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2AB37B" w14:textId="77777777" w:rsidR="00D4105E" w:rsidRPr="00E14102" w:rsidRDefault="00D4105E" w:rsidP="00E14102">
      <w:pPr>
        <w:autoSpaceDE w:val="0"/>
        <w:autoSpaceDN w:val="0"/>
        <w:adjustRightInd w:val="0"/>
        <w:jc w:val="both"/>
        <w:rPr>
          <w:b/>
          <w:bCs/>
          <w:color w:val="000000" w:themeColor="text1"/>
          <w:sz w:val="16"/>
          <w:szCs w:val="16"/>
        </w:rPr>
      </w:pPr>
      <w:r w:rsidRPr="00E14102">
        <w:rPr>
          <w:b/>
          <w:bCs/>
          <w:color w:val="000000" w:themeColor="text1"/>
          <w:sz w:val="16"/>
          <w:szCs w:val="16"/>
        </w:rPr>
        <w:t>1935</w:t>
      </w:r>
    </w:p>
    <w:p w14:paraId="3F345452" w14:textId="77777777" w:rsidR="00464501" w:rsidRPr="00E14102" w:rsidRDefault="00464501" w:rsidP="00E14102">
      <w:pPr>
        <w:autoSpaceDE w:val="0"/>
        <w:autoSpaceDN w:val="0"/>
        <w:adjustRightInd w:val="0"/>
        <w:jc w:val="both"/>
        <w:rPr>
          <w:i/>
          <w:iCs/>
          <w:color w:val="000000" w:themeColor="text1"/>
          <w:sz w:val="16"/>
          <w:szCs w:val="16"/>
        </w:rPr>
      </w:pPr>
    </w:p>
    <w:p w14:paraId="55939113" w14:textId="77777777" w:rsidR="001311E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9316417" w14:textId="77777777" w:rsidR="001311E0" w:rsidRPr="00E14102" w:rsidRDefault="001311E0" w:rsidP="00E14102">
      <w:pPr>
        <w:autoSpaceDE w:val="0"/>
        <w:autoSpaceDN w:val="0"/>
        <w:adjustRightInd w:val="0"/>
        <w:jc w:val="both"/>
        <w:rPr>
          <w:iCs/>
          <w:color w:val="000000" w:themeColor="text1"/>
          <w:sz w:val="16"/>
          <w:szCs w:val="16"/>
        </w:rPr>
      </w:pPr>
    </w:p>
    <w:p w14:paraId="16D986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1935 в КОСОС сидели следующие бригады (346,4):</w:t>
      </w:r>
    </w:p>
    <w:p w14:paraId="31FDFC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 тяжелых самолетов - В.М.Петляков,</w:t>
      </w:r>
    </w:p>
    <w:p w14:paraId="77D4B6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 гидросамолетов - И.И.Погосский, после гибели - А.П.Голубков;</w:t>
      </w:r>
    </w:p>
    <w:p w14:paraId="3659B6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 истребителей и рекордных самолетов - П.О.Сухой;</w:t>
      </w:r>
    </w:p>
    <w:p w14:paraId="2AB048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 скоростных военных и пассажирских самолетов - А.А.А.;</w:t>
      </w:r>
    </w:p>
    <w:p w14:paraId="47DC2A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 экспериментальных самолетов - В.М.Мясищев;</w:t>
      </w:r>
    </w:p>
    <w:p w14:paraId="645C41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 торпедных катеров - Н.С.Некрасов;</w:t>
      </w:r>
    </w:p>
    <w:p w14:paraId="4246AB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 винты - В.Л.Александров;</w:t>
      </w:r>
    </w:p>
    <w:p w14:paraId="2C2A0F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 мотоустановки - Е.И.Погосский;</w:t>
      </w:r>
    </w:p>
    <w:p w14:paraId="649D57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 шасси - М.Н.Петров (346,4).</w:t>
      </w:r>
    </w:p>
    <w:p w14:paraId="0320905F" w14:textId="77777777" w:rsidR="00D4105E" w:rsidRPr="00E14102" w:rsidRDefault="00D4105E" w:rsidP="00E14102">
      <w:pPr>
        <w:autoSpaceDE w:val="0"/>
        <w:autoSpaceDN w:val="0"/>
        <w:adjustRightInd w:val="0"/>
        <w:jc w:val="both"/>
        <w:rPr>
          <w:color w:val="000000" w:themeColor="text1"/>
          <w:sz w:val="16"/>
          <w:szCs w:val="16"/>
        </w:rPr>
      </w:pPr>
    </w:p>
    <w:p w14:paraId="134F44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1935 г. ОКБ Гроховского отработало универсальную подвеску ПГ-12 («подвеска грузовая», хотя «Г-12» могло расшифровываться и как «12-й объект Гроховского») для переброски габаритных грузов на штатных внешних бомбодержателях четырехмоторного бомбардировщика ТБ-3 — тем более что ТБ-3 уже переделывался в транспортно-десантный. Наиболее массовыми были бомбардировщики с двигателями М-17Ф по 175 л.с., но для десантов предпочитали ТБ-3 с двигателями М-34 и М-34Р (по 830 л.с.), способный нести 30-35 парашютистов (11915).</w:t>
      </w:r>
    </w:p>
    <w:p w14:paraId="630036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Комплект ПГ-12 включал 8 верхних узлов, 16 пар подвесных стержней разной длины, 4 расцепных и 4 расчалочных узла (два узла с тросами для самолета ТБ-3-4М-17 и два для самолета ТБ-3-4М-34), устройство аварийного отцепления, подъемное приспособление. Верхние узлы ставились на 8-ми внешних бомбодержателях самолета. Расцепные узлы служили для освобождения груза после посадки или «в полете в особых случаях». Для подвески груза к подвесной системе на него крепились специальные узлы, в комплект подвески входили 22 узла на семь типов грузов.</w:t>
      </w:r>
    </w:p>
    <w:p w14:paraId="1A4912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помощью ПГ-12 на знаменитых Киевских маневрах 1935 г. доставили три малых танка Т-37А, легкие бронеавтомобили Д-12 и автомобили посадочного десанта. На корпус танка болтами крепились «по месту» четыре специальных узла. Для этого приходилось срубать часть заклепок корпуса, делать вырезы в бортовых поплавках. На Т-37А узлы крепились 6 болтами, к этим узлам через расцепные узлы крепились 4 пары стержней длиной 595, 680, 690 и 785 мм. На Т-38 задние узлы крепились болтами на броню, передние — на переходные кронштейны. С помощью ручной лебедки и полиспастов танк подтягивали к фюзеляжу, стержни верхними узлами крепили на бомбодержатели. Бронеавтомобили, как и входившие в вооружение десанта автомобили ГАЗ-А, ГАЗ-А «Пикап», 1,5-тонный ГАЗ-АА, подвешивали за ступицы колес. Та же подвеска служила для переброски грузовой платформы ГП-1, рассчитанной на груз до З,5 т (45-мм и 76-мм пушка, двигатели, два мотоцикла, грузы в ящиках), 45-мм противотанковой или двух 76-мм полковых пушек — эти орудия так же состояли на вооружении ВДВ. Высокое шасси ТБ-3 с клиренсом около 2,5 м вполне допускало такие процедуры, однако грузы под фюзеляжем создавали большое аэродинамическое сопротивление и сильные вибрации, сильно уменьшали клиренс самолета, требовали особого искусства при взлете и, особенно, при посадке, росли нагрузки на двигатели и фюзеляж. Обтекателя, который могбы улучшить ситуацию, так и не создали. Инструкции требовали ровной посадочной площадки «600x800 м при открытых подходах». Гроховский считал, что внутри машин можно перебрасывать и экипажи, но слишком высокая опасность и тряска заставляла отказываться от этого на учениях (11915).</w:t>
      </w:r>
    </w:p>
    <w:p w14:paraId="004717CE" w14:textId="77777777" w:rsidR="00D4105E" w:rsidRPr="00E14102" w:rsidRDefault="00D4105E" w:rsidP="00E14102">
      <w:pPr>
        <w:autoSpaceDE w:val="0"/>
        <w:autoSpaceDN w:val="0"/>
        <w:adjustRightInd w:val="0"/>
        <w:jc w:val="both"/>
        <w:rPr>
          <w:color w:val="000000" w:themeColor="text1"/>
          <w:sz w:val="16"/>
          <w:szCs w:val="16"/>
        </w:rPr>
      </w:pPr>
    </w:p>
    <w:p w14:paraId="4268F674" w14:textId="77777777" w:rsidR="004A5086" w:rsidRPr="00E14102" w:rsidRDefault="004A5086" w:rsidP="00E14102">
      <w:pPr>
        <w:jc w:val="both"/>
        <w:rPr>
          <w:color w:val="000000" w:themeColor="text1"/>
          <w:sz w:val="16"/>
          <w:szCs w:val="16"/>
        </w:rPr>
      </w:pPr>
      <w:r w:rsidRPr="00E14102">
        <w:rPr>
          <w:color w:val="000000" w:themeColor="text1"/>
          <w:sz w:val="16"/>
          <w:szCs w:val="16"/>
        </w:rPr>
        <w:t>К 1935 г. благодаря прибыли совместного предприятия Дерулюфт удалось обновить парк самолетов. На смену «Фоккерам», эксплуатировавшимся компанией с момента ее основания, пришли более мощные и скоростные советские машины АНТ-9 и германские «Юнкерс Ю-52» (трехмоторные) и «Юнкерс Ф-13» (одномоторные). Одномоторные самолеты использовались в основном для обслуживания участка Ленинград – Таллин и для круговых полетов.</w:t>
      </w:r>
    </w:p>
    <w:p w14:paraId="4FC397F5" w14:textId="77777777" w:rsidR="004A5086" w:rsidRPr="00E14102" w:rsidRDefault="004A5086" w:rsidP="00E14102">
      <w:pPr>
        <w:jc w:val="both"/>
        <w:rPr>
          <w:color w:val="000000" w:themeColor="text1"/>
          <w:sz w:val="16"/>
          <w:szCs w:val="16"/>
        </w:rPr>
      </w:pPr>
      <w:r w:rsidRPr="00E14102">
        <w:rPr>
          <w:color w:val="000000" w:themeColor="text1"/>
          <w:sz w:val="16"/>
          <w:szCs w:val="16"/>
        </w:rPr>
        <w:t>Усовершенствовалось техническое оснащение аэродромов. Серьезной реконструкции был подвергнут Ленинградский аэродром. Оснащение основных линий новыми моделями самолетов положительным образом повлияло на продолжительность полета. Так, в летний летный сезон удалось сократить продолжительность рейса с востока на запад одним днем (имеются в виду рейсы из Москвы, Ленинграда, Хельсинки, Таллина, Риги и Каунаса в Амстердам, Лондон, Париж, Гамбург и Копенгаген) (19572).</w:t>
      </w:r>
    </w:p>
    <w:p w14:paraId="1DA975BC" w14:textId="77777777" w:rsidR="004A5086" w:rsidRPr="00E14102" w:rsidRDefault="004A5086" w:rsidP="00E14102">
      <w:pPr>
        <w:jc w:val="both"/>
        <w:rPr>
          <w:color w:val="000000" w:themeColor="text1"/>
          <w:sz w:val="16"/>
          <w:szCs w:val="16"/>
        </w:rPr>
      </w:pPr>
    </w:p>
    <w:p w14:paraId="527B53FC" w14:textId="77777777" w:rsidR="00E3599D" w:rsidRPr="00E14102" w:rsidRDefault="00E3599D" w:rsidP="00E14102">
      <w:pPr>
        <w:jc w:val="both"/>
        <w:rPr>
          <w:color w:val="0070C0"/>
          <w:sz w:val="16"/>
          <w:szCs w:val="16"/>
        </w:rPr>
      </w:pPr>
      <w:r w:rsidRPr="00E14102">
        <w:rPr>
          <w:color w:val="0070C0"/>
          <w:sz w:val="16"/>
          <w:szCs w:val="16"/>
        </w:rPr>
        <w:t>К началу 1935 г. центр советского дирижаблестроения – комбинат Дирижаблестрой при содействии итальянских специалистов значительно продвинулся в освоении технологии проектирования, строительства и эксплуатации дирижаблей полужесткой конструкции. Выполнить удалось меньший объем работ, чем первоначально предполагалось [Российский государственный архив экономики. Ф. 9574. Оп. 1. Ед. хр. 69, 10-11], но планы не соответствовали реальным возможностям предприятия [Российский государственный архив экономики. Ф. 9574. Оп. 1. Ед. хр. 69, л. 1-2, 7-10; 37, л. 38-39] (22295).</w:t>
      </w:r>
    </w:p>
    <w:p w14:paraId="6051BBFE" w14:textId="77777777" w:rsidR="00E3599D" w:rsidRPr="00E14102" w:rsidRDefault="00E3599D" w:rsidP="00E14102">
      <w:pPr>
        <w:jc w:val="both"/>
        <w:rPr>
          <w:color w:val="0070C0"/>
          <w:sz w:val="16"/>
          <w:szCs w:val="16"/>
          <w:shd w:val="clear" w:color="auto" w:fill="FFFFFF"/>
        </w:rPr>
      </w:pPr>
    </w:p>
    <w:p w14:paraId="09167E13" w14:textId="77777777" w:rsidR="004A5086" w:rsidRPr="00E14102" w:rsidRDefault="004A5086"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EEF4B09" w14:textId="77777777" w:rsidR="004A5086" w:rsidRPr="00E14102" w:rsidRDefault="004A5086" w:rsidP="00E14102">
      <w:pPr>
        <w:autoSpaceDE w:val="0"/>
        <w:autoSpaceDN w:val="0"/>
        <w:adjustRightInd w:val="0"/>
        <w:jc w:val="both"/>
        <w:rPr>
          <w:iCs/>
          <w:color w:val="000000" w:themeColor="text1"/>
          <w:sz w:val="16"/>
          <w:szCs w:val="16"/>
        </w:rPr>
      </w:pPr>
    </w:p>
    <w:p w14:paraId="7D1E71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1935 г. руководителям отечественной электрослаботочной промыш ленности стало очевидно, что сократить существующее отставание от уровня развития передовых иностранных фирм-производителей электровакуумных изделий собственными силами в короткие сроки не представляется возмож ным. В записке за подписью исполняющего обязанности начальника Главэс прома, направленной в Ленинградский обком ВКП (б) в октябре 1934 г., отме чалось, что «… отставание в области вакуумной техники является особо ре шающим и особо тормозящим развитие всей техники связи не только беспро волочной, но и проволочной» (ЦГАИПД СПб., ф. 24, оп. 13, д. 834, л. 5.). Настоятельные рекомендации С.А. Векшинского об использовании ино странной технической помощи, наконец, были услышаны. Необходимо отме тить, что Векшинскому и его коллегам приходилось прилагать значительные усилия, чтобы довести до руководства свою озабоченность состоянием элек тровакуумного производства. Как вспоминает один из сотрудников ОРПУ З.И.Модель, «… обсуждая перспективы развития мощных генераторных ламп, С.А.Векшинский и С.А. Зусмановский неоднократно жаловались мне, что руково дство советской промышленностью считает производство электровакуумных приборов лишь небольшой и маловажной отраслью электропромышленности, притом предъявляющей излишне много специфических требований» (Модель З.И. Воспоминания. – СПб.: СПб ГУТ, 1995. С. 70.) (11870).</w:t>
      </w:r>
    </w:p>
    <w:p w14:paraId="13F84EC1" w14:textId="77777777" w:rsidR="00D4105E" w:rsidRPr="00E14102" w:rsidRDefault="00D4105E" w:rsidP="00E14102">
      <w:pPr>
        <w:autoSpaceDE w:val="0"/>
        <w:autoSpaceDN w:val="0"/>
        <w:adjustRightInd w:val="0"/>
        <w:jc w:val="both"/>
        <w:rPr>
          <w:color w:val="000000" w:themeColor="text1"/>
          <w:sz w:val="16"/>
          <w:szCs w:val="16"/>
        </w:rPr>
      </w:pPr>
    </w:p>
    <w:p w14:paraId="37F1EBB3" w14:textId="77777777" w:rsidR="004A5086" w:rsidRPr="00E14102" w:rsidRDefault="004A5086" w:rsidP="00E14102">
      <w:pPr>
        <w:jc w:val="both"/>
        <w:rPr>
          <w:color w:val="000000" w:themeColor="text1"/>
          <w:sz w:val="16"/>
          <w:szCs w:val="16"/>
        </w:rPr>
      </w:pPr>
      <w:r w:rsidRPr="00E14102">
        <w:rPr>
          <w:color w:val="000000" w:themeColor="text1"/>
          <w:sz w:val="16"/>
          <w:szCs w:val="16"/>
        </w:rPr>
        <w:t>К началу</w:t>
      </w:r>
      <w:hyperlink r:id="rId6" w:history="1">
        <w:r w:rsidRPr="00E14102">
          <w:rPr>
            <w:rStyle w:val="a4"/>
            <w:rFonts w:eastAsiaTheme="majorEastAsia"/>
            <w:color w:val="000000" w:themeColor="text1"/>
            <w:sz w:val="16"/>
            <w:szCs w:val="16"/>
            <w:u w:val="none"/>
          </w:rPr>
          <w:t> 1935 года </w:t>
        </w:r>
      </w:hyperlink>
      <w:r w:rsidRPr="00E14102">
        <w:rPr>
          <w:color w:val="000000" w:themeColor="text1"/>
          <w:sz w:val="16"/>
          <w:szCs w:val="16"/>
        </w:rPr>
        <w:t xml:space="preserve"> специалистами СКБ была закончена разработка чертежей проекта «E-2», обозначенного теперь как тип «Н» (немецкая), или серия IX </w:t>
      </w:r>
      <w:hyperlink r:id="rId7" w:history="1">
        <w:r w:rsidRPr="00E14102">
          <w:rPr>
            <w:rStyle w:val="a4"/>
            <w:rFonts w:eastAsiaTheme="majorEastAsia"/>
            <w:color w:val="000000" w:themeColor="text1"/>
            <w:sz w:val="16"/>
            <w:szCs w:val="16"/>
            <w:u w:val="none"/>
          </w:rPr>
          <w:t>(20 октября </w:t>
        </w:r>
      </w:hyperlink>
      <w:hyperlink r:id="rId8" w:history="1">
        <w:r w:rsidRPr="00E14102">
          <w:rPr>
            <w:rStyle w:val="a4"/>
            <w:rFonts w:eastAsiaTheme="majorEastAsia"/>
            <w:color w:val="000000" w:themeColor="text1"/>
            <w:sz w:val="16"/>
            <w:szCs w:val="16"/>
            <w:u w:val="none"/>
          </w:rPr>
          <w:t>1937 года </w:t>
        </w:r>
      </w:hyperlink>
      <w:r w:rsidRPr="00E14102">
        <w:rPr>
          <w:color w:val="000000" w:themeColor="text1"/>
          <w:sz w:val="16"/>
          <w:szCs w:val="16"/>
        </w:rPr>
        <w:t>тип «Н» переименовали в тип «С» – средняя) [1, с. 5].</w:t>
      </w:r>
      <w:hyperlink r:id="rId9" w:history="1">
        <w:r w:rsidRPr="00E14102">
          <w:rPr>
            <w:rStyle w:val="a4"/>
            <w:rFonts w:eastAsiaTheme="majorEastAsia"/>
            <w:color w:val="000000" w:themeColor="text1"/>
            <w:sz w:val="16"/>
            <w:szCs w:val="16"/>
            <w:u w:val="none"/>
          </w:rPr>
          <w:t> 4 август</w:t>
        </w:r>
      </w:hyperlink>
      <w:hyperlink r:id="rId10" w:history="1">
        <w:r w:rsidRPr="00E14102">
          <w:rPr>
            <w:rStyle w:val="a4"/>
            <w:rFonts w:eastAsiaTheme="majorEastAsia"/>
            <w:color w:val="000000" w:themeColor="text1"/>
            <w:sz w:val="16"/>
            <w:szCs w:val="16"/>
            <w:u w:val="none"/>
          </w:rPr>
          <w:t>а 1934 го</w:t>
        </w:r>
      </w:hyperlink>
      <w:hyperlink r:id="rId11" w:history="1">
        <w:r w:rsidRPr="00E14102">
          <w:rPr>
            <w:rStyle w:val="a4"/>
            <w:rFonts w:eastAsiaTheme="majorEastAsia"/>
            <w:color w:val="000000" w:themeColor="text1"/>
            <w:sz w:val="16"/>
            <w:szCs w:val="16"/>
            <w:u w:val="none"/>
          </w:rPr>
          <w:t>да </w:t>
        </w:r>
      </w:hyperlink>
      <w:r w:rsidRPr="00E14102">
        <w:rPr>
          <w:color w:val="000000" w:themeColor="text1"/>
          <w:sz w:val="16"/>
          <w:szCs w:val="16"/>
        </w:rPr>
        <w:t>члены</w:t>
      </w:r>
      <w:hyperlink r:id="rId12" w:history="1">
        <w:r w:rsidRPr="00E14102">
          <w:rPr>
            <w:rStyle w:val="a4"/>
            <w:rFonts w:eastAsiaTheme="majorEastAsia"/>
            <w:color w:val="000000" w:themeColor="text1"/>
            <w:sz w:val="16"/>
            <w:szCs w:val="16"/>
            <w:u w:val="none"/>
          </w:rPr>
          <w:t>Политбюро </w:t>
        </w:r>
      </w:hyperlink>
      <w:r w:rsidRPr="00E14102">
        <w:rPr>
          <w:color w:val="000000" w:themeColor="text1"/>
          <w:sz w:val="16"/>
          <w:szCs w:val="16"/>
        </w:rPr>
        <w:t>ЦК ВКП(б) приняли решение о серийной постройке средних подводных лодок серии IX и постепенной замены ими подводных лодок</w:t>
      </w:r>
      <w:hyperlink r:id="rId13" w:history="1">
        <w:r w:rsidRPr="00E14102">
          <w:rPr>
            <w:rStyle w:val="a4"/>
            <w:rFonts w:eastAsiaTheme="majorEastAsia"/>
            <w:color w:val="000000" w:themeColor="text1"/>
            <w:sz w:val="16"/>
            <w:szCs w:val="16"/>
            <w:u w:val="none"/>
          </w:rPr>
          <w:t> типа «Щука».</w:t>
        </w:r>
      </w:hyperlink>
      <w:r w:rsidRPr="00E14102">
        <w:rPr>
          <w:color w:val="000000" w:themeColor="text1"/>
          <w:sz w:val="16"/>
          <w:szCs w:val="16"/>
        </w:rPr>
        <w:t> Субмарины серии IX строились на</w:t>
      </w:r>
      <w:hyperlink r:id="rId14" w:history="1">
        <w:r w:rsidRPr="00E14102">
          <w:rPr>
            <w:rStyle w:val="a4"/>
            <w:rFonts w:eastAsiaTheme="majorEastAsia"/>
            <w:color w:val="000000" w:themeColor="text1"/>
            <w:sz w:val="16"/>
            <w:szCs w:val="16"/>
            <w:u w:val="none"/>
          </w:rPr>
          <w:t> Балтийском </w:t>
        </w:r>
      </w:hyperlink>
      <w:hyperlink r:id="rId15" w:history="1">
        <w:r w:rsidRPr="00E14102">
          <w:rPr>
            <w:rStyle w:val="a4"/>
            <w:rFonts w:eastAsiaTheme="majorEastAsia"/>
            <w:color w:val="000000" w:themeColor="text1"/>
            <w:sz w:val="16"/>
            <w:szCs w:val="16"/>
            <w:u w:val="none"/>
          </w:rPr>
          <w:t>заводе.</w:t>
        </w:r>
      </w:hyperlink>
      <w:r w:rsidRPr="00E14102">
        <w:rPr>
          <w:color w:val="000000" w:themeColor="text1"/>
          <w:sz w:val="16"/>
          <w:szCs w:val="16"/>
        </w:rPr>
        <w:t> Первая партия состояла из трѐх лодок: «Н-1», «Н-2» и «Н-3». При их постройке использовалось большое количество импортного оборудования, а по результатам испытаний предполагалось принять решение о дальнейшем строительстве. После начала серийного строительства серии IX проект был полностью переработан с целью полного перехода на советское оборудование и с учѐтом замечаний к головным лодкам [Там же, с. 11]. Доработанный проект получил обозначение IX-бис (18262).</w:t>
      </w:r>
    </w:p>
    <w:p w14:paraId="56EC0499" w14:textId="77777777" w:rsidR="004A5086" w:rsidRPr="00E14102" w:rsidRDefault="004A5086" w:rsidP="00E14102">
      <w:pPr>
        <w:jc w:val="both"/>
        <w:rPr>
          <w:color w:val="000000" w:themeColor="text1"/>
          <w:sz w:val="16"/>
          <w:szCs w:val="16"/>
        </w:rPr>
      </w:pPr>
    </w:p>
    <w:p w14:paraId="4939EFAD" w14:textId="77777777" w:rsidR="00E3599D" w:rsidRPr="00E14102" w:rsidRDefault="00E3599D" w:rsidP="00E14102">
      <w:pPr>
        <w:jc w:val="both"/>
        <w:rPr>
          <w:color w:val="0070C0"/>
          <w:sz w:val="16"/>
          <w:szCs w:val="16"/>
          <w:shd w:val="clear" w:color="auto" w:fill="FFFFFF"/>
        </w:rPr>
      </w:pPr>
      <w:r w:rsidRPr="00E14102">
        <w:rPr>
          <w:color w:val="0070C0"/>
          <w:sz w:val="16"/>
          <w:szCs w:val="16"/>
          <w:shd w:val="clear" w:color="auto" w:fill="FFFFFF"/>
        </w:rPr>
        <w:t>К началу</w:t>
      </w:r>
      <w:hyperlink r:id="rId16" w:history="1">
        <w:r w:rsidRPr="00E14102">
          <w:rPr>
            <w:rStyle w:val="a4"/>
            <w:rFonts w:eastAsiaTheme="majorEastAsia"/>
            <w:color w:val="0070C0"/>
            <w:sz w:val="16"/>
            <w:szCs w:val="16"/>
            <w:u w:val="none"/>
            <w:bdr w:val="none" w:sz="0" w:space="0" w:color="auto" w:frame="1"/>
            <w:shd w:val="clear" w:color="auto" w:fill="FFFFFF"/>
          </w:rPr>
          <w:t> 1935 года </w:t>
        </w:r>
      </w:hyperlink>
      <w:hyperlink r:id="rId17" w:history="1">
        <w:r w:rsidRPr="00E14102">
          <w:rPr>
            <w:rStyle w:val="a4"/>
            <w:rFonts w:eastAsiaTheme="majorEastAsia"/>
            <w:color w:val="0070C0"/>
            <w:sz w:val="16"/>
            <w:szCs w:val="16"/>
            <w:u w:val="none"/>
            <w:bdr w:val="none" w:sz="0" w:space="0" w:color="auto" w:frame="1"/>
            <w:shd w:val="clear" w:color="auto" w:fill="FFFFFF"/>
          </w:rPr>
          <w:t>(20 октября </w:t>
        </w:r>
      </w:hyperlink>
      <w:hyperlink r:id="rId18" w:history="1">
        <w:r w:rsidRPr="00E14102">
          <w:rPr>
            <w:rStyle w:val="a4"/>
            <w:rFonts w:eastAsiaTheme="majorEastAsia"/>
            <w:color w:val="0070C0"/>
            <w:sz w:val="16"/>
            <w:szCs w:val="16"/>
            <w:u w:val="none"/>
            <w:bdr w:val="none" w:sz="0" w:space="0" w:color="auto" w:frame="1"/>
            <w:shd w:val="clear" w:color="auto" w:fill="FFFFFF"/>
          </w:rPr>
          <w:t>1937 года </w:t>
        </w:r>
      </w:hyperlink>
      <w:r w:rsidRPr="00E14102">
        <w:rPr>
          <w:color w:val="0070C0"/>
          <w:sz w:val="16"/>
          <w:szCs w:val="16"/>
          <w:shd w:val="clear" w:color="auto" w:fill="FFFFFF"/>
        </w:rPr>
        <w:t>тип «Н» переименовали в тип «С» – средняя) [1, с. 5] специалистами СКБ была закончена разработка чертежей проекта «E-2», обозначенного теперь как тип «Н» (немецкая), или серия IX (21528).</w:t>
      </w:r>
    </w:p>
    <w:p w14:paraId="4EACA30D" w14:textId="77777777" w:rsidR="00E3599D" w:rsidRPr="00E14102" w:rsidRDefault="00E3599D" w:rsidP="00E14102">
      <w:pPr>
        <w:jc w:val="both"/>
        <w:rPr>
          <w:color w:val="0070C0"/>
          <w:sz w:val="16"/>
          <w:szCs w:val="16"/>
          <w:shd w:val="clear" w:color="auto" w:fill="FFFFFF"/>
        </w:rPr>
      </w:pPr>
    </w:p>
    <w:p w14:paraId="377941D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41E0A4C9" w14:textId="77777777" w:rsidR="00D4105E" w:rsidRPr="00E14102" w:rsidRDefault="00D4105E" w:rsidP="00E14102">
      <w:pPr>
        <w:autoSpaceDE w:val="0"/>
        <w:autoSpaceDN w:val="0"/>
        <w:adjustRightInd w:val="0"/>
        <w:jc w:val="both"/>
        <w:rPr>
          <w:color w:val="000000" w:themeColor="text1"/>
          <w:sz w:val="16"/>
          <w:szCs w:val="16"/>
        </w:rPr>
      </w:pPr>
    </w:p>
    <w:p w14:paraId="621E8344" w14:textId="7395081D"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1935 г. был принят единый штат для частей всех родов сухопутной авиации, кроме тяжелобомбардировочной и крейсерской: 31 самолет в эскадрилье. При этом предусматривалось наличие трех отрядов по десять машин; в отряде - трех звеньев по три самолета и машины командира отряда. В тяжелобомбардировочной эскадрилье оставалось 12 ТБ-3. Такое же количество предусматривалось для "крейсеров". С мая того же года планировалось довести количество самолетов в тяжелобомбардировочной эскадрилье до 16, в легкобомбардировочной - до 41, в крейсерской - до 25. Из-за нехватки техники сроки дважды переносились: сначала - на 1936 г., затем - на 1937 г., но в итоге эти планы не были реализованы. К середине 1930-х гг. в ВВС появилось много новых типов самолетов, что оказало свое влияние на структуру. После поступления на вооружение Р-6 возникли крейсерские эскадрильи; когда в 1936 г. с заводов поступили первые СБ - скоростные бомбардировочные, а с началом освоения ДБ-3 в 1937 г. - дальне-бомбардировочные. Две последние имели по штату 31 самолет. Возникли специальные звенья и отряды связи, транспортные подразделения и, наконец, звенья ПВО, обеспечивавшие тренировку зенитчиков, таская полотняные рукава-мишени (11987).</w:t>
      </w:r>
    </w:p>
    <w:p w14:paraId="479EB626" w14:textId="77777777" w:rsidR="00D4105E" w:rsidRPr="00E14102" w:rsidRDefault="00D4105E" w:rsidP="00E14102">
      <w:pPr>
        <w:autoSpaceDE w:val="0"/>
        <w:autoSpaceDN w:val="0"/>
        <w:adjustRightInd w:val="0"/>
        <w:jc w:val="both"/>
        <w:rPr>
          <w:color w:val="000000" w:themeColor="text1"/>
          <w:sz w:val="16"/>
          <w:szCs w:val="16"/>
        </w:rPr>
      </w:pPr>
    </w:p>
    <w:p w14:paraId="2EBE9F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 1935 г. приоритеты в оснащении ВВС самолетами постепенно изменились. Интерес к тихоходным гигантам пропал. Тут складывались сразу несколько факторов. Во-первых, тогдашний уровень развития самолетостроения и особенно моторостроения не мог обеспечить гигантским бомбардировщикам приемлемых летных данных. Во-вто- рых, немаловажен был экономический фактор. Армада бомбовозов обошлась бы в огромные деньги, но еще больше пришлось бы затратить на </w:t>
      </w:r>
      <w:r w:rsidRPr="00E14102">
        <w:rPr>
          <w:color w:val="000000" w:themeColor="text1"/>
          <w:sz w:val="16"/>
          <w:szCs w:val="16"/>
        </w:rPr>
        <w:lastRenderedPageBreak/>
        <w:t>оборудование аэродромов и специальную технику. В условиях постоянной нехватки ВВС бюджетных ассигнований, резонно было отказаться от столь непомерных расходов. Так что фактически единственным результатом стремления вооружить целые бригады огромными бомбовозами стало крупносерийное производство ТБ-3.</w:t>
      </w:r>
    </w:p>
    <w:p w14:paraId="61FDC1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середине 30-х годов его продолжали постепенно модернизировать. Поднять потолок должны были моторы М34- РН с приводными центробежными нагнетателями. Применение наддува обешало существенно повысить высотные характеристики машины. Но серийное производство таких машин началось только в 1936 г. При этом заменой двигателей не ограничились. Пропал характерный уступ носовой части фюзеляжа. Размах крыла увеличился более чем на два метра. От парных тележек перешли к большим тормозным колесам диаметром 2 м. Моторы получили новые капоты и радиаторы. Но винты по-прежнему были деревянными и фиксированного шага, что уже являлось архаичным.</w:t>
      </w:r>
    </w:p>
    <w:p w14:paraId="5F0623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Оборонительное вооружение ТБ-ЗРН складывалось из двух экранированных турелей Тур-8 - одной сверху и одной в носовой части. Они закрывались полусферическими куполами из оргстекла на металлическом каркасе. В каждой из них стоял пулемет ШКАС. Третий такой же пулемет размещался в кормовой установке. Там Тур-8 не имела экрана, но при необходимости прикрывалась раздвижным козырьком, секции которого складывались подобно панцирю на хвосте рака. Четвертый ШКАС на турели Тур-7 стрелял в люк в днище фюзеляжа.</w:t>
      </w:r>
    </w:p>
    <w:p w14:paraId="097C78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Ассортимент бомбового вооружения самолета существенно расширился - от мелких "зажигалок" ЗАБ-1 по килограмму весом и 8-кг осколочных АО-8М2 до двухтонной АФ-2000. Бомбы менее 50 кг укладывались в кассеты РРАБ. ТБ-ЗРН мог нести химическое вооружение - четыре выливных прибора ВАП-500 и два ВАП-6К. Для их подвески на балки бомбодержателей крепились специальные мосты. Обогатилось оборудование машины. В частности, на бомбардировщике появилось переговорное устройство СПУ-7 (12036).</w:t>
      </w:r>
    </w:p>
    <w:p w14:paraId="072D75F7" w14:textId="77777777" w:rsidR="00D4105E" w:rsidRPr="00E14102" w:rsidRDefault="00D4105E" w:rsidP="00E14102">
      <w:pPr>
        <w:autoSpaceDE w:val="0"/>
        <w:autoSpaceDN w:val="0"/>
        <w:adjustRightInd w:val="0"/>
        <w:jc w:val="both"/>
        <w:rPr>
          <w:color w:val="000000" w:themeColor="text1"/>
          <w:sz w:val="16"/>
          <w:szCs w:val="16"/>
        </w:rPr>
      </w:pPr>
    </w:p>
    <w:p w14:paraId="7613294B" w14:textId="77777777" w:rsidR="001311E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82414A9" w14:textId="77777777" w:rsidR="001311E0" w:rsidRPr="00E14102" w:rsidRDefault="001311E0" w:rsidP="00E14102">
      <w:pPr>
        <w:autoSpaceDE w:val="0"/>
        <w:autoSpaceDN w:val="0"/>
        <w:adjustRightInd w:val="0"/>
        <w:jc w:val="both"/>
        <w:rPr>
          <w:iCs/>
          <w:color w:val="000000" w:themeColor="text1"/>
          <w:sz w:val="16"/>
          <w:szCs w:val="16"/>
        </w:rPr>
      </w:pPr>
    </w:p>
    <w:p w14:paraId="7B397F51"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К началу 1935 на Г-37 установили новые моторы М-17 (342,28).</w:t>
      </w:r>
    </w:p>
    <w:p w14:paraId="67D64427" w14:textId="77777777" w:rsidR="001311E0" w:rsidRPr="00E14102" w:rsidRDefault="001311E0" w:rsidP="00E14102">
      <w:pPr>
        <w:autoSpaceDE w:val="0"/>
        <w:autoSpaceDN w:val="0"/>
        <w:adjustRightInd w:val="0"/>
        <w:jc w:val="both"/>
        <w:rPr>
          <w:color w:val="000000" w:themeColor="text1"/>
          <w:sz w:val="16"/>
          <w:szCs w:val="16"/>
        </w:rPr>
      </w:pPr>
    </w:p>
    <w:p w14:paraId="22018494"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плана: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939"/>
        <w:gridCol w:w="939"/>
        <w:gridCol w:w="939"/>
      </w:tblGrid>
      <w:tr w:rsidR="00E3599D" w:rsidRPr="00E14102" w14:paraId="3930B6E6" w14:textId="77777777" w:rsidTr="005D7732">
        <w:tc>
          <w:tcPr>
            <w:tcW w:w="939" w:type="dxa"/>
            <w:tcBorders>
              <w:top w:val="single" w:sz="12" w:space="0" w:color="auto"/>
            </w:tcBorders>
          </w:tcPr>
          <w:p w14:paraId="2F47F7A3" w14:textId="77777777" w:rsidR="001311E0" w:rsidRPr="00E14102" w:rsidRDefault="001311E0" w:rsidP="00E14102">
            <w:pPr>
              <w:autoSpaceDE w:val="0"/>
              <w:autoSpaceDN w:val="0"/>
              <w:adjustRightInd w:val="0"/>
              <w:jc w:val="both"/>
              <w:rPr>
                <w:color w:val="000000" w:themeColor="text1"/>
                <w:sz w:val="16"/>
                <w:szCs w:val="16"/>
              </w:rPr>
            </w:pPr>
          </w:p>
        </w:tc>
        <w:tc>
          <w:tcPr>
            <w:tcW w:w="939" w:type="dxa"/>
            <w:tcBorders>
              <w:top w:val="single" w:sz="12" w:space="0" w:color="auto"/>
            </w:tcBorders>
          </w:tcPr>
          <w:p w14:paraId="76F3E1D5" w14:textId="77777777" w:rsidR="001311E0" w:rsidRPr="00E14102" w:rsidRDefault="001311E0" w:rsidP="00E14102">
            <w:pPr>
              <w:autoSpaceDE w:val="0"/>
              <w:autoSpaceDN w:val="0"/>
              <w:adjustRightInd w:val="0"/>
              <w:jc w:val="both"/>
              <w:rPr>
                <w:color w:val="000000" w:themeColor="text1"/>
                <w:sz w:val="16"/>
                <w:szCs w:val="16"/>
              </w:rPr>
            </w:pPr>
          </w:p>
        </w:tc>
        <w:tc>
          <w:tcPr>
            <w:tcW w:w="939" w:type="dxa"/>
            <w:tcBorders>
              <w:top w:val="single" w:sz="12" w:space="0" w:color="auto"/>
            </w:tcBorders>
          </w:tcPr>
          <w:p w14:paraId="052B9C5F"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1934</w:t>
            </w:r>
          </w:p>
        </w:tc>
        <w:tc>
          <w:tcPr>
            <w:tcW w:w="939" w:type="dxa"/>
            <w:tcBorders>
              <w:top w:val="single" w:sz="12" w:space="0" w:color="auto"/>
            </w:tcBorders>
          </w:tcPr>
          <w:p w14:paraId="751AA2E1" w14:textId="77777777" w:rsidR="001311E0" w:rsidRPr="00E14102" w:rsidRDefault="001311E0" w:rsidP="00E14102">
            <w:pPr>
              <w:autoSpaceDE w:val="0"/>
              <w:autoSpaceDN w:val="0"/>
              <w:adjustRightInd w:val="0"/>
              <w:jc w:val="both"/>
              <w:rPr>
                <w:color w:val="000000" w:themeColor="text1"/>
                <w:sz w:val="16"/>
                <w:szCs w:val="16"/>
              </w:rPr>
            </w:pPr>
          </w:p>
        </w:tc>
        <w:tc>
          <w:tcPr>
            <w:tcW w:w="939" w:type="dxa"/>
            <w:tcBorders>
              <w:top w:val="single" w:sz="12" w:space="0" w:color="auto"/>
            </w:tcBorders>
          </w:tcPr>
          <w:p w14:paraId="19E77EB0" w14:textId="77777777" w:rsidR="001311E0" w:rsidRPr="00E14102" w:rsidRDefault="001311E0" w:rsidP="00E14102">
            <w:pPr>
              <w:autoSpaceDE w:val="0"/>
              <w:autoSpaceDN w:val="0"/>
              <w:adjustRightInd w:val="0"/>
              <w:jc w:val="both"/>
              <w:rPr>
                <w:color w:val="000000" w:themeColor="text1"/>
                <w:sz w:val="16"/>
                <w:szCs w:val="16"/>
              </w:rPr>
            </w:pPr>
          </w:p>
        </w:tc>
        <w:tc>
          <w:tcPr>
            <w:tcW w:w="939" w:type="dxa"/>
            <w:tcBorders>
              <w:top w:val="single" w:sz="12" w:space="0" w:color="auto"/>
            </w:tcBorders>
          </w:tcPr>
          <w:p w14:paraId="60F3DD9C"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1935</w:t>
            </w:r>
          </w:p>
        </w:tc>
        <w:tc>
          <w:tcPr>
            <w:tcW w:w="939" w:type="dxa"/>
            <w:tcBorders>
              <w:top w:val="single" w:sz="12" w:space="0" w:color="auto"/>
            </w:tcBorders>
          </w:tcPr>
          <w:p w14:paraId="068981F1" w14:textId="77777777" w:rsidR="001311E0" w:rsidRPr="00E14102" w:rsidRDefault="001311E0" w:rsidP="00E14102">
            <w:pPr>
              <w:autoSpaceDE w:val="0"/>
              <w:autoSpaceDN w:val="0"/>
              <w:adjustRightInd w:val="0"/>
              <w:jc w:val="both"/>
              <w:rPr>
                <w:color w:val="000000" w:themeColor="text1"/>
                <w:sz w:val="16"/>
                <w:szCs w:val="16"/>
              </w:rPr>
            </w:pPr>
          </w:p>
        </w:tc>
        <w:tc>
          <w:tcPr>
            <w:tcW w:w="939" w:type="dxa"/>
            <w:tcBorders>
              <w:top w:val="single" w:sz="12" w:space="0" w:color="auto"/>
            </w:tcBorders>
          </w:tcPr>
          <w:p w14:paraId="644AACFA" w14:textId="77777777" w:rsidR="001311E0" w:rsidRPr="00E14102" w:rsidRDefault="001311E0" w:rsidP="00E14102">
            <w:pPr>
              <w:autoSpaceDE w:val="0"/>
              <w:autoSpaceDN w:val="0"/>
              <w:adjustRightInd w:val="0"/>
              <w:jc w:val="both"/>
              <w:rPr>
                <w:color w:val="000000" w:themeColor="text1"/>
                <w:sz w:val="16"/>
                <w:szCs w:val="16"/>
              </w:rPr>
            </w:pPr>
          </w:p>
        </w:tc>
        <w:tc>
          <w:tcPr>
            <w:tcW w:w="939" w:type="dxa"/>
            <w:tcBorders>
              <w:top w:val="single" w:sz="12" w:space="0" w:color="auto"/>
            </w:tcBorders>
          </w:tcPr>
          <w:p w14:paraId="1FDAD607"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1936</w:t>
            </w:r>
          </w:p>
        </w:tc>
        <w:tc>
          <w:tcPr>
            <w:tcW w:w="939" w:type="dxa"/>
            <w:tcBorders>
              <w:top w:val="single" w:sz="12" w:space="0" w:color="auto"/>
            </w:tcBorders>
          </w:tcPr>
          <w:p w14:paraId="295190E7" w14:textId="77777777" w:rsidR="001311E0" w:rsidRPr="00E14102" w:rsidRDefault="001311E0" w:rsidP="00E14102">
            <w:pPr>
              <w:autoSpaceDE w:val="0"/>
              <w:autoSpaceDN w:val="0"/>
              <w:adjustRightInd w:val="0"/>
              <w:jc w:val="both"/>
              <w:rPr>
                <w:color w:val="000000" w:themeColor="text1"/>
                <w:sz w:val="16"/>
                <w:szCs w:val="16"/>
              </w:rPr>
            </w:pPr>
          </w:p>
        </w:tc>
      </w:tr>
      <w:tr w:rsidR="00E3599D" w:rsidRPr="00E14102" w14:paraId="68064001" w14:textId="77777777" w:rsidTr="005D7732">
        <w:tc>
          <w:tcPr>
            <w:tcW w:w="939" w:type="dxa"/>
          </w:tcPr>
          <w:p w14:paraId="1CE56C40" w14:textId="77777777" w:rsidR="001311E0" w:rsidRPr="00E14102" w:rsidRDefault="001311E0" w:rsidP="00E14102">
            <w:pPr>
              <w:autoSpaceDE w:val="0"/>
              <w:autoSpaceDN w:val="0"/>
              <w:adjustRightInd w:val="0"/>
              <w:jc w:val="both"/>
              <w:rPr>
                <w:color w:val="000000" w:themeColor="text1"/>
                <w:sz w:val="16"/>
                <w:szCs w:val="16"/>
              </w:rPr>
            </w:pPr>
          </w:p>
        </w:tc>
        <w:tc>
          <w:tcPr>
            <w:tcW w:w="939" w:type="dxa"/>
          </w:tcPr>
          <w:p w14:paraId="28768CCC"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план</w:t>
            </w:r>
          </w:p>
        </w:tc>
        <w:tc>
          <w:tcPr>
            <w:tcW w:w="939" w:type="dxa"/>
          </w:tcPr>
          <w:p w14:paraId="670434C4"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факт</w:t>
            </w:r>
          </w:p>
        </w:tc>
        <w:tc>
          <w:tcPr>
            <w:tcW w:w="939" w:type="dxa"/>
          </w:tcPr>
          <w:p w14:paraId="2769280F"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39" w:type="dxa"/>
          </w:tcPr>
          <w:p w14:paraId="08328DA9"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план</w:t>
            </w:r>
          </w:p>
        </w:tc>
        <w:tc>
          <w:tcPr>
            <w:tcW w:w="939" w:type="dxa"/>
          </w:tcPr>
          <w:p w14:paraId="16714771"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факт</w:t>
            </w:r>
          </w:p>
        </w:tc>
        <w:tc>
          <w:tcPr>
            <w:tcW w:w="939" w:type="dxa"/>
          </w:tcPr>
          <w:p w14:paraId="12CE72A0"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39" w:type="dxa"/>
          </w:tcPr>
          <w:p w14:paraId="15101CEC"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план</w:t>
            </w:r>
          </w:p>
        </w:tc>
        <w:tc>
          <w:tcPr>
            <w:tcW w:w="939" w:type="dxa"/>
          </w:tcPr>
          <w:p w14:paraId="26325770"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факт</w:t>
            </w:r>
          </w:p>
        </w:tc>
        <w:tc>
          <w:tcPr>
            <w:tcW w:w="939" w:type="dxa"/>
          </w:tcPr>
          <w:p w14:paraId="74512506"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62B9D888" w14:textId="77777777" w:rsidTr="005D7732">
        <w:tc>
          <w:tcPr>
            <w:tcW w:w="939" w:type="dxa"/>
          </w:tcPr>
          <w:p w14:paraId="52D244B2"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c>
          <w:tcPr>
            <w:tcW w:w="939" w:type="dxa"/>
          </w:tcPr>
          <w:p w14:paraId="67A254CD"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3595</w:t>
            </w:r>
          </w:p>
        </w:tc>
        <w:tc>
          <w:tcPr>
            <w:tcW w:w="939" w:type="dxa"/>
          </w:tcPr>
          <w:p w14:paraId="599C2B24"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3109</w:t>
            </w:r>
          </w:p>
        </w:tc>
        <w:tc>
          <w:tcPr>
            <w:tcW w:w="939" w:type="dxa"/>
          </w:tcPr>
          <w:p w14:paraId="572FE8C8"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86</w:t>
            </w:r>
          </w:p>
        </w:tc>
        <w:tc>
          <w:tcPr>
            <w:tcW w:w="939" w:type="dxa"/>
          </w:tcPr>
          <w:p w14:paraId="64021F4A"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2337</w:t>
            </w:r>
          </w:p>
        </w:tc>
        <w:tc>
          <w:tcPr>
            <w:tcW w:w="939" w:type="dxa"/>
          </w:tcPr>
          <w:p w14:paraId="40774388"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1612</w:t>
            </w:r>
          </w:p>
        </w:tc>
        <w:tc>
          <w:tcPr>
            <w:tcW w:w="939" w:type="dxa"/>
          </w:tcPr>
          <w:p w14:paraId="3A669697"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69</w:t>
            </w:r>
          </w:p>
        </w:tc>
        <w:tc>
          <w:tcPr>
            <w:tcW w:w="939" w:type="dxa"/>
          </w:tcPr>
          <w:p w14:paraId="0CAC0510"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4169</w:t>
            </w:r>
          </w:p>
        </w:tc>
        <w:tc>
          <w:tcPr>
            <w:tcW w:w="939" w:type="dxa"/>
          </w:tcPr>
          <w:p w14:paraId="3E4AE0FF"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2688</w:t>
            </w:r>
          </w:p>
        </w:tc>
        <w:tc>
          <w:tcPr>
            <w:tcW w:w="939" w:type="dxa"/>
          </w:tcPr>
          <w:p w14:paraId="59A67A97"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64</w:t>
            </w:r>
          </w:p>
        </w:tc>
      </w:tr>
      <w:tr w:rsidR="00E3599D" w:rsidRPr="00E14102" w14:paraId="771E3980" w14:textId="77777777" w:rsidTr="005D7732">
        <w:tc>
          <w:tcPr>
            <w:tcW w:w="939" w:type="dxa"/>
          </w:tcPr>
          <w:p w14:paraId="0EB4C5E8"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 истребители</w:t>
            </w:r>
          </w:p>
        </w:tc>
        <w:tc>
          <w:tcPr>
            <w:tcW w:w="939" w:type="dxa"/>
          </w:tcPr>
          <w:p w14:paraId="4819095B"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770</w:t>
            </w:r>
          </w:p>
        </w:tc>
        <w:tc>
          <w:tcPr>
            <w:tcW w:w="939" w:type="dxa"/>
          </w:tcPr>
          <w:p w14:paraId="0388CB1E"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570</w:t>
            </w:r>
          </w:p>
        </w:tc>
        <w:tc>
          <w:tcPr>
            <w:tcW w:w="939" w:type="dxa"/>
          </w:tcPr>
          <w:p w14:paraId="31E4F652"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74</w:t>
            </w:r>
          </w:p>
        </w:tc>
        <w:tc>
          <w:tcPr>
            <w:tcW w:w="939" w:type="dxa"/>
          </w:tcPr>
          <w:p w14:paraId="37CA7903"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911</w:t>
            </w:r>
          </w:p>
        </w:tc>
        <w:tc>
          <w:tcPr>
            <w:tcW w:w="939" w:type="dxa"/>
          </w:tcPr>
          <w:p w14:paraId="6D913E08"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776</w:t>
            </w:r>
          </w:p>
        </w:tc>
        <w:tc>
          <w:tcPr>
            <w:tcW w:w="939" w:type="dxa"/>
          </w:tcPr>
          <w:p w14:paraId="78059FDB"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85</w:t>
            </w:r>
          </w:p>
        </w:tc>
        <w:tc>
          <w:tcPr>
            <w:tcW w:w="939" w:type="dxa"/>
          </w:tcPr>
          <w:p w14:paraId="0AD28494"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1805</w:t>
            </w:r>
          </w:p>
        </w:tc>
        <w:tc>
          <w:tcPr>
            <w:tcW w:w="939" w:type="dxa"/>
          </w:tcPr>
          <w:p w14:paraId="4934EA85"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938</w:t>
            </w:r>
          </w:p>
        </w:tc>
        <w:tc>
          <w:tcPr>
            <w:tcW w:w="939" w:type="dxa"/>
          </w:tcPr>
          <w:p w14:paraId="0E15D878"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52</w:t>
            </w:r>
          </w:p>
        </w:tc>
      </w:tr>
      <w:tr w:rsidR="00E3599D" w:rsidRPr="00E14102" w14:paraId="6ED52D6D" w14:textId="77777777" w:rsidTr="005D7732">
        <w:tc>
          <w:tcPr>
            <w:tcW w:w="939" w:type="dxa"/>
          </w:tcPr>
          <w:p w14:paraId="5D90CF65"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 бомбардировщики</w:t>
            </w:r>
          </w:p>
        </w:tc>
        <w:tc>
          <w:tcPr>
            <w:tcW w:w="939" w:type="dxa"/>
          </w:tcPr>
          <w:p w14:paraId="1771451D"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395</w:t>
            </w:r>
          </w:p>
        </w:tc>
        <w:tc>
          <w:tcPr>
            <w:tcW w:w="939" w:type="dxa"/>
          </w:tcPr>
          <w:p w14:paraId="6F7520D4"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392</w:t>
            </w:r>
          </w:p>
        </w:tc>
        <w:tc>
          <w:tcPr>
            <w:tcW w:w="939" w:type="dxa"/>
          </w:tcPr>
          <w:p w14:paraId="7B79672A"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99</w:t>
            </w:r>
          </w:p>
        </w:tc>
        <w:tc>
          <w:tcPr>
            <w:tcW w:w="939" w:type="dxa"/>
          </w:tcPr>
          <w:p w14:paraId="7B77A3BA"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231</w:t>
            </w:r>
          </w:p>
        </w:tc>
        <w:tc>
          <w:tcPr>
            <w:tcW w:w="939" w:type="dxa"/>
          </w:tcPr>
          <w:p w14:paraId="37D0FEF2"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59</w:t>
            </w:r>
          </w:p>
        </w:tc>
        <w:tc>
          <w:tcPr>
            <w:tcW w:w="939" w:type="dxa"/>
          </w:tcPr>
          <w:p w14:paraId="67D164CD"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26</w:t>
            </w:r>
          </w:p>
        </w:tc>
        <w:tc>
          <w:tcPr>
            <w:tcW w:w="939" w:type="dxa"/>
          </w:tcPr>
          <w:p w14:paraId="6714F2F9"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960</w:t>
            </w:r>
          </w:p>
        </w:tc>
        <w:tc>
          <w:tcPr>
            <w:tcW w:w="939" w:type="dxa"/>
          </w:tcPr>
          <w:p w14:paraId="29BA26E1"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341</w:t>
            </w:r>
          </w:p>
        </w:tc>
        <w:tc>
          <w:tcPr>
            <w:tcW w:w="939" w:type="dxa"/>
          </w:tcPr>
          <w:p w14:paraId="65725935"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36</w:t>
            </w:r>
          </w:p>
        </w:tc>
      </w:tr>
      <w:tr w:rsidR="00E3599D" w:rsidRPr="00E14102" w14:paraId="7A3428AF" w14:textId="77777777" w:rsidTr="005D7732">
        <w:tc>
          <w:tcPr>
            <w:tcW w:w="939" w:type="dxa"/>
          </w:tcPr>
          <w:p w14:paraId="033CB360"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бомбы</w:t>
            </w:r>
          </w:p>
        </w:tc>
        <w:tc>
          <w:tcPr>
            <w:tcW w:w="939" w:type="dxa"/>
          </w:tcPr>
          <w:p w14:paraId="4ABA1841"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377000</w:t>
            </w:r>
          </w:p>
        </w:tc>
        <w:tc>
          <w:tcPr>
            <w:tcW w:w="939" w:type="dxa"/>
          </w:tcPr>
          <w:p w14:paraId="60416029"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369000</w:t>
            </w:r>
          </w:p>
        </w:tc>
        <w:tc>
          <w:tcPr>
            <w:tcW w:w="939" w:type="dxa"/>
          </w:tcPr>
          <w:p w14:paraId="471300FA"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98</w:t>
            </w:r>
          </w:p>
        </w:tc>
        <w:tc>
          <w:tcPr>
            <w:tcW w:w="939" w:type="dxa"/>
          </w:tcPr>
          <w:p w14:paraId="3F1948DE"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369</w:t>
            </w:r>
          </w:p>
        </w:tc>
        <w:tc>
          <w:tcPr>
            <w:tcW w:w="939" w:type="dxa"/>
          </w:tcPr>
          <w:p w14:paraId="480D4284"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154</w:t>
            </w:r>
          </w:p>
        </w:tc>
        <w:tc>
          <w:tcPr>
            <w:tcW w:w="939" w:type="dxa"/>
          </w:tcPr>
          <w:p w14:paraId="3FBDA1F0"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42</w:t>
            </w:r>
          </w:p>
        </w:tc>
        <w:tc>
          <w:tcPr>
            <w:tcW w:w="939" w:type="dxa"/>
          </w:tcPr>
          <w:p w14:paraId="68FA41D0"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1170000</w:t>
            </w:r>
          </w:p>
        </w:tc>
        <w:tc>
          <w:tcPr>
            <w:tcW w:w="939" w:type="dxa"/>
          </w:tcPr>
          <w:p w14:paraId="63BBA94B" w14:textId="77777777" w:rsidR="001311E0" w:rsidRPr="00E14102" w:rsidRDefault="001311E0" w:rsidP="00E14102">
            <w:pPr>
              <w:autoSpaceDE w:val="0"/>
              <w:autoSpaceDN w:val="0"/>
              <w:adjustRightInd w:val="0"/>
              <w:jc w:val="both"/>
              <w:rPr>
                <w:color w:val="000000" w:themeColor="text1"/>
                <w:sz w:val="16"/>
                <w:szCs w:val="16"/>
              </w:rPr>
            </w:pPr>
          </w:p>
        </w:tc>
        <w:tc>
          <w:tcPr>
            <w:tcW w:w="939" w:type="dxa"/>
          </w:tcPr>
          <w:p w14:paraId="315A8F31" w14:textId="77777777" w:rsidR="001311E0" w:rsidRPr="00E14102" w:rsidRDefault="001311E0" w:rsidP="00E14102">
            <w:pPr>
              <w:autoSpaceDE w:val="0"/>
              <w:autoSpaceDN w:val="0"/>
              <w:adjustRightInd w:val="0"/>
              <w:jc w:val="both"/>
              <w:rPr>
                <w:color w:val="000000" w:themeColor="text1"/>
                <w:sz w:val="16"/>
                <w:szCs w:val="16"/>
              </w:rPr>
            </w:pPr>
          </w:p>
        </w:tc>
      </w:tr>
      <w:tr w:rsidR="00E3599D" w:rsidRPr="00E14102" w14:paraId="2E36B243" w14:textId="77777777" w:rsidTr="005D7732">
        <w:tc>
          <w:tcPr>
            <w:tcW w:w="939" w:type="dxa"/>
            <w:tcBorders>
              <w:bottom w:val="single" w:sz="12" w:space="0" w:color="auto"/>
            </w:tcBorders>
          </w:tcPr>
          <w:p w14:paraId="3E09B244"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танки</w:t>
            </w:r>
          </w:p>
        </w:tc>
        <w:tc>
          <w:tcPr>
            <w:tcW w:w="939" w:type="dxa"/>
            <w:tcBorders>
              <w:bottom w:val="single" w:sz="12" w:space="0" w:color="auto"/>
            </w:tcBorders>
          </w:tcPr>
          <w:p w14:paraId="1508BBBD"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4110</w:t>
            </w:r>
          </w:p>
        </w:tc>
        <w:tc>
          <w:tcPr>
            <w:tcW w:w="939" w:type="dxa"/>
            <w:tcBorders>
              <w:bottom w:val="single" w:sz="12" w:space="0" w:color="auto"/>
            </w:tcBorders>
          </w:tcPr>
          <w:p w14:paraId="0B16FDC2"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3565</w:t>
            </w:r>
          </w:p>
        </w:tc>
        <w:tc>
          <w:tcPr>
            <w:tcW w:w="939" w:type="dxa"/>
            <w:tcBorders>
              <w:bottom w:val="single" w:sz="12" w:space="0" w:color="auto"/>
            </w:tcBorders>
          </w:tcPr>
          <w:p w14:paraId="0C11A285"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87</w:t>
            </w:r>
          </w:p>
        </w:tc>
        <w:tc>
          <w:tcPr>
            <w:tcW w:w="939" w:type="dxa"/>
            <w:tcBorders>
              <w:bottom w:val="single" w:sz="12" w:space="0" w:color="auto"/>
            </w:tcBorders>
          </w:tcPr>
          <w:p w14:paraId="1B946DC8"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3295</w:t>
            </w:r>
          </w:p>
        </w:tc>
        <w:tc>
          <w:tcPr>
            <w:tcW w:w="939" w:type="dxa"/>
            <w:tcBorders>
              <w:bottom w:val="single" w:sz="12" w:space="0" w:color="auto"/>
            </w:tcBorders>
          </w:tcPr>
          <w:p w14:paraId="2844649B"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3055</w:t>
            </w:r>
          </w:p>
        </w:tc>
        <w:tc>
          <w:tcPr>
            <w:tcW w:w="939" w:type="dxa"/>
            <w:tcBorders>
              <w:bottom w:val="single" w:sz="12" w:space="0" w:color="auto"/>
            </w:tcBorders>
          </w:tcPr>
          <w:p w14:paraId="62D444B4"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93</w:t>
            </w:r>
          </w:p>
        </w:tc>
        <w:tc>
          <w:tcPr>
            <w:tcW w:w="939" w:type="dxa"/>
            <w:tcBorders>
              <w:bottom w:val="single" w:sz="12" w:space="0" w:color="auto"/>
            </w:tcBorders>
          </w:tcPr>
          <w:p w14:paraId="045CA8A7"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4052</w:t>
            </w:r>
          </w:p>
        </w:tc>
        <w:tc>
          <w:tcPr>
            <w:tcW w:w="939" w:type="dxa"/>
            <w:tcBorders>
              <w:bottom w:val="single" w:sz="12" w:space="0" w:color="auto"/>
            </w:tcBorders>
          </w:tcPr>
          <w:p w14:paraId="71BEBA6C"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4804</w:t>
            </w:r>
          </w:p>
        </w:tc>
        <w:tc>
          <w:tcPr>
            <w:tcW w:w="939" w:type="dxa"/>
            <w:tcBorders>
              <w:bottom w:val="single" w:sz="12" w:space="0" w:color="auto"/>
            </w:tcBorders>
          </w:tcPr>
          <w:p w14:paraId="3D02C46F"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119 (1566,91)</w:t>
            </w:r>
          </w:p>
        </w:tc>
      </w:tr>
    </w:tbl>
    <w:p w14:paraId="03618950" w14:textId="77777777" w:rsidR="001311E0" w:rsidRPr="00E14102" w:rsidRDefault="001311E0" w:rsidP="00E14102">
      <w:pPr>
        <w:autoSpaceDE w:val="0"/>
        <w:autoSpaceDN w:val="0"/>
        <w:adjustRightInd w:val="0"/>
        <w:jc w:val="both"/>
        <w:rPr>
          <w:color w:val="000000" w:themeColor="text1"/>
          <w:sz w:val="16"/>
          <w:szCs w:val="16"/>
        </w:rPr>
      </w:pPr>
    </w:p>
    <w:p w14:paraId="4FDD74CA" w14:textId="77777777" w:rsidR="001311E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DD64218" w14:textId="77777777" w:rsidR="001311E0" w:rsidRPr="00E14102" w:rsidRDefault="001311E0" w:rsidP="00E14102">
      <w:pPr>
        <w:autoSpaceDE w:val="0"/>
        <w:autoSpaceDN w:val="0"/>
        <w:adjustRightInd w:val="0"/>
        <w:jc w:val="both"/>
        <w:rPr>
          <w:iCs/>
          <w:color w:val="000000" w:themeColor="text1"/>
          <w:sz w:val="16"/>
          <w:szCs w:val="16"/>
        </w:rPr>
      </w:pPr>
    </w:p>
    <w:p w14:paraId="1FB29552" w14:textId="77777777" w:rsidR="001311E0" w:rsidRPr="00E14102" w:rsidRDefault="001311E0" w:rsidP="00E14102">
      <w:pPr>
        <w:pStyle w:val="rtejustify"/>
        <w:spacing w:before="0" w:after="0"/>
        <w:rPr>
          <w:color w:val="000000" w:themeColor="text1"/>
          <w:sz w:val="16"/>
          <w:szCs w:val="16"/>
        </w:rPr>
      </w:pPr>
      <w:r w:rsidRPr="00E14102">
        <w:rPr>
          <w:color w:val="000000" w:themeColor="text1"/>
          <w:sz w:val="16"/>
          <w:szCs w:val="16"/>
        </w:rPr>
        <w:t>К началу 1935 г. Кировский завод подвел итог двухлетней напряженной борьбы за освоение производства среднего танка Т</w:t>
      </w:r>
      <w:r w:rsidRPr="00E14102">
        <w:rPr>
          <w:color w:val="000000" w:themeColor="text1"/>
          <w:sz w:val="16"/>
          <w:szCs w:val="16"/>
        </w:rPr>
        <w:noBreakHyphen/>
        <w:t>28. Завод полностью выполнил план 1934 г., выпустив 51 машину при программном задании в 50 машин. Освоение машины осложнялось необходимостью улучшать конструкцию машины в процессе производства. Для обеспечения взаимозаменяемости всех основных деталей машины и сокращения цикла производства заводом проделана огромная работа по технологической проработке всей машины, сконструировано и добавлено свыше 1 тыс. приспособлений, 4500 наименований инструмента и т. д. Одновременно значительно сокращена кооперация с другими заводами за счет освоения у себя изготовления наиболее сложных узлов (коробка скоростей, первичная и вторичная передача, главный фрикцион и др.). Собранные машины, выпущенные в откатку, свободны от дефектов, имевшихся ранее. Аварии стали редким исключением.</w:t>
      </w:r>
    </w:p>
    <w:p w14:paraId="21173558" w14:textId="77777777" w:rsidR="001311E0" w:rsidRPr="00E14102" w:rsidRDefault="001311E0" w:rsidP="00E14102">
      <w:pPr>
        <w:pStyle w:val="rtejustify"/>
        <w:spacing w:before="0" w:after="0"/>
        <w:rPr>
          <w:color w:val="000000" w:themeColor="text1"/>
          <w:sz w:val="16"/>
          <w:szCs w:val="16"/>
        </w:rPr>
      </w:pPr>
      <w:r w:rsidRPr="00E14102">
        <w:rPr>
          <w:color w:val="000000" w:themeColor="text1"/>
          <w:sz w:val="16"/>
          <w:szCs w:val="16"/>
        </w:rPr>
        <w:t>Испытания машин на маневрах осенью 1934 г. показали блестящие тактические свойства таковых. В отношении проходимости они значительно превысили первоначальные данные; так, например, вместо рва шириной в 3 м она прыжком перекрывала ров в 6,6 м. На маневрах было установлено, что противотанковые средства, активные в отношении легких танков, и даже усиленные по сравнению с ними, не могут служить препятствием для танка Т</w:t>
      </w:r>
      <w:r w:rsidRPr="00E14102">
        <w:rPr>
          <w:color w:val="000000" w:themeColor="text1"/>
          <w:sz w:val="16"/>
          <w:szCs w:val="16"/>
        </w:rPr>
        <w:noBreakHyphen/>
        <w:t>28.</w:t>
      </w:r>
    </w:p>
    <w:p w14:paraId="1266408C" w14:textId="77777777" w:rsidR="001311E0" w:rsidRPr="00E14102" w:rsidRDefault="001311E0" w:rsidP="00E14102">
      <w:pPr>
        <w:pStyle w:val="rtejustify"/>
        <w:spacing w:before="0" w:after="0"/>
        <w:rPr>
          <w:color w:val="000000" w:themeColor="text1"/>
          <w:sz w:val="16"/>
          <w:szCs w:val="16"/>
        </w:rPr>
      </w:pPr>
      <w:r w:rsidRPr="00E14102">
        <w:rPr>
          <w:color w:val="000000" w:themeColor="text1"/>
          <w:sz w:val="16"/>
          <w:szCs w:val="16"/>
        </w:rPr>
        <w:t>В результате наших мероприятий на заводе создана база для серийного производства танка Т</w:t>
      </w:r>
      <w:r w:rsidRPr="00E14102">
        <w:rPr>
          <w:color w:val="000000" w:themeColor="text1"/>
          <w:sz w:val="16"/>
          <w:szCs w:val="16"/>
        </w:rPr>
        <w:noBreakHyphen/>
        <w:t>28 в пределах, требуемых мобилизационным планом завода. Всех этих успехов мы добились осуществлением на практике указаний т. Сталина по освоению техники и выращиванию людей. Кировский завод гордится тем, что ему удалось сделать столь ценный вклад в дело обороноспособности нашей могучей Красной армии (15327).</w:t>
      </w:r>
    </w:p>
    <w:p w14:paraId="77C6EA96" w14:textId="77777777" w:rsidR="001311E0" w:rsidRPr="00E14102" w:rsidRDefault="001311E0" w:rsidP="00E14102">
      <w:pPr>
        <w:pStyle w:val="ad"/>
        <w:spacing w:before="0" w:after="0"/>
        <w:rPr>
          <w:rStyle w:val="a6"/>
          <w:rFonts w:ascii="Times New Roman" w:hAnsi="Times New Roman" w:cs="Times New Roman"/>
          <w:i w:val="0"/>
          <w:color w:val="000000" w:themeColor="text1"/>
          <w:sz w:val="16"/>
          <w:szCs w:val="16"/>
          <w:lang w:val="ru-RU"/>
        </w:rPr>
      </w:pPr>
    </w:p>
    <w:p w14:paraId="25227162" w14:textId="77777777" w:rsidR="001311E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35647DDD" w14:textId="77777777" w:rsidR="001311E0" w:rsidRPr="00E14102" w:rsidRDefault="001311E0" w:rsidP="00E14102">
      <w:pPr>
        <w:autoSpaceDE w:val="0"/>
        <w:autoSpaceDN w:val="0"/>
        <w:adjustRightInd w:val="0"/>
        <w:jc w:val="both"/>
        <w:rPr>
          <w:color w:val="000000" w:themeColor="text1"/>
          <w:sz w:val="16"/>
          <w:szCs w:val="16"/>
        </w:rPr>
      </w:pPr>
    </w:p>
    <w:p w14:paraId="6B3D6924" w14:textId="77777777" w:rsidR="001311E0" w:rsidRPr="00E14102" w:rsidRDefault="001311E0"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началу 1935 г. Красная Армия как с точки зрения органи</w:t>
      </w:r>
      <w:r w:rsidRPr="00E14102">
        <w:rPr>
          <w:color w:val="000000" w:themeColor="text1"/>
          <w:sz w:val="16"/>
          <w:szCs w:val="16"/>
        </w:rPr>
        <w:softHyphen/>
        <w:t>зационной, так и количественно бесспорно была сильнейшей в мире. В ней насчитывалось около 1,5 млн солдат и офицеров, до 5 тыс. танков и свыше 6 тыс. самолетов. В пе</w:t>
      </w:r>
      <w:r w:rsidRPr="00E14102">
        <w:rPr>
          <w:color w:val="000000" w:themeColor="text1"/>
          <w:sz w:val="16"/>
          <w:szCs w:val="16"/>
        </w:rPr>
        <w:softHyphen/>
        <w:t>риод 1932—1934 гг. было создано четыре мотомеханизирован</w:t>
      </w:r>
      <w:r w:rsidRPr="00E14102">
        <w:rPr>
          <w:color w:val="000000" w:themeColor="text1"/>
          <w:sz w:val="16"/>
          <w:szCs w:val="16"/>
        </w:rPr>
        <w:softHyphen/>
        <w:t>ных корпуса, переименованных впоследствии в танковые. По штату в корпусе числилось 490 танков. К этому времени ни в одной другой армии мира не было подобных танковых форми</w:t>
      </w:r>
      <w:r w:rsidRPr="00E14102">
        <w:rPr>
          <w:color w:val="000000" w:themeColor="text1"/>
          <w:sz w:val="16"/>
          <w:szCs w:val="16"/>
        </w:rPr>
        <w:softHyphen/>
        <w:t>рований в руках командующего фронтом (11474,35).</w:t>
      </w:r>
    </w:p>
    <w:p w14:paraId="2DF76C76" w14:textId="77777777" w:rsidR="001311E0" w:rsidRPr="00E14102" w:rsidRDefault="001311E0" w:rsidP="00E14102">
      <w:pPr>
        <w:shd w:val="clear" w:color="auto" w:fill="FFFFFF"/>
        <w:autoSpaceDE w:val="0"/>
        <w:autoSpaceDN w:val="0"/>
        <w:adjustRightInd w:val="0"/>
        <w:jc w:val="both"/>
        <w:rPr>
          <w:color w:val="000000" w:themeColor="text1"/>
          <w:sz w:val="16"/>
          <w:szCs w:val="16"/>
        </w:rPr>
      </w:pPr>
    </w:p>
    <w:p w14:paraId="0808B161" w14:textId="77777777" w:rsidR="001311E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508986CB" w14:textId="77777777" w:rsidR="001311E0" w:rsidRPr="00E14102" w:rsidRDefault="001311E0" w:rsidP="00E14102">
      <w:pPr>
        <w:autoSpaceDE w:val="0"/>
        <w:autoSpaceDN w:val="0"/>
        <w:adjustRightInd w:val="0"/>
        <w:jc w:val="both"/>
        <w:rPr>
          <w:color w:val="000000" w:themeColor="text1"/>
          <w:sz w:val="16"/>
          <w:szCs w:val="16"/>
        </w:rPr>
      </w:pPr>
    </w:p>
    <w:p w14:paraId="4704E832"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К январю 1935 г. ТБ-1 на колесах эксплуатировались только в трех сухопутных эскадрильях: 1-й и 2-й в Кречевицах (бывших 55-й и 57-й) и 109-й (ранее 70-й)</w:t>
      </w:r>
    </w:p>
    <w:p w14:paraId="224CA6D3"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в Воздвиженке на Дальнем Востоке. Последние ТБ-1 использовали как бомбардировщики до 1936 г. В Средней Азии одна эскадрилья 13-го лбап, базировавшаяся в Ташкенте, летала на них до июня 1939 г., после чего перешла на СБ.</w:t>
      </w:r>
    </w:p>
    <w:p w14:paraId="71A8AC44"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С 1935 г. ТБ-1 начали передавать ГВФ или списывать. Оставшиеся служили как учебные или транспортные без вооружения. По одному-два самолета выдавали многим эскадрильям (позднее полкам). Так, в июне 1938 г. в Забайкалье они имелись в 22-м иап (2 машины), 15-м шап (1) и 32-м сбап (3). Использовали их и в школах, готовивших летчиков, штурманов и стрелков для бомбардировочной авиации. На 1 апреля 1939 г. там числились 26 ТБ-1. Но не все эти машины могли летать. Например, из четырех самолетов, находившихся в 4-й школе авиатехников в Иркутске, ни один не мог подняться в воздух.</w:t>
      </w:r>
    </w:p>
    <w:p w14:paraId="6EE58EB5" w14:textId="77777777" w:rsidR="001311E0" w:rsidRPr="00E14102" w:rsidRDefault="001311E0" w:rsidP="00E14102">
      <w:pPr>
        <w:autoSpaceDE w:val="0"/>
        <w:autoSpaceDN w:val="0"/>
        <w:adjustRightInd w:val="0"/>
        <w:jc w:val="both"/>
        <w:rPr>
          <w:color w:val="000000" w:themeColor="text1"/>
          <w:sz w:val="16"/>
          <w:szCs w:val="16"/>
        </w:rPr>
      </w:pPr>
      <w:r w:rsidRPr="00E14102">
        <w:rPr>
          <w:color w:val="000000" w:themeColor="text1"/>
          <w:sz w:val="16"/>
          <w:szCs w:val="16"/>
        </w:rPr>
        <w:t>На 25 сентября 1940 г. в ВВС осталось всего 28 ТБ-1 (12001).</w:t>
      </w:r>
    </w:p>
    <w:p w14:paraId="77A0A611" w14:textId="77777777" w:rsidR="001311E0" w:rsidRPr="00E14102" w:rsidRDefault="001311E0" w:rsidP="00E14102">
      <w:pPr>
        <w:autoSpaceDE w:val="0"/>
        <w:autoSpaceDN w:val="0"/>
        <w:adjustRightInd w:val="0"/>
        <w:jc w:val="both"/>
        <w:rPr>
          <w:color w:val="000000" w:themeColor="text1"/>
          <w:sz w:val="16"/>
          <w:szCs w:val="16"/>
        </w:rPr>
      </w:pPr>
    </w:p>
    <w:p w14:paraId="690FE52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1D77A5D" w14:textId="77777777" w:rsidR="00D4105E" w:rsidRPr="00E14102" w:rsidRDefault="00D4105E" w:rsidP="00E14102">
      <w:pPr>
        <w:autoSpaceDE w:val="0"/>
        <w:autoSpaceDN w:val="0"/>
        <w:adjustRightInd w:val="0"/>
        <w:jc w:val="both"/>
        <w:rPr>
          <w:iCs/>
          <w:color w:val="000000" w:themeColor="text1"/>
          <w:sz w:val="16"/>
          <w:szCs w:val="16"/>
        </w:rPr>
      </w:pPr>
    </w:p>
    <w:p w14:paraId="627E10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1935 Нач. бригады N 3 завода 39 С.В.И. писал записку N 69 з-39 "Пассажирский вариант самолета ББ-2":</w:t>
      </w:r>
    </w:p>
    <w:p w14:paraId="193ECE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"Компоновка и конструкция военного самолета ББ-2 задумана так, чтобы без переделок самолет мог быть переоборудован (а не перестроен) из военного варианта в пассажирский.</w:t>
      </w:r>
    </w:p>
    <w:p w14:paraId="198814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Вся конструкция самолета при переходе из военного варианта в гражданский и наоборот, из гражданского в военный, остается неизменной, таким образом производственный процесс остается для обоих вариантов идентичным.</w:t>
      </w:r>
    </w:p>
    <w:p w14:paraId="147CD6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Конструкция предусматривает постановку 2-х типов моторов Гном Рон К-14 и РЦ F-3.</w:t>
      </w:r>
    </w:p>
    <w:p w14:paraId="144584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данные самолета с указанными моторами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E3599D" w:rsidRPr="00E14102" w14:paraId="31C3CCFC" w14:textId="77777777">
        <w:tc>
          <w:tcPr>
            <w:tcW w:w="3757" w:type="dxa"/>
            <w:tcBorders>
              <w:top w:val="single" w:sz="12" w:space="0" w:color="auto"/>
            </w:tcBorders>
          </w:tcPr>
          <w:p w14:paraId="4A070B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Данные</w:t>
            </w:r>
          </w:p>
        </w:tc>
        <w:tc>
          <w:tcPr>
            <w:tcW w:w="3757" w:type="dxa"/>
            <w:tcBorders>
              <w:top w:val="single" w:sz="12" w:space="0" w:color="auto"/>
            </w:tcBorders>
          </w:tcPr>
          <w:p w14:paraId="0B4EE3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 К-14</w:t>
            </w:r>
          </w:p>
        </w:tc>
        <w:tc>
          <w:tcPr>
            <w:tcW w:w="3757" w:type="dxa"/>
            <w:tcBorders>
              <w:top w:val="single" w:sz="12" w:space="0" w:color="auto"/>
            </w:tcBorders>
          </w:tcPr>
          <w:p w14:paraId="6C7078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РЦ Ф-3</w:t>
            </w:r>
          </w:p>
        </w:tc>
      </w:tr>
      <w:tr w:rsidR="00E3599D" w:rsidRPr="00E14102" w14:paraId="5590664B" w14:textId="77777777">
        <w:tc>
          <w:tcPr>
            <w:tcW w:w="3757" w:type="dxa"/>
          </w:tcPr>
          <w:p w14:paraId="3F9B9D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Экипаж</w:t>
            </w:r>
          </w:p>
        </w:tc>
        <w:tc>
          <w:tcPr>
            <w:tcW w:w="3757" w:type="dxa"/>
          </w:tcPr>
          <w:p w14:paraId="4FEB0D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3757" w:type="dxa"/>
          </w:tcPr>
          <w:p w14:paraId="0768AB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r>
      <w:tr w:rsidR="00E3599D" w:rsidRPr="00E14102" w14:paraId="6D65F470" w14:textId="77777777">
        <w:tc>
          <w:tcPr>
            <w:tcW w:w="3757" w:type="dxa"/>
          </w:tcPr>
          <w:p w14:paraId="1FB12A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Пассажиров</w:t>
            </w:r>
          </w:p>
        </w:tc>
        <w:tc>
          <w:tcPr>
            <w:tcW w:w="3757" w:type="dxa"/>
          </w:tcPr>
          <w:p w14:paraId="6AC304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w:t>
            </w:r>
          </w:p>
        </w:tc>
        <w:tc>
          <w:tcPr>
            <w:tcW w:w="3757" w:type="dxa"/>
          </w:tcPr>
          <w:p w14:paraId="569D58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w:t>
            </w:r>
          </w:p>
        </w:tc>
      </w:tr>
      <w:tr w:rsidR="00E3599D" w:rsidRPr="00E14102" w14:paraId="65DAA220" w14:textId="77777777">
        <w:tc>
          <w:tcPr>
            <w:tcW w:w="3757" w:type="dxa"/>
          </w:tcPr>
          <w:p w14:paraId="7B5F5F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w:t>
            </w:r>
          </w:p>
        </w:tc>
        <w:tc>
          <w:tcPr>
            <w:tcW w:w="3757" w:type="dxa"/>
          </w:tcPr>
          <w:p w14:paraId="14E74F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385-410/4000</w:t>
            </w:r>
          </w:p>
        </w:tc>
        <w:tc>
          <w:tcPr>
            <w:tcW w:w="3757" w:type="dxa"/>
          </w:tcPr>
          <w:p w14:paraId="08DB731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A1298B5" w14:textId="77777777">
        <w:tc>
          <w:tcPr>
            <w:tcW w:w="3757" w:type="dxa"/>
          </w:tcPr>
          <w:p w14:paraId="0F8A99FE" w14:textId="77777777" w:rsidR="00D4105E" w:rsidRPr="00E14102" w:rsidRDefault="00D4105E" w:rsidP="00E14102">
            <w:pPr>
              <w:autoSpaceDE w:val="0"/>
              <w:autoSpaceDN w:val="0"/>
              <w:adjustRightInd w:val="0"/>
              <w:jc w:val="both"/>
              <w:rPr>
                <w:color w:val="000000" w:themeColor="text1"/>
                <w:sz w:val="16"/>
                <w:szCs w:val="16"/>
              </w:rPr>
            </w:pPr>
          </w:p>
        </w:tc>
        <w:tc>
          <w:tcPr>
            <w:tcW w:w="3757" w:type="dxa"/>
          </w:tcPr>
          <w:p w14:paraId="53425C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350-375/3000</w:t>
            </w:r>
          </w:p>
        </w:tc>
        <w:tc>
          <w:tcPr>
            <w:tcW w:w="3757" w:type="dxa"/>
          </w:tcPr>
          <w:p w14:paraId="33D4E99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3CF7A05" w14:textId="77777777">
        <w:tc>
          <w:tcPr>
            <w:tcW w:w="3757" w:type="dxa"/>
          </w:tcPr>
          <w:p w14:paraId="067910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w:t>
            </w:r>
          </w:p>
        </w:tc>
        <w:tc>
          <w:tcPr>
            <w:tcW w:w="3757" w:type="dxa"/>
          </w:tcPr>
          <w:p w14:paraId="6D79DF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w:t>
            </w:r>
          </w:p>
        </w:tc>
        <w:tc>
          <w:tcPr>
            <w:tcW w:w="3757" w:type="dxa"/>
          </w:tcPr>
          <w:p w14:paraId="776EE1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6500</w:t>
            </w:r>
          </w:p>
        </w:tc>
      </w:tr>
      <w:tr w:rsidR="00E3599D" w:rsidRPr="00E14102" w14:paraId="4B550832" w14:textId="77777777">
        <w:tc>
          <w:tcPr>
            <w:tcW w:w="3757" w:type="dxa"/>
          </w:tcPr>
          <w:p w14:paraId="7988FA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 скорость</w:t>
            </w:r>
          </w:p>
        </w:tc>
        <w:tc>
          <w:tcPr>
            <w:tcW w:w="3757" w:type="dxa"/>
          </w:tcPr>
          <w:p w14:paraId="170443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91-96</w:t>
            </w:r>
          </w:p>
        </w:tc>
        <w:tc>
          <w:tcPr>
            <w:tcW w:w="3757" w:type="dxa"/>
          </w:tcPr>
          <w:p w14:paraId="19AE35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91-96</w:t>
            </w:r>
          </w:p>
        </w:tc>
      </w:tr>
      <w:tr w:rsidR="00E3599D" w:rsidRPr="00E14102" w14:paraId="369E75DF" w14:textId="77777777">
        <w:tc>
          <w:tcPr>
            <w:tcW w:w="3757" w:type="dxa"/>
          </w:tcPr>
          <w:p w14:paraId="182846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Норм. дальность</w:t>
            </w:r>
          </w:p>
        </w:tc>
        <w:tc>
          <w:tcPr>
            <w:tcW w:w="3757" w:type="dxa"/>
          </w:tcPr>
          <w:p w14:paraId="5C2EEC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w:t>
            </w:r>
          </w:p>
        </w:tc>
        <w:tc>
          <w:tcPr>
            <w:tcW w:w="3757" w:type="dxa"/>
          </w:tcPr>
          <w:p w14:paraId="0F2FC4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w:t>
            </w:r>
          </w:p>
        </w:tc>
      </w:tr>
      <w:tr w:rsidR="00E3599D" w:rsidRPr="00E14102" w14:paraId="4E0087A4" w14:textId="77777777">
        <w:tc>
          <w:tcPr>
            <w:tcW w:w="3757" w:type="dxa"/>
            <w:tcBorders>
              <w:bottom w:val="single" w:sz="12" w:space="0" w:color="auto"/>
            </w:tcBorders>
          </w:tcPr>
          <w:p w14:paraId="781CAD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Перегр. дальность</w:t>
            </w:r>
          </w:p>
        </w:tc>
        <w:tc>
          <w:tcPr>
            <w:tcW w:w="3757" w:type="dxa"/>
            <w:tcBorders>
              <w:bottom w:val="single" w:sz="12" w:space="0" w:color="auto"/>
            </w:tcBorders>
          </w:tcPr>
          <w:p w14:paraId="7F4177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tc>
        <w:tc>
          <w:tcPr>
            <w:tcW w:w="3757" w:type="dxa"/>
            <w:tcBorders>
              <w:bottom w:val="single" w:sz="12" w:space="0" w:color="auto"/>
            </w:tcBorders>
          </w:tcPr>
          <w:p w14:paraId="0D92A6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tc>
      </w:tr>
    </w:tbl>
    <w:p w14:paraId="056086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сем прилагается краткое ТО (2337,197):</w:t>
      </w:r>
    </w:p>
    <w:p w14:paraId="631D79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Краткое ТО ББ-2 2ГР К-14</w:t>
      </w:r>
    </w:p>
    <w:p w14:paraId="7CD819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ББ-2 2К-14 представляет собой моноплан с низкорасположенным крылом цельнометаллической конструкции. Фюзеляж на первый летный экз. самолета делается цельнодеревянным, каркас которого состоит из стрингеров, лонжеронов и поперечных клееных фанерных шпангоутов. Обшивка из фанерного шпона. На втором летном экз. будет цельнометаллический фюзеляж целиком из супердиюралюминия с жесткой обшивкой. Оперение цельнометаллическое - дюралюминиевое.</w:t>
      </w:r>
    </w:p>
    <w:p w14:paraId="094404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Крыло</w:t>
      </w:r>
    </w:p>
    <w:p w14:paraId="116A5A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Крыло состоит из 5 частей. Средняя часть центроплан - жестко укреплен к фюзеляжу и составляет с ним одно целое. Размер центроплана таков, что он может вместе с фюзеляжем входить в габариты ж/д. Требование обязательной перевозки самолета по ж/д вызвало необходимость разрезать крыло еще в одном месте, т.к. иначе все моторное хозяйство и шасси находились бы вместе с консолью и таким образом создавали бы вытекающие отсюда неудобства, связанные со сборкой и разборкой самолета.</w:t>
      </w:r>
    </w:p>
    <w:p w14:paraId="3822CF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крыло состоит из центральной части, двух примыкающих к ней отсеков, на которых крепится шасси и моторная установка, и двух консолей. Крыло состоит из двух лонжеронов из закаленной хромомолибденовой стали ферменного типа. Каркас крыла состоит из набора равносиловых нервюр и продольных стрингеров. В местах стыка консолей и моторных отсеков к центроплану жесткая обшивка будет соединена, для того, чтобы она работала на всем размахе.</w:t>
      </w:r>
    </w:p>
    <w:p w14:paraId="2A6E82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Обшивка гладкая с потайной клепкой. Нервюры и обшивка из супердюраля.</w:t>
      </w:r>
    </w:p>
    <w:p w14:paraId="6C8167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продольной осью самолета и внутренним концом элерона расположены щитки для уменьшения посадочной скорости.</w:t>
      </w:r>
    </w:p>
    <w:p w14:paraId="3B7412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Профиль крыла - Кларк УН-15, толщина у корня 16%, а на конце - 10%. Элероны не щелевые. Разгрузка от шарнирных моментов достигается с помощью флетнеров.</w:t>
      </w:r>
    </w:p>
    <w:p w14:paraId="6EF57A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Фюзеляж</w:t>
      </w:r>
    </w:p>
    <w:p w14:paraId="5A7147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Фюзеляж состоит из пяти продольных лонжеронов, системы стрингеров и поперечного набора состоящего из клееных фанерных с деревом рам. Покрытие фюзеляжа шпон толщиною 4,5 и 6 слоев шпона/ Киль составляет одно целое с фюзеляжем.</w:t>
      </w:r>
    </w:p>
    <w:p w14:paraId="46E0FE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Шасси.</w:t>
      </w:r>
    </w:p>
    <w:p w14:paraId="408B9A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Шасси убирающееся назад по потоку. Уборка и выпуск шасси производится посредством гидравлической системы. Механизм уборки состоит из цилиндра и штока непосредственно действующего на рычаг, ось вращения которого совпадает с осью вращения шасси. На передний удар усилие воспринимается подкосом идущим от основной рамы шасси к ферменной корзинке крыла. На этих подкосах имеются ползуны, которой в верхнем убранном положении и в нижнем выпущенном положении имеют замки пушечного типа, которые посредством механической передачи могут быть открываемы и закрываемы. Предусмотрен аварийный выпуск шасси. В том случае, когда откажет работать основной механизм по выпуску шасси - гидравлический, тогда посредством механизма, состоящего из барабана с рукояткой вращения в кабине летчика и тросов проходящих через систему роликов осуществляется выпуск шасси. Система амортизации олеопневматическая. Колесо тормозное 900х200. Все предусмотрено для того, чтобы в случае возможных в дальнейшем больших перегрузок самолета можно было бы заменить переднюю раму шасси и подкосы для колеса размером 1100х250:</w:t>
      </w:r>
    </w:p>
    <w:p w14:paraId="46ABEF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Винтомоторная группа.</w:t>
      </w:r>
    </w:p>
    <w:p w14:paraId="4D0C95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 "Гном-Рон" К-14 помещены на крыльях. Ось тяги винта помещена на 75 мм ниже хорды крыла. Мотор окапотирован капотом NACA. Масляные баки помещены за мотором. Бензиновая система состоит из шести баков, размещенных 2 в центроплане и 1 в моторном отсеке. Масляный радиатор будет размещен радиально вокруг нижней части редуктора мотора. Заливка системы перед запуском будет осуществляться самотеком из бачка находящегося в фюзеляже в коке за головой летчика.</w:t>
      </w:r>
    </w:p>
    <w:p w14:paraId="76C171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Хвостовое оперение.</w:t>
      </w:r>
    </w:p>
    <w:p w14:paraId="761AA8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Хвостовое оперение состоит из неподвижного закрепленного стабилизатора, могущего регулироваться лишь на земле и двух рулей высоты, снабженных для разгрузки от шарнирных моментов флетнерами. Лонжероны стабилизатора передний и задний из дюралюминиевых труб, ферменные клепальной конструкции. Обшивка стабилизатора, гладкая жесткая. Руль высоты имеет полутрубчатого типа лонжероны жесткие, работающие на кручение. Обшивка руля высоты будет полотняная. Киль составляет одно целое с фюзеляжем. Руль поворотов разгружен от шарнирных моментов флетнером и имеет конструкцию аналогичную рулю высоты. Все кабанчики спрятаны внутри фюзеляжа.</w:t>
      </w:r>
    </w:p>
    <w:p w14:paraId="77B8B0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Костыль.</w:t>
      </w:r>
    </w:p>
    <w:p w14:paraId="0348AC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Костыль имеет олеопневматическую амортизацию, находится на последней жесткой рамке фюзеляжа, на которую одевается съемный выколотый каркас, открывая таким образом доступ для осмотра костыля и всех тяг, идущих от руля глубины и руля поворота, а также крепление к фюзеляжу заднего лонжерона стабилизатора.</w:t>
      </w:r>
    </w:p>
    <w:p w14:paraId="1611D9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 бригады 3 ЦКБ Завода 39 С.В.И. (2337,195).</w:t>
      </w:r>
    </w:p>
    <w:p w14:paraId="45E20E00" w14:textId="77777777" w:rsidR="00D4105E" w:rsidRPr="00E14102" w:rsidRDefault="00D4105E" w:rsidP="00E14102">
      <w:pPr>
        <w:autoSpaceDE w:val="0"/>
        <w:autoSpaceDN w:val="0"/>
        <w:adjustRightInd w:val="0"/>
        <w:jc w:val="both"/>
        <w:rPr>
          <w:color w:val="000000" w:themeColor="text1"/>
          <w:sz w:val="16"/>
          <w:szCs w:val="16"/>
        </w:rPr>
      </w:pPr>
    </w:p>
    <w:p w14:paraId="0C3FE9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 января 1935 года техническая готовность проекта АНТ-42 составляла 13% (7685).</w:t>
      </w:r>
    </w:p>
    <w:p w14:paraId="0AF24784" w14:textId="77777777" w:rsidR="00D4105E" w:rsidRPr="00E14102" w:rsidRDefault="00D4105E" w:rsidP="00E14102">
      <w:pPr>
        <w:autoSpaceDE w:val="0"/>
        <w:autoSpaceDN w:val="0"/>
        <w:adjustRightInd w:val="0"/>
        <w:jc w:val="both"/>
        <w:rPr>
          <w:color w:val="000000" w:themeColor="text1"/>
          <w:sz w:val="16"/>
          <w:szCs w:val="16"/>
        </w:rPr>
      </w:pPr>
    </w:p>
    <w:p w14:paraId="0BAE42C3" w14:textId="77777777" w:rsidR="0063005B" w:rsidRPr="00E14102" w:rsidRDefault="0063005B" w:rsidP="00E14102">
      <w:pPr>
        <w:jc w:val="both"/>
        <w:rPr>
          <w:color w:val="000000" w:themeColor="text1"/>
          <w:sz w:val="16"/>
          <w:szCs w:val="16"/>
        </w:rPr>
      </w:pPr>
      <w:r w:rsidRPr="00E14102">
        <w:rPr>
          <w:color w:val="000000" w:themeColor="text1"/>
          <w:sz w:val="16"/>
          <w:szCs w:val="16"/>
        </w:rPr>
        <w:t>На 1 января 1935 года техническая готовность проекта ТБ-7 составляла 13%. В начале января 1935 года была разработана схема углов обстрела стрелково-пушечного вооружения в соответствии с концепцией "летающая крепость" (12726).</w:t>
      </w:r>
    </w:p>
    <w:p w14:paraId="3743E1F8" w14:textId="77777777" w:rsidR="0063005B" w:rsidRPr="00E14102" w:rsidRDefault="0063005B" w:rsidP="00E14102">
      <w:pPr>
        <w:jc w:val="both"/>
        <w:rPr>
          <w:color w:val="000000" w:themeColor="text1"/>
          <w:sz w:val="16"/>
          <w:szCs w:val="16"/>
        </w:rPr>
      </w:pPr>
    </w:p>
    <w:p w14:paraId="4240CA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1935 началась постройка АНТ-37 (514).</w:t>
      </w:r>
    </w:p>
    <w:p w14:paraId="4AA931D0" w14:textId="77777777" w:rsidR="00D4105E" w:rsidRPr="00E14102" w:rsidRDefault="00D4105E" w:rsidP="00E14102">
      <w:pPr>
        <w:autoSpaceDE w:val="0"/>
        <w:autoSpaceDN w:val="0"/>
        <w:adjustRightInd w:val="0"/>
        <w:jc w:val="both"/>
        <w:rPr>
          <w:color w:val="000000" w:themeColor="text1"/>
          <w:sz w:val="16"/>
          <w:szCs w:val="16"/>
        </w:rPr>
      </w:pPr>
    </w:p>
    <w:p w14:paraId="57E8D7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1935 началась постройка АНТ-46 (ДИ-8) (514).</w:t>
      </w:r>
    </w:p>
    <w:p w14:paraId="1A9D226D" w14:textId="77777777" w:rsidR="00D4105E" w:rsidRPr="00E14102" w:rsidRDefault="00D4105E" w:rsidP="00E14102">
      <w:pPr>
        <w:autoSpaceDE w:val="0"/>
        <w:autoSpaceDN w:val="0"/>
        <w:adjustRightInd w:val="0"/>
        <w:jc w:val="both"/>
        <w:rPr>
          <w:color w:val="000000" w:themeColor="text1"/>
          <w:sz w:val="16"/>
          <w:szCs w:val="16"/>
        </w:rPr>
      </w:pPr>
    </w:p>
    <w:p w14:paraId="193E81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1935 начались гос. испытания И-16 (3495).</w:t>
      </w:r>
    </w:p>
    <w:p w14:paraId="0DF7CD33" w14:textId="77777777" w:rsidR="00D4105E" w:rsidRPr="00E14102" w:rsidRDefault="00D4105E" w:rsidP="00E14102">
      <w:pPr>
        <w:autoSpaceDE w:val="0"/>
        <w:autoSpaceDN w:val="0"/>
        <w:adjustRightInd w:val="0"/>
        <w:jc w:val="both"/>
        <w:rPr>
          <w:color w:val="000000" w:themeColor="text1"/>
          <w:sz w:val="16"/>
          <w:szCs w:val="16"/>
        </w:rPr>
      </w:pPr>
    </w:p>
    <w:p w14:paraId="7687E3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по 29 января 1935 были проведены полигонные испытания стрелковой установки конструкции ОКБ-2 ГВМУ на самолете И-16 с крыльевыми пулеметами системы ШКАС NN 2249, 2944 (3071).</w:t>
      </w:r>
    </w:p>
    <w:p w14:paraId="562FE517" w14:textId="77777777" w:rsidR="00D4105E" w:rsidRPr="00E14102" w:rsidRDefault="00D4105E" w:rsidP="00E14102">
      <w:pPr>
        <w:autoSpaceDE w:val="0"/>
        <w:autoSpaceDN w:val="0"/>
        <w:adjustRightInd w:val="0"/>
        <w:jc w:val="both"/>
        <w:rPr>
          <w:color w:val="000000" w:themeColor="text1"/>
          <w:sz w:val="16"/>
          <w:szCs w:val="16"/>
        </w:rPr>
      </w:pPr>
    </w:p>
    <w:p w14:paraId="06748E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1935 и ОКБ КАИ Г.Н.Воробьев писал Машкевичу письмо:</w:t>
      </w:r>
    </w:p>
    <w:p w14:paraId="40945A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сем препровождаю материалы по проекту планеролета для переброски спец-груза.</w:t>
      </w:r>
    </w:p>
    <w:p w14:paraId="16638D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Материал содержит: Общий вид планерлета - 1 л., Расчеты (аэродинамический и на прочность) - 23 л. текста и 28 л. графиков." (2337,145).</w:t>
      </w:r>
    </w:p>
    <w:p w14:paraId="043A0D07" w14:textId="77777777" w:rsidR="00D4105E" w:rsidRPr="00E14102" w:rsidRDefault="00D4105E" w:rsidP="00E14102">
      <w:pPr>
        <w:autoSpaceDE w:val="0"/>
        <w:autoSpaceDN w:val="0"/>
        <w:adjustRightInd w:val="0"/>
        <w:jc w:val="both"/>
        <w:rPr>
          <w:color w:val="000000" w:themeColor="text1"/>
          <w:sz w:val="16"/>
          <w:szCs w:val="16"/>
        </w:rPr>
      </w:pPr>
    </w:p>
    <w:p w14:paraId="42127E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1935 началась постройка АНТ-44 (514).</w:t>
      </w:r>
    </w:p>
    <w:p w14:paraId="5A99BC66" w14:textId="77777777" w:rsidR="00D4105E" w:rsidRPr="00E14102" w:rsidRDefault="00D4105E" w:rsidP="00E14102">
      <w:pPr>
        <w:autoSpaceDE w:val="0"/>
        <w:autoSpaceDN w:val="0"/>
        <w:adjustRightInd w:val="0"/>
        <w:jc w:val="both"/>
        <w:rPr>
          <w:color w:val="000000" w:themeColor="text1"/>
          <w:sz w:val="16"/>
          <w:szCs w:val="16"/>
        </w:rPr>
      </w:pPr>
    </w:p>
    <w:p w14:paraId="56DD86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1935 года зам. начальника управления морских сил РККА И. Лудри писал письмо N 1сс в СТО Базилевичу.</w:t>
      </w:r>
    </w:p>
    <w:p w14:paraId="0B74F0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СТО от 29 августа 1934 года (N 8) на ГУАП возложена разработка вопросов строительства морских планеров в целях применения для перевозки больших грузов (8 т). Казанским авиационным институтом проделана предварительная работа (подсчеты, эскизное проектирование, модель).</w:t>
      </w:r>
    </w:p>
    <w:p w14:paraId="203BBD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2EE40D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осени можно получить опытный планер (или два) только при том условии, если к работе приступить немедленно и вести ее особо форсированно (3476,2).</w:t>
      </w:r>
    </w:p>
    <w:p w14:paraId="7DE075C7" w14:textId="77777777" w:rsidR="00D4105E" w:rsidRPr="00E14102" w:rsidRDefault="00D4105E" w:rsidP="00E14102">
      <w:pPr>
        <w:autoSpaceDE w:val="0"/>
        <w:autoSpaceDN w:val="0"/>
        <w:adjustRightInd w:val="0"/>
        <w:jc w:val="both"/>
        <w:rPr>
          <w:color w:val="000000" w:themeColor="text1"/>
          <w:sz w:val="16"/>
          <w:szCs w:val="16"/>
        </w:rPr>
      </w:pPr>
    </w:p>
    <w:p w14:paraId="271355D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1 января 1935 года выполнения плана опытного моторо- и самолетостроения ВС было следующим.</w:t>
      </w:r>
    </w:p>
    <w:p w14:paraId="2BD01CF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Доклад о ходе выполнения плана опытного моторо-и самолетостроения ВС на 1 января 1935 года</w:t>
      </w:r>
    </w:p>
    <w:p w14:paraId="69F370F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I. Самолеты сухопутные</w:t>
      </w:r>
    </w:p>
    <w:p w14:paraId="3B409F2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Четвертый квартал 1934 года характеризуется резким замедлением, а для некоторых заводов полной остановкой работ по строительству опытных самолетов.</w:t>
      </w:r>
    </w:p>
    <w:p w14:paraId="392647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 ряда объектов плана, утвержденного СТО 14 июля 1934 года не выполнен, а именно: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10"/>
        <w:gridCol w:w="1276"/>
        <w:gridCol w:w="1843"/>
        <w:gridCol w:w="5529"/>
      </w:tblGrid>
      <w:tr w:rsidR="00E3599D" w:rsidRPr="00E14102" w14:paraId="412E1005" w14:textId="77777777">
        <w:tc>
          <w:tcPr>
            <w:tcW w:w="2410" w:type="dxa"/>
          </w:tcPr>
          <w:p w14:paraId="0C874E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объекта</w:t>
            </w:r>
          </w:p>
        </w:tc>
        <w:tc>
          <w:tcPr>
            <w:tcW w:w="1276" w:type="dxa"/>
          </w:tcPr>
          <w:p w14:paraId="3DD82A4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1843" w:type="dxa"/>
          </w:tcPr>
          <w:p w14:paraId="28D9A8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по плану</w:t>
            </w:r>
          </w:p>
        </w:tc>
        <w:tc>
          <w:tcPr>
            <w:tcW w:w="5529" w:type="dxa"/>
          </w:tcPr>
          <w:p w14:paraId="412B9CE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Состояние</w:t>
            </w:r>
          </w:p>
        </w:tc>
      </w:tr>
      <w:tr w:rsidR="00E3599D" w:rsidRPr="00E14102" w14:paraId="261CBFE8" w14:textId="77777777">
        <w:tc>
          <w:tcPr>
            <w:tcW w:w="2410" w:type="dxa"/>
          </w:tcPr>
          <w:p w14:paraId="1F29771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ДИ6 (двухместный истребитель)</w:t>
            </w:r>
          </w:p>
        </w:tc>
        <w:tc>
          <w:tcPr>
            <w:tcW w:w="1276" w:type="dxa"/>
          </w:tcPr>
          <w:p w14:paraId="14C9AC8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843" w:type="dxa"/>
          </w:tcPr>
          <w:p w14:paraId="17ED943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сентября 1934 года</w:t>
            </w:r>
          </w:p>
        </w:tc>
        <w:tc>
          <w:tcPr>
            <w:tcW w:w="5529" w:type="dxa"/>
          </w:tcPr>
          <w:p w14:paraId="105BA02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гос. испытания не предъявлен. Решением начальника УВС проведены совместно с заводом предварительные испытания, выявившие хорошие летные показатели самолета. Вооружение требует коренной переделки. Работы по достройке второго экземпляра развернуты только в начале января 1935 года. Выход на аэродром спланирован на 1 марта 1935 года.</w:t>
            </w:r>
          </w:p>
        </w:tc>
      </w:tr>
      <w:tr w:rsidR="00E3599D" w:rsidRPr="00E14102" w14:paraId="3EFAA4CE" w14:textId="77777777">
        <w:tc>
          <w:tcPr>
            <w:tcW w:w="2410" w:type="dxa"/>
          </w:tcPr>
          <w:p w14:paraId="37FAEDC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ТШ3 (тяжелый штурмовик)</w:t>
            </w:r>
          </w:p>
        </w:tc>
        <w:tc>
          <w:tcPr>
            <w:tcW w:w="1276" w:type="dxa"/>
          </w:tcPr>
          <w:p w14:paraId="3081354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843" w:type="dxa"/>
          </w:tcPr>
          <w:p w14:paraId="67E699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ноября 1934 года</w:t>
            </w:r>
          </w:p>
        </w:tc>
        <w:tc>
          <w:tcPr>
            <w:tcW w:w="5529" w:type="dxa"/>
          </w:tcPr>
          <w:p w14:paraId="1498A4E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На гос. испытания не предъявлен. Работы по самолету не ведутся совершенно.</w:t>
            </w:r>
          </w:p>
        </w:tc>
      </w:tr>
      <w:tr w:rsidR="00E3599D" w:rsidRPr="00E14102" w14:paraId="33693628" w14:textId="77777777">
        <w:tc>
          <w:tcPr>
            <w:tcW w:w="2410" w:type="dxa"/>
          </w:tcPr>
          <w:p w14:paraId="309154D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Летающее крыло 2М11</w:t>
            </w:r>
          </w:p>
        </w:tc>
        <w:tc>
          <w:tcPr>
            <w:tcW w:w="1276" w:type="dxa"/>
          </w:tcPr>
          <w:p w14:paraId="5270AC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843" w:type="dxa"/>
          </w:tcPr>
          <w:p w14:paraId="47938FC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января 1935 года</w:t>
            </w:r>
          </w:p>
        </w:tc>
        <w:tc>
          <w:tcPr>
            <w:tcW w:w="5529" w:type="dxa"/>
          </w:tcPr>
          <w:p w14:paraId="0300091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доведен до монтажной сборки. Работы остановлены.</w:t>
            </w:r>
          </w:p>
        </w:tc>
      </w:tr>
      <w:tr w:rsidR="00E3599D" w:rsidRPr="00E14102" w14:paraId="35E0BB38" w14:textId="77777777">
        <w:tc>
          <w:tcPr>
            <w:tcW w:w="2410" w:type="dxa"/>
          </w:tcPr>
          <w:p w14:paraId="664F79F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ИП1-РЦ (одноместный пушечный истребитель)</w:t>
            </w:r>
          </w:p>
        </w:tc>
        <w:tc>
          <w:tcPr>
            <w:tcW w:w="1276" w:type="dxa"/>
          </w:tcPr>
          <w:p w14:paraId="1206FCF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УСР НКТП</w:t>
            </w:r>
          </w:p>
        </w:tc>
        <w:tc>
          <w:tcPr>
            <w:tcW w:w="1843" w:type="dxa"/>
          </w:tcPr>
          <w:p w14:paraId="3123F38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ноября 1934 года</w:t>
            </w:r>
          </w:p>
        </w:tc>
        <w:tc>
          <w:tcPr>
            <w:tcW w:w="5529" w:type="dxa"/>
          </w:tcPr>
          <w:p w14:paraId="4B41C99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гос. испытание не предъявлен. Доводится после заводских испытаний.</w:t>
            </w:r>
          </w:p>
        </w:tc>
      </w:tr>
      <w:tr w:rsidR="00E3599D" w:rsidRPr="00E14102" w14:paraId="462673D1" w14:textId="77777777">
        <w:tc>
          <w:tcPr>
            <w:tcW w:w="2410" w:type="dxa"/>
          </w:tcPr>
          <w:p w14:paraId="097B20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И17-ИС 12 Убрс (одноместный истребитель)</w:t>
            </w:r>
          </w:p>
        </w:tc>
        <w:tc>
          <w:tcPr>
            <w:tcW w:w="1276" w:type="dxa"/>
          </w:tcPr>
          <w:p w14:paraId="53A40B3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843" w:type="dxa"/>
          </w:tcPr>
          <w:p w14:paraId="574F0FE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декабря 1934 года</w:t>
            </w:r>
          </w:p>
        </w:tc>
        <w:tc>
          <w:tcPr>
            <w:tcW w:w="5529" w:type="dxa"/>
          </w:tcPr>
          <w:p w14:paraId="0F22D3D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Самолет начат сборкой. Работы прекращены.</w:t>
            </w:r>
          </w:p>
        </w:tc>
      </w:tr>
      <w:tr w:rsidR="00E3599D" w:rsidRPr="00E14102" w14:paraId="7CD5B5B4" w14:textId="77777777">
        <w:tc>
          <w:tcPr>
            <w:tcW w:w="2410" w:type="dxa"/>
          </w:tcPr>
          <w:p w14:paraId="4C35EB0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РК-М11 (разрезное крыло Кричевского)</w:t>
            </w:r>
          </w:p>
        </w:tc>
        <w:tc>
          <w:tcPr>
            <w:tcW w:w="1276" w:type="dxa"/>
          </w:tcPr>
          <w:p w14:paraId="4B87083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35</w:t>
            </w:r>
          </w:p>
        </w:tc>
        <w:tc>
          <w:tcPr>
            <w:tcW w:w="1843" w:type="dxa"/>
          </w:tcPr>
          <w:p w14:paraId="1652420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октября 1934 года</w:t>
            </w:r>
          </w:p>
        </w:tc>
        <w:tc>
          <w:tcPr>
            <w:tcW w:w="5529" w:type="dxa"/>
          </w:tcPr>
          <w:p w14:paraId="6CBBD48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построен. Обнаружена тряска моторной установки. В полете не был.</w:t>
            </w:r>
          </w:p>
        </w:tc>
      </w:tr>
      <w:tr w:rsidR="00E3599D" w:rsidRPr="00E14102" w14:paraId="27E3499E" w14:textId="77777777">
        <w:tc>
          <w:tcPr>
            <w:tcW w:w="2410" w:type="dxa"/>
          </w:tcPr>
          <w:p w14:paraId="2DA8B91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И14-РЦ F 3</w:t>
            </w:r>
          </w:p>
        </w:tc>
        <w:tc>
          <w:tcPr>
            <w:tcW w:w="1276" w:type="dxa"/>
          </w:tcPr>
          <w:p w14:paraId="3CD1AD8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ЦАГИ</w:t>
            </w:r>
          </w:p>
        </w:tc>
        <w:tc>
          <w:tcPr>
            <w:tcW w:w="1843" w:type="dxa"/>
          </w:tcPr>
          <w:p w14:paraId="52FBE04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декабря 1934 года</w:t>
            </w:r>
          </w:p>
        </w:tc>
        <w:tc>
          <w:tcPr>
            <w:tcW w:w="5529" w:type="dxa"/>
          </w:tcPr>
          <w:p w14:paraId="23D7C66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контрольные гос. испытания не предъявлен. Не отлажено вооружение.</w:t>
            </w:r>
          </w:p>
        </w:tc>
      </w:tr>
    </w:tbl>
    <w:p w14:paraId="558BF0F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Завод № 39, сдавший на гос. испытания в срок самолеты И16-РЦ и ЛР-М34Н, произвел устранение крупных дефектов, обнаруженных на них при испытании, только к концу этого квартала.</w:t>
      </w:r>
    </w:p>
    <w:p w14:paraId="74A800E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связи с выполнением заказа на серийные самолеты завод № 39 полностью прекратил в 4-м квартале работы производственного порядка по опытным самолетам, что вызвало срыв сроков, указанных выше и предопределяет срыв сроков объектов, намеченных к выпуску в первой половине 1935 года.</w:t>
      </w:r>
    </w:p>
    <w:p w14:paraId="6C37A19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 силу изложенного обстоятельства для завода № 39, а также переброски КБ Калинина в Воронеж и Чижевского – в Смоленск и медленного развития КБ на серийных заводах, намечается срыв сроков опытных самолетов в первой половине 1935 года, а именно: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71"/>
        <w:gridCol w:w="2374"/>
        <w:gridCol w:w="1559"/>
        <w:gridCol w:w="4253"/>
      </w:tblGrid>
      <w:tr w:rsidR="00E3599D" w:rsidRPr="00E14102" w14:paraId="495748F9" w14:textId="77777777">
        <w:tc>
          <w:tcPr>
            <w:tcW w:w="2871" w:type="dxa"/>
          </w:tcPr>
          <w:p w14:paraId="2D3E17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объекта</w:t>
            </w:r>
          </w:p>
        </w:tc>
        <w:tc>
          <w:tcPr>
            <w:tcW w:w="2374" w:type="dxa"/>
          </w:tcPr>
          <w:p w14:paraId="42077D2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1559" w:type="dxa"/>
          </w:tcPr>
          <w:p w14:paraId="34583D4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по плану</w:t>
            </w:r>
          </w:p>
        </w:tc>
        <w:tc>
          <w:tcPr>
            <w:tcW w:w="4253" w:type="dxa"/>
          </w:tcPr>
          <w:p w14:paraId="38344C1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Состояние</w:t>
            </w:r>
          </w:p>
        </w:tc>
      </w:tr>
      <w:tr w:rsidR="00E3599D" w:rsidRPr="00E14102" w14:paraId="5D65431B" w14:textId="77777777">
        <w:tc>
          <w:tcPr>
            <w:tcW w:w="2871" w:type="dxa"/>
          </w:tcPr>
          <w:p w14:paraId="34974AA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И18-М17</w:t>
            </w:r>
          </w:p>
        </w:tc>
        <w:tc>
          <w:tcPr>
            <w:tcW w:w="2374" w:type="dxa"/>
          </w:tcPr>
          <w:p w14:paraId="2B17CC7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559" w:type="dxa"/>
          </w:tcPr>
          <w:p w14:paraId="4B0C15B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апреля 1935 года</w:t>
            </w:r>
          </w:p>
        </w:tc>
        <w:tc>
          <w:tcPr>
            <w:tcW w:w="4253" w:type="dxa"/>
          </w:tcPr>
          <w:p w14:paraId="29A9426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подачи чертежей намечен на 15 марта 1935 года.</w:t>
            </w:r>
          </w:p>
        </w:tc>
      </w:tr>
      <w:tr w:rsidR="00E3599D" w:rsidRPr="00E14102" w14:paraId="198F2B4C" w14:textId="77777777">
        <w:tc>
          <w:tcPr>
            <w:tcW w:w="2871" w:type="dxa"/>
          </w:tcPr>
          <w:p w14:paraId="10CC4CE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ДИП-2ИС 12 убрс (двухместный пушечный истребитель)</w:t>
            </w:r>
          </w:p>
        </w:tc>
        <w:tc>
          <w:tcPr>
            <w:tcW w:w="2374" w:type="dxa"/>
          </w:tcPr>
          <w:p w14:paraId="08AF41E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ЦАГИ</w:t>
            </w:r>
          </w:p>
        </w:tc>
        <w:tc>
          <w:tcPr>
            <w:tcW w:w="1559" w:type="dxa"/>
          </w:tcPr>
          <w:p w14:paraId="46807B7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марта 1935 года</w:t>
            </w:r>
          </w:p>
        </w:tc>
        <w:tc>
          <w:tcPr>
            <w:tcW w:w="4253" w:type="dxa"/>
          </w:tcPr>
          <w:p w14:paraId="4A0E16D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в сборке. Пушка не доведена. Не доработана задняя стрелковая точка.</w:t>
            </w:r>
          </w:p>
        </w:tc>
      </w:tr>
      <w:tr w:rsidR="00E3599D" w:rsidRPr="00E14102" w14:paraId="18CCD4E6" w14:textId="77777777">
        <w:tc>
          <w:tcPr>
            <w:tcW w:w="2871" w:type="dxa"/>
          </w:tcPr>
          <w:p w14:paraId="247CB9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П3-М49 (переходный самолет)</w:t>
            </w:r>
          </w:p>
        </w:tc>
        <w:tc>
          <w:tcPr>
            <w:tcW w:w="2374" w:type="dxa"/>
          </w:tcPr>
          <w:p w14:paraId="5FE0B5F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Ленинградский учебный комбинат ГУГВФ</w:t>
            </w:r>
          </w:p>
        </w:tc>
        <w:tc>
          <w:tcPr>
            <w:tcW w:w="1559" w:type="dxa"/>
          </w:tcPr>
          <w:p w14:paraId="4AB1F55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мая 1935 года</w:t>
            </w:r>
          </w:p>
        </w:tc>
        <w:tc>
          <w:tcPr>
            <w:tcW w:w="4253" w:type="dxa"/>
          </w:tcPr>
          <w:p w14:paraId="281DC2F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Утвержден макет. Чертежи готовы. Отсутствует сильная производственная база.</w:t>
            </w:r>
          </w:p>
        </w:tc>
      </w:tr>
      <w:tr w:rsidR="00E3599D" w:rsidRPr="00E14102" w14:paraId="48842821" w14:textId="77777777">
        <w:tc>
          <w:tcPr>
            <w:tcW w:w="2871" w:type="dxa"/>
          </w:tcPr>
          <w:p w14:paraId="05102F4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ВС2-2М22 (войсковой самолет) </w:t>
            </w:r>
          </w:p>
        </w:tc>
        <w:tc>
          <w:tcPr>
            <w:tcW w:w="2374" w:type="dxa"/>
          </w:tcPr>
          <w:p w14:paraId="58F1B73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Калинин</w:t>
            </w:r>
          </w:p>
          <w:p w14:paraId="4C0D9FD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18</w:t>
            </w:r>
          </w:p>
        </w:tc>
        <w:tc>
          <w:tcPr>
            <w:tcW w:w="1559" w:type="dxa"/>
          </w:tcPr>
          <w:p w14:paraId="41B9575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мая 1935 года</w:t>
            </w:r>
          </w:p>
        </w:tc>
        <w:tc>
          <w:tcPr>
            <w:tcW w:w="4253" w:type="dxa"/>
          </w:tcPr>
          <w:p w14:paraId="7E5972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Макет забракован. Вторичное предъявление намечено на 1 февраля 1935 года.</w:t>
            </w:r>
          </w:p>
        </w:tc>
      </w:tr>
      <w:tr w:rsidR="00E3599D" w:rsidRPr="00E14102" w14:paraId="1C341842" w14:textId="77777777">
        <w:tc>
          <w:tcPr>
            <w:tcW w:w="2871" w:type="dxa"/>
          </w:tcPr>
          <w:p w14:paraId="1104609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СС М34-РН (стратосферный самолет)</w:t>
            </w:r>
          </w:p>
        </w:tc>
        <w:tc>
          <w:tcPr>
            <w:tcW w:w="2374" w:type="dxa"/>
          </w:tcPr>
          <w:p w14:paraId="6FF967B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35</w:t>
            </w:r>
          </w:p>
          <w:p w14:paraId="4E0C33B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Чижевский</w:t>
            </w:r>
          </w:p>
        </w:tc>
        <w:tc>
          <w:tcPr>
            <w:tcW w:w="1559" w:type="dxa"/>
          </w:tcPr>
          <w:p w14:paraId="4529C14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июля 1935 года</w:t>
            </w:r>
          </w:p>
        </w:tc>
        <w:tc>
          <w:tcPr>
            <w:tcW w:w="4253" w:type="dxa"/>
          </w:tcPr>
          <w:p w14:paraId="6DE8EF6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Работа лимитируется наличием дюральщиков на заводе № 35. Если заводу будут даны в ремонт ТБ3 и ТБ1, то выпуск “СС” будет сорван.</w:t>
            </w:r>
          </w:p>
        </w:tc>
      </w:tr>
      <w:tr w:rsidR="00E3599D" w:rsidRPr="00E14102" w14:paraId="4F69D55F" w14:textId="77777777">
        <w:tc>
          <w:tcPr>
            <w:tcW w:w="2871" w:type="dxa"/>
          </w:tcPr>
          <w:p w14:paraId="1593627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Летающее крыло М11 (экспериментальный)</w:t>
            </w:r>
          </w:p>
        </w:tc>
        <w:tc>
          <w:tcPr>
            <w:tcW w:w="2374" w:type="dxa"/>
          </w:tcPr>
          <w:p w14:paraId="523605F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35</w:t>
            </w:r>
          </w:p>
          <w:p w14:paraId="7D8FA3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Чижевский</w:t>
            </w:r>
          </w:p>
        </w:tc>
        <w:tc>
          <w:tcPr>
            <w:tcW w:w="1559" w:type="dxa"/>
          </w:tcPr>
          <w:p w14:paraId="0A73FC5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марта 1935 года</w:t>
            </w:r>
          </w:p>
        </w:tc>
        <w:tc>
          <w:tcPr>
            <w:tcW w:w="4253" w:type="dxa"/>
          </w:tcPr>
          <w:p w14:paraId="1EA588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 и рабочие чертежи готовы. Работы лимитируются отсутствием рабочих на заводе № 35.</w:t>
            </w:r>
          </w:p>
        </w:tc>
      </w:tr>
      <w:tr w:rsidR="00E3599D" w:rsidRPr="00E14102" w14:paraId="7E75CD48" w14:textId="77777777">
        <w:tc>
          <w:tcPr>
            <w:tcW w:w="2871" w:type="dxa"/>
          </w:tcPr>
          <w:p w14:paraId="2A2B859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И19 (новый одноместный пулеметный истребитель)</w:t>
            </w:r>
          </w:p>
        </w:tc>
        <w:tc>
          <w:tcPr>
            <w:tcW w:w="2374" w:type="dxa"/>
          </w:tcPr>
          <w:p w14:paraId="62B0B0C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559" w:type="dxa"/>
          </w:tcPr>
          <w:p w14:paraId="2F7B4BC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июня 1935 года</w:t>
            </w:r>
          </w:p>
        </w:tc>
        <w:tc>
          <w:tcPr>
            <w:tcW w:w="4253" w:type="dxa"/>
          </w:tcPr>
          <w:p w14:paraId="281666E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Проектирование не начато. Срок подачи чертежей намечен на 1 августа 1935 года.</w:t>
            </w:r>
          </w:p>
        </w:tc>
      </w:tr>
      <w:tr w:rsidR="00E3599D" w:rsidRPr="00E14102" w14:paraId="5FB4CDF3" w14:textId="77777777">
        <w:tc>
          <w:tcPr>
            <w:tcW w:w="2871" w:type="dxa"/>
          </w:tcPr>
          <w:p w14:paraId="0851338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И-20 (новый пушечный истребитель)</w:t>
            </w:r>
          </w:p>
        </w:tc>
        <w:tc>
          <w:tcPr>
            <w:tcW w:w="2374" w:type="dxa"/>
          </w:tcPr>
          <w:p w14:paraId="2E336D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УСР НКТП</w:t>
            </w:r>
          </w:p>
        </w:tc>
        <w:tc>
          <w:tcPr>
            <w:tcW w:w="1559" w:type="dxa"/>
          </w:tcPr>
          <w:p w14:paraId="05F8152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апреля 1935 года</w:t>
            </w:r>
          </w:p>
        </w:tc>
        <w:tc>
          <w:tcPr>
            <w:tcW w:w="4253" w:type="dxa"/>
          </w:tcPr>
          <w:p w14:paraId="1951519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Заканчивается эскизный проект. Макет намечен на конец января.</w:t>
            </w:r>
          </w:p>
        </w:tc>
      </w:tr>
      <w:tr w:rsidR="00E3599D" w:rsidRPr="00E14102" w14:paraId="55955049" w14:textId="77777777">
        <w:tc>
          <w:tcPr>
            <w:tcW w:w="2871" w:type="dxa"/>
          </w:tcPr>
          <w:p w14:paraId="364DBBE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Р5-М34</w:t>
            </w:r>
          </w:p>
        </w:tc>
        <w:tc>
          <w:tcPr>
            <w:tcW w:w="2374" w:type="dxa"/>
          </w:tcPr>
          <w:p w14:paraId="5F2EFBA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Завод № 1 </w:t>
            </w:r>
          </w:p>
        </w:tc>
        <w:tc>
          <w:tcPr>
            <w:tcW w:w="1559" w:type="dxa"/>
          </w:tcPr>
          <w:p w14:paraId="2878912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февраля 1935 года</w:t>
            </w:r>
          </w:p>
        </w:tc>
        <w:tc>
          <w:tcPr>
            <w:tcW w:w="4253" w:type="dxa"/>
          </w:tcPr>
          <w:p w14:paraId="346659F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в постройке. Срок выхода на аэродром намечается на конец марта 1935 года.</w:t>
            </w:r>
          </w:p>
        </w:tc>
      </w:tr>
      <w:tr w:rsidR="00E3599D" w:rsidRPr="00E14102" w14:paraId="416AB4CB" w14:textId="77777777">
        <w:tc>
          <w:tcPr>
            <w:tcW w:w="2871" w:type="dxa"/>
          </w:tcPr>
          <w:p w14:paraId="5C35E34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Р9-ГР-К14 (новый разведчик)</w:t>
            </w:r>
          </w:p>
        </w:tc>
        <w:tc>
          <w:tcPr>
            <w:tcW w:w="2374" w:type="dxa"/>
          </w:tcPr>
          <w:p w14:paraId="1A5CDDB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559" w:type="dxa"/>
          </w:tcPr>
          <w:p w14:paraId="77B2241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июня 1935 года</w:t>
            </w:r>
          </w:p>
        </w:tc>
        <w:tc>
          <w:tcPr>
            <w:tcW w:w="4253" w:type="dxa"/>
          </w:tcPr>
          <w:p w14:paraId="081FA78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Заканчивается эскизный проект. Макет намечен на середину января.</w:t>
            </w:r>
          </w:p>
        </w:tc>
      </w:tr>
      <w:tr w:rsidR="00E3599D" w:rsidRPr="00E14102" w14:paraId="4496E314" w14:textId="77777777">
        <w:tc>
          <w:tcPr>
            <w:tcW w:w="2871" w:type="dxa"/>
          </w:tcPr>
          <w:p w14:paraId="35A6A5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ДБ1-М34Р</w:t>
            </w:r>
          </w:p>
        </w:tc>
        <w:tc>
          <w:tcPr>
            <w:tcW w:w="2374" w:type="dxa"/>
          </w:tcPr>
          <w:p w14:paraId="5537D78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18</w:t>
            </w:r>
          </w:p>
        </w:tc>
        <w:tc>
          <w:tcPr>
            <w:tcW w:w="1559" w:type="dxa"/>
          </w:tcPr>
          <w:p w14:paraId="5A532D0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апреля 1935 года</w:t>
            </w:r>
          </w:p>
        </w:tc>
        <w:tc>
          <w:tcPr>
            <w:tcW w:w="4253" w:type="dxa"/>
          </w:tcPr>
          <w:p w14:paraId="43F261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строится в кооперации с заводом № 22. Производство шасси не начато (завод № 22).</w:t>
            </w:r>
          </w:p>
        </w:tc>
      </w:tr>
      <w:tr w:rsidR="00E3599D" w:rsidRPr="00E14102" w14:paraId="58100F9F" w14:textId="77777777">
        <w:tc>
          <w:tcPr>
            <w:tcW w:w="2871" w:type="dxa"/>
          </w:tcPr>
          <w:p w14:paraId="6B924E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XI-2М34 РН (химический боевой)</w:t>
            </w:r>
          </w:p>
        </w:tc>
        <w:tc>
          <w:tcPr>
            <w:tcW w:w="2374" w:type="dxa"/>
          </w:tcPr>
          <w:p w14:paraId="66D8B05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81</w:t>
            </w:r>
          </w:p>
        </w:tc>
        <w:tc>
          <w:tcPr>
            <w:tcW w:w="1559" w:type="dxa"/>
          </w:tcPr>
          <w:p w14:paraId="21F147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июля 1935 года</w:t>
            </w:r>
          </w:p>
        </w:tc>
        <w:tc>
          <w:tcPr>
            <w:tcW w:w="4253" w:type="dxa"/>
          </w:tcPr>
          <w:p w14:paraId="404FFFA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ГУГВФ возбуждает ходатайство о продлении срока постройки до 1 ноября 1935 года.</w:t>
            </w:r>
          </w:p>
        </w:tc>
      </w:tr>
      <w:tr w:rsidR="00E3599D" w:rsidRPr="00E14102" w14:paraId="75EB514A" w14:textId="77777777">
        <w:tc>
          <w:tcPr>
            <w:tcW w:w="2871" w:type="dxa"/>
          </w:tcPr>
          <w:p w14:paraId="7B3432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И14 бис (с пушками АПК 45 мм)</w:t>
            </w:r>
          </w:p>
        </w:tc>
        <w:tc>
          <w:tcPr>
            <w:tcW w:w="2374" w:type="dxa"/>
          </w:tcPr>
          <w:p w14:paraId="1C71477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ЦАГИ</w:t>
            </w:r>
          </w:p>
        </w:tc>
        <w:tc>
          <w:tcPr>
            <w:tcW w:w="1559" w:type="dxa"/>
          </w:tcPr>
          <w:p w14:paraId="40D0386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4253" w:type="dxa"/>
          </w:tcPr>
          <w:p w14:paraId="0F100DB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Пушки 45 мм нет. Поэтому ЦАГИ с самолетом никакой работы не ведет.</w:t>
            </w:r>
          </w:p>
        </w:tc>
      </w:tr>
    </w:tbl>
    <w:p w14:paraId="5F9A70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Кроме перечисленных выше самолетов промышленность (ЦАГИ) постановлением СТО от 17 февраля 1934 года № К-22сс должна была представить к 1 декабря 1934 года скоростной двухмоторный бомбардировщик в двух вариантах под моторы Райт-Циклон и под моторы Испано-Сюиза 12 убрс.</w:t>
      </w:r>
    </w:p>
    <w:p w14:paraId="42ED12A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Однако, оба эти важнейших самолета на гос. испытания не предъявлены так как:</w:t>
      </w:r>
    </w:p>
    <w:p w14:paraId="1BF1060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 моторами Райт-Циклон при заводских испытаниях разбит.</w:t>
      </w:r>
    </w:p>
    <w:p w14:paraId="08811C5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 моторами Испано-Сюиза 12 убрс 2 января 1935 года вышел в первый полет. Сейчас ЦАГИ ведет работы по отладке убирания шасси.</w:t>
      </w:r>
    </w:p>
    <w:p w14:paraId="5C28779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итоге необходимо констатировать, что имеется налицо: невыполнение плана 1934 года по 7 объектам и серьезная угроза полного срыва плана в 1935 году.</w:t>
      </w:r>
    </w:p>
    <w:p w14:paraId="177FC03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Не выдерживая сроков плана опытного строительства, авиапромышленность параллельно не выполнила ряд постановлений СТО, о чем уже докладывалось мною в докладе от 1 октября 1934 года, а именно:</w:t>
      </w:r>
    </w:p>
    <w:p w14:paraId="1AFE670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ГУАП, обязанный постановлением СТО от 2 марта выпустить эталон самолета Р5-М17 штурмовика со Шкасом 1 мая 1934 года построил самолет лишь к октябрю. После длительных задержек в передаче самолета сдал его с совершенно недоработанным вооружением и оборудованием, препятствующим возможности его гос. испытаний. Работы по доводке самолета не ведутся, что срывает возможность получить в 1935 году доброкачественные штурмовики, заказанные в количестве 500 штук.</w:t>
      </w:r>
    </w:p>
    <w:p w14:paraId="2CC28DD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Организация конструкторских бюро (постановления СТО от 13 марта 1934 года и 17 июля 1934 года) в четвертом квартале существенных сдвигов не сделала.</w:t>
      </w:r>
    </w:p>
    <w:p w14:paraId="3EC77F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p w14:paraId="067F363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Требование повышения качества производства в отношении отделки (постановление СТО от 14 июля 1934 года), в особенности по серийной продукции не выполняется в нужной мере.</w:t>
      </w:r>
    </w:p>
    <w:p w14:paraId="594EB14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Работы по созданию аэродинамических труб и лабораторий на заводах (постановление СТО от 14 июля 1934 года) совершенно не гарантирует постройки труб к 1 июня 1935 года как требовалось постановлением и в основном базируется на срок 1936 года.</w:t>
      </w:r>
    </w:p>
    <w:p w14:paraId="3AF46CA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II Гидросамолеты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85"/>
        <w:gridCol w:w="1276"/>
        <w:gridCol w:w="1701"/>
        <w:gridCol w:w="6096"/>
      </w:tblGrid>
      <w:tr w:rsidR="00E3599D" w:rsidRPr="00E14102" w14:paraId="459A90B5" w14:textId="77777777">
        <w:tc>
          <w:tcPr>
            <w:tcW w:w="1985" w:type="dxa"/>
          </w:tcPr>
          <w:p w14:paraId="4DF822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объекта</w:t>
            </w:r>
          </w:p>
        </w:tc>
        <w:tc>
          <w:tcPr>
            <w:tcW w:w="1276" w:type="dxa"/>
          </w:tcPr>
          <w:p w14:paraId="436087A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1701" w:type="dxa"/>
          </w:tcPr>
          <w:p w14:paraId="6942172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по плану</w:t>
            </w:r>
          </w:p>
        </w:tc>
        <w:tc>
          <w:tcPr>
            <w:tcW w:w="6096" w:type="dxa"/>
          </w:tcPr>
          <w:p w14:paraId="277EC6B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Состояние</w:t>
            </w:r>
          </w:p>
        </w:tc>
      </w:tr>
      <w:tr w:rsidR="00E3599D" w:rsidRPr="00E14102" w14:paraId="21CEDC90" w14:textId="77777777">
        <w:tc>
          <w:tcPr>
            <w:tcW w:w="1985" w:type="dxa"/>
          </w:tcPr>
          <w:p w14:paraId="55AE400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МК1 (морской крейсер)</w:t>
            </w:r>
          </w:p>
        </w:tc>
        <w:tc>
          <w:tcPr>
            <w:tcW w:w="1276" w:type="dxa"/>
          </w:tcPr>
          <w:p w14:paraId="18DA2E7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05349B3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августа 1934 года</w:t>
            </w:r>
          </w:p>
        </w:tc>
        <w:tc>
          <w:tcPr>
            <w:tcW w:w="6096" w:type="dxa"/>
          </w:tcPr>
          <w:p w14:paraId="4E3351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Заводские испытания начаты только с середины декабря 1934 года. До этого времени самолет находился в ремонте и доделках, так как имел значительные вибрации хвостового оперения и после аварии при рулежке – повреждение днища лодки. Доводки вооружения и оборудования самолета, а также условия зимней погоды заставляют предполагать, что самолет ранее 1 марта 1935 года на гос. испытания предъявлен не будет.</w:t>
            </w:r>
          </w:p>
        </w:tc>
      </w:tr>
      <w:tr w:rsidR="00E3599D" w:rsidRPr="00E14102" w14:paraId="458C470B" w14:textId="77777777">
        <w:tc>
          <w:tcPr>
            <w:tcW w:w="1985" w:type="dxa"/>
          </w:tcPr>
          <w:p w14:paraId="17F042B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МДР-4</w:t>
            </w:r>
          </w:p>
        </w:tc>
        <w:tc>
          <w:tcPr>
            <w:tcW w:w="1276" w:type="dxa"/>
          </w:tcPr>
          <w:p w14:paraId="773BA4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461BA8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марта 1935 года</w:t>
            </w:r>
          </w:p>
        </w:tc>
        <w:tc>
          <w:tcPr>
            <w:tcW w:w="6096" w:type="dxa"/>
          </w:tcPr>
          <w:p w14:paraId="2E2466E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22 ноября 1934 года ЦАГИ приступил к испытаниям второго варианта (дублета) самолета. Первые полеты выявили наличие серьезных вибраций хвостового оперения. Над устранением этого дефекта сейчас работает ЦАГИ. Состояние работ по доводке самолета не дает возможности определить срока предъявления самолета на гос. испытания.</w:t>
            </w:r>
          </w:p>
        </w:tc>
      </w:tr>
      <w:tr w:rsidR="00E3599D" w:rsidRPr="00E14102" w14:paraId="683180EA" w14:textId="77777777">
        <w:tc>
          <w:tcPr>
            <w:tcW w:w="1985" w:type="dxa"/>
          </w:tcPr>
          <w:p w14:paraId="318E416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МБР-5 (морской ближний разведчик)</w:t>
            </w:r>
          </w:p>
        </w:tc>
        <w:tc>
          <w:tcPr>
            <w:tcW w:w="1276" w:type="dxa"/>
          </w:tcPr>
          <w:p w14:paraId="396F95B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701" w:type="dxa"/>
          </w:tcPr>
          <w:p w14:paraId="08CF2EA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апреля 1935 года</w:t>
            </w:r>
          </w:p>
        </w:tc>
        <w:tc>
          <w:tcPr>
            <w:tcW w:w="6096" w:type="dxa"/>
          </w:tcPr>
          <w:p w14:paraId="0F3E683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Несмотря на готовность проектных работ и изготовление чертежей еще в мае 1934 года самолет в производство был запущен только в конце прошлого года. Такое положение обусловливает запоздание выхода самолета на заводские испытания, примерно на 6 месяцев против установленного срока.</w:t>
            </w:r>
          </w:p>
        </w:tc>
      </w:tr>
      <w:tr w:rsidR="00E3599D" w:rsidRPr="00E14102" w14:paraId="34910B02" w14:textId="77777777">
        <w:tc>
          <w:tcPr>
            <w:tcW w:w="1985" w:type="dxa"/>
          </w:tcPr>
          <w:p w14:paraId="4E2B76E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КОР-1 (корабельный разведчик)</w:t>
            </w:r>
          </w:p>
        </w:tc>
        <w:tc>
          <w:tcPr>
            <w:tcW w:w="1276" w:type="dxa"/>
          </w:tcPr>
          <w:p w14:paraId="747DA3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701" w:type="dxa"/>
          </w:tcPr>
          <w:p w14:paraId="12FD3EA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6096" w:type="dxa"/>
          </w:tcPr>
          <w:p w14:paraId="18594AA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Проектирование самолета еще не закончено. По объему работ срок выхода самолета на заводские испытания выдержан не будет.</w:t>
            </w:r>
          </w:p>
        </w:tc>
      </w:tr>
    </w:tbl>
    <w:p w14:paraId="3B60239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Дополнительным постановлением СТО срок гидросамолета МДР-5 постройки ЦАГИ отодвинут на один год, т.е. на 1 декабря 1936 года.</w:t>
      </w:r>
    </w:p>
    <w:p w14:paraId="724340B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Взамен снятого объекта этим же постановлением для ЦАГИ введен новый гидросамолет МТБ, полное разворачивание работ по проектированию которого начато будет по сдаче на гос. испытания МК1 и МДР4.</w:t>
      </w:r>
    </w:p>
    <w:p w14:paraId="1916579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По линии опытного бюро Аэрофлота, из-за отсутствия отдельной производственной базы, срок выхода на заводские испытания опытного гидросамолета МДР6 находится под сомнением.</w:t>
      </w:r>
    </w:p>
    <w:p w14:paraId="092A1A3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Переброска морской бригады завода № 39 на заводе № 31 и создание там мощного бюро, согласно постановления СТО, проходит неудовлетворительно. Часть инженерно-технического состава (30%) не выехала к месту нового размещения бригады в Таганрог, в силу чего мощность бригады значительно снизилась как количественно, так и качественно и не сможет обеспечить выполнение задания. НИИ ВС по своей инициативе, обратилось за содействием в Комиссию советского контроля.</w:t>
      </w:r>
    </w:p>
    <w:p w14:paraId="2F3D515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Единственное КБ завода № 31, выполняющее задания по модернизации состоящих на вооружении самолетов, недостаточно мощно как количественно, так и качественно и на сегодня не справляется с заданиями.</w:t>
      </w:r>
    </w:p>
    <w:p w14:paraId="5E66D69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Опытное КБ Аэрофлота не имеет собственной базы и ведет постройку на кооперативных началах, размещая заказы на отдельные части самолета различным серийным заводам ГУАПа, что не может гарантировать сроки изготовления и требует систематического руководства со стороны бюро.</w:t>
      </w:r>
    </w:p>
    <w:p w14:paraId="2A424F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Выводы в части гидросамолетостроения</w:t>
      </w:r>
    </w:p>
    <w:p w14:paraId="4CF448A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Решение СТО о создании мощного опытного бюро на заводе № 31 со стороны ГУАПа полностью не обеспечено.</w:t>
      </w:r>
    </w:p>
    <w:p w14:paraId="5294A8C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Опытному Бюро Аэрофлота необходимо дать постоянную производственную базу.</w:t>
      </w:r>
    </w:p>
    <w:p w14:paraId="2C1BC04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Для усиления работ по опытному строительству, целесообразно использовать группу инженера Шаврова (Аэрофлот) и дать последнему задание по МДР-5 и учебным самолетам.</w:t>
      </w:r>
    </w:p>
    <w:p w14:paraId="3FABF91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94"/>
        <w:gridCol w:w="1559"/>
        <w:gridCol w:w="1984"/>
        <w:gridCol w:w="4820"/>
      </w:tblGrid>
      <w:tr w:rsidR="00E3599D" w:rsidRPr="00E14102" w14:paraId="0DB1B876" w14:textId="77777777">
        <w:tc>
          <w:tcPr>
            <w:tcW w:w="2694" w:type="dxa"/>
          </w:tcPr>
          <w:p w14:paraId="437F17D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объекта</w:t>
            </w:r>
          </w:p>
        </w:tc>
        <w:tc>
          <w:tcPr>
            <w:tcW w:w="1559" w:type="dxa"/>
          </w:tcPr>
          <w:p w14:paraId="7DC3111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1984" w:type="dxa"/>
          </w:tcPr>
          <w:p w14:paraId="3F74563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по плану</w:t>
            </w:r>
          </w:p>
        </w:tc>
        <w:tc>
          <w:tcPr>
            <w:tcW w:w="4820" w:type="dxa"/>
          </w:tcPr>
          <w:p w14:paraId="6D1D076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Состояние</w:t>
            </w:r>
          </w:p>
        </w:tc>
      </w:tr>
      <w:tr w:rsidR="00E3599D" w:rsidRPr="00E14102" w14:paraId="1A13CB9A" w14:textId="77777777">
        <w:tc>
          <w:tcPr>
            <w:tcW w:w="2694" w:type="dxa"/>
          </w:tcPr>
          <w:p w14:paraId="75FE49A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М34 ФРН на паровом охлаждении</w:t>
            </w:r>
          </w:p>
        </w:tc>
        <w:tc>
          <w:tcPr>
            <w:tcW w:w="1559" w:type="dxa"/>
          </w:tcPr>
          <w:p w14:paraId="375B794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ЦИАМ</w:t>
            </w:r>
          </w:p>
        </w:tc>
        <w:tc>
          <w:tcPr>
            <w:tcW w:w="1984" w:type="dxa"/>
          </w:tcPr>
          <w:p w14:paraId="4B47B5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декабря 1934 года</w:t>
            </w:r>
          </w:p>
        </w:tc>
        <w:tc>
          <w:tcPr>
            <w:tcW w:w="4820" w:type="dxa"/>
          </w:tcPr>
          <w:p w14:paraId="1916C86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Работа не закончена и мотор не предъявлен.</w:t>
            </w:r>
          </w:p>
        </w:tc>
      </w:tr>
      <w:tr w:rsidR="00E3599D" w:rsidRPr="00E14102" w14:paraId="42F35C7A" w14:textId="77777777">
        <w:tc>
          <w:tcPr>
            <w:tcW w:w="2694" w:type="dxa"/>
          </w:tcPr>
          <w:p w14:paraId="047689C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М34 ФРН форсированный (с редуктором и нагнетателем)</w:t>
            </w:r>
          </w:p>
        </w:tc>
        <w:tc>
          <w:tcPr>
            <w:tcW w:w="1559" w:type="dxa"/>
          </w:tcPr>
          <w:p w14:paraId="5291091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ЦИАМ</w:t>
            </w:r>
          </w:p>
        </w:tc>
        <w:tc>
          <w:tcPr>
            <w:tcW w:w="1984" w:type="dxa"/>
          </w:tcPr>
          <w:p w14:paraId="211670C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сентября 1934 года</w:t>
            </w:r>
          </w:p>
        </w:tc>
        <w:tc>
          <w:tcPr>
            <w:tcW w:w="4820" w:type="dxa"/>
          </w:tcPr>
          <w:p w14:paraId="74F054D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Предъявлен на гос. испытания в начале января. Мотор перетяжелен против требований на 25 кг.</w:t>
            </w:r>
          </w:p>
        </w:tc>
      </w:tr>
      <w:tr w:rsidR="00E3599D" w:rsidRPr="00E14102" w14:paraId="2D17E8C0" w14:textId="77777777">
        <w:tc>
          <w:tcPr>
            <w:tcW w:w="2694" w:type="dxa"/>
          </w:tcPr>
          <w:p w14:paraId="0D2F79C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М-32РН</w:t>
            </w:r>
          </w:p>
        </w:tc>
        <w:tc>
          <w:tcPr>
            <w:tcW w:w="1559" w:type="dxa"/>
          </w:tcPr>
          <w:p w14:paraId="715FAFB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ЦИАМ</w:t>
            </w:r>
          </w:p>
        </w:tc>
        <w:tc>
          <w:tcPr>
            <w:tcW w:w="1984" w:type="dxa"/>
          </w:tcPr>
          <w:p w14:paraId="7EE5EDC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октября 1934 года</w:t>
            </w:r>
          </w:p>
        </w:tc>
        <w:tc>
          <w:tcPr>
            <w:tcW w:w="4820" w:type="dxa"/>
          </w:tcPr>
          <w:p w14:paraId="55E0D35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Мотор не предъявлен и срок доводки не установлен.</w:t>
            </w:r>
          </w:p>
        </w:tc>
      </w:tr>
      <w:tr w:rsidR="00E3599D" w:rsidRPr="00E14102" w14:paraId="6033D871" w14:textId="77777777">
        <w:tc>
          <w:tcPr>
            <w:tcW w:w="2694" w:type="dxa"/>
          </w:tcPr>
          <w:p w14:paraId="0948E0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М-58Н</w:t>
            </w:r>
          </w:p>
        </w:tc>
        <w:tc>
          <w:tcPr>
            <w:tcW w:w="1559" w:type="dxa"/>
          </w:tcPr>
          <w:p w14:paraId="4BCCCA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1984" w:type="dxa"/>
          </w:tcPr>
          <w:p w14:paraId="0A7AEA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ноября 1934 года</w:t>
            </w:r>
          </w:p>
        </w:tc>
        <w:tc>
          <w:tcPr>
            <w:tcW w:w="4820" w:type="dxa"/>
          </w:tcPr>
          <w:p w14:paraId="2879B5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Мотор не предъявлен ожидается предъявление в январе.</w:t>
            </w:r>
          </w:p>
        </w:tc>
      </w:tr>
    </w:tbl>
    <w:p w14:paraId="4003600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 и ыоенком НИИ ВВС РККА Зильбер</w:t>
      </w:r>
    </w:p>
    <w:p w14:paraId="5C8906B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(3517,15-22).</w:t>
      </w:r>
    </w:p>
    <w:p w14:paraId="0FD2E66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8DDF4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января 1935 года завод № 19 начал серийное производство моторов М-25. В 1935 году завод выпустил вместо 600 моторов, установленных производственной программой 671 мотор М-25.</w:t>
      </w:r>
    </w:p>
    <w:p w14:paraId="65F5FE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292B31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 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7909DE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этом же году обнаружились дефекты мотора М-25В – поломка поршневых пальцев и заклинивание втулки гл. шатуна. 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 Правительственная программа 1939 года определялась выпуском моторов М-25В, М-62, М-62ИР и М-63. Кроме того, была поставлена задача по освоению и выпуску нового агрегата-турбокомпрессора.</w:t>
      </w:r>
    </w:p>
    <w:p w14:paraId="0AB3DC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31105F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программу 1939 года выполнил на 81%, а 1940 года – на 64%.</w:t>
      </w:r>
    </w:p>
    <w:p w14:paraId="5C34A9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6B61F6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 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 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284A04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E3599D" w:rsidRPr="00E14102" w14:paraId="62086048" w14:textId="77777777">
        <w:tc>
          <w:tcPr>
            <w:tcW w:w="1160" w:type="dxa"/>
          </w:tcPr>
          <w:p w14:paraId="3A9354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Типы изделий</w:t>
            </w:r>
          </w:p>
        </w:tc>
        <w:tc>
          <w:tcPr>
            <w:tcW w:w="791" w:type="dxa"/>
          </w:tcPr>
          <w:p w14:paraId="412A7A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1950 год</w:t>
            </w:r>
          </w:p>
        </w:tc>
        <w:tc>
          <w:tcPr>
            <w:tcW w:w="851" w:type="dxa"/>
          </w:tcPr>
          <w:p w14:paraId="15A286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1951 год</w:t>
            </w:r>
          </w:p>
        </w:tc>
        <w:tc>
          <w:tcPr>
            <w:tcW w:w="850" w:type="dxa"/>
          </w:tcPr>
          <w:p w14:paraId="170750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1952 год</w:t>
            </w:r>
          </w:p>
        </w:tc>
        <w:tc>
          <w:tcPr>
            <w:tcW w:w="851" w:type="dxa"/>
          </w:tcPr>
          <w:p w14:paraId="0E9D9E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1953 год</w:t>
            </w:r>
          </w:p>
        </w:tc>
        <w:tc>
          <w:tcPr>
            <w:tcW w:w="850" w:type="dxa"/>
          </w:tcPr>
          <w:p w14:paraId="4FD6A8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1954 год</w:t>
            </w:r>
          </w:p>
        </w:tc>
        <w:tc>
          <w:tcPr>
            <w:tcW w:w="851" w:type="dxa"/>
          </w:tcPr>
          <w:p w14:paraId="78FC0D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1955 год</w:t>
            </w:r>
          </w:p>
        </w:tc>
        <w:tc>
          <w:tcPr>
            <w:tcW w:w="850" w:type="dxa"/>
          </w:tcPr>
          <w:p w14:paraId="78A153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1956 год</w:t>
            </w:r>
          </w:p>
        </w:tc>
        <w:tc>
          <w:tcPr>
            <w:tcW w:w="851" w:type="dxa"/>
          </w:tcPr>
          <w:p w14:paraId="601BE7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1957 год</w:t>
            </w:r>
          </w:p>
        </w:tc>
        <w:tc>
          <w:tcPr>
            <w:tcW w:w="850" w:type="dxa"/>
          </w:tcPr>
          <w:p w14:paraId="299206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1958 год</w:t>
            </w:r>
          </w:p>
        </w:tc>
      </w:tr>
      <w:tr w:rsidR="00E3599D" w:rsidRPr="00E14102" w14:paraId="1B81F3A2" w14:textId="77777777">
        <w:tc>
          <w:tcPr>
            <w:tcW w:w="1160" w:type="dxa"/>
          </w:tcPr>
          <w:p w14:paraId="76629F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АШ-82ФН</w:t>
            </w:r>
          </w:p>
        </w:tc>
        <w:tc>
          <w:tcPr>
            <w:tcW w:w="791" w:type="dxa"/>
          </w:tcPr>
          <w:p w14:paraId="40962F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851" w:type="dxa"/>
          </w:tcPr>
          <w:p w14:paraId="5CA77E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510</w:t>
            </w:r>
          </w:p>
        </w:tc>
        <w:tc>
          <w:tcPr>
            <w:tcW w:w="850" w:type="dxa"/>
          </w:tcPr>
          <w:p w14:paraId="20B1F29B"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65B4F168"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699E1F76"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7229D54B"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49E89FDF"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7C4A1123"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408077D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C334C70" w14:textId="77777777">
        <w:tc>
          <w:tcPr>
            <w:tcW w:w="1160" w:type="dxa"/>
          </w:tcPr>
          <w:p w14:paraId="636C4B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АШ-73</w:t>
            </w:r>
          </w:p>
        </w:tc>
        <w:tc>
          <w:tcPr>
            <w:tcW w:w="791" w:type="dxa"/>
          </w:tcPr>
          <w:p w14:paraId="4CA293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1973</w:t>
            </w:r>
          </w:p>
        </w:tc>
        <w:tc>
          <w:tcPr>
            <w:tcW w:w="851" w:type="dxa"/>
          </w:tcPr>
          <w:p w14:paraId="13F65A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1939</w:t>
            </w:r>
          </w:p>
        </w:tc>
        <w:tc>
          <w:tcPr>
            <w:tcW w:w="850" w:type="dxa"/>
          </w:tcPr>
          <w:p w14:paraId="6CFFAE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1207</w:t>
            </w:r>
          </w:p>
        </w:tc>
        <w:tc>
          <w:tcPr>
            <w:tcW w:w="851" w:type="dxa"/>
          </w:tcPr>
          <w:p w14:paraId="27D36091"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732C73EA"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0B67BEAA"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260A2D8A"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6F81E04B"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6486A34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970A738" w14:textId="77777777">
        <w:tc>
          <w:tcPr>
            <w:tcW w:w="1160" w:type="dxa"/>
          </w:tcPr>
          <w:p w14:paraId="770836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ТК-19</w:t>
            </w:r>
          </w:p>
        </w:tc>
        <w:tc>
          <w:tcPr>
            <w:tcW w:w="791" w:type="dxa"/>
          </w:tcPr>
          <w:p w14:paraId="1120008E"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13C20D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3678</w:t>
            </w:r>
          </w:p>
        </w:tc>
        <w:tc>
          <w:tcPr>
            <w:tcW w:w="850" w:type="dxa"/>
          </w:tcPr>
          <w:p w14:paraId="169246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2800</w:t>
            </w:r>
          </w:p>
        </w:tc>
        <w:tc>
          <w:tcPr>
            <w:tcW w:w="851" w:type="dxa"/>
          </w:tcPr>
          <w:p w14:paraId="04A411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68</w:t>
            </w:r>
          </w:p>
        </w:tc>
        <w:tc>
          <w:tcPr>
            <w:tcW w:w="850" w:type="dxa"/>
          </w:tcPr>
          <w:p w14:paraId="25395533"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23865A46"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7441F39D"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212BB31E"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24833AB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6898B32" w14:textId="77777777">
        <w:tc>
          <w:tcPr>
            <w:tcW w:w="1160" w:type="dxa"/>
          </w:tcPr>
          <w:p w14:paraId="51CBEB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АШ-82В</w:t>
            </w:r>
          </w:p>
        </w:tc>
        <w:tc>
          <w:tcPr>
            <w:tcW w:w="791" w:type="dxa"/>
          </w:tcPr>
          <w:p w14:paraId="170DFE21"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0EDAEAB8"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7F6B47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183</w:t>
            </w:r>
          </w:p>
        </w:tc>
        <w:tc>
          <w:tcPr>
            <w:tcW w:w="851" w:type="dxa"/>
          </w:tcPr>
          <w:p w14:paraId="519725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w:t>
            </w:r>
          </w:p>
        </w:tc>
        <w:tc>
          <w:tcPr>
            <w:tcW w:w="850" w:type="dxa"/>
          </w:tcPr>
          <w:p w14:paraId="2E82AA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93</w:t>
            </w:r>
          </w:p>
        </w:tc>
        <w:tc>
          <w:tcPr>
            <w:tcW w:w="851" w:type="dxa"/>
          </w:tcPr>
          <w:p w14:paraId="65E5E2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850" w:type="dxa"/>
          </w:tcPr>
          <w:p w14:paraId="3F1D2300"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5BD48586"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03134D4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19A30E7" w14:textId="77777777">
        <w:tc>
          <w:tcPr>
            <w:tcW w:w="1160" w:type="dxa"/>
          </w:tcPr>
          <w:p w14:paraId="35ADB9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АШ-82Т</w:t>
            </w:r>
          </w:p>
        </w:tc>
        <w:tc>
          <w:tcPr>
            <w:tcW w:w="791" w:type="dxa"/>
          </w:tcPr>
          <w:p w14:paraId="64A61D82"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53C6F179"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122A825B"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03D796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850" w:type="dxa"/>
          </w:tcPr>
          <w:p w14:paraId="00C4FE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255</w:t>
            </w:r>
          </w:p>
        </w:tc>
        <w:tc>
          <w:tcPr>
            <w:tcW w:w="851" w:type="dxa"/>
          </w:tcPr>
          <w:p w14:paraId="206256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w:t>
            </w:r>
          </w:p>
        </w:tc>
        <w:tc>
          <w:tcPr>
            <w:tcW w:w="850" w:type="dxa"/>
          </w:tcPr>
          <w:p w14:paraId="778FB782"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5F7FFB69"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4BDCD31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3BB2286" w14:textId="77777777">
        <w:tc>
          <w:tcPr>
            <w:tcW w:w="1160" w:type="dxa"/>
          </w:tcPr>
          <w:p w14:paraId="435306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ВК-1А</w:t>
            </w:r>
          </w:p>
        </w:tc>
        <w:tc>
          <w:tcPr>
            <w:tcW w:w="791" w:type="dxa"/>
          </w:tcPr>
          <w:p w14:paraId="6320DAB7"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7E738DAC"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320EEE9B"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01E472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w:t>
            </w:r>
          </w:p>
        </w:tc>
        <w:tc>
          <w:tcPr>
            <w:tcW w:w="850" w:type="dxa"/>
          </w:tcPr>
          <w:p w14:paraId="33FCCE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954</w:t>
            </w:r>
          </w:p>
        </w:tc>
        <w:tc>
          <w:tcPr>
            <w:tcW w:w="851" w:type="dxa"/>
          </w:tcPr>
          <w:p w14:paraId="0498B5B4"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717F7475"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41A3A3F1"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3DD51CB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884BAFF" w14:textId="77777777">
        <w:tc>
          <w:tcPr>
            <w:tcW w:w="1160" w:type="dxa"/>
          </w:tcPr>
          <w:p w14:paraId="2D282F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АМ-3</w:t>
            </w:r>
          </w:p>
        </w:tc>
        <w:tc>
          <w:tcPr>
            <w:tcW w:w="791" w:type="dxa"/>
          </w:tcPr>
          <w:p w14:paraId="79A753B2"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2342DF42"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577BA9BD"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3E2B8B6E"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2790D7A6"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7AADC9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435</w:t>
            </w:r>
          </w:p>
        </w:tc>
        <w:tc>
          <w:tcPr>
            <w:tcW w:w="850" w:type="dxa"/>
          </w:tcPr>
          <w:p w14:paraId="780DB2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556</w:t>
            </w:r>
          </w:p>
        </w:tc>
        <w:tc>
          <w:tcPr>
            <w:tcW w:w="851" w:type="dxa"/>
          </w:tcPr>
          <w:p w14:paraId="408C73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271</w:t>
            </w:r>
          </w:p>
        </w:tc>
        <w:tc>
          <w:tcPr>
            <w:tcW w:w="850" w:type="dxa"/>
          </w:tcPr>
          <w:p w14:paraId="67335D0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96D5157" w14:textId="77777777">
        <w:tc>
          <w:tcPr>
            <w:tcW w:w="1160" w:type="dxa"/>
          </w:tcPr>
          <w:p w14:paraId="5706A0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Редуктор Р-5</w:t>
            </w:r>
          </w:p>
        </w:tc>
        <w:tc>
          <w:tcPr>
            <w:tcW w:w="791" w:type="dxa"/>
          </w:tcPr>
          <w:p w14:paraId="343DB7DF"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3EC3C7F2"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77DA51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102</w:t>
            </w:r>
          </w:p>
        </w:tc>
        <w:tc>
          <w:tcPr>
            <w:tcW w:w="851" w:type="dxa"/>
          </w:tcPr>
          <w:p w14:paraId="0D84CD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588</w:t>
            </w:r>
          </w:p>
        </w:tc>
        <w:tc>
          <w:tcPr>
            <w:tcW w:w="850" w:type="dxa"/>
          </w:tcPr>
          <w:p w14:paraId="3AC220D5"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447261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850" w:type="dxa"/>
          </w:tcPr>
          <w:p w14:paraId="730F4D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w:t>
            </w:r>
          </w:p>
        </w:tc>
        <w:tc>
          <w:tcPr>
            <w:tcW w:w="851" w:type="dxa"/>
          </w:tcPr>
          <w:p w14:paraId="2D2145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325</w:t>
            </w:r>
          </w:p>
        </w:tc>
        <w:tc>
          <w:tcPr>
            <w:tcW w:w="850" w:type="dxa"/>
          </w:tcPr>
          <w:p w14:paraId="7070FB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320</w:t>
            </w:r>
          </w:p>
        </w:tc>
      </w:tr>
      <w:tr w:rsidR="00E3599D" w:rsidRPr="00E14102" w14:paraId="6A6ED33B" w14:textId="77777777">
        <w:tc>
          <w:tcPr>
            <w:tcW w:w="1160" w:type="dxa"/>
          </w:tcPr>
          <w:p w14:paraId="31D649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Редуктор Р-3-4</w:t>
            </w:r>
          </w:p>
        </w:tc>
        <w:tc>
          <w:tcPr>
            <w:tcW w:w="791" w:type="dxa"/>
          </w:tcPr>
          <w:p w14:paraId="04D082FD"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4E3DD271"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34BF0B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w:t>
            </w:r>
          </w:p>
        </w:tc>
        <w:tc>
          <w:tcPr>
            <w:tcW w:w="851" w:type="dxa"/>
          </w:tcPr>
          <w:p w14:paraId="201C73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102</w:t>
            </w:r>
          </w:p>
        </w:tc>
        <w:tc>
          <w:tcPr>
            <w:tcW w:w="850" w:type="dxa"/>
          </w:tcPr>
          <w:p w14:paraId="7E941B26"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12E2752C"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14B5CFE9"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1DF5D698"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7B363A7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17153DA" w14:textId="77777777">
        <w:tc>
          <w:tcPr>
            <w:tcW w:w="1160" w:type="dxa"/>
          </w:tcPr>
          <w:p w14:paraId="38AA68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Редуктор ВР-1</w:t>
            </w:r>
          </w:p>
        </w:tc>
        <w:tc>
          <w:tcPr>
            <w:tcW w:w="791" w:type="dxa"/>
          </w:tcPr>
          <w:p w14:paraId="7C6AABAE"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23493AA8"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4B5C1007"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25DFC3F2"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146CE7DE"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3107F808"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19C310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w:t>
            </w:r>
          </w:p>
        </w:tc>
        <w:tc>
          <w:tcPr>
            <w:tcW w:w="851" w:type="dxa"/>
          </w:tcPr>
          <w:p w14:paraId="6B51E8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320</w:t>
            </w:r>
          </w:p>
        </w:tc>
        <w:tc>
          <w:tcPr>
            <w:tcW w:w="850" w:type="dxa"/>
          </w:tcPr>
          <w:p w14:paraId="405113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411</w:t>
            </w:r>
          </w:p>
        </w:tc>
      </w:tr>
      <w:tr w:rsidR="00E3599D" w:rsidRPr="00E14102" w14:paraId="6D7C48DD" w14:textId="77777777">
        <w:tc>
          <w:tcPr>
            <w:tcW w:w="1160" w:type="dxa"/>
          </w:tcPr>
          <w:p w14:paraId="73AA84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РД-3М</w:t>
            </w:r>
          </w:p>
        </w:tc>
        <w:tc>
          <w:tcPr>
            <w:tcW w:w="791" w:type="dxa"/>
          </w:tcPr>
          <w:p w14:paraId="6FA60B5A"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500E8065"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5760708A"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29CA53C6"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51FC8D26"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60BFC9D0"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38AE16B1"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09A94D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617</w:t>
            </w:r>
          </w:p>
        </w:tc>
        <w:tc>
          <w:tcPr>
            <w:tcW w:w="850" w:type="dxa"/>
          </w:tcPr>
          <w:p w14:paraId="3F1D98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570</w:t>
            </w:r>
          </w:p>
        </w:tc>
      </w:tr>
      <w:tr w:rsidR="00E3599D" w:rsidRPr="00E14102" w14:paraId="58D1DB13" w14:textId="77777777">
        <w:tc>
          <w:tcPr>
            <w:tcW w:w="1160" w:type="dxa"/>
          </w:tcPr>
          <w:p w14:paraId="540436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АИ-20</w:t>
            </w:r>
          </w:p>
        </w:tc>
        <w:tc>
          <w:tcPr>
            <w:tcW w:w="791" w:type="dxa"/>
          </w:tcPr>
          <w:p w14:paraId="40A41717"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7216B581"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6C3E0222"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21E4BE53"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5F664640"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71A1E5C1"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6AF81B84"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4B448147"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1E2051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r>
    </w:tbl>
    <w:p w14:paraId="05CE5E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(9731).</w:t>
      </w:r>
    </w:p>
    <w:p w14:paraId="58FB76CF" w14:textId="77777777" w:rsidR="00D4105E" w:rsidRPr="00E14102" w:rsidRDefault="00D4105E" w:rsidP="00E14102">
      <w:pPr>
        <w:autoSpaceDE w:val="0"/>
        <w:autoSpaceDN w:val="0"/>
        <w:adjustRightInd w:val="0"/>
        <w:jc w:val="both"/>
        <w:rPr>
          <w:iCs/>
          <w:color w:val="000000" w:themeColor="text1"/>
          <w:sz w:val="16"/>
          <w:szCs w:val="16"/>
        </w:rPr>
      </w:pPr>
    </w:p>
    <w:p w14:paraId="4209CB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1935 г., согласно приказу наркома тяжелой промышленности Г.К. Орджоникидзе, создается опытно-конструкторское бюро завода № 29 им. П.И. Баранова (ОКБ-29) и А.С. Назаров назначается главным конструктором завода. После завершения работ по формированию, ОКБ-29 состояло из конструкторской группы, которой выделили отдельный корпус и назвали ОКЦ (опытно-конструкторский цех), технического бюро, цеха опытной сборки, цеха испытаний и экспериментальной группы. Всего в штате ОКБ-29 было более 200 человек (11478).</w:t>
      </w:r>
    </w:p>
    <w:p w14:paraId="0CD960F6" w14:textId="77777777" w:rsidR="00D4105E" w:rsidRPr="00E14102" w:rsidRDefault="00D4105E" w:rsidP="00E14102">
      <w:pPr>
        <w:autoSpaceDE w:val="0"/>
        <w:autoSpaceDN w:val="0"/>
        <w:adjustRightInd w:val="0"/>
        <w:jc w:val="both"/>
        <w:rPr>
          <w:color w:val="000000" w:themeColor="text1"/>
          <w:sz w:val="16"/>
          <w:szCs w:val="16"/>
        </w:rPr>
      </w:pPr>
    </w:p>
    <w:p w14:paraId="0A696E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1935 вышел приказ Г.К.Орджоникидзе о передаче всех работ по опытному авиамоторостроению на серийные моторные заводы, при которых организовали ОКБ. Многие из ЦИАМ - пошли в т.ч. ГК (80,82).</w:t>
      </w:r>
    </w:p>
    <w:p w14:paraId="09B9248B" w14:textId="77777777" w:rsidR="00D4105E" w:rsidRPr="00E14102" w:rsidRDefault="00D4105E" w:rsidP="00E14102">
      <w:pPr>
        <w:autoSpaceDE w:val="0"/>
        <w:autoSpaceDN w:val="0"/>
        <w:adjustRightInd w:val="0"/>
        <w:jc w:val="both"/>
        <w:rPr>
          <w:color w:val="000000" w:themeColor="text1"/>
          <w:sz w:val="16"/>
          <w:szCs w:val="16"/>
        </w:rPr>
      </w:pPr>
    </w:p>
    <w:p w14:paraId="1EBB8E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1935 г., согласно приказу наркома тяжелой промышленности Г.К. Орджоникидзе, создается опытно-конструкторское бюро завода № 29 им. П.И. Баранова (ОКБ-29) и А.С. Назаров назначается главным конструктором завода. После завершения работ по формированию, ОКБ-29 состояло из конструкторской группы, которой выделили отдельный корпус и назвали ОКЦ (опытно-конструкторский цех), технического бюро, цеха опытной сборки, цеха испытаний и экспериментальной группы. Всего в штате ОКБ-29 было более 200 человек. В 1936 г. конструкторы ОКБ-29 форсировали мотор М-85. Этот мотор получил обозначение М-86 (11559).</w:t>
      </w:r>
    </w:p>
    <w:p w14:paraId="1C4A88ED" w14:textId="77777777" w:rsidR="00D4105E" w:rsidRPr="00E14102" w:rsidRDefault="00D4105E" w:rsidP="00E14102">
      <w:pPr>
        <w:autoSpaceDE w:val="0"/>
        <w:autoSpaceDN w:val="0"/>
        <w:adjustRightInd w:val="0"/>
        <w:jc w:val="both"/>
        <w:rPr>
          <w:color w:val="000000" w:themeColor="text1"/>
          <w:sz w:val="16"/>
          <w:szCs w:val="16"/>
        </w:rPr>
      </w:pPr>
    </w:p>
    <w:p w14:paraId="7273BC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1935 г. для дальнейшего совершенствования М-85 сфор</w:t>
      </w:r>
      <w:r w:rsidRPr="00E14102">
        <w:rPr>
          <w:color w:val="000000" w:themeColor="text1"/>
          <w:sz w:val="16"/>
          <w:szCs w:val="16"/>
        </w:rPr>
        <w:softHyphen/>
        <w:t>мировали ОКБ-29, руководимое А.С. Назаровым. Назаров к этому време</w:t>
      </w:r>
      <w:r w:rsidRPr="00E14102">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E14102">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E14102">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Назарова возник серьезный конфликт с подчинен</w:t>
      </w:r>
      <w:r w:rsidRPr="00E14102">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E14102">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E14102">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E14102">
        <w:rPr>
          <w:color w:val="000000" w:themeColor="text1"/>
          <w:sz w:val="16"/>
          <w:szCs w:val="16"/>
        </w:rPr>
        <w:softHyphen/>
        <w:t>ным нагнетателем» и исходно не предусматривала внесения других изме</w:t>
      </w:r>
      <w:r w:rsidRPr="00E14102">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E14102">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E14102">
        <w:rPr>
          <w:color w:val="000000" w:themeColor="text1"/>
          <w:sz w:val="16"/>
          <w:szCs w:val="16"/>
        </w:rPr>
        <w:softHyphen/>
        <w:t>стояло довести до серийного производства М-87 и двигатель с двухско</w:t>
      </w:r>
      <w:r w:rsidRPr="00E14102">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E14102">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E14102">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E14102">
        <w:rPr>
          <w:color w:val="000000" w:themeColor="text1"/>
          <w:sz w:val="16"/>
          <w:szCs w:val="16"/>
        </w:rPr>
        <w:softHyphen/>
        <w:t>енную приемку. До конца года сдали 711 таких двигателей. Старые М-85 и М-86 строить перестали (11852).</w:t>
      </w:r>
    </w:p>
    <w:p w14:paraId="5D132A27" w14:textId="77777777" w:rsidR="00D4105E" w:rsidRPr="00E14102" w:rsidRDefault="00D4105E" w:rsidP="00E14102">
      <w:pPr>
        <w:autoSpaceDE w:val="0"/>
        <w:autoSpaceDN w:val="0"/>
        <w:adjustRightInd w:val="0"/>
        <w:jc w:val="both"/>
        <w:rPr>
          <w:color w:val="000000" w:themeColor="text1"/>
          <w:sz w:val="16"/>
          <w:szCs w:val="16"/>
        </w:rPr>
      </w:pPr>
    </w:p>
    <w:p w14:paraId="43450817" w14:textId="77777777" w:rsidR="00732B78" w:rsidRPr="00E14102" w:rsidRDefault="00732B78" w:rsidP="00E14102">
      <w:pPr>
        <w:pStyle w:val="rtejustify"/>
        <w:spacing w:before="0" w:after="0"/>
        <w:rPr>
          <w:color w:val="000000" w:themeColor="text1"/>
          <w:sz w:val="16"/>
          <w:szCs w:val="16"/>
        </w:rPr>
      </w:pPr>
      <w:r w:rsidRPr="00E14102">
        <w:rPr>
          <w:rStyle w:val="a6"/>
          <w:bCs/>
          <w:i w:val="0"/>
          <w:color w:val="000000" w:themeColor="text1"/>
          <w:sz w:val="16"/>
          <w:szCs w:val="16"/>
        </w:rPr>
        <w:t>1 января 1935 вышел приказ НКТП № 4с.</w:t>
      </w:r>
      <w:r w:rsidRPr="00E14102">
        <w:rPr>
          <w:color w:val="000000" w:themeColor="text1"/>
          <w:sz w:val="16"/>
          <w:szCs w:val="16"/>
        </w:rPr>
        <w:t xml:space="preserve"> О своевременных поставках для производства моторов «Испано» на заводе № 26. (РГАЭ. Ф. 7297. Оп. 38. Д. 171. Л. 4) (15246).</w:t>
      </w:r>
    </w:p>
    <w:p w14:paraId="4A541FBD" w14:textId="77777777" w:rsidR="00732B78" w:rsidRPr="00E14102" w:rsidRDefault="00732B78" w:rsidP="00E14102">
      <w:pPr>
        <w:pStyle w:val="rtejustify"/>
        <w:spacing w:before="0" w:after="0"/>
        <w:rPr>
          <w:color w:val="000000" w:themeColor="text1"/>
          <w:sz w:val="16"/>
          <w:szCs w:val="16"/>
        </w:rPr>
      </w:pPr>
    </w:p>
    <w:p w14:paraId="185277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1935 в авиапромышленности работало 131 тыс. человек (80,421) и было 28 крупных предприятий (237,172).</w:t>
      </w:r>
    </w:p>
    <w:p w14:paraId="2EB185FB" w14:textId="77777777" w:rsidR="00D4105E" w:rsidRPr="00E14102" w:rsidRDefault="00D4105E" w:rsidP="00E14102">
      <w:pPr>
        <w:autoSpaceDE w:val="0"/>
        <w:autoSpaceDN w:val="0"/>
        <w:adjustRightInd w:val="0"/>
        <w:jc w:val="both"/>
        <w:rPr>
          <w:color w:val="000000" w:themeColor="text1"/>
          <w:sz w:val="16"/>
          <w:szCs w:val="16"/>
        </w:rPr>
      </w:pPr>
    </w:p>
    <w:p w14:paraId="6B6DC9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 января 1935 г. в АП было уже 28 крупных предприятий (609), общая численность работающих в отрасли составила к этому времени 131040 человек (610).</w:t>
      </w:r>
    </w:p>
    <w:p w14:paraId="6DCD5DC8" w14:textId="77777777" w:rsidR="00D4105E" w:rsidRPr="00E14102" w:rsidRDefault="00D4105E" w:rsidP="00E14102">
      <w:pPr>
        <w:autoSpaceDE w:val="0"/>
        <w:autoSpaceDN w:val="0"/>
        <w:adjustRightInd w:val="0"/>
        <w:jc w:val="both"/>
        <w:rPr>
          <w:color w:val="000000" w:themeColor="text1"/>
          <w:sz w:val="16"/>
          <w:szCs w:val="16"/>
        </w:rPr>
      </w:pPr>
    </w:p>
    <w:p w14:paraId="2718CE20" w14:textId="77777777" w:rsidR="003551F4" w:rsidRPr="00E14102" w:rsidRDefault="003551F4" w:rsidP="00E14102">
      <w:pPr>
        <w:jc w:val="both"/>
        <w:rPr>
          <w:color w:val="0070C0"/>
          <w:sz w:val="16"/>
          <w:szCs w:val="16"/>
        </w:rPr>
      </w:pPr>
      <w:r w:rsidRPr="00E14102">
        <w:rPr>
          <w:color w:val="0070C0"/>
          <w:sz w:val="16"/>
          <w:szCs w:val="16"/>
        </w:rPr>
        <w:t>На 1 января 1935 г., согласно материалам III Всесоюзного съезда ОАХ, подчеркнувшим, что не преодолена расплывчатость этой организации, «по формальным, крайне запутанным и фактически явно преувеличенным учетным данным» численность Осоавиахима определялась в размере 13.000.000 человек (21402).</w:t>
      </w:r>
    </w:p>
    <w:p w14:paraId="7DA8711F" w14:textId="77777777" w:rsidR="003551F4" w:rsidRPr="00E14102" w:rsidRDefault="003551F4" w:rsidP="00E14102">
      <w:pPr>
        <w:jc w:val="both"/>
        <w:rPr>
          <w:color w:val="0070C0"/>
          <w:sz w:val="16"/>
          <w:szCs w:val="16"/>
        </w:rPr>
      </w:pPr>
    </w:p>
    <w:p w14:paraId="4208A7C0" w14:textId="77777777" w:rsidR="003551F4" w:rsidRPr="00E14102" w:rsidRDefault="003551F4" w:rsidP="00E14102">
      <w:pPr>
        <w:jc w:val="both"/>
        <w:rPr>
          <w:color w:val="0070C0"/>
          <w:sz w:val="16"/>
          <w:szCs w:val="16"/>
        </w:rPr>
      </w:pPr>
      <w:r w:rsidRPr="00E14102">
        <w:rPr>
          <w:color w:val="0070C0"/>
          <w:sz w:val="16"/>
          <w:szCs w:val="16"/>
        </w:rPr>
        <w:t>На 1 января 1935 года общее количество прыжков по стране превысило 35 тысяч (Минов Л. Путь парашюта. Изд. 2-е, доп. М.: Молодая гвардия, 1935. С. 32.) (21402).</w:t>
      </w:r>
    </w:p>
    <w:p w14:paraId="61184365" w14:textId="77777777" w:rsidR="003551F4" w:rsidRPr="00E14102" w:rsidRDefault="003551F4" w:rsidP="00E14102">
      <w:pPr>
        <w:jc w:val="both"/>
        <w:rPr>
          <w:color w:val="0070C0"/>
          <w:sz w:val="16"/>
          <w:szCs w:val="16"/>
        </w:rPr>
      </w:pPr>
    </w:p>
    <w:p w14:paraId="7A93A5FB" w14:textId="77777777" w:rsidR="001311E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D5396C8" w14:textId="77777777" w:rsidR="001311E0" w:rsidRPr="00E14102" w:rsidRDefault="001311E0" w:rsidP="00E14102">
      <w:pPr>
        <w:autoSpaceDE w:val="0"/>
        <w:autoSpaceDN w:val="0"/>
        <w:adjustRightInd w:val="0"/>
        <w:jc w:val="both"/>
        <w:rPr>
          <w:iCs/>
          <w:color w:val="000000" w:themeColor="text1"/>
          <w:sz w:val="16"/>
          <w:szCs w:val="16"/>
        </w:rPr>
      </w:pPr>
    </w:p>
    <w:p w14:paraId="5ACC2F3A" w14:textId="77777777" w:rsidR="001311E0" w:rsidRPr="00E14102" w:rsidRDefault="001311E0" w:rsidP="00E14102">
      <w:pPr>
        <w:jc w:val="both"/>
        <w:rPr>
          <w:color w:val="000000" w:themeColor="text1"/>
          <w:sz w:val="16"/>
          <w:szCs w:val="16"/>
        </w:rPr>
      </w:pPr>
      <w:r w:rsidRPr="00E14102">
        <w:rPr>
          <w:color w:val="000000" w:themeColor="text1"/>
          <w:sz w:val="16"/>
          <w:szCs w:val="16"/>
        </w:rPr>
        <w:t xml:space="preserve">Не ранее 1 января 1935 г. [8] </w:t>
      </w:r>
      <w:r w:rsidRPr="00E14102">
        <w:rPr>
          <w:rStyle w:val="a3"/>
          <w:b w:val="0"/>
          <w:bCs w:val="0"/>
          <w:color w:val="000000" w:themeColor="text1"/>
          <w:sz w:val="16"/>
          <w:szCs w:val="16"/>
        </w:rPr>
        <w:t>Из отчета Всесоюзного треста качественных и высококачественных сталей и ферросплавов Наркомтяжпрома СССР за 1934 г.</w:t>
      </w:r>
    </w:p>
    <w:p w14:paraId="663CA33A" w14:textId="77777777" w:rsidR="001311E0" w:rsidRPr="00E14102" w:rsidRDefault="001311E0" w:rsidP="00E14102">
      <w:pPr>
        <w:jc w:val="both"/>
        <w:rPr>
          <w:color w:val="000000" w:themeColor="text1"/>
          <w:sz w:val="16"/>
          <w:szCs w:val="16"/>
        </w:rPr>
      </w:pPr>
      <w:r w:rsidRPr="00E14102">
        <w:rPr>
          <w:color w:val="000000" w:themeColor="text1"/>
          <w:sz w:val="16"/>
          <w:szCs w:val="16"/>
        </w:rPr>
        <w:t>Трест «Спецсталь» в 1934 г. выполнил программу по всему металлургическому циклу (чугун, сталь, прокат, холоднотянутый калиброванный металл,авиапоковки) с перекрытием потерь от неввода нового оборудования.</w:t>
      </w:r>
    </w:p>
    <w:p w14:paraId="3F4EDC22" w14:textId="77777777" w:rsidR="001311E0" w:rsidRPr="00E14102" w:rsidRDefault="001311E0" w:rsidP="00E14102">
      <w:pPr>
        <w:jc w:val="both"/>
        <w:rPr>
          <w:color w:val="000000" w:themeColor="text1"/>
          <w:sz w:val="16"/>
          <w:szCs w:val="16"/>
        </w:rPr>
      </w:pPr>
      <w:r w:rsidRPr="00E14102">
        <w:rPr>
          <w:color w:val="000000" w:themeColor="text1"/>
          <w:sz w:val="16"/>
          <w:szCs w:val="16"/>
        </w:rPr>
        <w:t>Результаты годовой работы следующие [табл. 1].</w:t>
      </w:r>
    </w:p>
    <w:p w14:paraId="4F5FEC0D"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[ТАБЛИЦА 1]</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33"/>
        <w:gridCol w:w="1007"/>
        <w:gridCol w:w="832"/>
        <w:gridCol w:w="3051"/>
      </w:tblGrid>
      <w:tr w:rsidR="00E3599D" w:rsidRPr="00E14102" w14:paraId="40DA0EF7" w14:textId="77777777" w:rsidTr="005D773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DEF978C"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[Виды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95B41E"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Выполнение плана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2BD012"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Рост по отношению к 1933г., %</w:t>
            </w:r>
          </w:p>
        </w:tc>
      </w:tr>
      <w:tr w:rsidR="00E3599D" w:rsidRPr="00E14102" w14:paraId="5F8CAE8D" w14:textId="77777777" w:rsidTr="005D7732">
        <w:tc>
          <w:tcPr>
            <w:tcW w:w="0" w:type="auto"/>
            <w:vMerge/>
            <w:tcBorders>
              <w:top w:val="outset" w:sz="6" w:space="0" w:color="auto"/>
              <w:left w:val="outset" w:sz="6" w:space="0" w:color="auto"/>
              <w:bottom w:val="outset" w:sz="6" w:space="0" w:color="auto"/>
              <w:right w:val="outset" w:sz="6" w:space="0" w:color="auto"/>
            </w:tcBorders>
            <w:vAlign w:val="center"/>
            <w:hideMark/>
          </w:tcPr>
          <w:p w14:paraId="087CFE10" w14:textId="77777777" w:rsidR="001311E0" w:rsidRPr="00E14102" w:rsidRDefault="001311E0"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B679B"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27D34"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5F9E9D8" w14:textId="77777777" w:rsidR="001311E0" w:rsidRPr="00E14102" w:rsidRDefault="001311E0" w:rsidP="00E14102">
            <w:pPr>
              <w:jc w:val="both"/>
              <w:rPr>
                <w:color w:val="000000" w:themeColor="text1"/>
                <w:sz w:val="16"/>
                <w:szCs w:val="16"/>
              </w:rPr>
            </w:pPr>
          </w:p>
        </w:tc>
      </w:tr>
      <w:tr w:rsidR="00E3599D" w:rsidRPr="00E14102" w14:paraId="46B9C586"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3114212" w14:textId="77777777" w:rsidR="001311E0" w:rsidRPr="00E14102" w:rsidRDefault="001311E0" w:rsidP="00E14102">
            <w:pPr>
              <w:jc w:val="both"/>
              <w:rPr>
                <w:color w:val="000000" w:themeColor="text1"/>
                <w:sz w:val="16"/>
                <w:szCs w:val="16"/>
              </w:rPr>
            </w:pPr>
            <w:r w:rsidRPr="00E14102">
              <w:rPr>
                <w:color w:val="000000" w:themeColor="text1"/>
                <w:sz w:val="16"/>
                <w:szCs w:val="16"/>
              </w:rPr>
              <w:t>По чугуну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08721" w14:textId="77777777" w:rsidR="001311E0" w:rsidRPr="00E14102" w:rsidRDefault="001311E0" w:rsidP="00E14102">
            <w:pPr>
              <w:jc w:val="both"/>
              <w:rPr>
                <w:color w:val="000000" w:themeColor="text1"/>
                <w:sz w:val="16"/>
                <w:szCs w:val="16"/>
              </w:rPr>
            </w:pPr>
            <w:r w:rsidRPr="00E14102">
              <w:rPr>
                <w:color w:val="000000" w:themeColor="text1"/>
                <w:sz w:val="16"/>
                <w:szCs w:val="16"/>
              </w:rPr>
              <w:t>626,4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CC79E" w14:textId="77777777" w:rsidR="001311E0" w:rsidRPr="00E14102" w:rsidRDefault="001311E0" w:rsidP="00E14102">
            <w:pPr>
              <w:jc w:val="both"/>
              <w:rPr>
                <w:color w:val="000000" w:themeColor="text1"/>
                <w:sz w:val="16"/>
                <w:szCs w:val="16"/>
              </w:rPr>
            </w:pPr>
            <w:r w:rsidRPr="00E14102">
              <w:rPr>
                <w:color w:val="000000" w:themeColor="text1"/>
                <w:sz w:val="16"/>
                <w:szCs w:val="16"/>
              </w:rPr>
              <w:t>104,7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2CEF0" w14:textId="77777777" w:rsidR="001311E0" w:rsidRPr="00E14102" w:rsidRDefault="001311E0" w:rsidP="00E14102">
            <w:pPr>
              <w:jc w:val="both"/>
              <w:rPr>
                <w:color w:val="000000" w:themeColor="text1"/>
                <w:sz w:val="16"/>
                <w:szCs w:val="16"/>
              </w:rPr>
            </w:pPr>
            <w:r w:rsidRPr="00E14102">
              <w:rPr>
                <w:color w:val="000000" w:themeColor="text1"/>
                <w:sz w:val="16"/>
                <w:szCs w:val="16"/>
              </w:rPr>
              <w:t>357,8</w:t>
            </w:r>
          </w:p>
        </w:tc>
      </w:tr>
      <w:tr w:rsidR="00E3599D" w:rsidRPr="00E14102" w14:paraId="163B24F3"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FDB7494" w14:textId="77777777" w:rsidR="001311E0" w:rsidRPr="00E14102" w:rsidRDefault="001311E0" w:rsidP="00E14102">
            <w:pPr>
              <w:jc w:val="both"/>
              <w:rPr>
                <w:color w:val="000000" w:themeColor="text1"/>
                <w:sz w:val="16"/>
                <w:szCs w:val="16"/>
              </w:rPr>
            </w:pPr>
            <w:r w:rsidRPr="00E14102">
              <w:rPr>
                <w:color w:val="000000" w:themeColor="text1"/>
                <w:sz w:val="16"/>
                <w:szCs w:val="16"/>
              </w:rPr>
              <w:t>По ферросплавам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435E0" w14:textId="77777777" w:rsidR="001311E0" w:rsidRPr="00E14102" w:rsidRDefault="001311E0" w:rsidP="00E14102">
            <w:pPr>
              <w:jc w:val="both"/>
              <w:rPr>
                <w:color w:val="000000" w:themeColor="text1"/>
                <w:sz w:val="16"/>
                <w:szCs w:val="16"/>
              </w:rPr>
            </w:pPr>
            <w:r w:rsidRPr="00E14102">
              <w:rPr>
                <w:color w:val="000000" w:themeColor="text1"/>
                <w:sz w:val="16"/>
                <w:szCs w:val="16"/>
              </w:rPr>
              <w:t>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37942" w14:textId="77777777" w:rsidR="001311E0" w:rsidRPr="00E14102" w:rsidRDefault="001311E0" w:rsidP="00E14102">
            <w:pPr>
              <w:jc w:val="both"/>
              <w:rPr>
                <w:color w:val="000000" w:themeColor="text1"/>
                <w:sz w:val="16"/>
                <w:szCs w:val="16"/>
              </w:rPr>
            </w:pPr>
            <w:r w:rsidRPr="00E14102">
              <w:rPr>
                <w:color w:val="000000" w:themeColor="text1"/>
                <w:sz w:val="16"/>
                <w:szCs w:val="16"/>
              </w:rPr>
              <w:t>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FE399" w14:textId="77777777" w:rsidR="001311E0" w:rsidRPr="00E14102" w:rsidRDefault="001311E0" w:rsidP="00E14102">
            <w:pPr>
              <w:jc w:val="both"/>
              <w:rPr>
                <w:color w:val="000000" w:themeColor="text1"/>
                <w:sz w:val="16"/>
                <w:szCs w:val="16"/>
              </w:rPr>
            </w:pPr>
            <w:r w:rsidRPr="00E14102">
              <w:rPr>
                <w:color w:val="000000" w:themeColor="text1"/>
                <w:sz w:val="16"/>
                <w:szCs w:val="16"/>
              </w:rPr>
              <w:t>321,5</w:t>
            </w:r>
          </w:p>
        </w:tc>
      </w:tr>
      <w:tr w:rsidR="00E3599D" w:rsidRPr="00E14102" w14:paraId="13E99CB1"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760532E0" w14:textId="77777777" w:rsidR="001311E0" w:rsidRPr="00E14102" w:rsidRDefault="001311E0" w:rsidP="00E14102">
            <w:pPr>
              <w:jc w:val="both"/>
              <w:rPr>
                <w:color w:val="000000" w:themeColor="text1"/>
                <w:sz w:val="16"/>
                <w:szCs w:val="16"/>
              </w:rPr>
            </w:pPr>
            <w:r w:rsidRPr="00E14102">
              <w:rPr>
                <w:color w:val="000000" w:themeColor="text1"/>
                <w:sz w:val="16"/>
                <w:szCs w:val="16"/>
              </w:rPr>
              <w:t>По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DA8D8" w14:textId="77777777" w:rsidR="001311E0" w:rsidRPr="00E14102" w:rsidRDefault="001311E0" w:rsidP="00E14102">
            <w:pPr>
              <w:jc w:val="both"/>
              <w:rPr>
                <w:color w:val="000000" w:themeColor="text1"/>
                <w:sz w:val="16"/>
                <w:szCs w:val="16"/>
              </w:rPr>
            </w:pPr>
            <w:r w:rsidRPr="00E14102">
              <w:rPr>
                <w:color w:val="000000" w:themeColor="text1"/>
                <w:sz w:val="16"/>
                <w:szCs w:val="16"/>
              </w:rPr>
              <w:t>1035,8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34ED8" w14:textId="77777777" w:rsidR="001311E0" w:rsidRPr="00E14102" w:rsidRDefault="001311E0" w:rsidP="00E14102">
            <w:pPr>
              <w:jc w:val="both"/>
              <w:rPr>
                <w:color w:val="000000" w:themeColor="text1"/>
                <w:sz w:val="16"/>
                <w:szCs w:val="16"/>
              </w:rPr>
            </w:pPr>
            <w:r w:rsidRPr="00E14102">
              <w:rPr>
                <w:color w:val="000000" w:themeColor="text1"/>
                <w:sz w:val="16"/>
                <w:szCs w:val="16"/>
              </w:rPr>
              <w:t>103,8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48F47" w14:textId="77777777" w:rsidR="001311E0" w:rsidRPr="00E14102" w:rsidRDefault="001311E0" w:rsidP="00E14102">
            <w:pPr>
              <w:jc w:val="both"/>
              <w:rPr>
                <w:color w:val="000000" w:themeColor="text1"/>
                <w:sz w:val="16"/>
                <w:szCs w:val="16"/>
              </w:rPr>
            </w:pPr>
            <w:r w:rsidRPr="00E14102">
              <w:rPr>
                <w:color w:val="000000" w:themeColor="text1"/>
                <w:sz w:val="16"/>
                <w:szCs w:val="16"/>
              </w:rPr>
              <w:t>119,6</w:t>
            </w:r>
          </w:p>
        </w:tc>
      </w:tr>
      <w:tr w:rsidR="00E3599D" w:rsidRPr="00E14102" w14:paraId="4CE1ADA6" w14:textId="77777777" w:rsidTr="005D773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42CFC8F" w14:textId="77777777" w:rsidR="001311E0" w:rsidRPr="00E14102" w:rsidRDefault="001311E0" w:rsidP="00E14102">
            <w:pPr>
              <w:jc w:val="both"/>
              <w:rPr>
                <w:color w:val="000000" w:themeColor="text1"/>
                <w:sz w:val="16"/>
                <w:szCs w:val="16"/>
              </w:rPr>
            </w:pPr>
            <w:r w:rsidRPr="00E14102">
              <w:rPr>
                <w:color w:val="000000" w:themeColor="text1"/>
                <w:sz w:val="16"/>
                <w:szCs w:val="16"/>
              </w:rPr>
              <w:t>В том числе:</w:t>
            </w:r>
          </w:p>
        </w:tc>
      </w:tr>
      <w:tr w:rsidR="00E3599D" w:rsidRPr="00E14102" w14:paraId="2BEE57A3"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8CF9FE3" w14:textId="77777777" w:rsidR="001311E0" w:rsidRPr="00E14102" w:rsidRDefault="001311E0" w:rsidP="00E14102">
            <w:pPr>
              <w:jc w:val="both"/>
              <w:rPr>
                <w:color w:val="000000" w:themeColor="text1"/>
                <w:sz w:val="16"/>
                <w:szCs w:val="16"/>
              </w:rPr>
            </w:pPr>
            <w:r w:rsidRPr="00E14102">
              <w:rPr>
                <w:color w:val="000000" w:themeColor="text1"/>
                <w:sz w:val="16"/>
                <w:szCs w:val="16"/>
              </w:rPr>
              <w:t>мартеновской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56E21" w14:textId="77777777" w:rsidR="001311E0" w:rsidRPr="00E14102" w:rsidRDefault="001311E0" w:rsidP="00E14102">
            <w:pPr>
              <w:jc w:val="both"/>
              <w:rPr>
                <w:color w:val="000000" w:themeColor="text1"/>
                <w:sz w:val="16"/>
                <w:szCs w:val="16"/>
              </w:rPr>
            </w:pPr>
            <w:r w:rsidRPr="00E14102">
              <w:rPr>
                <w:color w:val="000000" w:themeColor="text1"/>
                <w:sz w:val="16"/>
                <w:szCs w:val="16"/>
              </w:rPr>
              <w:t>851,4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EB756" w14:textId="77777777" w:rsidR="001311E0" w:rsidRPr="00E14102" w:rsidRDefault="001311E0" w:rsidP="00E14102">
            <w:pPr>
              <w:jc w:val="both"/>
              <w:rPr>
                <w:color w:val="000000" w:themeColor="text1"/>
                <w:sz w:val="16"/>
                <w:szCs w:val="16"/>
              </w:rPr>
            </w:pPr>
            <w:r w:rsidRPr="00E14102">
              <w:rPr>
                <w:color w:val="000000" w:themeColor="text1"/>
                <w:sz w:val="16"/>
                <w:szCs w:val="16"/>
              </w:rPr>
              <w:t>105,8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C45CB" w14:textId="77777777" w:rsidR="001311E0" w:rsidRPr="00E14102" w:rsidRDefault="001311E0" w:rsidP="00E14102">
            <w:pPr>
              <w:jc w:val="both"/>
              <w:rPr>
                <w:color w:val="000000" w:themeColor="text1"/>
                <w:sz w:val="16"/>
                <w:szCs w:val="16"/>
              </w:rPr>
            </w:pPr>
            <w:r w:rsidRPr="00E14102">
              <w:rPr>
                <w:color w:val="000000" w:themeColor="text1"/>
                <w:sz w:val="16"/>
                <w:szCs w:val="16"/>
              </w:rPr>
              <w:t>111,8</w:t>
            </w:r>
          </w:p>
        </w:tc>
      </w:tr>
      <w:tr w:rsidR="00E3599D" w:rsidRPr="00E14102" w14:paraId="646A589A"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71A4C85A" w14:textId="77777777" w:rsidR="001311E0" w:rsidRPr="00E14102" w:rsidRDefault="001311E0" w:rsidP="00E14102">
            <w:pPr>
              <w:jc w:val="both"/>
              <w:rPr>
                <w:color w:val="000000" w:themeColor="text1"/>
                <w:sz w:val="16"/>
                <w:szCs w:val="16"/>
              </w:rPr>
            </w:pPr>
            <w:r w:rsidRPr="00E14102">
              <w:rPr>
                <w:color w:val="000000" w:themeColor="text1"/>
                <w:sz w:val="16"/>
                <w:szCs w:val="16"/>
              </w:rPr>
              <w:t>электрической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7111E" w14:textId="77777777" w:rsidR="001311E0" w:rsidRPr="00E14102" w:rsidRDefault="001311E0" w:rsidP="00E14102">
            <w:pPr>
              <w:jc w:val="both"/>
              <w:rPr>
                <w:color w:val="000000" w:themeColor="text1"/>
                <w:sz w:val="16"/>
                <w:szCs w:val="16"/>
              </w:rPr>
            </w:pPr>
            <w:r w:rsidRPr="00E14102">
              <w:rPr>
                <w:color w:val="000000" w:themeColor="text1"/>
                <w:sz w:val="16"/>
                <w:szCs w:val="16"/>
              </w:rPr>
              <w:t>184,4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87F71" w14:textId="77777777" w:rsidR="001311E0" w:rsidRPr="00E14102" w:rsidRDefault="001311E0" w:rsidP="00E14102">
            <w:pPr>
              <w:jc w:val="both"/>
              <w:rPr>
                <w:color w:val="000000" w:themeColor="text1"/>
                <w:sz w:val="16"/>
                <w:szCs w:val="16"/>
              </w:rPr>
            </w:pPr>
            <w:r w:rsidRPr="00E14102">
              <w:rPr>
                <w:color w:val="000000" w:themeColor="text1"/>
                <w:sz w:val="16"/>
                <w:szCs w:val="16"/>
              </w:rPr>
              <w:t>94,8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E0031" w14:textId="77777777" w:rsidR="001311E0" w:rsidRPr="00E14102" w:rsidRDefault="001311E0" w:rsidP="00E14102">
            <w:pPr>
              <w:jc w:val="both"/>
              <w:rPr>
                <w:color w:val="000000" w:themeColor="text1"/>
                <w:sz w:val="16"/>
                <w:szCs w:val="16"/>
              </w:rPr>
            </w:pPr>
            <w:r w:rsidRPr="00E14102">
              <w:rPr>
                <w:color w:val="000000" w:themeColor="text1"/>
                <w:sz w:val="16"/>
                <w:szCs w:val="16"/>
              </w:rPr>
              <w:t>176,6</w:t>
            </w:r>
          </w:p>
        </w:tc>
      </w:tr>
      <w:tr w:rsidR="00E3599D" w:rsidRPr="00E14102" w14:paraId="47F1188D"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ED5EF13" w14:textId="77777777" w:rsidR="001311E0" w:rsidRPr="00E14102" w:rsidRDefault="001311E0" w:rsidP="00E14102">
            <w:pPr>
              <w:jc w:val="both"/>
              <w:rPr>
                <w:color w:val="000000" w:themeColor="text1"/>
                <w:sz w:val="16"/>
                <w:szCs w:val="16"/>
              </w:rPr>
            </w:pPr>
            <w:r w:rsidRPr="00E14102">
              <w:rPr>
                <w:color w:val="000000" w:themeColor="text1"/>
                <w:sz w:val="16"/>
                <w:szCs w:val="16"/>
              </w:rPr>
              <w:t>По готовому прокату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191A7" w14:textId="77777777" w:rsidR="001311E0" w:rsidRPr="00E14102" w:rsidRDefault="001311E0" w:rsidP="00E14102">
            <w:pPr>
              <w:jc w:val="both"/>
              <w:rPr>
                <w:color w:val="000000" w:themeColor="text1"/>
                <w:sz w:val="16"/>
                <w:szCs w:val="16"/>
              </w:rPr>
            </w:pPr>
            <w:r w:rsidRPr="00E14102">
              <w:rPr>
                <w:color w:val="000000" w:themeColor="text1"/>
                <w:sz w:val="16"/>
                <w:szCs w:val="16"/>
              </w:rPr>
              <w:t>743,7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DA721" w14:textId="77777777" w:rsidR="001311E0" w:rsidRPr="00E14102" w:rsidRDefault="001311E0" w:rsidP="00E14102">
            <w:pPr>
              <w:jc w:val="both"/>
              <w:rPr>
                <w:color w:val="000000" w:themeColor="text1"/>
                <w:sz w:val="16"/>
                <w:szCs w:val="16"/>
              </w:rPr>
            </w:pPr>
            <w:r w:rsidRPr="00E14102">
              <w:rPr>
                <w:color w:val="000000" w:themeColor="text1"/>
                <w:sz w:val="16"/>
                <w:szCs w:val="16"/>
              </w:rPr>
              <w:t>108,3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199AB" w14:textId="77777777" w:rsidR="001311E0" w:rsidRPr="00E14102" w:rsidRDefault="001311E0" w:rsidP="00E14102">
            <w:pPr>
              <w:jc w:val="both"/>
              <w:rPr>
                <w:color w:val="000000" w:themeColor="text1"/>
                <w:sz w:val="16"/>
                <w:szCs w:val="16"/>
              </w:rPr>
            </w:pPr>
            <w:r w:rsidRPr="00E14102">
              <w:rPr>
                <w:color w:val="000000" w:themeColor="text1"/>
                <w:sz w:val="16"/>
                <w:szCs w:val="16"/>
              </w:rPr>
              <w:t>122,7</w:t>
            </w:r>
          </w:p>
        </w:tc>
      </w:tr>
      <w:tr w:rsidR="00E3599D" w:rsidRPr="00E14102" w14:paraId="52D8EAC5"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747B47D" w14:textId="77777777" w:rsidR="001311E0" w:rsidRPr="00E14102" w:rsidRDefault="001311E0" w:rsidP="00E14102">
            <w:pPr>
              <w:jc w:val="both"/>
              <w:rPr>
                <w:color w:val="000000" w:themeColor="text1"/>
                <w:sz w:val="16"/>
                <w:szCs w:val="16"/>
              </w:rPr>
            </w:pPr>
            <w:r w:rsidRPr="00E14102">
              <w:rPr>
                <w:color w:val="000000" w:themeColor="text1"/>
                <w:sz w:val="16"/>
                <w:szCs w:val="16"/>
              </w:rPr>
              <w:t>В том числе по качественному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3DC06" w14:textId="77777777" w:rsidR="001311E0" w:rsidRPr="00E14102" w:rsidRDefault="001311E0" w:rsidP="00E14102">
            <w:pPr>
              <w:jc w:val="both"/>
              <w:rPr>
                <w:color w:val="000000" w:themeColor="text1"/>
                <w:sz w:val="16"/>
                <w:szCs w:val="16"/>
              </w:rPr>
            </w:pPr>
            <w:r w:rsidRPr="00E14102">
              <w:rPr>
                <w:color w:val="000000" w:themeColor="text1"/>
                <w:sz w:val="16"/>
                <w:szCs w:val="16"/>
              </w:rPr>
              <w:t>544,5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CD05D" w14:textId="77777777" w:rsidR="001311E0" w:rsidRPr="00E14102" w:rsidRDefault="001311E0" w:rsidP="00E14102">
            <w:pPr>
              <w:jc w:val="both"/>
              <w:rPr>
                <w:color w:val="000000" w:themeColor="text1"/>
                <w:sz w:val="16"/>
                <w:szCs w:val="16"/>
              </w:rPr>
            </w:pPr>
            <w:r w:rsidRPr="00E14102">
              <w:rPr>
                <w:color w:val="000000" w:themeColor="text1"/>
                <w:sz w:val="16"/>
                <w:szCs w:val="16"/>
              </w:rPr>
              <w:t>106,7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22EC5" w14:textId="77777777" w:rsidR="001311E0" w:rsidRPr="00E14102" w:rsidRDefault="001311E0" w:rsidP="00E14102">
            <w:pPr>
              <w:jc w:val="both"/>
              <w:rPr>
                <w:color w:val="000000" w:themeColor="text1"/>
                <w:sz w:val="16"/>
                <w:szCs w:val="16"/>
              </w:rPr>
            </w:pPr>
            <w:r w:rsidRPr="00E14102">
              <w:rPr>
                <w:color w:val="000000" w:themeColor="text1"/>
                <w:sz w:val="16"/>
                <w:szCs w:val="16"/>
              </w:rPr>
              <w:t>126,9</w:t>
            </w:r>
          </w:p>
        </w:tc>
      </w:tr>
      <w:tr w:rsidR="00E3599D" w:rsidRPr="00E14102" w14:paraId="05727086"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6B3720A" w14:textId="77777777" w:rsidR="001311E0" w:rsidRPr="00E14102" w:rsidRDefault="001311E0" w:rsidP="00E14102">
            <w:pPr>
              <w:jc w:val="both"/>
              <w:rPr>
                <w:color w:val="000000" w:themeColor="text1"/>
                <w:sz w:val="16"/>
                <w:szCs w:val="16"/>
              </w:rPr>
            </w:pPr>
            <w:r w:rsidRPr="00E14102">
              <w:rPr>
                <w:color w:val="000000" w:themeColor="text1"/>
                <w:sz w:val="16"/>
                <w:szCs w:val="16"/>
              </w:rPr>
              <w:t>Калиброванный 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AC7BF" w14:textId="77777777" w:rsidR="001311E0" w:rsidRPr="00E14102" w:rsidRDefault="001311E0" w:rsidP="00E14102">
            <w:pPr>
              <w:jc w:val="both"/>
              <w:rPr>
                <w:color w:val="000000" w:themeColor="text1"/>
                <w:sz w:val="16"/>
                <w:szCs w:val="16"/>
              </w:rPr>
            </w:pPr>
            <w:r w:rsidRPr="00E14102">
              <w:rPr>
                <w:color w:val="000000" w:themeColor="text1"/>
                <w:sz w:val="16"/>
                <w:szCs w:val="16"/>
              </w:rPr>
              <w:t>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DA342" w14:textId="77777777" w:rsidR="001311E0" w:rsidRPr="00E14102" w:rsidRDefault="001311E0" w:rsidP="00E14102">
            <w:pPr>
              <w:jc w:val="both"/>
              <w:rPr>
                <w:color w:val="000000" w:themeColor="text1"/>
                <w:sz w:val="16"/>
                <w:szCs w:val="16"/>
              </w:rPr>
            </w:pPr>
            <w:r w:rsidRPr="00E14102">
              <w:rPr>
                <w:color w:val="000000" w:themeColor="text1"/>
                <w:sz w:val="16"/>
                <w:szCs w:val="16"/>
              </w:rPr>
              <w:t>111,4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CEFA6" w14:textId="77777777" w:rsidR="001311E0" w:rsidRPr="00E14102" w:rsidRDefault="001311E0" w:rsidP="00E14102">
            <w:pPr>
              <w:jc w:val="both"/>
              <w:rPr>
                <w:color w:val="000000" w:themeColor="text1"/>
                <w:sz w:val="16"/>
                <w:szCs w:val="16"/>
              </w:rPr>
            </w:pPr>
            <w:r w:rsidRPr="00E14102">
              <w:rPr>
                <w:color w:val="000000" w:themeColor="text1"/>
                <w:sz w:val="16"/>
                <w:szCs w:val="16"/>
              </w:rPr>
              <w:t>128,6</w:t>
            </w:r>
          </w:p>
        </w:tc>
      </w:tr>
      <w:tr w:rsidR="00E3599D" w:rsidRPr="00E14102" w14:paraId="2C9066B3"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12538785" w14:textId="77777777" w:rsidR="001311E0" w:rsidRPr="00E14102" w:rsidRDefault="001311E0" w:rsidP="00E14102">
            <w:pPr>
              <w:jc w:val="both"/>
              <w:rPr>
                <w:color w:val="000000" w:themeColor="text1"/>
                <w:sz w:val="16"/>
                <w:szCs w:val="16"/>
              </w:rPr>
            </w:pPr>
            <w:r w:rsidRPr="00E14102">
              <w:rPr>
                <w:color w:val="000000" w:themeColor="text1"/>
                <w:sz w:val="16"/>
                <w:szCs w:val="16"/>
              </w:rPr>
              <w:t>Авиапоковки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2B931" w14:textId="77777777" w:rsidR="001311E0" w:rsidRPr="00E14102" w:rsidRDefault="001311E0" w:rsidP="00E14102">
            <w:pPr>
              <w:jc w:val="both"/>
              <w:rPr>
                <w:color w:val="000000" w:themeColor="text1"/>
                <w:sz w:val="16"/>
                <w:szCs w:val="16"/>
              </w:rPr>
            </w:pPr>
            <w:r w:rsidRPr="00E14102">
              <w:rPr>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74608" w14:textId="77777777" w:rsidR="001311E0" w:rsidRPr="00E14102" w:rsidRDefault="001311E0" w:rsidP="00E14102">
            <w:pPr>
              <w:jc w:val="both"/>
              <w:rPr>
                <w:color w:val="000000" w:themeColor="text1"/>
                <w:sz w:val="16"/>
                <w:szCs w:val="16"/>
              </w:rPr>
            </w:pPr>
            <w:r w:rsidRPr="00E14102">
              <w:rPr>
                <w:color w:val="000000" w:themeColor="text1"/>
                <w:sz w:val="16"/>
                <w:szCs w:val="16"/>
              </w:rPr>
              <w:t>108,4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65390" w14:textId="77777777" w:rsidR="001311E0" w:rsidRPr="00E14102" w:rsidRDefault="001311E0" w:rsidP="00E14102">
            <w:pPr>
              <w:jc w:val="both"/>
              <w:rPr>
                <w:color w:val="000000" w:themeColor="text1"/>
                <w:sz w:val="16"/>
                <w:szCs w:val="16"/>
              </w:rPr>
            </w:pPr>
            <w:r w:rsidRPr="00E14102">
              <w:rPr>
                <w:color w:val="000000" w:themeColor="text1"/>
                <w:sz w:val="16"/>
                <w:szCs w:val="16"/>
              </w:rPr>
              <w:t>150,0</w:t>
            </w:r>
          </w:p>
        </w:tc>
      </w:tr>
      <w:tr w:rsidR="00E3599D" w:rsidRPr="00E14102" w14:paraId="3C96A431"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AC09B06" w14:textId="77777777" w:rsidR="001311E0" w:rsidRPr="00E14102" w:rsidRDefault="001311E0" w:rsidP="00E14102">
            <w:pPr>
              <w:jc w:val="both"/>
              <w:rPr>
                <w:color w:val="000000" w:themeColor="text1"/>
                <w:sz w:val="16"/>
                <w:szCs w:val="16"/>
              </w:rPr>
            </w:pPr>
            <w:r w:rsidRPr="00E14102">
              <w:rPr>
                <w:color w:val="000000" w:themeColor="text1"/>
                <w:sz w:val="16"/>
                <w:szCs w:val="16"/>
              </w:rPr>
              <w:t>Валовая продукция в ценах 1926/ 27 г., млн. руб. (по металлургии)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7FF4A" w14:textId="77777777" w:rsidR="001311E0" w:rsidRPr="00E14102" w:rsidRDefault="001311E0" w:rsidP="00E14102">
            <w:pPr>
              <w:jc w:val="both"/>
              <w:rPr>
                <w:color w:val="000000" w:themeColor="text1"/>
                <w:sz w:val="16"/>
                <w:szCs w:val="16"/>
              </w:rPr>
            </w:pPr>
            <w:r w:rsidRPr="00E14102">
              <w:rPr>
                <w:color w:val="000000" w:themeColor="text1"/>
                <w:sz w:val="16"/>
                <w:szCs w:val="16"/>
              </w:rPr>
              <w:t>504,6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95FA5" w14:textId="77777777" w:rsidR="001311E0" w:rsidRPr="00E14102" w:rsidRDefault="001311E0" w:rsidP="00E14102">
            <w:pPr>
              <w:jc w:val="both"/>
              <w:rPr>
                <w:color w:val="000000" w:themeColor="text1"/>
                <w:sz w:val="16"/>
                <w:szCs w:val="16"/>
              </w:rPr>
            </w:pPr>
            <w:r w:rsidRPr="00E14102">
              <w:rPr>
                <w:color w:val="000000" w:themeColor="text1"/>
                <w:sz w:val="16"/>
                <w:szCs w:val="16"/>
              </w:rPr>
              <w:t>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72BC4" w14:textId="77777777" w:rsidR="001311E0" w:rsidRPr="00E14102" w:rsidRDefault="001311E0" w:rsidP="00E14102">
            <w:pPr>
              <w:jc w:val="both"/>
              <w:rPr>
                <w:color w:val="000000" w:themeColor="text1"/>
                <w:sz w:val="16"/>
                <w:szCs w:val="16"/>
              </w:rPr>
            </w:pPr>
            <w:r w:rsidRPr="00E14102">
              <w:rPr>
                <w:color w:val="000000" w:themeColor="text1"/>
                <w:sz w:val="16"/>
                <w:szCs w:val="16"/>
              </w:rPr>
              <w:t>149,2</w:t>
            </w:r>
          </w:p>
        </w:tc>
      </w:tr>
    </w:tbl>
    <w:p w14:paraId="7A25C929" w14:textId="77777777" w:rsidR="001311E0" w:rsidRPr="00E14102" w:rsidRDefault="001311E0" w:rsidP="00E14102">
      <w:pPr>
        <w:jc w:val="both"/>
        <w:rPr>
          <w:color w:val="000000" w:themeColor="text1"/>
          <w:sz w:val="16"/>
          <w:szCs w:val="16"/>
        </w:rPr>
      </w:pPr>
      <w:r w:rsidRPr="00E14102">
        <w:rPr>
          <w:color w:val="000000" w:themeColor="text1"/>
          <w:sz w:val="16"/>
          <w:szCs w:val="16"/>
        </w:rPr>
        <w:t>В составе продукции, выпускаемой заводами «Спецстали», неуклонно продолжал расти удельный вес более квалифицированных видов стали [табл. 2].</w:t>
      </w:r>
    </w:p>
    <w:p w14:paraId="16A31BA3"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[ТАБЛИЦА 2]</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73"/>
        <w:gridCol w:w="950"/>
        <w:gridCol w:w="950"/>
        <w:gridCol w:w="950"/>
      </w:tblGrid>
      <w:tr w:rsidR="00E3599D" w:rsidRPr="00E14102" w14:paraId="137B87F2"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A680BDE" w14:textId="77777777" w:rsidR="001311E0" w:rsidRPr="00E14102" w:rsidRDefault="001311E0"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9BFA58"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FF2BB"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FFE4B"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1934 г.</w:t>
            </w:r>
          </w:p>
        </w:tc>
      </w:tr>
      <w:tr w:rsidR="00E3599D" w:rsidRPr="00E14102" w14:paraId="7C2B5A79" w14:textId="77777777" w:rsidTr="005D773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51B1CC5" w14:textId="77777777" w:rsidR="001311E0" w:rsidRPr="00E14102" w:rsidRDefault="001311E0" w:rsidP="00E14102">
            <w:pPr>
              <w:jc w:val="both"/>
              <w:rPr>
                <w:color w:val="000000" w:themeColor="text1"/>
                <w:sz w:val="16"/>
                <w:szCs w:val="16"/>
              </w:rPr>
            </w:pPr>
            <w:r w:rsidRPr="00E14102">
              <w:rPr>
                <w:color w:val="000000" w:themeColor="text1"/>
                <w:sz w:val="16"/>
                <w:szCs w:val="16"/>
              </w:rPr>
              <w:t>Удельный вес:</w:t>
            </w:r>
          </w:p>
        </w:tc>
      </w:tr>
      <w:tr w:rsidR="00E3599D" w:rsidRPr="00E14102" w14:paraId="4B300A95"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263ADAE8" w14:textId="77777777" w:rsidR="001311E0" w:rsidRPr="00E14102" w:rsidRDefault="001311E0" w:rsidP="00E14102">
            <w:pPr>
              <w:jc w:val="both"/>
              <w:rPr>
                <w:color w:val="000000" w:themeColor="text1"/>
                <w:sz w:val="16"/>
                <w:szCs w:val="16"/>
              </w:rPr>
            </w:pPr>
            <w:r w:rsidRPr="00E14102">
              <w:rPr>
                <w:color w:val="000000" w:themeColor="text1"/>
                <w:sz w:val="16"/>
                <w:szCs w:val="16"/>
              </w:rPr>
              <w:t>электрической стали в общем выпуске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CAF01" w14:textId="77777777" w:rsidR="001311E0" w:rsidRPr="00E14102" w:rsidRDefault="001311E0" w:rsidP="00E14102">
            <w:pPr>
              <w:jc w:val="both"/>
              <w:rPr>
                <w:color w:val="000000" w:themeColor="text1"/>
                <w:sz w:val="16"/>
                <w:szCs w:val="16"/>
              </w:rPr>
            </w:pPr>
            <w:r w:rsidRPr="00E14102">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28019" w14:textId="77777777" w:rsidR="001311E0" w:rsidRPr="00E14102" w:rsidRDefault="001311E0" w:rsidP="00E14102">
            <w:pPr>
              <w:jc w:val="both"/>
              <w:rPr>
                <w:color w:val="000000" w:themeColor="text1"/>
                <w:sz w:val="16"/>
                <w:szCs w:val="16"/>
              </w:rPr>
            </w:pPr>
            <w:r w:rsidRPr="00E14102">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9048A" w14:textId="77777777" w:rsidR="001311E0" w:rsidRPr="00E14102" w:rsidRDefault="001311E0" w:rsidP="00E14102">
            <w:pPr>
              <w:jc w:val="both"/>
              <w:rPr>
                <w:color w:val="000000" w:themeColor="text1"/>
                <w:sz w:val="16"/>
                <w:szCs w:val="16"/>
              </w:rPr>
            </w:pPr>
            <w:r w:rsidRPr="00E14102">
              <w:rPr>
                <w:color w:val="000000" w:themeColor="text1"/>
                <w:sz w:val="16"/>
                <w:szCs w:val="16"/>
              </w:rPr>
              <w:t>17,8</w:t>
            </w:r>
          </w:p>
        </w:tc>
      </w:tr>
      <w:tr w:rsidR="00E3599D" w:rsidRPr="00E14102" w14:paraId="6537BC04"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D12D810" w14:textId="77777777" w:rsidR="001311E0" w:rsidRPr="00E14102" w:rsidRDefault="001311E0" w:rsidP="00E14102">
            <w:pPr>
              <w:jc w:val="both"/>
              <w:rPr>
                <w:color w:val="000000" w:themeColor="text1"/>
                <w:sz w:val="16"/>
                <w:szCs w:val="16"/>
              </w:rPr>
            </w:pPr>
            <w:r w:rsidRPr="00E14102">
              <w:rPr>
                <w:color w:val="000000" w:themeColor="text1"/>
                <w:sz w:val="16"/>
                <w:szCs w:val="16"/>
              </w:rPr>
              <w:t>качественного проката в общем выпуске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7A0CD" w14:textId="77777777" w:rsidR="001311E0" w:rsidRPr="00E14102" w:rsidRDefault="001311E0" w:rsidP="00E14102">
            <w:pPr>
              <w:jc w:val="both"/>
              <w:rPr>
                <w:color w:val="000000" w:themeColor="text1"/>
                <w:sz w:val="16"/>
                <w:szCs w:val="16"/>
              </w:rPr>
            </w:pPr>
            <w:r w:rsidRPr="00E14102">
              <w:rPr>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09ACA" w14:textId="77777777" w:rsidR="001311E0" w:rsidRPr="00E14102" w:rsidRDefault="001311E0" w:rsidP="00E14102">
            <w:pPr>
              <w:jc w:val="both"/>
              <w:rPr>
                <w:color w:val="000000" w:themeColor="text1"/>
                <w:sz w:val="16"/>
                <w:szCs w:val="16"/>
              </w:rPr>
            </w:pPr>
            <w:r w:rsidRPr="00E14102">
              <w:rPr>
                <w:color w:val="000000" w:themeColor="text1"/>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EE158" w14:textId="77777777" w:rsidR="001311E0" w:rsidRPr="00E14102" w:rsidRDefault="001311E0" w:rsidP="00E14102">
            <w:pPr>
              <w:jc w:val="both"/>
              <w:rPr>
                <w:color w:val="000000" w:themeColor="text1"/>
                <w:sz w:val="16"/>
                <w:szCs w:val="16"/>
              </w:rPr>
            </w:pPr>
            <w:r w:rsidRPr="00E14102">
              <w:rPr>
                <w:color w:val="000000" w:themeColor="text1"/>
                <w:sz w:val="16"/>
                <w:szCs w:val="16"/>
              </w:rPr>
              <w:t>73,2</w:t>
            </w:r>
          </w:p>
        </w:tc>
      </w:tr>
      <w:tr w:rsidR="00E3599D" w:rsidRPr="00E14102" w14:paraId="7E2B641C"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2634D77F" w14:textId="77777777" w:rsidR="001311E0" w:rsidRPr="00E14102" w:rsidRDefault="001311E0" w:rsidP="00E14102">
            <w:pPr>
              <w:jc w:val="both"/>
              <w:rPr>
                <w:color w:val="000000" w:themeColor="text1"/>
                <w:sz w:val="16"/>
                <w:szCs w:val="16"/>
              </w:rPr>
            </w:pPr>
            <w:r w:rsidRPr="00E14102">
              <w:rPr>
                <w:color w:val="000000" w:themeColor="text1"/>
                <w:sz w:val="16"/>
                <w:szCs w:val="16"/>
              </w:rPr>
              <w:t>легированного проката в качественном прокате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BE825" w14:textId="77777777" w:rsidR="001311E0" w:rsidRPr="00E14102" w:rsidRDefault="001311E0" w:rsidP="00E14102">
            <w:pPr>
              <w:jc w:val="both"/>
              <w:rPr>
                <w:color w:val="000000" w:themeColor="text1"/>
                <w:sz w:val="16"/>
                <w:szCs w:val="16"/>
              </w:rPr>
            </w:pPr>
            <w:r w:rsidRPr="00E14102">
              <w:rPr>
                <w:color w:val="000000" w:themeColor="text1"/>
                <w:sz w:val="16"/>
                <w:szCs w:val="16"/>
              </w:rPr>
              <w:t>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5B873" w14:textId="77777777" w:rsidR="001311E0" w:rsidRPr="00E14102" w:rsidRDefault="001311E0" w:rsidP="00E14102">
            <w:pPr>
              <w:jc w:val="both"/>
              <w:rPr>
                <w:color w:val="000000" w:themeColor="text1"/>
                <w:sz w:val="16"/>
                <w:szCs w:val="16"/>
              </w:rPr>
            </w:pPr>
            <w:r w:rsidRPr="00E14102">
              <w:rPr>
                <w:color w:val="000000" w:themeColor="text1"/>
                <w:sz w:val="16"/>
                <w:szCs w:val="16"/>
              </w:rPr>
              <w:t>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1C190" w14:textId="77777777" w:rsidR="001311E0" w:rsidRPr="00E14102" w:rsidRDefault="001311E0" w:rsidP="00E14102">
            <w:pPr>
              <w:jc w:val="both"/>
              <w:rPr>
                <w:color w:val="000000" w:themeColor="text1"/>
                <w:sz w:val="16"/>
                <w:szCs w:val="16"/>
              </w:rPr>
            </w:pPr>
            <w:r w:rsidRPr="00E14102">
              <w:rPr>
                <w:color w:val="000000" w:themeColor="text1"/>
                <w:sz w:val="16"/>
                <w:szCs w:val="16"/>
              </w:rPr>
              <w:t>50,6</w:t>
            </w:r>
          </w:p>
        </w:tc>
      </w:tr>
      <w:tr w:rsidR="00E3599D" w:rsidRPr="00E14102" w14:paraId="4C8C920F"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1AC8C38" w14:textId="77777777" w:rsidR="001311E0" w:rsidRPr="00E14102" w:rsidRDefault="001311E0" w:rsidP="00E14102">
            <w:pPr>
              <w:jc w:val="both"/>
              <w:rPr>
                <w:color w:val="000000" w:themeColor="text1"/>
                <w:sz w:val="16"/>
                <w:szCs w:val="16"/>
              </w:rPr>
            </w:pPr>
            <w:r w:rsidRPr="00E14102">
              <w:rPr>
                <w:color w:val="000000" w:themeColor="text1"/>
                <w:sz w:val="16"/>
                <w:szCs w:val="16"/>
              </w:rPr>
              <w:t>Отношение калиброванного металла к качественному прокату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C1889" w14:textId="77777777" w:rsidR="001311E0" w:rsidRPr="00E14102" w:rsidRDefault="001311E0" w:rsidP="00E14102">
            <w:pPr>
              <w:jc w:val="both"/>
              <w:rPr>
                <w:color w:val="000000" w:themeColor="text1"/>
                <w:sz w:val="16"/>
                <w:szCs w:val="16"/>
              </w:rPr>
            </w:pPr>
            <w:r w:rsidRPr="00E14102">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61198" w14:textId="77777777" w:rsidR="001311E0" w:rsidRPr="00E14102" w:rsidRDefault="001311E0" w:rsidP="00E14102">
            <w:pPr>
              <w:jc w:val="both"/>
              <w:rPr>
                <w:color w:val="000000" w:themeColor="text1"/>
                <w:sz w:val="16"/>
                <w:szCs w:val="16"/>
              </w:rPr>
            </w:pPr>
            <w:r w:rsidRPr="00E14102">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DB52F" w14:textId="77777777" w:rsidR="001311E0" w:rsidRPr="00E14102" w:rsidRDefault="001311E0" w:rsidP="00E14102">
            <w:pPr>
              <w:jc w:val="both"/>
              <w:rPr>
                <w:color w:val="000000" w:themeColor="text1"/>
                <w:sz w:val="16"/>
                <w:szCs w:val="16"/>
              </w:rPr>
            </w:pPr>
            <w:r w:rsidRPr="00E14102">
              <w:rPr>
                <w:color w:val="000000" w:themeColor="text1"/>
                <w:sz w:val="16"/>
                <w:szCs w:val="16"/>
              </w:rPr>
              <w:t>7,6</w:t>
            </w:r>
          </w:p>
        </w:tc>
      </w:tr>
    </w:tbl>
    <w:p w14:paraId="47CC15F3" w14:textId="77777777" w:rsidR="001311E0" w:rsidRPr="00E14102" w:rsidRDefault="001311E0" w:rsidP="00E14102">
      <w:pPr>
        <w:jc w:val="both"/>
        <w:rPr>
          <w:color w:val="000000" w:themeColor="text1"/>
          <w:sz w:val="16"/>
          <w:szCs w:val="16"/>
        </w:rPr>
      </w:pPr>
      <w:r w:rsidRPr="00E14102">
        <w:rPr>
          <w:color w:val="000000" w:themeColor="text1"/>
          <w:sz w:val="16"/>
          <w:szCs w:val="16"/>
        </w:rPr>
        <w:t>Абсолютный выпуск высококачественных марок стали и ферросплавов увеличился до следующих размеров [табл. 3].</w:t>
      </w:r>
    </w:p>
    <w:p w14:paraId="7B72F692"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[ТАБЛИЦА 3]</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51"/>
        <w:gridCol w:w="1218"/>
        <w:gridCol w:w="1218"/>
        <w:gridCol w:w="1218"/>
        <w:gridCol w:w="1218"/>
      </w:tblGrid>
      <w:tr w:rsidR="00E3599D" w:rsidRPr="00E14102" w14:paraId="6DDA5750"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46A4371"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[Марки стали и ферросплавов]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9F806"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D044D"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ADD36"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50EEC"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1934 г.</w:t>
            </w:r>
          </w:p>
        </w:tc>
      </w:tr>
      <w:tr w:rsidR="00E3599D" w:rsidRPr="00E14102" w14:paraId="3C1A2C12"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C548142" w14:textId="77777777" w:rsidR="001311E0" w:rsidRPr="00E14102" w:rsidRDefault="001311E0" w:rsidP="00E14102">
            <w:pPr>
              <w:jc w:val="both"/>
              <w:rPr>
                <w:color w:val="000000" w:themeColor="text1"/>
                <w:sz w:val="16"/>
                <w:szCs w:val="16"/>
              </w:rPr>
            </w:pPr>
            <w:r w:rsidRPr="00E14102">
              <w:rPr>
                <w:color w:val="000000" w:themeColor="text1"/>
                <w:sz w:val="16"/>
                <w:szCs w:val="16"/>
              </w:rPr>
              <w:t>Шарикоподшипниковая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FC215" w14:textId="77777777" w:rsidR="001311E0" w:rsidRPr="00E14102" w:rsidRDefault="001311E0" w:rsidP="00E14102">
            <w:pPr>
              <w:jc w:val="both"/>
              <w:rPr>
                <w:color w:val="000000" w:themeColor="text1"/>
                <w:sz w:val="16"/>
                <w:szCs w:val="16"/>
              </w:rPr>
            </w:pPr>
            <w:r w:rsidRPr="00E14102">
              <w:rPr>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551E9" w14:textId="77777777" w:rsidR="001311E0" w:rsidRPr="00E14102" w:rsidRDefault="001311E0" w:rsidP="00E14102">
            <w:pPr>
              <w:jc w:val="both"/>
              <w:rPr>
                <w:color w:val="000000" w:themeColor="text1"/>
                <w:sz w:val="16"/>
                <w:szCs w:val="16"/>
              </w:rPr>
            </w:pPr>
            <w:r w:rsidRPr="00E14102">
              <w:rPr>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4068D" w14:textId="77777777" w:rsidR="001311E0" w:rsidRPr="00E14102" w:rsidRDefault="001311E0" w:rsidP="00E14102">
            <w:pPr>
              <w:jc w:val="both"/>
              <w:rPr>
                <w:color w:val="000000" w:themeColor="text1"/>
                <w:sz w:val="16"/>
                <w:szCs w:val="16"/>
              </w:rPr>
            </w:pPr>
            <w:r w:rsidRPr="00E14102">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C2954" w14:textId="77777777" w:rsidR="001311E0" w:rsidRPr="00E14102" w:rsidRDefault="001311E0" w:rsidP="00E14102">
            <w:pPr>
              <w:jc w:val="both"/>
              <w:rPr>
                <w:color w:val="000000" w:themeColor="text1"/>
                <w:sz w:val="16"/>
                <w:szCs w:val="16"/>
              </w:rPr>
            </w:pPr>
            <w:r w:rsidRPr="00E14102">
              <w:rPr>
                <w:color w:val="000000" w:themeColor="text1"/>
                <w:sz w:val="16"/>
                <w:szCs w:val="16"/>
              </w:rPr>
              <w:t>45,4</w:t>
            </w:r>
          </w:p>
        </w:tc>
      </w:tr>
      <w:tr w:rsidR="00E3599D" w:rsidRPr="00E14102" w14:paraId="625CB906"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3197CFD" w14:textId="77777777" w:rsidR="001311E0" w:rsidRPr="00E14102" w:rsidRDefault="001311E0" w:rsidP="00E14102">
            <w:pPr>
              <w:jc w:val="both"/>
              <w:rPr>
                <w:color w:val="000000" w:themeColor="text1"/>
                <w:sz w:val="16"/>
                <w:szCs w:val="16"/>
              </w:rPr>
            </w:pPr>
            <w:r w:rsidRPr="00E14102">
              <w:rPr>
                <w:color w:val="000000" w:themeColor="text1"/>
                <w:sz w:val="16"/>
                <w:szCs w:val="16"/>
              </w:rPr>
              <w:t>Быстрорежущая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CD692" w14:textId="77777777" w:rsidR="001311E0" w:rsidRPr="00E14102" w:rsidRDefault="001311E0" w:rsidP="00E14102">
            <w:pPr>
              <w:jc w:val="both"/>
              <w:rPr>
                <w:color w:val="000000" w:themeColor="text1"/>
                <w:sz w:val="16"/>
                <w:szCs w:val="16"/>
              </w:rPr>
            </w:pPr>
            <w:r w:rsidRPr="00E14102">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05EA8" w14:textId="77777777" w:rsidR="001311E0" w:rsidRPr="00E14102" w:rsidRDefault="001311E0" w:rsidP="00E14102">
            <w:pPr>
              <w:jc w:val="both"/>
              <w:rPr>
                <w:color w:val="000000" w:themeColor="text1"/>
                <w:sz w:val="16"/>
                <w:szCs w:val="16"/>
              </w:rPr>
            </w:pPr>
            <w:r w:rsidRPr="00E14102">
              <w:rPr>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C0EAC" w14:textId="77777777" w:rsidR="001311E0" w:rsidRPr="00E14102" w:rsidRDefault="001311E0" w:rsidP="00E14102">
            <w:pPr>
              <w:jc w:val="both"/>
              <w:rPr>
                <w:color w:val="000000" w:themeColor="text1"/>
                <w:sz w:val="16"/>
                <w:szCs w:val="16"/>
              </w:rPr>
            </w:pPr>
            <w:r w:rsidRPr="00E14102">
              <w:rPr>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BCCCE" w14:textId="77777777" w:rsidR="001311E0" w:rsidRPr="00E14102" w:rsidRDefault="001311E0" w:rsidP="00E14102">
            <w:pPr>
              <w:jc w:val="both"/>
              <w:rPr>
                <w:color w:val="000000" w:themeColor="text1"/>
                <w:sz w:val="16"/>
                <w:szCs w:val="16"/>
              </w:rPr>
            </w:pPr>
            <w:r w:rsidRPr="00E14102">
              <w:rPr>
                <w:color w:val="000000" w:themeColor="text1"/>
                <w:sz w:val="16"/>
                <w:szCs w:val="16"/>
              </w:rPr>
              <w:t>5,2</w:t>
            </w:r>
          </w:p>
        </w:tc>
      </w:tr>
      <w:tr w:rsidR="00E3599D" w:rsidRPr="00E14102" w14:paraId="24AE23E4"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1A33123E" w14:textId="77777777" w:rsidR="001311E0" w:rsidRPr="00E14102" w:rsidRDefault="001311E0" w:rsidP="00E14102">
            <w:pPr>
              <w:jc w:val="both"/>
              <w:rPr>
                <w:color w:val="000000" w:themeColor="text1"/>
                <w:sz w:val="16"/>
                <w:szCs w:val="16"/>
              </w:rPr>
            </w:pPr>
            <w:r w:rsidRPr="00E14102">
              <w:rPr>
                <w:color w:val="000000" w:themeColor="text1"/>
                <w:sz w:val="16"/>
                <w:szCs w:val="16"/>
              </w:rPr>
              <w:t>Нержавеющая и жароупорная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FA00D" w14:textId="77777777" w:rsidR="001311E0" w:rsidRPr="00E14102" w:rsidRDefault="001311E0"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BF028" w14:textId="77777777" w:rsidR="001311E0" w:rsidRPr="00E14102" w:rsidRDefault="001311E0" w:rsidP="00E14102">
            <w:pPr>
              <w:jc w:val="both"/>
              <w:rPr>
                <w:color w:val="000000" w:themeColor="text1"/>
                <w:sz w:val="16"/>
                <w:szCs w:val="16"/>
              </w:rPr>
            </w:pPr>
            <w:r w:rsidRPr="00E14102">
              <w:rPr>
                <w:color w:val="000000" w:themeColor="text1"/>
                <w:sz w:val="16"/>
                <w:szCs w:val="16"/>
              </w:rPr>
              <w:t>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91BC6" w14:textId="77777777" w:rsidR="001311E0" w:rsidRPr="00E14102" w:rsidRDefault="001311E0"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B74D7" w14:textId="77777777" w:rsidR="001311E0" w:rsidRPr="00E14102" w:rsidRDefault="001311E0" w:rsidP="00E14102">
            <w:pPr>
              <w:jc w:val="both"/>
              <w:rPr>
                <w:color w:val="000000" w:themeColor="text1"/>
                <w:sz w:val="16"/>
                <w:szCs w:val="16"/>
              </w:rPr>
            </w:pPr>
            <w:r w:rsidRPr="00E14102">
              <w:rPr>
                <w:color w:val="000000" w:themeColor="text1"/>
                <w:sz w:val="16"/>
                <w:szCs w:val="16"/>
              </w:rPr>
              <w:t>3,1</w:t>
            </w:r>
          </w:p>
        </w:tc>
      </w:tr>
      <w:tr w:rsidR="00E3599D" w:rsidRPr="00E14102" w14:paraId="4CDC07A7"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47A395C1" w14:textId="77777777" w:rsidR="001311E0" w:rsidRPr="00E14102" w:rsidRDefault="001311E0" w:rsidP="00E14102">
            <w:pPr>
              <w:jc w:val="both"/>
              <w:rPr>
                <w:color w:val="000000" w:themeColor="text1"/>
                <w:sz w:val="16"/>
                <w:szCs w:val="16"/>
              </w:rPr>
            </w:pPr>
            <w:r w:rsidRPr="00E14102">
              <w:rPr>
                <w:color w:val="000000" w:themeColor="text1"/>
                <w:sz w:val="16"/>
                <w:szCs w:val="16"/>
              </w:rPr>
              <w:t>Трансформаторная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4E23B" w14:textId="77777777" w:rsidR="001311E0" w:rsidRPr="00E14102" w:rsidRDefault="001311E0" w:rsidP="00E14102">
            <w:pPr>
              <w:jc w:val="both"/>
              <w:rPr>
                <w:color w:val="000000" w:themeColor="text1"/>
                <w:sz w:val="16"/>
                <w:szCs w:val="16"/>
              </w:rPr>
            </w:pPr>
            <w:r w:rsidRPr="00E14102">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7D875" w14:textId="77777777" w:rsidR="001311E0" w:rsidRPr="00E14102" w:rsidRDefault="001311E0" w:rsidP="00E14102">
            <w:pPr>
              <w:jc w:val="both"/>
              <w:rPr>
                <w:color w:val="000000" w:themeColor="text1"/>
                <w:sz w:val="16"/>
                <w:szCs w:val="16"/>
              </w:rPr>
            </w:pPr>
            <w:r w:rsidRPr="00E14102">
              <w:rPr>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7F757" w14:textId="77777777" w:rsidR="001311E0" w:rsidRPr="00E14102" w:rsidRDefault="001311E0" w:rsidP="00E14102">
            <w:pPr>
              <w:jc w:val="both"/>
              <w:rPr>
                <w:color w:val="000000" w:themeColor="text1"/>
                <w:sz w:val="16"/>
                <w:szCs w:val="16"/>
              </w:rPr>
            </w:pPr>
            <w:r w:rsidRPr="00E14102">
              <w:rPr>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8A198" w14:textId="77777777" w:rsidR="001311E0" w:rsidRPr="00E14102" w:rsidRDefault="001311E0" w:rsidP="00E14102">
            <w:pPr>
              <w:jc w:val="both"/>
              <w:rPr>
                <w:color w:val="000000" w:themeColor="text1"/>
                <w:sz w:val="16"/>
                <w:szCs w:val="16"/>
              </w:rPr>
            </w:pPr>
            <w:r w:rsidRPr="00E14102">
              <w:rPr>
                <w:color w:val="000000" w:themeColor="text1"/>
                <w:sz w:val="16"/>
                <w:szCs w:val="16"/>
              </w:rPr>
              <w:t>12,3</w:t>
            </w:r>
          </w:p>
        </w:tc>
      </w:tr>
      <w:tr w:rsidR="00E3599D" w:rsidRPr="00E14102" w14:paraId="564CB987"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01E7DCA" w14:textId="77777777" w:rsidR="001311E0" w:rsidRPr="00E14102" w:rsidRDefault="001311E0" w:rsidP="00E14102">
            <w:pPr>
              <w:jc w:val="both"/>
              <w:rPr>
                <w:color w:val="000000" w:themeColor="text1"/>
                <w:sz w:val="16"/>
                <w:szCs w:val="16"/>
              </w:rPr>
            </w:pPr>
            <w:r w:rsidRPr="00E14102">
              <w:rPr>
                <w:color w:val="000000" w:themeColor="text1"/>
                <w:sz w:val="16"/>
                <w:szCs w:val="16"/>
              </w:rPr>
              <w:t>Авторессорная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C8C58" w14:textId="77777777" w:rsidR="001311E0" w:rsidRPr="00E14102" w:rsidRDefault="001311E0" w:rsidP="00E14102">
            <w:pPr>
              <w:jc w:val="both"/>
              <w:rPr>
                <w:color w:val="000000" w:themeColor="text1"/>
                <w:sz w:val="16"/>
                <w:szCs w:val="16"/>
              </w:rPr>
            </w:pPr>
            <w:r w:rsidRPr="00E14102">
              <w:rPr>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0DD43" w14:textId="77777777" w:rsidR="001311E0" w:rsidRPr="00E14102" w:rsidRDefault="001311E0" w:rsidP="00E14102">
            <w:pPr>
              <w:jc w:val="both"/>
              <w:rPr>
                <w:color w:val="000000" w:themeColor="text1"/>
                <w:sz w:val="16"/>
                <w:szCs w:val="16"/>
              </w:rPr>
            </w:pPr>
            <w:r w:rsidRPr="00E14102">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5569D" w14:textId="77777777" w:rsidR="001311E0" w:rsidRPr="00E14102" w:rsidRDefault="001311E0" w:rsidP="00E14102">
            <w:pPr>
              <w:jc w:val="both"/>
              <w:rPr>
                <w:color w:val="000000" w:themeColor="text1"/>
                <w:sz w:val="16"/>
                <w:szCs w:val="16"/>
              </w:rPr>
            </w:pPr>
            <w:r w:rsidRPr="00E14102">
              <w:rPr>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8A7DD" w14:textId="77777777" w:rsidR="001311E0" w:rsidRPr="00E14102" w:rsidRDefault="001311E0" w:rsidP="00E14102">
            <w:pPr>
              <w:jc w:val="both"/>
              <w:rPr>
                <w:color w:val="000000" w:themeColor="text1"/>
                <w:sz w:val="16"/>
                <w:szCs w:val="16"/>
              </w:rPr>
            </w:pPr>
            <w:r w:rsidRPr="00E14102">
              <w:rPr>
                <w:color w:val="000000" w:themeColor="text1"/>
                <w:sz w:val="16"/>
                <w:szCs w:val="16"/>
              </w:rPr>
              <w:t>11,6</w:t>
            </w:r>
          </w:p>
        </w:tc>
      </w:tr>
      <w:tr w:rsidR="00E3599D" w:rsidRPr="00E14102" w14:paraId="5EB5648D"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8764DA1" w14:textId="77777777" w:rsidR="001311E0" w:rsidRPr="00E14102" w:rsidRDefault="001311E0" w:rsidP="00E14102">
            <w:pPr>
              <w:jc w:val="both"/>
              <w:rPr>
                <w:color w:val="000000" w:themeColor="text1"/>
                <w:sz w:val="16"/>
                <w:szCs w:val="16"/>
              </w:rPr>
            </w:pPr>
            <w:r w:rsidRPr="00E14102">
              <w:rPr>
                <w:color w:val="000000" w:themeColor="text1"/>
                <w:sz w:val="16"/>
                <w:szCs w:val="16"/>
              </w:rPr>
              <w:t>Калиброванный 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CEE4E" w14:textId="77777777" w:rsidR="001311E0" w:rsidRPr="00E14102" w:rsidRDefault="001311E0"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F17DA" w14:textId="77777777" w:rsidR="001311E0" w:rsidRPr="00E14102" w:rsidRDefault="001311E0" w:rsidP="00E14102">
            <w:pPr>
              <w:jc w:val="both"/>
              <w:rPr>
                <w:color w:val="000000" w:themeColor="text1"/>
                <w:sz w:val="16"/>
                <w:szCs w:val="16"/>
              </w:rPr>
            </w:pPr>
            <w:r w:rsidRPr="00E14102">
              <w:rPr>
                <w:color w:val="000000" w:themeColor="text1"/>
                <w:sz w:val="16"/>
                <w:szCs w:val="16"/>
              </w:rPr>
              <w:t>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2E728" w14:textId="77777777" w:rsidR="001311E0" w:rsidRPr="00E14102" w:rsidRDefault="001311E0" w:rsidP="00E14102">
            <w:pPr>
              <w:jc w:val="both"/>
              <w:rPr>
                <w:color w:val="000000" w:themeColor="text1"/>
                <w:sz w:val="16"/>
                <w:szCs w:val="16"/>
              </w:rPr>
            </w:pPr>
            <w:r w:rsidRPr="00E14102">
              <w:rPr>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A9EA8" w14:textId="77777777" w:rsidR="001311E0" w:rsidRPr="00E14102" w:rsidRDefault="001311E0" w:rsidP="00E14102">
            <w:pPr>
              <w:jc w:val="both"/>
              <w:rPr>
                <w:color w:val="000000" w:themeColor="text1"/>
                <w:sz w:val="16"/>
                <w:szCs w:val="16"/>
              </w:rPr>
            </w:pPr>
            <w:r w:rsidRPr="00E14102">
              <w:rPr>
                <w:color w:val="000000" w:themeColor="text1"/>
                <w:sz w:val="16"/>
                <w:szCs w:val="16"/>
              </w:rPr>
              <w:t>41,5</w:t>
            </w:r>
          </w:p>
        </w:tc>
      </w:tr>
      <w:tr w:rsidR="00E3599D" w:rsidRPr="00E14102" w14:paraId="40742949"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FDF6709" w14:textId="77777777" w:rsidR="001311E0" w:rsidRPr="00E14102" w:rsidRDefault="001311E0" w:rsidP="00E14102">
            <w:pPr>
              <w:jc w:val="both"/>
              <w:rPr>
                <w:color w:val="000000" w:themeColor="text1"/>
                <w:sz w:val="16"/>
                <w:szCs w:val="16"/>
              </w:rPr>
            </w:pPr>
            <w:r w:rsidRPr="00E14102">
              <w:rPr>
                <w:color w:val="000000" w:themeColor="text1"/>
                <w:sz w:val="16"/>
                <w:szCs w:val="16"/>
              </w:rPr>
              <w:t>75%-ный ферросплавный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0C119" w14:textId="77777777" w:rsidR="001311E0" w:rsidRPr="00E14102" w:rsidRDefault="001311E0" w:rsidP="00E14102">
            <w:pPr>
              <w:jc w:val="both"/>
              <w:rPr>
                <w:color w:val="000000" w:themeColor="text1"/>
                <w:sz w:val="16"/>
                <w:szCs w:val="16"/>
              </w:rPr>
            </w:pPr>
            <w:r w:rsidRPr="00E14102">
              <w:rPr>
                <w:color w:val="000000" w:themeColor="text1"/>
                <w:sz w:val="16"/>
                <w:szCs w:val="16"/>
              </w:rPr>
              <w:t>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CCD9A" w14:textId="77777777" w:rsidR="001311E0" w:rsidRPr="00E14102" w:rsidRDefault="001311E0" w:rsidP="00E14102">
            <w:pPr>
              <w:jc w:val="both"/>
              <w:rPr>
                <w:color w:val="000000" w:themeColor="text1"/>
                <w:sz w:val="16"/>
                <w:szCs w:val="16"/>
              </w:rPr>
            </w:pPr>
            <w:r w:rsidRPr="00E14102">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8478B" w14:textId="77777777" w:rsidR="001311E0" w:rsidRPr="00E14102" w:rsidRDefault="001311E0" w:rsidP="00E14102">
            <w:pPr>
              <w:jc w:val="both"/>
              <w:rPr>
                <w:color w:val="000000" w:themeColor="text1"/>
                <w:sz w:val="16"/>
                <w:szCs w:val="16"/>
              </w:rPr>
            </w:pPr>
            <w:r w:rsidRPr="00E14102">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D549E" w14:textId="77777777" w:rsidR="001311E0" w:rsidRPr="00E14102" w:rsidRDefault="001311E0" w:rsidP="00E14102">
            <w:pPr>
              <w:jc w:val="both"/>
              <w:rPr>
                <w:color w:val="000000" w:themeColor="text1"/>
                <w:sz w:val="16"/>
                <w:szCs w:val="16"/>
              </w:rPr>
            </w:pPr>
            <w:r w:rsidRPr="00E14102">
              <w:rPr>
                <w:color w:val="000000" w:themeColor="text1"/>
                <w:sz w:val="16"/>
                <w:szCs w:val="16"/>
              </w:rPr>
              <w:t>7,0</w:t>
            </w:r>
          </w:p>
        </w:tc>
      </w:tr>
      <w:tr w:rsidR="00E3599D" w:rsidRPr="00E14102" w14:paraId="6CC21907"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4360A0F9" w14:textId="77777777" w:rsidR="001311E0" w:rsidRPr="00E14102" w:rsidRDefault="001311E0" w:rsidP="00E14102">
            <w:pPr>
              <w:jc w:val="both"/>
              <w:rPr>
                <w:color w:val="000000" w:themeColor="text1"/>
                <w:sz w:val="16"/>
                <w:szCs w:val="16"/>
              </w:rPr>
            </w:pPr>
            <w:r w:rsidRPr="00E14102">
              <w:rPr>
                <w:color w:val="000000" w:themeColor="text1"/>
                <w:sz w:val="16"/>
                <w:szCs w:val="16"/>
              </w:rPr>
              <w:t>Безуглеродистый феррохром (0 и 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C46EC" w14:textId="77777777" w:rsidR="001311E0" w:rsidRPr="00E14102" w:rsidRDefault="001311E0"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9BD1B" w14:textId="77777777" w:rsidR="001311E0" w:rsidRPr="00E14102" w:rsidRDefault="001311E0" w:rsidP="00E14102">
            <w:pPr>
              <w:jc w:val="both"/>
              <w:rPr>
                <w:color w:val="000000" w:themeColor="text1"/>
                <w:sz w:val="16"/>
                <w:szCs w:val="16"/>
              </w:rPr>
            </w:pPr>
            <w:r w:rsidRPr="00E14102">
              <w:rPr>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8618B" w14:textId="77777777" w:rsidR="001311E0" w:rsidRPr="00E14102" w:rsidRDefault="001311E0" w:rsidP="00E14102">
            <w:pPr>
              <w:jc w:val="both"/>
              <w:rPr>
                <w:color w:val="000000" w:themeColor="text1"/>
                <w:sz w:val="16"/>
                <w:szCs w:val="16"/>
              </w:rPr>
            </w:pPr>
            <w:r w:rsidRPr="00E14102">
              <w:rPr>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2D5D5" w14:textId="77777777" w:rsidR="001311E0" w:rsidRPr="00E14102" w:rsidRDefault="001311E0" w:rsidP="00E14102">
            <w:pPr>
              <w:jc w:val="both"/>
              <w:rPr>
                <w:color w:val="000000" w:themeColor="text1"/>
                <w:sz w:val="16"/>
                <w:szCs w:val="16"/>
              </w:rPr>
            </w:pPr>
            <w:r w:rsidRPr="00E14102">
              <w:rPr>
                <w:color w:val="000000" w:themeColor="text1"/>
                <w:sz w:val="16"/>
                <w:szCs w:val="16"/>
              </w:rPr>
              <w:t>2,3</w:t>
            </w:r>
          </w:p>
        </w:tc>
      </w:tr>
      <w:tr w:rsidR="00E3599D" w:rsidRPr="00E14102" w14:paraId="773DE749"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D471AC6" w14:textId="77777777" w:rsidR="001311E0" w:rsidRPr="00E14102" w:rsidRDefault="001311E0" w:rsidP="00E14102">
            <w:pPr>
              <w:jc w:val="both"/>
              <w:rPr>
                <w:color w:val="000000" w:themeColor="text1"/>
                <w:sz w:val="16"/>
                <w:szCs w:val="16"/>
              </w:rPr>
            </w:pPr>
            <w:r w:rsidRPr="00E14102">
              <w:rPr>
                <w:color w:val="000000" w:themeColor="text1"/>
                <w:sz w:val="16"/>
                <w:szCs w:val="16"/>
              </w:rPr>
              <w:t>Ферровольфрам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B1A3C" w14:textId="77777777" w:rsidR="001311E0" w:rsidRPr="00E14102" w:rsidRDefault="001311E0"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A56D2" w14:textId="77777777" w:rsidR="001311E0" w:rsidRPr="00E14102" w:rsidRDefault="001311E0" w:rsidP="00E14102">
            <w:pPr>
              <w:jc w:val="both"/>
              <w:rPr>
                <w:color w:val="000000" w:themeColor="text1"/>
                <w:sz w:val="16"/>
                <w:szCs w:val="16"/>
              </w:rPr>
            </w:pPr>
            <w:r w:rsidRPr="00E14102">
              <w:rPr>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1AD1F" w14:textId="77777777" w:rsidR="001311E0" w:rsidRPr="00E14102" w:rsidRDefault="001311E0" w:rsidP="00E14102">
            <w:pPr>
              <w:jc w:val="both"/>
              <w:rPr>
                <w:color w:val="000000" w:themeColor="text1"/>
                <w:sz w:val="16"/>
                <w:szCs w:val="16"/>
              </w:rPr>
            </w:pPr>
            <w:r w:rsidRPr="00E14102">
              <w:rPr>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B81C4" w14:textId="77777777" w:rsidR="001311E0" w:rsidRPr="00E14102" w:rsidRDefault="001311E0" w:rsidP="00E14102">
            <w:pPr>
              <w:jc w:val="both"/>
              <w:rPr>
                <w:color w:val="000000" w:themeColor="text1"/>
                <w:sz w:val="16"/>
                <w:szCs w:val="16"/>
              </w:rPr>
            </w:pPr>
            <w:r w:rsidRPr="00E14102">
              <w:rPr>
                <w:color w:val="000000" w:themeColor="text1"/>
                <w:sz w:val="16"/>
                <w:szCs w:val="16"/>
              </w:rPr>
              <w:t>0,5</w:t>
            </w:r>
          </w:p>
        </w:tc>
      </w:tr>
    </w:tbl>
    <w:p w14:paraId="1CDEC65F" w14:textId="77777777" w:rsidR="001311E0" w:rsidRPr="00E14102" w:rsidRDefault="001311E0" w:rsidP="00E14102">
      <w:pPr>
        <w:jc w:val="both"/>
        <w:rPr>
          <w:color w:val="000000" w:themeColor="text1"/>
          <w:sz w:val="16"/>
          <w:szCs w:val="16"/>
        </w:rPr>
      </w:pPr>
      <w:r w:rsidRPr="00E14102">
        <w:rPr>
          <w:color w:val="000000" w:themeColor="text1"/>
          <w:sz w:val="16"/>
          <w:szCs w:val="16"/>
        </w:rPr>
        <w:t>На заводах «Спецстали» в 1934 г. велась упорная работа по освоению новых марок стали и ферросплавов.</w:t>
      </w:r>
    </w:p>
    <w:p w14:paraId="296CF5D1" w14:textId="77777777" w:rsidR="001311E0" w:rsidRPr="00E14102" w:rsidRDefault="001311E0" w:rsidP="00E14102">
      <w:pPr>
        <w:jc w:val="both"/>
        <w:rPr>
          <w:color w:val="000000" w:themeColor="text1"/>
          <w:sz w:val="16"/>
          <w:szCs w:val="16"/>
        </w:rPr>
      </w:pPr>
      <w:r w:rsidRPr="00E14102">
        <w:rPr>
          <w:color w:val="000000" w:themeColor="text1"/>
          <w:sz w:val="16"/>
          <w:szCs w:val="16"/>
        </w:rPr>
        <w:t>Освоено производство поковок для двух новых типов моторов советских самолетов (завод «Электросталь»), производство холоднотянутой шарикоподшипниковой стали, импорт которой в связи с этим прекращен, производство автолистов весьма глубокой вытяжки нихромовой проволоки и химически почти чистого железа «Армко» («Серп и молот»), производство калиброванного листа и сложных профилей автотракторной стали («Красный Октябрь»), производство феррохрома марки 00, идущей на изготовление нержавеющих сталей и до сих пор не поддававшейся освоению (Челябинский ферросплавный завод), производство нового вида трансформаторных листов с весьма низкими ваттными потерями (Верх-Исетский завод), производство сильхрома в массовых размерах (Златоустовский завод) и пр.</w:t>
      </w:r>
    </w:p>
    <w:p w14:paraId="541F1B75" w14:textId="77777777" w:rsidR="001311E0" w:rsidRPr="00E14102" w:rsidRDefault="001311E0" w:rsidP="00E14102">
      <w:pPr>
        <w:jc w:val="both"/>
        <w:rPr>
          <w:color w:val="000000" w:themeColor="text1"/>
          <w:sz w:val="16"/>
          <w:szCs w:val="16"/>
        </w:rPr>
      </w:pPr>
      <w:r w:rsidRPr="00E14102">
        <w:rPr>
          <w:color w:val="000000" w:themeColor="text1"/>
          <w:sz w:val="16"/>
          <w:szCs w:val="16"/>
        </w:rPr>
        <w:lastRenderedPageBreak/>
        <w:t>Настойчивая работа треста «Спецсталь» над полным удовлетворением основных потребителей качественных сталей - автомобильной, тракторной, авиационной, шарикоподшипниковой, инструментальной отраслей промышленности - имело своим результатом выполнение заказов Стальсбыта в целом по тресту.</w:t>
      </w:r>
    </w:p>
    <w:p w14:paraId="486D2AC0" w14:textId="77777777" w:rsidR="001311E0" w:rsidRPr="00E14102" w:rsidRDefault="001311E0" w:rsidP="00E14102">
      <w:pPr>
        <w:jc w:val="both"/>
        <w:rPr>
          <w:color w:val="000000" w:themeColor="text1"/>
          <w:sz w:val="16"/>
          <w:szCs w:val="16"/>
        </w:rPr>
      </w:pPr>
      <w:r w:rsidRPr="00E14102">
        <w:rPr>
          <w:color w:val="000000" w:themeColor="text1"/>
          <w:sz w:val="16"/>
          <w:szCs w:val="16"/>
        </w:rPr>
        <w:t>При абсолютном увеличении потребности в качественных сталях их импорт, составляющий в 1929/30 г. 21,5% и в 1933 г.- 9,6% от общей потребности, упал в 1934 г до 2,8%.</w:t>
      </w:r>
    </w:p>
    <w:p w14:paraId="1F0DDA06" w14:textId="77777777" w:rsidR="001311E0" w:rsidRPr="00E14102" w:rsidRDefault="001311E0" w:rsidP="00E14102">
      <w:pPr>
        <w:jc w:val="both"/>
        <w:rPr>
          <w:color w:val="000000" w:themeColor="text1"/>
          <w:sz w:val="16"/>
          <w:szCs w:val="16"/>
        </w:rPr>
      </w:pPr>
      <w:r w:rsidRPr="00E14102">
        <w:rPr>
          <w:color w:val="000000" w:themeColor="text1"/>
          <w:sz w:val="16"/>
          <w:szCs w:val="16"/>
        </w:rPr>
        <w:t>В свою очередь производство высококачественных сталей, ранее опиравшееся на импорт ферросплавов, в 1934 г. в значительной степени базируется на собственных ферросплавах, производство которых по сравнению с 1933 г. увеличилось более чем в 3 раза. Однако следует указать, что производство ферровольфрама и ферромолибдена базируется на сырье, которое получается нами из-за границы, так как отечественные месторождения вольфрамовых и молибденовых руд еще мало разрабатываются. Производство феррованадия почти вовсе не поставлено из-за неподготовленности сырьевой базы.</w:t>
      </w:r>
    </w:p>
    <w:p w14:paraId="7171DC96" w14:textId="77777777" w:rsidR="001311E0" w:rsidRPr="00E14102" w:rsidRDefault="001311E0" w:rsidP="00E14102">
      <w:pPr>
        <w:jc w:val="both"/>
        <w:rPr>
          <w:color w:val="000000" w:themeColor="text1"/>
          <w:sz w:val="16"/>
          <w:szCs w:val="16"/>
        </w:rPr>
      </w:pPr>
      <w:r w:rsidRPr="00E14102">
        <w:rPr>
          <w:color w:val="000000" w:themeColor="text1"/>
          <w:sz w:val="16"/>
          <w:szCs w:val="16"/>
        </w:rPr>
        <w:t>Наряду с удовлетворительным в количественном отношении снабжением потребителей уделялось огромное внимание качеству продукции, которое неуклонно улучшалось: процент вторых сортов по сравнению с 1933 г. снизился: по сортопрокату - с 10,6 до 7, по листопрокату - с 24 до 21; брак снижен: по сортопрокату - с 4 до 3,7, но листопрокату - с 10 до 7,2; в 1934 г. значительно улучшилось также по сравнению с 1933 г. использование основного оборудования на наших заводах.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733"/>
        <w:gridCol w:w="1795"/>
        <w:gridCol w:w="1795"/>
      </w:tblGrid>
      <w:tr w:rsidR="00E3599D" w:rsidRPr="00E14102" w14:paraId="6A2A4C3F"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828607A" w14:textId="77777777" w:rsidR="001311E0" w:rsidRPr="00E14102" w:rsidRDefault="001311E0"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09F713"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За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843B6"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За 1934 г.</w:t>
            </w:r>
          </w:p>
        </w:tc>
      </w:tr>
      <w:tr w:rsidR="00E3599D" w:rsidRPr="00E14102" w14:paraId="0E0DEEF9" w14:textId="77777777" w:rsidTr="005D773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3BBFE0B" w14:textId="77777777" w:rsidR="001311E0" w:rsidRPr="00E14102" w:rsidRDefault="001311E0" w:rsidP="00E14102">
            <w:pPr>
              <w:jc w:val="both"/>
              <w:rPr>
                <w:color w:val="000000" w:themeColor="text1"/>
                <w:sz w:val="16"/>
                <w:szCs w:val="16"/>
              </w:rPr>
            </w:pPr>
            <w:r w:rsidRPr="00E14102">
              <w:rPr>
                <w:color w:val="000000" w:themeColor="text1"/>
                <w:sz w:val="16"/>
                <w:szCs w:val="16"/>
              </w:rPr>
              <w:t>По мартеновским печам</w:t>
            </w:r>
          </w:p>
        </w:tc>
      </w:tr>
      <w:tr w:rsidR="00E3599D" w:rsidRPr="00E14102" w14:paraId="10D9C9FE"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47958D6A" w14:textId="77777777" w:rsidR="001311E0" w:rsidRPr="00E14102" w:rsidRDefault="001311E0" w:rsidP="00E14102">
            <w:pPr>
              <w:jc w:val="both"/>
              <w:rPr>
                <w:color w:val="000000" w:themeColor="text1"/>
                <w:sz w:val="16"/>
                <w:szCs w:val="16"/>
              </w:rPr>
            </w:pPr>
            <w:r w:rsidRPr="00E14102">
              <w:rPr>
                <w:color w:val="000000" w:themeColor="text1"/>
                <w:sz w:val="16"/>
                <w:szCs w:val="16"/>
              </w:rPr>
              <w:t>Съем в номинальное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EF5DF" w14:textId="77777777" w:rsidR="001311E0" w:rsidRPr="00E14102" w:rsidRDefault="001311E0" w:rsidP="00E14102">
            <w:pPr>
              <w:jc w:val="both"/>
              <w:rPr>
                <w:color w:val="000000" w:themeColor="text1"/>
                <w:sz w:val="16"/>
                <w:szCs w:val="16"/>
              </w:rPr>
            </w:pPr>
            <w:r w:rsidRPr="00E14102">
              <w:rPr>
                <w:color w:val="000000" w:themeColor="text1"/>
                <w:sz w:val="16"/>
                <w:szCs w:val="16"/>
              </w:rPr>
              <w:t>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B481A" w14:textId="77777777" w:rsidR="001311E0" w:rsidRPr="00E14102" w:rsidRDefault="001311E0" w:rsidP="00E14102">
            <w:pPr>
              <w:jc w:val="both"/>
              <w:rPr>
                <w:color w:val="000000" w:themeColor="text1"/>
                <w:sz w:val="16"/>
                <w:szCs w:val="16"/>
              </w:rPr>
            </w:pPr>
            <w:r w:rsidRPr="00E14102">
              <w:rPr>
                <w:color w:val="000000" w:themeColor="text1"/>
                <w:sz w:val="16"/>
                <w:szCs w:val="16"/>
              </w:rPr>
              <w:t>4,54</w:t>
            </w:r>
          </w:p>
        </w:tc>
      </w:tr>
      <w:tr w:rsidR="00E3599D" w:rsidRPr="00E14102" w14:paraId="543F8F18"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E26BFC3" w14:textId="77777777" w:rsidR="001311E0" w:rsidRPr="00E14102" w:rsidRDefault="001311E0" w:rsidP="00E14102">
            <w:pPr>
              <w:jc w:val="both"/>
              <w:rPr>
                <w:color w:val="000000" w:themeColor="text1"/>
                <w:sz w:val="16"/>
                <w:szCs w:val="16"/>
              </w:rPr>
            </w:pPr>
            <w:r w:rsidRPr="00E14102">
              <w:rPr>
                <w:color w:val="000000" w:themeColor="text1"/>
                <w:sz w:val="16"/>
                <w:szCs w:val="16"/>
              </w:rPr>
              <w:t>% горячих простоев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74EF0" w14:textId="77777777" w:rsidR="001311E0" w:rsidRPr="00E14102" w:rsidRDefault="001311E0" w:rsidP="00E14102">
            <w:pPr>
              <w:jc w:val="both"/>
              <w:rPr>
                <w:color w:val="000000" w:themeColor="text1"/>
                <w:sz w:val="16"/>
                <w:szCs w:val="16"/>
              </w:rPr>
            </w:pPr>
            <w:r w:rsidRPr="00E14102">
              <w:rPr>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C48BE" w14:textId="77777777" w:rsidR="001311E0" w:rsidRPr="00E14102" w:rsidRDefault="001311E0" w:rsidP="00E14102">
            <w:pPr>
              <w:jc w:val="both"/>
              <w:rPr>
                <w:color w:val="000000" w:themeColor="text1"/>
                <w:sz w:val="16"/>
                <w:szCs w:val="16"/>
              </w:rPr>
            </w:pPr>
            <w:r w:rsidRPr="00E14102">
              <w:rPr>
                <w:color w:val="000000" w:themeColor="text1"/>
                <w:sz w:val="16"/>
                <w:szCs w:val="16"/>
              </w:rPr>
              <w:t>8,80</w:t>
            </w:r>
          </w:p>
        </w:tc>
      </w:tr>
      <w:tr w:rsidR="00E3599D" w:rsidRPr="00E14102" w14:paraId="7259ADC0"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25615F0A" w14:textId="77777777" w:rsidR="001311E0" w:rsidRPr="00E14102" w:rsidRDefault="001311E0" w:rsidP="00E14102">
            <w:pPr>
              <w:jc w:val="both"/>
              <w:rPr>
                <w:color w:val="000000" w:themeColor="text1"/>
                <w:sz w:val="16"/>
                <w:szCs w:val="16"/>
              </w:rPr>
            </w:pPr>
            <w:r w:rsidRPr="00E14102">
              <w:rPr>
                <w:color w:val="000000" w:themeColor="text1"/>
                <w:sz w:val="16"/>
                <w:szCs w:val="16"/>
              </w:rPr>
              <w:t>% всех простоев к календарному времени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7DBE0" w14:textId="77777777" w:rsidR="001311E0" w:rsidRPr="00E14102" w:rsidRDefault="001311E0" w:rsidP="00E14102">
            <w:pPr>
              <w:jc w:val="both"/>
              <w:rPr>
                <w:color w:val="000000" w:themeColor="text1"/>
                <w:sz w:val="16"/>
                <w:szCs w:val="16"/>
              </w:rPr>
            </w:pPr>
            <w:r w:rsidRPr="00E14102">
              <w:rPr>
                <w:color w:val="000000" w:themeColor="text1"/>
                <w:sz w:val="16"/>
                <w:szCs w:val="16"/>
              </w:rPr>
              <w:t>27,30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AE0AA" w14:textId="77777777" w:rsidR="001311E0" w:rsidRPr="00E14102" w:rsidRDefault="001311E0" w:rsidP="00E14102">
            <w:pPr>
              <w:jc w:val="both"/>
              <w:rPr>
                <w:color w:val="000000" w:themeColor="text1"/>
                <w:sz w:val="16"/>
                <w:szCs w:val="16"/>
              </w:rPr>
            </w:pPr>
            <w:r w:rsidRPr="00E14102">
              <w:rPr>
                <w:color w:val="000000" w:themeColor="text1"/>
                <w:sz w:val="16"/>
                <w:szCs w:val="16"/>
              </w:rPr>
              <w:t>24,50</w:t>
            </w:r>
          </w:p>
        </w:tc>
      </w:tr>
      <w:tr w:rsidR="00E3599D" w:rsidRPr="00E14102" w14:paraId="2573BEB3"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756B9057" w14:textId="77777777" w:rsidR="001311E0" w:rsidRPr="00E14102" w:rsidRDefault="001311E0" w:rsidP="00E14102">
            <w:pPr>
              <w:jc w:val="both"/>
              <w:rPr>
                <w:color w:val="000000" w:themeColor="text1"/>
                <w:sz w:val="16"/>
                <w:szCs w:val="16"/>
              </w:rPr>
            </w:pPr>
            <w:r w:rsidRPr="00E14102">
              <w:rPr>
                <w:color w:val="000000" w:themeColor="text1"/>
                <w:sz w:val="16"/>
                <w:szCs w:val="16"/>
              </w:rPr>
              <w:t>Выход годного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D4188" w14:textId="77777777" w:rsidR="001311E0" w:rsidRPr="00E14102" w:rsidRDefault="001311E0" w:rsidP="00E14102">
            <w:pPr>
              <w:jc w:val="both"/>
              <w:rPr>
                <w:color w:val="000000" w:themeColor="text1"/>
                <w:sz w:val="16"/>
                <w:szCs w:val="16"/>
              </w:rPr>
            </w:pPr>
            <w:r w:rsidRPr="00E14102">
              <w:rPr>
                <w:color w:val="000000" w:themeColor="text1"/>
                <w:sz w:val="16"/>
                <w:szCs w:val="16"/>
              </w:rPr>
              <w:t>85,05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7D5D9" w14:textId="77777777" w:rsidR="001311E0" w:rsidRPr="00E14102" w:rsidRDefault="001311E0" w:rsidP="00E14102">
            <w:pPr>
              <w:jc w:val="both"/>
              <w:rPr>
                <w:color w:val="000000" w:themeColor="text1"/>
                <w:sz w:val="16"/>
                <w:szCs w:val="16"/>
              </w:rPr>
            </w:pPr>
            <w:r w:rsidRPr="00E14102">
              <w:rPr>
                <w:color w:val="000000" w:themeColor="text1"/>
                <w:sz w:val="16"/>
                <w:szCs w:val="16"/>
              </w:rPr>
              <w:t>86,60</w:t>
            </w:r>
          </w:p>
        </w:tc>
      </w:tr>
      <w:tr w:rsidR="00E3599D" w:rsidRPr="00E14102" w14:paraId="75F8A657" w14:textId="77777777" w:rsidTr="005D773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4679CD6" w14:textId="77777777" w:rsidR="001311E0" w:rsidRPr="00E14102" w:rsidRDefault="001311E0" w:rsidP="00E14102">
            <w:pPr>
              <w:jc w:val="both"/>
              <w:rPr>
                <w:color w:val="000000" w:themeColor="text1"/>
                <w:sz w:val="16"/>
                <w:szCs w:val="16"/>
              </w:rPr>
            </w:pPr>
            <w:r w:rsidRPr="00E14102">
              <w:rPr>
                <w:color w:val="000000" w:themeColor="text1"/>
                <w:sz w:val="16"/>
                <w:szCs w:val="16"/>
              </w:rPr>
              <w:t>По прокатным станам</w:t>
            </w:r>
          </w:p>
        </w:tc>
      </w:tr>
      <w:tr w:rsidR="00E3599D" w:rsidRPr="00E14102" w14:paraId="327127ED"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F124752" w14:textId="77777777" w:rsidR="001311E0" w:rsidRPr="00E14102" w:rsidRDefault="001311E0" w:rsidP="00E14102">
            <w:pPr>
              <w:jc w:val="both"/>
              <w:rPr>
                <w:color w:val="000000" w:themeColor="text1"/>
                <w:sz w:val="16"/>
                <w:szCs w:val="16"/>
              </w:rPr>
            </w:pPr>
            <w:r w:rsidRPr="00E14102">
              <w:rPr>
                <w:color w:val="000000" w:themeColor="text1"/>
                <w:sz w:val="16"/>
                <w:szCs w:val="16"/>
              </w:rPr>
              <w:t>Часовое производство в номинальный час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70E65" w14:textId="77777777" w:rsidR="001311E0" w:rsidRPr="00E14102" w:rsidRDefault="001311E0" w:rsidP="00E14102">
            <w:pPr>
              <w:jc w:val="both"/>
              <w:rPr>
                <w:color w:val="000000" w:themeColor="text1"/>
                <w:sz w:val="16"/>
                <w:szCs w:val="16"/>
              </w:rPr>
            </w:pPr>
            <w:r w:rsidRPr="00E14102">
              <w:rPr>
                <w:color w:val="000000" w:themeColor="text1"/>
                <w:sz w:val="16"/>
                <w:szCs w:val="16"/>
              </w:rPr>
              <w:t>127,0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03153" w14:textId="77777777" w:rsidR="001311E0" w:rsidRPr="00E14102" w:rsidRDefault="001311E0" w:rsidP="00E14102">
            <w:pPr>
              <w:jc w:val="both"/>
              <w:rPr>
                <w:color w:val="000000" w:themeColor="text1"/>
                <w:sz w:val="16"/>
                <w:szCs w:val="16"/>
              </w:rPr>
            </w:pPr>
            <w:r w:rsidRPr="00E14102">
              <w:rPr>
                <w:color w:val="000000" w:themeColor="text1"/>
                <w:sz w:val="16"/>
                <w:szCs w:val="16"/>
              </w:rPr>
              <w:t>224,1</w:t>
            </w:r>
          </w:p>
        </w:tc>
      </w:tr>
      <w:tr w:rsidR="00E3599D" w:rsidRPr="00E14102" w14:paraId="57A66775"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A1582B8" w14:textId="77777777" w:rsidR="001311E0" w:rsidRPr="00E14102" w:rsidRDefault="001311E0" w:rsidP="00E14102">
            <w:pPr>
              <w:jc w:val="both"/>
              <w:rPr>
                <w:color w:val="000000" w:themeColor="text1"/>
                <w:sz w:val="16"/>
                <w:szCs w:val="16"/>
              </w:rPr>
            </w:pPr>
            <w:r w:rsidRPr="00E14102">
              <w:rPr>
                <w:color w:val="000000" w:themeColor="text1"/>
                <w:sz w:val="16"/>
                <w:szCs w:val="16"/>
              </w:rPr>
              <w:t>% простоев в номинальное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49B97" w14:textId="77777777" w:rsidR="001311E0" w:rsidRPr="00E14102" w:rsidRDefault="001311E0" w:rsidP="00E14102">
            <w:pPr>
              <w:jc w:val="both"/>
              <w:rPr>
                <w:color w:val="000000" w:themeColor="text1"/>
                <w:sz w:val="16"/>
                <w:szCs w:val="16"/>
              </w:rPr>
            </w:pPr>
            <w:r w:rsidRPr="00E14102">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1EC62" w14:textId="77777777" w:rsidR="001311E0" w:rsidRPr="00E14102" w:rsidRDefault="001311E0" w:rsidP="00E14102">
            <w:pPr>
              <w:jc w:val="both"/>
              <w:rPr>
                <w:color w:val="000000" w:themeColor="text1"/>
                <w:sz w:val="16"/>
                <w:szCs w:val="16"/>
              </w:rPr>
            </w:pPr>
            <w:r w:rsidRPr="00E14102">
              <w:rPr>
                <w:color w:val="000000" w:themeColor="text1"/>
                <w:sz w:val="16"/>
                <w:szCs w:val="16"/>
              </w:rPr>
              <w:t>15,5</w:t>
            </w:r>
          </w:p>
        </w:tc>
      </w:tr>
    </w:tbl>
    <w:p w14:paraId="25DBD716" w14:textId="77777777" w:rsidR="001311E0" w:rsidRPr="00E14102" w:rsidRDefault="001311E0" w:rsidP="00E14102">
      <w:pPr>
        <w:jc w:val="both"/>
        <w:rPr>
          <w:color w:val="000000" w:themeColor="text1"/>
          <w:sz w:val="16"/>
          <w:szCs w:val="16"/>
        </w:rPr>
      </w:pPr>
      <w:r w:rsidRPr="00E14102">
        <w:rPr>
          <w:color w:val="000000" w:themeColor="text1"/>
          <w:sz w:val="16"/>
          <w:szCs w:val="16"/>
        </w:rPr>
        <w:t>В результате этих достижений многие основные цехи заводов «Спецстали» выполнили задания по конкурсу металлургов 1934 г.:</w:t>
      </w:r>
    </w:p>
    <w:p w14:paraId="7DD729D3" w14:textId="77777777" w:rsidR="001311E0" w:rsidRPr="00E14102" w:rsidRDefault="001311E0" w:rsidP="00E14102">
      <w:pPr>
        <w:jc w:val="both"/>
        <w:rPr>
          <w:color w:val="000000" w:themeColor="text1"/>
          <w:sz w:val="16"/>
          <w:szCs w:val="16"/>
        </w:rPr>
      </w:pPr>
      <w:r w:rsidRPr="00E14102">
        <w:rPr>
          <w:color w:val="000000" w:themeColor="text1"/>
          <w:sz w:val="16"/>
          <w:szCs w:val="16"/>
        </w:rPr>
        <w:t>1) мартеновский цех завода «Серп и молот», занявший вто</w:t>
      </w:r>
      <w:r w:rsidRPr="00E14102">
        <w:rPr>
          <w:color w:val="000000" w:themeColor="text1"/>
          <w:sz w:val="16"/>
          <w:szCs w:val="16"/>
        </w:rPr>
        <w:softHyphen/>
        <w:t>рое место в конкурсе 1933 г. и вышедший в 1934 г. на первое место среди мартеновских цехов Союза, получил знамя им. Правды;</w:t>
      </w:r>
    </w:p>
    <w:p w14:paraId="426C84C1" w14:textId="77777777" w:rsidR="001311E0" w:rsidRPr="00E14102" w:rsidRDefault="001311E0" w:rsidP="00E14102">
      <w:pPr>
        <w:jc w:val="both"/>
        <w:rPr>
          <w:color w:val="000000" w:themeColor="text1"/>
          <w:sz w:val="16"/>
          <w:szCs w:val="16"/>
        </w:rPr>
      </w:pPr>
      <w:r w:rsidRPr="00E14102">
        <w:rPr>
          <w:color w:val="000000" w:themeColor="text1"/>
          <w:sz w:val="16"/>
          <w:szCs w:val="16"/>
        </w:rPr>
        <w:t>2) мартеновский цех завода «Красный Октябрь», бывший на первом месте в результате конкурса 1933 г. и имевший знамя им. Правды, занял в конкурсе 1934 г. второе место;</w:t>
      </w:r>
    </w:p>
    <w:p w14:paraId="582DB8C1" w14:textId="77777777" w:rsidR="001311E0" w:rsidRPr="00E14102" w:rsidRDefault="001311E0" w:rsidP="00E14102">
      <w:pPr>
        <w:jc w:val="both"/>
        <w:rPr>
          <w:color w:val="000000" w:themeColor="text1"/>
          <w:sz w:val="16"/>
          <w:szCs w:val="16"/>
        </w:rPr>
      </w:pPr>
      <w:r w:rsidRPr="00E14102">
        <w:rPr>
          <w:color w:val="000000" w:themeColor="text1"/>
          <w:sz w:val="16"/>
          <w:szCs w:val="16"/>
        </w:rPr>
        <w:t>3) прокатный цех завода «Красный Октябрь». Блюминг это</w:t>
      </w:r>
      <w:r w:rsidRPr="00E14102">
        <w:rPr>
          <w:color w:val="000000" w:themeColor="text1"/>
          <w:sz w:val="16"/>
          <w:szCs w:val="16"/>
        </w:rPr>
        <w:softHyphen/>
        <w:t>го завода признан лучшим блюмингом в Союзе;</w:t>
      </w:r>
    </w:p>
    <w:p w14:paraId="6D159961" w14:textId="77777777" w:rsidR="001311E0" w:rsidRPr="00E14102" w:rsidRDefault="001311E0" w:rsidP="00E14102">
      <w:pPr>
        <w:jc w:val="both"/>
        <w:rPr>
          <w:color w:val="000000" w:themeColor="text1"/>
          <w:sz w:val="16"/>
          <w:szCs w:val="16"/>
        </w:rPr>
      </w:pPr>
      <w:r w:rsidRPr="00E14102">
        <w:rPr>
          <w:color w:val="000000" w:themeColor="text1"/>
          <w:sz w:val="16"/>
          <w:szCs w:val="16"/>
        </w:rPr>
        <w:t>4) листопрокатные цехи Верх-Исетского завода;</w:t>
      </w:r>
    </w:p>
    <w:p w14:paraId="70AA1333" w14:textId="77777777" w:rsidR="001311E0" w:rsidRPr="00E14102" w:rsidRDefault="001311E0" w:rsidP="00E14102">
      <w:pPr>
        <w:jc w:val="both"/>
        <w:rPr>
          <w:color w:val="000000" w:themeColor="text1"/>
          <w:sz w:val="16"/>
          <w:szCs w:val="16"/>
        </w:rPr>
      </w:pPr>
      <w:r w:rsidRPr="00E14102">
        <w:rPr>
          <w:color w:val="000000" w:themeColor="text1"/>
          <w:sz w:val="16"/>
          <w:szCs w:val="16"/>
        </w:rPr>
        <w:t>5) доменный цех Златоустовского завода.</w:t>
      </w:r>
    </w:p>
    <w:p w14:paraId="47AF7A32" w14:textId="77777777" w:rsidR="001311E0" w:rsidRPr="00E14102" w:rsidRDefault="001311E0" w:rsidP="00E14102">
      <w:pPr>
        <w:jc w:val="both"/>
        <w:rPr>
          <w:color w:val="000000" w:themeColor="text1"/>
          <w:sz w:val="16"/>
          <w:szCs w:val="16"/>
        </w:rPr>
      </w:pPr>
      <w:r w:rsidRPr="00E14102">
        <w:rPr>
          <w:color w:val="000000" w:themeColor="text1"/>
          <w:sz w:val="16"/>
          <w:szCs w:val="16"/>
        </w:rPr>
        <w:t>В 1934 г. на заводах треста производилась серьезная работа в области организации труда, сокращения излишней рабочей силы и повышения производительности труда.</w:t>
      </w:r>
    </w:p>
    <w:p w14:paraId="31EFB4F2" w14:textId="77777777" w:rsidR="001311E0" w:rsidRPr="00E14102" w:rsidRDefault="001311E0" w:rsidP="00E14102">
      <w:pPr>
        <w:jc w:val="both"/>
        <w:rPr>
          <w:color w:val="000000" w:themeColor="text1"/>
          <w:sz w:val="16"/>
          <w:szCs w:val="16"/>
        </w:rPr>
      </w:pPr>
      <w:r w:rsidRPr="00E14102">
        <w:rPr>
          <w:color w:val="000000" w:themeColor="text1"/>
          <w:sz w:val="16"/>
          <w:szCs w:val="16"/>
        </w:rPr>
        <w:t>По сравнению с 1933 г. имеется рост: валовой продукции - на 49,2%, количества рабочих - 15,5%, производительности труда - на 29,2%, зарплаты одного рабочего - на 11,1%.</w:t>
      </w:r>
    </w:p>
    <w:p w14:paraId="53FD6727" w14:textId="77777777" w:rsidR="001311E0" w:rsidRPr="00E14102" w:rsidRDefault="001311E0" w:rsidP="00E14102">
      <w:pPr>
        <w:jc w:val="both"/>
        <w:rPr>
          <w:color w:val="000000" w:themeColor="text1"/>
          <w:sz w:val="16"/>
          <w:szCs w:val="16"/>
        </w:rPr>
      </w:pPr>
      <w:r w:rsidRPr="00E14102">
        <w:rPr>
          <w:color w:val="000000" w:themeColor="text1"/>
          <w:sz w:val="16"/>
          <w:szCs w:val="16"/>
        </w:rPr>
        <w:t>Рост производительности труда, несмотря на увеличение трудоемкости сортамента продукции, имел место по всем цехам.</w:t>
      </w:r>
    </w:p>
    <w:p w14:paraId="3B6B28B2" w14:textId="77777777" w:rsidR="001311E0" w:rsidRPr="00E14102" w:rsidRDefault="001311E0" w:rsidP="00E14102">
      <w:pPr>
        <w:jc w:val="both"/>
        <w:rPr>
          <w:color w:val="000000" w:themeColor="text1"/>
          <w:sz w:val="16"/>
          <w:szCs w:val="16"/>
        </w:rPr>
      </w:pPr>
      <w:r w:rsidRPr="00E14102">
        <w:rPr>
          <w:color w:val="000000" w:themeColor="text1"/>
          <w:sz w:val="16"/>
          <w:szCs w:val="16"/>
        </w:rPr>
        <w:t>Так, выработка в натуральном выражении на одного рабочего составила: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1"/>
        <w:gridCol w:w="1995"/>
        <w:gridCol w:w="1995"/>
        <w:gridCol w:w="1782"/>
      </w:tblGrid>
      <w:tr w:rsidR="00E3599D" w:rsidRPr="00E14102" w14:paraId="60800D42"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1905133A" w14:textId="77777777" w:rsidR="001311E0" w:rsidRPr="00E14102" w:rsidRDefault="001311E0"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BF5463"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В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53C46"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В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608E6"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 роста</w:t>
            </w:r>
          </w:p>
        </w:tc>
      </w:tr>
      <w:tr w:rsidR="00E3599D" w:rsidRPr="00E14102" w14:paraId="7295539D"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2B89958A" w14:textId="77777777" w:rsidR="001311E0" w:rsidRPr="00E14102" w:rsidRDefault="001311E0" w:rsidP="00E14102">
            <w:pPr>
              <w:jc w:val="both"/>
              <w:rPr>
                <w:color w:val="000000" w:themeColor="text1"/>
                <w:sz w:val="16"/>
                <w:szCs w:val="16"/>
              </w:rPr>
            </w:pPr>
            <w:r w:rsidRPr="00E14102">
              <w:rPr>
                <w:color w:val="000000" w:themeColor="text1"/>
                <w:sz w:val="16"/>
                <w:szCs w:val="16"/>
              </w:rPr>
              <w:t>По электроферросплавам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A8C93" w14:textId="77777777" w:rsidR="001311E0" w:rsidRPr="00E14102" w:rsidRDefault="001311E0" w:rsidP="00E14102">
            <w:pPr>
              <w:jc w:val="both"/>
              <w:rPr>
                <w:color w:val="000000" w:themeColor="text1"/>
                <w:sz w:val="16"/>
                <w:szCs w:val="16"/>
              </w:rPr>
            </w:pPr>
            <w:r w:rsidRPr="00E14102">
              <w:rPr>
                <w:color w:val="000000" w:themeColor="text1"/>
                <w:sz w:val="16"/>
                <w:szCs w:val="16"/>
              </w:rPr>
              <w:t>39,0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FBB24" w14:textId="77777777" w:rsidR="001311E0" w:rsidRPr="00E14102" w:rsidRDefault="001311E0" w:rsidP="00E14102">
            <w:pPr>
              <w:jc w:val="both"/>
              <w:rPr>
                <w:color w:val="000000" w:themeColor="text1"/>
                <w:sz w:val="16"/>
                <w:szCs w:val="16"/>
              </w:rPr>
            </w:pPr>
            <w:r w:rsidRPr="00E14102">
              <w:rPr>
                <w:color w:val="000000" w:themeColor="text1"/>
                <w:sz w:val="16"/>
                <w:szCs w:val="16"/>
              </w:rPr>
              <w:t>50,8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B48D2" w14:textId="77777777" w:rsidR="001311E0" w:rsidRPr="00E14102" w:rsidRDefault="001311E0" w:rsidP="00E14102">
            <w:pPr>
              <w:jc w:val="both"/>
              <w:rPr>
                <w:color w:val="000000" w:themeColor="text1"/>
                <w:sz w:val="16"/>
                <w:szCs w:val="16"/>
              </w:rPr>
            </w:pPr>
            <w:r w:rsidRPr="00E14102">
              <w:rPr>
                <w:color w:val="000000" w:themeColor="text1"/>
                <w:sz w:val="16"/>
                <w:szCs w:val="16"/>
              </w:rPr>
              <w:t>+30,0</w:t>
            </w:r>
          </w:p>
        </w:tc>
      </w:tr>
      <w:tr w:rsidR="00E3599D" w:rsidRPr="00E14102" w14:paraId="3D8A02A6"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5B59822" w14:textId="77777777" w:rsidR="001311E0" w:rsidRPr="00E14102" w:rsidRDefault="001311E0" w:rsidP="00E14102">
            <w:pPr>
              <w:jc w:val="both"/>
              <w:rPr>
                <w:color w:val="000000" w:themeColor="text1"/>
                <w:sz w:val="16"/>
                <w:szCs w:val="16"/>
              </w:rPr>
            </w:pPr>
            <w:r w:rsidRPr="00E14102">
              <w:rPr>
                <w:color w:val="000000" w:themeColor="text1"/>
                <w:sz w:val="16"/>
                <w:szCs w:val="16"/>
              </w:rPr>
              <w:t>По мартеновской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A31FD" w14:textId="77777777" w:rsidR="001311E0" w:rsidRPr="00E14102" w:rsidRDefault="001311E0" w:rsidP="00E14102">
            <w:pPr>
              <w:jc w:val="both"/>
              <w:rPr>
                <w:color w:val="000000" w:themeColor="text1"/>
                <w:sz w:val="16"/>
                <w:szCs w:val="16"/>
              </w:rPr>
            </w:pPr>
            <w:r w:rsidRPr="00E14102">
              <w:rPr>
                <w:color w:val="000000" w:themeColor="text1"/>
                <w:sz w:val="16"/>
                <w:szCs w:val="16"/>
              </w:rPr>
              <w:t>230,0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C5E05" w14:textId="77777777" w:rsidR="001311E0" w:rsidRPr="00E14102" w:rsidRDefault="001311E0" w:rsidP="00E14102">
            <w:pPr>
              <w:jc w:val="both"/>
              <w:rPr>
                <w:color w:val="000000" w:themeColor="text1"/>
                <w:sz w:val="16"/>
                <w:szCs w:val="16"/>
              </w:rPr>
            </w:pPr>
            <w:r w:rsidRPr="00E14102">
              <w:rPr>
                <w:color w:val="000000" w:themeColor="text1"/>
                <w:sz w:val="16"/>
                <w:szCs w:val="16"/>
              </w:rPr>
              <w:t>253,0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FDEFA" w14:textId="77777777" w:rsidR="001311E0" w:rsidRPr="00E14102" w:rsidRDefault="001311E0" w:rsidP="00E14102">
            <w:pPr>
              <w:jc w:val="both"/>
              <w:rPr>
                <w:color w:val="000000" w:themeColor="text1"/>
                <w:sz w:val="16"/>
                <w:szCs w:val="16"/>
              </w:rPr>
            </w:pPr>
            <w:r w:rsidRPr="00E14102">
              <w:rPr>
                <w:color w:val="000000" w:themeColor="text1"/>
                <w:sz w:val="16"/>
                <w:szCs w:val="16"/>
              </w:rPr>
              <w:t>+10,0</w:t>
            </w:r>
          </w:p>
        </w:tc>
      </w:tr>
      <w:tr w:rsidR="00E3599D" w:rsidRPr="00E14102" w14:paraId="5A2EE7A4"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72946E72" w14:textId="77777777" w:rsidR="001311E0" w:rsidRPr="00E14102" w:rsidRDefault="001311E0" w:rsidP="00E14102">
            <w:pPr>
              <w:jc w:val="both"/>
              <w:rPr>
                <w:color w:val="000000" w:themeColor="text1"/>
                <w:sz w:val="16"/>
                <w:szCs w:val="16"/>
              </w:rPr>
            </w:pPr>
            <w:r w:rsidRPr="00E14102">
              <w:rPr>
                <w:color w:val="000000" w:themeColor="text1"/>
                <w:sz w:val="16"/>
                <w:szCs w:val="16"/>
              </w:rPr>
              <w:t>По электрической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E0AF1" w14:textId="77777777" w:rsidR="001311E0" w:rsidRPr="00E14102" w:rsidRDefault="001311E0" w:rsidP="00E14102">
            <w:pPr>
              <w:jc w:val="both"/>
              <w:rPr>
                <w:color w:val="000000" w:themeColor="text1"/>
                <w:sz w:val="16"/>
                <w:szCs w:val="16"/>
              </w:rPr>
            </w:pPr>
            <w:r w:rsidRPr="00E14102">
              <w:rPr>
                <w:color w:val="000000" w:themeColor="text1"/>
                <w:sz w:val="16"/>
                <w:szCs w:val="16"/>
              </w:rPr>
              <w:t>82,9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69F63" w14:textId="77777777" w:rsidR="001311E0" w:rsidRPr="00E14102" w:rsidRDefault="001311E0" w:rsidP="00E14102">
            <w:pPr>
              <w:jc w:val="both"/>
              <w:rPr>
                <w:color w:val="000000" w:themeColor="text1"/>
                <w:sz w:val="16"/>
                <w:szCs w:val="16"/>
              </w:rPr>
            </w:pPr>
            <w:r w:rsidRPr="00E14102">
              <w:rPr>
                <w:color w:val="000000" w:themeColor="text1"/>
                <w:sz w:val="16"/>
                <w:szCs w:val="16"/>
              </w:rPr>
              <w:t>87,5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D58A8" w14:textId="77777777" w:rsidR="001311E0" w:rsidRPr="00E14102" w:rsidRDefault="001311E0" w:rsidP="00E14102">
            <w:pPr>
              <w:jc w:val="both"/>
              <w:rPr>
                <w:color w:val="000000" w:themeColor="text1"/>
                <w:sz w:val="16"/>
                <w:szCs w:val="16"/>
              </w:rPr>
            </w:pPr>
            <w:r w:rsidRPr="00E14102">
              <w:rPr>
                <w:color w:val="000000" w:themeColor="text1"/>
                <w:sz w:val="16"/>
                <w:szCs w:val="16"/>
              </w:rPr>
              <w:t>+5,5</w:t>
            </w:r>
          </w:p>
        </w:tc>
      </w:tr>
      <w:tr w:rsidR="00E3599D" w:rsidRPr="00E14102" w14:paraId="0CC6A876"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4796AC6" w14:textId="77777777" w:rsidR="001311E0" w:rsidRPr="00E14102" w:rsidRDefault="001311E0" w:rsidP="00E14102">
            <w:pPr>
              <w:jc w:val="both"/>
              <w:rPr>
                <w:color w:val="000000" w:themeColor="text1"/>
                <w:sz w:val="16"/>
                <w:szCs w:val="16"/>
              </w:rPr>
            </w:pPr>
            <w:r w:rsidRPr="00E14102">
              <w:rPr>
                <w:color w:val="000000" w:themeColor="text1"/>
                <w:sz w:val="16"/>
                <w:szCs w:val="16"/>
              </w:rPr>
              <w:t>По готовому прокату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212DB" w14:textId="77777777" w:rsidR="001311E0" w:rsidRPr="00E14102" w:rsidRDefault="001311E0" w:rsidP="00E14102">
            <w:pPr>
              <w:jc w:val="both"/>
              <w:rPr>
                <w:color w:val="000000" w:themeColor="text1"/>
                <w:sz w:val="16"/>
                <w:szCs w:val="16"/>
              </w:rPr>
            </w:pPr>
            <w:r w:rsidRPr="00E14102">
              <w:rPr>
                <w:color w:val="000000" w:themeColor="text1"/>
                <w:sz w:val="16"/>
                <w:szCs w:val="16"/>
              </w:rPr>
              <w:t>57,0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A4F19" w14:textId="77777777" w:rsidR="001311E0" w:rsidRPr="00E14102" w:rsidRDefault="001311E0" w:rsidP="00E14102">
            <w:pPr>
              <w:jc w:val="both"/>
              <w:rPr>
                <w:color w:val="000000" w:themeColor="text1"/>
                <w:sz w:val="16"/>
                <w:szCs w:val="16"/>
              </w:rPr>
            </w:pPr>
            <w:r w:rsidRPr="00E14102">
              <w:rPr>
                <w:color w:val="000000" w:themeColor="text1"/>
                <w:sz w:val="16"/>
                <w:szCs w:val="16"/>
              </w:rPr>
              <w:t>64,0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94F5E" w14:textId="77777777" w:rsidR="001311E0" w:rsidRPr="00E14102" w:rsidRDefault="001311E0" w:rsidP="00E14102">
            <w:pPr>
              <w:jc w:val="both"/>
              <w:rPr>
                <w:color w:val="000000" w:themeColor="text1"/>
                <w:sz w:val="16"/>
                <w:szCs w:val="16"/>
              </w:rPr>
            </w:pPr>
            <w:r w:rsidRPr="00E14102">
              <w:rPr>
                <w:color w:val="000000" w:themeColor="text1"/>
                <w:sz w:val="16"/>
                <w:szCs w:val="16"/>
              </w:rPr>
              <w:t>+12,8</w:t>
            </w:r>
          </w:p>
        </w:tc>
      </w:tr>
    </w:tbl>
    <w:p w14:paraId="3C396C24" w14:textId="77777777" w:rsidR="001311E0" w:rsidRPr="00E14102" w:rsidRDefault="001311E0" w:rsidP="00E14102">
      <w:pPr>
        <w:jc w:val="both"/>
        <w:rPr>
          <w:color w:val="000000" w:themeColor="text1"/>
          <w:sz w:val="16"/>
          <w:szCs w:val="16"/>
        </w:rPr>
      </w:pPr>
      <w:r w:rsidRPr="00E14102">
        <w:rPr>
          <w:color w:val="000000" w:themeColor="text1"/>
          <w:sz w:val="16"/>
          <w:szCs w:val="16"/>
        </w:rPr>
        <w:t>При общем росте рабочих и младшего обслуживающего персонала на 17,5% количество рабочих, пользующихся заводской жилой площадью, возросло по сравнению с 1933 г. на 24%.</w:t>
      </w:r>
    </w:p>
    <w:p w14:paraId="01F6808A" w14:textId="77777777" w:rsidR="001311E0" w:rsidRPr="00E14102" w:rsidRDefault="001311E0" w:rsidP="00E14102">
      <w:pPr>
        <w:jc w:val="both"/>
        <w:rPr>
          <w:color w:val="000000" w:themeColor="text1"/>
          <w:sz w:val="16"/>
          <w:szCs w:val="16"/>
        </w:rPr>
      </w:pPr>
      <w:r w:rsidRPr="00E14102">
        <w:rPr>
          <w:color w:val="000000" w:themeColor="text1"/>
          <w:sz w:val="16"/>
          <w:szCs w:val="16"/>
        </w:rPr>
        <w:t>В области борьбы за снижение себестоимости продукции в 1934 г. имеются положительные результаты: коммерческая себестоимость по сравнимой с 1933 г. товарной продукцией снижена на 5,07%, а по зависимым факторам - на 8,92% вместо 6,05% снижения, предусмотренного по плану. По всей продукции (включая и не сравнимую с прошлым годом товарную продукцию) себестоимость снижена по зависящим факторам на 0,76% против плана</w:t>
      </w:r>
    </w:p>
    <w:p w14:paraId="68ADF157" w14:textId="77777777" w:rsidR="001311E0" w:rsidRPr="00E14102" w:rsidRDefault="001311E0" w:rsidP="00E14102">
      <w:pPr>
        <w:jc w:val="both"/>
        <w:rPr>
          <w:color w:val="000000" w:themeColor="text1"/>
          <w:sz w:val="16"/>
          <w:szCs w:val="16"/>
        </w:rPr>
      </w:pPr>
      <w:r w:rsidRPr="00E14102">
        <w:rPr>
          <w:color w:val="000000" w:themeColor="text1"/>
          <w:sz w:val="16"/>
          <w:szCs w:val="16"/>
        </w:rPr>
        <w:t>Доля зарплаты в себестоимости продукции, составляющая в 1933 г. 35,4%, была снижена в отчетном году до 23,9%. [9]</w:t>
      </w:r>
    </w:p>
    <w:p w14:paraId="7410942F" w14:textId="77777777" w:rsidR="001311E0" w:rsidRPr="00E14102" w:rsidRDefault="001311E0" w:rsidP="00E14102">
      <w:pPr>
        <w:jc w:val="both"/>
        <w:rPr>
          <w:color w:val="000000" w:themeColor="text1"/>
          <w:sz w:val="16"/>
          <w:szCs w:val="16"/>
        </w:rPr>
      </w:pPr>
      <w:r w:rsidRPr="00E14102">
        <w:rPr>
          <w:color w:val="000000" w:themeColor="text1"/>
          <w:sz w:val="16"/>
          <w:szCs w:val="16"/>
        </w:rPr>
        <w:t>Технормирование и охват сдельщиной</w:t>
      </w:r>
    </w:p>
    <w:p w14:paraId="3B11D067" w14:textId="77777777" w:rsidR="001311E0" w:rsidRPr="00E14102" w:rsidRDefault="001311E0" w:rsidP="00E14102">
      <w:pPr>
        <w:jc w:val="both"/>
        <w:rPr>
          <w:color w:val="000000" w:themeColor="text1"/>
          <w:sz w:val="16"/>
          <w:szCs w:val="16"/>
        </w:rPr>
      </w:pPr>
      <w:r w:rsidRPr="00E14102">
        <w:rPr>
          <w:color w:val="000000" w:themeColor="text1"/>
          <w:sz w:val="16"/>
          <w:szCs w:val="16"/>
        </w:rPr>
        <w:t>Работа по внедрению технического нормирования и охвату рабочих сдельщиной характеризуется следующей таблицей (в % к отработанному времени) [табл. 4].</w:t>
      </w:r>
    </w:p>
    <w:p w14:paraId="3574C6AD"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[ТАБЛИЦА 4]</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15"/>
        <w:gridCol w:w="1738"/>
        <w:gridCol w:w="1738"/>
        <w:gridCol w:w="2066"/>
        <w:gridCol w:w="2066"/>
      </w:tblGrid>
      <w:tr w:rsidR="00E3599D" w:rsidRPr="00E14102" w14:paraId="55929812" w14:textId="77777777" w:rsidTr="005D773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BF6AAB8"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Заводы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10046D0"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Охват сдельщиной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2A9579B"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Охват нормированием</w:t>
            </w:r>
          </w:p>
        </w:tc>
      </w:tr>
      <w:tr w:rsidR="00E3599D" w:rsidRPr="00E14102" w14:paraId="6A882396" w14:textId="77777777" w:rsidTr="005D7732">
        <w:tc>
          <w:tcPr>
            <w:tcW w:w="0" w:type="auto"/>
            <w:vMerge/>
            <w:tcBorders>
              <w:top w:val="outset" w:sz="6" w:space="0" w:color="auto"/>
              <w:left w:val="outset" w:sz="6" w:space="0" w:color="auto"/>
              <w:bottom w:val="outset" w:sz="6" w:space="0" w:color="auto"/>
              <w:right w:val="outset" w:sz="6" w:space="0" w:color="auto"/>
            </w:tcBorders>
            <w:vAlign w:val="center"/>
            <w:hideMark/>
          </w:tcPr>
          <w:p w14:paraId="73E0BE4E" w14:textId="77777777" w:rsidR="001311E0" w:rsidRPr="00E14102" w:rsidRDefault="001311E0"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F1B964"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1D8F7"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D58F2"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9EDE4"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1934 г.</w:t>
            </w:r>
          </w:p>
        </w:tc>
      </w:tr>
      <w:tr w:rsidR="00E3599D" w:rsidRPr="00E14102" w14:paraId="42BD9430"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3CA1095" w14:textId="77777777" w:rsidR="001311E0" w:rsidRPr="00E14102" w:rsidRDefault="001311E0"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AC47F" w14:textId="77777777" w:rsidR="001311E0" w:rsidRPr="00E14102" w:rsidRDefault="001311E0" w:rsidP="00E14102">
            <w:pPr>
              <w:jc w:val="both"/>
              <w:rPr>
                <w:color w:val="000000" w:themeColor="text1"/>
                <w:sz w:val="16"/>
                <w:szCs w:val="16"/>
              </w:rPr>
            </w:pPr>
            <w:r w:rsidRPr="00E14102">
              <w:rPr>
                <w:color w:val="000000" w:themeColor="text1"/>
                <w:sz w:val="16"/>
                <w:szCs w:val="16"/>
              </w:rPr>
              <w:t>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127F5" w14:textId="77777777" w:rsidR="001311E0" w:rsidRPr="00E14102" w:rsidRDefault="001311E0" w:rsidP="00E14102">
            <w:pPr>
              <w:jc w:val="both"/>
              <w:rPr>
                <w:color w:val="000000" w:themeColor="text1"/>
                <w:sz w:val="16"/>
                <w:szCs w:val="16"/>
              </w:rPr>
            </w:pPr>
            <w:r w:rsidRPr="00E14102">
              <w:rPr>
                <w:color w:val="000000" w:themeColor="text1"/>
                <w:sz w:val="16"/>
                <w:szCs w:val="16"/>
              </w:rPr>
              <w:t>60,6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6CA87" w14:textId="77777777" w:rsidR="001311E0" w:rsidRPr="00E14102" w:rsidRDefault="001311E0" w:rsidP="00E14102">
            <w:pPr>
              <w:jc w:val="both"/>
              <w:rPr>
                <w:color w:val="000000" w:themeColor="text1"/>
                <w:sz w:val="16"/>
                <w:szCs w:val="16"/>
              </w:rPr>
            </w:pPr>
            <w:r w:rsidRPr="00E14102">
              <w:rPr>
                <w:color w:val="000000" w:themeColor="text1"/>
                <w:sz w:val="16"/>
                <w:szCs w:val="16"/>
              </w:rPr>
              <w:t>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485CB" w14:textId="77777777" w:rsidR="001311E0" w:rsidRPr="00E14102" w:rsidRDefault="001311E0" w:rsidP="00E14102">
            <w:pPr>
              <w:jc w:val="both"/>
              <w:rPr>
                <w:color w:val="000000" w:themeColor="text1"/>
                <w:sz w:val="16"/>
                <w:szCs w:val="16"/>
              </w:rPr>
            </w:pPr>
            <w:r w:rsidRPr="00E14102">
              <w:rPr>
                <w:color w:val="000000" w:themeColor="text1"/>
                <w:sz w:val="16"/>
                <w:szCs w:val="16"/>
              </w:rPr>
              <w:t>-</w:t>
            </w:r>
          </w:p>
        </w:tc>
      </w:tr>
      <w:tr w:rsidR="00E3599D" w:rsidRPr="00E14102" w14:paraId="1F52E828"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7DEACE4D" w14:textId="77777777" w:rsidR="001311E0" w:rsidRPr="00E14102" w:rsidRDefault="001311E0" w:rsidP="00E14102">
            <w:pPr>
              <w:jc w:val="both"/>
              <w:rPr>
                <w:color w:val="000000" w:themeColor="text1"/>
                <w:sz w:val="16"/>
                <w:szCs w:val="16"/>
              </w:rPr>
            </w:pPr>
            <w:r w:rsidRPr="00E14102">
              <w:rPr>
                <w:color w:val="000000" w:themeColor="text1"/>
                <w:sz w:val="16"/>
                <w:szCs w:val="16"/>
              </w:rPr>
              <w:t>«Красный 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94A26" w14:textId="77777777" w:rsidR="001311E0" w:rsidRPr="00E14102" w:rsidRDefault="001311E0" w:rsidP="00E14102">
            <w:pPr>
              <w:jc w:val="both"/>
              <w:rPr>
                <w:color w:val="000000" w:themeColor="text1"/>
                <w:sz w:val="16"/>
                <w:szCs w:val="16"/>
              </w:rPr>
            </w:pPr>
            <w:r w:rsidRPr="00E14102">
              <w:rPr>
                <w:color w:val="000000" w:themeColor="text1"/>
                <w:sz w:val="16"/>
                <w:szCs w:val="16"/>
              </w:rPr>
              <w:t>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E561D" w14:textId="77777777" w:rsidR="001311E0" w:rsidRPr="00E14102" w:rsidRDefault="001311E0" w:rsidP="00E14102">
            <w:pPr>
              <w:jc w:val="both"/>
              <w:rPr>
                <w:color w:val="000000" w:themeColor="text1"/>
                <w:sz w:val="16"/>
                <w:szCs w:val="16"/>
              </w:rPr>
            </w:pPr>
            <w:r w:rsidRPr="00E14102">
              <w:rPr>
                <w:color w:val="000000" w:themeColor="text1"/>
                <w:sz w:val="16"/>
                <w:szCs w:val="16"/>
              </w:rPr>
              <w:t>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A8D39" w14:textId="77777777" w:rsidR="001311E0" w:rsidRPr="00E14102" w:rsidRDefault="001311E0" w:rsidP="00E14102">
            <w:pPr>
              <w:jc w:val="both"/>
              <w:rPr>
                <w:color w:val="000000" w:themeColor="text1"/>
                <w:sz w:val="16"/>
                <w:szCs w:val="16"/>
              </w:rPr>
            </w:pPr>
            <w:r w:rsidRPr="00E14102">
              <w:rPr>
                <w:color w:val="000000" w:themeColor="text1"/>
                <w:sz w:val="16"/>
                <w:szCs w:val="16"/>
              </w:rPr>
              <w:t>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892C2" w14:textId="77777777" w:rsidR="001311E0" w:rsidRPr="00E14102" w:rsidRDefault="001311E0" w:rsidP="00E14102">
            <w:pPr>
              <w:jc w:val="both"/>
              <w:rPr>
                <w:color w:val="000000" w:themeColor="text1"/>
                <w:sz w:val="16"/>
                <w:szCs w:val="16"/>
              </w:rPr>
            </w:pPr>
            <w:r w:rsidRPr="00E14102">
              <w:rPr>
                <w:color w:val="000000" w:themeColor="text1"/>
                <w:sz w:val="16"/>
                <w:szCs w:val="16"/>
              </w:rPr>
              <w:t>40,7</w:t>
            </w:r>
          </w:p>
        </w:tc>
      </w:tr>
      <w:tr w:rsidR="00E3599D" w:rsidRPr="00E14102" w14:paraId="48D208F7"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4AA10B8A" w14:textId="77777777" w:rsidR="001311E0" w:rsidRPr="00E14102" w:rsidRDefault="001311E0"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449223" w14:textId="77777777" w:rsidR="001311E0" w:rsidRPr="00E14102" w:rsidRDefault="001311E0" w:rsidP="00E14102">
            <w:pPr>
              <w:jc w:val="both"/>
              <w:rPr>
                <w:color w:val="000000" w:themeColor="text1"/>
                <w:sz w:val="16"/>
                <w:szCs w:val="16"/>
              </w:rPr>
            </w:pPr>
            <w:r w:rsidRPr="00E14102">
              <w:rPr>
                <w:color w:val="000000" w:themeColor="text1"/>
                <w:sz w:val="16"/>
                <w:szCs w:val="16"/>
              </w:rPr>
              <w:t>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71CDC" w14:textId="77777777" w:rsidR="001311E0" w:rsidRPr="00E14102" w:rsidRDefault="001311E0" w:rsidP="00E14102">
            <w:pPr>
              <w:jc w:val="both"/>
              <w:rPr>
                <w:color w:val="000000" w:themeColor="text1"/>
                <w:sz w:val="16"/>
                <w:szCs w:val="16"/>
              </w:rPr>
            </w:pPr>
            <w:r w:rsidRPr="00E14102">
              <w:rPr>
                <w:color w:val="000000" w:themeColor="text1"/>
                <w:sz w:val="16"/>
                <w:szCs w:val="16"/>
              </w:rPr>
              <w:t>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AFD16" w14:textId="77777777" w:rsidR="001311E0" w:rsidRPr="00E14102" w:rsidRDefault="001311E0" w:rsidP="00E14102">
            <w:pPr>
              <w:jc w:val="both"/>
              <w:rPr>
                <w:color w:val="000000" w:themeColor="text1"/>
                <w:sz w:val="16"/>
                <w:szCs w:val="16"/>
              </w:rPr>
            </w:pPr>
            <w:r w:rsidRPr="00E14102">
              <w:rPr>
                <w:color w:val="000000" w:themeColor="text1"/>
                <w:sz w:val="16"/>
                <w:szCs w:val="16"/>
              </w:rPr>
              <w:t>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C14AD" w14:textId="77777777" w:rsidR="001311E0" w:rsidRPr="00E14102" w:rsidRDefault="001311E0" w:rsidP="00E14102">
            <w:pPr>
              <w:jc w:val="both"/>
              <w:rPr>
                <w:color w:val="000000" w:themeColor="text1"/>
                <w:sz w:val="16"/>
                <w:szCs w:val="16"/>
              </w:rPr>
            </w:pPr>
            <w:r w:rsidRPr="00E14102">
              <w:rPr>
                <w:color w:val="000000" w:themeColor="text1"/>
                <w:sz w:val="16"/>
                <w:szCs w:val="16"/>
              </w:rPr>
              <w:t>54,5</w:t>
            </w:r>
          </w:p>
        </w:tc>
      </w:tr>
      <w:tr w:rsidR="00E3599D" w:rsidRPr="00E14102" w14:paraId="2F97CFE2"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CAEB696" w14:textId="77777777" w:rsidR="001311E0" w:rsidRPr="00E14102" w:rsidRDefault="001311E0" w:rsidP="00E14102">
            <w:pPr>
              <w:jc w:val="both"/>
              <w:rPr>
                <w:color w:val="000000" w:themeColor="text1"/>
                <w:sz w:val="16"/>
                <w:szCs w:val="16"/>
              </w:rPr>
            </w:pPr>
            <w:r w:rsidRPr="00E14102">
              <w:rPr>
                <w:color w:val="000000" w:themeColor="text1"/>
                <w:sz w:val="16"/>
                <w:szCs w:val="16"/>
              </w:rPr>
              <w:t>Златоустовский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F5D94" w14:textId="77777777" w:rsidR="001311E0" w:rsidRPr="00E14102" w:rsidRDefault="001311E0" w:rsidP="00E14102">
            <w:pPr>
              <w:jc w:val="both"/>
              <w:rPr>
                <w:color w:val="000000" w:themeColor="text1"/>
                <w:sz w:val="16"/>
                <w:szCs w:val="16"/>
              </w:rPr>
            </w:pPr>
            <w:r w:rsidRPr="00E14102">
              <w:rPr>
                <w:color w:val="000000" w:themeColor="text1"/>
                <w:sz w:val="16"/>
                <w:szCs w:val="16"/>
              </w:rPr>
              <w:t>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5BC60" w14:textId="77777777" w:rsidR="001311E0" w:rsidRPr="00E14102" w:rsidRDefault="001311E0" w:rsidP="00E14102">
            <w:pPr>
              <w:jc w:val="both"/>
              <w:rPr>
                <w:color w:val="000000" w:themeColor="text1"/>
                <w:sz w:val="16"/>
                <w:szCs w:val="16"/>
              </w:rPr>
            </w:pPr>
            <w:r w:rsidRPr="00E14102">
              <w:rPr>
                <w:color w:val="000000" w:themeColor="text1"/>
                <w:sz w:val="16"/>
                <w:szCs w:val="16"/>
              </w:rPr>
              <w:t>78,8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87EE6" w14:textId="77777777" w:rsidR="001311E0" w:rsidRPr="00E14102" w:rsidRDefault="001311E0" w:rsidP="00E14102">
            <w:pPr>
              <w:jc w:val="both"/>
              <w:rPr>
                <w:color w:val="000000" w:themeColor="text1"/>
                <w:sz w:val="16"/>
                <w:szCs w:val="16"/>
              </w:rPr>
            </w:pPr>
            <w:r w:rsidRPr="00E14102">
              <w:rPr>
                <w:color w:val="000000" w:themeColor="text1"/>
                <w:sz w:val="16"/>
                <w:szCs w:val="16"/>
              </w:rPr>
              <w:t>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91717" w14:textId="77777777" w:rsidR="001311E0" w:rsidRPr="00E14102" w:rsidRDefault="001311E0" w:rsidP="00E14102">
            <w:pPr>
              <w:jc w:val="both"/>
              <w:rPr>
                <w:color w:val="000000" w:themeColor="text1"/>
                <w:sz w:val="16"/>
                <w:szCs w:val="16"/>
              </w:rPr>
            </w:pPr>
            <w:r w:rsidRPr="00E14102">
              <w:rPr>
                <w:color w:val="000000" w:themeColor="text1"/>
                <w:sz w:val="16"/>
                <w:szCs w:val="16"/>
              </w:rPr>
              <w:t>43,3</w:t>
            </w:r>
          </w:p>
        </w:tc>
      </w:tr>
      <w:tr w:rsidR="00E3599D" w:rsidRPr="00E14102" w14:paraId="66DDB637"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E0ED4C2" w14:textId="77777777" w:rsidR="001311E0" w:rsidRPr="00E14102" w:rsidRDefault="001311E0" w:rsidP="00E14102">
            <w:pPr>
              <w:jc w:val="both"/>
              <w:rPr>
                <w:color w:val="000000" w:themeColor="text1"/>
                <w:sz w:val="16"/>
                <w:szCs w:val="16"/>
              </w:rPr>
            </w:pPr>
            <w:r w:rsidRPr="00E14102">
              <w:rPr>
                <w:color w:val="000000" w:themeColor="text1"/>
                <w:sz w:val="16"/>
                <w:szCs w:val="16"/>
              </w:rPr>
              <w:t>Верх-Исетский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51781" w14:textId="77777777" w:rsidR="001311E0" w:rsidRPr="00E14102" w:rsidRDefault="001311E0" w:rsidP="00E14102">
            <w:pPr>
              <w:jc w:val="both"/>
              <w:rPr>
                <w:color w:val="000000" w:themeColor="text1"/>
                <w:sz w:val="16"/>
                <w:szCs w:val="16"/>
              </w:rPr>
            </w:pPr>
            <w:r w:rsidRPr="00E14102">
              <w:rPr>
                <w:color w:val="000000" w:themeColor="text1"/>
                <w:sz w:val="16"/>
                <w:szCs w:val="16"/>
              </w:rPr>
              <w:t>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3819C" w14:textId="77777777" w:rsidR="001311E0" w:rsidRPr="00E14102" w:rsidRDefault="001311E0" w:rsidP="00E14102">
            <w:pPr>
              <w:jc w:val="both"/>
              <w:rPr>
                <w:color w:val="000000" w:themeColor="text1"/>
                <w:sz w:val="16"/>
                <w:szCs w:val="16"/>
              </w:rPr>
            </w:pPr>
            <w:r w:rsidRPr="00E14102">
              <w:rPr>
                <w:color w:val="000000" w:themeColor="text1"/>
                <w:sz w:val="16"/>
                <w:szCs w:val="16"/>
              </w:rPr>
              <w:t>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01E08" w14:textId="77777777" w:rsidR="001311E0" w:rsidRPr="00E14102" w:rsidRDefault="001311E0" w:rsidP="00E14102">
            <w:pPr>
              <w:jc w:val="both"/>
              <w:rPr>
                <w:color w:val="000000" w:themeColor="text1"/>
                <w:sz w:val="16"/>
                <w:szCs w:val="16"/>
              </w:rPr>
            </w:pPr>
            <w:r w:rsidRPr="00E14102">
              <w:rPr>
                <w:color w:val="000000" w:themeColor="text1"/>
                <w:sz w:val="16"/>
                <w:szCs w:val="16"/>
              </w:rPr>
              <w:t>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CE303" w14:textId="77777777" w:rsidR="001311E0" w:rsidRPr="00E14102" w:rsidRDefault="001311E0" w:rsidP="00E14102">
            <w:pPr>
              <w:jc w:val="both"/>
              <w:rPr>
                <w:color w:val="000000" w:themeColor="text1"/>
                <w:sz w:val="16"/>
                <w:szCs w:val="16"/>
              </w:rPr>
            </w:pPr>
            <w:r w:rsidRPr="00E14102">
              <w:rPr>
                <w:color w:val="000000" w:themeColor="text1"/>
                <w:sz w:val="16"/>
                <w:szCs w:val="16"/>
              </w:rPr>
              <w:t>44,7</w:t>
            </w:r>
          </w:p>
        </w:tc>
      </w:tr>
      <w:tr w:rsidR="00E3599D" w:rsidRPr="00E14102" w14:paraId="5D7D2E38"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2A44ACC" w14:textId="77777777" w:rsidR="001311E0" w:rsidRPr="00E14102" w:rsidRDefault="001311E0"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666C0" w14:textId="77777777" w:rsidR="001311E0" w:rsidRPr="00E14102" w:rsidRDefault="001311E0" w:rsidP="00E14102">
            <w:pPr>
              <w:jc w:val="both"/>
              <w:rPr>
                <w:color w:val="000000" w:themeColor="text1"/>
                <w:sz w:val="16"/>
                <w:szCs w:val="16"/>
              </w:rPr>
            </w:pPr>
            <w:r w:rsidRPr="00E14102">
              <w:rPr>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0AA24" w14:textId="77777777" w:rsidR="001311E0" w:rsidRPr="00E14102" w:rsidRDefault="001311E0" w:rsidP="00E14102">
            <w:pPr>
              <w:jc w:val="both"/>
              <w:rPr>
                <w:color w:val="000000" w:themeColor="text1"/>
                <w:sz w:val="16"/>
                <w:szCs w:val="16"/>
              </w:rPr>
            </w:pPr>
            <w:r w:rsidRPr="00E14102">
              <w:rPr>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C117A" w14:textId="77777777" w:rsidR="001311E0" w:rsidRPr="00E14102" w:rsidRDefault="001311E0" w:rsidP="00E14102">
            <w:pPr>
              <w:jc w:val="both"/>
              <w:rPr>
                <w:color w:val="000000" w:themeColor="text1"/>
                <w:sz w:val="16"/>
                <w:szCs w:val="16"/>
              </w:rPr>
            </w:pPr>
            <w:r w:rsidRPr="00E14102">
              <w:rPr>
                <w:color w:val="000000" w:themeColor="text1"/>
                <w:sz w:val="16"/>
                <w:szCs w:val="16"/>
              </w:rPr>
              <w:t>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74C76" w14:textId="77777777" w:rsidR="001311E0" w:rsidRPr="00E14102" w:rsidRDefault="001311E0" w:rsidP="00E14102">
            <w:pPr>
              <w:jc w:val="both"/>
              <w:rPr>
                <w:color w:val="000000" w:themeColor="text1"/>
                <w:sz w:val="16"/>
                <w:szCs w:val="16"/>
              </w:rPr>
            </w:pPr>
            <w:r w:rsidRPr="00E14102">
              <w:rPr>
                <w:color w:val="000000" w:themeColor="text1"/>
                <w:sz w:val="16"/>
                <w:szCs w:val="16"/>
              </w:rPr>
              <w:t>44,6</w:t>
            </w:r>
          </w:p>
        </w:tc>
      </w:tr>
    </w:tbl>
    <w:p w14:paraId="26631501" w14:textId="77777777" w:rsidR="001311E0" w:rsidRPr="00E14102" w:rsidRDefault="001311E0" w:rsidP="00E14102">
      <w:pPr>
        <w:jc w:val="both"/>
        <w:rPr>
          <w:color w:val="000000" w:themeColor="text1"/>
          <w:sz w:val="16"/>
          <w:szCs w:val="16"/>
        </w:rPr>
      </w:pPr>
      <w:r w:rsidRPr="00E14102">
        <w:rPr>
          <w:color w:val="000000" w:themeColor="text1"/>
          <w:sz w:val="16"/>
          <w:szCs w:val="16"/>
        </w:rPr>
        <w:t>Из приведенной таблицы [4] видно, что за 1934 г. имеет место увеличение процента как по охвату сдельщиной, так и по охвату технормированием, за исключением завода «Серп и молот», у которого охват технормированием остался на прежнем уровне, а также Челябинского завода, у которого охват сдельщиной против 1933 г. не увеличился вследствие того, что проведенные мероприятия в области организации труда и уплотнения рабочего дня главным образом охватили группу рабочих-сдельщиков.</w:t>
      </w:r>
    </w:p>
    <w:p w14:paraId="4229881A" w14:textId="77777777" w:rsidR="001311E0" w:rsidRPr="00E14102" w:rsidRDefault="001311E0" w:rsidP="00E14102">
      <w:pPr>
        <w:jc w:val="both"/>
        <w:rPr>
          <w:color w:val="000000" w:themeColor="text1"/>
          <w:sz w:val="16"/>
          <w:szCs w:val="16"/>
        </w:rPr>
      </w:pPr>
      <w:r w:rsidRPr="00E14102">
        <w:rPr>
          <w:color w:val="000000" w:themeColor="text1"/>
          <w:sz w:val="16"/>
          <w:szCs w:val="16"/>
        </w:rPr>
        <w:t>Несмотря на увеличение технически обоснованных норм, все же имеет место по ряду норм выработки значительная перера</w:t>
      </w:r>
      <w:r w:rsidRPr="00E14102">
        <w:rPr>
          <w:color w:val="000000" w:themeColor="text1"/>
          <w:sz w:val="16"/>
          <w:szCs w:val="16"/>
        </w:rPr>
        <w:softHyphen/>
        <w:t>ботка их; так, например, по заводу «Серп и молот» мартенов</w:t>
      </w:r>
      <w:r w:rsidRPr="00E14102">
        <w:rPr>
          <w:color w:val="000000" w:themeColor="text1"/>
          <w:sz w:val="16"/>
          <w:szCs w:val="16"/>
        </w:rPr>
        <w:softHyphen/>
        <w:t>ские печи имеют переработку до 15-20% и на Верх-Исетском заводе - до 10-20% к концу года.</w:t>
      </w:r>
    </w:p>
    <w:p w14:paraId="4E5724E3" w14:textId="77777777" w:rsidR="001311E0" w:rsidRPr="00E14102" w:rsidRDefault="001311E0" w:rsidP="00E14102">
      <w:pPr>
        <w:jc w:val="both"/>
        <w:rPr>
          <w:color w:val="000000" w:themeColor="text1"/>
          <w:sz w:val="16"/>
          <w:szCs w:val="16"/>
        </w:rPr>
      </w:pPr>
      <w:r w:rsidRPr="00E14102">
        <w:rPr>
          <w:color w:val="000000" w:themeColor="text1"/>
          <w:sz w:val="16"/>
          <w:szCs w:val="16"/>
        </w:rPr>
        <w:t>По прокатным цехам ряда заводов имеет место переработка норм до 10-15% к концу года, еще больший процент перера</w:t>
      </w:r>
      <w:r w:rsidRPr="00E14102">
        <w:rPr>
          <w:color w:val="000000" w:themeColor="text1"/>
          <w:sz w:val="16"/>
          <w:szCs w:val="16"/>
        </w:rPr>
        <w:softHyphen/>
        <w:t>ботки норм наблюдается на вспомогательных участках, что яв</w:t>
      </w:r>
      <w:r w:rsidRPr="00E14102">
        <w:rPr>
          <w:color w:val="000000" w:themeColor="text1"/>
          <w:sz w:val="16"/>
          <w:szCs w:val="16"/>
        </w:rPr>
        <w:softHyphen/>
        <w:t>ляется результатом недостаточного внимания к постановке тех</w:t>
      </w:r>
      <w:r w:rsidRPr="00E14102">
        <w:rPr>
          <w:color w:val="000000" w:themeColor="text1"/>
          <w:sz w:val="16"/>
          <w:szCs w:val="16"/>
        </w:rPr>
        <w:softHyphen/>
        <w:t>нического нормирования на этих участках.</w:t>
      </w:r>
    </w:p>
    <w:p w14:paraId="002EF156" w14:textId="77777777" w:rsidR="001311E0" w:rsidRPr="00E14102" w:rsidRDefault="001311E0" w:rsidP="00E14102">
      <w:pPr>
        <w:jc w:val="both"/>
        <w:rPr>
          <w:color w:val="000000" w:themeColor="text1"/>
          <w:sz w:val="16"/>
          <w:szCs w:val="16"/>
        </w:rPr>
      </w:pPr>
      <w:r w:rsidRPr="00E14102">
        <w:rPr>
          <w:color w:val="000000" w:themeColor="text1"/>
          <w:sz w:val="16"/>
          <w:szCs w:val="16"/>
        </w:rPr>
        <w:t>В 1934 г. по большинству заводов треста проведена работа по пересмотру норм выработки; так, по заводу «Красный Ок</w:t>
      </w:r>
      <w:r w:rsidRPr="00E14102">
        <w:rPr>
          <w:color w:val="000000" w:themeColor="text1"/>
          <w:sz w:val="16"/>
          <w:szCs w:val="16"/>
        </w:rPr>
        <w:softHyphen/>
        <w:t>тябрь» пересмотрено 4878 норм с охватом рабочих 3014 чело</w:t>
      </w:r>
      <w:r w:rsidRPr="00E14102">
        <w:rPr>
          <w:color w:val="000000" w:themeColor="text1"/>
          <w:sz w:val="16"/>
          <w:szCs w:val="16"/>
        </w:rPr>
        <w:softHyphen/>
        <w:t>век, по Златоустовскому заводу-1913 норм с охватом рабочих 3182 человека, по Верх-Исетскому заводу-1500 норм и т.д.</w:t>
      </w:r>
    </w:p>
    <w:p w14:paraId="23ED0DB1" w14:textId="77777777" w:rsidR="001311E0" w:rsidRPr="00E14102" w:rsidRDefault="001311E0" w:rsidP="00E14102">
      <w:pPr>
        <w:jc w:val="both"/>
        <w:rPr>
          <w:color w:val="000000" w:themeColor="text1"/>
          <w:sz w:val="16"/>
          <w:szCs w:val="16"/>
        </w:rPr>
      </w:pPr>
      <w:r w:rsidRPr="00E14102">
        <w:rPr>
          <w:color w:val="000000" w:themeColor="text1"/>
          <w:sz w:val="16"/>
          <w:szCs w:val="16"/>
        </w:rPr>
        <w:t>Необходимо отметить, что аппараты по техническому норми</w:t>
      </w:r>
      <w:r w:rsidRPr="00E14102">
        <w:rPr>
          <w:color w:val="000000" w:themeColor="text1"/>
          <w:sz w:val="16"/>
          <w:szCs w:val="16"/>
        </w:rPr>
        <w:softHyphen/>
        <w:t>рованию за 1934 г. несколько усилены инженерами и техниками, но все же в их составе преобладают практики с небольшим стажем работы в этой области; вместе с тем нужно констатиро</w:t>
      </w:r>
      <w:r w:rsidRPr="00E14102">
        <w:rPr>
          <w:color w:val="000000" w:themeColor="text1"/>
          <w:sz w:val="16"/>
          <w:szCs w:val="16"/>
        </w:rPr>
        <w:softHyphen/>
        <w:t>вать, что до сего времени инженерно-технический персонал в своей массе не занял еще должного места, какое предоставлено ему в работе по организации труда и зарплаты. [10]</w:t>
      </w:r>
    </w:p>
    <w:p w14:paraId="5833018A" w14:textId="77777777" w:rsidR="001311E0" w:rsidRPr="00E14102" w:rsidRDefault="001311E0" w:rsidP="00E14102">
      <w:pPr>
        <w:jc w:val="both"/>
        <w:rPr>
          <w:color w:val="000000" w:themeColor="text1"/>
          <w:sz w:val="16"/>
          <w:szCs w:val="16"/>
        </w:rPr>
      </w:pPr>
      <w:r w:rsidRPr="00E14102">
        <w:rPr>
          <w:rStyle w:val="a6"/>
          <w:i w:val="0"/>
          <w:color w:val="000000" w:themeColor="text1"/>
          <w:sz w:val="16"/>
          <w:szCs w:val="16"/>
        </w:rPr>
        <w:t>ЦГАНХ СССР, ф. 4086, on. 37, д. 562, лл. 2-4,61-61 об. Копия (12356).</w:t>
      </w:r>
    </w:p>
    <w:p w14:paraId="37CEE2E0" w14:textId="77777777" w:rsidR="001311E0" w:rsidRPr="00E14102" w:rsidRDefault="001311E0" w:rsidP="00E14102">
      <w:pPr>
        <w:jc w:val="both"/>
        <w:rPr>
          <w:rStyle w:val="a3"/>
          <w:b w:val="0"/>
          <w:color w:val="000000" w:themeColor="text1"/>
          <w:sz w:val="16"/>
          <w:szCs w:val="16"/>
        </w:rPr>
      </w:pPr>
    </w:p>
    <w:p w14:paraId="16E279C1" w14:textId="77777777" w:rsidR="001311E0" w:rsidRPr="00E14102" w:rsidRDefault="001311E0" w:rsidP="00E14102">
      <w:pPr>
        <w:jc w:val="both"/>
        <w:rPr>
          <w:rStyle w:val="a3"/>
          <w:b w:val="0"/>
          <w:color w:val="000000" w:themeColor="text1"/>
          <w:sz w:val="16"/>
          <w:szCs w:val="16"/>
        </w:rPr>
      </w:pPr>
      <w:r w:rsidRPr="00E14102">
        <w:rPr>
          <w:color w:val="000000" w:themeColor="text1"/>
          <w:sz w:val="16"/>
          <w:szCs w:val="16"/>
        </w:rPr>
        <w:t xml:space="preserve">Не ранее 1 января 1935 г. [11] </w:t>
      </w:r>
      <w:r w:rsidRPr="00E14102">
        <w:rPr>
          <w:rStyle w:val="a3"/>
          <w:b w:val="0"/>
          <w:bCs w:val="0"/>
          <w:color w:val="000000" w:themeColor="text1"/>
          <w:sz w:val="16"/>
          <w:szCs w:val="16"/>
        </w:rPr>
        <w:t>Из отчета Сталинградского тракторного завода за 1934 г.</w:t>
      </w:r>
    </w:p>
    <w:p w14:paraId="09659471"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Организационная перестройка</w:t>
      </w:r>
    </w:p>
    <w:p w14:paraId="18FC76CA" w14:textId="77777777" w:rsidR="001311E0" w:rsidRPr="00E14102" w:rsidRDefault="001311E0" w:rsidP="00E14102">
      <w:pPr>
        <w:jc w:val="both"/>
        <w:rPr>
          <w:color w:val="000000" w:themeColor="text1"/>
          <w:sz w:val="16"/>
          <w:szCs w:val="16"/>
        </w:rPr>
      </w:pPr>
      <w:r w:rsidRPr="00E14102">
        <w:rPr>
          <w:color w:val="000000" w:themeColor="text1"/>
          <w:sz w:val="16"/>
          <w:szCs w:val="16"/>
        </w:rPr>
        <w:t>Вопросы организации производства и управления не были в достаточной мере разрешены при пуске завода и на протяжении двух первых лет работы. В 1933 г. это привело к определенному разрыву между технико-производственной базой, задачами завода и уровнем организации. После решений XVII партийного съезда завод в марте 1934 г. с помощью «Оргаметалла» приступил к разработке и проведению мероприятий по организации производства и его управления.</w:t>
      </w:r>
    </w:p>
    <w:p w14:paraId="2865DEA7" w14:textId="77777777" w:rsidR="001311E0" w:rsidRPr="00E14102" w:rsidRDefault="001311E0" w:rsidP="00E14102">
      <w:pPr>
        <w:jc w:val="both"/>
        <w:rPr>
          <w:color w:val="000000" w:themeColor="text1"/>
          <w:sz w:val="16"/>
          <w:szCs w:val="16"/>
        </w:rPr>
      </w:pPr>
      <w:r w:rsidRPr="00E14102">
        <w:rPr>
          <w:color w:val="000000" w:themeColor="text1"/>
          <w:sz w:val="16"/>
          <w:szCs w:val="16"/>
        </w:rPr>
        <w:t>Программа и принципы организации отдельных участков сводятся к следующему:</w:t>
      </w:r>
    </w:p>
    <w:p w14:paraId="671B7A24" w14:textId="77777777" w:rsidR="001311E0" w:rsidRPr="00E14102" w:rsidRDefault="001311E0" w:rsidP="00E14102">
      <w:pPr>
        <w:jc w:val="both"/>
        <w:rPr>
          <w:color w:val="000000" w:themeColor="text1"/>
          <w:sz w:val="16"/>
          <w:szCs w:val="16"/>
        </w:rPr>
      </w:pPr>
      <w:r w:rsidRPr="00E14102">
        <w:rPr>
          <w:color w:val="000000" w:themeColor="text1"/>
          <w:sz w:val="16"/>
          <w:szCs w:val="16"/>
        </w:rPr>
        <w:t>1. По ремонтному хозяйству.- Децентрализация обязанностей в ответственности за состояние и текущий ремонт оборудования, централизация капитального ремонта и изготовления запасных частей через единый ремонтный цех и планово-предупредительный ремонт, базирующийся на парке запчастей и расчете ремонтных циклов по методу условных ремонтных единиц.</w:t>
      </w:r>
    </w:p>
    <w:p w14:paraId="2429B03D" w14:textId="77777777" w:rsidR="001311E0" w:rsidRPr="00E14102" w:rsidRDefault="001311E0" w:rsidP="00E14102">
      <w:pPr>
        <w:jc w:val="both"/>
        <w:rPr>
          <w:color w:val="000000" w:themeColor="text1"/>
          <w:sz w:val="16"/>
          <w:szCs w:val="16"/>
        </w:rPr>
      </w:pPr>
      <w:r w:rsidRPr="00E14102">
        <w:rPr>
          <w:color w:val="000000" w:themeColor="text1"/>
          <w:sz w:val="16"/>
          <w:szCs w:val="16"/>
        </w:rPr>
        <w:t>2. По инструментальному хозяйств у.- Централизация инструмент-снабжения на основе нормы расхода и запаса инструмента через ЦИС (принцип работы на склад) с принудительной подготовкой заказов в инструментальном цехе.</w:t>
      </w:r>
    </w:p>
    <w:p w14:paraId="6E5AE2FB" w14:textId="77777777" w:rsidR="001311E0" w:rsidRPr="00E14102" w:rsidRDefault="001311E0" w:rsidP="00E14102">
      <w:pPr>
        <w:jc w:val="both"/>
        <w:rPr>
          <w:color w:val="000000" w:themeColor="text1"/>
          <w:sz w:val="16"/>
          <w:szCs w:val="16"/>
        </w:rPr>
      </w:pPr>
      <w:r w:rsidRPr="00E14102">
        <w:rPr>
          <w:color w:val="000000" w:themeColor="text1"/>
          <w:sz w:val="16"/>
          <w:szCs w:val="16"/>
        </w:rPr>
        <w:lastRenderedPageBreak/>
        <w:t>3. Внешний транспорт.- Централизация планирования, регулирования железнодорожного транспорта, автотранспорта, погрузо-разгрузочных работ, децентрализация оперативного руководства по видам транспорта и единство ответственности за эксплуатацию и ремонт.</w:t>
      </w:r>
    </w:p>
    <w:p w14:paraId="2FC2BAAF" w14:textId="77777777" w:rsidR="001311E0" w:rsidRPr="00E14102" w:rsidRDefault="001311E0" w:rsidP="00E14102">
      <w:pPr>
        <w:jc w:val="both"/>
        <w:rPr>
          <w:color w:val="000000" w:themeColor="text1"/>
          <w:sz w:val="16"/>
          <w:szCs w:val="16"/>
        </w:rPr>
      </w:pPr>
      <w:r w:rsidRPr="00E14102">
        <w:rPr>
          <w:color w:val="000000" w:themeColor="text1"/>
          <w:sz w:val="16"/>
          <w:szCs w:val="16"/>
        </w:rPr>
        <w:t>4. Межцеховой транспорт.- Централизация и единство ремонта с эксплуатацией, планирование по грузопотокам и маршрутизации.</w:t>
      </w:r>
    </w:p>
    <w:p w14:paraId="5C809D05" w14:textId="77777777" w:rsidR="001311E0" w:rsidRPr="00E14102" w:rsidRDefault="001311E0" w:rsidP="00E14102">
      <w:pPr>
        <w:jc w:val="both"/>
        <w:rPr>
          <w:color w:val="000000" w:themeColor="text1"/>
          <w:sz w:val="16"/>
          <w:szCs w:val="16"/>
        </w:rPr>
      </w:pPr>
      <w:r w:rsidRPr="00E14102">
        <w:rPr>
          <w:color w:val="000000" w:themeColor="text1"/>
          <w:sz w:val="16"/>
          <w:szCs w:val="16"/>
        </w:rPr>
        <w:t>5. Подготовка производств а.- Децентрализация технологической подготовки и по действующему объекту, наладке и освоению новых, централизация планирования подготовки, проектирования по новым объектам, а также вопросов изменения технологических условий и нормализации. Децентрализация работы по техническому нормированию и внедрению норм и централизация исследовательских, контрольных функций и разработки нормативов.</w:t>
      </w:r>
    </w:p>
    <w:p w14:paraId="4D14B3AA" w14:textId="77777777" w:rsidR="001311E0" w:rsidRPr="00E14102" w:rsidRDefault="001311E0" w:rsidP="00E14102">
      <w:pPr>
        <w:jc w:val="both"/>
        <w:rPr>
          <w:color w:val="000000" w:themeColor="text1"/>
          <w:sz w:val="16"/>
          <w:szCs w:val="16"/>
        </w:rPr>
      </w:pPr>
      <w:r w:rsidRPr="00E14102">
        <w:rPr>
          <w:color w:val="000000" w:themeColor="text1"/>
          <w:sz w:val="16"/>
          <w:szCs w:val="16"/>
        </w:rPr>
        <w:t>6. Планирование производства.- Единство экономического и производственного планирования; органическая увязка планов и заданий с организационно-технической подготовкой производства; выдача цехам и участкам (отделениям) единых производственно-экономических заданий с подетальной сметной калькуляцией на базе нормативов и расчетов производства; контроль выполнения этих заданий в размере сметной калькуляции в порядке бухгалтерского учета. Оперативное регулирование хода производства и текущей технологической подготовки производства диспетчерскими методами и средствами в связи с выделением последних функций из единого планового отдела в производственно-диспетчерский.</w:t>
      </w:r>
    </w:p>
    <w:p w14:paraId="2E3D5B59" w14:textId="77777777" w:rsidR="001311E0" w:rsidRPr="00E14102" w:rsidRDefault="001311E0" w:rsidP="00E14102">
      <w:pPr>
        <w:jc w:val="both"/>
        <w:rPr>
          <w:color w:val="000000" w:themeColor="text1"/>
          <w:sz w:val="16"/>
          <w:szCs w:val="16"/>
        </w:rPr>
      </w:pPr>
      <w:r w:rsidRPr="00E14102">
        <w:rPr>
          <w:color w:val="000000" w:themeColor="text1"/>
          <w:sz w:val="16"/>
          <w:szCs w:val="16"/>
        </w:rPr>
        <w:t>7. Организация управленческого аппарата заводоуправления и цехов.- Ликвидация функционалки, многоступенчатости и построение органов по территориально-производственному принципу на основе единоначалия, на основе решений XVII съезда и директив НКТП.</w:t>
      </w:r>
    </w:p>
    <w:p w14:paraId="02E62FF7" w14:textId="77777777" w:rsidR="001311E0" w:rsidRPr="00E14102" w:rsidRDefault="001311E0" w:rsidP="00E14102">
      <w:pPr>
        <w:jc w:val="both"/>
        <w:rPr>
          <w:color w:val="000000" w:themeColor="text1"/>
          <w:sz w:val="16"/>
          <w:szCs w:val="16"/>
        </w:rPr>
      </w:pPr>
      <w:r w:rsidRPr="00E14102">
        <w:rPr>
          <w:color w:val="000000" w:themeColor="text1"/>
          <w:sz w:val="16"/>
          <w:szCs w:val="16"/>
        </w:rPr>
        <w:t>В основу технических проектов положены установки на максимально возможную механизацию погрузо-разгрузочных операций при самых минимальных капиталовложениях; увязку материально-технической базы (тары, склады, стеллажи, весы) с требованиями планирования и учета; подтягивание транспортно-складского хозяйства и утильбазы до уровня и задач технической вооруженности основного производства и этим самым подведение базы для борьбы за культурный стиль работы, за чистоту.</w:t>
      </w:r>
    </w:p>
    <w:p w14:paraId="53CAC6E9" w14:textId="77777777" w:rsidR="001311E0" w:rsidRPr="00E14102" w:rsidRDefault="001311E0" w:rsidP="00E14102">
      <w:pPr>
        <w:jc w:val="both"/>
        <w:rPr>
          <w:color w:val="000000" w:themeColor="text1"/>
          <w:sz w:val="16"/>
          <w:szCs w:val="16"/>
        </w:rPr>
      </w:pPr>
      <w:r w:rsidRPr="00E14102">
        <w:rPr>
          <w:color w:val="000000" w:themeColor="text1"/>
          <w:sz w:val="16"/>
          <w:szCs w:val="16"/>
        </w:rPr>
        <w:t>Названные выше разработки закончены в основном в сентябре 1934 г., и с этого времени приступлено к практическому проведению их в жизнь. На сегодня степень их внедрения такова:</w:t>
      </w:r>
    </w:p>
    <w:p w14:paraId="253DAA9F" w14:textId="77777777" w:rsidR="001311E0" w:rsidRPr="00E14102" w:rsidRDefault="001311E0" w:rsidP="00E14102">
      <w:pPr>
        <w:jc w:val="both"/>
        <w:rPr>
          <w:color w:val="000000" w:themeColor="text1"/>
          <w:sz w:val="16"/>
          <w:szCs w:val="16"/>
        </w:rPr>
      </w:pPr>
      <w:r w:rsidRPr="00E14102">
        <w:rPr>
          <w:color w:val="000000" w:themeColor="text1"/>
          <w:sz w:val="16"/>
          <w:szCs w:val="16"/>
        </w:rPr>
        <w:t>1) определение и распределение функций в аппарате управления завода и цехами и его организация - все основные положения, вытекающие из разработок, внедрены;</w:t>
      </w:r>
    </w:p>
    <w:p w14:paraId="49C7554D" w14:textId="77777777" w:rsidR="001311E0" w:rsidRPr="00E14102" w:rsidRDefault="001311E0" w:rsidP="00E14102">
      <w:pPr>
        <w:jc w:val="both"/>
        <w:rPr>
          <w:color w:val="000000" w:themeColor="text1"/>
          <w:sz w:val="16"/>
          <w:szCs w:val="16"/>
        </w:rPr>
      </w:pPr>
      <w:r w:rsidRPr="00E14102">
        <w:rPr>
          <w:color w:val="000000" w:themeColor="text1"/>
          <w:sz w:val="16"/>
          <w:szCs w:val="16"/>
        </w:rPr>
        <w:t>2) принятая система работы в основном внедрена по инструментальному хозяйству, ремонтному цеху, планированию и оперативному учету в основных цехах, по снабженческому хозяйству, по планированию подготовки производства, по организации межцехового транспорта, частично по ремонтному хозяйству в основных цехах и по транспортному хозяйству;</w:t>
      </w:r>
    </w:p>
    <w:p w14:paraId="7F204602" w14:textId="77777777" w:rsidR="001311E0" w:rsidRPr="00E14102" w:rsidRDefault="001311E0" w:rsidP="00E14102">
      <w:pPr>
        <w:jc w:val="both"/>
        <w:rPr>
          <w:color w:val="000000" w:themeColor="text1"/>
          <w:sz w:val="16"/>
          <w:szCs w:val="16"/>
        </w:rPr>
      </w:pPr>
      <w:r w:rsidRPr="00E14102">
        <w:rPr>
          <w:color w:val="000000" w:themeColor="text1"/>
          <w:sz w:val="16"/>
          <w:szCs w:val="16"/>
        </w:rPr>
        <w:t>3) разработки технических проектов частично внедрены по базе сталей, главному магазину, механосборочному цеху. [12]</w:t>
      </w:r>
    </w:p>
    <w:p w14:paraId="142AAF2B" w14:textId="77777777" w:rsidR="001311E0" w:rsidRPr="00E14102" w:rsidRDefault="001311E0" w:rsidP="00E14102">
      <w:pPr>
        <w:jc w:val="both"/>
        <w:rPr>
          <w:color w:val="000000" w:themeColor="text1"/>
          <w:sz w:val="16"/>
          <w:szCs w:val="16"/>
        </w:rPr>
      </w:pPr>
      <w:r w:rsidRPr="00E14102">
        <w:rPr>
          <w:rStyle w:val="a3"/>
          <w:b w:val="0"/>
          <w:color w:val="000000" w:themeColor="text1"/>
          <w:sz w:val="16"/>
          <w:szCs w:val="16"/>
        </w:rPr>
        <w:t>Производительность труда</w:t>
      </w:r>
    </w:p>
    <w:p w14:paraId="448EC296" w14:textId="77777777" w:rsidR="001311E0" w:rsidRPr="00E14102" w:rsidRDefault="001311E0" w:rsidP="00E14102">
      <w:pPr>
        <w:jc w:val="both"/>
        <w:rPr>
          <w:color w:val="000000" w:themeColor="text1"/>
          <w:sz w:val="16"/>
          <w:szCs w:val="16"/>
        </w:rPr>
      </w:pPr>
      <w:r w:rsidRPr="00E14102">
        <w:rPr>
          <w:color w:val="000000" w:themeColor="text1"/>
          <w:sz w:val="16"/>
          <w:szCs w:val="16"/>
        </w:rPr>
        <w:t>По росту выработки на одного списочного рабочего завод в отчетном году добился весьма значительных успехов. Выработка за 1934 г. на 23,4% выше фактической за 1933 г. и на 2,92% выше плановой на 1934 г. Среднедневная выработка за отчетный год возросла еще больше (с 61,08 руб. в 1933 г. до 76,50 руб. в 1934 г., или на 25,2%) - Рост выработки на одного рабочего явился следствием целого ряда мероприятий, проведенных заводом в 1934 г., главнейшими из которых являются следующие:</w:t>
      </w:r>
    </w:p>
    <w:p w14:paraId="33CBD6A6" w14:textId="77777777" w:rsidR="001311E0" w:rsidRPr="00E14102" w:rsidRDefault="001311E0" w:rsidP="00E14102">
      <w:pPr>
        <w:jc w:val="both"/>
        <w:rPr>
          <w:color w:val="000000" w:themeColor="text1"/>
          <w:sz w:val="16"/>
          <w:szCs w:val="16"/>
        </w:rPr>
      </w:pPr>
      <w:r w:rsidRPr="00E14102">
        <w:rPr>
          <w:color w:val="000000" w:themeColor="text1"/>
          <w:sz w:val="16"/>
          <w:szCs w:val="16"/>
        </w:rPr>
        <w:t>1) Введение подготовительных смен для создания нормальных условий работы основных смен (кузнечный цех, механосборочный цех).</w:t>
      </w:r>
    </w:p>
    <w:p w14:paraId="2DF67632" w14:textId="77777777" w:rsidR="001311E0" w:rsidRPr="00E14102" w:rsidRDefault="001311E0" w:rsidP="00E14102">
      <w:pPr>
        <w:jc w:val="both"/>
        <w:rPr>
          <w:color w:val="000000" w:themeColor="text1"/>
          <w:sz w:val="16"/>
          <w:szCs w:val="16"/>
        </w:rPr>
      </w:pPr>
      <w:r w:rsidRPr="00E14102">
        <w:rPr>
          <w:color w:val="000000" w:themeColor="text1"/>
          <w:sz w:val="16"/>
          <w:szCs w:val="16"/>
        </w:rPr>
        <w:t>2) Установление начала работ для ряда профессий на полчаса ранее для подготовки агрегатов механизмов к началу работы основных смен (растопщики и нагревальщики кузнечного цеха, вагранщики и пр.).</w:t>
      </w:r>
    </w:p>
    <w:p w14:paraId="63213879" w14:textId="77777777" w:rsidR="001311E0" w:rsidRPr="00E14102" w:rsidRDefault="001311E0" w:rsidP="00E14102">
      <w:pPr>
        <w:jc w:val="both"/>
        <w:rPr>
          <w:color w:val="000000" w:themeColor="text1"/>
          <w:sz w:val="16"/>
          <w:szCs w:val="16"/>
        </w:rPr>
      </w:pPr>
      <w:r w:rsidRPr="00E14102">
        <w:rPr>
          <w:color w:val="000000" w:themeColor="text1"/>
          <w:sz w:val="16"/>
          <w:szCs w:val="16"/>
        </w:rPr>
        <w:t>3) Введение диспетчерской системы регулирования производства.</w:t>
      </w:r>
    </w:p>
    <w:p w14:paraId="0C8071C5" w14:textId="77777777" w:rsidR="001311E0" w:rsidRPr="00E14102" w:rsidRDefault="001311E0" w:rsidP="00E14102">
      <w:pPr>
        <w:jc w:val="both"/>
        <w:rPr>
          <w:color w:val="000000" w:themeColor="text1"/>
          <w:sz w:val="16"/>
          <w:szCs w:val="16"/>
        </w:rPr>
      </w:pPr>
      <w:r w:rsidRPr="00E14102">
        <w:rPr>
          <w:color w:val="000000" w:themeColor="text1"/>
          <w:sz w:val="16"/>
          <w:szCs w:val="16"/>
        </w:rPr>
        <w:t>4) Улучшение внутрицехового транспорта - устройство дополнительных тележек для сборки форм по деталям № 127 и 163 и удлинение цепи для зацепки двух форм одновременно, что дало возможность сократить целую смену в крупном пролете в 67 человек.</w:t>
      </w:r>
    </w:p>
    <w:p w14:paraId="3699570D" w14:textId="77777777" w:rsidR="001311E0" w:rsidRPr="00E14102" w:rsidRDefault="001311E0" w:rsidP="00E14102">
      <w:pPr>
        <w:jc w:val="both"/>
        <w:rPr>
          <w:color w:val="000000" w:themeColor="text1"/>
          <w:sz w:val="16"/>
          <w:szCs w:val="16"/>
        </w:rPr>
      </w:pPr>
      <w:r w:rsidRPr="00E14102">
        <w:rPr>
          <w:color w:val="000000" w:themeColor="text1"/>
          <w:sz w:val="16"/>
          <w:szCs w:val="16"/>
        </w:rPr>
        <w:t>5) Улучшение технологического процесса.</w:t>
      </w:r>
    </w:p>
    <w:p w14:paraId="33AD6850" w14:textId="77777777" w:rsidR="001311E0" w:rsidRPr="00E14102" w:rsidRDefault="001311E0" w:rsidP="00E14102">
      <w:pPr>
        <w:jc w:val="both"/>
        <w:rPr>
          <w:color w:val="000000" w:themeColor="text1"/>
          <w:sz w:val="16"/>
          <w:szCs w:val="16"/>
        </w:rPr>
      </w:pPr>
      <w:r w:rsidRPr="00E14102">
        <w:rPr>
          <w:color w:val="000000" w:themeColor="text1"/>
          <w:sz w:val="16"/>
          <w:szCs w:val="16"/>
        </w:rPr>
        <w:t>6) Кооперирование станков в механосборочном цехе позволи</w:t>
      </w:r>
      <w:r w:rsidRPr="00E14102">
        <w:rPr>
          <w:color w:val="000000" w:themeColor="text1"/>
          <w:sz w:val="16"/>
          <w:szCs w:val="16"/>
        </w:rPr>
        <w:softHyphen/>
        <w:t>ло сократить 96 рабочих в 1-м, 2-м и 3-м отделениях.</w:t>
      </w:r>
    </w:p>
    <w:p w14:paraId="1E878FB2" w14:textId="77777777" w:rsidR="001311E0" w:rsidRPr="00E14102" w:rsidRDefault="001311E0" w:rsidP="00E14102">
      <w:pPr>
        <w:jc w:val="both"/>
        <w:rPr>
          <w:color w:val="000000" w:themeColor="text1"/>
          <w:sz w:val="16"/>
          <w:szCs w:val="16"/>
        </w:rPr>
      </w:pPr>
      <w:r w:rsidRPr="00E14102">
        <w:rPr>
          <w:color w:val="000000" w:themeColor="text1"/>
          <w:sz w:val="16"/>
          <w:szCs w:val="16"/>
        </w:rPr>
        <w:t>7) Пересмотр сдельных норм и внедрение технически обоснованных норм сократили время производственной работы на один условный комплект трактора: по механосборочному цеху - на 3,5%, кузнечному цеху - на 30,3%, литейному цеху - на 16,5%. В течение года на базе проведенных в 1933 г. мероприятий были пересмотрены нормы: по механосборочному цеху - 3574 из 8914, или 40,09%, литейному цеху - 670 из 890, или 64,04%, кузнечному цеху - 740 из 1305, или 67,7%, и прочим вспомогательным цехам - 20 223 из 80 428, или 25,1%. Пересмотр норм производится главным образом по вспомогательным работам, внедрение же технических норм производилось на производственных работах. Внедрение технических норм на производственных работах: по механосборочному цеху - 125 из 3574 всех пересмотренных норм, литейному - 241 из 670, кузнечному - 271 из 740, инструментальному и ремонтно-механическому - 11 880 из 17 507.</w:t>
      </w:r>
    </w:p>
    <w:p w14:paraId="51A04FD8" w14:textId="77777777" w:rsidR="001311E0" w:rsidRPr="00E14102" w:rsidRDefault="001311E0" w:rsidP="00E14102">
      <w:pPr>
        <w:jc w:val="both"/>
        <w:rPr>
          <w:color w:val="000000" w:themeColor="text1"/>
          <w:sz w:val="16"/>
          <w:szCs w:val="16"/>
        </w:rPr>
      </w:pPr>
      <w:r w:rsidRPr="00E14102">
        <w:rPr>
          <w:color w:val="000000" w:themeColor="text1"/>
          <w:sz w:val="16"/>
          <w:szCs w:val="16"/>
        </w:rPr>
        <w:t>8) Уплотнение рабочего дня на основе изучения фактических потерь фотографией рабочего дня и разработка нормативов потерь (вспомогательное время, подготовительно-заключительное и т.д.). В отчетном году проведено 1220 фотографий различных групп рабочих, из которых по механосборочному - 728, литейному - 190, кузнечному - 31 и инструментальному-93. Фактическая продолжительность рабочего дня (полезная работа) в отчетном году составляла: по механосборочному [в] I квартале - 5,52 час, II квартале - 5,77 час, IV квартале - 6,02 час.</w:t>
      </w:r>
    </w:p>
    <w:p w14:paraId="0E23E372" w14:textId="77777777" w:rsidR="001311E0" w:rsidRPr="00E14102" w:rsidRDefault="001311E0" w:rsidP="00E14102">
      <w:pPr>
        <w:jc w:val="both"/>
        <w:rPr>
          <w:color w:val="000000" w:themeColor="text1"/>
          <w:sz w:val="16"/>
          <w:szCs w:val="16"/>
        </w:rPr>
      </w:pPr>
      <w:r w:rsidRPr="00E14102">
        <w:rPr>
          <w:color w:val="000000" w:themeColor="text1"/>
          <w:sz w:val="16"/>
          <w:szCs w:val="16"/>
        </w:rPr>
        <w:t>9) Кроме перечисленных организационно-технических мероприятий, на повышение производительности труда оказали большое влияние следующие факторы: а) значительное по сравнению с 1933 г. сокращение текучести, закрепление кадров на заводе, улучшение состава рабочих в связи с накоплением у них практического опыта в работе; б) увеличение охвата рабочих техучебой, повышение качества техучебы и развитие соцсоревнования по техучебе.</w:t>
      </w:r>
    </w:p>
    <w:p w14:paraId="11D934F4" w14:textId="77777777" w:rsidR="001311E0" w:rsidRPr="00E14102" w:rsidRDefault="001311E0" w:rsidP="00E14102">
      <w:pPr>
        <w:jc w:val="both"/>
        <w:rPr>
          <w:color w:val="000000" w:themeColor="text1"/>
          <w:sz w:val="16"/>
          <w:szCs w:val="16"/>
        </w:rPr>
      </w:pPr>
      <w:r w:rsidRPr="00E14102">
        <w:rPr>
          <w:rStyle w:val="a6"/>
          <w:i w:val="0"/>
          <w:color w:val="000000" w:themeColor="text1"/>
          <w:sz w:val="16"/>
          <w:szCs w:val="16"/>
        </w:rPr>
        <w:t>ЦГАНХ СССР, ф. 7622, on. 1, д. 728, лл. 5-6, 52-53. Стеклогр. экз. (12356).</w:t>
      </w:r>
    </w:p>
    <w:p w14:paraId="54D13261" w14:textId="77777777" w:rsidR="001311E0" w:rsidRPr="00E14102" w:rsidRDefault="001311E0" w:rsidP="00E14102">
      <w:pPr>
        <w:autoSpaceDE w:val="0"/>
        <w:autoSpaceDN w:val="0"/>
        <w:adjustRightInd w:val="0"/>
        <w:jc w:val="both"/>
        <w:rPr>
          <w:iCs/>
          <w:color w:val="000000" w:themeColor="text1"/>
          <w:sz w:val="16"/>
          <w:szCs w:val="16"/>
        </w:rPr>
      </w:pPr>
    </w:p>
    <w:p w14:paraId="7886A6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 января 1935 существовали следующие НИО и предприятия НКТП</w:t>
      </w:r>
    </w:p>
    <w:p w14:paraId="60BBDD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Государственный институт по проектированию машиностроительных и металлообрабатывающих заводов (Гипромаш)</w:t>
      </w:r>
    </w:p>
    <w:p w14:paraId="222B60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751322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Москва, Кривоколенный пер., 14</w:t>
      </w:r>
    </w:p>
    <w:p w14:paraId="7A1EC2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ЦНИИ машиностроения и металлообработки (ЦНИИмаш)</w:t>
      </w:r>
    </w:p>
    <w:p w14:paraId="0921C8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7021D3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Шарикоподшипниковская, 2</w:t>
      </w:r>
    </w:p>
    <w:p w14:paraId="5CA919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Всесоюзный теплотехнический институт им. Дзержинского</w:t>
      </w:r>
    </w:p>
    <w:p w14:paraId="5E3762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1925 год</w:t>
      </w:r>
    </w:p>
    <w:p w14:paraId="0DD85C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Ленинская Слобода, 14</w:t>
      </w:r>
    </w:p>
    <w:p w14:paraId="405DA4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Центральный ветроэнергетический институт</w:t>
      </w:r>
    </w:p>
    <w:p w14:paraId="636A54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013474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ул. Радио, 17</w:t>
      </w:r>
    </w:p>
    <w:p w14:paraId="547347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НИИ гидротехники</w:t>
      </w:r>
    </w:p>
    <w:p w14:paraId="658158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2E352A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дорога в Сосновку, 1/3</w:t>
      </w:r>
    </w:p>
    <w:p w14:paraId="489C84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Всесоюзный угольный институт научно-исследовательский (ВУГИ)</w:t>
      </w:r>
    </w:p>
    <w:p w14:paraId="378F56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1928 год</w:t>
      </w:r>
    </w:p>
    <w:p w14:paraId="1100EC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 пл. Тевелева, 28</w:t>
      </w:r>
    </w:p>
    <w:p w14:paraId="6B7C08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Грозненский научно-исследовательский нефтяной институт</w:t>
      </w:r>
    </w:p>
    <w:p w14:paraId="104C4E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1928 год</w:t>
      </w:r>
    </w:p>
    <w:p w14:paraId="5A6014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Центральный научно-исследовательский институт авиационных топлив и масел (ЦИАТИМ)</w:t>
      </w:r>
    </w:p>
    <w:p w14:paraId="330136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ул. Синичкина, 6</w:t>
      </w:r>
    </w:p>
    <w:p w14:paraId="50A3C8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Азербайджанский нефтяной НИИ (АзНИИ)</w:t>
      </w:r>
    </w:p>
    <w:p w14:paraId="3652CA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1929 год</w:t>
      </w:r>
    </w:p>
    <w:p w14:paraId="2129D0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Баку, 5-я заводская, 28</w:t>
      </w:r>
    </w:p>
    <w:p w14:paraId="5C3C87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Нефтяной геологоразведочный НИИ (НГРИ)</w:t>
      </w:r>
    </w:p>
    <w:p w14:paraId="19289A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1929 год</w:t>
      </w:r>
    </w:p>
    <w:p w14:paraId="45A95F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В.О., Средний пр., 72</w:t>
      </w:r>
    </w:p>
    <w:p w14:paraId="0DD3A9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 по проектированию предприятий торфяной промышленности (Гипроторф)</w:t>
      </w:r>
    </w:p>
    <w:p w14:paraId="0C0B15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20458F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Никольская, 10</w:t>
      </w:r>
    </w:p>
    <w:p w14:paraId="27A572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НИИ торфа (Инсторф)</w:t>
      </w:r>
    </w:p>
    <w:p w14:paraId="112F41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Адрес: Москва, Б. Вузовский пер., 12/3</w:t>
      </w:r>
    </w:p>
    <w:p w14:paraId="5CE0919A"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Союзстальмост</w:t>
      </w:r>
    </w:p>
    <w:p w14:paraId="2E3EAC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завод подъемно-транспортных сооружений им. Кирова</w:t>
      </w:r>
    </w:p>
    <w:p w14:paraId="355A04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1852 год</w:t>
      </w:r>
    </w:p>
    <w:p w14:paraId="597C9C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Обводной канал, 118</w:t>
      </w:r>
    </w:p>
    <w:p w14:paraId="1C8E58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краны, подъемники</w:t>
      </w:r>
    </w:p>
    <w:p w14:paraId="1BD90A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завод “Красный блок”</w:t>
      </w:r>
    </w:p>
    <w:p w14:paraId="707AF9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1870 год</w:t>
      </w:r>
    </w:p>
    <w:p w14:paraId="38C519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Садовники, 76</w:t>
      </w:r>
    </w:p>
    <w:p w14:paraId="7C6C43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блоки Людерса, кошки, полиспасты, комбинированные блоки</w:t>
      </w:r>
    </w:p>
    <w:p w14:paraId="605E0A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металлист”</w:t>
      </w:r>
    </w:p>
    <w:p w14:paraId="12BA60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1885 год</w:t>
      </w:r>
    </w:p>
    <w:p w14:paraId="130999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В.О., 17-я линия</w:t>
      </w:r>
    </w:p>
    <w:p w14:paraId="7257C7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эскалаторы, транспортеры стационарные ленточные, тележки ручные с подъемной платформой, конвейры и т.д.</w:t>
      </w:r>
    </w:p>
    <w:p w14:paraId="2C8E3A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Никопольский завод оборудования непрерывного транспорта</w:t>
      </w:r>
    </w:p>
    <w:p w14:paraId="675B53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1885 год</w:t>
      </w:r>
    </w:p>
    <w:p w14:paraId="35ABA0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Никополь Днепропетровской области, ул. К. Маркса</w:t>
      </w:r>
    </w:p>
    <w:p w14:paraId="143215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станции приводные ленточных транспортеров, станции натяжные</w:t>
      </w:r>
    </w:p>
    <w:p w14:paraId="605D59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Харьковский завод канатных дорог им. Ленина</w:t>
      </w:r>
    </w:p>
    <w:p w14:paraId="78433B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1898 год</w:t>
      </w:r>
    </w:p>
    <w:p w14:paraId="464677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 новая Бавария</w:t>
      </w:r>
    </w:p>
    <w:p w14:paraId="186804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дороги подвесные (канатные), тельферы (электротали), кабель-краны, приводы</w:t>
      </w:r>
    </w:p>
    <w:p w14:paraId="698BFC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Днепропетровский завод стальных конструкций и мостов</w:t>
      </w:r>
    </w:p>
    <w:p w14:paraId="3A7566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1909 год, реконструирован в 1930 году</w:t>
      </w:r>
    </w:p>
    <w:p w14:paraId="44F0E2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ж/д и шоссейные мосты, металлические конструкции, газгольдеры</w:t>
      </w:r>
    </w:p>
    <w:p w14:paraId="683B7D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завод подъемных сооружений “Подъемник”</w:t>
      </w:r>
    </w:p>
    <w:p w14:paraId="4D3DA8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1899 год</w:t>
      </w:r>
    </w:p>
    <w:p w14:paraId="517219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Смирновская, 19</w:t>
      </w:r>
    </w:p>
    <w:p w14:paraId="2143C3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краны, подъемники и т.д.</w:t>
      </w:r>
    </w:p>
    <w:p w14:paraId="3FA181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Казанский завод непрерывного транспорта “Серп и молот”</w:t>
      </w:r>
    </w:p>
    <w:p w14:paraId="31E8AA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1860</w:t>
      </w:r>
    </w:p>
    <w:p w14:paraId="45E69A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Казань Татарской АССР, Адмиралтейская наб., ул. Кл. Цеткин</w:t>
      </w:r>
    </w:p>
    <w:p w14:paraId="3ABAAE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транспортеры ленточные, поковки, литье чугунное</w:t>
      </w:r>
    </w:p>
    <w:p w14:paraId="26D4A4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Сталинский завод стальных конструкций и мостов</w:t>
      </w:r>
    </w:p>
    <w:p w14:paraId="46B64D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1872 год, реконструирован в 1930 году</w:t>
      </w:r>
    </w:p>
    <w:p w14:paraId="5ABBE9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Сталино Донецкой области</w:t>
      </w:r>
    </w:p>
    <w:p w14:paraId="760357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ж/д мосты и металлические и конструкции</w:t>
      </w:r>
    </w:p>
    <w:p w14:paraId="7936E6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завод стальных конструкций и мостов “Стальмост”</w:t>
      </w:r>
    </w:p>
    <w:p w14:paraId="4A2EE1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03856C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Перово Московской области</w:t>
      </w:r>
    </w:p>
    <w:p w14:paraId="30B2D3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металлические конструкции, ангары, мачты</w:t>
      </w:r>
    </w:p>
    <w:p w14:paraId="576D26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Уральский завод стальных конструкций и мостов “Уралстальмост”</w:t>
      </w:r>
    </w:p>
    <w:p w14:paraId="116E79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5625B2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Верхняя Салда Свердловской области</w:t>
      </w:r>
    </w:p>
    <w:p w14:paraId="7F4DD6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ж/д мосты и металлические и конструкции, мостовые краны, круги поворотные, газгольдеры</w:t>
      </w:r>
    </w:p>
    <w:p w14:paraId="681BC9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Харьковский завод оборудования непрерывного транспорта им. Шевченко</w:t>
      </w:r>
    </w:p>
    <w:p w14:paraId="0D1BE7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1903 год</w:t>
      </w:r>
    </w:p>
    <w:p w14:paraId="027D6C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элеваторы, транспортеры</w:t>
      </w:r>
    </w:p>
    <w:p w14:paraId="20B14F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Одесский завод подъемно-транспортных сооружений</w:t>
      </w:r>
    </w:p>
    <w:p w14:paraId="4D3611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1863 год</w:t>
      </w:r>
    </w:p>
    <w:p w14:paraId="2E4E96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краны катучие, цистерны</w:t>
      </w:r>
    </w:p>
    <w:p w14:paraId="17EA6D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инструментальный завод (филиал завода им. Кагановича ГПЗ № 1)</w:t>
      </w:r>
    </w:p>
    <w:p w14:paraId="17750F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приказа НКТП № 810 от 15 июня 1934 года передан из треста Лесбуммашина</w:t>
      </w:r>
    </w:p>
    <w:p w14:paraId="00DC67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Б. Полянка, 32</w:t>
      </w:r>
    </w:p>
    <w:p w14:paraId="228A53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инструмент режущий и мерительный по металлу и дереву, прессвормы</w:t>
      </w:r>
    </w:p>
    <w:p w14:paraId="2FA955CF"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Заводы и тресты машиностроительной промышленности, не входящие в гл. управления</w:t>
      </w:r>
    </w:p>
    <w:p w14:paraId="0E4DC0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Кировский, бывший “Красный путиловец” - Ленинградский машиностроительный и металлургический завод</w:t>
      </w:r>
    </w:p>
    <w:p w14:paraId="57CE81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1801</w:t>
      </w:r>
    </w:p>
    <w:p w14:paraId="2840EB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ул. Стачек, 67</w:t>
      </w:r>
    </w:p>
    <w:p w14:paraId="5D9DF3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тракторы, паровые турбины, краны и платформы железнодорожные, конструкции металлические, валы коленчатые, поковки разные, мартеновская сталь, электросталь, инструментальные и конструкционные стали, сплав икар, инструмент режущий</w:t>
      </w:r>
    </w:p>
    <w:p w14:paraId="0FA118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Ижорский металлургический и машиностроительный завод</w:t>
      </w:r>
    </w:p>
    <w:p w14:paraId="323A02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1803 год</w:t>
      </w:r>
    </w:p>
    <w:p w14:paraId="768921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Колпино Ленинградской области</w:t>
      </w:r>
    </w:p>
    <w:p w14:paraId="05CB6F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тяжелое машиностроение – блюминги, оборудование прокатное, кузнечно-прессовое и буровое, трубы цельнокатанные, трубы холодной и горячей протяжки, железо сортовое и листовое, поковки кузнечные и прессовые</w:t>
      </w:r>
    </w:p>
    <w:p w14:paraId="686E4C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государственный подшипниковый завод им. Л.М. Кагановича (ГПЗ №1)</w:t>
      </w:r>
    </w:p>
    <w:p w14:paraId="6A724F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3E5F36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Шарикоподшипниковая, 17</w:t>
      </w:r>
    </w:p>
    <w:p w14:paraId="65C4A8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подшипники шариковые и роликовые, конические, цилиндрические, витые и разъемные</w:t>
      </w:r>
    </w:p>
    <w:p w14:paraId="4492C2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Уральский завод тяжелого машиностроения им. Серго Орджоникидзе (Уралмашзавод)</w:t>
      </w:r>
    </w:p>
    <w:p w14:paraId="4D3120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70C25A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Свердловск</w:t>
      </w:r>
    </w:p>
    <w:p w14:paraId="6B07E7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оборудование доменное, мартеновское и прокатное, станы прокатные, подъемные машины для угольной промышленности, краны, экскаваторы и т.д.</w:t>
      </w:r>
    </w:p>
    <w:p w14:paraId="295262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Новый Краматорский машиностроительный завод им. Сталина</w:t>
      </w:r>
    </w:p>
    <w:p w14:paraId="58A259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 п/я 27</w:t>
      </w:r>
    </w:p>
    <w:p w14:paraId="674CAA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Краматорская Донецкой области, Краммашстрой</w:t>
      </w:r>
    </w:p>
    <w:p w14:paraId="0334A6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мартеновское оборудование, бессемеровское оборудование, прокатное оборудование, станы прокатные, краны и т.д.; слитки стальные, литье стальное и чугунное, поковки кузнечные и прессовые, железные конструкции</w:t>
      </w:r>
    </w:p>
    <w:p w14:paraId="15E6F4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Краматорский машиностроительный завод (старый)</w:t>
      </w:r>
    </w:p>
    <w:p w14:paraId="584CF3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1895 год</w:t>
      </w:r>
    </w:p>
    <w:p w14:paraId="1B3748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Краматорская Донецкой области, Краммашзавод</w:t>
      </w:r>
    </w:p>
    <w:p w14:paraId="32EE02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доменное оборудование, прокатное оборудование, станы прокатные, краны и т.д.; литье чугунное машинное, литье стальное и бронзовое, железные конструкции</w:t>
      </w:r>
    </w:p>
    <w:p w14:paraId="6FD572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2-й часовой московский завод</w:t>
      </w:r>
    </w:p>
    <w:p w14:paraId="6A8ECF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1924 год</w:t>
      </w:r>
    </w:p>
    <w:p w14:paraId="03BC93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Ленинградское шоссе, 10</w:t>
      </w:r>
    </w:p>
    <w:p w14:paraId="746FF8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часы ходики, будильники, часы электрические</w:t>
      </w:r>
    </w:p>
    <w:p w14:paraId="0699C9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Шарикоподшипниковый завод второй - ГПЗ № 2</w:t>
      </w:r>
    </w:p>
    <w:p w14:paraId="54C4FF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1911 год</w:t>
      </w:r>
    </w:p>
    <w:p w14:paraId="2489D0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Шаболовка, 45</w:t>
      </w:r>
    </w:p>
    <w:p w14:paraId="55FE54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подшипники шариковые, самоустанавливающиеся и со сферическими роликами</w:t>
      </w:r>
    </w:p>
    <w:p w14:paraId="190899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1-й часовой московский завод</w:t>
      </w:r>
    </w:p>
    <w:p w14:paraId="79EA8A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w:t>
      </w:r>
    </w:p>
    <w:p w14:paraId="35DBC0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Воронцовская, 35</w:t>
      </w:r>
    </w:p>
    <w:p w14:paraId="4A7B7D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часы карманные и наручные</w:t>
      </w:r>
    </w:p>
    <w:p w14:paraId="7E866F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по дизелестроению “Союздизель”</w:t>
      </w:r>
    </w:p>
    <w:p w14:paraId="0675F2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Прогресс”</w:t>
      </w:r>
    </w:p>
    <w:p w14:paraId="75E983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1885 год</w:t>
      </w:r>
    </w:p>
    <w:p w14:paraId="1A78A2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Б. Токмак Днепропетровской области</w:t>
      </w:r>
    </w:p>
    <w:p w14:paraId="20FEE7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двигатели нефтяные стационарные и передвижные</w:t>
      </w:r>
    </w:p>
    <w:p w14:paraId="6E016C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“Двигатель Революции”</w:t>
      </w:r>
    </w:p>
    <w:p w14:paraId="47AB9E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1874</w:t>
      </w:r>
    </w:p>
    <w:p w14:paraId="1DF5ED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Канавино Горьковского края</w:t>
      </w:r>
    </w:p>
    <w:p w14:paraId="7E982D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дизели стационарные, станки</w:t>
      </w:r>
    </w:p>
    <w:p w14:paraId="2F1D93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“Русский дизель”</w:t>
      </w:r>
    </w:p>
    <w:p w14:paraId="1CA02D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1862 год</w:t>
      </w:r>
    </w:p>
    <w:p w14:paraId="47FF3D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наб. Фокина, 15</w:t>
      </w:r>
    </w:p>
    <w:p w14:paraId="25E93C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дизели стационарные и судовые</w:t>
      </w:r>
    </w:p>
    <w:p w14:paraId="7FB6E1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“Коммунист”</w:t>
      </w:r>
    </w:p>
    <w:p w14:paraId="2602DE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1881 год</w:t>
      </w:r>
    </w:p>
    <w:p w14:paraId="571451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Марксштадт Саратовского края, Фабричная, 18</w:t>
      </w:r>
    </w:p>
    <w:p w14:paraId="417EF4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двигатели нефтяные стационарные и судовые</w:t>
      </w:r>
    </w:p>
    <w:p w14:paraId="3E74A9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Дизельный завод им. Сталина</w:t>
      </w:r>
    </w:p>
    <w:p w14:paraId="1C9A8F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1927 год</w:t>
      </w:r>
    </w:p>
    <w:p w14:paraId="70896B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Воронеж</w:t>
      </w:r>
    </w:p>
    <w:p w14:paraId="62E740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дизели стационарные</w:t>
      </w:r>
    </w:p>
    <w:p w14:paraId="5C9A61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“Победа” им. Микояна</w:t>
      </w:r>
    </w:p>
    <w:p w14:paraId="29A9A6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1914 год</w:t>
      </w:r>
    </w:p>
    <w:p w14:paraId="6C53BB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Мелитополь Днепропетровской области, ул. Пасова, 2</w:t>
      </w:r>
    </w:p>
    <w:p w14:paraId="63493C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двигатели нефтяные стационарные и судовые</w:t>
      </w:r>
    </w:p>
    <w:p w14:paraId="0B9866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сталелитейный завод им. 25-го Октября</w:t>
      </w:r>
    </w:p>
    <w:p w14:paraId="70AC5E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1875 год</w:t>
      </w:r>
    </w:p>
    <w:p w14:paraId="1FC17F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Первомайск (Ольвиополь) Одесской области</w:t>
      </w:r>
    </w:p>
    <w:p w14:paraId="5D4A61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двигатели нефтяные, стационарные 60 и 75 л.с., литье стальное</w:t>
      </w:r>
    </w:p>
    <w:p w14:paraId="09803C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им. Дзержинского</w:t>
      </w:r>
    </w:p>
    <w:p w14:paraId="178B58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1895 год</w:t>
      </w:r>
    </w:p>
    <w:p w14:paraId="57D945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Балаково Саратовского края</w:t>
      </w:r>
    </w:p>
    <w:p w14:paraId="455D40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двигатели нефтяные стационарные, станки наждачные, литье чугунное</w:t>
      </w:r>
    </w:p>
    <w:p w14:paraId="258395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Институты:</w:t>
      </w:r>
    </w:p>
    <w:p w14:paraId="43F831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Научно-исследовательский дизельный институт (НИДИ)</w:t>
      </w:r>
    </w:p>
    <w:p w14:paraId="238B7D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395F5B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Парадная, 8</w:t>
      </w:r>
    </w:p>
    <w:p w14:paraId="1A362D6A"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Трест точной индустрии “ВОТИ”</w:t>
      </w:r>
    </w:p>
    <w:p w14:paraId="2B790D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точных измерительных приборов “Точизмеритель” им. Молотова</w:t>
      </w:r>
    </w:p>
    <w:p w14:paraId="5E1555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1928 год</w:t>
      </w:r>
    </w:p>
    <w:p w14:paraId="738EA7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Нижние Сыромятники, 11</w:t>
      </w:r>
    </w:p>
    <w:p w14:paraId="42C3DA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термометры, психрометры, ареометры, шприцы стеклянные, пипетки, аппараты стеклянные</w:t>
      </w:r>
    </w:p>
    <w:p w14:paraId="6E916A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Сходненский стеклотрубочный завод (филиал завода “Точизмеритель” им. Молотова)</w:t>
      </w:r>
    </w:p>
    <w:p w14:paraId="5BADF1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3B205E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Сходня Московской области</w:t>
      </w:r>
    </w:p>
    <w:p w14:paraId="63DB98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капиляры, трубки стеклянные</w:t>
      </w:r>
    </w:p>
    <w:p w14:paraId="7A6859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теплоизмерительных приборов “Тизприбор”</w:t>
      </w:r>
    </w:p>
    <w:p w14:paraId="103A5A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1915 год</w:t>
      </w:r>
    </w:p>
    <w:p w14:paraId="299B71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Электрический пер, 1</w:t>
      </w:r>
    </w:p>
    <w:p w14:paraId="4B5CB6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готовальни, приборы тепловые основанные на механическом принципе действия, тягомеры, вакуумметры, патефоны</w:t>
      </w:r>
    </w:p>
    <w:p w14:paraId="3ECA7A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индивидуальных заказов “Стеклоприбор”</w:t>
      </w:r>
    </w:p>
    <w:p w14:paraId="78BDA7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1ECCD8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Гусятников пер., 30/2</w:t>
      </w:r>
    </w:p>
    <w:p w14:paraId="339450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изделия стеклодувные по индивидуальным заказам</w:t>
      </w:r>
    </w:p>
    <w:p w14:paraId="5BD009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завод авиационных приборов “Авиаприбор” им. газеты “За индустриализацию”</w:t>
      </w:r>
    </w:p>
    <w:p w14:paraId="5712A4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1915 год</w:t>
      </w:r>
    </w:p>
    <w:p w14:paraId="012A76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ст. Фили, Кутузовская, 10</w:t>
      </w:r>
    </w:p>
    <w:p w14:paraId="54FDF4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авиаприборы</w:t>
      </w:r>
    </w:p>
    <w:p w14:paraId="2DA09B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завод счетных машин им. Дзержинского</w:t>
      </w:r>
    </w:p>
    <w:p w14:paraId="05848A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48BCFB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Сущевская, 22</w:t>
      </w:r>
    </w:p>
    <w:p w14:paraId="150F4F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арифмометры, части запасные счетных машин</w:t>
      </w:r>
    </w:p>
    <w:p w14:paraId="075B32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1-й госзавод пишущих машин</w:t>
      </w:r>
    </w:p>
    <w:p w14:paraId="509DE1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53D215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Урицк (Лигово) Ленинградской области, Ленинградское шоссе на 17 км</w:t>
      </w:r>
    </w:p>
    <w:p w14:paraId="3D8786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пишущие машины</w:t>
      </w:r>
    </w:p>
    <w:p w14:paraId="1330AB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Владимирский завод автотракторных приборов “Автоприбор”</w:t>
      </w:r>
    </w:p>
    <w:p w14:paraId="4D406F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3BF20C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Владимир Ивановской области, Нижегородское шоссе</w:t>
      </w:r>
    </w:p>
    <w:p w14:paraId="4FE14F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приборы автотракторные, спидометры, стеклоочистители, указатели уровня бензина, контроллеры масляные, манометры масляные, валы гибкие с оболочкой</w:t>
      </w:r>
    </w:p>
    <w:p w14:paraId="11B536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завод термоэлектрических приборов “Пирометр”</w:t>
      </w:r>
    </w:p>
    <w:p w14:paraId="70033B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1929 год</w:t>
      </w:r>
    </w:p>
    <w:p w14:paraId="470985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ул. Скороходова, 16</w:t>
      </w:r>
    </w:p>
    <w:p w14:paraId="53535F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Продукция: пирометры, термопары, гальванометры, газоанализаторы электрические и т.д.</w:t>
      </w:r>
    </w:p>
    <w:p w14:paraId="407766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1-й госзавод счетно-аналитических машин “САМ”</w:t>
      </w:r>
    </w:p>
    <w:p w14:paraId="3F9830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4C8F62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ул. Баумана, 25</w:t>
      </w:r>
    </w:p>
    <w:p w14:paraId="33B3DE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счетные машины ДСМ, перфораторы контрольные, часы электроконтрольные</w:t>
      </w:r>
    </w:p>
    <w:p w14:paraId="166BF1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метеорологических приборов “Метприбор”</w:t>
      </w:r>
    </w:p>
    <w:p w14:paraId="4612FD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1915 год</w:t>
      </w:r>
    </w:p>
    <w:p w14:paraId="619F0A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В.О., 18-я линия, 3</w:t>
      </w:r>
    </w:p>
    <w:p w14:paraId="2D6460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приборы метеорологические</w:t>
      </w:r>
    </w:p>
    <w:p w14:paraId="7ED1E9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Киевский завод точных контрольных и теплоприборов “Точприбор”</w:t>
      </w:r>
    </w:p>
    <w:p w14:paraId="55EDA3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1909</w:t>
      </w:r>
    </w:p>
    <w:p w14:paraId="189308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Киев, Керосинная, 19</w:t>
      </w:r>
    </w:p>
    <w:p w14:paraId="5BC367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водомеры, нефтемеры, газомеры, паромеры, тракторные бензиносчетчики</w:t>
      </w:r>
    </w:p>
    <w:p w14:paraId="726FD4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Государственный завод испытательных приборов им. Рухимовича (ГЗИП)</w:t>
      </w:r>
    </w:p>
    <w:p w14:paraId="4737B1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1924 год</w:t>
      </w:r>
    </w:p>
    <w:p w14:paraId="3EB0B3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Кудринский пер., 10</w:t>
      </w:r>
    </w:p>
    <w:p w14:paraId="1BDE36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испытательные машины и приборы</w:t>
      </w:r>
    </w:p>
    <w:p w14:paraId="36D04C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завод лабораторного и медицинского оборудования “ЛАМО”</w:t>
      </w:r>
    </w:p>
    <w:p w14:paraId="7015F4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154BD1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Николо-Воробьинский пер, 9/11</w:t>
      </w:r>
    </w:p>
    <w:p w14:paraId="18AFF2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прожекторы, квадранты, мотовила, амперметры, метрономы и т.д.</w:t>
      </w:r>
    </w:p>
    <w:p w14:paraId="30F29B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“Метрон”</w:t>
      </w:r>
    </w:p>
    <w:p w14:paraId="6639E3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Божениновский пер., 17, Девичье поле</w:t>
      </w:r>
    </w:p>
    <w:p w14:paraId="55C841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весы химические и аналитические, разновесы, микроманометры, вискозиметры, микровесы</w:t>
      </w:r>
    </w:p>
    <w:p w14:paraId="7E8720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завод контрольных теплосиловых приборов “Теплоприбор”</w:t>
      </w:r>
    </w:p>
    <w:p w14:paraId="20F5BD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0E8298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ул. Плеханова, 5</w:t>
      </w:r>
    </w:p>
    <w:p w14:paraId="431170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газоанализаторы, химические аспираторы, тягомеры, термометры метеорологические</w:t>
      </w:r>
    </w:p>
    <w:p w14:paraId="0F0406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Институты:</w:t>
      </w:r>
    </w:p>
    <w:p w14:paraId="287EFD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научный институт приборостроения (МИВОТИ)</w:t>
      </w:r>
    </w:p>
    <w:p w14:paraId="2AD19A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Б. Кисельный пер., 4</w:t>
      </w:r>
    </w:p>
    <w:p w14:paraId="460F0B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Лениградский научный институт приборостроения (ЛИВОТИ)</w:t>
      </w:r>
    </w:p>
    <w:p w14:paraId="4A2FC1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ул. Красной связи, 17а</w:t>
      </w:r>
    </w:p>
    <w:p w14:paraId="251DA795"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Автогенный трест “ВАТ”</w:t>
      </w:r>
    </w:p>
    <w:p w14:paraId="7DB2BF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Автогенный завод № 1 – Москва</w:t>
      </w:r>
    </w:p>
    <w:p w14:paraId="4D5DA0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Карбидно-кальциевый и кислородно-ацетиленовый завод “Красный Автоген” № 1 – Ленинград</w:t>
      </w:r>
    </w:p>
    <w:p w14:paraId="1BD9B5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Автогенно-арматурный завод им. Матвеева – Ленинград</w:t>
      </w:r>
    </w:p>
    <w:p w14:paraId="0A0F32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Днепропетровский кислородно-ацетиленовый сварочный завод – Днепропетровск</w:t>
      </w:r>
    </w:p>
    <w:p w14:paraId="040EA6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Грозненский кислородно-ацетиленовый завод – Грозный</w:t>
      </w:r>
    </w:p>
    <w:p w14:paraId="4103AB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Уральский кислородно-ацетиленовый завод “АВТОГЕН” – Свердловск</w:t>
      </w:r>
    </w:p>
    <w:p w14:paraId="44CB32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Воронежский кислородно-ацетиленовый и сварочный завод – Воронеж</w:t>
      </w:r>
    </w:p>
    <w:p w14:paraId="424CAA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Саратовский ацетиленовый и сварочный завод – Саратов</w:t>
      </w:r>
    </w:p>
    <w:p w14:paraId="12232E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Ростовский кислородно-ацетиленовый завод – Ростов-на-Дону</w:t>
      </w:r>
    </w:p>
    <w:p w14:paraId="6AB21C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Харьковский кислородно-ацетиленовый завод – Харьков, ст. Лосево</w:t>
      </w:r>
    </w:p>
    <w:p w14:paraId="4DEBE2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Автогенный завод “Красный Автоген” № 2 – Ленинград</w:t>
      </w:r>
    </w:p>
    <w:p w14:paraId="6D4B6B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Сталинградский кислородно-ацетиленовый завод – Сталинград</w:t>
      </w:r>
    </w:p>
    <w:p w14:paraId="0154E9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Бежицкий кислородный завод – Бежица Западной области</w:t>
      </w:r>
    </w:p>
    <w:p w14:paraId="3184CE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Таганрогский кислородно-ацетиленовый завод – Таганрог</w:t>
      </w:r>
    </w:p>
    <w:p w14:paraId="4EEB7D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Челябинский кислородно-ацетиленовый завод – Челябинск</w:t>
      </w:r>
    </w:p>
    <w:p w14:paraId="3B4AA8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Ташкентский кислородно-ацетиленовый завод – Ташкент</w:t>
      </w:r>
    </w:p>
    <w:p w14:paraId="3A22BB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Ярославский кислородно-ацетиленовый завод – Ярославль</w:t>
      </w:r>
    </w:p>
    <w:p w14:paraId="619293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Красноярский кислородно-ацетиленовый завод – Красноярск</w:t>
      </w:r>
    </w:p>
    <w:p w14:paraId="4F2337FF"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Трест химического и сахарного машиностроения “Химмаштрест”</w:t>
      </w:r>
    </w:p>
    <w:p w14:paraId="152817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им. Фрунзе</w:t>
      </w:r>
    </w:p>
    <w:p w14:paraId="3E2483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1896 год</w:t>
      </w:r>
    </w:p>
    <w:p w14:paraId="19E077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Сумы Харьковской области</w:t>
      </w:r>
    </w:p>
    <w:p w14:paraId="535E26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аппаратура химическая особо сложная и т.д.</w:t>
      </w:r>
    </w:p>
    <w:p w14:paraId="5DEDBB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“Большевик”</w:t>
      </w:r>
    </w:p>
    <w:p w14:paraId="044B09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1870 год</w:t>
      </w:r>
    </w:p>
    <w:p w14:paraId="4DBC60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Киев, Брест-Литовское шоссе</w:t>
      </w:r>
    </w:p>
    <w:p w14:paraId="4ECE8B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“Красный Гидропресс”</w:t>
      </w:r>
    </w:p>
    <w:p w14:paraId="64D622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1907 год</w:t>
      </w:r>
    </w:p>
    <w:p w14:paraId="06095D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Таганрог Азово-Черномрский края, Новоселовская, 19</w:t>
      </w:r>
    </w:p>
    <w:p w14:paraId="3049D2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гидравлическое оборудование, прессы и т.д.</w:t>
      </w:r>
    </w:p>
    <w:p w14:paraId="1B2C02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“Прогресс”</w:t>
      </w:r>
    </w:p>
    <w:p w14:paraId="02562C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Бердичев Винницкой области</w:t>
      </w:r>
    </w:p>
    <w:p w14:paraId="3EE669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им. Артема</w:t>
      </w:r>
    </w:p>
    <w:p w14:paraId="287CDD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1916 год</w:t>
      </w:r>
    </w:p>
    <w:p w14:paraId="594AC9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Н.-Днепропетровск., Днепропетровская область</w:t>
      </w:r>
    </w:p>
    <w:p w14:paraId="252D78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оборудование для коксовых установок железокотельное, пенотушители, холодильники, теплообменники и т.д.</w:t>
      </w:r>
    </w:p>
    <w:p w14:paraId="5C6DC5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“Красный Октябрь”</w:t>
      </w:r>
    </w:p>
    <w:p w14:paraId="7A3990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Фастов Киевской области</w:t>
      </w:r>
    </w:p>
    <w:p w14:paraId="0D6381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Предприятия строящиеся:</w:t>
      </w:r>
    </w:p>
    <w:p w14:paraId="3D5B68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Свердловский завод химического машиностроения (Уралхиммашстрой)</w:t>
      </w:r>
    </w:p>
    <w:p w14:paraId="76B881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Свердловск, ул. Вайнера, 16</w:t>
      </w:r>
    </w:p>
    <w:p w14:paraId="1F5F48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Институты:</w:t>
      </w:r>
    </w:p>
    <w:p w14:paraId="25780F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Государственный институт по проектированию азотного машиностроения (Гипроазотмашина)</w:t>
      </w:r>
    </w:p>
    <w:p w14:paraId="09F0C7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ул. Герцена, 39</w:t>
      </w:r>
    </w:p>
    <w:p w14:paraId="752FFB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экспериментально-конструкторский институт химического машиностроения (ЭКСХИММАШ)</w:t>
      </w:r>
    </w:p>
    <w:p w14:paraId="4CC470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Ветошный, 17</w:t>
      </w:r>
    </w:p>
    <w:p w14:paraId="271ACA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Цехи заводов, непосредственно подчиненных ГУМПу</w:t>
      </w:r>
    </w:p>
    <w:p w14:paraId="49C888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Магнитогорский металлургический завод им. Сталина</w:t>
      </w:r>
    </w:p>
    <w:p w14:paraId="2D222D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Магнитогорск Челябинской области</w:t>
      </w:r>
    </w:p>
    <w:p w14:paraId="133353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 прокат</w:t>
      </w:r>
    </w:p>
    <w:p w14:paraId="3324B0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Кузнецкий металлургический завод им. Сталина</w:t>
      </w:r>
    </w:p>
    <w:p w14:paraId="21A09E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Адрес: Сталинск Западно-Сибирского края</w:t>
      </w:r>
    </w:p>
    <w:p w14:paraId="29F3BD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 прокат</w:t>
      </w:r>
    </w:p>
    <w:p w14:paraId="06CAAC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Гурьевский металлургический завод (филиал Кузнецкого завода)</w:t>
      </w:r>
    </w:p>
    <w:p w14:paraId="285238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Гурьевск Западно-Сибирского края</w:t>
      </w:r>
    </w:p>
    <w:p w14:paraId="75548F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сортовое железо</w:t>
      </w:r>
    </w:p>
    <w:p w14:paraId="480C2F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Катав-Ивановский металлургический завод (филиал Магнитогорского завода)</w:t>
      </w:r>
    </w:p>
    <w:p w14:paraId="16744C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1773 год</w:t>
      </w:r>
    </w:p>
    <w:p w14:paraId="069FE1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Катав-Ивановский завод Челябинской области</w:t>
      </w:r>
    </w:p>
    <w:p w14:paraId="3E8835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w:t>
      </w:r>
    </w:p>
    <w:p w14:paraId="0A74F6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Косогорский металлургический завод им. Дзержинского</w:t>
      </w:r>
    </w:p>
    <w:p w14:paraId="4412F7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1896 год</w:t>
      </w:r>
    </w:p>
    <w:p w14:paraId="26A712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НКТП № 387 от 17 марта 1934 года передан из ликвидированного объединения “Центросталь”</w:t>
      </w:r>
    </w:p>
    <w:p w14:paraId="728B1E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Тула Московской области</w:t>
      </w:r>
    </w:p>
    <w:p w14:paraId="5E0B84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w:t>
      </w:r>
    </w:p>
    <w:p w14:paraId="7AD6BA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“Свободный сокол”</w:t>
      </w:r>
    </w:p>
    <w:p w14:paraId="1AB2F7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1901 год</w:t>
      </w:r>
    </w:p>
    <w:p w14:paraId="5EBD49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Липецк Воронежской области</w:t>
      </w:r>
    </w:p>
    <w:p w14:paraId="1EC421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НКТП № 387 от 17 марта 1934 года передан из ликвидированного объединения “Центросталь”</w:t>
      </w:r>
    </w:p>
    <w:p w14:paraId="655071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трубы чугунные</w:t>
      </w:r>
    </w:p>
    <w:p w14:paraId="5A206E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Новолипецкий металлургический завод</w:t>
      </w:r>
    </w:p>
    <w:p w14:paraId="294E87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44B8A2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Липецк Воронежской области</w:t>
      </w:r>
    </w:p>
    <w:p w14:paraId="7A4AD5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w:t>
      </w:r>
    </w:p>
    <w:p w14:paraId="23F394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Новотульский металлургический завод</w:t>
      </w:r>
    </w:p>
    <w:p w14:paraId="52A439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015056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Тула Московской области</w:t>
      </w:r>
    </w:p>
    <w:p w14:paraId="0209C4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w:t>
      </w:r>
    </w:p>
    <w:p w14:paraId="4BD071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Кемеровский коксохимический завод</w:t>
      </w:r>
    </w:p>
    <w:p w14:paraId="16A000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Кемерово Западно-Сибирского края</w:t>
      </w:r>
    </w:p>
    <w:p w14:paraId="13489F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Пролукция: кокс, химпродукиы</w:t>
      </w:r>
    </w:p>
    <w:p w14:paraId="6409F0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Предприятия строящиеся</w:t>
      </w:r>
    </w:p>
    <w:p w14:paraId="6C560B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Бакальский металлургический завод</w:t>
      </w:r>
    </w:p>
    <w:p w14:paraId="3C0F9B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Челябинск, Рабоче-крестьянская ул., 47</w:t>
      </w:r>
    </w:p>
    <w:p w14:paraId="3DC4CA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Второй кузнецкий вагонопаровозный и металлургический завод</w:t>
      </w:r>
    </w:p>
    <w:p w14:paraId="419AB8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Сталинск Западно-Сибирского края</w:t>
      </w:r>
    </w:p>
    <w:p w14:paraId="67973D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Дашкесанский металлургический завод</w:t>
      </w:r>
    </w:p>
    <w:p w14:paraId="301105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Тифлис</w:t>
      </w:r>
    </w:p>
    <w:p w14:paraId="17FCFE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Кмышбурунский железорудный комбинат</w:t>
      </w:r>
    </w:p>
    <w:p w14:paraId="5FC10D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Керчь Крымской АССР</w:t>
      </w:r>
    </w:p>
    <w:p w14:paraId="0C339F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Агломерат железной руды</w:t>
      </w:r>
    </w:p>
    <w:p w14:paraId="33840A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металлургический завод</w:t>
      </w:r>
    </w:p>
    <w:p w14:paraId="6BA103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Линейная, 53</w:t>
      </w:r>
    </w:p>
    <w:p w14:paraId="1B2212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Фасонное литье</w:t>
      </w:r>
    </w:p>
    <w:p w14:paraId="052B43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Петровский металлургический завод</w:t>
      </w:r>
    </w:p>
    <w:p w14:paraId="67C027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Петровск-Забайкальский Восточно-Сибирского края</w:t>
      </w:r>
    </w:p>
    <w:p w14:paraId="51BCE7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Новый Тагильский металлургический завод</w:t>
      </w:r>
    </w:p>
    <w:p w14:paraId="56FC04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Нижний Тагил свердловской области</w:t>
      </w:r>
    </w:p>
    <w:p w14:paraId="1D468E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Халиловский металлургический комбинат</w:t>
      </w:r>
    </w:p>
    <w:p w14:paraId="36D88D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Орск Оренбургской области, ул. Бебеля, 7</w:t>
      </w:r>
    </w:p>
    <w:p w14:paraId="2CCA50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Губахинский коксохимический завод</w:t>
      </w:r>
    </w:p>
    <w:p w14:paraId="686C47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Губаха Свердловской области</w:t>
      </w:r>
    </w:p>
    <w:p w14:paraId="1CFCED40"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Черная металлургия</w:t>
      </w:r>
    </w:p>
    <w:p w14:paraId="2E2683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Объединение “Сталь”</w:t>
      </w:r>
    </w:p>
    <w:p w14:paraId="168112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Харцызский трубопрокатный завод (филиал Макеевского завода)</w:t>
      </w:r>
    </w:p>
    <w:p w14:paraId="709E7C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Харцызск Донецкой области</w:t>
      </w:r>
    </w:p>
    <w:p w14:paraId="0B0BC3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трубы железные, изложницы, литье</w:t>
      </w:r>
    </w:p>
    <w:p w14:paraId="5D4C0F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Азовсталь им. Орджоникидзе</w:t>
      </w:r>
    </w:p>
    <w:p w14:paraId="49F141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Мариуполь Донецкой области</w:t>
      </w:r>
    </w:p>
    <w:p w14:paraId="4778D0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сталь мартеновская</w:t>
      </w:r>
    </w:p>
    <w:p w14:paraId="00D118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Криворожский металлургический завод</w:t>
      </w:r>
    </w:p>
    <w:p w14:paraId="70AB61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Кривой Рог Днепропетровской области</w:t>
      </w:r>
    </w:p>
    <w:p w14:paraId="79B764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w:t>
      </w:r>
    </w:p>
    <w:p w14:paraId="0B9B39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Днепропетровский металлургический завод им. Дзержинского</w:t>
      </w:r>
    </w:p>
    <w:p w14:paraId="5CF59C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1887 год</w:t>
      </w:r>
    </w:p>
    <w:p w14:paraId="557824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Запорожье Каменское Днепропетровской области</w:t>
      </w:r>
    </w:p>
    <w:p w14:paraId="7D28DF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и бессемеровская сталь, прокат</w:t>
      </w:r>
    </w:p>
    <w:p w14:paraId="241AF9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Днепропетровский металлургический завод им. Петровского</w:t>
      </w:r>
    </w:p>
    <w:p w14:paraId="39E909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Днепропетровск – Кокшарово</w:t>
      </w:r>
    </w:p>
    <w:p w14:paraId="3C2EF6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и бессемеровская сталь, прокат, трубы чугунные, проволока катанная</w:t>
      </w:r>
    </w:p>
    <w:p w14:paraId="70B2B2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Сталинский металлургический завод им. Сталина</w:t>
      </w:r>
    </w:p>
    <w:p w14:paraId="127CDF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1870 год</w:t>
      </w:r>
    </w:p>
    <w:p w14:paraId="5B933C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Сталино, Донецкой области</w:t>
      </w:r>
    </w:p>
    <w:p w14:paraId="3A7FED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сталь, прокат</w:t>
      </w:r>
    </w:p>
    <w:p w14:paraId="58B675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Макеевский труболитейный завод</w:t>
      </w:r>
    </w:p>
    <w:p w14:paraId="6AD4DD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1897 год</w:t>
      </w:r>
    </w:p>
    <w:p w14:paraId="0351C4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Макеевка Донецкой области</w:t>
      </w:r>
    </w:p>
    <w:p w14:paraId="72E69E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трубы чугунные</w:t>
      </w:r>
    </w:p>
    <w:p w14:paraId="1448D9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Ворошиловский (бывший Алчевский) металлургический завод им. Ворошилова</w:t>
      </w:r>
    </w:p>
    <w:p w14:paraId="49D91A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1895 год</w:t>
      </w:r>
    </w:p>
    <w:p w14:paraId="28CAC5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Ворошиловск Донецкой области</w:t>
      </w:r>
    </w:p>
    <w:p w14:paraId="05FAA9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 прокат</w:t>
      </w:r>
    </w:p>
    <w:p w14:paraId="7C5143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Керченский металлургический завод им. Войкова</w:t>
      </w:r>
    </w:p>
    <w:p w14:paraId="54A925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1929 год</w:t>
      </w:r>
    </w:p>
    <w:p w14:paraId="780DF0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Керчь</w:t>
      </w:r>
    </w:p>
    <w:p w14:paraId="49DFEF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стали</w:t>
      </w:r>
    </w:p>
    <w:p w14:paraId="2EF273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Краматорский металлургический завод</w:t>
      </w:r>
    </w:p>
    <w:p w14:paraId="264157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1895 год</w:t>
      </w:r>
    </w:p>
    <w:p w14:paraId="33C8E4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Краматорская Донецкой области</w:t>
      </w:r>
    </w:p>
    <w:p w14:paraId="3CF06E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 прокат</w:t>
      </w:r>
    </w:p>
    <w:p w14:paraId="6EC0D9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Константиновский металлургический завод им. Фрунзе</w:t>
      </w:r>
    </w:p>
    <w:p w14:paraId="77545E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Константиновка, Донецкой области</w:t>
      </w:r>
    </w:p>
    <w:p w14:paraId="7AA73D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 прокат</w:t>
      </w:r>
    </w:p>
    <w:p w14:paraId="7CFDC1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Сулинский металлургический завод</w:t>
      </w:r>
    </w:p>
    <w:p w14:paraId="2DFF85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1869 год</w:t>
      </w:r>
    </w:p>
    <w:p w14:paraId="3EA1E4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Красный Сулин Азово-Черноморского края</w:t>
      </w:r>
    </w:p>
    <w:p w14:paraId="63C8DD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 прокат</w:t>
      </w:r>
    </w:p>
    <w:p w14:paraId="2BEEAB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Макеевский металлургический завод им. Кирова</w:t>
      </w:r>
    </w:p>
    <w:p w14:paraId="7E249E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1897 год</w:t>
      </w:r>
    </w:p>
    <w:p w14:paraId="5DE5A9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Макеевка Донецкой области</w:t>
      </w:r>
    </w:p>
    <w:p w14:paraId="4EB003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сталь, прокат</w:t>
      </w:r>
    </w:p>
    <w:p w14:paraId="517B75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Алмазнянский металлургический завод</w:t>
      </w:r>
    </w:p>
    <w:p w14:paraId="0845F9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Алмазная Донецкой области</w:t>
      </w:r>
    </w:p>
    <w:p w14:paraId="7F75B0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w:t>
      </w:r>
    </w:p>
    <w:p w14:paraId="610502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Днепропетровский завод металлургического оборудования им. Хатаевича ДЗМО</w:t>
      </w:r>
    </w:p>
    <w:p w14:paraId="182C7B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Днепропетровск</w:t>
      </w:r>
    </w:p>
    <w:p w14:paraId="7D7E27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сталь, металлургическое оборудование</w:t>
      </w:r>
    </w:p>
    <w:p w14:paraId="6BC3A4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Металлургический завод им. Коминтерна</w:t>
      </w:r>
    </w:p>
    <w:p w14:paraId="4B8CBD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1898 год</w:t>
      </w:r>
    </w:p>
    <w:p w14:paraId="71551A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Амур Днепропетровской области</w:t>
      </w:r>
    </w:p>
    <w:p w14:paraId="68D7D8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стали, железо, проволока, валки чугунные</w:t>
      </w:r>
    </w:p>
    <w:p w14:paraId="3B91CE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Одесский завод им. Дзержинского</w:t>
      </w:r>
    </w:p>
    <w:p w14:paraId="63BC22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1926 год</w:t>
      </w:r>
    </w:p>
    <w:p w14:paraId="43838D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Одесса, Куяльницкая, 6</w:t>
      </w:r>
    </w:p>
    <w:p w14:paraId="28EB23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прокат листовой и сортовой</w:t>
      </w:r>
    </w:p>
    <w:p w14:paraId="5FC8C0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Дебальцевский сталелитейный завод</w:t>
      </w:r>
    </w:p>
    <w:p w14:paraId="337C40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1894 год</w:t>
      </w:r>
    </w:p>
    <w:p w14:paraId="40C964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Дебальцево, Донецкой области</w:t>
      </w:r>
    </w:p>
    <w:p w14:paraId="093436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мартеновская сталь, металлургическое оборудование</w:t>
      </w:r>
    </w:p>
    <w:p w14:paraId="33231D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Лутугинский завод</w:t>
      </w:r>
    </w:p>
    <w:p w14:paraId="651CC7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1899 год</w:t>
      </w:r>
    </w:p>
    <w:p w14:paraId="1C1D16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Лутугино Донецкой области</w:t>
      </w:r>
    </w:p>
    <w:p w14:paraId="22E565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изложницы, валки чугунные</w:t>
      </w:r>
    </w:p>
    <w:p w14:paraId="5580E2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Енакиевский металлургический завод им. Рыкова</w:t>
      </w:r>
    </w:p>
    <w:p w14:paraId="4C6F59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1894 год</w:t>
      </w:r>
    </w:p>
    <w:p w14:paraId="66D459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Енакиево Донецкой области</w:t>
      </w:r>
    </w:p>
    <w:p w14:paraId="7B766E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и бессемеровская сталь, прокат</w:t>
      </w:r>
    </w:p>
    <w:p w14:paraId="0980CD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Новомосковский жестекатальный завод “Жестестрой”</w:t>
      </w:r>
    </w:p>
    <w:p w14:paraId="2D62E0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Новомосковск Днепропетровской области</w:t>
      </w:r>
    </w:p>
    <w:p w14:paraId="453FD2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жесть черная автолисты</w:t>
      </w:r>
    </w:p>
    <w:p w14:paraId="3C684329"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Институты:</w:t>
      </w:r>
    </w:p>
    <w:p w14:paraId="06E54A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Днепропетровский НИИ металлов (ДИМ)</w:t>
      </w:r>
    </w:p>
    <w:p w14:paraId="257051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6105DB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Днепропетровск, Бассейная, 5</w:t>
      </w:r>
    </w:p>
    <w:p w14:paraId="38C4BA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Харьковский НИИ металлов (ХИМ)</w:t>
      </w:r>
    </w:p>
    <w:p w14:paraId="6E3245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19B1F8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 ул. Дарвина, 10/2</w:t>
      </w:r>
    </w:p>
    <w:p w14:paraId="5BA2D0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Днепропетровский горнорудный НИИ (ДНИГРИ)</w:t>
      </w:r>
    </w:p>
    <w:p w14:paraId="1037CE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47E6C5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Днепропетровск, Бассейная, 1</w:t>
      </w:r>
    </w:p>
    <w:p w14:paraId="7B2AB7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“Металлист”</w:t>
      </w:r>
    </w:p>
    <w:p w14:paraId="30D9A4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Свердловск, Основинская, 51</w:t>
      </w:r>
    </w:p>
    <w:p w14:paraId="28853C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оборудование для рудной промышленности, магнитные сепараторы</w:t>
      </w:r>
    </w:p>
    <w:p w14:paraId="1A7CD9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 по проектированию металлургических заводов (Гипромез)</w:t>
      </w:r>
    </w:p>
    <w:p w14:paraId="42B5CC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1927 год</w:t>
      </w:r>
    </w:p>
    <w:p w14:paraId="5366E0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Гоголевский бул., 8</w:t>
      </w:r>
    </w:p>
    <w:p w14:paraId="2CC3FA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 по проектированию предприятий железорудной и марганцевой промышленности и промышленности неметаллический ископаемых (Гипроруда)</w:t>
      </w:r>
    </w:p>
    <w:p w14:paraId="756ABF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В.О., Университетская наб., 21</w:t>
      </w:r>
    </w:p>
    <w:p w14:paraId="1B4A08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 по проектированию предприятий железорудной промышленности (Южгипроруда)</w:t>
      </w:r>
    </w:p>
    <w:p w14:paraId="023F9B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5D47E0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w:t>
      </w:r>
    </w:p>
    <w:p w14:paraId="298926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 по проектированию предприятий коксохимической промышленности (Гипрококс)</w:t>
      </w:r>
    </w:p>
    <w:p w14:paraId="0D93BB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779E34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w:t>
      </w:r>
    </w:p>
    <w:p w14:paraId="0B4CB5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 по проектированию заводов и карьеров огнеупорной промышленности (Гипроогнеупоры)</w:t>
      </w:r>
    </w:p>
    <w:p w14:paraId="18D6DD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0601DE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Банковский пер., 6</w:t>
      </w:r>
    </w:p>
    <w:p w14:paraId="10C1D3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Сибирский НИИ металлов (СИМ)</w:t>
      </w:r>
    </w:p>
    <w:p w14:paraId="76D611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Новосибирск, ул. Граничная, 31а</w:t>
      </w:r>
    </w:p>
    <w:p w14:paraId="0D6600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Всесоюзный НИИ огнеупоров и кислотоупоров (ВИОК)</w:t>
      </w:r>
    </w:p>
    <w:p w14:paraId="1D215F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245B1C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В.О., Наб. Тучкова, 2</w:t>
      </w:r>
    </w:p>
    <w:p w14:paraId="566FC5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Украинский НИИ огнеупоров и кислотоупоров (УКРИОК)</w:t>
      </w:r>
    </w:p>
    <w:p w14:paraId="18EDDB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7800DA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 Юмовский тупик, 16</w:t>
      </w:r>
    </w:p>
    <w:p w14:paraId="53DB84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Уральский углехимический НИИ (УРУХИН)</w:t>
      </w:r>
    </w:p>
    <w:p w14:paraId="276A70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39638F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Свердловск, ул. 8 марта, 14</w:t>
      </w:r>
    </w:p>
    <w:p w14:paraId="3B7A2F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Госинститут по проектированию предприятий промышленности редких металлов (Гипроредмет)</w:t>
      </w:r>
    </w:p>
    <w:p w14:paraId="5972ED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28FF1C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Котельническая наб., 17</w:t>
      </w:r>
    </w:p>
    <w:p w14:paraId="5DF9C4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Государственный НИИ редких металлов (Гиредмет)</w:t>
      </w:r>
    </w:p>
    <w:p w14:paraId="51EA7F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2C2935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Зубовская ул., 7/17</w:t>
      </w:r>
    </w:p>
    <w:p w14:paraId="440781D2"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Союзтвердосплав</w:t>
      </w:r>
    </w:p>
    <w:p w14:paraId="6F0C27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экспериментальный завод № 1</w:t>
      </w:r>
    </w:p>
    <w:p w14:paraId="404B04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18EE7C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Лужнецкая наб., 2/4</w:t>
      </w:r>
    </w:p>
    <w:p w14:paraId="1024E9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станилит, инструмент режущий, оснащенный твердыми сплавами</w:t>
      </w:r>
    </w:p>
    <w:p w14:paraId="732B23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экспериментальный завод № 2</w:t>
      </w:r>
    </w:p>
    <w:p w14:paraId="5908B1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Можайская, 47</w:t>
      </w:r>
    </w:p>
    <w:p w14:paraId="3D9179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электроды сварочные, инструмент режущий, оснащенный твердыми сплавами</w:t>
      </w:r>
    </w:p>
    <w:p w14:paraId="10F94F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Харьковский экспериментальный завод № 3</w:t>
      </w:r>
    </w:p>
    <w:p w14:paraId="477893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 ул. Урицкого, 6</w:t>
      </w:r>
    </w:p>
    <w:p w14:paraId="77B95F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 по проектированию предприятий золотоплатиновой промышленности (Гипрозолото)</w:t>
      </w:r>
    </w:p>
    <w:p w14:paraId="1D8605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3984BE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Ветошный пер., 15</w:t>
      </w:r>
    </w:p>
    <w:p w14:paraId="348067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НИИ по золоту (Гинзолото)</w:t>
      </w:r>
    </w:p>
    <w:p w14:paraId="3D1D66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2C004D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Иркутск, наб. реки Ангары, 38</w:t>
      </w:r>
    </w:p>
    <w:p w14:paraId="22B6AF89"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Трест “Трубосталь”</w:t>
      </w:r>
    </w:p>
    <w:p w14:paraId="5578D5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Таганрогский металлургический завод им. Анждреева</w:t>
      </w:r>
    </w:p>
    <w:p w14:paraId="179E2C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1894 год</w:t>
      </w:r>
    </w:p>
    <w:p w14:paraId="2A154A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ТаганрогАзово-Черноморского края</w:t>
      </w:r>
    </w:p>
    <w:p w14:paraId="0DE93E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мартеновская сталь, прокат листовой, бандажи, трубы железные и части к ним</w:t>
      </w:r>
    </w:p>
    <w:p w14:paraId="47FFF5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Мариупольский металлургический завод им. Ильича</w:t>
      </w:r>
    </w:p>
    <w:p w14:paraId="416DFD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1898 год</w:t>
      </w:r>
    </w:p>
    <w:p w14:paraId="33A0AB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Сартана Донецкой области</w:t>
      </w:r>
    </w:p>
    <w:p w14:paraId="35CFB5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 прокат, конструкционные стали, трубы железные</w:t>
      </w:r>
    </w:p>
    <w:p w14:paraId="7C69E8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Нижнеднепропетровский металлургический и метизный завод им. Карла Лиюкнехта</w:t>
      </w:r>
    </w:p>
    <w:p w14:paraId="061652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1903 год</w:t>
      </w:r>
    </w:p>
    <w:p w14:paraId="216BB7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Нижнеднепровск Днепропетровской области</w:t>
      </w:r>
    </w:p>
    <w:p w14:paraId="3C652C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мартеновская сталь, трубы железные, колеса цельнокатанные, крепметизы</w:t>
      </w:r>
    </w:p>
    <w:p w14:paraId="1067C3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Днепропетровский металлургический завод им. Ленина</w:t>
      </w:r>
    </w:p>
    <w:p w14:paraId="77BDF9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Днепропетровск</w:t>
      </w:r>
    </w:p>
    <w:p w14:paraId="4E122C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мартеновская сталь, электросталь, железо листовое, трубы железные</w:t>
      </w:r>
    </w:p>
    <w:p w14:paraId="2A4524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Выксунский металлургический завод</w:t>
      </w:r>
    </w:p>
    <w:p w14:paraId="399EA9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1765 год</w:t>
      </w:r>
    </w:p>
    <w:p w14:paraId="16E5A4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Выкса, Горьковский край</w:t>
      </w:r>
    </w:p>
    <w:p w14:paraId="02DADF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 прокат, трубы железные и части к ним</w:t>
      </w:r>
    </w:p>
    <w:p w14:paraId="21B376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трубопрокатный завод “Красная труба”</w:t>
      </w:r>
    </w:p>
    <w:p w14:paraId="7CCFA4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1896 год</w:t>
      </w:r>
    </w:p>
    <w:p w14:paraId="44D92D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Невская застава, Железнодорожная ул., 26</w:t>
      </w:r>
    </w:p>
    <w:p w14:paraId="5AB956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трубы железные</w:t>
      </w:r>
    </w:p>
    <w:p w14:paraId="133B4F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трубопрокатный завод “Красная труба”</w:t>
      </w:r>
    </w:p>
    <w:p w14:paraId="656E2B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Фили</w:t>
      </w:r>
    </w:p>
    <w:p w14:paraId="4E8879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трубы железные</w:t>
      </w:r>
    </w:p>
    <w:p w14:paraId="64B5FB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Луганский трубопрокатный завод им. Якубовского</w:t>
      </w:r>
    </w:p>
    <w:p w14:paraId="346B12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Луганск Донецкой области</w:t>
      </w:r>
    </w:p>
    <w:p w14:paraId="0AA081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трубы железные</w:t>
      </w:r>
    </w:p>
    <w:p w14:paraId="4AA319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фитинговый завод</w:t>
      </w:r>
    </w:p>
    <w:p w14:paraId="6E0BE8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НКТП № 1239 от 17 ноября 1934 года передан из треста “Могормаш”</w:t>
      </w:r>
    </w:p>
    <w:p w14:paraId="59EC81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с. Карачарово</w:t>
      </w:r>
    </w:p>
    <w:p w14:paraId="61352D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фитинги железные</w:t>
      </w:r>
    </w:p>
    <w:p w14:paraId="5026A7FB"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Трест “Востокосталь”</w:t>
      </w:r>
    </w:p>
    <w:p w14:paraId="760729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Кабаковский металлургический завод им. Кабакова (бывш. Надежденский)</w:t>
      </w:r>
    </w:p>
    <w:p w14:paraId="0BCAC5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1895 год</w:t>
      </w:r>
    </w:p>
    <w:p w14:paraId="7CFB3A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Кабаковск Свердловской области</w:t>
      </w:r>
    </w:p>
    <w:p w14:paraId="4D0E49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 сортовой прокат, инструментальные и конструкционные стали</w:t>
      </w:r>
    </w:p>
    <w:p w14:paraId="3829F1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Алапаевский металлургический завод</w:t>
      </w:r>
    </w:p>
    <w:p w14:paraId="3C3239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1704 год</w:t>
      </w:r>
    </w:p>
    <w:p w14:paraId="6DC69D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Алапаевск Свердловской области</w:t>
      </w:r>
    </w:p>
    <w:p w14:paraId="779EA4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 листовой прокат, качественный прокат</w:t>
      </w:r>
    </w:p>
    <w:p w14:paraId="1C23E1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Нижне-Тагильский металлургический завод</w:t>
      </w:r>
    </w:p>
    <w:p w14:paraId="27804E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1725 год</w:t>
      </w:r>
    </w:p>
    <w:p w14:paraId="004064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Нижний Тагил Свердловской области</w:t>
      </w:r>
    </w:p>
    <w:p w14:paraId="414C35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 кровельное железо, качественный прокат</w:t>
      </w:r>
    </w:p>
    <w:p w14:paraId="239BE8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Нижне-Салдинский металлургический завод</w:t>
      </w:r>
    </w:p>
    <w:p w14:paraId="2F3DCC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1760 год</w:t>
      </w:r>
    </w:p>
    <w:p w14:paraId="70E951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Нижняя Салда Свердловской области</w:t>
      </w:r>
    </w:p>
    <w:p w14:paraId="41F396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 швеллера и балки, рельсовые скрепления (накладки и прокладки)</w:t>
      </w:r>
    </w:p>
    <w:p w14:paraId="38EF66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Верхне-Салдинский металлургический завод</w:t>
      </w:r>
    </w:p>
    <w:p w14:paraId="532C56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1772 год</w:t>
      </w:r>
    </w:p>
    <w:p w14:paraId="671167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Верхняя Салда Свердловской области</w:t>
      </w:r>
    </w:p>
    <w:p w14:paraId="21B87E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мартеновская сталь, прокат, швеллера и балки, инструментальные стали</w:t>
      </w:r>
    </w:p>
    <w:p w14:paraId="3DE695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Нижне-Туринский металлургический завод</w:t>
      </w:r>
    </w:p>
    <w:p w14:paraId="520FE2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1741 год</w:t>
      </w:r>
    </w:p>
    <w:p w14:paraId="4676F0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Нижне-Туринский завод Свердловской области</w:t>
      </w:r>
    </w:p>
    <w:p w14:paraId="5BEE30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кровельное железо</w:t>
      </w:r>
    </w:p>
    <w:p w14:paraId="5BC6F5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Кушвинский металлургический завод</w:t>
      </w:r>
    </w:p>
    <w:p w14:paraId="7AD114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1737 год</w:t>
      </w:r>
    </w:p>
    <w:p w14:paraId="420EB6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Кушва Свердловской области</w:t>
      </w:r>
    </w:p>
    <w:p w14:paraId="4981CC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w:t>
      </w:r>
    </w:p>
    <w:p w14:paraId="1381E9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Чусовской металлургический завод</w:t>
      </w:r>
    </w:p>
    <w:p w14:paraId="79F364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1884 год</w:t>
      </w:r>
    </w:p>
    <w:p w14:paraId="09603B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Чусовский завод Свердловской области</w:t>
      </w:r>
    </w:p>
    <w:p w14:paraId="4BE60C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Продукция: чугун, мартеновская сталь, прокат</w:t>
      </w:r>
    </w:p>
    <w:p w14:paraId="53886A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Пашийской металлургический завод</w:t>
      </w:r>
    </w:p>
    <w:p w14:paraId="33601B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1784 год</w:t>
      </w:r>
    </w:p>
    <w:p w14:paraId="08FE3F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Пашия Свердловской области</w:t>
      </w:r>
    </w:p>
    <w:p w14:paraId="1CE04C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w:t>
      </w:r>
    </w:p>
    <w:p w14:paraId="63D20A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Теплогорский металлургический завод</w:t>
      </w:r>
    </w:p>
    <w:p w14:paraId="0BF070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1880 год</w:t>
      </w:r>
    </w:p>
    <w:p w14:paraId="2206AC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Теплая Гора Свердловской области</w:t>
      </w:r>
    </w:p>
    <w:p w14:paraId="752538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w:t>
      </w:r>
    </w:p>
    <w:p w14:paraId="2FEF7A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Чермозский металлургический завод</w:t>
      </w:r>
    </w:p>
    <w:p w14:paraId="114B08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1761 год</w:t>
      </w:r>
    </w:p>
    <w:p w14:paraId="06997C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Чермоз Свердловской области</w:t>
      </w:r>
    </w:p>
    <w:p w14:paraId="494AA4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 листовое и кровельное железо</w:t>
      </w:r>
    </w:p>
    <w:p w14:paraId="4F8FE6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Добрянский металлургический завод</w:t>
      </w:r>
    </w:p>
    <w:p w14:paraId="5E92C2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1752 год</w:t>
      </w:r>
    </w:p>
    <w:p w14:paraId="3F2ABF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Добрянка Свердловской области</w:t>
      </w:r>
    </w:p>
    <w:p w14:paraId="65EEDD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мартеновская сталь, листовой прокат, качественный прокат</w:t>
      </w:r>
    </w:p>
    <w:p w14:paraId="17C4FF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Нижне-Сергинский металлургический завод</w:t>
      </w:r>
    </w:p>
    <w:p w14:paraId="7B935D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1747 год</w:t>
      </w:r>
    </w:p>
    <w:p w14:paraId="5F7AF7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Нижне-Сергинский завод Свердловской области</w:t>
      </w:r>
    </w:p>
    <w:p w14:paraId="0B7F3E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 качественный прокат, сутунка для кровельного железа</w:t>
      </w:r>
    </w:p>
    <w:p w14:paraId="2B95D4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Михайловский металлургический завод (филиал Нижне-Сергинского завода)</w:t>
      </w:r>
    </w:p>
    <w:p w14:paraId="2E0B49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Михайловский завод Свердловской области</w:t>
      </w:r>
    </w:p>
    <w:p w14:paraId="02006D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кровельное железо, парсовое железо</w:t>
      </w:r>
    </w:p>
    <w:p w14:paraId="65670F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Верхне-Уфалеиский металлургический завод</w:t>
      </w:r>
    </w:p>
    <w:p w14:paraId="3DD27D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1863 год</w:t>
      </w:r>
    </w:p>
    <w:p w14:paraId="4F296E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Верхний Уфалейский завод Челябинской области</w:t>
      </w:r>
    </w:p>
    <w:p w14:paraId="038265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 кровельное железо</w:t>
      </w:r>
    </w:p>
    <w:p w14:paraId="3C8435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Первоуральский трубный завод</w:t>
      </w:r>
    </w:p>
    <w:p w14:paraId="36F345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1849 год</w:t>
      </w:r>
    </w:p>
    <w:p w14:paraId="2DC9B7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Первоуральск Свердловской области</w:t>
      </w:r>
    </w:p>
    <w:p w14:paraId="2E9BC2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мартеновская сталь, заготовка трубная, трубы железные</w:t>
      </w:r>
    </w:p>
    <w:p w14:paraId="287EC2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Старо-Уткинский металлургический завод</w:t>
      </w:r>
    </w:p>
    <w:p w14:paraId="220573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1730 год</w:t>
      </w:r>
    </w:p>
    <w:p w14:paraId="462D7E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Старая Утка Свердловской области</w:t>
      </w:r>
    </w:p>
    <w:p w14:paraId="5A643F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w:t>
      </w:r>
    </w:p>
    <w:p w14:paraId="52E5E5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Ашинский металлургический завод</w:t>
      </w:r>
    </w:p>
    <w:p w14:paraId="5897AA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1898 год</w:t>
      </w:r>
    </w:p>
    <w:p w14:paraId="4D8708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Аша Челябинской области</w:t>
      </w:r>
    </w:p>
    <w:p w14:paraId="505FA0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w:t>
      </w:r>
    </w:p>
    <w:p w14:paraId="7F9E21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Саткинский металлургический завод</w:t>
      </w:r>
    </w:p>
    <w:p w14:paraId="707155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1757 год</w:t>
      </w:r>
    </w:p>
    <w:p w14:paraId="46EAF6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Сатка Челябинской области</w:t>
      </w:r>
    </w:p>
    <w:p w14:paraId="3F0FEF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w:t>
      </w:r>
    </w:p>
    <w:p w14:paraId="61521F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Синарский труболитейный завод (строительство)</w:t>
      </w:r>
    </w:p>
    <w:p w14:paraId="269565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Каменское Челябинской области</w:t>
      </w:r>
    </w:p>
    <w:p w14:paraId="4C6D11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трубы чугунные</w:t>
      </w:r>
    </w:p>
    <w:p w14:paraId="0F480F4B"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Институты</w:t>
      </w:r>
    </w:p>
    <w:p w14:paraId="5A7F70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Уральский НИИ металлов</w:t>
      </w:r>
    </w:p>
    <w:p w14:paraId="66074C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40FC55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Свердловск, Университетская пл., 9</w:t>
      </w:r>
    </w:p>
    <w:p w14:paraId="2B6EA87C"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Спецсталь</w:t>
      </w:r>
    </w:p>
    <w:p w14:paraId="4F4255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Запорожский металлургический завод (Запорожсталь)</w:t>
      </w:r>
    </w:p>
    <w:p w14:paraId="3EC74E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Кичкас Днепропетровской области</w:t>
      </w:r>
    </w:p>
    <w:p w14:paraId="7F19EF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мартеновская сталь, ферросилиций высокопроцентный, феррохром, электросталь, сортопрокат, инструментальные и конструкционные стали, шамотные изделия</w:t>
      </w:r>
    </w:p>
    <w:p w14:paraId="21029A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Сталинградский металлургический завод “Красный Октябрь”</w:t>
      </w:r>
    </w:p>
    <w:p w14:paraId="7BF147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Сталинград</w:t>
      </w:r>
    </w:p>
    <w:p w14:paraId="7257BA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мартеновская сталь, прокат</w:t>
      </w:r>
    </w:p>
    <w:p w14:paraId="2A8FF8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металлургический завод “Серп и Молот”</w:t>
      </w:r>
    </w:p>
    <w:p w14:paraId="7042A6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1883 год</w:t>
      </w:r>
    </w:p>
    <w:p w14:paraId="480CF1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Застава Ильича</w:t>
      </w:r>
    </w:p>
    <w:p w14:paraId="339D9C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мартеновская сталь, сортопрокат, листопрокат, инструментальные и конструкционные стали, калиброванные стали, проволока стальная, канаты, литье фасонное</w:t>
      </w:r>
    </w:p>
    <w:p w14:paraId="407889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Металлургический завод “Электросталь”</w:t>
      </w:r>
    </w:p>
    <w:p w14:paraId="6B3701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1916 год</w:t>
      </w:r>
    </w:p>
    <w:p w14:paraId="3833C3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Электросталь Московской области</w:t>
      </w:r>
    </w:p>
    <w:p w14:paraId="34E1F3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электросталь, сортопрокат, инструментальные и конструкционные стали, калиброванная сталь</w:t>
      </w:r>
    </w:p>
    <w:p w14:paraId="5B4C47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Верхне-Исетский металлургический завод им. Кабакова</w:t>
      </w:r>
    </w:p>
    <w:p w14:paraId="18619A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1726 год</w:t>
      </w:r>
    </w:p>
    <w:p w14:paraId="736F30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Свердловск</w:t>
      </w:r>
    </w:p>
    <w:p w14:paraId="0BAE23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мартеновская сталь, электросталь, прокат листовой</w:t>
      </w:r>
    </w:p>
    <w:p w14:paraId="328443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Златоустовский металлургический завод им. Сталина</w:t>
      </w:r>
    </w:p>
    <w:p w14:paraId="1730B0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1754 год</w:t>
      </w:r>
    </w:p>
    <w:p w14:paraId="41FE60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Златоуст Челябинской области</w:t>
      </w:r>
    </w:p>
    <w:p w14:paraId="56BBD6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древесноугольный, мартеновская сталь, электросталь, инструментальные и конструкционные стали, спецстали</w:t>
      </w:r>
    </w:p>
    <w:p w14:paraId="7F1212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Челябинский завод ферросплавов</w:t>
      </w:r>
    </w:p>
    <w:p w14:paraId="7369A9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37876E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Челябинск</w:t>
      </w:r>
    </w:p>
    <w:p w14:paraId="6197CA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ферросилиций высокопроцентный, феррохром, ферровольфрам</w:t>
      </w:r>
    </w:p>
    <w:p w14:paraId="1742DE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Зестафонский ферро-марганцевый завод</w:t>
      </w:r>
    </w:p>
    <w:p w14:paraId="7B5D41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Зестафони Грузинской ССР</w:t>
      </w:r>
    </w:p>
    <w:p w14:paraId="4398C7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ферромарганец из электропечей</w:t>
      </w:r>
    </w:p>
    <w:p w14:paraId="572E9B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Горьковский инструментальный завод им. Кагановича</w:t>
      </w:r>
    </w:p>
    <w:p w14:paraId="32009F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1887 год</w:t>
      </w:r>
    </w:p>
    <w:p w14:paraId="5CE138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Приказом НКТП № 1332/62 от 9 октября 1934 года передан из Треста Росинструмент</w:t>
      </w:r>
    </w:p>
    <w:p w14:paraId="473769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Канавино Горьковского края</w:t>
      </w:r>
    </w:p>
    <w:p w14:paraId="33D94D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ножи промышленные и с/х, пилы, диски, ножовки по дереву, пилы картофелетерочные и ленточные</w:t>
      </w:r>
    </w:p>
    <w:p w14:paraId="328F0857"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Предприятия строящиеся:</w:t>
      </w:r>
    </w:p>
    <w:p w14:paraId="343FAE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Челябинский электрометаллургический комбинат (строительство)</w:t>
      </w:r>
    </w:p>
    <w:p w14:paraId="0A1718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Челябинск</w:t>
      </w:r>
    </w:p>
    <w:p w14:paraId="3300C996"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Цветная металлургия</w:t>
      </w:r>
    </w:p>
    <w:p w14:paraId="4042568F"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Медеплавильные заводы</w:t>
      </w:r>
    </w:p>
    <w:p w14:paraId="4BFF88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“Уралцветмет”</w:t>
      </w:r>
    </w:p>
    <w:p w14:paraId="251E23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Красноуральский медеплавильный</w:t>
      </w:r>
    </w:p>
    <w:p w14:paraId="104ACA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20514F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Красноуральск Свердловской области</w:t>
      </w:r>
    </w:p>
    <w:p w14:paraId="6A6169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медь черновая</w:t>
      </w:r>
    </w:p>
    <w:p w14:paraId="360C0B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Калатинский медеплавильный завод</w:t>
      </w:r>
    </w:p>
    <w:p w14:paraId="072EBE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1914 год</w:t>
      </w:r>
    </w:p>
    <w:p w14:paraId="274474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Калата Свердловской области</w:t>
      </w:r>
    </w:p>
    <w:p w14:paraId="0830DD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медь черновая</w:t>
      </w:r>
    </w:p>
    <w:p w14:paraId="55B1C0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Карабашский медеплавильный завод</w:t>
      </w:r>
    </w:p>
    <w:p w14:paraId="1F31BA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1909 год</w:t>
      </w:r>
    </w:p>
    <w:p w14:paraId="51DBD4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Карабаш Челябинской области</w:t>
      </w:r>
    </w:p>
    <w:p w14:paraId="796DA5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медь черновая</w:t>
      </w:r>
    </w:p>
    <w:p w14:paraId="7E6D84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Кыштымский медеэлектролитный завод</w:t>
      </w:r>
    </w:p>
    <w:p w14:paraId="4A739B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1908 год</w:t>
      </w:r>
    </w:p>
    <w:p w14:paraId="502D7E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Кыштым Челябинской области</w:t>
      </w:r>
    </w:p>
    <w:p w14:paraId="7C49FD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медь электролитная</w:t>
      </w:r>
    </w:p>
    <w:p w14:paraId="3D82D7F4"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Предприятия строящиеся:</w:t>
      </w:r>
    </w:p>
    <w:p w14:paraId="5FA38A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Пышминско-Ключевский медеэлектролитный завод</w:t>
      </w:r>
    </w:p>
    <w:p w14:paraId="200248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Сврдловск</w:t>
      </w:r>
    </w:p>
    <w:p w14:paraId="12B076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медь электролитная</w:t>
      </w:r>
    </w:p>
    <w:p w14:paraId="16B49C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Челябинский электролитный цинковый завод</w:t>
      </w:r>
    </w:p>
    <w:p w14:paraId="29E04B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Челябинск</w:t>
      </w:r>
    </w:p>
    <w:p w14:paraId="1CBC1B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цинк электролитный</w:t>
      </w:r>
    </w:p>
    <w:p w14:paraId="777F8B73"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Институты</w:t>
      </w:r>
    </w:p>
    <w:p w14:paraId="7315AA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Уральский НИИ по цветным металлам (Уралинцветмет)</w:t>
      </w:r>
    </w:p>
    <w:p w14:paraId="2137BD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727100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Сврдловск, Пролетарская, 1</w:t>
      </w:r>
    </w:p>
    <w:p w14:paraId="743D71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Кыштымский механический завод</w:t>
      </w:r>
    </w:p>
    <w:p w14:paraId="743210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3FB05F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Кыштым Челябинской области</w:t>
      </w:r>
    </w:p>
    <w:p w14:paraId="6C5869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оборудование для медеплавильной и медеобрабатывающей промышленности, литье стальное, чугунное и медное, работы ремонтные</w:t>
      </w:r>
    </w:p>
    <w:p w14:paraId="16D55E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Аллавердский медный комбинат</w:t>
      </w:r>
    </w:p>
    <w:p w14:paraId="129245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1874 год</w:t>
      </w:r>
    </w:p>
    <w:p w14:paraId="109209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Аллаверды АрмССР</w:t>
      </w:r>
    </w:p>
    <w:p w14:paraId="4D8F53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медь черновая</w:t>
      </w:r>
    </w:p>
    <w:p w14:paraId="0E84D3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Зангезурский медный комбинат</w:t>
      </w:r>
    </w:p>
    <w:p w14:paraId="18AB79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1912 год</w:t>
      </w:r>
    </w:p>
    <w:p w14:paraId="055D60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Кафан Армянской ССР</w:t>
      </w:r>
    </w:p>
    <w:p w14:paraId="6A4620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медь черновая</w:t>
      </w:r>
    </w:p>
    <w:p w14:paraId="1F655C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Алтайский полиметаллический комбинат (1933 год):</w:t>
      </w:r>
    </w:p>
    <w:p w14:paraId="0EAB8F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Риддерский металлургический завод</w:t>
      </w:r>
    </w:p>
    <w:p w14:paraId="669F79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1924 год</w:t>
      </w:r>
    </w:p>
    <w:p w14:paraId="0F03FA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Риддер Казахской АССР</w:t>
      </w:r>
    </w:p>
    <w:p w14:paraId="26AF42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свинец, цинк, серная кислота</w:t>
      </w:r>
    </w:p>
    <w:p w14:paraId="2CA8FE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Риддеровская обогатительная фабрика, рудник</w:t>
      </w:r>
    </w:p>
    <w:p w14:paraId="6A4509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Зыряновское рудоуправление (рудники, обогатительная фабрика) – Зыряновский район Казахской АССР</w:t>
      </w:r>
    </w:p>
    <w:p w14:paraId="759B5736"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Институты</w:t>
      </w:r>
    </w:p>
    <w:p w14:paraId="636DAB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 по проектированию предприятий цветной промышленности (Гипроцветмет)</w:t>
      </w:r>
    </w:p>
    <w:p w14:paraId="0160E0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7C87B2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Ветошный пер., 15</w:t>
      </w:r>
    </w:p>
    <w:p w14:paraId="7CCA06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ЦНИИ по цветным металлам (Цгинцветмет)</w:t>
      </w:r>
    </w:p>
    <w:p w14:paraId="6D65E9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79C371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Пыжевский пер., 10</w:t>
      </w:r>
    </w:p>
    <w:p w14:paraId="59DFCD14"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Главникельолово</w:t>
      </w:r>
    </w:p>
    <w:p w14:paraId="79CB54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Уфалейский никелевый завод</w:t>
      </w:r>
    </w:p>
    <w:p w14:paraId="086A23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 Уфалей Челябинской области</w:t>
      </w:r>
    </w:p>
    <w:p w14:paraId="6AEE88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никель</w:t>
      </w:r>
    </w:p>
    <w:p w14:paraId="5BEA73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Подольский опытный оловянный завод</w:t>
      </w:r>
    </w:p>
    <w:p w14:paraId="4C5F96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Подольск Московской области</w:t>
      </w:r>
    </w:p>
    <w:p w14:paraId="0A0A7D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олово</w:t>
      </w:r>
    </w:p>
    <w:p w14:paraId="4F7E83BA"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Предприятия строящиеся</w:t>
      </w:r>
    </w:p>
    <w:p w14:paraId="43904E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Царицынский опытный никелевый завод</w:t>
      </w:r>
    </w:p>
    <w:p w14:paraId="122780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Москворечье</w:t>
      </w:r>
    </w:p>
    <w:p w14:paraId="1084B0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опытное</w:t>
      </w:r>
    </w:p>
    <w:p w14:paraId="4D80A0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Нижне-Уральский никелевый комбинат</w:t>
      </w:r>
    </w:p>
    <w:p w14:paraId="5AACD9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Орск Оренбургской области</w:t>
      </w:r>
    </w:p>
    <w:p w14:paraId="34317F5D"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Главалюминий</w:t>
      </w:r>
    </w:p>
    <w:p w14:paraId="69EFEE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Волховский алюминиевый комбинат</w:t>
      </w:r>
    </w:p>
    <w:p w14:paraId="34AEA3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Волховстрой Ленинградская область</w:t>
      </w:r>
    </w:p>
    <w:p w14:paraId="2ACE49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алюминий металлический в чушках, плитках и вайербарсах, гидрат окиси алюминия, глинозем</w:t>
      </w:r>
    </w:p>
    <w:p w14:paraId="46D791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Ганджинский опытный алюминиевый завод</w:t>
      </w:r>
    </w:p>
    <w:p w14:paraId="56E2F1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Ганджа АзССР</w:t>
      </w:r>
    </w:p>
    <w:p w14:paraId="5B619F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опытное производство</w:t>
      </w:r>
    </w:p>
    <w:p w14:paraId="4B2668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Днепропетровский алюминиевый комбинат</w:t>
      </w:r>
    </w:p>
    <w:p w14:paraId="1B89E7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Кичкас Днепропетровской области</w:t>
      </w:r>
    </w:p>
    <w:p w14:paraId="147568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алюминий металлический в чушках, плитках, гидрат окиси алюминия, глинозем</w:t>
      </w:r>
    </w:p>
    <w:p w14:paraId="7741A1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Московский электродный завод</w:t>
      </w:r>
    </w:p>
    <w:p w14:paraId="2BDEFF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шоссе Энтузиастов, дер. Владимировка, 10</w:t>
      </w:r>
    </w:p>
    <w:p w14:paraId="25027F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аноды, электродные массы, электроды угольные и графитированные</w:t>
      </w:r>
    </w:p>
    <w:p w14:paraId="6BDAEB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Лисичанский опытный завод</w:t>
      </w:r>
    </w:p>
    <w:p w14:paraId="487B9E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НКТП № 1342 от 10 октября 1934 года передан из республиканской промышленности УССР</w:t>
      </w:r>
    </w:p>
    <w:p w14:paraId="496BD1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Лисичанск Донецкой области</w:t>
      </w:r>
    </w:p>
    <w:p w14:paraId="485EBD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Тихвинский алюминиевый комбинат</w:t>
      </w:r>
    </w:p>
    <w:p w14:paraId="7586F3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Бокситы ленинградской области</w:t>
      </w:r>
    </w:p>
    <w:p w14:paraId="5537C7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бокситы</w:t>
      </w:r>
    </w:p>
    <w:p w14:paraId="57ED18E5"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Предприятия строящиеся</w:t>
      </w:r>
    </w:p>
    <w:p w14:paraId="3DE0E7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Уральский алюминиевый комбинат</w:t>
      </w:r>
    </w:p>
    <w:p w14:paraId="781094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Каменск-шадринский Челябинской области</w:t>
      </w:r>
    </w:p>
    <w:p w14:paraId="2F1C76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бокситы уральские</w:t>
      </w:r>
    </w:p>
    <w:p w14:paraId="71ED25E8"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Институты</w:t>
      </w:r>
    </w:p>
    <w:p w14:paraId="31D425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НИИ легких металлов (НИСАЛЮМИНИЙ)</w:t>
      </w:r>
    </w:p>
    <w:p w14:paraId="32B063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33E2BC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В.О., 20-я линия, 7</w:t>
      </w:r>
    </w:p>
    <w:p w14:paraId="1C5D3F9E"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Главцветметобработка</w:t>
      </w:r>
    </w:p>
    <w:p w14:paraId="405E4B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Кольчугинский завод по обработке цветных металлов им. С. Орджоникидзе</w:t>
      </w:r>
    </w:p>
    <w:p w14:paraId="7C8C8C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1871 год</w:t>
      </w:r>
    </w:p>
    <w:p w14:paraId="36F5A6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Кольчугино Ивановской области</w:t>
      </w:r>
    </w:p>
    <w:p w14:paraId="08F874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прокат меди и легких сплавов, проволока тянутая медная, латунная и из легких сплавов, кабели сильного и слабого тока и т.д.</w:t>
      </w:r>
    </w:p>
    <w:p w14:paraId="3E96EE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по обработке цветных металлов “Красный Выборжец”</w:t>
      </w:r>
    </w:p>
    <w:p w14:paraId="3F3790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1869 год</w:t>
      </w:r>
    </w:p>
    <w:p w14:paraId="51A919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Полюстровская наб., 27</w:t>
      </w:r>
    </w:p>
    <w:p w14:paraId="5F4D7A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прокат и трубоволочение меди и латуни</w:t>
      </w:r>
    </w:p>
    <w:p w14:paraId="3A5F3A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Медеплавильный и электролитный завод им. Молотова</w:t>
      </w:r>
    </w:p>
    <w:p w14:paraId="7262D7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1900 год</w:t>
      </w:r>
    </w:p>
    <w:p w14:paraId="54E99D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Верхние Котлы</w:t>
      </w:r>
    </w:p>
    <w:p w14:paraId="2140A8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медь электролитная, медный купорос, окись цинка, шламы</w:t>
      </w:r>
    </w:p>
    <w:p w14:paraId="489239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по обработке цветных металлов им. Ворошилова</w:t>
      </w:r>
    </w:p>
    <w:p w14:paraId="2CB0E3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1925 год</w:t>
      </w:r>
    </w:p>
    <w:p w14:paraId="19066A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Перевозная, 1</w:t>
      </w:r>
    </w:p>
    <w:p w14:paraId="262F2C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прокат и трубоволочение легких сплавов, картера дуралюминиевые</w:t>
      </w:r>
    </w:p>
    <w:p w14:paraId="7AC259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металлопрокатный завод</w:t>
      </w:r>
    </w:p>
    <w:p w14:paraId="0CEFE5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1886 год</w:t>
      </w:r>
    </w:p>
    <w:p w14:paraId="6A3134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Серпуховский вал, 35</w:t>
      </w:r>
    </w:p>
    <w:p w14:paraId="7CA6A4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алюминий листовой, цинк листовой, фольга и т.д.</w:t>
      </w:r>
    </w:p>
    <w:p w14:paraId="20074A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Подольский литейно-прокатный завод им. 15-летия комсомола</w:t>
      </w:r>
    </w:p>
    <w:p w14:paraId="52C3B9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1917 год</w:t>
      </w:r>
    </w:p>
    <w:p w14:paraId="39AC3E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Подольск Московской области</w:t>
      </w:r>
    </w:p>
    <w:p w14:paraId="1FD50A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литье под давлением, свинец в рулонах и трубах</w:t>
      </w:r>
    </w:p>
    <w:p w14:paraId="4AFFEC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Нытвинский металлопрокатный завод</w:t>
      </w:r>
    </w:p>
    <w:p w14:paraId="571CC5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1756 год</w:t>
      </w:r>
    </w:p>
    <w:p w14:paraId="05C2F5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Нытва Свердловской области</w:t>
      </w:r>
    </w:p>
    <w:p w14:paraId="234B55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листы и ленты биметаллические</w:t>
      </w:r>
    </w:p>
    <w:p w14:paraId="1C13B8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Кабельный завод “Севкабель”</w:t>
      </w:r>
    </w:p>
    <w:p w14:paraId="3B9303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1876 год</w:t>
      </w:r>
    </w:p>
    <w:p w14:paraId="120293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В.О., Кожевенная, 40</w:t>
      </w:r>
    </w:p>
    <w:p w14:paraId="07D5A7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провода голые фасонные, кабели сильного и слабого тока и т.д.</w:t>
      </w:r>
    </w:p>
    <w:p w14:paraId="2A86C3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кабельный завод “Москабель”</w:t>
      </w:r>
    </w:p>
    <w:p w14:paraId="0F0C5F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шоссе Энтузиастов, 2-я кабельная, 20</w:t>
      </w:r>
    </w:p>
    <w:p w14:paraId="68CB5E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кабели сильного и слабого тока и т.д.</w:t>
      </w:r>
    </w:p>
    <w:p w14:paraId="5D067B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Кабельный завод “Электропривод”</w:t>
      </w:r>
    </w:p>
    <w:p w14:paraId="5CC274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1872 год</w:t>
      </w:r>
    </w:p>
    <w:p w14:paraId="2AF4CE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М. Коммунистическая, 17</w:t>
      </w:r>
    </w:p>
    <w:p w14:paraId="0CB00D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кабели сильного и слабого тока голые и изолированные и т.д.</w:t>
      </w:r>
    </w:p>
    <w:p w14:paraId="5907DF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Кабельный завод “Укркабель”</w:t>
      </w:r>
    </w:p>
    <w:p w14:paraId="1E1762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Киев Лукьяновка, ул. 9 января, 10</w:t>
      </w:r>
    </w:p>
    <w:p w14:paraId="023969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кабели голые и изолированные сильного и слабого тока и т.д.</w:t>
      </w:r>
    </w:p>
    <w:p w14:paraId="6F8A33DF"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Машиностроительная и металлообрабатывающая промышленность</w:t>
      </w:r>
    </w:p>
    <w:p w14:paraId="23F4DDFD"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Главное управление электротехнической промышленности “Главэнергопром”</w:t>
      </w:r>
    </w:p>
    <w:p w14:paraId="03F4F3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завод “КОМЕГА”</w:t>
      </w:r>
    </w:p>
    <w:p w14:paraId="67311E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1818 год</w:t>
      </w:r>
    </w:p>
    <w:p w14:paraId="627A54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Мочалинская, 34</w:t>
      </w:r>
    </w:p>
    <w:p w14:paraId="0A0337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котельное оборудование</w:t>
      </w:r>
    </w:p>
    <w:p w14:paraId="386A4B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Кусинский чугунолитейный завод</w:t>
      </w:r>
    </w:p>
    <w:p w14:paraId="60DDF2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1878 год</w:t>
      </w:r>
    </w:p>
    <w:p w14:paraId="3DA113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Кусы Челябинской области</w:t>
      </w:r>
    </w:p>
    <w:p w14:paraId="676682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Экономайзеры чугунные воздушные и водяные</w:t>
      </w:r>
    </w:p>
    <w:p w14:paraId="62BC2D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Невский машиностроительный завод им. Ленинна</w:t>
      </w:r>
    </w:p>
    <w:p w14:paraId="681B2E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1860 год</w:t>
      </w:r>
    </w:p>
    <w:p w14:paraId="75DAF3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пр. с. Смоленского, 1/8</w:t>
      </w:r>
    </w:p>
    <w:p w14:paraId="6BBD30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котельный завод им. Лихачева (Парострой)</w:t>
      </w:r>
    </w:p>
    <w:p w14:paraId="53FA69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1860 год</w:t>
      </w:r>
    </w:p>
    <w:p w14:paraId="48B40C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Ленинская слобода, 15</w:t>
      </w:r>
    </w:p>
    <w:p w14:paraId="3E5811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котлы</w:t>
      </w:r>
    </w:p>
    <w:p w14:paraId="53A38F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Ковровский топочный завод им. Малеева и Кангина</w:t>
      </w:r>
    </w:p>
    <w:p w14:paraId="44C2FA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1896 год</w:t>
      </w:r>
    </w:p>
    <w:p w14:paraId="0714DF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Ковров Ивановской области</w:t>
      </w:r>
    </w:p>
    <w:p w14:paraId="46C59D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топки ручные и механические</w:t>
      </w:r>
    </w:p>
    <w:p w14:paraId="263340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прожекторный завод</w:t>
      </w:r>
    </w:p>
    <w:p w14:paraId="174897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НКТП № 1295 от 2 октября 1934 года выделен из состава Электрозавода в непосредственное подчинение Главэнергопрому</w:t>
      </w:r>
    </w:p>
    <w:p w14:paraId="56F017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Электрозаводская, 21/23</w:t>
      </w:r>
    </w:p>
    <w:p w14:paraId="53CCE2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прожектора</w:t>
      </w:r>
    </w:p>
    <w:p w14:paraId="762553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Харьковский электромеханический завод “ХЭМЗ”</w:t>
      </w:r>
    </w:p>
    <w:p w14:paraId="110AA3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1887 год</w:t>
      </w:r>
    </w:p>
    <w:p w14:paraId="6032FC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 Чугуевское шоссе</w:t>
      </w:r>
    </w:p>
    <w:p w14:paraId="1F1DC9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котлостроение, турбостроение</w:t>
      </w:r>
    </w:p>
    <w:p w14:paraId="54C7C5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электромашиностроительный завод “Электросила” им. Кирова</w:t>
      </w:r>
    </w:p>
    <w:p w14:paraId="0EFE4F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1912 год</w:t>
      </w:r>
    </w:p>
    <w:p w14:paraId="4D42A5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Московское шоссе, 4</w:t>
      </w:r>
    </w:p>
    <w:p w14:paraId="10D394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турбо- и гидрогенераторы, генераторы переменного тока, машины постоянного тока, моторы переменного тока, выпрямители ртутные</w:t>
      </w:r>
    </w:p>
    <w:p w14:paraId="20029D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Металлический завод-втуз им. Сталина</w:t>
      </w:r>
    </w:p>
    <w:p w14:paraId="1F68DD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1857 год</w:t>
      </w:r>
    </w:p>
    <w:p w14:paraId="1511F2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Полюстровская наб., 19</w:t>
      </w:r>
    </w:p>
    <w:p w14:paraId="6C8CB5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котлостроение, турбостроение</w:t>
      </w:r>
    </w:p>
    <w:p w14:paraId="6D2B35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Харьковский турбогенераторный завод “ХТГЗ”</w:t>
      </w:r>
    </w:p>
    <w:p w14:paraId="2D9D82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0EAB88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ХарьковЧугуевское шоссе</w:t>
      </w:r>
    </w:p>
    <w:p w14:paraId="65A487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турбогенераторы с паровой частью</w:t>
      </w:r>
    </w:p>
    <w:p w14:paraId="73DC5C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Котельный завод “Красный котельщик” им. Смирнова</w:t>
      </w:r>
    </w:p>
    <w:p w14:paraId="67DE0E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1897 год</w:t>
      </w:r>
    </w:p>
    <w:p w14:paraId="4CECC5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Таганрог</w:t>
      </w:r>
    </w:p>
    <w:p w14:paraId="3270AF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котлы, котельное оборудование</w:t>
      </w:r>
    </w:p>
    <w:p w14:paraId="281B85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Топочно-экономайзерный завод “Экономайзер”</w:t>
      </w:r>
    </w:p>
    <w:p w14:paraId="42D97E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1842 год</w:t>
      </w:r>
    </w:p>
    <w:p w14:paraId="2CE0B7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Шлиссербургский тракт, 10-я верста, Муравьевская, 3</w:t>
      </w:r>
    </w:p>
    <w:p w14:paraId="43DD96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экономайзеры, топки цепные, литье чугунное</w:t>
      </w:r>
    </w:p>
    <w:p w14:paraId="26EFD4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Котельный завод “Парострой” - Москва</w:t>
      </w:r>
    </w:p>
    <w:p w14:paraId="59B70C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Топочный завод им. Малеева и Кангина – Ковров Ивановской области</w:t>
      </w:r>
    </w:p>
    <w:p w14:paraId="5E5A51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Топочный завод “Комега” - Москва</w:t>
      </w:r>
    </w:p>
    <w:p w14:paraId="49F34001"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Предприятия строящиеся:</w:t>
      </w:r>
    </w:p>
    <w:p w14:paraId="13EB4C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металлортутных выпрямителей</w:t>
      </w:r>
    </w:p>
    <w:p w14:paraId="44D108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Хотьково Московской области</w:t>
      </w:r>
    </w:p>
    <w:p w14:paraId="2231B4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выпрямители тока</w:t>
      </w:r>
    </w:p>
    <w:p w14:paraId="67E39C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прожекторный завод</w:t>
      </w:r>
    </w:p>
    <w:p w14:paraId="21FD91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Дангауэровская слобода</w:t>
      </w:r>
    </w:p>
    <w:p w14:paraId="17C1E0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прожектора</w:t>
      </w:r>
    </w:p>
    <w:p w14:paraId="03C925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Рязанский электроламповый завод</w:t>
      </w:r>
    </w:p>
    <w:p w14:paraId="56B937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Рязань Московской области</w:t>
      </w:r>
    </w:p>
    <w:p w14:paraId="1A93D9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электролампы</w:t>
      </w:r>
    </w:p>
    <w:p w14:paraId="34FFC1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Уральский электромашиностроительный завод</w:t>
      </w:r>
    </w:p>
    <w:p w14:paraId="52A2EB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Свердловск</w:t>
      </w:r>
    </w:p>
    <w:p w14:paraId="4F2366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аппаратура высокого напряжения</w:t>
      </w:r>
    </w:p>
    <w:p w14:paraId="1C3310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Центральный изоляторный завод</w:t>
      </w:r>
    </w:p>
    <w:p w14:paraId="6E19D7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Хотьково Московской области</w:t>
      </w:r>
    </w:p>
    <w:p w14:paraId="706E44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изоляционные материалы для электротехнической промышленности</w:t>
      </w:r>
    </w:p>
    <w:p w14:paraId="51491F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Каширский электровозный завод</w:t>
      </w:r>
    </w:p>
    <w:p w14:paraId="7D3D09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Кашира Московской области</w:t>
      </w:r>
    </w:p>
    <w:p w14:paraId="29927C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электровозы для ж/д и промышленности</w:t>
      </w:r>
    </w:p>
    <w:p w14:paraId="73C840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Елецкий завод “Электроугли № 2”</w:t>
      </w:r>
    </w:p>
    <w:p w14:paraId="64574A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Елец Воронежской области</w:t>
      </w:r>
    </w:p>
    <w:p w14:paraId="03DA6E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электроугли, электроды, электрощетки</w:t>
      </w:r>
    </w:p>
    <w:p w14:paraId="6DC0AAED"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Электротехнический трест “ВЭТ”</w:t>
      </w:r>
    </w:p>
    <w:p w14:paraId="136A41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Электротехнический комбинат им. Куйбышева</w:t>
      </w:r>
    </w:p>
    <w:p w14:paraId="6E5A12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Электрозаводская, 21/23</w:t>
      </w:r>
    </w:p>
    <w:p w14:paraId="107B2B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Завод автотракторного оборудования (АТЭ)</w:t>
      </w:r>
    </w:p>
    <w:p w14:paraId="603D7F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Электрозаводская, 21/23</w:t>
      </w:r>
    </w:p>
    <w:p w14:paraId="325578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электрооборудование автотракторное</w:t>
      </w:r>
    </w:p>
    <w:p w14:paraId="13F92D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Завод трансформаторов и электропечей (МОТЭЗ)</w:t>
      </w:r>
    </w:p>
    <w:p w14:paraId="59602E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Электрозаводская, 21/23</w:t>
      </w:r>
    </w:p>
    <w:p w14:paraId="59E3DF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трансформаторы, электропечи, реакторы</w:t>
      </w:r>
    </w:p>
    <w:p w14:paraId="161361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Электроламповый завод (МОЭЛ)</w:t>
      </w:r>
    </w:p>
    <w:p w14:paraId="00818E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Электрозаводская, 21/23</w:t>
      </w:r>
    </w:p>
    <w:p w14:paraId="054C11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лампы электрические</w:t>
      </w:r>
    </w:p>
    <w:p w14:paraId="5247C5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Баранчинский электромашиностроительный завод “ВОЛЬТА”</w:t>
      </w:r>
    </w:p>
    <w:p w14:paraId="267268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1899 год</w:t>
      </w:r>
    </w:p>
    <w:p w14:paraId="0E2892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Баранчинская Свердловской области</w:t>
      </w:r>
    </w:p>
    <w:p w14:paraId="4588CD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моторы переменного тока, литье чугунное</w:t>
      </w:r>
    </w:p>
    <w:p w14:paraId="2C39FC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Электромашиностроительный завод “Динамо” им. Кирова</w:t>
      </w:r>
    </w:p>
    <w:p w14:paraId="479438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1900 год</w:t>
      </w:r>
    </w:p>
    <w:p w14:paraId="1C5704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Ленинская слобода, 17</w:t>
      </w:r>
    </w:p>
    <w:p w14:paraId="515675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электровозы, моторы и т.д.</w:t>
      </w:r>
    </w:p>
    <w:p w14:paraId="7CF51E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“Электрик” им. А.К. Скороходова</w:t>
      </w:r>
    </w:p>
    <w:p w14:paraId="62A834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1892 год</w:t>
      </w:r>
    </w:p>
    <w:p w14:paraId="69F269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Лопухинская, 8</w:t>
      </w:r>
    </w:p>
    <w:p w14:paraId="13C0F9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электропечи, сварочные машины, материалы установочные сильного тока, приборы нагревательные</w:t>
      </w:r>
    </w:p>
    <w:p w14:paraId="6D2A4F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Электроаппаратный завод “Электроаппарат”</w:t>
      </w:r>
    </w:p>
    <w:p w14:paraId="0B312E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1913 год</w:t>
      </w:r>
    </w:p>
    <w:p w14:paraId="78DFB1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В.О., 24-я линия, 3/7</w:t>
      </w:r>
    </w:p>
    <w:p w14:paraId="38B1CD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аппаратура высокого напряжения, выключатели масляные, разъединитель, разрядники и т.д.</w:t>
      </w:r>
    </w:p>
    <w:p w14:paraId="1815BE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Электромашиностроительный завод им. Лепсе</w:t>
      </w:r>
    </w:p>
    <w:p w14:paraId="15496B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1926 год</w:t>
      </w:r>
    </w:p>
    <w:p w14:paraId="3CB58C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Ткацкая, 15</w:t>
      </w:r>
    </w:p>
    <w:p w14:paraId="1BD4D4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моторы переменного тока, моторы специальные</w:t>
      </w:r>
    </w:p>
    <w:p w14:paraId="4EEABF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Электромашиностроительный завод “ЯТЭМЗ”</w:t>
      </w:r>
    </w:p>
    <w:p w14:paraId="1EC248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1928 год</w:t>
      </w:r>
    </w:p>
    <w:p w14:paraId="1E56DD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Ярославль Ивановской области</w:t>
      </w:r>
    </w:p>
    <w:p w14:paraId="056F0A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моторы переменного тока, аппаратура пусковая и т.д.</w:t>
      </w:r>
    </w:p>
    <w:p w14:paraId="100491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Завод осветительной арматуры “Электросвет”</w:t>
      </w:r>
    </w:p>
    <w:p w14:paraId="1A5C36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1920 год</w:t>
      </w:r>
    </w:p>
    <w:p w14:paraId="5E966D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Б. Пироговская, 27</w:t>
      </w:r>
    </w:p>
    <w:p w14:paraId="4C003A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арматура осветительная</w:t>
      </w:r>
    </w:p>
    <w:p w14:paraId="3FE178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Изоляторный завод “Пролетарий”</w:t>
      </w:r>
    </w:p>
    <w:p w14:paraId="47E90C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1835 год</w:t>
      </w:r>
    </w:p>
    <w:p w14:paraId="528B43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Полюстровский, 99</w:t>
      </w:r>
    </w:p>
    <w:p w14:paraId="439D83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изоляторы высоковольтные, фарфор установочный</w:t>
      </w:r>
    </w:p>
    <w:p w14:paraId="0CCF35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Электромашиностроительный завод “Ревтруд”</w:t>
      </w:r>
    </w:p>
    <w:p w14:paraId="045432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1926 год</w:t>
      </w:r>
    </w:p>
    <w:p w14:paraId="2D3409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Тамбов Воронежской области</w:t>
      </w:r>
    </w:p>
    <w:p w14:paraId="40527A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моторы переменного тока, паротурбины для освещения поездов, литье чугунное</w:t>
      </w:r>
    </w:p>
    <w:p w14:paraId="374062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Запрудненский завод лампового стекла</w:t>
      </w:r>
    </w:p>
    <w:p w14:paraId="3C0055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1900</w:t>
      </w:r>
    </w:p>
    <w:p w14:paraId="73ECBD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Вербилки Московской области</w:t>
      </w:r>
    </w:p>
    <w:p w14:paraId="5C1BEF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стекло ламповое</w:t>
      </w:r>
    </w:p>
    <w:p w14:paraId="36B0E8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Уральский электромеханический и чугунолитейный завод “Вольта” – ст. Баранчинская Уральской области</w:t>
      </w:r>
    </w:p>
    <w:p w14:paraId="3BE3B6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Стекольный завод им. Уханова – Москва</w:t>
      </w:r>
    </w:p>
    <w:p w14:paraId="29E476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“Электроугли” – ст. Кудиново Московской области</w:t>
      </w:r>
    </w:p>
    <w:p w14:paraId="3CAE49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Изоляторный завод “Изолятор”</w:t>
      </w:r>
    </w:p>
    <w:p w14:paraId="0543A1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1900 год</w:t>
      </w:r>
    </w:p>
    <w:p w14:paraId="0EA51E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Ленинградское шоссе, 168</w:t>
      </w:r>
    </w:p>
    <w:p w14:paraId="6F8D53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изоляторы высокого напряжения</w:t>
      </w:r>
    </w:p>
    <w:p w14:paraId="1BD98F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изоляционных материалов “Изолит”</w:t>
      </w:r>
    </w:p>
    <w:p w14:paraId="04630A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669B6F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Черкизовский вал, 5</w:t>
      </w:r>
    </w:p>
    <w:p w14:paraId="742080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материалы изоляционные, литье под давлением</w:t>
      </w:r>
    </w:p>
    <w:p w14:paraId="1DFD05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Электроизоляционный завод “МЭИЗ” - Москва</w:t>
      </w:r>
    </w:p>
    <w:p w14:paraId="0ECF21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бытовых электроприборов – Ярославль</w:t>
      </w:r>
    </w:p>
    <w:p w14:paraId="3B31D9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Электротехнический завод “Красный Маяк” - Ярославль</w:t>
      </w:r>
    </w:p>
    <w:p w14:paraId="027063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лампового стекла им. Уханова</w:t>
      </w:r>
    </w:p>
    <w:p w14:paraId="2C9C70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1925 год</w:t>
      </w:r>
    </w:p>
    <w:p w14:paraId="08A25C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Смирновская, 25</w:t>
      </w:r>
    </w:p>
    <w:p w14:paraId="57D2BE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стекло для электроламп</w:t>
      </w:r>
    </w:p>
    <w:p w14:paraId="4AD55C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Ярославский завод бытовых приборов</w:t>
      </w:r>
    </w:p>
    <w:p w14:paraId="7639F5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Ярославль Ивановской области</w:t>
      </w:r>
    </w:p>
    <w:p w14:paraId="287BF8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сборка деталей электропатефонов, отражательные печи, электроутюги, бытовые электроприборы</w:t>
      </w:r>
    </w:p>
    <w:p w14:paraId="36FCFAFF"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Трест “Кокс”</w:t>
      </w:r>
    </w:p>
    <w:p w14:paraId="2235D4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Кадиевский коксохимический завод № 1</w:t>
      </w:r>
    </w:p>
    <w:p w14:paraId="061EEC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1912 год</w:t>
      </w:r>
    </w:p>
    <w:p w14:paraId="6B6143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Кадиевка, Донецкой области</w:t>
      </w:r>
    </w:p>
    <w:p w14:paraId="0D60C1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53F249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Рутченковский коксохимический завод № 2</w:t>
      </w:r>
    </w:p>
    <w:p w14:paraId="10FFB2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1915 год</w:t>
      </w:r>
    </w:p>
    <w:p w14:paraId="3C6FD2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Рутченково, Донецкой области</w:t>
      </w:r>
    </w:p>
    <w:p w14:paraId="28F90D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757A52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Горловский коксохимический завод № 3</w:t>
      </w:r>
    </w:p>
    <w:p w14:paraId="70C4A7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1913 год</w:t>
      </w:r>
    </w:p>
    <w:p w14:paraId="435307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Горловка, Донецкой области</w:t>
      </w:r>
    </w:p>
    <w:p w14:paraId="634120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549299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Ново-Макеевский коксохимический завод № 4</w:t>
      </w:r>
    </w:p>
    <w:p w14:paraId="1714DA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Макеевка, Донецкой области</w:t>
      </w:r>
    </w:p>
    <w:p w14:paraId="160DE8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2E9714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Старо-Макеевский коксохимический завод № 5</w:t>
      </w:r>
    </w:p>
    <w:p w14:paraId="7500AD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1915 год</w:t>
      </w:r>
    </w:p>
    <w:p w14:paraId="360914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Макеевка, Донецкой области</w:t>
      </w:r>
    </w:p>
    <w:p w14:paraId="1568E7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747CC4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Рыковский коксохимический завод № 6</w:t>
      </w:r>
    </w:p>
    <w:p w14:paraId="7189DB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1912 год</w:t>
      </w:r>
    </w:p>
    <w:p w14:paraId="50C507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Рыково, Донецкой области</w:t>
      </w:r>
    </w:p>
    <w:p w14:paraId="31C54A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78C5F1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Фенольный завод № 7</w:t>
      </w:r>
    </w:p>
    <w:p w14:paraId="5CC4E5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1913 год</w:t>
      </w:r>
    </w:p>
    <w:p w14:paraId="089475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Нью-Йорк Донецкой области</w:t>
      </w:r>
    </w:p>
    <w:p w14:paraId="4264C0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химический нафталин и фенолы</w:t>
      </w:r>
    </w:p>
    <w:p w14:paraId="2E32F0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Ново-Смоляниновский коксохимический завод № 8</w:t>
      </w:r>
    </w:p>
    <w:p w14:paraId="733653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1912 год</w:t>
      </w:r>
    </w:p>
    <w:p w14:paraId="062BA0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Сталино, Донецкой области</w:t>
      </w:r>
    </w:p>
    <w:p w14:paraId="52C917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07A622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Мушкетовский коксохимический завод № 9</w:t>
      </w:r>
    </w:p>
    <w:p w14:paraId="0B733F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1915 год</w:t>
      </w:r>
    </w:p>
    <w:p w14:paraId="5F4D7D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Мушкетово, Донецкой области</w:t>
      </w:r>
    </w:p>
    <w:p w14:paraId="3AC5DB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5371D5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Ханженковский коксохимический завод № 10</w:t>
      </w:r>
    </w:p>
    <w:p w14:paraId="511D02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1904 год</w:t>
      </w:r>
    </w:p>
    <w:p w14:paraId="60EE90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Ханженково, Донецкой области</w:t>
      </w:r>
    </w:p>
    <w:p w14:paraId="3B36DF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w:t>
      </w:r>
    </w:p>
    <w:p w14:paraId="433173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Щербиновский коксохимический завод № 11</w:t>
      </w:r>
    </w:p>
    <w:p w14:paraId="5B2337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1889 год</w:t>
      </w:r>
    </w:p>
    <w:p w14:paraId="7124B4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Щербиновский рудник, Донецкой области</w:t>
      </w:r>
    </w:p>
    <w:p w14:paraId="283D7B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59C91E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Ольховский коксохимический завод № 12</w:t>
      </w:r>
    </w:p>
    <w:p w14:paraId="13AC8C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1915 год</w:t>
      </w:r>
    </w:p>
    <w:p w14:paraId="5D8F51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Успенско-Козловское, Донецкой области</w:t>
      </w:r>
    </w:p>
    <w:p w14:paraId="5E41C1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1B9D7C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Никитовский коксохимический завод № 13</w:t>
      </w:r>
    </w:p>
    <w:p w14:paraId="03CF2B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1916 год</w:t>
      </w:r>
    </w:p>
    <w:p w14:paraId="3DBE00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Никитовка , Донецкой области</w:t>
      </w:r>
    </w:p>
    <w:p w14:paraId="3D1582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7D2D68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Брянский коксохимический завод № 14</w:t>
      </w:r>
    </w:p>
    <w:p w14:paraId="5213B7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1916 год</w:t>
      </w:r>
    </w:p>
    <w:p w14:paraId="5960D5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Брянский рудник Донецкой области</w:t>
      </w:r>
    </w:p>
    <w:p w14:paraId="72F3AF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099A58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Сталинский коксохимический завод № 15</w:t>
      </w:r>
    </w:p>
    <w:p w14:paraId="0146B8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1925 год</w:t>
      </w:r>
    </w:p>
    <w:p w14:paraId="1125F5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Сталино Донецкой области</w:t>
      </w:r>
    </w:p>
    <w:p w14:paraId="785255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099466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Краматорский коксохимический завод № 16</w:t>
      </w:r>
    </w:p>
    <w:p w14:paraId="1D3163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1924 год</w:t>
      </w:r>
    </w:p>
    <w:p w14:paraId="0ABCAC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Краматорская Донецкой области</w:t>
      </w:r>
    </w:p>
    <w:p w14:paraId="034447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6D7B26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Константиновский коксохимический завод № 17</w:t>
      </w:r>
    </w:p>
    <w:p w14:paraId="288A64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1915 год</w:t>
      </w:r>
    </w:p>
    <w:p w14:paraId="6047F1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Константиновка Донецкой области</w:t>
      </w:r>
    </w:p>
    <w:p w14:paraId="4313BC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67385C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Ирминский коксохимический завод № 18</w:t>
      </w:r>
    </w:p>
    <w:p w14:paraId="783070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Ирмино Донецкой области</w:t>
      </w:r>
    </w:p>
    <w:p w14:paraId="755FBD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смола</w:t>
      </w:r>
    </w:p>
    <w:p w14:paraId="74E716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Ворошиловский (бывш. Алчевский) коксохимический завод № 19</w:t>
      </w:r>
    </w:p>
    <w:p w14:paraId="60485E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1929 год</w:t>
      </w:r>
    </w:p>
    <w:p w14:paraId="5353D5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Ворошиловск Донецкой области</w:t>
      </w:r>
    </w:p>
    <w:p w14:paraId="52316D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4D3753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Днепропетровский коксохимический завод № 20</w:t>
      </w:r>
    </w:p>
    <w:p w14:paraId="5E899B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601007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Днепропетровск</w:t>
      </w:r>
    </w:p>
    <w:p w14:paraId="620F63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0357EA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Керченский коксохимический завод № 21</w:t>
      </w:r>
    </w:p>
    <w:p w14:paraId="5EC739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1C08AC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Керчь Крымской АССР</w:t>
      </w:r>
    </w:p>
    <w:p w14:paraId="13C6D6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4E1DB0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Мариупольский коксохимический завод № 22</w:t>
      </w:r>
    </w:p>
    <w:p w14:paraId="640522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1900 год</w:t>
      </w:r>
    </w:p>
    <w:p w14:paraId="3416F1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Сартана Донецкой области</w:t>
      </w:r>
    </w:p>
    <w:p w14:paraId="6F348E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w:t>
      </w:r>
    </w:p>
    <w:p w14:paraId="4E473D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Запорожье-Каменский коксохимический завод № 24</w:t>
      </w:r>
    </w:p>
    <w:p w14:paraId="1E0610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Запорожье-Каменское Днепропетровской области</w:t>
      </w:r>
    </w:p>
    <w:p w14:paraId="69AD29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332F3B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Харьковский коксохимический завод № 26</w:t>
      </w:r>
    </w:p>
    <w:p w14:paraId="360696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35B5E8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 п. Филипповка</w:t>
      </w:r>
    </w:p>
    <w:p w14:paraId="1EAEEA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коксохимическая</w:t>
      </w:r>
    </w:p>
    <w:p w14:paraId="376D38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Запорожский коксохимический завод № 27</w:t>
      </w:r>
    </w:p>
    <w:p w14:paraId="7412D2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Кичкас Днепропетровской области</w:t>
      </w:r>
    </w:p>
    <w:p w14:paraId="113391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кокс, аммиак, смола, бензол</w:t>
      </w:r>
    </w:p>
    <w:p w14:paraId="026FA0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Харьковский завод контрольно-измерительных приборов “КИП”</w:t>
      </w:r>
    </w:p>
    <w:p w14:paraId="0F60D6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 ул. Яковлева, 11</w:t>
      </w:r>
    </w:p>
    <w:p w14:paraId="111E86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контрольно-измерительные приборы для коксохимической промышленности</w:t>
      </w:r>
    </w:p>
    <w:p w14:paraId="5B0FDED8"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Институты</w:t>
      </w:r>
    </w:p>
    <w:p w14:paraId="0AE4EF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Днепропетровский углехимический НИИ (ДУХИН)</w:t>
      </w:r>
    </w:p>
    <w:p w14:paraId="0BCF10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21AECC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Днепропетровск, Лагерная, 3</w:t>
      </w:r>
    </w:p>
    <w:p w14:paraId="49E54A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Харьковский углехимический НИИ (ХАРУХИН)</w:t>
      </w:r>
    </w:p>
    <w:p w14:paraId="7C639B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1444AD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 Ново-Проектная, 4</w:t>
      </w:r>
    </w:p>
    <w:p w14:paraId="29BAD207"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Главморпром</w:t>
      </w:r>
    </w:p>
    <w:p w14:paraId="7F180D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Балтийский судостроительный и механический завод</w:t>
      </w:r>
    </w:p>
    <w:p w14:paraId="58D7CC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В.О., Кожевенная линия, 16</w:t>
      </w:r>
    </w:p>
    <w:p w14:paraId="69DC34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суда, дизели, паровые машины, литье стальное и чугунное, поковки</w:t>
      </w:r>
    </w:p>
    <w:p w14:paraId="3FCF2F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Дальневосточный судостроительный и механический завод (Дальзавод) им. Ворошилова</w:t>
      </w:r>
    </w:p>
    <w:p w14:paraId="0A6DD1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Владивосток, Шефнеровская, 2</w:t>
      </w:r>
    </w:p>
    <w:p w14:paraId="320A8C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суда, судоремонт и т.д.</w:t>
      </w:r>
    </w:p>
    <w:p w14:paraId="59AC31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механический завод № 6</w:t>
      </w:r>
    </w:p>
    <w:p w14:paraId="3E0640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набережная Фокина, 21</w:t>
      </w:r>
    </w:p>
    <w:p w14:paraId="10F0D1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части судовых механизмов</w:t>
      </w:r>
    </w:p>
    <w:p w14:paraId="019E9A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судостроительный завод им. Марти</w:t>
      </w:r>
    </w:p>
    <w:p w14:paraId="3C91C7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1854 год</w:t>
      </w:r>
    </w:p>
    <w:p w14:paraId="3F8C14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Лоцманская, 3</w:t>
      </w:r>
    </w:p>
    <w:p w14:paraId="7C0425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суда, дизели, паровые машины, литье чугунное, поковки</w:t>
      </w:r>
    </w:p>
    <w:p w14:paraId="460E12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Николаевский судостроительный завод им. Шестидесяти одного</w:t>
      </w:r>
    </w:p>
    <w:p w14:paraId="24E4D9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1897 год</w:t>
      </w:r>
    </w:p>
    <w:p w14:paraId="7A7AD1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Николаев Одесской области</w:t>
      </w:r>
    </w:p>
    <w:p w14:paraId="54CEE4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суда, стальные конструкции</w:t>
      </w:r>
    </w:p>
    <w:p w14:paraId="20213D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Ленинградская судостроительная верфь “Северная верфь”</w:t>
      </w:r>
    </w:p>
    <w:p w14:paraId="362DE0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1913 год</w:t>
      </w:r>
    </w:p>
    <w:p w14:paraId="19085F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ул. Стачек, 81</w:t>
      </w:r>
    </w:p>
    <w:p w14:paraId="7136A6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Продукция: суда</w:t>
      </w:r>
    </w:p>
    <w:p w14:paraId="58AC74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Севастопольский морской судостроительный завод “Севморзавод”</w:t>
      </w:r>
    </w:p>
    <w:p w14:paraId="6B06FA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1858 год</w:t>
      </w:r>
    </w:p>
    <w:p w14:paraId="05D563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Севастополь Крымской АССР</w:t>
      </w:r>
    </w:p>
    <w:p w14:paraId="6664E2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суда, литье чугунное и т.д.</w:t>
      </w:r>
    </w:p>
    <w:p w14:paraId="474806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Ленинградский судомеханический завод (Судомех)</w:t>
      </w:r>
    </w:p>
    <w:p w14:paraId="312FC7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1713 год</w:t>
      </w:r>
    </w:p>
    <w:p w14:paraId="111104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канал Крупштейна (Н. Адмиралтейский),1</w:t>
      </w:r>
    </w:p>
    <w:p w14:paraId="54E0B4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суда</w:t>
      </w:r>
    </w:p>
    <w:p w14:paraId="4B73E1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Хабаровский судостроительный и механический завод (Хабсудомех)</w:t>
      </w:r>
    </w:p>
    <w:p w14:paraId="37A747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Хабаровск</w:t>
      </w:r>
    </w:p>
    <w:p w14:paraId="277A7C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судостроение речное</w:t>
      </w:r>
    </w:p>
    <w:p w14:paraId="20FDC2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НИИ судостроения (НИИС)</w:t>
      </w:r>
    </w:p>
    <w:p w14:paraId="4214B5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2F84F1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канал Грибоедова, 51</w:t>
      </w:r>
    </w:p>
    <w:p w14:paraId="1A412068"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Гл. управление с/х машиностроения “Главсельмаш”</w:t>
      </w:r>
    </w:p>
    <w:p w14:paraId="4F8508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с/х машиностроения “Гомсельмаш”</w:t>
      </w:r>
    </w:p>
    <w:p w14:paraId="3DA124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1929 год</w:t>
      </w:r>
    </w:p>
    <w:p w14:paraId="6A0F7E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Гомель, Новиковская роща</w:t>
      </w:r>
    </w:p>
    <w:p w14:paraId="6F69AE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молотилки, силосорезки, картофелемойки и т.д.</w:t>
      </w:r>
    </w:p>
    <w:p w14:paraId="444E45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с/х машиностроения Ростсельмаш им. Сталина</w:t>
      </w:r>
    </w:p>
    <w:p w14:paraId="09BD18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36588F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Ростов-на-Дону</w:t>
      </w:r>
    </w:p>
    <w:p w14:paraId="7E9217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комбайны, сноповязалки, сенокосилки тракторные и т.д.</w:t>
      </w:r>
    </w:p>
    <w:p w14:paraId="45A4E3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с/х машиностроения “Серп и молот”</w:t>
      </w:r>
    </w:p>
    <w:p w14:paraId="61A687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1895 год</w:t>
      </w:r>
    </w:p>
    <w:p w14:paraId="4C9782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 Корсиковская, 15</w:t>
      </w:r>
    </w:p>
    <w:p w14:paraId="6B7134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молотилки, соломоподъемники и т.д.</w:t>
      </w:r>
    </w:p>
    <w:p w14:paraId="70E5CF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с/х машиностроения “Коммунар”</w:t>
      </w:r>
    </w:p>
    <w:p w14:paraId="3B4CBA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1864 год</w:t>
      </w:r>
    </w:p>
    <w:p w14:paraId="09A9B0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Запорожье Днепропетровской области, Красноармейская, 12</w:t>
      </w:r>
    </w:p>
    <w:p w14:paraId="4DEFFC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комбайны, автокары</w:t>
      </w:r>
    </w:p>
    <w:p w14:paraId="0AB90F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с/х машиностроения “Красная Звезда”</w:t>
      </w:r>
    </w:p>
    <w:p w14:paraId="789796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1874 год</w:t>
      </w:r>
    </w:p>
    <w:p w14:paraId="6A830D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Кирово, Одесская обл.</w:t>
      </w:r>
    </w:p>
    <w:p w14:paraId="409F30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сеялки, зерноочистительные установки, молотилки</w:t>
      </w:r>
    </w:p>
    <w:p w14:paraId="3611B4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с/х машиностроения им. Ухтомского</w:t>
      </w:r>
    </w:p>
    <w:p w14:paraId="605758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1902 год</w:t>
      </w:r>
    </w:p>
    <w:p w14:paraId="11E122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Люберцы Московской области</w:t>
      </w:r>
    </w:p>
    <w:p w14:paraId="04F2C2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сенокосилки, жатки-самоскидки, сноповязалки и т.д.</w:t>
      </w:r>
    </w:p>
    <w:p w14:paraId="702EFC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с/х машиностроения им. “Октябрьской революции”</w:t>
      </w:r>
    </w:p>
    <w:p w14:paraId="5587D1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1854 год</w:t>
      </w:r>
    </w:p>
    <w:p w14:paraId="568A06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Одесса, ул. Красного, 116</w:t>
      </w:r>
    </w:p>
    <w:p w14:paraId="082B8E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:плуги тракторные, бороны тракторные и т.д.</w:t>
      </w:r>
    </w:p>
    <w:p w14:paraId="0A0293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Аксай” им. Фрунзе</w:t>
      </w:r>
    </w:p>
    <w:p w14:paraId="1FEA3B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1893 год</w:t>
      </w:r>
    </w:p>
    <w:p w14:paraId="77E69F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Нахичевань Азово-Черноморского края</w:t>
      </w:r>
    </w:p>
    <w:p w14:paraId="65915B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молотилки кукурузные, культиваторы и т.д.</w:t>
      </w:r>
    </w:p>
    <w:p w14:paraId="14701D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комбайнов им. Шеболдаева “Саркомбайн”</w:t>
      </w:r>
    </w:p>
    <w:p w14:paraId="2C2DAB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6F15D9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Саратов, ул. Сакко и Ванцетти</w:t>
      </w:r>
    </w:p>
    <w:p w14:paraId="3458F9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комбайны</w:t>
      </w:r>
    </w:p>
    <w:p w14:paraId="546208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с/х машиностроения “Ташсельмаш”</w:t>
      </w:r>
    </w:p>
    <w:p w14:paraId="4FF568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14BE0C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Ташкент, Кладбищенская, 2</w:t>
      </w:r>
    </w:p>
    <w:p w14:paraId="59FAAE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хлопкоуборочные машины, сеялки хлопковые и т.д.</w:t>
      </w:r>
    </w:p>
    <w:p w14:paraId="00F541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с/х машиностроения им. Петровского</w:t>
      </w:r>
    </w:p>
    <w:p w14:paraId="5BD17A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1849 год</w:t>
      </w:r>
    </w:p>
    <w:p w14:paraId="0E45A7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Херсон Одесской области, Вокзал</w:t>
      </w:r>
    </w:p>
    <w:p w14:paraId="2125F2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хлопкоуборочный инвентарь, бороны и т.д.</w:t>
      </w:r>
    </w:p>
    <w:p w14:paraId="47C347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Первомайский завод с/х машиностроения</w:t>
      </w:r>
    </w:p>
    <w:p w14:paraId="2998A3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1883 год</w:t>
      </w:r>
    </w:p>
    <w:p w14:paraId="5FCFC8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Бердянск Днепропетровской области</w:t>
      </w:r>
    </w:p>
    <w:p w14:paraId="413BAF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жатки-самоскидки, мотыги, сцепки</w:t>
      </w:r>
    </w:p>
    <w:p w14:paraId="29D0AA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“Сибсельмаш”</w:t>
      </w:r>
    </w:p>
    <w:p w14:paraId="451822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1902 год</w:t>
      </w:r>
    </w:p>
    <w:p w14:paraId="49DFB7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Омск, ул. Герцена, 74</w:t>
      </w:r>
    </w:p>
    <w:p w14:paraId="2685DA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плуги тракторные и т.д.</w:t>
      </w:r>
    </w:p>
    <w:p w14:paraId="7812DE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с/х машиностроения им. Колющенко</w:t>
      </w:r>
    </w:p>
    <w:p w14:paraId="06FA73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Челябинск</w:t>
      </w:r>
    </w:p>
    <w:p w14:paraId="513F3F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плуги конные и тракторные и т.д.</w:t>
      </w:r>
    </w:p>
    <w:p w14:paraId="0281F4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с/х машиностроения “Рязсельмаш”</w:t>
      </w:r>
    </w:p>
    <w:p w14:paraId="4E8EA0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1904 год</w:t>
      </w:r>
    </w:p>
    <w:p w14:paraId="50AE71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Рязань Московской области, ул. Красина, 19</w:t>
      </w:r>
    </w:p>
    <w:p w14:paraId="4F55CE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картофелекопатели, картофелесажалки</w:t>
      </w:r>
    </w:p>
    <w:p w14:paraId="29F1BE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Плуг”</w:t>
      </w:r>
    </w:p>
    <w:p w14:paraId="3A1AE7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1880 год</w:t>
      </w:r>
    </w:p>
    <w:p w14:paraId="352A10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Лаптево Московской области</w:t>
      </w:r>
    </w:p>
    <w:p w14:paraId="29DA4A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бороны, плуги конные</w:t>
      </w:r>
    </w:p>
    <w:p w14:paraId="365F1D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Очерский завод с/х машиностроения</w:t>
      </w:r>
    </w:p>
    <w:p w14:paraId="79F387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1911 год</w:t>
      </w:r>
    </w:p>
    <w:p w14:paraId="0EB0C7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Очеры Свердловской области</w:t>
      </w:r>
    </w:p>
    <w:p w14:paraId="2EDFE1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навозоразбрасыватели, прессы сенные, точильные аппараты</w:t>
      </w:r>
    </w:p>
    <w:p w14:paraId="5DDC3A68"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Институты</w:t>
      </w:r>
    </w:p>
    <w:p w14:paraId="64B988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Всесоюзный институт с/х машиностроения (Висхом)</w:t>
      </w:r>
    </w:p>
    <w:p w14:paraId="3CB136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1928 год</w:t>
      </w:r>
    </w:p>
    <w:p w14:paraId="758FEF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Лихачевское шоссе, 6</w:t>
      </w:r>
    </w:p>
    <w:p w14:paraId="2DF22D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Украинский НИИ с/х машиностроения (Унисхом)</w:t>
      </w:r>
    </w:p>
    <w:p w14:paraId="3ED9D1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1928 год</w:t>
      </w:r>
    </w:p>
    <w:p w14:paraId="4554FE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Основа Харьковской области</w:t>
      </w:r>
    </w:p>
    <w:p w14:paraId="68B542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Гл. управление станкостроительной и инструментальной промышленности “Главстанкоинструмент”</w:t>
      </w:r>
    </w:p>
    <w:p w14:paraId="0CC34BF0"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Станкостроительные заводы</w:t>
      </w:r>
    </w:p>
    <w:p w14:paraId="3B44E9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Станкостроительный завод “Красный Пролетарий”</w:t>
      </w:r>
    </w:p>
    <w:p w14:paraId="5DD06F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1857 год</w:t>
      </w:r>
    </w:p>
    <w:p w14:paraId="20622C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М. Калужская, 15</w:t>
      </w:r>
    </w:p>
    <w:p w14:paraId="7161DC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станки токарные многорезцовые карусельные, обдирочные м т.д.</w:t>
      </w:r>
    </w:p>
    <w:p w14:paraId="525DD5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револьверных станков и полуавтоматов им. Орджоникидзе</w:t>
      </w:r>
    </w:p>
    <w:p w14:paraId="74E62B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3D0FDA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Калужская заст., 5-й Донской пр., 21</w:t>
      </w:r>
    </w:p>
    <w:p w14:paraId="2437EC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станки револьверные автоматы и полуавтоматы</w:t>
      </w:r>
    </w:p>
    <w:p w14:paraId="1068CF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Станкостроительный завод фрезерных станков</w:t>
      </w:r>
    </w:p>
    <w:p w14:paraId="1FEC39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446FC6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Горький, Канавино</w:t>
      </w:r>
    </w:p>
    <w:p w14:paraId="0F2E4B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станки фрезерные</w:t>
      </w:r>
    </w:p>
    <w:p w14:paraId="7E0343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Станкостроительный завод им. Свердлова</w:t>
      </w:r>
    </w:p>
    <w:p w14:paraId="5E356B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1868 год</w:t>
      </w:r>
    </w:p>
    <w:p w14:paraId="425B40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Полюстровская наб., 29а</w:t>
      </w:r>
    </w:p>
    <w:p w14:paraId="41BDD0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станки горизонтально-расточные, продольно-строгальные и т.д.</w:t>
      </w:r>
    </w:p>
    <w:p w14:paraId="29F800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Станкостроительный завод им. Ленина</w:t>
      </w:r>
    </w:p>
    <w:p w14:paraId="2A43B1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1859 год</w:t>
      </w:r>
    </w:p>
    <w:p w14:paraId="01F9C3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Одесса, ул. Старостина, 89</w:t>
      </w:r>
    </w:p>
    <w:p w14:paraId="65BD26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станки вертикально-сверлильные, болторезные и т.д.</w:t>
      </w:r>
    </w:p>
    <w:p w14:paraId="24739B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Чугунолитейный завод “Станколит”</w:t>
      </w:r>
    </w:p>
    <w:p w14:paraId="021A2B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40F617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Бутырская заст., Складочная, 20</w:t>
      </w:r>
    </w:p>
    <w:p w14:paraId="3BF1CE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литье чугунное для станкостроения</w:t>
      </w:r>
    </w:p>
    <w:p w14:paraId="468F76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Станкостроительный завод “Комсомолец”</w:t>
      </w:r>
    </w:p>
    <w:p w14:paraId="08BA8D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1909 год</w:t>
      </w:r>
    </w:p>
    <w:p w14:paraId="77CFF7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Егорьевск Московской области, Профсоюзная, 22</w:t>
      </w:r>
    </w:p>
    <w:p w14:paraId="006024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станки токарные, зуборезные и т.д.</w:t>
      </w:r>
    </w:p>
    <w:p w14:paraId="037321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Станкостроительный завод им. ЦК машиностроения</w:t>
      </w:r>
    </w:p>
    <w:p w14:paraId="72D554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Куйбышев, Советская, 135</w:t>
      </w:r>
    </w:p>
    <w:p w14:paraId="7D1A39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станки токарновинторезные, резьбофрезерные и т.д.</w:t>
      </w:r>
    </w:p>
    <w:p w14:paraId="7215CF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Станкостроительный завод “Самоточка”</w:t>
      </w:r>
    </w:p>
    <w:p w14:paraId="49B47A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1882 год</w:t>
      </w:r>
    </w:p>
    <w:p w14:paraId="2BD76E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Сущевский вал, Софийский пер., 11</w:t>
      </w:r>
    </w:p>
    <w:p w14:paraId="02AC6E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станки продольно-строгальные и долбежные</w:t>
      </w:r>
    </w:p>
    <w:p w14:paraId="2C19FC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Харьковский завод сверлильных станков</w:t>
      </w:r>
    </w:p>
    <w:p w14:paraId="7BE571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Лосево Харьковской области</w:t>
      </w:r>
    </w:p>
    <w:p w14:paraId="2C441D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станки сверлильные, радиальные, станки шлифовальные</w:t>
      </w:r>
    </w:p>
    <w:p w14:paraId="4C2BA6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Станкостроительный завод им. Ильича</w:t>
      </w:r>
    </w:p>
    <w:p w14:paraId="41B11C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1878 год</w:t>
      </w:r>
    </w:p>
    <w:p w14:paraId="42AB0B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Красногвардейская, 23</w:t>
      </w:r>
    </w:p>
    <w:p w14:paraId="36D910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станки заточные</w:t>
      </w:r>
    </w:p>
    <w:p w14:paraId="40496D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Муромский завод приспособлений и патронов к металлорежущим станкам “Станкопатрон” им Орджоникидзе</w:t>
      </w:r>
    </w:p>
    <w:p w14:paraId="5BFAE3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42EB06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Муром Горьковского края</w:t>
      </w:r>
    </w:p>
    <w:p w14:paraId="4D690B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патроны и приспособления к металлорежущим станкам</w:t>
      </w:r>
    </w:p>
    <w:p w14:paraId="51DABC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Тульский чугунолитейный завод</w:t>
      </w:r>
    </w:p>
    <w:p w14:paraId="4F7F85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Тула Московской области</w:t>
      </w:r>
    </w:p>
    <w:p w14:paraId="6A20F1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литье чугунное для станкостроения</w:t>
      </w:r>
    </w:p>
    <w:p w14:paraId="0CD641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Чугунолитейный завод “Центролит”</w:t>
      </w:r>
    </w:p>
    <w:p w14:paraId="129C01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0603AC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Полюстровская наб., 7</w:t>
      </w:r>
    </w:p>
    <w:p w14:paraId="55FADA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литье чугунное для станкостроения и машиностроения</w:t>
      </w:r>
    </w:p>
    <w:p w14:paraId="138BA8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Станкоконструкция</w:t>
      </w:r>
    </w:p>
    <w:p w14:paraId="6FDC1F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5-1 Донской пр., 21</w:t>
      </w:r>
    </w:p>
    <w:p w14:paraId="6ABCF2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станки специальные</w:t>
      </w:r>
    </w:p>
    <w:p w14:paraId="6DBF9C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Златоустовский инструментальный завод им. Ленина</w:t>
      </w:r>
    </w:p>
    <w:p w14:paraId="6AEF3B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1754 год</w:t>
      </w:r>
    </w:p>
    <w:p w14:paraId="76C07A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Златоуст Челябинской области, ул. III Интернационала</w:t>
      </w:r>
    </w:p>
    <w:p w14:paraId="511C53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инструмент режущий, деревообделочный, мерительный, сверла, фрезеры, метчики и т.д.</w:t>
      </w:r>
    </w:p>
    <w:p w14:paraId="46CECE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Инструментальный завод им. Воскова</w:t>
      </w:r>
    </w:p>
    <w:p w14:paraId="06D7CA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Сестрорецк</w:t>
      </w:r>
    </w:p>
    <w:p w14:paraId="1F6F16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инструмент режущий, мерительный и монтажный, сверла, фрезеры и т.д.</w:t>
      </w:r>
    </w:p>
    <w:p w14:paraId="03C805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режущих инструментов им. Калинина (б. Фрезер)</w:t>
      </w:r>
    </w:p>
    <w:p w14:paraId="2B78E2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579E03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ст. Перово</w:t>
      </w:r>
    </w:p>
    <w:p w14:paraId="6409BA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инструмент режущий, сверла, фрезы и т.д.</w:t>
      </w:r>
    </w:p>
    <w:p w14:paraId="6454B4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пневматических инструментов “Пневматика”</w:t>
      </w:r>
    </w:p>
    <w:p w14:paraId="208CE3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1909 год</w:t>
      </w:r>
    </w:p>
    <w:p w14:paraId="57F4A1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В.О., 18-я линия, 27/6</w:t>
      </w:r>
    </w:p>
    <w:p w14:paraId="5EEB19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инструмент пневматический</w:t>
      </w:r>
    </w:p>
    <w:p w14:paraId="7C3591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Инструментальщик”</w:t>
      </w:r>
    </w:p>
    <w:p w14:paraId="2E2783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1926 год</w:t>
      </w:r>
    </w:p>
    <w:p w14:paraId="3CFDBB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Новогородская, 10</w:t>
      </w:r>
    </w:p>
    <w:p w14:paraId="6D0916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инструмент мерительный, микрометры, калибры и т.д.</w:t>
      </w:r>
    </w:p>
    <w:p w14:paraId="10AD5B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контрольно-измерительных инструментов “Калибр”</w:t>
      </w:r>
    </w:p>
    <w:p w14:paraId="65A71D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571B6F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Ярославское шоссе, дер. Марьино</w:t>
      </w:r>
    </w:p>
    <w:p w14:paraId="529571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инструмент мерительный, микрометры, скобы и т.д.</w:t>
      </w:r>
    </w:p>
    <w:p w14:paraId="4A29DC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Миасский напилочный завод</w:t>
      </w:r>
    </w:p>
    <w:p w14:paraId="430BD8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1916 год</w:t>
      </w:r>
    </w:p>
    <w:p w14:paraId="388A8A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Миасс Челябинской области</w:t>
      </w:r>
    </w:p>
    <w:p w14:paraId="360038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напильники</w:t>
      </w:r>
    </w:p>
    <w:p w14:paraId="4193E6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Московский инструментальный завод (МИЗ)</w:t>
      </w:r>
    </w:p>
    <w:p w14:paraId="61FD0F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1919 год</w:t>
      </w:r>
    </w:p>
    <w:p w14:paraId="445A3B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Б. Семеновская, 49</w:t>
      </w:r>
    </w:p>
    <w:p w14:paraId="5498C7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инструмент режущий и мерительный, фрезы, метчики и т.д.</w:t>
      </w:r>
    </w:p>
    <w:p w14:paraId="0436E2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Харьковский лекально-инструментальный завод</w:t>
      </w:r>
    </w:p>
    <w:p w14:paraId="48AAF4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1912 год</w:t>
      </w:r>
    </w:p>
    <w:p w14:paraId="616960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 ул. Котлова, 106</w:t>
      </w:r>
    </w:p>
    <w:p w14:paraId="22BAC2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инструмент режущий, сверла, фрезеры и т.д.</w:t>
      </w:r>
    </w:p>
    <w:p w14:paraId="71B21A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Луганский напилочный завод им. “Рудь”</w:t>
      </w:r>
    </w:p>
    <w:p w14:paraId="58A2FA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1912 год</w:t>
      </w:r>
    </w:p>
    <w:p w14:paraId="7F6F00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Луганск Донецкой области, Вишневая, 13</w:t>
      </w:r>
    </w:p>
    <w:p w14:paraId="606CFF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напильники</w:t>
      </w:r>
    </w:p>
    <w:p w14:paraId="508E8D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Златоустовский абразивный завод (выделен из Златоустовского инструментального завода им. Ленина)</w:t>
      </w:r>
    </w:p>
    <w:p w14:paraId="07E494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672598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Златоуст Челябинской области, ул. III Интернационала</w:t>
      </w:r>
    </w:p>
    <w:p w14:paraId="2856A9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круги шлифовальные</w:t>
      </w:r>
    </w:p>
    <w:p w14:paraId="1FADB9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Челябинский абразивный завод</w:t>
      </w:r>
    </w:p>
    <w:p w14:paraId="66B7D7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Челябинск</w:t>
      </w:r>
    </w:p>
    <w:p w14:paraId="35E5F8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круги шлифовальные</w:t>
      </w:r>
    </w:p>
    <w:p w14:paraId="526AD1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Тигель”</w:t>
      </w:r>
    </w:p>
    <w:p w14:paraId="66FC00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Луга Ленинградской области, Новгородская, 30</w:t>
      </w:r>
    </w:p>
    <w:p w14:paraId="6CB279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графитно-шамотные изделия и т.д.</w:t>
      </w:r>
    </w:p>
    <w:p w14:paraId="15FAC4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“Смычка”</w:t>
      </w:r>
    </w:p>
    <w:p w14:paraId="504483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Луга Ленинградской области, Новгородская, 30</w:t>
      </w:r>
    </w:p>
    <w:p w14:paraId="6F6A5D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графитно-шамотные изделия</w:t>
      </w:r>
    </w:p>
    <w:p w14:paraId="5E816D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абразивный завод “Ильич”</w:t>
      </w:r>
    </w:p>
    <w:p w14:paraId="264193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1878 год</w:t>
      </w:r>
    </w:p>
    <w:p w14:paraId="3CB5C8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Красногвардейская, 23</w:t>
      </w:r>
    </w:p>
    <w:p w14:paraId="24D418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шлифовальные изделия</w:t>
      </w:r>
    </w:p>
    <w:p w14:paraId="77BB32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абразивный завод</w:t>
      </w:r>
    </w:p>
    <w:p w14:paraId="6394A9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дер. Черкизово</w:t>
      </w:r>
    </w:p>
    <w:p w14:paraId="593BA2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круги шлифовальные</w:t>
      </w:r>
    </w:p>
    <w:p w14:paraId="5FD63116"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Предприятия строящиеся</w:t>
      </w:r>
    </w:p>
    <w:p w14:paraId="37260D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Киевский станкостроительный завод автоматов</w:t>
      </w:r>
    </w:p>
    <w:p w14:paraId="49DB39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Киев, Святошино, Рубежовская колония</w:t>
      </w:r>
    </w:p>
    <w:p w14:paraId="7A30E4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Свердловский завод тяжелых станков</w:t>
      </w:r>
    </w:p>
    <w:p w14:paraId="40B749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Саратовский завод зуборезных станков</w:t>
      </w:r>
    </w:p>
    <w:p w14:paraId="528D12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Харьковский новый инструментальный завод режущего инструмента</w:t>
      </w:r>
    </w:p>
    <w:p w14:paraId="090674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Экспериментальный НИИ металлорежущих станков (Энимс)</w:t>
      </w:r>
    </w:p>
    <w:p w14:paraId="57BC59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6FC293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Калужская застава, 5-1 Донской пр., 21</w:t>
      </w:r>
    </w:p>
    <w:p w14:paraId="1690A78E"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Гл. управление горного и топливного машиностроения “Главгормаш”</w:t>
      </w:r>
    </w:p>
    <w:p w14:paraId="4678A4DD"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Заводы горнозаводского оборудования</w:t>
      </w:r>
    </w:p>
    <w:p w14:paraId="1D5987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Торецкий завод им. Ворошилова</w:t>
      </w:r>
    </w:p>
    <w:p w14:paraId="0EB221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1897 год</w:t>
      </w:r>
    </w:p>
    <w:p w14:paraId="62AFF6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Дружковка Донецкой области</w:t>
      </w:r>
    </w:p>
    <w:p w14:paraId="1396DB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вагонетки для угля, болты, клепочные изделия; мартеновская сталь, литье стальное и чугунное</w:t>
      </w:r>
    </w:p>
    <w:p w14:paraId="1D7D43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Горловский машиностроительный и сталелитейный завод им. Кирова</w:t>
      </w:r>
    </w:p>
    <w:p w14:paraId="698C3D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1896 год</w:t>
      </w:r>
    </w:p>
    <w:p w14:paraId="4419ED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Горловка Донецкой области</w:t>
      </w:r>
    </w:p>
    <w:p w14:paraId="31CA57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врубовые машины, электробурилки, компрессоры, насосы и т.д.; мартеновская сталь, литье стальное</w:t>
      </w:r>
    </w:p>
    <w:p w14:paraId="3A9422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“Свет шахтера”</w:t>
      </w:r>
    </w:p>
    <w:p w14:paraId="600B07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1892 год</w:t>
      </w:r>
    </w:p>
    <w:p w14:paraId="2223EE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 ул. “Свет шахтера”, 4-6</w:t>
      </w:r>
    </w:p>
    <w:p w14:paraId="5784D3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приводы конвейерные, лебедки скреперные, лампы шахтные, погрузочные машины, навалочные машины и т.д.</w:t>
      </w:r>
    </w:p>
    <w:p w14:paraId="1DB760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Сталинский машиностроительный завод им. Рыкова</w:t>
      </w:r>
    </w:p>
    <w:p w14:paraId="1EFE75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Сталино Донецкой области</w:t>
      </w:r>
    </w:p>
    <w:p w14:paraId="22DD70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копры надшахтные, клети шахтные, лебедки электрические разные, сортировки, элеваторы и т.д.</w:t>
      </w:r>
    </w:p>
    <w:p w14:paraId="242E02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Луганский машиностроительный завод им. Кассиора</w:t>
      </w:r>
    </w:p>
    <w:p w14:paraId="14301A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1877 год</w:t>
      </w:r>
    </w:p>
    <w:p w14:paraId="1465ED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Луганск Донецкой области, Владимировская, 28</w:t>
      </w:r>
    </w:p>
    <w:p w14:paraId="255CC3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рештаки головные и линейные, классификаторы, сгустители, элеваторы и т.д.</w:t>
      </w:r>
    </w:p>
    <w:p w14:paraId="72D20A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и чугунолитейный завод им. К. Маркса</w:t>
      </w:r>
    </w:p>
    <w:p w14:paraId="7EF5A3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1896 год</w:t>
      </w:r>
    </w:p>
    <w:p w14:paraId="308013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Варварополье Донецкой области</w:t>
      </w:r>
    </w:p>
    <w:p w14:paraId="3C7D33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рештаки конвейерные, лебедки ручные, камнедробилки, привода конвейерные</w:t>
      </w:r>
    </w:p>
    <w:p w14:paraId="2A38D0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Мелитопольский машиностроительный завод им. Балицкого</w:t>
      </w:r>
    </w:p>
    <w:p w14:paraId="60AB81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1928 год</w:t>
      </w:r>
    </w:p>
    <w:p w14:paraId="2E82AC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Мелитополь Днепропетровской области, ул. Пахомова, 31</w:t>
      </w:r>
    </w:p>
    <w:p w14:paraId="6625A5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насосы центробежные</w:t>
      </w:r>
    </w:p>
    <w:p w14:paraId="4D51F4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машиностроительный завод “Борец”</w:t>
      </w:r>
    </w:p>
    <w:p w14:paraId="5C1BE3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1898 год</w:t>
      </w:r>
    </w:p>
    <w:p w14:paraId="34FC2B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ул. Складочная, 6</w:t>
      </w:r>
    </w:p>
    <w:p w14:paraId="491966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насосы, компрессоры</w:t>
      </w:r>
    </w:p>
    <w:p w14:paraId="6E7D5D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лейтенанта Шмидта</w:t>
      </w:r>
    </w:p>
    <w:p w14:paraId="5A7E38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1900 год</w:t>
      </w:r>
    </w:p>
    <w:p w14:paraId="3739B5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НКТП № 1255 от 26 сентября 1934 года передан из треста Азнефть</w:t>
      </w:r>
    </w:p>
    <w:p w14:paraId="3BFF3F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Баку, Балаханское шоссе, 213/216</w:t>
      </w:r>
    </w:p>
    <w:p w14:paraId="4A2E32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оборудование нефтяное и эксплуатационное для нефтяной промышленности, лебедки, роторы, компрессоры и т.д.</w:t>
      </w:r>
    </w:p>
    <w:p w14:paraId="69429B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Крекинго- электровозостроительный завод (КЭС)</w:t>
      </w:r>
    </w:p>
    <w:p w14:paraId="3B4F81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74230E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Подольск Московской области</w:t>
      </w:r>
    </w:p>
    <w:p w14:paraId="000345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нефтеаппаратура для крекингов и трубчаток, электровозы рудничные и промышленные, паровозы узкоколейные</w:t>
      </w:r>
    </w:p>
    <w:p w14:paraId="1893B2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Грозненский завод “Красный молот”</w:t>
      </w:r>
    </w:p>
    <w:p w14:paraId="752AC7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1894 год</w:t>
      </w:r>
    </w:p>
    <w:p w14:paraId="052318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Приказом НКТП № 1255 от 26 сентября 1934 года передан из треста Грознефть</w:t>
      </w:r>
    </w:p>
    <w:p w14:paraId="2E5E70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Грозный, Кладбищенская ул.</w:t>
      </w:r>
    </w:p>
    <w:p w14:paraId="78027D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буровое оборудование и инструмент, насосы и т.д.</w:t>
      </w:r>
    </w:p>
    <w:p w14:paraId="12886F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Бакинский завод им. Рыкова</w:t>
      </w:r>
    </w:p>
    <w:p w14:paraId="17311B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НКТП № 1255 от 26 сентября 1934 года передан из треста Азнефть</w:t>
      </w:r>
    </w:p>
    <w:p w14:paraId="51F283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Баку, Зобрат, ул. Артема</w:t>
      </w:r>
    </w:p>
    <w:p w14:paraId="5FB5C1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долотья, замки для бурильных труб</w:t>
      </w:r>
    </w:p>
    <w:p w14:paraId="5AD320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“Бакинский рабочий”</w:t>
      </w:r>
    </w:p>
    <w:p w14:paraId="709299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1900 год</w:t>
      </w:r>
    </w:p>
    <w:p w14:paraId="4317BC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НКТП № 1255 от 26 сентября 1934 года передан из треста Азнефть</w:t>
      </w:r>
    </w:p>
    <w:p w14:paraId="00B60D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Баку, Сабунчи, 101-й участок</w:t>
      </w:r>
    </w:p>
    <w:p w14:paraId="633D75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вышки металлические, качалки</w:t>
      </w:r>
    </w:p>
    <w:p w14:paraId="47C42B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Верхне-Сергинский завод</w:t>
      </w:r>
    </w:p>
    <w:p w14:paraId="4BCBFD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НКТП № 1255 от 26 сентября 1934 года передан из треста Востоконефть</w:t>
      </w:r>
    </w:p>
    <w:p w14:paraId="6BCA56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АТИГ Свердловская обл.</w:t>
      </w:r>
    </w:p>
    <w:p w14:paraId="4C6060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долотья, шарошки</w:t>
      </w:r>
    </w:p>
    <w:p w14:paraId="28513E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Бакинский завод им. Дзержинского</w:t>
      </w:r>
    </w:p>
    <w:p w14:paraId="4FCEA0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1925 год</w:t>
      </w:r>
    </w:p>
    <w:p w14:paraId="44EA7A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НКТП № 1255 от 26 сентября 1934 года передан из треста Азнефть</w:t>
      </w:r>
    </w:p>
    <w:p w14:paraId="7278EF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Сураханы, Послад им. Дзержинского</w:t>
      </w:r>
    </w:p>
    <w:p w14:paraId="2499C1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насосы, долотья, шарошки</w:t>
      </w:r>
    </w:p>
    <w:p w14:paraId="3991C0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Петровского</w:t>
      </w:r>
    </w:p>
    <w:p w14:paraId="2783DE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1894 год</w:t>
      </w:r>
    </w:p>
    <w:p w14:paraId="0907E0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НКТП № 1255 от 26 сентября 1934 года передан из треста Горзавтрест</w:t>
      </w:r>
    </w:p>
    <w:p w14:paraId="0E34C4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Нью-Йорк Донецкой области</w:t>
      </w:r>
    </w:p>
    <w:p w14:paraId="196E32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буровое оборудование для геологоразведочных работ, станки буровые и т.д.</w:t>
      </w:r>
    </w:p>
    <w:p w14:paraId="33963B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Воровского</w:t>
      </w:r>
    </w:p>
    <w:p w14:paraId="257FA1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1899 год</w:t>
      </w:r>
    </w:p>
    <w:p w14:paraId="2C5BCB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НКТП № 1255 от 26 сентября 1934 года передан из непосредственного ведения Главмашпрома</w:t>
      </w:r>
    </w:p>
    <w:p w14:paraId="589362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Свердловск, Гилеевская ул., 7</w:t>
      </w:r>
    </w:p>
    <w:p w14:paraId="2930E9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буровое оборудование для геологоразведочных работ, станки буровые</w:t>
      </w:r>
    </w:p>
    <w:p w14:paraId="547D35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Новый Тифлисский механический завод им. Кирова</w:t>
      </w:r>
    </w:p>
    <w:p w14:paraId="627915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НКТП № 1255 от 26 сентября 1934 года передан из треста Азнефть</w:t>
      </w:r>
    </w:p>
    <w:p w14:paraId="5A3ED3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Тифлис</w:t>
      </w:r>
    </w:p>
    <w:p w14:paraId="374190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элеваторы, ключи для бурильных и обсадных труб</w:t>
      </w:r>
    </w:p>
    <w:p w14:paraId="6946F1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торфяного машиностроения “Ивторфмаш”</w:t>
      </w:r>
    </w:p>
    <w:p w14:paraId="61AD07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45FC5D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Иваново, Насадская, 5</w:t>
      </w:r>
    </w:p>
    <w:p w14:paraId="7DA727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краны торфососные, торфорастиратели и т.д.</w:t>
      </w:r>
    </w:p>
    <w:p w14:paraId="109ED7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Сталечугунолитейный и машиностроительный завод им. “Первое Мая”</w:t>
      </w:r>
    </w:p>
    <w:p w14:paraId="38B8A8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1903 год</w:t>
      </w:r>
    </w:p>
    <w:p w14:paraId="1F2647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Калинин, Учительская, 54</w:t>
      </w:r>
    </w:p>
    <w:p w14:paraId="1A9272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дрезины ручные, торфососные краны, лебедки и т.д.</w:t>
      </w:r>
    </w:p>
    <w:p w14:paraId="7F3370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Псковский завод торфяного машиностроения “Металлист”</w:t>
      </w:r>
    </w:p>
    <w:p w14:paraId="73609F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1897 год</w:t>
      </w:r>
    </w:p>
    <w:p w14:paraId="5CCF82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Псков Ленинградской обл., Пролетарский бул., 15</w:t>
      </w:r>
    </w:p>
    <w:p w14:paraId="1FC43F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лебедки корчевальные, прессы торфяные, торфососы и т.д.</w:t>
      </w:r>
    </w:p>
    <w:p w14:paraId="46D5DB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Ирбитский завод торфяного машиностроения</w:t>
      </w:r>
    </w:p>
    <w:p w14:paraId="15645D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1929 год</w:t>
      </w:r>
    </w:p>
    <w:p w14:paraId="465B89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Ирбит Свердловской области</w:t>
      </w:r>
    </w:p>
    <w:p w14:paraId="40A733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баггеры, камнекопальные станки, литье чугунное</w:t>
      </w:r>
    </w:p>
    <w:p w14:paraId="697B81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машиностроительный завод “Компрессор”</w:t>
      </w:r>
    </w:p>
    <w:p w14:paraId="421410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1870 год</w:t>
      </w:r>
    </w:p>
    <w:p w14:paraId="16CE5F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Дангауэровская слобода, шоссе Энтузиастов</w:t>
      </w:r>
    </w:p>
    <w:p w14:paraId="062922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компрессоры, аппаратура и арматура холодильная</w:t>
      </w:r>
    </w:p>
    <w:p w14:paraId="733057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им. Калинина</w:t>
      </w:r>
    </w:p>
    <w:p w14:paraId="20891D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1867 год</w:t>
      </w:r>
    </w:p>
    <w:p w14:paraId="473D17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Б. Таганская, 13</w:t>
      </w:r>
    </w:p>
    <w:p w14:paraId="0DAA5B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насосы, турбины водяные</w:t>
      </w:r>
    </w:p>
    <w:p w14:paraId="5B7ED7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“Красный факел”</w:t>
      </w:r>
    </w:p>
    <w:p w14:paraId="2C22BF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1863 год</w:t>
      </w:r>
    </w:p>
    <w:p w14:paraId="4C14FD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Софийская наб., 12</w:t>
      </w:r>
    </w:p>
    <w:p w14:paraId="5C4EDF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насосы, компрессоры ручные</w:t>
      </w:r>
    </w:p>
    <w:p w14:paraId="58D6EDAB"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Предприятия строящиеся</w:t>
      </w:r>
    </w:p>
    <w:p w14:paraId="486890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Новосибирский машиностроительный завод горного оборудования</w:t>
      </w:r>
    </w:p>
    <w:p w14:paraId="6E6A9E15"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Трест “Техника безопасности”</w:t>
      </w:r>
    </w:p>
    <w:p w14:paraId="0B3F6C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Чугунолитейный и механический завод № 1</w:t>
      </w:r>
    </w:p>
    <w:p w14:paraId="1B2A12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1896 год</w:t>
      </w:r>
    </w:p>
    <w:p w14:paraId="381A33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Старая Русса Ленинградской области, Коммунальная, 3</w:t>
      </w:r>
    </w:p>
    <w:p w14:paraId="60454D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ремненадеватели и отводки для ремней, ручки тракторные, литье чугунное и т.д.</w:t>
      </w:r>
    </w:p>
    <w:p w14:paraId="5DAE9C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Трансформаторная фабрика № 2</w:t>
      </w:r>
    </w:p>
    <w:p w14:paraId="0EBC7C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6FFA44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Раушская наб., 4</w:t>
      </w:r>
    </w:p>
    <w:p w14:paraId="6F2F80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трансформаторы безопасные понижающие</w:t>
      </w:r>
    </w:p>
    <w:p w14:paraId="0C63DE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кислородных приборов</w:t>
      </w:r>
    </w:p>
    <w:p w14:paraId="6E587B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537657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Орехово-Зуево Московской области, ул. Володарского, 5</w:t>
      </w:r>
    </w:p>
    <w:p w14:paraId="7E00F9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приборы кислородные по технике безопасности, респираторы, ингаляторы, аппараты водолазные, насосы кислородные</w:t>
      </w:r>
    </w:p>
    <w:p w14:paraId="067712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Механический завод № 5</w:t>
      </w:r>
    </w:p>
    <w:p w14:paraId="210408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1928 год</w:t>
      </w:r>
    </w:p>
    <w:p w14:paraId="32BE5C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Орел Курской области, Правый берег р. Оки, 120</w:t>
      </w:r>
    </w:p>
    <w:p w14:paraId="4BE679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пылесосы, стулья гигиенические, осланцеватели, тележки грузоподъемные и т.д.</w:t>
      </w:r>
    </w:p>
    <w:p w14:paraId="63D73EBC"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Институты:</w:t>
      </w:r>
    </w:p>
    <w:p w14:paraId="538E9E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Бакинский НИИ нефтяного машиностроения (Гиинмаш)</w:t>
      </w:r>
    </w:p>
    <w:p w14:paraId="21604C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Баку, 10-я Завокзальная, 16</w:t>
      </w:r>
    </w:p>
    <w:p w14:paraId="067058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Гидромашиностроительный НИИ</w:t>
      </w:r>
    </w:p>
    <w:p w14:paraId="1F06C1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ул. Радио, 17</w:t>
      </w:r>
    </w:p>
    <w:p w14:paraId="6144124E"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Гл. управление среднего машиностроения “Главсредмаш”</w:t>
      </w:r>
    </w:p>
    <w:p w14:paraId="0B7F2A95"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Дормаштрест</w:t>
      </w:r>
    </w:p>
    <w:p w14:paraId="28914D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Люиновский чугунолитейный и машиностроительный завод</w:t>
      </w:r>
    </w:p>
    <w:p w14:paraId="69514A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1755 год</w:t>
      </w:r>
    </w:p>
    <w:p w14:paraId="6EA475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Людиново Западной области</w:t>
      </w:r>
    </w:p>
    <w:p w14:paraId="362D6D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локомобили, котлы центрального отопления, радиаторы</w:t>
      </w:r>
    </w:p>
    <w:p w14:paraId="07D8D3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Юго-Камский металлургический и машиностроительный завод им. Лепсе</w:t>
      </w:r>
    </w:p>
    <w:p w14:paraId="2443BE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1746 год</w:t>
      </w:r>
    </w:p>
    <w:p w14:paraId="55F283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Юго-Камский Свердловской области</w:t>
      </w:r>
    </w:p>
    <w:p w14:paraId="53BA72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корчевалки, прокат</w:t>
      </w:r>
    </w:p>
    <w:p w14:paraId="32CE67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Рыбинский механический завод</w:t>
      </w:r>
    </w:p>
    <w:p w14:paraId="3366C2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1870 год</w:t>
      </w:r>
    </w:p>
    <w:p w14:paraId="08517F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Рыбинск Ивановской области, Вокзал</w:t>
      </w:r>
    </w:p>
    <w:p w14:paraId="398303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Камнедробилки, грохота, катки моторные, кусторезы и т.д.</w:t>
      </w:r>
    </w:p>
    <w:p w14:paraId="7228B0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Николаевский машиностроительный завод (бывш. “Плуг и Молот”</w:t>
      </w:r>
    </w:p>
    <w:p w14:paraId="1E0797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1881 год</w:t>
      </w:r>
    </w:p>
    <w:p w14:paraId="244A3A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Николаев Одесской области, Первомайская, 59</w:t>
      </w:r>
    </w:p>
    <w:p w14:paraId="4EB8AF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грейдера, канавокопатели плужные, снегоочистители роторные и т.д.</w:t>
      </w:r>
    </w:p>
    <w:p w14:paraId="1E29CA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Механический завод им. Сталина</w:t>
      </w:r>
    </w:p>
    <w:p w14:paraId="4459E7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1877 год</w:t>
      </w:r>
    </w:p>
    <w:p w14:paraId="480082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Кременчуг Харьковской области, Грачевка, 29</w:t>
      </w:r>
    </w:p>
    <w:p w14:paraId="5691F6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катки прицепные, лопаты прицепные, канавокопатели и т.д.</w:t>
      </w:r>
    </w:p>
    <w:p w14:paraId="38B78048"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Трест “Союзстромстроймашина”</w:t>
      </w:r>
    </w:p>
    <w:p w14:paraId="72C10C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Воткинский машиностроительный завод “Вотмашзавод”</w:t>
      </w:r>
    </w:p>
    <w:p w14:paraId="730548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1759 год</w:t>
      </w:r>
    </w:p>
    <w:p w14:paraId="2CA9C7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Воткинск Кировского края</w:t>
      </w:r>
    </w:p>
    <w:p w14:paraId="085B57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драги, экскаваторы, паровые котлы и т.д.</w:t>
      </w:r>
    </w:p>
    <w:p w14:paraId="333E93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“Рабочий Металлист”</w:t>
      </w:r>
    </w:p>
    <w:p w14:paraId="02A9F2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1915 год</w:t>
      </w:r>
    </w:p>
    <w:p w14:paraId="4CCE73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Кострома Ивановской области</w:t>
      </w:r>
    </w:p>
    <w:p w14:paraId="272125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лебедки и т.д., литье стальное</w:t>
      </w:r>
    </w:p>
    <w:p w14:paraId="3DB4E7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Пахарь”</w:t>
      </w:r>
    </w:p>
    <w:p w14:paraId="60239B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1892 год</w:t>
      </w:r>
    </w:p>
    <w:p w14:paraId="511D25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Киев, Святошино</w:t>
      </w:r>
    </w:p>
    <w:p w14:paraId="663A15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канавокопатели, лебедки, транспортеры, землеподъемники, гравиемойки и т.д.</w:t>
      </w:r>
    </w:p>
    <w:p w14:paraId="5D62C0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Калинина</w:t>
      </w:r>
    </w:p>
    <w:p w14:paraId="3091DB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1889 год</w:t>
      </w:r>
    </w:p>
    <w:p w14:paraId="668EB1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Воронеж, ул. Солнце Свободы, 65</w:t>
      </w:r>
    </w:p>
    <w:p w14:paraId="0B3DA6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прессы и т.д.</w:t>
      </w:r>
    </w:p>
    <w:p w14:paraId="573295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Кунгурский экскаваторный завод</w:t>
      </w:r>
    </w:p>
    <w:p w14:paraId="4AAE62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Кунгур Свердловской области</w:t>
      </w:r>
    </w:p>
    <w:p w14:paraId="1F129F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экскаваторы, литье чугунное</w:t>
      </w:r>
    </w:p>
    <w:p w14:paraId="28784A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Дмитровский механический и чугунолитейный завод</w:t>
      </w:r>
    </w:p>
    <w:p w14:paraId="29C7BA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1918 год</w:t>
      </w:r>
    </w:p>
    <w:p w14:paraId="6E4105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Дмитров Московской области</w:t>
      </w:r>
    </w:p>
    <w:p w14:paraId="4F73B7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канавокопатели, шлакодробилки, цемент-пушки, лебедки и т.д.</w:t>
      </w:r>
    </w:p>
    <w:p w14:paraId="254AF3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десятилетия Октября</w:t>
      </w:r>
    </w:p>
    <w:p w14:paraId="477938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1897 год</w:t>
      </w:r>
    </w:p>
    <w:p w14:paraId="1084E5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Одесса, Лесная, 2</w:t>
      </w:r>
    </w:p>
    <w:p w14:paraId="555499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бетономешалки, растворомешалки, сепараторы и т.д.</w:t>
      </w:r>
    </w:p>
    <w:p w14:paraId="299CA1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Ростовский механический завод</w:t>
      </w:r>
    </w:p>
    <w:p w14:paraId="78E660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3922E6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Ростов-на-Дону, Крепостной вал, 173</w:t>
      </w:r>
    </w:p>
    <w:p w14:paraId="0AE555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бетоноподъемники, тачки одноколесные, вагонетки и т.д.</w:t>
      </w:r>
    </w:p>
    <w:p w14:paraId="1B153F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Лесобуммашина</w:t>
      </w:r>
    </w:p>
    <w:p w14:paraId="192337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им. Второй пятилетки</w:t>
      </w:r>
    </w:p>
    <w:p w14:paraId="770B1B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1853 год</w:t>
      </w:r>
    </w:p>
    <w:p w14:paraId="001B2B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Лиговская, 60/62</w:t>
      </w:r>
    </w:p>
    <w:p w14:paraId="2D6D42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оборудование бумажное, бумагоделательные машины, отбельные башни, тряпкорубки и т.д.</w:t>
      </w:r>
    </w:p>
    <w:p w14:paraId="539184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Чугунно-литейный и механический завод “Вятский металлист”</w:t>
      </w:r>
    </w:p>
    <w:p w14:paraId="109DD8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1870 год</w:t>
      </w:r>
    </w:p>
    <w:p w14:paraId="12959B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Киров, ул. Коммуны, 59</w:t>
      </w:r>
    </w:p>
    <w:p w14:paraId="108721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деревообделочное оборудование</w:t>
      </w:r>
    </w:p>
    <w:p w14:paraId="2B2C5C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Механический завод “Северный Коммунар”</w:t>
      </w:r>
    </w:p>
    <w:p w14:paraId="5FDC12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1917 год</w:t>
      </w:r>
    </w:p>
    <w:p w14:paraId="18BC30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Вологда Северного края, ул. М. Кожевники</w:t>
      </w:r>
    </w:p>
    <w:p w14:paraId="06AEA1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оборудование для механизации выгрузки леса, для лесосплава и т.д.</w:t>
      </w:r>
    </w:p>
    <w:p w14:paraId="746695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Тюменский станкостроительный завод “Механик”</w:t>
      </w:r>
    </w:p>
    <w:p w14:paraId="1E7F0E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1892 год</w:t>
      </w:r>
    </w:p>
    <w:p w14:paraId="0B509C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Тюмень Омской области, 1-я механическая, 1</w:t>
      </w:r>
    </w:p>
    <w:p w14:paraId="2E9A9D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оборудование для лесной промышленности, литье чугунное и медное</w:t>
      </w:r>
    </w:p>
    <w:p w14:paraId="7C92C4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“Сатурн”</w:t>
      </w:r>
    </w:p>
    <w:p w14:paraId="2586A8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1916 год</w:t>
      </w:r>
    </w:p>
    <w:p w14:paraId="39ED7A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Днепропетровск, Лесопильная, 7</w:t>
      </w:r>
    </w:p>
    <w:p w14:paraId="668B9D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станки деревообделочные, литье чугунное</w:t>
      </w:r>
    </w:p>
    <w:p w14:paraId="1527F6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“Красный металлист”</w:t>
      </w:r>
    </w:p>
    <w:p w14:paraId="393102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1902 год</w:t>
      </w:r>
    </w:p>
    <w:p w14:paraId="2839EC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Ставрополь, Северо-Кавказского края, Ярмарочная пл.</w:t>
      </w:r>
    </w:p>
    <w:p w14:paraId="51420B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станки деревообделочные и металлообрабатывающие</w:t>
      </w:r>
    </w:p>
    <w:p w14:paraId="6DCC50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Чичерина</w:t>
      </w:r>
    </w:p>
    <w:p w14:paraId="5228F2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1870 год</w:t>
      </w:r>
    </w:p>
    <w:p w14:paraId="07EAD2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Почтовая, 36</w:t>
      </w:r>
    </w:p>
    <w:p w14:paraId="569336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оборудование лесопильное, станки по дереву</w:t>
      </w:r>
    </w:p>
    <w:p w14:paraId="689B0A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Завод “Пролетарская Свобода”</w:t>
      </w:r>
    </w:p>
    <w:p w14:paraId="1EEDA3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1915 год</w:t>
      </w:r>
    </w:p>
    <w:p w14:paraId="1DB442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Ярославль Ивановской области, Б. Пролетарская, 103</w:t>
      </w:r>
    </w:p>
    <w:p w14:paraId="27608F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оборудование для фанерного производства, станки деревообрабатывающие, литье чугунное, работы котельные</w:t>
      </w:r>
    </w:p>
    <w:p w14:paraId="3E6211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Рошаля</w:t>
      </w:r>
    </w:p>
    <w:p w14:paraId="53335B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1889 год</w:t>
      </w:r>
    </w:p>
    <w:p w14:paraId="743C06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Красногвардейск Ленинградской области, пос. Рошаля, Средняя ул., 40</w:t>
      </w:r>
    </w:p>
    <w:p w14:paraId="3DC9FD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оборудование для бумажной промышленности и т.д.</w:t>
      </w:r>
    </w:p>
    <w:p w14:paraId="0915CA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“Гулок Октября”</w:t>
      </w:r>
    </w:p>
    <w:p w14:paraId="23F597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1923 год</w:t>
      </w:r>
    </w:p>
    <w:p w14:paraId="1FB207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Канавино Горьковского края, Интернациональная, 75</w:t>
      </w:r>
    </w:p>
    <w:p w14:paraId="0BD971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оборудование для бумажной промышленности</w:t>
      </w:r>
    </w:p>
    <w:p w14:paraId="2FE0AF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Калинина</w:t>
      </w:r>
    </w:p>
    <w:p w14:paraId="59B0DA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1870 год</w:t>
      </w:r>
    </w:p>
    <w:p w14:paraId="70A866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Кинешма Ивановской области, Железнодорожная, 38</w:t>
      </w:r>
    </w:p>
    <w:p w14:paraId="077CAB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оборудование для бумажной промышленности</w:t>
      </w:r>
    </w:p>
    <w:p w14:paraId="54D6BA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Выксунский машиностроительный завод</w:t>
      </w:r>
    </w:p>
    <w:p w14:paraId="4CCEC4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3366CC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Выкса Горьковского края</w:t>
      </w:r>
    </w:p>
    <w:p w14:paraId="09B417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машины дробильно-размольные</w:t>
      </w:r>
    </w:p>
    <w:p w14:paraId="5CF51B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чугунолитейный и механический завод им. Котлякова</w:t>
      </w:r>
    </w:p>
    <w:p w14:paraId="423687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1896 год</w:t>
      </w:r>
    </w:p>
    <w:p w14:paraId="41005D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НКТП № 1427 от 28 октября 1934 года передан из треста Ленлитмех</w:t>
      </w:r>
    </w:p>
    <w:p w14:paraId="46046D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В.О., 10-я линия, 43б</w:t>
      </w:r>
    </w:p>
    <w:p w14:paraId="32F550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оборудование обогатительное</w:t>
      </w:r>
    </w:p>
    <w:p w14:paraId="081D2D98"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Строящиеся предприятия</w:t>
      </w:r>
    </w:p>
    <w:p w14:paraId="626AC8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Муромский завод кузнечно-прессового оборудования</w:t>
      </w:r>
    </w:p>
    <w:p w14:paraId="3598F8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Муром Горьковского края, ул. Каманина, 14</w:t>
      </w:r>
    </w:p>
    <w:p w14:paraId="488B2208"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Гл. управление электро-слаботочной промышленности “Главэспром”</w:t>
      </w:r>
    </w:p>
    <w:p w14:paraId="1CA56F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Электровакуумный завод “Светлана”</w:t>
      </w:r>
    </w:p>
    <w:p w14:paraId="11B98F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1914 год</w:t>
      </w:r>
    </w:p>
    <w:p w14:paraId="16C974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пр. Энгельса, 25</w:t>
      </w:r>
    </w:p>
    <w:p w14:paraId="4993BD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радиолампы, выпрямители ртутные, трубки рентгеновские, выпрямители купроксные</w:t>
      </w:r>
    </w:p>
    <w:p w14:paraId="43D826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Электромеханический завод им. Орджоникидзе</w:t>
      </w:r>
    </w:p>
    <w:p w14:paraId="564B71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1917 год</w:t>
      </w:r>
    </w:p>
    <w:p w14:paraId="275593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Б. Татарская, 35</w:t>
      </w:r>
    </w:p>
    <w:p w14:paraId="18FFED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радиоаппаратура приемная и передающая, материалы установочные</w:t>
      </w:r>
    </w:p>
    <w:p w14:paraId="2D575C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Телефонный завод “Красная Заря”</w:t>
      </w:r>
    </w:p>
    <w:p w14:paraId="0B83F4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1897 год</w:t>
      </w:r>
    </w:p>
    <w:p w14:paraId="60481B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пр. К. Маркса, 70</w:t>
      </w:r>
    </w:p>
    <w:p w14:paraId="496376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аппараты телефонные, коммутаторы, аппараты многократного телефонирования, трансляции телефонные, станции автоматические большие и малые, радиотелефоны</w:t>
      </w:r>
    </w:p>
    <w:p w14:paraId="07CDFF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Радиоаппаратный завод им. Казицкого</w:t>
      </w:r>
    </w:p>
    <w:p w14:paraId="04CB0F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1880 год</w:t>
      </w:r>
    </w:p>
    <w:p w14:paraId="7D13AF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В.О., 5-я линия, 70</w:t>
      </w:r>
    </w:p>
    <w:p w14:paraId="77338D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радиоизделия, приборы электрической сигнализации, централизации и блокировки</w:t>
      </w:r>
    </w:p>
    <w:p w14:paraId="0FBE32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электроизмерительных приборов “Электроприбор”</w:t>
      </w:r>
    </w:p>
    <w:p w14:paraId="0EAFD3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1927 год</w:t>
      </w:r>
    </w:p>
    <w:p w14:paraId="0A6471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Б. Вульфова, 6/8</w:t>
      </w:r>
    </w:p>
    <w:p w14:paraId="4A712D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приборы измерительные, электромеханика точная, счетчики, электропатефоны</w:t>
      </w:r>
    </w:p>
    <w:p w14:paraId="72DD69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Государственный радиотелефонный завод им. Ленина</w:t>
      </w:r>
    </w:p>
    <w:p w14:paraId="331B14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1916 год</w:t>
      </w:r>
    </w:p>
    <w:p w14:paraId="30F2A1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Горький, пос. Мыза, Полевая, 46</w:t>
      </w:r>
    </w:p>
    <w:p w14:paraId="672D7C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радиоаппаратура, аппараты телефонные</w:t>
      </w:r>
    </w:p>
    <w:p w14:paraId="57172D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Электромеханический завод им. Кулакова</w:t>
      </w:r>
    </w:p>
    <w:p w14:paraId="2F3BAB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1896 год</w:t>
      </w:r>
    </w:p>
    <w:p w14:paraId="1F1E05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ул. Эдисона, 10/14</w:t>
      </w:r>
    </w:p>
    <w:p w14:paraId="5DBF98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аппараты шахтные, телефония диспетчерская, телеграфия; аппараты Шорина, аппараты Сименса и т.д.</w:t>
      </w:r>
    </w:p>
    <w:p w14:paraId="1A4A1B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Радиозавод им. Коминтерна</w:t>
      </w:r>
    </w:p>
    <w:p w14:paraId="28071B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1913 год</w:t>
      </w:r>
    </w:p>
    <w:p w14:paraId="33A9F6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Гребной порт, гавань</w:t>
      </w:r>
    </w:p>
    <w:p w14:paraId="1A56B1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радиостанции</w:t>
      </w:r>
    </w:p>
    <w:p w14:paraId="0AD63E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Рентгеновский завод</w:t>
      </w:r>
    </w:p>
    <w:p w14:paraId="58264D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508234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ул. Баумана, 11</w:t>
      </w:r>
    </w:p>
    <w:p w14:paraId="2E229D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аппаратура рентгеновская, электрофильтры, аппараты для испытания трансформаторного масла</w:t>
      </w:r>
    </w:p>
    <w:p w14:paraId="010233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Рентгеновский завод “Буревестник”</w:t>
      </w:r>
    </w:p>
    <w:p w14:paraId="4C6BD4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1927 год</w:t>
      </w:r>
    </w:p>
    <w:p w14:paraId="5FBC82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Мал. Охтенский, 78</w:t>
      </w:r>
    </w:p>
    <w:p w14:paraId="5DE6C5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аппаратура рентгеновская</w:t>
      </w:r>
    </w:p>
    <w:p w14:paraId="7939AC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щелочных аккумуляторов</w:t>
      </w:r>
    </w:p>
    <w:p w14:paraId="349A94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29312D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Саратов, пос. Юриш</w:t>
      </w:r>
    </w:p>
    <w:p w14:paraId="5EBD72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аккумуляторы щелочные</w:t>
      </w:r>
    </w:p>
    <w:p w14:paraId="24E1C9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“Радиолампа”</w:t>
      </w:r>
    </w:p>
    <w:p w14:paraId="04ED81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269E4E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Щелково Московской области</w:t>
      </w:r>
    </w:p>
    <w:p w14:paraId="224478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радиолампы усилительные и генераторные, малые кенотороны</w:t>
      </w:r>
    </w:p>
    <w:p w14:paraId="37CE0A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точной электромеханики “ЗАТЭМ”</w:t>
      </w:r>
    </w:p>
    <w:p w14:paraId="766B38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0A58C4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шоссе Энтузиастов, радиогородок</w:t>
      </w:r>
    </w:p>
    <w:p w14:paraId="0A824A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электроприборы электромеханические точной механики</w:t>
      </w:r>
    </w:p>
    <w:p w14:paraId="436C52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радиоаппаратуры “Электросигнал”</w:t>
      </w:r>
    </w:p>
    <w:p w14:paraId="2DAB2A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1A8B6B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Воронеж, Задонское шоссе</w:t>
      </w:r>
    </w:p>
    <w:p w14:paraId="71B2E9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Продукция: радиоприемники ламповые и детекторные</w:t>
      </w:r>
    </w:p>
    <w:p w14:paraId="77BC05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завод сложных радиоприборов “Радиоприбор”</w:t>
      </w:r>
    </w:p>
    <w:p w14:paraId="0337E6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1295E3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шоссе Энтузиастов, радиогородок</w:t>
      </w:r>
    </w:p>
    <w:p w14:paraId="1B3B27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Лаборатории</w:t>
      </w:r>
    </w:p>
    <w:p w14:paraId="475410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Центральная лаборатория проводниковой связи (ЦЛПС)</w:t>
      </w:r>
    </w:p>
    <w:p w14:paraId="7F0249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1924 год</w:t>
      </w:r>
    </w:p>
    <w:p w14:paraId="15DD5D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ул. Комсомола, 3</w:t>
      </w:r>
    </w:p>
    <w:p w14:paraId="686A3A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приборы телемеханики и точной механики</w:t>
      </w:r>
    </w:p>
    <w:p w14:paraId="4E653A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Центральная радиолаборатория</w:t>
      </w:r>
    </w:p>
    <w:p w14:paraId="1C7F24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1928 год</w:t>
      </w:r>
    </w:p>
    <w:p w14:paraId="54A8A9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Лопухинская, 14а</w:t>
      </w:r>
    </w:p>
    <w:p w14:paraId="6572F4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радиоаппаратура приемная и передающая</w:t>
      </w:r>
    </w:p>
    <w:p w14:paraId="06081486"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Гл. управление арматурной промышленности “Главармалит”</w:t>
      </w:r>
    </w:p>
    <w:p w14:paraId="7F080E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“Красная Пресня”</w:t>
      </w:r>
    </w:p>
    <w:p w14:paraId="7328E7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1884 год</w:t>
      </w:r>
    </w:p>
    <w:p w14:paraId="0351B0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НКТП № 1332/62 от 9 октября 1934 года передан из Росмаштреста</w:t>
      </w:r>
    </w:p>
    <w:p w14:paraId="6FEF5F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Расторгуевский пер., 14</w:t>
      </w:r>
    </w:p>
    <w:p w14:paraId="4D29CD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вентиляторы, литейные машины и т.д.</w:t>
      </w:r>
    </w:p>
    <w:p w14:paraId="57C7F9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отопительных приборов им. Войкова</w:t>
      </w:r>
    </w:p>
    <w:p w14:paraId="2DC7E5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1898 год</w:t>
      </w:r>
    </w:p>
    <w:p w14:paraId="68C6B9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Ленинградское шоссе, 12</w:t>
      </w:r>
    </w:p>
    <w:p w14:paraId="2AD170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радиаторы, котлы чугунные для центрального отопления и т.д.</w:t>
      </w:r>
    </w:p>
    <w:p w14:paraId="3FC50A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Мышегский труболитейный завод</w:t>
      </w:r>
    </w:p>
    <w:p w14:paraId="05243D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1725 год</w:t>
      </w:r>
    </w:p>
    <w:p w14:paraId="5A5A6F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Мышега Московской области, ст. Алексин</w:t>
      </w:r>
    </w:p>
    <w:p w14:paraId="5A6C49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трубы и фасоны водопроводные, гидроколонки и т.д.</w:t>
      </w:r>
    </w:p>
    <w:p w14:paraId="0751F7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“Арматура”</w:t>
      </w:r>
    </w:p>
    <w:p w14:paraId="6E96FB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1900 год</w:t>
      </w:r>
    </w:p>
    <w:p w14:paraId="313AD6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Бутырки, панская, 14</w:t>
      </w:r>
    </w:p>
    <w:p w14:paraId="39397D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брандсбойты, клапаны водяные пожарные и т.д.</w:t>
      </w:r>
    </w:p>
    <w:p w14:paraId="6DA208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“Знамя труда” № 1</w:t>
      </w:r>
    </w:p>
    <w:p w14:paraId="7C36AB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1887 год</w:t>
      </w:r>
    </w:p>
    <w:p w14:paraId="585A7F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Дивенская, 1</w:t>
      </w:r>
    </w:p>
    <w:p w14:paraId="22E515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арматура бронзовая и чугунная, манометры, насосы</w:t>
      </w:r>
    </w:p>
    <w:p w14:paraId="4967E4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Ленина</w:t>
      </w:r>
    </w:p>
    <w:p w14:paraId="31AB9E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1907 год</w:t>
      </w:r>
    </w:p>
    <w:p w14:paraId="1FEA74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Георгиевск Северокавказского края</w:t>
      </w:r>
    </w:p>
    <w:p w14:paraId="0089DA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арматура чугунная</w:t>
      </w:r>
    </w:p>
    <w:p w14:paraId="4380CA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Лепсе</w:t>
      </w:r>
    </w:p>
    <w:p w14:paraId="3ED5F2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1882 год</w:t>
      </w:r>
    </w:p>
    <w:p w14:paraId="30D19A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М. Охта, Матросская слобода, 21</w:t>
      </w:r>
    </w:p>
    <w:p w14:paraId="742DEC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ковкий, фитинги, литье чугунное фасонное</w:t>
      </w:r>
    </w:p>
    <w:p w14:paraId="20CAF5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Маленкова</w:t>
      </w:r>
    </w:p>
    <w:p w14:paraId="253C30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1878 год</w:t>
      </w:r>
    </w:p>
    <w:p w14:paraId="1121EE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Красносельская, 2/8</w:t>
      </w:r>
    </w:p>
    <w:p w14:paraId="5DD79F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клапаны чугунные и стальные предохранительные, насосы гидравлические и т.д.</w:t>
      </w:r>
    </w:p>
    <w:p w14:paraId="3402CA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“Манометр”</w:t>
      </w:r>
    </w:p>
    <w:p w14:paraId="6A2EF1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1886 год</w:t>
      </w:r>
    </w:p>
    <w:p w14:paraId="25EB50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Нижняя Сыромятническая, 2</w:t>
      </w:r>
    </w:p>
    <w:p w14:paraId="4F7DA1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манометры и т.д.</w:t>
      </w:r>
    </w:p>
    <w:p w14:paraId="21B76C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Молотова</w:t>
      </w:r>
    </w:p>
    <w:p w14:paraId="14B94D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Школьный пер., 5</w:t>
      </w:r>
    </w:p>
    <w:p w14:paraId="23F016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арматура чугунная, бронзовая и стальная, задвижки</w:t>
      </w:r>
    </w:p>
    <w:p w14:paraId="4C919C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Харцызский завод ковкого чугуна</w:t>
      </w:r>
    </w:p>
    <w:p w14:paraId="093502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1916 год</w:t>
      </w:r>
    </w:p>
    <w:p w14:paraId="51A143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Харцызск Донецкой области</w:t>
      </w:r>
    </w:p>
    <w:p w14:paraId="32B8A5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ковкий, фитинги</w:t>
      </w:r>
    </w:p>
    <w:p w14:paraId="70B8ED55"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Аккумуляторный трест “ВАКТ”</w:t>
      </w:r>
    </w:p>
    <w:p w14:paraId="0175D0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Аккумуляторный завод “Ленинская Искра”</w:t>
      </w:r>
    </w:p>
    <w:p w14:paraId="1FB9DF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1897 год</w:t>
      </w:r>
    </w:p>
    <w:p w14:paraId="38D062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ул. Грота, 6</w:t>
      </w:r>
    </w:p>
    <w:p w14:paraId="2D7150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Аккумуляторный завод им. лейтенанта Шмидта</w:t>
      </w:r>
    </w:p>
    <w:p w14:paraId="6F3840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1912 год</w:t>
      </w:r>
    </w:p>
    <w:p w14:paraId="5C1103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ул. Калинина, 50а</w:t>
      </w:r>
    </w:p>
    <w:p w14:paraId="13D005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аккумуляторы переносные, радиоаккумуляторы, автоаккумуляторы</w:t>
      </w:r>
    </w:p>
    <w:p w14:paraId="2E792C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свинцовых аккумуляторов</w:t>
      </w:r>
    </w:p>
    <w:p w14:paraId="79B7B7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180A17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Саратов, ул. Рабочая, уг. Садовой</w:t>
      </w:r>
    </w:p>
    <w:p w14:paraId="562FDF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аккумуляторы переносные, радиоаккумуляторы, автоаккумуляторы</w:t>
      </w:r>
    </w:p>
    <w:p w14:paraId="058C9E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гальванических элементов “Мосэлемент”</w:t>
      </w:r>
    </w:p>
    <w:p w14:paraId="7E978E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1929 год</w:t>
      </w:r>
    </w:p>
    <w:p w14:paraId="17416B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Крестовская застава, Новоалексеевская, 46а</w:t>
      </w:r>
    </w:p>
    <w:p w14:paraId="43BAB3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элементы гальванические</w:t>
      </w:r>
    </w:p>
    <w:p w14:paraId="6C809C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“Востсибэлемент”</w:t>
      </w:r>
    </w:p>
    <w:p w14:paraId="1CFB1C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Иркутск</w:t>
      </w:r>
    </w:p>
    <w:p w14:paraId="687427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элементы гальванические</w:t>
      </w:r>
    </w:p>
    <w:p w14:paraId="4B1405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Подольский аккумуляторный завод</w:t>
      </w:r>
    </w:p>
    <w:p w14:paraId="5A33DF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131287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Подольск Московской области</w:t>
      </w:r>
    </w:p>
    <w:p w14:paraId="48F623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аккумуляторы автомобильные</w:t>
      </w:r>
    </w:p>
    <w:p w14:paraId="25B18F5B"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Институты</w:t>
      </w:r>
    </w:p>
    <w:p w14:paraId="27D56D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Государственный институт по проектированию заводов электротехнической и котлотурбинной промышленности (Гипроэнергопром)</w:t>
      </w:r>
    </w:p>
    <w:p w14:paraId="41D6A0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61D2F9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Лефортово, 1-й Проломный пр.</w:t>
      </w:r>
    </w:p>
    <w:p w14:paraId="75CC14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Всесоюзный электротехнический институт (ВЭИ)</w:t>
      </w:r>
    </w:p>
    <w:p w14:paraId="313F47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1921 год</w:t>
      </w:r>
    </w:p>
    <w:p w14:paraId="63AD18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Лефортово, 1-й Проломный пр.</w:t>
      </w:r>
    </w:p>
    <w:p w14:paraId="027EB0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НИИ теплогидроэнергетического оборудования</w:t>
      </w:r>
    </w:p>
    <w:p w14:paraId="514B21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4A55CA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Фонтанка, 76</w:t>
      </w:r>
    </w:p>
    <w:p w14:paraId="584FE7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Саратовский механический завод – Саратов</w:t>
      </w:r>
    </w:p>
    <w:p w14:paraId="0C631D2F"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Гл. управление локомотивостроения “Главлокомотив”</w:t>
      </w:r>
    </w:p>
    <w:p w14:paraId="516344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Луганский паровозостроительный завод им. Октябрьской революции</w:t>
      </w:r>
    </w:p>
    <w:p w14:paraId="6835A3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1896 год</w:t>
      </w:r>
    </w:p>
    <w:p w14:paraId="6CE062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Луганск Донецкой области, Красноармейская ул.</w:t>
      </w:r>
    </w:p>
    <w:p w14:paraId="77380F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паровозы, прокат железа и бондажей, литье стальное и чугунное</w:t>
      </w:r>
    </w:p>
    <w:p w14:paraId="3CC3E9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Коломенский машиностроительный завод</w:t>
      </w:r>
    </w:p>
    <w:p w14:paraId="42E355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1863 год</w:t>
      </w:r>
    </w:p>
    <w:p w14:paraId="266297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Голутвино Московской области</w:t>
      </w:r>
    </w:p>
    <w:p w14:paraId="2F5B89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паровозы, тепловозы, электровозы, дизели, теплоходы</w:t>
      </w:r>
    </w:p>
    <w:p w14:paraId="65BDB32C"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Предприятия строящиеся</w:t>
      </w:r>
    </w:p>
    <w:p w14:paraId="398F8C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Новочеркасский паровозостроительный завод</w:t>
      </w:r>
    </w:p>
    <w:p w14:paraId="530C26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Орский паровозостроительный завод</w:t>
      </w:r>
    </w:p>
    <w:p w14:paraId="142B90E6"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Гл. управление вагонной промышленности “Главвагонпром”</w:t>
      </w:r>
    </w:p>
    <w:p w14:paraId="666284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Бежицкий паравозовагоностроительный завод “Красный Профинтерн”</w:t>
      </w:r>
    </w:p>
    <w:p w14:paraId="6C8F42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1873 год, реконструирован в 1929 году</w:t>
      </w:r>
    </w:p>
    <w:p w14:paraId="4EFC3D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Бежица Западной области</w:t>
      </w:r>
    </w:p>
    <w:p w14:paraId="3DDCED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паровозы, вагоны и т.д.</w:t>
      </w:r>
    </w:p>
    <w:p w14:paraId="5F892D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Вагоностроительный завод им. газеты “Правда”</w:t>
      </w:r>
    </w:p>
    <w:p w14:paraId="2CA5F8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1916 год</w:t>
      </w:r>
    </w:p>
    <w:p w14:paraId="762DE0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Каменское Днепропетровской области</w:t>
      </w:r>
    </w:p>
    <w:p w14:paraId="590139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хопперы 4-осные</w:t>
      </w:r>
    </w:p>
    <w:p w14:paraId="1F1A7C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Калининский вагоностроительный завод</w:t>
      </w:r>
    </w:p>
    <w:p w14:paraId="5615A9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1898 год</w:t>
      </w:r>
    </w:p>
    <w:p w14:paraId="181D4E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Калинин Московской области</w:t>
      </w:r>
    </w:p>
    <w:p w14:paraId="376560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вагоны</w:t>
      </w:r>
    </w:p>
    <w:p w14:paraId="472B27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Крюковский вагоностроительный завод</w:t>
      </w:r>
    </w:p>
    <w:p w14:paraId="5D9E3E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1899 год</w:t>
      </w:r>
    </w:p>
    <w:p w14:paraId="1AD5D9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Крюков на Днепре Харьковской области</w:t>
      </w:r>
    </w:p>
    <w:p w14:paraId="19110D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платформы</w:t>
      </w:r>
    </w:p>
    <w:p w14:paraId="3E4A34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Кулебакский металлургический завод им. С.М. Кирова</w:t>
      </w:r>
    </w:p>
    <w:p w14:paraId="3FC46F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1866 год</w:t>
      </w:r>
    </w:p>
    <w:p w14:paraId="6DF05D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Кулебаки Горьковского края</w:t>
      </w:r>
    </w:p>
    <w:p w14:paraId="394D81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бандажи паровозные и вагонные швелера, железо сортовое и листовое</w:t>
      </w:r>
    </w:p>
    <w:p w14:paraId="6D5D08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Вагоностроительный завод им. Егорова</w:t>
      </w:r>
    </w:p>
    <w:p w14:paraId="252A26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1893 год</w:t>
      </w:r>
    </w:p>
    <w:p w14:paraId="5D1324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Международный пр., 99</w:t>
      </w:r>
    </w:p>
    <w:p w14:paraId="42594D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вагоны</w:t>
      </w:r>
    </w:p>
    <w:p w14:paraId="76EE9E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тормозной завод</w:t>
      </w:r>
    </w:p>
    <w:p w14:paraId="3B3FC0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1901 год</w:t>
      </w:r>
    </w:p>
    <w:p w14:paraId="17D10A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Лесная, 28</w:t>
      </w:r>
    </w:p>
    <w:p w14:paraId="498D42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автотормозы</w:t>
      </w:r>
    </w:p>
    <w:p w14:paraId="4B3237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Мытищинский вагоностроительный завод</w:t>
      </w:r>
    </w:p>
    <w:p w14:paraId="6079F6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1897 год</w:t>
      </w:r>
    </w:p>
    <w:p w14:paraId="41F492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Мытищи Московской области</w:t>
      </w:r>
    </w:p>
    <w:p w14:paraId="5E9DA9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вагоны трамвайные, электровагоны, метровагоны</w:t>
      </w:r>
    </w:p>
    <w:p w14:paraId="61834E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Вагоностроительный завод им. Урицкого</w:t>
      </w:r>
    </w:p>
    <w:p w14:paraId="0576D3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1868 год</w:t>
      </w:r>
    </w:p>
    <w:p w14:paraId="3AA932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Брянск, пос. Урицкого, Западная область</w:t>
      </w:r>
    </w:p>
    <w:p w14:paraId="0809D5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платформы</w:t>
      </w:r>
    </w:p>
    <w:p w14:paraId="7C4A30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Усть-Катавский вагоностроительный завод</w:t>
      </w:r>
    </w:p>
    <w:p w14:paraId="453F7C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1758 год</w:t>
      </w:r>
    </w:p>
    <w:p w14:paraId="2FAA15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Усть-Катав Челябинской области</w:t>
      </w:r>
    </w:p>
    <w:p w14:paraId="2AF58C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платформы, вагонетки</w:t>
      </w:r>
    </w:p>
    <w:p w14:paraId="2923A3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Ярославский тормозной завод</w:t>
      </w:r>
    </w:p>
    <w:p w14:paraId="573491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1898 год</w:t>
      </w:r>
    </w:p>
    <w:p w14:paraId="16ADAE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Ярославль Ивановской области</w:t>
      </w:r>
    </w:p>
    <w:p w14:paraId="201BFE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автотормозы</w:t>
      </w:r>
    </w:p>
    <w:p w14:paraId="6D0ED1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Первомайский металлургический завод</w:t>
      </w:r>
    </w:p>
    <w:p w14:paraId="6C782B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1853 год</w:t>
      </w:r>
    </w:p>
    <w:p w14:paraId="59347B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Ташино Горьковского края</w:t>
      </w:r>
    </w:p>
    <w:p w14:paraId="4D8554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чугун литейный, литье чугунное</w:t>
      </w:r>
    </w:p>
    <w:p w14:paraId="0F1235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Бежицкий сталелитейный завод</w:t>
      </w:r>
    </w:p>
    <w:p w14:paraId="488DF1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087128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Бежица Западной области</w:t>
      </w:r>
    </w:p>
    <w:p w14:paraId="7821B9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автосцепки, тележки стальные, литье вагонное</w:t>
      </w:r>
    </w:p>
    <w:p w14:paraId="40E3A62E"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Предприятия строящиеся</w:t>
      </w:r>
    </w:p>
    <w:p w14:paraId="786AFF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Казанский вагоностроительный завод</w:t>
      </w:r>
    </w:p>
    <w:p w14:paraId="3BD365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Уральский вагоностроительный завод (Н. Тагил)</w:t>
      </w:r>
    </w:p>
    <w:p w14:paraId="37EFB3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Красноярский вагоностроительный завод</w:t>
      </w:r>
    </w:p>
    <w:p w14:paraId="01D83E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Кузнецкий вагоностроительный завод</w:t>
      </w:r>
    </w:p>
    <w:p w14:paraId="5FDF0B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Центральное вагонное КБ</w:t>
      </w:r>
    </w:p>
    <w:p w14:paraId="0ACEC0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ул. Мархлевского, 20</w:t>
      </w:r>
    </w:p>
    <w:p w14:paraId="38B87C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Научно-исследовательское бюро по вагоностроению</w:t>
      </w:r>
    </w:p>
    <w:p w14:paraId="188FD3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Никольская, 1/5</w:t>
      </w:r>
    </w:p>
    <w:p w14:paraId="60B621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штампов и приспособлений</w:t>
      </w:r>
    </w:p>
    <w:p w14:paraId="462D21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Лужнецкая наб., 2/4</w:t>
      </w:r>
    </w:p>
    <w:p w14:paraId="4C7C28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штампы, приспособления, модели</w:t>
      </w:r>
    </w:p>
    <w:p w14:paraId="522938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Центральный институт труда (ЦИТ)</w:t>
      </w:r>
    </w:p>
    <w:p w14:paraId="125ABD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Адрес: Москва, Петровка, 27</w:t>
      </w:r>
    </w:p>
    <w:p w14:paraId="3E20DE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 геологии и минералогии (ГЕОМИН)</w:t>
      </w:r>
    </w:p>
    <w:p w14:paraId="0E03C1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412E49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Пыжевский, 7</w:t>
      </w:r>
    </w:p>
    <w:p w14:paraId="27C8D1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Государственный институт высоких давлений (ГИВД)</w:t>
      </w:r>
    </w:p>
    <w:p w14:paraId="5E148B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Ватный остров, 2</w:t>
      </w:r>
    </w:p>
    <w:p w14:paraId="552BB4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Государственный оптический институт (ГОИ)</w:t>
      </w:r>
    </w:p>
    <w:p w14:paraId="08C427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683C17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В.О., Биржевая линия, 12-14</w:t>
      </w:r>
    </w:p>
    <w:p w14:paraId="644FD5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Днепропетровский физико-технический институт (ДФТИ)</w:t>
      </w:r>
    </w:p>
    <w:p w14:paraId="65B6F1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365784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Днепропетровск, Лагерная ул., 1</w:t>
      </w:r>
    </w:p>
    <w:p w14:paraId="567AC1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 промышленно-экономических исследований (ИПЭИ)</w:t>
      </w:r>
    </w:p>
    <w:p w14:paraId="3E4FFC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1D8F3D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Москворецкая ул., 24-26</w:t>
      </w:r>
    </w:p>
    <w:p w14:paraId="1B266A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Физико-химический институт им. Карпова</w:t>
      </w:r>
    </w:p>
    <w:p w14:paraId="2BDFDC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1918 год</w:t>
      </w:r>
    </w:p>
    <w:p w14:paraId="46196B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Воронцово поле, 10</w:t>
      </w:r>
    </w:p>
    <w:p w14:paraId="584624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институт телемеханики</w:t>
      </w:r>
    </w:p>
    <w:p w14:paraId="16042D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394352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Лесной, Яшумов пер., 10</w:t>
      </w:r>
    </w:p>
    <w:p w14:paraId="66CC75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НИИ наглядных пособий и техпропаганды</w:t>
      </w:r>
    </w:p>
    <w:p w14:paraId="4CB88F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пр. 25 Октября, 58</w:t>
      </w:r>
    </w:p>
    <w:p w14:paraId="5F716B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институт химической физики (ЛФТИ)</w:t>
      </w:r>
    </w:p>
    <w:p w14:paraId="1D318C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1929 год</w:t>
      </w:r>
    </w:p>
    <w:p w14:paraId="10E72A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Лесной, Сосновка, 2</w:t>
      </w:r>
    </w:p>
    <w:p w14:paraId="0F56F0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электрофизический институт (ЛЭФИ)</w:t>
      </w:r>
    </w:p>
    <w:p w14:paraId="15423F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2984B2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Лесной, Яшумов пер., 10</w:t>
      </w:r>
    </w:p>
    <w:p w14:paraId="62BE57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 механической обработки полезных ископаемых (МЕХАНОБР)</w:t>
      </w:r>
    </w:p>
    <w:p w14:paraId="3B3415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1920 год</w:t>
      </w:r>
    </w:p>
    <w:p w14:paraId="582C85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В.О., 21-я линия, 8а</w:t>
      </w:r>
    </w:p>
    <w:p w14:paraId="3F1190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реактивный институт</w:t>
      </w:r>
    </w:p>
    <w:p w14:paraId="1FD79C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п/я 1027</w:t>
      </w:r>
    </w:p>
    <w:p w14:paraId="2D9CA0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Украинский институт промышленной энергетики (УИПЭ)</w:t>
      </w:r>
    </w:p>
    <w:p w14:paraId="6CB848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1929 год</w:t>
      </w:r>
    </w:p>
    <w:p w14:paraId="74BA16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 Померки, Белогородское шоссе</w:t>
      </w:r>
    </w:p>
    <w:p w14:paraId="21EEA7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Уральский физико-технический институт (УРАЛФТИ)</w:t>
      </w:r>
    </w:p>
    <w:p w14:paraId="5B9911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1A2F27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Лесной, Сосновка, 2 (временно)</w:t>
      </w:r>
    </w:p>
    <w:p w14:paraId="1E1DE4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Украинский физико-технический институт (УФТИ)</w:t>
      </w:r>
    </w:p>
    <w:p w14:paraId="7BDBDE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1929 год</w:t>
      </w:r>
    </w:p>
    <w:p w14:paraId="3CFD54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 ул. Чайковского, 16</w:t>
      </w:r>
    </w:p>
    <w:p w14:paraId="5D96EA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Центральный институт металлов (ЦИМ)</w:t>
      </w:r>
    </w:p>
    <w:p w14:paraId="01A59D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1928 год</w:t>
      </w:r>
    </w:p>
    <w:p w14:paraId="49A661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Госпитальная, 3/8</w:t>
      </w:r>
    </w:p>
    <w:p w14:paraId="0EEB14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Центральный институт организации производства и управления промышленности (ЦИО)</w:t>
      </w:r>
    </w:p>
    <w:p w14:paraId="6B7E62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Китайский проезд, 7</w:t>
      </w:r>
    </w:p>
    <w:p w14:paraId="6A8DB1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Центральный институт технико-экономической информации и социалистического обмена опытом (ЦИТЭИН-СО)</w:t>
      </w:r>
    </w:p>
    <w:p w14:paraId="58DAEA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Земляной вал, 47</w:t>
      </w:r>
    </w:p>
    <w:p w14:paraId="61585C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Вольский экспериментальный завод</w:t>
      </w:r>
    </w:p>
    <w:p w14:paraId="15E48B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Вольск Саратовского края</w:t>
      </w:r>
    </w:p>
    <w:p w14:paraId="7BD169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опытное машиностроение и станкостроение</w:t>
      </w:r>
    </w:p>
    <w:p w14:paraId="2BC2F1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Усманьский экспериментальный завод</w:t>
      </w:r>
    </w:p>
    <w:p w14:paraId="70B276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Усмань Воронежской области, ул. Лейтенанта Шмидта, 3</w:t>
      </w:r>
    </w:p>
    <w:p w14:paraId="098BD1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опытное машиностроение и станкостроение</w:t>
      </w:r>
    </w:p>
    <w:p w14:paraId="540161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Центральный экспериментальный завод</w:t>
      </w:r>
    </w:p>
    <w:p w14:paraId="540304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Спасоналивковский пер., 10</w:t>
      </w:r>
    </w:p>
    <w:p w14:paraId="12BFAA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опытное машиностроение и станкостроение</w:t>
      </w:r>
    </w:p>
    <w:p w14:paraId="5DFD2F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ЦНИИ геодезии, аэросъемки и картографии (ЦНИГАК)</w:t>
      </w:r>
    </w:p>
    <w:p w14:paraId="55056F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Котельническая наб., 17</w:t>
      </w:r>
    </w:p>
    <w:p w14:paraId="4C8CFD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Центральный научно-исследовательский геологоразведочный институт (ЦНИГРИ)</w:t>
      </w:r>
    </w:p>
    <w:p w14:paraId="57D788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Средний пр., 72б</w:t>
      </w:r>
    </w:p>
    <w:p w14:paraId="028A08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ВНИИ каучука и гуттаперчи (ВНИИКИГ)</w:t>
      </w:r>
    </w:p>
    <w:p w14:paraId="0462B0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59220A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Черкизово, Пугачевская ул., 17</w:t>
      </w:r>
    </w:p>
    <w:p w14:paraId="09F93C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Государственный НИИ азота (ГИА)</w:t>
      </w:r>
    </w:p>
    <w:p w14:paraId="3983DF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13222F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Серебряническая наб., 27</w:t>
      </w:r>
    </w:p>
    <w:p w14:paraId="2191BB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Уральский научно-исследовательский химический институт (УНИХИМ)</w:t>
      </w:r>
    </w:p>
    <w:p w14:paraId="6ECB1F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0194FF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Свердловск, ул. 8 марта, 7</w:t>
      </w:r>
    </w:p>
    <w:p w14:paraId="4C0946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ГНИИ прикладной химии (ГИПХ)</w:t>
      </w:r>
    </w:p>
    <w:p w14:paraId="1AE27F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1919 год</w:t>
      </w:r>
    </w:p>
    <w:p w14:paraId="7E4FD4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Ватный остров, 2</w:t>
      </w:r>
    </w:p>
    <w:p w14:paraId="579106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НИИ удобрений и инсекфунгицидов (Ниуиф)</w:t>
      </w:r>
    </w:p>
    <w:p w14:paraId="71B396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1919 год</w:t>
      </w:r>
    </w:p>
    <w:p w14:paraId="119D93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Садово-Кудринская, 11</w:t>
      </w:r>
    </w:p>
    <w:p w14:paraId="652FBA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Государственный институт по проектированию предприятий азотной промышленности (Гипроазот)</w:t>
      </w:r>
    </w:p>
    <w:p w14:paraId="72FFE7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5E5733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Дьяковский, 4</w:t>
      </w:r>
    </w:p>
    <w:p w14:paraId="526A35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Государственный институт по проектированию специальной химической промышленности</w:t>
      </w:r>
    </w:p>
    <w:p w14:paraId="4F9A2C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68AEDC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ул. Володарского, 20</w:t>
      </w:r>
    </w:p>
    <w:p w14:paraId="175B72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Государственный институт по проектированию предприятий газовой промышленности и промышленности искусственного жидкого топлива (Гипрогаз)</w:t>
      </w:r>
    </w:p>
    <w:p w14:paraId="2A3756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1933 год</w:t>
      </w:r>
    </w:p>
    <w:p w14:paraId="27EB26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Блюхеровский, 6</w:t>
      </w:r>
    </w:p>
    <w:p w14:paraId="03292B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ВНИИ искусственного жидкого топлива (Вниги)</w:t>
      </w:r>
    </w:p>
    <w:p w14:paraId="5D82D4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7F2221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Таганская, 19</w:t>
      </w:r>
    </w:p>
    <w:p w14:paraId="5B7CBB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НИИ искусственного жидкого топлива и газа (филиал ВНИГИ)</w:t>
      </w:r>
    </w:p>
    <w:p w14:paraId="5B2FD4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54F2C6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Лубянская, 1</w:t>
      </w:r>
    </w:p>
    <w:p w14:paraId="00B071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Новосибирский научно-исследовательский углехимический институт (филиал ВНИГИ)</w:t>
      </w:r>
    </w:p>
    <w:p w14:paraId="0BF900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6A85DC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Новосибирск, пр. Сталина, 25</w:t>
      </w:r>
    </w:p>
    <w:p w14:paraId="2C57FF09"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Главречпром</w:t>
      </w:r>
    </w:p>
    <w:p w14:paraId="46DFB4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Гороховецкая судостроительная верфь</w:t>
      </w:r>
    </w:p>
    <w:p w14:paraId="0F155C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1902 год</w:t>
      </w:r>
    </w:p>
    <w:p w14:paraId="417DC8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Гороховец Ивановской области</w:t>
      </w:r>
    </w:p>
    <w:p w14:paraId="1174FE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баржи нефтеналивные и сухогрузные, пароходы буксирные</w:t>
      </w:r>
    </w:p>
    <w:p w14:paraId="505BF4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Сормовский машиностроительный и судостроительный завод “Красное Сормово”</w:t>
      </w:r>
    </w:p>
    <w:p w14:paraId="72B1DE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1849 год</w:t>
      </w:r>
    </w:p>
    <w:p w14:paraId="2CA32B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Сормово Горьковского края</w:t>
      </w:r>
    </w:p>
    <w:p w14:paraId="0AC1BD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шхуны морские нефтеналивные и сухогрузные, теплоходы, баржи и т.д.; паровозы, трамваи, дизели. Котлы, буровое оборудование, станы прокатные и т.д.; железо листовое, литье стальное</w:t>
      </w:r>
    </w:p>
    <w:p w14:paraId="4590F4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Киевский машиностроительный и судостроительный завод “Ленинская кузница”</w:t>
      </w:r>
    </w:p>
    <w:p w14:paraId="651219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1897 год</w:t>
      </w:r>
    </w:p>
    <w:p w14:paraId="027182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Киев, ул. Жадановского, 107</w:t>
      </w:r>
    </w:p>
    <w:p w14:paraId="57B9C6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пароходы, баржи, паровые машины, котлы судовые и т.д., литье стальное, металлические конструкции</w:t>
      </w:r>
    </w:p>
    <w:p w14:paraId="0CEF9A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Зеленодольский судостроительный и механический завод им. Максима Горького “Красный металлист”</w:t>
      </w:r>
    </w:p>
    <w:p w14:paraId="5F03E6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1895 год</w:t>
      </w:r>
    </w:p>
    <w:p w14:paraId="33AD5D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Зеленый Дол Татарской АССР</w:t>
      </w:r>
    </w:p>
    <w:p w14:paraId="1CDAF5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пароходы, паровые машины</w:t>
      </w:r>
    </w:p>
    <w:p w14:paraId="1716D3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Мордовщинский судомостовой завод</w:t>
      </w:r>
    </w:p>
    <w:p w14:paraId="61B193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1908 год</w:t>
      </w:r>
    </w:p>
    <w:p w14:paraId="747D7A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Навашино Горьковского края</w:t>
      </w:r>
    </w:p>
    <w:p w14:paraId="0CCA92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суда несамоходные (преимущественно наливные), постройка мостов</w:t>
      </w:r>
    </w:p>
    <w:p w14:paraId="5267E1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Онежский механический и металлургический завод (Онегзавод)</w:t>
      </w:r>
    </w:p>
    <w:p w14:paraId="763998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1703 год</w:t>
      </w:r>
    </w:p>
    <w:p w14:paraId="1AA462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Петрозаводск Карельской АССР</w:t>
      </w:r>
    </w:p>
    <w:p w14:paraId="2F5052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двигатели нефтяные, трейдеры, паровые машины, арматура чугунная, прокат</w:t>
      </w:r>
    </w:p>
    <w:p w14:paraId="3776CA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Пермская судостроительная верфь</w:t>
      </w:r>
    </w:p>
    <w:p w14:paraId="6341C0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6C80BC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Пермь Свердловской области, Советская, 47</w:t>
      </w:r>
    </w:p>
    <w:p w14:paraId="21C72B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пароходы буксирные</w:t>
      </w:r>
    </w:p>
    <w:p w14:paraId="70E286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судостроительный завод (Петрозавод)</w:t>
      </w:r>
    </w:p>
    <w:p w14:paraId="3D5C23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1725 год</w:t>
      </w:r>
    </w:p>
    <w:p w14:paraId="12C02D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М. Охта, Новочеркасский пр., 1</w:t>
      </w:r>
    </w:p>
    <w:p w14:paraId="7193FD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катера, буксиры, оборудование судовое, шаланды, трамваи речные</w:t>
      </w:r>
    </w:p>
    <w:p w14:paraId="555E27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Красноармейская судостроительная верфь им. пятнадцатилетия АССР немцев Поволжья</w:t>
      </w:r>
    </w:p>
    <w:p w14:paraId="183115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2E098A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Красноармейск Сталинградского края</w:t>
      </w:r>
    </w:p>
    <w:p w14:paraId="3F245D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баржи наливные и сухогрузные</w:t>
      </w:r>
    </w:p>
    <w:p w14:paraId="7120ED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Рыбинская катерная верфь</w:t>
      </w:r>
    </w:p>
    <w:p w14:paraId="1746E5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1906 год, реконструирована в 1930 году</w:t>
      </w:r>
    </w:p>
    <w:p w14:paraId="15D052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Рыбинск Ивановской области</w:t>
      </w:r>
    </w:p>
    <w:p w14:paraId="740308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катера металлические</w:t>
      </w:r>
    </w:p>
    <w:p w14:paraId="33609F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Тюменская судостроительная верфь</w:t>
      </w:r>
    </w:p>
    <w:p w14:paraId="1CD49F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1928 год</w:t>
      </w:r>
    </w:p>
    <w:p w14:paraId="23F92C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Тюмень Омской области, Пристань, 8</w:t>
      </w:r>
    </w:p>
    <w:p w14:paraId="291AD9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суда несамоходные, пароходы</w:t>
      </w:r>
    </w:p>
    <w:p w14:paraId="06186A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Горьковский механический и чугунолитейный завод им. Ульянова</w:t>
      </w:r>
    </w:p>
    <w:p w14:paraId="71BBD6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Горький, Красная слобода</w:t>
      </w:r>
    </w:p>
    <w:p w14:paraId="4E293F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Продукция6 оборудование судовое</w:t>
      </w:r>
    </w:p>
    <w:p w14:paraId="1F7949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Ярославская судостроительная верфь</w:t>
      </w:r>
    </w:p>
    <w:p w14:paraId="0AFE6A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1920 год</w:t>
      </w:r>
    </w:p>
    <w:p w14:paraId="5D4905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Ярославль Ивановской области</w:t>
      </w:r>
    </w:p>
    <w:p w14:paraId="555FE8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катера деревянные и железные</w:t>
      </w:r>
    </w:p>
    <w:p w14:paraId="5B7796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Проектно-конструкторское бюро по проектированию речных и морских (для внутреннего плавания) судов, машин и механизмов</w:t>
      </w:r>
    </w:p>
    <w:p w14:paraId="15DB54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1A3BA4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наб. Красного флота, 68</w:t>
      </w:r>
    </w:p>
    <w:p w14:paraId="7D270FEB"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Союзхиммонтаж</w:t>
      </w:r>
    </w:p>
    <w:p w14:paraId="5E9AB8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Бондюжский керамический завод</w:t>
      </w:r>
    </w:p>
    <w:p w14:paraId="709F83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1929 год</w:t>
      </w:r>
    </w:p>
    <w:p w14:paraId="327EFD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Тихие горы Татарской АССР</w:t>
      </w:r>
    </w:p>
    <w:p w14:paraId="4CBE77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керамические изделия</w:t>
      </w:r>
    </w:p>
    <w:p w14:paraId="420791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“Красный металлист”</w:t>
      </w:r>
    </w:p>
    <w:p w14:paraId="376795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Славянск Донецкой области</w:t>
      </w:r>
    </w:p>
    <w:p w14:paraId="1BCD20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химаппаратура, насосы кислородные, литье чугунное и медное, изделия штамповочные и т.д.</w:t>
      </w:r>
    </w:p>
    <w:p w14:paraId="275E41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опытный завод</w:t>
      </w:r>
    </w:p>
    <w:p w14:paraId="65F870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06FD44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Деминская, 3</w:t>
      </w:r>
    </w:p>
    <w:p w14:paraId="3D27E9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насосы кислотоупорные</w:t>
      </w:r>
    </w:p>
    <w:p w14:paraId="3F38CA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Щекинский кислотоупорный завод</w:t>
      </w:r>
    </w:p>
    <w:p w14:paraId="00C054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6D6CF5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Щекино Московской области</w:t>
      </w:r>
    </w:p>
    <w:p w14:paraId="082003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кислотоупорные изделия</w:t>
      </w:r>
    </w:p>
    <w:p w14:paraId="4F3C25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Щелковский механический завод</w:t>
      </w:r>
    </w:p>
    <w:p w14:paraId="5172CB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3BE8C4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Адрес: Щелково Московской области</w:t>
      </w:r>
    </w:p>
    <w:p w14:paraId="6BC09B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работы механические</w:t>
      </w:r>
    </w:p>
    <w:p w14:paraId="571DB7DC"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Предприятия строящиеся:</w:t>
      </w:r>
    </w:p>
    <w:p w14:paraId="2A2362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Славянский керамический завод</w:t>
      </w:r>
    </w:p>
    <w:p w14:paraId="2A7AC1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Славянск Донецкой области</w:t>
      </w:r>
    </w:p>
    <w:p w14:paraId="425F15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кислотоупорные изделия</w:t>
      </w:r>
    </w:p>
    <w:p w14:paraId="54D0AD66"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Главхимпром</w:t>
      </w:r>
    </w:p>
    <w:p w14:paraId="64990A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Константиновский завод “Автостекло” № 25</w:t>
      </w:r>
    </w:p>
    <w:p w14:paraId="5E31F8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Константиновка Донецкой области</w:t>
      </w:r>
    </w:p>
    <w:p w14:paraId="3E21A3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стекло, “триплекс” стекло блоки фацетированные и т.д.</w:t>
      </w:r>
    </w:p>
    <w:p w14:paraId="2B88D6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Московская зеркальная фабрика (филиал завода “Автостекло” № 25)</w:t>
      </w:r>
    </w:p>
    <w:p w14:paraId="3B964D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Дербеневская, 7</w:t>
      </w:r>
    </w:p>
    <w:p w14:paraId="101E07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автомобильное стекло, зеркала</w:t>
      </w:r>
    </w:p>
    <w:p w14:paraId="6B204F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Березниковский химический комбинат им. Ворошилова</w:t>
      </w:r>
    </w:p>
    <w:p w14:paraId="51998D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Усолье Свердловской области</w:t>
      </w:r>
    </w:p>
    <w:p w14:paraId="0ACD8C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серная кислота, азотная кислота и т.д.</w:t>
      </w:r>
    </w:p>
    <w:p w14:paraId="0A8EFF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Тентелевский завод “Красный химик”</w:t>
      </w:r>
    </w:p>
    <w:p w14:paraId="2AEB41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1875 год</w:t>
      </w:r>
    </w:p>
    <w:p w14:paraId="1E45AA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химический пер., 5</w:t>
      </w:r>
    </w:p>
    <w:p w14:paraId="71A71A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серная кислота, соляная кислота и т.д.</w:t>
      </w:r>
    </w:p>
    <w:p w14:paraId="32BD99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Щелковский химический завод</w:t>
      </w:r>
    </w:p>
    <w:p w14:paraId="2EC027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1924 год</w:t>
      </w:r>
    </w:p>
    <w:p w14:paraId="1CA8ED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Щелково Московской области</w:t>
      </w:r>
    </w:p>
    <w:p w14:paraId="17B7DE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серная кислота, соляная кислота и т.д.</w:t>
      </w:r>
    </w:p>
    <w:p w14:paraId="03D0D6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Воскресенский химический комбинат</w:t>
      </w:r>
    </w:p>
    <w:p w14:paraId="7DB090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79A67D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Воскресенск Московской области</w:t>
      </w:r>
    </w:p>
    <w:p w14:paraId="032EBF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фосфоритная мука, серная кислота и т.д.</w:t>
      </w:r>
    </w:p>
    <w:p w14:paraId="336F40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Невский химический комбинат</w:t>
      </w:r>
    </w:p>
    <w:p w14:paraId="4E085F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324206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Правый берег Невы, 78</w:t>
      </w:r>
    </w:p>
    <w:p w14:paraId="29F213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серная кислота, суперфосфат и т.д.</w:t>
      </w:r>
    </w:p>
    <w:p w14:paraId="46F25E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Войкова</w:t>
      </w:r>
    </w:p>
    <w:p w14:paraId="5B272A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1890 год</w:t>
      </w:r>
    </w:p>
    <w:p w14:paraId="088DC3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Лихачевское шоссе, 20</w:t>
      </w:r>
    </w:p>
    <w:p w14:paraId="418A55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Караклисский химический завод</w:t>
      </w:r>
    </w:p>
    <w:p w14:paraId="72F2E1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Караклис Армянской АССР</w:t>
      </w:r>
    </w:p>
    <w:p w14:paraId="6AC9E3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карбид кальция, кислород</w:t>
      </w:r>
    </w:p>
    <w:p w14:paraId="5E3129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Актюбинский химический комбинат</w:t>
      </w:r>
    </w:p>
    <w:p w14:paraId="1F0304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Алга, Казахская АССР</w:t>
      </w:r>
    </w:p>
    <w:p w14:paraId="51CA70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серная кислота башенная, фосфорит обогащенный</w:t>
      </w:r>
    </w:p>
    <w:p w14:paraId="5E46B705"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Институты</w:t>
      </w:r>
    </w:p>
    <w:p w14:paraId="59E81C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НИИ искусственного волокна (НИИВ)</w:t>
      </w:r>
    </w:p>
    <w:p w14:paraId="38AC54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Мытищи Московской области, фабрика Вискоза</w:t>
      </w:r>
    </w:p>
    <w:p w14:paraId="462CB6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Промышленность синтетического каучука</w:t>
      </w:r>
    </w:p>
    <w:p w14:paraId="3C67A9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“СК”</w:t>
      </w:r>
    </w:p>
    <w:p w14:paraId="6FDA25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Ярославский завод синтетического каучука СК № 1</w:t>
      </w:r>
    </w:p>
    <w:p w14:paraId="1EE977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7D8CDD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Ярославль Ивановской области Тутаевское шоссе</w:t>
      </w:r>
    </w:p>
    <w:p w14:paraId="202891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синтетический каучук</w:t>
      </w:r>
    </w:p>
    <w:p w14:paraId="4F638F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Воронежский синтетического каучука завод СК № 2</w:t>
      </w:r>
    </w:p>
    <w:p w14:paraId="398623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6A13AA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Воронеж</w:t>
      </w:r>
    </w:p>
    <w:p w14:paraId="0F8C0C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синтетический каучук</w:t>
      </w:r>
    </w:p>
    <w:p w14:paraId="0AD22E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Ефремовский завод синтетического каучука СК № 3</w:t>
      </w:r>
    </w:p>
    <w:p w14:paraId="3C44CA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360A2F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Ефремово Московской области</w:t>
      </w:r>
    </w:p>
    <w:p w14:paraId="3FCDE6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синтетический каучук</w:t>
      </w:r>
    </w:p>
    <w:p w14:paraId="59152B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Казанский завод синтетического каучука СК № 4</w:t>
      </w:r>
    </w:p>
    <w:p w14:paraId="1C2F70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Казань, Татарской АССР</w:t>
      </w:r>
    </w:p>
    <w:p w14:paraId="62FDB2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синтетический каучук</w:t>
      </w:r>
    </w:p>
    <w:p w14:paraId="39B209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Опытный завод синтетического каучука</w:t>
      </w:r>
    </w:p>
    <w:p w14:paraId="7E2F35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742CC6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Гутуевский остров, Гапсальская, 18</w:t>
      </w:r>
    </w:p>
    <w:p w14:paraId="74D2D9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опытная по синтетическому каучуку</w:t>
      </w:r>
    </w:p>
    <w:p w14:paraId="57DE6F77"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Промышленность пластических масс</w:t>
      </w:r>
    </w:p>
    <w:p w14:paraId="0B66FFAD"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Трест “Союзхимпластмасс”</w:t>
      </w:r>
    </w:p>
    <w:p w14:paraId="096B42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Охтинский химический завод</w:t>
      </w:r>
    </w:p>
    <w:p w14:paraId="72DD3A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1709 год</w:t>
      </w:r>
    </w:p>
    <w:p w14:paraId="2C1A4F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Село Пороховое, ул. Коммуны, 8</w:t>
      </w:r>
    </w:p>
    <w:p w14:paraId="086751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пластмассы, нитромассы, продукция основной химии, камфора, кожпорошок</w:t>
      </w:r>
    </w:p>
    <w:p w14:paraId="7EB1BA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“Комсомольская Правда”</w:t>
      </w:r>
    </w:p>
    <w:p w14:paraId="0352D7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1C1149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Выборгская наб.,11б</w:t>
      </w:r>
    </w:p>
    <w:p w14:paraId="5E3A68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изделия из пластмасс, изделия из целлулоида</w:t>
      </w:r>
    </w:p>
    <w:p w14:paraId="01B7F9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“Карболит”</w:t>
      </w:r>
    </w:p>
    <w:p w14:paraId="09DDE2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1916 год</w:t>
      </w:r>
    </w:p>
    <w:p w14:paraId="2047FF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Орехово-Зуево, Московской области</w:t>
      </w:r>
    </w:p>
    <w:p w14:paraId="0525AE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пластмассы, изделия из пластмасс</w:t>
      </w:r>
    </w:p>
    <w:p w14:paraId="119F51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“Большевик”</w:t>
      </w:r>
    </w:p>
    <w:p w14:paraId="280B91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1913 год</w:t>
      </w:r>
    </w:p>
    <w:p w14:paraId="5ED01A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Одесса, Балтийская дорога, 36</w:t>
      </w:r>
    </w:p>
    <w:p w14:paraId="70A21F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линолеум, прокладки автотракторные, пробковая изоляция</w:t>
      </w:r>
    </w:p>
    <w:p w14:paraId="16A529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Любучанский завод им. Баранова</w:t>
      </w:r>
    </w:p>
    <w:p w14:paraId="593E99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Столбовая Лопасненского района Московской области</w:t>
      </w:r>
    </w:p>
    <w:p w14:paraId="518C7C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Продукция: изделия из пластмасс</w:t>
      </w:r>
    </w:p>
    <w:p w14:paraId="159551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Владимирский химический завод</w:t>
      </w:r>
    </w:p>
    <w:p w14:paraId="1C6E0D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4516AC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Владимир Ивановской области</w:t>
      </w:r>
    </w:p>
    <w:p w14:paraId="11DDF2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вискозная укупорка, изделия из пластмасс</w:t>
      </w:r>
    </w:p>
    <w:p w14:paraId="0AAFC6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Баумана</w:t>
      </w:r>
    </w:p>
    <w:p w14:paraId="144BA4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1928 год</w:t>
      </w:r>
    </w:p>
    <w:p w14:paraId="34E8F2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Кусково Московской области</w:t>
      </w:r>
    </w:p>
    <w:p w14:paraId="67A0B5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канифоль, формалин, скипидар</w:t>
      </w:r>
    </w:p>
    <w:p w14:paraId="1B644A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экспериментальный завод пластмасс им. Фрунзе</w:t>
      </w:r>
    </w:p>
    <w:p w14:paraId="718A59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63A9B6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Перовский пер., 41</w:t>
      </w:r>
    </w:p>
    <w:p w14:paraId="00CAB2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опытная</w:t>
      </w:r>
    </w:p>
    <w:p w14:paraId="7B3FF070"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Институты</w:t>
      </w:r>
    </w:p>
    <w:p w14:paraId="5EF7E2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НИИ пластмасс</w:t>
      </w:r>
    </w:p>
    <w:p w14:paraId="66BB86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432994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Международный пр., 24</w:t>
      </w:r>
    </w:p>
    <w:p w14:paraId="2D2FF8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НИИ пластмасс (филиал Ленинградского НИИ пластмасс)</w:t>
      </w:r>
    </w:p>
    <w:p w14:paraId="246418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2F0554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1-я Звенигородская, 11</w:t>
      </w:r>
    </w:p>
    <w:p w14:paraId="7A7A6A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Опытный Ленинградский завод (филиал Ленинградского НИИ пластмасс)</w:t>
      </w:r>
    </w:p>
    <w:p w14:paraId="456700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Полюстровский пер., 24</w:t>
      </w:r>
    </w:p>
    <w:p w14:paraId="1B9CDF38"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Лакокрасочная промышленность</w:t>
      </w:r>
    </w:p>
    <w:p w14:paraId="6C2C38DD"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Трест “Лакокраска”</w:t>
      </w:r>
    </w:p>
    <w:p w14:paraId="778E68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 “Победа Рабочих” – Ярославль Ивановской области</w:t>
      </w:r>
    </w:p>
    <w:p w14:paraId="2D3C83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Красно-Пресненский лакокрасочный завод</w:t>
      </w:r>
    </w:p>
    <w:p w14:paraId="05A052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1-я Звенигородская, 11</w:t>
      </w:r>
    </w:p>
    <w:p w14:paraId="729B56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лаки, эмали</w:t>
      </w:r>
    </w:p>
    <w:p w14:paraId="4C6088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завод художественных красок</w:t>
      </w:r>
    </w:p>
    <w:p w14:paraId="2E746C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436D06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наб. Черной речки, 19/21</w:t>
      </w:r>
    </w:p>
    <w:p w14:paraId="48B034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художественные краски</w:t>
      </w:r>
    </w:p>
    <w:p w14:paraId="2AD625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Менделеева</w:t>
      </w:r>
    </w:p>
    <w:p w14:paraId="745B76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1867 год</w:t>
      </w:r>
    </w:p>
    <w:p w14:paraId="73DEBF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Московское шоссе, 29/31</w:t>
      </w:r>
    </w:p>
    <w:p w14:paraId="435653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цинковые белила, краски</w:t>
      </w:r>
    </w:p>
    <w:p w14:paraId="61C047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“Свободный Труд”</w:t>
      </w:r>
    </w:p>
    <w:p w14:paraId="2894ED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1881 год</w:t>
      </w:r>
    </w:p>
    <w:p w14:paraId="74729D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Ярославль Ивановской области</w:t>
      </w:r>
    </w:p>
    <w:p w14:paraId="6C0280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глет и сурик свинцовый, краски, олифы</w:t>
      </w:r>
    </w:p>
    <w:p w14:paraId="36F88C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Литопонный завод им. Воровского</w:t>
      </w:r>
    </w:p>
    <w:p w14:paraId="784459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1912 год</w:t>
      </w:r>
    </w:p>
    <w:p w14:paraId="71198E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Б. Охта, Ириновский, 53</w:t>
      </w:r>
    </w:p>
    <w:p w14:paraId="7C7447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литопон</w:t>
      </w:r>
    </w:p>
    <w:p w14:paraId="13E726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Горозненский химкомбинат</w:t>
      </w:r>
    </w:p>
    <w:p w14:paraId="25ADAD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высшие спирты</w:t>
      </w:r>
    </w:p>
    <w:p w14:paraId="12E043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“Республика”</w:t>
      </w:r>
    </w:p>
    <w:p w14:paraId="409769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1878 год</w:t>
      </w:r>
    </w:p>
    <w:p w14:paraId="0BB31C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Правый берег Невы, 78</w:t>
      </w:r>
    </w:p>
    <w:p w14:paraId="716518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ультрамарин</w:t>
      </w:r>
    </w:p>
    <w:p w14:paraId="4E5F398B"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Предприятия строящиеся:</w:t>
      </w:r>
    </w:p>
    <w:p w14:paraId="362F66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Кутаисский литопонный завод</w:t>
      </w:r>
    </w:p>
    <w:p w14:paraId="538126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Кутаис</w:t>
      </w:r>
    </w:p>
    <w:p w14:paraId="1CA43C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Челябинский химкомбинат</w:t>
      </w:r>
    </w:p>
    <w:p w14:paraId="63B525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Челябинск, ул. Елькина, 65</w:t>
      </w:r>
    </w:p>
    <w:p w14:paraId="37610625"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Институты</w:t>
      </w:r>
    </w:p>
    <w:p w14:paraId="203593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НИИ лаков и красок (НИЛК)</w:t>
      </w:r>
    </w:p>
    <w:p w14:paraId="4268A2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Международный пер., 24</w:t>
      </w:r>
    </w:p>
    <w:p w14:paraId="432C9614"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Резиновая и технотканная промышленность</w:t>
      </w:r>
    </w:p>
    <w:p w14:paraId="20864C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комбинат “Красный треугольник”</w:t>
      </w:r>
    </w:p>
    <w:p w14:paraId="5B360A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1912 год</w:t>
      </w:r>
    </w:p>
    <w:p w14:paraId="4340F7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Цветочная, 24</w:t>
      </w:r>
    </w:p>
    <w:p w14:paraId="2E5F2A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асбестовые изделия, набивки, лента тормозная</w:t>
      </w:r>
    </w:p>
    <w:p w14:paraId="13F781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завод промтехники “Красный треугольник”</w:t>
      </w:r>
    </w:p>
    <w:p w14:paraId="191FD6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1860 год</w:t>
      </w:r>
    </w:p>
    <w:p w14:paraId="756564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Обводной канал, 138</w:t>
      </w:r>
    </w:p>
    <w:p w14:paraId="4DC416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технические изделия, ремни, рукава</w:t>
      </w:r>
    </w:p>
    <w:p w14:paraId="769BA8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регенераторный завод “Красный треугольник”</w:t>
      </w:r>
    </w:p>
    <w:p w14:paraId="4CA412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1860 год</w:t>
      </w:r>
    </w:p>
    <w:p w14:paraId="4D5EF9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Обводной канал, 138</w:t>
      </w:r>
    </w:p>
    <w:p w14:paraId="4F8B02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регенерат</w:t>
      </w:r>
    </w:p>
    <w:p w14:paraId="22EEB4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шинный завод “Красный треугольник”</w:t>
      </w:r>
    </w:p>
    <w:p w14:paraId="3A91FF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1860 год</w:t>
      </w:r>
    </w:p>
    <w:p w14:paraId="0E0305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Обводной канал, 138</w:t>
      </w:r>
    </w:p>
    <w:p w14:paraId="24FA98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шины</w:t>
      </w:r>
    </w:p>
    <w:p w14:paraId="3CB359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механический завод “Красный треугольник”</w:t>
      </w:r>
    </w:p>
    <w:p w14:paraId="476B8B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1860 год</w:t>
      </w:r>
    </w:p>
    <w:p w14:paraId="03DE45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Обводной канал, 150</w:t>
      </w:r>
    </w:p>
    <w:p w14:paraId="011D5B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оборудование для резино-асбестовой промышленности</w:t>
      </w:r>
    </w:p>
    <w:p w14:paraId="5E4C1E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Ярославский асбестовый завод</w:t>
      </w:r>
    </w:p>
    <w:p w14:paraId="292AEA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6E7860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Ярославль Ивановской области, Полушкина Роща</w:t>
      </w:r>
    </w:p>
    <w:p w14:paraId="1B26A6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асбестовая бумага и картон</w:t>
      </w:r>
    </w:p>
    <w:p w14:paraId="34D85E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Ярославский регенераторный завод</w:t>
      </w:r>
    </w:p>
    <w:p w14:paraId="6BA5C9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521DAE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Адрес: Ярославль Ивановской области, Полушкина Роща</w:t>
      </w:r>
    </w:p>
    <w:p w14:paraId="57CF08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регенерат</w:t>
      </w:r>
    </w:p>
    <w:p w14:paraId="3C8932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Ярославский шинный завод</w:t>
      </w:r>
    </w:p>
    <w:p w14:paraId="766F4A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269C24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Ярославль Ивановской области, Полушкина Роща</w:t>
      </w:r>
    </w:p>
    <w:p w14:paraId="4F3107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шины</w:t>
      </w:r>
    </w:p>
    <w:p w14:paraId="26FFAA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Ярославский машиностроительный завод</w:t>
      </w:r>
    </w:p>
    <w:p w14:paraId="394EDE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21B549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Ярославль Ивановской области, Полушкина Роща</w:t>
      </w:r>
    </w:p>
    <w:p w14:paraId="42CB40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оборудование для резино-асбестовой промышленности</w:t>
      </w:r>
    </w:p>
    <w:p w14:paraId="0A84F3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Ярославский механический завод</w:t>
      </w:r>
    </w:p>
    <w:p w14:paraId="297952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2E4FEA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Ярославль Ивановской области, Полушкина Роща</w:t>
      </w:r>
    </w:p>
    <w:p w14:paraId="4AEE3E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оборудование для резино-асбестовой промышленности</w:t>
      </w:r>
    </w:p>
    <w:p w14:paraId="30F15F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богатырь”</w:t>
      </w:r>
    </w:p>
    <w:p w14:paraId="36FA89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1887 год</w:t>
      </w:r>
    </w:p>
    <w:p w14:paraId="448645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1-я Богатырская, 2</w:t>
      </w:r>
    </w:p>
    <w:p w14:paraId="6E1FAE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изделия резиновые</w:t>
      </w:r>
    </w:p>
    <w:p w14:paraId="508449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“Каучук”</w:t>
      </w:r>
    </w:p>
    <w:p w14:paraId="7DFDC4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1915 год</w:t>
      </w:r>
    </w:p>
    <w:p w14:paraId="0B684A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Усачевка, 11</w:t>
      </w:r>
    </w:p>
    <w:p w14:paraId="3AEDAF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ремни, рукава, велошины</w:t>
      </w:r>
    </w:p>
    <w:p w14:paraId="4B7C99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Кардо-регенераторный завод</w:t>
      </w:r>
    </w:p>
    <w:p w14:paraId="06298A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02A727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Электрозаводская, 23</w:t>
      </w:r>
    </w:p>
    <w:p w14:paraId="61A938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регенерат, бандажи</w:t>
      </w:r>
    </w:p>
    <w:p w14:paraId="33DC7E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резинщик”</w:t>
      </w:r>
    </w:p>
    <w:p w14:paraId="2CFA2D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w:t>
      </w:r>
    </w:p>
    <w:p w14:paraId="14BB36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Киев, Сталинка, 23</w:t>
      </w:r>
    </w:p>
    <w:p w14:paraId="6D1E66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изделия резиновые без шва</w:t>
      </w:r>
    </w:p>
    <w:p w14:paraId="424306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Егорьевская набивная фабрика</w:t>
      </w:r>
    </w:p>
    <w:p w14:paraId="206A6A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Егорьевск Московской области</w:t>
      </w:r>
    </w:p>
    <w:p w14:paraId="2D7EEF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асбестовая набивка</w:t>
      </w:r>
    </w:p>
    <w:p w14:paraId="79B289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Кудиновский сажевый завод</w:t>
      </w:r>
    </w:p>
    <w:p w14:paraId="5164DE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1899 год</w:t>
      </w:r>
    </w:p>
    <w:p w14:paraId="25A90C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Кудиново Ногинского района Московской области</w:t>
      </w:r>
    </w:p>
    <w:p w14:paraId="61488C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сажа ламповая</w:t>
      </w:r>
    </w:p>
    <w:p w14:paraId="374F92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“Красная прядильня”</w:t>
      </w:r>
    </w:p>
    <w:p w14:paraId="02A40D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Покровское Стрешнево</w:t>
      </w:r>
    </w:p>
    <w:p w14:paraId="6A98EB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ремни приводные, ленты транспортерные</w:t>
      </w:r>
    </w:p>
    <w:p w14:paraId="079FD8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им. Лебедева</w:t>
      </w:r>
    </w:p>
    <w:p w14:paraId="1A4A9B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Нахабино Московской области</w:t>
      </w:r>
    </w:p>
    <w:p w14:paraId="3B4B03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ткани технические</w:t>
      </w:r>
    </w:p>
    <w:p w14:paraId="47C0A3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“Красный Перекоп”</w:t>
      </w:r>
    </w:p>
    <w:p w14:paraId="445E6A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Ярославль</w:t>
      </w:r>
    </w:p>
    <w:p w14:paraId="75335B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ткани технические</w:t>
      </w:r>
    </w:p>
    <w:p w14:paraId="4E5431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“Красный маяк”</w:t>
      </w:r>
    </w:p>
    <w:p w14:paraId="0EF2C7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Выборгская, 41</w:t>
      </w:r>
    </w:p>
    <w:p w14:paraId="12CB5D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ткани технические</w:t>
      </w:r>
    </w:p>
    <w:p w14:paraId="1ED368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Щелковская фабрика химической обработки технических тканей</w:t>
      </w:r>
    </w:p>
    <w:p w14:paraId="2F4C1C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Щелково Московской области</w:t>
      </w:r>
    </w:p>
    <w:p w14:paraId="15F61F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ткани технические</w:t>
      </w:r>
    </w:p>
    <w:p w14:paraId="1E1015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им. Ногина</w:t>
      </w:r>
    </w:p>
    <w:p w14:paraId="6A0CE2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Кунцево Московской области</w:t>
      </w:r>
    </w:p>
    <w:p w14:paraId="0B6725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клеенка, ткани технические</w:t>
      </w:r>
    </w:p>
    <w:p w14:paraId="0F1F1F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Ногинский комбинат льняных тканей и ковровых изделий им. Рудзутака</w:t>
      </w:r>
    </w:p>
    <w:p w14:paraId="380162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Обухово Ногинского района Московской области</w:t>
      </w:r>
    </w:p>
    <w:p w14:paraId="283E26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льняные ткани, ковровые изделия</w:t>
      </w:r>
    </w:p>
    <w:p w14:paraId="7357B9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Комбинат приводных ремней</w:t>
      </w:r>
    </w:p>
    <w:p w14:paraId="0779AA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Домодедово Подольского района Московской области</w:t>
      </w:r>
    </w:p>
    <w:p w14:paraId="619AA6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ремни приводные</w:t>
      </w:r>
    </w:p>
    <w:p w14:paraId="04E445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Одесский завод стальных и пеньковых канатов</w:t>
      </w:r>
    </w:p>
    <w:p w14:paraId="444B80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Одесса, ул. Котовского</w:t>
      </w:r>
    </w:p>
    <w:p w14:paraId="1F857E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шпагат, канаты стальные и пеньковые</w:t>
      </w:r>
    </w:p>
    <w:p w14:paraId="5F5602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“Приводной ремень”</w:t>
      </w:r>
    </w:p>
    <w:p w14:paraId="01BC28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Сущевский вал, 31</w:t>
      </w:r>
    </w:p>
    <w:p w14:paraId="2A79EC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ремни приводные</w:t>
      </w:r>
    </w:p>
    <w:p w14:paraId="227B68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“Победа Октября”</w:t>
      </w:r>
    </w:p>
    <w:p w14:paraId="73519C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Лефортово, М. Почтовая, 2/4</w:t>
      </w:r>
    </w:p>
    <w:p w14:paraId="1CFFAF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ткани технические</w:t>
      </w:r>
    </w:p>
    <w:p w14:paraId="17F076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Рукаво-ткацкий комбинат</w:t>
      </w:r>
    </w:p>
    <w:p w14:paraId="7F0CDF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село Красный двор Московской области</w:t>
      </w:r>
    </w:p>
    <w:p w14:paraId="2BE6AB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рукава пожарные</w:t>
      </w:r>
    </w:p>
    <w:p w14:paraId="4B4000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Горбуновская-Хотьковская фабрика технических тканей</w:t>
      </w:r>
    </w:p>
    <w:p w14:paraId="715C73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Хотьково Воскресенского района Московской области</w:t>
      </w:r>
    </w:p>
    <w:p w14:paraId="02C591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ткани технические</w:t>
      </w:r>
    </w:p>
    <w:p w14:paraId="7078AC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“Декоративткань”</w:t>
      </w:r>
    </w:p>
    <w:p w14:paraId="60737B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М. Семеновская, 16</w:t>
      </w:r>
    </w:p>
    <w:p w14:paraId="4965D1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мебельные ткани</w:t>
      </w:r>
    </w:p>
    <w:p w14:paraId="621B0B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Краснознаменская фабрика технических тканей</w:t>
      </w:r>
    </w:p>
    <w:p w14:paraId="42A0A4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Соколовская Щелковского района Московской области</w:t>
      </w:r>
    </w:p>
    <w:p w14:paraId="27CD9A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ткани технические</w:t>
      </w:r>
    </w:p>
    <w:p w14:paraId="15BBC4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технических тканей</w:t>
      </w:r>
    </w:p>
    <w:p w14:paraId="5F7E25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Завидово Московской области</w:t>
      </w:r>
    </w:p>
    <w:p w14:paraId="0577D0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ткани технические</w:t>
      </w:r>
    </w:p>
    <w:p w14:paraId="608F9E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Костеревская фабрика “Труд”</w:t>
      </w:r>
    </w:p>
    <w:p w14:paraId="00B8E0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Кестерово Московской области</w:t>
      </w:r>
    </w:p>
    <w:p w14:paraId="4F815B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ткани технические</w:t>
      </w:r>
    </w:p>
    <w:p w14:paraId="309DA8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“Молот и серп”</w:t>
      </w:r>
    </w:p>
    <w:p w14:paraId="2B51B4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Хорлово Московской области</w:t>
      </w:r>
    </w:p>
    <w:p w14:paraId="7897F0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ткани технические</w:t>
      </w:r>
    </w:p>
    <w:p w14:paraId="77EF3BC5"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Институты</w:t>
      </w:r>
    </w:p>
    <w:p w14:paraId="2FD4DA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 по проектированию и освоению производственных предприятий резиновой промышленности (Резинопроект)</w:t>
      </w:r>
    </w:p>
    <w:p w14:paraId="13E227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661DC2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Маросейка, 12</w:t>
      </w:r>
    </w:p>
    <w:p w14:paraId="1EA98F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НИИ резиновой промышленности (Нирп)</w:t>
      </w:r>
    </w:p>
    <w:p w14:paraId="69F64F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29602A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Маросейка, 12</w:t>
      </w:r>
    </w:p>
    <w:p w14:paraId="695C0D41"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Трест “Союзлабореактив”</w:t>
      </w:r>
    </w:p>
    <w:p w14:paraId="0B756F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“Дружная горка”</w:t>
      </w:r>
    </w:p>
    <w:p w14:paraId="3336CE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1800 год</w:t>
      </w:r>
    </w:p>
    <w:p w14:paraId="58A7F3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Строганово Ленинградской области</w:t>
      </w:r>
    </w:p>
    <w:p w14:paraId="3E26E1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химико-лабораторная посуда</w:t>
      </w:r>
    </w:p>
    <w:p w14:paraId="749296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“Лаборприбор”</w:t>
      </w:r>
    </w:p>
    <w:p w14:paraId="36ABC8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Клин Московской области</w:t>
      </w:r>
    </w:p>
    <w:p w14:paraId="7725E2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химико-лабораторная посуда</w:t>
      </w:r>
    </w:p>
    <w:p w14:paraId="037E85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Клинский стекольный завод № 1</w:t>
      </w:r>
    </w:p>
    <w:p w14:paraId="27D046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1880 год</w:t>
      </w:r>
    </w:p>
    <w:p w14:paraId="7C32B7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Клин Московской области</w:t>
      </w:r>
    </w:p>
    <w:p w14:paraId="40C8C6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химико-лабораторная посуда</w:t>
      </w:r>
    </w:p>
    <w:p w14:paraId="717C2C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Реактивный завод</w:t>
      </w:r>
    </w:p>
    <w:p w14:paraId="43CACC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Свердловск, ул. Большакова, 3</w:t>
      </w:r>
    </w:p>
    <w:p w14:paraId="5619FA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реактивы химические</w:t>
      </w:r>
    </w:p>
    <w:p w14:paraId="3DA85C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Опытный завод весоизмерительный</w:t>
      </w:r>
    </w:p>
    <w:p w14:paraId="7EF234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2CC1F4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Рабфаковский пер, 10</w:t>
      </w:r>
    </w:p>
    <w:p w14:paraId="27CC34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опытное производство специальных весов</w:t>
      </w:r>
    </w:p>
    <w:p w14:paraId="6006DF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Экспериментальное конструкторское весовое бюро (Весбюро)</w:t>
      </w:r>
    </w:p>
    <w:p w14:paraId="02CB4C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4C4718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Блюхеровский пер., 6</w:t>
      </w:r>
    </w:p>
    <w:p w14:paraId="5E791FD8"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Институты</w:t>
      </w:r>
    </w:p>
    <w:p w14:paraId="67C789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НИИ химический реактивов (ИРЕА)</w:t>
      </w:r>
    </w:p>
    <w:p w14:paraId="6CFFFE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1918 год</w:t>
      </w:r>
    </w:p>
    <w:p w14:paraId="33CAEF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ул. Самокатная, 4а</w:t>
      </w:r>
    </w:p>
    <w:p w14:paraId="0B5A238F"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Главное управление автотракторной промышленности (ГУТАП)</w:t>
      </w:r>
    </w:p>
    <w:p w14:paraId="1C12D8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Горьковский автомобильный завод им. Молотова (ГАЗ)</w:t>
      </w:r>
    </w:p>
    <w:p w14:paraId="1A0E3E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Горький, Монастырка</w:t>
      </w:r>
    </w:p>
    <w:p w14:paraId="2F8F31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автомобили грузовые ГАЗ АА, легковые автомобили ГАЗ А, автобусы ГАЗ АА, полугрозовые автомобили Пикап, двигатели для комбайнов, запчасти</w:t>
      </w:r>
    </w:p>
    <w:p w14:paraId="235C8E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Автомобильный завод им. Сталина (ЗИС) (бывший АМО)</w:t>
      </w:r>
    </w:p>
    <w:p w14:paraId="30CD60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1917 год</w:t>
      </w:r>
    </w:p>
    <w:p w14:paraId="520726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Тюфелева роща, Ленинская слобода</w:t>
      </w:r>
    </w:p>
    <w:p w14:paraId="7761FB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автомобили грузовые ЗИС, автобусы ЗИС, двигатели, запчасти автомобильные</w:t>
      </w:r>
    </w:p>
    <w:p w14:paraId="04F498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автоарматурный завод (филиал завода им. Сталина)</w:t>
      </w:r>
    </w:p>
    <w:p w14:paraId="367C8A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Шаболовка, 18</w:t>
      </w:r>
    </w:p>
    <w:p w14:paraId="62D7FF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автоарматура</w:t>
      </w:r>
    </w:p>
    <w:p w14:paraId="1365FB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Миусский завод № 6 пожарных автомашин (филиал завода им. Сталина)</w:t>
      </w:r>
    </w:p>
    <w:p w14:paraId="4A6C66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1920 год</w:t>
      </w:r>
    </w:p>
    <w:p w14:paraId="3B9BD9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Миусская пл., Александро-Невская ул., 7, 9</w:t>
      </w:r>
    </w:p>
    <w:p w14:paraId="64E0CB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пожарные автомашины ЗИС и ГАЗ АА, запчасти</w:t>
      </w:r>
    </w:p>
    <w:p w14:paraId="1EF8AD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Ростокинский завод (с 1 января 1935 года – филиал ЗИС)</w:t>
      </w:r>
    </w:p>
    <w:p w14:paraId="452DA2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1929 год</w:t>
      </w:r>
    </w:p>
    <w:p w14:paraId="02BADC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бочки железные, кислород, ацетилен, работы сварочные</w:t>
      </w:r>
    </w:p>
    <w:p w14:paraId="55A121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автосборочный завод им. КИМ (филиал завода им. Молотова)</w:t>
      </w:r>
    </w:p>
    <w:p w14:paraId="217CDA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4DE45E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Остаповское ш., 82</w:t>
      </w:r>
    </w:p>
    <w:p w14:paraId="4CF7BF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сборка автомашин ГАЗ А и ГАЗ АА и двигатели для комбайнов</w:t>
      </w:r>
    </w:p>
    <w:p w14:paraId="577D81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Горьковский автосборочный завод им. КИМ (филиал завода им. Молотова)</w:t>
      </w:r>
    </w:p>
    <w:p w14:paraId="04EAA5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38EAE9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Канавино Горьковского края, Интернациональная ул.</w:t>
      </w:r>
    </w:p>
    <w:p w14:paraId="271387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сборка автомашин ГАЗ А и ГАЗ АА</w:t>
      </w:r>
    </w:p>
    <w:p w14:paraId="334180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Горьковский механический завод “Красная Этна” (филиал завода им. Молотова)</w:t>
      </w:r>
    </w:p>
    <w:p w14:paraId="72F07F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1917 год</w:t>
      </w:r>
    </w:p>
    <w:p w14:paraId="0F5811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Канавино Горьковского края</w:t>
      </w:r>
    </w:p>
    <w:p w14:paraId="409B27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автонормали, шприцы, винты по металлу, гвозди разные, болты рессорные и т.д.</w:t>
      </w:r>
    </w:p>
    <w:p w14:paraId="1B41BD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Тракторный завод им. Сталина (ЧТЗ) – Челябинск</w:t>
      </w:r>
    </w:p>
    <w:p w14:paraId="44006F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Тракторный завод им. Дзержинского (СТЗ)</w:t>
      </w:r>
    </w:p>
    <w:p w14:paraId="5FC73D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 год</w:t>
      </w:r>
    </w:p>
    <w:p w14:paraId="798FDC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Сталинград</w:t>
      </w:r>
    </w:p>
    <w:p w14:paraId="1F0A00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тракторы СТЗ 15/30-колесные, двигатели, запчасти тракторные</w:t>
      </w:r>
    </w:p>
    <w:p w14:paraId="5DD143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Сталинградский метизный завод им. Михайлова-Иванова (филиал завода им. Дзержинского)</w:t>
      </w:r>
    </w:p>
    <w:p w14:paraId="401B79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7903EA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Сталинград (бывш. Артсклад)</w:t>
      </w:r>
    </w:p>
    <w:p w14:paraId="264015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проволока, болты, заклепки, гайки</w:t>
      </w:r>
    </w:p>
    <w:p w14:paraId="037C99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Тракторный завод им. Орджоникидзе (ХТЗ)</w:t>
      </w:r>
    </w:p>
    <w:p w14:paraId="5E1064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35F4EE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w:t>
      </w:r>
    </w:p>
    <w:p w14:paraId="1075BB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тракторы ХТЗ 15/30-колесные, двигатели, запчасти тракторные</w:t>
      </w:r>
    </w:p>
    <w:p w14:paraId="0FB402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Ярославский автомобильный завод</w:t>
      </w:r>
    </w:p>
    <w:p w14:paraId="07C313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1918 год</w:t>
      </w:r>
    </w:p>
    <w:p w14:paraId="61D093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Ярославль Ивановской области</w:t>
      </w:r>
    </w:p>
    <w:p w14:paraId="19A953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Продукция: автомобили грузовые Я Г4, запчасти автомобильные</w:t>
      </w:r>
    </w:p>
    <w:p w14:paraId="0FF7E8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Карбюраторно-арматурный завод “Ленкарз”</w:t>
      </w:r>
    </w:p>
    <w:p w14:paraId="3492BB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1929 год</w:t>
      </w:r>
    </w:p>
    <w:p w14:paraId="7C31C2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Волкова деревня, ул. Самойлова, 5</w:t>
      </w:r>
    </w:p>
    <w:p w14:paraId="1BF9BE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карбюраторы, арматура автомобильная для моторов и шасси, запчасти</w:t>
      </w:r>
    </w:p>
    <w:p w14:paraId="56FBE9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автотракторных инструментов им. Жданова “ЗАТИ”</w:t>
      </w:r>
    </w:p>
    <w:p w14:paraId="193542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2B42F4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Павлово на Оке Горьковского края</w:t>
      </w:r>
    </w:p>
    <w:p w14:paraId="429EE1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инструмент шоферский, домкраты, арматура для автомобильных кузовов</w:t>
      </w:r>
    </w:p>
    <w:p w14:paraId="643A11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осветительной арматуры “Красный Октябрь”</w:t>
      </w:r>
    </w:p>
    <w:p w14:paraId="22CF4F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1927 год</w:t>
      </w:r>
    </w:p>
    <w:p w14:paraId="0628B7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Киржач Ивановской области</w:t>
      </w:r>
    </w:p>
    <w:p w14:paraId="6319CA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фары, фонари, кронштейны к фонарям и фарам</w:t>
      </w:r>
    </w:p>
    <w:p w14:paraId="6F7B3624"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Предприятия строящиеся</w:t>
      </w:r>
    </w:p>
    <w:p w14:paraId="64D8FD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Куйбышевский карбюраторно-арматурный завод СКАЗ</w:t>
      </w:r>
    </w:p>
    <w:p w14:paraId="73825C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Куйбышев, 4-я дачная просека</w:t>
      </w:r>
    </w:p>
    <w:p w14:paraId="6B342E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карбюраторы, свечи, арматура автомобильная</w:t>
      </w:r>
    </w:p>
    <w:p w14:paraId="4BEB40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Уфимский моторный завод</w:t>
      </w:r>
    </w:p>
    <w:p w14:paraId="1B0F8D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моторы</w:t>
      </w:r>
    </w:p>
    <w:p w14:paraId="3EAC21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Ярославский автомобильный завод большегрузных автомашин</w:t>
      </w:r>
    </w:p>
    <w:p w14:paraId="6C849E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Ярославль Ивановской области</w:t>
      </w:r>
    </w:p>
    <w:p w14:paraId="36C126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грузовые автомобили 5-ти тонные</w:t>
      </w:r>
    </w:p>
    <w:p w14:paraId="2AEE2D4D"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Трест по производству тракторных запчастей и деталей “Трактородеталь”</w:t>
      </w:r>
    </w:p>
    <w:p w14:paraId="0E4CBD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Профинтерн”</w:t>
      </w:r>
    </w:p>
    <w:p w14:paraId="30FCE8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Одесса, ул. Никифорова, 8</w:t>
      </w:r>
    </w:p>
    <w:p w14:paraId="717D99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части тракторные, втулки, карбюраторы, жиклеры, муфты, поршни, кольца поршневые, подшипники бронзовые и т.д.</w:t>
      </w:r>
    </w:p>
    <w:p w14:paraId="7A845C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Сибзавод</w:t>
      </w:r>
    </w:p>
    <w:p w14:paraId="42D4AA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Омск, Татарская, 10</w:t>
      </w:r>
    </w:p>
    <w:p w14:paraId="73A52A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части тракторные и автомобильные, поршни, сцепления и т.д.</w:t>
      </w:r>
    </w:p>
    <w:p w14:paraId="225202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Саратовский завод “Трактородеталь”</w:t>
      </w:r>
    </w:p>
    <w:p w14:paraId="3F419B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Саратов, Астраханская, 45</w:t>
      </w:r>
    </w:p>
    <w:p w14:paraId="52F69B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части тракторные, диски, муфты сцепления, валы коленчатые и распределительные, шестерни и т.д.</w:t>
      </w:r>
    </w:p>
    <w:p w14:paraId="59C959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Механический завод им. Буденного</w:t>
      </w:r>
    </w:p>
    <w:p w14:paraId="1C83DA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1890 год</w:t>
      </w:r>
    </w:p>
    <w:p w14:paraId="09675D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Юрьевская, 14</w:t>
      </w:r>
    </w:p>
    <w:p w14:paraId="5D6E8F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части тракторные, шестерни тракторные, болты, шатуны с гайками, пружины</w:t>
      </w:r>
    </w:p>
    <w:p w14:paraId="75920F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двигатель”</w:t>
      </w:r>
    </w:p>
    <w:p w14:paraId="7F6AFD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1912 год</w:t>
      </w:r>
    </w:p>
    <w:p w14:paraId="4689CF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Новороссийск Азово-Черноморского края, Андрееевский пр., 8</w:t>
      </w:r>
    </w:p>
    <w:p w14:paraId="2FF815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части тракторные, червяки рулевого управления, валы, вентиляторы и т.д.</w:t>
      </w:r>
    </w:p>
    <w:p w14:paraId="5B6AE1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Энгельса</w:t>
      </w:r>
    </w:p>
    <w:p w14:paraId="2E4790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1850 год</w:t>
      </w:r>
    </w:p>
    <w:p w14:paraId="0A6E19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Хортица Днепропетровской области</w:t>
      </w:r>
    </w:p>
    <w:p w14:paraId="3CDA77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части тракторные запасные, шприцы, масленки</w:t>
      </w:r>
    </w:p>
    <w:p w14:paraId="241528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Средне-Волжский завод автотракторных частей</w:t>
      </w:r>
    </w:p>
    <w:p w14:paraId="5AB412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год</w:t>
      </w:r>
    </w:p>
    <w:p w14:paraId="4936C0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Куйбышев, коммунальная, 8</w:t>
      </w:r>
    </w:p>
    <w:p w14:paraId="5491F4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части тракторные, клапана, пальцы поршня и т.д.</w:t>
      </w:r>
    </w:p>
    <w:p w14:paraId="7E6F8C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Механический чугунолитейный и механический завод “Ленпромет”</w:t>
      </w:r>
    </w:p>
    <w:p w14:paraId="18659D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Мичуринск (Козлов) Воронежской области, ул. Лебединская, 1</w:t>
      </w:r>
    </w:p>
    <w:p w14:paraId="0D4D38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части тракторные, кольца поршневые, компрессорные и масляные и т.д.</w:t>
      </w:r>
    </w:p>
    <w:p w14:paraId="668E80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Медведева</w:t>
      </w:r>
    </w:p>
    <w:p w14:paraId="03DD8C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1867 год</w:t>
      </w:r>
    </w:p>
    <w:p w14:paraId="6565D0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Орел Курской области, Московская, 67</w:t>
      </w:r>
    </w:p>
    <w:p w14:paraId="0E0F7C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поршни, кольца поршневые</w:t>
      </w:r>
    </w:p>
    <w:p w14:paraId="0339B7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Лепсе</w:t>
      </w:r>
    </w:p>
    <w:p w14:paraId="58398E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Киев, Брест-Литовское шоссе, 39</w:t>
      </w:r>
    </w:p>
    <w:p w14:paraId="331C2D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части тракторные, поршни, гильзы цилиндровые, головки цилиндров моторов и т.д.</w:t>
      </w:r>
    </w:p>
    <w:p w14:paraId="5B18BA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“Октябрь”</w:t>
      </w:r>
    </w:p>
    <w:p w14:paraId="5EB3B4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Краснодар Азово-Черноморского края</w:t>
      </w:r>
    </w:p>
    <w:p w14:paraId="2F2407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шкивы вентиляторов, крестовины вентиляторов и т.д.</w:t>
      </w:r>
    </w:p>
    <w:p w14:paraId="143BFE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Ильича</w:t>
      </w:r>
    </w:p>
    <w:p w14:paraId="5C906B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Ташкент</w:t>
      </w:r>
    </w:p>
    <w:p w14:paraId="2B6FC3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части тракторные, валы вентилятора, шкивы вентилятора, вкладыши шатуна, литье чугунное, работы котельные, ремонт автомобилей, кровати железные</w:t>
      </w:r>
    </w:p>
    <w:p w14:paraId="799F8D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Мариупольский завод</w:t>
      </w:r>
    </w:p>
    <w:p w14:paraId="78FFC1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Мариуполь Донецкой области</w:t>
      </w:r>
    </w:p>
    <w:p w14:paraId="06C1FB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сердцевины для радиаторов, трубки для радиаторов ремонтные</w:t>
      </w:r>
    </w:p>
    <w:p w14:paraId="5ADD09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Тамбовский завод</w:t>
      </w:r>
    </w:p>
    <w:p w14:paraId="6CB6B8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Тамбов Воронежской области</w:t>
      </w:r>
    </w:p>
    <w:p w14:paraId="38CB31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поршни</w:t>
      </w:r>
    </w:p>
    <w:p w14:paraId="664389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Воронежский завод</w:t>
      </w:r>
    </w:p>
    <w:p w14:paraId="480B4E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Воронеж</w:t>
      </w:r>
    </w:p>
    <w:p w14:paraId="74CF5F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гильзы цилиндра, черное литье поршней</w:t>
      </w:r>
    </w:p>
    <w:p w14:paraId="527FBF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“Поршень”</w:t>
      </w:r>
    </w:p>
    <w:p w14:paraId="09F4FD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Харьков</w:t>
      </w:r>
    </w:p>
    <w:p w14:paraId="169E2D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поршни, пальцы</w:t>
      </w:r>
    </w:p>
    <w:p w14:paraId="4D3DBE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Оренбургский завод</w:t>
      </w:r>
    </w:p>
    <w:p w14:paraId="54BECC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Оренбург</w:t>
      </w:r>
    </w:p>
    <w:p w14:paraId="36BC70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поршни, вкладыши шатуна и т.д.</w:t>
      </w:r>
    </w:p>
    <w:p w14:paraId="762C84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Сысертский завод</w:t>
      </w:r>
    </w:p>
    <w:p w14:paraId="24EE7B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Сысерть Свердловской области</w:t>
      </w:r>
    </w:p>
    <w:p w14:paraId="6BF609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крышки и вкладыши подшипника, флянцы и крестовины вентилятора</w:t>
      </w:r>
    </w:p>
    <w:p w14:paraId="58E9EB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XIV годовщины Октября</w:t>
      </w:r>
    </w:p>
    <w:p w14:paraId="20FA91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Мелекес Куйбышевского края</w:t>
      </w:r>
    </w:p>
    <w:p w14:paraId="47BF70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части запасные тракторные, резервуары и боковины радиаторов, кожухи водяного насоса и т.д.</w:t>
      </w:r>
    </w:p>
    <w:p w14:paraId="1646E8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Петуховский завод</w:t>
      </w:r>
    </w:p>
    <w:p w14:paraId="3941C2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1903 год</w:t>
      </w:r>
    </w:p>
    <w:p w14:paraId="2AC2DE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ст. Петухово Челябинской области</w:t>
      </w:r>
    </w:p>
    <w:p w14:paraId="10D866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соломорезки, аппараты точильные, запчасти тракторные</w:t>
      </w:r>
    </w:p>
    <w:p w14:paraId="58E508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“Рессора”</w:t>
      </w:r>
    </w:p>
    <w:p w14:paraId="65794A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1916 год</w:t>
      </w:r>
    </w:p>
    <w:p w14:paraId="79214C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Ярославское шоссе</w:t>
      </w:r>
    </w:p>
    <w:p w14:paraId="0D8230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рессоры</w:t>
      </w:r>
    </w:p>
    <w:p w14:paraId="567F64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Ростовский завод</w:t>
      </w:r>
    </w:p>
    <w:p w14:paraId="7033CC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Ростов-на-Дону Азово-Черноморского края</w:t>
      </w:r>
    </w:p>
    <w:p w14:paraId="0E315C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поршни, пальцы</w:t>
      </w:r>
    </w:p>
    <w:p w14:paraId="16AE9D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Каховский завод</w:t>
      </w:r>
    </w:p>
    <w:p w14:paraId="43E146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Каховка Одесской области</w:t>
      </w:r>
    </w:p>
    <w:p w14:paraId="346924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Продукция: поршни кольцевые компрессионные и масляные</w:t>
      </w:r>
    </w:p>
    <w:p w14:paraId="40A7E2CF"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Институты:</w:t>
      </w:r>
    </w:p>
    <w:p w14:paraId="03B4FE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 по проектированию заводов автотракторной промышленности (Гипровато)</w:t>
      </w:r>
    </w:p>
    <w:p w14:paraId="518BFD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год</w:t>
      </w:r>
    </w:p>
    <w:p w14:paraId="027F6C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Лихоборы, НАТИ</w:t>
      </w:r>
    </w:p>
    <w:p w14:paraId="6D61D6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НИИ автотракторной промышленности (Нати)</w:t>
      </w:r>
    </w:p>
    <w:p w14:paraId="5D8189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1922</w:t>
      </w:r>
    </w:p>
    <w:p w14:paraId="4D8C3D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год</w:t>
      </w:r>
    </w:p>
    <w:p w14:paraId="18287D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Москва, Лихоборы (8198).</w:t>
      </w:r>
    </w:p>
    <w:p w14:paraId="645CF646" w14:textId="77777777" w:rsidR="00D4105E" w:rsidRPr="00E14102" w:rsidRDefault="00D4105E" w:rsidP="00E14102">
      <w:pPr>
        <w:autoSpaceDE w:val="0"/>
        <w:autoSpaceDN w:val="0"/>
        <w:adjustRightInd w:val="0"/>
        <w:jc w:val="both"/>
        <w:rPr>
          <w:color w:val="000000" w:themeColor="text1"/>
          <w:sz w:val="16"/>
          <w:szCs w:val="16"/>
        </w:rPr>
      </w:pPr>
    </w:p>
    <w:p w14:paraId="5D60D7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Не ранее 1 января 1935 г. - из отчета Сталинградского тракторного завода за 1934 г. </w:t>
      </w:r>
    </w:p>
    <w:p w14:paraId="67440E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Организационная перестройка </w:t>
      </w:r>
    </w:p>
    <w:p w14:paraId="38DE80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Вопросы организации производства и управления не были в достаточной мере разрешены при пуске завода и на протяжении двух первых лет работы. В 1933 г. это привело к определенному разрыву между технико-производственной базой, задачами завода и уровнем организации. После решений XVII партийного съезда завод в марте 1934 г. с помощью «Оргаметалла» приступил к разработке и проведению мероприятий по организации производства и его управления. </w:t>
      </w:r>
    </w:p>
    <w:p w14:paraId="4AFA1B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Программа и принципы организации отдельных участков сводятся к следующему: </w:t>
      </w:r>
    </w:p>
    <w:p w14:paraId="77FAE4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По ремонтному хозяйству.— Децентрализация обязанностей в ответственности за состояние и текущий ремонт оборудования, централизация капитального ремонта и изготовления запасных частей через единый ремонтный цех и планово-предупредительный ремонт, базирующийся на парке запчастей и расчете ремонтных циклов по методу условных ремонтных единиц. </w:t>
      </w:r>
    </w:p>
    <w:p w14:paraId="6F0EED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 По инструментальному хозяйств у.— Централизация инструмент-снабжения на основе нормы расхода и запаса инструмента через ЦИС (принцип работы на склад) с принудительной подготовкой заказов в инструментальном цехе. </w:t>
      </w:r>
    </w:p>
    <w:p w14:paraId="2AC3D3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3. Внешний транспорт.— Централизация планирования, регулирования железнодорожного транспорта, автотранспорта, погрузо-разгрузочных работ, децентрализация оперативного руководства по видам транспорта и единство ответственности за эксплуатацию и ремонт. </w:t>
      </w:r>
    </w:p>
    <w:p w14:paraId="358C9C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4. Межцеховой транспорт.— Централизация и единство ремонта с эксплуатацией, планирование по грузопотокам и маршрутизации. </w:t>
      </w:r>
    </w:p>
    <w:p w14:paraId="6E5F17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5. Подготовка производств а.— Децентрализация технологической подготовки и по действующему объекту, наладке и освоению новых, централизация планирования подготовки, проектирования по новым объектам, а также вопросов изменения технологических условий и нормализации. Децентрализация работы по техническому нормированию и внедрению норм и централизация исследовательских, контрольных функций и разработки нормативов. </w:t>
      </w:r>
    </w:p>
    <w:p w14:paraId="5110C0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6. Планирование производства.— Единство экономического и производственного планирования; органическая увязка планов и заданий с организационно-технической подготовкой производства; выдача цехам и участкам (отделениям) единых производственно-экономических заданий с подетальной сметной калькуляцией на базе нормативов и расчетов производства; контроль выполнения этих заданий в размере сметной калькуляции в порядке бухгалтерского учета. Оперативное регулирование хода производства и текущей технологической подготовки производства диспетчерскими методами и средствами в связи с выделением последних функций из единого планового отдела в производственно-диспетчерский. </w:t>
      </w:r>
    </w:p>
    <w:p w14:paraId="0ABA92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7. Организация управленческого аппарата заводоуправления и цехов.— Ликвидация функционалки, многоступенчатости и построение органов по территориально-производственному принципу на основе единоначалия, на основе решений XVII съезда и директив НКТП. </w:t>
      </w:r>
    </w:p>
    <w:p w14:paraId="32977E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основу технических проектов положены установки на максимально возможную механизацию погрузо-разгрузочных операций при самых минимальных капиталовложениях; увязку материально-технической базы (тары, склады, стеллажи, весы) с требованиями планирования и учета; подтягивание транспортно-складского хозяйства и утильбазы до уровня и задач технической вооруженности основного производства и этим самым подведение базы для борьбы за культурный стиль работы, за чистоту. </w:t>
      </w:r>
    </w:p>
    <w:p w14:paraId="78E5A2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Названные выше разработки закончены в основном в сентябре 1934 г., и с этого времени приступлено к практическому проведению их в жизнь. На сегодня степень их внедрения такова: </w:t>
      </w:r>
    </w:p>
    <w:p w14:paraId="1CA273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определение и распределение функций в аппарате управления завода и цехами и его организация — все основные положения, вытекающие из разработок, внедрены; </w:t>
      </w:r>
    </w:p>
    <w:p w14:paraId="1F4057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 принятая система работы в основном внедрена по инструментальному хозяйству, ремонтному цеху, планированию и оперативному учету в основных цехах, по снабженческому хозяйству, по планированию подготовки производства, по организации межцехового транспорта, частично по ремонтному хозяйству в основных цехах и по транспортному хозяйству; </w:t>
      </w:r>
    </w:p>
    <w:p w14:paraId="027760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3) разработки технических проектов частично внедрены по базе сталей, главному магазину, механосборочному цеху. </w:t>
      </w:r>
      <w:r w:rsidR="00AB49AD" w:rsidRPr="00E14102">
        <w:rPr>
          <w:color w:val="000000" w:themeColor="text1"/>
          <w:sz w:val="16"/>
          <w:szCs w:val="16"/>
        </w:rPr>
        <w:fldChar w:fldCharType="begin"/>
      </w:r>
      <w:r w:rsidR="00AB49AD" w:rsidRPr="00E14102">
        <w:rPr>
          <w:color w:val="000000" w:themeColor="text1"/>
          <w:sz w:val="16"/>
          <w:szCs w:val="16"/>
        </w:rPr>
        <w:instrText xml:space="preserve">ref HYPERLINK  \l "_edn12" \* MERGEFORMAT </w:instrText>
      </w:r>
      <w:r w:rsidR="00AB49AD" w:rsidRPr="00E14102">
        <w:rPr>
          <w:color w:val="000000" w:themeColor="text1"/>
          <w:sz w:val="16"/>
          <w:szCs w:val="16"/>
        </w:rPr>
        <w:fldChar w:fldCharType="separate"/>
      </w:r>
      <w:r w:rsidRPr="00E14102">
        <w:rPr>
          <w:color w:val="000000" w:themeColor="text1"/>
          <w:sz w:val="16"/>
          <w:szCs w:val="16"/>
          <w:u w:val="single"/>
        </w:rPr>
        <w:t>[12]</w:t>
      </w:r>
      <w:r w:rsidR="00AB49AD" w:rsidRPr="00E14102">
        <w:rPr>
          <w:color w:val="000000" w:themeColor="text1"/>
          <w:sz w:val="16"/>
          <w:szCs w:val="16"/>
          <w:u w:val="single"/>
        </w:rPr>
        <w:fldChar w:fldCharType="end"/>
      </w:r>
    </w:p>
    <w:p w14:paraId="38AE7C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Производительность труда </w:t>
      </w:r>
    </w:p>
    <w:p w14:paraId="18E601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 росту выработки на одного списочного рабочего завод в отчетном году добился весьма значительных успехов. Выработка за 1934 г. на 23,4% выше фактической за 1933 г. и на 2,92% выше плановой на 1934 г. Среднедневная выработка за отчетный год возросла еще больше (с 61,08 руб. в 1933 г. до 76,50 руб. в 1934 г., или на 25,2%) - Рост выработки на одного рабочего явился следствием целого ряда мероприятий, проведенных заводом в 1934 г., главнейшими из которых являются следующие: </w:t>
      </w:r>
    </w:p>
    <w:p w14:paraId="4AD2D8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Введение подготовительных смен для создания нормальных условий работы основных смен (кузнечный цех, механосборочный цех). </w:t>
      </w:r>
    </w:p>
    <w:p w14:paraId="15BAD9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 Установление начала работ для ряда профессий на полчаса ранее для подготовки агрегатов механизмов к началу работы основных смен (растопщики и нагревальщики кузнечного цеха, вагранщики и пр.). </w:t>
      </w:r>
    </w:p>
    <w:p w14:paraId="3C43AA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3) Введение диспетчерской системы регулирования производства. </w:t>
      </w:r>
    </w:p>
    <w:p w14:paraId="0AFB6B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4) Улучшение внутрицехового транспорта — устройство дополнительных тележек для сборки форм по деталям № 127 и 163 и удлинение цепи для зацепки двух форм одновременно, что дало возможность сократить целую смену в крупном пролете в 67 человек. </w:t>
      </w:r>
    </w:p>
    <w:p w14:paraId="6A5564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5) Улучшение технологического процесса. </w:t>
      </w:r>
    </w:p>
    <w:p w14:paraId="69043B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6) Кооперирование станков в механосборочном цехе позволи­ло сократить 96 рабочих в 1-м, 2-м и 3-м отделениях. </w:t>
      </w:r>
    </w:p>
    <w:p w14:paraId="626BAA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7) Пересмотр сдельных норм и внедрение технически обоснованных норм сократили время производственной работы на один условный комплект трактора: по механосборочному цеху — на 3,5%, кузнечному цеху — на 30,3%, литейному цеху — на 16,5%. В течение года на базе проведенных в 1933 г. мероприятий были пересмотрены нормы: по механосборочному цеху — 3574 из 8914, или 40,09%, литейному цеху — 670 из 890, или 64,04%, кузнечному цеху — 740 из 1305, или 67,7%, и прочим вспомогательным цехам — 20 223 из 80 428, или 25,1%. Пересмотр норм производится главным образом по вспомогательным работам, внедрение же технических норм производилось на производственных работах. Внедрение технических норм на производственных работах: по механосборочному цеху — 125 из 3574 всех пересмотренных норм, литейному — 241 из 670, кузнечному — 271 из 740, инструментальному и ремонтно-механическому — 11 880 из 17 507. </w:t>
      </w:r>
    </w:p>
    <w:p w14:paraId="578A9D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8) Уплотнение рабочего дня на основе изучения фактических потерь фотографией рабочего дня и разработка нормативов потерь (вспомогательное время, подготовительно-заключительное и т.д.). В отчетном году проведено 1220 фотографий различных групп рабочих, из которых по механосборочному — 728, литейному — 190, кузнечному — 31 и инструментальному—93. Фактическая продолжительность рабочего дня (полезная работа) в отчетном году составляла: по механосборочному [в] I квартале — 5,52 час, II квартале — 5,77 час, IV квартале — 6,02 час. </w:t>
      </w:r>
    </w:p>
    <w:p w14:paraId="7BBC79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9) Кроме перечисленных организационно-технических мероприятий, на повышение производительности труда оказали большое влияние следующие факторы: а) значительное по сравнению с 1933 г. сокращение текучести, закрепление кадров на заводе, улучшение состава рабочих в связи с накоплением у них практического опыта в работе; б) увеличение охвата рабочих техучебой, повышение качества техучебы и развитие соцсоревнования по техучебе. </w:t>
      </w:r>
    </w:p>
    <w:p w14:paraId="089B64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ЦГАНХ СССР, ф. 7622, on. 1, д. 728, лл. 5—6, 52—53. Стеклогр. экз. (12053).</w:t>
      </w:r>
    </w:p>
    <w:p w14:paraId="4C58630A" w14:textId="77777777" w:rsidR="00D4105E" w:rsidRPr="00E14102" w:rsidRDefault="00D4105E" w:rsidP="00E14102">
      <w:pPr>
        <w:autoSpaceDE w:val="0"/>
        <w:autoSpaceDN w:val="0"/>
        <w:adjustRightInd w:val="0"/>
        <w:jc w:val="both"/>
        <w:rPr>
          <w:color w:val="000000" w:themeColor="text1"/>
          <w:sz w:val="16"/>
          <w:szCs w:val="16"/>
        </w:rPr>
      </w:pPr>
    </w:p>
    <w:p w14:paraId="75DC46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Не ранее 1 января 1935 г. - из отчета Всесоюзного треста качественных и высококачественных сталей и ферросплавов Наркомтяжпрома СССР за 1934 г. </w:t>
      </w:r>
    </w:p>
    <w:p w14:paraId="1E9AF4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Трест «Спецсталь» в 1934 г. выполнил программу по всему металлургическому циклу (чугун, сталь, прокат, холоднотянутый калиброванный металл,авиапоковки) с перекрытием потерь от неввода нового оборудования. </w:t>
      </w:r>
    </w:p>
    <w:p w14:paraId="399188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Результаты годовой работы следующие [табл. 1]. </w:t>
      </w:r>
    </w:p>
    <w:p w14:paraId="1F3B6C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[ТАБЛИЦА 1]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516"/>
        <w:gridCol w:w="669"/>
        <w:gridCol w:w="669"/>
        <w:gridCol w:w="2504"/>
      </w:tblGrid>
      <w:tr w:rsidR="00E3599D" w:rsidRPr="00E14102" w14:paraId="2AF79801" w14:textId="77777777" w:rsidTr="00D4105E">
        <w:tc>
          <w:tcPr>
            <w:tcW w:w="5516" w:type="dxa"/>
            <w:tcBorders>
              <w:top w:val="single" w:sz="12" w:space="0" w:color="auto"/>
            </w:tcBorders>
          </w:tcPr>
          <w:p w14:paraId="45AE42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[Виды продукции]</w:t>
            </w:r>
          </w:p>
        </w:tc>
        <w:tc>
          <w:tcPr>
            <w:tcW w:w="669" w:type="dxa"/>
            <w:gridSpan w:val="2"/>
            <w:tcBorders>
              <w:top w:val="single" w:sz="12" w:space="0" w:color="auto"/>
            </w:tcBorders>
          </w:tcPr>
          <w:p w14:paraId="493A70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плана</w:t>
            </w:r>
          </w:p>
        </w:tc>
        <w:tc>
          <w:tcPr>
            <w:tcW w:w="2504" w:type="dxa"/>
            <w:tcBorders>
              <w:top w:val="single" w:sz="12" w:space="0" w:color="auto"/>
            </w:tcBorders>
          </w:tcPr>
          <w:p w14:paraId="61EBB7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Рост по отношению к 1933г., %</w:t>
            </w:r>
          </w:p>
        </w:tc>
      </w:tr>
      <w:tr w:rsidR="00E3599D" w:rsidRPr="00E14102" w14:paraId="699FCBE3" w14:textId="77777777">
        <w:tc>
          <w:tcPr>
            <w:tcW w:w="5516" w:type="dxa"/>
          </w:tcPr>
          <w:p w14:paraId="778F3859" w14:textId="77777777" w:rsidR="00D4105E" w:rsidRPr="00E14102" w:rsidRDefault="00D4105E" w:rsidP="00E14102">
            <w:pPr>
              <w:autoSpaceDE w:val="0"/>
              <w:autoSpaceDN w:val="0"/>
              <w:adjustRightInd w:val="0"/>
              <w:jc w:val="both"/>
              <w:rPr>
                <w:color w:val="000000" w:themeColor="text1"/>
                <w:sz w:val="16"/>
                <w:szCs w:val="16"/>
              </w:rPr>
            </w:pPr>
          </w:p>
        </w:tc>
        <w:tc>
          <w:tcPr>
            <w:tcW w:w="669" w:type="dxa"/>
          </w:tcPr>
          <w:p w14:paraId="4C71B4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тыс. т</w:t>
            </w:r>
          </w:p>
        </w:tc>
        <w:tc>
          <w:tcPr>
            <w:tcW w:w="669" w:type="dxa"/>
          </w:tcPr>
          <w:p w14:paraId="411EE5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504" w:type="dxa"/>
          </w:tcPr>
          <w:p w14:paraId="5956950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55F3F05" w14:textId="77777777">
        <w:tc>
          <w:tcPr>
            <w:tcW w:w="5516" w:type="dxa"/>
          </w:tcPr>
          <w:p w14:paraId="325DB2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чугуну</w:t>
            </w:r>
          </w:p>
        </w:tc>
        <w:tc>
          <w:tcPr>
            <w:tcW w:w="669" w:type="dxa"/>
          </w:tcPr>
          <w:p w14:paraId="4FA745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626,4</w:t>
            </w:r>
          </w:p>
        </w:tc>
        <w:tc>
          <w:tcPr>
            <w:tcW w:w="669" w:type="dxa"/>
          </w:tcPr>
          <w:p w14:paraId="5F272F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104,7</w:t>
            </w:r>
          </w:p>
        </w:tc>
        <w:tc>
          <w:tcPr>
            <w:tcW w:w="2504" w:type="dxa"/>
          </w:tcPr>
          <w:p w14:paraId="7D56C8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357,8</w:t>
            </w:r>
          </w:p>
        </w:tc>
      </w:tr>
      <w:tr w:rsidR="00E3599D" w:rsidRPr="00E14102" w14:paraId="71392906" w14:textId="77777777">
        <w:tc>
          <w:tcPr>
            <w:tcW w:w="5516" w:type="dxa"/>
          </w:tcPr>
          <w:p w14:paraId="320166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ферросплавам</w:t>
            </w:r>
          </w:p>
        </w:tc>
        <w:tc>
          <w:tcPr>
            <w:tcW w:w="669" w:type="dxa"/>
          </w:tcPr>
          <w:p w14:paraId="7AB9B1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66,8</w:t>
            </w:r>
          </w:p>
        </w:tc>
        <w:tc>
          <w:tcPr>
            <w:tcW w:w="669" w:type="dxa"/>
          </w:tcPr>
          <w:p w14:paraId="40DB5D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96,8</w:t>
            </w:r>
          </w:p>
        </w:tc>
        <w:tc>
          <w:tcPr>
            <w:tcW w:w="2504" w:type="dxa"/>
          </w:tcPr>
          <w:p w14:paraId="3AA1EE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321,5</w:t>
            </w:r>
          </w:p>
        </w:tc>
      </w:tr>
      <w:tr w:rsidR="00E3599D" w:rsidRPr="00E14102" w14:paraId="34E16471" w14:textId="77777777">
        <w:tc>
          <w:tcPr>
            <w:tcW w:w="5516" w:type="dxa"/>
          </w:tcPr>
          <w:p w14:paraId="38E7BE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стали</w:t>
            </w:r>
          </w:p>
        </w:tc>
        <w:tc>
          <w:tcPr>
            <w:tcW w:w="669" w:type="dxa"/>
          </w:tcPr>
          <w:p w14:paraId="2D83D6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1035,8</w:t>
            </w:r>
          </w:p>
        </w:tc>
        <w:tc>
          <w:tcPr>
            <w:tcW w:w="669" w:type="dxa"/>
          </w:tcPr>
          <w:p w14:paraId="35CC51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103,8</w:t>
            </w:r>
          </w:p>
        </w:tc>
        <w:tc>
          <w:tcPr>
            <w:tcW w:w="2504" w:type="dxa"/>
          </w:tcPr>
          <w:p w14:paraId="7A5F4B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119,6</w:t>
            </w:r>
          </w:p>
        </w:tc>
      </w:tr>
      <w:tr w:rsidR="00E3599D" w:rsidRPr="00E14102" w14:paraId="6814AD27" w14:textId="77777777" w:rsidTr="00D4105E">
        <w:tc>
          <w:tcPr>
            <w:tcW w:w="5516" w:type="dxa"/>
            <w:gridSpan w:val="4"/>
          </w:tcPr>
          <w:p w14:paraId="45D71A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том числе:</w:t>
            </w:r>
          </w:p>
        </w:tc>
      </w:tr>
      <w:tr w:rsidR="00E3599D" w:rsidRPr="00E14102" w14:paraId="28D714F4" w14:textId="77777777">
        <w:tc>
          <w:tcPr>
            <w:tcW w:w="5516" w:type="dxa"/>
          </w:tcPr>
          <w:p w14:paraId="7C43AB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мартеновской</w:t>
            </w:r>
          </w:p>
        </w:tc>
        <w:tc>
          <w:tcPr>
            <w:tcW w:w="669" w:type="dxa"/>
          </w:tcPr>
          <w:p w14:paraId="4B23A4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851,4</w:t>
            </w:r>
          </w:p>
        </w:tc>
        <w:tc>
          <w:tcPr>
            <w:tcW w:w="669" w:type="dxa"/>
          </w:tcPr>
          <w:p w14:paraId="317457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105,8</w:t>
            </w:r>
          </w:p>
        </w:tc>
        <w:tc>
          <w:tcPr>
            <w:tcW w:w="2504" w:type="dxa"/>
          </w:tcPr>
          <w:p w14:paraId="574FBB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111,8</w:t>
            </w:r>
          </w:p>
        </w:tc>
      </w:tr>
      <w:tr w:rsidR="00E3599D" w:rsidRPr="00E14102" w14:paraId="7C483CE1" w14:textId="77777777">
        <w:tc>
          <w:tcPr>
            <w:tcW w:w="5516" w:type="dxa"/>
          </w:tcPr>
          <w:p w14:paraId="5E4B96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электрической</w:t>
            </w:r>
          </w:p>
        </w:tc>
        <w:tc>
          <w:tcPr>
            <w:tcW w:w="669" w:type="dxa"/>
          </w:tcPr>
          <w:p w14:paraId="14E7FF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184,4</w:t>
            </w:r>
          </w:p>
        </w:tc>
        <w:tc>
          <w:tcPr>
            <w:tcW w:w="669" w:type="dxa"/>
          </w:tcPr>
          <w:p w14:paraId="23320E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94,8</w:t>
            </w:r>
          </w:p>
        </w:tc>
        <w:tc>
          <w:tcPr>
            <w:tcW w:w="2504" w:type="dxa"/>
          </w:tcPr>
          <w:p w14:paraId="52720C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176,6</w:t>
            </w:r>
          </w:p>
        </w:tc>
      </w:tr>
      <w:tr w:rsidR="00E3599D" w:rsidRPr="00E14102" w14:paraId="3952AF13" w14:textId="77777777">
        <w:tc>
          <w:tcPr>
            <w:tcW w:w="5516" w:type="dxa"/>
          </w:tcPr>
          <w:p w14:paraId="7A547D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готовому прокату</w:t>
            </w:r>
          </w:p>
        </w:tc>
        <w:tc>
          <w:tcPr>
            <w:tcW w:w="669" w:type="dxa"/>
          </w:tcPr>
          <w:p w14:paraId="165991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743,7</w:t>
            </w:r>
          </w:p>
        </w:tc>
        <w:tc>
          <w:tcPr>
            <w:tcW w:w="669" w:type="dxa"/>
          </w:tcPr>
          <w:p w14:paraId="05368B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108,3</w:t>
            </w:r>
          </w:p>
        </w:tc>
        <w:tc>
          <w:tcPr>
            <w:tcW w:w="2504" w:type="dxa"/>
          </w:tcPr>
          <w:p w14:paraId="1898CF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122,7</w:t>
            </w:r>
          </w:p>
        </w:tc>
      </w:tr>
      <w:tr w:rsidR="00E3599D" w:rsidRPr="00E14102" w14:paraId="70B3224F" w14:textId="77777777">
        <w:tc>
          <w:tcPr>
            <w:tcW w:w="5516" w:type="dxa"/>
          </w:tcPr>
          <w:p w14:paraId="34133E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том числе по качественному</w:t>
            </w:r>
          </w:p>
        </w:tc>
        <w:tc>
          <w:tcPr>
            <w:tcW w:w="669" w:type="dxa"/>
          </w:tcPr>
          <w:p w14:paraId="6161C7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544,5</w:t>
            </w:r>
          </w:p>
        </w:tc>
        <w:tc>
          <w:tcPr>
            <w:tcW w:w="669" w:type="dxa"/>
          </w:tcPr>
          <w:p w14:paraId="7F2DF1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106,7</w:t>
            </w:r>
          </w:p>
        </w:tc>
        <w:tc>
          <w:tcPr>
            <w:tcW w:w="2504" w:type="dxa"/>
          </w:tcPr>
          <w:p w14:paraId="208385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126,9</w:t>
            </w:r>
          </w:p>
        </w:tc>
      </w:tr>
      <w:tr w:rsidR="00E3599D" w:rsidRPr="00E14102" w14:paraId="31DEC618" w14:textId="77777777">
        <w:tc>
          <w:tcPr>
            <w:tcW w:w="5516" w:type="dxa"/>
          </w:tcPr>
          <w:p w14:paraId="233825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Калиброванный металл</w:t>
            </w:r>
          </w:p>
        </w:tc>
        <w:tc>
          <w:tcPr>
            <w:tcW w:w="669" w:type="dxa"/>
          </w:tcPr>
          <w:p w14:paraId="3BFB53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41,5</w:t>
            </w:r>
          </w:p>
        </w:tc>
        <w:tc>
          <w:tcPr>
            <w:tcW w:w="669" w:type="dxa"/>
          </w:tcPr>
          <w:p w14:paraId="33C460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111,4</w:t>
            </w:r>
          </w:p>
        </w:tc>
        <w:tc>
          <w:tcPr>
            <w:tcW w:w="2504" w:type="dxa"/>
          </w:tcPr>
          <w:p w14:paraId="0FAB18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128,6</w:t>
            </w:r>
          </w:p>
        </w:tc>
      </w:tr>
      <w:tr w:rsidR="00E3599D" w:rsidRPr="00E14102" w14:paraId="3DAF8FC8" w14:textId="77777777">
        <w:tc>
          <w:tcPr>
            <w:tcW w:w="5516" w:type="dxa"/>
          </w:tcPr>
          <w:p w14:paraId="4A625C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Авиапоковки</w:t>
            </w:r>
          </w:p>
        </w:tc>
        <w:tc>
          <w:tcPr>
            <w:tcW w:w="669" w:type="dxa"/>
          </w:tcPr>
          <w:p w14:paraId="3A7E26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7,05</w:t>
            </w:r>
          </w:p>
        </w:tc>
        <w:tc>
          <w:tcPr>
            <w:tcW w:w="669" w:type="dxa"/>
          </w:tcPr>
          <w:p w14:paraId="14A5C6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108,4</w:t>
            </w:r>
          </w:p>
        </w:tc>
        <w:tc>
          <w:tcPr>
            <w:tcW w:w="2504" w:type="dxa"/>
          </w:tcPr>
          <w:p w14:paraId="36B44B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tc>
      </w:tr>
      <w:tr w:rsidR="00E3599D" w:rsidRPr="00E14102" w14:paraId="79CCA7E0" w14:textId="77777777">
        <w:tc>
          <w:tcPr>
            <w:tcW w:w="5516" w:type="dxa"/>
            <w:tcBorders>
              <w:bottom w:val="single" w:sz="12" w:space="0" w:color="auto"/>
            </w:tcBorders>
          </w:tcPr>
          <w:p w14:paraId="132BBA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Валовая продукция в ценах 1926/ 27 г., млн. руб. (по металлургии)</w:t>
            </w:r>
          </w:p>
        </w:tc>
        <w:tc>
          <w:tcPr>
            <w:tcW w:w="669" w:type="dxa"/>
            <w:tcBorders>
              <w:bottom w:val="single" w:sz="12" w:space="0" w:color="auto"/>
            </w:tcBorders>
          </w:tcPr>
          <w:p w14:paraId="0FA39D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504,6</w:t>
            </w:r>
          </w:p>
        </w:tc>
        <w:tc>
          <w:tcPr>
            <w:tcW w:w="669" w:type="dxa"/>
            <w:tcBorders>
              <w:bottom w:val="single" w:sz="12" w:space="0" w:color="auto"/>
            </w:tcBorders>
          </w:tcPr>
          <w:p w14:paraId="12E066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107,6</w:t>
            </w:r>
          </w:p>
        </w:tc>
        <w:tc>
          <w:tcPr>
            <w:tcW w:w="2504" w:type="dxa"/>
            <w:tcBorders>
              <w:bottom w:val="single" w:sz="12" w:space="0" w:color="auto"/>
            </w:tcBorders>
          </w:tcPr>
          <w:p w14:paraId="45C6E1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149,2</w:t>
            </w:r>
          </w:p>
        </w:tc>
      </w:tr>
    </w:tbl>
    <w:p w14:paraId="3B512A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составе продукции, выпускаемой заводами «Спецстали», неуклонно продолжал расти удельный вес более квалифицированных видов стали [табл. 2]. </w:t>
      </w:r>
    </w:p>
    <w:p w14:paraId="33CAAB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[ТАБЛИЦА 2]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705"/>
        <w:gridCol w:w="884"/>
        <w:gridCol w:w="884"/>
        <w:gridCol w:w="884"/>
      </w:tblGrid>
      <w:tr w:rsidR="00E3599D" w:rsidRPr="00E14102" w14:paraId="650D0BC1" w14:textId="77777777">
        <w:tc>
          <w:tcPr>
            <w:tcW w:w="6705" w:type="dxa"/>
            <w:tcBorders>
              <w:top w:val="single" w:sz="12" w:space="0" w:color="auto"/>
            </w:tcBorders>
          </w:tcPr>
          <w:p w14:paraId="011B7FD9" w14:textId="77777777" w:rsidR="00D4105E" w:rsidRPr="00E14102" w:rsidRDefault="00D4105E" w:rsidP="00E14102">
            <w:pPr>
              <w:autoSpaceDE w:val="0"/>
              <w:autoSpaceDN w:val="0"/>
              <w:adjustRightInd w:val="0"/>
              <w:jc w:val="both"/>
              <w:rPr>
                <w:color w:val="000000" w:themeColor="text1"/>
                <w:sz w:val="16"/>
                <w:szCs w:val="16"/>
              </w:rPr>
            </w:pPr>
          </w:p>
        </w:tc>
        <w:tc>
          <w:tcPr>
            <w:tcW w:w="884" w:type="dxa"/>
            <w:tcBorders>
              <w:top w:val="single" w:sz="12" w:space="0" w:color="auto"/>
            </w:tcBorders>
          </w:tcPr>
          <w:p w14:paraId="170462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w:t>
            </w:r>
          </w:p>
        </w:tc>
        <w:tc>
          <w:tcPr>
            <w:tcW w:w="884" w:type="dxa"/>
            <w:tcBorders>
              <w:top w:val="single" w:sz="12" w:space="0" w:color="auto"/>
            </w:tcBorders>
          </w:tcPr>
          <w:p w14:paraId="1E43AA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w:t>
            </w:r>
          </w:p>
        </w:tc>
        <w:tc>
          <w:tcPr>
            <w:tcW w:w="884" w:type="dxa"/>
            <w:tcBorders>
              <w:top w:val="single" w:sz="12" w:space="0" w:color="auto"/>
            </w:tcBorders>
          </w:tcPr>
          <w:p w14:paraId="250251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w:t>
            </w:r>
          </w:p>
        </w:tc>
      </w:tr>
      <w:tr w:rsidR="00E3599D" w:rsidRPr="00E14102" w14:paraId="5EBFAF52" w14:textId="77777777" w:rsidTr="00D4105E">
        <w:tc>
          <w:tcPr>
            <w:tcW w:w="6705" w:type="dxa"/>
            <w:gridSpan w:val="4"/>
          </w:tcPr>
          <w:p w14:paraId="4088E4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Удельный вес:</w:t>
            </w:r>
          </w:p>
        </w:tc>
      </w:tr>
      <w:tr w:rsidR="00E3599D" w:rsidRPr="00E14102" w14:paraId="13290740" w14:textId="77777777">
        <w:tc>
          <w:tcPr>
            <w:tcW w:w="6705" w:type="dxa"/>
          </w:tcPr>
          <w:p w14:paraId="7AB5C4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электрической стали в общем выпуске</w:t>
            </w:r>
          </w:p>
        </w:tc>
        <w:tc>
          <w:tcPr>
            <w:tcW w:w="884" w:type="dxa"/>
          </w:tcPr>
          <w:p w14:paraId="2A4E37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w:t>
            </w:r>
          </w:p>
        </w:tc>
        <w:tc>
          <w:tcPr>
            <w:tcW w:w="884" w:type="dxa"/>
          </w:tcPr>
          <w:p w14:paraId="15B765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12,5</w:t>
            </w:r>
          </w:p>
        </w:tc>
        <w:tc>
          <w:tcPr>
            <w:tcW w:w="884" w:type="dxa"/>
          </w:tcPr>
          <w:p w14:paraId="37BE1B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17,8</w:t>
            </w:r>
          </w:p>
        </w:tc>
      </w:tr>
      <w:tr w:rsidR="00E3599D" w:rsidRPr="00E14102" w14:paraId="4514DB9E" w14:textId="77777777">
        <w:tc>
          <w:tcPr>
            <w:tcW w:w="6705" w:type="dxa"/>
          </w:tcPr>
          <w:p w14:paraId="2807EC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качественного проката в общем выпуске</w:t>
            </w:r>
          </w:p>
        </w:tc>
        <w:tc>
          <w:tcPr>
            <w:tcW w:w="884" w:type="dxa"/>
          </w:tcPr>
          <w:p w14:paraId="53004B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w:t>
            </w:r>
          </w:p>
        </w:tc>
        <w:tc>
          <w:tcPr>
            <w:tcW w:w="884" w:type="dxa"/>
          </w:tcPr>
          <w:p w14:paraId="4D562F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70,6</w:t>
            </w:r>
          </w:p>
        </w:tc>
        <w:tc>
          <w:tcPr>
            <w:tcW w:w="884" w:type="dxa"/>
          </w:tcPr>
          <w:p w14:paraId="7E5605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73,2</w:t>
            </w:r>
          </w:p>
        </w:tc>
      </w:tr>
      <w:tr w:rsidR="00E3599D" w:rsidRPr="00E14102" w14:paraId="6EC86B8A" w14:textId="77777777">
        <w:tc>
          <w:tcPr>
            <w:tcW w:w="6705" w:type="dxa"/>
          </w:tcPr>
          <w:p w14:paraId="4C3A15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легированного проката в качественном прокате</w:t>
            </w:r>
          </w:p>
        </w:tc>
        <w:tc>
          <w:tcPr>
            <w:tcW w:w="884" w:type="dxa"/>
          </w:tcPr>
          <w:p w14:paraId="6B45F5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40,5</w:t>
            </w:r>
          </w:p>
        </w:tc>
        <w:tc>
          <w:tcPr>
            <w:tcW w:w="884" w:type="dxa"/>
          </w:tcPr>
          <w:p w14:paraId="75F76D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49,5</w:t>
            </w:r>
          </w:p>
        </w:tc>
        <w:tc>
          <w:tcPr>
            <w:tcW w:w="884" w:type="dxa"/>
          </w:tcPr>
          <w:p w14:paraId="30314F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50,6</w:t>
            </w:r>
          </w:p>
        </w:tc>
      </w:tr>
      <w:tr w:rsidR="00E3599D" w:rsidRPr="00E14102" w14:paraId="20CCA3EB" w14:textId="77777777">
        <w:tc>
          <w:tcPr>
            <w:tcW w:w="6705" w:type="dxa"/>
            <w:tcBorders>
              <w:bottom w:val="single" w:sz="12" w:space="0" w:color="auto"/>
            </w:tcBorders>
          </w:tcPr>
          <w:p w14:paraId="19D272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Отношение калиброванного металла к качественному прокату</w:t>
            </w:r>
          </w:p>
        </w:tc>
        <w:tc>
          <w:tcPr>
            <w:tcW w:w="884" w:type="dxa"/>
            <w:tcBorders>
              <w:bottom w:val="single" w:sz="12" w:space="0" w:color="auto"/>
            </w:tcBorders>
          </w:tcPr>
          <w:p w14:paraId="39887B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w:t>
            </w:r>
          </w:p>
        </w:tc>
        <w:tc>
          <w:tcPr>
            <w:tcW w:w="884" w:type="dxa"/>
            <w:tcBorders>
              <w:bottom w:val="single" w:sz="12" w:space="0" w:color="auto"/>
            </w:tcBorders>
          </w:tcPr>
          <w:p w14:paraId="44032C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884" w:type="dxa"/>
            <w:tcBorders>
              <w:bottom w:val="single" w:sz="12" w:space="0" w:color="auto"/>
            </w:tcBorders>
          </w:tcPr>
          <w:p w14:paraId="48C3F6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7,6</w:t>
            </w:r>
          </w:p>
        </w:tc>
      </w:tr>
    </w:tbl>
    <w:p w14:paraId="65B92D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Абсолютный выпуск высококачественных марок стали и ферросплавов увеличился до следующих размеров [табл. 3]. </w:t>
      </w:r>
    </w:p>
    <w:p w14:paraId="0C203E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[ТАБЛИЦА 3]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077"/>
        <w:gridCol w:w="1070"/>
        <w:gridCol w:w="1070"/>
        <w:gridCol w:w="1070"/>
        <w:gridCol w:w="1070"/>
      </w:tblGrid>
      <w:tr w:rsidR="00E3599D" w:rsidRPr="00E14102" w14:paraId="6ADDFEE7" w14:textId="77777777">
        <w:tc>
          <w:tcPr>
            <w:tcW w:w="5077" w:type="dxa"/>
            <w:tcBorders>
              <w:top w:val="single" w:sz="12" w:space="0" w:color="auto"/>
            </w:tcBorders>
          </w:tcPr>
          <w:p w14:paraId="4C1683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[Марки стали и ферросплавов]</w:t>
            </w:r>
          </w:p>
        </w:tc>
        <w:tc>
          <w:tcPr>
            <w:tcW w:w="1070" w:type="dxa"/>
            <w:tcBorders>
              <w:top w:val="single" w:sz="12" w:space="0" w:color="auto"/>
            </w:tcBorders>
          </w:tcPr>
          <w:p w14:paraId="16C98D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w:t>
            </w:r>
          </w:p>
        </w:tc>
        <w:tc>
          <w:tcPr>
            <w:tcW w:w="1070" w:type="dxa"/>
            <w:tcBorders>
              <w:top w:val="single" w:sz="12" w:space="0" w:color="auto"/>
            </w:tcBorders>
          </w:tcPr>
          <w:p w14:paraId="4D3DDA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 г.</w:t>
            </w:r>
          </w:p>
        </w:tc>
        <w:tc>
          <w:tcPr>
            <w:tcW w:w="1070" w:type="dxa"/>
            <w:tcBorders>
              <w:top w:val="single" w:sz="12" w:space="0" w:color="auto"/>
            </w:tcBorders>
          </w:tcPr>
          <w:p w14:paraId="590377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w:t>
            </w:r>
          </w:p>
        </w:tc>
        <w:tc>
          <w:tcPr>
            <w:tcW w:w="1070" w:type="dxa"/>
            <w:tcBorders>
              <w:top w:val="single" w:sz="12" w:space="0" w:color="auto"/>
            </w:tcBorders>
          </w:tcPr>
          <w:p w14:paraId="751CBF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w:t>
            </w:r>
          </w:p>
        </w:tc>
      </w:tr>
      <w:tr w:rsidR="00E3599D" w:rsidRPr="00E14102" w14:paraId="40561F3F" w14:textId="77777777">
        <w:tc>
          <w:tcPr>
            <w:tcW w:w="5077" w:type="dxa"/>
          </w:tcPr>
          <w:p w14:paraId="6188C5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Шарикоподшипниковая</w:t>
            </w:r>
          </w:p>
        </w:tc>
        <w:tc>
          <w:tcPr>
            <w:tcW w:w="1070" w:type="dxa"/>
          </w:tcPr>
          <w:p w14:paraId="570F7F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0,3</w:t>
            </w:r>
          </w:p>
        </w:tc>
        <w:tc>
          <w:tcPr>
            <w:tcW w:w="1070" w:type="dxa"/>
          </w:tcPr>
          <w:p w14:paraId="08A5A8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5,9</w:t>
            </w:r>
          </w:p>
        </w:tc>
        <w:tc>
          <w:tcPr>
            <w:tcW w:w="1070" w:type="dxa"/>
          </w:tcPr>
          <w:p w14:paraId="56457F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w:t>
            </w:r>
          </w:p>
        </w:tc>
        <w:tc>
          <w:tcPr>
            <w:tcW w:w="1070" w:type="dxa"/>
          </w:tcPr>
          <w:p w14:paraId="433416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45,4</w:t>
            </w:r>
          </w:p>
        </w:tc>
      </w:tr>
      <w:tr w:rsidR="00E3599D" w:rsidRPr="00E14102" w14:paraId="5091E864" w14:textId="77777777">
        <w:tc>
          <w:tcPr>
            <w:tcW w:w="5077" w:type="dxa"/>
          </w:tcPr>
          <w:p w14:paraId="42F983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Быстрорежущая</w:t>
            </w:r>
          </w:p>
        </w:tc>
        <w:tc>
          <w:tcPr>
            <w:tcW w:w="1070" w:type="dxa"/>
          </w:tcPr>
          <w:p w14:paraId="79299C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w:t>
            </w:r>
          </w:p>
        </w:tc>
        <w:tc>
          <w:tcPr>
            <w:tcW w:w="1070" w:type="dxa"/>
          </w:tcPr>
          <w:p w14:paraId="4C64D3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4,7</w:t>
            </w:r>
          </w:p>
        </w:tc>
        <w:tc>
          <w:tcPr>
            <w:tcW w:w="1070" w:type="dxa"/>
          </w:tcPr>
          <w:p w14:paraId="530C23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4,7</w:t>
            </w:r>
          </w:p>
        </w:tc>
        <w:tc>
          <w:tcPr>
            <w:tcW w:w="1070" w:type="dxa"/>
          </w:tcPr>
          <w:p w14:paraId="13C03A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w:t>
            </w:r>
          </w:p>
        </w:tc>
      </w:tr>
      <w:tr w:rsidR="00E3599D" w:rsidRPr="00E14102" w14:paraId="1B83535F" w14:textId="77777777">
        <w:tc>
          <w:tcPr>
            <w:tcW w:w="5077" w:type="dxa"/>
          </w:tcPr>
          <w:p w14:paraId="088D29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Нержавеющая и жароупорная</w:t>
            </w:r>
          </w:p>
        </w:tc>
        <w:tc>
          <w:tcPr>
            <w:tcW w:w="1070" w:type="dxa"/>
          </w:tcPr>
          <w:p w14:paraId="2A82F5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0" w:type="dxa"/>
          </w:tcPr>
          <w:p w14:paraId="7D1144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0,6</w:t>
            </w:r>
          </w:p>
        </w:tc>
        <w:tc>
          <w:tcPr>
            <w:tcW w:w="1070" w:type="dxa"/>
          </w:tcPr>
          <w:p w14:paraId="1A8D59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070" w:type="dxa"/>
          </w:tcPr>
          <w:p w14:paraId="3BADF4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r>
      <w:tr w:rsidR="00E3599D" w:rsidRPr="00E14102" w14:paraId="38E2A0EC" w14:textId="77777777">
        <w:tc>
          <w:tcPr>
            <w:tcW w:w="5077" w:type="dxa"/>
          </w:tcPr>
          <w:p w14:paraId="18222B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Трансформаторная</w:t>
            </w:r>
          </w:p>
        </w:tc>
        <w:tc>
          <w:tcPr>
            <w:tcW w:w="1070" w:type="dxa"/>
          </w:tcPr>
          <w:p w14:paraId="71FD95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3,8</w:t>
            </w:r>
          </w:p>
        </w:tc>
        <w:tc>
          <w:tcPr>
            <w:tcW w:w="1070" w:type="dxa"/>
          </w:tcPr>
          <w:p w14:paraId="285833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9,9</w:t>
            </w:r>
          </w:p>
        </w:tc>
        <w:tc>
          <w:tcPr>
            <w:tcW w:w="1070" w:type="dxa"/>
          </w:tcPr>
          <w:p w14:paraId="5ACC0F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8,7</w:t>
            </w:r>
          </w:p>
        </w:tc>
        <w:tc>
          <w:tcPr>
            <w:tcW w:w="1070" w:type="dxa"/>
          </w:tcPr>
          <w:p w14:paraId="61774D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12,3</w:t>
            </w:r>
          </w:p>
        </w:tc>
      </w:tr>
      <w:tr w:rsidR="00E3599D" w:rsidRPr="00E14102" w14:paraId="574DD37F" w14:textId="77777777">
        <w:tc>
          <w:tcPr>
            <w:tcW w:w="5077" w:type="dxa"/>
          </w:tcPr>
          <w:p w14:paraId="694452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Авторессорная</w:t>
            </w:r>
          </w:p>
        </w:tc>
        <w:tc>
          <w:tcPr>
            <w:tcW w:w="1070" w:type="dxa"/>
          </w:tcPr>
          <w:p w14:paraId="7D1A1C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w:t>
            </w:r>
          </w:p>
        </w:tc>
        <w:tc>
          <w:tcPr>
            <w:tcW w:w="1070" w:type="dxa"/>
          </w:tcPr>
          <w:p w14:paraId="6DD74B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w:t>
            </w:r>
          </w:p>
        </w:tc>
        <w:tc>
          <w:tcPr>
            <w:tcW w:w="1070" w:type="dxa"/>
          </w:tcPr>
          <w:p w14:paraId="77852B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w:t>
            </w:r>
          </w:p>
        </w:tc>
        <w:tc>
          <w:tcPr>
            <w:tcW w:w="1070" w:type="dxa"/>
          </w:tcPr>
          <w:p w14:paraId="4AE1E6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11,6</w:t>
            </w:r>
          </w:p>
        </w:tc>
      </w:tr>
      <w:tr w:rsidR="00E3599D" w:rsidRPr="00E14102" w14:paraId="380476EF" w14:textId="77777777">
        <w:tc>
          <w:tcPr>
            <w:tcW w:w="5077" w:type="dxa"/>
          </w:tcPr>
          <w:p w14:paraId="5FB784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Калиброванный металл</w:t>
            </w:r>
          </w:p>
        </w:tc>
        <w:tc>
          <w:tcPr>
            <w:tcW w:w="1070" w:type="dxa"/>
          </w:tcPr>
          <w:p w14:paraId="1E6AD7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0" w:type="dxa"/>
          </w:tcPr>
          <w:p w14:paraId="03E817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14,9</w:t>
            </w:r>
          </w:p>
        </w:tc>
        <w:tc>
          <w:tcPr>
            <w:tcW w:w="1070" w:type="dxa"/>
          </w:tcPr>
          <w:p w14:paraId="79D65C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32,2</w:t>
            </w:r>
          </w:p>
        </w:tc>
        <w:tc>
          <w:tcPr>
            <w:tcW w:w="1070" w:type="dxa"/>
          </w:tcPr>
          <w:p w14:paraId="2FB7C4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41,5</w:t>
            </w:r>
          </w:p>
        </w:tc>
      </w:tr>
      <w:tr w:rsidR="00E3599D" w:rsidRPr="00E14102" w14:paraId="1E479295" w14:textId="77777777">
        <w:tc>
          <w:tcPr>
            <w:tcW w:w="5077" w:type="dxa"/>
          </w:tcPr>
          <w:p w14:paraId="1E537F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75%-ный ферросплавный</w:t>
            </w:r>
          </w:p>
        </w:tc>
        <w:tc>
          <w:tcPr>
            <w:tcW w:w="1070" w:type="dxa"/>
          </w:tcPr>
          <w:p w14:paraId="0452E3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0,4</w:t>
            </w:r>
          </w:p>
        </w:tc>
        <w:tc>
          <w:tcPr>
            <w:tcW w:w="1070" w:type="dxa"/>
          </w:tcPr>
          <w:p w14:paraId="7ADE4F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1070" w:type="dxa"/>
          </w:tcPr>
          <w:p w14:paraId="3D9FCE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4,3</w:t>
            </w:r>
          </w:p>
        </w:tc>
        <w:tc>
          <w:tcPr>
            <w:tcW w:w="1070" w:type="dxa"/>
          </w:tcPr>
          <w:p w14:paraId="36BD7B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w:t>
            </w:r>
          </w:p>
        </w:tc>
      </w:tr>
      <w:tr w:rsidR="00E3599D" w:rsidRPr="00E14102" w14:paraId="04B18F75" w14:textId="77777777">
        <w:tc>
          <w:tcPr>
            <w:tcW w:w="5077" w:type="dxa"/>
          </w:tcPr>
          <w:p w14:paraId="3ACF18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Безуглеродистый феррохром (0 и 00)</w:t>
            </w:r>
          </w:p>
        </w:tc>
        <w:tc>
          <w:tcPr>
            <w:tcW w:w="1070" w:type="dxa"/>
          </w:tcPr>
          <w:p w14:paraId="35DA6D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0" w:type="dxa"/>
          </w:tcPr>
          <w:p w14:paraId="17B561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0,7</w:t>
            </w:r>
          </w:p>
        </w:tc>
        <w:tc>
          <w:tcPr>
            <w:tcW w:w="1070" w:type="dxa"/>
          </w:tcPr>
          <w:p w14:paraId="245D9D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0,9</w:t>
            </w:r>
          </w:p>
        </w:tc>
        <w:tc>
          <w:tcPr>
            <w:tcW w:w="1070" w:type="dxa"/>
          </w:tcPr>
          <w:p w14:paraId="365F64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r>
      <w:tr w:rsidR="00E3599D" w:rsidRPr="00E14102" w14:paraId="0D186AEF" w14:textId="77777777">
        <w:tc>
          <w:tcPr>
            <w:tcW w:w="5077" w:type="dxa"/>
            <w:tcBorders>
              <w:bottom w:val="single" w:sz="12" w:space="0" w:color="auto"/>
            </w:tcBorders>
          </w:tcPr>
          <w:p w14:paraId="2AD93D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Ферровольфрам</w:t>
            </w:r>
          </w:p>
        </w:tc>
        <w:tc>
          <w:tcPr>
            <w:tcW w:w="1070" w:type="dxa"/>
            <w:tcBorders>
              <w:bottom w:val="single" w:sz="12" w:space="0" w:color="auto"/>
            </w:tcBorders>
          </w:tcPr>
          <w:p w14:paraId="6B1F8B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0" w:type="dxa"/>
            <w:tcBorders>
              <w:bottom w:val="single" w:sz="12" w:space="0" w:color="auto"/>
            </w:tcBorders>
          </w:tcPr>
          <w:p w14:paraId="3437D1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w:t>
            </w:r>
          </w:p>
        </w:tc>
        <w:tc>
          <w:tcPr>
            <w:tcW w:w="1070" w:type="dxa"/>
            <w:tcBorders>
              <w:bottom w:val="single" w:sz="12" w:space="0" w:color="auto"/>
            </w:tcBorders>
          </w:tcPr>
          <w:p w14:paraId="5C6DA6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0,3</w:t>
            </w:r>
          </w:p>
        </w:tc>
        <w:tc>
          <w:tcPr>
            <w:tcW w:w="1070" w:type="dxa"/>
            <w:tcBorders>
              <w:bottom w:val="single" w:sz="12" w:space="0" w:color="auto"/>
            </w:tcBorders>
          </w:tcPr>
          <w:p w14:paraId="75926A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0,5</w:t>
            </w:r>
          </w:p>
        </w:tc>
      </w:tr>
    </w:tbl>
    <w:p w14:paraId="7CCAFD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На заводах «Спецстали» в 1934 г. велась упорная работа по освоению новых марок стали и ферросплавов. </w:t>
      </w:r>
    </w:p>
    <w:p w14:paraId="126499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Освоено производство поковок для двух новых типов моторов советских самолетов (завод «Электросталь»), производство холоднотянутой шарикоподшипниковой стали, импорт которой в связи с этим прекращен, производство автолистов весьма глубокой вытяжки нихромовой проволоки и химически почти чистого железа «Армко» («Серп и молот»), производство калиброванного листа и сложных профилей автотракторной стали («Красный Октябрь»), производство феррохрома марки 00, идущей на изготовление нержавеющих сталей и до сих пор не поддававшейся освоению (Челябинский ферросплавный завод), производство нового вида трансформаторных листов с весьма низкими ваттными потерями (Верх-Исетский завод), производство сильхрома в массовых размерах (Златоустовский завод) и пр. </w:t>
      </w:r>
    </w:p>
    <w:p w14:paraId="3854B5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Настойчивая работа треста «Спецсталь» над полным удовлетворением основных потребителей качественных сталей — автомобильной, тракторной, авиационной, шарикоподшипниковой, инструментальной отраслей промышленности — имело своим результатом выполнение заказов Стальсбыта в целом по тресту. </w:t>
      </w:r>
    </w:p>
    <w:p w14:paraId="24C7AA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При абсолютном увеличении потребности в качественных сталях их импорт, составляющий в 1929/30 г. 21,5% и в 1933 г.— 9,6% от общей потребности, упал в 1934 г до 2,8%. </w:t>
      </w:r>
    </w:p>
    <w:p w14:paraId="1AE54E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свою очередь производство высококачественных сталей, ранее опиравшееся на импорт ферросплавов, в 1934 г. в значительной степени базируется на собственных ферросплавах, производство которых по сравнению с 1933 г. увеличилось более чем в 3 раза. Однако следует указать, что производство ферровольфрама и ферромолибдена базируется на сырье, которое получается нами из-за границы, так как отечественные месторождения вольфрамовых и молибденовых руд еще мало разрабатываются. Производство феррованадия почти вовсе не поставлено из-за неподготовленности сырьевой базы. </w:t>
      </w:r>
    </w:p>
    <w:p w14:paraId="69F099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Наряду с удовлетворительным в количественном отношении снабжением потребителей уделялось огромное внимание качеству продукции, которое неуклонно улучшалось: процент вторых сортов по сравнению с 1933 г. снизился: по сортопрокату — с 10,6 до 7, по листопрокату — с 24 до 21; брак снижен: по сортопрокату — с 4 до 3,7, но листопрокату — с 10 до 7,2; в 1934 г. значительно улучшилось также по сравнению с 1933 г. использование основного оборудования на наших заводах.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110"/>
        <w:gridCol w:w="1624"/>
        <w:gridCol w:w="1624"/>
      </w:tblGrid>
      <w:tr w:rsidR="00E3599D" w:rsidRPr="00E14102" w14:paraId="1424A113" w14:textId="77777777">
        <w:tc>
          <w:tcPr>
            <w:tcW w:w="6110" w:type="dxa"/>
            <w:tcBorders>
              <w:top w:val="single" w:sz="12" w:space="0" w:color="auto"/>
            </w:tcBorders>
          </w:tcPr>
          <w:p w14:paraId="4E4DD1F8" w14:textId="77777777" w:rsidR="00D4105E" w:rsidRPr="00E14102" w:rsidRDefault="00D4105E" w:rsidP="00E14102">
            <w:pPr>
              <w:autoSpaceDE w:val="0"/>
              <w:autoSpaceDN w:val="0"/>
              <w:adjustRightInd w:val="0"/>
              <w:jc w:val="both"/>
              <w:rPr>
                <w:color w:val="000000" w:themeColor="text1"/>
                <w:sz w:val="16"/>
                <w:szCs w:val="16"/>
              </w:rPr>
            </w:pPr>
          </w:p>
        </w:tc>
        <w:tc>
          <w:tcPr>
            <w:tcW w:w="1624" w:type="dxa"/>
            <w:tcBorders>
              <w:top w:val="single" w:sz="12" w:space="0" w:color="auto"/>
            </w:tcBorders>
          </w:tcPr>
          <w:p w14:paraId="1A7CEB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1933 г.</w:t>
            </w:r>
          </w:p>
        </w:tc>
        <w:tc>
          <w:tcPr>
            <w:tcW w:w="1624" w:type="dxa"/>
            <w:tcBorders>
              <w:top w:val="single" w:sz="12" w:space="0" w:color="auto"/>
            </w:tcBorders>
          </w:tcPr>
          <w:p w14:paraId="456D7B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1934 г.</w:t>
            </w:r>
          </w:p>
        </w:tc>
      </w:tr>
      <w:tr w:rsidR="00E3599D" w:rsidRPr="00E14102" w14:paraId="394B1E5C" w14:textId="77777777" w:rsidTr="00D4105E">
        <w:tc>
          <w:tcPr>
            <w:tcW w:w="6110" w:type="dxa"/>
            <w:gridSpan w:val="3"/>
          </w:tcPr>
          <w:p w14:paraId="5C440A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мартеновским печам</w:t>
            </w:r>
          </w:p>
        </w:tc>
      </w:tr>
      <w:tr w:rsidR="00E3599D" w:rsidRPr="00E14102" w14:paraId="24F502AF" w14:textId="77777777">
        <w:tc>
          <w:tcPr>
            <w:tcW w:w="6110" w:type="dxa"/>
          </w:tcPr>
          <w:p w14:paraId="11D87D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Съем в номинальное время</w:t>
            </w:r>
          </w:p>
        </w:tc>
        <w:tc>
          <w:tcPr>
            <w:tcW w:w="1624" w:type="dxa"/>
          </w:tcPr>
          <w:p w14:paraId="395BF4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4,05</w:t>
            </w:r>
          </w:p>
        </w:tc>
        <w:tc>
          <w:tcPr>
            <w:tcW w:w="1624" w:type="dxa"/>
          </w:tcPr>
          <w:p w14:paraId="17D016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4,54</w:t>
            </w:r>
          </w:p>
        </w:tc>
      </w:tr>
      <w:tr w:rsidR="00E3599D" w:rsidRPr="00E14102" w14:paraId="582116BE" w14:textId="77777777">
        <w:tc>
          <w:tcPr>
            <w:tcW w:w="6110" w:type="dxa"/>
          </w:tcPr>
          <w:p w14:paraId="6674C4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горячих простоев</w:t>
            </w:r>
          </w:p>
        </w:tc>
        <w:tc>
          <w:tcPr>
            <w:tcW w:w="1624" w:type="dxa"/>
          </w:tcPr>
          <w:p w14:paraId="28A5FC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9,60</w:t>
            </w:r>
          </w:p>
        </w:tc>
        <w:tc>
          <w:tcPr>
            <w:tcW w:w="1624" w:type="dxa"/>
          </w:tcPr>
          <w:p w14:paraId="02D248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8,80</w:t>
            </w:r>
          </w:p>
        </w:tc>
      </w:tr>
      <w:tr w:rsidR="00E3599D" w:rsidRPr="00E14102" w14:paraId="2120049C" w14:textId="77777777">
        <w:tc>
          <w:tcPr>
            <w:tcW w:w="6110" w:type="dxa"/>
          </w:tcPr>
          <w:p w14:paraId="087262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всех простоев к календарному времени</w:t>
            </w:r>
          </w:p>
        </w:tc>
        <w:tc>
          <w:tcPr>
            <w:tcW w:w="1624" w:type="dxa"/>
          </w:tcPr>
          <w:p w14:paraId="274138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27,30</w:t>
            </w:r>
          </w:p>
        </w:tc>
        <w:tc>
          <w:tcPr>
            <w:tcW w:w="1624" w:type="dxa"/>
          </w:tcPr>
          <w:p w14:paraId="0C151D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24,50</w:t>
            </w:r>
          </w:p>
        </w:tc>
      </w:tr>
      <w:tr w:rsidR="00E3599D" w:rsidRPr="00E14102" w14:paraId="083A35CE" w14:textId="77777777">
        <w:tc>
          <w:tcPr>
            <w:tcW w:w="6110" w:type="dxa"/>
          </w:tcPr>
          <w:p w14:paraId="645DA6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Выход годного</w:t>
            </w:r>
          </w:p>
        </w:tc>
        <w:tc>
          <w:tcPr>
            <w:tcW w:w="1624" w:type="dxa"/>
          </w:tcPr>
          <w:p w14:paraId="77BD97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85,05</w:t>
            </w:r>
          </w:p>
        </w:tc>
        <w:tc>
          <w:tcPr>
            <w:tcW w:w="1624" w:type="dxa"/>
          </w:tcPr>
          <w:p w14:paraId="3F6E5E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86,60</w:t>
            </w:r>
          </w:p>
        </w:tc>
      </w:tr>
      <w:tr w:rsidR="00E3599D" w:rsidRPr="00E14102" w14:paraId="6C7E8972" w14:textId="77777777" w:rsidTr="00D4105E">
        <w:tc>
          <w:tcPr>
            <w:tcW w:w="6110" w:type="dxa"/>
            <w:gridSpan w:val="3"/>
          </w:tcPr>
          <w:p w14:paraId="3C2EDA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прокатным станам</w:t>
            </w:r>
          </w:p>
        </w:tc>
      </w:tr>
      <w:tr w:rsidR="00E3599D" w:rsidRPr="00E14102" w14:paraId="46372A2E" w14:textId="77777777">
        <w:tc>
          <w:tcPr>
            <w:tcW w:w="6110" w:type="dxa"/>
          </w:tcPr>
          <w:p w14:paraId="4D6BD2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Часовое производство в номинальный час</w:t>
            </w:r>
          </w:p>
        </w:tc>
        <w:tc>
          <w:tcPr>
            <w:tcW w:w="1624" w:type="dxa"/>
          </w:tcPr>
          <w:p w14:paraId="3C6F9F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127,0</w:t>
            </w:r>
          </w:p>
        </w:tc>
        <w:tc>
          <w:tcPr>
            <w:tcW w:w="1624" w:type="dxa"/>
          </w:tcPr>
          <w:p w14:paraId="2143EF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224,1</w:t>
            </w:r>
          </w:p>
        </w:tc>
      </w:tr>
      <w:tr w:rsidR="00E3599D" w:rsidRPr="00E14102" w14:paraId="0D73E3E8" w14:textId="77777777">
        <w:tc>
          <w:tcPr>
            <w:tcW w:w="6110" w:type="dxa"/>
            <w:tcBorders>
              <w:bottom w:val="single" w:sz="12" w:space="0" w:color="auto"/>
            </w:tcBorders>
          </w:tcPr>
          <w:p w14:paraId="4D59F9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простоев в номинальное время</w:t>
            </w:r>
          </w:p>
        </w:tc>
        <w:tc>
          <w:tcPr>
            <w:tcW w:w="1624" w:type="dxa"/>
            <w:tcBorders>
              <w:bottom w:val="single" w:sz="12" w:space="0" w:color="auto"/>
            </w:tcBorders>
          </w:tcPr>
          <w:p w14:paraId="0FCE5E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21,5</w:t>
            </w:r>
          </w:p>
        </w:tc>
        <w:tc>
          <w:tcPr>
            <w:tcW w:w="1624" w:type="dxa"/>
            <w:tcBorders>
              <w:bottom w:val="single" w:sz="12" w:space="0" w:color="auto"/>
            </w:tcBorders>
          </w:tcPr>
          <w:p w14:paraId="7B1270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15,5</w:t>
            </w:r>
          </w:p>
        </w:tc>
      </w:tr>
    </w:tbl>
    <w:p w14:paraId="31FAEE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результате этих достижений многие основные цехи заводов «Спецстали» выполнили задания по конкурсу металлургов 1934 г.: </w:t>
      </w:r>
    </w:p>
    <w:p w14:paraId="02951A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мартеновский цех завода «Серп и молот», занявший вто­рое место в конкурсе 1933 г. и вышедший в 1934 г. на первое место среди мартеновских цехов Союза, получил знамя им. Правды; </w:t>
      </w:r>
    </w:p>
    <w:p w14:paraId="2D36C1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 мартеновский цех завода «Красный Октябрь», бывший на первом месте в результате конкурса 1933 г. и имевший знамя им. Правды, занял в конкурсе 1934 г. второе место; </w:t>
      </w:r>
    </w:p>
    <w:p w14:paraId="28B794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3) прокатный цех завода «Красный Октябрь». Блюминг это­го завода признан лучшим блюмингом в Союзе; </w:t>
      </w:r>
    </w:p>
    <w:p w14:paraId="25BC53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4) листопрокатные цехи Верх-Исетского завода; </w:t>
      </w:r>
    </w:p>
    <w:p w14:paraId="44EA5D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5) доменный цех Златоустовского завода. </w:t>
      </w:r>
    </w:p>
    <w:p w14:paraId="6E1074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1934 г. на заводах треста производилась серьезная работа в области организации труда, сокращения излишней рабочей силы и повышения производительности труда. </w:t>
      </w:r>
    </w:p>
    <w:p w14:paraId="0859C2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 сравнению с 1933 г. имеется рост: валовой продукции — на 49,2%, количества рабочих — 15,5%, производительности труда — на 29,2%, зарплаты одного рабочего — на 11,1%. </w:t>
      </w:r>
    </w:p>
    <w:p w14:paraId="767580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Рост производительности труда, несмотря на увеличение трудоемкости сортамента продукции, имел место по всем цехам. </w:t>
      </w:r>
    </w:p>
    <w:p w14:paraId="14BC6A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Так, выработка в натуральном выражении на одного рабочего составила: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24"/>
        <w:gridCol w:w="1728"/>
        <w:gridCol w:w="1728"/>
        <w:gridCol w:w="1344"/>
      </w:tblGrid>
      <w:tr w:rsidR="00E3599D" w:rsidRPr="00E14102" w14:paraId="2AB7D300" w14:textId="77777777">
        <w:tc>
          <w:tcPr>
            <w:tcW w:w="4224" w:type="dxa"/>
            <w:tcBorders>
              <w:top w:val="single" w:sz="12" w:space="0" w:color="auto"/>
            </w:tcBorders>
          </w:tcPr>
          <w:p w14:paraId="1B5621AE" w14:textId="77777777" w:rsidR="00D4105E" w:rsidRPr="00E14102" w:rsidRDefault="00D4105E" w:rsidP="00E14102">
            <w:pPr>
              <w:autoSpaceDE w:val="0"/>
              <w:autoSpaceDN w:val="0"/>
              <w:adjustRightInd w:val="0"/>
              <w:jc w:val="both"/>
              <w:rPr>
                <w:color w:val="000000" w:themeColor="text1"/>
                <w:sz w:val="16"/>
                <w:szCs w:val="16"/>
              </w:rPr>
            </w:pPr>
          </w:p>
        </w:tc>
        <w:tc>
          <w:tcPr>
            <w:tcW w:w="1728" w:type="dxa"/>
            <w:tcBorders>
              <w:top w:val="single" w:sz="12" w:space="0" w:color="auto"/>
            </w:tcBorders>
          </w:tcPr>
          <w:p w14:paraId="5256E3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1933 г.</w:t>
            </w:r>
          </w:p>
        </w:tc>
        <w:tc>
          <w:tcPr>
            <w:tcW w:w="1728" w:type="dxa"/>
            <w:tcBorders>
              <w:top w:val="single" w:sz="12" w:space="0" w:color="auto"/>
            </w:tcBorders>
          </w:tcPr>
          <w:p w14:paraId="6A5272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1934 г.</w:t>
            </w:r>
          </w:p>
        </w:tc>
        <w:tc>
          <w:tcPr>
            <w:tcW w:w="1344" w:type="dxa"/>
            <w:tcBorders>
              <w:top w:val="single" w:sz="12" w:space="0" w:color="auto"/>
            </w:tcBorders>
          </w:tcPr>
          <w:p w14:paraId="77FC72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роста</w:t>
            </w:r>
          </w:p>
        </w:tc>
      </w:tr>
      <w:tr w:rsidR="00E3599D" w:rsidRPr="00E14102" w14:paraId="2A955925" w14:textId="77777777">
        <w:tc>
          <w:tcPr>
            <w:tcW w:w="4224" w:type="dxa"/>
          </w:tcPr>
          <w:p w14:paraId="692661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По электроферросплавам</w:t>
            </w:r>
          </w:p>
        </w:tc>
        <w:tc>
          <w:tcPr>
            <w:tcW w:w="1728" w:type="dxa"/>
          </w:tcPr>
          <w:p w14:paraId="0066C0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39,0 т</w:t>
            </w:r>
          </w:p>
        </w:tc>
        <w:tc>
          <w:tcPr>
            <w:tcW w:w="1728" w:type="dxa"/>
          </w:tcPr>
          <w:p w14:paraId="00F80F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50,8 т</w:t>
            </w:r>
          </w:p>
        </w:tc>
        <w:tc>
          <w:tcPr>
            <w:tcW w:w="1344" w:type="dxa"/>
          </w:tcPr>
          <w:p w14:paraId="4765E1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r>
      <w:tr w:rsidR="00E3599D" w:rsidRPr="00E14102" w14:paraId="20035342" w14:textId="77777777">
        <w:tc>
          <w:tcPr>
            <w:tcW w:w="4224" w:type="dxa"/>
          </w:tcPr>
          <w:p w14:paraId="3E89B8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мартеновской стали</w:t>
            </w:r>
          </w:p>
        </w:tc>
        <w:tc>
          <w:tcPr>
            <w:tcW w:w="1728" w:type="dxa"/>
          </w:tcPr>
          <w:p w14:paraId="447451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230,0 т</w:t>
            </w:r>
          </w:p>
        </w:tc>
        <w:tc>
          <w:tcPr>
            <w:tcW w:w="1728" w:type="dxa"/>
          </w:tcPr>
          <w:p w14:paraId="3D56A0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253,0 т</w:t>
            </w:r>
          </w:p>
        </w:tc>
        <w:tc>
          <w:tcPr>
            <w:tcW w:w="1344" w:type="dxa"/>
          </w:tcPr>
          <w:p w14:paraId="3F4A49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3C9A11F3" w14:textId="77777777">
        <w:tc>
          <w:tcPr>
            <w:tcW w:w="4224" w:type="dxa"/>
          </w:tcPr>
          <w:p w14:paraId="3A9DC1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электрической стали</w:t>
            </w:r>
          </w:p>
        </w:tc>
        <w:tc>
          <w:tcPr>
            <w:tcW w:w="1728" w:type="dxa"/>
          </w:tcPr>
          <w:p w14:paraId="5101F5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82,9 т</w:t>
            </w:r>
          </w:p>
        </w:tc>
        <w:tc>
          <w:tcPr>
            <w:tcW w:w="1728" w:type="dxa"/>
          </w:tcPr>
          <w:p w14:paraId="5330CA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87,5 т</w:t>
            </w:r>
          </w:p>
        </w:tc>
        <w:tc>
          <w:tcPr>
            <w:tcW w:w="1344" w:type="dxa"/>
          </w:tcPr>
          <w:p w14:paraId="11CB3A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w:t>
            </w:r>
          </w:p>
        </w:tc>
      </w:tr>
      <w:tr w:rsidR="00E3599D" w:rsidRPr="00E14102" w14:paraId="01ACC560" w14:textId="77777777">
        <w:tc>
          <w:tcPr>
            <w:tcW w:w="4224" w:type="dxa"/>
            <w:tcBorders>
              <w:bottom w:val="single" w:sz="12" w:space="0" w:color="auto"/>
            </w:tcBorders>
          </w:tcPr>
          <w:p w14:paraId="7DAF59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готовому прокату</w:t>
            </w:r>
          </w:p>
        </w:tc>
        <w:tc>
          <w:tcPr>
            <w:tcW w:w="1728" w:type="dxa"/>
            <w:tcBorders>
              <w:bottom w:val="single" w:sz="12" w:space="0" w:color="auto"/>
            </w:tcBorders>
          </w:tcPr>
          <w:p w14:paraId="4AFE66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57,0 т</w:t>
            </w:r>
          </w:p>
        </w:tc>
        <w:tc>
          <w:tcPr>
            <w:tcW w:w="1728" w:type="dxa"/>
            <w:tcBorders>
              <w:bottom w:val="single" w:sz="12" w:space="0" w:color="auto"/>
            </w:tcBorders>
          </w:tcPr>
          <w:p w14:paraId="1CBB90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64,0 т</w:t>
            </w:r>
          </w:p>
        </w:tc>
        <w:tc>
          <w:tcPr>
            <w:tcW w:w="1344" w:type="dxa"/>
            <w:tcBorders>
              <w:bottom w:val="single" w:sz="12" w:space="0" w:color="auto"/>
            </w:tcBorders>
          </w:tcPr>
          <w:p w14:paraId="629ED0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+12,8</w:t>
            </w:r>
          </w:p>
        </w:tc>
      </w:tr>
    </w:tbl>
    <w:p w14:paraId="5C1CA6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При общем росте рабочих и младшего обслуживающего персонала на 17,5% количество рабочих, пользующихся заводской жилой площадью, возросло по сравнению с 1933 г. на 24%. </w:t>
      </w:r>
    </w:p>
    <w:p w14:paraId="5238DA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области борьбы за снижение себестоимости продукции в 1934 г. имеются положительные результаты: коммерческая себестоимость по сравнимой с 1933 г. товарной продукцией снижена на 5,07%, а по зависимым факторам — на 8,92% вместо 6,05% снижения, предусмотренного по плану. По всей продукции (включая и не сравнимую с прошлым годом товарную продукцию) себестоимость снижена по зависящим факторам на 0,76% против плана </w:t>
      </w:r>
    </w:p>
    <w:p w14:paraId="6A1A96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Доля зарплаты в себестоимости продукции, составляющая в 1933 г. 35,4%, была снижена в отчетном году до 23,9%. </w:t>
      </w:r>
      <w:r w:rsidR="00AB49AD" w:rsidRPr="00E14102">
        <w:rPr>
          <w:color w:val="000000" w:themeColor="text1"/>
          <w:sz w:val="16"/>
          <w:szCs w:val="16"/>
        </w:rPr>
        <w:fldChar w:fldCharType="begin"/>
      </w:r>
      <w:r w:rsidR="00AB49AD" w:rsidRPr="00E14102">
        <w:rPr>
          <w:color w:val="000000" w:themeColor="text1"/>
          <w:sz w:val="16"/>
          <w:szCs w:val="16"/>
        </w:rPr>
        <w:instrText xml:space="preserve">ref HYPERLINK  \l "_edn9" \* MERGEFORMAT </w:instrText>
      </w:r>
      <w:r w:rsidR="00AB49AD" w:rsidRPr="00E14102">
        <w:rPr>
          <w:color w:val="000000" w:themeColor="text1"/>
          <w:sz w:val="16"/>
          <w:szCs w:val="16"/>
        </w:rPr>
        <w:fldChar w:fldCharType="separate"/>
      </w:r>
      <w:r w:rsidRPr="00E14102">
        <w:rPr>
          <w:color w:val="000000" w:themeColor="text1"/>
          <w:sz w:val="16"/>
          <w:szCs w:val="16"/>
          <w:u w:val="single"/>
        </w:rPr>
        <w:t>[9]</w:t>
      </w:r>
      <w:r w:rsidR="00AB49AD" w:rsidRPr="00E14102">
        <w:rPr>
          <w:color w:val="000000" w:themeColor="text1"/>
          <w:sz w:val="16"/>
          <w:szCs w:val="16"/>
          <w:u w:val="single"/>
        </w:rPr>
        <w:fldChar w:fldCharType="end"/>
      </w:r>
    </w:p>
    <w:p w14:paraId="190517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Технормирование и охват сдельщиной </w:t>
      </w:r>
    </w:p>
    <w:p w14:paraId="73593E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Работа по внедрению технического нормирования и охвату рабочих сдельщиной характеризуется следующей таблицей (в % к отработанному времени) [табл. 4]. </w:t>
      </w:r>
    </w:p>
    <w:p w14:paraId="41AD55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[ТАБЛИЦА 4]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5"/>
        <w:gridCol w:w="1438"/>
        <w:gridCol w:w="1438"/>
        <w:gridCol w:w="1708"/>
        <w:gridCol w:w="1708"/>
      </w:tblGrid>
      <w:tr w:rsidR="00E3599D" w:rsidRPr="00E14102" w14:paraId="7939E417" w14:textId="77777777" w:rsidTr="00D4105E">
        <w:tc>
          <w:tcPr>
            <w:tcW w:w="3065" w:type="dxa"/>
            <w:tcBorders>
              <w:top w:val="single" w:sz="12" w:space="0" w:color="auto"/>
            </w:tcBorders>
          </w:tcPr>
          <w:p w14:paraId="31AB85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w:t>
            </w:r>
          </w:p>
        </w:tc>
        <w:tc>
          <w:tcPr>
            <w:tcW w:w="1438" w:type="dxa"/>
            <w:gridSpan w:val="2"/>
            <w:tcBorders>
              <w:top w:val="single" w:sz="12" w:space="0" w:color="auto"/>
            </w:tcBorders>
          </w:tcPr>
          <w:p w14:paraId="1C28EF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Охват сдельщиной</w:t>
            </w:r>
          </w:p>
        </w:tc>
        <w:tc>
          <w:tcPr>
            <w:tcW w:w="1708" w:type="dxa"/>
            <w:gridSpan w:val="2"/>
            <w:tcBorders>
              <w:top w:val="single" w:sz="12" w:space="0" w:color="auto"/>
            </w:tcBorders>
          </w:tcPr>
          <w:p w14:paraId="6972EE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Охват нормированием</w:t>
            </w:r>
          </w:p>
        </w:tc>
      </w:tr>
      <w:tr w:rsidR="00E3599D" w:rsidRPr="00E14102" w14:paraId="5033D1EB" w14:textId="77777777">
        <w:tc>
          <w:tcPr>
            <w:tcW w:w="3065" w:type="dxa"/>
          </w:tcPr>
          <w:p w14:paraId="3CF03061" w14:textId="77777777" w:rsidR="00D4105E" w:rsidRPr="00E14102" w:rsidRDefault="00D4105E" w:rsidP="00E14102">
            <w:pPr>
              <w:autoSpaceDE w:val="0"/>
              <w:autoSpaceDN w:val="0"/>
              <w:adjustRightInd w:val="0"/>
              <w:jc w:val="both"/>
              <w:rPr>
                <w:color w:val="000000" w:themeColor="text1"/>
                <w:sz w:val="16"/>
                <w:szCs w:val="16"/>
              </w:rPr>
            </w:pPr>
          </w:p>
        </w:tc>
        <w:tc>
          <w:tcPr>
            <w:tcW w:w="1438" w:type="dxa"/>
          </w:tcPr>
          <w:p w14:paraId="657CD3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w:t>
            </w:r>
          </w:p>
        </w:tc>
        <w:tc>
          <w:tcPr>
            <w:tcW w:w="1438" w:type="dxa"/>
          </w:tcPr>
          <w:p w14:paraId="00DCF6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w:t>
            </w:r>
          </w:p>
        </w:tc>
        <w:tc>
          <w:tcPr>
            <w:tcW w:w="1708" w:type="dxa"/>
          </w:tcPr>
          <w:p w14:paraId="37E502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w:t>
            </w:r>
          </w:p>
        </w:tc>
        <w:tc>
          <w:tcPr>
            <w:tcW w:w="1708" w:type="dxa"/>
          </w:tcPr>
          <w:p w14:paraId="6794BD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w:t>
            </w:r>
          </w:p>
        </w:tc>
      </w:tr>
      <w:tr w:rsidR="00E3599D" w:rsidRPr="00E14102" w14:paraId="057F3DF9" w14:textId="77777777">
        <w:tc>
          <w:tcPr>
            <w:tcW w:w="3065" w:type="dxa"/>
          </w:tcPr>
          <w:p w14:paraId="6F08FD9C" w14:textId="77777777" w:rsidR="00D4105E" w:rsidRPr="00E14102" w:rsidRDefault="00D4105E" w:rsidP="00E14102">
            <w:pPr>
              <w:autoSpaceDE w:val="0"/>
              <w:autoSpaceDN w:val="0"/>
              <w:adjustRightInd w:val="0"/>
              <w:jc w:val="both"/>
              <w:rPr>
                <w:color w:val="000000" w:themeColor="text1"/>
                <w:sz w:val="16"/>
                <w:szCs w:val="16"/>
              </w:rPr>
            </w:pPr>
          </w:p>
        </w:tc>
        <w:tc>
          <w:tcPr>
            <w:tcW w:w="1438" w:type="dxa"/>
          </w:tcPr>
          <w:p w14:paraId="46F630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56,4</w:t>
            </w:r>
          </w:p>
        </w:tc>
        <w:tc>
          <w:tcPr>
            <w:tcW w:w="1438" w:type="dxa"/>
          </w:tcPr>
          <w:p w14:paraId="6DA8B4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60,6</w:t>
            </w:r>
          </w:p>
        </w:tc>
        <w:tc>
          <w:tcPr>
            <w:tcW w:w="1708" w:type="dxa"/>
          </w:tcPr>
          <w:p w14:paraId="7C19A0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62,7</w:t>
            </w:r>
          </w:p>
        </w:tc>
        <w:tc>
          <w:tcPr>
            <w:tcW w:w="1708" w:type="dxa"/>
          </w:tcPr>
          <w:p w14:paraId="7E39AB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2D51FEA0" w14:textId="77777777">
        <w:tc>
          <w:tcPr>
            <w:tcW w:w="3065" w:type="dxa"/>
          </w:tcPr>
          <w:p w14:paraId="7D791C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«Красный Октябрь»</w:t>
            </w:r>
          </w:p>
        </w:tc>
        <w:tc>
          <w:tcPr>
            <w:tcW w:w="1438" w:type="dxa"/>
          </w:tcPr>
          <w:p w14:paraId="2A50BA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84,5</w:t>
            </w:r>
          </w:p>
        </w:tc>
        <w:tc>
          <w:tcPr>
            <w:tcW w:w="1438" w:type="dxa"/>
          </w:tcPr>
          <w:p w14:paraId="760CEF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89,0</w:t>
            </w:r>
          </w:p>
        </w:tc>
        <w:tc>
          <w:tcPr>
            <w:tcW w:w="1708" w:type="dxa"/>
          </w:tcPr>
          <w:p w14:paraId="6944E8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39,5</w:t>
            </w:r>
          </w:p>
        </w:tc>
        <w:tc>
          <w:tcPr>
            <w:tcW w:w="1708" w:type="dxa"/>
          </w:tcPr>
          <w:p w14:paraId="138D43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40,7</w:t>
            </w:r>
          </w:p>
        </w:tc>
      </w:tr>
      <w:tr w:rsidR="00E3599D" w:rsidRPr="00E14102" w14:paraId="0897752A" w14:textId="77777777">
        <w:tc>
          <w:tcPr>
            <w:tcW w:w="3065" w:type="dxa"/>
          </w:tcPr>
          <w:p w14:paraId="3DA1FCBE" w14:textId="77777777" w:rsidR="00D4105E" w:rsidRPr="00E14102" w:rsidRDefault="00D4105E" w:rsidP="00E14102">
            <w:pPr>
              <w:autoSpaceDE w:val="0"/>
              <w:autoSpaceDN w:val="0"/>
              <w:adjustRightInd w:val="0"/>
              <w:jc w:val="both"/>
              <w:rPr>
                <w:color w:val="000000" w:themeColor="text1"/>
                <w:sz w:val="16"/>
                <w:szCs w:val="16"/>
              </w:rPr>
            </w:pPr>
          </w:p>
        </w:tc>
        <w:tc>
          <w:tcPr>
            <w:tcW w:w="1438" w:type="dxa"/>
          </w:tcPr>
          <w:p w14:paraId="0A69DC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63,2</w:t>
            </w:r>
          </w:p>
        </w:tc>
        <w:tc>
          <w:tcPr>
            <w:tcW w:w="1438" w:type="dxa"/>
          </w:tcPr>
          <w:p w14:paraId="1A49F9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67,0</w:t>
            </w:r>
          </w:p>
        </w:tc>
        <w:tc>
          <w:tcPr>
            <w:tcW w:w="1708" w:type="dxa"/>
          </w:tcPr>
          <w:p w14:paraId="22F386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54,5</w:t>
            </w:r>
          </w:p>
        </w:tc>
        <w:tc>
          <w:tcPr>
            <w:tcW w:w="1708" w:type="dxa"/>
          </w:tcPr>
          <w:p w14:paraId="7375C8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54,5</w:t>
            </w:r>
          </w:p>
        </w:tc>
      </w:tr>
      <w:tr w:rsidR="00E3599D" w:rsidRPr="00E14102" w14:paraId="4C691764" w14:textId="77777777">
        <w:tc>
          <w:tcPr>
            <w:tcW w:w="3065" w:type="dxa"/>
          </w:tcPr>
          <w:p w14:paraId="357685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Златоустовский</w:t>
            </w:r>
          </w:p>
        </w:tc>
        <w:tc>
          <w:tcPr>
            <w:tcW w:w="1438" w:type="dxa"/>
          </w:tcPr>
          <w:p w14:paraId="1EDE17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71,1</w:t>
            </w:r>
          </w:p>
        </w:tc>
        <w:tc>
          <w:tcPr>
            <w:tcW w:w="1438" w:type="dxa"/>
          </w:tcPr>
          <w:p w14:paraId="493E6B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78,8</w:t>
            </w:r>
          </w:p>
        </w:tc>
        <w:tc>
          <w:tcPr>
            <w:tcW w:w="1708" w:type="dxa"/>
          </w:tcPr>
          <w:p w14:paraId="7AB328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23,6</w:t>
            </w:r>
          </w:p>
        </w:tc>
        <w:tc>
          <w:tcPr>
            <w:tcW w:w="1708" w:type="dxa"/>
          </w:tcPr>
          <w:p w14:paraId="4633CD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43,3</w:t>
            </w:r>
          </w:p>
        </w:tc>
      </w:tr>
      <w:tr w:rsidR="00E3599D" w:rsidRPr="00E14102" w14:paraId="72846CB8" w14:textId="77777777">
        <w:tc>
          <w:tcPr>
            <w:tcW w:w="3065" w:type="dxa"/>
          </w:tcPr>
          <w:p w14:paraId="76B32C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Верх-Исетский</w:t>
            </w:r>
          </w:p>
        </w:tc>
        <w:tc>
          <w:tcPr>
            <w:tcW w:w="1438" w:type="dxa"/>
          </w:tcPr>
          <w:p w14:paraId="52C2B8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70,7</w:t>
            </w:r>
          </w:p>
        </w:tc>
        <w:tc>
          <w:tcPr>
            <w:tcW w:w="1438" w:type="dxa"/>
          </w:tcPr>
          <w:p w14:paraId="1320AB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76,9</w:t>
            </w:r>
          </w:p>
        </w:tc>
        <w:tc>
          <w:tcPr>
            <w:tcW w:w="1708" w:type="dxa"/>
          </w:tcPr>
          <w:p w14:paraId="675B8C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42,7</w:t>
            </w:r>
          </w:p>
        </w:tc>
        <w:tc>
          <w:tcPr>
            <w:tcW w:w="1708" w:type="dxa"/>
          </w:tcPr>
          <w:p w14:paraId="3E3AD8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44,7</w:t>
            </w:r>
          </w:p>
        </w:tc>
      </w:tr>
      <w:tr w:rsidR="00E3599D" w:rsidRPr="00E14102" w14:paraId="1C8B730F" w14:textId="77777777">
        <w:tc>
          <w:tcPr>
            <w:tcW w:w="3065" w:type="dxa"/>
            <w:tcBorders>
              <w:bottom w:val="single" w:sz="12" w:space="0" w:color="auto"/>
            </w:tcBorders>
          </w:tcPr>
          <w:p w14:paraId="5D4BD364" w14:textId="77777777" w:rsidR="00D4105E" w:rsidRPr="00E14102" w:rsidRDefault="00D4105E" w:rsidP="00E14102">
            <w:pPr>
              <w:autoSpaceDE w:val="0"/>
              <w:autoSpaceDN w:val="0"/>
              <w:adjustRightInd w:val="0"/>
              <w:jc w:val="both"/>
              <w:rPr>
                <w:color w:val="000000" w:themeColor="text1"/>
                <w:sz w:val="16"/>
                <w:szCs w:val="16"/>
              </w:rPr>
            </w:pPr>
          </w:p>
        </w:tc>
        <w:tc>
          <w:tcPr>
            <w:tcW w:w="1438" w:type="dxa"/>
            <w:tcBorders>
              <w:bottom w:val="single" w:sz="12" w:space="0" w:color="auto"/>
            </w:tcBorders>
          </w:tcPr>
          <w:p w14:paraId="40F989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64,0</w:t>
            </w:r>
          </w:p>
        </w:tc>
        <w:tc>
          <w:tcPr>
            <w:tcW w:w="1438" w:type="dxa"/>
            <w:tcBorders>
              <w:bottom w:val="single" w:sz="12" w:space="0" w:color="auto"/>
            </w:tcBorders>
          </w:tcPr>
          <w:p w14:paraId="4020D6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64,0</w:t>
            </w:r>
          </w:p>
        </w:tc>
        <w:tc>
          <w:tcPr>
            <w:tcW w:w="1708" w:type="dxa"/>
            <w:tcBorders>
              <w:bottom w:val="single" w:sz="12" w:space="0" w:color="auto"/>
            </w:tcBorders>
          </w:tcPr>
          <w:p w14:paraId="46DE3C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39,0</w:t>
            </w:r>
          </w:p>
        </w:tc>
        <w:tc>
          <w:tcPr>
            <w:tcW w:w="1708" w:type="dxa"/>
            <w:tcBorders>
              <w:bottom w:val="single" w:sz="12" w:space="0" w:color="auto"/>
            </w:tcBorders>
          </w:tcPr>
          <w:p w14:paraId="56C347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44,6</w:t>
            </w:r>
          </w:p>
        </w:tc>
      </w:tr>
    </w:tbl>
    <w:p w14:paraId="2CC9CC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Из приведенной таблицы [4] видно, что за 1934 г. имеет место увеличение процента как по охвату сдельщиной, так и по охвату технормированием, за исключением завода «Серп и молот», у которого охват технормированием остался на прежнем уровне, а также Челябинского завода, у которого охват сдельщиной против 1933 г. не увеличился вследствие того, что проведенные мероприятия в области организации труда и уплотнения рабочего дня главным образом охватили группу рабочих-сдельщиков. </w:t>
      </w:r>
    </w:p>
    <w:p w14:paraId="54AECB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Несмотря на увеличение технически обоснованных норм, все же имеет место по ряду норм выработки значительная перера­ботка их; так, например, по заводу «Серп и молот» мартенов­ские печи имеют переработку до 15—20% и на Верх-Исетском заводе — до 10—20% к концу года. </w:t>
      </w:r>
    </w:p>
    <w:p w14:paraId="50B1D8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 прокатным цехам ряда заводов имеет место переработка норм до 10—15% к концу года, еще больший процент перера­ботки норм наблюдается на вспомогательных участках, что яв­ляется результатом недостаточного внимания к постановке тех­нического нормирования на этих участках. </w:t>
      </w:r>
    </w:p>
    <w:p w14:paraId="51BEC6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1934 г. по большинству заводов треста проведена работа по пересмотру норм выработки; так, по заводу «Красный Ок­тябрь» пересмотрено 4878 норм с охватом рабочих 3014 чело­век, по Златоустовскому заводу—1913 норм с охватом рабочих 3182 человека, по Верх-Исетскому заводу—1500 норм и т.д. </w:t>
      </w:r>
    </w:p>
    <w:p w14:paraId="1EE191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Необходимо отметить, что аппараты по техническому норми­рованию за 1934 г. несколько усилены инженерами и техниками, но все же в их составе преобладают практики с небольшим стажем работы в этой области; вместе с тем нужно констатиро­вать, что до сего времени инженерно-технический персонал в своей массе не занял еще должного места, какое предоставлено ему в работе по организации труда и зарплаты. </w:t>
      </w:r>
      <w:r w:rsidR="00AB49AD" w:rsidRPr="00E14102">
        <w:rPr>
          <w:color w:val="000000" w:themeColor="text1"/>
          <w:sz w:val="16"/>
          <w:szCs w:val="16"/>
        </w:rPr>
        <w:fldChar w:fldCharType="begin"/>
      </w:r>
      <w:r w:rsidR="00AB49AD" w:rsidRPr="00E14102">
        <w:rPr>
          <w:color w:val="000000" w:themeColor="text1"/>
          <w:sz w:val="16"/>
          <w:szCs w:val="16"/>
        </w:rPr>
        <w:instrText xml:space="preserve">ref HYPERLINK  \l "_edn10" \* MERGEFORMAT </w:instrText>
      </w:r>
      <w:r w:rsidR="00AB49AD" w:rsidRPr="00E14102">
        <w:rPr>
          <w:color w:val="000000" w:themeColor="text1"/>
          <w:sz w:val="16"/>
          <w:szCs w:val="16"/>
        </w:rPr>
        <w:fldChar w:fldCharType="separate"/>
      </w:r>
      <w:r w:rsidRPr="00E14102">
        <w:rPr>
          <w:color w:val="000000" w:themeColor="text1"/>
          <w:sz w:val="16"/>
          <w:szCs w:val="16"/>
          <w:u w:val="single"/>
        </w:rPr>
        <w:t>[10]</w:t>
      </w:r>
      <w:r w:rsidR="00AB49AD" w:rsidRPr="00E14102">
        <w:rPr>
          <w:color w:val="000000" w:themeColor="text1"/>
          <w:sz w:val="16"/>
          <w:szCs w:val="16"/>
          <w:u w:val="single"/>
        </w:rPr>
        <w:fldChar w:fldCharType="end"/>
      </w:r>
    </w:p>
    <w:p w14:paraId="4E9B29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ЦГАНХ СССР, ф. 4086, on. 37, д. 562, лл. 2—4,61—61 об. Копия. (12053).</w:t>
      </w:r>
    </w:p>
    <w:p w14:paraId="3193A63C" w14:textId="77777777" w:rsidR="00D4105E" w:rsidRPr="00E14102" w:rsidRDefault="00D4105E" w:rsidP="00E14102">
      <w:pPr>
        <w:autoSpaceDE w:val="0"/>
        <w:autoSpaceDN w:val="0"/>
        <w:adjustRightInd w:val="0"/>
        <w:jc w:val="both"/>
        <w:rPr>
          <w:color w:val="000000" w:themeColor="text1"/>
          <w:sz w:val="16"/>
          <w:szCs w:val="16"/>
        </w:rPr>
      </w:pPr>
    </w:p>
    <w:p w14:paraId="085D0F03" w14:textId="77777777" w:rsidR="00732B78" w:rsidRPr="00E14102" w:rsidRDefault="00732B78" w:rsidP="00E14102">
      <w:pPr>
        <w:pStyle w:val="rtejustify"/>
        <w:spacing w:before="0" w:after="0"/>
        <w:rPr>
          <w:color w:val="000000" w:themeColor="text1"/>
          <w:sz w:val="16"/>
          <w:szCs w:val="16"/>
        </w:rPr>
      </w:pPr>
      <w:r w:rsidRPr="00E14102">
        <w:rPr>
          <w:rStyle w:val="a6"/>
          <w:i w:val="0"/>
          <w:color w:val="000000" w:themeColor="text1"/>
          <w:sz w:val="16"/>
          <w:szCs w:val="16"/>
        </w:rPr>
        <w:t xml:space="preserve">Не ранее 1 января 1935 г.¹* </w:t>
      </w:r>
      <w:r w:rsidRPr="00E14102">
        <w:rPr>
          <w:color w:val="000000" w:themeColor="text1"/>
          <w:sz w:val="16"/>
          <w:szCs w:val="16"/>
        </w:rPr>
        <w:t>Доклад наркома тяжелой промышленности СССР С. Орджоникидзе председателю СТО СССР В. М. Молотову о состоянии производства отравляющих веществ в 1933-1935 гг.</w:t>
      </w:r>
    </w:p>
    <w:p w14:paraId="751596F1"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В связи с запиской т. Куйбышева по вопросу о состоянии промышленности отравляющих веществ и снабжения РККА дымообразующими веществами докладываю:</w:t>
      </w:r>
    </w:p>
    <w:p w14:paraId="584C85DF"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О состоянии промышленности отравляющих веществ</w:t>
      </w:r>
    </w:p>
    <w:p w14:paraId="0AB8B2A0"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За последние три года промышленность боевых отравляющих веществ добилась значительных успехов: так, за этот период построены: ипритный завод в Березниках мощностью 9 тыс. т, ипритный завод в Сталиногорске мощностью 9 тыс. т, цех фосгена в Сталиногорске мощностью 4 тыс. т, цех фосгена в Чапаевске мощностью 2 тыс. т, цех адамсита в Кинешме мощностью 3 тыс. т (фактически этот цех в 1935 г. доводится до мощности 6 тыс. т), цех дифенилхлорарсина в Москве мощностью 1640 т. Кроме того в 1935 г. заканчивается строительством завод иприта мощностью 9 тыс. т в Сталиногорске. В результате мы имеем в 1935 г. мощность по ОВ в 60 тыс. т вместо 36,5 тыс. т 1933 г., т. е. к моменту принятия постановления СТО № 85сс²*.</w:t>
      </w:r>
    </w:p>
    <w:p w14:paraId="6AA96C34"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Одновременно со строительством новых заводов ОВ нами проведена также большая работа по разработке новых видов ОВ, причем из разработанных новых видов ОВ люизит, синильная кислота, ГИМ</w:t>
      </w:r>
      <w:r w:rsidRPr="00E14102">
        <w:rPr>
          <w:color w:val="000000" w:themeColor="text1"/>
          <w:sz w:val="16"/>
          <w:szCs w:val="16"/>
        </w:rPr>
        <w:noBreakHyphen/>
        <w:t>3 приняты уже на вооружение РККА, по синильной кислоте и по люизиту строятся уже промышленные установки. Следует особо подчеркнуть трудность работ по изысканию новых видов ОВ вследствие особой секретности и невозможности получения какой-нибудь технической помощи извне.</w:t>
      </w:r>
    </w:p>
    <w:p w14:paraId="00A8FD0F"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По производству незамерзающего иприта нами строится специальный завод в Горьковском крае на базе использования крекинговых газов. Одновременно нами проработан метод получения незамерзающего иприта путем смешения иприта с бензолом или дихлорэтаном. Это позволит в случае необходимости получить РККА иприт, пригодный для использования в зимних условиях. То же по вязкому иприту: нами в 1935 г. принят заказ от Наркомата обороны на снаряжение опытной партии химфугасов вязким ипритом.</w:t>
      </w:r>
    </w:p>
    <w:p w14:paraId="6E00C6B8"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По химическому снаряжению имеем на заводах № 102 (Чапаевск) и № 80 (Горький) 3 млн. снарядов (в зависимости от калибров) при потребности М</w:t>
      </w:r>
      <w:r w:rsidRPr="00E14102">
        <w:rPr>
          <w:color w:val="000000" w:themeColor="text1"/>
          <w:sz w:val="16"/>
          <w:szCs w:val="16"/>
        </w:rPr>
        <w:noBreakHyphen/>
        <w:t>3 2700 тыс. (снарядов и мин).</w:t>
      </w:r>
    </w:p>
    <w:p w14:paraId="2ED4695F"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Наряду с работами по ОВ промышленность провела значительные работы по ассимиляции полупродуктов и технологического оборудования под производство мирных продуктов. Все эти работы проведены на опытных установках и только частично могут быть внедрены в большом промышленном масштабе. Именно потому, что до 1934 г. не было известно, как использовать цеха ОВ в мирное время, все цеха по производству ОВ строились в составе больших химических комбинатов, чтобы полностью использовать все подсобное хозяйство в мирное время, как то: энергохозяйство, складское хозяйство, транспорт, жилье, ремонтные предприятия и т. д., а также базу по полупродуктам (кислоты, анилин), это позволит в мирное время впредь до решения вопроса о загрузке цехов по производству мирной продукции держать на консервации минимальное количество построенных цехов.</w:t>
      </w:r>
    </w:p>
    <w:p w14:paraId="25DB2F84"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О снабжении РККА дымообразующими веществами</w:t>
      </w:r>
    </w:p>
    <w:p w14:paraId="64BA91CC"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Основным дымообразующим веществом, принятым на вооружение РККА, является хлорсульфоновая кислота, насыщенная серным ангидридом, так называемая дымовая смесь S</w:t>
      </w:r>
      <w:r w:rsidRPr="00E14102">
        <w:rPr>
          <w:color w:val="000000" w:themeColor="text1"/>
          <w:sz w:val="16"/>
          <w:szCs w:val="16"/>
        </w:rPr>
        <w:noBreakHyphen/>
        <w:t>IV. В 1933 г. мы имели мощность по дымообразующим веществам S</w:t>
      </w:r>
      <w:r w:rsidRPr="00E14102">
        <w:rPr>
          <w:color w:val="000000" w:themeColor="text1"/>
          <w:sz w:val="16"/>
          <w:szCs w:val="16"/>
        </w:rPr>
        <w:noBreakHyphen/>
        <w:t>ІV — 500 т. За 1933/1934 г. нами построены и пущены в эксплуатацию два завода общей мощностью 16 тыс. т (Щелковский и Константиновский), и в 1935 г. будет закончен строительством Ленинградский завод мощностью 9 тыс. т. Всего в 1935 г. мощность по ДВ будет 25 тыс. т. Кислотой все указанные заводы обеспечены полностью. По производству дымообразователя, пригодного в зимних условиях и при пониженной влажности воздуха, нами в соответствии с решением СТО № 85сс построены опытные установки по производству четыреххлористого кремния. По фосфору кроме имеющихся уже цехов по производству фосфора на Чернореченском химическом комбинате и в Кировске общей мощностью 750 т, в 1935 г. строятся добавочные цеха мощностью в Кировске — на 500 т и в Сталинграде — на 1 тыс. т. Таким образом, к концу 1935 г. общая мощность по фосфору составит 2250 т. На Сталинградском заводе будет также организовано снаряжение мин фосфором.</w:t>
      </w:r>
    </w:p>
    <w:p w14:paraId="64783DD0"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По ядовитым дымным шашкам: в 1933 г. мы имели мощность по адамситу 135 т, в 1935 г. мощность составит 6 тыс. т, и производство ядовито-дымных шашек всеми видами твердого ОВ обеспечивается полностью, за исключением хлорацетонфенона. Затруднения в поставке Наркомату обороны необходимого количества хлорацетонфенона объясняются трудностью в освоении основного полуфабриката, идущего для производства этого вещества — треххлористого алюминия. Построенные нами два завода по производству бертолетовой соли в 1934 г. полностью освоены, причем Березниковский завод в 1934 г. перекрыл свою проектную мощность. Строить отдельный завод по производству бертолетовой соли в 1935 г. нецелесообразно, так как добавочное количество бертолетовой соли, требующееся для обеспечения спичечной промышленности в военное время будет получено с завода бертолетовой соли, запроектированного и строящегося уже в Соликамске, и завода металлического магния.</w:t>
      </w:r>
    </w:p>
    <w:p w14:paraId="73E83451"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НКТП проведен ряд работ по внедрению хлора в мирную промышленность. Однако для полной загрузки хлорных заводов в мирное время необходимо на основе уже проведенных опытных работ расширить применение хлора в текстильной и бумажной промышленности, а также широко внедрить хлор в коммунальное хозяйство и сельское хозяйство для борьбы с вредителями.</w:t>
      </w:r>
    </w:p>
    <w:p w14:paraId="2E2C0CE0"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 xml:space="preserve">Промышленность отравляющих веществ получила значительное развитие за последние несколько лет при полном отсутствии технической помощи и специальной информации извне. В настоящее время имеются разработанные технологические процессы производства всех ведущих ОВ, изготовлены проекты для намеченных к </w:t>
      </w:r>
      <w:r w:rsidRPr="00E14102">
        <w:rPr>
          <w:color w:val="000000" w:themeColor="text1"/>
          <w:sz w:val="16"/>
          <w:szCs w:val="16"/>
        </w:rPr>
        <w:lastRenderedPageBreak/>
        <w:t>строительству заводов и установок по отравляющим и дымообразующим веществам. Проведена серьезная подготовка к развороту большого строительства. Необходимо подчеркнуть возможность уже в 1935 г. строить новые заводы ОВ со значительной ассимиляцией в них мирных производств.</w:t>
      </w:r>
    </w:p>
    <w:p w14:paraId="6AF6B42E"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Из перечисленных в постановлении СТО № 85сс по ОВ, ДВ и дегазаторам строятся в настоящее время: заводы ОВ в Иркутске и Горьком, заводы синильной кислоты в Воскресенске и Черноречье, заводы цианистых соединений в Свердловске, опытные заводы по четыреххлористому кремнию и люизиту. Не строятся: завод ОВ в Славянске, заводы дымообразователей в Калате и Красноуральске, завод фосфора в Перми, завод жидкого дегазатора на Урале. Указанные заводы не были включены в КЦ 1934 г.</w:t>
      </w:r>
    </w:p>
    <w:p w14:paraId="156B3B81"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Постановлением СТО № 85сс по военной химии, включая азот, было намечено на 1934 г. 710 млн. руб. капиталовложений. При утверждении КЦ по капитальному строительству 1934 г. оказалось возможным выделить на эту отрасль лишь 415 млн. руб. Это не позволило развернуть строительство всех новых комбинатов, предусмотренных указанным постановлением, на что мною, а также докладчиком по КЦ т. Межлауком обращалось внимание правительства. Тов. Молотов тогда же разъяснил, что утверждением КЦ перекрываются все предыдущие решения по капитальному строительству.</w:t>
      </w:r>
    </w:p>
    <w:p w14:paraId="4DD681D4"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Отпускаемые средства по 1934 и 1935 гг. по военной химии были направлены в первую очередь на развертывание строительства азотных и пороховых заводов, так как азот и порох являются решающими для обороны страны.</w:t>
      </w:r>
    </w:p>
    <w:p w14:paraId="393F842C"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Независимо от того, что перечисленные выше заводы (ОВ и ДВ) не строятся в настоящее время, мы по всем заводам изготовили проекты, выбрали площадки и провели необходимые подготовительные работы для быстрого развертывания строительства их.</w:t>
      </w:r>
    </w:p>
    <w:p w14:paraId="54BE63E0" w14:textId="77777777" w:rsidR="00732B78" w:rsidRPr="00E14102" w:rsidRDefault="00732B78"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С.</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Орджоникидзе</w:t>
      </w:r>
    </w:p>
    <w:p w14:paraId="270A64B0" w14:textId="77777777" w:rsidR="00732B78" w:rsidRPr="00E14102" w:rsidRDefault="00732B78"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54C58562"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¹* Датируется по содержанию документа.</w:t>
      </w:r>
    </w:p>
    <w:p w14:paraId="389AEB73" w14:textId="77777777" w:rsidR="00732B78" w:rsidRPr="00E14102" w:rsidRDefault="00732B78" w:rsidP="00E14102">
      <w:pPr>
        <w:pStyle w:val="rtejustify"/>
        <w:spacing w:before="0" w:after="0"/>
        <w:rPr>
          <w:color w:val="000000" w:themeColor="text1"/>
          <w:sz w:val="16"/>
          <w:szCs w:val="16"/>
        </w:rPr>
      </w:pPr>
      <w:r w:rsidRPr="00E14102">
        <w:rPr>
          <w:color w:val="000000" w:themeColor="text1"/>
          <w:sz w:val="16"/>
          <w:szCs w:val="16"/>
        </w:rPr>
        <w:t xml:space="preserve">²* См. документ от 9 сентября 1933 г. — </w:t>
      </w:r>
      <w:hyperlink r:id="rId19" w:history="1">
        <w:r w:rsidRPr="00E14102">
          <w:rPr>
            <w:rStyle w:val="a4"/>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r w:rsidRPr="00E14102">
        <w:rPr>
          <w:color w:val="000000" w:themeColor="text1"/>
          <w:sz w:val="16"/>
          <w:szCs w:val="16"/>
        </w:rPr>
        <w:t>.</w:t>
      </w:r>
    </w:p>
    <w:p w14:paraId="2A47755E" w14:textId="77777777" w:rsidR="00732B78" w:rsidRPr="00E14102" w:rsidRDefault="00732B7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7297. Оп. 38. Д. 265. Л. 80-84. Копия.</w:t>
      </w:r>
    </w:p>
    <w:p w14:paraId="126E61C8" w14:textId="77777777" w:rsidR="00732B78" w:rsidRPr="00E14102" w:rsidRDefault="00732B78" w:rsidP="00E14102">
      <w:pPr>
        <w:jc w:val="both"/>
        <w:rPr>
          <w:bCs/>
          <w:color w:val="000000" w:themeColor="text1"/>
          <w:sz w:val="16"/>
          <w:szCs w:val="16"/>
        </w:rPr>
      </w:pPr>
    </w:p>
    <w:p w14:paraId="2FA9E5D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1 января 1935 г. готовность спецсудов на заводе Красное Сормово была следующей: № 550/3 «Дельфин» — 71 %, № 550/4 «Белуга» — 37 % и № 550/5 «Кумжа» — 27 %. Руководству завода, под давлением сверху, пришлось еще раз пересмотреть графики и планы. От цехов требовали безо-говорочного выполнения сроков. Была установлена подекадная проверка выполнения плана по цехам завода. В феврале на заводе даже побывал старший инженер Главречпрома Волынский, который лично обследовал лодки на стапелях и вновь обнаружил сильное отставание от графиков. Увеличение производительности труда оказывалось затруднительным в связи с нехваткой квалифицированных слесарей, монтажников, сборщиков и особенно сверловщиков. Со стороны завода были приняты меры. Для ускорения всех работ по судам в течение января произвели значительную переброску рабочей силы за счет ослабления работ, ведущихся на подлодке 550/9. Максимальное количество получаемых заводом сверхурочных часов было передано судостроительному цеху для спецсудов. Был введен круглосуточный график работ. К первой и второй смене прибавили по четыре сверхурочных часа. Работа вдобавок осложнялась и тем, что от вышестоящих инстанций постоянно поступали новые технические требования, чаще всего трудновыполнимые. Например, переделать по новой схеме общесудовую вентиляцию, заменить приводы кингстонов. Имели место и постоянные задержки поставок от других заводов: резины, труб из красной меди, вентиляторов, воздухоохладителей и т. п. Благодаря невероятной штурмовщине, когда люди буквально ели и спали на стапелях, в марте удалось более или менее продвинуться по спецсудам 550/3,4,5 (11741).</w:t>
      </w:r>
    </w:p>
    <w:p w14:paraId="23E314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99E7F6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30899058" w14:textId="77777777" w:rsidR="00D4105E" w:rsidRPr="00E14102" w:rsidRDefault="00D4105E" w:rsidP="00E14102">
      <w:pPr>
        <w:autoSpaceDE w:val="0"/>
        <w:autoSpaceDN w:val="0"/>
        <w:adjustRightInd w:val="0"/>
        <w:jc w:val="both"/>
        <w:rPr>
          <w:iCs/>
          <w:color w:val="000000" w:themeColor="text1"/>
          <w:sz w:val="16"/>
          <w:szCs w:val="16"/>
        </w:rPr>
      </w:pPr>
    </w:p>
    <w:p w14:paraId="28734D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 января 1935 г. в ВВС РККА было уже более трех тысяч машин Р-5. К началу 1935 г. Р-5 уже можно было встретить во всех районах СССР. Основная масса сосредотачивалась в западных округах. 219 самолетов находились в Ленинградском округе, 395 - в Белоруссии, 394 - в Украине, 113 - на Северном Кавказе. К середине 1936 г. советская авиация уже была в достаточной мере насыщена ближними разведчиками, легкими бомбардировщиками и штурмовиками. Укомплектованность по Р-5 достигла 90%, Р-5Ш - 100% (11936).</w:t>
      </w:r>
    </w:p>
    <w:p w14:paraId="6A664198" w14:textId="77777777" w:rsidR="00D4105E" w:rsidRPr="00E14102" w:rsidRDefault="00D4105E" w:rsidP="00E14102">
      <w:pPr>
        <w:autoSpaceDE w:val="0"/>
        <w:autoSpaceDN w:val="0"/>
        <w:adjustRightInd w:val="0"/>
        <w:jc w:val="both"/>
        <w:rPr>
          <w:color w:val="000000" w:themeColor="text1"/>
          <w:sz w:val="16"/>
          <w:szCs w:val="16"/>
        </w:rPr>
      </w:pPr>
    </w:p>
    <w:p w14:paraId="07C3952A" w14:textId="77777777" w:rsidR="003551F4" w:rsidRPr="00E14102" w:rsidRDefault="003551F4" w:rsidP="00E14102">
      <w:pPr>
        <w:jc w:val="both"/>
        <w:rPr>
          <w:color w:val="0070C0"/>
          <w:sz w:val="16"/>
          <w:szCs w:val="16"/>
        </w:rPr>
      </w:pPr>
      <w:r w:rsidRPr="00E14102">
        <w:rPr>
          <w:color w:val="0070C0"/>
          <w:sz w:val="16"/>
          <w:szCs w:val="16"/>
        </w:rPr>
        <w:t>На 1 января 1935 г. в сухопутных войсках и ВВС имелось 987 тыс. человек, а в вооруженных силах в целом - 1085 тыс. человек; на начало 1936 г. соответственно 979 тыс. и 1219 тыс. военнослужащих, причем на "части вне норм" (железнодорожные, строительные и т. п. формирования) приходилось 138 тыс. человек Вероятно, эти полувоенные части, находившиеся на содержании гражданских ведомств, в сведениях на начало 1935 г. были отнесены по "сухопутному ведомству" (Мельтюхов М. И. Указ. соч. С 358. В приводимой автором таблице "части вне норм" появляются в данных на начало 1934 г. и затем на начало 1936 и 1937 гг. Вряд ли они бесследно исчезли в 1934 г., чтобы возродиться годом позже). Можно поэтому полагать, что численность собственно РККА к началу 1935 г. равнялась 970-980 тыс., а год спустя - 1070-1080 тыс. человек, вплотную приблизившись к заданиям на середину 1936 г. (на 1 января 1936 г. предусматривалось иметь в Красной Армии 1 052 000 человек) (22725).</w:t>
      </w:r>
    </w:p>
    <w:p w14:paraId="753E116B" w14:textId="77777777" w:rsidR="003551F4" w:rsidRPr="00E14102" w:rsidRDefault="003551F4" w:rsidP="00E14102">
      <w:pPr>
        <w:jc w:val="both"/>
        <w:rPr>
          <w:color w:val="0070C0"/>
          <w:sz w:val="16"/>
          <w:szCs w:val="16"/>
        </w:rPr>
      </w:pPr>
    </w:p>
    <w:p w14:paraId="6FEF65C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E201294" w14:textId="77777777" w:rsidR="00D4105E" w:rsidRPr="00E14102" w:rsidRDefault="00D4105E" w:rsidP="00E14102">
      <w:pPr>
        <w:autoSpaceDE w:val="0"/>
        <w:autoSpaceDN w:val="0"/>
        <w:adjustRightInd w:val="0"/>
        <w:jc w:val="both"/>
        <w:rPr>
          <w:iCs/>
          <w:color w:val="000000" w:themeColor="text1"/>
          <w:sz w:val="16"/>
          <w:szCs w:val="16"/>
        </w:rPr>
      </w:pPr>
    </w:p>
    <w:p w14:paraId="3F7593B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января 1935 арестованы бывшие лидеры троцкистов И. Смилга, А. Шляпников (4962).</w:t>
      </w:r>
    </w:p>
    <w:p w14:paraId="1CB0355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EFBE3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1935 отменили карточки на хлеб и муку (1348,200), но продукты подорожали (3908,346).</w:t>
      </w:r>
    </w:p>
    <w:p w14:paraId="1053F14F" w14:textId="77777777" w:rsidR="00D4105E" w:rsidRPr="00E14102" w:rsidRDefault="00D4105E" w:rsidP="00E14102">
      <w:pPr>
        <w:autoSpaceDE w:val="0"/>
        <w:autoSpaceDN w:val="0"/>
        <w:adjustRightInd w:val="0"/>
        <w:jc w:val="both"/>
        <w:rPr>
          <w:color w:val="000000" w:themeColor="text1"/>
          <w:sz w:val="16"/>
          <w:szCs w:val="16"/>
        </w:rPr>
      </w:pPr>
    </w:p>
    <w:p w14:paraId="7F5D1992" w14:textId="77777777" w:rsidR="004A5086" w:rsidRPr="00E14102" w:rsidRDefault="004A5086" w:rsidP="00E14102">
      <w:pPr>
        <w:jc w:val="both"/>
        <w:rPr>
          <w:color w:val="000000" w:themeColor="text1"/>
          <w:sz w:val="16"/>
          <w:szCs w:val="16"/>
        </w:rPr>
      </w:pPr>
      <w:r w:rsidRPr="00E14102">
        <w:rPr>
          <w:color w:val="000000" w:themeColor="text1"/>
          <w:sz w:val="16"/>
          <w:szCs w:val="16"/>
        </w:rPr>
        <w:t>1 января 1935. Отмена продовольственных карточек на хлеб и муку (18720).</w:t>
      </w:r>
    </w:p>
    <w:p w14:paraId="31AAE6E2" w14:textId="77777777" w:rsidR="004A5086" w:rsidRPr="00E14102" w:rsidRDefault="004A5086" w:rsidP="00E14102">
      <w:pPr>
        <w:jc w:val="both"/>
        <w:rPr>
          <w:color w:val="000000" w:themeColor="text1"/>
          <w:sz w:val="16"/>
          <w:szCs w:val="16"/>
        </w:rPr>
      </w:pPr>
    </w:p>
    <w:p w14:paraId="046834DC" w14:textId="77777777" w:rsidR="00A35933" w:rsidRPr="00E14102" w:rsidRDefault="00A35933" w:rsidP="00E14102">
      <w:pPr>
        <w:jc w:val="both"/>
        <w:rPr>
          <w:color w:val="000000" w:themeColor="text1"/>
          <w:sz w:val="16"/>
          <w:szCs w:val="16"/>
        </w:rPr>
      </w:pPr>
      <w:r w:rsidRPr="00E14102">
        <w:rPr>
          <w:color w:val="000000" w:themeColor="text1"/>
          <w:sz w:val="16"/>
          <w:szCs w:val="16"/>
        </w:rPr>
        <w:t xml:space="preserve">С 1 </w:t>
      </w:r>
      <w:bookmarkStart w:id="0" w:name="YANDEX_2"/>
      <w:bookmarkEnd w:id="0"/>
      <w:r w:rsidRPr="00E14102">
        <w:rPr>
          <w:color w:val="000000" w:themeColor="text1"/>
          <w:sz w:val="16"/>
          <w:szCs w:val="16"/>
        </w:rPr>
        <w:t xml:space="preserve"> января  </w:t>
      </w:r>
      <w:bookmarkStart w:id="1" w:name="YANDEX_3"/>
      <w:bookmarkEnd w:id="1"/>
      <w:r w:rsidRPr="00E14102">
        <w:rPr>
          <w:color w:val="000000" w:themeColor="text1"/>
          <w:sz w:val="16"/>
          <w:szCs w:val="16"/>
        </w:rPr>
        <w:t> 1935  г. были отменены карточки на хлеб, а с 1 октября - на остальные продукты питания. 1 января 1936 г. пришла очередь нормирования промышленных товаров, хотя дефицит и в дальнейшем порождал всякого рода ограничения в их распределении. В данной статье рассматриваются в основном третий и четвертый этапы этого процесса, изменения в системе распределения и торговли в 1932-1934 гг. и отмена карточек на хлеб.</w:t>
      </w:r>
    </w:p>
    <w:p w14:paraId="2CC09DB6" w14:textId="77777777" w:rsidR="00A35933" w:rsidRPr="00E14102" w:rsidRDefault="00A35933" w:rsidP="00E14102">
      <w:pPr>
        <w:autoSpaceDE w:val="0"/>
        <w:autoSpaceDN w:val="0"/>
        <w:adjustRightInd w:val="0"/>
        <w:jc w:val="both"/>
        <w:rPr>
          <w:color w:val="000000" w:themeColor="text1"/>
          <w:sz w:val="16"/>
          <w:szCs w:val="16"/>
        </w:rPr>
      </w:pPr>
      <w:r w:rsidRPr="00E14102">
        <w:rPr>
          <w:color w:val="000000" w:themeColor="text1"/>
          <w:sz w:val="16"/>
          <w:szCs w:val="16"/>
        </w:rPr>
        <w:t>Отмена карточек оказывала огромное воздействие на экономику и повседневную жизнь страны, привела к значительному росту цен и трансформации их структуры, повлияла на налоговую систему, изменила бюджеты и потребительские привычки многих семей. Как и другие преобразования такого масштаба, отмена карточек позволяет исследовать важные аспекты механизмов принятия решений и их реализации, систему взаимодействия различных звеньев советского партийно-государственно-экономического аппарата (17296).</w:t>
      </w:r>
    </w:p>
    <w:p w14:paraId="746F1506" w14:textId="77777777" w:rsidR="00A35933" w:rsidRPr="00E14102" w:rsidRDefault="00A35933" w:rsidP="00E14102">
      <w:pPr>
        <w:autoSpaceDE w:val="0"/>
        <w:autoSpaceDN w:val="0"/>
        <w:adjustRightInd w:val="0"/>
        <w:jc w:val="both"/>
        <w:rPr>
          <w:color w:val="000000" w:themeColor="text1"/>
          <w:sz w:val="16"/>
          <w:szCs w:val="16"/>
        </w:rPr>
      </w:pPr>
    </w:p>
    <w:p w14:paraId="648673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1935 вышел приказ М. Д. Бермана за № 1 “Об изменении порядка снабжения мукой (хлебом), крупой и макаронами контингентов ГУЛАГа НКВД”:</w:t>
      </w:r>
    </w:p>
    <w:p w14:paraId="14F98F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решением Пленума ЦК ВКП(б) от 26.11.34 и постановлением СНК СССР от 07.12.34 об отмене карточной системы по хлебу и некотором другим продуктам, приказываю:</w:t>
      </w:r>
    </w:p>
    <w:p w14:paraId="44FC1A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 01.01.35 оставить на снабжении мукой (хлебом), крупой и макаронами через систему снабжения ГУЛАГа НКВД следующие категории довольствующихся:</w:t>
      </w:r>
    </w:p>
    <w:p w14:paraId="168F89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з/к в лагерях НКВД;</w:t>
      </w:r>
    </w:p>
    <w:p w14:paraId="1B9D46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лишенные свободы и малолетние правонарушители в местах заключения НКВД;</w:t>
      </w:r>
    </w:p>
    <w:p w14:paraId="7BAE6F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воспитанники в молодежных трудовых колониях;</w:t>
      </w:r>
    </w:p>
    <w:p w14:paraId="6DE876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трудпоселенцы на сельхозосвоении, не обеспеченные собственным урожаем;</w:t>
      </w:r>
    </w:p>
    <w:p w14:paraId="0A2878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трудпоселенцы, занятые на ББК [Беломорско-Балтийский комбинат] и не получающие зарплаты;</w:t>
      </w:r>
    </w:p>
    <w:p w14:paraId="4DA115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рядовой и младший командный состав ВОХР лагерей и трудовых поселений НКВД (7560).</w:t>
      </w:r>
    </w:p>
    <w:p w14:paraId="37C8DE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остальные категории довольствующихся, в том числе:</w:t>
      </w:r>
    </w:p>
    <w:p w14:paraId="3006A9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вольнонаемные сотрудники всех категорий и их семьи;</w:t>
      </w:r>
    </w:p>
    <w:p w14:paraId="0AA7B4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вольнонаемные рабочие и их семьи;</w:t>
      </w:r>
    </w:p>
    <w:p w14:paraId="5EC37E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колонизированные, получающие зарплату и их семьи;</w:t>
      </w:r>
    </w:p>
    <w:p w14:paraId="0CD3B2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трудпоселенцы на сельхозосвоении, обеспеченные собственным урожаем;</w:t>
      </w:r>
    </w:p>
    <w:p w14:paraId="306123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трудпоселенцы, получающие зарплату;</w:t>
      </w:r>
    </w:p>
    <w:p w14:paraId="19994D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семьи з/к, прибывшие на свиданье;</w:t>
      </w:r>
    </w:p>
    <w:p w14:paraId="2937D6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 средний и высший командный состав ВОХР лагерей и трудпоселений НКВД</w:t>
      </w:r>
    </w:p>
    <w:p w14:paraId="5E3816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снять с 01.01.35 со снабжения мукой (хлебом), крупой и макаронными изделиями через систему снабжения ГУЛАГа НКВД (7560).</w:t>
      </w:r>
    </w:p>
    <w:p w14:paraId="28CB62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Удовлетворение указанными хлебными продуктами снятых со снабжения категорий должно производиться с 01.01.38 повсеместно через сеть государственных и кооперативно-хлебных и продуктовых магазинов на общем основании с гражданским населением (7560).</w:t>
      </w:r>
    </w:p>
    <w:p w14:paraId="1D8295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Снабжение прочими продуктами (мясом, живжирами, сахаром, овощами и пр.) остается на прежних основаниях” (7560).</w:t>
      </w:r>
    </w:p>
    <w:p w14:paraId="35B8613C" w14:textId="77777777" w:rsidR="00D4105E" w:rsidRPr="00E14102" w:rsidRDefault="00D4105E" w:rsidP="00E14102">
      <w:pPr>
        <w:autoSpaceDE w:val="0"/>
        <w:autoSpaceDN w:val="0"/>
        <w:adjustRightInd w:val="0"/>
        <w:jc w:val="both"/>
        <w:rPr>
          <w:color w:val="000000" w:themeColor="text1"/>
          <w:sz w:val="16"/>
          <w:szCs w:val="16"/>
        </w:rPr>
      </w:pPr>
    </w:p>
    <w:p w14:paraId="7D771D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января 1935 года отменили хлебные карточки, с 1 октября - карточки на мясные и рыбные продукты, жиры, сахар и картофель, а с 1 января 1936 года - на непродовольственные товары. Открывались новые специализированные продовольственные магазины и образцовые универмаги, в которых ассортимент товаров был не хуже торгсиновского, а цены - в советских рублях. Валютный план Торгсина на 1935 год после головокружительного 1933 года выглядит очень скромно - 40 миллионов рублей. Видимо, руководство похоронило надежды превратить объединение в массовый валютный универмаг модных товаров. Золотоскупка в 1935 году должна была обеспечить всего лишь 13 миллионов рублей (около 10 тонн чистого золота) - явная перестраховка после неудачно определенных ориентиров 1934 года. Торгсин перевыполнил этот план, но ликвидация его сети продолжалась (11558).</w:t>
      </w:r>
    </w:p>
    <w:p w14:paraId="5DAA1403" w14:textId="77777777" w:rsidR="00D4105E" w:rsidRPr="00E14102" w:rsidRDefault="00D4105E" w:rsidP="00E14102">
      <w:pPr>
        <w:autoSpaceDE w:val="0"/>
        <w:autoSpaceDN w:val="0"/>
        <w:adjustRightInd w:val="0"/>
        <w:jc w:val="both"/>
        <w:rPr>
          <w:color w:val="000000" w:themeColor="text1"/>
          <w:sz w:val="16"/>
          <w:szCs w:val="16"/>
        </w:rPr>
      </w:pPr>
    </w:p>
    <w:p w14:paraId="60CEA95B" w14:textId="77777777" w:rsidR="00732B78" w:rsidRPr="00E14102" w:rsidRDefault="00732B78" w:rsidP="00E14102">
      <w:pPr>
        <w:jc w:val="both"/>
        <w:rPr>
          <w:color w:val="000000" w:themeColor="text1"/>
          <w:sz w:val="16"/>
          <w:szCs w:val="16"/>
        </w:rPr>
      </w:pPr>
      <w:r w:rsidRPr="00E14102">
        <w:rPr>
          <w:bCs/>
          <w:color w:val="000000" w:themeColor="text1"/>
          <w:sz w:val="16"/>
          <w:szCs w:val="16"/>
        </w:rPr>
        <w:t>1 января</w:t>
      </w:r>
      <w:r w:rsidRPr="00E14102">
        <w:rPr>
          <w:color w:val="000000" w:themeColor="text1"/>
          <w:sz w:val="16"/>
          <w:szCs w:val="16"/>
        </w:rPr>
        <w:t xml:space="preserve"> в 1935 году в Москве появились телефонные часы (точное время) (14996).</w:t>
      </w:r>
    </w:p>
    <w:p w14:paraId="7343E1F8" w14:textId="77777777" w:rsidR="00732B78" w:rsidRPr="00E14102" w:rsidRDefault="00732B78" w:rsidP="00E14102">
      <w:pPr>
        <w:jc w:val="both"/>
        <w:rPr>
          <w:color w:val="000000" w:themeColor="text1"/>
          <w:sz w:val="16"/>
          <w:szCs w:val="16"/>
        </w:rPr>
      </w:pPr>
    </w:p>
    <w:p w14:paraId="0E40E61A" w14:textId="77777777" w:rsidR="00732B78" w:rsidRPr="00E14102" w:rsidRDefault="00732B78" w:rsidP="00E14102">
      <w:pPr>
        <w:jc w:val="both"/>
        <w:rPr>
          <w:color w:val="000000" w:themeColor="text1"/>
          <w:sz w:val="16"/>
          <w:szCs w:val="16"/>
        </w:rPr>
      </w:pPr>
      <w:r w:rsidRPr="00E14102">
        <w:rPr>
          <w:bCs/>
          <w:color w:val="000000" w:themeColor="text1"/>
          <w:sz w:val="16"/>
          <w:szCs w:val="16"/>
        </w:rPr>
        <w:t>1 января</w:t>
      </w:r>
      <w:r w:rsidRPr="00E14102">
        <w:rPr>
          <w:color w:val="000000" w:themeColor="text1"/>
          <w:sz w:val="16"/>
          <w:szCs w:val="16"/>
        </w:rPr>
        <w:t xml:space="preserve"> в 1935 году в Москве был создан научно-исследовательский институт авиационно-космической медицины (ныне Научно-исследовательский испытательный центр авиационно-космической медицины и военной эргономики (ГНИИИ военной медицины Министерства Обороны Российской Федерации)</w:t>
      </w:r>
    </w:p>
    <w:p w14:paraId="6AC8226C" w14:textId="77777777" w:rsidR="00732B78" w:rsidRPr="00E14102" w:rsidRDefault="00732B78" w:rsidP="00E14102">
      <w:pPr>
        <w:jc w:val="both"/>
        <w:rPr>
          <w:color w:val="000000" w:themeColor="text1"/>
          <w:sz w:val="16"/>
          <w:szCs w:val="16"/>
        </w:rPr>
      </w:pPr>
    </w:p>
    <w:p w14:paraId="1ADD852B" w14:textId="77777777" w:rsidR="00732B78"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F4A86E2" w14:textId="77777777" w:rsidR="00732B78" w:rsidRPr="00E14102" w:rsidRDefault="00732B78" w:rsidP="00E14102">
      <w:pPr>
        <w:autoSpaceDE w:val="0"/>
        <w:autoSpaceDN w:val="0"/>
        <w:adjustRightInd w:val="0"/>
        <w:jc w:val="both"/>
        <w:rPr>
          <w:iCs/>
          <w:color w:val="000000" w:themeColor="text1"/>
          <w:sz w:val="16"/>
          <w:szCs w:val="16"/>
        </w:rPr>
      </w:pPr>
    </w:p>
    <w:p w14:paraId="292551C9" w14:textId="77777777" w:rsidR="00732B78" w:rsidRPr="00E14102" w:rsidRDefault="00732B78" w:rsidP="00E14102">
      <w:pPr>
        <w:jc w:val="both"/>
        <w:rPr>
          <w:color w:val="000000" w:themeColor="text1"/>
          <w:sz w:val="16"/>
          <w:szCs w:val="16"/>
        </w:rPr>
      </w:pPr>
      <w:r w:rsidRPr="00E14102">
        <w:rPr>
          <w:bCs/>
          <w:color w:val="000000" w:themeColor="text1"/>
          <w:sz w:val="16"/>
          <w:szCs w:val="16"/>
        </w:rPr>
        <w:t>1 января</w:t>
      </w:r>
      <w:r w:rsidRPr="00E14102">
        <w:rPr>
          <w:color w:val="000000" w:themeColor="text1"/>
          <w:sz w:val="16"/>
          <w:szCs w:val="16"/>
        </w:rPr>
        <w:t xml:space="preserve"> в 1935 году на аэродроме Вудфорд поднялся в воздух первый «Авро 652» (компания «Avro», Великобритания), его пилотировал испытатель Ф.Томкинс. Летчик отметил хорошую управляемость и устойчивость машины. «Авро 652» - двухмоторный самолет смешанной конструкции. Крыло и горизонтальное оперение у него были деревянными, а фюзеляж имел в основе ферму из стальных труб. Два мотора Армстронг-Сиддли "Чита" V (Armstrong Siddeley "Cheetah"V) по 270 л.с. вращали металлические двухлопастные винты постоянного шага "Фэйри-Рид" ("Fairey-Reed"). Основные колеса убирались в мотогондолы вперед по полету ручной лебедкой - с помощью цепной передачи и винтовой пары с малым шагом. Чтобы полностью убрать шасси, нужно было провернуть рукоятку 140 раз! Самолет нес всего четырех пассажиров (каждый из них имел свое "персональное" круглое окошко) при двух членах экипажа; кабина пилотов оборудовалась двойным управлением (14996).</w:t>
      </w:r>
    </w:p>
    <w:p w14:paraId="17BF6304" w14:textId="77777777" w:rsidR="00732B78" w:rsidRPr="00E14102" w:rsidRDefault="00732B78" w:rsidP="00E14102">
      <w:pPr>
        <w:jc w:val="both"/>
        <w:rPr>
          <w:color w:val="000000" w:themeColor="text1"/>
          <w:sz w:val="16"/>
          <w:szCs w:val="16"/>
        </w:rPr>
      </w:pPr>
    </w:p>
    <w:p w14:paraId="2F04A66E" w14:textId="77777777" w:rsidR="00354896" w:rsidRPr="00E14102" w:rsidRDefault="00354896" w:rsidP="00E14102">
      <w:pPr>
        <w:jc w:val="both"/>
        <w:rPr>
          <w:color w:val="0070C0"/>
          <w:sz w:val="16"/>
          <w:szCs w:val="16"/>
        </w:rPr>
      </w:pPr>
      <w:r w:rsidRPr="00E14102">
        <w:rPr>
          <w:color w:val="0070C0"/>
          <w:sz w:val="16"/>
          <w:szCs w:val="16"/>
        </w:rPr>
        <w:t>1 января 1935 года совершил первый полет бомбардировщик Дуглас DB-1. Максимальная скорость DB-1 оказалась меньше, чем у Боинга 299 на 63 км/ч, потолок — на 1950 м, а дальность на 3400 км. Бомбардировщик «Дугласа» имел несколько большую бомбовую нагрузку, однако самолет «Боинга» еще имел резервы, а DB1 — нет. Оба прототипа пока не несли пулеметов, но на «Дугласе» было три места под них, а на «Боинге» пять, и фирма указывала на возможность увеличения числа огневых точек. Один из корреспондентов назвал Боинг 299 «летающей крепостью», и это определение далее активно тиражировалось, хотя стало официальным названием самолета только в 1942 году.</w:t>
      </w:r>
    </w:p>
    <w:p w14:paraId="60719197" w14:textId="77777777" w:rsidR="00354896" w:rsidRPr="00E14102" w:rsidRDefault="00354896" w:rsidP="00E14102">
      <w:pPr>
        <w:jc w:val="both"/>
        <w:rPr>
          <w:color w:val="0070C0"/>
          <w:sz w:val="16"/>
          <w:szCs w:val="16"/>
        </w:rPr>
      </w:pPr>
      <w:r w:rsidRPr="00E14102">
        <w:rPr>
          <w:color w:val="0070C0"/>
          <w:sz w:val="16"/>
          <w:szCs w:val="16"/>
        </w:rPr>
        <w:t>С другой стороны, двухмоторный DB-1 (Douglas Bomber #1) стоил 58500 долларов, а первый Боинг 299 почти вдвое больше — 99620. Борьба за рынок гражданских авиаперевозок заставила искать способы снижения себестоимости массового производства самолетов с одновременным повышением качества. С этой целью инженеры «Дугласа» создали так называемый плазово-шаблонный метод сборки и увязки сборочной и детальной оснастки — ПШМ. Суть его в том, что координаты точек стыков агрегатов, контуры агрегатов и всего самолета увязываются на плазе, особом чертеже в масштабе 1:1 на дюралевых плитах. С него делаются шаблоны всех отдельных деталей, и на заготовки размеры переносятся уже не разметкой, а копированием этих шаблонов, ими же контролировалась правильность выполнения размеров. По шаблонам же делаются сборочные стапеля, в которых жестко зажимаются шпангоуты, стрингеры, панели обшивки и стыковые узлы для крепления «соседних» агрегатов и склепываются воедино с идеальным качеством даже слесарем посредственной квалификации. Потратившись на оснастку, можно снизить цену серийного самолета во много раз, причем чем больше серия, тем дешевле единичный самолет (22814).</w:t>
      </w:r>
    </w:p>
    <w:p w14:paraId="7FEB4091" w14:textId="77777777" w:rsidR="00354896" w:rsidRPr="00E14102" w:rsidRDefault="00354896" w:rsidP="00E14102">
      <w:pPr>
        <w:jc w:val="both"/>
        <w:rPr>
          <w:color w:val="0070C0"/>
          <w:sz w:val="16"/>
          <w:szCs w:val="16"/>
        </w:rPr>
      </w:pPr>
    </w:p>
    <w:p w14:paraId="24463F83" w14:textId="77777777" w:rsidR="00732B78" w:rsidRPr="00E14102" w:rsidRDefault="00732B78" w:rsidP="00E14102">
      <w:pPr>
        <w:jc w:val="both"/>
        <w:rPr>
          <w:color w:val="000000" w:themeColor="text1"/>
          <w:sz w:val="16"/>
          <w:szCs w:val="16"/>
        </w:rPr>
      </w:pPr>
      <w:r w:rsidRPr="00E14102">
        <w:rPr>
          <w:bCs/>
          <w:color w:val="000000" w:themeColor="text1"/>
          <w:sz w:val="16"/>
          <w:szCs w:val="16"/>
        </w:rPr>
        <w:t>1 января</w:t>
      </w:r>
      <w:r w:rsidRPr="00E14102">
        <w:rPr>
          <w:color w:val="000000" w:themeColor="text1"/>
          <w:sz w:val="16"/>
          <w:szCs w:val="16"/>
        </w:rPr>
        <w:t xml:space="preserve"> в 1935 году в Турции вводится обязательное употребление имени и фамилии и упраздняются все титулы (14996).</w:t>
      </w:r>
    </w:p>
    <w:p w14:paraId="35FF3AC4" w14:textId="77777777" w:rsidR="00732B78" w:rsidRPr="00E14102" w:rsidRDefault="00732B78" w:rsidP="00E14102">
      <w:pPr>
        <w:jc w:val="both"/>
        <w:rPr>
          <w:color w:val="000000" w:themeColor="text1"/>
          <w:sz w:val="16"/>
          <w:szCs w:val="16"/>
        </w:rPr>
      </w:pPr>
    </w:p>
    <w:p w14:paraId="1B7E313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3320349" w14:textId="77777777" w:rsidR="00D4105E" w:rsidRPr="00E14102" w:rsidRDefault="00D4105E" w:rsidP="00E14102">
      <w:pPr>
        <w:autoSpaceDE w:val="0"/>
        <w:autoSpaceDN w:val="0"/>
        <w:adjustRightInd w:val="0"/>
        <w:jc w:val="both"/>
        <w:rPr>
          <w:iCs/>
          <w:color w:val="000000" w:themeColor="text1"/>
          <w:sz w:val="16"/>
          <w:szCs w:val="16"/>
        </w:rPr>
      </w:pPr>
    </w:p>
    <w:p w14:paraId="40B4E33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января 1935 года вышел Приказ НИИ ВВС № 03 О гос. испытании опытного мотора ЦИАМа М-34ФРН</w:t>
      </w:r>
    </w:p>
    <w:p w14:paraId="767E34D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Мотор предъявлен вторично.</w:t>
      </w:r>
    </w:p>
    <w:p w14:paraId="62BEC15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испытание начать 2 января и закончить не позднее 15 января 1935 года (6814, 5).</w:t>
      </w:r>
    </w:p>
    <w:p w14:paraId="4B0D579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9E716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января 1935 года профессор М. Петров писал письмо председателю НТК ГАУ на № 299/120 секр.</w:t>
      </w:r>
    </w:p>
    <w:p w14:paraId="116183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независящим от меня обстоятельствам, Ваш № 299/120с/с от 22 ноября, мной был получен только 26 декабря, вследствие чего я не имел возможности ранее представить требуемые предварительные соображения по вопросу о средствах поражения морских кораблей.</w:t>
      </w:r>
    </w:p>
    <w:p w14:paraId="65032E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Представляю эти соображения, пока предварительные, по двум вопросам:</w:t>
      </w:r>
    </w:p>
    <w:p w14:paraId="461B9FC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 перспективах использования авиационной артиллерии, в частности пушек ДРП для поражения морских целей.</w:t>
      </w:r>
    </w:p>
    <w:p w14:paraId="2CCD160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 xml:space="preserve">Предложение по принципиальной установке на выбор средств для поражения морских целей </w:t>
      </w:r>
    </w:p>
    <w:p w14:paraId="52D376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Уполномоченному по спецработам при НКТП Курчевскому Л.В.</w:t>
      </w:r>
    </w:p>
    <w:p w14:paraId="158118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сем представляю Вам второй экземпляр материала, представленного одновременно мной председателю Научного комитета ГАУ РККА (2426,33).</w:t>
      </w:r>
    </w:p>
    <w:p w14:paraId="1498762E" w14:textId="77777777" w:rsidR="00D4105E" w:rsidRPr="00E14102" w:rsidRDefault="00D4105E" w:rsidP="00E14102">
      <w:pPr>
        <w:autoSpaceDE w:val="0"/>
        <w:autoSpaceDN w:val="0"/>
        <w:adjustRightInd w:val="0"/>
        <w:jc w:val="both"/>
        <w:rPr>
          <w:color w:val="000000" w:themeColor="text1"/>
          <w:sz w:val="16"/>
          <w:szCs w:val="16"/>
        </w:rPr>
      </w:pPr>
    </w:p>
    <w:p w14:paraId="37FA6D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января 1935 года профессор М. Петров писал письмо председателю НТС ГАУ, уполномоченному по спецработам НКТП Курчевскому</w:t>
      </w:r>
    </w:p>
    <w:p w14:paraId="1D500F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Предварительные соображения о перспективах использования авиационной артиллерии, в частности ДРП, по морским целям</w:t>
      </w:r>
    </w:p>
    <w:p w14:paraId="23780A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данном этапе техники вопрос не стоит об использовании авиационной артиллерии в качестве средства, решающего основные задачи морского боя против линкоров, бронированных кораблей вообще и против крейсеров.</w:t>
      </w:r>
    </w:p>
    <w:p w14:paraId="4F47A3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данный момент мы можем говорить конкретно:</w:t>
      </w:r>
    </w:p>
    <w:p w14:paraId="0A5D0B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об орудиях системы АПК 100 мм, 76,2 мм, 45мм и 37 мм с облегченным снарядом</w:t>
      </w:r>
    </w:p>
    <w:p w14:paraId="2E8317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об автоматических пушках 20 мм, 37 мм обычного принципа</w:t>
      </w:r>
    </w:p>
    <w:p w14:paraId="7616C1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 газодинамических снарядах 80 и 130 мм</w:t>
      </w:r>
    </w:p>
    <w:p w14:paraId="62095B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Эти калибры лимитируют разрушительные возможности авиационной артиллерии и определяют ее вспомогательное значение при поражении морских целей.</w:t>
      </w:r>
    </w:p>
    <w:p w14:paraId="1BF629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не говоря уже о перспективах дальнейшего развития авиационных орудийных систем, уже сегодня представляется посильным для них разрешение ряда задач, имеющих, в общем ходе войны, существенное значение.</w:t>
      </w:r>
    </w:p>
    <w:p w14:paraId="4DA428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Ниже приводим перечень этих задач, пользуясь случаем отметить некоторые тактические требования, из них проистекающие, для авиационной артиллерии.</w:t>
      </w:r>
    </w:p>
    <w:p w14:paraId="2DA974B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Обеспечение атаки бомбардировщиков по морским целям.</w:t>
      </w:r>
    </w:p>
    <w:p w14:paraId="58EFA3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Существенными требованиями для обеспечения атаки бомбардировщиков являются: огнем обеспечивающей части загнать вниз или дезорганизовать работу прислуги зенитной артиллерии расположенной на палубе; обязать противника разделить отражающий огонь по другим целям, ослабив сосредоточение по атакующим бомбардировщикам; сковать действия неприятельской истребительной авиации.</w:t>
      </w:r>
    </w:p>
    <w:p w14:paraId="7C659A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Соединение пушечных самолетов, сопровождающих атакующих бомбардировщиков, объективно может:</w:t>
      </w:r>
    </w:p>
    <w:p w14:paraId="60E5FF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 момент, непосредственно предшествующий атаке, когда бомбардировщики лягут на “боевой курс”, а корабельная зенитная артиллерия приготовится развить свою полную мощь, сосредоточенным огнем пушечных самолетов, по палубе и надстройкам, нанести потери прислуге зенитных пушек, повредить оборудование последних и связь, зажечь приготовленные очереди снарядов и пр.</w:t>
      </w:r>
    </w:p>
    <w:p w14:paraId="728C0A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Эта задача может быть выполнена, при достаточном количестве попавших снарядов калибрами 37 мм и выше. Наиболее подходящим явятся, по нашему мнению калибры сверх 45 мм (вес снаряда более 1 кг), обладающие ощутимым фугасным действием.</w:t>
      </w:r>
    </w:p>
    <w:p w14:paraId="017A6E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Полагаем, что 100 попавших в короткий промежуток времени в палубу корабля снарядов калибра 45 мм или 50 – 76,2 мм-х, явятся существенным данным для погашения эффективности отражающего огня зенитных открытых орудий.</w:t>
      </w:r>
    </w:p>
    <w:p w14:paraId="50F45E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Если даже имеемые “ЗЕТы” оборудовать хорошим прицелом специально для этой цели, то эскадрилья их (16 самолетов), на сближении с 4 км до 1,5-2-х могла бы дать 50-60 попаданий), учитывая большие размеры цели, дающие возможность при наличии повторяем, хорошего прицела, достичь 25-30% попаданий. Их огнем пренебрегать не приходится.</w:t>
      </w:r>
    </w:p>
    <w:p w14:paraId="49D1A0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Если же, на последующих новых самолетах увеличить боезапас, создать лучшие условия для стрельбы, то эффект их атаки для обеспечения бомбардировщиков может быть значительно повышен.</w:t>
      </w:r>
    </w:p>
    <w:p w14:paraId="0A0980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б) Отвлечь внимание, разделить огонь зенитной артиллерии противника в целях обеспечения атаки бомбардировщиков – задача разбираемая пушечными самолетами преимущественно перед истребителями, сопровождающими бомбардировщиков.</w:t>
      </w:r>
    </w:p>
    <w:p w14:paraId="298B77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Сочетание этой задачи с предыдущей определит тактику пушечной авиации для обеспечения атаки бомбардировщиков: можно будет идти на близкие дистанции, в особенности обязывающие противника разделить огонь, и в то же время дающие большие шансы попадания. Отмечаем здесь гибкость боевого маневрирования пушечных самолетов, не связанных определенным направлением и жесткой дистанцией: они могут угрожать с разных расстояний и сторон одновременно.</w:t>
      </w:r>
    </w:p>
    <w:p w14:paraId="667E6E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При наличии у противника истребительной корабельной авиации, пушечным самолетам может быть дана задача обеспечения от них.</w:t>
      </w:r>
    </w:p>
    <w:p w14:paraId="1B6A84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 При наличии в составе отряда противника, авианосцев, пушечные самолеты находят для себя хорошую цель в виде полетной площадки последних, поражение которое снарядами, начиная с 76 мм, может привести ее во временную негодность.</w:t>
      </w:r>
    </w:p>
    <w:p w14:paraId="60776A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Если развитие техники дымовых снарядов позволит разрешить давно стоящую на очереди задачу – закрытия дымзавесой кораблей противника с целью затруднить огонь тех из них, кои нами не обстреливаются, то пушечные самолеты вооруженные калибром сверх 76 мм вероятно смогут использовать эту возможность для обеспечения от зенитного огня бомбардировщиков со стороны последних.</w:t>
      </w:r>
    </w:p>
    <w:p w14:paraId="6034D96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борьбы с подводными лодками.</w:t>
      </w:r>
    </w:p>
    <w:p w14:paraId="6685BD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границей большое значение придается использованию самолетов, вооруженных пушками (37 мм) для борьбы с подводными лодками. По-видимому, это вызывается следующими соображениями:</w:t>
      </w:r>
    </w:p>
    <w:p w14:paraId="33C2E8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Уже попаданий 37 мм снаряда достаточно, чтобы причинить существенные, с большой вероятностью смертельные, повреждения.</w:t>
      </w:r>
    </w:p>
    <w:p w14:paraId="576B02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Сложность поражения лодки, в подводном ее состоянии при помощи глубинных бомб, в особенности при запоздалом подходе уничтожающих кораблей, когда требуется покрывать взрывами большие объемы вероятного ее нахождения.</w:t>
      </w:r>
    </w:p>
    <w:p w14:paraId="3F4621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Бомбы с самолетов, могущих быстро сосредоточиваться к месту обнаружения лодки, имеют относительно большую вероятность застигнуть лодку, но малое количество бомб, сами условия бомбометания, затрудняют борьбу с лодкой, успевшей заблаговременно погрузиться. Естественно стремление поразить лодку еще в надводном положении, что гораздо более доступно артиллерии, при возможности открыть огонь на лодке тотчас по ее обнаружении.</w:t>
      </w:r>
    </w:p>
    <w:p w14:paraId="008A4B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Возрастающая скорость на современных подводных лодках перехода из надводного в подводное положение, измеряемая в настоящее время долями минуты, что дает новую аргументацию целесообразности использования пушек с самолета для этой цели.</w:t>
      </w:r>
    </w:p>
    <w:p w14:paraId="5486D0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рекламных информациях об английских морских самолетах, вооруженных 37 мм пушкой Виккерса указано, что их главное назначение – борьба с подводными лодками.</w:t>
      </w:r>
    </w:p>
    <w:p w14:paraId="52F1A4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Оценивая вопрос для наших условий, нам представляется что:</w:t>
      </w:r>
    </w:p>
    <w:p w14:paraId="1B5077E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Авиационная артиллерия не заменит глубинных бомб, которые должны остаться на вооружении самолетов.</w:t>
      </w:r>
    </w:p>
    <w:p w14:paraId="7913C88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Но пушки с самолета необходимы, и по сути дела, являются единственным средством для поражения лодки в надводном положении, когда вывод ее из строя может быть достигнут легче всего.</w:t>
      </w:r>
    </w:p>
    <w:p w14:paraId="0700E26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 надлежащем количестве дозорных пушечных самолетов, ведущих наблюдение за определенным районом, имеется большая вероятность: во-первых не допустить ориентировки лодкам противника, для чего они должны всплыть (не говоря уже о перезарядке в светлое время), во-вторых – уничтожить лодку.</w:t>
      </w:r>
    </w:p>
    <w:p w14:paraId="47FB1AF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Так как борьба с подводными лодками ложится не только на специальные дозорные самолеты, но и на разведчиков желательно вооружение разведывательных самолетов морской авиации пушками для этой цели.</w:t>
      </w:r>
    </w:p>
    <w:p w14:paraId="0746EF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Сказанное выдвигает вопросы:</w:t>
      </w:r>
    </w:p>
    <w:p w14:paraId="4760719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 постройке специальных морских пушечных самолетов.</w:t>
      </w:r>
    </w:p>
    <w:p w14:paraId="59F2ED1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 вооружении пушками самолетов разведывательной морской авиации.</w:t>
      </w:r>
    </w:p>
    <w:p w14:paraId="577DBA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Калибры и системы орудий должны быть уточнены опытом. Лично полагаем 37 мм пушку Шпитального и 45 мм ДРП – основными системами на сегодня для этой цели.</w:t>
      </w:r>
    </w:p>
    <w:p w14:paraId="0D6327B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борьбы с легкими и небронированными кораблями.</w:t>
      </w:r>
    </w:p>
    <w:p w14:paraId="2FF6D4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Ряд повседневных операций морской войны выполняется вспомогательными судами – дозорными кораблями, тральщиками, судами-охотниками за подводными лодками, транспортами и пр. Все эти вспомогательные суда могут быть объектом поражения авиационной артиллерией. В ряде случае – пушечный самолет явится наиболее удобным средством, чтобы быстро атаковать подобного неприятеля.</w:t>
      </w:r>
    </w:p>
    <w:p w14:paraId="2B3FF7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Здесь отметим:</w:t>
      </w:r>
    </w:p>
    <w:p w14:paraId="4FFDE9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Борьбу с тральщиками противника.</w:t>
      </w:r>
    </w:p>
    <w:p w14:paraId="5AE879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Как объект, обычный тральщик вполне уязвим снарядами 45, тем более 76,2 мм. Он будет особенно чуток к их нападениям во время выполнения тральных работ. Защита последних от воздушных атак, в частности бомбардировщиков, представляет нелегкую тактическую задачу. Задача эта особенно осложняется при атаке пушечных самолетов, несвязанных с необходимостью выхода на боевой курс, могущих поражать с относительно больших дистанций и с любых направлений.</w:t>
      </w:r>
    </w:p>
    <w:p w14:paraId="238E29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Учитывая то огромное значение, которое будут иметь тральные операции в морской войне, применение для этой цели соединений пушечных самолетов особо целесообразно. Лично считаем, что атака звена “ЗЕТов” имеет большую вероятность заставить пару тральщиков бросить тралы. Атака эскадрильи – вероятно будет способна, даже при наличии ПВО сорвать работу их колонны.</w:t>
      </w:r>
    </w:p>
    <w:p w14:paraId="1FECCF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Отсюда вывод о необходимости использования пушечных самолетов для охраны минных полей у своих берегов и наблюдения за заграждениями поставленными в открытом море.</w:t>
      </w:r>
    </w:p>
    <w:p w14:paraId="5AEDF5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Борьбу с торпедными катерами противника.</w:t>
      </w:r>
    </w:p>
    <w:p w14:paraId="75FC52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Проблема бомбежки с воздуха торпедных катеров, этих быстроходных, чрезвычайно маневренных, представляющих сверх малые площадки и действующих массами, представляет весьма трудную задачу. Те объективные трудности, которые присущи вообще бомбардированию по движущимся морским целям, здесь сугубо возрастают.</w:t>
      </w:r>
    </w:p>
    <w:p w14:paraId="6BE88C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другой стороны – торпедный катер вполне уязвим снарядами начиная с 20 мм, м по-видимому, можно с уверенностью сказать, что попаданию 45, а тем более 76 мм снаряда в любую часть катера, выводит его из строя.</w:t>
      </w:r>
    </w:p>
    <w:p w14:paraId="535CCE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Пушечные самолеты, следовательно, здесь могут быть применимы с большим успехом, преимущественно перед всеми другими средствами, так как самолет может быть по катеру с небольшого расстояния, где последний не сможет уклониться от атаки.</w:t>
      </w:r>
    </w:p>
    <w:p w14:paraId="2A6270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намечаются перспективы использования пушечных самолетов для охраны рейдов и гаваней от атак торпедных катеров, для охраны отряда кораблей в море, в районах вероятного нахождения последних.</w:t>
      </w:r>
    </w:p>
    <w:p w14:paraId="1D84CD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Борьбу с десантами средствами противника.</w:t>
      </w:r>
    </w:p>
    <w:p w14:paraId="0AD07A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Борьба с десантными средствами противника, справедливо почитается одной из видных задач бомбардировочной авиации.</w:t>
      </w:r>
    </w:p>
    <w:p w14:paraId="7B065C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Она же явится задачей и пушечной авиации, в особенности имея в виду:</w:t>
      </w:r>
    </w:p>
    <w:p w14:paraId="3E0580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Большую уязвимость десантных транспортов и средств высадки, достаточную для поражения всеми калибрами авиационной артиллерии.</w:t>
      </w:r>
    </w:p>
    <w:p w14:paraId="741B3B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Построение походного порядка десанта и развертывание для высадки на очень больших площадях, что затрудняет бомбежку общего расположения, а поражение отдельных объектов вызывает большие количества бомбардировщиков и бомб. Удобнее эту задачу разрешить пушечными самолетами прицельно атакующими каждый объект, не тратя снарядов на покрытие площадей.</w:t>
      </w:r>
    </w:p>
    <w:p w14:paraId="53D76E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Естественно ожидать принятия со стороны противника всех средств для ПВО десанта. Отражение пушечного самолета несомненно труднее чем бомбардировщика, в соответствии с чем их боевые возможности, в данном случае следует признать более широкими.</w:t>
      </w:r>
    </w:p>
    <w:p w14:paraId="0AB92D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Борьбу с миноносцами противника.</w:t>
      </w:r>
    </w:p>
    <w:p w14:paraId="7D22DB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Хотя миноносцы тоже уязвимы от фугасных снарядов (45 мм и выше), но обладая зенитной артиллерией (довольно сильной на современных), и относительно большей живучестью чем перечисленные выше классы кораблей, лично мы не считаем достаточным вооружение пушечных самолетов для борьбы с ними.</w:t>
      </w:r>
    </w:p>
    <w:p w14:paraId="3D4A81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это вооружение и его возможности будут, вероятно достаточны для случаев, когда надо сковать на несколько минут, огонь миноносцев, в целях обеспечения атаки, выполняемой другими средствами. Если примерная подкидка указывает на возможность использовать пушечные самолеты для обеспечения атак бомбардировщиков по большим кораблям, то тем более это относится к миноносцам.</w:t>
      </w:r>
    </w:p>
    <w:p w14:paraId="6E5CD5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Вот почему, мы считаем целесообразным, использование пушечных самолетов для:</w:t>
      </w:r>
    </w:p>
    <w:p w14:paraId="7A7C8C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обеспечения от миноносцев атаки собственных торпедных катеров, для которых контратака миноносцев является сильным препятствием;</w:t>
      </w:r>
    </w:p>
    <w:p w14:paraId="171D82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обеспечения атаки миноносцев, вооруженных пушками ДРП большого калибра, которые по-видимому этого обеспечения потребуют, от миноносцев противника;</w:t>
      </w:r>
    </w:p>
    <w:p w14:paraId="622D60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обеспечения атак подводных лодок от истребительных средств противника (в комбинированной атаке).</w:t>
      </w:r>
    </w:p>
    <w:p w14:paraId="01DC18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пушечные самолеты войдут одним из существенных слагаемых в различных видах комбинированных атак: и как средства для удара, и как средства для обеспечения.</w:t>
      </w:r>
    </w:p>
    <w:p w14:paraId="73A5701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обеспечения десантных действий.</w:t>
      </w:r>
    </w:p>
    <w:p w14:paraId="2CCB2B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Не трогая всей темы десантной операции, в развитии которой найдется ряд моментов, вызывающих целесообразное применение пушечных самолетов, отметим лишь один момент, где их специфические свойства должны быть особо оценены. Это – потребность быстрой артиллерийской поддержки первых бросков десанта для нейтрализации групп и огневых точек противника, на короткое время, нужное чтобы закрепиться нашим частям, пока будет высажена и развернута артиллерия.</w:t>
      </w:r>
    </w:p>
    <w:p w14:paraId="095F46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Поддержка судового огня ограничена в известных пределах складками местности и в основном по площадям. Поддержка бомбардировочной авиации для крупных объектов противника и также по площадям. Пушечные самолеты и штурмовики, лишь они окажут содействие действуя против отдельных точек, вызывающих необходимость прицельного огня. Пушечные самолеты – преимущественно перед штурмовиками, так как они более способны быть прицельным огнем, и эффект их снарядов иной.</w:t>
      </w:r>
    </w:p>
    <w:p w14:paraId="272A49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1C4564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Приведенный схематический перечень задач пушечной авиации в морской войне показывает, что область применения здесь последней – весьма велика и пронизывает почти все основные случаи боевой деятельности морских сил.</w:t>
      </w:r>
    </w:p>
    <w:p w14:paraId="2D358A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ставит вопрос о включении в состав морской авиации пушечных самолетов, как класса.</w:t>
      </w:r>
    </w:p>
    <w:p w14:paraId="7A0F88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Сама обстановка действий на море, вызывает необходимость помимо использования сухопутных пушечных самолетов, постройки гидро, вооруженных артиллерией, характерной особенностью которых, помимо обще-конструктивных, должны явиться:</w:t>
      </w:r>
    </w:p>
    <w:p w14:paraId="40FDFA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относительно больший район действий, вследствие иного характера морского театра;</w:t>
      </w:r>
    </w:p>
    <w:p w14:paraId="6A7934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как общее правило – относительно больший запас, здесь могущий быть взятым в перегрузку.</w:t>
      </w:r>
    </w:p>
    <w:p w14:paraId="46E286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Что касается строительства, то в план, по нашему мнению, должны быть введены следующие коррективы:</w:t>
      </w:r>
    </w:p>
    <w:p w14:paraId="7B4FB97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Проектирование и постройка морского пушечного крейсера для задач:</w:t>
      </w:r>
    </w:p>
    <w:p w14:paraId="3C89FA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сопровождения бомбардировочной авиации;</w:t>
      </w:r>
    </w:p>
    <w:p w14:paraId="144B4C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дозора против подводных лодок;</w:t>
      </w:r>
    </w:p>
    <w:p w14:paraId="27B320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совместных действий в комбинированных ударах;</w:t>
      </w:r>
    </w:p>
    <w:p w14:paraId="1DF156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содействие в охране побережья.</w:t>
      </w:r>
    </w:p>
    <w:p w14:paraId="4E986A0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Проектирование и постройка морского пушечного истребителя для ближних действий.</w:t>
      </w:r>
    </w:p>
    <w:p w14:paraId="48281CD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Вооружение орудийными системами морских разведчиков.</w:t>
      </w:r>
    </w:p>
    <w:p w14:paraId="45E7CB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отношении выбора систем, на сегодня основными являются системы ДРП, как наиболее реальные и Швак.</w:t>
      </w:r>
    </w:p>
    <w:p w14:paraId="687BEA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Как видно из всего изложенного, каких-либо новых калибров, сверх тех, кои предусмотрены развитием пушечной авиации и в том или ином виде уже вошли в план, не требуется (2426,34-40).</w:t>
      </w:r>
    </w:p>
    <w:p w14:paraId="74CE091F" w14:textId="77777777" w:rsidR="00D4105E" w:rsidRPr="00E14102" w:rsidRDefault="00D4105E" w:rsidP="00E14102">
      <w:pPr>
        <w:autoSpaceDE w:val="0"/>
        <w:autoSpaceDN w:val="0"/>
        <w:adjustRightInd w:val="0"/>
        <w:jc w:val="both"/>
        <w:rPr>
          <w:color w:val="000000" w:themeColor="text1"/>
          <w:sz w:val="16"/>
          <w:szCs w:val="16"/>
        </w:rPr>
      </w:pPr>
    </w:p>
    <w:p w14:paraId="1F40F0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января 1935 Профессор Петров писал:</w:t>
      </w:r>
    </w:p>
    <w:p w14:paraId="19611E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Некоторые принципиальные установки по вопросу о выборе средств поражения морских кораблей</w:t>
      </w:r>
    </w:p>
    <w:p w14:paraId="3DCD1D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 предполагаю, что постановка вновь вопроса о выборе средств поражения морских кораблей, диктуется сложившимися предпосылками конъюнктурно-оперативного порядка. Перечень средств поражения, равно как и их свойства для данного этапа военной техники можно считать выявленными достаточно (артснаряды, бомбы, торпеды и мины). Очевидно, вопрос идет о том, на что следует взять упор, имея в виду, по причине недостаточного состава наших морских сил, борьбу с сильнейшим противником, прямое соревнование, с которым путем противопоставления тех же средств борьбы, для нас является бесперспективным.</w:t>
      </w:r>
    </w:p>
    <w:p w14:paraId="010482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Думаю так же, что вопрос сводится не к тому, чтобы нанести врагу “уколы” или поставить его в необходимость внести элемент риска в операции против нас и пр., а к тому, чтобы создать определенное перед ним боевое преимущество, на котором базировать собственные победные предположения.</w:t>
      </w:r>
    </w:p>
    <w:p w14:paraId="251C96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этого, беру на себя смелость предложить следующие тезисы к работе по выбору боевых средств:</w:t>
      </w:r>
    </w:p>
    <w:p w14:paraId="54B534A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Искать данным средством, или совокупностью выбранных средств полноценного решения, т.е. положительного подтвержденного ясным расчетом, завершения основных операций морской обороны, в виде ли нанесения поражения основной части морских сил неприятеля, в виде ли создания обстановки исключающей для противника успешное ее использование.</w:t>
      </w:r>
    </w:p>
    <w:p w14:paraId="46B2F94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Ставить задачу четко и грубо, без распространительных, лишающих конкретности оговорок (сюда отношу ряд “мифов” – о всемогуществе подводных лодок, торпедных катеров, о непреодолимом кольце береговых батарей, о крейсерской войне без баз в океане и пр., “мифов” не потому, что в них отсутствует логика, а потому, что они не обращены в количества, не имеют цифрового выражения и культивируются часто безотносительно карты и обстановки).</w:t>
      </w:r>
    </w:p>
    <w:p w14:paraId="5B10DBF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Наряду с оценкой разрушительного действия данного средства, производить одновременно ясный, конкретный расчет о количестве этих образцов для полного решения задачи и о мерах потребного обеспечения, нужных чтобы создать обстановку, в которой они могут реализовать свою полную отдачу.</w:t>
      </w:r>
    </w:p>
    <w:p w14:paraId="30D3C37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 закрывать того, что цифры получаются большие, масштаб потребного – огромен. Когда вопрос стоит о борьбе с первоклассными морскими силами противника, иного результата и быть не может.</w:t>
      </w:r>
    </w:p>
    <w:p w14:paraId="46FF58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изложенного, я полагал бы целесообразным взять две или три типичные операции как задание и на фоне их поставить вопрос о выборе средств. Может быть выяснится при этом, что фиксируя подготовку именно к этим операциям, откинув другие задачи важные для нашего противника по другим соображениям, но не существенными для нас, мы найдем правильное решение (2426,41).</w:t>
      </w:r>
    </w:p>
    <w:p w14:paraId="4CFA66AD" w14:textId="77777777" w:rsidR="00D4105E" w:rsidRPr="00E14102" w:rsidRDefault="00D4105E" w:rsidP="00E14102">
      <w:pPr>
        <w:autoSpaceDE w:val="0"/>
        <w:autoSpaceDN w:val="0"/>
        <w:adjustRightInd w:val="0"/>
        <w:jc w:val="both"/>
        <w:rPr>
          <w:color w:val="000000" w:themeColor="text1"/>
          <w:sz w:val="16"/>
          <w:szCs w:val="16"/>
        </w:rPr>
      </w:pPr>
    </w:p>
    <w:p w14:paraId="3D41D5A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1AE93EE" w14:textId="77777777" w:rsidR="00D4105E" w:rsidRPr="00E14102" w:rsidRDefault="00D4105E" w:rsidP="00E14102">
      <w:pPr>
        <w:autoSpaceDE w:val="0"/>
        <w:autoSpaceDN w:val="0"/>
        <w:adjustRightInd w:val="0"/>
        <w:jc w:val="both"/>
        <w:rPr>
          <w:iCs/>
          <w:color w:val="000000" w:themeColor="text1"/>
          <w:sz w:val="16"/>
          <w:szCs w:val="16"/>
        </w:rPr>
      </w:pPr>
    </w:p>
    <w:p w14:paraId="416DDB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января 1935 состоялось Тактико-техническое совещание НИИ ВС РККА:</w:t>
      </w:r>
    </w:p>
    <w:p w14:paraId="2E8FF5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Темой: "1. Рассмотрение эскизного проекта скоростного одноместного фоторазведчика Завода 1.</w:t>
      </w:r>
    </w:p>
    <w:p w14:paraId="63D0B2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 к Сильванского (ГК).</w:t>
      </w:r>
    </w:p>
    <w:p w14:paraId="585081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Тов. Сильванский огласил следующие расчетные ЛТД самолета с мотором К-14:</w:t>
      </w:r>
    </w:p>
    <w:p w14:paraId="238D8F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Полетный вес самолета - 1650 кг</w:t>
      </w:r>
    </w:p>
    <w:p w14:paraId="08C4B7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Вооружение - 2хШКАС в крыльях с 500 патронами на каждый. АФА-13</w:t>
      </w:r>
    </w:p>
    <w:p w14:paraId="7DCDB2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Техническая дальность - 1200 км</w:t>
      </w:r>
    </w:p>
    <w:p w14:paraId="574510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Макс. Скорости:</w:t>
      </w:r>
    </w:p>
    <w:p w14:paraId="0FA21C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1000 - 420</w:t>
      </w:r>
    </w:p>
    <w:p w14:paraId="591FE1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2000 - 450</w:t>
      </w:r>
    </w:p>
    <w:p w14:paraId="3725A4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3000 - 470</w:t>
      </w:r>
    </w:p>
    <w:p w14:paraId="3A1269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4000 - 455</w:t>
      </w:r>
    </w:p>
    <w:p w14:paraId="6F6150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5000 - 454</w:t>
      </w:r>
    </w:p>
    <w:p w14:paraId="035F18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6000 - 440</w:t>
      </w:r>
    </w:p>
    <w:p w14:paraId="724111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Скороподъемность</w:t>
      </w:r>
    </w:p>
    <w:p w14:paraId="454E6D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1000 - 0,85</w:t>
      </w:r>
    </w:p>
    <w:p w14:paraId="6CD2B9E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5000 - 4,42</w:t>
      </w:r>
    </w:p>
    <w:p w14:paraId="6B3298E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6000 - 6</w:t>
      </w:r>
    </w:p>
    <w:p w14:paraId="0F20A2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Потолок самолета - 9750</w:t>
      </w:r>
    </w:p>
    <w:p w14:paraId="72098DF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Практический потолок 8800</w:t>
      </w:r>
    </w:p>
    <w:p w14:paraId="7398D9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Посадочная скорость - 117 км/ч.</w:t>
      </w:r>
    </w:p>
    <w:p w14:paraId="49D580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ЦАПом - 98</w:t>
      </w:r>
    </w:p>
    <w:p w14:paraId="1EB8D92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рассмотрении проекта:</w:t>
      </w:r>
    </w:p>
    <w:p w14:paraId="346FAF1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Начальник 1-го сектора т. ЛЕБЕДЕВ настаивает не ограничивать назначение самолета одними боевыми задачами по фоторазведке, а иметь данный самолет для двух назначений:</w:t>
      </w:r>
    </w:p>
    <w:p w14:paraId="3B9D04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одноместный скоростной фоторазведчик.</w:t>
      </w:r>
    </w:p>
    <w:p w14:paraId="11B752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Довести запас патрон до 1000 шт. На пулемет и использовать данный самолет в качестве истребителя, т.к. он по данным будет иметь хорошую горизонтальную скорость...</w:t>
      </w:r>
    </w:p>
    <w:p w14:paraId="40F60B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Инденером в/к 7 сектора т. Жемчужиным доложено, что конструктором не представлены все необходимые для проверочного расчета расчетные данные, а также проект не доработан по ряду деталей конструкции - нет даннных продувок - и поэтомуокончательное заключение по проекту в настоящее время дано быть не может.</w:t>
      </w:r>
    </w:p>
    <w:p w14:paraId="3A156B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На основании обмена мнениями принято:</w:t>
      </w:r>
    </w:p>
    <w:p w14:paraId="62D33C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Эскизный проект в основном утвердить</w:t>
      </w:r>
    </w:p>
    <w:p w14:paraId="5CD06A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Иметь одно назначение самолета "скоростной одноместный фоторазведчик</w:t>
      </w:r>
    </w:p>
    <w:p w14:paraId="4282406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3/ Вооружение самолета</w:t>
      </w:r>
    </w:p>
    <w:p w14:paraId="19EE9A8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2 пулемета ШКАС с запасом патрон на 500 шт. на пул-т,</w:t>
      </w:r>
    </w:p>
    <w:p w14:paraId="71AAC2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фотоаппарат АФА-12</w:t>
      </w:r>
    </w:p>
    <w:p w14:paraId="3F0792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радиооборудование на самолет не ставить</w:t>
      </w:r>
    </w:p>
    <w:p w14:paraId="209D0D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сектор*/ со".мест1'0 с констр</w:t>
      </w:r>
      <w:r w:rsidRPr="00E14102">
        <w:rPr>
          <w:color w:val="000000" w:themeColor="text1"/>
          <w:sz w:val="16"/>
          <w:szCs w:val="16"/>
          <w:vertAlign w:val="superscript"/>
        </w:rPr>
        <w:t>т</w:t>
      </w:r>
      <w:r w:rsidRPr="00E14102">
        <w:rPr>
          <w:color w:val="000000" w:themeColor="text1"/>
          <w:sz w:val="16"/>
          <w:szCs w:val="16"/>
        </w:rPr>
        <w:t xml:space="preserve"> кторо:?</w:t>
      </w:r>
    </w:p>
    <w:p w14:paraId="441716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27 сектору совместно с конструктором отработать фотографическую часть в отношении:</w:t>
      </w:r>
    </w:p>
    <w:p w14:paraId="44BFA6E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размещение фотоаппарата и подходов к нему</w:t>
      </w:r>
    </w:p>
    <w:p w14:paraId="077283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обеспечения обзора вниз через прорез в полу - для вывода самолета на объект съемки и производства самой съемки, уточнив и проверив выполнение этих требований на макете.</w:t>
      </w:r>
    </w:p>
    <w:p w14:paraId="4F1848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Нормальней запас прочности самолета иметь не ниже 4.</w:t>
      </w:r>
    </w:p>
    <w:p w14:paraId="719D7F9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Конструктоу, по окончании продувок и доработки проекта, вторично представить полный расчетный материалв НИИ для окончательного заключения.</w:t>
      </w:r>
    </w:p>
    <w:p w14:paraId="423583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совещания - начальник отделения /Лебедев/ (2337,175).</w:t>
      </w:r>
    </w:p>
    <w:p w14:paraId="1A0B3A62" w14:textId="77777777" w:rsidR="00D4105E" w:rsidRPr="00E14102" w:rsidRDefault="00D4105E" w:rsidP="00E14102">
      <w:pPr>
        <w:autoSpaceDE w:val="0"/>
        <w:autoSpaceDN w:val="0"/>
        <w:adjustRightInd w:val="0"/>
        <w:jc w:val="both"/>
        <w:rPr>
          <w:color w:val="000000" w:themeColor="text1"/>
          <w:sz w:val="16"/>
          <w:szCs w:val="16"/>
        </w:rPr>
      </w:pPr>
    </w:p>
    <w:p w14:paraId="3BCB83D7" w14:textId="77777777" w:rsidR="004A5086" w:rsidRPr="00E14102" w:rsidRDefault="004A5086" w:rsidP="00E14102">
      <w:pPr>
        <w:jc w:val="both"/>
        <w:rPr>
          <w:color w:val="000000" w:themeColor="text1"/>
          <w:sz w:val="16"/>
          <w:szCs w:val="16"/>
        </w:rPr>
      </w:pPr>
      <w:r w:rsidRPr="00E14102">
        <w:rPr>
          <w:color w:val="000000" w:themeColor="text1"/>
          <w:sz w:val="16"/>
          <w:szCs w:val="16"/>
        </w:rPr>
        <w:t>3 января 1935 г. в НИИ ВВС РККА (в документах 1935 г. он именуется НИИ ВС РККА) состоялось Тактико-техническое совещание, на котором рассматривался эскизный проект «скоростного одноместного фоторазведчика». Самолёт проходил в документах под описательным названием, без специального шифра (на одном из чертежей он назван ССР - видимо, «скоростной самолёт-разведчик»). А.В.Сильванский выступил на совещании с докладом и представил письменное описание самолёта, включая два чертежа. Познакомим читателя с этим проектом на основе указанных материалов. [РГАЭ Ф. 8328 оп. 1 д.795 л. 169-175] Самолёт сконструирован по схеме свободнонесущего низкоплана и внешне весьма похож на истребитель И-16, что и не удивительно. Основные внешние отличия касаются капота мотора, схемы шасси и увеличенного заголовника по типу И-17. «В основном варианте самолёт разработан под мотор двухрядную звезду фирмы «Гном и Рон» марки «Мистраль Можор» (так в тексте) с полным наддувом и максимальной мощностью 1000 л.с.». (Полное название в документе – «Мистраль Мажор» 14 KRSd, в таком написании). На самолёте, отмечал Сильванский, могут быть установлены и другие моторы, «в частности, «Испано Сюиза 14 HARS» двухрядная звезда, с максимальной мощностью 1200 л.с., а также «Райт-Циклон F-3» с максимальной мощностью 712 л.с.». (Гном-Рон «Мистраль Мажор» часто обозначался у нас как К-14 и строился по лицензии как М-85; «Райт-Циклон F-3» строился в СССР по лицензии как М-25). Именно «Райт-Циклон F-3» был выбран как резервный вариант силовой установки. Конструкторы решили поставить на фоторазведчик капот NACA с выколотками над коробками клапанов (ради как можно большего обжатия капота); за образец были взяты капоты двигателей «Гном-Рон К-14» на французских самолётах Dewoitine D.37 и Loire 46. Такие выколотки, но большего размера и вдвое меньшего количества, предусматривались и для варианта с альтернативным 14-цилиндровым двигателем, марка которого в чертеже не указана. Согласно протоколу совещания, в варианте самолёта с мотором «Мистраль Мажор» 14 KRSd предусматривался трёхлопастный винт диаметром 2,95 м. Этот винт показан на обоих чертежах. В запасном варианте с мотором «Райт-Циклон F-3» предполагался 2-лопастный винт диметром 3,0 м. Сильванский же в своём описании для обоих вариантов указывает 3-лопастный винт диаметром 3,0 м. Моторама сварная из хромомолибденовых труб. Крыло самолёта состояло из центроплана и двух отъёмных консолей; центроплан крепился к фюзеляжу в четырёх точках. Лонжероны крыла – из термически обработанных хромомолибденовых труб, нервюры – из листового электрона специальной марки AZM. Крыло обшивалось полотном. Фюзеляж проектировался деревянный, полумонокок с работающей обшивкой из переклеенного шпона на каркасе из шпангоутов, лонжеронов и стрингеров. Основные стойки убирающегося шасси состояли из хромомолибденовых труб с масляно-пневматической амортизацией. Из чертежа явствует, что предусматривалась уборка в крыло поворотом в сторону консоли (по типу «Спитфайра» и Bf 109). Согласно пояснениям исследователя поликарповской темы В.П.Иванова, эта схема шасси была заимствована Сильванским с первого варианта самолёта И-17 (ЦКБ-15), который разрабатывался в 1934 г. (на ЦКБ-15 шасси убиралось поворотом к консолям, и только на И-17 (ЦКБ-19) шасси стало убираться поворотом к фюзеляжу). Предусматривался полый костыль, сварной из хромомолибдена, с резиновой амортизацией. Каркас хвостового оперения – целиком из электрона марки AZM, рули оперения имеют компенсацию в виде флеттнеров. Самолёт оборудовался фотоаппаратом АФА-13 для съёмки с высоты 5000 м и двумя пулемётами ШКАС с боезапасом 1000 патронов (на упомянутых чертежах вооружение не показано). В представленной Сильванским весовой ведомости (как следует понимать, для основного варианта с мотором «ГномРон») указан полный вес самолёта 1650 кг и центровка пустого самолёта 22% САХ. Геометрические данные самолёта для обоих вариантов (по чертежу): Длина фюзеляжа – 6130 мм Размах крыла – 9500 мм Размах горизонтального оперения – 3600 мм. Каков же был «генезис» данного проекта? По предположению М. Маслова, Сильванский «сумел получить доступ к одному из отложенных в сторону проектов Поликарпова. Судя по всему, это была достаточно свежая разработка – ЦКБ-25 с двигателем «Гном-Рон» «Мистраль-Мажор» К-14.» В документе для НИИ ВВС от 26.1.1935 г. Сильванским были представлены проектные ЛТХ фоторазведчика для вариантов с моторами Гном-Рон К-14 и Райт-«Циклон», которые для удобства сведены здесь в таблицу. Вариант Основной Запасной Мотор Мистраль Мажор 14 KRSd 1000 л.с. Райт-Циклон F-3 720 л.с. Воздушный винт 3-лоп. диам. 3,0 м 3-лоп. диам. 3,0 м Максимальная скорость на высоте 470 км/ч 3000 м 440 км/ч 2000 м Скороподъёмность На 1000 м На 5000 м На 6000 м 0,85 мин 4,42 мин 6,0 мин 1,20 мин 6,00 мин 8,00 мин Потолок абсолютный 9700 м (9750 м)* 9500 м Потолок практический 9200 м (8800 м)* 9100 м Посадочная скорость без щитков 117 км/ч 117 км/ч Посадочная скорость со щитками 98 км/ч 98 км/ч Техническая дальность полёта 1200 км - *В скобках – данные, приведённые Сильванским устно на совещании в НИИ ВВС РККА 3 января 1935 г., согласно выписке из протокола совещания. Как видно из этой таблицы, по скоростным данным с новым на тот момент мотором Мистраль Мажор 14 KRSd мощностью 1000 л.с. фоторазведчик обещал превзойти как уже поступивший на вооружение И-16 с М-22, так и И-16 тип 5 с М-25, который только готовился к началу серийной постройки (максимальные скорости соответственно 362 км/ч у земли и 454 км/ч). На упомянутом выше совещании в НИИ ВВС РККА начальник 1-го сектора института Лебедев предложил не ограничивать назначение самолёта только задачами по фоторазведке, а предусмотреть его использование также в качестве истребителя с увеличением запаса патронов до 1000 шт. на пулемёт за счёт веса снимаемого фотоаппарата. На совещании было доложено, что конструктор представил не все необходимые для проверочного расчёта данные, а также проект не доработан по ряду деталей конструкции – нет данных продувок – и поэтому «окончательное заключение по проекту в настоящее время дано быть не может». Далее в протоколе говорилось: «На основании обмена мнениями принято: 1. Эскизный проект в основном утвердить. 2. Иметь одно назначение самолета «скоростной одноместный фоторазведчик». 3. Вооружение самолета. а/ 2 пулемета ШКАС с запасом патрон на 500 шт.на пул-т. б/ Аэрофотоаппарат АФА-13 в/ Радиооборудование на самолете не ставить (пункт 4 в оригинале пропущен – С.К.) 5. 27 сектору совместно с конструктором отработать фотографическую часть в отношении: а/ размещения фотоаппарата и подхода к нему, б/ обеспечения обзора вниз через прорез в полу – для вывода самолета на об”ект с”емки и производства самой с”емки, уточнив и поверив выполнение этих требований на макете. 6. Нормальный запас прочности самолета иметь не ниже 2. 7. Конструктору, по окончании продувок и доработки проекта в деталях, вторично представить полный расчетный материал в НИИ для окончательного заключения» (19008).</w:t>
      </w:r>
    </w:p>
    <w:p w14:paraId="098D9877" w14:textId="77777777" w:rsidR="004A5086" w:rsidRPr="00E14102" w:rsidRDefault="004A5086" w:rsidP="00E14102">
      <w:pPr>
        <w:jc w:val="both"/>
        <w:rPr>
          <w:color w:val="000000" w:themeColor="text1"/>
          <w:sz w:val="16"/>
          <w:szCs w:val="16"/>
        </w:rPr>
      </w:pPr>
    </w:p>
    <w:p w14:paraId="181EBA0A" w14:textId="77777777" w:rsidR="004A5086" w:rsidRPr="00E14102" w:rsidRDefault="004A5086"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3 января 1935 г. две из трех машин АИР-6, сданных заводом № 47 (Н56, Н57 и Н58), прибыли в Тюмень с летчиками Ефимовым и Хрущовым. На них намеревались совершить несколько рейсов из Тюмени в Обдорск (ныне Салехард). Третий самолет после прохождения государственных испытаний тоже присоединился к ним, вылетев в Тюмень во второй половине февраля; пилотом на него назначили П. Щиткова.</w:t>
      </w:r>
    </w:p>
    <w:p w14:paraId="6DD3DCEF" w14:textId="77777777" w:rsidR="004A5086" w:rsidRPr="00E14102" w:rsidRDefault="004A5086"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то время на ГУСМП лежала ответственность за три авиалинии,проходившие вдоль великих сибирских рек - Обскую, Енисейскую и Ленскую.</w:t>
      </w:r>
    </w:p>
    <w:p w14:paraId="73CFABB7" w14:textId="77777777" w:rsidR="004A5086" w:rsidRPr="00E14102" w:rsidRDefault="004A5086"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Три АИР-6 должны были обслуживать южную часть Обской линии, от Тюмени до села Самарово (сейчас оно в городской черте Ханты-Мансийска). Они начали полеты в марте. Пока лежал снег, самолеты работали на лыжах, летом их переставляли на поплавки или колеса. Главным ориентиром являлась река, в некоторых деревнях на трассе располагались конт- рольно-семафорные пункты. Летчики возили почту, газеты и журналы, кинофильмы для сельских клубов, лекарства и другие мелкие ценные грузы, реже доставляли пассажиров, в частности, врачей.</w:t>
      </w:r>
    </w:p>
    <w:p w14:paraId="00FB8518" w14:textId="77777777" w:rsidR="004A5086" w:rsidRPr="00E14102" w:rsidRDefault="004A5086"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1936 г все три АИР-6 (по сводкам - исправные) передали из Обской авиагруппы в Енисейскую. Енисейская линия начиналась в Красноярске, а заканчивалась в Игарке. Там самолеты Яковлева служили долго, занимаясь тем же, чем и на Оби. 12 октября 1942 г. Енисейскую линию вместе с большей частью самолетного парка передали из ведения ГУСМП в подчинение ГУ ГВФ. Один Я-6, с обозначением Н56, еще находился в этот момент в летном состоянии; его сдали в санитарную авиацию как К181. К этому времени машина эксплуатировалась уже восемь лет (19099).</w:t>
      </w:r>
    </w:p>
    <w:p w14:paraId="4C2D95B4" w14:textId="77777777" w:rsidR="004A5086" w:rsidRPr="00E14102" w:rsidRDefault="004A5086" w:rsidP="00E14102">
      <w:pPr>
        <w:pStyle w:val="aa"/>
        <w:jc w:val="both"/>
        <w:rPr>
          <w:rFonts w:ascii="Times New Roman" w:hAnsi="Times New Roman" w:cs="Times New Roman"/>
          <w:color w:val="000000" w:themeColor="text1"/>
          <w:sz w:val="16"/>
          <w:szCs w:val="16"/>
          <w:lang w:val="ru-RU"/>
        </w:rPr>
      </w:pPr>
    </w:p>
    <w:p w14:paraId="0BD4E5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января 1935 года Базилевич писал письмо № 17/ко в УВВС РККА Алкснису</w:t>
      </w:r>
    </w:p>
    <w:p w14:paraId="017F91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доклада Молотову прошу сообщить выполнение задания Правительства по авиации по состоянию на 1 января 1935 года (4039,62).</w:t>
      </w:r>
    </w:p>
    <w:p w14:paraId="15FED584" w14:textId="77777777" w:rsidR="00D4105E" w:rsidRPr="00E14102" w:rsidRDefault="00D4105E" w:rsidP="00E14102">
      <w:pPr>
        <w:autoSpaceDE w:val="0"/>
        <w:autoSpaceDN w:val="0"/>
        <w:adjustRightInd w:val="0"/>
        <w:jc w:val="both"/>
        <w:rPr>
          <w:color w:val="000000" w:themeColor="text1"/>
          <w:sz w:val="16"/>
          <w:szCs w:val="16"/>
        </w:rPr>
      </w:pPr>
    </w:p>
    <w:p w14:paraId="6C51EAE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DAD0C2D" w14:textId="77777777" w:rsidR="00D4105E" w:rsidRPr="00E14102" w:rsidRDefault="00D4105E" w:rsidP="00E14102">
      <w:pPr>
        <w:autoSpaceDE w:val="0"/>
        <w:autoSpaceDN w:val="0"/>
        <w:adjustRightInd w:val="0"/>
        <w:jc w:val="both"/>
        <w:rPr>
          <w:iCs/>
          <w:color w:val="000000" w:themeColor="text1"/>
          <w:sz w:val="16"/>
          <w:szCs w:val="16"/>
        </w:rPr>
      </w:pPr>
    </w:p>
    <w:p w14:paraId="12B8E667" w14:textId="77777777" w:rsidR="005D7732" w:rsidRPr="00E14102" w:rsidRDefault="005D7732" w:rsidP="00E14102">
      <w:pPr>
        <w:pStyle w:val="rtejustify"/>
        <w:spacing w:before="0" w:after="0"/>
        <w:rPr>
          <w:color w:val="000000" w:themeColor="text1"/>
          <w:sz w:val="16"/>
          <w:szCs w:val="16"/>
        </w:rPr>
      </w:pPr>
      <w:r w:rsidRPr="00E14102">
        <w:rPr>
          <w:rStyle w:val="a6"/>
          <w:bCs/>
          <w:i w:val="0"/>
          <w:color w:val="000000" w:themeColor="text1"/>
          <w:sz w:val="16"/>
          <w:szCs w:val="16"/>
        </w:rPr>
        <w:t>3 января</w:t>
      </w:r>
      <w:r w:rsidRPr="00E14102">
        <w:rPr>
          <w:color w:val="000000" w:themeColor="text1"/>
          <w:sz w:val="16"/>
          <w:szCs w:val="16"/>
        </w:rPr>
        <w:t>1935 Решение Политбюро № 19. 1. Утверждение титульных списков по капитальному строительству на 1935 г. (без НКОбороны, НКТП и НКПС) (ПБ от 2 января 1935 г.). 21. О «Метро-Виккерс» (ПБ от 29 декабря 1834 г.). — ОП. 32. Вопросы КО (интехпомощь) (ПБ от 1 января 1935 г.). — ОП. (Политбюро ЦК РКП(б)-ВКП(Б). Повестки дня заседаний. 1919</w:t>
      </w:r>
      <w:r w:rsidRPr="00E14102">
        <w:rPr>
          <w:color w:val="000000" w:themeColor="text1"/>
          <w:sz w:val="16"/>
          <w:szCs w:val="16"/>
        </w:rPr>
        <w:noBreakHyphen/>
        <w:t>1952: Каталог / Т. 2. С. 615, 616; РГАСПИ. Ф. 17. Оп. 162. Д. 17. Л. 105) (15462).</w:t>
      </w:r>
    </w:p>
    <w:p w14:paraId="5A6BBEE7" w14:textId="77777777" w:rsidR="005D7732" w:rsidRPr="00E14102" w:rsidRDefault="005D7732" w:rsidP="00E14102">
      <w:pPr>
        <w:pStyle w:val="rtejustify"/>
        <w:spacing w:before="0" w:after="0"/>
        <w:rPr>
          <w:color w:val="000000" w:themeColor="text1"/>
          <w:sz w:val="16"/>
          <w:szCs w:val="16"/>
        </w:rPr>
      </w:pPr>
    </w:p>
    <w:p w14:paraId="72879A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3 января 1935 г. Первый Государственный Союзный завод счетных и счетно-аналитических машин был переименован в Первый Государственный завод счетно-аналитических машин, а в том же году - в Завод счетно-аналитических машин. В 1942 г. переименован в Завод № 28. В 1946 г. награжден орденом Отечественной </w:t>
      </w:r>
      <w:r w:rsidRPr="00E14102">
        <w:rPr>
          <w:color w:val="000000" w:themeColor="text1"/>
          <w:sz w:val="16"/>
          <w:szCs w:val="16"/>
        </w:rPr>
        <w:lastRenderedPageBreak/>
        <w:t>войны первой степени и переименован в Ордена Отечественной войны первой степени Завод счетно-аналитических пишущих машин, а 1 октября 1961 г. - в Ордена Отечественной войны первой степени Опытный завод счетно-аналитических машин. В 1963 г. переименован в Московский опытный завод счетно-аналитических машин. В 1985 г. заводу присвоено имя первого министра радиопромышленности В.Д. Калмыкова. 30 июня 1994 г. завод был преобразован в Открытое акционерное общество "Московский завод счетно-аналитических машин имени В.Д. Калмыкова" (12100).</w:t>
      </w:r>
    </w:p>
    <w:p w14:paraId="5745DB3A" w14:textId="77777777" w:rsidR="00D4105E" w:rsidRPr="00E14102" w:rsidRDefault="00D4105E" w:rsidP="00E14102">
      <w:pPr>
        <w:autoSpaceDE w:val="0"/>
        <w:autoSpaceDN w:val="0"/>
        <w:adjustRightInd w:val="0"/>
        <w:jc w:val="both"/>
        <w:rPr>
          <w:color w:val="000000" w:themeColor="text1"/>
          <w:sz w:val="16"/>
          <w:szCs w:val="16"/>
        </w:rPr>
      </w:pPr>
    </w:p>
    <w:p w14:paraId="2DF82DFE" w14:textId="77777777" w:rsidR="005D7732" w:rsidRPr="00E14102" w:rsidRDefault="005D7732" w:rsidP="00E14102">
      <w:pPr>
        <w:pStyle w:val="rtejustify"/>
        <w:spacing w:before="0" w:after="0"/>
        <w:rPr>
          <w:color w:val="000000" w:themeColor="text1"/>
          <w:sz w:val="16"/>
          <w:szCs w:val="16"/>
        </w:rPr>
      </w:pPr>
      <w:r w:rsidRPr="00E14102">
        <w:rPr>
          <w:rStyle w:val="a6"/>
          <w:bCs/>
          <w:i w:val="0"/>
          <w:color w:val="000000" w:themeColor="text1"/>
          <w:sz w:val="16"/>
          <w:szCs w:val="16"/>
        </w:rPr>
        <w:t>3 января 1935 вышел приказ НКО №</w:t>
      </w:r>
      <w:r w:rsidRPr="00E14102">
        <w:rPr>
          <w:color w:val="000000" w:themeColor="text1"/>
          <w:sz w:val="16"/>
          <w:szCs w:val="16"/>
        </w:rPr>
        <w:t> 001. О назначении комиссии для определения возможности представления к вводу на вооружение РККА военно-химических образцов (15247).</w:t>
      </w:r>
    </w:p>
    <w:p w14:paraId="25092EA9" w14:textId="77777777" w:rsidR="005D7732" w:rsidRPr="00E14102" w:rsidRDefault="005D7732" w:rsidP="00E14102">
      <w:pPr>
        <w:pStyle w:val="rtejustify"/>
        <w:spacing w:before="0" w:after="0"/>
        <w:rPr>
          <w:color w:val="000000" w:themeColor="text1"/>
          <w:sz w:val="16"/>
          <w:szCs w:val="16"/>
        </w:rPr>
      </w:pPr>
    </w:p>
    <w:p w14:paraId="6C4FC483" w14:textId="77777777" w:rsidR="005D7732" w:rsidRPr="00E14102" w:rsidRDefault="005D7732" w:rsidP="00E14102">
      <w:pPr>
        <w:pStyle w:val="rtejustify"/>
        <w:spacing w:before="0" w:after="0"/>
        <w:rPr>
          <w:color w:val="000000" w:themeColor="text1"/>
          <w:sz w:val="16"/>
          <w:szCs w:val="16"/>
        </w:rPr>
      </w:pPr>
      <w:r w:rsidRPr="00E14102">
        <w:rPr>
          <w:rStyle w:val="a6"/>
          <w:bCs/>
          <w:i w:val="0"/>
          <w:color w:val="000000" w:themeColor="text1"/>
          <w:sz w:val="16"/>
          <w:szCs w:val="16"/>
        </w:rPr>
        <w:t>3 января 1935 вышел приказ НКО №</w:t>
      </w:r>
      <w:r w:rsidRPr="00E14102">
        <w:rPr>
          <w:color w:val="000000" w:themeColor="text1"/>
          <w:sz w:val="16"/>
          <w:szCs w:val="16"/>
        </w:rPr>
        <w:t> 002. О назначении комиссии для проведения войсковых испытаний большой шашки марки ЯДБ</w:t>
      </w:r>
      <w:r w:rsidRPr="00E14102">
        <w:rPr>
          <w:color w:val="000000" w:themeColor="text1"/>
          <w:sz w:val="16"/>
          <w:szCs w:val="16"/>
        </w:rPr>
        <w:noBreakHyphen/>
        <w:t>21 и малой шашки марки ЯМ</w:t>
      </w:r>
      <w:r w:rsidRPr="00E14102">
        <w:rPr>
          <w:color w:val="000000" w:themeColor="text1"/>
          <w:sz w:val="16"/>
          <w:szCs w:val="16"/>
        </w:rPr>
        <w:noBreakHyphen/>
        <w:t>210 (15247).</w:t>
      </w:r>
    </w:p>
    <w:p w14:paraId="4B32BB7E" w14:textId="77777777" w:rsidR="005D7732" w:rsidRPr="00E14102" w:rsidRDefault="005D7732" w:rsidP="00E14102">
      <w:pPr>
        <w:pStyle w:val="rtejustify"/>
        <w:spacing w:before="0" w:after="0"/>
        <w:rPr>
          <w:color w:val="000000" w:themeColor="text1"/>
          <w:sz w:val="16"/>
          <w:szCs w:val="16"/>
        </w:rPr>
      </w:pPr>
    </w:p>
    <w:p w14:paraId="744FABCF" w14:textId="77777777" w:rsidR="005D7732" w:rsidRPr="00E14102" w:rsidRDefault="005D7732" w:rsidP="00E14102">
      <w:pPr>
        <w:pStyle w:val="rtejustify"/>
        <w:spacing w:before="0" w:after="0"/>
        <w:rPr>
          <w:color w:val="000000" w:themeColor="text1"/>
          <w:sz w:val="16"/>
          <w:szCs w:val="16"/>
        </w:rPr>
      </w:pPr>
      <w:r w:rsidRPr="00E14102">
        <w:rPr>
          <w:rStyle w:val="a6"/>
          <w:bCs/>
          <w:i w:val="0"/>
          <w:color w:val="000000" w:themeColor="text1"/>
          <w:sz w:val="16"/>
          <w:szCs w:val="16"/>
        </w:rPr>
        <w:t>3 января 1935 вышел приказ НКО №</w:t>
      </w:r>
      <w:r w:rsidRPr="00E14102">
        <w:rPr>
          <w:color w:val="000000" w:themeColor="text1"/>
          <w:sz w:val="16"/>
          <w:szCs w:val="16"/>
        </w:rPr>
        <w:t> 003. С техническими условиями и чертежами на валовый заказ Химического управления РККА на 1935 г (15247).</w:t>
      </w:r>
    </w:p>
    <w:p w14:paraId="2F7F18A4" w14:textId="77777777" w:rsidR="005D7732" w:rsidRPr="00E14102" w:rsidRDefault="005D7732" w:rsidP="00E14102">
      <w:pPr>
        <w:pStyle w:val="rtejustify"/>
        <w:spacing w:before="0" w:after="0"/>
        <w:rPr>
          <w:color w:val="000000" w:themeColor="text1"/>
          <w:sz w:val="16"/>
          <w:szCs w:val="16"/>
        </w:rPr>
      </w:pPr>
    </w:p>
    <w:p w14:paraId="39E1098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937FBA8" w14:textId="77777777" w:rsidR="00D4105E" w:rsidRPr="00E14102" w:rsidRDefault="00D4105E" w:rsidP="00E14102">
      <w:pPr>
        <w:autoSpaceDE w:val="0"/>
        <w:autoSpaceDN w:val="0"/>
        <w:adjustRightInd w:val="0"/>
        <w:jc w:val="both"/>
        <w:rPr>
          <w:iCs/>
          <w:color w:val="000000" w:themeColor="text1"/>
          <w:sz w:val="16"/>
          <w:szCs w:val="16"/>
        </w:rPr>
      </w:pPr>
    </w:p>
    <w:p w14:paraId="43BE0D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января 1935 П.О.С. делал доклад на заседании техсовета ЦАГИ о постройке по заданию Правительства самолета ДБ-2 дублера К14 (1102).</w:t>
      </w:r>
    </w:p>
    <w:p w14:paraId="6D1B03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был утвержден макет ДБ-2 (2233,44).</w:t>
      </w:r>
    </w:p>
    <w:p w14:paraId="4058F2CA" w14:textId="77777777" w:rsidR="00D4105E" w:rsidRPr="00E14102" w:rsidRDefault="00D4105E" w:rsidP="00E14102">
      <w:pPr>
        <w:autoSpaceDE w:val="0"/>
        <w:autoSpaceDN w:val="0"/>
        <w:adjustRightInd w:val="0"/>
        <w:jc w:val="both"/>
        <w:rPr>
          <w:color w:val="000000" w:themeColor="text1"/>
          <w:sz w:val="16"/>
          <w:szCs w:val="16"/>
        </w:rPr>
      </w:pPr>
    </w:p>
    <w:p w14:paraId="2F66F3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января 1935 г. П.О. Сухой на техническом совете, состоявшемся в ЦАГИ, сообщий, что работы по увязочному макету АНТ-37 выявили необходимость внесения кардинальных изменений в конструкцию ДБ-1, ранее принятую в качестве исходного образца и что новый самолет АНТ-37 не удастся построить путем внесения необходимых усовершенствований и изменений в одномоторный ДБ-1 (АНТ-25). Установку двигателей "Гном-Рон" с деревянными двухлопастными воздушными винтами надеялись полностью позаимствовать после опробования на двухмоторном истребителе ДИ-8 (АНТ-46).  На следующем заседании - 28 февраля - Павел Осипович сообщил, что его бригаде пришлось полностью переконструировать весь самолет. По его заявлению чертежи новой машины были готовы на 70-75%, а сдача полного комплекта документации ожидалась не ранее 1 апреля. Так как еще ранее появление АНТ-37 на аэродроме запланировали на 15 июня, а предъявление его на государственные испытания 15 июля 1935 г., то понятно, что с этого момента все действительно "закрутилось": появились сверхурочные, вторая смена и прочие атрибуты спешной деятельности. При этом следует добавить, что и тактико-технические требования ВВС на новый бомбардировщик окончательно не были подготовлены и утверждены (11945).</w:t>
      </w:r>
    </w:p>
    <w:p w14:paraId="1BA9461C" w14:textId="77777777" w:rsidR="00D4105E" w:rsidRPr="00E14102" w:rsidRDefault="00D4105E" w:rsidP="00E14102">
      <w:pPr>
        <w:autoSpaceDE w:val="0"/>
        <w:autoSpaceDN w:val="0"/>
        <w:adjustRightInd w:val="0"/>
        <w:jc w:val="both"/>
        <w:rPr>
          <w:color w:val="000000" w:themeColor="text1"/>
          <w:sz w:val="16"/>
          <w:szCs w:val="16"/>
        </w:rPr>
      </w:pPr>
    </w:p>
    <w:p w14:paraId="2F7E8AF7" w14:textId="77777777" w:rsidR="005C344A" w:rsidRPr="00E14102" w:rsidRDefault="005C344A" w:rsidP="00E14102">
      <w:pPr>
        <w:jc w:val="both"/>
        <w:rPr>
          <w:color w:val="0070C0"/>
          <w:sz w:val="16"/>
          <w:szCs w:val="16"/>
        </w:rPr>
      </w:pPr>
      <w:r w:rsidRPr="00E14102">
        <w:rPr>
          <w:color w:val="0070C0"/>
          <w:sz w:val="16"/>
          <w:szCs w:val="16"/>
        </w:rPr>
        <w:t>4 января 1935 на техническом со</w:t>
      </w:r>
      <w:r w:rsidRPr="00E14102">
        <w:rPr>
          <w:color w:val="0070C0"/>
          <w:sz w:val="16"/>
          <w:szCs w:val="16"/>
        </w:rPr>
        <w:softHyphen/>
        <w:t>вете ЦАГИ П.О. Сухой озвучил не</w:t>
      </w:r>
      <w:r w:rsidRPr="00E14102">
        <w:rPr>
          <w:color w:val="0070C0"/>
          <w:sz w:val="16"/>
          <w:szCs w:val="16"/>
        </w:rPr>
        <w:softHyphen/>
        <w:t>обходимость внесения кардинальных из</w:t>
      </w:r>
      <w:r w:rsidRPr="00E14102">
        <w:rPr>
          <w:color w:val="0070C0"/>
          <w:sz w:val="16"/>
          <w:szCs w:val="16"/>
        </w:rPr>
        <w:softHyphen/>
        <w:t>менений в конструкцию ДБ-1, ранее при</w:t>
      </w:r>
      <w:r w:rsidRPr="00E14102">
        <w:rPr>
          <w:color w:val="0070C0"/>
          <w:sz w:val="16"/>
          <w:szCs w:val="16"/>
        </w:rPr>
        <w:softHyphen/>
        <w:t>нятую в качестве исходного образца АНТ-37. На следующем заседании, 28 февраля, Павел Осипович сообщил, что бригаде пришлось полностью переконструиро</w:t>
      </w:r>
      <w:r w:rsidRPr="00E14102">
        <w:rPr>
          <w:color w:val="0070C0"/>
          <w:sz w:val="16"/>
          <w:szCs w:val="16"/>
        </w:rPr>
        <w:softHyphen/>
        <w:t>вать весь самолет, и чертежи новой ма</w:t>
      </w:r>
      <w:r w:rsidRPr="00E14102">
        <w:rPr>
          <w:color w:val="0070C0"/>
          <w:sz w:val="16"/>
          <w:szCs w:val="16"/>
        </w:rPr>
        <w:softHyphen/>
        <w:t>шины готовы на 70-75%. По его заявле</w:t>
      </w:r>
      <w:r w:rsidRPr="00E14102">
        <w:rPr>
          <w:color w:val="0070C0"/>
          <w:sz w:val="16"/>
          <w:szCs w:val="16"/>
        </w:rPr>
        <w:softHyphen/>
        <w:t>нию, сдача полного комплекта докумен</w:t>
      </w:r>
      <w:r w:rsidRPr="00E14102">
        <w:rPr>
          <w:color w:val="0070C0"/>
          <w:sz w:val="16"/>
          <w:szCs w:val="16"/>
        </w:rPr>
        <w:softHyphen/>
        <w:t>тации ожидалась не ранее 1 апреля. Так как выкатка АНТ-37 на аэродром уже была запланирована на 15 июня, а предъявле</w:t>
      </w:r>
      <w:r w:rsidRPr="00E14102">
        <w:rPr>
          <w:color w:val="0070C0"/>
          <w:sz w:val="16"/>
          <w:szCs w:val="16"/>
        </w:rPr>
        <w:softHyphen/>
        <w:t>ние его на государственные испытания — на 15 июля 1935 г., то понятно, что теперь все «закрутилось»: появились сверхуроч</w:t>
      </w:r>
      <w:r w:rsidRPr="00E14102">
        <w:rPr>
          <w:color w:val="0070C0"/>
          <w:sz w:val="16"/>
          <w:szCs w:val="16"/>
        </w:rPr>
        <w:softHyphen/>
        <w:t>ные, вторая смена и прочие атрибуты спешной деятельности.</w:t>
      </w:r>
    </w:p>
    <w:p w14:paraId="24A5FD19" w14:textId="77777777" w:rsidR="005C344A" w:rsidRPr="00E14102" w:rsidRDefault="005C344A" w:rsidP="00E14102">
      <w:pPr>
        <w:jc w:val="both"/>
        <w:rPr>
          <w:color w:val="0070C0"/>
          <w:sz w:val="16"/>
          <w:szCs w:val="16"/>
        </w:rPr>
      </w:pPr>
      <w:r w:rsidRPr="00E14102">
        <w:rPr>
          <w:color w:val="0070C0"/>
          <w:sz w:val="16"/>
          <w:szCs w:val="16"/>
        </w:rPr>
        <w:t>В соответствии с подготовленными тактико-техническими требованиями, ДБ-2 (АНТ-37) определялся как дальний бомбардировщик, способный нести 1000 кг бомб на расстояние 5000 км со скоростью 250 км/ч (впоследствии ее увеличили до 300-320 км/ч) (22285).</w:t>
      </w:r>
    </w:p>
    <w:p w14:paraId="0EEB79FB" w14:textId="77777777" w:rsidR="005C344A" w:rsidRPr="00E14102" w:rsidRDefault="005C344A" w:rsidP="00E14102">
      <w:pPr>
        <w:jc w:val="both"/>
        <w:rPr>
          <w:color w:val="0070C0"/>
          <w:sz w:val="16"/>
          <w:szCs w:val="16"/>
        </w:rPr>
      </w:pPr>
    </w:p>
    <w:p w14:paraId="47F366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января 1935 года вышел Приказ НИИ ВВС № 04 О принятии на гос. испытания самолета ПИ1.</w:t>
      </w:r>
    </w:p>
    <w:p w14:paraId="5FB6F82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Принять на гос. испытания, представленный заводом № 133 самолет ПИ1.</w:t>
      </w:r>
    </w:p>
    <w:p w14:paraId="0959D87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начать 7 января и закончить в 15 дней (6814, 6).</w:t>
      </w:r>
    </w:p>
    <w:p w14:paraId="56D1215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FF912F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января 1935 года Начальник УВС Алкснис утвердил Тактико-технические требования к военным вариантам самолетов (6824):</w:t>
      </w:r>
    </w:p>
    <w:p w14:paraId="0158AFE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Пассажирского магистрального самолета АНТ-35, 2К14 (или 2 Испано-Сюиза).</w:t>
      </w:r>
    </w:p>
    <w:p w14:paraId="4261BAB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Пассажирского магистрального самолета ЗИГ-2, 2М34</w:t>
      </w:r>
    </w:p>
    <w:p w14:paraId="3A43D67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Почтово-пассажирского самолета П-П-1, К-9 (или Райт-Циклон).</w:t>
      </w:r>
    </w:p>
    <w:p w14:paraId="57887BEF"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Линейного краевой связи ДКЛ-1, 2МГ-31</w:t>
      </w:r>
    </w:p>
    <w:p w14:paraId="2A0769B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Самолета специального применения С-Х, МГ-31</w:t>
      </w:r>
    </w:p>
    <w:p w14:paraId="796EC4C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Самолета местной связи МП-2, МГ-21 (или М-48).</w:t>
      </w:r>
    </w:p>
    <w:p w14:paraId="297EF9F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Автожира с мотором К-9 (или Райт-Циклон).</w:t>
      </w:r>
    </w:p>
    <w:p w14:paraId="0747D76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Тактико-технические требования к военному варианту пассажирского магистрального самолета АНТ-35, 2К14 (или 2 Испано-Сюиза).</w:t>
      </w:r>
    </w:p>
    <w:p w14:paraId="6A1ED15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Проектирующая организация – ЦАГИ</w:t>
      </w:r>
    </w:p>
    <w:p w14:paraId="3B51274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сдачи на гос. испытания – 1 августа 1936 года</w:t>
      </w:r>
    </w:p>
    <w:p w14:paraId="335BDB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Назначение самолета</w:t>
      </w:r>
    </w:p>
    <w:p w14:paraId="65F163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Бомбардировщик ближнего действия для поражения целей в оперативном тылу.</w:t>
      </w:r>
    </w:p>
    <w:p w14:paraId="7879F3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Летно-тактические требования</w:t>
      </w:r>
    </w:p>
    <w:p w14:paraId="7991BA9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 360 км/час</w:t>
      </w:r>
    </w:p>
    <w:p w14:paraId="66AF83E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 – 100 км/час</w:t>
      </w:r>
    </w:p>
    <w:p w14:paraId="7663068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Бомбовая нагрузка – 1000 кг</w:t>
      </w:r>
    </w:p>
    <w:p w14:paraId="4FFF822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Дальность полета – 800 км</w:t>
      </w:r>
    </w:p>
    <w:p w14:paraId="1830E2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Емкость баков должна допускать дальность полета до 1500 км. Баки должны иметь протекторы. Бензо и маслопроводы из гибких шлангов.</w:t>
      </w:r>
    </w:p>
    <w:p w14:paraId="26766A7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Вооружение</w:t>
      </w:r>
    </w:p>
    <w:p w14:paraId="27DE0A0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p w14:paraId="0C328E8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Носовая механизированная турельная установка с 1 пулеметом ШКАС 7,62 мм с боекомплектом в 1000 шт. патрон, для обстрела передней и верхней полусферы.</w:t>
      </w:r>
    </w:p>
    <w:p w14:paraId="0A91789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Фюзеляжная турельная механизированная установка с 1 пулеметом ШКАС 7,62 мм с боекомплектом в 1000 шт. патрон, для обстрела задней и верхней полусферы.</w:t>
      </w:r>
    </w:p>
    <w:p w14:paraId="09CB827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Люковая установка для обстрела вниз назад под 1 пулемет ШКАС 7,62 мм с 500 шт. патронов типа СБ-2М100.</w:t>
      </w:r>
    </w:p>
    <w:p w14:paraId="5F58A14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p w14:paraId="6630651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Бомб 1050 кг</w:t>
      </w:r>
    </w:p>
    <w:p w14:paraId="69A392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Вариант бомбовых нагрузок</w:t>
      </w:r>
    </w:p>
    <w:p w14:paraId="4341B6B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АФ-50х10 шт. + 5 шт. САБ-5 или САБ-12</w:t>
      </w:r>
    </w:p>
    <w:p w14:paraId="4B0AE0E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АФ-100х10 шт. + 5 шт. САБ-5 или САБ-12</w:t>
      </w:r>
    </w:p>
    <w:p w14:paraId="7B62924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АФ-250х4 шт. + 5 шт. САБ-5 или САБ-12</w:t>
      </w:r>
    </w:p>
    <w:p w14:paraId="0F93570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АФ-500х2 шт. + 5 шт. САБ-5 или САБ-12</w:t>
      </w:r>
    </w:p>
    <w:p w14:paraId="227EBDA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p w14:paraId="733D764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Варианты</w:t>
      </w:r>
    </w:p>
    <w:p w14:paraId="17F00CE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Модернизированных ВАП-4 – 4 шт.</w:t>
      </w:r>
    </w:p>
    <w:p w14:paraId="6F2C359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Предусмотреть подвеску ДАП-100 в количестве 2 шт. (6824).</w:t>
      </w:r>
    </w:p>
    <w:p w14:paraId="0E11A24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Тактико-технические требования к военному варианту пассажирского магистрального самолета ЗИГ-2, 2М34</w:t>
      </w:r>
    </w:p>
    <w:p w14:paraId="558A3F6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Проектирующая организация – завод № 89</w:t>
      </w:r>
    </w:p>
    <w:p w14:paraId="33AF173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сдачи на гос. испытания – 1 декабря 1936 года</w:t>
      </w:r>
    </w:p>
    <w:p w14:paraId="5F19F5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Назначение самолета</w:t>
      </w:r>
    </w:p>
    <w:p w14:paraId="01FECB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Транспортник.</w:t>
      </w:r>
    </w:p>
    <w:p w14:paraId="26CE9F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Летно-тактические требования</w:t>
      </w:r>
    </w:p>
    <w:p w14:paraId="5FD997E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 полезным транспортируемым грузом в 1200 кг должен обладать следующими летными данными:</w:t>
      </w:r>
    </w:p>
    <w:p w14:paraId="39A50C6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 400 км/час</w:t>
      </w:r>
    </w:p>
    <w:p w14:paraId="0BD9879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 – 85-90 км/час</w:t>
      </w:r>
    </w:p>
    <w:p w14:paraId="333359D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Дальность полета – 1000 км</w:t>
      </w:r>
    </w:p>
    <w:p w14:paraId="540B3AF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Емкость баков должна допускать дальность полета до 3000 км. Баки должны иметь протекторы. Бензо и маслопроводы из гибких шлангов.</w:t>
      </w:r>
    </w:p>
    <w:p w14:paraId="4DE2F5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Экипаж и нагрузка самолета</w:t>
      </w:r>
    </w:p>
    <w:p w14:paraId="16F4A17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(транспортный вариант).</w:t>
      </w:r>
    </w:p>
    <w:p w14:paraId="41E2EC2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Летчиков – 1</w:t>
      </w:r>
    </w:p>
    <w:p w14:paraId="398A8E8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Штурман-летчик, он же стрелок – 1</w:t>
      </w:r>
    </w:p>
    <w:p w14:paraId="138A9C4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Как транспортный самолет должен удовлетворять следующим требованиям:</w:t>
      </w:r>
    </w:p>
    <w:p w14:paraId="4799EAF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Людской вариант</w:t>
      </w:r>
    </w:p>
    <w:p w14:paraId="76D8E9A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Возможность размещения десантных бойцов в количестве 12 человек.</w:t>
      </w:r>
    </w:p>
    <w:p w14:paraId="7A880A7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Возможность сбрасывания на парашютах всего десанта в течении не более 5 секунд.</w:t>
      </w:r>
    </w:p>
    <w:p w14:paraId="5006B25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Грузовой вариант</w:t>
      </w:r>
    </w:p>
    <w:p w14:paraId="2BF4096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Предусмотреть возможность загрузки самолета грузом объемом 2х1,5х1 метр.</w:t>
      </w:r>
    </w:p>
    <w:p w14:paraId="4C1A43F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Предусмотреть возможность подвески под фюзеляж или крылья самолета грузов до 1 тонны.</w:t>
      </w:r>
    </w:p>
    <w:p w14:paraId="26ADF20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Для поднятия грузов предусмотреть возможность установки лебедки на самолете.</w:t>
      </w:r>
    </w:p>
    <w:p w14:paraId="7A2B098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Вооружение</w:t>
      </w:r>
    </w:p>
    <w:p w14:paraId="601A4E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Две турельных установки – одна на носу и 2-я на фюзеляже за сидением летчика, каждая с пулеметом ШКАС, с 1000 шт. патрон. Предусмотреть люковую установку для стрельбы назад, вниз, с установкой одного пулемета ШКАС с 500 шт. патрон, обслуживаемую задним стрелком (6824).</w:t>
      </w:r>
    </w:p>
    <w:p w14:paraId="6C461E7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Тактико-технические требования к военному варианту почтово-пассажирского самолета П-П-1, К-9 (или Райт-Циклон).</w:t>
      </w:r>
    </w:p>
    <w:p w14:paraId="590BC81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Проектирующая организация – СНИИ ГВФ</w:t>
      </w:r>
    </w:p>
    <w:p w14:paraId="34082D2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сдачи на гос. испытания – 1 декабря 1936 года</w:t>
      </w:r>
    </w:p>
    <w:p w14:paraId="38B8918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Назначение самолета</w:t>
      </w:r>
    </w:p>
    <w:p w14:paraId="1BB48F0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Разведчик.</w:t>
      </w:r>
    </w:p>
    <w:p w14:paraId="78E02AA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Транспортник.</w:t>
      </w:r>
    </w:p>
    <w:p w14:paraId="4AD229F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Летно-тактические требования</w:t>
      </w:r>
    </w:p>
    <w:p w14:paraId="7BA060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 380 км/час</w:t>
      </w:r>
    </w:p>
    <w:p w14:paraId="5299D66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 – 90 км/час</w:t>
      </w:r>
    </w:p>
    <w:p w14:paraId="72C26B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Дальность полета – 900 км</w:t>
      </w:r>
    </w:p>
    <w:p w14:paraId="2793CE2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Боевая нагрузка – 600 кг</w:t>
      </w:r>
    </w:p>
    <w:p w14:paraId="6C58F5B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Баки должны иметь протекторы. Бензо и маслопроводы из гибких шлангов.</w:t>
      </w:r>
    </w:p>
    <w:p w14:paraId="2BD6C91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Вооружение</w:t>
      </w:r>
    </w:p>
    <w:p w14:paraId="69EC608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Для варианта разведчика</w:t>
      </w:r>
    </w:p>
    <w:p w14:paraId="2C3FDC3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1 пулемет Шкас с 750 шт. патрон для стрельбы вперед с неподвижной установки.</w:t>
      </w:r>
    </w:p>
    <w:p w14:paraId="28F09E5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1 пулемет Шкас на механизированной турельной установке с 1000 шт. патрон.</w:t>
      </w:r>
    </w:p>
    <w:p w14:paraId="31F6964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Для варианта транспортного остается только турельная установка (6824).</w:t>
      </w:r>
    </w:p>
    <w:p w14:paraId="5BF0814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Тактико-технические требования к военному варианту самолета линейной краевой связи ДКЛ-1, 2МГ-31</w:t>
      </w:r>
    </w:p>
    <w:p w14:paraId="349D60C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Проектирующая организация – ГУАП (КАИ).</w:t>
      </w:r>
    </w:p>
    <w:p w14:paraId="1497A6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сдачи на гос. испытания – 1 августа 1936 года</w:t>
      </w:r>
    </w:p>
    <w:p w14:paraId="18C89F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Назначение самолета</w:t>
      </w:r>
    </w:p>
    <w:p w14:paraId="639BC63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Транспортник.</w:t>
      </w:r>
    </w:p>
    <w:p w14:paraId="6A11231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Штабной самолет.</w:t>
      </w:r>
    </w:p>
    <w:p w14:paraId="2E7B4E9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Летно-тактические требования</w:t>
      </w:r>
    </w:p>
    <w:p w14:paraId="4B83DE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 320 км/час</w:t>
      </w:r>
    </w:p>
    <w:p w14:paraId="1CFC1CA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 – 80 км/час</w:t>
      </w:r>
    </w:p>
    <w:p w14:paraId="0EE352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Дальность полета – 800 км</w:t>
      </w:r>
    </w:p>
    <w:p w14:paraId="41F0893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Боевая нагрузка – 600 кг</w:t>
      </w:r>
    </w:p>
    <w:p w14:paraId="43CDC5C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Баки должны иметь протекторы. Бензо и маслопроводы из гибких шлангов.</w:t>
      </w:r>
    </w:p>
    <w:p w14:paraId="482903E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Вооружение</w:t>
      </w:r>
    </w:p>
    <w:p w14:paraId="6886F5D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пулемет Шкас на фюзеляже, на механизированной турельной установке с 750 шт. Патрон (6824).</w:t>
      </w:r>
    </w:p>
    <w:p w14:paraId="1C91A2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Тактико-технические требования к военному варианту самолета специального применения С-Х, МГ-31</w:t>
      </w:r>
    </w:p>
    <w:p w14:paraId="1A04A25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Проектирующая организация – ОКБ ЛИИ ГВФ</w:t>
      </w:r>
    </w:p>
    <w:p w14:paraId="3ED527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сдачи на гос. испытания – 1 декабря 1936 года</w:t>
      </w:r>
    </w:p>
    <w:p w14:paraId="125AD8F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Назначение самолета</w:t>
      </w:r>
    </w:p>
    <w:p w14:paraId="42422A9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Химический</w:t>
      </w:r>
    </w:p>
    <w:p w14:paraId="7F679DF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Летно-тактические требования</w:t>
      </w:r>
    </w:p>
    <w:p w14:paraId="4523194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 250 км/час</w:t>
      </w:r>
    </w:p>
    <w:p w14:paraId="6E8D232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 – 70 км/час</w:t>
      </w:r>
    </w:p>
    <w:p w14:paraId="3789E2F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Дальность полета – 400 км</w:t>
      </w:r>
    </w:p>
    <w:p w14:paraId="3FD4CA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Боевая нагрузка – 600 кг</w:t>
      </w:r>
    </w:p>
    <w:p w14:paraId="61793AC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Баки должны иметь протекторы. Бензо и маслопроводы из гибких шлангов.</w:t>
      </w:r>
    </w:p>
    <w:p w14:paraId="02D131A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Вооружение</w:t>
      </w:r>
    </w:p>
    <w:p w14:paraId="2E6B689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Стрелковое вооружение</w:t>
      </w:r>
    </w:p>
    <w:p w14:paraId="6998C2F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 1 пулемет Шкас 7,62 мм с 1000 шт. патрон для стрельбы вперед с неподвижной установки;</w:t>
      </w:r>
    </w:p>
    <w:p w14:paraId="247CB1E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 1 пулемет Шкас с 1000 шт. патрон на механизированной подвижной установке на фюзеляже самолета.</w:t>
      </w:r>
    </w:p>
    <w:p w14:paraId="5EC2F1B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Химическое вооружение</w:t>
      </w:r>
    </w:p>
    <w:p w14:paraId="77C0F0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Варианты</w:t>
      </w:r>
    </w:p>
    <w:p w14:paraId="3FDCD5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 4 шт. модернизированных ВАП-4</w:t>
      </w:r>
    </w:p>
    <w:p w14:paraId="160A22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 2 шт. ДАП-100 (6824).</w:t>
      </w:r>
    </w:p>
    <w:p w14:paraId="1DC9301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Тактико-технические требования к военному варианту самолета местной связи МП-2, М2-21 (или М-48).</w:t>
      </w:r>
    </w:p>
    <w:p w14:paraId="4A46438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Проектирующая организация – ОКБ ЛИИ ГУАП (Яковлев).</w:t>
      </w:r>
    </w:p>
    <w:p w14:paraId="049AAC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сдачи на гос. испытания – 1 июля 1936 года</w:t>
      </w:r>
    </w:p>
    <w:p w14:paraId="3CC7462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Назначение самолета</w:t>
      </w:r>
    </w:p>
    <w:p w14:paraId="43DB921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связи</w:t>
      </w:r>
    </w:p>
    <w:p w14:paraId="5981996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Летно-тактические требования</w:t>
      </w:r>
    </w:p>
    <w:p w14:paraId="5BE81F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 210 км/час</w:t>
      </w:r>
    </w:p>
    <w:p w14:paraId="731D907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 – 50 км/час</w:t>
      </w:r>
    </w:p>
    <w:p w14:paraId="503B854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Дальность полета – 500 км</w:t>
      </w:r>
    </w:p>
    <w:p w14:paraId="167619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Боевая нагрузка – 350 кг</w:t>
      </w:r>
    </w:p>
    <w:p w14:paraId="4BBDB3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Баки должны иметь протекторы. Бензо и маслопроводы из гибких шлангов.</w:t>
      </w:r>
    </w:p>
    <w:p w14:paraId="4799013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Вооружение</w:t>
      </w:r>
    </w:p>
    <w:p w14:paraId="53D1542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пулемет Шкас с 750 шт. патрон на турельной установке (6824).</w:t>
      </w:r>
    </w:p>
    <w:p w14:paraId="20974C7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Тактико-технические требования к военному варианту автожира с мотором К-9 (или Райт-Циклон).</w:t>
      </w:r>
    </w:p>
    <w:p w14:paraId="675C5BD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Проектирующая организация – ЦАГИ</w:t>
      </w:r>
    </w:p>
    <w:p w14:paraId="5D3B802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сдачи на гос. испытания – 1 октября 1936 года</w:t>
      </w:r>
    </w:p>
    <w:p w14:paraId="4EB00B1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Назначение самолета</w:t>
      </w:r>
    </w:p>
    <w:p w14:paraId="52A76B8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Связь в своем тылу.</w:t>
      </w:r>
    </w:p>
    <w:p w14:paraId="7BD49D3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Командный пункт для наблюдения за полем боя из своего расположения.</w:t>
      </w:r>
    </w:p>
    <w:p w14:paraId="269F2C6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Летно-тактические требования</w:t>
      </w:r>
    </w:p>
    <w:p w14:paraId="43774FE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 200 км/час</w:t>
      </w:r>
    </w:p>
    <w:p w14:paraId="5340F44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Дальность полета – 500 км</w:t>
      </w:r>
    </w:p>
    <w:p w14:paraId="7DE8642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Боевая нагрузка – 450 кг</w:t>
      </w:r>
    </w:p>
    <w:p w14:paraId="5757A2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Баки должны иметь протекторы. Бензо и маслопроводы из гибких шлангов.</w:t>
      </w:r>
    </w:p>
    <w:p w14:paraId="5808DE2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Вооружение</w:t>
      </w:r>
    </w:p>
    <w:p w14:paraId="673E678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пулемет Шкас с 750 шт. патрон на турельной установке (6824).</w:t>
      </w:r>
    </w:p>
    <w:p w14:paraId="6017D567"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D62C54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января 1935 года Начальник УВС Алкснис утвердил Тактико-технические требования к военным вариантам самолетов. Тактико-технические требования к военному варианту почтово-пассажирского самолета П-А-1, К-9 (или Райт-Циклон) (6727).</w:t>
      </w:r>
    </w:p>
    <w:p w14:paraId="213828F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Проектирующая организация СНИИ ГВФ</w:t>
      </w:r>
    </w:p>
    <w:p w14:paraId="028847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сдачи на гос. испытания 1 декабря 1936 года</w:t>
      </w:r>
    </w:p>
    <w:p w14:paraId="4121381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Назначение самолета</w:t>
      </w:r>
    </w:p>
    <w:p w14:paraId="327190C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Разведчик</w:t>
      </w:r>
    </w:p>
    <w:p w14:paraId="49CC7C5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Транспортник</w:t>
      </w:r>
    </w:p>
    <w:p w14:paraId="44CAB8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Летно-тактические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E3599D" w:rsidRPr="00E14102" w14:paraId="048E44D0" w14:textId="77777777">
        <w:tc>
          <w:tcPr>
            <w:tcW w:w="4428" w:type="dxa"/>
            <w:tcBorders>
              <w:top w:val="single" w:sz="12" w:space="0" w:color="auto"/>
            </w:tcBorders>
          </w:tcPr>
          <w:p w14:paraId="301E587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Максимальная скорость </w:t>
            </w:r>
          </w:p>
        </w:tc>
        <w:tc>
          <w:tcPr>
            <w:tcW w:w="4428" w:type="dxa"/>
            <w:tcBorders>
              <w:top w:val="single" w:sz="12" w:space="0" w:color="auto"/>
            </w:tcBorders>
          </w:tcPr>
          <w:p w14:paraId="1735C33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380 км/час</w:t>
            </w:r>
          </w:p>
        </w:tc>
      </w:tr>
      <w:tr w:rsidR="00E3599D" w:rsidRPr="00E14102" w14:paraId="0B3F19A1" w14:textId="77777777">
        <w:tc>
          <w:tcPr>
            <w:tcW w:w="4428" w:type="dxa"/>
          </w:tcPr>
          <w:p w14:paraId="60F2856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4428" w:type="dxa"/>
          </w:tcPr>
          <w:p w14:paraId="52F48F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90 км/час</w:t>
            </w:r>
          </w:p>
        </w:tc>
      </w:tr>
      <w:tr w:rsidR="00E3599D" w:rsidRPr="00E14102" w14:paraId="4401DC4A" w14:textId="77777777">
        <w:tc>
          <w:tcPr>
            <w:tcW w:w="4428" w:type="dxa"/>
          </w:tcPr>
          <w:p w14:paraId="0EC6E5E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Дальность полета</w:t>
            </w:r>
          </w:p>
        </w:tc>
        <w:tc>
          <w:tcPr>
            <w:tcW w:w="4428" w:type="dxa"/>
          </w:tcPr>
          <w:p w14:paraId="7F6E42B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900 км/час</w:t>
            </w:r>
          </w:p>
        </w:tc>
      </w:tr>
      <w:tr w:rsidR="00E3599D" w:rsidRPr="00E14102" w14:paraId="15184E83" w14:textId="77777777">
        <w:tc>
          <w:tcPr>
            <w:tcW w:w="4428" w:type="dxa"/>
            <w:tcBorders>
              <w:bottom w:val="single" w:sz="12" w:space="0" w:color="auto"/>
            </w:tcBorders>
          </w:tcPr>
          <w:p w14:paraId="166CE81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Боевая нагрузка</w:t>
            </w:r>
          </w:p>
        </w:tc>
        <w:tc>
          <w:tcPr>
            <w:tcW w:w="4428" w:type="dxa"/>
            <w:tcBorders>
              <w:bottom w:val="single" w:sz="12" w:space="0" w:color="auto"/>
            </w:tcBorders>
          </w:tcPr>
          <w:p w14:paraId="6B11633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600 кг</w:t>
            </w:r>
          </w:p>
        </w:tc>
      </w:tr>
    </w:tbl>
    <w:p w14:paraId="6088B2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Баки с протекторами и бензомаслопроводы из гибкого шланга.</w:t>
      </w:r>
    </w:p>
    <w:p w14:paraId="7725B0B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Вооружение</w:t>
      </w:r>
    </w:p>
    <w:p w14:paraId="7BF84BF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Два варианта разведчика</w:t>
      </w:r>
    </w:p>
    <w:p w14:paraId="7F864E1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Один пулемет Шкас с 750 шт. патрон для стрельбы вперед с неподвижной установки.</w:t>
      </w:r>
    </w:p>
    <w:p w14:paraId="5E6DC33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Один пулемет Шкас на механизированной турельной установке с 1000 шт. патрон.</w:t>
      </w:r>
    </w:p>
    <w:p w14:paraId="33E6AAC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Для варианта транспортного остается только турельная установка.</w:t>
      </w:r>
    </w:p>
    <w:p w14:paraId="3332B56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Тактико-технические требования</w:t>
      </w:r>
    </w:p>
    <w:p w14:paraId="3B65850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 военному варианту самолета линейной</w:t>
      </w:r>
    </w:p>
    <w:p w14:paraId="40AD7D9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краевой связи ДКЛ-1, 2М2-31</w:t>
      </w:r>
    </w:p>
    <w:p w14:paraId="5AB7E31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Проектирующая организация ГУАП (КАИ).</w:t>
      </w:r>
    </w:p>
    <w:p w14:paraId="5B8FF65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сдачи на гос. испытания 1 августа 1936 года</w:t>
      </w:r>
    </w:p>
    <w:p w14:paraId="3CEB6E8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Назначение самолета</w:t>
      </w:r>
    </w:p>
    <w:p w14:paraId="2EFB3C7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Транспортник</w:t>
      </w:r>
    </w:p>
    <w:p w14:paraId="774B161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Штабной самолет</w:t>
      </w:r>
    </w:p>
    <w:p w14:paraId="169A618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Летно-тактические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E3599D" w:rsidRPr="00E14102" w14:paraId="7456CCC4" w14:textId="77777777">
        <w:tc>
          <w:tcPr>
            <w:tcW w:w="4428" w:type="dxa"/>
            <w:tcBorders>
              <w:top w:val="single" w:sz="12" w:space="0" w:color="auto"/>
            </w:tcBorders>
          </w:tcPr>
          <w:p w14:paraId="3B9CE3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Максимальная скорость </w:t>
            </w:r>
          </w:p>
        </w:tc>
        <w:tc>
          <w:tcPr>
            <w:tcW w:w="4428" w:type="dxa"/>
            <w:tcBorders>
              <w:top w:val="single" w:sz="12" w:space="0" w:color="auto"/>
            </w:tcBorders>
          </w:tcPr>
          <w:p w14:paraId="0CD2215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320 км/час</w:t>
            </w:r>
          </w:p>
        </w:tc>
      </w:tr>
      <w:tr w:rsidR="00E3599D" w:rsidRPr="00E14102" w14:paraId="2B5DCD5B" w14:textId="77777777">
        <w:tc>
          <w:tcPr>
            <w:tcW w:w="4428" w:type="dxa"/>
          </w:tcPr>
          <w:p w14:paraId="40FA6F3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4428" w:type="dxa"/>
          </w:tcPr>
          <w:p w14:paraId="62888B8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80 км/час</w:t>
            </w:r>
          </w:p>
        </w:tc>
      </w:tr>
      <w:tr w:rsidR="00E3599D" w:rsidRPr="00E14102" w14:paraId="2773FA8A" w14:textId="77777777">
        <w:tc>
          <w:tcPr>
            <w:tcW w:w="4428" w:type="dxa"/>
          </w:tcPr>
          <w:p w14:paraId="489BD39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Дальность полета</w:t>
            </w:r>
          </w:p>
        </w:tc>
        <w:tc>
          <w:tcPr>
            <w:tcW w:w="4428" w:type="dxa"/>
          </w:tcPr>
          <w:p w14:paraId="1D10C57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800 км/час</w:t>
            </w:r>
          </w:p>
        </w:tc>
      </w:tr>
      <w:tr w:rsidR="00E3599D" w:rsidRPr="00E14102" w14:paraId="1FB3CFC9" w14:textId="77777777">
        <w:tc>
          <w:tcPr>
            <w:tcW w:w="4428" w:type="dxa"/>
            <w:tcBorders>
              <w:bottom w:val="single" w:sz="12" w:space="0" w:color="auto"/>
            </w:tcBorders>
          </w:tcPr>
          <w:p w14:paraId="275F3C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Боевая нагрузка</w:t>
            </w:r>
          </w:p>
        </w:tc>
        <w:tc>
          <w:tcPr>
            <w:tcW w:w="4428" w:type="dxa"/>
            <w:tcBorders>
              <w:bottom w:val="single" w:sz="12" w:space="0" w:color="auto"/>
            </w:tcBorders>
          </w:tcPr>
          <w:p w14:paraId="0B964A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600 кг</w:t>
            </w:r>
          </w:p>
        </w:tc>
      </w:tr>
    </w:tbl>
    <w:p w14:paraId="503724F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Баки с протекторами и бензомаслопроводы из гибкого шланга.</w:t>
      </w:r>
    </w:p>
    <w:p w14:paraId="6E91F47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Вооружение</w:t>
      </w:r>
    </w:p>
    <w:p w14:paraId="705D5A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Один пулемет ШКАС на фюзеляже на механизированной турельной установке с 750 шт. патрон.</w:t>
      </w:r>
    </w:p>
    <w:p w14:paraId="486C24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как транспортник должен обладать кабиной и дверями в нее, позволяющими перевозить грузы включительно до моторов М34, М100 и М85.</w:t>
      </w:r>
    </w:p>
    <w:p w14:paraId="77BA1B4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Тактико-технические требования</w:t>
      </w:r>
    </w:p>
    <w:p w14:paraId="39B65E0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 военному варианту самолета спецприменения С-Х, МГ-31</w:t>
      </w:r>
    </w:p>
    <w:p w14:paraId="2442BC9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Проектирующая организация ОКБ ЛИИ ГВФ</w:t>
      </w:r>
    </w:p>
    <w:p w14:paraId="2F4AAD1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сдачи на гос. испытания 1 декабря 1936 года</w:t>
      </w:r>
    </w:p>
    <w:p w14:paraId="5EDF7EA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Назначение самолета</w:t>
      </w:r>
    </w:p>
    <w:p w14:paraId="3F0AE6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Химический</w:t>
      </w:r>
    </w:p>
    <w:p w14:paraId="20368C9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Летно-тактические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E3599D" w:rsidRPr="00E14102" w14:paraId="38322A96" w14:textId="77777777">
        <w:tc>
          <w:tcPr>
            <w:tcW w:w="4428" w:type="dxa"/>
            <w:tcBorders>
              <w:top w:val="single" w:sz="12" w:space="0" w:color="auto"/>
            </w:tcBorders>
          </w:tcPr>
          <w:p w14:paraId="67BC17A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Максимальная скорость </w:t>
            </w:r>
          </w:p>
        </w:tc>
        <w:tc>
          <w:tcPr>
            <w:tcW w:w="4428" w:type="dxa"/>
            <w:tcBorders>
              <w:top w:val="single" w:sz="12" w:space="0" w:color="auto"/>
            </w:tcBorders>
          </w:tcPr>
          <w:p w14:paraId="35E5491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250 км/час</w:t>
            </w:r>
          </w:p>
        </w:tc>
      </w:tr>
      <w:tr w:rsidR="00E3599D" w:rsidRPr="00E14102" w14:paraId="7D6D23A0" w14:textId="77777777">
        <w:tc>
          <w:tcPr>
            <w:tcW w:w="4428" w:type="dxa"/>
          </w:tcPr>
          <w:p w14:paraId="7798828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4428" w:type="dxa"/>
          </w:tcPr>
          <w:p w14:paraId="30D52EB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70 км/час</w:t>
            </w:r>
          </w:p>
        </w:tc>
      </w:tr>
      <w:tr w:rsidR="00E3599D" w:rsidRPr="00E14102" w14:paraId="43F4EE8B" w14:textId="77777777">
        <w:tc>
          <w:tcPr>
            <w:tcW w:w="4428" w:type="dxa"/>
          </w:tcPr>
          <w:p w14:paraId="5EFC9D7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Дальность полета</w:t>
            </w:r>
          </w:p>
        </w:tc>
        <w:tc>
          <w:tcPr>
            <w:tcW w:w="4428" w:type="dxa"/>
          </w:tcPr>
          <w:p w14:paraId="1C31F79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400 км/час</w:t>
            </w:r>
          </w:p>
        </w:tc>
      </w:tr>
      <w:tr w:rsidR="00E3599D" w:rsidRPr="00E14102" w14:paraId="56043C4D" w14:textId="77777777">
        <w:tc>
          <w:tcPr>
            <w:tcW w:w="4428" w:type="dxa"/>
            <w:tcBorders>
              <w:bottom w:val="single" w:sz="12" w:space="0" w:color="auto"/>
            </w:tcBorders>
          </w:tcPr>
          <w:p w14:paraId="2670204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Боевая нагрузка</w:t>
            </w:r>
          </w:p>
        </w:tc>
        <w:tc>
          <w:tcPr>
            <w:tcW w:w="4428" w:type="dxa"/>
            <w:tcBorders>
              <w:bottom w:val="single" w:sz="12" w:space="0" w:color="auto"/>
            </w:tcBorders>
          </w:tcPr>
          <w:p w14:paraId="36938FE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600 кг</w:t>
            </w:r>
          </w:p>
        </w:tc>
      </w:tr>
    </w:tbl>
    <w:p w14:paraId="7B8A365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Баки с протекторами и бензомаслопроводы из гибкого шланга.</w:t>
      </w:r>
    </w:p>
    <w:p w14:paraId="005324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Вооружение</w:t>
      </w:r>
    </w:p>
    <w:p w14:paraId="10BEA3C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p w14:paraId="7C9CCC2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Один пулемет Шкас кал. 7,62 мм с 1000 шт. патрон для стрельбы вперед с неподвижной установки.</w:t>
      </w:r>
    </w:p>
    <w:p w14:paraId="2651B0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Один пулемет Шкас с 1000 шт. патрон на механизированной подвижной установке на фюзеляже самолета.</w:t>
      </w:r>
    </w:p>
    <w:p w14:paraId="26FB34D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p w14:paraId="0E2760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Варианты</w:t>
      </w:r>
    </w:p>
    <w:p w14:paraId="17BBFE0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шт. модернизированных ВАП-4</w:t>
      </w:r>
    </w:p>
    <w:p w14:paraId="220D93D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шт. ДАП-100</w:t>
      </w:r>
    </w:p>
    <w:p w14:paraId="7DEE2AA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Тактико-технические требования</w:t>
      </w:r>
    </w:p>
    <w:p w14:paraId="34E7FAD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 военному варианту самолета местной связи МП-2, М2-21 (или М-48).</w:t>
      </w:r>
    </w:p>
    <w:p w14:paraId="428E51A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Проектирующая организация ОКБ ЛИИ ГУАП (Яковлев).</w:t>
      </w:r>
    </w:p>
    <w:p w14:paraId="68E0890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сдачи на гос. испытания 1 июля 1936 года</w:t>
      </w:r>
    </w:p>
    <w:p w14:paraId="08F5C55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Назначение самолета</w:t>
      </w:r>
    </w:p>
    <w:p w14:paraId="579F338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связи</w:t>
      </w:r>
    </w:p>
    <w:p w14:paraId="118894F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Летно-тактические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E3599D" w:rsidRPr="00E14102" w14:paraId="4B7A045C" w14:textId="77777777">
        <w:tc>
          <w:tcPr>
            <w:tcW w:w="4428" w:type="dxa"/>
            <w:tcBorders>
              <w:top w:val="single" w:sz="12" w:space="0" w:color="auto"/>
            </w:tcBorders>
          </w:tcPr>
          <w:p w14:paraId="3FC88AA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Максимальная скорость </w:t>
            </w:r>
          </w:p>
        </w:tc>
        <w:tc>
          <w:tcPr>
            <w:tcW w:w="4428" w:type="dxa"/>
            <w:tcBorders>
              <w:top w:val="single" w:sz="12" w:space="0" w:color="auto"/>
            </w:tcBorders>
          </w:tcPr>
          <w:p w14:paraId="0B7CBD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210 км/час</w:t>
            </w:r>
          </w:p>
        </w:tc>
      </w:tr>
      <w:tr w:rsidR="00E3599D" w:rsidRPr="00E14102" w14:paraId="39C6D31B" w14:textId="77777777">
        <w:tc>
          <w:tcPr>
            <w:tcW w:w="4428" w:type="dxa"/>
          </w:tcPr>
          <w:p w14:paraId="23061A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4428" w:type="dxa"/>
          </w:tcPr>
          <w:p w14:paraId="3C2A31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 км/час</w:t>
            </w:r>
          </w:p>
        </w:tc>
      </w:tr>
      <w:tr w:rsidR="00E3599D" w:rsidRPr="00E14102" w14:paraId="6599264A" w14:textId="77777777">
        <w:tc>
          <w:tcPr>
            <w:tcW w:w="4428" w:type="dxa"/>
          </w:tcPr>
          <w:p w14:paraId="1B9D900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Дальность полета</w:t>
            </w:r>
          </w:p>
        </w:tc>
        <w:tc>
          <w:tcPr>
            <w:tcW w:w="4428" w:type="dxa"/>
          </w:tcPr>
          <w:p w14:paraId="06AAE82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500 км/час</w:t>
            </w:r>
          </w:p>
        </w:tc>
      </w:tr>
      <w:tr w:rsidR="00E3599D" w:rsidRPr="00E14102" w14:paraId="1A4ED57A" w14:textId="77777777">
        <w:tc>
          <w:tcPr>
            <w:tcW w:w="4428" w:type="dxa"/>
            <w:tcBorders>
              <w:bottom w:val="single" w:sz="12" w:space="0" w:color="auto"/>
            </w:tcBorders>
          </w:tcPr>
          <w:p w14:paraId="3F5EC3F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Боевая нагрузка</w:t>
            </w:r>
          </w:p>
        </w:tc>
        <w:tc>
          <w:tcPr>
            <w:tcW w:w="4428" w:type="dxa"/>
            <w:tcBorders>
              <w:bottom w:val="single" w:sz="12" w:space="0" w:color="auto"/>
            </w:tcBorders>
          </w:tcPr>
          <w:p w14:paraId="3190C7D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350 кг</w:t>
            </w:r>
          </w:p>
        </w:tc>
      </w:tr>
    </w:tbl>
    <w:p w14:paraId="5D606B6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Баки с протекторами и бензомаслопроводы из гибкого шланга.</w:t>
      </w:r>
    </w:p>
    <w:p w14:paraId="5705569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Вооружение</w:t>
      </w:r>
    </w:p>
    <w:p w14:paraId="02D6ADB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Один пулемет ШКАС с 750 шт. патрон на турельной установке (6727).</w:t>
      </w:r>
    </w:p>
    <w:p w14:paraId="00D3832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D5A32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янва</w:t>
      </w:r>
      <w:r w:rsidRPr="00E14102">
        <w:rPr>
          <w:color w:val="000000" w:themeColor="text1"/>
          <w:sz w:val="16"/>
          <w:szCs w:val="16"/>
        </w:rPr>
        <w:softHyphen/>
        <w:t>ря 1935 г. СПЛ под управлением летчика А.В.Кржижевского впервые поднялся в воздух. Последующие испыта</w:t>
      </w:r>
      <w:r w:rsidRPr="00E14102">
        <w:rPr>
          <w:color w:val="000000" w:themeColor="text1"/>
          <w:sz w:val="16"/>
          <w:szCs w:val="16"/>
        </w:rPr>
        <w:softHyphen/>
        <w:t>ния показали, что малые размеры самолета сделали его недостаточно устойчивым, и это потребовало внесения изменений в конструкцию. В течение года самолет совер</w:t>
      </w:r>
      <w:r w:rsidRPr="00E14102">
        <w:rPr>
          <w:color w:val="000000" w:themeColor="text1"/>
          <w:sz w:val="16"/>
          <w:szCs w:val="16"/>
        </w:rPr>
        <w:softHyphen/>
        <w:t>шенствовали. Время его разборки довели до 3-4 мин., а время сборки и подготовки к полету составляло не более 5 мин (11107).</w:t>
      </w:r>
    </w:p>
    <w:p w14:paraId="1844BB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FDE751E" w14:textId="77777777" w:rsidR="005259F6" w:rsidRPr="00E14102" w:rsidRDefault="005259F6" w:rsidP="00E14102">
      <w:pPr>
        <w:jc w:val="both"/>
        <w:rPr>
          <w:color w:val="000000" w:themeColor="text1"/>
          <w:sz w:val="16"/>
          <w:szCs w:val="16"/>
        </w:rPr>
      </w:pPr>
      <w:r w:rsidRPr="00E14102">
        <w:rPr>
          <w:color w:val="000000" w:themeColor="text1"/>
          <w:sz w:val="16"/>
          <w:szCs w:val="16"/>
        </w:rPr>
        <w:lastRenderedPageBreak/>
        <w:t>4 ян</w:t>
      </w:r>
      <w:r w:rsidRPr="00E14102">
        <w:rPr>
          <w:color w:val="000000" w:themeColor="text1"/>
          <w:sz w:val="16"/>
          <w:szCs w:val="16"/>
        </w:rPr>
        <w:softHyphen/>
        <w:t>варя 1935 г. СПЛ под управлением летчика А.В.Кржижевского впервые поднялся в воз</w:t>
      </w:r>
      <w:r w:rsidRPr="00E14102">
        <w:rPr>
          <w:color w:val="000000" w:themeColor="text1"/>
          <w:sz w:val="16"/>
          <w:szCs w:val="16"/>
        </w:rPr>
        <w:softHyphen/>
        <w:t>дух. Последующие испытания показали, что малые размеры самолета сделали его недо</w:t>
      </w:r>
      <w:r w:rsidRPr="00E14102">
        <w:rPr>
          <w:color w:val="000000" w:themeColor="text1"/>
          <w:sz w:val="16"/>
          <w:szCs w:val="16"/>
        </w:rPr>
        <w:softHyphen/>
        <w:t>статочно устойчивым, и это обстоятельство потребовало внесения дополнительных кон</w:t>
      </w:r>
      <w:r w:rsidRPr="00E14102">
        <w:rPr>
          <w:color w:val="000000" w:themeColor="text1"/>
          <w:sz w:val="16"/>
          <w:szCs w:val="16"/>
        </w:rPr>
        <w:softHyphen/>
        <w:t>структивных изменений. В течение года са</w:t>
      </w:r>
      <w:r w:rsidRPr="00E14102">
        <w:rPr>
          <w:color w:val="000000" w:themeColor="text1"/>
          <w:sz w:val="16"/>
          <w:szCs w:val="16"/>
        </w:rPr>
        <w:softHyphen/>
        <w:t>молет совершенствовался и доводился. Вре</w:t>
      </w:r>
      <w:r w:rsidRPr="00E14102">
        <w:rPr>
          <w:color w:val="000000" w:themeColor="text1"/>
          <w:sz w:val="16"/>
          <w:szCs w:val="16"/>
        </w:rPr>
        <w:softHyphen/>
        <w:t>мя его разборки довели до 3—4 минут, а вре</w:t>
      </w:r>
      <w:r w:rsidRPr="00E14102">
        <w:rPr>
          <w:color w:val="000000" w:themeColor="text1"/>
          <w:sz w:val="16"/>
          <w:szCs w:val="16"/>
        </w:rPr>
        <w:softHyphen/>
        <w:t>мя сборки и подготовки к полету составляло не более 5 минут (12301).</w:t>
      </w:r>
    </w:p>
    <w:p w14:paraId="343FB5C6" w14:textId="77777777" w:rsidR="005259F6" w:rsidRPr="00E14102" w:rsidRDefault="005259F6" w:rsidP="00E14102">
      <w:pPr>
        <w:jc w:val="both"/>
        <w:rPr>
          <w:color w:val="000000" w:themeColor="text1"/>
          <w:sz w:val="16"/>
          <w:szCs w:val="16"/>
        </w:rPr>
      </w:pPr>
      <w:r w:rsidRPr="00E14102">
        <w:rPr>
          <w:color w:val="000000" w:themeColor="text1"/>
          <w:sz w:val="16"/>
          <w:szCs w:val="16"/>
        </w:rPr>
        <w:t>В 1936 г. СПЛ Иго</w:t>
      </w:r>
      <w:r w:rsidRPr="00E14102">
        <w:rPr>
          <w:color w:val="000000" w:themeColor="text1"/>
          <w:sz w:val="16"/>
          <w:szCs w:val="16"/>
        </w:rPr>
        <w:softHyphen/>
        <w:t>ря Вячеславовича Четверикова под обозна</w:t>
      </w:r>
      <w:r w:rsidRPr="00E14102">
        <w:rPr>
          <w:color w:val="000000" w:themeColor="text1"/>
          <w:sz w:val="16"/>
          <w:szCs w:val="16"/>
        </w:rPr>
        <w:softHyphen/>
        <w:t>чением «Гидро-1» экспонировался на авиа</w:t>
      </w:r>
      <w:r w:rsidRPr="00E14102">
        <w:rPr>
          <w:color w:val="000000" w:themeColor="text1"/>
          <w:sz w:val="16"/>
          <w:szCs w:val="16"/>
        </w:rPr>
        <w:softHyphen/>
        <w:t>ционной выставке в Милане, а в 1937 г. лет</w:t>
      </w:r>
      <w:r w:rsidRPr="00E14102">
        <w:rPr>
          <w:color w:val="000000" w:themeColor="text1"/>
          <w:sz w:val="16"/>
          <w:szCs w:val="16"/>
        </w:rPr>
        <w:softHyphen/>
        <w:t>чик Кржижевский в период с 21 сентября по 7 октября установил на этой летающей лодке сразу два международных рекорда. В классе гидросамолетов с весом конструкции до 570 кг «Гидро-1» обладал на тот момент макси</w:t>
      </w:r>
      <w:r w:rsidRPr="00E14102">
        <w:rPr>
          <w:color w:val="000000" w:themeColor="text1"/>
          <w:sz w:val="16"/>
          <w:szCs w:val="16"/>
        </w:rPr>
        <w:softHyphen/>
        <w:t>мальной дальностью полета 480 км (перелет из Одессы в Таманский залив Азовского мо</w:t>
      </w:r>
      <w:r w:rsidRPr="00E14102">
        <w:rPr>
          <w:color w:val="000000" w:themeColor="text1"/>
          <w:sz w:val="16"/>
          <w:szCs w:val="16"/>
        </w:rPr>
        <w:softHyphen/>
        <w:t>ря), максимальная скорость на мерной базе 100 км составила 170 км/ч.</w:t>
      </w:r>
    </w:p>
    <w:p w14:paraId="0B2D3769" w14:textId="77777777" w:rsidR="005259F6" w:rsidRPr="00E14102" w:rsidRDefault="005259F6" w:rsidP="00E14102">
      <w:pPr>
        <w:pStyle w:val="110"/>
        <w:shd w:val="clear" w:color="auto" w:fill="auto"/>
        <w:spacing w:line="240" w:lineRule="auto"/>
        <w:jc w:val="both"/>
        <w:rPr>
          <w:rFonts w:ascii="Times New Roman" w:hAnsi="Times New Roman"/>
          <w:color w:val="000000" w:themeColor="text1"/>
          <w:sz w:val="16"/>
          <w:szCs w:val="16"/>
        </w:rPr>
      </w:pPr>
      <w:r w:rsidRPr="00E14102">
        <w:rPr>
          <w:rFonts w:ascii="Times New Roman" w:hAnsi="Times New Roman"/>
          <w:color w:val="000000" w:themeColor="text1"/>
          <w:sz w:val="16"/>
          <w:szCs w:val="16"/>
        </w:rPr>
        <w:t>Летные и технические характеристики СПЛ (ОСГА-101)</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 w:type="dxa"/>
          <w:right w:w="10" w:type="dxa"/>
        </w:tblCellMar>
        <w:tblLook w:val="0000" w:firstRow="0" w:lastRow="0" w:firstColumn="0" w:lastColumn="0" w:noHBand="0" w:noVBand="0"/>
      </w:tblPr>
      <w:tblGrid>
        <w:gridCol w:w="2185"/>
        <w:gridCol w:w="1127"/>
      </w:tblGrid>
      <w:tr w:rsidR="00E3599D" w:rsidRPr="00E14102" w14:paraId="599C4BE1" w14:textId="77777777" w:rsidTr="005F44AE">
        <w:trPr>
          <w:trHeight w:val="220"/>
        </w:trPr>
        <w:tc>
          <w:tcPr>
            <w:tcW w:w="2185" w:type="dxa"/>
            <w:shd w:val="clear" w:color="auto" w:fill="FFFFFF"/>
          </w:tcPr>
          <w:p w14:paraId="60B37FC0" w14:textId="77777777" w:rsidR="005259F6" w:rsidRPr="00E14102" w:rsidRDefault="005259F6" w:rsidP="00E14102">
            <w:pPr>
              <w:jc w:val="both"/>
              <w:rPr>
                <w:color w:val="000000" w:themeColor="text1"/>
                <w:sz w:val="16"/>
                <w:szCs w:val="16"/>
              </w:rPr>
            </w:pPr>
            <w:r w:rsidRPr="00E14102">
              <w:rPr>
                <w:color w:val="000000" w:themeColor="text1"/>
                <w:sz w:val="16"/>
                <w:szCs w:val="16"/>
              </w:rPr>
              <w:t>Размах крыла (м)</w:t>
            </w:r>
          </w:p>
        </w:tc>
        <w:tc>
          <w:tcPr>
            <w:tcW w:w="1127" w:type="dxa"/>
            <w:shd w:val="clear" w:color="auto" w:fill="FFFFFF"/>
          </w:tcPr>
          <w:p w14:paraId="6138C2F6" w14:textId="77777777" w:rsidR="005259F6" w:rsidRPr="00E14102" w:rsidRDefault="005259F6" w:rsidP="00E14102">
            <w:pPr>
              <w:jc w:val="both"/>
              <w:rPr>
                <w:color w:val="000000" w:themeColor="text1"/>
                <w:sz w:val="16"/>
                <w:szCs w:val="16"/>
              </w:rPr>
            </w:pPr>
            <w:r w:rsidRPr="00E14102">
              <w:rPr>
                <w:color w:val="000000" w:themeColor="text1"/>
                <w:sz w:val="16"/>
                <w:szCs w:val="16"/>
              </w:rPr>
              <w:t>9,68(11,45)</w:t>
            </w:r>
          </w:p>
        </w:tc>
      </w:tr>
      <w:tr w:rsidR="00E3599D" w:rsidRPr="00E14102" w14:paraId="3D7A21D2" w14:textId="77777777" w:rsidTr="005F44AE">
        <w:trPr>
          <w:trHeight w:val="209"/>
        </w:trPr>
        <w:tc>
          <w:tcPr>
            <w:tcW w:w="2185" w:type="dxa"/>
            <w:shd w:val="clear" w:color="auto" w:fill="FFFFFF"/>
          </w:tcPr>
          <w:p w14:paraId="5C17E1E2" w14:textId="77777777" w:rsidR="005259F6" w:rsidRPr="00E14102" w:rsidRDefault="005259F6" w:rsidP="00E14102">
            <w:pPr>
              <w:jc w:val="both"/>
              <w:rPr>
                <w:color w:val="000000" w:themeColor="text1"/>
                <w:sz w:val="16"/>
                <w:szCs w:val="16"/>
              </w:rPr>
            </w:pPr>
            <w:r w:rsidRPr="00E14102">
              <w:rPr>
                <w:color w:val="000000" w:themeColor="text1"/>
                <w:sz w:val="16"/>
                <w:szCs w:val="16"/>
              </w:rPr>
              <w:t>Длина в линии полета (м)</w:t>
            </w:r>
          </w:p>
        </w:tc>
        <w:tc>
          <w:tcPr>
            <w:tcW w:w="1127" w:type="dxa"/>
            <w:shd w:val="clear" w:color="auto" w:fill="FFFFFF"/>
          </w:tcPr>
          <w:p w14:paraId="1B419191" w14:textId="77777777" w:rsidR="005259F6" w:rsidRPr="00E14102" w:rsidRDefault="005259F6" w:rsidP="00E14102">
            <w:pPr>
              <w:jc w:val="both"/>
              <w:rPr>
                <w:color w:val="000000" w:themeColor="text1"/>
                <w:sz w:val="16"/>
                <w:szCs w:val="16"/>
              </w:rPr>
            </w:pPr>
            <w:r w:rsidRPr="00E14102">
              <w:rPr>
                <w:color w:val="000000" w:themeColor="text1"/>
                <w:sz w:val="16"/>
                <w:szCs w:val="16"/>
              </w:rPr>
              <w:t>7,45(7,60)</w:t>
            </w:r>
          </w:p>
        </w:tc>
      </w:tr>
      <w:tr w:rsidR="00E3599D" w:rsidRPr="00E14102" w14:paraId="49731D68" w14:textId="77777777" w:rsidTr="005F44AE">
        <w:trPr>
          <w:trHeight w:val="220"/>
        </w:trPr>
        <w:tc>
          <w:tcPr>
            <w:tcW w:w="2185" w:type="dxa"/>
            <w:shd w:val="clear" w:color="auto" w:fill="FFFFFF"/>
          </w:tcPr>
          <w:p w14:paraId="11704D55" w14:textId="77777777" w:rsidR="005259F6" w:rsidRPr="00E14102" w:rsidRDefault="005259F6" w:rsidP="00E14102">
            <w:pPr>
              <w:jc w:val="both"/>
              <w:rPr>
                <w:color w:val="000000" w:themeColor="text1"/>
                <w:sz w:val="16"/>
                <w:szCs w:val="16"/>
              </w:rPr>
            </w:pPr>
            <w:r w:rsidRPr="00E14102">
              <w:rPr>
                <w:color w:val="000000" w:themeColor="text1"/>
                <w:sz w:val="16"/>
                <w:szCs w:val="16"/>
              </w:rPr>
              <w:t>Площадь крыла (м</w:t>
            </w:r>
            <w:r w:rsidRPr="00E14102">
              <w:rPr>
                <w:color w:val="000000" w:themeColor="text1"/>
                <w:sz w:val="16"/>
                <w:szCs w:val="16"/>
                <w:vertAlign w:val="superscript"/>
              </w:rPr>
              <w:t>2</w:t>
            </w:r>
            <w:r w:rsidRPr="00E14102">
              <w:rPr>
                <w:color w:val="000000" w:themeColor="text1"/>
                <w:sz w:val="16"/>
                <w:szCs w:val="16"/>
              </w:rPr>
              <w:t>)</w:t>
            </w:r>
          </w:p>
        </w:tc>
        <w:tc>
          <w:tcPr>
            <w:tcW w:w="1127" w:type="dxa"/>
            <w:shd w:val="clear" w:color="auto" w:fill="FFFFFF"/>
          </w:tcPr>
          <w:p w14:paraId="1C5379C4" w14:textId="77777777" w:rsidR="005259F6" w:rsidRPr="00E14102" w:rsidRDefault="005259F6" w:rsidP="00E14102">
            <w:pPr>
              <w:jc w:val="both"/>
              <w:rPr>
                <w:color w:val="000000" w:themeColor="text1"/>
                <w:sz w:val="16"/>
                <w:szCs w:val="16"/>
              </w:rPr>
            </w:pPr>
            <w:r w:rsidRPr="00E14102">
              <w:rPr>
                <w:color w:val="000000" w:themeColor="text1"/>
                <w:sz w:val="16"/>
                <w:szCs w:val="16"/>
              </w:rPr>
              <w:t>13,38 (16,88)</w:t>
            </w:r>
          </w:p>
        </w:tc>
      </w:tr>
      <w:tr w:rsidR="00E3599D" w:rsidRPr="00E14102" w14:paraId="5C492CCD" w14:textId="77777777" w:rsidTr="005F44AE">
        <w:trPr>
          <w:trHeight w:val="220"/>
        </w:trPr>
        <w:tc>
          <w:tcPr>
            <w:tcW w:w="2185" w:type="dxa"/>
            <w:shd w:val="clear" w:color="auto" w:fill="FFFFFF"/>
          </w:tcPr>
          <w:p w14:paraId="603C0A60" w14:textId="77777777" w:rsidR="005259F6" w:rsidRPr="00E14102" w:rsidRDefault="005259F6" w:rsidP="00E14102">
            <w:pPr>
              <w:jc w:val="both"/>
              <w:rPr>
                <w:color w:val="000000" w:themeColor="text1"/>
                <w:sz w:val="16"/>
                <w:szCs w:val="16"/>
              </w:rPr>
            </w:pPr>
            <w:r w:rsidRPr="00E14102">
              <w:rPr>
                <w:color w:val="000000" w:themeColor="text1"/>
                <w:sz w:val="16"/>
                <w:szCs w:val="16"/>
              </w:rPr>
              <w:t>Вес пустого (кг)</w:t>
            </w:r>
          </w:p>
        </w:tc>
        <w:tc>
          <w:tcPr>
            <w:tcW w:w="1127" w:type="dxa"/>
            <w:shd w:val="clear" w:color="auto" w:fill="FFFFFF"/>
          </w:tcPr>
          <w:p w14:paraId="7A66FEC8" w14:textId="77777777" w:rsidR="005259F6" w:rsidRPr="00E14102" w:rsidRDefault="005259F6" w:rsidP="00E14102">
            <w:pPr>
              <w:jc w:val="both"/>
              <w:rPr>
                <w:color w:val="000000" w:themeColor="text1"/>
                <w:sz w:val="16"/>
                <w:szCs w:val="16"/>
              </w:rPr>
            </w:pPr>
            <w:r w:rsidRPr="00E14102">
              <w:rPr>
                <w:color w:val="000000" w:themeColor="text1"/>
                <w:sz w:val="16"/>
                <w:szCs w:val="16"/>
              </w:rPr>
              <w:t>592(630)</w:t>
            </w:r>
          </w:p>
        </w:tc>
      </w:tr>
      <w:tr w:rsidR="00E3599D" w:rsidRPr="00E14102" w14:paraId="3DC0A8F6" w14:textId="77777777" w:rsidTr="005F44AE">
        <w:trPr>
          <w:trHeight w:val="205"/>
        </w:trPr>
        <w:tc>
          <w:tcPr>
            <w:tcW w:w="2185" w:type="dxa"/>
            <w:shd w:val="clear" w:color="auto" w:fill="FFFFFF"/>
          </w:tcPr>
          <w:p w14:paraId="7E488EE8" w14:textId="77777777" w:rsidR="005259F6" w:rsidRPr="00E14102" w:rsidRDefault="005259F6" w:rsidP="00E14102">
            <w:pPr>
              <w:jc w:val="both"/>
              <w:rPr>
                <w:color w:val="000000" w:themeColor="text1"/>
                <w:sz w:val="16"/>
                <w:szCs w:val="16"/>
              </w:rPr>
            </w:pPr>
            <w:r w:rsidRPr="00E14102">
              <w:rPr>
                <w:color w:val="000000" w:themeColor="text1"/>
                <w:sz w:val="16"/>
                <w:szCs w:val="16"/>
              </w:rPr>
              <w:t>Полетный вес (кг)</w:t>
            </w:r>
          </w:p>
        </w:tc>
        <w:tc>
          <w:tcPr>
            <w:tcW w:w="1127" w:type="dxa"/>
            <w:shd w:val="clear" w:color="auto" w:fill="FFFFFF"/>
          </w:tcPr>
          <w:p w14:paraId="409F63B3" w14:textId="77777777" w:rsidR="005259F6" w:rsidRPr="00E14102" w:rsidRDefault="005259F6" w:rsidP="00E14102">
            <w:pPr>
              <w:jc w:val="both"/>
              <w:rPr>
                <w:color w:val="000000" w:themeColor="text1"/>
                <w:sz w:val="16"/>
                <w:szCs w:val="16"/>
              </w:rPr>
            </w:pPr>
            <w:r w:rsidRPr="00E14102">
              <w:rPr>
                <w:color w:val="000000" w:themeColor="text1"/>
                <w:sz w:val="16"/>
                <w:szCs w:val="16"/>
              </w:rPr>
              <w:t>800</w:t>
            </w:r>
          </w:p>
        </w:tc>
      </w:tr>
      <w:tr w:rsidR="00E3599D" w:rsidRPr="00E14102" w14:paraId="63352CB9" w14:textId="77777777" w:rsidTr="005F44AE">
        <w:trPr>
          <w:trHeight w:val="216"/>
        </w:trPr>
        <w:tc>
          <w:tcPr>
            <w:tcW w:w="2185" w:type="dxa"/>
            <w:shd w:val="clear" w:color="auto" w:fill="FFFFFF"/>
          </w:tcPr>
          <w:p w14:paraId="231EC487" w14:textId="77777777" w:rsidR="005259F6" w:rsidRPr="00E14102" w:rsidRDefault="005259F6" w:rsidP="00E14102">
            <w:pPr>
              <w:jc w:val="both"/>
              <w:rPr>
                <w:color w:val="000000" w:themeColor="text1"/>
                <w:sz w:val="16"/>
                <w:szCs w:val="16"/>
              </w:rPr>
            </w:pPr>
            <w:r w:rsidRPr="00E14102">
              <w:rPr>
                <w:color w:val="000000" w:themeColor="text1"/>
                <w:sz w:val="16"/>
                <w:szCs w:val="16"/>
              </w:rPr>
              <w:t>Максимальная</w:t>
            </w:r>
          </w:p>
        </w:tc>
        <w:tc>
          <w:tcPr>
            <w:tcW w:w="1127" w:type="dxa"/>
            <w:shd w:val="clear" w:color="auto" w:fill="FFFFFF"/>
          </w:tcPr>
          <w:p w14:paraId="6E663CBE" w14:textId="77777777" w:rsidR="005259F6" w:rsidRPr="00E14102" w:rsidRDefault="005259F6" w:rsidP="00E14102">
            <w:pPr>
              <w:jc w:val="both"/>
              <w:rPr>
                <w:color w:val="000000" w:themeColor="text1"/>
                <w:sz w:val="16"/>
                <w:szCs w:val="16"/>
              </w:rPr>
            </w:pPr>
          </w:p>
        </w:tc>
      </w:tr>
      <w:tr w:rsidR="00E3599D" w:rsidRPr="00E14102" w14:paraId="74A0736D" w14:textId="77777777" w:rsidTr="005F44AE">
        <w:trPr>
          <w:trHeight w:val="227"/>
        </w:trPr>
        <w:tc>
          <w:tcPr>
            <w:tcW w:w="2185" w:type="dxa"/>
            <w:shd w:val="clear" w:color="auto" w:fill="FFFFFF"/>
          </w:tcPr>
          <w:p w14:paraId="0A019E09" w14:textId="77777777" w:rsidR="005259F6" w:rsidRPr="00E14102" w:rsidRDefault="005259F6" w:rsidP="00E14102">
            <w:pPr>
              <w:jc w:val="both"/>
              <w:rPr>
                <w:color w:val="000000" w:themeColor="text1"/>
                <w:sz w:val="16"/>
                <w:szCs w:val="16"/>
              </w:rPr>
            </w:pPr>
            <w:r w:rsidRPr="00E14102">
              <w:rPr>
                <w:color w:val="000000" w:themeColor="text1"/>
                <w:sz w:val="16"/>
                <w:szCs w:val="16"/>
              </w:rPr>
              <w:t>скорость (км/ч)</w:t>
            </w:r>
          </w:p>
        </w:tc>
        <w:tc>
          <w:tcPr>
            <w:tcW w:w="1127" w:type="dxa"/>
            <w:shd w:val="clear" w:color="auto" w:fill="FFFFFF"/>
          </w:tcPr>
          <w:p w14:paraId="7B18772A" w14:textId="77777777" w:rsidR="005259F6" w:rsidRPr="00E14102" w:rsidRDefault="005259F6" w:rsidP="00E14102">
            <w:pPr>
              <w:jc w:val="both"/>
              <w:rPr>
                <w:color w:val="000000" w:themeColor="text1"/>
                <w:sz w:val="16"/>
                <w:szCs w:val="16"/>
              </w:rPr>
            </w:pPr>
            <w:r w:rsidRPr="00E14102">
              <w:rPr>
                <w:color w:val="000000" w:themeColor="text1"/>
                <w:sz w:val="16"/>
                <w:szCs w:val="16"/>
              </w:rPr>
              <w:t>186(160)</w:t>
            </w:r>
          </w:p>
        </w:tc>
      </w:tr>
      <w:tr w:rsidR="00E3599D" w:rsidRPr="00E14102" w14:paraId="0A2FC22B" w14:textId="77777777" w:rsidTr="005F44AE">
        <w:trPr>
          <w:trHeight w:val="209"/>
        </w:trPr>
        <w:tc>
          <w:tcPr>
            <w:tcW w:w="2185" w:type="dxa"/>
            <w:shd w:val="clear" w:color="auto" w:fill="FFFFFF"/>
          </w:tcPr>
          <w:p w14:paraId="4A790F76" w14:textId="77777777" w:rsidR="005259F6" w:rsidRPr="00E14102" w:rsidRDefault="005259F6" w:rsidP="00E14102">
            <w:pPr>
              <w:jc w:val="both"/>
              <w:rPr>
                <w:color w:val="000000" w:themeColor="text1"/>
                <w:sz w:val="16"/>
                <w:szCs w:val="16"/>
              </w:rPr>
            </w:pPr>
            <w:r w:rsidRPr="00E14102">
              <w:rPr>
                <w:color w:val="000000" w:themeColor="text1"/>
                <w:sz w:val="16"/>
                <w:szCs w:val="16"/>
              </w:rPr>
              <w:t>Потолок (м)</w:t>
            </w:r>
          </w:p>
        </w:tc>
        <w:tc>
          <w:tcPr>
            <w:tcW w:w="1127" w:type="dxa"/>
            <w:shd w:val="clear" w:color="auto" w:fill="FFFFFF"/>
          </w:tcPr>
          <w:p w14:paraId="21530D3E" w14:textId="77777777" w:rsidR="005259F6" w:rsidRPr="00E14102" w:rsidRDefault="005259F6" w:rsidP="00E14102">
            <w:pPr>
              <w:jc w:val="both"/>
              <w:rPr>
                <w:color w:val="000000" w:themeColor="text1"/>
                <w:sz w:val="16"/>
                <w:szCs w:val="16"/>
              </w:rPr>
            </w:pPr>
            <w:r w:rsidRPr="00E14102">
              <w:rPr>
                <w:color w:val="000000" w:themeColor="text1"/>
                <w:sz w:val="16"/>
                <w:szCs w:val="16"/>
              </w:rPr>
              <w:t>5400 (4500)</w:t>
            </w:r>
          </w:p>
        </w:tc>
      </w:tr>
      <w:tr w:rsidR="00E3599D" w:rsidRPr="00E14102" w14:paraId="107E7CD1" w14:textId="77777777" w:rsidTr="005F44AE">
        <w:trPr>
          <w:trHeight w:val="227"/>
        </w:trPr>
        <w:tc>
          <w:tcPr>
            <w:tcW w:w="2185" w:type="dxa"/>
            <w:shd w:val="clear" w:color="auto" w:fill="FFFFFF"/>
          </w:tcPr>
          <w:p w14:paraId="65389966" w14:textId="77777777" w:rsidR="005259F6" w:rsidRPr="00E14102" w:rsidRDefault="005259F6" w:rsidP="00E14102">
            <w:pPr>
              <w:jc w:val="both"/>
              <w:rPr>
                <w:color w:val="000000" w:themeColor="text1"/>
                <w:sz w:val="16"/>
                <w:szCs w:val="16"/>
              </w:rPr>
            </w:pPr>
            <w:r w:rsidRPr="00E14102">
              <w:rPr>
                <w:color w:val="000000" w:themeColor="text1"/>
                <w:sz w:val="16"/>
                <w:szCs w:val="16"/>
              </w:rPr>
              <w:t>Продолжительность</w:t>
            </w:r>
          </w:p>
        </w:tc>
        <w:tc>
          <w:tcPr>
            <w:tcW w:w="1127" w:type="dxa"/>
            <w:shd w:val="clear" w:color="auto" w:fill="FFFFFF"/>
          </w:tcPr>
          <w:p w14:paraId="4761DD95" w14:textId="77777777" w:rsidR="005259F6" w:rsidRPr="00E14102" w:rsidRDefault="005259F6" w:rsidP="00E14102">
            <w:pPr>
              <w:jc w:val="both"/>
              <w:rPr>
                <w:color w:val="000000" w:themeColor="text1"/>
                <w:sz w:val="16"/>
                <w:szCs w:val="16"/>
              </w:rPr>
            </w:pPr>
          </w:p>
        </w:tc>
      </w:tr>
      <w:tr w:rsidR="00E3599D" w:rsidRPr="00E14102" w14:paraId="253FBE43" w14:textId="77777777" w:rsidTr="005F44AE">
        <w:trPr>
          <w:trHeight w:val="212"/>
        </w:trPr>
        <w:tc>
          <w:tcPr>
            <w:tcW w:w="2185" w:type="dxa"/>
            <w:shd w:val="clear" w:color="auto" w:fill="FFFFFF"/>
          </w:tcPr>
          <w:p w14:paraId="5F870FAD" w14:textId="77777777" w:rsidR="005259F6" w:rsidRPr="00E14102" w:rsidRDefault="005259F6" w:rsidP="00E14102">
            <w:pPr>
              <w:jc w:val="both"/>
              <w:rPr>
                <w:color w:val="000000" w:themeColor="text1"/>
                <w:sz w:val="16"/>
                <w:szCs w:val="16"/>
              </w:rPr>
            </w:pPr>
            <w:r w:rsidRPr="00E14102">
              <w:rPr>
                <w:color w:val="000000" w:themeColor="text1"/>
                <w:sz w:val="16"/>
                <w:szCs w:val="16"/>
              </w:rPr>
              <w:t>полета (час)</w:t>
            </w:r>
          </w:p>
        </w:tc>
        <w:tc>
          <w:tcPr>
            <w:tcW w:w="1127" w:type="dxa"/>
            <w:shd w:val="clear" w:color="auto" w:fill="FFFFFF"/>
          </w:tcPr>
          <w:p w14:paraId="5B715110" w14:textId="77777777" w:rsidR="005259F6" w:rsidRPr="00E14102" w:rsidRDefault="005259F6" w:rsidP="00E14102">
            <w:pPr>
              <w:jc w:val="both"/>
              <w:rPr>
                <w:color w:val="000000" w:themeColor="text1"/>
                <w:sz w:val="16"/>
                <w:szCs w:val="16"/>
              </w:rPr>
            </w:pPr>
            <w:r w:rsidRPr="00E14102">
              <w:rPr>
                <w:color w:val="000000" w:themeColor="text1"/>
                <w:sz w:val="16"/>
                <w:szCs w:val="16"/>
              </w:rPr>
              <w:t>2,5(3,0)</w:t>
            </w:r>
          </w:p>
        </w:tc>
      </w:tr>
    </w:tbl>
    <w:p w14:paraId="1972D5F3" w14:textId="77777777" w:rsidR="005259F6" w:rsidRPr="00E14102" w:rsidRDefault="005259F6" w:rsidP="00E14102">
      <w:pPr>
        <w:jc w:val="both"/>
        <w:rPr>
          <w:color w:val="000000" w:themeColor="text1"/>
          <w:sz w:val="16"/>
          <w:szCs w:val="16"/>
        </w:rPr>
      </w:pPr>
      <w:r w:rsidRPr="00E14102">
        <w:rPr>
          <w:color w:val="000000" w:themeColor="text1"/>
          <w:sz w:val="16"/>
          <w:szCs w:val="16"/>
        </w:rPr>
        <w:t>(12301)</w:t>
      </w:r>
    </w:p>
    <w:p w14:paraId="65869B4C" w14:textId="77777777" w:rsidR="005259F6" w:rsidRPr="00E14102" w:rsidRDefault="005259F6" w:rsidP="00E14102">
      <w:pPr>
        <w:jc w:val="both"/>
        <w:rPr>
          <w:color w:val="000000" w:themeColor="text1"/>
          <w:sz w:val="16"/>
          <w:szCs w:val="16"/>
        </w:rPr>
      </w:pPr>
    </w:p>
    <w:p w14:paraId="7800B282" w14:textId="77777777" w:rsidR="005D773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DCD27C0" w14:textId="77777777" w:rsidR="005D7732" w:rsidRPr="00E14102" w:rsidRDefault="005D7732" w:rsidP="00E14102">
      <w:pPr>
        <w:autoSpaceDE w:val="0"/>
        <w:autoSpaceDN w:val="0"/>
        <w:adjustRightInd w:val="0"/>
        <w:jc w:val="both"/>
        <w:rPr>
          <w:iCs/>
          <w:color w:val="000000" w:themeColor="text1"/>
          <w:sz w:val="16"/>
          <w:szCs w:val="16"/>
        </w:rPr>
      </w:pPr>
    </w:p>
    <w:p w14:paraId="527ADAC6" w14:textId="77777777" w:rsidR="005D7732" w:rsidRPr="00E14102" w:rsidRDefault="005D7732" w:rsidP="00E14102">
      <w:pPr>
        <w:jc w:val="both"/>
        <w:rPr>
          <w:rStyle w:val="a6"/>
          <w:i w:val="0"/>
          <w:color w:val="000000" w:themeColor="text1"/>
          <w:sz w:val="16"/>
          <w:szCs w:val="16"/>
        </w:rPr>
      </w:pPr>
      <w:r w:rsidRPr="00E14102">
        <w:rPr>
          <w:rStyle w:val="a6"/>
          <w:i w:val="0"/>
          <w:color w:val="000000" w:themeColor="text1"/>
          <w:sz w:val="16"/>
          <w:szCs w:val="16"/>
        </w:rPr>
        <w:t xml:space="preserve">4 января 1935 г. </w:t>
      </w:r>
      <w:r w:rsidRPr="00E14102">
        <w:rPr>
          <w:color w:val="000000" w:themeColor="text1"/>
          <w:sz w:val="16"/>
          <w:szCs w:val="16"/>
        </w:rPr>
        <w:t>Рапорт руководства Кировского государственного машиностроительного и металлургического завода секретарю ЦК ВКП(б) И. В. Сталину об освоении производства танка Т-28¹*</w:t>
      </w:r>
    </w:p>
    <w:p w14:paraId="4E27B898" w14:textId="77777777" w:rsidR="005D7732" w:rsidRPr="00E14102" w:rsidRDefault="005D7732" w:rsidP="00E14102">
      <w:pPr>
        <w:jc w:val="both"/>
        <w:rPr>
          <w:color w:val="000000" w:themeColor="text1"/>
          <w:sz w:val="16"/>
          <w:szCs w:val="16"/>
        </w:rPr>
      </w:pPr>
      <w:r w:rsidRPr="00E14102">
        <w:rPr>
          <w:rStyle w:val="a6"/>
          <w:i w:val="0"/>
          <w:color w:val="000000" w:themeColor="text1"/>
          <w:sz w:val="16"/>
          <w:szCs w:val="16"/>
        </w:rPr>
        <w:t>Секретно.</w:t>
      </w:r>
    </w:p>
    <w:p w14:paraId="64E170D0" w14:textId="77777777" w:rsidR="005D7732" w:rsidRPr="00E14102" w:rsidRDefault="005D7732" w:rsidP="00E14102">
      <w:pPr>
        <w:pStyle w:val="rtejustify"/>
        <w:spacing w:before="0" w:after="0"/>
        <w:rPr>
          <w:color w:val="000000" w:themeColor="text1"/>
          <w:sz w:val="16"/>
          <w:szCs w:val="16"/>
        </w:rPr>
      </w:pPr>
      <w:r w:rsidRPr="00E14102">
        <w:rPr>
          <w:color w:val="000000" w:themeColor="text1"/>
          <w:sz w:val="16"/>
          <w:szCs w:val="16"/>
        </w:rPr>
        <w:t>К началу 1935 г. Кировский завод подвел итог двухлетней напряженной борьбы за освоение производства среднего танка Т</w:t>
      </w:r>
      <w:r w:rsidRPr="00E14102">
        <w:rPr>
          <w:color w:val="000000" w:themeColor="text1"/>
          <w:sz w:val="16"/>
          <w:szCs w:val="16"/>
        </w:rPr>
        <w:noBreakHyphen/>
        <w:t>28. Завод полностью выполнил план 1934 г., выпустив 51 машину при программном задании в 50 машин. Освоение машины осложнялось необходимостью улучшать конструкцию машины в процессе производства. Для обеспечения взаимозаменяемости всех основных деталей машины и сокращения цикла производства заводом проделана огромная работа по технологической проработке всей машины, сконструировано и добавлено свыше 1 тыс. приспособлений, 4500 наименований инструмента и т. д. Одновременно значительно сокращена кооперация с другими заводами за счет освоения у себя изготовления наиболее сложных узлов (коробка скоростей, первичная и вторичная передача, главный фрикцион и др.). Собранные машины, выпущенные в откатку, свободны от дефектов, имевшихся ранее. Аварии стали редким исключением.</w:t>
      </w:r>
    </w:p>
    <w:p w14:paraId="37B1D459" w14:textId="77777777" w:rsidR="005D7732" w:rsidRPr="00E14102" w:rsidRDefault="005D7732" w:rsidP="00E14102">
      <w:pPr>
        <w:pStyle w:val="rtejustify"/>
        <w:spacing w:before="0" w:after="0"/>
        <w:rPr>
          <w:color w:val="000000" w:themeColor="text1"/>
          <w:sz w:val="16"/>
          <w:szCs w:val="16"/>
        </w:rPr>
      </w:pPr>
      <w:r w:rsidRPr="00E14102">
        <w:rPr>
          <w:color w:val="000000" w:themeColor="text1"/>
          <w:sz w:val="16"/>
          <w:szCs w:val="16"/>
        </w:rPr>
        <w:t>Испытания машин на маневрах осенью 1934 г. показали блестящие тактические свойства таковых. В отношении проходимости они значительно превысили первоначальные данные; так, например, вместо рва шириной в 3 м она прыжком перекрывала ров в 6,6 м. На маневрах было установлено, что противотанковые средства, активные в отношении легких танков, и даже усиленные по сравнению с ними, не могут служить препятствием для танка Т</w:t>
      </w:r>
      <w:r w:rsidRPr="00E14102">
        <w:rPr>
          <w:color w:val="000000" w:themeColor="text1"/>
          <w:sz w:val="16"/>
          <w:szCs w:val="16"/>
        </w:rPr>
        <w:noBreakHyphen/>
        <w:t>28.</w:t>
      </w:r>
    </w:p>
    <w:p w14:paraId="3C2C2CAE" w14:textId="77777777" w:rsidR="005D7732" w:rsidRPr="00E14102" w:rsidRDefault="005D7732" w:rsidP="00E14102">
      <w:pPr>
        <w:pStyle w:val="rtejustify"/>
        <w:spacing w:before="0" w:after="0"/>
        <w:rPr>
          <w:color w:val="000000" w:themeColor="text1"/>
          <w:sz w:val="16"/>
          <w:szCs w:val="16"/>
        </w:rPr>
      </w:pPr>
      <w:r w:rsidRPr="00E14102">
        <w:rPr>
          <w:color w:val="000000" w:themeColor="text1"/>
          <w:sz w:val="16"/>
          <w:szCs w:val="16"/>
        </w:rPr>
        <w:t>В результате наших мероприятий на заводе создана база для серийного производства танка Т</w:t>
      </w:r>
      <w:r w:rsidRPr="00E14102">
        <w:rPr>
          <w:color w:val="000000" w:themeColor="text1"/>
          <w:sz w:val="16"/>
          <w:szCs w:val="16"/>
        </w:rPr>
        <w:noBreakHyphen/>
        <w:t>28 в пределах, требуемых мобилизационным планом завода. Всех этих успехов мы добились осуществлением на практике указаний т. Сталина по освоению техники и выращиванию людей. Кировский завод гордится тем, что ему удалось сделать столь ценный вклад в дело обороноспособности нашей могучей Красной армии.</w:t>
      </w:r>
    </w:p>
    <w:p w14:paraId="05BADA98" w14:textId="77777777" w:rsidR="005D7732" w:rsidRPr="00E14102" w:rsidRDefault="005D7732"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Директор завода Отс</w:t>
      </w:r>
    </w:p>
    <w:p w14:paraId="6C60A25A" w14:textId="77777777" w:rsidR="005D7732" w:rsidRPr="00E14102" w:rsidRDefault="005D7732"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Секретарь парткома Тютин</w:t>
      </w:r>
    </w:p>
    <w:p w14:paraId="52414C2F" w14:textId="77777777" w:rsidR="005D7732" w:rsidRPr="00E14102" w:rsidRDefault="005D7732"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Председатель завкома Подрезов</w:t>
      </w:r>
    </w:p>
    <w:p w14:paraId="2E1479B9" w14:textId="77777777" w:rsidR="005D7732" w:rsidRPr="00E14102" w:rsidRDefault="005D7732"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Примечание</w:t>
      </w:r>
      <w:r w:rsidRPr="00E14102">
        <w:rPr>
          <w:rFonts w:ascii="Times New Roman" w:hAnsi="Times New Roman" w:cs="Times New Roman"/>
          <w:color w:val="000000" w:themeColor="text1"/>
          <w:sz w:val="16"/>
          <w:szCs w:val="16"/>
          <w:lang w:val="ru-RU"/>
        </w:rPr>
        <w:t>:</w:t>
      </w:r>
    </w:p>
    <w:p w14:paraId="628E6F18" w14:textId="77777777" w:rsidR="005D7732" w:rsidRPr="00E14102" w:rsidRDefault="005D7732" w:rsidP="00E14102">
      <w:pPr>
        <w:pStyle w:val="rtejustify"/>
        <w:spacing w:before="0" w:after="0"/>
        <w:rPr>
          <w:color w:val="000000" w:themeColor="text1"/>
          <w:sz w:val="16"/>
          <w:szCs w:val="16"/>
        </w:rPr>
      </w:pPr>
      <w:r w:rsidRPr="00E14102">
        <w:rPr>
          <w:color w:val="000000" w:themeColor="text1"/>
          <w:sz w:val="16"/>
          <w:szCs w:val="16"/>
        </w:rPr>
        <w:t>¹* Копии направлены наркому тяжелой промышленности С. Орджоникидзе, наркому обороны К. Е. Ворошилову, первому секретарю Ленинградского областного и городского комитета ВКП(б) А. А. Жданову.</w:t>
      </w:r>
    </w:p>
    <w:p w14:paraId="0D48D11A" w14:textId="77777777" w:rsidR="005D7732" w:rsidRPr="00E14102" w:rsidRDefault="005D7732"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РГВА. Ф. 31811. Оп. 3. Д. 413. Л. 10-10 об. Заверенная копия (15327).</w:t>
      </w:r>
    </w:p>
    <w:p w14:paraId="3D8A7CB5" w14:textId="77777777" w:rsidR="005D7732" w:rsidRPr="00E14102" w:rsidRDefault="005D7732" w:rsidP="00E14102">
      <w:pPr>
        <w:pStyle w:val="rtejustify"/>
        <w:spacing w:before="0" w:after="0"/>
        <w:rPr>
          <w:rStyle w:val="a6"/>
          <w:bCs/>
          <w:i w:val="0"/>
          <w:color w:val="000000" w:themeColor="text1"/>
          <w:sz w:val="16"/>
          <w:szCs w:val="16"/>
        </w:rPr>
      </w:pPr>
    </w:p>
    <w:p w14:paraId="04DEF051" w14:textId="77777777" w:rsidR="005D7732" w:rsidRPr="00E14102" w:rsidRDefault="005D7732" w:rsidP="00E14102">
      <w:pPr>
        <w:pStyle w:val="rtejustify"/>
        <w:spacing w:before="0" w:after="0"/>
        <w:rPr>
          <w:color w:val="000000" w:themeColor="text1"/>
          <w:sz w:val="16"/>
          <w:szCs w:val="16"/>
        </w:rPr>
      </w:pPr>
      <w:r w:rsidRPr="00E14102">
        <w:rPr>
          <w:rStyle w:val="a6"/>
          <w:bCs/>
          <w:i w:val="0"/>
          <w:color w:val="000000" w:themeColor="text1"/>
          <w:sz w:val="16"/>
          <w:szCs w:val="16"/>
        </w:rPr>
        <w:t>4</w:t>
      </w:r>
      <w:r w:rsidRPr="00E14102">
        <w:rPr>
          <w:rStyle w:val="a6"/>
          <w:bCs/>
          <w:i w:val="0"/>
          <w:color w:val="000000" w:themeColor="text1"/>
          <w:sz w:val="16"/>
          <w:szCs w:val="16"/>
        </w:rPr>
        <w:noBreakHyphen/>
        <w:t>30 января</w:t>
      </w:r>
      <w:r w:rsidRPr="00E14102">
        <w:rPr>
          <w:color w:val="000000" w:themeColor="text1"/>
          <w:sz w:val="16"/>
          <w:szCs w:val="16"/>
        </w:rPr>
        <w:t>1935 Решение Политбюро № 20. 2. О едином государственном бюджете на 1935 г. (ПБ от 4 января 1935 г.). 57. О заказах в Италии (ПБ от 16 января 1935 г.). — ОП. 69. О членах Военного совета при наркоме обороны (ПБ от 16 января 1935 г.). 102. О производстве дизельмоторов (ПБ от 21 января 1935 г.). 129. Вопрос Ворошилова (о закупке военной техники за рубежом) (ПБ от 26 января 1935 г.). — ОП. (Политбюро ЦК РКП(б)-ВКП(Б). Повестки дня заседаний. 1919</w:t>
      </w:r>
      <w:r w:rsidRPr="00E14102">
        <w:rPr>
          <w:color w:val="000000" w:themeColor="text1"/>
          <w:sz w:val="16"/>
          <w:szCs w:val="16"/>
        </w:rPr>
        <w:noBreakHyphen/>
        <w:t>1952: Каталог / Т. 2. С. 619, 620, 621; РГАСПИ. Ф. 17. Оп. 162. Д. 17. Л. 119, 126) (15462).</w:t>
      </w:r>
    </w:p>
    <w:p w14:paraId="77B60E9E" w14:textId="77777777" w:rsidR="005D7732" w:rsidRPr="00E14102" w:rsidRDefault="005D7732" w:rsidP="00E14102">
      <w:pPr>
        <w:pStyle w:val="rtejustify"/>
        <w:spacing w:before="0" w:after="0"/>
        <w:rPr>
          <w:color w:val="000000" w:themeColor="text1"/>
          <w:sz w:val="16"/>
          <w:szCs w:val="16"/>
        </w:rPr>
      </w:pPr>
    </w:p>
    <w:p w14:paraId="1E5BB046" w14:textId="77777777" w:rsidR="005D7732" w:rsidRPr="00E14102" w:rsidRDefault="005D7732" w:rsidP="00E14102">
      <w:pPr>
        <w:pStyle w:val="rtejustify"/>
        <w:spacing w:before="0" w:after="0"/>
        <w:rPr>
          <w:color w:val="000000" w:themeColor="text1"/>
          <w:sz w:val="16"/>
          <w:szCs w:val="16"/>
        </w:rPr>
      </w:pPr>
      <w:r w:rsidRPr="00E14102">
        <w:rPr>
          <w:rStyle w:val="a6"/>
          <w:bCs/>
          <w:i w:val="0"/>
          <w:color w:val="000000" w:themeColor="text1"/>
          <w:sz w:val="16"/>
          <w:szCs w:val="16"/>
        </w:rPr>
        <w:t>4 января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1с «Об установлении срока окончания строительства первой очереди Прожекторного завода». (ГА РФ. Ф. Р</w:t>
      </w:r>
      <w:r w:rsidRPr="00E14102">
        <w:rPr>
          <w:color w:val="000000" w:themeColor="text1"/>
          <w:sz w:val="16"/>
          <w:szCs w:val="16"/>
        </w:rPr>
        <w:noBreakHyphen/>
        <w:t>8418. Оп. 28. Д. 6. Л. 1) (15460).</w:t>
      </w:r>
    </w:p>
    <w:p w14:paraId="3E861E0F" w14:textId="77777777" w:rsidR="005D7732" w:rsidRPr="00E14102" w:rsidRDefault="005D7732" w:rsidP="00E14102">
      <w:pPr>
        <w:pStyle w:val="rtejustify"/>
        <w:spacing w:before="0" w:after="0"/>
        <w:rPr>
          <w:color w:val="000000" w:themeColor="text1"/>
          <w:sz w:val="16"/>
          <w:szCs w:val="16"/>
        </w:rPr>
      </w:pPr>
    </w:p>
    <w:p w14:paraId="1E2F0CB1" w14:textId="77777777" w:rsidR="00354896" w:rsidRPr="00E14102" w:rsidRDefault="00354896" w:rsidP="00E14102">
      <w:pPr>
        <w:jc w:val="both"/>
        <w:rPr>
          <w:color w:val="0070C0"/>
          <w:sz w:val="16"/>
          <w:szCs w:val="16"/>
        </w:rPr>
      </w:pPr>
      <w:r w:rsidRPr="00E14102">
        <w:rPr>
          <w:color w:val="0070C0"/>
          <w:sz w:val="16"/>
          <w:szCs w:val="16"/>
        </w:rPr>
        <w:t>3 января 1935 состоялось заседание ПБ и подписан протокол № 19</w:t>
      </w:r>
    </w:p>
    <w:p w14:paraId="0E06A271" w14:textId="77777777" w:rsidR="00354896" w:rsidRPr="00E14102" w:rsidRDefault="00354896" w:rsidP="00E14102">
      <w:pPr>
        <w:jc w:val="both"/>
        <w:rPr>
          <w:color w:val="0070C0"/>
          <w:sz w:val="16"/>
          <w:szCs w:val="16"/>
        </w:rPr>
      </w:pPr>
      <w:r w:rsidRPr="00E14102">
        <w:rPr>
          <w:color w:val="0070C0"/>
          <w:sz w:val="16"/>
          <w:szCs w:val="16"/>
        </w:rPr>
        <w:t>28 декабря 1934 опросом членов ПБ</w:t>
      </w:r>
    </w:p>
    <w:p w14:paraId="2F928F1C" w14:textId="77777777" w:rsidR="00354896" w:rsidRPr="00E14102" w:rsidRDefault="00354896" w:rsidP="00E14102">
      <w:pPr>
        <w:jc w:val="both"/>
        <w:rPr>
          <w:color w:val="0070C0"/>
          <w:sz w:val="16"/>
          <w:szCs w:val="16"/>
        </w:rPr>
      </w:pPr>
      <w:r w:rsidRPr="00E14102">
        <w:rPr>
          <w:color w:val="0070C0"/>
          <w:sz w:val="16"/>
          <w:szCs w:val="16"/>
        </w:rPr>
        <w:t>8.-О заказах в Германи</w:t>
      </w:r>
    </w:p>
    <w:p w14:paraId="2488F8A5" w14:textId="77777777" w:rsidR="00354896" w:rsidRPr="00E14102" w:rsidRDefault="00354896" w:rsidP="00E14102">
      <w:pPr>
        <w:jc w:val="both"/>
        <w:rPr>
          <w:color w:val="0070C0"/>
          <w:sz w:val="16"/>
          <w:szCs w:val="16"/>
        </w:rPr>
      </w:pPr>
      <w:r w:rsidRPr="00E14102">
        <w:rPr>
          <w:color w:val="0070C0"/>
          <w:sz w:val="16"/>
          <w:szCs w:val="16"/>
        </w:rPr>
        <w:t>а) Утвердить прилагаемую при сем номенклатуру списка товаров для предполагаемого к заключению с немцами кредит</w:t>
      </w:r>
      <w:r w:rsidRPr="00E14102">
        <w:rPr>
          <w:color w:val="0070C0"/>
          <w:sz w:val="16"/>
          <w:szCs w:val="16"/>
        </w:rPr>
        <w:softHyphen/>
        <w:t>ного соглашения на 200 млн. марок.</w:t>
      </w:r>
    </w:p>
    <w:p w14:paraId="35B792C1" w14:textId="77777777" w:rsidR="00354896" w:rsidRPr="00E14102" w:rsidRDefault="00354896" w:rsidP="00E14102">
      <w:pPr>
        <w:jc w:val="both"/>
        <w:rPr>
          <w:color w:val="0070C0"/>
          <w:sz w:val="16"/>
          <w:szCs w:val="16"/>
        </w:rPr>
      </w:pPr>
      <w:r w:rsidRPr="00E14102">
        <w:rPr>
          <w:color w:val="0070C0"/>
          <w:sz w:val="16"/>
          <w:szCs w:val="16"/>
        </w:rPr>
        <w:t>ПРИЛОЖЕНИЕ</w:t>
      </w:r>
    </w:p>
    <w:p w14:paraId="5E85D485" w14:textId="77777777" w:rsidR="00354896" w:rsidRPr="00E14102" w:rsidRDefault="00354896" w:rsidP="00E14102">
      <w:pPr>
        <w:jc w:val="both"/>
        <w:rPr>
          <w:color w:val="0070C0"/>
          <w:sz w:val="16"/>
          <w:szCs w:val="16"/>
        </w:rPr>
      </w:pPr>
      <w:r w:rsidRPr="00E14102">
        <w:rPr>
          <w:color w:val="0070C0"/>
          <w:sz w:val="16"/>
          <w:szCs w:val="16"/>
        </w:rPr>
        <w:t>к п.8(о.п.) по. ПБ № 19 от 28.ХП.1934г.</w:t>
      </w:r>
    </w:p>
    <w:p w14:paraId="4F36ED6C" w14:textId="77777777" w:rsidR="00354896" w:rsidRPr="00E14102" w:rsidRDefault="00354896" w:rsidP="00E14102">
      <w:pPr>
        <w:jc w:val="both"/>
        <w:rPr>
          <w:color w:val="0070C0"/>
          <w:sz w:val="16"/>
          <w:szCs w:val="16"/>
        </w:rPr>
      </w:pPr>
      <w:r w:rsidRPr="00E14102">
        <w:rPr>
          <w:color w:val="0070C0"/>
          <w:sz w:val="16"/>
          <w:szCs w:val="16"/>
        </w:rPr>
        <w:t>ОСНОВНАЯ НОМЕНКЛАТУРА ОБОРУДОВАНИЯ. ПОДЛЕЖАЩЕГО ЗАКАЗУ В ГЕРМАНИИ В СЧЕТ КРЕДИТА в 200 млн. МАРОК.</w:t>
      </w:r>
    </w:p>
    <w:p w14:paraId="093F32C9" w14:textId="77777777" w:rsidR="00354896" w:rsidRPr="00E14102" w:rsidRDefault="00354896" w:rsidP="00E14102">
      <w:pPr>
        <w:jc w:val="both"/>
        <w:rPr>
          <w:color w:val="0070C0"/>
          <w:sz w:val="16"/>
          <w:szCs w:val="16"/>
        </w:rPr>
      </w:pPr>
      <w:r w:rsidRPr="00E14102">
        <w:rPr>
          <w:color w:val="0070C0"/>
          <w:sz w:val="16"/>
          <w:szCs w:val="16"/>
        </w:rPr>
        <w:t>1. Оборудование для паровозостроительных, вагоностроительных и других заводов транспортного машиностроения.</w:t>
      </w:r>
    </w:p>
    <w:p w14:paraId="588C07BC" w14:textId="77777777" w:rsidR="00354896" w:rsidRPr="00E14102" w:rsidRDefault="00354896" w:rsidP="00E14102">
      <w:pPr>
        <w:jc w:val="both"/>
        <w:rPr>
          <w:color w:val="0070C0"/>
          <w:sz w:val="16"/>
          <w:szCs w:val="16"/>
        </w:rPr>
      </w:pPr>
      <w:r w:rsidRPr="00E14102">
        <w:rPr>
          <w:color w:val="0070C0"/>
          <w:sz w:val="16"/>
          <w:szCs w:val="16"/>
        </w:rPr>
        <w:t>2. Комплектная установка по ректификации пирогазов.</w:t>
      </w:r>
    </w:p>
    <w:p w14:paraId="0F11926A" w14:textId="77777777" w:rsidR="00354896" w:rsidRPr="00E14102" w:rsidRDefault="00354896" w:rsidP="00E14102">
      <w:pPr>
        <w:jc w:val="both"/>
        <w:rPr>
          <w:color w:val="0070C0"/>
          <w:sz w:val="16"/>
          <w:szCs w:val="16"/>
        </w:rPr>
      </w:pPr>
      <w:r w:rsidRPr="00E14102">
        <w:rPr>
          <w:color w:val="0070C0"/>
          <w:sz w:val="16"/>
          <w:szCs w:val="16"/>
        </w:rPr>
        <w:t>3. Установка для получения изопропилового спирта.</w:t>
      </w:r>
    </w:p>
    <w:p w14:paraId="302A9B30" w14:textId="77777777" w:rsidR="00354896" w:rsidRPr="00E14102" w:rsidRDefault="00354896" w:rsidP="00E14102">
      <w:pPr>
        <w:jc w:val="both"/>
        <w:rPr>
          <w:color w:val="0070C0"/>
          <w:sz w:val="16"/>
          <w:szCs w:val="16"/>
        </w:rPr>
      </w:pPr>
      <w:r w:rsidRPr="00E14102">
        <w:rPr>
          <w:color w:val="0070C0"/>
          <w:sz w:val="16"/>
          <w:szCs w:val="16"/>
        </w:rPr>
        <w:t>4. Установка для получения этилен-глйколя.</w:t>
      </w:r>
    </w:p>
    <w:p w14:paraId="6D90607E" w14:textId="77777777" w:rsidR="00354896" w:rsidRPr="00E14102" w:rsidRDefault="00354896" w:rsidP="00E14102">
      <w:pPr>
        <w:jc w:val="both"/>
        <w:rPr>
          <w:color w:val="0070C0"/>
          <w:sz w:val="16"/>
          <w:szCs w:val="16"/>
        </w:rPr>
      </w:pPr>
      <w:r w:rsidRPr="00E14102">
        <w:rPr>
          <w:color w:val="0070C0"/>
          <w:sz w:val="16"/>
          <w:szCs w:val="16"/>
        </w:rPr>
        <w:t>По всем этим об"актам при покупке обо</w:t>
      </w:r>
      <w:r w:rsidRPr="00E14102">
        <w:rPr>
          <w:color w:val="0070C0"/>
          <w:sz w:val="16"/>
          <w:szCs w:val="16"/>
        </w:rPr>
        <w:softHyphen/>
        <w:t>рудования фирмы должны его смонти</w:t>
      </w:r>
      <w:r w:rsidRPr="00E14102">
        <w:rPr>
          <w:color w:val="0070C0"/>
          <w:sz w:val="16"/>
          <w:szCs w:val="16"/>
        </w:rPr>
        <w:softHyphen/>
        <w:t>ровать, пус</w:t>
      </w:r>
      <w:r w:rsidRPr="00E14102">
        <w:rPr>
          <w:color w:val="0070C0"/>
          <w:sz w:val="16"/>
          <w:szCs w:val="16"/>
        </w:rPr>
        <w:softHyphen/>
        <w:t>тить, нал а- дить произ</w:t>
      </w:r>
      <w:r w:rsidRPr="00E14102">
        <w:rPr>
          <w:color w:val="0070C0"/>
          <w:sz w:val="16"/>
          <w:szCs w:val="16"/>
        </w:rPr>
        <w:softHyphen/>
        <w:t>водство, а также пере</w:t>
      </w:r>
      <w:r w:rsidRPr="00E14102">
        <w:rPr>
          <w:color w:val="0070C0"/>
          <w:sz w:val="16"/>
          <w:szCs w:val="16"/>
        </w:rPr>
        <w:softHyphen/>
        <w:t>дать нам тех</w:t>
      </w:r>
      <w:r w:rsidRPr="00E14102">
        <w:rPr>
          <w:color w:val="0070C0"/>
          <w:sz w:val="16"/>
          <w:szCs w:val="16"/>
        </w:rPr>
        <w:softHyphen/>
        <w:t>нологический процесс.</w:t>
      </w:r>
    </w:p>
    <w:p w14:paraId="56D2BCBB" w14:textId="77777777" w:rsidR="00354896" w:rsidRPr="00E14102" w:rsidRDefault="00354896" w:rsidP="00E14102">
      <w:pPr>
        <w:jc w:val="both"/>
        <w:rPr>
          <w:color w:val="0070C0"/>
          <w:sz w:val="16"/>
          <w:szCs w:val="16"/>
        </w:rPr>
      </w:pPr>
      <w:r w:rsidRPr="00E14102">
        <w:rPr>
          <w:color w:val="0070C0"/>
          <w:sz w:val="16"/>
          <w:szCs w:val="16"/>
        </w:rPr>
        <w:t>5. Полузаводская установка для получения иприта по методу Поппа.</w:t>
      </w:r>
    </w:p>
    <w:p w14:paraId="6D9F2E9E" w14:textId="77777777" w:rsidR="00354896" w:rsidRPr="00E14102" w:rsidRDefault="00354896" w:rsidP="00E14102">
      <w:pPr>
        <w:jc w:val="both"/>
        <w:rPr>
          <w:color w:val="0070C0"/>
          <w:sz w:val="16"/>
          <w:szCs w:val="16"/>
        </w:rPr>
      </w:pPr>
      <w:r w:rsidRPr="00E14102">
        <w:rPr>
          <w:color w:val="0070C0"/>
          <w:sz w:val="16"/>
          <w:szCs w:val="16"/>
        </w:rPr>
        <w:t>6. Полузаводская установка по получении имприта через дихлорид серы.</w:t>
      </w:r>
    </w:p>
    <w:p w14:paraId="0ECC57B1" w14:textId="77777777" w:rsidR="00354896" w:rsidRPr="00E14102" w:rsidRDefault="00354896" w:rsidP="00E14102">
      <w:pPr>
        <w:jc w:val="both"/>
        <w:rPr>
          <w:color w:val="0070C0"/>
          <w:sz w:val="16"/>
          <w:szCs w:val="16"/>
        </w:rPr>
      </w:pPr>
      <w:r w:rsidRPr="00E14102">
        <w:rPr>
          <w:color w:val="0070C0"/>
          <w:sz w:val="16"/>
          <w:szCs w:val="16"/>
        </w:rPr>
        <w:t>7. Установка по получению иприта по методу Жайепа.</w:t>
      </w:r>
    </w:p>
    <w:p w14:paraId="504CD12E" w14:textId="77777777" w:rsidR="00354896" w:rsidRPr="00E14102" w:rsidRDefault="00354896" w:rsidP="00E14102">
      <w:pPr>
        <w:jc w:val="both"/>
        <w:rPr>
          <w:color w:val="0070C0"/>
          <w:sz w:val="16"/>
          <w:szCs w:val="16"/>
        </w:rPr>
      </w:pPr>
      <w:r w:rsidRPr="00E14102">
        <w:rPr>
          <w:color w:val="0070C0"/>
          <w:sz w:val="16"/>
          <w:szCs w:val="16"/>
        </w:rPr>
        <w:t>8. Полузаводская установка по перегонке Левенштеиновского иприта.</w:t>
      </w:r>
    </w:p>
    <w:p w14:paraId="2E01AE2D" w14:textId="77777777" w:rsidR="00354896" w:rsidRPr="00E14102" w:rsidRDefault="00354896" w:rsidP="00E14102">
      <w:pPr>
        <w:jc w:val="both"/>
        <w:rPr>
          <w:color w:val="0070C0"/>
          <w:sz w:val="16"/>
          <w:szCs w:val="16"/>
        </w:rPr>
      </w:pPr>
      <w:r w:rsidRPr="00E14102">
        <w:rPr>
          <w:color w:val="0070C0"/>
          <w:sz w:val="16"/>
          <w:szCs w:val="16"/>
        </w:rPr>
        <w:t>9. Полузаводская установка ио получению дифосгена.</w:t>
      </w:r>
    </w:p>
    <w:p w14:paraId="1183AD5F" w14:textId="77777777" w:rsidR="00354896" w:rsidRPr="00E14102" w:rsidRDefault="00354896" w:rsidP="00E14102">
      <w:pPr>
        <w:jc w:val="both"/>
        <w:rPr>
          <w:color w:val="0070C0"/>
          <w:sz w:val="16"/>
          <w:szCs w:val="16"/>
        </w:rPr>
      </w:pPr>
      <w:r w:rsidRPr="00E14102">
        <w:rPr>
          <w:color w:val="0070C0"/>
          <w:sz w:val="16"/>
          <w:szCs w:val="16"/>
        </w:rPr>
        <w:t>10. Установка но получению тетраэтил-свинца.</w:t>
      </w:r>
    </w:p>
    <w:p w14:paraId="039ED1C2" w14:textId="77777777" w:rsidR="00354896" w:rsidRPr="00E14102" w:rsidRDefault="00354896" w:rsidP="00E14102">
      <w:pPr>
        <w:jc w:val="both"/>
        <w:rPr>
          <w:color w:val="0070C0"/>
          <w:sz w:val="16"/>
          <w:szCs w:val="16"/>
        </w:rPr>
      </w:pPr>
      <w:r w:rsidRPr="00E14102">
        <w:rPr>
          <w:color w:val="0070C0"/>
          <w:sz w:val="16"/>
          <w:szCs w:val="16"/>
        </w:rPr>
        <w:t>11. Полузаводская установка по получению адамсита.</w:t>
      </w:r>
    </w:p>
    <w:p w14:paraId="7EE1B473" w14:textId="77777777" w:rsidR="00354896" w:rsidRPr="00E14102" w:rsidRDefault="00354896" w:rsidP="00E14102">
      <w:pPr>
        <w:jc w:val="both"/>
        <w:rPr>
          <w:color w:val="0070C0"/>
          <w:sz w:val="16"/>
          <w:szCs w:val="16"/>
        </w:rPr>
      </w:pPr>
      <w:r w:rsidRPr="00E14102">
        <w:rPr>
          <w:color w:val="0070C0"/>
          <w:sz w:val="16"/>
          <w:szCs w:val="16"/>
        </w:rPr>
        <w:t>12. Установка но получению карбоннлжелеза.</w:t>
      </w:r>
    </w:p>
    <w:p w14:paraId="33D489BA" w14:textId="77777777" w:rsidR="00354896" w:rsidRPr="00E14102" w:rsidRDefault="00354896" w:rsidP="00E14102">
      <w:pPr>
        <w:jc w:val="both"/>
        <w:rPr>
          <w:color w:val="0070C0"/>
          <w:sz w:val="16"/>
          <w:szCs w:val="16"/>
        </w:rPr>
      </w:pPr>
      <w:r w:rsidRPr="00E14102">
        <w:rPr>
          <w:color w:val="0070C0"/>
          <w:sz w:val="16"/>
          <w:szCs w:val="16"/>
        </w:rPr>
        <w:t>13. Полузаводская установка для получения люизита.</w:t>
      </w:r>
    </w:p>
    <w:p w14:paraId="7BB47869" w14:textId="77777777" w:rsidR="00354896" w:rsidRPr="00E14102" w:rsidRDefault="00354896" w:rsidP="00E14102">
      <w:pPr>
        <w:jc w:val="both"/>
        <w:rPr>
          <w:color w:val="0070C0"/>
          <w:sz w:val="16"/>
          <w:szCs w:val="16"/>
        </w:rPr>
      </w:pPr>
      <w:r w:rsidRPr="00E14102">
        <w:rPr>
          <w:color w:val="0070C0"/>
          <w:sz w:val="16"/>
          <w:szCs w:val="16"/>
        </w:rPr>
        <w:t>14. Полузаводская установка для получения безводной синильной кидлоты.</w:t>
      </w:r>
    </w:p>
    <w:p w14:paraId="557C5E29" w14:textId="77777777" w:rsidR="00354896" w:rsidRPr="00E14102" w:rsidRDefault="00354896" w:rsidP="00E14102">
      <w:pPr>
        <w:jc w:val="both"/>
        <w:rPr>
          <w:color w:val="0070C0"/>
          <w:sz w:val="16"/>
          <w:szCs w:val="16"/>
        </w:rPr>
      </w:pPr>
      <w:r w:rsidRPr="00E14102">
        <w:rPr>
          <w:color w:val="0070C0"/>
          <w:sz w:val="16"/>
          <w:szCs w:val="16"/>
        </w:rPr>
        <w:t>15. Установка для получения фосгена.</w:t>
      </w:r>
    </w:p>
    <w:p w14:paraId="1F353B37" w14:textId="77777777" w:rsidR="00354896" w:rsidRPr="00E14102" w:rsidRDefault="00354896" w:rsidP="00E14102">
      <w:pPr>
        <w:jc w:val="both"/>
        <w:rPr>
          <w:color w:val="0070C0"/>
          <w:sz w:val="16"/>
          <w:szCs w:val="16"/>
        </w:rPr>
      </w:pPr>
      <w:r w:rsidRPr="00E14102">
        <w:rPr>
          <w:color w:val="0070C0"/>
          <w:sz w:val="16"/>
          <w:szCs w:val="16"/>
        </w:rPr>
        <w:t>16. Установка для получения компримированного водорода</w:t>
      </w:r>
    </w:p>
    <w:p w14:paraId="582D6B2B" w14:textId="77777777" w:rsidR="00354896" w:rsidRPr="00E14102" w:rsidRDefault="00354896" w:rsidP="00E14102">
      <w:pPr>
        <w:jc w:val="both"/>
        <w:rPr>
          <w:color w:val="0070C0"/>
          <w:sz w:val="16"/>
          <w:szCs w:val="16"/>
        </w:rPr>
      </w:pPr>
      <w:r w:rsidRPr="00E14102">
        <w:rPr>
          <w:color w:val="0070C0"/>
          <w:sz w:val="16"/>
          <w:szCs w:val="16"/>
        </w:rPr>
        <w:t>17. Различное оборудование для лесохимических и бу</w:t>
      </w:r>
      <w:r w:rsidRPr="00E14102">
        <w:rPr>
          <w:color w:val="0070C0"/>
          <w:sz w:val="16"/>
          <w:szCs w:val="16"/>
        </w:rPr>
        <w:softHyphen/>
        <w:t>мажных производств ь том числе:</w:t>
      </w:r>
    </w:p>
    <w:p w14:paraId="617547AE" w14:textId="77777777" w:rsidR="00354896" w:rsidRPr="00E14102" w:rsidRDefault="00354896" w:rsidP="00E14102">
      <w:pPr>
        <w:jc w:val="both"/>
        <w:rPr>
          <w:color w:val="0070C0"/>
          <w:sz w:val="16"/>
          <w:szCs w:val="16"/>
        </w:rPr>
      </w:pPr>
      <w:r w:rsidRPr="00E14102">
        <w:rPr>
          <w:color w:val="0070C0"/>
          <w:sz w:val="16"/>
          <w:szCs w:val="16"/>
        </w:rPr>
        <w:t>фильтры Гейгера</w:t>
      </w:r>
    </w:p>
    <w:p w14:paraId="6B4BD01A" w14:textId="77777777" w:rsidR="00354896" w:rsidRPr="00E14102" w:rsidRDefault="00354896" w:rsidP="00E14102">
      <w:pPr>
        <w:jc w:val="both"/>
        <w:rPr>
          <w:color w:val="0070C0"/>
          <w:sz w:val="16"/>
          <w:szCs w:val="16"/>
        </w:rPr>
      </w:pPr>
      <w:r w:rsidRPr="00E14102">
        <w:rPr>
          <w:color w:val="0070C0"/>
          <w:sz w:val="16"/>
          <w:szCs w:val="16"/>
        </w:rPr>
        <w:t>Циркуляционное устройство Землечерпательные снаряди Рулонные станки Запарные аппараты Плавильные печи</w:t>
      </w:r>
    </w:p>
    <w:p w14:paraId="567B52E1" w14:textId="77777777" w:rsidR="00354896" w:rsidRPr="00E14102" w:rsidRDefault="00354896" w:rsidP="00E14102">
      <w:pPr>
        <w:jc w:val="both"/>
        <w:rPr>
          <w:color w:val="0070C0"/>
          <w:sz w:val="16"/>
          <w:szCs w:val="16"/>
        </w:rPr>
      </w:pPr>
      <w:r w:rsidRPr="00E14102">
        <w:rPr>
          <w:color w:val="0070C0"/>
          <w:sz w:val="16"/>
          <w:szCs w:val="16"/>
        </w:rPr>
        <w:t>Пресетпаты</w:t>
      </w:r>
    </w:p>
    <w:p w14:paraId="54276F0F" w14:textId="77777777" w:rsidR="00354896" w:rsidRPr="00E14102" w:rsidRDefault="00354896" w:rsidP="00E14102">
      <w:pPr>
        <w:jc w:val="both"/>
        <w:rPr>
          <w:color w:val="0070C0"/>
          <w:sz w:val="16"/>
          <w:szCs w:val="16"/>
        </w:rPr>
      </w:pPr>
      <w:r w:rsidRPr="00E14102">
        <w:rPr>
          <w:color w:val="0070C0"/>
          <w:sz w:val="16"/>
          <w:szCs w:val="16"/>
        </w:rPr>
        <w:lastRenderedPageBreak/>
        <w:t>Арматура кислотоупорная</w:t>
      </w:r>
    </w:p>
    <w:p w14:paraId="07DC6CD1" w14:textId="77777777" w:rsidR="00354896" w:rsidRPr="00E14102" w:rsidRDefault="00354896" w:rsidP="00E14102">
      <w:pPr>
        <w:jc w:val="both"/>
        <w:rPr>
          <w:color w:val="0070C0"/>
          <w:sz w:val="16"/>
          <w:szCs w:val="16"/>
        </w:rPr>
      </w:pPr>
      <w:r w:rsidRPr="00E14102">
        <w:rPr>
          <w:color w:val="0070C0"/>
          <w:sz w:val="16"/>
          <w:szCs w:val="16"/>
        </w:rPr>
        <w:t>Оборудов. для изгот. Пергамина</w:t>
      </w:r>
    </w:p>
    <w:p w14:paraId="2E4743A7" w14:textId="77777777" w:rsidR="00354896" w:rsidRPr="00E14102" w:rsidRDefault="00354896" w:rsidP="00E14102">
      <w:pPr>
        <w:jc w:val="both"/>
        <w:rPr>
          <w:color w:val="0070C0"/>
          <w:sz w:val="16"/>
          <w:szCs w:val="16"/>
        </w:rPr>
      </w:pPr>
      <w:r w:rsidRPr="00E14102">
        <w:rPr>
          <w:color w:val="0070C0"/>
          <w:sz w:val="16"/>
          <w:szCs w:val="16"/>
        </w:rPr>
        <w:t>Обооудов. для фанерн. произв. и друг.</w:t>
      </w:r>
    </w:p>
    <w:p w14:paraId="7EFB1A35" w14:textId="77777777" w:rsidR="00354896" w:rsidRPr="00E14102" w:rsidRDefault="00354896" w:rsidP="00E14102">
      <w:pPr>
        <w:jc w:val="both"/>
        <w:rPr>
          <w:color w:val="0070C0"/>
          <w:sz w:val="16"/>
          <w:szCs w:val="16"/>
        </w:rPr>
      </w:pPr>
      <w:r w:rsidRPr="00E14102">
        <w:rPr>
          <w:color w:val="0070C0"/>
          <w:sz w:val="16"/>
          <w:szCs w:val="16"/>
        </w:rPr>
        <w:t>18. Турбины но 45 тыс.лот.сил и дп. с вспомогательными механизмами для эскадренных миноносцев (фирма Деши- маг).</w:t>
      </w:r>
    </w:p>
    <w:p w14:paraId="02295A78" w14:textId="77777777" w:rsidR="00354896" w:rsidRPr="00E14102" w:rsidRDefault="00354896" w:rsidP="00E14102">
      <w:pPr>
        <w:jc w:val="both"/>
        <w:rPr>
          <w:color w:val="0070C0"/>
          <w:sz w:val="16"/>
          <w:szCs w:val="16"/>
        </w:rPr>
      </w:pPr>
      <w:r w:rsidRPr="00E14102">
        <w:rPr>
          <w:color w:val="0070C0"/>
          <w:sz w:val="16"/>
          <w:szCs w:val="16"/>
        </w:rPr>
        <w:t>19. Различные приборы и приспособления для испытания но</w:t>
      </w:r>
      <w:r w:rsidRPr="00E14102">
        <w:rPr>
          <w:color w:val="0070C0"/>
          <w:sz w:val="16"/>
          <w:szCs w:val="16"/>
        </w:rPr>
        <w:softHyphen/>
        <w:t>вых образцов самолетов и авиамоторов.</w:t>
      </w:r>
    </w:p>
    <w:p w14:paraId="078060C6" w14:textId="77777777" w:rsidR="00354896" w:rsidRPr="00E14102" w:rsidRDefault="00354896" w:rsidP="00E14102">
      <w:pPr>
        <w:jc w:val="both"/>
        <w:rPr>
          <w:color w:val="0070C0"/>
          <w:sz w:val="16"/>
          <w:szCs w:val="16"/>
        </w:rPr>
      </w:pPr>
      <w:r w:rsidRPr="00E14102">
        <w:rPr>
          <w:color w:val="0070C0"/>
          <w:sz w:val="16"/>
          <w:szCs w:val="16"/>
        </w:rPr>
        <w:t>20. Прицелы для высотного торпедометапия.</w:t>
      </w:r>
    </w:p>
    <w:p w14:paraId="630D41BB" w14:textId="77777777" w:rsidR="00354896" w:rsidRPr="00E14102" w:rsidRDefault="00354896" w:rsidP="00E14102">
      <w:pPr>
        <w:jc w:val="both"/>
        <w:rPr>
          <w:color w:val="0070C0"/>
          <w:sz w:val="16"/>
          <w:szCs w:val="16"/>
        </w:rPr>
      </w:pPr>
      <w:r w:rsidRPr="00E14102">
        <w:rPr>
          <w:color w:val="0070C0"/>
          <w:sz w:val="16"/>
          <w:szCs w:val="16"/>
        </w:rPr>
        <w:t>21. Танковые перископические прицелы.</w:t>
      </w:r>
    </w:p>
    <w:p w14:paraId="0E9F7D71" w14:textId="77777777" w:rsidR="00354896" w:rsidRPr="00E14102" w:rsidRDefault="00354896" w:rsidP="00E14102">
      <w:pPr>
        <w:jc w:val="both"/>
        <w:rPr>
          <w:color w:val="0070C0"/>
          <w:sz w:val="16"/>
          <w:szCs w:val="16"/>
        </w:rPr>
      </w:pPr>
      <w:r w:rsidRPr="00E14102">
        <w:rPr>
          <w:color w:val="0070C0"/>
          <w:sz w:val="16"/>
          <w:szCs w:val="16"/>
        </w:rPr>
        <w:t>22. Дальномеры 4-х метровой базы.</w:t>
      </w:r>
    </w:p>
    <w:p w14:paraId="179C0C6E" w14:textId="77777777" w:rsidR="00354896" w:rsidRPr="00E14102" w:rsidRDefault="00354896" w:rsidP="00E14102">
      <w:pPr>
        <w:jc w:val="both"/>
        <w:rPr>
          <w:color w:val="0070C0"/>
          <w:sz w:val="16"/>
          <w:szCs w:val="16"/>
        </w:rPr>
      </w:pPr>
      <w:r w:rsidRPr="00E14102">
        <w:rPr>
          <w:color w:val="0070C0"/>
          <w:sz w:val="16"/>
          <w:szCs w:val="16"/>
        </w:rPr>
        <w:t>23. То х е 3-х метровой базы.</w:t>
      </w:r>
    </w:p>
    <w:p w14:paraId="58958A29" w14:textId="77777777" w:rsidR="00354896" w:rsidRPr="00E14102" w:rsidRDefault="00354896" w:rsidP="00E14102">
      <w:pPr>
        <w:jc w:val="both"/>
        <w:rPr>
          <w:color w:val="0070C0"/>
          <w:sz w:val="16"/>
          <w:szCs w:val="16"/>
        </w:rPr>
      </w:pPr>
      <w:r w:rsidRPr="00E14102">
        <w:rPr>
          <w:color w:val="0070C0"/>
          <w:sz w:val="16"/>
          <w:szCs w:val="16"/>
        </w:rPr>
        <w:t>24. Перископы 9-ти метровые.</w:t>
      </w:r>
    </w:p>
    <w:p w14:paraId="7BE23B8E" w14:textId="77777777" w:rsidR="00354896" w:rsidRPr="00E14102" w:rsidRDefault="00354896" w:rsidP="00E14102">
      <w:pPr>
        <w:jc w:val="both"/>
        <w:rPr>
          <w:color w:val="0070C0"/>
          <w:sz w:val="16"/>
          <w:szCs w:val="16"/>
        </w:rPr>
      </w:pPr>
      <w:r w:rsidRPr="00E14102">
        <w:rPr>
          <w:color w:val="0070C0"/>
          <w:sz w:val="16"/>
          <w:szCs w:val="16"/>
        </w:rPr>
        <w:t>25. Многооб"ективнне фотокамеры.</w:t>
      </w:r>
    </w:p>
    <w:p w14:paraId="3113AFAC" w14:textId="77777777" w:rsidR="00354896" w:rsidRPr="00E14102" w:rsidRDefault="00354896" w:rsidP="00E14102">
      <w:pPr>
        <w:jc w:val="both"/>
        <w:rPr>
          <w:color w:val="0070C0"/>
          <w:sz w:val="16"/>
          <w:szCs w:val="16"/>
        </w:rPr>
      </w:pPr>
      <w:r w:rsidRPr="00E14102">
        <w:rPr>
          <w:color w:val="0070C0"/>
          <w:sz w:val="16"/>
          <w:szCs w:val="16"/>
        </w:rPr>
        <w:t>26. Отражатели к зенитным прожекторам.</w:t>
      </w:r>
    </w:p>
    <w:p w14:paraId="5B472157" w14:textId="77777777" w:rsidR="00354896" w:rsidRPr="00E14102" w:rsidRDefault="00354896" w:rsidP="00E14102">
      <w:pPr>
        <w:jc w:val="both"/>
        <w:rPr>
          <w:color w:val="0070C0"/>
          <w:sz w:val="16"/>
          <w:szCs w:val="16"/>
        </w:rPr>
      </w:pPr>
      <w:r w:rsidRPr="00E14102">
        <w:rPr>
          <w:color w:val="0070C0"/>
          <w:sz w:val="16"/>
          <w:szCs w:val="16"/>
        </w:rPr>
        <w:t>27. Пеленгаторы коротковолновые и шумовые и приборы связи</w:t>
      </w:r>
    </w:p>
    <w:p w14:paraId="52D6E7DD" w14:textId="77777777" w:rsidR="00354896" w:rsidRPr="00E14102" w:rsidRDefault="00354896" w:rsidP="00E14102">
      <w:pPr>
        <w:jc w:val="both"/>
        <w:rPr>
          <w:color w:val="0070C0"/>
          <w:sz w:val="16"/>
          <w:szCs w:val="16"/>
        </w:rPr>
      </w:pPr>
      <w:r w:rsidRPr="00E14102">
        <w:rPr>
          <w:color w:val="0070C0"/>
          <w:sz w:val="16"/>
          <w:szCs w:val="16"/>
        </w:rPr>
        <w:t>28. Авиамоторы системы Юнкерса Л-88 800 л.с. с трехступенчатнм нагнетателем, с высотностью до 10-12 тыс. метров.</w:t>
      </w:r>
    </w:p>
    <w:p w14:paraId="1989DA49" w14:textId="77777777" w:rsidR="00354896" w:rsidRPr="00E14102" w:rsidRDefault="00354896" w:rsidP="00E14102">
      <w:pPr>
        <w:jc w:val="both"/>
        <w:rPr>
          <w:color w:val="0070C0"/>
          <w:sz w:val="16"/>
          <w:szCs w:val="16"/>
        </w:rPr>
      </w:pPr>
      <w:r w:rsidRPr="00E14102">
        <w:rPr>
          <w:color w:val="0070C0"/>
          <w:sz w:val="16"/>
          <w:szCs w:val="16"/>
        </w:rPr>
        <w:t>29. Агрегаты для специальных судов (на 2 единицы):</w:t>
      </w:r>
    </w:p>
    <w:p w14:paraId="5887E38E" w14:textId="77777777" w:rsidR="00354896" w:rsidRPr="00E14102" w:rsidRDefault="00354896" w:rsidP="00E14102">
      <w:pPr>
        <w:jc w:val="both"/>
        <w:rPr>
          <w:color w:val="0070C0"/>
          <w:sz w:val="16"/>
          <w:szCs w:val="16"/>
        </w:rPr>
      </w:pPr>
      <w:r w:rsidRPr="00E14102">
        <w:rPr>
          <w:color w:val="0070C0"/>
          <w:sz w:val="16"/>
          <w:szCs w:val="16"/>
        </w:rPr>
        <w:t>Главные двигатели Дизеля</w:t>
      </w:r>
    </w:p>
    <w:p w14:paraId="7031B1E6" w14:textId="77777777" w:rsidR="00354896" w:rsidRPr="00E14102" w:rsidRDefault="00354896" w:rsidP="00E14102">
      <w:pPr>
        <w:jc w:val="both"/>
        <w:rPr>
          <w:color w:val="0070C0"/>
          <w:sz w:val="16"/>
          <w:szCs w:val="16"/>
        </w:rPr>
      </w:pPr>
      <w:r w:rsidRPr="00E14102">
        <w:rPr>
          <w:color w:val="0070C0"/>
          <w:sz w:val="16"/>
          <w:szCs w:val="16"/>
        </w:rPr>
        <w:t>Главные распределители станции</w:t>
      </w:r>
    </w:p>
    <w:p w14:paraId="3D82B34D" w14:textId="77777777" w:rsidR="00354896" w:rsidRPr="00E14102" w:rsidRDefault="00354896" w:rsidP="00E14102">
      <w:pPr>
        <w:jc w:val="both"/>
        <w:rPr>
          <w:color w:val="0070C0"/>
          <w:sz w:val="16"/>
          <w:szCs w:val="16"/>
        </w:rPr>
      </w:pPr>
      <w:r w:rsidRPr="00E14102">
        <w:rPr>
          <w:color w:val="0070C0"/>
          <w:sz w:val="16"/>
          <w:szCs w:val="16"/>
        </w:rPr>
        <w:t>Аккумуляторная батарея (на 1 ед.)</w:t>
      </w:r>
    </w:p>
    <w:p w14:paraId="5A25566E" w14:textId="77777777" w:rsidR="00354896" w:rsidRPr="00E14102" w:rsidRDefault="00354896" w:rsidP="00E14102">
      <w:pPr>
        <w:jc w:val="both"/>
        <w:rPr>
          <w:color w:val="0070C0"/>
          <w:sz w:val="16"/>
          <w:szCs w:val="16"/>
        </w:rPr>
      </w:pPr>
      <w:r w:rsidRPr="00E14102">
        <w:rPr>
          <w:color w:val="0070C0"/>
          <w:sz w:val="16"/>
          <w:szCs w:val="16"/>
        </w:rPr>
        <w:t>Главные трюмовые насосы</w:t>
      </w:r>
    </w:p>
    <w:p w14:paraId="6571A269" w14:textId="77777777" w:rsidR="00354896" w:rsidRPr="00E14102" w:rsidRDefault="00354896" w:rsidP="00E14102">
      <w:pPr>
        <w:jc w:val="both"/>
        <w:rPr>
          <w:color w:val="0070C0"/>
          <w:sz w:val="16"/>
          <w:szCs w:val="16"/>
        </w:rPr>
      </w:pPr>
      <w:r w:rsidRPr="00E14102">
        <w:rPr>
          <w:color w:val="0070C0"/>
          <w:sz w:val="16"/>
          <w:szCs w:val="16"/>
        </w:rPr>
        <w:t>Вспомогательнне насосы</w:t>
      </w:r>
    </w:p>
    <w:p w14:paraId="537077ED" w14:textId="77777777" w:rsidR="00354896" w:rsidRPr="00E14102" w:rsidRDefault="00354896" w:rsidP="00E14102">
      <w:pPr>
        <w:jc w:val="both"/>
        <w:rPr>
          <w:color w:val="0070C0"/>
          <w:sz w:val="16"/>
          <w:szCs w:val="16"/>
        </w:rPr>
      </w:pPr>
      <w:r w:rsidRPr="00E14102">
        <w:rPr>
          <w:color w:val="0070C0"/>
          <w:sz w:val="16"/>
          <w:szCs w:val="16"/>
        </w:rPr>
        <w:t>Разрежающие насосы</w:t>
      </w:r>
    </w:p>
    <w:p w14:paraId="1CB59A83" w14:textId="77777777" w:rsidR="00354896" w:rsidRPr="00E14102" w:rsidRDefault="00354896" w:rsidP="00E14102">
      <w:pPr>
        <w:jc w:val="both"/>
        <w:rPr>
          <w:color w:val="0070C0"/>
          <w:sz w:val="16"/>
          <w:szCs w:val="16"/>
        </w:rPr>
      </w:pPr>
      <w:r w:rsidRPr="00E14102">
        <w:rPr>
          <w:color w:val="0070C0"/>
          <w:sz w:val="16"/>
          <w:szCs w:val="16"/>
        </w:rPr>
        <w:t>Муфты Вамага</w:t>
      </w:r>
    </w:p>
    <w:p w14:paraId="7DF55E24" w14:textId="77777777" w:rsidR="00354896" w:rsidRPr="00E14102" w:rsidRDefault="00354896" w:rsidP="00E14102">
      <w:pPr>
        <w:jc w:val="both"/>
        <w:rPr>
          <w:color w:val="0070C0"/>
          <w:sz w:val="16"/>
          <w:szCs w:val="16"/>
        </w:rPr>
      </w:pPr>
      <w:r w:rsidRPr="00E14102">
        <w:rPr>
          <w:color w:val="0070C0"/>
          <w:sz w:val="16"/>
          <w:szCs w:val="16"/>
        </w:rPr>
        <w:t>Рулевые приводи</w:t>
      </w:r>
    </w:p>
    <w:p w14:paraId="49298104" w14:textId="77777777" w:rsidR="00354896" w:rsidRPr="00E14102" w:rsidRDefault="00354896" w:rsidP="00E14102">
      <w:pPr>
        <w:jc w:val="both"/>
        <w:rPr>
          <w:color w:val="0070C0"/>
          <w:sz w:val="16"/>
          <w:szCs w:val="16"/>
        </w:rPr>
      </w:pPr>
      <w:r w:rsidRPr="00E14102">
        <w:rPr>
          <w:color w:val="0070C0"/>
          <w:sz w:val="16"/>
          <w:szCs w:val="16"/>
        </w:rPr>
        <w:t>Эхолоты</w:t>
      </w:r>
    </w:p>
    <w:p w14:paraId="58474CB2" w14:textId="77777777" w:rsidR="00354896" w:rsidRPr="00E14102" w:rsidRDefault="00354896" w:rsidP="00E14102">
      <w:pPr>
        <w:jc w:val="both"/>
        <w:rPr>
          <w:color w:val="0070C0"/>
          <w:sz w:val="16"/>
          <w:szCs w:val="16"/>
        </w:rPr>
      </w:pPr>
      <w:r w:rsidRPr="00E14102">
        <w:rPr>
          <w:color w:val="0070C0"/>
          <w:sz w:val="16"/>
          <w:szCs w:val="16"/>
        </w:rPr>
        <w:t>Баллоны сжатого воздух</w:t>
      </w:r>
    </w:p>
    <w:p w14:paraId="42562520" w14:textId="77777777" w:rsidR="00354896" w:rsidRPr="00E14102" w:rsidRDefault="00354896" w:rsidP="00E14102">
      <w:pPr>
        <w:jc w:val="both"/>
        <w:rPr>
          <w:color w:val="0070C0"/>
          <w:sz w:val="16"/>
          <w:szCs w:val="16"/>
        </w:rPr>
      </w:pPr>
      <w:r w:rsidRPr="00E14102">
        <w:rPr>
          <w:color w:val="0070C0"/>
          <w:sz w:val="16"/>
          <w:szCs w:val="16"/>
        </w:rPr>
        <w:t>Компрессора высокого давления</w:t>
      </w:r>
    </w:p>
    <w:p w14:paraId="7DDB1C01" w14:textId="77777777" w:rsidR="00354896" w:rsidRPr="00E14102" w:rsidRDefault="00354896" w:rsidP="00E14102">
      <w:pPr>
        <w:jc w:val="both"/>
        <w:rPr>
          <w:color w:val="0070C0"/>
          <w:sz w:val="16"/>
          <w:szCs w:val="16"/>
        </w:rPr>
      </w:pPr>
      <w:r w:rsidRPr="00E14102">
        <w:rPr>
          <w:color w:val="0070C0"/>
          <w:sz w:val="16"/>
          <w:szCs w:val="16"/>
        </w:rPr>
        <w:t>Регенерация.</w:t>
      </w:r>
    </w:p>
    <w:p w14:paraId="59CE5B55" w14:textId="77777777" w:rsidR="00354896" w:rsidRPr="00E14102" w:rsidRDefault="00354896" w:rsidP="00E14102">
      <w:pPr>
        <w:jc w:val="both"/>
        <w:rPr>
          <w:color w:val="0070C0"/>
          <w:sz w:val="16"/>
          <w:szCs w:val="16"/>
        </w:rPr>
      </w:pPr>
      <w:r w:rsidRPr="00E14102">
        <w:rPr>
          <w:color w:val="0070C0"/>
          <w:sz w:val="16"/>
          <w:szCs w:val="16"/>
        </w:rPr>
        <w:t>30. Авиационные фотоаппараты.</w:t>
      </w:r>
    </w:p>
    <w:p w14:paraId="5C92A737" w14:textId="77777777" w:rsidR="00354896" w:rsidRPr="00E14102" w:rsidRDefault="00354896" w:rsidP="00E14102">
      <w:pPr>
        <w:jc w:val="both"/>
        <w:rPr>
          <w:color w:val="0070C0"/>
          <w:sz w:val="16"/>
          <w:szCs w:val="16"/>
        </w:rPr>
      </w:pPr>
      <w:r w:rsidRPr="00E14102">
        <w:rPr>
          <w:color w:val="0070C0"/>
          <w:sz w:val="16"/>
          <w:szCs w:val="16"/>
        </w:rPr>
        <w:t>31. Передвижные рельсоукладочные установки.</w:t>
      </w:r>
    </w:p>
    <w:p w14:paraId="0125D2EF" w14:textId="77777777" w:rsidR="00354896" w:rsidRPr="00E14102" w:rsidRDefault="00354896" w:rsidP="00E14102">
      <w:pPr>
        <w:jc w:val="both"/>
        <w:rPr>
          <w:color w:val="0070C0"/>
          <w:sz w:val="16"/>
          <w:szCs w:val="16"/>
        </w:rPr>
      </w:pPr>
      <w:r w:rsidRPr="00E14102">
        <w:rPr>
          <w:color w:val="0070C0"/>
          <w:sz w:val="16"/>
          <w:szCs w:val="16"/>
        </w:rPr>
        <w:t>32. Оборудование для производства фотоэлементов.</w:t>
      </w:r>
    </w:p>
    <w:p w14:paraId="2319C828" w14:textId="77777777" w:rsidR="00354896" w:rsidRPr="00E14102" w:rsidRDefault="00354896" w:rsidP="00E14102">
      <w:pPr>
        <w:jc w:val="both"/>
        <w:rPr>
          <w:color w:val="0070C0"/>
          <w:sz w:val="16"/>
          <w:szCs w:val="16"/>
        </w:rPr>
      </w:pPr>
      <w:r w:rsidRPr="00E14102">
        <w:rPr>
          <w:color w:val="0070C0"/>
          <w:sz w:val="16"/>
          <w:szCs w:val="16"/>
        </w:rPr>
        <w:t>33. Металлический магний.</w:t>
      </w:r>
    </w:p>
    <w:p w14:paraId="2F207C40" w14:textId="77777777" w:rsidR="00354896" w:rsidRPr="00E14102" w:rsidRDefault="00354896" w:rsidP="00E14102">
      <w:pPr>
        <w:jc w:val="both"/>
        <w:rPr>
          <w:color w:val="0070C0"/>
          <w:sz w:val="16"/>
          <w:szCs w:val="16"/>
        </w:rPr>
      </w:pPr>
      <w:r w:rsidRPr="00E14102">
        <w:rPr>
          <w:color w:val="0070C0"/>
          <w:sz w:val="16"/>
          <w:szCs w:val="16"/>
        </w:rPr>
        <w:t>34. Полное оборудование для завода аммиака на бедных уг</w:t>
      </w:r>
      <w:r w:rsidRPr="00E14102">
        <w:rPr>
          <w:color w:val="0070C0"/>
          <w:sz w:val="16"/>
          <w:szCs w:val="16"/>
        </w:rPr>
        <w:softHyphen/>
        <w:t>лях без коксования, на 500 тонн аммиака в день, с мон</w:t>
      </w:r>
      <w:r w:rsidRPr="00E14102">
        <w:rPr>
          <w:color w:val="0070C0"/>
          <w:sz w:val="16"/>
          <w:szCs w:val="16"/>
        </w:rPr>
        <w:softHyphen/>
        <w:t>тажом, пуском, наладкой и получением технологического процесса.</w:t>
      </w:r>
    </w:p>
    <w:p w14:paraId="0C4B80CD" w14:textId="77777777" w:rsidR="00354896" w:rsidRPr="00E14102" w:rsidRDefault="00354896" w:rsidP="00E14102">
      <w:pPr>
        <w:jc w:val="both"/>
        <w:rPr>
          <w:color w:val="0070C0"/>
          <w:sz w:val="16"/>
          <w:szCs w:val="16"/>
        </w:rPr>
      </w:pPr>
      <w:r w:rsidRPr="00E14102">
        <w:rPr>
          <w:color w:val="0070C0"/>
          <w:sz w:val="16"/>
          <w:szCs w:val="16"/>
        </w:rPr>
        <w:t>35. Ванны для гидролиза воды.</w:t>
      </w:r>
    </w:p>
    <w:p w14:paraId="4798F6A0" w14:textId="77777777" w:rsidR="00354896" w:rsidRPr="00E14102" w:rsidRDefault="00354896" w:rsidP="00E14102">
      <w:pPr>
        <w:jc w:val="both"/>
        <w:rPr>
          <w:color w:val="0070C0"/>
          <w:sz w:val="16"/>
          <w:szCs w:val="16"/>
        </w:rPr>
      </w:pPr>
      <w:r w:rsidRPr="00E14102">
        <w:rPr>
          <w:color w:val="0070C0"/>
          <w:sz w:val="16"/>
          <w:szCs w:val="16"/>
        </w:rPr>
        <w:t>36. Станки для изготовления ленты холодной прокатки.</w:t>
      </w:r>
    </w:p>
    <w:p w14:paraId="523A3885" w14:textId="77777777" w:rsidR="00354896" w:rsidRPr="00E14102" w:rsidRDefault="00354896" w:rsidP="00E14102">
      <w:pPr>
        <w:jc w:val="both"/>
        <w:rPr>
          <w:color w:val="0070C0"/>
          <w:sz w:val="16"/>
          <w:szCs w:val="16"/>
        </w:rPr>
      </w:pPr>
      <w:r w:rsidRPr="00E14102">
        <w:rPr>
          <w:color w:val="0070C0"/>
          <w:sz w:val="16"/>
          <w:szCs w:val="16"/>
        </w:rPr>
        <w:t>37. Установки для сжижения угля на 200 тыс.тонн бензи</w:t>
      </w:r>
      <w:r w:rsidRPr="00E14102">
        <w:rPr>
          <w:color w:val="0070C0"/>
          <w:sz w:val="16"/>
          <w:szCs w:val="16"/>
        </w:rPr>
        <w:softHyphen/>
        <w:t>на, с монтажем, пуском, наладкой и получением тех</w:t>
      </w:r>
      <w:r w:rsidRPr="00E14102">
        <w:rPr>
          <w:color w:val="0070C0"/>
          <w:sz w:val="16"/>
          <w:szCs w:val="16"/>
        </w:rPr>
        <w:softHyphen/>
        <w:t>нологического процесса.</w:t>
      </w:r>
    </w:p>
    <w:p w14:paraId="1E972720" w14:textId="77777777" w:rsidR="00354896" w:rsidRPr="00E14102" w:rsidRDefault="00354896" w:rsidP="00E14102">
      <w:pPr>
        <w:jc w:val="both"/>
        <w:rPr>
          <w:color w:val="0070C0"/>
          <w:sz w:val="16"/>
          <w:szCs w:val="16"/>
        </w:rPr>
      </w:pPr>
      <w:r w:rsidRPr="00E14102">
        <w:rPr>
          <w:color w:val="0070C0"/>
          <w:sz w:val="16"/>
          <w:szCs w:val="16"/>
        </w:rPr>
        <w:t>38. Полная установка для производства металлического магния на 1000 тонн в год с пуском, наладкой и полу</w:t>
      </w:r>
      <w:r w:rsidRPr="00E14102">
        <w:rPr>
          <w:color w:val="0070C0"/>
          <w:sz w:val="16"/>
          <w:szCs w:val="16"/>
        </w:rPr>
        <w:softHyphen/>
        <w:t>чением технологического процесса.</w:t>
      </w:r>
    </w:p>
    <w:p w14:paraId="27C4C42D" w14:textId="77777777" w:rsidR="00354896" w:rsidRPr="00E14102" w:rsidRDefault="00354896" w:rsidP="00E14102">
      <w:pPr>
        <w:jc w:val="both"/>
        <w:rPr>
          <w:color w:val="0070C0"/>
          <w:sz w:val="16"/>
          <w:szCs w:val="16"/>
        </w:rPr>
      </w:pPr>
      <w:r w:rsidRPr="00E14102">
        <w:rPr>
          <w:color w:val="0070C0"/>
          <w:sz w:val="16"/>
          <w:szCs w:val="16"/>
        </w:rPr>
        <w:t>39. Установка для производства брома на 1.000тонн в год, с пуском, наладкой и получ. технолгическ. процесса.</w:t>
      </w:r>
    </w:p>
    <w:p w14:paraId="42A6CC1D" w14:textId="77777777" w:rsidR="00354896" w:rsidRPr="00E14102" w:rsidRDefault="00354896" w:rsidP="00E14102">
      <w:pPr>
        <w:jc w:val="both"/>
        <w:rPr>
          <w:color w:val="0070C0"/>
          <w:sz w:val="16"/>
          <w:szCs w:val="16"/>
        </w:rPr>
      </w:pPr>
      <w:r w:rsidRPr="00E14102">
        <w:rPr>
          <w:color w:val="0070C0"/>
          <w:sz w:val="16"/>
          <w:szCs w:val="16"/>
        </w:rPr>
        <w:t>40. Оборудование для производства гелия с пуском,налад</w:t>
      </w:r>
      <w:r w:rsidRPr="00E14102">
        <w:rPr>
          <w:color w:val="0070C0"/>
          <w:sz w:val="16"/>
          <w:szCs w:val="16"/>
        </w:rPr>
        <w:softHyphen/>
        <w:t>кой и получением всех производственных данных.</w:t>
      </w:r>
    </w:p>
    <w:p w14:paraId="13F13F3E" w14:textId="77777777" w:rsidR="00354896" w:rsidRPr="00E14102" w:rsidRDefault="00354896" w:rsidP="00E14102">
      <w:pPr>
        <w:jc w:val="both"/>
        <w:rPr>
          <w:color w:val="0070C0"/>
          <w:sz w:val="16"/>
          <w:szCs w:val="16"/>
        </w:rPr>
      </w:pPr>
      <w:r w:rsidRPr="00E14102">
        <w:rPr>
          <w:color w:val="0070C0"/>
          <w:sz w:val="16"/>
          <w:szCs w:val="16"/>
        </w:rPr>
        <w:t>41. Оборудование для производства пружин.</w:t>
      </w:r>
    </w:p>
    <w:p w14:paraId="2913E4AC" w14:textId="77777777" w:rsidR="00354896" w:rsidRPr="00E14102" w:rsidRDefault="00354896" w:rsidP="00E14102">
      <w:pPr>
        <w:jc w:val="both"/>
        <w:rPr>
          <w:color w:val="0070C0"/>
          <w:sz w:val="16"/>
          <w:szCs w:val="16"/>
        </w:rPr>
      </w:pPr>
      <w:r w:rsidRPr="00E14102">
        <w:rPr>
          <w:color w:val="0070C0"/>
          <w:sz w:val="16"/>
          <w:szCs w:val="16"/>
        </w:rPr>
        <w:t>42. Фото-пленка высокой чувствительности для авиа</w:t>
      </w:r>
      <w:r w:rsidRPr="00E14102">
        <w:rPr>
          <w:color w:val="0070C0"/>
          <w:sz w:val="16"/>
          <w:szCs w:val="16"/>
        </w:rPr>
        <w:softHyphen/>
        <w:t>фотос"емки.</w:t>
      </w:r>
    </w:p>
    <w:p w14:paraId="7B386855" w14:textId="77777777" w:rsidR="00354896" w:rsidRPr="00E14102" w:rsidRDefault="00354896" w:rsidP="00E14102">
      <w:pPr>
        <w:jc w:val="both"/>
        <w:rPr>
          <w:color w:val="0070C0"/>
          <w:sz w:val="16"/>
          <w:szCs w:val="16"/>
        </w:rPr>
      </w:pPr>
      <w:r w:rsidRPr="00E14102">
        <w:rPr>
          <w:color w:val="0070C0"/>
          <w:sz w:val="16"/>
          <w:szCs w:val="16"/>
        </w:rPr>
        <w:t>43. Оборудование для производства фибры.</w:t>
      </w:r>
    </w:p>
    <w:p w14:paraId="3E077A84" w14:textId="77777777" w:rsidR="00354896" w:rsidRPr="00E14102" w:rsidRDefault="00354896" w:rsidP="00E14102">
      <w:pPr>
        <w:jc w:val="both"/>
        <w:rPr>
          <w:color w:val="0070C0"/>
          <w:sz w:val="16"/>
          <w:szCs w:val="16"/>
        </w:rPr>
      </w:pPr>
      <w:r w:rsidRPr="00E14102">
        <w:rPr>
          <w:color w:val="0070C0"/>
          <w:sz w:val="16"/>
          <w:szCs w:val="16"/>
        </w:rPr>
        <w:t>44. Полное оборудование для производства зеркальных отражателей с пуском, наладкой и получением техно</w:t>
      </w:r>
      <w:r w:rsidRPr="00E14102">
        <w:rPr>
          <w:color w:val="0070C0"/>
          <w:sz w:val="16"/>
          <w:szCs w:val="16"/>
        </w:rPr>
        <w:softHyphen/>
        <w:t>логического процесса.</w:t>
      </w:r>
    </w:p>
    <w:p w14:paraId="3FF3FAB0" w14:textId="77777777" w:rsidR="00354896" w:rsidRPr="00E14102" w:rsidRDefault="00354896" w:rsidP="00E14102">
      <w:pPr>
        <w:jc w:val="both"/>
        <w:rPr>
          <w:color w:val="0070C0"/>
          <w:sz w:val="16"/>
          <w:szCs w:val="16"/>
        </w:rPr>
      </w:pPr>
      <w:r w:rsidRPr="00E14102">
        <w:rPr>
          <w:color w:val="0070C0"/>
          <w:sz w:val="16"/>
          <w:szCs w:val="16"/>
        </w:rPr>
        <w:t>45. Полная установка для производства небьющегося стек</w:t>
      </w:r>
      <w:r w:rsidRPr="00E14102">
        <w:rPr>
          <w:color w:val="0070C0"/>
          <w:sz w:val="16"/>
          <w:szCs w:val="16"/>
        </w:rPr>
        <w:softHyphen/>
        <w:t>ла с пуском, наладкой и получением технологического процесса.</w:t>
      </w:r>
    </w:p>
    <w:p w14:paraId="0DE4F886" w14:textId="77777777" w:rsidR="00354896" w:rsidRPr="00E14102" w:rsidRDefault="00354896" w:rsidP="00E14102">
      <w:pPr>
        <w:jc w:val="both"/>
        <w:rPr>
          <w:color w:val="0070C0"/>
          <w:sz w:val="16"/>
          <w:szCs w:val="16"/>
        </w:rPr>
      </w:pPr>
      <w:r w:rsidRPr="00E14102">
        <w:rPr>
          <w:color w:val="0070C0"/>
          <w:sz w:val="16"/>
          <w:szCs w:val="16"/>
        </w:rPr>
        <w:t>46. Автоматы для производства ламповых колб.</w:t>
      </w:r>
    </w:p>
    <w:p w14:paraId="241EE434" w14:textId="77777777" w:rsidR="00354896" w:rsidRPr="00E14102" w:rsidRDefault="00354896" w:rsidP="00E14102">
      <w:pPr>
        <w:jc w:val="both"/>
        <w:rPr>
          <w:color w:val="0070C0"/>
          <w:sz w:val="16"/>
          <w:szCs w:val="16"/>
        </w:rPr>
      </w:pPr>
      <w:r w:rsidRPr="00E14102">
        <w:rPr>
          <w:color w:val="0070C0"/>
          <w:sz w:val="16"/>
          <w:szCs w:val="16"/>
        </w:rPr>
        <w:t>47. Капсюльные станки и автоматы.</w:t>
      </w:r>
    </w:p>
    <w:p w14:paraId="50256938" w14:textId="77777777" w:rsidR="00354896" w:rsidRPr="00E14102" w:rsidRDefault="00354896" w:rsidP="00E14102">
      <w:pPr>
        <w:jc w:val="both"/>
        <w:rPr>
          <w:color w:val="0070C0"/>
          <w:sz w:val="16"/>
          <w:szCs w:val="16"/>
        </w:rPr>
      </w:pPr>
      <w:r w:rsidRPr="00E14102">
        <w:rPr>
          <w:color w:val="0070C0"/>
          <w:sz w:val="16"/>
          <w:szCs w:val="16"/>
        </w:rPr>
        <w:t>48. Оборудование разного рода для нефтяной промышленностн.</w:t>
      </w:r>
    </w:p>
    <w:p w14:paraId="46426A60" w14:textId="77777777" w:rsidR="00354896" w:rsidRPr="00E14102" w:rsidRDefault="00354896" w:rsidP="00E14102">
      <w:pPr>
        <w:jc w:val="both"/>
        <w:rPr>
          <w:color w:val="0070C0"/>
          <w:sz w:val="16"/>
          <w:szCs w:val="16"/>
        </w:rPr>
      </w:pPr>
      <w:r w:rsidRPr="00E14102">
        <w:rPr>
          <w:color w:val="0070C0"/>
          <w:sz w:val="16"/>
          <w:szCs w:val="16"/>
        </w:rPr>
        <w:t>49. Станки для производства редукторов.</w:t>
      </w:r>
    </w:p>
    <w:p w14:paraId="7CF7C754" w14:textId="77777777" w:rsidR="00354896" w:rsidRPr="00E14102" w:rsidRDefault="00354896" w:rsidP="00E14102">
      <w:pPr>
        <w:jc w:val="both"/>
        <w:rPr>
          <w:color w:val="0070C0"/>
          <w:sz w:val="16"/>
          <w:szCs w:val="16"/>
        </w:rPr>
      </w:pPr>
      <w:r w:rsidRPr="00E14102">
        <w:rPr>
          <w:color w:val="0070C0"/>
          <w:sz w:val="16"/>
          <w:szCs w:val="16"/>
        </w:rPr>
        <w:t>50. Крупине станки для отделки коленчатых валов, с ап</w:t>
      </w:r>
      <w:r w:rsidRPr="00E14102">
        <w:rPr>
          <w:color w:val="0070C0"/>
          <w:sz w:val="16"/>
          <w:szCs w:val="16"/>
        </w:rPr>
        <w:softHyphen/>
        <w:t>паратурой и моторами.</w:t>
      </w:r>
    </w:p>
    <w:p w14:paraId="48A6D548" w14:textId="77777777" w:rsidR="00354896" w:rsidRPr="00E14102" w:rsidRDefault="00354896" w:rsidP="00E14102">
      <w:pPr>
        <w:jc w:val="both"/>
        <w:rPr>
          <w:color w:val="0070C0"/>
          <w:sz w:val="16"/>
          <w:szCs w:val="16"/>
        </w:rPr>
      </w:pPr>
      <w:r w:rsidRPr="00E14102">
        <w:rPr>
          <w:color w:val="0070C0"/>
          <w:sz w:val="16"/>
          <w:szCs w:val="16"/>
        </w:rPr>
        <w:t>51. Оборудование-для электро-технической промышленности, в том числе:</w:t>
      </w:r>
    </w:p>
    <w:p w14:paraId="4350F70F" w14:textId="77777777" w:rsidR="00354896" w:rsidRPr="00E14102" w:rsidRDefault="00354896" w:rsidP="00E14102">
      <w:pPr>
        <w:jc w:val="both"/>
        <w:rPr>
          <w:color w:val="0070C0"/>
          <w:sz w:val="16"/>
          <w:szCs w:val="16"/>
        </w:rPr>
      </w:pPr>
      <w:r w:rsidRPr="00E14102">
        <w:rPr>
          <w:color w:val="0070C0"/>
          <w:sz w:val="16"/>
          <w:szCs w:val="16"/>
        </w:rPr>
        <w:t>Автоматы для спиралей</w:t>
      </w:r>
    </w:p>
    <w:p w14:paraId="1422D45E" w14:textId="77777777" w:rsidR="00354896" w:rsidRPr="00E14102" w:rsidRDefault="00354896" w:rsidP="00E14102">
      <w:pPr>
        <w:jc w:val="both"/>
        <w:rPr>
          <w:color w:val="0070C0"/>
          <w:sz w:val="16"/>
          <w:szCs w:val="16"/>
        </w:rPr>
      </w:pPr>
      <w:r w:rsidRPr="00E14102">
        <w:rPr>
          <w:color w:val="0070C0"/>
          <w:sz w:val="16"/>
          <w:szCs w:val="16"/>
        </w:rPr>
        <w:t>" для заливки цоколей</w:t>
      </w:r>
    </w:p>
    <w:p w14:paraId="1739CC6E" w14:textId="77777777" w:rsidR="00354896" w:rsidRPr="00E14102" w:rsidRDefault="00354896" w:rsidP="00E14102">
      <w:pPr>
        <w:jc w:val="both"/>
        <w:rPr>
          <w:color w:val="0070C0"/>
          <w:sz w:val="16"/>
          <w:szCs w:val="16"/>
        </w:rPr>
      </w:pPr>
      <w:r w:rsidRPr="00E14102">
        <w:rPr>
          <w:color w:val="0070C0"/>
          <w:sz w:val="16"/>
          <w:szCs w:val="16"/>
        </w:rPr>
        <w:t>Крючковые автоматы</w:t>
      </w:r>
    </w:p>
    <w:p w14:paraId="1F6446DE" w14:textId="77777777" w:rsidR="00354896" w:rsidRPr="00E14102" w:rsidRDefault="00354896" w:rsidP="00E14102">
      <w:pPr>
        <w:jc w:val="both"/>
        <w:rPr>
          <w:color w:val="0070C0"/>
          <w:sz w:val="16"/>
          <w:szCs w:val="16"/>
        </w:rPr>
      </w:pPr>
      <w:r w:rsidRPr="00E14102">
        <w:rPr>
          <w:color w:val="0070C0"/>
          <w:sz w:val="16"/>
          <w:szCs w:val="16"/>
        </w:rPr>
        <w:t>Автоматы для пайки электродов</w:t>
      </w:r>
    </w:p>
    <w:p w14:paraId="64FF813F" w14:textId="77777777" w:rsidR="00354896" w:rsidRPr="00E14102" w:rsidRDefault="00354896" w:rsidP="00E14102">
      <w:pPr>
        <w:jc w:val="both"/>
        <w:rPr>
          <w:color w:val="0070C0"/>
          <w:sz w:val="16"/>
          <w:szCs w:val="16"/>
        </w:rPr>
      </w:pPr>
      <w:r w:rsidRPr="00E14102">
        <w:rPr>
          <w:color w:val="0070C0"/>
          <w:sz w:val="16"/>
          <w:szCs w:val="16"/>
        </w:rPr>
        <w:t>" для калибровки стали</w:t>
      </w:r>
    </w:p>
    <w:p w14:paraId="390E3C7B" w14:textId="77777777" w:rsidR="00354896" w:rsidRPr="00E14102" w:rsidRDefault="00354896" w:rsidP="00E14102">
      <w:pPr>
        <w:jc w:val="both"/>
        <w:rPr>
          <w:color w:val="0070C0"/>
          <w:sz w:val="16"/>
          <w:szCs w:val="16"/>
        </w:rPr>
      </w:pPr>
      <w:r w:rsidRPr="00E14102">
        <w:rPr>
          <w:color w:val="0070C0"/>
          <w:sz w:val="16"/>
          <w:szCs w:val="16"/>
        </w:rPr>
        <w:t>Вакуумные насосы</w:t>
      </w:r>
    </w:p>
    <w:p w14:paraId="7233186B" w14:textId="77777777" w:rsidR="00354896" w:rsidRPr="00E14102" w:rsidRDefault="00354896" w:rsidP="00E14102">
      <w:pPr>
        <w:jc w:val="both"/>
        <w:rPr>
          <w:color w:val="0070C0"/>
          <w:sz w:val="16"/>
          <w:szCs w:val="16"/>
        </w:rPr>
      </w:pPr>
      <w:r w:rsidRPr="00E14102">
        <w:rPr>
          <w:color w:val="0070C0"/>
          <w:sz w:val="16"/>
          <w:szCs w:val="16"/>
        </w:rPr>
        <w:t>Стан для прокатки вольфрама</w:t>
      </w:r>
    </w:p>
    <w:p w14:paraId="2D3CA3A1" w14:textId="77777777" w:rsidR="00354896" w:rsidRPr="00E14102" w:rsidRDefault="00354896" w:rsidP="00E14102">
      <w:pPr>
        <w:jc w:val="both"/>
        <w:rPr>
          <w:color w:val="0070C0"/>
          <w:sz w:val="16"/>
          <w:szCs w:val="16"/>
        </w:rPr>
      </w:pPr>
      <w:r w:rsidRPr="00E14102">
        <w:rPr>
          <w:color w:val="0070C0"/>
          <w:sz w:val="16"/>
          <w:szCs w:val="16"/>
        </w:rPr>
        <w:t>Машины для упаковки коробок</w:t>
      </w:r>
    </w:p>
    <w:p w14:paraId="0A5E1A8D" w14:textId="77777777" w:rsidR="00354896" w:rsidRPr="00E14102" w:rsidRDefault="00354896" w:rsidP="00E14102">
      <w:pPr>
        <w:jc w:val="both"/>
        <w:rPr>
          <w:color w:val="0070C0"/>
          <w:sz w:val="16"/>
          <w:szCs w:val="16"/>
        </w:rPr>
      </w:pPr>
      <w:r w:rsidRPr="00E14102">
        <w:rPr>
          <w:color w:val="0070C0"/>
          <w:sz w:val="16"/>
          <w:szCs w:val="16"/>
        </w:rPr>
        <w:t>Лабораторное оборудование</w:t>
      </w:r>
    </w:p>
    <w:p w14:paraId="572D5C80" w14:textId="77777777" w:rsidR="00354896" w:rsidRPr="00E14102" w:rsidRDefault="00354896" w:rsidP="00E14102">
      <w:pPr>
        <w:jc w:val="both"/>
        <w:rPr>
          <w:color w:val="0070C0"/>
          <w:sz w:val="16"/>
          <w:szCs w:val="16"/>
        </w:rPr>
      </w:pPr>
      <w:r w:rsidRPr="00E14102">
        <w:rPr>
          <w:color w:val="0070C0"/>
          <w:sz w:val="16"/>
          <w:szCs w:val="16"/>
        </w:rPr>
        <w:t>Колодочные автоматы и друг.</w:t>
      </w:r>
    </w:p>
    <w:p w14:paraId="02428D12" w14:textId="77777777" w:rsidR="00354896" w:rsidRPr="00E14102" w:rsidRDefault="00354896" w:rsidP="00E14102">
      <w:pPr>
        <w:jc w:val="both"/>
        <w:rPr>
          <w:color w:val="0070C0"/>
          <w:sz w:val="16"/>
          <w:szCs w:val="16"/>
        </w:rPr>
      </w:pPr>
      <w:r w:rsidRPr="00E14102">
        <w:rPr>
          <w:color w:val="0070C0"/>
          <w:sz w:val="16"/>
          <w:szCs w:val="16"/>
        </w:rPr>
        <w:t>При заказе обо</w:t>
      </w:r>
      <w:r w:rsidRPr="00E14102">
        <w:rPr>
          <w:color w:val="0070C0"/>
          <w:sz w:val="16"/>
          <w:szCs w:val="16"/>
        </w:rPr>
        <w:softHyphen/>
        <w:t>рудования необ</w:t>
      </w:r>
      <w:r w:rsidRPr="00E14102">
        <w:rPr>
          <w:color w:val="0070C0"/>
          <w:sz w:val="16"/>
          <w:szCs w:val="16"/>
        </w:rPr>
        <w:softHyphen/>
        <w:t>ходимо получить от фирмы "Осрам" технологический процесс производства ламп выше 1000 ватт и ламп газового разряда.</w:t>
      </w:r>
    </w:p>
    <w:p w14:paraId="4E2A9499" w14:textId="77777777" w:rsidR="00354896" w:rsidRPr="00E14102" w:rsidRDefault="00354896" w:rsidP="00E14102">
      <w:pPr>
        <w:jc w:val="both"/>
        <w:rPr>
          <w:color w:val="0070C0"/>
          <w:sz w:val="16"/>
          <w:szCs w:val="16"/>
        </w:rPr>
      </w:pPr>
      <w:r w:rsidRPr="00E14102">
        <w:rPr>
          <w:color w:val="0070C0"/>
          <w:sz w:val="16"/>
          <w:szCs w:val="16"/>
        </w:rPr>
        <w:t>52. Оборудование, аппаратура и лабораторные приборы для производства аэрофото.</w:t>
      </w:r>
    </w:p>
    <w:p w14:paraId="5293A01A" w14:textId="77777777" w:rsidR="00354896" w:rsidRPr="00E14102" w:rsidRDefault="00354896" w:rsidP="00E14102">
      <w:pPr>
        <w:jc w:val="both"/>
        <w:rPr>
          <w:color w:val="0070C0"/>
          <w:sz w:val="16"/>
          <w:szCs w:val="16"/>
        </w:rPr>
      </w:pPr>
      <w:r w:rsidRPr="00E14102">
        <w:rPr>
          <w:color w:val="0070C0"/>
          <w:sz w:val="16"/>
          <w:szCs w:val="16"/>
        </w:rPr>
        <w:t>53. Оборудование и лабораторн. приборы для производства авиаприцелов.</w:t>
      </w:r>
    </w:p>
    <w:p w14:paraId="0471F338" w14:textId="77777777" w:rsidR="00354896" w:rsidRPr="00E14102" w:rsidRDefault="00354896" w:rsidP="00E14102">
      <w:pPr>
        <w:jc w:val="both"/>
        <w:rPr>
          <w:color w:val="0070C0"/>
          <w:sz w:val="16"/>
          <w:szCs w:val="16"/>
        </w:rPr>
      </w:pPr>
      <w:r w:rsidRPr="00E14102">
        <w:rPr>
          <w:color w:val="0070C0"/>
          <w:sz w:val="16"/>
          <w:szCs w:val="16"/>
        </w:rPr>
        <w:t>54. Оборудование и лабораторн. приборы для производства дальномеров.</w:t>
      </w:r>
    </w:p>
    <w:p w14:paraId="228C62CB" w14:textId="77777777" w:rsidR="00354896" w:rsidRPr="00E14102" w:rsidRDefault="00354896" w:rsidP="00E14102">
      <w:pPr>
        <w:jc w:val="both"/>
        <w:rPr>
          <w:color w:val="0070C0"/>
          <w:sz w:val="16"/>
          <w:szCs w:val="16"/>
        </w:rPr>
      </w:pPr>
      <w:r w:rsidRPr="00E14102">
        <w:rPr>
          <w:color w:val="0070C0"/>
          <w:sz w:val="16"/>
          <w:szCs w:val="16"/>
        </w:rPr>
        <w:t>55. Оборудование и лабораторн. приборы для производства танковых панорам.</w:t>
      </w:r>
    </w:p>
    <w:p w14:paraId="7EB6C91A" w14:textId="77777777" w:rsidR="00354896" w:rsidRPr="00E14102" w:rsidRDefault="00354896" w:rsidP="00E14102">
      <w:pPr>
        <w:jc w:val="both"/>
        <w:rPr>
          <w:color w:val="0070C0"/>
          <w:sz w:val="16"/>
          <w:szCs w:val="16"/>
        </w:rPr>
      </w:pPr>
      <w:r w:rsidRPr="00E14102">
        <w:rPr>
          <w:color w:val="0070C0"/>
          <w:sz w:val="16"/>
          <w:szCs w:val="16"/>
        </w:rPr>
        <w:t>56. Оборудование и лабораторн. приборы для производства оптических инструментов.</w:t>
      </w:r>
    </w:p>
    <w:p w14:paraId="454DF5F6" w14:textId="77777777" w:rsidR="00354896" w:rsidRPr="00E14102" w:rsidRDefault="00354896" w:rsidP="00E14102">
      <w:pPr>
        <w:jc w:val="both"/>
        <w:rPr>
          <w:color w:val="0070C0"/>
          <w:sz w:val="16"/>
          <w:szCs w:val="16"/>
        </w:rPr>
      </w:pPr>
      <w:r w:rsidRPr="00E14102">
        <w:rPr>
          <w:color w:val="0070C0"/>
          <w:sz w:val="16"/>
          <w:szCs w:val="16"/>
        </w:rPr>
        <w:t>57. Специальные контрольно-сборочные при</w:t>
      </w:r>
      <w:r w:rsidRPr="00E14102">
        <w:rPr>
          <w:color w:val="0070C0"/>
          <w:sz w:val="16"/>
          <w:szCs w:val="16"/>
        </w:rPr>
        <w:softHyphen/>
        <w:t>боры и инструменты, необходимые для ос</w:t>
      </w:r>
      <w:r w:rsidRPr="00E14102">
        <w:rPr>
          <w:color w:val="0070C0"/>
          <w:sz w:val="16"/>
          <w:szCs w:val="16"/>
        </w:rPr>
        <w:softHyphen/>
        <w:t>воения производства изделий. перечислен</w:t>
      </w:r>
      <w:r w:rsidRPr="00E14102">
        <w:rPr>
          <w:color w:val="0070C0"/>
          <w:sz w:val="16"/>
          <w:szCs w:val="16"/>
        </w:rPr>
        <w:softHyphen/>
        <w:t>ных в н.п.52 - 56.</w:t>
      </w:r>
    </w:p>
    <w:p w14:paraId="5AE1C099" w14:textId="77777777" w:rsidR="00354896" w:rsidRPr="00E14102" w:rsidRDefault="00354896" w:rsidP="00E14102">
      <w:pPr>
        <w:jc w:val="both"/>
        <w:rPr>
          <w:color w:val="0070C0"/>
          <w:sz w:val="16"/>
          <w:szCs w:val="16"/>
        </w:rPr>
      </w:pPr>
      <w:r w:rsidRPr="00E14102">
        <w:rPr>
          <w:color w:val="0070C0"/>
          <w:sz w:val="16"/>
          <w:szCs w:val="16"/>
        </w:rPr>
        <w:t>Обязательным усло</w:t>
      </w:r>
      <w:r w:rsidRPr="00E14102">
        <w:rPr>
          <w:color w:val="0070C0"/>
          <w:sz w:val="16"/>
          <w:szCs w:val="16"/>
        </w:rPr>
        <w:softHyphen/>
        <w:t>вием заказа дан</w:t>
      </w:r>
      <w:r w:rsidRPr="00E14102">
        <w:rPr>
          <w:color w:val="0070C0"/>
          <w:sz w:val="16"/>
          <w:szCs w:val="16"/>
        </w:rPr>
        <w:softHyphen/>
        <w:t>ного оборудования является допуск наших специалис</w:t>
      </w:r>
      <w:r w:rsidRPr="00E14102">
        <w:rPr>
          <w:color w:val="0070C0"/>
          <w:sz w:val="16"/>
          <w:szCs w:val="16"/>
        </w:rPr>
        <w:softHyphen/>
        <w:t>тов на заводы фирм- поставщиков для ознакомления с ме</w:t>
      </w:r>
      <w:r w:rsidRPr="00E14102">
        <w:rPr>
          <w:color w:val="0070C0"/>
          <w:sz w:val="16"/>
          <w:szCs w:val="16"/>
        </w:rPr>
        <w:softHyphen/>
        <w:t>тодами изготовле</w:t>
      </w:r>
      <w:r w:rsidRPr="00E14102">
        <w:rPr>
          <w:color w:val="0070C0"/>
          <w:sz w:val="16"/>
          <w:szCs w:val="16"/>
        </w:rPr>
        <w:softHyphen/>
        <w:t>ния и сборки ап</w:t>
      </w:r>
      <w:r w:rsidRPr="00E14102">
        <w:rPr>
          <w:color w:val="0070C0"/>
          <w:sz w:val="16"/>
          <w:szCs w:val="16"/>
        </w:rPr>
        <w:softHyphen/>
        <w:t>паратов.</w:t>
      </w:r>
    </w:p>
    <w:p w14:paraId="21A68C72" w14:textId="77777777" w:rsidR="00354896" w:rsidRPr="00E14102" w:rsidRDefault="00354896" w:rsidP="00E14102">
      <w:pPr>
        <w:jc w:val="both"/>
        <w:rPr>
          <w:color w:val="0070C0"/>
          <w:sz w:val="16"/>
          <w:szCs w:val="16"/>
        </w:rPr>
      </w:pPr>
      <w:r w:rsidRPr="00E14102">
        <w:rPr>
          <w:color w:val="0070C0"/>
          <w:sz w:val="16"/>
          <w:szCs w:val="16"/>
        </w:rPr>
        <w:t>58. Оборудование для угольного производства В том числе:</w:t>
      </w:r>
    </w:p>
    <w:p w14:paraId="0D66A33F" w14:textId="77777777" w:rsidR="00354896" w:rsidRPr="00E14102" w:rsidRDefault="00354896" w:rsidP="00E14102">
      <w:pPr>
        <w:jc w:val="both"/>
        <w:rPr>
          <w:color w:val="0070C0"/>
          <w:sz w:val="16"/>
          <w:szCs w:val="16"/>
        </w:rPr>
      </w:pPr>
      <w:r w:rsidRPr="00E14102">
        <w:rPr>
          <w:color w:val="0070C0"/>
          <w:sz w:val="16"/>
          <w:szCs w:val="16"/>
        </w:rPr>
        <w:t>Мельницы для углей</w:t>
      </w:r>
    </w:p>
    <w:p w14:paraId="35915359" w14:textId="77777777" w:rsidR="00354896" w:rsidRPr="00E14102" w:rsidRDefault="00354896" w:rsidP="00E14102">
      <w:pPr>
        <w:jc w:val="both"/>
        <w:rPr>
          <w:color w:val="0070C0"/>
          <w:sz w:val="16"/>
          <w:szCs w:val="16"/>
        </w:rPr>
      </w:pPr>
      <w:r w:rsidRPr="00E14102">
        <w:rPr>
          <w:color w:val="0070C0"/>
          <w:sz w:val="16"/>
          <w:szCs w:val="16"/>
        </w:rPr>
        <w:t>Мешалки</w:t>
      </w:r>
    </w:p>
    <w:p w14:paraId="23373E4C" w14:textId="77777777" w:rsidR="00354896" w:rsidRPr="00E14102" w:rsidRDefault="00354896" w:rsidP="00E14102">
      <w:pPr>
        <w:jc w:val="both"/>
        <w:rPr>
          <w:color w:val="0070C0"/>
          <w:sz w:val="16"/>
          <w:szCs w:val="16"/>
        </w:rPr>
      </w:pPr>
      <w:r w:rsidRPr="00E14102">
        <w:rPr>
          <w:color w:val="0070C0"/>
          <w:sz w:val="16"/>
          <w:szCs w:val="16"/>
        </w:rPr>
        <w:t>магнитные сепараторы</w:t>
      </w:r>
    </w:p>
    <w:p w14:paraId="195DAF98" w14:textId="77777777" w:rsidR="00354896" w:rsidRPr="00E14102" w:rsidRDefault="00354896" w:rsidP="00E14102">
      <w:pPr>
        <w:jc w:val="both"/>
        <w:rPr>
          <w:color w:val="0070C0"/>
          <w:sz w:val="16"/>
          <w:szCs w:val="16"/>
        </w:rPr>
      </w:pPr>
      <w:r w:rsidRPr="00E14102">
        <w:rPr>
          <w:color w:val="0070C0"/>
          <w:sz w:val="16"/>
          <w:szCs w:val="16"/>
        </w:rPr>
        <w:t>Пресса</w:t>
      </w:r>
    </w:p>
    <w:p w14:paraId="3A2626B9" w14:textId="77777777" w:rsidR="00354896" w:rsidRPr="00E14102" w:rsidRDefault="00354896" w:rsidP="00E14102">
      <w:pPr>
        <w:jc w:val="both"/>
        <w:rPr>
          <w:color w:val="0070C0"/>
          <w:sz w:val="16"/>
          <w:szCs w:val="16"/>
        </w:rPr>
      </w:pPr>
      <w:r w:rsidRPr="00E14102">
        <w:rPr>
          <w:color w:val="0070C0"/>
          <w:sz w:val="16"/>
          <w:szCs w:val="16"/>
        </w:rPr>
        <w:t>Автоматы для щеток (шлифовка, калибровка)</w:t>
      </w:r>
    </w:p>
    <w:p w14:paraId="64A84C24" w14:textId="77777777" w:rsidR="00354896" w:rsidRPr="00E14102" w:rsidRDefault="00354896" w:rsidP="00E14102">
      <w:pPr>
        <w:jc w:val="both"/>
        <w:rPr>
          <w:color w:val="0070C0"/>
          <w:sz w:val="16"/>
          <w:szCs w:val="16"/>
        </w:rPr>
      </w:pPr>
      <w:r w:rsidRPr="00E14102">
        <w:rPr>
          <w:color w:val="0070C0"/>
          <w:sz w:val="16"/>
          <w:szCs w:val="16"/>
        </w:rPr>
        <w:t xml:space="preserve">Машины для испытания щеток </w:t>
      </w:r>
    </w:p>
    <w:p w14:paraId="277DDF1D" w14:textId="77777777" w:rsidR="00354896" w:rsidRPr="00E14102" w:rsidRDefault="00354896" w:rsidP="00E14102">
      <w:pPr>
        <w:jc w:val="both"/>
        <w:rPr>
          <w:color w:val="0070C0"/>
          <w:sz w:val="16"/>
          <w:szCs w:val="16"/>
        </w:rPr>
      </w:pPr>
      <w:r w:rsidRPr="00E14102">
        <w:rPr>
          <w:color w:val="0070C0"/>
          <w:sz w:val="16"/>
          <w:szCs w:val="16"/>
        </w:rPr>
        <w:t>аб ораторн. оборудование и друг.</w:t>
      </w:r>
    </w:p>
    <w:p w14:paraId="22E533CE" w14:textId="77777777" w:rsidR="00354896" w:rsidRPr="00E14102" w:rsidRDefault="00354896" w:rsidP="00E14102">
      <w:pPr>
        <w:jc w:val="both"/>
        <w:rPr>
          <w:color w:val="0070C0"/>
          <w:sz w:val="16"/>
          <w:szCs w:val="16"/>
        </w:rPr>
      </w:pPr>
      <w:r w:rsidRPr="00E14102">
        <w:rPr>
          <w:color w:val="0070C0"/>
          <w:sz w:val="16"/>
          <w:szCs w:val="16"/>
        </w:rPr>
        <w:t>Условием заказа является получение технологического процесса для произ</w:t>
      </w:r>
      <w:r w:rsidRPr="00E14102">
        <w:rPr>
          <w:color w:val="0070C0"/>
          <w:sz w:val="16"/>
          <w:szCs w:val="16"/>
        </w:rPr>
        <w:softHyphen/>
        <w:t>водства прожектор</w:t>
      </w:r>
      <w:r w:rsidRPr="00E14102">
        <w:rPr>
          <w:color w:val="0070C0"/>
          <w:sz w:val="16"/>
          <w:szCs w:val="16"/>
        </w:rPr>
        <w:softHyphen/>
        <w:t>ных углей, электпо- графитирования и бронзо-графитных щеток.</w:t>
      </w:r>
    </w:p>
    <w:p w14:paraId="4E011843" w14:textId="77777777" w:rsidR="00354896" w:rsidRPr="00E14102" w:rsidRDefault="00354896" w:rsidP="00E14102">
      <w:pPr>
        <w:jc w:val="both"/>
        <w:rPr>
          <w:color w:val="0070C0"/>
          <w:sz w:val="16"/>
          <w:szCs w:val="16"/>
        </w:rPr>
      </w:pPr>
      <w:r w:rsidRPr="00E14102">
        <w:rPr>
          <w:color w:val="0070C0"/>
          <w:sz w:val="16"/>
          <w:szCs w:val="16"/>
        </w:rPr>
        <w:t>59. Оборудование для производства элементов, в том числе:</w:t>
      </w:r>
    </w:p>
    <w:p w14:paraId="1B0CA58C" w14:textId="77777777" w:rsidR="00354896" w:rsidRPr="00E14102" w:rsidRDefault="00354896" w:rsidP="00E14102">
      <w:pPr>
        <w:jc w:val="both"/>
        <w:rPr>
          <w:color w:val="0070C0"/>
          <w:sz w:val="16"/>
          <w:szCs w:val="16"/>
        </w:rPr>
      </w:pPr>
      <w:r w:rsidRPr="00E14102">
        <w:rPr>
          <w:color w:val="0070C0"/>
          <w:sz w:val="16"/>
          <w:szCs w:val="16"/>
        </w:rPr>
        <w:t>мельницы</w:t>
      </w:r>
    </w:p>
    <w:p w14:paraId="4F37B237" w14:textId="77777777" w:rsidR="00354896" w:rsidRPr="00E14102" w:rsidRDefault="00354896" w:rsidP="00E14102">
      <w:pPr>
        <w:jc w:val="both"/>
        <w:rPr>
          <w:color w:val="0070C0"/>
          <w:sz w:val="16"/>
          <w:szCs w:val="16"/>
        </w:rPr>
      </w:pPr>
      <w:r w:rsidRPr="00E14102">
        <w:rPr>
          <w:color w:val="0070C0"/>
          <w:sz w:val="16"/>
          <w:szCs w:val="16"/>
        </w:rPr>
        <w:t>Пресса для агломераторов</w:t>
      </w:r>
    </w:p>
    <w:p w14:paraId="26BCD753" w14:textId="77777777" w:rsidR="00354896" w:rsidRPr="00E14102" w:rsidRDefault="00354896" w:rsidP="00E14102">
      <w:pPr>
        <w:jc w:val="both"/>
        <w:rPr>
          <w:color w:val="0070C0"/>
          <w:sz w:val="16"/>
          <w:szCs w:val="16"/>
        </w:rPr>
      </w:pPr>
      <w:r w:rsidRPr="00E14102">
        <w:rPr>
          <w:color w:val="0070C0"/>
          <w:sz w:val="16"/>
          <w:szCs w:val="16"/>
        </w:rPr>
        <w:t>Автоматы для</w:t>
      </w:r>
      <w:r w:rsidRPr="00E14102">
        <w:rPr>
          <w:color w:val="0070C0"/>
          <w:sz w:val="16"/>
          <w:szCs w:val="16"/>
        </w:rPr>
        <w:tab/>
        <w:t>обвязки</w:t>
      </w:r>
    </w:p>
    <w:p w14:paraId="359D61D8" w14:textId="77777777" w:rsidR="00354896" w:rsidRPr="00E14102" w:rsidRDefault="00354896" w:rsidP="00E14102">
      <w:pPr>
        <w:jc w:val="both"/>
        <w:rPr>
          <w:color w:val="0070C0"/>
          <w:sz w:val="16"/>
          <w:szCs w:val="16"/>
        </w:rPr>
      </w:pPr>
      <w:r w:rsidRPr="00E14102">
        <w:rPr>
          <w:color w:val="0070C0"/>
          <w:sz w:val="16"/>
          <w:szCs w:val="16"/>
        </w:rPr>
        <w:t>"</w:t>
      </w:r>
      <w:r w:rsidRPr="00E14102">
        <w:rPr>
          <w:color w:val="0070C0"/>
          <w:sz w:val="16"/>
          <w:szCs w:val="16"/>
        </w:rPr>
        <w:tab/>
        <w:t>для</w:t>
      </w:r>
      <w:r w:rsidRPr="00E14102">
        <w:rPr>
          <w:color w:val="0070C0"/>
          <w:sz w:val="16"/>
          <w:szCs w:val="16"/>
        </w:rPr>
        <w:tab/>
        <w:t>колпачков</w:t>
      </w:r>
    </w:p>
    <w:p w14:paraId="71BF7B60" w14:textId="77777777" w:rsidR="00354896" w:rsidRPr="00E14102" w:rsidRDefault="00354896" w:rsidP="00E14102">
      <w:pPr>
        <w:jc w:val="both"/>
        <w:rPr>
          <w:color w:val="0070C0"/>
          <w:sz w:val="16"/>
          <w:szCs w:val="16"/>
        </w:rPr>
      </w:pPr>
      <w:r w:rsidRPr="00E14102">
        <w:rPr>
          <w:color w:val="0070C0"/>
          <w:sz w:val="16"/>
          <w:szCs w:val="16"/>
        </w:rPr>
        <w:t>"</w:t>
      </w:r>
      <w:r w:rsidRPr="00E14102">
        <w:rPr>
          <w:color w:val="0070C0"/>
          <w:sz w:val="16"/>
          <w:szCs w:val="16"/>
        </w:rPr>
        <w:tab/>
        <w:t>для</w:t>
      </w:r>
      <w:r w:rsidRPr="00E14102">
        <w:rPr>
          <w:color w:val="0070C0"/>
          <w:sz w:val="16"/>
          <w:szCs w:val="16"/>
        </w:rPr>
        <w:tab/>
        <w:t>заливки и занарядки и для контроля</w:t>
      </w:r>
    </w:p>
    <w:p w14:paraId="59ECFEE5" w14:textId="77777777" w:rsidR="00354896" w:rsidRPr="00E14102" w:rsidRDefault="00354896" w:rsidP="00E14102">
      <w:pPr>
        <w:jc w:val="both"/>
        <w:rPr>
          <w:color w:val="0070C0"/>
          <w:sz w:val="16"/>
          <w:szCs w:val="16"/>
        </w:rPr>
      </w:pPr>
      <w:r w:rsidRPr="00E14102">
        <w:rPr>
          <w:color w:val="0070C0"/>
          <w:sz w:val="16"/>
          <w:szCs w:val="16"/>
        </w:rPr>
        <w:t>"</w:t>
      </w:r>
      <w:r w:rsidRPr="00E14102">
        <w:rPr>
          <w:color w:val="0070C0"/>
          <w:sz w:val="16"/>
          <w:szCs w:val="16"/>
        </w:rPr>
        <w:tab/>
        <w:t>для</w:t>
      </w:r>
      <w:r w:rsidRPr="00E14102">
        <w:rPr>
          <w:color w:val="0070C0"/>
          <w:sz w:val="16"/>
          <w:szCs w:val="16"/>
        </w:rPr>
        <w:tab/>
        <w:t>пайки</w:t>
      </w:r>
    </w:p>
    <w:p w14:paraId="73FB7C1E" w14:textId="77777777" w:rsidR="00354896" w:rsidRPr="00E14102" w:rsidRDefault="00354896" w:rsidP="00E14102">
      <w:pPr>
        <w:jc w:val="both"/>
        <w:rPr>
          <w:color w:val="0070C0"/>
          <w:sz w:val="16"/>
          <w:szCs w:val="16"/>
        </w:rPr>
      </w:pPr>
      <w:r w:rsidRPr="00E14102">
        <w:rPr>
          <w:color w:val="0070C0"/>
          <w:sz w:val="16"/>
          <w:szCs w:val="16"/>
        </w:rPr>
        <w:lastRenderedPageBreak/>
        <w:t>"</w:t>
      </w:r>
      <w:r w:rsidRPr="00E14102">
        <w:rPr>
          <w:color w:val="0070C0"/>
          <w:sz w:val="16"/>
          <w:szCs w:val="16"/>
        </w:rPr>
        <w:tab/>
        <w:t>для</w:t>
      </w:r>
      <w:r w:rsidRPr="00E14102">
        <w:rPr>
          <w:color w:val="0070C0"/>
          <w:sz w:val="16"/>
          <w:szCs w:val="16"/>
        </w:rPr>
        <w:tab/>
        <w:t>звездочек</w:t>
      </w:r>
    </w:p>
    <w:p w14:paraId="11D57E71" w14:textId="77777777" w:rsidR="00354896" w:rsidRPr="00E14102" w:rsidRDefault="00354896" w:rsidP="00E14102">
      <w:pPr>
        <w:jc w:val="both"/>
        <w:rPr>
          <w:color w:val="0070C0"/>
          <w:sz w:val="16"/>
          <w:szCs w:val="16"/>
        </w:rPr>
      </w:pPr>
      <w:r w:rsidRPr="00E14102">
        <w:rPr>
          <w:color w:val="0070C0"/>
          <w:sz w:val="16"/>
          <w:szCs w:val="16"/>
        </w:rPr>
        <w:t>Бумаго-рсзальнне машины Лабопаторнос оборудование и друг.</w:t>
      </w:r>
    </w:p>
    <w:p w14:paraId="46606C1F" w14:textId="77777777" w:rsidR="00354896" w:rsidRPr="00E14102" w:rsidRDefault="00354896" w:rsidP="00E14102">
      <w:pPr>
        <w:jc w:val="both"/>
        <w:rPr>
          <w:color w:val="0070C0"/>
          <w:sz w:val="16"/>
          <w:szCs w:val="16"/>
        </w:rPr>
      </w:pPr>
      <w:r w:rsidRPr="00E14102">
        <w:rPr>
          <w:color w:val="0070C0"/>
          <w:sz w:val="16"/>
          <w:szCs w:val="16"/>
        </w:rPr>
        <w:t>Условием заказа яв</w:t>
      </w:r>
      <w:r w:rsidRPr="00E14102">
        <w:rPr>
          <w:color w:val="0070C0"/>
          <w:sz w:val="16"/>
          <w:szCs w:val="16"/>
        </w:rPr>
        <w:softHyphen/>
        <w:t>ляется получение всех производст</w:t>
      </w:r>
      <w:r w:rsidRPr="00E14102">
        <w:rPr>
          <w:color w:val="0070C0"/>
          <w:sz w:val="16"/>
          <w:szCs w:val="16"/>
        </w:rPr>
        <w:softHyphen/>
        <w:t>венных инструкций, технических усло</w:t>
      </w:r>
      <w:r w:rsidRPr="00E14102">
        <w:rPr>
          <w:color w:val="0070C0"/>
          <w:sz w:val="16"/>
          <w:szCs w:val="16"/>
        </w:rPr>
        <w:softHyphen/>
        <w:t>вий на материалов, ткак все данные по механизации про</w:t>
      </w:r>
      <w:r w:rsidRPr="00E14102">
        <w:rPr>
          <w:color w:val="0070C0"/>
          <w:sz w:val="16"/>
          <w:szCs w:val="16"/>
        </w:rPr>
        <w:softHyphen/>
        <w:t>цессов.</w:t>
      </w:r>
    </w:p>
    <w:p w14:paraId="7C20CE81" w14:textId="77777777" w:rsidR="00354896" w:rsidRPr="00E14102" w:rsidRDefault="00354896" w:rsidP="00E14102">
      <w:pPr>
        <w:jc w:val="both"/>
        <w:rPr>
          <w:color w:val="0070C0"/>
          <w:sz w:val="16"/>
          <w:szCs w:val="16"/>
        </w:rPr>
      </w:pPr>
      <w:r w:rsidRPr="00E14102">
        <w:rPr>
          <w:color w:val="0070C0"/>
          <w:sz w:val="16"/>
          <w:szCs w:val="16"/>
        </w:rPr>
        <w:t>60. Оборудование для аккумуляторного произ</w:t>
      </w:r>
      <w:r w:rsidRPr="00E14102">
        <w:rPr>
          <w:color w:val="0070C0"/>
          <w:sz w:val="16"/>
          <w:szCs w:val="16"/>
        </w:rPr>
        <w:softHyphen/>
        <w:t>водства, в том числе:</w:t>
      </w:r>
    </w:p>
    <w:p w14:paraId="119F24A0" w14:textId="77777777" w:rsidR="00354896" w:rsidRPr="00E14102" w:rsidRDefault="00354896" w:rsidP="00E14102">
      <w:pPr>
        <w:jc w:val="both"/>
        <w:rPr>
          <w:color w:val="0070C0"/>
          <w:sz w:val="16"/>
          <w:szCs w:val="16"/>
        </w:rPr>
      </w:pPr>
      <w:r w:rsidRPr="00E14102">
        <w:rPr>
          <w:color w:val="0070C0"/>
          <w:sz w:val="16"/>
          <w:szCs w:val="16"/>
        </w:rPr>
        <w:t>Мешалки для массы, с подогревом.</w:t>
      </w:r>
    </w:p>
    <w:p w14:paraId="214CC80C" w14:textId="77777777" w:rsidR="00354896" w:rsidRPr="00E14102" w:rsidRDefault="00354896" w:rsidP="00E14102">
      <w:pPr>
        <w:jc w:val="both"/>
        <w:rPr>
          <w:color w:val="0070C0"/>
          <w:sz w:val="16"/>
          <w:szCs w:val="16"/>
        </w:rPr>
      </w:pPr>
      <w:r w:rsidRPr="00E14102">
        <w:rPr>
          <w:color w:val="0070C0"/>
          <w:sz w:val="16"/>
          <w:szCs w:val="16"/>
        </w:rPr>
        <w:t>Машины для набивки трубчатых аккумуляторов</w:t>
      </w:r>
    </w:p>
    <w:p w14:paraId="19A3377F" w14:textId="77777777" w:rsidR="00354896" w:rsidRPr="00E14102" w:rsidRDefault="00354896" w:rsidP="00E14102">
      <w:pPr>
        <w:jc w:val="both"/>
        <w:rPr>
          <w:color w:val="0070C0"/>
          <w:sz w:val="16"/>
          <w:szCs w:val="16"/>
        </w:rPr>
      </w:pPr>
      <w:r w:rsidRPr="00E14102">
        <w:rPr>
          <w:color w:val="0070C0"/>
          <w:sz w:val="16"/>
          <w:szCs w:val="16"/>
        </w:rPr>
        <w:t>Кислотные насосы</w:t>
      </w:r>
    </w:p>
    <w:p w14:paraId="2594D363" w14:textId="77777777" w:rsidR="00354896" w:rsidRPr="00E14102" w:rsidRDefault="00354896" w:rsidP="00E14102">
      <w:pPr>
        <w:jc w:val="both"/>
        <w:rPr>
          <w:color w:val="0070C0"/>
          <w:sz w:val="16"/>
          <w:szCs w:val="16"/>
        </w:rPr>
      </w:pPr>
      <w:r w:rsidRPr="00E14102">
        <w:rPr>
          <w:color w:val="0070C0"/>
          <w:sz w:val="16"/>
          <w:szCs w:val="16"/>
        </w:rPr>
        <w:t>Лабораторное оборудование и друг.</w:t>
      </w:r>
    </w:p>
    <w:p w14:paraId="597E450B" w14:textId="77777777" w:rsidR="00354896" w:rsidRPr="00E14102" w:rsidRDefault="00354896" w:rsidP="00E14102">
      <w:pPr>
        <w:jc w:val="both"/>
        <w:rPr>
          <w:color w:val="0070C0"/>
          <w:sz w:val="16"/>
          <w:szCs w:val="16"/>
        </w:rPr>
      </w:pPr>
      <w:r w:rsidRPr="00E14102">
        <w:rPr>
          <w:color w:val="0070C0"/>
          <w:sz w:val="16"/>
          <w:szCs w:val="16"/>
        </w:rPr>
        <w:t>Условием заказа яв</w:t>
      </w:r>
      <w:r w:rsidRPr="00E14102">
        <w:rPr>
          <w:color w:val="0070C0"/>
          <w:sz w:val="16"/>
          <w:szCs w:val="16"/>
        </w:rPr>
        <w:softHyphen/>
        <w:t>ляется получение технологии процес</w:t>
      </w:r>
      <w:r w:rsidRPr="00E14102">
        <w:rPr>
          <w:color w:val="0070C0"/>
          <w:sz w:val="16"/>
          <w:szCs w:val="16"/>
        </w:rPr>
        <w:softHyphen/>
        <w:t>са производства трубчатых аккуму</w:t>
      </w:r>
      <w:r w:rsidRPr="00E14102">
        <w:rPr>
          <w:color w:val="0070C0"/>
          <w:sz w:val="16"/>
          <w:szCs w:val="16"/>
        </w:rPr>
        <w:softHyphen/>
        <w:t>ляторов и истодов перехода от окис лов свинца на свин</w:t>
      </w:r>
      <w:r w:rsidRPr="00E14102">
        <w:rPr>
          <w:color w:val="0070C0"/>
          <w:sz w:val="16"/>
          <w:szCs w:val="16"/>
        </w:rPr>
        <w:softHyphen/>
        <w:t>цовый порошек.</w:t>
      </w:r>
    </w:p>
    <w:p w14:paraId="5C2BAD28" w14:textId="77777777" w:rsidR="00354896" w:rsidRPr="00E14102" w:rsidRDefault="00354896" w:rsidP="00E14102">
      <w:pPr>
        <w:jc w:val="both"/>
        <w:rPr>
          <w:color w:val="0070C0"/>
          <w:sz w:val="16"/>
          <w:szCs w:val="16"/>
        </w:rPr>
      </w:pPr>
      <w:r w:rsidRPr="00E14102">
        <w:rPr>
          <w:color w:val="0070C0"/>
          <w:sz w:val="16"/>
          <w:szCs w:val="16"/>
        </w:rPr>
        <w:t>61. Расширители для труб от 12 до 28 с относящимися к ним оборудованием.</w:t>
      </w:r>
    </w:p>
    <w:p w14:paraId="129EC288" w14:textId="77777777" w:rsidR="00354896" w:rsidRPr="00E14102" w:rsidRDefault="00354896" w:rsidP="00E14102">
      <w:pPr>
        <w:jc w:val="both"/>
        <w:rPr>
          <w:color w:val="0070C0"/>
          <w:sz w:val="16"/>
          <w:szCs w:val="16"/>
        </w:rPr>
      </w:pPr>
      <w:r w:rsidRPr="00E14102">
        <w:rPr>
          <w:color w:val="0070C0"/>
          <w:sz w:val="16"/>
          <w:szCs w:val="16"/>
        </w:rPr>
        <w:t>62. Станы Стэкеля для холодной прокатки лен</w:t>
      </w:r>
      <w:r w:rsidRPr="00E14102">
        <w:rPr>
          <w:color w:val="0070C0"/>
          <w:sz w:val="16"/>
          <w:szCs w:val="16"/>
        </w:rPr>
        <w:softHyphen/>
        <w:t>ты (и нержавеющей ленты).</w:t>
      </w:r>
    </w:p>
    <w:p w14:paraId="6F999D91" w14:textId="77777777" w:rsidR="00354896" w:rsidRPr="00E14102" w:rsidRDefault="00354896" w:rsidP="00E14102">
      <w:pPr>
        <w:jc w:val="both"/>
        <w:rPr>
          <w:color w:val="0070C0"/>
          <w:sz w:val="16"/>
          <w:szCs w:val="16"/>
        </w:rPr>
      </w:pPr>
      <w:r w:rsidRPr="00E14102">
        <w:rPr>
          <w:color w:val="0070C0"/>
          <w:sz w:val="16"/>
          <w:szCs w:val="16"/>
        </w:rPr>
        <w:t>63. Станы Стэкеля для горяче-катаной ленты.</w:t>
      </w:r>
    </w:p>
    <w:p w14:paraId="733EAC6C" w14:textId="77777777" w:rsidR="00354896" w:rsidRPr="00E14102" w:rsidRDefault="00354896" w:rsidP="00E14102">
      <w:pPr>
        <w:jc w:val="both"/>
        <w:rPr>
          <w:color w:val="0070C0"/>
          <w:sz w:val="16"/>
          <w:szCs w:val="16"/>
        </w:rPr>
      </w:pPr>
      <w:r w:rsidRPr="00E14102">
        <w:rPr>
          <w:color w:val="0070C0"/>
          <w:sz w:val="16"/>
          <w:szCs w:val="16"/>
        </w:rPr>
        <w:t>64. Электропечи индукционные для нагрева вы- • соколегированннх болванок и поковок.</w:t>
      </w:r>
    </w:p>
    <w:p w14:paraId="4669A90A" w14:textId="77777777" w:rsidR="00354896" w:rsidRPr="00E14102" w:rsidRDefault="00354896" w:rsidP="00E14102">
      <w:pPr>
        <w:jc w:val="both"/>
        <w:rPr>
          <w:color w:val="0070C0"/>
          <w:sz w:val="16"/>
          <w:szCs w:val="16"/>
        </w:rPr>
      </w:pPr>
      <w:r w:rsidRPr="00E14102">
        <w:rPr>
          <w:color w:val="0070C0"/>
          <w:sz w:val="16"/>
          <w:szCs w:val="16"/>
        </w:rPr>
        <w:t>65. Индукционные печи нормальной частоты сердечников.</w:t>
      </w:r>
    </w:p>
    <w:p w14:paraId="5E86BD92" w14:textId="77777777" w:rsidR="00354896" w:rsidRPr="00E14102" w:rsidRDefault="00354896" w:rsidP="00E14102">
      <w:pPr>
        <w:jc w:val="both"/>
        <w:rPr>
          <w:color w:val="0070C0"/>
          <w:sz w:val="16"/>
          <w:szCs w:val="16"/>
        </w:rPr>
      </w:pPr>
      <w:r w:rsidRPr="00E14102">
        <w:rPr>
          <w:color w:val="0070C0"/>
          <w:sz w:val="16"/>
          <w:szCs w:val="16"/>
        </w:rPr>
        <w:t>Станки для сверления заготовок боровой стали.</w:t>
      </w:r>
    </w:p>
    <w:p w14:paraId="72237B2E" w14:textId="77777777" w:rsidR="00354896" w:rsidRPr="00E14102" w:rsidRDefault="00354896" w:rsidP="00E14102">
      <w:pPr>
        <w:jc w:val="both"/>
        <w:rPr>
          <w:color w:val="0070C0"/>
          <w:sz w:val="16"/>
          <w:szCs w:val="16"/>
        </w:rPr>
      </w:pPr>
      <w:r w:rsidRPr="00E14102">
        <w:rPr>
          <w:color w:val="0070C0"/>
          <w:sz w:val="16"/>
          <w:szCs w:val="16"/>
        </w:rPr>
        <w:t>Пол.; овальные машины для нержаве -.их и кислотоупор</w:t>
      </w:r>
      <w:r w:rsidRPr="00E14102">
        <w:rPr>
          <w:color w:val="0070C0"/>
          <w:sz w:val="16"/>
          <w:szCs w:val="16"/>
        </w:rPr>
        <w:softHyphen/>
        <w:t>ных листов.</w:t>
      </w:r>
    </w:p>
    <w:p w14:paraId="56397830" w14:textId="77777777" w:rsidR="00354896" w:rsidRPr="00E14102" w:rsidRDefault="00354896" w:rsidP="00E14102">
      <w:pPr>
        <w:jc w:val="both"/>
        <w:rPr>
          <w:color w:val="0070C0"/>
          <w:sz w:val="16"/>
          <w:szCs w:val="16"/>
        </w:rPr>
      </w:pPr>
      <w:r w:rsidRPr="00E14102">
        <w:rPr>
          <w:color w:val="0070C0"/>
          <w:sz w:val="16"/>
          <w:szCs w:val="16"/>
        </w:rPr>
        <w:t>Три-бивочнио машины для дниц конвертеров.</w:t>
      </w:r>
    </w:p>
    <w:p w14:paraId="75C4B99A" w14:textId="77777777" w:rsidR="00354896" w:rsidRPr="00E14102" w:rsidRDefault="00354896" w:rsidP="00E14102">
      <w:pPr>
        <w:jc w:val="both"/>
        <w:rPr>
          <w:color w:val="0070C0"/>
          <w:sz w:val="16"/>
          <w:szCs w:val="16"/>
        </w:rPr>
      </w:pPr>
      <w:r w:rsidRPr="00E14102">
        <w:rPr>
          <w:color w:val="0070C0"/>
          <w:sz w:val="16"/>
          <w:szCs w:val="16"/>
        </w:rPr>
        <w:t>Станки для обработки фасонов.</w:t>
      </w:r>
    </w:p>
    <w:p w14:paraId="171145EE" w14:textId="77777777" w:rsidR="00354896" w:rsidRPr="00E14102" w:rsidRDefault="00354896" w:rsidP="00E14102">
      <w:pPr>
        <w:jc w:val="both"/>
        <w:rPr>
          <w:color w:val="0070C0"/>
          <w:sz w:val="16"/>
          <w:szCs w:val="16"/>
        </w:rPr>
      </w:pPr>
      <w:r w:rsidRPr="00E14102">
        <w:rPr>
          <w:color w:val="0070C0"/>
          <w:sz w:val="16"/>
          <w:szCs w:val="16"/>
        </w:rPr>
        <w:t>Центровальные станки.</w:t>
      </w:r>
    </w:p>
    <w:p w14:paraId="0CB46E0A" w14:textId="77777777" w:rsidR="00354896" w:rsidRPr="00E14102" w:rsidRDefault="00354896" w:rsidP="00E14102">
      <w:pPr>
        <w:jc w:val="both"/>
        <w:rPr>
          <w:color w:val="0070C0"/>
          <w:sz w:val="16"/>
          <w:szCs w:val="16"/>
        </w:rPr>
      </w:pPr>
      <w:r w:rsidRPr="00E14102">
        <w:rPr>
          <w:color w:val="0070C0"/>
          <w:sz w:val="16"/>
          <w:szCs w:val="16"/>
        </w:rPr>
        <w:t>Специальная аппаратура и оборудование для метал</w:t>
      </w:r>
      <w:r w:rsidRPr="00E14102">
        <w:rPr>
          <w:color w:val="0070C0"/>
          <w:sz w:val="16"/>
          <w:szCs w:val="16"/>
        </w:rPr>
        <w:softHyphen/>
        <w:t>лургических заводов.</w:t>
      </w:r>
    </w:p>
    <w:p w14:paraId="00EE406A" w14:textId="77777777" w:rsidR="00354896" w:rsidRPr="00E14102" w:rsidRDefault="00354896" w:rsidP="00E14102">
      <w:pPr>
        <w:jc w:val="both"/>
        <w:rPr>
          <w:color w:val="0070C0"/>
          <w:sz w:val="16"/>
          <w:szCs w:val="16"/>
        </w:rPr>
      </w:pPr>
      <w:r w:rsidRPr="00E14102">
        <w:rPr>
          <w:color w:val="0070C0"/>
          <w:sz w:val="16"/>
          <w:szCs w:val="16"/>
        </w:rPr>
        <w:t>Разине изделия фирмы Сименс-Гальске и Симонс-Шуккерт, в том число:</w:t>
      </w:r>
    </w:p>
    <w:p w14:paraId="4F29E09F" w14:textId="77777777" w:rsidR="00354896" w:rsidRPr="00E14102" w:rsidRDefault="00354896" w:rsidP="00E14102">
      <w:pPr>
        <w:jc w:val="both"/>
        <w:rPr>
          <w:color w:val="0070C0"/>
          <w:sz w:val="16"/>
          <w:szCs w:val="16"/>
        </w:rPr>
      </w:pPr>
      <w:r w:rsidRPr="00E14102">
        <w:rPr>
          <w:color w:val="0070C0"/>
          <w:sz w:val="16"/>
          <w:szCs w:val="16"/>
        </w:rPr>
        <w:t>Возмасленнпо силовые выключатели</w:t>
      </w:r>
    </w:p>
    <w:p w14:paraId="149B23DC" w14:textId="77777777" w:rsidR="00354896" w:rsidRPr="00E14102" w:rsidRDefault="00354896" w:rsidP="00E14102">
      <w:pPr>
        <w:jc w:val="both"/>
        <w:rPr>
          <w:color w:val="0070C0"/>
          <w:sz w:val="16"/>
          <w:szCs w:val="16"/>
        </w:rPr>
      </w:pPr>
      <w:r w:rsidRPr="00E14102">
        <w:rPr>
          <w:color w:val="0070C0"/>
          <w:sz w:val="16"/>
          <w:szCs w:val="16"/>
        </w:rPr>
        <w:t>Разрядники</w:t>
      </w:r>
    </w:p>
    <w:p w14:paraId="1EBB63AC" w14:textId="77777777" w:rsidR="00354896" w:rsidRPr="00E14102" w:rsidRDefault="00354896" w:rsidP="00E14102">
      <w:pPr>
        <w:jc w:val="both"/>
        <w:rPr>
          <w:color w:val="0070C0"/>
          <w:sz w:val="16"/>
          <w:szCs w:val="16"/>
        </w:rPr>
      </w:pPr>
      <w:r w:rsidRPr="00E14102">
        <w:rPr>
          <w:color w:val="0070C0"/>
          <w:sz w:val="16"/>
          <w:szCs w:val="16"/>
        </w:rPr>
        <w:t>Роли (роактанцние.^ото-роле,тепловые реле идр.) Электропечи (большие индукционные,термические с угольными и керамическими эле</w:t>
      </w:r>
      <w:r w:rsidRPr="00E14102">
        <w:rPr>
          <w:color w:val="0070C0"/>
          <w:sz w:val="16"/>
          <w:szCs w:val="16"/>
        </w:rPr>
        <w:softHyphen/>
        <w:t>ментами с газовой завесой.автоматнч. управлением).</w:t>
      </w:r>
    </w:p>
    <w:p w14:paraId="15EB9288" w14:textId="77777777" w:rsidR="00354896" w:rsidRPr="00E14102" w:rsidRDefault="00354896" w:rsidP="00E14102">
      <w:pPr>
        <w:jc w:val="both"/>
        <w:rPr>
          <w:color w:val="0070C0"/>
          <w:sz w:val="16"/>
          <w:szCs w:val="16"/>
        </w:rPr>
      </w:pPr>
      <w:r w:rsidRPr="00E14102">
        <w:rPr>
          <w:color w:val="0070C0"/>
          <w:sz w:val="16"/>
          <w:szCs w:val="16"/>
        </w:rPr>
        <w:t>Электросварка (ийогойоотовяе машины большой моц- ностм.контактные машины болып.год</w:t>
      </w:r>
      <w:r w:rsidRPr="00E14102">
        <w:rPr>
          <w:color w:val="0070C0"/>
          <w:sz w:val="16"/>
          <w:szCs w:val="16"/>
        </w:rPr>
        <w:softHyphen/>
        <w:t>ности к производитсяьности.быстро- деЁствух дне загнмы,электросварочные пресса,рельефная сварка).</w:t>
      </w:r>
    </w:p>
    <w:p w14:paraId="0961251B" w14:textId="77777777" w:rsidR="00354896" w:rsidRPr="00E14102" w:rsidRDefault="00354896" w:rsidP="00E14102">
      <w:pPr>
        <w:jc w:val="both"/>
        <w:rPr>
          <w:color w:val="0070C0"/>
          <w:sz w:val="16"/>
          <w:szCs w:val="16"/>
        </w:rPr>
      </w:pPr>
      <w:r w:rsidRPr="00E14102">
        <w:rPr>
          <w:color w:val="0070C0"/>
          <w:sz w:val="16"/>
          <w:szCs w:val="16"/>
        </w:rPr>
        <w:t>Автоматы контактно"; сварки.</w:t>
      </w:r>
    </w:p>
    <w:p w14:paraId="6ED92B09" w14:textId="77777777" w:rsidR="00354896" w:rsidRPr="00E14102" w:rsidRDefault="00354896" w:rsidP="00E14102">
      <w:pPr>
        <w:jc w:val="both"/>
        <w:rPr>
          <w:color w:val="0070C0"/>
          <w:sz w:val="16"/>
          <w:szCs w:val="16"/>
        </w:rPr>
      </w:pPr>
      <w:r w:rsidRPr="00E14102">
        <w:rPr>
          <w:color w:val="0070C0"/>
          <w:sz w:val="16"/>
          <w:szCs w:val="16"/>
        </w:rPr>
        <w:t>ирпотрсб (пылесосы,нагревательные приборы и эле- менты.рис.рнжератопм,бытовые приборы, электро:грушки и др.)</w:t>
      </w:r>
    </w:p>
    <w:p w14:paraId="1C54FB3F" w14:textId="77777777" w:rsidR="00354896" w:rsidRPr="00E14102" w:rsidRDefault="00354896" w:rsidP="00E14102">
      <w:pPr>
        <w:jc w:val="both"/>
        <w:rPr>
          <w:color w:val="0070C0"/>
          <w:sz w:val="16"/>
          <w:szCs w:val="16"/>
        </w:rPr>
      </w:pPr>
      <w:r w:rsidRPr="00E14102">
        <w:rPr>
          <w:color w:val="0070C0"/>
          <w:sz w:val="16"/>
          <w:szCs w:val="16"/>
        </w:rPr>
        <w:t>3 л октр он н ст ру «ден ты.</w:t>
      </w:r>
    </w:p>
    <w:p w14:paraId="033766D9" w14:textId="77777777" w:rsidR="00354896" w:rsidRPr="00E14102" w:rsidRDefault="00354896" w:rsidP="00E14102">
      <w:pPr>
        <w:jc w:val="both"/>
        <w:rPr>
          <w:color w:val="0070C0"/>
          <w:sz w:val="16"/>
          <w:szCs w:val="16"/>
        </w:rPr>
      </w:pPr>
      <w:r w:rsidRPr="00E14102">
        <w:rPr>
          <w:color w:val="0070C0"/>
          <w:sz w:val="16"/>
          <w:szCs w:val="16"/>
        </w:rPr>
        <w:t>Оборудование для котло-турбо-строиния, в том числе:</w:t>
      </w:r>
    </w:p>
    <w:p w14:paraId="7F7146D4" w14:textId="77777777" w:rsidR="00354896" w:rsidRPr="00E14102" w:rsidRDefault="00354896" w:rsidP="00E14102">
      <w:pPr>
        <w:jc w:val="both"/>
        <w:rPr>
          <w:color w:val="0070C0"/>
          <w:sz w:val="16"/>
          <w:szCs w:val="16"/>
        </w:rPr>
      </w:pPr>
      <w:r w:rsidRPr="00E14102">
        <w:rPr>
          <w:color w:val="0070C0"/>
          <w:sz w:val="16"/>
          <w:szCs w:val="16"/>
        </w:rPr>
        <w:t>Дпматура разная, с получением технология.процесса ео изготовления.</w:t>
      </w:r>
    </w:p>
    <w:p w14:paraId="37B73578" w14:textId="77777777" w:rsidR="00354896" w:rsidRPr="00E14102" w:rsidRDefault="00354896" w:rsidP="00E14102">
      <w:pPr>
        <w:jc w:val="both"/>
        <w:rPr>
          <w:color w:val="0070C0"/>
          <w:sz w:val="16"/>
          <w:szCs w:val="16"/>
        </w:rPr>
      </w:pPr>
      <w:r w:rsidRPr="00E14102">
        <w:rPr>
          <w:color w:val="0070C0"/>
          <w:sz w:val="16"/>
          <w:szCs w:val="16"/>
        </w:rPr>
        <w:t>Аккумуляторы Рутса, с получен.технология.процесса.</w:t>
      </w:r>
    </w:p>
    <w:p w14:paraId="0A8B1024" w14:textId="77777777" w:rsidR="00354896" w:rsidRPr="00E14102" w:rsidRDefault="00354896" w:rsidP="00E14102">
      <w:pPr>
        <w:jc w:val="both"/>
        <w:rPr>
          <w:color w:val="0070C0"/>
          <w:sz w:val="16"/>
          <w:szCs w:val="16"/>
        </w:rPr>
      </w:pPr>
      <w:r w:rsidRPr="00E14102">
        <w:rPr>
          <w:color w:val="0070C0"/>
          <w:sz w:val="16"/>
          <w:szCs w:val="16"/>
        </w:rPr>
        <w:t>Разное лабораторное оборудование для заводов точной индустрии.</w:t>
      </w:r>
    </w:p>
    <w:p w14:paraId="13F6FCDD" w14:textId="77777777" w:rsidR="00354896" w:rsidRPr="00E14102" w:rsidRDefault="00354896" w:rsidP="00E14102">
      <w:pPr>
        <w:jc w:val="both"/>
        <w:rPr>
          <w:color w:val="0070C0"/>
          <w:sz w:val="16"/>
          <w:szCs w:val="16"/>
        </w:rPr>
      </w:pPr>
      <w:r w:rsidRPr="00E14102">
        <w:rPr>
          <w:color w:val="0070C0"/>
          <w:sz w:val="16"/>
          <w:szCs w:val="16"/>
        </w:rPr>
        <w:t xml:space="preserve">Гид </w:t>
      </w:r>
      <w:r w:rsidRPr="00E14102">
        <w:rPr>
          <w:color w:val="0070C0"/>
          <w:sz w:val="16"/>
          <w:szCs w:val="16"/>
        </w:rPr>
        <w:tab/>
        <w:t>'.чоские пресса для аул изации пезиярвнх ремней,</w:t>
      </w:r>
    </w:p>
    <w:p w14:paraId="054F5E37" w14:textId="77777777" w:rsidR="00354896" w:rsidRPr="00E14102" w:rsidRDefault="00354896" w:rsidP="00E14102">
      <w:pPr>
        <w:jc w:val="both"/>
        <w:rPr>
          <w:color w:val="0070C0"/>
          <w:sz w:val="16"/>
          <w:szCs w:val="16"/>
        </w:rPr>
      </w:pPr>
      <w:r w:rsidRPr="00E14102">
        <w:rPr>
          <w:color w:val="0070C0"/>
          <w:sz w:val="16"/>
          <w:szCs w:val="16"/>
        </w:rPr>
        <w:t>с мультипликатором и другими приспособлениями,необходимы</w:t>
      </w:r>
      <w:r w:rsidRPr="00E14102">
        <w:rPr>
          <w:color w:val="0070C0"/>
          <w:sz w:val="16"/>
          <w:szCs w:val="16"/>
        </w:rPr>
        <w:softHyphen/>
        <w:t>ми для увеличения производства транспортирующих лент.</w:t>
      </w:r>
    </w:p>
    <w:p w14:paraId="50DE12BC" w14:textId="77777777" w:rsidR="00354896" w:rsidRPr="00E14102" w:rsidRDefault="00354896" w:rsidP="00E14102">
      <w:pPr>
        <w:jc w:val="both"/>
        <w:rPr>
          <w:color w:val="0070C0"/>
          <w:sz w:val="16"/>
          <w:szCs w:val="16"/>
        </w:rPr>
      </w:pPr>
      <w:r w:rsidRPr="00E14102">
        <w:rPr>
          <w:color w:val="0070C0"/>
          <w:sz w:val="16"/>
          <w:szCs w:val="16"/>
        </w:rPr>
        <w:t>Целостные пресса для текстильных ремней и приспособления к ниц.</w:t>
      </w:r>
    </w:p>
    <w:p w14:paraId="72819D52" w14:textId="77777777" w:rsidR="00354896" w:rsidRPr="00E14102" w:rsidRDefault="00354896" w:rsidP="00E14102">
      <w:pPr>
        <w:jc w:val="both"/>
        <w:rPr>
          <w:color w:val="0070C0"/>
          <w:sz w:val="16"/>
          <w:szCs w:val="16"/>
        </w:rPr>
      </w:pPr>
      <w:r w:rsidRPr="00E14102">
        <w:rPr>
          <w:color w:val="0070C0"/>
          <w:sz w:val="16"/>
          <w:szCs w:val="16"/>
        </w:rPr>
        <w:t>Коидныо каландапн для прорезиненного корда.</w:t>
      </w:r>
    </w:p>
    <w:p w14:paraId="717D499F" w14:textId="77777777" w:rsidR="00354896" w:rsidRPr="00E14102" w:rsidRDefault="00354896" w:rsidP="00E14102">
      <w:pPr>
        <w:jc w:val="both"/>
        <w:rPr>
          <w:color w:val="0070C0"/>
          <w:sz w:val="16"/>
          <w:szCs w:val="16"/>
        </w:rPr>
      </w:pPr>
      <w:r w:rsidRPr="00E14102">
        <w:rPr>
          <w:color w:val="0070C0"/>
          <w:sz w:val="16"/>
          <w:szCs w:val="16"/>
        </w:rPr>
        <w:t>станки для круглой в работки хлоп.-бум..указов.</w:t>
      </w:r>
    </w:p>
    <w:p w14:paraId="6E7E5C42" w14:textId="77777777" w:rsidR="00354896" w:rsidRPr="00E14102" w:rsidRDefault="00354896" w:rsidP="00E14102">
      <w:pPr>
        <w:jc w:val="both"/>
        <w:rPr>
          <w:color w:val="0070C0"/>
          <w:sz w:val="16"/>
          <w:szCs w:val="16"/>
        </w:rPr>
      </w:pPr>
      <w:r w:rsidRPr="00E14102">
        <w:rPr>
          <w:color w:val="0070C0"/>
          <w:sz w:val="16"/>
          <w:szCs w:val="16"/>
        </w:rPr>
        <w:t>Пресса для изготовления аккумуляторных баков.</w:t>
      </w:r>
    </w:p>
    <w:p w14:paraId="00A647CB" w14:textId="77777777" w:rsidR="00354896" w:rsidRPr="00E14102" w:rsidRDefault="00354896" w:rsidP="00E14102">
      <w:pPr>
        <w:jc w:val="both"/>
        <w:rPr>
          <w:color w:val="0070C0"/>
          <w:sz w:val="16"/>
          <w:szCs w:val="16"/>
        </w:rPr>
      </w:pPr>
      <w:r w:rsidRPr="00E14102">
        <w:rPr>
          <w:color w:val="0070C0"/>
          <w:sz w:val="16"/>
          <w:szCs w:val="16"/>
        </w:rPr>
        <w:t>20. Оплеточные станки для косой оплетки рукавов с металличес</w:t>
      </w:r>
      <w:r w:rsidRPr="00E14102">
        <w:rPr>
          <w:color w:val="0070C0"/>
          <w:sz w:val="16"/>
          <w:szCs w:val="16"/>
        </w:rPr>
        <w:softHyphen/>
        <w:t>кой проволокой, давл. 150/200.</w:t>
      </w:r>
    </w:p>
    <w:p w14:paraId="061CD4F2" w14:textId="77777777" w:rsidR="00354896" w:rsidRPr="00E14102" w:rsidRDefault="00354896" w:rsidP="00E14102">
      <w:pPr>
        <w:jc w:val="both"/>
        <w:rPr>
          <w:color w:val="0070C0"/>
          <w:sz w:val="16"/>
          <w:szCs w:val="16"/>
        </w:rPr>
      </w:pPr>
      <w:r w:rsidRPr="00E14102">
        <w:rPr>
          <w:color w:val="0070C0"/>
          <w:sz w:val="16"/>
          <w:szCs w:val="16"/>
        </w:rPr>
        <w:t>81. Оплеточные станки для прямоугольной оплетки бонзино- упорных рукавов.</w:t>
      </w:r>
    </w:p>
    <w:p w14:paraId="1B22031C" w14:textId="77777777" w:rsidR="00354896" w:rsidRPr="00E14102" w:rsidRDefault="00354896" w:rsidP="00E14102">
      <w:pPr>
        <w:jc w:val="both"/>
        <w:rPr>
          <w:color w:val="0070C0"/>
          <w:sz w:val="16"/>
          <w:szCs w:val="16"/>
        </w:rPr>
      </w:pPr>
      <w:r w:rsidRPr="00E14102">
        <w:rPr>
          <w:color w:val="0070C0"/>
          <w:sz w:val="16"/>
          <w:szCs w:val="16"/>
        </w:rPr>
        <w:t>82. Закрытые смесители для резинового производства.</w:t>
      </w:r>
    </w:p>
    <w:p w14:paraId="02DE1B2E" w14:textId="77777777" w:rsidR="00354896" w:rsidRPr="00E14102" w:rsidRDefault="00354896" w:rsidP="00E14102">
      <w:pPr>
        <w:jc w:val="both"/>
        <w:rPr>
          <w:color w:val="0070C0"/>
          <w:sz w:val="16"/>
          <w:szCs w:val="16"/>
        </w:rPr>
      </w:pPr>
      <w:r w:rsidRPr="00E14102">
        <w:rPr>
          <w:color w:val="0070C0"/>
          <w:sz w:val="16"/>
          <w:szCs w:val="16"/>
        </w:rPr>
        <w:t>83. Комплект станков для выработки хлоп.-бум.пожарных рукавов.</w:t>
      </w:r>
    </w:p>
    <w:p w14:paraId="1DC56B46" w14:textId="77777777" w:rsidR="00354896" w:rsidRPr="00E14102" w:rsidRDefault="00354896" w:rsidP="00E14102">
      <w:pPr>
        <w:jc w:val="both"/>
        <w:rPr>
          <w:color w:val="0070C0"/>
          <w:sz w:val="16"/>
          <w:szCs w:val="16"/>
        </w:rPr>
      </w:pPr>
      <w:r w:rsidRPr="00E14102">
        <w:rPr>
          <w:color w:val="0070C0"/>
          <w:sz w:val="16"/>
          <w:szCs w:val="16"/>
        </w:rPr>
        <w:t>84. Вулканизационные машины „ля непрерывной вулканизации про</w:t>
      </w:r>
      <w:r w:rsidRPr="00E14102">
        <w:rPr>
          <w:color w:val="0070C0"/>
          <w:sz w:val="16"/>
          <w:szCs w:val="16"/>
        </w:rPr>
        <w:softHyphen/>
        <w:t>питанных роз пневых тканей.</w:t>
      </w:r>
    </w:p>
    <w:p w14:paraId="39B11710" w14:textId="77777777" w:rsidR="00354896" w:rsidRPr="00E14102" w:rsidRDefault="00354896" w:rsidP="00E14102">
      <w:pPr>
        <w:jc w:val="both"/>
        <w:rPr>
          <w:color w:val="0070C0"/>
          <w:sz w:val="16"/>
          <w:szCs w:val="16"/>
        </w:rPr>
      </w:pPr>
      <w:r w:rsidRPr="00E14102">
        <w:rPr>
          <w:color w:val="0070C0"/>
          <w:sz w:val="16"/>
          <w:szCs w:val="16"/>
        </w:rPr>
        <w:t>85. Прецизионные каландры для обкладки и промазки шелковых тканей (для баллонов и дирижаблей).</w:t>
      </w:r>
    </w:p>
    <w:p w14:paraId="59CEA39B" w14:textId="77777777" w:rsidR="00354896" w:rsidRPr="00E14102" w:rsidRDefault="00354896" w:rsidP="00E14102">
      <w:pPr>
        <w:jc w:val="both"/>
        <w:rPr>
          <w:color w:val="0070C0"/>
          <w:sz w:val="16"/>
          <w:szCs w:val="16"/>
        </w:rPr>
      </w:pPr>
      <w:r w:rsidRPr="00E14102">
        <w:rPr>
          <w:color w:val="0070C0"/>
          <w:sz w:val="16"/>
          <w:szCs w:val="16"/>
        </w:rPr>
        <w:t>86. Машинн для печатания клеенки в 2-8 цвета.</w:t>
      </w:r>
    </w:p>
    <w:p w14:paraId="67674AEC" w14:textId="77777777" w:rsidR="00354896" w:rsidRPr="00E14102" w:rsidRDefault="00354896" w:rsidP="00E14102">
      <w:pPr>
        <w:jc w:val="both"/>
        <w:rPr>
          <w:color w:val="0070C0"/>
          <w:sz w:val="16"/>
          <w:szCs w:val="16"/>
        </w:rPr>
      </w:pPr>
      <w:r w:rsidRPr="00E14102">
        <w:rPr>
          <w:color w:val="0070C0"/>
          <w:sz w:val="16"/>
          <w:szCs w:val="16"/>
        </w:rPr>
        <w:t>87. Оборудование для лако-красочной промышленноети, в том числе:</w:t>
      </w:r>
    </w:p>
    <w:p w14:paraId="00B222DE" w14:textId="77777777" w:rsidR="00354896" w:rsidRPr="00E14102" w:rsidRDefault="00354896" w:rsidP="00E14102">
      <w:pPr>
        <w:jc w:val="both"/>
        <w:rPr>
          <w:color w:val="0070C0"/>
          <w:sz w:val="16"/>
          <w:szCs w:val="16"/>
        </w:rPr>
      </w:pPr>
      <w:r w:rsidRPr="00E14102">
        <w:rPr>
          <w:color w:val="0070C0"/>
          <w:sz w:val="16"/>
          <w:szCs w:val="16"/>
        </w:rPr>
        <w:t>Оборудование для литопонного завода</w:t>
      </w:r>
    </w:p>
    <w:p w14:paraId="4CF05E0A" w14:textId="77777777" w:rsidR="00354896" w:rsidRPr="00E14102" w:rsidRDefault="00354896" w:rsidP="00E14102">
      <w:pPr>
        <w:jc w:val="both"/>
        <w:rPr>
          <w:color w:val="0070C0"/>
          <w:sz w:val="16"/>
          <w:szCs w:val="16"/>
        </w:rPr>
      </w:pPr>
      <w:r w:rsidRPr="00E14102">
        <w:rPr>
          <w:color w:val="0070C0"/>
          <w:sz w:val="16"/>
          <w:szCs w:val="16"/>
        </w:rPr>
        <w:t>для завода окиси титана</w:t>
      </w:r>
    </w:p>
    <w:p w14:paraId="3C5472BC" w14:textId="77777777" w:rsidR="00354896" w:rsidRPr="00E14102" w:rsidRDefault="00354896" w:rsidP="00E14102">
      <w:pPr>
        <w:jc w:val="both"/>
        <w:rPr>
          <w:color w:val="0070C0"/>
          <w:sz w:val="16"/>
          <w:szCs w:val="16"/>
        </w:rPr>
      </w:pPr>
      <w:r w:rsidRPr="00E14102">
        <w:rPr>
          <w:color w:val="0070C0"/>
          <w:sz w:val="16"/>
          <w:szCs w:val="16"/>
        </w:rPr>
        <w:t>для производства нитролаков</w:t>
      </w:r>
    </w:p>
    <w:p w14:paraId="0EC27815" w14:textId="77777777" w:rsidR="00354896" w:rsidRPr="00E14102" w:rsidRDefault="00354896" w:rsidP="00E14102">
      <w:pPr>
        <w:jc w:val="both"/>
        <w:rPr>
          <w:color w:val="0070C0"/>
          <w:sz w:val="16"/>
          <w:szCs w:val="16"/>
        </w:rPr>
      </w:pPr>
      <w:r w:rsidRPr="00E14102">
        <w:rPr>
          <w:color w:val="0070C0"/>
          <w:sz w:val="16"/>
          <w:szCs w:val="16"/>
        </w:rPr>
        <w:t>для реконструкции существующего литопонного завода.</w:t>
      </w:r>
    </w:p>
    <w:p w14:paraId="558572AD" w14:textId="77777777" w:rsidR="00354896" w:rsidRPr="00E14102" w:rsidRDefault="00354896" w:rsidP="00E14102">
      <w:pPr>
        <w:jc w:val="both"/>
        <w:rPr>
          <w:color w:val="0070C0"/>
          <w:sz w:val="16"/>
          <w:szCs w:val="16"/>
        </w:rPr>
      </w:pPr>
      <w:r w:rsidRPr="00E14102">
        <w:rPr>
          <w:color w:val="0070C0"/>
          <w:sz w:val="16"/>
          <w:szCs w:val="16"/>
        </w:rPr>
        <w:t>и друг.</w:t>
      </w:r>
    </w:p>
    <w:p w14:paraId="7B8D47C3" w14:textId="77777777" w:rsidR="00354896" w:rsidRPr="00E14102" w:rsidRDefault="00354896" w:rsidP="00E14102">
      <w:pPr>
        <w:jc w:val="both"/>
        <w:rPr>
          <w:color w:val="0070C0"/>
          <w:sz w:val="16"/>
          <w:szCs w:val="16"/>
        </w:rPr>
      </w:pPr>
      <w:r w:rsidRPr="00E14102">
        <w:rPr>
          <w:color w:val="0070C0"/>
          <w:sz w:val="16"/>
          <w:szCs w:val="16"/>
        </w:rPr>
        <w:t>ПРИМЕЧАНИЕ: По этим объектам необходимо при заказе получить от лрм обязательство монтажа, пуска и наладки, а также получение технологического процесса.</w:t>
      </w:r>
    </w:p>
    <w:p w14:paraId="7606F9C6" w14:textId="77777777" w:rsidR="00354896" w:rsidRPr="00E14102" w:rsidRDefault="00354896" w:rsidP="00E14102">
      <w:pPr>
        <w:jc w:val="both"/>
        <w:rPr>
          <w:color w:val="0070C0"/>
          <w:sz w:val="16"/>
          <w:szCs w:val="16"/>
        </w:rPr>
      </w:pPr>
      <w:r w:rsidRPr="00E14102">
        <w:rPr>
          <w:color w:val="0070C0"/>
          <w:sz w:val="16"/>
          <w:szCs w:val="16"/>
        </w:rPr>
        <w:t>88. Оборудование для анило-красочной промышленности, в том число:</w:t>
      </w:r>
    </w:p>
    <w:p w14:paraId="04A91D8A" w14:textId="77777777" w:rsidR="00354896" w:rsidRPr="00E14102" w:rsidRDefault="00354896" w:rsidP="00E14102">
      <w:pPr>
        <w:jc w:val="both"/>
        <w:rPr>
          <w:color w:val="0070C0"/>
          <w:sz w:val="16"/>
          <w:szCs w:val="16"/>
        </w:rPr>
      </w:pPr>
      <w:r w:rsidRPr="00E14102">
        <w:rPr>
          <w:color w:val="0070C0"/>
          <w:sz w:val="16"/>
          <w:szCs w:val="16"/>
        </w:rPr>
        <w:t>Полное оборудование для производства индиго на 200 тн</w:t>
      </w:r>
    </w:p>
    <w:p w14:paraId="66DEED4E" w14:textId="77777777" w:rsidR="00354896" w:rsidRPr="00E14102" w:rsidRDefault="00354896" w:rsidP="00E14102">
      <w:pPr>
        <w:jc w:val="both"/>
        <w:rPr>
          <w:color w:val="0070C0"/>
          <w:sz w:val="16"/>
          <w:szCs w:val="16"/>
        </w:rPr>
      </w:pPr>
      <w:r w:rsidRPr="00E14102">
        <w:rPr>
          <w:color w:val="0070C0"/>
          <w:sz w:val="16"/>
          <w:szCs w:val="16"/>
        </w:rPr>
        <w:t>"</w:t>
      </w:r>
      <w:r w:rsidRPr="00E14102">
        <w:rPr>
          <w:color w:val="0070C0"/>
          <w:sz w:val="16"/>
          <w:szCs w:val="16"/>
        </w:rPr>
        <w:tab/>
        <w:t>"</w:t>
      </w:r>
      <w:r w:rsidRPr="00E14102">
        <w:rPr>
          <w:color w:val="0070C0"/>
          <w:sz w:val="16"/>
          <w:szCs w:val="16"/>
        </w:rPr>
        <w:tab/>
        <w:t xml:space="preserve">для производства индантрена раз личн.марок </w:t>
      </w:r>
    </w:p>
    <w:p w14:paraId="1142AFB1" w14:textId="77777777" w:rsidR="00354896" w:rsidRPr="00E14102" w:rsidRDefault="00354896" w:rsidP="00E14102">
      <w:pPr>
        <w:jc w:val="both"/>
        <w:rPr>
          <w:color w:val="0070C0"/>
          <w:sz w:val="16"/>
          <w:szCs w:val="16"/>
        </w:rPr>
      </w:pPr>
      <w:r w:rsidRPr="00E14102">
        <w:rPr>
          <w:color w:val="0070C0"/>
          <w:sz w:val="16"/>
          <w:szCs w:val="16"/>
        </w:rPr>
        <w:t>"</w:t>
      </w:r>
      <w:r w:rsidRPr="00E14102">
        <w:rPr>
          <w:color w:val="0070C0"/>
          <w:sz w:val="16"/>
          <w:szCs w:val="16"/>
        </w:rPr>
        <w:tab/>
        <w:t>"</w:t>
      </w:r>
      <w:r w:rsidRPr="00E14102">
        <w:rPr>
          <w:color w:val="0070C0"/>
          <w:sz w:val="16"/>
          <w:szCs w:val="16"/>
        </w:rPr>
        <w:tab/>
        <w:t>для</w:t>
      </w:r>
      <w:r w:rsidRPr="00E14102">
        <w:rPr>
          <w:color w:val="0070C0"/>
          <w:sz w:val="16"/>
          <w:szCs w:val="16"/>
        </w:rPr>
        <w:tab/>
        <w:t>производства индигоидов</w:t>
      </w:r>
    </w:p>
    <w:p w14:paraId="465AD16C" w14:textId="77777777" w:rsidR="00354896" w:rsidRPr="00E14102" w:rsidRDefault="00354896" w:rsidP="00E14102">
      <w:pPr>
        <w:jc w:val="both"/>
        <w:rPr>
          <w:color w:val="0070C0"/>
          <w:sz w:val="16"/>
          <w:szCs w:val="16"/>
        </w:rPr>
      </w:pPr>
      <w:r w:rsidRPr="00E14102">
        <w:rPr>
          <w:color w:val="0070C0"/>
          <w:sz w:val="16"/>
          <w:szCs w:val="16"/>
        </w:rPr>
        <w:t>"</w:t>
      </w:r>
      <w:r w:rsidRPr="00E14102">
        <w:rPr>
          <w:color w:val="0070C0"/>
          <w:sz w:val="16"/>
          <w:szCs w:val="16"/>
        </w:rPr>
        <w:tab/>
        <w:t>"</w:t>
      </w:r>
      <w:r w:rsidRPr="00E14102">
        <w:rPr>
          <w:color w:val="0070C0"/>
          <w:sz w:val="16"/>
          <w:szCs w:val="16"/>
        </w:rPr>
        <w:tab/>
        <w:t>для</w:t>
      </w:r>
      <w:r w:rsidRPr="00E14102">
        <w:rPr>
          <w:color w:val="0070C0"/>
          <w:sz w:val="16"/>
          <w:szCs w:val="16"/>
        </w:rPr>
        <w:tab/>
        <w:t>производства кислото-ализапиновпх красите</w:t>
      </w:r>
      <w:r w:rsidRPr="00E14102">
        <w:rPr>
          <w:color w:val="0070C0"/>
          <w:sz w:val="16"/>
          <w:szCs w:val="16"/>
        </w:rPr>
        <w:softHyphen/>
        <w:t>лей</w:t>
      </w:r>
    </w:p>
    <w:p w14:paraId="2520F7F3" w14:textId="77777777" w:rsidR="00354896" w:rsidRPr="00E14102" w:rsidRDefault="00354896" w:rsidP="00E14102">
      <w:pPr>
        <w:jc w:val="both"/>
        <w:rPr>
          <w:color w:val="0070C0"/>
          <w:sz w:val="16"/>
          <w:szCs w:val="16"/>
        </w:rPr>
      </w:pPr>
      <w:r w:rsidRPr="00E14102">
        <w:rPr>
          <w:color w:val="0070C0"/>
          <w:sz w:val="16"/>
          <w:szCs w:val="16"/>
        </w:rPr>
        <w:t>Оборудование для производства трифинвлметаноловнх красителей</w:t>
      </w:r>
    </w:p>
    <w:p w14:paraId="7CD4E556" w14:textId="77777777" w:rsidR="00354896" w:rsidRPr="00E14102" w:rsidRDefault="00354896" w:rsidP="00E14102">
      <w:pPr>
        <w:jc w:val="both"/>
        <w:rPr>
          <w:color w:val="0070C0"/>
          <w:sz w:val="16"/>
          <w:szCs w:val="16"/>
        </w:rPr>
      </w:pPr>
      <w:r w:rsidRPr="00E14102">
        <w:rPr>
          <w:color w:val="0070C0"/>
          <w:sz w:val="16"/>
          <w:szCs w:val="16"/>
        </w:rPr>
        <w:t xml:space="preserve"> " для производства антрахинона</w:t>
      </w:r>
    </w:p>
    <w:p w14:paraId="0E6F2010" w14:textId="77777777" w:rsidR="00354896" w:rsidRPr="00E14102" w:rsidRDefault="00354896" w:rsidP="00E14102">
      <w:pPr>
        <w:jc w:val="both"/>
        <w:rPr>
          <w:color w:val="0070C0"/>
          <w:sz w:val="16"/>
          <w:szCs w:val="16"/>
        </w:rPr>
      </w:pPr>
      <w:r w:rsidRPr="00E14102">
        <w:rPr>
          <w:color w:val="0070C0"/>
          <w:sz w:val="16"/>
          <w:szCs w:val="16"/>
        </w:rPr>
        <w:t xml:space="preserve"> " и колонки для разгонки мононитротеллулолов.</w:t>
      </w:r>
    </w:p>
    <w:p w14:paraId="582DB730" w14:textId="77777777" w:rsidR="00354896" w:rsidRPr="00E14102" w:rsidRDefault="00354896" w:rsidP="00E14102">
      <w:pPr>
        <w:jc w:val="both"/>
        <w:rPr>
          <w:color w:val="0070C0"/>
          <w:sz w:val="16"/>
          <w:szCs w:val="16"/>
        </w:rPr>
      </w:pPr>
      <w:r w:rsidRPr="00E14102">
        <w:rPr>
          <w:color w:val="0070C0"/>
          <w:sz w:val="16"/>
          <w:szCs w:val="16"/>
        </w:rPr>
        <w:t>" для опытных установок, лабораторий и действующих заводов и друг.</w:t>
      </w:r>
    </w:p>
    <w:p w14:paraId="6CD9A12C" w14:textId="77777777" w:rsidR="00354896" w:rsidRPr="00E14102" w:rsidRDefault="00354896" w:rsidP="00E14102">
      <w:pPr>
        <w:jc w:val="both"/>
        <w:rPr>
          <w:color w:val="0070C0"/>
          <w:sz w:val="16"/>
          <w:szCs w:val="16"/>
        </w:rPr>
      </w:pPr>
      <w:r w:rsidRPr="00E14102">
        <w:rPr>
          <w:color w:val="0070C0"/>
          <w:sz w:val="16"/>
          <w:szCs w:val="16"/>
        </w:rPr>
        <w:t>ПРИМЕЧАНИЕ: Ото оборудование необходимо заказать при условии обязател ьства фирмы смон</w:t>
      </w:r>
      <w:r w:rsidRPr="00E14102">
        <w:rPr>
          <w:color w:val="0070C0"/>
          <w:sz w:val="16"/>
          <w:szCs w:val="16"/>
        </w:rPr>
        <w:softHyphen/>
        <w:t>тировать его,наладить и пустить в ход, а также дать все сведения,касающиеся технологического процесса.</w:t>
      </w:r>
    </w:p>
    <w:p w14:paraId="74091509" w14:textId="77777777" w:rsidR="00354896" w:rsidRPr="00E14102" w:rsidRDefault="00354896" w:rsidP="00E14102">
      <w:pPr>
        <w:jc w:val="both"/>
        <w:rPr>
          <w:color w:val="0070C0"/>
          <w:sz w:val="16"/>
          <w:szCs w:val="16"/>
        </w:rPr>
      </w:pPr>
      <w:r w:rsidRPr="00E14102">
        <w:rPr>
          <w:color w:val="0070C0"/>
          <w:sz w:val="16"/>
          <w:szCs w:val="16"/>
        </w:rPr>
        <w:t>89. Агрегаты для производства цепей Галля и морских цепей (автоматы Питтяёра).</w:t>
      </w:r>
    </w:p>
    <w:p w14:paraId="1B78E472" w14:textId="77777777" w:rsidR="00354896" w:rsidRPr="00E14102" w:rsidRDefault="00354896" w:rsidP="00E14102">
      <w:pPr>
        <w:jc w:val="both"/>
        <w:rPr>
          <w:color w:val="0070C0"/>
          <w:sz w:val="16"/>
          <w:szCs w:val="16"/>
        </w:rPr>
      </w:pPr>
      <w:r w:rsidRPr="00E14102">
        <w:rPr>
          <w:color w:val="0070C0"/>
          <w:sz w:val="16"/>
          <w:szCs w:val="16"/>
        </w:rPr>
        <w:t>89. Оборудование для производства абразивов на 2 тыс. тонн, с получением технологического процесса.</w:t>
      </w:r>
    </w:p>
    <w:p w14:paraId="07E0ABBB" w14:textId="77777777" w:rsidR="00354896" w:rsidRPr="00E14102" w:rsidRDefault="00354896" w:rsidP="00E14102">
      <w:pPr>
        <w:jc w:val="both"/>
        <w:rPr>
          <w:color w:val="0070C0"/>
          <w:sz w:val="16"/>
          <w:szCs w:val="16"/>
        </w:rPr>
      </w:pPr>
      <w:r w:rsidRPr="00E14102">
        <w:rPr>
          <w:color w:val="0070C0"/>
          <w:sz w:val="16"/>
          <w:szCs w:val="16"/>
        </w:rPr>
        <w:t>90. Оборудование для производства пластмасс,в том числе:</w:t>
      </w:r>
    </w:p>
    <w:p w14:paraId="5128CEE5" w14:textId="77777777" w:rsidR="00354896" w:rsidRPr="00E14102" w:rsidRDefault="00354896" w:rsidP="00E14102">
      <w:pPr>
        <w:jc w:val="both"/>
        <w:rPr>
          <w:color w:val="0070C0"/>
          <w:sz w:val="16"/>
          <w:szCs w:val="16"/>
        </w:rPr>
      </w:pPr>
      <w:r w:rsidRPr="00E14102">
        <w:rPr>
          <w:color w:val="0070C0"/>
          <w:sz w:val="16"/>
          <w:szCs w:val="16"/>
        </w:rPr>
        <w:t>Комплектная установка для производства триплекса, включая цех очистки линтера, нитроклет</w:t>
      </w:r>
      <w:r w:rsidRPr="00E14102">
        <w:rPr>
          <w:color w:val="0070C0"/>
          <w:sz w:val="16"/>
          <w:szCs w:val="16"/>
        </w:rPr>
        <w:softHyphen/>
        <w:t>чатки и цех триплекса - на 2 тые. тн. в год.</w:t>
      </w:r>
    </w:p>
    <w:p w14:paraId="2595F63E" w14:textId="77777777" w:rsidR="00354896" w:rsidRPr="00E14102" w:rsidRDefault="00354896" w:rsidP="00E14102">
      <w:pPr>
        <w:jc w:val="both"/>
        <w:rPr>
          <w:color w:val="0070C0"/>
          <w:sz w:val="16"/>
          <w:szCs w:val="16"/>
        </w:rPr>
      </w:pPr>
      <w:r w:rsidRPr="00E14102">
        <w:rPr>
          <w:color w:val="0070C0"/>
          <w:sz w:val="16"/>
          <w:szCs w:val="16"/>
        </w:rPr>
        <w:t>Установка для производства синтетической камфоры - на 500 тонн.</w:t>
      </w:r>
    </w:p>
    <w:p w14:paraId="05147434" w14:textId="77777777" w:rsidR="00354896" w:rsidRPr="00E14102" w:rsidRDefault="00354896" w:rsidP="00E14102">
      <w:pPr>
        <w:jc w:val="both"/>
        <w:rPr>
          <w:color w:val="0070C0"/>
          <w:sz w:val="16"/>
          <w:szCs w:val="16"/>
        </w:rPr>
      </w:pPr>
      <w:r w:rsidRPr="00E14102">
        <w:rPr>
          <w:color w:val="0070C0"/>
          <w:sz w:val="16"/>
          <w:szCs w:val="16"/>
        </w:rPr>
        <w:t>Обопудование для производства изделий из поллопаса - на 1,5 тыс.тн. в год.</w:t>
      </w:r>
    </w:p>
    <w:p w14:paraId="7CBAB3E5" w14:textId="77777777" w:rsidR="00354896" w:rsidRPr="00E14102" w:rsidRDefault="00354896" w:rsidP="00E14102">
      <w:pPr>
        <w:jc w:val="both"/>
        <w:rPr>
          <w:color w:val="0070C0"/>
          <w:sz w:val="16"/>
          <w:szCs w:val="16"/>
        </w:rPr>
      </w:pPr>
      <w:r w:rsidRPr="00E14102">
        <w:rPr>
          <w:color w:val="0070C0"/>
          <w:sz w:val="16"/>
          <w:szCs w:val="16"/>
        </w:rPr>
        <w:t>Оборудование для ппоизводства искусственных смол, альбертоля и глибтолина - 400 тн.в год</w:t>
      </w:r>
    </w:p>
    <w:p w14:paraId="2194638F" w14:textId="77777777" w:rsidR="00354896" w:rsidRPr="00E14102" w:rsidRDefault="00354896" w:rsidP="00E14102">
      <w:pPr>
        <w:jc w:val="both"/>
        <w:rPr>
          <w:color w:val="0070C0"/>
          <w:sz w:val="16"/>
          <w:szCs w:val="16"/>
        </w:rPr>
      </w:pPr>
      <w:r w:rsidRPr="00E14102">
        <w:rPr>
          <w:color w:val="0070C0"/>
          <w:sz w:val="16"/>
          <w:szCs w:val="16"/>
        </w:rPr>
        <w:t>Аппаратура для производства хавега - 300 тн.</w:t>
      </w:r>
    </w:p>
    <w:p w14:paraId="54BC3918" w14:textId="77777777" w:rsidR="00354896" w:rsidRPr="00E14102" w:rsidRDefault="00354896" w:rsidP="00E14102">
      <w:pPr>
        <w:jc w:val="both"/>
        <w:rPr>
          <w:color w:val="0070C0"/>
          <w:sz w:val="16"/>
          <w:szCs w:val="16"/>
        </w:rPr>
      </w:pPr>
      <w:r w:rsidRPr="00E14102">
        <w:rPr>
          <w:color w:val="0070C0"/>
          <w:sz w:val="16"/>
          <w:szCs w:val="16"/>
        </w:rPr>
        <w:t>Оборудование для производства линолеума под гранит, мрамор - 100 тыс. кв.метр.в год.</w:t>
      </w:r>
    </w:p>
    <w:p w14:paraId="53E726E2" w14:textId="77777777" w:rsidR="00354896" w:rsidRPr="00E14102" w:rsidRDefault="00354896" w:rsidP="00E14102">
      <w:pPr>
        <w:jc w:val="both"/>
        <w:rPr>
          <w:color w:val="0070C0"/>
          <w:sz w:val="16"/>
          <w:szCs w:val="16"/>
        </w:rPr>
      </w:pPr>
      <w:r w:rsidRPr="00E14102">
        <w:rPr>
          <w:color w:val="0070C0"/>
          <w:sz w:val="16"/>
          <w:szCs w:val="16"/>
        </w:rPr>
        <w:t>Оборудование для производства линкруста - 200 тыс. кв. метров.</w:t>
      </w:r>
    </w:p>
    <w:p w14:paraId="65CB8BC8" w14:textId="77777777" w:rsidR="00354896" w:rsidRPr="00E14102" w:rsidRDefault="00354896" w:rsidP="00E14102">
      <w:pPr>
        <w:jc w:val="both"/>
        <w:rPr>
          <w:color w:val="0070C0"/>
          <w:sz w:val="16"/>
          <w:szCs w:val="16"/>
        </w:rPr>
      </w:pPr>
      <w:r w:rsidRPr="00E14102">
        <w:rPr>
          <w:color w:val="0070C0"/>
          <w:sz w:val="16"/>
          <w:szCs w:val="16"/>
        </w:rPr>
        <w:t>Оборудование для отделочных материалов - 10 тыс. тн.</w:t>
      </w:r>
    </w:p>
    <w:p w14:paraId="4CBE7622" w14:textId="77777777" w:rsidR="00354896" w:rsidRPr="00E14102" w:rsidRDefault="00354896" w:rsidP="00E14102">
      <w:pPr>
        <w:jc w:val="both"/>
        <w:rPr>
          <w:color w:val="0070C0"/>
          <w:sz w:val="16"/>
          <w:szCs w:val="16"/>
        </w:rPr>
      </w:pPr>
      <w:r w:rsidRPr="00E14102">
        <w:rPr>
          <w:color w:val="0070C0"/>
          <w:sz w:val="16"/>
          <w:szCs w:val="16"/>
        </w:rPr>
        <w:t>Оборудование для производства поливинилатов из отхо</w:t>
      </w:r>
      <w:r w:rsidRPr="00E14102">
        <w:rPr>
          <w:color w:val="0070C0"/>
          <w:sz w:val="16"/>
          <w:szCs w:val="16"/>
        </w:rPr>
        <w:softHyphen/>
        <w:t>дов нефтяных креккингов - 1,5 тые.тн.</w:t>
      </w:r>
    </w:p>
    <w:p w14:paraId="41C6E792" w14:textId="77777777" w:rsidR="00354896" w:rsidRPr="00E14102" w:rsidRDefault="00354896" w:rsidP="00E14102">
      <w:pPr>
        <w:jc w:val="both"/>
        <w:rPr>
          <w:color w:val="0070C0"/>
          <w:sz w:val="16"/>
          <w:szCs w:val="16"/>
        </w:rPr>
      </w:pPr>
      <w:r w:rsidRPr="00E14102">
        <w:rPr>
          <w:color w:val="0070C0"/>
          <w:sz w:val="16"/>
          <w:szCs w:val="16"/>
        </w:rPr>
        <w:t>Аппаратура для производства формалина - дополи.400 тн. Оборудование для существующих заводов, научио-исследов. институтов и опытных установок (карбо</w:t>
      </w:r>
      <w:r w:rsidRPr="00E14102">
        <w:rPr>
          <w:color w:val="0070C0"/>
          <w:sz w:val="16"/>
          <w:szCs w:val="16"/>
        </w:rPr>
        <w:softHyphen/>
        <w:t>лит, мочввино-фориал, асфальт,пек) и друг.</w:t>
      </w:r>
    </w:p>
    <w:p w14:paraId="06AE9120" w14:textId="77777777" w:rsidR="00354896" w:rsidRPr="00E14102" w:rsidRDefault="00354896" w:rsidP="00E14102">
      <w:pPr>
        <w:jc w:val="both"/>
        <w:rPr>
          <w:color w:val="0070C0"/>
          <w:sz w:val="16"/>
          <w:szCs w:val="16"/>
        </w:rPr>
      </w:pPr>
      <w:r w:rsidRPr="00E14102">
        <w:rPr>
          <w:color w:val="0070C0"/>
          <w:sz w:val="16"/>
          <w:szCs w:val="16"/>
        </w:rPr>
        <w:t>ПРИМЕЧАНИЕ: По всем этим об"ектам, за исключением аппаратуры для производства формалина, необходимо получить от фирм обязатель</w:t>
      </w:r>
      <w:r w:rsidRPr="00E14102">
        <w:rPr>
          <w:color w:val="0070C0"/>
          <w:sz w:val="16"/>
          <w:szCs w:val="16"/>
        </w:rPr>
        <w:softHyphen/>
        <w:t>ство монтажа, пуска, наладки» а также получения технологического процесса.</w:t>
      </w:r>
    </w:p>
    <w:p w14:paraId="72023E3B" w14:textId="77777777" w:rsidR="00354896" w:rsidRPr="00E14102" w:rsidRDefault="00354896" w:rsidP="00E14102">
      <w:pPr>
        <w:jc w:val="both"/>
        <w:rPr>
          <w:color w:val="0070C0"/>
          <w:sz w:val="16"/>
          <w:szCs w:val="16"/>
        </w:rPr>
      </w:pPr>
      <w:r w:rsidRPr="00E14102">
        <w:rPr>
          <w:color w:val="0070C0"/>
          <w:sz w:val="16"/>
          <w:szCs w:val="16"/>
        </w:rPr>
        <w:t>92. Оборудование, инструмент для производства приборов автопи</w:t>
      </w:r>
      <w:r w:rsidRPr="00E14102">
        <w:rPr>
          <w:color w:val="0070C0"/>
          <w:sz w:val="16"/>
          <w:szCs w:val="16"/>
        </w:rPr>
        <w:softHyphen/>
        <w:t>лотирования новейших конструкций и авиационных приборов и самые приборы.</w:t>
      </w:r>
    </w:p>
    <w:p w14:paraId="5B1A53D2" w14:textId="77777777" w:rsidR="00354896" w:rsidRPr="00E14102" w:rsidRDefault="00354896" w:rsidP="00E14102">
      <w:pPr>
        <w:jc w:val="both"/>
        <w:rPr>
          <w:color w:val="0070C0"/>
          <w:sz w:val="16"/>
          <w:szCs w:val="16"/>
        </w:rPr>
      </w:pPr>
      <w:r w:rsidRPr="00E14102">
        <w:rPr>
          <w:color w:val="0070C0"/>
          <w:sz w:val="16"/>
          <w:szCs w:val="16"/>
        </w:rPr>
        <w:t>93. Оборудование и инструмент для производства приборов аэрологии и актинометрии и самые приборы.</w:t>
      </w:r>
    </w:p>
    <w:p w14:paraId="1C0E78D5" w14:textId="77777777" w:rsidR="00354896" w:rsidRPr="00E14102" w:rsidRDefault="00354896" w:rsidP="00E14102">
      <w:pPr>
        <w:jc w:val="both"/>
        <w:rPr>
          <w:color w:val="0070C0"/>
          <w:sz w:val="16"/>
          <w:szCs w:val="16"/>
        </w:rPr>
      </w:pPr>
      <w:r w:rsidRPr="00E14102">
        <w:rPr>
          <w:color w:val="0070C0"/>
          <w:sz w:val="16"/>
          <w:szCs w:val="16"/>
        </w:rPr>
        <w:t>94. Оборудование и инструмент для производства лагометров, электрических гальванометров и оптических пирометров, а также самые приборы.</w:t>
      </w:r>
    </w:p>
    <w:p w14:paraId="723E392D" w14:textId="77777777" w:rsidR="00354896" w:rsidRPr="00E14102" w:rsidRDefault="00354896" w:rsidP="00E14102">
      <w:pPr>
        <w:jc w:val="both"/>
        <w:rPr>
          <w:color w:val="0070C0"/>
          <w:sz w:val="16"/>
          <w:szCs w:val="16"/>
        </w:rPr>
      </w:pPr>
      <w:r w:rsidRPr="00E14102">
        <w:rPr>
          <w:color w:val="0070C0"/>
          <w:sz w:val="16"/>
          <w:szCs w:val="16"/>
        </w:rPr>
        <w:t>95. Оборудование и инструмент для производства электрических психрометров,газоанализаторов и пылемеров и самые приборы.</w:t>
      </w:r>
    </w:p>
    <w:p w14:paraId="58245D38" w14:textId="77777777" w:rsidR="00354896" w:rsidRPr="00E14102" w:rsidRDefault="00354896" w:rsidP="00E14102">
      <w:pPr>
        <w:jc w:val="both"/>
        <w:rPr>
          <w:color w:val="0070C0"/>
          <w:sz w:val="16"/>
          <w:szCs w:val="16"/>
        </w:rPr>
      </w:pPr>
      <w:r w:rsidRPr="00E14102">
        <w:rPr>
          <w:color w:val="0070C0"/>
          <w:sz w:val="16"/>
          <w:szCs w:val="16"/>
        </w:rPr>
        <w:lastRenderedPageBreak/>
        <w:t>96. Оборудование и инструмент для выпуск разных точприборов и самие приборы</w:t>
      </w:r>
    </w:p>
    <w:p w14:paraId="06192083" w14:textId="77777777" w:rsidR="00354896" w:rsidRPr="00E14102" w:rsidRDefault="00354896" w:rsidP="00E14102">
      <w:pPr>
        <w:jc w:val="both"/>
        <w:rPr>
          <w:color w:val="0070C0"/>
          <w:sz w:val="16"/>
          <w:szCs w:val="16"/>
        </w:rPr>
      </w:pPr>
      <w:r w:rsidRPr="00E14102">
        <w:rPr>
          <w:color w:val="0070C0"/>
          <w:sz w:val="16"/>
          <w:szCs w:val="16"/>
        </w:rPr>
        <w:t>97. Оборудование и инструмент для производства автоматических химических газоанализаторов, электрических газоанализаторов (переносных и стационарных), калориметров и т.п. и самые при</w:t>
      </w:r>
      <w:r w:rsidRPr="00E14102">
        <w:rPr>
          <w:color w:val="0070C0"/>
          <w:sz w:val="16"/>
          <w:szCs w:val="16"/>
        </w:rPr>
        <w:softHyphen/>
        <w:t>боры.</w:t>
      </w:r>
    </w:p>
    <w:p w14:paraId="0D00FC0A" w14:textId="77777777" w:rsidR="00354896" w:rsidRPr="00E14102" w:rsidRDefault="00354896" w:rsidP="00E14102">
      <w:pPr>
        <w:jc w:val="both"/>
        <w:rPr>
          <w:color w:val="0070C0"/>
          <w:sz w:val="16"/>
          <w:szCs w:val="16"/>
        </w:rPr>
      </w:pPr>
      <w:r w:rsidRPr="00E14102">
        <w:rPr>
          <w:color w:val="0070C0"/>
          <w:sz w:val="16"/>
          <w:szCs w:val="16"/>
        </w:rPr>
        <w:t>98. Оборудование и инструмент для производства бензиномеров, масленых манометров, счетчиков оборотов и самые приборы.</w:t>
      </w:r>
    </w:p>
    <w:p w14:paraId="79D1B2D1" w14:textId="77777777" w:rsidR="00354896" w:rsidRPr="00E14102" w:rsidRDefault="00354896" w:rsidP="00E14102">
      <w:pPr>
        <w:jc w:val="both"/>
        <w:rPr>
          <w:color w:val="0070C0"/>
          <w:sz w:val="16"/>
          <w:szCs w:val="16"/>
        </w:rPr>
      </w:pPr>
      <w:r w:rsidRPr="00E14102">
        <w:rPr>
          <w:color w:val="0070C0"/>
          <w:sz w:val="16"/>
          <w:szCs w:val="16"/>
        </w:rPr>
        <w:t>99. Оборудование и инструмент для производства жироскопических компасов, электрических дистанционных тахометров, счетчи</w:t>
      </w:r>
      <w:r w:rsidRPr="00E14102">
        <w:rPr>
          <w:color w:val="0070C0"/>
          <w:sz w:val="16"/>
          <w:szCs w:val="16"/>
        </w:rPr>
        <w:softHyphen/>
        <w:t>ков расхода горючего показателей высоты и самые приборы.</w:t>
      </w:r>
    </w:p>
    <w:p w14:paraId="7CC5FC0D" w14:textId="77777777" w:rsidR="00354896" w:rsidRPr="00E14102" w:rsidRDefault="00354896" w:rsidP="00E14102">
      <w:pPr>
        <w:jc w:val="both"/>
        <w:rPr>
          <w:color w:val="0070C0"/>
          <w:sz w:val="16"/>
          <w:szCs w:val="16"/>
        </w:rPr>
      </w:pPr>
      <w:r w:rsidRPr="00E14102">
        <w:rPr>
          <w:color w:val="0070C0"/>
          <w:sz w:val="16"/>
          <w:szCs w:val="16"/>
        </w:rPr>
        <w:t>100. Разные измерительные и контрольные приборы для речного судо</w:t>
      </w:r>
      <w:r w:rsidRPr="00E14102">
        <w:rPr>
          <w:color w:val="0070C0"/>
          <w:sz w:val="16"/>
          <w:szCs w:val="16"/>
        </w:rPr>
        <w:softHyphen/>
        <w:t>строения.</w:t>
      </w:r>
    </w:p>
    <w:p w14:paraId="52636FF0" w14:textId="77777777" w:rsidR="00354896" w:rsidRPr="00E14102" w:rsidRDefault="00354896" w:rsidP="00E14102">
      <w:pPr>
        <w:jc w:val="both"/>
        <w:rPr>
          <w:color w:val="0070C0"/>
          <w:sz w:val="16"/>
          <w:szCs w:val="16"/>
        </w:rPr>
      </w:pPr>
      <w:r w:rsidRPr="00E14102">
        <w:rPr>
          <w:color w:val="0070C0"/>
          <w:sz w:val="16"/>
          <w:szCs w:val="16"/>
        </w:rPr>
        <w:t>101. Станки для производства судовых двигателей внутреннего сго</w:t>
      </w:r>
      <w:r w:rsidRPr="00E14102">
        <w:rPr>
          <w:color w:val="0070C0"/>
          <w:sz w:val="16"/>
          <w:szCs w:val="16"/>
        </w:rPr>
        <w:softHyphen/>
        <w:t>рания.</w:t>
      </w:r>
    </w:p>
    <w:p w14:paraId="4BCA35B6" w14:textId="77777777" w:rsidR="00354896" w:rsidRPr="00E14102" w:rsidRDefault="00354896" w:rsidP="00E14102">
      <w:pPr>
        <w:jc w:val="both"/>
        <w:rPr>
          <w:color w:val="0070C0"/>
          <w:sz w:val="16"/>
          <w:szCs w:val="16"/>
        </w:rPr>
      </w:pPr>
      <w:r w:rsidRPr="00E14102">
        <w:rPr>
          <w:color w:val="0070C0"/>
          <w:sz w:val="16"/>
          <w:szCs w:val="16"/>
        </w:rPr>
        <w:t>102. Иизмерительные приборы и машины для оборудования лабораторий котдо-турбо-строительнпх заводов (Цейсс,Рейхерт,Шоппер, Лентц).</w:t>
      </w:r>
    </w:p>
    <w:p w14:paraId="277B53B2" w14:textId="77777777" w:rsidR="00354896" w:rsidRPr="00E14102" w:rsidRDefault="00354896" w:rsidP="00E14102">
      <w:pPr>
        <w:jc w:val="both"/>
        <w:rPr>
          <w:color w:val="0070C0"/>
          <w:sz w:val="16"/>
          <w:szCs w:val="16"/>
        </w:rPr>
      </w:pPr>
      <w:r w:rsidRPr="00E14102">
        <w:rPr>
          <w:color w:val="0070C0"/>
          <w:sz w:val="16"/>
          <w:szCs w:val="16"/>
        </w:rPr>
        <w:t>103. Мерительный инструмент для ОТК заводов Котлотурбостроенчия.</w:t>
      </w:r>
    </w:p>
    <w:p w14:paraId="41469F91" w14:textId="77777777" w:rsidR="00354896" w:rsidRPr="00E14102" w:rsidRDefault="00354896" w:rsidP="00E14102">
      <w:pPr>
        <w:jc w:val="both"/>
        <w:rPr>
          <w:color w:val="0070C0"/>
          <w:sz w:val="16"/>
          <w:szCs w:val="16"/>
        </w:rPr>
      </w:pPr>
      <w:r w:rsidRPr="00E14102">
        <w:rPr>
          <w:color w:val="0070C0"/>
          <w:sz w:val="16"/>
          <w:szCs w:val="16"/>
        </w:rPr>
        <w:t>104. Станочное оборудование для котлотуроостроительных заводов (фирм Шисс-Дефрисс, Гейнкер, Вальдрих, Пенк,ЛаЙчак. Старк и друг,</w:t>
      </w:r>
    </w:p>
    <w:p w14:paraId="4D645797" w14:textId="77777777" w:rsidR="00354896" w:rsidRPr="00E14102" w:rsidRDefault="00354896" w:rsidP="00E14102">
      <w:pPr>
        <w:jc w:val="both"/>
        <w:rPr>
          <w:color w:val="0070C0"/>
          <w:sz w:val="16"/>
          <w:szCs w:val="16"/>
        </w:rPr>
      </w:pPr>
      <w:r w:rsidRPr="00E14102">
        <w:rPr>
          <w:color w:val="0070C0"/>
          <w:sz w:val="16"/>
          <w:szCs w:val="16"/>
        </w:rPr>
        <w:t>105. Разгрузочные тележки для цеха сварных барабанов (с рабочими чертежами).</w:t>
      </w:r>
    </w:p>
    <w:p w14:paraId="1D811480" w14:textId="77777777" w:rsidR="00354896" w:rsidRPr="00E14102" w:rsidRDefault="00354896" w:rsidP="00E14102">
      <w:pPr>
        <w:jc w:val="both"/>
        <w:rPr>
          <w:color w:val="0070C0"/>
          <w:sz w:val="16"/>
          <w:szCs w:val="16"/>
        </w:rPr>
      </w:pPr>
      <w:r w:rsidRPr="00E14102">
        <w:rPr>
          <w:color w:val="0070C0"/>
          <w:sz w:val="16"/>
          <w:szCs w:val="16"/>
        </w:rPr>
        <w:t>106. Оборудование для электровакуумной промышленности: в том числе:</w:t>
      </w:r>
    </w:p>
    <w:p w14:paraId="7BFC2167" w14:textId="77777777" w:rsidR="00354896" w:rsidRPr="00E14102" w:rsidRDefault="00354896" w:rsidP="00E14102">
      <w:pPr>
        <w:jc w:val="both"/>
        <w:rPr>
          <w:color w:val="0070C0"/>
          <w:sz w:val="16"/>
          <w:szCs w:val="16"/>
        </w:rPr>
      </w:pPr>
      <w:r w:rsidRPr="00E14102">
        <w:rPr>
          <w:color w:val="0070C0"/>
          <w:sz w:val="16"/>
          <w:szCs w:val="16"/>
        </w:rPr>
        <w:t>Прокэводственное и лабораторное оборудование с уста</w:t>
      </w:r>
      <w:r w:rsidRPr="00E14102">
        <w:rPr>
          <w:color w:val="0070C0"/>
          <w:sz w:val="16"/>
          <w:szCs w:val="16"/>
        </w:rPr>
        <w:softHyphen/>
        <w:t>новкой .наладкой и получением чертежей (для сложных чанов) или только с чертежами (для простых типов).</w:t>
      </w:r>
    </w:p>
    <w:p w14:paraId="129A6162" w14:textId="77777777" w:rsidR="00354896" w:rsidRPr="00E14102" w:rsidRDefault="00354896" w:rsidP="00E14102">
      <w:pPr>
        <w:jc w:val="both"/>
        <w:rPr>
          <w:color w:val="0070C0"/>
          <w:sz w:val="16"/>
          <w:szCs w:val="16"/>
        </w:rPr>
      </w:pPr>
      <w:r w:rsidRPr="00E14102">
        <w:rPr>
          <w:color w:val="0070C0"/>
          <w:sz w:val="16"/>
          <w:szCs w:val="16"/>
        </w:rPr>
        <w:t>Оборудование и технологический процесс для производства мощных радиоламп.</w:t>
      </w:r>
    </w:p>
    <w:p w14:paraId="4796B4E8" w14:textId="77777777" w:rsidR="00354896" w:rsidRPr="00E14102" w:rsidRDefault="00354896" w:rsidP="00E14102">
      <w:pPr>
        <w:jc w:val="both"/>
        <w:rPr>
          <w:color w:val="0070C0"/>
          <w:sz w:val="16"/>
          <w:szCs w:val="16"/>
        </w:rPr>
      </w:pPr>
      <w:r w:rsidRPr="00E14102">
        <w:rPr>
          <w:color w:val="0070C0"/>
          <w:sz w:val="16"/>
          <w:szCs w:val="16"/>
        </w:rPr>
        <w:t>107. Для телефонии:</w:t>
      </w:r>
    </w:p>
    <w:p w14:paraId="7BA70CFB" w14:textId="77777777" w:rsidR="00354896" w:rsidRPr="00E14102" w:rsidRDefault="00354896" w:rsidP="00E14102">
      <w:pPr>
        <w:jc w:val="both"/>
        <w:rPr>
          <w:color w:val="0070C0"/>
          <w:sz w:val="16"/>
          <w:szCs w:val="16"/>
        </w:rPr>
      </w:pPr>
      <w:r w:rsidRPr="00E14102">
        <w:rPr>
          <w:color w:val="0070C0"/>
          <w:sz w:val="16"/>
          <w:szCs w:val="16"/>
        </w:rPr>
        <w:t>Лабораторнос оборудование, изменительные приборы теле</w:t>
      </w:r>
      <w:r w:rsidRPr="00E14102">
        <w:rPr>
          <w:color w:val="0070C0"/>
          <w:sz w:val="16"/>
          <w:szCs w:val="16"/>
        </w:rPr>
        <w:softHyphen/>
        <w:t>фонной техники и др.</w:t>
      </w:r>
    </w:p>
    <w:p w14:paraId="52A9FE2E" w14:textId="77777777" w:rsidR="00354896" w:rsidRPr="00E14102" w:rsidRDefault="00354896" w:rsidP="00E14102">
      <w:pPr>
        <w:jc w:val="both"/>
        <w:rPr>
          <w:color w:val="0070C0"/>
          <w:sz w:val="16"/>
          <w:szCs w:val="16"/>
        </w:rPr>
      </w:pPr>
      <w:r w:rsidRPr="00E14102">
        <w:rPr>
          <w:color w:val="0070C0"/>
          <w:sz w:val="16"/>
          <w:szCs w:val="16"/>
        </w:rPr>
        <w:t>108. Для телеграфии:</w:t>
      </w:r>
    </w:p>
    <w:p w14:paraId="5E89146F" w14:textId="77777777" w:rsidR="00354896" w:rsidRPr="00E14102" w:rsidRDefault="00354896" w:rsidP="00E14102">
      <w:pPr>
        <w:jc w:val="both"/>
        <w:rPr>
          <w:color w:val="0070C0"/>
          <w:sz w:val="16"/>
          <w:szCs w:val="16"/>
        </w:rPr>
      </w:pPr>
      <w:r w:rsidRPr="00E14102">
        <w:rPr>
          <w:color w:val="0070C0"/>
          <w:sz w:val="16"/>
          <w:szCs w:val="16"/>
        </w:rPr>
        <w:t>Лабораторное оборудование и др.</w:t>
      </w:r>
    </w:p>
    <w:p w14:paraId="4BE1CB7A" w14:textId="77777777" w:rsidR="00354896" w:rsidRPr="00E14102" w:rsidRDefault="00354896" w:rsidP="00E14102">
      <w:pPr>
        <w:jc w:val="both"/>
        <w:rPr>
          <w:color w:val="0070C0"/>
          <w:sz w:val="16"/>
          <w:szCs w:val="16"/>
        </w:rPr>
      </w:pPr>
      <w:r w:rsidRPr="00E14102">
        <w:rPr>
          <w:color w:val="0070C0"/>
          <w:sz w:val="16"/>
          <w:szCs w:val="16"/>
        </w:rPr>
        <w:t>109. Для производства электроизмерительных приборов:</w:t>
      </w:r>
    </w:p>
    <w:p w14:paraId="3047E967" w14:textId="77777777" w:rsidR="00354896" w:rsidRPr="00E14102" w:rsidRDefault="00354896" w:rsidP="00E14102">
      <w:pPr>
        <w:jc w:val="both"/>
        <w:rPr>
          <w:color w:val="0070C0"/>
          <w:sz w:val="16"/>
          <w:szCs w:val="16"/>
        </w:rPr>
      </w:pPr>
      <w:r w:rsidRPr="00E14102">
        <w:rPr>
          <w:color w:val="0070C0"/>
          <w:sz w:val="16"/>
          <w:szCs w:val="16"/>
        </w:rPr>
        <w:t>Производствен. оборудоваппе,</w:t>
      </w:r>
    </w:p>
    <w:p w14:paraId="51D1E557" w14:textId="77777777" w:rsidR="00354896" w:rsidRPr="00E14102" w:rsidRDefault="00354896" w:rsidP="00E14102">
      <w:pPr>
        <w:jc w:val="both"/>
        <w:rPr>
          <w:color w:val="0070C0"/>
          <w:sz w:val="16"/>
          <w:szCs w:val="16"/>
        </w:rPr>
      </w:pPr>
      <w:r w:rsidRPr="00E14102">
        <w:rPr>
          <w:color w:val="0070C0"/>
          <w:sz w:val="16"/>
          <w:szCs w:val="16"/>
        </w:rPr>
        <w:t>Иинструмент</w:t>
      </w:r>
    </w:p>
    <w:p w14:paraId="7C581B09" w14:textId="77777777" w:rsidR="00354896" w:rsidRPr="00E14102" w:rsidRDefault="00354896" w:rsidP="00E14102">
      <w:pPr>
        <w:jc w:val="both"/>
        <w:rPr>
          <w:color w:val="0070C0"/>
          <w:sz w:val="16"/>
          <w:szCs w:val="16"/>
        </w:rPr>
      </w:pPr>
      <w:r w:rsidRPr="00E14102">
        <w:rPr>
          <w:color w:val="0070C0"/>
          <w:sz w:val="16"/>
          <w:szCs w:val="16"/>
        </w:rPr>
        <w:t>Лабораторные приборы и др.</w:t>
      </w:r>
    </w:p>
    <w:p w14:paraId="5B121FB4" w14:textId="77777777" w:rsidR="00354896" w:rsidRPr="00E14102" w:rsidRDefault="00354896" w:rsidP="00E14102">
      <w:pPr>
        <w:jc w:val="both"/>
        <w:rPr>
          <w:color w:val="0070C0"/>
          <w:sz w:val="16"/>
          <w:szCs w:val="16"/>
        </w:rPr>
      </w:pPr>
      <w:r w:rsidRPr="00E14102">
        <w:rPr>
          <w:color w:val="0070C0"/>
          <w:sz w:val="16"/>
          <w:szCs w:val="16"/>
        </w:rPr>
        <w:t>110. Для телевидения я телемеханики:</w:t>
      </w:r>
    </w:p>
    <w:p w14:paraId="61572AE8" w14:textId="77777777" w:rsidR="00354896" w:rsidRPr="00E14102" w:rsidRDefault="00354896" w:rsidP="00E14102">
      <w:pPr>
        <w:jc w:val="both"/>
        <w:rPr>
          <w:color w:val="0070C0"/>
          <w:sz w:val="16"/>
          <w:szCs w:val="16"/>
        </w:rPr>
      </w:pPr>
      <w:r w:rsidRPr="00E14102">
        <w:rPr>
          <w:color w:val="0070C0"/>
          <w:sz w:val="16"/>
          <w:szCs w:val="16"/>
        </w:rPr>
        <w:t>Новейшая аппаратура</w:t>
      </w:r>
    </w:p>
    <w:p w14:paraId="68160369" w14:textId="77777777" w:rsidR="00354896" w:rsidRPr="00E14102" w:rsidRDefault="00354896" w:rsidP="00E14102">
      <w:pPr>
        <w:jc w:val="both"/>
        <w:rPr>
          <w:color w:val="0070C0"/>
          <w:sz w:val="16"/>
          <w:szCs w:val="16"/>
        </w:rPr>
      </w:pPr>
      <w:r w:rsidRPr="00E14102">
        <w:rPr>
          <w:color w:val="0070C0"/>
          <w:sz w:val="16"/>
          <w:szCs w:val="16"/>
        </w:rPr>
        <w:t>Гидрокомпасы Аншюца - 5-10 штук с правом изучения произ</w:t>
      </w:r>
      <w:r w:rsidRPr="00E14102">
        <w:rPr>
          <w:color w:val="0070C0"/>
          <w:sz w:val="16"/>
          <w:szCs w:val="16"/>
        </w:rPr>
        <w:softHyphen/>
        <w:t>водства на мосте нашими инженерами и с передачей патента производства нам для внутреннею использования, а также права покупки части наибо</w:t>
      </w:r>
      <w:r w:rsidRPr="00E14102">
        <w:rPr>
          <w:color w:val="0070C0"/>
          <w:sz w:val="16"/>
          <w:szCs w:val="16"/>
        </w:rPr>
        <w:softHyphen/>
        <w:t>лее сложных полуфабрикатов первой нашей серии.</w:t>
      </w:r>
    </w:p>
    <w:p w14:paraId="2F8DBA06" w14:textId="77777777" w:rsidR="00354896" w:rsidRPr="00E14102" w:rsidRDefault="00354896" w:rsidP="00E14102">
      <w:pPr>
        <w:jc w:val="both"/>
        <w:rPr>
          <w:color w:val="0070C0"/>
          <w:sz w:val="16"/>
          <w:szCs w:val="16"/>
        </w:rPr>
      </w:pPr>
      <w:r w:rsidRPr="00E14102">
        <w:rPr>
          <w:color w:val="0070C0"/>
          <w:sz w:val="16"/>
          <w:szCs w:val="16"/>
        </w:rPr>
        <w:t>111. Для радиотехники:</w:t>
      </w:r>
    </w:p>
    <w:p w14:paraId="6B263AB7" w14:textId="77777777" w:rsidR="00354896" w:rsidRPr="00E14102" w:rsidRDefault="00354896" w:rsidP="00E14102">
      <w:pPr>
        <w:jc w:val="both"/>
        <w:rPr>
          <w:color w:val="0070C0"/>
          <w:sz w:val="16"/>
          <w:szCs w:val="16"/>
        </w:rPr>
      </w:pPr>
      <w:r w:rsidRPr="00E14102">
        <w:rPr>
          <w:color w:val="0070C0"/>
          <w:sz w:val="16"/>
          <w:szCs w:val="16"/>
        </w:rPr>
        <w:t>Всю новейшую аппаратуру.детали и т.п.</w:t>
      </w:r>
    </w:p>
    <w:p w14:paraId="34A763B6" w14:textId="77777777" w:rsidR="00354896" w:rsidRPr="00E14102" w:rsidRDefault="00354896" w:rsidP="00E14102">
      <w:pPr>
        <w:jc w:val="both"/>
        <w:rPr>
          <w:color w:val="0070C0"/>
          <w:sz w:val="16"/>
          <w:szCs w:val="16"/>
        </w:rPr>
      </w:pPr>
      <w:r w:rsidRPr="00E14102">
        <w:rPr>
          <w:color w:val="0070C0"/>
          <w:sz w:val="16"/>
          <w:szCs w:val="16"/>
        </w:rPr>
        <w:t>112. Сложное производственное оборудование, перечисленное в н.п.106,111, в том числе и точная электромеханика.</w:t>
      </w:r>
    </w:p>
    <w:p w14:paraId="14A8FFE2" w14:textId="77777777" w:rsidR="00354896" w:rsidRPr="00E14102" w:rsidRDefault="00354896" w:rsidP="00E14102">
      <w:pPr>
        <w:jc w:val="both"/>
        <w:rPr>
          <w:color w:val="0070C0"/>
          <w:sz w:val="16"/>
          <w:szCs w:val="16"/>
        </w:rPr>
      </w:pPr>
      <w:r w:rsidRPr="00E14102">
        <w:rPr>
          <w:color w:val="0070C0"/>
          <w:sz w:val="16"/>
          <w:szCs w:val="16"/>
        </w:rPr>
        <w:t>113. Оборудование для ректификационной установки ацетонового завода.</w:t>
      </w:r>
    </w:p>
    <w:p w14:paraId="326D2E82" w14:textId="77777777" w:rsidR="00354896" w:rsidRPr="00E14102" w:rsidRDefault="00354896" w:rsidP="00E14102">
      <w:pPr>
        <w:jc w:val="both"/>
        <w:rPr>
          <w:color w:val="0070C0"/>
          <w:sz w:val="16"/>
          <w:szCs w:val="16"/>
        </w:rPr>
      </w:pPr>
      <w:r w:rsidRPr="00E14102">
        <w:rPr>
          <w:color w:val="0070C0"/>
          <w:sz w:val="16"/>
          <w:szCs w:val="16"/>
        </w:rPr>
        <w:t>114. Лабораторное оборудование для опытных заводов и научно- исследовательских институтов лакокрасочной промпшленностн.</w:t>
      </w:r>
    </w:p>
    <w:p w14:paraId="219E0DEA" w14:textId="77777777" w:rsidR="00354896" w:rsidRPr="00E14102" w:rsidRDefault="00354896" w:rsidP="00E14102">
      <w:pPr>
        <w:jc w:val="both"/>
        <w:rPr>
          <w:color w:val="0070C0"/>
          <w:sz w:val="16"/>
          <w:szCs w:val="16"/>
        </w:rPr>
      </w:pPr>
      <w:r w:rsidRPr="00E14102">
        <w:rPr>
          <w:color w:val="0070C0"/>
          <w:sz w:val="16"/>
          <w:szCs w:val="16"/>
        </w:rPr>
        <w:t>115. Стан Дишера для производства цельнокатаных труб длиной до 10 метров.</w:t>
      </w:r>
    </w:p>
    <w:p w14:paraId="478897EF" w14:textId="77777777" w:rsidR="00354896" w:rsidRPr="00E14102" w:rsidRDefault="00354896" w:rsidP="00E14102">
      <w:pPr>
        <w:jc w:val="both"/>
        <w:rPr>
          <w:color w:val="0070C0"/>
          <w:sz w:val="16"/>
          <w:szCs w:val="16"/>
        </w:rPr>
      </w:pPr>
      <w:r w:rsidRPr="00E14102">
        <w:rPr>
          <w:color w:val="0070C0"/>
          <w:sz w:val="16"/>
          <w:szCs w:val="16"/>
        </w:rPr>
        <w:t>116. Оборудование для изготовления суррогатов</w:t>
      </w:r>
    </w:p>
    <w:p w14:paraId="5E398211" w14:textId="77777777" w:rsidR="00354896" w:rsidRPr="00E14102" w:rsidRDefault="00354896" w:rsidP="00E14102">
      <w:pPr>
        <w:jc w:val="both"/>
        <w:rPr>
          <w:color w:val="0070C0"/>
          <w:sz w:val="16"/>
          <w:szCs w:val="16"/>
        </w:rPr>
      </w:pPr>
      <w:r w:rsidRPr="00E14102">
        <w:rPr>
          <w:color w:val="0070C0"/>
          <w:sz w:val="16"/>
          <w:szCs w:val="16"/>
        </w:rPr>
        <w:t>Полное оборудование для производства синтетического каучука</w:t>
      </w:r>
    </w:p>
    <w:p w14:paraId="5F3FA2A3" w14:textId="77777777" w:rsidR="00354896" w:rsidRPr="00E14102" w:rsidRDefault="00354896" w:rsidP="00E14102">
      <w:pPr>
        <w:jc w:val="both"/>
        <w:rPr>
          <w:color w:val="0070C0"/>
          <w:sz w:val="16"/>
          <w:szCs w:val="16"/>
        </w:rPr>
      </w:pPr>
      <w:r w:rsidRPr="00E14102">
        <w:rPr>
          <w:color w:val="0070C0"/>
          <w:sz w:val="16"/>
          <w:szCs w:val="16"/>
        </w:rPr>
        <w:t>Оборудование для производства кожсуроогатов.</w:t>
      </w:r>
    </w:p>
    <w:p w14:paraId="274F269A" w14:textId="77777777" w:rsidR="00354896" w:rsidRPr="00E14102" w:rsidRDefault="00354896" w:rsidP="00E14102">
      <w:pPr>
        <w:jc w:val="both"/>
        <w:rPr>
          <w:color w:val="0070C0"/>
          <w:sz w:val="16"/>
          <w:szCs w:val="16"/>
        </w:rPr>
      </w:pPr>
      <w:r w:rsidRPr="00E14102">
        <w:rPr>
          <w:color w:val="0070C0"/>
          <w:sz w:val="16"/>
          <w:szCs w:val="16"/>
        </w:rPr>
        <w:t>Оборудование для изготовления кото</w:t>
      </w:r>
      <w:r w:rsidRPr="00E14102">
        <w:rPr>
          <w:color w:val="0070C0"/>
          <w:sz w:val="16"/>
          <w:szCs w:val="16"/>
        </w:rPr>
        <w:softHyphen/>
        <w:t>нина и пряжи из него фирмы Эмиль Блиндер.</w:t>
      </w:r>
    </w:p>
    <w:p w14:paraId="22889E31" w14:textId="77777777" w:rsidR="00354896" w:rsidRPr="00E14102" w:rsidRDefault="00354896" w:rsidP="00E14102">
      <w:pPr>
        <w:jc w:val="both"/>
        <w:rPr>
          <w:color w:val="0070C0"/>
          <w:sz w:val="16"/>
          <w:szCs w:val="16"/>
        </w:rPr>
      </w:pPr>
      <w:r w:rsidRPr="00E14102">
        <w:rPr>
          <w:color w:val="0070C0"/>
          <w:sz w:val="16"/>
          <w:szCs w:val="16"/>
        </w:rPr>
        <w:t>По этим об’ектам фирмы должны смонти</w:t>
      </w:r>
      <w:r w:rsidRPr="00E14102">
        <w:rPr>
          <w:color w:val="0070C0"/>
          <w:sz w:val="16"/>
          <w:szCs w:val="16"/>
        </w:rPr>
        <w:softHyphen/>
        <w:t>ровать их, пустить и наладить произ</w:t>
      </w:r>
      <w:r w:rsidRPr="00E14102">
        <w:rPr>
          <w:color w:val="0070C0"/>
          <w:sz w:val="16"/>
          <w:szCs w:val="16"/>
        </w:rPr>
        <w:softHyphen/>
        <w:t>водство, а также пе</w:t>
      </w:r>
      <w:r w:rsidRPr="00E14102">
        <w:rPr>
          <w:color w:val="0070C0"/>
          <w:sz w:val="16"/>
          <w:szCs w:val="16"/>
        </w:rPr>
        <w:softHyphen/>
        <w:t>редать технологи</w:t>
      </w:r>
      <w:r w:rsidRPr="00E14102">
        <w:rPr>
          <w:color w:val="0070C0"/>
          <w:sz w:val="16"/>
          <w:szCs w:val="16"/>
        </w:rPr>
        <w:softHyphen/>
        <w:t>ческий процесс.</w:t>
      </w:r>
    </w:p>
    <w:p w14:paraId="6E2972C6" w14:textId="77777777" w:rsidR="00354896" w:rsidRPr="00E14102" w:rsidRDefault="00354896" w:rsidP="00E14102">
      <w:pPr>
        <w:jc w:val="both"/>
        <w:rPr>
          <w:color w:val="0070C0"/>
          <w:sz w:val="16"/>
          <w:szCs w:val="16"/>
        </w:rPr>
      </w:pPr>
      <w:r w:rsidRPr="00E14102">
        <w:rPr>
          <w:color w:val="0070C0"/>
          <w:sz w:val="16"/>
          <w:szCs w:val="16"/>
        </w:rPr>
        <w:t>117. Различное оборудование для шерстяной.хлопчато</w:t>
      </w:r>
      <w:r w:rsidRPr="00E14102">
        <w:rPr>
          <w:color w:val="0070C0"/>
          <w:sz w:val="16"/>
          <w:szCs w:val="16"/>
        </w:rPr>
        <w:softHyphen/>
        <w:t>бумажной , шелковой, трикотажной, льняной, пень</w:t>
      </w:r>
      <w:r w:rsidRPr="00E14102">
        <w:rPr>
          <w:color w:val="0070C0"/>
          <w:sz w:val="16"/>
          <w:szCs w:val="16"/>
        </w:rPr>
        <w:softHyphen/>
        <w:t>ково-джутовой промышленностей, в ток числе:</w:t>
      </w:r>
    </w:p>
    <w:p w14:paraId="4724FFE1" w14:textId="77777777" w:rsidR="00354896" w:rsidRPr="00E14102" w:rsidRDefault="00354896" w:rsidP="00E14102">
      <w:pPr>
        <w:jc w:val="both"/>
        <w:rPr>
          <w:color w:val="0070C0"/>
          <w:sz w:val="16"/>
          <w:szCs w:val="16"/>
        </w:rPr>
      </w:pPr>
      <w:r w:rsidRPr="00E14102">
        <w:rPr>
          <w:color w:val="0070C0"/>
          <w:sz w:val="16"/>
          <w:szCs w:val="16"/>
        </w:rPr>
        <w:t>Ткацкие автоматы фирмы Фомаг и др.</w:t>
      </w:r>
    </w:p>
    <w:p w14:paraId="71792E95" w14:textId="77777777" w:rsidR="00354896" w:rsidRPr="00E14102" w:rsidRDefault="00354896" w:rsidP="00E14102">
      <w:pPr>
        <w:jc w:val="both"/>
        <w:rPr>
          <w:color w:val="0070C0"/>
          <w:sz w:val="16"/>
          <w:szCs w:val="16"/>
        </w:rPr>
      </w:pPr>
      <w:r w:rsidRPr="00E14102">
        <w:rPr>
          <w:color w:val="0070C0"/>
          <w:sz w:val="16"/>
          <w:szCs w:val="16"/>
        </w:rPr>
        <w:t>Мотальные и сновальные машины шлафгорст и др.фирм.</w:t>
      </w:r>
    </w:p>
    <w:p w14:paraId="50FCEDC8" w14:textId="77777777" w:rsidR="00354896" w:rsidRPr="00E14102" w:rsidRDefault="00354896" w:rsidP="00E14102">
      <w:pPr>
        <w:jc w:val="both"/>
        <w:rPr>
          <w:color w:val="0070C0"/>
          <w:sz w:val="16"/>
          <w:szCs w:val="16"/>
        </w:rPr>
      </w:pPr>
      <w:r w:rsidRPr="00E14102">
        <w:rPr>
          <w:color w:val="0070C0"/>
          <w:sz w:val="16"/>
          <w:szCs w:val="16"/>
        </w:rPr>
        <w:t>Ватера экстра-высоких вытяжек Гарт</w:t>
      </w:r>
      <w:r w:rsidRPr="00E14102">
        <w:rPr>
          <w:color w:val="0070C0"/>
          <w:sz w:val="16"/>
          <w:szCs w:val="16"/>
        </w:rPr>
        <w:softHyphen/>
        <w:t>ман и др. фирм.</w:t>
      </w:r>
    </w:p>
    <w:p w14:paraId="123B01FA" w14:textId="77777777" w:rsidR="00354896" w:rsidRPr="00E14102" w:rsidRDefault="00354896" w:rsidP="00E14102">
      <w:pPr>
        <w:jc w:val="both"/>
        <w:rPr>
          <w:color w:val="0070C0"/>
          <w:sz w:val="16"/>
          <w:szCs w:val="16"/>
        </w:rPr>
      </w:pPr>
      <w:r w:rsidRPr="00E14102">
        <w:rPr>
          <w:color w:val="0070C0"/>
          <w:sz w:val="16"/>
          <w:szCs w:val="16"/>
        </w:rPr>
        <w:t>Сушилки турбиннне и другие фирмы Гюттнер, ф-мы Гесснер и др.</w:t>
      </w:r>
    </w:p>
    <w:p w14:paraId="7CC79202" w14:textId="77777777" w:rsidR="00354896" w:rsidRPr="00E14102" w:rsidRDefault="00354896" w:rsidP="00E14102">
      <w:pPr>
        <w:jc w:val="both"/>
        <w:rPr>
          <w:color w:val="0070C0"/>
          <w:sz w:val="16"/>
          <w:szCs w:val="16"/>
        </w:rPr>
      </w:pPr>
      <w:r w:rsidRPr="00E14102">
        <w:rPr>
          <w:color w:val="0070C0"/>
          <w:sz w:val="16"/>
          <w:szCs w:val="16"/>
        </w:rPr>
        <w:t>Многочелночные ткацкие станки Шен</w:t>
      </w:r>
      <w:r w:rsidRPr="00E14102">
        <w:rPr>
          <w:color w:val="0070C0"/>
          <w:sz w:val="16"/>
          <w:szCs w:val="16"/>
        </w:rPr>
        <w:softHyphen/>
        <w:t>терт и друг.</w:t>
      </w:r>
    </w:p>
    <w:p w14:paraId="0F394DCA" w14:textId="77777777" w:rsidR="00354896" w:rsidRPr="00E14102" w:rsidRDefault="00354896" w:rsidP="00E14102">
      <w:pPr>
        <w:jc w:val="both"/>
        <w:rPr>
          <w:color w:val="0070C0"/>
          <w:sz w:val="16"/>
          <w:szCs w:val="16"/>
        </w:rPr>
      </w:pPr>
      <w:r w:rsidRPr="00E14102">
        <w:rPr>
          <w:color w:val="0070C0"/>
          <w:sz w:val="16"/>
          <w:szCs w:val="16"/>
        </w:rPr>
        <w:t>Машины для крашения и отделки шелка Гаубольд и др.</w:t>
      </w:r>
    </w:p>
    <w:p w14:paraId="246A09FD" w14:textId="77777777" w:rsidR="00354896" w:rsidRPr="00E14102" w:rsidRDefault="00354896" w:rsidP="00E14102">
      <w:pPr>
        <w:jc w:val="both"/>
        <w:rPr>
          <w:color w:val="0070C0"/>
          <w:sz w:val="16"/>
          <w:szCs w:val="16"/>
        </w:rPr>
      </w:pPr>
      <w:r w:rsidRPr="00E14102">
        <w:rPr>
          <w:color w:val="0070C0"/>
          <w:sz w:val="16"/>
          <w:szCs w:val="16"/>
        </w:rPr>
        <w:t>Прнготовительные системы льняных машин.</w:t>
      </w:r>
    </w:p>
    <w:p w14:paraId="130DECF4" w14:textId="77777777" w:rsidR="00354896" w:rsidRPr="00E14102" w:rsidRDefault="00354896" w:rsidP="00E14102">
      <w:pPr>
        <w:jc w:val="both"/>
        <w:rPr>
          <w:color w:val="0070C0"/>
          <w:sz w:val="16"/>
          <w:szCs w:val="16"/>
        </w:rPr>
      </w:pPr>
      <w:r w:rsidRPr="00E14102">
        <w:rPr>
          <w:color w:val="0070C0"/>
          <w:sz w:val="16"/>
          <w:szCs w:val="16"/>
        </w:rPr>
        <w:t>Кардные машины для льна и др.</w:t>
      </w:r>
    </w:p>
    <w:p w14:paraId="18480F68" w14:textId="77777777" w:rsidR="00354896" w:rsidRPr="00E14102" w:rsidRDefault="00354896" w:rsidP="00E14102">
      <w:pPr>
        <w:jc w:val="both"/>
        <w:rPr>
          <w:color w:val="0070C0"/>
          <w:sz w:val="16"/>
          <w:szCs w:val="16"/>
        </w:rPr>
      </w:pPr>
      <w:r w:rsidRPr="00E14102">
        <w:rPr>
          <w:color w:val="0070C0"/>
          <w:sz w:val="16"/>
          <w:szCs w:val="16"/>
        </w:rPr>
        <w:t>По этим об"актам фирмы должны смон</w:t>
      </w:r>
      <w:r w:rsidRPr="00E14102">
        <w:rPr>
          <w:color w:val="0070C0"/>
          <w:sz w:val="16"/>
          <w:szCs w:val="16"/>
        </w:rPr>
        <w:softHyphen/>
        <w:t>тировать их, пустить и наладить произ</w:t>
      </w:r>
      <w:r w:rsidRPr="00E14102">
        <w:rPr>
          <w:color w:val="0070C0"/>
          <w:sz w:val="16"/>
          <w:szCs w:val="16"/>
        </w:rPr>
        <w:softHyphen/>
        <w:t>водство, а также пе</w:t>
      </w:r>
      <w:r w:rsidRPr="00E14102">
        <w:rPr>
          <w:color w:val="0070C0"/>
          <w:sz w:val="16"/>
          <w:szCs w:val="16"/>
        </w:rPr>
        <w:softHyphen/>
        <w:t>редать технологи</w:t>
      </w:r>
      <w:r w:rsidRPr="00E14102">
        <w:rPr>
          <w:color w:val="0070C0"/>
          <w:sz w:val="16"/>
          <w:szCs w:val="16"/>
        </w:rPr>
        <w:softHyphen/>
        <w:t>ческий процесс.</w:t>
      </w:r>
    </w:p>
    <w:p w14:paraId="1F83B631" w14:textId="77777777" w:rsidR="00354896" w:rsidRPr="00E14102" w:rsidRDefault="00354896" w:rsidP="00E14102">
      <w:pPr>
        <w:jc w:val="both"/>
        <w:rPr>
          <w:color w:val="0070C0"/>
          <w:sz w:val="16"/>
          <w:szCs w:val="16"/>
        </w:rPr>
      </w:pPr>
      <w:r w:rsidRPr="00E14102">
        <w:rPr>
          <w:color w:val="0070C0"/>
          <w:sz w:val="16"/>
          <w:szCs w:val="16"/>
        </w:rPr>
        <w:t>118. Оборудование для штамповки и заклепки корпу</w:t>
      </w:r>
      <w:r w:rsidRPr="00E14102">
        <w:rPr>
          <w:color w:val="0070C0"/>
          <w:sz w:val="16"/>
          <w:szCs w:val="16"/>
        </w:rPr>
        <w:softHyphen/>
        <w:t>сов самолетов.</w:t>
      </w:r>
    </w:p>
    <w:p w14:paraId="1AF12C20" w14:textId="77777777" w:rsidR="00354896" w:rsidRPr="00E14102" w:rsidRDefault="00354896" w:rsidP="00E14102">
      <w:pPr>
        <w:jc w:val="both"/>
        <w:rPr>
          <w:color w:val="0070C0"/>
          <w:sz w:val="16"/>
          <w:szCs w:val="16"/>
        </w:rPr>
      </w:pPr>
      <w:r w:rsidRPr="00E14102">
        <w:rPr>
          <w:color w:val="0070C0"/>
          <w:sz w:val="16"/>
          <w:szCs w:val="16"/>
        </w:rPr>
        <w:t>119. Оборудование для изготовления дизельной аппаратуры (форсунки, топливные насосы и др.).</w:t>
      </w:r>
    </w:p>
    <w:p w14:paraId="3136958D" w14:textId="77777777" w:rsidR="00354896" w:rsidRPr="00E14102" w:rsidRDefault="00354896" w:rsidP="00E14102">
      <w:pPr>
        <w:jc w:val="both"/>
        <w:rPr>
          <w:color w:val="0070C0"/>
          <w:sz w:val="16"/>
          <w:szCs w:val="16"/>
        </w:rPr>
      </w:pPr>
      <w:r w:rsidRPr="00E14102">
        <w:rPr>
          <w:color w:val="0070C0"/>
          <w:sz w:val="16"/>
          <w:szCs w:val="16"/>
        </w:rPr>
        <w:t>120. Разные приспособления, реле,трубки.</w:t>
      </w:r>
    </w:p>
    <w:p w14:paraId="16141878" w14:textId="77777777" w:rsidR="00354896" w:rsidRPr="00E14102" w:rsidRDefault="00354896" w:rsidP="00E14102">
      <w:pPr>
        <w:jc w:val="both"/>
        <w:rPr>
          <w:color w:val="0070C0"/>
          <w:sz w:val="16"/>
          <w:szCs w:val="16"/>
        </w:rPr>
      </w:pPr>
      <w:r w:rsidRPr="00E14102">
        <w:rPr>
          <w:color w:val="0070C0"/>
          <w:sz w:val="16"/>
          <w:szCs w:val="16"/>
        </w:rPr>
        <w:t>121. Отдельные станки,машины и турбокомпрессо</w:t>
      </w:r>
      <w:r w:rsidRPr="00E14102">
        <w:rPr>
          <w:color w:val="0070C0"/>
          <w:sz w:val="16"/>
          <w:szCs w:val="16"/>
        </w:rPr>
        <w:softHyphen/>
        <w:t>ра.</w:t>
      </w:r>
    </w:p>
    <w:p w14:paraId="1BFB69B2" w14:textId="77777777" w:rsidR="00354896" w:rsidRPr="00E14102" w:rsidRDefault="00354896" w:rsidP="00E14102">
      <w:pPr>
        <w:jc w:val="both"/>
        <w:rPr>
          <w:color w:val="0070C0"/>
          <w:sz w:val="16"/>
          <w:szCs w:val="16"/>
        </w:rPr>
      </w:pPr>
      <w:r w:rsidRPr="00E14102">
        <w:rPr>
          <w:color w:val="0070C0"/>
          <w:sz w:val="16"/>
          <w:szCs w:val="16"/>
        </w:rPr>
        <w:t>122. Турбокомпрессора для химических заводов.</w:t>
      </w:r>
    </w:p>
    <w:p w14:paraId="17128AB0" w14:textId="77777777" w:rsidR="00354896" w:rsidRPr="00E14102" w:rsidRDefault="00354896" w:rsidP="00E14102">
      <w:pPr>
        <w:jc w:val="both"/>
        <w:rPr>
          <w:color w:val="0070C0"/>
          <w:sz w:val="16"/>
          <w:szCs w:val="16"/>
        </w:rPr>
      </w:pPr>
      <w:r w:rsidRPr="00E14102">
        <w:rPr>
          <w:color w:val="0070C0"/>
          <w:sz w:val="16"/>
          <w:szCs w:val="16"/>
        </w:rPr>
        <w:t>123. Оборудование разного рода для суцествующих газовых заводов.</w:t>
      </w:r>
    </w:p>
    <w:p w14:paraId="3D5F3E2E" w14:textId="77777777" w:rsidR="00354896" w:rsidRPr="00E14102" w:rsidRDefault="00354896" w:rsidP="00E14102">
      <w:pPr>
        <w:jc w:val="both"/>
        <w:rPr>
          <w:color w:val="0070C0"/>
          <w:sz w:val="16"/>
          <w:szCs w:val="16"/>
        </w:rPr>
      </w:pPr>
      <w:r w:rsidRPr="00E14102">
        <w:rPr>
          <w:color w:val="0070C0"/>
          <w:sz w:val="16"/>
          <w:szCs w:val="16"/>
        </w:rPr>
        <w:t>ДОПОЛНИТЕЛЬНЫЙ СПИСОК ОБОРУДОВАНИЯ, ПОДЛЕЖАЩЕГО ЗАКАЗУ В ГЕРМАНИИ В СЧЕТ КРЕДИТА В 200 МЛН.МАР.</w:t>
      </w:r>
    </w:p>
    <w:p w14:paraId="09E1460D" w14:textId="77777777" w:rsidR="00354896" w:rsidRPr="00E14102" w:rsidRDefault="00354896" w:rsidP="00E14102">
      <w:pPr>
        <w:jc w:val="both"/>
        <w:rPr>
          <w:color w:val="0070C0"/>
          <w:sz w:val="16"/>
          <w:szCs w:val="16"/>
        </w:rPr>
      </w:pPr>
      <w:r w:rsidRPr="00E14102">
        <w:rPr>
          <w:color w:val="0070C0"/>
          <w:sz w:val="16"/>
          <w:szCs w:val="16"/>
        </w:rPr>
        <w:t>1. Станки правильные Абрамсона.</w:t>
      </w:r>
    </w:p>
    <w:p w14:paraId="2249244F" w14:textId="77777777" w:rsidR="00354896" w:rsidRPr="00E14102" w:rsidRDefault="00354896" w:rsidP="00E14102">
      <w:pPr>
        <w:jc w:val="both"/>
        <w:rPr>
          <w:color w:val="0070C0"/>
          <w:sz w:val="16"/>
          <w:szCs w:val="16"/>
        </w:rPr>
      </w:pPr>
      <w:r w:rsidRPr="00E14102">
        <w:rPr>
          <w:color w:val="0070C0"/>
          <w:sz w:val="16"/>
          <w:szCs w:val="16"/>
        </w:rPr>
        <w:t>2. Вальце-шлифовальные станки.</w:t>
      </w:r>
    </w:p>
    <w:p w14:paraId="6B02BE64" w14:textId="77777777" w:rsidR="00354896" w:rsidRPr="00E14102" w:rsidRDefault="00354896" w:rsidP="00E14102">
      <w:pPr>
        <w:jc w:val="both"/>
        <w:rPr>
          <w:color w:val="0070C0"/>
          <w:sz w:val="16"/>
          <w:szCs w:val="16"/>
        </w:rPr>
      </w:pPr>
      <w:r w:rsidRPr="00E14102">
        <w:rPr>
          <w:color w:val="0070C0"/>
          <w:sz w:val="16"/>
          <w:szCs w:val="16"/>
        </w:rPr>
        <w:t>3.» Бандажные станы.</w:t>
      </w:r>
    </w:p>
    <w:p w14:paraId="634EFE68" w14:textId="77777777" w:rsidR="00354896" w:rsidRPr="00E14102" w:rsidRDefault="00354896" w:rsidP="00E14102">
      <w:pPr>
        <w:jc w:val="both"/>
        <w:rPr>
          <w:color w:val="0070C0"/>
          <w:sz w:val="16"/>
          <w:szCs w:val="16"/>
        </w:rPr>
      </w:pPr>
      <w:r w:rsidRPr="00E14102">
        <w:rPr>
          <w:color w:val="0070C0"/>
          <w:sz w:val="16"/>
          <w:szCs w:val="16"/>
        </w:rPr>
        <w:t>4. Разрезные станки для бандажного цеха.</w:t>
      </w:r>
    </w:p>
    <w:p w14:paraId="6882D430" w14:textId="77777777" w:rsidR="00354896" w:rsidRPr="00E14102" w:rsidRDefault="00354896" w:rsidP="00E14102">
      <w:pPr>
        <w:jc w:val="both"/>
        <w:rPr>
          <w:color w:val="0070C0"/>
          <w:sz w:val="16"/>
          <w:szCs w:val="16"/>
        </w:rPr>
      </w:pPr>
      <w:r w:rsidRPr="00E14102">
        <w:rPr>
          <w:color w:val="0070C0"/>
          <w:sz w:val="16"/>
          <w:szCs w:val="16"/>
        </w:rPr>
        <w:t>5. Вальце-токарные станки.</w:t>
      </w:r>
    </w:p>
    <w:p w14:paraId="7E1331AA" w14:textId="77777777" w:rsidR="00354896" w:rsidRPr="00E14102" w:rsidRDefault="00354896" w:rsidP="00E14102">
      <w:pPr>
        <w:jc w:val="both"/>
        <w:rPr>
          <w:color w:val="0070C0"/>
          <w:sz w:val="16"/>
          <w:szCs w:val="16"/>
        </w:rPr>
      </w:pPr>
      <w:r w:rsidRPr="00E14102">
        <w:rPr>
          <w:color w:val="0070C0"/>
          <w:sz w:val="16"/>
          <w:szCs w:val="16"/>
        </w:rPr>
        <w:t>6. Регулирующая аппаратура для смешения коксового и домен</w:t>
      </w:r>
      <w:r w:rsidRPr="00E14102">
        <w:rPr>
          <w:color w:val="0070C0"/>
          <w:sz w:val="16"/>
          <w:szCs w:val="16"/>
        </w:rPr>
        <w:softHyphen/>
        <w:t>ного газа для мартеновских печей.</w:t>
      </w:r>
    </w:p>
    <w:p w14:paraId="41654D1B" w14:textId="77777777" w:rsidR="00354896" w:rsidRPr="00E14102" w:rsidRDefault="00354896" w:rsidP="00E14102">
      <w:pPr>
        <w:jc w:val="both"/>
        <w:rPr>
          <w:color w:val="0070C0"/>
          <w:sz w:val="16"/>
          <w:szCs w:val="16"/>
        </w:rPr>
      </w:pPr>
      <w:r w:rsidRPr="00E14102">
        <w:rPr>
          <w:color w:val="0070C0"/>
          <w:sz w:val="16"/>
          <w:szCs w:val="16"/>
        </w:rPr>
        <w:t>7. Специальная аппаратура и оборудование для изготовления огнеупоров.</w:t>
      </w:r>
    </w:p>
    <w:p w14:paraId="664BD282" w14:textId="77777777" w:rsidR="00354896" w:rsidRPr="00E14102" w:rsidRDefault="00354896" w:rsidP="00E14102">
      <w:pPr>
        <w:jc w:val="both"/>
        <w:rPr>
          <w:color w:val="0070C0"/>
          <w:sz w:val="16"/>
          <w:szCs w:val="16"/>
        </w:rPr>
      </w:pPr>
      <w:r w:rsidRPr="00E14102">
        <w:rPr>
          <w:color w:val="0070C0"/>
          <w:sz w:val="16"/>
          <w:szCs w:val="16"/>
        </w:rPr>
        <w:t>8. Опытные прокатные станы для лабораторий Центрального Института*Металлов.</w:t>
      </w:r>
    </w:p>
    <w:p w14:paraId="05D7ACEE" w14:textId="77777777" w:rsidR="00354896" w:rsidRPr="00E14102" w:rsidRDefault="00354896" w:rsidP="00E14102">
      <w:pPr>
        <w:jc w:val="both"/>
        <w:rPr>
          <w:color w:val="0070C0"/>
          <w:sz w:val="16"/>
          <w:szCs w:val="16"/>
        </w:rPr>
      </w:pPr>
      <w:r w:rsidRPr="00E14102">
        <w:rPr>
          <w:color w:val="0070C0"/>
          <w:sz w:val="16"/>
          <w:szCs w:val="16"/>
        </w:rPr>
        <w:t>9. Оборудование для прокатки светло-тянутых профилей для заводов котлотурбостроония с пуском и наладкой.</w:t>
      </w:r>
    </w:p>
    <w:p w14:paraId="3E11E8EC" w14:textId="77777777" w:rsidR="00354896" w:rsidRPr="00E14102" w:rsidRDefault="00354896" w:rsidP="00E14102">
      <w:pPr>
        <w:jc w:val="both"/>
        <w:rPr>
          <w:color w:val="0070C0"/>
          <w:sz w:val="16"/>
          <w:szCs w:val="16"/>
        </w:rPr>
      </w:pPr>
      <w:r w:rsidRPr="00E14102">
        <w:rPr>
          <w:color w:val="0070C0"/>
          <w:sz w:val="16"/>
          <w:szCs w:val="16"/>
        </w:rPr>
        <w:t>10. Аммиачные турбокомпрессора, газовые машины и разные дру</w:t>
      </w:r>
      <w:r w:rsidRPr="00E14102">
        <w:rPr>
          <w:color w:val="0070C0"/>
          <w:sz w:val="16"/>
          <w:szCs w:val="16"/>
        </w:rPr>
        <w:softHyphen/>
        <w:t>гие станки и машины.</w:t>
      </w:r>
    </w:p>
    <w:p w14:paraId="502183FE" w14:textId="77777777" w:rsidR="00354896" w:rsidRPr="00E14102" w:rsidRDefault="00354896" w:rsidP="00E14102">
      <w:pPr>
        <w:jc w:val="both"/>
        <w:rPr>
          <w:color w:val="0070C0"/>
          <w:sz w:val="16"/>
          <w:szCs w:val="16"/>
        </w:rPr>
      </w:pPr>
      <w:r w:rsidRPr="00E14102">
        <w:rPr>
          <w:color w:val="0070C0"/>
          <w:sz w:val="16"/>
          <w:szCs w:val="16"/>
        </w:rPr>
        <w:t>11. Машины для обмазки электродов.</w:t>
      </w:r>
    </w:p>
    <w:p w14:paraId="30D19472" w14:textId="77777777" w:rsidR="00354896" w:rsidRPr="00E14102" w:rsidRDefault="00354896" w:rsidP="00E14102">
      <w:pPr>
        <w:jc w:val="both"/>
        <w:rPr>
          <w:color w:val="0070C0"/>
          <w:sz w:val="16"/>
          <w:szCs w:val="16"/>
        </w:rPr>
      </w:pPr>
      <w:r w:rsidRPr="00E14102">
        <w:rPr>
          <w:color w:val="0070C0"/>
          <w:sz w:val="16"/>
          <w:szCs w:val="16"/>
        </w:rPr>
        <w:t>12. Гидравлические трансформаторы энергии.</w:t>
      </w:r>
    </w:p>
    <w:p w14:paraId="7338A5D7" w14:textId="77777777" w:rsidR="00354896" w:rsidRPr="00E14102" w:rsidRDefault="00354896" w:rsidP="00E14102">
      <w:pPr>
        <w:jc w:val="both"/>
        <w:rPr>
          <w:color w:val="0070C0"/>
          <w:sz w:val="16"/>
          <w:szCs w:val="16"/>
        </w:rPr>
      </w:pPr>
      <w:r w:rsidRPr="00E14102">
        <w:rPr>
          <w:color w:val="0070C0"/>
          <w:sz w:val="16"/>
          <w:szCs w:val="16"/>
        </w:rPr>
        <w:t>13. Машины для испытания на крип (Ловенгаузен).</w:t>
      </w:r>
    </w:p>
    <w:p w14:paraId="5F3F0D6F" w14:textId="77777777" w:rsidR="00354896" w:rsidRPr="00E14102" w:rsidRDefault="00354896" w:rsidP="00E14102">
      <w:pPr>
        <w:jc w:val="both"/>
        <w:rPr>
          <w:color w:val="0070C0"/>
          <w:sz w:val="16"/>
          <w:szCs w:val="16"/>
        </w:rPr>
      </w:pPr>
      <w:r w:rsidRPr="00E14102">
        <w:rPr>
          <w:color w:val="0070C0"/>
          <w:sz w:val="16"/>
          <w:szCs w:val="16"/>
        </w:rPr>
        <w:t>14. Дизель-мотовозы в 300 л.с. с гидравлич.передачей.</w:t>
      </w:r>
    </w:p>
    <w:p w14:paraId="10F33D8F" w14:textId="77777777" w:rsidR="00354896" w:rsidRPr="00E14102" w:rsidRDefault="00354896" w:rsidP="00E14102">
      <w:pPr>
        <w:jc w:val="both"/>
        <w:rPr>
          <w:color w:val="0070C0"/>
          <w:sz w:val="16"/>
          <w:szCs w:val="16"/>
        </w:rPr>
      </w:pPr>
      <w:r w:rsidRPr="00E14102">
        <w:rPr>
          <w:color w:val="0070C0"/>
          <w:sz w:val="16"/>
          <w:szCs w:val="16"/>
        </w:rPr>
        <w:t>15. Оборудование для производства стальных светлокатанных лент, проволоки, часовых лент, патефонных пружин.</w:t>
      </w:r>
    </w:p>
    <w:p w14:paraId="5E8D4F72" w14:textId="77777777" w:rsidR="00354896" w:rsidRPr="00E14102" w:rsidRDefault="00354896" w:rsidP="00E14102">
      <w:pPr>
        <w:jc w:val="both"/>
        <w:rPr>
          <w:color w:val="0070C0"/>
          <w:sz w:val="16"/>
          <w:szCs w:val="16"/>
        </w:rPr>
      </w:pPr>
      <w:r w:rsidRPr="00E14102">
        <w:rPr>
          <w:color w:val="0070C0"/>
          <w:sz w:val="16"/>
          <w:szCs w:val="16"/>
        </w:rPr>
        <w:t>16. Дизеля в 100, 140 и 150 л.с. и др.</w:t>
      </w:r>
    </w:p>
    <w:p w14:paraId="6E2DA09A" w14:textId="77777777" w:rsidR="00354896" w:rsidRPr="00E14102" w:rsidRDefault="00354896" w:rsidP="00E14102">
      <w:pPr>
        <w:jc w:val="both"/>
        <w:rPr>
          <w:color w:val="0070C0"/>
          <w:sz w:val="16"/>
          <w:szCs w:val="16"/>
        </w:rPr>
      </w:pPr>
      <w:r w:rsidRPr="00E14102">
        <w:rPr>
          <w:color w:val="0070C0"/>
          <w:sz w:val="16"/>
          <w:szCs w:val="16"/>
        </w:rPr>
        <w:t>17. Станки для заводов, производящих химическое оборудование.</w:t>
      </w:r>
    </w:p>
    <w:p w14:paraId="67772C21" w14:textId="77777777" w:rsidR="00354896" w:rsidRPr="00E14102" w:rsidRDefault="00354896" w:rsidP="00E14102">
      <w:pPr>
        <w:jc w:val="both"/>
        <w:rPr>
          <w:color w:val="0070C0"/>
          <w:sz w:val="16"/>
          <w:szCs w:val="16"/>
        </w:rPr>
      </w:pPr>
      <w:r w:rsidRPr="00E14102">
        <w:rPr>
          <w:color w:val="0070C0"/>
          <w:sz w:val="16"/>
          <w:szCs w:val="16"/>
        </w:rPr>
        <w:t>18. Разные станки и оборудование для заводов авто- и авиа</w:t>
      </w:r>
      <w:r w:rsidRPr="00E14102">
        <w:rPr>
          <w:color w:val="0070C0"/>
          <w:sz w:val="16"/>
          <w:szCs w:val="16"/>
        </w:rPr>
        <w:softHyphen/>
        <w:t>промышленности.</w:t>
      </w:r>
    </w:p>
    <w:p w14:paraId="61E4D550" w14:textId="77777777" w:rsidR="00354896" w:rsidRPr="00E14102" w:rsidRDefault="00354896" w:rsidP="00E14102">
      <w:pPr>
        <w:jc w:val="both"/>
        <w:rPr>
          <w:color w:val="0070C0"/>
          <w:sz w:val="16"/>
          <w:szCs w:val="16"/>
        </w:rPr>
      </w:pPr>
      <w:r w:rsidRPr="00E14102">
        <w:rPr>
          <w:color w:val="0070C0"/>
          <w:sz w:val="16"/>
          <w:szCs w:val="16"/>
        </w:rPr>
        <w:t>19. Скаты, бандажи.</w:t>
      </w:r>
    </w:p>
    <w:p w14:paraId="22D84A69" w14:textId="77777777" w:rsidR="00354896" w:rsidRPr="00E14102" w:rsidRDefault="00354896" w:rsidP="00E14102">
      <w:pPr>
        <w:jc w:val="both"/>
        <w:rPr>
          <w:color w:val="0070C0"/>
          <w:sz w:val="16"/>
          <w:szCs w:val="16"/>
        </w:rPr>
      </w:pPr>
      <w:r w:rsidRPr="00E14102">
        <w:rPr>
          <w:color w:val="0070C0"/>
          <w:sz w:val="16"/>
          <w:szCs w:val="16"/>
        </w:rPr>
        <w:t>20. Качественная сталь.</w:t>
      </w:r>
    </w:p>
    <w:p w14:paraId="5EAB6AA5" w14:textId="77777777" w:rsidR="00354896" w:rsidRPr="00E14102" w:rsidRDefault="00354896" w:rsidP="00E14102">
      <w:pPr>
        <w:jc w:val="both"/>
        <w:rPr>
          <w:color w:val="0070C0"/>
          <w:sz w:val="16"/>
          <w:szCs w:val="16"/>
        </w:rPr>
      </w:pPr>
      <w:r w:rsidRPr="00E14102">
        <w:rPr>
          <w:color w:val="0070C0"/>
          <w:sz w:val="16"/>
          <w:szCs w:val="16"/>
        </w:rPr>
        <w:t>21. Проволока и лента разная.</w:t>
      </w:r>
    </w:p>
    <w:p w14:paraId="7127273C" w14:textId="77777777" w:rsidR="00354896" w:rsidRPr="00E14102" w:rsidRDefault="00354896" w:rsidP="00E14102">
      <w:pPr>
        <w:jc w:val="both"/>
        <w:rPr>
          <w:color w:val="0070C0"/>
          <w:sz w:val="16"/>
          <w:szCs w:val="16"/>
        </w:rPr>
      </w:pPr>
      <w:r w:rsidRPr="00E14102">
        <w:rPr>
          <w:color w:val="0070C0"/>
          <w:sz w:val="16"/>
          <w:szCs w:val="16"/>
        </w:rPr>
        <w:t>22. Красители и химикалии.</w:t>
      </w:r>
    </w:p>
    <w:p w14:paraId="06192D33" w14:textId="77777777" w:rsidR="00354896" w:rsidRPr="00E14102" w:rsidRDefault="00354896" w:rsidP="00E14102">
      <w:pPr>
        <w:jc w:val="both"/>
        <w:rPr>
          <w:color w:val="0070C0"/>
          <w:sz w:val="16"/>
          <w:szCs w:val="16"/>
        </w:rPr>
      </w:pPr>
      <w:r w:rsidRPr="00E14102">
        <w:rPr>
          <w:color w:val="0070C0"/>
          <w:sz w:val="16"/>
          <w:szCs w:val="16"/>
        </w:rPr>
        <w:t>б) Разрешить торгпреду в Германии т.Канделаки, по ходу переговоров, заменять или дополнять номенклатуру списка, поименованного в п.”а" , номенклатурой из дополни</w:t>
      </w:r>
      <w:r w:rsidRPr="00E14102">
        <w:rPr>
          <w:color w:val="0070C0"/>
          <w:sz w:val="16"/>
          <w:szCs w:val="16"/>
        </w:rPr>
        <w:softHyphen/>
        <w:t>тельного списка, при сем прилагаемого.</w:t>
      </w:r>
    </w:p>
    <w:p w14:paraId="0EE7AF82" w14:textId="77777777" w:rsidR="00354896" w:rsidRPr="00E14102" w:rsidRDefault="00354896" w:rsidP="00E14102">
      <w:pPr>
        <w:jc w:val="both"/>
        <w:rPr>
          <w:color w:val="0070C0"/>
          <w:sz w:val="16"/>
          <w:szCs w:val="16"/>
        </w:rPr>
      </w:pPr>
      <w:r w:rsidRPr="00E14102">
        <w:rPr>
          <w:color w:val="0070C0"/>
          <w:sz w:val="16"/>
          <w:szCs w:val="16"/>
        </w:rPr>
        <w:t>в) По согласовании с немцами номенклатуры размещаемых заказов Наркомвнешторгу, с привлечением заинтересованных ведомств, составить программу намечаемых заказов и внести на утверждение, причем предусмотреть ь этой программе раз</w:t>
      </w:r>
      <w:r w:rsidRPr="00E14102">
        <w:rPr>
          <w:color w:val="0070C0"/>
          <w:sz w:val="16"/>
          <w:szCs w:val="16"/>
        </w:rPr>
        <w:softHyphen/>
        <w:t>мещение заказов на оборудование для транспортного машино</w:t>
      </w:r>
      <w:r w:rsidRPr="00E14102">
        <w:rPr>
          <w:color w:val="0070C0"/>
          <w:sz w:val="16"/>
          <w:szCs w:val="16"/>
        </w:rPr>
        <w:softHyphen/>
        <w:t>строения на 5 млн.руб., разные станки и оборудование для авто, авиапромышленности и для заводов, производящих хи</w:t>
      </w:r>
      <w:r w:rsidRPr="00E14102">
        <w:rPr>
          <w:color w:val="0070C0"/>
          <w:sz w:val="16"/>
          <w:szCs w:val="16"/>
        </w:rPr>
        <w:softHyphen/>
        <w:t>мическое оборудование, на 15 млн.руб., о чем разрешить Наркомвнешторгу по ходу переговоров предварительно осве</w:t>
      </w:r>
      <w:r w:rsidRPr="00E14102">
        <w:rPr>
          <w:color w:val="0070C0"/>
          <w:sz w:val="16"/>
          <w:szCs w:val="16"/>
        </w:rPr>
        <w:softHyphen/>
        <w:t>домить немецкое правительство в целях получения от немцев максимальных уступок по невыгодной для них номенклатуре.</w:t>
      </w:r>
    </w:p>
    <w:p w14:paraId="6944C79F" w14:textId="77777777" w:rsidR="00354896" w:rsidRPr="00E14102" w:rsidRDefault="00354896" w:rsidP="00E14102">
      <w:pPr>
        <w:jc w:val="both"/>
        <w:rPr>
          <w:color w:val="0070C0"/>
          <w:sz w:val="16"/>
          <w:szCs w:val="16"/>
        </w:rPr>
      </w:pPr>
      <w:r w:rsidRPr="00E14102">
        <w:rPr>
          <w:color w:val="0070C0"/>
          <w:sz w:val="16"/>
          <w:szCs w:val="16"/>
        </w:rPr>
        <w:t>Выписки посланы: т.т.Розенгольцу.Орджоникидзе.</w:t>
      </w:r>
    </w:p>
    <w:p w14:paraId="0EAAFDD9" w14:textId="77777777" w:rsidR="00354896" w:rsidRPr="00E14102" w:rsidRDefault="00354896" w:rsidP="00E14102">
      <w:pPr>
        <w:jc w:val="both"/>
        <w:rPr>
          <w:color w:val="0070C0"/>
          <w:sz w:val="16"/>
          <w:szCs w:val="16"/>
        </w:rPr>
      </w:pPr>
      <w:r w:rsidRPr="00E14102">
        <w:rPr>
          <w:color w:val="0070C0"/>
          <w:sz w:val="16"/>
          <w:szCs w:val="16"/>
        </w:rPr>
        <w:lastRenderedPageBreak/>
        <w:t>1 января 1935 опросом членов ПБ</w:t>
      </w:r>
    </w:p>
    <w:p w14:paraId="50D93490" w14:textId="77777777" w:rsidR="00354896" w:rsidRPr="00E14102" w:rsidRDefault="00354896" w:rsidP="00E14102">
      <w:pPr>
        <w:jc w:val="both"/>
        <w:rPr>
          <w:color w:val="0070C0"/>
          <w:sz w:val="16"/>
          <w:szCs w:val="16"/>
        </w:rPr>
      </w:pPr>
      <w:r w:rsidRPr="00E14102">
        <w:rPr>
          <w:color w:val="0070C0"/>
          <w:sz w:val="16"/>
          <w:szCs w:val="16"/>
        </w:rPr>
        <w:t>32.- Вопросы К.О.</w:t>
      </w:r>
    </w:p>
    <w:p w14:paraId="37C26423" w14:textId="77777777" w:rsidR="00354896" w:rsidRPr="00E14102" w:rsidRDefault="00354896" w:rsidP="00E14102">
      <w:pPr>
        <w:jc w:val="both"/>
        <w:rPr>
          <w:color w:val="0070C0"/>
          <w:sz w:val="16"/>
          <w:szCs w:val="16"/>
        </w:rPr>
      </w:pPr>
      <w:r w:rsidRPr="00E14102">
        <w:rPr>
          <w:color w:val="0070C0"/>
          <w:sz w:val="16"/>
          <w:szCs w:val="16"/>
        </w:rPr>
        <w:t>а) 1.Увеличить лимит на расходы по договору о приоб</w:t>
      </w:r>
      <w:r w:rsidRPr="00E14102">
        <w:rPr>
          <w:color w:val="0070C0"/>
          <w:sz w:val="16"/>
          <w:szCs w:val="16"/>
        </w:rPr>
        <w:softHyphen/>
        <w:t>ретении интехпомощи по эсминцам и эскортеру во Франции до 4,8 млн. рублей, включая в эту сумму расходы по тран</w:t>
      </w:r>
      <w:r w:rsidRPr="00E14102">
        <w:rPr>
          <w:color w:val="0070C0"/>
          <w:sz w:val="16"/>
          <w:szCs w:val="16"/>
        </w:rPr>
        <w:softHyphen/>
        <w:t>спорту, кредиту, дополнительному оборудованию и пр.</w:t>
      </w:r>
    </w:p>
    <w:p w14:paraId="378854CD" w14:textId="77777777" w:rsidR="00354896" w:rsidRPr="00E14102" w:rsidRDefault="00354896" w:rsidP="00E14102">
      <w:pPr>
        <w:jc w:val="both"/>
        <w:rPr>
          <w:color w:val="0070C0"/>
          <w:sz w:val="16"/>
          <w:szCs w:val="16"/>
        </w:rPr>
      </w:pPr>
      <w:r w:rsidRPr="00E14102">
        <w:rPr>
          <w:color w:val="0070C0"/>
          <w:sz w:val="16"/>
          <w:szCs w:val="16"/>
        </w:rPr>
        <w:t>2. НКИнделу (т. Литвинову) предпринять необходимые шаги перед французским правительством для получения фир</w:t>
      </w:r>
      <w:r w:rsidRPr="00E14102">
        <w:rPr>
          <w:color w:val="0070C0"/>
          <w:sz w:val="16"/>
          <w:szCs w:val="16"/>
        </w:rPr>
        <w:softHyphen/>
        <w:t>мами санкций морского министерства на заключение договора и передачу необходимых технических материалов и данных.</w:t>
      </w:r>
    </w:p>
    <w:p w14:paraId="042A1E42" w14:textId="77777777" w:rsidR="00354896" w:rsidRPr="00E14102" w:rsidRDefault="00354896" w:rsidP="00E14102">
      <w:pPr>
        <w:jc w:val="both"/>
        <w:rPr>
          <w:color w:val="0070C0"/>
          <w:sz w:val="16"/>
          <w:szCs w:val="16"/>
        </w:rPr>
      </w:pPr>
      <w:r w:rsidRPr="00E14102">
        <w:rPr>
          <w:color w:val="0070C0"/>
          <w:sz w:val="16"/>
          <w:szCs w:val="16"/>
        </w:rPr>
        <w:t>6) 1. Для закупки заграницей агрегатов моторов, им</w:t>
      </w:r>
      <w:r w:rsidRPr="00E14102">
        <w:rPr>
          <w:color w:val="0070C0"/>
          <w:sz w:val="16"/>
          <w:szCs w:val="16"/>
        </w:rPr>
        <w:softHyphen/>
        <w:t>портного оборудования, специального инструмента и мери</w:t>
      </w:r>
      <w:r w:rsidRPr="00E14102">
        <w:rPr>
          <w:color w:val="0070C0"/>
          <w:sz w:val="16"/>
          <w:szCs w:val="16"/>
        </w:rPr>
        <w:softHyphen/>
        <w:t>тельных приборов отпустить в 1 и П кварталах 1935 года из резервного фонда СНК СССР 700 тыс. руб. сверх контин</w:t>
      </w:r>
      <w:r w:rsidRPr="00E14102">
        <w:rPr>
          <w:color w:val="0070C0"/>
          <w:sz w:val="16"/>
          <w:szCs w:val="16"/>
        </w:rPr>
        <w:softHyphen/>
        <w:t>гентов,  отпущенных НКТПрому на 1935 г. (из них 100 т.р. по открытой лицензии на имя начальника ГУАП"а).</w:t>
      </w:r>
    </w:p>
    <w:p w14:paraId="5ED77F06" w14:textId="77777777" w:rsidR="00354896" w:rsidRPr="00E14102" w:rsidRDefault="00354896" w:rsidP="00E14102">
      <w:pPr>
        <w:jc w:val="both"/>
        <w:rPr>
          <w:color w:val="0070C0"/>
          <w:sz w:val="16"/>
          <w:szCs w:val="16"/>
        </w:rPr>
      </w:pPr>
      <w:r w:rsidRPr="00E14102">
        <w:rPr>
          <w:color w:val="0070C0"/>
          <w:sz w:val="16"/>
          <w:szCs w:val="16"/>
        </w:rPr>
        <w:t>2. Обязать НКВнешторг обеспечить внеочередное про</w:t>
      </w:r>
      <w:r w:rsidRPr="00E14102">
        <w:rPr>
          <w:color w:val="0070C0"/>
          <w:sz w:val="16"/>
          <w:szCs w:val="16"/>
        </w:rPr>
        <w:softHyphen/>
        <w:t>хождение заказов по этим ассигнованиям и транспортировку деталей и аггрегатов моторов К-14 и К-9 проводить исключительно ж.д.транспортом.</w:t>
      </w:r>
    </w:p>
    <w:p w14:paraId="0C30FA1A" w14:textId="77777777" w:rsidR="00354896" w:rsidRPr="00E14102" w:rsidRDefault="00354896" w:rsidP="00E14102">
      <w:pPr>
        <w:jc w:val="both"/>
        <w:rPr>
          <w:color w:val="0070C0"/>
          <w:sz w:val="16"/>
          <w:szCs w:val="16"/>
        </w:rPr>
      </w:pPr>
      <w:r w:rsidRPr="00E14102">
        <w:rPr>
          <w:color w:val="0070C0"/>
          <w:sz w:val="16"/>
          <w:szCs w:val="16"/>
        </w:rPr>
        <w:t>Выписки посланы: т.т. Базилевичу, Розенгольцу, Орджоникидзе. Ворошилову - все; Литвинову – а, Мирошникову - 6-1 (22924)</w:t>
      </w:r>
    </w:p>
    <w:p w14:paraId="4DF760A8" w14:textId="77777777" w:rsidR="00354896" w:rsidRPr="00E14102" w:rsidRDefault="00354896" w:rsidP="00E14102">
      <w:pPr>
        <w:jc w:val="both"/>
        <w:rPr>
          <w:color w:val="0070C0"/>
          <w:sz w:val="16"/>
          <w:szCs w:val="16"/>
        </w:rPr>
      </w:pPr>
    </w:p>
    <w:p w14:paraId="3A3BFAD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A13F330" w14:textId="77777777" w:rsidR="00D4105E" w:rsidRPr="00E14102" w:rsidRDefault="00D4105E" w:rsidP="00E14102">
      <w:pPr>
        <w:autoSpaceDE w:val="0"/>
        <w:autoSpaceDN w:val="0"/>
        <w:adjustRightInd w:val="0"/>
        <w:jc w:val="both"/>
        <w:rPr>
          <w:iCs/>
          <w:color w:val="000000" w:themeColor="text1"/>
          <w:sz w:val="16"/>
          <w:szCs w:val="16"/>
        </w:rPr>
      </w:pPr>
    </w:p>
    <w:p w14:paraId="16B33820" w14:textId="77777777" w:rsidR="005C344A" w:rsidRPr="00E14102" w:rsidRDefault="005C344A" w:rsidP="00E14102">
      <w:pPr>
        <w:jc w:val="both"/>
        <w:rPr>
          <w:color w:val="0070C0"/>
          <w:sz w:val="16"/>
          <w:szCs w:val="16"/>
        </w:rPr>
      </w:pPr>
      <w:r w:rsidRPr="00E14102">
        <w:rPr>
          <w:color w:val="0070C0"/>
          <w:sz w:val="16"/>
          <w:szCs w:val="16"/>
        </w:rPr>
        <w:t>4 января 1935 года — первый полёт лёгкого самолёта Walraven W-2. /Голландия/</w:t>
      </w:r>
    </w:p>
    <w:p w14:paraId="747CE748" w14:textId="77777777" w:rsidR="005C344A" w:rsidRPr="00E14102" w:rsidRDefault="005C344A" w:rsidP="00E14102">
      <w:pPr>
        <w:jc w:val="both"/>
        <w:rPr>
          <w:color w:val="0070C0"/>
          <w:sz w:val="16"/>
          <w:szCs w:val="16"/>
        </w:rPr>
      </w:pPr>
      <w:r w:rsidRPr="00E14102">
        <w:rPr>
          <w:color w:val="0070C0"/>
          <w:sz w:val="16"/>
          <w:szCs w:val="16"/>
        </w:rPr>
        <w:t>В 1934 году инженер Лоренс Вальравен (Laurens Walraven) начал работу над своим вторым самолётом, незатейливо названным W-2. Проект разрабатывался в Бандунге (Голландская Ост-Индия, сегодня Индонезия) по заказу китайско-индонезийского бизнесмена и пионера авиации Хоу Хе Хиена (Khouw Khe Hien, отсюда и б/н PK-KKH). Самолёт построили в мастерских на базе ВВС Королевской голландской ост-индской армии.</w:t>
      </w:r>
    </w:p>
    <w:p w14:paraId="76C1B62E" w14:textId="77777777" w:rsidR="005C344A" w:rsidRPr="00E14102" w:rsidRDefault="005C344A" w:rsidP="00E14102">
      <w:pPr>
        <w:jc w:val="both"/>
        <w:rPr>
          <w:color w:val="0070C0"/>
          <w:sz w:val="16"/>
          <w:szCs w:val="16"/>
        </w:rPr>
      </w:pPr>
      <w:r w:rsidRPr="00E14102">
        <w:rPr>
          <w:color w:val="0070C0"/>
          <w:sz w:val="16"/>
          <w:szCs w:val="16"/>
        </w:rPr>
        <w:t>W-2 представлял собой двухместный низкоплан с неубираемым шасси в обтекателях. Оснащался 2 × двигателями Pobjoy Niagara III (88 л.с.) Крейсерская скорость — 200 км/ч, дальность полёта — 1800 км.</w:t>
      </w:r>
    </w:p>
    <w:p w14:paraId="0076FAD3" w14:textId="77777777" w:rsidR="005C344A" w:rsidRPr="00E14102" w:rsidRDefault="005C344A" w:rsidP="00E14102">
      <w:pPr>
        <w:jc w:val="both"/>
        <w:rPr>
          <w:color w:val="0070C0"/>
          <w:sz w:val="16"/>
          <w:szCs w:val="16"/>
        </w:rPr>
      </w:pPr>
      <w:r w:rsidRPr="00E14102">
        <w:rPr>
          <w:color w:val="0070C0"/>
          <w:sz w:val="16"/>
          <w:szCs w:val="16"/>
        </w:rPr>
        <w:t>Самолёт показал хорошие лётные характеристики, и Хоу Хе Хиен собирался основать компанию для его серийного производства. Но в 1938 году бизнесмен погиб в авиакатастрофе и планы не реализовались. Единственный построенный W-2 был уничтожен во время японской бомбардировки в 1942 году (22300).</w:t>
      </w:r>
    </w:p>
    <w:p w14:paraId="6F812AB8" w14:textId="77777777" w:rsidR="005C344A" w:rsidRPr="00E14102" w:rsidRDefault="005C344A" w:rsidP="00E14102">
      <w:pPr>
        <w:jc w:val="both"/>
        <w:rPr>
          <w:color w:val="0070C0"/>
          <w:sz w:val="16"/>
          <w:szCs w:val="16"/>
        </w:rPr>
      </w:pPr>
    </w:p>
    <w:p w14:paraId="5A6538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января 1935 в Великобритании владельцы хлопкопрядильных фабрик выступили за сокращение производства в своей отрасли (3907,191).</w:t>
      </w:r>
    </w:p>
    <w:p w14:paraId="78328C14" w14:textId="77777777" w:rsidR="00D4105E" w:rsidRPr="00E14102" w:rsidRDefault="00D4105E" w:rsidP="00E14102">
      <w:pPr>
        <w:autoSpaceDE w:val="0"/>
        <w:autoSpaceDN w:val="0"/>
        <w:adjustRightInd w:val="0"/>
        <w:jc w:val="both"/>
        <w:rPr>
          <w:color w:val="000000" w:themeColor="text1"/>
          <w:sz w:val="16"/>
          <w:szCs w:val="16"/>
        </w:rPr>
      </w:pPr>
    </w:p>
    <w:p w14:paraId="4634DD5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51C3908" w14:textId="77777777" w:rsidR="00D4105E" w:rsidRPr="00E14102" w:rsidRDefault="00D4105E" w:rsidP="00E14102">
      <w:pPr>
        <w:autoSpaceDE w:val="0"/>
        <w:autoSpaceDN w:val="0"/>
        <w:adjustRightInd w:val="0"/>
        <w:jc w:val="both"/>
        <w:rPr>
          <w:iCs/>
          <w:color w:val="000000" w:themeColor="text1"/>
          <w:sz w:val="16"/>
          <w:szCs w:val="16"/>
        </w:rPr>
      </w:pPr>
    </w:p>
    <w:p w14:paraId="56C4CD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января 1935 закончились испытания Ш-5 (ФС), которые шли с 19 марта 1934. Задержка была вызвана поломкой шасси (1076,918).</w:t>
      </w:r>
    </w:p>
    <w:p w14:paraId="57071A29" w14:textId="77777777" w:rsidR="00D4105E" w:rsidRPr="00E14102" w:rsidRDefault="00D4105E" w:rsidP="00E14102">
      <w:pPr>
        <w:autoSpaceDE w:val="0"/>
        <w:autoSpaceDN w:val="0"/>
        <w:adjustRightInd w:val="0"/>
        <w:jc w:val="both"/>
        <w:rPr>
          <w:color w:val="000000" w:themeColor="text1"/>
          <w:sz w:val="16"/>
          <w:szCs w:val="16"/>
        </w:rPr>
      </w:pPr>
    </w:p>
    <w:p w14:paraId="46838B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января 1935 рабочие чертежи ЦКБ-12 М-58 (И-16) были готовы и спущены в цеха (2337,179).</w:t>
      </w:r>
    </w:p>
    <w:p w14:paraId="3F909F8B" w14:textId="77777777" w:rsidR="00D4105E" w:rsidRPr="00E14102" w:rsidRDefault="00D4105E" w:rsidP="00E14102">
      <w:pPr>
        <w:autoSpaceDE w:val="0"/>
        <w:autoSpaceDN w:val="0"/>
        <w:adjustRightInd w:val="0"/>
        <w:jc w:val="both"/>
        <w:rPr>
          <w:color w:val="000000" w:themeColor="text1"/>
          <w:sz w:val="16"/>
          <w:szCs w:val="16"/>
        </w:rPr>
      </w:pPr>
    </w:p>
    <w:p w14:paraId="2A455B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января 1935 состоялось заседание у ВРИД Начальника Глававиапрома Марголина "О передаче модификации машин с опытных заводов на серийные (1025,101):</w:t>
      </w:r>
    </w:p>
    <w:p w14:paraId="41C9C8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Постановили:</w:t>
      </w:r>
    </w:p>
    <w:p w14:paraId="750D01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ТБ-3: Оставить за заводом 22 все дальнейшие работы по модификации ТБ-3</w:t>
      </w:r>
    </w:p>
    <w:p w14:paraId="0F0536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Общее наблюдение и консультации за модификацией машины возложить на ЦАГИ.</w:t>
      </w:r>
    </w:p>
    <w:p w14:paraId="560742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РД: Полное руководство конструкцией машины РД в 1 и 2-м варианте впредь до освоения этой машины на заводе 18 возложить на ЦАГИ. После освоения этой машины заводом - вернуться к этому вопросу.</w:t>
      </w:r>
    </w:p>
    <w:p w14:paraId="6F80D0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И-14: Полное руководство конструкцией машины И-14 на заводе 125 возложить на ЦАГИ.</w:t>
      </w:r>
    </w:p>
    <w:p w14:paraId="3BBBF5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МДР: Полное руководство конструкцией машины МДР-4 до постройки первой серии на заводе 31 возложить на ЦАГИ.</w:t>
      </w:r>
    </w:p>
    <w:p w14:paraId="34D80F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СБ и МК: Впредь до освоения этих машин на заводе 22 руководство конструкцией этих машин оставить за ЦАГИ.</w:t>
      </w:r>
    </w:p>
    <w:p w14:paraId="5FD484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И-15: 1. Поручить нач. ЦИАМ Белявскому в срочном порядке проработать вопрос о возможности установки 4-х пулеметов ШКАС на моторе РЦ; 2. Заводу 39 временно приостановить работу по вооружению красной машины и немедленно машину пустить на испытания на устойчивость пути; 3. Работу с нормальным центропланом и работу , начатую на машине И-15 с чайкой по перенесению ЦТ закончить на заводе 39. После окончания этих работ - все дальнейшие работы по И-15 передать на завод 1; 4. Модификацию И-15 для внедрения этой машины в 1936 возложить на завод 1, при постоянной консультации и общем наблюдении 2-й бригады завода 39 Н.Н.П.</w:t>
      </w:r>
    </w:p>
    <w:p w14:paraId="76E7C8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ЛР: 1. Принять к сведению заявление Кочеригина о том, что предварительный проект и модификация ЛР закончены и сейчас разрабатываются конструктивные чертежи; 2. Ввиду того, что в настоящее время завод 1 загружен внедрением ЛР постройки 1934 - модификацию ЛР передать заводу 1 в течение 1 кв. 1935.</w:t>
      </w:r>
    </w:p>
    <w:p w14:paraId="34F8E8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И-16: 1. Работу на заводе 39 по И-16 с М-22, строящегося в серийном порядке на заводе 21, прекратить. дальнейшую работу по модификации этой машины возложить на завод 21, при консультации завода 39, персонально нач. 2-й бригады Н.Н.П.; 2. На заводе 39 довести гос. испытания И-16 с мотором РЦ и И-16 с одновильчатым убирающимся шасси, после чего работу на заводе 39 прекратить; 3. Разработанные заводом 39 конструктивные установки на самолет И-16 мотора М-58 передать для постройки на завод 21; 4. Установка мотора К-9 остается за заводом 39." (2176,1).</w:t>
      </w:r>
    </w:p>
    <w:p w14:paraId="4C02467A" w14:textId="77777777" w:rsidR="00D4105E" w:rsidRPr="00E14102" w:rsidRDefault="00D4105E" w:rsidP="00E14102">
      <w:pPr>
        <w:autoSpaceDE w:val="0"/>
        <w:autoSpaceDN w:val="0"/>
        <w:adjustRightInd w:val="0"/>
        <w:jc w:val="both"/>
        <w:rPr>
          <w:color w:val="000000" w:themeColor="text1"/>
          <w:sz w:val="16"/>
          <w:szCs w:val="16"/>
        </w:rPr>
      </w:pPr>
    </w:p>
    <w:p w14:paraId="0E56A1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5-10 января 1935 года ГУАП утвердил проект будущего завода № 124 и мощность была установлена:</w:t>
      </w:r>
    </w:p>
    <w:p w14:paraId="2C71C9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по самолетостроению - 1000 машин в год (типа ТБ-3)</w:t>
      </w:r>
    </w:p>
    <w:p w14:paraId="2440E7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по моторостроению - 10000 моторов</w:t>
      </w:r>
    </w:p>
    <w:p w14:paraId="68F432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по ТЭЦ - 50000 КВт</w:t>
      </w:r>
    </w:p>
    <w:p w14:paraId="7B3F77EE" w14:textId="77777777" w:rsidR="00D4105E" w:rsidRPr="00E14102" w:rsidRDefault="00D4105E" w:rsidP="00E14102">
      <w:pPr>
        <w:shd w:val="clear" w:color="auto" w:fill="FFFFFF"/>
        <w:autoSpaceDE w:val="0"/>
        <w:autoSpaceDN w:val="0"/>
        <w:adjustRightInd w:val="0"/>
        <w:jc w:val="both"/>
        <w:rPr>
          <w:smallCaps/>
          <w:color w:val="000000" w:themeColor="text1"/>
          <w:sz w:val="16"/>
          <w:szCs w:val="16"/>
        </w:rPr>
      </w:pPr>
      <w:r w:rsidRPr="00E14102">
        <w:rPr>
          <w:color w:val="000000" w:themeColor="text1"/>
          <w:sz w:val="16"/>
          <w:szCs w:val="16"/>
        </w:rPr>
        <w:t xml:space="preserve">г) жилье - 30000 </w:t>
      </w:r>
      <w:r w:rsidRPr="00E14102">
        <w:rPr>
          <w:smallCaps/>
          <w:color w:val="000000" w:themeColor="text1"/>
          <w:sz w:val="16"/>
          <w:szCs w:val="16"/>
        </w:rPr>
        <w:t>(10504,77).</w:t>
      </w:r>
    </w:p>
    <w:p w14:paraId="4CE8DAB9" w14:textId="77777777" w:rsidR="00D4105E" w:rsidRPr="00E14102" w:rsidRDefault="00D4105E" w:rsidP="00E14102">
      <w:pPr>
        <w:shd w:val="clear" w:color="auto" w:fill="FFFFFF"/>
        <w:autoSpaceDE w:val="0"/>
        <w:autoSpaceDN w:val="0"/>
        <w:adjustRightInd w:val="0"/>
        <w:jc w:val="both"/>
        <w:rPr>
          <w:smallCaps/>
          <w:color w:val="000000" w:themeColor="text1"/>
          <w:sz w:val="16"/>
          <w:szCs w:val="16"/>
        </w:rPr>
      </w:pPr>
    </w:p>
    <w:p w14:paraId="1C1BCF64" w14:textId="77777777" w:rsidR="005D773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1EFDD2E" w14:textId="77777777" w:rsidR="005D7732" w:rsidRPr="00E14102" w:rsidRDefault="005D7732" w:rsidP="00E14102">
      <w:pPr>
        <w:autoSpaceDE w:val="0"/>
        <w:autoSpaceDN w:val="0"/>
        <w:adjustRightInd w:val="0"/>
        <w:jc w:val="both"/>
        <w:rPr>
          <w:iCs/>
          <w:color w:val="000000" w:themeColor="text1"/>
          <w:sz w:val="16"/>
          <w:szCs w:val="16"/>
        </w:rPr>
      </w:pPr>
    </w:p>
    <w:p w14:paraId="1A053436" w14:textId="77777777" w:rsidR="005D7732" w:rsidRPr="00E14102" w:rsidRDefault="005D7732" w:rsidP="00E14102">
      <w:pPr>
        <w:pStyle w:val="rtejustify"/>
        <w:spacing w:before="0" w:after="0"/>
        <w:rPr>
          <w:color w:val="000000" w:themeColor="text1"/>
          <w:sz w:val="16"/>
          <w:szCs w:val="16"/>
        </w:rPr>
      </w:pPr>
      <w:r w:rsidRPr="00E14102">
        <w:rPr>
          <w:rStyle w:val="a6"/>
          <w:bCs/>
          <w:i w:val="0"/>
          <w:color w:val="000000" w:themeColor="text1"/>
          <w:sz w:val="16"/>
          <w:szCs w:val="16"/>
        </w:rPr>
        <w:t>5 января 1935 вышел приказ НКТП № 5сс.</w:t>
      </w:r>
      <w:r w:rsidRPr="00E14102">
        <w:rPr>
          <w:color w:val="000000" w:themeColor="text1"/>
          <w:sz w:val="16"/>
          <w:szCs w:val="16"/>
        </w:rPr>
        <w:t xml:space="preserve"> Об обеспечении металлом, оборудованием и прочем снабжении судостроительной программы 1935 г. (по Главморпрому). (РГАЭ. Ф. 7297. Оп. 38. Д. 171. Л. 14</w:t>
      </w:r>
      <w:r w:rsidRPr="00E14102">
        <w:rPr>
          <w:color w:val="000000" w:themeColor="text1"/>
          <w:sz w:val="16"/>
          <w:szCs w:val="16"/>
        </w:rPr>
        <w:noBreakHyphen/>
        <w:t>11) (15246).</w:t>
      </w:r>
    </w:p>
    <w:p w14:paraId="54B0B0E4" w14:textId="77777777" w:rsidR="005D7732" w:rsidRPr="00E14102" w:rsidRDefault="005D7732" w:rsidP="00E14102">
      <w:pPr>
        <w:pStyle w:val="rtejustify"/>
        <w:spacing w:before="0" w:after="0"/>
        <w:rPr>
          <w:color w:val="000000" w:themeColor="text1"/>
          <w:sz w:val="16"/>
          <w:szCs w:val="16"/>
        </w:rPr>
      </w:pPr>
    </w:p>
    <w:p w14:paraId="197EFA4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754AC18" w14:textId="77777777" w:rsidR="00D4105E" w:rsidRPr="00E14102" w:rsidRDefault="00D4105E" w:rsidP="00E14102">
      <w:pPr>
        <w:autoSpaceDE w:val="0"/>
        <w:autoSpaceDN w:val="0"/>
        <w:adjustRightInd w:val="0"/>
        <w:jc w:val="both"/>
        <w:rPr>
          <w:iCs/>
          <w:color w:val="000000" w:themeColor="text1"/>
          <w:sz w:val="16"/>
          <w:szCs w:val="16"/>
        </w:rPr>
      </w:pPr>
    </w:p>
    <w:p w14:paraId="465AEB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января 1935 начался процесс по делу "Московского центра" (3481).</w:t>
      </w:r>
    </w:p>
    <w:p w14:paraId="291A1A26" w14:textId="77777777" w:rsidR="00D4105E" w:rsidRPr="00E14102" w:rsidRDefault="00D4105E" w:rsidP="00E14102">
      <w:pPr>
        <w:autoSpaceDE w:val="0"/>
        <w:autoSpaceDN w:val="0"/>
        <w:adjustRightInd w:val="0"/>
        <w:jc w:val="both"/>
        <w:rPr>
          <w:color w:val="000000" w:themeColor="text1"/>
          <w:sz w:val="16"/>
          <w:szCs w:val="16"/>
        </w:rPr>
      </w:pPr>
    </w:p>
    <w:p w14:paraId="6969F3FA" w14:textId="77777777" w:rsidR="0000531B" w:rsidRPr="00E14102" w:rsidRDefault="0000531B" w:rsidP="00E14102">
      <w:pPr>
        <w:jc w:val="both"/>
        <w:rPr>
          <w:color w:val="000000" w:themeColor="text1"/>
          <w:sz w:val="16"/>
          <w:szCs w:val="16"/>
        </w:rPr>
      </w:pPr>
      <w:r w:rsidRPr="00E14102">
        <w:rPr>
          <w:bCs/>
          <w:color w:val="000000" w:themeColor="text1"/>
          <w:sz w:val="16"/>
          <w:szCs w:val="16"/>
        </w:rPr>
        <w:t>5 января</w:t>
      </w:r>
      <w:r w:rsidRPr="00E14102">
        <w:rPr>
          <w:color w:val="000000" w:themeColor="text1"/>
          <w:sz w:val="16"/>
          <w:szCs w:val="16"/>
        </w:rPr>
        <w:t xml:space="preserve"> в 1935 году (5-16 января) В Москве проходил процесс по делу так называемого "Московского центра"; привлечено 19 человек, среди которых Л.Б.Каменев, Г.Е.Зиновьев, Г.Е.Евдокимов, Г.Ф.Федоров; все обвиняемые приговорены к различным срокам тюремного заключения, большинство из них расстреляны; в 1988 году все осужденные реабилитированы Верховным судом СССР (15000).</w:t>
      </w:r>
    </w:p>
    <w:p w14:paraId="20C1A54C" w14:textId="77777777" w:rsidR="0000531B" w:rsidRPr="00E14102" w:rsidRDefault="0000531B" w:rsidP="00E14102">
      <w:pPr>
        <w:jc w:val="both"/>
        <w:rPr>
          <w:color w:val="000000" w:themeColor="text1"/>
          <w:sz w:val="16"/>
          <w:szCs w:val="16"/>
        </w:rPr>
      </w:pPr>
    </w:p>
    <w:p w14:paraId="04D3BDF5" w14:textId="77777777" w:rsidR="005C344A" w:rsidRPr="00E14102" w:rsidRDefault="005C344A"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A2B052B" w14:textId="77777777" w:rsidR="005C344A" w:rsidRPr="00E14102" w:rsidRDefault="005C344A" w:rsidP="00E14102">
      <w:pPr>
        <w:autoSpaceDE w:val="0"/>
        <w:autoSpaceDN w:val="0"/>
        <w:adjustRightInd w:val="0"/>
        <w:jc w:val="both"/>
        <w:rPr>
          <w:iCs/>
          <w:color w:val="000000" w:themeColor="text1"/>
          <w:sz w:val="16"/>
          <w:szCs w:val="16"/>
        </w:rPr>
      </w:pPr>
    </w:p>
    <w:p w14:paraId="7DA1EB2C" w14:textId="77777777" w:rsidR="005C344A" w:rsidRPr="00E14102" w:rsidRDefault="005C344A" w:rsidP="00E14102">
      <w:pPr>
        <w:jc w:val="both"/>
        <w:rPr>
          <w:color w:val="0070C0"/>
          <w:sz w:val="16"/>
          <w:szCs w:val="16"/>
        </w:rPr>
      </w:pPr>
      <w:r w:rsidRPr="00E14102">
        <w:rPr>
          <w:color w:val="0070C0"/>
          <w:sz w:val="16"/>
          <w:szCs w:val="16"/>
        </w:rPr>
        <w:t xml:space="preserve">5 января 1935 состоялся первый полет </w:t>
      </w:r>
      <w:r w:rsidRPr="00E14102">
        <w:rPr>
          <w:color w:val="0070C0"/>
          <w:sz w:val="16"/>
          <w:szCs w:val="16"/>
          <w:lang w:val="en-US"/>
        </w:rPr>
        <w:t>Tachikawa</w:t>
      </w:r>
      <w:r w:rsidRPr="00E14102">
        <w:rPr>
          <w:color w:val="0070C0"/>
          <w:sz w:val="16"/>
          <w:szCs w:val="16"/>
        </w:rPr>
        <w:t xml:space="preserve"> </w:t>
      </w:r>
      <w:r w:rsidRPr="00E14102">
        <w:rPr>
          <w:color w:val="0070C0"/>
          <w:sz w:val="16"/>
          <w:szCs w:val="16"/>
          <w:lang w:val="en-US"/>
        </w:rPr>
        <w:t>Ki</w:t>
      </w:r>
      <w:r w:rsidRPr="00E14102">
        <w:rPr>
          <w:color w:val="0070C0"/>
          <w:sz w:val="16"/>
          <w:szCs w:val="16"/>
        </w:rPr>
        <w:t>-9 (союзное название "Ель") (20800).</w:t>
      </w:r>
    </w:p>
    <w:p w14:paraId="47C7E0C8" w14:textId="77777777" w:rsidR="005C344A" w:rsidRPr="00E14102" w:rsidRDefault="005C344A" w:rsidP="00E14102">
      <w:pPr>
        <w:jc w:val="both"/>
        <w:rPr>
          <w:color w:val="0070C0"/>
          <w:sz w:val="16"/>
          <w:szCs w:val="16"/>
        </w:rPr>
      </w:pPr>
    </w:p>
    <w:p w14:paraId="5A0744C7" w14:textId="77777777" w:rsidR="005C344A" w:rsidRPr="00E14102" w:rsidRDefault="005C344A" w:rsidP="00E14102">
      <w:pPr>
        <w:jc w:val="both"/>
        <w:rPr>
          <w:color w:val="0070C0"/>
          <w:sz w:val="16"/>
          <w:szCs w:val="16"/>
        </w:rPr>
      </w:pPr>
      <w:r w:rsidRPr="00E14102">
        <w:rPr>
          <w:color w:val="0070C0"/>
          <w:sz w:val="16"/>
          <w:szCs w:val="16"/>
        </w:rPr>
        <w:t>5 января 1935 года — первый полёт беспилотного радиоуправляемого самолёта de Havilland DH.82B "Queen Bee". /Великобритания/</w:t>
      </w:r>
    </w:p>
    <w:p w14:paraId="63E66440" w14:textId="77777777" w:rsidR="005C344A" w:rsidRPr="00E14102" w:rsidRDefault="005C344A" w:rsidP="00E14102">
      <w:pPr>
        <w:jc w:val="both"/>
        <w:rPr>
          <w:color w:val="0070C0"/>
          <w:sz w:val="16"/>
          <w:szCs w:val="16"/>
        </w:rPr>
      </w:pPr>
      <w:r w:rsidRPr="00E14102">
        <w:rPr>
          <w:color w:val="0070C0"/>
          <w:sz w:val="16"/>
          <w:szCs w:val="16"/>
        </w:rPr>
        <w:t>Обычно при тренировке зенитчиков в 1930-е годы мишень буксировалась другим самолётом и было мало похоже на реальность. Для решения этой проблемы в 1933 году Королевский ВМФ Великобритании заказал de Havilland Aircraft разработку радиоуправляемого самолёта-мишени. Проект получил обозначение DH.82B "Queen Bee".</w:t>
      </w:r>
    </w:p>
    <w:p w14:paraId="18A0E2EA" w14:textId="77777777" w:rsidR="005C344A" w:rsidRPr="00E14102" w:rsidRDefault="005C344A" w:rsidP="00E14102">
      <w:pPr>
        <w:jc w:val="both"/>
        <w:rPr>
          <w:color w:val="0070C0"/>
          <w:sz w:val="16"/>
          <w:szCs w:val="16"/>
        </w:rPr>
      </w:pPr>
      <w:r w:rsidRPr="00E14102">
        <w:rPr>
          <w:color w:val="0070C0"/>
          <w:sz w:val="16"/>
          <w:szCs w:val="16"/>
        </w:rPr>
        <w:t>Хотя DH.82B и был похож на учебный биплан DH.82A Tiger Moth, на самом деле это был гибрид — крылья от Tiger Moth + фюзеляж от более дешёвого DH.60 Moth. На самолёт установили усовершенствованный автопилот Smiths Mk la, который управлялся по радио. Пульт управления мог находится на другом самолете, на военном корабле или просто на земле. Максимальная скорость — 167 км/ч.</w:t>
      </w:r>
    </w:p>
    <w:p w14:paraId="6F2DE18E" w14:textId="77777777" w:rsidR="005C344A" w:rsidRPr="00E14102" w:rsidRDefault="005C344A" w:rsidP="00E14102">
      <w:pPr>
        <w:jc w:val="both"/>
        <w:rPr>
          <w:color w:val="0070C0"/>
          <w:sz w:val="16"/>
          <w:szCs w:val="16"/>
        </w:rPr>
      </w:pPr>
      <w:r w:rsidRPr="00E14102">
        <w:rPr>
          <w:color w:val="0070C0"/>
          <w:sz w:val="16"/>
          <w:szCs w:val="16"/>
        </w:rPr>
        <w:t>Всего было выпущено 412 самолётов DH.82B "Queen Bee" (в основном — на поплавковом шасси). Один "Queen Bee" сохранился и находится в музее на авиабазе Хенлоу Королевских ВВС (22300).</w:t>
      </w:r>
    </w:p>
    <w:p w14:paraId="4E32E76A" w14:textId="77777777" w:rsidR="005C344A" w:rsidRPr="00E14102" w:rsidRDefault="005C344A" w:rsidP="00E14102">
      <w:pPr>
        <w:jc w:val="both"/>
        <w:rPr>
          <w:color w:val="0070C0"/>
          <w:sz w:val="16"/>
          <w:szCs w:val="16"/>
        </w:rPr>
      </w:pPr>
    </w:p>
    <w:p w14:paraId="3FEF288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4F2ADAA" w14:textId="77777777" w:rsidR="00D4105E" w:rsidRPr="00E14102" w:rsidRDefault="00D4105E" w:rsidP="00E14102">
      <w:pPr>
        <w:autoSpaceDE w:val="0"/>
        <w:autoSpaceDN w:val="0"/>
        <w:adjustRightInd w:val="0"/>
        <w:jc w:val="both"/>
        <w:rPr>
          <w:iCs/>
          <w:color w:val="000000" w:themeColor="text1"/>
          <w:sz w:val="16"/>
          <w:szCs w:val="16"/>
        </w:rPr>
      </w:pPr>
    </w:p>
    <w:p w14:paraId="7CFD3E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января 1935 Нач. ЦАГИ Харламов писал Врид. Нач. ГУАП С.Л.Марголину письмо N 92с:</w:t>
      </w:r>
    </w:p>
    <w:p w14:paraId="1A5F3B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"Доношу, что расчеты по установке мотора К-9 на самолет И-14 производятся и будут закончены 10 января.</w:t>
      </w:r>
    </w:p>
    <w:p w14:paraId="528709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Установку мотора К-9 ЦАГИ будет производить на одном из первых серийных экз., каковой и просит Вас нарядить в его распоряжение.эИ-14 с РЦ опытный, продолжает производить испытание вооружения и на нем совместить установку мотора К-9 не представляется возможным." (2337,146).</w:t>
      </w:r>
    </w:p>
    <w:p w14:paraId="2184A3BC" w14:textId="77777777" w:rsidR="00D4105E" w:rsidRPr="00E14102" w:rsidRDefault="00D4105E" w:rsidP="00E14102">
      <w:pPr>
        <w:autoSpaceDE w:val="0"/>
        <w:autoSpaceDN w:val="0"/>
        <w:adjustRightInd w:val="0"/>
        <w:jc w:val="both"/>
        <w:rPr>
          <w:color w:val="000000" w:themeColor="text1"/>
          <w:sz w:val="16"/>
          <w:szCs w:val="16"/>
        </w:rPr>
      </w:pPr>
    </w:p>
    <w:p w14:paraId="788A1F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января 1935 года в отчете о ходе работ представитель К.Э.Циолковского в Дирижаблестрое Я.А.Раппопорт писал, что при изготовлении модели оболочки объемом 1000 м3 боковые панели получились «горбатыми», с перекосом, а гофр оказался «жеваным». Он отметил также, что «... работа замерла, ... гонят сплошной брак.» Он предлагал прекратить эти работы и, чтобы не распускать 50 рабочих, попытаться создать оболочку объемом 10 м3. К.Э.Циолковский на это ответил, что это «...ужас, потому что потеря времени, сил и уныние.» 14 января Я.А.Раппопорт писал Циолковскому о том, что нужно изобрести и сделать специальные машины, которые только и позволят наладить работу и по меньшей оболочке. К.Э.Циолковский, видимо уже понимая всю бесперспективность своей затеи, выдохнул: «К этому нечего прибавить, все правда.» (11041).</w:t>
      </w:r>
    </w:p>
    <w:p w14:paraId="65DA6D1D" w14:textId="77777777" w:rsidR="00D4105E" w:rsidRPr="00E14102" w:rsidRDefault="00D4105E" w:rsidP="00E14102">
      <w:pPr>
        <w:autoSpaceDE w:val="0"/>
        <w:autoSpaceDN w:val="0"/>
        <w:adjustRightInd w:val="0"/>
        <w:jc w:val="both"/>
        <w:rPr>
          <w:color w:val="000000" w:themeColor="text1"/>
          <w:sz w:val="16"/>
          <w:szCs w:val="16"/>
        </w:rPr>
      </w:pPr>
    </w:p>
    <w:p w14:paraId="0798F03E" w14:textId="77777777" w:rsidR="006A6A56" w:rsidRPr="00E14102" w:rsidRDefault="006A6A56" w:rsidP="00E14102">
      <w:pPr>
        <w:jc w:val="both"/>
        <w:rPr>
          <w:color w:val="000000" w:themeColor="text1"/>
          <w:sz w:val="16"/>
          <w:szCs w:val="16"/>
        </w:rPr>
      </w:pPr>
      <w:r w:rsidRPr="00E14102">
        <w:rPr>
          <w:color w:val="000000" w:themeColor="text1"/>
          <w:sz w:val="16"/>
          <w:szCs w:val="16"/>
          <w:shd w:val="clear" w:color="auto" w:fill="FFFFFF"/>
        </w:rPr>
        <w:t>6 января 1935 года АССНАТ по дирижаблю Яков Айзикович Раппопорт сообщал в отчёте, что при изготовлении оболочки боковые панели получились </w:t>
      </w:r>
      <w:r w:rsidRPr="00E14102">
        <w:rPr>
          <w:iCs/>
          <w:color w:val="000000" w:themeColor="text1"/>
          <w:sz w:val="16"/>
          <w:szCs w:val="16"/>
          <w:bdr w:val="none" w:sz="0" w:space="0" w:color="auto" w:frame="1"/>
          <w:shd w:val="clear" w:color="auto" w:fill="FFFFFF"/>
        </w:rPr>
        <w:t>«горбатыми»</w:t>
      </w:r>
      <w:r w:rsidRPr="00E14102">
        <w:rPr>
          <w:color w:val="000000" w:themeColor="text1"/>
          <w:sz w:val="16"/>
          <w:szCs w:val="16"/>
          <w:shd w:val="clear" w:color="auto" w:fill="FFFFFF"/>
        </w:rPr>
        <w:t>, с перекосом, а гофр оказался </w:t>
      </w:r>
      <w:r w:rsidRPr="00E14102">
        <w:rPr>
          <w:iCs/>
          <w:color w:val="000000" w:themeColor="text1"/>
          <w:sz w:val="16"/>
          <w:szCs w:val="16"/>
          <w:bdr w:val="none" w:sz="0" w:space="0" w:color="auto" w:frame="1"/>
          <w:shd w:val="clear" w:color="auto" w:fill="FFFFFF"/>
        </w:rPr>
        <w:t>«жёваным»</w:t>
      </w:r>
      <w:r w:rsidRPr="00E14102">
        <w:rPr>
          <w:color w:val="000000" w:themeColor="text1"/>
          <w:sz w:val="16"/>
          <w:szCs w:val="16"/>
          <w:shd w:val="clear" w:color="auto" w:fill="FFFFFF"/>
        </w:rPr>
        <w:t>. Раппопорт также отмечал, что </w:t>
      </w:r>
      <w:r w:rsidRPr="00E14102">
        <w:rPr>
          <w:iCs/>
          <w:color w:val="000000" w:themeColor="text1"/>
          <w:sz w:val="16"/>
          <w:szCs w:val="16"/>
          <w:bdr w:val="none" w:sz="0" w:space="0" w:color="auto" w:frame="1"/>
          <w:shd w:val="clear" w:color="auto" w:fill="FFFFFF"/>
        </w:rPr>
        <w:t>«работа замерла, гонят сплошной брак»</w:t>
      </w:r>
      <w:r w:rsidRPr="00E14102">
        <w:rPr>
          <w:color w:val="000000" w:themeColor="text1"/>
          <w:sz w:val="16"/>
          <w:szCs w:val="16"/>
          <w:shd w:val="clear" w:color="auto" w:fill="FFFFFF"/>
        </w:rPr>
        <w:t>. Он предлагал остановить проект и, чтобы не распускать пятьдесят рабочих, попытаться создать оболочку объёмом 10 м³. Циолковский ответил: </w:t>
      </w:r>
      <w:r w:rsidRPr="00E14102">
        <w:rPr>
          <w:iCs/>
          <w:color w:val="000000" w:themeColor="text1"/>
          <w:sz w:val="16"/>
          <w:szCs w:val="16"/>
          <w:bdr w:val="none" w:sz="0" w:space="0" w:color="auto" w:frame="1"/>
          <w:shd w:val="clear" w:color="auto" w:fill="FFFFFF"/>
        </w:rPr>
        <w:t>«Ужас, потому что потеря времени, сил и уныние»</w:t>
      </w:r>
      <w:r w:rsidRPr="00E14102">
        <w:rPr>
          <w:color w:val="000000" w:themeColor="text1"/>
          <w:sz w:val="16"/>
          <w:szCs w:val="16"/>
          <w:shd w:val="clear" w:color="auto" w:fill="FFFFFF"/>
        </w:rPr>
        <w:t>. 14 января Раппопорт написал Циолковскому, что нужно делать специальные машины, которые позволят наладить выпуск гофрированного металла нужного качества. Циолковский признал его правоту, но уже никак не мог повлиять на развитие проекта, а 19 сентября престарелого изобретателя не стало.</w:t>
      </w:r>
    </w:p>
    <w:p w14:paraId="114533EC" w14:textId="77777777" w:rsidR="006A6A56" w:rsidRPr="00E14102" w:rsidRDefault="006A6A56" w:rsidP="00E14102">
      <w:pPr>
        <w:jc w:val="both"/>
        <w:rPr>
          <w:color w:val="000000" w:themeColor="text1"/>
          <w:sz w:val="16"/>
          <w:szCs w:val="16"/>
          <w:shd w:val="clear" w:color="auto" w:fill="FFFFFF"/>
        </w:rPr>
      </w:pPr>
      <w:r w:rsidRPr="00E14102">
        <w:rPr>
          <w:color w:val="000000" w:themeColor="text1"/>
          <w:sz w:val="16"/>
          <w:szCs w:val="16"/>
          <w:shd w:val="clear" w:color="auto" w:fill="FFFFFF"/>
        </w:rPr>
        <w:t xml:space="preserve">Проект цельнометаллического дирижабля был остановлен после смерти автора, но оборудование, изготовленное для его реализации, пригодилось. В 1938 году в мастерских «Дирижабльстроя» по специальному заказу для московской станции метро «Маяковская» были изготовлены декоративные подковообразные конструкции, которые как бы держат станционный свод. Нигде, кроме как в КБЦ-3, не было широкополосного профилированного стана, позволявшего изготовить подобные гофрированные детали из нержавеющей стали. 11 сентября 1938 года станция была открыта для пассажиров, а через месяц она получила Гран-при на Международной выставке в Нью-Йорке. </w:t>
      </w:r>
    </w:p>
    <w:p w14:paraId="26E59D75" w14:textId="77777777" w:rsidR="006A6A56" w:rsidRPr="00E14102" w:rsidRDefault="006A6A56" w:rsidP="00E14102">
      <w:pPr>
        <w:jc w:val="both"/>
        <w:rPr>
          <w:color w:val="000000" w:themeColor="text1"/>
          <w:sz w:val="16"/>
          <w:szCs w:val="16"/>
        </w:rPr>
      </w:pPr>
      <w:r w:rsidRPr="00E14102">
        <w:rPr>
          <w:color w:val="000000" w:themeColor="text1"/>
          <w:sz w:val="16"/>
          <w:szCs w:val="16"/>
          <w:shd w:val="clear" w:color="auto" w:fill="FFFFFF"/>
        </w:rPr>
        <w:t>В 1931 году в «Дирижаблестрое» было организовано конструкторское бюро по проектированию и постройке дирижабля Циолковского (КБ-3 или КБЦ-3). Его собирались изготавливать из нержавеющей гофрированной стали толщиной 0,1 мм. Модель имела объём 1000 м³ при длине почти 45 м и наибольшем диаметре 7,2 м. Дирижабль проектировался и строился под непосредственным руководством калужского изобретателя, а предназначался для испытаний, которые должны были предшествовать оформлению проекта полноценной конструкции объёмом около 8000 м³ (19604).</w:t>
      </w:r>
    </w:p>
    <w:p w14:paraId="51D6583C" w14:textId="77777777" w:rsidR="006A6A56" w:rsidRPr="00E14102" w:rsidRDefault="006A6A56" w:rsidP="00E14102">
      <w:pPr>
        <w:jc w:val="both"/>
        <w:rPr>
          <w:color w:val="000000" w:themeColor="text1"/>
          <w:sz w:val="16"/>
          <w:szCs w:val="16"/>
        </w:rPr>
      </w:pPr>
    </w:p>
    <w:p w14:paraId="2703E19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AF352D9" w14:textId="77777777" w:rsidR="00D4105E" w:rsidRPr="00E14102" w:rsidRDefault="00D4105E" w:rsidP="00E14102">
      <w:pPr>
        <w:autoSpaceDE w:val="0"/>
        <w:autoSpaceDN w:val="0"/>
        <w:adjustRightInd w:val="0"/>
        <w:jc w:val="both"/>
        <w:rPr>
          <w:iCs/>
          <w:color w:val="000000" w:themeColor="text1"/>
          <w:sz w:val="16"/>
          <w:szCs w:val="16"/>
        </w:rPr>
      </w:pPr>
    </w:p>
    <w:p w14:paraId="43BE30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 января 1935 газета “Правда” впервые назвала Москву “портом пяти морей” (4962).</w:t>
      </w:r>
    </w:p>
    <w:p w14:paraId="725BD27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7A55055" w14:textId="77777777" w:rsidR="002808C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C079C87" w14:textId="77777777" w:rsidR="002808C2" w:rsidRPr="00E14102" w:rsidRDefault="002808C2" w:rsidP="00E14102">
      <w:pPr>
        <w:autoSpaceDE w:val="0"/>
        <w:autoSpaceDN w:val="0"/>
        <w:adjustRightInd w:val="0"/>
        <w:jc w:val="both"/>
        <w:rPr>
          <w:iCs/>
          <w:color w:val="000000" w:themeColor="text1"/>
          <w:sz w:val="16"/>
          <w:szCs w:val="16"/>
        </w:rPr>
      </w:pPr>
    </w:p>
    <w:p w14:paraId="3B0CC41B" w14:textId="77777777" w:rsidR="002808C2" w:rsidRPr="00E14102" w:rsidRDefault="002808C2" w:rsidP="00E14102">
      <w:pPr>
        <w:jc w:val="both"/>
        <w:rPr>
          <w:color w:val="000000" w:themeColor="text1"/>
          <w:sz w:val="16"/>
          <w:szCs w:val="16"/>
        </w:rPr>
      </w:pPr>
      <w:r w:rsidRPr="00E14102">
        <w:rPr>
          <w:bCs/>
          <w:color w:val="000000" w:themeColor="text1"/>
          <w:sz w:val="16"/>
          <w:szCs w:val="16"/>
        </w:rPr>
        <w:t>6 января</w:t>
      </w:r>
      <w:r w:rsidRPr="00E14102">
        <w:rPr>
          <w:color w:val="000000" w:themeColor="text1"/>
          <w:sz w:val="16"/>
          <w:szCs w:val="16"/>
        </w:rPr>
        <w:t xml:space="preserve"> в 1935 году первый полет самолета «D.513» - истребителя, разработанного французской фирмой «Dewoitine». Самолет стал дальнейшим развитием истребителей «Dewoitine» «D.500/501», получил новый мотор «Испано-Сюиза» «12Ycrs», мощностью 860 л.с., крыло сделали меньше и ввели свободнонесущие стойки шасси вместо трехгранных пирамид. После прохождения испытаний дальнейшие работы по самолету закрыли (15001).</w:t>
      </w:r>
    </w:p>
    <w:p w14:paraId="73CC0A36" w14:textId="77777777" w:rsidR="002808C2" w:rsidRPr="00E14102" w:rsidRDefault="002808C2" w:rsidP="00E14102">
      <w:pPr>
        <w:jc w:val="both"/>
        <w:rPr>
          <w:color w:val="000000" w:themeColor="text1"/>
          <w:sz w:val="16"/>
          <w:szCs w:val="16"/>
        </w:rPr>
      </w:pPr>
    </w:p>
    <w:p w14:paraId="75B0A19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43508BC" w14:textId="77777777" w:rsidR="00D4105E" w:rsidRPr="00E14102" w:rsidRDefault="00D4105E" w:rsidP="00E14102">
      <w:pPr>
        <w:autoSpaceDE w:val="0"/>
        <w:autoSpaceDN w:val="0"/>
        <w:adjustRightInd w:val="0"/>
        <w:jc w:val="both"/>
        <w:rPr>
          <w:iCs/>
          <w:color w:val="000000" w:themeColor="text1"/>
          <w:sz w:val="16"/>
          <w:szCs w:val="16"/>
        </w:rPr>
      </w:pPr>
    </w:p>
    <w:p w14:paraId="519CE22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начале января 1935 была подготовлена Справка:</w:t>
      </w:r>
    </w:p>
    <w:p w14:paraId="0A9C9B1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Решением КО 19 декабря 1934 года признано необходимым:</w:t>
      </w:r>
    </w:p>
    <w:p w14:paraId="34F62ED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Перейти на производство самолетов Р-Д с установкой двух моторов К-14. Переход этот осуществить с августа 1935 года с тем, чтобы ЦАГИ под ответственность Туполева изготовил и сдал на гос. испытания эталоны и закончил подготовительную работу по чертежам и техусловиям к 15 июня 1935 года.</w:t>
      </w:r>
    </w:p>
    <w:p w14:paraId="637019D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Продолжать работу по Р-Д с мотором М-34 Р, с изготовлением на заводе № 18 в 1935 году – 25 шт.</w:t>
      </w:r>
    </w:p>
    <w:p w14:paraId="5E9C333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Одновременно НКТП вести подготовку завода № 18 к производству самолетов Р-Д с мотором К-14.</w:t>
      </w:r>
    </w:p>
    <w:p w14:paraId="29664E6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Представленный во исполнение решения КО Туполевым проект постановления СТО “О постройке дальнего бомбардировщика” послан на визу Ворошилову, который в своем заключении возражает против предлагаемого НКТП срока предъявления самолета на заводские испытания 15 июня 1935 года. Орджоникидзе дополнил проект постановления СТО новым пунктом “О развертывании производства самолета Р-Д на заводе № 18 и снятии с производства в 1935 году на этом заводе самолета МИ-3.</w:t>
      </w:r>
    </w:p>
    <w:p w14:paraId="54D9A0F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дополнением Орджоникидзе проект вторично послан на визу Ворошилову; в своем заключении последний настаивает на прежнем сроке предъявления самолета на гос. испытания 15 июня 1935 года и возражает против снятия с производства завода № 18 самолета МИ-3.</w:t>
      </w:r>
    </w:p>
    <w:p w14:paraId="3C006F9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 постановления доложен Чубарю и по его указанию внесены изменения:</w:t>
      </w:r>
    </w:p>
    <w:p w14:paraId="77C570C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 части срока испытаний взята формулировка по протоколу КО;</w:t>
      </w:r>
    </w:p>
    <w:p w14:paraId="6C8497B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пункт о снятии с производства завода № 18 самолета МИ-3 исключен (4256, 8).</w:t>
      </w:r>
    </w:p>
    <w:p w14:paraId="35BC8F5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DD49477" w14:textId="77777777" w:rsidR="006A6A56" w:rsidRPr="00E14102" w:rsidRDefault="006A6A56" w:rsidP="00E14102">
      <w:pPr>
        <w:jc w:val="both"/>
        <w:rPr>
          <w:color w:val="000000" w:themeColor="text1"/>
          <w:sz w:val="16"/>
          <w:szCs w:val="16"/>
        </w:rPr>
      </w:pPr>
      <w:r w:rsidRPr="00E14102">
        <w:rPr>
          <w:color w:val="000000" w:themeColor="text1"/>
          <w:sz w:val="16"/>
          <w:szCs w:val="16"/>
        </w:rPr>
        <w:t>Не позднее начала января 1935 года Сильванский направил в авиационные инстанции свой проект скоростного фоторазведчика. В основе это был проект КБ Поликарпова, хотя и с некоторыми изменениями (19008).</w:t>
      </w:r>
    </w:p>
    <w:p w14:paraId="7F505D1D" w14:textId="77777777" w:rsidR="006A6A56" w:rsidRPr="00E14102" w:rsidRDefault="006A6A56" w:rsidP="00E14102">
      <w:pPr>
        <w:jc w:val="both"/>
        <w:rPr>
          <w:color w:val="000000" w:themeColor="text1"/>
          <w:sz w:val="16"/>
          <w:szCs w:val="16"/>
        </w:rPr>
      </w:pPr>
    </w:p>
    <w:p w14:paraId="3EE02229" w14:textId="77777777" w:rsidR="005C344A" w:rsidRPr="00E14102" w:rsidRDefault="005C344A" w:rsidP="00E14102">
      <w:pPr>
        <w:shd w:val="clear" w:color="auto" w:fill="FFFFFF"/>
        <w:jc w:val="both"/>
        <w:rPr>
          <w:color w:val="0070C0"/>
          <w:sz w:val="16"/>
          <w:szCs w:val="16"/>
        </w:rPr>
      </w:pPr>
      <w:r w:rsidRPr="00E14102">
        <w:rPr>
          <w:color w:val="0070C0"/>
          <w:sz w:val="16"/>
          <w:szCs w:val="16"/>
        </w:rPr>
        <w:t>В начале января 1935 г. на имя ответственного сотрудника Главного управления авиационной промышленности (ГУАП) Наркомата тяжёлой промышленности Машкевича поступило письмо следующего содержания: «При сём препровождаю материалы по проекту планеролёта для переброски спецгруза. Материал содержит: Общий вид планеролёта 1 лист, Расчёты (Аэродинамические и на прочность) текст 22 листа и графиков 28 листов. Инж. Опытно Констр. Бюро КАИ Т.Воробьёв. 1/1-35 г.» (орфография и пунктуация по подлиннику).</w:t>
      </w:r>
    </w:p>
    <w:p w14:paraId="378B65EC" w14:textId="77777777" w:rsidR="005C344A" w:rsidRPr="00E14102" w:rsidRDefault="005C344A" w:rsidP="00E14102">
      <w:pPr>
        <w:shd w:val="clear" w:color="auto" w:fill="FFFFFF"/>
        <w:jc w:val="both"/>
        <w:rPr>
          <w:color w:val="0070C0"/>
          <w:sz w:val="16"/>
          <w:szCs w:val="16"/>
        </w:rPr>
      </w:pPr>
      <w:r w:rsidRPr="00E14102">
        <w:rPr>
          <w:color w:val="0070C0"/>
          <w:sz w:val="16"/>
          <w:szCs w:val="16"/>
        </w:rPr>
        <w:t>В прилагаемых материалах аппарат обозначен как «планерлёт КАИ-4». Упоминаемое Воробьёвым назначение планерлёта («переброска спецгруза») говорит о том, что он проектировался для военных целей, т.е., по-видимому, для перевозки военного персонала и/или войсковой техники и вооружения. К сожалению, имеющийся в архивном деле материал содержит в основном понятные только узкому специалисту детальные данные аэродинамического расчёта и лишь в небольшой степени – общие сведения, позволяющие составить представление об облике и характеристиках этого ЛА. Как явствует из проектного трёхвидового чертежа, КАИ-4 представлял собой свободнонесущий моноплан двухбалочной схемы с одним двигателем, расположенным в задней части фюзеляжной гондолы и приводящим в движение толкающий винт. Вертикальное хвостовое оперение разнесённое, горизонтальное оперение заключено между балками. Крыло большого размаха и удлинения имеет трапециевидную в плане форму и большое сужение. Верх крыла расположен вровень с верхом фюзеляжной гондолы, т.е. крыло располагается выше центра тяжести всего аппарата. Носовая часть фюзеляжа, судя по чертежу, может откидываться вбок для погрузки и разгрузки. Над фюзеляжной гондолой виден обтекатель неясного назначения (бензобак?), а по обе стороны фюзеляжа над передней кромкой крыла выступают остеклённые надстройки – похоже, это две индивидуальные кабины пилотов (весьма нестандартное решение). Шасси на этом довольно схематичном рисунке не показано. Возможно, предполагалось многоколёсное шасси под фюзеляжем. В любом случае шасси должно было обеспечить необходимый клиренс для винта, диск которого выступал за обводы нижней части фюзеляжа. Согласно данным чертежа, КАИ-4 имел следующие геометрические размеры: размах крыла – 53800 мм, общая длина – 19500 мм, корневая хорда крыла – 7900 мм, концевая хорда крыла – 1000 мм, расстояние между осями балок – 10000 мм. Эти данные воистину впечатляют. Размах крыла – почти 54 метра – больше, чем у современного ракетоносца Ту-95МС (50,05 м) и значительно больше, чем у тогдашнего самого крупного советского бомбардировщика ТБ-3 (41,8 м). Это был бы настоящий гигант среди мотопланеров и грузовых.</w:t>
      </w:r>
    </w:p>
    <w:p w14:paraId="79D1DF34" w14:textId="77777777" w:rsidR="005C344A" w:rsidRPr="00E14102" w:rsidRDefault="005C344A" w:rsidP="00E14102">
      <w:pPr>
        <w:shd w:val="clear" w:color="auto" w:fill="FFFFFF"/>
        <w:jc w:val="both"/>
        <w:rPr>
          <w:color w:val="0070C0"/>
          <w:sz w:val="16"/>
          <w:szCs w:val="16"/>
        </w:rPr>
      </w:pPr>
      <w:r w:rsidRPr="00E14102">
        <w:rPr>
          <w:color w:val="0070C0"/>
          <w:sz w:val="16"/>
          <w:szCs w:val="16"/>
        </w:rPr>
        <w:t xml:space="preserve">самолётов того времени. По чертежу можно приближённо рассчитать внешние габариты фюзеляжной гондолы. Они таковы: длина – 12780 мм, высота – 2340 мм, ширина – 2400 мм. Грузовой отсек прикидочно мог бы при этом иметь такие габариты: длина – 8,2 м (от среза откидной части до моторного отсека), высота в максимальном сечении – 2,3 м, ширина в максимальном сечении – 2,36 м. Приведённые данные можно дополнить сведениями из текста Аэродинамического расчёта. Вот они: удлинение крыла 12, профиль крыла – NACA №2412, несущая площадь крыла S = 240 м2 , (для сравнения: у ТБ-3 – 234 м2 ), средняя аэродинамическая </w:t>
      </w:r>
      <w:r w:rsidRPr="00E14102">
        <w:rPr>
          <w:color w:val="0070C0"/>
          <w:sz w:val="16"/>
          <w:szCs w:val="16"/>
        </w:rPr>
        <w:lastRenderedPageBreak/>
        <w:t>хорда t ср = 5,85 м,. Полный вес аппарата – 12000 кг, что составляет примерно 2/3 полного веса бомбардировщика ТБ-3 4М-34ФРН (18877 кг). (РГАЭ Ф. 8328 оп. 1 д. 795.).</w:t>
      </w:r>
    </w:p>
    <w:p w14:paraId="036CD13E" w14:textId="77777777" w:rsidR="005C344A" w:rsidRPr="00E14102" w:rsidRDefault="005C344A" w:rsidP="00E14102">
      <w:pPr>
        <w:shd w:val="clear" w:color="auto" w:fill="FFFFFF"/>
        <w:jc w:val="both"/>
        <w:rPr>
          <w:color w:val="0070C0"/>
          <w:sz w:val="16"/>
          <w:szCs w:val="16"/>
        </w:rPr>
      </w:pPr>
      <w:r w:rsidRPr="00E14102">
        <w:rPr>
          <w:color w:val="0070C0"/>
          <w:sz w:val="16"/>
          <w:szCs w:val="16"/>
        </w:rPr>
        <w:t>В отношении марки двигателя рассматривались разные варианты. В тексте Аэродинамического расчёта имеется таблица «Высотные характеристики мотора М-22», что вроде бы указывает на применение именно этого двигателя (М-22 – это звездообразный мотор воздушного охлаждения мощностью 480/570 л.с., лицензионная копия французского мотора Гном-Рон 9А, который, в свою очередь, был лицензионной копией английского мотора Бристоль «Юпитер» VI). Однако на трёхвидовой схеме мотогондола имеет обводы, соответствующие рядному двигателю водяного охлаждения. Это мог быть М-17 (мощность 500/715 л.с. а в варианте М-17Ф – 600/800 л.с.), также упоминаемый в документе (21473).</w:t>
      </w:r>
    </w:p>
    <w:p w14:paraId="00A3FB0A" w14:textId="77777777" w:rsidR="005C344A" w:rsidRPr="00E14102" w:rsidRDefault="005C344A" w:rsidP="00E14102">
      <w:pPr>
        <w:shd w:val="clear" w:color="auto" w:fill="FFFFFF"/>
        <w:jc w:val="both"/>
        <w:rPr>
          <w:color w:val="0070C0"/>
          <w:sz w:val="16"/>
          <w:szCs w:val="16"/>
        </w:rPr>
      </w:pPr>
    </w:p>
    <w:p w14:paraId="491111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января 1935 года была разработана схема углов обстрела стрелково-пушечного вооружения в соответствии с концепцией "летающая крепость" (7685).</w:t>
      </w:r>
    </w:p>
    <w:p w14:paraId="2EC9FE1E" w14:textId="77777777" w:rsidR="00D4105E" w:rsidRPr="00E14102" w:rsidRDefault="00D4105E" w:rsidP="00E14102">
      <w:pPr>
        <w:autoSpaceDE w:val="0"/>
        <w:autoSpaceDN w:val="0"/>
        <w:adjustRightInd w:val="0"/>
        <w:jc w:val="both"/>
        <w:rPr>
          <w:color w:val="000000" w:themeColor="text1"/>
          <w:sz w:val="16"/>
          <w:szCs w:val="16"/>
        </w:rPr>
      </w:pPr>
    </w:p>
    <w:p w14:paraId="16269F6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начале января 1935 были подготовлены ТУ к специальному оборудованию дирижабля В7бис, которые использовали при проектировании В8 (5476).</w:t>
      </w:r>
    </w:p>
    <w:p w14:paraId="62BE692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DD5714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067CF1E" w14:textId="77777777" w:rsidR="00D4105E" w:rsidRPr="00E14102" w:rsidRDefault="00D4105E" w:rsidP="00E14102">
      <w:pPr>
        <w:autoSpaceDE w:val="0"/>
        <w:autoSpaceDN w:val="0"/>
        <w:adjustRightInd w:val="0"/>
        <w:jc w:val="both"/>
        <w:rPr>
          <w:iCs/>
          <w:color w:val="000000" w:themeColor="text1"/>
          <w:sz w:val="16"/>
          <w:szCs w:val="16"/>
        </w:rPr>
      </w:pPr>
    </w:p>
    <w:p w14:paraId="698184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января 1935 НКО К.Е.В. писал письмо № 376003сс/о Пред. СТО тов. Молотову на № 2462/ко</w:t>
      </w:r>
    </w:p>
    <w:p w14:paraId="28BE10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КО (протокол № 11 п. 2) установлено, что ДБ должен быть сдан на государственные испытания 15 июня 1935 г. В голосуемом же проекте простановления предлагается 15 июня предъявить этот самолет на заводские испытания.</w:t>
      </w:r>
    </w:p>
    <w:p w14:paraId="1E7DDA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 не вижу оснований менять ранее установленный срок сдачи с-та на госиспытания к 15 июня и прошу эту правку внести в постановление.</w:t>
      </w:r>
    </w:p>
    <w:p w14:paraId="5D249A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остальном с проектом согласен (4256).</w:t>
      </w:r>
    </w:p>
    <w:p w14:paraId="603D2577" w14:textId="77777777" w:rsidR="00D4105E" w:rsidRPr="00E14102" w:rsidRDefault="00D4105E" w:rsidP="00E14102">
      <w:pPr>
        <w:autoSpaceDE w:val="0"/>
        <w:autoSpaceDN w:val="0"/>
        <w:adjustRightInd w:val="0"/>
        <w:jc w:val="both"/>
        <w:rPr>
          <w:color w:val="000000" w:themeColor="text1"/>
          <w:sz w:val="16"/>
          <w:szCs w:val="16"/>
        </w:rPr>
      </w:pPr>
    </w:p>
    <w:p w14:paraId="24D33F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января 1935 нач. ЦАГИ Харламовым был подготовлен краткий отчет за 1934 и перспектива плана на 1935 по ЦАГИ N 82с (2337,206):</w:t>
      </w:r>
    </w:p>
    <w:p w14:paraId="572DEE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ОПЫТНОЕ СТРОИТЕЛЬСТВО</w:t>
      </w:r>
    </w:p>
    <w:p w14:paraId="182017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Выпущено машин: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4158"/>
      </w:tblGrid>
      <w:tr w:rsidR="00E3599D" w:rsidRPr="00E14102" w14:paraId="25188BA5" w14:textId="77777777">
        <w:tc>
          <w:tcPr>
            <w:tcW w:w="1610" w:type="dxa"/>
            <w:tcBorders>
              <w:top w:val="single" w:sz="12" w:space="0" w:color="auto"/>
            </w:tcBorders>
          </w:tcPr>
          <w:p w14:paraId="223340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w:t>
            </w:r>
          </w:p>
        </w:tc>
        <w:tc>
          <w:tcPr>
            <w:tcW w:w="1610" w:type="dxa"/>
            <w:tcBorders>
              <w:top w:val="single" w:sz="12" w:space="0" w:color="auto"/>
            </w:tcBorders>
          </w:tcPr>
          <w:p w14:paraId="2336B4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Прав.</w:t>
            </w:r>
          </w:p>
        </w:tc>
        <w:tc>
          <w:tcPr>
            <w:tcW w:w="1610" w:type="dxa"/>
            <w:tcBorders>
              <w:top w:val="single" w:sz="12" w:space="0" w:color="auto"/>
            </w:tcBorders>
          </w:tcPr>
          <w:p w14:paraId="04C696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Выход</w:t>
            </w:r>
          </w:p>
        </w:tc>
        <w:tc>
          <w:tcPr>
            <w:tcW w:w="1610" w:type="dxa"/>
            <w:tcBorders>
              <w:top w:val="single" w:sz="12" w:space="0" w:color="auto"/>
            </w:tcBorders>
          </w:tcPr>
          <w:p w14:paraId="51920A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Сдача</w:t>
            </w:r>
          </w:p>
        </w:tc>
        <w:tc>
          <w:tcPr>
            <w:tcW w:w="4158" w:type="dxa"/>
            <w:tcBorders>
              <w:top w:val="single" w:sz="12" w:space="0" w:color="auto"/>
            </w:tcBorders>
          </w:tcPr>
          <w:p w14:paraId="6AA05C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Характеристика объекта</w:t>
            </w:r>
          </w:p>
        </w:tc>
      </w:tr>
      <w:tr w:rsidR="00E3599D" w:rsidRPr="00E14102" w14:paraId="08C6308E" w14:textId="77777777">
        <w:tc>
          <w:tcPr>
            <w:tcW w:w="1610" w:type="dxa"/>
          </w:tcPr>
          <w:p w14:paraId="39B1F33D"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7ACD2A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w:t>
            </w:r>
          </w:p>
        </w:tc>
        <w:tc>
          <w:tcPr>
            <w:tcW w:w="1610" w:type="dxa"/>
          </w:tcPr>
          <w:p w14:paraId="2BEECF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а</w:t>
            </w:r>
          </w:p>
        </w:tc>
        <w:tc>
          <w:tcPr>
            <w:tcW w:w="1610" w:type="dxa"/>
          </w:tcPr>
          <w:p w14:paraId="03ABF4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ги</w:t>
            </w:r>
          </w:p>
        </w:tc>
        <w:tc>
          <w:tcPr>
            <w:tcW w:w="4158" w:type="dxa"/>
          </w:tcPr>
          <w:p w14:paraId="76C1EDA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B862A98" w14:textId="77777777">
        <w:tc>
          <w:tcPr>
            <w:tcW w:w="1610" w:type="dxa"/>
          </w:tcPr>
          <w:p w14:paraId="36415C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 РЦ</w:t>
            </w:r>
          </w:p>
        </w:tc>
        <w:tc>
          <w:tcPr>
            <w:tcW w:w="1610" w:type="dxa"/>
          </w:tcPr>
          <w:p w14:paraId="0492EF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01.03.34</w:t>
            </w:r>
          </w:p>
        </w:tc>
        <w:tc>
          <w:tcPr>
            <w:tcW w:w="1610" w:type="dxa"/>
          </w:tcPr>
          <w:p w14:paraId="13E9D5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15.02.34</w:t>
            </w:r>
          </w:p>
        </w:tc>
        <w:tc>
          <w:tcPr>
            <w:tcW w:w="1610" w:type="dxa"/>
          </w:tcPr>
          <w:p w14:paraId="0CA54C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28.03.34</w:t>
            </w:r>
          </w:p>
        </w:tc>
        <w:tc>
          <w:tcPr>
            <w:tcW w:w="4158" w:type="dxa"/>
          </w:tcPr>
          <w:p w14:paraId="3C704E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Машина дала хорошие ЛД, по своим качествам стоит в первых рядах </w:t>
            </w:r>
          </w:p>
        </w:tc>
      </w:tr>
      <w:tr w:rsidR="00E3599D" w:rsidRPr="00E14102" w14:paraId="7FDEA261" w14:textId="77777777">
        <w:tc>
          <w:tcPr>
            <w:tcW w:w="1610" w:type="dxa"/>
          </w:tcPr>
          <w:p w14:paraId="251CDF77"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5FB58E54"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53220BE6"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5C2F5929"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1F7C55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европейских самолетов. По тактическим требованиям будет перевооружена </w:t>
            </w:r>
          </w:p>
        </w:tc>
      </w:tr>
      <w:tr w:rsidR="00E3599D" w:rsidRPr="00E14102" w14:paraId="2AD469A9" w14:textId="77777777">
        <w:tc>
          <w:tcPr>
            <w:tcW w:w="1610" w:type="dxa"/>
          </w:tcPr>
          <w:p w14:paraId="1B085D4D"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2AF00267"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5499026F"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0CFF2E13"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349748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другими пушками. Скорость - 403 км/час</w:t>
            </w:r>
          </w:p>
        </w:tc>
      </w:tr>
      <w:tr w:rsidR="00E3599D" w:rsidRPr="00E14102" w14:paraId="13A852AD" w14:textId="77777777">
        <w:tc>
          <w:tcPr>
            <w:tcW w:w="1610" w:type="dxa"/>
          </w:tcPr>
          <w:p w14:paraId="31E644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МИ-3 2М-34Н</w:t>
            </w:r>
          </w:p>
        </w:tc>
        <w:tc>
          <w:tcPr>
            <w:tcW w:w="1610" w:type="dxa"/>
          </w:tcPr>
          <w:p w14:paraId="69DF91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01.09.34</w:t>
            </w:r>
          </w:p>
        </w:tc>
        <w:tc>
          <w:tcPr>
            <w:tcW w:w="1610" w:type="dxa"/>
          </w:tcPr>
          <w:p w14:paraId="40CFB7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7BD261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13.10.34</w:t>
            </w:r>
          </w:p>
        </w:tc>
        <w:tc>
          <w:tcPr>
            <w:tcW w:w="4158" w:type="dxa"/>
          </w:tcPr>
          <w:p w14:paraId="50F9A1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Машина в доводках превзошла расчетные данные. скорость - 350 км/час</w:t>
            </w:r>
          </w:p>
        </w:tc>
      </w:tr>
      <w:tr w:rsidR="00E3599D" w:rsidRPr="00E14102" w14:paraId="1C1088F7" w14:textId="77777777">
        <w:tc>
          <w:tcPr>
            <w:tcW w:w="1610" w:type="dxa"/>
          </w:tcPr>
          <w:p w14:paraId="3B7873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 8М-34Р</w:t>
            </w:r>
          </w:p>
        </w:tc>
        <w:tc>
          <w:tcPr>
            <w:tcW w:w="1610" w:type="dxa"/>
          </w:tcPr>
          <w:p w14:paraId="1700D3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01.05.34</w:t>
            </w:r>
          </w:p>
        </w:tc>
        <w:tc>
          <w:tcPr>
            <w:tcW w:w="1610" w:type="dxa"/>
          </w:tcPr>
          <w:p w14:paraId="15BAD7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01.04.34</w:t>
            </w:r>
          </w:p>
        </w:tc>
        <w:tc>
          <w:tcPr>
            <w:tcW w:w="1610" w:type="dxa"/>
          </w:tcPr>
          <w:p w14:paraId="3BDCF0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4158" w:type="dxa"/>
          </w:tcPr>
          <w:p w14:paraId="261559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Первый полет был выполнен в июне. Самолет-гигант превосходит по размерам </w:t>
            </w:r>
          </w:p>
        </w:tc>
      </w:tr>
      <w:tr w:rsidR="00E3599D" w:rsidRPr="00E14102" w14:paraId="12C241A5" w14:textId="77777777">
        <w:tc>
          <w:tcPr>
            <w:tcW w:w="1610" w:type="dxa"/>
          </w:tcPr>
          <w:p w14:paraId="41632DF8"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14E74C74"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086CAAF4"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4BE6F794"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76B4D7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все самолеты мира. Аэродинамические качества ставят в ряд лучших в мировой </w:t>
            </w:r>
          </w:p>
        </w:tc>
      </w:tr>
      <w:tr w:rsidR="00E3599D" w:rsidRPr="00E14102" w14:paraId="2BED0B6C" w14:textId="77777777">
        <w:tc>
          <w:tcPr>
            <w:tcW w:w="1610" w:type="dxa"/>
          </w:tcPr>
          <w:p w14:paraId="415D02ED"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2846097A"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21E65CD2"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1D83B36A"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6086BC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авиатехнике. При весе 47 т скорость - 260 км/час, потолок 5000 м</w:t>
            </w:r>
          </w:p>
        </w:tc>
      </w:tr>
      <w:tr w:rsidR="00E3599D" w:rsidRPr="00E14102" w14:paraId="112C3BFC" w14:textId="77777777">
        <w:tc>
          <w:tcPr>
            <w:tcW w:w="1610" w:type="dxa"/>
          </w:tcPr>
          <w:p w14:paraId="3FDBED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МК-1 6М-34РН</w:t>
            </w:r>
          </w:p>
        </w:tc>
        <w:tc>
          <w:tcPr>
            <w:tcW w:w="1610" w:type="dxa"/>
          </w:tcPr>
          <w:p w14:paraId="732980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01.08.34</w:t>
            </w:r>
          </w:p>
        </w:tc>
        <w:tc>
          <w:tcPr>
            <w:tcW w:w="1610" w:type="dxa"/>
          </w:tcPr>
          <w:p w14:paraId="1A41D5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20.07.34</w:t>
            </w:r>
          </w:p>
        </w:tc>
        <w:tc>
          <w:tcPr>
            <w:tcW w:w="1610" w:type="dxa"/>
          </w:tcPr>
          <w:p w14:paraId="6AB913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4158" w:type="dxa"/>
          </w:tcPr>
          <w:p w14:paraId="592C3C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2-х лодочный морской крейсер, бомбовоз с полетным весом около 30 т. По </w:t>
            </w:r>
          </w:p>
        </w:tc>
      </w:tr>
      <w:tr w:rsidR="00E3599D" w:rsidRPr="00E14102" w14:paraId="3819E550" w14:textId="77777777">
        <w:tc>
          <w:tcPr>
            <w:tcW w:w="1610" w:type="dxa"/>
          </w:tcPr>
          <w:p w14:paraId="6905DB02"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20AFB8DD"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1053C7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отправлен</w:t>
            </w:r>
          </w:p>
        </w:tc>
        <w:tc>
          <w:tcPr>
            <w:tcW w:w="1610" w:type="dxa"/>
          </w:tcPr>
          <w:p w14:paraId="791F5BE8"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4315D8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результатам заводских испытаний удовлетворяет расчетным данным и </w:t>
            </w:r>
          </w:p>
        </w:tc>
      </w:tr>
      <w:tr w:rsidR="00E3599D" w:rsidRPr="00E14102" w14:paraId="3FF8B294" w14:textId="77777777">
        <w:tc>
          <w:tcPr>
            <w:tcW w:w="1610" w:type="dxa"/>
          </w:tcPr>
          <w:p w14:paraId="547F0820"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28679A34"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299389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16.08.34</w:t>
            </w:r>
          </w:p>
        </w:tc>
        <w:tc>
          <w:tcPr>
            <w:tcW w:w="1610" w:type="dxa"/>
          </w:tcPr>
          <w:p w14:paraId="1C1ECBB9"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647A39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поставленным ТТ, скорость 210 км/ч при М-34Р без нагнетателя</w:t>
            </w:r>
          </w:p>
        </w:tc>
      </w:tr>
      <w:tr w:rsidR="00E3599D" w:rsidRPr="00E14102" w14:paraId="522560B0" w14:textId="77777777">
        <w:tc>
          <w:tcPr>
            <w:tcW w:w="1610" w:type="dxa"/>
          </w:tcPr>
          <w:p w14:paraId="42E7BE45"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4F7B2320"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41FF56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п/полет</w:t>
            </w:r>
          </w:p>
        </w:tc>
        <w:tc>
          <w:tcPr>
            <w:tcW w:w="1610" w:type="dxa"/>
          </w:tcPr>
          <w:p w14:paraId="7B96BDE4"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60FFD89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3638EA5" w14:textId="77777777">
        <w:tc>
          <w:tcPr>
            <w:tcW w:w="1610" w:type="dxa"/>
          </w:tcPr>
          <w:p w14:paraId="7EFB2A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 4М-34</w:t>
            </w:r>
          </w:p>
        </w:tc>
        <w:tc>
          <w:tcPr>
            <w:tcW w:w="1610" w:type="dxa"/>
          </w:tcPr>
          <w:p w14:paraId="0499BC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01.03.35</w:t>
            </w:r>
          </w:p>
        </w:tc>
        <w:tc>
          <w:tcPr>
            <w:tcW w:w="1610" w:type="dxa"/>
          </w:tcPr>
          <w:p w14:paraId="18D2F2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25.09.34</w:t>
            </w:r>
          </w:p>
        </w:tc>
        <w:tc>
          <w:tcPr>
            <w:tcW w:w="1610" w:type="dxa"/>
          </w:tcPr>
          <w:p w14:paraId="6FB9F192"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4B7570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Однолодочный ДР и Б. выпущен в 2-х экз.. 1-й потерпел катастрофу, 2-й </w:t>
            </w:r>
          </w:p>
        </w:tc>
      </w:tr>
      <w:tr w:rsidR="00E3599D" w:rsidRPr="00E14102" w14:paraId="12A7932E" w14:textId="77777777">
        <w:tc>
          <w:tcPr>
            <w:tcW w:w="1610" w:type="dxa"/>
          </w:tcPr>
          <w:p w14:paraId="4D64565D"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1D5202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2-й экз.</w:t>
            </w:r>
          </w:p>
        </w:tc>
        <w:tc>
          <w:tcPr>
            <w:tcW w:w="1610" w:type="dxa"/>
          </w:tcPr>
          <w:p w14:paraId="6E37DF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отправлен</w:t>
            </w:r>
          </w:p>
        </w:tc>
        <w:tc>
          <w:tcPr>
            <w:tcW w:w="1610" w:type="dxa"/>
          </w:tcPr>
          <w:p w14:paraId="708988EE"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675714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проходит заводские испытания. По первым полетам обнаружил хорошие ЛД</w:t>
            </w:r>
          </w:p>
        </w:tc>
      </w:tr>
      <w:tr w:rsidR="00E3599D" w:rsidRPr="00E14102" w14:paraId="04061420" w14:textId="77777777">
        <w:tc>
          <w:tcPr>
            <w:tcW w:w="1610" w:type="dxa"/>
          </w:tcPr>
          <w:p w14:paraId="41C60841"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65377675"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1BC866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29.10.34</w:t>
            </w:r>
          </w:p>
        </w:tc>
        <w:tc>
          <w:tcPr>
            <w:tcW w:w="1610" w:type="dxa"/>
          </w:tcPr>
          <w:p w14:paraId="720AA012"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1CABC0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доходит до 231 км/час, что выше расчетной. Требуются доводки</w:t>
            </w:r>
          </w:p>
        </w:tc>
      </w:tr>
      <w:tr w:rsidR="00E3599D" w:rsidRPr="00E14102" w14:paraId="4A7C44E1" w14:textId="77777777">
        <w:tc>
          <w:tcPr>
            <w:tcW w:w="1610" w:type="dxa"/>
          </w:tcPr>
          <w:p w14:paraId="783EC69F"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1B56A80B"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66795F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п/полет</w:t>
            </w:r>
          </w:p>
        </w:tc>
        <w:tc>
          <w:tcPr>
            <w:tcW w:w="1610" w:type="dxa"/>
          </w:tcPr>
          <w:p w14:paraId="5946F482"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121F01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Выпуском 2-х посл. машин СССР приобрел первые опытные морские самолеты</w:t>
            </w:r>
          </w:p>
        </w:tc>
      </w:tr>
      <w:tr w:rsidR="00E3599D" w:rsidRPr="00E14102" w14:paraId="51798E3C" w14:textId="77777777">
        <w:tc>
          <w:tcPr>
            <w:tcW w:w="1610" w:type="dxa"/>
          </w:tcPr>
          <w:p w14:paraId="1C6B546A"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5C9236D4"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704E586D"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08A33FA4"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79CD3B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своей конструкции. Обе машины подготовлены на серийных заводах к </w:t>
            </w:r>
          </w:p>
        </w:tc>
      </w:tr>
      <w:tr w:rsidR="00E3599D" w:rsidRPr="00E14102" w14:paraId="2FFEE239" w14:textId="77777777">
        <w:tc>
          <w:tcPr>
            <w:tcW w:w="1610" w:type="dxa"/>
          </w:tcPr>
          <w:p w14:paraId="3F528636"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5BF3AD77"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2E52A4FE"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33907A4B"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48B056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массовому выпуску.</w:t>
            </w:r>
          </w:p>
        </w:tc>
      </w:tr>
      <w:tr w:rsidR="00E3599D" w:rsidRPr="00E14102" w14:paraId="46E5C4F9" w14:textId="77777777">
        <w:tc>
          <w:tcPr>
            <w:tcW w:w="1610" w:type="dxa"/>
          </w:tcPr>
          <w:p w14:paraId="60395F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2РЦ</w:t>
            </w:r>
          </w:p>
        </w:tc>
        <w:tc>
          <w:tcPr>
            <w:tcW w:w="1610" w:type="dxa"/>
          </w:tcPr>
          <w:p w14:paraId="141E07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01.12.34</w:t>
            </w:r>
          </w:p>
        </w:tc>
        <w:tc>
          <w:tcPr>
            <w:tcW w:w="1610" w:type="dxa"/>
          </w:tcPr>
          <w:p w14:paraId="5F14AD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20.09.34</w:t>
            </w:r>
          </w:p>
        </w:tc>
        <w:tc>
          <w:tcPr>
            <w:tcW w:w="1610" w:type="dxa"/>
          </w:tcPr>
          <w:p w14:paraId="3755A1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4158" w:type="dxa"/>
          </w:tcPr>
          <w:p w14:paraId="6B1605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после нескольких полетов потерпел аварию. Строится дублер с</w:t>
            </w:r>
          </w:p>
        </w:tc>
      </w:tr>
      <w:tr w:rsidR="00E3599D" w:rsidRPr="00E14102" w14:paraId="13A20FCE" w14:textId="77777777">
        <w:tc>
          <w:tcPr>
            <w:tcW w:w="1610" w:type="dxa"/>
          </w:tcPr>
          <w:p w14:paraId="77C26496"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7799D06A"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62DD7182"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645883EE"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32CA3D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использованием некоторых уцелевших частей первой машины. Дублер выйдет</w:t>
            </w:r>
          </w:p>
        </w:tc>
      </w:tr>
      <w:tr w:rsidR="00E3599D" w:rsidRPr="00E14102" w14:paraId="4750659B" w14:textId="77777777">
        <w:tc>
          <w:tcPr>
            <w:tcW w:w="1610" w:type="dxa"/>
          </w:tcPr>
          <w:p w14:paraId="4B450995"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328D785D"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784F5C73"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179AB1B9"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24A0C9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испытания через 1.5 мес. Первоначальные испытания дают полное основание</w:t>
            </w:r>
          </w:p>
        </w:tc>
      </w:tr>
      <w:tr w:rsidR="00E3599D" w:rsidRPr="00E14102" w14:paraId="4027F011" w14:textId="77777777">
        <w:tc>
          <w:tcPr>
            <w:tcW w:w="1610" w:type="dxa"/>
          </w:tcPr>
          <w:p w14:paraId="7256BFC0"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05071DCB"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7D0E9DBA"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34C5F67C"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298DCE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предполагать, что заданные ТТТ будут выполнены</w:t>
            </w:r>
          </w:p>
        </w:tc>
      </w:tr>
      <w:tr w:rsidR="00E3599D" w:rsidRPr="00E14102" w14:paraId="0246D7CD" w14:textId="77777777">
        <w:tc>
          <w:tcPr>
            <w:tcW w:w="1610" w:type="dxa"/>
          </w:tcPr>
          <w:p w14:paraId="5731A0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2ИС</w:t>
            </w:r>
          </w:p>
        </w:tc>
        <w:tc>
          <w:tcPr>
            <w:tcW w:w="1610" w:type="dxa"/>
          </w:tcPr>
          <w:p w14:paraId="25E197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5A755E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22.12.34</w:t>
            </w:r>
          </w:p>
        </w:tc>
        <w:tc>
          <w:tcPr>
            <w:tcW w:w="1610" w:type="dxa"/>
          </w:tcPr>
          <w:p w14:paraId="63C785A8"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785F7C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2-я машина с ИС успешно проходит летные испытания. выпуск 2-х последних</w:t>
            </w:r>
          </w:p>
        </w:tc>
      </w:tr>
      <w:tr w:rsidR="00E3599D" w:rsidRPr="00E14102" w14:paraId="1C70622B" w14:textId="77777777">
        <w:tc>
          <w:tcPr>
            <w:tcW w:w="1610" w:type="dxa"/>
          </w:tcPr>
          <w:p w14:paraId="72D183F3"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6ABFEF1F"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604574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30.12.34</w:t>
            </w:r>
          </w:p>
        </w:tc>
        <w:tc>
          <w:tcPr>
            <w:tcW w:w="1610" w:type="dxa"/>
          </w:tcPr>
          <w:p w14:paraId="63848667"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6E24FF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машин потребовал разрешения 2-х проблем, которые были разрешены, а </w:t>
            </w:r>
          </w:p>
        </w:tc>
      </w:tr>
      <w:tr w:rsidR="00E3599D" w:rsidRPr="00E14102" w14:paraId="65EE0118" w14:textId="77777777">
        <w:tc>
          <w:tcPr>
            <w:tcW w:w="1610" w:type="dxa"/>
          </w:tcPr>
          <w:p w14:paraId="1E72BD9A"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32E07657"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6828C6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п/полет</w:t>
            </w:r>
          </w:p>
        </w:tc>
        <w:tc>
          <w:tcPr>
            <w:tcW w:w="1610" w:type="dxa"/>
          </w:tcPr>
          <w:p w14:paraId="7F5B3B08"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69F48D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именно:</w:t>
            </w:r>
          </w:p>
        </w:tc>
      </w:tr>
      <w:tr w:rsidR="00E3599D" w:rsidRPr="00E14102" w14:paraId="50C172FA" w14:textId="77777777">
        <w:tc>
          <w:tcPr>
            <w:tcW w:w="1610" w:type="dxa"/>
          </w:tcPr>
          <w:p w14:paraId="76ACDE77"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60DF78E2"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782D6777"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00E7399E"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Pr>
          <w:p w14:paraId="419A1F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освоение конструкции и постройка самолета из супердюраля</w:t>
            </w:r>
          </w:p>
        </w:tc>
      </w:tr>
      <w:tr w:rsidR="00E3599D" w:rsidRPr="00E14102" w14:paraId="11873F52" w14:textId="77777777">
        <w:tc>
          <w:tcPr>
            <w:tcW w:w="1610" w:type="dxa"/>
            <w:tcBorders>
              <w:bottom w:val="single" w:sz="12" w:space="0" w:color="auto"/>
            </w:tcBorders>
          </w:tcPr>
          <w:p w14:paraId="2864BEC8"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Borders>
              <w:bottom w:val="single" w:sz="12" w:space="0" w:color="auto"/>
            </w:tcBorders>
          </w:tcPr>
          <w:p w14:paraId="3BF7CFF4"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Borders>
              <w:bottom w:val="single" w:sz="12" w:space="0" w:color="auto"/>
            </w:tcBorders>
          </w:tcPr>
          <w:p w14:paraId="2CF1A08E"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Borders>
              <w:bottom w:val="single" w:sz="12" w:space="0" w:color="auto"/>
            </w:tcBorders>
          </w:tcPr>
          <w:p w14:paraId="4CA9240D" w14:textId="77777777" w:rsidR="00D4105E" w:rsidRPr="00E14102" w:rsidRDefault="00D4105E" w:rsidP="00E14102">
            <w:pPr>
              <w:autoSpaceDE w:val="0"/>
              <w:autoSpaceDN w:val="0"/>
              <w:adjustRightInd w:val="0"/>
              <w:jc w:val="both"/>
              <w:rPr>
                <w:color w:val="000000" w:themeColor="text1"/>
                <w:sz w:val="16"/>
                <w:szCs w:val="16"/>
              </w:rPr>
            </w:pPr>
          </w:p>
        </w:tc>
        <w:tc>
          <w:tcPr>
            <w:tcW w:w="4158" w:type="dxa"/>
            <w:tcBorders>
              <w:bottom w:val="single" w:sz="12" w:space="0" w:color="auto"/>
            </w:tcBorders>
          </w:tcPr>
          <w:p w14:paraId="0FD8F6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освоена гладкая обшивка с клепкой впотай (2337,206)</w:t>
            </w:r>
          </w:p>
        </w:tc>
      </w:tr>
    </w:tbl>
    <w:p w14:paraId="0C94DB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в проектировании и постройке этих машин ЦАГИ твердо пошел по поту облагораживания аэродинамики самолетов: применение зализов, убирающихся шасси, тщательного капотирования всех выступающих частей самолета. Самолет СБ ставит Сов. Союз на передовые позиции по качеству средних бомбовозов.</w:t>
      </w:r>
    </w:p>
    <w:p w14:paraId="45ABCB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порядке доводки существующих самолетов в 1934 ЦАГИ имел следующие результаты:</w:t>
      </w:r>
    </w:p>
    <w:p w14:paraId="6A991F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Доводки</w:t>
      </w:r>
    </w:p>
    <w:p w14:paraId="0F5DBF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ТБ-3 после доводки и установки на нем редукторных и наддувных моторов показал значительные скорости, превысившие недавно бывшие у нас на снабжении истребители. Точно так же боевой потолок возрос на значительную ступень по сравнению с существовавшими до того бомбовозами. ТБ-3 4М-34РН показал скорость 270 км/час.</w:t>
      </w:r>
    </w:p>
    <w:p w14:paraId="1A8264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второй машине, прошедшей доводки, имеется РД, который с 12 по 15 сентября установил мировой рекорд дальности полета по замкнутому кругу и прошел 12411 км за 75 час. полета, превзойдя рекорд 1932 1800 км.</w:t>
      </w:r>
    </w:p>
    <w:p w14:paraId="175601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Экспериментальные работы</w:t>
      </w:r>
    </w:p>
    <w:p w14:paraId="5979E4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порядке экспериментальных работ было построено 3 планера:</w:t>
      </w:r>
    </w:p>
    <w:p w14:paraId="34414D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Из них 2 бесхвостых отправлены 29 августа в Коктебель, где прошли летные испытания, давшие удовлетворительные результаты. Планер обладает хорошей устойчивостью и маневренностью.</w:t>
      </w:r>
    </w:p>
    <w:p w14:paraId="48390A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3-й готов и проходит испытания в ОЭЛИД. Этот планер также представляет собой модель самолета (2337,206).</w:t>
      </w:r>
    </w:p>
    <w:p w14:paraId="4F5DB2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Перспективны плана на 1935</w:t>
      </w:r>
    </w:p>
    <w:p w14:paraId="588387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Подводя итоги техническим достижениям 1934 г. можно установить, что стремление мировой техники направлено на увеличение скорости полета, дальности и высоты.</w:t>
      </w:r>
    </w:p>
    <w:p w14:paraId="48EB00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Развивая в этом направлении достигнутые результаты работы 1934 г. - в план работы 1935 поставлены следующие объекты:</w:t>
      </w:r>
    </w:p>
    <w:tbl>
      <w:tblPr>
        <w:tblW w:w="0" w:type="auto"/>
        <w:tblLayout w:type="fixed"/>
        <w:tblLook w:val="0000" w:firstRow="0" w:lastRow="0" w:firstColumn="0" w:lastColumn="0" w:noHBand="0" w:noVBand="0"/>
      </w:tblPr>
      <w:tblGrid>
        <w:gridCol w:w="1878"/>
        <w:gridCol w:w="1878"/>
        <w:gridCol w:w="1878"/>
        <w:gridCol w:w="1562"/>
        <w:gridCol w:w="3402"/>
      </w:tblGrid>
      <w:tr w:rsidR="00E3599D" w:rsidRPr="00E14102" w14:paraId="222CD7F4" w14:textId="77777777">
        <w:tc>
          <w:tcPr>
            <w:tcW w:w="1878" w:type="dxa"/>
            <w:tcBorders>
              <w:top w:val="single" w:sz="12" w:space="0" w:color="auto"/>
              <w:left w:val="single" w:sz="12" w:space="0" w:color="auto"/>
              <w:bottom w:val="single" w:sz="6" w:space="0" w:color="auto"/>
              <w:right w:val="single" w:sz="6" w:space="0" w:color="auto"/>
            </w:tcBorders>
          </w:tcPr>
          <w:p w14:paraId="7A8F37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w:t>
            </w:r>
          </w:p>
        </w:tc>
        <w:tc>
          <w:tcPr>
            <w:tcW w:w="1878" w:type="dxa"/>
            <w:tcBorders>
              <w:top w:val="single" w:sz="12" w:space="0" w:color="auto"/>
              <w:left w:val="single" w:sz="6" w:space="0" w:color="auto"/>
              <w:bottom w:val="single" w:sz="6" w:space="0" w:color="auto"/>
              <w:right w:val="single" w:sz="6" w:space="0" w:color="auto"/>
            </w:tcBorders>
          </w:tcPr>
          <w:p w14:paraId="633FB4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Прав.</w:t>
            </w:r>
          </w:p>
        </w:tc>
        <w:tc>
          <w:tcPr>
            <w:tcW w:w="1878" w:type="dxa"/>
            <w:tcBorders>
              <w:top w:val="single" w:sz="12" w:space="0" w:color="auto"/>
              <w:left w:val="single" w:sz="6" w:space="0" w:color="auto"/>
              <w:bottom w:val="single" w:sz="6" w:space="0" w:color="auto"/>
              <w:right w:val="single" w:sz="6" w:space="0" w:color="auto"/>
            </w:tcBorders>
          </w:tcPr>
          <w:p w14:paraId="1E0ED1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Выход</w:t>
            </w:r>
          </w:p>
        </w:tc>
        <w:tc>
          <w:tcPr>
            <w:tcW w:w="1562" w:type="dxa"/>
            <w:tcBorders>
              <w:top w:val="single" w:sz="12" w:space="0" w:color="auto"/>
              <w:left w:val="single" w:sz="6" w:space="0" w:color="auto"/>
              <w:bottom w:val="single" w:sz="6" w:space="0" w:color="auto"/>
              <w:right w:val="single" w:sz="6" w:space="0" w:color="auto"/>
            </w:tcBorders>
          </w:tcPr>
          <w:p w14:paraId="3979D7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Сдача</w:t>
            </w:r>
          </w:p>
        </w:tc>
        <w:tc>
          <w:tcPr>
            <w:tcW w:w="3402" w:type="dxa"/>
            <w:tcBorders>
              <w:top w:val="single" w:sz="12" w:space="0" w:color="auto"/>
              <w:left w:val="single" w:sz="6" w:space="0" w:color="auto"/>
              <w:bottom w:val="single" w:sz="6" w:space="0" w:color="auto"/>
              <w:right w:val="single" w:sz="12" w:space="0" w:color="auto"/>
            </w:tcBorders>
          </w:tcPr>
          <w:p w14:paraId="125D59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Характеристика объекта</w:t>
            </w:r>
          </w:p>
        </w:tc>
      </w:tr>
      <w:tr w:rsidR="00E3599D" w:rsidRPr="00E14102" w14:paraId="33D767DA" w14:textId="77777777">
        <w:tc>
          <w:tcPr>
            <w:tcW w:w="1878" w:type="dxa"/>
            <w:tcBorders>
              <w:top w:val="single" w:sz="6" w:space="0" w:color="auto"/>
              <w:left w:val="single" w:sz="12" w:space="0" w:color="auto"/>
              <w:bottom w:val="single" w:sz="6" w:space="0" w:color="auto"/>
              <w:right w:val="single" w:sz="6" w:space="0" w:color="auto"/>
            </w:tcBorders>
          </w:tcPr>
          <w:p w14:paraId="2D657B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ДИ-8 2К-14</w:t>
            </w:r>
          </w:p>
        </w:tc>
        <w:tc>
          <w:tcPr>
            <w:tcW w:w="1878" w:type="dxa"/>
            <w:tcBorders>
              <w:top w:val="single" w:sz="6" w:space="0" w:color="auto"/>
              <w:left w:val="single" w:sz="6" w:space="0" w:color="auto"/>
              <w:bottom w:val="single" w:sz="6" w:space="0" w:color="auto"/>
              <w:right w:val="single" w:sz="6" w:space="0" w:color="auto"/>
            </w:tcBorders>
          </w:tcPr>
          <w:p w14:paraId="294EA1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01.08.35</w:t>
            </w:r>
          </w:p>
        </w:tc>
        <w:tc>
          <w:tcPr>
            <w:tcW w:w="1878" w:type="dxa"/>
            <w:tcBorders>
              <w:top w:val="single" w:sz="6" w:space="0" w:color="auto"/>
              <w:left w:val="single" w:sz="6" w:space="0" w:color="auto"/>
              <w:bottom w:val="single" w:sz="6" w:space="0" w:color="auto"/>
              <w:right w:val="single" w:sz="6" w:space="0" w:color="auto"/>
            </w:tcBorders>
          </w:tcPr>
          <w:p w14:paraId="48A63771" w14:textId="77777777" w:rsidR="00D4105E" w:rsidRPr="00E14102" w:rsidRDefault="00D4105E" w:rsidP="00E14102">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2BA9D50D"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2D5F15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Скоростной 2-3-х местный И, будет усовершенствованным и с новым </w:t>
            </w:r>
          </w:p>
        </w:tc>
      </w:tr>
      <w:tr w:rsidR="00E3599D" w:rsidRPr="00E14102" w14:paraId="2274E698" w14:textId="77777777">
        <w:tc>
          <w:tcPr>
            <w:tcW w:w="1878" w:type="dxa"/>
            <w:tcBorders>
              <w:top w:val="single" w:sz="6" w:space="0" w:color="auto"/>
              <w:left w:val="single" w:sz="12" w:space="0" w:color="auto"/>
              <w:bottom w:val="single" w:sz="6" w:space="0" w:color="auto"/>
              <w:right w:val="single" w:sz="6" w:space="0" w:color="auto"/>
            </w:tcBorders>
          </w:tcPr>
          <w:p w14:paraId="69B7ED7C"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501E9F56"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1D398A8" w14:textId="77777777" w:rsidR="00D4105E" w:rsidRPr="00E14102" w:rsidRDefault="00D4105E" w:rsidP="00E14102">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6D944CE1"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6D564A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вооружением, следующий по типу самолета СБ</w:t>
            </w:r>
          </w:p>
        </w:tc>
      </w:tr>
      <w:tr w:rsidR="00E3599D" w:rsidRPr="00E14102" w14:paraId="593055ED" w14:textId="77777777">
        <w:tc>
          <w:tcPr>
            <w:tcW w:w="1878" w:type="dxa"/>
            <w:tcBorders>
              <w:top w:val="single" w:sz="6" w:space="0" w:color="auto"/>
              <w:left w:val="single" w:sz="12" w:space="0" w:color="auto"/>
              <w:bottom w:val="single" w:sz="6" w:space="0" w:color="auto"/>
              <w:right w:val="single" w:sz="6" w:space="0" w:color="auto"/>
            </w:tcBorders>
          </w:tcPr>
          <w:p w14:paraId="79BF23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И-14бис РЦ</w:t>
            </w:r>
          </w:p>
        </w:tc>
        <w:tc>
          <w:tcPr>
            <w:tcW w:w="1878" w:type="dxa"/>
            <w:tcBorders>
              <w:top w:val="single" w:sz="6" w:space="0" w:color="auto"/>
              <w:left w:val="single" w:sz="6" w:space="0" w:color="auto"/>
              <w:bottom w:val="single" w:sz="6" w:space="0" w:color="auto"/>
              <w:right w:val="single" w:sz="6" w:space="0" w:color="auto"/>
            </w:tcBorders>
          </w:tcPr>
          <w:p w14:paraId="34CDF7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01.08.35</w:t>
            </w:r>
          </w:p>
        </w:tc>
        <w:tc>
          <w:tcPr>
            <w:tcW w:w="1878" w:type="dxa"/>
            <w:tcBorders>
              <w:top w:val="single" w:sz="6" w:space="0" w:color="auto"/>
              <w:left w:val="single" w:sz="6" w:space="0" w:color="auto"/>
              <w:bottom w:val="single" w:sz="6" w:space="0" w:color="auto"/>
              <w:right w:val="single" w:sz="6" w:space="0" w:color="auto"/>
            </w:tcBorders>
          </w:tcPr>
          <w:p w14:paraId="5C9D870D" w14:textId="77777777" w:rsidR="00D4105E" w:rsidRPr="00E14102" w:rsidRDefault="00D4105E" w:rsidP="00E14102">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2252E07B"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607A91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 улучшенным вооружением. Для этой машины в И-14 дублере будут</w:t>
            </w:r>
          </w:p>
        </w:tc>
      </w:tr>
      <w:tr w:rsidR="00E3599D" w:rsidRPr="00E14102" w14:paraId="1E44A7EE" w14:textId="77777777">
        <w:tc>
          <w:tcPr>
            <w:tcW w:w="1878" w:type="dxa"/>
            <w:tcBorders>
              <w:top w:val="single" w:sz="6" w:space="0" w:color="auto"/>
              <w:left w:val="single" w:sz="12" w:space="0" w:color="auto"/>
              <w:bottom w:val="single" w:sz="6" w:space="0" w:color="auto"/>
              <w:right w:val="single" w:sz="6" w:space="0" w:color="auto"/>
            </w:tcBorders>
          </w:tcPr>
          <w:p w14:paraId="2E5D398B"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975582C"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5C45F2F" w14:textId="77777777" w:rsidR="00D4105E" w:rsidRPr="00E14102" w:rsidRDefault="00D4105E" w:rsidP="00E14102">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498467B0"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778AAE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переделаны элероны (без компенсации) и другие улучшения, выявленные во</w:t>
            </w:r>
          </w:p>
        </w:tc>
      </w:tr>
      <w:tr w:rsidR="00E3599D" w:rsidRPr="00E14102" w14:paraId="200D6316" w14:textId="77777777">
        <w:tc>
          <w:tcPr>
            <w:tcW w:w="1878" w:type="dxa"/>
            <w:tcBorders>
              <w:top w:val="single" w:sz="6" w:space="0" w:color="auto"/>
              <w:left w:val="single" w:sz="12" w:space="0" w:color="auto"/>
              <w:bottom w:val="single" w:sz="6" w:space="0" w:color="auto"/>
              <w:right w:val="single" w:sz="6" w:space="0" w:color="auto"/>
            </w:tcBorders>
          </w:tcPr>
          <w:p w14:paraId="4AEB22B6"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99F845F"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7A60BB3" w14:textId="77777777" w:rsidR="00D4105E" w:rsidRPr="00E14102" w:rsidRDefault="00D4105E" w:rsidP="00E14102">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781BAE09"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58F091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время испытаний И-14 дублер. Работы не могут быть развернуты из-за </w:t>
            </w:r>
          </w:p>
        </w:tc>
      </w:tr>
      <w:tr w:rsidR="00E3599D" w:rsidRPr="00E14102" w14:paraId="303DF356" w14:textId="77777777">
        <w:tc>
          <w:tcPr>
            <w:tcW w:w="1878" w:type="dxa"/>
            <w:tcBorders>
              <w:top w:val="single" w:sz="6" w:space="0" w:color="auto"/>
              <w:left w:val="single" w:sz="12" w:space="0" w:color="auto"/>
              <w:bottom w:val="single" w:sz="6" w:space="0" w:color="auto"/>
              <w:right w:val="single" w:sz="6" w:space="0" w:color="auto"/>
            </w:tcBorders>
          </w:tcPr>
          <w:p w14:paraId="3C9EFCB0"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A50C088"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6F6FE04" w14:textId="77777777" w:rsidR="00D4105E" w:rsidRPr="00E14102" w:rsidRDefault="00D4105E" w:rsidP="00E14102">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0C7BCCC7"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046BA2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отсутствия специального вооружения</w:t>
            </w:r>
          </w:p>
        </w:tc>
      </w:tr>
      <w:tr w:rsidR="00E3599D" w:rsidRPr="00E14102" w14:paraId="6A9DF807" w14:textId="77777777">
        <w:tc>
          <w:tcPr>
            <w:tcW w:w="1878" w:type="dxa"/>
            <w:tcBorders>
              <w:top w:val="single" w:sz="6" w:space="0" w:color="auto"/>
              <w:left w:val="single" w:sz="12" w:space="0" w:color="auto"/>
              <w:bottom w:val="single" w:sz="6" w:space="0" w:color="auto"/>
              <w:right w:val="single" w:sz="6" w:space="0" w:color="auto"/>
            </w:tcBorders>
          </w:tcPr>
          <w:p w14:paraId="53ACE6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ДБ-1 М-34</w:t>
            </w:r>
          </w:p>
        </w:tc>
        <w:tc>
          <w:tcPr>
            <w:tcW w:w="1878" w:type="dxa"/>
            <w:tcBorders>
              <w:top w:val="single" w:sz="6" w:space="0" w:color="auto"/>
              <w:left w:val="single" w:sz="6" w:space="0" w:color="auto"/>
              <w:bottom w:val="single" w:sz="6" w:space="0" w:color="auto"/>
              <w:right w:val="single" w:sz="6" w:space="0" w:color="auto"/>
            </w:tcBorders>
          </w:tcPr>
          <w:p w14:paraId="2B1E7D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01.04.35</w:t>
            </w:r>
          </w:p>
        </w:tc>
        <w:tc>
          <w:tcPr>
            <w:tcW w:w="1878" w:type="dxa"/>
            <w:tcBorders>
              <w:top w:val="single" w:sz="6" w:space="0" w:color="auto"/>
              <w:left w:val="single" w:sz="6" w:space="0" w:color="auto"/>
              <w:bottom w:val="single" w:sz="6" w:space="0" w:color="auto"/>
              <w:right w:val="single" w:sz="6" w:space="0" w:color="auto"/>
            </w:tcBorders>
          </w:tcPr>
          <w:p w14:paraId="4BCF871D" w14:textId="77777777" w:rsidR="00D4105E" w:rsidRPr="00E14102" w:rsidRDefault="00D4105E" w:rsidP="00E14102">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737F38BA"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72B025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Эта машина называется РД ВВ. Намечено для ускорения выхода этого </w:t>
            </w:r>
          </w:p>
        </w:tc>
      </w:tr>
      <w:tr w:rsidR="00E3599D" w:rsidRPr="00E14102" w14:paraId="451FF951" w14:textId="77777777">
        <w:tc>
          <w:tcPr>
            <w:tcW w:w="1878" w:type="dxa"/>
            <w:tcBorders>
              <w:top w:val="single" w:sz="6" w:space="0" w:color="auto"/>
              <w:left w:val="single" w:sz="12" w:space="0" w:color="auto"/>
              <w:bottom w:val="single" w:sz="6" w:space="0" w:color="auto"/>
              <w:right w:val="single" w:sz="6" w:space="0" w:color="auto"/>
            </w:tcBorders>
          </w:tcPr>
          <w:p w14:paraId="494101FA"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5DF5C110"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7FC7C92" w14:textId="77777777" w:rsidR="00D4105E" w:rsidRPr="00E14102" w:rsidRDefault="00D4105E" w:rsidP="00E14102">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6C43CD3F"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0025CC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головного экз., заготовленные части, как то: моторама, капоты, друг.</w:t>
            </w:r>
          </w:p>
        </w:tc>
      </w:tr>
      <w:tr w:rsidR="00E3599D" w:rsidRPr="00E14102" w14:paraId="258C93F3" w14:textId="77777777">
        <w:tc>
          <w:tcPr>
            <w:tcW w:w="1878" w:type="dxa"/>
            <w:tcBorders>
              <w:top w:val="single" w:sz="6" w:space="0" w:color="auto"/>
              <w:left w:val="single" w:sz="12" w:space="0" w:color="auto"/>
              <w:bottom w:val="single" w:sz="6" w:space="0" w:color="auto"/>
              <w:right w:val="single" w:sz="6" w:space="0" w:color="auto"/>
            </w:tcBorders>
          </w:tcPr>
          <w:p w14:paraId="76AC6719"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EFC2E08"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B7EBDCD" w14:textId="77777777" w:rsidR="00D4105E" w:rsidRPr="00E14102" w:rsidRDefault="00D4105E" w:rsidP="00E14102">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08443399"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3B7C2B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отправить на 18 завод и поставить на головную машину.</w:t>
            </w:r>
          </w:p>
        </w:tc>
      </w:tr>
      <w:tr w:rsidR="00E3599D" w:rsidRPr="00E14102" w14:paraId="346F1CA3" w14:textId="77777777">
        <w:tc>
          <w:tcPr>
            <w:tcW w:w="1878" w:type="dxa"/>
            <w:tcBorders>
              <w:top w:val="single" w:sz="6" w:space="0" w:color="auto"/>
              <w:left w:val="single" w:sz="12" w:space="0" w:color="auto"/>
              <w:bottom w:val="single" w:sz="6" w:space="0" w:color="auto"/>
              <w:right w:val="single" w:sz="6" w:space="0" w:color="auto"/>
            </w:tcBorders>
          </w:tcPr>
          <w:p w14:paraId="1D149F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ЛК-4 2М-34ФРН</w:t>
            </w:r>
          </w:p>
        </w:tc>
        <w:tc>
          <w:tcPr>
            <w:tcW w:w="1878" w:type="dxa"/>
            <w:tcBorders>
              <w:top w:val="single" w:sz="6" w:space="0" w:color="auto"/>
              <w:left w:val="single" w:sz="6" w:space="0" w:color="auto"/>
              <w:bottom w:val="single" w:sz="6" w:space="0" w:color="auto"/>
              <w:right w:val="single" w:sz="6" w:space="0" w:color="auto"/>
            </w:tcBorders>
          </w:tcPr>
          <w:p w14:paraId="3B2F44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01.01.36</w:t>
            </w:r>
          </w:p>
        </w:tc>
        <w:tc>
          <w:tcPr>
            <w:tcW w:w="1878" w:type="dxa"/>
            <w:tcBorders>
              <w:top w:val="single" w:sz="6" w:space="0" w:color="auto"/>
              <w:left w:val="single" w:sz="6" w:space="0" w:color="auto"/>
              <w:bottom w:val="single" w:sz="6" w:space="0" w:color="auto"/>
              <w:right w:val="single" w:sz="6" w:space="0" w:color="auto"/>
            </w:tcBorders>
          </w:tcPr>
          <w:p w14:paraId="1F50B2B5" w14:textId="77777777" w:rsidR="00D4105E" w:rsidRPr="00E14102" w:rsidRDefault="00D4105E" w:rsidP="00E14102">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75E48325"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5A8827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заступающий на флоте место Р-6, но с более мощным вооружением</w:t>
            </w:r>
          </w:p>
        </w:tc>
      </w:tr>
      <w:tr w:rsidR="00E3599D" w:rsidRPr="00E14102" w14:paraId="0AA9F8B7" w14:textId="77777777">
        <w:tc>
          <w:tcPr>
            <w:tcW w:w="1878" w:type="dxa"/>
            <w:tcBorders>
              <w:top w:val="single" w:sz="6" w:space="0" w:color="auto"/>
              <w:left w:val="single" w:sz="12" w:space="0" w:color="auto"/>
              <w:bottom w:val="single" w:sz="6" w:space="0" w:color="auto"/>
              <w:right w:val="single" w:sz="6" w:space="0" w:color="auto"/>
            </w:tcBorders>
          </w:tcPr>
          <w:p w14:paraId="25AA65A5"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150A28E9"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1D02E70" w14:textId="77777777" w:rsidR="00D4105E" w:rsidRPr="00E14102" w:rsidRDefault="00D4105E" w:rsidP="00E14102">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6A925693"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0B1048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и лучшими аэродинамическими формами. В то же время является </w:t>
            </w:r>
          </w:p>
        </w:tc>
      </w:tr>
      <w:tr w:rsidR="00E3599D" w:rsidRPr="00E14102" w14:paraId="15460296" w14:textId="77777777">
        <w:tc>
          <w:tcPr>
            <w:tcW w:w="1878" w:type="dxa"/>
            <w:tcBorders>
              <w:top w:val="single" w:sz="6" w:space="0" w:color="auto"/>
              <w:left w:val="single" w:sz="12" w:space="0" w:color="auto"/>
              <w:bottom w:val="single" w:sz="6" w:space="0" w:color="auto"/>
              <w:right w:val="single" w:sz="6" w:space="0" w:color="auto"/>
            </w:tcBorders>
          </w:tcPr>
          <w:p w14:paraId="35B748F7"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53770651"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183A426C" w14:textId="77777777" w:rsidR="00D4105E" w:rsidRPr="00E14102" w:rsidRDefault="00D4105E" w:rsidP="00E14102">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0E12D96B"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042B89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торпедоносцем</w:t>
            </w:r>
          </w:p>
        </w:tc>
      </w:tr>
      <w:tr w:rsidR="00E3599D" w:rsidRPr="00E14102" w14:paraId="476FA3C8" w14:textId="77777777">
        <w:tc>
          <w:tcPr>
            <w:tcW w:w="1878" w:type="dxa"/>
            <w:tcBorders>
              <w:top w:val="single" w:sz="6" w:space="0" w:color="auto"/>
              <w:left w:val="single" w:sz="12" w:space="0" w:color="auto"/>
              <w:bottom w:val="single" w:sz="6" w:space="0" w:color="auto"/>
              <w:right w:val="single" w:sz="6" w:space="0" w:color="auto"/>
            </w:tcBorders>
          </w:tcPr>
          <w:p w14:paraId="39DDF2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МТБ-2 4К-14</w:t>
            </w:r>
          </w:p>
        </w:tc>
        <w:tc>
          <w:tcPr>
            <w:tcW w:w="1878" w:type="dxa"/>
            <w:tcBorders>
              <w:top w:val="single" w:sz="6" w:space="0" w:color="auto"/>
              <w:left w:val="single" w:sz="6" w:space="0" w:color="auto"/>
              <w:bottom w:val="single" w:sz="6" w:space="0" w:color="auto"/>
              <w:right w:val="single" w:sz="6" w:space="0" w:color="auto"/>
            </w:tcBorders>
          </w:tcPr>
          <w:p w14:paraId="12A2B5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01.08.36</w:t>
            </w:r>
          </w:p>
        </w:tc>
        <w:tc>
          <w:tcPr>
            <w:tcW w:w="1878" w:type="dxa"/>
            <w:tcBorders>
              <w:top w:val="single" w:sz="6" w:space="0" w:color="auto"/>
              <w:left w:val="single" w:sz="6" w:space="0" w:color="auto"/>
              <w:bottom w:val="single" w:sz="6" w:space="0" w:color="auto"/>
              <w:right w:val="single" w:sz="6" w:space="0" w:color="auto"/>
            </w:tcBorders>
          </w:tcPr>
          <w:p w14:paraId="0708719E" w14:textId="77777777" w:rsidR="00D4105E" w:rsidRPr="00E14102" w:rsidRDefault="00D4105E" w:rsidP="00E14102">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69FB6F38"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6DE6B9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Морской самолет с моторами воздушного охлаждения, однолодочный с новой</w:t>
            </w:r>
          </w:p>
        </w:tc>
      </w:tr>
      <w:tr w:rsidR="00E3599D" w:rsidRPr="00E14102" w14:paraId="79F4B374" w14:textId="77777777">
        <w:tc>
          <w:tcPr>
            <w:tcW w:w="1878" w:type="dxa"/>
            <w:tcBorders>
              <w:top w:val="single" w:sz="6" w:space="0" w:color="auto"/>
              <w:left w:val="single" w:sz="12" w:space="0" w:color="auto"/>
              <w:bottom w:val="single" w:sz="6" w:space="0" w:color="auto"/>
              <w:right w:val="single" w:sz="6" w:space="0" w:color="auto"/>
            </w:tcBorders>
          </w:tcPr>
          <w:p w14:paraId="20EB04B4"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73202715"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3884B96" w14:textId="77777777" w:rsidR="00D4105E" w:rsidRPr="00E14102" w:rsidRDefault="00D4105E" w:rsidP="00E14102">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0EC8962F"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403630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схемой расположения моторов.</w:t>
            </w:r>
          </w:p>
        </w:tc>
      </w:tr>
      <w:tr w:rsidR="00E3599D" w:rsidRPr="00E14102" w14:paraId="01A4C3DF" w14:textId="77777777">
        <w:tc>
          <w:tcPr>
            <w:tcW w:w="1878" w:type="dxa"/>
            <w:tcBorders>
              <w:top w:val="single" w:sz="6" w:space="0" w:color="auto"/>
              <w:left w:val="single" w:sz="12" w:space="0" w:color="auto"/>
              <w:bottom w:val="single" w:sz="6" w:space="0" w:color="auto"/>
              <w:right w:val="single" w:sz="6" w:space="0" w:color="auto"/>
            </w:tcBorders>
          </w:tcPr>
          <w:p w14:paraId="3B956B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ТБ-7 4М-34ФРН</w:t>
            </w:r>
          </w:p>
        </w:tc>
        <w:tc>
          <w:tcPr>
            <w:tcW w:w="1878" w:type="dxa"/>
            <w:tcBorders>
              <w:top w:val="single" w:sz="6" w:space="0" w:color="auto"/>
              <w:left w:val="single" w:sz="6" w:space="0" w:color="auto"/>
              <w:bottom w:val="single" w:sz="6" w:space="0" w:color="auto"/>
              <w:right w:val="single" w:sz="6" w:space="0" w:color="auto"/>
            </w:tcBorders>
          </w:tcPr>
          <w:p w14:paraId="6E5BC2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c>
          <w:tcPr>
            <w:tcW w:w="1878" w:type="dxa"/>
            <w:tcBorders>
              <w:top w:val="single" w:sz="6" w:space="0" w:color="auto"/>
              <w:left w:val="single" w:sz="6" w:space="0" w:color="auto"/>
              <w:bottom w:val="single" w:sz="6" w:space="0" w:color="auto"/>
              <w:right w:val="single" w:sz="6" w:space="0" w:color="auto"/>
            </w:tcBorders>
          </w:tcPr>
          <w:p w14:paraId="513874E2" w14:textId="77777777" w:rsidR="00D4105E" w:rsidRPr="00E14102" w:rsidRDefault="00D4105E" w:rsidP="00E14102">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7DE8D558"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684D89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заступаюший место ТБ-3. будет построен с применением гладкой</w:t>
            </w:r>
          </w:p>
        </w:tc>
      </w:tr>
      <w:tr w:rsidR="00E3599D" w:rsidRPr="00E14102" w14:paraId="5632D345" w14:textId="77777777">
        <w:tc>
          <w:tcPr>
            <w:tcW w:w="1878" w:type="dxa"/>
            <w:tcBorders>
              <w:top w:val="single" w:sz="6" w:space="0" w:color="auto"/>
              <w:left w:val="single" w:sz="12" w:space="0" w:color="auto"/>
              <w:bottom w:val="single" w:sz="6" w:space="0" w:color="auto"/>
              <w:right w:val="single" w:sz="6" w:space="0" w:color="auto"/>
            </w:tcBorders>
          </w:tcPr>
          <w:p w14:paraId="28FAFD35"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FD0A0C3"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1B43B42" w14:textId="77777777" w:rsidR="00D4105E" w:rsidRPr="00E14102" w:rsidRDefault="00D4105E" w:rsidP="00E14102">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3A52300A"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7E09BA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металлической обшивки</w:t>
            </w:r>
          </w:p>
        </w:tc>
      </w:tr>
      <w:tr w:rsidR="00E3599D" w:rsidRPr="00E14102" w14:paraId="73658593" w14:textId="77777777">
        <w:tc>
          <w:tcPr>
            <w:tcW w:w="1878" w:type="dxa"/>
            <w:tcBorders>
              <w:top w:val="single" w:sz="6" w:space="0" w:color="auto"/>
              <w:left w:val="single" w:sz="12" w:space="0" w:color="auto"/>
              <w:bottom w:val="single" w:sz="12" w:space="0" w:color="auto"/>
              <w:right w:val="single" w:sz="6" w:space="0" w:color="auto"/>
            </w:tcBorders>
          </w:tcPr>
          <w:p w14:paraId="76DFDC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ДБ-2 2К-14</w:t>
            </w:r>
          </w:p>
        </w:tc>
        <w:tc>
          <w:tcPr>
            <w:tcW w:w="1878" w:type="dxa"/>
            <w:tcBorders>
              <w:top w:val="single" w:sz="6" w:space="0" w:color="auto"/>
              <w:left w:val="single" w:sz="6" w:space="0" w:color="auto"/>
              <w:bottom w:val="single" w:sz="12" w:space="0" w:color="auto"/>
              <w:right w:val="single" w:sz="6" w:space="0" w:color="auto"/>
            </w:tcBorders>
          </w:tcPr>
          <w:p w14:paraId="051729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15.06.35</w:t>
            </w:r>
          </w:p>
        </w:tc>
        <w:tc>
          <w:tcPr>
            <w:tcW w:w="1878" w:type="dxa"/>
            <w:tcBorders>
              <w:top w:val="single" w:sz="6" w:space="0" w:color="auto"/>
              <w:left w:val="single" w:sz="6" w:space="0" w:color="auto"/>
              <w:bottom w:val="single" w:sz="12" w:space="0" w:color="auto"/>
              <w:right w:val="single" w:sz="6" w:space="0" w:color="auto"/>
            </w:tcBorders>
          </w:tcPr>
          <w:p w14:paraId="64942B9E" w14:textId="77777777" w:rsidR="00D4105E" w:rsidRPr="00E14102" w:rsidRDefault="00D4105E" w:rsidP="00E14102">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12" w:space="0" w:color="auto"/>
              <w:right w:val="single" w:sz="6" w:space="0" w:color="auto"/>
            </w:tcBorders>
          </w:tcPr>
          <w:p w14:paraId="235A3F0A"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12" w:space="0" w:color="auto"/>
              <w:right w:val="single" w:sz="12" w:space="0" w:color="auto"/>
            </w:tcBorders>
          </w:tcPr>
          <w:p w14:paraId="583139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 ДБ - выходящий из схемы РД (2337,206)</w:t>
            </w:r>
          </w:p>
        </w:tc>
      </w:tr>
    </w:tbl>
    <w:p w14:paraId="18C255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 Новые образцы вооружения и оборудования</w:t>
      </w:r>
    </w:p>
    <w:p w14:paraId="726688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экспериментальную установку электрифицированной турели с пулеметами ШВАК непрерывного питания в первых вариантах представить на совместные летные испытания с УВУВС, после чего решить вопрос о сроках выпуска и окончательного испытания образца турели на гос. испытаниях.</w:t>
      </w:r>
    </w:p>
    <w:p w14:paraId="629789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Установку пулемета ШВАК с магазином на 12 патронов в эдектрифицированную шаровую башню ТБ-3, прошедшую заводские испытания в ЦАГИ с пушкой Эрликон, представить на совместные летные испытания с УВВС 01.07.1935.</w:t>
      </w:r>
    </w:p>
    <w:p w14:paraId="6A7E31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Носовую установку на СБ пулемета ШВАК с магазином и ограниченными углами обстрела представить на совместные летные испытания с УВВС 01.09.35</w:t>
      </w:r>
    </w:p>
    <w:p w14:paraId="0638C8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По химическому вооружению намечено вести работы в части выработки новых образцов ВАП и ДАП, изыскания протекторных материалов для химприборов и бензобаков и ряд других актуальных работ.</w:t>
      </w:r>
    </w:p>
    <w:p w14:paraId="4B80130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По оборудованию самолетов - основное внимание будет уделено вопросам радио и электроаппаратуры, поскольку механическое управление и сигнализация на самолетах в самом блинайшем будущем будут вытеснены.</w:t>
      </w:r>
    </w:p>
    <w:p w14:paraId="0B667D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Кроме того большие работы будут проводиться по выработке типовых улучшенных установок, обеспечивающих бесперебойную работу при</w:t>
      </w:r>
      <w:r w:rsidRPr="00E14102">
        <w:rPr>
          <w:color w:val="000000" w:themeColor="text1"/>
          <w:sz w:val="16"/>
          <w:szCs w:val="16"/>
        </w:rPr>
        <w:softHyphen/>
        <w:t xml:space="preserve">боров, нечувствительных к вибрациям самолета. </w:t>
      </w:r>
    </w:p>
    <w:p w14:paraId="75DB64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Особо важно отметить намечающиеся работы по систематизации существующих материалов и оборудования и их периодической переаттеста</w:t>
      </w:r>
      <w:r w:rsidRPr="00E14102">
        <w:rPr>
          <w:color w:val="000000" w:themeColor="text1"/>
          <w:sz w:val="16"/>
          <w:szCs w:val="16"/>
        </w:rPr>
        <w:softHyphen/>
        <w:t>ции, которые обеспечат работу по оборудованию основных самолетов отдела</w:t>
      </w:r>
    </w:p>
    <w:p w14:paraId="7CB627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Работы по колесам - намечается вести в направлении получния конструкции стальных сварных колес, тормозных механизмов из недефицитных материалов и электрофикации управления</w:t>
      </w:r>
    </w:p>
    <w:p w14:paraId="732645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лыжам - разработать конструкцию торможения пробега, работать стандартный тип облегченной конструкции и работы по внутренней амортизации.</w:t>
      </w:r>
    </w:p>
    <w:p w14:paraId="1E4525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Работы по винтам - будут вестись по изыскании конструкций стальных полых винтов /сварных/ и над методикой расчета винтов, так как ряд динамических нагрузок /кручение, вибрация и т.д./ еще не изучен и в расчетах не учитывается.</w:t>
      </w:r>
    </w:p>
    <w:p w14:paraId="5DB5DB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По моторному оборудованию  - намечены крупные работы, связанные с проблемой двигателя.</w:t>
      </w:r>
    </w:p>
    <w:p w14:paraId="24B8BB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частности должныбыть разрешены вопросы охлаждения моторов высококипящими жидкостями /поскольку мотозаводы этого вопроса сами не разрешили/, вопросы, связанные с турбинными установками, вопросы оборудования моторов тяжелого топлива, установки и оборудования на самолете парового двигателя и т.д.</w:t>
      </w:r>
    </w:p>
    <w:p w14:paraId="5E003C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поставлена задача выработки нового типа арматуры системы управления моторов, выхлопов и подогревов и ряда дугих актуальных проблем.</w:t>
      </w:r>
    </w:p>
    <w:p w14:paraId="4A22EA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 задания 3-х лиц</w:t>
      </w:r>
    </w:p>
    <w:p w14:paraId="389CF6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К этой последней группе работ нами отнесены задания Мортехупра по катерам, именуемые глиссерами.</w:t>
      </w:r>
    </w:p>
    <w:p w14:paraId="78BA8D5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1934 года переходят на 1935 год работы по Г-6 восьми-моторному катеру, оснащенному мощным вооружением и оборудованием, в большинстве своем - электрифицированным.</w:t>
      </w:r>
    </w:p>
    <w:p w14:paraId="27CDEE6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Катер должен выйти на испытания в середине 35 года и дать хорошие мореходные качества при скорости до 43 узлов.</w:t>
      </w:r>
    </w:p>
    <w:p w14:paraId="223F68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Следом за выпуском Г-6 намечается разработка нового катера Г-8 - четырехмоторного, в конструкцию которого будут вве</w:t>
      </w:r>
      <w:r w:rsidRPr="00E14102">
        <w:rPr>
          <w:color w:val="000000" w:themeColor="text1"/>
          <w:sz w:val="16"/>
          <w:szCs w:val="16"/>
        </w:rPr>
        <w:softHyphen/>
        <w:t>дены все положительные качества катеров Г-5 и Г-6 и учтены их недостатки (2337,206).</w:t>
      </w:r>
    </w:p>
    <w:p w14:paraId="75A3EDE3" w14:textId="77777777" w:rsidR="00D4105E" w:rsidRPr="00E14102" w:rsidRDefault="00D4105E" w:rsidP="00E14102">
      <w:pPr>
        <w:autoSpaceDE w:val="0"/>
        <w:autoSpaceDN w:val="0"/>
        <w:adjustRightInd w:val="0"/>
        <w:jc w:val="both"/>
        <w:rPr>
          <w:color w:val="000000" w:themeColor="text1"/>
          <w:sz w:val="16"/>
          <w:szCs w:val="16"/>
        </w:rPr>
      </w:pPr>
    </w:p>
    <w:p w14:paraId="2CEA1B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января 1935 г. начальником института Н.М. Харламовым был подписан "Краткий отчет за 1934 г. и перспектива плана 1935 года по ЦАГИ" (9501).</w:t>
      </w:r>
    </w:p>
    <w:p w14:paraId="2C3BFDF9" w14:textId="77777777" w:rsidR="00D4105E" w:rsidRPr="00E14102" w:rsidRDefault="00D4105E" w:rsidP="00E14102">
      <w:pPr>
        <w:autoSpaceDE w:val="0"/>
        <w:autoSpaceDN w:val="0"/>
        <w:adjustRightInd w:val="0"/>
        <w:jc w:val="both"/>
        <w:rPr>
          <w:color w:val="000000" w:themeColor="text1"/>
          <w:sz w:val="16"/>
          <w:szCs w:val="16"/>
        </w:rPr>
      </w:pPr>
    </w:p>
    <w:p w14:paraId="148B09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января 1935 г. начальником института Н.М. Харламовым был подписан "Краткий отчет за 1934 г. и перспектива плана 1935 года по ЦАГИ" (9501), в котором указано: “..В настоящий момент строится дублер (СБ) с использованием некоторых уцелевших частей первой машины. Дублер выйдет на заводские испытания через месяц-полтора” (9501).</w:t>
      </w:r>
    </w:p>
    <w:p w14:paraId="34FD4CF7" w14:textId="77777777" w:rsidR="00D4105E" w:rsidRPr="00E14102" w:rsidRDefault="00D4105E" w:rsidP="00E14102">
      <w:pPr>
        <w:autoSpaceDE w:val="0"/>
        <w:autoSpaceDN w:val="0"/>
        <w:adjustRightInd w:val="0"/>
        <w:jc w:val="both"/>
        <w:rPr>
          <w:color w:val="000000" w:themeColor="text1"/>
          <w:sz w:val="16"/>
          <w:szCs w:val="16"/>
        </w:rPr>
      </w:pPr>
    </w:p>
    <w:p w14:paraId="747E73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января 1935 года начальник ГУАП Королев писал письмо № 75сс/ОП в ПБ ЦК ВКП(б) Сталину, председателю СНК Молотову, нарокму тяжелой промышленности Орджоникидзе, наркому обороны Ворошилову</w:t>
      </w:r>
    </w:p>
    <w:p w14:paraId="322791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Докладываю: программа по авиапромышленности за 1934 год выполнена: по самолетам на 99,3%, по моторам на 103,1%, по самолетам т моторам вместе на 102% (см. приложение №№ 1-2-3-4-5).</w:t>
      </w:r>
    </w:p>
    <w:p w14:paraId="33161D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истекшем году перед авиапромышленностью стояли следующие технические и качественные задачи:</w:t>
      </w:r>
    </w:p>
    <w:p w14:paraId="726BCB4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Построить опытные образцы, внедрить и произвести истребители И-14, И-15, И-16.</w:t>
      </w:r>
    </w:p>
    <w:p w14:paraId="2C6340A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Построить и произвести мотор 34 с редуктором и с редуктором нагнетателем.</w:t>
      </w:r>
    </w:p>
    <w:p w14:paraId="76B363D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Переконструировать самолет ТБ-3 с мотором редуктором и редуктором нагнетателем и произвести их.</w:t>
      </w:r>
    </w:p>
    <w:p w14:paraId="5B09F28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lastRenderedPageBreak/>
        <w:t>Поставить на производство и выпускать новый морской самолет МБР2 в количестве 200 штук.</w:t>
      </w:r>
    </w:p>
    <w:p w14:paraId="27AA844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Поднять качество по всем видам изделий авиапромышленности, как в техническом отношении, так и в качественном, с точки зрения внедрения культуры производства.</w:t>
      </w:r>
    </w:p>
    <w:p w14:paraId="53A08F9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Подготовить завод № 19 в Перми к производству мотора Райт Циклон с тем, чтобы в 1935 году поставить на нем производство.</w:t>
      </w:r>
    </w:p>
    <w:p w14:paraId="51B0CBB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Закончить строительство 125 завода в Иркутске и приступить в текущем году к организации производства на нем истребителя И-14.</w:t>
      </w:r>
    </w:p>
    <w:p w14:paraId="06836E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какой мере справилась авиапромышленность с поставленными задачами:</w:t>
      </w:r>
    </w:p>
    <w:p w14:paraId="7B43D00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истребителям И-14, И-15 и И-16 по заданной правительством программе в количестве: по И-14 – 30 штук в Иркутске, по И-15 – 150 штук (заводы №№ 1 и 39) и по И-16 – 275 штук (39 и 21 заводы), если не удалось произвести их полностью, то авиапромышленность за 1934 год в чрезвычайно короткий срок сумела освоить чрезвычайно сложное производство, несмотря на большое опоздание с утверждением эталонов.</w:t>
      </w:r>
    </w:p>
    <w:p w14:paraId="739019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Успешно справился с этими задачами 39 завод, программу свою он выполнил, удовлетворительно работал 1-й завод по И-15 и слабо работал 21-й завод.</w:t>
      </w:r>
    </w:p>
    <w:p w14:paraId="7A369F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Если же принять во внимание, что производство хромомолибдена в металлургии в 1933 году производилось лишь только в опытных образцах и небольшими партиями, в авиапромышленности изготовлялись лишь только опытные образцы и только в 1934 году завод им. Ленина освоил производство хромомолибденовых труб и металлов, авиапромышленность сумела с опытных образцов перейти на крупное серийное производство и в данное время можно считать эти задачи решенными и созданы все предпосылки для широкого производства высококачественных истребителей.</w:t>
      </w:r>
    </w:p>
    <w:p w14:paraId="1C8DEEE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ТБ-3 с мотором 34 с редуктором на 22-м заводе программа выполнена, проведена значительная подготовка к производству самолета типа ТБ-3 с мотором М-34РН; поставленные на самолет ТБ-3 редукторные моторы с нагнетателем резко улучшили летные данные этого самолета, повысив максимальную скорость самолета (в сравнении с моторами М-34) до 290 км/час на высоте 4500 метров против 185 на высоте 3000 метров, повысив потолок до 7000 метров, против 3900 метров, сократив время подъема на 4500 метров до 16 минут против 32 минут на 3000 метров. В настоящее время мотор М-34РН внедрен в серийное производство на заводе № 24.</w:t>
      </w:r>
    </w:p>
    <w:p w14:paraId="0C12446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Несмотря на короткий срок на постановку и организацию производства морского самолета МБР-2 на 31-м заводе, последним эта задача решена и программа выполнена, причем подготовка этого типа самолета заняла в 1934 году 6-7 месяцев. На производство всего количества самолетов оставалось 4-5 месяцев. Темпы развития этого завода за последний квартал 1934 года показали, что завод обладает громадной производственной мощностью и в мобилизационное время может произвести 1000-1200 данных самолетов, что значительно перекрывает его проектную мощность.</w:t>
      </w:r>
    </w:p>
    <w:p w14:paraId="33D7A1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Тоже положение относится к заводам №№ 21 и 39. Работа этих заводов в последнем квартале показали, что мощность их значительно выше, чем запроектирована, особенно это относится к 39-му заводу; этот завод считался у нас заводом опытным, тогда как опыт работы его показал, что он может произвести в год до 600 первоклассных истребителей.</w:t>
      </w:r>
    </w:p>
    <w:p w14:paraId="7258A34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24-й завод успешно справился с мотором М-34 с редуктором, впервые после ряда лет прорыва выполнив программу в текущем году; освоил М-34РН и в текущем 1935 году приступает к серийному производству.</w:t>
      </w:r>
    </w:p>
    <w:p w14:paraId="4D7D662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ЦИАМ сконструировал, изготовил и испытал металлический винт переменного шага.</w:t>
      </w:r>
    </w:p>
    <w:p w14:paraId="5EC42A2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Завод № 26 в 1934 году произвел пробную мобилизацию в условиях военного времени и в течение одного только месяца увеличил выпуск на 151 мотор, доведя месячный выпуск моторов при 2-х сменной работе до 600 штук. При расчете на 3 смены завод дает полной мощностью 10000 моторов в год. Одновременно завод поднял технические данные мотора, повысив мощность с 715 сил до 800 сил и увеличив срок эксплуатации до первой переборки до 300 часов вместо 200.</w:t>
      </w:r>
    </w:p>
    <w:p w14:paraId="2691E10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Заводом № 28 освоено производство металлических винтов для мотора Райт Циклон, что полностью освободило нас от ввоза этих винтов из Америки в 1934 году.</w:t>
      </w:r>
    </w:p>
    <w:p w14:paraId="4573831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Все самолеты переведены на тормозные колеса.</w:t>
      </w:r>
    </w:p>
    <w:p w14:paraId="7B79F61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Впервые в Союзе изготовлен и поставлен на производство на заводе № 33 самопуск Гарелли к мощным моторам.</w:t>
      </w:r>
    </w:p>
    <w:p w14:paraId="10E34C5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24-м заводом совместно с 119-м заводом и ЦИАМ сконструирован, освоен и поставлен на производство мотор для торпедных катеров – мотор с редуктором, не производившийся ранее в Союзе.</w:t>
      </w:r>
    </w:p>
    <w:p w14:paraId="7AF47A0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Значительно повышена культура производства во всех звеньях авиапромышленности, не только по внешней отделке, но и культура производства в целом. В основном в 1934 году созданы конструкторские отделы с соответствующими лабораториями на всех заводах авиапромышленности.</w:t>
      </w:r>
    </w:p>
    <w:p w14:paraId="0FFB136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Значительно поднялась техническая культура в институтах ЦАГИ, ЦИАМ и ВИАМ с изменением методов работы от кабинетно-лабораторных на помощь и обслуживание производства.</w:t>
      </w:r>
    </w:p>
    <w:p w14:paraId="2E23FF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Очередные задачи на 1935 год.</w:t>
      </w:r>
    </w:p>
    <w:p w14:paraId="3609F9F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Дальнейшее развитие производства современных типов истребителей и внедрить в производство в 1935 году истребителей по скоростям превышающим заграницу.</w:t>
      </w:r>
    </w:p>
    <w:p w14:paraId="37C779F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Произвести бомбовозы на 22-м заводе с мотором М-34РН.</w:t>
      </w:r>
    </w:p>
    <w:p w14:paraId="7A9F78A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Построить в опытных образцах современный тип разведчика и поставить к концу года на производство.</w:t>
      </w:r>
    </w:p>
    <w:p w14:paraId="52E5BDF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Закончить испытание скоростного бомбардировщика с мотором и произвести их в текущем году 200 штук на 22-м заводе.</w:t>
      </w:r>
    </w:p>
    <w:p w14:paraId="52B6B32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Организовать и перестроить производство на всех моторных заводах. Внедрить и произвести новые современные типы моторов: Райт Циклон (19-й завод), Испано (завод № 26) и К-14 (завод № 29).</w:t>
      </w:r>
    </w:p>
    <w:p w14:paraId="4604D9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Задача эта технически и организационно чрезвычайно сложная. Но имея достаточную подготовку на 19-м заводе и большой опыт на 26-м и 29-м заводах, считаю эти задачи в 1935 году будут решены.</w:t>
      </w:r>
    </w:p>
    <w:p w14:paraId="432680D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Если 125 завод в Иркутске в 1934 году не сумел справиться с заданием правительства, надо принять во внимание, что завод окончен стройкой и принят Правительственной комиссией только в июле, все же за короткий срок сумел изготовить первые образцы самолетов. Можно считать эту работу крупным достижением.</w:t>
      </w:r>
    </w:p>
    <w:p w14:paraId="3729D9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Задачей авиапромышленности является в 1935 году поставить на этом заводе крупное серийное производство И-14.</w:t>
      </w:r>
    </w:p>
    <w:p w14:paraId="5B9B264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Закончить строительством 126 завод на Амуре и к концу года начать на нем осваивать производство.</w:t>
      </w:r>
    </w:p>
    <w:p w14:paraId="6A194EC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Продолжать неослабно вести борьбу по всем звеньям авиапромышленности за дальнейшее улучшение качества продукции авиапромышленности, за дальнейшую культуру, рост ее и дальнейший технический подъем (4039,46-51).</w:t>
      </w:r>
    </w:p>
    <w:p w14:paraId="67F138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плана по сдаче самолетов и моторов в 1934 году (в штуках)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E3599D" w:rsidRPr="00E14102" w14:paraId="5160B686" w14:textId="77777777">
        <w:tc>
          <w:tcPr>
            <w:tcW w:w="1610" w:type="dxa"/>
          </w:tcPr>
          <w:p w14:paraId="2C054C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изделий</w:t>
            </w:r>
          </w:p>
        </w:tc>
        <w:tc>
          <w:tcPr>
            <w:tcW w:w="1610" w:type="dxa"/>
          </w:tcPr>
          <w:p w14:paraId="6262F3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tc>
        <w:tc>
          <w:tcPr>
            <w:tcW w:w="1610" w:type="dxa"/>
          </w:tcPr>
          <w:p w14:paraId="09163D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w:t>
            </w:r>
          </w:p>
        </w:tc>
        <w:tc>
          <w:tcPr>
            <w:tcW w:w="1610" w:type="dxa"/>
          </w:tcPr>
          <w:p w14:paraId="353AF7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323061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количество (выполнение)</w:t>
            </w:r>
          </w:p>
        </w:tc>
        <w:tc>
          <w:tcPr>
            <w:tcW w:w="1610" w:type="dxa"/>
          </w:tcPr>
          <w:p w14:paraId="0512DC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 выполнение в %% к 1933 году</w:t>
            </w:r>
          </w:p>
        </w:tc>
        <w:tc>
          <w:tcPr>
            <w:tcW w:w="1610" w:type="dxa"/>
          </w:tcPr>
          <w:p w14:paraId="3FA9FB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 выполнение в %% к плану 1934 года</w:t>
            </w:r>
          </w:p>
        </w:tc>
        <w:tc>
          <w:tcPr>
            <w:tcW w:w="1610" w:type="dxa"/>
          </w:tcPr>
          <w:p w14:paraId="773543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081B8A8A" w14:textId="77777777">
        <w:tc>
          <w:tcPr>
            <w:tcW w:w="1610" w:type="dxa"/>
          </w:tcPr>
          <w:p w14:paraId="064724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c>
          <w:tcPr>
            <w:tcW w:w="1610" w:type="dxa"/>
          </w:tcPr>
          <w:p w14:paraId="724473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4079</w:t>
            </w:r>
          </w:p>
        </w:tc>
        <w:tc>
          <w:tcPr>
            <w:tcW w:w="1610" w:type="dxa"/>
          </w:tcPr>
          <w:p w14:paraId="470147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4577</w:t>
            </w:r>
          </w:p>
        </w:tc>
        <w:tc>
          <w:tcPr>
            <w:tcW w:w="1610" w:type="dxa"/>
          </w:tcPr>
          <w:p w14:paraId="172A62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4545*</w:t>
            </w:r>
          </w:p>
        </w:tc>
        <w:tc>
          <w:tcPr>
            <w:tcW w:w="1610" w:type="dxa"/>
          </w:tcPr>
          <w:p w14:paraId="500BC2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111,4</w:t>
            </w:r>
          </w:p>
        </w:tc>
        <w:tc>
          <w:tcPr>
            <w:tcW w:w="1610" w:type="dxa"/>
          </w:tcPr>
          <w:p w14:paraId="6E3B38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99,3</w:t>
            </w:r>
          </w:p>
        </w:tc>
        <w:tc>
          <w:tcPr>
            <w:tcW w:w="1610" w:type="dxa"/>
          </w:tcPr>
          <w:p w14:paraId="70F1D2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Кроме того в I квартале 1934 года закончены производством, облетаны и сданы 169 Р5, оформленные в 1933 году с учетом сдачи этих машин % выполнения составит 100,5.</w:t>
            </w:r>
          </w:p>
        </w:tc>
      </w:tr>
    </w:tbl>
    <w:p w14:paraId="239E86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плана по сдаче самолетов (в тоннах) и моторов (в л.с.) за 1934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E3599D" w:rsidRPr="00E14102" w14:paraId="6AB274D9" w14:textId="77777777">
        <w:tc>
          <w:tcPr>
            <w:tcW w:w="1878" w:type="dxa"/>
          </w:tcPr>
          <w:p w14:paraId="13AA43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изделий</w:t>
            </w:r>
          </w:p>
        </w:tc>
        <w:tc>
          <w:tcPr>
            <w:tcW w:w="1878" w:type="dxa"/>
          </w:tcPr>
          <w:p w14:paraId="05F241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tc>
        <w:tc>
          <w:tcPr>
            <w:tcW w:w="1878" w:type="dxa"/>
          </w:tcPr>
          <w:p w14:paraId="39C976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w:t>
            </w:r>
          </w:p>
        </w:tc>
        <w:tc>
          <w:tcPr>
            <w:tcW w:w="1878" w:type="dxa"/>
          </w:tcPr>
          <w:p w14:paraId="00D689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415DDC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количество (выполнение)</w:t>
            </w:r>
          </w:p>
        </w:tc>
        <w:tc>
          <w:tcPr>
            <w:tcW w:w="1878" w:type="dxa"/>
          </w:tcPr>
          <w:p w14:paraId="48D9A9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 выполнение в %% к 1933 году</w:t>
            </w:r>
          </w:p>
        </w:tc>
        <w:tc>
          <w:tcPr>
            <w:tcW w:w="1878" w:type="dxa"/>
          </w:tcPr>
          <w:p w14:paraId="613FE1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 выполнение в %% к плану 1934 года</w:t>
            </w:r>
          </w:p>
        </w:tc>
      </w:tr>
      <w:tr w:rsidR="00E3599D" w:rsidRPr="00E14102" w14:paraId="303AD3F3" w14:textId="77777777">
        <w:tc>
          <w:tcPr>
            <w:tcW w:w="1878" w:type="dxa"/>
          </w:tcPr>
          <w:p w14:paraId="5B39A6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c>
          <w:tcPr>
            <w:tcW w:w="1878" w:type="dxa"/>
          </w:tcPr>
          <w:p w14:paraId="4DA395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12357,7</w:t>
            </w:r>
          </w:p>
        </w:tc>
        <w:tc>
          <w:tcPr>
            <w:tcW w:w="1878" w:type="dxa"/>
          </w:tcPr>
          <w:p w14:paraId="179C5E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13248,5</w:t>
            </w:r>
          </w:p>
        </w:tc>
        <w:tc>
          <w:tcPr>
            <w:tcW w:w="1878" w:type="dxa"/>
          </w:tcPr>
          <w:p w14:paraId="64DB08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13088</w:t>
            </w:r>
          </w:p>
        </w:tc>
        <w:tc>
          <w:tcPr>
            <w:tcW w:w="1878" w:type="dxa"/>
          </w:tcPr>
          <w:p w14:paraId="41E847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105,9</w:t>
            </w:r>
          </w:p>
        </w:tc>
        <w:tc>
          <w:tcPr>
            <w:tcW w:w="1878" w:type="dxa"/>
          </w:tcPr>
          <w:p w14:paraId="07039A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98,8</w:t>
            </w:r>
          </w:p>
        </w:tc>
      </w:tr>
      <w:tr w:rsidR="00E3599D" w:rsidRPr="00E14102" w14:paraId="553F29D1" w14:textId="77777777">
        <w:tc>
          <w:tcPr>
            <w:tcW w:w="1878" w:type="dxa"/>
          </w:tcPr>
          <w:p w14:paraId="5BE1CD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w:t>
            </w:r>
          </w:p>
        </w:tc>
        <w:tc>
          <w:tcPr>
            <w:tcW w:w="1878" w:type="dxa"/>
          </w:tcPr>
          <w:p w14:paraId="008AC3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3110,7</w:t>
            </w:r>
          </w:p>
        </w:tc>
        <w:tc>
          <w:tcPr>
            <w:tcW w:w="1878" w:type="dxa"/>
          </w:tcPr>
          <w:p w14:paraId="666E43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4233</w:t>
            </w:r>
          </w:p>
        </w:tc>
        <w:tc>
          <w:tcPr>
            <w:tcW w:w="1878" w:type="dxa"/>
          </w:tcPr>
          <w:p w14:paraId="2F0F42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4394</w:t>
            </w:r>
          </w:p>
        </w:tc>
        <w:tc>
          <w:tcPr>
            <w:tcW w:w="1878" w:type="dxa"/>
          </w:tcPr>
          <w:p w14:paraId="776EB3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138,5</w:t>
            </w:r>
          </w:p>
        </w:tc>
        <w:tc>
          <w:tcPr>
            <w:tcW w:w="1878" w:type="dxa"/>
          </w:tcPr>
          <w:p w14:paraId="6CE62C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103,8</w:t>
            </w:r>
          </w:p>
        </w:tc>
      </w:tr>
    </w:tbl>
    <w:p w14:paraId="733423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годового плана по сдаче самолетов и моторов по кварталам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1024"/>
        <w:gridCol w:w="1024"/>
        <w:gridCol w:w="1024"/>
      </w:tblGrid>
      <w:tr w:rsidR="00E3599D" w:rsidRPr="00E14102" w14:paraId="10177CC1" w14:textId="77777777">
        <w:tc>
          <w:tcPr>
            <w:tcW w:w="1024" w:type="dxa"/>
          </w:tcPr>
          <w:p w14:paraId="324860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 изделий</w:t>
            </w:r>
          </w:p>
        </w:tc>
        <w:tc>
          <w:tcPr>
            <w:tcW w:w="1024" w:type="dxa"/>
          </w:tcPr>
          <w:p w14:paraId="1DA2A7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I квартал </w:t>
            </w:r>
          </w:p>
          <w:p w14:paraId="03FB62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количество </w:t>
            </w:r>
          </w:p>
        </w:tc>
        <w:tc>
          <w:tcPr>
            <w:tcW w:w="1024" w:type="dxa"/>
          </w:tcPr>
          <w:p w14:paraId="5DF5AF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 квартал</w:t>
            </w:r>
          </w:p>
          <w:p w14:paraId="3559E7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 к годовому плану</w:t>
            </w:r>
          </w:p>
        </w:tc>
        <w:tc>
          <w:tcPr>
            <w:tcW w:w="1024" w:type="dxa"/>
          </w:tcPr>
          <w:p w14:paraId="550AC1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II квартал </w:t>
            </w:r>
          </w:p>
          <w:p w14:paraId="189CC7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количество </w:t>
            </w:r>
          </w:p>
        </w:tc>
        <w:tc>
          <w:tcPr>
            <w:tcW w:w="1024" w:type="dxa"/>
          </w:tcPr>
          <w:p w14:paraId="51AE65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квартал</w:t>
            </w:r>
          </w:p>
          <w:p w14:paraId="2A6786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 к годовому плану</w:t>
            </w:r>
          </w:p>
        </w:tc>
        <w:tc>
          <w:tcPr>
            <w:tcW w:w="1024" w:type="dxa"/>
          </w:tcPr>
          <w:p w14:paraId="608DA0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III квартал</w:t>
            </w:r>
          </w:p>
          <w:p w14:paraId="344E30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количество </w:t>
            </w:r>
          </w:p>
        </w:tc>
        <w:tc>
          <w:tcPr>
            <w:tcW w:w="1024" w:type="dxa"/>
          </w:tcPr>
          <w:p w14:paraId="36AA96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III квартал</w:t>
            </w:r>
          </w:p>
          <w:p w14:paraId="4955D1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 к годовому плану</w:t>
            </w:r>
          </w:p>
        </w:tc>
        <w:tc>
          <w:tcPr>
            <w:tcW w:w="1024" w:type="dxa"/>
          </w:tcPr>
          <w:p w14:paraId="7C647B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IV квартал </w:t>
            </w:r>
          </w:p>
          <w:p w14:paraId="35EC1C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количество </w:t>
            </w:r>
          </w:p>
        </w:tc>
        <w:tc>
          <w:tcPr>
            <w:tcW w:w="1024" w:type="dxa"/>
          </w:tcPr>
          <w:p w14:paraId="3E183E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IV квартал</w:t>
            </w:r>
          </w:p>
          <w:p w14:paraId="43296A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 к годовому плану</w:t>
            </w:r>
          </w:p>
        </w:tc>
        <w:tc>
          <w:tcPr>
            <w:tcW w:w="1024" w:type="dxa"/>
          </w:tcPr>
          <w:p w14:paraId="26F639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1933 год количество</w:t>
            </w:r>
          </w:p>
        </w:tc>
        <w:tc>
          <w:tcPr>
            <w:tcW w:w="1024" w:type="dxa"/>
          </w:tcPr>
          <w:p w14:paraId="4F0864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1933 год в %% к годовому плану</w:t>
            </w:r>
          </w:p>
        </w:tc>
      </w:tr>
      <w:tr w:rsidR="00E3599D" w:rsidRPr="00E14102" w14:paraId="42B2A7C4" w14:textId="77777777">
        <w:tc>
          <w:tcPr>
            <w:tcW w:w="1024" w:type="dxa"/>
          </w:tcPr>
          <w:p w14:paraId="7019C4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c>
          <w:tcPr>
            <w:tcW w:w="1024" w:type="dxa"/>
          </w:tcPr>
          <w:p w14:paraId="278487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859</w:t>
            </w:r>
          </w:p>
        </w:tc>
        <w:tc>
          <w:tcPr>
            <w:tcW w:w="1024" w:type="dxa"/>
          </w:tcPr>
          <w:p w14:paraId="224503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w:t>
            </w:r>
          </w:p>
        </w:tc>
        <w:tc>
          <w:tcPr>
            <w:tcW w:w="1024" w:type="dxa"/>
          </w:tcPr>
          <w:p w14:paraId="4CADDF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941</w:t>
            </w:r>
          </w:p>
        </w:tc>
        <w:tc>
          <w:tcPr>
            <w:tcW w:w="1024" w:type="dxa"/>
          </w:tcPr>
          <w:p w14:paraId="456CA9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20,6</w:t>
            </w:r>
          </w:p>
        </w:tc>
        <w:tc>
          <w:tcPr>
            <w:tcW w:w="1024" w:type="dxa"/>
          </w:tcPr>
          <w:p w14:paraId="74B07A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1132</w:t>
            </w:r>
          </w:p>
        </w:tc>
        <w:tc>
          <w:tcPr>
            <w:tcW w:w="1024" w:type="dxa"/>
          </w:tcPr>
          <w:p w14:paraId="3154C3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24,7</w:t>
            </w:r>
          </w:p>
        </w:tc>
        <w:tc>
          <w:tcPr>
            <w:tcW w:w="1024" w:type="dxa"/>
          </w:tcPr>
          <w:p w14:paraId="1BEAFE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1613</w:t>
            </w:r>
          </w:p>
        </w:tc>
        <w:tc>
          <w:tcPr>
            <w:tcW w:w="1024" w:type="dxa"/>
          </w:tcPr>
          <w:p w14:paraId="21373E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35,2</w:t>
            </w:r>
          </w:p>
        </w:tc>
        <w:tc>
          <w:tcPr>
            <w:tcW w:w="1024" w:type="dxa"/>
          </w:tcPr>
          <w:p w14:paraId="5F5E0B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4545</w:t>
            </w:r>
          </w:p>
        </w:tc>
        <w:tc>
          <w:tcPr>
            <w:tcW w:w="1024" w:type="dxa"/>
          </w:tcPr>
          <w:p w14:paraId="35F2E7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99,3</w:t>
            </w:r>
          </w:p>
        </w:tc>
      </w:tr>
      <w:tr w:rsidR="00E3599D" w:rsidRPr="00E14102" w14:paraId="50C54506" w14:textId="77777777">
        <w:tc>
          <w:tcPr>
            <w:tcW w:w="1024" w:type="dxa"/>
          </w:tcPr>
          <w:p w14:paraId="5ADAE8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w:t>
            </w:r>
          </w:p>
        </w:tc>
        <w:tc>
          <w:tcPr>
            <w:tcW w:w="1024" w:type="dxa"/>
          </w:tcPr>
          <w:p w14:paraId="1B0F24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2112</w:t>
            </w:r>
          </w:p>
        </w:tc>
        <w:tc>
          <w:tcPr>
            <w:tcW w:w="1024" w:type="dxa"/>
          </w:tcPr>
          <w:p w14:paraId="2EF04C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21,3</w:t>
            </w:r>
          </w:p>
        </w:tc>
        <w:tc>
          <w:tcPr>
            <w:tcW w:w="1024" w:type="dxa"/>
          </w:tcPr>
          <w:p w14:paraId="53AB23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2587</w:t>
            </w:r>
          </w:p>
        </w:tc>
        <w:tc>
          <w:tcPr>
            <w:tcW w:w="1024" w:type="dxa"/>
          </w:tcPr>
          <w:p w14:paraId="6778DC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26,1</w:t>
            </w:r>
          </w:p>
        </w:tc>
        <w:tc>
          <w:tcPr>
            <w:tcW w:w="1024" w:type="dxa"/>
          </w:tcPr>
          <w:p w14:paraId="22B80C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2219</w:t>
            </w:r>
          </w:p>
        </w:tc>
        <w:tc>
          <w:tcPr>
            <w:tcW w:w="1024" w:type="dxa"/>
          </w:tcPr>
          <w:p w14:paraId="09D206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22,3</w:t>
            </w:r>
          </w:p>
        </w:tc>
        <w:tc>
          <w:tcPr>
            <w:tcW w:w="1024" w:type="dxa"/>
          </w:tcPr>
          <w:p w14:paraId="5941C7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3323</w:t>
            </w:r>
          </w:p>
        </w:tc>
        <w:tc>
          <w:tcPr>
            <w:tcW w:w="1024" w:type="dxa"/>
          </w:tcPr>
          <w:p w14:paraId="4B9FA1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33,4</w:t>
            </w:r>
          </w:p>
        </w:tc>
        <w:tc>
          <w:tcPr>
            <w:tcW w:w="1024" w:type="dxa"/>
          </w:tcPr>
          <w:p w14:paraId="460FBD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10241</w:t>
            </w:r>
          </w:p>
        </w:tc>
        <w:tc>
          <w:tcPr>
            <w:tcW w:w="1024" w:type="dxa"/>
          </w:tcPr>
          <w:p w14:paraId="64D815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103,1</w:t>
            </w:r>
          </w:p>
        </w:tc>
      </w:tr>
    </w:tbl>
    <w:p w14:paraId="3AF5DE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 данные без заводов № 126 (производство И-14 РЦ) и № 19 (производство моторов РЦ) (40439,52).</w:t>
      </w:r>
    </w:p>
    <w:p w14:paraId="0568C7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Выполнение плана по сдаче самолетов и моторов по типам за 1934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E3599D" w:rsidRPr="00E14102" w14:paraId="1431A86A" w14:textId="77777777">
        <w:tc>
          <w:tcPr>
            <w:tcW w:w="1878" w:type="dxa"/>
          </w:tcPr>
          <w:p w14:paraId="1FAA39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машин</w:t>
            </w:r>
          </w:p>
        </w:tc>
        <w:tc>
          <w:tcPr>
            <w:tcW w:w="1878" w:type="dxa"/>
          </w:tcPr>
          <w:p w14:paraId="6059ED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tc>
        <w:tc>
          <w:tcPr>
            <w:tcW w:w="1878" w:type="dxa"/>
          </w:tcPr>
          <w:p w14:paraId="74F53C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w:t>
            </w:r>
          </w:p>
        </w:tc>
        <w:tc>
          <w:tcPr>
            <w:tcW w:w="1878" w:type="dxa"/>
          </w:tcPr>
          <w:p w14:paraId="7F2170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40ED5D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количество (выполнение)</w:t>
            </w:r>
          </w:p>
        </w:tc>
        <w:tc>
          <w:tcPr>
            <w:tcW w:w="1878" w:type="dxa"/>
          </w:tcPr>
          <w:p w14:paraId="6D3300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 выполнение в %% к 1933 году</w:t>
            </w:r>
          </w:p>
        </w:tc>
        <w:tc>
          <w:tcPr>
            <w:tcW w:w="1878" w:type="dxa"/>
          </w:tcPr>
          <w:p w14:paraId="58B433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 выполнение в %% к плану 1934 года</w:t>
            </w:r>
          </w:p>
        </w:tc>
      </w:tr>
      <w:tr w:rsidR="00E3599D" w:rsidRPr="00E14102" w14:paraId="335E2E07" w14:textId="77777777">
        <w:tc>
          <w:tcPr>
            <w:tcW w:w="1878" w:type="dxa"/>
          </w:tcPr>
          <w:p w14:paraId="50169A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Разведчики </w:t>
            </w:r>
          </w:p>
        </w:tc>
        <w:tc>
          <w:tcPr>
            <w:tcW w:w="1878" w:type="dxa"/>
          </w:tcPr>
          <w:p w14:paraId="0E2AC4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1547</w:t>
            </w:r>
          </w:p>
        </w:tc>
        <w:tc>
          <w:tcPr>
            <w:tcW w:w="1878" w:type="dxa"/>
          </w:tcPr>
          <w:p w14:paraId="19C35F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1568</w:t>
            </w:r>
          </w:p>
        </w:tc>
        <w:tc>
          <w:tcPr>
            <w:tcW w:w="1878" w:type="dxa"/>
          </w:tcPr>
          <w:p w14:paraId="7723D7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1642</w:t>
            </w:r>
          </w:p>
        </w:tc>
        <w:tc>
          <w:tcPr>
            <w:tcW w:w="1878" w:type="dxa"/>
          </w:tcPr>
          <w:p w14:paraId="351274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106,1</w:t>
            </w:r>
          </w:p>
        </w:tc>
        <w:tc>
          <w:tcPr>
            <w:tcW w:w="1878" w:type="dxa"/>
          </w:tcPr>
          <w:p w14:paraId="200679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104,7</w:t>
            </w:r>
          </w:p>
        </w:tc>
      </w:tr>
      <w:tr w:rsidR="00E3599D" w:rsidRPr="00E14102" w14:paraId="52E078A1" w14:textId="77777777">
        <w:tc>
          <w:tcPr>
            <w:tcW w:w="1878" w:type="dxa"/>
          </w:tcPr>
          <w:p w14:paraId="3F18A1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Разведчики морские</w:t>
            </w:r>
          </w:p>
        </w:tc>
        <w:tc>
          <w:tcPr>
            <w:tcW w:w="1878" w:type="dxa"/>
          </w:tcPr>
          <w:p w14:paraId="2EFD64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47</w:t>
            </w:r>
          </w:p>
        </w:tc>
        <w:tc>
          <w:tcPr>
            <w:tcW w:w="1878" w:type="dxa"/>
          </w:tcPr>
          <w:p w14:paraId="49FAA4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340</w:t>
            </w:r>
          </w:p>
        </w:tc>
        <w:tc>
          <w:tcPr>
            <w:tcW w:w="1878" w:type="dxa"/>
          </w:tcPr>
          <w:p w14:paraId="2F78C7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341</w:t>
            </w:r>
          </w:p>
        </w:tc>
        <w:tc>
          <w:tcPr>
            <w:tcW w:w="1878" w:type="dxa"/>
          </w:tcPr>
          <w:p w14:paraId="47924C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725,5</w:t>
            </w:r>
          </w:p>
        </w:tc>
        <w:tc>
          <w:tcPr>
            <w:tcW w:w="1878" w:type="dxa"/>
          </w:tcPr>
          <w:p w14:paraId="528EFF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100,3</w:t>
            </w:r>
          </w:p>
        </w:tc>
      </w:tr>
      <w:tr w:rsidR="00E3599D" w:rsidRPr="00E14102" w14:paraId="0ECEBD4B" w14:textId="77777777">
        <w:tc>
          <w:tcPr>
            <w:tcW w:w="1878" w:type="dxa"/>
          </w:tcPr>
          <w:p w14:paraId="088088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Разведчики дальние</w:t>
            </w:r>
          </w:p>
        </w:tc>
        <w:tc>
          <w:tcPr>
            <w:tcW w:w="1878" w:type="dxa"/>
          </w:tcPr>
          <w:p w14:paraId="45F0A3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878" w:type="dxa"/>
          </w:tcPr>
          <w:p w14:paraId="3BCCC9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175</w:t>
            </w:r>
          </w:p>
        </w:tc>
        <w:tc>
          <w:tcPr>
            <w:tcW w:w="1878" w:type="dxa"/>
          </w:tcPr>
          <w:p w14:paraId="3A66CB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w:t>
            </w:r>
          </w:p>
        </w:tc>
        <w:tc>
          <w:tcPr>
            <w:tcW w:w="1878" w:type="dxa"/>
          </w:tcPr>
          <w:p w14:paraId="14984F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340,0</w:t>
            </w:r>
          </w:p>
        </w:tc>
        <w:tc>
          <w:tcPr>
            <w:tcW w:w="1878" w:type="dxa"/>
          </w:tcPr>
          <w:p w14:paraId="32374E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97,1</w:t>
            </w:r>
          </w:p>
        </w:tc>
      </w:tr>
      <w:tr w:rsidR="00E3599D" w:rsidRPr="00E14102" w14:paraId="4D7246EC" w14:textId="77777777">
        <w:tc>
          <w:tcPr>
            <w:tcW w:w="1878" w:type="dxa"/>
          </w:tcPr>
          <w:p w14:paraId="2C408F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Истребители</w:t>
            </w:r>
          </w:p>
        </w:tc>
        <w:tc>
          <w:tcPr>
            <w:tcW w:w="1878" w:type="dxa"/>
          </w:tcPr>
          <w:p w14:paraId="43DAB0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339</w:t>
            </w:r>
          </w:p>
        </w:tc>
        <w:tc>
          <w:tcPr>
            <w:tcW w:w="1878" w:type="dxa"/>
          </w:tcPr>
          <w:p w14:paraId="37C33A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805</w:t>
            </w:r>
          </w:p>
        </w:tc>
        <w:tc>
          <w:tcPr>
            <w:tcW w:w="1878" w:type="dxa"/>
          </w:tcPr>
          <w:p w14:paraId="57AA69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684</w:t>
            </w:r>
          </w:p>
        </w:tc>
        <w:tc>
          <w:tcPr>
            <w:tcW w:w="1878" w:type="dxa"/>
          </w:tcPr>
          <w:p w14:paraId="3F9C31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201,7</w:t>
            </w:r>
          </w:p>
        </w:tc>
        <w:tc>
          <w:tcPr>
            <w:tcW w:w="1878" w:type="dxa"/>
          </w:tcPr>
          <w:p w14:paraId="6611A1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w:t>
            </w:r>
          </w:p>
        </w:tc>
      </w:tr>
      <w:tr w:rsidR="00E3599D" w:rsidRPr="00E14102" w14:paraId="3B9886F9" w14:textId="77777777">
        <w:tc>
          <w:tcPr>
            <w:tcW w:w="1878" w:type="dxa"/>
          </w:tcPr>
          <w:p w14:paraId="3417B6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Бомбовозы</w:t>
            </w:r>
          </w:p>
        </w:tc>
        <w:tc>
          <w:tcPr>
            <w:tcW w:w="1878" w:type="dxa"/>
          </w:tcPr>
          <w:p w14:paraId="0CCA0C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291</w:t>
            </w:r>
          </w:p>
        </w:tc>
        <w:tc>
          <w:tcPr>
            <w:tcW w:w="1878" w:type="dxa"/>
          </w:tcPr>
          <w:p w14:paraId="3E4CCD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w:t>
            </w:r>
          </w:p>
        </w:tc>
        <w:tc>
          <w:tcPr>
            <w:tcW w:w="1878" w:type="dxa"/>
          </w:tcPr>
          <w:p w14:paraId="236B0D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204</w:t>
            </w:r>
          </w:p>
        </w:tc>
        <w:tc>
          <w:tcPr>
            <w:tcW w:w="1878" w:type="dxa"/>
          </w:tcPr>
          <w:p w14:paraId="5D0148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70,1</w:t>
            </w:r>
          </w:p>
        </w:tc>
        <w:tc>
          <w:tcPr>
            <w:tcW w:w="1878" w:type="dxa"/>
          </w:tcPr>
          <w:p w14:paraId="153C0B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104,6</w:t>
            </w:r>
          </w:p>
        </w:tc>
      </w:tr>
      <w:tr w:rsidR="00E3599D" w:rsidRPr="00E14102" w14:paraId="00395436" w14:textId="77777777">
        <w:tc>
          <w:tcPr>
            <w:tcW w:w="1878" w:type="dxa"/>
          </w:tcPr>
          <w:p w14:paraId="657ECE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Пассажирские</w:t>
            </w:r>
          </w:p>
        </w:tc>
        <w:tc>
          <w:tcPr>
            <w:tcW w:w="1878" w:type="dxa"/>
          </w:tcPr>
          <w:p w14:paraId="4CD27D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97</w:t>
            </w:r>
          </w:p>
        </w:tc>
        <w:tc>
          <w:tcPr>
            <w:tcW w:w="1878" w:type="dxa"/>
          </w:tcPr>
          <w:p w14:paraId="42285E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w:t>
            </w:r>
          </w:p>
        </w:tc>
        <w:tc>
          <w:tcPr>
            <w:tcW w:w="1878" w:type="dxa"/>
          </w:tcPr>
          <w:p w14:paraId="21B75B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w:t>
            </w:r>
          </w:p>
        </w:tc>
        <w:tc>
          <w:tcPr>
            <w:tcW w:w="1878" w:type="dxa"/>
          </w:tcPr>
          <w:p w14:paraId="123F78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201,0</w:t>
            </w:r>
          </w:p>
        </w:tc>
        <w:tc>
          <w:tcPr>
            <w:tcW w:w="1878" w:type="dxa"/>
          </w:tcPr>
          <w:p w14:paraId="27F515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101,0</w:t>
            </w:r>
          </w:p>
        </w:tc>
      </w:tr>
      <w:tr w:rsidR="00E3599D" w:rsidRPr="00E14102" w14:paraId="0BDDF031" w14:textId="77777777">
        <w:tc>
          <w:tcPr>
            <w:tcW w:w="1878" w:type="dxa"/>
          </w:tcPr>
          <w:p w14:paraId="326043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Сельскохозяйственные</w:t>
            </w:r>
          </w:p>
        </w:tc>
        <w:tc>
          <w:tcPr>
            <w:tcW w:w="1878" w:type="dxa"/>
          </w:tcPr>
          <w:p w14:paraId="3203D1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127</w:t>
            </w:r>
          </w:p>
        </w:tc>
        <w:tc>
          <w:tcPr>
            <w:tcW w:w="1878" w:type="dxa"/>
          </w:tcPr>
          <w:p w14:paraId="57907C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w:t>
            </w:r>
          </w:p>
        </w:tc>
        <w:tc>
          <w:tcPr>
            <w:tcW w:w="1878" w:type="dxa"/>
          </w:tcPr>
          <w:p w14:paraId="5CFC3E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169</w:t>
            </w:r>
          </w:p>
        </w:tc>
        <w:tc>
          <w:tcPr>
            <w:tcW w:w="1878" w:type="dxa"/>
          </w:tcPr>
          <w:p w14:paraId="53F2DF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133,1</w:t>
            </w:r>
          </w:p>
        </w:tc>
        <w:tc>
          <w:tcPr>
            <w:tcW w:w="1878" w:type="dxa"/>
          </w:tcPr>
          <w:p w14:paraId="276FEC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99,4</w:t>
            </w:r>
          </w:p>
        </w:tc>
      </w:tr>
      <w:tr w:rsidR="00E3599D" w:rsidRPr="00E14102" w14:paraId="7FAB721D" w14:textId="77777777">
        <w:tc>
          <w:tcPr>
            <w:tcW w:w="1878" w:type="dxa"/>
          </w:tcPr>
          <w:p w14:paraId="5C5433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Учебные</w:t>
            </w:r>
          </w:p>
        </w:tc>
        <w:tc>
          <w:tcPr>
            <w:tcW w:w="1878" w:type="dxa"/>
          </w:tcPr>
          <w:p w14:paraId="2547F1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1581</w:t>
            </w:r>
          </w:p>
        </w:tc>
        <w:tc>
          <w:tcPr>
            <w:tcW w:w="1878" w:type="dxa"/>
          </w:tcPr>
          <w:p w14:paraId="54187D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1131</w:t>
            </w:r>
          </w:p>
        </w:tc>
        <w:tc>
          <w:tcPr>
            <w:tcW w:w="1878" w:type="dxa"/>
          </w:tcPr>
          <w:p w14:paraId="4AA646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1140</w:t>
            </w:r>
          </w:p>
        </w:tc>
        <w:tc>
          <w:tcPr>
            <w:tcW w:w="1878" w:type="dxa"/>
          </w:tcPr>
          <w:p w14:paraId="67FAC6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72,1</w:t>
            </w:r>
          </w:p>
        </w:tc>
        <w:tc>
          <w:tcPr>
            <w:tcW w:w="1878" w:type="dxa"/>
          </w:tcPr>
          <w:p w14:paraId="1A95CB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100,8</w:t>
            </w:r>
          </w:p>
        </w:tc>
      </w:tr>
      <w:tr w:rsidR="00E3599D" w:rsidRPr="00E14102" w14:paraId="00E7141A" w14:textId="77777777">
        <w:tc>
          <w:tcPr>
            <w:tcW w:w="1878" w:type="dxa"/>
          </w:tcPr>
          <w:p w14:paraId="6F45B3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М-34</w:t>
            </w:r>
          </w:p>
        </w:tc>
        <w:tc>
          <w:tcPr>
            <w:tcW w:w="1878" w:type="dxa"/>
          </w:tcPr>
          <w:p w14:paraId="5FF999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790</w:t>
            </w:r>
          </w:p>
        </w:tc>
        <w:tc>
          <w:tcPr>
            <w:tcW w:w="1878" w:type="dxa"/>
          </w:tcPr>
          <w:p w14:paraId="05735C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145</w:t>
            </w:r>
          </w:p>
        </w:tc>
        <w:tc>
          <w:tcPr>
            <w:tcW w:w="1878" w:type="dxa"/>
          </w:tcPr>
          <w:p w14:paraId="35C2B7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145</w:t>
            </w:r>
          </w:p>
        </w:tc>
        <w:tc>
          <w:tcPr>
            <w:tcW w:w="1878" w:type="dxa"/>
          </w:tcPr>
          <w:p w14:paraId="09FA9A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18,4</w:t>
            </w:r>
          </w:p>
        </w:tc>
        <w:tc>
          <w:tcPr>
            <w:tcW w:w="1878" w:type="dxa"/>
          </w:tcPr>
          <w:p w14:paraId="6E0640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r>
      <w:tr w:rsidR="00E3599D" w:rsidRPr="00E14102" w14:paraId="59802D50" w14:textId="77777777">
        <w:tc>
          <w:tcPr>
            <w:tcW w:w="1878" w:type="dxa"/>
          </w:tcPr>
          <w:p w14:paraId="3BFAE9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М-34Р</w:t>
            </w:r>
          </w:p>
        </w:tc>
        <w:tc>
          <w:tcPr>
            <w:tcW w:w="1878" w:type="dxa"/>
          </w:tcPr>
          <w:p w14:paraId="23E885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2A496E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1878" w:type="dxa"/>
          </w:tcPr>
          <w:p w14:paraId="5E2D9B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830</w:t>
            </w:r>
          </w:p>
        </w:tc>
        <w:tc>
          <w:tcPr>
            <w:tcW w:w="1878" w:type="dxa"/>
          </w:tcPr>
          <w:p w14:paraId="16AB9C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5090AE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103,7</w:t>
            </w:r>
          </w:p>
        </w:tc>
      </w:tr>
      <w:tr w:rsidR="00E3599D" w:rsidRPr="00E14102" w14:paraId="5BE92030" w14:textId="77777777">
        <w:tc>
          <w:tcPr>
            <w:tcW w:w="1878" w:type="dxa"/>
          </w:tcPr>
          <w:p w14:paraId="25574C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М-34РН</w:t>
            </w:r>
          </w:p>
        </w:tc>
        <w:tc>
          <w:tcPr>
            <w:tcW w:w="1878" w:type="dxa"/>
          </w:tcPr>
          <w:p w14:paraId="211411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19F80E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878" w:type="dxa"/>
          </w:tcPr>
          <w:p w14:paraId="5C610F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w:t>
            </w:r>
          </w:p>
        </w:tc>
        <w:tc>
          <w:tcPr>
            <w:tcW w:w="1878" w:type="dxa"/>
          </w:tcPr>
          <w:p w14:paraId="12A65C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1341BC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46,7</w:t>
            </w:r>
          </w:p>
        </w:tc>
      </w:tr>
      <w:tr w:rsidR="00E3599D" w:rsidRPr="00E14102" w14:paraId="6CFCCF0F" w14:textId="77777777">
        <w:tc>
          <w:tcPr>
            <w:tcW w:w="1878" w:type="dxa"/>
          </w:tcPr>
          <w:p w14:paraId="1984B9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ГМ-34</w:t>
            </w:r>
          </w:p>
        </w:tc>
        <w:tc>
          <w:tcPr>
            <w:tcW w:w="1878" w:type="dxa"/>
          </w:tcPr>
          <w:p w14:paraId="13C51C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0BDACC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878" w:type="dxa"/>
          </w:tcPr>
          <w:p w14:paraId="63D7A1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156</w:t>
            </w:r>
          </w:p>
        </w:tc>
        <w:tc>
          <w:tcPr>
            <w:tcW w:w="1878" w:type="dxa"/>
          </w:tcPr>
          <w:p w14:paraId="626B06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3EEB89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104,0</w:t>
            </w:r>
          </w:p>
        </w:tc>
      </w:tr>
      <w:tr w:rsidR="00E3599D" w:rsidRPr="00E14102" w14:paraId="481B3002" w14:textId="77777777">
        <w:tc>
          <w:tcPr>
            <w:tcW w:w="1878" w:type="dxa"/>
          </w:tcPr>
          <w:p w14:paraId="39A073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М-17</w:t>
            </w:r>
          </w:p>
        </w:tc>
        <w:tc>
          <w:tcPr>
            <w:tcW w:w="1878" w:type="dxa"/>
          </w:tcPr>
          <w:p w14:paraId="5B8940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4042</w:t>
            </w:r>
          </w:p>
        </w:tc>
        <w:tc>
          <w:tcPr>
            <w:tcW w:w="1878" w:type="dxa"/>
          </w:tcPr>
          <w:p w14:paraId="3B765B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5500</w:t>
            </w:r>
          </w:p>
        </w:tc>
        <w:tc>
          <w:tcPr>
            <w:tcW w:w="1878" w:type="dxa"/>
          </w:tcPr>
          <w:p w14:paraId="46925D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5662</w:t>
            </w:r>
          </w:p>
        </w:tc>
        <w:tc>
          <w:tcPr>
            <w:tcW w:w="1878" w:type="dxa"/>
          </w:tcPr>
          <w:p w14:paraId="782CE0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140,0</w:t>
            </w:r>
          </w:p>
        </w:tc>
        <w:tc>
          <w:tcPr>
            <w:tcW w:w="1878" w:type="dxa"/>
          </w:tcPr>
          <w:p w14:paraId="6C9FC3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102,9</w:t>
            </w:r>
          </w:p>
        </w:tc>
      </w:tr>
      <w:tr w:rsidR="00E3599D" w:rsidRPr="00E14102" w14:paraId="587178A2" w14:textId="77777777">
        <w:tc>
          <w:tcPr>
            <w:tcW w:w="1878" w:type="dxa"/>
          </w:tcPr>
          <w:p w14:paraId="560D8C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М-11</w:t>
            </w:r>
          </w:p>
        </w:tc>
        <w:tc>
          <w:tcPr>
            <w:tcW w:w="1878" w:type="dxa"/>
          </w:tcPr>
          <w:p w14:paraId="60E61A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2404</w:t>
            </w:r>
          </w:p>
        </w:tc>
        <w:tc>
          <w:tcPr>
            <w:tcW w:w="1878" w:type="dxa"/>
          </w:tcPr>
          <w:p w14:paraId="76A2DF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2450</w:t>
            </w:r>
          </w:p>
        </w:tc>
        <w:tc>
          <w:tcPr>
            <w:tcW w:w="1878" w:type="dxa"/>
          </w:tcPr>
          <w:p w14:paraId="616D5A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2530</w:t>
            </w:r>
          </w:p>
        </w:tc>
        <w:tc>
          <w:tcPr>
            <w:tcW w:w="1878" w:type="dxa"/>
          </w:tcPr>
          <w:p w14:paraId="3B34E2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105,2</w:t>
            </w:r>
          </w:p>
        </w:tc>
        <w:tc>
          <w:tcPr>
            <w:tcW w:w="1878" w:type="dxa"/>
          </w:tcPr>
          <w:p w14:paraId="76EF61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103,2</w:t>
            </w:r>
          </w:p>
        </w:tc>
      </w:tr>
      <w:tr w:rsidR="00E3599D" w:rsidRPr="00E14102" w14:paraId="1E4F65D0" w14:textId="77777777">
        <w:tc>
          <w:tcPr>
            <w:tcW w:w="1878" w:type="dxa"/>
          </w:tcPr>
          <w:p w14:paraId="142DD0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М-22</w:t>
            </w:r>
          </w:p>
        </w:tc>
        <w:tc>
          <w:tcPr>
            <w:tcW w:w="1878" w:type="dxa"/>
          </w:tcPr>
          <w:p w14:paraId="3C99C7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535</w:t>
            </w:r>
          </w:p>
        </w:tc>
        <w:tc>
          <w:tcPr>
            <w:tcW w:w="1878" w:type="dxa"/>
          </w:tcPr>
          <w:p w14:paraId="72821E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851</w:t>
            </w:r>
          </w:p>
        </w:tc>
        <w:tc>
          <w:tcPr>
            <w:tcW w:w="1878" w:type="dxa"/>
          </w:tcPr>
          <w:p w14:paraId="04D97E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904</w:t>
            </w:r>
          </w:p>
        </w:tc>
        <w:tc>
          <w:tcPr>
            <w:tcW w:w="1878" w:type="dxa"/>
          </w:tcPr>
          <w:p w14:paraId="26DF78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169,0</w:t>
            </w:r>
          </w:p>
        </w:tc>
        <w:tc>
          <w:tcPr>
            <w:tcW w:w="1878" w:type="dxa"/>
          </w:tcPr>
          <w:p w14:paraId="6613BD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106,2</w:t>
            </w:r>
          </w:p>
        </w:tc>
      </w:tr>
      <w:tr w:rsidR="00E3599D" w:rsidRPr="00E14102" w14:paraId="53BC354E" w14:textId="77777777">
        <w:tc>
          <w:tcPr>
            <w:tcW w:w="1878" w:type="dxa"/>
          </w:tcPr>
          <w:p w14:paraId="6701AD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РЦ (сборка из американских деталей)</w:t>
            </w:r>
          </w:p>
        </w:tc>
        <w:tc>
          <w:tcPr>
            <w:tcW w:w="1878" w:type="dxa"/>
          </w:tcPr>
          <w:p w14:paraId="465DCE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17DAEE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878" w:type="dxa"/>
          </w:tcPr>
          <w:p w14:paraId="44F0BA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62362F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53C550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bl>
    <w:p w14:paraId="7655D7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(4039,53).</w:t>
      </w:r>
    </w:p>
    <w:p w14:paraId="5631FA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плана по сдаче самолетов и моторов в 1934 году по заводам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E3599D" w:rsidRPr="00E14102" w14:paraId="71E5AA49" w14:textId="77777777">
        <w:tc>
          <w:tcPr>
            <w:tcW w:w="1610" w:type="dxa"/>
          </w:tcPr>
          <w:p w14:paraId="56534E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изделий</w:t>
            </w:r>
          </w:p>
        </w:tc>
        <w:tc>
          <w:tcPr>
            <w:tcW w:w="1610" w:type="dxa"/>
          </w:tcPr>
          <w:p w14:paraId="54F71C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Сдано в 1933 году</w:t>
            </w:r>
          </w:p>
        </w:tc>
        <w:tc>
          <w:tcPr>
            <w:tcW w:w="1610" w:type="dxa"/>
          </w:tcPr>
          <w:p w14:paraId="270693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1934 года</w:t>
            </w:r>
          </w:p>
        </w:tc>
        <w:tc>
          <w:tcPr>
            <w:tcW w:w="1610" w:type="dxa"/>
          </w:tcPr>
          <w:p w14:paraId="424A70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3CCB08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количество (выполнение)</w:t>
            </w:r>
          </w:p>
        </w:tc>
        <w:tc>
          <w:tcPr>
            <w:tcW w:w="1610" w:type="dxa"/>
          </w:tcPr>
          <w:p w14:paraId="541828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 выполнение в %% к 1933 году</w:t>
            </w:r>
          </w:p>
        </w:tc>
        <w:tc>
          <w:tcPr>
            <w:tcW w:w="1610" w:type="dxa"/>
          </w:tcPr>
          <w:p w14:paraId="3DDBEE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 выполнение в %% к плану 1934 года</w:t>
            </w:r>
          </w:p>
        </w:tc>
        <w:tc>
          <w:tcPr>
            <w:tcW w:w="1610" w:type="dxa"/>
          </w:tcPr>
          <w:p w14:paraId="396BA6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0543FE61" w14:textId="77777777">
        <w:tc>
          <w:tcPr>
            <w:tcW w:w="1610" w:type="dxa"/>
          </w:tcPr>
          <w:p w14:paraId="12C2AD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 всего</w:t>
            </w:r>
          </w:p>
        </w:tc>
        <w:tc>
          <w:tcPr>
            <w:tcW w:w="1610" w:type="dxa"/>
          </w:tcPr>
          <w:p w14:paraId="517D5E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1590</w:t>
            </w:r>
          </w:p>
        </w:tc>
        <w:tc>
          <w:tcPr>
            <w:tcW w:w="1610" w:type="dxa"/>
          </w:tcPr>
          <w:p w14:paraId="519E02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1748</w:t>
            </w:r>
          </w:p>
        </w:tc>
        <w:tc>
          <w:tcPr>
            <w:tcW w:w="1610" w:type="dxa"/>
          </w:tcPr>
          <w:p w14:paraId="35E036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1868*</w:t>
            </w:r>
          </w:p>
        </w:tc>
        <w:tc>
          <w:tcPr>
            <w:tcW w:w="1610" w:type="dxa"/>
          </w:tcPr>
          <w:p w14:paraId="758BDD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117,4</w:t>
            </w:r>
          </w:p>
        </w:tc>
        <w:tc>
          <w:tcPr>
            <w:tcW w:w="1610" w:type="dxa"/>
          </w:tcPr>
          <w:p w14:paraId="11B1E0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106,8</w:t>
            </w:r>
          </w:p>
        </w:tc>
        <w:tc>
          <w:tcPr>
            <w:tcW w:w="1610" w:type="dxa"/>
          </w:tcPr>
          <w:p w14:paraId="700B86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Кроме того, I квартале 1934 года закончены производством, облетаны и сданы 169 самолетов Р5, оформленные удостоверениями в 1933 году. В числе 99 самолетов И-15 39 машин приняты военным представительством по технической готовности, не облетаны из-за отсутствия летной погоды.</w:t>
            </w:r>
          </w:p>
        </w:tc>
      </w:tr>
      <w:tr w:rsidR="00E3599D" w:rsidRPr="00E14102" w14:paraId="3AC9A6E0" w14:textId="77777777">
        <w:tc>
          <w:tcPr>
            <w:tcW w:w="1610" w:type="dxa"/>
          </w:tcPr>
          <w:p w14:paraId="1C827F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 М17</w:t>
            </w:r>
          </w:p>
        </w:tc>
        <w:tc>
          <w:tcPr>
            <w:tcW w:w="1610" w:type="dxa"/>
          </w:tcPr>
          <w:p w14:paraId="555EFD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1547</w:t>
            </w:r>
          </w:p>
        </w:tc>
        <w:tc>
          <w:tcPr>
            <w:tcW w:w="1610" w:type="dxa"/>
          </w:tcPr>
          <w:p w14:paraId="383D16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1515</w:t>
            </w:r>
          </w:p>
        </w:tc>
        <w:tc>
          <w:tcPr>
            <w:tcW w:w="1610" w:type="dxa"/>
          </w:tcPr>
          <w:p w14:paraId="1A8FF8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1641</w:t>
            </w:r>
          </w:p>
        </w:tc>
        <w:tc>
          <w:tcPr>
            <w:tcW w:w="1610" w:type="dxa"/>
          </w:tcPr>
          <w:p w14:paraId="2033A2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106,1</w:t>
            </w:r>
          </w:p>
        </w:tc>
        <w:tc>
          <w:tcPr>
            <w:tcW w:w="1610" w:type="dxa"/>
          </w:tcPr>
          <w:p w14:paraId="77FBDC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108,3</w:t>
            </w:r>
          </w:p>
        </w:tc>
        <w:tc>
          <w:tcPr>
            <w:tcW w:w="1610" w:type="dxa"/>
          </w:tcPr>
          <w:p w14:paraId="1448755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F9F13C4" w14:textId="77777777">
        <w:tc>
          <w:tcPr>
            <w:tcW w:w="1610" w:type="dxa"/>
          </w:tcPr>
          <w:p w14:paraId="6513C2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 торпедоносец</w:t>
            </w:r>
          </w:p>
        </w:tc>
        <w:tc>
          <w:tcPr>
            <w:tcW w:w="1610" w:type="dxa"/>
          </w:tcPr>
          <w:p w14:paraId="421115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45FA0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03A9BA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610" w:type="dxa"/>
          </w:tcPr>
          <w:p w14:paraId="215971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7F5A70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10" w:type="dxa"/>
          </w:tcPr>
          <w:p w14:paraId="4B9EA14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A44E18B" w14:textId="77777777">
        <w:tc>
          <w:tcPr>
            <w:tcW w:w="1610" w:type="dxa"/>
          </w:tcPr>
          <w:p w14:paraId="34C605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МР5 М17</w:t>
            </w:r>
          </w:p>
        </w:tc>
        <w:tc>
          <w:tcPr>
            <w:tcW w:w="1610" w:type="dxa"/>
          </w:tcPr>
          <w:p w14:paraId="2BC5E5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1610" w:type="dxa"/>
          </w:tcPr>
          <w:p w14:paraId="620F29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w:t>
            </w:r>
          </w:p>
        </w:tc>
        <w:tc>
          <w:tcPr>
            <w:tcW w:w="1610" w:type="dxa"/>
          </w:tcPr>
          <w:p w14:paraId="7AB99B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61</w:t>
            </w:r>
          </w:p>
        </w:tc>
        <w:tc>
          <w:tcPr>
            <w:tcW w:w="1610" w:type="dxa"/>
          </w:tcPr>
          <w:p w14:paraId="3D8C8D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244,0</w:t>
            </w:r>
          </w:p>
        </w:tc>
        <w:tc>
          <w:tcPr>
            <w:tcW w:w="1610" w:type="dxa"/>
          </w:tcPr>
          <w:p w14:paraId="542E65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101,7</w:t>
            </w:r>
          </w:p>
        </w:tc>
        <w:tc>
          <w:tcPr>
            <w:tcW w:w="1610" w:type="dxa"/>
          </w:tcPr>
          <w:p w14:paraId="1301E1E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F82AD6" w14:textId="77777777">
        <w:tc>
          <w:tcPr>
            <w:tcW w:w="1610" w:type="dxa"/>
          </w:tcPr>
          <w:p w14:paraId="4F8D5D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И7 М17</w:t>
            </w:r>
          </w:p>
        </w:tc>
        <w:tc>
          <w:tcPr>
            <w:tcW w:w="1610" w:type="dxa"/>
          </w:tcPr>
          <w:p w14:paraId="7D590B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1610" w:type="dxa"/>
          </w:tcPr>
          <w:p w14:paraId="5C0A46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115170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66</w:t>
            </w:r>
          </w:p>
        </w:tc>
        <w:tc>
          <w:tcPr>
            <w:tcW w:w="1610" w:type="dxa"/>
          </w:tcPr>
          <w:p w14:paraId="7C47B2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366,7</w:t>
            </w:r>
          </w:p>
        </w:tc>
        <w:tc>
          <w:tcPr>
            <w:tcW w:w="1610" w:type="dxa"/>
          </w:tcPr>
          <w:p w14:paraId="659B87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1A9CA87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017A34" w14:textId="77777777">
        <w:tc>
          <w:tcPr>
            <w:tcW w:w="1610" w:type="dxa"/>
          </w:tcPr>
          <w:p w14:paraId="799017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 РЦ</w:t>
            </w:r>
          </w:p>
        </w:tc>
        <w:tc>
          <w:tcPr>
            <w:tcW w:w="1610" w:type="dxa"/>
          </w:tcPr>
          <w:p w14:paraId="27DEA5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36FE8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w:t>
            </w:r>
          </w:p>
        </w:tc>
        <w:tc>
          <w:tcPr>
            <w:tcW w:w="1610" w:type="dxa"/>
          </w:tcPr>
          <w:p w14:paraId="17328B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99</w:t>
            </w:r>
          </w:p>
        </w:tc>
        <w:tc>
          <w:tcPr>
            <w:tcW w:w="1610" w:type="dxa"/>
          </w:tcPr>
          <w:p w14:paraId="091446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69F0D8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82,5</w:t>
            </w:r>
          </w:p>
        </w:tc>
        <w:tc>
          <w:tcPr>
            <w:tcW w:w="1610" w:type="dxa"/>
          </w:tcPr>
          <w:p w14:paraId="579D0CD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E040D49" w14:textId="77777777">
        <w:tc>
          <w:tcPr>
            <w:tcW w:w="1610" w:type="dxa"/>
          </w:tcPr>
          <w:p w14:paraId="36B9F3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ЛР</w:t>
            </w:r>
          </w:p>
        </w:tc>
        <w:tc>
          <w:tcPr>
            <w:tcW w:w="1610" w:type="dxa"/>
          </w:tcPr>
          <w:p w14:paraId="16B6FB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04DD4D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38FBBB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C6547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4470AE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31E0896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5B8CADB" w14:textId="77777777">
        <w:tc>
          <w:tcPr>
            <w:tcW w:w="1610" w:type="dxa"/>
          </w:tcPr>
          <w:p w14:paraId="4C7E6D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 всего</w:t>
            </w:r>
          </w:p>
        </w:tc>
        <w:tc>
          <w:tcPr>
            <w:tcW w:w="1610" w:type="dxa"/>
          </w:tcPr>
          <w:p w14:paraId="293518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254</w:t>
            </w:r>
          </w:p>
        </w:tc>
        <w:tc>
          <w:tcPr>
            <w:tcW w:w="1610" w:type="dxa"/>
          </w:tcPr>
          <w:p w14:paraId="74EB00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422</w:t>
            </w:r>
          </w:p>
        </w:tc>
        <w:tc>
          <w:tcPr>
            <w:tcW w:w="1610" w:type="dxa"/>
          </w:tcPr>
          <w:p w14:paraId="767590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416*</w:t>
            </w:r>
          </w:p>
        </w:tc>
        <w:tc>
          <w:tcPr>
            <w:tcW w:w="1610" w:type="dxa"/>
          </w:tcPr>
          <w:p w14:paraId="17403A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163,8</w:t>
            </w:r>
          </w:p>
        </w:tc>
        <w:tc>
          <w:tcPr>
            <w:tcW w:w="1610" w:type="dxa"/>
          </w:tcPr>
          <w:p w14:paraId="16100A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98,5</w:t>
            </w:r>
          </w:p>
        </w:tc>
        <w:tc>
          <w:tcPr>
            <w:tcW w:w="1610" w:type="dxa"/>
          </w:tcPr>
          <w:p w14:paraId="006FA2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Из них 65 машин ТБ3 (23 облетаны) оплачены УВВС, но не оформлены из-за отсутствия вооружения и 3 машины КР6А облетаны, не оформлены приемкой.</w:t>
            </w:r>
          </w:p>
        </w:tc>
      </w:tr>
      <w:tr w:rsidR="00E3599D" w:rsidRPr="00E14102" w14:paraId="7E0522DE" w14:textId="77777777">
        <w:tc>
          <w:tcPr>
            <w:tcW w:w="1610" w:type="dxa"/>
          </w:tcPr>
          <w:p w14:paraId="2D4B17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4М34</w:t>
            </w:r>
          </w:p>
        </w:tc>
        <w:tc>
          <w:tcPr>
            <w:tcW w:w="1610" w:type="dxa"/>
          </w:tcPr>
          <w:p w14:paraId="34D7AD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54</w:t>
            </w:r>
          </w:p>
        </w:tc>
        <w:tc>
          <w:tcPr>
            <w:tcW w:w="1610" w:type="dxa"/>
          </w:tcPr>
          <w:p w14:paraId="5126D7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1610" w:type="dxa"/>
          </w:tcPr>
          <w:p w14:paraId="5A1A63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w:t>
            </w:r>
          </w:p>
        </w:tc>
        <w:tc>
          <w:tcPr>
            <w:tcW w:w="1610" w:type="dxa"/>
          </w:tcPr>
          <w:p w14:paraId="416D79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76,0</w:t>
            </w:r>
          </w:p>
        </w:tc>
        <w:tc>
          <w:tcPr>
            <w:tcW w:w="1610" w:type="dxa"/>
          </w:tcPr>
          <w:p w14:paraId="1FDCCA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102,5</w:t>
            </w:r>
          </w:p>
        </w:tc>
        <w:tc>
          <w:tcPr>
            <w:tcW w:w="1610" w:type="dxa"/>
          </w:tcPr>
          <w:p w14:paraId="7441090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7F247F4" w14:textId="77777777">
        <w:tc>
          <w:tcPr>
            <w:tcW w:w="1610" w:type="dxa"/>
          </w:tcPr>
          <w:p w14:paraId="261795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4М34Р</w:t>
            </w:r>
          </w:p>
        </w:tc>
        <w:tc>
          <w:tcPr>
            <w:tcW w:w="1610" w:type="dxa"/>
          </w:tcPr>
          <w:p w14:paraId="71C5F3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521B25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610" w:type="dxa"/>
          </w:tcPr>
          <w:p w14:paraId="7689F5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610" w:type="dxa"/>
          </w:tcPr>
          <w:p w14:paraId="25AD15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7C1A54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610" w:type="dxa"/>
          </w:tcPr>
          <w:p w14:paraId="19193AD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E2891A7" w14:textId="77777777">
        <w:tc>
          <w:tcPr>
            <w:tcW w:w="1610" w:type="dxa"/>
          </w:tcPr>
          <w:p w14:paraId="24BF48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4М34НР</w:t>
            </w:r>
          </w:p>
        </w:tc>
        <w:tc>
          <w:tcPr>
            <w:tcW w:w="1610" w:type="dxa"/>
          </w:tcPr>
          <w:p w14:paraId="594501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4745EB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6071D5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0A1F3F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6BC614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8FF1DD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77317B0" w14:textId="77777777">
        <w:tc>
          <w:tcPr>
            <w:tcW w:w="1610" w:type="dxa"/>
          </w:tcPr>
          <w:p w14:paraId="556897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 2М17</w:t>
            </w:r>
          </w:p>
        </w:tc>
        <w:tc>
          <w:tcPr>
            <w:tcW w:w="1610" w:type="dxa"/>
          </w:tcPr>
          <w:p w14:paraId="288D94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5A8479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610" w:type="dxa"/>
          </w:tcPr>
          <w:p w14:paraId="2729DA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610" w:type="dxa"/>
          </w:tcPr>
          <w:p w14:paraId="0BB0B6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155BB6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610" w:type="dxa"/>
          </w:tcPr>
          <w:p w14:paraId="7A7DCEC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60CAD33" w14:textId="77777777">
        <w:tc>
          <w:tcPr>
            <w:tcW w:w="1610" w:type="dxa"/>
          </w:tcPr>
          <w:p w14:paraId="2560A1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КР6А 2М17</w:t>
            </w:r>
          </w:p>
        </w:tc>
        <w:tc>
          <w:tcPr>
            <w:tcW w:w="1610" w:type="dxa"/>
          </w:tcPr>
          <w:p w14:paraId="073251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306214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1610" w:type="dxa"/>
          </w:tcPr>
          <w:p w14:paraId="3DC7BF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1610" w:type="dxa"/>
          </w:tcPr>
          <w:p w14:paraId="32FDE7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5197D4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610" w:type="dxa"/>
          </w:tcPr>
          <w:p w14:paraId="48CA5AD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85A1612" w14:textId="77777777">
        <w:tc>
          <w:tcPr>
            <w:tcW w:w="1610" w:type="dxa"/>
          </w:tcPr>
          <w:p w14:paraId="7F5D39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МК</w:t>
            </w:r>
          </w:p>
        </w:tc>
        <w:tc>
          <w:tcPr>
            <w:tcW w:w="1610" w:type="dxa"/>
          </w:tcPr>
          <w:p w14:paraId="3686B5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68EE66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610" w:type="dxa"/>
          </w:tcPr>
          <w:p w14:paraId="1CE650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4AB27F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3CD50C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543E629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C4F3415" w14:textId="77777777">
        <w:tc>
          <w:tcPr>
            <w:tcW w:w="1610" w:type="dxa"/>
          </w:tcPr>
          <w:p w14:paraId="330DA6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 всего</w:t>
            </w:r>
          </w:p>
        </w:tc>
        <w:tc>
          <w:tcPr>
            <w:tcW w:w="1610" w:type="dxa"/>
          </w:tcPr>
          <w:p w14:paraId="2DAA0D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1508</w:t>
            </w:r>
          </w:p>
        </w:tc>
        <w:tc>
          <w:tcPr>
            <w:tcW w:w="1610" w:type="dxa"/>
          </w:tcPr>
          <w:p w14:paraId="6FC6BB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1420</w:t>
            </w:r>
          </w:p>
        </w:tc>
        <w:tc>
          <w:tcPr>
            <w:tcW w:w="1610" w:type="dxa"/>
          </w:tcPr>
          <w:p w14:paraId="36120C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1420</w:t>
            </w:r>
          </w:p>
        </w:tc>
        <w:tc>
          <w:tcPr>
            <w:tcW w:w="1610" w:type="dxa"/>
          </w:tcPr>
          <w:p w14:paraId="6D72E5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94,2</w:t>
            </w:r>
          </w:p>
        </w:tc>
        <w:tc>
          <w:tcPr>
            <w:tcW w:w="1610" w:type="dxa"/>
          </w:tcPr>
          <w:p w14:paraId="6BE2B7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610" w:type="dxa"/>
          </w:tcPr>
          <w:p w14:paraId="73A3C1D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B9E4C4" w14:textId="77777777">
        <w:tc>
          <w:tcPr>
            <w:tcW w:w="1610" w:type="dxa"/>
          </w:tcPr>
          <w:p w14:paraId="358DFC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 М11</w:t>
            </w:r>
          </w:p>
        </w:tc>
        <w:tc>
          <w:tcPr>
            <w:tcW w:w="1610" w:type="dxa"/>
          </w:tcPr>
          <w:p w14:paraId="232218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1381</w:t>
            </w:r>
          </w:p>
        </w:tc>
        <w:tc>
          <w:tcPr>
            <w:tcW w:w="1610" w:type="dxa"/>
          </w:tcPr>
          <w:p w14:paraId="6E2199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1250</w:t>
            </w:r>
          </w:p>
        </w:tc>
        <w:tc>
          <w:tcPr>
            <w:tcW w:w="1610" w:type="dxa"/>
          </w:tcPr>
          <w:p w14:paraId="1A001A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1251</w:t>
            </w:r>
          </w:p>
        </w:tc>
        <w:tc>
          <w:tcPr>
            <w:tcW w:w="1610" w:type="dxa"/>
          </w:tcPr>
          <w:p w14:paraId="111747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90,5</w:t>
            </w:r>
          </w:p>
        </w:tc>
        <w:tc>
          <w:tcPr>
            <w:tcW w:w="1610" w:type="dxa"/>
          </w:tcPr>
          <w:p w14:paraId="452F32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100,1</w:t>
            </w:r>
          </w:p>
        </w:tc>
        <w:tc>
          <w:tcPr>
            <w:tcW w:w="1610" w:type="dxa"/>
          </w:tcPr>
          <w:p w14:paraId="3EC09FA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B6AF331" w14:textId="77777777">
        <w:tc>
          <w:tcPr>
            <w:tcW w:w="1610" w:type="dxa"/>
          </w:tcPr>
          <w:p w14:paraId="3C8A33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АП</w:t>
            </w:r>
          </w:p>
        </w:tc>
        <w:tc>
          <w:tcPr>
            <w:tcW w:w="1610" w:type="dxa"/>
          </w:tcPr>
          <w:p w14:paraId="1CDD2E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127</w:t>
            </w:r>
          </w:p>
        </w:tc>
        <w:tc>
          <w:tcPr>
            <w:tcW w:w="1610" w:type="dxa"/>
          </w:tcPr>
          <w:p w14:paraId="6C58BD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w:t>
            </w:r>
          </w:p>
        </w:tc>
        <w:tc>
          <w:tcPr>
            <w:tcW w:w="1610" w:type="dxa"/>
          </w:tcPr>
          <w:p w14:paraId="236F46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169</w:t>
            </w:r>
          </w:p>
        </w:tc>
        <w:tc>
          <w:tcPr>
            <w:tcW w:w="1610" w:type="dxa"/>
          </w:tcPr>
          <w:p w14:paraId="7EE1C0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133,1</w:t>
            </w:r>
          </w:p>
        </w:tc>
        <w:tc>
          <w:tcPr>
            <w:tcW w:w="1610" w:type="dxa"/>
          </w:tcPr>
          <w:p w14:paraId="35951D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99,4</w:t>
            </w:r>
          </w:p>
        </w:tc>
        <w:tc>
          <w:tcPr>
            <w:tcW w:w="1610" w:type="dxa"/>
          </w:tcPr>
          <w:p w14:paraId="34A1BA0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46868B3" w14:textId="77777777">
        <w:tc>
          <w:tcPr>
            <w:tcW w:w="1610" w:type="dxa"/>
          </w:tcPr>
          <w:p w14:paraId="110065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 всего</w:t>
            </w:r>
          </w:p>
        </w:tc>
        <w:tc>
          <w:tcPr>
            <w:tcW w:w="1610" w:type="dxa"/>
          </w:tcPr>
          <w:p w14:paraId="573B5E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273</w:t>
            </w:r>
          </w:p>
        </w:tc>
        <w:tc>
          <w:tcPr>
            <w:tcW w:w="1610" w:type="dxa"/>
          </w:tcPr>
          <w:p w14:paraId="1BA9A1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234</w:t>
            </w:r>
          </w:p>
        </w:tc>
        <w:tc>
          <w:tcPr>
            <w:tcW w:w="1610" w:type="dxa"/>
          </w:tcPr>
          <w:p w14:paraId="55B2E2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265</w:t>
            </w:r>
          </w:p>
        </w:tc>
        <w:tc>
          <w:tcPr>
            <w:tcW w:w="1610" w:type="dxa"/>
          </w:tcPr>
          <w:p w14:paraId="4AA7BB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97,1</w:t>
            </w:r>
          </w:p>
        </w:tc>
        <w:tc>
          <w:tcPr>
            <w:tcW w:w="1610" w:type="dxa"/>
          </w:tcPr>
          <w:p w14:paraId="1FCCA6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113,2</w:t>
            </w:r>
          </w:p>
        </w:tc>
        <w:tc>
          <w:tcPr>
            <w:tcW w:w="1610" w:type="dxa"/>
          </w:tcPr>
          <w:p w14:paraId="092E686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F7ADCFF" w14:textId="77777777">
        <w:tc>
          <w:tcPr>
            <w:tcW w:w="1610" w:type="dxa"/>
          </w:tcPr>
          <w:p w14:paraId="44856B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МБР2-М17</w:t>
            </w:r>
          </w:p>
        </w:tc>
        <w:tc>
          <w:tcPr>
            <w:tcW w:w="1610" w:type="dxa"/>
          </w:tcPr>
          <w:p w14:paraId="4D828A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3F8BE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1610" w:type="dxa"/>
          </w:tcPr>
          <w:p w14:paraId="18B1BB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205</w:t>
            </w:r>
          </w:p>
        </w:tc>
        <w:tc>
          <w:tcPr>
            <w:tcW w:w="1610" w:type="dxa"/>
          </w:tcPr>
          <w:p w14:paraId="756766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1AE44B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102,5</w:t>
            </w:r>
          </w:p>
        </w:tc>
        <w:tc>
          <w:tcPr>
            <w:tcW w:w="1610" w:type="dxa"/>
          </w:tcPr>
          <w:p w14:paraId="43423F1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8E9548A" w14:textId="77777777">
        <w:tc>
          <w:tcPr>
            <w:tcW w:w="1610" w:type="dxa"/>
          </w:tcPr>
          <w:p w14:paraId="077D10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Р6 2М17</w:t>
            </w:r>
          </w:p>
        </w:tc>
        <w:tc>
          <w:tcPr>
            <w:tcW w:w="1610" w:type="dxa"/>
          </w:tcPr>
          <w:p w14:paraId="63F6C3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0CA689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6BE810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10" w:type="dxa"/>
          </w:tcPr>
          <w:p w14:paraId="40D6A9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610" w:type="dxa"/>
          </w:tcPr>
          <w:p w14:paraId="0641DA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77259B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9EE9F3A" w14:textId="77777777">
        <w:tc>
          <w:tcPr>
            <w:tcW w:w="1610" w:type="dxa"/>
          </w:tcPr>
          <w:p w14:paraId="5A5D2A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АШ-М11</w:t>
            </w:r>
          </w:p>
        </w:tc>
        <w:tc>
          <w:tcPr>
            <w:tcW w:w="1610" w:type="dxa"/>
          </w:tcPr>
          <w:p w14:paraId="433E8B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1610" w:type="dxa"/>
          </w:tcPr>
          <w:p w14:paraId="518CC9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1610" w:type="dxa"/>
          </w:tcPr>
          <w:p w14:paraId="2118C2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1610" w:type="dxa"/>
          </w:tcPr>
          <w:p w14:paraId="4DF608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1610" w:type="dxa"/>
          </w:tcPr>
          <w:p w14:paraId="72B651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129,0</w:t>
            </w:r>
          </w:p>
        </w:tc>
        <w:tc>
          <w:tcPr>
            <w:tcW w:w="1610" w:type="dxa"/>
          </w:tcPr>
          <w:p w14:paraId="5751030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66BA5E" w14:textId="77777777">
        <w:tc>
          <w:tcPr>
            <w:tcW w:w="1610" w:type="dxa"/>
          </w:tcPr>
          <w:p w14:paraId="325F52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w:t>
            </w:r>
          </w:p>
        </w:tc>
        <w:tc>
          <w:tcPr>
            <w:tcW w:w="1610" w:type="dxa"/>
          </w:tcPr>
          <w:p w14:paraId="0DFD4C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497274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46EBC6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5E3406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0CEFB4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62EA3E5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4F6BAC8" w14:textId="77777777">
        <w:tc>
          <w:tcPr>
            <w:tcW w:w="1610" w:type="dxa"/>
          </w:tcPr>
          <w:p w14:paraId="330880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 всего</w:t>
            </w:r>
          </w:p>
        </w:tc>
        <w:tc>
          <w:tcPr>
            <w:tcW w:w="1610" w:type="dxa"/>
          </w:tcPr>
          <w:p w14:paraId="68333B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321</w:t>
            </w:r>
          </w:p>
        </w:tc>
        <w:tc>
          <w:tcPr>
            <w:tcW w:w="1610" w:type="dxa"/>
          </w:tcPr>
          <w:p w14:paraId="1076B5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525</w:t>
            </w:r>
          </w:p>
        </w:tc>
        <w:tc>
          <w:tcPr>
            <w:tcW w:w="1610" w:type="dxa"/>
          </w:tcPr>
          <w:p w14:paraId="3529D9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405</w:t>
            </w:r>
          </w:p>
        </w:tc>
        <w:tc>
          <w:tcPr>
            <w:tcW w:w="1610" w:type="dxa"/>
          </w:tcPr>
          <w:p w14:paraId="21818E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126,1</w:t>
            </w:r>
          </w:p>
        </w:tc>
        <w:tc>
          <w:tcPr>
            <w:tcW w:w="1610" w:type="dxa"/>
          </w:tcPr>
          <w:p w14:paraId="02449B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77,0</w:t>
            </w:r>
          </w:p>
        </w:tc>
        <w:tc>
          <w:tcPr>
            <w:tcW w:w="1610" w:type="dxa"/>
          </w:tcPr>
          <w:p w14:paraId="1D0286B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BFE80D3" w14:textId="77777777">
        <w:tc>
          <w:tcPr>
            <w:tcW w:w="1610" w:type="dxa"/>
          </w:tcPr>
          <w:p w14:paraId="086839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И5-М22</w:t>
            </w:r>
          </w:p>
        </w:tc>
        <w:tc>
          <w:tcPr>
            <w:tcW w:w="1610" w:type="dxa"/>
          </w:tcPr>
          <w:p w14:paraId="217DB7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321</w:t>
            </w:r>
          </w:p>
        </w:tc>
        <w:tc>
          <w:tcPr>
            <w:tcW w:w="1610" w:type="dxa"/>
          </w:tcPr>
          <w:p w14:paraId="6EF671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1610" w:type="dxa"/>
          </w:tcPr>
          <w:p w14:paraId="7F7CD6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330</w:t>
            </w:r>
          </w:p>
        </w:tc>
        <w:tc>
          <w:tcPr>
            <w:tcW w:w="1610" w:type="dxa"/>
          </w:tcPr>
          <w:p w14:paraId="733DEB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102,3</w:t>
            </w:r>
          </w:p>
        </w:tc>
        <w:tc>
          <w:tcPr>
            <w:tcW w:w="1610" w:type="dxa"/>
          </w:tcPr>
          <w:p w14:paraId="297509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110,0</w:t>
            </w:r>
          </w:p>
        </w:tc>
        <w:tc>
          <w:tcPr>
            <w:tcW w:w="1610" w:type="dxa"/>
          </w:tcPr>
          <w:p w14:paraId="0A02E45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B499BA8" w14:textId="77777777">
        <w:tc>
          <w:tcPr>
            <w:tcW w:w="1610" w:type="dxa"/>
          </w:tcPr>
          <w:p w14:paraId="5DA0E0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И16-М22</w:t>
            </w:r>
          </w:p>
        </w:tc>
        <w:tc>
          <w:tcPr>
            <w:tcW w:w="1610" w:type="dxa"/>
          </w:tcPr>
          <w:p w14:paraId="7FCC35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581D7D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225</w:t>
            </w:r>
          </w:p>
        </w:tc>
        <w:tc>
          <w:tcPr>
            <w:tcW w:w="1610" w:type="dxa"/>
          </w:tcPr>
          <w:p w14:paraId="7E51A4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1610" w:type="dxa"/>
          </w:tcPr>
          <w:p w14:paraId="1D2DDA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0328CB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33,3</w:t>
            </w:r>
          </w:p>
        </w:tc>
        <w:tc>
          <w:tcPr>
            <w:tcW w:w="1610" w:type="dxa"/>
          </w:tcPr>
          <w:p w14:paraId="4F200A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 т.ч. 34 машины И-16 оплачены УВВС по технической готовности.</w:t>
            </w:r>
          </w:p>
        </w:tc>
      </w:tr>
      <w:tr w:rsidR="00E3599D" w:rsidRPr="00E14102" w14:paraId="7C53EAFD" w14:textId="77777777">
        <w:tc>
          <w:tcPr>
            <w:tcW w:w="1610" w:type="dxa"/>
          </w:tcPr>
          <w:p w14:paraId="71E54B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Самолеты – всего</w:t>
            </w:r>
          </w:p>
        </w:tc>
        <w:tc>
          <w:tcPr>
            <w:tcW w:w="1610" w:type="dxa"/>
          </w:tcPr>
          <w:p w14:paraId="047E30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58</w:t>
            </w:r>
          </w:p>
        </w:tc>
        <w:tc>
          <w:tcPr>
            <w:tcW w:w="1610" w:type="dxa"/>
          </w:tcPr>
          <w:p w14:paraId="78100B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w:t>
            </w:r>
          </w:p>
        </w:tc>
        <w:tc>
          <w:tcPr>
            <w:tcW w:w="1610" w:type="dxa"/>
          </w:tcPr>
          <w:p w14:paraId="1AA3C3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92</w:t>
            </w:r>
          </w:p>
        </w:tc>
        <w:tc>
          <w:tcPr>
            <w:tcW w:w="1610" w:type="dxa"/>
          </w:tcPr>
          <w:p w14:paraId="178FD1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158,6</w:t>
            </w:r>
          </w:p>
        </w:tc>
        <w:tc>
          <w:tcPr>
            <w:tcW w:w="1610" w:type="dxa"/>
          </w:tcPr>
          <w:p w14:paraId="0366F6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115,0</w:t>
            </w:r>
          </w:p>
        </w:tc>
        <w:tc>
          <w:tcPr>
            <w:tcW w:w="1610" w:type="dxa"/>
          </w:tcPr>
          <w:p w14:paraId="1FFB074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7366DB4" w14:textId="77777777">
        <w:tc>
          <w:tcPr>
            <w:tcW w:w="1610" w:type="dxa"/>
          </w:tcPr>
          <w:p w14:paraId="3A6AD9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ТБ3-4М17</w:t>
            </w:r>
          </w:p>
        </w:tc>
        <w:tc>
          <w:tcPr>
            <w:tcW w:w="1610" w:type="dxa"/>
          </w:tcPr>
          <w:p w14:paraId="303385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w:t>
            </w:r>
          </w:p>
        </w:tc>
        <w:tc>
          <w:tcPr>
            <w:tcW w:w="1610" w:type="dxa"/>
          </w:tcPr>
          <w:p w14:paraId="43A24B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442B78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1610" w:type="dxa"/>
          </w:tcPr>
          <w:p w14:paraId="52BDC7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21,6</w:t>
            </w:r>
          </w:p>
        </w:tc>
        <w:tc>
          <w:tcPr>
            <w:tcW w:w="1610" w:type="dxa"/>
          </w:tcPr>
          <w:p w14:paraId="559CEA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7FCBC44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48550EE" w14:textId="77777777">
        <w:tc>
          <w:tcPr>
            <w:tcW w:w="1610" w:type="dxa"/>
          </w:tcPr>
          <w:p w14:paraId="0E1B60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И15-РЦ</w:t>
            </w:r>
          </w:p>
        </w:tc>
        <w:tc>
          <w:tcPr>
            <w:tcW w:w="1610" w:type="dxa"/>
          </w:tcPr>
          <w:p w14:paraId="4B64B8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72070A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132E72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w:t>
            </w:r>
          </w:p>
        </w:tc>
        <w:tc>
          <w:tcPr>
            <w:tcW w:w="1610" w:type="dxa"/>
          </w:tcPr>
          <w:p w14:paraId="77E536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F6F07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113,3</w:t>
            </w:r>
          </w:p>
        </w:tc>
        <w:tc>
          <w:tcPr>
            <w:tcW w:w="1610" w:type="dxa"/>
          </w:tcPr>
          <w:p w14:paraId="517BC6C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9666354" w14:textId="77777777">
        <w:tc>
          <w:tcPr>
            <w:tcW w:w="1610" w:type="dxa"/>
          </w:tcPr>
          <w:p w14:paraId="597E7A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И16-М22</w:t>
            </w:r>
          </w:p>
        </w:tc>
        <w:tc>
          <w:tcPr>
            <w:tcW w:w="1610" w:type="dxa"/>
          </w:tcPr>
          <w:p w14:paraId="64298C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8FBB8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5BD4E2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111346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B935E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610" w:type="dxa"/>
          </w:tcPr>
          <w:p w14:paraId="4FA35E5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1EFCF56" w14:textId="77777777">
        <w:tc>
          <w:tcPr>
            <w:tcW w:w="1610" w:type="dxa"/>
          </w:tcPr>
          <w:p w14:paraId="77FD6A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 всего</w:t>
            </w:r>
          </w:p>
        </w:tc>
        <w:tc>
          <w:tcPr>
            <w:tcW w:w="1610" w:type="dxa"/>
          </w:tcPr>
          <w:p w14:paraId="4FF719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55A4E9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1610" w:type="dxa"/>
          </w:tcPr>
          <w:p w14:paraId="3296C1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5C91FF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68157D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1610" w:type="dxa"/>
          </w:tcPr>
          <w:p w14:paraId="1B8D973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2A7181" w14:textId="77777777">
        <w:tc>
          <w:tcPr>
            <w:tcW w:w="1610" w:type="dxa"/>
          </w:tcPr>
          <w:p w14:paraId="07F1D7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ТБ3-4М17</w:t>
            </w:r>
          </w:p>
        </w:tc>
        <w:tc>
          <w:tcPr>
            <w:tcW w:w="1610" w:type="dxa"/>
          </w:tcPr>
          <w:p w14:paraId="63DF91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12F00E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1E66F1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6E3C23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141A65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53ADD75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D28067" w14:textId="77777777">
        <w:tc>
          <w:tcPr>
            <w:tcW w:w="1610" w:type="dxa"/>
          </w:tcPr>
          <w:p w14:paraId="2A5140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РД</w:t>
            </w:r>
          </w:p>
        </w:tc>
        <w:tc>
          <w:tcPr>
            <w:tcW w:w="1610" w:type="dxa"/>
          </w:tcPr>
          <w:p w14:paraId="0A1E72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4D09F6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1610" w:type="dxa"/>
          </w:tcPr>
          <w:p w14:paraId="123F72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71FA1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03849E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11CEA66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4F86D00" w14:textId="77777777">
        <w:tc>
          <w:tcPr>
            <w:tcW w:w="1610" w:type="dxa"/>
          </w:tcPr>
          <w:p w14:paraId="0994D8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 всего</w:t>
            </w:r>
          </w:p>
        </w:tc>
        <w:tc>
          <w:tcPr>
            <w:tcW w:w="1610" w:type="dxa"/>
          </w:tcPr>
          <w:p w14:paraId="2E32E1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1610" w:type="dxa"/>
          </w:tcPr>
          <w:p w14:paraId="70F032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93</w:t>
            </w:r>
          </w:p>
        </w:tc>
        <w:tc>
          <w:tcPr>
            <w:tcW w:w="1610" w:type="dxa"/>
          </w:tcPr>
          <w:p w14:paraId="49BCC2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74</w:t>
            </w:r>
          </w:p>
        </w:tc>
        <w:tc>
          <w:tcPr>
            <w:tcW w:w="1610" w:type="dxa"/>
          </w:tcPr>
          <w:p w14:paraId="696CBE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98,7</w:t>
            </w:r>
          </w:p>
        </w:tc>
        <w:tc>
          <w:tcPr>
            <w:tcW w:w="1610" w:type="dxa"/>
          </w:tcPr>
          <w:p w14:paraId="0BE03E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79,5</w:t>
            </w:r>
          </w:p>
        </w:tc>
        <w:tc>
          <w:tcPr>
            <w:tcW w:w="1610" w:type="dxa"/>
          </w:tcPr>
          <w:p w14:paraId="34C3C20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3F6E304" w14:textId="77777777">
        <w:tc>
          <w:tcPr>
            <w:tcW w:w="1610" w:type="dxa"/>
          </w:tcPr>
          <w:p w14:paraId="597A71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К5-М22</w:t>
            </w:r>
          </w:p>
        </w:tc>
        <w:tc>
          <w:tcPr>
            <w:tcW w:w="1610" w:type="dxa"/>
          </w:tcPr>
          <w:p w14:paraId="496675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1610" w:type="dxa"/>
          </w:tcPr>
          <w:p w14:paraId="7AC3D4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43</w:t>
            </w:r>
          </w:p>
        </w:tc>
        <w:tc>
          <w:tcPr>
            <w:tcW w:w="1610" w:type="dxa"/>
          </w:tcPr>
          <w:p w14:paraId="45B96E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w:t>
            </w:r>
          </w:p>
        </w:tc>
        <w:tc>
          <w:tcPr>
            <w:tcW w:w="1610" w:type="dxa"/>
          </w:tcPr>
          <w:p w14:paraId="75D31B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58,7</w:t>
            </w:r>
          </w:p>
        </w:tc>
        <w:tc>
          <w:tcPr>
            <w:tcW w:w="1610" w:type="dxa"/>
          </w:tcPr>
          <w:p w14:paraId="3ECBFB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102,3</w:t>
            </w:r>
          </w:p>
        </w:tc>
        <w:tc>
          <w:tcPr>
            <w:tcW w:w="1610" w:type="dxa"/>
          </w:tcPr>
          <w:p w14:paraId="327DECE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CC69A8D" w14:textId="77777777">
        <w:tc>
          <w:tcPr>
            <w:tcW w:w="1610" w:type="dxa"/>
          </w:tcPr>
          <w:p w14:paraId="516FDC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ЗЭТ М22</w:t>
            </w:r>
          </w:p>
        </w:tc>
        <w:tc>
          <w:tcPr>
            <w:tcW w:w="1610" w:type="dxa"/>
          </w:tcPr>
          <w:p w14:paraId="4B70E8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459298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23F762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647DA5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434D5F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1610" w:type="dxa"/>
          </w:tcPr>
          <w:p w14:paraId="0A543D7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7BCDFBA" w14:textId="77777777">
        <w:tc>
          <w:tcPr>
            <w:tcW w:w="1610" w:type="dxa"/>
          </w:tcPr>
          <w:p w14:paraId="4A2406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ХАИ</w:t>
            </w:r>
          </w:p>
        </w:tc>
        <w:tc>
          <w:tcPr>
            <w:tcW w:w="1610" w:type="dxa"/>
          </w:tcPr>
          <w:p w14:paraId="6315E4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59F64D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590741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0666A3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A9A83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04A7E30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DB83DFD" w14:textId="77777777">
        <w:tc>
          <w:tcPr>
            <w:tcW w:w="1610" w:type="dxa"/>
          </w:tcPr>
          <w:p w14:paraId="63DFC3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И14-РЦ</w:t>
            </w:r>
          </w:p>
        </w:tc>
        <w:tc>
          <w:tcPr>
            <w:tcW w:w="1610" w:type="dxa"/>
          </w:tcPr>
          <w:p w14:paraId="1A4E8E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52B13A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741D23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1CF716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4E2C03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099D2C4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250EC8C" w14:textId="77777777">
        <w:tc>
          <w:tcPr>
            <w:tcW w:w="1610" w:type="dxa"/>
          </w:tcPr>
          <w:p w14:paraId="502EF4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 – всего</w:t>
            </w:r>
          </w:p>
        </w:tc>
        <w:tc>
          <w:tcPr>
            <w:tcW w:w="1610" w:type="dxa"/>
          </w:tcPr>
          <w:p w14:paraId="346566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790</w:t>
            </w:r>
          </w:p>
        </w:tc>
        <w:tc>
          <w:tcPr>
            <w:tcW w:w="1610" w:type="dxa"/>
          </w:tcPr>
          <w:p w14:paraId="31108A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1125</w:t>
            </w:r>
          </w:p>
        </w:tc>
        <w:tc>
          <w:tcPr>
            <w:tcW w:w="1610" w:type="dxa"/>
          </w:tcPr>
          <w:p w14:paraId="628EF4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1145</w:t>
            </w:r>
          </w:p>
        </w:tc>
        <w:tc>
          <w:tcPr>
            <w:tcW w:w="1610" w:type="dxa"/>
          </w:tcPr>
          <w:p w14:paraId="21341E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144,9</w:t>
            </w:r>
          </w:p>
        </w:tc>
        <w:tc>
          <w:tcPr>
            <w:tcW w:w="1610" w:type="dxa"/>
          </w:tcPr>
          <w:p w14:paraId="6790BC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101,8</w:t>
            </w:r>
          </w:p>
        </w:tc>
        <w:tc>
          <w:tcPr>
            <w:tcW w:w="1610" w:type="dxa"/>
          </w:tcPr>
          <w:p w14:paraId="36A9FCB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FD8673D" w14:textId="77777777">
        <w:tc>
          <w:tcPr>
            <w:tcW w:w="1610" w:type="dxa"/>
          </w:tcPr>
          <w:p w14:paraId="658F78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w:t>
            </w:r>
          </w:p>
        </w:tc>
        <w:tc>
          <w:tcPr>
            <w:tcW w:w="1610" w:type="dxa"/>
          </w:tcPr>
          <w:p w14:paraId="4C02FE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790</w:t>
            </w:r>
          </w:p>
        </w:tc>
        <w:tc>
          <w:tcPr>
            <w:tcW w:w="1610" w:type="dxa"/>
          </w:tcPr>
          <w:p w14:paraId="29FD0E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145</w:t>
            </w:r>
          </w:p>
        </w:tc>
        <w:tc>
          <w:tcPr>
            <w:tcW w:w="1610" w:type="dxa"/>
          </w:tcPr>
          <w:p w14:paraId="6C1574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145</w:t>
            </w:r>
          </w:p>
        </w:tc>
        <w:tc>
          <w:tcPr>
            <w:tcW w:w="1610" w:type="dxa"/>
          </w:tcPr>
          <w:p w14:paraId="0E2E5C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18,4</w:t>
            </w:r>
          </w:p>
        </w:tc>
        <w:tc>
          <w:tcPr>
            <w:tcW w:w="1610" w:type="dxa"/>
          </w:tcPr>
          <w:p w14:paraId="2392E8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610" w:type="dxa"/>
          </w:tcPr>
          <w:p w14:paraId="55E7273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6CC3C3D" w14:textId="77777777">
        <w:tc>
          <w:tcPr>
            <w:tcW w:w="1610" w:type="dxa"/>
          </w:tcPr>
          <w:p w14:paraId="4BFD45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М34Р</w:t>
            </w:r>
          </w:p>
        </w:tc>
        <w:tc>
          <w:tcPr>
            <w:tcW w:w="1610" w:type="dxa"/>
          </w:tcPr>
          <w:p w14:paraId="4E5114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1790DC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1610" w:type="dxa"/>
          </w:tcPr>
          <w:p w14:paraId="2B5E37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830</w:t>
            </w:r>
          </w:p>
        </w:tc>
        <w:tc>
          <w:tcPr>
            <w:tcW w:w="1610" w:type="dxa"/>
          </w:tcPr>
          <w:p w14:paraId="58830D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36BAF9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103,7</w:t>
            </w:r>
          </w:p>
        </w:tc>
        <w:tc>
          <w:tcPr>
            <w:tcW w:w="1610" w:type="dxa"/>
          </w:tcPr>
          <w:p w14:paraId="3E0EBF4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4FB8CC8" w14:textId="77777777">
        <w:tc>
          <w:tcPr>
            <w:tcW w:w="1610" w:type="dxa"/>
          </w:tcPr>
          <w:p w14:paraId="742FD4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М34НР</w:t>
            </w:r>
          </w:p>
        </w:tc>
        <w:tc>
          <w:tcPr>
            <w:tcW w:w="1610" w:type="dxa"/>
          </w:tcPr>
          <w:p w14:paraId="69EF01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112AD1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32C5F9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w:t>
            </w:r>
          </w:p>
        </w:tc>
        <w:tc>
          <w:tcPr>
            <w:tcW w:w="1610" w:type="dxa"/>
          </w:tcPr>
          <w:p w14:paraId="6FF7E4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13F815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46,7</w:t>
            </w:r>
          </w:p>
        </w:tc>
        <w:tc>
          <w:tcPr>
            <w:tcW w:w="1610" w:type="dxa"/>
          </w:tcPr>
          <w:p w14:paraId="2F596EC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41F6ECB" w14:textId="77777777">
        <w:tc>
          <w:tcPr>
            <w:tcW w:w="1610" w:type="dxa"/>
          </w:tcPr>
          <w:p w14:paraId="115488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ГМ34</w:t>
            </w:r>
          </w:p>
        </w:tc>
        <w:tc>
          <w:tcPr>
            <w:tcW w:w="1610" w:type="dxa"/>
          </w:tcPr>
          <w:p w14:paraId="731410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63D2AC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610" w:type="dxa"/>
          </w:tcPr>
          <w:p w14:paraId="242F96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156</w:t>
            </w:r>
          </w:p>
        </w:tc>
        <w:tc>
          <w:tcPr>
            <w:tcW w:w="1610" w:type="dxa"/>
          </w:tcPr>
          <w:p w14:paraId="50A86A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67F7FB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104,0</w:t>
            </w:r>
          </w:p>
        </w:tc>
        <w:tc>
          <w:tcPr>
            <w:tcW w:w="1610" w:type="dxa"/>
          </w:tcPr>
          <w:p w14:paraId="2F75C55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B46DE3" w14:textId="77777777">
        <w:tc>
          <w:tcPr>
            <w:tcW w:w="1610" w:type="dxa"/>
          </w:tcPr>
          <w:p w14:paraId="54EA4E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М17</w:t>
            </w:r>
          </w:p>
        </w:tc>
        <w:tc>
          <w:tcPr>
            <w:tcW w:w="1610" w:type="dxa"/>
          </w:tcPr>
          <w:p w14:paraId="3BD9BA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4042</w:t>
            </w:r>
          </w:p>
        </w:tc>
        <w:tc>
          <w:tcPr>
            <w:tcW w:w="1610" w:type="dxa"/>
          </w:tcPr>
          <w:p w14:paraId="2AC88D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5500</w:t>
            </w:r>
          </w:p>
        </w:tc>
        <w:tc>
          <w:tcPr>
            <w:tcW w:w="1610" w:type="dxa"/>
          </w:tcPr>
          <w:p w14:paraId="6AF379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5662</w:t>
            </w:r>
          </w:p>
        </w:tc>
        <w:tc>
          <w:tcPr>
            <w:tcW w:w="1610" w:type="dxa"/>
          </w:tcPr>
          <w:p w14:paraId="197ED5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140,0</w:t>
            </w:r>
          </w:p>
        </w:tc>
        <w:tc>
          <w:tcPr>
            <w:tcW w:w="1610" w:type="dxa"/>
          </w:tcPr>
          <w:p w14:paraId="31C7EC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102,9</w:t>
            </w:r>
          </w:p>
        </w:tc>
        <w:tc>
          <w:tcPr>
            <w:tcW w:w="1610" w:type="dxa"/>
          </w:tcPr>
          <w:p w14:paraId="5DBBE10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C794968" w14:textId="77777777">
        <w:tc>
          <w:tcPr>
            <w:tcW w:w="1610" w:type="dxa"/>
          </w:tcPr>
          <w:p w14:paraId="23E854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 – всего</w:t>
            </w:r>
          </w:p>
        </w:tc>
        <w:tc>
          <w:tcPr>
            <w:tcW w:w="1610" w:type="dxa"/>
          </w:tcPr>
          <w:p w14:paraId="2302D8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2939</w:t>
            </w:r>
          </w:p>
        </w:tc>
        <w:tc>
          <w:tcPr>
            <w:tcW w:w="1610" w:type="dxa"/>
          </w:tcPr>
          <w:p w14:paraId="3F474B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3301</w:t>
            </w:r>
          </w:p>
        </w:tc>
        <w:tc>
          <w:tcPr>
            <w:tcW w:w="1610" w:type="dxa"/>
          </w:tcPr>
          <w:p w14:paraId="2D3172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3434*</w:t>
            </w:r>
          </w:p>
        </w:tc>
        <w:tc>
          <w:tcPr>
            <w:tcW w:w="1610" w:type="dxa"/>
          </w:tcPr>
          <w:p w14:paraId="5CF893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116,8</w:t>
            </w:r>
          </w:p>
        </w:tc>
        <w:tc>
          <w:tcPr>
            <w:tcW w:w="1610" w:type="dxa"/>
          </w:tcPr>
          <w:p w14:paraId="4740AE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104,0</w:t>
            </w:r>
          </w:p>
        </w:tc>
        <w:tc>
          <w:tcPr>
            <w:tcW w:w="1610" w:type="dxa"/>
          </w:tcPr>
          <w:p w14:paraId="177487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 т.ч. с пониженной кондицией: М11 – 225 штук и М22 – 4 штуки.</w:t>
            </w:r>
          </w:p>
        </w:tc>
      </w:tr>
      <w:tr w:rsidR="00E3599D" w:rsidRPr="00E14102" w14:paraId="5D0A42B9" w14:textId="77777777">
        <w:tc>
          <w:tcPr>
            <w:tcW w:w="1610" w:type="dxa"/>
          </w:tcPr>
          <w:p w14:paraId="040200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М11</w:t>
            </w:r>
          </w:p>
        </w:tc>
        <w:tc>
          <w:tcPr>
            <w:tcW w:w="1610" w:type="dxa"/>
          </w:tcPr>
          <w:p w14:paraId="5BCA15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2404</w:t>
            </w:r>
          </w:p>
        </w:tc>
        <w:tc>
          <w:tcPr>
            <w:tcW w:w="1610" w:type="dxa"/>
          </w:tcPr>
          <w:p w14:paraId="72AD49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2450</w:t>
            </w:r>
          </w:p>
        </w:tc>
        <w:tc>
          <w:tcPr>
            <w:tcW w:w="1610" w:type="dxa"/>
          </w:tcPr>
          <w:p w14:paraId="7CFC29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2530</w:t>
            </w:r>
          </w:p>
        </w:tc>
        <w:tc>
          <w:tcPr>
            <w:tcW w:w="1610" w:type="dxa"/>
          </w:tcPr>
          <w:p w14:paraId="70D9B5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105,2</w:t>
            </w:r>
          </w:p>
        </w:tc>
        <w:tc>
          <w:tcPr>
            <w:tcW w:w="1610" w:type="dxa"/>
          </w:tcPr>
          <w:p w14:paraId="6B030C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103,2</w:t>
            </w:r>
          </w:p>
        </w:tc>
        <w:tc>
          <w:tcPr>
            <w:tcW w:w="1610" w:type="dxa"/>
          </w:tcPr>
          <w:p w14:paraId="6F103D3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941BA07" w14:textId="77777777">
        <w:tc>
          <w:tcPr>
            <w:tcW w:w="1610" w:type="dxa"/>
          </w:tcPr>
          <w:p w14:paraId="6DAE8C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М22</w:t>
            </w:r>
          </w:p>
        </w:tc>
        <w:tc>
          <w:tcPr>
            <w:tcW w:w="1610" w:type="dxa"/>
          </w:tcPr>
          <w:p w14:paraId="5C6017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535</w:t>
            </w:r>
          </w:p>
        </w:tc>
        <w:tc>
          <w:tcPr>
            <w:tcW w:w="1610" w:type="dxa"/>
          </w:tcPr>
          <w:p w14:paraId="6D6A53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851</w:t>
            </w:r>
          </w:p>
        </w:tc>
        <w:tc>
          <w:tcPr>
            <w:tcW w:w="1610" w:type="dxa"/>
          </w:tcPr>
          <w:p w14:paraId="2312BC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904</w:t>
            </w:r>
          </w:p>
        </w:tc>
        <w:tc>
          <w:tcPr>
            <w:tcW w:w="1610" w:type="dxa"/>
          </w:tcPr>
          <w:p w14:paraId="20D39A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169,0</w:t>
            </w:r>
          </w:p>
        </w:tc>
        <w:tc>
          <w:tcPr>
            <w:tcW w:w="1610" w:type="dxa"/>
          </w:tcPr>
          <w:p w14:paraId="70EA93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106,2</w:t>
            </w:r>
          </w:p>
        </w:tc>
        <w:tc>
          <w:tcPr>
            <w:tcW w:w="1610" w:type="dxa"/>
          </w:tcPr>
          <w:p w14:paraId="7217E1E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1E596EA" w14:textId="77777777">
        <w:tc>
          <w:tcPr>
            <w:tcW w:w="1610" w:type="dxa"/>
          </w:tcPr>
          <w:p w14:paraId="098A5C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РЦ</w:t>
            </w:r>
          </w:p>
        </w:tc>
        <w:tc>
          <w:tcPr>
            <w:tcW w:w="1610" w:type="dxa"/>
          </w:tcPr>
          <w:p w14:paraId="1BFA8A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759311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2605B8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449203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309854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5EFB8336" w14:textId="77777777" w:rsidR="00D4105E" w:rsidRPr="00E14102" w:rsidRDefault="00D4105E" w:rsidP="00E14102">
            <w:pPr>
              <w:autoSpaceDE w:val="0"/>
              <w:autoSpaceDN w:val="0"/>
              <w:adjustRightInd w:val="0"/>
              <w:jc w:val="both"/>
              <w:rPr>
                <w:color w:val="000000" w:themeColor="text1"/>
                <w:sz w:val="16"/>
                <w:szCs w:val="16"/>
              </w:rPr>
            </w:pPr>
          </w:p>
        </w:tc>
      </w:tr>
    </w:tbl>
    <w:p w14:paraId="0FDB89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(4039,54).</w:t>
      </w:r>
    </w:p>
    <w:p w14:paraId="742BE6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заказа УВВС за 1934 год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E3599D" w:rsidRPr="00E14102" w14:paraId="3C97DBC0" w14:textId="77777777">
        <w:tc>
          <w:tcPr>
            <w:tcW w:w="2254" w:type="dxa"/>
          </w:tcPr>
          <w:p w14:paraId="533EA4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изделий</w:t>
            </w:r>
          </w:p>
        </w:tc>
        <w:tc>
          <w:tcPr>
            <w:tcW w:w="2254" w:type="dxa"/>
          </w:tcPr>
          <w:p w14:paraId="254891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Надлежало сдать</w:t>
            </w:r>
          </w:p>
        </w:tc>
        <w:tc>
          <w:tcPr>
            <w:tcW w:w="2254" w:type="dxa"/>
          </w:tcPr>
          <w:p w14:paraId="6C01B6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Сдано</w:t>
            </w:r>
          </w:p>
        </w:tc>
        <w:tc>
          <w:tcPr>
            <w:tcW w:w="2254" w:type="dxa"/>
          </w:tcPr>
          <w:p w14:paraId="18B7F4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6430BB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0AAA864F" w14:textId="77777777">
        <w:tc>
          <w:tcPr>
            <w:tcW w:w="2254" w:type="dxa"/>
          </w:tcPr>
          <w:p w14:paraId="28D632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w:t>
            </w:r>
          </w:p>
        </w:tc>
        <w:tc>
          <w:tcPr>
            <w:tcW w:w="2254" w:type="dxa"/>
          </w:tcPr>
          <w:p w14:paraId="3C5022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1450</w:t>
            </w:r>
          </w:p>
        </w:tc>
        <w:tc>
          <w:tcPr>
            <w:tcW w:w="2254" w:type="dxa"/>
          </w:tcPr>
          <w:p w14:paraId="694177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1257</w:t>
            </w:r>
          </w:p>
        </w:tc>
        <w:tc>
          <w:tcPr>
            <w:tcW w:w="2254" w:type="dxa"/>
          </w:tcPr>
          <w:p w14:paraId="0F8626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86,7</w:t>
            </w:r>
          </w:p>
        </w:tc>
        <w:tc>
          <w:tcPr>
            <w:tcW w:w="2254" w:type="dxa"/>
          </w:tcPr>
          <w:p w14:paraId="28777AB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1849367" w14:textId="77777777">
        <w:tc>
          <w:tcPr>
            <w:tcW w:w="2254" w:type="dxa"/>
          </w:tcPr>
          <w:p w14:paraId="4AEF4C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И-7</w:t>
            </w:r>
          </w:p>
        </w:tc>
        <w:tc>
          <w:tcPr>
            <w:tcW w:w="2254" w:type="dxa"/>
          </w:tcPr>
          <w:p w14:paraId="595305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60F78F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66</w:t>
            </w:r>
          </w:p>
        </w:tc>
        <w:tc>
          <w:tcPr>
            <w:tcW w:w="2254" w:type="dxa"/>
          </w:tcPr>
          <w:p w14:paraId="145013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5EFE6C1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0AFBC85" w14:textId="77777777">
        <w:tc>
          <w:tcPr>
            <w:tcW w:w="2254" w:type="dxa"/>
          </w:tcPr>
          <w:p w14:paraId="3617BE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w:t>
            </w:r>
          </w:p>
        </w:tc>
        <w:tc>
          <w:tcPr>
            <w:tcW w:w="2254" w:type="dxa"/>
          </w:tcPr>
          <w:p w14:paraId="47EE0D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w:t>
            </w:r>
          </w:p>
        </w:tc>
        <w:tc>
          <w:tcPr>
            <w:tcW w:w="2254" w:type="dxa"/>
          </w:tcPr>
          <w:p w14:paraId="12826E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99</w:t>
            </w:r>
          </w:p>
        </w:tc>
        <w:tc>
          <w:tcPr>
            <w:tcW w:w="2254" w:type="dxa"/>
          </w:tcPr>
          <w:p w14:paraId="30C823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82,5</w:t>
            </w:r>
          </w:p>
        </w:tc>
        <w:tc>
          <w:tcPr>
            <w:tcW w:w="2254" w:type="dxa"/>
          </w:tcPr>
          <w:p w14:paraId="08F3EB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 по технической готовности)</w:t>
            </w:r>
          </w:p>
        </w:tc>
      </w:tr>
      <w:tr w:rsidR="00E3599D" w:rsidRPr="00E14102" w14:paraId="12D93494" w14:textId="77777777">
        <w:tc>
          <w:tcPr>
            <w:tcW w:w="2254" w:type="dxa"/>
          </w:tcPr>
          <w:p w14:paraId="40DFFB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Л-Р</w:t>
            </w:r>
          </w:p>
        </w:tc>
        <w:tc>
          <w:tcPr>
            <w:tcW w:w="2254" w:type="dxa"/>
          </w:tcPr>
          <w:p w14:paraId="6BC8FE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2254" w:type="dxa"/>
          </w:tcPr>
          <w:p w14:paraId="18D30F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7416BE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279178E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04C6DAE" w14:textId="77777777">
        <w:tc>
          <w:tcPr>
            <w:tcW w:w="2254" w:type="dxa"/>
          </w:tcPr>
          <w:p w14:paraId="31C2DD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2254" w:type="dxa"/>
          </w:tcPr>
          <w:p w14:paraId="1BC1A2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1573</w:t>
            </w:r>
          </w:p>
        </w:tc>
        <w:tc>
          <w:tcPr>
            <w:tcW w:w="2254" w:type="dxa"/>
          </w:tcPr>
          <w:p w14:paraId="6E9372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1422</w:t>
            </w:r>
          </w:p>
        </w:tc>
        <w:tc>
          <w:tcPr>
            <w:tcW w:w="2254" w:type="dxa"/>
          </w:tcPr>
          <w:p w14:paraId="29A7F8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90,4</w:t>
            </w:r>
          </w:p>
        </w:tc>
        <w:tc>
          <w:tcPr>
            <w:tcW w:w="2254" w:type="dxa"/>
          </w:tcPr>
          <w:p w14:paraId="2BE6620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A67C506" w14:textId="77777777">
        <w:tc>
          <w:tcPr>
            <w:tcW w:w="2254" w:type="dxa"/>
          </w:tcPr>
          <w:p w14:paraId="4F1887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w:t>
            </w:r>
          </w:p>
        </w:tc>
        <w:tc>
          <w:tcPr>
            <w:tcW w:w="2254" w:type="dxa"/>
          </w:tcPr>
          <w:p w14:paraId="7B1AAF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2254" w:type="dxa"/>
          </w:tcPr>
          <w:p w14:paraId="49CD7F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w:t>
            </w:r>
          </w:p>
        </w:tc>
        <w:tc>
          <w:tcPr>
            <w:tcW w:w="2254" w:type="dxa"/>
          </w:tcPr>
          <w:p w14:paraId="6BA7E6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102,5</w:t>
            </w:r>
          </w:p>
        </w:tc>
        <w:tc>
          <w:tcPr>
            <w:tcW w:w="2254" w:type="dxa"/>
          </w:tcPr>
          <w:p w14:paraId="233E5C4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4361D30" w14:textId="77777777">
        <w:tc>
          <w:tcPr>
            <w:tcW w:w="2254" w:type="dxa"/>
          </w:tcPr>
          <w:p w14:paraId="69FE42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ТБ3-М34Р</w:t>
            </w:r>
          </w:p>
        </w:tc>
        <w:tc>
          <w:tcPr>
            <w:tcW w:w="2254" w:type="dxa"/>
          </w:tcPr>
          <w:p w14:paraId="5A57B6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2254" w:type="dxa"/>
          </w:tcPr>
          <w:p w14:paraId="7211AD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2254" w:type="dxa"/>
          </w:tcPr>
          <w:p w14:paraId="2B3882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2254" w:type="dxa"/>
          </w:tcPr>
          <w:p w14:paraId="31EE76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 по технической готовности)</w:t>
            </w:r>
          </w:p>
        </w:tc>
      </w:tr>
      <w:tr w:rsidR="00E3599D" w:rsidRPr="00E14102" w14:paraId="496E45CB" w14:textId="77777777">
        <w:tc>
          <w:tcPr>
            <w:tcW w:w="2254" w:type="dxa"/>
          </w:tcPr>
          <w:p w14:paraId="4B0A8E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ТБ3-М34РН</w:t>
            </w:r>
          </w:p>
        </w:tc>
        <w:tc>
          <w:tcPr>
            <w:tcW w:w="2254" w:type="dxa"/>
          </w:tcPr>
          <w:p w14:paraId="6F0703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2254" w:type="dxa"/>
          </w:tcPr>
          <w:p w14:paraId="7B2020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1A7E29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75012ED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21D3228" w14:textId="77777777">
        <w:tc>
          <w:tcPr>
            <w:tcW w:w="2254" w:type="dxa"/>
          </w:tcPr>
          <w:p w14:paraId="267861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w:t>
            </w:r>
          </w:p>
        </w:tc>
        <w:tc>
          <w:tcPr>
            <w:tcW w:w="2254" w:type="dxa"/>
          </w:tcPr>
          <w:p w14:paraId="733C77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2254" w:type="dxa"/>
          </w:tcPr>
          <w:p w14:paraId="71C2D6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2254" w:type="dxa"/>
          </w:tcPr>
          <w:p w14:paraId="5ABB39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2254" w:type="dxa"/>
          </w:tcPr>
          <w:p w14:paraId="5BA55E3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6E120AE" w14:textId="77777777">
        <w:tc>
          <w:tcPr>
            <w:tcW w:w="2254" w:type="dxa"/>
          </w:tcPr>
          <w:p w14:paraId="651A2D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КР6А</w:t>
            </w:r>
          </w:p>
        </w:tc>
        <w:tc>
          <w:tcPr>
            <w:tcW w:w="2254" w:type="dxa"/>
          </w:tcPr>
          <w:p w14:paraId="3845FE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2254" w:type="dxa"/>
          </w:tcPr>
          <w:p w14:paraId="703905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2254" w:type="dxa"/>
          </w:tcPr>
          <w:p w14:paraId="56A01D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2254" w:type="dxa"/>
          </w:tcPr>
          <w:p w14:paraId="5791FE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по технической готовности)</w:t>
            </w:r>
          </w:p>
        </w:tc>
      </w:tr>
      <w:tr w:rsidR="00E3599D" w:rsidRPr="00E14102" w14:paraId="5BA5FF7D" w14:textId="77777777">
        <w:tc>
          <w:tcPr>
            <w:tcW w:w="2254" w:type="dxa"/>
          </w:tcPr>
          <w:p w14:paraId="55AF78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МК</w:t>
            </w:r>
          </w:p>
        </w:tc>
        <w:tc>
          <w:tcPr>
            <w:tcW w:w="2254" w:type="dxa"/>
          </w:tcPr>
          <w:p w14:paraId="47B520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2254" w:type="dxa"/>
          </w:tcPr>
          <w:p w14:paraId="0AAF62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056EED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0BA1DCF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20F6F0" w14:textId="77777777">
        <w:tc>
          <w:tcPr>
            <w:tcW w:w="2254" w:type="dxa"/>
          </w:tcPr>
          <w:p w14:paraId="0A4734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2254" w:type="dxa"/>
          </w:tcPr>
          <w:p w14:paraId="68B607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422</w:t>
            </w:r>
          </w:p>
        </w:tc>
        <w:tc>
          <w:tcPr>
            <w:tcW w:w="2254" w:type="dxa"/>
          </w:tcPr>
          <w:p w14:paraId="2A4648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416</w:t>
            </w:r>
          </w:p>
        </w:tc>
        <w:tc>
          <w:tcPr>
            <w:tcW w:w="2254" w:type="dxa"/>
          </w:tcPr>
          <w:p w14:paraId="655BAA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98,5</w:t>
            </w:r>
          </w:p>
        </w:tc>
        <w:tc>
          <w:tcPr>
            <w:tcW w:w="2254" w:type="dxa"/>
          </w:tcPr>
          <w:p w14:paraId="08B0EA8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AA852BD" w14:textId="77777777">
        <w:tc>
          <w:tcPr>
            <w:tcW w:w="2254" w:type="dxa"/>
          </w:tcPr>
          <w:p w14:paraId="39ADFE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w:t>
            </w:r>
          </w:p>
        </w:tc>
        <w:tc>
          <w:tcPr>
            <w:tcW w:w="2254" w:type="dxa"/>
          </w:tcPr>
          <w:p w14:paraId="6313C4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673</w:t>
            </w:r>
          </w:p>
        </w:tc>
        <w:tc>
          <w:tcPr>
            <w:tcW w:w="2254" w:type="dxa"/>
          </w:tcPr>
          <w:p w14:paraId="086642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873</w:t>
            </w:r>
          </w:p>
        </w:tc>
        <w:tc>
          <w:tcPr>
            <w:tcW w:w="2254" w:type="dxa"/>
          </w:tcPr>
          <w:p w14:paraId="561CDC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2254" w:type="dxa"/>
          </w:tcPr>
          <w:p w14:paraId="2C36BAC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B1240B" w14:textId="77777777">
        <w:tc>
          <w:tcPr>
            <w:tcW w:w="2254" w:type="dxa"/>
          </w:tcPr>
          <w:p w14:paraId="367AEC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w:t>
            </w:r>
          </w:p>
        </w:tc>
        <w:tc>
          <w:tcPr>
            <w:tcW w:w="2254" w:type="dxa"/>
          </w:tcPr>
          <w:p w14:paraId="24CE2F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2254" w:type="dxa"/>
          </w:tcPr>
          <w:p w14:paraId="15012A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205</w:t>
            </w:r>
          </w:p>
        </w:tc>
        <w:tc>
          <w:tcPr>
            <w:tcW w:w="2254" w:type="dxa"/>
          </w:tcPr>
          <w:p w14:paraId="68B610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102,5</w:t>
            </w:r>
          </w:p>
        </w:tc>
        <w:tc>
          <w:tcPr>
            <w:tcW w:w="2254" w:type="dxa"/>
          </w:tcPr>
          <w:p w14:paraId="2BB451C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929E36A" w14:textId="77777777">
        <w:tc>
          <w:tcPr>
            <w:tcW w:w="2254" w:type="dxa"/>
          </w:tcPr>
          <w:p w14:paraId="09C086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Р-6</w:t>
            </w:r>
          </w:p>
        </w:tc>
        <w:tc>
          <w:tcPr>
            <w:tcW w:w="2254" w:type="dxa"/>
          </w:tcPr>
          <w:p w14:paraId="39E362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633B82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2254" w:type="dxa"/>
          </w:tcPr>
          <w:p w14:paraId="7CF7A9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442D4E8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7F85142" w14:textId="77777777">
        <w:tc>
          <w:tcPr>
            <w:tcW w:w="2254" w:type="dxa"/>
          </w:tcPr>
          <w:p w14:paraId="77061B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АШ</w:t>
            </w:r>
          </w:p>
        </w:tc>
        <w:tc>
          <w:tcPr>
            <w:tcW w:w="2254" w:type="dxa"/>
          </w:tcPr>
          <w:p w14:paraId="405D78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2254" w:type="dxa"/>
          </w:tcPr>
          <w:p w14:paraId="5CD173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2254" w:type="dxa"/>
          </w:tcPr>
          <w:p w14:paraId="6A4853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2254" w:type="dxa"/>
          </w:tcPr>
          <w:p w14:paraId="73C8C34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CC8824C" w14:textId="77777777">
        <w:tc>
          <w:tcPr>
            <w:tcW w:w="2254" w:type="dxa"/>
          </w:tcPr>
          <w:p w14:paraId="0C5242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2254" w:type="dxa"/>
          </w:tcPr>
          <w:p w14:paraId="4ACDBC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225</w:t>
            </w:r>
          </w:p>
        </w:tc>
        <w:tc>
          <w:tcPr>
            <w:tcW w:w="2254" w:type="dxa"/>
          </w:tcPr>
          <w:p w14:paraId="51D10D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246</w:t>
            </w:r>
          </w:p>
        </w:tc>
        <w:tc>
          <w:tcPr>
            <w:tcW w:w="2254" w:type="dxa"/>
          </w:tcPr>
          <w:p w14:paraId="5BF7C3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109,3</w:t>
            </w:r>
          </w:p>
        </w:tc>
        <w:tc>
          <w:tcPr>
            <w:tcW w:w="2254" w:type="dxa"/>
          </w:tcPr>
          <w:p w14:paraId="4B19832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1E02FD3" w14:textId="77777777">
        <w:tc>
          <w:tcPr>
            <w:tcW w:w="2254" w:type="dxa"/>
          </w:tcPr>
          <w:p w14:paraId="233B7A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И-5</w:t>
            </w:r>
          </w:p>
        </w:tc>
        <w:tc>
          <w:tcPr>
            <w:tcW w:w="2254" w:type="dxa"/>
          </w:tcPr>
          <w:p w14:paraId="3BD263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2254" w:type="dxa"/>
          </w:tcPr>
          <w:p w14:paraId="113C5E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330</w:t>
            </w:r>
          </w:p>
        </w:tc>
        <w:tc>
          <w:tcPr>
            <w:tcW w:w="2254" w:type="dxa"/>
          </w:tcPr>
          <w:p w14:paraId="5411A0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110,0</w:t>
            </w:r>
          </w:p>
        </w:tc>
        <w:tc>
          <w:tcPr>
            <w:tcW w:w="2254" w:type="dxa"/>
          </w:tcPr>
          <w:p w14:paraId="4350E7F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33734A" w14:textId="77777777">
        <w:tc>
          <w:tcPr>
            <w:tcW w:w="2254" w:type="dxa"/>
          </w:tcPr>
          <w:p w14:paraId="609768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w:t>
            </w:r>
          </w:p>
        </w:tc>
        <w:tc>
          <w:tcPr>
            <w:tcW w:w="2254" w:type="dxa"/>
          </w:tcPr>
          <w:p w14:paraId="2B90CE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225</w:t>
            </w:r>
          </w:p>
        </w:tc>
        <w:tc>
          <w:tcPr>
            <w:tcW w:w="2254" w:type="dxa"/>
          </w:tcPr>
          <w:p w14:paraId="6D5BED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2254" w:type="dxa"/>
          </w:tcPr>
          <w:p w14:paraId="7AC116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33,3</w:t>
            </w:r>
          </w:p>
        </w:tc>
        <w:tc>
          <w:tcPr>
            <w:tcW w:w="2254" w:type="dxa"/>
          </w:tcPr>
          <w:p w14:paraId="5C8401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 по технической готовности)</w:t>
            </w:r>
          </w:p>
        </w:tc>
      </w:tr>
      <w:tr w:rsidR="00E3599D" w:rsidRPr="00E14102" w14:paraId="2821A042" w14:textId="77777777">
        <w:tc>
          <w:tcPr>
            <w:tcW w:w="2254" w:type="dxa"/>
          </w:tcPr>
          <w:p w14:paraId="03DAC9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2254" w:type="dxa"/>
          </w:tcPr>
          <w:p w14:paraId="7B64C7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525</w:t>
            </w:r>
          </w:p>
        </w:tc>
        <w:tc>
          <w:tcPr>
            <w:tcW w:w="2254" w:type="dxa"/>
          </w:tcPr>
          <w:p w14:paraId="644FC2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405</w:t>
            </w:r>
          </w:p>
        </w:tc>
        <w:tc>
          <w:tcPr>
            <w:tcW w:w="2254" w:type="dxa"/>
          </w:tcPr>
          <w:p w14:paraId="62EB59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77,0</w:t>
            </w:r>
          </w:p>
        </w:tc>
        <w:tc>
          <w:tcPr>
            <w:tcW w:w="2254" w:type="dxa"/>
          </w:tcPr>
          <w:p w14:paraId="79D9807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1A9DD85" w14:textId="77777777">
        <w:tc>
          <w:tcPr>
            <w:tcW w:w="2254" w:type="dxa"/>
          </w:tcPr>
          <w:p w14:paraId="2D0DCD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w:t>
            </w:r>
          </w:p>
        </w:tc>
        <w:tc>
          <w:tcPr>
            <w:tcW w:w="2254" w:type="dxa"/>
          </w:tcPr>
          <w:p w14:paraId="059C48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2254" w:type="dxa"/>
          </w:tcPr>
          <w:p w14:paraId="578D7E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w:t>
            </w:r>
          </w:p>
        </w:tc>
        <w:tc>
          <w:tcPr>
            <w:tcW w:w="2254" w:type="dxa"/>
          </w:tcPr>
          <w:p w14:paraId="6A35CD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113,3</w:t>
            </w:r>
          </w:p>
        </w:tc>
        <w:tc>
          <w:tcPr>
            <w:tcW w:w="2254" w:type="dxa"/>
          </w:tcPr>
          <w:p w14:paraId="2D11745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A76458D" w14:textId="77777777">
        <w:tc>
          <w:tcPr>
            <w:tcW w:w="2254" w:type="dxa"/>
          </w:tcPr>
          <w:p w14:paraId="3CA3E0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w:t>
            </w:r>
          </w:p>
        </w:tc>
        <w:tc>
          <w:tcPr>
            <w:tcW w:w="2254" w:type="dxa"/>
          </w:tcPr>
          <w:p w14:paraId="75EC51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2254" w:type="dxa"/>
          </w:tcPr>
          <w:p w14:paraId="05EC84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2254" w:type="dxa"/>
          </w:tcPr>
          <w:p w14:paraId="5D95CE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2254" w:type="dxa"/>
          </w:tcPr>
          <w:p w14:paraId="570F211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8B38BA" w14:textId="77777777">
        <w:tc>
          <w:tcPr>
            <w:tcW w:w="2254" w:type="dxa"/>
          </w:tcPr>
          <w:p w14:paraId="265721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w:t>
            </w:r>
          </w:p>
        </w:tc>
        <w:tc>
          <w:tcPr>
            <w:tcW w:w="2254" w:type="dxa"/>
          </w:tcPr>
          <w:p w14:paraId="77A40F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6BE1A4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2254" w:type="dxa"/>
          </w:tcPr>
          <w:p w14:paraId="4A6675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57AC0D6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C14685A" w14:textId="77777777">
        <w:tc>
          <w:tcPr>
            <w:tcW w:w="2254" w:type="dxa"/>
          </w:tcPr>
          <w:p w14:paraId="3E0C31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2254" w:type="dxa"/>
          </w:tcPr>
          <w:p w14:paraId="74D8C3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w:t>
            </w:r>
          </w:p>
        </w:tc>
        <w:tc>
          <w:tcPr>
            <w:tcW w:w="2254" w:type="dxa"/>
          </w:tcPr>
          <w:p w14:paraId="3AC87A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92</w:t>
            </w:r>
          </w:p>
        </w:tc>
        <w:tc>
          <w:tcPr>
            <w:tcW w:w="2254" w:type="dxa"/>
          </w:tcPr>
          <w:p w14:paraId="3803BB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115,0</w:t>
            </w:r>
          </w:p>
        </w:tc>
        <w:tc>
          <w:tcPr>
            <w:tcW w:w="2254" w:type="dxa"/>
          </w:tcPr>
          <w:p w14:paraId="0245D54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2AF483E" w14:textId="77777777">
        <w:tc>
          <w:tcPr>
            <w:tcW w:w="2254" w:type="dxa"/>
          </w:tcPr>
          <w:p w14:paraId="45F410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w:t>
            </w:r>
          </w:p>
        </w:tc>
        <w:tc>
          <w:tcPr>
            <w:tcW w:w="2254" w:type="dxa"/>
          </w:tcPr>
          <w:p w14:paraId="3F364E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215F71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659B83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1A14954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991B3FA" w14:textId="77777777">
        <w:tc>
          <w:tcPr>
            <w:tcW w:w="2254" w:type="dxa"/>
          </w:tcPr>
          <w:p w14:paraId="397333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РД</w:t>
            </w:r>
          </w:p>
        </w:tc>
        <w:tc>
          <w:tcPr>
            <w:tcW w:w="2254" w:type="dxa"/>
          </w:tcPr>
          <w:p w14:paraId="1390C8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2254" w:type="dxa"/>
          </w:tcPr>
          <w:p w14:paraId="345AAA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155DFE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51F971D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5D0AFD" w14:textId="77777777">
        <w:tc>
          <w:tcPr>
            <w:tcW w:w="2254" w:type="dxa"/>
          </w:tcPr>
          <w:p w14:paraId="15B25A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2254" w:type="dxa"/>
          </w:tcPr>
          <w:p w14:paraId="76413B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2254" w:type="dxa"/>
          </w:tcPr>
          <w:p w14:paraId="3F9109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3A2B41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287407D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A4FCEFF" w14:textId="77777777">
        <w:tc>
          <w:tcPr>
            <w:tcW w:w="2254" w:type="dxa"/>
          </w:tcPr>
          <w:p w14:paraId="3A7B3D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ЗЭТ</w:t>
            </w:r>
          </w:p>
        </w:tc>
        <w:tc>
          <w:tcPr>
            <w:tcW w:w="2254" w:type="dxa"/>
          </w:tcPr>
          <w:p w14:paraId="24F3AD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2254" w:type="dxa"/>
          </w:tcPr>
          <w:p w14:paraId="336211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2254" w:type="dxa"/>
          </w:tcPr>
          <w:p w14:paraId="543FFB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2254" w:type="dxa"/>
          </w:tcPr>
          <w:p w14:paraId="359EDB4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83BF4BA" w14:textId="77777777">
        <w:tc>
          <w:tcPr>
            <w:tcW w:w="2254" w:type="dxa"/>
          </w:tcPr>
          <w:p w14:paraId="52C4E5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2254" w:type="dxa"/>
          </w:tcPr>
          <w:p w14:paraId="66940A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2254" w:type="dxa"/>
          </w:tcPr>
          <w:p w14:paraId="5861B8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37F918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6A1F924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D05C7F5" w14:textId="77777777">
        <w:tc>
          <w:tcPr>
            <w:tcW w:w="2254" w:type="dxa"/>
          </w:tcPr>
          <w:p w14:paraId="0F2867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самолетов</w:t>
            </w:r>
          </w:p>
        </w:tc>
        <w:tc>
          <w:tcPr>
            <w:tcW w:w="2254" w:type="dxa"/>
          </w:tcPr>
          <w:p w14:paraId="1C0CE5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3603</w:t>
            </w:r>
          </w:p>
        </w:tc>
        <w:tc>
          <w:tcPr>
            <w:tcW w:w="2254" w:type="dxa"/>
          </w:tcPr>
          <w:p w14:paraId="35DB98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3284*</w:t>
            </w:r>
          </w:p>
        </w:tc>
        <w:tc>
          <w:tcPr>
            <w:tcW w:w="2254" w:type="dxa"/>
          </w:tcPr>
          <w:p w14:paraId="448921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91,2</w:t>
            </w:r>
          </w:p>
        </w:tc>
        <w:tc>
          <w:tcPr>
            <w:tcW w:w="2254" w:type="dxa"/>
          </w:tcPr>
          <w:p w14:paraId="5BCC05C2" w14:textId="77777777" w:rsidR="00D4105E" w:rsidRPr="00E14102" w:rsidRDefault="00D4105E" w:rsidP="00E14102">
            <w:pPr>
              <w:autoSpaceDE w:val="0"/>
              <w:autoSpaceDN w:val="0"/>
              <w:adjustRightInd w:val="0"/>
              <w:jc w:val="both"/>
              <w:rPr>
                <w:color w:val="000000" w:themeColor="text1"/>
                <w:sz w:val="16"/>
                <w:szCs w:val="16"/>
              </w:rPr>
            </w:pPr>
          </w:p>
        </w:tc>
      </w:tr>
    </w:tbl>
    <w:p w14:paraId="21D4CB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Кроме того, в I квартале 1934 года закончены производством, облетаны и сданы 169 самолетов Р-5, оформленные удостоверениями приемки в 1933 году; с учетом сдачи указанных машин, процент выполнения заказа УВВС составит 96,0 (4039,55).</w:t>
      </w:r>
    </w:p>
    <w:p w14:paraId="7B98BA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плана по сдаче групповых комплектов за 1934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E3599D" w:rsidRPr="00E14102" w14:paraId="5DBB0371" w14:textId="77777777">
        <w:tc>
          <w:tcPr>
            <w:tcW w:w="1878" w:type="dxa"/>
          </w:tcPr>
          <w:p w14:paraId="2D48B2FA"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5906EB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tc>
        <w:tc>
          <w:tcPr>
            <w:tcW w:w="1878" w:type="dxa"/>
          </w:tcPr>
          <w:p w14:paraId="798091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w:t>
            </w:r>
          </w:p>
        </w:tc>
        <w:tc>
          <w:tcPr>
            <w:tcW w:w="1878" w:type="dxa"/>
          </w:tcPr>
          <w:p w14:paraId="5458BE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6B9F3F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количество (выполнение)</w:t>
            </w:r>
          </w:p>
        </w:tc>
        <w:tc>
          <w:tcPr>
            <w:tcW w:w="1878" w:type="dxa"/>
          </w:tcPr>
          <w:p w14:paraId="575832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 выполнение в %% к 1933 году</w:t>
            </w:r>
          </w:p>
        </w:tc>
        <w:tc>
          <w:tcPr>
            <w:tcW w:w="1878" w:type="dxa"/>
          </w:tcPr>
          <w:p w14:paraId="6D8D38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 выполнение в %% к плану 1934 года</w:t>
            </w:r>
          </w:p>
        </w:tc>
      </w:tr>
      <w:tr w:rsidR="00E3599D" w:rsidRPr="00E14102" w14:paraId="7A8945A3" w14:textId="77777777">
        <w:tc>
          <w:tcPr>
            <w:tcW w:w="1878" w:type="dxa"/>
          </w:tcPr>
          <w:p w14:paraId="6A7FEF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самолетам (компл.)</w:t>
            </w:r>
          </w:p>
        </w:tc>
        <w:tc>
          <w:tcPr>
            <w:tcW w:w="1878" w:type="dxa"/>
          </w:tcPr>
          <w:p w14:paraId="4912E49A"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74D8B425"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3883E53B"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36FDD097"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4238079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1F1B807" w14:textId="77777777">
        <w:tc>
          <w:tcPr>
            <w:tcW w:w="1878" w:type="dxa"/>
          </w:tcPr>
          <w:p w14:paraId="7F4167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w:t>
            </w:r>
          </w:p>
        </w:tc>
        <w:tc>
          <w:tcPr>
            <w:tcW w:w="1878" w:type="dxa"/>
          </w:tcPr>
          <w:p w14:paraId="0B1DA8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156</w:t>
            </w:r>
          </w:p>
        </w:tc>
        <w:tc>
          <w:tcPr>
            <w:tcW w:w="1878" w:type="dxa"/>
          </w:tcPr>
          <w:p w14:paraId="0BE029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273</w:t>
            </w:r>
          </w:p>
        </w:tc>
        <w:tc>
          <w:tcPr>
            <w:tcW w:w="1878" w:type="dxa"/>
          </w:tcPr>
          <w:p w14:paraId="31B6BC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285</w:t>
            </w:r>
          </w:p>
        </w:tc>
        <w:tc>
          <w:tcPr>
            <w:tcW w:w="1878" w:type="dxa"/>
          </w:tcPr>
          <w:p w14:paraId="4A6A57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182,6</w:t>
            </w:r>
          </w:p>
        </w:tc>
        <w:tc>
          <w:tcPr>
            <w:tcW w:w="1878" w:type="dxa"/>
          </w:tcPr>
          <w:p w14:paraId="6C9F9A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104,3</w:t>
            </w:r>
          </w:p>
        </w:tc>
      </w:tr>
      <w:tr w:rsidR="00E3599D" w:rsidRPr="00E14102" w14:paraId="6DC85A70" w14:textId="77777777">
        <w:tc>
          <w:tcPr>
            <w:tcW w:w="1878" w:type="dxa"/>
          </w:tcPr>
          <w:p w14:paraId="712DC1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МР5</w:t>
            </w:r>
          </w:p>
        </w:tc>
        <w:tc>
          <w:tcPr>
            <w:tcW w:w="1878" w:type="dxa"/>
          </w:tcPr>
          <w:p w14:paraId="035502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6F5246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878" w:type="dxa"/>
          </w:tcPr>
          <w:p w14:paraId="42558A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1878" w:type="dxa"/>
          </w:tcPr>
          <w:p w14:paraId="66B15E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3D908E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90,0</w:t>
            </w:r>
          </w:p>
        </w:tc>
      </w:tr>
      <w:tr w:rsidR="00E3599D" w:rsidRPr="00E14102" w14:paraId="242ED4CA" w14:textId="77777777">
        <w:tc>
          <w:tcPr>
            <w:tcW w:w="1878" w:type="dxa"/>
          </w:tcPr>
          <w:p w14:paraId="3A425E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w:t>
            </w:r>
          </w:p>
        </w:tc>
        <w:tc>
          <w:tcPr>
            <w:tcW w:w="1878" w:type="dxa"/>
          </w:tcPr>
          <w:p w14:paraId="1F411E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204AD4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1878" w:type="dxa"/>
          </w:tcPr>
          <w:p w14:paraId="71C3BA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7CCB32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1A615C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65F6E039" w14:textId="77777777">
        <w:tc>
          <w:tcPr>
            <w:tcW w:w="1878" w:type="dxa"/>
          </w:tcPr>
          <w:p w14:paraId="33A609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ТБ3-4М17</w:t>
            </w:r>
          </w:p>
        </w:tc>
        <w:tc>
          <w:tcPr>
            <w:tcW w:w="1878" w:type="dxa"/>
          </w:tcPr>
          <w:p w14:paraId="03D95E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w:t>
            </w:r>
          </w:p>
        </w:tc>
        <w:tc>
          <w:tcPr>
            <w:tcW w:w="1878" w:type="dxa"/>
          </w:tcPr>
          <w:p w14:paraId="451CE4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0075DF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878" w:type="dxa"/>
          </w:tcPr>
          <w:p w14:paraId="45077B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7,1</w:t>
            </w:r>
          </w:p>
        </w:tc>
        <w:tc>
          <w:tcPr>
            <w:tcW w:w="1878" w:type="dxa"/>
          </w:tcPr>
          <w:p w14:paraId="4B2859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3AB13DE9" w14:textId="77777777">
        <w:tc>
          <w:tcPr>
            <w:tcW w:w="1878" w:type="dxa"/>
          </w:tcPr>
          <w:p w14:paraId="4B04D1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ТБ3-4М34</w:t>
            </w:r>
          </w:p>
        </w:tc>
        <w:tc>
          <w:tcPr>
            <w:tcW w:w="1878" w:type="dxa"/>
          </w:tcPr>
          <w:p w14:paraId="12DACA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6E9E22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878" w:type="dxa"/>
          </w:tcPr>
          <w:p w14:paraId="439764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878" w:type="dxa"/>
          </w:tcPr>
          <w:p w14:paraId="21FB46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3FC9C5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r>
      <w:tr w:rsidR="00E3599D" w:rsidRPr="00E14102" w14:paraId="0F7B5160" w14:textId="77777777">
        <w:tc>
          <w:tcPr>
            <w:tcW w:w="1878" w:type="dxa"/>
          </w:tcPr>
          <w:p w14:paraId="3CA0F9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ТБ3-4М34Р</w:t>
            </w:r>
          </w:p>
        </w:tc>
        <w:tc>
          <w:tcPr>
            <w:tcW w:w="1878" w:type="dxa"/>
          </w:tcPr>
          <w:p w14:paraId="06810B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1FA9AC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1878" w:type="dxa"/>
          </w:tcPr>
          <w:p w14:paraId="4B434E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70257B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68F163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64A41E0C" w14:textId="77777777">
        <w:tc>
          <w:tcPr>
            <w:tcW w:w="1878" w:type="dxa"/>
          </w:tcPr>
          <w:p w14:paraId="08ED7F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w:t>
            </w:r>
          </w:p>
        </w:tc>
        <w:tc>
          <w:tcPr>
            <w:tcW w:w="1878" w:type="dxa"/>
          </w:tcPr>
          <w:p w14:paraId="1A424B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7C6908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1878" w:type="dxa"/>
          </w:tcPr>
          <w:p w14:paraId="646922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1878" w:type="dxa"/>
          </w:tcPr>
          <w:p w14:paraId="304AD9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428432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r>
      <w:tr w:rsidR="00E3599D" w:rsidRPr="00E14102" w14:paraId="5B1F3F0E" w14:textId="77777777">
        <w:tc>
          <w:tcPr>
            <w:tcW w:w="1878" w:type="dxa"/>
          </w:tcPr>
          <w:p w14:paraId="072196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КР6А</w:t>
            </w:r>
          </w:p>
        </w:tc>
        <w:tc>
          <w:tcPr>
            <w:tcW w:w="1878" w:type="dxa"/>
          </w:tcPr>
          <w:p w14:paraId="2EA75F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660F6E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w:t>
            </w:r>
          </w:p>
        </w:tc>
        <w:tc>
          <w:tcPr>
            <w:tcW w:w="1878" w:type="dxa"/>
          </w:tcPr>
          <w:p w14:paraId="79069D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w:t>
            </w:r>
          </w:p>
        </w:tc>
        <w:tc>
          <w:tcPr>
            <w:tcW w:w="1878" w:type="dxa"/>
          </w:tcPr>
          <w:p w14:paraId="0DD897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492993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r>
      <w:tr w:rsidR="00E3599D" w:rsidRPr="00E14102" w14:paraId="0747FD52" w14:textId="77777777">
        <w:tc>
          <w:tcPr>
            <w:tcW w:w="1878" w:type="dxa"/>
          </w:tcPr>
          <w:p w14:paraId="58C2D6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w:t>
            </w:r>
          </w:p>
        </w:tc>
        <w:tc>
          <w:tcPr>
            <w:tcW w:w="1878" w:type="dxa"/>
          </w:tcPr>
          <w:p w14:paraId="45A6F5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230</w:t>
            </w:r>
          </w:p>
        </w:tc>
        <w:tc>
          <w:tcPr>
            <w:tcW w:w="1878" w:type="dxa"/>
          </w:tcPr>
          <w:p w14:paraId="3137F8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289</w:t>
            </w:r>
          </w:p>
        </w:tc>
        <w:tc>
          <w:tcPr>
            <w:tcW w:w="1878" w:type="dxa"/>
          </w:tcPr>
          <w:p w14:paraId="4B3D72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1878" w:type="dxa"/>
          </w:tcPr>
          <w:p w14:paraId="0F5C5C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126,0</w:t>
            </w:r>
          </w:p>
        </w:tc>
        <w:tc>
          <w:tcPr>
            <w:tcW w:w="1878" w:type="dxa"/>
          </w:tcPr>
          <w:p w14:paraId="65519E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100,3</w:t>
            </w:r>
          </w:p>
        </w:tc>
      </w:tr>
      <w:tr w:rsidR="00E3599D" w:rsidRPr="00E14102" w14:paraId="2B6FE4C0" w14:textId="77777777">
        <w:tc>
          <w:tcPr>
            <w:tcW w:w="1878" w:type="dxa"/>
          </w:tcPr>
          <w:p w14:paraId="6FCDEA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АП</w:t>
            </w:r>
          </w:p>
        </w:tc>
        <w:tc>
          <w:tcPr>
            <w:tcW w:w="1878" w:type="dxa"/>
          </w:tcPr>
          <w:p w14:paraId="49A5A9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735B4C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w:t>
            </w:r>
          </w:p>
        </w:tc>
        <w:tc>
          <w:tcPr>
            <w:tcW w:w="1878" w:type="dxa"/>
          </w:tcPr>
          <w:p w14:paraId="108BF5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w:t>
            </w:r>
          </w:p>
        </w:tc>
        <w:tc>
          <w:tcPr>
            <w:tcW w:w="1878" w:type="dxa"/>
          </w:tcPr>
          <w:p w14:paraId="646757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6B90C2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r>
      <w:tr w:rsidR="00E3599D" w:rsidRPr="00E14102" w14:paraId="2E3ED8AF" w14:textId="77777777">
        <w:tc>
          <w:tcPr>
            <w:tcW w:w="1878" w:type="dxa"/>
          </w:tcPr>
          <w:p w14:paraId="7EA776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w:t>
            </w:r>
          </w:p>
        </w:tc>
        <w:tc>
          <w:tcPr>
            <w:tcW w:w="1878" w:type="dxa"/>
          </w:tcPr>
          <w:p w14:paraId="7982F4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2FDB28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w:t>
            </w:r>
          </w:p>
        </w:tc>
        <w:tc>
          <w:tcPr>
            <w:tcW w:w="1878" w:type="dxa"/>
          </w:tcPr>
          <w:p w14:paraId="05BA9E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1878" w:type="dxa"/>
          </w:tcPr>
          <w:p w14:paraId="6351A3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4DF43F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66,7</w:t>
            </w:r>
          </w:p>
        </w:tc>
      </w:tr>
      <w:tr w:rsidR="00E3599D" w:rsidRPr="00E14102" w14:paraId="4F389D70" w14:textId="77777777">
        <w:tc>
          <w:tcPr>
            <w:tcW w:w="1878" w:type="dxa"/>
          </w:tcPr>
          <w:p w14:paraId="3C0B77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Р6</w:t>
            </w:r>
          </w:p>
        </w:tc>
        <w:tc>
          <w:tcPr>
            <w:tcW w:w="1878" w:type="dxa"/>
          </w:tcPr>
          <w:p w14:paraId="1F04D4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1878" w:type="dxa"/>
          </w:tcPr>
          <w:p w14:paraId="1764B9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878" w:type="dxa"/>
          </w:tcPr>
          <w:p w14:paraId="0E2E4F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878" w:type="dxa"/>
          </w:tcPr>
          <w:p w14:paraId="21BE0A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w:t>
            </w:r>
          </w:p>
        </w:tc>
        <w:tc>
          <w:tcPr>
            <w:tcW w:w="1878" w:type="dxa"/>
          </w:tcPr>
          <w:p w14:paraId="129DEA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r>
      <w:tr w:rsidR="00E3599D" w:rsidRPr="00E14102" w14:paraId="77C8E86F" w14:textId="77777777">
        <w:tc>
          <w:tcPr>
            <w:tcW w:w="1878" w:type="dxa"/>
          </w:tcPr>
          <w:p w14:paraId="49FCB3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АШ</w:t>
            </w:r>
          </w:p>
        </w:tc>
        <w:tc>
          <w:tcPr>
            <w:tcW w:w="1878" w:type="dxa"/>
          </w:tcPr>
          <w:p w14:paraId="7E6F7E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w:t>
            </w:r>
          </w:p>
        </w:tc>
        <w:tc>
          <w:tcPr>
            <w:tcW w:w="1878" w:type="dxa"/>
          </w:tcPr>
          <w:p w14:paraId="165AAB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878" w:type="dxa"/>
          </w:tcPr>
          <w:p w14:paraId="2F7EB1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878" w:type="dxa"/>
          </w:tcPr>
          <w:p w14:paraId="2A7A60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15,2</w:t>
            </w:r>
          </w:p>
        </w:tc>
        <w:tc>
          <w:tcPr>
            <w:tcW w:w="1878" w:type="dxa"/>
          </w:tcPr>
          <w:p w14:paraId="33E51E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r>
      <w:tr w:rsidR="00E3599D" w:rsidRPr="00E14102" w14:paraId="3F3FFC53" w14:textId="77777777">
        <w:tc>
          <w:tcPr>
            <w:tcW w:w="1878" w:type="dxa"/>
          </w:tcPr>
          <w:p w14:paraId="7189D0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МБРIV</w:t>
            </w:r>
          </w:p>
        </w:tc>
        <w:tc>
          <w:tcPr>
            <w:tcW w:w="1878" w:type="dxa"/>
          </w:tcPr>
          <w:p w14:paraId="4F0EBB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878" w:type="dxa"/>
          </w:tcPr>
          <w:p w14:paraId="034749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878" w:type="dxa"/>
          </w:tcPr>
          <w:p w14:paraId="60E98B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878" w:type="dxa"/>
          </w:tcPr>
          <w:p w14:paraId="7A970D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333,3</w:t>
            </w:r>
          </w:p>
        </w:tc>
        <w:tc>
          <w:tcPr>
            <w:tcW w:w="1878" w:type="dxa"/>
          </w:tcPr>
          <w:p w14:paraId="0FF183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r>
      <w:tr w:rsidR="00E3599D" w:rsidRPr="00E14102" w14:paraId="2AF3A5FE" w14:textId="77777777">
        <w:tc>
          <w:tcPr>
            <w:tcW w:w="1878" w:type="dxa"/>
          </w:tcPr>
          <w:p w14:paraId="14BFE1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И5</w:t>
            </w:r>
          </w:p>
        </w:tc>
        <w:tc>
          <w:tcPr>
            <w:tcW w:w="1878" w:type="dxa"/>
          </w:tcPr>
          <w:p w14:paraId="203ECE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w:t>
            </w:r>
          </w:p>
        </w:tc>
        <w:tc>
          <w:tcPr>
            <w:tcW w:w="1878" w:type="dxa"/>
          </w:tcPr>
          <w:p w14:paraId="249434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878" w:type="dxa"/>
          </w:tcPr>
          <w:p w14:paraId="64A968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57</w:t>
            </w:r>
          </w:p>
        </w:tc>
        <w:tc>
          <w:tcPr>
            <w:tcW w:w="1878" w:type="dxa"/>
          </w:tcPr>
          <w:p w14:paraId="522D9B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1878" w:type="dxa"/>
          </w:tcPr>
          <w:p w14:paraId="3AAA1B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114,0</w:t>
            </w:r>
          </w:p>
        </w:tc>
      </w:tr>
      <w:tr w:rsidR="00E3599D" w:rsidRPr="00E14102" w14:paraId="694FE7FC" w14:textId="77777777">
        <w:tc>
          <w:tcPr>
            <w:tcW w:w="1878" w:type="dxa"/>
          </w:tcPr>
          <w:p w14:paraId="6033D0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w:t>
            </w:r>
          </w:p>
        </w:tc>
        <w:tc>
          <w:tcPr>
            <w:tcW w:w="1878" w:type="dxa"/>
          </w:tcPr>
          <w:p w14:paraId="3ECBCB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2B576F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878" w:type="dxa"/>
          </w:tcPr>
          <w:p w14:paraId="54590D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7779B7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137778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47D8EF4E" w14:textId="77777777">
        <w:tc>
          <w:tcPr>
            <w:tcW w:w="1878" w:type="dxa"/>
          </w:tcPr>
          <w:p w14:paraId="398394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w:t>
            </w:r>
          </w:p>
        </w:tc>
        <w:tc>
          <w:tcPr>
            <w:tcW w:w="1878" w:type="dxa"/>
          </w:tcPr>
          <w:p w14:paraId="07E89A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017E25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5F7C4E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3EDF9D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23B091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16E1F350" w14:textId="77777777">
        <w:tc>
          <w:tcPr>
            <w:tcW w:w="1878" w:type="dxa"/>
          </w:tcPr>
          <w:p w14:paraId="68614E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РД</w:t>
            </w:r>
          </w:p>
        </w:tc>
        <w:tc>
          <w:tcPr>
            <w:tcW w:w="1878" w:type="dxa"/>
          </w:tcPr>
          <w:p w14:paraId="780452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58E79D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878" w:type="dxa"/>
          </w:tcPr>
          <w:p w14:paraId="48A3DD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516CD0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569115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6D58D87A" w14:textId="77777777">
        <w:tc>
          <w:tcPr>
            <w:tcW w:w="1878" w:type="dxa"/>
          </w:tcPr>
          <w:p w14:paraId="753FF8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К5</w:t>
            </w:r>
          </w:p>
        </w:tc>
        <w:tc>
          <w:tcPr>
            <w:tcW w:w="1878" w:type="dxa"/>
          </w:tcPr>
          <w:p w14:paraId="321F39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w:t>
            </w:r>
          </w:p>
        </w:tc>
        <w:tc>
          <w:tcPr>
            <w:tcW w:w="1878" w:type="dxa"/>
          </w:tcPr>
          <w:p w14:paraId="72F819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w:t>
            </w:r>
          </w:p>
        </w:tc>
        <w:tc>
          <w:tcPr>
            <w:tcW w:w="1878" w:type="dxa"/>
          </w:tcPr>
          <w:p w14:paraId="32F722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878" w:type="dxa"/>
          </w:tcPr>
          <w:p w14:paraId="4DF97B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57,1</w:t>
            </w:r>
          </w:p>
        </w:tc>
        <w:tc>
          <w:tcPr>
            <w:tcW w:w="1878" w:type="dxa"/>
          </w:tcPr>
          <w:p w14:paraId="76F9EF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66,7</w:t>
            </w:r>
          </w:p>
        </w:tc>
      </w:tr>
      <w:tr w:rsidR="00E3599D" w:rsidRPr="00E14102" w14:paraId="5BF033F7" w14:textId="77777777">
        <w:tc>
          <w:tcPr>
            <w:tcW w:w="1878" w:type="dxa"/>
          </w:tcPr>
          <w:p w14:paraId="04759F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И7</w:t>
            </w:r>
          </w:p>
        </w:tc>
        <w:tc>
          <w:tcPr>
            <w:tcW w:w="1878" w:type="dxa"/>
          </w:tcPr>
          <w:p w14:paraId="2F711F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w:t>
            </w:r>
          </w:p>
        </w:tc>
        <w:tc>
          <w:tcPr>
            <w:tcW w:w="1878" w:type="dxa"/>
          </w:tcPr>
          <w:p w14:paraId="21D5B0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1DD89E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w:t>
            </w:r>
          </w:p>
        </w:tc>
        <w:tc>
          <w:tcPr>
            <w:tcW w:w="1878" w:type="dxa"/>
          </w:tcPr>
          <w:p w14:paraId="1A44DD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878" w:type="dxa"/>
          </w:tcPr>
          <w:p w14:paraId="5EE6EB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39027261" w14:textId="77777777">
        <w:tc>
          <w:tcPr>
            <w:tcW w:w="1878" w:type="dxa"/>
          </w:tcPr>
          <w:p w14:paraId="290682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ЗЭТ</w:t>
            </w:r>
          </w:p>
        </w:tc>
        <w:tc>
          <w:tcPr>
            <w:tcW w:w="1878" w:type="dxa"/>
          </w:tcPr>
          <w:p w14:paraId="79CAD2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750CC1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878" w:type="dxa"/>
          </w:tcPr>
          <w:p w14:paraId="057293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878" w:type="dxa"/>
          </w:tcPr>
          <w:p w14:paraId="17968B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05701C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r>
      <w:tr w:rsidR="00E3599D" w:rsidRPr="00E14102" w14:paraId="16789DE0" w14:textId="77777777">
        <w:tc>
          <w:tcPr>
            <w:tcW w:w="1878" w:type="dxa"/>
          </w:tcPr>
          <w:p w14:paraId="2DEAD4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1878" w:type="dxa"/>
          </w:tcPr>
          <w:p w14:paraId="24DB5D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613</w:t>
            </w:r>
          </w:p>
        </w:tc>
        <w:tc>
          <w:tcPr>
            <w:tcW w:w="1878" w:type="dxa"/>
          </w:tcPr>
          <w:p w14:paraId="0EA4A1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788</w:t>
            </w:r>
          </w:p>
        </w:tc>
        <w:tc>
          <w:tcPr>
            <w:tcW w:w="1878" w:type="dxa"/>
          </w:tcPr>
          <w:p w14:paraId="5CC8A0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736</w:t>
            </w:r>
          </w:p>
        </w:tc>
        <w:tc>
          <w:tcPr>
            <w:tcW w:w="1878" w:type="dxa"/>
          </w:tcPr>
          <w:p w14:paraId="17B8B4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w:t>
            </w:r>
          </w:p>
        </w:tc>
        <w:tc>
          <w:tcPr>
            <w:tcW w:w="1878" w:type="dxa"/>
          </w:tcPr>
          <w:p w14:paraId="23E154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93,4</w:t>
            </w:r>
          </w:p>
        </w:tc>
      </w:tr>
      <w:tr w:rsidR="00E3599D" w:rsidRPr="00E14102" w14:paraId="6F95D6EC" w14:textId="77777777">
        <w:tc>
          <w:tcPr>
            <w:tcW w:w="1878" w:type="dxa"/>
          </w:tcPr>
          <w:p w14:paraId="2C4D57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моторам (компл.)</w:t>
            </w:r>
          </w:p>
        </w:tc>
        <w:tc>
          <w:tcPr>
            <w:tcW w:w="1878" w:type="dxa"/>
          </w:tcPr>
          <w:p w14:paraId="2E2BE4CC"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64F5389A"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2E896BA0"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68F2A061"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3EFF9F7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117B346" w14:textId="77777777">
        <w:tc>
          <w:tcPr>
            <w:tcW w:w="1878" w:type="dxa"/>
          </w:tcPr>
          <w:p w14:paraId="626300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w:t>
            </w:r>
          </w:p>
        </w:tc>
        <w:tc>
          <w:tcPr>
            <w:tcW w:w="1878" w:type="dxa"/>
          </w:tcPr>
          <w:p w14:paraId="0B0927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878" w:type="dxa"/>
          </w:tcPr>
          <w:p w14:paraId="794A36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1878" w:type="dxa"/>
          </w:tcPr>
          <w:p w14:paraId="2F280C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1878" w:type="dxa"/>
          </w:tcPr>
          <w:p w14:paraId="2E638F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10,7</w:t>
            </w:r>
          </w:p>
        </w:tc>
        <w:tc>
          <w:tcPr>
            <w:tcW w:w="1878" w:type="dxa"/>
          </w:tcPr>
          <w:p w14:paraId="3C90FB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r>
      <w:tr w:rsidR="00E3599D" w:rsidRPr="00E14102" w14:paraId="6237B3FE" w14:textId="77777777">
        <w:tc>
          <w:tcPr>
            <w:tcW w:w="1878" w:type="dxa"/>
          </w:tcPr>
          <w:p w14:paraId="25453D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М34Р</w:t>
            </w:r>
          </w:p>
        </w:tc>
        <w:tc>
          <w:tcPr>
            <w:tcW w:w="1878" w:type="dxa"/>
          </w:tcPr>
          <w:p w14:paraId="6C61A6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794667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1878" w:type="dxa"/>
          </w:tcPr>
          <w:p w14:paraId="1CF953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1878" w:type="dxa"/>
          </w:tcPr>
          <w:p w14:paraId="23F7C1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72C09C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2559B486" w14:textId="77777777">
        <w:tc>
          <w:tcPr>
            <w:tcW w:w="1878" w:type="dxa"/>
          </w:tcPr>
          <w:p w14:paraId="0E0108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М17</w:t>
            </w:r>
          </w:p>
        </w:tc>
        <w:tc>
          <w:tcPr>
            <w:tcW w:w="1878" w:type="dxa"/>
          </w:tcPr>
          <w:p w14:paraId="58B54E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401</w:t>
            </w:r>
          </w:p>
        </w:tc>
        <w:tc>
          <w:tcPr>
            <w:tcW w:w="1878" w:type="dxa"/>
          </w:tcPr>
          <w:p w14:paraId="3E9527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w:t>
            </w:r>
          </w:p>
        </w:tc>
        <w:tc>
          <w:tcPr>
            <w:tcW w:w="1878" w:type="dxa"/>
          </w:tcPr>
          <w:p w14:paraId="7B11F8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722</w:t>
            </w:r>
          </w:p>
        </w:tc>
        <w:tc>
          <w:tcPr>
            <w:tcW w:w="1878" w:type="dxa"/>
          </w:tcPr>
          <w:p w14:paraId="7B83FC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w:t>
            </w:r>
          </w:p>
        </w:tc>
        <w:tc>
          <w:tcPr>
            <w:tcW w:w="1878" w:type="dxa"/>
          </w:tcPr>
          <w:p w14:paraId="117089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79,4</w:t>
            </w:r>
          </w:p>
        </w:tc>
      </w:tr>
      <w:tr w:rsidR="00E3599D" w:rsidRPr="00E14102" w14:paraId="13C4AFEF" w14:textId="77777777">
        <w:tc>
          <w:tcPr>
            <w:tcW w:w="1878" w:type="dxa"/>
          </w:tcPr>
          <w:p w14:paraId="7D6F4B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М11</w:t>
            </w:r>
          </w:p>
        </w:tc>
        <w:tc>
          <w:tcPr>
            <w:tcW w:w="1878" w:type="dxa"/>
          </w:tcPr>
          <w:p w14:paraId="31AC76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202</w:t>
            </w:r>
          </w:p>
        </w:tc>
        <w:tc>
          <w:tcPr>
            <w:tcW w:w="1878" w:type="dxa"/>
          </w:tcPr>
          <w:p w14:paraId="40423C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230</w:t>
            </w:r>
          </w:p>
        </w:tc>
        <w:tc>
          <w:tcPr>
            <w:tcW w:w="1878" w:type="dxa"/>
          </w:tcPr>
          <w:p w14:paraId="4821DC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242</w:t>
            </w:r>
          </w:p>
        </w:tc>
        <w:tc>
          <w:tcPr>
            <w:tcW w:w="1878" w:type="dxa"/>
          </w:tcPr>
          <w:p w14:paraId="5620AE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119,8</w:t>
            </w:r>
          </w:p>
        </w:tc>
        <w:tc>
          <w:tcPr>
            <w:tcW w:w="1878" w:type="dxa"/>
          </w:tcPr>
          <w:p w14:paraId="3EC482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r>
      <w:tr w:rsidR="00E3599D" w:rsidRPr="00E14102" w14:paraId="6820409F" w14:textId="77777777">
        <w:tc>
          <w:tcPr>
            <w:tcW w:w="1878" w:type="dxa"/>
          </w:tcPr>
          <w:p w14:paraId="7B9E14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М22</w:t>
            </w:r>
          </w:p>
        </w:tc>
        <w:tc>
          <w:tcPr>
            <w:tcW w:w="1878" w:type="dxa"/>
          </w:tcPr>
          <w:p w14:paraId="7A865B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1878" w:type="dxa"/>
          </w:tcPr>
          <w:p w14:paraId="0F6E63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w:t>
            </w:r>
          </w:p>
        </w:tc>
        <w:tc>
          <w:tcPr>
            <w:tcW w:w="1878" w:type="dxa"/>
          </w:tcPr>
          <w:p w14:paraId="18EA20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w:t>
            </w:r>
          </w:p>
        </w:tc>
        <w:tc>
          <w:tcPr>
            <w:tcW w:w="1878" w:type="dxa"/>
          </w:tcPr>
          <w:p w14:paraId="68EF78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1878" w:type="dxa"/>
          </w:tcPr>
          <w:p w14:paraId="45F521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105,8</w:t>
            </w:r>
          </w:p>
        </w:tc>
      </w:tr>
      <w:tr w:rsidR="00E3599D" w:rsidRPr="00E14102" w14:paraId="69C6ED46" w14:textId="77777777">
        <w:tc>
          <w:tcPr>
            <w:tcW w:w="1878" w:type="dxa"/>
          </w:tcPr>
          <w:p w14:paraId="385BF5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1878" w:type="dxa"/>
          </w:tcPr>
          <w:p w14:paraId="3AF330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698</w:t>
            </w:r>
          </w:p>
        </w:tc>
        <w:tc>
          <w:tcPr>
            <w:tcW w:w="1878" w:type="dxa"/>
          </w:tcPr>
          <w:p w14:paraId="1E944C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1280</w:t>
            </w:r>
          </w:p>
        </w:tc>
        <w:tc>
          <w:tcPr>
            <w:tcW w:w="1878" w:type="dxa"/>
          </w:tcPr>
          <w:p w14:paraId="3A51A5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1110</w:t>
            </w:r>
          </w:p>
        </w:tc>
        <w:tc>
          <w:tcPr>
            <w:tcW w:w="1878" w:type="dxa"/>
          </w:tcPr>
          <w:p w14:paraId="6956CA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159,0</w:t>
            </w:r>
          </w:p>
        </w:tc>
        <w:tc>
          <w:tcPr>
            <w:tcW w:w="1878" w:type="dxa"/>
          </w:tcPr>
          <w:p w14:paraId="4190C4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86,7</w:t>
            </w:r>
          </w:p>
        </w:tc>
      </w:tr>
    </w:tbl>
    <w:p w14:paraId="0F897E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(4039,56).</w:t>
      </w:r>
    </w:p>
    <w:p w14:paraId="28C9E00A" w14:textId="77777777" w:rsidR="00D4105E" w:rsidRPr="00E14102" w:rsidRDefault="00D4105E" w:rsidP="00E14102">
      <w:pPr>
        <w:autoSpaceDE w:val="0"/>
        <w:autoSpaceDN w:val="0"/>
        <w:adjustRightInd w:val="0"/>
        <w:jc w:val="both"/>
        <w:rPr>
          <w:color w:val="000000" w:themeColor="text1"/>
          <w:sz w:val="16"/>
          <w:szCs w:val="16"/>
        </w:rPr>
      </w:pPr>
    </w:p>
    <w:p w14:paraId="63A4A5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января 1935 Член Комиссии Партконтроля - Руководитель Военно-Морской Группы Куйдышев, Член Комиссии Совконтроля - Руководитель Военно-Морской Группы Хаханьян и Член Комиссии Партконтроля Зам. Руководителя Военно-Морской Группы Березин Писали письмо № 207/Б/сс в ЦК ВКП(б) тов. Сталину и тов. Кагановичу, а т. в СТО тов. Молотову:</w:t>
      </w:r>
    </w:p>
    <w:p w14:paraId="3E612B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 выполнении плана опытного самолетостроения</w:t>
      </w:r>
    </w:p>
    <w:p w14:paraId="30D569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Нами проверено выполнение плана опытного самолетостроения, утвержденного Советом Труда и Обороны 14.УП.34 г. Состояние как самого опытного самолетостроения по этому плану, так и подготовка к серийному производству по новым машинам таково, что, если не будут приняты мера, то поставленная Советом Труда и Обороны задача резкого повышения качества вашей авиации по ряду вяжнейших пунктов в 1935г. не будет решена.</w:t>
      </w:r>
    </w:p>
    <w:p w14:paraId="063D7C0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скоростным истребителям мы в 1935 г. вынуждены будем ограничиться производством И-14 -(в пулеметном варианте), И-15 и И-16, Ни одна более новая машина, к производству в серии не готова. И-17 с мотором Испано-Сюиз заводом 39 должна быть пред'явлена на госиспытания к 1.ХП-с.г. Машина конструктивно не удалась, сейчас переделывается и будет предъявлена на госиспытания не раньше июня-июля 1935г. Двухместный и истребитель ДИ-б (зав. 39), вместо предъявления на госисиспытания 1.1Х-с.г., в начале декабря только вышел на заводские испытания. Машина показывает хорошие летные данные, но к серийному производуству никакой подготовки не ведется. Пушечный истребитель ИП.-1 (Григорович) должен был выйти на. госиспытания 1.Х1- с.г. с новой 76 м/м пушкой АПК-12. В настоящее время этот истребитель проходит заводские испытания, на нем установлена старая мало надежная пушка АПК-4, к серийному производству подготовка начата лишь за последнее время. Совершенно не ведется работа по модернизации И-14 (ЦАГИ). из-за отсутствия 45 м/м пушки и постройке пушечного истребителя ИП-2 (констр. Григорович). Последний вместо ИП-2 с мотором Испано-Сюиза и 45 мм пушкой АПК-13, строит ИП-3 с мотором Райт-Циклон...</w:t>
      </w:r>
    </w:p>
    <w:p w14:paraId="7FCB6C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Между тем вобласти истребительской авиации с выпускском И-18, хотя мы превосходим по скоростям известные нам европейские машины, но явно отстаем от американских, где до неофициальным данным имеются истребители со скоростью свыце 450 клм. в час. Кроме того, наши истребители, за исключением вновь строящейся малины Григоровича, значительно теряют в скорости зимой, ибо лыжное шасси не убираются и никакого внимания этому вопросу со стороны ГУАП нет.</w:t>
      </w:r>
    </w:p>
    <w:p w14:paraId="3A0DB2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скоростным разведчикам. Планом предусмотрено предъявление к1.УШ-34 г. на госиспытания разведчдка ЛР (зав. № 39), но эта машина потерпела аварию и была пред'явлена на госиспытания лишь в сентябре месяце, по из-за вооружения испытания не прошла; в настоящее время пред'явлена вторично. По плану заказов в 1935 г. должно быть выпущено 400 шт. ЛР.- Однако, для подготовки их производства в серии ничего не сделало, несмотря на то, что самая машина была готова к октябрю месяцу.</w:t>
      </w:r>
    </w:p>
    <w:p w14:paraId="3A810B4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Сильно запаздывает постройка разведчика Р-9 (зав. № 39). В настоящее время сделан только макет, а машина по плану должно быть на испытаниях к 1.У1-35 г.</w:t>
      </w:r>
    </w:p>
    <w:p w14:paraId="039A8D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легким крейсерам Наркоматом Обороны до самого последнего времени не было дано даже технических условий.</w:t>
      </w:r>
    </w:p>
    <w:p w14:paraId="5B21A8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бомбардировщик ЦИГИ по плану должен был выйти на госиспытания к 1.ХП-34 г., однако он запаздывает, примерно на два месяца, ибо первый экземпляр его с моторами "Райт-Циклон" разбит, при чем при первых полетах выяснилась необходимость целого ряда дополнительных переделок. В настоящее время вышел на заводские испытания второй экземпляр с моторами "Испано-Сюиза”. Машина должна дать скорость 370 км/час и является чрезвычайно ценной, поэтому нужно всячески форсировать ее серийное производство. Однако налицо большое запоздание в подготовке серийного производства. ГУАП'ом только в начале октября регшено, что эта машина будет строиться в серии на заводе № 22.</w:t>
      </w:r>
    </w:p>
    <w:p w14:paraId="353E98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Последний не развернул еще подготовки к освоению нового технологи - потайная клепка; новый материал ВВ-2 супердюраль).</w:t>
      </w:r>
    </w:p>
    <w:p w14:paraId="3D5ED7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Металлургическая база для обеспечения внедрения в серию этой машины не подготовлена. Аллюминиевый завод им. Ворошилова в Ленинграде не знаект, какое количество нового материала он должен поставить и не может вести подготовку. Подчиненный ГУАП'у алюминиевый завод № 95 к производству этого нового сплава и листов из него совершенно не готов. ГУАПом ничего не сделано также для внедрения в серийное производство нового усовершенствованного оборудования самолета (спрятанные в крыле фары, ракетодержатели и т.п.). </w:t>
      </w:r>
    </w:p>
    <w:p w14:paraId="7A717A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морским машинам ЦАГИ выпустил на заводские испытания морской дальний разведчик МДР-4. На испытании обнаружилась значительная вибрация хвоста. Эта машина с мотором М-34-Р имеет максимальную скорость 225 клм, необходимо для получения больших скоростей и высотности форсировать установку на ней моторов с нагнетателем.</w:t>
      </w:r>
    </w:p>
    <w:p w14:paraId="6E7F8B7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артиллерийско-стрелковому и химическому вооружению вновь выпускаемых машин  положение особенно неблагополчно. Это происходит прежде всего вследствие того, что  у Наркомата Обороны нет строго продуманной программы  требований и работ в этой областа. Например: ЦАГИ не имеет требований по химическому вооружению и ни Военно-химическое управление, ни УВВС этому вопросу внимания не уделяют. В итоге химическое вооружение имеет только устарелый Р-5, но ТБЗ и вновь выпускаемый скоростной бомбардировщик выходят без него. О слабости работы Наркомата Обороны по установке вооружения на самолетах свидетельствует факты, что НИИ ВВС были приняты после испытаний туреда ТУР-6 а ТУР-8, впослежствии же обе из них оказались неудовлетворительными. Об отсутствии продуманной программы по установке вооружения, говорит тот факт, что ЦАГИ работает сейчас на 52 образцами, а в итоге на одной установки ЦАГИ до серийного производства не доведено. Только за последнее время начинается кое-какой сдвиг в части вооружения скоростных машин. На 39 заводе машина ЛР также не прошла в сентябре госиспытаний из-за вооруния.</w:t>
      </w:r>
    </w:p>
    <w:p w14:paraId="2E1735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Нужно прямо сказать, что и ЦАГИ и ГУАПом в целом вопросам вооружения должного внимания не уделяется. ТБ-7 проектируется сейчас без должной проработки схемы вооружения. На выпущенном МДР-4 все 3 гнезда под турелью запроектированы различных диаметров. В ЦАГИ работой по вооружению руководит Надашкевич, который вместо руководства конкурирует со своими подчиненными, секретничает, тормозит их работу. Так, например, им было задержано на несколько лет применение изобретения группы инженеров и инженера Виневидова по сбрасывателям бомб п спецгрузов для ТБЗ а только после Наркомата Оборона дело было сдвинуто с мертвой точки. В аппарате ГУАП до последнего времена не было ни одного сведущего в вооружении человека.</w:t>
      </w:r>
    </w:p>
    <w:p w14:paraId="4B7E32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пушкам Курчевского ми имеем 4 образца, предложенных для вооружения самолеетов, однако ни один из этих образцов как конструктивно, так и в особенности по причинам плохого производства на заводе, до конца не доведен. Стоящая сейчас на вооружении истребители ЗЭТ АПК-4 является ненадежной. По заявлению самого Курчевского, истребитель ЗЭТ пригоден лишь для стрельбы по земным целям, но не для борьбы с самолетами противника.</w:t>
      </w:r>
    </w:p>
    <w:p w14:paraId="436FB5C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Причины срыва сроков в выполнении правительственного плана опытного самолетостроения лежат, прежде всего, в том, что ГУАП (т. Королев и т. Ермолаев) не вел систематического наблюдения и руководства как самим опытным строительством, так и подготовкой серийного производства.</w:t>
      </w:r>
    </w:p>
    <w:p w14:paraId="2F9E05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Опоздания в опытном самолетостроении в очень большой степени определяются недостаточностью научно-исследовательской и экспериментальной работы в наших конструкторских организациях и, в первую очередь, в векдущем институте - ЦАГИ. Вследствие, этого неизбежны многочисленные переделки после выхода машины на аэродром, Например, по скоростному бомбардировщику ЦАГИ врезультате продувок были увеличены площади рулей и стабилизатора, а после полета пришлось увеличивать площадь стабилизатора и уменьшать площадь рулей. Работники ЦАГИ и Глававиапрома правильно ставили вопрос о недостатках и устарелости существующего аэродинамического оборудования, в то же время ничего не сделали для возможной его модернизации (например, увеличения скорости продувки), сводя весь вопрос линь к постройке новойболъшой трубы. Как следствие явного отставания НИ и экспериментальной работы наблюдается исключительная </w:t>
      </w:r>
      <w:r w:rsidRPr="00E14102">
        <w:rPr>
          <w:color w:val="000000" w:themeColor="text1"/>
          <w:sz w:val="16"/>
          <w:szCs w:val="16"/>
        </w:rPr>
        <w:lastRenderedPageBreak/>
        <w:t>медлительность вприменении ряда прискособлений, увеличивающих диапазон скоростей на самолете, Наши конструктора очень робко применяет закрылки и стоящие на наших машинах закрылки значительно менее эффективны заграничных. До сего времени ничего реального не сделано по уборке в крыло радиаторов и только в январе 1935 г. отдается выход опытного образца "Р-б" с убраным радиатором. Экспериментальная бригада ЦАГИ занята главным образом серийным заказом, а не экспериментальными работами.</w:t>
      </w:r>
    </w:p>
    <w:p w14:paraId="5C587B3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заводе № 39 план опытного самолетостроения был принесен в жертву сравнительно небольшого серийному заказу, ибо на выполнение серии нажимали все, а выполнением плана опытного строительства никто не интересуется. Об игнорировании плана опытного строительства красноречиво говорят цифры затрат часов на опытное строительство. Так, за первую половину 1934 г. завод № 39 расходовал на опытное строительство в среднем 65 тыс. часов в месяц, после утверждения правительством плана опытного самолетостроения эта цифра снижается и составляет в июле 70 тыс., в августе - 73 тыс., в сентябре - 60 тыс. а воктябре - 65 тыс. часов.</w:t>
      </w:r>
    </w:p>
    <w:p w14:paraId="497B278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Постановление СТО от 14.УП о переходе к финансированию опытного самолетостроения по твердой смете не выполнено. Стоимость опытной машины продолжает оставаться крайне высокой, значительно превышающей намеченную планом смету. Так, по второму экземпляру скоростного бомбардировщика ЦАГИ при готовности машины на 1-ое ноября в 65,4%, производственная смета была ихрасходована на 89%. </w:t>
      </w:r>
    </w:p>
    <w:p w14:paraId="14A80AE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Исключительно тяжело сказывается па сроках выполнения плана опытного машиностроения огромная аварийность, наблюдающаяся в текущем году при испытании опытных машин. Вслед за катастрофой МДР-4 в нынешнем году имели место следующие аварии опытных машин: авария легкого разведчика на заводе № 39, авария стальной машины в Московском авиационном институте, авария электронной машины на заводе № 1, авария скоростного бомбардировщика в ЦАГИ, авария морского крейсера ЦАГи на Черном море, авария учебного бомбардировщика в Казанском авиационном институте.</w:t>
      </w:r>
    </w:p>
    <w:p w14:paraId="0DB74E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Эта огромная аварийность не случайна и является следствием крайне плохой организации испытаний вГУАП'е в целом, в силу чего</w:t>
      </w:r>
      <w:r w:rsidRPr="00E14102">
        <w:rPr>
          <w:color w:val="000000" w:themeColor="text1"/>
          <w:sz w:val="16"/>
          <w:szCs w:val="16"/>
          <w:vertAlign w:val="subscript"/>
        </w:rPr>
        <w:t>;</w:t>
      </w:r>
      <w:r w:rsidRPr="00E14102">
        <w:rPr>
          <w:color w:val="000000" w:themeColor="text1"/>
          <w:sz w:val="16"/>
          <w:szCs w:val="16"/>
        </w:rPr>
        <w:t xml:space="preserve"> вполне возможно, имело место и вредительство.</w:t>
      </w:r>
    </w:p>
    <w:p w14:paraId="4C401E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Считая, что, несмотря на ряд новыхуспехов вобласти самолетостроения, общая реализация июльского решения СТО проходит крайне медленно и по ряду моментов срывается, мы просим вновь поставить этот вопрос на Комиссии Обороны (3419,41).</w:t>
      </w:r>
    </w:p>
    <w:p w14:paraId="52E38BA8" w14:textId="77777777" w:rsidR="00D4105E" w:rsidRPr="00E14102" w:rsidRDefault="00D4105E" w:rsidP="00E14102">
      <w:pPr>
        <w:autoSpaceDE w:val="0"/>
        <w:autoSpaceDN w:val="0"/>
        <w:adjustRightInd w:val="0"/>
        <w:jc w:val="both"/>
        <w:rPr>
          <w:color w:val="000000" w:themeColor="text1"/>
          <w:sz w:val="16"/>
          <w:szCs w:val="16"/>
        </w:rPr>
      </w:pPr>
    </w:p>
    <w:p w14:paraId="7E719A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января 1935 года уполномоченный НКТП по спецработам Л.В. Курчевский писал письмо № 54с председателю СНК Молотову</w:t>
      </w:r>
    </w:p>
    <w:p w14:paraId="673A4A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Представляя при сем копию записки профессора по вопросу об использовании авиационной артиллерии для поражения морских целей, обращаю Ваше внимание на то, что применяя на истребителях пушки калибра 76 мм и выше, при достаточном количестве этих истребителей, мы можем на Дальневосточном театре совершенно парализовать все вспомогательные операции Японского флота, что сделает невозможным выход в море их главных сил.</w:t>
      </w:r>
    </w:p>
    <w:p w14:paraId="424438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соединении с 305 мм системами ДРП на миноносцах, наличии подводных лодок и артиллерийских самолетов, можно сделать невозможными какие-либо активные операции для Японского флота.</w:t>
      </w:r>
    </w:p>
    <w:p w14:paraId="4E2C78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тем, что до настоящего времени работы по артиллерийскому самолетостроению и по изготовлению пушек для них, протекали совершенно неудовлетворительно, о чем Вы уже знаете из моего личного обращения к Вам, я прошу Вас при рассмотрении этого вопроса в КО по возможности выяснить причину нашего отставания в столь важном вопросе и создать более благоприятную обстановку для моих работ в Управлении ВВС и в ГВМУ, где до сего времени достаточного внимания этому вопросу не уделялось.</w:t>
      </w:r>
    </w:p>
    <w:p w14:paraId="1B0B68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 постановки в опросы в КО зависит существенным образом начало реальной работы по установкам крупнокалиберной артиллерии на эсминцах, так как без решения Правительства другие организации конкретно к работе не приступают.</w:t>
      </w:r>
    </w:p>
    <w:p w14:paraId="1FB052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 копия записки профессора Петрова (2426,32).</w:t>
      </w:r>
    </w:p>
    <w:p w14:paraId="4A4B0C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января 1935 года профессор М. Петров писал письмо председателю НТК ГАУ на № 299/120 секр.</w:t>
      </w:r>
    </w:p>
    <w:p w14:paraId="3C2DA4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независящим от меня обстоятельствам, Ваш № 299/120с/с от 22 ноября, мной был получен только 26 декабря, вследствие чего я не имел возможности ранее представить требуемые предварительные соображения по вопросу о средствах поражения морских кораблей.</w:t>
      </w:r>
    </w:p>
    <w:p w14:paraId="3E10EC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Представляю эти соображения, пока предварительные, по двум вопросам:</w:t>
      </w:r>
    </w:p>
    <w:p w14:paraId="2A52D54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 перспективах использования авиационной артиллерии, в частности пушек ДРП для поражения морских целей.</w:t>
      </w:r>
    </w:p>
    <w:p w14:paraId="46CCB0C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 xml:space="preserve">Предложение по принципиальной установке на выбор средств для поражения морских целей </w:t>
      </w:r>
    </w:p>
    <w:p w14:paraId="35A68D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Уполномоченному по спецработам при НКТП Курчевскому Л.В.</w:t>
      </w:r>
    </w:p>
    <w:p w14:paraId="5195CE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сем представляю Вам второй экземпляр материала, представленного одновременно мной председателю Научного комитета ГАУ РККА (2426,33).</w:t>
      </w:r>
    </w:p>
    <w:p w14:paraId="7B3268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января 1935 года профессор М. Петров писал письмо председателю НТС ГАУ, уполномоченному по спецработам НКТП Курчевскому</w:t>
      </w:r>
    </w:p>
    <w:p w14:paraId="57E661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Предварительные соображения о перспективах использования авиационной артиллерии, в частности ДРП, по морским целям</w:t>
      </w:r>
    </w:p>
    <w:p w14:paraId="3C2916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данном этапе техники вопрос не стоит об использовании авиационной артиллерии в качестве средства, решающего основные задачи морского боя против линкоров, бронированных кораблей вообще и против крейсеров.</w:t>
      </w:r>
    </w:p>
    <w:p w14:paraId="0F49E7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данный момент мы можем говорить конкретно:</w:t>
      </w:r>
    </w:p>
    <w:p w14:paraId="213F73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об орудиях системы АПК 100 мм, 76,2 мм, 45мм и 37 мм с облегченным снарядом</w:t>
      </w:r>
    </w:p>
    <w:p w14:paraId="1A446C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об автоматических пушках 20 мм, 37 мм обычного принципа</w:t>
      </w:r>
    </w:p>
    <w:p w14:paraId="4DF93E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 газодинамических снарядах 80 и 130 мм</w:t>
      </w:r>
    </w:p>
    <w:p w14:paraId="6DD3DC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Эти калибры лимитируют разрушительные возможности авиационной артиллерии и определяют ее вспомогательное значение при поражении морских целей.</w:t>
      </w:r>
    </w:p>
    <w:p w14:paraId="73BC40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не говоря уже о перспективах дальнейшего развития авиационных орудийных систем, уже сегодня представляется посильным для них разрешение ряда задач, имеющих, в общем ходе войны, существенное значение.</w:t>
      </w:r>
    </w:p>
    <w:p w14:paraId="180CE9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Ниже приводим перечень этих задач, пользуясь случаем отметить некоторые тактические требования, из них проистекающие, для авиационной артиллерии.</w:t>
      </w:r>
    </w:p>
    <w:p w14:paraId="4254A54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Обеспечение атаки бомбардировщиков по морским целям.</w:t>
      </w:r>
    </w:p>
    <w:p w14:paraId="445693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Существенными требованиями для обеспечения атаки бомбардировщиков являются: огнем обеспечивающей части загнать вниз или дезорганизовать работу прислуги зенитной артиллерии расположенной на палубе; обязать противника разделить отражающий огонь по другим целям, ослабив сосредоточение по атакующим бомбардировщикам; сковать действия неприятельской истребительной авиации.</w:t>
      </w:r>
    </w:p>
    <w:p w14:paraId="486674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Соединение пушечных самолетов, сопровождающих атакующих бомбардировщиков, объективно может:</w:t>
      </w:r>
    </w:p>
    <w:p w14:paraId="1DA2EA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 момент, непосредственно предшествующий атаке, когда бомбардировщики лягут на “боевой курс”, а корабельная зенитная артиллерия приготовится развить свою полную мощь, сосредоточенным огнем пушечных самолетов, по палубе и надстройкам, нанести потери прислуге зенитных пушек, повредить оборудование последних и связь, зажечь приготовленные очереди снарядов и пр.</w:t>
      </w:r>
    </w:p>
    <w:p w14:paraId="0E119D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Эта задача может быть выполнена, при достаточном количестве попавших снарядов калибрами 37 мм и выше. Наиболее подходящим явятся, по нашему мнению калибры сверх 45 мм (вес снаряда более 1 кг), обладающие ощутимым фугасным действием.</w:t>
      </w:r>
    </w:p>
    <w:p w14:paraId="54CF64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Полагаем, что 100 попавших в короткий промежуток времени в палубу корабля снарядов калибра 45 мм или 50 – 76,2 мм-х, явятся существенным данным для погашения эффективности отражающего огня зенитных открытых орудий.</w:t>
      </w:r>
    </w:p>
    <w:p w14:paraId="3349FA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Если даже имеемые “ЗЕТы” оборудовать хорошим прицелом специально для этой цели, то эскадрилья их (16 самолетов), на сближении с 4 км до 1,5-2-х могла бы дать 50-60 попаданий), учитывая большие размеры цели, дающие возможность при наличии повторяем, хорошего прицела, достичь 25-30% попаданий. Их огнем пренебрегать не приходится.</w:t>
      </w:r>
    </w:p>
    <w:p w14:paraId="381291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Если же, на последующих новых самолетах увеличить боезапас, создать лучшие условия для стрельбы, то эффект их атаки для обеспечения бомбардировщиков может быть значительно повышен.</w:t>
      </w:r>
    </w:p>
    <w:p w14:paraId="3B71B3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Отвлечь внимание, разделить огонь зенитной артиллерии противника в целях обеспечения атаки бомбардировщиков – задача разбираемая пушечными самолетами преимущественно перед истребителями, сопровождающими бомбардировщиков.</w:t>
      </w:r>
    </w:p>
    <w:p w14:paraId="13F0F0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Сочетание этой задачи с предыдущей определит тактику пушечной авиации для обеспечения атаки бомбардировщиков: можно будет идти на близкие дистанции, в особенности обязывающие противника разделить огонь, и в то же время дающие большие шансы попадания. Отмечаем здесь гибкость боевого маневрирования пушечных самолетов, не связанных определенным направлением и жесткой дистанцией: они могут угрожать с разных расстояний и сторон одновременно.</w:t>
      </w:r>
    </w:p>
    <w:p w14:paraId="1D34C8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При наличии у противника истребительной корабельной авиации, пушечным самолетам может быть дана задача обеспечения от них.</w:t>
      </w:r>
    </w:p>
    <w:p w14:paraId="0CEF86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 При наличии в составе отряда противника, авианосцев, пушечные самолеты находят для себя хорошую цель в виде полетной площадки последних, поражение которое снарядами, начиная с 76 мм, может привести ее во временную негодность.</w:t>
      </w:r>
    </w:p>
    <w:p w14:paraId="5BFFA3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Если развитие техники дымовых снарядов позволит разрешить давно стоящую на очереди задачу – закрытия дымзавесой кораблей противника с целью затруднить огонь тех из них, кои нами не обстреливаются, то пушечные самолеты вооруженные калибром сверх 76 мм вероятно смогут использовать эту возможность для обеспечения от зенитного огня бомбардировщиков со стороны последних.</w:t>
      </w:r>
    </w:p>
    <w:p w14:paraId="794227D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борьбы с подводными лодками.</w:t>
      </w:r>
    </w:p>
    <w:p w14:paraId="79FEB5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границей большое значение придается использованию самолетов, вооруженных пушками (37 мм) для борьбы с подводными лодками. По-видимому, это вызывается следующими соображениями:</w:t>
      </w:r>
    </w:p>
    <w:p w14:paraId="3B84CB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Уже попаданий 37 мм снаряда достаточно, чтобы причинить существенные, с большой вероятностью смертельные, повреждения.</w:t>
      </w:r>
    </w:p>
    <w:p w14:paraId="707F16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б) Сложность поражения лодки, в подводном ее состоянии при помощи глубинных бомб, в особенности при запоздалом подходе уничтожающих кораблей, когда требуется покрывать взрывами большие объемы вероятного ее нахождения.</w:t>
      </w:r>
    </w:p>
    <w:p w14:paraId="568F57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Бомбы с самолетов, могущих быстро сосредоточиваться к месту обнаружения лодки, имеют относительно большую вероятность застигнуть лодку, но малое количество бомб, сами условия бомбометания, затрудняют борьбу с лодкой, успевшей заблаговременно погрузиться. Естественно стремление поразить лодку еще в надводном положении, что гораздо более доступно артиллерии, при возможности открыть огонь на лодке тотчас по ее обнаружении.</w:t>
      </w:r>
    </w:p>
    <w:p w14:paraId="541C1D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Возрастающая скорость на современных подводных лодках перехода из надводного в подводное положение, измеряемая в настоящее время долями минуты, что дает новую аргументацию целесообразности использования пушек с самолета для этой цели.</w:t>
      </w:r>
    </w:p>
    <w:p w14:paraId="559F79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рекламных информациях об английских морских самолетах, вооруженных 37 мм пушкой Виккерса указано, что их главное назначение – борьба с подводными лодками.</w:t>
      </w:r>
    </w:p>
    <w:p w14:paraId="620572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Оценивая вопрос для наших условий, нам представляется что:</w:t>
      </w:r>
    </w:p>
    <w:p w14:paraId="060D39C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Авиационная артиллерия не заменит глубинных бомб, которые должны остаться на вооружении самолетов.</w:t>
      </w:r>
    </w:p>
    <w:p w14:paraId="446D71F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Но пушки с самолета необходимы, и по сути дела, являются единственным средством для поражения лодки в надводном положении, когда вывод ее из строя может быть достигнут легче всего.</w:t>
      </w:r>
    </w:p>
    <w:p w14:paraId="35B9C3D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 надлежащем количестве дозорных пушечных самолетов, ведущих наблюдение за определенным районом, имеется большая вероятность: во-первых не допустить ориентировки лодкам противника, для чего они должны всплыть (не говоря уже о перезарядке в светлое время), во-вторых – уничтожить лодку.</w:t>
      </w:r>
    </w:p>
    <w:p w14:paraId="329A979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Так как борьба с подводными лодками ложится не только на специальные дозорные самолеты, но и на разведчиков желательно вооружение разведывательных самолетов морской авиации пушками для этой цели.</w:t>
      </w:r>
    </w:p>
    <w:p w14:paraId="6FB5AA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Сказанное выдвигает вопросы:</w:t>
      </w:r>
    </w:p>
    <w:p w14:paraId="2748E7A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 постройке специальных морских пушечных самолетов.</w:t>
      </w:r>
    </w:p>
    <w:p w14:paraId="32EA9C3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 вооружении пушками самолетов разведывательной морской авиации.</w:t>
      </w:r>
    </w:p>
    <w:p w14:paraId="6D7717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Калибры и системы орудий должны быть уточнены опытом. Лично полагаем 37 мм пушку Шпитального и 45 мм ДРП – основными системами на сегодня для этой цели.</w:t>
      </w:r>
    </w:p>
    <w:p w14:paraId="0CC9EA8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борьбы с легкими и небронированными кораблями.</w:t>
      </w:r>
    </w:p>
    <w:p w14:paraId="393790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Ряд повседневных операций морской войны выполняется вспомогательными судами – дозорными кораблями, тральщиками, судами-охотниками за подводными лодками, транспортами и пр. Все эти вспомогательные суда могут быть объектом поражения авиационной артиллерией. В ряде случае – пушечный самолет явится наиболее удобным средством, чтобы быстро атаковать подобного неприятеля.</w:t>
      </w:r>
    </w:p>
    <w:p w14:paraId="23AC1C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Здесь отметим:</w:t>
      </w:r>
    </w:p>
    <w:p w14:paraId="1CBB48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Борьбу с тральщиками противника.</w:t>
      </w:r>
    </w:p>
    <w:p w14:paraId="57EB66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Как объект, обычный тральщик вполне уязвим снарядами 45, тем более 76,2 мм. Он будет особенно чуток к их нападениям во время выполнения тральных работ. Защита последних от воздушных атак, в частности бомбардировщиков, представляет нелегкую тактическую задачу. Задача эта особенно осложняется при атаке пушечных самолетов, несвязанных с необходимостью выхода на боевой курс, могущих поражать с относительно больших дистанций и с любых направлений.</w:t>
      </w:r>
    </w:p>
    <w:p w14:paraId="7CD77B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Учитывая то огромное значение, которое будут иметь тральные операции в морской войне, применение для этой цели соединений пушечных самолетов особо целесообразно. Лично считаем, что атака звена “ЗЕТов” имеет большую вероятность заставить пару тральщиков бросить тралы. Атака эскадрильи – вероятно будет способна, даже при наличии ПВО сорвать работу их колонны.</w:t>
      </w:r>
    </w:p>
    <w:p w14:paraId="71B206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Отсюда вывод о необходимости использования пушечных самолетов для охраны минных полей у своих берегов и наблюдения за заграждениями поставленными в открытом море.</w:t>
      </w:r>
    </w:p>
    <w:p w14:paraId="55AF5E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Борьбу с торпедными катерами противника.</w:t>
      </w:r>
    </w:p>
    <w:p w14:paraId="43D66D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Проблема бомбежки с воздуха торпедных катеров, этих быстроходных, чрезвычайно маневренных, представляющих сверх малые площадки и действующих массами, представляет весьма трудную задачу. Те объективные трудности, которые присущи вообще бомбардированию по движущимся морским целям, здесь сугубо возрастают.</w:t>
      </w:r>
    </w:p>
    <w:p w14:paraId="142BB4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другой стороны – торпедный катер вполне уязвим снарядами начиная с 20 мм, м по-видимому, можно с уверенностью сказать, что попаданию 45, а тем более 76 мм снаряда в любую часть катера, выводит его из строя.</w:t>
      </w:r>
    </w:p>
    <w:p w14:paraId="6BB8A6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Пушечные самолеты, следовательно, здесь могут быть применимы с большим успехом, преимущественно перед всеми другими средствами, так как самолет может быть по катеру с небольшого расстояния, где последний не сможет уклониться от атаки.</w:t>
      </w:r>
    </w:p>
    <w:p w14:paraId="25C673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намечаются перспективы использования пушечных самолетов для охраны рейдов и гаваней от атак торпедных катеров, для охраны отряда кораблей в море, в районах вероятного нахождения последних.</w:t>
      </w:r>
    </w:p>
    <w:p w14:paraId="495157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Борьбу с десантами средствами противника.</w:t>
      </w:r>
    </w:p>
    <w:p w14:paraId="50A98D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Борьба с десантными средствами противника, справедливо почитается одной из видных задач бомбардировочной авиации.</w:t>
      </w:r>
    </w:p>
    <w:p w14:paraId="13A38C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Она же явится задачей и пушечной авиации, в особенности имея в виду:</w:t>
      </w:r>
    </w:p>
    <w:p w14:paraId="045F63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Большую уязвимость десантных транспортов и средств высадки, достаточную для поражения всеми калибрами авиационной артиллерии.</w:t>
      </w:r>
    </w:p>
    <w:p w14:paraId="5A7943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Построение походного порядка десанта и развертывание для высадки на очень больших площадях, что затрудняет бомбежку общего расположения, а поражение отдельных объектов вызывает большие количества бомбардировщиков и бомб. Удобнее эту задачу разрешить пушечными самолетами прицельно атакующими каждый объект, не тратя снарядов на покрытие площадей.</w:t>
      </w:r>
    </w:p>
    <w:p w14:paraId="792608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Естественно ожидать принятия со стороны противника всех средств для ПВО десанта. Отражение пушечного самолета несомненно труднее чем бомбардировщика, в соответствии с чем их боевые возможности, в данном случае следует признать более широкими.</w:t>
      </w:r>
    </w:p>
    <w:p w14:paraId="431A7F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Борьбу с миноносцами противника.</w:t>
      </w:r>
    </w:p>
    <w:p w14:paraId="6A98E9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Хотя миноносцы тоже уязвимы от фугасных снарядов (45 мм и выше), но обладая зенитной артиллерией (довольно сильной на современных), и относительно большей живучестью чем перечисленные выше классы кораблей, лично мы не считаем достаточным вооружение пушечных самолетов для борьбы с ними.</w:t>
      </w:r>
    </w:p>
    <w:p w14:paraId="073AE6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это вооружение и его возможности будут, вероятно достаточны для случаев, когда надо сковать на несколько минут, огонь миноносцев, в целях обеспечения атаки, выполняемой другими средствами. Если примерная подкидка указывает на возможность использовать пушечные самолеты для обеспечения атак бомбардировщиков по большим кораблям, то тем более это относится к миноносцам.</w:t>
      </w:r>
    </w:p>
    <w:p w14:paraId="799B01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Вот почему, мы считаем целесообразным, использование пушечных самолетов для:</w:t>
      </w:r>
    </w:p>
    <w:p w14:paraId="4A8684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обеспечения от миноносцев атаки собственных торпедных катеров, для которых контратака миноносцев является сильным препятствием;</w:t>
      </w:r>
    </w:p>
    <w:p w14:paraId="25A1D9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обеспечения атаки миноносцев, вооруженных пушками ДРП большого калибра, которые по-видимому этого обеспечения потребуют, от миноносцев противника;</w:t>
      </w:r>
    </w:p>
    <w:p w14:paraId="4D326C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обеспечения атак подводных лодок от истребительных средств противника (в комбинированной атаке).</w:t>
      </w:r>
    </w:p>
    <w:p w14:paraId="2275AF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пушечные самолеты войдут одним из существенных слагаемых в различных видах комбинированных атак: и как средства для удара, и как средства для обеспечения.</w:t>
      </w:r>
    </w:p>
    <w:p w14:paraId="17E0FD7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обеспечения десантных действий.</w:t>
      </w:r>
    </w:p>
    <w:p w14:paraId="2D6805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трогая всей темы десантной операции, в развитии которой найдется ряд моментов, вызывающих целесообразное применение пушечных самолетов, отметим лишь один момент, где их специфические свойства должны быть особо оценены. Это – потребность быстрой артиллерийской поддержки первых бросков десанта для нейтрализации групп и огневых точек противника, на короткое время, нужное чтобы закрепиться нашим частям, пока будет высажена и развернута артиллерия.</w:t>
      </w:r>
    </w:p>
    <w:p w14:paraId="0AB3B8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Поддержка судового огня ограничена в известных пределах складками местности и в основном по площадям. Поддержка бомбардировочной авиации для крупных объектов противника и также по площадям. Пушечные самолеты и штурмовики, лишь они окажут содействие действуя против отдельных точек, вызывающих необходимость прицельного огня. Пушечные самолеты – преимущественно перед штурмовиками, так как они более способны быть прицельным огнем, и эффект их снарядов иной.</w:t>
      </w:r>
    </w:p>
    <w:p w14:paraId="2BBFD2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8F8B8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Приведенный схематический перечень задач пушечной авиации в морской войне показывает, что область применения здесь последней – весьма велика и пронизывает почти все основные случаи боевой деятельности морских сил.</w:t>
      </w:r>
    </w:p>
    <w:p w14:paraId="78BD83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ставит вопрос о включении в состав морской авиации пушечных самолетов, как класса.</w:t>
      </w:r>
    </w:p>
    <w:p w14:paraId="195BCC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Сама обстановка действий на море, вызывает необходимость помимо использования сухопутных пушечных самолетов, постройки гидро, вооруженных артиллерией, характерной особенностью которых, помимо обще-конструктивных, должны явиться:</w:t>
      </w:r>
    </w:p>
    <w:p w14:paraId="71BC34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относительно больший район действий, вследствие иного характера морского театра;</w:t>
      </w:r>
    </w:p>
    <w:p w14:paraId="5C34F4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как общее правило – относительно больший запас, здесь могущий быть взятым в перегрузку.</w:t>
      </w:r>
    </w:p>
    <w:p w14:paraId="769E1C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Что касается строительства, то в план, по нашему мнению, должны быть введены следующие коррективы:</w:t>
      </w:r>
    </w:p>
    <w:p w14:paraId="2ABD0CC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Проектирование и постройка морского пушечного крейсера для задач:</w:t>
      </w:r>
    </w:p>
    <w:p w14:paraId="31A002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а) сопровождения бомбардировочной авиации;</w:t>
      </w:r>
    </w:p>
    <w:p w14:paraId="628A5B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дозора против подводных лодок;</w:t>
      </w:r>
    </w:p>
    <w:p w14:paraId="70F299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совместных действий в комбинированных ударах;</w:t>
      </w:r>
    </w:p>
    <w:p w14:paraId="260624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содействие в охране побережья.</w:t>
      </w:r>
    </w:p>
    <w:p w14:paraId="54C0B06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Проектирование и постройка морского пушечного истребителя для ближних действий.</w:t>
      </w:r>
    </w:p>
    <w:p w14:paraId="7F3C979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Вооружение орудийными системами морских разведчиков.</w:t>
      </w:r>
    </w:p>
    <w:p w14:paraId="529067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отношении выбора систем, на сегодня основными являются системы ДРП, как наиболее реальные и Швак.</w:t>
      </w:r>
    </w:p>
    <w:p w14:paraId="08EC00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Как видно из всего изложенного, каких-либо новых калибров, сверх тех, кои предусмотрены развитием пушечной авиации и в том или ином виде уже вошли в план, не требуется (2426,34-40).</w:t>
      </w:r>
    </w:p>
    <w:p w14:paraId="60CD39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января 1935 Профессор Петров писал:</w:t>
      </w:r>
    </w:p>
    <w:p w14:paraId="3C1233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Некоторые принципиальные установки по вопросу о выборе средств поражения морских кораблей</w:t>
      </w:r>
    </w:p>
    <w:p w14:paraId="213CCA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 предполагаю, что постановка вновь вопроса о выборе средств поражения морских кораблей, диктуется сложившимися предпосылками конъюнктурно-оперативного порядка. Перечень средств поражения, равно как и их свойства для данного этапа военной техники можно считать выявленными достаточно (артснаряды, бомбы, торпеды и мины). Очевидно, вопрос идет о том, на что следует взять упор, имея в виду, по причине недостаточного состава наших морских сил, борьбу с сильнейшим противником, прямое соревнование, с которым путем противопоставления тех же средств борьбы, для нас является бесперспективным.</w:t>
      </w:r>
    </w:p>
    <w:p w14:paraId="343219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Думаю так же, что вопрос сводится не к тому, чтобы нанести врагу “уколы” или поставить его в необходимость внести элемент риска в операции против нас и пр., а к тому, чтобы создать определенное перед ним боевое преимущество, на котором базировать собственные победные предположения.</w:t>
      </w:r>
    </w:p>
    <w:p w14:paraId="0109EE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этого, беру на себя смелость предложить следующие тезисы к работе по выбору боевых средств:</w:t>
      </w:r>
    </w:p>
    <w:p w14:paraId="751F5A8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Искать данным средством, или совокупностью выбранных средств полноценного решения, т.е. положительного подтвержденного ясным расчетом, завершения основных операций морской обороны, в виде ли нанесения поражения основной части морских сил неприятеля, в виде ли создания обстановки исключающей для противника успешное ее использование.</w:t>
      </w:r>
    </w:p>
    <w:p w14:paraId="4EE1C15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Ставить задачу четко и грубо, без распространительных, лишающих конкретности оговорок (сюда отношу ряд “мифов” – о всемогуществе подводных лодок, торпедных катеров, о непреодолимом кольце береговых батарей, о крейсерской войне без баз в океане и пр., “мифов” не потому, что в них отсутствует логика, а потому, что они не обращены в количества, не имеют цифрового выражения и культивируются часто безотносительно карты и обстановки).</w:t>
      </w:r>
    </w:p>
    <w:p w14:paraId="45C418F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Наряду с оценкой разрушительного действия данного средства, производить одновременно ясный, конкретный расчет о количестве этих образцов для полного решения задачи и о мерах потребного обеспечения, нужных чтобы создать обстановку, в которой они могут реализовать свою полную отдачу.</w:t>
      </w:r>
    </w:p>
    <w:p w14:paraId="0EFF02E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 закрывать того, что цифры получаются большие, масштаб потребного – огромен. Когда вопрос стоит о борьбе с первоклассными морскими силами противника, иного результата и быть не может.</w:t>
      </w:r>
    </w:p>
    <w:p w14:paraId="681EB706" w14:textId="77777777" w:rsidR="00D4105E" w:rsidRPr="00E14102" w:rsidRDefault="00D4105E" w:rsidP="00E14102">
      <w:pPr>
        <w:autoSpaceDE w:val="0"/>
        <w:autoSpaceDN w:val="0"/>
        <w:adjustRightInd w:val="0"/>
        <w:jc w:val="both"/>
        <w:rPr>
          <w:iCs/>
          <w:color w:val="000000" w:themeColor="text1"/>
          <w:sz w:val="16"/>
          <w:szCs w:val="16"/>
        </w:rPr>
      </w:pPr>
      <w:r w:rsidRPr="00E14102">
        <w:rPr>
          <w:color w:val="000000" w:themeColor="text1"/>
          <w:sz w:val="16"/>
          <w:szCs w:val="16"/>
        </w:rPr>
        <w:t>На основании изложенного, я полагал бы целесообразным взять две или три типичные операции как задание и на фоне их поставить вопрос о выборе средств. Может быть выяснится при этом, что фиксируя подготовку именно к этим операциям, откинув другие задачи важные для нашего противника по другим соображениям, но не существенными для нас, мы найдем правильное решение (2426,41).</w:t>
      </w:r>
    </w:p>
    <w:p w14:paraId="7D6044FB" w14:textId="77777777" w:rsidR="00D4105E" w:rsidRPr="00E14102" w:rsidRDefault="00D4105E" w:rsidP="00E14102">
      <w:pPr>
        <w:autoSpaceDE w:val="0"/>
        <w:autoSpaceDN w:val="0"/>
        <w:adjustRightInd w:val="0"/>
        <w:jc w:val="both"/>
        <w:rPr>
          <w:iCs/>
          <w:color w:val="000000" w:themeColor="text1"/>
          <w:sz w:val="16"/>
          <w:szCs w:val="16"/>
        </w:rPr>
      </w:pPr>
    </w:p>
    <w:p w14:paraId="71434F49" w14:textId="77777777" w:rsidR="0063005B" w:rsidRPr="00E14102" w:rsidRDefault="0063005B" w:rsidP="00E14102">
      <w:pPr>
        <w:pStyle w:val="a7"/>
        <w:rPr>
          <w:color w:val="000000" w:themeColor="text1"/>
          <w:sz w:val="16"/>
          <w:szCs w:val="16"/>
          <w:lang w:val="ru-RU"/>
        </w:rPr>
      </w:pPr>
      <w:r w:rsidRPr="00E14102">
        <w:rPr>
          <w:color w:val="000000" w:themeColor="text1"/>
          <w:sz w:val="16"/>
          <w:szCs w:val="16"/>
          <w:lang w:val="ru-RU"/>
        </w:rPr>
        <w:t>7 января 1935 г. Обвинительным заключением в преступлении по статье 193-17, пункт «а» УК РСФСР, санкционированным помощником военного прокурора МВО Гавриловым, под суд ВКВС СССР были отданы 11 руководителей «Дирижа</w:t>
      </w:r>
      <w:r w:rsidRPr="00E14102">
        <w:rPr>
          <w:color w:val="000000" w:themeColor="text1"/>
          <w:sz w:val="16"/>
          <w:szCs w:val="16"/>
          <w:lang w:val="ru-RU"/>
        </w:rPr>
        <w:softHyphen/>
        <w:t>блестроя» разных рангов. Не избежали своей участи и исключенные из партии А.Н. Флаксерман и Н.И. Соловьев.</w:t>
      </w:r>
    </w:p>
    <w:p w14:paraId="3E459855" w14:textId="77777777" w:rsidR="0063005B" w:rsidRPr="00E14102" w:rsidRDefault="0063005B" w:rsidP="00E14102">
      <w:pPr>
        <w:pStyle w:val="a7"/>
        <w:rPr>
          <w:color w:val="000000" w:themeColor="text1"/>
          <w:sz w:val="16"/>
          <w:szCs w:val="16"/>
          <w:lang w:val="ru-RU"/>
        </w:rPr>
      </w:pPr>
      <w:r w:rsidRPr="00E14102">
        <w:rPr>
          <w:color w:val="000000" w:themeColor="text1"/>
          <w:sz w:val="16"/>
          <w:szCs w:val="16"/>
          <w:lang w:val="ru-RU"/>
        </w:rPr>
        <w:t>Нелестными оказались и выводы «Конъюктурного отчета о деятельности «Дирижаблестроя» и его подразделений за 1934 г.». План по Долгопрудненской верфи выполнен на 85,7% (неумелое руководство, слабая организация труда, отсутствие технических норм, плохие чертежи КБ, недостаток квалифицированных кадров, их большая текучесть). Доходило до смешного. Летный план за январь, напри</w:t>
      </w:r>
      <w:r w:rsidRPr="00E14102">
        <w:rPr>
          <w:color w:val="000000" w:themeColor="text1"/>
          <w:sz w:val="16"/>
          <w:szCs w:val="16"/>
          <w:lang w:val="ru-RU"/>
        </w:rPr>
        <w:softHyphen/>
        <w:t>мер, оказался не выполнен за отсутствием теплой обуви для стартовой команды из 120 человек, недоделками и переделками по кораблю В-6 (12732).</w:t>
      </w:r>
    </w:p>
    <w:p w14:paraId="0EF1D59D" w14:textId="77777777" w:rsidR="0063005B" w:rsidRPr="00E14102" w:rsidRDefault="0063005B" w:rsidP="00E14102">
      <w:pPr>
        <w:pStyle w:val="a7"/>
        <w:rPr>
          <w:color w:val="000000" w:themeColor="text1"/>
          <w:sz w:val="16"/>
          <w:szCs w:val="16"/>
          <w:lang w:val="ru-RU"/>
        </w:rPr>
      </w:pPr>
    </w:p>
    <w:p w14:paraId="6E9CAE9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BE3C149" w14:textId="77777777" w:rsidR="00D4105E" w:rsidRPr="00E14102" w:rsidRDefault="00D4105E" w:rsidP="00E14102">
      <w:pPr>
        <w:autoSpaceDE w:val="0"/>
        <w:autoSpaceDN w:val="0"/>
        <w:adjustRightInd w:val="0"/>
        <w:jc w:val="both"/>
        <w:rPr>
          <w:iCs/>
          <w:color w:val="000000" w:themeColor="text1"/>
          <w:sz w:val="16"/>
          <w:szCs w:val="16"/>
        </w:rPr>
      </w:pPr>
    </w:p>
    <w:p w14:paraId="3B7AD7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7 января 1935 г. вышел Приказ Наркомтяжпрома № 59 о перевыполнении Электрозаводом годовой программы по выпуску магнето </w:t>
      </w:r>
    </w:p>
    <w:p w14:paraId="72BA60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1934 г. Электрозавод дал выпуск магнето 200 тыс. шт. против задания по контрольным цифрам 173 тыс. шт. </w:t>
      </w:r>
    </w:p>
    <w:p w14:paraId="731DEA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Выпуском 200 тыс. шт. магнето целиком покрывается потребность страны и прекращается импорт. В борьбе за 200 тыс. магнето Электрозавод выполнил свою программу в целом на 106,6%, перевыполнив плановое задание по производительности труда и снижению себестоимости. </w:t>
      </w:r>
    </w:p>
    <w:p w14:paraId="5DBF16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Отмечая эти успехи технического, хозяйственного, партийного руководства и всей общественности, объявляя благодар­ность рабочим, ИТР и руководству завода, приказываю премировать: </w:t>
      </w:r>
    </w:p>
    <w:p w14:paraId="06D6C6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Электрозавод — десятью грузовыми машинами, одним автобусом и 100 тыс. руб.; </w:t>
      </w:r>
    </w:p>
    <w:p w14:paraId="789328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 директора Электрозавода тов. Петровского и технического директора инженера Вильнера, директора АТЭ тов. Рябова и технического директора АТЭ тов. Зинштадта, начальника автоматно-механического цеха тов. Серебровского, начальника сборочного цеха магнето тов. Павлинова — персональными легковыми машинами. </w:t>
      </w:r>
    </w:p>
    <w:p w14:paraId="407A7A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Народный комиссар тяжелой промышленности </w:t>
      </w:r>
    </w:p>
    <w:p w14:paraId="35BA8D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 Орджоникидзе </w:t>
      </w:r>
    </w:p>
    <w:p w14:paraId="50D0F5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ЦГАНХ СССР, ф. 7297. on. 1, д. 67, л. 100. Ротат. экз. (12053).</w:t>
      </w:r>
    </w:p>
    <w:p w14:paraId="7B56CF9D" w14:textId="77777777" w:rsidR="00D4105E" w:rsidRPr="00E14102" w:rsidRDefault="00D4105E" w:rsidP="00E14102">
      <w:pPr>
        <w:autoSpaceDE w:val="0"/>
        <w:autoSpaceDN w:val="0"/>
        <w:adjustRightInd w:val="0"/>
        <w:jc w:val="both"/>
        <w:rPr>
          <w:color w:val="000000" w:themeColor="text1"/>
          <w:sz w:val="16"/>
          <w:szCs w:val="16"/>
        </w:rPr>
      </w:pPr>
    </w:p>
    <w:p w14:paraId="4C67A196" w14:textId="77777777" w:rsidR="002808C2" w:rsidRPr="00E14102" w:rsidRDefault="002808C2" w:rsidP="00E14102">
      <w:pPr>
        <w:pStyle w:val="rtejustify"/>
        <w:spacing w:before="0" w:after="0"/>
        <w:rPr>
          <w:color w:val="000000" w:themeColor="text1"/>
          <w:sz w:val="16"/>
          <w:szCs w:val="16"/>
        </w:rPr>
      </w:pPr>
      <w:r w:rsidRPr="00E14102">
        <w:rPr>
          <w:rStyle w:val="a6"/>
          <w:bCs/>
          <w:i w:val="0"/>
          <w:color w:val="000000" w:themeColor="text1"/>
          <w:sz w:val="16"/>
          <w:szCs w:val="16"/>
        </w:rPr>
        <w:t>7 января 1935 вышел приказ НКТП № 6с.</w:t>
      </w:r>
      <w:r w:rsidRPr="00E14102">
        <w:rPr>
          <w:color w:val="000000" w:themeColor="text1"/>
          <w:sz w:val="16"/>
          <w:szCs w:val="16"/>
        </w:rPr>
        <w:t xml:space="preserve"> О результатах работы военно-строительного корпуса НКТП СССР в 1934 г. (РГАЭ. Ф. 7297. Оп. 38. Д. 171. Л. 16</w:t>
      </w:r>
      <w:r w:rsidRPr="00E14102">
        <w:rPr>
          <w:color w:val="000000" w:themeColor="text1"/>
          <w:sz w:val="16"/>
          <w:szCs w:val="16"/>
        </w:rPr>
        <w:noBreakHyphen/>
        <w:t>15) (15246).</w:t>
      </w:r>
    </w:p>
    <w:p w14:paraId="3EAED288" w14:textId="77777777" w:rsidR="002808C2" w:rsidRPr="00E14102" w:rsidRDefault="002808C2" w:rsidP="00E14102">
      <w:pPr>
        <w:pStyle w:val="rtejustify"/>
        <w:spacing w:before="0" w:after="0"/>
        <w:rPr>
          <w:color w:val="000000" w:themeColor="text1"/>
          <w:sz w:val="16"/>
          <w:szCs w:val="16"/>
        </w:rPr>
      </w:pPr>
    </w:p>
    <w:p w14:paraId="53CF797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97447DD" w14:textId="77777777" w:rsidR="00D4105E" w:rsidRPr="00E14102" w:rsidRDefault="00D4105E" w:rsidP="00E14102">
      <w:pPr>
        <w:autoSpaceDE w:val="0"/>
        <w:autoSpaceDN w:val="0"/>
        <w:adjustRightInd w:val="0"/>
        <w:jc w:val="both"/>
        <w:rPr>
          <w:iCs/>
          <w:color w:val="000000" w:themeColor="text1"/>
          <w:sz w:val="16"/>
          <w:szCs w:val="16"/>
        </w:rPr>
      </w:pPr>
    </w:p>
    <w:p w14:paraId="5CF5BD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 января 1935 Г. Зиновьев, Л. Каменев и др. приговорены к тюрьме в связи с “моральной ответственностью” за убийство С. Кирова (4962).</w:t>
      </w:r>
    </w:p>
    <w:p w14:paraId="5A73DDF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A185B3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36F8C06" w14:textId="77777777" w:rsidR="00D4105E" w:rsidRPr="00E14102" w:rsidRDefault="00D4105E" w:rsidP="00E14102">
      <w:pPr>
        <w:autoSpaceDE w:val="0"/>
        <w:autoSpaceDN w:val="0"/>
        <w:adjustRightInd w:val="0"/>
        <w:jc w:val="both"/>
        <w:rPr>
          <w:iCs/>
          <w:color w:val="000000" w:themeColor="text1"/>
          <w:sz w:val="16"/>
          <w:szCs w:val="16"/>
        </w:rPr>
      </w:pPr>
    </w:p>
    <w:p w14:paraId="695B6325" w14:textId="77777777" w:rsidR="002808C2" w:rsidRPr="00E14102" w:rsidRDefault="002808C2" w:rsidP="00E14102">
      <w:pPr>
        <w:jc w:val="both"/>
        <w:rPr>
          <w:color w:val="000000" w:themeColor="text1"/>
          <w:sz w:val="16"/>
          <w:szCs w:val="16"/>
        </w:rPr>
      </w:pPr>
      <w:r w:rsidRPr="00E14102">
        <w:rPr>
          <w:bCs/>
          <w:color w:val="000000" w:themeColor="text1"/>
          <w:sz w:val="16"/>
          <w:szCs w:val="16"/>
        </w:rPr>
        <w:t>7 января</w:t>
      </w:r>
      <w:r w:rsidRPr="00E14102">
        <w:rPr>
          <w:color w:val="000000" w:themeColor="text1"/>
          <w:sz w:val="16"/>
          <w:szCs w:val="16"/>
        </w:rPr>
        <w:t xml:space="preserve"> в 1935 году состоялся первый полёт учебно-тренировочного самолета «Кi-9» (компания «Tachicawa», Япония) с двигателем «Ha-13a». Управление самолетом оказалось довольно тяжелым, маневренность - неважной, так как центровка оказалась слишком передней. Кроме того, амортизаторы шасси оказались слишком жесткими. После небольших доработок самолет полетел уже 9 января и был испытан на штопор, после чего его отправили для официальных испытаний в Токорозаву (15002).</w:t>
      </w:r>
    </w:p>
    <w:p w14:paraId="71F77FA5" w14:textId="77777777" w:rsidR="002808C2" w:rsidRPr="00E14102" w:rsidRDefault="002808C2" w:rsidP="00E14102">
      <w:pPr>
        <w:jc w:val="both"/>
        <w:rPr>
          <w:color w:val="000000" w:themeColor="text1"/>
          <w:sz w:val="16"/>
          <w:szCs w:val="16"/>
        </w:rPr>
      </w:pPr>
    </w:p>
    <w:p w14:paraId="73CCFCFD" w14:textId="77777777" w:rsidR="0063683B" w:rsidRPr="00E14102" w:rsidRDefault="0063683B" w:rsidP="00E14102">
      <w:pPr>
        <w:jc w:val="both"/>
        <w:rPr>
          <w:color w:val="0070C0"/>
          <w:sz w:val="16"/>
          <w:szCs w:val="16"/>
        </w:rPr>
      </w:pPr>
      <w:r w:rsidRPr="00E14102">
        <w:rPr>
          <w:color w:val="0070C0"/>
          <w:sz w:val="16"/>
          <w:szCs w:val="16"/>
        </w:rPr>
        <w:t>7 января1935 состоялся первый полет Авро 652 (20800).</w:t>
      </w:r>
    </w:p>
    <w:p w14:paraId="1A125A9E" w14:textId="77777777" w:rsidR="0063683B" w:rsidRPr="00E14102" w:rsidRDefault="0063683B" w:rsidP="00E14102">
      <w:pPr>
        <w:jc w:val="both"/>
        <w:rPr>
          <w:color w:val="0070C0"/>
          <w:sz w:val="16"/>
          <w:szCs w:val="16"/>
        </w:rPr>
      </w:pPr>
    </w:p>
    <w:p w14:paraId="3EE8CAC9" w14:textId="77777777" w:rsidR="002808C2" w:rsidRPr="00E14102" w:rsidRDefault="002808C2" w:rsidP="00E14102">
      <w:pPr>
        <w:jc w:val="both"/>
        <w:rPr>
          <w:color w:val="000000" w:themeColor="text1"/>
          <w:sz w:val="16"/>
          <w:szCs w:val="16"/>
        </w:rPr>
      </w:pPr>
      <w:r w:rsidRPr="00E14102">
        <w:rPr>
          <w:bCs/>
          <w:color w:val="000000" w:themeColor="text1"/>
          <w:sz w:val="16"/>
          <w:szCs w:val="16"/>
        </w:rPr>
        <w:t>7 января</w:t>
      </w:r>
      <w:r w:rsidRPr="00E14102">
        <w:rPr>
          <w:color w:val="000000" w:themeColor="text1"/>
          <w:sz w:val="16"/>
          <w:szCs w:val="16"/>
        </w:rPr>
        <w:t xml:space="preserve"> в 1935 году состоялся первый полёт легкого транспортного самолета «Avro 652», построенный английской фирмой «Avro» («A.V.Roe and Co Ltd»). Представлял собой низкокрылый моноплан с убирающимся шасси, оснащенный двумя двигателями «Armstrong Siddеley Cheetah V». Мог перевозить четырех пассажиров на расстояние свыше 676 км (420 миль) с крейсерской скоростью более чем 209 км/час (130 миль/час). Другими требованиями при проектировании были: скорость сваливания не более 60 миль/час, а также способность удерживаться на высоте 610 м при одном работающем двигателе. Заказано и построено 2 самолёта. Самолеты использовались авиакомпанией «Imperal Airways» до 1938 года. В этом году оба самолета были переданы Королевским ВВС Великобритании для «Air Observers' Navigation School» в качестве самолетов обучения навигации. В 1941 году их передали в No 1 «School of Photography» (15002).</w:t>
      </w:r>
    </w:p>
    <w:p w14:paraId="03B865F4" w14:textId="77777777" w:rsidR="002808C2" w:rsidRPr="00E14102" w:rsidRDefault="002808C2" w:rsidP="00E14102">
      <w:pPr>
        <w:jc w:val="both"/>
        <w:rPr>
          <w:color w:val="000000" w:themeColor="text1"/>
          <w:sz w:val="16"/>
          <w:szCs w:val="16"/>
        </w:rPr>
      </w:pPr>
    </w:p>
    <w:p w14:paraId="542BE8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января 1935 были подписаны римские соглашения Лаваля-Муссолини. Фактически это было поощрение Италии к нападению на Эфиопию (3186).</w:t>
      </w:r>
    </w:p>
    <w:p w14:paraId="3381876D" w14:textId="77777777" w:rsidR="00D4105E" w:rsidRPr="00E14102" w:rsidRDefault="00D4105E" w:rsidP="00E14102">
      <w:pPr>
        <w:autoSpaceDE w:val="0"/>
        <w:autoSpaceDN w:val="0"/>
        <w:adjustRightInd w:val="0"/>
        <w:jc w:val="both"/>
        <w:rPr>
          <w:color w:val="000000" w:themeColor="text1"/>
          <w:sz w:val="16"/>
          <w:szCs w:val="16"/>
        </w:rPr>
      </w:pPr>
    </w:p>
    <w:p w14:paraId="0B353F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января 1935 Министр иностранных дел Франции П.Лаваль и премьер-министр Италии Б.Муссолини подписали в Марселе (Франция) соглашение об урегулировании отношений между Францией и Италией, предусматривающее сохранение независимости Австрии (7444).</w:t>
      </w:r>
    </w:p>
    <w:p w14:paraId="14E182EC" w14:textId="77777777" w:rsidR="00D4105E" w:rsidRPr="00E14102" w:rsidRDefault="00D4105E" w:rsidP="00E14102">
      <w:pPr>
        <w:autoSpaceDE w:val="0"/>
        <w:autoSpaceDN w:val="0"/>
        <w:adjustRightInd w:val="0"/>
        <w:jc w:val="both"/>
        <w:rPr>
          <w:color w:val="000000" w:themeColor="text1"/>
          <w:sz w:val="16"/>
          <w:szCs w:val="16"/>
        </w:rPr>
      </w:pPr>
    </w:p>
    <w:p w14:paraId="2A6850D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EF1BE96" w14:textId="77777777" w:rsidR="00D4105E" w:rsidRPr="00E14102" w:rsidRDefault="00D4105E" w:rsidP="00E14102">
      <w:pPr>
        <w:autoSpaceDE w:val="0"/>
        <w:autoSpaceDN w:val="0"/>
        <w:adjustRightInd w:val="0"/>
        <w:jc w:val="both"/>
        <w:rPr>
          <w:iCs/>
          <w:color w:val="000000" w:themeColor="text1"/>
          <w:sz w:val="16"/>
          <w:szCs w:val="16"/>
        </w:rPr>
      </w:pPr>
    </w:p>
    <w:p w14:paraId="1B297E1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8 января 1935 года СТО получено (вх. № 56) письмо Ворошилов № 376003сс/о председателю СТО Молотову</w:t>
      </w:r>
    </w:p>
    <w:p w14:paraId="21D662D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 2462/КО</w:t>
      </w:r>
    </w:p>
    <w:p w14:paraId="389B887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Постановлением КО (протокол № 11, п. 2) установлено, что дальний бомбардировщик должен быть сдан на гос. испытания 15 июня 1935 года, В голосуемом же проекте постановления предлагается 15 июня 1935 года предъявить этот самолет только на заводские испытания.</w:t>
      </w:r>
    </w:p>
    <w:p w14:paraId="41CED7F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Я не вижу оснований менять ранее установленный срок сдачи самолета на гос. испытания к 15 июня 1935 года и прошу эту поправку внести в постановление.</w:t>
      </w:r>
    </w:p>
    <w:p w14:paraId="37408C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остальном с проектом согласен (4256, 11).</w:t>
      </w:r>
    </w:p>
    <w:p w14:paraId="424BAC1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C14F4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января 1935 Зам. Нач. ЦАГИ писал письмо N 37сер Нач. ГУАП (копия: дир. завода 18):</w:t>
      </w:r>
    </w:p>
    <w:p w14:paraId="7AEA05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"Направляю материал по проработке мероприятий для обеспечения своевременного выпуска самолета ДБ-2." (2337,88):</w:t>
      </w:r>
    </w:p>
    <w:p w14:paraId="7EE979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Мероприятия ЦАГИ и завода 18 для выполнения задания Правительства по самолету ДБ-2:</w:t>
      </w:r>
    </w:p>
    <w:p w14:paraId="5DE7C6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обеспечения выпуска ЦАГИ опытного самолета ДБ-2 к 15 июня на совместные заводские и гос. испытания, а также выпуска в августе заводом 18 головной серийной машины, проведены следующие мероприятия:</w:t>
      </w:r>
    </w:p>
    <w:p w14:paraId="1FC628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Составлена ориентировочная сквозная планировка совместного развертывания работ по проектированию самолета и изготовлению рабочих серийных чертежей (см. прилагаемый график). Согласно этой планировке КБ завода 18 для параллельной проработки рабочих чертежей обязано начиная с 20 января 1935 направлять своих сотрудников в КОСОС ЦАГИ по плану, составленному заводом к 15 января 1935.</w:t>
      </w:r>
    </w:p>
    <w:p w14:paraId="100B3E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помощи заводу в своевременном развертывании работ ЦАГИ обязуется:</w:t>
      </w:r>
    </w:p>
    <w:p w14:paraId="1A7A51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 15 марта дать основные изменения в заводской спецификации по самолету ДБ-1, которую завод должен выслать КОСОС ЦАГИ к 15 января. Спецификацию хромомолибденовых групп, идущих на лонжероны крыла и мотораму, КОСОС обязан дать 15 февраля 1935.</w:t>
      </w:r>
    </w:p>
    <w:p w14:paraId="619A82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Совместно с групповодами Констр. зав. 18 уточнить к 15 февраля высланный на завод список неизменяемых частей ДБ-1.</w:t>
      </w:r>
    </w:p>
    <w:p w14:paraId="7F8E44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0FDCD8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Изготовить на головную машину шаровую башню передней точки." (2337,87).</w:t>
      </w:r>
    </w:p>
    <w:p w14:paraId="265C99D9" w14:textId="77777777" w:rsidR="00D4105E" w:rsidRPr="00E14102" w:rsidRDefault="00D4105E" w:rsidP="00E14102">
      <w:pPr>
        <w:autoSpaceDE w:val="0"/>
        <w:autoSpaceDN w:val="0"/>
        <w:adjustRightInd w:val="0"/>
        <w:jc w:val="both"/>
        <w:rPr>
          <w:color w:val="000000" w:themeColor="text1"/>
          <w:sz w:val="16"/>
          <w:szCs w:val="16"/>
        </w:rPr>
      </w:pPr>
    </w:p>
    <w:p w14:paraId="4986D9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января 1935 Нач. Самолетного отдела ГУАП Зорин писал Дир. завода 39 Калганову письмо N 244/76с:</w:t>
      </w:r>
    </w:p>
    <w:p w14:paraId="55482C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с Вашего завода т. Алексеевым спроектирован самолет - пикирующий бомбардировщик. Прошу рассмотреть предлагаемый им проект и дать заключение о целесообразности его реализации." (2337,85).</w:t>
      </w:r>
    </w:p>
    <w:p w14:paraId="4CEBD784" w14:textId="77777777" w:rsidR="00D4105E" w:rsidRPr="00E14102" w:rsidRDefault="00D4105E" w:rsidP="00E14102">
      <w:pPr>
        <w:autoSpaceDE w:val="0"/>
        <w:autoSpaceDN w:val="0"/>
        <w:adjustRightInd w:val="0"/>
        <w:jc w:val="both"/>
        <w:rPr>
          <w:color w:val="000000" w:themeColor="text1"/>
          <w:sz w:val="16"/>
          <w:szCs w:val="16"/>
        </w:rPr>
      </w:pPr>
    </w:p>
    <w:p w14:paraId="0EB7C6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января 1935 была подготовлена Докладная записка о состоянии производства ОС Завода 39 для Нач. опытного сектора Самолетного отдела N 978:</w:t>
      </w:r>
    </w:p>
    <w:p w14:paraId="3B4278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ЦКБ-26 К-14 (СБ) - Эскизный проект и макет утверждены в конце декабря. Разрабатываются чертежи для производства. Подача чертежей для постройки намечается с 1 февраля по 15 апреля 1935 (2337,179).</w:t>
      </w:r>
    </w:p>
    <w:p w14:paraId="002399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ЦКБ-27 ММ (СР) - Эскизный проект закончен. Разрабатываются конструктивные чертежи.</w:t>
      </w:r>
    </w:p>
    <w:p w14:paraId="70BB9D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ЦКБ-1 М-34Н (ЛР) - 1-й экз. готов и находится в цехе. 2-й экз. самолета сдан в НИИ 29 декабря 1934 после устранения дефектов, отмеченных по гос. испытаниям. 3-й экз. модифицированный - эскизный и предварительный проекты сделаны. Приступлено к разработке рабочих чертежей.</w:t>
      </w:r>
    </w:p>
    <w:p w14:paraId="6896CC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ЦКБ-25 ИС (И-19) - Ведутся предварительные изыскания (в части проектирования).</w:t>
      </w:r>
    </w:p>
    <w:p w14:paraId="7C3653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ЦКБ-11 РЦ (ДИ-6) - 1-й экз. НИИ испытан по всем статьям, остается задняя точка (пулеметная установка). Отсутствует производственная база. 2-й экз. серийный готов постройкой - смотри сводку от 1 декабря состояние не изменилось.</w:t>
      </w:r>
    </w:p>
    <w:p w14:paraId="4B2B42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ЦКБ-10 2М-11 (ЛК) - Состояние то же, что в справке от 1 декабря 1934.</w:t>
      </w:r>
    </w:p>
    <w:p w14:paraId="55B19A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ЦКБ-3 РЦ (И-15) - 7-я серийная машина переделывается в части центроплана. Делается нормальный центроплан. Предполагается окончание работ к 25 января 1935 после чего машина пойдет на испытания. 9-я серийная машина переделывается под новый центроплан "чаечного вида". Емкость работ до 3500 час. На испытание после переделки пойдет в феврале 1935</w:t>
      </w:r>
    </w:p>
    <w:p w14:paraId="1977E5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ЦКБ-15 ИС (И-17) - Чертежи в производстве. Состояние машины см. сводку по состоянию на 1 декабря 1934.</w:t>
      </w:r>
    </w:p>
    <w:p w14:paraId="279C7A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ЦКБ-12 М-58 И-16 - 5 января 1935 рабочие чертежи готовы и спущены в цеха.</w:t>
      </w:r>
    </w:p>
    <w:p w14:paraId="3919FD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ЦКБ-19 М-17Ф (И-18) - Рабочие чертежи будут готовы к 1 апреля 1935.</w:t>
      </w:r>
    </w:p>
    <w:p w14:paraId="3514B2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ЦКБ-12 РЦ (И-16) - Ведутся испытания. Еще не закончены.</w:t>
      </w:r>
    </w:p>
    <w:p w14:paraId="761E16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ЦКБ-12 М-22 (И-16) - -"- (2337,179).</w:t>
      </w:r>
    </w:p>
    <w:p w14:paraId="7B5907F8" w14:textId="77777777" w:rsidR="00D4105E" w:rsidRPr="00E14102" w:rsidRDefault="00D4105E" w:rsidP="00E14102">
      <w:pPr>
        <w:autoSpaceDE w:val="0"/>
        <w:autoSpaceDN w:val="0"/>
        <w:adjustRightInd w:val="0"/>
        <w:jc w:val="both"/>
        <w:rPr>
          <w:color w:val="000000" w:themeColor="text1"/>
          <w:sz w:val="16"/>
          <w:szCs w:val="16"/>
        </w:rPr>
      </w:pPr>
    </w:p>
    <w:p w14:paraId="2193B18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A0F3CD3" w14:textId="77777777" w:rsidR="00D4105E" w:rsidRPr="00E14102" w:rsidRDefault="00D4105E" w:rsidP="00E14102">
      <w:pPr>
        <w:autoSpaceDE w:val="0"/>
        <w:autoSpaceDN w:val="0"/>
        <w:adjustRightInd w:val="0"/>
        <w:jc w:val="both"/>
        <w:rPr>
          <w:iCs/>
          <w:color w:val="000000" w:themeColor="text1"/>
          <w:sz w:val="16"/>
          <w:szCs w:val="16"/>
        </w:rPr>
      </w:pPr>
    </w:p>
    <w:p w14:paraId="759D32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января 1935 года начальник Управления ВВС Алкснис писал письмо N 006894 наркому обороны, зам. НКО Гамарнику, начальнику штаба Базилевичу, начальнику УВС.</w:t>
      </w:r>
    </w:p>
    <w:p w14:paraId="2AB5E5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выполнении плана 1934 года на самолеты, моторы и групповые комплекты заводами ГУАП для УВС.</w:t>
      </w:r>
    </w:p>
    <w:p w14:paraId="1F3F25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Авиапромышленность, выполнив план в среднем по самолетам всего лишь на 84%, по групповым комплектам к ним на 75%, по запасным моторам на 110% и групповым комплектам к ним на 78%, в основном, не справилась с новыми типами, в частности и особенности с истребителями.</w:t>
      </w:r>
    </w:p>
    <w:p w14:paraId="549142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подлежащих сдаче 30 самолетов И-14 РЦ не сдан ни один самолет (завод N 125); по самолетам И16 М-22 недодано по плану - 184 самолета (завод N 21), по самолету И15 РЦ недодано 56 самолетов, а всего недополучено по плану 270 новых истребителей из общего количества заказа их в 455 штук.</w:t>
      </w:r>
    </w:p>
    <w:p w14:paraId="63A8A1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Серийный выпуск моторов М34 РН заводом N 24 не выполнен и в запас УВС не получило ни одного мотора, так же как не получило и ни одного самолета ТБ-3 с этими моторами. (3104,3).</w:t>
      </w:r>
    </w:p>
    <w:p w14:paraId="5751CAD7" w14:textId="77777777" w:rsidR="00D4105E" w:rsidRPr="00E14102" w:rsidRDefault="00D4105E" w:rsidP="00E14102">
      <w:pPr>
        <w:autoSpaceDE w:val="0"/>
        <w:autoSpaceDN w:val="0"/>
        <w:adjustRightInd w:val="0"/>
        <w:jc w:val="both"/>
        <w:rPr>
          <w:color w:val="000000" w:themeColor="text1"/>
          <w:sz w:val="16"/>
          <w:szCs w:val="16"/>
        </w:rPr>
      </w:pPr>
    </w:p>
    <w:p w14:paraId="77DF8B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января 1935 года начальник Управления воздушных сил РККА Алкснис писал письмо № 006894 наркому обороны</w:t>
      </w:r>
    </w:p>
    <w:p w14:paraId="55FC33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 о выполнении плана заказов 1934 года на самолеты, моторы и групповые комплекты заводами ГУАПа для УВС РККА</w:t>
      </w:r>
    </w:p>
    <w:p w14:paraId="4758F5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Докладываю итоги выполнения заводами ГУАПа плана заказов Управления воздушных сил РККА на 1934 год по самолетам, запасным моторам и групповым комплектам к ним (приложение: ведомости №№ 1 и 2).</w:t>
      </w:r>
    </w:p>
    <w:p w14:paraId="3ACE4F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приложенных ведомостей видно, что авиапромышленность, выполнив план в среднем по самолетам всего лишь на 84%, по групповым комплектам к ним на 75%, по запасным моторам на 110% и групповым комплектам к ним на 78%, в основном, не справилась с новыми типами, в частности и особенности с истребителями.</w:t>
      </w:r>
    </w:p>
    <w:p w14:paraId="17BF01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подлежавших сдаче 30 самолетов И-14 РЦ – не сдан ни один (завод № 125); по самолетам И16-М22 недодано по плану 184 самолета (завод № 21), по самолету И15 РЦ недодано 56 самолетов, а всего недополучено по плану 270 новых истребителей из общего заказа их в 455 штук.</w:t>
      </w:r>
    </w:p>
    <w:p w14:paraId="15AF3A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Серийный выпуск моторов М34РН заводом № 24 не выполнен и в запас Управления воздушных сил не получило ни одного мотора, также как не получило и ни одного самолета ТБ-3 с этими моторами.</w:t>
      </w:r>
    </w:p>
    <w:p w14:paraId="7E72DA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групповых комплектов запчастей совершенно неудовлетворительное, в особенности по новым истребителям, к которым не получено ни одного комплекта из общего заказа в 49 комплектов (4039,58)</w:t>
      </w:r>
    </w:p>
    <w:p w14:paraId="173257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Ведомость № 1 выполнения авиапромышленностью заказов УВС РККА за 1934 год по самолетам и групповым комплектам к ним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E3599D" w:rsidRPr="00E14102" w14:paraId="5A87E89C" w14:textId="77777777">
        <w:tc>
          <w:tcPr>
            <w:tcW w:w="1610" w:type="dxa"/>
          </w:tcPr>
          <w:p w14:paraId="015E08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продукции</w:t>
            </w:r>
          </w:p>
        </w:tc>
        <w:tc>
          <w:tcPr>
            <w:tcW w:w="1610" w:type="dxa"/>
          </w:tcPr>
          <w:p w14:paraId="0F6D21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Завод-поставщик</w:t>
            </w:r>
          </w:p>
        </w:tc>
        <w:tc>
          <w:tcPr>
            <w:tcW w:w="1610" w:type="dxa"/>
          </w:tcPr>
          <w:p w14:paraId="68B10C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Заказ по плану</w:t>
            </w:r>
          </w:p>
        </w:tc>
        <w:tc>
          <w:tcPr>
            <w:tcW w:w="1610" w:type="dxa"/>
          </w:tcPr>
          <w:p w14:paraId="6B3610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Сдано за год</w:t>
            </w:r>
          </w:p>
        </w:tc>
        <w:tc>
          <w:tcPr>
            <w:tcW w:w="1610" w:type="dxa"/>
          </w:tcPr>
          <w:p w14:paraId="14219D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выполнения</w:t>
            </w:r>
          </w:p>
        </w:tc>
        <w:tc>
          <w:tcPr>
            <w:tcW w:w="1610" w:type="dxa"/>
          </w:tcPr>
          <w:p w14:paraId="68A84C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Недодел в количестве</w:t>
            </w:r>
          </w:p>
        </w:tc>
        <w:tc>
          <w:tcPr>
            <w:tcW w:w="1610" w:type="dxa"/>
          </w:tcPr>
          <w:p w14:paraId="1B8BBA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1C960D75" w14:textId="77777777">
        <w:tc>
          <w:tcPr>
            <w:tcW w:w="1610" w:type="dxa"/>
          </w:tcPr>
          <w:p w14:paraId="2AF37D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w:t>
            </w:r>
          </w:p>
        </w:tc>
        <w:tc>
          <w:tcPr>
            <w:tcW w:w="1610" w:type="dxa"/>
          </w:tcPr>
          <w:p w14:paraId="5A2215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68B006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1610" w:type="dxa"/>
          </w:tcPr>
          <w:p w14:paraId="43E522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w:t>
            </w:r>
          </w:p>
        </w:tc>
        <w:tc>
          <w:tcPr>
            <w:tcW w:w="1610" w:type="dxa"/>
          </w:tcPr>
          <w:p w14:paraId="486C32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103%</w:t>
            </w:r>
          </w:p>
        </w:tc>
        <w:tc>
          <w:tcPr>
            <w:tcW w:w="1610" w:type="dxa"/>
          </w:tcPr>
          <w:p w14:paraId="79EA79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3345ECB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D94E6B2" w14:textId="77777777">
        <w:tc>
          <w:tcPr>
            <w:tcW w:w="1610" w:type="dxa"/>
          </w:tcPr>
          <w:p w14:paraId="438EFC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ТБ3-М34Р и ТБ3-М34РН</w:t>
            </w:r>
          </w:p>
        </w:tc>
        <w:tc>
          <w:tcPr>
            <w:tcW w:w="1610" w:type="dxa"/>
          </w:tcPr>
          <w:p w14:paraId="5F6A26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065680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155</w:t>
            </w:r>
          </w:p>
        </w:tc>
        <w:tc>
          <w:tcPr>
            <w:tcW w:w="1610" w:type="dxa"/>
          </w:tcPr>
          <w:p w14:paraId="3F8EDF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610" w:type="dxa"/>
          </w:tcPr>
          <w:p w14:paraId="672B38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97%</w:t>
            </w:r>
          </w:p>
        </w:tc>
        <w:tc>
          <w:tcPr>
            <w:tcW w:w="1610" w:type="dxa"/>
          </w:tcPr>
          <w:p w14:paraId="0029E9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62EF336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967F625" w14:textId="77777777">
        <w:tc>
          <w:tcPr>
            <w:tcW w:w="1610" w:type="dxa"/>
          </w:tcPr>
          <w:p w14:paraId="2462F3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w:t>
            </w:r>
          </w:p>
        </w:tc>
        <w:tc>
          <w:tcPr>
            <w:tcW w:w="1610" w:type="dxa"/>
          </w:tcPr>
          <w:p w14:paraId="0322C3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67B579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160</w:t>
            </w:r>
          </w:p>
        </w:tc>
        <w:tc>
          <w:tcPr>
            <w:tcW w:w="1610" w:type="dxa"/>
          </w:tcPr>
          <w:p w14:paraId="37FE40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149</w:t>
            </w:r>
          </w:p>
        </w:tc>
        <w:tc>
          <w:tcPr>
            <w:tcW w:w="1610" w:type="dxa"/>
          </w:tcPr>
          <w:p w14:paraId="300508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99,3%</w:t>
            </w:r>
          </w:p>
        </w:tc>
        <w:tc>
          <w:tcPr>
            <w:tcW w:w="1610" w:type="dxa"/>
          </w:tcPr>
          <w:p w14:paraId="4C1BE2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610" w:type="dxa"/>
          </w:tcPr>
          <w:p w14:paraId="64DFD12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52E2BB6" w14:textId="77777777">
        <w:tc>
          <w:tcPr>
            <w:tcW w:w="1610" w:type="dxa"/>
          </w:tcPr>
          <w:p w14:paraId="245AEA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КР6-а</w:t>
            </w:r>
          </w:p>
        </w:tc>
        <w:tc>
          <w:tcPr>
            <w:tcW w:w="1610" w:type="dxa"/>
          </w:tcPr>
          <w:p w14:paraId="4EF5EE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4BC622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1610" w:type="dxa"/>
          </w:tcPr>
          <w:p w14:paraId="0B1FC1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w:t>
            </w:r>
          </w:p>
        </w:tc>
        <w:tc>
          <w:tcPr>
            <w:tcW w:w="1610" w:type="dxa"/>
          </w:tcPr>
          <w:p w14:paraId="5C49E6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w:t>
            </w:r>
          </w:p>
        </w:tc>
        <w:tc>
          <w:tcPr>
            <w:tcW w:w="1610" w:type="dxa"/>
          </w:tcPr>
          <w:p w14:paraId="1A12FA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651EAF0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C931E3" w14:textId="77777777">
        <w:tc>
          <w:tcPr>
            <w:tcW w:w="1610" w:type="dxa"/>
          </w:tcPr>
          <w:p w14:paraId="374FC2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МИ-3</w:t>
            </w:r>
          </w:p>
        </w:tc>
        <w:tc>
          <w:tcPr>
            <w:tcW w:w="1610" w:type="dxa"/>
          </w:tcPr>
          <w:p w14:paraId="09E4A8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2424CD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32DD17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66EB52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6CB7F2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67DC056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2B8CDF1" w14:textId="77777777">
        <w:tc>
          <w:tcPr>
            <w:tcW w:w="1610" w:type="dxa"/>
          </w:tcPr>
          <w:p w14:paraId="078BC5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 – разведчик и штурмовик</w:t>
            </w:r>
          </w:p>
        </w:tc>
        <w:tc>
          <w:tcPr>
            <w:tcW w:w="1610" w:type="dxa"/>
          </w:tcPr>
          <w:p w14:paraId="181194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758643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1400</w:t>
            </w:r>
          </w:p>
        </w:tc>
        <w:tc>
          <w:tcPr>
            <w:tcW w:w="1610" w:type="dxa"/>
          </w:tcPr>
          <w:p w14:paraId="3AD2CD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1207*</w:t>
            </w:r>
          </w:p>
        </w:tc>
        <w:tc>
          <w:tcPr>
            <w:tcW w:w="1610" w:type="dxa"/>
          </w:tcPr>
          <w:p w14:paraId="4420BB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86,2</w:t>
            </w:r>
          </w:p>
        </w:tc>
        <w:tc>
          <w:tcPr>
            <w:tcW w:w="1610" w:type="dxa"/>
          </w:tcPr>
          <w:p w14:paraId="36C307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w:t>
            </w:r>
          </w:p>
        </w:tc>
        <w:tc>
          <w:tcPr>
            <w:tcW w:w="1610" w:type="dxa"/>
          </w:tcPr>
          <w:p w14:paraId="730C87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Из них: разведчиков – 960, штурмовиков – 246 и Р5-Т – 1 штука.</w:t>
            </w:r>
          </w:p>
        </w:tc>
      </w:tr>
      <w:tr w:rsidR="00E3599D" w:rsidRPr="00E14102" w14:paraId="49B16185" w14:textId="77777777">
        <w:tc>
          <w:tcPr>
            <w:tcW w:w="1610" w:type="dxa"/>
          </w:tcPr>
          <w:p w14:paraId="46C166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Р5-а</w:t>
            </w:r>
          </w:p>
        </w:tc>
        <w:tc>
          <w:tcPr>
            <w:tcW w:w="1610" w:type="dxa"/>
          </w:tcPr>
          <w:p w14:paraId="04860F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25FD05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76D532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47</w:t>
            </w:r>
          </w:p>
        </w:tc>
        <w:tc>
          <w:tcPr>
            <w:tcW w:w="1610" w:type="dxa"/>
          </w:tcPr>
          <w:p w14:paraId="6C0A3F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w:t>
            </w:r>
          </w:p>
        </w:tc>
        <w:tc>
          <w:tcPr>
            <w:tcW w:w="1610" w:type="dxa"/>
          </w:tcPr>
          <w:p w14:paraId="6037F2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5D4C0D9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7BBA777" w14:textId="77777777">
        <w:tc>
          <w:tcPr>
            <w:tcW w:w="1610" w:type="dxa"/>
          </w:tcPr>
          <w:p w14:paraId="34F710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Л-Р</w:t>
            </w:r>
          </w:p>
        </w:tc>
        <w:tc>
          <w:tcPr>
            <w:tcW w:w="1610" w:type="dxa"/>
          </w:tcPr>
          <w:p w14:paraId="05314E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4F9685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5C8552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01CD70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415743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4BC09FB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4BF7D09" w14:textId="77777777">
        <w:tc>
          <w:tcPr>
            <w:tcW w:w="1610" w:type="dxa"/>
          </w:tcPr>
          <w:p w14:paraId="351449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И-15</w:t>
            </w:r>
          </w:p>
        </w:tc>
        <w:tc>
          <w:tcPr>
            <w:tcW w:w="1610" w:type="dxa"/>
          </w:tcPr>
          <w:p w14:paraId="664F33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 и 39</w:t>
            </w:r>
          </w:p>
        </w:tc>
        <w:tc>
          <w:tcPr>
            <w:tcW w:w="1610" w:type="dxa"/>
          </w:tcPr>
          <w:p w14:paraId="076651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610" w:type="dxa"/>
          </w:tcPr>
          <w:p w14:paraId="7B4D30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94*</w:t>
            </w:r>
          </w:p>
        </w:tc>
        <w:tc>
          <w:tcPr>
            <w:tcW w:w="1610" w:type="dxa"/>
          </w:tcPr>
          <w:p w14:paraId="5B537A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w:t>
            </w:r>
          </w:p>
        </w:tc>
        <w:tc>
          <w:tcPr>
            <w:tcW w:w="1610" w:type="dxa"/>
          </w:tcPr>
          <w:p w14:paraId="2C8047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56</w:t>
            </w:r>
          </w:p>
        </w:tc>
        <w:tc>
          <w:tcPr>
            <w:tcW w:w="1610" w:type="dxa"/>
          </w:tcPr>
          <w:p w14:paraId="504511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Из них по заводу № 1 – 60 штук, по заводу № 39 – 34 штуки.</w:t>
            </w:r>
          </w:p>
        </w:tc>
      </w:tr>
      <w:tr w:rsidR="00E3599D" w:rsidRPr="00E14102" w14:paraId="7D226539" w14:textId="77777777">
        <w:tc>
          <w:tcPr>
            <w:tcW w:w="1610" w:type="dxa"/>
          </w:tcPr>
          <w:p w14:paraId="412C6C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w:t>
            </w:r>
          </w:p>
        </w:tc>
        <w:tc>
          <w:tcPr>
            <w:tcW w:w="1610" w:type="dxa"/>
          </w:tcPr>
          <w:p w14:paraId="6057E1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39</w:t>
            </w:r>
          </w:p>
        </w:tc>
        <w:tc>
          <w:tcPr>
            <w:tcW w:w="1610" w:type="dxa"/>
          </w:tcPr>
          <w:p w14:paraId="2670C9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4FFC78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239C2B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394620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526B658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D53F05B" w14:textId="77777777">
        <w:tc>
          <w:tcPr>
            <w:tcW w:w="1610" w:type="dxa"/>
          </w:tcPr>
          <w:p w14:paraId="2B9227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w:t>
            </w:r>
          </w:p>
        </w:tc>
        <w:tc>
          <w:tcPr>
            <w:tcW w:w="1610" w:type="dxa"/>
          </w:tcPr>
          <w:p w14:paraId="21062E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21</w:t>
            </w:r>
          </w:p>
        </w:tc>
        <w:tc>
          <w:tcPr>
            <w:tcW w:w="1610" w:type="dxa"/>
          </w:tcPr>
          <w:p w14:paraId="052D83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225</w:t>
            </w:r>
          </w:p>
        </w:tc>
        <w:tc>
          <w:tcPr>
            <w:tcW w:w="1610" w:type="dxa"/>
          </w:tcPr>
          <w:p w14:paraId="3E1888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w:t>
            </w:r>
          </w:p>
        </w:tc>
        <w:tc>
          <w:tcPr>
            <w:tcW w:w="1610" w:type="dxa"/>
          </w:tcPr>
          <w:p w14:paraId="4E2DF9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1610" w:type="dxa"/>
          </w:tcPr>
          <w:p w14:paraId="54D9B4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184</w:t>
            </w:r>
          </w:p>
        </w:tc>
        <w:tc>
          <w:tcPr>
            <w:tcW w:w="1610" w:type="dxa"/>
          </w:tcPr>
          <w:p w14:paraId="3EDDC82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D77A3A6" w14:textId="77777777">
        <w:tc>
          <w:tcPr>
            <w:tcW w:w="1610" w:type="dxa"/>
          </w:tcPr>
          <w:p w14:paraId="7838C6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w:t>
            </w:r>
          </w:p>
        </w:tc>
        <w:tc>
          <w:tcPr>
            <w:tcW w:w="1610" w:type="dxa"/>
          </w:tcPr>
          <w:p w14:paraId="352D78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125</w:t>
            </w:r>
          </w:p>
        </w:tc>
        <w:tc>
          <w:tcPr>
            <w:tcW w:w="1610" w:type="dxa"/>
          </w:tcPr>
          <w:p w14:paraId="2C78CF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31C941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10F2A8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483D68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76EC975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6914A4A" w14:textId="77777777">
        <w:tc>
          <w:tcPr>
            <w:tcW w:w="1610" w:type="dxa"/>
          </w:tcPr>
          <w:p w14:paraId="21CE01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И-5</w:t>
            </w:r>
          </w:p>
        </w:tc>
        <w:tc>
          <w:tcPr>
            <w:tcW w:w="1610" w:type="dxa"/>
          </w:tcPr>
          <w:p w14:paraId="77214D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21</w:t>
            </w:r>
          </w:p>
        </w:tc>
        <w:tc>
          <w:tcPr>
            <w:tcW w:w="1610" w:type="dxa"/>
          </w:tcPr>
          <w:p w14:paraId="53B013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325</w:t>
            </w:r>
          </w:p>
        </w:tc>
        <w:tc>
          <w:tcPr>
            <w:tcW w:w="1610" w:type="dxa"/>
          </w:tcPr>
          <w:p w14:paraId="24F22F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330</w:t>
            </w:r>
          </w:p>
        </w:tc>
        <w:tc>
          <w:tcPr>
            <w:tcW w:w="1610" w:type="dxa"/>
          </w:tcPr>
          <w:p w14:paraId="7A2736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w:t>
            </w:r>
          </w:p>
        </w:tc>
        <w:tc>
          <w:tcPr>
            <w:tcW w:w="1610" w:type="dxa"/>
          </w:tcPr>
          <w:p w14:paraId="4D508A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5EAAA3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86AD5DA" w14:textId="77777777">
        <w:tc>
          <w:tcPr>
            <w:tcW w:w="1610" w:type="dxa"/>
          </w:tcPr>
          <w:p w14:paraId="7EDBBC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ХАИ-воор.</w:t>
            </w:r>
          </w:p>
        </w:tc>
        <w:tc>
          <w:tcPr>
            <w:tcW w:w="1610" w:type="dxa"/>
          </w:tcPr>
          <w:p w14:paraId="4EE87A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43</w:t>
            </w:r>
          </w:p>
        </w:tc>
        <w:tc>
          <w:tcPr>
            <w:tcW w:w="1610" w:type="dxa"/>
          </w:tcPr>
          <w:p w14:paraId="47B5CD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248E25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610" w:type="dxa"/>
          </w:tcPr>
          <w:p w14:paraId="7C4AF2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610" w:type="dxa"/>
          </w:tcPr>
          <w:p w14:paraId="625035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w:t>
            </w:r>
          </w:p>
        </w:tc>
        <w:tc>
          <w:tcPr>
            <w:tcW w:w="1610" w:type="dxa"/>
          </w:tcPr>
          <w:p w14:paraId="3A346D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По заводу № 21.</w:t>
            </w:r>
          </w:p>
        </w:tc>
      </w:tr>
      <w:tr w:rsidR="00E3599D" w:rsidRPr="00E14102" w14:paraId="18527BCC" w14:textId="77777777">
        <w:tc>
          <w:tcPr>
            <w:tcW w:w="1610" w:type="dxa"/>
          </w:tcPr>
          <w:p w14:paraId="059AC6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ЗЕТ</w:t>
            </w:r>
          </w:p>
        </w:tc>
        <w:tc>
          <w:tcPr>
            <w:tcW w:w="1610" w:type="dxa"/>
          </w:tcPr>
          <w:p w14:paraId="1DAF30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135</w:t>
            </w:r>
          </w:p>
        </w:tc>
        <w:tc>
          <w:tcPr>
            <w:tcW w:w="1610" w:type="dxa"/>
          </w:tcPr>
          <w:p w14:paraId="64D299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7E584B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1C5157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w:t>
            </w:r>
          </w:p>
        </w:tc>
        <w:tc>
          <w:tcPr>
            <w:tcW w:w="1610" w:type="dxa"/>
          </w:tcPr>
          <w:p w14:paraId="77A431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10" w:type="dxa"/>
          </w:tcPr>
          <w:p w14:paraId="7102ED3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0E69DDD" w14:textId="77777777">
        <w:tc>
          <w:tcPr>
            <w:tcW w:w="1610" w:type="dxa"/>
          </w:tcPr>
          <w:p w14:paraId="2F63F2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w:t>
            </w:r>
          </w:p>
        </w:tc>
        <w:tc>
          <w:tcPr>
            <w:tcW w:w="1610" w:type="dxa"/>
          </w:tcPr>
          <w:p w14:paraId="285A73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31</w:t>
            </w:r>
          </w:p>
        </w:tc>
        <w:tc>
          <w:tcPr>
            <w:tcW w:w="1610" w:type="dxa"/>
          </w:tcPr>
          <w:p w14:paraId="3118BF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1610" w:type="dxa"/>
          </w:tcPr>
          <w:p w14:paraId="1D7F6C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w:t>
            </w:r>
          </w:p>
        </w:tc>
        <w:tc>
          <w:tcPr>
            <w:tcW w:w="1610" w:type="dxa"/>
          </w:tcPr>
          <w:p w14:paraId="3C7FC8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96,5%</w:t>
            </w:r>
          </w:p>
        </w:tc>
        <w:tc>
          <w:tcPr>
            <w:tcW w:w="1610" w:type="dxa"/>
          </w:tcPr>
          <w:p w14:paraId="0D483A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w:t>
            </w:r>
          </w:p>
        </w:tc>
        <w:tc>
          <w:tcPr>
            <w:tcW w:w="1610" w:type="dxa"/>
          </w:tcPr>
          <w:p w14:paraId="26F8C69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579DDA6" w14:textId="77777777">
        <w:tc>
          <w:tcPr>
            <w:tcW w:w="1610" w:type="dxa"/>
          </w:tcPr>
          <w:p w14:paraId="1A4304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w:t>
            </w:r>
          </w:p>
        </w:tc>
        <w:tc>
          <w:tcPr>
            <w:tcW w:w="1610" w:type="dxa"/>
          </w:tcPr>
          <w:p w14:paraId="180D74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31</w:t>
            </w:r>
          </w:p>
        </w:tc>
        <w:tc>
          <w:tcPr>
            <w:tcW w:w="1610" w:type="dxa"/>
          </w:tcPr>
          <w:p w14:paraId="573F42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610" w:type="dxa"/>
          </w:tcPr>
          <w:p w14:paraId="30DB0A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5E211E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378AFF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610" w:type="dxa"/>
          </w:tcPr>
          <w:p w14:paraId="6A792B2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BF0A664" w14:textId="77777777">
        <w:tc>
          <w:tcPr>
            <w:tcW w:w="1610" w:type="dxa"/>
          </w:tcPr>
          <w:p w14:paraId="6F38F8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А-Ш</w:t>
            </w:r>
          </w:p>
        </w:tc>
        <w:tc>
          <w:tcPr>
            <w:tcW w:w="1610" w:type="dxa"/>
          </w:tcPr>
          <w:p w14:paraId="77A806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31</w:t>
            </w:r>
          </w:p>
        </w:tc>
        <w:tc>
          <w:tcPr>
            <w:tcW w:w="1610" w:type="dxa"/>
          </w:tcPr>
          <w:p w14:paraId="04036D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1610" w:type="dxa"/>
          </w:tcPr>
          <w:p w14:paraId="128816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1610" w:type="dxa"/>
          </w:tcPr>
          <w:p w14:paraId="09DDAE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188B7D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3A60502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6ADC25F" w14:textId="77777777">
        <w:tc>
          <w:tcPr>
            <w:tcW w:w="1610" w:type="dxa"/>
          </w:tcPr>
          <w:p w14:paraId="7A2C0E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w:t>
            </w:r>
          </w:p>
        </w:tc>
        <w:tc>
          <w:tcPr>
            <w:tcW w:w="1610" w:type="dxa"/>
          </w:tcPr>
          <w:p w14:paraId="072A1D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23</w:t>
            </w:r>
          </w:p>
        </w:tc>
        <w:tc>
          <w:tcPr>
            <w:tcW w:w="1610" w:type="dxa"/>
          </w:tcPr>
          <w:p w14:paraId="75AE7F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610" w:type="dxa"/>
          </w:tcPr>
          <w:p w14:paraId="42679C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610" w:type="dxa"/>
          </w:tcPr>
          <w:p w14:paraId="1BFB0D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0944C1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DBD6A8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4E63E7A" w14:textId="77777777">
        <w:tc>
          <w:tcPr>
            <w:tcW w:w="1610" w:type="dxa"/>
          </w:tcPr>
          <w:p w14:paraId="630688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У-2-воор.</w:t>
            </w:r>
          </w:p>
        </w:tc>
        <w:tc>
          <w:tcPr>
            <w:tcW w:w="1610" w:type="dxa"/>
          </w:tcPr>
          <w:p w14:paraId="0CBD2B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23</w:t>
            </w:r>
          </w:p>
        </w:tc>
        <w:tc>
          <w:tcPr>
            <w:tcW w:w="1610" w:type="dxa"/>
          </w:tcPr>
          <w:p w14:paraId="5032F8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4E7309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2E303D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0BAB8D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4F67319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F88C9CF" w14:textId="77777777">
        <w:tc>
          <w:tcPr>
            <w:tcW w:w="1610" w:type="dxa"/>
          </w:tcPr>
          <w:p w14:paraId="4FF7B9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 на тормозных колесах</w:t>
            </w:r>
          </w:p>
        </w:tc>
        <w:tc>
          <w:tcPr>
            <w:tcW w:w="1610" w:type="dxa"/>
          </w:tcPr>
          <w:p w14:paraId="6D8A61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23</w:t>
            </w:r>
          </w:p>
        </w:tc>
        <w:tc>
          <w:tcPr>
            <w:tcW w:w="1610" w:type="dxa"/>
          </w:tcPr>
          <w:p w14:paraId="70BB29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610" w:type="dxa"/>
          </w:tcPr>
          <w:p w14:paraId="5725FA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610" w:type="dxa"/>
          </w:tcPr>
          <w:p w14:paraId="670FC7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635B9F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4CFEA18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043F34A" w14:textId="77777777">
        <w:tc>
          <w:tcPr>
            <w:tcW w:w="1610" w:type="dxa"/>
          </w:tcPr>
          <w:p w14:paraId="1DB2E2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РД</w:t>
            </w:r>
          </w:p>
        </w:tc>
        <w:tc>
          <w:tcPr>
            <w:tcW w:w="1610" w:type="dxa"/>
          </w:tcPr>
          <w:p w14:paraId="72A3E8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18</w:t>
            </w:r>
          </w:p>
        </w:tc>
        <w:tc>
          <w:tcPr>
            <w:tcW w:w="1610" w:type="dxa"/>
          </w:tcPr>
          <w:p w14:paraId="150DE1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1610" w:type="dxa"/>
          </w:tcPr>
          <w:p w14:paraId="50829B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3D90DE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79B914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1610" w:type="dxa"/>
          </w:tcPr>
          <w:p w14:paraId="4C493A0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1C47FAC" w14:textId="77777777">
        <w:tc>
          <w:tcPr>
            <w:tcW w:w="1610" w:type="dxa"/>
          </w:tcPr>
          <w:p w14:paraId="39D922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1610" w:type="dxa"/>
          </w:tcPr>
          <w:p w14:paraId="59FCCB41"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520E57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3577</w:t>
            </w:r>
          </w:p>
        </w:tc>
        <w:tc>
          <w:tcPr>
            <w:tcW w:w="1610" w:type="dxa"/>
          </w:tcPr>
          <w:p w14:paraId="0B484F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3030</w:t>
            </w:r>
          </w:p>
        </w:tc>
        <w:tc>
          <w:tcPr>
            <w:tcW w:w="1610" w:type="dxa"/>
          </w:tcPr>
          <w:p w14:paraId="70231A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84%</w:t>
            </w:r>
          </w:p>
        </w:tc>
        <w:tc>
          <w:tcPr>
            <w:tcW w:w="1610" w:type="dxa"/>
          </w:tcPr>
          <w:p w14:paraId="0DACDF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553</w:t>
            </w:r>
          </w:p>
        </w:tc>
        <w:tc>
          <w:tcPr>
            <w:tcW w:w="1610" w:type="dxa"/>
          </w:tcPr>
          <w:p w14:paraId="3BFFDCC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F3FFC46" w14:textId="77777777">
        <w:tc>
          <w:tcPr>
            <w:tcW w:w="1610" w:type="dxa"/>
          </w:tcPr>
          <w:p w14:paraId="4A62E6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Групповые комплекты</w:t>
            </w:r>
          </w:p>
        </w:tc>
        <w:tc>
          <w:tcPr>
            <w:tcW w:w="1610" w:type="dxa"/>
          </w:tcPr>
          <w:p w14:paraId="4F21DCD1"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61211D4F"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4E6E424E"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76F285AC"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50FF016F"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61E6D32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17A284E" w14:textId="77777777">
        <w:tc>
          <w:tcPr>
            <w:tcW w:w="1610" w:type="dxa"/>
          </w:tcPr>
          <w:p w14:paraId="04BDF9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ТБ3-М17</w:t>
            </w:r>
          </w:p>
        </w:tc>
        <w:tc>
          <w:tcPr>
            <w:tcW w:w="1610" w:type="dxa"/>
          </w:tcPr>
          <w:p w14:paraId="071D39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072B12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1A6B5A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2372A1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7F9EC1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086D3AE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A0383A4" w14:textId="77777777">
        <w:tc>
          <w:tcPr>
            <w:tcW w:w="1610" w:type="dxa"/>
          </w:tcPr>
          <w:p w14:paraId="266917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ТБ3-М17-рем.</w:t>
            </w:r>
          </w:p>
        </w:tc>
        <w:tc>
          <w:tcPr>
            <w:tcW w:w="1610" w:type="dxa"/>
          </w:tcPr>
          <w:p w14:paraId="28B730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16D969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2DAEFC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2D27FB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71ED63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3AFCA99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375B105" w14:textId="77777777">
        <w:tc>
          <w:tcPr>
            <w:tcW w:w="1610" w:type="dxa"/>
          </w:tcPr>
          <w:p w14:paraId="43DDE6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ТБ3-М34</w:t>
            </w:r>
          </w:p>
        </w:tc>
        <w:tc>
          <w:tcPr>
            <w:tcW w:w="1610" w:type="dxa"/>
          </w:tcPr>
          <w:p w14:paraId="32DBA2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2EF225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610" w:type="dxa"/>
          </w:tcPr>
          <w:p w14:paraId="1A9E48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610" w:type="dxa"/>
          </w:tcPr>
          <w:p w14:paraId="454B9C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00AFD2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742E68C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CE4B757" w14:textId="77777777">
        <w:tc>
          <w:tcPr>
            <w:tcW w:w="1610" w:type="dxa"/>
          </w:tcPr>
          <w:p w14:paraId="4514EA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ТБ3-М34Р</w:t>
            </w:r>
          </w:p>
        </w:tc>
        <w:tc>
          <w:tcPr>
            <w:tcW w:w="1610" w:type="dxa"/>
          </w:tcPr>
          <w:p w14:paraId="4E7146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6AA05D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2528A7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1610" w:type="dxa"/>
          </w:tcPr>
          <w:p w14:paraId="239C46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160%</w:t>
            </w:r>
          </w:p>
        </w:tc>
        <w:tc>
          <w:tcPr>
            <w:tcW w:w="1610" w:type="dxa"/>
          </w:tcPr>
          <w:p w14:paraId="3D41EF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59B966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1B9349D" w14:textId="77777777">
        <w:tc>
          <w:tcPr>
            <w:tcW w:w="1610" w:type="dxa"/>
          </w:tcPr>
          <w:p w14:paraId="4D5A75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ТБ3-М34РН</w:t>
            </w:r>
          </w:p>
        </w:tc>
        <w:tc>
          <w:tcPr>
            <w:tcW w:w="1610" w:type="dxa"/>
          </w:tcPr>
          <w:p w14:paraId="226CA4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3CEEC0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2E4A83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7BA371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484B2D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071091E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5889C77" w14:textId="77777777">
        <w:tc>
          <w:tcPr>
            <w:tcW w:w="1610" w:type="dxa"/>
          </w:tcPr>
          <w:p w14:paraId="592436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Р-6</w:t>
            </w:r>
          </w:p>
        </w:tc>
        <w:tc>
          <w:tcPr>
            <w:tcW w:w="1610" w:type="dxa"/>
          </w:tcPr>
          <w:p w14:paraId="5D50EF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050569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1610" w:type="dxa"/>
          </w:tcPr>
          <w:p w14:paraId="3BAE0D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1610" w:type="dxa"/>
          </w:tcPr>
          <w:p w14:paraId="1F46D1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7ADE90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474D24C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E688259" w14:textId="77777777">
        <w:tc>
          <w:tcPr>
            <w:tcW w:w="1610" w:type="dxa"/>
          </w:tcPr>
          <w:p w14:paraId="14E767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Р6-а</w:t>
            </w:r>
          </w:p>
        </w:tc>
        <w:tc>
          <w:tcPr>
            <w:tcW w:w="1610" w:type="dxa"/>
          </w:tcPr>
          <w:p w14:paraId="0C7D9D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4A1A2B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w:t>
            </w:r>
          </w:p>
        </w:tc>
        <w:tc>
          <w:tcPr>
            <w:tcW w:w="1610" w:type="dxa"/>
          </w:tcPr>
          <w:p w14:paraId="690338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w:t>
            </w:r>
          </w:p>
        </w:tc>
        <w:tc>
          <w:tcPr>
            <w:tcW w:w="1610" w:type="dxa"/>
          </w:tcPr>
          <w:p w14:paraId="3B9F05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5E9FD0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34196C9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B9CA8DD" w14:textId="77777777">
        <w:tc>
          <w:tcPr>
            <w:tcW w:w="1610" w:type="dxa"/>
          </w:tcPr>
          <w:p w14:paraId="1A5D7C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Р6-М17-рем.</w:t>
            </w:r>
          </w:p>
        </w:tc>
        <w:tc>
          <w:tcPr>
            <w:tcW w:w="1610" w:type="dxa"/>
          </w:tcPr>
          <w:p w14:paraId="0F8AAB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31</w:t>
            </w:r>
          </w:p>
        </w:tc>
        <w:tc>
          <w:tcPr>
            <w:tcW w:w="1610" w:type="dxa"/>
          </w:tcPr>
          <w:p w14:paraId="55E064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1C70B0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2A412B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212EA3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15410D0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B23BE7A" w14:textId="77777777">
        <w:tc>
          <w:tcPr>
            <w:tcW w:w="1610" w:type="dxa"/>
          </w:tcPr>
          <w:p w14:paraId="44072D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Р6-разведч. и штурмов.</w:t>
            </w:r>
          </w:p>
        </w:tc>
        <w:tc>
          <w:tcPr>
            <w:tcW w:w="1610" w:type="dxa"/>
          </w:tcPr>
          <w:p w14:paraId="62732E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77CD2D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230</w:t>
            </w:r>
          </w:p>
        </w:tc>
        <w:tc>
          <w:tcPr>
            <w:tcW w:w="1610" w:type="dxa"/>
          </w:tcPr>
          <w:p w14:paraId="155407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w:t>
            </w:r>
          </w:p>
        </w:tc>
        <w:tc>
          <w:tcPr>
            <w:tcW w:w="1610" w:type="dxa"/>
          </w:tcPr>
          <w:p w14:paraId="53B8A0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w:t>
            </w:r>
          </w:p>
        </w:tc>
        <w:tc>
          <w:tcPr>
            <w:tcW w:w="1610" w:type="dxa"/>
          </w:tcPr>
          <w:p w14:paraId="6CF69C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1610" w:type="dxa"/>
          </w:tcPr>
          <w:p w14:paraId="4BDF935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4FFCBB5" w14:textId="77777777">
        <w:tc>
          <w:tcPr>
            <w:tcW w:w="1610" w:type="dxa"/>
          </w:tcPr>
          <w:p w14:paraId="054F3A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Р-5-ремонт.</w:t>
            </w:r>
          </w:p>
        </w:tc>
        <w:tc>
          <w:tcPr>
            <w:tcW w:w="1610" w:type="dxa"/>
          </w:tcPr>
          <w:p w14:paraId="4B8A7E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1B2885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7C856E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25EC63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78AACD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4B876A2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8A082FA" w14:textId="77777777">
        <w:tc>
          <w:tcPr>
            <w:tcW w:w="1610" w:type="dxa"/>
          </w:tcPr>
          <w:p w14:paraId="0436B6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Р5 б/крыл.</w:t>
            </w:r>
          </w:p>
        </w:tc>
        <w:tc>
          <w:tcPr>
            <w:tcW w:w="1610" w:type="dxa"/>
          </w:tcPr>
          <w:p w14:paraId="420114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3E81B5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w:t>
            </w:r>
          </w:p>
        </w:tc>
        <w:tc>
          <w:tcPr>
            <w:tcW w:w="1610" w:type="dxa"/>
          </w:tcPr>
          <w:p w14:paraId="111880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w:t>
            </w:r>
          </w:p>
        </w:tc>
        <w:tc>
          <w:tcPr>
            <w:tcW w:w="1610" w:type="dxa"/>
          </w:tcPr>
          <w:p w14:paraId="740DC5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4F4EE5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0C4CAB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5AF3D1A" w14:textId="77777777">
        <w:tc>
          <w:tcPr>
            <w:tcW w:w="1610" w:type="dxa"/>
          </w:tcPr>
          <w:p w14:paraId="00CD7D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Р5-а</w:t>
            </w:r>
          </w:p>
        </w:tc>
        <w:tc>
          <w:tcPr>
            <w:tcW w:w="1610" w:type="dxa"/>
          </w:tcPr>
          <w:p w14:paraId="665EDD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605D0B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1610" w:type="dxa"/>
          </w:tcPr>
          <w:p w14:paraId="6C8A21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1610" w:type="dxa"/>
          </w:tcPr>
          <w:p w14:paraId="0A339A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78B7C4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10" w:type="dxa"/>
          </w:tcPr>
          <w:p w14:paraId="3D06B73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5E30E94" w14:textId="77777777">
        <w:tc>
          <w:tcPr>
            <w:tcW w:w="1610" w:type="dxa"/>
          </w:tcPr>
          <w:p w14:paraId="6EC7E7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И-15</w:t>
            </w:r>
          </w:p>
        </w:tc>
        <w:tc>
          <w:tcPr>
            <w:tcW w:w="1610" w:type="dxa"/>
          </w:tcPr>
          <w:p w14:paraId="0618AA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7B5EC1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10" w:type="dxa"/>
          </w:tcPr>
          <w:p w14:paraId="7D3E1B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52C086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3EEE9E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10" w:type="dxa"/>
          </w:tcPr>
          <w:p w14:paraId="633CFDD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0BBF5A6" w14:textId="77777777">
        <w:tc>
          <w:tcPr>
            <w:tcW w:w="1610" w:type="dxa"/>
          </w:tcPr>
          <w:p w14:paraId="62B305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И-16</w:t>
            </w:r>
          </w:p>
        </w:tc>
        <w:tc>
          <w:tcPr>
            <w:tcW w:w="1610" w:type="dxa"/>
          </w:tcPr>
          <w:p w14:paraId="08EE9E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21</w:t>
            </w:r>
          </w:p>
        </w:tc>
        <w:tc>
          <w:tcPr>
            <w:tcW w:w="1610" w:type="dxa"/>
          </w:tcPr>
          <w:p w14:paraId="453947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1610" w:type="dxa"/>
          </w:tcPr>
          <w:p w14:paraId="4176F6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0BEC78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09D8D2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1610" w:type="dxa"/>
          </w:tcPr>
          <w:p w14:paraId="5E0A6B1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71690C0" w14:textId="77777777">
        <w:tc>
          <w:tcPr>
            <w:tcW w:w="1610" w:type="dxa"/>
          </w:tcPr>
          <w:p w14:paraId="55CBD1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И-16</w:t>
            </w:r>
          </w:p>
        </w:tc>
        <w:tc>
          <w:tcPr>
            <w:tcW w:w="1610" w:type="dxa"/>
          </w:tcPr>
          <w:p w14:paraId="072D05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39</w:t>
            </w:r>
          </w:p>
        </w:tc>
        <w:tc>
          <w:tcPr>
            <w:tcW w:w="1610" w:type="dxa"/>
          </w:tcPr>
          <w:p w14:paraId="6540A7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7C64D7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43ADD7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7F3101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16124CB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FC669A9" w14:textId="77777777">
        <w:tc>
          <w:tcPr>
            <w:tcW w:w="1610" w:type="dxa"/>
          </w:tcPr>
          <w:p w14:paraId="17BC08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И-7-ремонт.</w:t>
            </w:r>
          </w:p>
        </w:tc>
        <w:tc>
          <w:tcPr>
            <w:tcW w:w="1610" w:type="dxa"/>
          </w:tcPr>
          <w:p w14:paraId="239ABA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01FA0F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1610" w:type="dxa"/>
          </w:tcPr>
          <w:p w14:paraId="712794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167F21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262640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1610" w:type="dxa"/>
          </w:tcPr>
          <w:p w14:paraId="2494E94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C5C9846" w14:textId="77777777">
        <w:tc>
          <w:tcPr>
            <w:tcW w:w="1610" w:type="dxa"/>
          </w:tcPr>
          <w:p w14:paraId="79D077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И-7-по спис.</w:t>
            </w:r>
          </w:p>
        </w:tc>
        <w:tc>
          <w:tcPr>
            <w:tcW w:w="1610" w:type="dxa"/>
          </w:tcPr>
          <w:p w14:paraId="4D9578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7A3F38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667300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64E3CA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11E55B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6E78EC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849EB7F" w14:textId="77777777">
        <w:tc>
          <w:tcPr>
            <w:tcW w:w="1610" w:type="dxa"/>
          </w:tcPr>
          <w:p w14:paraId="274A69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И-5</w:t>
            </w:r>
          </w:p>
        </w:tc>
        <w:tc>
          <w:tcPr>
            <w:tcW w:w="1610" w:type="dxa"/>
          </w:tcPr>
          <w:p w14:paraId="6CB2DD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21</w:t>
            </w:r>
          </w:p>
        </w:tc>
        <w:tc>
          <w:tcPr>
            <w:tcW w:w="1610" w:type="dxa"/>
          </w:tcPr>
          <w:p w14:paraId="24E5DA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59</w:t>
            </w:r>
          </w:p>
        </w:tc>
        <w:tc>
          <w:tcPr>
            <w:tcW w:w="1610" w:type="dxa"/>
          </w:tcPr>
          <w:p w14:paraId="20FFC9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57</w:t>
            </w:r>
          </w:p>
        </w:tc>
        <w:tc>
          <w:tcPr>
            <w:tcW w:w="1610" w:type="dxa"/>
          </w:tcPr>
          <w:p w14:paraId="0FCF89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97%</w:t>
            </w:r>
          </w:p>
        </w:tc>
        <w:tc>
          <w:tcPr>
            <w:tcW w:w="1610" w:type="dxa"/>
          </w:tcPr>
          <w:p w14:paraId="27D8E9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610" w:type="dxa"/>
          </w:tcPr>
          <w:p w14:paraId="477B17B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907975D" w14:textId="77777777">
        <w:tc>
          <w:tcPr>
            <w:tcW w:w="1610" w:type="dxa"/>
          </w:tcPr>
          <w:p w14:paraId="26DC58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МБР-2</w:t>
            </w:r>
          </w:p>
        </w:tc>
        <w:tc>
          <w:tcPr>
            <w:tcW w:w="1610" w:type="dxa"/>
          </w:tcPr>
          <w:p w14:paraId="6E3940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31</w:t>
            </w:r>
          </w:p>
        </w:tc>
        <w:tc>
          <w:tcPr>
            <w:tcW w:w="1610" w:type="dxa"/>
          </w:tcPr>
          <w:p w14:paraId="25599A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38</w:t>
            </w:r>
          </w:p>
        </w:tc>
        <w:tc>
          <w:tcPr>
            <w:tcW w:w="1610" w:type="dxa"/>
          </w:tcPr>
          <w:p w14:paraId="7999E0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10" w:type="dxa"/>
          </w:tcPr>
          <w:p w14:paraId="1F3703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53%</w:t>
            </w:r>
          </w:p>
        </w:tc>
        <w:tc>
          <w:tcPr>
            <w:tcW w:w="1610" w:type="dxa"/>
          </w:tcPr>
          <w:p w14:paraId="1C7C56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1610" w:type="dxa"/>
          </w:tcPr>
          <w:p w14:paraId="68FFD12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9B7DF73" w14:textId="77777777">
        <w:tc>
          <w:tcPr>
            <w:tcW w:w="1610" w:type="dxa"/>
          </w:tcPr>
          <w:p w14:paraId="7346AE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МБР-4-рем.</w:t>
            </w:r>
          </w:p>
        </w:tc>
        <w:tc>
          <w:tcPr>
            <w:tcW w:w="1610" w:type="dxa"/>
          </w:tcPr>
          <w:p w14:paraId="79A4AE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31</w:t>
            </w:r>
          </w:p>
        </w:tc>
        <w:tc>
          <w:tcPr>
            <w:tcW w:w="1610" w:type="dxa"/>
          </w:tcPr>
          <w:p w14:paraId="3DCAF2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2DB3FD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6D1643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0A1B59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5650180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C85ACB8" w14:textId="77777777">
        <w:tc>
          <w:tcPr>
            <w:tcW w:w="1610" w:type="dxa"/>
          </w:tcPr>
          <w:p w14:paraId="7E041D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МБР-4</w:t>
            </w:r>
          </w:p>
        </w:tc>
        <w:tc>
          <w:tcPr>
            <w:tcW w:w="1610" w:type="dxa"/>
          </w:tcPr>
          <w:p w14:paraId="7EDDAF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31</w:t>
            </w:r>
          </w:p>
        </w:tc>
        <w:tc>
          <w:tcPr>
            <w:tcW w:w="1610" w:type="dxa"/>
          </w:tcPr>
          <w:p w14:paraId="199B58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779FB2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449627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4F7580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69C0979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BA47D5" w14:textId="77777777">
        <w:tc>
          <w:tcPr>
            <w:tcW w:w="1610" w:type="dxa"/>
          </w:tcPr>
          <w:p w14:paraId="4F3FCF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ЗЕТ</w:t>
            </w:r>
          </w:p>
        </w:tc>
        <w:tc>
          <w:tcPr>
            <w:tcW w:w="1610" w:type="dxa"/>
          </w:tcPr>
          <w:p w14:paraId="5DFFDF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135</w:t>
            </w:r>
          </w:p>
        </w:tc>
        <w:tc>
          <w:tcPr>
            <w:tcW w:w="1610" w:type="dxa"/>
          </w:tcPr>
          <w:p w14:paraId="3C1E38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6E644A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18827C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60EE49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308F7CF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54D16EA" w14:textId="77777777">
        <w:tc>
          <w:tcPr>
            <w:tcW w:w="1610" w:type="dxa"/>
          </w:tcPr>
          <w:p w14:paraId="046275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И-14</w:t>
            </w:r>
          </w:p>
        </w:tc>
        <w:tc>
          <w:tcPr>
            <w:tcW w:w="1610" w:type="dxa"/>
          </w:tcPr>
          <w:p w14:paraId="503014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125</w:t>
            </w:r>
          </w:p>
        </w:tc>
        <w:tc>
          <w:tcPr>
            <w:tcW w:w="1610" w:type="dxa"/>
          </w:tcPr>
          <w:p w14:paraId="5FA0FA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610" w:type="dxa"/>
          </w:tcPr>
          <w:p w14:paraId="3DB813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59C131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6393B9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610" w:type="dxa"/>
          </w:tcPr>
          <w:p w14:paraId="354C25A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8DCC147" w14:textId="77777777">
        <w:tc>
          <w:tcPr>
            <w:tcW w:w="1610" w:type="dxa"/>
          </w:tcPr>
          <w:p w14:paraId="3974DF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ХАИ</w:t>
            </w:r>
          </w:p>
        </w:tc>
        <w:tc>
          <w:tcPr>
            <w:tcW w:w="1610" w:type="dxa"/>
          </w:tcPr>
          <w:p w14:paraId="539D0F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43</w:t>
            </w:r>
          </w:p>
        </w:tc>
        <w:tc>
          <w:tcPr>
            <w:tcW w:w="1610" w:type="dxa"/>
          </w:tcPr>
          <w:p w14:paraId="4B6664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322D45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0DC781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39C0A5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2E8CC13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9924326" w14:textId="77777777">
        <w:tc>
          <w:tcPr>
            <w:tcW w:w="1610" w:type="dxa"/>
          </w:tcPr>
          <w:p w14:paraId="77EFB5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У-2</w:t>
            </w:r>
          </w:p>
        </w:tc>
        <w:tc>
          <w:tcPr>
            <w:tcW w:w="1610" w:type="dxa"/>
          </w:tcPr>
          <w:p w14:paraId="420E3C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23</w:t>
            </w:r>
          </w:p>
        </w:tc>
        <w:tc>
          <w:tcPr>
            <w:tcW w:w="1610" w:type="dxa"/>
          </w:tcPr>
          <w:p w14:paraId="372E3B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w:t>
            </w:r>
          </w:p>
        </w:tc>
        <w:tc>
          <w:tcPr>
            <w:tcW w:w="1610" w:type="dxa"/>
          </w:tcPr>
          <w:p w14:paraId="039E89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w:t>
            </w:r>
          </w:p>
        </w:tc>
        <w:tc>
          <w:tcPr>
            <w:tcW w:w="1610" w:type="dxa"/>
          </w:tcPr>
          <w:p w14:paraId="73FB7B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11C0B2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897909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2744D57" w14:textId="77777777">
        <w:tc>
          <w:tcPr>
            <w:tcW w:w="1610" w:type="dxa"/>
          </w:tcPr>
          <w:p w14:paraId="5B26EA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У-2-воор.</w:t>
            </w:r>
          </w:p>
        </w:tc>
        <w:tc>
          <w:tcPr>
            <w:tcW w:w="1610" w:type="dxa"/>
          </w:tcPr>
          <w:p w14:paraId="7EF6D8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23</w:t>
            </w:r>
          </w:p>
        </w:tc>
        <w:tc>
          <w:tcPr>
            <w:tcW w:w="1610" w:type="dxa"/>
          </w:tcPr>
          <w:p w14:paraId="5ED982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596785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737C69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06F806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740F1A6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5AF9BCB" w14:textId="77777777">
        <w:tc>
          <w:tcPr>
            <w:tcW w:w="1610" w:type="dxa"/>
          </w:tcPr>
          <w:p w14:paraId="42C7C2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У-2-ремонт.</w:t>
            </w:r>
          </w:p>
        </w:tc>
        <w:tc>
          <w:tcPr>
            <w:tcW w:w="1610" w:type="dxa"/>
          </w:tcPr>
          <w:p w14:paraId="047880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23</w:t>
            </w:r>
          </w:p>
        </w:tc>
        <w:tc>
          <w:tcPr>
            <w:tcW w:w="1610" w:type="dxa"/>
          </w:tcPr>
          <w:p w14:paraId="1DD6F1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59F90B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423D5D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4743FD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165B3FE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30074BE" w14:textId="77777777">
        <w:tc>
          <w:tcPr>
            <w:tcW w:w="1610" w:type="dxa"/>
          </w:tcPr>
          <w:p w14:paraId="7CF8A5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У-2-эксплуат.</w:t>
            </w:r>
          </w:p>
        </w:tc>
        <w:tc>
          <w:tcPr>
            <w:tcW w:w="1610" w:type="dxa"/>
          </w:tcPr>
          <w:p w14:paraId="6A0112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23</w:t>
            </w:r>
          </w:p>
        </w:tc>
        <w:tc>
          <w:tcPr>
            <w:tcW w:w="1610" w:type="dxa"/>
          </w:tcPr>
          <w:p w14:paraId="462781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10" w:type="dxa"/>
          </w:tcPr>
          <w:p w14:paraId="749E91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10" w:type="dxa"/>
          </w:tcPr>
          <w:p w14:paraId="0236B7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08225B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91E85D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18D1CF0" w14:textId="77777777">
        <w:tc>
          <w:tcPr>
            <w:tcW w:w="1610" w:type="dxa"/>
          </w:tcPr>
          <w:p w14:paraId="138B4E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А-Ш</w:t>
            </w:r>
          </w:p>
        </w:tc>
        <w:tc>
          <w:tcPr>
            <w:tcW w:w="1610" w:type="dxa"/>
          </w:tcPr>
          <w:p w14:paraId="625883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31</w:t>
            </w:r>
          </w:p>
        </w:tc>
        <w:tc>
          <w:tcPr>
            <w:tcW w:w="1610" w:type="dxa"/>
          </w:tcPr>
          <w:p w14:paraId="78AE88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610" w:type="dxa"/>
          </w:tcPr>
          <w:p w14:paraId="5AC871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610" w:type="dxa"/>
          </w:tcPr>
          <w:p w14:paraId="56AF52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1EF2E2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66D4ECC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5757DC7" w14:textId="77777777">
        <w:tc>
          <w:tcPr>
            <w:tcW w:w="1610" w:type="dxa"/>
          </w:tcPr>
          <w:p w14:paraId="6D9BD9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1610" w:type="dxa"/>
          </w:tcPr>
          <w:p w14:paraId="0F0583BE"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619BCD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669</w:t>
            </w:r>
          </w:p>
        </w:tc>
        <w:tc>
          <w:tcPr>
            <w:tcW w:w="1610" w:type="dxa"/>
          </w:tcPr>
          <w:p w14:paraId="312EC5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501</w:t>
            </w:r>
          </w:p>
        </w:tc>
        <w:tc>
          <w:tcPr>
            <w:tcW w:w="1610" w:type="dxa"/>
          </w:tcPr>
          <w:p w14:paraId="6A5ECD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1610" w:type="dxa"/>
          </w:tcPr>
          <w:p w14:paraId="51FEA8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171</w:t>
            </w:r>
          </w:p>
        </w:tc>
        <w:tc>
          <w:tcPr>
            <w:tcW w:w="1610" w:type="dxa"/>
          </w:tcPr>
          <w:p w14:paraId="3199D462" w14:textId="77777777" w:rsidR="00D4105E" w:rsidRPr="00E14102" w:rsidRDefault="00D4105E" w:rsidP="00E14102">
            <w:pPr>
              <w:autoSpaceDE w:val="0"/>
              <w:autoSpaceDN w:val="0"/>
              <w:adjustRightInd w:val="0"/>
              <w:jc w:val="both"/>
              <w:rPr>
                <w:color w:val="000000" w:themeColor="text1"/>
                <w:sz w:val="16"/>
                <w:szCs w:val="16"/>
              </w:rPr>
            </w:pPr>
          </w:p>
        </w:tc>
      </w:tr>
    </w:tbl>
    <w:p w14:paraId="376734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(4039,59-60).</w:t>
      </w:r>
    </w:p>
    <w:p w14:paraId="0D5F94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Ведомость № 2 выполнения промышленностью заказов УВС РККА за 1934 год по моторам и групповым комплектам к ним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E3599D" w:rsidRPr="00E14102" w14:paraId="2AB83A6A" w14:textId="77777777">
        <w:tc>
          <w:tcPr>
            <w:tcW w:w="1878" w:type="dxa"/>
          </w:tcPr>
          <w:p w14:paraId="26D1AC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продукции</w:t>
            </w:r>
          </w:p>
        </w:tc>
        <w:tc>
          <w:tcPr>
            <w:tcW w:w="1878" w:type="dxa"/>
          </w:tcPr>
          <w:p w14:paraId="54CBD4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Завод-поставщик</w:t>
            </w:r>
          </w:p>
        </w:tc>
        <w:tc>
          <w:tcPr>
            <w:tcW w:w="1878" w:type="dxa"/>
          </w:tcPr>
          <w:p w14:paraId="2AAC93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Заказов по плану</w:t>
            </w:r>
          </w:p>
        </w:tc>
        <w:tc>
          <w:tcPr>
            <w:tcW w:w="1878" w:type="dxa"/>
          </w:tcPr>
          <w:p w14:paraId="399E9F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Сдано за год</w:t>
            </w:r>
          </w:p>
        </w:tc>
        <w:tc>
          <w:tcPr>
            <w:tcW w:w="1878" w:type="dxa"/>
          </w:tcPr>
          <w:p w14:paraId="1554BC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выполнения</w:t>
            </w:r>
          </w:p>
        </w:tc>
        <w:tc>
          <w:tcPr>
            <w:tcW w:w="1878" w:type="dxa"/>
          </w:tcPr>
          <w:p w14:paraId="6ED634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Недодел в количестве</w:t>
            </w:r>
          </w:p>
        </w:tc>
      </w:tr>
      <w:tr w:rsidR="00E3599D" w:rsidRPr="00E14102" w14:paraId="3B8C2A96" w14:textId="77777777">
        <w:tc>
          <w:tcPr>
            <w:tcW w:w="1878" w:type="dxa"/>
          </w:tcPr>
          <w:p w14:paraId="78A5CC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М-17</w:t>
            </w:r>
          </w:p>
        </w:tc>
        <w:tc>
          <w:tcPr>
            <w:tcW w:w="1878" w:type="dxa"/>
          </w:tcPr>
          <w:p w14:paraId="0BB080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26</w:t>
            </w:r>
          </w:p>
        </w:tc>
        <w:tc>
          <w:tcPr>
            <w:tcW w:w="1878" w:type="dxa"/>
          </w:tcPr>
          <w:p w14:paraId="0D4200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2115</w:t>
            </w:r>
          </w:p>
        </w:tc>
        <w:tc>
          <w:tcPr>
            <w:tcW w:w="1878" w:type="dxa"/>
          </w:tcPr>
          <w:p w14:paraId="380A47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2500</w:t>
            </w:r>
          </w:p>
        </w:tc>
        <w:tc>
          <w:tcPr>
            <w:tcW w:w="1878" w:type="dxa"/>
          </w:tcPr>
          <w:p w14:paraId="7D5394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118,2%</w:t>
            </w:r>
          </w:p>
        </w:tc>
        <w:tc>
          <w:tcPr>
            <w:tcW w:w="1878" w:type="dxa"/>
          </w:tcPr>
          <w:p w14:paraId="0A7EBF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A091190" w14:textId="77777777">
        <w:tc>
          <w:tcPr>
            <w:tcW w:w="1878" w:type="dxa"/>
          </w:tcPr>
          <w:p w14:paraId="0B4A95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М-11</w:t>
            </w:r>
          </w:p>
        </w:tc>
        <w:tc>
          <w:tcPr>
            <w:tcW w:w="1878" w:type="dxa"/>
          </w:tcPr>
          <w:p w14:paraId="47452E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29</w:t>
            </w:r>
          </w:p>
        </w:tc>
        <w:tc>
          <w:tcPr>
            <w:tcW w:w="1878" w:type="dxa"/>
          </w:tcPr>
          <w:p w14:paraId="441F4E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1878" w:type="dxa"/>
          </w:tcPr>
          <w:p w14:paraId="00123F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782</w:t>
            </w:r>
          </w:p>
        </w:tc>
        <w:tc>
          <w:tcPr>
            <w:tcW w:w="1878" w:type="dxa"/>
          </w:tcPr>
          <w:p w14:paraId="5726EF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98%</w:t>
            </w:r>
          </w:p>
        </w:tc>
        <w:tc>
          <w:tcPr>
            <w:tcW w:w="1878" w:type="dxa"/>
          </w:tcPr>
          <w:p w14:paraId="0BCB1C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r>
      <w:tr w:rsidR="00E3599D" w:rsidRPr="00E14102" w14:paraId="49EFD9E9" w14:textId="77777777">
        <w:tc>
          <w:tcPr>
            <w:tcW w:w="1878" w:type="dxa"/>
          </w:tcPr>
          <w:p w14:paraId="18F36A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М-22</w:t>
            </w:r>
          </w:p>
        </w:tc>
        <w:tc>
          <w:tcPr>
            <w:tcW w:w="1878" w:type="dxa"/>
          </w:tcPr>
          <w:p w14:paraId="4D3C0D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29</w:t>
            </w:r>
          </w:p>
        </w:tc>
        <w:tc>
          <w:tcPr>
            <w:tcW w:w="1878" w:type="dxa"/>
          </w:tcPr>
          <w:p w14:paraId="13DBA5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1878" w:type="dxa"/>
          </w:tcPr>
          <w:p w14:paraId="6C55D6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1878" w:type="dxa"/>
          </w:tcPr>
          <w:p w14:paraId="341C77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878" w:type="dxa"/>
          </w:tcPr>
          <w:p w14:paraId="43164F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4D499FAA" w14:textId="77777777">
        <w:tc>
          <w:tcPr>
            <w:tcW w:w="1878" w:type="dxa"/>
          </w:tcPr>
          <w:p w14:paraId="118796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М-34Р</w:t>
            </w:r>
          </w:p>
        </w:tc>
        <w:tc>
          <w:tcPr>
            <w:tcW w:w="1878" w:type="dxa"/>
          </w:tcPr>
          <w:p w14:paraId="19B080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24</w:t>
            </w:r>
          </w:p>
        </w:tc>
        <w:tc>
          <w:tcPr>
            <w:tcW w:w="1878" w:type="dxa"/>
          </w:tcPr>
          <w:p w14:paraId="2339B7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878" w:type="dxa"/>
          </w:tcPr>
          <w:p w14:paraId="7834D3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878" w:type="dxa"/>
          </w:tcPr>
          <w:p w14:paraId="1DAB37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878" w:type="dxa"/>
          </w:tcPr>
          <w:p w14:paraId="4C82B4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2598231F" w14:textId="77777777">
        <w:tc>
          <w:tcPr>
            <w:tcW w:w="1878" w:type="dxa"/>
          </w:tcPr>
          <w:p w14:paraId="1C7F21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М-34РН</w:t>
            </w:r>
          </w:p>
        </w:tc>
        <w:tc>
          <w:tcPr>
            <w:tcW w:w="1878" w:type="dxa"/>
          </w:tcPr>
          <w:p w14:paraId="542AEA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24</w:t>
            </w:r>
          </w:p>
        </w:tc>
        <w:tc>
          <w:tcPr>
            <w:tcW w:w="1878" w:type="dxa"/>
          </w:tcPr>
          <w:p w14:paraId="0D81FC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878" w:type="dxa"/>
          </w:tcPr>
          <w:p w14:paraId="4EBFB1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2B04C7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878" w:type="dxa"/>
          </w:tcPr>
          <w:p w14:paraId="715359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r>
      <w:tr w:rsidR="00E3599D" w:rsidRPr="00E14102" w14:paraId="66EBA846" w14:textId="77777777">
        <w:tc>
          <w:tcPr>
            <w:tcW w:w="1878" w:type="dxa"/>
          </w:tcPr>
          <w:p w14:paraId="58882A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w:t>
            </w:r>
          </w:p>
        </w:tc>
        <w:tc>
          <w:tcPr>
            <w:tcW w:w="1878" w:type="dxa"/>
          </w:tcPr>
          <w:p w14:paraId="7AC469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24</w:t>
            </w:r>
          </w:p>
        </w:tc>
        <w:tc>
          <w:tcPr>
            <w:tcW w:w="1878" w:type="dxa"/>
          </w:tcPr>
          <w:p w14:paraId="5C1C0A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3AD679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61</w:t>
            </w:r>
          </w:p>
        </w:tc>
        <w:tc>
          <w:tcPr>
            <w:tcW w:w="1878" w:type="dxa"/>
          </w:tcPr>
          <w:p w14:paraId="510934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6939BB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3BA2D64D" w14:textId="77777777">
        <w:tc>
          <w:tcPr>
            <w:tcW w:w="1878" w:type="dxa"/>
          </w:tcPr>
          <w:p w14:paraId="79A367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1878" w:type="dxa"/>
          </w:tcPr>
          <w:p w14:paraId="0CBB5E08"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0B1323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3275</w:t>
            </w:r>
          </w:p>
        </w:tc>
        <w:tc>
          <w:tcPr>
            <w:tcW w:w="1878" w:type="dxa"/>
          </w:tcPr>
          <w:p w14:paraId="784435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3603</w:t>
            </w:r>
          </w:p>
        </w:tc>
        <w:tc>
          <w:tcPr>
            <w:tcW w:w="1878" w:type="dxa"/>
          </w:tcPr>
          <w:p w14:paraId="6BC306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1878" w:type="dxa"/>
          </w:tcPr>
          <w:p w14:paraId="33CF88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168</w:t>
            </w:r>
          </w:p>
        </w:tc>
      </w:tr>
      <w:tr w:rsidR="00E3599D" w:rsidRPr="00E14102" w14:paraId="1F250353" w14:textId="77777777">
        <w:tc>
          <w:tcPr>
            <w:tcW w:w="1878" w:type="dxa"/>
          </w:tcPr>
          <w:p w14:paraId="71042C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Групповых комплектов</w:t>
            </w:r>
          </w:p>
        </w:tc>
        <w:tc>
          <w:tcPr>
            <w:tcW w:w="1878" w:type="dxa"/>
          </w:tcPr>
          <w:p w14:paraId="4832C77B"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5F1BA368"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4258B1EF"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5FAEFFE7"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579C383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FDA0EFA" w14:textId="77777777">
        <w:tc>
          <w:tcPr>
            <w:tcW w:w="1878" w:type="dxa"/>
          </w:tcPr>
          <w:p w14:paraId="69FD58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М-17</w:t>
            </w:r>
          </w:p>
        </w:tc>
        <w:tc>
          <w:tcPr>
            <w:tcW w:w="1878" w:type="dxa"/>
          </w:tcPr>
          <w:p w14:paraId="372E71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26</w:t>
            </w:r>
          </w:p>
        </w:tc>
        <w:tc>
          <w:tcPr>
            <w:tcW w:w="1878" w:type="dxa"/>
          </w:tcPr>
          <w:p w14:paraId="0BB4D5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722</w:t>
            </w:r>
          </w:p>
        </w:tc>
        <w:tc>
          <w:tcPr>
            <w:tcW w:w="1878" w:type="dxa"/>
          </w:tcPr>
          <w:p w14:paraId="335FE8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545</w:t>
            </w:r>
          </w:p>
        </w:tc>
        <w:tc>
          <w:tcPr>
            <w:tcW w:w="1878" w:type="dxa"/>
          </w:tcPr>
          <w:p w14:paraId="017441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75,5%</w:t>
            </w:r>
          </w:p>
        </w:tc>
        <w:tc>
          <w:tcPr>
            <w:tcW w:w="1878" w:type="dxa"/>
          </w:tcPr>
          <w:p w14:paraId="6410B4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177</w:t>
            </w:r>
          </w:p>
        </w:tc>
      </w:tr>
      <w:tr w:rsidR="00E3599D" w:rsidRPr="00E14102" w14:paraId="470762F1" w14:textId="77777777">
        <w:tc>
          <w:tcPr>
            <w:tcW w:w="1878" w:type="dxa"/>
          </w:tcPr>
          <w:p w14:paraId="1B7D87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М-22</w:t>
            </w:r>
          </w:p>
        </w:tc>
        <w:tc>
          <w:tcPr>
            <w:tcW w:w="1878" w:type="dxa"/>
          </w:tcPr>
          <w:p w14:paraId="39CBDA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29</w:t>
            </w:r>
          </w:p>
        </w:tc>
        <w:tc>
          <w:tcPr>
            <w:tcW w:w="1878" w:type="dxa"/>
          </w:tcPr>
          <w:p w14:paraId="5C7856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w:t>
            </w:r>
          </w:p>
        </w:tc>
        <w:tc>
          <w:tcPr>
            <w:tcW w:w="1878" w:type="dxa"/>
          </w:tcPr>
          <w:p w14:paraId="0F956E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w:t>
            </w:r>
          </w:p>
        </w:tc>
        <w:tc>
          <w:tcPr>
            <w:tcW w:w="1878" w:type="dxa"/>
          </w:tcPr>
          <w:p w14:paraId="72B61F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878" w:type="dxa"/>
          </w:tcPr>
          <w:p w14:paraId="4FDF5D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182A9B6" w14:textId="77777777">
        <w:tc>
          <w:tcPr>
            <w:tcW w:w="1878" w:type="dxa"/>
          </w:tcPr>
          <w:p w14:paraId="016B83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М-11</w:t>
            </w:r>
          </w:p>
        </w:tc>
        <w:tc>
          <w:tcPr>
            <w:tcW w:w="1878" w:type="dxa"/>
          </w:tcPr>
          <w:p w14:paraId="149633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29</w:t>
            </w:r>
          </w:p>
        </w:tc>
        <w:tc>
          <w:tcPr>
            <w:tcW w:w="1878" w:type="dxa"/>
          </w:tcPr>
          <w:p w14:paraId="61405B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165</w:t>
            </w:r>
          </w:p>
        </w:tc>
        <w:tc>
          <w:tcPr>
            <w:tcW w:w="1878" w:type="dxa"/>
          </w:tcPr>
          <w:p w14:paraId="7CF207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165</w:t>
            </w:r>
          </w:p>
        </w:tc>
        <w:tc>
          <w:tcPr>
            <w:tcW w:w="1878" w:type="dxa"/>
          </w:tcPr>
          <w:p w14:paraId="6C1F78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878" w:type="dxa"/>
          </w:tcPr>
          <w:p w14:paraId="0E6987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3FC934DD" w14:textId="77777777">
        <w:tc>
          <w:tcPr>
            <w:tcW w:w="1878" w:type="dxa"/>
          </w:tcPr>
          <w:p w14:paraId="0CB54B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М-34Р</w:t>
            </w:r>
          </w:p>
        </w:tc>
        <w:tc>
          <w:tcPr>
            <w:tcW w:w="1878" w:type="dxa"/>
          </w:tcPr>
          <w:p w14:paraId="220C80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24</w:t>
            </w:r>
          </w:p>
        </w:tc>
        <w:tc>
          <w:tcPr>
            <w:tcW w:w="1878" w:type="dxa"/>
          </w:tcPr>
          <w:p w14:paraId="54B020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1878" w:type="dxa"/>
          </w:tcPr>
          <w:p w14:paraId="03D24B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1878" w:type="dxa"/>
          </w:tcPr>
          <w:p w14:paraId="35B29B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878" w:type="dxa"/>
          </w:tcPr>
          <w:p w14:paraId="200D78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3644D0B1" w14:textId="77777777">
        <w:tc>
          <w:tcPr>
            <w:tcW w:w="1878" w:type="dxa"/>
          </w:tcPr>
          <w:p w14:paraId="24FDD1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М-34РН</w:t>
            </w:r>
          </w:p>
        </w:tc>
        <w:tc>
          <w:tcPr>
            <w:tcW w:w="1878" w:type="dxa"/>
          </w:tcPr>
          <w:p w14:paraId="384EDC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24</w:t>
            </w:r>
          </w:p>
        </w:tc>
        <w:tc>
          <w:tcPr>
            <w:tcW w:w="1878" w:type="dxa"/>
          </w:tcPr>
          <w:p w14:paraId="44619D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57</w:t>
            </w:r>
          </w:p>
        </w:tc>
        <w:tc>
          <w:tcPr>
            <w:tcW w:w="1878" w:type="dxa"/>
          </w:tcPr>
          <w:p w14:paraId="6FF5CA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436B10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7D7616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57</w:t>
            </w:r>
          </w:p>
        </w:tc>
      </w:tr>
      <w:tr w:rsidR="00E3599D" w:rsidRPr="00E14102" w14:paraId="7197B4BA" w14:textId="77777777">
        <w:tc>
          <w:tcPr>
            <w:tcW w:w="1878" w:type="dxa"/>
          </w:tcPr>
          <w:p w14:paraId="0906E7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М-34</w:t>
            </w:r>
          </w:p>
        </w:tc>
        <w:tc>
          <w:tcPr>
            <w:tcW w:w="1878" w:type="dxa"/>
          </w:tcPr>
          <w:p w14:paraId="68DE76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24</w:t>
            </w:r>
          </w:p>
        </w:tc>
        <w:tc>
          <w:tcPr>
            <w:tcW w:w="1878" w:type="dxa"/>
          </w:tcPr>
          <w:p w14:paraId="396C0A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1878" w:type="dxa"/>
          </w:tcPr>
          <w:p w14:paraId="00D273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1878" w:type="dxa"/>
          </w:tcPr>
          <w:p w14:paraId="24B7E3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878" w:type="dxa"/>
          </w:tcPr>
          <w:p w14:paraId="3DAB59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1DCE0D6C" w14:textId="77777777">
        <w:tc>
          <w:tcPr>
            <w:tcW w:w="1878" w:type="dxa"/>
          </w:tcPr>
          <w:p w14:paraId="63FD29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1878" w:type="dxa"/>
          </w:tcPr>
          <w:p w14:paraId="0238617B"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480069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1080</w:t>
            </w:r>
          </w:p>
        </w:tc>
        <w:tc>
          <w:tcPr>
            <w:tcW w:w="1878" w:type="dxa"/>
          </w:tcPr>
          <w:p w14:paraId="52D388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846</w:t>
            </w:r>
          </w:p>
        </w:tc>
        <w:tc>
          <w:tcPr>
            <w:tcW w:w="1878" w:type="dxa"/>
          </w:tcPr>
          <w:p w14:paraId="181977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78%</w:t>
            </w:r>
          </w:p>
        </w:tc>
        <w:tc>
          <w:tcPr>
            <w:tcW w:w="1878" w:type="dxa"/>
          </w:tcPr>
          <w:p w14:paraId="2402E3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234</w:t>
            </w:r>
          </w:p>
        </w:tc>
      </w:tr>
    </w:tbl>
    <w:p w14:paraId="04E5A0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(4039,61).</w:t>
      </w:r>
    </w:p>
    <w:p w14:paraId="784E3E61" w14:textId="77777777" w:rsidR="00D4105E" w:rsidRPr="00E14102" w:rsidRDefault="00D4105E" w:rsidP="00E14102">
      <w:pPr>
        <w:autoSpaceDE w:val="0"/>
        <w:autoSpaceDN w:val="0"/>
        <w:adjustRightInd w:val="0"/>
        <w:jc w:val="both"/>
        <w:rPr>
          <w:color w:val="000000" w:themeColor="text1"/>
          <w:sz w:val="16"/>
          <w:szCs w:val="16"/>
        </w:rPr>
      </w:pPr>
    </w:p>
    <w:p w14:paraId="6CBC0F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января 1935 года член КСК Хаханьян писал письмо № 8/сс в ЦК ВКП(б) Сталину, СНК Молотову, председателю КСК Куйбышеву, НКО Воорошилову, НКТП Орджоникидзе</w:t>
      </w:r>
    </w:p>
    <w:p w14:paraId="05B1D3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Положение дела с производственным освоением авиационных пушек Курчевского и с внедрением в наши ВВС на сегодня нужно признать совершенно неудовлетворительным.</w:t>
      </w:r>
    </w:p>
    <w:p w14:paraId="120B17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началу 1934 года УВВС располагало всего 26 пушками Курчевского марки АПК-4 (калибр 76 мм, начальная скорость 350 м/сек. снаряд-шнапрель), изготовленных кустарно в мастерской Курчевского на заводе № 8.</w:t>
      </w:r>
    </w:p>
    <w:p w14:paraId="4E8175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1934 году промышленность должна была дать 100 штук АПК-4 и ……. боевых снарядов к ним, однако, на сегодня не сдано ни одной пушки и ни одного снаряда.</w:t>
      </w:r>
    </w:p>
    <w:p w14:paraId="5774F1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Изготовленные на Харьковском заводе под АПК-4 самолеты “ЗЕТ” остаются невооруженными. На заводе сейчас скопилось 30 самолетов, которые не сдаются исключительно из-за отсутствия пушек.</w:t>
      </w:r>
    </w:p>
    <w:p w14:paraId="3C5C04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Пушки изготовляются на заводах: № 7 (ведущий завод), им. Свердлова и “им. Макса Гельца”; завода с трудом осваивали производство пушек, сами не уделили достаточного внимания этому производству; особенно плохо шло дело на заводе “им. Свердлова”, изготовляющем автоматику, наиболее сложную и ответственную часть пушки. Организующая и корректирующая роль в этой кооперации со стороны ГВМУ была явно недостаточна; ряд взаимных претензий, недоразумений и т.п. вопросов между заводами нередко приходилось разрешать на месте нам (Военной группе КСК).</w:t>
      </w:r>
    </w:p>
    <w:p w14:paraId="311CF7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Одной из причин, тормозивших освоение заводами систем, служила также недоработанность опытного образца и отсюда внесение ряда изменений в чертежи уже в процессе массового производства.</w:t>
      </w:r>
    </w:p>
    <w:p w14:paraId="3F601A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 1934 года показывает, что завод № 7, будучи к тому же оторван от Бюро Курчевского не может справляться с освоением совершенно новых авиационных систем Курчевского. Чтобы не допускать повторения срыва производства новой 37 мм пушки АПК-11 и выполнения большого заказа на АПК-4, безусловно необходимо поставить производство авиационных пушек Курчевского на заводе № 8, как более солидном заводе и находящемся рядом с Бюро Курчевского, особенно необходимо сделать это в отношении новой системы АПК-11.</w:t>
      </w:r>
    </w:p>
    <w:p w14:paraId="64EB9D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ускорения отладки и сдачи изготовленных на заводе № 7 до 50 систем и деталей на остальные 50 – необходимо передать весь комплект деталей на 100 систем с завода № 7 на завод № 38 для сборки и отладки в первой половине 1935 года. Курчевский считает, что завод № 38 с этой задачей справится.</w:t>
      </w:r>
    </w:p>
    <w:p w14:paraId="3E14D4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Наряду с неблагополучным положением производства пушек, имеет место еще более неудовлетворительное состояние с производством выстрелов. До сих пор все испытания и учебные стрельбы в эскадрильи “ЗЕТ” (начальник Сузи) производились не боевыми патронами, а скверными суррогатами, которые портили автоматику и при учебных стрельбах давали до 60% отказов.</w:t>
      </w:r>
    </w:p>
    <w:p w14:paraId="40346C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Комплектация боевого выстрела зависит от правильной кооперации пяти основных заводов, находящихся в двух главках – ГВМУ и Главхимпроме.</w:t>
      </w:r>
    </w:p>
    <w:p w14:paraId="364494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такой сложной кооперации, а НКТП сейчас неизвестно кто руководит и кто окончательно несет ответственность за выстрел к АПК.</w:t>
      </w:r>
    </w:p>
    <w:p w14:paraId="7FF34E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сих пор руководство ГВМУ этим делом не привело к положительным результатам – не сдано ни одного выстрела из 40 тысячного заказа. При этом надо добавить, что технология настоящего образца является мало надежной.</w:t>
      </w:r>
    </w:p>
    <w:p w14:paraId="3405BB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Мягкая нитроткань, из каковой сейчас изготовляются гильзы и деревянный поддон, вызывают большое сомнение и подлежат замене твердой оболочкой и мастичным (пластмассы) поддоном. Работы эти хотя и ведутся в Военно-химическом научном институте, но ведутся настолько медленно, что никакого решения до сих пор не получено.</w:t>
      </w:r>
    </w:p>
    <w:p w14:paraId="5AECD2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Остается также не решенным вопрос о преимущественном типе снаряда – шрапнель или дистанционная граната. Ввиду явной слабости шрапнели, АУ ведет разработку гранаты, но ведет ее тем же черепашьим шагом как в ВХНИ по твердой гильзе.</w:t>
      </w:r>
    </w:p>
    <w:p w14:paraId="4A4D98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Вообще надо признать, что настойчивость АУ в деле получения пушек и особенно снарядов явно недостаточная.</w:t>
      </w:r>
    </w:p>
    <w:p w14:paraId="1DE860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необходимо установить в НКТП единую ответственность за окончательную подачу выстрелов по АПК обязательно в герметической укупорке, причем наиболее правильно возложить это на Главхимпром, обязав последний производить окончательную комплектацию и укупорку на своих заводах.</w:t>
      </w:r>
    </w:p>
    <w:p w14:paraId="76D654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Наряду с явно неудовлетворительным состоянием производства, имеет место недостаточно правильная постановка дела с боевым освоением этих систем в ВВС. Эскадрилья весь год вела стрельбу лишь по земным целям, что совершенно не характерно для АПК.</w:t>
      </w:r>
    </w:p>
    <w:p w14:paraId="17714C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Причем и эти стрельбы не дали исчерпывающего материала для заключения о необходимых изменениях в конструкции и технологии систем АПК-4 на 1935 год.</w:t>
      </w:r>
    </w:p>
    <w:p w14:paraId="708A53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Выводы.</w:t>
      </w:r>
    </w:p>
    <w:p w14:paraId="05ADD6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Чтобы в 1935 году избавиться от неполадок, которые до сих пор тормозили дело внедрения АПК-4, необходимо проведение следующих основных мероприятий:</w:t>
      </w:r>
    </w:p>
    <w:p w14:paraId="78FC8FD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Сделать ведущим заводом по авиационным пушкам Курчевского завод № 8, на котором в 1935 году выполнить полностью изготовление новой 37 мм пушки АПК-11. Заказ по АПК-4 распределить между заводами №№ 8 и 7.</w:t>
      </w:r>
    </w:p>
    <w:p w14:paraId="0C2651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Отладку и сдачу 100 АПК-4 изготовления 1934 года возложить на завод № 38.</w:t>
      </w:r>
    </w:p>
    <w:p w14:paraId="350B5FB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Организовать окончательную сборку выстрелов на заводах Главхимпрома, сделав последний ответственным за сдачу выстрелов для АПК в герметической укупорке.</w:t>
      </w:r>
    </w:p>
    <w:p w14:paraId="10645CB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1935 году окончательно разрешить вопрос о типе снаряда (шрапнель или дистанционная граната) и дать кондиционный боевой выстрел (твердая гильза, поддон из пластмассы, безотказное воспламенение, взрыватель для гранаты).</w:t>
      </w:r>
    </w:p>
    <w:p w14:paraId="7545421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НКО в 1935 году окончательно освоить стрельбой, в первую очередь по воздушным целям – авиационные пушки Курчевского; в частности обеспечить все это соответственно оборудованным полигоном (2426,27-30).</w:t>
      </w:r>
    </w:p>
    <w:p w14:paraId="7D04C730"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3B5A790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8E27789" w14:textId="77777777" w:rsidR="00D4105E" w:rsidRPr="00E14102" w:rsidRDefault="00D4105E" w:rsidP="00E14102">
      <w:pPr>
        <w:autoSpaceDE w:val="0"/>
        <w:autoSpaceDN w:val="0"/>
        <w:adjustRightInd w:val="0"/>
        <w:jc w:val="both"/>
        <w:rPr>
          <w:iCs/>
          <w:color w:val="000000" w:themeColor="text1"/>
          <w:sz w:val="16"/>
          <w:szCs w:val="16"/>
        </w:rPr>
      </w:pPr>
    </w:p>
    <w:p w14:paraId="431082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января 1935 года 203-мм мортира 03, которая была спроектирована КБ № 2 и изготовлена в 1934 году на заводе "Баррикады", прибыла на НИАП с завода "Баррикады", а передок с колесами прибыл с завода № 7 30 декабря 1934 года. Стрельба велась опытными снарядами весом 80 кг и 100 кг. Меткость стрельбы на полигонных испытаниях оказалась неудовлетворительной. Мортира была плохо уравновешена и усилия на рукояти маховика вертикального наведения были от 15 до 45 кг. Обкатка мортиры на расстоянии 50 км мехтягой со скоростью 1012 км/час привела к повреждению колес с металлической шиной и ломке рессор. На вооружение 203-мм мортира 03 принята не была.</w:t>
      </w:r>
    </w:p>
    <w:p w14:paraId="6B752A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Мортира имела коробчатый лафет. Тормоз отката гидравлический с объемом жидкости 18 литров. Накатник гидропневматический. При откате накатники откатывались вместе со стволом, а тормоз отката был неподвижен. Уравновешивающий механизм пружинный. Имелся механизм быстрого привода вертикального наведения для заряжания.</w:t>
      </w:r>
    </w:p>
    <w:p w14:paraId="08FDFB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Лафет имел подрессоривание и был приспособлен как для конной, так и для механической тяги.</w:t>
      </w:r>
    </w:p>
    <w:p w14:paraId="129614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Тело мортиры было спроектировано в двух вариантах: лейнированный ствол и ствол моноблок. Крутизна нарезов прогрессивная. Затвор горизонтальный клиновой. Заряжание раздельно-гильзовое.</w:t>
      </w:r>
    </w:p>
    <w:p w14:paraId="22A4AF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Рессоры пластинчатые. Передок не приспособлен для перевозки боекомплекта.</w:t>
      </w:r>
    </w:p>
    <w:p w14:paraId="22F756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системе применялось два типа лафетных колес с металлической шиной (вес пары колес 404 кг) и с грузошиной (вес пары колес 504 кг) (3861).</w:t>
      </w:r>
    </w:p>
    <w:p w14:paraId="05C61E32" w14:textId="77777777" w:rsidR="00D4105E" w:rsidRPr="00E14102" w:rsidRDefault="00D4105E" w:rsidP="00E14102">
      <w:pPr>
        <w:autoSpaceDE w:val="0"/>
        <w:autoSpaceDN w:val="0"/>
        <w:adjustRightInd w:val="0"/>
        <w:jc w:val="both"/>
        <w:rPr>
          <w:color w:val="000000" w:themeColor="text1"/>
          <w:sz w:val="16"/>
          <w:szCs w:val="16"/>
        </w:rPr>
      </w:pPr>
    </w:p>
    <w:p w14:paraId="1C811FBC" w14:textId="77777777" w:rsidR="008042DC" w:rsidRPr="00E14102" w:rsidRDefault="008042DC" w:rsidP="00E14102">
      <w:pPr>
        <w:jc w:val="both"/>
        <w:rPr>
          <w:color w:val="000000" w:themeColor="text1"/>
          <w:sz w:val="16"/>
          <w:szCs w:val="16"/>
        </w:rPr>
      </w:pPr>
      <w:r w:rsidRPr="00E14102">
        <w:rPr>
          <w:color w:val="000000" w:themeColor="text1"/>
          <w:sz w:val="16"/>
          <w:szCs w:val="16"/>
        </w:rPr>
        <w:t>9 января 1935 г. мортира «03» прибыла с завода «Баррикады» на НИАП, а передок с колесами прибыл с завода № 7 30 декабря 1934 г.</w:t>
      </w:r>
    </w:p>
    <w:p w14:paraId="20AB3249" w14:textId="77777777" w:rsidR="008042DC" w:rsidRPr="00E14102" w:rsidRDefault="008042DC" w:rsidP="00E14102">
      <w:pPr>
        <w:jc w:val="both"/>
        <w:rPr>
          <w:color w:val="000000" w:themeColor="text1"/>
          <w:sz w:val="16"/>
          <w:szCs w:val="16"/>
        </w:rPr>
      </w:pPr>
      <w:r w:rsidRPr="00E14102">
        <w:rPr>
          <w:color w:val="000000" w:themeColor="text1"/>
          <w:sz w:val="16"/>
          <w:szCs w:val="16"/>
        </w:rPr>
        <w:t>Мортира «03» могла стрелять всеми штатными 203-мм снарядами. Так, при стрельбе 80-кг снарядами на полном заряде начальная скорость составляла 310 м/с, дальность — 6991 м, а для 100-кг снаряда — 260 м/с и 5233 м соответственно.</w:t>
      </w:r>
    </w:p>
    <w:p w14:paraId="62B4DCD4" w14:textId="77777777" w:rsidR="008042DC" w:rsidRPr="00E14102" w:rsidRDefault="008042DC" w:rsidP="00E14102">
      <w:pPr>
        <w:jc w:val="both"/>
        <w:rPr>
          <w:color w:val="000000" w:themeColor="text1"/>
          <w:sz w:val="16"/>
          <w:szCs w:val="16"/>
        </w:rPr>
      </w:pPr>
      <w:r w:rsidRPr="00E14102">
        <w:rPr>
          <w:color w:val="000000" w:themeColor="text1"/>
          <w:sz w:val="16"/>
          <w:szCs w:val="16"/>
        </w:rPr>
        <w:t>На испытаниях мортиры «ОЗ» было выявлено несколько непринципиальных конструктивных недоработок — неудовлетворительная меткость, недостаточное уравновешивание и ломка рессор подрессоривания.[103] Все это — «дела житейские»: неудовлетворительная меткость — следствие неверного расчета крутизны нарезки, подтянули пружину или вообще заменили уравновешивающий механизм, да поменяли рессоры, и всего делов. Но, видимо, кто-то был очень заинтересован, чтобы мортир в РККА не было, и работы по «03» прекратили (12705).</w:t>
      </w:r>
    </w:p>
    <w:p w14:paraId="4F88A7B4" w14:textId="77777777" w:rsidR="008042DC" w:rsidRPr="00E14102" w:rsidRDefault="008042DC" w:rsidP="00E14102">
      <w:pPr>
        <w:jc w:val="both"/>
        <w:rPr>
          <w:color w:val="000000" w:themeColor="text1"/>
          <w:sz w:val="16"/>
          <w:szCs w:val="16"/>
        </w:rPr>
      </w:pPr>
    </w:p>
    <w:p w14:paraId="47EDEA01" w14:textId="77777777" w:rsidR="0063683B" w:rsidRPr="00E14102" w:rsidRDefault="0063683B" w:rsidP="00E14102">
      <w:pPr>
        <w:jc w:val="both"/>
        <w:rPr>
          <w:color w:val="0070C0"/>
          <w:sz w:val="16"/>
          <w:szCs w:val="16"/>
        </w:rPr>
      </w:pPr>
      <w:r w:rsidRPr="00E14102">
        <w:rPr>
          <w:color w:val="0070C0"/>
          <w:sz w:val="16"/>
          <w:szCs w:val="16"/>
        </w:rPr>
        <w:t>9 января 1935 опросом членов ПБ</w:t>
      </w:r>
    </w:p>
    <w:p w14:paraId="0D3714DD" w14:textId="77777777" w:rsidR="0063683B" w:rsidRPr="00E14102" w:rsidRDefault="0063683B" w:rsidP="00E14102">
      <w:pPr>
        <w:jc w:val="both"/>
        <w:rPr>
          <w:color w:val="0070C0"/>
          <w:sz w:val="16"/>
          <w:szCs w:val="16"/>
        </w:rPr>
      </w:pPr>
      <w:r w:rsidRPr="00E14102">
        <w:rPr>
          <w:color w:val="0070C0"/>
          <w:sz w:val="16"/>
          <w:szCs w:val="16"/>
        </w:rPr>
        <w:t>38.- О чacoвой промышленности</w:t>
      </w:r>
    </w:p>
    <w:p w14:paraId="1528165D" w14:textId="77777777" w:rsidR="0063683B" w:rsidRPr="00E14102" w:rsidRDefault="0063683B" w:rsidP="00E14102">
      <w:pPr>
        <w:jc w:val="both"/>
        <w:rPr>
          <w:color w:val="0070C0"/>
          <w:sz w:val="16"/>
          <w:szCs w:val="16"/>
        </w:rPr>
      </w:pPr>
      <w:r w:rsidRPr="00E14102">
        <w:rPr>
          <w:color w:val="0070C0"/>
          <w:sz w:val="16"/>
          <w:szCs w:val="16"/>
        </w:rPr>
        <w:t>3) 3акупить за границей оборудование для 2-х новых часовых заводов, поручив т. Орджоникидзе представить в пятидневный срок предложения о необходимых ассигнова</w:t>
      </w:r>
      <w:r w:rsidRPr="00E14102">
        <w:rPr>
          <w:color w:val="0070C0"/>
          <w:sz w:val="16"/>
          <w:szCs w:val="16"/>
        </w:rPr>
        <w:softHyphen/>
        <w:t>ниях, сроках начала и окончания строительства этих двух заводов.</w:t>
      </w:r>
    </w:p>
    <w:p w14:paraId="3DEEAA7A" w14:textId="77777777" w:rsidR="0063683B" w:rsidRPr="00E14102" w:rsidRDefault="0063683B" w:rsidP="00E14102">
      <w:pPr>
        <w:jc w:val="both"/>
        <w:rPr>
          <w:color w:val="0070C0"/>
          <w:sz w:val="16"/>
          <w:szCs w:val="16"/>
        </w:rPr>
      </w:pPr>
      <w:r w:rsidRPr="00E14102">
        <w:rPr>
          <w:color w:val="0070C0"/>
          <w:sz w:val="16"/>
          <w:szCs w:val="16"/>
        </w:rPr>
        <w:t>Выписки посланы; т .т Орджоникидзе, Мирошникову, Межлауку В., Ежову, Розенгольцу - п.З.</w:t>
      </w:r>
    </w:p>
    <w:p w14:paraId="080EE91C" w14:textId="77777777" w:rsidR="0063683B" w:rsidRPr="00E14102" w:rsidRDefault="0063683B" w:rsidP="00E14102">
      <w:pPr>
        <w:jc w:val="both"/>
        <w:rPr>
          <w:color w:val="0070C0"/>
          <w:sz w:val="16"/>
          <w:szCs w:val="16"/>
        </w:rPr>
      </w:pPr>
      <w:r w:rsidRPr="00E14102">
        <w:rPr>
          <w:color w:val="0070C0"/>
          <w:sz w:val="16"/>
          <w:szCs w:val="16"/>
        </w:rPr>
        <w:t>30 января 1935 состоялось заседание ПБ и подписан протокол № 20 за 4-30 января (22925).</w:t>
      </w:r>
    </w:p>
    <w:p w14:paraId="3F118208" w14:textId="77777777" w:rsidR="0063683B" w:rsidRPr="00E14102" w:rsidRDefault="0063683B" w:rsidP="00E14102">
      <w:pPr>
        <w:jc w:val="both"/>
        <w:rPr>
          <w:color w:val="0070C0"/>
          <w:sz w:val="16"/>
          <w:szCs w:val="16"/>
        </w:rPr>
      </w:pPr>
    </w:p>
    <w:p w14:paraId="48967371" w14:textId="77777777" w:rsidR="002808C2" w:rsidRPr="00E14102" w:rsidRDefault="002808C2" w:rsidP="00E14102">
      <w:pPr>
        <w:pStyle w:val="rtejustify"/>
        <w:spacing w:before="0" w:after="0"/>
        <w:rPr>
          <w:color w:val="000000" w:themeColor="text1"/>
          <w:sz w:val="16"/>
          <w:szCs w:val="16"/>
        </w:rPr>
      </w:pPr>
      <w:r w:rsidRPr="00E14102">
        <w:rPr>
          <w:rStyle w:val="a6"/>
          <w:bCs/>
          <w:i w:val="0"/>
          <w:color w:val="000000" w:themeColor="text1"/>
          <w:sz w:val="16"/>
          <w:szCs w:val="16"/>
        </w:rPr>
        <w:t>9 января</w:t>
      </w:r>
      <w:r w:rsidRPr="00E14102">
        <w:rPr>
          <w:color w:val="000000" w:themeColor="text1"/>
          <w:sz w:val="16"/>
          <w:szCs w:val="16"/>
        </w:rPr>
        <w:t xml:space="preserve"> 1935. Постановление СНК СССР № 37 «Об организации машиностроительных главных управлений в системе НКТП». (СЗ. 1935 № 5. Ст. 37) (15460).</w:t>
      </w:r>
    </w:p>
    <w:p w14:paraId="4ED781BA" w14:textId="77777777" w:rsidR="002808C2" w:rsidRPr="00E14102" w:rsidRDefault="002808C2" w:rsidP="00E14102">
      <w:pPr>
        <w:pStyle w:val="rtejustify"/>
        <w:spacing w:before="0" w:after="0"/>
        <w:rPr>
          <w:color w:val="000000" w:themeColor="text1"/>
          <w:sz w:val="16"/>
          <w:szCs w:val="16"/>
        </w:rPr>
      </w:pPr>
    </w:p>
    <w:p w14:paraId="3C98A7F1" w14:textId="77777777" w:rsidR="002808C2" w:rsidRPr="00E14102" w:rsidRDefault="002808C2" w:rsidP="00E14102">
      <w:pPr>
        <w:pStyle w:val="rtejustify"/>
        <w:spacing w:before="0" w:after="0"/>
        <w:rPr>
          <w:color w:val="000000" w:themeColor="text1"/>
          <w:sz w:val="16"/>
          <w:szCs w:val="16"/>
        </w:rPr>
      </w:pPr>
      <w:r w:rsidRPr="00E14102">
        <w:rPr>
          <w:color w:val="000000" w:themeColor="text1"/>
          <w:sz w:val="16"/>
          <w:szCs w:val="16"/>
        </w:rPr>
        <w:t>9 января 1935 г. во исполнение постановления СНК СССР № 37 от того же числа Приказом НКТП СССР № 42 Главмашпром был разукрупнен на 4 главка: Главгормаш, Главлегмаш, Главсредмаш и Главармалит. (РГАЭ. Ф. 3429. Оп. 57. Д. 327. Л. 131; Ф. 3429. Оп. 57. Д. 327. Л. 131; Ф. 8081. Оп. 1. Д. 43. Л. 11</w:t>
      </w:r>
      <w:r w:rsidRPr="00E14102">
        <w:rPr>
          <w:color w:val="000000" w:themeColor="text1"/>
          <w:sz w:val="16"/>
          <w:szCs w:val="16"/>
        </w:rPr>
        <w:noBreakHyphen/>
        <w:t>12; Ф. 2765. Оп. 1. Д. 67. Л. 13; Ф. 8081. Оп. 1) (15273).</w:t>
      </w:r>
    </w:p>
    <w:p w14:paraId="476FAD8E" w14:textId="77777777" w:rsidR="002808C2" w:rsidRPr="00E14102" w:rsidRDefault="002808C2" w:rsidP="00E14102">
      <w:pPr>
        <w:jc w:val="both"/>
        <w:rPr>
          <w:bCs/>
          <w:color w:val="000000" w:themeColor="text1"/>
          <w:sz w:val="16"/>
          <w:szCs w:val="16"/>
        </w:rPr>
      </w:pPr>
    </w:p>
    <w:p w14:paraId="2261F4B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2F6831A" w14:textId="77777777" w:rsidR="00D4105E" w:rsidRPr="00E14102" w:rsidRDefault="00D4105E" w:rsidP="00E14102">
      <w:pPr>
        <w:autoSpaceDE w:val="0"/>
        <w:autoSpaceDN w:val="0"/>
        <w:adjustRightInd w:val="0"/>
        <w:jc w:val="both"/>
        <w:rPr>
          <w:iCs/>
          <w:color w:val="000000" w:themeColor="text1"/>
          <w:sz w:val="16"/>
          <w:szCs w:val="16"/>
        </w:rPr>
      </w:pPr>
    </w:p>
    <w:p w14:paraId="661035C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9 января 1935 года открылся процесс мифической "Ленинградской контрреволюционной зиновьевской группы", включающей 77 человек, среди которых были те, кто оказывал сопротивление сталинскому курсу; все они были приговорены к тюремному заключению. Обнаружение "Ленинградского центра" помогло выявить "Московский центр", в который входили 19 человек и лично Зиновьев и Каменев, они были обвинены в "идеологическом соучастии", сопричастности к убийству </w:t>
      </w:r>
      <w:r w:rsidRPr="00E14102">
        <w:rPr>
          <w:color w:val="000000" w:themeColor="text1"/>
          <w:sz w:val="16"/>
          <w:szCs w:val="16"/>
        </w:rPr>
        <w:lastRenderedPageBreak/>
        <w:t>Кирова, и осуждены 16 января 1935 года. Зиновьев и Каменев признали, что "прежняя деятельность оппозиции могла в силу объективных обстоятельств способствовать вырождению этих коммунистов в преступников". Ошеломляющее признание своей "идейной сопричастности", которое прозвучало после стольких раскаяний и публичных отрицаний, должно было представить двух бывших руководителей как искупительные жертвы в будущей пародии на правосудие. А пока это им стоило пяти и десяти лет заключения. В общем, за два месяца - с декабря 1934 года по февраль 1935 года - в соответствии с новой процедурой, предусмотренной законом о терроризме от 1 декабря, было осуждено 6 500 человек (6804).</w:t>
      </w:r>
    </w:p>
    <w:p w14:paraId="16EB785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273ACA4" w14:textId="77777777" w:rsidR="004F769A" w:rsidRPr="00E14102" w:rsidRDefault="004F769A" w:rsidP="00E14102">
      <w:pPr>
        <w:jc w:val="both"/>
        <w:rPr>
          <w:color w:val="000000" w:themeColor="text1"/>
          <w:sz w:val="16"/>
          <w:szCs w:val="16"/>
        </w:rPr>
      </w:pPr>
      <w:r w:rsidRPr="00E14102">
        <w:rPr>
          <w:color w:val="000000" w:themeColor="text1"/>
          <w:sz w:val="16"/>
          <w:szCs w:val="16"/>
        </w:rPr>
        <w:t>9 января 1935 г. началось «дело ленинградской контрреволюционной зиновьевской группы Сафарова, Залуцкого и других». 11 января 1935 г. Б.М.Волин выпустил Приказ №85/с, предназначенный не только местным органам цензуры, но и Библиотечному управлению Наркомпроса: «Приказываю изъять из всех библиотек Наркомпроса, военных, профсоюзных, учрежденческих и прочих книги Зиновьева, Каменева и Сафарова». 15 февраля 1935 г. появляется Приказ №40, конкретизирующий издания, которые должны быть изъяты: «а) работы, целиком принадлежащие Троцкому, Зиновьеву, Каменеву, Cафарову и другим осужденным троцкистам и зиновьевцам; б) сборники, учебники или хрестоматии, выпущенные в прошлые (до 1931) года и в качестве учебных пособий или массовой литературы под редакцией упомянутых лиц, или с их статьями или выдержками из них; в) диапозитивы, листовки, плакаты с изображением упомянутых лиц и с выдержками (цитатами) из их произведений, а также их портреты...». В том же Приказе перечислялась литература, не подлежащая изъятию: «а) протоколы советских, партийных, профсоюзных и других съездов и конференций (стенографические отчеты), где имеются выступления или доклады упомянутых лиц; б) томы сочинений В.И.Ленина ... и аналогичных материалов (например, «Ленинские сборники»)... в) газеты и журналы со статьями упомянутых лиц; г) издания, выходящие под редакцией упомянутых лиц, но не вызывающие со стороны цензурных сомнений...» (орфография подлинника). Этот приказ Главлита был подкреплен и партийным циркуляром со стороны Оргбюро ЦК (17273).</w:t>
      </w:r>
    </w:p>
    <w:p w14:paraId="0AB2FB07" w14:textId="77777777" w:rsidR="004F769A" w:rsidRPr="00E14102" w:rsidRDefault="004F769A" w:rsidP="00E14102">
      <w:pPr>
        <w:jc w:val="both"/>
        <w:rPr>
          <w:color w:val="000000" w:themeColor="text1"/>
          <w:sz w:val="16"/>
          <w:szCs w:val="16"/>
        </w:rPr>
      </w:pPr>
    </w:p>
    <w:p w14:paraId="0F55012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B1A0531" w14:textId="77777777" w:rsidR="00D4105E" w:rsidRPr="00E14102" w:rsidRDefault="00D4105E" w:rsidP="00E14102">
      <w:pPr>
        <w:autoSpaceDE w:val="0"/>
        <w:autoSpaceDN w:val="0"/>
        <w:adjustRightInd w:val="0"/>
        <w:jc w:val="both"/>
        <w:rPr>
          <w:iCs/>
          <w:color w:val="000000" w:themeColor="text1"/>
          <w:sz w:val="16"/>
          <w:szCs w:val="16"/>
        </w:rPr>
      </w:pPr>
    </w:p>
    <w:p w14:paraId="40460257" w14:textId="77777777" w:rsidR="002808C2" w:rsidRPr="00E14102" w:rsidRDefault="002808C2" w:rsidP="00E14102">
      <w:pPr>
        <w:jc w:val="both"/>
        <w:rPr>
          <w:color w:val="000000" w:themeColor="text1"/>
          <w:sz w:val="16"/>
          <w:szCs w:val="16"/>
        </w:rPr>
      </w:pPr>
      <w:r w:rsidRPr="00E14102">
        <w:rPr>
          <w:bCs/>
          <w:color w:val="000000" w:themeColor="text1"/>
          <w:sz w:val="16"/>
          <w:szCs w:val="16"/>
        </w:rPr>
        <w:t>9 января</w:t>
      </w:r>
      <w:r w:rsidRPr="00E14102">
        <w:rPr>
          <w:color w:val="000000" w:themeColor="text1"/>
          <w:sz w:val="16"/>
          <w:szCs w:val="16"/>
        </w:rPr>
        <w:t xml:space="preserve"> в 1935 году состоялся первый полёт учебно-тренировочного самолета «Кi-9» (компания «Tachicawa», Япония) с двигателем «Ha-13a». </w:t>
      </w:r>
      <w:hyperlink r:id="rId20" w:tgtFrame="_blank" w:history="1">
        <w:r w:rsidRPr="00E14102">
          <w:rPr>
            <w:color w:val="000000" w:themeColor="text1"/>
            <w:sz w:val="16"/>
            <w:szCs w:val="16"/>
          </w:rPr>
          <w:t>www.airwar.ru/enc/other2/ki9.html</w:t>
        </w:r>
      </w:hyperlink>
      <w:r w:rsidRPr="00E14102">
        <w:rPr>
          <w:color w:val="000000" w:themeColor="text1"/>
          <w:sz w:val="16"/>
          <w:szCs w:val="16"/>
        </w:rPr>
        <w:t xml:space="preserve"> Первый, не совсем удачный подлет состоялся ранее - 7 января 1935 года. После устранения недостатков и небольших доработок самолет был испытан на штопор, после чего его отправили для официальных испытаний в Токорозаву. По результатам официальных испытаний в Токорозаве был принят самолет с двигателем «Ha-13a», который запустили в серию под обозначением "переходной учебный самолет армейский тип 95-1 модель А". Улучшенная версия самолета получила обозначение "модель В" («Кi-9» КАИ). Последний вариант был легче, с более прочными стойками шасси и укороченным фюзеляжем. Последние доработки позволили исправить центровку, и тем самым улучшить управляемость. Всего было выпущено 2618 «Кi-9», которые строились на Тачикаве и "Токио хикоки" - на последнем выпущено 220 самолетов (15004).</w:t>
      </w:r>
    </w:p>
    <w:p w14:paraId="58D49FC4" w14:textId="77777777" w:rsidR="002808C2" w:rsidRPr="00E14102" w:rsidRDefault="002808C2" w:rsidP="00E14102">
      <w:pPr>
        <w:jc w:val="both"/>
        <w:rPr>
          <w:color w:val="000000" w:themeColor="text1"/>
          <w:sz w:val="16"/>
          <w:szCs w:val="16"/>
        </w:rPr>
      </w:pPr>
    </w:p>
    <w:p w14:paraId="70020C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января 1935 Великобритания подписала торговое соглашение с Индией (3907,191).</w:t>
      </w:r>
    </w:p>
    <w:p w14:paraId="199627FF" w14:textId="77777777" w:rsidR="00D4105E" w:rsidRPr="00E14102" w:rsidRDefault="00D4105E" w:rsidP="00E14102">
      <w:pPr>
        <w:autoSpaceDE w:val="0"/>
        <w:autoSpaceDN w:val="0"/>
        <w:adjustRightInd w:val="0"/>
        <w:jc w:val="both"/>
        <w:rPr>
          <w:color w:val="000000" w:themeColor="text1"/>
          <w:sz w:val="16"/>
          <w:szCs w:val="16"/>
        </w:rPr>
      </w:pPr>
    </w:p>
    <w:p w14:paraId="3089151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5FBCB36" w14:textId="77777777" w:rsidR="00D4105E" w:rsidRPr="00E14102" w:rsidRDefault="00D4105E" w:rsidP="00E14102">
      <w:pPr>
        <w:autoSpaceDE w:val="0"/>
        <w:autoSpaceDN w:val="0"/>
        <w:adjustRightInd w:val="0"/>
        <w:jc w:val="both"/>
        <w:rPr>
          <w:iCs/>
          <w:color w:val="000000" w:themeColor="text1"/>
          <w:sz w:val="16"/>
          <w:szCs w:val="16"/>
        </w:rPr>
      </w:pPr>
    </w:p>
    <w:p w14:paraId="77AF89A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января 1935 года Базилевич писал письмо № 60/КО в НКО Ворошилову</w:t>
      </w:r>
    </w:p>
    <w:p w14:paraId="24404D2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Препровождая проект постановления СТО “О постройке дальнего бомбардировщика” в новой редакции НКТП для доклада Молотову, прошу дать Ваше заключение.</w:t>
      </w:r>
    </w:p>
    <w:p w14:paraId="51DD365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Приложение: на 1 листе (4256, 38).</w:t>
      </w:r>
    </w:p>
    <w:p w14:paraId="2E7BCCD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E6EA8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января 1935 года директор завода Марьямов, технический директор Колосов, секретарь парткома Тарханов, председатель завкома Буланов писали письмо № 5/сс председателю СНК Молотову</w:t>
      </w:r>
    </w:p>
    <w:p w14:paraId="5632DB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месяцев тому назад, в ответ на приветствие Сталина, мы приняли на себя ряд серьезных обязательств. Докладываем о выполнении этих обязательств.</w:t>
      </w:r>
    </w:p>
    <w:p w14:paraId="782683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Годовая программа завода выполнена досрочно.</w:t>
      </w:r>
    </w:p>
    <w:p w14:paraId="7895DB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1934 году сдано моторов:</w:t>
      </w:r>
    </w:p>
    <w:p w14:paraId="281F7A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 145 – 100% к плану</w:t>
      </w:r>
    </w:p>
    <w:p w14:paraId="5AB9F7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М-34Р – 830 – 103,5% к плану</w:t>
      </w:r>
    </w:p>
    <w:p w14:paraId="2B5354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ГМ-34 – 156 – 104% к плану</w:t>
      </w:r>
    </w:p>
    <w:p w14:paraId="36D5B3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собраны и прошли 3-х часовые испытания 40 моторов М-34РН и сданы на самолеты 14 моторов М-34РН.</w:t>
      </w:r>
    </w:p>
    <w:p w14:paraId="3F4903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1934 год завод, таким образом, внедрил в серийное производство и полностью освоил три новых типа моторов.</w:t>
      </w:r>
    </w:p>
    <w:p w14:paraId="6F05BF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установке новых моторов М-34Р на самолеты, завод не имел ни одной сколько-нибудь значительной претензии от завода № 22.</w:t>
      </w:r>
    </w:p>
    <w:p w14:paraId="4AA154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Качество продукции заводом резко улучшено. Моторы завода завоевали доверие в эксплуатации. Бригады, эксплуатирующие наши моторы, единодушно высказались за значительное увеличение сроков службы наших моторов в эксплуатации по сравнению с гарантированными ранее заводом.</w:t>
      </w:r>
    </w:p>
    <w:p w14:paraId="2A2CAA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наших моторах в 1934 году совершены успешно ответственные групповые полеты в Европу и поставлен мировой рекорд дальности полета без посадки.</w:t>
      </w:r>
    </w:p>
    <w:p w14:paraId="0E9A97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Наши моторы, установленные на опытных самолетах, дали …… повышение летных данных.</w:t>
      </w:r>
    </w:p>
    <w:p w14:paraId="5BC592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Заводом проведена большая работа по дальнейшему повышению всех данных мотора. Разработанные и подготовленные к серийному производству новые эталоны 1935 года (с меньшим весом и большой номинальной и максимальной мощностью) прошли успешно государственные испытания.</w:t>
      </w:r>
    </w:p>
    <w:p w14:paraId="45A1D1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Проведенные многократно испытания позволяют рассчитывать на увеличение максимальной мощности до 1000 л.с. вместо 800 л.с. вначале внедрения мотора в производстве.</w:t>
      </w:r>
    </w:p>
    <w:p w14:paraId="6BFC96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приходит к новому хозяйственному году технически и организационно окрепшим и с твердой уверенностью в успешном выполнении плана заказов 1935 года, утвержденного Правительством и дальнейшего систематического улучшения качества нашей продукции.</w:t>
      </w:r>
    </w:p>
    <w:p w14:paraId="5435D5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Мы прекрасно понимаем, что мы не должны и не имеем права зазнаваться достигнутым уровнем.</w:t>
      </w:r>
    </w:p>
    <w:p w14:paraId="30453D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Заводской коллектив учитывает то новое в развитии нашей авиации, делающее важнейшим звеном на ближайший период авиацию базирующуюся на лицензионных моторах “Райт-Циклон”, “К-14” и “Испано”. Это, естественно, переместило на известный срок центр внимания к заводам, внедряющим эти моторы.</w:t>
      </w:r>
    </w:p>
    <w:p w14:paraId="6B4D61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этих условиях заводской коллектив берет на себя обязательства:</w:t>
      </w:r>
    </w:p>
    <w:p w14:paraId="1299C46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Добиться в 1935 году, в тесном содружестве с ЦИАМом таких данных от мотора М-34РН, которые делали бы его лучшим мотором для тяжелых самолетов высотного и дальнего действия.</w:t>
      </w:r>
    </w:p>
    <w:p w14:paraId="300F59C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Первым внедрить в широкую эксплуатацию нашего воздушного флота моторы большой высотности, устранив в течение первого квартала их конструктивные дефекты.</w:t>
      </w:r>
    </w:p>
    <w:p w14:paraId="57F455B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Использовать опыт передовой иностранной техники, передаваемый в порядке техпомощи моторным заводам №№ 19, 29 и 26 для того, чтобы не только не отставать от них, но быть впереди.</w:t>
      </w:r>
    </w:p>
    <w:p w14:paraId="5389950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Наряду с беспрерывным совершенствованием нашего мотора М-34, подготовить к серийному производству в 1936 году, совместно с Центральным институтом авиационного моторостроения легкий, малых габаритов, мощный мотор, который перекроет данные внедряемых лицензионных моторов.</w:t>
      </w:r>
    </w:p>
    <w:p w14:paraId="602689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Мы заявляем на пороге нового года, что завод № 24 был и останется самым передовым моторным заводом в стране и никому первенства не уступит.</w:t>
      </w:r>
    </w:p>
    <w:p w14:paraId="416786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Мы включаемся в социалистическое соревнование с нашими братскими моторными заводами и будем со всей большевистской страстью и упорством отстаивать право на первенство моторов советских конструкций (4039,63-64).</w:t>
      </w:r>
    </w:p>
    <w:p w14:paraId="3B93B90D" w14:textId="77777777" w:rsidR="00D4105E" w:rsidRPr="00E14102" w:rsidRDefault="00D4105E" w:rsidP="00E14102">
      <w:pPr>
        <w:autoSpaceDE w:val="0"/>
        <w:autoSpaceDN w:val="0"/>
        <w:adjustRightInd w:val="0"/>
        <w:jc w:val="both"/>
        <w:rPr>
          <w:color w:val="000000" w:themeColor="text1"/>
          <w:sz w:val="16"/>
          <w:szCs w:val="16"/>
        </w:rPr>
      </w:pPr>
    </w:p>
    <w:p w14:paraId="2D2F0A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января 1935 года зам. начальника УМТСиВ УВС РККА Базенков писал письмо № 006895 в СНК Базилевичу</w:t>
      </w:r>
    </w:p>
    <w:p w14:paraId="00C032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приказанию начальника Управления воздушных сил РККА, при этом препровождаю копию доклада народному комиссару обороны о выполнении плана заказов 1934 года на самолеты, моторы и групповые комплекты к ним заводами ГУАПа для УВС РККА.</w:t>
      </w:r>
    </w:p>
    <w:p w14:paraId="686F61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 упомянутое на 4 листах (4039,57).</w:t>
      </w:r>
    </w:p>
    <w:p w14:paraId="13F79C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января 1935 года начальник Управления воздушных сил РККА Алкснис писал письмо № 006894 наркому обороны</w:t>
      </w:r>
    </w:p>
    <w:p w14:paraId="1D3DE2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 о выполнении плана заказов 1934 года на самолеты, моторы и групповые комплекты заводами ГУАПа для УВС РККА</w:t>
      </w:r>
    </w:p>
    <w:p w14:paraId="6A265B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Докладываю итоги выполнения заводами ГУАПа плана заказов Управления воздушных сил РККА на 1934 год по самолетам, запасным моторам и групповым комплектам к ним (приложение: ведомости №№ 1 и 2).</w:t>
      </w:r>
    </w:p>
    <w:p w14:paraId="5CA18B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приложенных ведомостей видно, что авиапромышленность, выполнив план в среднем по самолетам всего лишь на 84%, по групповым комплектам к ним на 75%, по запасным моторам на 110% и групповым комплектам к ним на 78%, в основном, не справилась с новыми типами, в частности и особенности с истребителями.</w:t>
      </w:r>
    </w:p>
    <w:p w14:paraId="3C7A6F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подлежавших сдаче 30 самолетов И-14 РЦ – не сдан ни один (завод № 125); по самолетам И16-М22 недодано по плану 184 самолета (завод № 21), по самолету И15 РЦ недодано 56 самолетов, а всего недополучено по плану 270 новых истребителей из общего заказа их в 455 штук.</w:t>
      </w:r>
    </w:p>
    <w:p w14:paraId="401C46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Серийный выпуск моторов М34РН заводом № 24 не выполнен и в запас Управления воздушных сил не получило ни одного мотора, также как не получило и ни одного самолета ТБ-3 с этими моторами.</w:t>
      </w:r>
    </w:p>
    <w:p w14:paraId="17C49F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групповых комплектов запчастей совершенно неудовлетворительное, в особенности по новым истребителям, к которым не получено ни одного комплекта из общего заказа в 49 комплектов (4039,58).</w:t>
      </w:r>
    </w:p>
    <w:p w14:paraId="6D2C93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Ведомость № 1 выполнения авиапромышленностью заказов УВС РККА за 1934 год по самолетам и групповым комплектам к ним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E3599D" w:rsidRPr="00E14102" w14:paraId="6CA1E1D3" w14:textId="77777777">
        <w:tc>
          <w:tcPr>
            <w:tcW w:w="1610" w:type="dxa"/>
          </w:tcPr>
          <w:p w14:paraId="621B79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продукции</w:t>
            </w:r>
          </w:p>
        </w:tc>
        <w:tc>
          <w:tcPr>
            <w:tcW w:w="1610" w:type="dxa"/>
          </w:tcPr>
          <w:p w14:paraId="531A2B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Завод-поставщик</w:t>
            </w:r>
          </w:p>
        </w:tc>
        <w:tc>
          <w:tcPr>
            <w:tcW w:w="1610" w:type="dxa"/>
          </w:tcPr>
          <w:p w14:paraId="2DF9AC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Заказ по плану</w:t>
            </w:r>
          </w:p>
        </w:tc>
        <w:tc>
          <w:tcPr>
            <w:tcW w:w="1610" w:type="dxa"/>
          </w:tcPr>
          <w:p w14:paraId="5E5620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Сдано за год</w:t>
            </w:r>
          </w:p>
        </w:tc>
        <w:tc>
          <w:tcPr>
            <w:tcW w:w="1610" w:type="dxa"/>
          </w:tcPr>
          <w:p w14:paraId="291C9D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выполнения</w:t>
            </w:r>
          </w:p>
        </w:tc>
        <w:tc>
          <w:tcPr>
            <w:tcW w:w="1610" w:type="dxa"/>
          </w:tcPr>
          <w:p w14:paraId="49D186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Недодел в количестве</w:t>
            </w:r>
          </w:p>
        </w:tc>
        <w:tc>
          <w:tcPr>
            <w:tcW w:w="1610" w:type="dxa"/>
          </w:tcPr>
          <w:p w14:paraId="0614F2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58A4D270" w14:textId="77777777">
        <w:tc>
          <w:tcPr>
            <w:tcW w:w="1610" w:type="dxa"/>
          </w:tcPr>
          <w:p w14:paraId="19613C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w:t>
            </w:r>
          </w:p>
        </w:tc>
        <w:tc>
          <w:tcPr>
            <w:tcW w:w="1610" w:type="dxa"/>
          </w:tcPr>
          <w:p w14:paraId="426A87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0BE845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1610" w:type="dxa"/>
          </w:tcPr>
          <w:p w14:paraId="68C78E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w:t>
            </w:r>
          </w:p>
        </w:tc>
        <w:tc>
          <w:tcPr>
            <w:tcW w:w="1610" w:type="dxa"/>
          </w:tcPr>
          <w:p w14:paraId="4AC296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103%</w:t>
            </w:r>
          </w:p>
        </w:tc>
        <w:tc>
          <w:tcPr>
            <w:tcW w:w="1610" w:type="dxa"/>
          </w:tcPr>
          <w:p w14:paraId="261491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7E1076A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1732138" w14:textId="77777777">
        <w:tc>
          <w:tcPr>
            <w:tcW w:w="1610" w:type="dxa"/>
          </w:tcPr>
          <w:p w14:paraId="4629F0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ТБ3-М34Р и ТБ3-М34РН</w:t>
            </w:r>
          </w:p>
        </w:tc>
        <w:tc>
          <w:tcPr>
            <w:tcW w:w="1610" w:type="dxa"/>
          </w:tcPr>
          <w:p w14:paraId="51FF01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3EF243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155</w:t>
            </w:r>
          </w:p>
        </w:tc>
        <w:tc>
          <w:tcPr>
            <w:tcW w:w="1610" w:type="dxa"/>
          </w:tcPr>
          <w:p w14:paraId="6F263D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610" w:type="dxa"/>
          </w:tcPr>
          <w:p w14:paraId="290627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97%</w:t>
            </w:r>
          </w:p>
        </w:tc>
        <w:tc>
          <w:tcPr>
            <w:tcW w:w="1610" w:type="dxa"/>
          </w:tcPr>
          <w:p w14:paraId="6C332F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029F39A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35D64DA" w14:textId="77777777">
        <w:tc>
          <w:tcPr>
            <w:tcW w:w="1610" w:type="dxa"/>
          </w:tcPr>
          <w:p w14:paraId="28CE36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w:t>
            </w:r>
          </w:p>
        </w:tc>
        <w:tc>
          <w:tcPr>
            <w:tcW w:w="1610" w:type="dxa"/>
          </w:tcPr>
          <w:p w14:paraId="0A120A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712EF4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160</w:t>
            </w:r>
          </w:p>
        </w:tc>
        <w:tc>
          <w:tcPr>
            <w:tcW w:w="1610" w:type="dxa"/>
          </w:tcPr>
          <w:p w14:paraId="316FFB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149</w:t>
            </w:r>
          </w:p>
        </w:tc>
        <w:tc>
          <w:tcPr>
            <w:tcW w:w="1610" w:type="dxa"/>
          </w:tcPr>
          <w:p w14:paraId="301365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99,3%</w:t>
            </w:r>
          </w:p>
        </w:tc>
        <w:tc>
          <w:tcPr>
            <w:tcW w:w="1610" w:type="dxa"/>
          </w:tcPr>
          <w:p w14:paraId="733B58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610" w:type="dxa"/>
          </w:tcPr>
          <w:p w14:paraId="46B5467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1072F11" w14:textId="77777777">
        <w:tc>
          <w:tcPr>
            <w:tcW w:w="1610" w:type="dxa"/>
          </w:tcPr>
          <w:p w14:paraId="20F2D1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КР6-а</w:t>
            </w:r>
          </w:p>
        </w:tc>
        <w:tc>
          <w:tcPr>
            <w:tcW w:w="1610" w:type="dxa"/>
          </w:tcPr>
          <w:p w14:paraId="1E54ED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3B1EFF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1610" w:type="dxa"/>
          </w:tcPr>
          <w:p w14:paraId="2F313B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w:t>
            </w:r>
          </w:p>
        </w:tc>
        <w:tc>
          <w:tcPr>
            <w:tcW w:w="1610" w:type="dxa"/>
          </w:tcPr>
          <w:p w14:paraId="0ED377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w:t>
            </w:r>
          </w:p>
        </w:tc>
        <w:tc>
          <w:tcPr>
            <w:tcW w:w="1610" w:type="dxa"/>
          </w:tcPr>
          <w:p w14:paraId="618A92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1C353A3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38A678D" w14:textId="77777777">
        <w:tc>
          <w:tcPr>
            <w:tcW w:w="1610" w:type="dxa"/>
          </w:tcPr>
          <w:p w14:paraId="4BA565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МИ-3</w:t>
            </w:r>
          </w:p>
        </w:tc>
        <w:tc>
          <w:tcPr>
            <w:tcW w:w="1610" w:type="dxa"/>
          </w:tcPr>
          <w:p w14:paraId="234361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6AF10A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3C3BD4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5E662F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114A28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64FE1C2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AACE551" w14:textId="77777777">
        <w:tc>
          <w:tcPr>
            <w:tcW w:w="1610" w:type="dxa"/>
          </w:tcPr>
          <w:p w14:paraId="6FB330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 – разведчик и штурмовик</w:t>
            </w:r>
          </w:p>
        </w:tc>
        <w:tc>
          <w:tcPr>
            <w:tcW w:w="1610" w:type="dxa"/>
          </w:tcPr>
          <w:p w14:paraId="486661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1AAFD1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1400</w:t>
            </w:r>
          </w:p>
        </w:tc>
        <w:tc>
          <w:tcPr>
            <w:tcW w:w="1610" w:type="dxa"/>
          </w:tcPr>
          <w:p w14:paraId="65F449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1207*</w:t>
            </w:r>
          </w:p>
        </w:tc>
        <w:tc>
          <w:tcPr>
            <w:tcW w:w="1610" w:type="dxa"/>
          </w:tcPr>
          <w:p w14:paraId="67C5C1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86,2</w:t>
            </w:r>
          </w:p>
        </w:tc>
        <w:tc>
          <w:tcPr>
            <w:tcW w:w="1610" w:type="dxa"/>
          </w:tcPr>
          <w:p w14:paraId="28A7A2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w:t>
            </w:r>
          </w:p>
        </w:tc>
        <w:tc>
          <w:tcPr>
            <w:tcW w:w="1610" w:type="dxa"/>
          </w:tcPr>
          <w:p w14:paraId="420812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Из них: разведчиков – 960, штурмовиков – 246 и Р5-Т – 1 штука.</w:t>
            </w:r>
          </w:p>
        </w:tc>
      </w:tr>
      <w:tr w:rsidR="00E3599D" w:rsidRPr="00E14102" w14:paraId="0E769D99" w14:textId="77777777">
        <w:tc>
          <w:tcPr>
            <w:tcW w:w="1610" w:type="dxa"/>
          </w:tcPr>
          <w:p w14:paraId="65E620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Р5-а</w:t>
            </w:r>
          </w:p>
        </w:tc>
        <w:tc>
          <w:tcPr>
            <w:tcW w:w="1610" w:type="dxa"/>
          </w:tcPr>
          <w:p w14:paraId="486790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48307D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0739BC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47</w:t>
            </w:r>
          </w:p>
        </w:tc>
        <w:tc>
          <w:tcPr>
            <w:tcW w:w="1610" w:type="dxa"/>
          </w:tcPr>
          <w:p w14:paraId="4CFD98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w:t>
            </w:r>
          </w:p>
        </w:tc>
        <w:tc>
          <w:tcPr>
            <w:tcW w:w="1610" w:type="dxa"/>
          </w:tcPr>
          <w:p w14:paraId="37C111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04D22F8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5A8BDF1" w14:textId="77777777">
        <w:tc>
          <w:tcPr>
            <w:tcW w:w="1610" w:type="dxa"/>
          </w:tcPr>
          <w:p w14:paraId="7788AF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Л-Р</w:t>
            </w:r>
          </w:p>
        </w:tc>
        <w:tc>
          <w:tcPr>
            <w:tcW w:w="1610" w:type="dxa"/>
          </w:tcPr>
          <w:p w14:paraId="51C589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223AC1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432074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4F316F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3685BF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44225F2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0572E17" w14:textId="77777777">
        <w:tc>
          <w:tcPr>
            <w:tcW w:w="1610" w:type="dxa"/>
          </w:tcPr>
          <w:p w14:paraId="658BCC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w:t>
            </w:r>
          </w:p>
        </w:tc>
        <w:tc>
          <w:tcPr>
            <w:tcW w:w="1610" w:type="dxa"/>
          </w:tcPr>
          <w:p w14:paraId="3F4061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 и 39</w:t>
            </w:r>
          </w:p>
        </w:tc>
        <w:tc>
          <w:tcPr>
            <w:tcW w:w="1610" w:type="dxa"/>
          </w:tcPr>
          <w:p w14:paraId="23DFE2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610" w:type="dxa"/>
          </w:tcPr>
          <w:p w14:paraId="5EF9FF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94*</w:t>
            </w:r>
          </w:p>
        </w:tc>
        <w:tc>
          <w:tcPr>
            <w:tcW w:w="1610" w:type="dxa"/>
          </w:tcPr>
          <w:p w14:paraId="37DA85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w:t>
            </w:r>
          </w:p>
        </w:tc>
        <w:tc>
          <w:tcPr>
            <w:tcW w:w="1610" w:type="dxa"/>
          </w:tcPr>
          <w:p w14:paraId="5548F7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56</w:t>
            </w:r>
          </w:p>
        </w:tc>
        <w:tc>
          <w:tcPr>
            <w:tcW w:w="1610" w:type="dxa"/>
          </w:tcPr>
          <w:p w14:paraId="6B4710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Из них по заводу № 1 – 60 штук, по заводу № 39 – 34 штуки.</w:t>
            </w:r>
          </w:p>
        </w:tc>
      </w:tr>
      <w:tr w:rsidR="00E3599D" w:rsidRPr="00E14102" w14:paraId="4FF55802" w14:textId="77777777">
        <w:tc>
          <w:tcPr>
            <w:tcW w:w="1610" w:type="dxa"/>
          </w:tcPr>
          <w:p w14:paraId="4B8FE4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w:t>
            </w:r>
          </w:p>
        </w:tc>
        <w:tc>
          <w:tcPr>
            <w:tcW w:w="1610" w:type="dxa"/>
          </w:tcPr>
          <w:p w14:paraId="6A333D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39</w:t>
            </w:r>
          </w:p>
        </w:tc>
        <w:tc>
          <w:tcPr>
            <w:tcW w:w="1610" w:type="dxa"/>
          </w:tcPr>
          <w:p w14:paraId="4ACDBB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51AD05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75B7B3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237E2A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3A39A17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749CBD3" w14:textId="77777777">
        <w:tc>
          <w:tcPr>
            <w:tcW w:w="1610" w:type="dxa"/>
          </w:tcPr>
          <w:p w14:paraId="123E1A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w:t>
            </w:r>
          </w:p>
        </w:tc>
        <w:tc>
          <w:tcPr>
            <w:tcW w:w="1610" w:type="dxa"/>
          </w:tcPr>
          <w:p w14:paraId="738C39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21</w:t>
            </w:r>
          </w:p>
        </w:tc>
        <w:tc>
          <w:tcPr>
            <w:tcW w:w="1610" w:type="dxa"/>
          </w:tcPr>
          <w:p w14:paraId="658043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225</w:t>
            </w:r>
          </w:p>
        </w:tc>
        <w:tc>
          <w:tcPr>
            <w:tcW w:w="1610" w:type="dxa"/>
          </w:tcPr>
          <w:p w14:paraId="04AF31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w:t>
            </w:r>
          </w:p>
        </w:tc>
        <w:tc>
          <w:tcPr>
            <w:tcW w:w="1610" w:type="dxa"/>
          </w:tcPr>
          <w:p w14:paraId="500D0C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1610" w:type="dxa"/>
          </w:tcPr>
          <w:p w14:paraId="1F930A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184</w:t>
            </w:r>
          </w:p>
        </w:tc>
        <w:tc>
          <w:tcPr>
            <w:tcW w:w="1610" w:type="dxa"/>
          </w:tcPr>
          <w:p w14:paraId="66FA9C4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7CDC86D" w14:textId="77777777">
        <w:tc>
          <w:tcPr>
            <w:tcW w:w="1610" w:type="dxa"/>
          </w:tcPr>
          <w:p w14:paraId="251D1F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w:t>
            </w:r>
          </w:p>
        </w:tc>
        <w:tc>
          <w:tcPr>
            <w:tcW w:w="1610" w:type="dxa"/>
          </w:tcPr>
          <w:p w14:paraId="694BF7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125</w:t>
            </w:r>
          </w:p>
        </w:tc>
        <w:tc>
          <w:tcPr>
            <w:tcW w:w="1610" w:type="dxa"/>
          </w:tcPr>
          <w:p w14:paraId="22745D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65432F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5D9441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1B92F7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7034E1F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577B941" w14:textId="77777777">
        <w:tc>
          <w:tcPr>
            <w:tcW w:w="1610" w:type="dxa"/>
          </w:tcPr>
          <w:p w14:paraId="6C8ED5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И-5</w:t>
            </w:r>
          </w:p>
        </w:tc>
        <w:tc>
          <w:tcPr>
            <w:tcW w:w="1610" w:type="dxa"/>
          </w:tcPr>
          <w:p w14:paraId="3EA6B8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21</w:t>
            </w:r>
          </w:p>
        </w:tc>
        <w:tc>
          <w:tcPr>
            <w:tcW w:w="1610" w:type="dxa"/>
          </w:tcPr>
          <w:p w14:paraId="1CFF76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325</w:t>
            </w:r>
          </w:p>
        </w:tc>
        <w:tc>
          <w:tcPr>
            <w:tcW w:w="1610" w:type="dxa"/>
          </w:tcPr>
          <w:p w14:paraId="0F752B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330</w:t>
            </w:r>
          </w:p>
        </w:tc>
        <w:tc>
          <w:tcPr>
            <w:tcW w:w="1610" w:type="dxa"/>
          </w:tcPr>
          <w:p w14:paraId="1D18E4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w:t>
            </w:r>
          </w:p>
        </w:tc>
        <w:tc>
          <w:tcPr>
            <w:tcW w:w="1610" w:type="dxa"/>
          </w:tcPr>
          <w:p w14:paraId="5EF202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0550BD3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D54B67C" w14:textId="77777777">
        <w:tc>
          <w:tcPr>
            <w:tcW w:w="1610" w:type="dxa"/>
          </w:tcPr>
          <w:p w14:paraId="5D0AB7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ХАИ-воор.</w:t>
            </w:r>
          </w:p>
        </w:tc>
        <w:tc>
          <w:tcPr>
            <w:tcW w:w="1610" w:type="dxa"/>
          </w:tcPr>
          <w:p w14:paraId="7F1C34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43</w:t>
            </w:r>
          </w:p>
        </w:tc>
        <w:tc>
          <w:tcPr>
            <w:tcW w:w="1610" w:type="dxa"/>
          </w:tcPr>
          <w:p w14:paraId="78226B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5B783F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610" w:type="dxa"/>
          </w:tcPr>
          <w:p w14:paraId="2F3A29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610" w:type="dxa"/>
          </w:tcPr>
          <w:p w14:paraId="6562F6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w:t>
            </w:r>
          </w:p>
        </w:tc>
        <w:tc>
          <w:tcPr>
            <w:tcW w:w="1610" w:type="dxa"/>
          </w:tcPr>
          <w:p w14:paraId="20A74D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По заводу № 21.</w:t>
            </w:r>
          </w:p>
        </w:tc>
      </w:tr>
      <w:tr w:rsidR="00E3599D" w:rsidRPr="00E14102" w14:paraId="375C441D" w14:textId="77777777">
        <w:tc>
          <w:tcPr>
            <w:tcW w:w="1610" w:type="dxa"/>
          </w:tcPr>
          <w:p w14:paraId="45E999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ЗЕТ</w:t>
            </w:r>
          </w:p>
        </w:tc>
        <w:tc>
          <w:tcPr>
            <w:tcW w:w="1610" w:type="dxa"/>
          </w:tcPr>
          <w:p w14:paraId="2DB19C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135</w:t>
            </w:r>
          </w:p>
        </w:tc>
        <w:tc>
          <w:tcPr>
            <w:tcW w:w="1610" w:type="dxa"/>
          </w:tcPr>
          <w:p w14:paraId="11CA3F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16FBF6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5B1CFF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w:t>
            </w:r>
          </w:p>
        </w:tc>
        <w:tc>
          <w:tcPr>
            <w:tcW w:w="1610" w:type="dxa"/>
          </w:tcPr>
          <w:p w14:paraId="026FFF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10" w:type="dxa"/>
          </w:tcPr>
          <w:p w14:paraId="1DA7545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AECF51E" w14:textId="77777777">
        <w:tc>
          <w:tcPr>
            <w:tcW w:w="1610" w:type="dxa"/>
          </w:tcPr>
          <w:p w14:paraId="69ADCC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w:t>
            </w:r>
          </w:p>
        </w:tc>
        <w:tc>
          <w:tcPr>
            <w:tcW w:w="1610" w:type="dxa"/>
          </w:tcPr>
          <w:p w14:paraId="4B808F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31</w:t>
            </w:r>
          </w:p>
        </w:tc>
        <w:tc>
          <w:tcPr>
            <w:tcW w:w="1610" w:type="dxa"/>
          </w:tcPr>
          <w:p w14:paraId="1E14F2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1610" w:type="dxa"/>
          </w:tcPr>
          <w:p w14:paraId="24A464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w:t>
            </w:r>
          </w:p>
        </w:tc>
        <w:tc>
          <w:tcPr>
            <w:tcW w:w="1610" w:type="dxa"/>
          </w:tcPr>
          <w:p w14:paraId="51B867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96,5%</w:t>
            </w:r>
          </w:p>
        </w:tc>
        <w:tc>
          <w:tcPr>
            <w:tcW w:w="1610" w:type="dxa"/>
          </w:tcPr>
          <w:p w14:paraId="2A5F85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w:t>
            </w:r>
          </w:p>
        </w:tc>
        <w:tc>
          <w:tcPr>
            <w:tcW w:w="1610" w:type="dxa"/>
          </w:tcPr>
          <w:p w14:paraId="2D9291B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075D2BD" w14:textId="77777777">
        <w:tc>
          <w:tcPr>
            <w:tcW w:w="1610" w:type="dxa"/>
          </w:tcPr>
          <w:p w14:paraId="1F845F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w:t>
            </w:r>
          </w:p>
        </w:tc>
        <w:tc>
          <w:tcPr>
            <w:tcW w:w="1610" w:type="dxa"/>
          </w:tcPr>
          <w:p w14:paraId="344B0F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31</w:t>
            </w:r>
          </w:p>
        </w:tc>
        <w:tc>
          <w:tcPr>
            <w:tcW w:w="1610" w:type="dxa"/>
          </w:tcPr>
          <w:p w14:paraId="3EA950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610" w:type="dxa"/>
          </w:tcPr>
          <w:p w14:paraId="008DF7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615456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7B771D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610" w:type="dxa"/>
          </w:tcPr>
          <w:p w14:paraId="23BB389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0D318FD" w14:textId="77777777">
        <w:tc>
          <w:tcPr>
            <w:tcW w:w="1610" w:type="dxa"/>
          </w:tcPr>
          <w:p w14:paraId="232282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А-Ш</w:t>
            </w:r>
          </w:p>
        </w:tc>
        <w:tc>
          <w:tcPr>
            <w:tcW w:w="1610" w:type="dxa"/>
          </w:tcPr>
          <w:p w14:paraId="7DE66A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31</w:t>
            </w:r>
          </w:p>
        </w:tc>
        <w:tc>
          <w:tcPr>
            <w:tcW w:w="1610" w:type="dxa"/>
          </w:tcPr>
          <w:p w14:paraId="0B8234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1610" w:type="dxa"/>
          </w:tcPr>
          <w:p w14:paraId="1D221B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1610" w:type="dxa"/>
          </w:tcPr>
          <w:p w14:paraId="4086F3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14342C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3088F2B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DF1E9B0" w14:textId="77777777">
        <w:tc>
          <w:tcPr>
            <w:tcW w:w="1610" w:type="dxa"/>
          </w:tcPr>
          <w:p w14:paraId="0D726D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w:t>
            </w:r>
          </w:p>
        </w:tc>
        <w:tc>
          <w:tcPr>
            <w:tcW w:w="1610" w:type="dxa"/>
          </w:tcPr>
          <w:p w14:paraId="79E2FE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23</w:t>
            </w:r>
          </w:p>
        </w:tc>
        <w:tc>
          <w:tcPr>
            <w:tcW w:w="1610" w:type="dxa"/>
          </w:tcPr>
          <w:p w14:paraId="145849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610" w:type="dxa"/>
          </w:tcPr>
          <w:p w14:paraId="1A0070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610" w:type="dxa"/>
          </w:tcPr>
          <w:p w14:paraId="1DD695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4C3A20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6CFB40C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1C006BC" w14:textId="77777777">
        <w:tc>
          <w:tcPr>
            <w:tcW w:w="1610" w:type="dxa"/>
          </w:tcPr>
          <w:p w14:paraId="449EF0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У-2-воор.</w:t>
            </w:r>
          </w:p>
        </w:tc>
        <w:tc>
          <w:tcPr>
            <w:tcW w:w="1610" w:type="dxa"/>
          </w:tcPr>
          <w:p w14:paraId="207BAB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23</w:t>
            </w:r>
          </w:p>
        </w:tc>
        <w:tc>
          <w:tcPr>
            <w:tcW w:w="1610" w:type="dxa"/>
          </w:tcPr>
          <w:p w14:paraId="436FE0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35F867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10" w:type="dxa"/>
          </w:tcPr>
          <w:p w14:paraId="159D1B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4732DC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0542E10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E11BFF5" w14:textId="77777777">
        <w:tc>
          <w:tcPr>
            <w:tcW w:w="1610" w:type="dxa"/>
          </w:tcPr>
          <w:p w14:paraId="6ECF4C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 на тормозных колесах</w:t>
            </w:r>
          </w:p>
        </w:tc>
        <w:tc>
          <w:tcPr>
            <w:tcW w:w="1610" w:type="dxa"/>
          </w:tcPr>
          <w:p w14:paraId="21C1A9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23</w:t>
            </w:r>
          </w:p>
        </w:tc>
        <w:tc>
          <w:tcPr>
            <w:tcW w:w="1610" w:type="dxa"/>
          </w:tcPr>
          <w:p w14:paraId="1D9D69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610" w:type="dxa"/>
          </w:tcPr>
          <w:p w14:paraId="3AE38A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610" w:type="dxa"/>
          </w:tcPr>
          <w:p w14:paraId="465326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7EFB39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06E659D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0616AB7" w14:textId="77777777">
        <w:tc>
          <w:tcPr>
            <w:tcW w:w="1610" w:type="dxa"/>
          </w:tcPr>
          <w:p w14:paraId="19FE09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РД</w:t>
            </w:r>
          </w:p>
        </w:tc>
        <w:tc>
          <w:tcPr>
            <w:tcW w:w="1610" w:type="dxa"/>
          </w:tcPr>
          <w:p w14:paraId="41D070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18</w:t>
            </w:r>
          </w:p>
        </w:tc>
        <w:tc>
          <w:tcPr>
            <w:tcW w:w="1610" w:type="dxa"/>
          </w:tcPr>
          <w:p w14:paraId="748B7F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1610" w:type="dxa"/>
          </w:tcPr>
          <w:p w14:paraId="269C2A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501C77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6F334D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1610" w:type="dxa"/>
          </w:tcPr>
          <w:p w14:paraId="1E272FC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F45960A" w14:textId="77777777">
        <w:tc>
          <w:tcPr>
            <w:tcW w:w="1610" w:type="dxa"/>
          </w:tcPr>
          <w:p w14:paraId="1447E4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1610" w:type="dxa"/>
          </w:tcPr>
          <w:p w14:paraId="2523F231"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6F0EF7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3577</w:t>
            </w:r>
          </w:p>
        </w:tc>
        <w:tc>
          <w:tcPr>
            <w:tcW w:w="1610" w:type="dxa"/>
          </w:tcPr>
          <w:p w14:paraId="2C3D92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3030</w:t>
            </w:r>
          </w:p>
        </w:tc>
        <w:tc>
          <w:tcPr>
            <w:tcW w:w="1610" w:type="dxa"/>
          </w:tcPr>
          <w:p w14:paraId="51285F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84%</w:t>
            </w:r>
          </w:p>
        </w:tc>
        <w:tc>
          <w:tcPr>
            <w:tcW w:w="1610" w:type="dxa"/>
          </w:tcPr>
          <w:p w14:paraId="14DD14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553</w:t>
            </w:r>
          </w:p>
        </w:tc>
        <w:tc>
          <w:tcPr>
            <w:tcW w:w="1610" w:type="dxa"/>
          </w:tcPr>
          <w:p w14:paraId="005A9CF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CEC87AC" w14:textId="77777777">
        <w:tc>
          <w:tcPr>
            <w:tcW w:w="1610" w:type="dxa"/>
          </w:tcPr>
          <w:p w14:paraId="1B99C8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Групповые комплекты</w:t>
            </w:r>
          </w:p>
        </w:tc>
        <w:tc>
          <w:tcPr>
            <w:tcW w:w="1610" w:type="dxa"/>
          </w:tcPr>
          <w:p w14:paraId="75A77723"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34926922"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6FD81B16"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5093FDBF"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587A71CF"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6C6D01D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4AA0D4" w14:textId="77777777">
        <w:tc>
          <w:tcPr>
            <w:tcW w:w="1610" w:type="dxa"/>
          </w:tcPr>
          <w:p w14:paraId="091DA0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ТБ3-М17</w:t>
            </w:r>
          </w:p>
        </w:tc>
        <w:tc>
          <w:tcPr>
            <w:tcW w:w="1610" w:type="dxa"/>
          </w:tcPr>
          <w:p w14:paraId="50B5B2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659443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03E030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4AA779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15EE73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77DB9E0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F607E0F" w14:textId="77777777">
        <w:tc>
          <w:tcPr>
            <w:tcW w:w="1610" w:type="dxa"/>
          </w:tcPr>
          <w:p w14:paraId="2D08AB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ТБ3-М17-рем.</w:t>
            </w:r>
          </w:p>
        </w:tc>
        <w:tc>
          <w:tcPr>
            <w:tcW w:w="1610" w:type="dxa"/>
          </w:tcPr>
          <w:p w14:paraId="40AECA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0C9531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52A4D9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194ADE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683491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43C6741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2DF9478" w14:textId="77777777">
        <w:tc>
          <w:tcPr>
            <w:tcW w:w="1610" w:type="dxa"/>
          </w:tcPr>
          <w:p w14:paraId="23D0C7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ТБ3-М34</w:t>
            </w:r>
          </w:p>
        </w:tc>
        <w:tc>
          <w:tcPr>
            <w:tcW w:w="1610" w:type="dxa"/>
          </w:tcPr>
          <w:p w14:paraId="1B9213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4E1272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610" w:type="dxa"/>
          </w:tcPr>
          <w:p w14:paraId="34AFA8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610" w:type="dxa"/>
          </w:tcPr>
          <w:p w14:paraId="51EAE4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3B5F79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58CCC64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6755D1F" w14:textId="77777777">
        <w:tc>
          <w:tcPr>
            <w:tcW w:w="1610" w:type="dxa"/>
          </w:tcPr>
          <w:p w14:paraId="164F91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ТБ3-М34Р</w:t>
            </w:r>
          </w:p>
        </w:tc>
        <w:tc>
          <w:tcPr>
            <w:tcW w:w="1610" w:type="dxa"/>
          </w:tcPr>
          <w:p w14:paraId="057C17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049DA4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2EB3DC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1610" w:type="dxa"/>
          </w:tcPr>
          <w:p w14:paraId="450E01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160%</w:t>
            </w:r>
          </w:p>
        </w:tc>
        <w:tc>
          <w:tcPr>
            <w:tcW w:w="1610" w:type="dxa"/>
          </w:tcPr>
          <w:p w14:paraId="456F3F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57DA22C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636E4FA" w14:textId="77777777">
        <w:tc>
          <w:tcPr>
            <w:tcW w:w="1610" w:type="dxa"/>
          </w:tcPr>
          <w:p w14:paraId="3F8261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ТБ3-М34РН</w:t>
            </w:r>
          </w:p>
        </w:tc>
        <w:tc>
          <w:tcPr>
            <w:tcW w:w="1610" w:type="dxa"/>
          </w:tcPr>
          <w:p w14:paraId="07F1B2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5E5EA5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7006B9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4D1508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3B01B4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4B8847C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9310E85" w14:textId="77777777">
        <w:tc>
          <w:tcPr>
            <w:tcW w:w="1610" w:type="dxa"/>
          </w:tcPr>
          <w:p w14:paraId="42FB27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Р-6</w:t>
            </w:r>
          </w:p>
        </w:tc>
        <w:tc>
          <w:tcPr>
            <w:tcW w:w="1610" w:type="dxa"/>
          </w:tcPr>
          <w:p w14:paraId="382494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6E5968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1610" w:type="dxa"/>
          </w:tcPr>
          <w:p w14:paraId="770B92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1610" w:type="dxa"/>
          </w:tcPr>
          <w:p w14:paraId="11FC5C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19718C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3438FC3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69E1B7A" w14:textId="77777777">
        <w:tc>
          <w:tcPr>
            <w:tcW w:w="1610" w:type="dxa"/>
          </w:tcPr>
          <w:p w14:paraId="3A06C8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Р6-а</w:t>
            </w:r>
          </w:p>
        </w:tc>
        <w:tc>
          <w:tcPr>
            <w:tcW w:w="1610" w:type="dxa"/>
          </w:tcPr>
          <w:p w14:paraId="31523B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22</w:t>
            </w:r>
          </w:p>
        </w:tc>
        <w:tc>
          <w:tcPr>
            <w:tcW w:w="1610" w:type="dxa"/>
          </w:tcPr>
          <w:p w14:paraId="3AB09F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w:t>
            </w:r>
          </w:p>
        </w:tc>
        <w:tc>
          <w:tcPr>
            <w:tcW w:w="1610" w:type="dxa"/>
          </w:tcPr>
          <w:p w14:paraId="24E188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w:t>
            </w:r>
          </w:p>
        </w:tc>
        <w:tc>
          <w:tcPr>
            <w:tcW w:w="1610" w:type="dxa"/>
          </w:tcPr>
          <w:p w14:paraId="7B4201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2E3483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FAD4E3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98A81AE" w14:textId="77777777">
        <w:tc>
          <w:tcPr>
            <w:tcW w:w="1610" w:type="dxa"/>
          </w:tcPr>
          <w:p w14:paraId="1A90D1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Р6-М17-рем.</w:t>
            </w:r>
          </w:p>
        </w:tc>
        <w:tc>
          <w:tcPr>
            <w:tcW w:w="1610" w:type="dxa"/>
          </w:tcPr>
          <w:p w14:paraId="40B23A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31</w:t>
            </w:r>
          </w:p>
        </w:tc>
        <w:tc>
          <w:tcPr>
            <w:tcW w:w="1610" w:type="dxa"/>
          </w:tcPr>
          <w:p w14:paraId="108B21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449EE2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1E689E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2E8B78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3787A32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E16FE63" w14:textId="77777777">
        <w:tc>
          <w:tcPr>
            <w:tcW w:w="1610" w:type="dxa"/>
          </w:tcPr>
          <w:p w14:paraId="019DD5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Р6-разведч. и штурмов.</w:t>
            </w:r>
          </w:p>
        </w:tc>
        <w:tc>
          <w:tcPr>
            <w:tcW w:w="1610" w:type="dxa"/>
          </w:tcPr>
          <w:p w14:paraId="1F1D92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4C7F51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230</w:t>
            </w:r>
          </w:p>
        </w:tc>
        <w:tc>
          <w:tcPr>
            <w:tcW w:w="1610" w:type="dxa"/>
          </w:tcPr>
          <w:p w14:paraId="4B5440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w:t>
            </w:r>
          </w:p>
        </w:tc>
        <w:tc>
          <w:tcPr>
            <w:tcW w:w="1610" w:type="dxa"/>
          </w:tcPr>
          <w:p w14:paraId="7A4DF7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w:t>
            </w:r>
          </w:p>
        </w:tc>
        <w:tc>
          <w:tcPr>
            <w:tcW w:w="1610" w:type="dxa"/>
          </w:tcPr>
          <w:p w14:paraId="1C2F62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1610" w:type="dxa"/>
          </w:tcPr>
          <w:p w14:paraId="60EB4DD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2464BC3" w14:textId="77777777">
        <w:tc>
          <w:tcPr>
            <w:tcW w:w="1610" w:type="dxa"/>
          </w:tcPr>
          <w:p w14:paraId="1329F3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Р-5-ремонт.</w:t>
            </w:r>
          </w:p>
        </w:tc>
        <w:tc>
          <w:tcPr>
            <w:tcW w:w="1610" w:type="dxa"/>
          </w:tcPr>
          <w:p w14:paraId="4B6BB5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7E2465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5547F2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4420F2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3EF36F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1C11646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79AFA13" w14:textId="77777777">
        <w:tc>
          <w:tcPr>
            <w:tcW w:w="1610" w:type="dxa"/>
          </w:tcPr>
          <w:p w14:paraId="3DD571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Р5 б/крыл.</w:t>
            </w:r>
          </w:p>
        </w:tc>
        <w:tc>
          <w:tcPr>
            <w:tcW w:w="1610" w:type="dxa"/>
          </w:tcPr>
          <w:p w14:paraId="406E1B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5B1086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w:t>
            </w:r>
          </w:p>
        </w:tc>
        <w:tc>
          <w:tcPr>
            <w:tcW w:w="1610" w:type="dxa"/>
          </w:tcPr>
          <w:p w14:paraId="23F699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w:t>
            </w:r>
          </w:p>
        </w:tc>
        <w:tc>
          <w:tcPr>
            <w:tcW w:w="1610" w:type="dxa"/>
          </w:tcPr>
          <w:p w14:paraId="467DB4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5F772B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79C9A3B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A49119E" w14:textId="77777777">
        <w:tc>
          <w:tcPr>
            <w:tcW w:w="1610" w:type="dxa"/>
          </w:tcPr>
          <w:p w14:paraId="1F788D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Р5-а</w:t>
            </w:r>
          </w:p>
        </w:tc>
        <w:tc>
          <w:tcPr>
            <w:tcW w:w="1610" w:type="dxa"/>
          </w:tcPr>
          <w:p w14:paraId="6ECB30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04055F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1610" w:type="dxa"/>
          </w:tcPr>
          <w:p w14:paraId="5D395A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1610" w:type="dxa"/>
          </w:tcPr>
          <w:p w14:paraId="7C4239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139210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10" w:type="dxa"/>
          </w:tcPr>
          <w:p w14:paraId="6588C06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B4FF700" w14:textId="77777777">
        <w:tc>
          <w:tcPr>
            <w:tcW w:w="1610" w:type="dxa"/>
          </w:tcPr>
          <w:p w14:paraId="7035C6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И-15</w:t>
            </w:r>
          </w:p>
        </w:tc>
        <w:tc>
          <w:tcPr>
            <w:tcW w:w="1610" w:type="dxa"/>
          </w:tcPr>
          <w:p w14:paraId="59FC7B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46098B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10" w:type="dxa"/>
          </w:tcPr>
          <w:p w14:paraId="7742F9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5F5939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7CF8D1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10" w:type="dxa"/>
          </w:tcPr>
          <w:p w14:paraId="7081B6D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4549231" w14:textId="77777777">
        <w:tc>
          <w:tcPr>
            <w:tcW w:w="1610" w:type="dxa"/>
          </w:tcPr>
          <w:p w14:paraId="05C38A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И-16</w:t>
            </w:r>
          </w:p>
        </w:tc>
        <w:tc>
          <w:tcPr>
            <w:tcW w:w="1610" w:type="dxa"/>
          </w:tcPr>
          <w:p w14:paraId="39B65E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21</w:t>
            </w:r>
          </w:p>
        </w:tc>
        <w:tc>
          <w:tcPr>
            <w:tcW w:w="1610" w:type="dxa"/>
          </w:tcPr>
          <w:p w14:paraId="24618B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1610" w:type="dxa"/>
          </w:tcPr>
          <w:p w14:paraId="4D22C1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495446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412224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1610" w:type="dxa"/>
          </w:tcPr>
          <w:p w14:paraId="55DB2CD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24A12CB" w14:textId="77777777">
        <w:tc>
          <w:tcPr>
            <w:tcW w:w="1610" w:type="dxa"/>
          </w:tcPr>
          <w:p w14:paraId="4B794A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И-16</w:t>
            </w:r>
          </w:p>
        </w:tc>
        <w:tc>
          <w:tcPr>
            <w:tcW w:w="1610" w:type="dxa"/>
          </w:tcPr>
          <w:p w14:paraId="07253A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39</w:t>
            </w:r>
          </w:p>
        </w:tc>
        <w:tc>
          <w:tcPr>
            <w:tcW w:w="1610" w:type="dxa"/>
          </w:tcPr>
          <w:p w14:paraId="3A5187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64BCED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3EF1DF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6027D5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7336398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2795407" w14:textId="77777777">
        <w:tc>
          <w:tcPr>
            <w:tcW w:w="1610" w:type="dxa"/>
          </w:tcPr>
          <w:p w14:paraId="6EBF96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И-7-ремонт.</w:t>
            </w:r>
          </w:p>
        </w:tc>
        <w:tc>
          <w:tcPr>
            <w:tcW w:w="1610" w:type="dxa"/>
          </w:tcPr>
          <w:p w14:paraId="470E60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0DA9A9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1610" w:type="dxa"/>
          </w:tcPr>
          <w:p w14:paraId="40D3F8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1EED85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192834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1610" w:type="dxa"/>
          </w:tcPr>
          <w:p w14:paraId="3661D6C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EB86573" w14:textId="77777777">
        <w:tc>
          <w:tcPr>
            <w:tcW w:w="1610" w:type="dxa"/>
          </w:tcPr>
          <w:p w14:paraId="639972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И-7-по спис.</w:t>
            </w:r>
          </w:p>
        </w:tc>
        <w:tc>
          <w:tcPr>
            <w:tcW w:w="1610" w:type="dxa"/>
          </w:tcPr>
          <w:p w14:paraId="10BDF5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w:t>
            </w:r>
          </w:p>
        </w:tc>
        <w:tc>
          <w:tcPr>
            <w:tcW w:w="1610" w:type="dxa"/>
          </w:tcPr>
          <w:p w14:paraId="628C72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410F74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08F915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56AA98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69961BE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ED00433" w14:textId="77777777">
        <w:tc>
          <w:tcPr>
            <w:tcW w:w="1610" w:type="dxa"/>
          </w:tcPr>
          <w:p w14:paraId="4318B7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И-5</w:t>
            </w:r>
          </w:p>
        </w:tc>
        <w:tc>
          <w:tcPr>
            <w:tcW w:w="1610" w:type="dxa"/>
          </w:tcPr>
          <w:p w14:paraId="263287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21</w:t>
            </w:r>
          </w:p>
        </w:tc>
        <w:tc>
          <w:tcPr>
            <w:tcW w:w="1610" w:type="dxa"/>
          </w:tcPr>
          <w:p w14:paraId="7B971B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59</w:t>
            </w:r>
          </w:p>
        </w:tc>
        <w:tc>
          <w:tcPr>
            <w:tcW w:w="1610" w:type="dxa"/>
          </w:tcPr>
          <w:p w14:paraId="6F0D62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57</w:t>
            </w:r>
          </w:p>
        </w:tc>
        <w:tc>
          <w:tcPr>
            <w:tcW w:w="1610" w:type="dxa"/>
          </w:tcPr>
          <w:p w14:paraId="6F890A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97%</w:t>
            </w:r>
          </w:p>
        </w:tc>
        <w:tc>
          <w:tcPr>
            <w:tcW w:w="1610" w:type="dxa"/>
          </w:tcPr>
          <w:p w14:paraId="777580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610" w:type="dxa"/>
          </w:tcPr>
          <w:p w14:paraId="71DB8D7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9577608" w14:textId="77777777">
        <w:tc>
          <w:tcPr>
            <w:tcW w:w="1610" w:type="dxa"/>
          </w:tcPr>
          <w:p w14:paraId="5D3DE1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МБР-2</w:t>
            </w:r>
          </w:p>
        </w:tc>
        <w:tc>
          <w:tcPr>
            <w:tcW w:w="1610" w:type="dxa"/>
          </w:tcPr>
          <w:p w14:paraId="2A0F6E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31</w:t>
            </w:r>
          </w:p>
        </w:tc>
        <w:tc>
          <w:tcPr>
            <w:tcW w:w="1610" w:type="dxa"/>
          </w:tcPr>
          <w:p w14:paraId="2D063E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38</w:t>
            </w:r>
          </w:p>
        </w:tc>
        <w:tc>
          <w:tcPr>
            <w:tcW w:w="1610" w:type="dxa"/>
          </w:tcPr>
          <w:p w14:paraId="63A17A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10" w:type="dxa"/>
          </w:tcPr>
          <w:p w14:paraId="44F1EA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53%</w:t>
            </w:r>
          </w:p>
        </w:tc>
        <w:tc>
          <w:tcPr>
            <w:tcW w:w="1610" w:type="dxa"/>
          </w:tcPr>
          <w:p w14:paraId="0FB4DE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1610" w:type="dxa"/>
          </w:tcPr>
          <w:p w14:paraId="28CCF17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A614029" w14:textId="77777777">
        <w:tc>
          <w:tcPr>
            <w:tcW w:w="1610" w:type="dxa"/>
          </w:tcPr>
          <w:p w14:paraId="0B5806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МБР-4-рем.</w:t>
            </w:r>
          </w:p>
        </w:tc>
        <w:tc>
          <w:tcPr>
            <w:tcW w:w="1610" w:type="dxa"/>
          </w:tcPr>
          <w:p w14:paraId="4AEBC3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31</w:t>
            </w:r>
          </w:p>
        </w:tc>
        <w:tc>
          <w:tcPr>
            <w:tcW w:w="1610" w:type="dxa"/>
          </w:tcPr>
          <w:p w14:paraId="51CA70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5E3913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4EA007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6C5DAD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60E05D1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F261475" w14:textId="77777777">
        <w:tc>
          <w:tcPr>
            <w:tcW w:w="1610" w:type="dxa"/>
          </w:tcPr>
          <w:p w14:paraId="1FE72C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МБР-4</w:t>
            </w:r>
          </w:p>
        </w:tc>
        <w:tc>
          <w:tcPr>
            <w:tcW w:w="1610" w:type="dxa"/>
          </w:tcPr>
          <w:p w14:paraId="02AF82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31</w:t>
            </w:r>
          </w:p>
        </w:tc>
        <w:tc>
          <w:tcPr>
            <w:tcW w:w="1610" w:type="dxa"/>
          </w:tcPr>
          <w:p w14:paraId="223CBE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0F6974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5BB32F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04451A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6A1E801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E283D7D" w14:textId="77777777">
        <w:tc>
          <w:tcPr>
            <w:tcW w:w="1610" w:type="dxa"/>
          </w:tcPr>
          <w:p w14:paraId="62EB95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ЗЕТ</w:t>
            </w:r>
          </w:p>
        </w:tc>
        <w:tc>
          <w:tcPr>
            <w:tcW w:w="1610" w:type="dxa"/>
          </w:tcPr>
          <w:p w14:paraId="02C9ED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135</w:t>
            </w:r>
          </w:p>
        </w:tc>
        <w:tc>
          <w:tcPr>
            <w:tcW w:w="1610" w:type="dxa"/>
          </w:tcPr>
          <w:p w14:paraId="179AD0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294CCD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0264CB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6FDC76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77ABA00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C6A04EF" w14:textId="77777777">
        <w:tc>
          <w:tcPr>
            <w:tcW w:w="1610" w:type="dxa"/>
          </w:tcPr>
          <w:p w14:paraId="38CB96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И-14</w:t>
            </w:r>
          </w:p>
        </w:tc>
        <w:tc>
          <w:tcPr>
            <w:tcW w:w="1610" w:type="dxa"/>
          </w:tcPr>
          <w:p w14:paraId="755533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125</w:t>
            </w:r>
          </w:p>
        </w:tc>
        <w:tc>
          <w:tcPr>
            <w:tcW w:w="1610" w:type="dxa"/>
          </w:tcPr>
          <w:p w14:paraId="60AE1F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610" w:type="dxa"/>
          </w:tcPr>
          <w:p w14:paraId="12F347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19F9B0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1AF575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610" w:type="dxa"/>
          </w:tcPr>
          <w:p w14:paraId="55B99A8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578F456" w14:textId="77777777">
        <w:tc>
          <w:tcPr>
            <w:tcW w:w="1610" w:type="dxa"/>
          </w:tcPr>
          <w:p w14:paraId="1A4C21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ХАИ</w:t>
            </w:r>
          </w:p>
        </w:tc>
        <w:tc>
          <w:tcPr>
            <w:tcW w:w="1610" w:type="dxa"/>
          </w:tcPr>
          <w:p w14:paraId="75A00D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43</w:t>
            </w:r>
          </w:p>
        </w:tc>
        <w:tc>
          <w:tcPr>
            <w:tcW w:w="1610" w:type="dxa"/>
          </w:tcPr>
          <w:p w14:paraId="1825C8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7C92FB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2DD140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10" w:type="dxa"/>
          </w:tcPr>
          <w:p w14:paraId="4FA0A4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10" w:type="dxa"/>
          </w:tcPr>
          <w:p w14:paraId="60C94C1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52A6745" w14:textId="77777777">
        <w:tc>
          <w:tcPr>
            <w:tcW w:w="1610" w:type="dxa"/>
          </w:tcPr>
          <w:p w14:paraId="2C4242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У-2</w:t>
            </w:r>
          </w:p>
        </w:tc>
        <w:tc>
          <w:tcPr>
            <w:tcW w:w="1610" w:type="dxa"/>
          </w:tcPr>
          <w:p w14:paraId="050CC8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23</w:t>
            </w:r>
          </w:p>
        </w:tc>
        <w:tc>
          <w:tcPr>
            <w:tcW w:w="1610" w:type="dxa"/>
          </w:tcPr>
          <w:p w14:paraId="567195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w:t>
            </w:r>
          </w:p>
        </w:tc>
        <w:tc>
          <w:tcPr>
            <w:tcW w:w="1610" w:type="dxa"/>
          </w:tcPr>
          <w:p w14:paraId="5E7E47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w:t>
            </w:r>
          </w:p>
        </w:tc>
        <w:tc>
          <w:tcPr>
            <w:tcW w:w="1610" w:type="dxa"/>
          </w:tcPr>
          <w:p w14:paraId="2D81FA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6E65EE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576E150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60C152C" w14:textId="77777777">
        <w:tc>
          <w:tcPr>
            <w:tcW w:w="1610" w:type="dxa"/>
          </w:tcPr>
          <w:p w14:paraId="36C889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У-2-воор.</w:t>
            </w:r>
          </w:p>
        </w:tc>
        <w:tc>
          <w:tcPr>
            <w:tcW w:w="1610" w:type="dxa"/>
          </w:tcPr>
          <w:p w14:paraId="465D24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23</w:t>
            </w:r>
          </w:p>
        </w:tc>
        <w:tc>
          <w:tcPr>
            <w:tcW w:w="1610" w:type="dxa"/>
          </w:tcPr>
          <w:p w14:paraId="7E3F8E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674606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046B2F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1F008E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735C469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A3DA725" w14:textId="77777777">
        <w:tc>
          <w:tcPr>
            <w:tcW w:w="1610" w:type="dxa"/>
          </w:tcPr>
          <w:p w14:paraId="089513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У-2-ремонт.</w:t>
            </w:r>
          </w:p>
        </w:tc>
        <w:tc>
          <w:tcPr>
            <w:tcW w:w="1610" w:type="dxa"/>
          </w:tcPr>
          <w:p w14:paraId="5A16F9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23</w:t>
            </w:r>
          </w:p>
        </w:tc>
        <w:tc>
          <w:tcPr>
            <w:tcW w:w="1610" w:type="dxa"/>
          </w:tcPr>
          <w:p w14:paraId="3E666A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7A16F3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5D824C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6ACD6D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65F52FF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782D147" w14:textId="77777777">
        <w:tc>
          <w:tcPr>
            <w:tcW w:w="1610" w:type="dxa"/>
          </w:tcPr>
          <w:p w14:paraId="7A41E1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У-2-эксплуат.</w:t>
            </w:r>
          </w:p>
        </w:tc>
        <w:tc>
          <w:tcPr>
            <w:tcW w:w="1610" w:type="dxa"/>
          </w:tcPr>
          <w:p w14:paraId="4C72DC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23</w:t>
            </w:r>
          </w:p>
        </w:tc>
        <w:tc>
          <w:tcPr>
            <w:tcW w:w="1610" w:type="dxa"/>
          </w:tcPr>
          <w:p w14:paraId="6D87F7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10" w:type="dxa"/>
          </w:tcPr>
          <w:p w14:paraId="143ADE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10" w:type="dxa"/>
          </w:tcPr>
          <w:p w14:paraId="31692D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2B0CDF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7E0D61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8776DC4" w14:textId="77777777">
        <w:tc>
          <w:tcPr>
            <w:tcW w:w="1610" w:type="dxa"/>
          </w:tcPr>
          <w:p w14:paraId="70A37A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А-Ш</w:t>
            </w:r>
          </w:p>
        </w:tc>
        <w:tc>
          <w:tcPr>
            <w:tcW w:w="1610" w:type="dxa"/>
          </w:tcPr>
          <w:p w14:paraId="4A947F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31</w:t>
            </w:r>
          </w:p>
        </w:tc>
        <w:tc>
          <w:tcPr>
            <w:tcW w:w="1610" w:type="dxa"/>
          </w:tcPr>
          <w:p w14:paraId="3DF3C9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610" w:type="dxa"/>
          </w:tcPr>
          <w:p w14:paraId="4C7D54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610" w:type="dxa"/>
          </w:tcPr>
          <w:p w14:paraId="7F2741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201429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40794C7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ADC724" w14:textId="77777777">
        <w:tc>
          <w:tcPr>
            <w:tcW w:w="1610" w:type="dxa"/>
          </w:tcPr>
          <w:p w14:paraId="68BAA7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1610" w:type="dxa"/>
          </w:tcPr>
          <w:p w14:paraId="5BB24B62"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6202D0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669</w:t>
            </w:r>
          </w:p>
        </w:tc>
        <w:tc>
          <w:tcPr>
            <w:tcW w:w="1610" w:type="dxa"/>
          </w:tcPr>
          <w:p w14:paraId="21125A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501</w:t>
            </w:r>
          </w:p>
        </w:tc>
        <w:tc>
          <w:tcPr>
            <w:tcW w:w="1610" w:type="dxa"/>
          </w:tcPr>
          <w:p w14:paraId="581CAE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1610" w:type="dxa"/>
          </w:tcPr>
          <w:p w14:paraId="5F5984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171</w:t>
            </w:r>
          </w:p>
        </w:tc>
        <w:tc>
          <w:tcPr>
            <w:tcW w:w="1610" w:type="dxa"/>
          </w:tcPr>
          <w:p w14:paraId="083DA348" w14:textId="77777777" w:rsidR="00D4105E" w:rsidRPr="00E14102" w:rsidRDefault="00D4105E" w:rsidP="00E14102">
            <w:pPr>
              <w:autoSpaceDE w:val="0"/>
              <w:autoSpaceDN w:val="0"/>
              <w:adjustRightInd w:val="0"/>
              <w:jc w:val="both"/>
              <w:rPr>
                <w:color w:val="000000" w:themeColor="text1"/>
                <w:sz w:val="16"/>
                <w:szCs w:val="16"/>
              </w:rPr>
            </w:pPr>
          </w:p>
        </w:tc>
      </w:tr>
    </w:tbl>
    <w:p w14:paraId="08BD7C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(4039,59-60).</w:t>
      </w:r>
    </w:p>
    <w:p w14:paraId="686125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Ведомость № 2 выполнения промышленностью заказов УВС РККА за 1934 год по моторам и групповым комплектам к ним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E3599D" w:rsidRPr="00E14102" w14:paraId="61460025" w14:textId="77777777">
        <w:tc>
          <w:tcPr>
            <w:tcW w:w="1878" w:type="dxa"/>
          </w:tcPr>
          <w:p w14:paraId="71D7B4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продукции</w:t>
            </w:r>
          </w:p>
        </w:tc>
        <w:tc>
          <w:tcPr>
            <w:tcW w:w="1878" w:type="dxa"/>
          </w:tcPr>
          <w:p w14:paraId="7B41C1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Завод-поставщик</w:t>
            </w:r>
          </w:p>
        </w:tc>
        <w:tc>
          <w:tcPr>
            <w:tcW w:w="1878" w:type="dxa"/>
          </w:tcPr>
          <w:p w14:paraId="2499B5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Заказов по плану</w:t>
            </w:r>
          </w:p>
        </w:tc>
        <w:tc>
          <w:tcPr>
            <w:tcW w:w="1878" w:type="dxa"/>
          </w:tcPr>
          <w:p w14:paraId="37C272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Сдано за год</w:t>
            </w:r>
          </w:p>
        </w:tc>
        <w:tc>
          <w:tcPr>
            <w:tcW w:w="1878" w:type="dxa"/>
          </w:tcPr>
          <w:p w14:paraId="399D88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выполнения</w:t>
            </w:r>
          </w:p>
        </w:tc>
        <w:tc>
          <w:tcPr>
            <w:tcW w:w="1878" w:type="dxa"/>
          </w:tcPr>
          <w:p w14:paraId="6B84D0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Недодел в количестве</w:t>
            </w:r>
          </w:p>
        </w:tc>
      </w:tr>
      <w:tr w:rsidR="00E3599D" w:rsidRPr="00E14102" w14:paraId="6D2EE3F4" w14:textId="77777777">
        <w:tc>
          <w:tcPr>
            <w:tcW w:w="1878" w:type="dxa"/>
          </w:tcPr>
          <w:p w14:paraId="558064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М-17</w:t>
            </w:r>
          </w:p>
        </w:tc>
        <w:tc>
          <w:tcPr>
            <w:tcW w:w="1878" w:type="dxa"/>
          </w:tcPr>
          <w:p w14:paraId="39AECD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26</w:t>
            </w:r>
          </w:p>
        </w:tc>
        <w:tc>
          <w:tcPr>
            <w:tcW w:w="1878" w:type="dxa"/>
          </w:tcPr>
          <w:p w14:paraId="020892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2115</w:t>
            </w:r>
          </w:p>
        </w:tc>
        <w:tc>
          <w:tcPr>
            <w:tcW w:w="1878" w:type="dxa"/>
          </w:tcPr>
          <w:p w14:paraId="1DF635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2500</w:t>
            </w:r>
          </w:p>
        </w:tc>
        <w:tc>
          <w:tcPr>
            <w:tcW w:w="1878" w:type="dxa"/>
          </w:tcPr>
          <w:p w14:paraId="096399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118,2%</w:t>
            </w:r>
          </w:p>
        </w:tc>
        <w:tc>
          <w:tcPr>
            <w:tcW w:w="1878" w:type="dxa"/>
          </w:tcPr>
          <w:p w14:paraId="4CF1A4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73317900" w14:textId="77777777">
        <w:tc>
          <w:tcPr>
            <w:tcW w:w="1878" w:type="dxa"/>
          </w:tcPr>
          <w:p w14:paraId="3AEBFD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М-11</w:t>
            </w:r>
          </w:p>
        </w:tc>
        <w:tc>
          <w:tcPr>
            <w:tcW w:w="1878" w:type="dxa"/>
          </w:tcPr>
          <w:p w14:paraId="0A57CD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29</w:t>
            </w:r>
          </w:p>
        </w:tc>
        <w:tc>
          <w:tcPr>
            <w:tcW w:w="1878" w:type="dxa"/>
          </w:tcPr>
          <w:p w14:paraId="65807D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1878" w:type="dxa"/>
          </w:tcPr>
          <w:p w14:paraId="0D4B6F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782</w:t>
            </w:r>
          </w:p>
        </w:tc>
        <w:tc>
          <w:tcPr>
            <w:tcW w:w="1878" w:type="dxa"/>
          </w:tcPr>
          <w:p w14:paraId="2201C9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98%</w:t>
            </w:r>
          </w:p>
        </w:tc>
        <w:tc>
          <w:tcPr>
            <w:tcW w:w="1878" w:type="dxa"/>
          </w:tcPr>
          <w:p w14:paraId="398D0C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r>
      <w:tr w:rsidR="00E3599D" w:rsidRPr="00E14102" w14:paraId="613BFD8A" w14:textId="77777777">
        <w:tc>
          <w:tcPr>
            <w:tcW w:w="1878" w:type="dxa"/>
          </w:tcPr>
          <w:p w14:paraId="4BFBF5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М-22</w:t>
            </w:r>
          </w:p>
        </w:tc>
        <w:tc>
          <w:tcPr>
            <w:tcW w:w="1878" w:type="dxa"/>
          </w:tcPr>
          <w:p w14:paraId="1C005D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29</w:t>
            </w:r>
          </w:p>
        </w:tc>
        <w:tc>
          <w:tcPr>
            <w:tcW w:w="1878" w:type="dxa"/>
          </w:tcPr>
          <w:p w14:paraId="550B2A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1878" w:type="dxa"/>
          </w:tcPr>
          <w:p w14:paraId="2864AF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1878" w:type="dxa"/>
          </w:tcPr>
          <w:p w14:paraId="39BD69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878" w:type="dxa"/>
          </w:tcPr>
          <w:p w14:paraId="327583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319C5FF2" w14:textId="77777777">
        <w:tc>
          <w:tcPr>
            <w:tcW w:w="1878" w:type="dxa"/>
          </w:tcPr>
          <w:p w14:paraId="557A70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М-34Р</w:t>
            </w:r>
          </w:p>
        </w:tc>
        <w:tc>
          <w:tcPr>
            <w:tcW w:w="1878" w:type="dxa"/>
          </w:tcPr>
          <w:p w14:paraId="554152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24</w:t>
            </w:r>
          </w:p>
        </w:tc>
        <w:tc>
          <w:tcPr>
            <w:tcW w:w="1878" w:type="dxa"/>
          </w:tcPr>
          <w:p w14:paraId="460C6D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878" w:type="dxa"/>
          </w:tcPr>
          <w:p w14:paraId="65DDB7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878" w:type="dxa"/>
          </w:tcPr>
          <w:p w14:paraId="05DB5B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878" w:type="dxa"/>
          </w:tcPr>
          <w:p w14:paraId="4B525B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4AA53327" w14:textId="77777777">
        <w:tc>
          <w:tcPr>
            <w:tcW w:w="1878" w:type="dxa"/>
          </w:tcPr>
          <w:p w14:paraId="571995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М-34РН</w:t>
            </w:r>
          </w:p>
        </w:tc>
        <w:tc>
          <w:tcPr>
            <w:tcW w:w="1878" w:type="dxa"/>
          </w:tcPr>
          <w:p w14:paraId="0B7B51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24</w:t>
            </w:r>
          </w:p>
        </w:tc>
        <w:tc>
          <w:tcPr>
            <w:tcW w:w="1878" w:type="dxa"/>
          </w:tcPr>
          <w:p w14:paraId="14FF24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878" w:type="dxa"/>
          </w:tcPr>
          <w:p w14:paraId="1B2297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192BCD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878" w:type="dxa"/>
          </w:tcPr>
          <w:p w14:paraId="406701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r>
      <w:tr w:rsidR="00E3599D" w:rsidRPr="00E14102" w14:paraId="24C5B9C0" w14:textId="77777777">
        <w:tc>
          <w:tcPr>
            <w:tcW w:w="1878" w:type="dxa"/>
          </w:tcPr>
          <w:p w14:paraId="3EA839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М-34</w:t>
            </w:r>
          </w:p>
        </w:tc>
        <w:tc>
          <w:tcPr>
            <w:tcW w:w="1878" w:type="dxa"/>
          </w:tcPr>
          <w:p w14:paraId="56A593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24</w:t>
            </w:r>
          </w:p>
        </w:tc>
        <w:tc>
          <w:tcPr>
            <w:tcW w:w="1878" w:type="dxa"/>
          </w:tcPr>
          <w:p w14:paraId="290A9D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173E89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61</w:t>
            </w:r>
          </w:p>
        </w:tc>
        <w:tc>
          <w:tcPr>
            <w:tcW w:w="1878" w:type="dxa"/>
          </w:tcPr>
          <w:p w14:paraId="551C56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3B1EB9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78F6B682" w14:textId="77777777">
        <w:tc>
          <w:tcPr>
            <w:tcW w:w="1878" w:type="dxa"/>
          </w:tcPr>
          <w:p w14:paraId="5073D2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1878" w:type="dxa"/>
          </w:tcPr>
          <w:p w14:paraId="065C1A48"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1668F3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3275</w:t>
            </w:r>
          </w:p>
        </w:tc>
        <w:tc>
          <w:tcPr>
            <w:tcW w:w="1878" w:type="dxa"/>
          </w:tcPr>
          <w:p w14:paraId="535644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3603</w:t>
            </w:r>
          </w:p>
        </w:tc>
        <w:tc>
          <w:tcPr>
            <w:tcW w:w="1878" w:type="dxa"/>
          </w:tcPr>
          <w:p w14:paraId="2F9539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1878" w:type="dxa"/>
          </w:tcPr>
          <w:p w14:paraId="0AC314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168</w:t>
            </w:r>
          </w:p>
        </w:tc>
      </w:tr>
      <w:tr w:rsidR="00E3599D" w:rsidRPr="00E14102" w14:paraId="245DB490" w14:textId="77777777">
        <w:tc>
          <w:tcPr>
            <w:tcW w:w="1878" w:type="dxa"/>
          </w:tcPr>
          <w:p w14:paraId="2BC4A0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Групповых комплектов</w:t>
            </w:r>
          </w:p>
        </w:tc>
        <w:tc>
          <w:tcPr>
            <w:tcW w:w="1878" w:type="dxa"/>
          </w:tcPr>
          <w:p w14:paraId="313BD754"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5FC0807D"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770E267B"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74E72C2D"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63969EF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0C7667F" w14:textId="77777777">
        <w:tc>
          <w:tcPr>
            <w:tcW w:w="1878" w:type="dxa"/>
          </w:tcPr>
          <w:p w14:paraId="39E4C6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М-17</w:t>
            </w:r>
          </w:p>
        </w:tc>
        <w:tc>
          <w:tcPr>
            <w:tcW w:w="1878" w:type="dxa"/>
          </w:tcPr>
          <w:p w14:paraId="18A727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26</w:t>
            </w:r>
          </w:p>
        </w:tc>
        <w:tc>
          <w:tcPr>
            <w:tcW w:w="1878" w:type="dxa"/>
          </w:tcPr>
          <w:p w14:paraId="5FA80F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722</w:t>
            </w:r>
          </w:p>
        </w:tc>
        <w:tc>
          <w:tcPr>
            <w:tcW w:w="1878" w:type="dxa"/>
          </w:tcPr>
          <w:p w14:paraId="4D5CDF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545</w:t>
            </w:r>
          </w:p>
        </w:tc>
        <w:tc>
          <w:tcPr>
            <w:tcW w:w="1878" w:type="dxa"/>
          </w:tcPr>
          <w:p w14:paraId="7EF0DA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75,5%</w:t>
            </w:r>
          </w:p>
        </w:tc>
        <w:tc>
          <w:tcPr>
            <w:tcW w:w="1878" w:type="dxa"/>
          </w:tcPr>
          <w:p w14:paraId="78EB2A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177</w:t>
            </w:r>
          </w:p>
        </w:tc>
      </w:tr>
      <w:tr w:rsidR="00E3599D" w:rsidRPr="00E14102" w14:paraId="42D87B62" w14:textId="77777777">
        <w:tc>
          <w:tcPr>
            <w:tcW w:w="1878" w:type="dxa"/>
          </w:tcPr>
          <w:p w14:paraId="2CB3FA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М-22</w:t>
            </w:r>
          </w:p>
        </w:tc>
        <w:tc>
          <w:tcPr>
            <w:tcW w:w="1878" w:type="dxa"/>
          </w:tcPr>
          <w:p w14:paraId="0F96C9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29</w:t>
            </w:r>
          </w:p>
        </w:tc>
        <w:tc>
          <w:tcPr>
            <w:tcW w:w="1878" w:type="dxa"/>
          </w:tcPr>
          <w:p w14:paraId="26C57E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w:t>
            </w:r>
          </w:p>
        </w:tc>
        <w:tc>
          <w:tcPr>
            <w:tcW w:w="1878" w:type="dxa"/>
          </w:tcPr>
          <w:p w14:paraId="01A3E1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w:t>
            </w:r>
          </w:p>
        </w:tc>
        <w:tc>
          <w:tcPr>
            <w:tcW w:w="1878" w:type="dxa"/>
          </w:tcPr>
          <w:p w14:paraId="070938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878" w:type="dxa"/>
          </w:tcPr>
          <w:p w14:paraId="07D99F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27DEECBC" w14:textId="77777777">
        <w:tc>
          <w:tcPr>
            <w:tcW w:w="1878" w:type="dxa"/>
          </w:tcPr>
          <w:p w14:paraId="060236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М-11</w:t>
            </w:r>
          </w:p>
        </w:tc>
        <w:tc>
          <w:tcPr>
            <w:tcW w:w="1878" w:type="dxa"/>
          </w:tcPr>
          <w:p w14:paraId="1DF5AB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29</w:t>
            </w:r>
          </w:p>
        </w:tc>
        <w:tc>
          <w:tcPr>
            <w:tcW w:w="1878" w:type="dxa"/>
          </w:tcPr>
          <w:p w14:paraId="74D198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165</w:t>
            </w:r>
          </w:p>
        </w:tc>
        <w:tc>
          <w:tcPr>
            <w:tcW w:w="1878" w:type="dxa"/>
          </w:tcPr>
          <w:p w14:paraId="27C925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165</w:t>
            </w:r>
          </w:p>
        </w:tc>
        <w:tc>
          <w:tcPr>
            <w:tcW w:w="1878" w:type="dxa"/>
          </w:tcPr>
          <w:p w14:paraId="6ABB65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878" w:type="dxa"/>
          </w:tcPr>
          <w:p w14:paraId="3237F5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FF033C0" w14:textId="77777777">
        <w:tc>
          <w:tcPr>
            <w:tcW w:w="1878" w:type="dxa"/>
          </w:tcPr>
          <w:p w14:paraId="2E2CA1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М-34Р</w:t>
            </w:r>
          </w:p>
        </w:tc>
        <w:tc>
          <w:tcPr>
            <w:tcW w:w="1878" w:type="dxa"/>
          </w:tcPr>
          <w:p w14:paraId="013E22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24</w:t>
            </w:r>
          </w:p>
        </w:tc>
        <w:tc>
          <w:tcPr>
            <w:tcW w:w="1878" w:type="dxa"/>
          </w:tcPr>
          <w:p w14:paraId="47C3E2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1878" w:type="dxa"/>
          </w:tcPr>
          <w:p w14:paraId="40E516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1878" w:type="dxa"/>
          </w:tcPr>
          <w:p w14:paraId="2F8CF8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878" w:type="dxa"/>
          </w:tcPr>
          <w:p w14:paraId="4E1B7F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4836EFF" w14:textId="77777777">
        <w:tc>
          <w:tcPr>
            <w:tcW w:w="1878" w:type="dxa"/>
          </w:tcPr>
          <w:p w14:paraId="0CFE00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М-34РН</w:t>
            </w:r>
          </w:p>
        </w:tc>
        <w:tc>
          <w:tcPr>
            <w:tcW w:w="1878" w:type="dxa"/>
          </w:tcPr>
          <w:p w14:paraId="076FA1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24</w:t>
            </w:r>
          </w:p>
        </w:tc>
        <w:tc>
          <w:tcPr>
            <w:tcW w:w="1878" w:type="dxa"/>
          </w:tcPr>
          <w:p w14:paraId="60A071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57</w:t>
            </w:r>
          </w:p>
        </w:tc>
        <w:tc>
          <w:tcPr>
            <w:tcW w:w="1878" w:type="dxa"/>
          </w:tcPr>
          <w:p w14:paraId="0634BE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306FB7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78" w:type="dxa"/>
          </w:tcPr>
          <w:p w14:paraId="48E497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57</w:t>
            </w:r>
          </w:p>
        </w:tc>
      </w:tr>
      <w:tr w:rsidR="00E3599D" w:rsidRPr="00E14102" w14:paraId="523A3F25" w14:textId="77777777">
        <w:tc>
          <w:tcPr>
            <w:tcW w:w="1878" w:type="dxa"/>
          </w:tcPr>
          <w:p w14:paraId="4145D2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М-34</w:t>
            </w:r>
          </w:p>
        </w:tc>
        <w:tc>
          <w:tcPr>
            <w:tcW w:w="1878" w:type="dxa"/>
          </w:tcPr>
          <w:p w14:paraId="2EAE21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24</w:t>
            </w:r>
          </w:p>
        </w:tc>
        <w:tc>
          <w:tcPr>
            <w:tcW w:w="1878" w:type="dxa"/>
          </w:tcPr>
          <w:p w14:paraId="694778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1878" w:type="dxa"/>
          </w:tcPr>
          <w:p w14:paraId="75DFDF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1878" w:type="dxa"/>
          </w:tcPr>
          <w:p w14:paraId="289482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878" w:type="dxa"/>
          </w:tcPr>
          <w:p w14:paraId="6470B0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52F3147E" w14:textId="77777777">
        <w:tc>
          <w:tcPr>
            <w:tcW w:w="1878" w:type="dxa"/>
          </w:tcPr>
          <w:p w14:paraId="1F9556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1878" w:type="dxa"/>
          </w:tcPr>
          <w:p w14:paraId="3F24EB42"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06620C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1080</w:t>
            </w:r>
          </w:p>
        </w:tc>
        <w:tc>
          <w:tcPr>
            <w:tcW w:w="1878" w:type="dxa"/>
          </w:tcPr>
          <w:p w14:paraId="7A8B6B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846</w:t>
            </w:r>
          </w:p>
        </w:tc>
        <w:tc>
          <w:tcPr>
            <w:tcW w:w="1878" w:type="dxa"/>
          </w:tcPr>
          <w:p w14:paraId="51A921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78%</w:t>
            </w:r>
          </w:p>
        </w:tc>
        <w:tc>
          <w:tcPr>
            <w:tcW w:w="1878" w:type="dxa"/>
          </w:tcPr>
          <w:p w14:paraId="607A67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234</w:t>
            </w:r>
          </w:p>
        </w:tc>
      </w:tr>
    </w:tbl>
    <w:p w14:paraId="526614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(4039,61).</w:t>
      </w:r>
    </w:p>
    <w:p w14:paraId="3130D77F" w14:textId="77777777" w:rsidR="00D4105E" w:rsidRPr="00E14102" w:rsidRDefault="00D4105E" w:rsidP="00E14102">
      <w:pPr>
        <w:autoSpaceDE w:val="0"/>
        <w:autoSpaceDN w:val="0"/>
        <w:adjustRightInd w:val="0"/>
        <w:jc w:val="both"/>
        <w:rPr>
          <w:color w:val="000000" w:themeColor="text1"/>
          <w:sz w:val="16"/>
          <w:szCs w:val="16"/>
        </w:rPr>
      </w:pPr>
    </w:p>
    <w:p w14:paraId="39C7F988" w14:textId="77777777" w:rsidR="002808C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7BC9A71" w14:textId="77777777" w:rsidR="002808C2" w:rsidRPr="00E14102" w:rsidRDefault="002808C2" w:rsidP="00E14102">
      <w:pPr>
        <w:autoSpaceDE w:val="0"/>
        <w:autoSpaceDN w:val="0"/>
        <w:adjustRightInd w:val="0"/>
        <w:jc w:val="both"/>
        <w:rPr>
          <w:iCs/>
          <w:color w:val="000000" w:themeColor="text1"/>
          <w:sz w:val="16"/>
          <w:szCs w:val="16"/>
        </w:rPr>
      </w:pPr>
    </w:p>
    <w:p w14:paraId="297DB832" w14:textId="77777777" w:rsidR="002808C2" w:rsidRPr="00E14102" w:rsidRDefault="002808C2" w:rsidP="00E14102">
      <w:pPr>
        <w:pStyle w:val="ad"/>
        <w:spacing w:before="0" w:after="0"/>
        <w:rPr>
          <w:rStyle w:val="a6"/>
          <w:rFonts w:ascii="Times New Roman" w:hAnsi="Times New Roman" w:cs="Times New Roman"/>
          <w:i w:val="0"/>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10 января 1935</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 xml:space="preserve">г. </w:t>
      </w:r>
      <w:r w:rsidRPr="00E14102">
        <w:rPr>
          <w:rFonts w:ascii="Times New Roman" w:hAnsi="Times New Roman" w:cs="Times New Roman"/>
          <w:color w:val="000000" w:themeColor="text1"/>
          <w:sz w:val="16"/>
          <w:szCs w:val="16"/>
          <w:lang w:val="ru-RU"/>
        </w:rPr>
        <w:t>Справка Артиллерийского управления РККА о выполнении плана заказов промышленностью за 1934</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w:t>
      </w:r>
    </w:p>
    <w:p w14:paraId="57101328" w14:textId="77777777" w:rsidR="002808C2" w:rsidRPr="00E14102" w:rsidRDefault="002808C2" w:rsidP="00E14102">
      <w:pPr>
        <w:pStyle w:val="ad"/>
        <w:spacing w:before="0" w:after="0"/>
        <w:rPr>
          <w:rFonts w:ascii="Times New Roman" w:hAnsi="Times New Roman" w:cs="Times New Roman"/>
          <w:color w:val="000000" w:themeColor="text1"/>
          <w:sz w:val="16"/>
          <w:szCs w:val="16"/>
        </w:rPr>
      </w:pPr>
      <w:r w:rsidRPr="00E14102">
        <w:rPr>
          <w:rStyle w:val="a6"/>
          <w:rFonts w:ascii="Times New Roman" w:hAnsi="Times New Roman" w:cs="Times New Roman"/>
          <w:i w:val="0"/>
          <w:color w:val="000000" w:themeColor="text1"/>
          <w:sz w:val="16"/>
          <w:szCs w:val="16"/>
        </w:rPr>
        <w:t>Совершенно секретно.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2"/>
        <w:gridCol w:w="5843"/>
        <w:gridCol w:w="1622"/>
        <w:gridCol w:w="1182"/>
        <w:gridCol w:w="888"/>
        <w:gridCol w:w="1286"/>
      </w:tblGrid>
      <w:tr w:rsidR="00E3599D" w:rsidRPr="00E14102" w14:paraId="75B88CE0" w14:textId="77777777" w:rsidTr="00A35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BBB9D4" w14:textId="77777777" w:rsidR="002808C2" w:rsidRPr="00E14102" w:rsidRDefault="002808C2" w:rsidP="00E14102">
            <w:pPr>
              <w:jc w:val="both"/>
              <w:rPr>
                <w:color w:val="000000" w:themeColor="text1"/>
                <w:sz w:val="16"/>
                <w:szCs w:val="16"/>
              </w:rPr>
            </w:pPr>
            <w:r w:rsidRPr="00E14102">
              <w:rPr>
                <w:color w:val="000000" w:themeColor="text1"/>
                <w:sz w:val="16"/>
                <w:szCs w:val="16"/>
              </w:rPr>
              <w:t>№№</w:t>
            </w:r>
          </w:p>
          <w:p w14:paraId="22D4BAC1" w14:textId="77777777" w:rsidR="002808C2" w:rsidRPr="00E14102" w:rsidRDefault="002808C2" w:rsidP="00E14102">
            <w:pPr>
              <w:jc w:val="both"/>
              <w:rPr>
                <w:color w:val="000000" w:themeColor="text1"/>
                <w:sz w:val="16"/>
                <w:szCs w:val="16"/>
              </w:rPr>
            </w:pPr>
            <w:r w:rsidRPr="00E14102">
              <w:rPr>
                <w:color w:val="000000" w:themeColor="text1"/>
                <w:sz w:val="16"/>
                <w:szCs w:val="16"/>
              </w:rPr>
              <w:t>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60D558E" w14:textId="77777777" w:rsidR="002808C2" w:rsidRPr="00E14102" w:rsidRDefault="002808C2" w:rsidP="00E14102">
            <w:pPr>
              <w:jc w:val="both"/>
              <w:rPr>
                <w:color w:val="000000" w:themeColor="text1"/>
                <w:sz w:val="16"/>
                <w:szCs w:val="16"/>
              </w:rPr>
            </w:pPr>
            <w:r w:rsidRPr="00E14102">
              <w:rPr>
                <w:color w:val="000000" w:themeColor="text1"/>
                <w:sz w:val="16"/>
                <w:szCs w:val="16"/>
              </w:rPr>
              <w:t>Номенклатура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980173" w14:textId="77777777" w:rsidR="002808C2" w:rsidRPr="00E14102" w:rsidRDefault="002808C2" w:rsidP="00E14102">
            <w:pPr>
              <w:jc w:val="both"/>
              <w:rPr>
                <w:color w:val="000000" w:themeColor="text1"/>
                <w:sz w:val="16"/>
                <w:szCs w:val="16"/>
              </w:rPr>
            </w:pPr>
            <w:r w:rsidRPr="00E14102">
              <w:rPr>
                <w:color w:val="000000" w:themeColor="text1"/>
                <w:sz w:val="16"/>
                <w:szCs w:val="16"/>
              </w:rPr>
              <w:t>План на 1934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A7C82F3" w14:textId="77777777" w:rsidR="002808C2" w:rsidRPr="00E14102" w:rsidRDefault="002808C2" w:rsidP="00E14102">
            <w:pPr>
              <w:jc w:val="both"/>
              <w:rPr>
                <w:color w:val="000000" w:themeColor="text1"/>
                <w:sz w:val="16"/>
                <w:szCs w:val="16"/>
              </w:rPr>
            </w:pPr>
            <w:r w:rsidRPr="00E14102">
              <w:rPr>
                <w:color w:val="000000" w:themeColor="text1"/>
                <w:sz w:val="16"/>
                <w:szCs w:val="16"/>
              </w:rPr>
              <w:t>За январь-декабрь 1934 г.</w:t>
            </w:r>
          </w:p>
        </w:tc>
      </w:tr>
      <w:tr w:rsidR="00E3599D" w:rsidRPr="00E14102" w14:paraId="0AEB282D" w14:textId="77777777" w:rsidTr="00A35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4015D18" w14:textId="77777777" w:rsidR="002808C2" w:rsidRPr="00E14102" w:rsidRDefault="002808C2" w:rsidP="00E14102">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5D34F8" w14:textId="77777777" w:rsidR="002808C2" w:rsidRPr="00E14102" w:rsidRDefault="002808C2" w:rsidP="00E14102">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9C5BA01" w14:textId="77777777" w:rsidR="002808C2" w:rsidRPr="00E14102" w:rsidRDefault="002808C2"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7D7CC6" w14:textId="77777777" w:rsidR="002808C2" w:rsidRPr="00E14102" w:rsidRDefault="002808C2" w:rsidP="00E14102">
            <w:pPr>
              <w:jc w:val="both"/>
              <w:rPr>
                <w:color w:val="000000" w:themeColor="text1"/>
                <w:sz w:val="16"/>
                <w:szCs w:val="16"/>
              </w:rPr>
            </w:pPr>
            <w:r w:rsidRPr="00E14102">
              <w:rPr>
                <w:color w:val="000000" w:themeColor="text1"/>
                <w:sz w:val="16"/>
                <w:szCs w:val="16"/>
              </w:rPr>
              <w:t>Надлежало</w:t>
            </w:r>
          </w:p>
          <w:p w14:paraId="66288B8C" w14:textId="77777777" w:rsidR="002808C2" w:rsidRPr="00E14102" w:rsidRDefault="002808C2" w:rsidP="00E14102">
            <w:pPr>
              <w:jc w:val="both"/>
              <w:rPr>
                <w:color w:val="000000" w:themeColor="text1"/>
                <w:sz w:val="16"/>
                <w:szCs w:val="16"/>
              </w:rPr>
            </w:pPr>
            <w:r w:rsidRPr="00E14102">
              <w:rPr>
                <w:color w:val="000000" w:themeColor="text1"/>
                <w:sz w:val="16"/>
                <w:szCs w:val="16"/>
              </w:rPr>
              <w:t>поставить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E6EF9" w14:textId="77777777" w:rsidR="002808C2" w:rsidRPr="00E14102" w:rsidRDefault="002808C2" w:rsidP="00E14102">
            <w:pPr>
              <w:jc w:val="both"/>
              <w:rPr>
                <w:color w:val="000000" w:themeColor="text1"/>
                <w:sz w:val="16"/>
                <w:szCs w:val="16"/>
              </w:rPr>
            </w:pPr>
            <w:r w:rsidRPr="00E14102">
              <w:rPr>
                <w:color w:val="000000" w:themeColor="text1"/>
                <w:sz w:val="16"/>
                <w:szCs w:val="16"/>
              </w:rPr>
              <w:t>Оконча-</w:t>
            </w:r>
          </w:p>
          <w:p w14:paraId="59741CA0" w14:textId="77777777" w:rsidR="002808C2" w:rsidRPr="00E14102" w:rsidRDefault="002808C2" w:rsidP="00E14102">
            <w:pPr>
              <w:jc w:val="both"/>
              <w:rPr>
                <w:color w:val="000000" w:themeColor="text1"/>
                <w:sz w:val="16"/>
                <w:szCs w:val="16"/>
              </w:rPr>
            </w:pPr>
            <w:r w:rsidRPr="00E14102">
              <w:rPr>
                <w:color w:val="000000" w:themeColor="text1"/>
                <w:sz w:val="16"/>
                <w:szCs w:val="16"/>
              </w:rPr>
              <w:t>тельно</w:t>
            </w:r>
          </w:p>
          <w:p w14:paraId="567AFB9E" w14:textId="77777777" w:rsidR="002808C2" w:rsidRPr="00E14102" w:rsidRDefault="002808C2" w:rsidP="00E14102">
            <w:pPr>
              <w:jc w:val="both"/>
              <w:rPr>
                <w:color w:val="000000" w:themeColor="text1"/>
                <w:sz w:val="16"/>
                <w:szCs w:val="16"/>
              </w:rPr>
            </w:pPr>
            <w:r w:rsidRPr="00E14102">
              <w:rPr>
                <w:color w:val="000000" w:themeColor="text1"/>
                <w:sz w:val="16"/>
                <w:szCs w:val="16"/>
              </w:rPr>
              <w:t>принято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3BFE7" w14:textId="77777777" w:rsidR="002808C2" w:rsidRPr="00E14102" w:rsidRDefault="002808C2" w:rsidP="00E14102">
            <w:pPr>
              <w:jc w:val="both"/>
              <w:rPr>
                <w:color w:val="000000" w:themeColor="text1"/>
                <w:sz w:val="16"/>
                <w:szCs w:val="16"/>
              </w:rPr>
            </w:pPr>
            <w:r w:rsidRPr="00E14102">
              <w:rPr>
                <w:color w:val="000000" w:themeColor="text1"/>
                <w:sz w:val="16"/>
                <w:szCs w:val="16"/>
              </w:rPr>
              <w:t>Процент</w:t>
            </w:r>
          </w:p>
          <w:p w14:paraId="5BB5E326" w14:textId="77777777" w:rsidR="002808C2" w:rsidRPr="00E14102" w:rsidRDefault="002808C2" w:rsidP="00E14102">
            <w:pPr>
              <w:jc w:val="both"/>
              <w:rPr>
                <w:color w:val="000000" w:themeColor="text1"/>
                <w:sz w:val="16"/>
                <w:szCs w:val="16"/>
              </w:rPr>
            </w:pPr>
            <w:r w:rsidRPr="00E14102">
              <w:rPr>
                <w:color w:val="000000" w:themeColor="text1"/>
                <w:sz w:val="16"/>
                <w:szCs w:val="16"/>
              </w:rPr>
              <w:t>выполнения</w:t>
            </w:r>
          </w:p>
          <w:p w14:paraId="6BD807A9" w14:textId="77777777" w:rsidR="002808C2" w:rsidRPr="00E14102" w:rsidRDefault="002808C2" w:rsidP="00E14102">
            <w:pPr>
              <w:jc w:val="both"/>
              <w:rPr>
                <w:color w:val="000000" w:themeColor="text1"/>
                <w:sz w:val="16"/>
                <w:szCs w:val="16"/>
              </w:rPr>
            </w:pPr>
            <w:r w:rsidRPr="00E14102">
              <w:rPr>
                <w:color w:val="000000" w:themeColor="text1"/>
                <w:sz w:val="16"/>
                <w:szCs w:val="16"/>
              </w:rPr>
              <w:t>от годового</w:t>
            </w:r>
          </w:p>
          <w:p w14:paraId="59AADCF2" w14:textId="77777777" w:rsidR="002808C2" w:rsidRPr="00E14102" w:rsidRDefault="002808C2" w:rsidP="00E14102">
            <w:pPr>
              <w:jc w:val="both"/>
              <w:rPr>
                <w:color w:val="000000" w:themeColor="text1"/>
                <w:sz w:val="16"/>
                <w:szCs w:val="16"/>
              </w:rPr>
            </w:pPr>
            <w:r w:rsidRPr="00E14102">
              <w:rPr>
                <w:color w:val="000000" w:themeColor="text1"/>
                <w:sz w:val="16"/>
                <w:szCs w:val="16"/>
              </w:rPr>
              <w:t>плана</w:t>
            </w:r>
          </w:p>
        </w:tc>
      </w:tr>
      <w:tr w:rsidR="00E3599D" w:rsidRPr="00E14102" w14:paraId="5E3DA204"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A710E47" w14:textId="77777777" w:rsidR="002808C2" w:rsidRPr="00E14102" w:rsidRDefault="002808C2" w:rsidP="00E14102">
            <w:pPr>
              <w:jc w:val="both"/>
              <w:rPr>
                <w:color w:val="000000" w:themeColor="text1"/>
                <w:sz w:val="16"/>
                <w:szCs w:val="16"/>
              </w:rPr>
            </w:pPr>
            <w:r w:rsidRPr="00E14102">
              <w:rPr>
                <w:color w:val="000000" w:themeColor="text1"/>
                <w:sz w:val="16"/>
                <w:szCs w:val="16"/>
              </w:rPr>
              <w:t>I. МАТЕРИАЛЬНАЯ ЧАСТЬ АРТИЛЛЕРИИ</w:t>
            </w:r>
          </w:p>
        </w:tc>
      </w:tr>
      <w:tr w:rsidR="00E3599D" w:rsidRPr="00E14102" w14:paraId="4EDC5BF2"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D7D66C4" w14:textId="77777777" w:rsidR="002808C2" w:rsidRPr="00E14102" w:rsidRDefault="002808C2" w:rsidP="00E14102">
            <w:pPr>
              <w:jc w:val="both"/>
              <w:rPr>
                <w:color w:val="000000" w:themeColor="text1"/>
                <w:sz w:val="16"/>
                <w:szCs w:val="16"/>
              </w:rPr>
            </w:pPr>
            <w:r w:rsidRPr="00E14102">
              <w:rPr>
                <w:color w:val="000000" w:themeColor="text1"/>
                <w:sz w:val="16"/>
                <w:szCs w:val="16"/>
              </w:rPr>
              <w:t>ОРУДИЯ</w:t>
            </w:r>
          </w:p>
        </w:tc>
      </w:tr>
      <w:tr w:rsidR="00E3599D" w:rsidRPr="00E14102" w14:paraId="48339ABF"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6C03EBC" w14:textId="77777777" w:rsidR="002808C2" w:rsidRPr="00E14102" w:rsidRDefault="002808C2" w:rsidP="00E14102">
            <w:pPr>
              <w:jc w:val="both"/>
              <w:rPr>
                <w:color w:val="000000" w:themeColor="text1"/>
                <w:sz w:val="16"/>
                <w:szCs w:val="16"/>
              </w:rPr>
            </w:pPr>
            <w:r w:rsidRPr="00E14102">
              <w:rPr>
                <w:color w:val="000000" w:themeColor="text1"/>
                <w:sz w:val="16"/>
                <w:szCs w:val="16"/>
              </w:rPr>
              <w:t>1) Мелкокалиберная артиллерия</w:t>
            </w:r>
          </w:p>
        </w:tc>
      </w:tr>
      <w:tr w:rsidR="00E3599D" w:rsidRPr="00E14102" w14:paraId="0B45605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C47351"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8D3C6" w14:textId="77777777" w:rsidR="002808C2" w:rsidRPr="00E14102" w:rsidRDefault="002808C2" w:rsidP="00E14102">
            <w:pPr>
              <w:jc w:val="both"/>
              <w:rPr>
                <w:color w:val="000000" w:themeColor="text1"/>
                <w:sz w:val="16"/>
                <w:szCs w:val="16"/>
              </w:rPr>
            </w:pPr>
            <w:r w:rsidRPr="00E14102">
              <w:rPr>
                <w:color w:val="000000" w:themeColor="text1"/>
                <w:sz w:val="16"/>
                <w:szCs w:val="16"/>
              </w:rPr>
              <w:t>45</w:t>
            </w:r>
            <w:r w:rsidRPr="00E14102">
              <w:rPr>
                <w:color w:val="000000" w:themeColor="text1"/>
                <w:sz w:val="16"/>
                <w:szCs w:val="16"/>
              </w:rPr>
              <w:noBreakHyphen/>
              <w:t>мм противотанковая пушка образца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13BC2" w14:textId="77777777" w:rsidR="002808C2" w:rsidRPr="00E14102" w:rsidRDefault="002808C2" w:rsidP="00E14102">
            <w:pPr>
              <w:jc w:val="both"/>
              <w:rPr>
                <w:color w:val="000000" w:themeColor="text1"/>
                <w:sz w:val="16"/>
                <w:szCs w:val="16"/>
              </w:rPr>
            </w:pPr>
            <w:r w:rsidRPr="00E14102">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E3960" w14:textId="77777777" w:rsidR="002808C2" w:rsidRPr="00E14102" w:rsidRDefault="002808C2" w:rsidP="00E14102">
            <w:pPr>
              <w:jc w:val="both"/>
              <w:rPr>
                <w:color w:val="000000" w:themeColor="text1"/>
                <w:sz w:val="16"/>
                <w:szCs w:val="16"/>
              </w:rPr>
            </w:pPr>
            <w:r w:rsidRPr="00E14102">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BDEAF" w14:textId="77777777" w:rsidR="002808C2" w:rsidRPr="00E14102" w:rsidRDefault="002808C2" w:rsidP="00E14102">
            <w:pPr>
              <w:jc w:val="both"/>
              <w:rPr>
                <w:color w:val="000000" w:themeColor="text1"/>
                <w:sz w:val="16"/>
                <w:szCs w:val="16"/>
              </w:rPr>
            </w:pPr>
            <w:r w:rsidRPr="00E14102">
              <w:rPr>
                <w:color w:val="000000" w:themeColor="text1"/>
                <w:sz w:val="16"/>
                <w:szCs w:val="16"/>
              </w:rPr>
              <w:t>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AAC01" w14:textId="77777777" w:rsidR="002808C2" w:rsidRPr="00E14102" w:rsidRDefault="002808C2" w:rsidP="00E14102">
            <w:pPr>
              <w:jc w:val="both"/>
              <w:rPr>
                <w:color w:val="000000" w:themeColor="text1"/>
                <w:sz w:val="16"/>
                <w:szCs w:val="16"/>
              </w:rPr>
            </w:pPr>
            <w:r w:rsidRPr="00E14102">
              <w:rPr>
                <w:color w:val="000000" w:themeColor="text1"/>
                <w:sz w:val="16"/>
                <w:szCs w:val="16"/>
              </w:rPr>
              <w:t>105%</w:t>
            </w:r>
          </w:p>
        </w:tc>
      </w:tr>
      <w:tr w:rsidR="00E3599D" w:rsidRPr="00E14102" w14:paraId="1D1D49D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8D58AB"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965F" w14:textId="77777777" w:rsidR="002808C2" w:rsidRPr="00E14102" w:rsidRDefault="002808C2" w:rsidP="00E14102">
            <w:pPr>
              <w:jc w:val="both"/>
              <w:rPr>
                <w:color w:val="000000" w:themeColor="text1"/>
                <w:sz w:val="16"/>
                <w:szCs w:val="16"/>
              </w:rPr>
            </w:pPr>
            <w:r w:rsidRPr="00E14102">
              <w:rPr>
                <w:color w:val="000000" w:themeColor="text1"/>
                <w:sz w:val="16"/>
                <w:szCs w:val="16"/>
              </w:rPr>
              <w:t>45</w:t>
            </w:r>
            <w:r w:rsidRPr="00E14102">
              <w:rPr>
                <w:color w:val="000000" w:themeColor="text1"/>
                <w:sz w:val="16"/>
                <w:szCs w:val="16"/>
              </w:rPr>
              <w:noBreakHyphen/>
              <w:t>мм танковые пушки образца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8BD43" w14:textId="77777777" w:rsidR="002808C2" w:rsidRPr="00E14102" w:rsidRDefault="002808C2" w:rsidP="00E14102">
            <w:pPr>
              <w:jc w:val="both"/>
              <w:rPr>
                <w:color w:val="000000" w:themeColor="text1"/>
                <w:sz w:val="16"/>
                <w:szCs w:val="16"/>
              </w:rPr>
            </w:pPr>
            <w:r w:rsidRPr="00E14102">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18BD5" w14:textId="77777777" w:rsidR="002808C2" w:rsidRPr="00E14102" w:rsidRDefault="002808C2" w:rsidP="00E14102">
            <w:pPr>
              <w:jc w:val="both"/>
              <w:rPr>
                <w:color w:val="000000" w:themeColor="text1"/>
                <w:sz w:val="16"/>
                <w:szCs w:val="16"/>
              </w:rPr>
            </w:pPr>
            <w:r w:rsidRPr="00E14102">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E31B6" w14:textId="77777777" w:rsidR="002808C2" w:rsidRPr="00E14102" w:rsidRDefault="002808C2" w:rsidP="00E14102">
            <w:pPr>
              <w:jc w:val="both"/>
              <w:rPr>
                <w:color w:val="000000" w:themeColor="text1"/>
                <w:sz w:val="16"/>
                <w:szCs w:val="16"/>
              </w:rPr>
            </w:pPr>
            <w:r w:rsidRPr="00E14102">
              <w:rPr>
                <w:color w:val="000000" w:themeColor="text1"/>
                <w:sz w:val="16"/>
                <w:szCs w:val="16"/>
              </w:rPr>
              <w:t>1995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5E9F5" w14:textId="77777777" w:rsidR="002808C2" w:rsidRPr="00E14102" w:rsidRDefault="002808C2" w:rsidP="00E14102">
            <w:pPr>
              <w:jc w:val="both"/>
              <w:rPr>
                <w:color w:val="000000" w:themeColor="text1"/>
                <w:sz w:val="16"/>
                <w:szCs w:val="16"/>
              </w:rPr>
            </w:pPr>
            <w:r w:rsidRPr="00E14102">
              <w:rPr>
                <w:color w:val="000000" w:themeColor="text1"/>
                <w:sz w:val="16"/>
                <w:szCs w:val="16"/>
              </w:rPr>
              <w:t>114%</w:t>
            </w:r>
          </w:p>
        </w:tc>
      </w:tr>
      <w:tr w:rsidR="00E3599D" w:rsidRPr="00E14102" w14:paraId="0E4F7A7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A6EE9D"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CBC47"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мелкокалиберная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FAEF6" w14:textId="77777777" w:rsidR="002808C2" w:rsidRPr="00E14102" w:rsidRDefault="002808C2" w:rsidP="00E14102">
            <w:pPr>
              <w:jc w:val="both"/>
              <w:rPr>
                <w:color w:val="000000" w:themeColor="text1"/>
                <w:sz w:val="16"/>
                <w:szCs w:val="16"/>
              </w:rPr>
            </w:pPr>
            <w:r w:rsidRPr="00E14102">
              <w:rPr>
                <w:color w:val="000000" w:themeColor="text1"/>
                <w:sz w:val="16"/>
                <w:szCs w:val="16"/>
              </w:rPr>
              <w:t>2250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7CB8F" w14:textId="77777777" w:rsidR="002808C2" w:rsidRPr="00E14102" w:rsidRDefault="002808C2" w:rsidP="00E14102">
            <w:pPr>
              <w:jc w:val="both"/>
              <w:rPr>
                <w:color w:val="000000" w:themeColor="text1"/>
                <w:sz w:val="16"/>
                <w:szCs w:val="16"/>
              </w:rPr>
            </w:pPr>
            <w:r w:rsidRPr="00E14102">
              <w:rPr>
                <w:color w:val="000000" w:themeColor="text1"/>
                <w:sz w:val="16"/>
                <w:szCs w:val="16"/>
              </w:rPr>
              <w:t>2250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935FE" w14:textId="77777777" w:rsidR="002808C2" w:rsidRPr="00E14102" w:rsidRDefault="002808C2" w:rsidP="00E14102">
            <w:pPr>
              <w:jc w:val="both"/>
              <w:rPr>
                <w:color w:val="000000" w:themeColor="text1"/>
                <w:sz w:val="16"/>
                <w:szCs w:val="16"/>
              </w:rPr>
            </w:pPr>
            <w:r w:rsidRPr="00E14102">
              <w:rPr>
                <w:color w:val="000000" w:themeColor="text1"/>
                <w:sz w:val="16"/>
                <w:szCs w:val="16"/>
              </w:rPr>
              <w:t>2521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933A8" w14:textId="77777777" w:rsidR="002808C2" w:rsidRPr="00E14102" w:rsidRDefault="002808C2" w:rsidP="00E14102">
            <w:pPr>
              <w:jc w:val="both"/>
              <w:rPr>
                <w:color w:val="000000" w:themeColor="text1"/>
                <w:sz w:val="16"/>
                <w:szCs w:val="16"/>
              </w:rPr>
            </w:pPr>
            <w:r w:rsidRPr="00E14102">
              <w:rPr>
                <w:color w:val="000000" w:themeColor="text1"/>
                <w:sz w:val="16"/>
                <w:szCs w:val="16"/>
              </w:rPr>
              <w:t>112%</w:t>
            </w:r>
          </w:p>
        </w:tc>
      </w:tr>
      <w:tr w:rsidR="00E3599D" w:rsidRPr="00E14102" w14:paraId="712C7247"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A19F72E" w14:textId="77777777" w:rsidR="002808C2" w:rsidRPr="00E14102" w:rsidRDefault="002808C2" w:rsidP="00E14102">
            <w:pPr>
              <w:jc w:val="both"/>
              <w:rPr>
                <w:color w:val="000000" w:themeColor="text1"/>
                <w:sz w:val="16"/>
                <w:szCs w:val="16"/>
              </w:rPr>
            </w:pPr>
            <w:r w:rsidRPr="00E14102">
              <w:rPr>
                <w:color w:val="000000" w:themeColor="text1"/>
                <w:sz w:val="16"/>
                <w:szCs w:val="16"/>
              </w:rPr>
              <w:t>2) Системы Курчевского</w:t>
            </w:r>
          </w:p>
        </w:tc>
      </w:tr>
      <w:tr w:rsidR="00E3599D" w:rsidRPr="00E14102" w14:paraId="0F0E665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291470"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1F643" w14:textId="77777777" w:rsidR="002808C2" w:rsidRPr="00E14102" w:rsidRDefault="002808C2" w:rsidP="00E14102">
            <w:pPr>
              <w:jc w:val="both"/>
              <w:rPr>
                <w:color w:val="000000" w:themeColor="text1"/>
                <w:sz w:val="16"/>
                <w:szCs w:val="16"/>
              </w:rPr>
            </w:pPr>
            <w:r w:rsidRPr="00E14102">
              <w:rPr>
                <w:color w:val="000000" w:themeColor="text1"/>
                <w:sz w:val="16"/>
                <w:szCs w:val="16"/>
              </w:rPr>
              <w:t>37</w:t>
            </w:r>
            <w:r w:rsidRPr="00E14102">
              <w:rPr>
                <w:color w:val="000000" w:themeColor="text1"/>
                <w:sz w:val="16"/>
                <w:szCs w:val="16"/>
              </w:rPr>
              <w:noBreakHyphen/>
              <w:t>мм противотанковое ружье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13F8E" w14:textId="77777777" w:rsidR="002808C2" w:rsidRPr="00E14102" w:rsidRDefault="002808C2" w:rsidP="00E14102">
            <w:pPr>
              <w:jc w:val="both"/>
              <w:rPr>
                <w:color w:val="000000" w:themeColor="text1"/>
                <w:sz w:val="16"/>
                <w:szCs w:val="16"/>
              </w:rPr>
            </w:pPr>
            <w:r w:rsidRPr="00E14102">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014EA" w14:textId="77777777" w:rsidR="002808C2" w:rsidRPr="00E14102" w:rsidRDefault="002808C2" w:rsidP="00E14102">
            <w:pPr>
              <w:jc w:val="both"/>
              <w:rPr>
                <w:color w:val="000000" w:themeColor="text1"/>
                <w:sz w:val="16"/>
                <w:szCs w:val="16"/>
              </w:rPr>
            </w:pPr>
            <w:r w:rsidRPr="00E14102">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EFED1" w14:textId="77777777" w:rsidR="002808C2" w:rsidRPr="00E14102" w:rsidRDefault="002808C2" w:rsidP="00E14102">
            <w:pPr>
              <w:jc w:val="both"/>
              <w:rPr>
                <w:color w:val="000000" w:themeColor="text1"/>
                <w:sz w:val="16"/>
                <w:szCs w:val="16"/>
              </w:rPr>
            </w:pPr>
            <w:r w:rsidRPr="00E14102">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27F67" w14:textId="77777777" w:rsidR="002808C2" w:rsidRPr="00E14102" w:rsidRDefault="002808C2" w:rsidP="00E14102">
            <w:pPr>
              <w:jc w:val="both"/>
              <w:rPr>
                <w:color w:val="000000" w:themeColor="text1"/>
                <w:sz w:val="16"/>
                <w:szCs w:val="16"/>
              </w:rPr>
            </w:pPr>
            <w:r w:rsidRPr="00E14102">
              <w:rPr>
                <w:color w:val="000000" w:themeColor="text1"/>
                <w:sz w:val="16"/>
                <w:szCs w:val="16"/>
              </w:rPr>
              <w:t>14%</w:t>
            </w:r>
          </w:p>
        </w:tc>
      </w:tr>
      <w:tr w:rsidR="00E3599D" w:rsidRPr="00E14102" w14:paraId="12B10FE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78DBDE"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79955" w14:textId="77777777" w:rsidR="002808C2" w:rsidRPr="00E14102" w:rsidRDefault="002808C2" w:rsidP="00E14102">
            <w:pPr>
              <w:jc w:val="both"/>
              <w:rPr>
                <w:color w:val="000000" w:themeColor="text1"/>
                <w:sz w:val="16"/>
                <w:szCs w:val="16"/>
              </w:rPr>
            </w:pPr>
            <w:r w:rsidRPr="00E14102">
              <w:rPr>
                <w:color w:val="000000" w:themeColor="text1"/>
                <w:sz w:val="16"/>
                <w:szCs w:val="16"/>
              </w:rPr>
              <w:t>76</w:t>
            </w:r>
            <w:r w:rsidRPr="00E14102">
              <w:rPr>
                <w:color w:val="000000" w:themeColor="text1"/>
                <w:sz w:val="16"/>
                <w:szCs w:val="16"/>
              </w:rPr>
              <w:noBreakHyphen/>
              <w:t>мм пушка АПК-4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228DF"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6C86F"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4007F" w14:textId="77777777" w:rsidR="002808C2" w:rsidRPr="00E14102" w:rsidRDefault="002808C2"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3EE7D" w14:textId="77777777" w:rsidR="002808C2" w:rsidRPr="00E14102" w:rsidRDefault="002808C2" w:rsidP="00E14102">
            <w:pPr>
              <w:jc w:val="both"/>
              <w:rPr>
                <w:color w:val="000000" w:themeColor="text1"/>
                <w:sz w:val="16"/>
                <w:szCs w:val="16"/>
              </w:rPr>
            </w:pPr>
            <w:r w:rsidRPr="00E14102">
              <w:rPr>
                <w:color w:val="000000" w:themeColor="text1"/>
                <w:sz w:val="16"/>
                <w:szCs w:val="16"/>
              </w:rPr>
              <w:t>0%</w:t>
            </w:r>
          </w:p>
        </w:tc>
      </w:tr>
      <w:tr w:rsidR="00E3599D" w:rsidRPr="00E14102" w14:paraId="12BABAE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BB9FE8"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24759" w14:textId="77777777" w:rsidR="002808C2" w:rsidRPr="00E14102" w:rsidRDefault="002808C2" w:rsidP="00E14102">
            <w:pPr>
              <w:jc w:val="both"/>
              <w:rPr>
                <w:color w:val="000000" w:themeColor="text1"/>
                <w:sz w:val="16"/>
                <w:szCs w:val="16"/>
              </w:rPr>
            </w:pPr>
            <w:r w:rsidRPr="00E14102">
              <w:rPr>
                <w:color w:val="000000" w:themeColor="text1"/>
                <w:sz w:val="16"/>
                <w:szCs w:val="16"/>
              </w:rPr>
              <w:t>76</w:t>
            </w:r>
            <w:r w:rsidRPr="00E14102">
              <w:rPr>
                <w:color w:val="000000" w:themeColor="text1"/>
                <w:sz w:val="16"/>
                <w:szCs w:val="16"/>
              </w:rPr>
              <w:noBreakHyphen/>
              <w:t>мм пушка ВПК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7E06D" w14:textId="77777777" w:rsidR="002808C2" w:rsidRPr="00E14102" w:rsidRDefault="002808C2" w:rsidP="00E14102">
            <w:pPr>
              <w:jc w:val="both"/>
              <w:rPr>
                <w:color w:val="000000" w:themeColor="text1"/>
                <w:sz w:val="16"/>
                <w:szCs w:val="16"/>
              </w:rPr>
            </w:pPr>
            <w:r w:rsidRPr="00E14102">
              <w:rPr>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966D3" w14:textId="77777777" w:rsidR="002808C2" w:rsidRPr="00E14102" w:rsidRDefault="002808C2" w:rsidP="00E14102">
            <w:pPr>
              <w:jc w:val="both"/>
              <w:rPr>
                <w:color w:val="000000" w:themeColor="text1"/>
                <w:sz w:val="16"/>
                <w:szCs w:val="16"/>
              </w:rPr>
            </w:pPr>
            <w:r w:rsidRPr="00E14102">
              <w:rPr>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A9375" w14:textId="77777777" w:rsidR="002808C2" w:rsidRPr="00E14102" w:rsidRDefault="002808C2" w:rsidP="00E14102">
            <w:pPr>
              <w:jc w:val="both"/>
              <w:rPr>
                <w:color w:val="000000" w:themeColor="text1"/>
                <w:sz w:val="16"/>
                <w:szCs w:val="16"/>
              </w:rPr>
            </w:pPr>
            <w:r w:rsidRPr="00E14102">
              <w:rPr>
                <w:color w:val="000000" w:themeColor="text1"/>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7AB11" w14:textId="77777777" w:rsidR="002808C2" w:rsidRPr="00E14102" w:rsidRDefault="002808C2" w:rsidP="00E14102">
            <w:pPr>
              <w:jc w:val="both"/>
              <w:rPr>
                <w:color w:val="000000" w:themeColor="text1"/>
                <w:sz w:val="16"/>
                <w:szCs w:val="16"/>
              </w:rPr>
            </w:pPr>
            <w:r w:rsidRPr="00E14102">
              <w:rPr>
                <w:color w:val="000000" w:themeColor="text1"/>
                <w:sz w:val="16"/>
                <w:szCs w:val="16"/>
              </w:rPr>
              <w:t>46%</w:t>
            </w:r>
          </w:p>
        </w:tc>
      </w:tr>
      <w:tr w:rsidR="00E3599D" w:rsidRPr="00E14102" w14:paraId="5F797EE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A07F4B" w14:textId="77777777" w:rsidR="002808C2" w:rsidRPr="00E14102" w:rsidRDefault="002808C2"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01824" w14:textId="77777777" w:rsidR="002808C2" w:rsidRPr="00E14102" w:rsidRDefault="002808C2" w:rsidP="00E14102">
            <w:pPr>
              <w:jc w:val="both"/>
              <w:rPr>
                <w:color w:val="000000" w:themeColor="text1"/>
                <w:sz w:val="16"/>
                <w:szCs w:val="16"/>
              </w:rPr>
            </w:pPr>
            <w:r w:rsidRPr="00E14102">
              <w:rPr>
                <w:color w:val="000000" w:themeColor="text1"/>
                <w:sz w:val="16"/>
                <w:szCs w:val="16"/>
              </w:rPr>
              <w:t>76</w:t>
            </w:r>
            <w:r w:rsidRPr="00E14102">
              <w:rPr>
                <w:color w:val="000000" w:themeColor="text1"/>
                <w:sz w:val="16"/>
                <w:szCs w:val="16"/>
              </w:rPr>
              <w:noBreakHyphen/>
              <w:t>мм пушка КПК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B0A3F" w14:textId="77777777" w:rsidR="002808C2" w:rsidRPr="00E14102" w:rsidRDefault="002808C2" w:rsidP="00E14102">
            <w:pPr>
              <w:jc w:val="both"/>
              <w:rPr>
                <w:color w:val="000000" w:themeColor="text1"/>
                <w:sz w:val="16"/>
                <w:szCs w:val="16"/>
              </w:rPr>
            </w:pPr>
            <w:r w:rsidRPr="00E14102">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505AE" w14:textId="77777777" w:rsidR="002808C2" w:rsidRPr="00E14102" w:rsidRDefault="002808C2" w:rsidP="00E14102">
            <w:pPr>
              <w:jc w:val="both"/>
              <w:rPr>
                <w:color w:val="000000" w:themeColor="text1"/>
                <w:sz w:val="16"/>
                <w:szCs w:val="16"/>
              </w:rPr>
            </w:pPr>
            <w:r w:rsidRPr="00E14102">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7A22C" w14:textId="77777777" w:rsidR="002808C2" w:rsidRPr="00E14102" w:rsidRDefault="002808C2" w:rsidP="00E14102">
            <w:pPr>
              <w:jc w:val="both"/>
              <w:rPr>
                <w:color w:val="000000" w:themeColor="text1"/>
                <w:sz w:val="16"/>
                <w:szCs w:val="16"/>
              </w:rPr>
            </w:pPr>
            <w:r w:rsidRPr="00E14102">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57A82"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5227120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064E2A" w14:textId="77777777" w:rsidR="002808C2" w:rsidRPr="00E14102" w:rsidRDefault="002808C2"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190D4" w14:textId="77777777" w:rsidR="002808C2" w:rsidRPr="00E14102" w:rsidRDefault="002808C2" w:rsidP="00E14102">
            <w:pPr>
              <w:jc w:val="both"/>
              <w:rPr>
                <w:color w:val="000000" w:themeColor="text1"/>
                <w:sz w:val="16"/>
                <w:szCs w:val="16"/>
              </w:rPr>
            </w:pPr>
            <w:r w:rsidRPr="00E14102">
              <w:rPr>
                <w:color w:val="000000" w:themeColor="text1"/>
                <w:sz w:val="16"/>
                <w:szCs w:val="16"/>
              </w:rPr>
              <w:t>76</w:t>
            </w:r>
            <w:r w:rsidRPr="00E14102">
              <w:rPr>
                <w:color w:val="000000" w:themeColor="text1"/>
                <w:sz w:val="16"/>
                <w:szCs w:val="16"/>
              </w:rPr>
              <w:noBreakHyphen/>
              <w:t>мм пушка СПК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DDA40"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A9CCC"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E05E4" w14:textId="77777777" w:rsidR="002808C2" w:rsidRPr="00E14102" w:rsidRDefault="002808C2" w:rsidP="00E14102">
            <w:pPr>
              <w:jc w:val="both"/>
              <w:rPr>
                <w:color w:val="000000" w:themeColor="text1"/>
                <w:sz w:val="16"/>
                <w:szCs w:val="16"/>
              </w:rPr>
            </w:pPr>
            <w:r w:rsidRPr="00E1410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4D61D" w14:textId="77777777" w:rsidR="002808C2" w:rsidRPr="00E14102" w:rsidRDefault="002808C2" w:rsidP="00E14102">
            <w:pPr>
              <w:jc w:val="both"/>
              <w:rPr>
                <w:color w:val="000000" w:themeColor="text1"/>
                <w:sz w:val="16"/>
                <w:szCs w:val="16"/>
              </w:rPr>
            </w:pPr>
            <w:r w:rsidRPr="00E14102">
              <w:rPr>
                <w:color w:val="000000" w:themeColor="text1"/>
                <w:sz w:val="16"/>
                <w:szCs w:val="16"/>
              </w:rPr>
              <w:t>7%</w:t>
            </w:r>
          </w:p>
        </w:tc>
      </w:tr>
      <w:tr w:rsidR="00E3599D" w:rsidRPr="00E14102" w14:paraId="51CDCFC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EB0A7B"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DE128"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системы Курчевского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39884" w14:textId="77777777" w:rsidR="002808C2" w:rsidRPr="00E14102" w:rsidRDefault="002808C2" w:rsidP="00E14102">
            <w:pPr>
              <w:jc w:val="both"/>
              <w:rPr>
                <w:color w:val="000000" w:themeColor="text1"/>
                <w:sz w:val="16"/>
                <w:szCs w:val="16"/>
              </w:rPr>
            </w:pPr>
            <w:r w:rsidRPr="00E14102">
              <w:rPr>
                <w:color w:val="000000" w:themeColor="text1"/>
                <w:sz w:val="16"/>
                <w:szCs w:val="16"/>
              </w:rPr>
              <w:t>1422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EE9C1" w14:textId="77777777" w:rsidR="002808C2" w:rsidRPr="00E14102" w:rsidRDefault="002808C2" w:rsidP="00E14102">
            <w:pPr>
              <w:jc w:val="both"/>
              <w:rPr>
                <w:color w:val="000000" w:themeColor="text1"/>
                <w:sz w:val="16"/>
                <w:szCs w:val="16"/>
              </w:rPr>
            </w:pPr>
            <w:r w:rsidRPr="00E14102">
              <w:rPr>
                <w:color w:val="000000" w:themeColor="text1"/>
                <w:sz w:val="16"/>
                <w:szCs w:val="16"/>
              </w:rPr>
              <w:t>1422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A56DF" w14:textId="77777777" w:rsidR="002808C2" w:rsidRPr="00E14102" w:rsidRDefault="002808C2" w:rsidP="00E14102">
            <w:pPr>
              <w:jc w:val="both"/>
              <w:rPr>
                <w:color w:val="000000" w:themeColor="text1"/>
                <w:sz w:val="16"/>
                <w:szCs w:val="16"/>
              </w:rPr>
            </w:pPr>
            <w:r w:rsidRPr="00E14102">
              <w:rPr>
                <w:color w:val="000000" w:themeColor="text1"/>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386FA" w14:textId="77777777" w:rsidR="002808C2" w:rsidRPr="00E14102" w:rsidRDefault="002808C2" w:rsidP="00E14102">
            <w:pPr>
              <w:jc w:val="both"/>
              <w:rPr>
                <w:color w:val="000000" w:themeColor="text1"/>
                <w:sz w:val="16"/>
                <w:szCs w:val="16"/>
              </w:rPr>
            </w:pPr>
            <w:r w:rsidRPr="00E14102">
              <w:rPr>
                <w:color w:val="000000" w:themeColor="text1"/>
                <w:sz w:val="16"/>
                <w:szCs w:val="16"/>
              </w:rPr>
              <w:t>34,6%</w:t>
            </w:r>
          </w:p>
        </w:tc>
      </w:tr>
      <w:tr w:rsidR="00E3599D" w:rsidRPr="00E14102" w14:paraId="4A7C5503"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FA7FC06" w14:textId="77777777" w:rsidR="002808C2" w:rsidRPr="00E14102" w:rsidRDefault="002808C2" w:rsidP="00E14102">
            <w:pPr>
              <w:jc w:val="both"/>
              <w:rPr>
                <w:color w:val="000000" w:themeColor="text1"/>
                <w:sz w:val="16"/>
                <w:szCs w:val="16"/>
              </w:rPr>
            </w:pPr>
            <w:r w:rsidRPr="00E14102">
              <w:rPr>
                <w:color w:val="000000" w:themeColor="text1"/>
                <w:sz w:val="16"/>
                <w:szCs w:val="16"/>
              </w:rPr>
              <w:t>3) Зенитная артиллерия</w:t>
            </w:r>
          </w:p>
        </w:tc>
      </w:tr>
      <w:tr w:rsidR="00E3599D" w:rsidRPr="00E14102" w14:paraId="507103A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D61DF9"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890AF" w14:textId="77777777" w:rsidR="002808C2" w:rsidRPr="00E14102" w:rsidRDefault="002808C2" w:rsidP="00E14102">
            <w:pPr>
              <w:jc w:val="both"/>
              <w:rPr>
                <w:color w:val="000000" w:themeColor="text1"/>
                <w:sz w:val="16"/>
                <w:szCs w:val="16"/>
              </w:rPr>
            </w:pPr>
            <w:r w:rsidRPr="00E14102">
              <w:rPr>
                <w:color w:val="000000" w:themeColor="text1"/>
                <w:sz w:val="16"/>
                <w:szCs w:val="16"/>
              </w:rPr>
              <w:t>76</w:t>
            </w:r>
            <w:r w:rsidRPr="00E14102">
              <w:rPr>
                <w:color w:val="000000" w:themeColor="text1"/>
                <w:sz w:val="16"/>
                <w:szCs w:val="16"/>
              </w:rPr>
              <w:noBreakHyphen/>
              <w:t>мм зенитная пушка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33807" w14:textId="77777777" w:rsidR="002808C2" w:rsidRPr="00E14102" w:rsidRDefault="002808C2" w:rsidP="00E14102">
            <w:pPr>
              <w:jc w:val="both"/>
              <w:rPr>
                <w:color w:val="000000" w:themeColor="text1"/>
                <w:sz w:val="16"/>
                <w:szCs w:val="16"/>
              </w:rPr>
            </w:pPr>
            <w:r w:rsidRPr="00E14102">
              <w:rPr>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95610" w14:textId="77777777" w:rsidR="002808C2" w:rsidRPr="00E14102" w:rsidRDefault="002808C2" w:rsidP="00E14102">
            <w:pPr>
              <w:jc w:val="both"/>
              <w:rPr>
                <w:color w:val="000000" w:themeColor="text1"/>
                <w:sz w:val="16"/>
                <w:szCs w:val="16"/>
              </w:rPr>
            </w:pPr>
            <w:r w:rsidRPr="00E14102">
              <w:rPr>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75E67" w14:textId="77777777" w:rsidR="002808C2" w:rsidRPr="00E14102" w:rsidRDefault="002808C2" w:rsidP="00E14102">
            <w:pPr>
              <w:jc w:val="both"/>
              <w:rPr>
                <w:color w:val="000000" w:themeColor="text1"/>
                <w:sz w:val="16"/>
                <w:szCs w:val="16"/>
              </w:rPr>
            </w:pPr>
            <w:r w:rsidRPr="00E14102">
              <w:rPr>
                <w:color w:val="000000" w:themeColor="text1"/>
                <w:sz w:val="16"/>
                <w:szCs w:val="16"/>
              </w:rPr>
              <w:t>388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D9745" w14:textId="77777777" w:rsidR="002808C2" w:rsidRPr="00E14102" w:rsidRDefault="002808C2" w:rsidP="00E14102">
            <w:pPr>
              <w:jc w:val="both"/>
              <w:rPr>
                <w:color w:val="000000" w:themeColor="text1"/>
                <w:sz w:val="16"/>
                <w:szCs w:val="16"/>
              </w:rPr>
            </w:pPr>
            <w:r w:rsidRPr="00E14102">
              <w:rPr>
                <w:color w:val="000000" w:themeColor="text1"/>
                <w:sz w:val="16"/>
                <w:szCs w:val="16"/>
              </w:rPr>
              <w:t>109%</w:t>
            </w:r>
          </w:p>
        </w:tc>
      </w:tr>
      <w:tr w:rsidR="00E3599D" w:rsidRPr="00E14102" w14:paraId="7C37AE0E"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AA6632E" w14:textId="77777777" w:rsidR="002808C2" w:rsidRPr="00E14102" w:rsidRDefault="002808C2" w:rsidP="00E14102">
            <w:pPr>
              <w:jc w:val="both"/>
              <w:rPr>
                <w:color w:val="000000" w:themeColor="text1"/>
                <w:sz w:val="16"/>
                <w:szCs w:val="16"/>
              </w:rPr>
            </w:pPr>
            <w:r w:rsidRPr="00E14102">
              <w:rPr>
                <w:color w:val="000000" w:themeColor="text1"/>
                <w:sz w:val="16"/>
                <w:szCs w:val="16"/>
              </w:rPr>
              <w:t>4) Полковая и дивизионная артиллерия</w:t>
            </w:r>
          </w:p>
        </w:tc>
      </w:tr>
      <w:tr w:rsidR="00E3599D" w:rsidRPr="00E14102" w14:paraId="5C5665D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1D40D3" w14:textId="77777777" w:rsidR="002808C2" w:rsidRPr="00E14102" w:rsidRDefault="002808C2" w:rsidP="00E14102">
            <w:pPr>
              <w:jc w:val="both"/>
              <w:rPr>
                <w:color w:val="000000" w:themeColor="text1"/>
                <w:sz w:val="16"/>
                <w:szCs w:val="16"/>
              </w:rPr>
            </w:pPr>
            <w:r w:rsidRPr="00E14102">
              <w:rPr>
                <w:color w:val="000000" w:themeColor="text1"/>
                <w:sz w:val="16"/>
                <w:szCs w:val="16"/>
              </w:rPr>
              <w:t>2.¹*</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CD4AB" w14:textId="77777777" w:rsidR="002808C2" w:rsidRPr="00E14102" w:rsidRDefault="002808C2" w:rsidP="00E14102">
            <w:pPr>
              <w:jc w:val="both"/>
              <w:rPr>
                <w:color w:val="000000" w:themeColor="text1"/>
                <w:sz w:val="16"/>
                <w:szCs w:val="16"/>
              </w:rPr>
            </w:pPr>
            <w:r w:rsidRPr="00E14102">
              <w:rPr>
                <w:color w:val="000000" w:themeColor="text1"/>
                <w:sz w:val="16"/>
                <w:szCs w:val="16"/>
              </w:rPr>
              <w:t>76</w:t>
            </w:r>
            <w:r w:rsidRPr="00E14102">
              <w:rPr>
                <w:color w:val="000000" w:themeColor="text1"/>
                <w:sz w:val="16"/>
                <w:szCs w:val="16"/>
              </w:rPr>
              <w:noBreakHyphen/>
              <w:t>мм полковая пушка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75AE5" w14:textId="77777777" w:rsidR="002808C2" w:rsidRPr="00E14102" w:rsidRDefault="002808C2" w:rsidP="00E14102">
            <w:pPr>
              <w:jc w:val="both"/>
              <w:rPr>
                <w:color w:val="000000" w:themeColor="text1"/>
                <w:sz w:val="16"/>
                <w:szCs w:val="16"/>
              </w:rPr>
            </w:pPr>
            <w:r w:rsidRPr="00E1410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6D490" w14:textId="77777777" w:rsidR="002808C2" w:rsidRPr="00E14102" w:rsidRDefault="002808C2" w:rsidP="00E14102">
            <w:pPr>
              <w:jc w:val="both"/>
              <w:rPr>
                <w:color w:val="000000" w:themeColor="text1"/>
                <w:sz w:val="16"/>
                <w:szCs w:val="16"/>
              </w:rPr>
            </w:pPr>
            <w:r w:rsidRPr="00E1410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57C32" w14:textId="77777777" w:rsidR="002808C2" w:rsidRPr="00E14102" w:rsidRDefault="002808C2" w:rsidP="00E14102">
            <w:pPr>
              <w:jc w:val="both"/>
              <w:rPr>
                <w:color w:val="000000" w:themeColor="text1"/>
                <w:sz w:val="16"/>
                <w:szCs w:val="16"/>
              </w:rPr>
            </w:pPr>
            <w:r w:rsidRPr="00E14102">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A4283" w14:textId="77777777" w:rsidR="002808C2" w:rsidRPr="00E14102" w:rsidRDefault="002808C2" w:rsidP="00E14102">
            <w:pPr>
              <w:jc w:val="both"/>
              <w:rPr>
                <w:color w:val="000000" w:themeColor="text1"/>
                <w:sz w:val="16"/>
                <w:szCs w:val="16"/>
              </w:rPr>
            </w:pPr>
            <w:r w:rsidRPr="00E14102">
              <w:rPr>
                <w:color w:val="000000" w:themeColor="text1"/>
                <w:sz w:val="16"/>
                <w:szCs w:val="16"/>
              </w:rPr>
              <w:t>117%</w:t>
            </w:r>
          </w:p>
        </w:tc>
      </w:tr>
      <w:tr w:rsidR="00E3599D" w:rsidRPr="00E14102" w14:paraId="7A2918C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8DE988"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4ECFB" w14:textId="77777777" w:rsidR="002808C2" w:rsidRPr="00E14102" w:rsidRDefault="002808C2" w:rsidP="00E14102">
            <w:pPr>
              <w:jc w:val="both"/>
              <w:rPr>
                <w:color w:val="000000" w:themeColor="text1"/>
                <w:sz w:val="16"/>
                <w:szCs w:val="16"/>
              </w:rPr>
            </w:pPr>
            <w:r w:rsidRPr="00E14102">
              <w:rPr>
                <w:color w:val="000000" w:themeColor="text1"/>
                <w:sz w:val="16"/>
                <w:szCs w:val="16"/>
              </w:rPr>
              <w:t>76</w:t>
            </w:r>
            <w:r w:rsidRPr="00E14102">
              <w:rPr>
                <w:color w:val="000000" w:themeColor="text1"/>
                <w:sz w:val="16"/>
                <w:szCs w:val="16"/>
              </w:rPr>
              <w:noBreakHyphen/>
              <w:t>мм танковая пушка к Т-28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44CA5" w14:textId="77777777" w:rsidR="002808C2" w:rsidRPr="00E14102" w:rsidRDefault="002808C2" w:rsidP="00E14102">
            <w:pPr>
              <w:jc w:val="both"/>
              <w:rPr>
                <w:color w:val="000000" w:themeColor="text1"/>
                <w:sz w:val="16"/>
                <w:szCs w:val="16"/>
              </w:rPr>
            </w:pPr>
            <w:r w:rsidRPr="00E14102">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D52A0" w14:textId="77777777" w:rsidR="002808C2" w:rsidRPr="00E14102" w:rsidRDefault="002808C2" w:rsidP="00E14102">
            <w:pPr>
              <w:jc w:val="both"/>
              <w:rPr>
                <w:color w:val="000000" w:themeColor="text1"/>
                <w:sz w:val="16"/>
                <w:szCs w:val="16"/>
              </w:rPr>
            </w:pPr>
            <w:r w:rsidRPr="00E14102">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78131" w14:textId="77777777" w:rsidR="002808C2" w:rsidRPr="00E14102" w:rsidRDefault="002808C2" w:rsidP="00E14102">
            <w:pPr>
              <w:jc w:val="both"/>
              <w:rPr>
                <w:color w:val="000000" w:themeColor="text1"/>
                <w:sz w:val="16"/>
                <w:szCs w:val="16"/>
              </w:rPr>
            </w:pPr>
            <w:r w:rsidRPr="00E14102">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41011"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631B67B9"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A8FB91" w14:textId="77777777" w:rsidR="002808C2" w:rsidRPr="00E14102" w:rsidRDefault="002808C2"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798A9" w14:textId="77777777" w:rsidR="002808C2" w:rsidRPr="00E14102" w:rsidRDefault="002808C2" w:rsidP="00E14102">
            <w:pPr>
              <w:jc w:val="both"/>
              <w:rPr>
                <w:color w:val="000000" w:themeColor="text1"/>
                <w:sz w:val="16"/>
                <w:szCs w:val="16"/>
              </w:rPr>
            </w:pPr>
            <w:r w:rsidRPr="00E14102">
              <w:rPr>
                <w:color w:val="000000" w:themeColor="text1"/>
                <w:sz w:val="16"/>
                <w:szCs w:val="16"/>
              </w:rPr>
              <w:t>76</w:t>
            </w:r>
            <w:r w:rsidRPr="00E14102">
              <w:rPr>
                <w:color w:val="000000" w:themeColor="text1"/>
                <w:sz w:val="16"/>
                <w:szCs w:val="16"/>
              </w:rPr>
              <w:noBreakHyphen/>
              <w:t>мм танковая пушка Сячентова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83A9A" w14:textId="77777777" w:rsidR="002808C2" w:rsidRPr="00E14102" w:rsidRDefault="002808C2" w:rsidP="00E14102">
            <w:pPr>
              <w:jc w:val="both"/>
              <w:rPr>
                <w:color w:val="000000" w:themeColor="text1"/>
                <w:sz w:val="16"/>
                <w:szCs w:val="16"/>
              </w:rPr>
            </w:pPr>
            <w:r w:rsidRPr="00E14102">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CEA0D" w14:textId="77777777" w:rsidR="002808C2" w:rsidRPr="00E14102" w:rsidRDefault="002808C2" w:rsidP="00E14102">
            <w:pPr>
              <w:jc w:val="both"/>
              <w:rPr>
                <w:color w:val="000000" w:themeColor="text1"/>
                <w:sz w:val="16"/>
                <w:szCs w:val="16"/>
              </w:rPr>
            </w:pPr>
            <w:r w:rsidRPr="00E14102">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BF933" w14:textId="77777777" w:rsidR="002808C2" w:rsidRPr="00E14102" w:rsidRDefault="002808C2"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3D266" w14:textId="77777777" w:rsidR="002808C2" w:rsidRPr="00E14102" w:rsidRDefault="002808C2" w:rsidP="00E14102">
            <w:pPr>
              <w:jc w:val="both"/>
              <w:rPr>
                <w:color w:val="000000" w:themeColor="text1"/>
                <w:sz w:val="16"/>
                <w:szCs w:val="16"/>
              </w:rPr>
            </w:pPr>
            <w:r w:rsidRPr="00E14102">
              <w:rPr>
                <w:color w:val="000000" w:themeColor="text1"/>
                <w:sz w:val="16"/>
                <w:szCs w:val="16"/>
              </w:rPr>
              <w:t>0%</w:t>
            </w:r>
          </w:p>
        </w:tc>
      </w:tr>
      <w:tr w:rsidR="00E3599D" w:rsidRPr="00E14102" w14:paraId="56112B7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6707CA" w14:textId="77777777" w:rsidR="002808C2" w:rsidRPr="00E14102" w:rsidRDefault="002808C2"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29338" w14:textId="77777777" w:rsidR="002808C2" w:rsidRPr="00E14102" w:rsidRDefault="002808C2" w:rsidP="00E14102">
            <w:pPr>
              <w:jc w:val="both"/>
              <w:rPr>
                <w:color w:val="000000" w:themeColor="text1"/>
                <w:sz w:val="16"/>
                <w:szCs w:val="16"/>
              </w:rPr>
            </w:pPr>
            <w:r w:rsidRPr="00E14102">
              <w:rPr>
                <w:color w:val="000000" w:themeColor="text1"/>
                <w:sz w:val="16"/>
                <w:szCs w:val="16"/>
              </w:rPr>
              <w:t>76</w:t>
            </w:r>
            <w:r w:rsidRPr="00E14102">
              <w:rPr>
                <w:color w:val="000000" w:themeColor="text1"/>
                <w:sz w:val="16"/>
                <w:szCs w:val="16"/>
              </w:rPr>
              <w:noBreakHyphen/>
              <w:t>мм горная пушка 1909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6A615"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E4C32"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DE876" w14:textId="77777777" w:rsidR="002808C2" w:rsidRPr="00E14102" w:rsidRDefault="002808C2"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BEFF5" w14:textId="77777777" w:rsidR="002808C2" w:rsidRPr="00E14102" w:rsidRDefault="002808C2" w:rsidP="00E14102">
            <w:pPr>
              <w:jc w:val="both"/>
              <w:rPr>
                <w:color w:val="000000" w:themeColor="text1"/>
                <w:sz w:val="16"/>
                <w:szCs w:val="16"/>
              </w:rPr>
            </w:pPr>
            <w:r w:rsidRPr="00E14102">
              <w:rPr>
                <w:color w:val="000000" w:themeColor="text1"/>
                <w:sz w:val="16"/>
                <w:szCs w:val="16"/>
              </w:rPr>
              <w:t>0%</w:t>
            </w:r>
          </w:p>
        </w:tc>
      </w:tr>
      <w:tr w:rsidR="00E3599D" w:rsidRPr="00E14102" w14:paraId="53C1E75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BE8864" w14:textId="77777777" w:rsidR="002808C2" w:rsidRPr="00E14102" w:rsidRDefault="002808C2" w:rsidP="00E14102">
            <w:pPr>
              <w:jc w:val="both"/>
              <w:rPr>
                <w:color w:val="000000" w:themeColor="text1"/>
                <w:sz w:val="16"/>
                <w:szCs w:val="16"/>
              </w:rPr>
            </w:pPr>
            <w:r w:rsidRPr="00E1410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35BB1" w14:textId="77777777" w:rsidR="002808C2" w:rsidRPr="00E14102" w:rsidRDefault="002808C2" w:rsidP="00E14102">
            <w:pPr>
              <w:jc w:val="both"/>
              <w:rPr>
                <w:color w:val="000000" w:themeColor="text1"/>
                <w:sz w:val="16"/>
                <w:szCs w:val="16"/>
              </w:rPr>
            </w:pPr>
            <w:r w:rsidRPr="00E14102">
              <w:rPr>
                <w:color w:val="000000" w:themeColor="text1"/>
                <w:sz w:val="16"/>
                <w:szCs w:val="16"/>
              </w:rPr>
              <w:t>76</w:t>
            </w:r>
            <w:r w:rsidRPr="00E14102">
              <w:rPr>
                <w:color w:val="000000" w:themeColor="text1"/>
                <w:sz w:val="16"/>
                <w:szCs w:val="16"/>
              </w:rPr>
              <w:noBreakHyphen/>
              <w:t>мм пушка образца 1927/1932 г. на Ф-3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1566A" w14:textId="77777777" w:rsidR="002808C2" w:rsidRPr="00E14102" w:rsidRDefault="002808C2" w:rsidP="00E14102">
            <w:pPr>
              <w:jc w:val="both"/>
              <w:rPr>
                <w:color w:val="000000" w:themeColor="text1"/>
                <w:sz w:val="16"/>
                <w:szCs w:val="16"/>
              </w:rPr>
            </w:pPr>
            <w:r w:rsidRPr="00E14102">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CF46E" w14:textId="77777777" w:rsidR="002808C2" w:rsidRPr="00E14102" w:rsidRDefault="002808C2" w:rsidP="00E14102">
            <w:pPr>
              <w:jc w:val="both"/>
              <w:rPr>
                <w:color w:val="000000" w:themeColor="text1"/>
                <w:sz w:val="16"/>
                <w:szCs w:val="16"/>
              </w:rPr>
            </w:pPr>
            <w:r w:rsidRPr="00E14102">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9E438" w14:textId="77777777" w:rsidR="002808C2" w:rsidRPr="00E14102" w:rsidRDefault="002808C2" w:rsidP="00E14102">
            <w:pPr>
              <w:jc w:val="both"/>
              <w:rPr>
                <w:color w:val="000000" w:themeColor="text1"/>
                <w:sz w:val="16"/>
                <w:szCs w:val="16"/>
              </w:rPr>
            </w:pPr>
            <w:r w:rsidRPr="00E14102">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52464"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6CF7453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D40A35" w14:textId="77777777" w:rsidR="002808C2" w:rsidRPr="00E14102" w:rsidRDefault="002808C2" w:rsidP="00E14102">
            <w:pPr>
              <w:jc w:val="both"/>
              <w:rPr>
                <w:color w:val="000000" w:themeColor="text1"/>
                <w:sz w:val="16"/>
                <w:szCs w:val="16"/>
              </w:rPr>
            </w:pPr>
            <w:r w:rsidRPr="00E1410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86FCA" w14:textId="77777777" w:rsidR="002808C2" w:rsidRPr="00E14102" w:rsidRDefault="002808C2" w:rsidP="00E14102">
            <w:pPr>
              <w:jc w:val="both"/>
              <w:rPr>
                <w:color w:val="000000" w:themeColor="text1"/>
                <w:sz w:val="16"/>
                <w:szCs w:val="16"/>
              </w:rPr>
            </w:pPr>
            <w:r w:rsidRPr="00E14102">
              <w:rPr>
                <w:color w:val="000000" w:themeColor="text1"/>
                <w:sz w:val="16"/>
                <w:szCs w:val="16"/>
              </w:rPr>
              <w:t>76</w:t>
            </w:r>
            <w:r w:rsidRPr="00E14102">
              <w:rPr>
                <w:color w:val="000000" w:themeColor="text1"/>
                <w:sz w:val="16"/>
                <w:szCs w:val="16"/>
              </w:rPr>
              <w:noBreakHyphen/>
              <w:t>мм пушка образца 1933 г. на гаубичном лафете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57EBD" w14:textId="77777777" w:rsidR="002808C2" w:rsidRPr="00E14102" w:rsidRDefault="002808C2" w:rsidP="00E14102">
            <w:pPr>
              <w:jc w:val="both"/>
              <w:rPr>
                <w:color w:val="000000" w:themeColor="text1"/>
                <w:sz w:val="16"/>
                <w:szCs w:val="16"/>
              </w:rPr>
            </w:pPr>
            <w:r w:rsidRPr="00E14102">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BD0EE" w14:textId="77777777" w:rsidR="002808C2" w:rsidRPr="00E14102" w:rsidRDefault="002808C2" w:rsidP="00E14102">
            <w:pPr>
              <w:jc w:val="both"/>
              <w:rPr>
                <w:color w:val="000000" w:themeColor="text1"/>
                <w:sz w:val="16"/>
                <w:szCs w:val="16"/>
              </w:rPr>
            </w:pPr>
            <w:r w:rsidRPr="00E14102">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B241D" w14:textId="77777777" w:rsidR="002808C2" w:rsidRPr="00E14102" w:rsidRDefault="002808C2" w:rsidP="00E14102">
            <w:pPr>
              <w:jc w:val="both"/>
              <w:rPr>
                <w:color w:val="000000" w:themeColor="text1"/>
                <w:sz w:val="16"/>
                <w:szCs w:val="16"/>
              </w:rPr>
            </w:pPr>
            <w:r w:rsidRPr="00E14102">
              <w:rPr>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5324B" w14:textId="77777777" w:rsidR="002808C2" w:rsidRPr="00E14102" w:rsidRDefault="002808C2" w:rsidP="00E14102">
            <w:pPr>
              <w:jc w:val="both"/>
              <w:rPr>
                <w:color w:val="000000" w:themeColor="text1"/>
                <w:sz w:val="16"/>
                <w:szCs w:val="16"/>
              </w:rPr>
            </w:pPr>
            <w:r w:rsidRPr="00E14102">
              <w:rPr>
                <w:color w:val="000000" w:themeColor="text1"/>
                <w:sz w:val="16"/>
                <w:szCs w:val="16"/>
              </w:rPr>
              <w:t>72,5%</w:t>
            </w:r>
          </w:p>
        </w:tc>
      </w:tr>
      <w:tr w:rsidR="00E3599D" w:rsidRPr="00E14102" w14:paraId="073C383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26D3B3" w14:textId="77777777" w:rsidR="002808C2" w:rsidRPr="00E14102" w:rsidRDefault="002808C2" w:rsidP="00E14102">
            <w:pPr>
              <w:jc w:val="both"/>
              <w:rPr>
                <w:color w:val="000000" w:themeColor="text1"/>
                <w:sz w:val="16"/>
                <w:szCs w:val="16"/>
              </w:rPr>
            </w:pPr>
            <w:r w:rsidRPr="00E14102">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464F4" w14:textId="77777777" w:rsidR="002808C2" w:rsidRPr="00E14102" w:rsidRDefault="002808C2" w:rsidP="00E14102">
            <w:pPr>
              <w:jc w:val="both"/>
              <w:rPr>
                <w:color w:val="000000" w:themeColor="text1"/>
                <w:sz w:val="16"/>
                <w:szCs w:val="16"/>
              </w:rPr>
            </w:pPr>
            <w:r w:rsidRPr="00E14102">
              <w:rPr>
                <w:color w:val="000000" w:themeColor="text1"/>
                <w:sz w:val="16"/>
                <w:szCs w:val="16"/>
              </w:rPr>
              <w:t>122</w:t>
            </w:r>
            <w:r w:rsidRPr="00E14102">
              <w:rPr>
                <w:color w:val="000000" w:themeColor="text1"/>
                <w:sz w:val="16"/>
                <w:szCs w:val="16"/>
              </w:rPr>
              <w:noBreakHyphen/>
              <w:t>мм гаубица 1910/1930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19FD5" w14:textId="77777777" w:rsidR="002808C2" w:rsidRPr="00E14102" w:rsidRDefault="002808C2" w:rsidP="00E14102">
            <w:pPr>
              <w:jc w:val="both"/>
              <w:rPr>
                <w:color w:val="000000" w:themeColor="text1"/>
                <w:sz w:val="16"/>
                <w:szCs w:val="16"/>
              </w:rPr>
            </w:pPr>
            <w:r w:rsidRPr="00E14102">
              <w:rPr>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D9B40" w14:textId="77777777" w:rsidR="002808C2" w:rsidRPr="00E14102" w:rsidRDefault="002808C2" w:rsidP="00E14102">
            <w:pPr>
              <w:jc w:val="both"/>
              <w:rPr>
                <w:color w:val="000000" w:themeColor="text1"/>
                <w:sz w:val="16"/>
                <w:szCs w:val="16"/>
              </w:rPr>
            </w:pPr>
            <w:r w:rsidRPr="00E14102">
              <w:rPr>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9BD2B" w14:textId="77777777" w:rsidR="002808C2" w:rsidRPr="00E14102" w:rsidRDefault="002808C2" w:rsidP="00E14102">
            <w:pPr>
              <w:jc w:val="both"/>
              <w:rPr>
                <w:color w:val="000000" w:themeColor="text1"/>
                <w:sz w:val="16"/>
                <w:szCs w:val="16"/>
              </w:rPr>
            </w:pPr>
            <w:r w:rsidRPr="00E14102">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AE913" w14:textId="77777777" w:rsidR="002808C2" w:rsidRPr="00E14102" w:rsidRDefault="002808C2" w:rsidP="00E14102">
            <w:pPr>
              <w:jc w:val="both"/>
              <w:rPr>
                <w:color w:val="000000" w:themeColor="text1"/>
                <w:sz w:val="16"/>
                <w:szCs w:val="16"/>
              </w:rPr>
            </w:pPr>
            <w:r w:rsidRPr="00E14102">
              <w:rPr>
                <w:color w:val="000000" w:themeColor="text1"/>
                <w:sz w:val="16"/>
                <w:szCs w:val="16"/>
              </w:rPr>
              <w:t>86%</w:t>
            </w:r>
          </w:p>
        </w:tc>
      </w:tr>
      <w:tr w:rsidR="00E3599D" w:rsidRPr="00E14102" w14:paraId="49BC752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44BC25" w14:textId="77777777" w:rsidR="002808C2" w:rsidRPr="00E14102" w:rsidRDefault="002808C2" w:rsidP="00E14102">
            <w:pPr>
              <w:jc w:val="both"/>
              <w:rPr>
                <w:color w:val="000000" w:themeColor="text1"/>
                <w:sz w:val="16"/>
                <w:szCs w:val="16"/>
              </w:rPr>
            </w:pPr>
            <w:r w:rsidRPr="00E14102">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29315" w14:textId="77777777" w:rsidR="002808C2" w:rsidRPr="00E14102" w:rsidRDefault="002808C2" w:rsidP="00E14102">
            <w:pPr>
              <w:jc w:val="both"/>
              <w:rPr>
                <w:color w:val="000000" w:themeColor="text1"/>
                <w:sz w:val="16"/>
                <w:szCs w:val="16"/>
              </w:rPr>
            </w:pPr>
            <w:r w:rsidRPr="00E14102">
              <w:rPr>
                <w:color w:val="000000" w:themeColor="text1"/>
                <w:sz w:val="16"/>
                <w:szCs w:val="16"/>
              </w:rPr>
              <w:t>122</w:t>
            </w:r>
            <w:r w:rsidRPr="00E14102">
              <w:rPr>
                <w:color w:val="000000" w:themeColor="text1"/>
                <w:sz w:val="16"/>
                <w:szCs w:val="16"/>
              </w:rPr>
              <w:noBreakHyphen/>
              <w:t>мм гаубица «Лубок»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17CF2" w14:textId="77777777" w:rsidR="002808C2" w:rsidRPr="00E14102" w:rsidRDefault="002808C2" w:rsidP="00E14102">
            <w:pPr>
              <w:jc w:val="both"/>
              <w:rPr>
                <w:color w:val="000000" w:themeColor="text1"/>
                <w:sz w:val="16"/>
                <w:szCs w:val="16"/>
              </w:rPr>
            </w:pPr>
            <w:r w:rsidRPr="00E14102">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33479" w14:textId="77777777" w:rsidR="002808C2" w:rsidRPr="00E14102" w:rsidRDefault="002808C2" w:rsidP="00E14102">
            <w:pPr>
              <w:jc w:val="both"/>
              <w:rPr>
                <w:color w:val="000000" w:themeColor="text1"/>
                <w:sz w:val="16"/>
                <w:szCs w:val="16"/>
              </w:rPr>
            </w:pPr>
            <w:r w:rsidRPr="00E14102">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0B071" w14:textId="77777777" w:rsidR="002808C2" w:rsidRPr="00E14102" w:rsidRDefault="002808C2" w:rsidP="00E14102">
            <w:pPr>
              <w:jc w:val="both"/>
              <w:rPr>
                <w:color w:val="000000" w:themeColor="text1"/>
                <w:sz w:val="16"/>
                <w:szCs w:val="16"/>
              </w:rPr>
            </w:pPr>
            <w:r w:rsidRPr="00E1410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DB883" w14:textId="77777777" w:rsidR="002808C2" w:rsidRPr="00E14102" w:rsidRDefault="002808C2" w:rsidP="00E14102">
            <w:pPr>
              <w:jc w:val="both"/>
              <w:rPr>
                <w:color w:val="000000" w:themeColor="text1"/>
                <w:sz w:val="16"/>
                <w:szCs w:val="16"/>
              </w:rPr>
            </w:pPr>
            <w:r w:rsidRPr="00E14102">
              <w:rPr>
                <w:color w:val="000000" w:themeColor="text1"/>
                <w:sz w:val="16"/>
                <w:szCs w:val="16"/>
              </w:rPr>
              <w:t>88%</w:t>
            </w:r>
          </w:p>
        </w:tc>
      </w:tr>
      <w:tr w:rsidR="00E3599D" w:rsidRPr="00E14102" w14:paraId="64FE9D2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E6FA82"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546EA" w14:textId="77777777" w:rsidR="002808C2" w:rsidRPr="00E14102" w:rsidRDefault="002808C2" w:rsidP="00E14102">
            <w:pPr>
              <w:jc w:val="both"/>
              <w:rPr>
                <w:color w:val="000000" w:themeColor="text1"/>
                <w:sz w:val="16"/>
                <w:szCs w:val="16"/>
              </w:rPr>
            </w:pPr>
            <w:r w:rsidRPr="00E14102">
              <w:rPr>
                <w:color w:val="000000" w:themeColor="text1"/>
                <w:sz w:val="16"/>
                <w:szCs w:val="16"/>
              </w:rPr>
              <w:t>152</w:t>
            </w:r>
            <w:r w:rsidRPr="00E14102">
              <w:rPr>
                <w:color w:val="000000" w:themeColor="text1"/>
                <w:sz w:val="16"/>
                <w:szCs w:val="16"/>
              </w:rPr>
              <w:noBreakHyphen/>
              <w:t>мм мортиры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E31E3" w14:textId="77777777" w:rsidR="002808C2" w:rsidRPr="00E14102" w:rsidRDefault="002808C2" w:rsidP="00E14102">
            <w:pPr>
              <w:jc w:val="both"/>
              <w:rPr>
                <w:color w:val="000000" w:themeColor="text1"/>
                <w:sz w:val="16"/>
                <w:szCs w:val="16"/>
              </w:rPr>
            </w:pPr>
            <w:r w:rsidRPr="00E14102">
              <w:rPr>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C91C1" w14:textId="77777777" w:rsidR="002808C2" w:rsidRPr="00E14102" w:rsidRDefault="002808C2" w:rsidP="00E14102">
            <w:pPr>
              <w:jc w:val="both"/>
              <w:rPr>
                <w:color w:val="000000" w:themeColor="text1"/>
                <w:sz w:val="16"/>
                <w:szCs w:val="16"/>
              </w:rPr>
            </w:pPr>
            <w:r w:rsidRPr="00E14102">
              <w:rPr>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0789C" w14:textId="77777777" w:rsidR="002808C2" w:rsidRPr="00E14102" w:rsidRDefault="002808C2" w:rsidP="00E14102">
            <w:pPr>
              <w:jc w:val="both"/>
              <w:rPr>
                <w:color w:val="000000" w:themeColor="text1"/>
                <w:sz w:val="16"/>
                <w:szCs w:val="16"/>
              </w:rPr>
            </w:pPr>
            <w:r w:rsidRPr="00E14102">
              <w:rPr>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FD297" w14:textId="77777777" w:rsidR="002808C2" w:rsidRPr="00E14102" w:rsidRDefault="002808C2" w:rsidP="00E14102">
            <w:pPr>
              <w:jc w:val="both"/>
              <w:rPr>
                <w:color w:val="000000" w:themeColor="text1"/>
                <w:sz w:val="16"/>
                <w:szCs w:val="16"/>
              </w:rPr>
            </w:pPr>
            <w:r w:rsidRPr="00E14102">
              <w:rPr>
                <w:color w:val="000000" w:themeColor="text1"/>
                <w:sz w:val="16"/>
                <w:szCs w:val="16"/>
              </w:rPr>
              <w:t>80%</w:t>
            </w:r>
          </w:p>
        </w:tc>
      </w:tr>
      <w:tr w:rsidR="00E3599D" w:rsidRPr="00E14102" w14:paraId="03C15A6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DEF69F"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8005E"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полковые и дивизионные системы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2B805" w14:textId="77777777" w:rsidR="002808C2" w:rsidRPr="00E14102" w:rsidRDefault="002808C2" w:rsidP="00E14102">
            <w:pPr>
              <w:jc w:val="both"/>
              <w:rPr>
                <w:color w:val="000000" w:themeColor="text1"/>
                <w:sz w:val="16"/>
                <w:szCs w:val="16"/>
              </w:rPr>
            </w:pPr>
            <w:r w:rsidRPr="00E14102">
              <w:rPr>
                <w:color w:val="000000" w:themeColor="text1"/>
                <w:sz w:val="16"/>
                <w:szCs w:val="16"/>
              </w:rPr>
              <w:t>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A4F32" w14:textId="77777777" w:rsidR="002808C2" w:rsidRPr="00E14102" w:rsidRDefault="002808C2" w:rsidP="00E14102">
            <w:pPr>
              <w:jc w:val="both"/>
              <w:rPr>
                <w:color w:val="000000" w:themeColor="text1"/>
                <w:sz w:val="16"/>
                <w:szCs w:val="16"/>
              </w:rPr>
            </w:pPr>
            <w:r w:rsidRPr="00E14102">
              <w:rPr>
                <w:color w:val="000000" w:themeColor="text1"/>
                <w:sz w:val="16"/>
                <w:szCs w:val="16"/>
              </w:rPr>
              <w:t>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CDE32" w14:textId="77777777" w:rsidR="002808C2" w:rsidRPr="00E14102" w:rsidRDefault="002808C2" w:rsidP="00E14102">
            <w:pPr>
              <w:jc w:val="both"/>
              <w:rPr>
                <w:color w:val="000000" w:themeColor="text1"/>
                <w:sz w:val="16"/>
                <w:szCs w:val="16"/>
              </w:rPr>
            </w:pPr>
            <w:r w:rsidRPr="00E14102">
              <w:rPr>
                <w:color w:val="000000" w:themeColor="text1"/>
                <w:sz w:val="16"/>
                <w:szCs w:val="16"/>
              </w:rPr>
              <w:t>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4D663" w14:textId="77777777" w:rsidR="002808C2" w:rsidRPr="00E14102" w:rsidRDefault="002808C2" w:rsidP="00E14102">
            <w:pPr>
              <w:jc w:val="both"/>
              <w:rPr>
                <w:color w:val="000000" w:themeColor="text1"/>
                <w:sz w:val="16"/>
                <w:szCs w:val="16"/>
              </w:rPr>
            </w:pPr>
            <w:r w:rsidRPr="00E14102">
              <w:rPr>
                <w:color w:val="000000" w:themeColor="text1"/>
                <w:sz w:val="16"/>
                <w:szCs w:val="16"/>
              </w:rPr>
              <w:t>71,5%</w:t>
            </w:r>
          </w:p>
        </w:tc>
      </w:tr>
      <w:tr w:rsidR="00E3599D" w:rsidRPr="00E14102" w14:paraId="13CA9A71"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BB682F4" w14:textId="77777777" w:rsidR="002808C2" w:rsidRPr="00E14102" w:rsidRDefault="002808C2" w:rsidP="00E14102">
            <w:pPr>
              <w:jc w:val="both"/>
              <w:rPr>
                <w:color w:val="000000" w:themeColor="text1"/>
                <w:sz w:val="16"/>
                <w:szCs w:val="16"/>
              </w:rPr>
            </w:pPr>
            <w:r w:rsidRPr="00E14102">
              <w:rPr>
                <w:color w:val="000000" w:themeColor="text1"/>
                <w:sz w:val="16"/>
                <w:szCs w:val="16"/>
              </w:rPr>
              <w:t>5) Корпусная артиллерия</w:t>
            </w:r>
          </w:p>
        </w:tc>
      </w:tr>
      <w:tr w:rsidR="00E3599D" w:rsidRPr="00E14102" w14:paraId="289D1CC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93A5AF" w14:textId="77777777" w:rsidR="002808C2" w:rsidRPr="00E14102" w:rsidRDefault="002808C2" w:rsidP="00E14102">
            <w:pPr>
              <w:jc w:val="both"/>
              <w:rPr>
                <w:color w:val="000000" w:themeColor="text1"/>
                <w:sz w:val="16"/>
                <w:szCs w:val="16"/>
              </w:rPr>
            </w:pPr>
            <w:r w:rsidRPr="00E14102">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81319" w14:textId="77777777" w:rsidR="002808C2" w:rsidRPr="00E14102" w:rsidRDefault="002808C2" w:rsidP="00E14102">
            <w:pPr>
              <w:jc w:val="both"/>
              <w:rPr>
                <w:color w:val="000000" w:themeColor="text1"/>
                <w:sz w:val="16"/>
                <w:szCs w:val="16"/>
              </w:rPr>
            </w:pPr>
            <w:r w:rsidRPr="00E14102">
              <w:rPr>
                <w:color w:val="000000" w:themeColor="text1"/>
                <w:sz w:val="16"/>
                <w:szCs w:val="16"/>
              </w:rPr>
              <w:t>107</w:t>
            </w:r>
            <w:r w:rsidRPr="00E14102">
              <w:rPr>
                <w:color w:val="000000" w:themeColor="text1"/>
                <w:sz w:val="16"/>
                <w:szCs w:val="16"/>
              </w:rPr>
              <w:noBreakHyphen/>
              <w:t>мм пушка 1910/1930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18ED5"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158AC"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3896A" w14:textId="77777777" w:rsidR="002808C2" w:rsidRPr="00E14102" w:rsidRDefault="002808C2" w:rsidP="00E14102">
            <w:pPr>
              <w:jc w:val="both"/>
              <w:rPr>
                <w:color w:val="000000" w:themeColor="text1"/>
                <w:sz w:val="16"/>
                <w:szCs w:val="16"/>
              </w:rPr>
            </w:pPr>
            <w:r w:rsidRPr="00E14102">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B738F" w14:textId="77777777" w:rsidR="002808C2" w:rsidRPr="00E14102" w:rsidRDefault="002808C2" w:rsidP="00E14102">
            <w:pPr>
              <w:jc w:val="both"/>
              <w:rPr>
                <w:color w:val="000000" w:themeColor="text1"/>
                <w:sz w:val="16"/>
                <w:szCs w:val="16"/>
              </w:rPr>
            </w:pPr>
            <w:r w:rsidRPr="00E14102">
              <w:rPr>
                <w:color w:val="000000" w:themeColor="text1"/>
                <w:sz w:val="16"/>
                <w:szCs w:val="16"/>
              </w:rPr>
              <w:t>98%</w:t>
            </w:r>
          </w:p>
        </w:tc>
      </w:tr>
      <w:tr w:rsidR="00E3599D" w:rsidRPr="00E14102" w14:paraId="39D8EA7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66B4DF" w14:textId="77777777" w:rsidR="002808C2" w:rsidRPr="00E14102" w:rsidRDefault="002808C2" w:rsidP="00E14102">
            <w:pPr>
              <w:jc w:val="both"/>
              <w:rPr>
                <w:color w:val="000000" w:themeColor="text1"/>
                <w:sz w:val="16"/>
                <w:szCs w:val="16"/>
              </w:rPr>
            </w:pPr>
            <w:r w:rsidRPr="00E1410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5A508" w14:textId="77777777" w:rsidR="002808C2" w:rsidRPr="00E14102" w:rsidRDefault="002808C2" w:rsidP="00E14102">
            <w:pPr>
              <w:jc w:val="both"/>
              <w:rPr>
                <w:color w:val="000000" w:themeColor="text1"/>
                <w:sz w:val="16"/>
                <w:szCs w:val="16"/>
              </w:rPr>
            </w:pPr>
            <w:r w:rsidRPr="00E14102">
              <w:rPr>
                <w:color w:val="000000" w:themeColor="text1"/>
                <w:sz w:val="16"/>
                <w:szCs w:val="16"/>
              </w:rPr>
              <w:t>152</w:t>
            </w:r>
            <w:r w:rsidRPr="00E14102">
              <w:rPr>
                <w:color w:val="000000" w:themeColor="text1"/>
                <w:sz w:val="16"/>
                <w:szCs w:val="16"/>
              </w:rPr>
              <w:noBreakHyphen/>
              <w:t>мм гаубица 1909/1930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8EB76" w14:textId="77777777" w:rsidR="002808C2" w:rsidRPr="00E14102" w:rsidRDefault="002808C2" w:rsidP="00E14102">
            <w:pPr>
              <w:jc w:val="both"/>
              <w:rPr>
                <w:color w:val="000000" w:themeColor="text1"/>
                <w:sz w:val="16"/>
                <w:szCs w:val="16"/>
              </w:rPr>
            </w:pPr>
            <w:r w:rsidRPr="00E14102">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DF99C" w14:textId="77777777" w:rsidR="002808C2" w:rsidRPr="00E14102" w:rsidRDefault="002808C2" w:rsidP="00E14102">
            <w:pPr>
              <w:jc w:val="both"/>
              <w:rPr>
                <w:color w:val="000000" w:themeColor="text1"/>
                <w:sz w:val="16"/>
                <w:szCs w:val="16"/>
              </w:rPr>
            </w:pPr>
            <w:r w:rsidRPr="00E14102">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DDD85" w14:textId="77777777" w:rsidR="002808C2" w:rsidRPr="00E14102" w:rsidRDefault="002808C2" w:rsidP="00E14102">
            <w:pPr>
              <w:jc w:val="both"/>
              <w:rPr>
                <w:color w:val="000000" w:themeColor="text1"/>
                <w:sz w:val="16"/>
                <w:szCs w:val="16"/>
              </w:rPr>
            </w:pPr>
            <w:r w:rsidRPr="00E14102">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7F6EE"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77BD215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A7C78C" w14:textId="77777777" w:rsidR="002808C2" w:rsidRPr="00E14102" w:rsidRDefault="002808C2" w:rsidP="00E14102">
            <w:pPr>
              <w:jc w:val="both"/>
              <w:rPr>
                <w:color w:val="000000" w:themeColor="text1"/>
                <w:sz w:val="16"/>
                <w:szCs w:val="16"/>
              </w:rPr>
            </w:pPr>
            <w:r w:rsidRPr="00E14102">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F2A6A" w14:textId="77777777" w:rsidR="002808C2" w:rsidRPr="00E14102" w:rsidRDefault="002808C2" w:rsidP="00E14102">
            <w:pPr>
              <w:jc w:val="both"/>
              <w:rPr>
                <w:color w:val="000000" w:themeColor="text1"/>
                <w:sz w:val="16"/>
                <w:szCs w:val="16"/>
              </w:rPr>
            </w:pPr>
            <w:r w:rsidRPr="00E14102">
              <w:rPr>
                <w:color w:val="000000" w:themeColor="text1"/>
                <w:sz w:val="16"/>
                <w:szCs w:val="16"/>
              </w:rPr>
              <w:t>152</w:t>
            </w:r>
            <w:r w:rsidRPr="00E14102">
              <w:rPr>
                <w:color w:val="000000" w:themeColor="text1"/>
                <w:sz w:val="16"/>
                <w:szCs w:val="16"/>
              </w:rPr>
              <w:noBreakHyphen/>
              <w:t>мм гаубица капит[ально] модер[низированная]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AF534" w14:textId="77777777" w:rsidR="002808C2" w:rsidRPr="00E14102" w:rsidRDefault="002808C2"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DBDC9" w14:textId="77777777" w:rsidR="002808C2" w:rsidRPr="00E14102" w:rsidRDefault="002808C2"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67F17" w14:textId="77777777" w:rsidR="002808C2" w:rsidRPr="00E14102" w:rsidRDefault="002808C2" w:rsidP="00E14102">
            <w:pPr>
              <w:jc w:val="both"/>
              <w:rPr>
                <w:color w:val="000000" w:themeColor="text1"/>
                <w:sz w:val="16"/>
                <w:szCs w:val="16"/>
              </w:rPr>
            </w:pPr>
            <w:r w:rsidRPr="00E1410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68299" w14:textId="77777777" w:rsidR="002808C2" w:rsidRPr="00E14102" w:rsidRDefault="002808C2" w:rsidP="00E14102">
            <w:pPr>
              <w:jc w:val="both"/>
              <w:rPr>
                <w:color w:val="000000" w:themeColor="text1"/>
                <w:sz w:val="16"/>
                <w:szCs w:val="16"/>
              </w:rPr>
            </w:pPr>
            <w:r w:rsidRPr="00E14102">
              <w:rPr>
                <w:color w:val="000000" w:themeColor="text1"/>
                <w:sz w:val="16"/>
                <w:szCs w:val="16"/>
              </w:rPr>
              <w:t>12%</w:t>
            </w:r>
          </w:p>
        </w:tc>
      </w:tr>
      <w:tr w:rsidR="00E3599D" w:rsidRPr="00E14102" w14:paraId="69F7608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B4E6D1"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79C19"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корпусных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C1917" w14:textId="77777777" w:rsidR="002808C2" w:rsidRPr="00E14102" w:rsidRDefault="002808C2" w:rsidP="00E14102">
            <w:pPr>
              <w:jc w:val="both"/>
              <w:rPr>
                <w:color w:val="000000" w:themeColor="text1"/>
                <w:sz w:val="16"/>
                <w:szCs w:val="16"/>
              </w:rPr>
            </w:pPr>
            <w:r w:rsidRPr="00E14102">
              <w:rPr>
                <w:color w:val="000000" w:themeColor="text1"/>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B4F0F" w14:textId="77777777" w:rsidR="002808C2" w:rsidRPr="00E14102" w:rsidRDefault="002808C2" w:rsidP="00E14102">
            <w:pPr>
              <w:jc w:val="both"/>
              <w:rPr>
                <w:color w:val="000000" w:themeColor="text1"/>
                <w:sz w:val="16"/>
                <w:szCs w:val="16"/>
              </w:rPr>
            </w:pPr>
            <w:r w:rsidRPr="00E14102">
              <w:rPr>
                <w:color w:val="000000" w:themeColor="text1"/>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4EC22" w14:textId="77777777" w:rsidR="002808C2" w:rsidRPr="00E14102" w:rsidRDefault="002808C2" w:rsidP="00E14102">
            <w:pPr>
              <w:jc w:val="both"/>
              <w:rPr>
                <w:color w:val="000000" w:themeColor="text1"/>
                <w:sz w:val="16"/>
                <w:szCs w:val="16"/>
              </w:rPr>
            </w:pPr>
            <w:r w:rsidRPr="00E14102">
              <w:rPr>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3AD98" w14:textId="77777777" w:rsidR="002808C2" w:rsidRPr="00E14102" w:rsidRDefault="002808C2" w:rsidP="00E14102">
            <w:pPr>
              <w:jc w:val="both"/>
              <w:rPr>
                <w:color w:val="000000" w:themeColor="text1"/>
                <w:sz w:val="16"/>
                <w:szCs w:val="16"/>
              </w:rPr>
            </w:pPr>
            <w:r w:rsidRPr="00E14102">
              <w:rPr>
                <w:color w:val="000000" w:themeColor="text1"/>
                <w:sz w:val="16"/>
                <w:szCs w:val="16"/>
              </w:rPr>
              <w:t>77%</w:t>
            </w:r>
          </w:p>
        </w:tc>
      </w:tr>
      <w:tr w:rsidR="00E3599D" w:rsidRPr="00E14102" w14:paraId="36A668F0"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23E2F38" w14:textId="77777777" w:rsidR="002808C2" w:rsidRPr="00E14102" w:rsidRDefault="002808C2" w:rsidP="00E14102">
            <w:pPr>
              <w:jc w:val="both"/>
              <w:rPr>
                <w:color w:val="000000" w:themeColor="text1"/>
                <w:sz w:val="16"/>
                <w:szCs w:val="16"/>
              </w:rPr>
            </w:pPr>
            <w:r w:rsidRPr="00E14102">
              <w:rPr>
                <w:color w:val="000000" w:themeColor="text1"/>
                <w:sz w:val="16"/>
                <w:szCs w:val="16"/>
              </w:rPr>
              <w:t>6) АРГК</w:t>
            </w:r>
          </w:p>
        </w:tc>
      </w:tr>
      <w:tr w:rsidR="00E3599D" w:rsidRPr="00E14102" w14:paraId="398B8EE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1480C0"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C1D1F" w14:textId="77777777" w:rsidR="002808C2" w:rsidRPr="00E14102" w:rsidRDefault="002808C2" w:rsidP="00E14102">
            <w:pPr>
              <w:jc w:val="both"/>
              <w:rPr>
                <w:color w:val="000000" w:themeColor="text1"/>
                <w:sz w:val="16"/>
                <w:szCs w:val="16"/>
              </w:rPr>
            </w:pPr>
            <w:r w:rsidRPr="00E14102">
              <w:rPr>
                <w:color w:val="000000" w:themeColor="text1"/>
                <w:sz w:val="16"/>
                <w:szCs w:val="16"/>
              </w:rPr>
              <w:t>152</w:t>
            </w:r>
            <w:r w:rsidRPr="00E14102">
              <w:rPr>
                <w:color w:val="000000" w:themeColor="text1"/>
                <w:sz w:val="16"/>
                <w:szCs w:val="16"/>
              </w:rPr>
              <w:noBreakHyphen/>
              <w:t>мм пушка 1910/1930.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5D9CC" w14:textId="77777777" w:rsidR="002808C2" w:rsidRPr="00E14102" w:rsidRDefault="002808C2" w:rsidP="00E14102">
            <w:pPr>
              <w:jc w:val="both"/>
              <w:rPr>
                <w:color w:val="000000" w:themeColor="text1"/>
                <w:sz w:val="16"/>
                <w:szCs w:val="16"/>
              </w:rPr>
            </w:pPr>
            <w:r w:rsidRPr="00E14102">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12F0B" w14:textId="77777777" w:rsidR="002808C2" w:rsidRPr="00E14102" w:rsidRDefault="002808C2" w:rsidP="00E14102">
            <w:pPr>
              <w:jc w:val="both"/>
              <w:rPr>
                <w:color w:val="000000" w:themeColor="text1"/>
                <w:sz w:val="16"/>
                <w:szCs w:val="16"/>
              </w:rPr>
            </w:pPr>
            <w:r w:rsidRPr="00E14102">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67ADB" w14:textId="77777777" w:rsidR="002808C2" w:rsidRPr="00E14102" w:rsidRDefault="002808C2" w:rsidP="00E14102">
            <w:pPr>
              <w:jc w:val="both"/>
              <w:rPr>
                <w:color w:val="000000" w:themeColor="text1"/>
                <w:sz w:val="16"/>
                <w:szCs w:val="16"/>
              </w:rPr>
            </w:pPr>
            <w:r w:rsidRPr="00E14102">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416CD"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09C4BE4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F58131"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A0FC4" w14:textId="77777777" w:rsidR="002808C2" w:rsidRPr="00E14102" w:rsidRDefault="002808C2" w:rsidP="00E14102">
            <w:pPr>
              <w:jc w:val="both"/>
              <w:rPr>
                <w:color w:val="000000" w:themeColor="text1"/>
                <w:sz w:val="16"/>
                <w:szCs w:val="16"/>
              </w:rPr>
            </w:pPr>
            <w:r w:rsidRPr="00E14102">
              <w:rPr>
                <w:color w:val="000000" w:themeColor="text1"/>
                <w:sz w:val="16"/>
                <w:szCs w:val="16"/>
              </w:rPr>
              <w:t>203</w:t>
            </w:r>
            <w:r w:rsidRPr="00E14102">
              <w:rPr>
                <w:color w:val="000000" w:themeColor="text1"/>
                <w:sz w:val="16"/>
                <w:szCs w:val="16"/>
              </w:rPr>
              <w:noBreakHyphen/>
              <w:t>мм гаубица 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B994F" w14:textId="77777777" w:rsidR="002808C2" w:rsidRPr="00E14102" w:rsidRDefault="002808C2" w:rsidP="00E14102">
            <w:pPr>
              <w:jc w:val="both"/>
              <w:rPr>
                <w:color w:val="000000" w:themeColor="text1"/>
                <w:sz w:val="16"/>
                <w:szCs w:val="16"/>
              </w:rPr>
            </w:pPr>
            <w:r w:rsidRPr="00E1410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553FF" w14:textId="77777777" w:rsidR="002808C2" w:rsidRPr="00E14102" w:rsidRDefault="002808C2" w:rsidP="00E14102">
            <w:pPr>
              <w:jc w:val="both"/>
              <w:rPr>
                <w:color w:val="000000" w:themeColor="text1"/>
                <w:sz w:val="16"/>
                <w:szCs w:val="16"/>
              </w:rPr>
            </w:pPr>
            <w:r w:rsidRPr="00E1410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457D9" w14:textId="77777777" w:rsidR="002808C2" w:rsidRPr="00E14102" w:rsidRDefault="002808C2" w:rsidP="00E14102">
            <w:pPr>
              <w:jc w:val="both"/>
              <w:rPr>
                <w:color w:val="000000" w:themeColor="text1"/>
                <w:sz w:val="16"/>
                <w:szCs w:val="16"/>
              </w:rPr>
            </w:pPr>
            <w:r w:rsidRPr="00E14102">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ADD33" w14:textId="77777777" w:rsidR="002808C2" w:rsidRPr="00E14102" w:rsidRDefault="002808C2" w:rsidP="00E14102">
            <w:pPr>
              <w:jc w:val="both"/>
              <w:rPr>
                <w:color w:val="000000" w:themeColor="text1"/>
                <w:sz w:val="16"/>
                <w:szCs w:val="16"/>
              </w:rPr>
            </w:pPr>
            <w:r w:rsidRPr="00E14102">
              <w:rPr>
                <w:color w:val="000000" w:themeColor="text1"/>
                <w:sz w:val="16"/>
                <w:szCs w:val="16"/>
              </w:rPr>
              <w:t>94%</w:t>
            </w:r>
          </w:p>
        </w:tc>
      </w:tr>
      <w:tr w:rsidR="00E3599D" w:rsidRPr="00E14102" w14:paraId="7FBEA23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C56278"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F6EE9"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системы АРГК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EA7E6" w14:textId="77777777" w:rsidR="002808C2" w:rsidRPr="00E14102" w:rsidRDefault="002808C2" w:rsidP="00E14102">
            <w:pPr>
              <w:jc w:val="both"/>
              <w:rPr>
                <w:color w:val="000000" w:themeColor="text1"/>
                <w:sz w:val="16"/>
                <w:szCs w:val="16"/>
              </w:rPr>
            </w:pPr>
            <w:r w:rsidRPr="00E14102">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C18CB" w14:textId="77777777" w:rsidR="002808C2" w:rsidRPr="00E14102" w:rsidRDefault="002808C2" w:rsidP="00E14102">
            <w:pPr>
              <w:jc w:val="both"/>
              <w:rPr>
                <w:color w:val="000000" w:themeColor="text1"/>
                <w:sz w:val="16"/>
                <w:szCs w:val="16"/>
              </w:rPr>
            </w:pPr>
            <w:r w:rsidRPr="00E14102">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FEF80" w14:textId="77777777" w:rsidR="002808C2" w:rsidRPr="00E14102" w:rsidRDefault="002808C2" w:rsidP="00E14102">
            <w:pPr>
              <w:jc w:val="both"/>
              <w:rPr>
                <w:color w:val="000000" w:themeColor="text1"/>
                <w:sz w:val="16"/>
                <w:szCs w:val="16"/>
              </w:rPr>
            </w:pPr>
            <w:r w:rsidRPr="00E14102">
              <w:rPr>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3CD7A" w14:textId="77777777" w:rsidR="002808C2" w:rsidRPr="00E14102" w:rsidRDefault="002808C2" w:rsidP="00E14102">
            <w:pPr>
              <w:jc w:val="both"/>
              <w:rPr>
                <w:color w:val="000000" w:themeColor="text1"/>
                <w:sz w:val="16"/>
                <w:szCs w:val="16"/>
              </w:rPr>
            </w:pPr>
            <w:r w:rsidRPr="00E14102">
              <w:rPr>
                <w:color w:val="000000" w:themeColor="text1"/>
                <w:sz w:val="16"/>
                <w:szCs w:val="16"/>
              </w:rPr>
              <w:t>99,%</w:t>
            </w:r>
          </w:p>
        </w:tc>
      </w:tr>
      <w:tr w:rsidR="00E3599D" w:rsidRPr="00E14102" w14:paraId="5BB60D8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617969"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B86C9" w14:textId="77777777" w:rsidR="002808C2" w:rsidRPr="00E14102" w:rsidRDefault="002808C2" w:rsidP="00E14102">
            <w:pPr>
              <w:jc w:val="both"/>
              <w:rPr>
                <w:color w:val="000000" w:themeColor="text1"/>
                <w:sz w:val="16"/>
                <w:szCs w:val="16"/>
              </w:rPr>
            </w:pPr>
            <w:r w:rsidRPr="00E14102">
              <w:rPr>
                <w:color w:val="000000" w:themeColor="text1"/>
                <w:sz w:val="16"/>
                <w:szCs w:val="16"/>
              </w:rPr>
              <w:t>Всего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EBE76" w14:textId="77777777" w:rsidR="002808C2" w:rsidRPr="00E14102" w:rsidRDefault="002808C2" w:rsidP="00E14102">
            <w:pPr>
              <w:jc w:val="both"/>
              <w:rPr>
                <w:color w:val="000000" w:themeColor="text1"/>
                <w:sz w:val="16"/>
                <w:szCs w:val="16"/>
              </w:rPr>
            </w:pPr>
            <w:r w:rsidRPr="00E14102">
              <w:rPr>
                <w:color w:val="000000" w:themeColor="text1"/>
                <w:sz w:val="16"/>
                <w:szCs w:val="16"/>
              </w:rPr>
              <w:t>5095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D8EDB" w14:textId="77777777" w:rsidR="002808C2" w:rsidRPr="00E14102" w:rsidRDefault="002808C2" w:rsidP="00E14102">
            <w:pPr>
              <w:jc w:val="both"/>
              <w:rPr>
                <w:color w:val="000000" w:themeColor="text1"/>
                <w:sz w:val="16"/>
                <w:szCs w:val="16"/>
              </w:rPr>
            </w:pPr>
            <w:r w:rsidRPr="00E14102">
              <w:rPr>
                <w:color w:val="000000" w:themeColor="text1"/>
                <w:sz w:val="16"/>
                <w:szCs w:val="16"/>
              </w:rPr>
              <w:t>5094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E472C" w14:textId="77777777" w:rsidR="002808C2" w:rsidRPr="00E14102" w:rsidRDefault="002808C2" w:rsidP="00E14102">
            <w:pPr>
              <w:jc w:val="both"/>
              <w:rPr>
                <w:color w:val="000000" w:themeColor="text1"/>
                <w:sz w:val="16"/>
                <w:szCs w:val="16"/>
              </w:rPr>
            </w:pPr>
            <w:r w:rsidRPr="00E14102">
              <w:rPr>
                <w:color w:val="000000" w:themeColor="text1"/>
                <w:sz w:val="16"/>
                <w:szCs w:val="16"/>
              </w:rPr>
              <w:t>4194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D0DC4" w14:textId="77777777" w:rsidR="002808C2" w:rsidRPr="00E14102" w:rsidRDefault="002808C2" w:rsidP="00E14102">
            <w:pPr>
              <w:jc w:val="both"/>
              <w:rPr>
                <w:color w:val="000000" w:themeColor="text1"/>
                <w:sz w:val="16"/>
                <w:szCs w:val="16"/>
              </w:rPr>
            </w:pPr>
            <w:r w:rsidRPr="00E14102">
              <w:rPr>
                <w:color w:val="000000" w:themeColor="text1"/>
                <w:sz w:val="16"/>
                <w:szCs w:val="16"/>
              </w:rPr>
              <w:t>82,3%</w:t>
            </w:r>
          </w:p>
        </w:tc>
      </w:tr>
      <w:tr w:rsidR="00E3599D" w:rsidRPr="00E14102" w14:paraId="0F8E4421"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232525A" w14:textId="77777777" w:rsidR="002808C2" w:rsidRPr="00E14102" w:rsidRDefault="002808C2" w:rsidP="00E14102">
            <w:pPr>
              <w:jc w:val="both"/>
              <w:rPr>
                <w:color w:val="000000" w:themeColor="text1"/>
                <w:sz w:val="16"/>
                <w:szCs w:val="16"/>
              </w:rPr>
            </w:pPr>
            <w:r w:rsidRPr="00E14102">
              <w:rPr>
                <w:color w:val="000000" w:themeColor="text1"/>
                <w:sz w:val="16"/>
                <w:szCs w:val="16"/>
              </w:rPr>
              <w:t>МОДЕРНИЗАЦИЯ</w:t>
            </w:r>
          </w:p>
        </w:tc>
      </w:tr>
      <w:tr w:rsidR="00E3599D" w:rsidRPr="00E14102" w14:paraId="6E62918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D85C29"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7740" w14:textId="77777777" w:rsidR="002808C2" w:rsidRPr="00E14102" w:rsidRDefault="002808C2" w:rsidP="00E14102">
            <w:pPr>
              <w:jc w:val="both"/>
              <w:rPr>
                <w:color w:val="000000" w:themeColor="text1"/>
                <w:sz w:val="16"/>
                <w:szCs w:val="16"/>
              </w:rPr>
            </w:pPr>
            <w:r w:rsidRPr="00E14102">
              <w:rPr>
                <w:color w:val="000000" w:themeColor="text1"/>
                <w:sz w:val="16"/>
                <w:szCs w:val="16"/>
              </w:rPr>
              <w:t>76</w:t>
            </w:r>
            <w:r w:rsidRPr="00E14102">
              <w:rPr>
                <w:color w:val="000000" w:themeColor="text1"/>
                <w:sz w:val="16"/>
                <w:szCs w:val="16"/>
              </w:rPr>
              <w:noBreakHyphen/>
              <w:t>мм полевая пушка 1902/1930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F8A5F" w14:textId="77777777" w:rsidR="002808C2" w:rsidRPr="00E14102" w:rsidRDefault="002808C2" w:rsidP="00E14102">
            <w:pPr>
              <w:jc w:val="both"/>
              <w:rPr>
                <w:color w:val="000000" w:themeColor="text1"/>
                <w:sz w:val="16"/>
                <w:szCs w:val="16"/>
              </w:rPr>
            </w:pPr>
            <w:r w:rsidRPr="00E14102">
              <w:rPr>
                <w:color w:val="000000" w:themeColor="text1"/>
                <w:sz w:val="16"/>
                <w:szCs w:val="16"/>
              </w:rPr>
              <w:t>744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C3A3A" w14:textId="77777777" w:rsidR="002808C2" w:rsidRPr="00E14102" w:rsidRDefault="002808C2" w:rsidP="00E14102">
            <w:pPr>
              <w:jc w:val="both"/>
              <w:rPr>
                <w:color w:val="000000" w:themeColor="text1"/>
                <w:sz w:val="16"/>
                <w:szCs w:val="16"/>
              </w:rPr>
            </w:pPr>
            <w:r w:rsidRPr="00E14102">
              <w:rPr>
                <w:color w:val="000000" w:themeColor="text1"/>
                <w:sz w:val="16"/>
                <w:szCs w:val="16"/>
              </w:rPr>
              <w:t>744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28322" w14:textId="77777777" w:rsidR="002808C2" w:rsidRPr="00E14102" w:rsidRDefault="002808C2" w:rsidP="00E14102">
            <w:pPr>
              <w:jc w:val="both"/>
              <w:rPr>
                <w:color w:val="000000" w:themeColor="text1"/>
                <w:sz w:val="16"/>
                <w:szCs w:val="16"/>
              </w:rPr>
            </w:pPr>
            <w:r w:rsidRPr="00E14102">
              <w:rPr>
                <w:color w:val="000000" w:themeColor="text1"/>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D94CF" w14:textId="77777777" w:rsidR="002808C2" w:rsidRPr="00E14102" w:rsidRDefault="002808C2" w:rsidP="00E14102">
            <w:pPr>
              <w:jc w:val="both"/>
              <w:rPr>
                <w:color w:val="000000" w:themeColor="text1"/>
                <w:sz w:val="16"/>
                <w:szCs w:val="16"/>
              </w:rPr>
            </w:pPr>
            <w:r w:rsidRPr="00E14102">
              <w:rPr>
                <w:color w:val="000000" w:themeColor="text1"/>
                <w:sz w:val="16"/>
                <w:szCs w:val="16"/>
              </w:rPr>
              <w:t>66%</w:t>
            </w:r>
          </w:p>
        </w:tc>
      </w:tr>
      <w:tr w:rsidR="00E3599D" w:rsidRPr="00E14102" w14:paraId="5B03933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74E691"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E274F" w14:textId="77777777" w:rsidR="002808C2" w:rsidRPr="00E14102" w:rsidRDefault="002808C2" w:rsidP="00E14102">
            <w:pPr>
              <w:jc w:val="both"/>
              <w:rPr>
                <w:color w:val="000000" w:themeColor="text1"/>
                <w:sz w:val="16"/>
                <w:szCs w:val="16"/>
              </w:rPr>
            </w:pPr>
            <w:r w:rsidRPr="00E14102">
              <w:rPr>
                <w:color w:val="000000" w:themeColor="text1"/>
                <w:sz w:val="16"/>
                <w:szCs w:val="16"/>
              </w:rPr>
              <w:t>76</w:t>
            </w:r>
            <w:r w:rsidRPr="00E14102">
              <w:rPr>
                <w:color w:val="000000" w:themeColor="text1"/>
                <w:sz w:val="16"/>
                <w:szCs w:val="16"/>
              </w:rPr>
              <w:noBreakHyphen/>
              <w:t>мм зенитная пушка 1915/1923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6EB59"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F9385"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B1528"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77014" w14:textId="77777777" w:rsidR="002808C2" w:rsidRPr="00E14102" w:rsidRDefault="002808C2" w:rsidP="00E14102">
            <w:pPr>
              <w:jc w:val="both"/>
              <w:rPr>
                <w:color w:val="000000" w:themeColor="text1"/>
                <w:sz w:val="16"/>
                <w:szCs w:val="16"/>
              </w:rPr>
            </w:pPr>
            <w:r w:rsidRPr="00E14102">
              <w:rPr>
                <w:color w:val="000000" w:themeColor="text1"/>
                <w:sz w:val="16"/>
                <w:szCs w:val="16"/>
              </w:rPr>
              <w:t>0%</w:t>
            </w:r>
          </w:p>
        </w:tc>
      </w:tr>
      <w:tr w:rsidR="00E3599D" w:rsidRPr="00E14102" w14:paraId="5E4DF23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3B106"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AF950" w14:textId="77777777" w:rsidR="002808C2" w:rsidRPr="00E14102" w:rsidRDefault="002808C2" w:rsidP="00E14102">
            <w:pPr>
              <w:jc w:val="both"/>
              <w:rPr>
                <w:color w:val="000000" w:themeColor="text1"/>
                <w:sz w:val="16"/>
                <w:szCs w:val="16"/>
              </w:rPr>
            </w:pPr>
            <w:r w:rsidRPr="00E14102">
              <w:rPr>
                <w:color w:val="000000" w:themeColor="text1"/>
                <w:sz w:val="16"/>
                <w:szCs w:val="16"/>
              </w:rPr>
              <w:t>107</w:t>
            </w:r>
            <w:r w:rsidRPr="00E14102">
              <w:rPr>
                <w:color w:val="000000" w:themeColor="text1"/>
                <w:sz w:val="16"/>
                <w:szCs w:val="16"/>
              </w:rPr>
              <w:noBreakHyphen/>
              <w:t>мм пушка 1910/1930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B4C80" w14:textId="77777777" w:rsidR="002808C2" w:rsidRPr="00E14102" w:rsidRDefault="002808C2" w:rsidP="00E14102">
            <w:pPr>
              <w:jc w:val="both"/>
              <w:rPr>
                <w:color w:val="000000" w:themeColor="text1"/>
                <w:sz w:val="16"/>
                <w:szCs w:val="16"/>
              </w:rPr>
            </w:pPr>
            <w:r w:rsidRPr="00E14102">
              <w:rPr>
                <w:color w:val="000000" w:themeColor="text1"/>
                <w:sz w:val="16"/>
                <w:szCs w:val="16"/>
              </w:rPr>
              <w:t>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2AD8F" w14:textId="77777777" w:rsidR="002808C2" w:rsidRPr="00E14102" w:rsidRDefault="002808C2" w:rsidP="00E14102">
            <w:pPr>
              <w:jc w:val="both"/>
              <w:rPr>
                <w:color w:val="000000" w:themeColor="text1"/>
                <w:sz w:val="16"/>
                <w:szCs w:val="16"/>
              </w:rPr>
            </w:pPr>
            <w:r w:rsidRPr="00E14102">
              <w:rPr>
                <w:color w:val="000000" w:themeColor="text1"/>
                <w:sz w:val="16"/>
                <w:szCs w:val="16"/>
              </w:rPr>
              <w:t>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8FF5E" w14:textId="77777777" w:rsidR="002808C2" w:rsidRPr="00E14102" w:rsidRDefault="002808C2" w:rsidP="00E14102">
            <w:pPr>
              <w:jc w:val="both"/>
              <w:rPr>
                <w:color w:val="000000" w:themeColor="text1"/>
                <w:sz w:val="16"/>
                <w:szCs w:val="16"/>
              </w:rPr>
            </w:pPr>
            <w:r w:rsidRPr="00E14102">
              <w:rPr>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9B0BD" w14:textId="77777777" w:rsidR="002808C2" w:rsidRPr="00E14102" w:rsidRDefault="002808C2" w:rsidP="00E14102">
            <w:pPr>
              <w:jc w:val="both"/>
              <w:rPr>
                <w:color w:val="000000" w:themeColor="text1"/>
                <w:sz w:val="16"/>
                <w:szCs w:val="16"/>
              </w:rPr>
            </w:pPr>
            <w:r w:rsidRPr="00E14102">
              <w:rPr>
                <w:color w:val="000000" w:themeColor="text1"/>
                <w:sz w:val="16"/>
                <w:szCs w:val="16"/>
              </w:rPr>
              <w:t>56%</w:t>
            </w:r>
          </w:p>
        </w:tc>
      </w:tr>
      <w:tr w:rsidR="00E3599D" w:rsidRPr="00E14102" w14:paraId="193BE2A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52F51C" w14:textId="77777777" w:rsidR="002808C2" w:rsidRPr="00E14102" w:rsidRDefault="002808C2"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2230A" w14:textId="77777777" w:rsidR="002808C2" w:rsidRPr="00E14102" w:rsidRDefault="002808C2" w:rsidP="00E14102">
            <w:pPr>
              <w:jc w:val="both"/>
              <w:rPr>
                <w:color w:val="000000" w:themeColor="text1"/>
                <w:sz w:val="16"/>
                <w:szCs w:val="16"/>
              </w:rPr>
            </w:pPr>
            <w:r w:rsidRPr="00E14102">
              <w:rPr>
                <w:color w:val="000000" w:themeColor="text1"/>
                <w:sz w:val="16"/>
                <w:szCs w:val="16"/>
              </w:rPr>
              <w:t>122</w:t>
            </w:r>
            <w:r w:rsidRPr="00E14102">
              <w:rPr>
                <w:color w:val="000000" w:themeColor="text1"/>
                <w:sz w:val="16"/>
                <w:szCs w:val="16"/>
              </w:rPr>
              <w:noBreakHyphen/>
              <w:t>мм гаубица 1910/1930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717D0" w14:textId="77777777" w:rsidR="002808C2" w:rsidRPr="00E14102" w:rsidRDefault="002808C2" w:rsidP="00E14102">
            <w:pPr>
              <w:jc w:val="both"/>
              <w:rPr>
                <w:color w:val="000000" w:themeColor="text1"/>
                <w:sz w:val="16"/>
                <w:szCs w:val="16"/>
              </w:rPr>
            </w:pPr>
            <w:r w:rsidRPr="00E14102">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976F5" w14:textId="77777777" w:rsidR="002808C2" w:rsidRPr="00E14102" w:rsidRDefault="002808C2" w:rsidP="00E14102">
            <w:pPr>
              <w:jc w:val="both"/>
              <w:rPr>
                <w:color w:val="000000" w:themeColor="text1"/>
                <w:sz w:val="16"/>
                <w:szCs w:val="16"/>
              </w:rPr>
            </w:pPr>
            <w:r w:rsidRPr="00E14102">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55A29" w14:textId="77777777" w:rsidR="002808C2" w:rsidRPr="00E14102" w:rsidRDefault="002808C2" w:rsidP="00E14102">
            <w:pPr>
              <w:jc w:val="both"/>
              <w:rPr>
                <w:color w:val="000000" w:themeColor="text1"/>
                <w:sz w:val="16"/>
                <w:szCs w:val="16"/>
              </w:rPr>
            </w:pPr>
            <w:r w:rsidRPr="00E14102">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0C9D7" w14:textId="77777777" w:rsidR="002808C2" w:rsidRPr="00E14102" w:rsidRDefault="002808C2" w:rsidP="00E14102">
            <w:pPr>
              <w:jc w:val="both"/>
              <w:rPr>
                <w:color w:val="000000" w:themeColor="text1"/>
                <w:sz w:val="16"/>
                <w:szCs w:val="16"/>
              </w:rPr>
            </w:pPr>
            <w:r w:rsidRPr="00E14102">
              <w:rPr>
                <w:color w:val="000000" w:themeColor="text1"/>
                <w:sz w:val="16"/>
                <w:szCs w:val="16"/>
              </w:rPr>
              <w:t>80%</w:t>
            </w:r>
          </w:p>
        </w:tc>
      </w:tr>
      <w:tr w:rsidR="00E3599D" w:rsidRPr="00E14102" w14:paraId="7287CF0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72ADDC" w14:textId="77777777" w:rsidR="002808C2" w:rsidRPr="00E14102" w:rsidRDefault="002808C2"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48EB4" w14:textId="77777777" w:rsidR="002808C2" w:rsidRPr="00E14102" w:rsidRDefault="002808C2" w:rsidP="00E14102">
            <w:pPr>
              <w:jc w:val="both"/>
              <w:rPr>
                <w:color w:val="000000" w:themeColor="text1"/>
                <w:sz w:val="16"/>
                <w:szCs w:val="16"/>
              </w:rPr>
            </w:pPr>
            <w:r w:rsidRPr="00E14102">
              <w:rPr>
                <w:color w:val="000000" w:themeColor="text1"/>
                <w:sz w:val="16"/>
                <w:szCs w:val="16"/>
              </w:rPr>
              <w:t>152</w:t>
            </w:r>
            <w:r w:rsidRPr="00E14102">
              <w:rPr>
                <w:color w:val="000000" w:themeColor="text1"/>
                <w:sz w:val="16"/>
                <w:szCs w:val="16"/>
              </w:rPr>
              <w:noBreakHyphen/>
              <w:t>мм гаубица 1909/1930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34CF3" w14:textId="77777777" w:rsidR="002808C2" w:rsidRPr="00E14102" w:rsidRDefault="002808C2" w:rsidP="00E14102">
            <w:pPr>
              <w:jc w:val="both"/>
              <w:rPr>
                <w:color w:val="000000" w:themeColor="text1"/>
                <w:sz w:val="16"/>
                <w:szCs w:val="16"/>
              </w:rPr>
            </w:pPr>
            <w:r w:rsidRPr="00E14102">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BAEEC" w14:textId="77777777" w:rsidR="002808C2" w:rsidRPr="00E14102" w:rsidRDefault="002808C2" w:rsidP="00E14102">
            <w:pPr>
              <w:jc w:val="both"/>
              <w:rPr>
                <w:color w:val="000000" w:themeColor="text1"/>
                <w:sz w:val="16"/>
                <w:szCs w:val="16"/>
              </w:rPr>
            </w:pPr>
            <w:r w:rsidRPr="00E14102">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29579"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D1D40" w14:textId="77777777" w:rsidR="002808C2" w:rsidRPr="00E14102" w:rsidRDefault="002808C2" w:rsidP="00E14102">
            <w:pPr>
              <w:jc w:val="both"/>
              <w:rPr>
                <w:color w:val="000000" w:themeColor="text1"/>
                <w:sz w:val="16"/>
                <w:szCs w:val="16"/>
              </w:rPr>
            </w:pPr>
            <w:r w:rsidRPr="00E14102">
              <w:rPr>
                <w:color w:val="000000" w:themeColor="text1"/>
                <w:sz w:val="16"/>
                <w:szCs w:val="16"/>
              </w:rPr>
              <w:t>18%</w:t>
            </w:r>
          </w:p>
        </w:tc>
      </w:tr>
      <w:tr w:rsidR="00E3599D" w:rsidRPr="00E14102" w14:paraId="54C5117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1D4063" w14:textId="77777777" w:rsidR="002808C2" w:rsidRPr="00E14102" w:rsidRDefault="002808C2" w:rsidP="00E14102">
            <w:pPr>
              <w:jc w:val="both"/>
              <w:rPr>
                <w:color w:val="000000" w:themeColor="text1"/>
                <w:sz w:val="16"/>
                <w:szCs w:val="16"/>
              </w:rPr>
            </w:pPr>
            <w:r w:rsidRPr="00E1410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C0CE1" w14:textId="77777777" w:rsidR="002808C2" w:rsidRPr="00E14102" w:rsidRDefault="002808C2" w:rsidP="00E14102">
            <w:pPr>
              <w:jc w:val="both"/>
              <w:rPr>
                <w:color w:val="000000" w:themeColor="text1"/>
                <w:sz w:val="16"/>
                <w:szCs w:val="16"/>
              </w:rPr>
            </w:pPr>
            <w:r w:rsidRPr="00E14102">
              <w:rPr>
                <w:color w:val="000000" w:themeColor="text1"/>
                <w:sz w:val="16"/>
                <w:szCs w:val="16"/>
              </w:rPr>
              <w:t>152</w:t>
            </w:r>
            <w:r w:rsidRPr="00E14102">
              <w:rPr>
                <w:color w:val="000000" w:themeColor="text1"/>
                <w:sz w:val="16"/>
                <w:szCs w:val="16"/>
              </w:rPr>
              <w:noBreakHyphen/>
              <w:t>мм пушка 1910/1930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6D155" w14:textId="77777777" w:rsidR="002808C2" w:rsidRPr="00E14102" w:rsidRDefault="002808C2" w:rsidP="00E14102">
            <w:pPr>
              <w:jc w:val="both"/>
              <w:rPr>
                <w:color w:val="000000" w:themeColor="text1"/>
                <w:sz w:val="16"/>
                <w:szCs w:val="16"/>
              </w:rPr>
            </w:pPr>
            <w:r w:rsidRPr="00E1410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96932" w14:textId="77777777" w:rsidR="002808C2" w:rsidRPr="00E14102" w:rsidRDefault="002808C2" w:rsidP="00E14102">
            <w:pPr>
              <w:jc w:val="both"/>
              <w:rPr>
                <w:color w:val="000000" w:themeColor="text1"/>
                <w:sz w:val="16"/>
                <w:szCs w:val="16"/>
              </w:rPr>
            </w:pPr>
            <w:r w:rsidRPr="00E1410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577AE" w14:textId="77777777" w:rsidR="002808C2" w:rsidRPr="00E14102" w:rsidRDefault="002808C2" w:rsidP="00E14102">
            <w:pPr>
              <w:jc w:val="both"/>
              <w:rPr>
                <w:color w:val="000000" w:themeColor="text1"/>
                <w:sz w:val="16"/>
                <w:szCs w:val="16"/>
              </w:rPr>
            </w:pPr>
            <w:r w:rsidRPr="00E14102">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D4A38" w14:textId="77777777" w:rsidR="002808C2" w:rsidRPr="00E14102" w:rsidRDefault="002808C2" w:rsidP="00E14102">
            <w:pPr>
              <w:jc w:val="both"/>
              <w:rPr>
                <w:color w:val="000000" w:themeColor="text1"/>
                <w:sz w:val="16"/>
                <w:szCs w:val="16"/>
              </w:rPr>
            </w:pPr>
            <w:r w:rsidRPr="00E14102">
              <w:rPr>
                <w:color w:val="000000" w:themeColor="text1"/>
                <w:sz w:val="16"/>
                <w:szCs w:val="16"/>
              </w:rPr>
              <w:t>44,5%</w:t>
            </w:r>
          </w:p>
        </w:tc>
      </w:tr>
      <w:tr w:rsidR="00E3599D" w:rsidRPr="00E14102" w14:paraId="4989ED6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3D1619"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57234"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модернизированных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B2CC7" w14:textId="77777777" w:rsidR="002808C2" w:rsidRPr="00E14102" w:rsidRDefault="002808C2" w:rsidP="00E14102">
            <w:pPr>
              <w:jc w:val="both"/>
              <w:rPr>
                <w:color w:val="000000" w:themeColor="text1"/>
                <w:sz w:val="16"/>
                <w:szCs w:val="16"/>
              </w:rPr>
            </w:pPr>
            <w:r w:rsidRPr="00E14102">
              <w:rPr>
                <w:color w:val="000000" w:themeColor="text1"/>
                <w:sz w:val="16"/>
                <w:szCs w:val="16"/>
              </w:rPr>
              <w:t>1269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199C0" w14:textId="77777777" w:rsidR="002808C2" w:rsidRPr="00E14102" w:rsidRDefault="002808C2" w:rsidP="00E14102">
            <w:pPr>
              <w:jc w:val="both"/>
              <w:rPr>
                <w:color w:val="000000" w:themeColor="text1"/>
                <w:sz w:val="16"/>
                <w:szCs w:val="16"/>
              </w:rPr>
            </w:pPr>
            <w:r w:rsidRPr="00E14102">
              <w:rPr>
                <w:color w:val="000000" w:themeColor="text1"/>
                <w:sz w:val="16"/>
                <w:szCs w:val="16"/>
              </w:rPr>
              <w:t>1269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40ADA" w14:textId="77777777" w:rsidR="002808C2" w:rsidRPr="00E14102" w:rsidRDefault="002808C2" w:rsidP="00E14102">
            <w:pPr>
              <w:jc w:val="both"/>
              <w:rPr>
                <w:color w:val="000000" w:themeColor="text1"/>
                <w:sz w:val="16"/>
                <w:szCs w:val="16"/>
              </w:rPr>
            </w:pPr>
            <w:r w:rsidRPr="00E14102">
              <w:rPr>
                <w:color w:val="000000" w:themeColor="text1"/>
                <w:sz w:val="16"/>
                <w:szCs w:val="16"/>
              </w:rPr>
              <w:t>795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13E91" w14:textId="77777777" w:rsidR="002808C2" w:rsidRPr="00E14102" w:rsidRDefault="002808C2" w:rsidP="00E14102">
            <w:pPr>
              <w:jc w:val="both"/>
              <w:rPr>
                <w:color w:val="000000" w:themeColor="text1"/>
                <w:sz w:val="16"/>
                <w:szCs w:val="16"/>
              </w:rPr>
            </w:pPr>
            <w:r w:rsidRPr="00E14102">
              <w:rPr>
                <w:color w:val="000000" w:themeColor="text1"/>
                <w:sz w:val="16"/>
                <w:szCs w:val="16"/>
              </w:rPr>
              <w:t>62,6%</w:t>
            </w:r>
          </w:p>
        </w:tc>
      </w:tr>
      <w:tr w:rsidR="00E3599D" w:rsidRPr="00E14102" w14:paraId="51DCDC6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5997B"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DD057" w14:textId="77777777" w:rsidR="002808C2" w:rsidRPr="00E14102" w:rsidRDefault="002808C2" w:rsidP="00E14102">
            <w:pPr>
              <w:jc w:val="both"/>
              <w:rPr>
                <w:color w:val="000000" w:themeColor="text1"/>
                <w:sz w:val="16"/>
                <w:szCs w:val="16"/>
              </w:rPr>
            </w:pPr>
            <w:r w:rsidRPr="00E14102">
              <w:rPr>
                <w:color w:val="000000" w:themeColor="text1"/>
                <w:sz w:val="16"/>
                <w:szCs w:val="16"/>
              </w:rPr>
              <w:t>В. Ремонт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E461C" w14:textId="77777777" w:rsidR="002808C2" w:rsidRPr="00E14102" w:rsidRDefault="002808C2" w:rsidP="00E14102">
            <w:pPr>
              <w:jc w:val="both"/>
              <w:rPr>
                <w:color w:val="000000" w:themeColor="text1"/>
                <w:sz w:val="16"/>
                <w:szCs w:val="16"/>
              </w:rPr>
            </w:pPr>
            <w:r w:rsidRPr="00E14102">
              <w:rPr>
                <w:color w:val="000000" w:themeColor="text1"/>
                <w:sz w:val="16"/>
                <w:szCs w:val="16"/>
              </w:rPr>
              <w:t>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49C55" w14:textId="77777777" w:rsidR="002808C2" w:rsidRPr="00E14102" w:rsidRDefault="002808C2" w:rsidP="00E14102">
            <w:pPr>
              <w:jc w:val="both"/>
              <w:rPr>
                <w:color w:val="000000" w:themeColor="text1"/>
                <w:sz w:val="16"/>
                <w:szCs w:val="16"/>
              </w:rPr>
            </w:pPr>
            <w:r w:rsidRPr="00E14102">
              <w:rPr>
                <w:color w:val="000000" w:themeColor="text1"/>
                <w:sz w:val="16"/>
                <w:szCs w:val="16"/>
              </w:rPr>
              <w:t>969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E1B9B" w14:textId="77777777" w:rsidR="002808C2" w:rsidRPr="00E14102" w:rsidRDefault="002808C2" w:rsidP="00E14102">
            <w:pPr>
              <w:jc w:val="both"/>
              <w:rPr>
                <w:color w:val="000000" w:themeColor="text1"/>
                <w:sz w:val="16"/>
                <w:szCs w:val="16"/>
              </w:rPr>
            </w:pPr>
            <w:r w:rsidRPr="00E14102">
              <w:rPr>
                <w:color w:val="000000" w:themeColor="text1"/>
                <w:sz w:val="16"/>
                <w:szCs w:val="16"/>
              </w:rPr>
              <w:t>614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5E207" w14:textId="77777777" w:rsidR="002808C2" w:rsidRPr="00E14102" w:rsidRDefault="002808C2" w:rsidP="00E14102">
            <w:pPr>
              <w:jc w:val="both"/>
              <w:rPr>
                <w:color w:val="000000" w:themeColor="text1"/>
                <w:sz w:val="16"/>
                <w:szCs w:val="16"/>
              </w:rPr>
            </w:pPr>
            <w:r w:rsidRPr="00E14102">
              <w:rPr>
                <w:color w:val="000000" w:themeColor="text1"/>
                <w:sz w:val="16"/>
                <w:szCs w:val="16"/>
              </w:rPr>
              <w:t>81%</w:t>
            </w:r>
          </w:p>
        </w:tc>
      </w:tr>
      <w:tr w:rsidR="00E3599D" w:rsidRPr="00E14102" w14:paraId="34B9A84D"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100BF5A" w14:textId="77777777" w:rsidR="002808C2" w:rsidRPr="00E14102" w:rsidRDefault="002808C2" w:rsidP="00E14102">
            <w:pPr>
              <w:jc w:val="both"/>
              <w:rPr>
                <w:color w:val="000000" w:themeColor="text1"/>
                <w:sz w:val="16"/>
                <w:szCs w:val="16"/>
              </w:rPr>
            </w:pPr>
            <w:r w:rsidRPr="00E14102">
              <w:rPr>
                <w:color w:val="000000" w:themeColor="text1"/>
                <w:sz w:val="16"/>
                <w:szCs w:val="16"/>
              </w:rPr>
              <w:t>РУЧНОЕ ОРУДИЕ</w:t>
            </w:r>
          </w:p>
        </w:tc>
      </w:tr>
      <w:tr w:rsidR="00E3599D" w:rsidRPr="00E14102" w14:paraId="42D8505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7A6C30"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53B96" w14:textId="77777777" w:rsidR="002808C2" w:rsidRPr="00E14102" w:rsidRDefault="002808C2" w:rsidP="00E14102">
            <w:pPr>
              <w:jc w:val="both"/>
              <w:rPr>
                <w:color w:val="000000" w:themeColor="text1"/>
                <w:sz w:val="16"/>
                <w:szCs w:val="16"/>
              </w:rPr>
            </w:pPr>
            <w:r w:rsidRPr="00E14102">
              <w:rPr>
                <w:color w:val="000000" w:themeColor="text1"/>
                <w:sz w:val="16"/>
                <w:szCs w:val="16"/>
              </w:rPr>
              <w:t>Пулеметы авиационные ПВ-1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BD4A3" w14:textId="77777777" w:rsidR="002808C2" w:rsidRPr="00E14102" w:rsidRDefault="002808C2" w:rsidP="00E14102">
            <w:pPr>
              <w:jc w:val="both"/>
              <w:rPr>
                <w:color w:val="000000" w:themeColor="text1"/>
                <w:sz w:val="16"/>
                <w:szCs w:val="16"/>
              </w:rPr>
            </w:pPr>
            <w:r w:rsidRPr="00E14102">
              <w:rPr>
                <w:color w:val="000000" w:themeColor="text1"/>
                <w:sz w:val="16"/>
                <w:szCs w:val="16"/>
              </w:rPr>
              <w:t>3350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967AD" w14:textId="77777777" w:rsidR="002808C2" w:rsidRPr="00E14102" w:rsidRDefault="002808C2" w:rsidP="00E14102">
            <w:pPr>
              <w:jc w:val="both"/>
              <w:rPr>
                <w:color w:val="000000" w:themeColor="text1"/>
                <w:sz w:val="16"/>
                <w:szCs w:val="16"/>
              </w:rPr>
            </w:pPr>
            <w:r w:rsidRPr="00E14102">
              <w:rPr>
                <w:color w:val="000000" w:themeColor="text1"/>
                <w:sz w:val="16"/>
                <w:szCs w:val="16"/>
              </w:rPr>
              <w:t>3350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B385A" w14:textId="77777777" w:rsidR="002808C2" w:rsidRPr="00E14102" w:rsidRDefault="002808C2" w:rsidP="00E14102">
            <w:pPr>
              <w:jc w:val="both"/>
              <w:rPr>
                <w:color w:val="000000" w:themeColor="text1"/>
                <w:sz w:val="16"/>
                <w:szCs w:val="16"/>
              </w:rPr>
            </w:pPr>
            <w:r w:rsidRPr="00E14102">
              <w:rPr>
                <w:color w:val="000000" w:themeColor="text1"/>
                <w:sz w:val="16"/>
                <w:szCs w:val="16"/>
              </w:rPr>
              <w:t>3486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DD31A" w14:textId="77777777" w:rsidR="002808C2" w:rsidRPr="00E14102" w:rsidRDefault="002808C2" w:rsidP="00E14102">
            <w:pPr>
              <w:jc w:val="both"/>
              <w:rPr>
                <w:color w:val="000000" w:themeColor="text1"/>
                <w:sz w:val="16"/>
                <w:szCs w:val="16"/>
              </w:rPr>
            </w:pPr>
            <w:r w:rsidRPr="00E14102">
              <w:rPr>
                <w:color w:val="000000" w:themeColor="text1"/>
                <w:sz w:val="16"/>
                <w:szCs w:val="16"/>
              </w:rPr>
              <w:t>104%</w:t>
            </w:r>
          </w:p>
        </w:tc>
      </w:tr>
      <w:tr w:rsidR="00E3599D" w:rsidRPr="00E14102" w14:paraId="09D30DC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8E9615"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08F3A" w14:textId="77777777" w:rsidR="002808C2" w:rsidRPr="00E14102" w:rsidRDefault="002808C2" w:rsidP="00E14102">
            <w:pPr>
              <w:jc w:val="both"/>
              <w:rPr>
                <w:color w:val="000000" w:themeColor="text1"/>
                <w:sz w:val="16"/>
                <w:szCs w:val="16"/>
              </w:rPr>
            </w:pPr>
            <w:r w:rsidRPr="00E14102">
              <w:rPr>
                <w:color w:val="000000" w:themeColor="text1"/>
                <w:sz w:val="16"/>
                <w:szCs w:val="16"/>
              </w:rPr>
              <w:t>Пулеметы авиационные ДА-2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3779E" w14:textId="77777777" w:rsidR="002808C2" w:rsidRPr="00E14102" w:rsidRDefault="002808C2" w:rsidP="00E14102">
            <w:pPr>
              <w:jc w:val="both"/>
              <w:rPr>
                <w:color w:val="000000" w:themeColor="text1"/>
                <w:sz w:val="16"/>
                <w:szCs w:val="16"/>
              </w:rPr>
            </w:pPr>
            <w:r w:rsidRPr="00E14102">
              <w:rPr>
                <w:color w:val="000000" w:themeColor="text1"/>
                <w:sz w:val="16"/>
                <w:szCs w:val="16"/>
              </w:rPr>
              <w:t>2150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0B02D" w14:textId="77777777" w:rsidR="002808C2" w:rsidRPr="00E14102" w:rsidRDefault="002808C2" w:rsidP="00E14102">
            <w:pPr>
              <w:jc w:val="both"/>
              <w:rPr>
                <w:color w:val="000000" w:themeColor="text1"/>
                <w:sz w:val="16"/>
                <w:szCs w:val="16"/>
              </w:rPr>
            </w:pPr>
            <w:r w:rsidRPr="00E14102">
              <w:rPr>
                <w:color w:val="000000" w:themeColor="text1"/>
                <w:sz w:val="16"/>
                <w:szCs w:val="16"/>
              </w:rPr>
              <w:t>2150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3AF00" w14:textId="77777777" w:rsidR="002808C2" w:rsidRPr="00E14102" w:rsidRDefault="002808C2" w:rsidP="00E14102">
            <w:pPr>
              <w:jc w:val="both"/>
              <w:rPr>
                <w:color w:val="000000" w:themeColor="text1"/>
                <w:sz w:val="16"/>
                <w:szCs w:val="16"/>
              </w:rPr>
            </w:pPr>
            <w:r w:rsidRPr="00E14102">
              <w:rPr>
                <w:color w:val="000000" w:themeColor="text1"/>
                <w:sz w:val="16"/>
                <w:szCs w:val="16"/>
              </w:rPr>
              <w:t>2237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D6831" w14:textId="77777777" w:rsidR="002808C2" w:rsidRPr="00E14102" w:rsidRDefault="002808C2" w:rsidP="00E14102">
            <w:pPr>
              <w:jc w:val="both"/>
              <w:rPr>
                <w:color w:val="000000" w:themeColor="text1"/>
                <w:sz w:val="16"/>
                <w:szCs w:val="16"/>
              </w:rPr>
            </w:pPr>
            <w:r w:rsidRPr="00E14102">
              <w:rPr>
                <w:color w:val="000000" w:themeColor="text1"/>
                <w:sz w:val="16"/>
                <w:szCs w:val="16"/>
              </w:rPr>
              <w:t>104%</w:t>
            </w:r>
          </w:p>
        </w:tc>
      </w:tr>
      <w:tr w:rsidR="00E3599D" w:rsidRPr="00E14102" w14:paraId="3BDFDA5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C51777"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1E73B" w14:textId="77777777" w:rsidR="002808C2" w:rsidRPr="00E14102" w:rsidRDefault="002808C2" w:rsidP="00E14102">
            <w:pPr>
              <w:jc w:val="both"/>
              <w:rPr>
                <w:color w:val="000000" w:themeColor="text1"/>
                <w:sz w:val="16"/>
                <w:szCs w:val="16"/>
              </w:rPr>
            </w:pPr>
            <w:r w:rsidRPr="00E14102">
              <w:rPr>
                <w:color w:val="000000" w:themeColor="text1"/>
                <w:sz w:val="16"/>
                <w:szCs w:val="16"/>
              </w:rPr>
              <w:t>Пулеметы авиационные ШКАС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08259" w14:textId="77777777" w:rsidR="002808C2" w:rsidRPr="00E14102" w:rsidRDefault="002808C2" w:rsidP="00E14102">
            <w:pPr>
              <w:jc w:val="both"/>
              <w:rPr>
                <w:color w:val="000000" w:themeColor="text1"/>
                <w:sz w:val="16"/>
                <w:szCs w:val="16"/>
              </w:rPr>
            </w:pPr>
            <w:r w:rsidRPr="00E14102">
              <w:rPr>
                <w:color w:val="000000" w:themeColor="text1"/>
                <w:sz w:val="16"/>
                <w:szCs w:val="16"/>
              </w:rPr>
              <w:t>2297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57359" w14:textId="77777777" w:rsidR="002808C2" w:rsidRPr="00E14102" w:rsidRDefault="002808C2" w:rsidP="00E14102">
            <w:pPr>
              <w:jc w:val="both"/>
              <w:rPr>
                <w:color w:val="000000" w:themeColor="text1"/>
                <w:sz w:val="16"/>
                <w:szCs w:val="16"/>
              </w:rPr>
            </w:pPr>
            <w:r w:rsidRPr="00E14102">
              <w:rPr>
                <w:color w:val="000000" w:themeColor="text1"/>
                <w:sz w:val="16"/>
                <w:szCs w:val="16"/>
              </w:rPr>
              <w:t>2297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70BC7" w14:textId="77777777" w:rsidR="002808C2" w:rsidRPr="00E14102" w:rsidRDefault="002808C2" w:rsidP="00E14102">
            <w:pPr>
              <w:jc w:val="both"/>
              <w:rPr>
                <w:color w:val="000000" w:themeColor="text1"/>
                <w:sz w:val="16"/>
                <w:szCs w:val="16"/>
              </w:rPr>
            </w:pPr>
            <w:r w:rsidRPr="00E14102">
              <w:rPr>
                <w:color w:val="000000" w:themeColor="text1"/>
                <w:sz w:val="16"/>
                <w:szCs w:val="16"/>
              </w:rPr>
              <w:t>2488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BA117" w14:textId="77777777" w:rsidR="002808C2" w:rsidRPr="00E14102" w:rsidRDefault="002808C2" w:rsidP="00E14102">
            <w:pPr>
              <w:jc w:val="both"/>
              <w:rPr>
                <w:color w:val="000000" w:themeColor="text1"/>
                <w:sz w:val="16"/>
                <w:szCs w:val="16"/>
              </w:rPr>
            </w:pPr>
            <w:r w:rsidRPr="00E14102">
              <w:rPr>
                <w:color w:val="000000" w:themeColor="text1"/>
                <w:sz w:val="16"/>
                <w:szCs w:val="16"/>
              </w:rPr>
              <w:t>108%</w:t>
            </w:r>
          </w:p>
        </w:tc>
      </w:tr>
      <w:tr w:rsidR="00E3599D" w:rsidRPr="00E14102" w14:paraId="1267CBE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C89739" w14:textId="77777777" w:rsidR="002808C2" w:rsidRPr="00E14102" w:rsidRDefault="002808C2"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E2818" w14:textId="77777777" w:rsidR="002808C2" w:rsidRPr="00E14102" w:rsidRDefault="002808C2" w:rsidP="00E14102">
            <w:pPr>
              <w:jc w:val="both"/>
              <w:rPr>
                <w:color w:val="000000" w:themeColor="text1"/>
                <w:sz w:val="16"/>
                <w:szCs w:val="16"/>
              </w:rPr>
            </w:pPr>
            <w:r w:rsidRPr="00E14102">
              <w:rPr>
                <w:color w:val="000000" w:themeColor="text1"/>
                <w:sz w:val="16"/>
                <w:szCs w:val="16"/>
              </w:rPr>
              <w:t>Пулеметы авиационные ШВАК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4F802" w14:textId="77777777" w:rsidR="002808C2" w:rsidRPr="00E14102" w:rsidRDefault="002808C2" w:rsidP="00E14102">
            <w:pPr>
              <w:jc w:val="both"/>
              <w:rPr>
                <w:color w:val="000000" w:themeColor="text1"/>
                <w:sz w:val="16"/>
                <w:szCs w:val="16"/>
              </w:rPr>
            </w:pPr>
            <w:r w:rsidRPr="00E14102">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B5604" w14:textId="77777777" w:rsidR="002808C2" w:rsidRPr="00E14102" w:rsidRDefault="002808C2" w:rsidP="00E14102">
            <w:pPr>
              <w:jc w:val="both"/>
              <w:rPr>
                <w:color w:val="000000" w:themeColor="text1"/>
                <w:sz w:val="16"/>
                <w:szCs w:val="16"/>
              </w:rPr>
            </w:pPr>
            <w:r w:rsidRPr="00E14102">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FC9DE" w14:textId="77777777" w:rsidR="002808C2" w:rsidRPr="00E14102" w:rsidRDefault="002808C2" w:rsidP="00E14102">
            <w:pPr>
              <w:jc w:val="both"/>
              <w:rPr>
                <w:color w:val="000000" w:themeColor="text1"/>
                <w:sz w:val="16"/>
                <w:szCs w:val="16"/>
              </w:rPr>
            </w:pPr>
            <w:r w:rsidRPr="00E14102">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03180" w14:textId="77777777" w:rsidR="002808C2" w:rsidRPr="00E14102" w:rsidRDefault="002808C2" w:rsidP="00E14102">
            <w:pPr>
              <w:jc w:val="both"/>
              <w:rPr>
                <w:color w:val="000000" w:themeColor="text1"/>
                <w:sz w:val="16"/>
                <w:szCs w:val="16"/>
              </w:rPr>
            </w:pPr>
            <w:r w:rsidRPr="00E14102">
              <w:rPr>
                <w:color w:val="000000" w:themeColor="text1"/>
                <w:sz w:val="16"/>
                <w:szCs w:val="16"/>
              </w:rPr>
              <w:t>32%</w:t>
            </w:r>
          </w:p>
        </w:tc>
      </w:tr>
      <w:tr w:rsidR="00E3599D" w:rsidRPr="00E14102" w14:paraId="10136A3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060C93" w14:textId="77777777" w:rsidR="002808C2" w:rsidRPr="00E14102" w:rsidRDefault="002808C2"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D2AF6" w14:textId="77777777" w:rsidR="002808C2" w:rsidRPr="00E14102" w:rsidRDefault="002808C2" w:rsidP="00E14102">
            <w:pPr>
              <w:jc w:val="both"/>
              <w:rPr>
                <w:color w:val="000000" w:themeColor="text1"/>
                <w:sz w:val="16"/>
                <w:szCs w:val="16"/>
              </w:rPr>
            </w:pPr>
            <w:r w:rsidRPr="00E14102">
              <w:rPr>
                <w:color w:val="000000" w:themeColor="text1"/>
                <w:sz w:val="16"/>
                <w:szCs w:val="16"/>
              </w:rPr>
              <w:t>Пулеметы танковые ДТ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5E4C1" w14:textId="77777777" w:rsidR="002808C2" w:rsidRPr="00E14102" w:rsidRDefault="002808C2" w:rsidP="00E14102">
            <w:pPr>
              <w:jc w:val="both"/>
              <w:rPr>
                <w:color w:val="000000" w:themeColor="text1"/>
                <w:sz w:val="16"/>
                <w:szCs w:val="16"/>
              </w:rPr>
            </w:pPr>
            <w:r w:rsidRPr="00E14102">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57B3C" w14:textId="77777777" w:rsidR="002808C2" w:rsidRPr="00E14102" w:rsidRDefault="002808C2" w:rsidP="00E14102">
            <w:pPr>
              <w:jc w:val="both"/>
              <w:rPr>
                <w:color w:val="000000" w:themeColor="text1"/>
                <w:sz w:val="16"/>
                <w:szCs w:val="16"/>
              </w:rPr>
            </w:pPr>
            <w:r w:rsidRPr="00E14102">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56C57" w14:textId="77777777" w:rsidR="002808C2" w:rsidRPr="00E14102" w:rsidRDefault="002808C2" w:rsidP="00E14102">
            <w:pPr>
              <w:jc w:val="both"/>
              <w:rPr>
                <w:color w:val="000000" w:themeColor="text1"/>
                <w:sz w:val="16"/>
                <w:szCs w:val="16"/>
              </w:rPr>
            </w:pPr>
            <w:r w:rsidRPr="00E14102">
              <w:rPr>
                <w:color w:val="000000" w:themeColor="text1"/>
                <w:sz w:val="16"/>
                <w:szCs w:val="16"/>
              </w:rPr>
              <w:t>2986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9FA47" w14:textId="77777777" w:rsidR="002808C2" w:rsidRPr="00E14102" w:rsidRDefault="002808C2" w:rsidP="00E14102">
            <w:pPr>
              <w:jc w:val="both"/>
              <w:rPr>
                <w:color w:val="000000" w:themeColor="text1"/>
                <w:sz w:val="16"/>
                <w:szCs w:val="16"/>
              </w:rPr>
            </w:pPr>
            <w:r w:rsidRPr="00E14102">
              <w:rPr>
                <w:color w:val="000000" w:themeColor="text1"/>
                <w:sz w:val="16"/>
                <w:szCs w:val="16"/>
              </w:rPr>
              <w:t>149,3%</w:t>
            </w:r>
          </w:p>
        </w:tc>
      </w:tr>
      <w:tr w:rsidR="00E3599D" w:rsidRPr="00E14102" w14:paraId="70FEFFB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DF3DC3" w14:textId="77777777" w:rsidR="002808C2" w:rsidRPr="00E14102" w:rsidRDefault="002808C2" w:rsidP="00E14102">
            <w:pPr>
              <w:jc w:val="both"/>
              <w:rPr>
                <w:color w:val="000000" w:themeColor="text1"/>
                <w:sz w:val="16"/>
                <w:szCs w:val="16"/>
              </w:rPr>
            </w:pPr>
            <w:r w:rsidRPr="00E1410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143FF" w14:textId="77777777" w:rsidR="002808C2" w:rsidRPr="00E14102" w:rsidRDefault="002808C2" w:rsidP="00E14102">
            <w:pPr>
              <w:jc w:val="both"/>
              <w:rPr>
                <w:color w:val="000000" w:themeColor="text1"/>
                <w:sz w:val="16"/>
                <w:szCs w:val="16"/>
              </w:rPr>
            </w:pPr>
            <w:r w:rsidRPr="00E14102">
              <w:rPr>
                <w:color w:val="000000" w:themeColor="text1"/>
                <w:sz w:val="16"/>
                <w:szCs w:val="16"/>
              </w:rPr>
              <w:t>Пулеметы танковые ДТУ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A6587" w14:textId="77777777" w:rsidR="002808C2" w:rsidRPr="00E14102" w:rsidRDefault="002808C2"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5C85B" w14:textId="77777777" w:rsidR="002808C2" w:rsidRPr="00E14102" w:rsidRDefault="002808C2"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41C82" w14:textId="77777777" w:rsidR="002808C2" w:rsidRPr="00E14102" w:rsidRDefault="002808C2" w:rsidP="00E14102">
            <w:pPr>
              <w:jc w:val="both"/>
              <w:rPr>
                <w:color w:val="000000" w:themeColor="text1"/>
                <w:sz w:val="16"/>
                <w:szCs w:val="16"/>
              </w:rPr>
            </w:pPr>
            <w:r w:rsidRPr="00E14102">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66BB7" w14:textId="77777777" w:rsidR="002808C2" w:rsidRPr="00E14102" w:rsidRDefault="002808C2" w:rsidP="00E14102">
            <w:pPr>
              <w:jc w:val="both"/>
              <w:rPr>
                <w:color w:val="000000" w:themeColor="text1"/>
                <w:sz w:val="16"/>
                <w:szCs w:val="16"/>
              </w:rPr>
            </w:pPr>
            <w:r w:rsidRPr="00E14102">
              <w:rPr>
                <w:color w:val="000000" w:themeColor="text1"/>
                <w:sz w:val="16"/>
                <w:szCs w:val="16"/>
              </w:rPr>
              <w:t>26%</w:t>
            </w:r>
          </w:p>
        </w:tc>
      </w:tr>
      <w:tr w:rsidR="00E3599D" w:rsidRPr="00E14102" w14:paraId="3359A72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A48D63"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0BF25"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танковые и авиационные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1C06B" w14:textId="77777777" w:rsidR="002808C2" w:rsidRPr="00E14102" w:rsidRDefault="002808C2" w:rsidP="00E14102">
            <w:pPr>
              <w:jc w:val="both"/>
              <w:rPr>
                <w:color w:val="000000" w:themeColor="text1"/>
                <w:sz w:val="16"/>
                <w:szCs w:val="16"/>
              </w:rPr>
            </w:pPr>
            <w:r w:rsidRPr="00E14102">
              <w:rPr>
                <w:color w:val="000000" w:themeColor="text1"/>
                <w:sz w:val="16"/>
                <w:szCs w:val="16"/>
              </w:rPr>
              <w:t>9872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F7CEA" w14:textId="77777777" w:rsidR="002808C2" w:rsidRPr="00E14102" w:rsidRDefault="002808C2" w:rsidP="00E14102">
            <w:pPr>
              <w:jc w:val="both"/>
              <w:rPr>
                <w:color w:val="000000" w:themeColor="text1"/>
                <w:sz w:val="16"/>
                <w:szCs w:val="16"/>
              </w:rPr>
            </w:pPr>
            <w:r w:rsidRPr="00E14102">
              <w:rPr>
                <w:color w:val="000000" w:themeColor="text1"/>
                <w:sz w:val="16"/>
                <w:szCs w:val="16"/>
              </w:rPr>
              <w:t>9872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7C30A" w14:textId="77777777" w:rsidR="002808C2" w:rsidRPr="00E14102" w:rsidRDefault="002808C2" w:rsidP="00E14102">
            <w:pPr>
              <w:jc w:val="both"/>
              <w:rPr>
                <w:color w:val="000000" w:themeColor="text1"/>
                <w:sz w:val="16"/>
                <w:szCs w:val="16"/>
              </w:rPr>
            </w:pPr>
            <w:r w:rsidRPr="00E14102">
              <w:rPr>
                <w:color w:val="000000" w:themeColor="text1"/>
                <w:sz w:val="16"/>
                <w:szCs w:val="16"/>
              </w:rPr>
              <w:t>11 218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214EE" w14:textId="77777777" w:rsidR="002808C2" w:rsidRPr="00E14102" w:rsidRDefault="002808C2" w:rsidP="00E14102">
            <w:pPr>
              <w:jc w:val="both"/>
              <w:rPr>
                <w:color w:val="000000" w:themeColor="text1"/>
                <w:sz w:val="16"/>
                <w:szCs w:val="16"/>
              </w:rPr>
            </w:pPr>
            <w:r w:rsidRPr="00E14102">
              <w:rPr>
                <w:color w:val="000000" w:themeColor="text1"/>
                <w:sz w:val="16"/>
                <w:szCs w:val="16"/>
              </w:rPr>
              <w:t>113,6%</w:t>
            </w:r>
          </w:p>
        </w:tc>
      </w:tr>
      <w:tr w:rsidR="00E3599D" w:rsidRPr="00E14102" w14:paraId="7D13EDA8"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16F7CD0" w14:textId="77777777" w:rsidR="002808C2" w:rsidRPr="00E14102" w:rsidRDefault="002808C2" w:rsidP="00E14102">
            <w:pPr>
              <w:jc w:val="both"/>
              <w:rPr>
                <w:color w:val="000000" w:themeColor="text1"/>
                <w:sz w:val="16"/>
                <w:szCs w:val="16"/>
              </w:rPr>
            </w:pPr>
            <w:r w:rsidRPr="00E14102">
              <w:rPr>
                <w:color w:val="000000" w:themeColor="text1"/>
                <w:sz w:val="16"/>
                <w:szCs w:val="16"/>
              </w:rPr>
              <w:t>ПУЛЕМЕТЫ ОБЩЕВОЙСКОВЫЕ</w:t>
            </w:r>
          </w:p>
        </w:tc>
      </w:tr>
      <w:tr w:rsidR="00E3599D" w:rsidRPr="00E14102" w14:paraId="6544416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914BC8" w14:textId="77777777" w:rsidR="002808C2" w:rsidRPr="00E14102" w:rsidRDefault="002808C2" w:rsidP="00E14102">
            <w:pPr>
              <w:jc w:val="both"/>
              <w:rPr>
                <w:color w:val="000000" w:themeColor="text1"/>
                <w:sz w:val="16"/>
                <w:szCs w:val="16"/>
              </w:rPr>
            </w:pPr>
            <w:r w:rsidRPr="00E14102">
              <w:rPr>
                <w:color w:val="000000" w:themeColor="text1"/>
                <w:sz w:val="16"/>
                <w:szCs w:val="16"/>
              </w:rPr>
              <w:lastRenderedPageBreak/>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4F3F9" w14:textId="77777777" w:rsidR="002808C2" w:rsidRPr="00E14102" w:rsidRDefault="002808C2" w:rsidP="00E14102">
            <w:pPr>
              <w:jc w:val="both"/>
              <w:rPr>
                <w:color w:val="000000" w:themeColor="text1"/>
                <w:sz w:val="16"/>
                <w:szCs w:val="16"/>
              </w:rPr>
            </w:pPr>
            <w:r w:rsidRPr="00E14102">
              <w:rPr>
                <w:color w:val="000000" w:themeColor="text1"/>
                <w:sz w:val="16"/>
                <w:szCs w:val="16"/>
              </w:rPr>
              <w:t>Пулеметы Максима станковые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079C3" w14:textId="77777777" w:rsidR="002808C2" w:rsidRPr="00E14102" w:rsidRDefault="002808C2" w:rsidP="00E14102">
            <w:pPr>
              <w:jc w:val="both"/>
              <w:rPr>
                <w:color w:val="000000" w:themeColor="text1"/>
                <w:sz w:val="16"/>
                <w:szCs w:val="16"/>
              </w:rPr>
            </w:pPr>
            <w:r w:rsidRPr="00E14102">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C1F21" w14:textId="77777777" w:rsidR="002808C2" w:rsidRPr="00E14102" w:rsidRDefault="002808C2" w:rsidP="00E14102">
            <w:pPr>
              <w:jc w:val="both"/>
              <w:rPr>
                <w:color w:val="000000" w:themeColor="text1"/>
                <w:sz w:val="16"/>
                <w:szCs w:val="16"/>
              </w:rPr>
            </w:pPr>
            <w:r w:rsidRPr="00E14102">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32766" w14:textId="77777777" w:rsidR="002808C2" w:rsidRPr="00E14102" w:rsidRDefault="002808C2" w:rsidP="00E14102">
            <w:pPr>
              <w:jc w:val="both"/>
              <w:rPr>
                <w:color w:val="000000" w:themeColor="text1"/>
                <w:sz w:val="16"/>
                <w:szCs w:val="16"/>
              </w:rPr>
            </w:pPr>
            <w:r w:rsidRPr="00E14102">
              <w:rPr>
                <w:color w:val="000000" w:themeColor="text1"/>
                <w:sz w:val="16"/>
                <w:szCs w:val="16"/>
              </w:rPr>
              <w:t>2629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B8257" w14:textId="77777777" w:rsidR="002808C2" w:rsidRPr="00E14102" w:rsidRDefault="002808C2" w:rsidP="00E14102">
            <w:pPr>
              <w:jc w:val="both"/>
              <w:rPr>
                <w:color w:val="000000" w:themeColor="text1"/>
                <w:sz w:val="16"/>
                <w:szCs w:val="16"/>
              </w:rPr>
            </w:pPr>
            <w:r w:rsidRPr="00E14102">
              <w:rPr>
                <w:color w:val="000000" w:themeColor="text1"/>
                <w:sz w:val="16"/>
                <w:szCs w:val="16"/>
              </w:rPr>
              <w:t>131,5%</w:t>
            </w:r>
          </w:p>
        </w:tc>
      </w:tr>
      <w:tr w:rsidR="00E3599D" w:rsidRPr="00E14102" w14:paraId="660100D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8E3203"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160E7" w14:textId="77777777" w:rsidR="002808C2" w:rsidRPr="00E14102" w:rsidRDefault="002808C2" w:rsidP="00E14102">
            <w:pPr>
              <w:jc w:val="both"/>
              <w:rPr>
                <w:color w:val="000000" w:themeColor="text1"/>
                <w:sz w:val="16"/>
                <w:szCs w:val="16"/>
              </w:rPr>
            </w:pPr>
            <w:r w:rsidRPr="00E14102">
              <w:rPr>
                <w:color w:val="000000" w:themeColor="text1"/>
                <w:sz w:val="16"/>
                <w:szCs w:val="16"/>
              </w:rPr>
              <w:t>Пулеметы Максима без станков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F4027" w14:textId="77777777" w:rsidR="002808C2" w:rsidRPr="00E14102" w:rsidRDefault="002808C2" w:rsidP="00E14102">
            <w:pPr>
              <w:jc w:val="both"/>
              <w:rPr>
                <w:color w:val="000000" w:themeColor="text1"/>
                <w:sz w:val="16"/>
                <w:szCs w:val="16"/>
              </w:rPr>
            </w:pPr>
            <w:r w:rsidRPr="00E14102">
              <w:rPr>
                <w:color w:val="000000" w:themeColor="text1"/>
                <w:sz w:val="16"/>
                <w:szCs w:val="16"/>
              </w:rPr>
              <w:t>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D07E3" w14:textId="77777777" w:rsidR="002808C2" w:rsidRPr="00E14102" w:rsidRDefault="002808C2" w:rsidP="00E14102">
            <w:pPr>
              <w:jc w:val="both"/>
              <w:rPr>
                <w:color w:val="000000" w:themeColor="text1"/>
                <w:sz w:val="16"/>
                <w:szCs w:val="16"/>
              </w:rPr>
            </w:pPr>
            <w:r w:rsidRPr="00E14102">
              <w:rPr>
                <w:color w:val="000000" w:themeColor="text1"/>
                <w:sz w:val="16"/>
                <w:szCs w:val="16"/>
              </w:rPr>
              <w:t>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462A2" w14:textId="77777777" w:rsidR="002808C2" w:rsidRPr="00E14102" w:rsidRDefault="002808C2" w:rsidP="00E14102">
            <w:pPr>
              <w:jc w:val="both"/>
              <w:rPr>
                <w:color w:val="000000" w:themeColor="text1"/>
                <w:sz w:val="16"/>
                <w:szCs w:val="16"/>
              </w:rPr>
            </w:pPr>
            <w:r w:rsidRPr="00E14102">
              <w:rPr>
                <w:color w:val="000000" w:themeColor="text1"/>
                <w:sz w:val="16"/>
                <w:szCs w:val="16"/>
              </w:rPr>
              <w:t>1125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8D284" w14:textId="77777777" w:rsidR="002808C2" w:rsidRPr="00E14102" w:rsidRDefault="002808C2" w:rsidP="00E14102">
            <w:pPr>
              <w:jc w:val="both"/>
              <w:rPr>
                <w:color w:val="000000" w:themeColor="text1"/>
                <w:sz w:val="16"/>
                <w:szCs w:val="16"/>
              </w:rPr>
            </w:pPr>
            <w:r w:rsidRPr="00E14102">
              <w:rPr>
                <w:color w:val="000000" w:themeColor="text1"/>
                <w:sz w:val="16"/>
                <w:szCs w:val="16"/>
              </w:rPr>
              <w:t>90%</w:t>
            </w:r>
          </w:p>
        </w:tc>
      </w:tr>
      <w:tr w:rsidR="00E3599D" w:rsidRPr="00E14102" w14:paraId="4D7ED95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8A5814"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1C98A" w14:textId="77777777" w:rsidR="002808C2" w:rsidRPr="00E14102" w:rsidRDefault="002808C2" w:rsidP="00E14102">
            <w:pPr>
              <w:jc w:val="both"/>
              <w:rPr>
                <w:color w:val="000000" w:themeColor="text1"/>
                <w:sz w:val="16"/>
                <w:szCs w:val="16"/>
              </w:rPr>
            </w:pPr>
            <w:r w:rsidRPr="00E14102">
              <w:rPr>
                <w:color w:val="000000" w:themeColor="text1"/>
                <w:sz w:val="16"/>
                <w:szCs w:val="16"/>
              </w:rPr>
              <w:t>Пулеметы станковые ДС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D778C" w14:textId="77777777" w:rsidR="002808C2" w:rsidRPr="00E14102" w:rsidRDefault="002808C2"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FE31D" w14:textId="77777777" w:rsidR="002808C2" w:rsidRPr="00E14102" w:rsidRDefault="002808C2"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8C4A6" w14:textId="77777777" w:rsidR="002808C2" w:rsidRPr="00E14102" w:rsidRDefault="002808C2" w:rsidP="00E14102">
            <w:pPr>
              <w:jc w:val="both"/>
              <w:rPr>
                <w:color w:val="000000" w:themeColor="text1"/>
                <w:sz w:val="16"/>
                <w:szCs w:val="16"/>
              </w:rPr>
            </w:pPr>
            <w:r w:rsidRPr="00E14102">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CEA8C" w14:textId="77777777" w:rsidR="002808C2" w:rsidRPr="00E14102" w:rsidRDefault="002808C2" w:rsidP="00E14102">
            <w:pPr>
              <w:jc w:val="both"/>
              <w:rPr>
                <w:color w:val="000000" w:themeColor="text1"/>
                <w:sz w:val="16"/>
                <w:szCs w:val="16"/>
              </w:rPr>
            </w:pPr>
            <w:r w:rsidRPr="00E14102">
              <w:rPr>
                <w:color w:val="000000" w:themeColor="text1"/>
                <w:sz w:val="16"/>
                <w:szCs w:val="16"/>
              </w:rPr>
              <w:t>30%</w:t>
            </w:r>
          </w:p>
        </w:tc>
      </w:tr>
      <w:tr w:rsidR="00E3599D" w:rsidRPr="00E14102" w14:paraId="213DAB6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63FE2D" w14:textId="77777777" w:rsidR="002808C2" w:rsidRPr="00E14102" w:rsidRDefault="002808C2"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AC098" w14:textId="77777777" w:rsidR="002808C2" w:rsidRPr="00E14102" w:rsidRDefault="002808C2" w:rsidP="00E14102">
            <w:pPr>
              <w:jc w:val="both"/>
              <w:rPr>
                <w:color w:val="000000" w:themeColor="text1"/>
                <w:sz w:val="16"/>
                <w:szCs w:val="16"/>
              </w:rPr>
            </w:pPr>
            <w:r w:rsidRPr="00E14102">
              <w:rPr>
                <w:color w:val="000000" w:themeColor="text1"/>
                <w:sz w:val="16"/>
                <w:szCs w:val="16"/>
              </w:rPr>
              <w:t>Ручные пулеметы ДП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B3C32" w14:textId="77777777" w:rsidR="002808C2" w:rsidRPr="00E14102" w:rsidRDefault="002808C2" w:rsidP="00E14102">
            <w:pPr>
              <w:jc w:val="both"/>
              <w:rPr>
                <w:color w:val="000000" w:themeColor="text1"/>
                <w:sz w:val="16"/>
                <w:szCs w:val="16"/>
              </w:rPr>
            </w:pPr>
            <w:r w:rsidRPr="00E14102">
              <w:rPr>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10DC0" w14:textId="77777777" w:rsidR="002808C2" w:rsidRPr="00E14102" w:rsidRDefault="002808C2" w:rsidP="00E14102">
            <w:pPr>
              <w:jc w:val="both"/>
              <w:rPr>
                <w:color w:val="000000" w:themeColor="text1"/>
                <w:sz w:val="16"/>
                <w:szCs w:val="16"/>
              </w:rPr>
            </w:pPr>
            <w:r w:rsidRPr="00E14102">
              <w:rPr>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95273" w14:textId="77777777" w:rsidR="002808C2" w:rsidRPr="00E14102" w:rsidRDefault="002808C2" w:rsidP="00E14102">
            <w:pPr>
              <w:jc w:val="both"/>
              <w:rPr>
                <w:color w:val="000000" w:themeColor="text1"/>
                <w:sz w:val="16"/>
                <w:szCs w:val="16"/>
              </w:rPr>
            </w:pPr>
            <w:r w:rsidRPr="00E14102">
              <w:rPr>
                <w:color w:val="000000" w:themeColor="text1"/>
                <w:sz w:val="16"/>
                <w:szCs w:val="16"/>
              </w:rPr>
              <w:t>9191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CB522" w14:textId="77777777" w:rsidR="002808C2" w:rsidRPr="00E14102" w:rsidRDefault="002808C2" w:rsidP="00E14102">
            <w:pPr>
              <w:jc w:val="both"/>
              <w:rPr>
                <w:color w:val="000000" w:themeColor="text1"/>
                <w:sz w:val="16"/>
                <w:szCs w:val="16"/>
              </w:rPr>
            </w:pPr>
            <w:r w:rsidRPr="00E14102">
              <w:rPr>
                <w:color w:val="000000" w:themeColor="text1"/>
                <w:sz w:val="16"/>
                <w:szCs w:val="16"/>
              </w:rPr>
              <w:t>102,1%</w:t>
            </w:r>
          </w:p>
        </w:tc>
      </w:tr>
      <w:tr w:rsidR="00E3599D" w:rsidRPr="00E14102" w14:paraId="11737F2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E53DEC" w14:textId="77777777" w:rsidR="002808C2" w:rsidRPr="00E14102" w:rsidRDefault="002808C2"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566B7" w14:textId="77777777" w:rsidR="002808C2" w:rsidRPr="00E14102" w:rsidRDefault="002808C2" w:rsidP="00E14102">
            <w:pPr>
              <w:jc w:val="both"/>
              <w:rPr>
                <w:color w:val="000000" w:themeColor="text1"/>
                <w:sz w:val="16"/>
                <w:szCs w:val="16"/>
              </w:rPr>
            </w:pPr>
            <w:r w:rsidRPr="00E14102">
              <w:rPr>
                <w:color w:val="000000" w:themeColor="text1"/>
                <w:sz w:val="16"/>
                <w:szCs w:val="16"/>
              </w:rPr>
              <w:t>Пулеметы ШВАК пехотные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26E78" w14:textId="77777777" w:rsidR="002808C2" w:rsidRPr="00E14102" w:rsidRDefault="002808C2" w:rsidP="00E14102">
            <w:pPr>
              <w:jc w:val="both"/>
              <w:rPr>
                <w:color w:val="000000" w:themeColor="text1"/>
                <w:sz w:val="16"/>
                <w:szCs w:val="16"/>
              </w:rPr>
            </w:pPr>
            <w:r w:rsidRPr="00E14102">
              <w:rPr>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4D253" w14:textId="77777777" w:rsidR="002808C2" w:rsidRPr="00E14102" w:rsidRDefault="002808C2" w:rsidP="00E14102">
            <w:pPr>
              <w:jc w:val="both"/>
              <w:rPr>
                <w:color w:val="000000" w:themeColor="text1"/>
                <w:sz w:val="16"/>
                <w:szCs w:val="16"/>
              </w:rPr>
            </w:pPr>
            <w:r w:rsidRPr="00E14102">
              <w:rPr>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5A719"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8481E" w14:textId="77777777" w:rsidR="002808C2" w:rsidRPr="00E14102" w:rsidRDefault="002808C2" w:rsidP="00E14102">
            <w:pPr>
              <w:jc w:val="both"/>
              <w:rPr>
                <w:color w:val="000000" w:themeColor="text1"/>
                <w:sz w:val="16"/>
                <w:szCs w:val="16"/>
              </w:rPr>
            </w:pPr>
            <w:r w:rsidRPr="00E14102">
              <w:rPr>
                <w:color w:val="000000" w:themeColor="text1"/>
                <w:sz w:val="16"/>
                <w:szCs w:val="16"/>
              </w:rPr>
              <w:t>1,3%</w:t>
            </w:r>
          </w:p>
        </w:tc>
      </w:tr>
      <w:tr w:rsidR="00E3599D" w:rsidRPr="00E14102" w14:paraId="26CBDCF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E2470D" w14:textId="77777777" w:rsidR="002808C2" w:rsidRPr="00E14102" w:rsidRDefault="002808C2" w:rsidP="00E14102">
            <w:pPr>
              <w:jc w:val="both"/>
              <w:rPr>
                <w:color w:val="000000" w:themeColor="text1"/>
                <w:sz w:val="16"/>
                <w:szCs w:val="16"/>
              </w:rPr>
            </w:pPr>
            <w:r w:rsidRPr="00E1410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C7A92" w14:textId="77777777" w:rsidR="002808C2" w:rsidRPr="00E14102" w:rsidRDefault="002808C2" w:rsidP="00E14102">
            <w:pPr>
              <w:jc w:val="both"/>
              <w:rPr>
                <w:color w:val="000000" w:themeColor="text1"/>
                <w:sz w:val="16"/>
                <w:szCs w:val="16"/>
              </w:rPr>
            </w:pPr>
            <w:r w:rsidRPr="00E14102">
              <w:rPr>
                <w:color w:val="000000" w:themeColor="text1"/>
                <w:sz w:val="16"/>
                <w:szCs w:val="16"/>
              </w:rPr>
              <w:t>Пулеметы крупнокалиберные ДК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6D309" w14:textId="77777777" w:rsidR="002808C2" w:rsidRPr="00E14102" w:rsidRDefault="002808C2" w:rsidP="00E14102">
            <w:pPr>
              <w:jc w:val="both"/>
              <w:rPr>
                <w:color w:val="000000" w:themeColor="text1"/>
                <w:sz w:val="16"/>
                <w:szCs w:val="16"/>
              </w:rPr>
            </w:pPr>
            <w:r w:rsidRPr="00E14102">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AC940" w14:textId="77777777" w:rsidR="002808C2" w:rsidRPr="00E14102" w:rsidRDefault="002808C2" w:rsidP="00E14102">
            <w:pPr>
              <w:jc w:val="both"/>
              <w:rPr>
                <w:color w:val="000000" w:themeColor="text1"/>
                <w:sz w:val="16"/>
                <w:szCs w:val="16"/>
              </w:rPr>
            </w:pPr>
            <w:r w:rsidRPr="00E14102">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789F1" w14:textId="77777777" w:rsidR="002808C2" w:rsidRPr="00E14102" w:rsidRDefault="002808C2" w:rsidP="00E14102">
            <w:pPr>
              <w:jc w:val="both"/>
              <w:rPr>
                <w:color w:val="000000" w:themeColor="text1"/>
                <w:sz w:val="16"/>
                <w:szCs w:val="16"/>
              </w:rPr>
            </w:pPr>
            <w:r w:rsidRPr="00E14102">
              <w:rPr>
                <w:color w:val="000000" w:themeColor="text1"/>
                <w:sz w:val="16"/>
                <w:szCs w:val="16"/>
              </w:rPr>
              <w:t>393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3DFC2" w14:textId="77777777" w:rsidR="002808C2" w:rsidRPr="00E14102" w:rsidRDefault="002808C2" w:rsidP="00E14102">
            <w:pPr>
              <w:jc w:val="both"/>
              <w:rPr>
                <w:color w:val="000000" w:themeColor="text1"/>
                <w:sz w:val="16"/>
                <w:szCs w:val="16"/>
              </w:rPr>
            </w:pPr>
            <w:r w:rsidRPr="00E14102">
              <w:rPr>
                <w:color w:val="000000" w:themeColor="text1"/>
                <w:sz w:val="16"/>
                <w:szCs w:val="16"/>
              </w:rPr>
              <w:t>98%</w:t>
            </w:r>
          </w:p>
        </w:tc>
      </w:tr>
      <w:tr w:rsidR="00E3599D" w:rsidRPr="00E14102" w14:paraId="4650A02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E887C8"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DE942"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A6E81" w14:textId="77777777" w:rsidR="002808C2" w:rsidRPr="00E14102" w:rsidRDefault="002808C2" w:rsidP="00E14102">
            <w:pPr>
              <w:jc w:val="both"/>
              <w:rPr>
                <w:color w:val="000000" w:themeColor="text1"/>
                <w:sz w:val="16"/>
                <w:szCs w:val="16"/>
              </w:rPr>
            </w:pPr>
            <w:r w:rsidRPr="00E14102">
              <w:rPr>
                <w:color w:val="000000" w:themeColor="text1"/>
                <w:sz w:val="16"/>
                <w:szCs w:val="16"/>
              </w:rPr>
              <w:t>12 778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E2980" w14:textId="77777777" w:rsidR="002808C2" w:rsidRPr="00E14102" w:rsidRDefault="002808C2" w:rsidP="00E14102">
            <w:pPr>
              <w:jc w:val="both"/>
              <w:rPr>
                <w:color w:val="000000" w:themeColor="text1"/>
                <w:sz w:val="16"/>
                <w:szCs w:val="16"/>
              </w:rPr>
            </w:pPr>
            <w:r w:rsidRPr="00E14102">
              <w:rPr>
                <w:color w:val="000000" w:themeColor="text1"/>
                <w:sz w:val="16"/>
                <w:szCs w:val="16"/>
              </w:rPr>
              <w:t>12 778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AD6C8" w14:textId="77777777" w:rsidR="002808C2" w:rsidRPr="00E14102" w:rsidRDefault="002808C2" w:rsidP="00E14102">
            <w:pPr>
              <w:jc w:val="both"/>
              <w:rPr>
                <w:color w:val="000000" w:themeColor="text1"/>
                <w:sz w:val="16"/>
                <w:szCs w:val="16"/>
              </w:rPr>
            </w:pPr>
            <w:r w:rsidRPr="00E14102">
              <w:rPr>
                <w:color w:val="000000" w:themeColor="text1"/>
                <w:sz w:val="16"/>
                <w:szCs w:val="16"/>
              </w:rPr>
              <w:t>13 354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EBB35" w14:textId="77777777" w:rsidR="002808C2" w:rsidRPr="00E14102" w:rsidRDefault="002808C2" w:rsidP="00E14102">
            <w:pPr>
              <w:jc w:val="both"/>
              <w:rPr>
                <w:color w:val="000000" w:themeColor="text1"/>
                <w:sz w:val="16"/>
                <w:szCs w:val="16"/>
              </w:rPr>
            </w:pPr>
            <w:r w:rsidRPr="00E14102">
              <w:rPr>
                <w:color w:val="000000" w:themeColor="text1"/>
                <w:sz w:val="16"/>
                <w:szCs w:val="16"/>
              </w:rPr>
              <w:t>104,5%</w:t>
            </w:r>
          </w:p>
        </w:tc>
      </w:tr>
      <w:tr w:rsidR="00E3599D" w:rsidRPr="00E14102" w14:paraId="78CD220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1D6924"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7438C" w14:textId="77777777" w:rsidR="002808C2" w:rsidRPr="00E14102" w:rsidRDefault="002808C2" w:rsidP="00E14102">
            <w:pPr>
              <w:jc w:val="both"/>
              <w:rPr>
                <w:color w:val="000000" w:themeColor="text1"/>
                <w:sz w:val="16"/>
                <w:szCs w:val="16"/>
              </w:rPr>
            </w:pPr>
            <w:r w:rsidRPr="00E14102">
              <w:rPr>
                <w:color w:val="000000" w:themeColor="text1"/>
                <w:sz w:val="16"/>
                <w:szCs w:val="16"/>
              </w:rPr>
              <w:t>Всего пулеметов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737E9" w14:textId="77777777" w:rsidR="002808C2" w:rsidRPr="00E14102" w:rsidRDefault="002808C2" w:rsidP="00E14102">
            <w:pPr>
              <w:jc w:val="both"/>
              <w:rPr>
                <w:color w:val="000000" w:themeColor="text1"/>
                <w:sz w:val="16"/>
                <w:szCs w:val="16"/>
              </w:rPr>
            </w:pPr>
            <w:r w:rsidRPr="00E14102">
              <w:rPr>
                <w:color w:val="000000" w:themeColor="text1"/>
                <w:sz w:val="16"/>
                <w:szCs w:val="16"/>
              </w:rPr>
              <w:t>23 050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8CE9F" w14:textId="77777777" w:rsidR="002808C2" w:rsidRPr="00E14102" w:rsidRDefault="002808C2" w:rsidP="00E14102">
            <w:pPr>
              <w:jc w:val="both"/>
              <w:rPr>
                <w:color w:val="000000" w:themeColor="text1"/>
                <w:sz w:val="16"/>
                <w:szCs w:val="16"/>
              </w:rPr>
            </w:pPr>
            <w:r w:rsidRPr="00E14102">
              <w:rPr>
                <w:color w:val="000000" w:themeColor="text1"/>
                <w:sz w:val="16"/>
                <w:szCs w:val="16"/>
              </w:rPr>
              <w:t>23 050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B6F97" w14:textId="77777777" w:rsidR="002808C2" w:rsidRPr="00E14102" w:rsidRDefault="002808C2" w:rsidP="00E14102">
            <w:pPr>
              <w:jc w:val="both"/>
              <w:rPr>
                <w:color w:val="000000" w:themeColor="text1"/>
                <w:sz w:val="16"/>
                <w:szCs w:val="16"/>
              </w:rPr>
            </w:pPr>
            <w:r w:rsidRPr="00E14102">
              <w:rPr>
                <w:color w:val="000000" w:themeColor="text1"/>
                <w:sz w:val="16"/>
                <w:szCs w:val="16"/>
              </w:rPr>
              <w:t>23 493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4FF26" w14:textId="77777777" w:rsidR="002808C2" w:rsidRPr="00E14102" w:rsidRDefault="002808C2" w:rsidP="00E14102">
            <w:pPr>
              <w:jc w:val="both"/>
              <w:rPr>
                <w:color w:val="000000" w:themeColor="text1"/>
                <w:sz w:val="16"/>
                <w:szCs w:val="16"/>
              </w:rPr>
            </w:pPr>
            <w:r w:rsidRPr="00E14102">
              <w:rPr>
                <w:color w:val="000000" w:themeColor="text1"/>
                <w:sz w:val="16"/>
                <w:szCs w:val="16"/>
              </w:rPr>
              <w:t>101,2%</w:t>
            </w:r>
          </w:p>
        </w:tc>
      </w:tr>
      <w:tr w:rsidR="00E3599D" w:rsidRPr="00E14102" w14:paraId="52437FF1"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0A05756" w14:textId="77777777" w:rsidR="002808C2" w:rsidRPr="00E14102" w:rsidRDefault="002808C2" w:rsidP="00E14102">
            <w:pPr>
              <w:jc w:val="both"/>
              <w:rPr>
                <w:color w:val="000000" w:themeColor="text1"/>
                <w:sz w:val="16"/>
                <w:szCs w:val="16"/>
              </w:rPr>
            </w:pPr>
            <w:r w:rsidRPr="00E14102">
              <w:rPr>
                <w:color w:val="000000" w:themeColor="text1"/>
                <w:sz w:val="16"/>
                <w:szCs w:val="16"/>
              </w:rPr>
              <w:t>ВИНТОВКИ</w:t>
            </w:r>
          </w:p>
        </w:tc>
      </w:tr>
      <w:tr w:rsidR="00E3599D" w:rsidRPr="00E14102" w14:paraId="2397958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902A94"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E2410" w14:textId="77777777" w:rsidR="002808C2" w:rsidRPr="00E14102" w:rsidRDefault="002808C2" w:rsidP="00E14102">
            <w:pPr>
              <w:jc w:val="both"/>
              <w:rPr>
                <w:color w:val="000000" w:themeColor="text1"/>
                <w:sz w:val="16"/>
                <w:szCs w:val="16"/>
              </w:rPr>
            </w:pPr>
            <w:r w:rsidRPr="00E14102">
              <w:rPr>
                <w:color w:val="000000" w:themeColor="text1"/>
                <w:sz w:val="16"/>
                <w:szCs w:val="16"/>
              </w:rPr>
              <w:t>Винтовки автоматические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A71C6" w14:textId="77777777" w:rsidR="002808C2" w:rsidRPr="00E14102" w:rsidRDefault="002808C2" w:rsidP="00E14102">
            <w:pPr>
              <w:jc w:val="both"/>
              <w:rPr>
                <w:color w:val="000000" w:themeColor="text1"/>
                <w:sz w:val="16"/>
                <w:szCs w:val="16"/>
              </w:rPr>
            </w:pPr>
            <w:r w:rsidRPr="00E14102">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BA25B" w14:textId="77777777" w:rsidR="002808C2" w:rsidRPr="00E14102" w:rsidRDefault="002808C2" w:rsidP="00E14102">
            <w:pPr>
              <w:jc w:val="both"/>
              <w:rPr>
                <w:color w:val="000000" w:themeColor="text1"/>
                <w:sz w:val="16"/>
                <w:szCs w:val="16"/>
              </w:rPr>
            </w:pPr>
            <w:r w:rsidRPr="00E14102">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0466A" w14:textId="77777777" w:rsidR="002808C2" w:rsidRPr="00E14102" w:rsidRDefault="002808C2" w:rsidP="00E14102">
            <w:pPr>
              <w:jc w:val="both"/>
              <w:rPr>
                <w:color w:val="000000" w:themeColor="text1"/>
                <w:sz w:val="16"/>
                <w:szCs w:val="16"/>
              </w:rPr>
            </w:pPr>
            <w:r w:rsidRPr="00E14102">
              <w:rPr>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A23AE" w14:textId="77777777" w:rsidR="002808C2" w:rsidRPr="00E14102" w:rsidRDefault="002808C2" w:rsidP="00E14102">
            <w:pPr>
              <w:jc w:val="both"/>
              <w:rPr>
                <w:color w:val="000000" w:themeColor="text1"/>
                <w:sz w:val="16"/>
                <w:szCs w:val="16"/>
              </w:rPr>
            </w:pPr>
            <w:r w:rsidRPr="00E14102">
              <w:rPr>
                <w:color w:val="000000" w:themeColor="text1"/>
                <w:sz w:val="16"/>
                <w:szCs w:val="16"/>
              </w:rPr>
              <w:t>4,9%</w:t>
            </w:r>
          </w:p>
        </w:tc>
      </w:tr>
      <w:tr w:rsidR="00E3599D" w:rsidRPr="00E14102" w14:paraId="4A9F9A6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4FB17D"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8B54B" w14:textId="77777777" w:rsidR="002808C2" w:rsidRPr="00E14102" w:rsidRDefault="002808C2" w:rsidP="00E14102">
            <w:pPr>
              <w:jc w:val="both"/>
              <w:rPr>
                <w:color w:val="000000" w:themeColor="text1"/>
                <w:sz w:val="16"/>
                <w:szCs w:val="16"/>
              </w:rPr>
            </w:pPr>
            <w:r w:rsidRPr="00E14102">
              <w:rPr>
                <w:color w:val="000000" w:themeColor="text1"/>
                <w:sz w:val="16"/>
                <w:szCs w:val="16"/>
              </w:rPr>
              <w:t>Винтовки автоматические образца 1891/1930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FD084" w14:textId="77777777" w:rsidR="002808C2" w:rsidRPr="00E14102" w:rsidRDefault="002808C2" w:rsidP="00E14102">
            <w:pPr>
              <w:jc w:val="both"/>
              <w:rPr>
                <w:color w:val="000000" w:themeColor="text1"/>
                <w:sz w:val="16"/>
                <w:szCs w:val="16"/>
              </w:rPr>
            </w:pPr>
            <w:r w:rsidRPr="00E14102">
              <w:rPr>
                <w:color w:val="000000" w:themeColor="text1"/>
                <w:sz w:val="16"/>
                <w:szCs w:val="16"/>
              </w:rPr>
              <w:t>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F42B9" w14:textId="77777777" w:rsidR="002808C2" w:rsidRPr="00E14102" w:rsidRDefault="002808C2" w:rsidP="00E14102">
            <w:pPr>
              <w:jc w:val="both"/>
              <w:rPr>
                <w:color w:val="000000" w:themeColor="text1"/>
                <w:sz w:val="16"/>
                <w:szCs w:val="16"/>
              </w:rPr>
            </w:pPr>
            <w:r w:rsidRPr="00E14102">
              <w:rPr>
                <w:color w:val="000000" w:themeColor="text1"/>
                <w:sz w:val="16"/>
                <w:szCs w:val="16"/>
              </w:rPr>
              <w:t>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FAD31" w14:textId="77777777" w:rsidR="002808C2" w:rsidRPr="00E14102" w:rsidRDefault="002808C2" w:rsidP="00E14102">
            <w:pPr>
              <w:jc w:val="both"/>
              <w:rPr>
                <w:color w:val="000000" w:themeColor="text1"/>
                <w:sz w:val="16"/>
                <w:szCs w:val="16"/>
              </w:rPr>
            </w:pPr>
            <w:r w:rsidRPr="00E14102">
              <w:rPr>
                <w:color w:val="000000" w:themeColor="text1"/>
                <w:sz w:val="16"/>
                <w:szCs w:val="16"/>
              </w:rPr>
              <w:t>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3FF8D"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74CEFB7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F2C3D2"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F32CB" w14:textId="77777777" w:rsidR="002808C2" w:rsidRPr="00E14102" w:rsidRDefault="002808C2" w:rsidP="00E14102">
            <w:pPr>
              <w:jc w:val="both"/>
              <w:rPr>
                <w:color w:val="000000" w:themeColor="text1"/>
                <w:sz w:val="16"/>
                <w:szCs w:val="16"/>
              </w:rPr>
            </w:pPr>
            <w:r w:rsidRPr="00E14102">
              <w:rPr>
                <w:color w:val="000000" w:themeColor="text1"/>
                <w:sz w:val="16"/>
                <w:szCs w:val="16"/>
              </w:rPr>
              <w:t>Винтовки снайперские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C77FA" w14:textId="77777777" w:rsidR="002808C2" w:rsidRPr="00E14102" w:rsidRDefault="002808C2" w:rsidP="00E14102">
            <w:pPr>
              <w:jc w:val="both"/>
              <w:rPr>
                <w:color w:val="000000" w:themeColor="text1"/>
                <w:sz w:val="16"/>
                <w:szCs w:val="16"/>
              </w:rPr>
            </w:pPr>
            <w:r w:rsidRPr="00E14102">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390AE" w14:textId="77777777" w:rsidR="002808C2" w:rsidRPr="00E14102" w:rsidRDefault="002808C2" w:rsidP="00E14102">
            <w:pPr>
              <w:jc w:val="both"/>
              <w:rPr>
                <w:color w:val="000000" w:themeColor="text1"/>
                <w:sz w:val="16"/>
                <w:szCs w:val="16"/>
              </w:rPr>
            </w:pPr>
            <w:r w:rsidRPr="00E14102">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23B67" w14:textId="77777777" w:rsidR="002808C2" w:rsidRPr="00E14102" w:rsidRDefault="002808C2" w:rsidP="00E14102">
            <w:pPr>
              <w:jc w:val="both"/>
              <w:rPr>
                <w:color w:val="000000" w:themeColor="text1"/>
                <w:sz w:val="16"/>
                <w:szCs w:val="16"/>
              </w:rPr>
            </w:pPr>
            <w:r w:rsidRPr="00E14102">
              <w:rPr>
                <w:color w:val="000000" w:themeColor="text1"/>
                <w:sz w:val="16"/>
                <w:szCs w:val="16"/>
              </w:rPr>
              <w:t>5003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DB03D"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5B74ED0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92B078"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8BF23"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98FDC" w14:textId="77777777" w:rsidR="002808C2" w:rsidRPr="00E14102" w:rsidRDefault="002808C2" w:rsidP="00E14102">
            <w:pPr>
              <w:jc w:val="both"/>
              <w:rPr>
                <w:color w:val="000000" w:themeColor="text1"/>
                <w:sz w:val="16"/>
                <w:szCs w:val="16"/>
              </w:rPr>
            </w:pPr>
            <w:r w:rsidRPr="00E14102">
              <w:rPr>
                <w:color w:val="000000" w:themeColor="text1"/>
                <w:sz w:val="16"/>
                <w:szCs w:val="16"/>
              </w:rPr>
              <w:t>207 000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0C55D" w14:textId="77777777" w:rsidR="002808C2" w:rsidRPr="00E14102" w:rsidRDefault="002808C2" w:rsidP="00E14102">
            <w:pPr>
              <w:jc w:val="both"/>
              <w:rPr>
                <w:color w:val="000000" w:themeColor="text1"/>
                <w:sz w:val="16"/>
                <w:szCs w:val="16"/>
              </w:rPr>
            </w:pPr>
            <w:r w:rsidRPr="00E14102">
              <w:rPr>
                <w:color w:val="000000" w:themeColor="text1"/>
                <w:sz w:val="16"/>
                <w:szCs w:val="16"/>
              </w:rPr>
              <w:t>207 000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03D7B" w14:textId="77777777" w:rsidR="002808C2" w:rsidRPr="00E14102" w:rsidRDefault="002808C2" w:rsidP="00E14102">
            <w:pPr>
              <w:jc w:val="both"/>
              <w:rPr>
                <w:color w:val="000000" w:themeColor="text1"/>
                <w:sz w:val="16"/>
                <w:szCs w:val="16"/>
              </w:rPr>
            </w:pPr>
            <w:r w:rsidRPr="00E14102">
              <w:rPr>
                <w:color w:val="000000" w:themeColor="text1"/>
                <w:sz w:val="16"/>
                <w:szCs w:val="16"/>
              </w:rPr>
              <w:t>205 102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3501C" w14:textId="77777777" w:rsidR="002808C2" w:rsidRPr="00E14102" w:rsidRDefault="002808C2" w:rsidP="00E14102">
            <w:pPr>
              <w:jc w:val="both"/>
              <w:rPr>
                <w:color w:val="000000" w:themeColor="text1"/>
                <w:sz w:val="16"/>
                <w:szCs w:val="16"/>
              </w:rPr>
            </w:pPr>
            <w:r w:rsidRPr="00E14102">
              <w:rPr>
                <w:color w:val="000000" w:themeColor="text1"/>
                <w:sz w:val="16"/>
                <w:szCs w:val="16"/>
              </w:rPr>
              <w:t>95%</w:t>
            </w:r>
          </w:p>
        </w:tc>
      </w:tr>
      <w:tr w:rsidR="00E3599D" w:rsidRPr="00E14102" w14:paraId="793D68C8"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FB621DA" w14:textId="77777777" w:rsidR="002808C2" w:rsidRPr="00E14102" w:rsidRDefault="002808C2" w:rsidP="00E14102">
            <w:pPr>
              <w:jc w:val="both"/>
              <w:rPr>
                <w:color w:val="000000" w:themeColor="text1"/>
                <w:sz w:val="16"/>
                <w:szCs w:val="16"/>
              </w:rPr>
            </w:pPr>
            <w:r w:rsidRPr="00E14102">
              <w:rPr>
                <w:color w:val="000000" w:themeColor="text1"/>
                <w:sz w:val="16"/>
                <w:szCs w:val="16"/>
              </w:rPr>
              <w:t>РЕВОЛЬВЕРЫ И ПИСТОЛЕТЫ</w:t>
            </w:r>
          </w:p>
        </w:tc>
      </w:tr>
      <w:tr w:rsidR="00E3599D" w:rsidRPr="00E14102" w14:paraId="35603EF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E9B086" w14:textId="77777777" w:rsidR="002808C2" w:rsidRPr="00E14102" w:rsidRDefault="002808C2"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5E5DC" w14:textId="77777777" w:rsidR="002808C2" w:rsidRPr="00E14102" w:rsidRDefault="002808C2" w:rsidP="00E14102">
            <w:pPr>
              <w:jc w:val="both"/>
              <w:rPr>
                <w:color w:val="000000" w:themeColor="text1"/>
                <w:sz w:val="16"/>
                <w:szCs w:val="16"/>
              </w:rPr>
            </w:pPr>
            <w:r w:rsidRPr="00E14102">
              <w:rPr>
                <w:color w:val="000000" w:themeColor="text1"/>
                <w:sz w:val="16"/>
                <w:szCs w:val="16"/>
              </w:rPr>
              <w:t>Пистолеты 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01951" w14:textId="77777777" w:rsidR="002808C2" w:rsidRPr="00E14102" w:rsidRDefault="002808C2" w:rsidP="00E14102">
            <w:pPr>
              <w:jc w:val="both"/>
              <w:rPr>
                <w:color w:val="000000" w:themeColor="text1"/>
                <w:sz w:val="16"/>
                <w:szCs w:val="16"/>
              </w:rPr>
            </w:pPr>
            <w:r w:rsidRPr="00E14102">
              <w:rPr>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7FD96" w14:textId="77777777" w:rsidR="002808C2" w:rsidRPr="00E14102" w:rsidRDefault="002808C2" w:rsidP="00E14102">
            <w:pPr>
              <w:jc w:val="both"/>
              <w:rPr>
                <w:color w:val="000000" w:themeColor="text1"/>
                <w:sz w:val="16"/>
                <w:szCs w:val="16"/>
              </w:rPr>
            </w:pPr>
            <w:r w:rsidRPr="00E14102">
              <w:rPr>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83012" w14:textId="77777777" w:rsidR="002808C2" w:rsidRPr="00E14102" w:rsidRDefault="002808C2" w:rsidP="00E14102">
            <w:pPr>
              <w:jc w:val="both"/>
              <w:rPr>
                <w:color w:val="000000" w:themeColor="text1"/>
                <w:sz w:val="16"/>
                <w:szCs w:val="16"/>
              </w:rPr>
            </w:pPr>
            <w:r w:rsidRPr="00E14102">
              <w:rPr>
                <w:color w:val="000000" w:themeColor="text1"/>
                <w:sz w:val="16"/>
                <w:szCs w:val="16"/>
              </w:rPr>
              <w:t>31520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8EE71" w14:textId="77777777" w:rsidR="002808C2" w:rsidRPr="00E14102" w:rsidRDefault="002808C2" w:rsidP="00E14102">
            <w:pPr>
              <w:jc w:val="both"/>
              <w:rPr>
                <w:color w:val="000000" w:themeColor="text1"/>
                <w:sz w:val="16"/>
                <w:szCs w:val="16"/>
              </w:rPr>
            </w:pPr>
            <w:r w:rsidRPr="00E14102">
              <w:rPr>
                <w:color w:val="000000" w:themeColor="text1"/>
                <w:sz w:val="16"/>
                <w:szCs w:val="16"/>
              </w:rPr>
              <w:t>105%</w:t>
            </w:r>
          </w:p>
        </w:tc>
      </w:tr>
      <w:tr w:rsidR="00E3599D" w:rsidRPr="00E14102" w14:paraId="1B36ABC8"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85C625F" w14:textId="77777777" w:rsidR="002808C2" w:rsidRPr="00E14102" w:rsidRDefault="002808C2" w:rsidP="00E14102">
            <w:pPr>
              <w:jc w:val="both"/>
              <w:rPr>
                <w:color w:val="000000" w:themeColor="text1"/>
                <w:sz w:val="16"/>
                <w:szCs w:val="16"/>
              </w:rPr>
            </w:pPr>
            <w:r w:rsidRPr="00E14102">
              <w:rPr>
                <w:color w:val="000000" w:themeColor="text1"/>
                <w:sz w:val="16"/>
                <w:szCs w:val="16"/>
              </w:rPr>
              <w:t>ВИНТПАТРОНЫ (млн.)</w:t>
            </w:r>
          </w:p>
        </w:tc>
      </w:tr>
      <w:tr w:rsidR="00E3599D" w:rsidRPr="00E14102" w14:paraId="2A1F165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68E642"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63A36" w14:textId="77777777" w:rsidR="002808C2" w:rsidRPr="00E14102" w:rsidRDefault="002808C2" w:rsidP="00E14102">
            <w:pPr>
              <w:jc w:val="both"/>
              <w:rPr>
                <w:color w:val="000000" w:themeColor="text1"/>
                <w:sz w:val="16"/>
                <w:szCs w:val="16"/>
              </w:rPr>
            </w:pPr>
            <w:r w:rsidRPr="00E14102">
              <w:rPr>
                <w:color w:val="000000" w:themeColor="text1"/>
                <w:sz w:val="16"/>
                <w:szCs w:val="16"/>
              </w:rPr>
              <w:t>Патроны с легкой пулей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3E0FD" w14:textId="77777777" w:rsidR="002808C2" w:rsidRPr="00E14102" w:rsidRDefault="002808C2" w:rsidP="00E14102">
            <w:pPr>
              <w:jc w:val="both"/>
              <w:rPr>
                <w:color w:val="000000" w:themeColor="text1"/>
                <w:sz w:val="16"/>
                <w:szCs w:val="16"/>
              </w:rPr>
            </w:pPr>
            <w:r w:rsidRPr="00E1410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B2CAA" w14:textId="77777777" w:rsidR="002808C2" w:rsidRPr="00E14102" w:rsidRDefault="002808C2" w:rsidP="00E14102">
            <w:pPr>
              <w:jc w:val="both"/>
              <w:rPr>
                <w:color w:val="000000" w:themeColor="text1"/>
                <w:sz w:val="16"/>
                <w:szCs w:val="16"/>
              </w:rPr>
            </w:pPr>
            <w:r w:rsidRPr="00E1410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D5F09" w14:textId="77777777" w:rsidR="002808C2" w:rsidRPr="00E14102" w:rsidRDefault="002808C2" w:rsidP="00E14102">
            <w:pPr>
              <w:jc w:val="both"/>
              <w:rPr>
                <w:color w:val="000000" w:themeColor="text1"/>
                <w:sz w:val="16"/>
                <w:szCs w:val="16"/>
              </w:rPr>
            </w:pPr>
            <w:r w:rsidRPr="00E14102">
              <w:rPr>
                <w:color w:val="000000" w:themeColor="text1"/>
                <w:sz w:val="16"/>
                <w:szCs w:val="16"/>
              </w:rPr>
              <w:t>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397B0" w14:textId="77777777" w:rsidR="002808C2" w:rsidRPr="00E14102" w:rsidRDefault="002808C2" w:rsidP="00E14102">
            <w:pPr>
              <w:jc w:val="both"/>
              <w:rPr>
                <w:color w:val="000000" w:themeColor="text1"/>
                <w:sz w:val="16"/>
                <w:szCs w:val="16"/>
              </w:rPr>
            </w:pPr>
            <w:r w:rsidRPr="00E14102">
              <w:rPr>
                <w:color w:val="000000" w:themeColor="text1"/>
                <w:sz w:val="16"/>
                <w:szCs w:val="16"/>
              </w:rPr>
              <w:t>94%</w:t>
            </w:r>
          </w:p>
        </w:tc>
      </w:tr>
      <w:tr w:rsidR="00E3599D" w:rsidRPr="00E14102" w14:paraId="50AF7A1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A94541"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277D3" w14:textId="77777777" w:rsidR="002808C2" w:rsidRPr="00E14102" w:rsidRDefault="002808C2" w:rsidP="00E14102">
            <w:pPr>
              <w:jc w:val="both"/>
              <w:rPr>
                <w:color w:val="000000" w:themeColor="text1"/>
                <w:sz w:val="16"/>
                <w:szCs w:val="16"/>
              </w:rPr>
            </w:pPr>
            <w:r w:rsidRPr="00E14102">
              <w:rPr>
                <w:color w:val="000000" w:themeColor="text1"/>
                <w:sz w:val="16"/>
                <w:szCs w:val="16"/>
              </w:rPr>
              <w:t>Патроны с тяжелой пулей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BAFBF" w14:textId="77777777" w:rsidR="002808C2" w:rsidRPr="00E14102" w:rsidRDefault="002808C2" w:rsidP="00E14102">
            <w:pPr>
              <w:jc w:val="both"/>
              <w:rPr>
                <w:color w:val="000000" w:themeColor="text1"/>
                <w:sz w:val="16"/>
                <w:szCs w:val="16"/>
              </w:rPr>
            </w:pPr>
            <w:r w:rsidRPr="00E14102">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200EA" w14:textId="77777777" w:rsidR="002808C2" w:rsidRPr="00E14102" w:rsidRDefault="002808C2" w:rsidP="00E14102">
            <w:pPr>
              <w:jc w:val="both"/>
              <w:rPr>
                <w:color w:val="000000" w:themeColor="text1"/>
                <w:sz w:val="16"/>
                <w:szCs w:val="16"/>
              </w:rPr>
            </w:pPr>
            <w:r w:rsidRPr="00E14102">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9D245" w14:textId="77777777" w:rsidR="002808C2" w:rsidRPr="00E14102" w:rsidRDefault="002808C2" w:rsidP="00E14102">
            <w:pPr>
              <w:jc w:val="both"/>
              <w:rPr>
                <w:color w:val="000000" w:themeColor="text1"/>
                <w:sz w:val="16"/>
                <w:szCs w:val="16"/>
              </w:rPr>
            </w:pPr>
            <w:r w:rsidRPr="00E14102">
              <w:rPr>
                <w:color w:val="000000" w:themeColor="text1"/>
                <w:sz w:val="16"/>
                <w:szCs w:val="16"/>
              </w:rPr>
              <w:t>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482ED" w14:textId="77777777" w:rsidR="002808C2" w:rsidRPr="00E14102" w:rsidRDefault="002808C2" w:rsidP="00E14102">
            <w:pPr>
              <w:jc w:val="both"/>
              <w:rPr>
                <w:color w:val="000000" w:themeColor="text1"/>
                <w:sz w:val="16"/>
                <w:szCs w:val="16"/>
              </w:rPr>
            </w:pPr>
            <w:r w:rsidRPr="00E14102">
              <w:rPr>
                <w:color w:val="000000" w:themeColor="text1"/>
                <w:sz w:val="16"/>
                <w:szCs w:val="16"/>
              </w:rPr>
              <w:t>90%</w:t>
            </w:r>
          </w:p>
        </w:tc>
      </w:tr>
      <w:tr w:rsidR="00E3599D" w:rsidRPr="00E14102" w14:paraId="2F5281F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EC9755"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67ED4" w14:textId="77777777" w:rsidR="002808C2" w:rsidRPr="00E14102" w:rsidRDefault="002808C2" w:rsidP="00E14102">
            <w:pPr>
              <w:jc w:val="both"/>
              <w:rPr>
                <w:color w:val="000000" w:themeColor="text1"/>
                <w:sz w:val="16"/>
                <w:szCs w:val="16"/>
              </w:rPr>
            </w:pPr>
            <w:r w:rsidRPr="00E14102">
              <w:rPr>
                <w:color w:val="000000" w:themeColor="text1"/>
                <w:sz w:val="16"/>
                <w:szCs w:val="16"/>
              </w:rPr>
              <w:t>Патроны бронебойные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C7B08" w14:textId="77777777" w:rsidR="002808C2" w:rsidRPr="00E14102" w:rsidRDefault="002808C2" w:rsidP="00E14102">
            <w:pPr>
              <w:jc w:val="both"/>
              <w:rPr>
                <w:color w:val="000000" w:themeColor="text1"/>
                <w:sz w:val="16"/>
                <w:szCs w:val="16"/>
              </w:rPr>
            </w:pPr>
            <w:r w:rsidRPr="00E14102">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8D107" w14:textId="77777777" w:rsidR="002808C2" w:rsidRPr="00E14102" w:rsidRDefault="002808C2" w:rsidP="00E14102">
            <w:pPr>
              <w:jc w:val="both"/>
              <w:rPr>
                <w:color w:val="000000" w:themeColor="text1"/>
                <w:sz w:val="16"/>
                <w:szCs w:val="16"/>
              </w:rPr>
            </w:pPr>
            <w:r w:rsidRPr="00E14102">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7BB67" w14:textId="77777777" w:rsidR="002808C2" w:rsidRPr="00E14102" w:rsidRDefault="002808C2" w:rsidP="00E14102">
            <w:pPr>
              <w:jc w:val="both"/>
              <w:rPr>
                <w:color w:val="000000" w:themeColor="text1"/>
                <w:sz w:val="16"/>
                <w:szCs w:val="16"/>
              </w:rPr>
            </w:pPr>
            <w:r w:rsidRPr="00E14102">
              <w:rPr>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D51A8" w14:textId="77777777" w:rsidR="002808C2" w:rsidRPr="00E14102" w:rsidRDefault="002808C2" w:rsidP="00E14102">
            <w:pPr>
              <w:jc w:val="both"/>
              <w:rPr>
                <w:color w:val="000000" w:themeColor="text1"/>
                <w:sz w:val="16"/>
                <w:szCs w:val="16"/>
              </w:rPr>
            </w:pPr>
            <w:r w:rsidRPr="00E14102">
              <w:rPr>
                <w:color w:val="000000" w:themeColor="text1"/>
                <w:sz w:val="16"/>
                <w:szCs w:val="16"/>
              </w:rPr>
              <w:t>30%</w:t>
            </w:r>
          </w:p>
        </w:tc>
      </w:tr>
      <w:tr w:rsidR="00E3599D" w:rsidRPr="00E14102" w14:paraId="6E8D3D6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506B73" w14:textId="77777777" w:rsidR="002808C2" w:rsidRPr="00E14102" w:rsidRDefault="002808C2"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6CD48" w14:textId="77777777" w:rsidR="002808C2" w:rsidRPr="00E14102" w:rsidRDefault="002808C2" w:rsidP="00E14102">
            <w:pPr>
              <w:jc w:val="both"/>
              <w:rPr>
                <w:color w:val="000000" w:themeColor="text1"/>
                <w:sz w:val="16"/>
                <w:szCs w:val="16"/>
              </w:rPr>
            </w:pPr>
            <w:r w:rsidRPr="00E14102">
              <w:rPr>
                <w:color w:val="000000" w:themeColor="text1"/>
                <w:sz w:val="16"/>
                <w:szCs w:val="16"/>
              </w:rPr>
              <w:t>Патроны бронебойные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E06F7" w14:textId="77777777" w:rsidR="002808C2" w:rsidRPr="00E14102" w:rsidRDefault="002808C2" w:rsidP="00E14102">
            <w:pPr>
              <w:jc w:val="both"/>
              <w:rPr>
                <w:color w:val="000000" w:themeColor="text1"/>
                <w:sz w:val="16"/>
                <w:szCs w:val="16"/>
              </w:rPr>
            </w:pPr>
            <w:r w:rsidRPr="00E14102">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E1A55" w14:textId="77777777" w:rsidR="002808C2" w:rsidRPr="00E14102" w:rsidRDefault="002808C2" w:rsidP="00E14102">
            <w:pPr>
              <w:jc w:val="both"/>
              <w:rPr>
                <w:color w:val="000000" w:themeColor="text1"/>
                <w:sz w:val="16"/>
                <w:szCs w:val="16"/>
              </w:rPr>
            </w:pPr>
            <w:r w:rsidRPr="00E14102">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4F83C" w14:textId="77777777" w:rsidR="002808C2" w:rsidRPr="00E14102" w:rsidRDefault="002808C2" w:rsidP="00E14102">
            <w:pPr>
              <w:jc w:val="both"/>
              <w:rPr>
                <w:color w:val="000000" w:themeColor="text1"/>
                <w:sz w:val="16"/>
                <w:szCs w:val="16"/>
              </w:rPr>
            </w:pPr>
            <w:r w:rsidRPr="00E14102">
              <w:rPr>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3E8F7" w14:textId="77777777" w:rsidR="002808C2" w:rsidRPr="00E14102" w:rsidRDefault="002808C2" w:rsidP="00E14102">
            <w:pPr>
              <w:jc w:val="both"/>
              <w:rPr>
                <w:color w:val="000000" w:themeColor="text1"/>
                <w:sz w:val="16"/>
                <w:szCs w:val="16"/>
              </w:rPr>
            </w:pPr>
            <w:r w:rsidRPr="00E14102">
              <w:rPr>
                <w:color w:val="000000" w:themeColor="text1"/>
                <w:sz w:val="16"/>
                <w:szCs w:val="16"/>
              </w:rPr>
              <w:t>125%</w:t>
            </w:r>
          </w:p>
        </w:tc>
      </w:tr>
      <w:tr w:rsidR="00E3599D" w:rsidRPr="00E14102" w14:paraId="62951DE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793A96" w14:textId="77777777" w:rsidR="002808C2" w:rsidRPr="00E14102" w:rsidRDefault="002808C2"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95FBD" w14:textId="77777777" w:rsidR="002808C2" w:rsidRPr="00E14102" w:rsidRDefault="002808C2" w:rsidP="00E14102">
            <w:pPr>
              <w:jc w:val="both"/>
              <w:rPr>
                <w:color w:val="000000" w:themeColor="text1"/>
                <w:sz w:val="16"/>
                <w:szCs w:val="16"/>
              </w:rPr>
            </w:pPr>
            <w:r w:rsidRPr="00E14102">
              <w:rPr>
                <w:color w:val="000000" w:themeColor="text1"/>
                <w:sz w:val="16"/>
                <w:szCs w:val="16"/>
              </w:rPr>
              <w:t>Патроны трассирующие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AA7EF" w14:textId="77777777" w:rsidR="002808C2" w:rsidRPr="00E14102" w:rsidRDefault="002808C2" w:rsidP="00E14102">
            <w:pPr>
              <w:jc w:val="both"/>
              <w:rPr>
                <w:color w:val="000000" w:themeColor="text1"/>
                <w:sz w:val="16"/>
                <w:szCs w:val="16"/>
              </w:rPr>
            </w:pPr>
            <w:r w:rsidRPr="00E14102">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9403D" w14:textId="77777777" w:rsidR="002808C2" w:rsidRPr="00E14102" w:rsidRDefault="002808C2" w:rsidP="00E14102">
            <w:pPr>
              <w:jc w:val="both"/>
              <w:rPr>
                <w:color w:val="000000" w:themeColor="text1"/>
                <w:sz w:val="16"/>
                <w:szCs w:val="16"/>
              </w:rPr>
            </w:pPr>
            <w:r w:rsidRPr="00E14102">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2116A" w14:textId="77777777" w:rsidR="002808C2" w:rsidRPr="00E14102" w:rsidRDefault="002808C2" w:rsidP="00E14102">
            <w:pPr>
              <w:jc w:val="both"/>
              <w:rPr>
                <w:color w:val="000000" w:themeColor="text1"/>
                <w:sz w:val="16"/>
                <w:szCs w:val="16"/>
              </w:rPr>
            </w:pPr>
            <w:r w:rsidRPr="00E14102">
              <w:rPr>
                <w:color w:val="000000" w:themeColor="text1"/>
                <w:sz w:val="16"/>
                <w:szCs w:val="16"/>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3049E" w14:textId="77777777" w:rsidR="002808C2" w:rsidRPr="00E14102" w:rsidRDefault="002808C2" w:rsidP="00E14102">
            <w:pPr>
              <w:jc w:val="both"/>
              <w:rPr>
                <w:color w:val="000000" w:themeColor="text1"/>
                <w:sz w:val="16"/>
                <w:szCs w:val="16"/>
              </w:rPr>
            </w:pPr>
            <w:r w:rsidRPr="00E14102">
              <w:rPr>
                <w:color w:val="000000" w:themeColor="text1"/>
                <w:sz w:val="16"/>
                <w:szCs w:val="16"/>
              </w:rPr>
              <w:t>81%</w:t>
            </w:r>
          </w:p>
        </w:tc>
      </w:tr>
      <w:tr w:rsidR="00E3599D" w:rsidRPr="00E14102" w14:paraId="0E8A5BC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AA08F5" w14:textId="77777777" w:rsidR="002808C2" w:rsidRPr="00E14102" w:rsidRDefault="002808C2" w:rsidP="00E14102">
            <w:pPr>
              <w:jc w:val="both"/>
              <w:rPr>
                <w:color w:val="000000" w:themeColor="text1"/>
                <w:sz w:val="16"/>
                <w:szCs w:val="16"/>
              </w:rPr>
            </w:pPr>
            <w:r w:rsidRPr="00E1410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65C25" w14:textId="77777777" w:rsidR="002808C2" w:rsidRPr="00E14102" w:rsidRDefault="002808C2" w:rsidP="00E14102">
            <w:pPr>
              <w:jc w:val="both"/>
              <w:rPr>
                <w:color w:val="000000" w:themeColor="text1"/>
                <w:sz w:val="16"/>
                <w:szCs w:val="16"/>
              </w:rPr>
            </w:pPr>
            <w:r w:rsidRPr="00E14102">
              <w:rPr>
                <w:color w:val="000000" w:themeColor="text1"/>
                <w:sz w:val="16"/>
                <w:szCs w:val="16"/>
              </w:rPr>
              <w:t>Патроны бронебойные трассирующие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9D9AD" w14:textId="77777777" w:rsidR="002808C2" w:rsidRPr="00E14102" w:rsidRDefault="002808C2"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07A58" w14:textId="77777777" w:rsidR="002808C2" w:rsidRPr="00E14102" w:rsidRDefault="002808C2"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25A29" w14:textId="77777777" w:rsidR="002808C2" w:rsidRPr="00E14102" w:rsidRDefault="002808C2" w:rsidP="00E14102">
            <w:pPr>
              <w:jc w:val="both"/>
              <w:rPr>
                <w:color w:val="000000" w:themeColor="text1"/>
                <w:sz w:val="16"/>
                <w:szCs w:val="16"/>
              </w:rPr>
            </w:pPr>
            <w:r w:rsidRPr="00E14102">
              <w:rPr>
                <w:color w:val="000000" w:themeColor="text1"/>
                <w:sz w:val="16"/>
                <w:szCs w:val="16"/>
              </w:rPr>
              <w:t>0,509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9A8B8" w14:textId="77777777" w:rsidR="002808C2" w:rsidRPr="00E14102" w:rsidRDefault="002808C2" w:rsidP="00E14102">
            <w:pPr>
              <w:jc w:val="both"/>
              <w:rPr>
                <w:color w:val="000000" w:themeColor="text1"/>
                <w:sz w:val="16"/>
                <w:szCs w:val="16"/>
              </w:rPr>
            </w:pPr>
            <w:r w:rsidRPr="00E14102">
              <w:rPr>
                <w:color w:val="000000" w:themeColor="text1"/>
                <w:sz w:val="16"/>
                <w:szCs w:val="16"/>
              </w:rPr>
              <w:t>11%</w:t>
            </w:r>
          </w:p>
        </w:tc>
      </w:tr>
      <w:tr w:rsidR="00E3599D" w:rsidRPr="00E14102" w14:paraId="5566A5D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F0DA2E" w14:textId="77777777" w:rsidR="002808C2" w:rsidRPr="00E14102" w:rsidRDefault="002808C2" w:rsidP="00E14102">
            <w:pPr>
              <w:jc w:val="both"/>
              <w:rPr>
                <w:color w:val="000000" w:themeColor="text1"/>
                <w:sz w:val="16"/>
                <w:szCs w:val="16"/>
              </w:rPr>
            </w:pPr>
            <w:r w:rsidRPr="00E1410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F0993" w14:textId="77777777" w:rsidR="002808C2" w:rsidRPr="00E14102" w:rsidRDefault="002808C2" w:rsidP="00E14102">
            <w:pPr>
              <w:jc w:val="both"/>
              <w:rPr>
                <w:color w:val="000000" w:themeColor="text1"/>
                <w:sz w:val="16"/>
                <w:szCs w:val="16"/>
              </w:rPr>
            </w:pPr>
            <w:r w:rsidRPr="00E14102">
              <w:rPr>
                <w:color w:val="000000" w:themeColor="text1"/>
                <w:sz w:val="16"/>
                <w:szCs w:val="16"/>
              </w:rPr>
              <w:t>Патроны ШКАС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F37C6" w14:textId="77777777" w:rsidR="002808C2" w:rsidRPr="00E14102" w:rsidRDefault="002808C2" w:rsidP="00E14102">
            <w:pPr>
              <w:jc w:val="both"/>
              <w:rPr>
                <w:color w:val="000000" w:themeColor="text1"/>
                <w:sz w:val="16"/>
                <w:szCs w:val="16"/>
              </w:rPr>
            </w:pPr>
            <w:r w:rsidRPr="00E14102">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B8C01" w14:textId="77777777" w:rsidR="002808C2" w:rsidRPr="00E14102" w:rsidRDefault="002808C2" w:rsidP="00E14102">
            <w:pPr>
              <w:jc w:val="both"/>
              <w:rPr>
                <w:color w:val="000000" w:themeColor="text1"/>
                <w:sz w:val="16"/>
                <w:szCs w:val="16"/>
              </w:rPr>
            </w:pPr>
            <w:r w:rsidRPr="00E14102">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703D7" w14:textId="77777777" w:rsidR="002808C2" w:rsidRPr="00E14102" w:rsidRDefault="002808C2" w:rsidP="00E14102">
            <w:pPr>
              <w:jc w:val="both"/>
              <w:rPr>
                <w:color w:val="000000" w:themeColor="text1"/>
                <w:sz w:val="16"/>
                <w:szCs w:val="16"/>
              </w:rPr>
            </w:pPr>
            <w:r w:rsidRPr="00E14102">
              <w:rPr>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B2425" w14:textId="77777777" w:rsidR="002808C2" w:rsidRPr="00E14102" w:rsidRDefault="002808C2" w:rsidP="00E14102">
            <w:pPr>
              <w:jc w:val="both"/>
              <w:rPr>
                <w:color w:val="000000" w:themeColor="text1"/>
                <w:sz w:val="16"/>
                <w:szCs w:val="16"/>
              </w:rPr>
            </w:pPr>
            <w:r w:rsidRPr="00E14102">
              <w:rPr>
                <w:color w:val="000000" w:themeColor="text1"/>
                <w:sz w:val="16"/>
                <w:szCs w:val="16"/>
              </w:rPr>
              <w:t>42%</w:t>
            </w:r>
          </w:p>
        </w:tc>
      </w:tr>
      <w:tr w:rsidR="00E3599D" w:rsidRPr="00E14102" w14:paraId="125DC1D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F5E407" w14:textId="77777777" w:rsidR="002808C2" w:rsidRPr="00E14102" w:rsidRDefault="002808C2" w:rsidP="00E14102">
            <w:pPr>
              <w:jc w:val="both"/>
              <w:rPr>
                <w:color w:val="000000" w:themeColor="text1"/>
                <w:sz w:val="16"/>
                <w:szCs w:val="16"/>
              </w:rPr>
            </w:pPr>
            <w:r w:rsidRPr="00E14102">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9CB17" w14:textId="77777777" w:rsidR="002808C2" w:rsidRPr="00E14102" w:rsidRDefault="002808C2" w:rsidP="00E14102">
            <w:pPr>
              <w:jc w:val="both"/>
              <w:rPr>
                <w:color w:val="000000" w:themeColor="text1"/>
                <w:sz w:val="16"/>
                <w:szCs w:val="16"/>
              </w:rPr>
            </w:pPr>
            <w:r w:rsidRPr="00E14102">
              <w:rPr>
                <w:color w:val="000000" w:themeColor="text1"/>
                <w:sz w:val="16"/>
                <w:szCs w:val="16"/>
              </w:rPr>
              <w:t>Патроны авиационные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1166E" w14:textId="77777777" w:rsidR="002808C2" w:rsidRPr="00E14102" w:rsidRDefault="002808C2" w:rsidP="00E14102">
            <w:pPr>
              <w:jc w:val="both"/>
              <w:rPr>
                <w:color w:val="000000" w:themeColor="text1"/>
                <w:sz w:val="16"/>
                <w:szCs w:val="16"/>
              </w:rPr>
            </w:pPr>
            <w:r w:rsidRPr="00E14102">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67B71" w14:textId="77777777" w:rsidR="002808C2" w:rsidRPr="00E14102" w:rsidRDefault="002808C2" w:rsidP="00E14102">
            <w:pPr>
              <w:jc w:val="both"/>
              <w:rPr>
                <w:color w:val="000000" w:themeColor="text1"/>
                <w:sz w:val="16"/>
                <w:szCs w:val="16"/>
              </w:rPr>
            </w:pPr>
            <w:r w:rsidRPr="00E14102">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A4CBB" w14:textId="77777777" w:rsidR="002808C2" w:rsidRPr="00E14102" w:rsidRDefault="002808C2" w:rsidP="00E14102">
            <w:pPr>
              <w:jc w:val="both"/>
              <w:rPr>
                <w:color w:val="000000" w:themeColor="text1"/>
                <w:sz w:val="16"/>
                <w:szCs w:val="16"/>
              </w:rPr>
            </w:pPr>
            <w:r w:rsidRPr="00E14102">
              <w:rPr>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E81FE" w14:textId="77777777" w:rsidR="002808C2" w:rsidRPr="00E14102" w:rsidRDefault="002808C2" w:rsidP="00E14102">
            <w:pPr>
              <w:jc w:val="both"/>
              <w:rPr>
                <w:color w:val="000000" w:themeColor="text1"/>
                <w:sz w:val="16"/>
                <w:szCs w:val="16"/>
              </w:rPr>
            </w:pPr>
            <w:r w:rsidRPr="00E14102">
              <w:rPr>
                <w:color w:val="000000" w:themeColor="text1"/>
                <w:sz w:val="16"/>
                <w:szCs w:val="16"/>
              </w:rPr>
              <w:t>40%</w:t>
            </w:r>
          </w:p>
        </w:tc>
      </w:tr>
      <w:tr w:rsidR="00E3599D" w:rsidRPr="00E14102" w14:paraId="7FE2CD9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E33E43" w14:textId="77777777" w:rsidR="002808C2" w:rsidRPr="00E14102" w:rsidRDefault="002808C2" w:rsidP="00E14102">
            <w:pPr>
              <w:jc w:val="both"/>
              <w:rPr>
                <w:color w:val="000000" w:themeColor="text1"/>
                <w:sz w:val="16"/>
                <w:szCs w:val="16"/>
              </w:rPr>
            </w:pPr>
            <w:r w:rsidRPr="00E14102">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8574B" w14:textId="77777777" w:rsidR="002808C2" w:rsidRPr="00E14102" w:rsidRDefault="002808C2" w:rsidP="00E14102">
            <w:pPr>
              <w:jc w:val="both"/>
              <w:rPr>
                <w:color w:val="000000" w:themeColor="text1"/>
                <w:sz w:val="16"/>
                <w:szCs w:val="16"/>
              </w:rPr>
            </w:pPr>
            <w:r w:rsidRPr="00E14102">
              <w:rPr>
                <w:color w:val="000000" w:themeColor="text1"/>
                <w:sz w:val="16"/>
                <w:szCs w:val="16"/>
              </w:rPr>
              <w:t>Патроны 12,7-бронебойные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9D8FA" w14:textId="77777777" w:rsidR="002808C2" w:rsidRPr="00E14102" w:rsidRDefault="002808C2" w:rsidP="00E14102">
            <w:pPr>
              <w:jc w:val="both"/>
              <w:rPr>
                <w:color w:val="000000" w:themeColor="text1"/>
                <w:sz w:val="16"/>
                <w:szCs w:val="16"/>
              </w:rPr>
            </w:pPr>
            <w:r w:rsidRPr="00E14102">
              <w:rPr>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5A4B2" w14:textId="77777777" w:rsidR="002808C2" w:rsidRPr="00E14102" w:rsidRDefault="002808C2" w:rsidP="00E14102">
            <w:pPr>
              <w:jc w:val="both"/>
              <w:rPr>
                <w:color w:val="000000" w:themeColor="text1"/>
                <w:sz w:val="16"/>
                <w:szCs w:val="16"/>
              </w:rPr>
            </w:pPr>
            <w:r w:rsidRPr="00E14102">
              <w:rPr>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C0B25" w14:textId="77777777" w:rsidR="002808C2" w:rsidRPr="00E14102" w:rsidRDefault="002808C2" w:rsidP="00E14102">
            <w:pPr>
              <w:jc w:val="both"/>
              <w:rPr>
                <w:color w:val="000000" w:themeColor="text1"/>
                <w:sz w:val="16"/>
                <w:szCs w:val="16"/>
              </w:rPr>
            </w:pPr>
            <w:r w:rsidRPr="00E14102">
              <w:rPr>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4530B" w14:textId="77777777" w:rsidR="002808C2" w:rsidRPr="00E14102" w:rsidRDefault="002808C2" w:rsidP="00E14102">
            <w:pPr>
              <w:jc w:val="both"/>
              <w:rPr>
                <w:color w:val="000000" w:themeColor="text1"/>
                <w:sz w:val="16"/>
                <w:szCs w:val="16"/>
              </w:rPr>
            </w:pPr>
            <w:r w:rsidRPr="00E14102">
              <w:rPr>
                <w:color w:val="000000" w:themeColor="text1"/>
                <w:sz w:val="16"/>
                <w:szCs w:val="16"/>
              </w:rPr>
              <w:t>30%</w:t>
            </w:r>
          </w:p>
        </w:tc>
      </w:tr>
      <w:tr w:rsidR="00E3599D" w:rsidRPr="00E14102" w14:paraId="5FAB038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F54E8E"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36271"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патронов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4867C" w14:textId="77777777" w:rsidR="002808C2" w:rsidRPr="00E14102" w:rsidRDefault="002808C2" w:rsidP="00E14102">
            <w:pPr>
              <w:jc w:val="both"/>
              <w:rPr>
                <w:color w:val="000000" w:themeColor="text1"/>
                <w:sz w:val="16"/>
                <w:szCs w:val="16"/>
              </w:rPr>
            </w:pPr>
            <w:r w:rsidRPr="00E14102">
              <w:rPr>
                <w:color w:val="000000" w:themeColor="text1"/>
                <w:sz w:val="16"/>
                <w:szCs w:val="16"/>
              </w:rPr>
              <w:t>260,5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7F938" w14:textId="77777777" w:rsidR="002808C2" w:rsidRPr="00E14102" w:rsidRDefault="002808C2" w:rsidP="00E14102">
            <w:pPr>
              <w:jc w:val="both"/>
              <w:rPr>
                <w:color w:val="000000" w:themeColor="text1"/>
                <w:sz w:val="16"/>
                <w:szCs w:val="16"/>
              </w:rPr>
            </w:pPr>
            <w:r w:rsidRPr="00E14102">
              <w:rPr>
                <w:color w:val="000000" w:themeColor="text1"/>
                <w:sz w:val="16"/>
                <w:szCs w:val="16"/>
              </w:rPr>
              <w:t>260,5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0BFB3" w14:textId="77777777" w:rsidR="002808C2" w:rsidRPr="00E14102" w:rsidRDefault="002808C2" w:rsidP="00E14102">
            <w:pPr>
              <w:jc w:val="both"/>
              <w:rPr>
                <w:color w:val="000000" w:themeColor="text1"/>
                <w:sz w:val="16"/>
                <w:szCs w:val="16"/>
              </w:rPr>
            </w:pPr>
            <w:r w:rsidRPr="00E14102">
              <w:rPr>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6EE25" w14:textId="77777777" w:rsidR="002808C2" w:rsidRPr="00E14102" w:rsidRDefault="002808C2" w:rsidP="00E14102">
            <w:pPr>
              <w:jc w:val="both"/>
              <w:rPr>
                <w:color w:val="000000" w:themeColor="text1"/>
                <w:sz w:val="16"/>
                <w:szCs w:val="16"/>
              </w:rPr>
            </w:pPr>
            <w:r w:rsidRPr="00E14102">
              <w:rPr>
                <w:color w:val="000000" w:themeColor="text1"/>
                <w:sz w:val="16"/>
                <w:szCs w:val="16"/>
              </w:rPr>
              <w:t>75%</w:t>
            </w:r>
          </w:p>
        </w:tc>
      </w:tr>
      <w:tr w:rsidR="00E3599D" w:rsidRPr="00E14102" w14:paraId="6B4AFFB0"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EB2C561" w14:textId="77777777" w:rsidR="002808C2" w:rsidRPr="00E14102" w:rsidRDefault="002808C2" w:rsidP="00E14102">
            <w:pPr>
              <w:jc w:val="both"/>
              <w:rPr>
                <w:color w:val="000000" w:themeColor="text1"/>
                <w:sz w:val="16"/>
                <w:szCs w:val="16"/>
              </w:rPr>
            </w:pPr>
            <w:r w:rsidRPr="00E14102">
              <w:rPr>
                <w:color w:val="000000" w:themeColor="text1"/>
                <w:sz w:val="16"/>
                <w:szCs w:val="16"/>
              </w:rPr>
              <w:t>ПРИБОРЫ</w:t>
            </w:r>
          </w:p>
        </w:tc>
      </w:tr>
      <w:tr w:rsidR="00E3599D" w:rsidRPr="00E14102" w14:paraId="2D6F11B5"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74000E5" w14:textId="77777777" w:rsidR="002808C2" w:rsidRPr="00E14102" w:rsidRDefault="002808C2" w:rsidP="00E14102">
            <w:pPr>
              <w:jc w:val="both"/>
              <w:rPr>
                <w:color w:val="000000" w:themeColor="text1"/>
                <w:sz w:val="16"/>
                <w:szCs w:val="16"/>
              </w:rPr>
            </w:pPr>
            <w:r w:rsidRPr="00E14102">
              <w:rPr>
                <w:color w:val="000000" w:themeColor="text1"/>
                <w:sz w:val="16"/>
                <w:szCs w:val="16"/>
              </w:rPr>
              <w:t>А. ПУАЗО</w:t>
            </w:r>
          </w:p>
        </w:tc>
      </w:tr>
      <w:tr w:rsidR="00E3599D" w:rsidRPr="00E14102" w14:paraId="13A3DD0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070F4B"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26F1C" w14:textId="77777777" w:rsidR="002808C2" w:rsidRPr="00E14102" w:rsidRDefault="002808C2" w:rsidP="00E14102">
            <w:pPr>
              <w:jc w:val="both"/>
              <w:rPr>
                <w:color w:val="000000" w:themeColor="text1"/>
                <w:sz w:val="16"/>
                <w:szCs w:val="16"/>
              </w:rPr>
            </w:pPr>
            <w:r w:rsidRPr="00E14102">
              <w:rPr>
                <w:color w:val="000000" w:themeColor="text1"/>
                <w:sz w:val="16"/>
                <w:szCs w:val="16"/>
              </w:rPr>
              <w:t>ПУАЗО Крузе механическ[ий]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D6E39" w14:textId="77777777" w:rsidR="002808C2" w:rsidRPr="00E14102" w:rsidRDefault="002808C2" w:rsidP="00E14102">
            <w:pPr>
              <w:jc w:val="both"/>
              <w:rPr>
                <w:color w:val="000000" w:themeColor="text1"/>
                <w:sz w:val="16"/>
                <w:szCs w:val="16"/>
              </w:rPr>
            </w:pPr>
            <w:r w:rsidRPr="00E14102">
              <w:rPr>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A4D82" w14:textId="77777777" w:rsidR="002808C2" w:rsidRPr="00E14102" w:rsidRDefault="002808C2" w:rsidP="00E14102">
            <w:pPr>
              <w:jc w:val="both"/>
              <w:rPr>
                <w:color w:val="000000" w:themeColor="text1"/>
                <w:sz w:val="16"/>
                <w:szCs w:val="16"/>
              </w:rPr>
            </w:pPr>
            <w:r w:rsidRPr="00E14102">
              <w:rPr>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C5509" w14:textId="77777777" w:rsidR="002808C2" w:rsidRPr="00E14102" w:rsidRDefault="002808C2" w:rsidP="00E14102">
            <w:pPr>
              <w:jc w:val="both"/>
              <w:rPr>
                <w:color w:val="000000" w:themeColor="text1"/>
                <w:sz w:val="16"/>
                <w:szCs w:val="16"/>
              </w:rPr>
            </w:pPr>
            <w:r w:rsidRPr="00E14102">
              <w:rPr>
                <w:color w:val="000000" w:themeColor="text1"/>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707D2" w14:textId="77777777" w:rsidR="002808C2" w:rsidRPr="00E14102" w:rsidRDefault="002808C2" w:rsidP="00E14102">
            <w:pPr>
              <w:jc w:val="both"/>
              <w:rPr>
                <w:color w:val="000000" w:themeColor="text1"/>
                <w:sz w:val="16"/>
                <w:szCs w:val="16"/>
              </w:rPr>
            </w:pPr>
            <w:r w:rsidRPr="00E14102">
              <w:rPr>
                <w:color w:val="000000" w:themeColor="text1"/>
                <w:sz w:val="16"/>
                <w:szCs w:val="16"/>
              </w:rPr>
              <w:t>65%</w:t>
            </w:r>
          </w:p>
        </w:tc>
      </w:tr>
      <w:tr w:rsidR="00E3599D" w:rsidRPr="00E14102" w14:paraId="195B236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642CCB"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71EE4" w14:textId="77777777" w:rsidR="002808C2" w:rsidRPr="00E14102" w:rsidRDefault="002808C2" w:rsidP="00E14102">
            <w:pPr>
              <w:jc w:val="both"/>
              <w:rPr>
                <w:color w:val="000000" w:themeColor="text1"/>
                <w:sz w:val="16"/>
                <w:szCs w:val="16"/>
              </w:rPr>
            </w:pPr>
            <w:r w:rsidRPr="00E14102">
              <w:rPr>
                <w:color w:val="000000" w:themeColor="text1"/>
                <w:sz w:val="16"/>
                <w:szCs w:val="16"/>
              </w:rPr>
              <w:t>ПУАЗО Крузе электрофиц[ированный]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9050C" w14:textId="77777777" w:rsidR="002808C2" w:rsidRPr="00E14102" w:rsidRDefault="002808C2" w:rsidP="00E14102">
            <w:pPr>
              <w:jc w:val="both"/>
              <w:rPr>
                <w:color w:val="000000" w:themeColor="text1"/>
                <w:sz w:val="16"/>
                <w:szCs w:val="16"/>
              </w:rPr>
            </w:pPr>
            <w:r w:rsidRPr="00E14102">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34658" w14:textId="77777777" w:rsidR="002808C2" w:rsidRPr="00E14102" w:rsidRDefault="002808C2" w:rsidP="00E14102">
            <w:pPr>
              <w:jc w:val="both"/>
              <w:rPr>
                <w:color w:val="000000" w:themeColor="text1"/>
                <w:sz w:val="16"/>
                <w:szCs w:val="16"/>
              </w:rPr>
            </w:pPr>
            <w:r w:rsidRPr="00E14102">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E8585" w14:textId="77777777" w:rsidR="002808C2" w:rsidRPr="00E14102" w:rsidRDefault="002808C2" w:rsidP="00E14102">
            <w:pPr>
              <w:jc w:val="both"/>
              <w:rPr>
                <w:color w:val="000000" w:themeColor="text1"/>
                <w:sz w:val="16"/>
                <w:szCs w:val="16"/>
              </w:rPr>
            </w:pPr>
            <w:r w:rsidRPr="00E14102">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51A34" w14:textId="77777777" w:rsidR="002808C2" w:rsidRPr="00E14102" w:rsidRDefault="002808C2" w:rsidP="00E14102">
            <w:pPr>
              <w:jc w:val="both"/>
              <w:rPr>
                <w:color w:val="000000" w:themeColor="text1"/>
                <w:sz w:val="16"/>
                <w:szCs w:val="16"/>
              </w:rPr>
            </w:pPr>
            <w:r w:rsidRPr="00E14102">
              <w:rPr>
                <w:color w:val="000000" w:themeColor="text1"/>
                <w:sz w:val="16"/>
                <w:szCs w:val="16"/>
              </w:rPr>
              <w:t>73%</w:t>
            </w:r>
          </w:p>
        </w:tc>
      </w:tr>
      <w:tr w:rsidR="00E3599D" w:rsidRPr="00E14102" w14:paraId="6845E7E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99FC0"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25C38" w14:textId="77777777" w:rsidR="002808C2" w:rsidRPr="00E14102" w:rsidRDefault="002808C2" w:rsidP="00E14102">
            <w:pPr>
              <w:jc w:val="both"/>
              <w:rPr>
                <w:color w:val="000000" w:themeColor="text1"/>
                <w:sz w:val="16"/>
                <w:szCs w:val="16"/>
              </w:rPr>
            </w:pPr>
            <w:r w:rsidRPr="00E14102">
              <w:rPr>
                <w:color w:val="000000" w:themeColor="text1"/>
                <w:sz w:val="16"/>
                <w:szCs w:val="16"/>
              </w:rPr>
              <w:t>ПУАЗО Сперри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8B786"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547BB"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D7F50" w14:textId="77777777" w:rsidR="002808C2" w:rsidRPr="00E14102" w:rsidRDefault="002808C2"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A0A9C" w14:textId="77777777" w:rsidR="002808C2" w:rsidRPr="00E14102" w:rsidRDefault="002808C2" w:rsidP="00E14102">
            <w:pPr>
              <w:jc w:val="both"/>
              <w:rPr>
                <w:color w:val="000000" w:themeColor="text1"/>
                <w:sz w:val="16"/>
                <w:szCs w:val="16"/>
              </w:rPr>
            </w:pPr>
            <w:r w:rsidRPr="00E14102">
              <w:rPr>
                <w:color w:val="000000" w:themeColor="text1"/>
                <w:sz w:val="16"/>
                <w:szCs w:val="16"/>
              </w:rPr>
              <w:t>50%</w:t>
            </w:r>
          </w:p>
        </w:tc>
      </w:tr>
      <w:tr w:rsidR="00E3599D" w:rsidRPr="00E14102" w14:paraId="44865D7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DE4B9A"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7461C"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ПУАЗО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980FB" w14:textId="77777777" w:rsidR="002808C2" w:rsidRPr="00E14102" w:rsidRDefault="002808C2" w:rsidP="00E14102">
            <w:pPr>
              <w:jc w:val="both"/>
              <w:rPr>
                <w:color w:val="000000" w:themeColor="text1"/>
                <w:sz w:val="16"/>
                <w:szCs w:val="16"/>
              </w:rPr>
            </w:pPr>
            <w:r w:rsidRPr="00E14102">
              <w:rPr>
                <w:color w:val="000000" w:themeColor="text1"/>
                <w:sz w:val="16"/>
                <w:szCs w:val="16"/>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5EABB" w14:textId="77777777" w:rsidR="002808C2" w:rsidRPr="00E14102" w:rsidRDefault="002808C2" w:rsidP="00E14102">
            <w:pPr>
              <w:jc w:val="both"/>
              <w:rPr>
                <w:color w:val="000000" w:themeColor="text1"/>
                <w:sz w:val="16"/>
                <w:szCs w:val="16"/>
              </w:rPr>
            </w:pPr>
            <w:r w:rsidRPr="00E14102">
              <w:rPr>
                <w:color w:val="000000" w:themeColor="text1"/>
                <w:sz w:val="16"/>
                <w:szCs w:val="16"/>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B080F" w14:textId="77777777" w:rsidR="002808C2" w:rsidRPr="00E14102" w:rsidRDefault="002808C2" w:rsidP="00E14102">
            <w:pPr>
              <w:jc w:val="both"/>
              <w:rPr>
                <w:color w:val="000000" w:themeColor="text1"/>
                <w:sz w:val="16"/>
                <w:szCs w:val="16"/>
              </w:rPr>
            </w:pPr>
            <w:r w:rsidRPr="00E14102">
              <w:rPr>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11885" w14:textId="77777777" w:rsidR="002808C2" w:rsidRPr="00E14102" w:rsidRDefault="002808C2" w:rsidP="00E14102">
            <w:pPr>
              <w:jc w:val="both"/>
              <w:rPr>
                <w:color w:val="000000" w:themeColor="text1"/>
                <w:sz w:val="16"/>
                <w:szCs w:val="16"/>
              </w:rPr>
            </w:pPr>
            <w:r w:rsidRPr="00E14102">
              <w:rPr>
                <w:color w:val="000000" w:themeColor="text1"/>
                <w:sz w:val="16"/>
                <w:szCs w:val="16"/>
              </w:rPr>
              <w:t>67%</w:t>
            </w:r>
          </w:p>
        </w:tc>
      </w:tr>
      <w:tr w:rsidR="00E3599D" w:rsidRPr="00E14102" w14:paraId="648B30E7"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1BC6C14" w14:textId="77777777" w:rsidR="002808C2" w:rsidRPr="00E14102" w:rsidRDefault="002808C2" w:rsidP="00E14102">
            <w:pPr>
              <w:jc w:val="both"/>
              <w:rPr>
                <w:color w:val="000000" w:themeColor="text1"/>
                <w:sz w:val="16"/>
                <w:szCs w:val="16"/>
              </w:rPr>
            </w:pPr>
            <w:r w:rsidRPr="00E14102">
              <w:rPr>
                <w:color w:val="000000" w:themeColor="text1"/>
                <w:sz w:val="16"/>
                <w:szCs w:val="16"/>
              </w:rPr>
              <w:t>Б. Прожекторы и звукоулавливатели</w:t>
            </w:r>
          </w:p>
        </w:tc>
      </w:tr>
      <w:tr w:rsidR="00E3599D" w:rsidRPr="00E14102" w14:paraId="233D586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DFEEA6"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34341" w14:textId="77777777" w:rsidR="002808C2" w:rsidRPr="00E14102" w:rsidRDefault="002808C2" w:rsidP="00E14102">
            <w:pPr>
              <w:jc w:val="both"/>
              <w:rPr>
                <w:color w:val="000000" w:themeColor="text1"/>
                <w:sz w:val="16"/>
                <w:szCs w:val="16"/>
              </w:rPr>
            </w:pPr>
            <w:r w:rsidRPr="00E14102">
              <w:rPr>
                <w:color w:val="000000" w:themeColor="text1"/>
                <w:sz w:val="16"/>
                <w:szCs w:val="16"/>
              </w:rPr>
              <w:t>Прожекторные станции зенитные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7CC23" w14:textId="77777777" w:rsidR="002808C2" w:rsidRPr="00E14102" w:rsidRDefault="002808C2" w:rsidP="00E14102">
            <w:pPr>
              <w:jc w:val="both"/>
              <w:rPr>
                <w:color w:val="000000" w:themeColor="text1"/>
                <w:sz w:val="16"/>
                <w:szCs w:val="16"/>
              </w:rPr>
            </w:pPr>
            <w:r w:rsidRPr="00E14102">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F250C" w14:textId="77777777" w:rsidR="002808C2" w:rsidRPr="00E14102" w:rsidRDefault="002808C2" w:rsidP="00E14102">
            <w:pPr>
              <w:jc w:val="both"/>
              <w:rPr>
                <w:color w:val="000000" w:themeColor="text1"/>
                <w:sz w:val="16"/>
                <w:szCs w:val="16"/>
              </w:rPr>
            </w:pPr>
            <w:r w:rsidRPr="00E14102">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CF807" w14:textId="77777777" w:rsidR="002808C2" w:rsidRPr="00E14102" w:rsidRDefault="002808C2" w:rsidP="00E14102">
            <w:pPr>
              <w:jc w:val="both"/>
              <w:rPr>
                <w:color w:val="000000" w:themeColor="text1"/>
                <w:sz w:val="16"/>
                <w:szCs w:val="16"/>
              </w:rPr>
            </w:pPr>
            <w:r w:rsidRPr="00E14102">
              <w:rPr>
                <w:color w:val="000000" w:themeColor="text1"/>
                <w:sz w:val="16"/>
                <w:szCs w:val="16"/>
              </w:rPr>
              <w:t>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406FF" w14:textId="77777777" w:rsidR="002808C2" w:rsidRPr="00E14102" w:rsidRDefault="002808C2" w:rsidP="00E14102">
            <w:pPr>
              <w:jc w:val="both"/>
              <w:rPr>
                <w:color w:val="000000" w:themeColor="text1"/>
                <w:sz w:val="16"/>
                <w:szCs w:val="16"/>
              </w:rPr>
            </w:pPr>
            <w:r w:rsidRPr="00E14102">
              <w:rPr>
                <w:color w:val="000000" w:themeColor="text1"/>
                <w:sz w:val="16"/>
                <w:szCs w:val="16"/>
              </w:rPr>
              <w:t>92%</w:t>
            </w:r>
          </w:p>
        </w:tc>
      </w:tr>
      <w:tr w:rsidR="00E3599D" w:rsidRPr="00E14102" w14:paraId="5E6DAAC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753340"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BCAD5" w14:textId="77777777" w:rsidR="002808C2" w:rsidRPr="00E14102" w:rsidRDefault="002808C2" w:rsidP="00E14102">
            <w:pPr>
              <w:jc w:val="both"/>
              <w:rPr>
                <w:color w:val="000000" w:themeColor="text1"/>
                <w:sz w:val="16"/>
                <w:szCs w:val="16"/>
              </w:rPr>
            </w:pPr>
            <w:r w:rsidRPr="00E14102">
              <w:rPr>
                <w:color w:val="000000" w:themeColor="text1"/>
                <w:sz w:val="16"/>
                <w:szCs w:val="16"/>
              </w:rPr>
              <w:t>Прожекторы 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12A25" w14:textId="77777777" w:rsidR="002808C2" w:rsidRPr="00E14102" w:rsidRDefault="002808C2" w:rsidP="00E14102">
            <w:pPr>
              <w:jc w:val="both"/>
              <w:rPr>
                <w:color w:val="000000" w:themeColor="text1"/>
                <w:sz w:val="16"/>
                <w:szCs w:val="16"/>
              </w:rPr>
            </w:pPr>
            <w:r w:rsidRPr="00E14102">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A7BF8" w14:textId="77777777" w:rsidR="002808C2" w:rsidRPr="00E14102" w:rsidRDefault="002808C2" w:rsidP="00E14102">
            <w:pPr>
              <w:jc w:val="both"/>
              <w:rPr>
                <w:color w:val="000000" w:themeColor="text1"/>
                <w:sz w:val="16"/>
                <w:szCs w:val="16"/>
              </w:rPr>
            </w:pPr>
            <w:r w:rsidRPr="00E14102">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2D194" w14:textId="77777777" w:rsidR="002808C2" w:rsidRPr="00E14102" w:rsidRDefault="002808C2" w:rsidP="00E14102">
            <w:pPr>
              <w:jc w:val="both"/>
              <w:rPr>
                <w:color w:val="000000" w:themeColor="text1"/>
                <w:sz w:val="16"/>
                <w:szCs w:val="16"/>
              </w:rPr>
            </w:pPr>
            <w:r w:rsidRPr="00E14102">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EF79A"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73789A0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3E9533"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EA2BC" w14:textId="77777777" w:rsidR="002808C2" w:rsidRPr="00E14102" w:rsidRDefault="002808C2" w:rsidP="00E14102">
            <w:pPr>
              <w:jc w:val="both"/>
              <w:rPr>
                <w:color w:val="000000" w:themeColor="text1"/>
                <w:sz w:val="16"/>
                <w:szCs w:val="16"/>
              </w:rPr>
            </w:pPr>
            <w:r w:rsidRPr="00E14102">
              <w:rPr>
                <w:color w:val="000000" w:themeColor="text1"/>
                <w:sz w:val="16"/>
                <w:szCs w:val="16"/>
              </w:rPr>
              <w:t>Звукоулавливатели ЗТ-4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60500" w14:textId="77777777" w:rsidR="002808C2" w:rsidRPr="00E14102" w:rsidRDefault="002808C2" w:rsidP="00E14102">
            <w:pPr>
              <w:jc w:val="both"/>
              <w:rPr>
                <w:color w:val="000000" w:themeColor="text1"/>
                <w:sz w:val="16"/>
                <w:szCs w:val="16"/>
              </w:rPr>
            </w:pPr>
            <w:r w:rsidRPr="00E14102">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AB0D5" w14:textId="77777777" w:rsidR="002808C2" w:rsidRPr="00E14102" w:rsidRDefault="002808C2" w:rsidP="00E14102">
            <w:pPr>
              <w:jc w:val="both"/>
              <w:rPr>
                <w:color w:val="000000" w:themeColor="text1"/>
                <w:sz w:val="16"/>
                <w:szCs w:val="16"/>
              </w:rPr>
            </w:pPr>
            <w:r w:rsidRPr="00E14102">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EC16F" w14:textId="77777777" w:rsidR="002808C2" w:rsidRPr="00E14102" w:rsidRDefault="002808C2" w:rsidP="00E14102">
            <w:pPr>
              <w:jc w:val="both"/>
              <w:rPr>
                <w:color w:val="000000" w:themeColor="text1"/>
                <w:sz w:val="16"/>
                <w:szCs w:val="16"/>
              </w:rPr>
            </w:pPr>
            <w:r w:rsidRPr="00E1410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81F0" w14:textId="77777777" w:rsidR="002808C2" w:rsidRPr="00E14102" w:rsidRDefault="002808C2" w:rsidP="00E14102">
            <w:pPr>
              <w:jc w:val="both"/>
              <w:rPr>
                <w:color w:val="000000" w:themeColor="text1"/>
                <w:sz w:val="16"/>
                <w:szCs w:val="16"/>
              </w:rPr>
            </w:pPr>
            <w:r w:rsidRPr="00E14102">
              <w:rPr>
                <w:color w:val="000000" w:themeColor="text1"/>
                <w:sz w:val="16"/>
                <w:szCs w:val="16"/>
              </w:rPr>
              <w:t>30%</w:t>
            </w:r>
          </w:p>
        </w:tc>
      </w:tr>
      <w:tr w:rsidR="00E3599D" w:rsidRPr="00E14102" w14:paraId="38B85CC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B996BE" w14:textId="77777777" w:rsidR="002808C2" w:rsidRPr="00E14102" w:rsidRDefault="002808C2"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8EAA4" w14:textId="77777777" w:rsidR="002808C2" w:rsidRPr="00E14102" w:rsidRDefault="002808C2" w:rsidP="00E14102">
            <w:pPr>
              <w:jc w:val="both"/>
              <w:rPr>
                <w:color w:val="000000" w:themeColor="text1"/>
                <w:sz w:val="16"/>
                <w:szCs w:val="16"/>
              </w:rPr>
            </w:pPr>
            <w:r w:rsidRPr="00E14102">
              <w:rPr>
                <w:color w:val="000000" w:themeColor="text1"/>
                <w:sz w:val="16"/>
                <w:szCs w:val="16"/>
              </w:rPr>
              <w:t>Звукоулавливатели ЗП-2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E538C"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7DDA6"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F278F" w14:textId="77777777" w:rsidR="002808C2" w:rsidRPr="00E14102" w:rsidRDefault="002808C2" w:rsidP="00E14102">
            <w:pPr>
              <w:jc w:val="both"/>
              <w:rPr>
                <w:color w:val="000000" w:themeColor="text1"/>
                <w:sz w:val="16"/>
                <w:szCs w:val="16"/>
              </w:rPr>
            </w:pPr>
            <w:r w:rsidRPr="00E14102">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D7543" w14:textId="77777777" w:rsidR="002808C2" w:rsidRPr="00E14102" w:rsidRDefault="002808C2" w:rsidP="00E14102">
            <w:pPr>
              <w:jc w:val="both"/>
              <w:rPr>
                <w:color w:val="000000" w:themeColor="text1"/>
                <w:sz w:val="16"/>
                <w:szCs w:val="16"/>
              </w:rPr>
            </w:pPr>
            <w:r w:rsidRPr="00E14102">
              <w:rPr>
                <w:color w:val="000000" w:themeColor="text1"/>
                <w:sz w:val="16"/>
                <w:szCs w:val="16"/>
              </w:rPr>
              <w:t>68%</w:t>
            </w:r>
          </w:p>
        </w:tc>
      </w:tr>
      <w:tr w:rsidR="00E3599D" w:rsidRPr="00E14102" w14:paraId="25D2A03D"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3CC75DF" w14:textId="77777777" w:rsidR="002808C2" w:rsidRPr="00E14102" w:rsidRDefault="002808C2" w:rsidP="00E14102">
            <w:pPr>
              <w:jc w:val="both"/>
              <w:rPr>
                <w:color w:val="000000" w:themeColor="text1"/>
                <w:sz w:val="16"/>
                <w:szCs w:val="16"/>
              </w:rPr>
            </w:pPr>
            <w:r w:rsidRPr="00E14102">
              <w:rPr>
                <w:color w:val="000000" w:themeColor="text1"/>
                <w:sz w:val="16"/>
                <w:szCs w:val="16"/>
              </w:rPr>
              <w:t>В. Фотоаппараты</w:t>
            </w:r>
          </w:p>
        </w:tc>
      </w:tr>
      <w:tr w:rsidR="00E3599D" w:rsidRPr="00E14102" w14:paraId="258B96E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5A0ECB"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631ED" w14:textId="77777777" w:rsidR="002808C2" w:rsidRPr="00E14102" w:rsidRDefault="002808C2" w:rsidP="00E14102">
            <w:pPr>
              <w:jc w:val="both"/>
              <w:rPr>
                <w:color w:val="000000" w:themeColor="text1"/>
                <w:sz w:val="16"/>
                <w:szCs w:val="16"/>
              </w:rPr>
            </w:pPr>
            <w:r w:rsidRPr="00E14102">
              <w:rPr>
                <w:color w:val="000000" w:themeColor="text1"/>
                <w:sz w:val="16"/>
                <w:szCs w:val="16"/>
              </w:rPr>
              <w:t>Авиационные фотоаппараты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62313" w14:textId="77777777" w:rsidR="002808C2" w:rsidRPr="00E14102" w:rsidRDefault="002808C2" w:rsidP="00E14102">
            <w:pPr>
              <w:jc w:val="both"/>
              <w:rPr>
                <w:color w:val="000000" w:themeColor="text1"/>
                <w:sz w:val="16"/>
                <w:szCs w:val="16"/>
              </w:rPr>
            </w:pPr>
            <w:r w:rsidRPr="00E14102">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C3870" w14:textId="77777777" w:rsidR="002808C2" w:rsidRPr="00E14102" w:rsidRDefault="002808C2" w:rsidP="00E14102">
            <w:pPr>
              <w:jc w:val="both"/>
              <w:rPr>
                <w:color w:val="000000" w:themeColor="text1"/>
                <w:sz w:val="16"/>
                <w:szCs w:val="16"/>
              </w:rPr>
            </w:pPr>
            <w:r w:rsidRPr="00E14102">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E04CC" w14:textId="77777777" w:rsidR="002808C2" w:rsidRPr="00E14102" w:rsidRDefault="002808C2" w:rsidP="00E14102">
            <w:pPr>
              <w:jc w:val="both"/>
              <w:rPr>
                <w:color w:val="000000" w:themeColor="text1"/>
                <w:sz w:val="16"/>
                <w:szCs w:val="16"/>
              </w:rPr>
            </w:pPr>
            <w:r w:rsidRPr="00E14102">
              <w:rPr>
                <w:color w:val="000000" w:themeColor="text1"/>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AACFF"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073F3DB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288403"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D6977" w14:textId="77777777" w:rsidR="002808C2" w:rsidRPr="00E14102" w:rsidRDefault="002808C2" w:rsidP="00E14102">
            <w:pPr>
              <w:jc w:val="both"/>
              <w:rPr>
                <w:color w:val="000000" w:themeColor="text1"/>
                <w:sz w:val="16"/>
                <w:szCs w:val="16"/>
              </w:rPr>
            </w:pPr>
            <w:r w:rsidRPr="00E14102">
              <w:rPr>
                <w:color w:val="000000" w:themeColor="text1"/>
                <w:sz w:val="16"/>
                <w:szCs w:val="16"/>
              </w:rPr>
              <w:t>Фотоаппараты для наземных съемок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3D62A" w14:textId="77777777" w:rsidR="002808C2" w:rsidRPr="00E14102" w:rsidRDefault="002808C2" w:rsidP="00E14102">
            <w:pPr>
              <w:jc w:val="both"/>
              <w:rPr>
                <w:color w:val="000000" w:themeColor="text1"/>
                <w:sz w:val="16"/>
                <w:szCs w:val="16"/>
              </w:rPr>
            </w:pPr>
            <w:r w:rsidRPr="00E14102">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C0497" w14:textId="77777777" w:rsidR="002808C2" w:rsidRPr="00E14102" w:rsidRDefault="002808C2" w:rsidP="00E14102">
            <w:pPr>
              <w:jc w:val="both"/>
              <w:rPr>
                <w:color w:val="000000" w:themeColor="text1"/>
                <w:sz w:val="16"/>
                <w:szCs w:val="16"/>
              </w:rPr>
            </w:pPr>
            <w:r w:rsidRPr="00E14102">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8EDF2" w14:textId="77777777" w:rsidR="002808C2" w:rsidRPr="00E14102" w:rsidRDefault="002808C2" w:rsidP="00E14102">
            <w:pPr>
              <w:jc w:val="both"/>
              <w:rPr>
                <w:color w:val="000000" w:themeColor="text1"/>
                <w:sz w:val="16"/>
                <w:szCs w:val="16"/>
              </w:rPr>
            </w:pPr>
            <w:r w:rsidRPr="00E14102">
              <w:rPr>
                <w:color w:val="000000" w:themeColor="text1"/>
                <w:sz w:val="16"/>
                <w:szCs w:val="16"/>
              </w:rPr>
              <w:t>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D35A1" w14:textId="77777777" w:rsidR="002808C2" w:rsidRPr="00E14102" w:rsidRDefault="002808C2" w:rsidP="00E14102">
            <w:pPr>
              <w:jc w:val="both"/>
              <w:rPr>
                <w:color w:val="000000" w:themeColor="text1"/>
                <w:sz w:val="16"/>
                <w:szCs w:val="16"/>
              </w:rPr>
            </w:pPr>
            <w:r w:rsidRPr="00E14102">
              <w:rPr>
                <w:color w:val="000000" w:themeColor="text1"/>
                <w:sz w:val="16"/>
                <w:szCs w:val="16"/>
              </w:rPr>
              <w:t>67%</w:t>
            </w:r>
          </w:p>
        </w:tc>
      </w:tr>
      <w:tr w:rsidR="00E3599D" w:rsidRPr="00E14102" w14:paraId="756494D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2FD30D"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06254" w14:textId="77777777" w:rsidR="002808C2" w:rsidRPr="00E14102" w:rsidRDefault="002808C2" w:rsidP="00E14102">
            <w:pPr>
              <w:jc w:val="both"/>
              <w:rPr>
                <w:color w:val="000000" w:themeColor="text1"/>
                <w:sz w:val="16"/>
                <w:szCs w:val="16"/>
              </w:rPr>
            </w:pPr>
            <w:r w:rsidRPr="00E14102">
              <w:rPr>
                <w:color w:val="000000" w:themeColor="text1"/>
                <w:sz w:val="16"/>
                <w:szCs w:val="16"/>
              </w:rPr>
              <w:t>Авиапленка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90ABB" w14:textId="77777777" w:rsidR="002808C2" w:rsidRPr="00E14102" w:rsidRDefault="002808C2" w:rsidP="00E14102">
            <w:pPr>
              <w:jc w:val="both"/>
              <w:rPr>
                <w:color w:val="000000" w:themeColor="text1"/>
                <w:sz w:val="16"/>
                <w:szCs w:val="16"/>
              </w:rPr>
            </w:pPr>
            <w:r w:rsidRPr="00E14102">
              <w:rPr>
                <w:color w:val="000000" w:themeColor="text1"/>
                <w:sz w:val="16"/>
                <w:szCs w:val="16"/>
              </w:rPr>
              <w:t>117 245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D7615" w14:textId="77777777" w:rsidR="002808C2" w:rsidRPr="00E14102" w:rsidRDefault="002808C2" w:rsidP="00E14102">
            <w:pPr>
              <w:jc w:val="both"/>
              <w:rPr>
                <w:color w:val="000000" w:themeColor="text1"/>
                <w:sz w:val="16"/>
                <w:szCs w:val="16"/>
              </w:rPr>
            </w:pPr>
            <w:r w:rsidRPr="00E14102">
              <w:rPr>
                <w:color w:val="000000" w:themeColor="text1"/>
                <w:sz w:val="16"/>
                <w:szCs w:val="16"/>
              </w:rPr>
              <w:t>117 245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7EEC7" w14:textId="77777777" w:rsidR="002808C2" w:rsidRPr="00E14102" w:rsidRDefault="002808C2" w:rsidP="00E14102">
            <w:pPr>
              <w:jc w:val="both"/>
              <w:rPr>
                <w:color w:val="000000" w:themeColor="text1"/>
                <w:sz w:val="16"/>
                <w:szCs w:val="16"/>
              </w:rPr>
            </w:pPr>
            <w:r w:rsidRPr="00E14102">
              <w:rPr>
                <w:color w:val="000000" w:themeColor="text1"/>
                <w:sz w:val="16"/>
                <w:szCs w:val="16"/>
              </w:rPr>
              <w:t>87 847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01864" w14:textId="77777777" w:rsidR="002808C2" w:rsidRPr="00E14102" w:rsidRDefault="002808C2" w:rsidP="00E14102">
            <w:pPr>
              <w:jc w:val="both"/>
              <w:rPr>
                <w:color w:val="000000" w:themeColor="text1"/>
                <w:sz w:val="16"/>
                <w:szCs w:val="16"/>
              </w:rPr>
            </w:pPr>
            <w:r w:rsidRPr="00E14102">
              <w:rPr>
                <w:color w:val="000000" w:themeColor="text1"/>
                <w:sz w:val="16"/>
                <w:szCs w:val="16"/>
              </w:rPr>
              <w:t>75%</w:t>
            </w:r>
          </w:p>
        </w:tc>
      </w:tr>
      <w:tr w:rsidR="00E3599D" w:rsidRPr="00E14102" w14:paraId="7E4DBBFA"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EAEADC9" w14:textId="77777777" w:rsidR="002808C2" w:rsidRPr="00E14102" w:rsidRDefault="002808C2" w:rsidP="00E14102">
            <w:pPr>
              <w:jc w:val="both"/>
              <w:rPr>
                <w:color w:val="000000" w:themeColor="text1"/>
                <w:sz w:val="16"/>
                <w:szCs w:val="16"/>
              </w:rPr>
            </w:pPr>
            <w:r w:rsidRPr="00E14102">
              <w:rPr>
                <w:color w:val="000000" w:themeColor="text1"/>
                <w:sz w:val="16"/>
                <w:szCs w:val="16"/>
              </w:rPr>
              <w:t>Г. Прицелы и панорамы</w:t>
            </w:r>
          </w:p>
        </w:tc>
      </w:tr>
      <w:tr w:rsidR="00E3599D" w:rsidRPr="00E14102" w14:paraId="570090B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315C5C"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0F6B0" w14:textId="77777777" w:rsidR="002808C2" w:rsidRPr="00E14102" w:rsidRDefault="002808C2" w:rsidP="00E14102">
            <w:pPr>
              <w:jc w:val="both"/>
              <w:rPr>
                <w:color w:val="000000" w:themeColor="text1"/>
                <w:sz w:val="16"/>
                <w:szCs w:val="16"/>
              </w:rPr>
            </w:pPr>
            <w:r w:rsidRPr="00E14102">
              <w:rPr>
                <w:color w:val="000000" w:themeColor="text1"/>
                <w:sz w:val="16"/>
                <w:szCs w:val="16"/>
              </w:rPr>
              <w:t>Прицелы для противотанковых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4796F" w14:textId="77777777" w:rsidR="002808C2" w:rsidRPr="00E14102" w:rsidRDefault="002808C2" w:rsidP="00E14102">
            <w:pPr>
              <w:jc w:val="both"/>
              <w:rPr>
                <w:color w:val="000000" w:themeColor="text1"/>
                <w:sz w:val="16"/>
                <w:szCs w:val="16"/>
              </w:rPr>
            </w:pPr>
            <w:r w:rsidRPr="00E14102">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35358" w14:textId="77777777" w:rsidR="002808C2" w:rsidRPr="00E14102" w:rsidRDefault="002808C2" w:rsidP="00E14102">
            <w:pPr>
              <w:jc w:val="both"/>
              <w:rPr>
                <w:color w:val="000000" w:themeColor="text1"/>
                <w:sz w:val="16"/>
                <w:szCs w:val="16"/>
              </w:rPr>
            </w:pPr>
            <w:r w:rsidRPr="00E14102">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11D66" w14:textId="77777777" w:rsidR="002808C2" w:rsidRPr="00E14102" w:rsidRDefault="002808C2" w:rsidP="00E14102">
            <w:pPr>
              <w:jc w:val="both"/>
              <w:rPr>
                <w:color w:val="000000" w:themeColor="text1"/>
                <w:sz w:val="16"/>
                <w:szCs w:val="16"/>
              </w:rPr>
            </w:pPr>
            <w:r w:rsidRPr="00E14102">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1C85E" w14:textId="77777777" w:rsidR="002808C2" w:rsidRPr="00E14102" w:rsidRDefault="002808C2" w:rsidP="00E14102">
            <w:pPr>
              <w:jc w:val="both"/>
              <w:rPr>
                <w:color w:val="000000" w:themeColor="text1"/>
                <w:sz w:val="16"/>
                <w:szCs w:val="16"/>
              </w:rPr>
            </w:pPr>
            <w:r w:rsidRPr="00E14102">
              <w:rPr>
                <w:color w:val="000000" w:themeColor="text1"/>
                <w:sz w:val="16"/>
                <w:szCs w:val="16"/>
              </w:rPr>
              <w:t>215%</w:t>
            </w:r>
          </w:p>
        </w:tc>
      </w:tr>
      <w:tr w:rsidR="00E3599D" w:rsidRPr="00E14102" w14:paraId="3E73329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BCC320"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68C20" w14:textId="77777777" w:rsidR="002808C2" w:rsidRPr="00E14102" w:rsidRDefault="002808C2" w:rsidP="00E14102">
            <w:pPr>
              <w:jc w:val="both"/>
              <w:rPr>
                <w:color w:val="000000" w:themeColor="text1"/>
                <w:sz w:val="16"/>
                <w:szCs w:val="16"/>
              </w:rPr>
            </w:pPr>
            <w:r w:rsidRPr="00E14102">
              <w:rPr>
                <w:color w:val="000000" w:themeColor="text1"/>
                <w:sz w:val="16"/>
                <w:szCs w:val="16"/>
              </w:rPr>
              <w:t>Прицелы танков телескопические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A77DF" w14:textId="77777777" w:rsidR="002808C2" w:rsidRPr="00E14102" w:rsidRDefault="002808C2" w:rsidP="00E14102">
            <w:pPr>
              <w:jc w:val="both"/>
              <w:rPr>
                <w:color w:val="000000" w:themeColor="text1"/>
                <w:sz w:val="16"/>
                <w:szCs w:val="16"/>
              </w:rPr>
            </w:pPr>
            <w:r w:rsidRPr="00E14102">
              <w:rPr>
                <w:color w:val="000000" w:themeColor="text1"/>
                <w:sz w:val="16"/>
                <w:szCs w:val="16"/>
              </w:rPr>
              <w:t>2850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59475" w14:textId="77777777" w:rsidR="002808C2" w:rsidRPr="00E14102" w:rsidRDefault="002808C2" w:rsidP="00E14102">
            <w:pPr>
              <w:jc w:val="both"/>
              <w:rPr>
                <w:color w:val="000000" w:themeColor="text1"/>
                <w:sz w:val="16"/>
                <w:szCs w:val="16"/>
              </w:rPr>
            </w:pPr>
            <w:r w:rsidRPr="00E14102">
              <w:rPr>
                <w:color w:val="000000" w:themeColor="text1"/>
                <w:sz w:val="16"/>
                <w:szCs w:val="16"/>
              </w:rPr>
              <w:t>2149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D1C4D" w14:textId="77777777" w:rsidR="002808C2" w:rsidRPr="00E14102" w:rsidRDefault="002808C2" w:rsidP="00E14102">
            <w:pPr>
              <w:jc w:val="both"/>
              <w:rPr>
                <w:color w:val="000000" w:themeColor="text1"/>
                <w:sz w:val="16"/>
                <w:szCs w:val="16"/>
              </w:rPr>
            </w:pPr>
            <w:r w:rsidRPr="00E14102">
              <w:rPr>
                <w:color w:val="000000" w:themeColor="text1"/>
                <w:sz w:val="16"/>
                <w:szCs w:val="16"/>
              </w:rPr>
              <w:t>3128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3A0F9" w14:textId="77777777" w:rsidR="002808C2" w:rsidRPr="00E14102" w:rsidRDefault="002808C2" w:rsidP="00E14102">
            <w:pPr>
              <w:jc w:val="both"/>
              <w:rPr>
                <w:color w:val="000000" w:themeColor="text1"/>
                <w:sz w:val="16"/>
                <w:szCs w:val="16"/>
              </w:rPr>
            </w:pPr>
            <w:r w:rsidRPr="00E14102">
              <w:rPr>
                <w:color w:val="000000" w:themeColor="text1"/>
                <w:sz w:val="16"/>
                <w:szCs w:val="16"/>
              </w:rPr>
              <w:t>145%</w:t>
            </w:r>
          </w:p>
        </w:tc>
      </w:tr>
      <w:tr w:rsidR="00E3599D" w:rsidRPr="00E14102" w14:paraId="37F945F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69C025"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D4919" w14:textId="77777777" w:rsidR="002808C2" w:rsidRPr="00E14102" w:rsidRDefault="002808C2" w:rsidP="00E14102">
            <w:pPr>
              <w:jc w:val="both"/>
              <w:rPr>
                <w:color w:val="000000" w:themeColor="text1"/>
                <w:sz w:val="16"/>
                <w:szCs w:val="16"/>
              </w:rPr>
            </w:pPr>
            <w:r w:rsidRPr="00E14102">
              <w:rPr>
                <w:color w:val="000000" w:themeColor="text1"/>
                <w:sz w:val="16"/>
                <w:szCs w:val="16"/>
              </w:rPr>
              <w:t>Прицелы танков перископические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A0F02" w14:textId="77777777" w:rsidR="002808C2" w:rsidRPr="00E14102" w:rsidRDefault="002808C2" w:rsidP="00E14102">
            <w:pPr>
              <w:jc w:val="both"/>
              <w:rPr>
                <w:color w:val="000000" w:themeColor="text1"/>
                <w:sz w:val="16"/>
                <w:szCs w:val="16"/>
              </w:rPr>
            </w:pPr>
            <w:r w:rsidRPr="00E14102">
              <w:rPr>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EB224" w14:textId="77777777" w:rsidR="002808C2" w:rsidRPr="00E14102" w:rsidRDefault="002808C2" w:rsidP="00E14102">
            <w:pPr>
              <w:jc w:val="both"/>
              <w:rPr>
                <w:color w:val="000000" w:themeColor="text1"/>
                <w:sz w:val="16"/>
                <w:szCs w:val="16"/>
              </w:rPr>
            </w:pPr>
            <w:r w:rsidRPr="00E14102">
              <w:rPr>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4F6EE" w14:textId="77777777" w:rsidR="002808C2" w:rsidRPr="00E14102" w:rsidRDefault="002808C2" w:rsidP="00E14102">
            <w:pPr>
              <w:jc w:val="both"/>
              <w:rPr>
                <w:color w:val="000000" w:themeColor="text1"/>
                <w:sz w:val="16"/>
                <w:szCs w:val="16"/>
              </w:rPr>
            </w:pPr>
            <w:r w:rsidRPr="00E14102">
              <w:rPr>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1D8DC"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715576D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FCF61B" w14:textId="77777777" w:rsidR="002808C2" w:rsidRPr="00E14102" w:rsidRDefault="002808C2"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A558E" w14:textId="77777777" w:rsidR="002808C2" w:rsidRPr="00E14102" w:rsidRDefault="002808C2" w:rsidP="00E14102">
            <w:pPr>
              <w:jc w:val="both"/>
              <w:rPr>
                <w:color w:val="000000" w:themeColor="text1"/>
                <w:sz w:val="16"/>
                <w:szCs w:val="16"/>
              </w:rPr>
            </w:pPr>
            <w:r w:rsidRPr="00E14102">
              <w:rPr>
                <w:color w:val="000000" w:themeColor="text1"/>
                <w:sz w:val="16"/>
                <w:szCs w:val="16"/>
              </w:rPr>
              <w:t>Прицелы для 76</w:t>
            </w:r>
            <w:r w:rsidRPr="00E14102">
              <w:rPr>
                <w:color w:val="000000" w:themeColor="text1"/>
                <w:sz w:val="16"/>
                <w:szCs w:val="16"/>
              </w:rPr>
              <w:noBreakHyphen/>
              <w:t>мм танковых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10A37" w14:textId="77777777" w:rsidR="002808C2" w:rsidRPr="00E14102" w:rsidRDefault="002808C2" w:rsidP="00E14102">
            <w:pPr>
              <w:jc w:val="both"/>
              <w:rPr>
                <w:color w:val="000000" w:themeColor="text1"/>
                <w:sz w:val="16"/>
                <w:szCs w:val="16"/>
              </w:rPr>
            </w:pPr>
            <w:r w:rsidRPr="00E14102">
              <w:rPr>
                <w:color w:val="000000" w:themeColor="text1"/>
                <w:sz w:val="16"/>
                <w:szCs w:val="16"/>
              </w:rPr>
              <w:t>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1D3D2" w14:textId="77777777" w:rsidR="002808C2" w:rsidRPr="00E14102" w:rsidRDefault="002808C2" w:rsidP="00E14102">
            <w:pPr>
              <w:jc w:val="both"/>
              <w:rPr>
                <w:color w:val="000000" w:themeColor="text1"/>
                <w:sz w:val="16"/>
                <w:szCs w:val="16"/>
              </w:rPr>
            </w:pPr>
            <w:r w:rsidRPr="00E14102">
              <w:rPr>
                <w:color w:val="000000" w:themeColor="text1"/>
                <w:sz w:val="16"/>
                <w:szCs w:val="16"/>
              </w:rPr>
              <w:t>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7F23C" w14:textId="77777777" w:rsidR="002808C2" w:rsidRPr="00E14102" w:rsidRDefault="002808C2" w:rsidP="00E14102">
            <w:pPr>
              <w:jc w:val="both"/>
              <w:rPr>
                <w:color w:val="000000" w:themeColor="text1"/>
                <w:sz w:val="16"/>
                <w:szCs w:val="16"/>
              </w:rPr>
            </w:pPr>
            <w:r w:rsidRPr="00E14102">
              <w:rPr>
                <w:color w:val="000000" w:themeColor="text1"/>
                <w:sz w:val="16"/>
                <w:szCs w:val="16"/>
              </w:rPr>
              <w:t>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4C48E"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4F49C13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BD0E96" w14:textId="77777777" w:rsidR="002808C2" w:rsidRPr="00E14102" w:rsidRDefault="002808C2"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593B1" w14:textId="77777777" w:rsidR="002808C2" w:rsidRPr="00E14102" w:rsidRDefault="002808C2" w:rsidP="00E14102">
            <w:pPr>
              <w:jc w:val="both"/>
              <w:rPr>
                <w:color w:val="000000" w:themeColor="text1"/>
                <w:sz w:val="16"/>
                <w:szCs w:val="16"/>
              </w:rPr>
            </w:pPr>
            <w:r w:rsidRPr="00E14102">
              <w:rPr>
                <w:color w:val="000000" w:themeColor="text1"/>
                <w:sz w:val="16"/>
                <w:szCs w:val="16"/>
              </w:rPr>
              <w:t>Прицелы для 76</w:t>
            </w:r>
            <w:r w:rsidRPr="00E14102">
              <w:rPr>
                <w:color w:val="000000" w:themeColor="text1"/>
                <w:sz w:val="16"/>
                <w:szCs w:val="16"/>
              </w:rPr>
              <w:noBreakHyphen/>
              <w:t>мм зенитных пушек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FC93C" w14:textId="77777777" w:rsidR="002808C2" w:rsidRPr="00E14102" w:rsidRDefault="002808C2" w:rsidP="00E14102">
            <w:pPr>
              <w:jc w:val="both"/>
              <w:rPr>
                <w:color w:val="000000" w:themeColor="text1"/>
                <w:sz w:val="16"/>
                <w:szCs w:val="16"/>
              </w:rPr>
            </w:pPr>
            <w:r w:rsidRPr="00E14102">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7FE21" w14:textId="77777777" w:rsidR="002808C2" w:rsidRPr="00E14102" w:rsidRDefault="002808C2" w:rsidP="00E14102">
            <w:pPr>
              <w:jc w:val="both"/>
              <w:rPr>
                <w:color w:val="000000" w:themeColor="text1"/>
                <w:sz w:val="16"/>
                <w:szCs w:val="16"/>
              </w:rPr>
            </w:pPr>
            <w:r w:rsidRPr="00E14102">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D113A" w14:textId="77777777" w:rsidR="002808C2" w:rsidRPr="00E14102" w:rsidRDefault="002808C2" w:rsidP="00E14102">
            <w:pPr>
              <w:jc w:val="both"/>
              <w:rPr>
                <w:color w:val="000000" w:themeColor="text1"/>
                <w:sz w:val="16"/>
                <w:szCs w:val="16"/>
              </w:rPr>
            </w:pPr>
            <w:r w:rsidRPr="00E14102">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AC4B9"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32A3856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85B31E" w14:textId="77777777" w:rsidR="002808C2" w:rsidRPr="00E14102" w:rsidRDefault="002808C2" w:rsidP="00E14102">
            <w:pPr>
              <w:jc w:val="both"/>
              <w:rPr>
                <w:color w:val="000000" w:themeColor="text1"/>
                <w:sz w:val="16"/>
                <w:szCs w:val="16"/>
              </w:rPr>
            </w:pPr>
            <w:r w:rsidRPr="00E1410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56DD3" w14:textId="77777777" w:rsidR="002808C2" w:rsidRPr="00E14102" w:rsidRDefault="002808C2" w:rsidP="00E14102">
            <w:pPr>
              <w:jc w:val="both"/>
              <w:rPr>
                <w:color w:val="000000" w:themeColor="text1"/>
                <w:sz w:val="16"/>
                <w:szCs w:val="16"/>
              </w:rPr>
            </w:pPr>
            <w:r w:rsidRPr="00E14102">
              <w:rPr>
                <w:color w:val="000000" w:themeColor="text1"/>
                <w:sz w:val="16"/>
                <w:szCs w:val="16"/>
              </w:rPr>
              <w:t>Прицелы к системе Курчевского и БПК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30F05" w14:textId="77777777" w:rsidR="002808C2" w:rsidRPr="00E14102" w:rsidRDefault="002808C2" w:rsidP="00E14102">
            <w:pPr>
              <w:jc w:val="both"/>
              <w:rPr>
                <w:color w:val="000000" w:themeColor="text1"/>
                <w:sz w:val="16"/>
                <w:szCs w:val="16"/>
              </w:rPr>
            </w:pPr>
            <w:r w:rsidRPr="00E14102">
              <w:rPr>
                <w:color w:val="000000" w:themeColor="text1"/>
                <w:sz w:val="16"/>
                <w:szCs w:val="16"/>
              </w:rPr>
              <w:t>1025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404B7" w14:textId="77777777" w:rsidR="002808C2" w:rsidRPr="00E14102" w:rsidRDefault="002808C2" w:rsidP="00E14102">
            <w:pPr>
              <w:jc w:val="both"/>
              <w:rPr>
                <w:color w:val="000000" w:themeColor="text1"/>
                <w:sz w:val="16"/>
                <w:szCs w:val="16"/>
              </w:rPr>
            </w:pPr>
            <w:r w:rsidRPr="00E14102">
              <w:rPr>
                <w:color w:val="000000" w:themeColor="text1"/>
                <w:sz w:val="16"/>
                <w:szCs w:val="16"/>
              </w:rPr>
              <w:t>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5A86A" w14:textId="77777777" w:rsidR="002808C2" w:rsidRPr="00E14102" w:rsidRDefault="002808C2" w:rsidP="00E14102">
            <w:pPr>
              <w:jc w:val="both"/>
              <w:rPr>
                <w:color w:val="000000" w:themeColor="text1"/>
                <w:sz w:val="16"/>
                <w:szCs w:val="16"/>
              </w:rPr>
            </w:pPr>
            <w:r w:rsidRPr="00E14102">
              <w:rPr>
                <w:color w:val="000000" w:themeColor="text1"/>
                <w:sz w:val="16"/>
                <w:szCs w:val="16"/>
              </w:rPr>
              <w:t>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AAC5E" w14:textId="77777777" w:rsidR="002808C2" w:rsidRPr="00E14102" w:rsidRDefault="002808C2" w:rsidP="00E14102">
            <w:pPr>
              <w:jc w:val="both"/>
              <w:rPr>
                <w:color w:val="000000" w:themeColor="text1"/>
                <w:sz w:val="16"/>
                <w:szCs w:val="16"/>
              </w:rPr>
            </w:pPr>
            <w:r w:rsidRPr="00E14102">
              <w:rPr>
                <w:color w:val="000000" w:themeColor="text1"/>
                <w:sz w:val="16"/>
                <w:szCs w:val="16"/>
              </w:rPr>
              <w:t>99,8%</w:t>
            </w:r>
          </w:p>
        </w:tc>
      </w:tr>
      <w:tr w:rsidR="00E3599D" w:rsidRPr="00E14102" w14:paraId="58ED191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410EBE" w14:textId="77777777" w:rsidR="002808C2" w:rsidRPr="00E14102" w:rsidRDefault="002808C2" w:rsidP="00E14102">
            <w:pPr>
              <w:jc w:val="both"/>
              <w:rPr>
                <w:color w:val="000000" w:themeColor="text1"/>
                <w:sz w:val="16"/>
                <w:szCs w:val="16"/>
              </w:rPr>
            </w:pPr>
            <w:r w:rsidRPr="00E1410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F5874" w14:textId="77777777" w:rsidR="002808C2" w:rsidRPr="00E14102" w:rsidRDefault="002808C2" w:rsidP="00E14102">
            <w:pPr>
              <w:jc w:val="both"/>
              <w:rPr>
                <w:color w:val="000000" w:themeColor="text1"/>
                <w:sz w:val="16"/>
                <w:szCs w:val="16"/>
              </w:rPr>
            </w:pPr>
            <w:r w:rsidRPr="00E14102">
              <w:rPr>
                <w:color w:val="000000" w:themeColor="text1"/>
                <w:sz w:val="16"/>
                <w:szCs w:val="16"/>
              </w:rPr>
              <w:t>Прицелы для ДРП и «Утенок»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13448" w14:textId="77777777" w:rsidR="002808C2" w:rsidRPr="00E14102" w:rsidRDefault="002808C2" w:rsidP="00E14102">
            <w:pPr>
              <w:jc w:val="both"/>
              <w:rPr>
                <w:color w:val="000000" w:themeColor="text1"/>
                <w:sz w:val="16"/>
                <w:szCs w:val="16"/>
              </w:rPr>
            </w:pPr>
            <w:r w:rsidRPr="00E14102">
              <w:rPr>
                <w:color w:val="000000" w:themeColor="text1"/>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F7557" w14:textId="77777777" w:rsidR="002808C2" w:rsidRPr="00E14102" w:rsidRDefault="002808C2" w:rsidP="00E14102">
            <w:pPr>
              <w:jc w:val="both"/>
              <w:rPr>
                <w:color w:val="000000" w:themeColor="text1"/>
                <w:sz w:val="16"/>
                <w:szCs w:val="16"/>
              </w:rPr>
            </w:pPr>
            <w:r w:rsidRPr="00E14102">
              <w:rPr>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55383" w14:textId="77777777" w:rsidR="002808C2" w:rsidRPr="00E14102" w:rsidRDefault="002808C2" w:rsidP="00E14102">
            <w:pPr>
              <w:jc w:val="both"/>
              <w:rPr>
                <w:color w:val="000000" w:themeColor="text1"/>
                <w:sz w:val="16"/>
                <w:szCs w:val="16"/>
              </w:rPr>
            </w:pPr>
            <w:r w:rsidRPr="00E14102">
              <w:rPr>
                <w:color w:val="000000" w:themeColor="text1"/>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19851"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1FCF8CE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E87401" w14:textId="77777777" w:rsidR="002808C2" w:rsidRPr="00E14102" w:rsidRDefault="002808C2" w:rsidP="00E14102">
            <w:pPr>
              <w:jc w:val="both"/>
              <w:rPr>
                <w:color w:val="000000" w:themeColor="text1"/>
                <w:sz w:val="16"/>
                <w:szCs w:val="16"/>
              </w:rPr>
            </w:pPr>
            <w:r w:rsidRPr="00E14102">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70C60" w14:textId="77777777" w:rsidR="002808C2" w:rsidRPr="00E14102" w:rsidRDefault="002808C2" w:rsidP="00E14102">
            <w:pPr>
              <w:jc w:val="both"/>
              <w:rPr>
                <w:color w:val="000000" w:themeColor="text1"/>
                <w:sz w:val="16"/>
                <w:szCs w:val="16"/>
              </w:rPr>
            </w:pPr>
            <w:r w:rsidRPr="00E14102">
              <w:rPr>
                <w:color w:val="000000" w:themeColor="text1"/>
                <w:sz w:val="16"/>
                <w:szCs w:val="16"/>
              </w:rPr>
              <w:t>Прицелы авиационные ОП-1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299B1" w14:textId="77777777" w:rsidR="002808C2" w:rsidRPr="00E14102" w:rsidRDefault="002808C2" w:rsidP="00E14102">
            <w:pPr>
              <w:jc w:val="both"/>
              <w:rPr>
                <w:color w:val="000000" w:themeColor="text1"/>
                <w:sz w:val="16"/>
                <w:szCs w:val="16"/>
              </w:rPr>
            </w:pPr>
            <w:r w:rsidRPr="00E14102">
              <w:rPr>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ED479" w14:textId="77777777" w:rsidR="002808C2" w:rsidRPr="00E14102" w:rsidRDefault="002808C2" w:rsidP="00E14102">
            <w:pPr>
              <w:jc w:val="both"/>
              <w:rPr>
                <w:color w:val="000000" w:themeColor="text1"/>
                <w:sz w:val="16"/>
                <w:szCs w:val="16"/>
              </w:rPr>
            </w:pPr>
            <w:r w:rsidRPr="00E14102">
              <w:rPr>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9F024" w14:textId="77777777" w:rsidR="002808C2" w:rsidRPr="00E14102" w:rsidRDefault="002808C2" w:rsidP="00E14102">
            <w:pPr>
              <w:jc w:val="both"/>
              <w:rPr>
                <w:color w:val="000000" w:themeColor="text1"/>
                <w:sz w:val="16"/>
                <w:szCs w:val="16"/>
              </w:rPr>
            </w:pPr>
            <w:r w:rsidRPr="00E14102">
              <w:rPr>
                <w:color w:val="000000" w:themeColor="text1"/>
                <w:sz w:val="16"/>
                <w:szCs w:val="16"/>
              </w:rPr>
              <w:t>2589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E41D0" w14:textId="77777777" w:rsidR="002808C2" w:rsidRPr="00E14102" w:rsidRDefault="002808C2" w:rsidP="00E14102">
            <w:pPr>
              <w:jc w:val="both"/>
              <w:rPr>
                <w:color w:val="000000" w:themeColor="text1"/>
                <w:sz w:val="16"/>
                <w:szCs w:val="16"/>
              </w:rPr>
            </w:pPr>
            <w:r w:rsidRPr="00E14102">
              <w:rPr>
                <w:color w:val="000000" w:themeColor="text1"/>
                <w:sz w:val="16"/>
                <w:szCs w:val="16"/>
              </w:rPr>
              <w:t>92%</w:t>
            </w:r>
          </w:p>
        </w:tc>
      </w:tr>
      <w:tr w:rsidR="00E3599D" w:rsidRPr="00E14102" w14:paraId="22451AA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5D2034" w14:textId="77777777" w:rsidR="002808C2" w:rsidRPr="00E14102" w:rsidRDefault="002808C2" w:rsidP="00E14102">
            <w:pPr>
              <w:jc w:val="both"/>
              <w:rPr>
                <w:color w:val="000000" w:themeColor="text1"/>
                <w:sz w:val="16"/>
                <w:szCs w:val="16"/>
              </w:rPr>
            </w:pPr>
            <w:r w:rsidRPr="00E14102">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96420" w14:textId="77777777" w:rsidR="002808C2" w:rsidRPr="00E14102" w:rsidRDefault="002808C2" w:rsidP="00E14102">
            <w:pPr>
              <w:jc w:val="both"/>
              <w:rPr>
                <w:color w:val="000000" w:themeColor="text1"/>
                <w:sz w:val="16"/>
                <w:szCs w:val="16"/>
              </w:rPr>
            </w:pPr>
            <w:r w:rsidRPr="00E14102">
              <w:rPr>
                <w:color w:val="000000" w:themeColor="text1"/>
                <w:sz w:val="16"/>
                <w:szCs w:val="16"/>
              </w:rPr>
              <w:t>Прицелы авиационные ОПБ-1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2F592" w14:textId="77777777" w:rsidR="002808C2" w:rsidRPr="00E14102" w:rsidRDefault="002808C2" w:rsidP="00E14102">
            <w:pPr>
              <w:jc w:val="both"/>
              <w:rPr>
                <w:color w:val="000000" w:themeColor="text1"/>
                <w:sz w:val="16"/>
                <w:szCs w:val="16"/>
              </w:rPr>
            </w:pPr>
            <w:r w:rsidRPr="00E14102">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3A2A0" w14:textId="77777777" w:rsidR="002808C2" w:rsidRPr="00E14102" w:rsidRDefault="002808C2" w:rsidP="00E14102">
            <w:pPr>
              <w:jc w:val="both"/>
              <w:rPr>
                <w:color w:val="000000" w:themeColor="text1"/>
                <w:sz w:val="16"/>
                <w:szCs w:val="16"/>
              </w:rPr>
            </w:pPr>
            <w:r w:rsidRPr="00E14102">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2C3FF" w14:textId="77777777" w:rsidR="002808C2" w:rsidRPr="00E14102" w:rsidRDefault="002808C2" w:rsidP="00E14102">
            <w:pPr>
              <w:jc w:val="both"/>
              <w:rPr>
                <w:color w:val="000000" w:themeColor="text1"/>
                <w:sz w:val="16"/>
                <w:szCs w:val="16"/>
              </w:rPr>
            </w:pPr>
            <w:r w:rsidRPr="00E14102">
              <w:rPr>
                <w:color w:val="000000" w:themeColor="text1"/>
                <w:sz w:val="16"/>
                <w:szCs w:val="16"/>
              </w:rPr>
              <w:t>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5C861" w14:textId="77777777" w:rsidR="002808C2" w:rsidRPr="00E14102" w:rsidRDefault="002808C2" w:rsidP="00E14102">
            <w:pPr>
              <w:jc w:val="both"/>
              <w:rPr>
                <w:color w:val="000000" w:themeColor="text1"/>
                <w:sz w:val="16"/>
                <w:szCs w:val="16"/>
              </w:rPr>
            </w:pPr>
            <w:r w:rsidRPr="00E14102">
              <w:rPr>
                <w:color w:val="000000" w:themeColor="text1"/>
                <w:sz w:val="16"/>
                <w:szCs w:val="16"/>
              </w:rPr>
              <w:t>105%</w:t>
            </w:r>
          </w:p>
        </w:tc>
      </w:tr>
      <w:tr w:rsidR="00E3599D" w:rsidRPr="00E14102" w14:paraId="3122D269"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1CB51D"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CECB4" w14:textId="77777777" w:rsidR="002808C2" w:rsidRPr="00E14102" w:rsidRDefault="002808C2" w:rsidP="00E14102">
            <w:pPr>
              <w:jc w:val="both"/>
              <w:rPr>
                <w:color w:val="000000" w:themeColor="text1"/>
                <w:sz w:val="16"/>
                <w:szCs w:val="16"/>
              </w:rPr>
            </w:pPr>
            <w:r w:rsidRPr="00E14102">
              <w:rPr>
                <w:color w:val="000000" w:themeColor="text1"/>
                <w:sz w:val="16"/>
                <w:szCs w:val="16"/>
              </w:rPr>
              <w:t>Прицелы авиационные ОПБ-2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1A70F" w14:textId="77777777" w:rsidR="002808C2" w:rsidRPr="00E14102" w:rsidRDefault="002808C2" w:rsidP="00E14102">
            <w:pPr>
              <w:jc w:val="both"/>
              <w:rPr>
                <w:color w:val="000000" w:themeColor="text1"/>
                <w:sz w:val="16"/>
                <w:szCs w:val="16"/>
              </w:rPr>
            </w:pPr>
            <w:r w:rsidRPr="00E14102">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2B30F" w14:textId="77777777" w:rsidR="002808C2" w:rsidRPr="00E14102" w:rsidRDefault="002808C2" w:rsidP="00E14102">
            <w:pPr>
              <w:jc w:val="both"/>
              <w:rPr>
                <w:color w:val="000000" w:themeColor="text1"/>
                <w:sz w:val="16"/>
                <w:szCs w:val="16"/>
              </w:rPr>
            </w:pPr>
            <w:r w:rsidRPr="00E14102">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BFA4D" w14:textId="77777777" w:rsidR="002808C2" w:rsidRPr="00E14102" w:rsidRDefault="002808C2" w:rsidP="00E14102">
            <w:pPr>
              <w:jc w:val="both"/>
              <w:rPr>
                <w:color w:val="000000" w:themeColor="text1"/>
                <w:sz w:val="16"/>
                <w:szCs w:val="16"/>
              </w:rPr>
            </w:pPr>
            <w:r w:rsidRPr="00E14102">
              <w:rPr>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E2A20" w14:textId="77777777" w:rsidR="002808C2" w:rsidRPr="00E14102" w:rsidRDefault="002808C2" w:rsidP="00E14102">
            <w:pPr>
              <w:jc w:val="both"/>
              <w:rPr>
                <w:color w:val="000000" w:themeColor="text1"/>
                <w:sz w:val="16"/>
                <w:szCs w:val="16"/>
              </w:rPr>
            </w:pPr>
            <w:r w:rsidRPr="00E14102">
              <w:rPr>
                <w:color w:val="000000" w:themeColor="text1"/>
                <w:sz w:val="16"/>
                <w:szCs w:val="16"/>
              </w:rPr>
              <w:t>123%</w:t>
            </w:r>
          </w:p>
        </w:tc>
      </w:tr>
      <w:tr w:rsidR="00E3599D" w:rsidRPr="00E14102" w14:paraId="0D8613C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EED63F" w14:textId="77777777" w:rsidR="002808C2" w:rsidRPr="00E14102" w:rsidRDefault="002808C2" w:rsidP="00E14102">
            <w:pPr>
              <w:jc w:val="both"/>
              <w:rPr>
                <w:color w:val="000000" w:themeColor="text1"/>
                <w:sz w:val="16"/>
                <w:szCs w:val="16"/>
              </w:rPr>
            </w:pPr>
            <w:r w:rsidRPr="00E14102">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DE908" w14:textId="77777777" w:rsidR="002808C2" w:rsidRPr="00E14102" w:rsidRDefault="002808C2" w:rsidP="00E14102">
            <w:pPr>
              <w:jc w:val="both"/>
              <w:rPr>
                <w:color w:val="000000" w:themeColor="text1"/>
                <w:sz w:val="16"/>
                <w:szCs w:val="16"/>
              </w:rPr>
            </w:pPr>
            <w:r w:rsidRPr="00E14102">
              <w:rPr>
                <w:color w:val="000000" w:themeColor="text1"/>
                <w:sz w:val="16"/>
                <w:szCs w:val="16"/>
              </w:rPr>
              <w:t>Винтовочные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1AFF2" w14:textId="77777777" w:rsidR="002808C2" w:rsidRPr="00E14102" w:rsidRDefault="002808C2" w:rsidP="00E14102">
            <w:pPr>
              <w:jc w:val="both"/>
              <w:rPr>
                <w:color w:val="000000" w:themeColor="text1"/>
                <w:sz w:val="16"/>
                <w:szCs w:val="16"/>
              </w:rPr>
            </w:pPr>
            <w:r w:rsidRPr="00E14102">
              <w:rPr>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7C129" w14:textId="77777777" w:rsidR="002808C2" w:rsidRPr="00E14102" w:rsidRDefault="002808C2" w:rsidP="00E14102">
            <w:pPr>
              <w:jc w:val="both"/>
              <w:rPr>
                <w:color w:val="000000" w:themeColor="text1"/>
                <w:sz w:val="16"/>
                <w:szCs w:val="16"/>
              </w:rPr>
            </w:pPr>
            <w:r w:rsidRPr="00E14102">
              <w:rPr>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A3177" w14:textId="77777777" w:rsidR="002808C2" w:rsidRPr="00E14102" w:rsidRDefault="002808C2" w:rsidP="00E14102">
            <w:pPr>
              <w:jc w:val="both"/>
              <w:rPr>
                <w:color w:val="000000" w:themeColor="text1"/>
                <w:sz w:val="16"/>
                <w:szCs w:val="16"/>
              </w:rPr>
            </w:pPr>
            <w:r w:rsidRPr="00E14102">
              <w:rPr>
                <w:color w:val="000000" w:themeColor="text1"/>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86777" w14:textId="77777777" w:rsidR="002808C2" w:rsidRPr="00E14102" w:rsidRDefault="002808C2" w:rsidP="00E14102">
            <w:pPr>
              <w:jc w:val="both"/>
              <w:rPr>
                <w:color w:val="000000" w:themeColor="text1"/>
                <w:sz w:val="16"/>
                <w:szCs w:val="16"/>
              </w:rPr>
            </w:pPr>
            <w:r w:rsidRPr="00E14102">
              <w:rPr>
                <w:color w:val="000000" w:themeColor="text1"/>
                <w:sz w:val="16"/>
                <w:szCs w:val="16"/>
              </w:rPr>
              <w:t>130%</w:t>
            </w:r>
          </w:p>
        </w:tc>
      </w:tr>
      <w:tr w:rsidR="00E3599D" w:rsidRPr="00E14102" w14:paraId="287AD89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B18112" w14:textId="77777777" w:rsidR="002808C2" w:rsidRPr="00E14102" w:rsidRDefault="002808C2" w:rsidP="00E14102">
            <w:pPr>
              <w:jc w:val="both"/>
              <w:rPr>
                <w:color w:val="000000" w:themeColor="text1"/>
                <w:sz w:val="16"/>
                <w:szCs w:val="16"/>
              </w:rPr>
            </w:pPr>
            <w:r w:rsidRPr="00E1410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19032" w14:textId="77777777" w:rsidR="002808C2" w:rsidRPr="00E14102" w:rsidRDefault="002808C2" w:rsidP="00E14102">
            <w:pPr>
              <w:jc w:val="both"/>
              <w:rPr>
                <w:color w:val="000000" w:themeColor="text1"/>
                <w:sz w:val="16"/>
                <w:szCs w:val="16"/>
              </w:rPr>
            </w:pPr>
            <w:r w:rsidRPr="00E14102">
              <w:rPr>
                <w:color w:val="000000" w:themeColor="text1"/>
                <w:sz w:val="16"/>
                <w:szCs w:val="16"/>
              </w:rPr>
              <w:t>Пулеметные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57CFF" w14:textId="77777777" w:rsidR="002808C2" w:rsidRPr="00E14102" w:rsidRDefault="002808C2" w:rsidP="00E14102">
            <w:pPr>
              <w:jc w:val="both"/>
              <w:rPr>
                <w:color w:val="000000" w:themeColor="text1"/>
                <w:sz w:val="16"/>
                <w:szCs w:val="16"/>
              </w:rPr>
            </w:pPr>
            <w:r w:rsidRPr="00E14102">
              <w:rPr>
                <w:color w:val="000000" w:themeColor="text1"/>
                <w:sz w:val="16"/>
                <w:szCs w:val="16"/>
              </w:rPr>
              <w:t>1725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90A44" w14:textId="77777777" w:rsidR="002808C2" w:rsidRPr="00E14102" w:rsidRDefault="002808C2" w:rsidP="00E14102">
            <w:pPr>
              <w:jc w:val="both"/>
              <w:rPr>
                <w:color w:val="000000" w:themeColor="text1"/>
                <w:sz w:val="16"/>
                <w:szCs w:val="16"/>
              </w:rPr>
            </w:pPr>
            <w:r w:rsidRPr="00E14102">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BC56B" w14:textId="77777777" w:rsidR="002808C2" w:rsidRPr="00E14102" w:rsidRDefault="002808C2" w:rsidP="00E14102">
            <w:pPr>
              <w:jc w:val="both"/>
              <w:rPr>
                <w:color w:val="000000" w:themeColor="text1"/>
                <w:sz w:val="16"/>
                <w:szCs w:val="16"/>
              </w:rPr>
            </w:pPr>
            <w:r w:rsidRPr="00E14102">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1774E"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4160B07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D39FAD" w14:textId="77777777" w:rsidR="002808C2" w:rsidRPr="00E14102" w:rsidRDefault="002808C2" w:rsidP="00E14102">
            <w:pPr>
              <w:jc w:val="both"/>
              <w:rPr>
                <w:color w:val="000000" w:themeColor="text1"/>
                <w:sz w:val="16"/>
                <w:szCs w:val="16"/>
              </w:rPr>
            </w:pPr>
            <w:r w:rsidRPr="00E14102">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177A1" w14:textId="77777777" w:rsidR="002808C2" w:rsidRPr="00E14102" w:rsidRDefault="002808C2" w:rsidP="00E14102">
            <w:pPr>
              <w:jc w:val="both"/>
              <w:rPr>
                <w:color w:val="000000" w:themeColor="text1"/>
                <w:sz w:val="16"/>
                <w:szCs w:val="16"/>
              </w:rPr>
            </w:pPr>
            <w:r w:rsidRPr="00E14102">
              <w:rPr>
                <w:color w:val="000000" w:themeColor="text1"/>
                <w:sz w:val="16"/>
                <w:szCs w:val="16"/>
              </w:rPr>
              <w:t>Панорамы орудийные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735C7" w14:textId="77777777" w:rsidR="002808C2" w:rsidRPr="00E14102" w:rsidRDefault="002808C2" w:rsidP="00E14102">
            <w:pPr>
              <w:jc w:val="both"/>
              <w:rPr>
                <w:color w:val="000000" w:themeColor="text1"/>
                <w:sz w:val="16"/>
                <w:szCs w:val="16"/>
              </w:rPr>
            </w:pPr>
            <w:r w:rsidRPr="00E14102">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6E869" w14:textId="77777777" w:rsidR="002808C2" w:rsidRPr="00E14102" w:rsidRDefault="002808C2" w:rsidP="00E14102">
            <w:pPr>
              <w:jc w:val="both"/>
              <w:rPr>
                <w:color w:val="000000" w:themeColor="text1"/>
                <w:sz w:val="16"/>
                <w:szCs w:val="16"/>
              </w:rPr>
            </w:pPr>
            <w:r w:rsidRPr="00E14102">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EEB2C" w14:textId="77777777" w:rsidR="002808C2" w:rsidRPr="00E14102" w:rsidRDefault="002808C2" w:rsidP="00E14102">
            <w:pPr>
              <w:jc w:val="both"/>
              <w:rPr>
                <w:color w:val="000000" w:themeColor="text1"/>
                <w:sz w:val="16"/>
                <w:szCs w:val="16"/>
              </w:rPr>
            </w:pPr>
            <w:r w:rsidRPr="00E14102">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0C775" w14:textId="77777777" w:rsidR="002808C2" w:rsidRPr="00E14102" w:rsidRDefault="002808C2" w:rsidP="00E14102">
            <w:pPr>
              <w:jc w:val="both"/>
              <w:rPr>
                <w:color w:val="000000" w:themeColor="text1"/>
                <w:sz w:val="16"/>
                <w:szCs w:val="16"/>
              </w:rPr>
            </w:pPr>
            <w:r w:rsidRPr="00E14102">
              <w:rPr>
                <w:color w:val="000000" w:themeColor="text1"/>
                <w:sz w:val="16"/>
                <w:szCs w:val="16"/>
              </w:rPr>
              <w:t>116%</w:t>
            </w:r>
          </w:p>
        </w:tc>
      </w:tr>
      <w:tr w:rsidR="00E3599D" w:rsidRPr="00E14102" w14:paraId="2EEBFE60"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55F9536" w14:textId="77777777" w:rsidR="002808C2" w:rsidRPr="00E14102" w:rsidRDefault="002808C2" w:rsidP="00E14102">
            <w:pPr>
              <w:jc w:val="both"/>
              <w:rPr>
                <w:color w:val="000000" w:themeColor="text1"/>
                <w:sz w:val="16"/>
                <w:szCs w:val="16"/>
              </w:rPr>
            </w:pPr>
            <w:r w:rsidRPr="00E14102">
              <w:rPr>
                <w:color w:val="000000" w:themeColor="text1"/>
                <w:sz w:val="16"/>
                <w:szCs w:val="16"/>
              </w:rPr>
              <w:t>Д. Дальномеры и перископы</w:t>
            </w:r>
          </w:p>
        </w:tc>
      </w:tr>
      <w:tr w:rsidR="00E3599D" w:rsidRPr="00E14102" w14:paraId="5E600E5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8A86D6"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3910B" w14:textId="77777777" w:rsidR="002808C2" w:rsidRPr="00E14102" w:rsidRDefault="002808C2" w:rsidP="00E14102">
            <w:pPr>
              <w:jc w:val="both"/>
              <w:rPr>
                <w:color w:val="000000" w:themeColor="text1"/>
                <w:sz w:val="16"/>
                <w:szCs w:val="16"/>
              </w:rPr>
            </w:pPr>
            <w:r w:rsidRPr="00E14102">
              <w:rPr>
                <w:color w:val="000000" w:themeColor="text1"/>
                <w:sz w:val="16"/>
                <w:szCs w:val="16"/>
              </w:rPr>
              <w:t>Дальномеры пулеметные 0,70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0098B" w14:textId="77777777" w:rsidR="002808C2" w:rsidRPr="00E14102" w:rsidRDefault="002808C2" w:rsidP="00E14102">
            <w:pPr>
              <w:jc w:val="both"/>
              <w:rPr>
                <w:color w:val="000000" w:themeColor="text1"/>
                <w:sz w:val="16"/>
                <w:szCs w:val="16"/>
              </w:rPr>
            </w:pPr>
            <w:r w:rsidRPr="00E1410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AFC53" w14:textId="77777777" w:rsidR="002808C2" w:rsidRPr="00E14102" w:rsidRDefault="002808C2" w:rsidP="00E14102">
            <w:pPr>
              <w:jc w:val="both"/>
              <w:rPr>
                <w:color w:val="000000" w:themeColor="text1"/>
                <w:sz w:val="16"/>
                <w:szCs w:val="16"/>
              </w:rPr>
            </w:pPr>
            <w:r w:rsidRPr="00E14102">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EEC79" w14:textId="77777777" w:rsidR="002808C2" w:rsidRPr="00E14102" w:rsidRDefault="002808C2"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29C3A" w14:textId="77777777" w:rsidR="002808C2" w:rsidRPr="00E14102" w:rsidRDefault="002808C2" w:rsidP="00E14102">
            <w:pPr>
              <w:jc w:val="both"/>
              <w:rPr>
                <w:color w:val="000000" w:themeColor="text1"/>
                <w:sz w:val="16"/>
                <w:szCs w:val="16"/>
              </w:rPr>
            </w:pPr>
            <w:r w:rsidRPr="00E14102">
              <w:rPr>
                <w:color w:val="000000" w:themeColor="text1"/>
                <w:sz w:val="16"/>
                <w:szCs w:val="16"/>
              </w:rPr>
              <w:t>83%</w:t>
            </w:r>
          </w:p>
        </w:tc>
      </w:tr>
      <w:tr w:rsidR="00E3599D" w:rsidRPr="00E14102" w14:paraId="7172765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144049"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2E7F7" w14:textId="77777777" w:rsidR="002808C2" w:rsidRPr="00E14102" w:rsidRDefault="002808C2" w:rsidP="00E14102">
            <w:pPr>
              <w:jc w:val="both"/>
              <w:rPr>
                <w:color w:val="000000" w:themeColor="text1"/>
                <w:sz w:val="16"/>
                <w:szCs w:val="16"/>
              </w:rPr>
            </w:pPr>
            <w:r w:rsidRPr="00E14102">
              <w:rPr>
                <w:color w:val="000000" w:themeColor="text1"/>
                <w:sz w:val="16"/>
                <w:szCs w:val="16"/>
              </w:rPr>
              <w:t>Дальномеры зенитные 2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9D875" w14:textId="77777777" w:rsidR="002808C2" w:rsidRPr="00E14102" w:rsidRDefault="002808C2" w:rsidP="00E14102">
            <w:pPr>
              <w:jc w:val="both"/>
              <w:rPr>
                <w:color w:val="000000" w:themeColor="text1"/>
                <w:sz w:val="16"/>
                <w:szCs w:val="16"/>
              </w:rPr>
            </w:pPr>
            <w:r w:rsidRPr="00E14102">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1BF5F" w14:textId="77777777" w:rsidR="002808C2" w:rsidRPr="00E14102" w:rsidRDefault="002808C2" w:rsidP="00E14102">
            <w:pPr>
              <w:jc w:val="both"/>
              <w:rPr>
                <w:color w:val="000000" w:themeColor="text1"/>
                <w:sz w:val="16"/>
                <w:szCs w:val="16"/>
              </w:rPr>
            </w:pPr>
            <w:r w:rsidRPr="00E14102">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76232" w14:textId="77777777" w:rsidR="002808C2" w:rsidRPr="00E14102" w:rsidRDefault="002808C2" w:rsidP="00E14102">
            <w:pPr>
              <w:jc w:val="both"/>
              <w:rPr>
                <w:color w:val="000000" w:themeColor="text1"/>
                <w:sz w:val="16"/>
                <w:szCs w:val="16"/>
              </w:rPr>
            </w:pPr>
            <w:r w:rsidRPr="00E14102">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F0B55" w14:textId="77777777" w:rsidR="002808C2" w:rsidRPr="00E14102" w:rsidRDefault="002808C2" w:rsidP="00E14102">
            <w:pPr>
              <w:jc w:val="both"/>
              <w:rPr>
                <w:color w:val="000000" w:themeColor="text1"/>
                <w:sz w:val="16"/>
                <w:szCs w:val="16"/>
              </w:rPr>
            </w:pPr>
            <w:r w:rsidRPr="00E14102">
              <w:rPr>
                <w:color w:val="000000" w:themeColor="text1"/>
                <w:sz w:val="16"/>
                <w:szCs w:val="16"/>
              </w:rPr>
              <w:t>75%</w:t>
            </w:r>
          </w:p>
        </w:tc>
      </w:tr>
      <w:tr w:rsidR="00E3599D" w:rsidRPr="00E14102" w14:paraId="464879A0"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321BB4"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DA23B" w14:textId="77777777" w:rsidR="002808C2" w:rsidRPr="00E14102" w:rsidRDefault="002808C2" w:rsidP="00E14102">
            <w:pPr>
              <w:jc w:val="both"/>
              <w:rPr>
                <w:color w:val="000000" w:themeColor="text1"/>
                <w:sz w:val="16"/>
                <w:szCs w:val="16"/>
              </w:rPr>
            </w:pPr>
            <w:r w:rsidRPr="00E14102">
              <w:rPr>
                <w:color w:val="000000" w:themeColor="text1"/>
                <w:sz w:val="16"/>
                <w:szCs w:val="16"/>
              </w:rPr>
              <w:t>Перископы 1,5-кратные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5831B" w14:textId="77777777" w:rsidR="002808C2" w:rsidRPr="00E14102" w:rsidRDefault="002808C2" w:rsidP="00E14102">
            <w:pPr>
              <w:jc w:val="both"/>
              <w:rPr>
                <w:color w:val="000000" w:themeColor="text1"/>
                <w:sz w:val="16"/>
                <w:szCs w:val="16"/>
              </w:rPr>
            </w:pPr>
            <w:r w:rsidRPr="00E14102">
              <w:rPr>
                <w:color w:val="000000" w:themeColor="text1"/>
                <w:sz w:val="16"/>
                <w:szCs w:val="16"/>
              </w:rPr>
              <w:t>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37C33" w14:textId="77777777" w:rsidR="002808C2" w:rsidRPr="00E14102" w:rsidRDefault="002808C2" w:rsidP="00E14102">
            <w:pPr>
              <w:jc w:val="both"/>
              <w:rPr>
                <w:color w:val="000000" w:themeColor="text1"/>
                <w:sz w:val="16"/>
                <w:szCs w:val="16"/>
              </w:rPr>
            </w:pPr>
            <w:r w:rsidRPr="00E14102">
              <w:rPr>
                <w:color w:val="000000" w:themeColor="text1"/>
                <w:sz w:val="16"/>
                <w:szCs w:val="16"/>
              </w:rPr>
              <w:t>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07EC2" w14:textId="77777777" w:rsidR="002808C2" w:rsidRPr="00E14102" w:rsidRDefault="002808C2" w:rsidP="00E14102">
            <w:pPr>
              <w:jc w:val="both"/>
              <w:rPr>
                <w:color w:val="000000" w:themeColor="text1"/>
                <w:sz w:val="16"/>
                <w:szCs w:val="16"/>
              </w:rPr>
            </w:pPr>
            <w:r w:rsidRPr="00E14102">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B7DDD" w14:textId="77777777" w:rsidR="002808C2" w:rsidRPr="00E14102" w:rsidRDefault="002808C2" w:rsidP="00E14102">
            <w:pPr>
              <w:jc w:val="both"/>
              <w:rPr>
                <w:color w:val="000000" w:themeColor="text1"/>
                <w:sz w:val="16"/>
                <w:szCs w:val="16"/>
              </w:rPr>
            </w:pPr>
            <w:r w:rsidRPr="00E14102">
              <w:rPr>
                <w:color w:val="000000" w:themeColor="text1"/>
                <w:sz w:val="16"/>
                <w:szCs w:val="16"/>
              </w:rPr>
              <w:t>125%</w:t>
            </w:r>
          </w:p>
        </w:tc>
      </w:tr>
      <w:tr w:rsidR="00E3599D" w:rsidRPr="00E14102" w14:paraId="04DEE6E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6ED001" w14:textId="77777777" w:rsidR="002808C2" w:rsidRPr="00E14102" w:rsidRDefault="002808C2"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EB13E" w14:textId="77777777" w:rsidR="002808C2" w:rsidRPr="00E14102" w:rsidRDefault="002808C2" w:rsidP="00E14102">
            <w:pPr>
              <w:jc w:val="both"/>
              <w:rPr>
                <w:color w:val="000000" w:themeColor="text1"/>
                <w:sz w:val="16"/>
                <w:szCs w:val="16"/>
              </w:rPr>
            </w:pPr>
            <w:r w:rsidRPr="00E14102">
              <w:rPr>
                <w:color w:val="000000" w:themeColor="text1"/>
                <w:sz w:val="16"/>
                <w:szCs w:val="16"/>
              </w:rPr>
              <w:t>Перископы 10-кратные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29389" w14:textId="77777777" w:rsidR="002808C2" w:rsidRPr="00E14102" w:rsidRDefault="002808C2" w:rsidP="00E14102">
            <w:pPr>
              <w:jc w:val="both"/>
              <w:rPr>
                <w:color w:val="000000" w:themeColor="text1"/>
                <w:sz w:val="16"/>
                <w:szCs w:val="16"/>
              </w:rPr>
            </w:pPr>
            <w:r w:rsidRPr="00E14102">
              <w:rPr>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2937C" w14:textId="77777777" w:rsidR="002808C2" w:rsidRPr="00E14102" w:rsidRDefault="002808C2" w:rsidP="00E14102">
            <w:pPr>
              <w:jc w:val="both"/>
              <w:rPr>
                <w:color w:val="000000" w:themeColor="text1"/>
                <w:sz w:val="16"/>
                <w:szCs w:val="16"/>
              </w:rPr>
            </w:pPr>
            <w:r w:rsidRPr="00E14102">
              <w:rPr>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0D609" w14:textId="77777777" w:rsidR="002808C2" w:rsidRPr="00E14102" w:rsidRDefault="002808C2" w:rsidP="00E14102">
            <w:pPr>
              <w:jc w:val="both"/>
              <w:rPr>
                <w:color w:val="000000" w:themeColor="text1"/>
                <w:sz w:val="16"/>
                <w:szCs w:val="16"/>
              </w:rPr>
            </w:pPr>
            <w:r w:rsidRPr="00E14102">
              <w:rPr>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FF6E2"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6B42F0C2"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64C6170" w14:textId="77777777" w:rsidR="002808C2" w:rsidRPr="00E14102" w:rsidRDefault="002808C2" w:rsidP="00E14102">
            <w:pPr>
              <w:jc w:val="both"/>
              <w:rPr>
                <w:color w:val="000000" w:themeColor="text1"/>
                <w:sz w:val="16"/>
                <w:szCs w:val="16"/>
              </w:rPr>
            </w:pPr>
            <w:r w:rsidRPr="00E14102">
              <w:rPr>
                <w:color w:val="000000" w:themeColor="text1"/>
                <w:sz w:val="16"/>
                <w:szCs w:val="16"/>
              </w:rPr>
              <w:t>Е. Общая оптика</w:t>
            </w:r>
          </w:p>
        </w:tc>
      </w:tr>
      <w:tr w:rsidR="00E3599D" w:rsidRPr="00E14102" w14:paraId="53FBBA1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1B320D"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BBBAA" w14:textId="77777777" w:rsidR="002808C2" w:rsidRPr="00E14102" w:rsidRDefault="002808C2" w:rsidP="00E14102">
            <w:pPr>
              <w:jc w:val="both"/>
              <w:rPr>
                <w:color w:val="000000" w:themeColor="text1"/>
                <w:sz w:val="16"/>
                <w:szCs w:val="16"/>
              </w:rPr>
            </w:pPr>
            <w:r w:rsidRPr="00E14102">
              <w:rPr>
                <w:color w:val="000000" w:themeColor="text1"/>
                <w:sz w:val="16"/>
                <w:szCs w:val="16"/>
              </w:rPr>
              <w:t>Бинокли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B69A4" w14:textId="77777777" w:rsidR="002808C2" w:rsidRPr="00E14102" w:rsidRDefault="002808C2" w:rsidP="00E14102">
            <w:pPr>
              <w:jc w:val="both"/>
              <w:rPr>
                <w:color w:val="000000" w:themeColor="text1"/>
                <w:sz w:val="16"/>
                <w:szCs w:val="16"/>
              </w:rPr>
            </w:pPr>
            <w:r w:rsidRPr="00E14102">
              <w:rPr>
                <w:color w:val="000000" w:themeColor="text1"/>
                <w:sz w:val="16"/>
                <w:szCs w:val="16"/>
              </w:rPr>
              <w:t>17 250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06CE0" w14:textId="77777777" w:rsidR="002808C2" w:rsidRPr="00E14102" w:rsidRDefault="002808C2" w:rsidP="00E14102">
            <w:pPr>
              <w:jc w:val="both"/>
              <w:rPr>
                <w:color w:val="000000" w:themeColor="text1"/>
                <w:sz w:val="16"/>
                <w:szCs w:val="16"/>
              </w:rPr>
            </w:pPr>
            <w:r w:rsidRPr="00E14102">
              <w:rPr>
                <w:color w:val="000000" w:themeColor="text1"/>
                <w:sz w:val="16"/>
                <w:szCs w:val="16"/>
              </w:rPr>
              <w:t>17 250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DC557" w14:textId="77777777" w:rsidR="002808C2" w:rsidRPr="00E14102" w:rsidRDefault="002808C2" w:rsidP="00E14102">
            <w:pPr>
              <w:jc w:val="both"/>
              <w:rPr>
                <w:color w:val="000000" w:themeColor="text1"/>
                <w:sz w:val="16"/>
                <w:szCs w:val="16"/>
              </w:rPr>
            </w:pPr>
            <w:r w:rsidRPr="00E14102">
              <w:rPr>
                <w:color w:val="000000" w:themeColor="text1"/>
                <w:sz w:val="16"/>
                <w:szCs w:val="16"/>
              </w:rPr>
              <w:t>15 768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846AA" w14:textId="77777777" w:rsidR="002808C2" w:rsidRPr="00E14102" w:rsidRDefault="002808C2" w:rsidP="00E14102">
            <w:pPr>
              <w:jc w:val="both"/>
              <w:rPr>
                <w:color w:val="000000" w:themeColor="text1"/>
                <w:sz w:val="16"/>
                <w:szCs w:val="16"/>
              </w:rPr>
            </w:pPr>
            <w:r w:rsidRPr="00E14102">
              <w:rPr>
                <w:color w:val="000000" w:themeColor="text1"/>
                <w:sz w:val="16"/>
                <w:szCs w:val="16"/>
              </w:rPr>
              <w:t>91%</w:t>
            </w:r>
          </w:p>
        </w:tc>
      </w:tr>
      <w:tr w:rsidR="00E3599D" w:rsidRPr="00E14102" w14:paraId="73A2E13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1F692F"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325EF" w14:textId="77777777" w:rsidR="002808C2" w:rsidRPr="00E14102" w:rsidRDefault="002808C2" w:rsidP="00E14102">
            <w:pPr>
              <w:jc w:val="both"/>
              <w:rPr>
                <w:color w:val="000000" w:themeColor="text1"/>
                <w:sz w:val="16"/>
                <w:szCs w:val="16"/>
              </w:rPr>
            </w:pPr>
            <w:r w:rsidRPr="00E14102">
              <w:rPr>
                <w:color w:val="000000" w:themeColor="text1"/>
                <w:sz w:val="16"/>
                <w:szCs w:val="16"/>
              </w:rPr>
              <w:t>Стереотрубы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33764" w14:textId="77777777" w:rsidR="002808C2" w:rsidRPr="00E14102" w:rsidRDefault="002808C2" w:rsidP="00E14102">
            <w:pPr>
              <w:jc w:val="both"/>
              <w:rPr>
                <w:color w:val="000000" w:themeColor="text1"/>
                <w:sz w:val="16"/>
                <w:szCs w:val="16"/>
              </w:rPr>
            </w:pPr>
            <w:r w:rsidRPr="00E14102">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0AAA8" w14:textId="77777777" w:rsidR="002808C2" w:rsidRPr="00E14102" w:rsidRDefault="002808C2" w:rsidP="00E14102">
            <w:pPr>
              <w:jc w:val="both"/>
              <w:rPr>
                <w:color w:val="000000" w:themeColor="text1"/>
                <w:sz w:val="16"/>
                <w:szCs w:val="16"/>
              </w:rPr>
            </w:pPr>
            <w:r w:rsidRPr="00E14102">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FB2C5" w14:textId="77777777" w:rsidR="002808C2" w:rsidRPr="00E14102" w:rsidRDefault="002808C2" w:rsidP="00E14102">
            <w:pPr>
              <w:jc w:val="both"/>
              <w:rPr>
                <w:color w:val="000000" w:themeColor="text1"/>
                <w:sz w:val="16"/>
                <w:szCs w:val="16"/>
              </w:rPr>
            </w:pPr>
            <w:r w:rsidRPr="00E14102">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9EAD6"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6ADB70A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A6F424"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0D7FB" w14:textId="77777777" w:rsidR="002808C2" w:rsidRPr="00E14102" w:rsidRDefault="002808C2" w:rsidP="00E14102">
            <w:pPr>
              <w:jc w:val="both"/>
              <w:rPr>
                <w:color w:val="000000" w:themeColor="text1"/>
                <w:sz w:val="16"/>
                <w:szCs w:val="16"/>
              </w:rPr>
            </w:pPr>
            <w:r w:rsidRPr="00E14102">
              <w:rPr>
                <w:color w:val="000000" w:themeColor="text1"/>
                <w:sz w:val="16"/>
                <w:szCs w:val="16"/>
              </w:rPr>
              <w:t>Буссоли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A75EE" w14:textId="77777777" w:rsidR="002808C2" w:rsidRPr="00E14102" w:rsidRDefault="002808C2" w:rsidP="00E14102">
            <w:pPr>
              <w:jc w:val="both"/>
              <w:rPr>
                <w:color w:val="000000" w:themeColor="text1"/>
                <w:sz w:val="16"/>
                <w:szCs w:val="16"/>
              </w:rPr>
            </w:pPr>
            <w:r w:rsidRPr="00E14102">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AD25A" w14:textId="77777777" w:rsidR="002808C2" w:rsidRPr="00E14102" w:rsidRDefault="002808C2" w:rsidP="00E14102">
            <w:pPr>
              <w:jc w:val="both"/>
              <w:rPr>
                <w:color w:val="000000" w:themeColor="text1"/>
                <w:sz w:val="16"/>
                <w:szCs w:val="16"/>
              </w:rPr>
            </w:pPr>
            <w:r w:rsidRPr="00E14102">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49B97" w14:textId="77777777" w:rsidR="002808C2" w:rsidRPr="00E14102" w:rsidRDefault="002808C2" w:rsidP="00E14102">
            <w:pPr>
              <w:jc w:val="both"/>
              <w:rPr>
                <w:color w:val="000000" w:themeColor="text1"/>
                <w:sz w:val="16"/>
                <w:szCs w:val="16"/>
              </w:rPr>
            </w:pPr>
            <w:r w:rsidRPr="00E14102">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1C1FA"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0C2A9540"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7DB8E4" w14:textId="77777777" w:rsidR="002808C2" w:rsidRPr="00E14102" w:rsidRDefault="002808C2"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AF758" w14:textId="77777777" w:rsidR="002808C2" w:rsidRPr="00E14102" w:rsidRDefault="002808C2" w:rsidP="00E14102">
            <w:pPr>
              <w:jc w:val="both"/>
              <w:rPr>
                <w:color w:val="000000" w:themeColor="text1"/>
                <w:sz w:val="16"/>
                <w:szCs w:val="16"/>
              </w:rPr>
            </w:pPr>
            <w:r w:rsidRPr="00E14102">
              <w:rPr>
                <w:color w:val="000000" w:themeColor="text1"/>
                <w:sz w:val="16"/>
                <w:szCs w:val="16"/>
              </w:rPr>
              <w:t>Компасы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FAFD4" w14:textId="77777777" w:rsidR="002808C2" w:rsidRPr="00E14102" w:rsidRDefault="002808C2" w:rsidP="00E14102">
            <w:pPr>
              <w:jc w:val="both"/>
              <w:rPr>
                <w:color w:val="000000" w:themeColor="text1"/>
                <w:sz w:val="16"/>
                <w:szCs w:val="16"/>
              </w:rPr>
            </w:pPr>
            <w:r w:rsidRPr="00E14102">
              <w:rPr>
                <w:color w:val="000000" w:themeColor="text1"/>
                <w:sz w:val="16"/>
                <w:szCs w:val="16"/>
              </w:rPr>
              <w:t>58 000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92F14" w14:textId="77777777" w:rsidR="002808C2" w:rsidRPr="00E14102" w:rsidRDefault="002808C2" w:rsidP="00E14102">
            <w:pPr>
              <w:jc w:val="both"/>
              <w:rPr>
                <w:color w:val="000000" w:themeColor="text1"/>
                <w:sz w:val="16"/>
                <w:szCs w:val="16"/>
              </w:rPr>
            </w:pPr>
            <w:r w:rsidRPr="00E14102">
              <w:rPr>
                <w:color w:val="000000" w:themeColor="text1"/>
                <w:sz w:val="16"/>
                <w:szCs w:val="16"/>
              </w:rPr>
              <w:t>58 000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01504" w14:textId="77777777" w:rsidR="002808C2" w:rsidRPr="00E14102" w:rsidRDefault="002808C2" w:rsidP="00E14102">
            <w:pPr>
              <w:jc w:val="both"/>
              <w:rPr>
                <w:color w:val="000000" w:themeColor="text1"/>
                <w:sz w:val="16"/>
                <w:szCs w:val="16"/>
              </w:rPr>
            </w:pPr>
            <w:r w:rsidRPr="00E14102">
              <w:rPr>
                <w:color w:val="000000" w:themeColor="text1"/>
                <w:sz w:val="16"/>
                <w:szCs w:val="16"/>
              </w:rPr>
              <w:t>8805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312F1" w14:textId="77777777" w:rsidR="002808C2" w:rsidRPr="00E14102" w:rsidRDefault="002808C2" w:rsidP="00E14102">
            <w:pPr>
              <w:jc w:val="both"/>
              <w:rPr>
                <w:color w:val="000000" w:themeColor="text1"/>
                <w:sz w:val="16"/>
                <w:szCs w:val="16"/>
              </w:rPr>
            </w:pPr>
            <w:r w:rsidRPr="00E14102">
              <w:rPr>
                <w:color w:val="000000" w:themeColor="text1"/>
                <w:sz w:val="16"/>
                <w:szCs w:val="16"/>
              </w:rPr>
              <w:t>16,5%</w:t>
            </w:r>
          </w:p>
        </w:tc>
      </w:tr>
      <w:tr w:rsidR="00E3599D" w:rsidRPr="00E14102" w14:paraId="693A956A"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8AC68BA" w14:textId="77777777" w:rsidR="002808C2" w:rsidRPr="00E14102" w:rsidRDefault="002808C2" w:rsidP="00E14102">
            <w:pPr>
              <w:jc w:val="both"/>
              <w:rPr>
                <w:color w:val="000000" w:themeColor="text1"/>
                <w:sz w:val="16"/>
                <w:szCs w:val="16"/>
              </w:rPr>
            </w:pPr>
            <w:r w:rsidRPr="00E14102">
              <w:rPr>
                <w:color w:val="000000" w:themeColor="text1"/>
                <w:sz w:val="16"/>
                <w:szCs w:val="16"/>
              </w:rPr>
              <w:t>БОЕПРИПАСЫ АРТИЛЛЕРИИ</w:t>
            </w:r>
          </w:p>
        </w:tc>
      </w:tr>
      <w:tr w:rsidR="00E3599D" w:rsidRPr="00E14102" w14:paraId="44161E1F"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0782E84A" w14:textId="77777777" w:rsidR="002808C2" w:rsidRPr="00E14102" w:rsidRDefault="002808C2" w:rsidP="00E14102">
            <w:pPr>
              <w:jc w:val="both"/>
              <w:rPr>
                <w:color w:val="000000" w:themeColor="text1"/>
                <w:sz w:val="16"/>
                <w:szCs w:val="16"/>
              </w:rPr>
            </w:pPr>
            <w:r w:rsidRPr="00E14102">
              <w:rPr>
                <w:color w:val="000000" w:themeColor="text1"/>
                <w:sz w:val="16"/>
                <w:szCs w:val="16"/>
              </w:rPr>
              <w:t>А. Снаряды (снаряжение) в тыс. штук</w:t>
            </w:r>
          </w:p>
        </w:tc>
      </w:tr>
      <w:tr w:rsidR="00E3599D" w:rsidRPr="00E14102" w14:paraId="32071FE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8E70CB"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9D3F1" w14:textId="77777777" w:rsidR="002808C2" w:rsidRPr="00E14102" w:rsidRDefault="002808C2" w:rsidP="00E14102">
            <w:pPr>
              <w:jc w:val="both"/>
              <w:rPr>
                <w:color w:val="000000" w:themeColor="text1"/>
                <w:sz w:val="16"/>
                <w:szCs w:val="16"/>
              </w:rPr>
            </w:pPr>
            <w:r w:rsidRPr="00E14102">
              <w:rPr>
                <w:color w:val="000000" w:themeColor="text1"/>
                <w:sz w:val="16"/>
                <w:szCs w:val="16"/>
              </w:rPr>
              <w:t>К 20</w:t>
            </w:r>
            <w:r w:rsidRPr="00E14102">
              <w:rPr>
                <w:color w:val="000000" w:themeColor="text1"/>
                <w:sz w:val="16"/>
                <w:szCs w:val="16"/>
              </w:rPr>
              <w:noBreakHyphen/>
              <w:t>мм пушке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4A73B" w14:textId="77777777" w:rsidR="002808C2" w:rsidRPr="00E14102" w:rsidRDefault="002808C2" w:rsidP="00E14102">
            <w:pPr>
              <w:jc w:val="both"/>
              <w:rPr>
                <w:color w:val="000000" w:themeColor="text1"/>
                <w:sz w:val="16"/>
                <w:szCs w:val="16"/>
              </w:rPr>
            </w:pPr>
            <w:r w:rsidRPr="00E14102">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064BD" w14:textId="77777777" w:rsidR="002808C2" w:rsidRPr="00E14102" w:rsidRDefault="002808C2" w:rsidP="00E14102">
            <w:pPr>
              <w:jc w:val="both"/>
              <w:rPr>
                <w:color w:val="000000" w:themeColor="text1"/>
                <w:sz w:val="16"/>
                <w:szCs w:val="16"/>
              </w:rPr>
            </w:pPr>
            <w:r w:rsidRPr="00E14102">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58C7D" w14:textId="77777777" w:rsidR="002808C2" w:rsidRPr="00E14102" w:rsidRDefault="002808C2" w:rsidP="00E14102">
            <w:pPr>
              <w:jc w:val="both"/>
              <w:rPr>
                <w:color w:val="000000" w:themeColor="text1"/>
                <w:sz w:val="16"/>
                <w:szCs w:val="16"/>
              </w:rPr>
            </w:pPr>
            <w:r w:rsidRPr="00E14102">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B6B7C" w14:textId="77777777" w:rsidR="002808C2" w:rsidRPr="00E14102" w:rsidRDefault="002808C2" w:rsidP="00E14102">
            <w:pPr>
              <w:jc w:val="both"/>
              <w:rPr>
                <w:color w:val="000000" w:themeColor="text1"/>
                <w:sz w:val="16"/>
                <w:szCs w:val="16"/>
              </w:rPr>
            </w:pPr>
            <w:r w:rsidRPr="00E14102">
              <w:rPr>
                <w:color w:val="000000" w:themeColor="text1"/>
                <w:sz w:val="16"/>
                <w:szCs w:val="16"/>
              </w:rPr>
              <w:t>13%</w:t>
            </w:r>
          </w:p>
        </w:tc>
      </w:tr>
      <w:tr w:rsidR="00E3599D" w:rsidRPr="00E14102" w14:paraId="68C3291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5EDE8B"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C523E" w14:textId="77777777" w:rsidR="002808C2" w:rsidRPr="00E14102" w:rsidRDefault="002808C2" w:rsidP="00E14102">
            <w:pPr>
              <w:jc w:val="both"/>
              <w:rPr>
                <w:color w:val="000000" w:themeColor="text1"/>
                <w:sz w:val="16"/>
                <w:szCs w:val="16"/>
              </w:rPr>
            </w:pPr>
            <w:r w:rsidRPr="00E14102">
              <w:rPr>
                <w:color w:val="000000" w:themeColor="text1"/>
                <w:sz w:val="16"/>
                <w:szCs w:val="16"/>
              </w:rPr>
              <w:t>К 37</w:t>
            </w:r>
            <w:r w:rsidRPr="00E14102">
              <w:rPr>
                <w:color w:val="000000" w:themeColor="text1"/>
                <w:sz w:val="16"/>
                <w:szCs w:val="16"/>
              </w:rPr>
              <w:noBreakHyphen/>
              <w:t>мм бронебойные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BBC88" w14:textId="77777777" w:rsidR="002808C2" w:rsidRPr="00E14102" w:rsidRDefault="002808C2" w:rsidP="00E14102">
            <w:pPr>
              <w:jc w:val="both"/>
              <w:rPr>
                <w:color w:val="000000" w:themeColor="text1"/>
                <w:sz w:val="16"/>
                <w:szCs w:val="16"/>
              </w:rPr>
            </w:pPr>
            <w:r w:rsidRPr="00E14102">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CAD75" w14:textId="77777777" w:rsidR="002808C2" w:rsidRPr="00E14102" w:rsidRDefault="002808C2" w:rsidP="00E14102">
            <w:pPr>
              <w:jc w:val="both"/>
              <w:rPr>
                <w:color w:val="000000" w:themeColor="text1"/>
                <w:sz w:val="16"/>
                <w:szCs w:val="16"/>
              </w:rPr>
            </w:pPr>
            <w:r w:rsidRPr="00E14102">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74BAD" w14:textId="77777777" w:rsidR="002808C2" w:rsidRPr="00E14102" w:rsidRDefault="002808C2" w:rsidP="00E14102">
            <w:pPr>
              <w:jc w:val="both"/>
              <w:rPr>
                <w:color w:val="000000" w:themeColor="text1"/>
                <w:sz w:val="16"/>
                <w:szCs w:val="16"/>
              </w:rPr>
            </w:pPr>
            <w:r w:rsidRPr="00E14102">
              <w:rPr>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F1486" w14:textId="77777777" w:rsidR="002808C2" w:rsidRPr="00E14102" w:rsidRDefault="002808C2" w:rsidP="00E14102">
            <w:pPr>
              <w:jc w:val="both"/>
              <w:rPr>
                <w:color w:val="000000" w:themeColor="text1"/>
                <w:sz w:val="16"/>
                <w:szCs w:val="16"/>
              </w:rPr>
            </w:pPr>
            <w:r w:rsidRPr="00E14102">
              <w:rPr>
                <w:color w:val="000000" w:themeColor="text1"/>
                <w:sz w:val="16"/>
                <w:szCs w:val="16"/>
              </w:rPr>
              <w:t>17%</w:t>
            </w:r>
          </w:p>
        </w:tc>
      </w:tr>
      <w:tr w:rsidR="00E3599D" w:rsidRPr="00E14102" w14:paraId="4C53410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0BBA49"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64A14" w14:textId="77777777" w:rsidR="002808C2" w:rsidRPr="00E14102" w:rsidRDefault="002808C2" w:rsidP="00E14102">
            <w:pPr>
              <w:jc w:val="both"/>
              <w:rPr>
                <w:color w:val="000000" w:themeColor="text1"/>
                <w:sz w:val="16"/>
                <w:szCs w:val="16"/>
              </w:rPr>
            </w:pPr>
            <w:r w:rsidRPr="00E14102">
              <w:rPr>
                <w:color w:val="000000" w:themeColor="text1"/>
                <w:sz w:val="16"/>
                <w:szCs w:val="16"/>
              </w:rPr>
              <w:t>К 37</w:t>
            </w:r>
            <w:r w:rsidRPr="00E14102">
              <w:rPr>
                <w:color w:val="000000" w:themeColor="text1"/>
                <w:sz w:val="16"/>
                <w:szCs w:val="16"/>
              </w:rPr>
              <w:noBreakHyphen/>
              <w:t>мм 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4A6A7" w14:textId="77777777" w:rsidR="002808C2" w:rsidRPr="00E14102" w:rsidRDefault="002808C2" w:rsidP="00E14102">
            <w:pPr>
              <w:jc w:val="both"/>
              <w:rPr>
                <w:color w:val="000000" w:themeColor="text1"/>
                <w:sz w:val="16"/>
                <w:szCs w:val="16"/>
              </w:rPr>
            </w:pPr>
            <w:r w:rsidRPr="00E14102">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A0FC9" w14:textId="77777777" w:rsidR="002808C2" w:rsidRPr="00E14102" w:rsidRDefault="002808C2" w:rsidP="00E14102">
            <w:pPr>
              <w:jc w:val="both"/>
              <w:rPr>
                <w:color w:val="000000" w:themeColor="text1"/>
                <w:sz w:val="16"/>
                <w:szCs w:val="16"/>
              </w:rPr>
            </w:pPr>
            <w:r w:rsidRPr="00E14102">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C77EC" w14:textId="77777777" w:rsidR="002808C2" w:rsidRPr="00E14102" w:rsidRDefault="002808C2" w:rsidP="00E14102">
            <w:pPr>
              <w:jc w:val="both"/>
              <w:rPr>
                <w:color w:val="000000" w:themeColor="text1"/>
                <w:sz w:val="16"/>
                <w:szCs w:val="16"/>
              </w:rPr>
            </w:pPr>
            <w:r w:rsidRPr="00E14102">
              <w:rPr>
                <w:color w:val="000000" w:themeColor="text1"/>
                <w:sz w:val="16"/>
                <w:szCs w:val="16"/>
              </w:rPr>
              <w:t>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173C6" w14:textId="77777777" w:rsidR="002808C2" w:rsidRPr="00E14102" w:rsidRDefault="002808C2" w:rsidP="00E14102">
            <w:pPr>
              <w:jc w:val="both"/>
              <w:rPr>
                <w:color w:val="000000" w:themeColor="text1"/>
                <w:sz w:val="16"/>
                <w:szCs w:val="16"/>
              </w:rPr>
            </w:pPr>
            <w:r w:rsidRPr="00E14102">
              <w:rPr>
                <w:color w:val="000000" w:themeColor="text1"/>
                <w:sz w:val="16"/>
                <w:szCs w:val="16"/>
              </w:rPr>
              <w:t>37%</w:t>
            </w:r>
          </w:p>
        </w:tc>
      </w:tr>
      <w:tr w:rsidR="00E3599D" w:rsidRPr="00E14102" w14:paraId="385937A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F1A78B" w14:textId="77777777" w:rsidR="002808C2" w:rsidRPr="00E14102" w:rsidRDefault="002808C2"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553B7" w14:textId="77777777" w:rsidR="002808C2" w:rsidRPr="00E14102" w:rsidRDefault="002808C2" w:rsidP="00E14102">
            <w:pPr>
              <w:jc w:val="both"/>
              <w:rPr>
                <w:color w:val="000000" w:themeColor="text1"/>
                <w:sz w:val="16"/>
                <w:szCs w:val="16"/>
              </w:rPr>
            </w:pPr>
            <w:r w:rsidRPr="00E14102">
              <w:rPr>
                <w:color w:val="000000" w:themeColor="text1"/>
                <w:sz w:val="16"/>
                <w:szCs w:val="16"/>
              </w:rPr>
              <w:t>К 37</w:t>
            </w:r>
            <w:r w:rsidRPr="00E14102">
              <w:rPr>
                <w:color w:val="000000" w:themeColor="text1"/>
                <w:sz w:val="16"/>
                <w:szCs w:val="16"/>
              </w:rPr>
              <w:noBreakHyphen/>
              <w:t>мм бронебойные осколочные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9739D" w14:textId="77777777" w:rsidR="002808C2" w:rsidRPr="00E14102" w:rsidRDefault="002808C2" w:rsidP="00E14102">
            <w:pPr>
              <w:jc w:val="both"/>
              <w:rPr>
                <w:color w:val="000000" w:themeColor="text1"/>
                <w:sz w:val="16"/>
                <w:szCs w:val="16"/>
              </w:rPr>
            </w:pPr>
            <w:r w:rsidRPr="00E14102">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52999" w14:textId="77777777" w:rsidR="002808C2" w:rsidRPr="00E14102" w:rsidRDefault="002808C2" w:rsidP="00E14102">
            <w:pPr>
              <w:jc w:val="both"/>
              <w:rPr>
                <w:color w:val="000000" w:themeColor="text1"/>
                <w:sz w:val="16"/>
                <w:szCs w:val="16"/>
              </w:rPr>
            </w:pPr>
            <w:r w:rsidRPr="00E14102">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9AB12" w14:textId="77777777" w:rsidR="002808C2" w:rsidRPr="00E14102" w:rsidRDefault="002808C2" w:rsidP="00E14102">
            <w:pPr>
              <w:jc w:val="both"/>
              <w:rPr>
                <w:color w:val="000000" w:themeColor="text1"/>
                <w:sz w:val="16"/>
                <w:szCs w:val="16"/>
              </w:rPr>
            </w:pPr>
            <w:r w:rsidRPr="00E14102">
              <w:rPr>
                <w:color w:val="000000" w:themeColor="text1"/>
                <w:sz w:val="16"/>
                <w:szCs w:val="16"/>
              </w:rPr>
              <w:t>38,4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4BF3C" w14:textId="77777777" w:rsidR="002808C2" w:rsidRPr="00E14102" w:rsidRDefault="002808C2" w:rsidP="00E14102">
            <w:pPr>
              <w:jc w:val="both"/>
              <w:rPr>
                <w:color w:val="000000" w:themeColor="text1"/>
                <w:sz w:val="16"/>
                <w:szCs w:val="16"/>
              </w:rPr>
            </w:pPr>
            <w:r w:rsidRPr="00E14102">
              <w:rPr>
                <w:color w:val="000000" w:themeColor="text1"/>
                <w:sz w:val="16"/>
                <w:szCs w:val="16"/>
              </w:rPr>
              <w:t>55%</w:t>
            </w:r>
          </w:p>
        </w:tc>
      </w:tr>
      <w:tr w:rsidR="00E3599D" w:rsidRPr="00E14102" w14:paraId="346D04A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B8560F" w14:textId="77777777" w:rsidR="002808C2" w:rsidRPr="00E14102" w:rsidRDefault="002808C2"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A623B" w14:textId="77777777" w:rsidR="002808C2" w:rsidRPr="00E14102" w:rsidRDefault="002808C2" w:rsidP="00E14102">
            <w:pPr>
              <w:jc w:val="both"/>
              <w:rPr>
                <w:color w:val="000000" w:themeColor="text1"/>
                <w:sz w:val="16"/>
                <w:szCs w:val="16"/>
              </w:rPr>
            </w:pPr>
            <w:r w:rsidRPr="00E14102">
              <w:rPr>
                <w:color w:val="000000" w:themeColor="text1"/>
                <w:sz w:val="16"/>
                <w:szCs w:val="16"/>
              </w:rPr>
              <w:t>К 45</w:t>
            </w:r>
            <w:r w:rsidRPr="00E14102">
              <w:rPr>
                <w:color w:val="000000" w:themeColor="text1"/>
                <w:sz w:val="16"/>
                <w:szCs w:val="16"/>
              </w:rPr>
              <w:noBreakHyphen/>
              <w:t>мм бронебойные 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730AD" w14:textId="77777777" w:rsidR="002808C2" w:rsidRPr="00E14102" w:rsidRDefault="002808C2" w:rsidP="00E14102">
            <w:pPr>
              <w:jc w:val="both"/>
              <w:rPr>
                <w:color w:val="000000" w:themeColor="text1"/>
                <w:sz w:val="16"/>
                <w:szCs w:val="16"/>
              </w:rPr>
            </w:pPr>
            <w:r w:rsidRPr="00E14102">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31C03" w14:textId="77777777" w:rsidR="002808C2" w:rsidRPr="00E14102" w:rsidRDefault="002808C2" w:rsidP="00E14102">
            <w:pPr>
              <w:jc w:val="both"/>
              <w:rPr>
                <w:color w:val="000000" w:themeColor="text1"/>
                <w:sz w:val="16"/>
                <w:szCs w:val="16"/>
              </w:rPr>
            </w:pPr>
            <w:r w:rsidRPr="00E14102">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67DA5" w14:textId="77777777" w:rsidR="002808C2" w:rsidRPr="00E14102" w:rsidRDefault="002808C2" w:rsidP="00E14102">
            <w:pPr>
              <w:jc w:val="both"/>
              <w:rPr>
                <w:color w:val="000000" w:themeColor="text1"/>
                <w:sz w:val="16"/>
                <w:szCs w:val="16"/>
              </w:rPr>
            </w:pPr>
            <w:r w:rsidRPr="00E14102">
              <w:rPr>
                <w:color w:val="000000" w:themeColor="text1"/>
                <w:sz w:val="16"/>
                <w:szCs w:val="16"/>
              </w:rPr>
              <w:t>610,1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F2C22" w14:textId="77777777" w:rsidR="002808C2" w:rsidRPr="00E14102" w:rsidRDefault="002808C2" w:rsidP="00E14102">
            <w:pPr>
              <w:jc w:val="both"/>
              <w:rPr>
                <w:color w:val="000000" w:themeColor="text1"/>
                <w:sz w:val="16"/>
                <w:szCs w:val="16"/>
              </w:rPr>
            </w:pPr>
            <w:r w:rsidRPr="00E14102">
              <w:rPr>
                <w:color w:val="000000" w:themeColor="text1"/>
                <w:sz w:val="16"/>
                <w:szCs w:val="16"/>
              </w:rPr>
              <w:t>87%</w:t>
            </w:r>
          </w:p>
        </w:tc>
      </w:tr>
      <w:tr w:rsidR="00E3599D" w:rsidRPr="00E14102" w14:paraId="1A88C51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58F8AD" w14:textId="77777777" w:rsidR="002808C2" w:rsidRPr="00E14102" w:rsidRDefault="002808C2" w:rsidP="00E14102">
            <w:pPr>
              <w:jc w:val="both"/>
              <w:rPr>
                <w:color w:val="000000" w:themeColor="text1"/>
                <w:sz w:val="16"/>
                <w:szCs w:val="16"/>
              </w:rPr>
            </w:pPr>
            <w:r w:rsidRPr="00E1410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8D58B" w14:textId="77777777" w:rsidR="002808C2" w:rsidRPr="00E14102" w:rsidRDefault="002808C2" w:rsidP="00E14102">
            <w:pPr>
              <w:jc w:val="both"/>
              <w:rPr>
                <w:color w:val="000000" w:themeColor="text1"/>
                <w:sz w:val="16"/>
                <w:szCs w:val="16"/>
              </w:rPr>
            </w:pPr>
            <w:r w:rsidRPr="00E14102">
              <w:rPr>
                <w:color w:val="000000" w:themeColor="text1"/>
                <w:sz w:val="16"/>
                <w:szCs w:val="16"/>
              </w:rPr>
              <w:t>К 45</w:t>
            </w:r>
            <w:r w:rsidRPr="00E14102">
              <w:rPr>
                <w:color w:val="000000" w:themeColor="text1"/>
                <w:sz w:val="16"/>
                <w:szCs w:val="16"/>
              </w:rPr>
              <w:noBreakHyphen/>
              <w:t>мм пушке осколочные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52762" w14:textId="77777777" w:rsidR="002808C2" w:rsidRPr="00E14102" w:rsidRDefault="002808C2" w:rsidP="00E14102">
            <w:pPr>
              <w:jc w:val="both"/>
              <w:rPr>
                <w:color w:val="000000" w:themeColor="text1"/>
                <w:sz w:val="16"/>
                <w:szCs w:val="16"/>
              </w:rPr>
            </w:pPr>
            <w:r w:rsidRPr="00E14102">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4DE66" w14:textId="77777777" w:rsidR="002808C2" w:rsidRPr="00E14102" w:rsidRDefault="002808C2" w:rsidP="00E14102">
            <w:pPr>
              <w:jc w:val="both"/>
              <w:rPr>
                <w:color w:val="000000" w:themeColor="text1"/>
                <w:sz w:val="16"/>
                <w:szCs w:val="16"/>
              </w:rPr>
            </w:pPr>
            <w:r w:rsidRPr="00E14102">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4DC61" w14:textId="77777777" w:rsidR="002808C2" w:rsidRPr="00E14102" w:rsidRDefault="002808C2" w:rsidP="00E14102">
            <w:pPr>
              <w:jc w:val="both"/>
              <w:rPr>
                <w:color w:val="000000" w:themeColor="text1"/>
                <w:sz w:val="16"/>
                <w:szCs w:val="16"/>
              </w:rPr>
            </w:pPr>
            <w:r w:rsidRPr="00E14102">
              <w:rPr>
                <w:color w:val="000000" w:themeColor="text1"/>
                <w:sz w:val="16"/>
                <w:szCs w:val="16"/>
              </w:rPr>
              <w:t>778,3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72950" w14:textId="77777777" w:rsidR="002808C2" w:rsidRPr="00E14102" w:rsidRDefault="002808C2" w:rsidP="00E14102">
            <w:pPr>
              <w:jc w:val="both"/>
              <w:rPr>
                <w:color w:val="000000" w:themeColor="text1"/>
                <w:sz w:val="16"/>
                <w:szCs w:val="16"/>
              </w:rPr>
            </w:pPr>
            <w:r w:rsidRPr="00E14102">
              <w:rPr>
                <w:color w:val="000000" w:themeColor="text1"/>
                <w:sz w:val="16"/>
                <w:szCs w:val="16"/>
              </w:rPr>
              <w:t>96%</w:t>
            </w:r>
          </w:p>
        </w:tc>
      </w:tr>
      <w:tr w:rsidR="00E3599D" w:rsidRPr="00E14102" w14:paraId="18B8C9D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FEEEB0" w14:textId="77777777" w:rsidR="002808C2" w:rsidRPr="00E14102" w:rsidRDefault="002808C2" w:rsidP="00E14102">
            <w:pPr>
              <w:jc w:val="both"/>
              <w:rPr>
                <w:color w:val="000000" w:themeColor="text1"/>
                <w:sz w:val="16"/>
                <w:szCs w:val="16"/>
              </w:rPr>
            </w:pPr>
            <w:r w:rsidRPr="00E14102">
              <w:rPr>
                <w:color w:val="000000" w:themeColor="text1"/>
                <w:sz w:val="16"/>
                <w:szCs w:val="16"/>
              </w:rPr>
              <w:lastRenderedPageBreak/>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780CC"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мелких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4E80D" w14:textId="77777777" w:rsidR="002808C2" w:rsidRPr="00E14102" w:rsidRDefault="002808C2" w:rsidP="00E14102">
            <w:pPr>
              <w:jc w:val="both"/>
              <w:rPr>
                <w:color w:val="000000" w:themeColor="text1"/>
                <w:sz w:val="16"/>
                <w:szCs w:val="16"/>
              </w:rPr>
            </w:pPr>
            <w:r w:rsidRPr="00E14102">
              <w:rPr>
                <w:color w:val="000000" w:themeColor="text1"/>
                <w:sz w:val="16"/>
                <w:szCs w:val="16"/>
              </w:rPr>
              <w:t>1990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721AD" w14:textId="77777777" w:rsidR="002808C2" w:rsidRPr="00E14102" w:rsidRDefault="002808C2" w:rsidP="00E14102">
            <w:pPr>
              <w:jc w:val="both"/>
              <w:rPr>
                <w:color w:val="000000" w:themeColor="text1"/>
                <w:sz w:val="16"/>
                <w:szCs w:val="16"/>
              </w:rPr>
            </w:pPr>
            <w:r w:rsidRPr="00E14102">
              <w:rPr>
                <w:color w:val="000000" w:themeColor="text1"/>
                <w:sz w:val="16"/>
                <w:szCs w:val="16"/>
              </w:rPr>
              <w:t>1990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3B380" w14:textId="77777777" w:rsidR="002808C2" w:rsidRPr="00E14102" w:rsidRDefault="002808C2" w:rsidP="00E14102">
            <w:pPr>
              <w:jc w:val="both"/>
              <w:rPr>
                <w:color w:val="000000" w:themeColor="text1"/>
                <w:sz w:val="16"/>
                <w:szCs w:val="16"/>
              </w:rPr>
            </w:pPr>
            <w:r w:rsidRPr="00E14102">
              <w:rPr>
                <w:color w:val="000000" w:themeColor="text1"/>
                <w:sz w:val="16"/>
                <w:szCs w:val="16"/>
              </w:rPr>
              <w:t>1499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A248C" w14:textId="77777777" w:rsidR="002808C2" w:rsidRPr="00E14102" w:rsidRDefault="002808C2" w:rsidP="00E14102">
            <w:pPr>
              <w:jc w:val="both"/>
              <w:rPr>
                <w:color w:val="000000" w:themeColor="text1"/>
                <w:sz w:val="16"/>
                <w:szCs w:val="16"/>
              </w:rPr>
            </w:pPr>
            <w:r w:rsidRPr="00E14102">
              <w:rPr>
                <w:color w:val="000000" w:themeColor="text1"/>
                <w:sz w:val="16"/>
                <w:szCs w:val="16"/>
              </w:rPr>
              <w:t>75%</w:t>
            </w:r>
          </w:p>
        </w:tc>
      </w:tr>
      <w:tr w:rsidR="00E3599D" w:rsidRPr="00E14102" w14:paraId="283034C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3A1FC"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9FD76" w14:textId="77777777" w:rsidR="002808C2" w:rsidRPr="00E14102" w:rsidRDefault="002808C2" w:rsidP="00E14102">
            <w:pPr>
              <w:jc w:val="both"/>
              <w:rPr>
                <w:color w:val="000000" w:themeColor="text1"/>
                <w:sz w:val="16"/>
                <w:szCs w:val="16"/>
              </w:rPr>
            </w:pPr>
            <w:r w:rsidRPr="00E14102">
              <w:rPr>
                <w:color w:val="000000" w:themeColor="text1"/>
                <w:sz w:val="16"/>
                <w:szCs w:val="16"/>
              </w:rPr>
              <w:t>К 76</w:t>
            </w:r>
            <w:r w:rsidRPr="00E14102">
              <w:rPr>
                <w:color w:val="000000" w:themeColor="text1"/>
                <w:sz w:val="16"/>
                <w:szCs w:val="16"/>
              </w:rPr>
              <w:noBreakHyphen/>
              <w:t>мм пушке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D8B8F" w14:textId="77777777" w:rsidR="002808C2" w:rsidRPr="00E14102" w:rsidRDefault="002808C2" w:rsidP="00E14102">
            <w:pPr>
              <w:jc w:val="both"/>
              <w:rPr>
                <w:color w:val="000000" w:themeColor="text1"/>
                <w:sz w:val="16"/>
                <w:szCs w:val="16"/>
              </w:rPr>
            </w:pPr>
            <w:r w:rsidRPr="00E14102">
              <w:rPr>
                <w:color w:val="000000" w:themeColor="text1"/>
                <w:sz w:val="16"/>
                <w:szCs w:val="16"/>
              </w:rPr>
              <w:t>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FB1CF" w14:textId="77777777" w:rsidR="002808C2" w:rsidRPr="00E14102" w:rsidRDefault="002808C2" w:rsidP="00E14102">
            <w:pPr>
              <w:jc w:val="both"/>
              <w:rPr>
                <w:color w:val="000000" w:themeColor="text1"/>
                <w:sz w:val="16"/>
                <w:szCs w:val="16"/>
              </w:rPr>
            </w:pPr>
            <w:r w:rsidRPr="00E14102">
              <w:rPr>
                <w:color w:val="000000" w:themeColor="text1"/>
                <w:sz w:val="16"/>
                <w:szCs w:val="16"/>
              </w:rPr>
              <w:t>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52945" w14:textId="77777777" w:rsidR="002808C2" w:rsidRPr="00E14102" w:rsidRDefault="002808C2" w:rsidP="00E14102">
            <w:pPr>
              <w:jc w:val="both"/>
              <w:rPr>
                <w:color w:val="000000" w:themeColor="text1"/>
                <w:sz w:val="16"/>
                <w:szCs w:val="16"/>
              </w:rPr>
            </w:pPr>
            <w:r w:rsidRPr="00E14102">
              <w:rPr>
                <w:color w:val="000000" w:themeColor="text1"/>
                <w:sz w:val="16"/>
                <w:szCs w:val="16"/>
              </w:rPr>
              <w:t>206,7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CF217" w14:textId="77777777" w:rsidR="002808C2" w:rsidRPr="00E14102" w:rsidRDefault="002808C2" w:rsidP="00E14102">
            <w:pPr>
              <w:jc w:val="both"/>
              <w:rPr>
                <w:color w:val="000000" w:themeColor="text1"/>
                <w:sz w:val="16"/>
                <w:szCs w:val="16"/>
              </w:rPr>
            </w:pPr>
            <w:r w:rsidRPr="00E14102">
              <w:rPr>
                <w:color w:val="000000" w:themeColor="text1"/>
                <w:sz w:val="16"/>
                <w:szCs w:val="16"/>
              </w:rPr>
              <w:t>55%</w:t>
            </w:r>
          </w:p>
        </w:tc>
      </w:tr>
      <w:tr w:rsidR="00E3599D" w:rsidRPr="00E14102" w14:paraId="0F7437F9"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65504B"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62836" w14:textId="77777777" w:rsidR="002808C2" w:rsidRPr="00E14102" w:rsidRDefault="002808C2" w:rsidP="00E14102">
            <w:pPr>
              <w:jc w:val="both"/>
              <w:rPr>
                <w:color w:val="000000" w:themeColor="text1"/>
                <w:sz w:val="16"/>
                <w:szCs w:val="16"/>
              </w:rPr>
            </w:pPr>
            <w:r w:rsidRPr="00E14102">
              <w:rPr>
                <w:color w:val="000000" w:themeColor="text1"/>
                <w:sz w:val="16"/>
                <w:szCs w:val="16"/>
              </w:rPr>
              <w:t>К 107</w:t>
            </w:r>
            <w:r w:rsidRPr="00E14102">
              <w:rPr>
                <w:color w:val="000000" w:themeColor="text1"/>
                <w:sz w:val="16"/>
                <w:szCs w:val="16"/>
              </w:rPr>
              <w:noBreakHyphen/>
              <w:t>мм пушке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166BA" w14:textId="77777777" w:rsidR="002808C2" w:rsidRPr="00E14102" w:rsidRDefault="002808C2" w:rsidP="00E14102">
            <w:pPr>
              <w:jc w:val="both"/>
              <w:rPr>
                <w:color w:val="000000" w:themeColor="text1"/>
                <w:sz w:val="16"/>
                <w:szCs w:val="16"/>
              </w:rPr>
            </w:pPr>
            <w:r w:rsidRPr="00E14102">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EAF81" w14:textId="77777777" w:rsidR="002808C2" w:rsidRPr="00E14102" w:rsidRDefault="002808C2" w:rsidP="00E14102">
            <w:pPr>
              <w:jc w:val="both"/>
              <w:rPr>
                <w:color w:val="000000" w:themeColor="text1"/>
                <w:sz w:val="16"/>
                <w:szCs w:val="16"/>
              </w:rPr>
            </w:pPr>
            <w:r w:rsidRPr="00E14102">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FE213" w14:textId="77777777" w:rsidR="002808C2" w:rsidRPr="00E14102" w:rsidRDefault="002808C2" w:rsidP="00E14102">
            <w:pPr>
              <w:jc w:val="both"/>
              <w:rPr>
                <w:color w:val="000000" w:themeColor="text1"/>
                <w:sz w:val="16"/>
                <w:szCs w:val="16"/>
              </w:rPr>
            </w:pPr>
            <w:r w:rsidRPr="00E14102">
              <w:rPr>
                <w:color w:val="000000" w:themeColor="text1"/>
                <w:sz w:val="16"/>
                <w:szCs w:val="16"/>
              </w:rPr>
              <w:t>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0B032" w14:textId="77777777" w:rsidR="002808C2" w:rsidRPr="00E14102" w:rsidRDefault="002808C2" w:rsidP="00E14102">
            <w:pPr>
              <w:jc w:val="both"/>
              <w:rPr>
                <w:color w:val="000000" w:themeColor="text1"/>
                <w:sz w:val="16"/>
                <w:szCs w:val="16"/>
              </w:rPr>
            </w:pPr>
            <w:r w:rsidRPr="00E14102">
              <w:rPr>
                <w:color w:val="000000" w:themeColor="text1"/>
                <w:sz w:val="16"/>
                <w:szCs w:val="16"/>
              </w:rPr>
              <w:t>95%</w:t>
            </w:r>
          </w:p>
        </w:tc>
      </w:tr>
      <w:tr w:rsidR="00E3599D" w:rsidRPr="00E14102" w14:paraId="71B8AE4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93FBB5"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C4E0E" w14:textId="77777777" w:rsidR="002808C2" w:rsidRPr="00E14102" w:rsidRDefault="002808C2" w:rsidP="00E14102">
            <w:pPr>
              <w:jc w:val="both"/>
              <w:rPr>
                <w:color w:val="000000" w:themeColor="text1"/>
                <w:sz w:val="16"/>
                <w:szCs w:val="16"/>
              </w:rPr>
            </w:pPr>
            <w:r w:rsidRPr="00E14102">
              <w:rPr>
                <w:color w:val="000000" w:themeColor="text1"/>
                <w:sz w:val="16"/>
                <w:szCs w:val="16"/>
              </w:rPr>
              <w:t>К 122</w:t>
            </w:r>
            <w:r w:rsidRPr="00E14102">
              <w:rPr>
                <w:color w:val="000000" w:themeColor="text1"/>
                <w:sz w:val="16"/>
                <w:szCs w:val="16"/>
              </w:rPr>
              <w:noBreakHyphen/>
              <w:t>мм гаубице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B604E" w14:textId="77777777" w:rsidR="002808C2" w:rsidRPr="00E14102" w:rsidRDefault="002808C2" w:rsidP="00E14102">
            <w:pPr>
              <w:jc w:val="both"/>
              <w:rPr>
                <w:color w:val="000000" w:themeColor="text1"/>
                <w:sz w:val="16"/>
                <w:szCs w:val="16"/>
              </w:rPr>
            </w:pPr>
            <w:r w:rsidRPr="00E14102">
              <w:rPr>
                <w:color w:val="000000" w:themeColor="text1"/>
                <w:sz w:val="16"/>
                <w:szCs w:val="16"/>
              </w:rPr>
              <w:t>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A556C" w14:textId="77777777" w:rsidR="002808C2" w:rsidRPr="00E14102" w:rsidRDefault="002808C2" w:rsidP="00E14102">
            <w:pPr>
              <w:jc w:val="both"/>
              <w:rPr>
                <w:color w:val="000000" w:themeColor="text1"/>
                <w:sz w:val="16"/>
                <w:szCs w:val="16"/>
              </w:rPr>
            </w:pPr>
            <w:r w:rsidRPr="00E14102">
              <w:rPr>
                <w:color w:val="000000" w:themeColor="text1"/>
                <w:sz w:val="16"/>
                <w:szCs w:val="16"/>
              </w:rPr>
              <w:t>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BD5D8" w14:textId="77777777" w:rsidR="002808C2" w:rsidRPr="00E14102" w:rsidRDefault="002808C2" w:rsidP="00E14102">
            <w:pPr>
              <w:jc w:val="both"/>
              <w:rPr>
                <w:color w:val="000000" w:themeColor="text1"/>
                <w:sz w:val="16"/>
                <w:szCs w:val="16"/>
              </w:rPr>
            </w:pPr>
            <w:r w:rsidRPr="00E14102">
              <w:rPr>
                <w:color w:val="000000" w:themeColor="text1"/>
                <w:sz w:val="16"/>
                <w:szCs w:val="16"/>
              </w:rPr>
              <w:t>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78F7D" w14:textId="77777777" w:rsidR="002808C2" w:rsidRPr="00E14102" w:rsidRDefault="002808C2" w:rsidP="00E14102">
            <w:pPr>
              <w:jc w:val="both"/>
              <w:rPr>
                <w:color w:val="000000" w:themeColor="text1"/>
                <w:sz w:val="16"/>
                <w:szCs w:val="16"/>
              </w:rPr>
            </w:pPr>
            <w:r w:rsidRPr="00E14102">
              <w:rPr>
                <w:color w:val="000000" w:themeColor="text1"/>
                <w:sz w:val="16"/>
                <w:szCs w:val="16"/>
              </w:rPr>
              <w:t>104%</w:t>
            </w:r>
          </w:p>
        </w:tc>
      </w:tr>
      <w:tr w:rsidR="00E3599D" w:rsidRPr="00E14102" w14:paraId="24FE8C6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040F4C" w14:textId="77777777" w:rsidR="002808C2" w:rsidRPr="00E14102" w:rsidRDefault="002808C2"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BC787" w14:textId="77777777" w:rsidR="002808C2" w:rsidRPr="00E14102" w:rsidRDefault="002808C2" w:rsidP="00E14102">
            <w:pPr>
              <w:jc w:val="both"/>
              <w:rPr>
                <w:color w:val="000000" w:themeColor="text1"/>
                <w:sz w:val="16"/>
                <w:szCs w:val="16"/>
              </w:rPr>
            </w:pPr>
            <w:r w:rsidRPr="00E14102">
              <w:rPr>
                <w:color w:val="000000" w:themeColor="text1"/>
                <w:sz w:val="16"/>
                <w:szCs w:val="16"/>
              </w:rPr>
              <w:t>К 122</w:t>
            </w:r>
            <w:r w:rsidRPr="00E14102">
              <w:rPr>
                <w:color w:val="000000" w:themeColor="text1"/>
                <w:sz w:val="16"/>
                <w:szCs w:val="16"/>
              </w:rPr>
              <w:noBreakHyphen/>
              <w:t>мм гаубице осветительные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2559D"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B647D"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B0460" w14:textId="77777777" w:rsidR="002808C2" w:rsidRPr="00E14102" w:rsidRDefault="002808C2" w:rsidP="00E14102">
            <w:pPr>
              <w:jc w:val="both"/>
              <w:rPr>
                <w:color w:val="000000" w:themeColor="text1"/>
                <w:sz w:val="16"/>
                <w:szCs w:val="16"/>
              </w:rPr>
            </w:pPr>
            <w:r w:rsidRPr="00E14102">
              <w:rPr>
                <w:color w:val="000000" w:themeColor="text1"/>
                <w:sz w:val="16"/>
                <w:szCs w:val="16"/>
              </w:rPr>
              <w:t>0,475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39F2F" w14:textId="77777777" w:rsidR="002808C2" w:rsidRPr="00E14102" w:rsidRDefault="002808C2" w:rsidP="00E14102">
            <w:pPr>
              <w:jc w:val="both"/>
              <w:rPr>
                <w:color w:val="000000" w:themeColor="text1"/>
                <w:sz w:val="16"/>
                <w:szCs w:val="16"/>
              </w:rPr>
            </w:pPr>
            <w:r w:rsidRPr="00E14102">
              <w:rPr>
                <w:color w:val="000000" w:themeColor="text1"/>
                <w:sz w:val="16"/>
                <w:szCs w:val="16"/>
              </w:rPr>
              <w:t>5%</w:t>
            </w:r>
          </w:p>
        </w:tc>
      </w:tr>
      <w:tr w:rsidR="00E3599D" w:rsidRPr="00E14102" w14:paraId="4C2C42D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5D9D24" w14:textId="77777777" w:rsidR="002808C2" w:rsidRPr="00E14102" w:rsidRDefault="002808C2"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257BB" w14:textId="77777777" w:rsidR="002808C2" w:rsidRPr="00E14102" w:rsidRDefault="002808C2" w:rsidP="00E14102">
            <w:pPr>
              <w:jc w:val="both"/>
              <w:rPr>
                <w:color w:val="000000" w:themeColor="text1"/>
                <w:sz w:val="16"/>
                <w:szCs w:val="16"/>
              </w:rPr>
            </w:pPr>
            <w:r w:rsidRPr="00E14102">
              <w:rPr>
                <w:color w:val="000000" w:themeColor="text1"/>
                <w:sz w:val="16"/>
                <w:szCs w:val="16"/>
              </w:rPr>
              <w:t>К 122</w:t>
            </w:r>
            <w:r w:rsidRPr="00E14102">
              <w:rPr>
                <w:color w:val="000000" w:themeColor="text1"/>
                <w:sz w:val="16"/>
                <w:szCs w:val="16"/>
              </w:rPr>
              <w:noBreakHyphen/>
              <w:t>мм стал, чугуна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C58C2" w14:textId="77777777" w:rsidR="002808C2" w:rsidRPr="00E14102" w:rsidRDefault="002808C2" w:rsidP="00E14102">
            <w:pPr>
              <w:jc w:val="both"/>
              <w:rPr>
                <w:color w:val="000000" w:themeColor="text1"/>
                <w:sz w:val="16"/>
                <w:szCs w:val="16"/>
              </w:rPr>
            </w:pPr>
            <w:r w:rsidRPr="00E14102">
              <w:rPr>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5CA51" w14:textId="77777777" w:rsidR="002808C2" w:rsidRPr="00E14102" w:rsidRDefault="002808C2" w:rsidP="00E14102">
            <w:pPr>
              <w:jc w:val="both"/>
              <w:rPr>
                <w:color w:val="000000" w:themeColor="text1"/>
                <w:sz w:val="16"/>
                <w:szCs w:val="16"/>
              </w:rPr>
            </w:pPr>
            <w:r w:rsidRPr="00E14102">
              <w:rPr>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F55F9" w14:textId="77777777" w:rsidR="002808C2" w:rsidRPr="00E14102" w:rsidRDefault="002808C2" w:rsidP="00E14102">
            <w:pPr>
              <w:jc w:val="both"/>
              <w:rPr>
                <w:color w:val="000000" w:themeColor="text1"/>
                <w:sz w:val="16"/>
                <w:szCs w:val="16"/>
              </w:rPr>
            </w:pPr>
            <w:r w:rsidRPr="00E14102">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21569" w14:textId="77777777" w:rsidR="002808C2" w:rsidRPr="00E14102" w:rsidRDefault="002808C2" w:rsidP="00E14102">
            <w:pPr>
              <w:jc w:val="both"/>
              <w:rPr>
                <w:color w:val="000000" w:themeColor="text1"/>
                <w:sz w:val="16"/>
                <w:szCs w:val="16"/>
              </w:rPr>
            </w:pPr>
            <w:r w:rsidRPr="00E14102">
              <w:rPr>
                <w:color w:val="000000" w:themeColor="text1"/>
                <w:sz w:val="16"/>
                <w:szCs w:val="16"/>
              </w:rPr>
              <w:t>32,7%</w:t>
            </w:r>
          </w:p>
        </w:tc>
      </w:tr>
      <w:tr w:rsidR="00E3599D" w:rsidRPr="00E14102" w14:paraId="43D6C20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0C5EDC" w14:textId="77777777" w:rsidR="002808C2" w:rsidRPr="00E14102" w:rsidRDefault="002808C2" w:rsidP="00E14102">
            <w:pPr>
              <w:jc w:val="both"/>
              <w:rPr>
                <w:color w:val="000000" w:themeColor="text1"/>
                <w:sz w:val="16"/>
                <w:szCs w:val="16"/>
              </w:rPr>
            </w:pPr>
            <w:r w:rsidRPr="00E1410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FFF54" w14:textId="77777777" w:rsidR="002808C2" w:rsidRPr="00E14102" w:rsidRDefault="002808C2" w:rsidP="00E14102">
            <w:pPr>
              <w:jc w:val="both"/>
              <w:rPr>
                <w:color w:val="000000" w:themeColor="text1"/>
                <w:sz w:val="16"/>
                <w:szCs w:val="16"/>
              </w:rPr>
            </w:pPr>
            <w:r w:rsidRPr="00E14102">
              <w:rPr>
                <w:color w:val="000000" w:themeColor="text1"/>
                <w:sz w:val="16"/>
                <w:szCs w:val="16"/>
              </w:rPr>
              <w:t>К 152</w:t>
            </w:r>
            <w:r w:rsidRPr="00E14102">
              <w:rPr>
                <w:color w:val="000000" w:themeColor="text1"/>
                <w:sz w:val="16"/>
                <w:szCs w:val="16"/>
              </w:rPr>
              <w:noBreakHyphen/>
              <w:t>мм гаубице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31872" w14:textId="77777777" w:rsidR="002808C2" w:rsidRPr="00E14102" w:rsidRDefault="002808C2" w:rsidP="00E14102">
            <w:pPr>
              <w:jc w:val="both"/>
              <w:rPr>
                <w:color w:val="000000" w:themeColor="text1"/>
                <w:sz w:val="16"/>
                <w:szCs w:val="16"/>
              </w:rPr>
            </w:pPr>
            <w:r w:rsidRPr="00E14102">
              <w:rPr>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DD2F0" w14:textId="77777777" w:rsidR="002808C2" w:rsidRPr="00E14102" w:rsidRDefault="002808C2" w:rsidP="00E14102">
            <w:pPr>
              <w:jc w:val="both"/>
              <w:rPr>
                <w:color w:val="000000" w:themeColor="text1"/>
                <w:sz w:val="16"/>
                <w:szCs w:val="16"/>
              </w:rPr>
            </w:pPr>
            <w:r w:rsidRPr="00E14102">
              <w:rPr>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20F09" w14:textId="77777777" w:rsidR="002808C2" w:rsidRPr="00E14102" w:rsidRDefault="002808C2" w:rsidP="00E14102">
            <w:pPr>
              <w:jc w:val="both"/>
              <w:rPr>
                <w:color w:val="000000" w:themeColor="text1"/>
                <w:sz w:val="16"/>
                <w:szCs w:val="16"/>
              </w:rPr>
            </w:pPr>
            <w:r w:rsidRPr="00E14102">
              <w:rPr>
                <w:color w:val="000000" w:themeColor="text1"/>
                <w:sz w:val="16"/>
                <w:szCs w:val="16"/>
              </w:rPr>
              <w:t>135,2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7C1E9" w14:textId="77777777" w:rsidR="002808C2" w:rsidRPr="00E14102" w:rsidRDefault="002808C2" w:rsidP="00E14102">
            <w:pPr>
              <w:jc w:val="both"/>
              <w:rPr>
                <w:color w:val="000000" w:themeColor="text1"/>
                <w:sz w:val="16"/>
                <w:szCs w:val="16"/>
              </w:rPr>
            </w:pPr>
            <w:r w:rsidRPr="00E14102">
              <w:rPr>
                <w:color w:val="000000" w:themeColor="text1"/>
                <w:sz w:val="16"/>
                <w:szCs w:val="16"/>
              </w:rPr>
              <w:t>96%</w:t>
            </w:r>
          </w:p>
        </w:tc>
      </w:tr>
      <w:tr w:rsidR="00E3599D" w:rsidRPr="00E14102" w14:paraId="2E6E3CF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DDDA0A"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26927"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средних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8EDDC" w14:textId="77777777" w:rsidR="002808C2" w:rsidRPr="00E14102" w:rsidRDefault="002808C2" w:rsidP="00E14102">
            <w:pPr>
              <w:jc w:val="both"/>
              <w:rPr>
                <w:color w:val="000000" w:themeColor="text1"/>
                <w:sz w:val="16"/>
                <w:szCs w:val="16"/>
              </w:rPr>
            </w:pPr>
            <w:r w:rsidRPr="00E14102">
              <w:rPr>
                <w:color w:val="000000" w:themeColor="text1"/>
                <w:sz w:val="16"/>
                <w:szCs w:val="16"/>
              </w:rPr>
              <w:t>820,7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9F1F5" w14:textId="77777777" w:rsidR="002808C2" w:rsidRPr="00E14102" w:rsidRDefault="002808C2" w:rsidP="00E14102">
            <w:pPr>
              <w:jc w:val="both"/>
              <w:rPr>
                <w:color w:val="000000" w:themeColor="text1"/>
                <w:sz w:val="16"/>
                <w:szCs w:val="16"/>
              </w:rPr>
            </w:pPr>
            <w:r w:rsidRPr="00E14102">
              <w:rPr>
                <w:color w:val="000000" w:themeColor="text1"/>
                <w:sz w:val="16"/>
                <w:szCs w:val="16"/>
              </w:rPr>
              <w:t>820,7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40018" w14:textId="77777777" w:rsidR="002808C2" w:rsidRPr="00E14102" w:rsidRDefault="002808C2" w:rsidP="00E14102">
            <w:pPr>
              <w:jc w:val="both"/>
              <w:rPr>
                <w:color w:val="000000" w:themeColor="text1"/>
                <w:sz w:val="16"/>
                <w:szCs w:val="16"/>
              </w:rPr>
            </w:pPr>
            <w:r w:rsidRPr="00E14102">
              <w:rPr>
                <w:color w:val="000000" w:themeColor="text1"/>
                <w:sz w:val="16"/>
                <w:szCs w:val="16"/>
              </w:rPr>
              <w:t>630,3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48C7B" w14:textId="77777777" w:rsidR="002808C2" w:rsidRPr="00E14102" w:rsidRDefault="002808C2" w:rsidP="00E14102">
            <w:pPr>
              <w:jc w:val="both"/>
              <w:rPr>
                <w:color w:val="000000" w:themeColor="text1"/>
                <w:sz w:val="16"/>
                <w:szCs w:val="16"/>
              </w:rPr>
            </w:pPr>
            <w:r w:rsidRPr="00E14102">
              <w:rPr>
                <w:color w:val="000000" w:themeColor="text1"/>
                <w:sz w:val="16"/>
                <w:szCs w:val="16"/>
              </w:rPr>
              <w:t>77%</w:t>
            </w:r>
          </w:p>
        </w:tc>
      </w:tr>
      <w:tr w:rsidR="00E3599D" w:rsidRPr="00E14102" w14:paraId="7534BB5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251031"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B0070" w14:textId="77777777" w:rsidR="002808C2" w:rsidRPr="00E14102" w:rsidRDefault="002808C2" w:rsidP="00E14102">
            <w:pPr>
              <w:jc w:val="both"/>
              <w:rPr>
                <w:color w:val="000000" w:themeColor="text1"/>
                <w:sz w:val="16"/>
                <w:szCs w:val="16"/>
              </w:rPr>
            </w:pPr>
            <w:r w:rsidRPr="00E14102">
              <w:rPr>
                <w:color w:val="000000" w:themeColor="text1"/>
                <w:sz w:val="16"/>
                <w:szCs w:val="16"/>
              </w:rPr>
              <w:t>К 152</w:t>
            </w:r>
            <w:r w:rsidRPr="00E14102">
              <w:rPr>
                <w:color w:val="000000" w:themeColor="text1"/>
                <w:sz w:val="16"/>
                <w:szCs w:val="16"/>
              </w:rPr>
              <w:noBreakHyphen/>
              <w:t>мм пушке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CC451" w14:textId="77777777" w:rsidR="002808C2" w:rsidRPr="00E14102" w:rsidRDefault="002808C2" w:rsidP="00E14102">
            <w:pPr>
              <w:jc w:val="both"/>
              <w:rPr>
                <w:color w:val="000000" w:themeColor="text1"/>
                <w:sz w:val="16"/>
                <w:szCs w:val="16"/>
              </w:rPr>
            </w:pPr>
            <w:r w:rsidRPr="00E14102">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44C64" w14:textId="77777777" w:rsidR="002808C2" w:rsidRPr="00E14102" w:rsidRDefault="002808C2" w:rsidP="00E14102">
            <w:pPr>
              <w:jc w:val="both"/>
              <w:rPr>
                <w:color w:val="000000" w:themeColor="text1"/>
                <w:sz w:val="16"/>
                <w:szCs w:val="16"/>
              </w:rPr>
            </w:pPr>
            <w:r w:rsidRPr="00E14102">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3608F" w14:textId="77777777" w:rsidR="002808C2" w:rsidRPr="00E14102" w:rsidRDefault="002808C2" w:rsidP="00E14102">
            <w:pPr>
              <w:jc w:val="both"/>
              <w:rPr>
                <w:color w:val="000000" w:themeColor="text1"/>
                <w:sz w:val="16"/>
                <w:szCs w:val="16"/>
              </w:rPr>
            </w:pPr>
            <w:r w:rsidRPr="00E14102">
              <w:rPr>
                <w:color w:val="000000" w:themeColor="text1"/>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C2BB0" w14:textId="77777777" w:rsidR="002808C2" w:rsidRPr="00E14102" w:rsidRDefault="002808C2" w:rsidP="00E14102">
            <w:pPr>
              <w:jc w:val="both"/>
              <w:rPr>
                <w:color w:val="000000" w:themeColor="text1"/>
                <w:sz w:val="16"/>
                <w:szCs w:val="16"/>
              </w:rPr>
            </w:pPr>
            <w:r w:rsidRPr="00E14102">
              <w:rPr>
                <w:color w:val="000000" w:themeColor="text1"/>
                <w:sz w:val="16"/>
                <w:szCs w:val="16"/>
              </w:rPr>
              <w:t>70%</w:t>
            </w:r>
          </w:p>
        </w:tc>
      </w:tr>
      <w:tr w:rsidR="00E3599D" w:rsidRPr="00E14102" w14:paraId="0A88390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036ECB"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E1D2A" w14:textId="77777777" w:rsidR="002808C2" w:rsidRPr="00E14102" w:rsidRDefault="002808C2" w:rsidP="00E14102">
            <w:pPr>
              <w:jc w:val="both"/>
              <w:rPr>
                <w:color w:val="000000" w:themeColor="text1"/>
                <w:sz w:val="16"/>
                <w:szCs w:val="16"/>
              </w:rPr>
            </w:pPr>
            <w:r w:rsidRPr="00E14102">
              <w:rPr>
                <w:color w:val="000000" w:themeColor="text1"/>
                <w:sz w:val="16"/>
                <w:szCs w:val="16"/>
              </w:rPr>
              <w:t>К 203</w:t>
            </w:r>
            <w:r w:rsidRPr="00E14102">
              <w:rPr>
                <w:color w:val="000000" w:themeColor="text1"/>
                <w:sz w:val="16"/>
                <w:szCs w:val="16"/>
              </w:rPr>
              <w:noBreakHyphen/>
              <w:t>мм гаубице 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1AFAC" w14:textId="77777777" w:rsidR="002808C2" w:rsidRPr="00E14102" w:rsidRDefault="002808C2" w:rsidP="00E14102">
            <w:pPr>
              <w:jc w:val="both"/>
              <w:rPr>
                <w:color w:val="000000" w:themeColor="text1"/>
                <w:sz w:val="16"/>
                <w:szCs w:val="16"/>
              </w:rPr>
            </w:pPr>
            <w:r w:rsidRPr="00E14102">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D3B0A" w14:textId="77777777" w:rsidR="002808C2" w:rsidRPr="00E14102" w:rsidRDefault="002808C2" w:rsidP="00E14102">
            <w:pPr>
              <w:jc w:val="both"/>
              <w:rPr>
                <w:color w:val="000000" w:themeColor="text1"/>
                <w:sz w:val="16"/>
                <w:szCs w:val="16"/>
              </w:rPr>
            </w:pPr>
            <w:r w:rsidRPr="00E14102">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EDB80" w14:textId="77777777" w:rsidR="002808C2" w:rsidRPr="00E14102" w:rsidRDefault="002808C2" w:rsidP="00E14102">
            <w:pPr>
              <w:jc w:val="both"/>
              <w:rPr>
                <w:color w:val="000000" w:themeColor="text1"/>
                <w:sz w:val="16"/>
                <w:szCs w:val="16"/>
              </w:rPr>
            </w:pPr>
            <w:r w:rsidRPr="00E14102">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7BADC" w14:textId="77777777" w:rsidR="002808C2" w:rsidRPr="00E14102" w:rsidRDefault="002808C2" w:rsidP="00E14102">
            <w:pPr>
              <w:jc w:val="both"/>
              <w:rPr>
                <w:color w:val="000000" w:themeColor="text1"/>
                <w:sz w:val="16"/>
                <w:szCs w:val="16"/>
              </w:rPr>
            </w:pPr>
            <w:r w:rsidRPr="00E14102">
              <w:rPr>
                <w:color w:val="000000" w:themeColor="text1"/>
                <w:sz w:val="16"/>
                <w:szCs w:val="16"/>
              </w:rPr>
              <w:t>43%</w:t>
            </w:r>
          </w:p>
        </w:tc>
      </w:tr>
      <w:tr w:rsidR="00E3599D" w:rsidRPr="00E14102" w14:paraId="68BC716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018B3B"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7124E" w14:textId="77777777" w:rsidR="002808C2" w:rsidRPr="00E14102" w:rsidRDefault="002808C2" w:rsidP="00E14102">
            <w:pPr>
              <w:jc w:val="both"/>
              <w:rPr>
                <w:color w:val="000000" w:themeColor="text1"/>
                <w:sz w:val="16"/>
                <w:szCs w:val="16"/>
              </w:rPr>
            </w:pPr>
            <w:r w:rsidRPr="00E14102">
              <w:rPr>
                <w:color w:val="000000" w:themeColor="text1"/>
                <w:sz w:val="16"/>
                <w:szCs w:val="16"/>
              </w:rPr>
              <w:t>К 203</w:t>
            </w:r>
            <w:r w:rsidRPr="00E14102">
              <w:rPr>
                <w:color w:val="000000" w:themeColor="text1"/>
                <w:sz w:val="16"/>
                <w:szCs w:val="16"/>
              </w:rPr>
              <w:noBreakHyphen/>
              <w:t>мм марки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5F2D6" w14:textId="77777777" w:rsidR="002808C2" w:rsidRPr="00E14102" w:rsidRDefault="002808C2" w:rsidP="00E14102">
            <w:pPr>
              <w:jc w:val="both"/>
              <w:rPr>
                <w:color w:val="000000" w:themeColor="text1"/>
                <w:sz w:val="16"/>
                <w:szCs w:val="16"/>
              </w:rPr>
            </w:pPr>
            <w:r w:rsidRPr="00E14102">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1AD91" w14:textId="77777777" w:rsidR="002808C2" w:rsidRPr="00E14102" w:rsidRDefault="002808C2" w:rsidP="00E14102">
            <w:pPr>
              <w:jc w:val="both"/>
              <w:rPr>
                <w:color w:val="000000" w:themeColor="text1"/>
                <w:sz w:val="16"/>
                <w:szCs w:val="16"/>
              </w:rPr>
            </w:pPr>
            <w:r w:rsidRPr="00E14102">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C975C" w14:textId="77777777" w:rsidR="002808C2" w:rsidRPr="00E14102" w:rsidRDefault="002808C2" w:rsidP="00E14102">
            <w:pPr>
              <w:jc w:val="both"/>
              <w:rPr>
                <w:color w:val="000000" w:themeColor="text1"/>
                <w:sz w:val="16"/>
                <w:szCs w:val="16"/>
              </w:rPr>
            </w:pPr>
            <w:r w:rsidRPr="00E14102">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79A6F" w14:textId="77777777" w:rsidR="002808C2" w:rsidRPr="00E14102" w:rsidRDefault="002808C2" w:rsidP="00E14102">
            <w:pPr>
              <w:jc w:val="both"/>
              <w:rPr>
                <w:color w:val="000000" w:themeColor="text1"/>
                <w:sz w:val="16"/>
                <w:szCs w:val="16"/>
              </w:rPr>
            </w:pPr>
            <w:r w:rsidRPr="00E14102">
              <w:rPr>
                <w:color w:val="000000" w:themeColor="text1"/>
                <w:sz w:val="16"/>
                <w:szCs w:val="16"/>
              </w:rPr>
              <w:t>92%</w:t>
            </w:r>
          </w:p>
        </w:tc>
      </w:tr>
      <w:tr w:rsidR="00E3599D" w:rsidRPr="00E14102" w14:paraId="0206388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56AD5F"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5D726"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тяжелых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BAB23" w14:textId="77777777" w:rsidR="002808C2" w:rsidRPr="00E14102" w:rsidRDefault="002808C2" w:rsidP="00E14102">
            <w:pPr>
              <w:jc w:val="both"/>
              <w:rPr>
                <w:color w:val="000000" w:themeColor="text1"/>
                <w:sz w:val="16"/>
                <w:szCs w:val="16"/>
              </w:rPr>
            </w:pPr>
            <w:r w:rsidRPr="00E14102">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151DA" w14:textId="77777777" w:rsidR="002808C2" w:rsidRPr="00E14102" w:rsidRDefault="002808C2" w:rsidP="00E14102">
            <w:pPr>
              <w:jc w:val="both"/>
              <w:rPr>
                <w:color w:val="000000" w:themeColor="text1"/>
                <w:sz w:val="16"/>
                <w:szCs w:val="16"/>
              </w:rPr>
            </w:pPr>
            <w:r w:rsidRPr="00E14102">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E06DD" w14:textId="77777777" w:rsidR="002808C2" w:rsidRPr="00E14102" w:rsidRDefault="002808C2" w:rsidP="00E14102">
            <w:pPr>
              <w:jc w:val="both"/>
              <w:rPr>
                <w:color w:val="000000" w:themeColor="text1"/>
                <w:sz w:val="16"/>
                <w:szCs w:val="16"/>
              </w:rPr>
            </w:pPr>
            <w:r w:rsidRPr="00E14102">
              <w:rPr>
                <w:color w:val="000000" w:themeColor="text1"/>
                <w:sz w:val="16"/>
                <w:szCs w:val="16"/>
              </w:rPr>
              <w:t>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A30FD" w14:textId="77777777" w:rsidR="002808C2" w:rsidRPr="00E14102" w:rsidRDefault="002808C2" w:rsidP="00E14102">
            <w:pPr>
              <w:jc w:val="both"/>
              <w:rPr>
                <w:color w:val="000000" w:themeColor="text1"/>
                <w:sz w:val="16"/>
                <w:szCs w:val="16"/>
              </w:rPr>
            </w:pPr>
            <w:r w:rsidRPr="00E14102">
              <w:rPr>
                <w:color w:val="000000" w:themeColor="text1"/>
                <w:sz w:val="16"/>
                <w:szCs w:val="16"/>
              </w:rPr>
              <w:t>51,3%</w:t>
            </w:r>
          </w:p>
        </w:tc>
      </w:tr>
      <w:tr w:rsidR="00E3599D" w:rsidRPr="00E14102" w14:paraId="48847DB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B41625"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267A0"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снарядов (в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E6255" w14:textId="77777777" w:rsidR="002808C2" w:rsidRPr="00E14102" w:rsidRDefault="002808C2" w:rsidP="00E14102">
            <w:pPr>
              <w:jc w:val="both"/>
              <w:rPr>
                <w:color w:val="000000" w:themeColor="text1"/>
                <w:sz w:val="16"/>
                <w:szCs w:val="16"/>
              </w:rPr>
            </w:pPr>
            <w:r w:rsidRPr="00E14102">
              <w:rPr>
                <w:color w:val="000000" w:themeColor="text1"/>
                <w:sz w:val="16"/>
                <w:szCs w:val="16"/>
              </w:rPr>
              <w:t>2753,7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F1E6F" w14:textId="77777777" w:rsidR="002808C2" w:rsidRPr="00E14102" w:rsidRDefault="002808C2" w:rsidP="00E14102">
            <w:pPr>
              <w:jc w:val="both"/>
              <w:rPr>
                <w:color w:val="000000" w:themeColor="text1"/>
                <w:sz w:val="16"/>
                <w:szCs w:val="16"/>
              </w:rPr>
            </w:pPr>
            <w:r w:rsidRPr="00E14102">
              <w:rPr>
                <w:color w:val="000000" w:themeColor="text1"/>
                <w:sz w:val="16"/>
                <w:szCs w:val="16"/>
              </w:rPr>
              <w:t>2753,7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F7413" w14:textId="77777777" w:rsidR="002808C2" w:rsidRPr="00E14102" w:rsidRDefault="002808C2" w:rsidP="00E14102">
            <w:pPr>
              <w:jc w:val="both"/>
              <w:rPr>
                <w:color w:val="000000" w:themeColor="text1"/>
                <w:sz w:val="16"/>
                <w:szCs w:val="16"/>
              </w:rPr>
            </w:pPr>
            <w:r w:rsidRPr="00E14102">
              <w:rPr>
                <w:color w:val="000000" w:themeColor="text1"/>
                <w:sz w:val="16"/>
                <w:szCs w:val="16"/>
              </w:rPr>
              <w:t>2156,4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4B805" w14:textId="77777777" w:rsidR="002808C2" w:rsidRPr="00E14102" w:rsidRDefault="002808C2" w:rsidP="00E14102">
            <w:pPr>
              <w:jc w:val="both"/>
              <w:rPr>
                <w:color w:val="000000" w:themeColor="text1"/>
                <w:sz w:val="16"/>
                <w:szCs w:val="16"/>
              </w:rPr>
            </w:pPr>
            <w:r w:rsidRPr="00E14102">
              <w:rPr>
                <w:color w:val="000000" w:themeColor="text1"/>
                <w:sz w:val="16"/>
                <w:szCs w:val="16"/>
              </w:rPr>
              <w:t>78,4%</w:t>
            </w:r>
          </w:p>
        </w:tc>
      </w:tr>
      <w:tr w:rsidR="00E3599D" w:rsidRPr="00E14102" w14:paraId="2008690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D7D6E2"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B6A2C" w14:textId="77777777" w:rsidR="002808C2" w:rsidRPr="00E14102" w:rsidRDefault="002808C2" w:rsidP="00E14102">
            <w:pPr>
              <w:jc w:val="both"/>
              <w:rPr>
                <w:color w:val="000000" w:themeColor="text1"/>
                <w:sz w:val="16"/>
                <w:szCs w:val="16"/>
              </w:rPr>
            </w:pPr>
            <w:r w:rsidRPr="00E14102">
              <w:rPr>
                <w:color w:val="000000" w:themeColor="text1"/>
                <w:sz w:val="16"/>
                <w:szCs w:val="16"/>
              </w:rPr>
              <w:t>Б. Корпуса 76</w:t>
            </w:r>
            <w:r w:rsidRPr="00E14102">
              <w:rPr>
                <w:color w:val="000000" w:themeColor="text1"/>
                <w:sz w:val="16"/>
                <w:szCs w:val="16"/>
              </w:rPr>
              <w:noBreakHyphen/>
              <w:t>мм зенитные шрапнельные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52487" w14:textId="77777777" w:rsidR="002808C2" w:rsidRPr="00E14102" w:rsidRDefault="002808C2" w:rsidP="00E14102">
            <w:pPr>
              <w:jc w:val="both"/>
              <w:rPr>
                <w:color w:val="000000" w:themeColor="text1"/>
                <w:sz w:val="16"/>
                <w:szCs w:val="16"/>
              </w:rPr>
            </w:pPr>
            <w:r w:rsidRPr="00E14102">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72357" w14:textId="77777777" w:rsidR="002808C2" w:rsidRPr="00E14102" w:rsidRDefault="002808C2" w:rsidP="00E14102">
            <w:pPr>
              <w:jc w:val="both"/>
              <w:rPr>
                <w:color w:val="000000" w:themeColor="text1"/>
                <w:sz w:val="16"/>
                <w:szCs w:val="16"/>
              </w:rPr>
            </w:pPr>
            <w:r w:rsidRPr="00E14102">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38158" w14:textId="77777777" w:rsidR="002808C2" w:rsidRPr="00E14102" w:rsidRDefault="002808C2" w:rsidP="00E14102">
            <w:pPr>
              <w:jc w:val="both"/>
              <w:rPr>
                <w:color w:val="000000" w:themeColor="text1"/>
                <w:sz w:val="16"/>
                <w:szCs w:val="16"/>
              </w:rPr>
            </w:pPr>
            <w:r w:rsidRPr="00E14102">
              <w:rPr>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5E46A" w14:textId="77777777" w:rsidR="002808C2" w:rsidRPr="00E14102" w:rsidRDefault="002808C2" w:rsidP="00E14102">
            <w:pPr>
              <w:jc w:val="both"/>
              <w:rPr>
                <w:color w:val="000000" w:themeColor="text1"/>
                <w:sz w:val="16"/>
                <w:szCs w:val="16"/>
              </w:rPr>
            </w:pPr>
            <w:r w:rsidRPr="00E14102">
              <w:rPr>
                <w:color w:val="000000" w:themeColor="text1"/>
                <w:sz w:val="16"/>
                <w:szCs w:val="16"/>
              </w:rPr>
              <w:t>37%</w:t>
            </w:r>
          </w:p>
        </w:tc>
      </w:tr>
      <w:tr w:rsidR="00E3599D" w:rsidRPr="00E14102" w14:paraId="181F6F28"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DB15BE6" w14:textId="77777777" w:rsidR="002808C2" w:rsidRPr="00E14102" w:rsidRDefault="002808C2" w:rsidP="00E14102">
            <w:pPr>
              <w:jc w:val="both"/>
              <w:rPr>
                <w:color w:val="000000" w:themeColor="text1"/>
                <w:sz w:val="16"/>
                <w:szCs w:val="16"/>
              </w:rPr>
            </w:pPr>
            <w:r w:rsidRPr="00E14102">
              <w:rPr>
                <w:color w:val="000000" w:themeColor="text1"/>
                <w:sz w:val="16"/>
                <w:szCs w:val="16"/>
              </w:rPr>
              <w:t>АВИАБОМБЫ (снаряж.)</w:t>
            </w:r>
          </w:p>
        </w:tc>
      </w:tr>
      <w:tr w:rsidR="00E3599D" w:rsidRPr="00E14102" w14:paraId="25D2528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F81AE4"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C49A3" w14:textId="77777777" w:rsidR="002808C2" w:rsidRPr="00E14102" w:rsidRDefault="002808C2" w:rsidP="00E14102">
            <w:pPr>
              <w:jc w:val="both"/>
              <w:rPr>
                <w:color w:val="000000" w:themeColor="text1"/>
                <w:sz w:val="16"/>
                <w:szCs w:val="16"/>
              </w:rPr>
            </w:pPr>
            <w:r w:rsidRPr="00E14102">
              <w:rPr>
                <w:color w:val="000000" w:themeColor="text1"/>
                <w:sz w:val="16"/>
                <w:szCs w:val="16"/>
              </w:rPr>
              <w:t>Мелких калибров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1BD85" w14:textId="77777777" w:rsidR="002808C2" w:rsidRPr="00E14102" w:rsidRDefault="002808C2" w:rsidP="00E14102">
            <w:pPr>
              <w:jc w:val="both"/>
              <w:rPr>
                <w:color w:val="000000" w:themeColor="text1"/>
                <w:sz w:val="16"/>
                <w:szCs w:val="16"/>
              </w:rPr>
            </w:pPr>
            <w:r w:rsidRPr="00E14102">
              <w:rPr>
                <w:color w:val="000000" w:themeColor="text1"/>
                <w:sz w:val="16"/>
                <w:szCs w:val="16"/>
              </w:rPr>
              <w:t>2950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05FD9" w14:textId="77777777" w:rsidR="002808C2" w:rsidRPr="00E14102" w:rsidRDefault="002808C2" w:rsidP="00E14102">
            <w:pPr>
              <w:jc w:val="both"/>
              <w:rPr>
                <w:color w:val="000000" w:themeColor="text1"/>
                <w:sz w:val="16"/>
                <w:szCs w:val="16"/>
              </w:rPr>
            </w:pPr>
            <w:r w:rsidRPr="00E14102">
              <w:rPr>
                <w:color w:val="000000" w:themeColor="text1"/>
                <w:sz w:val="16"/>
                <w:szCs w:val="16"/>
              </w:rPr>
              <w:t>2950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9DB14" w14:textId="77777777" w:rsidR="002808C2" w:rsidRPr="00E14102" w:rsidRDefault="002808C2" w:rsidP="00E14102">
            <w:pPr>
              <w:jc w:val="both"/>
              <w:rPr>
                <w:color w:val="000000" w:themeColor="text1"/>
                <w:sz w:val="16"/>
                <w:szCs w:val="16"/>
              </w:rPr>
            </w:pPr>
            <w:r w:rsidRPr="00E14102">
              <w:rPr>
                <w:color w:val="000000" w:themeColor="text1"/>
                <w:sz w:val="16"/>
                <w:szCs w:val="16"/>
              </w:rPr>
              <w:t>2927,6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66089" w14:textId="77777777" w:rsidR="002808C2" w:rsidRPr="00E14102" w:rsidRDefault="002808C2" w:rsidP="00E14102">
            <w:pPr>
              <w:jc w:val="both"/>
              <w:rPr>
                <w:color w:val="000000" w:themeColor="text1"/>
                <w:sz w:val="16"/>
                <w:szCs w:val="16"/>
              </w:rPr>
            </w:pPr>
            <w:r w:rsidRPr="00E14102">
              <w:rPr>
                <w:color w:val="000000" w:themeColor="text1"/>
                <w:sz w:val="16"/>
                <w:szCs w:val="16"/>
              </w:rPr>
              <w:t>99%</w:t>
            </w:r>
          </w:p>
        </w:tc>
      </w:tr>
      <w:tr w:rsidR="00E3599D" w:rsidRPr="00E14102" w14:paraId="64455BD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B5721F"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7B7A7" w14:textId="77777777" w:rsidR="002808C2" w:rsidRPr="00E14102" w:rsidRDefault="002808C2" w:rsidP="00E14102">
            <w:pPr>
              <w:jc w:val="both"/>
              <w:rPr>
                <w:color w:val="000000" w:themeColor="text1"/>
                <w:sz w:val="16"/>
                <w:szCs w:val="16"/>
              </w:rPr>
            </w:pPr>
            <w:r w:rsidRPr="00E14102">
              <w:rPr>
                <w:color w:val="000000" w:themeColor="text1"/>
                <w:sz w:val="16"/>
                <w:szCs w:val="16"/>
              </w:rPr>
              <w:t>Средних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D3179" w14:textId="77777777" w:rsidR="002808C2" w:rsidRPr="00E14102" w:rsidRDefault="002808C2" w:rsidP="00E14102">
            <w:pPr>
              <w:jc w:val="both"/>
              <w:rPr>
                <w:color w:val="000000" w:themeColor="text1"/>
                <w:sz w:val="16"/>
                <w:szCs w:val="16"/>
              </w:rPr>
            </w:pPr>
            <w:r w:rsidRPr="00E14102">
              <w:rPr>
                <w:color w:val="000000" w:themeColor="text1"/>
                <w:sz w:val="16"/>
                <w:szCs w:val="16"/>
              </w:rPr>
              <w:t>2650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FC474" w14:textId="77777777" w:rsidR="002808C2" w:rsidRPr="00E14102" w:rsidRDefault="002808C2" w:rsidP="00E14102">
            <w:pPr>
              <w:jc w:val="both"/>
              <w:rPr>
                <w:color w:val="000000" w:themeColor="text1"/>
                <w:sz w:val="16"/>
                <w:szCs w:val="16"/>
              </w:rPr>
            </w:pPr>
            <w:r w:rsidRPr="00E14102">
              <w:rPr>
                <w:color w:val="000000" w:themeColor="text1"/>
                <w:sz w:val="16"/>
                <w:szCs w:val="16"/>
              </w:rPr>
              <w:t>2737,5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05348" w14:textId="77777777" w:rsidR="002808C2" w:rsidRPr="00E14102" w:rsidRDefault="002808C2" w:rsidP="00E14102">
            <w:pPr>
              <w:jc w:val="both"/>
              <w:rPr>
                <w:color w:val="000000" w:themeColor="text1"/>
                <w:sz w:val="16"/>
                <w:szCs w:val="16"/>
              </w:rPr>
            </w:pPr>
            <w:r w:rsidRPr="00E14102">
              <w:rPr>
                <w:color w:val="000000" w:themeColor="text1"/>
                <w:sz w:val="16"/>
                <w:szCs w:val="16"/>
              </w:rPr>
              <w:t>2928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7D363" w14:textId="77777777" w:rsidR="002808C2" w:rsidRPr="00E14102" w:rsidRDefault="002808C2" w:rsidP="00E14102">
            <w:pPr>
              <w:jc w:val="both"/>
              <w:rPr>
                <w:color w:val="000000" w:themeColor="text1"/>
                <w:sz w:val="16"/>
                <w:szCs w:val="16"/>
              </w:rPr>
            </w:pPr>
            <w:r w:rsidRPr="00E14102">
              <w:rPr>
                <w:color w:val="000000" w:themeColor="text1"/>
                <w:sz w:val="16"/>
                <w:szCs w:val="16"/>
              </w:rPr>
              <w:t>110%</w:t>
            </w:r>
          </w:p>
        </w:tc>
      </w:tr>
      <w:tr w:rsidR="00E3599D" w:rsidRPr="00E14102" w14:paraId="0384202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E085D8"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B814A" w14:textId="77777777" w:rsidR="002808C2" w:rsidRPr="00E14102" w:rsidRDefault="002808C2" w:rsidP="00E14102">
            <w:pPr>
              <w:jc w:val="both"/>
              <w:rPr>
                <w:color w:val="000000" w:themeColor="text1"/>
                <w:sz w:val="16"/>
                <w:szCs w:val="16"/>
              </w:rPr>
            </w:pPr>
            <w:r w:rsidRPr="00E14102">
              <w:rPr>
                <w:color w:val="000000" w:themeColor="text1"/>
                <w:sz w:val="16"/>
                <w:szCs w:val="16"/>
              </w:rPr>
              <w:t>Крупных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BDB36" w14:textId="77777777" w:rsidR="002808C2" w:rsidRPr="00E14102" w:rsidRDefault="002808C2" w:rsidP="00E14102">
            <w:pPr>
              <w:jc w:val="both"/>
              <w:rPr>
                <w:color w:val="000000" w:themeColor="text1"/>
                <w:sz w:val="16"/>
                <w:szCs w:val="16"/>
              </w:rPr>
            </w:pPr>
            <w:r w:rsidRPr="00E14102">
              <w:rPr>
                <w:color w:val="000000" w:themeColor="text1"/>
                <w:sz w:val="16"/>
                <w:szCs w:val="16"/>
              </w:rPr>
              <w:t>8021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56C9A" w14:textId="77777777" w:rsidR="002808C2" w:rsidRPr="00E14102" w:rsidRDefault="002808C2" w:rsidP="00E14102">
            <w:pPr>
              <w:jc w:val="both"/>
              <w:rPr>
                <w:color w:val="000000" w:themeColor="text1"/>
                <w:sz w:val="16"/>
                <w:szCs w:val="16"/>
              </w:rPr>
            </w:pPr>
            <w:r w:rsidRPr="00E14102">
              <w:rPr>
                <w:color w:val="000000" w:themeColor="text1"/>
                <w:sz w:val="16"/>
                <w:szCs w:val="16"/>
              </w:rPr>
              <w:t>8021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41C72" w14:textId="77777777" w:rsidR="002808C2" w:rsidRPr="00E14102" w:rsidRDefault="002808C2" w:rsidP="00E14102">
            <w:pPr>
              <w:jc w:val="both"/>
              <w:rPr>
                <w:color w:val="000000" w:themeColor="text1"/>
                <w:sz w:val="16"/>
                <w:szCs w:val="16"/>
              </w:rPr>
            </w:pPr>
            <w:r w:rsidRPr="00E14102">
              <w:rPr>
                <w:color w:val="000000" w:themeColor="text1"/>
                <w:sz w:val="16"/>
                <w:szCs w:val="16"/>
              </w:rPr>
              <w:t>9616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42CB6" w14:textId="77777777" w:rsidR="002808C2" w:rsidRPr="00E14102" w:rsidRDefault="002808C2" w:rsidP="00E14102">
            <w:pPr>
              <w:jc w:val="both"/>
              <w:rPr>
                <w:color w:val="000000" w:themeColor="text1"/>
                <w:sz w:val="16"/>
                <w:szCs w:val="16"/>
              </w:rPr>
            </w:pPr>
            <w:r w:rsidRPr="00E14102">
              <w:rPr>
                <w:color w:val="000000" w:themeColor="text1"/>
                <w:sz w:val="16"/>
                <w:szCs w:val="16"/>
              </w:rPr>
              <w:t>119%</w:t>
            </w:r>
          </w:p>
        </w:tc>
      </w:tr>
      <w:tr w:rsidR="00E3599D" w:rsidRPr="00E14102" w14:paraId="11F5BE9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D2506E" w14:textId="77777777" w:rsidR="002808C2" w:rsidRPr="00E14102" w:rsidRDefault="002808C2"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48B1D" w14:textId="77777777" w:rsidR="002808C2" w:rsidRPr="00E14102" w:rsidRDefault="002808C2" w:rsidP="00E14102">
            <w:pPr>
              <w:jc w:val="both"/>
              <w:rPr>
                <w:color w:val="000000" w:themeColor="text1"/>
                <w:sz w:val="16"/>
                <w:szCs w:val="16"/>
              </w:rPr>
            </w:pPr>
            <w:r w:rsidRPr="00E14102">
              <w:rPr>
                <w:color w:val="000000" w:themeColor="text1"/>
                <w:sz w:val="16"/>
                <w:szCs w:val="16"/>
              </w:rPr>
              <w:t>Светящих и зажигательных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9BAD0" w14:textId="77777777" w:rsidR="002808C2" w:rsidRPr="00E14102" w:rsidRDefault="002808C2" w:rsidP="00E14102">
            <w:pPr>
              <w:jc w:val="both"/>
              <w:rPr>
                <w:color w:val="000000" w:themeColor="text1"/>
                <w:sz w:val="16"/>
                <w:szCs w:val="16"/>
              </w:rPr>
            </w:pPr>
            <w:r w:rsidRPr="00E14102">
              <w:rPr>
                <w:color w:val="000000" w:themeColor="text1"/>
                <w:sz w:val="16"/>
                <w:szCs w:val="16"/>
              </w:rPr>
              <w:t>385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0B141" w14:textId="77777777" w:rsidR="002808C2" w:rsidRPr="00E14102" w:rsidRDefault="002808C2" w:rsidP="00E14102">
            <w:pPr>
              <w:jc w:val="both"/>
              <w:rPr>
                <w:color w:val="000000" w:themeColor="text1"/>
                <w:sz w:val="16"/>
                <w:szCs w:val="16"/>
              </w:rPr>
            </w:pPr>
            <w:r w:rsidRPr="00E14102">
              <w:rPr>
                <w:color w:val="000000" w:themeColor="text1"/>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CCF7A" w14:textId="77777777" w:rsidR="002808C2" w:rsidRPr="00E14102" w:rsidRDefault="002808C2" w:rsidP="00E14102">
            <w:pPr>
              <w:jc w:val="both"/>
              <w:rPr>
                <w:color w:val="000000" w:themeColor="text1"/>
                <w:sz w:val="16"/>
                <w:szCs w:val="16"/>
              </w:rPr>
            </w:pPr>
            <w:r w:rsidRPr="00E14102">
              <w:rPr>
                <w:color w:val="000000" w:themeColor="text1"/>
                <w:sz w:val="16"/>
                <w:szCs w:val="16"/>
              </w:rPr>
              <w:t>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02C07" w14:textId="77777777" w:rsidR="002808C2" w:rsidRPr="00E14102" w:rsidRDefault="002808C2" w:rsidP="00E14102">
            <w:pPr>
              <w:jc w:val="both"/>
              <w:rPr>
                <w:color w:val="000000" w:themeColor="text1"/>
                <w:sz w:val="16"/>
                <w:szCs w:val="16"/>
              </w:rPr>
            </w:pPr>
            <w:r w:rsidRPr="00E14102">
              <w:rPr>
                <w:color w:val="000000" w:themeColor="text1"/>
                <w:sz w:val="16"/>
                <w:szCs w:val="16"/>
              </w:rPr>
              <w:t>38%</w:t>
            </w:r>
          </w:p>
        </w:tc>
      </w:tr>
      <w:tr w:rsidR="00E3599D" w:rsidRPr="00E14102" w14:paraId="6FB31C3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9C9918" w14:textId="77777777" w:rsidR="002808C2" w:rsidRPr="00E14102" w:rsidRDefault="002808C2"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9EE15" w14:textId="77777777" w:rsidR="002808C2" w:rsidRPr="00E14102" w:rsidRDefault="002808C2" w:rsidP="00E14102">
            <w:pPr>
              <w:jc w:val="both"/>
              <w:rPr>
                <w:color w:val="000000" w:themeColor="text1"/>
                <w:sz w:val="16"/>
                <w:szCs w:val="16"/>
              </w:rPr>
            </w:pPr>
            <w:r w:rsidRPr="00E14102">
              <w:rPr>
                <w:color w:val="000000" w:themeColor="text1"/>
                <w:sz w:val="16"/>
                <w:szCs w:val="16"/>
              </w:rPr>
              <w:t>Химических аэробомб и РРАБ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F7697" w14:textId="77777777" w:rsidR="002808C2" w:rsidRPr="00E14102" w:rsidRDefault="002808C2" w:rsidP="00E14102">
            <w:pPr>
              <w:jc w:val="both"/>
              <w:rPr>
                <w:color w:val="000000" w:themeColor="text1"/>
                <w:sz w:val="16"/>
                <w:szCs w:val="16"/>
              </w:rPr>
            </w:pPr>
            <w:r w:rsidRPr="00E14102">
              <w:rPr>
                <w:color w:val="000000" w:themeColor="text1"/>
                <w:sz w:val="16"/>
                <w:szCs w:val="16"/>
              </w:rPr>
              <w:t>1275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56C54" w14:textId="77777777" w:rsidR="002808C2" w:rsidRPr="00E14102" w:rsidRDefault="002808C2" w:rsidP="00E14102">
            <w:pPr>
              <w:jc w:val="both"/>
              <w:rPr>
                <w:color w:val="000000" w:themeColor="text1"/>
                <w:sz w:val="16"/>
                <w:szCs w:val="16"/>
              </w:rPr>
            </w:pPr>
            <w:r w:rsidRPr="00E14102">
              <w:rPr>
                <w:color w:val="000000" w:themeColor="text1"/>
                <w:sz w:val="16"/>
                <w:szCs w:val="16"/>
              </w:rPr>
              <w:t>1275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99474" w14:textId="77777777" w:rsidR="002808C2" w:rsidRPr="00E14102" w:rsidRDefault="002808C2" w:rsidP="00E14102">
            <w:pPr>
              <w:jc w:val="both"/>
              <w:rPr>
                <w:color w:val="000000" w:themeColor="text1"/>
                <w:sz w:val="16"/>
                <w:szCs w:val="16"/>
              </w:rPr>
            </w:pPr>
            <w:r w:rsidRPr="00E14102">
              <w:rPr>
                <w:color w:val="000000" w:themeColor="text1"/>
                <w:sz w:val="16"/>
                <w:szCs w:val="16"/>
              </w:rPr>
              <w:t>1257,2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0F9FD" w14:textId="77777777" w:rsidR="002808C2" w:rsidRPr="00E14102" w:rsidRDefault="002808C2" w:rsidP="00E14102">
            <w:pPr>
              <w:jc w:val="both"/>
              <w:rPr>
                <w:color w:val="000000" w:themeColor="text1"/>
                <w:sz w:val="16"/>
                <w:szCs w:val="16"/>
              </w:rPr>
            </w:pPr>
            <w:r w:rsidRPr="00E14102">
              <w:rPr>
                <w:color w:val="000000" w:themeColor="text1"/>
                <w:sz w:val="16"/>
                <w:szCs w:val="16"/>
              </w:rPr>
              <w:t>99,3%</w:t>
            </w:r>
          </w:p>
        </w:tc>
      </w:tr>
      <w:tr w:rsidR="00E3599D" w:rsidRPr="00E14102" w14:paraId="043EBC2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4DC0B2"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6435B"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2D9F7" w14:textId="77777777" w:rsidR="002808C2" w:rsidRPr="00E14102" w:rsidRDefault="002808C2" w:rsidP="00E14102">
            <w:pPr>
              <w:jc w:val="both"/>
              <w:rPr>
                <w:color w:val="000000" w:themeColor="text1"/>
                <w:sz w:val="16"/>
                <w:szCs w:val="16"/>
              </w:rPr>
            </w:pPr>
            <w:r w:rsidRPr="00E14102">
              <w:rPr>
                <w:color w:val="000000" w:themeColor="text1"/>
                <w:sz w:val="16"/>
                <w:szCs w:val="16"/>
              </w:rPr>
              <w:t>15 281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0C5C0" w14:textId="77777777" w:rsidR="002808C2" w:rsidRPr="00E14102" w:rsidRDefault="002808C2" w:rsidP="00E14102">
            <w:pPr>
              <w:jc w:val="both"/>
              <w:rPr>
                <w:color w:val="000000" w:themeColor="text1"/>
                <w:sz w:val="16"/>
                <w:szCs w:val="16"/>
              </w:rPr>
            </w:pPr>
            <w:r w:rsidRPr="00E14102">
              <w:rPr>
                <w:color w:val="000000" w:themeColor="text1"/>
                <w:sz w:val="16"/>
                <w:szCs w:val="16"/>
              </w:rPr>
              <w:t>15 358,5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F3B9A" w14:textId="77777777" w:rsidR="002808C2" w:rsidRPr="00E14102" w:rsidRDefault="002808C2" w:rsidP="00E14102">
            <w:pPr>
              <w:jc w:val="both"/>
              <w:rPr>
                <w:color w:val="000000" w:themeColor="text1"/>
                <w:sz w:val="16"/>
                <w:szCs w:val="16"/>
              </w:rPr>
            </w:pPr>
            <w:r w:rsidRPr="00E14102">
              <w:rPr>
                <w:color w:val="000000" w:themeColor="text1"/>
                <w:sz w:val="16"/>
                <w:szCs w:val="16"/>
              </w:rPr>
              <w:t>16 871,8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E6FAC" w14:textId="77777777" w:rsidR="002808C2" w:rsidRPr="00E14102" w:rsidRDefault="002808C2" w:rsidP="00E14102">
            <w:pPr>
              <w:jc w:val="both"/>
              <w:rPr>
                <w:color w:val="000000" w:themeColor="text1"/>
                <w:sz w:val="16"/>
                <w:szCs w:val="16"/>
              </w:rPr>
            </w:pPr>
            <w:r w:rsidRPr="00E14102">
              <w:rPr>
                <w:color w:val="000000" w:themeColor="text1"/>
                <w:sz w:val="16"/>
                <w:szCs w:val="16"/>
              </w:rPr>
              <w:t>110%</w:t>
            </w:r>
          </w:p>
        </w:tc>
      </w:tr>
      <w:tr w:rsidR="00E3599D" w:rsidRPr="00E14102" w14:paraId="44627084"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5C5E801" w14:textId="77777777" w:rsidR="002808C2" w:rsidRPr="00E14102" w:rsidRDefault="002808C2" w:rsidP="00E14102">
            <w:pPr>
              <w:jc w:val="both"/>
              <w:rPr>
                <w:color w:val="000000" w:themeColor="text1"/>
                <w:sz w:val="16"/>
                <w:szCs w:val="16"/>
              </w:rPr>
            </w:pPr>
            <w:r w:rsidRPr="00E14102">
              <w:rPr>
                <w:color w:val="000000" w:themeColor="text1"/>
                <w:sz w:val="16"/>
                <w:szCs w:val="16"/>
              </w:rPr>
              <w:t>ВЗРЫВАТЕЛИ ОРУДИЙНЫЕ И МИННЫЕ (в тыс. шт.)</w:t>
            </w:r>
          </w:p>
        </w:tc>
      </w:tr>
      <w:tr w:rsidR="00E3599D" w:rsidRPr="00E14102" w14:paraId="72512E5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833F10"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70AC0" w14:textId="77777777" w:rsidR="002808C2" w:rsidRPr="00E14102" w:rsidRDefault="002808C2" w:rsidP="00E14102">
            <w:pPr>
              <w:jc w:val="both"/>
              <w:rPr>
                <w:color w:val="000000" w:themeColor="text1"/>
                <w:sz w:val="16"/>
                <w:szCs w:val="16"/>
              </w:rPr>
            </w:pPr>
            <w:r w:rsidRPr="00E14102">
              <w:rPr>
                <w:color w:val="000000" w:themeColor="text1"/>
                <w:sz w:val="16"/>
                <w:szCs w:val="16"/>
              </w:rPr>
              <w:t>МГ-1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43B98" w14:textId="77777777" w:rsidR="002808C2" w:rsidRPr="00E14102" w:rsidRDefault="002808C2"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F19DF" w14:textId="77777777" w:rsidR="002808C2" w:rsidRPr="00E14102" w:rsidRDefault="002808C2"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0702E" w14:textId="77777777" w:rsidR="002808C2" w:rsidRPr="00E14102" w:rsidRDefault="002808C2"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C6B68" w14:textId="77777777" w:rsidR="002808C2" w:rsidRPr="00E14102" w:rsidRDefault="002808C2" w:rsidP="00E14102">
            <w:pPr>
              <w:jc w:val="both"/>
              <w:rPr>
                <w:color w:val="000000" w:themeColor="text1"/>
                <w:sz w:val="16"/>
                <w:szCs w:val="16"/>
              </w:rPr>
            </w:pPr>
            <w:r w:rsidRPr="00E14102">
              <w:rPr>
                <w:color w:val="000000" w:themeColor="text1"/>
                <w:sz w:val="16"/>
                <w:szCs w:val="16"/>
              </w:rPr>
              <w:t>0%</w:t>
            </w:r>
          </w:p>
        </w:tc>
      </w:tr>
      <w:tr w:rsidR="00E3599D" w:rsidRPr="00E14102" w14:paraId="0160D280"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6B132D"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B63EA" w14:textId="77777777" w:rsidR="002808C2" w:rsidRPr="00E14102" w:rsidRDefault="002808C2" w:rsidP="00E14102">
            <w:pPr>
              <w:jc w:val="both"/>
              <w:rPr>
                <w:color w:val="000000" w:themeColor="text1"/>
                <w:sz w:val="16"/>
                <w:szCs w:val="16"/>
              </w:rPr>
            </w:pPr>
            <w:r w:rsidRPr="00E14102">
              <w:rPr>
                <w:color w:val="000000" w:themeColor="text1"/>
                <w:sz w:val="16"/>
                <w:szCs w:val="16"/>
              </w:rPr>
              <w:t>МД-1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4D52F" w14:textId="77777777" w:rsidR="002808C2" w:rsidRPr="00E14102" w:rsidRDefault="002808C2"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3495B" w14:textId="77777777" w:rsidR="002808C2" w:rsidRPr="00E14102" w:rsidRDefault="002808C2"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22DBB" w14:textId="77777777" w:rsidR="002808C2" w:rsidRPr="00E14102" w:rsidRDefault="002808C2" w:rsidP="00E14102">
            <w:pPr>
              <w:jc w:val="both"/>
              <w:rPr>
                <w:color w:val="000000" w:themeColor="text1"/>
                <w:sz w:val="16"/>
                <w:szCs w:val="16"/>
              </w:rPr>
            </w:pPr>
            <w:r w:rsidRPr="00E1410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13A92" w14:textId="77777777" w:rsidR="002808C2" w:rsidRPr="00E14102" w:rsidRDefault="002808C2" w:rsidP="00E14102">
            <w:pPr>
              <w:jc w:val="both"/>
              <w:rPr>
                <w:color w:val="000000" w:themeColor="text1"/>
                <w:sz w:val="16"/>
                <w:szCs w:val="16"/>
              </w:rPr>
            </w:pPr>
            <w:r w:rsidRPr="00E14102">
              <w:rPr>
                <w:color w:val="000000" w:themeColor="text1"/>
                <w:sz w:val="16"/>
                <w:szCs w:val="16"/>
              </w:rPr>
              <w:t>90%</w:t>
            </w:r>
          </w:p>
        </w:tc>
      </w:tr>
      <w:tr w:rsidR="00E3599D" w:rsidRPr="00E14102" w14:paraId="4D3FF320"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783BB5"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78C55" w14:textId="77777777" w:rsidR="002808C2" w:rsidRPr="00E14102" w:rsidRDefault="002808C2" w:rsidP="00E14102">
            <w:pPr>
              <w:jc w:val="both"/>
              <w:rPr>
                <w:color w:val="000000" w:themeColor="text1"/>
                <w:sz w:val="16"/>
                <w:szCs w:val="16"/>
              </w:rPr>
            </w:pPr>
            <w:r w:rsidRPr="00E14102">
              <w:rPr>
                <w:color w:val="000000" w:themeColor="text1"/>
                <w:sz w:val="16"/>
                <w:szCs w:val="16"/>
              </w:rPr>
              <w:t>МГ-2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F8EBD" w14:textId="77777777" w:rsidR="002808C2" w:rsidRPr="00E14102" w:rsidRDefault="002808C2" w:rsidP="00E14102">
            <w:pPr>
              <w:jc w:val="both"/>
              <w:rPr>
                <w:color w:val="000000" w:themeColor="text1"/>
                <w:sz w:val="16"/>
                <w:szCs w:val="16"/>
              </w:rPr>
            </w:pPr>
            <w:r w:rsidRPr="00E14102">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3DE39" w14:textId="77777777" w:rsidR="002808C2" w:rsidRPr="00E14102" w:rsidRDefault="002808C2" w:rsidP="00E14102">
            <w:pPr>
              <w:jc w:val="both"/>
              <w:rPr>
                <w:color w:val="000000" w:themeColor="text1"/>
                <w:sz w:val="16"/>
                <w:szCs w:val="16"/>
              </w:rPr>
            </w:pPr>
            <w:r w:rsidRPr="00E14102">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10A53" w14:textId="77777777" w:rsidR="002808C2" w:rsidRPr="00E14102" w:rsidRDefault="002808C2"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5CEEC" w14:textId="77777777" w:rsidR="002808C2" w:rsidRPr="00E14102" w:rsidRDefault="002808C2" w:rsidP="00E14102">
            <w:pPr>
              <w:jc w:val="both"/>
              <w:rPr>
                <w:color w:val="000000" w:themeColor="text1"/>
                <w:sz w:val="16"/>
                <w:szCs w:val="16"/>
              </w:rPr>
            </w:pPr>
            <w:r w:rsidRPr="00E14102">
              <w:rPr>
                <w:color w:val="000000" w:themeColor="text1"/>
                <w:sz w:val="16"/>
                <w:szCs w:val="16"/>
              </w:rPr>
              <w:t>0%</w:t>
            </w:r>
          </w:p>
        </w:tc>
      </w:tr>
      <w:tr w:rsidR="00E3599D" w:rsidRPr="00E14102" w14:paraId="24D1096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5EDFBA" w14:textId="77777777" w:rsidR="002808C2" w:rsidRPr="00E14102" w:rsidRDefault="002808C2"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9B8E3" w14:textId="77777777" w:rsidR="002808C2" w:rsidRPr="00E14102" w:rsidRDefault="002808C2" w:rsidP="00E14102">
            <w:pPr>
              <w:jc w:val="both"/>
              <w:rPr>
                <w:color w:val="000000" w:themeColor="text1"/>
                <w:sz w:val="16"/>
                <w:szCs w:val="16"/>
              </w:rPr>
            </w:pPr>
            <w:r w:rsidRPr="00E14102">
              <w:rPr>
                <w:color w:val="000000" w:themeColor="text1"/>
                <w:sz w:val="16"/>
                <w:szCs w:val="16"/>
              </w:rPr>
              <w:t>МД-2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6BFE4" w14:textId="77777777" w:rsidR="002808C2" w:rsidRPr="00E14102" w:rsidRDefault="002808C2" w:rsidP="00E14102">
            <w:pPr>
              <w:jc w:val="both"/>
              <w:rPr>
                <w:color w:val="000000" w:themeColor="text1"/>
                <w:sz w:val="16"/>
                <w:szCs w:val="16"/>
              </w:rPr>
            </w:pPr>
            <w:r w:rsidRPr="00E14102">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C8F75" w14:textId="77777777" w:rsidR="002808C2" w:rsidRPr="00E14102" w:rsidRDefault="002808C2" w:rsidP="00E14102">
            <w:pPr>
              <w:jc w:val="both"/>
              <w:rPr>
                <w:color w:val="000000" w:themeColor="text1"/>
                <w:sz w:val="16"/>
                <w:szCs w:val="16"/>
              </w:rPr>
            </w:pPr>
            <w:r w:rsidRPr="00E14102">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83846" w14:textId="77777777" w:rsidR="002808C2" w:rsidRPr="00E14102" w:rsidRDefault="002808C2" w:rsidP="00E14102">
            <w:pPr>
              <w:jc w:val="both"/>
              <w:rPr>
                <w:color w:val="000000" w:themeColor="text1"/>
                <w:sz w:val="16"/>
                <w:szCs w:val="16"/>
              </w:rPr>
            </w:pPr>
            <w:r w:rsidRPr="00E14102">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394D2"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0C2880D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6217A6" w14:textId="77777777" w:rsidR="002808C2" w:rsidRPr="00E14102" w:rsidRDefault="002808C2"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1F860" w14:textId="77777777" w:rsidR="002808C2" w:rsidRPr="00E14102" w:rsidRDefault="002808C2" w:rsidP="00E14102">
            <w:pPr>
              <w:jc w:val="both"/>
              <w:rPr>
                <w:color w:val="000000" w:themeColor="text1"/>
                <w:sz w:val="16"/>
                <w:szCs w:val="16"/>
              </w:rPr>
            </w:pPr>
            <w:r w:rsidRPr="00E14102">
              <w:rPr>
                <w:color w:val="000000" w:themeColor="text1"/>
                <w:sz w:val="16"/>
                <w:szCs w:val="16"/>
              </w:rPr>
              <w:t>МД-4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22FC8"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FB8E7"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55BC6" w14:textId="77777777" w:rsidR="002808C2" w:rsidRPr="00E14102" w:rsidRDefault="002808C2" w:rsidP="00E14102">
            <w:pPr>
              <w:jc w:val="both"/>
              <w:rPr>
                <w:color w:val="000000" w:themeColor="text1"/>
                <w:sz w:val="16"/>
                <w:szCs w:val="16"/>
              </w:rPr>
            </w:pPr>
            <w:r w:rsidRPr="00E14102">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EA40D" w14:textId="77777777" w:rsidR="002808C2" w:rsidRPr="00E14102" w:rsidRDefault="002808C2" w:rsidP="00E14102">
            <w:pPr>
              <w:jc w:val="both"/>
              <w:rPr>
                <w:color w:val="000000" w:themeColor="text1"/>
                <w:sz w:val="16"/>
                <w:szCs w:val="16"/>
              </w:rPr>
            </w:pPr>
            <w:r w:rsidRPr="00E14102">
              <w:rPr>
                <w:color w:val="000000" w:themeColor="text1"/>
                <w:sz w:val="16"/>
                <w:szCs w:val="16"/>
              </w:rPr>
              <w:t>110%</w:t>
            </w:r>
          </w:p>
        </w:tc>
      </w:tr>
      <w:tr w:rsidR="00E3599D" w:rsidRPr="00E14102" w14:paraId="09E32360"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E42E40" w14:textId="77777777" w:rsidR="002808C2" w:rsidRPr="00E14102" w:rsidRDefault="002808C2" w:rsidP="00E14102">
            <w:pPr>
              <w:jc w:val="both"/>
              <w:rPr>
                <w:color w:val="000000" w:themeColor="text1"/>
                <w:sz w:val="16"/>
                <w:szCs w:val="16"/>
              </w:rPr>
            </w:pPr>
            <w:r w:rsidRPr="00E1410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EF4D0" w14:textId="77777777" w:rsidR="002808C2" w:rsidRPr="00E14102" w:rsidRDefault="002808C2" w:rsidP="00E14102">
            <w:pPr>
              <w:jc w:val="both"/>
              <w:rPr>
                <w:color w:val="000000" w:themeColor="text1"/>
                <w:sz w:val="16"/>
                <w:szCs w:val="16"/>
              </w:rPr>
            </w:pPr>
            <w:r w:rsidRPr="00E14102">
              <w:rPr>
                <w:color w:val="000000" w:themeColor="text1"/>
                <w:sz w:val="16"/>
                <w:szCs w:val="16"/>
              </w:rPr>
              <w:t>КТ-1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2A5CF" w14:textId="77777777" w:rsidR="002808C2" w:rsidRPr="00E14102" w:rsidRDefault="002808C2" w:rsidP="00E14102">
            <w:pPr>
              <w:jc w:val="both"/>
              <w:rPr>
                <w:color w:val="000000" w:themeColor="text1"/>
                <w:sz w:val="16"/>
                <w:szCs w:val="16"/>
              </w:rPr>
            </w:pPr>
            <w:r w:rsidRPr="00E14102">
              <w:rPr>
                <w:color w:val="000000" w:themeColor="text1"/>
                <w:sz w:val="16"/>
                <w:szCs w:val="16"/>
              </w:rPr>
              <w:t>1625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FAC4C" w14:textId="77777777" w:rsidR="002808C2" w:rsidRPr="00E14102" w:rsidRDefault="002808C2" w:rsidP="00E14102">
            <w:pPr>
              <w:jc w:val="both"/>
              <w:rPr>
                <w:color w:val="000000" w:themeColor="text1"/>
                <w:sz w:val="16"/>
                <w:szCs w:val="16"/>
              </w:rPr>
            </w:pPr>
            <w:r w:rsidRPr="00E14102">
              <w:rPr>
                <w:color w:val="000000" w:themeColor="text1"/>
                <w:sz w:val="16"/>
                <w:szCs w:val="16"/>
              </w:rPr>
              <w:t>1625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1BEFE" w14:textId="77777777" w:rsidR="002808C2" w:rsidRPr="00E14102" w:rsidRDefault="002808C2" w:rsidP="00E14102">
            <w:pPr>
              <w:jc w:val="both"/>
              <w:rPr>
                <w:color w:val="000000" w:themeColor="text1"/>
                <w:sz w:val="16"/>
                <w:szCs w:val="16"/>
              </w:rPr>
            </w:pPr>
            <w:r w:rsidRPr="00E14102">
              <w:rPr>
                <w:color w:val="000000" w:themeColor="text1"/>
                <w:sz w:val="16"/>
                <w:szCs w:val="16"/>
              </w:rPr>
              <w:t>1346,3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90FE2" w14:textId="77777777" w:rsidR="002808C2" w:rsidRPr="00E14102" w:rsidRDefault="002808C2" w:rsidP="00E14102">
            <w:pPr>
              <w:jc w:val="both"/>
              <w:rPr>
                <w:color w:val="000000" w:themeColor="text1"/>
                <w:sz w:val="16"/>
                <w:szCs w:val="16"/>
              </w:rPr>
            </w:pPr>
            <w:r w:rsidRPr="00E14102">
              <w:rPr>
                <w:color w:val="000000" w:themeColor="text1"/>
                <w:sz w:val="16"/>
                <w:szCs w:val="16"/>
              </w:rPr>
              <w:t>83%</w:t>
            </w:r>
          </w:p>
        </w:tc>
      </w:tr>
      <w:tr w:rsidR="00E3599D" w:rsidRPr="00E14102" w14:paraId="3823D8F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D0DE48" w14:textId="77777777" w:rsidR="002808C2" w:rsidRPr="00E14102" w:rsidRDefault="002808C2" w:rsidP="00E14102">
            <w:pPr>
              <w:jc w:val="both"/>
              <w:rPr>
                <w:color w:val="000000" w:themeColor="text1"/>
                <w:sz w:val="16"/>
                <w:szCs w:val="16"/>
              </w:rPr>
            </w:pPr>
            <w:r w:rsidRPr="00E1410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C6A25" w14:textId="77777777" w:rsidR="002808C2" w:rsidRPr="00E14102" w:rsidRDefault="002808C2" w:rsidP="00E14102">
            <w:pPr>
              <w:jc w:val="both"/>
              <w:rPr>
                <w:color w:val="000000" w:themeColor="text1"/>
                <w:sz w:val="16"/>
                <w:szCs w:val="16"/>
              </w:rPr>
            </w:pPr>
            <w:r w:rsidRPr="00E14102">
              <w:rPr>
                <w:color w:val="000000" w:themeColor="text1"/>
                <w:sz w:val="16"/>
                <w:szCs w:val="16"/>
              </w:rPr>
              <w:t>КТ-2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0B5D3"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C5C2E"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94C92" w14:textId="77777777" w:rsidR="002808C2" w:rsidRPr="00E14102" w:rsidRDefault="002808C2" w:rsidP="00E14102">
            <w:pPr>
              <w:jc w:val="both"/>
              <w:rPr>
                <w:color w:val="000000" w:themeColor="text1"/>
                <w:sz w:val="16"/>
                <w:szCs w:val="16"/>
              </w:rPr>
            </w:pPr>
            <w:r w:rsidRPr="00E14102">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B3A2F" w14:textId="77777777" w:rsidR="002808C2" w:rsidRPr="00E14102" w:rsidRDefault="002808C2" w:rsidP="00E14102">
            <w:pPr>
              <w:jc w:val="both"/>
              <w:rPr>
                <w:color w:val="000000" w:themeColor="text1"/>
                <w:sz w:val="16"/>
                <w:szCs w:val="16"/>
              </w:rPr>
            </w:pPr>
            <w:r w:rsidRPr="00E14102">
              <w:rPr>
                <w:color w:val="000000" w:themeColor="text1"/>
                <w:sz w:val="16"/>
                <w:szCs w:val="16"/>
              </w:rPr>
              <w:t>35%</w:t>
            </w:r>
          </w:p>
        </w:tc>
      </w:tr>
      <w:tr w:rsidR="00E3599D" w:rsidRPr="00E14102" w14:paraId="0A85FFD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467469" w14:textId="77777777" w:rsidR="002808C2" w:rsidRPr="00E14102" w:rsidRDefault="002808C2" w:rsidP="00E14102">
            <w:pPr>
              <w:jc w:val="both"/>
              <w:rPr>
                <w:color w:val="000000" w:themeColor="text1"/>
                <w:sz w:val="16"/>
                <w:szCs w:val="16"/>
              </w:rPr>
            </w:pPr>
            <w:r w:rsidRPr="00E14102">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CCF56" w14:textId="77777777" w:rsidR="002808C2" w:rsidRPr="00E14102" w:rsidRDefault="002808C2" w:rsidP="00E14102">
            <w:pPr>
              <w:jc w:val="both"/>
              <w:rPr>
                <w:color w:val="000000" w:themeColor="text1"/>
                <w:sz w:val="16"/>
                <w:szCs w:val="16"/>
              </w:rPr>
            </w:pPr>
            <w:r w:rsidRPr="00E14102">
              <w:rPr>
                <w:color w:val="000000" w:themeColor="text1"/>
                <w:sz w:val="16"/>
                <w:szCs w:val="16"/>
              </w:rPr>
              <w:t>КТ-3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B055C" w14:textId="77777777" w:rsidR="002808C2" w:rsidRPr="00E14102" w:rsidRDefault="002808C2" w:rsidP="00E14102">
            <w:pPr>
              <w:jc w:val="both"/>
              <w:rPr>
                <w:color w:val="000000" w:themeColor="text1"/>
                <w:sz w:val="16"/>
                <w:szCs w:val="16"/>
              </w:rPr>
            </w:pPr>
            <w:r w:rsidRPr="00E14102">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982A6" w14:textId="77777777" w:rsidR="002808C2" w:rsidRPr="00E14102" w:rsidRDefault="002808C2" w:rsidP="00E14102">
            <w:pPr>
              <w:jc w:val="both"/>
              <w:rPr>
                <w:color w:val="000000" w:themeColor="text1"/>
                <w:sz w:val="16"/>
                <w:szCs w:val="16"/>
              </w:rPr>
            </w:pPr>
            <w:r w:rsidRPr="00E14102">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5E72E" w14:textId="77777777" w:rsidR="002808C2" w:rsidRPr="00E14102" w:rsidRDefault="002808C2" w:rsidP="00E14102">
            <w:pPr>
              <w:jc w:val="both"/>
              <w:rPr>
                <w:color w:val="000000" w:themeColor="text1"/>
                <w:sz w:val="16"/>
                <w:szCs w:val="16"/>
              </w:rPr>
            </w:pPr>
            <w:r w:rsidRPr="00E14102">
              <w:rPr>
                <w:color w:val="000000" w:themeColor="text1"/>
                <w:sz w:val="16"/>
                <w:szCs w:val="16"/>
              </w:rPr>
              <w:t>94,2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2B77D" w14:textId="77777777" w:rsidR="002808C2" w:rsidRPr="00E14102" w:rsidRDefault="002808C2" w:rsidP="00E14102">
            <w:pPr>
              <w:jc w:val="both"/>
              <w:rPr>
                <w:color w:val="000000" w:themeColor="text1"/>
                <w:sz w:val="16"/>
                <w:szCs w:val="16"/>
              </w:rPr>
            </w:pPr>
            <w:r w:rsidRPr="00E14102">
              <w:rPr>
                <w:color w:val="000000" w:themeColor="text1"/>
                <w:sz w:val="16"/>
                <w:szCs w:val="16"/>
              </w:rPr>
              <w:t>61%</w:t>
            </w:r>
          </w:p>
        </w:tc>
      </w:tr>
      <w:tr w:rsidR="00E3599D" w:rsidRPr="00E14102" w14:paraId="3F8A54A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B4B53E" w14:textId="77777777" w:rsidR="002808C2" w:rsidRPr="00E14102" w:rsidRDefault="002808C2" w:rsidP="00E14102">
            <w:pPr>
              <w:jc w:val="both"/>
              <w:rPr>
                <w:color w:val="000000" w:themeColor="text1"/>
                <w:sz w:val="16"/>
                <w:szCs w:val="16"/>
              </w:rPr>
            </w:pPr>
            <w:r w:rsidRPr="00E14102">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99F912" w14:textId="77777777" w:rsidR="002808C2" w:rsidRPr="00E14102" w:rsidRDefault="002808C2" w:rsidP="00E14102">
            <w:pPr>
              <w:jc w:val="both"/>
              <w:rPr>
                <w:color w:val="000000" w:themeColor="text1"/>
                <w:sz w:val="16"/>
                <w:szCs w:val="16"/>
              </w:rPr>
            </w:pPr>
            <w:r w:rsidRPr="00E14102">
              <w:rPr>
                <w:color w:val="000000" w:themeColor="text1"/>
                <w:sz w:val="16"/>
                <w:szCs w:val="16"/>
              </w:rPr>
              <w:t>КТМ-1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4F071"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91524"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CC3BE" w14:textId="77777777" w:rsidR="002808C2" w:rsidRPr="00E14102" w:rsidRDefault="002808C2"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E3CAB" w14:textId="77777777" w:rsidR="002808C2" w:rsidRPr="00E14102" w:rsidRDefault="002808C2" w:rsidP="00E14102">
            <w:pPr>
              <w:jc w:val="both"/>
              <w:rPr>
                <w:color w:val="000000" w:themeColor="text1"/>
                <w:sz w:val="16"/>
                <w:szCs w:val="16"/>
              </w:rPr>
            </w:pPr>
            <w:r w:rsidRPr="00E14102">
              <w:rPr>
                <w:color w:val="000000" w:themeColor="text1"/>
                <w:sz w:val="16"/>
                <w:szCs w:val="16"/>
              </w:rPr>
              <w:t>0%</w:t>
            </w:r>
          </w:p>
        </w:tc>
      </w:tr>
      <w:tr w:rsidR="00E3599D" w:rsidRPr="00E14102" w14:paraId="14E4F94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DE26B1"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F2B98" w14:textId="77777777" w:rsidR="002808C2" w:rsidRPr="00E14102" w:rsidRDefault="002808C2" w:rsidP="00E14102">
            <w:pPr>
              <w:jc w:val="both"/>
              <w:rPr>
                <w:color w:val="000000" w:themeColor="text1"/>
                <w:sz w:val="16"/>
                <w:szCs w:val="16"/>
              </w:rPr>
            </w:pPr>
            <w:r w:rsidRPr="00E14102">
              <w:rPr>
                <w:color w:val="000000" w:themeColor="text1"/>
                <w:sz w:val="16"/>
                <w:szCs w:val="16"/>
              </w:rPr>
              <w:t>КТМ-2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83125" w14:textId="77777777" w:rsidR="002808C2" w:rsidRPr="00E14102" w:rsidRDefault="002808C2" w:rsidP="00E14102">
            <w:pPr>
              <w:jc w:val="both"/>
              <w:rPr>
                <w:color w:val="000000" w:themeColor="text1"/>
                <w:sz w:val="16"/>
                <w:szCs w:val="16"/>
              </w:rPr>
            </w:pPr>
            <w:r w:rsidRPr="00E14102">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24ADA" w14:textId="77777777" w:rsidR="002808C2" w:rsidRPr="00E14102" w:rsidRDefault="002808C2" w:rsidP="00E14102">
            <w:pPr>
              <w:jc w:val="both"/>
              <w:rPr>
                <w:color w:val="000000" w:themeColor="text1"/>
                <w:sz w:val="16"/>
                <w:szCs w:val="16"/>
              </w:rPr>
            </w:pPr>
            <w:r w:rsidRPr="00E14102">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E9B69" w14:textId="77777777" w:rsidR="002808C2" w:rsidRPr="00E14102" w:rsidRDefault="002808C2"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CDBB1" w14:textId="77777777" w:rsidR="002808C2" w:rsidRPr="00E14102" w:rsidRDefault="002808C2" w:rsidP="00E14102">
            <w:pPr>
              <w:jc w:val="both"/>
              <w:rPr>
                <w:color w:val="000000" w:themeColor="text1"/>
                <w:sz w:val="16"/>
                <w:szCs w:val="16"/>
              </w:rPr>
            </w:pPr>
            <w:r w:rsidRPr="00E14102">
              <w:rPr>
                <w:color w:val="000000" w:themeColor="text1"/>
                <w:sz w:val="16"/>
                <w:szCs w:val="16"/>
              </w:rPr>
              <w:t>0%</w:t>
            </w:r>
          </w:p>
        </w:tc>
      </w:tr>
      <w:tr w:rsidR="00E3599D" w:rsidRPr="00E14102" w14:paraId="21C817F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3B184B" w14:textId="77777777" w:rsidR="002808C2" w:rsidRPr="00E14102" w:rsidRDefault="002808C2" w:rsidP="00E14102">
            <w:pPr>
              <w:jc w:val="both"/>
              <w:rPr>
                <w:color w:val="000000" w:themeColor="text1"/>
                <w:sz w:val="16"/>
                <w:szCs w:val="16"/>
              </w:rPr>
            </w:pPr>
            <w:r w:rsidRPr="00E14102">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FBB62" w14:textId="77777777" w:rsidR="002808C2" w:rsidRPr="00E14102" w:rsidRDefault="002808C2" w:rsidP="00E14102">
            <w:pPr>
              <w:jc w:val="both"/>
              <w:rPr>
                <w:color w:val="000000" w:themeColor="text1"/>
                <w:sz w:val="16"/>
                <w:szCs w:val="16"/>
              </w:rPr>
            </w:pPr>
            <w:r w:rsidRPr="00E14102">
              <w:rPr>
                <w:color w:val="000000" w:themeColor="text1"/>
                <w:sz w:val="16"/>
                <w:szCs w:val="16"/>
              </w:rPr>
              <w:t>КТМ двойного действия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452AE" w14:textId="77777777" w:rsidR="002808C2" w:rsidRPr="00E14102" w:rsidRDefault="002808C2" w:rsidP="00E14102">
            <w:pPr>
              <w:jc w:val="both"/>
              <w:rPr>
                <w:color w:val="000000" w:themeColor="text1"/>
                <w:sz w:val="16"/>
                <w:szCs w:val="16"/>
              </w:rPr>
            </w:pPr>
            <w:r w:rsidRPr="00E14102">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499E8" w14:textId="77777777" w:rsidR="002808C2" w:rsidRPr="00E14102" w:rsidRDefault="002808C2" w:rsidP="00E14102">
            <w:pPr>
              <w:jc w:val="both"/>
              <w:rPr>
                <w:color w:val="000000" w:themeColor="text1"/>
                <w:sz w:val="16"/>
                <w:szCs w:val="16"/>
              </w:rPr>
            </w:pPr>
            <w:r w:rsidRPr="00E14102">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111B4" w14:textId="77777777" w:rsidR="002808C2" w:rsidRPr="00E14102" w:rsidRDefault="002808C2" w:rsidP="00E14102">
            <w:pPr>
              <w:jc w:val="both"/>
              <w:rPr>
                <w:color w:val="000000" w:themeColor="text1"/>
                <w:sz w:val="16"/>
                <w:szCs w:val="16"/>
              </w:rPr>
            </w:pPr>
            <w:r w:rsidRPr="00E14102">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0F79E"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70C576C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4CB8C6" w14:textId="77777777" w:rsidR="002808C2" w:rsidRPr="00E14102" w:rsidRDefault="002808C2" w:rsidP="00E14102">
            <w:pPr>
              <w:jc w:val="both"/>
              <w:rPr>
                <w:color w:val="000000" w:themeColor="text1"/>
                <w:sz w:val="16"/>
                <w:szCs w:val="16"/>
              </w:rPr>
            </w:pPr>
            <w:r w:rsidRPr="00E1410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94D6F" w14:textId="77777777" w:rsidR="002808C2" w:rsidRPr="00E14102" w:rsidRDefault="002808C2" w:rsidP="00E14102">
            <w:pPr>
              <w:jc w:val="both"/>
              <w:rPr>
                <w:color w:val="000000" w:themeColor="text1"/>
                <w:sz w:val="16"/>
                <w:szCs w:val="16"/>
              </w:rPr>
            </w:pPr>
            <w:r w:rsidRPr="00E14102">
              <w:rPr>
                <w:color w:val="000000" w:themeColor="text1"/>
                <w:sz w:val="16"/>
                <w:szCs w:val="16"/>
              </w:rPr>
              <w:t>КТД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C7C6F"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E7162" w14:textId="77777777" w:rsidR="002808C2" w:rsidRPr="00E14102" w:rsidRDefault="002808C2"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0AC3F" w14:textId="77777777" w:rsidR="002808C2" w:rsidRPr="00E14102" w:rsidRDefault="002808C2"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CB918" w14:textId="77777777" w:rsidR="002808C2" w:rsidRPr="00E14102" w:rsidRDefault="002808C2" w:rsidP="00E14102">
            <w:pPr>
              <w:jc w:val="both"/>
              <w:rPr>
                <w:color w:val="000000" w:themeColor="text1"/>
                <w:sz w:val="16"/>
                <w:szCs w:val="16"/>
              </w:rPr>
            </w:pPr>
            <w:r w:rsidRPr="00E14102">
              <w:rPr>
                <w:color w:val="000000" w:themeColor="text1"/>
                <w:sz w:val="16"/>
                <w:szCs w:val="16"/>
              </w:rPr>
              <w:t>—</w:t>
            </w:r>
          </w:p>
        </w:tc>
      </w:tr>
      <w:tr w:rsidR="00E3599D" w:rsidRPr="00E14102" w14:paraId="2EE5931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6A9ECF" w14:textId="77777777" w:rsidR="002808C2" w:rsidRPr="00E14102" w:rsidRDefault="002808C2" w:rsidP="00E14102">
            <w:pPr>
              <w:jc w:val="both"/>
              <w:rPr>
                <w:color w:val="000000" w:themeColor="text1"/>
                <w:sz w:val="16"/>
                <w:szCs w:val="16"/>
              </w:rPr>
            </w:pPr>
            <w:r w:rsidRPr="00E14102">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B6868" w14:textId="77777777" w:rsidR="002808C2" w:rsidRPr="00E14102" w:rsidRDefault="002808C2" w:rsidP="00E14102">
            <w:pPr>
              <w:jc w:val="both"/>
              <w:rPr>
                <w:color w:val="000000" w:themeColor="text1"/>
                <w:sz w:val="16"/>
                <w:szCs w:val="16"/>
              </w:rPr>
            </w:pPr>
            <w:r w:rsidRPr="00E14102">
              <w:rPr>
                <w:color w:val="000000" w:themeColor="text1"/>
                <w:sz w:val="16"/>
                <w:szCs w:val="16"/>
              </w:rPr>
              <w:t>5ДТ-2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12543"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F601E"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74481" w14:textId="77777777" w:rsidR="002808C2" w:rsidRPr="00E14102" w:rsidRDefault="002808C2" w:rsidP="00E14102">
            <w:pPr>
              <w:jc w:val="both"/>
              <w:rPr>
                <w:color w:val="000000" w:themeColor="text1"/>
                <w:sz w:val="16"/>
                <w:szCs w:val="16"/>
              </w:rPr>
            </w:pPr>
            <w:r w:rsidRPr="00E14102">
              <w:rPr>
                <w:color w:val="000000" w:themeColor="text1"/>
                <w:sz w:val="16"/>
                <w:szCs w:val="16"/>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BC807" w14:textId="77777777" w:rsidR="002808C2" w:rsidRPr="00E14102" w:rsidRDefault="002808C2" w:rsidP="00E14102">
            <w:pPr>
              <w:jc w:val="both"/>
              <w:rPr>
                <w:color w:val="000000" w:themeColor="text1"/>
                <w:sz w:val="16"/>
                <w:szCs w:val="16"/>
              </w:rPr>
            </w:pPr>
            <w:r w:rsidRPr="00E14102">
              <w:rPr>
                <w:color w:val="000000" w:themeColor="text1"/>
                <w:sz w:val="16"/>
                <w:szCs w:val="16"/>
              </w:rPr>
              <w:t>20%</w:t>
            </w:r>
          </w:p>
        </w:tc>
      </w:tr>
      <w:tr w:rsidR="00E3599D" w:rsidRPr="00E14102" w14:paraId="6590A799"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492F20" w14:textId="77777777" w:rsidR="002808C2" w:rsidRPr="00E14102" w:rsidRDefault="002808C2" w:rsidP="00E14102">
            <w:pPr>
              <w:jc w:val="both"/>
              <w:rPr>
                <w:color w:val="000000" w:themeColor="text1"/>
                <w:sz w:val="16"/>
                <w:szCs w:val="16"/>
              </w:rPr>
            </w:pPr>
            <w:r w:rsidRPr="00E14102">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1C0EE" w14:textId="77777777" w:rsidR="002808C2" w:rsidRPr="00E14102" w:rsidRDefault="002808C2" w:rsidP="00E14102">
            <w:pPr>
              <w:jc w:val="both"/>
              <w:rPr>
                <w:color w:val="000000" w:themeColor="text1"/>
                <w:sz w:val="16"/>
                <w:szCs w:val="16"/>
              </w:rPr>
            </w:pPr>
            <w:r w:rsidRPr="00E14102">
              <w:rPr>
                <w:color w:val="000000" w:themeColor="text1"/>
                <w:sz w:val="16"/>
                <w:szCs w:val="16"/>
              </w:rPr>
              <w:t>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3504A"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BFAF5"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734D6" w14:textId="77777777" w:rsidR="002808C2" w:rsidRPr="00E14102" w:rsidRDefault="002808C2"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2D98D" w14:textId="77777777" w:rsidR="002808C2" w:rsidRPr="00E14102" w:rsidRDefault="002808C2" w:rsidP="00E14102">
            <w:pPr>
              <w:jc w:val="both"/>
              <w:rPr>
                <w:color w:val="000000" w:themeColor="text1"/>
                <w:sz w:val="16"/>
                <w:szCs w:val="16"/>
              </w:rPr>
            </w:pPr>
            <w:r w:rsidRPr="00E14102">
              <w:rPr>
                <w:color w:val="000000" w:themeColor="text1"/>
                <w:sz w:val="16"/>
                <w:szCs w:val="16"/>
              </w:rPr>
              <w:t>50%</w:t>
            </w:r>
          </w:p>
        </w:tc>
      </w:tr>
      <w:tr w:rsidR="00E3599D" w:rsidRPr="00E14102" w14:paraId="2BE293E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7A8D51" w14:textId="77777777" w:rsidR="002808C2" w:rsidRPr="00E14102" w:rsidRDefault="002808C2" w:rsidP="00E14102">
            <w:pPr>
              <w:jc w:val="both"/>
              <w:rPr>
                <w:color w:val="000000" w:themeColor="text1"/>
                <w:sz w:val="16"/>
                <w:szCs w:val="16"/>
              </w:rPr>
            </w:pPr>
            <w:r w:rsidRPr="00E14102">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C5C7A" w14:textId="77777777" w:rsidR="002808C2" w:rsidRPr="00E14102" w:rsidRDefault="002808C2" w:rsidP="00E14102">
            <w:pPr>
              <w:jc w:val="both"/>
              <w:rPr>
                <w:color w:val="000000" w:themeColor="text1"/>
                <w:sz w:val="16"/>
                <w:szCs w:val="16"/>
              </w:rPr>
            </w:pPr>
            <w:r w:rsidRPr="00E14102">
              <w:rPr>
                <w:color w:val="000000" w:themeColor="text1"/>
                <w:sz w:val="16"/>
                <w:szCs w:val="16"/>
              </w:rPr>
              <w:t>УГТ-2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49E7F" w14:textId="77777777" w:rsidR="002808C2" w:rsidRPr="00E14102" w:rsidRDefault="002808C2" w:rsidP="00E14102">
            <w:pPr>
              <w:jc w:val="both"/>
              <w:rPr>
                <w:color w:val="000000" w:themeColor="text1"/>
                <w:sz w:val="16"/>
                <w:szCs w:val="16"/>
              </w:rPr>
            </w:pPr>
            <w:r w:rsidRPr="00E14102">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13072" w14:textId="77777777" w:rsidR="002808C2" w:rsidRPr="00E14102" w:rsidRDefault="002808C2" w:rsidP="00E14102">
            <w:pPr>
              <w:jc w:val="both"/>
              <w:rPr>
                <w:color w:val="000000" w:themeColor="text1"/>
                <w:sz w:val="16"/>
                <w:szCs w:val="16"/>
              </w:rPr>
            </w:pPr>
            <w:r w:rsidRPr="00E14102">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C7C19" w14:textId="77777777" w:rsidR="002808C2" w:rsidRPr="00E14102" w:rsidRDefault="002808C2"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1C07E" w14:textId="77777777" w:rsidR="002808C2" w:rsidRPr="00E14102" w:rsidRDefault="002808C2" w:rsidP="00E14102">
            <w:pPr>
              <w:jc w:val="both"/>
              <w:rPr>
                <w:color w:val="000000" w:themeColor="text1"/>
                <w:sz w:val="16"/>
                <w:szCs w:val="16"/>
              </w:rPr>
            </w:pPr>
            <w:r w:rsidRPr="00E14102">
              <w:rPr>
                <w:color w:val="000000" w:themeColor="text1"/>
                <w:sz w:val="16"/>
                <w:szCs w:val="16"/>
              </w:rPr>
              <w:t>0%</w:t>
            </w:r>
          </w:p>
        </w:tc>
      </w:tr>
      <w:tr w:rsidR="00E3599D" w:rsidRPr="00E14102" w14:paraId="4B065F1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505DCF" w14:textId="77777777" w:rsidR="002808C2" w:rsidRPr="00E14102" w:rsidRDefault="002808C2" w:rsidP="00E14102">
            <w:pPr>
              <w:jc w:val="both"/>
              <w:rPr>
                <w:color w:val="000000" w:themeColor="text1"/>
                <w:sz w:val="16"/>
                <w:szCs w:val="16"/>
              </w:rPr>
            </w:pPr>
            <w:r w:rsidRPr="00E14102">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B88B8" w14:textId="77777777" w:rsidR="002808C2" w:rsidRPr="00E14102" w:rsidRDefault="002808C2" w:rsidP="00E14102">
            <w:pPr>
              <w:jc w:val="both"/>
              <w:rPr>
                <w:color w:val="000000" w:themeColor="text1"/>
                <w:sz w:val="16"/>
                <w:szCs w:val="16"/>
              </w:rPr>
            </w:pPr>
            <w:r w:rsidRPr="00E14102">
              <w:rPr>
                <w:color w:val="000000" w:themeColor="text1"/>
                <w:sz w:val="16"/>
                <w:szCs w:val="16"/>
              </w:rPr>
              <w:t>Взрыватель минный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8CF5E"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7F86D"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25F0A" w14:textId="77777777" w:rsidR="002808C2" w:rsidRPr="00E14102" w:rsidRDefault="002808C2"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4DCC6"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6F206BF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7BA471" w14:textId="77777777" w:rsidR="002808C2" w:rsidRPr="00E14102" w:rsidRDefault="002808C2" w:rsidP="00E14102">
            <w:pPr>
              <w:jc w:val="both"/>
              <w:rPr>
                <w:color w:val="000000" w:themeColor="text1"/>
                <w:sz w:val="16"/>
                <w:szCs w:val="16"/>
              </w:rPr>
            </w:pPr>
            <w:r w:rsidRPr="00E14102">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052C5" w14:textId="77777777" w:rsidR="002808C2" w:rsidRPr="00E14102" w:rsidRDefault="002808C2" w:rsidP="00E14102">
            <w:pPr>
              <w:jc w:val="both"/>
              <w:rPr>
                <w:color w:val="000000" w:themeColor="text1"/>
                <w:sz w:val="16"/>
                <w:szCs w:val="16"/>
              </w:rPr>
            </w:pPr>
            <w:r w:rsidRPr="00E14102">
              <w:rPr>
                <w:color w:val="000000" w:themeColor="text1"/>
                <w:sz w:val="16"/>
                <w:szCs w:val="16"/>
              </w:rPr>
              <w:t>8Г-12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459F6" w14:textId="77777777" w:rsidR="002808C2" w:rsidRPr="00E14102" w:rsidRDefault="002808C2" w:rsidP="00E14102">
            <w:pPr>
              <w:jc w:val="both"/>
              <w:rPr>
                <w:color w:val="000000" w:themeColor="text1"/>
                <w:sz w:val="16"/>
                <w:szCs w:val="16"/>
              </w:rPr>
            </w:pPr>
            <w:r w:rsidRPr="00E14102">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BF8BA" w14:textId="77777777" w:rsidR="002808C2" w:rsidRPr="00E14102" w:rsidRDefault="002808C2" w:rsidP="00E14102">
            <w:pPr>
              <w:jc w:val="both"/>
              <w:rPr>
                <w:color w:val="000000" w:themeColor="text1"/>
                <w:sz w:val="16"/>
                <w:szCs w:val="16"/>
              </w:rPr>
            </w:pPr>
            <w:r w:rsidRPr="00E14102">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1C08C" w14:textId="77777777" w:rsidR="002808C2" w:rsidRPr="00E14102" w:rsidRDefault="002808C2" w:rsidP="00E14102">
            <w:pPr>
              <w:jc w:val="both"/>
              <w:rPr>
                <w:color w:val="000000" w:themeColor="text1"/>
                <w:sz w:val="16"/>
                <w:szCs w:val="16"/>
              </w:rPr>
            </w:pPr>
            <w:r w:rsidRPr="00E14102">
              <w:rPr>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B7EB" w14:textId="77777777" w:rsidR="002808C2" w:rsidRPr="00E14102" w:rsidRDefault="002808C2" w:rsidP="00E14102">
            <w:pPr>
              <w:jc w:val="both"/>
              <w:rPr>
                <w:color w:val="000000" w:themeColor="text1"/>
                <w:sz w:val="16"/>
                <w:szCs w:val="16"/>
              </w:rPr>
            </w:pPr>
            <w:r w:rsidRPr="00E14102">
              <w:rPr>
                <w:color w:val="000000" w:themeColor="text1"/>
                <w:sz w:val="16"/>
                <w:szCs w:val="16"/>
              </w:rPr>
              <w:t>54%</w:t>
            </w:r>
          </w:p>
        </w:tc>
      </w:tr>
      <w:tr w:rsidR="00E3599D" w:rsidRPr="00E14102" w14:paraId="1DD263C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DBBCE6" w14:textId="77777777" w:rsidR="002808C2" w:rsidRPr="00E14102" w:rsidRDefault="002808C2" w:rsidP="00E14102">
            <w:pPr>
              <w:jc w:val="both"/>
              <w:rPr>
                <w:color w:val="000000" w:themeColor="text1"/>
                <w:sz w:val="16"/>
                <w:szCs w:val="16"/>
              </w:rPr>
            </w:pPr>
            <w:r w:rsidRPr="00E14102">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AA44A" w14:textId="77777777" w:rsidR="002808C2" w:rsidRPr="00E14102" w:rsidRDefault="002808C2" w:rsidP="00E14102">
            <w:pPr>
              <w:jc w:val="both"/>
              <w:rPr>
                <w:color w:val="000000" w:themeColor="text1"/>
                <w:sz w:val="16"/>
                <w:szCs w:val="16"/>
              </w:rPr>
            </w:pPr>
            <w:r w:rsidRPr="00E14102">
              <w:rPr>
                <w:color w:val="000000" w:themeColor="text1"/>
                <w:sz w:val="16"/>
                <w:szCs w:val="16"/>
              </w:rPr>
              <w:t>ЗГТ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D7176" w14:textId="77777777" w:rsidR="002808C2" w:rsidRPr="00E14102" w:rsidRDefault="002808C2" w:rsidP="00E14102">
            <w:pPr>
              <w:jc w:val="both"/>
              <w:rPr>
                <w:color w:val="000000" w:themeColor="text1"/>
                <w:sz w:val="16"/>
                <w:szCs w:val="16"/>
              </w:rPr>
            </w:pPr>
            <w:r w:rsidRPr="00E14102">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6C01F" w14:textId="77777777" w:rsidR="002808C2" w:rsidRPr="00E14102" w:rsidRDefault="002808C2" w:rsidP="00E14102">
            <w:pPr>
              <w:jc w:val="both"/>
              <w:rPr>
                <w:color w:val="000000" w:themeColor="text1"/>
                <w:sz w:val="16"/>
                <w:szCs w:val="16"/>
              </w:rPr>
            </w:pPr>
            <w:r w:rsidRPr="00E14102">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5094E" w14:textId="77777777" w:rsidR="002808C2" w:rsidRPr="00E14102" w:rsidRDefault="002808C2" w:rsidP="00E14102">
            <w:pPr>
              <w:jc w:val="both"/>
              <w:rPr>
                <w:color w:val="000000" w:themeColor="text1"/>
                <w:sz w:val="16"/>
                <w:szCs w:val="16"/>
              </w:rPr>
            </w:pPr>
            <w:r w:rsidRPr="00E14102">
              <w:rPr>
                <w:color w:val="000000" w:themeColor="text1"/>
                <w:sz w:val="16"/>
                <w:szCs w:val="16"/>
              </w:rPr>
              <w:t>122,6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2B6FA" w14:textId="77777777" w:rsidR="002808C2" w:rsidRPr="00E14102" w:rsidRDefault="002808C2" w:rsidP="00E14102">
            <w:pPr>
              <w:jc w:val="both"/>
              <w:rPr>
                <w:color w:val="000000" w:themeColor="text1"/>
                <w:sz w:val="16"/>
                <w:szCs w:val="16"/>
              </w:rPr>
            </w:pPr>
            <w:r w:rsidRPr="00E14102">
              <w:rPr>
                <w:color w:val="000000" w:themeColor="text1"/>
                <w:sz w:val="16"/>
                <w:szCs w:val="16"/>
              </w:rPr>
              <w:t>82%</w:t>
            </w:r>
          </w:p>
        </w:tc>
      </w:tr>
      <w:tr w:rsidR="00E3599D" w:rsidRPr="00E14102" w14:paraId="359F40E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4AF1D9" w14:textId="77777777" w:rsidR="002808C2" w:rsidRPr="00E14102" w:rsidRDefault="002808C2" w:rsidP="00E14102">
            <w:pPr>
              <w:jc w:val="both"/>
              <w:rPr>
                <w:color w:val="000000" w:themeColor="text1"/>
                <w:sz w:val="16"/>
                <w:szCs w:val="16"/>
              </w:rPr>
            </w:pPr>
            <w:r w:rsidRPr="00E14102">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CC92A" w14:textId="77777777" w:rsidR="002808C2" w:rsidRPr="00E14102" w:rsidRDefault="002808C2" w:rsidP="00E14102">
            <w:pPr>
              <w:jc w:val="both"/>
              <w:rPr>
                <w:color w:val="000000" w:themeColor="text1"/>
                <w:sz w:val="16"/>
                <w:szCs w:val="16"/>
              </w:rPr>
            </w:pPr>
            <w:r w:rsidRPr="00E14102">
              <w:rPr>
                <w:color w:val="000000" w:themeColor="text1"/>
                <w:sz w:val="16"/>
                <w:szCs w:val="16"/>
              </w:rPr>
              <w:t>РГ-6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E42B6" w14:textId="77777777" w:rsidR="002808C2" w:rsidRPr="00E14102" w:rsidRDefault="002808C2" w:rsidP="00E14102">
            <w:pPr>
              <w:jc w:val="both"/>
              <w:rPr>
                <w:color w:val="000000" w:themeColor="text1"/>
                <w:sz w:val="16"/>
                <w:szCs w:val="16"/>
              </w:rPr>
            </w:pPr>
            <w:r w:rsidRPr="00E14102">
              <w:rPr>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2184F" w14:textId="77777777" w:rsidR="002808C2" w:rsidRPr="00E14102" w:rsidRDefault="002808C2" w:rsidP="00E14102">
            <w:pPr>
              <w:jc w:val="both"/>
              <w:rPr>
                <w:color w:val="000000" w:themeColor="text1"/>
                <w:sz w:val="16"/>
                <w:szCs w:val="16"/>
              </w:rPr>
            </w:pPr>
            <w:r w:rsidRPr="00E14102">
              <w:rPr>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B6085" w14:textId="77777777" w:rsidR="002808C2" w:rsidRPr="00E14102" w:rsidRDefault="002808C2" w:rsidP="00E14102">
            <w:pPr>
              <w:jc w:val="both"/>
              <w:rPr>
                <w:color w:val="000000" w:themeColor="text1"/>
                <w:sz w:val="16"/>
                <w:szCs w:val="16"/>
              </w:rPr>
            </w:pPr>
            <w:r w:rsidRPr="00E14102">
              <w:rPr>
                <w:color w:val="000000" w:themeColor="text1"/>
                <w:sz w:val="16"/>
                <w:szCs w:val="16"/>
              </w:rPr>
              <w:t>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2B5A5" w14:textId="77777777" w:rsidR="002808C2" w:rsidRPr="00E14102" w:rsidRDefault="002808C2" w:rsidP="00E14102">
            <w:pPr>
              <w:jc w:val="both"/>
              <w:rPr>
                <w:color w:val="000000" w:themeColor="text1"/>
                <w:sz w:val="16"/>
                <w:szCs w:val="16"/>
              </w:rPr>
            </w:pPr>
            <w:r w:rsidRPr="00E14102">
              <w:rPr>
                <w:color w:val="000000" w:themeColor="text1"/>
                <w:sz w:val="16"/>
                <w:szCs w:val="16"/>
              </w:rPr>
              <w:t>60%</w:t>
            </w:r>
          </w:p>
        </w:tc>
      </w:tr>
      <w:tr w:rsidR="00E3599D" w:rsidRPr="00E14102" w14:paraId="23F1D93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8A909A"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A28E2"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взрывателей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F1DC6" w14:textId="77777777" w:rsidR="002808C2" w:rsidRPr="00E14102" w:rsidRDefault="002808C2" w:rsidP="00E14102">
            <w:pPr>
              <w:jc w:val="both"/>
              <w:rPr>
                <w:color w:val="000000" w:themeColor="text1"/>
                <w:sz w:val="16"/>
                <w:szCs w:val="16"/>
              </w:rPr>
            </w:pPr>
            <w:r w:rsidRPr="00E14102">
              <w:rPr>
                <w:color w:val="000000" w:themeColor="text1"/>
                <w:sz w:val="16"/>
                <w:szCs w:val="16"/>
              </w:rPr>
              <w:t>2993,5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60D32" w14:textId="77777777" w:rsidR="002808C2" w:rsidRPr="00E14102" w:rsidRDefault="002808C2" w:rsidP="00E14102">
            <w:pPr>
              <w:jc w:val="both"/>
              <w:rPr>
                <w:color w:val="000000" w:themeColor="text1"/>
                <w:sz w:val="16"/>
                <w:szCs w:val="16"/>
              </w:rPr>
            </w:pPr>
            <w:r w:rsidRPr="00E14102">
              <w:rPr>
                <w:color w:val="000000" w:themeColor="text1"/>
                <w:sz w:val="16"/>
                <w:szCs w:val="16"/>
              </w:rPr>
              <w:t>3089,3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50FF3" w14:textId="77777777" w:rsidR="002808C2" w:rsidRPr="00E14102" w:rsidRDefault="002808C2" w:rsidP="00E14102">
            <w:pPr>
              <w:jc w:val="both"/>
              <w:rPr>
                <w:color w:val="000000" w:themeColor="text1"/>
                <w:sz w:val="16"/>
                <w:szCs w:val="16"/>
              </w:rPr>
            </w:pPr>
            <w:r w:rsidRPr="00E14102">
              <w:rPr>
                <w:color w:val="000000" w:themeColor="text1"/>
                <w:sz w:val="16"/>
                <w:szCs w:val="16"/>
              </w:rPr>
              <w:t>2001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1E6D8" w14:textId="77777777" w:rsidR="002808C2" w:rsidRPr="00E14102" w:rsidRDefault="002808C2" w:rsidP="00E14102">
            <w:pPr>
              <w:jc w:val="both"/>
              <w:rPr>
                <w:color w:val="000000" w:themeColor="text1"/>
                <w:sz w:val="16"/>
                <w:szCs w:val="16"/>
              </w:rPr>
            </w:pPr>
            <w:r w:rsidRPr="00E14102">
              <w:rPr>
                <w:color w:val="000000" w:themeColor="text1"/>
                <w:sz w:val="16"/>
                <w:szCs w:val="16"/>
              </w:rPr>
              <w:t>67%</w:t>
            </w:r>
          </w:p>
        </w:tc>
      </w:tr>
      <w:tr w:rsidR="00E3599D" w:rsidRPr="00E14102" w14:paraId="1AE60B8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25F5C9"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2D05A" w14:textId="77777777" w:rsidR="002808C2" w:rsidRPr="00E14102" w:rsidRDefault="002808C2" w:rsidP="00E14102">
            <w:pPr>
              <w:jc w:val="both"/>
              <w:rPr>
                <w:color w:val="000000" w:themeColor="text1"/>
                <w:sz w:val="16"/>
                <w:szCs w:val="16"/>
              </w:rPr>
            </w:pPr>
            <w:r w:rsidRPr="00E14102">
              <w:rPr>
                <w:color w:val="000000" w:themeColor="text1"/>
                <w:sz w:val="16"/>
                <w:szCs w:val="16"/>
              </w:rPr>
              <w:t>Д. Гильзы орудийные (в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FC63D" w14:textId="77777777" w:rsidR="002808C2" w:rsidRPr="00E14102" w:rsidRDefault="002808C2" w:rsidP="00E14102">
            <w:pPr>
              <w:jc w:val="both"/>
              <w:rPr>
                <w:color w:val="000000" w:themeColor="text1"/>
                <w:sz w:val="16"/>
                <w:szCs w:val="16"/>
              </w:rPr>
            </w:pPr>
            <w:r w:rsidRPr="00E14102">
              <w:rPr>
                <w:color w:val="000000" w:themeColor="text1"/>
                <w:sz w:val="16"/>
                <w:szCs w:val="16"/>
              </w:rPr>
              <w:t>1867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4FF2F" w14:textId="77777777" w:rsidR="002808C2" w:rsidRPr="00E14102" w:rsidRDefault="002808C2" w:rsidP="00E14102">
            <w:pPr>
              <w:jc w:val="both"/>
              <w:rPr>
                <w:color w:val="000000" w:themeColor="text1"/>
                <w:sz w:val="16"/>
                <w:szCs w:val="16"/>
              </w:rPr>
            </w:pPr>
            <w:r w:rsidRPr="00E14102">
              <w:rPr>
                <w:color w:val="000000" w:themeColor="text1"/>
                <w:sz w:val="16"/>
                <w:szCs w:val="16"/>
              </w:rPr>
              <w:t>1865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E6C90" w14:textId="77777777" w:rsidR="002808C2" w:rsidRPr="00E14102" w:rsidRDefault="002808C2" w:rsidP="00E14102">
            <w:pPr>
              <w:jc w:val="both"/>
              <w:rPr>
                <w:color w:val="000000" w:themeColor="text1"/>
                <w:sz w:val="16"/>
                <w:szCs w:val="16"/>
              </w:rPr>
            </w:pPr>
            <w:r w:rsidRPr="00E14102">
              <w:rPr>
                <w:color w:val="000000" w:themeColor="text1"/>
                <w:sz w:val="16"/>
                <w:szCs w:val="16"/>
              </w:rPr>
              <w:t>807,5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7BCE2" w14:textId="77777777" w:rsidR="002808C2" w:rsidRPr="00E14102" w:rsidRDefault="002808C2" w:rsidP="00E14102">
            <w:pPr>
              <w:jc w:val="both"/>
              <w:rPr>
                <w:color w:val="000000" w:themeColor="text1"/>
                <w:sz w:val="16"/>
                <w:szCs w:val="16"/>
              </w:rPr>
            </w:pPr>
            <w:r w:rsidRPr="00E14102">
              <w:rPr>
                <w:color w:val="000000" w:themeColor="text1"/>
                <w:sz w:val="16"/>
                <w:szCs w:val="16"/>
              </w:rPr>
              <w:t>43%</w:t>
            </w:r>
          </w:p>
        </w:tc>
      </w:tr>
      <w:tr w:rsidR="00E3599D" w:rsidRPr="00E14102" w14:paraId="6CED590D"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0654592A" w14:textId="77777777" w:rsidR="002808C2" w:rsidRPr="00E14102" w:rsidRDefault="002808C2" w:rsidP="00E14102">
            <w:pPr>
              <w:jc w:val="both"/>
              <w:rPr>
                <w:color w:val="000000" w:themeColor="text1"/>
                <w:sz w:val="16"/>
                <w:szCs w:val="16"/>
              </w:rPr>
            </w:pPr>
            <w:r w:rsidRPr="00E14102">
              <w:rPr>
                <w:color w:val="000000" w:themeColor="text1"/>
                <w:sz w:val="16"/>
                <w:szCs w:val="16"/>
              </w:rPr>
              <w:t>ВЗРЫВАТЕЛИ АВИАЦИОННЫЕ</w:t>
            </w:r>
          </w:p>
        </w:tc>
      </w:tr>
      <w:tr w:rsidR="00E3599D" w:rsidRPr="00E14102" w14:paraId="19FE484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7E3BC9"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875CB" w14:textId="77777777" w:rsidR="002808C2" w:rsidRPr="00E14102" w:rsidRDefault="002808C2" w:rsidP="00E14102">
            <w:pPr>
              <w:jc w:val="both"/>
              <w:rPr>
                <w:color w:val="000000" w:themeColor="text1"/>
                <w:sz w:val="16"/>
                <w:szCs w:val="16"/>
              </w:rPr>
            </w:pPr>
            <w:r w:rsidRPr="00E14102">
              <w:rPr>
                <w:color w:val="000000" w:themeColor="text1"/>
                <w:sz w:val="16"/>
                <w:szCs w:val="16"/>
              </w:rPr>
              <w:t>АГМ-1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BDC8B" w14:textId="77777777" w:rsidR="002808C2" w:rsidRPr="00E14102" w:rsidRDefault="002808C2" w:rsidP="00E14102">
            <w:pPr>
              <w:jc w:val="both"/>
              <w:rPr>
                <w:color w:val="000000" w:themeColor="text1"/>
                <w:sz w:val="16"/>
                <w:szCs w:val="16"/>
              </w:rPr>
            </w:pPr>
            <w:r w:rsidRPr="00E14102">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87446" w14:textId="77777777" w:rsidR="002808C2" w:rsidRPr="00E14102" w:rsidRDefault="002808C2" w:rsidP="00E14102">
            <w:pPr>
              <w:jc w:val="both"/>
              <w:rPr>
                <w:color w:val="000000" w:themeColor="text1"/>
                <w:sz w:val="16"/>
                <w:szCs w:val="16"/>
              </w:rPr>
            </w:pPr>
            <w:r w:rsidRPr="00E14102">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1689D" w14:textId="77777777" w:rsidR="002808C2" w:rsidRPr="00E14102" w:rsidRDefault="002808C2" w:rsidP="00E14102">
            <w:pPr>
              <w:jc w:val="both"/>
              <w:rPr>
                <w:color w:val="000000" w:themeColor="text1"/>
                <w:sz w:val="16"/>
                <w:szCs w:val="16"/>
              </w:rPr>
            </w:pPr>
            <w:r w:rsidRPr="00E14102">
              <w:rPr>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717F1" w14:textId="77777777" w:rsidR="002808C2" w:rsidRPr="00E14102" w:rsidRDefault="002808C2" w:rsidP="00E14102">
            <w:pPr>
              <w:jc w:val="both"/>
              <w:rPr>
                <w:color w:val="000000" w:themeColor="text1"/>
                <w:sz w:val="16"/>
                <w:szCs w:val="16"/>
              </w:rPr>
            </w:pPr>
            <w:r w:rsidRPr="00E14102">
              <w:rPr>
                <w:color w:val="000000" w:themeColor="text1"/>
                <w:sz w:val="16"/>
                <w:szCs w:val="16"/>
              </w:rPr>
              <w:t>103%</w:t>
            </w:r>
          </w:p>
        </w:tc>
      </w:tr>
      <w:tr w:rsidR="00E3599D" w:rsidRPr="00E14102" w14:paraId="17F59AF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278975"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13A26" w14:textId="77777777" w:rsidR="002808C2" w:rsidRPr="00E14102" w:rsidRDefault="002808C2" w:rsidP="00E14102">
            <w:pPr>
              <w:jc w:val="both"/>
              <w:rPr>
                <w:color w:val="000000" w:themeColor="text1"/>
                <w:sz w:val="16"/>
                <w:szCs w:val="16"/>
              </w:rPr>
            </w:pPr>
            <w:r w:rsidRPr="00E14102">
              <w:rPr>
                <w:color w:val="000000" w:themeColor="text1"/>
                <w:sz w:val="16"/>
                <w:szCs w:val="16"/>
              </w:rPr>
              <w:t>АГМ-3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0AC2E" w14:textId="77777777" w:rsidR="002808C2" w:rsidRPr="00E14102" w:rsidRDefault="002808C2" w:rsidP="00E14102">
            <w:pPr>
              <w:jc w:val="both"/>
              <w:rPr>
                <w:color w:val="000000" w:themeColor="text1"/>
                <w:sz w:val="16"/>
                <w:szCs w:val="16"/>
              </w:rPr>
            </w:pPr>
            <w:r w:rsidRPr="00E14102">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A3B87" w14:textId="77777777" w:rsidR="002808C2" w:rsidRPr="00E14102" w:rsidRDefault="002808C2" w:rsidP="00E14102">
            <w:pPr>
              <w:jc w:val="both"/>
              <w:rPr>
                <w:color w:val="000000" w:themeColor="text1"/>
                <w:sz w:val="16"/>
                <w:szCs w:val="16"/>
              </w:rPr>
            </w:pPr>
            <w:r w:rsidRPr="00E14102">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A6336" w14:textId="77777777" w:rsidR="002808C2" w:rsidRPr="00E14102" w:rsidRDefault="002808C2" w:rsidP="00E14102">
            <w:pPr>
              <w:jc w:val="both"/>
              <w:rPr>
                <w:color w:val="000000" w:themeColor="text1"/>
                <w:sz w:val="16"/>
                <w:szCs w:val="16"/>
              </w:rPr>
            </w:pPr>
            <w:r w:rsidRPr="00E14102">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CFF28"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2F916AE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47C6AF"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DFB33" w14:textId="77777777" w:rsidR="002808C2" w:rsidRPr="00E14102" w:rsidRDefault="002808C2" w:rsidP="00E14102">
            <w:pPr>
              <w:jc w:val="both"/>
              <w:rPr>
                <w:color w:val="000000" w:themeColor="text1"/>
                <w:sz w:val="16"/>
                <w:szCs w:val="16"/>
              </w:rPr>
            </w:pPr>
            <w:r w:rsidRPr="00E14102">
              <w:rPr>
                <w:color w:val="000000" w:themeColor="text1"/>
                <w:sz w:val="16"/>
                <w:szCs w:val="16"/>
              </w:rPr>
              <w:t>АДП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A7BEB" w14:textId="77777777" w:rsidR="002808C2" w:rsidRPr="00E14102" w:rsidRDefault="002808C2" w:rsidP="00E14102">
            <w:pPr>
              <w:jc w:val="both"/>
              <w:rPr>
                <w:color w:val="000000" w:themeColor="text1"/>
                <w:sz w:val="16"/>
                <w:szCs w:val="16"/>
              </w:rPr>
            </w:pPr>
            <w:r w:rsidRPr="00E14102">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0962C" w14:textId="77777777" w:rsidR="002808C2" w:rsidRPr="00E14102" w:rsidRDefault="002808C2" w:rsidP="00E14102">
            <w:pPr>
              <w:jc w:val="both"/>
              <w:rPr>
                <w:color w:val="000000" w:themeColor="text1"/>
                <w:sz w:val="16"/>
                <w:szCs w:val="16"/>
              </w:rPr>
            </w:pPr>
            <w:r w:rsidRPr="00E14102">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E11D8" w14:textId="77777777" w:rsidR="002808C2" w:rsidRPr="00E14102" w:rsidRDefault="002808C2" w:rsidP="00E14102">
            <w:pPr>
              <w:jc w:val="both"/>
              <w:rPr>
                <w:color w:val="000000" w:themeColor="text1"/>
                <w:sz w:val="16"/>
                <w:szCs w:val="16"/>
              </w:rPr>
            </w:pPr>
            <w:r w:rsidRPr="00E14102">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F489C"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39F5C56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BEFED9" w14:textId="77777777" w:rsidR="002808C2" w:rsidRPr="00E14102" w:rsidRDefault="002808C2"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3D05A" w14:textId="77777777" w:rsidR="002808C2" w:rsidRPr="00E14102" w:rsidRDefault="002808C2" w:rsidP="00E14102">
            <w:pPr>
              <w:jc w:val="both"/>
              <w:rPr>
                <w:color w:val="000000" w:themeColor="text1"/>
                <w:sz w:val="16"/>
                <w:szCs w:val="16"/>
              </w:rPr>
            </w:pPr>
            <w:r w:rsidRPr="00E14102">
              <w:rPr>
                <w:color w:val="000000" w:themeColor="text1"/>
                <w:sz w:val="16"/>
                <w:szCs w:val="16"/>
              </w:rPr>
              <w:t>АПУВ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D00EA" w14:textId="77777777" w:rsidR="002808C2" w:rsidRPr="00E14102" w:rsidRDefault="002808C2" w:rsidP="00E14102">
            <w:pPr>
              <w:jc w:val="both"/>
              <w:rPr>
                <w:color w:val="000000" w:themeColor="text1"/>
                <w:sz w:val="16"/>
                <w:szCs w:val="16"/>
              </w:rPr>
            </w:pPr>
            <w:r w:rsidRPr="00E14102">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8B9EB" w14:textId="77777777" w:rsidR="002808C2" w:rsidRPr="00E14102" w:rsidRDefault="002808C2" w:rsidP="00E14102">
            <w:pPr>
              <w:jc w:val="both"/>
              <w:rPr>
                <w:color w:val="000000" w:themeColor="text1"/>
                <w:sz w:val="16"/>
                <w:szCs w:val="16"/>
              </w:rPr>
            </w:pPr>
            <w:r w:rsidRPr="00E14102">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14CF3" w14:textId="77777777" w:rsidR="002808C2" w:rsidRPr="00E14102" w:rsidRDefault="002808C2"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20BA7" w14:textId="77777777" w:rsidR="002808C2" w:rsidRPr="00E14102" w:rsidRDefault="002808C2" w:rsidP="00E14102">
            <w:pPr>
              <w:jc w:val="both"/>
              <w:rPr>
                <w:color w:val="000000" w:themeColor="text1"/>
                <w:sz w:val="16"/>
                <w:szCs w:val="16"/>
              </w:rPr>
            </w:pPr>
            <w:r w:rsidRPr="00E14102">
              <w:rPr>
                <w:color w:val="000000" w:themeColor="text1"/>
                <w:sz w:val="16"/>
                <w:szCs w:val="16"/>
              </w:rPr>
              <w:t>0%</w:t>
            </w:r>
          </w:p>
        </w:tc>
      </w:tr>
      <w:tr w:rsidR="00E3599D" w:rsidRPr="00E14102" w14:paraId="04C58FD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A3FCE8" w14:textId="77777777" w:rsidR="002808C2" w:rsidRPr="00E14102" w:rsidRDefault="002808C2"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A11FE" w14:textId="77777777" w:rsidR="002808C2" w:rsidRPr="00E14102" w:rsidRDefault="002808C2" w:rsidP="00E14102">
            <w:pPr>
              <w:jc w:val="both"/>
              <w:rPr>
                <w:color w:val="000000" w:themeColor="text1"/>
                <w:sz w:val="16"/>
                <w:szCs w:val="16"/>
              </w:rPr>
            </w:pPr>
            <w:r w:rsidRPr="00E14102">
              <w:rPr>
                <w:color w:val="000000" w:themeColor="text1"/>
                <w:sz w:val="16"/>
                <w:szCs w:val="16"/>
              </w:rPr>
              <w:t>АГДТ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12293" w14:textId="77777777" w:rsidR="002808C2" w:rsidRPr="00E14102" w:rsidRDefault="002808C2"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8516C" w14:textId="77777777" w:rsidR="002808C2" w:rsidRPr="00E14102" w:rsidRDefault="002808C2"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864EB" w14:textId="77777777" w:rsidR="002808C2" w:rsidRPr="00E14102" w:rsidRDefault="002808C2"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44632" w14:textId="77777777" w:rsidR="002808C2" w:rsidRPr="00E14102" w:rsidRDefault="002808C2" w:rsidP="00E14102">
            <w:pPr>
              <w:jc w:val="both"/>
              <w:rPr>
                <w:color w:val="000000" w:themeColor="text1"/>
                <w:sz w:val="16"/>
                <w:szCs w:val="16"/>
              </w:rPr>
            </w:pPr>
            <w:r w:rsidRPr="00E14102">
              <w:rPr>
                <w:color w:val="000000" w:themeColor="text1"/>
                <w:sz w:val="16"/>
                <w:szCs w:val="16"/>
              </w:rPr>
              <w:t>100%</w:t>
            </w:r>
          </w:p>
        </w:tc>
      </w:tr>
      <w:tr w:rsidR="00E3599D" w:rsidRPr="00E14102" w14:paraId="37B114C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2BA38A" w14:textId="77777777" w:rsidR="002808C2" w:rsidRPr="00E14102" w:rsidRDefault="002808C2" w:rsidP="00E14102">
            <w:pPr>
              <w:jc w:val="both"/>
              <w:rPr>
                <w:color w:val="000000" w:themeColor="text1"/>
                <w:sz w:val="16"/>
                <w:szCs w:val="16"/>
              </w:rPr>
            </w:pPr>
            <w:r w:rsidRPr="00E1410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DBD34" w14:textId="77777777" w:rsidR="002808C2" w:rsidRPr="00E14102" w:rsidRDefault="002808C2" w:rsidP="00E14102">
            <w:pPr>
              <w:jc w:val="both"/>
              <w:rPr>
                <w:color w:val="000000" w:themeColor="text1"/>
                <w:sz w:val="16"/>
                <w:szCs w:val="16"/>
              </w:rPr>
            </w:pPr>
            <w:r w:rsidRPr="00E14102">
              <w:rPr>
                <w:color w:val="000000" w:themeColor="text1"/>
                <w:sz w:val="16"/>
                <w:szCs w:val="16"/>
              </w:rPr>
              <w:t>АГП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06D29" w14:textId="77777777" w:rsidR="002808C2" w:rsidRPr="00E14102" w:rsidRDefault="002808C2" w:rsidP="00E14102">
            <w:pPr>
              <w:jc w:val="both"/>
              <w:rPr>
                <w:color w:val="000000" w:themeColor="text1"/>
                <w:sz w:val="16"/>
                <w:szCs w:val="16"/>
              </w:rPr>
            </w:pPr>
            <w:r w:rsidRPr="00E1410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8AA64" w14:textId="77777777" w:rsidR="002808C2" w:rsidRPr="00E14102" w:rsidRDefault="002808C2" w:rsidP="00E14102">
            <w:pPr>
              <w:jc w:val="both"/>
              <w:rPr>
                <w:color w:val="000000" w:themeColor="text1"/>
                <w:sz w:val="16"/>
                <w:szCs w:val="16"/>
              </w:rPr>
            </w:pPr>
            <w:r w:rsidRPr="00E1410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D98C5" w14:textId="77777777" w:rsidR="002808C2" w:rsidRPr="00E14102" w:rsidRDefault="002808C2" w:rsidP="00E14102">
            <w:pPr>
              <w:jc w:val="both"/>
              <w:rPr>
                <w:color w:val="000000" w:themeColor="text1"/>
                <w:sz w:val="16"/>
                <w:szCs w:val="16"/>
              </w:rPr>
            </w:pPr>
            <w:r w:rsidRPr="00E14102">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A7A43" w14:textId="77777777" w:rsidR="002808C2" w:rsidRPr="00E14102" w:rsidRDefault="002808C2" w:rsidP="00E14102">
            <w:pPr>
              <w:jc w:val="both"/>
              <w:rPr>
                <w:color w:val="000000" w:themeColor="text1"/>
                <w:sz w:val="16"/>
                <w:szCs w:val="16"/>
              </w:rPr>
            </w:pPr>
            <w:r w:rsidRPr="00E14102">
              <w:rPr>
                <w:color w:val="000000" w:themeColor="text1"/>
                <w:sz w:val="16"/>
                <w:szCs w:val="16"/>
              </w:rPr>
              <w:t>117%</w:t>
            </w:r>
          </w:p>
        </w:tc>
      </w:tr>
      <w:tr w:rsidR="00E3599D" w:rsidRPr="00E14102" w14:paraId="3928F75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64E10"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D91C2"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авиавзрывателей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D8010" w14:textId="77777777" w:rsidR="002808C2" w:rsidRPr="00E14102" w:rsidRDefault="002808C2" w:rsidP="00E14102">
            <w:pPr>
              <w:jc w:val="both"/>
              <w:rPr>
                <w:color w:val="000000" w:themeColor="text1"/>
                <w:sz w:val="16"/>
                <w:szCs w:val="16"/>
              </w:rPr>
            </w:pPr>
            <w:r w:rsidRPr="00E14102">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6D5AF" w14:textId="77777777" w:rsidR="002808C2" w:rsidRPr="00E14102" w:rsidRDefault="002808C2" w:rsidP="00E14102">
            <w:pPr>
              <w:jc w:val="both"/>
              <w:rPr>
                <w:color w:val="000000" w:themeColor="text1"/>
                <w:sz w:val="16"/>
                <w:szCs w:val="16"/>
              </w:rPr>
            </w:pPr>
            <w:r w:rsidRPr="00E14102">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05564" w14:textId="77777777" w:rsidR="002808C2" w:rsidRPr="00E14102" w:rsidRDefault="002808C2" w:rsidP="00E14102">
            <w:pPr>
              <w:jc w:val="both"/>
              <w:rPr>
                <w:color w:val="000000" w:themeColor="text1"/>
                <w:sz w:val="16"/>
                <w:szCs w:val="16"/>
              </w:rPr>
            </w:pPr>
            <w:r w:rsidRPr="00E14102">
              <w:rPr>
                <w:color w:val="000000" w:themeColor="text1"/>
                <w:sz w:val="16"/>
                <w:szCs w:val="16"/>
              </w:rPr>
              <w:t>333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8CDB8" w14:textId="77777777" w:rsidR="002808C2" w:rsidRPr="00E14102" w:rsidRDefault="002808C2" w:rsidP="00E14102">
            <w:pPr>
              <w:jc w:val="both"/>
              <w:rPr>
                <w:color w:val="000000" w:themeColor="text1"/>
                <w:sz w:val="16"/>
                <w:szCs w:val="16"/>
              </w:rPr>
            </w:pPr>
            <w:r w:rsidRPr="00E14102">
              <w:rPr>
                <w:color w:val="000000" w:themeColor="text1"/>
                <w:sz w:val="16"/>
                <w:szCs w:val="16"/>
              </w:rPr>
              <w:t>95%</w:t>
            </w:r>
          </w:p>
        </w:tc>
      </w:tr>
      <w:tr w:rsidR="00E3599D" w:rsidRPr="00E14102" w14:paraId="5A009458"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3A69DCC" w14:textId="77777777" w:rsidR="002808C2" w:rsidRPr="00E14102" w:rsidRDefault="002808C2" w:rsidP="00E14102">
            <w:pPr>
              <w:jc w:val="both"/>
              <w:rPr>
                <w:color w:val="000000" w:themeColor="text1"/>
                <w:sz w:val="16"/>
                <w:szCs w:val="16"/>
              </w:rPr>
            </w:pPr>
            <w:r w:rsidRPr="00E14102">
              <w:rPr>
                <w:color w:val="000000" w:themeColor="text1"/>
                <w:sz w:val="16"/>
                <w:szCs w:val="16"/>
              </w:rPr>
              <w:t>ТРУБКИ ДИСТАНЦИОННЫЕ (в тыс.)</w:t>
            </w:r>
          </w:p>
        </w:tc>
      </w:tr>
      <w:tr w:rsidR="00E3599D" w:rsidRPr="00E14102" w14:paraId="1562496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47C9E9" w14:textId="77777777" w:rsidR="002808C2" w:rsidRPr="00E14102" w:rsidRDefault="002808C2"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9D698" w14:textId="77777777" w:rsidR="002808C2" w:rsidRPr="00E14102" w:rsidRDefault="002808C2" w:rsidP="00E14102">
            <w:pPr>
              <w:jc w:val="both"/>
              <w:rPr>
                <w:color w:val="000000" w:themeColor="text1"/>
                <w:sz w:val="16"/>
                <w:szCs w:val="16"/>
              </w:rPr>
            </w:pPr>
            <w:r w:rsidRPr="00E14102">
              <w:rPr>
                <w:color w:val="000000" w:themeColor="text1"/>
                <w:sz w:val="16"/>
                <w:szCs w:val="16"/>
              </w:rPr>
              <w:t>Пороховая 3-х кольцевая Т-3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A7515" w14:textId="77777777" w:rsidR="002808C2" w:rsidRPr="00E14102" w:rsidRDefault="002808C2" w:rsidP="00E14102">
            <w:pPr>
              <w:jc w:val="both"/>
              <w:rPr>
                <w:color w:val="000000" w:themeColor="text1"/>
                <w:sz w:val="16"/>
                <w:szCs w:val="16"/>
              </w:rPr>
            </w:pPr>
            <w:r w:rsidRPr="00E14102">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AAE1A" w14:textId="77777777" w:rsidR="002808C2" w:rsidRPr="00E14102" w:rsidRDefault="002808C2" w:rsidP="00E14102">
            <w:pPr>
              <w:jc w:val="both"/>
              <w:rPr>
                <w:color w:val="000000" w:themeColor="text1"/>
                <w:sz w:val="16"/>
                <w:szCs w:val="16"/>
              </w:rPr>
            </w:pPr>
            <w:r w:rsidRPr="00E14102">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5DE82" w14:textId="77777777" w:rsidR="002808C2" w:rsidRPr="00E14102" w:rsidRDefault="002808C2" w:rsidP="00E14102">
            <w:pPr>
              <w:jc w:val="both"/>
              <w:rPr>
                <w:color w:val="000000" w:themeColor="text1"/>
                <w:sz w:val="16"/>
                <w:szCs w:val="16"/>
              </w:rPr>
            </w:pPr>
            <w:r w:rsidRPr="00E14102">
              <w:rPr>
                <w:color w:val="000000" w:themeColor="text1"/>
                <w:sz w:val="16"/>
                <w:szCs w:val="16"/>
              </w:rPr>
              <w:t>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5EA82" w14:textId="77777777" w:rsidR="002808C2" w:rsidRPr="00E14102" w:rsidRDefault="002808C2" w:rsidP="00E14102">
            <w:pPr>
              <w:jc w:val="both"/>
              <w:rPr>
                <w:color w:val="000000" w:themeColor="text1"/>
                <w:sz w:val="16"/>
                <w:szCs w:val="16"/>
              </w:rPr>
            </w:pPr>
            <w:r w:rsidRPr="00E14102">
              <w:rPr>
                <w:color w:val="000000" w:themeColor="text1"/>
                <w:sz w:val="16"/>
                <w:szCs w:val="16"/>
              </w:rPr>
              <w:t>122%</w:t>
            </w:r>
          </w:p>
        </w:tc>
      </w:tr>
      <w:tr w:rsidR="00E3599D" w:rsidRPr="00E14102" w14:paraId="5EDE5809"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A7D062" w14:textId="77777777" w:rsidR="002808C2" w:rsidRPr="00E14102" w:rsidRDefault="002808C2"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22E20" w14:textId="77777777" w:rsidR="002808C2" w:rsidRPr="00E14102" w:rsidRDefault="002808C2" w:rsidP="00E14102">
            <w:pPr>
              <w:jc w:val="both"/>
              <w:rPr>
                <w:color w:val="000000" w:themeColor="text1"/>
                <w:sz w:val="16"/>
                <w:szCs w:val="16"/>
              </w:rPr>
            </w:pPr>
            <w:r w:rsidRPr="00E14102">
              <w:rPr>
                <w:color w:val="000000" w:themeColor="text1"/>
                <w:sz w:val="16"/>
                <w:szCs w:val="16"/>
              </w:rPr>
              <w:t>Механическая МГТ (Георгиева)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0321A" w14:textId="77777777" w:rsidR="002808C2" w:rsidRPr="00E14102" w:rsidRDefault="002808C2" w:rsidP="00E14102">
            <w:pPr>
              <w:jc w:val="both"/>
              <w:rPr>
                <w:color w:val="000000" w:themeColor="text1"/>
                <w:sz w:val="16"/>
                <w:szCs w:val="16"/>
              </w:rPr>
            </w:pPr>
            <w:r w:rsidRPr="00E14102">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EFD4A" w14:textId="77777777" w:rsidR="002808C2" w:rsidRPr="00E14102" w:rsidRDefault="002808C2" w:rsidP="00E14102">
            <w:pPr>
              <w:jc w:val="both"/>
              <w:rPr>
                <w:color w:val="000000" w:themeColor="text1"/>
                <w:sz w:val="16"/>
                <w:szCs w:val="16"/>
              </w:rPr>
            </w:pPr>
            <w:r w:rsidRPr="00E14102">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7E4A9" w14:textId="77777777" w:rsidR="002808C2" w:rsidRPr="00E14102" w:rsidRDefault="002808C2"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C0D12" w14:textId="77777777" w:rsidR="002808C2" w:rsidRPr="00E14102" w:rsidRDefault="002808C2" w:rsidP="00E14102">
            <w:pPr>
              <w:jc w:val="both"/>
              <w:rPr>
                <w:color w:val="000000" w:themeColor="text1"/>
                <w:sz w:val="16"/>
                <w:szCs w:val="16"/>
              </w:rPr>
            </w:pPr>
            <w:r w:rsidRPr="00E14102">
              <w:rPr>
                <w:color w:val="000000" w:themeColor="text1"/>
                <w:sz w:val="16"/>
                <w:szCs w:val="16"/>
              </w:rPr>
              <w:t>—</w:t>
            </w:r>
          </w:p>
        </w:tc>
      </w:tr>
      <w:tr w:rsidR="00E3599D" w:rsidRPr="00E14102" w14:paraId="7553FF3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E42BB6" w14:textId="77777777" w:rsidR="002808C2" w:rsidRPr="00E14102" w:rsidRDefault="002808C2"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DA1CF" w14:textId="77777777" w:rsidR="002808C2" w:rsidRPr="00E14102" w:rsidRDefault="002808C2" w:rsidP="00E14102">
            <w:pPr>
              <w:jc w:val="both"/>
              <w:rPr>
                <w:color w:val="000000" w:themeColor="text1"/>
                <w:sz w:val="16"/>
                <w:szCs w:val="16"/>
              </w:rPr>
            </w:pPr>
            <w:r w:rsidRPr="00E14102">
              <w:rPr>
                <w:color w:val="000000" w:themeColor="text1"/>
                <w:sz w:val="16"/>
                <w:szCs w:val="16"/>
              </w:rPr>
              <w:t>Механическая часов[ая] ТМ</w:t>
            </w:r>
            <w:r w:rsidRPr="00E14102">
              <w:rPr>
                <w:color w:val="000000" w:themeColor="text1"/>
                <w:sz w:val="16"/>
                <w:szCs w:val="16"/>
              </w:rPr>
              <w:noBreakHyphen/>
              <w:t>1 (Карп[ова]), ТМ</w:t>
            </w:r>
            <w:r w:rsidRPr="00E14102">
              <w:rPr>
                <w:color w:val="000000" w:themeColor="text1"/>
                <w:sz w:val="16"/>
                <w:szCs w:val="16"/>
              </w:rPr>
              <w:noBreakHyphen/>
              <w:t>2 и ТМ</w:t>
            </w:r>
            <w:r w:rsidRPr="00E14102">
              <w:rPr>
                <w:color w:val="000000" w:themeColor="text1"/>
                <w:sz w:val="16"/>
                <w:szCs w:val="16"/>
              </w:rPr>
              <w:noBreakHyphen/>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560FC" w14:textId="77777777" w:rsidR="002808C2" w:rsidRPr="00E14102" w:rsidRDefault="002808C2" w:rsidP="00E14102">
            <w:pPr>
              <w:jc w:val="both"/>
              <w:rPr>
                <w:color w:val="000000" w:themeColor="text1"/>
                <w:sz w:val="16"/>
                <w:szCs w:val="16"/>
              </w:rPr>
            </w:pPr>
            <w:r w:rsidRPr="00E14102">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674C4" w14:textId="77777777" w:rsidR="002808C2" w:rsidRPr="00E14102" w:rsidRDefault="002808C2" w:rsidP="00E14102">
            <w:pPr>
              <w:jc w:val="both"/>
              <w:rPr>
                <w:color w:val="000000" w:themeColor="text1"/>
                <w:sz w:val="16"/>
                <w:szCs w:val="16"/>
              </w:rPr>
            </w:pPr>
            <w:r w:rsidRPr="00E14102">
              <w:rPr>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A7F83" w14:textId="77777777" w:rsidR="002808C2" w:rsidRPr="00E14102" w:rsidRDefault="002808C2" w:rsidP="00E14102">
            <w:pPr>
              <w:jc w:val="both"/>
              <w:rPr>
                <w:color w:val="000000" w:themeColor="text1"/>
                <w:sz w:val="16"/>
                <w:szCs w:val="16"/>
              </w:rPr>
            </w:pPr>
            <w:r w:rsidRPr="00E14102">
              <w:rPr>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A852E" w14:textId="77777777" w:rsidR="002808C2" w:rsidRPr="00E14102" w:rsidRDefault="002808C2" w:rsidP="00E14102">
            <w:pPr>
              <w:jc w:val="both"/>
              <w:rPr>
                <w:color w:val="000000" w:themeColor="text1"/>
                <w:sz w:val="16"/>
                <w:szCs w:val="16"/>
              </w:rPr>
            </w:pPr>
            <w:r w:rsidRPr="00E14102">
              <w:rPr>
                <w:color w:val="000000" w:themeColor="text1"/>
                <w:sz w:val="16"/>
                <w:szCs w:val="16"/>
              </w:rPr>
              <w:t>11%</w:t>
            </w:r>
          </w:p>
        </w:tc>
      </w:tr>
      <w:tr w:rsidR="00E3599D" w:rsidRPr="00E14102" w14:paraId="4FA7C02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72C217"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CAF6A" w14:textId="77777777" w:rsidR="002808C2" w:rsidRPr="00E14102" w:rsidRDefault="002808C2" w:rsidP="00E14102">
            <w:pPr>
              <w:jc w:val="both"/>
              <w:rPr>
                <w:color w:val="000000" w:themeColor="text1"/>
                <w:sz w:val="16"/>
                <w:szCs w:val="16"/>
              </w:rPr>
            </w:pPr>
            <w:r w:rsidRPr="00E14102">
              <w:rPr>
                <w:color w:val="000000" w:themeColor="text1"/>
                <w:sz w:val="16"/>
                <w:szCs w:val="16"/>
              </w:rPr>
              <w:t>Итого дистанционных трубок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26526" w14:textId="77777777" w:rsidR="002808C2" w:rsidRPr="00E14102" w:rsidRDefault="002808C2" w:rsidP="00E14102">
            <w:pPr>
              <w:jc w:val="both"/>
              <w:rPr>
                <w:color w:val="000000" w:themeColor="text1"/>
                <w:sz w:val="16"/>
                <w:szCs w:val="16"/>
              </w:rPr>
            </w:pPr>
            <w:r w:rsidRPr="00E14102">
              <w:rPr>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F5586" w14:textId="77777777" w:rsidR="002808C2" w:rsidRPr="00E14102" w:rsidRDefault="002808C2" w:rsidP="00E14102">
            <w:pPr>
              <w:jc w:val="both"/>
              <w:rPr>
                <w:color w:val="000000" w:themeColor="text1"/>
                <w:sz w:val="16"/>
                <w:szCs w:val="16"/>
              </w:rPr>
            </w:pPr>
            <w:r w:rsidRPr="00E14102">
              <w:rPr>
                <w:color w:val="000000" w:themeColor="text1"/>
                <w:sz w:val="16"/>
                <w:szCs w:val="16"/>
              </w:rPr>
              <w:t>652,2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0ACC0" w14:textId="77777777" w:rsidR="002808C2" w:rsidRPr="00E14102" w:rsidRDefault="002808C2" w:rsidP="00E14102">
            <w:pPr>
              <w:jc w:val="both"/>
              <w:rPr>
                <w:color w:val="000000" w:themeColor="text1"/>
                <w:sz w:val="16"/>
                <w:szCs w:val="16"/>
              </w:rPr>
            </w:pPr>
            <w:r w:rsidRPr="00E14102">
              <w:rPr>
                <w:color w:val="000000" w:themeColor="text1"/>
                <w:sz w:val="16"/>
                <w:szCs w:val="16"/>
              </w:rPr>
              <w:t>490,2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02EFE" w14:textId="77777777" w:rsidR="002808C2" w:rsidRPr="00E14102" w:rsidRDefault="002808C2" w:rsidP="00E14102">
            <w:pPr>
              <w:jc w:val="both"/>
              <w:rPr>
                <w:color w:val="000000" w:themeColor="text1"/>
                <w:sz w:val="16"/>
                <w:szCs w:val="16"/>
              </w:rPr>
            </w:pPr>
            <w:r w:rsidRPr="00E14102">
              <w:rPr>
                <w:color w:val="000000" w:themeColor="text1"/>
                <w:sz w:val="16"/>
                <w:szCs w:val="16"/>
              </w:rPr>
              <w:t>75%</w:t>
            </w:r>
          </w:p>
        </w:tc>
      </w:tr>
      <w:tr w:rsidR="00E3599D" w:rsidRPr="00E14102" w14:paraId="5727ACA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8492EE" w14:textId="77777777" w:rsidR="002808C2" w:rsidRPr="00E14102" w:rsidRDefault="002808C2"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595B9" w14:textId="77777777" w:rsidR="002808C2" w:rsidRPr="00E14102" w:rsidRDefault="002808C2" w:rsidP="00E14102">
            <w:pPr>
              <w:jc w:val="both"/>
              <w:rPr>
                <w:color w:val="000000" w:themeColor="text1"/>
                <w:sz w:val="16"/>
                <w:szCs w:val="16"/>
              </w:rPr>
            </w:pPr>
            <w:r w:rsidRPr="00E14102">
              <w:rPr>
                <w:color w:val="000000" w:themeColor="text1"/>
                <w:sz w:val="16"/>
                <w:szCs w:val="16"/>
              </w:rPr>
              <w:t>3. Порох (в тоннах)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D84FE" w14:textId="77777777" w:rsidR="002808C2" w:rsidRPr="00E14102" w:rsidRDefault="002808C2" w:rsidP="00E14102">
            <w:pPr>
              <w:jc w:val="both"/>
              <w:rPr>
                <w:color w:val="000000" w:themeColor="text1"/>
                <w:sz w:val="16"/>
                <w:szCs w:val="16"/>
              </w:rPr>
            </w:pPr>
            <w:r w:rsidRPr="00E14102">
              <w:rPr>
                <w:color w:val="000000" w:themeColor="text1"/>
                <w:sz w:val="16"/>
                <w:szCs w:val="16"/>
              </w:rPr>
              <w:t>5417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3D33F" w14:textId="77777777" w:rsidR="002808C2" w:rsidRPr="00E14102" w:rsidRDefault="002808C2" w:rsidP="00E14102">
            <w:pPr>
              <w:jc w:val="both"/>
              <w:rPr>
                <w:color w:val="000000" w:themeColor="text1"/>
                <w:sz w:val="16"/>
                <w:szCs w:val="16"/>
              </w:rPr>
            </w:pPr>
            <w:r w:rsidRPr="00E14102">
              <w:rPr>
                <w:color w:val="000000" w:themeColor="text1"/>
                <w:sz w:val="16"/>
                <w:szCs w:val="16"/>
              </w:rPr>
              <w:t>5417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C02F5" w14:textId="77777777" w:rsidR="002808C2" w:rsidRPr="00E14102" w:rsidRDefault="002808C2" w:rsidP="00E14102">
            <w:pPr>
              <w:jc w:val="both"/>
              <w:rPr>
                <w:color w:val="000000" w:themeColor="text1"/>
                <w:sz w:val="16"/>
                <w:szCs w:val="16"/>
              </w:rPr>
            </w:pPr>
            <w:r w:rsidRPr="00E14102">
              <w:rPr>
                <w:color w:val="000000" w:themeColor="text1"/>
                <w:sz w:val="16"/>
                <w:szCs w:val="16"/>
              </w:rPr>
              <w:t>4852,7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A6093" w14:textId="77777777" w:rsidR="002808C2" w:rsidRPr="00E14102" w:rsidRDefault="002808C2" w:rsidP="00E14102">
            <w:pPr>
              <w:jc w:val="both"/>
              <w:rPr>
                <w:color w:val="000000" w:themeColor="text1"/>
                <w:sz w:val="16"/>
                <w:szCs w:val="16"/>
              </w:rPr>
            </w:pPr>
            <w:r w:rsidRPr="00E14102">
              <w:rPr>
                <w:color w:val="000000" w:themeColor="text1"/>
                <w:sz w:val="16"/>
                <w:szCs w:val="16"/>
              </w:rPr>
              <w:t>90%</w:t>
            </w:r>
          </w:p>
        </w:tc>
      </w:tr>
    </w:tbl>
    <w:p w14:paraId="2816BCC3" w14:textId="77777777" w:rsidR="002808C2" w:rsidRPr="00E14102" w:rsidRDefault="002808C2" w:rsidP="00E14102">
      <w:pPr>
        <w:pStyle w:val="ad"/>
        <w:spacing w:before="0" w:after="0"/>
        <w:rPr>
          <w:rFonts w:ascii="Times New Roman" w:hAnsi="Times New Roman" w:cs="Times New Roman"/>
          <w:color w:val="000000" w:themeColor="text1"/>
          <w:sz w:val="16"/>
          <w:szCs w:val="16"/>
        </w:rPr>
      </w:pPr>
      <w:r w:rsidRPr="00E14102">
        <w:rPr>
          <w:rStyle w:val="a6"/>
          <w:rFonts w:ascii="Times New Roman" w:hAnsi="Times New Roman" w:cs="Times New Roman"/>
          <w:i w:val="0"/>
          <w:color w:val="000000" w:themeColor="text1"/>
          <w:sz w:val="16"/>
          <w:szCs w:val="16"/>
        </w:rPr>
        <w:t>Начальник Артиллерийского управления РККА Ефимов</w:t>
      </w:r>
    </w:p>
    <w:p w14:paraId="0B544CA0" w14:textId="77777777" w:rsidR="002808C2" w:rsidRPr="00E14102" w:rsidRDefault="002808C2" w:rsidP="00E14102">
      <w:pPr>
        <w:pStyle w:val="ad"/>
        <w:spacing w:before="0" w:after="0"/>
        <w:rPr>
          <w:rFonts w:ascii="Times New Roman" w:hAnsi="Times New Roman" w:cs="Times New Roman"/>
          <w:color w:val="000000" w:themeColor="text1"/>
          <w:sz w:val="16"/>
          <w:szCs w:val="16"/>
        </w:rPr>
      </w:pPr>
      <w:r w:rsidRPr="00E14102">
        <w:rPr>
          <w:rStyle w:val="a6"/>
          <w:rFonts w:ascii="Times New Roman" w:hAnsi="Times New Roman" w:cs="Times New Roman"/>
          <w:i w:val="0"/>
          <w:color w:val="000000" w:themeColor="text1"/>
          <w:sz w:val="16"/>
          <w:szCs w:val="16"/>
        </w:rPr>
        <w:t>Примечание:</w:t>
      </w:r>
    </w:p>
    <w:p w14:paraId="3C0C4A0D" w14:textId="77777777" w:rsidR="002808C2" w:rsidRPr="00E14102" w:rsidRDefault="002808C2" w:rsidP="00E14102">
      <w:pPr>
        <w:pStyle w:val="ad"/>
        <w:spacing w:before="0" w:after="0"/>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¹* Так в тексте.</w:t>
      </w:r>
    </w:p>
    <w:p w14:paraId="3E81A9D7" w14:textId="77777777" w:rsidR="002808C2" w:rsidRPr="00E14102" w:rsidRDefault="002808C2"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РГВА. Ф. 4. Оп. 14. Д. 1235. Л. 65-69. Подлинник (15328).</w:t>
      </w:r>
    </w:p>
    <w:p w14:paraId="0F5D8423" w14:textId="77777777" w:rsidR="002808C2" w:rsidRPr="00E14102" w:rsidRDefault="002808C2" w:rsidP="00E14102">
      <w:pPr>
        <w:pStyle w:val="rtejustify"/>
        <w:spacing w:before="0" w:after="0"/>
        <w:rPr>
          <w:rStyle w:val="a6"/>
          <w:bCs/>
          <w:i w:val="0"/>
          <w:color w:val="000000" w:themeColor="text1"/>
          <w:sz w:val="16"/>
          <w:szCs w:val="16"/>
        </w:rPr>
      </w:pPr>
    </w:p>
    <w:p w14:paraId="11A2DCD4" w14:textId="77777777" w:rsidR="002808C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FFE67A4" w14:textId="77777777" w:rsidR="002808C2" w:rsidRPr="00E14102" w:rsidRDefault="002808C2" w:rsidP="00E14102">
      <w:pPr>
        <w:autoSpaceDE w:val="0"/>
        <w:autoSpaceDN w:val="0"/>
        <w:adjustRightInd w:val="0"/>
        <w:jc w:val="both"/>
        <w:rPr>
          <w:iCs/>
          <w:color w:val="000000" w:themeColor="text1"/>
          <w:sz w:val="16"/>
          <w:szCs w:val="16"/>
        </w:rPr>
      </w:pPr>
    </w:p>
    <w:p w14:paraId="4DDAC203" w14:textId="77777777" w:rsidR="002808C2" w:rsidRPr="00E14102" w:rsidRDefault="002808C2" w:rsidP="00E14102">
      <w:pPr>
        <w:jc w:val="both"/>
        <w:rPr>
          <w:color w:val="000000" w:themeColor="text1"/>
          <w:sz w:val="16"/>
          <w:szCs w:val="16"/>
        </w:rPr>
      </w:pPr>
      <w:r w:rsidRPr="00E14102">
        <w:rPr>
          <w:color w:val="000000" w:themeColor="text1"/>
          <w:sz w:val="16"/>
          <w:szCs w:val="16"/>
        </w:rPr>
        <w:t>10 января 1935 г. в помещении конструкторского бюро "Хаукер" в Кингстоне собралась макетная комиссия по будущему Харрикейну.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5C51D936" w14:textId="77777777" w:rsidR="002808C2" w:rsidRPr="00E14102" w:rsidRDefault="002808C2" w:rsidP="00E14102">
      <w:pPr>
        <w:jc w:val="both"/>
        <w:rPr>
          <w:color w:val="000000" w:themeColor="text1"/>
          <w:sz w:val="16"/>
          <w:szCs w:val="16"/>
        </w:rPr>
      </w:pPr>
    </w:p>
    <w:p w14:paraId="47AD8350" w14:textId="77777777" w:rsidR="0063683B" w:rsidRPr="00E14102" w:rsidRDefault="0063683B" w:rsidP="00E14102">
      <w:pPr>
        <w:jc w:val="both"/>
        <w:rPr>
          <w:color w:val="0070C0"/>
          <w:sz w:val="16"/>
          <w:szCs w:val="16"/>
        </w:rPr>
      </w:pPr>
      <w:r w:rsidRPr="00E14102">
        <w:rPr>
          <w:color w:val="0070C0"/>
          <w:sz w:val="16"/>
          <w:szCs w:val="16"/>
        </w:rPr>
        <w:t xml:space="preserve">10 января1935 состоялся первый полет </w:t>
      </w:r>
      <w:r w:rsidRPr="00E14102">
        <w:rPr>
          <w:color w:val="0070C0"/>
          <w:sz w:val="16"/>
          <w:szCs w:val="16"/>
          <w:lang w:val="en-US"/>
        </w:rPr>
        <w:t>Lat</w:t>
      </w:r>
      <w:r w:rsidRPr="00E14102">
        <w:rPr>
          <w:color w:val="0070C0"/>
          <w:sz w:val="16"/>
          <w:szCs w:val="16"/>
        </w:rPr>
        <w:t>é</w:t>
      </w:r>
      <w:r w:rsidRPr="00E14102">
        <w:rPr>
          <w:color w:val="0070C0"/>
          <w:sz w:val="16"/>
          <w:szCs w:val="16"/>
          <w:lang w:val="en-US"/>
        </w:rPr>
        <w:t>co</w:t>
      </w:r>
      <w:r w:rsidRPr="00E14102">
        <w:rPr>
          <w:color w:val="0070C0"/>
          <w:sz w:val="16"/>
          <w:szCs w:val="16"/>
        </w:rPr>
        <w:t>è</w:t>
      </w:r>
      <w:r w:rsidRPr="00E14102">
        <w:rPr>
          <w:color w:val="0070C0"/>
          <w:sz w:val="16"/>
          <w:szCs w:val="16"/>
          <w:lang w:val="en-US"/>
        </w:rPr>
        <w:t>re</w:t>
      </w:r>
      <w:r w:rsidRPr="00E14102">
        <w:rPr>
          <w:color w:val="0070C0"/>
          <w:sz w:val="16"/>
          <w:szCs w:val="16"/>
        </w:rPr>
        <w:t xml:space="preserve"> 521 (20800).</w:t>
      </w:r>
    </w:p>
    <w:p w14:paraId="669369DA" w14:textId="77777777" w:rsidR="0063683B" w:rsidRPr="00E14102" w:rsidRDefault="0063683B" w:rsidP="00E14102">
      <w:pPr>
        <w:jc w:val="both"/>
        <w:rPr>
          <w:color w:val="0070C0"/>
          <w:sz w:val="16"/>
          <w:szCs w:val="16"/>
        </w:rPr>
      </w:pPr>
    </w:p>
    <w:p w14:paraId="4050CF93" w14:textId="77777777" w:rsidR="0063683B" w:rsidRPr="00E14102" w:rsidRDefault="0063683B" w:rsidP="00E14102">
      <w:pPr>
        <w:jc w:val="both"/>
        <w:rPr>
          <w:color w:val="0070C0"/>
          <w:sz w:val="16"/>
          <w:szCs w:val="16"/>
        </w:rPr>
      </w:pPr>
      <w:r w:rsidRPr="00E14102">
        <w:rPr>
          <w:color w:val="0070C0"/>
          <w:sz w:val="16"/>
          <w:szCs w:val="16"/>
        </w:rPr>
        <w:t>10 января 1935 года — первый полёт шестимоторной двухпалубной летающей лодки Latécoère 521 с именем собственным "Lieutenant de Vaisseau Paris"</w:t>
      </w:r>
    </w:p>
    <w:p w14:paraId="77380C25" w14:textId="77777777" w:rsidR="0063683B" w:rsidRPr="00E14102" w:rsidRDefault="0063683B" w:rsidP="00E14102">
      <w:pPr>
        <w:jc w:val="both"/>
        <w:rPr>
          <w:color w:val="0070C0"/>
          <w:sz w:val="16"/>
          <w:szCs w:val="16"/>
        </w:rPr>
      </w:pPr>
      <w:r w:rsidRPr="00E14102">
        <w:rPr>
          <w:color w:val="0070C0"/>
          <w:sz w:val="16"/>
          <w:szCs w:val="16"/>
        </w:rPr>
        <w:t>Самолёт появился как развитие несостоявшегося проекта Latécoère 520. Вместо 4 двигателей по 1000 л.с., как планировали на предшественнике, Late 521 оснастили 6 двигателями по 860 л.с. — 4 стояли в тандеме и 2 отдельно. Фюзеляж остался таким же, а вот крыло и хвостовое оперение переделали.</w:t>
      </w:r>
    </w:p>
    <w:p w14:paraId="3C36EE2A" w14:textId="77777777" w:rsidR="0063683B" w:rsidRPr="00E14102" w:rsidRDefault="0063683B" w:rsidP="00E14102">
      <w:pPr>
        <w:jc w:val="both"/>
        <w:rPr>
          <w:color w:val="0070C0"/>
          <w:sz w:val="16"/>
          <w:szCs w:val="16"/>
        </w:rPr>
      </w:pPr>
      <w:r w:rsidRPr="00E14102">
        <w:rPr>
          <w:color w:val="0070C0"/>
          <w:sz w:val="16"/>
          <w:szCs w:val="16"/>
        </w:rPr>
        <w:t>Latécoère 521 могла взять на борт 30 пассажиров + 8 членов экипажа. А запаса топлива хватало на трансатлантический перелёт. В 1937 году на самолёте был установлен ряд мировых рекордов — дальности полёта для гидропланов, скорости и грузоподъёмности.</w:t>
      </w:r>
    </w:p>
    <w:p w14:paraId="225B8B84" w14:textId="77777777" w:rsidR="0063683B" w:rsidRPr="00E14102" w:rsidRDefault="0063683B" w:rsidP="00E14102">
      <w:pPr>
        <w:jc w:val="both"/>
        <w:rPr>
          <w:color w:val="0070C0"/>
          <w:sz w:val="16"/>
          <w:szCs w:val="16"/>
        </w:rPr>
      </w:pPr>
      <w:r w:rsidRPr="00E14102">
        <w:rPr>
          <w:color w:val="0070C0"/>
          <w:sz w:val="16"/>
          <w:szCs w:val="16"/>
        </w:rPr>
        <w:lastRenderedPageBreak/>
        <w:t>Всего было построено 5 летающих лодок этого семейства — 2 гражданские Late 521/522 и 3 военные Late 523. Ни одна из них не пережила Вторую мировую войну (22300).</w:t>
      </w:r>
    </w:p>
    <w:p w14:paraId="2D03FAA8" w14:textId="77777777" w:rsidR="0063683B" w:rsidRPr="00E14102" w:rsidRDefault="0063683B" w:rsidP="00E14102">
      <w:pPr>
        <w:jc w:val="both"/>
        <w:rPr>
          <w:color w:val="0070C0"/>
          <w:sz w:val="16"/>
          <w:szCs w:val="16"/>
        </w:rPr>
      </w:pPr>
    </w:p>
    <w:p w14:paraId="4B06CA9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E966110" w14:textId="77777777" w:rsidR="00D4105E" w:rsidRPr="00E14102" w:rsidRDefault="00D4105E" w:rsidP="00E14102">
      <w:pPr>
        <w:autoSpaceDE w:val="0"/>
        <w:autoSpaceDN w:val="0"/>
        <w:adjustRightInd w:val="0"/>
        <w:jc w:val="both"/>
        <w:rPr>
          <w:iCs/>
          <w:color w:val="000000" w:themeColor="text1"/>
          <w:sz w:val="16"/>
          <w:szCs w:val="16"/>
        </w:rPr>
      </w:pPr>
    </w:p>
    <w:p w14:paraId="4A167F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января 1935 года руководитель военно-морской группы КПК Куйбышев и зам. руководителя военно-морской группы КПК Березин писали письмо N 911 Сталину, Кагановичу, Молотову.</w:t>
      </w:r>
    </w:p>
    <w:p w14:paraId="5C2EBF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постановке на производство истребителей И-16 с мотором Райт-Циклон.</w:t>
      </w:r>
    </w:p>
    <w:p w14:paraId="0863AC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ГУАП Королев в октябре 1934 года рапортовал Правительству о том, что на опытном образце истребителя И-16 с мотором Райт-Циклон достигнута рекордная скорость в 437 км/час.</w:t>
      </w:r>
    </w:p>
    <w:p w14:paraId="72DDFB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октября весь заказ на 450 машин И-16 на 1935 год ГУАП'ом выдается заводу N 21 снова под мотор М-22, с которым самолет имеет скорость всего 375 км/час.</w:t>
      </w:r>
    </w:p>
    <w:p w14:paraId="48F9C2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309AB6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предполагаемые к получению с завода N 19 моторы Р-Ц намечены на истребители И-15 (скорость 370 км/час, правда машины большей маневренности по сравнению с И-16), которых заказывается 250 штук; И-14 (скорость 400 км/час), при чем И-14 мыслился как пушечный истребитель, но за отсутствием пушек заказывается в пулеметном варианте в количестве 150 штук и новый ЗЭТ в количестве 50 штук. Нужно прибавить к этому заказ НКО на моторы и групповые комплекты для частей. октября даже при выполнении плана заводом N 19 для И-16 моторов Р-Ц не останется.</w:t>
      </w:r>
    </w:p>
    <w:p w14:paraId="3A62AA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необходимо, чтобы в текущем году было произведено по крайней мере 150 штук И-16 с мотором Р-Ц, что завод N 21 может сделать сверх полученного заказа в 450 машин. октября придется соответственно уменьшить заказ на И-14 и И-15 с мотором Р-Ц, при чем по И-14, если завод N 125 к концу года справится с производством этой машины (а пока что по заказу 1934 года из 30 машин он не дал ни одной), можно будет ориентироваться на мотор К-9 (3479,11-12).</w:t>
      </w:r>
    </w:p>
    <w:p w14:paraId="7642A1F3" w14:textId="77777777" w:rsidR="00D4105E" w:rsidRPr="00E14102" w:rsidRDefault="00D4105E" w:rsidP="00E14102">
      <w:pPr>
        <w:autoSpaceDE w:val="0"/>
        <w:autoSpaceDN w:val="0"/>
        <w:adjustRightInd w:val="0"/>
        <w:jc w:val="both"/>
        <w:rPr>
          <w:color w:val="000000" w:themeColor="text1"/>
          <w:sz w:val="16"/>
          <w:szCs w:val="16"/>
        </w:rPr>
      </w:pPr>
    </w:p>
    <w:p w14:paraId="754BDF2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января 1935 года начальник и военком НИИВС Зильберт писал письмо № с/с 0050 в СТО Базилевичу</w:t>
      </w:r>
    </w:p>
    <w:p w14:paraId="7ABD19B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 сем представляю доклад о ходе выполнения плана опытного моторо- и самолетостроения ВС по состоянию на 1 января 1935 года (14).</w:t>
      </w:r>
    </w:p>
    <w:p w14:paraId="439031A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Доклад о ходе выполнения плана опытного моторо-и самолетостроения ВС на 1 января 1935 года</w:t>
      </w:r>
    </w:p>
    <w:p w14:paraId="0DCDF27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I. Самолеты сухопутные</w:t>
      </w:r>
    </w:p>
    <w:p w14:paraId="30DAAEE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Четвертый квартал 1934 года характеризуется резким замедлением, а для некоторых заводов полной остановкой работ по строительству опытных самолетов.</w:t>
      </w:r>
    </w:p>
    <w:p w14:paraId="50754D5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 ряда объектов плана, утвержденного СТО 14 июля 1934 года не выполнен, а именно: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10"/>
        <w:gridCol w:w="1276"/>
        <w:gridCol w:w="1843"/>
        <w:gridCol w:w="5529"/>
      </w:tblGrid>
      <w:tr w:rsidR="00E3599D" w:rsidRPr="00E14102" w14:paraId="47AFF853" w14:textId="77777777">
        <w:tc>
          <w:tcPr>
            <w:tcW w:w="2410" w:type="dxa"/>
          </w:tcPr>
          <w:p w14:paraId="3F2569A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объекта</w:t>
            </w:r>
          </w:p>
        </w:tc>
        <w:tc>
          <w:tcPr>
            <w:tcW w:w="1276" w:type="dxa"/>
          </w:tcPr>
          <w:p w14:paraId="19543F4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1843" w:type="dxa"/>
          </w:tcPr>
          <w:p w14:paraId="500D804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по плану</w:t>
            </w:r>
          </w:p>
        </w:tc>
        <w:tc>
          <w:tcPr>
            <w:tcW w:w="5529" w:type="dxa"/>
          </w:tcPr>
          <w:p w14:paraId="30FF280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Состояние</w:t>
            </w:r>
          </w:p>
        </w:tc>
      </w:tr>
      <w:tr w:rsidR="00E3599D" w:rsidRPr="00E14102" w14:paraId="1FDB245D" w14:textId="77777777">
        <w:tc>
          <w:tcPr>
            <w:tcW w:w="2410" w:type="dxa"/>
          </w:tcPr>
          <w:p w14:paraId="44D6692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ДИ6 (двухместный истребитель)</w:t>
            </w:r>
          </w:p>
        </w:tc>
        <w:tc>
          <w:tcPr>
            <w:tcW w:w="1276" w:type="dxa"/>
          </w:tcPr>
          <w:p w14:paraId="708E128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843" w:type="dxa"/>
          </w:tcPr>
          <w:p w14:paraId="1569B8C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сентября 1934 года</w:t>
            </w:r>
          </w:p>
        </w:tc>
        <w:tc>
          <w:tcPr>
            <w:tcW w:w="5529" w:type="dxa"/>
          </w:tcPr>
          <w:p w14:paraId="13E3A9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гос. испытания не предъявлен. Решением начальника УВС проведены совместно с заводом предварительные испытания, выявившие хорошие летные показатели самолета. Вооружение требует коренной переделки. Работы по достройке второго экземпляра развернуты только в начале января 1935 года. Выход на аэродром спланирован на 1 марта 1935 года.</w:t>
            </w:r>
          </w:p>
        </w:tc>
      </w:tr>
      <w:tr w:rsidR="00E3599D" w:rsidRPr="00E14102" w14:paraId="44E66B7F" w14:textId="77777777">
        <w:tc>
          <w:tcPr>
            <w:tcW w:w="2410" w:type="dxa"/>
          </w:tcPr>
          <w:p w14:paraId="350EB6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ТШ3 (тяжелый штурмовик)</w:t>
            </w:r>
          </w:p>
        </w:tc>
        <w:tc>
          <w:tcPr>
            <w:tcW w:w="1276" w:type="dxa"/>
          </w:tcPr>
          <w:p w14:paraId="106B591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843" w:type="dxa"/>
          </w:tcPr>
          <w:p w14:paraId="0145493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ноября 1934 года</w:t>
            </w:r>
          </w:p>
        </w:tc>
        <w:tc>
          <w:tcPr>
            <w:tcW w:w="5529" w:type="dxa"/>
          </w:tcPr>
          <w:p w14:paraId="5A1724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На гос. испытания не предъявлен. Работы по самолету не ведутся совершенно.</w:t>
            </w:r>
          </w:p>
        </w:tc>
      </w:tr>
      <w:tr w:rsidR="00E3599D" w:rsidRPr="00E14102" w14:paraId="48A2883D" w14:textId="77777777">
        <w:tc>
          <w:tcPr>
            <w:tcW w:w="2410" w:type="dxa"/>
          </w:tcPr>
          <w:p w14:paraId="56B6AEF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Летающее крыло 2М11</w:t>
            </w:r>
          </w:p>
        </w:tc>
        <w:tc>
          <w:tcPr>
            <w:tcW w:w="1276" w:type="dxa"/>
          </w:tcPr>
          <w:p w14:paraId="3964278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843" w:type="dxa"/>
          </w:tcPr>
          <w:p w14:paraId="524D5D6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января 1935 года</w:t>
            </w:r>
          </w:p>
        </w:tc>
        <w:tc>
          <w:tcPr>
            <w:tcW w:w="5529" w:type="dxa"/>
          </w:tcPr>
          <w:p w14:paraId="7D051FD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доведен до монтажной сборки. Работы остановлены.</w:t>
            </w:r>
          </w:p>
        </w:tc>
      </w:tr>
      <w:tr w:rsidR="00E3599D" w:rsidRPr="00E14102" w14:paraId="20BE2405" w14:textId="77777777">
        <w:tc>
          <w:tcPr>
            <w:tcW w:w="2410" w:type="dxa"/>
          </w:tcPr>
          <w:p w14:paraId="1E517AF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ИП1-РЦ (одноместный пушечный истребитель)</w:t>
            </w:r>
          </w:p>
        </w:tc>
        <w:tc>
          <w:tcPr>
            <w:tcW w:w="1276" w:type="dxa"/>
          </w:tcPr>
          <w:p w14:paraId="36E7BB7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УСР НКТП</w:t>
            </w:r>
          </w:p>
        </w:tc>
        <w:tc>
          <w:tcPr>
            <w:tcW w:w="1843" w:type="dxa"/>
          </w:tcPr>
          <w:p w14:paraId="730F744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ноября 1934 года</w:t>
            </w:r>
          </w:p>
        </w:tc>
        <w:tc>
          <w:tcPr>
            <w:tcW w:w="5529" w:type="dxa"/>
          </w:tcPr>
          <w:p w14:paraId="32EBF26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гос. испытание не предъявлен. Доводится после заводских испытаний.</w:t>
            </w:r>
          </w:p>
        </w:tc>
      </w:tr>
      <w:tr w:rsidR="00E3599D" w:rsidRPr="00E14102" w14:paraId="6AD4C7CA" w14:textId="77777777">
        <w:tc>
          <w:tcPr>
            <w:tcW w:w="2410" w:type="dxa"/>
          </w:tcPr>
          <w:p w14:paraId="397890C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И17-ИС 12 Убрс (одноместный истребитель)</w:t>
            </w:r>
          </w:p>
        </w:tc>
        <w:tc>
          <w:tcPr>
            <w:tcW w:w="1276" w:type="dxa"/>
          </w:tcPr>
          <w:p w14:paraId="6158297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843" w:type="dxa"/>
          </w:tcPr>
          <w:p w14:paraId="0E3CADE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декабря 1934 года</w:t>
            </w:r>
          </w:p>
        </w:tc>
        <w:tc>
          <w:tcPr>
            <w:tcW w:w="5529" w:type="dxa"/>
          </w:tcPr>
          <w:p w14:paraId="48E741D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Самолет начат сборкой. Работы прекращены.</w:t>
            </w:r>
          </w:p>
        </w:tc>
      </w:tr>
      <w:tr w:rsidR="00E3599D" w:rsidRPr="00E14102" w14:paraId="193074F4" w14:textId="77777777">
        <w:tc>
          <w:tcPr>
            <w:tcW w:w="2410" w:type="dxa"/>
          </w:tcPr>
          <w:p w14:paraId="00017A8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РК-М11 (разрезное крыло Кричевского)</w:t>
            </w:r>
          </w:p>
        </w:tc>
        <w:tc>
          <w:tcPr>
            <w:tcW w:w="1276" w:type="dxa"/>
          </w:tcPr>
          <w:p w14:paraId="53C782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35</w:t>
            </w:r>
          </w:p>
        </w:tc>
        <w:tc>
          <w:tcPr>
            <w:tcW w:w="1843" w:type="dxa"/>
          </w:tcPr>
          <w:p w14:paraId="27DD14A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октября 1934 года</w:t>
            </w:r>
          </w:p>
        </w:tc>
        <w:tc>
          <w:tcPr>
            <w:tcW w:w="5529" w:type="dxa"/>
          </w:tcPr>
          <w:p w14:paraId="676E9AA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построен. Обнаружена тряска моторной установки. В полете не был.</w:t>
            </w:r>
          </w:p>
        </w:tc>
      </w:tr>
      <w:tr w:rsidR="00E3599D" w:rsidRPr="00E14102" w14:paraId="73E25668" w14:textId="77777777">
        <w:tc>
          <w:tcPr>
            <w:tcW w:w="2410" w:type="dxa"/>
          </w:tcPr>
          <w:p w14:paraId="73037E8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И14-РЦ F 3</w:t>
            </w:r>
          </w:p>
        </w:tc>
        <w:tc>
          <w:tcPr>
            <w:tcW w:w="1276" w:type="dxa"/>
          </w:tcPr>
          <w:p w14:paraId="681991E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ЦАГИ</w:t>
            </w:r>
          </w:p>
        </w:tc>
        <w:tc>
          <w:tcPr>
            <w:tcW w:w="1843" w:type="dxa"/>
          </w:tcPr>
          <w:p w14:paraId="37FF1F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декабря 1934 года</w:t>
            </w:r>
          </w:p>
        </w:tc>
        <w:tc>
          <w:tcPr>
            <w:tcW w:w="5529" w:type="dxa"/>
          </w:tcPr>
          <w:p w14:paraId="517440A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контрольные гос. испытания не предъявлен. Не отлажено вооружение.</w:t>
            </w:r>
          </w:p>
        </w:tc>
      </w:tr>
    </w:tbl>
    <w:p w14:paraId="4D19D60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Завод № 39, сдавший на гос. испытания в срок самолеты И16-РЦ и ЛР-М34Н, произвел устранение крупных дефектов, обнаруженных на них при испытании, только к концу этого квартала.</w:t>
      </w:r>
    </w:p>
    <w:p w14:paraId="7333D8E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связи с выполнением заказа на серийные самолеты завод № 39 полностью прекратил в 4-м квартале работы производственного порядка по опытным самолетам, что вызвало срыв сроков, указанных выше и предопределяет срыв сроков объектов, намеченных к выпуску в первой половине 1935 года.</w:t>
      </w:r>
    </w:p>
    <w:p w14:paraId="2713F48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 силу изложенного обстоятельства для завода № 39, а также переброски КБ Калинина в Воронеж и Чижевского – в Смоленск и медленного развития КБ на серийных заводах, намечается срыв сроков опытных самолетов в первой половине 1935 года, а именно: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71"/>
        <w:gridCol w:w="2374"/>
        <w:gridCol w:w="1559"/>
        <w:gridCol w:w="4253"/>
      </w:tblGrid>
      <w:tr w:rsidR="00E3599D" w:rsidRPr="00E14102" w14:paraId="6D8BC10C" w14:textId="77777777">
        <w:tc>
          <w:tcPr>
            <w:tcW w:w="2871" w:type="dxa"/>
          </w:tcPr>
          <w:p w14:paraId="439888E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объекта</w:t>
            </w:r>
          </w:p>
        </w:tc>
        <w:tc>
          <w:tcPr>
            <w:tcW w:w="2374" w:type="dxa"/>
          </w:tcPr>
          <w:p w14:paraId="4DC9DA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1559" w:type="dxa"/>
          </w:tcPr>
          <w:p w14:paraId="53D1D64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по плану</w:t>
            </w:r>
          </w:p>
        </w:tc>
        <w:tc>
          <w:tcPr>
            <w:tcW w:w="4253" w:type="dxa"/>
          </w:tcPr>
          <w:p w14:paraId="3416E63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Состояние</w:t>
            </w:r>
          </w:p>
        </w:tc>
      </w:tr>
      <w:tr w:rsidR="00E3599D" w:rsidRPr="00E14102" w14:paraId="2BC63B2D" w14:textId="77777777">
        <w:tc>
          <w:tcPr>
            <w:tcW w:w="2871" w:type="dxa"/>
          </w:tcPr>
          <w:p w14:paraId="2579D21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И18-М17</w:t>
            </w:r>
          </w:p>
        </w:tc>
        <w:tc>
          <w:tcPr>
            <w:tcW w:w="2374" w:type="dxa"/>
          </w:tcPr>
          <w:p w14:paraId="4D7E53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559" w:type="dxa"/>
          </w:tcPr>
          <w:p w14:paraId="025A86E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апреля 1935 года</w:t>
            </w:r>
          </w:p>
        </w:tc>
        <w:tc>
          <w:tcPr>
            <w:tcW w:w="4253" w:type="dxa"/>
          </w:tcPr>
          <w:p w14:paraId="65F60FB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подачи чертежей намечен на 15 марта 1935 года.</w:t>
            </w:r>
          </w:p>
        </w:tc>
      </w:tr>
      <w:tr w:rsidR="00E3599D" w:rsidRPr="00E14102" w14:paraId="5CA85AF4" w14:textId="77777777">
        <w:tc>
          <w:tcPr>
            <w:tcW w:w="2871" w:type="dxa"/>
          </w:tcPr>
          <w:p w14:paraId="6ED8E75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ДИП-2ИС 12 убрс (двухместный пушечный истребитель)</w:t>
            </w:r>
          </w:p>
        </w:tc>
        <w:tc>
          <w:tcPr>
            <w:tcW w:w="2374" w:type="dxa"/>
          </w:tcPr>
          <w:p w14:paraId="122FE51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ЦАГИ</w:t>
            </w:r>
          </w:p>
        </w:tc>
        <w:tc>
          <w:tcPr>
            <w:tcW w:w="1559" w:type="dxa"/>
          </w:tcPr>
          <w:p w14:paraId="5273D6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марта 1935 года</w:t>
            </w:r>
          </w:p>
        </w:tc>
        <w:tc>
          <w:tcPr>
            <w:tcW w:w="4253" w:type="dxa"/>
          </w:tcPr>
          <w:p w14:paraId="40E9993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в сборке. Пушка не доведена. Не доработана задняя стрелковая точка.</w:t>
            </w:r>
          </w:p>
        </w:tc>
      </w:tr>
      <w:tr w:rsidR="00E3599D" w:rsidRPr="00E14102" w14:paraId="5094A4FD" w14:textId="77777777">
        <w:tc>
          <w:tcPr>
            <w:tcW w:w="2871" w:type="dxa"/>
          </w:tcPr>
          <w:p w14:paraId="41B6196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П3-М49 (переходный самолет)</w:t>
            </w:r>
          </w:p>
        </w:tc>
        <w:tc>
          <w:tcPr>
            <w:tcW w:w="2374" w:type="dxa"/>
          </w:tcPr>
          <w:p w14:paraId="01F991A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Ленинградский учебный комбинат ГУГВФ</w:t>
            </w:r>
          </w:p>
        </w:tc>
        <w:tc>
          <w:tcPr>
            <w:tcW w:w="1559" w:type="dxa"/>
          </w:tcPr>
          <w:p w14:paraId="5E55C2E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мая 1935 года</w:t>
            </w:r>
          </w:p>
        </w:tc>
        <w:tc>
          <w:tcPr>
            <w:tcW w:w="4253" w:type="dxa"/>
          </w:tcPr>
          <w:p w14:paraId="1B2409B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Утвержден макет. Чертежи готовы. Отсутствует сильная производственная база.</w:t>
            </w:r>
          </w:p>
        </w:tc>
      </w:tr>
      <w:tr w:rsidR="00E3599D" w:rsidRPr="00E14102" w14:paraId="595B38A7" w14:textId="77777777">
        <w:tc>
          <w:tcPr>
            <w:tcW w:w="2871" w:type="dxa"/>
          </w:tcPr>
          <w:p w14:paraId="718A680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ВС2-2М22 (войсковой самолет) </w:t>
            </w:r>
          </w:p>
        </w:tc>
        <w:tc>
          <w:tcPr>
            <w:tcW w:w="2374" w:type="dxa"/>
          </w:tcPr>
          <w:p w14:paraId="65C4F65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Калинин</w:t>
            </w:r>
          </w:p>
          <w:p w14:paraId="502BF4F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18</w:t>
            </w:r>
          </w:p>
        </w:tc>
        <w:tc>
          <w:tcPr>
            <w:tcW w:w="1559" w:type="dxa"/>
          </w:tcPr>
          <w:p w14:paraId="4161CE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мая 1935 года</w:t>
            </w:r>
          </w:p>
        </w:tc>
        <w:tc>
          <w:tcPr>
            <w:tcW w:w="4253" w:type="dxa"/>
          </w:tcPr>
          <w:p w14:paraId="60312B6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Макет забракован. Вторичное предъявление намечено на 1 февраля 1935 года.</w:t>
            </w:r>
          </w:p>
        </w:tc>
      </w:tr>
      <w:tr w:rsidR="00E3599D" w:rsidRPr="00E14102" w14:paraId="66ACBC6C" w14:textId="77777777">
        <w:tc>
          <w:tcPr>
            <w:tcW w:w="2871" w:type="dxa"/>
          </w:tcPr>
          <w:p w14:paraId="1B9952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СС М34-РН (стратосферный самолет)</w:t>
            </w:r>
          </w:p>
        </w:tc>
        <w:tc>
          <w:tcPr>
            <w:tcW w:w="2374" w:type="dxa"/>
          </w:tcPr>
          <w:p w14:paraId="640D776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35</w:t>
            </w:r>
          </w:p>
          <w:p w14:paraId="73A97E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Чижевский</w:t>
            </w:r>
          </w:p>
        </w:tc>
        <w:tc>
          <w:tcPr>
            <w:tcW w:w="1559" w:type="dxa"/>
          </w:tcPr>
          <w:p w14:paraId="48652D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июля 1935 года</w:t>
            </w:r>
          </w:p>
        </w:tc>
        <w:tc>
          <w:tcPr>
            <w:tcW w:w="4253" w:type="dxa"/>
          </w:tcPr>
          <w:p w14:paraId="6C8FE0B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Работа лимитируется наличием дюральщиков на заводе № 35. Если заводу будут даны в ремонт ТБ3 и ТБ1, то выпуск “СС” будет сорван.</w:t>
            </w:r>
          </w:p>
        </w:tc>
      </w:tr>
      <w:tr w:rsidR="00E3599D" w:rsidRPr="00E14102" w14:paraId="2021D9A2" w14:textId="77777777">
        <w:tc>
          <w:tcPr>
            <w:tcW w:w="2871" w:type="dxa"/>
          </w:tcPr>
          <w:p w14:paraId="0BC5637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Летающее крыло М11 (экспериментальный)</w:t>
            </w:r>
          </w:p>
        </w:tc>
        <w:tc>
          <w:tcPr>
            <w:tcW w:w="2374" w:type="dxa"/>
          </w:tcPr>
          <w:p w14:paraId="2E8572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35</w:t>
            </w:r>
          </w:p>
          <w:p w14:paraId="508FCAC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Чижевский</w:t>
            </w:r>
          </w:p>
        </w:tc>
        <w:tc>
          <w:tcPr>
            <w:tcW w:w="1559" w:type="dxa"/>
          </w:tcPr>
          <w:p w14:paraId="3763E3E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марта 1935 года</w:t>
            </w:r>
          </w:p>
        </w:tc>
        <w:tc>
          <w:tcPr>
            <w:tcW w:w="4253" w:type="dxa"/>
          </w:tcPr>
          <w:p w14:paraId="0E2AEF0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 и рабочие чертежи готовы. Работы лимитируются отсутствием рабочих на заводе № 35.</w:t>
            </w:r>
          </w:p>
        </w:tc>
      </w:tr>
      <w:tr w:rsidR="00E3599D" w:rsidRPr="00E14102" w14:paraId="7F1EF9F4" w14:textId="77777777">
        <w:tc>
          <w:tcPr>
            <w:tcW w:w="2871" w:type="dxa"/>
          </w:tcPr>
          <w:p w14:paraId="4DA6E4C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И19 (новый одноместный пулеметный истребитель)</w:t>
            </w:r>
          </w:p>
        </w:tc>
        <w:tc>
          <w:tcPr>
            <w:tcW w:w="2374" w:type="dxa"/>
          </w:tcPr>
          <w:p w14:paraId="16A2B63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559" w:type="dxa"/>
          </w:tcPr>
          <w:p w14:paraId="7B34A68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июня 1935 года</w:t>
            </w:r>
          </w:p>
        </w:tc>
        <w:tc>
          <w:tcPr>
            <w:tcW w:w="4253" w:type="dxa"/>
          </w:tcPr>
          <w:p w14:paraId="2DE6823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Проектирование не начато. Срок подачи чертежей намечен на 1 августа 1935 года.</w:t>
            </w:r>
          </w:p>
        </w:tc>
      </w:tr>
      <w:tr w:rsidR="00E3599D" w:rsidRPr="00E14102" w14:paraId="663B06E0" w14:textId="77777777">
        <w:tc>
          <w:tcPr>
            <w:tcW w:w="2871" w:type="dxa"/>
          </w:tcPr>
          <w:p w14:paraId="626814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И-20 (новый пушечный истребитель)</w:t>
            </w:r>
          </w:p>
        </w:tc>
        <w:tc>
          <w:tcPr>
            <w:tcW w:w="2374" w:type="dxa"/>
          </w:tcPr>
          <w:p w14:paraId="4DF1078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УСР НКТП</w:t>
            </w:r>
          </w:p>
        </w:tc>
        <w:tc>
          <w:tcPr>
            <w:tcW w:w="1559" w:type="dxa"/>
          </w:tcPr>
          <w:p w14:paraId="32BBAB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апреля 1935 года</w:t>
            </w:r>
          </w:p>
        </w:tc>
        <w:tc>
          <w:tcPr>
            <w:tcW w:w="4253" w:type="dxa"/>
          </w:tcPr>
          <w:p w14:paraId="64AD44F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Заканчивается эскизный проект. Макет намечен на конец января.</w:t>
            </w:r>
          </w:p>
        </w:tc>
      </w:tr>
      <w:tr w:rsidR="00E3599D" w:rsidRPr="00E14102" w14:paraId="4AF86975" w14:textId="77777777">
        <w:tc>
          <w:tcPr>
            <w:tcW w:w="2871" w:type="dxa"/>
          </w:tcPr>
          <w:p w14:paraId="0183AF1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Р5-М34</w:t>
            </w:r>
          </w:p>
        </w:tc>
        <w:tc>
          <w:tcPr>
            <w:tcW w:w="2374" w:type="dxa"/>
          </w:tcPr>
          <w:p w14:paraId="33E0FEE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Завод № 1 </w:t>
            </w:r>
          </w:p>
        </w:tc>
        <w:tc>
          <w:tcPr>
            <w:tcW w:w="1559" w:type="dxa"/>
          </w:tcPr>
          <w:p w14:paraId="599F3C2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февраля 1935 года</w:t>
            </w:r>
          </w:p>
        </w:tc>
        <w:tc>
          <w:tcPr>
            <w:tcW w:w="4253" w:type="dxa"/>
          </w:tcPr>
          <w:p w14:paraId="4CD2B8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в постройке. Срок выхода на аэродром намечается на конец марта 1935 года.</w:t>
            </w:r>
          </w:p>
        </w:tc>
      </w:tr>
      <w:tr w:rsidR="00E3599D" w:rsidRPr="00E14102" w14:paraId="5B691D9B" w14:textId="77777777">
        <w:tc>
          <w:tcPr>
            <w:tcW w:w="2871" w:type="dxa"/>
          </w:tcPr>
          <w:p w14:paraId="36F28FE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Р9-ГР-К14 (новый разведчик)</w:t>
            </w:r>
          </w:p>
        </w:tc>
        <w:tc>
          <w:tcPr>
            <w:tcW w:w="2374" w:type="dxa"/>
          </w:tcPr>
          <w:p w14:paraId="1286BDE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559" w:type="dxa"/>
          </w:tcPr>
          <w:p w14:paraId="562FF0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июня 1935 года</w:t>
            </w:r>
          </w:p>
        </w:tc>
        <w:tc>
          <w:tcPr>
            <w:tcW w:w="4253" w:type="dxa"/>
          </w:tcPr>
          <w:p w14:paraId="082A577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Заканчивается эскизный проект. Макет намечен на середину января.</w:t>
            </w:r>
          </w:p>
        </w:tc>
      </w:tr>
      <w:tr w:rsidR="00E3599D" w:rsidRPr="00E14102" w14:paraId="658FB8D7" w14:textId="77777777">
        <w:tc>
          <w:tcPr>
            <w:tcW w:w="2871" w:type="dxa"/>
          </w:tcPr>
          <w:p w14:paraId="6AA1ACC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ДБ1-М34Р</w:t>
            </w:r>
          </w:p>
        </w:tc>
        <w:tc>
          <w:tcPr>
            <w:tcW w:w="2374" w:type="dxa"/>
          </w:tcPr>
          <w:p w14:paraId="576F517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18</w:t>
            </w:r>
          </w:p>
        </w:tc>
        <w:tc>
          <w:tcPr>
            <w:tcW w:w="1559" w:type="dxa"/>
          </w:tcPr>
          <w:p w14:paraId="649470D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апреля 1935 года</w:t>
            </w:r>
          </w:p>
        </w:tc>
        <w:tc>
          <w:tcPr>
            <w:tcW w:w="4253" w:type="dxa"/>
          </w:tcPr>
          <w:p w14:paraId="2DBA77B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строится в кооперации с заводом № 22. Производство шасси не начато (завод № 22).</w:t>
            </w:r>
          </w:p>
        </w:tc>
      </w:tr>
      <w:tr w:rsidR="00E3599D" w:rsidRPr="00E14102" w14:paraId="0DEA8F98" w14:textId="77777777">
        <w:tc>
          <w:tcPr>
            <w:tcW w:w="2871" w:type="dxa"/>
          </w:tcPr>
          <w:p w14:paraId="55B2F8A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XI-2М34 РН (химический боевой)</w:t>
            </w:r>
          </w:p>
        </w:tc>
        <w:tc>
          <w:tcPr>
            <w:tcW w:w="2374" w:type="dxa"/>
          </w:tcPr>
          <w:p w14:paraId="4DF9213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81</w:t>
            </w:r>
          </w:p>
        </w:tc>
        <w:tc>
          <w:tcPr>
            <w:tcW w:w="1559" w:type="dxa"/>
          </w:tcPr>
          <w:p w14:paraId="697CF87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июля 1935 года</w:t>
            </w:r>
          </w:p>
        </w:tc>
        <w:tc>
          <w:tcPr>
            <w:tcW w:w="4253" w:type="dxa"/>
          </w:tcPr>
          <w:p w14:paraId="7A54451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ГУГВФ возбуждает ходатайство о продлении срока постройки до 1 ноября 1935 года.</w:t>
            </w:r>
          </w:p>
        </w:tc>
      </w:tr>
      <w:tr w:rsidR="00E3599D" w:rsidRPr="00E14102" w14:paraId="7DBE782B" w14:textId="77777777">
        <w:tc>
          <w:tcPr>
            <w:tcW w:w="2871" w:type="dxa"/>
          </w:tcPr>
          <w:p w14:paraId="7A937B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И14 бис (с пушками АПК 45 мм)</w:t>
            </w:r>
          </w:p>
        </w:tc>
        <w:tc>
          <w:tcPr>
            <w:tcW w:w="2374" w:type="dxa"/>
          </w:tcPr>
          <w:p w14:paraId="07007F0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ЦАГИ</w:t>
            </w:r>
          </w:p>
        </w:tc>
        <w:tc>
          <w:tcPr>
            <w:tcW w:w="1559" w:type="dxa"/>
          </w:tcPr>
          <w:p w14:paraId="3915DB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4253" w:type="dxa"/>
          </w:tcPr>
          <w:p w14:paraId="168815F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Пушки 45 мм нет. Поэтому ЦАГИ с самолетом никакой работы не ведет.</w:t>
            </w:r>
          </w:p>
        </w:tc>
      </w:tr>
    </w:tbl>
    <w:p w14:paraId="0F14FD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Кроме перечисленных выше самолетов промышленность (ЦАГИ) постановлением СТО от 17 февраля 1934 года № К-22сс должна была представить к 1 декабря 1934 года скоростной двухмоторный бомбардировщик в двух вариантах под моторы Райт-Циклон и под моторы Испано-Сюиза 12 убрс.</w:t>
      </w:r>
    </w:p>
    <w:p w14:paraId="33522A6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Однако, оба эти важнейших самолета на гос. испытания не предъявлены так как:</w:t>
      </w:r>
    </w:p>
    <w:p w14:paraId="72319E5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 моторами Райт-Циклон при заводских испытаниях разбит.</w:t>
      </w:r>
    </w:p>
    <w:p w14:paraId="749533A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 моторами Испано-Сюиза 12 убрс 2 января 1935 года вышел в первый полет. Сейчас ЦАГИ ведет работы по отладке убирания шасси.</w:t>
      </w:r>
    </w:p>
    <w:p w14:paraId="1AEC17E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итоге необходимо констатировать, что имеется налицо: невыполнение плана 1934 года по 7 объектам и серьезная угроза полного срыва плана в 1935 году.</w:t>
      </w:r>
    </w:p>
    <w:p w14:paraId="6E5D478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Не выдерживая сроков плана опытного строительства, авиапромышленность параллельно не выполнила ряд постановлений СТО, о чем уже докладывалось мною в докладе от 1 октября 1934 года, а именно:</w:t>
      </w:r>
    </w:p>
    <w:p w14:paraId="0B8E5E7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ГУАП, обязанный постановлением СТО от 2 марта выпустить эталон самолета Р5-М17 штурмовика со Шкасом 1 мая 1934 года построил самолет лишь к октябрю. После длительных задержек в передаче самолета сдал его с совершенно недоработанным вооружением и оборудованием, препятствующим возможности его гос. испытаний. Работы по доводке самолета не ведутся, что срывает возможность получить в 1935 году доброкачественные штурмовики, заказанные в количестве 500 штук.</w:t>
      </w:r>
    </w:p>
    <w:p w14:paraId="6FC9B85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Организация конструкторских бюро (постановления СТО от 13 марта 1934 года и 17 июля 1934 года) в четвертом квартале существенных сдвигов не сделала.</w:t>
      </w:r>
    </w:p>
    <w:p w14:paraId="28B1D0A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p w14:paraId="489E51A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Требование повышения качества производства в отношении отделки (постановление СТО от 14 июля 1934 года), в особенности по серийной продукции не выполняется в нужной мере.</w:t>
      </w:r>
    </w:p>
    <w:p w14:paraId="7CAEB22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Работы по созданию аэродинамических труб и лабораторий на заводах (постановление СТО от 14 июля 1934 года) совершенно не гарантирует постройки труб к 1 июня 1935 года как требовалось постановлением и в основном базируется на срок 1936 года.</w:t>
      </w:r>
    </w:p>
    <w:p w14:paraId="54F671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II Гидросамолеты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85"/>
        <w:gridCol w:w="1276"/>
        <w:gridCol w:w="1701"/>
        <w:gridCol w:w="6096"/>
      </w:tblGrid>
      <w:tr w:rsidR="00E3599D" w:rsidRPr="00E14102" w14:paraId="0010F0FF" w14:textId="77777777">
        <w:tc>
          <w:tcPr>
            <w:tcW w:w="1985" w:type="dxa"/>
          </w:tcPr>
          <w:p w14:paraId="0D7FEA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объекта</w:t>
            </w:r>
          </w:p>
        </w:tc>
        <w:tc>
          <w:tcPr>
            <w:tcW w:w="1276" w:type="dxa"/>
          </w:tcPr>
          <w:p w14:paraId="7F5ABAA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1701" w:type="dxa"/>
          </w:tcPr>
          <w:p w14:paraId="56B851C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по плану</w:t>
            </w:r>
          </w:p>
        </w:tc>
        <w:tc>
          <w:tcPr>
            <w:tcW w:w="6096" w:type="dxa"/>
          </w:tcPr>
          <w:p w14:paraId="7826B59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Состояние</w:t>
            </w:r>
          </w:p>
        </w:tc>
      </w:tr>
      <w:tr w:rsidR="00E3599D" w:rsidRPr="00E14102" w14:paraId="573155E9" w14:textId="77777777">
        <w:tc>
          <w:tcPr>
            <w:tcW w:w="1985" w:type="dxa"/>
          </w:tcPr>
          <w:p w14:paraId="24FA0E6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МК1 (морской крейсер)</w:t>
            </w:r>
          </w:p>
        </w:tc>
        <w:tc>
          <w:tcPr>
            <w:tcW w:w="1276" w:type="dxa"/>
          </w:tcPr>
          <w:p w14:paraId="2808306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5D34FD5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августа 1934 года</w:t>
            </w:r>
          </w:p>
        </w:tc>
        <w:tc>
          <w:tcPr>
            <w:tcW w:w="6096" w:type="dxa"/>
          </w:tcPr>
          <w:p w14:paraId="54E7AEF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Заводские испытания начаты только с середины декабря 1934 года. До этого времени самолет находился в ремонте и доделках, так как имел значительные вибрации хвостового оперения и после аварии при рулежке – повреждение днища лодки. Доводки вооружения и оборудования самолета, а также условия зимней погоды заставляют предполагать, что самолет ранее 1 марта 1935 года на гос. испытания предъявлен не будет.</w:t>
            </w:r>
          </w:p>
        </w:tc>
      </w:tr>
      <w:tr w:rsidR="00E3599D" w:rsidRPr="00E14102" w14:paraId="68F1A2C0" w14:textId="77777777">
        <w:tc>
          <w:tcPr>
            <w:tcW w:w="1985" w:type="dxa"/>
          </w:tcPr>
          <w:p w14:paraId="1AB9AD5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МДР-4</w:t>
            </w:r>
          </w:p>
        </w:tc>
        <w:tc>
          <w:tcPr>
            <w:tcW w:w="1276" w:type="dxa"/>
          </w:tcPr>
          <w:p w14:paraId="603C2A2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7F2975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марта 1935 года</w:t>
            </w:r>
          </w:p>
        </w:tc>
        <w:tc>
          <w:tcPr>
            <w:tcW w:w="6096" w:type="dxa"/>
          </w:tcPr>
          <w:p w14:paraId="74973C4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22 ноября 1934 года ЦАГИ приступил к испытаниям второго варианта (дублета) самолета. Первые полеты выявили наличие серьезных вибраций хвостового оперения. Над устранением этого дефекта сейчас работает ЦАГИ. Состояние работ по доводке самолета не дает возможности определить срока предъявления самолета на гос. испытания.</w:t>
            </w:r>
          </w:p>
        </w:tc>
      </w:tr>
      <w:tr w:rsidR="00E3599D" w:rsidRPr="00E14102" w14:paraId="4E87BA6A" w14:textId="77777777">
        <w:tc>
          <w:tcPr>
            <w:tcW w:w="1985" w:type="dxa"/>
          </w:tcPr>
          <w:p w14:paraId="18FD89E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МБР-5 (морской ближний разведчик)</w:t>
            </w:r>
          </w:p>
        </w:tc>
        <w:tc>
          <w:tcPr>
            <w:tcW w:w="1276" w:type="dxa"/>
          </w:tcPr>
          <w:p w14:paraId="51A10B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701" w:type="dxa"/>
          </w:tcPr>
          <w:p w14:paraId="2A3CAB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апреля 1935 года</w:t>
            </w:r>
          </w:p>
        </w:tc>
        <w:tc>
          <w:tcPr>
            <w:tcW w:w="6096" w:type="dxa"/>
          </w:tcPr>
          <w:p w14:paraId="748FDF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Несмотря на готовность проектных работ и изготовление чертежей еще в мае 1934 года самолет в производство был запущен только в конце прошлого года. Такое положение обусловливает запоздание выхода самолета на заводские испытания, примерно на 6 месяцев против установленного срока.</w:t>
            </w:r>
          </w:p>
        </w:tc>
      </w:tr>
      <w:tr w:rsidR="00E3599D" w:rsidRPr="00E14102" w14:paraId="7B9E5290" w14:textId="77777777">
        <w:tc>
          <w:tcPr>
            <w:tcW w:w="1985" w:type="dxa"/>
          </w:tcPr>
          <w:p w14:paraId="480763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КОР-1 (корабельный разведчик)</w:t>
            </w:r>
          </w:p>
        </w:tc>
        <w:tc>
          <w:tcPr>
            <w:tcW w:w="1276" w:type="dxa"/>
          </w:tcPr>
          <w:p w14:paraId="5E80198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701" w:type="dxa"/>
          </w:tcPr>
          <w:p w14:paraId="73606AE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6096" w:type="dxa"/>
          </w:tcPr>
          <w:p w14:paraId="54F2A4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Проектирование самолета еще не закончено. По объему работ срок выхода самолета на заводские испытания выдержан не будет.</w:t>
            </w:r>
          </w:p>
        </w:tc>
      </w:tr>
    </w:tbl>
    <w:p w14:paraId="03D24CC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Дополнительным постановлением СТО срок гидросамолета МДР-5 постройки ЦАГИ отодвинут на один год, т.е. на 1 декабря 1936 года.</w:t>
      </w:r>
    </w:p>
    <w:p w14:paraId="35D77E6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Взамен снятого объекта этим же постановлением для ЦАГИ введен новый гидросамолет МТБ, полное разворачивание работ по проектированию которого начато будет по сдаче на гос. испытания МК1 и МДР4.</w:t>
      </w:r>
    </w:p>
    <w:p w14:paraId="2719EE2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линии опытного бюро Аэрофлота, из-за отсутствия отдельной производственной базы, срок выхода на заводские испытания опытного гидросамолета МДР6 находится под сомнением.</w:t>
      </w:r>
    </w:p>
    <w:p w14:paraId="28D2C7E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Переброска морской бригады завода № 39 на заводе № 31 и создание там мощного бюро, согласно постановления СТО, проходит неудовлетворительно. Часть инженерно-технического состава (30%) не выехала к месту нового размещения бригады в Таганрог, в силу чего мощность бригады значительно снизилась как количественно, так и качественно и не сможет обеспечить выполнение задания. НИИ ВС по своей инициативе, обратилось за содействием в Комиссию советского контроля.</w:t>
      </w:r>
    </w:p>
    <w:p w14:paraId="394BD26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Единственное КБ завода № 31, выполняющее задания по модернизации состоящих на вооружении самолетов, недостаточно мощно как количественно, так и качественно и на сегодня не справляется с заданиями.</w:t>
      </w:r>
    </w:p>
    <w:p w14:paraId="2CD4231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Опытное КБ Аэрофлота не имеет собственной базы и ведет постройку на кооперативных началах, размещая заказы на отдельные части самолета различным серийным заводам ГУАПа, что не может гарантировать сроки изготовления и требует систематического руководства со стороны бюро.</w:t>
      </w:r>
    </w:p>
    <w:p w14:paraId="6154245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Выводы в части гидросамолетостроения</w:t>
      </w:r>
    </w:p>
    <w:p w14:paraId="740313C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Решение СТО о создании мощного опытного бюро на заводе № 31 со стороны ГУАПа полностью не обеспечено.</w:t>
      </w:r>
    </w:p>
    <w:p w14:paraId="351A313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Опытному Бюро Аэрофлота необходимо дать постоянную производственную базу.</w:t>
      </w:r>
    </w:p>
    <w:p w14:paraId="48DE5A0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Для усиления работ по опытному строительству, целесообразно использовать группу инженера Шаврова (Аэрофлот) и дать последнему задание по МДР-5 и учебным самолетам.</w:t>
      </w:r>
    </w:p>
    <w:p w14:paraId="15318D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94"/>
        <w:gridCol w:w="1559"/>
        <w:gridCol w:w="1984"/>
        <w:gridCol w:w="4820"/>
      </w:tblGrid>
      <w:tr w:rsidR="00E3599D" w:rsidRPr="00E14102" w14:paraId="3280C292" w14:textId="77777777">
        <w:tc>
          <w:tcPr>
            <w:tcW w:w="2694" w:type="dxa"/>
          </w:tcPr>
          <w:p w14:paraId="290D324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объекта</w:t>
            </w:r>
          </w:p>
        </w:tc>
        <w:tc>
          <w:tcPr>
            <w:tcW w:w="1559" w:type="dxa"/>
          </w:tcPr>
          <w:p w14:paraId="7A4D8C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1984" w:type="dxa"/>
          </w:tcPr>
          <w:p w14:paraId="0C078CC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по плану</w:t>
            </w:r>
          </w:p>
        </w:tc>
        <w:tc>
          <w:tcPr>
            <w:tcW w:w="4820" w:type="dxa"/>
          </w:tcPr>
          <w:p w14:paraId="18AFFCC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Состояние</w:t>
            </w:r>
          </w:p>
        </w:tc>
      </w:tr>
      <w:tr w:rsidR="00E3599D" w:rsidRPr="00E14102" w14:paraId="1291D46E" w14:textId="77777777">
        <w:tc>
          <w:tcPr>
            <w:tcW w:w="2694" w:type="dxa"/>
          </w:tcPr>
          <w:p w14:paraId="10B52CF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М34 ФРН на паровом охлаждении</w:t>
            </w:r>
          </w:p>
        </w:tc>
        <w:tc>
          <w:tcPr>
            <w:tcW w:w="1559" w:type="dxa"/>
          </w:tcPr>
          <w:p w14:paraId="1189BB1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ЦИАМ</w:t>
            </w:r>
          </w:p>
        </w:tc>
        <w:tc>
          <w:tcPr>
            <w:tcW w:w="1984" w:type="dxa"/>
          </w:tcPr>
          <w:p w14:paraId="6BDC561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декабря 1934 года</w:t>
            </w:r>
          </w:p>
        </w:tc>
        <w:tc>
          <w:tcPr>
            <w:tcW w:w="4820" w:type="dxa"/>
          </w:tcPr>
          <w:p w14:paraId="7EE0D67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Работа не закончена и мотор не предъявлен.</w:t>
            </w:r>
          </w:p>
        </w:tc>
      </w:tr>
      <w:tr w:rsidR="00E3599D" w:rsidRPr="00E14102" w14:paraId="10614543" w14:textId="77777777">
        <w:tc>
          <w:tcPr>
            <w:tcW w:w="2694" w:type="dxa"/>
          </w:tcPr>
          <w:p w14:paraId="7F8F310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М34 ФРН форсированный (с редуктором и нагнетателем)</w:t>
            </w:r>
          </w:p>
        </w:tc>
        <w:tc>
          <w:tcPr>
            <w:tcW w:w="1559" w:type="dxa"/>
          </w:tcPr>
          <w:p w14:paraId="3359258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ЦИАМ</w:t>
            </w:r>
          </w:p>
        </w:tc>
        <w:tc>
          <w:tcPr>
            <w:tcW w:w="1984" w:type="dxa"/>
          </w:tcPr>
          <w:p w14:paraId="7E00637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сентября 1934 года</w:t>
            </w:r>
          </w:p>
        </w:tc>
        <w:tc>
          <w:tcPr>
            <w:tcW w:w="4820" w:type="dxa"/>
          </w:tcPr>
          <w:p w14:paraId="6FF4760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Предъявлен на гос. испытания в начале января. Мотор перетяжелен против требований на 25 кг.</w:t>
            </w:r>
          </w:p>
        </w:tc>
      </w:tr>
      <w:tr w:rsidR="00E3599D" w:rsidRPr="00E14102" w14:paraId="4607CDD5" w14:textId="77777777">
        <w:tc>
          <w:tcPr>
            <w:tcW w:w="2694" w:type="dxa"/>
          </w:tcPr>
          <w:p w14:paraId="7EAAD6E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М-32РН</w:t>
            </w:r>
          </w:p>
        </w:tc>
        <w:tc>
          <w:tcPr>
            <w:tcW w:w="1559" w:type="dxa"/>
          </w:tcPr>
          <w:p w14:paraId="7B036BA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ЦИАМ</w:t>
            </w:r>
          </w:p>
        </w:tc>
        <w:tc>
          <w:tcPr>
            <w:tcW w:w="1984" w:type="dxa"/>
          </w:tcPr>
          <w:p w14:paraId="4D44E85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октября 1934 года</w:t>
            </w:r>
          </w:p>
        </w:tc>
        <w:tc>
          <w:tcPr>
            <w:tcW w:w="4820" w:type="dxa"/>
          </w:tcPr>
          <w:p w14:paraId="6791236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Мотор не предъявлен и срок доводки не установлен.</w:t>
            </w:r>
          </w:p>
        </w:tc>
      </w:tr>
      <w:tr w:rsidR="00E3599D" w:rsidRPr="00E14102" w14:paraId="2CFAC613" w14:textId="77777777">
        <w:tc>
          <w:tcPr>
            <w:tcW w:w="2694" w:type="dxa"/>
          </w:tcPr>
          <w:p w14:paraId="34702CB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М-58Н</w:t>
            </w:r>
          </w:p>
        </w:tc>
        <w:tc>
          <w:tcPr>
            <w:tcW w:w="1559" w:type="dxa"/>
          </w:tcPr>
          <w:p w14:paraId="4E6F1A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1984" w:type="dxa"/>
          </w:tcPr>
          <w:p w14:paraId="174FF46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ноября 1934 года</w:t>
            </w:r>
          </w:p>
        </w:tc>
        <w:tc>
          <w:tcPr>
            <w:tcW w:w="4820" w:type="dxa"/>
          </w:tcPr>
          <w:p w14:paraId="7160E33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Мотор не предъявлен ожидается предъявление в январе.</w:t>
            </w:r>
          </w:p>
        </w:tc>
      </w:tr>
    </w:tbl>
    <w:p w14:paraId="2B8D86D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 и ыоенком НИИ ВВС РККА Зильбер</w:t>
      </w:r>
    </w:p>
    <w:p w14:paraId="6F79D77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(3517,15-22).</w:t>
      </w:r>
    </w:p>
    <w:p w14:paraId="304AE9E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4FB69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января 1935 состоялось совещание "По рассмотрению плана ЦИАМ и перспектив моторостроения" (1025,104).</w:t>
      </w:r>
    </w:p>
    <w:p w14:paraId="7C00C603" w14:textId="77777777" w:rsidR="00D4105E" w:rsidRPr="00E14102" w:rsidRDefault="00D4105E" w:rsidP="00E14102">
      <w:pPr>
        <w:autoSpaceDE w:val="0"/>
        <w:autoSpaceDN w:val="0"/>
        <w:adjustRightInd w:val="0"/>
        <w:jc w:val="both"/>
        <w:rPr>
          <w:color w:val="000000" w:themeColor="text1"/>
          <w:sz w:val="16"/>
          <w:szCs w:val="16"/>
        </w:rPr>
      </w:pPr>
    </w:p>
    <w:p w14:paraId="44B949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 января 1935 был подготовлен ДОКЛАД О НЕОБХОДИМЫХ МЕРОПРИЯТИЯХ ПО ПОДГОТОВКЕ К БОЮ НА ВЫСОТАХ 10-12.000 МЕТРОВ и ВЫШЕ.</w:t>
      </w:r>
    </w:p>
    <w:p w14:paraId="1338B5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РАЗВИТИЕ ВЫСОТ</w:t>
      </w:r>
      <w:r w:rsidRPr="00E14102">
        <w:rPr>
          <w:color w:val="000000" w:themeColor="text1"/>
          <w:sz w:val="16"/>
          <w:szCs w:val="16"/>
        </w:rPr>
        <w:softHyphen/>
        <w:t>НОЙ АВИАЦИИ.</w:t>
      </w:r>
    </w:p>
    <w:p w14:paraId="019CFE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Последние годы развития авиации характери</w:t>
      </w:r>
      <w:r w:rsidRPr="00E14102">
        <w:rPr>
          <w:color w:val="000000" w:themeColor="text1"/>
          <w:sz w:val="16"/>
          <w:szCs w:val="16"/>
        </w:rPr>
        <w:softHyphen/>
        <w:t>зуются очень большим вниманием, которое уделяет</w:t>
      </w:r>
      <w:r w:rsidRPr="00E14102">
        <w:rPr>
          <w:color w:val="000000" w:themeColor="text1"/>
          <w:sz w:val="16"/>
          <w:szCs w:val="16"/>
        </w:rPr>
        <w:softHyphen/>
        <w:t>ся во всех странах достижению наибольшей высота. Упорная борьба за кавдае 100 метров высоты ведет</w:t>
      </w:r>
      <w:r w:rsidRPr="00E14102">
        <w:rPr>
          <w:color w:val="000000" w:themeColor="text1"/>
          <w:sz w:val="16"/>
          <w:szCs w:val="16"/>
        </w:rPr>
        <w:softHyphen/>
        <w:t>ся во всех странах. Организуются специальные стратосферные школа по подготовке летного персо</w:t>
      </w:r>
      <w:r w:rsidRPr="00E14102">
        <w:rPr>
          <w:color w:val="000000" w:themeColor="text1"/>
          <w:sz w:val="16"/>
          <w:szCs w:val="16"/>
        </w:rPr>
        <w:softHyphen/>
        <w:t>нала, строятся камеры для испытания высотных мо</w:t>
      </w:r>
      <w:r w:rsidRPr="00E14102">
        <w:rPr>
          <w:color w:val="000000" w:themeColor="text1"/>
          <w:sz w:val="16"/>
          <w:szCs w:val="16"/>
        </w:rPr>
        <w:softHyphen/>
        <w:t>торов, изучается влияние стратосферы на человека и т.п.</w:t>
      </w:r>
    </w:p>
    <w:p w14:paraId="7EE942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Чем же об"ясяяетоя такая заинтересованность в овладении стратосферой?</w:t>
      </w:r>
    </w:p>
    <w:p w14:paraId="55AF55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одной сторона стратосфера открывает широкий путь для полетов о очень большими скоростями при всегда ясном небе, с другой стороны овладение стратосферой имеет несомненно большое военное значение. Пройти незамеченным через фронтовую полосу, вне досягаемости средств противовоздушной оборона, добраться до глубоких стратегических пунктов, сбросить бомбы, если нужно бесшумно сни</w:t>
      </w:r>
      <w:r w:rsidRPr="00E14102">
        <w:rPr>
          <w:color w:val="000000" w:themeColor="text1"/>
          <w:sz w:val="16"/>
          <w:szCs w:val="16"/>
        </w:rPr>
        <w:softHyphen/>
        <w:t>зиться, произвести фотос"емку и набирая высоту тем же путем уйти обратно. Так можно сформулиро</w:t>
      </w:r>
      <w:r w:rsidRPr="00E14102">
        <w:rPr>
          <w:color w:val="000000" w:themeColor="text1"/>
          <w:sz w:val="16"/>
          <w:szCs w:val="16"/>
        </w:rPr>
        <w:softHyphen/>
        <w:t>вать значение высотных полетов.</w:t>
      </w:r>
    </w:p>
    <w:p w14:paraId="4268D6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Как видно из графика рекордов высоты, прове</w:t>
      </w:r>
      <w:r w:rsidRPr="00E14102">
        <w:rPr>
          <w:color w:val="000000" w:themeColor="text1"/>
          <w:sz w:val="16"/>
          <w:szCs w:val="16"/>
        </w:rPr>
        <w:softHyphen/>
        <w:t>денная кривая еще не имеет тенденции загнуться книзу и следуя ей. а также и расчетным данным на высотах более 15-ти километров.</w:t>
      </w:r>
    </w:p>
    <w:p w14:paraId="4AF8B5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Такое развитие высотной авиации стало воз</w:t>
      </w:r>
      <w:r w:rsidRPr="00E14102">
        <w:rPr>
          <w:color w:val="000000" w:themeColor="text1"/>
          <w:sz w:val="16"/>
          <w:szCs w:val="16"/>
        </w:rPr>
        <w:softHyphen/>
        <w:t>можным на основе роста высотности моторов. На при</w:t>
      </w:r>
      <w:r w:rsidRPr="00E14102">
        <w:rPr>
          <w:color w:val="000000" w:themeColor="text1"/>
          <w:sz w:val="16"/>
          <w:szCs w:val="16"/>
        </w:rPr>
        <w:softHyphen/>
        <w:t>лагаемом графике даны высотные'характеристики .не</w:t>
      </w:r>
      <w:r w:rsidRPr="00E14102">
        <w:rPr>
          <w:color w:val="000000" w:themeColor="text1"/>
          <w:sz w:val="16"/>
          <w:szCs w:val="16"/>
        </w:rPr>
        <w:softHyphen/>
        <w:t>которых моторов. Эти моторы уже существуют реаль</w:t>
      </w:r>
      <w:r w:rsidRPr="00E14102">
        <w:rPr>
          <w:color w:val="000000" w:themeColor="text1"/>
          <w:sz w:val="16"/>
          <w:szCs w:val="16"/>
        </w:rPr>
        <w:softHyphen/>
        <w:t>но, но нам известно, что уже сейчас проходят ис</w:t>
      </w:r>
      <w:r w:rsidRPr="00E14102">
        <w:rPr>
          <w:color w:val="000000" w:themeColor="text1"/>
          <w:sz w:val="16"/>
          <w:szCs w:val="16"/>
        </w:rPr>
        <w:softHyphen/>
        <w:t>пытание нагнетатели, обеспечивающие полную мощность мотора на 6-8.000 метров и проектируются с еще большей высотностью.</w:t>
      </w:r>
    </w:p>
    <w:p w14:paraId="42643FA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Это еще раз подтверждает, что мы стоим на</w:t>
      </w:r>
      <w:r w:rsidRPr="00E14102">
        <w:rPr>
          <w:color w:val="000000" w:themeColor="text1"/>
          <w:sz w:val="16"/>
          <w:szCs w:val="16"/>
        </w:rPr>
        <w:softHyphen/>
        <w:t>кануне полетов на высоте от 12-ти до 16-ти кило</w:t>
      </w:r>
      <w:r w:rsidRPr="00E14102">
        <w:rPr>
          <w:color w:val="000000" w:themeColor="text1"/>
          <w:sz w:val="16"/>
          <w:szCs w:val="16"/>
        </w:rPr>
        <w:softHyphen/>
        <w:t>метров.</w:t>
      </w:r>
    </w:p>
    <w:p w14:paraId="1AEA1D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Положение нашего Союза таково, что мы ни на минуту не должны забывать о том, что в каждый дан</w:t>
      </w:r>
      <w:r w:rsidRPr="00E14102">
        <w:rPr>
          <w:color w:val="000000" w:themeColor="text1"/>
          <w:sz w:val="16"/>
          <w:szCs w:val="16"/>
        </w:rPr>
        <w:softHyphen/>
        <w:t>ный момент может возникнуть война. Л это обязывает нас быть готовыми не только к ведению войны на суше, на море, в воздухе, но и в стратосфере.</w:t>
      </w:r>
    </w:p>
    <w:p w14:paraId="2287A1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Условия боя в стратосфере</w:t>
      </w:r>
    </w:p>
    <w:p w14:paraId="48587BB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Рассматривая условия бол на высоте 10-12 километров, мы видим, что они весьма отличаются от земных. В самом деле, атмосфера там настолько раз</w:t>
      </w:r>
      <w:r w:rsidRPr="00E14102">
        <w:rPr>
          <w:color w:val="000000" w:themeColor="text1"/>
          <w:sz w:val="16"/>
          <w:szCs w:val="16"/>
        </w:rPr>
        <w:softHyphen/>
        <w:t>режена, что человек даже пользуясь кислородной маской, находится на грани потери сознания. Пилоты, летавшие'на высоте свыше 12-ти километров, ука</w:t>
      </w:r>
      <w:r w:rsidRPr="00E14102">
        <w:rPr>
          <w:color w:val="000000" w:themeColor="text1"/>
          <w:sz w:val="16"/>
          <w:szCs w:val="16"/>
        </w:rPr>
        <w:softHyphen/>
        <w:t xml:space="preserve">зывали почти единогласно на то, что ими овладевает сонливость, слабость и некоторые теряли .сознание, ; приходя в себя значительно позже на высоте 6-4-х </w:t>
      </w:r>
      <w:r w:rsidRPr="00E14102">
        <w:rPr>
          <w:color w:val="000000" w:themeColor="text1"/>
          <w:sz w:val="16"/>
          <w:szCs w:val="16"/>
          <w:vertAlign w:val="subscript"/>
        </w:rPr>
        <w:t xml:space="preserve">ж </w:t>
      </w:r>
      <w:r w:rsidRPr="00E14102">
        <w:rPr>
          <w:color w:val="000000" w:themeColor="text1"/>
          <w:sz w:val="16"/>
          <w:szCs w:val="16"/>
        </w:rPr>
        <w:t>километров, ото имело место в условиях спокойной работы с людьми длительно и тщательно готовившими</w:t>
      </w:r>
      <w:r w:rsidRPr="00E14102">
        <w:rPr>
          <w:color w:val="000000" w:themeColor="text1"/>
          <w:sz w:val="16"/>
          <w:szCs w:val="16"/>
        </w:rPr>
        <w:softHyphen/>
        <w:t>ся к полетам на этой высоте. В боевой обстановке от летчика и особенно от наблюдателя потребуется большое нервное напряжение и значительные мускуль</w:t>
      </w:r>
      <w:r w:rsidRPr="00E14102">
        <w:rPr>
          <w:color w:val="000000" w:themeColor="text1"/>
          <w:sz w:val="16"/>
          <w:szCs w:val="16"/>
        </w:rPr>
        <w:softHyphen/>
        <w:t>ные усилия, а это, как показывают врачебные иссле</w:t>
      </w:r>
      <w:r w:rsidRPr="00E14102">
        <w:rPr>
          <w:color w:val="000000" w:themeColor="text1"/>
          <w:sz w:val="16"/>
          <w:szCs w:val="16"/>
        </w:rPr>
        <w:softHyphen/>
        <w:t>дования, ограничивает активность человека высотой 9-10 километров.</w:t>
      </w:r>
    </w:p>
    <w:p w14:paraId="058DEC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Низкая температура влечет запотевание очков, а если их снять - смерзание век.</w:t>
      </w:r>
    </w:p>
    <w:p w14:paraId="30C324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Ниже мы рассмотрим бой 3-х истребителей на высоте 12-ти километров.</w:t>
      </w:r>
    </w:p>
    <w:p w14:paraId="496E92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Истребитель А ведет летчик, имеющий теплый комбинезон, очки и кислородную маску обычного типа. Истребитель А встречается о потребителем Б, имею</w:t>
      </w:r>
      <w:r w:rsidRPr="00E14102">
        <w:rPr>
          <w:color w:val="000000" w:themeColor="text1"/>
          <w:sz w:val="16"/>
          <w:szCs w:val="16"/>
        </w:rPr>
        <w:softHyphen/>
        <w:t>щим на борту пилота в скафандре^ Самочувствие пи</w:t>
      </w:r>
      <w:r w:rsidRPr="00E14102">
        <w:rPr>
          <w:color w:val="000000" w:themeColor="text1"/>
          <w:sz w:val="16"/>
          <w:szCs w:val="16"/>
        </w:rPr>
        <w:softHyphen/>
        <w:t>лота Б ( мы соответственно истребителям будем име</w:t>
      </w:r>
      <w:r w:rsidRPr="00E14102">
        <w:rPr>
          <w:color w:val="000000" w:themeColor="text1"/>
          <w:sz w:val="16"/>
          <w:szCs w:val="16"/>
        </w:rPr>
        <w:softHyphen/>
        <w:t>новать и летчика) будет во много раз лучше чем яа-лота А: давление в скафандре будет близким к ат</w:t>
      </w:r>
      <w:r w:rsidRPr="00E14102">
        <w:rPr>
          <w:color w:val="000000" w:themeColor="text1"/>
          <w:sz w:val="16"/>
          <w:szCs w:val="16"/>
        </w:rPr>
        <w:softHyphen/>
        <w:t>мосферному, воздух обогащенный кислородом наполняет скафандр. Правда, движения пилота стеснены раздувшимся скафандром, но несмотря на это высокое мо</w:t>
      </w:r>
      <w:r w:rsidRPr="00E14102">
        <w:rPr>
          <w:color w:val="000000" w:themeColor="text1"/>
          <w:sz w:val="16"/>
          <w:szCs w:val="16"/>
        </w:rPr>
        <w:softHyphen/>
        <w:t>ральной состояние и хорошев самочувствие решают боя в пользу пилота. Б.</w:t>
      </w:r>
    </w:p>
    <w:p w14:paraId="31EC2A7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этот момент появляется истребитель В в пи</w:t>
      </w:r>
      <w:r w:rsidRPr="00E14102">
        <w:rPr>
          <w:color w:val="000000" w:themeColor="text1"/>
          <w:sz w:val="16"/>
          <w:szCs w:val="16"/>
        </w:rPr>
        <w:softHyphen/>
        <w:t>лотом, сидящим в герметической кабине. Пилот В чувствует себя в кабине лучше, чем пилот Б, и тем фолее пилота. А. Легко дышится, тепло, никаких не</w:t>
      </w:r>
      <w:r w:rsidRPr="00E14102">
        <w:rPr>
          <w:color w:val="000000" w:themeColor="text1"/>
          <w:sz w:val="16"/>
          <w:szCs w:val="16"/>
        </w:rPr>
        <w:softHyphen/>
        <w:t>удобств от потока воздуха, движения свободны. Зеркальные стекла кабины, подогреваемые р целях предохранения от замерзания и снабженные кроме того электрическими дворниками дают великолепный обзор пилоту В. Пилот В легко выходит победителем.</w:t>
      </w:r>
    </w:p>
    <w:p w14:paraId="4C24D8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Многим покажутся эти рассуждения слишком про</w:t>
      </w:r>
      <w:r w:rsidRPr="00E14102">
        <w:rPr>
          <w:color w:val="000000" w:themeColor="text1"/>
          <w:sz w:val="16"/>
          <w:szCs w:val="16"/>
        </w:rPr>
        <w:softHyphen/>
        <w:t>стыми, но факт остается фактом. Двенадцать веловек, работающие в подводной лодке, во много раз боеспо</w:t>
      </w:r>
      <w:r w:rsidRPr="00E14102">
        <w:rPr>
          <w:color w:val="000000" w:themeColor="text1"/>
          <w:sz w:val="16"/>
          <w:szCs w:val="16"/>
        </w:rPr>
        <w:softHyphen/>
        <w:t>собнее, чем 100 водолазов, спущенных в воду в ововх водолазных костюмах.</w:t>
      </w:r>
    </w:p>
    <w:p w14:paraId="3C82B6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Самый простой и наиболее распространенный спо</w:t>
      </w:r>
      <w:r w:rsidRPr="00E14102">
        <w:rPr>
          <w:color w:val="000000" w:themeColor="text1"/>
          <w:sz w:val="16"/>
          <w:szCs w:val="16"/>
        </w:rPr>
        <w:softHyphen/>
        <w:t>соб (см. фото) состоит в том, что пилот одевает маску, в которую подается кислород по гофрированной трубке из прорезиненной материи. Употреблять чистые резино</w:t>
      </w:r>
      <w:r w:rsidRPr="00E14102">
        <w:rPr>
          <w:color w:val="000000" w:themeColor="text1"/>
          <w:sz w:val="16"/>
          <w:szCs w:val="16"/>
        </w:rPr>
        <w:softHyphen/>
        <w:t>вые трубки не рекомендуется, так как резина при низких температурах делается хрупкой и были неоднократ</w:t>
      </w:r>
      <w:r w:rsidRPr="00E14102">
        <w:rPr>
          <w:color w:val="000000" w:themeColor="text1"/>
          <w:sz w:val="16"/>
          <w:szCs w:val="16"/>
        </w:rPr>
        <w:softHyphen/>
        <w:t>ные случав обрыва трубок яа высоте. Это система от</w:t>
      </w:r>
      <w:r w:rsidRPr="00E14102">
        <w:rPr>
          <w:color w:val="000000" w:themeColor="text1"/>
          <w:sz w:val="16"/>
          <w:szCs w:val="16"/>
        </w:rPr>
        <w:softHyphen/>
        <w:t>крытая - пилот выдыхает в атмосферу.</w:t>
      </w:r>
    </w:p>
    <w:p w14:paraId="7D93FC0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Существует также закрытая система - когда пилот берет трубку, заканчивающуюся специальным наконечником; имеющим резиновую -шайбу,- которая закладывается между губами и «передними зубами. На нос одевается зажим.</w:t>
      </w:r>
    </w:p>
    <w:p w14:paraId="313828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Пилот вдыхает и выдыхает в смесительный мешок. Система клапанов устанавливает циркуляцию потока воздуха. Выдыхаемый пилотом воздух проходит через патрон со щелочью, где происходит поглощение углекислоты, выделяемой человеком при дыхании. В смесительный мешок все время подается кислород. ста система более при</w:t>
      </w:r>
      <w:r w:rsidRPr="00E14102">
        <w:rPr>
          <w:color w:val="000000" w:themeColor="text1"/>
          <w:sz w:val="16"/>
          <w:szCs w:val="16"/>
        </w:rPr>
        <w:softHyphen/>
        <w:t>годна цля герметической гондолы, так как устраняется накопление вредной углекислоты.</w:t>
      </w:r>
    </w:p>
    <w:p w14:paraId="52798A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Вместо баллона со сжатым кислородом можно упот</w:t>
      </w:r>
      <w:r w:rsidRPr="00E14102">
        <w:rPr>
          <w:color w:val="000000" w:themeColor="text1"/>
          <w:sz w:val="16"/>
          <w:szCs w:val="16"/>
        </w:rPr>
        <w:softHyphen/>
        <w:t>реблять сухой кислород. В этом случав плитка специаль</w:t>
      </w:r>
      <w:r w:rsidRPr="00E14102">
        <w:rPr>
          <w:color w:val="000000" w:themeColor="text1"/>
          <w:sz w:val="16"/>
          <w:szCs w:val="16"/>
        </w:rPr>
        <w:softHyphen/>
        <w:t>ного состава закладывается в металлический цилиндр и -плотно закрывается. Под действием электрического запала начинается химическая реакция, при которой вы</w:t>
      </w:r>
      <w:r w:rsidRPr="00E14102">
        <w:rPr>
          <w:color w:val="000000" w:themeColor="text1"/>
          <w:sz w:val="16"/>
          <w:szCs w:val="16"/>
        </w:rPr>
        <w:softHyphen/>
        <w:t>деляется кислород. Кислород проходи? через фильтр и поступает в смесительный мешок -и далее как в прежней схеме. Вместо баллонов со сжатым кислородом и сухого кислорода можно применять жидкий-киолород, наливаемый в дюаровский сосуд, снабженный испарителем. При по</w:t>
      </w:r>
      <w:r w:rsidRPr="00E14102">
        <w:rPr>
          <w:color w:val="000000" w:themeColor="text1"/>
          <w:sz w:val="16"/>
          <w:szCs w:val="16"/>
        </w:rPr>
        <w:softHyphen/>
        <w:t>ворачивании регулятора кислород поступает в испари</w:t>
      </w:r>
      <w:r w:rsidRPr="00E14102">
        <w:rPr>
          <w:color w:val="000000" w:themeColor="text1"/>
          <w:sz w:val="16"/>
          <w:szCs w:val="16"/>
        </w:rPr>
        <w:softHyphen/>
        <w:t>тель и далее к пилоту.</w:t>
      </w:r>
    </w:p>
    <w:p w14:paraId="1BCF07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Второй способ - это применение скафандра.На фото изображен скафандр изготовленный для летчика ПОСТ. Скафандр представляет собой костюм, сшитый из воздухонепроницаемой ткани, которая долена иметь достаточную прочность, чтобы выдерживать разницу между давлением внутри скафандра и наружным. Для головы делается обычна металлическая маска со стеклами протев глаз. Система питания киолородои - замкнутая. Может быть применена и система искусственной вентиляции, когда воздух отводимый от импеллера или от специального ком</w:t>
      </w:r>
      <w:r w:rsidRPr="00E14102">
        <w:rPr>
          <w:color w:val="000000" w:themeColor="text1"/>
          <w:sz w:val="16"/>
          <w:szCs w:val="16"/>
        </w:rPr>
        <w:softHyphen/>
        <w:t>прессора, очищенный от примеси масла, прогоняется че</w:t>
      </w:r>
      <w:r w:rsidRPr="00E14102">
        <w:rPr>
          <w:color w:val="000000" w:themeColor="text1"/>
          <w:sz w:val="16"/>
          <w:szCs w:val="16"/>
        </w:rPr>
        <w:softHyphen/>
        <w:t>рез скафандр.</w:t>
      </w:r>
    </w:p>
    <w:p w14:paraId="705643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Скафандр является'весьма пригодным средством для совершения под"ема в стратосферу на любую высоту на самолетах, не имеющих герметической кабины. Хорошего образца скафандра мы еще не имеем, так как трудно осуществить герметическое соединение отдельных частей костюма. Кроме того возникают неприятности с выпуск</w:t>
      </w:r>
      <w:r w:rsidRPr="00E14102">
        <w:rPr>
          <w:color w:val="000000" w:themeColor="text1"/>
          <w:sz w:val="16"/>
          <w:szCs w:val="16"/>
        </w:rPr>
        <w:softHyphen/>
        <w:t>ным клапаном, через ятзторый выходит избыток воздуха из скафандра, т.к. влага содержащаяся в выходящем воздухе конденсируется и обмерзающий клапан переатает-работать. Неудобство для пило.та представляет также раздутие скафандра, затрудняющее огибание руки, паль</w:t>
      </w:r>
      <w:r w:rsidRPr="00E14102">
        <w:rPr>
          <w:color w:val="000000" w:themeColor="text1"/>
          <w:sz w:val="16"/>
          <w:szCs w:val="16"/>
        </w:rPr>
        <w:softHyphen/>
        <w:t>цев и ноги в суставах. Все эти трудности при соответ</w:t>
      </w:r>
      <w:r w:rsidRPr="00E14102">
        <w:rPr>
          <w:color w:val="000000" w:themeColor="text1"/>
          <w:sz w:val="16"/>
          <w:szCs w:val="16"/>
        </w:rPr>
        <w:softHyphen/>
        <w:t>ствующей проработке скафандра могут быть устранена.</w:t>
      </w:r>
    </w:p>
    <w:p w14:paraId="386B14A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Третий способ - это герметическая кабина приме</w:t>
      </w:r>
      <w:r w:rsidRPr="00E14102">
        <w:rPr>
          <w:color w:val="000000" w:themeColor="text1"/>
          <w:sz w:val="16"/>
          <w:szCs w:val="16"/>
        </w:rPr>
        <w:softHyphen/>
        <w:t>няемая обычно, на стратопланах. Кабина представлявлякт собой обычно металлический цилиндр. Герметический люк позволяет пилоту войти внутр'ь кабины и совершенно изолироваться от внешней среды. Для обеспечения дыха</w:t>
      </w:r>
      <w:r w:rsidRPr="00E14102">
        <w:rPr>
          <w:color w:val="000000" w:themeColor="text1"/>
          <w:sz w:val="16"/>
          <w:szCs w:val="16"/>
        </w:rPr>
        <w:softHyphen/>
        <w:t>ния пилотов применяется любая из перечисленных систем кислородного оборудования, но обязательно о прибором, очищающим воздух от углекислоты. Кислород поступает непосредственно в кабину и пилоты избавляются от не</w:t>
      </w:r>
      <w:r w:rsidRPr="00E14102">
        <w:rPr>
          <w:color w:val="000000" w:themeColor="text1"/>
          <w:sz w:val="16"/>
          <w:szCs w:val="16"/>
        </w:rPr>
        <w:softHyphen/>
        <w:t>обходимости дераать трубку во рту или маоку на лице. В случае искусственной вентиляции поглотители угле—-кислоты могут отсутствовать. Окна кайины" устраиваются либо в боковых стенках цилиндра, либо в специальных башенных надстройках над головой пилота. Вое органа управления выводятся наружу через герметические саль</w:t>
      </w:r>
      <w:r w:rsidRPr="00E14102">
        <w:rPr>
          <w:color w:val="000000" w:themeColor="text1"/>
          <w:sz w:val="16"/>
          <w:szCs w:val="16"/>
        </w:rPr>
        <w:softHyphen/>
        <w:t>ники. Для поддержания нормальной температуры в кабине она снабжается тепловой изоляцией и устраивается по</w:t>
      </w:r>
      <w:r w:rsidRPr="00E14102">
        <w:rPr>
          <w:color w:val="000000" w:themeColor="text1"/>
          <w:sz w:val="16"/>
          <w:szCs w:val="16"/>
        </w:rPr>
        <w:softHyphen/>
        <w:t>догрев отходящими газами.</w:t>
      </w:r>
    </w:p>
    <w:p w14:paraId="7F0411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Кабину я считаю обязательное для боевых полетов свыше 10-ти километров, т.к. она обеспечивает наилуч</w:t>
      </w:r>
      <w:r w:rsidRPr="00E14102">
        <w:rPr>
          <w:color w:val="000000" w:themeColor="text1"/>
          <w:sz w:val="16"/>
          <w:szCs w:val="16"/>
        </w:rPr>
        <w:softHyphen/>
        <w:t>шую работоспособность экипажа.</w:t>
      </w:r>
    </w:p>
    <w:p w14:paraId="5A25017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Первым и существенным требованием к кабине является - хороший обзор. Достигается обустройством цилиндрической или конусообразной башни над головой пилота и наблюдателя. Башня имеет стекла дающие кру</w:t>
      </w:r>
      <w:r w:rsidRPr="00E14102">
        <w:rPr>
          <w:color w:val="000000" w:themeColor="text1"/>
          <w:sz w:val="16"/>
          <w:szCs w:val="16"/>
        </w:rPr>
        <w:softHyphen/>
        <w:t>говой обзор. Для обзора земли непосредственно под самолетом в полу кабины делаются такне окна и иокет быть установлен специальный перископ с больший угяои зрения. Устройством подогрева электрического или в 'ви де отруи теплоро воздуха от глушителя мотора, отекла должны быть предохранены от замерзания. Запотевание/ устраняется электрический дворником.</w:t>
      </w:r>
    </w:p>
    <w:p w14:paraId="58B6F4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случае одноцветного истребителя прицеп_поме-щается вне кабины перед передний окном. Управление огнем пулемета производится нажатием рычажка на руч</w:t>
      </w:r>
      <w:r w:rsidRPr="00E14102">
        <w:rPr>
          <w:color w:val="000000" w:themeColor="text1"/>
          <w:sz w:val="16"/>
          <w:szCs w:val="16"/>
        </w:rPr>
        <w:softHyphen/>
        <w:t>ке управления. Вывод управления огней из герметичес</w:t>
      </w:r>
      <w:r w:rsidRPr="00E14102">
        <w:rPr>
          <w:color w:val="000000" w:themeColor="text1"/>
          <w:sz w:val="16"/>
          <w:szCs w:val="16"/>
        </w:rPr>
        <w:softHyphen/>
        <w:t>кой кабины никакого затруднения не представляет.</w:t>
      </w:r>
    </w:p>
    <w:p w14:paraId="7DD44EC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Значительно сложнее получается управление задним турельным пулеметом в случае двухместного самолета. Здесь намечаются следующие устройства: пулемет укреп</w:t>
      </w:r>
      <w:r w:rsidRPr="00E14102">
        <w:rPr>
          <w:color w:val="000000" w:themeColor="text1"/>
          <w:sz w:val="16"/>
          <w:szCs w:val="16"/>
        </w:rPr>
        <w:softHyphen/>
        <w:t>ляется вне кабины таким образом, чтобы от действия двух электромоторов, он мог занимать любое положение. Механический прицел располагается так, чтобы он на</w:t>
      </w:r>
      <w:r w:rsidRPr="00E14102">
        <w:rPr>
          <w:color w:val="000000" w:themeColor="text1"/>
          <w:sz w:val="16"/>
          <w:szCs w:val="16"/>
        </w:rPr>
        <w:softHyphen/>
        <w:t>ходился против глаза наблюдателя. Наблюдатель поме</w:t>
      </w:r>
      <w:r w:rsidRPr="00E14102">
        <w:rPr>
          <w:color w:val="000000" w:themeColor="text1"/>
          <w:sz w:val="16"/>
          <w:szCs w:val="16"/>
        </w:rPr>
        <w:softHyphen/>
        <w:t>щается на поворачивающем сидении. Сидение вращается помощью электромотора одноЕременко с поворачиванием турельного кольца. Пилот имеет два рычага: поворота по горизонтали и под"ема пулемета по вертикали. На. одйом из рычаго* имеется гашетка для открытия огня.</w:t>
      </w:r>
    </w:p>
    <w:p w14:paraId="54DF3D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Могут быть и другие варианты. Особенно трудно осуществить прострел задней полусферы.</w:t>
      </w:r>
    </w:p>
    <w:p w14:paraId="134BFD6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Эти вопросы Бюро Особых Конструкций завода №35 сейчас прорабатывает применительно к проектируемому стратосферному разведчику, являющемуся модификацией стратосфер ного самолета БОК-1 (ее), находящегося сейчас в постройке на заводе № 35 (Смоленск).</w:t>
      </w:r>
    </w:p>
    <w:p w14:paraId="6545A0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Чрезвычайно интересный является"вопрос защиты кабины от огня противника. Здесь могут быть ряд ва</w:t>
      </w:r>
      <w:r w:rsidRPr="00E14102">
        <w:rPr>
          <w:color w:val="000000" w:themeColor="text1"/>
          <w:sz w:val="16"/>
          <w:szCs w:val="16"/>
        </w:rPr>
        <w:softHyphen/>
        <w:t>риантов: 1. Двойные стенки со специальной прокладкой 2. Стенки кабины из брони.</w:t>
      </w:r>
    </w:p>
    <w:p w14:paraId="3B3001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Окна в случае выступающей башни могут прикры</w:t>
      </w:r>
      <w:r w:rsidRPr="00E14102">
        <w:rPr>
          <w:color w:val="000000" w:themeColor="text1"/>
          <w:sz w:val="16"/>
          <w:szCs w:val="16"/>
        </w:rPr>
        <w:softHyphen/>
        <w:t>ваться стальным колпаком с прорезями, имеющим быстрое вращение (на подобие танковых башен).</w:t>
      </w:r>
    </w:p>
    <w:p w14:paraId="3BA905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пулеметам устанавливаемым на высотных самоле</w:t>
      </w:r>
      <w:r w:rsidRPr="00E14102">
        <w:rPr>
          <w:color w:val="000000" w:themeColor="text1"/>
          <w:sz w:val="16"/>
          <w:szCs w:val="16"/>
        </w:rPr>
        <w:softHyphen/>
        <w:t>тах и стратопланах должны быть пред"явлены требования безукоризненной работы при.низких температурах, что можно достигнуть применением специальной смазки.</w:t>
      </w:r>
    </w:p>
    <w:p w14:paraId="5E4A41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Бомбометание о больших высот требует проработки и создания специальных прицелов.</w:t>
      </w:r>
    </w:p>
    <w:p w14:paraId="61C21B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этого трассирования требуется специальная широкоугольная камера.</w:t>
      </w:r>
    </w:p>
    <w:p w14:paraId="6E96ED4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Заканчивая этот краткий обзор, я хотел бы остановиться на конкретных выводах, которые можно было бы сделать исходя из вышеизложенного.</w:t>
      </w:r>
    </w:p>
    <w:p w14:paraId="2F1A343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Необходимо вновь оживить темпы работы по высотный вопросам, в частности потребовать от авиа</w:t>
      </w:r>
      <w:r w:rsidRPr="00E14102">
        <w:rPr>
          <w:color w:val="000000" w:themeColor="text1"/>
          <w:sz w:val="16"/>
          <w:szCs w:val="16"/>
        </w:rPr>
        <w:softHyphen/>
        <w:t>ционной промышленности безусловного окончания страто</w:t>
      </w:r>
      <w:r w:rsidRPr="00E14102">
        <w:rPr>
          <w:color w:val="000000" w:themeColor="text1"/>
          <w:sz w:val="16"/>
          <w:szCs w:val="16"/>
        </w:rPr>
        <w:softHyphen/>
        <w:t>плана БОК-1 (ос) в первой половине 1935 года, построй</w:t>
      </w:r>
      <w:r w:rsidRPr="00E14102">
        <w:rPr>
          <w:color w:val="000000" w:themeColor="text1"/>
          <w:sz w:val="16"/>
          <w:szCs w:val="16"/>
        </w:rPr>
        <w:softHyphen/>
        <w:t>ка которого тянется уне третий год, а между тем поль</w:t>
      </w:r>
      <w:r w:rsidRPr="00E14102">
        <w:rPr>
          <w:color w:val="000000" w:themeColor="text1"/>
          <w:sz w:val="16"/>
          <w:szCs w:val="16"/>
        </w:rPr>
        <w:softHyphen/>
        <w:t>зуясь этим самолетом с мотором М-34 РН можно совер</w:t>
      </w:r>
      <w:r w:rsidRPr="00E14102">
        <w:rPr>
          <w:color w:val="000000" w:themeColor="text1"/>
          <w:sz w:val="16"/>
          <w:szCs w:val="16"/>
        </w:rPr>
        <w:softHyphen/>
        <w:t>шать полеты до 10-11 километров высоты и прорабаты</w:t>
      </w:r>
      <w:r w:rsidRPr="00E14102">
        <w:rPr>
          <w:color w:val="000000" w:themeColor="text1"/>
          <w:sz w:val="16"/>
          <w:szCs w:val="16"/>
        </w:rPr>
        <w:softHyphen/>
        <w:t>вать гее новые вопросы, которые возникли в связи с введением герметической кабины.</w:t>
      </w:r>
    </w:p>
    <w:p w14:paraId="1B51A6B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Немедленно приступить к приспособлению истребителя в разведчика к высотным полетам путем устрой</w:t>
      </w:r>
      <w:r w:rsidRPr="00E14102">
        <w:rPr>
          <w:color w:val="000000" w:themeColor="text1"/>
          <w:sz w:val="16"/>
          <w:szCs w:val="16"/>
        </w:rPr>
        <w:softHyphen/>
        <w:t>ства герметических кайвн. Этот вопрос наше Бюро нача</w:t>
      </w:r>
      <w:r w:rsidRPr="00E14102">
        <w:rPr>
          <w:color w:val="000000" w:themeColor="text1"/>
          <w:sz w:val="16"/>
          <w:szCs w:val="16"/>
        </w:rPr>
        <w:softHyphen/>
        <w:t>ло прорабатывать еще в прошлом гоДу, но мы на эту ра</w:t>
      </w:r>
      <w:r w:rsidRPr="00E14102">
        <w:rPr>
          <w:color w:val="000000" w:themeColor="text1"/>
          <w:sz w:val="16"/>
          <w:szCs w:val="16"/>
        </w:rPr>
        <w:softHyphen/>
        <w:t>боту не имеем задания на 1935 год,</w:t>
      </w:r>
    </w:p>
    <w:p w14:paraId="26750B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качестве конкретных самолетов могут быть взяты И-16 и И-15.</w:t>
      </w:r>
    </w:p>
    <w:p w14:paraId="73556AF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Ускорить работы по скафандрам.</w:t>
      </w:r>
    </w:p>
    <w:p w14:paraId="2EF5505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Создать легкое и безотказное электрическое управлением пулеметом.</w:t>
      </w:r>
    </w:p>
    <w:p w14:paraId="1418AF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Создать специальные прицелы как для пулеметов, так и для бомбометания с больших высот.</w:t>
      </w:r>
    </w:p>
    <w:p w14:paraId="122368B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Дать задание промышленности на создание стандартного оборудования для стратопланов:</w:t>
      </w:r>
    </w:p>
    <w:p w14:paraId="7374904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кислородный прибор (с жидким кислородом)</w:t>
      </w:r>
    </w:p>
    <w:p w14:paraId="59D04A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регенеративную машинку для поглощения угле</w:t>
      </w:r>
      <w:r w:rsidRPr="00E14102">
        <w:rPr>
          <w:color w:val="000000" w:themeColor="text1"/>
          <w:sz w:val="16"/>
          <w:szCs w:val="16"/>
        </w:rPr>
        <w:softHyphen/>
        <w:t>кислоты.</w:t>
      </w:r>
    </w:p>
    <w:p w14:paraId="26D999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приборы скорости и уклономеры, могущие быть помещенными в герметической кабине.</w:t>
      </w:r>
    </w:p>
    <w:p w14:paraId="04D59E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НАЧАЛЬНИК БЮРО ОСОБЫХ КОНСТРУКЦИЙ ЗАВОДА № 35 (ЧИЖЕВСКИЙ В.А.) 11 января 1935 (2336,27).</w:t>
      </w:r>
    </w:p>
    <w:p w14:paraId="1220F2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516D6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11 января 1935 г. - из приказа Наркомтяжпрома № 64 об итогах работы авиа­промышленности за 1934 г. </w:t>
      </w:r>
    </w:p>
    <w:p w14:paraId="28278A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Авиационная промышленность за 1934 г. сделала новый шаг вперед в деле повышения качества самолетов и моторов. Это достигнуто на основе реализации решений XVII съезда партии и личных указаний тов. Сталина. Но задачи, стоящие перед авиационной промышленностью, еще более сложны и требуют максимальной мобилизации всего коллектива работников авиапромышленности иа выполнение задач, поставленных перед ними на 1935 г. </w:t>
      </w:r>
    </w:p>
    <w:p w14:paraId="0FF77F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Необходимо все силы направить на достижение безопасности полета, решительно улучшив качество самолетов и моторов. Летчик в советском самолете должен чувствовать себя в полной безопасности и быть уверенным в том, что самолет его не подведет. </w:t>
      </w:r>
    </w:p>
    <w:p w14:paraId="24E21E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борьбе за дальнейшее увеличение скоростей самолета необходима серьезная систематическая работа опытных и серийных заводов по созданию еще более высокой аэродинамической культуры. </w:t>
      </w:r>
    </w:p>
    <w:p w14:paraId="11A78B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 xml:space="preserve">Моторные заводы и институты обязаны приложить все силы к тому, чтобы новые моторы, внедряемые нами в серийное производство, обеспечили бы дальнейшее улучшение летных данных самолетов и безопасность полетов. Здесь не может быть места самоуспокоению. Ни в какой отрасли промышленности не требуется такого повседневного технического усовершенствования и ее беспрерывного движения вперед, как в авиационной промышленности. </w:t>
      </w:r>
    </w:p>
    <w:p w14:paraId="638F34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1935 г. должен быть полностью выполнен.</w:t>
      </w:r>
    </w:p>
    <w:p w14:paraId="07D013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Народный комиссар тяжелой промышленности </w:t>
      </w:r>
    </w:p>
    <w:p w14:paraId="548B1D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 Орджоникидзе </w:t>
      </w:r>
    </w:p>
    <w:p w14:paraId="77F9AA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ЦГАНХ СССР, ф. 7297, on. 1, д. 67, л. 117. Заверенная копия (12053).</w:t>
      </w:r>
    </w:p>
    <w:p w14:paraId="401A48A0" w14:textId="77777777" w:rsidR="00D4105E" w:rsidRPr="00E14102" w:rsidRDefault="00D4105E" w:rsidP="00E14102">
      <w:pPr>
        <w:autoSpaceDE w:val="0"/>
        <w:autoSpaceDN w:val="0"/>
        <w:adjustRightInd w:val="0"/>
        <w:jc w:val="both"/>
        <w:rPr>
          <w:color w:val="000000" w:themeColor="text1"/>
          <w:sz w:val="16"/>
          <w:szCs w:val="16"/>
        </w:rPr>
      </w:pPr>
    </w:p>
    <w:p w14:paraId="4B60E6FC" w14:textId="77777777" w:rsidR="005D4A18" w:rsidRPr="00E14102" w:rsidRDefault="005D4A18" w:rsidP="00E14102">
      <w:pPr>
        <w:jc w:val="both"/>
        <w:rPr>
          <w:color w:val="000000" w:themeColor="text1"/>
          <w:sz w:val="16"/>
          <w:szCs w:val="16"/>
        </w:rPr>
      </w:pPr>
      <w:r w:rsidRPr="00E14102">
        <w:rPr>
          <w:color w:val="000000" w:themeColor="text1"/>
          <w:sz w:val="16"/>
          <w:szCs w:val="16"/>
        </w:rPr>
        <w:t xml:space="preserve">11 января 1935 г. </w:t>
      </w:r>
      <w:r w:rsidRPr="00E14102">
        <w:rPr>
          <w:rStyle w:val="a3"/>
          <w:b w:val="0"/>
          <w:bCs w:val="0"/>
          <w:color w:val="000000" w:themeColor="text1"/>
          <w:sz w:val="16"/>
          <w:szCs w:val="16"/>
        </w:rPr>
        <w:t>Из приказа Наркомтяжпрома № 64 об итогах работы авиа</w:t>
      </w:r>
      <w:r w:rsidRPr="00E14102">
        <w:rPr>
          <w:rStyle w:val="a3"/>
          <w:b w:val="0"/>
          <w:bCs w:val="0"/>
          <w:color w:val="000000" w:themeColor="text1"/>
          <w:sz w:val="16"/>
          <w:szCs w:val="16"/>
        </w:rPr>
        <w:softHyphen/>
        <w:t>промышленности за 1934 г.</w:t>
      </w:r>
    </w:p>
    <w:p w14:paraId="5F8A289D" w14:textId="77777777" w:rsidR="005259F6" w:rsidRPr="00E14102" w:rsidRDefault="005259F6" w:rsidP="00E14102">
      <w:pPr>
        <w:jc w:val="both"/>
        <w:rPr>
          <w:color w:val="000000" w:themeColor="text1"/>
          <w:sz w:val="16"/>
          <w:szCs w:val="16"/>
        </w:rPr>
      </w:pPr>
      <w:r w:rsidRPr="00E14102">
        <w:rPr>
          <w:color w:val="000000" w:themeColor="text1"/>
          <w:sz w:val="16"/>
          <w:szCs w:val="16"/>
        </w:rPr>
        <w:t>Авиационная промышленность за 1934 г. сделала новый шаг вперед в деле повышения качества самолетов и моторов. Это достигнуто на основе реализации решений XVII съезда партии и личных указаний тов. Сталина. Но задачи, стоящие перед авиационной промышленностью, еще более сложны и требуют максимальной мобилизации всего коллектива работников авиапромышленности иа выполнение задач, поставленных перед ними на 1935 г.</w:t>
      </w:r>
    </w:p>
    <w:p w14:paraId="5244EB6C" w14:textId="77777777" w:rsidR="005259F6" w:rsidRPr="00E14102" w:rsidRDefault="005259F6" w:rsidP="00E14102">
      <w:pPr>
        <w:jc w:val="both"/>
        <w:rPr>
          <w:color w:val="000000" w:themeColor="text1"/>
          <w:sz w:val="16"/>
          <w:szCs w:val="16"/>
        </w:rPr>
      </w:pPr>
      <w:r w:rsidRPr="00E14102">
        <w:rPr>
          <w:color w:val="000000" w:themeColor="text1"/>
          <w:sz w:val="16"/>
          <w:szCs w:val="16"/>
        </w:rPr>
        <w:t>Необходимо все силы направить на достижение безопасности полета, решительно улучшив качество самолетов и моторов. Летчик в советском самолете должен чувствовать себя в полной безопасности и быть уверенным в том, что самолет его не подведет.</w:t>
      </w:r>
    </w:p>
    <w:p w14:paraId="390866A7" w14:textId="77777777" w:rsidR="005259F6" w:rsidRPr="00E14102" w:rsidRDefault="005259F6" w:rsidP="00E14102">
      <w:pPr>
        <w:jc w:val="both"/>
        <w:rPr>
          <w:color w:val="000000" w:themeColor="text1"/>
          <w:sz w:val="16"/>
          <w:szCs w:val="16"/>
        </w:rPr>
      </w:pPr>
      <w:r w:rsidRPr="00E14102">
        <w:rPr>
          <w:color w:val="000000" w:themeColor="text1"/>
          <w:sz w:val="16"/>
          <w:szCs w:val="16"/>
        </w:rPr>
        <w:t>В борьбе за дальнейшее увеличение скоростей самолета необходима серьезная систематическая работа опытных и серийных заводов по созданию еще более высокой аэродинамической культуры.</w:t>
      </w:r>
    </w:p>
    <w:p w14:paraId="1256D509" w14:textId="77777777" w:rsidR="005259F6" w:rsidRPr="00E14102" w:rsidRDefault="005259F6" w:rsidP="00E14102">
      <w:pPr>
        <w:jc w:val="both"/>
        <w:rPr>
          <w:color w:val="000000" w:themeColor="text1"/>
          <w:sz w:val="16"/>
          <w:szCs w:val="16"/>
        </w:rPr>
      </w:pPr>
      <w:r w:rsidRPr="00E14102">
        <w:rPr>
          <w:color w:val="000000" w:themeColor="text1"/>
          <w:sz w:val="16"/>
          <w:szCs w:val="16"/>
        </w:rPr>
        <w:t>Моторные заводы и институты обязаны приложить все силы к тому, чтобы новые моторы, внедряемые нами в серийное производство, обеспечили бы дальнейшее улучшение летных данных самолетов и безопасность полетов. Здесь не может быть места самоуспокоению. Ни в какой отрасли промышленности не требуется такого повседневного технического усовершенствования и ее беспрерывного движения вперед, как в авиационной промышленности.</w:t>
      </w:r>
    </w:p>
    <w:p w14:paraId="28376EDF" w14:textId="77777777" w:rsidR="005259F6" w:rsidRPr="00E14102" w:rsidRDefault="005259F6" w:rsidP="00E14102">
      <w:pPr>
        <w:jc w:val="both"/>
        <w:rPr>
          <w:color w:val="000000" w:themeColor="text1"/>
          <w:sz w:val="16"/>
          <w:szCs w:val="16"/>
        </w:rPr>
      </w:pPr>
      <w:r w:rsidRPr="00E14102">
        <w:rPr>
          <w:color w:val="000000" w:themeColor="text1"/>
          <w:sz w:val="16"/>
          <w:szCs w:val="16"/>
        </w:rPr>
        <w:t>План 1935 г. должен быть полностью выполнен. [14]</w:t>
      </w:r>
    </w:p>
    <w:p w14:paraId="71A5281E" w14:textId="77777777" w:rsidR="005259F6" w:rsidRPr="00E14102" w:rsidRDefault="005259F6" w:rsidP="00E14102">
      <w:pPr>
        <w:jc w:val="both"/>
        <w:rPr>
          <w:color w:val="000000" w:themeColor="text1"/>
          <w:sz w:val="16"/>
          <w:szCs w:val="16"/>
        </w:rPr>
      </w:pPr>
      <w:r w:rsidRPr="00E14102">
        <w:rPr>
          <w:color w:val="000000" w:themeColor="text1"/>
          <w:sz w:val="16"/>
          <w:szCs w:val="16"/>
        </w:rPr>
        <w:t>Народный комиссар тяжелой промышленности</w:t>
      </w:r>
    </w:p>
    <w:p w14:paraId="6800EF32" w14:textId="77777777" w:rsidR="005259F6" w:rsidRPr="00E14102" w:rsidRDefault="005259F6" w:rsidP="00E14102">
      <w:pPr>
        <w:jc w:val="both"/>
        <w:rPr>
          <w:color w:val="000000" w:themeColor="text1"/>
          <w:sz w:val="16"/>
          <w:szCs w:val="16"/>
        </w:rPr>
      </w:pPr>
      <w:r w:rsidRPr="00E14102">
        <w:rPr>
          <w:color w:val="000000" w:themeColor="text1"/>
          <w:sz w:val="16"/>
          <w:szCs w:val="16"/>
        </w:rPr>
        <w:t>С. Орджоникидзе</w:t>
      </w:r>
    </w:p>
    <w:p w14:paraId="06E54B60" w14:textId="77777777" w:rsidR="005259F6" w:rsidRPr="00E14102" w:rsidRDefault="005259F6" w:rsidP="00E14102">
      <w:pPr>
        <w:jc w:val="both"/>
        <w:rPr>
          <w:color w:val="000000" w:themeColor="text1"/>
          <w:sz w:val="16"/>
          <w:szCs w:val="16"/>
        </w:rPr>
      </w:pPr>
      <w:r w:rsidRPr="00E14102">
        <w:rPr>
          <w:rStyle w:val="a6"/>
          <w:i w:val="0"/>
          <w:color w:val="000000" w:themeColor="text1"/>
          <w:sz w:val="16"/>
          <w:szCs w:val="16"/>
        </w:rPr>
        <w:t>ЦГАНХ СССР, ф. 7297, on. 1, д. 67, л. 117. Заверенная копия.</w:t>
      </w:r>
    </w:p>
    <w:p w14:paraId="25895F2B" w14:textId="77777777" w:rsidR="005259F6" w:rsidRPr="00E14102" w:rsidRDefault="005259F6" w:rsidP="00E14102">
      <w:pPr>
        <w:jc w:val="both"/>
        <w:rPr>
          <w:color w:val="000000" w:themeColor="text1"/>
          <w:sz w:val="16"/>
          <w:szCs w:val="16"/>
        </w:rPr>
      </w:pPr>
      <w:r w:rsidRPr="00E14102">
        <w:rPr>
          <w:rStyle w:val="a3"/>
          <w:b w:val="0"/>
          <w:color w:val="000000" w:themeColor="text1"/>
          <w:sz w:val="16"/>
          <w:szCs w:val="16"/>
        </w:rPr>
        <w:t>[1]</w:t>
      </w:r>
      <w:r w:rsidRPr="00E14102">
        <w:rPr>
          <w:color w:val="000000" w:themeColor="text1"/>
          <w:sz w:val="16"/>
          <w:szCs w:val="16"/>
        </w:rPr>
        <w:t xml:space="preserve"> Опущена ориентировочная номенклатура производства станков на за</w:t>
      </w:r>
      <w:r w:rsidRPr="00E14102">
        <w:rPr>
          <w:color w:val="000000" w:themeColor="text1"/>
          <w:sz w:val="16"/>
          <w:szCs w:val="16"/>
        </w:rPr>
        <w:softHyphen/>
        <w:t>водах Станкообъединения.</w:t>
      </w:r>
    </w:p>
    <w:p w14:paraId="2214BE6D" w14:textId="77777777" w:rsidR="005259F6" w:rsidRPr="00E14102" w:rsidRDefault="005259F6" w:rsidP="00E14102">
      <w:pPr>
        <w:jc w:val="both"/>
        <w:rPr>
          <w:color w:val="000000" w:themeColor="text1"/>
          <w:sz w:val="16"/>
          <w:szCs w:val="16"/>
        </w:rPr>
      </w:pPr>
      <w:r w:rsidRPr="00E14102">
        <w:rPr>
          <w:rStyle w:val="a3"/>
          <w:b w:val="0"/>
          <w:color w:val="000000" w:themeColor="text1"/>
          <w:sz w:val="16"/>
          <w:szCs w:val="16"/>
        </w:rPr>
        <w:t>[2]</w:t>
      </w:r>
      <w:r w:rsidRPr="00E14102">
        <w:rPr>
          <w:color w:val="000000" w:themeColor="text1"/>
          <w:sz w:val="16"/>
          <w:szCs w:val="16"/>
        </w:rPr>
        <w:t xml:space="preserve"> Датируется по содержанию опущенной части документа.</w:t>
      </w:r>
    </w:p>
    <w:p w14:paraId="10DA3238" w14:textId="77777777" w:rsidR="005259F6" w:rsidRPr="00E14102" w:rsidRDefault="005259F6" w:rsidP="00E14102">
      <w:pPr>
        <w:jc w:val="both"/>
        <w:rPr>
          <w:color w:val="000000" w:themeColor="text1"/>
          <w:sz w:val="16"/>
          <w:szCs w:val="16"/>
        </w:rPr>
      </w:pPr>
      <w:r w:rsidRPr="00E14102">
        <w:rPr>
          <w:rStyle w:val="a3"/>
          <w:b w:val="0"/>
          <w:color w:val="000000" w:themeColor="text1"/>
          <w:sz w:val="16"/>
          <w:szCs w:val="16"/>
        </w:rPr>
        <w:t>[3]</w:t>
      </w:r>
      <w:r w:rsidRPr="00E14102">
        <w:rPr>
          <w:color w:val="000000" w:themeColor="text1"/>
          <w:sz w:val="16"/>
          <w:szCs w:val="16"/>
        </w:rPr>
        <w:t xml:space="preserve"> Опущены сведения об условиях конкурса и об итогах конкурса по выпуску автомобилей и запасных частей.</w:t>
      </w:r>
    </w:p>
    <w:p w14:paraId="1DC540EC" w14:textId="77777777" w:rsidR="005259F6" w:rsidRPr="00E14102" w:rsidRDefault="005259F6" w:rsidP="00E14102">
      <w:pPr>
        <w:jc w:val="both"/>
        <w:rPr>
          <w:color w:val="000000" w:themeColor="text1"/>
          <w:sz w:val="16"/>
          <w:szCs w:val="16"/>
        </w:rPr>
      </w:pPr>
      <w:r w:rsidRPr="00E14102">
        <w:rPr>
          <w:rStyle w:val="a3"/>
          <w:b w:val="0"/>
          <w:color w:val="000000" w:themeColor="text1"/>
          <w:sz w:val="16"/>
          <w:szCs w:val="16"/>
        </w:rPr>
        <w:t>[4]</w:t>
      </w:r>
      <w:r w:rsidRPr="00E14102">
        <w:rPr>
          <w:color w:val="000000" w:themeColor="text1"/>
          <w:sz w:val="16"/>
          <w:szCs w:val="16"/>
        </w:rPr>
        <w:t xml:space="preserve"> Опущены сведения о задачах по выпуску машин новых конструкций.</w:t>
      </w:r>
    </w:p>
    <w:p w14:paraId="33586884" w14:textId="77777777" w:rsidR="005259F6" w:rsidRPr="00E14102" w:rsidRDefault="005259F6" w:rsidP="00E14102">
      <w:pPr>
        <w:jc w:val="both"/>
        <w:rPr>
          <w:color w:val="000000" w:themeColor="text1"/>
          <w:sz w:val="16"/>
          <w:szCs w:val="16"/>
        </w:rPr>
      </w:pPr>
      <w:r w:rsidRPr="00E14102">
        <w:rPr>
          <w:rStyle w:val="a3"/>
          <w:b w:val="0"/>
          <w:color w:val="000000" w:themeColor="text1"/>
          <w:sz w:val="16"/>
          <w:szCs w:val="16"/>
        </w:rPr>
        <w:t>[5]</w:t>
      </w:r>
      <w:r w:rsidRPr="00E14102">
        <w:rPr>
          <w:color w:val="000000" w:themeColor="text1"/>
          <w:sz w:val="16"/>
          <w:szCs w:val="16"/>
        </w:rPr>
        <w:t xml:space="preserve"> Опущены разделы: I. «Укрепление материальной базы», II. «Научно-исследовательские вопросы».</w:t>
      </w:r>
    </w:p>
    <w:p w14:paraId="61AE4E11" w14:textId="77777777" w:rsidR="005259F6" w:rsidRPr="00E14102" w:rsidRDefault="005259F6" w:rsidP="00E14102">
      <w:pPr>
        <w:jc w:val="both"/>
        <w:rPr>
          <w:color w:val="000000" w:themeColor="text1"/>
          <w:sz w:val="16"/>
          <w:szCs w:val="16"/>
        </w:rPr>
      </w:pPr>
      <w:r w:rsidRPr="00E14102">
        <w:rPr>
          <w:rStyle w:val="a3"/>
          <w:b w:val="0"/>
          <w:color w:val="000000" w:themeColor="text1"/>
          <w:sz w:val="16"/>
          <w:szCs w:val="16"/>
        </w:rPr>
        <w:t>[6]</w:t>
      </w:r>
      <w:r w:rsidRPr="00E14102">
        <w:rPr>
          <w:color w:val="000000" w:themeColor="text1"/>
          <w:sz w:val="16"/>
          <w:szCs w:val="16"/>
        </w:rPr>
        <w:t xml:space="preserve"> Опущены пункты о мероприятиях по обеспечению дальнейшего выпуска автоматов и о премировании работников завода.</w:t>
      </w:r>
    </w:p>
    <w:p w14:paraId="76F5D244" w14:textId="77777777" w:rsidR="005259F6" w:rsidRPr="00E14102" w:rsidRDefault="005259F6" w:rsidP="00E14102">
      <w:pPr>
        <w:jc w:val="both"/>
        <w:rPr>
          <w:color w:val="000000" w:themeColor="text1"/>
          <w:sz w:val="16"/>
          <w:szCs w:val="16"/>
        </w:rPr>
      </w:pPr>
      <w:r w:rsidRPr="00E14102">
        <w:rPr>
          <w:rStyle w:val="a3"/>
          <w:b w:val="0"/>
          <w:color w:val="000000" w:themeColor="text1"/>
          <w:sz w:val="16"/>
          <w:szCs w:val="16"/>
        </w:rPr>
        <w:t>[7]</w:t>
      </w:r>
      <w:r w:rsidRPr="00E14102">
        <w:rPr>
          <w:color w:val="000000" w:themeColor="text1"/>
          <w:sz w:val="16"/>
          <w:szCs w:val="16"/>
        </w:rPr>
        <w:t xml:space="preserve"> Опущены сведения о премировании руководящего состава и рабочих завода.</w:t>
      </w:r>
    </w:p>
    <w:p w14:paraId="4F9070B7" w14:textId="77777777" w:rsidR="005259F6" w:rsidRPr="00E14102" w:rsidRDefault="005259F6" w:rsidP="00E14102">
      <w:pPr>
        <w:jc w:val="both"/>
        <w:rPr>
          <w:color w:val="000000" w:themeColor="text1"/>
          <w:sz w:val="16"/>
          <w:szCs w:val="16"/>
        </w:rPr>
      </w:pPr>
      <w:r w:rsidRPr="00E14102">
        <w:rPr>
          <w:rStyle w:val="a3"/>
          <w:b w:val="0"/>
          <w:color w:val="000000" w:themeColor="text1"/>
          <w:sz w:val="16"/>
          <w:szCs w:val="16"/>
        </w:rPr>
        <w:t>[8]</w:t>
      </w:r>
      <w:r w:rsidRPr="00E14102">
        <w:rPr>
          <w:color w:val="000000" w:themeColor="text1"/>
          <w:sz w:val="16"/>
          <w:szCs w:val="16"/>
        </w:rPr>
        <w:t xml:space="preserve"> Датируется по содержанию.</w:t>
      </w:r>
    </w:p>
    <w:p w14:paraId="7340F99D" w14:textId="77777777" w:rsidR="005259F6" w:rsidRPr="00E14102" w:rsidRDefault="005259F6" w:rsidP="00E14102">
      <w:pPr>
        <w:jc w:val="both"/>
        <w:rPr>
          <w:color w:val="000000" w:themeColor="text1"/>
          <w:sz w:val="16"/>
          <w:szCs w:val="16"/>
        </w:rPr>
      </w:pPr>
      <w:r w:rsidRPr="00E14102">
        <w:rPr>
          <w:rStyle w:val="a3"/>
          <w:b w:val="0"/>
          <w:color w:val="000000" w:themeColor="text1"/>
          <w:sz w:val="16"/>
          <w:szCs w:val="16"/>
        </w:rPr>
        <w:t>[9]</w:t>
      </w:r>
      <w:r w:rsidRPr="00E14102">
        <w:rPr>
          <w:color w:val="000000" w:themeColor="text1"/>
          <w:sz w:val="16"/>
          <w:szCs w:val="16"/>
        </w:rPr>
        <w:t xml:space="preserve"> Опущены сведения о задачах треста на 1935 г. и отчетные данные о работе отдельных заводов за 1934 г.</w:t>
      </w:r>
    </w:p>
    <w:p w14:paraId="1EB4F3C6" w14:textId="77777777" w:rsidR="005259F6" w:rsidRPr="00E14102" w:rsidRDefault="005259F6" w:rsidP="00E14102">
      <w:pPr>
        <w:jc w:val="both"/>
        <w:rPr>
          <w:color w:val="000000" w:themeColor="text1"/>
          <w:sz w:val="16"/>
          <w:szCs w:val="16"/>
        </w:rPr>
      </w:pPr>
      <w:r w:rsidRPr="00E14102">
        <w:rPr>
          <w:rStyle w:val="a3"/>
          <w:b w:val="0"/>
          <w:color w:val="000000" w:themeColor="text1"/>
          <w:sz w:val="16"/>
          <w:szCs w:val="16"/>
        </w:rPr>
        <w:t>[10]</w:t>
      </w:r>
      <w:r w:rsidRPr="00E14102">
        <w:rPr>
          <w:color w:val="000000" w:themeColor="text1"/>
          <w:sz w:val="16"/>
          <w:szCs w:val="16"/>
        </w:rPr>
        <w:t xml:space="preserve"> Опущены сведения о выполнении заводами треста плана по производительности труда.</w:t>
      </w:r>
    </w:p>
    <w:p w14:paraId="1EF8B099" w14:textId="77777777" w:rsidR="005259F6" w:rsidRPr="00E14102" w:rsidRDefault="005259F6" w:rsidP="00E14102">
      <w:pPr>
        <w:jc w:val="both"/>
        <w:rPr>
          <w:color w:val="000000" w:themeColor="text1"/>
          <w:sz w:val="16"/>
          <w:szCs w:val="16"/>
        </w:rPr>
      </w:pPr>
      <w:r w:rsidRPr="00E14102">
        <w:rPr>
          <w:rStyle w:val="a3"/>
          <w:b w:val="0"/>
          <w:color w:val="000000" w:themeColor="text1"/>
          <w:sz w:val="16"/>
          <w:szCs w:val="16"/>
        </w:rPr>
        <w:t>[11]</w:t>
      </w:r>
      <w:r w:rsidRPr="00E14102">
        <w:rPr>
          <w:color w:val="000000" w:themeColor="text1"/>
          <w:sz w:val="16"/>
          <w:szCs w:val="16"/>
        </w:rPr>
        <w:t xml:space="preserve"> Датируется по содержанию.</w:t>
      </w:r>
    </w:p>
    <w:p w14:paraId="459BA3DD" w14:textId="77777777" w:rsidR="005259F6" w:rsidRPr="00E14102" w:rsidRDefault="005259F6" w:rsidP="00E14102">
      <w:pPr>
        <w:jc w:val="both"/>
        <w:rPr>
          <w:color w:val="000000" w:themeColor="text1"/>
          <w:sz w:val="16"/>
          <w:szCs w:val="16"/>
        </w:rPr>
      </w:pPr>
      <w:r w:rsidRPr="00E14102">
        <w:rPr>
          <w:rStyle w:val="a3"/>
          <w:b w:val="0"/>
          <w:color w:val="000000" w:themeColor="text1"/>
          <w:sz w:val="16"/>
          <w:szCs w:val="16"/>
        </w:rPr>
        <w:t>[12]</w:t>
      </w:r>
      <w:r w:rsidRPr="00E14102">
        <w:rPr>
          <w:color w:val="000000" w:themeColor="text1"/>
          <w:sz w:val="16"/>
          <w:szCs w:val="16"/>
        </w:rPr>
        <w:t xml:space="preserve"> Опущены сведения об итогах выполнения производственной программы и работе основных цехов и лабораторий завода.</w:t>
      </w:r>
    </w:p>
    <w:p w14:paraId="7EEA3DA8" w14:textId="77777777" w:rsidR="005259F6" w:rsidRPr="00E14102" w:rsidRDefault="005259F6" w:rsidP="00E14102">
      <w:pPr>
        <w:jc w:val="both"/>
        <w:rPr>
          <w:color w:val="000000" w:themeColor="text1"/>
          <w:sz w:val="16"/>
          <w:szCs w:val="16"/>
        </w:rPr>
      </w:pPr>
      <w:r w:rsidRPr="00E14102">
        <w:rPr>
          <w:rStyle w:val="a3"/>
          <w:b w:val="0"/>
          <w:color w:val="000000" w:themeColor="text1"/>
          <w:sz w:val="16"/>
          <w:szCs w:val="16"/>
        </w:rPr>
        <w:t>[13]</w:t>
      </w:r>
      <w:r w:rsidRPr="00E14102">
        <w:rPr>
          <w:color w:val="000000" w:themeColor="text1"/>
          <w:sz w:val="16"/>
          <w:szCs w:val="16"/>
        </w:rPr>
        <w:t xml:space="preserve"> Опущены сведения о премировании работников заводов синтетического каучука.</w:t>
      </w:r>
    </w:p>
    <w:p w14:paraId="7B4C5734" w14:textId="77777777" w:rsidR="005259F6" w:rsidRPr="00E14102" w:rsidRDefault="005259F6" w:rsidP="00E14102">
      <w:pPr>
        <w:jc w:val="both"/>
        <w:rPr>
          <w:color w:val="000000" w:themeColor="text1"/>
          <w:sz w:val="16"/>
          <w:szCs w:val="16"/>
        </w:rPr>
      </w:pPr>
      <w:r w:rsidRPr="00E14102">
        <w:rPr>
          <w:rStyle w:val="a3"/>
          <w:b w:val="0"/>
          <w:color w:val="000000" w:themeColor="text1"/>
          <w:sz w:val="16"/>
          <w:szCs w:val="16"/>
        </w:rPr>
        <w:t>[14]</w:t>
      </w:r>
      <w:r w:rsidRPr="00E14102">
        <w:rPr>
          <w:color w:val="000000" w:themeColor="text1"/>
          <w:sz w:val="16"/>
          <w:szCs w:val="16"/>
        </w:rPr>
        <w:t xml:space="preserve"> Опущены сведения о премировании работников авиационной промышленности (12356).</w:t>
      </w:r>
    </w:p>
    <w:p w14:paraId="3ABA6BCA" w14:textId="77777777" w:rsidR="005259F6" w:rsidRPr="00E14102" w:rsidRDefault="005259F6" w:rsidP="00E14102">
      <w:pPr>
        <w:jc w:val="both"/>
        <w:rPr>
          <w:color w:val="000000" w:themeColor="text1"/>
          <w:sz w:val="16"/>
          <w:szCs w:val="16"/>
        </w:rPr>
      </w:pPr>
    </w:p>
    <w:p w14:paraId="1CC5EEA4" w14:textId="77777777" w:rsidR="00C03CB9" w:rsidRPr="00E14102" w:rsidRDefault="00C03CB9" w:rsidP="00E14102">
      <w:pPr>
        <w:jc w:val="both"/>
        <w:rPr>
          <w:color w:val="000000" w:themeColor="text1"/>
          <w:sz w:val="16"/>
          <w:szCs w:val="16"/>
        </w:rPr>
      </w:pPr>
      <w:r w:rsidRPr="00E14102">
        <w:rPr>
          <w:color w:val="000000" w:themeColor="text1"/>
          <w:sz w:val="16"/>
          <w:szCs w:val="16"/>
        </w:rPr>
        <w:t>11 января 1935 г. Из приказа Наркомтяжпрома № 64 об итогах работы авиа</w:t>
      </w:r>
      <w:r w:rsidRPr="00E14102">
        <w:rPr>
          <w:color w:val="000000" w:themeColor="text1"/>
          <w:sz w:val="16"/>
          <w:szCs w:val="16"/>
        </w:rPr>
        <w:softHyphen/>
        <w:t>промышленности за 1934 г. Авиационная промышленность за 1934 г. сделала новый шаг вперед в деле повышения качества самолетов и моторов. Это достигнуто на основе реализации решений XVII съезда партии и личных указаний тов. Сталина. Но задачи, стоящие перед авиационной промышленностью, еще более сложны и требуют максимальной мобилизации всего коллектива работников авиапромышленности иа выполнение задач, поставленных перед ними на 1935 г. Необходимо все силы направить на достижение безопасности полета, решительно улучшив качество самолетов и моторов. Летчик в советском самолете должен чувствовать себя в полной безопасности и быть уверенным в том, что самолет его не подведет.</w:t>
      </w:r>
    </w:p>
    <w:p w14:paraId="7060BD47" w14:textId="77777777" w:rsidR="00C03CB9" w:rsidRPr="00E14102" w:rsidRDefault="00C03CB9" w:rsidP="00E14102">
      <w:pPr>
        <w:jc w:val="both"/>
        <w:rPr>
          <w:color w:val="000000" w:themeColor="text1"/>
          <w:sz w:val="16"/>
          <w:szCs w:val="16"/>
        </w:rPr>
      </w:pPr>
      <w:r w:rsidRPr="00E14102">
        <w:rPr>
          <w:color w:val="000000" w:themeColor="text1"/>
          <w:sz w:val="16"/>
          <w:szCs w:val="16"/>
        </w:rPr>
        <w:t>В борьбе за дальнейшее увеличение скоростей самолета необходима серьезная систематическая работа опытных и серийных заводов по созданию еще более высокой аэродинамической культуры. Моторные заводы и институты обязаны приложить все силы к тому, чтобы новые моторы, внедряемые нами в серийное производство, обеспечили бы дальнейшее улучшение летных данных самолетов и безопасность полетов. Здесь не может быть места самоуспокоению. Ни в какой отрасли промышленности не требуется такого повседневного технического усовершенствования и ее беспрерывного движения вперед, как в авиационной промышленности. План 1935 г. должен быть полностью выполнен.* Народный комиссар тяжелой промышленности С. Орджоникидзе ЦГАНХ СССР, ф. 7297, on. 1, д. 67, л. 117. Заверенная копия (18300).</w:t>
      </w:r>
    </w:p>
    <w:p w14:paraId="4A4A335F" w14:textId="77777777" w:rsidR="00C03CB9" w:rsidRPr="00E14102" w:rsidRDefault="00C03CB9" w:rsidP="00E14102">
      <w:pPr>
        <w:jc w:val="both"/>
        <w:rPr>
          <w:color w:val="000000" w:themeColor="text1"/>
          <w:sz w:val="16"/>
          <w:szCs w:val="16"/>
        </w:rPr>
      </w:pPr>
    </w:p>
    <w:p w14:paraId="6A58690D" w14:textId="77777777" w:rsidR="007562F7" w:rsidRPr="00E14102" w:rsidRDefault="007562F7" w:rsidP="00E14102">
      <w:pPr>
        <w:jc w:val="both"/>
        <w:rPr>
          <w:color w:val="0070C0"/>
          <w:sz w:val="16"/>
          <w:szCs w:val="16"/>
        </w:rPr>
      </w:pPr>
      <w:r w:rsidRPr="00E14102">
        <w:rPr>
          <w:color w:val="0070C0"/>
          <w:sz w:val="16"/>
          <w:szCs w:val="16"/>
        </w:rPr>
        <w:t>11 января 1935 г.</w:t>
      </w:r>
    </w:p>
    <w:p w14:paraId="5CC30797" w14:textId="77777777" w:rsidR="007562F7" w:rsidRPr="00E14102" w:rsidRDefault="007562F7" w:rsidP="00E14102">
      <w:pPr>
        <w:jc w:val="both"/>
        <w:rPr>
          <w:color w:val="0070C0"/>
          <w:sz w:val="16"/>
          <w:szCs w:val="16"/>
        </w:rPr>
      </w:pPr>
      <w:r w:rsidRPr="00E14102">
        <w:rPr>
          <w:color w:val="0070C0"/>
          <w:sz w:val="16"/>
          <w:szCs w:val="16"/>
        </w:rPr>
        <w:t>№ 41/СС</w:t>
      </w:r>
      <w:r w:rsidRPr="00E14102">
        <w:rPr>
          <w:color w:val="0070C0"/>
          <w:sz w:val="16"/>
          <w:szCs w:val="16"/>
        </w:rPr>
        <w:tab/>
        <w:t>11 января 1935 г.</w:t>
      </w:r>
    </w:p>
    <w:p w14:paraId="41070CF6" w14:textId="77777777" w:rsidR="007562F7" w:rsidRPr="00E14102" w:rsidRDefault="007562F7" w:rsidP="00E14102">
      <w:pPr>
        <w:jc w:val="both"/>
        <w:rPr>
          <w:color w:val="0070C0"/>
          <w:sz w:val="16"/>
          <w:szCs w:val="16"/>
        </w:rPr>
      </w:pPr>
      <w:r w:rsidRPr="00E14102">
        <w:rPr>
          <w:color w:val="0070C0"/>
          <w:sz w:val="16"/>
          <w:szCs w:val="16"/>
        </w:rPr>
        <w:t>В Политбюро ЦК ВКП(б)</w:t>
      </w:r>
    </w:p>
    <w:p w14:paraId="468922CB" w14:textId="77777777" w:rsidR="007562F7" w:rsidRPr="00E14102" w:rsidRDefault="007562F7" w:rsidP="00E14102">
      <w:pPr>
        <w:jc w:val="both"/>
        <w:rPr>
          <w:color w:val="0070C0"/>
          <w:sz w:val="16"/>
          <w:szCs w:val="16"/>
        </w:rPr>
      </w:pPr>
      <w:r w:rsidRPr="00E14102">
        <w:rPr>
          <w:color w:val="0070C0"/>
          <w:sz w:val="16"/>
          <w:szCs w:val="16"/>
        </w:rPr>
        <w:t>тов. Сталину</w:t>
      </w:r>
    </w:p>
    <w:p w14:paraId="16088F07" w14:textId="77777777" w:rsidR="007562F7" w:rsidRPr="00E14102" w:rsidRDefault="007562F7" w:rsidP="00E14102">
      <w:pPr>
        <w:jc w:val="both"/>
        <w:rPr>
          <w:color w:val="0070C0"/>
          <w:sz w:val="16"/>
          <w:szCs w:val="16"/>
        </w:rPr>
      </w:pPr>
      <w:r w:rsidRPr="00E14102">
        <w:rPr>
          <w:color w:val="0070C0"/>
          <w:sz w:val="16"/>
          <w:szCs w:val="16"/>
        </w:rPr>
        <w:t>Американский военный атташе майор Фэймонвилл в порядке зондажа ставит вопрос о возможности прилета в Москву весной 1935 года американской бомбардировочной эскадрильи в составе 10 самолетов. Маршрут этого перелета – Вашингтон - Аляска-Якутск-Иркутск-Москва. Это расстояние американцы намереваются покрыть в течение 8 дней.</w:t>
      </w:r>
    </w:p>
    <w:p w14:paraId="6163CBBE" w14:textId="77777777" w:rsidR="007562F7" w:rsidRPr="00E14102" w:rsidRDefault="007562F7" w:rsidP="00E14102">
      <w:pPr>
        <w:jc w:val="both"/>
        <w:rPr>
          <w:color w:val="0070C0"/>
          <w:sz w:val="16"/>
          <w:szCs w:val="16"/>
        </w:rPr>
      </w:pPr>
      <w:r w:rsidRPr="00E14102">
        <w:rPr>
          <w:color w:val="0070C0"/>
          <w:sz w:val="16"/>
          <w:szCs w:val="16"/>
        </w:rPr>
        <w:t>Хотя в разговоре Фэймонвилл несколько раз подчеркивал, что возбуждает этот вопрос по собственной инициативе и что …</w:t>
      </w:r>
    </w:p>
    <w:p w14:paraId="4C8C2DCF" w14:textId="77777777" w:rsidR="007562F7" w:rsidRPr="00E14102" w:rsidRDefault="007562F7" w:rsidP="00E14102">
      <w:pPr>
        <w:jc w:val="both"/>
        <w:rPr>
          <w:color w:val="0070C0"/>
          <w:sz w:val="16"/>
          <w:szCs w:val="16"/>
        </w:rPr>
      </w:pPr>
      <w:r w:rsidRPr="00E14102">
        <w:rPr>
          <w:color w:val="0070C0"/>
          <w:sz w:val="16"/>
          <w:szCs w:val="16"/>
        </w:rPr>
        <w:t xml:space="preserve"> Принято опросом членов Политбюро ЦК ВКП(б) 16 января 1935 г. Выписка из протокола № 20 заседания Политбюро ЦК ВКП(б), п. 72. Направлена К.Е. Ворошилову (20835).</w:t>
      </w:r>
    </w:p>
    <w:p w14:paraId="38C64CB8" w14:textId="77777777" w:rsidR="007562F7" w:rsidRPr="00E14102" w:rsidRDefault="007562F7" w:rsidP="00E14102">
      <w:pPr>
        <w:jc w:val="both"/>
        <w:rPr>
          <w:color w:val="0070C0"/>
          <w:sz w:val="16"/>
          <w:szCs w:val="16"/>
        </w:rPr>
      </w:pPr>
    </w:p>
    <w:p w14:paraId="1BA1909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035AD5B" w14:textId="77777777" w:rsidR="00D4105E" w:rsidRPr="00E14102" w:rsidRDefault="00D4105E" w:rsidP="00E14102">
      <w:pPr>
        <w:autoSpaceDE w:val="0"/>
        <w:autoSpaceDN w:val="0"/>
        <w:adjustRightInd w:val="0"/>
        <w:jc w:val="both"/>
        <w:rPr>
          <w:iCs/>
          <w:color w:val="000000" w:themeColor="text1"/>
          <w:sz w:val="16"/>
          <w:szCs w:val="16"/>
        </w:rPr>
      </w:pPr>
    </w:p>
    <w:p w14:paraId="46483920" w14:textId="77777777" w:rsidR="005D4A18" w:rsidRPr="00E14102" w:rsidRDefault="005D4A18" w:rsidP="00E14102">
      <w:pPr>
        <w:pStyle w:val="rtejustify"/>
        <w:spacing w:before="0" w:after="0"/>
        <w:rPr>
          <w:color w:val="000000" w:themeColor="text1"/>
          <w:sz w:val="16"/>
          <w:szCs w:val="16"/>
        </w:rPr>
      </w:pPr>
      <w:r w:rsidRPr="00E14102">
        <w:rPr>
          <w:rStyle w:val="a6"/>
          <w:bCs/>
          <w:i w:val="0"/>
          <w:color w:val="000000" w:themeColor="text1"/>
          <w:sz w:val="16"/>
          <w:szCs w:val="16"/>
        </w:rPr>
        <w:t>11 января 1935 вышел приказ НКО №</w:t>
      </w:r>
      <w:r w:rsidRPr="00E14102">
        <w:rPr>
          <w:color w:val="000000" w:themeColor="text1"/>
          <w:sz w:val="16"/>
          <w:szCs w:val="16"/>
        </w:rPr>
        <w:t> 004. С ведомостью перехода на чертежи лит. «Б» по предметам арт. вооружения (15247).</w:t>
      </w:r>
    </w:p>
    <w:p w14:paraId="5BC45BE3" w14:textId="77777777" w:rsidR="005D4A18" w:rsidRPr="00E14102" w:rsidRDefault="005D4A18" w:rsidP="00E14102">
      <w:pPr>
        <w:pStyle w:val="rtejustify"/>
        <w:spacing w:before="0" w:after="0"/>
        <w:rPr>
          <w:color w:val="000000" w:themeColor="text1"/>
          <w:sz w:val="16"/>
          <w:szCs w:val="16"/>
        </w:rPr>
      </w:pPr>
    </w:p>
    <w:p w14:paraId="1705F673" w14:textId="77777777" w:rsidR="005D4A18" w:rsidRPr="00E14102" w:rsidRDefault="005D4A18" w:rsidP="00E14102">
      <w:pPr>
        <w:pStyle w:val="rtejustify"/>
        <w:spacing w:before="0" w:after="0"/>
        <w:rPr>
          <w:color w:val="000000" w:themeColor="text1"/>
          <w:sz w:val="16"/>
          <w:szCs w:val="16"/>
        </w:rPr>
      </w:pPr>
      <w:r w:rsidRPr="00E14102">
        <w:rPr>
          <w:rStyle w:val="a6"/>
          <w:bCs/>
          <w:i w:val="0"/>
          <w:color w:val="000000" w:themeColor="text1"/>
          <w:sz w:val="16"/>
          <w:szCs w:val="16"/>
        </w:rPr>
        <w:t>11 января 1935 вышел приказ НКТП № 7с.</w:t>
      </w:r>
      <w:r w:rsidRPr="00E14102">
        <w:rPr>
          <w:color w:val="000000" w:themeColor="text1"/>
          <w:sz w:val="16"/>
          <w:szCs w:val="16"/>
        </w:rPr>
        <w:t xml:space="preserve"> О премировании ударников ТОЗа за выполнение программы по автоматическому вооружению. (РГАЭ. Ф. 7297. Оп. 38. Д. 171. Л. 18) (15246).</w:t>
      </w:r>
    </w:p>
    <w:p w14:paraId="5ACC4B3B" w14:textId="77777777" w:rsidR="005D4A18" w:rsidRPr="00E14102" w:rsidRDefault="005D4A18" w:rsidP="00E14102">
      <w:pPr>
        <w:pStyle w:val="rtejustify"/>
        <w:spacing w:before="0" w:after="0"/>
        <w:rPr>
          <w:color w:val="000000" w:themeColor="text1"/>
          <w:sz w:val="16"/>
          <w:szCs w:val="16"/>
        </w:rPr>
      </w:pPr>
    </w:p>
    <w:p w14:paraId="6A6EEB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января 1935 были получены положительные результаты при гос. испытаниях брони Стеженского, проведенных , во исполнение постановления СТО N 11 от 19 декабря 1934 п. 11 (2161,172).</w:t>
      </w:r>
    </w:p>
    <w:p w14:paraId="3C5806DD" w14:textId="77777777" w:rsidR="00D4105E" w:rsidRPr="00E14102" w:rsidRDefault="00D4105E" w:rsidP="00E14102">
      <w:pPr>
        <w:autoSpaceDE w:val="0"/>
        <w:autoSpaceDN w:val="0"/>
        <w:adjustRightInd w:val="0"/>
        <w:jc w:val="both"/>
        <w:rPr>
          <w:color w:val="000000" w:themeColor="text1"/>
          <w:sz w:val="16"/>
          <w:szCs w:val="16"/>
        </w:rPr>
      </w:pPr>
    </w:p>
    <w:p w14:paraId="180C10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11 января 1935 г. - из приказа Наркомтяжпрома № 63 об успешном выполнении заводами синтетического каучука производственной программы 1934 г. </w:t>
      </w:r>
    </w:p>
    <w:p w14:paraId="21DDD0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Заводы синтетического каучука выработали в 1934 г. в 5'/2 раза каучука больше, чем в 1933 г. </w:t>
      </w:r>
    </w:p>
    <w:p w14:paraId="55A027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Отмечая значительные успехи в деле освоения производства синтетического каучука и огромную работу, проделанную техническим персоналом, рабочими и служащими, работающими в системе Управления синтетического каучука, приказываю: </w:t>
      </w:r>
    </w:p>
    <w:p w14:paraId="7C201F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Развернуть строительство жилищ, клубов, яслей с тем, чтобы к 1936 г. все инженеры и рабочие были обеспечены жильем полностью. </w:t>
      </w:r>
    </w:p>
    <w:p w14:paraId="776255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 Выделить для премирования рабочих, технического персонала и служащих заводов и Управления синтетического каучука 400 патефонов, 200 радиоприемников ЭЧС-2, 200 велосипедов.</w:t>
      </w:r>
    </w:p>
    <w:p w14:paraId="1282F5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Нарком тяжелой промышленности СССР </w:t>
      </w:r>
    </w:p>
    <w:p w14:paraId="451DF4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 Орджоникидзе </w:t>
      </w:r>
    </w:p>
    <w:p w14:paraId="293A94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ЦГАНХ СССР, ф. 7297, on. 1, д. 67, лл. 110—111. Заверенная копия (12053).</w:t>
      </w:r>
    </w:p>
    <w:p w14:paraId="47502746" w14:textId="77777777" w:rsidR="00D4105E" w:rsidRPr="00E14102" w:rsidRDefault="00D4105E" w:rsidP="00E14102">
      <w:pPr>
        <w:autoSpaceDE w:val="0"/>
        <w:autoSpaceDN w:val="0"/>
        <w:adjustRightInd w:val="0"/>
        <w:jc w:val="both"/>
        <w:rPr>
          <w:color w:val="000000" w:themeColor="text1"/>
          <w:sz w:val="16"/>
          <w:szCs w:val="16"/>
        </w:rPr>
      </w:pPr>
    </w:p>
    <w:p w14:paraId="68FF7800" w14:textId="77777777" w:rsidR="00FA4EE1" w:rsidRPr="00E14102" w:rsidRDefault="00FA4EE1" w:rsidP="00E14102">
      <w:pPr>
        <w:jc w:val="both"/>
        <w:rPr>
          <w:color w:val="000000" w:themeColor="text1"/>
          <w:sz w:val="16"/>
          <w:szCs w:val="16"/>
        </w:rPr>
      </w:pPr>
      <w:r w:rsidRPr="00E14102">
        <w:rPr>
          <w:color w:val="000000" w:themeColor="text1"/>
          <w:sz w:val="16"/>
          <w:szCs w:val="16"/>
        </w:rPr>
        <w:t xml:space="preserve">11 января 1935 года военно морской атташе П. Ю. Орас сообщал, что при посещении выставки дизельных двигателей, ознакомился с продукцией завода «Фэбренкс-Морз» (дизеля для подводных лодок и авианосцев «Йорктаун» и «Энтерпрайз»). Произвѐл осмотр дизеля фирмы «Винтон» («Винтон Энджи Корпорейшен» и «КливлендОхайо») и двигателя завода «Стэрлинг Энджин компани» [Там же, л. 194]. По результатам посещения выставки, был сделан вывод, что американцы </w:t>
      </w:r>
      <w:r w:rsidRPr="00E14102">
        <w:rPr>
          <w:color w:val="000000" w:themeColor="text1"/>
          <w:sz w:val="16"/>
          <w:szCs w:val="16"/>
        </w:rPr>
        <w:lastRenderedPageBreak/>
        <w:t>приступили к выпуску облегченных дизелей для подводных лодок [Там же]. «12 января 1935 года на заводе ―Сперри‖ осматривал изготавливаемые для СССР ПУАО,  которые проходили заводские и сдаточные испытания; автопилоты для самолетов; другие авиаприборы; звукоулавливатель. Выяснил основные направления перспективных работ завода» [Там же] (18273).</w:t>
      </w:r>
    </w:p>
    <w:p w14:paraId="2BAB9475" w14:textId="77777777" w:rsidR="00FA4EE1" w:rsidRPr="00E14102" w:rsidRDefault="00FA4EE1" w:rsidP="00E14102">
      <w:pPr>
        <w:jc w:val="both"/>
        <w:rPr>
          <w:color w:val="000000" w:themeColor="text1"/>
          <w:sz w:val="16"/>
          <w:szCs w:val="16"/>
        </w:rPr>
      </w:pPr>
    </w:p>
    <w:p w14:paraId="706B1B0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57F8C32B" w14:textId="77777777" w:rsidR="00D4105E" w:rsidRPr="00E14102" w:rsidRDefault="00D4105E" w:rsidP="00E14102">
      <w:pPr>
        <w:autoSpaceDE w:val="0"/>
        <w:autoSpaceDN w:val="0"/>
        <w:adjustRightInd w:val="0"/>
        <w:jc w:val="both"/>
        <w:rPr>
          <w:iCs/>
          <w:color w:val="000000" w:themeColor="text1"/>
          <w:sz w:val="16"/>
          <w:szCs w:val="16"/>
        </w:rPr>
      </w:pPr>
    </w:p>
    <w:p w14:paraId="7D642A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января 1935 приказом НКО N 9 Морские силы ДФ были преобразованы в ТОФ, Черного и Азовского моря в ЧФ, БМ - КБФ (3398,20).</w:t>
      </w:r>
    </w:p>
    <w:p w14:paraId="06C14C93" w14:textId="77777777" w:rsidR="00D4105E" w:rsidRPr="00E14102" w:rsidRDefault="00D4105E" w:rsidP="00E14102">
      <w:pPr>
        <w:autoSpaceDE w:val="0"/>
        <w:autoSpaceDN w:val="0"/>
        <w:adjustRightInd w:val="0"/>
        <w:jc w:val="both"/>
        <w:rPr>
          <w:color w:val="000000" w:themeColor="text1"/>
          <w:sz w:val="16"/>
          <w:szCs w:val="16"/>
        </w:rPr>
      </w:pPr>
    </w:p>
    <w:p w14:paraId="40A365DD" w14:textId="77777777" w:rsidR="005D4A18" w:rsidRPr="00E14102" w:rsidRDefault="005D4A18" w:rsidP="00E14102">
      <w:pPr>
        <w:jc w:val="both"/>
        <w:rPr>
          <w:color w:val="000000" w:themeColor="text1"/>
          <w:sz w:val="16"/>
          <w:szCs w:val="16"/>
        </w:rPr>
      </w:pPr>
      <w:r w:rsidRPr="00E14102">
        <w:rPr>
          <w:bCs/>
          <w:color w:val="000000" w:themeColor="text1"/>
          <w:sz w:val="16"/>
          <w:szCs w:val="16"/>
        </w:rPr>
        <w:t>11 января</w:t>
      </w:r>
      <w:r w:rsidRPr="00E14102">
        <w:rPr>
          <w:color w:val="000000" w:themeColor="text1"/>
          <w:sz w:val="16"/>
          <w:szCs w:val="16"/>
        </w:rPr>
        <w:t xml:space="preserve"> в 1935 году морские силы на Дальнем Востоке переименованы в Тихоокеанский флот СССР. 21 мая 1731 года Сенатом был учрежден Охотский военный порт - первое постоянно действующее военно-морское подразделение России на Дальнем Востоке «для дозорной службы и охраны рыбных промыслов». Приказом главнокомандующего Военно-Морским флотом Российской Федерации от 15 апреля 1999 года датой образования Тихоокеанского флота установлено 21 мая 1731 года. В своем развитии флот прошел несколько этапов: от парусного до океанского, от пушечного до ракетно-ядерного. В Охотске снаряжались российские морские экспедиции для изучения Камчатки, Чукотки, Аляски. Корабли и суда Охотского порта стали первым звеном в зарождении российских морских сил в регионе, именно они сыграли решающую роль в обеспечении защиты здесь национальных интересов, а впоследствии оказались основным ядром в создании Тихоокеанского флота. 11 января 1935 года приказом Народного комиссара обороны СССР Морские силы на Дальнем Востоке переименованы в Тихоокеанский флот СССР. Первым командующим флотом был флагман флота 1-го ранга Михаил Владимирович Викторов. В истории Тихоокеанского флота много ярких страниц. В их числе - героическая оборона Петропавловска-Камчатского от англо-французской эскадры, воспетый в песнях подвиг моряков крейсера «Варяг». В годы Великой Отечественной войны более 140 тысяч тихоокеанцев воевали в морской пехоте, на Северный флот были откомандированы 18 подводных лодок, 15 кораблей и два лидера. 50 моряков-тихоокеанцев были удостоены звания Героя Советского Союза, а 18 кораблей - звания гвардейский. В настоящее время Тихоокеанский флот России, как составная часть Военно-Морского Флота и Вооруженных Сил России в целом, является средством обеспечения военной безопасности России в азиатско-тихоокеанском регионе. Для выполнения поставленных задач Тихоокеанский флот имеет в своем составе ракетные подводные крейсера стратегического назначения, многоцелевые атомные и дизельные подводные лодки, надводные корабли для действий в океанской и ближней морской зонах, морскую ракетоносную, противолодочную и истребительную авиацию, сухопутные войска, части сухопутных и береговых войск (15006).</w:t>
      </w:r>
    </w:p>
    <w:p w14:paraId="5787AD8B" w14:textId="77777777" w:rsidR="005D4A18" w:rsidRPr="00E14102" w:rsidRDefault="005D4A18" w:rsidP="00E14102">
      <w:pPr>
        <w:jc w:val="both"/>
        <w:rPr>
          <w:color w:val="000000" w:themeColor="text1"/>
          <w:sz w:val="16"/>
          <w:szCs w:val="16"/>
        </w:rPr>
      </w:pPr>
    </w:p>
    <w:p w14:paraId="0B199AAC" w14:textId="77777777" w:rsidR="005D4A18"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704F5E8C" w14:textId="77777777" w:rsidR="005D4A18" w:rsidRPr="00E14102" w:rsidRDefault="005D4A18" w:rsidP="00E14102">
      <w:pPr>
        <w:autoSpaceDE w:val="0"/>
        <w:autoSpaceDN w:val="0"/>
        <w:adjustRightInd w:val="0"/>
        <w:jc w:val="both"/>
        <w:rPr>
          <w:iCs/>
          <w:color w:val="000000" w:themeColor="text1"/>
          <w:sz w:val="16"/>
          <w:szCs w:val="16"/>
        </w:rPr>
      </w:pPr>
    </w:p>
    <w:p w14:paraId="2FEB0531" w14:textId="77777777" w:rsidR="005D4A18" w:rsidRPr="00E14102" w:rsidRDefault="005D4A18" w:rsidP="00E14102">
      <w:pPr>
        <w:jc w:val="both"/>
        <w:rPr>
          <w:color w:val="000000" w:themeColor="text1"/>
          <w:sz w:val="16"/>
          <w:szCs w:val="16"/>
        </w:rPr>
      </w:pPr>
      <w:r w:rsidRPr="00E14102">
        <w:rPr>
          <w:bCs/>
          <w:color w:val="000000" w:themeColor="text1"/>
          <w:sz w:val="16"/>
          <w:szCs w:val="16"/>
        </w:rPr>
        <w:t>11 января</w:t>
      </w:r>
      <w:r w:rsidRPr="00E14102">
        <w:rPr>
          <w:color w:val="000000" w:themeColor="text1"/>
          <w:sz w:val="16"/>
          <w:szCs w:val="16"/>
        </w:rPr>
        <w:t xml:space="preserve"> в 1935 году впервые московские радиостанции транслировали концерт из США. Затем состоялся ответный радиоконцерт из Москвы, который транслировался 90 радиостанциями США (15006).</w:t>
      </w:r>
    </w:p>
    <w:p w14:paraId="6632E4AB" w14:textId="77777777" w:rsidR="005D4A18" w:rsidRPr="00E14102" w:rsidRDefault="005D4A18" w:rsidP="00E14102">
      <w:pPr>
        <w:jc w:val="both"/>
        <w:rPr>
          <w:color w:val="000000" w:themeColor="text1"/>
          <w:sz w:val="16"/>
          <w:szCs w:val="16"/>
        </w:rPr>
      </w:pPr>
    </w:p>
    <w:p w14:paraId="497B52FB" w14:textId="77777777" w:rsidR="004F769A" w:rsidRPr="00E14102" w:rsidRDefault="004F769A" w:rsidP="00E14102">
      <w:pPr>
        <w:jc w:val="both"/>
        <w:rPr>
          <w:color w:val="000000" w:themeColor="text1"/>
          <w:sz w:val="16"/>
          <w:szCs w:val="16"/>
        </w:rPr>
      </w:pPr>
      <w:r w:rsidRPr="00E14102">
        <w:rPr>
          <w:color w:val="000000" w:themeColor="text1"/>
          <w:sz w:val="16"/>
          <w:szCs w:val="16"/>
        </w:rPr>
        <w:t>11 января 1935 г. Б.М.Волин – глава Главлита - выпустил Приказ №85/с, предназначенный не только местным органам цензуры, но и Библиотечному управлению Наркомпроса: «Приказываю изъять из всех библиотек Наркомпроса, военных, профсоюзных, учрежденческих и прочих книги Зиновьева, Каменева и Сафарова». 15 февраля 1935 г. появляется Приказ №40, конкретизирующий издания, которые должны быть изъяты: «а) работы, целиком принадлежащие Троцкому, Зиновьеву, Каменеву, Cафарову и другим осужденным троцкистам и зиновьевцам; б) сборники, учебники или хрестоматии, выпущенные в прошлые (до 1931) года и в качестве учебных пособий или массовой литературы под редакцией упомянутых лиц, или с их статьями или выдержками из них; в) диапозитивы, листовки, плакаты с изображением упомянутых лиц и с выдержками (цитатами) из их произведений, а также их портреты...». В том же Приказе перечислялась литература, не подлежащая изъятию: «а) протоколы советских, партийных, профсоюзных и других съездов и конференций (стенографические отчеты), где имеются выступления или доклады упомянутых лиц; б) томы сочинений В.И.Ленина ... и аналогичных материалов (например, «Ленинские сборники»)... в) газеты и журналы со статьями упомянутых лиц; г) издания, выходящие под редакцией упомянутых лиц, но не вызывающие со стороны цензурных сомнений...» (орфография подлинника). Этот приказ Главлита был подкреплен и партийным циркуляром со стороны Оргбюро ЦК (17273).</w:t>
      </w:r>
    </w:p>
    <w:p w14:paraId="1B2B3F60" w14:textId="77777777" w:rsidR="004F769A" w:rsidRPr="00E14102" w:rsidRDefault="004F769A" w:rsidP="00E14102">
      <w:pPr>
        <w:jc w:val="both"/>
        <w:rPr>
          <w:color w:val="000000" w:themeColor="text1"/>
          <w:sz w:val="16"/>
          <w:szCs w:val="16"/>
        </w:rPr>
      </w:pPr>
    </w:p>
    <w:p w14:paraId="652B17B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138EEFE" w14:textId="77777777" w:rsidR="00D4105E" w:rsidRPr="00E14102" w:rsidRDefault="00D4105E" w:rsidP="00E14102">
      <w:pPr>
        <w:autoSpaceDE w:val="0"/>
        <w:autoSpaceDN w:val="0"/>
        <w:adjustRightInd w:val="0"/>
        <w:jc w:val="both"/>
        <w:rPr>
          <w:iCs/>
          <w:color w:val="000000" w:themeColor="text1"/>
          <w:sz w:val="16"/>
          <w:szCs w:val="16"/>
        </w:rPr>
      </w:pPr>
    </w:p>
    <w:p w14:paraId="40354C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11 и 12 января 1935 года «Мэкон» принял участие в военно-морских маневрах у западного побережья США между Сан-Франциско и Сан-Диего. Погода стояла отвратительная, но воздушный корабль легко с ней справлялся. Два раза выпускались самолеты, которые успешно справились с поставленной задачей, произведя разведку условного противника. 12 февраля в 15.00 учения были завершены и «Мэкон» отправился на свою базу в Саннивейл. Полет в течение нескольких часов проходил в неспокойной атмосфере, но шторма не было. Начало темнеть. Дирижабль шел на высоте 380 м со скоростью 117 км/ч, двигатели работали нормально. Первая авария случилась в 17.15, примерно в пяти километрах от мыса Сюр при маневре корабля, имевшем целью избежать шквала. Внезапно раздался сильный треск, который был слышен повсюду на корабле. [445] </w:t>
      </w:r>
    </w:p>
    <w:p w14:paraId="57BB4C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Сильный порыв ветра повредил корпус в месте крепления хвостового оперения, что повлекло за собой отказ руля высоты. Штурвал руля высоты выбило из рук штурвального, дирижабль покачнулся и стал набирать высоту, имея положительный дифферент. Один из членов экипажа, находившийся в корме дирижабля, сообщил, что сломалось одно из ребер арматуры каркаса и разорвало первый, считая от кормы, баллонет с несущим газом. </w:t>
      </w:r>
    </w:p>
    <w:p w14:paraId="4771CF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Затем практически неуправляемый по высоте дирижабль попал в мощный нисходящий поток и начал быстро снижаться. ZRS-5 падал с опущенной кормой. Попытки командира восстановить равновесие путем сброса баков с балластом и топливом успеха не имели. Дифферент увеличился до 25°, корабль под воздействием динамического толчка и потери веса в буквальном смысле этого слова выстрелил на высоту 1470 м (перед этим он находился на высоте 520 м). Сразу же возникла утечка гелия из поврежденных отсеков, а автоматические клапаны из-за перепада давления сбросили значительную часть газа и из неповрежденных. Командир в очередной раз попытался вернуть дирижабль в горизонтальное положение, выпустив дополнительное количество газа из носовых баллонов и снизив обороты двигателей. Дифферент на корму немного уменьшился. </w:t>
      </w:r>
    </w:p>
    <w:p w14:paraId="7436BE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Между тем снова раздался сильный треск — стали ломаться силовые элементы каркаса в районе второго кормового баллонета, сильно повредив сам баллон, из которого быстро вышел гелий. «Мэкон» вновь кормой пошел вниз, и вскоре скорость падения достигла 230 м/мин. Сбросом остального балласта и установкой винтов на наивысшую обратную тягу удалось уменьшить ее до 48,5 м/мин. С целью облегчения дирижабля командир Герберт Уайли отдал приказ о выпуске находившихся на борту самолетов, но его выполнить не удалось вследствие большого дифферента. Был дан сигнал «SOS». На высоте 300 м командир приказал экипажу приготовиться к приводнению, надеть спасательные жилеты и привести в готовность надувные лодки. На высоте 200 м были остановлены двигатели. </w:t>
      </w:r>
    </w:p>
    <w:p w14:paraId="733480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17.39 дирижабль коснулся [446] кормой воды на расстоянии 16 км от берега и в 180 км южнее Сан-Франциско. Удар о воду был несильным, и «Мэкон» стал медленно погружаться. В этот момент командир приказал покинуть корабль и пересесть в спасательные лодки, которые незадолго до того были спущены на воду. </w:t>
      </w:r>
    </w:p>
    <w:p w14:paraId="4035F9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«Мы все время держались невдалеке от дирижабля, — рассказывал позже командир, — заметив группу людей, находившихся на хребте корпуса и в его носовой части». Эти люди перешли в носовую часть корабля, чтобы его уравновесить. Один из них спустился в командирскую рубку и выстрелил несколько раз из ракетницы, сигнализируя крейсерам, находящимся в пределах видимости. Наконец, последние члены экипажа покинули дирижабль, который продолжал медленно погружаться в воду, и перешли в спасательные лодки. Последней исчезла носовая часть, продержавшаяся несколько мгновений в вертикальном положении. Весь процесс погружения корабля занял не более 20 минут. Из восьмидесяти трех человек спастись удалось восемьдесят одного. Радист выпрыгнул из дирижабля во время спуска с высоты 20 м и утонул, а повар пропал после того, как пошел в кормовую часть осмотреть повреждения. </w:t>
      </w:r>
    </w:p>
    <w:p w14:paraId="71BCD1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Пока шла борьба за спасение дирижабля, командир радировал на базу о случившимся: «Потерпели серьезную аварию. Покинем корабль, как только коснемся воды или суши в каком-либо месте в радиусе 20 миль от мыса Сюр, вероятнее всего в 10 милях от него в море». База тут же сигнализировала по радио военным кораблям о катастрофе «Мэкона», и они со всех сторон направились к месту гибели. С помощью прожекторов лодки были обнаружены, и крейсера ВМФ США «Конкорд» и «Ричмонд» вскоре спасли потерпевших крушение, которые находились в море около 3 часов. Небо было серым, моросил мелкий дождь, но море было спокойным. ZSR-5 «Мэкон» разбился во время своего 54-го полета, налетав 1798 часов. </w:t>
      </w:r>
    </w:p>
    <w:p w14:paraId="73CFB5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создании ZRS-5 намечалось устранить в его конструкции все недостатки, обнаруженные на ZRS-4. При этом планировалось значительно увеличить объем дирижабля. Однако строительство ZRS-5 форсировалось. Одной из причин этого было желание сгладить впечатление от гибели ZRS-4. И не случайно, что первый полет ZRS-5 состоялся уже через две с половиной недели после потери ZRS-4. В результате этого кубатура дирижабля не была увеличена, а выполненные конструктивные доработки общим числом более 100 принципиальных изменений в конструкцию не внесли. Не было полностью ликвидировано и перетяжеление дирижабля. ZRS-5 оказался легче ZRS-4 всего на 3,6 т. Однако главный недостаток воздушного корабля заключался в точно такой же, как и у ZRS-4, недостаточной прочности кормовой части (11324).</w:t>
      </w:r>
    </w:p>
    <w:p w14:paraId="027ED8B0" w14:textId="77777777" w:rsidR="00D4105E" w:rsidRPr="00E14102" w:rsidRDefault="00D4105E" w:rsidP="00E14102">
      <w:pPr>
        <w:autoSpaceDE w:val="0"/>
        <w:autoSpaceDN w:val="0"/>
        <w:adjustRightInd w:val="0"/>
        <w:jc w:val="both"/>
        <w:rPr>
          <w:color w:val="000000" w:themeColor="text1"/>
          <w:sz w:val="16"/>
          <w:szCs w:val="16"/>
        </w:rPr>
      </w:pPr>
    </w:p>
    <w:p w14:paraId="574B8F9C" w14:textId="77777777" w:rsidR="005D4A18" w:rsidRPr="00E14102" w:rsidRDefault="005D4A18" w:rsidP="00E14102">
      <w:pPr>
        <w:jc w:val="both"/>
        <w:rPr>
          <w:color w:val="000000" w:themeColor="text1"/>
          <w:sz w:val="16"/>
          <w:szCs w:val="16"/>
        </w:rPr>
      </w:pPr>
      <w:r w:rsidRPr="00E14102">
        <w:rPr>
          <w:bCs/>
          <w:color w:val="000000" w:themeColor="text1"/>
          <w:sz w:val="16"/>
          <w:szCs w:val="16"/>
        </w:rPr>
        <w:t>11 января</w:t>
      </w:r>
      <w:r w:rsidRPr="00E14102">
        <w:rPr>
          <w:color w:val="000000" w:themeColor="text1"/>
          <w:sz w:val="16"/>
          <w:szCs w:val="16"/>
        </w:rPr>
        <w:t xml:space="preserve"> в 1935 году американская женщина-авиатор Амелиа Эрхарт на самолете «Локхид Вега» совершила одиночный перелет через Тихий океан. 11 января 1935 года «Локхид Вега» постройки 1931 года, с мотором «Уосп» в 500 лошадиных сил, ушел в небо с аэродрома в Гонолулу, на Гавайских островах, и взял курс на Окленд, в Калифорнии. Впереди у летчицы было 3860 километров полета над океаном, где не встретишь и небольшого островка. Амелия была не первой на этом маршруте. </w:t>
      </w:r>
      <w:r w:rsidRPr="00E14102">
        <w:rPr>
          <w:color w:val="000000" w:themeColor="text1"/>
          <w:sz w:val="16"/>
          <w:szCs w:val="16"/>
        </w:rPr>
        <w:lastRenderedPageBreak/>
        <w:t>Десяти американским летчикам-мужчинам он стоил жизни, и только австралийцу Кингсфорду Смиту в ноябре 1933 года сопутствовала удача. Эрхард, таким образом, стала вторым человеком, перелетевшим с Гавайских островов в Калифорнию, и первой выполнившей этот маршрут женщиной. Отметим, что перелету предшествовала основательная подготовка. Самолет был оборудован радиостанцией, позволявшей летчице не чувствовать себя одинокой над безбрежным простором все 18 часов 16 минут пути, пока впереди по курсу она не увидела землю. Эрхард переговаривалась с «землей» и слушала передачи широковещательных радиостанций. На борту самолета была резиновая лодка, которую в случае вынужденной посадки можно было быстро наполнить углекислым газом. Амелия летела в надувном спасательном жилете. В водонепроницаемой части самолета был уложен запас продуктов. К счастью, летчице не пришлось воспользоваться ни лодкой, ни жилетом, чему немало способствовала хорошая погода на маршруте (15006).</w:t>
      </w:r>
    </w:p>
    <w:p w14:paraId="08D12BF2" w14:textId="77777777" w:rsidR="005D4A18" w:rsidRPr="00E14102" w:rsidRDefault="005D4A18" w:rsidP="00E14102">
      <w:pPr>
        <w:jc w:val="both"/>
        <w:rPr>
          <w:color w:val="000000" w:themeColor="text1"/>
          <w:sz w:val="16"/>
          <w:szCs w:val="16"/>
        </w:rPr>
      </w:pPr>
    </w:p>
    <w:p w14:paraId="6B1414C5" w14:textId="77777777" w:rsidR="007562F7" w:rsidRPr="00E14102" w:rsidRDefault="007562F7" w:rsidP="00E14102">
      <w:pPr>
        <w:jc w:val="both"/>
        <w:rPr>
          <w:color w:val="0070C0"/>
          <w:sz w:val="16"/>
          <w:szCs w:val="16"/>
        </w:rPr>
      </w:pPr>
      <w:r w:rsidRPr="00E14102">
        <w:rPr>
          <w:color w:val="0070C0"/>
          <w:sz w:val="16"/>
          <w:szCs w:val="16"/>
        </w:rPr>
        <w:t>11–12 января 1935 Амелия Эрхарт совершает первый самостоятельный перелет с Гавайев в Северную Америку из Гонолулу в Окленд, штат Калифорния. Это также первый самостоятельный перелет через любую часть Тихого океана (20800).</w:t>
      </w:r>
    </w:p>
    <w:p w14:paraId="7C6DBAA1" w14:textId="77777777" w:rsidR="007562F7" w:rsidRPr="00E14102" w:rsidRDefault="007562F7" w:rsidP="00E14102">
      <w:pPr>
        <w:jc w:val="both"/>
        <w:rPr>
          <w:color w:val="0070C0"/>
          <w:sz w:val="16"/>
          <w:szCs w:val="16"/>
        </w:rPr>
      </w:pPr>
    </w:p>
    <w:p w14:paraId="5B8F85FB" w14:textId="77777777" w:rsidR="00FA4EE1" w:rsidRPr="00E14102" w:rsidRDefault="00FA4EE1"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C13C853" w14:textId="77777777" w:rsidR="00FA4EE1" w:rsidRPr="00E14102" w:rsidRDefault="00FA4EE1" w:rsidP="00E14102">
      <w:pPr>
        <w:autoSpaceDE w:val="0"/>
        <w:autoSpaceDN w:val="0"/>
        <w:adjustRightInd w:val="0"/>
        <w:jc w:val="both"/>
        <w:rPr>
          <w:iCs/>
          <w:color w:val="000000" w:themeColor="text1"/>
          <w:sz w:val="16"/>
          <w:szCs w:val="16"/>
        </w:rPr>
      </w:pPr>
    </w:p>
    <w:p w14:paraId="0DF8DF56" w14:textId="77777777" w:rsidR="00FA4EE1" w:rsidRPr="00E14102" w:rsidRDefault="00FA4EE1" w:rsidP="00E14102">
      <w:pPr>
        <w:jc w:val="both"/>
        <w:rPr>
          <w:color w:val="000000" w:themeColor="text1"/>
          <w:sz w:val="16"/>
          <w:szCs w:val="16"/>
        </w:rPr>
      </w:pPr>
      <w:r w:rsidRPr="00E14102">
        <w:rPr>
          <w:color w:val="000000" w:themeColor="text1"/>
          <w:sz w:val="16"/>
          <w:szCs w:val="16"/>
        </w:rPr>
        <w:t>12 января 1935 года военно морской атташе П. Ю. Орас на заводе ―Сперри осматривал изготавливаемые для СССР ПУАО,  которые проходили заводские и сдаточные испытания; автопилоты для самолетов; другие авиаприборы; звукоулавливатель. Выяснил основные направления перспективных работ завода» [Там же] (18273).</w:t>
      </w:r>
    </w:p>
    <w:p w14:paraId="1F9CAF26" w14:textId="77777777" w:rsidR="00FA4EE1" w:rsidRPr="00E14102" w:rsidRDefault="00FA4EE1" w:rsidP="00E14102">
      <w:pPr>
        <w:jc w:val="both"/>
        <w:rPr>
          <w:color w:val="000000" w:themeColor="text1"/>
          <w:sz w:val="16"/>
          <w:szCs w:val="16"/>
        </w:rPr>
      </w:pPr>
    </w:p>
    <w:p w14:paraId="58F8148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0386313" w14:textId="77777777" w:rsidR="00D4105E" w:rsidRPr="00E14102" w:rsidRDefault="00D4105E" w:rsidP="00E14102">
      <w:pPr>
        <w:autoSpaceDE w:val="0"/>
        <w:autoSpaceDN w:val="0"/>
        <w:adjustRightInd w:val="0"/>
        <w:jc w:val="both"/>
        <w:rPr>
          <w:iCs/>
          <w:color w:val="000000" w:themeColor="text1"/>
          <w:sz w:val="16"/>
          <w:szCs w:val="16"/>
        </w:rPr>
      </w:pPr>
    </w:p>
    <w:p w14:paraId="4E3D96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января 1935 года начальник управления ВВС Алкснис писал письмо N СТО/01152 Тухачевскому.</w:t>
      </w:r>
    </w:p>
    <w:p w14:paraId="2BB771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Доношу, что гос. испытания сам. И-16 с крыльевой установкой пулеметов ШКАС конструкции ОКБ-2 Шпитального начались с 1 января и будут закончены 15 января (3495,138-140).</w:t>
      </w:r>
    </w:p>
    <w:p w14:paraId="37882397" w14:textId="77777777" w:rsidR="00D4105E" w:rsidRPr="00E14102" w:rsidRDefault="00D4105E" w:rsidP="00E14102">
      <w:pPr>
        <w:autoSpaceDE w:val="0"/>
        <w:autoSpaceDN w:val="0"/>
        <w:adjustRightInd w:val="0"/>
        <w:jc w:val="both"/>
        <w:rPr>
          <w:color w:val="000000" w:themeColor="text1"/>
          <w:sz w:val="16"/>
          <w:szCs w:val="16"/>
        </w:rPr>
      </w:pPr>
    </w:p>
    <w:p w14:paraId="7CCA37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января 1935 г. доработанный ДГ-52 в Подлипках приняла техническая бригада НИИ ВВС. В тот же день лётчик П.Я. Федрови перегнал его в Щёлково. Теперь самолёт именовался ИП-1 М-25 (в Управлении ВВС поменяли порядок букв). Называлась следующая цель испытаний: "Определить выносливость конструкции и её живучесть при стрельбе из АПК-4М". Но пушек на истребителе пока не было, и сначала занялись лётными данными самолёта.</w:t>
      </w:r>
    </w:p>
    <w:p w14:paraId="74BBC1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Последующие полёты в НИИ до последних чисел февраля выполняли Федрови и Степанчонок. Самолёт был оборудован убираемыми лыжами, которые в Советском Союзе использовались впервые. Интересно, что хотя схема убираемого шасси ИП-1 с выступающими из-под крыла гондолами считалась не вполне современной, однако в сочетании с зимними лыжами она оказалась достаточно удачной. Подтверждением тому стала авария, произошедшая 3 марта 1935 г. на Центральном аэродроме в Москве. В этот день Федрови выполнял полёты с разгоном до максимальной скорости. На одном из скоростных режимов лопнуло крепление левой части капота двигателя, боковую секцию её сорвало, и она врезалась в переднюю кромку стабилизатора. Федрови немедленно пошёл на посадку, однако, от волнения забыл выпустить шасси. Тем не менее, благодаря выступающим гондолам приземление на заснеженное поле произошло вполне благополучно. Повреждённым оказался только металлический воздушный винт, концы которого погнулись.</w:t>
      </w:r>
    </w:p>
    <w:p w14:paraId="61FB6B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сводке аварий НИИ ВВС значится ещё одна посадка ИП-1 с убранным шасси. Она произошла 4 марта в Щёлково, пилотировал истребитель А.И. Залев- ский.</w:t>
      </w:r>
    </w:p>
    <w:p w14:paraId="0556D3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После второй аварийной посадки самолёт направили для ремонта повреждённых элементов конструкции и монтажа АПК-4М. Одновременно доработали капот, усилили элементы его крепления и ввели дополнительную поперечную стяжную ленту (как у И-16). Ещё один вариант капота с прорезанными отверстиями для отдельных выхлопных патрубков сделали в июле 1935 г. Однако, скорее всего, данное упоминание переделок капота двигателя, приведённое в деле по испытаниям ИП-1, относилось к другому самолёту - ДГ-53 (12005). </w:t>
      </w:r>
    </w:p>
    <w:p w14:paraId="6EF522B6" w14:textId="77777777" w:rsidR="00D4105E" w:rsidRPr="00E14102" w:rsidRDefault="00D4105E" w:rsidP="00E14102">
      <w:pPr>
        <w:autoSpaceDE w:val="0"/>
        <w:autoSpaceDN w:val="0"/>
        <w:adjustRightInd w:val="0"/>
        <w:jc w:val="both"/>
        <w:rPr>
          <w:color w:val="000000" w:themeColor="text1"/>
          <w:sz w:val="16"/>
          <w:szCs w:val="16"/>
        </w:rPr>
      </w:pPr>
    </w:p>
    <w:p w14:paraId="4D4195FB" w14:textId="77777777" w:rsidR="005D4A18" w:rsidRPr="00E14102" w:rsidRDefault="005D4A18" w:rsidP="00E14102">
      <w:pPr>
        <w:pStyle w:val="a7"/>
        <w:rPr>
          <w:color w:val="000000" w:themeColor="text1"/>
          <w:sz w:val="16"/>
          <w:szCs w:val="16"/>
          <w:lang w:val="ru-RU"/>
        </w:rPr>
      </w:pPr>
      <w:r w:rsidRPr="00E14102">
        <w:rPr>
          <w:color w:val="000000" w:themeColor="text1"/>
          <w:sz w:val="16"/>
          <w:szCs w:val="16"/>
          <w:lang w:val="ru-RU"/>
        </w:rPr>
        <w:t>13 января 1935 г., согласно отчету по испытаниям, самолет ИП-1 М-25 был принят тех</w:t>
      </w:r>
      <w:r w:rsidRPr="00E14102">
        <w:rPr>
          <w:color w:val="000000" w:themeColor="text1"/>
          <w:sz w:val="16"/>
          <w:szCs w:val="16"/>
          <w:lang w:val="ru-RU"/>
        </w:rPr>
        <w:softHyphen/>
        <w:t>нической бригадой НИИ ВВС в Подлипках и в тот же день летчик Федрови перегнал его на аэродром Щелково. Последую</w:t>
      </w:r>
      <w:r w:rsidRPr="00E14102">
        <w:rPr>
          <w:color w:val="000000" w:themeColor="text1"/>
          <w:sz w:val="16"/>
          <w:szCs w:val="16"/>
          <w:lang w:val="ru-RU"/>
        </w:rPr>
        <w:softHyphen/>
        <w:t>щие полеты в НИИ до последних чисел февраля выполняли Федрови и летчик- испытатель Степанчонок. Самолет был оборудован убираемыми лыжами, в отно</w:t>
      </w:r>
      <w:r w:rsidRPr="00E14102">
        <w:rPr>
          <w:color w:val="000000" w:themeColor="text1"/>
          <w:sz w:val="16"/>
          <w:szCs w:val="16"/>
          <w:lang w:val="ru-RU"/>
        </w:rPr>
        <w:softHyphen/>
        <w:t>шении которых указывалось, что такие лыжи в Советском Союзе использовались впервые. Интересно, что хотя схема уби</w:t>
      </w:r>
      <w:r w:rsidRPr="00E14102">
        <w:rPr>
          <w:color w:val="000000" w:themeColor="text1"/>
          <w:sz w:val="16"/>
          <w:szCs w:val="16"/>
          <w:lang w:val="ru-RU"/>
        </w:rPr>
        <w:softHyphen/>
        <w:t>раемого шасси ИП-1 с выступающими из-под крыла гондолами расценивалась не вполне современной, однако в сочета</w:t>
      </w:r>
      <w:r w:rsidRPr="00E14102">
        <w:rPr>
          <w:color w:val="000000" w:themeColor="text1"/>
          <w:sz w:val="16"/>
          <w:szCs w:val="16"/>
          <w:lang w:val="ru-RU"/>
        </w:rPr>
        <w:softHyphen/>
        <w:t>ниями с зимними лыжами она оказалась вполне удачной. Подтверждением тому стала авария самолета, произошедшая 3 марта 1935 г. на Центральном аэродро</w:t>
      </w:r>
      <w:r w:rsidRPr="00E14102">
        <w:rPr>
          <w:color w:val="000000" w:themeColor="text1"/>
          <w:sz w:val="16"/>
          <w:szCs w:val="16"/>
          <w:lang w:val="ru-RU"/>
        </w:rPr>
        <w:softHyphen/>
        <w:t>ме Москвы.</w:t>
      </w:r>
    </w:p>
    <w:p w14:paraId="68238D61" w14:textId="77777777" w:rsidR="005D4A18" w:rsidRPr="00E14102" w:rsidRDefault="005D4A18" w:rsidP="00E14102">
      <w:pPr>
        <w:pStyle w:val="a7"/>
        <w:rPr>
          <w:color w:val="000000" w:themeColor="text1"/>
          <w:sz w:val="16"/>
          <w:szCs w:val="16"/>
          <w:lang w:val="ru-RU"/>
        </w:rPr>
      </w:pPr>
      <w:r w:rsidRPr="00E14102">
        <w:rPr>
          <w:color w:val="000000" w:themeColor="text1"/>
          <w:sz w:val="16"/>
          <w:szCs w:val="16"/>
          <w:lang w:val="ru-RU"/>
        </w:rPr>
        <w:t>В тот день летчик Федрови выпол</w:t>
      </w:r>
      <w:r w:rsidRPr="00E14102">
        <w:rPr>
          <w:color w:val="000000" w:themeColor="text1"/>
          <w:sz w:val="16"/>
          <w:szCs w:val="16"/>
          <w:lang w:val="ru-RU"/>
        </w:rPr>
        <w:softHyphen/>
        <w:t>нял полеты с разгоном до максимальной скорости. Во время проведения одного из скоростных режимов лопнуло крепле</w:t>
      </w:r>
      <w:r w:rsidRPr="00E14102">
        <w:rPr>
          <w:color w:val="000000" w:themeColor="text1"/>
          <w:sz w:val="16"/>
          <w:szCs w:val="16"/>
          <w:lang w:val="ru-RU"/>
        </w:rPr>
        <w:softHyphen/>
        <w:t>ние левой части капота двигателя, фраг</w:t>
      </w:r>
      <w:r w:rsidRPr="00E14102">
        <w:rPr>
          <w:color w:val="000000" w:themeColor="text1"/>
          <w:sz w:val="16"/>
          <w:szCs w:val="16"/>
          <w:lang w:val="ru-RU"/>
        </w:rPr>
        <w:softHyphen/>
        <w:t>мент боковины сорвало, и она врезалась в переднюю кромку стабилизатора хво</w:t>
      </w:r>
      <w:r w:rsidRPr="00E14102">
        <w:rPr>
          <w:color w:val="000000" w:themeColor="text1"/>
          <w:sz w:val="16"/>
          <w:szCs w:val="16"/>
          <w:lang w:val="ru-RU"/>
        </w:rPr>
        <w:softHyphen/>
        <w:t>стового оперения. Федрови немедленно пошел на посадку, однако от волнения забыл произвести выпуск шасси. Тем не менее, приземление на снежную поверх</w:t>
      </w:r>
      <w:r w:rsidRPr="00E14102">
        <w:rPr>
          <w:color w:val="000000" w:themeColor="text1"/>
          <w:sz w:val="16"/>
          <w:szCs w:val="16"/>
          <w:lang w:val="ru-RU"/>
        </w:rPr>
        <w:softHyphen/>
        <w:t>ность благодаря выступающим шассий- ным гондолам произошло вполне благо</w:t>
      </w:r>
      <w:r w:rsidRPr="00E14102">
        <w:rPr>
          <w:color w:val="000000" w:themeColor="text1"/>
          <w:sz w:val="16"/>
          <w:szCs w:val="16"/>
          <w:lang w:val="ru-RU"/>
        </w:rPr>
        <w:softHyphen/>
        <w:t>получно. Поврежденным оказался лишь металлический воздушный винт, концы которого загнулись. После аварийной посадки самолет направили для ремонта поврежденных элементов конструкции и намеченно</w:t>
      </w:r>
      <w:r w:rsidRPr="00E14102">
        <w:rPr>
          <w:color w:val="000000" w:themeColor="text1"/>
          <w:sz w:val="16"/>
          <w:szCs w:val="16"/>
          <w:lang w:val="ru-RU"/>
        </w:rPr>
        <w:softHyphen/>
        <w:t>го монтажа пушек АПК. Одновременно доработали капот, усилили элементы его крепления и ввели дополнительную попе</w:t>
      </w:r>
      <w:r w:rsidRPr="00E14102">
        <w:rPr>
          <w:color w:val="000000" w:themeColor="text1"/>
          <w:sz w:val="16"/>
          <w:szCs w:val="16"/>
          <w:lang w:val="ru-RU"/>
        </w:rPr>
        <w:softHyphen/>
        <w:t>речную стяжную ленту (как у И-16). Еще один вариант капота с прорезанными отверстиями для отдельных выхлопных патрубков сделали в июле 1935 г. Однако, скорее всего, данное упоминание пере</w:t>
      </w:r>
      <w:r w:rsidRPr="00E14102">
        <w:rPr>
          <w:color w:val="000000" w:themeColor="text1"/>
          <w:sz w:val="16"/>
          <w:szCs w:val="16"/>
          <w:lang w:val="ru-RU"/>
        </w:rPr>
        <w:softHyphen/>
        <w:t>делок капота двигателя в деле по испыта</w:t>
      </w:r>
      <w:r w:rsidRPr="00E14102">
        <w:rPr>
          <w:color w:val="000000" w:themeColor="text1"/>
          <w:sz w:val="16"/>
          <w:szCs w:val="16"/>
          <w:lang w:val="ru-RU"/>
        </w:rPr>
        <w:softHyphen/>
        <w:t>ниям ИП-1 относилось к другому самолету -ДГ-6З (15742).</w:t>
      </w:r>
    </w:p>
    <w:p w14:paraId="36F3C237" w14:textId="77777777" w:rsidR="005D4A18" w:rsidRPr="00E14102" w:rsidRDefault="005D4A18" w:rsidP="00E14102">
      <w:pPr>
        <w:pStyle w:val="a7"/>
        <w:rPr>
          <w:color w:val="000000" w:themeColor="text1"/>
          <w:sz w:val="16"/>
          <w:szCs w:val="16"/>
          <w:lang w:val="ru-RU"/>
        </w:rPr>
      </w:pPr>
    </w:p>
    <w:p w14:paraId="5EA8FB3C" w14:textId="77777777" w:rsidR="007C68D1" w:rsidRPr="00E14102" w:rsidRDefault="007C68D1" w:rsidP="00E14102">
      <w:pPr>
        <w:shd w:val="clear" w:color="auto" w:fill="FFFFFF"/>
        <w:jc w:val="both"/>
        <w:rPr>
          <w:color w:val="0070C0"/>
          <w:sz w:val="16"/>
          <w:szCs w:val="16"/>
        </w:rPr>
      </w:pPr>
      <w:r w:rsidRPr="00E14102">
        <w:rPr>
          <w:color w:val="0070C0"/>
          <w:sz w:val="16"/>
          <w:szCs w:val="16"/>
        </w:rPr>
        <w:t>13 января 1935 года ИП-1РЦФ-3 на Цент</w:t>
      </w:r>
      <w:r w:rsidRPr="00E14102">
        <w:rPr>
          <w:color w:val="0070C0"/>
          <w:sz w:val="16"/>
          <w:szCs w:val="16"/>
        </w:rPr>
        <w:softHyphen/>
        <w:t>ральном аэродроме передали представителям НИИ ВВС для проведения первого этапа госиспытаний. Григорович, как говорят, не был лишен доли тщеславия и, вероятно, его задела нанесенная в Подлипках надпись «У.С.Р. Н.К.Т.П.». К моменту передачи на руле направления добавилось обозначение «ДГ-52» в круге и эмблема неизвестного назначения, похожая на заваленный набок знак пацифистов, хотя возможно эмблему нарисовали еще в Подлипках. Документов по окраске этого самолета обнаружить не удалось, но на фотографиях хорошо видна разделительная линия на передней кромке крыла: верх и низ самолета были разного цвета.</w:t>
      </w:r>
    </w:p>
    <w:p w14:paraId="13BB0C8F" w14:textId="77777777" w:rsidR="007C68D1" w:rsidRPr="00E14102" w:rsidRDefault="007C68D1" w:rsidP="00E14102">
      <w:pPr>
        <w:jc w:val="both"/>
        <w:rPr>
          <w:color w:val="0070C0"/>
          <w:sz w:val="16"/>
          <w:szCs w:val="16"/>
        </w:rPr>
      </w:pPr>
      <w:r w:rsidRPr="00E14102">
        <w:rPr>
          <w:color w:val="0070C0"/>
          <w:sz w:val="16"/>
          <w:szCs w:val="16"/>
        </w:rPr>
        <w:t>Вооружение оставалось недоведенным, стрельбы пока не планировались, собственно из-за чего речь и шла только о первом этапе испытаний, программа которого предусмат</w:t>
      </w:r>
      <w:r w:rsidRPr="00E14102">
        <w:rPr>
          <w:color w:val="0070C0"/>
          <w:sz w:val="16"/>
          <w:szCs w:val="16"/>
        </w:rPr>
        <w:softHyphen/>
        <w:t>ривала выполнение 25 полетов для снятия летных характеристик, определения управ</w:t>
      </w:r>
      <w:r w:rsidRPr="00E14102">
        <w:rPr>
          <w:color w:val="0070C0"/>
          <w:sz w:val="16"/>
          <w:szCs w:val="16"/>
        </w:rPr>
        <w:softHyphen/>
        <w:t>ляемости и общей тактико-технической оценки самолета. После ознакомительного полета, во время которого все же сделали 20 выстрелов из АПК, на ДРП установили обте</w:t>
      </w:r>
      <w:r w:rsidRPr="00E14102">
        <w:rPr>
          <w:color w:val="0070C0"/>
          <w:sz w:val="16"/>
          <w:szCs w:val="16"/>
        </w:rPr>
        <w:softHyphen/>
        <w:t>катели, и ДГ-52 перегнали в Щелково (19933).</w:t>
      </w:r>
    </w:p>
    <w:p w14:paraId="09DD82AC" w14:textId="77777777" w:rsidR="007C68D1" w:rsidRPr="00E14102" w:rsidRDefault="007C68D1" w:rsidP="00E14102">
      <w:pPr>
        <w:jc w:val="both"/>
        <w:rPr>
          <w:color w:val="0070C0"/>
          <w:sz w:val="16"/>
          <w:szCs w:val="16"/>
        </w:rPr>
      </w:pPr>
    </w:p>
    <w:p w14:paraId="406E9B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января 1935 года Базилевич писал письмо N 70/КО Алкснису.</w:t>
      </w:r>
    </w:p>
    <w:p w14:paraId="6E4166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пост. СТО N К-28сс от 6.03.34 г. для доклада Молотову прошу сообщить:</w:t>
      </w:r>
    </w:p>
    <w:p w14:paraId="5E165F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об опыте эксплуатации тормозных колес на всех типах самолетов,</w:t>
      </w:r>
    </w:p>
    <w:p w14:paraId="1B4EFD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недочеты, выявившиеся при эксплуатации их и принимаемые меры к устранению установленных недочетов. (3104,11).</w:t>
      </w:r>
    </w:p>
    <w:p w14:paraId="40700AC5" w14:textId="77777777" w:rsidR="00D4105E" w:rsidRPr="00E14102" w:rsidRDefault="00D4105E" w:rsidP="00E14102">
      <w:pPr>
        <w:autoSpaceDE w:val="0"/>
        <w:autoSpaceDN w:val="0"/>
        <w:adjustRightInd w:val="0"/>
        <w:jc w:val="both"/>
        <w:rPr>
          <w:color w:val="000000" w:themeColor="text1"/>
          <w:sz w:val="16"/>
          <w:szCs w:val="16"/>
        </w:rPr>
      </w:pPr>
    </w:p>
    <w:p w14:paraId="2559FE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января 1935 Нач. БОК завода 35 Чижевский писал письмо N 68с с Рапортом Нач. ГУАП С.Л.Марголину через Нач. Опытного Сектора Самолетного Отдела в сопровождение доклада о мероприятиях по подготовке к юлю на высотах 10-12 км м выше. Доносил, что работы по конструированию высотных кабин для ЛР и И-16 могут быть произведены в БОК (2336,28).</w:t>
      </w:r>
    </w:p>
    <w:p w14:paraId="088D491D" w14:textId="77777777" w:rsidR="00D4105E" w:rsidRPr="00E14102" w:rsidRDefault="00D4105E" w:rsidP="00E14102">
      <w:pPr>
        <w:autoSpaceDE w:val="0"/>
        <w:autoSpaceDN w:val="0"/>
        <w:adjustRightInd w:val="0"/>
        <w:jc w:val="both"/>
        <w:rPr>
          <w:color w:val="000000" w:themeColor="text1"/>
          <w:sz w:val="16"/>
          <w:szCs w:val="16"/>
        </w:rPr>
      </w:pPr>
    </w:p>
    <w:p w14:paraId="2F3A8B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13 января 1935 был подготовлен проект:</w:t>
      </w:r>
    </w:p>
    <w:p w14:paraId="74053B5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ПЛАН РАБОТЫ ОПЫТНОЙ ГРУППЫ САМОЛЕТНОГО ОТДЕЛА на 1 квартал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8010"/>
        <w:gridCol w:w="1260"/>
      </w:tblGrid>
      <w:tr w:rsidR="00E3599D" w:rsidRPr="00E14102" w14:paraId="6CD37B98" w14:textId="77777777">
        <w:tc>
          <w:tcPr>
            <w:tcW w:w="468" w:type="dxa"/>
            <w:tcBorders>
              <w:top w:val="single" w:sz="12" w:space="0" w:color="auto"/>
            </w:tcBorders>
          </w:tcPr>
          <w:p w14:paraId="07C20353" w14:textId="77777777" w:rsidR="00D4105E" w:rsidRPr="00E14102" w:rsidRDefault="00D4105E" w:rsidP="00E14102">
            <w:pPr>
              <w:autoSpaceDE w:val="0"/>
              <w:autoSpaceDN w:val="0"/>
              <w:adjustRightInd w:val="0"/>
              <w:jc w:val="both"/>
              <w:rPr>
                <w:color w:val="000000" w:themeColor="text1"/>
                <w:sz w:val="16"/>
                <w:szCs w:val="16"/>
              </w:rPr>
            </w:pPr>
          </w:p>
        </w:tc>
        <w:tc>
          <w:tcPr>
            <w:tcW w:w="8010" w:type="dxa"/>
            <w:tcBorders>
              <w:top w:val="single" w:sz="12" w:space="0" w:color="auto"/>
            </w:tcBorders>
          </w:tcPr>
          <w:p w14:paraId="390639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Увязка тематического плава опытных работ с финансовым планом</w:t>
            </w:r>
          </w:p>
        </w:tc>
        <w:tc>
          <w:tcPr>
            <w:tcW w:w="1260" w:type="dxa"/>
            <w:tcBorders>
              <w:top w:val="single" w:sz="12" w:space="0" w:color="auto"/>
            </w:tcBorders>
          </w:tcPr>
          <w:p w14:paraId="3EE185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1/П-35 г.</w:t>
            </w:r>
          </w:p>
        </w:tc>
      </w:tr>
      <w:tr w:rsidR="00E3599D" w:rsidRPr="00E14102" w14:paraId="49BD901D" w14:textId="77777777">
        <w:tc>
          <w:tcPr>
            <w:tcW w:w="468" w:type="dxa"/>
          </w:tcPr>
          <w:p w14:paraId="08396651" w14:textId="77777777" w:rsidR="00D4105E" w:rsidRPr="00E14102" w:rsidRDefault="00D4105E" w:rsidP="00E14102">
            <w:pPr>
              <w:autoSpaceDE w:val="0"/>
              <w:autoSpaceDN w:val="0"/>
              <w:adjustRightInd w:val="0"/>
              <w:jc w:val="both"/>
              <w:rPr>
                <w:color w:val="000000" w:themeColor="text1"/>
                <w:sz w:val="16"/>
                <w:szCs w:val="16"/>
              </w:rPr>
            </w:pPr>
          </w:p>
        </w:tc>
        <w:tc>
          <w:tcPr>
            <w:tcW w:w="8010" w:type="dxa"/>
          </w:tcPr>
          <w:p w14:paraId="1D16DA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Подготовка тематического плана и техтребова-шш к нему для доклада и утверждения Прави</w:t>
            </w:r>
            <w:r w:rsidRPr="00E14102">
              <w:rPr>
                <w:color w:val="000000" w:themeColor="text1"/>
                <w:sz w:val="16"/>
                <w:szCs w:val="16"/>
              </w:rPr>
              <w:softHyphen/>
              <w:t>тельству</w:t>
            </w:r>
          </w:p>
        </w:tc>
        <w:tc>
          <w:tcPr>
            <w:tcW w:w="1260" w:type="dxa"/>
          </w:tcPr>
          <w:p w14:paraId="10D155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1/П-35 г.</w:t>
            </w:r>
          </w:p>
        </w:tc>
      </w:tr>
      <w:tr w:rsidR="00E3599D" w:rsidRPr="00E14102" w14:paraId="3A07FDCC" w14:textId="77777777">
        <w:tc>
          <w:tcPr>
            <w:tcW w:w="468" w:type="dxa"/>
          </w:tcPr>
          <w:p w14:paraId="084E908A" w14:textId="77777777" w:rsidR="00D4105E" w:rsidRPr="00E14102" w:rsidRDefault="00D4105E" w:rsidP="00E14102">
            <w:pPr>
              <w:autoSpaceDE w:val="0"/>
              <w:autoSpaceDN w:val="0"/>
              <w:adjustRightInd w:val="0"/>
              <w:jc w:val="both"/>
              <w:rPr>
                <w:color w:val="000000" w:themeColor="text1"/>
                <w:sz w:val="16"/>
                <w:szCs w:val="16"/>
              </w:rPr>
            </w:pPr>
          </w:p>
        </w:tc>
        <w:tc>
          <w:tcPr>
            <w:tcW w:w="8010" w:type="dxa"/>
          </w:tcPr>
          <w:p w14:paraId="490BB6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Составление отчета о работе опытных организа</w:t>
            </w:r>
            <w:r w:rsidRPr="00E14102">
              <w:rPr>
                <w:color w:val="000000" w:themeColor="text1"/>
                <w:sz w:val="16"/>
                <w:szCs w:val="16"/>
              </w:rPr>
              <w:softHyphen/>
              <w:t>ция за 1934 год</w:t>
            </w:r>
          </w:p>
        </w:tc>
        <w:tc>
          <w:tcPr>
            <w:tcW w:w="1260" w:type="dxa"/>
          </w:tcPr>
          <w:p w14:paraId="6155F7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1/П-35 г.</w:t>
            </w:r>
          </w:p>
        </w:tc>
      </w:tr>
      <w:tr w:rsidR="00E3599D" w:rsidRPr="00E14102" w14:paraId="3D2F29BF" w14:textId="77777777">
        <w:tc>
          <w:tcPr>
            <w:tcW w:w="468" w:type="dxa"/>
          </w:tcPr>
          <w:p w14:paraId="5FA05FD0" w14:textId="77777777" w:rsidR="00D4105E" w:rsidRPr="00E14102" w:rsidRDefault="00D4105E" w:rsidP="00E14102">
            <w:pPr>
              <w:autoSpaceDE w:val="0"/>
              <w:autoSpaceDN w:val="0"/>
              <w:adjustRightInd w:val="0"/>
              <w:jc w:val="both"/>
              <w:rPr>
                <w:color w:val="000000" w:themeColor="text1"/>
                <w:sz w:val="16"/>
                <w:szCs w:val="16"/>
              </w:rPr>
            </w:pPr>
          </w:p>
        </w:tc>
        <w:tc>
          <w:tcPr>
            <w:tcW w:w="8010" w:type="dxa"/>
          </w:tcPr>
          <w:p w14:paraId="26888D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Составление сводных заявок на моторы,винты и. согласование их с заинтересованными отделами и организациями.</w:t>
            </w:r>
          </w:p>
        </w:tc>
        <w:tc>
          <w:tcPr>
            <w:tcW w:w="1260" w:type="dxa"/>
          </w:tcPr>
          <w:p w14:paraId="5F9DA0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1/П-35 г.</w:t>
            </w:r>
          </w:p>
        </w:tc>
      </w:tr>
      <w:tr w:rsidR="00E3599D" w:rsidRPr="00E14102" w14:paraId="14AF1431" w14:textId="77777777">
        <w:tc>
          <w:tcPr>
            <w:tcW w:w="468" w:type="dxa"/>
          </w:tcPr>
          <w:p w14:paraId="55616A97" w14:textId="77777777" w:rsidR="00D4105E" w:rsidRPr="00E14102" w:rsidRDefault="00D4105E" w:rsidP="00E14102">
            <w:pPr>
              <w:autoSpaceDE w:val="0"/>
              <w:autoSpaceDN w:val="0"/>
              <w:adjustRightInd w:val="0"/>
              <w:jc w:val="both"/>
              <w:rPr>
                <w:color w:val="000000" w:themeColor="text1"/>
                <w:sz w:val="16"/>
                <w:szCs w:val="16"/>
              </w:rPr>
            </w:pPr>
          </w:p>
        </w:tc>
        <w:tc>
          <w:tcPr>
            <w:tcW w:w="8010" w:type="dxa"/>
          </w:tcPr>
          <w:p w14:paraId="1542F3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Наблюдение за ходон испытаний в ЦАГИ самол. СБ-РЦ, СБ-Исп., МДР-4, МК1, ДИП</w:t>
            </w:r>
          </w:p>
        </w:tc>
        <w:tc>
          <w:tcPr>
            <w:tcW w:w="1260" w:type="dxa"/>
          </w:tcPr>
          <w:p w14:paraId="44809A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квартал</w:t>
            </w:r>
          </w:p>
        </w:tc>
      </w:tr>
      <w:tr w:rsidR="00E3599D" w:rsidRPr="00E14102" w14:paraId="2F1B427A" w14:textId="77777777">
        <w:tc>
          <w:tcPr>
            <w:tcW w:w="468" w:type="dxa"/>
          </w:tcPr>
          <w:p w14:paraId="1BA661F0" w14:textId="77777777" w:rsidR="00D4105E" w:rsidRPr="00E14102" w:rsidRDefault="00D4105E" w:rsidP="00E14102">
            <w:pPr>
              <w:autoSpaceDE w:val="0"/>
              <w:autoSpaceDN w:val="0"/>
              <w:adjustRightInd w:val="0"/>
              <w:jc w:val="both"/>
              <w:rPr>
                <w:color w:val="000000" w:themeColor="text1"/>
                <w:sz w:val="16"/>
                <w:szCs w:val="16"/>
              </w:rPr>
            </w:pPr>
          </w:p>
        </w:tc>
        <w:tc>
          <w:tcPr>
            <w:tcW w:w="8010" w:type="dxa"/>
          </w:tcPr>
          <w:p w14:paraId="5907E8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Тоже на зав. 39 самол. ДИ6, И17, ТШЗ</w:t>
            </w:r>
          </w:p>
        </w:tc>
        <w:tc>
          <w:tcPr>
            <w:tcW w:w="1260" w:type="dxa"/>
          </w:tcPr>
          <w:p w14:paraId="1F6635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квартал</w:t>
            </w:r>
          </w:p>
        </w:tc>
      </w:tr>
      <w:tr w:rsidR="00E3599D" w:rsidRPr="00E14102" w14:paraId="75CAC93B" w14:textId="77777777">
        <w:tc>
          <w:tcPr>
            <w:tcW w:w="468" w:type="dxa"/>
          </w:tcPr>
          <w:p w14:paraId="43D2138B" w14:textId="77777777" w:rsidR="00D4105E" w:rsidRPr="00E14102" w:rsidRDefault="00D4105E" w:rsidP="00E14102">
            <w:pPr>
              <w:autoSpaceDE w:val="0"/>
              <w:autoSpaceDN w:val="0"/>
              <w:adjustRightInd w:val="0"/>
              <w:jc w:val="both"/>
              <w:rPr>
                <w:color w:val="000000" w:themeColor="text1"/>
                <w:sz w:val="16"/>
                <w:szCs w:val="16"/>
              </w:rPr>
            </w:pPr>
          </w:p>
        </w:tc>
        <w:tc>
          <w:tcPr>
            <w:tcW w:w="8010" w:type="dxa"/>
          </w:tcPr>
          <w:p w14:paraId="6D44917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 же по зав. № 1 Р5-М34Н</w:t>
            </w:r>
          </w:p>
        </w:tc>
        <w:tc>
          <w:tcPr>
            <w:tcW w:w="1260" w:type="dxa"/>
          </w:tcPr>
          <w:p w14:paraId="7A8C5C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квартал</w:t>
            </w:r>
          </w:p>
        </w:tc>
      </w:tr>
      <w:tr w:rsidR="00E3599D" w:rsidRPr="00E14102" w14:paraId="2D29BE51" w14:textId="77777777">
        <w:tc>
          <w:tcPr>
            <w:tcW w:w="468" w:type="dxa"/>
          </w:tcPr>
          <w:p w14:paraId="7F96CB8C" w14:textId="77777777" w:rsidR="00D4105E" w:rsidRPr="00E14102" w:rsidRDefault="00D4105E" w:rsidP="00E14102">
            <w:pPr>
              <w:autoSpaceDE w:val="0"/>
              <w:autoSpaceDN w:val="0"/>
              <w:adjustRightInd w:val="0"/>
              <w:jc w:val="both"/>
              <w:rPr>
                <w:color w:val="000000" w:themeColor="text1"/>
                <w:sz w:val="16"/>
                <w:szCs w:val="16"/>
              </w:rPr>
            </w:pPr>
          </w:p>
        </w:tc>
        <w:tc>
          <w:tcPr>
            <w:tcW w:w="8010" w:type="dxa"/>
          </w:tcPr>
          <w:p w14:paraId="570BC8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То же по </w:t>
            </w:r>
            <w:r w:rsidRPr="00E14102">
              <w:rPr>
                <w:smallCaps/>
                <w:color w:val="000000" w:themeColor="text1"/>
                <w:sz w:val="16"/>
                <w:szCs w:val="16"/>
              </w:rPr>
              <w:t xml:space="preserve">хай </w:t>
            </w:r>
            <w:r w:rsidRPr="00E14102">
              <w:rPr>
                <w:color w:val="000000" w:themeColor="text1"/>
                <w:sz w:val="16"/>
                <w:szCs w:val="16"/>
              </w:rPr>
              <w:t>-ХАИ-6</w:t>
            </w:r>
          </w:p>
        </w:tc>
        <w:tc>
          <w:tcPr>
            <w:tcW w:w="1260" w:type="dxa"/>
          </w:tcPr>
          <w:p w14:paraId="7A15B0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квартал</w:t>
            </w:r>
          </w:p>
        </w:tc>
      </w:tr>
      <w:tr w:rsidR="00E3599D" w:rsidRPr="00E14102" w14:paraId="3C0434C7" w14:textId="77777777">
        <w:tc>
          <w:tcPr>
            <w:tcW w:w="468" w:type="dxa"/>
          </w:tcPr>
          <w:p w14:paraId="3576EEE3" w14:textId="77777777" w:rsidR="00D4105E" w:rsidRPr="00E14102" w:rsidRDefault="00D4105E" w:rsidP="00E14102">
            <w:pPr>
              <w:autoSpaceDE w:val="0"/>
              <w:autoSpaceDN w:val="0"/>
              <w:adjustRightInd w:val="0"/>
              <w:jc w:val="both"/>
              <w:rPr>
                <w:color w:val="000000" w:themeColor="text1"/>
                <w:sz w:val="16"/>
                <w:szCs w:val="16"/>
              </w:rPr>
            </w:pPr>
          </w:p>
        </w:tc>
        <w:tc>
          <w:tcPr>
            <w:tcW w:w="8010" w:type="dxa"/>
          </w:tcPr>
          <w:p w14:paraId="2EB73C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 же по КАИ - КАИ-1</w:t>
            </w:r>
          </w:p>
        </w:tc>
        <w:tc>
          <w:tcPr>
            <w:tcW w:w="1260" w:type="dxa"/>
          </w:tcPr>
          <w:p w14:paraId="469ACF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квартал</w:t>
            </w:r>
          </w:p>
        </w:tc>
      </w:tr>
      <w:tr w:rsidR="00E3599D" w:rsidRPr="00E14102" w14:paraId="3C0DB2E7" w14:textId="77777777">
        <w:tc>
          <w:tcPr>
            <w:tcW w:w="468" w:type="dxa"/>
          </w:tcPr>
          <w:p w14:paraId="086980DA" w14:textId="77777777" w:rsidR="00D4105E" w:rsidRPr="00E14102" w:rsidRDefault="00D4105E" w:rsidP="00E14102">
            <w:pPr>
              <w:autoSpaceDE w:val="0"/>
              <w:autoSpaceDN w:val="0"/>
              <w:adjustRightInd w:val="0"/>
              <w:jc w:val="both"/>
              <w:rPr>
                <w:color w:val="000000" w:themeColor="text1"/>
                <w:sz w:val="16"/>
                <w:szCs w:val="16"/>
              </w:rPr>
            </w:pPr>
          </w:p>
        </w:tc>
        <w:tc>
          <w:tcPr>
            <w:tcW w:w="8010" w:type="dxa"/>
          </w:tcPr>
          <w:p w14:paraId="5280D4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 же по зав. № 23 - УЗ -2-х экз.</w:t>
            </w:r>
          </w:p>
        </w:tc>
        <w:tc>
          <w:tcPr>
            <w:tcW w:w="1260" w:type="dxa"/>
          </w:tcPr>
          <w:p w14:paraId="33616F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квартал</w:t>
            </w:r>
          </w:p>
        </w:tc>
      </w:tr>
      <w:tr w:rsidR="00E3599D" w:rsidRPr="00E14102" w14:paraId="509B719F" w14:textId="77777777">
        <w:tc>
          <w:tcPr>
            <w:tcW w:w="468" w:type="dxa"/>
          </w:tcPr>
          <w:p w14:paraId="7495092D" w14:textId="77777777" w:rsidR="00D4105E" w:rsidRPr="00E14102" w:rsidRDefault="00D4105E" w:rsidP="00E14102">
            <w:pPr>
              <w:autoSpaceDE w:val="0"/>
              <w:autoSpaceDN w:val="0"/>
              <w:adjustRightInd w:val="0"/>
              <w:jc w:val="both"/>
              <w:rPr>
                <w:color w:val="000000" w:themeColor="text1"/>
                <w:sz w:val="16"/>
                <w:szCs w:val="16"/>
              </w:rPr>
            </w:pPr>
          </w:p>
        </w:tc>
        <w:tc>
          <w:tcPr>
            <w:tcW w:w="8010" w:type="dxa"/>
          </w:tcPr>
          <w:p w14:paraId="148E0B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Наблюдение за ходом постройки и проектирован. самолетов Оп. Организаций по плану утвержд. Правительством.</w:t>
            </w:r>
          </w:p>
        </w:tc>
        <w:tc>
          <w:tcPr>
            <w:tcW w:w="1260" w:type="dxa"/>
          </w:tcPr>
          <w:p w14:paraId="285E9C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квартал</w:t>
            </w:r>
          </w:p>
        </w:tc>
      </w:tr>
      <w:tr w:rsidR="00E3599D" w:rsidRPr="00E14102" w14:paraId="474DC75B" w14:textId="77777777">
        <w:tc>
          <w:tcPr>
            <w:tcW w:w="468" w:type="dxa"/>
          </w:tcPr>
          <w:p w14:paraId="7662CED4" w14:textId="77777777" w:rsidR="00D4105E" w:rsidRPr="00E14102" w:rsidRDefault="00D4105E" w:rsidP="00E14102">
            <w:pPr>
              <w:autoSpaceDE w:val="0"/>
              <w:autoSpaceDN w:val="0"/>
              <w:adjustRightInd w:val="0"/>
              <w:jc w:val="both"/>
              <w:rPr>
                <w:color w:val="000000" w:themeColor="text1"/>
                <w:sz w:val="16"/>
                <w:szCs w:val="16"/>
              </w:rPr>
            </w:pPr>
          </w:p>
        </w:tc>
        <w:tc>
          <w:tcPr>
            <w:tcW w:w="8010" w:type="dxa"/>
          </w:tcPr>
          <w:p w14:paraId="47A594B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Подготовка материалов для составления квар</w:t>
            </w:r>
            <w:r w:rsidRPr="00E14102">
              <w:rPr>
                <w:color w:val="000000" w:themeColor="text1"/>
                <w:sz w:val="16"/>
                <w:szCs w:val="16"/>
              </w:rPr>
              <w:softHyphen/>
              <w:t>тального отчета о результатах работы</w:t>
            </w:r>
          </w:p>
        </w:tc>
        <w:tc>
          <w:tcPr>
            <w:tcW w:w="1260" w:type="dxa"/>
          </w:tcPr>
          <w:p w14:paraId="364670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квартал</w:t>
            </w:r>
          </w:p>
        </w:tc>
      </w:tr>
      <w:tr w:rsidR="00E3599D" w:rsidRPr="00E14102" w14:paraId="29276347" w14:textId="77777777">
        <w:tc>
          <w:tcPr>
            <w:tcW w:w="468" w:type="dxa"/>
          </w:tcPr>
          <w:p w14:paraId="0DE5C20E" w14:textId="77777777" w:rsidR="00D4105E" w:rsidRPr="00E14102" w:rsidRDefault="00D4105E" w:rsidP="00E14102">
            <w:pPr>
              <w:autoSpaceDE w:val="0"/>
              <w:autoSpaceDN w:val="0"/>
              <w:adjustRightInd w:val="0"/>
              <w:jc w:val="both"/>
              <w:rPr>
                <w:color w:val="000000" w:themeColor="text1"/>
                <w:sz w:val="16"/>
                <w:szCs w:val="16"/>
              </w:rPr>
            </w:pPr>
          </w:p>
        </w:tc>
        <w:tc>
          <w:tcPr>
            <w:tcW w:w="8010" w:type="dxa"/>
          </w:tcPr>
          <w:p w14:paraId="42525E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Составление различных справок .увязка ведом</w:t>
            </w:r>
            <w:r w:rsidRPr="00E14102">
              <w:rPr>
                <w:color w:val="000000" w:themeColor="text1"/>
                <w:sz w:val="16"/>
                <w:szCs w:val="16"/>
              </w:rPr>
              <w:softHyphen/>
              <w:t>ственных и междуведомственных вопросов, участие в различных совещаниях</w:t>
            </w:r>
          </w:p>
        </w:tc>
        <w:tc>
          <w:tcPr>
            <w:tcW w:w="1260" w:type="dxa"/>
          </w:tcPr>
          <w:p w14:paraId="6CF90A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квартал</w:t>
            </w:r>
          </w:p>
        </w:tc>
      </w:tr>
      <w:tr w:rsidR="00E3599D" w:rsidRPr="00E14102" w14:paraId="574B7DAD" w14:textId="77777777">
        <w:tc>
          <w:tcPr>
            <w:tcW w:w="468" w:type="dxa"/>
          </w:tcPr>
          <w:p w14:paraId="67186CD6" w14:textId="77777777" w:rsidR="00D4105E" w:rsidRPr="00E14102" w:rsidRDefault="00D4105E" w:rsidP="00E14102">
            <w:pPr>
              <w:autoSpaceDE w:val="0"/>
              <w:autoSpaceDN w:val="0"/>
              <w:adjustRightInd w:val="0"/>
              <w:jc w:val="both"/>
              <w:rPr>
                <w:color w:val="000000" w:themeColor="text1"/>
                <w:sz w:val="16"/>
                <w:szCs w:val="16"/>
              </w:rPr>
            </w:pPr>
          </w:p>
        </w:tc>
        <w:tc>
          <w:tcPr>
            <w:tcW w:w="8010" w:type="dxa"/>
          </w:tcPr>
          <w:p w14:paraId="2F1449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Текущая работа - Исполнители по всем вопросам Машкевич и Бородач.</w:t>
            </w:r>
          </w:p>
        </w:tc>
        <w:tc>
          <w:tcPr>
            <w:tcW w:w="1260" w:type="dxa"/>
          </w:tcPr>
          <w:p w14:paraId="3866B5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квартал</w:t>
            </w:r>
          </w:p>
        </w:tc>
      </w:tr>
      <w:tr w:rsidR="00E3599D" w:rsidRPr="00E14102" w14:paraId="1F917CB2" w14:textId="77777777">
        <w:tc>
          <w:tcPr>
            <w:tcW w:w="468" w:type="dxa"/>
            <w:tcBorders>
              <w:bottom w:val="single" w:sz="12" w:space="0" w:color="auto"/>
            </w:tcBorders>
          </w:tcPr>
          <w:p w14:paraId="06213695" w14:textId="77777777" w:rsidR="00D4105E" w:rsidRPr="00E14102" w:rsidRDefault="00D4105E" w:rsidP="00E14102">
            <w:pPr>
              <w:autoSpaceDE w:val="0"/>
              <w:autoSpaceDN w:val="0"/>
              <w:adjustRightInd w:val="0"/>
              <w:jc w:val="both"/>
              <w:rPr>
                <w:color w:val="000000" w:themeColor="text1"/>
                <w:sz w:val="16"/>
                <w:szCs w:val="16"/>
              </w:rPr>
            </w:pPr>
          </w:p>
        </w:tc>
        <w:tc>
          <w:tcPr>
            <w:tcW w:w="8010" w:type="dxa"/>
            <w:tcBorders>
              <w:bottom w:val="single" w:sz="12" w:space="0" w:color="auto"/>
            </w:tcBorders>
          </w:tcPr>
          <w:p w14:paraId="4337B8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Составление статистических сведений по всей вопросам Научно-опытн.сектора и графика % технич.готовности опытных об"ектов по месяцам - исп. СВИСТОВ</w:t>
            </w:r>
          </w:p>
        </w:tc>
        <w:tc>
          <w:tcPr>
            <w:tcW w:w="1260" w:type="dxa"/>
            <w:tcBorders>
              <w:bottom w:val="single" w:sz="12" w:space="0" w:color="auto"/>
            </w:tcBorders>
          </w:tcPr>
          <w:p w14:paraId="4BB5FC00" w14:textId="77777777" w:rsidR="00D4105E" w:rsidRPr="00E14102" w:rsidRDefault="00D4105E" w:rsidP="00E14102">
            <w:pPr>
              <w:autoSpaceDE w:val="0"/>
              <w:autoSpaceDN w:val="0"/>
              <w:adjustRightInd w:val="0"/>
              <w:jc w:val="both"/>
              <w:rPr>
                <w:color w:val="000000" w:themeColor="text1"/>
                <w:sz w:val="16"/>
                <w:szCs w:val="16"/>
              </w:rPr>
            </w:pPr>
          </w:p>
        </w:tc>
      </w:tr>
    </w:tbl>
    <w:p w14:paraId="2B69735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(2336,134).</w:t>
      </w:r>
    </w:p>
    <w:p w14:paraId="077A66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DB4BE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января 1935 года Протоколом КО № 1 от под председательством Тухачевского была создана комиссия для разработки проектов постановлений:</w:t>
      </w:r>
    </w:p>
    <w:p w14:paraId="1A028BC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 мероприятиях для форсирования работ по системам Курчевского и обеспечения программы 1935 года.</w:t>
      </w:r>
    </w:p>
    <w:p w14:paraId="6EB8D78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 изготовлении морских и сухопутных 305 мм пушек Курчеевского.</w:t>
      </w:r>
    </w:p>
    <w:p w14:paraId="443099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приемке УВВС 30 самолетов “ЗЕТ” (2426,50).</w:t>
      </w:r>
    </w:p>
    <w:p w14:paraId="1777E6BE" w14:textId="77777777" w:rsidR="00D4105E" w:rsidRPr="00E14102" w:rsidRDefault="00D4105E" w:rsidP="00E14102">
      <w:pPr>
        <w:autoSpaceDE w:val="0"/>
        <w:autoSpaceDN w:val="0"/>
        <w:adjustRightInd w:val="0"/>
        <w:jc w:val="both"/>
        <w:rPr>
          <w:color w:val="000000" w:themeColor="text1"/>
          <w:sz w:val="16"/>
          <w:szCs w:val="16"/>
        </w:rPr>
      </w:pPr>
    </w:p>
    <w:p w14:paraId="6DDBC0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января 1935 вышло постановление СКО об организации пробега аэросаней с автомоторами имени ? съезда советов (8285,16).</w:t>
      </w:r>
    </w:p>
    <w:p w14:paraId="227D2771" w14:textId="77777777" w:rsidR="00D4105E" w:rsidRPr="00E14102" w:rsidRDefault="00D4105E" w:rsidP="00E14102">
      <w:pPr>
        <w:autoSpaceDE w:val="0"/>
        <w:autoSpaceDN w:val="0"/>
        <w:adjustRightInd w:val="0"/>
        <w:jc w:val="both"/>
        <w:rPr>
          <w:color w:val="000000" w:themeColor="text1"/>
          <w:sz w:val="16"/>
          <w:szCs w:val="16"/>
        </w:rPr>
      </w:pPr>
    </w:p>
    <w:p w14:paraId="365ED06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E6CC0CC" w14:textId="77777777" w:rsidR="00D4105E" w:rsidRPr="00E14102" w:rsidRDefault="00D4105E" w:rsidP="00E14102">
      <w:pPr>
        <w:autoSpaceDE w:val="0"/>
        <w:autoSpaceDN w:val="0"/>
        <w:adjustRightInd w:val="0"/>
        <w:jc w:val="both"/>
        <w:rPr>
          <w:iCs/>
          <w:color w:val="000000" w:themeColor="text1"/>
          <w:sz w:val="16"/>
          <w:szCs w:val="16"/>
        </w:rPr>
      </w:pPr>
    </w:p>
    <w:p w14:paraId="5D2D4EB7" w14:textId="77777777" w:rsidR="005D4A18" w:rsidRPr="00E14102" w:rsidRDefault="005D4A1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13 января 1935 года вопросы по ОСТ в очередной раз рассматривались на комиссии по обороне, о чем свидетельствует соответствующая выписка из протокола №</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1 КО: 3. Доклад об ОСТ.</w:t>
      </w:r>
    </w:p>
    <w:p w14:paraId="2E319F05" w14:textId="77777777" w:rsidR="005D4A18" w:rsidRPr="00E14102" w:rsidRDefault="005D4A1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«Постановили:</w:t>
      </w:r>
    </w:p>
    <w:p w14:paraId="40AE42CE" w14:textId="77777777" w:rsidR="005D4A18" w:rsidRPr="00E14102" w:rsidRDefault="005D4A1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Поручить комиссии в составе Куйбышева В.В. (председатель), Ворошилова, Орджоникидзе, Пятакова, Тухачевского, Егорова, Павлуновского, Алксниса, Орлова, Халепского, Куйбышева Н., Хаханьяна, Смирнова, Синявского, Бордовского, Лютова, Немова, Филимонова, Бекаури, Федорова, Коренева, Базилевича проработать вопросы:</w:t>
      </w:r>
    </w:p>
    <w:p w14:paraId="7845B751" w14:textId="77777777" w:rsidR="005D4A18" w:rsidRPr="00E14102" w:rsidRDefault="005D4A1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Промышленно-технического порядка.</w:t>
      </w:r>
    </w:p>
    <w:p w14:paraId="2596A081" w14:textId="77777777" w:rsidR="005D4A18" w:rsidRPr="00E14102" w:rsidRDefault="005D4A1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Тактического использования средств ОСТ.</w:t>
      </w:r>
    </w:p>
    <w:p w14:paraId="1E9834EE" w14:textId="77777777" w:rsidR="005D4A18" w:rsidRPr="00E14102" w:rsidRDefault="005D4A1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3.</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Систему вооружения РККА средствами ОСТ.</w:t>
      </w:r>
    </w:p>
    <w:p w14:paraId="50334D8D" w14:textId="77777777" w:rsidR="005D4A18" w:rsidRPr="00E14102" w:rsidRDefault="005D4A1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4.</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Использования иностранной технической помощи (закупка образцов).</w:t>
      </w:r>
    </w:p>
    <w:p w14:paraId="5B32F1D0" w14:textId="77777777" w:rsidR="005D4A18" w:rsidRPr="00E14102" w:rsidRDefault="005D4A1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Форсирования производства ламп.</w:t>
      </w:r>
    </w:p>
    <w:p w14:paraId="4C739F5D" w14:textId="77777777" w:rsidR="005D4A18" w:rsidRPr="00E14102" w:rsidRDefault="005D4A1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6.</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Внедрения особой техники в народное хозяйство (телемеханика, телевидение, фотоэлементы).</w:t>
      </w:r>
    </w:p>
    <w:p w14:paraId="0AB594B8" w14:textId="77777777" w:rsidR="005D4A18" w:rsidRPr="00E14102" w:rsidRDefault="005D4A1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7.</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Обеспечения полной секретности работ по ОСТ.</w:t>
      </w:r>
    </w:p>
    <w:p w14:paraId="731719D4" w14:textId="77777777" w:rsidR="005D4A18" w:rsidRPr="00E14102" w:rsidRDefault="005D4A1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Первый доклад о работе Комиссии представить в КО через 15 дней» (15736).</w:t>
      </w:r>
    </w:p>
    <w:p w14:paraId="5846C2B0" w14:textId="77777777" w:rsidR="005D4A18" w:rsidRPr="00E14102" w:rsidRDefault="005D4A18" w:rsidP="00E14102">
      <w:pPr>
        <w:pStyle w:val="ad"/>
        <w:spacing w:before="0" w:after="0"/>
        <w:rPr>
          <w:rFonts w:ascii="Times New Roman" w:hAnsi="Times New Roman" w:cs="Times New Roman"/>
          <w:color w:val="000000" w:themeColor="text1"/>
          <w:sz w:val="16"/>
          <w:szCs w:val="16"/>
          <w:lang w:val="ru-RU"/>
        </w:rPr>
      </w:pPr>
    </w:p>
    <w:p w14:paraId="2DA7D0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января 1935 г. головному новому крейсеру для Балтийского флота, который решили строить в Ленинграде на Балтийском заводе им. С. Орджоникидзе бьшо присвоено имя "Киров". Руководить постройкой назначили опытного Н. В. Григорьева, известного строителя пер</w:t>
      </w:r>
      <w:r w:rsidRPr="00E14102">
        <w:rPr>
          <w:color w:val="000000" w:themeColor="text1"/>
          <w:sz w:val="16"/>
          <w:szCs w:val="16"/>
        </w:rPr>
        <w:softHyphen/>
        <w:t>вых коммерческих судов, но в 1935 г. его сменил новый главный строитель — сравнительно молодой инженер В. Л. Бродский, изу</w:t>
      </w:r>
      <w:r w:rsidRPr="00E14102">
        <w:rPr>
          <w:color w:val="000000" w:themeColor="text1"/>
          <w:sz w:val="16"/>
          <w:szCs w:val="16"/>
        </w:rPr>
        <w:softHyphen/>
        <w:t>чавший постановку дела в Италии, ответственным сдатчиком крей</w:t>
      </w:r>
      <w:r w:rsidRPr="00E14102">
        <w:rPr>
          <w:color w:val="000000" w:themeColor="text1"/>
          <w:sz w:val="16"/>
          <w:szCs w:val="16"/>
        </w:rPr>
        <w:softHyphen/>
        <w:t>сера в 1937—1938 гг. был В. С. Боженко. Головной крейсер был важным заказом не только для завода, но и Главморпрома в целом. Его создание держали под контролем сам Муклевич и руководите</w:t>
      </w:r>
      <w:r w:rsidRPr="00E14102">
        <w:rPr>
          <w:color w:val="000000" w:themeColor="text1"/>
          <w:sz w:val="16"/>
          <w:szCs w:val="16"/>
        </w:rPr>
        <w:softHyphen/>
        <w:t>ли УВМС Лудри и Орлов. "Киров" стал ударным объектом поощрявшегося в те годы ста</w:t>
      </w:r>
      <w:r w:rsidRPr="00E14102">
        <w:rPr>
          <w:color w:val="000000" w:themeColor="text1"/>
          <w:sz w:val="16"/>
          <w:szCs w:val="16"/>
        </w:rPr>
        <w:softHyphen/>
        <w:t>хановского движения. Его создание бьшо отмечено самоотвержен</w:t>
      </w:r>
      <w:r w:rsidRPr="00E14102">
        <w:rPr>
          <w:color w:val="000000" w:themeColor="text1"/>
          <w:sz w:val="16"/>
          <w:szCs w:val="16"/>
        </w:rPr>
        <w:softHyphen/>
        <w:t>ным трудом сотен рабочих, техников и инженеров. Немалую роль в успешном строительстве головного корабля сыграли главный ин</w:t>
      </w:r>
      <w:r w:rsidRPr="00E14102">
        <w:rPr>
          <w:color w:val="000000" w:themeColor="text1"/>
          <w:sz w:val="16"/>
          <w:szCs w:val="16"/>
        </w:rPr>
        <w:softHyphen/>
        <w:t>женер завода В. Ф. Попов и начальник плаза, а потом старший мас</w:t>
      </w:r>
      <w:r w:rsidRPr="00E14102">
        <w:rPr>
          <w:color w:val="000000" w:themeColor="text1"/>
          <w:sz w:val="16"/>
          <w:szCs w:val="16"/>
        </w:rPr>
        <w:softHyphen/>
        <w:t>тер корпусных работ Б. П. Соколов. Заблаговременная заготовка стали, напряженная работа в цехах и на стапеле, наряду с поставкой готовых главных механизмов из Италии обеспечили завершение стапельных работ в течение 1 года 38 дней (3898).</w:t>
      </w:r>
    </w:p>
    <w:p w14:paraId="19FE390C" w14:textId="77777777" w:rsidR="00D4105E" w:rsidRPr="00E14102" w:rsidRDefault="00D4105E" w:rsidP="00E14102">
      <w:pPr>
        <w:autoSpaceDE w:val="0"/>
        <w:autoSpaceDN w:val="0"/>
        <w:adjustRightInd w:val="0"/>
        <w:jc w:val="both"/>
        <w:rPr>
          <w:color w:val="000000" w:themeColor="text1"/>
          <w:sz w:val="16"/>
          <w:szCs w:val="16"/>
        </w:rPr>
      </w:pPr>
    </w:p>
    <w:p w14:paraId="48DF48EA" w14:textId="77777777" w:rsidR="005D4A18" w:rsidRPr="00E14102" w:rsidRDefault="005D4A18" w:rsidP="00E14102">
      <w:pPr>
        <w:pStyle w:val="rtejustify"/>
        <w:spacing w:before="0" w:after="0"/>
        <w:rPr>
          <w:color w:val="000000" w:themeColor="text1"/>
          <w:sz w:val="16"/>
          <w:szCs w:val="16"/>
        </w:rPr>
      </w:pPr>
      <w:r w:rsidRPr="00E14102">
        <w:rPr>
          <w:rStyle w:val="a6"/>
          <w:bCs/>
          <w:i w:val="0"/>
          <w:color w:val="000000" w:themeColor="text1"/>
          <w:sz w:val="16"/>
          <w:szCs w:val="16"/>
        </w:rPr>
        <w:t>13 января 1935 вышел приказ НКО №</w:t>
      </w:r>
      <w:r w:rsidRPr="00E14102">
        <w:rPr>
          <w:color w:val="000000" w:themeColor="text1"/>
          <w:sz w:val="16"/>
          <w:szCs w:val="16"/>
        </w:rPr>
        <w:t> 04. О присвоении первому крейсеру, закладывающемуся в 1935 г. на Балтийском море и учебному отряду подводного плавания МС РККА имени С. М. Кирова (15247).</w:t>
      </w:r>
    </w:p>
    <w:p w14:paraId="38FD24C1" w14:textId="77777777" w:rsidR="005D4A18" w:rsidRPr="00E14102" w:rsidRDefault="005D4A18" w:rsidP="00E14102">
      <w:pPr>
        <w:pStyle w:val="rtejustify"/>
        <w:spacing w:before="0" w:after="0"/>
        <w:rPr>
          <w:color w:val="000000" w:themeColor="text1"/>
          <w:sz w:val="16"/>
          <w:szCs w:val="16"/>
        </w:rPr>
      </w:pPr>
    </w:p>
    <w:p w14:paraId="6277E1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13 января 1935 года выписка из протокола № 1 КО </w:t>
      </w:r>
    </w:p>
    <w:p w14:paraId="2C166A1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1. О реконструкции линкора “Фрунзе”</w:t>
      </w:r>
    </w:p>
    <w:p w14:paraId="72F202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Постановили:</w:t>
      </w:r>
    </w:p>
    <w:p w14:paraId="494F12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Реконструкцию линкора “Фрунзе” не производить. НКОбороны и НКТПрому прекратить всякие подготовительные работы по реконструкции.</w:t>
      </w:r>
    </w:p>
    <w:p w14:paraId="79743AA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 вооружении самолетов системами Курчевского.</w:t>
      </w:r>
    </w:p>
    <w:p w14:paraId="7AFC541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 результатах испытания 305 мм ДРП на эскадренном миноносце “Энгельс”.</w:t>
      </w:r>
    </w:p>
    <w:p w14:paraId="3D32F4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Постановили:</w:t>
      </w:r>
    </w:p>
    <w:p w14:paraId="66E4A0C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Комиссии в составе Тухачевского (председатель), Куйбышева Н., Хаханьяна, Алксниса, Орлова, Ефимова, Павлуновского, Ратайчака, Артамонова, Леонова и Курчевского в 5-ти дневный срок разработать и доложить КО проект постановления о мероприятиях для форсирования работ по системам Курчевского и обеспечения программы 1935 года.</w:t>
      </w:r>
    </w:p>
    <w:p w14:paraId="6BF9A8A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Комиссии особо обсудить и учесть в предложениях вопросы:</w:t>
      </w:r>
    </w:p>
    <w:p w14:paraId="63C7A9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 производстве и сдаче авиационных систем 76 мм пушки АПК-4 и 37 мм АПК-11 с боекомплектами и прицелами для них;</w:t>
      </w:r>
    </w:p>
    <w:p w14:paraId="7DBB41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 достройке завода № 38 и необходимых ассигнованиях для этой цели;</w:t>
      </w:r>
    </w:p>
    <w:p w14:paraId="13DAAC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об оборудовании специального полигона для испытания артиллерийских самолетов.</w:t>
      </w:r>
    </w:p>
    <w:p w14:paraId="4726F54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Той же комиссии рассмотреть вопрос и подготовить проект постановления об изготовлении морских и сухопутных 305 мм пушек Курчевского.</w:t>
      </w:r>
    </w:p>
    <w:p w14:paraId="3C9D625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Вопрос о приемке УВВС 30 самолетов “ЗЕТ”, изготовленных ХАИ, с последующим их вооружением пушками Курчевского, так же поручить комиссии Тухачевского.</w:t>
      </w:r>
    </w:p>
    <w:p w14:paraId="7CD2758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Доклад об ОСТ.</w:t>
      </w:r>
    </w:p>
    <w:p w14:paraId="30F29D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Постановили:</w:t>
      </w:r>
    </w:p>
    <w:p w14:paraId="669C5C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Поручить комиссии в составе Куйбышева В.В. (председатель), Ворошилова, Орджоникидзе, Пятакова, Тухачевского, Егорова, Павлуновского, Алксниса, Орлова, Халепского, Куйбышева Н., Хаханьяна, Смирнова, Синявского, Бордовского, Лютова, Немова, Филимонова, Бекаури, Федорова, Коренева, Базилевича проработать вопросы:</w:t>
      </w:r>
    </w:p>
    <w:p w14:paraId="17A7895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Промышленно-технического порядка.</w:t>
      </w:r>
    </w:p>
    <w:p w14:paraId="114C69A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Тактического использования средств ОСТ.</w:t>
      </w:r>
    </w:p>
    <w:p w14:paraId="3B7E1B7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Систему вооружения РККА средствами ОСТ.</w:t>
      </w:r>
    </w:p>
    <w:p w14:paraId="6FF0580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Использования иностранной технической помощи (закупка образцов).</w:t>
      </w:r>
    </w:p>
    <w:p w14:paraId="726D0BE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Форсирования производства ламп.</w:t>
      </w:r>
    </w:p>
    <w:p w14:paraId="5C6EB2B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Внедрения особой техники в народное хозяйство (телемеханика, телевидение, фотоэлементы).</w:t>
      </w:r>
    </w:p>
    <w:p w14:paraId="1DCA5AC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Обеспечения полной секретности работ по ОСТ.</w:t>
      </w:r>
    </w:p>
    <w:p w14:paraId="7708CD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доклад о работе Комиссии представить в КО через 15 дней.</w:t>
      </w:r>
    </w:p>
    <w:p w14:paraId="27C4297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Доклад о работе Остехбюро НКОбороны.</w:t>
      </w:r>
    </w:p>
    <w:p w14:paraId="2B78A8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Постановили:</w:t>
      </w:r>
    </w:p>
    <w:p w14:paraId="4EE72A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Заслушать на следующем заседании КО.</w:t>
      </w:r>
    </w:p>
    <w:p w14:paraId="1569698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Титульные списки капитального строительства НКВнудела.</w:t>
      </w:r>
    </w:p>
    <w:p w14:paraId="08033C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Постановили:</w:t>
      </w:r>
    </w:p>
    <w:p w14:paraId="7F27C6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Перенести на следующее заседание КО (2426,8).</w:t>
      </w:r>
    </w:p>
    <w:p w14:paraId="3409A670" w14:textId="77777777" w:rsidR="00D4105E" w:rsidRPr="00E14102" w:rsidRDefault="00D4105E" w:rsidP="00E14102">
      <w:pPr>
        <w:autoSpaceDE w:val="0"/>
        <w:autoSpaceDN w:val="0"/>
        <w:adjustRightInd w:val="0"/>
        <w:jc w:val="both"/>
        <w:rPr>
          <w:color w:val="000000" w:themeColor="text1"/>
          <w:sz w:val="16"/>
          <w:szCs w:val="16"/>
        </w:rPr>
      </w:pPr>
    </w:p>
    <w:p w14:paraId="7142D7F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C636723" w14:textId="77777777" w:rsidR="00D4105E" w:rsidRPr="00E14102" w:rsidRDefault="00D4105E" w:rsidP="00E14102">
      <w:pPr>
        <w:autoSpaceDE w:val="0"/>
        <w:autoSpaceDN w:val="0"/>
        <w:adjustRightInd w:val="0"/>
        <w:jc w:val="both"/>
        <w:rPr>
          <w:iCs/>
          <w:color w:val="000000" w:themeColor="text1"/>
          <w:sz w:val="16"/>
          <w:szCs w:val="16"/>
        </w:rPr>
      </w:pPr>
    </w:p>
    <w:p w14:paraId="7C7865E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января 1935 в ходе плебисцита 90% населения Саара высказалось за присоединение к Германии (4962).</w:t>
      </w:r>
    </w:p>
    <w:p w14:paraId="31E9637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199E0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13 января 1935 г. 90 процентов участников референдума в Саарской области, находившейся под контролем Франции, высказались за присоединение к Германии в соответствии с процедурой, установленной Версальским договором. Аналогично могли развиваться события и в Австрии (3871).</w:t>
      </w:r>
    </w:p>
    <w:p w14:paraId="67526CD1" w14:textId="77777777" w:rsidR="00D4105E" w:rsidRPr="00E14102" w:rsidRDefault="00D4105E" w:rsidP="00E14102">
      <w:pPr>
        <w:autoSpaceDE w:val="0"/>
        <w:autoSpaceDN w:val="0"/>
        <w:adjustRightInd w:val="0"/>
        <w:jc w:val="both"/>
        <w:rPr>
          <w:color w:val="000000" w:themeColor="text1"/>
          <w:sz w:val="16"/>
          <w:szCs w:val="16"/>
        </w:rPr>
      </w:pPr>
    </w:p>
    <w:p w14:paraId="602585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января 1935 в Сааре прошел плебисцит по вопросу о присоединении к Германии. 91% населения сказали да (2443,408).</w:t>
      </w:r>
    </w:p>
    <w:p w14:paraId="1A7728EC" w14:textId="77777777" w:rsidR="00D4105E" w:rsidRPr="00E14102" w:rsidRDefault="00D4105E" w:rsidP="00E14102">
      <w:pPr>
        <w:autoSpaceDE w:val="0"/>
        <w:autoSpaceDN w:val="0"/>
        <w:adjustRightInd w:val="0"/>
        <w:jc w:val="both"/>
        <w:rPr>
          <w:color w:val="000000" w:themeColor="text1"/>
          <w:sz w:val="16"/>
          <w:szCs w:val="16"/>
        </w:rPr>
      </w:pPr>
    </w:p>
    <w:p w14:paraId="6869B2A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9F8D252" w14:textId="77777777" w:rsidR="00D4105E" w:rsidRPr="00E14102" w:rsidRDefault="00D4105E" w:rsidP="00E14102">
      <w:pPr>
        <w:autoSpaceDE w:val="0"/>
        <w:autoSpaceDN w:val="0"/>
        <w:adjustRightInd w:val="0"/>
        <w:jc w:val="both"/>
        <w:rPr>
          <w:iCs/>
          <w:color w:val="000000" w:themeColor="text1"/>
          <w:sz w:val="16"/>
          <w:szCs w:val="16"/>
        </w:rPr>
      </w:pPr>
    </w:p>
    <w:p w14:paraId="5C53886A" w14:textId="77777777" w:rsidR="007C68D1" w:rsidRPr="00E14102" w:rsidRDefault="007C68D1" w:rsidP="00E14102">
      <w:pPr>
        <w:jc w:val="both"/>
        <w:rPr>
          <w:color w:val="0070C0"/>
          <w:sz w:val="16"/>
          <w:szCs w:val="16"/>
        </w:rPr>
      </w:pPr>
      <w:r w:rsidRPr="00E14102">
        <w:rPr>
          <w:color w:val="0070C0"/>
          <w:sz w:val="16"/>
          <w:szCs w:val="16"/>
        </w:rPr>
        <w:t>С 14 января 1935 в течении трех дней стояла нелетная погода. За это время провели осмотр и обмер самолета ИП-1РЦФ-3, проверили прибор</w:t>
      </w:r>
      <w:r w:rsidRPr="00E14102">
        <w:rPr>
          <w:color w:val="0070C0"/>
          <w:sz w:val="16"/>
          <w:szCs w:val="16"/>
        </w:rPr>
        <w:softHyphen/>
        <w:t>ное оборудование. Зимние испытания всегда связаны с погодными ограничениями, не стала исключением и наша история. В целом за время испытаний общий простой по этой причине составил более двух недель. Так получилось, что летали попеременно два пилота. Федрови был назначен ведущим инженером-летчиком, а Степанченок - веду</w:t>
      </w:r>
      <w:r w:rsidRPr="00E14102">
        <w:rPr>
          <w:color w:val="0070C0"/>
          <w:sz w:val="16"/>
          <w:szCs w:val="16"/>
        </w:rPr>
        <w:softHyphen/>
        <w:t>щим летчиком. Уже в третьем полете 21 янва</w:t>
      </w:r>
      <w:r w:rsidRPr="00E14102">
        <w:rPr>
          <w:color w:val="0070C0"/>
          <w:sz w:val="16"/>
          <w:szCs w:val="16"/>
        </w:rPr>
        <w:softHyphen/>
        <w:t>ря на высоте 2000 метров при разгоне до мак</w:t>
      </w:r>
      <w:r w:rsidRPr="00E14102">
        <w:rPr>
          <w:color w:val="0070C0"/>
          <w:sz w:val="16"/>
          <w:szCs w:val="16"/>
        </w:rPr>
        <w:softHyphen/>
        <w:t>симальной скорости разрушился и частично был сорван левый боковой капот. Самолетом управлял Федрови. Обломками створки была повреждена передняя кромка стабилизатора, опорный профиль капота и пробита обшивка в передней части фюзеляжа. Вынужденная посадка была выполнена на убранные лыжи, при этом погнулся винт самолета. В отчете сказано, что летчик не сумел выпустить шасси, но можно предположить, что он и не собирался этого делать. Аварийного выпуска на ДГ-52 не было, и пилот был вынужден секунд 20-25 управлять самолетом одной левой рукой - правая все это время была занята насосом уборки-выпуска шасси. Не имея полного представления о реальных раз</w:t>
      </w:r>
      <w:r w:rsidRPr="00E14102">
        <w:rPr>
          <w:color w:val="0070C0"/>
          <w:sz w:val="16"/>
          <w:szCs w:val="16"/>
        </w:rPr>
        <w:softHyphen/>
        <w:t>мерах разрушений, Федрови, скорее всего, решил не искушать судьбу, тем более, что в конечном итоге дополнительные поврежде</w:t>
      </w:r>
      <w:r w:rsidRPr="00E14102">
        <w:rPr>
          <w:color w:val="0070C0"/>
          <w:sz w:val="16"/>
          <w:szCs w:val="16"/>
        </w:rPr>
        <w:softHyphen/>
        <w:t>ния оказались минимальными.</w:t>
      </w:r>
    </w:p>
    <w:p w14:paraId="0BA53E0D" w14:textId="77777777" w:rsidR="007C68D1" w:rsidRPr="00E14102" w:rsidRDefault="007C68D1" w:rsidP="00E14102">
      <w:pPr>
        <w:jc w:val="both"/>
        <w:rPr>
          <w:color w:val="0070C0"/>
          <w:sz w:val="16"/>
          <w:szCs w:val="16"/>
        </w:rPr>
      </w:pPr>
      <w:r w:rsidRPr="00E14102">
        <w:rPr>
          <w:color w:val="0070C0"/>
          <w:sz w:val="16"/>
          <w:szCs w:val="16"/>
        </w:rPr>
        <w:t>Причина аварии крылась в конструкции мотоустановки. Нижние углы задней кромки капота при помощи замка тендерного типа жестко крепилась к переднему лонжерону центроплана. В результате вибрации крыла и тряски моторамы замок в полете разрушился, створка капота освободилась и «улетела» (19933).</w:t>
      </w:r>
    </w:p>
    <w:p w14:paraId="5D4A2FA5" w14:textId="77777777" w:rsidR="007C68D1" w:rsidRPr="00E14102" w:rsidRDefault="007C68D1" w:rsidP="00E14102">
      <w:pPr>
        <w:jc w:val="both"/>
        <w:rPr>
          <w:color w:val="0070C0"/>
          <w:sz w:val="16"/>
          <w:szCs w:val="16"/>
        </w:rPr>
      </w:pPr>
    </w:p>
    <w:p w14:paraId="19A959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14 января 1935 г., несмотря на то, что изготовление торпедоносцев несколько затянулось, все Р-5Т предъявили военной приемке. На этом выпуск Р-5Т прекратили. На 1935 г. планировали приспособить самолет под торпеду 45-36АН. Еще в 1934 г. произвели два сброса ее с Р-5Т на Черном море. Но использовались ли такие торпеды как штатные для самолетов этого типа, установить пока не удалось (11936).</w:t>
      </w:r>
    </w:p>
    <w:p w14:paraId="10CBEE99" w14:textId="77777777" w:rsidR="00D4105E" w:rsidRPr="00E14102" w:rsidRDefault="00D4105E" w:rsidP="00E14102">
      <w:pPr>
        <w:autoSpaceDE w:val="0"/>
        <w:autoSpaceDN w:val="0"/>
        <w:adjustRightInd w:val="0"/>
        <w:jc w:val="both"/>
        <w:rPr>
          <w:color w:val="000000" w:themeColor="text1"/>
          <w:sz w:val="16"/>
          <w:szCs w:val="16"/>
        </w:rPr>
      </w:pPr>
    </w:p>
    <w:p w14:paraId="7A8D27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14 января 1935 г. началась сдача Р-5Т военной приемке. Всего их изготовили 50 единиц (12002).</w:t>
      </w:r>
    </w:p>
    <w:p w14:paraId="14275031" w14:textId="77777777" w:rsidR="00D4105E" w:rsidRPr="00E14102" w:rsidRDefault="00D4105E" w:rsidP="00E14102">
      <w:pPr>
        <w:autoSpaceDE w:val="0"/>
        <w:autoSpaceDN w:val="0"/>
        <w:adjustRightInd w:val="0"/>
        <w:jc w:val="both"/>
        <w:rPr>
          <w:color w:val="000000" w:themeColor="text1"/>
          <w:sz w:val="16"/>
          <w:szCs w:val="16"/>
        </w:rPr>
      </w:pPr>
    </w:p>
    <w:p w14:paraId="433C13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14 января 1935 все Р-5Т предъявили военной приемке. В конце февраля нарком К.Е. Ворошилов отдал распоряжение обеспечить приемку торпедоносцев и их оплату.</w:t>
      </w:r>
    </w:p>
    <w:p w14:paraId="72B8D2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этом выпуск Р-5Т прекратили. На 1935 г. планировали модернизацию самолета с приспособлением его под более современную торпеду 45-36АН. Эта торпеда являлась результатом переделки в авиационную итальянской 450-мм корабельной торпеды. Лицензию на нее приобрели у фирмы "Силурифичио итальяно" из Фиуме, в связи с чем у нас эту торпеду называли "фиумской". Еще в 1934 г. провели два сброса с Р-5Т на Черном море. Но использовались ли торпеды 45-36АН (так назывался советский авиационный вариант для низкого метания) как штатные для самолетов этого типа, установить пока не удалось. Не был реализован и другой замысел - создать поплавковый вариант торпедоносца.</w:t>
      </w:r>
    </w:p>
    <w:p w14:paraId="376DB6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Первую минно-торпедную эскадрилью, вооруженную Р-5Т, согласно решению Реввоенсовета решили разместить на Дальнем Востоке. Из Новочеркасска в Сучан перебросили 22-ю лбаэ. Она была вооружена обычными Р-5 в варианте легкого бомбардировщика. 15 ноября 1934г. приняли решение о превращении этой части в минно-торпед- ную. Эскадрилью передали в состав Морских сил Дальнего Востока (МСДВ) и разместили на аэродроме Ново-Не- жино, которого, в сущности, еще не существовало. Личный состав занялся его обустройством.</w:t>
      </w:r>
    </w:p>
    <w:p w14:paraId="06FC66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Новые самолеты доставляли в Приморье в разобранном виде, в ящиках по железной дороге. На место груз прибыл в начале 1936 г., личный состав приступил к сборке машин. На 1 сентября 1936 г. в составе МСДВ уже числилась 22-я минно-торпедная эскадрилья с 31 самолетом Р-5Т. Командовал ею майор Борман. Но когда в октябре в Ново-Нежино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1BE828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 набов-штурманов), читать морские карты, не могли отличить один корабль от другого.</w:t>
      </w:r>
    </w:p>
    <w:p w14:paraId="346D89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Учебное торпедометание не проводили - нечем. В эскадрилье не имелось ни учебных ходовых торпед, ни "болванок" для тренировки в правильном сбрасывании. На складах МСДВ наличествовало 40 боевых торпед ТАН-12. При этом только для одной 22-й эскадрильи по штату требовалось 150 торпед.</w:t>
      </w:r>
    </w:p>
    <w:p w14:paraId="6949A1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w:t>
      </w:r>
    </w:p>
    <w:p w14:paraId="48CD36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Фактически 22-я эскадрилья (переименованная позже в 26-ю) освоила Р-5Т только к середине 1937 г. На 1 декабря того же года в 26-й эскадрилье числились 26 исправных машин и пять в ремонте (12034).</w:t>
      </w:r>
    </w:p>
    <w:p w14:paraId="03C024D2" w14:textId="77777777" w:rsidR="00D4105E" w:rsidRPr="00E14102" w:rsidRDefault="00D4105E" w:rsidP="00E14102">
      <w:pPr>
        <w:autoSpaceDE w:val="0"/>
        <w:autoSpaceDN w:val="0"/>
        <w:adjustRightInd w:val="0"/>
        <w:jc w:val="both"/>
        <w:rPr>
          <w:color w:val="000000" w:themeColor="text1"/>
          <w:sz w:val="16"/>
          <w:szCs w:val="16"/>
        </w:rPr>
      </w:pPr>
    </w:p>
    <w:p w14:paraId="7D514B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января 1935 Нач. 8 сектора НИИ ВВС С.Красильщиков писал Нач. опытного сектора самолетного отдела ГУАП письмо N 2/0083:</w:t>
      </w:r>
    </w:p>
    <w:p w14:paraId="32BD00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этом по запросу нач. самолетного отдела направляю для ознакомления материалы по предложению и Самсонова. Прошу эти материалы возвратить в 8 сект. к 1 февраля с.г.</w:t>
      </w:r>
    </w:p>
    <w:p w14:paraId="17BE31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Приложения: 1. Эскизный проект СПЛ на 16 стр. с двумя черт. общего вида.</w:t>
      </w:r>
    </w:p>
    <w:p w14:paraId="7675F8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заключение по эскизному проекту на 2 стр.</w:t>
      </w:r>
    </w:p>
    <w:p w14:paraId="26DDED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ТТТ на 6 стр.</w:t>
      </w:r>
    </w:p>
    <w:p w14:paraId="2AF047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ТУ на 1 стр. (2337,158).</w:t>
      </w:r>
    </w:p>
    <w:p w14:paraId="5EFC28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ТЕХНИЧЕСКИЕ УСЛОВИЯ НА КОНСТРУКТИВНУЮ РАЗРАБОТКУ ЭКСПЕРИМЕНТАЛЬНОЙ ПЕРЕДАЧИ НА ВОЗДУШНЫЙ ВИНТ НЕ ОДЕТЫЙ НА ВАЛ МОТОРА ПО ПРЕДЛОЖЕНИЮ инж. САМСОНОВА</w:t>
      </w:r>
    </w:p>
    <w:p w14:paraId="0AA980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Передача на винт разрабатывается для установки на гидросамолете специального назначения в силу чего, габаритные размеры, положение мотора и всех передаточных механизмов, должны исходить из конструкции самолета по его эскизному проекту и ТТТ</w:t>
      </w:r>
    </w:p>
    <w:p w14:paraId="23B380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Конструктивная разработка должна быть доведена до изготовления рабочих чертежей, по которым в производстве может быть выполнена вся установка для эксперимента.</w:t>
      </w:r>
    </w:p>
    <w:p w14:paraId="385470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Вся установка должна включать:</w:t>
      </w:r>
    </w:p>
    <w:p w14:paraId="1A7A65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передаточные механизмы с их формами и обтекателями</w:t>
      </w:r>
    </w:p>
    <w:p w14:paraId="649AF8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часть самолета, включающая установку мотора в лодке самолета</w:t>
      </w:r>
    </w:p>
    <w:p w14:paraId="282948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Установка мотора в лодке самолета должна позволять наблюдение и уход за агрегатами мотора в полете и должна быть отделена противопожарной перегородкой.</w:t>
      </w:r>
    </w:p>
    <w:p w14:paraId="52E1A0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На установке должен быть обеспечен запуск мотора теми же средствами, которые будут установлены на самолете.</w:t>
      </w:r>
    </w:p>
    <w:p w14:paraId="34D238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Вся установка по изготовлению подвергается испытаниям продолжительностью не менее 100 часов по особой программе.</w:t>
      </w:r>
    </w:p>
    <w:p w14:paraId="7FCF48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Конструктивная проработка установки должна включать и приспособление для снятия силовой характеристики ВМГ и ее весовую характеристику.</w:t>
      </w:r>
    </w:p>
    <w:p w14:paraId="4E21AA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В конструкции передачи должна быть учтена возможность обратных вспышек при остановке мотора без повреждения деталей.</w:t>
      </w:r>
    </w:p>
    <w:p w14:paraId="7C91B1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Конструкция передачи должна учитывать возможность деформации подмоторной рамы во время работы мотора.</w:t>
      </w:r>
    </w:p>
    <w:p w14:paraId="7C4F09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Смазка передачи и ее деталей должна быть обособленной от смазки мотора (2337,157)</w:t>
      </w:r>
    </w:p>
    <w:p w14:paraId="7F30C68A" w14:textId="77777777" w:rsidR="00D4105E" w:rsidRPr="00E14102" w:rsidRDefault="00D4105E" w:rsidP="00E14102">
      <w:pPr>
        <w:autoSpaceDE w:val="0"/>
        <w:autoSpaceDN w:val="0"/>
        <w:adjustRightInd w:val="0"/>
        <w:jc w:val="both"/>
        <w:rPr>
          <w:color w:val="000000" w:themeColor="text1"/>
          <w:sz w:val="16"/>
          <w:szCs w:val="16"/>
        </w:rPr>
      </w:pPr>
    </w:p>
    <w:p w14:paraId="0D3D9B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января 1935 Нач. опытного самолетного отдела ГУАП Машкевич писал Справку для Нач. моторного отдела Алмазова "О необходимости для ЦАГИ в настоящее время мотора К-14":</w:t>
      </w:r>
    </w:p>
    <w:p w14:paraId="0F8C62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К-14 необходим для работы по самолету ДИ-8 2К-14.</w:t>
      </w:r>
    </w:p>
    <w:p w14:paraId="17995B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самолета на гос. испытания по плану, утвержденному Правительством, - 1 августа 1935. Следовательно, на заводские испытания машина д.б. дана 1 мая 1935, т.е. до выхода машины остается 3.5 месяца, тогда как проработка вопросов моторного хозяйства двухмоторной машины требует 4-5 месяцев. Отсутствие мотора К-14 в ЦАГИ неизбежно сорвет выпуск машины и вызовет невыполнение задания Правительства в срок.</w:t>
      </w:r>
    </w:p>
    <w:p w14:paraId="714A61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Второй по срочности машиной является утверждаемая в настоящее время Правительством ДБ 2К-14, срок заводских испытаний которой - 15 июня 1935." (2343,201).</w:t>
      </w:r>
    </w:p>
    <w:p w14:paraId="4D8D2029" w14:textId="77777777" w:rsidR="00D4105E" w:rsidRPr="00E14102" w:rsidRDefault="00D4105E" w:rsidP="00E14102">
      <w:pPr>
        <w:autoSpaceDE w:val="0"/>
        <w:autoSpaceDN w:val="0"/>
        <w:adjustRightInd w:val="0"/>
        <w:jc w:val="both"/>
        <w:rPr>
          <w:color w:val="000000" w:themeColor="text1"/>
          <w:sz w:val="16"/>
          <w:szCs w:val="16"/>
        </w:rPr>
      </w:pPr>
    </w:p>
    <w:p w14:paraId="3A1798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14 января 1935 Дир. завода 31 и ГК Г.М.Б. в письме N 11с в Моторный отдел ГУАП просили выделить фонды на винты и моторы для проектируемых ЦКБ МС гидросамолетов МБР-2 М-34, МБР-5 РЦ и МДР-5 ИС (2343,12).</w:t>
      </w:r>
    </w:p>
    <w:p w14:paraId="364B6E51" w14:textId="77777777" w:rsidR="00D4105E" w:rsidRPr="00E14102" w:rsidRDefault="00D4105E" w:rsidP="00E14102">
      <w:pPr>
        <w:autoSpaceDE w:val="0"/>
        <w:autoSpaceDN w:val="0"/>
        <w:adjustRightInd w:val="0"/>
        <w:jc w:val="both"/>
        <w:rPr>
          <w:color w:val="000000" w:themeColor="text1"/>
          <w:sz w:val="16"/>
          <w:szCs w:val="16"/>
        </w:rPr>
      </w:pPr>
    </w:p>
    <w:p w14:paraId="06D3E33C" w14:textId="77777777" w:rsidR="005D4A18" w:rsidRPr="00E14102" w:rsidRDefault="005D4A18" w:rsidP="00E14102">
      <w:pPr>
        <w:autoSpaceDE w:val="0"/>
        <w:autoSpaceDN w:val="0"/>
        <w:adjustRightInd w:val="0"/>
        <w:jc w:val="both"/>
        <w:rPr>
          <w:color w:val="000000" w:themeColor="text1"/>
          <w:sz w:val="16"/>
          <w:szCs w:val="16"/>
        </w:rPr>
      </w:pPr>
      <w:r w:rsidRPr="00E14102">
        <w:rPr>
          <w:color w:val="000000" w:themeColor="text1"/>
          <w:sz w:val="16"/>
          <w:szCs w:val="16"/>
        </w:rPr>
        <w:t>14 января 1935 Я.А.Раппопорт писал Циолковскому о том, что нужно изобрести и сделать специальные машины, которые только и позволят наладить работу и по меньшей оболочке. К.Э.Циолковский, видимо уже понимая всю бесперспективность своей затеи, выдохнул: «К этому нечего прибавить, все правда.» (11041).</w:t>
      </w:r>
    </w:p>
    <w:p w14:paraId="09C1250E" w14:textId="77777777" w:rsidR="005D4A18" w:rsidRPr="00E14102" w:rsidRDefault="005D4A18" w:rsidP="00E14102">
      <w:pPr>
        <w:shd w:val="clear" w:color="auto" w:fill="FFFFFF"/>
        <w:autoSpaceDE w:val="0"/>
        <w:autoSpaceDN w:val="0"/>
        <w:adjustRightInd w:val="0"/>
        <w:jc w:val="both"/>
        <w:rPr>
          <w:color w:val="000000" w:themeColor="text1"/>
          <w:sz w:val="16"/>
          <w:szCs w:val="16"/>
        </w:rPr>
      </w:pPr>
    </w:p>
    <w:p w14:paraId="51B73CA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7D9F1088" w14:textId="77777777" w:rsidR="00D4105E" w:rsidRPr="00E14102" w:rsidRDefault="00D4105E" w:rsidP="00E14102">
      <w:pPr>
        <w:autoSpaceDE w:val="0"/>
        <w:autoSpaceDN w:val="0"/>
        <w:adjustRightInd w:val="0"/>
        <w:jc w:val="both"/>
        <w:rPr>
          <w:iCs/>
          <w:color w:val="000000" w:themeColor="text1"/>
          <w:sz w:val="16"/>
          <w:szCs w:val="16"/>
        </w:rPr>
      </w:pPr>
    </w:p>
    <w:p w14:paraId="5A4A3C3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 января 1935 в один день все обвиняемые по делу Зиновьева и Каменева признали себя виновными (4962).</w:t>
      </w:r>
    </w:p>
    <w:p w14:paraId="6CF62D0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B2B48B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690FA56" w14:textId="77777777" w:rsidR="00D4105E" w:rsidRPr="00E14102" w:rsidRDefault="00D4105E" w:rsidP="00E14102">
      <w:pPr>
        <w:autoSpaceDE w:val="0"/>
        <w:autoSpaceDN w:val="0"/>
        <w:adjustRightInd w:val="0"/>
        <w:jc w:val="both"/>
        <w:rPr>
          <w:iCs/>
          <w:color w:val="000000" w:themeColor="text1"/>
          <w:sz w:val="16"/>
          <w:szCs w:val="16"/>
        </w:rPr>
      </w:pPr>
    </w:p>
    <w:p w14:paraId="02E059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15 января по середину февраля 1935 в НИИ ВВС проходили заводские испытания СБ-ИС (7779, 64-66).</w:t>
      </w:r>
    </w:p>
    <w:p w14:paraId="73DC6682" w14:textId="77777777" w:rsidR="00D4105E" w:rsidRPr="00E14102" w:rsidRDefault="00D4105E" w:rsidP="00E14102">
      <w:pPr>
        <w:autoSpaceDE w:val="0"/>
        <w:autoSpaceDN w:val="0"/>
        <w:adjustRightInd w:val="0"/>
        <w:jc w:val="both"/>
        <w:rPr>
          <w:color w:val="000000" w:themeColor="text1"/>
          <w:sz w:val="16"/>
          <w:szCs w:val="16"/>
        </w:rPr>
      </w:pPr>
    </w:p>
    <w:p w14:paraId="6955795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января 1935 года вышел Приказ НИИ ВВС № 027 Об испытаниях самолета СБ-ИС</w:t>
      </w:r>
    </w:p>
    <w:p w14:paraId="0F1C25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Ведущий испытания – ст. инженер 7 сектора – Куликов</w:t>
      </w:r>
    </w:p>
    <w:p w14:paraId="45D813E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провести на Щелковском аэродроме. Взлет и посадку выполнить на Центральном аэродроме.</w:t>
      </w:r>
    </w:p>
    <w:p w14:paraId="0D80E5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 испытаниям приступить немедленно и закончить испытания в 2 летных дня (6814, 28).</w:t>
      </w:r>
    </w:p>
    <w:p w14:paraId="24F0619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4DDE49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января 1935 года начальник Управления ВС Алкснис писал письмо № УМТС/06964 наркому обороны</w:t>
      </w:r>
    </w:p>
    <w:p w14:paraId="3F97F1F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32A5A8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присланному проекту постановления о постройке дальнего бомбардировщика</w:t>
      </w:r>
    </w:p>
    <w:p w14:paraId="4AE0106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присланному проекту имею следующие замечания:</w:t>
      </w:r>
    </w:p>
    <w:p w14:paraId="10E17EE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Последний абзац пункта 1-го гласящий: “Срок предъявления самолета на заводские испытания установить 15 июня 1935 года” – исключить, ибо постановлением СТО (см. протокол от 19 декабря 1934 года за № 11 п. 9) установлен срок предъявления этого самолета на гос. испытания 15 июля.</w:t>
      </w:r>
    </w:p>
    <w:p w14:paraId="35CE55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Согласиться на изменение гос. испытаний на заводские не следует, ибо ЦАГИ очень долго и длительно доводит самолеты и согласиться на это предложение, значит фактически самолет ДБ-2 – 2 К-14 мы в 1935 году не получим.</w:t>
      </w:r>
    </w:p>
    <w:p w14:paraId="47A204E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Следует исключить последний абзац пункта 5-го, ибо этот вопрос следует рассматривать особо, а не в связи с постройкой дальнего бомбардировщика. Ввиду того, что МИ3 гос. испытаний не прошел, одновременно со снятием МИ3 мною будет сделано Вам представление о замене его ДИ-6, т. е. Двухместным истребителем, проходящим в настоящее время гос. испытания.</w:t>
      </w:r>
    </w:p>
    <w:p w14:paraId="2DA3E83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остальном проект постановления возражений не встречает (4256, 13).</w:t>
      </w:r>
    </w:p>
    <w:p w14:paraId="040F6F74"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F336B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января 1935 закончилась постройка АНТ-40 (СБ-И) (514).</w:t>
      </w:r>
    </w:p>
    <w:p w14:paraId="52BCE1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постройка СБ-ИС (АНТ-40) закончилась в самом конце 1934 (4,14) или 30 декабря 1934, а заводские испытания шли до 21 января 1935 (2233,46).</w:t>
      </w:r>
    </w:p>
    <w:p w14:paraId="3324203A" w14:textId="77777777" w:rsidR="00D4105E" w:rsidRPr="00E14102" w:rsidRDefault="00D4105E" w:rsidP="00E14102">
      <w:pPr>
        <w:autoSpaceDE w:val="0"/>
        <w:autoSpaceDN w:val="0"/>
        <w:adjustRightInd w:val="0"/>
        <w:jc w:val="both"/>
        <w:rPr>
          <w:color w:val="000000" w:themeColor="text1"/>
          <w:sz w:val="16"/>
          <w:szCs w:val="16"/>
        </w:rPr>
      </w:pPr>
    </w:p>
    <w:p w14:paraId="0BF52F6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января 1935 года № 125 в СТО</w:t>
      </w:r>
    </w:p>
    <w:p w14:paraId="5828768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Ежегодно на маневры Балтийского флота и Черноморского флота привлекаются соединения сухопутной легкобомбардировочной, штурмовой и тяжелой авиации. Однако, использование этих соединений и тренировка их в морской обстановке – неудовлетворительны. В частности, не ведется работа по: бомбардировке по движущимся целям, ориентировке в море, распознаванию классов кораблей.</w:t>
      </w:r>
    </w:p>
    <w:p w14:paraId="2359144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мнению Орлова (УМС) решение задач по созданию мощной морской авиации должно идти не по линии колесной авиации, а по линии широкого строительства новейших гидросамолетов, при одновременном максимальном использовании колесной авиации в морских операциях. К настоящему времени гидросамолетостроение переживает пока опытный период. Налицо имеется только ближний разведчик (МБР-2), освоенный нашей авиапромышленностью, ТБ-1 на поплавках и Р-6а на поплавках.</w:t>
      </w:r>
    </w:p>
    <w:p w14:paraId="2B6AE65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Необходимо форсировать работы по созданию морского дальнего разведчика (МДР-5), тяжелого морского бомбардировщика и корабельного катапультного самолета.</w:t>
      </w:r>
    </w:p>
    <w:p w14:paraId="3F1290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Принятым СТО новым планом опытного самолетостроения установлены следующие сроки готовности этих машин: МТБ (морской тяжелый бомбардировщик) – 1 августа 1936 года, МДР-5 – 1 января 1936 года, КОР – 1 ноября 1935 года, торпедоносец – 1 января 1936 года.</w:t>
      </w:r>
    </w:p>
    <w:p w14:paraId="462D791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Строительство авианосцев в наших условиях вряд ли целесообразно, во-первых, потому что радиус действия тяжелых колесных самолетов (ТБ-3) дает возможность для действия их в открытом море и во-вторых, потому что охрана авианосцев потребовала бы отвлечения значительного количества боевых судов.</w:t>
      </w:r>
    </w:p>
    <w:p w14:paraId="598B924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Создание авиатранспортов проектируется УМС на военное время, путем приспособления для этой цели обычных судов (3517,13).</w:t>
      </w:r>
    </w:p>
    <w:p w14:paraId="5A7720E7"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799944A" w14:textId="77777777" w:rsidR="00B965D7" w:rsidRPr="00E14102" w:rsidRDefault="00B965D7" w:rsidP="00E14102">
      <w:pPr>
        <w:jc w:val="both"/>
        <w:rPr>
          <w:color w:val="0070C0"/>
          <w:sz w:val="16"/>
          <w:szCs w:val="16"/>
        </w:rPr>
      </w:pPr>
      <w:r w:rsidRPr="00E14102">
        <w:rPr>
          <w:color w:val="0070C0"/>
          <w:sz w:val="16"/>
          <w:szCs w:val="16"/>
        </w:rPr>
        <w:t>15 января 1935 на А-7 выполнил первый полет летчик Благин - тот самый, который спустя не</w:t>
      </w:r>
      <w:r w:rsidRPr="00E14102">
        <w:rPr>
          <w:color w:val="0070C0"/>
          <w:sz w:val="16"/>
          <w:szCs w:val="16"/>
        </w:rPr>
        <w:softHyphen/>
        <w:t>сколько месяцев стал виновником катастрофы гигантско</w:t>
      </w:r>
      <w:r w:rsidRPr="00E14102">
        <w:rPr>
          <w:color w:val="0070C0"/>
          <w:sz w:val="16"/>
          <w:szCs w:val="16"/>
        </w:rPr>
        <w:softHyphen/>
        <w:t>го самолета «Максим Горький» (20361).</w:t>
      </w:r>
    </w:p>
    <w:p w14:paraId="19DA999A" w14:textId="77777777" w:rsidR="00B965D7" w:rsidRPr="00E14102" w:rsidRDefault="00B965D7" w:rsidP="00E14102">
      <w:pPr>
        <w:shd w:val="clear" w:color="auto" w:fill="FFFFFF"/>
        <w:jc w:val="both"/>
        <w:rPr>
          <w:color w:val="0070C0"/>
          <w:sz w:val="16"/>
          <w:szCs w:val="16"/>
        </w:rPr>
      </w:pPr>
    </w:p>
    <w:p w14:paraId="273634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января 1935 для проведения летных испытаний мотора М-58МН на одном из истребителей завод 29 направил на завод 39 макет первый мотор и 1 февраля 1939 - второй мотор. Завод по состоянию на конец января 1935 никакой подготовки к испытаниям не провел (2337,199).</w:t>
      </w:r>
    </w:p>
    <w:p w14:paraId="65958CF8" w14:textId="77777777" w:rsidR="00D4105E" w:rsidRPr="00E14102" w:rsidRDefault="00D4105E" w:rsidP="00E14102">
      <w:pPr>
        <w:autoSpaceDE w:val="0"/>
        <w:autoSpaceDN w:val="0"/>
        <w:adjustRightInd w:val="0"/>
        <w:jc w:val="both"/>
        <w:rPr>
          <w:color w:val="000000" w:themeColor="text1"/>
          <w:sz w:val="16"/>
          <w:szCs w:val="16"/>
        </w:rPr>
      </w:pPr>
    </w:p>
    <w:p w14:paraId="354DEB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января 1935 С.П.К. участвовал в совещании по плану работ II отдела РНИИ (присутствовали: В.П. Ветчинкин, Б.С. Стечкин, Д.В. Вентцель, М.К. Тихонравов, В.П. Глушко, А.Г. Костиков и др.). Принято решение считать основным направлением разработку крылатых ракет. СПК призвал не прекращать исследования по бескрылым конструкциям (ААН, р. 4, оп. 14, № 171, л. 12) (10676).</w:t>
      </w:r>
    </w:p>
    <w:p w14:paraId="095AD111" w14:textId="77777777" w:rsidR="00D4105E" w:rsidRPr="00E14102" w:rsidRDefault="00D4105E" w:rsidP="00E14102">
      <w:pPr>
        <w:autoSpaceDE w:val="0"/>
        <w:autoSpaceDN w:val="0"/>
        <w:adjustRightInd w:val="0"/>
        <w:jc w:val="both"/>
        <w:rPr>
          <w:color w:val="000000" w:themeColor="text1"/>
          <w:sz w:val="16"/>
          <w:szCs w:val="16"/>
        </w:rPr>
      </w:pPr>
    </w:p>
    <w:p w14:paraId="7C132D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января 1935 г. на совещании в присутствии профессоров Б.С. Стечкина, В.П. Ветчинкина и Д.А. Вентцеля С.П. Королев сказал: «Прекращать исследования по бескрылым ракетам нельзя. Нельзя отступать перед конструкторскими неудачами, вся история техники этому учит...» (Голованов Я.К. Королев. Факты и мифы. М.: Наука, 1991.). Горячая речь на Техническом совете, к сожалению, только укрепила репутацию Королева как человека с тяжелым характером. К этому времени работникам РНИИ удалось разработать достаточно работоспособные гироскопические автоматы для управления полетом крылатых ракет. Однако время работы отечественных ракетных двигателей было весьма непродолжительно. Этим и объяснялась необходимость оснащения советских ракет крыльями. Благодаря крыльям достигалось значительное увеличение дальности полета ракеты за счет планирования при максимальном аэродинамическом качестве после окончания работы двигателя. Решение в основном проблемы ЖРД и предопределило схему разработки первых отечественных крылатых ракет. Первоначально из числа уже созданных ЖРД выбирался конкретный двигатель. Под него разрабатывалась аэродинамическая схема ракеты, проектировались планер и обеспечивающие системы (11681).</w:t>
      </w:r>
    </w:p>
    <w:p w14:paraId="06BBD34F" w14:textId="77777777" w:rsidR="00D4105E" w:rsidRPr="00E14102" w:rsidRDefault="00D4105E" w:rsidP="00E14102">
      <w:pPr>
        <w:autoSpaceDE w:val="0"/>
        <w:autoSpaceDN w:val="0"/>
        <w:adjustRightInd w:val="0"/>
        <w:jc w:val="both"/>
        <w:rPr>
          <w:color w:val="000000" w:themeColor="text1"/>
          <w:sz w:val="16"/>
          <w:szCs w:val="16"/>
        </w:rPr>
      </w:pPr>
    </w:p>
    <w:p w14:paraId="6EA636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января 1935 г. еще до полигонных испытаний постановлением Научно-технического журнала №035 ГАУ РККА по НТО УПВС для производства опытно-валовой партии ракетным 132 мм агитационным снарядам присвоили номер модели 2-01305. Ведущим инженером по данной теме был конструктор В.А.Артемьев. Ему помогали инженеры Андреев. Петров и Пойда. Чертежную работу выполняли Андреев, Розентул и Филиппов. Головной обтекатель снаряда, предназначенный для быстрого разрушения при срабатывании траектории дистанционной трубки, изготавливали из серого чугуна, двигатель был стандартным - от РС-132 модели 2-01172 (11402).</w:t>
      </w:r>
    </w:p>
    <w:p w14:paraId="797CD439" w14:textId="77777777" w:rsidR="00D4105E" w:rsidRPr="00E14102" w:rsidRDefault="00D4105E" w:rsidP="00E14102">
      <w:pPr>
        <w:autoSpaceDE w:val="0"/>
        <w:autoSpaceDN w:val="0"/>
        <w:adjustRightInd w:val="0"/>
        <w:jc w:val="both"/>
        <w:rPr>
          <w:color w:val="000000" w:themeColor="text1"/>
          <w:sz w:val="16"/>
          <w:szCs w:val="16"/>
        </w:rPr>
      </w:pPr>
    </w:p>
    <w:p w14:paraId="44E682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янва</w:t>
      </w:r>
      <w:r w:rsidRPr="00E14102">
        <w:rPr>
          <w:color w:val="000000" w:themeColor="text1"/>
          <w:sz w:val="16"/>
          <w:szCs w:val="16"/>
        </w:rPr>
        <w:softHyphen/>
        <w:t>ря 1935 г. Научно-техническим журналом ОБАА АУ РККА №035 дымо</w:t>
      </w:r>
      <w:r w:rsidRPr="00E14102">
        <w:rPr>
          <w:color w:val="000000" w:themeColor="text1"/>
          <w:sz w:val="16"/>
          <w:szCs w:val="16"/>
        </w:rPr>
        <w:softHyphen/>
        <w:t>вые и световые сигнальные снаряды ТРС-68 разработки РНИИ ГУБ НКТП утвердили для опытного производства. При этом им присвоили номера моделей 2-01306 и 2-01307 соответственно (11402).</w:t>
      </w:r>
    </w:p>
    <w:p w14:paraId="5A3967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734782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января 1935 г. Постановлением Научно-технического журнала по 7-му сектору НТО УПВС ГАУ РККА №035 авиационный вариант РС-132-О и А модели 140500 был запу</w:t>
      </w:r>
      <w:r w:rsidRPr="00E14102">
        <w:rPr>
          <w:color w:val="000000" w:themeColor="text1"/>
          <w:sz w:val="16"/>
          <w:szCs w:val="16"/>
        </w:rPr>
        <w:softHyphen/>
        <w:t>щен в опытно-серийное производство с присвоением им номера моде</w:t>
      </w:r>
      <w:r w:rsidRPr="00E14102">
        <w:rPr>
          <w:color w:val="000000" w:themeColor="text1"/>
          <w:sz w:val="16"/>
          <w:szCs w:val="16"/>
        </w:rPr>
        <w:softHyphen/>
        <w:t>ли 2-01305. Несмотря на положительные результаты полигонных испы</w:t>
      </w:r>
      <w:r w:rsidRPr="00E14102">
        <w:rPr>
          <w:color w:val="000000" w:themeColor="text1"/>
          <w:sz w:val="16"/>
          <w:szCs w:val="16"/>
        </w:rPr>
        <w:softHyphen/>
        <w:t>таний при стрельбе с танка БТ-5 и торпедного катера, на вооружение авиации и сухопутных войск эти боеприпасы почему-то не поступили. Скорее всего, от них отказался заказчик — ОГПУ (11402).</w:t>
      </w:r>
    </w:p>
    <w:p w14:paraId="62F357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C746F16" w14:textId="77777777" w:rsidR="005D4A18" w:rsidRPr="00E14102" w:rsidRDefault="005D4A18" w:rsidP="00E14102">
      <w:pPr>
        <w:pStyle w:val="rtejustify"/>
        <w:spacing w:before="0" w:after="0"/>
        <w:rPr>
          <w:color w:val="000000" w:themeColor="text1"/>
          <w:sz w:val="16"/>
          <w:szCs w:val="16"/>
        </w:rPr>
      </w:pPr>
      <w:r w:rsidRPr="00E14102">
        <w:rPr>
          <w:rStyle w:val="a6"/>
          <w:bCs/>
          <w:i w:val="0"/>
          <w:color w:val="000000" w:themeColor="text1"/>
          <w:sz w:val="16"/>
          <w:szCs w:val="16"/>
        </w:rPr>
        <w:t>15 января 1935 вышел приказ НКО №</w:t>
      </w:r>
      <w:r w:rsidRPr="00E14102">
        <w:rPr>
          <w:color w:val="000000" w:themeColor="text1"/>
          <w:sz w:val="16"/>
          <w:szCs w:val="16"/>
        </w:rPr>
        <w:t> 08. О награждении ст. инженера НИИ ВВС РККА т. Френкеля золотыми часами за выполнение задания по размещению импортных заказов (15247).</w:t>
      </w:r>
    </w:p>
    <w:p w14:paraId="09D6650E" w14:textId="77777777" w:rsidR="005D4A18" w:rsidRPr="00E14102" w:rsidRDefault="005D4A18" w:rsidP="00E14102">
      <w:pPr>
        <w:pStyle w:val="rtejustify"/>
        <w:spacing w:before="0" w:after="0"/>
        <w:rPr>
          <w:color w:val="000000" w:themeColor="text1"/>
          <w:sz w:val="16"/>
          <w:szCs w:val="16"/>
        </w:rPr>
      </w:pPr>
    </w:p>
    <w:p w14:paraId="00EF7732" w14:textId="77777777" w:rsidR="005D4A18" w:rsidRPr="00E14102" w:rsidRDefault="005D4A18" w:rsidP="00E14102">
      <w:pPr>
        <w:pStyle w:val="rtejustify"/>
        <w:spacing w:before="0" w:after="0"/>
        <w:rPr>
          <w:color w:val="000000" w:themeColor="text1"/>
          <w:sz w:val="16"/>
          <w:szCs w:val="16"/>
        </w:rPr>
      </w:pPr>
      <w:r w:rsidRPr="00E14102">
        <w:rPr>
          <w:rStyle w:val="a6"/>
          <w:bCs/>
          <w:i w:val="0"/>
          <w:color w:val="000000" w:themeColor="text1"/>
          <w:sz w:val="16"/>
          <w:szCs w:val="16"/>
        </w:rPr>
        <w:t>15 января 1935 вышел приказ НКО №</w:t>
      </w:r>
      <w:r w:rsidRPr="00E14102">
        <w:rPr>
          <w:color w:val="000000" w:themeColor="text1"/>
          <w:sz w:val="16"/>
          <w:szCs w:val="16"/>
        </w:rPr>
        <w:t> 005. О назначении комиссии для проведения испытаний станций РТБК, РРК и РСН для связи гидроавиации с морскими силами (15247).</w:t>
      </w:r>
    </w:p>
    <w:p w14:paraId="7DBC79F9" w14:textId="77777777" w:rsidR="005D4A18" w:rsidRPr="00E14102" w:rsidRDefault="005D4A18" w:rsidP="00E14102">
      <w:pPr>
        <w:pStyle w:val="rtejustify"/>
        <w:spacing w:before="0" w:after="0"/>
        <w:rPr>
          <w:color w:val="000000" w:themeColor="text1"/>
          <w:sz w:val="16"/>
          <w:szCs w:val="16"/>
        </w:rPr>
      </w:pPr>
    </w:p>
    <w:p w14:paraId="42A04A3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A4C99B8" w14:textId="77777777" w:rsidR="00D4105E" w:rsidRPr="00E14102" w:rsidRDefault="00D4105E" w:rsidP="00E14102">
      <w:pPr>
        <w:autoSpaceDE w:val="0"/>
        <w:autoSpaceDN w:val="0"/>
        <w:adjustRightInd w:val="0"/>
        <w:jc w:val="both"/>
        <w:rPr>
          <w:iCs/>
          <w:color w:val="000000" w:themeColor="text1"/>
          <w:sz w:val="16"/>
          <w:szCs w:val="16"/>
        </w:rPr>
      </w:pPr>
    </w:p>
    <w:p w14:paraId="07B1EAFC" w14:textId="77777777" w:rsidR="00CC5128" w:rsidRPr="00E14102" w:rsidRDefault="00CC5128" w:rsidP="00E14102">
      <w:pPr>
        <w:pStyle w:val="rtejustify"/>
        <w:spacing w:before="0" w:after="0"/>
        <w:rPr>
          <w:color w:val="000000" w:themeColor="text1"/>
          <w:sz w:val="16"/>
          <w:szCs w:val="16"/>
        </w:rPr>
      </w:pPr>
      <w:r w:rsidRPr="00E14102">
        <w:rPr>
          <w:rStyle w:val="a6"/>
          <w:bCs/>
          <w:i w:val="0"/>
          <w:color w:val="000000" w:themeColor="text1"/>
          <w:sz w:val="16"/>
          <w:szCs w:val="16"/>
        </w:rPr>
        <w:t>15 января 1935 вышел приказ НКО №</w:t>
      </w:r>
      <w:r w:rsidRPr="00E14102">
        <w:rPr>
          <w:color w:val="000000" w:themeColor="text1"/>
          <w:sz w:val="16"/>
          <w:szCs w:val="16"/>
        </w:rPr>
        <w:t> 05. Об улучшении работы и материально-бытового положения контрольно-приемного аппарата НКО СССР (15247).</w:t>
      </w:r>
    </w:p>
    <w:p w14:paraId="4F906F6E" w14:textId="77777777" w:rsidR="00CC5128" w:rsidRPr="00E14102" w:rsidRDefault="00CC5128" w:rsidP="00E14102">
      <w:pPr>
        <w:pStyle w:val="rtejustify"/>
        <w:spacing w:before="0" w:after="0"/>
        <w:rPr>
          <w:color w:val="000000" w:themeColor="text1"/>
          <w:sz w:val="16"/>
          <w:szCs w:val="16"/>
        </w:rPr>
      </w:pPr>
    </w:p>
    <w:p w14:paraId="730FBD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января 1935 г. вышел ПРИКАЗ НКО СССР О РАБОТЕ КОНТРОЛЬНО-ПРИЕМНОГО АППАРАТА</w:t>
      </w:r>
    </w:p>
    <w:p w14:paraId="3DE20E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Москва</w:t>
      </w:r>
    </w:p>
    <w:p w14:paraId="24562E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целях усиления борьбы за качество продукции, принимаемой Наркоматом Обороны от пред</w:t>
      </w:r>
      <w:r w:rsidRPr="00E14102">
        <w:rPr>
          <w:color w:val="000000" w:themeColor="text1"/>
          <w:sz w:val="16"/>
          <w:szCs w:val="16"/>
        </w:rPr>
        <w:softHyphen/>
        <w:t>ай Промышленности, и улучшения материально-бытового положения контрольно-приемного арата, работающего на этих предприятиях, приказываю:</w:t>
      </w:r>
    </w:p>
    <w:p w14:paraId="194FB7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Установить для всех центральных управлений НКО единую номенклатуру должностей конт</w:t>
      </w:r>
      <w:r w:rsidR="00CC5128" w:rsidRPr="00E14102">
        <w:rPr>
          <w:color w:val="000000" w:themeColor="text1"/>
          <w:sz w:val="16"/>
          <w:szCs w:val="16"/>
        </w:rPr>
        <w:t>рол</w:t>
      </w:r>
      <w:r w:rsidRPr="00E14102">
        <w:rPr>
          <w:color w:val="000000" w:themeColor="text1"/>
          <w:sz w:val="16"/>
          <w:szCs w:val="16"/>
        </w:rPr>
        <w:t>ьно-приемного аппарата:</w:t>
      </w:r>
    </w:p>
    <w:p w14:paraId="22355D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Районный инженер — возглавляющий работу военных представителей данного района или скольких кооперированных для выполнения военных заказов предприятий.</w:t>
      </w:r>
    </w:p>
    <w:p w14:paraId="744DF6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Старший военный представитель и военный представитель — возглавляющие работу подчи-ного им контрольно-приемного аппарата на предприятиях.</w:t>
      </w:r>
    </w:p>
    <w:p w14:paraId="6DED56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Примечание. На должности старших военных представителей назначать персонально лиц высо-ей квалификации, имеющих большой стаж и опыт работы и за особые заслуги в деле борьбы за ка-во продукции.</w:t>
      </w:r>
    </w:p>
    <w:p w14:paraId="450D4E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Помощник военного представителя.</w:t>
      </w:r>
    </w:p>
    <w:p w14:paraId="2A785F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Старший техник — с наименованием по специальности: пиротехник, авиатехник, техник-хиимик, радиотехник, электротехник, корабельный техник и т. д.</w:t>
      </w:r>
    </w:p>
    <w:p w14:paraId="670216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Указанные в п. 1 должности контрольно-приемного аппарата замещать военнослужащими и установить по этим должностям оклады содержания:</w:t>
      </w:r>
    </w:p>
    <w:tbl>
      <w:tblPr>
        <w:tblW w:w="0" w:type="auto"/>
        <w:tblInd w:w="40" w:type="dxa"/>
        <w:tblLayout w:type="fixed"/>
        <w:tblCellMar>
          <w:left w:w="40" w:type="dxa"/>
          <w:right w:w="40" w:type="dxa"/>
        </w:tblCellMar>
        <w:tblLook w:val="0000" w:firstRow="0" w:lastRow="0" w:firstColumn="0" w:lastColumn="0" w:noHBand="0" w:noVBand="0"/>
      </w:tblPr>
      <w:tblGrid>
        <w:gridCol w:w="3120"/>
        <w:gridCol w:w="1315"/>
        <w:gridCol w:w="3226"/>
      </w:tblGrid>
      <w:tr w:rsidR="00E3599D" w:rsidRPr="00E14102" w14:paraId="4DA8479C" w14:textId="77777777">
        <w:trPr>
          <w:trHeight w:val="442"/>
        </w:trPr>
        <w:tc>
          <w:tcPr>
            <w:tcW w:w="3120" w:type="dxa"/>
            <w:tcBorders>
              <w:top w:val="single" w:sz="6" w:space="0" w:color="auto"/>
              <w:left w:val="single" w:sz="6" w:space="0" w:color="auto"/>
              <w:bottom w:val="single" w:sz="6" w:space="0" w:color="auto"/>
              <w:right w:val="single" w:sz="6" w:space="0" w:color="auto"/>
            </w:tcBorders>
          </w:tcPr>
          <w:p w14:paraId="561A5A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Наименование должностей</w:t>
            </w:r>
          </w:p>
          <w:p w14:paraId="4C0EAE4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6A40A2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Оклад</w:t>
            </w:r>
          </w:p>
          <w:p w14:paraId="4C977D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6AC166A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Добавочное вознаграждение за фактическую работу на предприятии</w:t>
            </w:r>
          </w:p>
          <w:p w14:paraId="188BFE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2D0CDB87" w14:textId="77777777">
        <w:trPr>
          <w:trHeight w:val="269"/>
        </w:trPr>
        <w:tc>
          <w:tcPr>
            <w:tcW w:w="3120" w:type="dxa"/>
            <w:tcBorders>
              <w:top w:val="single" w:sz="6" w:space="0" w:color="auto"/>
              <w:left w:val="single" w:sz="6" w:space="0" w:color="auto"/>
              <w:bottom w:val="single" w:sz="6" w:space="0" w:color="auto"/>
              <w:right w:val="single" w:sz="6" w:space="0" w:color="auto"/>
            </w:tcBorders>
          </w:tcPr>
          <w:p w14:paraId="4BD011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Районный инженер</w:t>
            </w:r>
          </w:p>
          <w:p w14:paraId="084A8EE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2F59D7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500</w:t>
            </w:r>
          </w:p>
          <w:p w14:paraId="24B460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36EB538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250</w:t>
            </w:r>
          </w:p>
          <w:p w14:paraId="7CF062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561564BC" w14:textId="77777777">
        <w:trPr>
          <w:trHeight w:val="259"/>
        </w:trPr>
        <w:tc>
          <w:tcPr>
            <w:tcW w:w="3120" w:type="dxa"/>
            <w:tcBorders>
              <w:top w:val="single" w:sz="6" w:space="0" w:color="auto"/>
              <w:left w:val="single" w:sz="6" w:space="0" w:color="auto"/>
              <w:bottom w:val="single" w:sz="6" w:space="0" w:color="auto"/>
              <w:right w:val="single" w:sz="6" w:space="0" w:color="auto"/>
            </w:tcBorders>
          </w:tcPr>
          <w:p w14:paraId="614E829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Старший военпред</w:t>
            </w:r>
          </w:p>
          <w:p w14:paraId="1BF5A03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390F6B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450</w:t>
            </w:r>
          </w:p>
          <w:p w14:paraId="1FA9E4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53C2805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200</w:t>
            </w:r>
          </w:p>
          <w:p w14:paraId="67C39A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6DE1A2FC" w14:textId="77777777">
        <w:trPr>
          <w:trHeight w:val="259"/>
        </w:trPr>
        <w:tc>
          <w:tcPr>
            <w:tcW w:w="3120" w:type="dxa"/>
            <w:tcBorders>
              <w:top w:val="single" w:sz="6" w:space="0" w:color="auto"/>
              <w:left w:val="single" w:sz="6" w:space="0" w:color="auto"/>
              <w:bottom w:val="single" w:sz="6" w:space="0" w:color="auto"/>
              <w:right w:val="single" w:sz="6" w:space="0" w:color="auto"/>
            </w:tcBorders>
          </w:tcPr>
          <w:p w14:paraId="0DC673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Военный представитель</w:t>
            </w:r>
          </w:p>
          <w:p w14:paraId="1139F75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7D1E6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400</w:t>
            </w:r>
          </w:p>
          <w:p w14:paraId="4A95A9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6AA0203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175</w:t>
            </w:r>
          </w:p>
          <w:p w14:paraId="1C0103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31183820" w14:textId="77777777">
        <w:trPr>
          <w:trHeight w:val="259"/>
        </w:trPr>
        <w:tc>
          <w:tcPr>
            <w:tcW w:w="3120" w:type="dxa"/>
            <w:tcBorders>
              <w:top w:val="single" w:sz="6" w:space="0" w:color="auto"/>
              <w:left w:val="single" w:sz="6" w:space="0" w:color="auto"/>
              <w:bottom w:val="single" w:sz="6" w:space="0" w:color="auto"/>
              <w:right w:val="single" w:sz="6" w:space="0" w:color="auto"/>
            </w:tcBorders>
          </w:tcPr>
          <w:p w14:paraId="04369E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военного представителя</w:t>
            </w:r>
          </w:p>
          <w:p w14:paraId="3E79BE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5F931C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375</w:t>
            </w:r>
          </w:p>
          <w:p w14:paraId="29C1D7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0C6897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150</w:t>
            </w:r>
          </w:p>
          <w:p w14:paraId="23849A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372BDE9C" w14:textId="77777777">
        <w:trPr>
          <w:trHeight w:val="288"/>
        </w:trPr>
        <w:tc>
          <w:tcPr>
            <w:tcW w:w="3120" w:type="dxa"/>
            <w:tcBorders>
              <w:top w:val="single" w:sz="6" w:space="0" w:color="auto"/>
              <w:left w:val="single" w:sz="6" w:space="0" w:color="auto"/>
              <w:bottom w:val="single" w:sz="6" w:space="0" w:color="auto"/>
              <w:right w:val="single" w:sz="6" w:space="0" w:color="auto"/>
            </w:tcBorders>
          </w:tcPr>
          <w:p w14:paraId="092E00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Старший техник</w:t>
            </w:r>
          </w:p>
          <w:p w14:paraId="44CECA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4C4E22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300</w:t>
            </w:r>
          </w:p>
          <w:p w14:paraId="6C810E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2E1B15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125</w:t>
            </w:r>
          </w:p>
          <w:p w14:paraId="6022EE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bl>
    <w:p w14:paraId="2907C6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Вольнонаемных содержать на должностях техников, старших браковщиков и браковщиков| Начальнику финансового отдела при НК Обороны довести ставки зарплаты браковщиков до уровня ставок работников соответствующей квалификации отдела технического контроля даюим</w:t>
      </w:r>
    </w:p>
    <w:p w14:paraId="2A4900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предприятия.</w:t>
      </w:r>
    </w:p>
    <w:p w14:paraId="4DAFF1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Начальникам центральных управлений НКО произвести тщательный отбор из числа вол наемных, занимающих в настоящее время должности в контрольно-приемном аппарате, и спиа персонально отобранных представить через начальника Управления по начальствующему со для зачисления в кадры РККА на должности по контрольно-приемному аппарату (п. 2).</w:t>
      </w:r>
    </w:p>
    <w:p w14:paraId="71C5AEC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Установить общую численность контрольно-приемного аппарата НКО в количестве воен служащих 1417 и вольнонаемных 1000 человек, распределив их по отдельным управлениям НКО по предприятиям, согласно прилагаемым перечням.</w:t>
      </w:r>
    </w:p>
    <w:p w14:paraId="47CF2C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Воспретить превышение установленной настоящим приказом численности контрольно аппарата, без особого моего на то разрешения в каждом отдельном случае.</w:t>
      </w:r>
    </w:p>
    <w:p w14:paraId="71F5034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Категорически воспретить использование должностей контрольно-приемного аппарата не по прямому назначению (прикомандирование к управлению для работы в аппарате и поручение работе в самой приемке).</w:t>
      </w:r>
    </w:p>
    <w:p w14:paraId="5F8C0E8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Начальникам центральных управлений обеспечить аппарат военных представителей спецо, ждой и теплой одеждой в строгом соответствии со специфическими особенностями работы ко: рольно-приемного аппарата по специальным нормам, разрабатываемым по каждому центральн управлению, по согласованию с ВХУ РККА.</w:t>
      </w:r>
    </w:p>
    <w:p w14:paraId="1B16AA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Возложить заготовление и распределение спецодежды и теплой одежды на соответствующие тральные управления и ВХУ, выделив для этой цели необходимые средства по сметам этих управ.</w:t>
      </w:r>
    </w:p>
    <w:p w14:paraId="4F8E95E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Штабу РККА для обеспечения служебных поездок работников приемки предусмотреть не ходимое количество автомашин и мотоциклов, определяя потребность в автотранспорте конкр по группам заводов, объединяемых районными инженерами или старшими военпредами.</w:t>
      </w:r>
    </w:p>
    <w:p w14:paraId="2C1A407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 ПУР обеспечить районных инженеров, ст. военпредов и военпредов специальным книл пайком в 150 руб. в год на каждого для приобретения технической литературы.</w:t>
      </w:r>
    </w:p>
    <w:p w14:paraId="06273A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 Начальнику управления по начсоставу ежегодно проводить для повышения квалифик военных, представителей технические сборы при соответствующих академиях по особым прог мам, с целью ознакомления военпредов с современными тактико-техническими достижениями в о ласти военного дела, обмена опытом и выработки единых методов приемки.</w:t>
      </w:r>
    </w:p>
    <w:p w14:paraId="2A046E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 Начальнику финансового отдела при НКО выделять ежегодно в распоряжение нача центральных управлений для стимулирования работы личного состава контрольно-приемного е рата премиальный фонд, предоставив начальникам управлений право передавать часть этого фо непосредственно в распоряжение районных инженеров.</w:t>
      </w:r>
    </w:p>
    <w:p w14:paraId="070FED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13. Поручить т.т. Фельдману, Ефимову, Хрулеву и Левензону разработать конкретный: обеспечения контрольно-приемного аппарата квартирами, путем покупки жилплощади у предприятий, ремонта и приспособления имеющихся жилых фондов, получения квартир от местных ( нов жилищно-коммунального хозяйства и размещения работников приемки в домах НК Обороны.</w:t>
      </w:r>
    </w:p>
    <w:p w14:paraId="090ADEE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План разработать с таким расчетом, чтобы к концу первого полугодия 1935 г. весь контр приемный аппарат был обеспечен квартирами.</w:t>
      </w:r>
    </w:p>
    <w:p w14:paraId="0115C1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Приобретенную жилплощадь закрепить по должностному признаку за работниками -кон но-приемного аппарата на данном заводе.</w:t>
      </w:r>
    </w:p>
    <w:p w14:paraId="3AA26C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случае перевода или увольнения работников контрольно-приемного аппарата от занимаемых ностей квартиры освобождать для вновь назначаемых.</w:t>
      </w:r>
    </w:p>
    <w:p w14:paraId="04374D3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 Перевод вольнонаемного контрольно-приемного аппарата на штат военнослужащих произвести не позднее 1 февраля 1935г.</w:t>
      </w:r>
    </w:p>
    <w:p w14:paraId="589A81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Начальнику штаба РККА внести изменения в штаты центрального аппарата НКО в соответствии с п. 2 и 5 настоящего приказа.</w:t>
      </w:r>
    </w:p>
    <w:p w14:paraId="3A64779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Народный комиссар обороны СССР К. Ворошилов</w:t>
      </w:r>
    </w:p>
    <w:p w14:paraId="3B4C7D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Приложение к п. 5</w:t>
      </w:r>
    </w:p>
    <w:p w14:paraId="007480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РАСЧЕТ распределения приемного аппарата Народного комиссариата обороны</w:t>
      </w:r>
    </w:p>
    <w:tbl>
      <w:tblPr>
        <w:tblW w:w="0" w:type="auto"/>
        <w:tblInd w:w="40" w:type="dxa"/>
        <w:tblLayout w:type="fixed"/>
        <w:tblCellMar>
          <w:left w:w="40" w:type="dxa"/>
          <w:right w:w="40" w:type="dxa"/>
        </w:tblCellMar>
        <w:tblLook w:val="0000" w:firstRow="0" w:lastRow="0" w:firstColumn="0" w:lastColumn="0" w:noHBand="0" w:noVBand="0"/>
      </w:tblPr>
      <w:tblGrid>
        <w:gridCol w:w="1862"/>
        <w:gridCol w:w="518"/>
        <w:gridCol w:w="518"/>
        <w:gridCol w:w="518"/>
        <w:gridCol w:w="528"/>
        <w:gridCol w:w="518"/>
        <w:gridCol w:w="528"/>
        <w:gridCol w:w="518"/>
        <w:gridCol w:w="518"/>
        <w:gridCol w:w="518"/>
        <w:gridCol w:w="518"/>
        <w:gridCol w:w="605"/>
      </w:tblGrid>
      <w:tr w:rsidR="00E3599D" w:rsidRPr="00E14102" w14:paraId="6ABE123D" w14:textId="77777777">
        <w:trPr>
          <w:trHeight w:val="202"/>
        </w:trPr>
        <w:tc>
          <w:tcPr>
            <w:tcW w:w="1862" w:type="dxa"/>
            <w:tcBorders>
              <w:top w:val="single" w:sz="6" w:space="0" w:color="auto"/>
              <w:left w:val="single" w:sz="6" w:space="0" w:color="auto"/>
              <w:bottom w:val="nil"/>
              <w:right w:val="single" w:sz="6" w:space="0" w:color="auto"/>
            </w:tcBorders>
          </w:tcPr>
          <w:p w14:paraId="1070FB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Наименование управлений</w:t>
            </w:r>
          </w:p>
          <w:p w14:paraId="59768F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00" w:type="dxa"/>
            <w:gridSpan w:val="10"/>
            <w:tcBorders>
              <w:top w:val="single" w:sz="6" w:space="0" w:color="auto"/>
              <w:left w:val="single" w:sz="6" w:space="0" w:color="auto"/>
              <w:bottom w:val="single" w:sz="6" w:space="0" w:color="auto"/>
              <w:right w:val="single" w:sz="6" w:space="0" w:color="auto"/>
            </w:tcBorders>
          </w:tcPr>
          <w:p w14:paraId="347780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Наименование должностей и численность</w:t>
            </w:r>
          </w:p>
          <w:p w14:paraId="6785D8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nil"/>
              <w:right w:val="single" w:sz="6" w:space="0" w:color="auto"/>
            </w:tcBorders>
          </w:tcPr>
          <w:p w14:paraId="14C2C0E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итого</w:t>
            </w:r>
          </w:p>
          <w:p w14:paraId="0E6F9B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5E8A28B1" w14:textId="77777777">
        <w:trPr>
          <w:trHeight w:val="182"/>
        </w:trPr>
        <w:tc>
          <w:tcPr>
            <w:tcW w:w="1862" w:type="dxa"/>
            <w:tcBorders>
              <w:top w:val="nil"/>
              <w:left w:val="single" w:sz="6" w:space="0" w:color="auto"/>
              <w:bottom w:val="nil"/>
              <w:right w:val="single" w:sz="6" w:space="0" w:color="auto"/>
            </w:tcBorders>
          </w:tcPr>
          <w:p w14:paraId="18CE9603" w14:textId="77777777" w:rsidR="00D4105E" w:rsidRPr="00E14102" w:rsidRDefault="00D4105E" w:rsidP="00E14102">
            <w:pPr>
              <w:autoSpaceDE w:val="0"/>
              <w:autoSpaceDN w:val="0"/>
              <w:adjustRightInd w:val="0"/>
              <w:jc w:val="both"/>
              <w:rPr>
                <w:color w:val="000000" w:themeColor="text1"/>
                <w:sz w:val="16"/>
                <w:szCs w:val="16"/>
              </w:rPr>
            </w:pPr>
          </w:p>
          <w:p w14:paraId="485DC17D" w14:textId="77777777" w:rsidR="00D4105E" w:rsidRPr="00E14102" w:rsidRDefault="00D4105E" w:rsidP="00E14102">
            <w:pPr>
              <w:autoSpaceDE w:val="0"/>
              <w:autoSpaceDN w:val="0"/>
              <w:adjustRightInd w:val="0"/>
              <w:jc w:val="both"/>
              <w:rPr>
                <w:color w:val="000000" w:themeColor="text1"/>
                <w:sz w:val="16"/>
                <w:szCs w:val="16"/>
              </w:rPr>
            </w:pPr>
          </w:p>
        </w:tc>
        <w:tc>
          <w:tcPr>
            <w:tcW w:w="2600" w:type="dxa"/>
            <w:gridSpan w:val="5"/>
            <w:tcBorders>
              <w:top w:val="single" w:sz="6" w:space="0" w:color="auto"/>
              <w:left w:val="single" w:sz="6" w:space="0" w:color="auto"/>
              <w:bottom w:val="single" w:sz="6" w:space="0" w:color="auto"/>
              <w:right w:val="single" w:sz="6" w:space="0" w:color="auto"/>
            </w:tcBorders>
          </w:tcPr>
          <w:p w14:paraId="4FD4AE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Военнослужащих</w:t>
            </w:r>
          </w:p>
          <w:p w14:paraId="2D3479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2600" w:type="dxa"/>
            <w:gridSpan w:val="5"/>
            <w:tcBorders>
              <w:top w:val="single" w:sz="6" w:space="0" w:color="auto"/>
              <w:left w:val="single" w:sz="6" w:space="0" w:color="auto"/>
              <w:bottom w:val="single" w:sz="6" w:space="0" w:color="auto"/>
              <w:right w:val="single" w:sz="6" w:space="0" w:color="auto"/>
            </w:tcBorders>
          </w:tcPr>
          <w:p w14:paraId="5126A8B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Вольнонаемных</w:t>
            </w:r>
          </w:p>
          <w:p w14:paraId="5322BC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76A6AD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34CA60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47A8F6C3" w14:textId="77777777">
        <w:trPr>
          <w:trHeight w:val="1181"/>
        </w:trPr>
        <w:tc>
          <w:tcPr>
            <w:tcW w:w="1862" w:type="dxa"/>
            <w:tcBorders>
              <w:top w:val="nil"/>
              <w:left w:val="single" w:sz="6" w:space="0" w:color="auto"/>
              <w:bottom w:val="single" w:sz="6" w:space="0" w:color="auto"/>
              <w:right w:val="single" w:sz="6" w:space="0" w:color="auto"/>
            </w:tcBorders>
          </w:tcPr>
          <w:p w14:paraId="7547F985" w14:textId="77777777" w:rsidR="00D4105E" w:rsidRPr="00E14102" w:rsidRDefault="00D4105E" w:rsidP="00E14102">
            <w:pPr>
              <w:autoSpaceDE w:val="0"/>
              <w:autoSpaceDN w:val="0"/>
              <w:adjustRightInd w:val="0"/>
              <w:jc w:val="both"/>
              <w:rPr>
                <w:color w:val="000000" w:themeColor="text1"/>
                <w:sz w:val="16"/>
                <w:szCs w:val="16"/>
              </w:rPr>
            </w:pPr>
          </w:p>
          <w:p w14:paraId="653C60BF" w14:textId="77777777" w:rsidR="00D4105E" w:rsidRPr="00E14102" w:rsidRDefault="00D4105E" w:rsidP="00E14102">
            <w:pPr>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8585B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Районный инженер</w:t>
            </w:r>
          </w:p>
        </w:tc>
        <w:tc>
          <w:tcPr>
            <w:tcW w:w="518" w:type="dxa"/>
            <w:tcBorders>
              <w:top w:val="single" w:sz="6" w:space="0" w:color="auto"/>
              <w:left w:val="single" w:sz="6" w:space="0" w:color="auto"/>
              <w:bottom w:val="single" w:sz="6" w:space="0" w:color="auto"/>
              <w:right w:val="single" w:sz="6" w:space="0" w:color="auto"/>
            </w:tcBorders>
          </w:tcPr>
          <w:p w14:paraId="50CB531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Старший военный представитель</w:t>
            </w:r>
          </w:p>
        </w:tc>
        <w:tc>
          <w:tcPr>
            <w:tcW w:w="518" w:type="dxa"/>
            <w:tcBorders>
              <w:top w:val="single" w:sz="6" w:space="0" w:color="auto"/>
              <w:left w:val="single" w:sz="6" w:space="0" w:color="auto"/>
              <w:bottom w:val="single" w:sz="6" w:space="0" w:color="auto"/>
              <w:right w:val="single" w:sz="6" w:space="0" w:color="auto"/>
            </w:tcBorders>
          </w:tcPr>
          <w:p w14:paraId="233F51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Военный представитель</w:t>
            </w:r>
          </w:p>
        </w:tc>
        <w:tc>
          <w:tcPr>
            <w:tcW w:w="528" w:type="dxa"/>
            <w:tcBorders>
              <w:top w:val="single" w:sz="6" w:space="0" w:color="auto"/>
              <w:left w:val="single" w:sz="6" w:space="0" w:color="auto"/>
              <w:bottom w:val="single" w:sz="6" w:space="0" w:color="auto"/>
              <w:right w:val="single" w:sz="6" w:space="0" w:color="auto"/>
            </w:tcBorders>
          </w:tcPr>
          <w:p w14:paraId="4F2591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Помошник военного представителя</w:t>
            </w:r>
          </w:p>
        </w:tc>
        <w:tc>
          <w:tcPr>
            <w:tcW w:w="518" w:type="dxa"/>
            <w:tcBorders>
              <w:top w:val="single" w:sz="6" w:space="0" w:color="auto"/>
              <w:left w:val="single" w:sz="6" w:space="0" w:color="auto"/>
              <w:bottom w:val="single" w:sz="6" w:space="0" w:color="auto"/>
              <w:right w:val="single" w:sz="6" w:space="0" w:color="auto"/>
            </w:tcBorders>
          </w:tcPr>
          <w:p w14:paraId="6F39C6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Старший техник</w:t>
            </w:r>
          </w:p>
          <w:p w14:paraId="167A905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6FFE4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Всего</w:t>
            </w:r>
          </w:p>
        </w:tc>
        <w:tc>
          <w:tcPr>
            <w:tcW w:w="518" w:type="dxa"/>
            <w:tcBorders>
              <w:top w:val="single" w:sz="6" w:space="0" w:color="auto"/>
              <w:left w:val="single" w:sz="6" w:space="0" w:color="auto"/>
              <w:bottom w:val="single" w:sz="6" w:space="0" w:color="auto"/>
              <w:right w:val="single" w:sz="6" w:space="0" w:color="auto"/>
            </w:tcBorders>
          </w:tcPr>
          <w:p w14:paraId="51F276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Техник</w:t>
            </w:r>
          </w:p>
        </w:tc>
        <w:tc>
          <w:tcPr>
            <w:tcW w:w="518" w:type="dxa"/>
            <w:tcBorders>
              <w:top w:val="single" w:sz="6" w:space="0" w:color="auto"/>
              <w:left w:val="single" w:sz="6" w:space="0" w:color="auto"/>
              <w:bottom w:val="single" w:sz="6" w:space="0" w:color="auto"/>
              <w:right w:val="single" w:sz="6" w:space="0" w:color="auto"/>
            </w:tcBorders>
          </w:tcPr>
          <w:p w14:paraId="5DAAF68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Старший браковщик</w:t>
            </w:r>
          </w:p>
        </w:tc>
        <w:tc>
          <w:tcPr>
            <w:tcW w:w="518" w:type="dxa"/>
            <w:tcBorders>
              <w:top w:val="single" w:sz="6" w:space="0" w:color="auto"/>
              <w:left w:val="single" w:sz="6" w:space="0" w:color="auto"/>
              <w:bottom w:val="single" w:sz="6" w:space="0" w:color="auto"/>
              <w:right w:val="single" w:sz="6" w:space="0" w:color="auto"/>
            </w:tcBorders>
          </w:tcPr>
          <w:p w14:paraId="02C177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Браковщик</w:t>
            </w:r>
          </w:p>
        </w:tc>
        <w:tc>
          <w:tcPr>
            <w:tcW w:w="518" w:type="dxa"/>
            <w:tcBorders>
              <w:top w:val="single" w:sz="6" w:space="0" w:color="auto"/>
              <w:left w:val="single" w:sz="6" w:space="0" w:color="auto"/>
              <w:bottom w:val="single" w:sz="6" w:space="0" w:color="auto"/>
              <w:right w:val="single" w:sz="6" w:space="0" w:color="auto"/>
            </w:tcBorders>
          </w:tcPr>
          <w:p w14:paraId="5308F85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Всего</w:t>
            </w:r>
          </w:p>
        </w:tc>
        <w:tc>
          <w:tcPr>
            <w:tcW w:w="605" w:type="dxa"/>
            <w:tcBorders>
              <w:top w:val="nil"/>
              <w:left w:val="single" w:sz="6" w:space="0" w:color="auto"/>
              <w:bottom w:val="single" w:sz="6" w:space="0" w:color="auto"/>
              <w:right w:val="single" w:sz="6" w:space="0" w:color="auto"/>
            </w:tcBorders>
          </w:tcPr>
          <w:p w14:paraId="1A2CFC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ADAD1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1ADC2CD1"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380F78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АУРККА</w:t>
            </w:r>
          </w:p>
          <w:p w14:paraId="449067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2D7EA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w:t>
            </w:r>
          </w:p>
          <w:p w14:paraId="6039444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FFDA4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42</w:t>
            </w:r>
          </w:p>
          <w:p w14:paraId="109F5F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D11A35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74</w:t>
            </w:r>
          </w:p>
          <w:p w14:paraId="38B45A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A0C89F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94</w:t>
            </w:r>
          </w:p>
          <w:p w14:paraId="4E16CA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B61EE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128</w:t>
            </w:r>
          </w:p>
          <w:p w14:paraId="56F46D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A22A9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348</w:t>
            </w:r>
          </w:p>
          <w:p w14:paraId="1EC102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D78C3B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268</w:t>
            </w:r>
          </w:p>
          <w:p w14:paraId="4CF8AA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AB00AD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247</w:t>
            </w:r>
          </w:p>
          <w:p w14:paraId="4E9DC19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5196B4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114</w:t>
            </w:r>
          </w:p>
          <w:p w14:paraId="0B35EC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EB02C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629</w:t>
            </w:r>
          </w:p>
          <w:p w14:paraId="37B5FE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BF88F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977</w:t>
            </w:r>
          </w:p>
          <w:p w14:paraId="69952C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5F182C8F"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0BB01B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ХИМУ РККА</w:t>
            </w:r>
          </w:p>
          <w:p w14:paraId="7E2950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1FFB5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w:t>
            </w:r>
          </w:p>
          <w:p w14:paraId="19D552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7C49D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w:t>
            </w:r>
          </w:p>
          <w:p w14:paraId="3CE5FB1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DDF723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w:t>
            </w:r>
          </w:p>
          <w:p w14:paraId="602E34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679EF2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w:t>
            </w:r>
          </w:p>
          <w:p w14:paraId="57CFA0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33DB8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26</w:t>
            </w:r>
          </w:p>
          <w:p w14:paraId="01CC68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19DE6D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48</w:t>
            </w:r>
          </w:p>
          <w:p w14:paraId="0516C5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5B611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22</w:t>
            </w:r>
          </w:p>
          <w:p w14:paraId="44C30F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A4292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w:t>
            </w:r>
          </w:p>
          <w:p w14:paraId="36E8ECD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0D397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w:t>
            </w:r>
          </w:p>
          <w:p w14:paraId="706232F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249C3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33</w:t>
            </w:r>
          </w:p>
          <w:p w14:paraId="62F0727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D630F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81</w:t>
            </w:r>
          </w:p>
          <w:p w14:paraId="1C435B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7A0B3983" w14:textId="77777777">
        <w:trPr>
          <w:trHeight w:val="182"/>
        </w:trPr>
        <w:tc>
          <w:tcPr>
            <w:tcW w:w="1862" w:type="dxa"/>
            <w:tcBorders>
              <w:top w:val="single" w:sz="6" w:space="0" w:color="auto"/>
              <w:left w:val="single" w:sz="6" w:space="0" w:color="auto"/>
              <w:bottom w:val="single" w:sz="6" w:space="0" w:color="auto"/>
              <w:right w:val="single" w:sz="6" w:space="0" w:color="auto"/>
            </w:tcBorders>
          </w:tcPr>
          <w:p w14:paraId="3D72455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АБТУ РККА</w:t>
            </w:r>
          </w:p>
          <w:p w14:paraId="63DBCB5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21498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w:t>
            </w:r>
          </w:p>
          <w:p w14:paraId="6B1EF2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D5597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w:t>
            </w:r>
          </w:p>
          <w:p w14:paraId="779CA3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F2AE2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39</w:t>
            </w:r>
          </w:p>
          <w:p w14:paraId="3B3BA8D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AC8EE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47</w:t>
            </w:r>
          </w:p>
          <w:p w14:paraId="096F15B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5A1437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43</w:t>
            </w:r>
          </w:p>
          <w:p w14:paraId="16A6A76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12707B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153</w:t>
            </w:r>
          </w:p>
          <w:p w14:paraId="0049299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1CDEE8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w:t>
            </w:r>
          </w:p>
          <w:p w14:paraId="2443CA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7C98B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w:t>
            </w:r>
          </w:p>
          <w:p w14:paraId="69FD7B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C8212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w:t>
            </w:r>
          </w:p>
          <w:p w14:paraId="651915D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E670C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37</w:t>
            </w:r>
          </w:p>
          <w:p w14:paraId="22473F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25F8C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190</w:t>
            </w:r>
          </w:p>
          <w:p w14:paraId="469916C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4A82ECD2"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1BAA4E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ИУРККА</w:t>
            </w:r>
          </w:p>
          <w:p w14:paraId="6F8E89F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A501D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w:t>
            </w:r>
          </w:p>
          <w:p w14:paraId="7E83D8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324AE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w:t>
            </w:r>
          </w:p>
          <w:p w14:paraId="5135C8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76203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w:t>
            </w:r>
          </w:p>
          <w:p w14:paraId="26398C5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08C9EB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13</w:t>
            </w:r>
          </w:p>
          <w:p w14:paraId="456ADD6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FBC50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w:t>
            </w:r>
          </w:p>
          <w:p w14:paraId="666AD1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AE35A9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53</w:t>
            </w:r>
          </w:p>
          <w:p w14:paraId="6F16E5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C5E75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w:t>
            </w:r>
          </w:p>
          <w:p w14:paraId="2EE09F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A4C68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w:t>
            </w:r>
          </w:p>
          <w:p w14:paraId="6063F9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655D3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w:t>
            </w:r>
          </w:p>
          <w:p w14:paraId="55A800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92AF3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w:t>
            </w:r>
          </w:p>
          <w:p w14:paraId="6FC1BA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60F72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68</w:t>
            </w:r>
          </w:p>
          <w:p w14:paraId="49A1428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3472DC09"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1BC406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 РККА</w:t>
            </w:r>
          </w:p>
          <w:p w14:paraId="4A4246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B960E9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w:t>
            </w:r>
          </w:p>
          <w:p w14:paraId="76BB46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97FD5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w:t>
            </w:r>
          </w:p>
          <w:p w14:paraId="082245C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5DB33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w:t>
            </w:r>
          </w:p>
          <w:p w14:paraId="65645F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56BCC8C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w:t>
            </w:r>
          </w:p>
          <w:p w14:paraId="236EDA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EAE00D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w:t>
            </w:r>
          </w:p>
          <w:p w14:paraId="24627B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133C5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44</w:t>
            </w:r>
          </w:p>
          <w:p w14:paraId="6A3940D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17A390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w:t>
            </w:r>
          </w:p>
          <w:p w14:paraId="38EA73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56734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w:t>
            </w:r>
          </w:p>
          <w:p w14:paraId="335D16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53B194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w:t>
            </w:r>
          </w:p>
          <w:p w14:paraId="17448D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BF585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22</w:t>
            </w:r>
          </w:p>
          <w:p w14:paraId="5504C3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2BDD6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66</w:t>
            </w:r>
          </w:p>
          <w:p w14:paraId="37CC52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6A71161A"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35701F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отд. УМС</w:t>
            </w:r>
          </w:p>
          <w:p w14:paraId="298025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4325E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w:t>
            </w:r>
          </w:p>
          <w:p w14:paraId="0B6E88F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A898A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w:t>
            </w:r>
          </w:p>
          <w:p w14:paraId="79A1AC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A53935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35</w:t>
            </w:r>
          </w:p>
          <w:p w14:paraId="034973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33D3C8F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44</w:t>
            </w:r>
          </w:p>
          <w:p w14:paraId="5ED1296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92E79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46</w:t>
            </w:r>
          </w:p>
          <w:p w14:paraId="2702E94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35BC8A7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155</w:t>
            </w:r>
          </w:p>
          <w:p w14:paraId="1D197F4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634A48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75</w:t>
            </w:r>
          </w:p>
          <w:p w14:paraId="5C98B1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8E9C88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6BBEF9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86533E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7D85DA9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31FEE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75</w:t>
            </w:r>
          </w:p>
          <w:p w14:paraId="4B15686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F52F8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230</w:t>
            </w:r>
          </w:p>
          <w:p w14:paraId="7D0CAD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72895945"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0F69CE5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отд. УМС</w:t>
            </w:r>
          </w:p>
          <w:p w14:paraId="691ECDB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DC65F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w:t>
            </w:r>
          </w:p>
          <w:p w14:paraId="1E41644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DB006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34</w:t>
            </w:r>
          </w:p>
          <w:p w14:paraId="74F3644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859F79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49</w:t>
            </w:r>
          </w:p>
          <w:p w14:paraId="6E7C3D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F60F1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w:t>
            </w:r>
          </w:p>
          <w:p w14:paraId="350E9F9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D0DCE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55</w:t>
            </w:r>
          </w:p>
          <w:p w14:paraId="65B34D9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AB5228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176</w:t>
            </w:r>
          </w:p>
          <w:p w14:paraId="01F977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A6ED0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33</w:t>
            </w:r>
          </w:p>
          <w:p w14:paraId="684377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F3E2FE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0FBFFDD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37919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67D66C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81107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33</w:t>
            </w:r>
          </w:p>
          <w:p w14:paraId="3063D0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03EF6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209</w:t>
            </w:r>
          </w:p>
          <w:p w14:paraId="0A7CD8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2DD1FF69"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1A32A6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отд. УМС</w:t>
            </w:r>
          </w:p>
          <w:p w14:paraId="243B32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DFC405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213E24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80EE2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1E0A24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61934B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w:t>
            </w:r>
          </w:p>
          <w:p w14:paraId="100867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D6A747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w:t>
            </w:r>
          </w:p>
          <w:p w14:paraId="680230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70A83D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w:t>
            </w:r>
          </w:p>
          <w:p w14:paraId="2970F94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6E1792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w:t>
            </w:r>
          </w:p>
          <w:p w14:paraId="196D47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06371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521055B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7B4AAA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49031D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795AC3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63FBBE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BD380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0BFAAF9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B2F7E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w:t>
            </w:r>
          </w:p>
          <w:p w14:paraId="580AB51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36952C12"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6C4020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отд. УМС</w:t>
            </w:r>
          </w:p>
          <w:p w14:paraId="7330B7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EF2E8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37C846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948174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7DB18F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FE68E3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w:t>
            </w:r>
          </w:p>
          <w:p w14:paraId="6AEB307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5BB041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w:t>
            </w:r>
          </w:p>
          <w:p w14:paraId="13CA72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88CD2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2D63BC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664185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w:t>
            </w:r>
          </w:p>
          <w:p w14:paraId="7AB15DD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16ACD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7954455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0F5FA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67A7F19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0EC47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737E3B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CB5029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57310E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00B24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,_ 5</w:t>
            </w:r>
          </w:p>
          <w:p w14:paraId="167236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72457C57"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13C892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УВС РККА</w:t>
            </w:r>
          </w:p>
          <w:p w14:paraId="10ABB15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5BE7F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18</w:t>
            </w:r>
          </w:p>
          <w:p w14:paraId="1821491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FFD17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34</w:t>
            </w:r>
          </w:p>
          <w:p w14:paraId="3B6AFE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2A23EB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54</w:t>
            </w:r>
          </w:p>
          <w:p w14:paraId="754D29E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C4D75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144</w:t>
            </w:r>
          </w:p>
          <w:p w14:paraId="32B224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739765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170</w:t>
            </w:r>
          </w:p>
          <w:p w14:paraId="727D49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4B7613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420</w:t>
            </w:r>
          </w:p>
          <w:p w14:paraId="0BD0D47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57477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63</w:t>
            </w:r>
          </w:p>
          <w:p w14:paraId="402317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D523B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77</w:t>
            </w:r>
          </w:p>
          <w:p w14:paraId="76AE2F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3561E0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16</w:t>
            </w:r>
          </w:p>
          <w:p w14:paraId="69CA021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5BE7A7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156</w:t>
            </w:r>
          </w:p>
          <w:p w14:paraId="776C8F0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AB7E6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576</w:t>
            </w:r>
          </w:p>
          <w:p w14:paraId="1C01206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312919C8" w14:textId="77777777">
        <w:trPr>
          <w:trHeight w:val="182"/>
        </w:trPr>
        <w:tc>
          <w:tcPr>
            <w:tcW w:w="1862" w:type="dxa"/>
            <w:tcBorders>
              <w:top w:val="single" w:sz="6" w:space="0" w:color="auto"/>
              <w:left w:val="single" w:sz="6" w:space="0" w:color="auto"/>
              <w:bottom w:val="single" w:sz="6" w:space="0" w:color="auto"/>
              <w:right w:val="single" w:sz="6" w:space="0" w:color="auto"/>
            </w:tcBorders>
          </w:tcPr>
          <w:p w14:paraId="6EBFFC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Приемка прод. «ОСТ»</w:t>
            </w:r>
          </w:p>
          <w:p w14:paraId="565163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B5537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w:t>
            </w:r>
          </w:p>
          <w:p w14:paraId="5F4D06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906228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6B6806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0CCC02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w:t>
            </w:r>
          </w:p>
          <w:p w14:paraId="19F43F3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4A29A0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w:t>
            </w:r>
          </w:p>
          <w:p w14:paraId="39EF18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48E9C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w:t>
            </w:r>
          </w:p>
          <w:p w14:paraId="0E09CC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8E9C64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w:t>
            </w:r>
          </w:p>
          <w:p w14:paraId="2B68E1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1A82BB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5BA18C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FA1A56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w:t>
            </w:r>
          </w:p>
          <w:p w14:paraId="5753195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A00E0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7EAE6E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4D965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232619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7B3800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w:t>
            </w:r>
          </w:p>
          <w:p w14:paraId="0C443E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614327CF" w14:textId="77777777">
        <w:trPr>
          <w:trHeight w:val="211"/>
        </w:trPr>
        <w:tc>
          <w:tcPr>
            <w:tcW w:w="1862" w:type="dxa"/>
            <w:tcBorders>
              <w:top w:val="single" w:sz="6" w:space="0" w:color="auto"/>
              <w:left w:val="single" w:sz="6" w:space="0" w:color="auto"/>
              <w:bottom w:val="single" w:sz="6" w:space="0" w:color="auto"/>
              <w:right w:val="single" w:sz="6" w:space="0" w:color="auto"/>
            </w:tcBorders>
          </w:tcPr>
          <w:p w14:paraId="10CEDE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Итого</w:t>
            </w:r>
          </w:p>
          <w:p w14:paraId="6B29951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549F4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75</w:t>
            </w:r>
          </w:p>
          <w:p w14:paraId="71307F9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C9C45C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153</w:t>
            </w:r>
          </w:p>
          <w:p w14:paraId="422D05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43550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291</w:t>
            </w:r>
          </w:p>
          <w:p w14:paraId="1C52CA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F30B5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400</w:t>
            </w:r>
          </w:p>
          <w:p w14:paraId="7AC1E0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ADD064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498</w:t>
            </w:r>
          </w:p>
          <w:p w14:paraId="0C45E8D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10187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1417</w:t>
            </w:r>
          </w:p>
          <w:p w14:paraId="62C555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763009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510</w:t>
            </w:r>
          </w:p>
          <w:p w14:paraId="3C1B548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F85F8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344</w:t>
            </w:r>
          </w:p>
          <w:p w14:paraId="5196BC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ED56E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146</w:t>
            </w:r>
          </w:p>
          <w:p w14:paraId="7CFDB5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C3004D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1000</w:t>
            </w:r>
          </w:p>
          <w:p w14:paraId="4935A4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9FCAB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2417</w:t>
            </w:r>
          </w:p>
          <w:p w14:paraId="5D45FE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bl>
    <w:p w14:paraId="685B20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РГВА Ф. 4. Оп. 15а. Д. 406. Л. 5-7. Типографский экземпляр (11210).</w:t>
      </w:r>
    </w:p>
    <w:p w14:paraId="0AEA0D49" w14:textId="77777777" w:rsidR="00D4105E" w:rsidRPr="00E14102" w:rsidRDefault="00D4105E" w:rsidP="00E14102">
      <w:pPr>
        <w:autoSpaceDE w:val="0"/>
        <w:autoSpaceDN w:val="0"/>
        <w:adjustRightInd w:val="0"/>
        <w:jc w:val="both"/>
        <w:rPr>
          <w:color w:val="000000" w:themeColor="text1"/>
          <w:sz w:val="16"/>
          <w:szCs w:val="16"/>
        </w:rPr>
      </w:pPr>
    </w:p>
    <w:p w14:paraId="500C6C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января 1935 г. на заводе им. Марти в Николаеве были заложены два лидера — "Киев" и "Тифлис", предназначенные для Тихоокеанского флота. Их корпуса собирали на Амурской верфи из материалов, заготовленных в Николаеве. Закладка других лидеров программы не состоялось не только из-за нехватки стали, но и ввиду начала переговоров о постройке лидера нового типа в Италии (9838).</w:t>
      </w:r>
    </w:p>
    <w:p w14:paraId="07AE596A" w14:textId="77777777" w:rsidR="00D4105E" w:rsidRPr="00E14102" w:rsidRDefault="00D4105E" w:rsidP="00E14102">
      <w:pPr>
        <w:autoSpaceDE w:val="0"/>
        <w:autoSpaceDN w:val="0"/>
        <w:adjustRightInd w:val="0"/>
        <w:jc w:val="both"/>
        <w:rPr>
          <w:color w:val="000000" w:themeColor="text1"/>
          <w:sz w:val="16"/>
          <w:szCs w:val="16"/>
        </w:rPr>
      </w:pPr>
    </w:p>
    <w:p w14:paraId="46A8DD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января 1935 года на стапелях николаевского завода им. А.Марти состоялась закладка еще двух лидеров 2-й серии («Киев» и «Тифлис»). Здесь выполнялась предва­рительная сборка их корпусов с последую­щей разборкой на транспортные секции для перевозки по железной дороге на Дальний Восток в соответствии с принятым решени­ем усилить Тихоокеанский флот новыми над­водными кораблями и достраивать лидеры на новом Амурском судостроительном за­воде (11866).</w:t>
      </w:r>
    </w:p>
    <w:p w14:paraId="57406EC1" w14:textId="77777777" w:rsidR="00D4105E" w:rsidRPr="00E14102" w:rsidRDefault="00D4105E" w:rsidP="00E14102">
      <w:pPr>
        <w:autoSpaceDE w:val="0"/>
        <w:autoSpaceDN w:val="0"/>
        <w:adjustRightInd w:val="0"/>
        <w:jc w:val="both"/>
        <w:rPr>
          <w:color w:val="000000" w:themeColor="text1"/>
          <w:sz w:val="16"/>
          <w:szCs w:val="16"/>
        </w:rPr>
      </w:pPr>
    </w:p>
    <w:p w14:paraId="26CA9D07" w14:textId="66F6E5E7" w:rsidR="00B965D7" w:rsidRPr="00E14102" w:rsidRDefault="00B965D7" w:rsidP="00E14102">
      <w:pPr>
        <w:autoSpaceDE w:val="0"/>
        <w:autoSpaceDN w:val="0"/>
        <w:adjustRightInd w:val="0"/>
        <w:jc w:val="both"/>
        <w:rPr>
          <w:i/>
          <w:iCs/>
          <w:color w:val="000000" w:themeColor="text1"/>
          <w:sz w:val="16"/>
          <w:szCs w:val="16"/>
        </w:rPr>
      </w:pPr>
      <w:r w:rsidRPr="00E14102">
        <w:rPr>
          <w:i/>
          <w:iCs/>
          <w:color w:val="000000" w:themeColor="text1"/>
          <w:sz w:val="16"/>
          <w:szCs w:val="16"/>
        </w:rPr>
        <w:t>Армия:</w:t>
      </w:r>
    </w:p>
    <w:p w14:paraId="2D16969A" w14:textId="77777777" w:rsidR="00B965D7" w:rsidRPr="00E14102" w:rsidRDefault="00B965D7" w:rsidP="00E14102">
      <w:pPr>
        <w:autoSpaceDE w:val="0"/>
        <w:autoSpaceDN w:val="0"/>
        <w:adjustRightInd w:val="0"/>
        <w:jc w:val="both"/>
        <w:rPr>
          <w:i/>
          <w:iCs/>
          <w:color w:val="000000" w:themeColor="text1"/>
          <w:sz w:val="16"/>
          <w:szCs w:val="16"/>
        </w:rPr>
      </w:pPr>
    </w:p>
    <w:p w14:paraId="28DEB8A5" w14:textId="77777777" w:rsidR="00B965D7" w:rsidRPr="00E14102" w:rsidRDefault="00B965D7" w:rsidP="00E14102">
      <w:pPr>
        <w:shd w:val="clear" w:color="auto" w:fill="FFFFFF"/>
        <w:jc w:val="both"/>
        <w:rPr>
          <w:color w:val="0070C0"/>
          <w:sz w:val="16"/>
          <w:szCs w:val="16"/>
        </w:rPr>
      </w:pPr>
      <w:r w:rsidRPr="00E14102">
        <w:rPr>
          <w:color w:val="0070C0"/>
          <w:sz w:val="16"/>
          <w:szCs w:val="16"/>
        </w:rPr>
        <w:t>15 января 1935 г., после изучения предложений Штаба, на совещании наркома обороны со своими заместителями и начальником Штаба РККА Тухачевскому и Егорову было поручено уточнить штатную организацию стрелковых дивизий (нормального типа и ударных) и доложить все расчеты наркому с тем, чтобы было обеспечено представление к 23 января подробного доклада в Правительство по вопросу о дивизии в 10 тыс. чел., на основе которой должна разворачиваться мобилизация армии в 1935 г., и предположение о новой дивизии на 1936 г.... Одновременно доложить Правительству, что Штабом ведется проработка вопроса о коренной реорганизации стрелковых войск с полным учетом технической оснащенности нашей армии" (Протокол № 1 совещания Народного Комиссара Обороны с Заместителями и Начальником Штаба РККА 15.01.1935 (с правкой Ворошилова) // РГВА. Ф. 4. Оп. 18.Д 41. Л. 2-2 об. В первоначальной записи постановления (принадлежащей, вероятно, начальнику Управления делами НКО Г. М. Штерну) откровенно говорилось о реорганизации, "в частности, по схеме, предлагаемой тов. Тухачевским") (22725).</w:t>
      </w:r>
    </w:p>
    <w:p w14:paraId="035E50BC" w14:textId="77777777" w:rsidR="00B965D7" w:rsidRPr="00E14102" w:rsidRDefault="00B965D7" w:rsidP="00E14102">
      <w:pPr>
        <w:jc w:val="both"/>
        <w:rPr>
          <w:color w:val="0070C0"/>
          <w:sz w:val="16"/>
          <w:szCs w:val="16"/>
        </w:rPr>
      </w:pPr>
    </w:p>
    <w:p w14:paraId="5DE5D0A2" w14:textId="45F6EE09"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481AD9E" w14:textId="77777777" w:rsidR="00D4105E" w:rsidRPr="00E14102" w:rsidRDefault="00D4105E" w:rsidP="00E14102">
      <w:pPr>
        <w:autoSpaceDE w:val="0"/>
        <w:autoSpaceDN w:val="0"/>
        <w:adjustRightInd w:val="0"/>
        <w:jc w:val="both"/>
        <w:rPr>
          <w:iCs/>
          <w:color w:val="000000" w:themeColor="text1"/>
          <w:sz w:val="16"/>
          <w:szCs w:val="16"/>
        </w:rPr>
      </w:pPr>
    </w:p>
    <w:p w14:paraId="0DEE6D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января 1935 (15 - 16 янв.) В СССР открылся закрытый процесс над т. н. "Московским центром" - Зиновьев, Каменев и еще 17 высокопоставленных коммунистов преданы суду и приговорены к тюремному заключению по обвинению в "моральной ответственности" за убийство Кирова в 1934 году. По стране прокатывается волна арестов и высылка последних "буржуазных элементов" из Ленинграда и области, обвиняемым в соучастии в убийстве Кирова; Г. Зиновьев приговорен к 10 годам тюрьмы, Л. Каменев - к 5 годам (4962).</w:t>
      </w:r>
    </w:p>
    <w:p w14:paraId="0EE2FF5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56A1E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15-17 января 1935 в СССР Зиновьев, Каменев и еще 17 высокопоставленных коммунистов были приговорены к тюремному заключению по обвинению в “моральной ответственности” за убийство С.М.К. (3907,191).</w:t>
      </w:r>
    </w:p>
    <w:p w14:paraId="432A4813" w14:textId="77777777" w:rsidR="00D4105E" w:rsidRPr="00E14102" w:rsidRDefault="00D4105E" w:rsidP="00E14102">
      <w:pPr>
        <w:autoSpaceDE w:val="0"/>
        <w:autoSpaceDN w:val="0"/>
        <w:adjustRightInd w:val="0"/>
        <w:jc w:val="both"/>
        <w:rPr>
          <w:color w:val="000000" w:themeColor="text1"/>
          <w:sz w:val="16"/>
          <w:szCs w:val="16"/>
        </w:rPr>
      </w:pPr>
    </w:p>
    <w:p w14:paraId="481BCD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15-16 января 1935 был закрытый процесс над Московским центром и Г.Зиновьев, обвиненный в причастности к убийству С.М.К., был приговорен к 10 годам тюрьмы, Л.Каменев - к 5 годам. Из Ленинграда были высланы буржуазные элементы (3908,346).</w:t>
      </w:r>
    </w:p>
    <w:p w14:paraId="6DAF5332" w14:textId="77777777" w:rsidR="00D4105E" w:rsidRPr="00E14102" w:rsidRDefault="00D4105E" w:rsidP="00E14102">
      <w:pPr>
        <w:autoSpaceDE w:val="0"/>
        <w:autoSpaceDN w:val="0"/>
        <w:adjustRightInd w:val="0"/>
        <w:jc w:val="both"/>
        <w:rPr>
          <w:color w:val="000000" w:themeColor="text1"/>
          <w:sz w:val="16"/>
          <w:szCs w:val="16"/>
        </w:rPr>
      </w:pPr>
    </w:p>
    <w:p w14:paraId="7A1799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 15 по 23 января 1935 в Москве был 16-й Всероссийский съезд Советов (1348,149).</w:t>
      </w:r>
    </w:p>
    <w:p w14:paraId="76586E1A" w14:textId="77777777" w:rsidR="00D4105E" w:rsidRPr="00E14102" w:rsidRDefault="00D4105E" w:rsidP="00E14102">
      <w:pPr>
        <w:autoSpaceDE w:val="0"/>
        <w:autoSpaceDN w:val="0"/>
        <w:adjustRightInd w:val="0"/>
        <w:jc w:val="both"/>
        <w:rPr>
          <w:color w:val="000000" w:themeColor="text1"/>
          <w:sz w:val="16"/>
          <w:szCs w:val="16"/>
        </w:rPr>
      </w:pPr>
    </w:p>
    <w:p w14:paraId="3984D38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7B4CF05" w14:textId="77777777" w:rsidR="00D4105E" w:rsidRPr="00E14102" w:rsidRDefault="00D4105E" w:rsidP="00E14102">
      <w:pPr>
        <w:autoSpaceDE w:val="0"/>
        <w:autoSpaceDN w:val="0"/>
        <w:adjustRightInd w:val="0"/>
        <w:jc w:val="both"/>
        <w:rPr>
          <w:iCs/>
          <w:color w:val="000000" w:themeColor="text1"/>
          <w:sz w:val="16"/>
          <w:szCs w:val="16"/>
        </w:rPr>
      </w:pPr>
    </w:p>
    <w:p w14:paraId="5368AB5B" w14:textId="77777777" w:rsidR="00FC5321" w:rsidRPr="00E14102" w:rsidRDefault="00FC5321" w:rsidP="00E14102">
      <w:pPr>
        <w:jc w:val="both"/>
        <w:rPr>
          <w:color w:val="0070C0"/>
          <w:sz w:val="16"/>
          <w:szCs w:val="16"/>
        </w:rPr>
      </w:pPr>
      <w:r w:rsidRPr="00E14102">
        <w:rPr>
          <w:color w:val="0070C0"/>
          <w:sz w:val="16"/>
          <w:szCs w:val="16"/>
        </w:rPr>
        <w:t>15 января 1935 майор армейского авиакорпуса США Джеймс Дулиттл устанавливает рекорд по транспортному перелету через Соединенные Штаты из Лос-Анджелеса в Ньюарк, штат Нью-Джерси, за 11 часов 59 минут (20800).</w:t>
      </w:r>
    </w:p>
    <w:p w14:paraId="71829719" w14:textId="77777777" w:rsidR="00FC5321" w:rsidRPr="00E14102" w:rsidRDefault="00FC5321" w:rsidP="00E14102">
      <w:pPr>
        <w:jc w:val="both"/>
        <w:rPr>
          <w:color w:val="0070C0"/>
          <w:sz w:val="16"/>
          <w:szCs w:val="16"/>
        </w:rPr>
      </w:pPr>
    </w:p>
    <w:p w14:paraId="39EBA081" w14:textId="77777777" w:rsidR="00FC5321" w:rsidRPr="00E14102" w:rsidRDefault="00FC5321" w:rsidP="00E14102">
      <w:pPr>
        <w:jc w:val="both"/>
        <w:rPr>
          <w:color w:val="0070C0"/>
          <w:sz w:val="16"/>
          <w:szCs w:val="16"/>
          <w:shd w:val="clear" w:color="auto" w:fill="FFFFFF"/>
        </w:rPr>
      </w:pPr>
      <w:r w:rsidRPr="00E14102">
        <w:rPr>
          <w:color w:val="0070C0"/>
          <w:sz w:val="16"/>
          <w:szCs w:val="16"/>
          <w:shd w:val="clear" w:color="auto" w:fill="FFFFFF"/>
        </w:rPr>
        <w:t>15 января 1935 года — первый полёт лёгкого польского многоцелевого самолёта RWD 13.</w:t>
      </w:r>
    </w:p>
    <w:p w14:paraId="1F79499C" w14:textId="77777777" w:rsidR="00FC5321" w:rsidRPr="00E14102" w:rsidRDefault="00FC5321" w:rsidP="00E14102">
      <w:pPr>
        <w:jc w:val="both"/>
        <w:rPr>
          <w:color w:val="0070C0"/>
          <w:sz w:val="16"/>
          <w:szCs w:val="16"/>
        </w:rPr>
      </w:pPr>
      <w:r w:rsidRPr="00E14102">
        <w:rPr>
          <w:color w:val="0070C0"/>
          <w:sz w:val="16"/>
          <w:szCs w:val="16"/>
          <w:shd w:val="clear" w:color="auto" w:fill="FFFFFF"/>
        </w:rPr>
        <w:t>Являлся продолжателем линейки успешных спортивных самолётов RWD 6 (победителя Challenge International de Tourisme 1932) и RWD 9 (победителя Challenge International de Tourisme 1934). Конструкторы Станислав Рогальский, Станислав Вигура и Йержи Дрзвеций создали трёхместный высокоплан с возможностью короткого взлёта и посадки.</w:t>
      </w:r>
    </w:p>
    <w:p w14:paraId="0B09A9DC" w14:textId="77777777" w:rsidR="00FC5321" w:rsidRPr="00E14102" w:rsidRDefault="00FC5321" w:rsidP="00E14102">
      <w:pPr>
        <w:jc w:val="both"/>
        <w:rPr>
          <w:color w:val="0070C0"/>
          <w:sz w:val="16"/>
          <w:szCs w:val="16"/>
          <w:shd w:val="clear" w:color="auto" w:fill="FFFFFF"/>
        </w:rPr>
      </w:pPr>
      <w:r w:rsidRPr="00E14102">
        <w:rPr>
          <w:color w:val="0070C0"/>
          <w:sz w:val="16"/>
          <w:szCs w:val="16"/>
          <w:shd w:val="clear" w:color="auto" w:fill="FFFFFF"/>
        </w:rPr>
        <w:t>По результатам заводских испытаний самолёт заинтересовал военных и они закупили 24 машины, которые в основном использовались в качестве санитарных. Всего же построили около 100 RWD 13. Бóльшая часть из них эксплуатировалась в гражданской авиации. Часть самолётов продали за границу — Испанию, Бразилию, Палестину. На сегодня в мире сохранилось 2 RWD 13 — по одному в Музее TAM (Бразилия) и Музее польской авиации в Кракове (22300).</w:t>
      </w:r>
    </w:p>
    <w:p w14:paraId="0CC61BA4" w14:textId="77777777" w:rsidR="00FC5321" w:rsidRPr="00E14102" w:rsidRDefault="00FC5321" w:rsidP="00E14102">
      <w:pPr>
        <w:jc w:val="both"/>
        <w:rPr>
          <w:color w:val="0070C0"/>
          <w:sz w:val="16"/>
          <w:szCs w:val="16"/>
        </w:rPr>
      </w:pPr>
    </w:p>
    <w:p w14:paraId="2E76C3E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января 1935 Муссолини объявил об объединении Эритреи и Сомали (4962).</w:t>
      </w:r>
    </w:p>
    <w:p w14:paraId="1D45C9D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95CDF9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AF9D329" w14:textId="77777777" w:rsidR="00D4105E" w:rsidRPr="00E14102" w:rsidRDefault="00D4105E" w:rsidP="00E14102">
      <w:pPr>
        <w:autoSpaceDE w:val="0"/>
        <w:autoSpaceDN w:val="0"/>
        <w:adjustRightInd w:val="0"/>
        <w:jc w:val="both"/>
        <w:rPr>
          <w:iCs/>
          <w:color w:val="000000" w:themeColor="text1"/>
          <w:sz w:val="16"/>
          <w:szCs w:val="16"/>
        </w:rPr>
      </w:pPr>
    </w:p>
    <w:p w14:paraId="7D268D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середины (80,152) января 1935 по март проходили гос. испытания ИП-1 (с ДГ-52). Лыжи были убраны (80,129).</w:t>
      </w:r>
    </w:p>
    <w:p w14:paraId="4B16387B" w14:textId="77777777" w:rsidR="00D4105E" w:rsidRPr="00E14102" w:rsidRDefault="00D4105E" w:rsidP="00E14102">
      <w:pPr>
        <w:autoSpaceDE w:val="0"/>
        <w:autoSpaceDN w:val="0"/>
        <w:adjustRightInd w:val="0"/>
        <w:jc w:val="both"/>
        <w:rPr>
          <w:color w:val="000000" w:themeColor="text1"/>
          <w:sz w:val="16"/>
          <w:szCs w:val="16"/>
        </w:rPr>
      </w:pPr>
    </w:p>
    <w:p w14:paraId="2E81B2A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0AFA70E" w14:textId="77777777" w:rsidR="00D4105E" w:rsidRPr="00E14102" w:rsidRDefault="00D4105E" w:rsidP="00E14102">
      <w:pPr>
        <w:autoSpaceDE w:val="0"/>
        <w:autoSpaceDN w:val="0"/>
        <w:adjustRightInd w:val="0"/>
        <w:jc w:val="both"/>
        <w:rPr>
          <w:iCs/>
          <w:color w:val="000000" w:themeColor="text1"/>
          <w:sz w:val="16"/>
          <w:szCs w:val="16"/>
        </w:rPr>
      </w:pPr>
    </w:p>
    <w:p w14:paraId="2DA89DA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января 1935 года Начальник НИИ ВВС Лавров утвердил Отчет о предварительных гос. испытаниях первого экземпляра опытного самолета ДИ-6 РЦ F-3 (ЦКБ-11), проведенных совместно с заводом № 39 (6676).</w:t>
      </w:r>
    </w:p>
    <w:p w14:paraId="38B3DF4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6789DD6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летных данных и основных полетных качеств первого экземпляра опытного самолета ДИ-6 с мотором Райт-Циклон F-3 (ЦКБ-11).</w:t>
      </w:r>
    </w:p>
    <w:p w14:paraId="2EFF386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работы убирающегося шасси и механизмов уборки.</w:t>
      </w:r>
    </w:p>
    <w:p w14:paraId="10243AB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Испытание колес 750-х125 с внутренней амортизацией конструкции бригады № 1 завода № 39.</w:t>
      </w:r>
    </w:p>
    <w:p w14:paraId="58ED29C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Краткое описание самолета</w:t>
      </w:r>
    </w:p>
    <w:p w14:paraId="1D6903C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Назначение – двухместный истребитель.</w:t>
      </w:r>
    </w:p>
    <w:p w14:paraId="60C2912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Тип – полутороплан смешанной конструкции (фюзеляж из х.-м. труб, крылья деревянные, обтяжка – полотно) с мотором РЦ F-3 с капотом NACA, винт металлический. Самолет снабжен убирающимся шасси и колесами с внутренней амортизацией.</w:t>
      </w:r>
    </w:p>
    <w:p w14:paraId="2347774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Вооружение: 2 пулемета Шкас размещены в нижних крыльях, вне струи винта, с запасом патронов по 750 шт. на пулемет (емкость ящиков по 1000 патрон). 1 пулемет ШКАС, установленный на качалке для стрельбы назад, с запасом патронов 750 шт. (емкость ящика 900 шт.).</w:t>
      </w:r>
    </w:p>
    <w:p w14:paraId="07B7F78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79EA40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Полученные летные данные самолета (скорость, маневренность) и отсутствие крупных дефектов показывает, что самолет ДИ-6 может быть быстро доведен до эталонного состояния и будет представлять большой интерес для ВС как двухместный истребитель, обладающий хорошими летными данными.</w:t>
      </w:r>
    </w:p>
    <w:p w14:paraId="5C07285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Необходимо на основе испытаний первого экземпляра форсировать постройку второй машины ……………</w:t>
      </w:r>
    </w:p>
    <w:p w14:paraId="19A340E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Одновременно целесообразно начать постройку опытной войсковой серии самолетов для тактического освоения машины как типа.</w:t>
      </w:r>
    </w:p>
    <w:p w14:paraId="26FD0F8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Предложить заводу № 39 проработать вопрос модификации самолета в одноместный истребитель сопровождения и проект представить для утверждения постройки.</w:t>
      </w:r>
    </w:p>
    <w:p w14:paraId="554A217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Убирающееся шасси и колеса с внутренней амортизацией считать выдержавшими гос. испытания; схему и конструкцию. Шасси и колес рекомендовать как удачный образец..</w:t>
      </w:r>
    </w:p>
    <w:p w14:paraId="17F371A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715C0B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 7 сектора НИИ ВС Жемчужин</w:t>
      </w:r>
    </w:p>
    <w:p w14:paraId="7325B2A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 ЛИС завода № 39 Николаев</w:t>
      </w:r>
    </w:p>
    <w:p w14:paraId="0844CEC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летчики:</w:t>
      </w:r>
    </w:p>
    <w:p w14:paraId="52BE3F4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Инж.-летчик НИИ ВС Петров</w:t>
      </w:r>
    </w:p>
    <w:p w14:paraId="678D5D9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Ст. летчик завода № 39 Пионтковский</w:t>
      </w:r>
    </w:p>
    <w:p w14:paraId="354CD79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8222"/>
      </w:tblGrid>
      <w:tr w:rsidR="00E3599D" w:rsidRPr="00E14102" w14:paraId="07B60E57" w14:textId="77777777">
        <w:tc>
          <w:tcPr>
            <w:tcW w:w="2376" w:type="dxa"/>
            <w:tcBorders>
              <w:top w:val="single" w:sz="12" w:space="0" w:color="auto"/>
            </w:tcBorders>
          </w:tcPr>
          <w:p w14:paraId="5FF8160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ноября 1934 года</w:t>
            </w:r>
          </w:p>
        </w:tc>
        <w:tc>
          <w:tcPr>
            <w:tcW w:w="8222" w:type="dxa"/>
            <w:tcBorders>
              <w:top w:val="single" w:sz="12" w:space="0" w:color="auto"/>
            </w:tcBorders>
          </w:tcPr>
          <w:p w14:paraId="4B72A1C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Тренировка летчиков НИИ по подъему шасси.</w:t>
            </w:r>
          </w:p>
        </w:tc>
      </w:tr>
      <w:tr w:rsidR="00E3599D" w:rsidRPr="00E14102" w14:paraId="6CC1F586" w14:textId="77777777">
        <w:tc>
          <w:tcPr>
            <w:tcW w:w="2376" w:type="dxa"/>
          </w:tcPr>
          <w:p w14:paraId="6E50E36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 ноября 1934 года</w:t>
            </w:r>
          </w:p>
        </w:tc>
        <w:tc>
          <w:tcPr>
            <w:tcW w:w="8222" w:type="dxa"/>
          </w:tcPr>
          <w:p w14:paraId="3031421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Полет на 5000 м с площадками. Вылет летчика Филина – 4 посадки, из них две с уборкой шасси. </w:t>
            </w:r>
          </w:p>
        </w:tc>
      </w:tr>
      <w:tr w:rsidR="00E3599D" w:rsidRPr="00E14102" w14:paraId="4D9384CA" w14:textId="77777777">
        <w:tc>
          <w:tcPr>
            <w:tcW w:w="2376" w:type="dxa"/>
          </w:tcPr>
          <w:p w14:paraId="67F50F3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 декабря 1934 года</w:t>
            </w:r>
          </w:p>
        </w:tc>
        <w:tc>
          <w:tcPr>
            <w:tcW w:w="8222" w:type="dxa"/>
          </w:tcPr>
          <w:p w14:paraId="3F557C6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5000 м и площадки.</w:t>
            </w:r>
          </w:p>
        </w:tc>
      </w:tr>
      <w:tr w:rsidR="00E3599D" w:rsidRPr="00E14102" w14:paraId="3AA39B4C" w14:textId="77777777">
        <w:tc>
          <w:tcPr>
            <w:tcW w:w="2376" w:type="dxa"/>
          </w:tcPr>
          <w:p w14:paraId="2F5A2A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 декабря 1934 года</w:t>
            </w:r>
          </w:p>
        </w:tc>
        <w:tc>
          <w:tcPr>
            <w:tcW w:w="8222" w:type="dxa"/>
          </w:tcPr>
          <w:p w14:paraId="3126DAC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3000 м и площадка на макс.</w:t>
            </w:r>
          </w:p>
        </w:tc>
      </w:tr>
      <w:tr w:rsidR="00E3599D" w:rsidRPr="00E14102" w14:paraId="3109AD66" w14:textId="77777777">
        <w:tc>
          <w:tcPr>
            <w:tcW w:w="2376" w:type="dxa"/>
          </w:tcPr>
          <w:p w14:paraId="318983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 декабря 1934 года</w:t>
            </w:r>
          </w:p>
        </w:tc>
        <w:tc>
          <w:tcPr>
            <w:tcW w:w="8222" w:type="dxa"/>
          </w:tcPr>
          <w:p w14:paraId="0382191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Вылет летчика Петрова (2 посадки). Километраж. Посадка с уборкой шасси (2 посадки).</w:t>
            </w:r>
          </w:p>
        </w:tc>
      </w:tr>
      <w:tr w:rsidR="00E3599D" w:rsidRPr="00E14102" w14:paraId="2DABCFCB" w14:textId="77777777">
        <w:tc>
          <w:tcPr>
            <w:tcW w:w="2376" w:type="dxa"/>
          </w:tcPr>
          <w:p w14:paraId="5B4DE94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декабря 1934 года</w:t>
            </w:r>
          </w:p>
        </w:tc>
        <w:tc>
          <w:tcPr>
            <w:tcW w:w="8222" w:type="dxa"/>
          </w:tcPr>
          <w:p w14:paraId="56FC71E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Посадки – 1.</w:t>
            </w:r>
          </w:p>
        </w:tc>
      </w:tr>
      <w:tr w:rsidR="00E3599D" w:rsidRPr="00E14102" w14:paraId="611F8336" w14:textId="77777777">
        <w:tc>
          <w:tcPr>
            <w:tcW w:w="2376" w:type="dxa"/>
          </w:tcPr>
          <w:p w14:paraId="334F5CC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декабря 1934 года</w:t>
            </w:r>
          </w:p>
        </w:tc>
        <w:tc>
          <w:tcPr>
            <w:tcW w:w="8222" w:type="dxa"/>
          </w:tcPr>
          <w:p w14:paraId="06A7742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Посадки.</w:t>
            </w:r>
          </w:p>
        </w:tc>
      </w:tr>
      <w:tr w:rsidR="00E3599D" w:rsidRPr="00E14102" w14:paraId="5A3DC995" w14:textId="77777777">
        <w:tc>
          <w:tcPr>
            <w:tcW w:w="2376" w:type="dxa"/>
          </w:tcPr>
          <w:p w14:paraId="10F98B4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декабря 1934 года</w:t>
            </w:r>
          </w:p>
        </w:tc>
        <w:tc>
          <w:tcPr>
            <w:tcW w:w="8222" w:type="dxa"/>
          </w:tcPr>
          <w:p w14:paraId="5061FD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Пробный полет после ремонта.</w:t>
            </w:r>
          </w:p>
        </w:tc>
      </w:tr>
      <w:tr w:rsidR="00E3599D" w:rsidRPr="00E14102" w14:paraId="084923C5" w14:textId="77777777">
        <w:tc>
          <w:tcPr>
            <w:tcW w:w="2376" w:type="dxa"/>
          </w:tcPr>
          <w:p w14:paraId="0F6B35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декабря 1934 года</w:t>
            </w:r>
          </w:p>
        </w:tc>
        <w:tc>
          <w:tcPr>
            <w:tcW w:w="8222" w:type="dxa"/>
          </w:tcPr>
          <w:p w14:paraId="1EF3C13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6000 м и площадки на V макс. Управляемость на 1000 м летчика Петрова. Управляемость на 1000 м летчика Филина.</w:t>
            </w:r>
          </w:p>
        </w:tc>
      </w:tr>
      <w:tr w:rsidR="00E3599D" w:rsidRPr="00E14102" w14:paraId="5F936A79" w14:textId="77777777">
        <w:tc>
          <w:tcPr>
            <w:tcW w:w="2376" w:type="dxa"/>
          </w:tcPr>
          <w:p w14:paraId="78EDF18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декабря 1934 года</w:t>
            </w:r>
          </w:p>
        </w:tc>
        <w:tc>
          <w:tcPr>
            <w:tcW w:w="8222" w:type="dxa"/>
          </w:tcPr>
          <w:p w14:paraId="5B58251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Посадки с уборкой шасси – 9.</w:t>
            </w:r>
          </w:p>
        </w:tc>
      </w:tr>
      <w:tr w:rsidR="00E3599D" w:rsidRPr="00E14102" w14:paraId="2EFB1DB9" w14:textId="77777777">
        <w:tc>
          <w:tcPr>
            <w:tcW w:w="2376" w:type="dxa"/>
          </w:tcPr>
          <w:p w14:paraId="356887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24 декабря 1934 года</w:t>
            </w:r>
          </w:p>
        </w:tc>
        <w:tc>
          <w:tcPr>
            <w:tcW w:w="8222" w:type="dxa"/>
          </w:tcPr>
          <w:p w14:paraId="06275BD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Сделано 40 посадок с уборкой шасси.</w:t>
            </w:r>
          </w:p>
        </w:tc>
      </w:tr>
      <w:tr w:rsidR="00E3599D" w:rsidRPr="00E14102" w14:paraId="647677C1" w14:textId="77777777">
        <w:tc>
          <w:tcPr>
            <w:tcW w:w="2376" w:type="dxa"/>
            <w:tcBorders>
              <w:bottom w:val="single" w:sz="12" w:space="0" w:color="auto"/>
            </w:tcBorders>
          </w:tcPr>
          <w:p w14:paraId="72B01B2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декабря 1934 года</w:t>
            </w:r>
          </w:p>
        </w:tc>
        <w:tc>
          <w:tcPr>
            <w:tcW w:w="8222" w:type="dxa"/>
            <w:tcBorders>
              <w:bottom w:val="single" w:sz="12" w:space="0" w:color="auto"/>
            </w:tcBorders>
          </w:tcPr>
          <w:p w14:paraId="690E4B9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управляемость.</w:t>
            </w:r>
          </w:p>
        </w:tc>
      </w:tr>
    </w:tbl>
    <w:p w14:paraId="2FDD252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 время испытания выполнено 123 полета, налетано 17 час. 51 мин. На испытания затрачено 28 дней, из них летных – 11 (6676).</w:t>
      </w:r>
    </w:p>
    <w:p w14:paraId="51E6C3D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CF439A5" w14:textId="77777777" w:rsidR="00CC5128" w:rsidRPr="00E14102" w:rsidRDefault="00CC5128" w:rsidP="00E14102">
      <w:pPr>
        <w:pStyle w:val="rtejustify"/>
        <w:spacing w:before="0" w:after="0"/>
        <w:rPr>
          <w:color w:val="000000" w:themeColor="text1"/>
          <w:sz w:val="16"/>
          <w:szCs w:val="16"/>
        </w:rPr>
      </w:pPr>
      <w:r w:rsidRPr="00E14102">
        <w:rPr>
          <w:rStyle w:val="a6"/>
          <w:bCs/>
          <w:i w:val="0"/>
          <w:color w:val="000000" w:themeColor="text1"/>
          <w:sz w:val="16"/>
          <w:szCs w:val="16"/>
        </w:rPr>
        <w:t>16 января 1935 вышел приказ НКТП № 9с.</w:t>
      </w:r>
      <w:r w:rsidRPr="00E14102">
        <w:rPr>
          <w:color w:val="000000" w:themeColor="text1"/>
          <w:sz w:val="16"/>
          <w:szCs w:val="16"/>
        </w:rPr>
        <w:t xml:space="preserve"> О выполнении задания по выпуску опытных самолетов по ЦАГИ. (РГАЭ. Ф. 7297. Оп. 38. Д. 171. Л. 20) (15246).</w:t>
      </w:r>
    </w:p>
    <w:p w14:paraId="6054324D" w14:textId="77777777" w:rsidR="00CC5128" w:rsidRPr="00E14102" w:rsidRDefault="00CC5128" w:rsidP="00E14102">
      <w:pPr>
        <w:pStyle w:val="rtejustify"/>
        <w:spacing w:before="0" w:after="0"/>
        <w:rPr>
          <w:color w:val="000000" w:themeColor="text1"/>
          <w:sz w:val="16"/>
          <w:szCs w:val="16"/>
        </w:rPr>
      </w:pPr>
    </w:p>
    <w:p w14:paraId="191A99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января 1935 года Начальник УВС Алкснис подписал Протокол совещания у начальника УВС Алксниса от 16 января 1935 года по вопросу об автожирах</w:t>
      </w:r>
    </w:p>
    <w:p w14:paraId="2C7142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Имеющиеся в частях ВС автожиры А4 собрать и свести в два звена на предмет испытания их как средств (самолетов) связи.</w:t>
      </w:r>
    </w:p>
    <w:p w14:paraId="1018EA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Начальнику ЦАГИ Харламову в 3-х дневный срок установить срок передачи автожира А7 на заводские испытания, исходя из необходимости передачи его на гос. испытания не позже 1 марта 1935 года.</w:t>
      </w:r>
    </w:p>
    <w:p w14:paraId="26EFCF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Начальнику НИИ совместно с начальником ЦАГИ в декадный срок составить программу испытаний автожира А7, исходя из его назначения как:</w:t>
      </w:r>
    </w:p>
    <w:p w14:paraId="58EFCE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средства наблюдения (на замену аэростата наблюдения);</w:t>
      </w:r>
    </w:p>
    <w:p w14:paraId="02C775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самолета ближней разведки;</w:t>
      </w:r>
    </w:p>
    <w:p w14:paraId="38F138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самолета для корректировки артогня (сухопутного и морского);</w:t>
      </w:r>
    </w:p>
    <w:p w14:paraId="191FFE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самолета разведки подлодок у своих берегов.</w:t>
      </w:r>
    </w:p>
    <w:p w14:paraId="7B8116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Признать необходимым построить дублер этого автожира на основе опыта заводских и гос. испытаний, имея в виду превращение этого дублера в эталон для серийного производства в 1936 году.</w:t>
      </w:r>
    </w:p>
    <w:p w14:paraId="225127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Начальнику НИИ с участием представителей ЦАГИ разработать тактико-технические требования автожиров А13 и А14 как на самолеты связи и уточнить на скоростной автожир А12 как на боевой самолет.</w:t>
      </w:r>
    </w:p>
    <w:p w14:paraId="1E5E61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этом обратить особое внимание:</w:t>
      </w:r>
    </w:p>
    <w:p w14:paraId="25CFA7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на уменьшение разбега и пробега и</w:t>
      </w:r>
    </w:p>
    <w:p w14:paraId="2A5C62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на возможность неподвижной (без поступательной скорости) работы в воздухе (3626,33).</w:t>
      </w:r>
    </w:p>
    <w:p w14:paraId="35447FD8" w14:textId="77777777" w:rsidR="00D4105E" w:rsidRPr="00E14102" w:rsidRDefault="00D4105E" w:rsidP="00E14102">
      <w:pPr>
        <w:autoSpaceDE w:val="0"/>
        <w:autoSpaceDN w:val="0"/>
        <w:adjustRightInd w:val="0"/>
        <w:jc w:val="both"/>
        <w:rPr>
          <w:color w:val="000000" w:themeColor="text1"/>
          <w:sz w:val="16"/>
          <w:szCs w:val="16"/>
        </w:rPr>
      </w:pPr>
    </w:p>
    <w:p w14:paraId="28B4FA96" w14:textId="77777777" w:rsidR="00A4709E" w:rsidRPr="00E14102" w:rsidRDefault="00A4709E" w:rsidP="00E14102">
      <w:pPr>
        <w:pStyle w:val="631"/>
        <w:shd w:val="clear" w:color="auto" w:fill="auto"/>
        <w:spacing w:line="240" w:lineRule="auto"/>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rPr>
        <w:t>16 января 1935 года у начальника УВВС Я.И. Алксниса состоялось совещание по вопросу об автожирах. Начальнику ЦАГИ Н.М. Харламову было пред</w:t>
      </w:r>
      <w:r w:rsidRPr="00E14102">
        <w:rPr>
          <w:rFonts w:ascii="Times New Roman" w:hAnsi="Times New Roman" w:cs="Times New Roman"/>
          <w:color w:val="0070C0"/>
          <w:sz w:val="16"/>
          <w:szCs w:val="16"/>
        </w:rPr>
        <w:softHyphen/>
        <w:t>писано в три дня установить срок передачи автожира А-7 на заводские испытания, исхо</w:t>
      </w:r>
      <w:r w:rsidRPr="00E14102">
        <w:rPr>
          <w:rFonts w:ascii="Times New Roman" w:hAnsi="Times New Roman" w:cs="Times New Roman"/>
          <w:color w:val="0070C0"/>
          <w:sz w:val="16"/>
          <w:szCs w:val="16"/>
        </w:rPr>
        <w:softHyphen/>
        <w:t>дя из необходимости передачи его на госис</w:t>
      </w:r>
      <w:r w:rsidRPr="00E14102">
        <w:rPr>
          <w:rFonts w:ascii="Times New Roman" w:hAnsi="Times New Roman" w:cs="Times New Roman"/>
          <w:color w:val="0070C0"/>
          <w:sz w:val="16"/>
          <w:szCs w:val="16"/>
        </w:rPr>
        <w:softHyphen/>
        <w:t>пытания не позже 1 марта 1935 года. На этом совещании было признано необходимым построить дублер автожира на основе опыта заводских и государственных испытаний, имея в виду превращение этого дублера в эталон для серийного производства в 1936 году (19868).</w:t>
      </w:r>
    </w:p>
    <w:p w14:paraId="41FE26A2" w14:textId="77777777" w:rsidR="00A4709E" w:rsidRPr="00E14102" w:rsidRDefault="00A4709E" w:rsidP="00E14102">
      <w:pPr>
        <w:jc w:val="both"/>
        <w:rPr>
          <w:color w:val="0070C0"/>
          <w:sz w:val="16"/>
          <w:szCs w:val="16"/>
        </w:rPr>
      </w:pPr>
    </w:p>
    <w:p w14:paraId="1FE94821" w14:textId="77777777" w:rsidR="00FA4EE1" w:rsidRPr="00E14102" w:rsidRDefault="00FA4EE1" w:rsidP="00E14102">
      <w:pPr>
        <w:jc w:val="both"/>
        <w:rPr>
          <w:color w:val="000000" w:themeColor="text1"/>
          <w:sz w:val="16"/>
          <w:szCs w:val="16"/>
        </w:rPr>
      </w:pPr>
      <w:r w:rsidRPr="00E14102">
        <w:rPr>
          <w:color w:val="000000" w:themeColor="text1"/>
          <w:sz w:val="16"/>
          <w:szCs w:val="16"/>
        </w:rPr>
        <w:t>16 января 1935 года - второй день рождения ВИАМ?</w:t>
      </w:r>
    </w:p>
    <w:p w14:paraId="5380D87A" w14:textId="77777777" w:rsidR="00FA4EE1" w:rsidRPr="00E14102" w:rsidRDefault="00FA4EE1" w:rsidP="00E14102">
      <w:pPr>
        <w:jc w:val="both"/>
        <w:rPr>
          <w:color w:val="000000" w:themeColor="text1"/>
          <w:sz w:val="16"/>
          <w:szCs w:val="16"/>
        </w:rPr>
      </w:pPr>
      <w:r w:rsidRPr="00E14102">
        <w:rPr>
          <w:color w:val="000000" w:themeColor="text1"/>
          <w:sz w:val="16"/>
          <w:szCs w:val="16"/>
        </w:rPr>
        <w:t>26 декабря 1932 года в соответствии с постановлением №1910 Совета народных комиссаров (СНК) СССР), подписанным председателем В.М. Молотовым, была реорганизована сеть научно-исследовательских институтов НКТП «в целях даль</w:t>
      </w:r>
      <w:r w:rsidRPr="00E14102">
        <w:rPr>
          <w:color w:val="000000" w:themeColor="text1"/>
          <w:sz w:val="16"/>
          <w:szCs w:val="16"/>
        </w:rPr>
        <w:softHyphen/>
        <w:t>нейшего укрепления и развития научно-исследовательской работы...». В рамках этого «рационального построения сети» через полгода после создания «Институт авиа</w:t>
      </w:r>
      <w:r w:rsidRPr="00E14102">
        <w:rPr>
          <w:color w:val="000000" w:themeColor="text1"/>
          <w:sz w:val="16"/>
          <w:szCs w:val="16"/>
        </w:rPr>
        <w:softHyphen/>
        <w:t>ционных материалов» был «влит в ЦАГИ» (!).</w:t>
      </w:r>
    </w:p>
    <w:p w14:paraId="10FDACE5" w14:textId="77777777" w:rsidR="00FA4EE1" w:rsidRPr="00E14102" w:rsidRDefault="00FA4EE1" w:rsidP="00E14102">
      <w:pPr>
        <w:jc w:val="both"/>
        <w:rPr>
          <w:color w:val="000000" w:themeColor="text1"/>
          <w:sz w:val="16"/>
          <w:szCs w:val="16"/>
        </w:rPr>
      </w:pPr>
      <w:r w:rsidRPr="00E14102">
        <w:rPr>
          <w:color w:val="000000" w:themeColor="text1"/>
          <w:sz w:val="16"/>
          <w:szCs w:val="16"/>
        </w:rPr>
        <w:t>Затем приказом по НКТП № 1520, подписанным 3 декабря 1934 года, приказ №435 об организации ВИАМ был вообще исключен из числа действующих (в числе сотни других приказов и циркуляров по бывшему ВСНХ СССР и НКТП) как «утративший в настоящее время свое значе</w:t>
      </w:r>
      <w:r w:rsidRPr="00E14102">
        <w:rPr>
          <w:color w:val="000000" w:themeColor="text1"/>
          <w:sz w:val="16"/>
          <w:szCs w:val="16"/>
        </w:rPr>
        <w:softHyphen/>
        <w:t>ние». Лишь 16 января 1935 года было выпущено по</w:t>
      </w:r>
      <w:r w:rsidRPr="00E14102">
        <w:rPr>
          <w:color w:val="000000" w:themeColor="text1"/>
          <w:sz w:val="16"/>
          <w:szCs w:val="16"/>
        </w:rPr>
        <w:softHyphen/>
        <w:t>становление №99 СНК СССР], подписанное заместите</w:t>
      </w:r>
      <w:r w:rsidRPr="00E14102">
        <w:rPr>
          <w:color w:val="000000" w:themeColor="text1"/>
          <w:sz w:val="16"/>
          <w:szCs w:val="16"/>
        </w:rPr>
        <w:softHyphen/>
        <w:t>лем председателя В.В. Куйбышевым, в котором сообщалось о восстановлении ВИАМ в системе НКТП в качестве са</w:t>
      </w:r>
      <w:r w:rsidRPr="00E14102">
        <w:rPr>
          <w:color w:val="000000" w:themeColor="text1"/>
          <w:sz w:val="16"/>
          <w:szCs w:val="16"/>
        </w:rPr>
        <w:softHyphen/>
        <w:t>мостоятельной научно-иссле</w:t>
      </w:r>
      <w:r w:rsidRPr="00E14102">
        <w:rPr>
          <w:color w:val="000000" w:themeColor="text1"/>
          <w:sz w:val="16"/>
          <w:szCs w:val="16"/>
        </w:rPr>
        <w:softHyphen/>
        <w:t>довательской организации. Удивительно, но ана</w:t>
      </w:r>
      <w:r w:rsidRPr="00E14102">
        <w:rPr>
          <w:color w:val="000000" w:themeColor="text1"/>
          <w:sz w:val="16"/>
          <w:szCs w:val="16"/>
        </w:rPr>
        <w:softHyphen/>
        <w:t>лиз приказов и других доку ментов по ВИАМ за период с 1932 по январь 1935 года с привлечением специалистов из Самарского филиала РГАНТД, в фондах которого хранится управленческая доку</w:t>
      </w:r>
      <w:r w:rsidRPr="00E14102">
        <w:rPr>
          <w:color w:val="000000" w:themeColor="text1"/>
          <w:sz w:val="16"/>
          <w:szCs w:val="16"/>
        </w:rPr>
        <w:softHyphen/>
        <w:t>ментация ВИАМ, не выявил ни единого упоминания о том, что более двух лет ВИАМ входил в структуру ЦАГИ. Постановления СНК СССР не только никак не отразились на работе института, но и оказались не отмеченными ни в одном внутреннем докумен</w:t>
      </w:r>
      <w:r w:rsidRPr="00E14102">
        <w:rPr>
          <w:color w:val="000000" w:themeColor="text1"/>
          <w:sz w:val="16"/>
          <w:szCs w:val="16"/>
        </w:rPr>
        <w:softHyphen/>
        <w:t>те. Ответ на этот вопрос еще предстоит выяснить историкам науки и техники (19096).</w:t>
      </w:r>
    </w:p>
    <w:p w14:paraId="6EDE883B" w14:textId="77777777" w:rsidR="00FA4EE1" w:rsidRPr="00E14102" w:rsidRDefault="00FA4EE1" w:rsidP="00E14102">
      <w:pPr>
        <w:jc w:val="both"/>
        <w:rPr>
          <w:color w:val="000000" w:themeColor="text1"/>
          <w:sz w:val="16"/>
          <w:szCs w:val="16"/>
        </w:rPr>
      </w:pPr>
    </w:p>
    <w:p w14:paraId="6A1D44BB" w14:textId="77777777" w:rsidR="00FA4EE1" w:rsidRPr="00E14102" w:rsidRDefault="00FA4EE1" w:rsidP="00E14102">
      <w:pPr>
        <w:jc w:val="both"/>
        <w:rPr>
          <w:color w:val="000000" w:themeColor="text1"/>
          <w:sz w:val="16"/>
          <w:szCs w:val="16"/>
        </w:rPr>
      </w:pPr>
      <w:r w:rsidRPr="00E14102">
        <w:rPr>
          <w:color w:val="000000" w:themeColor="text1"/>
          <w:sz w:val="16"/>
          <w:szCs w:val="16"/>
        </w:rPr>
        <w:t>16 января 1935 года было выпущено по</w:t>
      </w:r>
      <w:r w:rsidRPr="00E14102">
        <w:rPr>
          <w:color w:val="000000" w:themeColor="text1"/>
          <w:sz w:val="16"/>
          <w:szCs w:val="16"/>
        </w:rPr>
        <w:softHyphen/>
        <w:t>становление №99 СНК СССР, подписанное заместите</w:t>
      </w:r>
      <w:r w:rsidRPr="00E14102">
        <w:rPr>
          <w:color w:val="000000" w:themeColor="text1"/>
          <w:sz w:val="16"/>
          <w:szCs w:val="16"/>
        </w:rPr>
        <w:softHyphen/>
        <w:t>лем председателя В.В. Куйбышевым, в котором сообщалось о восстановлении ВИАМ в системе НКТП в качестве са</w:t>
      </w:r>
      <w:r w:rsidRPr="00E14102">
        <w:rPr>
          <w:color w:val="000000" w:themeColor="text1"/>
          <w:sz w:val="16"/>
          <w:szCs w:val="16"/>
        </w:rPr>
        <w:softHyphen/>
        <w:t>мостоятельной научно-иссле</w:t>
      </w:r>
      <w:r w:rsidRPr="00E14102">
        <w:rPr>
          <w:color w:val="000000" w:themeColor="text1"/>
          <w:sz w:val="16"/>
          <w:szCs w:val="16"/>
        </w:rPr>
        <w:softHyphen/>
        <w:t>довательской организации. Удивительно, но ана</w:t>
      </w:r>
      <w:r w:rsidRPr="00E14102">
        <w:rPr>
          <w:color w:val="000000" w:themeColor="text1"/>
          <w:sz w:val="16"/>
          <w:szCs w:val="16"/>
        </w:rPr>
        <w:softHyphen/>
        <w:t>лиз приказов и других доку ментов по ВИАМ за период с 1932 по январь 1935 года с привлечением специалистов из Самарского филиала РГАНТД, в фондах которого хранится управленческая доку</w:t>
      </w:r>
      <w:r w:rsidRPr="00E14102">
        <w:rPr>
          <w:color w:val="000000" w:themeColor="text1"/>
          <w:sz w:val="16"/>
          <w:szCs w:val="16"/>
        </w:rPr>
        <w:softHyphen/>
        <w:t>ментация ВИАМ, не выявил ни единого упоминания о том, что более двух лет ВИАМ входил в структуру ЦАГИ. Постановления СНК СССР не только никак не отразились на работе института, но и оказались не отмеченными ни в одном внутреннем докумен</w:t>
      </w:r>
      <w:r w:rsidRPr="00E14102">
        <w:rPr>
          <w:color w:val="000000" w:themeColor="text1"/>
          <w:sz w:val="16"/>
          <w:szCs w:val="16"/>
        </w:rPr>
        <w:softHyphen/>
        <w:t>те. Ответ на этот вопрос еще предстоит выяснить историкам науки и техники (19096).</w:t>
      </w:r>
    </w:p>
    <w:p w14:paraId="7FE2992A" w14:textId="77777777" w:rsidR="00FA4EE1" w:rsidRPr="00E14102" w:rsidRDefault="00FA4EE1" w:rsidP="00E14102">
      <w:pPr>
        <w:jc w:val="both"/>
        <w:rPr>
          <w:color w:val="000000" w:themeColor="text1"/>
          <w:sz w:val="16"/>
          <w:szCs w:val="16"/>
        </w:rPr>
      </w:pPr>
    </w:p>
    <w:p w14:paraId="7674F90B" w14:textId="77777777" w:rsidR="00A4709E" w:rsidRPr="00E14102" w:rsidRDefault="00A4709E" w:rsidP="00E14102">
      <w:pPr>
        <w:jc w:val="both"/>
        <w:rPr>
          <w:color w:val="0070C0"/>
          <w:sz w:val="16"/>
          <w:szCs w:val="16"/>
        </w:rPr>
      </w:pPr>
      <w:r w:rsidRPr="00E14102">
        <w:rPr>
          <w:color w:val="0070C0"/>
          <w:sz w:val="16"/>
          <w:szCs w:val="16"/>
        </w:rPr>
        <w:t>16 января 1935 г.</w:t>
      </w:r>
    </w:p>
    <w:p w14:paraId="008318CE" w14:textId="77777777" w:rsidR="00A4709E" w:rsidRPr="00E14102" w:rsidRDefault="00A4709E" w:rsidP="00E14102">
      <w:pPr>
        <w:jc w:val="both"/>
        <w:rPr>
          <w:color w:val="0070C0"/>
          <w:sz w:val="16"/>
          <w:szCs w:val="16"/>
        </w:rPr>
      </w:pPr>
      <w:r w:rsidRPr="00E14102">
        <w:rPr>
          <w:color w:val="0070C0"/>
          <w:sz w:val="16"/>
          <w:szCs w:val="16"/>
        </w:rPr>
        <w:t>Постановление Политбюро ЦК ВКП(б)</w:t>
      </w:r>
    </w:p>
    <w:p w14:paraId="405B496A" w14:textId="77777777" w:rsidR="00A4709E" w:rsidRPr="00E14102" w:rsidRDefault="00A4709E" w:rsidP="00E14102">
      <w:pPr>
        <w:jc w:val="both"/>
        <w:rPr>
          <w:color w:val="0070C0"/>
          <w:sz w:val="16"/>
          <w:szCs w:val="16"/>
        </w:rPr>
      </w:pPr>
      <w:r w:rsidRPr="00E14102">
        <w:rPr>
          <w:color w:val="0070C0"/>
          <w:sz w:val="16"/>
          <w:szCs w:val="16"/>
        </w:rPr>
        <w:t>«Вопрос т. Ворошилова»</w:t>
      </w:r>
    </w:p>
    <w:p w14:paraId="091C324B" w14:textId="77777777" w:rsidR="00A4709E" w:rsidRPr="00E14102" w:rsidRDefault="00A4709E" w:rsidP="00E14102">
      <w:pPr>
        <w:jc w:val="both"/>
        <w:rPr>
          <w:color w:val="0070C0"/>
          <w:sz w:val="16"/>
          <w:szCs w:val="16"/>
        </w:rPr>
      </w:pPr>
      <w:r w:rsidRPr="00E14102">
        <w:rPr>
          <w:color w:val="0070C0"/>
          <w:sz w:val="16"/>
          <w:szCs w:val="16"/>
        </w:rPr>
        <w:t>№ П20/72</w:t>
      </w:r>
      <w:r w:rsidRPr="00E14102">
        <w:rPr>
          <w:color w:val="0070C0"/>
          <w:sz w:val="16"/>
          <w:szCs w:val="16"/>
        </w:rPr>
        <w:tab/>
        <w:t>16 января 1935 г.</w:t>
      </w:r>
    </w:p>
    <w:p w14:paraId="19C20A77" w14:textId="77777777" w:rsidR="00A4709E" w:rsidRPr="00E14102" w:rsidRDefault="00A4709E" w:rsidP="00E14102">
      <w:pPr>
        <w:jc w:val="both"/>
        <w:rPr>
          <w:color w:val="0070C0"/>
          <w:sz w:val="16"/>
          <w:szCs w:val="16"/>
        </w:rPr>
      </w:pPr>
      <w:r w:rsidRPr="00E14102">
        <w:rPr>
          <w:color w:val="0070C0"/>
          <w:sz w:val="16"/>
          <w:szCs w:val="16"/>
        </w:rPr>
        <w:lastRenderedPageBreak/>
        <w:t>Строго секретно</w:t>
      </w:r>
    </w:p>
    <w:p w14:paraId="441838F1" w14:textId="77777777" w:rsidR="00A4709E" w:rsidRPr="00E14102" w:rsidRDefault="00A4709E" w:rsidP="00E14102">
      <w:pPr>
        <w:jc w:val="both"/>
        <w:rPr>
          <w:color w:val="0070C0"/>
          <w:sz w:val="16"/>
          <w:szCs w:val="16"/>
        </w:rPr>
      </w:pPr>
      <w:r w:rsidRPr="00E14102">
        <w:rPr>
          <w:color w:val="0070C0"/>
          <w:sz w:val="16"/>
          <w:szCs w:val="16"/>
        </w:rPr>
        <w:t>Из «Особой папки»</w:t>
      </w:r>
    </w:p>
    <w:p w14:paraId="704D5ADA" w14:textId="77777777" w:rsidR="00A4709E" w:rsidRPr="00E14102" w:rsidRDefault="00A4709E" w:rsidP="00E14102">
      <w:pPr>
        <w:jc w:val="both"/>
        <w:rPr>
          <w:color w:val="0070C0"/>
          <w:sz w:val="16"/>
          <w:szCs w:val="16"/>
        </w:rPr>
      </w:pPr>
      <w:r w:rsidRPr="00E14102">
        <w:rPr>
          <w:color w:val="0070C0"/>
          <w:sz w:val="16"/>
          <w:szCs w:val="16"/>
        </w:rPr>
        <w:t>72. Принять следующее предложение т. Ворошилова: Считая прилет к нам американской эскадрильи целесообразным, разрешить НКОбороны дать Фэймонвиллу1 положительный ответ, указав, однако, на его неофициальность.</w:t>
      </w:r>
    </w:p>
    <w:p w14:paraId="62A34D36" w14:textId="77777777" w:rsidR="00A4709E" w:rsidRPr="00E14102" w:rsidRDefault="00A4709E" w:rsidP="00E14102">
      <w:pPr>
        <w:jc w:val="both"/>
        <w:rPr>
          <w:color w:val="0070C0"/>
          <w:sz w:val="16"/>
          <w:szCs w:val="16"/>
        </w:rPr>
      </w:pPr>
      <w:r w:rsidRPr="00E14102">
        <w:rPr>
          <w:color w:val="0070C0"/>
          <w:sz w:val="16"/>
          <w:szCs w:val="16"/>
        </w:rPr>
        <w:t>Секретарь ЦК</w:t>
      </w:r>
    </w:p>
    <w:p w14:paraId="2DD5FFBD" w14:textId="77777777" w:rsidR="00A4709E" w:rsidRPr="00E14102" w:rsidRDefault="00A4709E" w:rsidP="00E14102">
      <w:pPr>
        <w:jc w:val="both"/>
        <w:rPr>
          <w:color w:val="0070C0"/>
          <w:sz w:val="16"/>
          <w:szCs w:val="16"/>
        </w:rPr>
      </w:pPr>
      <w:r w:rsidRPr="00E14102">
        <w:rPr>
          <w:color w:val="0070C0"/>
          <w:sz w:val="16"/>
          <w:szCs w:val="16"/>
        </w:rPr>
        <w:t>АП РФ. Ф. 3. On. 66. Д. 436. Л. 151. Копия.</w:t>
      </w:r>
    </w:p>
    <w:p w14:paraId="05C0B773" w14:textId="77777777" w:rsidR="00A4709E" w:rsidRPr="00E14102" w:rsidRDefault="00A4709E" w:rsidP="00E14102">
      <w:pPr>
        <w:jc w:val="both"/>
        <w:rPr>
          <w:color w:val="0070C0"/>
          <w:sz w:val="16"/>
          <w:szCs w:val="16"/>
        </w:rPr>
      </w:pPr>
      <w:r w:rsidRPr="00E14102">
        <w:rPr>
          <w:color w:val="0070C0"/>
          <w:sz w:val="16"/>
          <w:szCs w:val="16"/>
        </w:rPr>
        <w:t>Приложение</w:t>
      </w:r>
    </w:p>
    <w:p w14:paraId="4D4A7CAF" w14:textId="77777777" w:rsidR="00A4709E" w:rsidRPr="00E14102" w:rsidRDefault="00A4709E" w:rsidP="00E14102">
      <w:pPr>
        <w:jc w:val="both"/>
        <w:rPr>
          <w:color w:val="0070C0"/>
          <w:sz w:val="16"/>
          <w:szCs w:val="16"/>
        </w:rPr>
      </w:pPr>
      <w:r w:rsidRPr="00E14102">
        <w:rPr>
          <w:color w:val="0070C0"/>
          <w:sz w:val="16"/>
          <w:szCs w:val="16"/>
        </w:rPr>
        <w:t>Записка К.Е. Ворошилова И.В. Сталину с просьбой разрешить прилет американской эскадрильи в СССР</w:t>
      </w:r>
    </w:p>
    <w:p w14:paraId="3D9E3179" w14:textId="77777777" w:rsidR="00A4709E" w:rsidRPr="00E14102" w:rsidRDefault="00A4709E" w:rsidP="00E14102">
      <w:pPr>
        <w:jc w:val="both"/>
        <w:rPr>
          <w:color w:val="0070C0"/>
          <w:sz w:val="16"/>
          <w:szCs w:val="16"/>
        </w:rPr>
      </w:pPr>
    </w:p>
    <w:p w14:paraId="331ADB4B" w14:textId="77777777" w:rsidR="003224A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85B899D" w14:textId="77777777" w:rsidR="003224AB" w:rsidRPr="00E14102" w:rsidRDefault="003224AB" w:rsidP="00E14102">
      <w:pPr>
        <w:autoSpaceDE w:val="0"/>
        <w:autoSpaceDN w:val="0"/>
        <w:adjustRightInd w:val="0"/>
        <w:jc w:val="both"/>
        <w:rPr>
          <w:iCs/>
          <w:color w:val="000000" w:themeColor="text1"/>
          <w:sz w:val="16"/>
          <w:szCs w:val="16"/>
        </w:rPr>
      </w:pPr>
    </w:p>
    <w:p w14:paraId="5ABB1CCE" w14:textId="77777777" w:rsidR="00CC5128" w:rsidRPr="00E14102" w:rsidRDefault="00CC5128" w:rsidP="00E14102">
      <w:pPr>
        <w:jc w:val="both"/>
        <w:rPr>
          <w:rStyle w:val="a6"/>
          <w:i w:val="0"/>
          <w:color w:val="000000" w:themeColor="text1"/>
          <w:sz w:val="16"/>
          <w:szCs w:val="16"/>
        </w:rPr>
      </w:pPr>
      <w:r w:rsidRPr="00E14102">
        <w:rPr>
          <w:rStyle w:val="a6"/>
          <w:i w:val="0"/>
          <w:color w:val="000000" w:themeColor="text1"/>
          <w:sz w:val="16"/>
          <w:szCs w:val="16"/>
        </w:rPr>
        <w:t xml:space="preserve">16 января 1935 г. </w:t>
      </w:r>
      <w:r w:rsidRPr="00E14102">
        <w:rPr>
          <w:color w:val="000000" w:themeColor="text1"/>
          <w:sz w:val="16"/>
          <w:szCs w:val="16"/>
        </w:rPr>
        <w:t>Справка Сектора обороны Госплана СССР «Рост мощностей военных производств от VI к VII съезду Советов»¹*</w:t>
      </w:r>
    </w:p>
    <w:p w14:paraId="574D03B2" w14:textId="77777777" w:rsidR="00CC5128" w:rsidRPr="00E14102" w:rsidRDefault="00CC5128" w:rsidP="00E14102">
      <w:pPr>
        <w:jc w:val="both"/>
        <w:rPr>
          <w:color w:val="000000" w:themeColor="text1"/>
          <w:sz w:val="16"/>
          <w:szCs w:val="16"/>
        </w:rPr>
      </w:pPr>
      <w:r w:rsidRPr="00E14102">
        <w:rPr>
          <w:rStyle w:val="a6"/>
          <w:i w:val="0"/>
          <w:color w:val="000000" w:themeColor="text1"/>
          <w:sz w:val="16"/>
          <w:szCs w:val="16"/>
        </w:rPr>
        <w:t>Совершенно секретно.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76"/>
        <w:gridCol w:w="1039"/>
        <w:gridCol w:w="2228"/>
        <w:gridCol w:w="2890"/>
        <w:gridCol w:w="2890"/>
      </w:tblGrid>
      <w:tr w:rsidR="00E3599D" w:rsidRPr="00E14102" w14:paraId="3342992B"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939CFB" w14:textId="77777777" w:rsidR="00CC5128" w:rsidRPr="00E14102" w:rsidRDefault="00CC5128" w:rsidP="00E14102">
            <w:pPr>
              <w:jc w:val="both"/>
              <w:rPr>
                <w:color w:val="000000" w:themeColor="text1"/>
                <w:sz w:val="16"/>
                <w:szCs w:val="16"/>
              </w:rPr>
            </w:pPr>
            <w:r w:rsidRPr="00E14102">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A1070" w14:textId="77777777" w:rsidR="00CC5128" w:rsidRPr="00E14102" w:rsidRDefault="00CC5128" w:rsidP="00E14102">
            <w:pPr>
              <w:jc w:val="both"/>
              <w:rPr>
                <w:color w:val="000000" w:themeColor="text1"/>
                <w:sz w:val="16"/>
                <w:szCs w:val="16"/>
              </w:rPr>
            </w:pPr>
            <w:r w:rsidRPr="00E14102">
              <w:rPr>
                <w:color w:val="000000" w:themeColor="text1"/>
                <w:sz w:val="16"/>
                <w:szCs w:val="16"/>
              </w:rPr>
              <w:t>Единица</w:t>
            </w:r>
          </w:p>
          <w:p w14:paraId="09558EEE" w14:textId="77777777" w:rsidR="00CC5128" w:rsidRPr="00E14102" w:rsidRDefault="00CC5128" w:rsidP="00E14102">
            <w:pPr>
              <w:jc w:val="both"/>
              <w:rPr>
                <w:color w:val="000000" w:themeColor="text1"/>
                <w:sz w:val="16"/>
                <w:szCs w:val="16"/>
              </w:rPr>
            </w:pPr>
            <w:r w:rsidRPr="00E14102">
              <w:rPr>
                <w:color w:val="000000" w:themeColor="text1"/>
                <w:sz w:val="16"/>
                <w:szCs w:val="16"/>
              </w:rPr>
              <w:t>измерения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8E5DA" w14:textId="77777777" w:rsidR="00CC5128" w:rsidRPr="00E14102" w:rsidRDefault="00CC5128" w:rsidP="00E14102">
            <w:pPr>
              <w:jc w:val="both"/>
              <w:rPr>
                <w:color w:val="000000" w:themeColor="text1"/>
                <w:sz w:val="16"/>
                <w:szCs w:val="16"/>
              </w:rPr>
            </w:pPr>
            <w:r w:rsidRPr="00E14102">
              <w:rPr>
                <w:color w:val="000000" w:themeColor="text1"/>
                <w:sz w:val="16"/>
                <w:szCs w:val="16"/>
              </w:rPr>
              <w:t>Подача 1930 г. по С-30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6A82D" w14:textId="77777777" w:rsidR="00CC5128" w:rsidRPr="00E14102" w:rsidRDefault="00CC5128" w:rsidP="00E14102">
            <w:pPr>
              <w:jc w:val="both"/>
              <w:rPr>
                <w:color w:val="000000" w:themeColor="text1"/>
                <w:sz w:val="16"/>
                <w:szCs w:val="16"/>
              </w:rPr>
            </w:pPr>
            <w:r w:rsidRPr="00E14102">
              <w:rPr>
                <w:color w:val="000000" w:themeColor="text1"/>
                <w:sz w:val="16"/>
                <w:szCs w:val="16"/>
              </w:rPr>
              <w:t>Мощность на 1 января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E80DE" w14:textId="77777777" w:rsidR="00CC5128" w:rsidRPr="00E14102" w:rsidRDefault="00CC5128" w:rsidP="00E14102">
            <w:pPr>
              <w:jc w:val="both"/>
              <w:rPr>
                <w:color w:val="000000" w:themeColor="text1"/>
                <w:sz w:val="16"/>
                <w:szCs w:val="16"/>
              </w:rPr>
            </w:pPr>
            <w:r w:rsidRPr="00E14102">
              <w:rPr>
                <w:color w:val="000000" w:themeColor="text1"/>
                <w:sz w:val="16"/>
                <w:szCs w:val="16"/>
              </w:rPr>
              <w:t>Примечание</w:t>
            </w:r>
          </w:p>
        </w:tc>
      </w:tr>
      <w:tr w:rsidR="00E3599D" w:rsidRPr="00E14102" w14:paraId="1E49C77D"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FADC44" w14:textId="77777777" w:rsidR="00CC5128" w:rsidRPr="00E14102" w:rsidRDefault="00CC5128" w:rsidP="00E14102">
            <w:pPr>
              <w:jc w:val="both"/>
              <w:rPr>
                <w:color w:val="000000" w:themeColor="text1"/>
                <w:sz w:val="16"/>
                <w:szCs w:val="16"/>
              </w:rPr>
            </w:pPr>
            <w:r w:rsidRPr="00E14102">
              <w:rPr>
                <w:color w:val="000000" w:themeColor="text1"/>
                <w:sz w:val="16"/>
                <w:szCs w:val="16"/>
              </w:rPr>
              <w:t>1. 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0E7C8" w14:textId="77777777" w:rsidR="00CC5128" w:rsidRPr="00E14102" w:rsidRDefault="00CC5128" w:rsidP="00E14102">
            <w:pPr>
              <w:jc w:val="both"/>
              <w:rPr>
                <w:color w:val="000000" w:themeColor="text1"/>
                <w:sz w:val="16"/>
                <w:szCs w:val="16"/>
              </w:rPr>
            </w:pPr>
            <w:r w:rsidRPr="00E14102">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8BDA4" w14:textId="77777777" w:rsidR="00CC5128" w:rsidRPr="00E14102" w:rsidRDefault="00CC5128" w:rsidP="00E14102">
            <w:pPr>
              <w:jc w:val="both"/>
              <w:rPr>
                <w:color w:val="000000" w:themeColor="text1"/>
                <w:sz w:val="16"/>
                <w:szCs w:val="16"/>
              </w:rPr>
            </w:pPr>
            <w:r w:rsidRPr="00E14102">
              <w:rPr>
                <w:color w:val="000000" w:themeColor="text1"/>
                <w:sz w:val="16"/>
                <w:szCs w:val="16"/>
              </w:rPr>
              <w:t>900 000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0428D" w14:textId="77777777" w:rsidR="00CC5128" w:rsidRPr="00E14102" w:rsidRDefault="00CC5128" w:rsidP="00E14102">
            <w:pPr>
              <w:jc w:val="both"/>
              <w:rPr>
                <w:color w:val="000000" w:themeColor="text1"/>
                <w:sz w:val="16"/>
                <w:szCs w:val="16"/>
              </w:rPr>
            </w:pPr>
            <w:r w:rsidRPr="00E14102">
              <w:rPr>
                <w:color w:val="000000" w:themeColor="text1"/>
                <w:sz w:val="16"/>
                <w:szCs w:val="16"/>
              </w:rPr>
              <w:t>2 200 000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5EC5F" w14:textId="77777777" w:rsidR="00CC5128" w:rsidRPr="00E14102" w:rsidRDefault="00CC5128" w:rsidP="00E14102">
            <w:pPr>
              <w:jc w:val="both"/>
              <w:rPr>
                <w:color w:val="000000" w:themeColor="text1"/>
                <w:sz w:val="16"/>
                <w:szCs w:val="16"/>
              </w:rPr>
            </w:pPr>
            <w:r w:rsidRPr="00E14102">
              <w:rPr>
                <w:color w:val="000000" w:themeColor="text1"/>
                <w:sz w:val="16"/>
                <w:szCs w:val="16"/>
              </w:rPr>
              <w:t> </w:t>
            </w:r>
          </w:p>
        </w:tc>
      </w:tr>
      <w:tr w:rsidR="00E3599D" w:rsidRPr="00E14102" w14:paraId="65F2DCA3"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76CB1F" w14:textId="77777777" w:rsidR="00CC5128" w:rsidRPr="00E14102" w:rsidRDefault="00CC5128" w:rsidP="00E14102">
            <w:pPr>
              <w:jc w:val="both"/>
              <w:rPr>
                <w:color w:val="000000" w:themeColor="text1"/>
                <w:sz w:val="16"/>
                <w:szCs w:val="16"/>
              </w:rPr>
            </w:pPr>
            <w:r w:rsidRPr="00E14102">
              <w:rPr>
                <w:color w:val="000000" w:themeColor="text1"/>
                <w:sz w:val="16"/>
                <w:szCs w:val="16"/>
              </w:rPr>
              <w:t>2. Пулеметы станковые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B2D64" w14:textId="77777777" w:rsidR="00CC5128" w:rsidRPr="00E14102" w:rsidRDefault="00CC5128" w:rsidP="00E14102">
            <w:pPr>
              <w:jc w:val="both"/>
              <w:rPr>
                <w:color w:val="000000" w:themeColor="text1"/>
                <w:sz w:val="16"/>
                <w:szCs w:val="16"/>
              </w:rPr>
            </w:pPr>
            <w:r w:rsidRPr="00E14102">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939F5" w14:textId="77777777" w:rsidR="00CC5128" w:rsidRPr="00E14102" w:rsidRDefault="00CC5128" w:rsidP="00E14102">
            <w:pPr>
              <w:jc w:val="both"/>
              <w:rPr>
                <w:color w:val="000000" w:themeColor="text1"/>
                <w:sz w:val="16"/>
                <w:szCs w:val="16"/>
              </w:rPr>
            </w:pPr>
            <w:r w:rsidRPr="00E14102">
              <w:rPr>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143AC" w14:textId="77777777" w:rsidR="00CC5128" w:rsidRPr="00E14102" w:rsidRDefault="00CC5128" w:rsidP="00E14102">
            <w:pPr>
              <w:jc w:val="both"/>
              <w:rPr>
                <w:color w:val="000000" w:themeColor="text1"/>
                <w:sz w:val="16"/>
                <w:szCs w:val="16"/>
              </w:rPr>
            </w:pPr>
            <w:r w:rsidRPr="00E14102">
              <w:rPr>
                <w:color w:val="000000" w:themeColor="text1"/>
                <w:sz w:val="16"/>
                <w:szCs w:val="16"/>
              </w:rPr>
              <w:t>45 000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DE4E3" w14:textId="77777777" w:rsidR="00CC5128" w:rsidRPr="00E14102" w:rsidRDefault="00CC5128" w:rsidP="00E14102">
            <w:pPr>
              <w:jc w:val="both"/>
              <w:rPr>
                <w:color w:val="000000" w:themeColor="text1"/>
                <w:sz w:val="16"/>
                <w:szCs w:val="16"/>
              </w:rPr>
            </w:pPr>
            <w:r w:rsidRPr="00E14102">
              <w:rPr>
                <w:color w:val="000000" w:themeColor="text1"/>
                <w:sz w:val="16"/>
                <w:szCs w:val="16"/>
              </w:rPr>
              <w:t> </w:t>
            </w:r>
          </w:p>
        </w:tc>
      </w:tr>
      <w:tr w:rsidR="00E3599D" w:rsidRPr="00E14102" w14:paraId="2EFE5306"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0742F1" w14:textId="77777777" w:rsidR="00CC5128" w:rsidRPr="00E14102" w:rsidRDefault="00CC5128" w:rsidP="00E14102">
            <w:pPr>
              <w:jc w:val="both"/>
              <w:rPr>
                <w:color w:val="000000" w:themeColor="text1"/>
                <w:sz w:val="16"/>
                <w:szCs w:val="16"/>
              </w:rPr>
            </w:pPr>
            <w:r w:rsidRPr="00E14102">
              <w:rPr>
                <w:color w:val="000000" w:themeColor="text1"/>
                <w:sz w:val="16"/>
                <w:szCs w:val="16"/>
              </w:rPr>
              <w:t>3. Пулеметы ручные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FD656" w14:textId="77777777" w:rsidR="00CC5128" w:rsidRPr="00E14102" w:rsidRDefault="00CC5128" w:rsidP="00E14102">
            <w:pPr>
              <w:jc w:val="both"/>
              <w:rPr>
                <w:color w:val="000000" w:themeColor="text1"/>
                <w:sz w:val="16"/>
                <w:szCs w:val="16"/>
              </w:rPr>
            </w:pPr>
            <w:r w:rsidRPr="00E14102">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EA9B0" w14:textId="77777777" w:rsidR="00CC5128" w:rsidRPr="00E14102" w:rsidRDefault="00CC5128" w:rsidP="00E14102">
            <w:pPr>
              <w:jc w:val="both"/>
              <w:rPr>
                <w:color w:val="000000" w:themeColor="text1"/>
                <w:sz w:val="16"/>
                <w:szCs w:val="16"/>
              </w:rPr>
            </w:pPr>
            <w:r w:rsidRPr="00E14102">
              <w:rPr>
                <w:color w:val="000000" w:themeColor="text1"/>
                <w:sz w:val="16"/>
                <w:szCs w:val="16"/>
              </w:rPr>
              <w:t>41 000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095EF" w14:textId="77777777" w:rsidR="00CC5128" w:rsidRPr="00E14102" w:rsidRDefault="00CC5128" w:rsidP="00E14102">
            <w:pPr>
              <w:jc w:val="both"/>
              <w:rPr>
                <w:color w:val="000000" w:themeColor="text1"/>
                <w:sz w:val="16"/>
                <w:szCs w:val="16"/>
              </w:rPr>
            </w:pPr>
            <w:r w:rsidRPr="00E14102">
              <w:rPr>
                <w:color w:val="000000" w:themeColor="text1"/>
                <w:sz w:val="16"/>
                <w:szCs w:val="16"/>
              </w:rPr>
              <w:t>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4D93A" w14:textId="77777777" w:rsidR="00CC5128" w:rsidRPr="00E14102" w:rsidRDefault="00CC5128" w:rsidP="00E14102">
            <w:pPr>
              <w:jc w:val="both"/>
              <w:rPr>
                <w:color w:val="000000" w:themeColor="text1"/>
                <w:sz w:val="16"/>
                <w:szCs w:val="16"/>
              </w:rPr>
            </w:pPr>
            <w:r w:rsidRPr="00E14102">
              <w:rPr>
                <w:color w:val="000000" w:themeColor="text1"/>
                <w:sz w:val="16"/>
                <w:szCs w:val="16"/>
              </w:rPr>
              <w:t> </w:t>
            </w:r>
          </w:p>
        </w:tc>
      </w:tr>
      <w:tr w:rsidR="00E3599D" w:rsidRPr="00E14102" w14:paraId="41FFEBA3"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C3D58F" w14:textId="77777777" w:rsidR="00CC5128" w:rsidRPr="00E14102" w:rsidRDefault="00CC5128" w:rsidP="00E14102">
            <w:pPr>
              <w:jc w:val="both"/>
              <w:rPr>
                <w:color w:val="000000" w:themeColor="text1"/>
                <w:sz w:val="16"/>
                <w:szCs w:val="16"/>
              </w:rPr>
            </w:pPr>
            <w:r w:rsidRPr="00E14102">
              <w:rPr>
                <w:color w:val="000000" w:themeColor="text1"/>
                <w:sz w:val="16"/>
                <w:szCs w:val="16"/>
              </w:rPr>
              <w:t>4. Винтпатроны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4BAA0" w14:textId="77777777" w:rsidR="00CC5128" w:rsidRPr="00E14102" w:rsidRDefault="00CC5128" w:rsidP="00E14102">
            <w:pPr>
              <w:jc w:val="both"/>
              <w:rPr>
                <w:color w:val="000000" w:themeColor="text1"/>
                <w:sz w:val="16"/>
                <w:szCs w:val="16"/>
              </w:rPr>
            </w:pPr>
            <w:r w:rsidRPr="00E14102">
              <w:rPr>
                <w:color w:val="000000" w:themeColor="text1"/>
                <w:sz w:val="16"/>
                <w:szCs w:val="16"/>
              </w:rPr>
              <w:t>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8405A" w14:textId="77777777" w:rsidR="00CC5128" w:rsidRPr="00E14102" w:rsidRDefault="00CC5128" w:rsidP="00E14102">
            <w:pPr>
              <w:jc w:val="both"/>
              <w:rPr>
                <w:color w:val="000000" w:themeColor="text1"/>
                <w:sz w:val="16"/>
                <w:szCs w:val="16"/>
              </w:rPr>
            </w:pPr>
            <w:r w:rsidRPr="00E14102">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98753" w14:textId="77777777" w:rsidR="00CC5128" w:rsidRPr="00E14102" w:rsidRDefault="00CC5128" w:rsidP="00E14102">
            <w:pPr>
              <w:jc w:val="both"/>
              <w:rPr>
                <w:color w:val="000000" w:themeColor="text1"/>
                <w:sz w:val="16"/>
                <w:szCs w:val="16"/>
              </w:rPr>
            </w:pPr>
            <w:r w:rsidRPr="00E14102">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951B2" w14:textId="77777777" w:rsidR="00CC5128" w:rsidRPr="00E14102" w:rsidRDefault="00CC5128" w:rsidP="00E14102">
            <w:pPr>
              <w:jc w:val="both"/>
              <w:rPr>
                <w:color w:val="000000" w:themeColor="text1"/>
                <w:sz w:val="16"/>
                <w:szCs w:val="16"/>
              </w:rPr>
            </w:pPr>
            <w:r w:rsidRPr="00E14102">
              <w:rPr>
                <w:color w:val="000000" w:themeColor="text1"/>
                <w:sz w:val="16"/>
                <w:szCs w:val="16"/>
              </w:rPr>
              <w:t> </w:t>
            </w:r>
          </w:p>
        </w:tc>
      </w:tr>
      <w:tr w:rsidR="00E3599D" w:rsidRPr="00E14102" w14:paraId="66328F5D"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FF9B1E" w14:textId="77777777" w:rsidR="00CC5128" w:rsidRPr="00E14102" w:rsidRDefault="00CC5128" w:rsidP="00E14102">
            <w:pPr>
              <w:jc w:val="both"/>
              <w:rPr>
                <w:color w:val="000000" w:themeColor="text1"/>
                <w:sz w:val="16"/>
                <w:szCs w:val="16"/>
              </w:rPr>
            </w:pPr>
            <w:r w:rsidRPr="00E14102">
              <w:rPr>
                <w:color w:val="000000" w:themeColor="text1"/>
                <w:sz w:val="16"/>
                <w:szCs w:val="16"/>
              </w:rPr>
              <w:t>5.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E8BA4" w14:textId="77777777" w:rsidR="00CC5128" w:rsidRPr="00E14102" w:rsidRDefault="00CC5128" w:rsidP="00E14102">
            <w:pPr>
              <w:jc w:val="both"/>
              <w:rPr>
                <w:color w:val="000000" w:themeColor="text1"/>
                <w:sz w:val="16"/>
                <w:szCs w:val="16"/>
              </w:rPr>
            </w:pPr>
            <w:r w:rsidRPr="00E14102">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FDFD3" w14:textId="77777777" w:rsidR="00CC5128" w:rsidRPr="00E14102" w:rsidRDefault="00CC5128" w:rsidP="00E14102">
            <w:pPr>
              <w:jc w:val="both"/>
              <w:rPr>
                <w:color w:val="000000" w:themeColor="text1"/>
                <w:sz w:val="16"/>
                <w:szCs w:val="16"/>
              </w:rPr>
            </w:pPr>
            <w:r w:rsidRPr="00E14102">
              <w:rPr>
                <w:color w:val="000000" w:themeColor="text1"/>
                <w:sz w:val="16"/>
                <w:szCs w:val="16"/>
              </w:rPr>
              <w:t>23 346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AAC46" w14:textId="77777777" w:rsidR="00CC5128" w:rsidRPr="00E14102" w:rsidRDefault="00CC5128" w:rsidP="00E14102">
            <w:pPr>
              <w:jc w:val="both"/>
              <w:rPr>
                <w:color w:val="000000" w:themeColor="text1"/>
                <w:sz w:val="16"/>
                <w:szCs w:val="16"/>
              </w:rPr>
            </w:pPr>
            <w:r w:rsidRPr="00E14102">
              <w:rPr>
                <w:color w:val="000000" w:themeColor="text1"/>
                <w:sz w:val="16"/>
                <w:szCs w:val="16"/>
              </w:rPr>
              <w:t>65 000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FAE67" w14:textId="77777777" w:rsidR="00CC5128" w:rsidRPr="00E14102" w:rsidRDefault="00CC5128" w:rsidP="00E14102">
            <w:pPr>
              <w:jc w:val="both"/>
              <w:rPr>
                <w:color w:val="000000" w:themeColor="text1"/>
                <w:sz w:val="16"/>
                <w:szCs w:val="16"/>
              </w:rPr>
            </w:pPr>
            <w:r w:rsidRPr="00E14102">
              <w:rPr>
                <w:color w:val="000000" w:themeColor="text1"/>
                <w:sz w:val="16"/>
                <w:szCs w:val="16"/>
              </w:rPr>
              <w:t>вкл[ючая] и граждан[ские]</w:t>
            </w:r>
          </w:p>
        </w:tc>
      </w:tr>
      <w:tr w:rsidR="00E3599D" w:rsidRPr="00E14102" w14:paraId="52AAFCB6"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B2DCFE" w14:textId="77777777" w:rsidR="00CC5128" w:rsidRPr="00E14102" w:rsidRDefault="00CC5128" w:rsidP="00E14102">
            <w:pPr>
              <w:jc w:val="both"/>
              <w:rPr>
                <w:color w:val="000000" w:themeColor="text1"/>
                <w:sz w:val="16"/>
                <w:szCs w:val="16"/>
              </w:rPr>
            </w:pPr>
            <w:r w:rsidRPr="00E14102">
              <w:rPr>
                <w:color w:val="000000" w:themeColor="text1"/>
                <w:sz w:val="16"/>
                <w:szCs w:val="16"/>
              </w:rPr>
              <w:t>6.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4DFEE" w14:textId="77777777" w:rsidR="00CC5128" w:rsidRPr="00E14102" w:rsidRDefault="00CC5128" w:rsidP="00E14102">
            <w:pPr>
              <w:jc w:val="both"/>
              <w:rPr>
                <w:color w:val="000000" w:themeColor="text1"/>
                <w:sz w:val="16"/>
                <w:szCs w:val="16"/>
              </w:rPr>
            </w:pPr>
            <w:r w:rsidRPr="00E14102">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F7743" w14:textId="77777777" w:rsidR="00CC5128" w:rsidRPr="00E14102" w:rsidRDefault="00CC5128" w:rsidP="00E14102">
            <w:pPr>
              <w:jc w:val="both"/>
              <w:rPr>
                <w:color w:val="000000" w:themeColor="text1"/>
                <w:sz w:val="16"/>
                <w:szCs w:val="16"/>
              </w:rPr>
            </w:pPr>
            <w:r w:rsidRPr="00E14102">
              <w:rPr>
                <w:color w:val="000000" w:themeColor="text1"/>
                <w:sz w:val="16"/>
                <w:szCs w:val="16"/>
              </w:rPr>
              <w:t>3264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F4252" w14:textId="77777777" w:rsidR="00CC5128" w:rsidRPr="00E14102" w:rsidRDefault="00CC5128" w:rsidP="00E14102">
            <w:pPr>
              <w:jc w:val="both"/>
              <w:rPr>
                <w:color w:val="000000" w:themeColor="text1"/>
                <w:sz w:val="16"/>
                <w:szCs w:val="16"/>
              </w:rPr>
            </w:pPr>
            <w:r w:rsidRPr="00E14102">
              <w:rPr>
                <w:color w:val="000000" w:themeColor="text1"/>
                <w:sz w:val="16"/>
                <w:szCs w:val="16"/>
              </w:rPr>
              <w:t>23 000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01CBB" w14:textId="77777777" w:rsidR="00CC5128" w:rsidRPr="00E14102" w:rsidRDefault="00CC5128" w:rsidP="00E14102">
            <w:pPr>
              <w:jc w:val="both"/>
              <w:rPr>
                <w:color w:val="000000" w:themeColor="text1"/>
                <w:sz w:val="16"/>
                <w:szCs w:val="16"/>
              </w:rPr>
            </w:pPr>
            <w:r w:rsidRPr="00E14102">
              <w:rPr>
                <w:color w:val="000000" w:themeColor="text1"/>
                <w:sz w:val="16"/>
                <w:szCs w:val="16"/>
              </w:rPr>
              <w:t> </w:t>
            </w:r>
          </w:p>
        </w:tc>
      </w:tr>
      <w:tr w:rsidR="00E3599D" w:rsidRPr="00E14102" w14:paraId="7AB0EF46"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ADB69A" w14:textId="77777777" w:rsidR="00CC5128" w:rsidRPr="00E14102" w:rsidRDefault="00CC5128" w:rsidP="00E14102">
            <w:pPr>
              <w:jc w:val="both"/>
              <w:rPr>
                <w:color w:val="000000" w:themeColor="text1"/>
                <w:sz w:val="16"/>
                <w:szCs w:val="16"/>
              </w:rPr>
            </w:pPr>
            <w:r w:rsidRPr="00E14102">
              <w:rPr>
                <w:color w:val="000000" w:themeColor="text1"/>
                <w:sz w:val="16"/>
                <w:szCs w:val="16"/>
              </w:rPr>
              <w:t>7.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2D550" w14:textId="77777777" w:rsidR="00CC5128" w:rsidRPr="00E14102" w:rsidRDefault="00CC5128" w:rsidP="00E14102">
            <w:pPr>
              <w:jc w:val="both"/>
              <w:rPr>
                <w:color w:val="000000" w:themeColor="text1"/>
                <w:sz w:val="16"/>
                <w:szCs w:val="16"/>
              </w:rPr>
            </w:pPr>
            <w:r w:rsidRPr="00E14102">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E2DB5" w14:textId="77777777" w:rsidR="00CC5128" w:rsidRPr="00E14102" w:rsidRDefault="00CC5128" w:rsidP="00E14102">
            <w:pPr>
              <w:jc w:val="both"/>
              <w:rPr>
                <w:color w:val="000000" w:themeColor="text1"/>
                <w:sz w:val="16"/>
                <w:szCs w:val="16"/>
              </w:rPr>
            </w:pPr>
            <w:r w:rsidRPr="00E14102">
              <w:rPr>
                <w:color w:val="000000" w:themeColor="text1"/>
                <w:sz w:val="16"/>
                <w:szCs w:val="16"/>
              </w:rPr>
              <w:t>2758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C7C2E" w14:textId="77777777" w:rsidR="00CC5128" w:rsidRPr="00E14102" w:rsidRDefault="00CC5128" w:rsidP="00E14102">
            <w:pPr>
              <w:jc w:val="both"/>
              <w:rPr>
                <w:color w:val="000000" w:themeColor="text1"/>
                <w:sz w:val="16"/>
                <w:szCs w:val="16"/>
              </w:rPr>
            </w:pPr>
            <w:r w:rsidRPr="00E14102">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4BB43" w14:textId="77777777" w:rsidR="00CC5128" w:rsidRPr="00E14102" w:rsidRDefault="00CC5128" w:rsidP="00E14102">
            <w:pPr>
              <w:jc w:val="both"/>
              <w:rPr>
                <w:color w:val="000000" w:themeColor="text1"/>
                <w:sz w:val="16"/>
                <w:szCs w:val="16"/>
              </w:rPr>
            </w:pPr>
            <w:r w:rsidRPr="00E14102">
              <w:rPr>
                <w:color w:val="000000" w:themeColor="text1"/>
                <w:sz w:val="16"/>
                <w:szCs w:val="16"/>
              </w:rPr>
              <w:t> </w:t>
            </w:r>
          </w:p>
        </w:tc>
      </w:tr>
      <w:tr w:rsidR="00E3599D" w:rsidRPr="00E14102" w14:paraId="17B22F0C"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D84D08" w14:textId="77777777" w:rsidR="00CC5128" w:rsidRPr="00E14102" w:rsidRDefault="00CC5128" w:rsidP="00E14102">
            <w:pPr>
              <w:jc w:val="both"/>
              <w:rPr>
                <w:color w:val="000000" w:themeColor="text1"/>
                <w:sz w:val="16"/>
                <w:szCs w:val="16"/>
              </w:rPr>
            </w:pPr>
            <w:r w:rsidRPr="00E14102">
              <w:rPr>
                <w:color w:val="000000" w:themeColor="text1"/>
                <w:sz w:val="16"/>
                <w:szCs w:val="16"/>
              </w:rPr>
              <w:t>8. 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02ECF" w14:textId="77777777" w:rsidR="00CC5128" w:rsidRPr="00E14102" w:rsidRDefault="00CC5128" w:rsidP="00E14102">
            <w:pPr>
              <w:jc w:val="both"/>
              <w:rPr>
                <w:color w:val="000000" w:themeColor="text1"/>
                <w:sz w:val="16"/>
                <w:szCs w:val="16"/>
              </w:rPr>
            </w:pPr>
            <w:r w:rsidRPr="00E14102">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07B43" w14:textId="77777777" w:rsidR="00CC5128" w:rsidRPr="00E14102" w:rsidRDefault="00CC5128" w:rsidP="00E14102">
            <w:pPr>
              <w:jc w:val="both"/>
              <w:rPr>
                <w:color w:val="000000" w:themeColor="text1"/>
                <w:sz w:val="16"/>
                <w:szCs w:val="16"/>
              </w:rPr>
            </w:pPr>
            <w:r w:rsidRPr="00E14102">
              <w:rPr>
                <w:color w:val="000000" w:themeColor="text1"/>
                <w:sz w:val="16"/>
                <w:szCs w:val="16"/>
              </w:rPr>
              <w:t>2804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59ECA" w14:textId="77777777" w:rsidR="00CC5128" w:rsidRPr="00E14102" w:rsidRDefault="00CC5128" w:rsidP="00E14102">
            <w:pPr>
              <w:jc w:val="both"/>
              <w:rPr>
                <w:color w:val="000000" w:themeColor="text1"/>
                <w:sz w:val="16"/>
                <w:szCs w:val="16"/>
              </w:rPr>
            </w:pPr>
            <w:r w:rsidRPr="00E14102">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9A957" w14:textId="77777777" w:rsidR="00CC5128" w:rsidRPr="00E14102" w:rsidRDefault="00CC5128" w:rsidP="00E14102">
            <w:pPr>
              <w:jc w:val="both"/>
              <w:rPr>
                <w:color w:val="000000" w:themeColor="text1"/>
                <w:sz w:val="16"/>
                <w:szCs w:val="16"/>
              </w:rPr>
            </w:pPr>
            <w:r w:rsidRPr="00E14102">
              <w:rPr>
                <w:color w:val="000000" w:themeColor="text1"/>
                <w:sz w:val="16"/>
                <w:szCs w:val="16"/>
              </w:rPr>
              <w:t> </w:t>
            </w:r>
          </w:p>
        </w:tc>
      </w:tr>
      <w:tr w:rsidR="00E3599D" w:rsidRPr="00E14102" w14:paraId="55D84704"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C39AEE" w14:textId="77777777" w:rsidR="00CC5128" w:rsidRPr="00E14102" w:rsidRDefault="00CC5128" w:rsidP="00E14102">
            <w:pPr>
              <w:jc w:val="both"/>
              <w:rPr>
                <w:color w:val="000000" w:themeColor="text1"/>
                <w:sz w:val="16"/>
                <w:szCs w:val="16"/>
              </w:rPr>
            </w:pPr>
            <w:r w:rsidRPr="00E14102">
              <w:rPr>
                <w:color w:val="000000" w:themeColor="text1"/>
                <w:sz w:val="16"/>
                <w:szCs w:val="16"/>
              </w:rPr>
              <w:t>9. 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B5F72" w14:textId="77777777" w:rsidR="00CC5128" w:rsidRPr="00E14102" w:rsidRDefault="00CC5128" w:rsidP="00E14102">
            <w:pPr>
              <w:jc w:val="both"/>
              <w:rPr>
                <w:color w:val="000000" w:themeColor="text1"/>
                <w:sz w:val="16"/>
                <w:szCs w:val="16"/>
              </w:rPr>
            </w:pPr>
            <w:r w:rsidRPr="00E14102">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98117" w14:textId="77777777" w:rsidR="00CC5128" w:rsidRPr="00E14102" w:rsidRDefault="00CC5128" w:rsidP="00E14102">
            <w:pPr>
              <w:jc w:val="both"/>
              <w:rPr>
                <w:color w:val="000000" w:themeColor="text1"/>
                <w:sz w:val="16"/>
                <w:szCs w:val="16"/>
              </w:rPr>
            </w:pPr>
            <w:r w:rsidRPr="00E14102">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A1FAD" w14:textId="77777777" w:rsidR="00CC5128" w:rsidRPr="00E14102" w:rsidRDefault="00CC5128" w:rsidP="00E14102">
            <w:pPr>
              <w:jc w:val="both"/>
              <w:rPr>
                <w:color w:val="000000" w:themeColor="text1"/>
                <w:sz w:val="16"/>
                <w:szCs w:val="16"/>
              </w:rPr>
            </w:pPr>
            <w:r w:rsidRPr="00E14102">
              <w:rPr>
                <w:color w:val="000000" w:themeColor="text1"/>
                <w:sz w:val="16"/>
                <w:szCs w:val="16"/>
              </w:rPr>
              <w:t>30 300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E2544" w14:textId="77777777" w:rsidR="00CC5128" w:rsidRPr="00E14102" w:rsidRDefault="00CC5128" w:rsidP="00E14102">
            <w:pPr>
              <w:jc w:val="both"/>
              <w:rPr>
                <w:color w:val="000000" w:themeColor="text1"/>
                <w:sz w:val="16"/>
                <w:szCs w:val="16"/>
              </w:rPr>
            </w:pPr>
            <w:r w:rsidRPr="00E14102">
              <w:rPr>
                <w:color w:val="000000" w:themeColor="text1"/>
                <w:sz w:val="16"/>
                <w:szCs w:val="16"/>
              </w:rPr>
              <w:t> </w:t>
            </w:r>
          </w:p>
        </w:tc>
      </w:tr>
      <w:tr w:rsidR="00E3599D" w:rsidRPr="00E14102" w14:paraId="4C06264E"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294FD3" w14:textId="77777777" w:rsidR="00CC5128" w:rsidRPr="00E14102" w:rsidRDefault="00CC5128" w:rsidP="00E14102">
            <w:pPr>
              <w:jc w:val="both"/>
              <w:rPr>
                <w:color w:val="000000" w:themeColor="text1"/>
                <w:sz w:val="16"/>
                <w:szCs w:val="16"/>
              </w:rPr>
            </w:pPr>
            <w:r w:rsidRPr="00E14102">
              <w:rPr>
                <w:color w:val="000000" w:themeColor="text1"/>
                <w:sz w:val="16"/>
                <w:szCs w:val="16"/>
              </w:rPr>
              <w:t>10.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836A7" w14:textId="77777777" w:rsidR="00CC5128" w:rsidRPr="00E14102" w:rsidRDefault="00CC5128" w:rsidP="00E14102">
            <w:pPr>
              <w:jc w:val="both"/>
              <w:rPr>
                <w:color w:val="000000" w:themeColor="text1"/>
                <w:sz w:val="16"/>
                <w:szCs w:val="16"/>
              </w:rPr>
            </w:pPr>
            <w:r w:rsidRPr="00E14102">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59F2C" w14:textId="77777777" w:rsidR="00CC5128" w:rsidRPr="00E14102" w:rsidRDefault="00CC5128" w:rsidP="00E14102">
            <w:pPr>
              <w:jc w:val="both"/>
              <w:rPr>
                <w:color w:val="000000" w:themeColor="text1"/>
                <w:sz w:val="16"/>
                <w:szCs w:val="16"/>
              </w:rPr>
            </w:pPr>
            <w:r w:rsidRPr="00E14102">
              <w:rPr>
                <w:color w:val="000000" w:themeColor="text1"/>
                <w:sz w:val="16"/>
                <w:szCs w:val="16"/>
              </w:rPr>
              <w:t>27 796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85A96" w14:textId="77777777" w:rsidR="00CC5128" w:rsidRPr="00E14102" w:rsidRDefault="00CC5128" w:rsidP="00E14102">
            <w:pPr>
              <w:jc w:val="both"/>
              <w:rPr>
                <w:color w:val="000000" w:themeColor="text1"/>
                <w:sz w:val="16"/>
                <w:szCs w:val="16"/>
              </w:rPr>
            </w:pPr>
            <w:r w:rsidRPr="00E14102">
              <w:rPr>
                <w:color w:val="000000" w:themeColor="text1"/>
                <w:sz w:val="16"/>
                <w:szCs w:val="16"/>
              </w:rPr>
              <w:t>66 800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81338" w14:textId="77777777" w:rsidR="00CC5128" w:rsidRPr="00E14102" w:rsidRDefault="00CC5128" w:rsidP="00E14102">
            <w:pPr>
              <w:jc w:val="both"/>
              <w:rPr>
                <w:color w:val="000000" w:themeColor="text1"/>
                <w:sz w:val="16"/>
                <w:szCs w:val="16"/>
              </w:rPr>
            </w:pPr>
            <w:r w:rsidRPr="00E14102">
              <w:rPr>
                <w:color w:val="000000" w:themeColor="text1"/>
                <w:sz w:val="16"/>
                <w:szCs w:val="16"/>
              </w:rPr>
              <w:t> </w:t>
            </w:r>
          </w:p>
        </w:tc>
      </w:tr>
      <w:tr w:rsidR="00E3599D" w:rsidRPr="00E14102" w14:paraId="12451C28"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F86BCF" w14:textId="77777777" w:rsidR="00CC5128" w:rsidRPr="00E14102" w:rsidRDefault="00CC5128" w:rsidP="00E14102">
            <w:pPr>
              <w:jc w:val="both"/>
              <w:rPr>
                <w:color w:val="000000" w:themeColor="text1"/>
                <w:sz w:val="16"/>
                <w:szCs w:val="16"/>
              </w:rPr>
            </w:pPr>
            <w:r w:rsidRPr="00E14102">
              <w:rPr>
                <w:color w:val="000000" w:themeColor="text1"/>
                <w:sz w:val="16"/>
                <w:szCs w:val="16"/>
              </w:rPr>
              <w:t>11. ВВ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CA623" w14:textId="77777777" w:rsidR="00CC5128" w:rsidRPr="00E14102" w:rsidRDefault="00CC5128" w:rsidP="00E14102">
            <w:pPr>
              <w:jc w:val="both"/>
              <w:rPr>
                <w:color w:val="000000" w:themeColor="text1"/>
                <w:sz w:val="16"/>
                <w:szCs w:val="16"/>
              </w:rPr>
            </w:pPr>
            <w:r w:rsidRPr="00E14102">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E6090" w14:textId="77777777" w:rsidR="00CC5128" w:rsidRPr="00E14102" w:rsidRDefault="00CC5128" w:rsidP="00E14102">
            <w:pPr>
              <w:jc w:val="both"/>
              <w:rPr>
                <w:color w:val="000000" w:themeColor="text1"/>
                <w:sz w:val="16"/>
                <w:szCs w:val="16"/>
              </w:rPr>
            </w:pPr>
            <w:r w:rsidRPr="00E14102">
              <w:rPr>
                <w:color w:val="000000" w:themeColor="text1"/>
                <w:sz w:val="16"/>
                <w:szCs w:val="16"/>
              </w:rPr>
              <w:t>43 528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B319B" w14:textId="77777777" w:rsidR="00CC5128" w:rsidRPr="00E14102" w:rsidRDefault="00CC5128" w:rsidP="00E14102">
            <w:pPr>
              <w:jc w:val="both"/>
              <w:rPr>
                <w:color w:val="000000" w:themeColor="text1"/>
                <w:sz w:val="16"/>
                <w:szCs w:val="16"/>
              </w:rPr>
            </w:pPr>
            <w:r w:rsidRPr="00E14102">
              <w:rPr>
                <w:color w:val="000000" w:themeColor="text1"/>
                <w:sz w:val="16"/>
                <w:szCs w:val="16"/>
              </w:rPr>
              <w:t>198 000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AD11D" w14:textId="77777777" w:rsidR="00CC5128" w:rsidRPr="00E14102" w:rsidRDefault="00CC5128" w:rsidP="00E14102">
            <w:pPr>
              <w:jc w:val="both"/>
              <w:rPr>
                <w:color w:val="000000" w:themeColor="text1"/>
                <w:sz w:val="16"/>
                <w:szCs w:val="16"/>
              </w:rPr>
            </w:pPr>
            <w:r w:rsidRPr="00E14102">
              <w:rPr>
                <w:color w:val="000000" w:themeColor="text1"/>
                <w:sz w:val="16"/>
                <w:szCs w:val="16"/>
              </w:rPr>
              <w:t> </w:t>
            </w:r>
          </w:p>
        </w:tc>
      </w:tr>
      <w:tr w:rsidR="00E3599D" w:rsidRPr="00E14102" w14:paraId="618AB543"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55DD1D" w14:textId="77777777" w:rsidR="00CC5128" w:rsidRPr="00E14102" w:rsidRDefault="00CC5128" w:rsidP="00E14102">
            <w:pPr>
              <w:jc w:val="both"/>
              <w:rPr>
                <w:color w:val="000000" w:themeColor="text1"/>
                <w:sz w:val="16"/>
                <w:szCs w:val="16"/>
              </w:rPr>
            </w:pPr>
            <w:r w:rsidRPr="00E14102">
              <w:rPr>
                <w:color w:val="000000" w:themeColor="text1"/>
                <w:sz w:val="16"/>
                <w:szCs w:val="16"/>
              </w:rPr>
              <w:t>12. ОВ и ДВ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045F2" w14:textId="77777777" w:rsidR="00CC5128" w:rsidRPr="00E14102" w:rsidRDefault="00CC5128" w:rsidP="00E14102">
            <w:pPr>
              <w:jc w:val="both"/>
              <w:rPr>
                <w:color w:val="000000" w:themeColor="text1"/>
                <w:sz w:val="16"/>
                <w:szCs w:val="16"/>
              </w:rPr>
            </w:pPr>
            <w:r w:rsidRPr="00E14102">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85FC3" w14:textId="77777777" w:rsidR="00CC5128" w:rsidRPr="00E14102" w:rsidRDefault="00CC5128" w:rsidP="00E14102">
            <w:pPr>
              <w:jc w:val="both"/>
              <w:rPr>
                <w:color w:val="000000" w:themeColor="text1"/>
                <w:sz w:val="16"/>
                <w:szCs w:val="16"/>
              </w:rPr>
            </w:pPr>
            <w:r w:rsidRPr="00E14102">
              <w:rPr>
                <w:color w:val="000000" w:themeColor="text1"/>
                <w:sz w:val="16"/>
                <w:szCs w:val="16"/>
              </w:rPr>
              <w:t>17 475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E6DAA" w14:textId="77777777" w:rsidR="00CC5128" w:rsidRPr="00E14102" w:rsidRDefault="00CC5128" w:rsidP="00E14102">
            <w:pPr>
              <w:jc w:val="both"/>
              <w:rPr>
                <w:color w:val="000000" w:themeColor="text1"/>
                <w:sz w:val="16"/>
                <w:szCs w:val="16"/>
              </w:rPr>
            </w:pPr>
            <w:r w:rsidRPr="00E14102">
              <w:rPr>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20AF2" w14:textId="77777777" w:rsidR="00CC5128" w:rsidRPr="00E14102" w:rsidRDefault="00CC5128" w:rsidP="00E14102">
            <w:pPr>
              <w:jc w:val="both"/>
              <w:rPr>
                <w:color w:val="000000" w:themeColor="text1"/>
                <w:sz w:val="16"/>
                <w:szCs w:val="16"/>
              </w:rPr>
            </w:pPr>
            <w:r w:rsidRPr="00E14102">
              <w:rPr>
                <w:color w:val="000000" w:themeColor="text1"/>
                <w:sz w:val="16"/>
                <w:szCs w:val="16"/>
              </w:rPr>
              <w:t> </w:t>
            </w:r>
          </w:p>
        </w:tc>
      </w:tr>
      <w:tr w:rsidR="00E3599D" w:rsidRPr="00E14102" w14:paraId="0A1B5C58"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58B2E5" w14:textId="77777777" w:rsidR="00CC5128" w:rsidRPr="00E14102" w:rsidRDefault="00CC5128" w:rsidP="00E14102">
            <w:pPr>
              <w:jc w:val="both"/>
              <w:rPr>
                <w:color w:val="000000" w:themeColor="text1"/>
                <w:sz w:val="16"/>
                <w:szCs w:val="16"/>
              </w:rPr>
            </w:pPr>
            <w:r w:rsidRPr="00E14102">
              <w:rPr>
                <w:color w:val="000000" w:themeColor="text1"/>
                <w:sz w:val="16"/>
                <w:szCs w:val="16"/>
              </w:rPr>
              <w:t>13. Хлор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3AFB7" w14:textId="77777777" w:rsidR="00CC5128" w:rsidRPr="00E14102" w:rsidRDefault="00CC5128" w:rsidP="00E14102">
            <w:pPr>
              <w:jc w:val="both"/>
              <w:rPr>
                <w:color w:val="000000" w:themeColor="text1"/>
                <w:sz w:val="16"/>
                <w:szCs w:val="16"/>
              </w:rPr>
            </w:pPr>
            <w:r w:rsidRPr="00E14102">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8E5FB" w14:textId="77777777" w:rsidR="00CC5128" w:rsidRPr="00E14102" w:rsidRDefault="00CC5128" w:rsidP="00E14102">
            <w:pPr>
              <w:jc w:val="both"/>
              <w:rPr>
                <w:color w:val="000000" w:themeColor="text1"/>
                <w:sz w:val="16"/>
                <w:szCs w:val="16"/>
              </w:rPr>
            </w:pPr>
            <w:r w:rsidRPr="00E14102">
              <w:rPr>
                <w:color w:val="000000" w:themeColor="text1"/>
                <w:sz w:val="16"/>
                <w:szCs w:val="16"/>
              </w:rPr>
              <w:t>16 000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BBA9A" w14:textId="77777777" w:rsidR="00CC5128" w:rsidRPr="00E14102" w:rsidRDefault="00CC5128" w:rsidP="00E14102">
            <w:pPr>
              <w:jc w:val="both"/>
              <w:rPr>
                <w:color w:val="000000" w:themeColor="text1"/>
                <w:sz w:val="16"/>
                <w:szCs w:val="16"/>
              </w:rPr>
            </w:pPr>
            <w:r w:rsidRPr="00E14102">
              <w:rPr>
                <w:color w:val="000000" w:themeColor="text1"/>
                <w:sz w:val="16"/>
                <w:szCs w:val="16"/>
              </w:rPr>
              <w:t>69 600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29FDA" w14:textId="77777777" w:rsidR="00CC5128" w:rsidRPr="00E14102" w:rsidRDefault="00CC5128" w:rsidP="00E14102">
            <w:pPr>
              <w:jc w:val="both"/>
              <w:rPr>
                <w:color w:val="000000" w:themeColor="text1"/>
                <w:sz w:val="16"/>
                <w:szCs w:val="16"/>
              </w:rPr>
            </w:pPr>
            <w:r w:rsidRPr="00E14102">
              <w:rPr>
                <w:color w:val="000000" w:themeColor="text1"/>
                <w:sz w:val="16"/>
                <w:szCs w:val="16"/>
              </w:rPr>
              <w:t> </w:t>
            </w:r>
          </w:p>
        </w:tc>
      </w:tr>
      <w:tr w:rsidR="00E3599D" w:rsidRPr="00E14102" w14:paraId="36A8CAFC"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B24FE5" w14:textId="77777777" w:rsidR="00CC5128" w:rsidRPr="00E14102" w:rsidRDefault="00CC5128" w:rsidP="00E14102">
            <w:pPr>
              <w:jc w:val="both"/>
              <w:rPr>
                <w:color w:val="000000" w:themeColor="text1"/>
                <w:sz w:val="16"/>
                <w:szCs w:val="16"/>
              </w:rPr>
            </w:pPr>
            <w:r w:rsidRPr="00E14102">
              <w:rPr>
                <w:color w:val="000000" w:themeColor="text1"/>
                <w:sz w:val="16"/>
                <w:szCs w:val="16"/>
              </w:rPr>
              <w:t>14. Аммиак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FD950" w14:textId="77777777" w:rsidR="00CC5128" w:rsidRPr="00E14102" w:rsidRDefault="00CC5128" w:rsidP="00E14102">
            <w:pPr>
              <w:jc w:val="both"/>
              <w:rPr>
                <w:color w:val="000000" w:themeColor="text1"/>
                <w:sz w:val="16"/>
                <w:szCs w:val="16"/>
              </w:rPr>
            </w:pPr>
            <w:r w:rsidRPr="00E14102">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092BA" w14:textId="77777777" w:rsidR="00CC5128" w:rsidRPr="00E14102" w:rsidRDefault="00CC5128" w:rsidP="00E14102">
            <w:pPr>
              <w:jc w:val="both"/>
              <w:rPr>
                <w:color w:val="000000" w:themeColor="text1"/>
                <w:sz w:val="16"/>
                <w:szCs w:val="16"/>
              </w:rPr>
            </w:pPr>
            <w:r w:rsidRPr="00E14102">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9BA0B" w14:textId="77777777" w:rsidR="00CC5128" w:rsidRPr="00E14102" w:rsidRDefault="00CC5128" w:rsidP="00E14102">
            <w:pPr>
              <w:jc w:val="both"/>
              <w:rPr>
                <w:color w:val="000000" w:themeColor="text1"/>
                <w:sz w:val="16"/>
                <w:szCs w:val="16"/>
              </w:rPr>
            </w:pPr>
            <w:r w:rsidRPr="00E14102">
              <w:rPr>
                <w:color w:val="000000" w:themeColor="text1"/>
                <w:sz w:val="16"/>
                <w:szCs w:val="16"/>
              </w:rPr>
              <w:t>171 000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314FC" w14:textId="77777777" w:rsidR="00CC5128" w:rsidRPr="00E14102" w:rsidRDefault="00CC5128" w:rsidP="00E14102">
            <w:pPr>
              <w:jc w:val="both"/>
              <w:rPr>
                <w:color w:val="000000" w:themeColor="text1"/>
                <w:sz w:val="16"/>
                <w:szCs w:val="16"/>
              </w:rPr>
            </w:pPr>
            <w:r w:rsidRPr="00E14102">
              <w:rPr>
                <w:color w:val="000000" w:themeColor="text1"/>
                <w:sz w:val="16"/>
                <w:szCs w:val="16"/>
              </w:rPr>
              <w:t> </w:t>
            </w:r>
          </w:p>
        </w:tc>
      </w:tr>
      <w:tr w:rsidR="00E3599D" w:rsidRPr="00E14102" w14:paraId="74A40CBA"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7FEB4F" w14:textId="77777777" w:rsidR="00CC5128" w:rsidRPr="00E14102" w:rsidRDefault="00CC5128" w:rsidP="00E14102">
            <w:pPr>
              <w:jc w:val="both"/>
              <w:rPr>
                <w:color w:val="000000" w:themeColor="text1"/>
                <w:sz w:val="16"/>
                <w:szCs w:val="16"/>
              </w:rPr>
            </w:pPr>
            <w:r w:rsidRPr="00E14102">
              <w:rPr>
                <w:color w:val="000000" w:themeColor="text1"/>
                <w:sz w:val="16"/>
                <w:szCs w:val="16"/>
              </w:rPr>
              <w:t>15. Хлор-известь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2ED4C" w14:textId="77777777" w:rsidR="00CC5128" w:rsidRPr="00E14102" w:rsidRDefault="00CC5128" w:rsidP="00E14102">
            <w:pPr>
              <w:jc w:val="both"/>
              <w:rPr>
                <w:color w:val="000000" w:themeColor="text1"/>
                <w:sz w:val="16"/>
                <w:szCs w:val="16"/>
              </w:rPr>
            </w:pPr>
            <w:r w:rsidRPr="00E14102">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64DE8" w14:textId="77777777" w:rsidR="00CC5128" w:rsidRPr="00E14102" w:rsidRDefault="00CC5128" w:rsidP="00E14102">
            <w:pPr>
              <w:jc w:val="both"/>
              <w:rPr>
                <w:color w:val="000000" w:themeColor="text1"/>
                <w:sz w:val="16"/>
                <w:szCs w:val="16"/>
              </w:rPr>
            </w:pPr>
            <w:r w:rsidRPr="00E14102">
              <w:rPr>
                <w:color w:val="000000" w:themeColor="text1"/>
                <w:sz w:val="16"/>
                <w:szCs w:val="16"/>
              </w:rPr>
              <w:t>41 300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79A32" w14:textId="77777777" w:rsidR="00CC5128" w:rsidRPr="00E14102" w:rsidRDefault="00CC5128" w:rsidP="00E14102">
            <w:pPr>
              <w:jc w:val="both"/>
              <w:rPr>
                <w:color w:val="000000" w:themeColor="text1"/>
                <w:sz w:val="16"/>
                <w:szCs w:val="16"/>
              </w:rPr>
            </w:pPr>
            <w:r w:rsidRPr="00E14102">
              <w:rPr>
                <w:color w:val="000000" w:themeColor="text1"/>
                <w:sz w:val="16"/>
                <w:szCs w:val="16"/>
              </w:rPr>
              <w:t>85 000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2132CA2" w14:textId="77777777" w:rsidR="00CC5128" w:rsidRPr="00E14102" w:rsidRDefault="00CC5128" w:rsidP="00E14102">
            <w:pPr>
              <w:jc w:val="both"/>
              <w:rPr>
                <w:color w:val="000000" w:themeColor="text1"/>
                <w:sz w:val="16"/>
                <w:szCs w:val="16"/>
              </w:rPr>
            </w:pPr>
            <w:r w:rsidRPr="00E14102">
              <w:rPr>
                <w:color w:val="000000" w:themeColor="text1"/>
                <w:sz w:val="16"/>
                <w:szCs w:val="16"/>
              </w:rPr>
              <w:t>Мощность на 1 января 1931 г.</w:t>
            </w:r>
          </w:p>
        </w:tc>
      </w:tr>
      <w:tr w:rsidR="00E3599D" w:rsidRPr="00E14102" w14:paraId="797B9BFF"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893F85" w14:textId="77777777" w:rsidR="00CC5128" w:rsidRPr="00E14102" w:rsidRDefault="00CC5128" w:rsidP="00E14102">
            <w:pPr>
              <w:jc w:val="both"/>
              <w:rPr>
                <w:color w:val="000000" w:themeColor="text1"/>
                <w:sz w:val="16"/>
                <w:szCs w:val="16"/>
              </w:rPr>
            </w:pPr>
            <w:r w:rsidRPr="00E14102">
              <w:rPr>
                <w:color w:val="000000" w:themeColor="text1"/>
                <w:sz w:val="16"/>
                <w:szCs w:val="16"/>
              </w:rPr>
              <w:t>16. Сера натуральная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6A636" w14:textId="77777777" w:rsidR="00CC5128" w:rsidRPr="00E14102" w:rsidRDefault="00CC5128" w:rsidP="00E14102">
            <w:pPr>
              <w:jc w:val="both"/>
              <w:rPr>
                <w:color w:val="000000" w:themeColor="text1"/>
                <w:sz w:val="16"/>
                <w:szCs w:val="16"/>
              </w:rPr>
            </w:pPr>
            <w:r w:rsidRPr="00E14102">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337BE" w14:textId="77777777" w:rsidR="00CC5128" w:rsidRPr="00E14102" w:rsidRDefault="00CC5128" w:rsidP="00E14102">
            <w:pPr>
              <w:jc w:val="both"/>
              <w:rPr>
                <w:color w:val="000000" w:themeColor="text1"/>
                <w:sz w:val="16"/>
                <w:szCs w:val="16"/>
              </w:rPr>
            </w:pPr>
            <w:r w:rsidRPr="00E14102">
              <w:rPr>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E2A7F" w14:textId="77777777" w:rsidR="00CC5128" w:rsidRPr="00E14102" w:rsidRDefault="00CC5128" w:rsidP="00E14102">
            <w:pPr>
              <w:jc w:val="both"/>
              <w:rPr>
                <w:color w:val="000000" w:themeColor="text1"/>
                <w:sz w:val="16"/>
                <w:szCs w:val="16"/>
              </w:rPr>
            </w:pPr>
            <w:r w:rsidRPr="00E14102">
              <w:rPr>
                <w:color w:val="000000" w:themeColor="text1"/>
                <w:sz w:val="16"/>
                <w:szCs w:val="16"/>
              </w:rPr>
              <w:t>32 000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5E12600" w14:textId="77777777" w:rsidR="00CC5128" w:rsidRPr="00E14102" w:rsidRDefault="00CC5128" w:rsidP="00E14102">
            <w:pPr>
              <w:jc w:val="both"/>
              <w:rPr>
                <w:color w:val="000000" w:themeColor="text1"/>
                <w:sz w:val="16"/>
                <w:szCs w:val="16"/>
              </w:rPr>
            </w:pPr>
          </w:p>
        </w:tc>
      </w:tr>
      <w:tr w:rsidR="00E3599D" w:rsidRPr="00E14102" w14:paraId="112983D7"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1C8937" w14:textId="77777777" w:rsidR="00CC5128" w:rsidRPr="00E14102" w:rsidRDefault="00CC5128" w:rsidP="00E14102">
            <w:pPr>
              <w:jc w:val="both"/>
              <w:rPr>
                <w:color w:val="000000" w:themeColor="text1"/>
                <w:sz w:val="16"/>
                <w:szCs w:val="16"/>
              </w:rPr>
            </w:pPr>
            <w:r w:rsidRPr="00E14102">
              <w:rPr>
                <w:color w:val="000000" w:themeColor="text1"/>
                <w:sz w:val="16"/>
                <w:szCs w:val="16"/>
              </w:rPr>
              <w:t>17. Олеум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8B4F5" w14:textId="77777777" w:rsidR="00CC5128" w:rsidRPr="00E14102" w:rsidRDefault="00CC5128" w:rsidP="00E14102">
            <w:pPr>
              <w:jc w:val="both"/>
              <w:rPr>
                <w:color w:val="000000" w:themeColor="text1"/>
                <w:sz w:val="16"/>
                <w:szCs w:val="16"/>
              </w:rPr>
            </w:pPr>
            <w:r w:rsidRPr="00E14102">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2FAC3" w14:textId="77777777" w:rsidR="00CC5128" w:rsidRPr="00E14102" w:rsidRDefault="00CC5128" w:rsidP="00E14102">
            <w:pPr>
              <w:jc w:val="both"/>
              <w:rPr>
                <w:color w:val="000000" w:themeColor="text1"/>
                <w:sz w:val="16"/>
                <w:szCs w:val="16"/>
              </w:rPr>
            </w:pPr>
            <w:r w:rsidRPr="00E14102">
              <w:rPr>
                <w:color w:val="000000" w:themeColor="text1"/>
                <w:sz w:val="16"/>
                <w:szCs w:val="16"/>
              </w:rPr>
              <w:t>185 600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AE9ED" w14:textId="77777777" w:rsidR="00CC5128" w:rsidRPr="00E14102" w:rsidRDefault="00CC5128" w:rsidP="00E14102">
            <w:pPr>
              <w:jc w:val="both"/>
              <w:rPr>
                <w:color w:val="000000" w:themeColor="text1"/>
                <w:sz w:val="16"/>
                <w:szCs w:val="16"/>
              </w:rPr>
            </w:pPr>
            <w:r w:rsidRPr="00E14102">
              <w:rPr>
                <w:color w:val="000000" w:themeColor="text1"/>
                <w:sz w:val="16"/>
                <w:szCs w:val="16"/>
              </w:rPr>
              <w:t>322 200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1CEFD5" w14:textId="77777777" w:rsidR="00CC5128" w:rsidRPr="00E14102" w:rsidRDefault="00CC5128" w:rsidP="00E14102">
            <w:pPr>
              <w:jc w:val="both"/>
              <w:rPr>
                <w:color w:val="000000" w:themeColor="text1"/>
                <w:sz w:val="16"/>
                <w:szCs w:val="16"/>
              </w:rPr>
            </w:pPr>
          </w:p>
        </w:tc>
      </w:tr>
    </w:tbl>
    <w:p w14:paraId="00B39132" w14:textId="77777777" w:rsidR="00CC5128" w:rsidRPr="00E14102" w:rsidRDefault="00CC5128" w:rsidP="00E14102">
      <w:pPr>
        <w:pStyle w:val="ad"/>
        <w:spacing w:before="0" w:after="0"/>
        <w:rPr>
          <w:rFonts w:ascii="Times New Roman" w:hAnsi="Times New Roman" w:cs="Times New Roman"/>
          <w:color w:val="000000" w:themeColor="text1"/>
          <w:sz w:val="16"/>
          <w:szCs w:val="16"/>
        </w:rPr>
      </w:pPr>
      <w:r w:rsidRPr="00E14102">
        <w:rPr>
          <w:rStyle w:val="a6"/>
          <w:rFonts w:ascii="Times New Roman" w:hAnsi="Times New Roman" w:cs="Times New Roman"/>
          <w:i w:val="0"/>
          <w:color w:val="000000" w:themeColor="text1"/>
          <w:sz w:val="16"/>
          <w:szCs w:val="16"/>
        </w:rPr>
        <w:t>Примечание</w:t>
      </w:r>
      <w:r w:rsidRPr="00E14102">
        <w:rPr>
          <w:rFonts w:ascii="Times New Roman" w:hAnsi="Times New Roman" w:cs="Times New Roman"/>
          <w:color w:val="000000" w:themeColor="text1"/>
          <w:sz w:val="16"/>
          <w:szCs w:val="16"/>
        </w:rPr>
        <w:t>:</w:t>
      </w:r>
    </w:p>
    <w:p w14:paraId="03D5E696" w14:textId="77777777" w:rsidR="00CC5128" w:rsidRPr="00E14102" w:rsidRDefault="00CC5128" w:rsidP="00E14102">
      <w:pPr>
        <w:pStyle w:val="rtejustify"/>
        <w:spacing w:before="0" w:after="0"/>
        <w:rPr>
          <w:color w:val="000000" w:themeColor="text1"/>
          <w:sz w:val="16"/>
          <w:szCs w:val="16"/>
        </w:rPr>
      </w:pPr>
      <w:r w:rsidRPr="00E14102">
        <w:rPr>
          <w:color w:val="000000" w:themeColor="text1"/>
          <w:sz w:val="16"/>
          <w:szCs w:val="16"/>
        </w:rPr>
        <w:t>¹* </w:t>
      </w:r>
      <w:r w:rsidRPr="00E14102">
        <w:rPr>
          <w:rStyle w:val="a6"/>
          <w:bCs/>
          <w:i w:val="0"/>
          <w:color w:val="000000" w:themeColor="text1"/>
          <w:sz w:val="16"/>
          <w:szCs w:val="16"/>
        </w:rPr>
        <w:t>VI съезд Советов СССР</w:t>
      </w:r>
      <w:r w:rsidRPr="00E14102">
        <w:rPr>
          <w:color w:val="000000" w:themeColor="text1"/>
          <w:sz w:val="16"/>
          <w:szCs w:val="16"/>
        </w:rPr>
        <w:t xml:space="preserve"> проходил с 8 по 17 марта 1931 г., </w:t>
      </w:r>
      <w:r w:rsidRPr="00E14102">
        <w:rPr>
          <w:rStyle w:val="a6"/>
          <w:bCs/>
          <w:i w:val="0"/>
          <w:color w:val="000000" w:themeColor="text1"/>
          <w:sz w:val="16"/>
          <w:szCs w:val="16"/>
        </w:rPr>
        <w:t>VII съезд Советов СССР</w:t>
      </w:r>
      <w:r w:rsidRPr="00E14102">
        <w:rPr>
          <w:color w:val="000000" w:themeColor="text1"/>
          <w:sz w:val="16"/>
          <w:szCs w:val="16"/>
        </w:rPr>
        <w:t xml:space="preserve"> состоялся с 28 января по 6 февраля 1935 г. За 4 года между VI и VII съездами Советов Союза ССР были завершены планы последних двух лет первой пятилетки и первых двух лет второй пятилетки. Отмечалось, что в целях укрепления обороноспособности СССР были проведены мероприятия по расширению и укреплению воздушных и морских сил, береговой обороны, по созданию мощных укрепленных районов на восточной и западной границах СССР. Новая усовершенствованная техника заняла в Красной армии преобладающее место. 50% армии составляли технические кадры. (Съезды Советов СССР в постановлениях и резолюциях. М., 1939.).</w:t>
      </w:r>
    </w:p>
    <w:p w14:paraId="3FFBBD8B" w14:textId="77777777" w:rsidR="00CC5128" w:rsidRPr="00E14102" w:rsidRDefault="00CC512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4372. Оп. 91. Д. 2189. Л. 34. Копия (15329).</w:t>
      </w:r>
    </w:p>
    <w:p w14:paraId="37A3538C" w14:textId="77777777" w:rsidR="00CC5128" w:rsidRPr="00E14102" w:rsidRDefault="00CC5128" w:rsidP="00E14102">
      <w:pPr>
        <w:jc w:val="both"/>
        <w:rPr>
          <w:bCs/>
          <w:color w:val="000000" w:themeColor="text1"/>
          <w:sz w:val="16"/>
          <w:szCs w:val="16"/>
        </w:rPr>
      </w:pPr>
    </w:p>
    <w:p w14:paraId="6E9970F4" w14:textId="77777777" w:rsidR="00A4709E" w:rsidRPr="00E14102" w:rsidRDefault="00A4709E" w:rsidP="00E14102">
      <w:pPr>
        <w:jc w:val="both"/>
        <w:rPr>
          <w:color w:val="0070C0"/>
          <w:sz w:val="16"/>
          <w:szCs w:val="16"/>
        </w:rPr>
      </w:pPr>
      <w:r w:rsidRPr="00E14102">
        <w:rPr>
          <w:color w:val="0070C0"/>
          <w:sz w:val="16"/>
          <w:szCs w:val="16"/>
        </w:rPr>
        <w:t>16 января 1935 опросом членов ПБ</w:t>
      </w:r>
    </w:p>
    <w:p w14:paraId="0F8F298B" w14:textId="77777777" w:rsidR="00A4709E" w:rsidRPr="00E14102" w:rsidRDefault="00A4709E" w:rsidP="00E14102">
      <w:pPr>
        <w:jc w:val="both"/>
        <w:rPr>
          <w:color w:val="0070C0"/>
          <w:sz w:val="16"/>
          <w:szCs w:val="16"/>
        </w:rPr>
      </w:pPr>
      <w:r w:rsidRPr="00E14102">
        <w:rPr>
          <w:color w:val="0070C0"/>
          <w:sz w:val="16"/>
          <w:szCs w:val="16"/>
        </w:rPr>
        <w:t>57,- О заказах в Италии.</w:t>
      </w:r>
    </w:p>
    <w:p w14:paraId="0239785D" w14:textId="77777777" w:rsidR="00A4709E" w:rsidRPr="00E14102" w:rsidRDefault="00A4709E" w:rsidP="00E14102">
      <w:pPr>
        <w:jc w:val="both"/>
        <w:rPr>
          <w:color w:val="0070C0"/>
          <w:sz w:val="16"/>
          <w:szCs w:val="16"/>
        </w:rPr>
      </w:pPr>
      <w:r w:rsidRPr="00E14102">
        <w:rPr>
          <w:color w:val="0070C0"/>
          <w:sz w:val="16"/>
          <w:szCs w:val="16"/>
        </w:rPr>
        <w:t>Утвердить следующее решение СТО:</w:t>
      </w:r>
    </w:p>
    <w:p w14:paraId="71CB4A78" w14:textId="77777777" w:rsidR="00A4709E" w:rsidRPr="00E14102" w:rsidRDefault="00A4709E" w:rsidP="00E14102">
      <w:pPr>
        <w:jc w:val="both"/>
        <w:rPr>
          <w:color w:val="0070C0"/>
          <w:sz w:val="16"/>
          <w:szCs w:val="16"/>
        </w:rPr>
      </w:pPr>
      <w:r w:rsidRPr="00E14102">
        <w:rPr>
          <w:color w:val="0070C0"/>
          <w:sz w:val="16"/>
          <w:szCs w:val="16"/>
        </w:rPr>
        <w:t>Командировать в Италию для проведения консультации разработанного ЦКБС-1 (Главморпром) проекта крейсера у итальянской фирмы Ансальдо следующую группу морских спе</w:t>
      </w:r>
      <w:r w:rsidRPr="00E14102">
        <w:rPr>
          <w:color w:val="0070C0"/>
          <w:sz w:val="16"/>
          <w:szCs w:val="16"/>
        </w:rPr>
        <w:softHyphen/>
        <w:t>циалистов.</w:t>
      </w:r>
    </w:p>
    <w:p w14:paraId="1EF4D0C3" w14:textId="77777777" w:rsidR="00A4709E" w:rsidRPr="00E14102" w:rsidRDefault="00A4709E" w:rsidP="00E14102">
      <w:pPr>
        <w:jc w:val="both"/>
        <w:rPr>
          <w:color w:val="0070C0"/>
          <w:sz w:val="16"/>
          <w:szCs w:val="16"/>
        </w:rPr>
      </w:pPr>
      <w:r w:rsidRPr="00E14102">
        <w:rPr>
          <w:color w:val="0070C0"/>
          <w:sz w:val="16"/>
          <w:szCs w:val="16"/>
        </w:rPr>
        <w:t>1) МАСЛОВА А.И. - главного проектанта крейсера,</w:t>
      </w:r>
    </w:p>
    <w:p w14:paraId="30F99A4A" w14:textId="77777777" w:rsidR="00A4709E" w:rsidRPr="00E14102" w:rsidRDefault="00A4709E" w:rsidP="00E14102">
      <w:pPr>
        <w:jc w:val="both"/>
        <w:rPr>
          <w:color w:val="0070C0"/>
          <w:sz w:val="16"/>
          <w:szCs w:val="16"/>
        </w:rPr>
      </w:pPr>
      <w:r w:rsidRPr="00E14102">
        <w:rPr>
          <w:color w:val="0070C0"/>
          <w:sz w:val="16"/>
          <w:szCs w:val="16"/>
        </w:rPr>
        <w:t>2) ШОПОВА В.Ф. - технического директора Балтийского завода, ответственного за постройку первого крейсера.</w:t>
      </w:r>
    </w:p>
    <w:p w14:paraId="72A0CD5D" w14:textId="77777777" w:rsidR="00A4709E" w:rsidRPr="00E14102" w:rsidRDefault="00A4709E" w:rsidP="00E14102">
      <w:pPr>
        <w:jc w:val="both"/>
        <w:rPr>
          <w:color w:val="0070C0"/>
          <w:sz w:val="16"/>
          <w:szCs w:val="16"/>
        </w:rPr>
      </w:pPr>
      <w:r w:rsidRPr="00E14102">
        <w:rPr>
          <w:color w:val="0070C0"/>
          <w:sz w:val="16"/>
          <w:szCs w:val="16"/>
        </w:rPr>
        <w:t>3) БОМЗЕ Р.М. - корабельного инженера, представите</w:t>
      </w:r>
      <w:r w:rsidRPr="00E14102">
        <w:rPr>
          <w:color w:val="0070C0"/>
          <w:sz w:val="16"/>
          <w:szCs w:val="16"/>
        </w:rPr>
        <w:softHyphen/>
        <w:t>ля Управления морских сил.</w:t>
      </w:r>
    </w:p>
    <w:p w14:paraId="1DF369BD" w14:textId="77777777" w:rsidR="00A4709E" w:rsidRPr="00E14102" w:rsidRDefault="00A4709E" w:rsidP="00E14102">
      <w:pPr>
        <w:jc w:val="both"/>
        <w:rPr>
          <w:color w:val="0070C0"/>
          <w:sz w:val="16"/>
          <w:szCs w:val="16"/>
        </w:rPr>
      </w:pPr>
      <w:r w:rsidRPr="00E14102">
        <w:rPr>
          <w:color w:val="0070C0"/>
          <w:sz w:val="16"/>
          <w:szCs w:val="16"/>
        </w:rPr>
        <w:t>4) АЛЕКСЕ ЕВА Н.Ф. - инженера-конструктора, помощника главного просктировщика крейсера.</w:t>
      </w:r>
    </w:p>
    <w:p w14:paraId="1E2C425E" w14:textId="77777777" w:rsidR="00A4709E" w:rsidRPr="00E14102" w:rsidRDefault="00A4709E" w:rsidP="00E14102">
      <w:pPr>
        <w:jc w:val="both"/>
        <w:rPr>
          <w:color w:val="0070C0"/>
          <w:sz w:val="16"/>
          <w:szCs w:val="16"/>
        </w:rPr>
      </w:pPr>
      <w:r w:rsidRPr="00E14102">
        <w:rPr>
          <w:color w:val="0070C0"/>
          <w:sz w:val="16"/>
          <w:szCs w:val="16"/>
        </w:rPr>
        <w:t>Выписки посланы: т .т. Базиле вину, Ворошилову, Мирошникову, Артузову, Броуну</w:t>
      </w:r>
    </w:p>
    <w:p w14:paraId="22FAC74C" w14:textId="77777777" w:rsidR="00A4709E" w:rsidRPr="00E14102" w:rsidRDefault="00A4709E" w:rsidP="00E14102">
      <w:pPr>
        <w:jc w:val="both"/>
        <w:rPr>
          <w:color w:val="0070C0"/>
          <w:sz w:val="16"/>
          <w:szCs w:val="16"/>
        </w:rPr>
      </w:pPr>
      <w:r w:rsidRPr="00E14102">
        <w:rPr>
          <w:color w:val="0070C0"/>
          <w:sz w:val="16"/>
          <w:szCs w:val="16"/>
        </w:rPr>
        <w:t>72.- Вопрос т. Ворошилова.</w:t>
      </w:r>
    </w:p>
    <w:p w14:paraId="09BC7C77" w14:textId="77777777" w:rsidR="00A4709E" w:rsidRPr="00E14102" w:rsidRDefault="00A4709E" w:rsidP="00E14102">
      <w:pPr>
        <w:jc w:val="both"/>
        <w:rPr>
          <w:color w:val="0070C0"/>
          <w:sz w:val="16"/>
          <w:szCs w:val="16"/>
        </w:rPr>
      </w:pPr>
      <w:r w:rsidRPr="00E14102">
        <w:rPr>
          <w:color w:val="0070C0"/>
          <w:sz w:val="16"/>
          <w:szCs w:val="16"/>
        </w:rPr>
        <w:t>Принять следующее предложение т. Ворошилова:</w:t>
      </w:r>
    </w:p>
    <w:p w14:paraId="1EFF8A25" w14:textId="77777777" w:rsidR="00A4709E" w:rsidRPr="00E14102" w:rsidRDefault="00A4709E" w:rsidP="00E14102">
      <w:pPr>
        <w:jc w:val="both"/>
        <w:rPr>
          <w:color w:val="0070C0"/>
          <w:sz w:val="16"/>
          <w:szCs w:val="16"/>
        </w:rPr>
      </w:pPr>
      <w:r w:rsidRPr="00E14102">
        <w:rPr>
          <w:color w:val="0070C0"/>
          <w:sz w:val="16"/>
          <w:szCs w:val="16"/>
        </w:rPr>
        <w:t>Считая прилет к нам американской эскадрильи целе</w:t>
      </w:r>
      <w:r w:rsidRPr="00E14102">
        <w:rPr>
          <w:color w:val="0070C0"/>
          <w:sz w:val="16"/>
          <w:szCs w:val="16"/>
        </w:rPr>
        <w:softHyphen/>
        <w:t>сообразным, разрешить НКОборони дать Фэймонвиллу поло</w:t>
      </w:r>
      <w:r w:rsidRPr="00E14102">
        <w:rPr>
          <w:color w:val="0070C0"/>
          <w:sz w:val="16"/>
          <w:szCs w:val="16"/>
        </w:rPr>
        <w:softHyphen/>
        <w:t>жительный ответ, указав, однако, на его неофициальность</w:t>
      </w:r>
    </w:p>
    <w:p w14:paraId="4C6367A9" w14:textId="77777777" w:rsidR="00A4709E" w:rsidRPr="00E14102" w:rsidRDefault="00A4709E" w:rsidP="00E14102">
      <w:pPr>
        <w:jc w:val="both"/>
        <w:rPr>
          <w:color w:val="0070C0"/>
          <w:sz w:val="16"/>
          <w:szCs w:val="16"/>
        </w:rPr>
      </w:pPr>
      <w:r w:rsidRPr="00E14102">
        <w:rPr>
          <w:color w:val="0070C0"/>
          <w:sz w:val="16"/>
          <w:szCs w:val="16"/>
        </w:rPr>
        <w:t>Выписка послана: тов.Ворошилову.</w:t>
      </w:r>
    </w:p>
    <w:p w14:paraId="1C8C9D68" w14:textId="77777777" w:rsidR="00A4709E" w:rsidRPr="00E14102" w:rsidRDefault="00A4709E" w:rsidP="00E14102">
      <w:pPr>
        <w:jc w:val="both"/>
        <w:rPr>
          <w:color w:val="0070C0"/>
          <w:sz w:val="16"/>
          <w:szCs w:val="16"/>
        </w:rPr>
      </w:pPr>
      <w:r w:rsidRPr="00E14102">
        <w:rPr>
          <w:color w:val="0070C0"/>
          <w:sz w:val="16"/>
          <w:szCs w:val="16"/>
        </w:rPr>
        <w:t>30 января 1935 состоялось заседание ПБ и подписан протокол № 20 за 4-30 января (22925).</w:t>
      </w:r>
    </w:p>
    <w:p w14:paraId="597F5E8B" w14:textId="77777777" w:rsidR="00A4709E" w:rsidRPr="00E14102" w:rsidRDefault="00A4709E" w:rsidP="00E14102">
      <w:pPr>
        <w:jc w:val="both"/>
        <w:rPr>
          <w:color w:val="0070C0"/>
          <w:sz w:val="16"/>
          <w:szCs w:val="16"/>
        </w:rPr>
      </w:pPr>
    </w:p>
    <w:p w14:paraId="0FC8F87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BF13943" w14:textId="77777777" w:rsidR="00D4105E" w:rsidRPr="00E14102" w:rsidRDefault="00D4105E" w:rsidP="00E14102">
      <w:pPr>
        <w:autoSpaceDE w:val="0"/>
        <w:autoSpaceDN w:val="0"/>
        <w:adjustRightInd w:val="0"/>
        <w:jc w:val="both"/>
        <w:rPr>
          <w:iCs/>
          <w:color w:val="000000" w:themeColor="text1"/>
          <w:sz w:val="16"/>
          <w:szCs w:val="16"/>
        </w:rPr>
      </w:pPr>
    </w:p>
    <w:p w14:paraId="602E8A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января 1935 в Москве закончился процесс по делу "Московского центра" (3481).</w:t>
      </w:r>
    </w:p>
    <w:p w14:paraId="74758560" w14:textId="77777777" w:rsidR="00D4105E" w:rsidRPr="00E14102" w:rsidRDefault="00D4105E" w:rsidP="00E14102">
      <w:pPr>
        <w:autoSpaceDE w:val="0"/>
        <w:autoSpaceDN w:val="0"/>
        <w:adjustRightInd w:val="0"/>
        <w:jc w:val="both"/>
        <w:rPr>
          <w:color w:val="000000" w:themeColor="text1"/>
          <w:sz w:val="16"/>
          <w:szCs w:val="16"/>
        </w:rPr>
      </w:pPr>
    </w:p>
    <w:p w14:paraId="5B8AA3F7" w14:textId="77777777" w:rsidR="00CC5128" w:rsidRPr="00E14102" w:rsidRDefault="00CC5128" w:rsidP="00E14102">
      <w:pPr>
        <w:jc w:val="both"/>
        <w:rPr>
          <w:color w:val="000000" w:themeColor="text1"/>
          <w:sz w:val="16"/>
          <w:szCs w:val="16"/>
        </w:rPr>
      </w:pPr>
      <w:r w:rsidRPr="00E14102">
        <w:rPr>
          <w:bCs/>
          <w:color w:val="000000" w:themeColor="text1"/>
          <w:sz w:val="16"/>
          <w:szCs w:val="16"/>
        </w:rPr>
        <w:t>16 января</w:t>
      </w:r>
      <w:r w:rsidRPr="00E14102">
        <w:rPr>
          <w:color w:val="000000" w:themeColor="text1"/>
          <w:sz w:val="16"/>
          <w:szCs w:val="16"/>
        </w:rPr>
        <w:t xml:space="preserve"> в 1935 году закончился закрытый процесс над членами так называемого Московского троцкистского центра. Бывшие члены Политбюро Григорий Зиновьев и Лев Каменев берут на себя "моральную ответственность" за убийство Сергея Кирова и приговариваются соответственно к 10 и к 5 годам тюрьмы. Полтора года спустя, в августе 1936 года, по обвинениям в заговоре с целью захвата власти и убийстве Кирова их приговорят к смертной казни и расстреляют (15011).</w:t>
      </w:r>
    </w:p>
    <w:p w14:paraId="70C130BD" w14:textId="77777777" w:rsidR="00CC5128" w:rsidRPr="00E14102" w:rsidRDefault="00CC5128" w:rsidP="00E14102">
      <w:pPr>
        <w:jc w:val="both"/>
        <w:rPr>
          <w:color w:val="000000" w:themeColor="text1"/>
          <w:sz w:val="16"/>
          <w:szCs w:val="16"/>
        </w:rPr>
      </w:pPr>
    </w:p>
    <w:p w14:paraId="3E77C616" w14:textId="77777777" w:rsidR="00FA4EE1" w:rsidRPr="00E14102" w:rsidRDefault="00FA4EE1"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января 1935 в связи с “моральной ответственностью” за убийство Кирова Зиновьев приговорен к десяти годам тюрьмы, Каменев - к пяти (4962).</w:t>
      </w:r>
    </w:p>
    <w:p w14:paraId="13F7048D" w14:textId="77777777" w:rsidR="00FA4EE1" w:rsidRPr="00E14102" w:rsidRDefault="00FA4EE1" w:rsidP="00E14102">
      <w:pPr>
        <w:tabs>
          <w:tab w:val="left" w:pos="11199"/>
        </w:tabs>
        <w:autoSpaceDE w:val="0"/>
        <w:autoSpaceDN w:val="0"/>
        <w:adjustRightInd w:val="0"/>
        <w:jc w:val="both"/>
        <w:rPr>
          <w:color w:val="000000" w:themeColor="text1"/>
          <w:sz w:val="16"/>
          <w:szCs w:val="16"/>
        </w:rPr>
      </w:pPr>
    </w:p>
    <w:p w14:paraId="06763E70" w14:textId="77777777" w:rsidR="00FA4EE1" w:rsidRPr="00E14102" w:rsidRDefault="00FA4EE1" w:rsidP="00E14102">
      <w:pPr>
        <w:jc w:val="both"/>
        <w:rPr>
          <w:color w:val="000000" w:themeColor="text1"/>
          <w:sz w:val="16"/>
          <w:szCs w:val="16"/>
          <w:shd w:val="clear" w:color="auto" w:fill="FFFFFF"/>
        </w:rPr>
      </w:pPr>
      <w:r w:rsidRPr="00E14102">
        <w:rPr>
          <w:color w:val="000000" w:themeColor="text1"/>
          <w:sz w:val="16"/>
          <w:szCs w:val="16"/>
          <w:shd w:val="clear" w:color="auto" w:fill="FFFFFF"/>
        </w:rPr>
        <w:t>16 января 1935 г. Докладная записка ЦУНХУ Госплана в СНК СССР о распределении доходов в колхозах в 1934 г.</w:t>
      </w:r>
    </w:p>
    <w:p w14:paraId="0145FE6C" w14:textId="77777777" w:rsidR="00FA4EE1" w:rsidRPr="00E14102" w:rsidRDefault="00FA4EE1" w:rsidP="00E14102">
      <w:pPr>
        <w:jc w:val="both"/>
        <w:rPr>
          <w:color w:val="000000" w:themeColor="text1"/>
          <w:sz w:val="16"/>
          <w:szCs w:val="16"/>
          <w:shd w:val="clear" w:color="auto" w:fill="FFFFFF"/>
        </w:rPr>
      </w:pPr>
      <w:r w:rsidRPr="00E14102">
        <w:rPr>
          <w:color w:val="000000" w:themeColor="text1"/>
          <w:sz w:val="16"/>
          <w:szCs w:val="16"/>
          <w:shd w:val="clear" w:color="auto" w:fill="FFFFFF"/>
        </w:rPr>
        <w:t>В 1934г. обследовано 83 тыс.колхозов РСФСР, УССР и БССР. Получено денег на трудодень на колхозный двор:</w:t>
      </w:r>
    </w:p>
    <w:p w14:paraId="753E1D65" w14:textId="77777777" w:rsidR="00FA4EE1" w:rsidRPr="00E14102" w:rsidRDefault="00FA4EE1" w:rsidP="00E14102">
      <w:pPr>
        <w:jc w:val="both"/>
        <w:rPr>
          <w:color w:val="000000" w:themeColor="text1"/>
          <w:sz w:val="16"/>
          <w:szCs w:val="16"/>
          <w:shd w:val="clear" w:color="auto" w:fill="FFFFFF"/>
        </w:rPr>
      </w:pPr>
      <w:r w:rsidRPr="00E14102">
        <w:rPr>
          <w:color w:val="000000" w:themeColor="text1"/>
          <w:sz w:val="16"/>
          <w:szCs w:val="16"/>
          <w:shd w:val="clear" w:color="auto" w:fill="FFFFFF"/>
        </w:rPr>
        <w:t>1932 - 88 руб. (7,33 руб./мес.)</w:t>
      </w:r>
    </w:p>
    <w:p w14:paraId="6AFA9351" w14:textId="77777777" w:rsidR="00FA4EE1" w:rsidRPr="00E14102" w:rsidRDefault="00FA4EE1" w:rsidP="00E14102">
      <w:pPr>
        <w:jc w:val="both"/>
        <w:rPr>
          <w:color w:val="000000" w:themeColor="text1"/>
          <w:sz w:val="16"/>
          <w:szCs w:val="16"/>
          <w:shd w:val="clear" w:color="auto" w:fill="FFFFFF"/>
        </w:rPr>
      </w:pPr>
      <w:r w:rsidRPr="00E14102">
        <w:rPr>
          <w:color w:val="000000" w:themeColor="text1"/>
          <w:sz w:val="16"/>
          <w:szCs w:val="16"/>
          <w:shd w:val="clear" w:color="auto" w:fill="FFFFFF"/>
        </w:rPr>
        <w:t>1933 - 103 руб. (8,58 руб./мес.)</w:t>
      </w:r>
    </w:p>
    <w:p w14:paraId="29F277E6" w14:textId="77777777" w:rsidR="00FA4EE1" w:rsidRPr="00E14102" w:rsidRDefault="00FA4EE1" w:rsidP="00E14102">
      <w:pPr>
        <w:jc w:val="both"/>
        <w:rPr>
          <w:color w:val="000000" w:themeColor="text1"/>
          <w:sz w:val="16"/>
          <w:szCs w:val="16"/>
          <w:shd w:val="clear" w:color="auto" w:fill="FFFFFF"/>
        </w:rPr>
      </w:pPr>
      <w:r w:rsidRPr="00E14102">
        <w:rPr>
          <w:color w:val="000000" w:themeColor="text1"/>
          <w:sz w:val="16"/>
          <w:szCs w:val="16"/>
          <w:shd w:val="clear" w:color="auto" w:fill="FFFFFF"/>
        </w:rPr>
        <w:t>1934г. - 129 руб. (10,75 руб./мес.)</w:t>
      </w:r>
    </w:p>
    <w:p w14:paraId="55EE7491" w14:textId="77777777" w:rsidR="00FA4EE1" w:rsidRPr="00E14102" w:rsidRDefault="00FA4EE1" w:rsidP="00E14102">
      <w:pPr>
        <w:jc w:val="both"/>
        <w:rPr>
          <w:color w:val="000000" w:themeColor="text1"/>
          <w:sz w:val="16"/>
          <w:szCs w:val="16"/>
          <w:shd w:val="clear" w:color="auto" w:fill="FFFFFF"/>
        </w:rPr>
      </w:pPr>
      <w:r w:rsidRPr="00E14102">
        <w:rPr>
          <w:color w:val="000000" w:themeColor="text1"/>
          <w:sz w:val="16"/>
          <w:szCs w:val="16"/>
          <w:shd w:val="clear" w:color="auto" w:fill="FFFFFF"/>
        </w:rPr>
        <w:t>Получено зерна на трудодень:</w:t>
      </w:r>
    </w:p>
    <w:p w14:paraId="37FAB97D" w14:textId="77777777" w:rsidR="00FA4EE1" w:rsidRPr="00E14102" w:rsidRDefault="00FA4EE1" w:rsidP="00E14102">
      <w:pPr>
        <w:jc w:val="both"/>
        <w:rPr>
          <w:color w:val="000000" w:themeColor="text1"/>
          <w:sz w:val="16"/>
          <w:szCs w:val="16"/>
          <w:shd w:val="clear" w:color="auto" w:fill="FFFFFF"/>
        </w:rPr>
      </w:pPr>
      <w:r w:rsidRPr="00E14102">
        <w:rPr>
          <w:color w:val="000000" w:themeColor="text1"/>
          <w:sz w:val="16"/>
          <w:szCs w:val="16"/>
          <w:shd w:val="clear" w:color="auto" w:fill="FFFFFF"/>
        </w:rPr>
        <w:t>1932 - 5,5 кг</w:t>
      </w:r>
    </w:p>
    <w:p w14:paraId="28AACFF2" w14:textId="77777777" w:rsidR="00FA4EE1" w:rsidRPr="00E14102" w:rsidRDefault="00FA4EE1" w:rsidP="00E14102">
      <w:pPr>
        <w:jc w:val="both"/>
        <w:rPr>
          <w:color w:val="000000" w:themeColor="text1"/>
          <w:sz w:val="16"/>
          <w:szCs w:val="16"/>
          <w:shd w:val="clear" w:color="auto" w:fill="FFFFFF"/>
        </w:rPr>
      </w:pPr>
      <w:r w:rsidRPr="00E14102">
        <w:rPr>
          <w:color w:val="000000" w:themeColor="text1"/>
          <w:sz w:val="16"/>
          <w:szCs w:val="16"/>
          <w:shd w:val="clear" w:color="auto" w:fill="FFFFFF"/>
        </w:rPr>
        <w:t>1933 - 9,83 кг</w:t>
      </w:r>
    </w:p>
    <w:p w14:paraId="3BF84118" w14:textId="77777777" w:rsidR="00FA4EE1" w:rsidRPr="00E14102" w:rsidRDefault="00FA4EE1" w:rsidP="00E14102">
      <w:pPr>
        <w:jc w:val="both"/>
        <w:rPr>
          <w:color w:val="000000" w:themeColor="text1"/>
          <w:sz w:val="16"/>
          <w:szCs w:val="16"/>
          <w:shd w:val="clear" w:color="auto" w:fill="FFFFFF"/>
        </w:rPr>
      </w:pPr>
      <w:r w:rsidRPr="00E14102">
        <w:rPr>
          <w:color w:val="000000" w:themeColor="text1"/>
          <w:sz w:val="16"/>
          <w:szCs w:val="16"/>
          <w:shd w:val="clear" w:color="auto" w:fill="FFFFFF"/>
        </w:rPr>
        <w:t>1934 - 10,92 кг</w:t>
      </w:r>
    </w:p>
    <w:p w14:paraId="3DE608D1" w14:textId="77777777" w:rsidR="00FA4EE1" w:rsidRPr="00E14102" w:rsidRDefault="00FA4EE1" w:rsidP="00E14102">
      <w:pPr>
        <w:jc w:val="both"/>
        <w:rPr>
          <w:color w:val="000000" w:themeColor="text1"/>
          <w:sz w:val="16"/>
          <w:szCs w:val="16"/>
        </w:rPr>
      </w:pPr>
      <w:r w:rsidRPr="00E14102">
        <w:rPr>
          <w:color w:val="000000" w:themeColor="text1"/>
          <w:sz w:val="16"/>
          <w:szCs w:val="16"/>
          <w:shd w:val="clear" w:color="auto" w:fill="FFFFFF"/>
        </w:rPr>
        <w:t>И. о. начальника ЦУНХУ Госплана СССР Краваль.(19639).</w:t>
      </w:r>
    </w:p>
    <w:p w14:paraId="3CECFE43" w14:textId="77777777" w:rsidR="00FA4EE1" w:rsidRPr="00E14102" w:rsidRDefault="00FA4EE1" w:rsidP="00E14102">
      <w:pPr>
        <w:jc w:val="both"/>
        <w:rPr>
          <w:color w:val="000000" w:themeColor="text1"/>
          <w:sz w:val="16"/>
          <w:szCs w:val="16"/>
        </w:rPr>
      </w:pPr>
    </w:p>
    <w:p w14:paraId="6AE31CF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5DC0F25" w14:textId="77777777" w:rsidR="00D4105E" w:rsidRPr="00E14102" w:rsidRDefault="00D4105E" w:rsidP="00E14102">
      <w:pPr>
        <w:autoSpaceDE w:val="0"/>
        <w:autoSpaceDN w:val="0"/>
        <w:adjustRightInd w:val="0"/>
        <w:jc w:val="both"/>
        <w:rPr>
          <w:iCs/>
          <w:color w:val="000000" w:themeColor="text1"/>
          <w:sz w:val="16"/>
          <w:szCs w:val="16"/>
        </w:rPr>
      </w:pPr>
    </w:p>
    <w:p w14:paraId="063DD4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17-18 января 1935 в Москве состоялась Всесоюзная конференция АВИАВНИТО по физиологии высотного полета и обеспечению жизни и работоспособности стратонавтов (438,679).</w:t>
      </w:r>
    </w:p>
    <w:p w14:paraId="0D099A8E" w14:textId="77777777" w:rsidR="00D4105E" w:rsidRPr="00E14102" w:rsidRDefault="00D4105E" w:rsidP="00E14102">
      <w:pPr>
        <w:autoSpaceDE w:val="0"/>
        <w:autoSpaceDN w:val="0"/>
        <w:adjustRightInd w:val="0"/>
        <w:jc w:val="both"/>
        <w:rPr>
          <w:color w:val="000000" w:themeColor="text1"/>
          <w:sz w:val="16"/>
          <w:szCs w:val="16"/>
        </w:rPr>
      </w:pPr>
    </w:p>
    <w:p w14:paraId="447B03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января 1935 на техническом совещании II отдела РНИИ И.Т. Клейменов предложил сократить работы по автоматам управления в связи с сокращением средств. Реплика СПК: "Торпеды не могут летать без автоматов" (Там же, л. 2) (10676).</w:t>
      </w:r>
    </w:p>
    <w:p w14:paraId="3E326A77" w14:textId="77777777" w:rsidR="00D4105E" w:rsidRPr="00E14102" w:rsidRDefault="00D4105E" w:rsidP="00E14102">
      <w:pPr>
        <w:autoSpaceDE w:val="0"/>
        <w:autoSpaceDN w:val="0"/>
        <w:adjustRightInd w:val="0"/>
        <w:jc w:val="both"/>
        <w:rPr>
          <w:color w:val="000000" w:themeColor="text1"/>
          <w:sz w:val="16"/>
          <w:szCs w:val="16"/>
        </w:rPr>
      </w:pPr>
    </w:p>
    <w:p w14:paraId="2F2B1A4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39C7887" w14:textId="77777777" w:rsidR="00D4105E" w:rsidRPr="00E14102" w:rsidRDefault="00D4105E" w:rsidP="00E14102">
      <w:pPr>
        <w:autoSpaceDE w:val="0"/>
        <w:autoSpaceDN w:val="0"/>
        <w:adjustRightInd w:val="0"/>
        <w:jc w:val="both"/>
        <w:rPr>
          <w:iCs/>
          <w:color w:val="000000" w:themeColor="text1"/>
          <w:sz w:val="16"/>
          <w:szCs w:val="16"/>
        </w:rPr>
      </w:pPr>
    </w:p>
    <w:p w14:paraId="44C89F3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17 января 1935 на следующий день после приговора Зиновьеву и Каменеву Центральный Комитет рассылает во все партийные организации секретный циркуляр, озаглавленный: "Уроки событий, связанных с подлым убийством товарища Кирова". В этом тексте говорилось о существовании заговора, руководимого "двумя зиновьевскими центрами"..., которые на самом деле "являются замаскированной формой белогвардейской организации", и напоминалось, что история партии была и остается постоянной борьбой с "антипартийными группами": троцкистов, демократических центристов, правых и левых уклонистов, а также их последышей и т.п. Под подозрение попадают все те, кто когда бы то ни было высказывался против сталинской линии. Охота на бывших оппозиционеров усилилась (6804).</w:t>
      </w:r>
    </w:p>
    <w:p w14:paraId="5F92034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F95DC37" w14:textId="77777777" w:rsidR="00A55C5F" w:rsidRPr="00E14102" w:rsidRDefault="00A55C5F"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17 января 1935 года</w:t>
      </w:r>
      <w:r w:rsidRPr="00E14102">
        <w:rPr>
          <w:bCs/>
          <w:color w:val="000000" w:themeColor="text1"/>
          <w:sz w:val="16"/>
          <w:szCs w:val="16"/>
        </w:rPr>
        <w:t xml:space="preserve"> Г.Ягода писал Сталину о «политической нежелательности» возвращения восстановленных в гражданских правах трудпоселенцев в места, откуда они были выселены. При этом он предлагал внести уточнение о том, что восстановление в правах не подразумевает права выезда из мест вселения (17328).</w:t>
      </w:r>
    </w:p>
    <w:p w14:paraId="332E271D" w14:textId="77777777" w:rsidR="00A55C5F" w:rsidRPr="00E14102" w:rsidRDefault="00A55C5F" w:rsidP="00E14102">
      <w:pPr>
        <w:tabs>
          <w:tab w:val="left" w:pos="11199"/>
        </w:tabs>
        <w:autoSpaceDE w:val="0"/>
        <w:autoSpaceDN w:val="0"/>
        <w:adjustRightInd w:val="0"/>
        <w:jc w:val="both"/>
        <w:rPr>
          <w:color w:val="000000" w:themeColor="text1"/>
          <w:sz w:val="16"/>
          <w:szCs w:val="16"/>
        </w:rPr>
      </w:pPr>
    </w:p>
    <w:p w14:paraId="0C9F443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5082900" w14:textId="77777777" w:rsidR="00D4105E" w:rsidRPr="00E14102" w:rsidRDefault="00D4105E" w:rsidP="00E14102">
      <w:pPr>
        <w:autoSpaceDE w:val="0"/>
        <w:autoSpaceDN w:val="0"/>
        <w:adjustRightInd w:val="0"/>
        <w:jc w:val="both"/>
        <w:rPr>
          <w:iCs/>
          <w:color w:val="000000" w:themeColor="text1"/>
          <w:sz w:val="16"/>
          <w:szCs w:val="16"/>
        </w:rPr>
      </w:pPr>
    </w:p>
    <w:p w14:paraId="3519C1FD" w14:textId="77777777" w:rsidR="003224AB" w:rsidRPr="00E14102" w:rsidRDefault="003224AB" w:rsidP="00E14102">
      <w:pPr>
        <w:jc w:val="both"/>
        <w:rPr>
          <w:color w:val="000000" w:themeColor="text1"/>
          <w:sz w:val="16"/>
          <w:szCs w:val="16"/>
        </w:rPr>
      </w:pPr>
      <w:r w:rsidRPr="00E14102">
        <w:rPr>
          <w:bCs/>
          <w:color w:val="000000" w:themeColor="text1"/>
          <w:sz w:val="16"/>
          <w:szCs w:val="16"/>
        </w:rPr>
        <w:t>17 января</w:t>
      </w:r>
      <w:r w:rsidRPr="00E14102">
        <w:rPr>
          <w:color w:val="000000" w:themeColor="text1"/>
          <w:sz w:val="16"/>
          <w:szCs w:val="16"/>
        </w:rPr>
        <w:t xml:space="preserve"> в 1935 году в воздух поднялась французская летающая лодка </w:t>
      </w:r>
      <w:hyperlink r:id="rId21" w:tgtFrame="_blank" w:history="1">
        <w:r w:rsidRPr="00E14102">
          <w:rPr>
            <w:color w:val="000000" w:themeColor="text1"/>
            <w:sz w:val="16"/>
            <w:szCs w:val="16"/>
          </w:rPr>
          <w:t>««Latecoere 521».</w:t>
        </w:r>
      </w:hyperlink>
      <w:r w:rsidRPr="00E14102">
        <w:rPr>
          <w:color w:val="000000" w:themeColor="text1"/>
          <w:sz w:val="16"/>
          <w:szCs w:val="16"/>
        </w:rPr>
        <w:t xml:space="preserve"> Опытный «Late 521» впервые поднялся в воздух окрещенным "Лейтенант де Вассо-Пари". Задачей этого самолёта была организация регулярных пассажирских перевозок через Средиземное море в Африку и трансатлантических линий пассажиров в Южную Америку. Огромный двухпалубный фюзеляж был рассчитан на 30-70 пассажиров, в зависимости от дальности полёта. На трансатлантических линиях он был рассчитан на перевозку 30 пассажиров и восьми членов экипажа. Через год после начала испытаний, 14 января 1936 г., «Late 521» угодил в тайфун и затонул в заливе Пенсакола. После того как самолет подняли со дна, его разобрали и отправили на судне во Францию для ремонта. Чтобы увеличить дальность полета, в процессе ремонта машину модернизировали, установив шесть моторов «Испано-Сюиза» «12 Nbr» без наддува мощностью по 650 л.с. С обозначением «F-NORD» самолет возобновил испытательные полеты во второй половине мая 1937 г. Однако ряд технических и политических проблем так и не позволил выйти этому гидроплану на заморские линии «Air France» (15012).</w:t>
      </w:r>
    </w:p>
    <w:p w14:paraId="3833CA59" w14:textId="77777777" w:rsidR="003224AB" w:rsidRPr="00E14102" w:rsidRDefault="003224AB" w:rsidP="00E14102">
      <w:pPr>
        <w:jc w:val="both"/>
        <w:rPr>
          <w:color w:val="000000" w:themeColor="text1"/>
          <w:sz w:val="16"/>
          <w:szCs w:val="16"/>
        </w:rPr>
      </w:pPr>
    </w:p>
    <w:p w14:paraId="35E67E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января 1935 Лига наций проголосовала за возврат Германии Саарской области к 1 марта 1935 (2100).</w:t>
      </w:r>
    </w:p>
    <w:p w14:paraId="66801650" w14:textId="77777777" w:rsidR="00D4105E" w:rsidRPr="00E14102" w:rsidRDefault="00D4105E" w:rsidP="00E14102">
      <w:pPr>
        <w:autoSpaceDE w:val="0"/>
        <w:autoSpaceDN w:val="0"/>
        <w:adjustRightInd w:val="0"/>
        <w:jc w:val="both"/>
        <w:rPr>
          <w:color w:val="000000" w:themeColor="text1"/>
          <w:sz w:val="16"/>
          <w:szCs w:val="16"/>
        </w:rPr>
      </w:pPr>
    </w:p>
    <w:p w14:paraId="5AE4F2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января 1935 бывший премьер-министр Ллойд Джордж выступил с речью, излагающей новый курс (3907,191).</w:t>
      </w:r>
    </w:p>
    <w:p w14:paraId="1C40801F" w14:textId="77777777" w:rsidR="00D4105E" w:rsidRPr="00E14102" w:rsidRDefault="00D4105E" w:rsidP="00E14102">
      <w:pPr>
        <w:autoSpaceDE w:val="0"/>
        <w:autoSpaceDN w:val="0"/>
        <w:adjustRightInd w:val="0"/>
        <w:jc w:val="both"/>
        <w:rPr>
          <w:color w:val="000000" w:themeColor="text1"/>
          <w:sz w:val="16"/>
          <w:szCs w:val="16"/>
        </w:rPr>
      </w:pPr>
    </w:p>
    <w:p w14:paraId="717FE1B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2038CD0" w14:textId="77777777" w:rsidR="00D4105E" w:rsidRPr="00E14102" w:rsidRDefault="00D4105E" w:rsidP="00E14102">
      <w:pPr>
        <w:autoSpaceDE w:val="0"/>
        <w:autoSpaceDN w:val="0"/>
        <w:adjustRightInd w:val="0"/>
        <w:jc w:val="both"/>
        <w:rPr>
          <w:iCs/>
          <w:color w:val="000000" w:themeColor="text1"/>
          <w:sz w:val="16"/>
          <w:szCs w:val="16"/>
        </w:rPr>
      </w:pPr>
    </w:p>
    <w:p w14:paraId="6D3DE54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18 января 1935 ЦК ВКП(б) в секретном циркуляре на места призвал начать поиски “врагов народа” (4962).</w:t>
      </w:r>
    </w:p>
    <w:p w14:paraId="7A92775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FFA1435" w14:textId="77777777" w:rsidR="003224A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7E624FA" w14:textId="77777777" w:rsidR="003224AB" w:rsidRPr="00E14102" w:rsidRDefault="003224AB" w:rsidP="00E14102">
      <w:pPr>
        <w:autoSpaceDE w:val="0"/>
        <w:autoSpaceDN w:val="0"/>
        <w:adjustRightInd w:val="0"/>
        <w:jc w:val="both"/>
        <w:rPr>
          <w:iCs/>
          <w:color w:val="000000" w:themeColor="text1"/>
          <w:sz w:val="16"/>
          <w:szCs w:val="16"/>
        </w:rPr>
      </w:pPr>
    </w:p>
    <w:p w14:paraId="732537A0" w14:textId="77777777" w:rsidR="003224AB" w:rsidRPr="00E14102" w:rsidRDefault="003224AB" w:rsidP="00E14102">
      <w:pPr>
        <w:jc w:val="both"/>
        <w:rPr>
          <w:color w:val="000000" w:themeColor="text1"/>
          <w:sz w:val="16"/>
          <w:szCs w:val="16"/>
        </w:rPr>
      </w:pPr>
      <w:r w:rsidRPr="00E14102">
        <w:rPr>
          <w:bCs/>
          <w:color w:val="000000" w:themeColor="text1"/>
          <w:sz w:val="16"/>
          <w:szCs w:val="16"/>
        </w:rPr>
        <w:t>18 января</w:t>
      </w:r>
      <w:r w:rsidRPr="00E14102">
        <w:rPr>
          <w:color w:val="000000" w:themeColor="text1"/>
          <w:sz w:val="16"/>
          <w:szCs w:val="16"/>
        </w:rPr>
        <w:t xml:space="preserve"> в 1935 году первый полёт прототипа многоцелевого вспомогательного самолета </w:t>
      </w:r>
      <w:hyperlink r:id="rId22" w:tgtFrame="_blank" w:history="1">
        <w:r w:rsidRPr="00E14102">
          <w:rPr>
            <w:color w:val="000000" w:themeColor="text1"/>
            <w:sz w:val="16"/>
            <w:szCs w:val="16"/>
          </w:rPr>
          <w:t xml:space="preserve">«Focke-Wulf» «FW-58V1» «Weihe», </w:t>
        </w:r>
      </w:hyperlink>
      <w:r w:rsidRPr="00E14102">
        <w:rPr>
          <w:color w:val="000000" w:themeColor="text1"/>
          <w:sz w:val="16"/>
          <w:szCs w:val="16"/>
        </w:rPr>
        <w:t>(компания «Focke-Wulf», Германия) (15013).</w:t>
      </w:r>
    </w:p>
    <w:p w14:paraId="75D3E6CA" w14:textId="77777777" w:rsidR="003224AB" w:rsidRPr="00E14102" w:rsidRDefault="003224AB" w:rsidP="00E14102">
      <w:pPr>
        <w:jc w:val="both"/>
        <w:rPr>
          <w:color w:val="000000" w:themeColor="text1"/>
          <w:sz w:val="16"/>
          <w:szCs w:val="16"/>
        </w:rPr>
      </w:pPr>
    </w:p>
    <w:p w14:paraId="68AD94EB" w14:textId="77777777" w:rsidR="00440F05" w:rsidRPr="00E14102" w:rsidRDefault="00440F05" w:rsidP="00E14102">
      <w:pPr>
        <w:jc w:val="both"/>
        <w:rPr>
          <w:color w:val="0070C0"/>
          <w:sz w:val="16"/>
          <w:szCs w:val="16"/>
        </w:rPr>
      </w:pPr>
      <w:r w:rsidRPr="00E14102">
        <w:rPr>
          <w:color w:val="0070C0"/>
          <w:sz w:val="16"/>
          <w:szCs w:val="16"/>
        </w:rPr>
        <w:t xml:space="preserve">18 января 1935 состоялся первый полет </w:t>
      </w:r>
      <w:r w:rsidRPr="00E14102">
        <w:rPr>
          <w:color w:val="0070C0"/>
          <w:sz w:val="16"/>
          <w:szCs w:val="16"/>
          <w:lang w:val="en-US"/>
        </w:rPr>
        <w:t>Blohm</w:t>
      </w:r>
      <w:r w:rsidRPr="00E14102">
        <w:rPr>
          <w:color w:val="0070C0"/>
          <w:sz w:val="16"/>
          <w:szCs w:val="16"/>
        </w:rPr>
        <w:t xml:space="preserve"> &amp; </w:t>
      </w:r>
      <w:r w:rsidRPr="00E14102">
        <w:rPr>
          <w:color w:val="0070C0"/>
          <w:sz w:val="16"/>
          <w:szCs w:val="16"/>
          <w:lang w:val="en-US"/>
        </w:rPr>
        <w:t>Voss</w:t>
      </w:r>
      <w:r w:rsidRPr="00E14102">
        <w:rPr>
          <w:color w:val="0070C0"/>
          <w:sz w:val="16"/>
          <w:szCs w:val="16"/>
        </w:rPr>
        <w:t xml:space="preserve"> </w:t>
      </w:r>
      <w:r w:rsidRPr="00E14102">
        <w:rPr>
          <w:color w:val="0070C0"/>
          <w:sz w:val="16"/>
          <w:szCs w:val="16"/>
          <w:lang w:val="en-US"/>
        </w:rPr>
        <w:t>Ha</w:t>
      </w:r>
      <w:r w:rsidRPr="00E14102">
        <w:rPr>
          <w:color w:val="0070C0"/>
          <w:sz w:val="16"/>
          <w:szCs w:val="16"/>
        </w:rPr>
        <w:t xml:space="preserve"> 137 (20800).</w:t>
      </w:r>
    </w:p>
    <w:p w14:paraId="6636FA5F" w14:textId="77777777" w:rsidR="00440F05" w:rsidRPr="00E14102" w:rsidRDefault="00440F05" w:rsidP="00E14102">
      <w:pPr>
        <w:jc w:val="both"/>
        <w:rPr>
          <w:color w:val="0070C0"/>
          <w:sz w:val="16"/>
          <w:szCs w:val="16"/>
        </w:rPr>
      </w:pPr>
    </w:p>
    <w:p w14:paraId="66300A24" w14:textId="77777777" w:rsidR="00440F05" w:rsidRPr="00E14102" w:rsidRDefault="00440F05" w:rsidP="00E14102">
      <w:pPr>
        <w:jc w:val="both"/>
        <w:rPr>
          <w:color w:val="0070C0"/>
          <w:sz w:val="16"/>
          <w:szCs w:val="16"/>
        </w:rPr>
      </w:pPr>
      <w:r w:rsidRPr="00E14102">
        <w:rPr>
          <w:color w:val="0070C0"/>
          <w:sz w:val="16"/>
          <w:szCs w:val="16"/>
        </w:rPr>
        <w:t>18 января 1935 - Первый полет одноместного пикирующего бомбардировщика Blohm &amp; Voss Ha.137. Но на вооружение был принят одноместный  Junkers Ju.87 (22654).</w:t>
      </w:r>
    </w:p>
    <w:p w14:paraId="5C01FC0A" w14:textId="77777777" w:rsidR="00440F05" w:rsidRPr="00E14102" w:rsidRDefault="00440F05" w:rsidP="00E14102">
      <w:pPr>
        <w:jc w:val="both"/>
        <w:rPr>
          <w:color w:val="0070C0"/>
          <w:sz w:val="16"/>
          <w:szCs w:val="16"/>
        </w:rPr>
      </w:pPr>
    </w:p>
    <w:p w14:paraId="5D49C25A" w14:textId="77777777" w:rsidR="00356A2F" w:rsidRPr="00E14102" w:rsidRDefault="00356A2F" w:rsidP="00E14102">
      <w:pPr>
        <w:jc w:val="both"/>
        <w:rPr>
          <w:color w:val="000000" w:themeColor="text1"/>
          <w:sz w:val="16"/>
          <w:szCs w:val="16"/>
        </w:rPr>
      </w:pPr>
      <w:r w:rsidRPr="00E14102">
        <w:rPr>
          <w:color w:val="000000" w:themeColor="text1"/>
          <w:sz w:val="16"/>
          <w:szCs w:val="16"/>
        </w:rPr>
        <w:t xml:space="preserve">18 января 1935 г. нацизм: </w:t>
      </w:r>
      <w:r w:rsidRPr="00E14102">
        <w:rPr>
          <w:iCs/>
          <w:color w:val="000000" w:themeColor="text1"/>
          <w:sz w:val="16"/>
          <w:szCs w:val="16"/>
        </w:rPr>
        <w:t>закрытая</w:t>
      </w:r>
      <w:r w:rsidRPr="00E14102">
        <w:rPr>
          <w:color w:val="000000" w:themeColor="text1"/>
          <w:sz w:val="16"/>
          <w:szCs w:val="16"/>
        </w:rPr>
        <w:t xml:space="preserve"> встреча Канариса и Гейдриха по вопросу разделения сфер и функций специальных ведомств Германии. </w:t>
      </w:r>
      <w:r w:rsidRPr="00E14102">
        <w:rPr>
          <w:bCs/>
          <w:color w:val="000000" w:themeColor="text1"/>
          <w:sz w:val="16"/>
          <w:szCs w:val="16"/>
        </w:rPr>
        <w:t>1 января 1935 года капитан I ранга Канарис становится начальником управления разведки и контрразведки (абвера) при военном министерстве, а с 1938 года при верховном командовании вооруженных сил. К моменту его прихода абвер, по оценке западных исследователей, уже представлял собой «хорошо налаженный и точно направляемый организм». Учтя печальный опыт Патцига, не сумевшего наладить отношения с СД, Канарис свое пребывание на посту начальника абвера начинает с того, что порвав всякое общение с Патцигом, приступает к налаживанию личных связей с людьми аппарата Гиммлера (17328).</w:t>
      </w:r>
    </w:p>
    <w:p w14:paraId="71B1D0FB" w14:textId="77777777" w:rsidR="00356A2F" w:rsidRPr="00E14102" w:rsidRDefault="00356A2F" w:rsidP="00E14102">
      <w:pPr>
        <w:jc w:val="both"/>
        <w:rPr>
          <w:color w:val="000000" w:themeColor="text1"/>
          <w:sz w:val="16"/>
          <w:szCs w:val="16"/>
        </w:rPr>
      </w:pPr>
    </w:p>
    <w:p w14:paraId="4DAB28A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A43E8C9" w14:textId="77777777" w:rsidR="00D4105E" w:rsidRPr="00E14102" w:rsidRDefault="00D4105E" w:rsidP="00E14102">
      <w:pPr>
        <w:autoSpaceDE w:val="0"/>
        <w:autoSpaceDN w:val="0"/>
        <w:adjustRightInd w:val="0"/>
        <w:jc w:val="both"/>
        <w:rPr>
          <w:iCs/>
          <w:color w:val="000000" w:themeColor="text1"/>
          <w:sz w:val="16"/>
          <w:szCs w:val="16"/>
        </w:rPr>
      </w:pPr>
    </w:p>
    <w:p w14:paraId="5A46377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января 1935 года директор завода № 1 Беленкович писал письмо № 313 врид начальника ГУАП Марголину (копия в СНК Базилевичу).</w:t>
      </w:r>
    </w:p>
    <w:p w14:paraId="52CBB9C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Докладная записка</w:t>
      </w:r>
    </w:p>
    <w:p w14:paraId="6CA2314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Решением ГУАП от 25 декабря 1934 года заводу № 1 предложено ввести в программу на 1935 год 400 штук самолетов ЛР с форсированием их запуска с начала года, для этого заводу № 39 тем же решением было предложено закончить передачу утвержденных заказчиком чертежей и доведенного по ним эталона машины к 6 января 1935 года.</w:t>
      </w:r>
    </w:p>
    <w:p w14:paraId="2549368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Исходя из указанного решения, завод № 1 представил в ГУАП контрольные цифры на 1935 год, план выпуска по которым и был утвержден письмом ГУАПа полностью обеспечивало выполнение существующих законоположений о запуске в производство новых типов, а именно: обязательное наличие утвержденного эталона, при наличии полностью ему соответствующих комплектов чертежей, также утвержденных заказчиком.</w:t>
      </w:r>
    </w:p>
    <w:p w14:paraId="04BE9D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Приказом № 34 по Наркомату обороны и соответствующим приказом № 80 УВВС РККА – категорически запрещено внедрение новых типов машин без соблюдения указанных условий. Эти же условия предусматриваются и в типовом договоре на 1935 год, утвержденном Наркоматом обороны и Наркомтяжпромом.</w:t>
      </w:r>
    </w:p>
    <w:p w14:paraId="1FA3C53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Между тем завод № 1, принявший все меры к получению в утвержденные ГУАП сроки эталона и чертежей с завода № 39, столкнулся со следующим положением: на сегодняшний день все чертежи ЛР и соответственно эталон не только не сданы заводу, но завод № 39 дает последние сроки сдачи чертежей – 6 февраля и всех прочих материалов вплоть до 1 апреля 1935 года.</w:t>
      </w:r>
    </w:p>
    <w:p w14:paraId="68D2B45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Указанное запоздание объясняется тем, что завод № 39 еще не полностью внес все исправления в чертежи по замечаниям первых испытаний НИИ ВВС, каковые исправления являются чрезвычайно существенными. Причем количество синек, передаваемых сейчас заводу не удовлетворяет потребности производства.</w:t>
      </w:r>
    </w:p>
    <w:p w14:paraId="765C444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Что же касается эталона, то на сегодняшний день состояние его следующее: единственная машина ЛР, на которой не полностью внедрены переделки, согласно первого заключения НИИ ВВС, находится на испытании; испытание до конца не прошло и окончательного утверждения не имеет.</w:t>
      </w:r>
    </w:p>
    <w:p w14:paraId="4CB3D1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Так как в чертежи передаваемые заводу, внесена вся сумма переделок, предъявленных НИИ, а в машине передаваемой заводу – переделки внесены не полностью, то машина эта в таком виде эталоном для серийного производства служить не может и договора на основании ее с заказчиком заключать нельзя. Тем более, что некоторые требования НИИ не выдержаны ни на испытываемой машине, ни в чертежах, например:</w:t>
      </w:r>
    </w:p>
    <w:p w14:paraId="29760BA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 охлаждению мотора, который при рулежке и в ожидании старта слишком перегревается из-за недостаточности радиатора.</w:t>
      </w:r>
    </w:p>
    <w:p w14:paraId="30A9E35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Экранированная турель – устройство и конструкция которой до сих пор не доведены и не обеспечивают надежного действия в воздухе.</w:t>
      </w:r>
    </w:p>
    <w:p w14:paraId="0082E94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Техусловия также разработаны для машины, сданной на испытания в НИИ и так как, например, в числе изменений, внесенных в чертежи, но не испытанных на машине находится увеличение запаса прочности (перевод машины из 8 группы в 10 группу по техническим условиям на прочность), то техусловия не будут соответствовать качествам тех машин, которые могут быть выпущены по переделанным чертежам, следовательно не могут быть положены в основу договора с заказчиком. В частности, машина будет утяжелена и соответственно будут ухудшены ее аэродинамические качества.</w:t>
      </w:r>
    </w:p>
    <w:p w14:paraId="393D1C5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Указанное состояние машины, характеризуя условия запуска в производство, ведет к нижеследующим затруднениям по серийному производству, которые в части увязки с поставщиками, сводятся к следующему:</w:t>
      </w:r>
    </w:p>
    <w:p w14:paraId="7876237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Конструкция всасывающего коллектора в новых сериях моторов М34-Н скомпонована таким образом, что не позволяет сделать в капоте мотора выемки между балками центроплана для предоставления необходимого обзора через Альдис.</w:t>
      </w:r>
    </w:p>
    <w:p w14:paraId="673C091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Синхронизатор к мотору М-34 для опытного экземпляра самим заводом № 39. Моторы М-34 присылаются с завода № 24 без этих синхронизаторов.</w:t>
      </w:r>
    </w:p>
    <w:p w14:paraId="053678E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Мотор М-34 предусматривает привод и крепление на нем фланцевой динамо-машины, которая до сих пор заводом Лепсе, поставляющем ее, не освоена.</w:t>
      </w:r>
    </w:p>
    <w:p w14:paraId="15C7ECF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По заявлению технического директора завода № 28 металлический винт, предусмотренный на опытной машине заводом № 39, не стоит в программе на 1935 год завода № 28 и изготовление данных винтов невозможно для завода № 28.</w:t>
      </w:r>
    </w:p>
    <w:p w14:paraId="31DA6D1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Для ЛР предусмотрены тормозные колеса 800х150 с механическим управлением тормозами, которые заводом № 120 до настоящего момента не изготовлялись.</w:t>
      </w:r>
    </w:p>
    <w:p w14:paraId="2396D48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Специальные стрелковые турели с гибкими рукавами для пулеметов “Шкас”, также как и замки для балок Д-1 и Д-2 – заводом № 32 до настоящего дня не изготовляются.</w:t>
      </w:r>
    </w:p>
    <w:p w14:paraId="6C64377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Масляные радиаторы типа “Ламблен” и водяные радиаторы сотового типа – являются новой конструкцией, причем первый является весьма сложным для изготовления, к тому же из нержавеющей стали, в силу чего неизвестно какие поставщики смогут их изготовлять.</w:t>
      </w:r>
    </w:p>
    <w:p w14:paraId="5BB0330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Водяные же радиаторы конструктивно до сих пор еще не утрясены, так как предполагается изменение форм трубочек.</w:t>
      </w:r>
    </w:p>
    <w:p w14:paraId="11A1B3D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Учитывая все вышеизложенное, я считаю совершенно недопустимым полный серийный запуск в производство машин Л-Р по передаваемым в настоящий момент чертежам и при отсутствии эталона и категорически протестую против включения ЛР в протокольное соглашение ГУАПа и УВВС.</w:t>
      </w:r>
    </w:p>
    <w:p w14:paraId="037DDA7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Считая необходимым освоение указанной машины для дальнейшего производства в цехах и ускорения внедрения, я приступил независимо от разрешения всех поставленных мною вопросов к производству первых головных машин, строя их без эталона по передаваемым чертежам заводом № 39.</w:t>
      </w:r>
    </w:p>
    <w:p w14:paraId="0E339F8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Для возможности осуществления серийного производства прошу Вас осуществить следующие мероприятия:</w:t>
      </w:r>
    </w:p>
    <w:p w14:paraId="6D7C387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Обязать завод № 39 в кратчайший срок изготовить эталон самолета ЛР, полностью соответствующий как требованиям заказчика, так и передаваемым на завод № 1 чертежам.</w:t>
      </w:r>
    </w:p>
    <w:p w14:paraId="518F041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Передачу чертежей и всех необходимых материалов, согласно требования завода № 1, закончить не позднее 25 января 1935 года.</w:t>
      </w:r>
    </w:p>
    <w:p w14:paraId="769C147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Соответственно переработать технические условия на машину, согласовав их с заказчиком.</w:t>
      </w:r>
    </w:p>
    <w:p w14:paraId="5CC9B84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Обеспечить, согласно программы завода, подачу с завода № 24 моторов М-34Н с измененным коллектором, комплектно с синхронизаторами и фланцевыми динамо-машинами.</w:t>
      </w:r>
    </w:p>
    <w:p w14:paraId="41AE50E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Обеспечить согласно программы завода, подачу металлических винтов с завода № 28.</w:t>
      </w:r>
    </w:p>
    <w:p w14:paraId="5761BB9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Дать распоряжение заводу № 120 внедрить в производство и обеспечить программу ЛР колесами тормозными 800х150 с механическим управлением тормозами.</w:t>
      </w:r>
    </w:p>
    <w:p w14:paraId="5B65EF8F"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Заводу № 32 обеспечить производство стрелковых турелей с гибким рукавом под Шкас и замки для балок Д-1 и Д-2.</w:t>
      </w:r>
    </w:p>
    <w:p w14:paraId="70A4362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Указать поставщиков и выделить соответствующие фонды для производства масляных радиаторов типа “Ламблен” и водяных – сотовой системы.</w:t>
      </w:r>
    </w:p>
    <w:p w14:paraId="66BDB9D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Подтвердить принятое 25 декабря 1934 года. Начальником ГУАП решение о возглавлении Ермолаевым комиссии по приемке к утверждению чертежей и эталона с завода № 39.</w:t>
      </w:r>
    </w:p>
    <w:p w14:paraId="178FB1A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Согласовать вопрос о приемке заказчиком 10 машин, выпускаемым заводом № 1 по чертежам завода № 39 и предусмотреть оплату стоимости этих машин заводу в случае отказа заказчика от приемки их.</w:t>
      </w:r>
    </w:p>
    <w:p w14:paraId="7E9ECB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Только при срочном разрешении всех поставленных вопросов может быть обеспечено выполнение постановления Правительства о производстве 400 машин ЛР на заводе № 1 и заключен договор на поставку их с УВВС (3517,24-27).</w:t>
      </w:r>
    </w:p>
    <w:p w14:paraId="2CEEEF3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55ACF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января 1935 года было созвано совещание начальника УВС Алксниса, на котором было постановлено в третий раз, что транспортный самолет ТС Можаева нужно строить и он необходим (4213).</w:t>
      </w:r>
    </w:p>
    <w:p w14:paraId="67C975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Протокол совещания у начальника УВС по строительству транспортного самолета “Т.С.1” – 19 января 1935 года</w:t>
      </w:r>
    </w:p>
    <w:p w14:paraId="36B0EF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Присутствовали: начальник УВВС Алкснис, врид начальника ГУАП Марголин, начальник 4 отдела УВС Базенков, начальник НИИ ВС Лавров, начальник отделения УВС Горощенко, ст. конструктор “ТС1” Можаев, инженер-конструктор Ковальков и Осипенко.</w:t>
      </w:r>
    </w:p>
    <w:p w14:paraId="3CE8C2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Можаев сообщил совещанию историю возникновения идеи необходимости создания и хода строительства транспортного самолета “ТС-1”, а также о тех трудностях особенно за последнее время, в которые упирается строительство самолета.</w:t>
      </w:r>
    </w:p>
    <w:p w14:paraId="486867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Горощенко считает, что как сама идея, так и оригинальность конструкции заслуживают полного внимания и всемерного форсирования окончательной постройки с тем, чтобы в 1935 году успеть провести гос. испытание этого самолета.</w:t>
      </w:r>
    </w:p>
    <w:p w14:paraId="684915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Лавров – целиком поддерживает Горощенко.</w:t>
      </w:r>
    </w:p>
    <w:p w14:paraId="56CFCD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Марголин выражает сомнение в надежности сварки встык стальных хромомолибденовых труб и считает скорость самолета в 199 км/час на сегодня недостаточной, но поскольку есть решение Правительства о постройке этого самолета – надо его строить.</w:t>
      </w:r>
    </w:p>
    <w:p w14:paraId="7D1DDF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обмена мнениями начальник УВС Алкснис как общий вывод, заключает следующее:</w:t>
      </w:r>
    </w:p>
    <w:p w14:paraId="7E1E23E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Во исполнение решения Правительства от 2 июля 1934 года № 1561 немедленно оформить заключение договора между ГУАПом и УВС, ответственность со стороны УВС возлагается на Базенкова, со стороны ГУАПа – на Зорина.</w:t>
      </w:r>
    </w:p>
    <w:p w14:paraId="6554AD6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Принять к сведению заявление Марголина об обеспечении размещения заказа постройки “ТС1” на заводах ГУАПа.</w:t>
      </w:r>
    </w:p>
    <w:p w14:paraId="7C8C7FA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Уточнить предварительную калькуляцию стоимости постройки самолета и окончательный срок постройки его.</w:t>
      </w:r>
    </w:p>
    <w:p w14:paraId="350A68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исполнения 1 февраля 1935 года. Ответственность со стороны УВС – на Можаева, со стороны ГУАПа – на …………..</w:t>
      </w:r>
    </w:p>
    <w:p w14:paraId="6B4F95F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Перед началом статических испытаний произвести демонстрацию в грузовом отсеке крыла – загрузку и выгрузку объектов согласно программы НИИ ВВС.</w:t>
      </w:r>
    </w:p>
    <w:p w14:paraId="67389EE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Перед началом постройки опытного самолета считает обязательным проведение статических испытаний следующих частей указанного самолета: а) одного главного лонжерона; б) полного крыла; в) оперения; г) одной стойки шасси и д) части фюзеляжа.</w:t>
      </w:r>
    </w:p>
    <w:p w14:paraId="02343E0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Считать ответственным за качество постройки самолета в соответствии с чертежами – ГУАП в лице строющего завода, а за конструкцию – УВС в лице группы конструкторов во главе с Можаевым (4213, 16).</w:t>
      </w:r>
    </w:p>
    <w:p w14:paraId="293BC0DF"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746305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января 1935 года на совещании начальника управления воздушных сил Алксниса был представлен Доклад о транспортном самолете</w:t>
      </w:r>
    </w:p>
    <w:p w14:paraId="15CF471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История возникновения транспортного самолета</w:t>
      </w:r>
    </w:p>
    <w:p w14:paraId="4BE741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1932 году в конце августа начальник воздушных сил Алкснис поставил задачу перед НИИ ВС произвести обследования находящихся на вооружении самолетов и вновь проектируемых в упомянутом году, на предмет их годности к использованию как транспортных.</w:t>
      </w:r>
    </w:p>
    <w:p w14:paraId="01D261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разрешении задачи – выявить эффективность каждого типа самолета в использовании как транспортника – обратить внимание на самолет ТБ-1, каковой желательно использовать, как транспортник. При разрешении этого вопроса, иметь ввиду задачу перевозки следующих грузов на транспортных самолетах: горючие, смазочное для самолетов ТБ-3, аэродромное оборудование, инженерно-технический состав, авиабомбы различных калибров, вооружение (пушки, пулеметы) артснаряды, авиамоторы, перевозку раненых, продовольствие и на случай возможности использования этх транспортников для высадки десанта в тылу у противника и т.д.</w:t>
      </w:r>
    </w:p>
    <w:p w14:paraId="7EEE9F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Такая задача могла быть выполнена при условии наличия достаточной площади на самолете, которая позволяла бы по своим габаритам вмещать различные перечисленные грузы.</w:t>
      </w:r>
    </w:p>
    <w:p w14:paraId="2357B2C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Обследование самолетов в 1932 году показало следующее:</w:t>
      </w:r>
    </w:p>
    <w:p w14:paraId="76714D2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Что имеющиеся на вооружении и вновь проектируемые самолеты не обладают большой эффективностью как транспортники и к тому же не приспособлены в достаточной степени для перевозки как транспортники в своей конструкции, т.е. отсутствие габаритных площадей в самолете к перечисленным грузам.</w:t>
      </w:r>
    </w:p>
    <w:p w14:paraId="73AAF15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сравнения эффективности как транспортника взят был заграничный самолет Ю-52, последний показал, что все имеющиеся самолеты на вооружении в СССР и вновь проектируемые не обладают такой экономичностью, как Ю-52 (материалы имеются у начальника УВС и НИИ ВС).</w:t>
      </w:r>
    </w:p>
    <w:p w14:paraId="7FF8AA5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примера была поставлена задача зарядки горюче-смазочным материалом тяжелой эскадрильи в количестве 12 самолетов ТБ-3. Расчет показал следующее: для этой эскадрильи требуется для совершения одного полета разных грузов 58800 кг. Чтобы перебросить этот груз на радиус 300 км потребуется:</w:t>
      </w:r>
    </w:p>
    <w:p w14:paraId="01AB6D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Самолетов ТБ-1 – 27 будет работать моторов 54</w:t>
      </w:r>
    </w:p>
    <w:p w14:paraId="288539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Самолетов Р-5 – 66 будет работать моторов 66</w:t>
      </w:r>
    </w:p>
    <w:p w14:paraId="19F86F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Самолетов АНТ-9 – 45 будет работать моторов 135</w:t>
      </w:r>
    </w:p>
    <w:p w14:paraId="6AD96F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Самолетов АНТ-14 – 12 будет работать моторов 60</w:t>
      </w:r>
    </w:p>
    <w:p w14:paraId="328D61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Самолетов К-5 – 69 будет работать моторов 69</w:t>
      </w:r>
    </w:p>
    <w:p w14:paraId="74ED21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Специальный транспортный самолет “Т-С” 29 - будет работать моторов 29</w:t>
      </w:r>
    </w:p>
    <w:p w14:paraId="4835AD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 “ТС” при данном случае загружается перевозимым грузом на 2000 кг.</w:t>
      </w:r>
    </w:p>
    <w:p w14:paraId="4E4468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этом примере получаем, что экономичность в моторном парке остается за транпортным самолетом. Возьмем второй пример: применение многомоторных самолетов 2-4 мотора для перевозки грузов; на первый взгляд кажется в единичном числе многомоторные самолеты заманчивы по грузоподъемности, но в количественном отношении эта грузоподъемность при сравнении резко повышается у одномоторного самолета-транспортника.</w:t>
      </w:r>
    </w:p>
    <w:p w14:paraId="3158F2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Разберем: возьмем для нашего случая по 10 самолетов каждого типа: ТБ-3, ТБ-1 и Ю-52.</w:t>
      </w:r>
    </w:p>
    <w:p w14:paraId="3C5428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(см. таблицу № 2 на дальность 600 км).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E3599D" w:rsidRPr="00E14102" w14:paraId="61A6D405" w14:textId="77777777">
        <w:tc>
          <w:tcPr>
            <w:tcW w:w="2318" w:type="dxa"/>
          </w:tcPr>
          <w:p w14:paraId="0396F7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Типы самолетов</w:t>
            </w:r>
          </w:p>
        </w:tc>
        <w:tc>
          <w:tcPr>
            <w:tcW w:w="2318" w:type="dxa"/>
          </w:tcPr>
          <w:p w14:paraId="519490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Количество самолетов</w:t>
            </w:r>
          </w:p>
        </w:tc>
        <w:tc>
          <w:tcPr>
            <w:tcW w:w="2318" w:type="dxa"/>
          </w:tcPr>
          <w:p w14:paraId="4B67FA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Количество моторов</w:t>
            </w:r>
          </w:p>
        </w:tc>
        <w:tc>
          <w:tcPr>
            <w:tcW w:w="2318" w:type="dxa"/>
          </w:tcPr>
          <w:p w14:paraId="6F1032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Перевозимые грузы в кг</w:t>
            </w:r>
          </w:p>
        </w:tc>
        <w:tc>
          <w:tcPr>
            <w:tcW w:w="2318" w:type="dxa"/>
          </w:tcPr>
          <w:p w14:paraId="5B658B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Потребность мотора на 1 тонну</w:t>
            </w:r>
          </w:p>
        </w:tc>
      </w:tr>
      <w:tr w:rsidR="00E3599D" w:rsidRPr="00E14102" w14:paraId="070B9D89" w14:textId="77777777">
        <w:tc>
          <w:tcPr>
            <w:tcW w:w="2318" w:type="dxa"/>
          </w:tcPr>
          <w:p w14:paraId="5820A8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w:t>
            </w:r>
          </w:p>
        </w:tc>
        <w:tc>
          <w:tcPr>
            <w:tcW w:w="2318" w:type="dxa"/>
          </w:tcPr>
          <w:p w14:paraId="77DC95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2318" w:type="dxa"/>
          </w:tcPr>
          <w:p w14:paraId="6468DC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2318" w:type="dxa"/>
          </w:tcPr>
          <w:p w14:paraId="25E31C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45770</w:t>
            </w:r>
          </w:p>
        </w:tc>
        <w:tc>
          <w:tcPr>
            <w:tcW w:w="2318" w:type="dxa"/>
          </w:tcPr>
          <w:p w14:paraId="14B88D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0,9</w:t>
            </w:r>
          </w:p>
        </w:tc>
      </w:tr>
      <w:tr w:rsidR="00E3599D" w:rsidRPr="00E14102" w14:paraId="19287BBC" w14:textId="77777777">
        <w:tc>
          <w:tcPr>
            <w:tcW w:w="2318" w:type="dxa"/>
          </w:tcPr>
          <w:p w14:paraId="63A743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ТБ-1</w:t>
            </w:r>
          </w:p>
        </w:tc>
        <w:tc>
          <w:tcPr>
            <w:tcW w:w="2318" w:type="dxa"/>
          </w:tcPr>
          <w:p w14:paraId="22C6D8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2318" w:type="dxa"/>
          </w:tcPr>
          <w:p w14:paraId="416C70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2318" w:type="dxa"/>
          </w:tcPr>
          <w:p w14:paraId="783715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21520</w:t>
            </w:r>
          </w:p>
        </w:tc>
        <w:tc>
          <w:tcPr>
            <w:tcW w:w="2318" w:type="dxa"/>
          </w:tcPr>
          <w:p w14:paraId="744BC0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0,9</w:t>
            </w:r>
          </w:p>
        </w:tc>
      </w:tr>
      <w:tr w:rsidR="00E3599D" w:rsidRPr="00E14102" w14:paraId="2FF3967F" w14:textId="77777777">
        <w:tc>
          <w:tcPr>
            <w:tcW w:w="2318" w:type="dxa"/>
          </w:tcPr>
          <w:p w14:paraId="411FA0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Ю-52</w:t>
            </w:r>
          </w:p>
        </w:tc>
        <w:tc>
          <w:tcPr>
            <w:tcW w:w="2318" w:type="dxa"/>
          </w:tcPr>
          <w:p w14:paraId="754FF5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2318" w:type="dxa"/>
          </w:tcPr>
          <w:p w14:paraId="178DCA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2318" w:type="dxa"/>
          </w:tcPr>
          <w:p w14:paraId="35B064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21780</w:t>
            </w:r>
          </w:p>
        </w:tc>
        <w:tc>
          <w:tcPr>
            <w:tcW w:w="2318" w:type="dxa"/>
          </w:tcPr>
          <w:p w14:paraId="4B0F95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0,5</w:t>
            </w:r>
          </w:p>
        </w:tc>
      </w:tr>
    </w:tbl>
    <w:p w14:paraId="2EE14D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таблицы № 2 видно, что 10 самолетов ТБ-1 при 20 моторах поднимают груза 21520 кг и 10 самолетов Ю-52 при 10 моторах поднимают груза 21730 кг. Как види м из таблицы, преимущество одномоторный самолет Ю-52 перед ТБ-1 на 260 кг более поднимает груза и дает экономию в 10 моторов. Если для примера возьмем стоимость одного мотора в 30000 рублей, то получаем эконосмию: 30000 рублей. 10=300000 рублей на самолетах одномоторного типа.</w:t>
      </w:r>
    </w:p>
    <w:p w14:paraId="146B8B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Возьмем третий пример: 40 самолетов Ю-52 для сравнения с ТБ-3 по моторам и 10 самолетов ТБ-3 (см. табл. 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E3599D" w:rsidRPr="00E14102" w14:paraId="619D6ED8" w14:textId="77777777">
        <w:tc>
          <w:tcPr>
            <w:tcW w:w="2318" w:type="dxa"/>
          </w:tcPr>
          <w:p w14:paraId="7CC722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Типы самолетов</w:t>
            </w:r>
          </w:p>
        </w:tc>
        <w:tc>
          <w:tcPr>
            <w:tcW w:w="2318" w:type="dxa"/>
          </w:tcPr>
          <w:p w14:paraId="7E94A9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Количество самолетов</w:t>
            </w:r>
          </w:p>
        </w:tc>
        <w:tc>
          <w:tcPr>
            <w:tcW w:w="2318" w:type="dxa"/>
          </w:tcPr>
          <w:p w14:paraId="284322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Количество моторов</w:t>
            </w:r>
          </w:p>
        </w:tc>
        <w:tc>
          <w:tcPr>
            <w:tcW w:w="2318" w:type="dxa"/>
          </w:tcPr>
          <w:p w14:paraId="328E3F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Перевозимое топливо</w:t>
            </w:r>
          </w:p>
        </w:tc>
        <w:tc>
          <w:tcPr>
            <w:tcW w:w="2318" w:type="dxa"/>
          </w:tcPr>
          <w:p w14:paraId="161FEB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Разность между самолетами в поднят. груза с одинаковым количеством моторов</w:t>
            </w:r>
          </w:p>
        </w:tc>
      </w:tr>
      <w:tr w:rsidR="00E3599D" w:rsidRPr="00E14102" w14:paraId="50539E51" w14:textId="77777777">
        <w:tc>
          <w:tcPr>
            <w:tcW w:w="2318" w:type="dxa"/>
          </w:tcPr>
          <w:p w14:paraId="6FB24B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w:t>
            </w:r>
          </w:p>
        </w:tc>
        <w:tc>
          <w:tcPr>
            <w:tcW w:w="2318" w:type="dxa"/>
          </w:tcPr>
          <w:p w14:paraId="26110B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2318" w:type="dxa"/>
          </w:tcPr>
          <w:p w14:paraId="76F4CB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2318" w:type="dxa"/>
          </w:tcPr>
          <w:p w14:paraId="281CDA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45770</w:t>
            </w:r>
          </w:p>
        </w:tc>
        <w:tc>
          <w:tcPr>
            <w:tcW w:w="2318" w:type="dxa"/>
          </w:tcPr>
          <w:p w14:paraId="75FEF03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2A03397" w14:textId="77777777">
        <w:tc>
          <w:tcPr>
            <w:tcW w:w="2318" w:type="dxa"/>
          </w:tcPr>
          <w:p w14:paraId="32ED65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Ю-52</w:t>
            </w:r>
          </w:p>
        </w:tc>
        <w:tc>
          <w:tcPr>
            <w:tcW w:w="2318" w:type="dxa"/>
          </w:tcPr>
          <w:p w14:paraId="586D74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2318" w:type="dxa"/>
          </w:tcPr>
          <w:p w14:paraId="7A2395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2318" w:type="dxa"/>
          </w:tcPr>
          <w:p w14:paraId="422493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87120</w:t>
            </w:r>
          </w:p>
        </w:tc>
        <w:tc>
          <w:tcPr>
            <w:tcW w:w="2318" w:type="dxa"/>
          </w:tcPr>
          <w:p w14:paraId="1030FE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41350 кг</w:t>
            </w:r>
          </w:p>
        </w:tc>
      </w:tr>
    </w:tbl>
    <w:p w14:paraId="16E7FF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таблицы 3 видим, что преимущество остается за одномоторными самолетами, в смысле переброски груза по весу на расстояние 600 км.</w:t>
      </w:r>
    </w:p>
    <w:p w14:paraId="5D3F9F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Объясняется это тем: а) что многомоторные самолеты берут часть топлива на себя для переброски груза; б) весовая конструкция самолета ТБ-1, ТБ-3 – больше чем Ю-52, что естественно сказывается на платном грузе, т.е. переброске грузов и в) специальности приспособления самолета для основной цели.</w:t>
      </w:r>
    </w:p>
    <w:p w14:paraId="6CCBE2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Помимо этого нужно учесть, что многомоторные самолеты невыгодны и с эксплоатационной точки зрения:</w:t>
      </w:r>
    </w:p>
    <w:p w14:paraId="64CCED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заправка и обслуживание во времени в чел/часах;</w:t>
      </w:r>
    </w:p>
    <w:p w14:paraId="24D312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 расходе горючих и смазочных материалов имеется более повышенный спрос, чем одномоторные самолеты;</w:t>
      </w:r>
    </w:p>
    <w:p w14:paraId="506A27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 расходе запаса частей для моторов.</w:t>
      </w:r>
    </w:p>
    <w:p w14:paraId="137421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такого цифрового материала и ряда др. вопросов вытекало, чтобы разрешить поставленную задачу начальникос ВС Алкснисом, требовалось создание нового типа самолета, который обладал бы эффективностью (экономичность), грузоподъемностью в своей конструкции, должен быть одномоторным с соответствующими в конструкции площадями для перевозки разных грузов, перечисленных в задачи Алксниса.</w:t>
      </w:r>
    </w:p>
    <w:p w14:paraId="69409B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обследования и вывода было решено предложить начальнику Алкснису в 1932 году в сентябре о необходимости иметь на вооружении специальный транспортный самолет.</w:t>
      </w:r>
    </w:p>
    <w:p w14:paraId="6EA2C6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Алкснис, ознакомившись с материалом, предложил Меженинову проверить еще раз, что действительно-ли нужен транспортный самолет.</w:t>
      </w:r>
    </w:p>
    <w:p w14:paraId="759968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Последовало второе распоряжение Меженинова, НИИ ВВС весь материал подробно рассмотреть и контрольно проверить о необходимости постройки специального транспортного самолета. Получив НИИ ВС такое указание Меженинова, поручило это дело инженеру Гребневу, последний пришел также к выводу о необходимости иметь на вооружении специальный транспортный самолет, обосновав его тактико-техническими требованиями.</w:t>
      </w:r>
    </w:p>
    <w:p w14:paraId="193D05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Данный материал был рассмотрен всесторонне в НИИ ВС и послан с заключением начальнику Института Меженинову также с положительным результатом о специальном самолете.</w:t>
      </w:r>
    </w:p>
    <w:p w14:paraId="54FA3A3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основании этого материала была представлена схема транспортного самолета с объяснительной запиской Алкснису. Последний направил в НИИ ВС на заключение. В 1933 году в марте в НИИ ВС эта схема была рассмотрена и было вынесено решение о представлении дополнительного материала в части касающейся аэродинамического расчета и продувок.</w:t>
      </w:r>
    </w:p>
    <w:p w14:paraId="1E986C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Группа инженеров, представившая схему транспортного самолета, на основании решения НИИ ВС приступила к работе, для выполнения требования НИИ ВС. Эта работа была закончена в августе 1933 года и дальше она не могла продолжаться из-за отсутствия средств.</w:t>
      </w:r>
    </w:p>
    <w:p w14:paraId="5895DB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согласия Алксниса были сделаны попытки об отпуске денежных средств в Центральный ОСОАВИАХИМ и в ЦС ВОИЗ. Первый отказался из-за отсутствия средств, а второй согласился взять постройку и финансировать упомянутый самолет. В своем расширенном заседании ЦС ВОИЗ утвердил протоколом от 15 августа 1933 года взять на себя обязательство: проектирование, постройку и отпуск кредитов на специальный транспортный самолет. На основании этого протокола ЦС ВОИЗ заключил договор 25 августа 1933 года с ВВА на проектирование транспортного самолета на сумму 138000 рублей. Одновременно была найдена производственная база для постройки самолета – завод № 1, с которым надлежало заключить договор ЦС ВОИЗу. В конце апреля 1934 года было закончено проектирование самолета полностью. ЦС ВОИЗ по неизвестным причинам упустил производственную базу завод № 1, вследствие чего ЦС ВОИЗу пришлось производственную базу для транспортного самолета перенести из Москвы в Харьков на завод “ХАЗОС”, с последним он заключил договор от 14 марта 1934 года. Договор был подписан односторонне директором завода, со стороны ЦС ВОИЗа не подписан до сего дня. Вследствие чего и была сорвана постройка транспортного самолета в 1934 году. Во время проектирования транспортного самолета по заданию начальника Штаба ВС Хрипина велась полная согласованность с ГВФ и с сельхозавиацией, последние не возражали на предмет применения данного самолета в гражданском воздушном флоте и их употребления учитывались при проектировании.</w:t>
      </w:r>
    </w:p>
    <w:p w14:paraId="0807A0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марта 1934 года был утвержден комиссией макет транспортного самолета и 10 апреля 1934 года НИИ ВВС утвердило эскизный проект этого самолета.</w:t>
      </w:r>
    </w:p>
    <w:p w14:paraId="27B482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Начиная с мая 1934 года ЦС ВОИЗ законсервировал работу по ТС, мотивируя в связи со сменой старого руководства, новое руководство не решается строить транспортный самолет и отпускать кредит без санкции политбюро ЦК и решения Правительства.</w:t>
      </w:r>
    </w:p>
    <w:p w14:paraId="52F2E4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разрешение тянулось довольно долго с лишним месяца и лишь только 2 июля 1934 года было получено разрешение СНК за № 1561, что ЦС ВОИЗу разрешается отпустить из своих средств для постройки самолета военведу 600000 рублей.</w:t>
      </w:r>
    </w:p>
    <w:p w14:paraId="4B30CD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ЦС ВОИЗа, получив такое постановление решил постройку передать военведу (УВС с согласия последнего, но вместо 600000 рублей, разрешенных Правительством, перевел военведу 370000 рублей, что окончательно затормозило постройку самолета, вследствие чего военвед не смог заключить договора с ХАЗОСОМ (ныне 135 завод).</w:t>
      </w:r>
    </w:p>
    <w:p w14:paraId="2A4F87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Правительственным постановлением от 2 июля 1934 года п. 2, на ГУАП возлагается также ответственность за постройку, п. 2 гласит следующее: “Обязать Наркомтяжпром построить самолет на Харьковском заводе, согласно заключенного договора. ГУАП в этом отношении не принял никаких мер, а наоборот в процессе соглашения и переговоров зам. начальника УВС Ткачевым тормозит постройку транспортного самолета, качающимися приказаниями заводам: то предлагает строить этот самолет 135 заводу, то 18 заводу, то включает в план опытного строительства 1935 года, то отказывается включить, требуя ему перевода всех 600000 рублей на постройку самолета, то опять соглашается, в результате решил произвести ревизию тактико-технических требований НИИ ВВС, разработанных для транспортных самолетов, мотивируя, что они устаревшие на данный момент по своей скорости.</w:t>
      </w:r>
    </w:p>
    <w:p w14:paraId="4820F7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Такая политика ГУАПа в отношении постройки транспортного самолета, явно носит непонимание о транспортных самолетах и нежелание выполнить постановление Правительства.</w:t>
      </w:r>
    </w:p>
    <w:p w14:paraId="33CFA6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чем заключается непонимание ГУАПа о транспортных самолетах!? ГУАП отбросил совершенно учитывать экономичность самолета. Устарела-ли задача, поставленная в 1932 году начальником ВВС Алкснисом в отношении транспортных самолетов. Нет не устарела и в 1935 году не устареет и в 1936-37 г.г. и 1940 году. Почему? Потому, что партия и правительство выбросили лозунг: в обязательном порядке для всей страны вести борьбу за снижение себестоимости выпускаемой продукции и ее эксплоатации – это касается в одинаковой степени ГУАПа, ВВС и ГВФ.</w:t>
      </w:r>
    </w:p>
    <w:p w14:paraId="40354D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Требование ГУАПа увеличение скорости в транспортных самолетах – это значит удорожать стоимость переброски грузов, так как увеличение скорости – уменьшает полезную нагрузку или заставляет ставить более мощные силовые установки, которые вызывают излишние накладные расходы. Это против установки партии и правительства ( это не значит, что я вообще против скоростных самолетов).</w:t>
      </w:r>
    </w:p>
    <w:p w14:paraId="57F2F4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Существующие транспортные средства в СССР, как-то: водный транспорт, ж/д транспорт, автотранспорт, имеют двоякого рода переброску груза: скоростной пассажирский и нескоростной грузовой-товарный, в этом отношении авиация не должна отходить от такой квалификации, допустим, что если мы отменим на ж/д и автотранспорте и т.д. товарн. грузовой транспорт, а перевозку грузов переведем на пассажирский транспорт скоростной, то в таком случае страна в области экономики не получит снижения стоимости грузов, а наоборот повысит, что ляжет непосильным бременем на бюджет трудящихся. То же самое относится в область авиации. Поэтому не всегда нужно перебрасывать грузы с большой скоростью, а нужно рассматривать когда и при каких случаях переброска грузов вызывает необходимость, чтобы идти на дополнительные расходы на переброску груза. Отсюда мы делаем вывод, что ГУАП неправильно разрешает задачу, вводя на вооружение только скоростные самолеты, прекращая постройку не скоростных самолетов – эффективных по грузоподъемности.</w:t>
      </w:r>
    </w:p>
    <w:p w14:paraId="1E995F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Теперь рассмотрим с точки военной: если ГУАП считает, что современный транспортный самолет должен иметь 240-250 км/час максимальную скорость, благодаря этой скорости он может избегнуть от поражения его противником. Это решение не является верным, так как современные истребители имеют порядковую скорость 360-400 км/час, а транспортный самолет, имея 240-250 км/час максимум не может уйти от современного истребителя. Значит, требуемые скорости ГУАПом к транспортным самолетам не являются спасением для транспортника от поражения противником транспортника. Тактика УВС требует: все виды транспортных самолетов должны сопровождаться самолетами охраны, которые и защищают от противника самолеты-транспортники.</w:t>
      </w:r>
    </w:p>
    <w:p w14:paraId="7CF795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Отсюда мы делаем вывод, что ГУАП не в достаточной степени изучил материалы по транспортным самолетам, их тактику, экономику и технику, вследствие чего делает ошибочный выводы, требуя, чтобы на вооружении были только скоростные транспортные самолеты.</w:t>
      </w:r>
    </w:p>
    <w:p w14:paraId="412E8D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На основании сказанного разрешите внести следующие предложения:</w:t>
      </w:r>
    </w:p>
    <w:p w14:paraId="31FC8D1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обязательном порядке в 1935 году выполнить ГУАПу постановление СНК за № 1561 от 2 июля 1934 года – построить транспортный самолет “ТС” и испытать таковой.</w:t>
      </w:r>
    </w:p>
    <w:p w14:paraId="40BD944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Установить срок постройки и заводские испытания самолета к 1 октября 1935 года.</w:t>
      </w:r>
    </w:p>
    <w:p w14:paraId="43ED66D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Финансирование постройки самолета и испытание возложить на ГУАП. Последнему предложить затребовать с ЦС ВОИЗа дополучить 230000 рублей, которые недополучил военвед.</w:t>
      </w:r>
    </w:p>
    <w:p w14:paraId="058F2F2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Просить ГУАП установить точно производственную базу для постройки самолета “ТС”.</w:t>
      </w:r>
    </w:p>
    <w:p w14:paraId="6110DE5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Включить в план опытного строительства постройку “ТС” на 1935 год.</w:t>
      </w:r>
    </w:p>
    <w:p w14:paraId="5F2E43A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Модификацию самолета “ТС” для получения увеличенной скорости, провести после испытания НИИ ВВС.</w:t>
      </w:r>
    </w:p>
    <w:p w14:paraId="0CE7847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ГУАПу выдвинуть ответственное лицо, на которое возложить ответственность за срок постройки, обеспечение материалами для постройки, за качеством постройки и сроки заводских испытаний (4213, 17-25).</w:t>
      </w:r>
    </w:p>
    <w:p w14:paraId="28D2892D"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2FE54E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января 1935 года экспериментальный институт (Гроховского) приступил к подготовке планера к заводским испытаниям и заводские испытания начались 19 февраля 1935 (7779, 2-4).</w:t>
      </w:r>
    </w:p>
    <w:p w14:paraId="0AF0263D" w14:textId="77777777" w:rsidR="00D4105E" w:rsidRPr="00E14102" w:rsidRDefault="00D4105E" w:rsidP="00E14102">
      <w:pPr>
        <w:autoSpaceDE w:val="0"/>
        <w:autoSpaceDN w:val="0"/>
        <w:adjustRightInd w:val="0"/>
        <w:jc w:val="both"/>
        <w:rPr>
          <w:color w:val="000000" w:themeColor="text1"/>
          <w:sz w:val="16"/>
          <w:szCs w:val="16"/>
        </w:rPr>
      </w:pPr>
    </w:p>
    <w:p w14:paraId="39F799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19-20 января 1935 на Ногинском полигоне опытные образцы аппаратов и Майзеля демонстрировались представителям УВВС и НКО. В т.ч. был и ЗАМ-УСП (усиленной сферы поражения) с 54 37мм мортирками в крыле, которые выстреливали очередями с интервалом 1 с на последних 270 м полета группами по 20 и 14 снарядов (8908,37).</w:t>
      </w:r>
    </w:p>
    <w:p w14:paraId="6ACE4494" w14:textId="77777777" w:rsidR="00D4105E" w:rsidRPr="00E14102" w:rsidRDefault="00D4105E" w:rsidP="00E14102">
      <w:pPr>
        <w:autoSpaceDE w:val="0"/>
        <w:autoSpaceDN w:val="0"/>
        <w:adjustRightInd w:val="0"/>
        <w:jc w:val="both"/>
        <w:rPr>
          <w:color w:val="000000" w:themeColor="text1"/>
          <w:sz w:val="16"/>
          <w:szCs w:val="16"/>
        </w:rPr>
      </w:pPr>
    </w:p>
    <w:p w14:paraId="0629C25A" w14:textId="77777777" w:rsidR="003224A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B11AF6B" w14:textId="77777777" w:rsidR="003224AB" w:rsidRPr="00E14102" w:rsidRDefault="003224AB" w:rsidP="00E14102">
      <w:pPr>
        <w:autoSpaceDE w:val="0"/>
        <w:autoSpaceDN w:val="0"/>
        <w:adjustRightInd w:val="0"/>
        <w:jc w:val="both"/>
        <w:rPr>
          <w:iCs/>
          <w:color w:val="000000" w:themeColor="text1"/>
          <w:sz w:val="16"/>
          <w:szCs w:val="16"/>
        </w:rPr>
      </w:pPr>
    </w:p>
    <w:p w14:paraId="4083629B" w14:textId="77777777" w:rsidR="003224AB" w:rsidRPr="00E14102" w:rsidRDefault="003224AB" w:rsidP="00E14102">
      <w:pPr>
        <w:pStyle w:val="rtejustify"/>
        <w:spacing w:before="0" w:after="0"/>
        <w:rPr>
          <w:color w:val="000000" w:themeColor="text1"/>
          <w:sz w:val="16"/>
          <w:szCs w:val="16"/>
        </w:rPr>
      </w:pPr>
      <w:r w:rsidRPr="00E14102">
        <w:rPr>
          <w:rStyle w:val="a6"/>
          <w:bCs/>
          <w:i w:val="0"/>
          <w:color w:val="000000" w:themeColor="text1"/>
          <w:sz w:val="16"/>
          <w:szCs w:val="16"/>
        </w:rPr>
        <w:t>19 января 1935 вышел приказ НКТП № 11с.</w:t>
      </w:r>
      <w:r w:rsidRPr="00E14102">
        <w:rPr>
          <w:color w:val="000000" w:themeColor="text1"/>
          <w:sz w:val="16"/>
          <w:szCs w:val="16"/>
        </w:rPr>
        <w:t xml:space="preserve"> Об обеспечении бесперебойной работы завода им. Ворошилова по программе Т</w:t>
      </w:r>
      <w:r w:rsidRPr="00E14102">
        <w:rPr>
          <w:color w:val="000000" w:themeColor="text1"/>
          <w:sz w:val="16"/>
          <w:szCs w:val="16"/>
        </w:rPr>
        <w:noBreakHyphen/>
        <w:t>26 в 1935 г. (РГАЭ. Ф. 7297. Оп. 38. Д. 171. Л. 22) (15246).</w:t>
      </w:r>
    </w:p>
    <w:p w14:paraId="0B6A99C5" w14:textId="77777777" w:rsidR="003224AB" w:rsidRPr="00E14102" w:rsidRDefault="003224AB" w:rsidP="00E14102">
      <w:pPr>
        <w:pStyle w:val="rtejustify"/>
        <w:spacing w:before="0" w:after="0"/>
        <w:rPr>
          <w:color w:val="000000" w:themeColor="text1"/>
          <w:sz w:val="16"/>
          <w:szCs w:val="16"/>
        </w:rPr>
      </w:pPr>
    </w:p>
    <w:p w14:paraId="1399DCA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0B2D474" w14:textId="77777777" w:rsidR="00D4105E" w:rsidRPr="00E14102" w:rsidRDefault="00D4105E" w:rsidP="00E14102">
      <w:pPr>
        <w:autoSpaceDE w:val="0"/>
        <w:autoSpaceDN w:val="0"/>
        <w:adjustRightInd w:val="0"/>
        <w:jc w:val="both"/>
        <w:rPr>
          <w:iCs/>
          <w:color w:val="000000" w:themeColor="text1"/>
          <w:sz w:val="16"/>
          <w:szCs w:val="16"/>
        </w:rPr>
      </w:pPr>
    </w:p>
    <w:p w14:paraId="378D1B3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января 1935 года Ворошилов писал письмо № 476029сс/о председателю СТО Молотову</w:t>
      </w:r>
    </w:p>
    <w:p w14:paraId="3B58F15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проекте постановления СТО “О постройке дальнего бомбардировщика”, представленному НКТП считаю необходимым внести следующие изменения:</w:t>
      </w:r>
    </w:p>
    <w:p w14:paraId="5E2FFFA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Исключить абзац пункта 1-го, устанавливающий:</w:t>
      </w:r>
    </w:p>
    <w:p w14:paraId="726EBFF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предъявления самолета на заводские испытания установить 15 июня 1935 года”, так как решением КО (протокол № 11 п. 9 от 19 декабря 1934 года) срок предъявления этого самолета на гос. испытания установлен 15 июля 1935 года.</w:t>
      </w:r>
    </w:p>
    <w:p w14:paraId="1DC6757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ЦАГИ очень долго и длительно доводит самолеты и согласившись с предложением НКТП подать самолет 15 июля 1935 года на заводские, а не на гос. испытания, мы в 1935 году самолет ДБ-2-2К-14 не получим.</w:t>
      </w:r>
    </w:p>
    <w:p w14:paraId="6194315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Исключить совсем из п. 5 последнюю фразу:</w:t>
      </w:r>
    </w:p>
    <w:p w14:paraId="0D34AB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“Намеченный к постройке на этом заводе самолет МИ3 на производство не ставить и с программы 1935 года снять” – этот вопрос следует рассматривать особо, а не в связи с постройкой дальнего бомбардировщика.</w:t>
      </w:r>
    </w:p>
    <w:p w14:paraId="38B438C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остальном проект постановления возражений не встречает (4256, 12).</w:t>
      </w:r>
    </w:p>
    <w:p w14:paraId="74F20A8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48B6C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января 1935 года ЦАГИ получил из НИИ ВВС "ТТТ к бомбардировочному самолету дальнего действия ТБ-7 - 4 М-34ФРН" (ТТТ утверждены начальником Управления Воздушных Сил РККА Я.И.Алкснисом 31 января 1935 года). Согласно ТТТ к ТБ-7 выдвигались следующие основные требования, определявшие его лицо как скоростного высотного бомбардировщика класса "летающая крепость":</w:t>
      </w:r>
    </w:p>
    <w:p w14:paraId="73DA13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 Технические требования</w:t>
      </w:r>
    </w:p>
    <w:p w14:paraId="10382C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Назначение самолета. Бомбардировщик дальнего действия.</w:t>
      </w:r>
    </w:p>
    <w:p w14:paraId="561874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Объекты действия.</w:t>
      </w:r>
    </w:p>
    <w:p w14:paraId="03353F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Объекты административного и политического значения, расположенные в глубоком тылу противника.</w:t>
      </w:r>
    </w:p>
    <w:p w14:paraId="2CC178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Промышленные предприятия военного назначения.</w:t>
      </w:r>
    </w:p>
    <w:p w14:paraId="152DDE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Узловые и крупные железнодорожные станции и мостовые сооружения наиболее жизненных магистралей.</w:t>
      </w:r>
    </w:p>
    <w:p w14:paraId="1BC383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Государственные и центральные склады, аэродромы и авиабазы, расположенные в глубоком тылу противника.</w:t>
      </w:r>
    </w:p>
    <w:p w14:paraId="368AA0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Морские базы, боевые и транспортные корабли в портах и открытом море на пределах радиуса действия бомбардировщика.</w:t>
      </w:r>
    </w:p>
    <w:p w14:paraId="7F4485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Переброска десанта до 50 чел. вооруженных бойцов и боевых средств на специальных подвесках.</w:t>
      </w:r>
    </w:p>
    <w:p w14:paraId="02D053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Условия работы</w:t>
      </w:r>
    </w:p>
    <w:p w14:paraId="0D0D91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Полеты днем и ночью при плохих метеорологических условиях.</w:t>
      </w:r>
    </w:p>
    <w:p w14:paraId="5C8C10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Полеты над большими водными просторами.</w:t>
      </w:r>
    </w:p>
    <w:p w14:paraId="045F84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Полеты на предельные радиусы действия с предельной нагрузкой.</w:t>
      </w:r>
    </w:p>
    <w:p w14:paraId="5F795B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Полеты преимущественно соединениями.</w:t>
      </w:r>
    </w:p>
    <w:p w14:paraId="4DA599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Весовые и летно-тактические данные</w:t>
      </w:r>
    </w:p>
    <w:p w14:paraId="650DC0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Летно-тактические данные:</w:t>
      </w:r>
    </w:p>
    <w:p w14:paraId="5B9284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Первый вариант самолета Самолет с нормальным полетным весом должен иметь весовую отдачу 50 %.</w:t>
      </w:r>
    </w:p>
    <w:p w14:paraId="1EEB0E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 нормальной полетной нагрузкой - 4400 кг, перечисленной ниже, должен обладать следующими данными:</w:t>
      </w:r>
    </w:p>
    <w:p w14:paraId="3AA8DC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Максимальной скоростью на высоте 4000 м - 330-350 км/ч.</w:t>
      </w:r>
    </w:p>
    <w:p w14:paraId="7B12FB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Посадочной скоростью - 90 км/ч.</w:t>
      </w:r>
    </w:p>
    <w:p w14:paraId="225922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Дальностью полета - 1500 км/ч.</w:t>
      </w:r>
    </w:p>
    <w:p w14:paraId="5082C9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Сбрасываемым грузом 2000 кг.</w:t>
      </w:r>
    </w:p>
    <w:p w14:paraId="4472BF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Практическим потолком 6000-7000 м.</w:t>
      </w:r>
    </w:p>
    <w:p w14:paraId="013915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перегрузочном виде самолет должен обладать следующими данными:</w:t>
      </w:r>
    </w:p>
    <w:p w14:paraId="05E971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Дальностью полета - 4000 км</w:t>
      </w:r>
    </w:p>
    <w:p w14:paraId="67B558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Сбрасываемым грузом - 2000 кг 2. Второй вариант самолета Самолет с центральной наддувной станцией должен обладать следующими данными:</w:t>
      </w:r>
    </w:p>
    <w:p w14:paraId="3302DA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а)Максимальной скоростью на высоте 8000-9000 м - 370-400 км/ч.</w:t>
      </w:r>
    </w:p>
    <w:p w14:paraId="0F8A88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Посадочной скоростью - 90 км/ч</w:t>
      </w:r>
    </w:p>
    <w:p w14:paraId="509D45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Практическим потолком 11000-12000м.</w:t>
      </w:r>
    </w:p>
    <w:p w14:paraId="3C7B50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Дальностью полета нормальной 1200 км.</w:t>
      </w:r>
    </w:p>
    <w:p w14:paraId="61CE72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Дальностью полета с перегрузкой (в зависимости от продолжительности полета на большой высоте) -3000-3800 км.</w:t>
      </w:r>
    </w:p>
    <w:p w14:paraId="480164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 Бомбовая нагрузка в 2000 кг калибра от 100 кг до 2000 кг для обоих вариантов самолета с внутренней подвеской.</w:t>
      </w:r>
    </w:p>
    <w:p w14:paraId="78759F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Перечень вооружения и оборудования самолета</w:t>
      </w:r>
    </w:p>
    <w:p w14:paraId="53835A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обоих вариантах самолета экипаж 8 чел.</w:t>
      </w:r>
    </w:p>
    <w:p w14:paraId="712539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Командир корабля, он же штурман-бомбардир - 1 чел.</w:t>
      </w:r>
    </w:p>
    <w:p w14:paraId="3C2CB4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Летчиков - 2 чел.</w:t>
      </w:r>
    </w:p>
    <w:p w14:paraId="1A231B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Радист - 1 чел.</w:t>
      </w:r>
    </w:p>
    <w:p w14:paraId="4FDE79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Бортовых техников - 1 чел.</w:t>
      </w:r>
    </w:p>
    <w:p w14:paraId="24D620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Стрелков-артиллеристов - 3 чел.</w:t>
      </w:r>
    </w:p>
    <w:p w14:paraId="45A859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Стрелково-артиллерийское вооружение и оборудование:</w:t>
      </w:r>
    </w:p>
    <w:p w14:paraId="666C86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 огневая точка.</w:t>
      </w:r>
    </w:p>
    <w:p w14:paraId="6C5DEF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Носовая шаровая электрифицированная башня под ШВАК -20 для обстрела передней полусферы, боекомплект - 250 снарядов, (электрификация огневых точек должна была внедряться по мере развития и отработки систем, рассматривался вариант с механическим приводом)</w:t>
      </w:r>
    </w:p>
    <w:p w14:paraId="6AB881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2-я огневая точка.</w:t>
      </w:r>
    </w:p>
    <w:p w14:paraId="435CFE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Средняя экранированная и электрифицированная установка под ШВАК-20для обстрела верхней полусферы, боекомплект - 200 снарядов.</w:t>
      </w:r>
    </w:p>
    <w:p w14:paraId="619E03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3-я огневая точка.</w:t>
      </w:r>
    </w:p>
    <w:p w14:paraId="05E99F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Хвостовая экранированная и электрифицированная установка под ШВАК-20 для обстрела задней полусферы, боекомплект - 150 снарядов.</w:t>
      </w:r>
    </w:p>
    <w:p w14:paraId="6E965E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2-я и 3-я огневые точки могут быть заменены на спаренные пулеметы LUKAC с боекомплетом на установку -1500 патронов.</w:t>
      </w:r>
    </w:p>
    <w:p w14:paraId="19C1E9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4-я огневая установка.</w:t>
      </w:r>
    </w:p>
    <w:p w14:paraId="3F1D1E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Люковая установка в фюзеляже под пулемет ШКАС для обстрела вниз, боекомплект - 1000 патронов.</w:t>
      </w:r>
    </w:p>
    <w:p w14:paraId="5B2EAD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Требования к приводам огневых установок</w:t>
      </w:r>
    </w:p>
    <w:p w14:paraId="28B20C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переноса огня:</w:t>
      </w:r>
    </w:p>
    <w:p w14:paraId="51A824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 горизонтальной плоскости в 1 сек. - 70 град.</w:t>
      </w:r>
    </w:p>
    <w:p w14:paraId="3A8DAC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 вертикальной плоскости в 1 сек. - 25 град. При этом максимальное усилие стрелка при механическом приводе огневой установки не должно превосходить 5 кг.</w:t>
      </w:r>
    </w:p>
    <w:p w14:paraId="680E4F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Бомбардировочное вооружение и оборудование.</w:t>
      </w:r>
    </w:p>
    <w:p w14:paraId="080262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Бомбы калибра от 50 кг до 1000 кг с внутренней подвеской, общим весом 2000 кг. Бомбы пристрелочные и светящиеся. Механические бомбосбра-сыватели СБР-9. Электрические бом-босбрасыватели ЭСБР-2. Оптический бомбардировочный прицел ОПБ-1 или С-4. Предусматривается вариант химического вооружения" (7685).</w:t>
      </w:r>
    </w:p>
    <w:p w14:paraId="5E88A634" w14:textId="77777777" w:rsidR="00D4105E" w:rsidRPr="00E14102" w:rsidRDefault="00D4105E" w:rsidP="00E14102">
      <w:pPr>
        <w:autoSpaceDE w:val="0"/>
        <w:autoSpaceDN w:val="0"/>
        <w:adjustRightInd w:val="0"/>
        <w:jc w:val="both"/>
        <w:rPr>
          <w:color w:val="000000" w:themeColor="text1"/>
          <w:sz w:val="16"/>
          <w:szCs w:val="16"/>
        </w:rPr>
      </w:pPr>
    </w:p>
    <w:p w14:paraId="3B5D087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января 1935 года вышел Приказ НИИ ВВС № 041 Об облете самолета ЛР-М34Н</w:t>
      </w:r>
    </w:p>
    <w:p w14:paraId="7B1A5C1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окончании повторных испытаний самолета ЛР-М34Н произвести его облет другими летчиками.</w:t>
      </w:r>
    </w:p>
    <w:p w14:paraId="3D4C24F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произвести в Москве на Центральном аэродроме и в Щелкове на аэродроме авиабригады Института (6814, 35).</w:t>
      </w:r>
    </w:p>
    <w:p w14:paraId="2D33EC2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BF68F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января 1935 вышло постановление СТО N С-6сс "О закупке в САСШ самолетов Мартин В-10 Дуглас." В.М.М. (2161,61).</w:t>
      </w:r>
    </w:p>
    <w:p w14:paraId="7CE234E1" w14:textId="77777777" w:rsidR="00D4105E" w:rsidRPr="00E14102" w:rsidRDefault="00D4105E" w:rsidP="00E14102">
      <w:pPr>
        <w:autoSpaceDE w:val="0"/>
        <w:autoSpaceDN w:val="0"/>
        <w:adjustRightInd w:val="0"/>
        <w:jc w:val="both"/>
        <w:rPr>
          <w:color w:val="000000" w:themeColor="text1"/>
          <w:sz w:val="16"/>
          <w:szCs w:val="16"/>
        </w:rPr>
      </w:pPr>
    </w:p>
    <w:p w14:paraId="0D13A9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января 1935 года член КСК Хаханьян писал письмо Сталину, Молотову, Куйбышеву.</w:t>
      </w:r>
    </w:p>
    <w:p w14:paraId="465A86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ходе производства самолета ДАР</w:t>
      </w:r>
    </w:p>
    <w:p w14:paraId="19F2C8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Военной группой КСК проверено выполнение постановления СТО от 24 октября 1934 года N К-171сс по постройке самолета ДАР.</w:t>
      </w:r>
    </w:p>
    <w:p w14:paraId="11FB44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ДАР представляет собой двухмоторный (2-ИС 12УВRS) гидросамолет из нержавеющей стали, имеющий лодку способную садиться как на воду, так и на лед.</w:t>
      </w:r>
    </w:p>
    <w:p w14:paraId="6F6CDB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Совнаркома от 5 августа 1934 года за N К-30с в отмену ранее установленного срока был установлен срок окончания сборки “ДАР” к 1 декабря 1934 года. Заводом Марти (Ленинград) постройка лодки должна быть закончена 1 октября 1934 года, сборка крыльев, центроплана и моторной гондолы к 20 ноября 1934 года.</w:t>
      </w:r>
    </w:p>
    <w:p w14:paraId="3E239D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Причина задержки строительства ДАР в основном объясняются рядом принципиально новых вопросов конструктивного и технологического характера требовавших решения в ходе строительства.</w:t>
      </w:r>
    </w:p>
    <w:p w14:paraId="7751EE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Задерживали постройку:</w:t>
      </w:r>
    </w:p>
    <w:p w14:paraId="1D437A2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Медленная подача заводом “Серп и Молот” (директор Степанов) проката из нержавеющей стали для ДАРа, происходившая из-за подачи заводом Электросталь (директор Велигура) негодных сутунок.</w:t>
      </w:r>
    </w:p>
    <w:p w14:paraId="40B1127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Неправильно определенный СНИИ (самолетный НИИ) объем проектировочных работ (вместо 60000 час. израсходовано 120000) с опозданием подачи чертежей в 7 месяцев.</w:t>
      </w:r>
    </w:p>
    <w:p w14:paraId="641D335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Отсутствие необходимой электросварочной и контрольной аппаратуры для производства лодки на заводе Марти.</w:t>
      </w:r>
    </w:p>
    <w:p w14:paraId="4F479C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 СТО от 24 октября 1934 года, направленное к обеспечению строительства ДАР сварочным оборудованием выполняется в указанные в нем сроки, задержка имеет место лишь в отношении нержавеющей стали.</w:t>
      </w:r>
    </w:p>
    <w:p w14:paraId="095CD1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 января 1935 года готовность по самолету ДАР выражается 65% по производству и 100% по проекту.</w:t>
      </w:r>
    </w:p>
    <w:p w14:paraId="48EE14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Лодка может быть закончена к 15 марта 1935 года.</w:t>
      </w:r>
    </w:p>
    <w:p w14:paraId="709C88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самолет ДАР может быть представлен к испытаниям не позднее 1 июня 1935 года (4016,27-28).</w:t>
      </w:r>
    </w:p>
    <w:p w14:paraId="402D1A79" w14:textId="77777777" w:rsidR="00D4105E" w:rsidRPr="00E14102" w:rsidRDefault="00D4105E" w:rsidP="00E14102">
      <w:pPr>
        <w:autoSpaceDE w:val="0"/>
        <w:autoSpaceDN w:val="0"/>
        <w:adjustRightInd w:val="0"/>
        <w:jc w:val="both"/>
        <w:rPr>
          <w:color w:val="000000" w:themeColor="text1"/>
          <w:sz w:val="16"/>
          <w:szCs w:val="16"/>
        </w:rPr>
      </w:pPr>
    </w:p>
    <w:p w14:paraId="1D5D5F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января 1935 Нач. ЦАГИ Харламов писал письмо в Самолетный отдел ГУАП О.О.Машкевичу:</w:t>
      </w:r>
    </w:p>
    <w:p w14:paraId="2227D5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"Принимая во внимание последнее постановление Правительства по плану опытных работ, при сем направляю Вам в графике окончательно подработанный план опытного строительства ЦАГИ на 1935:</w:t>
      </w:r>
    </w:p>
    <w:p w14:paraId="6D30C6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основных работ опытного строительства ЦАГИ на 1935</w:t>
      </w:r>
    </w:p>
    <w:p w14:paraId="03483A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СБ 2-й с 2РЦ - с 12.1934 по 06.1935</w:t>
      </w:r>
    </w:p>
    <w:p w14:paraId="04E82E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СБ 2ИС - с 12.1934 по 05.1935</w:t>
      </w:r>
    </w:p>
    <w:p w14:paraId="5A4482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ДИ-8 2К-14 - с 01.1935 по 07.1935</w:t>
      </w:r>
    </w:p>
    <w:p w14:paraId="114ACE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ДИП 2ИС - с 11.1934 по 02.1935</w:t>
      </w:r>
    </w:p>
    <w:p w14:paraId="7DE488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ДБ-2 2К-14 - с 01.1935 по 06.1935</w:t>
      </w:r>
    </w:p>
    <w:p w14:paraId="43532E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ЛК-4 2М-34ФРН - с 12.1934 по 12.1935</w:t>
      </w:r>
    </w:p>
    <w:p w14:paraId="691D11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МДР-4 3М-34РН - с 1271934 по 06.1934</w:t>
      </w:r>
    </w:p>
    <w:p w14:paraId="1B32B5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МДР-5 2М - с 01.1936 по 11.1936</w:t>
      </w:r>
    </w:p>
    <w:p w14:paraId="03708C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МК-1 6М-34Р - с 01.1935 по 06.1935</w:t>
      </w:r>
    </w:p>
    <w:p w14:paraId="0FC474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МТБ-2 4К-14 - с 01.1935 по 07.1936</w:t>
      </w:r>
    </w:p>
    <w:p w14:paraId="7EB9AB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ТБ-7 4М-34ФРН - с 12.1934 по 11.1936</w:t>
      </w:r>
    </w:p>
    <w:p w14:paraId="33ECCE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Г-6 8ГМ-34 - с 12.1934 по 09.1935</w:t>
      </w:r>
    </w:p>
    <w:p w14:paraId="1EBF0E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Г-8 4ГМ-34 - с 07.1935 по 04.1936</w:t>
      </w:r>
    </w:p>
    <w:p w14:paraId="2298C6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Экспериментальные работы</w:t>
      </w:r>
    </w:p>
    <w:p w14:paraId="5A12A5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АНТ-35 2К-14 - с 01.1935 по 06.1936</w:t>
      </w:r>
    </w:p>
    <w:p w14:paraId="186F20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АНТ-30 3ИС - с 12.1934 по 04.1936</w:t>
      </w:r>
    </w:p>
    <w:p w14:paraId="7A3DF0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2-3 эксп. машины - с 01.1935 по 11.1936</w:t>
      </w:r>
    </w:p>
    <w:p w14:paraId="353920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ВСБ - с 12.1934 по 12.1935</w:t>
      </w:r>
    </w:p>
    <w:p w14:paraId="6BB010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Геликоптер КК - с 11.1934 по 01.1936</w:t>
      </w:r>
    </w:p>
    <w:p w14:paraId="5C83CB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Скоростной автожир РЦ - с 11.1934 по 11.1935</w:t>
      </w:r>
    </w:p>
    <w:p w14:paraId="471160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И-14бис РЦ - с 01.1935 по 06.1935 (2336,150).</w:t>
      </w:r>
    </w:p>
    <w:p w14:paraId="00AC2F7B" w14:textId="77777777" w:rsidR="00D4105E" w:rsidRPr="00E14102" w:rsidRDefault="00D4105E" w:rsidP="00E14102">
      <w:pPr>
        <w:autoSpaceDE w:val="0"/>
        <w:autoSpaceDN w:val="0"/>
        <w:adjustRightInd w:val="0"/>
        <w:jc w:val="both"/>
        <w:rPr>
          <w:color w:val="000000" w:themeColor="text1"/>
          <w:sz w:val="16"/>
          <w:szCs w:val="16"/>
        </w:rPr>
      </w:pPr>
    </w:p>
    <w:p w14:paraId="68A62F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января 1935, согласно Начальнику Штаба НИИ ВС Коробову:</w:t>
      </w:r>
    </w:p>
    <w:p w14:paraId="4A8900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Перечень испытаний, проходящих в НИИ ВС на 20 января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402"/>
        <w:gridCol w:w="3402"/>
      </w:tblGrid>
      <w:tr w:rsidR="00E3599D" w:rsidRPr="00E14102" w14:paraId="05C8EB8A" w14:textId="77777777">
        <w:tc>
          <w:tcPr>
            <w:tcW w:w="3227" w:type="dxa"/>
          </w:tcPr>
          <w:p w14:paraId="04E9A6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испытываемых объектов</w:t>
            </w:r>
          </w:p>
        </w:tc>
        <w:tc>
          <w:tcPr>
            <w:tcW w:w="3402" w:type="dxa"/>
          </w:tcPr>
          <w:p w14:paraId="12992B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окончания испытаний</w:t>
            </w:r>
          </w:p>
        </w:tc>
        <w:tc>
          <w:tcPr>
            <w:tcW w:w="3402" w:type="dxa"/>
          </w:tcPr>
          <w:p w14:paraId="192399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Состояние на 20 января 1935 года</w:t>
            </w:r>
          </w:p>
        </w:tc>
      </w:tr>
      <w:tr w:rsidR="00E3599D" w:rsidRPr="00E14102" w14:paraId="4D9E11A7" w14:textId="77777777">
        <w:tc>
          <w:tcPr>
            <w:tcW w:w="3227" w:type="dxa"/>
          </w:tcPr>
          <w:p w14:paraId="0800B5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Повторные госиспытания самолета ЛР-М-34Н</w:t>
            </w:r>
          </w:p>
        </w:tc>
        <w:tc>
          <w:tcPr>
            <w:tcW w:w="3402" w:type="dxa"/>
          </w:tcPr>
          <w:p w14:paraId="1E4EE4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летных дней, считая начало с 27 декабря 1934 года</w:t>
            </w:r>
          </w:p>
        </w:tc>
        <w:tc>
          <w:tcPr>
            <w:tcW w:w="3402" w:type="dxa"/>
          </w:tcPr>
          <w:p w14:paraId="53ADCC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повторных испытаниях экранированной турельной установки обнаружена недостаточная компенсация. Завод № 39 приступил к переделке таковой. В связи с чем испытание затормозится на 3 дня. Остались не поведенными: 2 ночных полета; облет группой летчиков.</w:t>
            </w:r>
          </w:p>
        </w:tc>
      </w:tr>
      <w:tr w:rsidR="00E3599D" w:rsidRPr="00E14102" w14:paraId="482649CA" w14:textId="77777777">
        <w:tc>
          <w:tcPr>
            <w:tcW w:w="3227" w:type="dxa"/>
          </w:tcPr>
          <w:p w14:paraId="441804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Госиспытание самолета ИП1-РЦ</w:t>
            </w:r>
          </w:p>
        </w:tc>
        <w:tc>
          <w:tcPr>
            <w:tcW w:w="3402" w:type="dxa"/>
          </w:tcPr>
          <w:p w14:paraId="686975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дней, считая начало с 7 января 1935 года</w:t>
            </w:r>
          </w:p>
        </w:tc>
        <w:tc>
          <w:tcPr>
            <w:tcW w:w="3402" w:type="dxa"/>
          </w:tcPr>
          <w:p w14:paraId="30D941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начаты:</w:t>
            </w:r>
          </w:p>
          <w:p w14:paraId="19AE863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1.</w:t>
            </w:r>
            <w:r w:rsidRPr="00E14102">
              <w:rPr>
                <w:color w:val="000000" w:themeColor="text1"/>
                <w:sz w:val="16"/>
                <w:szCs w:val="16"/>
              </w:rPr>
              <w:tab/>
              <w:t>Произведены наземные испытания (взвешивание, определение центровки, обмер).</w:t>
            </w:r>
          </w:p>
          <w:p w14:paraId="575F2971"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78C5C8D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2.</w:t>
            </w:r>
            <w:r w:rsidRPr="00E14102">
              <w:rPr>
                <w:color w:val="000000" w:themeColor="text1"/>
                <w:sz w:val="16"/>
                <w:szCs w:val="16"/>
              </w:rPr>
              <w:tab/>
              <w:t>Произведен ознакомительный полет.</w:t>
            </w:r>
          </w:p>
          <w:p w14:paraId="56B7A6F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3.</w:t>
            </w:r>
            <w:r w:rsidRPr="00E14102">
              <w:rPr>
                <w:color w:val="000000" w:themeColor="text1"/>
                <w:sz w:val="16"/>
                <w:szCs w:val="16"/>
              </w:rPr>
              <w:tab/>
              <w:t>Тарировка винта.</w:t>
            </w:r>
          </w:p>
          <w:p w14:paraId="5E8C51A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4.</w:t>
            </w:r>
            <w:r w:rsidRPr="00E14102">
              <w:rPr>
                <w:color w:val="000000" w:themeColor="text1"/>
                <w:sz w:val="16"/>
                <w:szCs w:val="16"/>
              </w:rPr>
              <w:tab/>
              <w:t>Километраж.</w:t>
            </w:r>
          </w:p>
        </w:tc>
      </w:tr>
      <w:tr w:rsidR="00E3599D" w:rsidRPr="00E14102" w14:paraId="1615FF29" w14:textId="77777777">
        <w:tc>
          <w:tcPr>
            <w:tcW w:w="3227" w:type="dxa"/>
          </w:tcPr>
          <w:p w14:paraId="7FE9B2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Совместные предварительные испытания самолета СБ-ИС</w:t>
            </w:r>
          </w:p>
        </w:tc>
        <w:tc>
          <w:tcPr>
            <w:tcW w:w="3402" w:type="dxa"/>
          </w:tcPr>
          <w:p w14:paraId="437017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2 летных дня, считая начало с 15 января 1935 года</w:t>
            </w:r>
          </w:p>
        </w:tc>
        <w:tc>
          <w:tcPr>
            <w:tcW w:w="3402" w:type="dxa"/>
          </w:tcPr>
          <w:p w14:paraId="3E4E29D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1.</w:t>
            </w:r>
            <w:r w:rsidRPr="00E14102">
              <w:rPr>
                <w:color w:val="000000" w:themeColor="text1"/>
                <w:sz w:val="16"/>
                <w:szCs w:val="16"/>
              </w:rPr>
              <w:tab/>
              <w:t>Сделано 3 полета на поверку в части поведения самолета в воздухе, в связи с чем обнаружено ряд небольших дефектов, которые устранены.</w:t>
            </w:r>
          </w:p>
          <w:p w14:paraId="57A87F3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2.</w:t>
            </w:r>
            <w:r w:rsidRPr="00E14102">
              <w:rPr>
                <w:color w:val="000000" w:themeColor="text1"/>
                <w:sz w:val="16"/>
                <w:szCs w:val="16"/>
              </w:rPr>
              <w:tab/>
              <w:t>Самолет летал на определение устойчивости в пути.</w:t>
            </w:r>
          </w:p>
          <w:p w14:paraId="7626285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3.</w:t>
            </w:r>
            <w:r w:rsidRPr="00E14102">
              <w:rPr>
                <w:color w:val="000000" w:themeColor="text1"/>
                <w:sz w:val="16"/>
                <w:szCs w:val="16"/>
              </w:rPr>
              <w:tab/>
              <w:t>Определение максимальной скорости.</w:t>
            </w:r>
          </w:p>
          <w:p w14:paraId="30E6820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4.</w:t>
            </w:r>
            <w:r w:rsidRPr="00E14102">
              <w:rPr>
                <w:color w:val="000000" w:themeColor="text1"/>
                <w:sz w:val="16"/>
                <w:szCs w:val="16"/>
              </w:rPr>
              <w:tab/>
              <w:t>Полеты с одним мотором. Самолет подготовлен для полетов на зубцы.</w:t>
            </w:r>
          </w:p>
        </w:tc>
      </w:tr>
      <w:tr w:rsidR="00E3599D" w:rsidRPr="00E14102" w14:paraId="734DD061" w14:textId="77777777">
        <w:tc>
          <w:tcPr>
            <w:tcW w:w="3227" w:type="dxa"/>
          </w:tcPr>
          <w:p w14:paraId="64EA94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планера Р-31</w:t>
            </w:r>
          </w:p>
        </w:tc>
        <w:tc>
          <w:tcPr>
            <w:tcW w:w="3402" w:type="dxa"/>
          </w:tcPr>
          <w:p w14:paraId="164EB1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3402" w:type="dxa"/>
          </w:tcPr>
          <w:p w14:paraId="640A1E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января 1935 года экспериментальный институт (Гроховского) приступил к подготовке планера к заводским испытаниям. Предъявление на госиспытания ожидается через 10 дней. Основным недостатком планера является: планер может производить полеты только при наличии не ниже 70% нагрузки.</w:t>
            </w:r>
          </w:p>
        </w:tc>
      </w:tr>
      <w:tr w:rsidR="00E3599D" w:rsidRPr="00E14102" w14:paraId="79CEBA37" w14:textId="77777777">
        <w:tc>
          <w:tcPr>
            <w:tcW w:w="3227" w:type="dxa"/>
          </w:tcPr>
          <w:p w14:paraId="0B4014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Госиспытание мотора М34 ФРН</w:t>
            </w:r>
          </w:p>
        </w:tc>
        <w:tc>
          <w:tcPr>
            <w:tcW w:w="3402" w:type="dxa"/>
          </w:tcPr>
          <w:p w14:paraId="346D7D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января 1935 года</w:t>
            </w:r>
          </w:p>
        </w:tc>
        <w:tc>
          <w:tcPr>
            <w:tcW w:w="3402" w:type="dxa"/>
          </w:tcPr>
          <w:p w14:paraId="677E78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с госиспытаний снят, так как требует доводки.</w:t>
            </w:r>
          </w:p>
        </w:tc>
      </w:tr>
      <w:tr w:rsidR="00E3599D" w:rsidRPr="00E14102" w14:paraId="72F96EAC" w14:textId="77777777">
        <w:tc>
          <w:tcPr>
            <w:tcW w:w="3227" w:type="dxa"/>
          </w:tcPr>
          <w:p w14:paraId="0ACAD9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Госиспытание опытного мотора ГМ-31 НИИ авиадвигателей ГУГВФ</w:t>
            </w:r>
          </w:p>
        </w:tc>
        <w:tc>
          <w:tcPr>
            <w:tcW w:w="3402" w:type="dxa"/>
          </w:tcPr>
          <w:p w14:paraId="23143C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января 1935 года</w:t>
            </w:r>
          </w:p>
        </w:tc>
        <w:tc>
          <w:tcPr>
            <w:tcW w:w="3402" w:type="dxa"/>
          </w:tcPr>
          <w:p w14:paraId="5A5110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35-м часу мотор снят с госиспытаний ввиду выпадения седла клапана.</w:t>
            </w:r>
          </w:p>
        </w:tc>
      </w:tr>
      <w:tr w:rsidR="00E3599D" w:rsidRPr="00E14102" w14:paraId="2F6625E7" w14:textId="77777777">
        <w:tc>
          <w:tcPr>
            <w:tcW w:w="3227" w:type="dxa"/>
          </w:tcPr>
          <w:p w14:paraId="6617B4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Летные испытания форсированных моторов М17 на самолете И7 и Р5 и ТБ3</w:t>
            </w:r>
          </w:p>
        </w:tc>
        <w:tc>
          <w:tcPr>
            <w:tcW w:w="3402" w:type="dxa"/>
          </w:tcPr>
          <w:p w14:paraId="367AEB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января 1935 года</w:t>
            </w:r>
          </w:p>
        </w:tc>
        <w:tc>
          <w:tcPr>
            <w:tcW w:w="3402" w:type="dxa"/>
          </w:tcPr>
          <w:p w14:paraId="24A760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 установлены на самолеты. Произведен облет. Самолеты подготовлены. 20 января 1935 года предполагается произвести километраж.</w:t>
            </w:r>
          </w:p>
          <w:p w14:paraId="4437E5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самолет ТБ3 установлено только 2 крайних мотора, остальные 2 до сих пор еще не получены.</w:t>
            </w:r>
          </w:p>
        </w:tc>
      </w:tr>
      <w:tr w:rsidR="00E3599D" w:rsidRPr="00E14102" w14:paraId="648EA27C" w14:textId="77777777">
        <w:tc>
          <w:tcPr>
            <w:tcW w:w="3227" w:type="dxa"/>
          </w:tcPr>
          <w:p w14:paraId="7CC8EC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Госиспытание установки замков свободной подвески на самолет ТБ3</w:t>
            </w:r>
          </w:p>
        </w:tc>
        <w:tc>
          <w:tcPr>
            <w:tcW w:w="3402" w:type="dxa"/>
          </w:tcPr>
          <w:p w14:paraId="433724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января 1935 года</w:t>
            </w:r>
          </w:p>
        </w:tc>
        <w:tc>
          <w:tcPr>
            <w:tcW w:w="3402" w:type="dxa"/>
          </w:tcPr>
          <w:p w14:paraId="358FB1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Остается один полет с подвеской двух 1000 кг боевых бомб.</w:t>
            </w:r>
          </w:p>
        </w:tc>
      </w:tr>
      <w:tr w:rsidR="00E3599D" w:rsidRPr="00E14102" w14:paraId="05797CD5" w14:textId="77777777">
        <w:tc>
          <w:tcPr>
            <w:tcW w:w="3227" w:type="dxa"/>
          </w:tcPr>
          <w:p w14:paraId="4EFC53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самолета И16 завода № 39, оборудованного двумя пулеметами ШКАС</w:t>
            </w:r>
          </w:p>
        </w:tc>
        <w:tc>
          <w:tcPr>
            <w:tcW w:w="3402" w:type="dxa"/>
          </w:tcPr>
          <w:p w14:paraId="411D2B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6 летных дней, считая начало с 21 декабря 1934 года</w:t>
            </w:r>
          </w:p>
        </w:tc>
        <w:tc>
          <w:tcPr>
            <w:tcW w:w="3402" w:type="dxa"/>
          </w:tcPr>
          <w:p w14:paraId="17251A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закончено. Установка забракована.</w:t>
            </w:r>
          </w:p>
        </w:tc>
      </w:tr>
      <w:tr w:rsidR="00E3599D" w:rsidRPr="00E14102" w14:paraId="4FA69A7A" w14:textId="77777777">
        <w:tc>
          <w:tcPr>
            <w:tcW w:w="3227" w:type="dxa"/>
          </w:tcPr>
          <w:p w14:paraId="20B69B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самолета И16, предъявленного ОКБ-2 ГВМУ, оборудованного двумя пулеметами ШКАС по одному в крыле</w:t>
            </w:r>
          </w:p>
        </w:tc>
        <w:tc>
          <w:tcPr>
            <w:tcW w:w="3402" w:type="dxa"/>
          </w:tcPr>
          <w:p w14:paraId="18753F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6 летных дней, начало с 22 декабря 1934 года</w:t>
            </w:r>
          </w:p>
        </w:tc>
        <w:tc>
          <w:tcPr>
            <w:tcW w:w="3402" w:type="dxa"/>
          </w:tcPr>
          <w:p w14:paraId="65202C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января 1935 года бригада Шпитального сняла пулеметы для устранения дефектов и доводки.</w:t>
            </w:r>
          </w:p>
          <w:p w14:paraId="1E5220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января 1935 года бригада предполагает приступить к установке обратно на самолет пулеметов для продолжения испытаний.</w:t>
            </w:r>
          </w:p>
        </w:tc>
      </w:tr>
    </w:tbl>
    <w:p w14:paraId="45811F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(7779, 2-4).</w:t>
      </w:r>
    </w:p>
    <w:p w14:paraId="059007D1" w14:textId="77777777" w:rsidR="00D4105E" w:rsidRPr="00E14102" w:rsidRDefault="00D4105E" w:rsidP="00E14102">
      <w:pPr>
        <w:autoSpaceDE w:val="0"/>
        <w:autoSpaceDN w:val="0"/>
        <w:adjustRightInd w:val="0"/>
        <w:jc w:val="both"/>
        <w:rPr>
          <w:color w:val="000000" w:themeColor="text1"/>
          <w:sz w:val="16"/>
          <w:szCs w:val="16"/>
        </w:rPr>
      </w:pPr>
    </w:p>
    <w:p w14:paraId="0188A03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17715CD" w14:textId="77777777" w:rsidR="00D4105E" w:rsidRPr="00E14102" w:rsidRDefault="00D4105E" w:rsidP="00E14102">
      <w:pPr>
        <w:autoSpaceDE w:val="0"/>
        <w:autoSpaceDN w:val="0"/>
        <w:adjustRightInd w:val="0"/>
        <w:jc w:val="both"/>
        <w:rPr>
          <w:iCs/>
          <w:color w:val="000000" w:themeColor="text1"/>
          <w:sz w:val="16"/>
          <w:szCs w:val="16"/>
        </w:rPr>
      </w:pPr>
    </w:p>
    <w:p w14:paraId="008C3FAE" w14:textId="77777777" w:rsidR="006240D4" w:rsidRPr="00E14102" w:rsidRDefault="006240D4" w:rsidP="00E14102">
      <w:pPr>
        <w:jc w:val="both"/>
        <w:rPr>
          <w:color w:val="000000" w:themeColor="text1"/>
          <w:sz w:val="16"/>
          <w:szCs w:val="16"/>
        </w:rPr>
      </w:pPr>
      <w:r w:rsidRPr="00E14102">
        <w:rPr>
          <w:color w:val="000000" w:themeColor="text1"/>
          <w:sz w:val="16"/>
          <w:szCs w:val="16"/>
        </w:rPr>
        <w:t>20 января 1935 г. — Справка Сектора обороны Госплана СССР «Динамика показателей производства по военной промышленности от VI к VII съезду Советов»</w:t>
      </w:r>
    </w:p>
    <w:p w14:paraId="1F73ABF0" w14:textId="77777777" w:rsidR="006240D4" w:rsidRPr="00E14102" w:rsidRDefault="006240D4" w:rsidP="00E14102">
      <w:pPr>
        <w:jc w:val="both"/>
        <w:rPr>
          <w:color w:val="000000" w:themeColor="text1"/>
          <w:sz w:val="16"/>
          <w:szCs w:val="16"/>
        </w:rPr>
      </w:pPr>
      <w:r w:rsidRPr="00E14102">
        <w:rPr>
          <w:color w:val="000000" w:themeColor="text1"/>
          <w:sz w:val="16"/>
          <w:szCs w:val="16"/>
        </w:rPr>
        <w:t>(в млн. руб.)</w:t>
      </w:r>
    </w:p>
    <w:tbl>
      <w:tblPr>
        <w:tblW w:w="5000" w:type="pct"/>
        <w:tblCellSpacing w:w="15" w:type="dxa"/>
        <w:tblCellMar>
          <w:left w:w="0" w:type="dxa"/>
          <w:right w:w="0" w:type="dxa"/>
        </w:tblCellMar>
        <w:tblLook w:val="04A0" w:firstRow="1" w:lastRow="0" w:firstColumn="1" w:lastColumn="0" w:noHBand="0" w:noVBand="1"/>
      </w:tblPr>
      <w:tblGrid>
        <w:gridCol w:w="11339"/>
      </w:tblGrid>
      <w:tr w:rsidR="00E3599D" w:rsidRPr="00E14102" w14:paraId="0353E0FD" w14:textId="77777777" w:rsidTr="00493FC3">
        <w:trPr>
          <w:tblCellSpacing w:w="15" w:type="dxa"/>
        </w:trPr>
        <w:tc>
          <w:tcPr>
            <w:tcW w:w="0" w:type="auto"/>
            <w:vAlign w:val="center"/>
            <w:hideMark/>
          </w:tcPr>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41"/>
              <w:gridCol w:w="1099"/>
              <w:gridCol w:w="1099"/>
              <w:gridCol w:w="1099"/>
              <w:gridCol w:w="1325"/>
            </w:tblGrid>
            <w:tr w:rsidR="00E3599D" w:rsidRPr="00E14102" w14:paraId="4F2A0D4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97D2BB" w14:textId="77777777" w:rsidR="006240D4" w:rsidRPr="00E14102" w:rsidRDefault="006240D4" w:rsidP="00E14102">
                  <w:pPr>
                    <w:jc w:val="both"/>
                    <w:rPr>
                      <w:color w:val="000000" w:themeColor="text1"/>
                      <w:sz w:val="16"/>
                      <w:szCs w:val="16"/>
                    </w:rPr>
                  </w:pPr>
                  <w:r w:rsidRPr="00E14102">
                    <w:rPr>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C2C48" w14:textId="77777777" w:rsidR="006240D4" w:rsidRPr="00E14102" w:rsidRDefault="006240D4" w:rsidP="00E14102">
                  <w:pPr>
                    <w:jc w:val="both"/>
                    <w:rPr>
                      <w:color w:val="000000" w:themeColor="text1"/>
                      <w:sz w:val="16"/>
                      <w:szCs w:val="16"/>
                    </w:rPr>
                  </w:pPr>
                  <w:r w:rsidRPr="00E14102">
                    <w:rPr>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BAE45" w14:textId="77777777" w:rsidR="006240D4" w:rsidRPr="00E14102" w:rsidRDefault="006240D4" w:rsidP="00E14102">
                  <w:pPr>
                    <w:jc w:val="both"/>
                    <w:rPr>
                      <w:color w:val="000000" w:themeColor="text1"/>
                      <w:sz w:val="16"/>
                      <w:szCs w:val="16"/>
                    </w:rPr>
                  </w:pPr>
                  <w:r w:rsidRPr="00E14102">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962A2" w14:textId="77777777" w:rsidR="006240D4" w:rsidRPr="00E14102" w:rsidRDefault="006240D4" w:rsidP="00E14102">
                  <w:pPr>
                    <w:jc w:val="both"/>
                    <w:rPr>
                      <w:color w:val="000000" w:themeColor="text1"/>
                      <w:sz w:val="16"/>
                      <w:szCs w:val="16"/>
                    </w:rPr>
                  </w:pPr>
                  <w:r w:rsidRPr="00E14102">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9CB54" w14:textId="77777777" w:rsidR="006240D4" w:rsidRPr="00E14102" w:rsidRDefault="006240D4" w:rsidP="00E14102">
                  <w:pPr>
                    <w:jc w:val="both"/>
                    <w:rPr>
                      <w:color w:val="000000" w:themeColor="text1"/>
                      <w:sz w:val="16"/>
                      <w:szCs w:val="16"/>
                    </w:rPr>
                  </w:pPr>
                  <w:r w:rsidRPr="00E14102">
                    <w:rPr>
                      <w:color w:val="000000" w:themeColor="text1"/>
                      <w:sz w:val="16"/>
                      <w:szCs w:val="16"/>
                    </w:rPr>
                    <w:t>1934 г.</w:t>
                  </w:r>
                </w:p>
              </w:tc>
            </w:tr>
            <w:tr w:rsidR="00E3599D" w:rsidRPr="00E14102" w14:paraId="3FA8B612" w14:textId="77777777" w:rsidTr="00493FC3">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B4BA294" w14:textId="77777777" w:rsidR="006240D4" w:rsidRPr="00E14102" w:rsidRDefault="006240D4" w:rsidP="00E14102">
                  <w:pPr>
                    <w:jc w:val="both"/>
                    <w:rPr>
                      <w:color w:val="000000" w:themeColor="text1"/>
                      <w:sz w:val="16"/>
                      <w:szCs w:val="16"/>
                    </w:rPr>
                  </w:pPr>
                  <w:r w:rsidRPr="00E14102">
                    <w:rPr>
                      <w:color w:val="000000" w:themeColor="text1"/>
                      <w:sz w:val="16"/>
                      <w:szCs w:val="16"/>
                    </w:rPr>
                    <w:t>ГВМУ</w:t>
                  </w:r>
                </w:p>
              </w:tc>
            </w:tr>
            <w:tr w:rsidR="00E3599D" w:rsidRPr="00E14102" w14:paraId="3B1D9B8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5DB41E" w14:textId="77777777" w:rsidR="006240D4" w:rsidRPr="00E14102" w:rsidRDefault="006240D4" w:rsidP="00E14102">
                  <w:pPr>
                    <w:jc w:val="both"/>
                    <w:rPr>
                      <w:color w:val="000000" w:themeColor="text1"/>
                      <w:sz w:val="16"/>
                      <w:szCs w:val="16"/>
                    </w:rPr>
                  </w:pPr>
                  <w:r w:rsidRPr="00E14102">
                    <w:rPr>
                      <w:color w:val="000000" w:themeColor="text1"/>
                      <w:sz w:val="16"/>
                      <w:szCs w:val="16"/>
                    </w:rPr>
                    <w:t>1. Валовая продукция (в ценах 1926/27 г.)</w:t>
                  </w:r>
                </w:p>
                <w:p w14:paraId="13D3CC1A" w14:textId="77777777" w:rsidR="006240D4" w:rsidRPr="00E14102" w:rsidRDefault="006240D4" w:rsidP="00E14102">
                  <w:pPr>
                    <w:jc w:val="both"/>
                    <w:rPr>
                      <w:color w:val="000000" w:themeColor="text1"/>
                      <w:sz w:val="16"/>
                      <w:szCs w:val="16"/>
                    </w:rPr>
                  </w:pPr>
                  <w:r w:rsidRPr="00E14102">
                    <w:rPr>
                      <w:color w:val="000000" w:themeColor="text1"/>
                      <w:sz w:val="16"/>
                      <w:szCs w:val="16"/>
                    </w:rPr>
                    <w:t>в том числе военная</w:t>
                  </w:r>
                </w:p>
                <w:p w14:paraId="3F49B5D2" w14:textId="77777777" w:rsidR="006240D4" w:rsidRPr="00E14102" w:rsidRDefault="006240D4" w:rsidP="00E14102">
                  <w:pPr>
                    <w:jc w:val="both"/>
                    <w:rPr>
                      <w:color w:val="000000" w:themeColor="text1"/>
                      <w:sz w:val="16"/>
                      <w:szCs w:val="16"/>
                    </w:rPr>
                  </w:pPr>
                  <w:r w:rsidRPr="00E14102">
                    <w:rPr>
                      <w:color w:val="000000" w:themeColor="text1"/>
                      <w:sz w:val="16"/>
                      <w:szCs w:val="16"/>
                    </w:rPr>
                    <w:t>в том числе 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111DC" w14:textId="77777777" w:rsidR="006240D4" w:rsidRPr="00E14102" w:rsidRDefault="006240D4" w:rsidP="00E14102">
                  <w:pPr>
                    <w:jc w:val="both"/>
                    <w:rPr>
                      <w:color w:val="000000" w:themeColor="text1"/>
                      <w:sz w:val="16"/>
                      <w:szCs w:val="16"/>
                    </w:rPr>
                  </w:pPr>
                  <w:r w:rsidRPr="00E14102">
                    <w:rPr>
                      <w:color w:val="000000" w:themeColor="text1"/>
                      <w:sz w:val="16"/>
                      <w:szCs w:val="16"/>
                    </w:rPr>
                    <w:t>924,5</w:t>
                  </w:r>
                </w:p>
                <w:p w14:paraId="34A6CCDC" w14:textId="77777777" w:rsidR="006240D4" w:rsidRPr="00E14102" w:rsidRDefault="006240D4" w:rsidP="00E14102">
                  <w:pPr>
                    <w:jc w:val="both"/>
                    <w:rPr>
                      <w:color w:val="000000" w:themeColor="text1"/>
                      <w:sz w:val="16"/>
                      <w:szCs w:val="16"/>
                    </w:rPr>
                  </w:pPr>
                  <w:r w:rsidRPr="00E14102">
                    <w:rPr>
                      <w:color w:val="000000" w:themeColor="text1"/>
                      <w:sz w:val="16"/>
                      <w:szCs w:val="16"/>
                    </w:rPr>
                    <w:t>417,5</w:t>
                  </w:r>
                </w:p>
                <w:p w14:paraId="7E0DE6A4" w14:textId="77777777" w:rsidR="006240D4" w:rsidRPr="00E14102" w:rsidRDefault="006240D4" w:rsidP="00E14102">
                  <w:pPr>
                    <w:jc w:val="both"/>
                    <w:rPr>
                      <w:color w:val="000000" w:themeColor="text1"/>
                      <w:sz w:val="16"/>
                      <w:szCs w:val="16"/>
                    </w:rPr>
                  </w:pPr>
                  <w:r w:rsidRPr="00E14102">
                    <w:rPr>
                      <w:color w:val="000000" w:themeColor="text1"/>
                      <w:sz w:val="16"/>
                      <w:szCs w:val="16"/>
                    </w:rPr>
                    <w:t>290,2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60FCB" w14:textId="77777777" w:rsidR="006240D4" w:rsidRPr="00E14102" w:rsidRDefault="006240D4" w:rsidP="00E14102">
                  <w:pPr>
                    <w:jc w:val="both"/>
                    <w:rPr>
                      <w:color w:val="000000" w:themeColor="text1"/>
                      <w:sz w:val="16"/>
                      <w:szCs w:val="16"/>
                    </w:rPr>
                  </w:pPr>
                  <w:r w:rsidRPr="00E14102">
                    <w:rPr>
                      <w:color w:val="000000" w:themeColor="text1"/>
                      <w:sz w:val="16"/>
                      <w:szCs w:val="16"/>
                    </w:rPr>
                    <w:t>1389,2</w:t>
                  </w:r>
                </w:p>
                <w:p w14:paraId="5EA8E671" w14:textId="77777777" w:rsidR="006240D4" w:rsidRPr="00E14102" w:rsidRDefault="006240D4" w:rsidP="00E14102">
                  <w:pPr>
                    <w:jc w:val="both"/>
                    <w:rPr>
                      <w:color w:val="000000" w:themeColor="text1"/>
                      <w:sz w:val="16"/>
                      <w:szCs w:val="16"/>
                    </w:rPr>
                  </w:pPr>
                  <w:r w:rsidRPr="00E14102">
                    <w:rPr>
                      <w:color w:val="000000" w:themeColor="text1"/>
                      <w:sz w:val="16"/>
                      <w:szCs w:val="16"/>
                    </w:rPr>
                    <w:t>718,2</w:t>
                  </w:r>
                </w:p>
                <w:p w14:paraId="109D5518" w14:textId="77777777" w:rsidR="006240D4" w:rsidRPr="00E14102" w:rsidRDefault="006240D4" w:rsidP="00E14102">
                  <w:pPr>
                    <w:jc w:val="both"/>
                    <w:rPr>
                      <w:color w:val="000000" w:themeColor="text1"/>
                      <w:sz w:val="16"/>
                      <w:szCs w:val="16"/>
                    </w:rPr>
                  </w:pPr>
                  <w:r w:rsidRPr="00E14102">
                    <w:rPr>
                      <w:color w:val="000000" w:themeColor="text1"/>
                      <w:sz w:val="16"/>
                      <w:szCs w:val="16"/>
                    </w:rPr>
                    <w:t>311,7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63D9A" w14:textId="77777777" w:rsidR="006240D4" w:rsidRPr="00E14102" w:rsidRDefault="006240D4" w:rsidP="00E14102">
                  <w:pPr>
                    <w:jc w:val="both"/>
                    <w:rPr>
                      <w:color w:val="000000" w:themeColor="text1"/>
                      <w:sz w:val="16"/>
                      <w:szCs w:val="16"/>
                    </w:rPr>
                  </w:pPr>
                  <w:r w:rsidRPr="00E14102">
                    <w:rPr>
                      <w:color w:val="000000" w:themeColor="text1"/>
                      <w:sz w:val="16"/>
                      <w:szCs w:val="16"/>
                    </w:rPr>
                    <w:t>1250,6</w:t>
                  </w:r>
                </w:p>
                <w:p w14:paraId="7C062C83" w14:textId="77777777" w:rsidR="006240D4" w:rsidRPr="00E14102" w:rsidRDefault="006240D4" w:rsidP="00E14102">
                  <w:pPr>
                    <w:jc w:val="both"/>
                    <w:rPr>
                      <w:color w:val="000000" w:themeColor="text1"/>
                      <w:sz w:val="16"/>
                      <w:szCs w:val="16"/>
                    </w:rPr>
                  </w:pPr>
                  <w:r w:rsidRPr="00E14102">
                    <w:rPr>
                      <w:color w:val="000000" w:themeColor="text1"/>
                      <w:sz w:val="16"/>
                      <w:szCs w:val="16"/>
                    </w:rPr>
                    <w:t>715,4</w:t>
                  </w:r>
                </w:p>
                <w:p w14:paraId="13E68944" w14:textId="77777777" w:rsidR="006240D4" w:rsidRPr="00E14102" w:rsidRDefault="006240D4" w:rsidP="00E14102">
                  <w:pPr>
                    <w:jc w:val="both"/>
                    <w:rPr>
                      <w:color w:val="000000" w:themeColor="text1"/>
                      <w:sz w:val="16"/>
                      <w:szCs w:val="16"/>
                    </w:rPr>
                  </w:pPr>
                  <w:r w:rsidRPr="00E14102">
                    <w:rPr>
                      <w:color w:val="000000" w:themeColor="text1"/>
                      <w:sz w:val="16"/>
                      <w:szCs w:val="16"/>
                    </w:rPr>
                    <w:t>378,1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CA9EE" w14:textId="77777777" w:rsidR="006240D4" w:rsidRPr="00E14102" w:rsidRDefault="006240D4" w:rsidP="00E14102">
                  <w:pPr>
                    <w:jc w:val="both"/>
                    <w:rPr>
                      <w:color w:val="000000" w:themeColor="text1"/>
                      <w:sz w:val="16"/>
                      <w:szCs w:val="16"/>
                    </w:rPr>
                  </w:pPr>
                  <w:r w:rsidRPr="00E14102">
                    <w:rPr>
                      <w:color w:val="000000" w:themeColor="text1"/>
                      <w:sz w:val="16"/>
                      <w:szCs w:val="16"/>
                    </w:rPr>
                    <w:t>1500,0</w:t>
                  </w:r>
                </w:p>
                <w:p w14:paraId="627FDA16" w14:textId="77777777" w:rsidR="006240D4" w:rsidRPr="00E14102" w:rsidRDefault="006240D4" w:rsidP="00E14102">
                  <w:pPr>
                    <w:jc w:val="both"/>
                    <w:rPr>
                      <w:color w:val="000000" w:themeColor="text1"/>
                      <w:sz w:val="16"/>
                      <w:szCs w:val="16"/>
                    </w:rPr>
                  </w:pPr>
                  <w:r w:rsidRPr="00E14102">
                    <w:rPr>
                      <w:color w:val="000000" w:themeColor="text1"/>
                      <w:sz w:val="16"/>
                      <w:szCs w:val="16"/>
                    </w:rPr>
                    <w:t>762,0¹*</w:t>
                  </w:r>
                </w:p>
                <w:p w14:paraId="5DDE7AE5" w14:textId="77777777" w:rsidR="006240D4" w:rsidRPr="00E14102" w:rsidRDefault="006240D4" w:rsidP="00E14102">
                  <w:pPr>
                    <w:jc w:val="both"/>
                    <w:rPr>
                      <w:color w:val="000000" w:themeColor="text1"/>
                      <w:sz w:val="16"/>
                      <w:szCs w:val="16"/>
                    </w:rPr>
                  </w:pPr>
                  <w:r w:rsidRPr="00E14102">
                    <w:rPr>
                      <w:color w:val="000000" w:themeColor="text1"/>
                      <w:sz w:val="16"/>
                      <w:szCs w:val="16"/>
                    </w:rPr>
                    <w:t>528,0</w:t>
                  </w:r>
                </w:p>
              </w:tc>
            </w:tr>
            <w:tr w:rsidR="00E3599D" w:rsidRPr="00E14102" w14:paraId="6A703CE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E458F0" w14:textId="77777777" w:rsidR="006240D4" w:rsidRPr="00E14102" w:rsidRDefault="006240D4" w:rsidP="00E14102">
                  <w:pPr>
                    <w:jc w:val="both"/>
                    <w:rPr>
                      <w:color w:val="000000" w:themeColor="text1"/>
                      <w:sz w:val="16"/>
                      <w:szCs w:val="16"/>
                    </w:rPr>
                  </w:pPr>
                  <w:r w:rsidRPr="00E14102">
                    <w:rPr>
                      <w:color w:val="000000" w:themeColor="text1"/>
                      <w:sz w:val="16"/>
                      <w:szCs w:val="16"/>
                    </w:rPr>
                    <w:t>2. Годовое 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4F9A8" w14:textId="77777777" w:rsidR="006240D4" w:rsidRPr="00E14102" w:rsidRDefault="006240D4" w:rsidP="00E14102">
                  <w:pPr>
                    <w:jc w:val="both"/>
                    <w:rPr>
                      <w:color w:val="000000" w:themeColor="text1"/>
                      <w:sz w:val="16"/>
                      <w:szCs w:val="16"/>
                    </w:rPr>
                  </w:pPr>
                  <w:r w:rsidRPr="00E14102">
                    <w:rPr>
                      <w:color w:val="000000" w:themeColor="text1"/>
                      <w:sz w:val="16"/>
                      <w:szCs w:val="16"/>
                    </w:rPr>
                    <w:t>180,1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A6F49" w14:textId="77777777" w:rsidR="006240D4" w:rsidRPr="00E14102" w:rsidRDefault="006240D4" w:rsidP="00E14102">
                  <w:pPr>
                    <w:jc w:val="both"/>
                    <w:rPr>
                      <w:color w:val="000000" w:themeColor="text1"/>
                      <w:sz w:val="16"/>
                      <w:szCs w:val="16"/>
                    </w:rPr>
                  </w:pPr>
                  <w:r w:rsidRPr="00E14102">
                    <w:rPr>
                      <w:color w:val="000000" w:themeColor="text1"/>
                      <w:sz w:val="16"/>
                      <w:szCs w:val="16"/>
                    </w:rPr>
                    <w:t>219,3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C0169" w14:textId="77777777" w:rsidR="006240D4" w:rsidRPr="00E14102" w:rsidRDefault="006240D4" w:rsidP="00E14102">
                  <w:pPr>
                    <w:jc w:val="both"/>
                    <w:rPr>
                      <w:color w:val="000000" w:themeColor="text1"/>
                      <w:sz w:val="16"/>
                      <w:szCs w:val="16"/>
                    </w:rPr>
                  </w:pPr>
                  <w:r w:rsidRPr="00E14102">
                    <w:rPr>
                      <w:color w:val="000000" w:themeColor="text1"/>
                      <w:sz w:val="16"/>
                      <w:szCs w:val="16"/>
                    </w:rPr>
                    <w:t>187,7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EF455" w14:textId="77777777" w:rsidR="006240D4" w:rsidRPr="00E14102" w:rsidRDefault="006240D4" w:rsidP="00E14102">
                  <w:pPr>
                    <w:jc w:val="both"/>
                    <w:rPr>
                      <w:color w:val="000000" w:themeColor="text1"/>
                      <w:sz w:val="16"/>
                      <w:szCs w:val="16"/>
                    </w:rPr>
                  </w:pPr>
                  <w:r w:rsidRPr="00E14102">
                    <w:rPr>
                      <w:color w:val="000000" w:themeColor="text1"/>
                      <w:sz w:val="16"/>
                      <w:szCs w:val="16"/>
                    </w:rPr>
                    <w:t>203,9</w:t>
                  </w:r>
                </w:p>
              </w:tc>
            </w:tr>
            <w:tr w:rsidR="00E3599D" w:rsidRPr="00E14102" w14:paraId="5A0E68D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DCD2C3" w14:textId="77777777" w:rsidR="006240D4" w:rsidRPr="00E14102" w:rsidRDefault="006240D4" w:rsidP="00E14102">
                  <w:pPr>
                    <w:jc w:val="both"/>
                    <w:rPr>
                      <w:color w:val="000000" w:themeColor="text1"/>
                      <w:sz w:val="16"/>
                      <w:szCs w:val="16"/>
                    </w:rPr>
                  </w:pPr>
                  <w:r w:rsidRPr="00E14102">
                    <w:rPr>
                      <w:color w:val="000000" w:themeColor="text1"/>
                      <w:sz w:val="16"/>
                      <w:szCs w:val="16"/>
                    </w:rPr>
                    <w:t>3. Выработка на 1 руб. основных фондов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E7E2C" w14:textId="77777777" w:rsidR="006240D4" w:rsidRPr="00E14102" w:rsidRDefault="006240D4" w:rsidP="00E14102">
                  <w:pPr>
                    <w:jc w:val="both"/>
                    <w:rPr>
                      <w:color w:val="000000" w:themeColor="text1"/>
                      <w:sz w:val="16"/>
                      <w:szCs w:val="16"/>
                    </w:rPr>
                  </w:pPr>
                  <w:r w:rsidRPr="00E14102">
                    <w:rPr>
                      <w:color w:val="000000" w:themeColor="text1"/>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B3738" w14:textId="77777777" w:rsidR="006240D4" w:rsidRPr="00E14102" w:rsidRDefault="006240D4" w:rsidP="00E14102">
                  <w:pPr>
                    <w:jc w:val="both"/>
                    <w:rPr>
                      <w:color w:val="000000" w:themeColor="text1"/>
                      <w:sz w:val="16"/>
                      <w:szCs w:val="16"/>
                    </w:rPr>
                  </w:pPr>
                  <w:r w:rsidRPr="00E14102">
                    <w:rPr>
                      <w:color w:val="000000" w:themeColor="text1"/>
                      <w:sz w:val="16"/>
                      <w:szCs w:val="16"/>
                    </w:rPr>
                    <w:t>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26C5B" w14:textId="77777777" w:rsidR="006240D4" w:rsidRPr="00E14102" w:rsidRDefault="006240D4" w:rsidP="00E14102">
                  <w:pPr>
                    <w:jc w:val="both"/>
                    <w:rPr>
                      <w:color w:val="000000" w:themeColor="text1"/>
                      <w:sz w:val="16"/>
                      <w:szCs w:val="16"/>
                    </w:rPr>
                  </w:pPr>
                  <w:r w:rsidRPr="00E14102">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3D992" w14:textId="77777777" w:rsidR="006240D4" w:rsidRPr="00E14102" w:rsidRDefault="006240D4" w:rsidP="00E14102">
                  <w:pPr>
                    <w:jc w:val="both"/>
                    <w:rPr>
                      <w:color w:val="000000" w:themeColor="text1"/>
                      <w:sz w:val="16"/>
                      <w:szCs w:val="16"/>
                    </w:rPr>
                  </w:pPr>
                  <w:r w:rsidRPr="00E14102">
                    <w:rPr>
                      <w:color w:val="000000" w:themeColor="text1"/>
                      <w:sz w:val="16"/>
                      <w:szCs w:val="16"/>
                    </w:rPr>
                    <w:t>1,21</w:t>
                  </w:r>
                </w:p>
              </w:tc>
            </w:tr>
            <w:tr w:rsidR="00E3599D" w:rsidRPr="00E14102" w14:paraId="5ACFD4B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D8DFC9" w14:textId="77777777" w:rsidR="006240D4" w:rsidRPr="00E14102" w:rsidRDefault="006240D4" w:rsidP="00E14102">
                  <w:pPr>
                    <w:jc w:val="both"/>
                    <w:rPr>
                      <w:color w:val="000000" w:themeColor="text1"/>
                      <w:sz w:val="16"/>
                      <w:szCs w:val="16"/>
                    </w:rPr>
                  </w:pPr>
                  <w:r w:rsidRPr="00E14102">
                    <w:rPr>
                      <w:color w:val="000000" w:themeColor="text1"/>
                      <w:sz w:val="16"/>
                      <w:szCs w:val="16"/>
                    </w:rPr>
                    <w:t>4. 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E2080" w14:textId="77777777" w:rsidR="006240D4" w:rsidRPr="00E14102" w:rsidRDefault="006240D4" w:rsidP="00E14102">
                  <w:pPr>
                    <w:jc w:val="both"/>
                    <w:rPr>
                      <w:color w:val="000000" w:themeColor="text1"/>
                      <w:sz w:val="16"/>
                      <w:szCs w:val="16"/>
                    </w:rPr>
                  </w:pPr>
                  <w:r w:rsidRPr="00E14102">
                    <w:rPr>
                      <w:color w:val="000000" w:themeColor="text1"/>
                      <w:sz w:val="16"/>
                      <w:szCs w:val="16"/>
                    </w:rPr>
                    <w:t>5133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1995A" w14:textId="77777777" w:rsidR="006240D4" w:rsidRPr="00E14102" w:rsidRDefault="006240D4" w:rsidP="00E14102">
                  <w:pPr>
                    <w:jc w:val="both"/>
                    <w:rPr>
                      <w:color w:val="000000" w:themeColor="text1"/>
                      <w:sz w:val="16"/>
                      <w:szCs w:val="16"/>
                    </w:rPr>
                  </w:pPr>
                  <w:r w:rsidRPr="00E14102">
                    <w:rPr>
                      <w:color w:val="000000" w:themeColor="text1"/>
                      <w:sz w:val="16"/>
                      <w:szCs w:val="16"/>
                    </w:rPr>
                    <w:t>6335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4FD25" w14:textId="77777777" w:rsidR="006240D4" w:rsidRPr="00E14102" w:rsidRDefault="006240D4" w:rsidP="00E14102">
                  <w:pPr>
                    <w:jc w:val="both"/>
                    <w:rPr>
                      <w:color w:val="000000" w:themeColor="text1"/>
                      <w:sz w:val="16"/>
                      <w:szCs w:val="16"/>
                    </w:rPr>
                  </w:pPr>
                  <w:r w:rsidRPr="00E14102">
                    <w:rPr>
                      <w:color w:val="000000" w:themeColor="text1"/>
                      <w:sz w:val="16"/>
                      <w:szCs w:val="16"/>
                    </w:rPr>
                    <w:t>6663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03A0E" w14:textId="77777777" w:rsidR="006240D4" w:rsidRPr="00E14102" w:rsidRDefault="006240D4" w:rsidP="00E14102">
                  <w:pPr>
                    <w:jc w:val="both"/>
                    <w:rPr>
                      <w:color w:val="000000" w:themeColor="text1"/>
                      <w:sz w:val="16"/>
                      <w:szCs w:val="16"/>
                    </w:rPr>
                  </w:pPr>
                  <w:r w:rsidRPr="00E14102">
                    <w:rPr>
                      <w:color w:val="000000" w:themeColor="text1"/>
                      <w:sz w:val="16"/>
                      <w:szCs w:val="16"/>
                    </w:rPr>
                    <w:t>7357</w:t>
                  </w:r>
                </w:p>
              </w:tc>
            </w:tr>
            <w:tr w:rsidR="00E3599D" w:rsidRPr="00E14102" w14:paraId="4A55068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217CED" w14:textId="77777777" w:rsidR="006240D4" w:rsidRPr="00E14102" w:rsidRDefault="006240D4" w:rsidP="00E14102">
                  <w:pPr>
                    <w:jc w:val="both"/>
                    <w:rPr>
                      <w:color w:val="000000" w:themeColor="text1"/>
                      <w:sz w:val="16"/>
                      <w:szCs w:val="16"/>
                    </w:rPr>
                  </w:pPr>
                  <w:r w:rsidRPr="00E14102">
                    <w:rPr>
                      <w:color w:val="000000" w:themeColor="text1"/>
                      <w:sz w:val="16"/>
                      <w:szCs w:val="16"/>
                    </w:rPr>
                    <w:t>5. Снижение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28344" w14:textId="77777777" w:rsidR="006240D4" w:rsidRPr="00E14102" w:rsidRDefault="006240D4" w:rsidP="00E14102">
                  <w:pPr>
                    <w:jc w:val="both"/>
                    <w:rPr>
                      <w:color w:val="000000" w:themeColor="text1"/>
                      <w:sz w:val="16"/>
                      <w:szCs w:val="16"/>
                    </w:rPr>
                  </w:pPr>
                  <w:r w:rsidRPr="00E14102">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2823A" w14:textId="77777777" w:rsidR="006240D4" w:rsidRPr="00E14102" w:rsidRDefault="006240D4" w:rsidP="00E14102">
                  <w:pPr>
                    <w:jc w:val="both"/>
                    <w:rPr>
                      <w:color w:val="000000" w:themeColor="text1"/>
                      <w:sz w:val="16"/>
                      <w:szCs w:val="16"/>
                    </w:rPr>
                  </w:pPr>
                  <w:r w:rsidRPr="00E14102">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A993A" w14:textId="77777777" w:rsidR="006240D4" w:rsidRPr="00E14102" w:rsidRDefault="006240D4" w:rsidP="00E14102">
                  <w:pPr>
                    <w:jc w:val="both"/>
                    <w:rPr>
                      <w:color w:val="000000" w:themeColor="text1"/>
                      <w:sz w:val="16"/>
                      <w:szCs w:val="16"/>
                    </w:rPr>
                  </w:pPr>
                  <w:r w:rsidRPr="00E14102">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51BB7" w14:textId="77777777" w:rsidR="006240D4" w:rsidRPr="00E14102" w:rsidRDefault="006240D4" w:rsidP="00E14102">
                  <w:pPr>
                    <w:jc w:val="both"/>
                    <w:rPr>
                      <w:color w:val="000000" w:themeColor="text1"/>
                      <w:sz w:val="16"/>
                      <w:szCs w:val="16"/>
                    </w:rPr>
                  </w:pPr>
                  <w:r w:rsidRPr="00E14102">
                    <w:rPr>
                      <w:color w:val="000000" w:themeColor="text1"/>
                      <w:sz w:val="16"/>
                      <w:szCs w:val="16"/>
                    </w:rPr>
                    <w:t>-7,0</w:t>
                  </w:r>
                </w:p>
              </w:tc>
            </w:tr>
            <w:tr w:rsidR="00E3599D" w:rsidRPr="00E14102" w14:paraId="295E57CC" w14:textId="77777777" w:rsidTr="00493FC3">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AE975F0" w14:textId="77777777" w:rsidR="006240D4" w:rsidRPr="00E14102" w:rsidRDefault="006240D4" w:rsidP="00E14102">
                  <w:pPr>
                    <w:jc w:val="both"/>
                    <w:rPr>
                      <w:color w:val="000000" w:themeColor="text1"/>
                      <w:sz w:val="16"/>
                      <w:szCs w:val="16"/>
                    </w:rPr>
                  </w:pPr>
                  <w:r w:rsidRPr="00E14102">
                    <w:rPr>
                      <w:color w:val="000000" w:themeColor="text1"/>
                      <w:sz w:val="16"/>
                      <w:szCs w:val="16"/>
                    </w:rPr>
                    <w:t>ГУАП</w:t>
                  </w:r>
                </w:p>
              </w:tc>
            </w:tr>
            <w:tr w:rsidR="00E3599D" w:rsidRPr="00E14102" w14:paraId="7DEFF79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AFE42" w14:textId="77777777" w:rsidR="006240D4" w:rsidRPr="00E14102" w:rsidRDefault="006240D4" w:rsidP="00E14102">
                  <w:pPr>
                    <w:jc w:val="both"/>
                    <w:rPr>
                      <w:color w:val="000000" w:themeColor="text1"/>
                      <w:sz w:val="16"/>
                      <w:szCs w:val="16"/>
                    </w:rPr>
                  </w:pPr>
                  <w:r w:rsidRPr="00E14102">
                    <w:rPr>
                      <w:color w:val="000000" w:themeColor="text1"/>
                      <w:sz w:val="16"/>
                      <w:szCs w:val="16"/>
                    </w:rPr>
                    <w:t>1. Валовая продукция (в ценах 1926/27 г.)</w:t>
                  </w:r>
                </w:p>
                <w:p w14:paraId="74D8F8F3" w14:textId="77777777" w:rsidR="006240D4" w:rsidRPr="00E14102" w:rsidRDefault="006240D4" w:rsidP="00E14102">
                  <w:pPr>
                    <w:jc w:val="both"/>
                    <w:rPr>
                      <w:color w:val="000000" w:themeColor="text1"/>
                      <w:sz w:val="16"/>
                      <w:szCs w:val="16"/>
                    </w:rPr>
                  </w:pPr>
                  <w:r w:rsidRPr="00E14102">
                    <w:rPr>
                      <w:color w:val="000000" w:themeColor="text1"/>
                      <w:sz w:val="16"/>
                      <w:szCs w:val="16"/>
                    </w:rPr>
                    <w:t>в том числе военная</w:t>
                  </w:r>
                </w:p>
                <w:p w14:paraId="42D36D5A" w14:textId="77777777" w:rsidR="006240D4" w:rsidRPr="00E14102" w:rsidRDefault="006240D4" w:rsidP="00E14102">
                  <w:pPr>
                    <w:jc w:val="both"/>
                    <w:rPr>
                      <w:color w:val="000000" w:themeColor="text1"/>
                      <w:sz w:val="16"/>
                      <w:szCs w:val="16"/>
                    </w:rPr>
                  </w:pPr>
                  <w:r w:rsidRPr="00E14102">
                    <w:rPr>
                      <w:color w:val="000000" w:themeColor="text1"/>
                      <w:sz w:val="16"/>
                      <w:szCs w:val="16"/>
                    </w:rPr>
                    <w:t>в том числе мирная (ширпотреб)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6DEE6" w14:textId="77777777" w:rsidR="006240D4" w:rsidRPr="00E14102" w:rsidRDefault="006240D4" w:rsidP="00E14102">
                  <w:pPr>
                    <w:jc w:val="both"/>
                    <w:rPr>
                      <w:color w:val="000000" w:themeColor="text1"/>
                      <w:sz w:val="16"/>
                      <w:szCs w:val="16"/>
                    </w:rPr>
                  </w:pPr>
                  <w:r w:rsidRPr="00E14102">
                    <w:rPr>
                      <w:color w:val="000000" w:themeColor="text1"/>
                      <w:sz w:val="16"/>
                      <w:szCs w:val="16"/>
                    </w:rPr>
                    <w:t>156,3</w:t>
                  </w:r>
                </w:p>
                <w:p w14:paraId="3C720927" w14:textId="77777777" w:rsidR="006240D4" w:rsidRPr="00E14102" w:rsidRDefault="006240D4" w:rsidP="00E14102">
                  <w:pPr>
                    <w:jc w:val="both"/>
                    <w:rPr>
                      <w:color w:val="000000" w:themeColor="text1"/>
                      <w:sz w:val="16"/>
                      <w:szCs w:val="16"/>
                    </w:rPr>
                  </w:pPr>
                  <w:r w:rsidRPr="00E14102">
                    <w:rPr>
                      <w:color w:val="000000" w:themeColor="text1"/>
                      <w:sz w:val="16"/>
                      <w:szCs w:val="16"/>
                    </w:rPr>
                    <w:t>111,5</w:t>
                  </w:r>
                </w:p>
                <w:p w14:paraId="7DD5F0B6" w14:textId="77777777" w:rsidR="006240D4" w:rsidRPr="00E14102" w:rsidRDefault="006240D4"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06444" w14:textId="77777777" w:rsidR="006240D4" w:rsidRPr="00E14102" w:rsidRDefault="006240D4" w:rsidP="00E14102">
                  <w:pPr>
                    <w:jc w:val="both"/>
                    <w:rPr>
                      <w:color w:val="000000" w:themeColor="text1"/>
                      <w:sz w:val="16"/>
                      <w:szCs w:val="16"/>
                    </w:rPr>
                  </w:pPr>
                  <w:r w:rsidRPr="00E14102">
                    <w:rPr>
                      <w:color w:val="000000" w:themeColor="text1"/>
                      <w:sz w:val="16"/>
                      <w:szCs w:val="16"/>
                    </w:rPr>
                    <w:t>352,4</w:t>
                  </w:r>
                </w:p>
                <w:p w14:paraId="3F9338C7" w14:textId="77777777" w:rsidR="006240D4" w:rsidRPr="00E14102" w:rsidRDefault="006240D4" w:rsidP="00E14102">
                  <w:pPr>
                    <w:jc w:val="both"/>
                    <w:rPr>
                      <w:color w:val="000000" w:themeColor="text1"/>
                      <w:sz w:val="16"/>
                      <w:szCs w:val="16"/>
                    </w:rPr>
                  </w:pPr>
                  <w:r w:rsidRPr="00E14102">
                    <w:rPr>
                      <w:color w:val="000000" w:themeColor="text1"/>
                      <w:sz w:val="16"/>
                      <w:szCs w:val="16"/>
                    </w:rPr>
                    <w:t>262,4</w:t>
                  </w:r>
                </w:p>
                <w:p w14:paraId="0DF60D5A" w14:textId="77777777" w:rsidR="006240D4" w:rsidRPr="00E14102" w:rsidRDefault="006240D4"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AEE1E" w14:textId="77777777" w:rsidR="006240D4" w:rsidRPr="00E14102" w:rsidRDefault="006240D4" w:rsidP="00E14102">
                  <w:pPr>
                    <w:jc w:val="both"/>
                    <w:rPr>
                      <w:color w:val="000000" w:themeColor="text1"/>
                      <w:sz w:val="16"/>
                      <w:szCs w:val="16"/>
                    </w:rPr>
                  </w:pPr>
                  <w:r w:rsidRPr="00E14102">
                    <w:rPr>
                      <w:color w:val="000000" w:themeColor="text1"/>
                      <w:sz w:val="16"/>
                      <w:szCs w:val="16"/>
                    </w:rPr>
                    <w:t>461,8</w:t>
                  </w:r>
                </w:p>
                <w:p w14:paraId="283DC61F" w14:textId="77777777" w:rsidR="006240D4" w:rsidRPr="00E14102" w:rsidRDefault="006240D4" w:rsidP="00E14102">
                  <w:pPr>
                    <w:jc w:val="both"/>
                    <w:rPr>
                      <w:color w:val="000000" w:themeColor="text1"/>
                      <w:sz w:val="16"/>
                      <w:szCs w:val="16"/>
                    </w:rPr>
                  </w:pPr>
                  <w:r w:rsidRPr="00E14102">
                    <w:rPr>
                      <w:color w:val="000000" w:themeColor="text1"/>
                      <w:sz w:val="16"/>
                      <w:szCs w:val="16"/>
                    </w:rPr>
                    <w:t>442,0</w:t>
                  </w:r>
                </w:p>
                <w:p w14:paraId="64E66934" w14:textId="77777777" w:rsidR="006240D4" w:rsidRPr="00E14102" w:rsidRDefault="006240D4" w:rsidP="00E14102">
                  <w:pPr>
                    <w:jc w:val="both"/>
                    <w:rPr>
                      <w:color w:val="000000" w:themeColor="text1"/>
                      <w:sz w:val="16"/>
                      <w:szCs w:val="16"/>
                    </w:rPr>
                  </w:pPr>
                  <w:r w:rsidRPr="00E14102">
                    <w:rPr>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ED6D7" w14:textId="77777777" w:rsidR="006240D4" w:rsidRPr="00E14102" w:rsidRDefault="006240D4" w:rsidP="00E14102">
                  <w:pPr>
                    <w:jc w:val="both"/>
                    <w:rPr>
                      <w:color w:val="000000" w:themeColor="text1"/>
                      <w:sz w:val="16"/>
                      <w:szCs w:val="16"/>
                    </w:rPr>
                  </w:pPr>
                  <w:r w:rsidRPr="00E14102">
                    <w:rPr>
                      <w:color w:val="000000" w:themeColor="text1"/>
                      <w:sz w:val="16"/>
                      <w:szCs w:val="16"/>
                    </w:rPr>
                    <w:t>683,1</w:t>
                  </w:r>
                </w:p>
                <w:p w14:paraId="2F64E5FA" w14:textId="77777777" w:rsidR="006240D4" w:rsidRPr="00E14102" w:rsidRDefault="006240D4" w:rsidP="00E14102">
                  <w:pPr>
                    <w:jc w:val="both"/>
                    <w:rPr>
                      <w:color w:val="000000" w:themeColor="text1"/>
                      <w:sz w:val="16"/>
                      <w:szCs w:val="16"/>
                    </w:rPr>
                  </w:pPr>
                  <w:r w:rsidRPr="00E14102">
                    <w:rPr>
                      <w:color w:val="000000" w:themeColor="text1"/>
                      <w:sz w:val="16"/>
                      <w:szCs w:val="16"/>
                    </w:rPr>
                    <w:t>510,0</w:t>
                  </w:r>
                </w:p>
                <w:p w14:paraId="4CD762A3" w14:textId="77777777" w:rsidR="006240D4" w:rsidRPr="00E14102" w:rsidRDefault="006240D4" w:rsidP="00E14102">
                  <w:pPr>
                    <w:jc w:val="both"/>
                    <w:rPr>
                      <w:color w:val="000000" w:themeColor="text1"/>
                      <w:sz w:val="16"/>
                      <w:szCs w:val="16"/>
                    </w:rPr>
                  </w:pPr>
                  <w:r w:rsidRPr="00E14102">
                    <w:rPr>
                      <w:color w:val="000000" w:themeColor="text1"/>
                      <w:sz w:val="16"/>
                      <w:szCs w:val="16"/>
                    </w:rPr>
                    <w:t>15,0</w:t>
                  </w:r>
                </w:p>
              </w:tc>
            </w:tr>
            <w:tr w:rsidR="00E3599D" w:rsidRPr="00E14102" w14:paraId="34B478A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FAE0D4" w14:textId="77777777" w:rsidR="006240D4" w:rsidRPr="00E14102" w:rsidRDefault="006240D4" w:rsidP="00E14102">
                  <w:pPr>
                    <w:jc w:val="both"/>
                    <w:rPr>
                      <w:color w:val="000000" w:themeColor="text1"/>
                      <w:sz w:val="16"/>
                      <w:szCs w:val="16"/>
                    </w:rPr>
                  </w:pPr>
                  <w:r w:rsidRPr="00E14102">
                    <w:rPr>
                      <w:color w:val="000000" w:themeColor="text1"/>
                      <w:sz w:val="16"/>
                      <w:szCs w:val="16"/>
                    </w:rPr>
                    <w:t>2. Годовое 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01808" w14:textId="77777777" w:rsidR="006240D4" w:rsidRPr="00E14102" w:rsidRDefault="006240D4" w:rsidP="00E14102">
                  <w:pPr>
                    <w:jc w:val="both"/>
                    <w:rPr>
                      <w:color w:val="000000" w:themeColor="text1"/>
                      <w:sz w:val="16"/>
                      <w:szCs w:val="16"/>
                    </w:rPr>
                  </w:pPr>
                  <w:r w:rsidRPr="00E14102">
                    <w:rPr>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6BDDA" w14:textId="77777777" w:rsidR="006240D4" w:rsidRPr="00E14102" w:rsidRDefault="006240D4" w:rsidP="00E14102">
                  <w:pPr>
                    <w:jc w:val="both"/>
                    <w:rPr>
                      <w:color w:val="000000" w:themeColor="text1"/>
                      <w:sz w:val="16"/>
                      <w:szCs w:val="16"/>
                    </w:rPr>
                  </w:pPr>
                  <w:r w:rsidRPr="00E14102">
                    <w:rPr>
                      <w:color w:val="000000" w:themeColor="text1"/>
                      <w:sz w:val="16"/>
                      <w:szCs w:val="16"/>
                    </w:rPr>
                    <w:t>60,4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E30F5" w14:textId="77777777" w:rsidR="006240D4" w:rsidRPr="00E14102" w:rsidRDefault="006240D4" w:rsidP="00E14102">
                  <w:pPr>
                    <w:jc w:val="both"/>
                    <w:rPr>
                      <w:color w:val="000000" w:themeColor="text1"/>
                      <w:sz w:val="16"/>
                      <w:szCs w:val="16"/>
                    </w:rPr>
                  </w:pPr>
                  <w:r w:rsidRPr="00E14102">
                    <w:rPr>
                      <w:color w:val="000000" w:themeColor="text1"/>
                      <w:sz w:val="16"/>
                      <w:szCs w:val="16"/>
                    </w:rPr>
                    <w:t>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8FBE6" w14:textId="77777777" w:rsidR="006240D4" w:rsidRPr="00E14102" w:rsidRDefault="006240D4" w:rsidP="00E14102">
                  <w:pPr>
                    <w:jc w:val="both"/>
                    <w:rPr>
                      <w:color w:val="000000" w:themeColor="text1"/>
                      <w:sz w:val="16"/>
                      <w:szCs w:val="16"/>
                    </w:rPr>
                  </w:pPr>
                  <w:r w:rsidRPr="00E14102">
                    <w:rPr>
                      <w:color w:val="000000" w:themeColor="text1"/>
                      <w:sz w:val="16"/>
                      <w:szCs w:val="16"/>
                    </w:rPr>
                    <w:t>77,1</w:t>
                  </w:r>
                </w:p>
              </w:tc>
            </w:tr>
            <w:tr w:rsidR="00E3599D" w:rsidRPr="00E14102" w14:paraId="24E5523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8661B0" w14:textId="77777777" w:rsidR="006240D4" w:rsidRPr="00E14102" w:rsidRDefault="006240D4" w:rsidP="00E14102">
                  <w:pPr>
                    <w:jc w:val="both"/>
                    <w:rPr>
                      <w:color w:val="000000" w:themeColor="text1"/>
                      <w:sz w:val="16"/>
                      <w:szCs w:val="16"/>
                    </w:rPr>
                  </w:pPr>
                  <w:r w:rsidRPr="00E14102">
                    <w:rPr>
                      <w:color w:val="000000" w:themeColor="text1"/>
                      <w:sz w:val="16"/>
                      <w:szCs w:val="16"/>
                    </w:rPr>
                    <w:t>3. Выработка на 1 руб. основных фондов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E526F" w14:textId="77777777" w:rsidR="006240D4" w:rsidRPr="00E14102" w:rsidRDefault="006240D4" w:rsidP="00E14102">
                  <w:pPr>
                    <w:jc w:val="both"/>
                    <w:rPr>
                      <w:color w:val="000000" w:themeColor="text1"/>
                      <w:sz w:val="16"/>
                      <w:szCs w:val="16"/>
                    </w:rPr>
                  </w:pPr>
                  <w:r w:rsidRPr="00E14102">
                    <w:rPr>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D60B1" w14:textId="77777777" w:rsidR="006240D4" w:rsidRPr="00E14102" w:rsidRDefault="006240D4" w:rsidP="00E14102">
                  <w:pPr>
                    <w:jc w:val="both"/>
                    <w:rPr>
                      <w:color w:val="000000" w:themeColor="text1"/>
                      <w:sz w:val="16"/>
                      <w:szCs w:val="16"/>
                    </w:rPr>
                  </w:pPr>
                  <w:r w:rsidRPr="00E14102">
                    <w:rPr>
                      <w:color w:val="000000" w:themeColor="text1"/>
                      <w:sz w:val="16"/>
                      <w:szCs w:val="16"/>
                    </w:rPr>
                    <w:t>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31D26" w14:textId="77777777" w:rsidR="006240D4" w:rsidRPr="00E14102" w:rsidRDefault="006240D4" w:rsidP="00E14102">
                  <w:pPr>
                    <w:jc w:val="both"/>
                    <w:rPr>
                      <w:color w:val="000000" w:themeColor="text1"/>
                      <w:sz w:val="16"/>
                      <w:szCs w:val="16"/>
                    </w:rPr>
                  </w:pPr>
                  <w:r w:rsidRPr="00E14102">
                    <w:rPr>
                      <w:color w:val="000000" w:themeColor="text1"/>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21324" w14:textId="77777777" w:rsidR="006240D4" w:rsidRPr="00E14102" w:rsidRDefault="006240D4" w:rsidP="00E14102">
                  <w:pPr>
                    <w:jc w:val="both"/>
                    <w:rPr>
                      <w:color w:val="000000" w:themeColor="text1"/>
                      <w:sz w:val="16"/>
                      <w:szCs w:val="16"/>
                    </w:rPr>
                  </w:pPr>
                  <w:r w:rsidRPr="00E14102">
                    <w:rPr>
                      <w:color w:val="000000" w:themeColor="text1"/>
                      <w:sz w:val="16"/>
                      <w:szCs w:val="16"/>
                    </w:rPr>
                    <w:t>1,65</w:t>
                  </w:r>
                </w:p>
              </w:tc>
            </w:tr>
            <w:tr w:rsidR="00E3599D" w:rsidRPr="00E14102" w14:paraId="1014373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8F4DC4" w14:textId="77777777" w:rsidR="006240D4" w:rsidRPr="00E14102" w:rsidRDefault="006240D4" w:rsidP="00E14102">
                  <w:pPr>
                    <w:jc w:val="both"/>
                    <w:rPr>
                      <w:color w:val="000000" w:themeColor="text1"/>
                      <w:sz w:val="16"/>
                      <w:szCs w:val="16"/>
                    </w:rPr>
                  </w:pPr>
                  <w:r w:rsidRPr="00E14102">
                    <w:rPr>
                      <w:color w:val="000000" w:themeColor="text1"/>
                      <w:sz w:val="16"/>
                      <w:szCs w:val="16"/>
                    </w:rPr>
                    <w:t>4. 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70682" w14:textId="77777777" w:rsidR="006240D4" w:rsidRPr="00E14102" w:rsidRDefault="006240D4" w:rsidP="00E14102">
                  <w:pPr>
                    <w:jc w:val="both"/>
                    <w:rPr>
                      <w:color w:val="000000" w:themeColor="text1"/>
                      <w:sz w:val="16"/>
                      <w:szCs w:val="16"/>
                    </w:rPr>
                  </w:pPr>
                  <w:r w:rsidRPr="00E14102">
                    <w:rPr>
                      <w:color w:val="000000" w:themeColor="text1"/>
                      <w:sz w:val="16"/>
                      <w:szCs w:val="16"/>
                    </w:rPr>
                    <w:t>4113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18CCE" w14:textId="77777777" w:rsidR="006240D4" w:rsidRPr="00E14102" w:rsidRDefault="006240D4" w:rsidP="00E14102">
                  <w:pPr>
                    <w:jc w:val="both"/>
                    <w:rPr>
                      <w:color w:val="000000" w:themeColor="text1"/>
                      <w:sz w:val="16"/>
                      <w:szCs w:val="16"/>
                    </w:rPr>
                  </w:pPr>
                  <w:r w:rsidRPr="00E14102">
                    <w:rPr>
                      <w:color w:val="000000" w:themeColor="text1"/>
                      <w:sz w:val="16"/>
                      <w:szCs w:val="16"/>
                    </w:rPr>
                    <w:t>5834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3A41D" w14:textId="77777777" w:rsidR="006240D4" w:rsidRPr="00E14102" w:rsidRDefault="006240D4" w:rsidP="00E14102">
                  <w:pPr>
                    <w:jc w:val="both"/>
                    <w:rPr>
                      <w:color w:val="000000" w:themeColor="text1"/>
                      <w:sz w:val="16"/>
                      <w:szCs w:val="16"/>
                    </w:rPr>
                  </w:pPr>
                  <w:r w:rsidRPr="00E14102">
                    <w:rPr>
                      <w:color w:val="000000" w:themeColor="text1"/>
                      <w:sz w:val="16"/>
                      <w:szCs w:val="16"/>
                    </w:rPr>
                    <w:t>6924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BA7E0" w14:textId="77777777" w:rsidR="006240D4" w:rsidRPr="00E14102" w:rsidRDefault="006240D4" w:rsidP="00E14102">
                  <w:pPr>
                    <w:jc w:val="both"/>
                    <w:rPr>
                      <w:color w:val="000000" w:themeColor="text1"/>
                      <w:sz w:val="16"/>
                      <w:szCs w:val="16"/>
                    </w:rPr>
                  </w:pPr>
                  <w:r w:rsidRPr="00E14102">
                    <w:rPr>
                      <w:color w:val="000000" w:themeColor="text1"/>
                      <w:sz w:val="16"/>
                      <w:szCs w:val="16"/>
                    </w:rPr>
                    <w:t>8860</w:t>
                  </w:r>
                </w:p>
              </w:tc>
            </w:tr>
            <w:tr w:rsidR="00E3599D" w:rsidRPr="00E14102" w14:paraId="3E4413F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95E05C" w14:textId="77777777" w:rsidR="006240D4" w:rsidRPr="00E14102" w:rsidRDefault="006240D4" w:rsidP="00E14102">
                  <w:pPr>
                    <w:jc w:val="both"/>
                    <w:rPr>
                      <w:color w:val="000000" w:themeColor="text1"/>
                      <w:sz w:val="16"/>
                      <w:szCs w:val="16"/>
                    </w:rPr>
                  </w:pPr>
                  <w:r w:rsidRPr="00E14102">
                    <w:rPr>
                      <w:color w:val="000000" w:themeColor="text1"/>
                      <w:sz w:val="16"/>
                      <w:szCs w:val="16"/>
                    </w:rPr>
                    <w:t>5. Снижение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D24E7" w14:textId="77777777" w:rsidR="006240D4" w:rsidRPr="00E14102" w:rsidRDefault="006240D4" w:rsidP="00E14102">
                  <w:pPr>
                    <w:jc w:val="both"/>
                    <w:rPr>
                      <w:color w:val="000000" w:themeColor="text1"/>
                      <w:sz w:val="16"/>
                      <w:szCs w:val="16"/>
                    </w:rPr>
                  </w:pPr>
                  <w:r w:rsidRPr="00E14102">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D98F2" w14:textId="77777777" w:rsidR="006240D4" w:rsidRPr="00E14102" w:rsidRDefault="006240D4" w:rsidP="00E14102">
                  <w:pPr>
                    <w:jc w:val="both"/>
                    <w:rPr>
                      <w:color w:val="000000" w:themeColor="text1"/>
                      <w:sz w:val="16"/>
                      <w:szCs w:val="16"/>
                    </w:rPr>
                  </w:pPr>
                  <w:r w:rsidRPr="00E14102">
                    <w:rPr>
                      <w:color w:val="000000" w:themeColor="text1"/>
                      <w:sz w:val="16"/>
                      <w:szCs w:val="16"/>
                    </w:rPr>
                    <w:t>-20,9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14C76" w14:textId="77777777" w:rsidR="006240D4" w:rsidRPr="00E14102" w:rsidRDefault="006240D4" w:rsidP="00E14102">
                  <w:pPr>
                    <w:jc w:val="both"/>
                    <w:rPr>
                      <w:color w:val="000000" w:themeColor="text1"/>
                      <w:sz w:val="16"/>
                      <w:szCs w:val="16"/>
                    </w:rPr>
                  </w:pPr>
                  <w:r w:rsidRPr="00E14102">
                    <w:rPr>
                      <w:color w:val="000000" w:themeColor="text1"/>
                      <w:sz w:val="16"/>
                      <w:szCs w:val="16"/>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F2ED3" w14:textId="77777777" w:rsidR="006240D4" w:rsidRPr="00E14102" w:rsidRDefault="006240D4" w:rsidP="00E14102">
                  <w:pPr>
                    <w:jc w:val="both"/>
                    <w:rPr>
                      <w:color w:val="000000" w:themeColor="text1"/>
                      <w:sz w:val="16"/>
                      <w:szCs w:val="16"/>
                    </w:rPr>
                  </w:pPr>
                  <w:r w:rsidRPr="00E14102">
                    <w:rPr>
                      <w:color w:val="000000" w:themeColor="text1"/>
                      <w:sz w:val="16"/>
                      <w:szCs w:val="16"/>
                    </w:rPr>
                    <w:t>-12,0</w:t>
                  </w:r>
                </w:p>
              </w:tc>
            </w:tr>
            <w:tr w:rsidR="00E3599D" w:rsidRPr="00E14102" w14:paraId="3853A682" w14:textId="77777777" w:rsidTr="00493FC3">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4BED73A" w14:textId="77777777" w:rsidR="006240D4" w:rsidRPr="00E14102" w:rsidRDefault="006240D4" w:rsidP="00E14102">
                  <w:pPr>
                    <w:jc w:val="both"/>
                    <w:rPr>
                      <w:color w:val="000000" w:themeColor="text1"/>
                      <w:sz w:val="16"/>
                      <w:szCs w:val="16"/>
                    </w:rPr>
                  </w:pPr>
                  <w:r w:rsidRPr="00E14102">
                    <w:rPr>
                      <w:color w:val="000000" w:themeColor="text1"/>
                      <w:sz w:val="16"/>
                      <w:szCs w:val="16"/>
                    </w:rPr>
                    <w:t>Главхимпром</w:t>
                  </w:r>
                </w:p>
              </w:tc>
            </w:tr>
            <w:tr w:rsidR="00E3599D" w:rsidRPr="00E14102" w14:paraId="17B3505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27AC47" w14:textId="77777777" w:rsidR="006240D4" w:rsidRPr="00E14102" w:rsidRDefault="006240D4" w:rsidP="00E14102">
                  <w:pPr>
                    <w:jc w:val="both"/>
                    <w:rPr>
                      <w:color w:val="000000" w:themeColor="text1"/>
                      <w:sz w:val="16"/>
                      <w:szCs w:val="16"/>
                    </w:rPr>
                  </w:pPr>
                  <w:r w:rsidRPr="00E14102">
                    <w:rPr>
                      <w:color w:val="000000" w:themeColor="text1"/>
                      <w:sz w:val="16"/>
                      <w:szCs w:val="16"/>
                    </w:rPr>
                    <w:t>1. Валовая продукция (в ценах 1926/27 г.)</w:t>
                  </w:r>
                </w:p>
                <w:p w14:paraId="190924F1" w14:textId="77777777" w:rsidR="006240D4" w:rsidRPr="00E14102" w:rsidRDefault="006240D4" w:rsidP="00E14102">
                  <w:pPr>
                    <w:jc w:val="both"/>
                    <w:rPr>
                      <w:color w:val="000000" w:themeColor="text1"/>
                      <w:sz w:val="16"/>
                      <w:szCs w:val="16"/>
                    </w:rPr>
                  </w:pPr>
                  <w:r w:rsidRPr="00E14102">
                    <w:rPr>
                      <w:color w:val="000000" w:themeColor="text1"/>
                      <w:sz w:val="16"/>
                      <w:szCs w:val="16"/>
                    </w:rPr>
                    <w:t>в том числе военная</w:t>
                  </w:r>
                </w:p>
                <w:p w14:paraId="0EDB02DA" w14:textId="77777777" w:rsidR="006240D4" w:rsidRPr="00E14102" w:rsidRDefault="006240D4" w:rsidP="00E14102">
                  <w:pPr>
                    <w:jc w:val="both"/>
                    <w:rPr>
                      <w:color w:val="000000" w:themeColor="text1"/>
                      <w:sz w:val="16"/>
                      <w:szCs w:val="16"/>
                    </w:rPr>
                  </w:pPr>
                  <w:r w:rsidRPr="00E14102">
                    <w:rPr>
                      <w:color w:val="000000" w:themeColor="text1"/>
                      <w:sz w:val="16"/>
                      <w:szCs w:val="16"/>
                    </w:rPr>
                    <w:t>в том числе 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91BBF" w14:textId="77777777" w:rsidR="006240D4" w:rsidRPr="00E14102" w:rsidRDefault="006240D4" w:rsidP="00E14102">
                  <w:pPr>
                    <w:jc w:val="both"/>
                    <w:rPr>
                      <w:color w:val="000000" w:themeColor="text1"/>
                      <w:sz w:val="16"/>
                      <w:szCs w:val="16"/>
                    </w:rPr>
                  </w:pPr>
                  <w:r w:rsidRPr="00E14102">
                    <w:rPr>
                      <w:color w:val="000000" w:themeColor="text1"/>
                      <w:sz w:val="16"/>
                      <w:szCs w:val="16"/>
                    </w:rPr>
                    <w:t>282,7</w:t>
                  </w:r>
                </w:p>
                <w:p w14:paraId="0F7A2ADB" w14:textId="77777777" w:rsidR="006240D4" w:rsidRPr="00E14102" w:rsidRDefault="006240D4" w:rsidP="00E14102">
                  <w:pPr>
                    <w:jc w:val="both"/>
                    <w:rPr>
                      <w:color w:val="000000" w:themeColor="text1"/>
                      <w:sz w:val="16"/>
                      <w:szCs w:val="16"/>
                    </w:rPr>
                  </w:pPr>
                  <w:r w:rsidRPr="00E14102">
                    <w:rPr>
                      <w:color w:val="000000" w:themeColor="text1"/>
                      <w:sz w:val="16"/>
                      <w:szCs w:val="16"/>
                    </w:rPr>
                    <w:t>109,7</w:t>
                  </w:r>
                </w:p>
                <w:p w14:paraId="5CCADD70" w14:textId="77777777" w:rsidR="006240D4" w:rsidRPr="00E14102" w:rsidRDefault="006240D4" w:rsidP="00E14102">
                  <w:pPr>
                    <w:jc w:val="both"/>
                    <w:rPr>
                      <w:color w:val="000000" w:themeColor="text1"/>
                      <w:sz w:val="16"/>
                      <w:szCs w:val="16"/>
                    </w:rPr>
                  </w:pPr>
                  <w:r w:rsidRPr="00E14102">
                    <w:rPr>
                      <w:color w:val="000000" w:themeColor="text1"/>
                      <w:sz w:val="16"/>
                      <w:szCs w:val="16"/>
                    </w:rPr>
                    <w:t>118,9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E0646" w14:textId="77777777" w:rsidR="006240D4" w:rsidRPr="00E14102" w:rsidRDefault="006240D4" w:rsidP="00E14102">
                  <w:pPr>
                    <w:jc w:val="both"/>
                    <w:rPr>
                      <w:color w:val="000000" w:themeColor="text1"/>
                      <w:sz w:val="16"/>
                      <w:szCs w:val="16"/>
                    </w:rPr>
                  </w:pPr>
                  <w:r w:rsidRPr="00E14102">
                    <w:rPr>
                      <w:color w:val="000000" w:themeColor="text1"/>
                      <w:sz w:val="16"/>
                      <w:szCs w:val="16"/>
                    </w:rPr>
                    <w:t>320,5</w:t>
                  </w:r>
                </w:p>
                <w:p w14:paraId="62639D8B" w14:textId="77777777" w:rsidR="006240D4" w:rsidRPr="00E14102" w:rsidRDefault="006240D4" w:rsidP="00E14102">
                  <w:pPr>
                    <w:jc w:val="both"/>
                    <w:rPr>
                      <w:color w:val="000000" w:themeColor="text1"/>
                      <w:sz w:val="16"/>
                      <w:szCs w:val="16"/>
                    </w:rPr>
                  </w:pPr>
                  <w:r w:rsidRPr="00E14102">
                    <w:rPr>
                      <w:color w:val="000000" w:themeColor="text1"/>
                      <w:sz w:val="16"/>
                      <w:szCs w:val="16"/>
                    </w:rPr>
                    <w:t>108,6</w:t>
                  </w:r>
                </w:p>
                <w:p w14:paraId="229FCFEA" w14:textId="77777777" w:rsidR="006240D4" w:rsidRPr="00E14102" w:rsidRDefault="006240D4" w:rsidP="00E14102">
                  <w:pPr>
                    <w:jc w:val="both"/>
                    <w:rPr>
                      <w:color w:val="000000" w:themeColor="text1"/>
                      <w:sz w:val="16"/>
                      <w:szCs w:val="16"/>
                    </w:rPr>
                  </w:pPr>
                  <w:r w:rsidRPr="00E14102">
                    <w:rPr>
                      <w:color w:val="000000" w:themeColor="text1"/>
                      <w:sz w:val="16"/>
                      <w:szCs w:val="16"/>
                    </w:rPr>
                    <w:t>157,5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8057E" w14:textId="77777777" w:rsidR="006240D4" w:rsidRPr="00E14102" w:rsidRDefault="006240D4" w:rsidP="00E14102">
                  <w:pPr>
                    <w:jc w:val="both"/>
                    <w:rPr>
                      <w:color w:val="000000" w:themeColor="text1"/>
                      <w:sz w:val="16"/>
                      <w:szCs w:val="16"/>
                    </w:rPr>
                  </w:pPr>
                  <w:r w:rsidRPr="00E14102">
                    <w:rPr>
                      <w:color w:val="000000" w:themeColor="text1"/>
                      <w:sz w:val="16"/>
                      <w:szCs w:val="16"/>
                    </w:rPr>
                    <w:t>342,7</w:t>
                  </w:r>
                </w:p>
                <w:p w14:paraId="30F7A989" w14:textId="77777777" w:rsidR="006240D4" w:rsidRPr="00E14102" w:rsidRDefault="006240D4" w:rsidP="00E14102">
                  <w:pPr>
                    <w:jc w:val="both"/>
                    <w:rPr>
                      <w:color w:val="000000" w:themeColor="text1"/>
                      <w:sz w:val="16"/>
                      <w:szCs w:val="16"/>
                    </w:rPr>
                  </w:pPr>
                  <w:r w:rsidRPr="00E14102">
                    <w:rPr>
                      <w:color w:val="000000" w:themeColor="text1"/>
                      <w:sz w:val="16"/>
                      <w:szCs w:val="16"/>
                    </w:rPr>
                    <w:t>101,9</w:t>
                  </w:r>
                </w:p>
                <w:p w14:paraId="282FC2CA" w14:textId="77777777" w:rsidR="006240D4" w:rsidRPr="00E14102" w:rsidRDefault="006240D4" w:rsidP="00E14102">
                  <w:pPr>
                    <w:jc w:val="both"/>
                    <w:rPr>
                      <w:color w:val="000000" w:themeColor="text1"/>
                      <w:sz w:val="16"/>
                      <w:szCs w:val="16"/>
                    </w:rPr>
                  </w:pPr>
                  <w:r w:rsidRPr="00E14102">
                    <w:rPr>
                      <w:color w:val="000000" w:themeColor="text1"/>
                      <w:sz w:val="16"/>
                      <w:szCs w:val="16"/>
                    </w:rPr>
                    <w:t>205,8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086F0" w14:textId="77777777" w:rsidR="006240D4" w:rsidRPr="00E14102" w:rsidRDefault="006240D4" w:rsidP="00E14102">
                  <w:pPr>
                    <w:jc w:val="both"/>
                    <w:rPr>
                      <w:color w:val="000000" w:themeColor="text1"/>
                      <w:sz w:val="16"/>
                      <w:szCs w:val="16"/>
                    </w:rPr>
                  </w:pPr>
                  <w:r w:rsidRPr="00E14102">
                    <w:rPr>
                      <w:color w:val="000000" w:themeColor="text1"/>
                      <w:sz w:val="16"/>
                      <w:szCs w:val="16"/>
                    </w:rPr>
                    <w:t>525,7</w:t>
                  </w:r>
                </w:p>
                <w:p w14:paraId="6B5590EF" w14:textId="77777777" w:rsidR="006240D4" w:rsidRPr="00E14102" w:rsidRDefault="006240D4" w:rsidP="00E14102">
                  <w:pPr>
                    <w:jc w:val="both"/>
                    <w:rPr>
                      <w:color w:val="000000" w:themeColor="text1"/>
                      <w:sz w:val="16"/>
                      <w:szCs w:val="16"/>
                    </w:rPr>
                  </w:pPr>
                  <w:r w:rsidRPr="00E14102">
                    <w:rPr>
                      <w:color w:val="000000" w:themeColor="text1"/>
                      <w:sz w:val="16"/>
                      <w:szCs w:val="16"/>
                    </w:rPr>
                    <w:t>158,2</w:t>
                  </w:r>
                </w:p>
                <w:p w14:paraId="4CA6024E" w14:textId="77777777" w:rsidR="006240D4" w:rsidRPr="00E14102" w:rsidRDefault="006240D4" w:rsidP="00E14102">
                  <w:pPr>
                    <w:jc w:val="both"/>
                    <w:rPr>
                      <w:color w:val="000000" w:themeColor="text1"/>
                      <w:sz w:val="16"/>
                      <w:szCs w:val="16"/>
                    </w:rPr>
                  </w:pPr>
                  <w:r w:rsidRPr="00E14102">
                    <w:rPr>
                      <w:color w:val="000000" w:themeColor="text1"/>
                      <w:sz w:val="16"/>
                      <w:szCs w:val="16"/>
                    </w:rPr>
                    <w:t>285,0</w:t>
                  </w:r>
                </w:p>
              </w:tc>
            </w:tr>
            <w:tr w:rsidR="00E3599D" w:rsidRPr="00E14102" w14:paraId="4E3BD9A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1CEF11" w14:textId="77777777" w:rsidR="006240D4" w:rsidRPr="00E14102" w:rsidRDefault="006240D4" w:rsidP="00E14102">
                  <w:pPr>
                    <w:jc w:val="both"/>
                    <w:rPr>
                      <w:color w:val="000000" w:themeColor="text1"/>
                      <w:sz w:val="16"/>
                      <w:szCs w:val="16"/>
                    </w:rPr>
                  </w:pPr>
                  <w:r w:rsidRPr="00E14102">
                    <w:rPr>
                      <w:color w:val="000000" w:themeColor="text1"/>
                      <w:sz w:val="16"/>
                      <w:szCs w:val="16"/>
                    </w:rPr>
                    <w:t>2. Годовое 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C4F7E" w14:textId="77777777" w:rsidR="006240D4" w:rsidRPr="00E14102" w:rsidRDefault="006240D4" w:rsidP="00E14102">
                  <w:pPr>
                    <w:jc w:val="both"/>
                    <w:rPr>
                      <w:color w:val="000000" w:themeColor="text1"/>
                      <w:sz w:val="16"/>
                      <w:szCs w:val="16"/>
                    </w:rPr>
                  </w:pPr>
                  <w:r w:rsidRPr="00E14102">
                    <w:rPr>
                      <w:color w:val="000000" w:themeColor="text1"/>
                      <w:sz w:val="16"/>
                      <w:szCs w:val="16"/>
                    </w:rPr>
                    <w:t>41,3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27954" w14:textId="77777777" w:rsidR="006240D4" w:rsidRPr="00E14102" w:rsidRDefault="006240D4" w:rsidP="00E14102">
                  <w:pPr>
                    <w:jc w:val="both"/>
                    <w:rPr>
                      <w:color w:val="000000" w:themeColor="text1"/>
                      <w:sz w:val="16"/>
                      <w:szCs w:val="16"/>
                    </w:rPr>
                  </w:pPr>
                  <w:r w:rsidRPr="00E14102">
                    <w:rPr>
                      <w:color w:val="000000" w:themeColor="text1"/>
                      <w:sz w:val="16"/>
                      <w:szCs w:val="16"/>
                    </w:rPr>
                    <w:t>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55C37" w14:textId="77777777" w:rsidR="006240D4" w:rsidRPr="00E14102" w:rsidRDefault="006240D4" w:rsidP="00E14102">
                  <w:pPr>
                    <w:jc w:val="both"/>
                    <w:rPr>
                      <w:color w:val="000000" w:themeColor="text1"/>
                      <w:sz w:val="16"/>
                      <w:szCs w:val="16"/>
                    </w:rPr>
                  </w:pPr>
                  <w:r w:rsidRPr="00E14102">
                    <w:rPr>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F7583" w14:textId="77777777" w:rsidR="006240D4" w:rsidRPr="00E14102" w:rsidRDefault="006240D4" w:rsidP="00E14102">
                  <w:pPr>
                    <w:jc w:val="both"/>
                    <w:rPr>
                      <w:color w:val="000000" w:themeColor="text1"/>
                      <w:sz w:val="16"/>
                      <w:szCs w:val="16"/>
                    </w:rPr>
                  </w:pPr>
                  <w:r w:rsidRPr="00E14102">
                    <w:rPr>
                      <w:color w:val="000000" w:themeColor="text1"/>
                      <w:sz w:val="16"/>
                      <w:szCs w:val="16"/>
                    </w:rPr>
                    <w:t>46,4</w:t>
                  </w:r>
                </w:p>
              </w:tc>
            </w:tr>
            <w:tr w:rsidR="00E3599D" w:rsidRPr="00E14102" w14:paraId="4454A73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1A15A3" w14:textId="77777777" w:rsidR="006240D4" w:rsidRPr="00E14102" w:rsidRDefault="006240D4" w:rsidP="00E14102">
                  <w:pPr>
                    <w:jc w:val="both"/>
                    <w:rPr>
                      <w:color w:val="000000" w:themeColor="text1"/>
                      <w:sz w:val="16"/>
                      <w:szCs w:val="16"/>
                    </w:rPr>
                  </w:pPr>
                  <w:r w:rsidRPr="00E14102">
                    <w:rPr>
                      <w:color w:val="000000" w:themeColor="text1"/>
                      <w:sz w:val="16"/>
                      <w:szCs w:val="16"/>
                    </w:rPr>
                    <w:t>3. Выработка на 1 руб. основных фондов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D07FA" w14:textId="77777777" w:rsidR="006240D4" w:rsidRPr="00E14102" w:rsidRDefault="006240D4" w:rsidP="00E14102">
                  <w:pPr>
                    <w:jc w:val="both"/>
                    <w:rPr>
                      <w:color w:val="000000" w:themeColor="text1"/>
                      <w:sz w:val="16"/>
                      <w:szCs w:val="16"/>
                    </w:rPr>
                  </w:pPr>
                  <w:r w:rsidRPr="00E14102">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7BBA9" w14:textId="77777777" w:rsidR="006240D4" w:rsidRPr="00E14102" w:rsidRDefault="006240D4" w:rsidP="00E14102">
                  <w:pPr>
                    <w:jc w:val="both"/>
                    <w:rPr>
                      <w:color w:val="000000" w:themeColor="text1"/>
                      <w:sz w:val="16"/>
                      <w:szCs w:val="16"/>
                    </w:rPr>
                  </w:pPr>
                  <w:r w:rsidRPr="00E14102">
                    <w:rPr>
                      <w:color w:val="000000" w:themeColor="text1"/>
                      <w:sz w:val="16"/>
                      <w:szCs w:val="16"/>
                    </w:rPr>
                    <w:t>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74B4A" w14:textId="77777777" w:rsidR="006240D4" w:rsidRPr="00E14102" w:rsidRDefault="006240D4" w:rsidP="00E14102">
                  <w:pPr>
                    <w:jc w:val="both"/>
                    <w:rPr>
                      <w:color w:val="000000" w:themeColor="text1"/>
                      <w:sz w:val="16"/>
                      <w:szCs w:val="16"/>
                    </w:rPr>
                  </w:pPr>
                  <w:r w:rsidRPr="00E14102">
                    <w:rPr>
                      <w:color w:val="000000" w:themeColor="text1"/>
                      <w:sz w:val="16"/>
                      <w:szCs w:val="16"/>
                    </w:rPr>
                    <w:t>0,72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02A54" w14:textId="77777777" w:rsidR="006240D4" w:rsidRPr="00E14102" w:rsidRDefault="006240D4" w:rsidP="00E14102">
                  <w:pPr>
                    <w:jc w:val="both"/>
                    <w:rPr>
                      <w:color w:val="000000" w:themeColor="text1"/>
                      <w:sz w:val="16"/>
                      <w:szCs w:val="16"/>
                    </w:rPr>
                  </w:pPr>
                  <w:r w:rsidRPr="00E14102">
                    <w:rPr>
                      <w:color w:val="000000" w:themeColor="text1"/>
                      <w:sz w:val="16"/>
                      <w:szCs w:val="16"/>
                    </w:rPr>
                    <w:t>0,95</w:t>
                  </w:r>
                </w:p>
              </w:tc>
            </w:tr>
            <w:tr w:rsidR="00E3599D" w:rsidRPr="00E14102" w14:paraId="33358C1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9ED1FF" w14:textId="77777777" w:rsidR="006240D4" w:rsidRPr="00E14102" w:rsidRDefault="006240D4" w:rsidP="00E14102">
                  <w:pPr>
                    <w:jc w:val="both"/>
                    <w:rPr>
                      <w:color w:val="000000" w:themeColor="text1"/>
                      <w:sz w:val="16"/>
                      <w:szCs w:val="16"/>
                    </w:rPr>
                  </w:pPr>
                  <w:r w:rsidRPr="00E14102">
                    <w:rPr>
                      <w:color w:val="000000" w:themeColor="text1"/>
                      <w:sz w:val="16"/>
                      <w:szCs w:val="16"/>
                    </w:rPr>
                    <w:t>4. 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B239E" w14:textId="77777777" w:rsidR="006240D4" w:rsidRPr="00E14102" w:rsidRDefault="006240D4" w:rsidP="00E14102">
                  <w:pPr>
                    <w:jc w:val="both"/>
                    <w:rPr>
                      <w:color w:val="000000" w:themeColor="text1"/>
                      <w:sz w:val="16"/>
                      <w:szCs w:val="16"/>
                    </w:rPr>
                  </w:pPr>
                  <w:r w:rsidRPr="00E14102">
                    <w:rPr>
                      <w:color w:val="000000" w:themeColor="text1"/>
                      <w:sz w:val="16"/>
                      <w:szCs w:val="16"/>
                    </w:rPr>
                    <w:t>6845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2212B" w14:textId="77777777" w:rsidR="006240D4" w:rsidRPr="00E14102" w:rsidRDefault="006240D4" w:rsidP="00E14102">
                  <w:pPr>
                    <w:jc w:val="both"/>
                    <w:rPr>
                      <w:color w:val="000000" w:themeColor="text1"/>
                      <w:sz w:val="16"/>
                      <w:szCs w:val="16"/>
                    </w:rPr>
                  </w:pPr>
                  <w:r w:rsidRPr="00E14102">
                    <w:rPr>
                      <w:color w:val="000000" w:themeColor="text1"/>
                      <w:sz w:val="16"/>
                      <w:szCs w:val="16"/>
                    </w:rPr>
                    <w:t>7704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F2E03" w14:textId="77777777" w:rsidR="006240D4" w:rsidRPr="00E14102" w:rsidRDefault="006240D4" w:rsidP="00E14102">
                  <w:pPr>
                    <w:jc w:val="both"/>
                    <w:rPr>
                      <w:color w:val="000000" w:themeColor="text1"/>
                      <w:sz w:val="16"/>
                      <w:szCs w:val="16"/>
                    </w:rPr>
                  </w:pPr>
                  <w:r w:rsidRPr="00E14102">
                    <w:rPr>
                      <w:color w:val="000000" w:themeColor="text1"/>
                      <w:sz w:val="16"/>
                      <w:szCs w:val="16"/>
                    </w:rPr>
                    <w:t>9338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4F632" w14:textId="77777777" w:rsidR="006240D4" w:rsidRPr="00E14102" w:rsidRDefault="006240D4" w:rsidP="00E14102">
                  <w:pPr>
                    <w:jc w:val="both"/>
                    <w:rPr>
                      <w:color w:val="000000" w:themeColor="text1"/>
                      <w:sz w:val="16"/>
                      <w:szCs w:val="16"/>
                    </w:rPr>
                  </w:pPr>
                  <w:r w:rsidRPr="00E14102">
                    <w:rPr>
                      <w:color w:val="000000" w:themeColor="text1"/>
                      <w:sz w:val="16"/>
                      <w:szCs w:val="16"/>
                    </w:rPr>
                    <w:t>11330</w:t>
                  </w:r>
                </w:p>
              </w:tc>
            </w:tr>
            <w:tr w:rsidR="00E3599D" w:rsidRPr="00E14102" w14:paraId="6828081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D3E54" w14:textId="77777777" w:rsidR="006240D4" w:rsidRPr="00E14102" w:rsidRDefault="006240D4" w:rsidP="00E14102">
                  <w:pPr>
                    <w:jc w:val="both"/>
                    <w:rPr>
                      <w:color w:val="000000" w:themeColor="text1"/>
                      <w:sz w:val="16"/>
                      <w:szCs w:val="16"/>
                    </w:rPr>
                  </w:pPr>
                  <w:r w:rsidRPr="00E14102">
                    <w:rPr>
                      <w:color w:val="000000" w:themeColor="text1"/>
                      <w:sz w:val="16"/>
                      <w:szCs w:val="16"/>
                    </w:rPr>
                    <w:t>5. Снижение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CF7C7" w14:textId="77777777" w:rsidR="006240D4" w:rsidRPr="00E14102" w:rsidRDefault="006240D4" w:rsidP="00E14102">
                  <w:pPr>
                    <w:jc w:val="both"/>
                    <w:rPr>
                      <w:color w:val="000000" w:themeColor="text1"/>
                      <w:sz w:val="16"/>
                      <w:szCs w:val="16"/>
                    </w:rPr>
                  </w:pPr>
                  <w:r w:rsidRPr="00E14102">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A7046" w14:textId="77777777" w:rsidR="006240D4" w:rsidRPr="00E14102" w:rsidRDefault="006240D4" w:rsidP="00E14102">
                  <w:pPr>
                    <w:jc w:val="both"/>
                    <w:rPr>
                      <w:color w:val="000000" w:themeColor="text1"/>
                      <w:sz w:val="16"/>
                      <w:szCs w:val="16"/>
                    </w:rPr>
                  </w:pPr>
                  <w:r w:rsidRPr="00E14102">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2053E" w14:textId="77777777" w:rsidR="006240D4" w:rsidRPr="00E14102" w:rsidRDefault="006240D4" w:rsidP="00E14102">
                  <w:pPr>
                    <w:jc w:val="both"/>
                    <w:rPr>
                      <w:color w:val="000000" w:themeColor="text1"/>
                      <w:sz w:val="16"/>
                      <w:szCs w:val="16"/>
                    </w:rPr>
                  </w:pPr>
                  <w:r w:rsidRPr="00E14102">
                    <w:rPr>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0173C" w14:textId="77777777" w:rsidR="006240D4" w:rsidRPr="00E14102" w:rsidRDefault="006240D4" w:rsidP="00E14102">
                  <w:pPr>
                    <w:jc w:val="both"/>
                    <w:rPr>
                      <w:color w:val="000000" w:themeColor="text1"/>
                      <w:sz w:val="16"/>
                      <w:szCs w:val="16"/>
                    </w:rPr>
                  </w:pPr>
                  <w:r w:rsidRPr="00E14102">
                    <w:rPr>
                      <w:color w:val="000000" w:themeColor="text1"/>
                      <w:sz w:val="16"/>
                      <w:szCs w:val="16"/>
                    </w:rPr>
                    <w:t>-6,0</w:t>
                  </w:r>
                </w:p>
              </w:tc>
            </w:tr>
            <w:tr w:rsidR="00E3599D" w:rsidRPr="00E14102" w14:paraId="1528B3F6" w14:textId="77777777" w:rsidTr="00493FC3">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2CAB258" w14:textId="77777777" w:rsidR="006240D4" w:rsidRPr="00E14102" w:rsidRDefault="006240D4" w:rsidP="00E14102">
                  <w:pPr>
                    <w:jc w:val="both"/>
                    <w:rPr>
                      <w:color w:val="000000" w:themeColor="text1"/>
                      <w:sz w:val="16"/>
                      <w:szCs w:val="16"/>
                    </w:rPr>
                  </w:pPr>
                  <w:r w:rsidRPr="00E14102">
                    <w:rPr>
                      <w:color w:val="000000" w:themeColor="text1"/>
                      <w:sz w:val="16"/>
                      <w:szCs w:val="16"/>
                    </w:rPr>
                    <w:t>Главоргхимром</w:t>
                  </w:r>
                </w:p>
              </w:tc>
            </w:tr>
            <w:tr w:rsidR="00E3599D" w:rsidRPr="00E14102" w14:paraId="239C27A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8C9D9D" w14:textId="77777777" w:rsidR="006240D4" w:rsidRPr="00E14102" w:rsidRDefault="006240D4" w:rsidP="00E14102">
                  <w:pPr>
                    <w:jc w:val="both"/>
                    <w:rPr>
                      <w:color w:val="000000" w:themeColor="text1"/>
                      <w:sz w:val="16"/>
                      <w:szCs w:val="16"/>
                    </w:rPr>
                  </w:pPr>
                  <w:r w:rsidRPr="00E14102">
                    <w:rPr>
                      <w:color w:val="000000" w:themeColor="text1"/>
                      <w:sz w:val="16"/>
                      <w:szCs w:val="16"/>
                    </w:rPr>
                    <w:t>1. Валовая продукция (в ценах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76130" w14:textId="77777777" w:rsidR="006240D4" w:rsidRPr="00E14102" w:rsidRDefault="006240D4" w:rsidP="00E14102">
                  <w:pPr>
                    <w:jc w:val="both"/>
                    <w:rPr>
                      <w:color w:val="000000" w:themeColor="text1"/>
                      <w:sz w:val="16"/>
                      <w:szCs w:val="16"/>
                    </w:rPr>
                  </w:pPr>
                  <w:r w:rsidRPr="00E14102">
                    <w:rPr>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8170C" w14:textId="77777777" w:rsidR="006240D4" w:rsidRPr="00E14102" w:rsidRDefault="006240D4" w:rsidP="00E14102">
                  <w:pPr>
                    <w:jc w:val="both"/>
                    <w:rPr>
                      <w:color w:val="000000" w:themeColor="text1"/>
                      <w:sz w:val="16"/>
                      <w:szCs w:val="16"/>
                    </w:rPr>
                  </w:pPr>
                  <w:r w:rsidRPr="00E14102">
                    <w:rPr>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9126F" w14:textId="77777777" w:rsidR="006240D4" w:rsidRPr="00E14102" w:rsidRDefault="006240D4" w:rsidP="00E14102">
                  <w:pPr>
                    <w:jc w:val="both"/>
                    <w:rPr>
                      <w:color w:val="000000" w:themeColor="text1"/>
                      <w:sz w:val="16"/>
                      <w:szCs w:val="16"/>
                    </w:rPr>
                  </w:pPr>
                  <w:r w:rsidRPr="00E14102">
                    <w:rPr>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4F588" w14:textId="77777777" w:rsidR="006240D4" w:rsidRPr="00E14102" w:rsidRDefault="006240D4" w:rsidP="00E14102">
                  <w:pPr>
                    <w:jc w:val="both"/>
                    <w:rPr>
                      <w:color w:val="000000" w:themeColor="text1"/>
                      <w:sz w:val="16"/>
                      <w:szCs w:val="16"/>
                    </w:rPr>
                  </w:pPr>
                  <w:r w:rsidRPr="00E14102">
                    <w:rPr>
                      <w:color w:val="000000" w:themeColor="text1"/>
                      <w:sz w:val="16"/>
                      <w:szCs w:val="16"/>
                    </w:rPr>
                    <w:t>35,3¹*</w:t>
                  </w:r>
                </w:p>
              </w:tc>
            </w:tr>
            <w:tr w:rsidR="00E3599D" w:rsidRPr="00E14102" w14:paraId="6078AFF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A99220" w14:textId="77777777" w:rsidR="006240D4" w:rsidRPr="00E14102" w:rsidRDefault="006240D4" w:rsidP="00E14102">
                  <w:pPr>
                    <w:jc w:val="both"/>
                    <w:rPr>
                      <w:color w:val="000000" w:themeColor="text1"/>
                      <w:sz w:val="16"/>
                      <w:szCs w:val="16"/>
                    </w:rPr>
                  </w:pPr>
                  <w:r w:rsidRPr="00E14102">
                    <w:rPr>
                      <w:color w:val="000000" w:themeColor="text1"/>
                      <w:sz w:val="16"/>
                      <w:szCs w:val="16"/>
                    </w:rPr>
                    <w:t>в том числе 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79D68" w14:textId="77777777" w:rsidR="006240D4" w:rsidRPr="00E14102" w:rsidRDefault="006240D4" w:rsidP="00E14102">
                  <w:pPr>
                    <w:jc w:val="both"/>
                    <w:rPr>
                      <w:color w:val="000000" w:themeColor="text1"/>
                      <w:sz w:val="16"/>
                      <w:szCs w:val="16"/>
                    </w:rPr>
                  </w:pPr>
                  <w:r w:rsidRPr="00E14102">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E7912" w14:textId="77777777" w:rsidR="006240D4" w:rsidRPr="00E14102" w:rsidRDefault="006240D4" w:rsidP="00E14102">
                  <w:pPr>
                    <w:jc w:val="both"/>
                    <w:rPr>
                      <w:color w:val="000000" w:themeColor="text1"/>
                      <w:sz w:val="16"/>
                      <w:szCs w:val="16"/>
                    </w:rPr>
                  </w:pPr>
                  <w:r w:rsidRPr="00E14102">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77CA7" w14:textId="77777777" w:rsidR="006240D4" w:rsidRPr="00E14102" w:rsidRDefault="006240D4" w:rsidP="00E14102">
                  <w:pPr>
                    <w:jc w:val="both"/>
                    <w:rPr>
                      <w:color w:val="000000" w:themeColor="text1"/>
                      <w:sz w:val="16"/>
                      <w:szCs w:val="16"/>
                    </w:rPr>
                  </w:pPr>
                  <w:r w:rsidRPr="00E14102">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6200F" w14:textId="77777777" w:rsidR="006240D4" w:rsidRPr="00E14102" w:rsidRDefault="006240D4" w:rsidP="00E14102">
                  <w:pPr>
                    <w:jc w:val="both"/>
                    <w:rPr>
                      <w:color w:val="000000" w:themeColor="text1"/>
                      <w:sz w:val="16"/>
                      <w:szCs w:val="16"/>
                    </w:rPr>
                  </w:pPr>
                  <w:r w:rsidRPr="00E14102">
                    <w:rPr>
                      <w:color w:val="000000" w:themeColor="text1"/>
                      <w:sz w:val="16"/>
                      <w:szCs w:val="16"/>
                    </w:rPr>
                    <w:t>11,1¹*</w:t>
                  </w:r>
                </w:p>
              </w:tc>
            </w:tr>
            <w:tr w:rsidR="00E3599D" w:rsidRPr="00E14102" w14:paraId="4B8E2D7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04AD98" w14:textId="77777777" w:rsidR="006240D4" w:rsidRPr="00E14102" w:rsidRDefault="006240D4" w:rsidP="00E14102">
                  <w:pPr>
                    <w:jc w:val="both"/>
                    <w:rPr>
                      <w:color w:val="000000" w:themeColor="text1"/>
                      <w:sz w:val="16"/>
                      <w:szCs w:val="16"/>
                    </w:rPr>
                  </w:pPr>
                  <w:r w:rsidRPr="00E14102">
                    <w:rPr>
                      <w:color w:val="000000" w:themeColor="text1"/>
                      <w:sz w:val="16"/>
                      <w:szCs w:val="16"/>
                    </w:rPr>
                    <w:t>в том числе 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45F88" w14:textId="77777777" w:rsidR="006240D4" w:rsidRPr="00E14102" w:rsidRDefault="006240D4" w:rsidP="00E14102">
                  <w:pPr>
                    <w:jc w:val="both"/>
                    <w:rPr>
                      <w:color w:val="000000" w:themeColor="text1"/>
                      <w:sz w:val="16"/>
                      <w:szCs w:val="16"/>
                    </w:rPr>
                  </w:pPr>
                  <w:r w:rsidRPr="00E14102">
                    <w:rPr>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1D0E8" w14:textId="77777777" w:rsidR="006240D4" w:rsidRPr="00E14102" w:rsidRDefault="006240D4" w:rsidP="00E14102">
                  <w:pPr>
                    <w:jc w:val="both"/>
                    <w:rPr>
                      <w:color w:val="000000" w:themeColor="text1"/>
                      <w:sz w:val="16"/>
                      <w:szCs w:val="16"/>
                    </w:rPr>
                  </w:pPr>
                  <w:r w:rsidRPr="00E14102">
                    <w:rPr>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8085A" w14:textId="77777777" w:rsidR="006240D4" w:rsidRPr="00E14102" w:rsidRDefault="006240D4" w:rsidP="00E14102">
                  <w:pPr>
                    <w:jc w:val="both"/>
                    <w:rPr>
                      <w:color w:val="000000" w:themeColor="text1"/>
                      <w:sz w:val="16"/>
                      <w:szCs w:val="16"/>
                    </w:rPr>
                  </w:pPr>
                  <w:r w:rsidRPr="00E14102">
                    <w:rPr>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56E1C" w14:textId="77777777" w:rsidR="006240D4" w:rsidRPr="00E14102" w:rsidRDefault="006240D4" w:rsidP="00E14102">
                  <w:pPr>
                    <w:jc w:val="both"/>
                    <w:rPr>
                      <w:color w:val="000000" w:themeColor="text1"/>
                      <w:sz w:val="16"/>
                      <w:szCs w:val="16"/>
                    </w:rPr>
                  </w:pPr>
                  <w:r w:rsidRPr="00E14102">
                    <w:rPr>
                      <w:color w:val="000000" w:themeColor="text1"/>
                      <w:sz w:val="16"/>
                      <w:szCs w:val="16"/>
                    </w:rPr>
                    <w:t>12,0¹*</w:t>
                  </w:r>
                </w:p>
              </w:tc>
            </w:tr>
            <w:tr w:rsidR="00E3599D" w:rsidRPr="00E14102" w14:paraId="014C470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7333D4" w14:textId="77777777" w:rsidR="006240D4" w:rsidRPr="00E14102" w:rsidRDefault="006240D4" w:rsidP="00E14102">
                  <w:pPr>
                    <w:jc w:val="both"/>
                    <w:rPr>
                      <w:color w:val="000000" w:themeColor="text1"/>
                      <w:sz w:val="16"/>
                      <w:szCs w:val="16"/>
                    </w:rPr>
                  </w:pPr>
                  <w:r w:rsidRPr="00E14102">
                    <w:rPr>
                      <w:color w:val="000000" w:themeColor="text1"/>
                      <w:sz w:val="16"/>
                      <w:szCs w:val="16"/>
                    </w:rPr>
                    <w:t>2. Годовое 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820AF" w14:textId="77777777" w:rsidR="006240D4" w:rsidRPr="00E14102" w:rsidRDefault="006240D4" w:rsidP="00E14102">
                  <w:pPr>
                    <w:jc w:val="both"/>
                    <w:rPr>
                      <w:color w:val="000000" w:themeColor="text1"/>
                      <w:sz w:val="16"/>
                      <w:szCs w:val="16"/>
                    </w:rPr>
                  </w:pPr>
                  <w:r w:rsidRPr="00E14102">
                    <w:rPr>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ABD27" w14:textId="77777777" w:rsidR="006240D4" w:rsidRPr="00E14102" w:rsidRDefault="006240D4" w:rsidP="00E14102">
                  <w:pPr>
                    <w:jc w:val="both"/>
                    <w:rPr>
                      <w:color w:val="000000" w:themeColor="text1"/>
                      <w:sz w:val="16"/>
                      <w:szCs w:val="16"/>
                    </w:rPr>
                  </w:pPr>
                  <w:r w:rsidRPr="00E14102">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76A5F" w14:textId="77777777" w:rsidR="006240D4" w:rsidRPr="00E14102" w:rsidRDefault="006240D4" w:rsidP="00E14102">
                  <w:pPr>
                    <w:jc w:val="both"/>
                    <w:rPr>
                      <w:color w:val="000000" w:themeColor="text1"/>
                      <w:sz w:val="16"/>
                      <w:szCs w:val="16"/>
                    </w:rPr>
                  </w:pPr>
                  <w:r w:rsidRPr="00E14102">
                    <w:rPr>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872E3" w14:textId="77777777" w:rsidR="006240D4" w:rsidRPr="00E14102" w:rsidRDefault="006240D4" w:rsidP="00E14102">
                  <w:pPr>
                    <w:jc w:val="both"/>
                    <w:rPr>
                      <w:color w:val="000000" w:themeColor="text1"/>
                      <w:sz w:val="16"/>
                      <w:szCs w:val="16"/>
                    </w:rPr>
                  </w:pPr>
                  <w:r w:rsidRPr="00E14102">
                    <w:rPr>
                      <w:color w:val="000000" w:themeColor="text1"/>
                      <w:sz w:val="16"/>
                      <w:szCs w:val="16"/>
                    </w:rPr>
                    <w:t>3,6</w:t>
                  </w:r>
                </w:p>
              </w:tc>
            </w:tr>
            <w:tr w:rsidR="00E3599D" w:rsidRPr="00E14102" w14:paraId="4BC9843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4DCC34" w14:textId="77777777" w:rsidR="006240D4" w:rsidRPr="00E14102" w:rsidRDefault="006240D4" w:rsidP="00E14102">
                  <w:pPr>
                    <w:jc w:val="both"/>
                    <w:rPr>
                      <w:color w:val="000000" w:themeColor="text1"/>
                      <w:sz w:val="16"/>
                      <w:szCs w:val="16"/>
                    </w:rPr>
                  </w:pPr>
                  <w:r w:rsidRPr="00E14102">
                    <w:rPr>
                      <w:color w:val="000000" w:themeColor="text1"/>
                      <w:sz w:val="16"/>
                      <w:szCs w:val="16"/>
                    </w:rPr>
                    <w:t>3. Выработка на 1 руб. основных фондов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FDFFA" w14:textId="77777777" w:rsidR="006240D4" w:rsidRPr="00E14102" w:rsidRDefault="006240D4" w:rsidP="00E14102">
                  <w:pPr>
                    <w:jc w:val="both"/>
                    <w:rPr>
                      <w:color w:val="000000" w:themeColor="text1"/>
                      <w:sz w:val="16"/>
                      <w:szCs w:val="16"/>
                    </w:rPr>
                  </w:pPr>
                  <w:r w:rsidRPr="00E14102">
                    <w:rPr>
                      <w:color w:val="000000" w:themeColor="text1"/>
                      <w:sz w:val="16"/>
                      <w:szCs w:val="16"/>
                    </w:rPr>
                    <w:t>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04D23" w14:textId="77777777" w:rsidR="006240D4" w:rsidRPr="00E14102" w:rsidRDefault="006240D4" w:rsidP="00E14102">
                  <w:pPr>
                    <w:jc w:val="both"/>
                    <w:rPr>
                      <w:color w:val="000000" w:themeColor="text1"/>
                      <w:sz w:val="16"/>
                      <w:szCs w:val="16"/>
                    </w:rPr>
                  </w:pPr>
                  <w:r w:rsidRPr="00E14102">
                    <w:rPr>
                      <w:color w:val="000000" w:themeColor="text1"/>
                      <w:sz w:val="16"/>
                      <w:szCs w:val="16"/>
                    </w:rPr>
                    <w:t>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C3751" w14:textId="77777777" w:rsidR="006240D4" w:rsidRPr="00E14102" w:rsidRDefault="006240D4" w:rsidP="00E14102">
                  <w:pPr>
                    <w:jc w:val="both"/>
                    <w:rPr>
                      <w:color w:val="000000" w:themeColor="text1"/>
                      <w:sz w:val="16"/>
                      <w:szCs w:val="16"/>
                    </w:rPr>
                  </w:pPr>
                  <w:r w:rsidRPr="00E14102">
                    <w:rPr>
                      <w:color w:val="000000" w:themeColor="text1"/>
                      <w:sz w:val="16"/>
                      <w:szCs w:val="16"/>
                    </w:rPr>
                    <w:t>0,45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30528" w14:textId="77777777" w:rsidR="006240D4" w:rsidRPr="00E14102" w:rsidRDefault="006240D4" w:rsidP="00E14102">
                  <w:pPr>
                    <w:jc w:val="both"/>
                    <w:rPr>
                      <w:color w:val="000000" w:themeColor="text1"/>
                      <w:sz w:val="16"/>
                      <w:szCs w:val="16"/>
                    </w:rPr>
                  </w:pPr>
                  <w:r w:rsidRPr="00E14102">
                    <w:rPr>
                      <w:color w:val="000000" w:themeColor="text1"/>
                      <w:sz w:val="16"/>
                      <w:szCs w:val="16"/>
                    </w:rPr>
                    <w:t>0,48</w:t>
                  </w:r>
                </w:p>
              </w:tc>
            </w:tr>
            <w:tr w:rsidR="00E3599D" w:rsidRPr="00E14102" w14:paraId="264875E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E1B355" w14:textId="77777777" w:rsidR="006240D4" w:rsidRPr="00E14102" w:rsidRDefault="006240D4" w:rsidP="00E14102">
                  <w:pPr>
                    <w:jc w:val="both"/>
                    <w:rPr>
                      <w:color w:val="000000" w:themeColor="text1"/>
                      <w:sz w:val="16"/>
                      <w:szCs w:val="16"/>
                    </w:rPr>
                  </w:pPr>
                  <w:r w:rsidRPr="00E14102">
                    <w:rPr>
                      <w:color w:val="000000" w:themeColor="text1"/>
                      <w:sz w:val="16"/>
                      <w:szCs w:val="16"/>
                    </w:rPr>
                    <w:t>4. 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981B2" w14:textId="77777777" w:rsidR="006240D4" w:rsidRPr="00E14102" w:rsidRDefault="006240D4" w:rsidP="00E14102">
                  <w:pPr>
                    <w:jc w:val="both"/>
                    <w:rPr>
                      <w:color w:val="000000" w:themeColor="text1"/>
                      <w:sz w:val="16"/>
                      <w:szCs w:val="16"/>
                    </w:rPr>
                  </w:pPr>
                  <w:r w:rsidRPr="00E14102">
                    <w:rPr>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15DE3" w14:textId="77777777" w:rsidR="006240D4" w:rsidRPr="00E14102" w:rsidRDefault="006240D4" w:rsidP="00E14102">
                  <w:pPr>
                    <w:jc w:val="both"/>
                    <w:rPr>
                      <w:color w:val="000000" w:themeColor="text1"/>
                      <w:sz w:val="16"/>
                      <w:szCs w:val="16"/>
                    </w:rPr>
                  </w:pPr>
                  <w:r w:rsidRPr="00E14102">
                    <w:rPr>
                      <w:color w:val="000000" w:themeColor="text1"/>
                      <w:sz w:val="16"/>
                      <w:szCs w:val="16"/>
                    </w:rPr>
                    <w:t>7889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B873D" w14:textId="77777777" w:rsidR="006240D4" w:rsidRPr="00E14102" w:rsidRDefault="006240D4" w:rsidP="00E14102">
                  <w:pPr>
                    <w:jc w:val="both"/>
                    <w:rPr>
                      <w:color w:val="000000" w:themeColor="text1"/>
                      <w:sz w:val="16"/>
                      <w:szCs w:val="16"/>
                    </w:rPr>
                  </w:pPr>
                  <w:r w:rsidRPr="00E14102">
                    <w:rPr>
                      <w:color w:val="000000" w:themeColor="text1"/>
                      <w:sz w:val="16"/>
                      <w:szCs w:val="16"/>
                    </w:rPr>
                    <w:t>8515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FE45D" w14:textId="77777777" w:rsidR="006240D4" w:rsidRPr="00E14102" w:rsidRDefault="006240D4" w:rsidP="00E14102">
                  <w:pPr>
                    <w:jc w:val="both"/>
                    <w:rPr>
                      <w:color w:val="000000" w:themeColor="text1"/>
                      <w:sz w:val="16"/>
                      <w:szCs w:val="16"/>
                    </w:rPr>
                  </w:pPr>
                  <w:r w:rsidRPr="00E14102">
                    <w:rPr>
                      <w:color w:val="000000" w:themeColor="text1"/>
                      <w:sz w:val="16"/>
                      <w:szCs w:val="16"/>
                    </w:rPr>
                    <w:t>9278</w:t>
                  </w:r>
                </w:p>
              </w:tc>
            </w:tr>
            <w:tr w:rsidR="00E3599D" w:rsidRPr="00E14102" w14:paraId="58B36EC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E05957" w14:textId="77777777" w:rsidR="006240D4" w:rsidRPr="00E14102" w:rsidRDefault="006240D4" w:rsidP="00E14102">
                  <w:pPr>
                    <w:jc w:val="both"/>
                    <w:rPr>
                      <w:color w:val="000000" w:themeColor="text1"/>
                      <w:sz w:val="16"/>
                      <w:szCs w:val="16"/>
                    </w:rPr>
                  </w:pPr>
                  <w:r w:rsidRPr="00E14102">
                    <w:rPr>
                      <w:color w:val="000000" w:themeColor="text1"/>
                      <w:sz w:val="16"/>
                      <w:szCs w:val="16"/>
                    </w:rPr>
                    <w:t>5. Снижение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03572" w14:textId="77777777" w:rsidR="006240D4" w:rsidRPr="00E14102" w:rsidRDefault="006240D4" w:rsidP="00E14102">
                  <w:pPr>
                    <w:jc w:val="both"/>
                    <w:rPr>
                      <w:color w:val="000000" w:themeColor="text1"/>
                      <w:sz w:val="16"/>
                      <w:szCs w:val="16"/>
                    </w:rPr>
                  </w:pPr>
                  <w:r w:rsidRPr="00E14102">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F4442" w14:textId="77777777" w:rsidR="006240D4" w:rsidRPr="00E14102" w:rsidRDefault="006240D4" w:rsidP="00E14102">
                  <w:pPr>
                    <w:jc w:val="both"/>
                    <w:rPr>
                      <w:color w:val="000000" w:themeColor="text1"/>
                      <w:sz w:val="16"/>
                      <w:szCs w:val="16"/>
                    </w:rPr>
                  </w:pPr>
                  <w:r w:rsidRPr="00E14102">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A7CE7" w14:textId="77777777" w:rsidR="006240D4" w:rsidRPr="00E14102" w:rsidRDefault="006240D4" w:rsidP="00E14102">
                  <w:pPr>
                    <w:jc w:val="both"/>
                    <w:rPr>
                      <w:color w:val="000000" w:themeColor="text1"/>
                      <w:sz w:val="16"/>
                      <w:szCs w:val="16"/>
                    </w:rPr>
                  </w:pPr>
                  <w:r w:rsidRPr="00E14102">
                    <w:rPr>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69D76" w14:textId="77777777" w:rsidR="006240D4" w:rsidRPr="00E14102" w:rsidRDefault="006240D4" w:rsidP="00E14102">
                  <w:pPr>
                    <w:jc w:val="both"/>
                    <w:rPr>
                      <w:color w:val="000000" w:themeColor="text1"/>
                      <w:sz w:val="16"/>
                      <w:szCs w:val="16"/>
                    </w:rPr>
                  </w:pPr>
                  <w:r w:rsidRPr="00E14102">
                    <w:rPr>
                      <w:color w:val="000000" w:themeColor="text1"/>
                      <w:sz w:val="16"/>
                      <w:szCs w:val="16"/>
                    </w:rPr>
                    <w:t>-3,0</w:t>
                  </w:r>
                </w:p>
              </w:tc>
            </w:tr>
            <w:tr w:rsidR="00E3599D" w:rsidRPr="00E14102" w14:paraId="1042DF68" w14:textId="77777777" w:rsidTr="00493FC3">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6AE1AB1" w14:textId="77777777" w:rsidR="006240D4" w:rsidRPr="00E14102" w:rsidRDefault="006240D4" w:rsidP="00E14102">
                  <w:pPr>
                    <w:jc w:val="both"/>
                    <w:rPr>
                      <w:color w:val="000000" w:themeColor="text1"/>
                      <w:sz w:val="16"/>
                      <w:szCs w:val="16"/>
                    </w:rPr>
                  </w:pPr>
                  <w:r w:rsidRPr="00E14102">
                    <w:rPr>
                      <w:color w:val="000000" w:themeColor="text1"/>
                      <w:sz w:val="16"/>
                      <w:szCs w:val="16"/>
                    </w:rPr>
                    <w:t>Всего</w:t>
                  </w:r>
                </w:p>
              </w:tc>
            </w:tr>
            <w:tr w:rsidR="00E3599D" w:rsidRPr="00E14102" w14:paraId="1BBC7E7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8149DB" w14:textId="77777777" w:rsidR="006240D4" w:rsidRPr="00E14102" w:rsidRDefault="006240D4" w:rsidP="00E14102">
                  <w:pPr>
                    <w:jc w:val="both"/>
                    <w:rPr>
                      <w:color w:val="000000" w:themeColor="text1"/>
                      <w:sz w:val="16"/>
                      <w:szCs w:val="16"/>
                    </w:rPr>
                  </w:pPr>
                  <w:r w:rsidRPr="00E14102">
                    <w:rPr>
                      <w:color w:val="000000" w:themeColor="text1"/>
                      <w:sz w:val="16"/>
                      <w:szCs w:val="16"/>
                    </w:rPr>
                    <w:t>1. Валовая продукция (в ценах 1926/27 г.)</w:t>
                  </w:r>
                </w:p>
                <w:p w14:paraId="2AFB55CA" w14:textId="77777777" w:rsidR="006240D4" w:rsidRPr="00E14102" w:rsidRDefault="006240D4" w:rsidP="00E14102">
                  <w:pPr>
                    <w:jc w:val="both"/>
                    <w:rPr>
                      <w:color w:val="000000" w:themeColor="text1"/>
                      <w:sz w:val="16"/>
                      <w:szCs w:val="16"/>
                    </w:rPr>
                  </w:pPr>
                  <w:r w:rsidRPr="00E14102">
                    <w:rPr>
                      <w:color w:val="000000" w:themeColor="text1"/>
                      <w:sz w:val="16"/>
                      <w:szCs w:val="16"/>
                    </w:rPr>
                    <w:t>в том числе военная</w:t>
                  </w:r>
                </w:p>
                <w:p w14:paraId="0716EA59" w14:textId="77777777" w:rsidR="006240D4" w:rsidRPr="00E14102" w:rsidRDefault="006240D4" w:rsidP="00E14102">
                  <w:pPr>
                    <w:jc w:val="both"/>
                    <w:rPr>
                      <w:color w:val="000000" w:themeColor="text1"/>
                      <w:sz w:val="16"/>
                      <w:szCs w:val="16"/>
                    </w:rPr>
                  </w:pPr>
                  <w:r w:rsidRPr="00E14102">
                    <w:rPr>
                      <w:color w:val="000000" w:themeColor="text1"/>
                      <w:sz w:val="16"/>
                      <w:szCs w:val="16"/>
                    </w:rPr>
                    <w:lastRenderedPageBreak/>
                    <w:t>в том числе 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90225" w14:textId="77777777" w:rsidR="006240D4" w:rsidRPr="00E14102" w:rsidRDefault="006240D4" w:rsidP="00E14102">
                  <w:pPr>
                    <w:jc w:val="both"/>
                    <w:rPr>
                      <w:color w:val="000000" w:themeColor="text1"/>
                      <w:sz w:val="16"/>
                      <w:szCs w:val="16"/>
                    </w:rPr>
                  </w:pPr>
                  <w:r w:rsidRPr="00E14102">
                    <w:rPr>
                      <w:color w:val="000000" w:themeColor="text1"/>
                      <w:sz w:val="16"/>
                      <w:szCs w:val="16"/>
                    </w:rPr>
                    <w:lastRenderedPageBreak/>
                    <w:t>1376,1</w:t>
                  </w:r>
                </w:p>
                <w:p w14:paraId="6144068D" w14:textId="77777777" w:rsidR="006240D4" w:rsidRPr="00E14102" w:rsidRDefault="006240D4" w:rsidP="00E14102">
                  <w:pPr>
                    <w:jc w:val="both"/>
                    <w:rPr>
                      <w:color w:val="000000" w:themeColor="text1"/>
                      <w:sz w:val="16"/>
                      <w:szCs w:val="16"/>
                    </w:rPr>
                  </w:pPr>
                  <w:r w:rsidRPr="00E14102">
                    <w:rPr>
                      <w:color w:val="000000" w:themeColor="text1"/>
                      <w:sz w:val="16"/>
                      <w:szCs w:val="16"/>
                    </w:rPr>
                    <w:t>641,4</w:t>
                  </w:r>
                </w:p>
                <w:p w14:paraId="09BC4982" w14:textId="77777777" w:rsidR="006240D4" w:rsidRPr="00E14102" w:rsidRDefault="006240D4" w:rsidP="00E14102">
                  <w:pPr>
                    <w:jc w:val="both"/>
                    <w:rPr>
                      <w:color w:val="000000" w:themeColor="text1"/>
                      <w:sz w:val="16"/>
                      <w:szCs w:val="16"/>
                    </w:rPr>
                  </w:pPr>
                  <w:r w:rsidRPr="00E14102">
                    <w:rPr>
                      <w:color w:val="000000" w:themeColor="text1"/>
                      <w:sz w:val="16"/>
                      <w:szCs w:val="16"/>
                    </w:rPr>
                    <w:lastRenderedPageBreak/>
                    <w:t>415,7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CC47D" w14:textId="77777777" w:rsidR="006240D4" w:rsidRPr="00E14102" w:rsidRDefault="006240D4" w:rsidP="00E14102">
                  <w:pPr>
                    <w:jc w:val="both"/>
                    <w:rPr>
                      <w:color w:val="000000" w:themeColor="text1"/>
                      <w:sz w:val="16"/>
                      <w:szCs w:val="16"/>
                    </w:rPr>
                  </w:pPr>
                  <w:r w:rsidRPr="00E14102">
                    <w:rPr>
                      <w:color w:val="000000" w:themeColor="text1"/>
                      <w:sz w:val="16"/>
                      <w:szCs w:val="16"/>
                    </w:rPr>
                    <w:lastRenderedPageBreak/>
                    <w:t>2083,4</w:t>
                  </w:r>
                </w:p>
                <w:p w14:paraId="5CEAB518" w14:textId="77777777" w:rsidR="006240D4" w:rsidRPr="00E14102" w:rsidRDefault="006240D4" w:rsidP="00E14102">
                  <w:pPr>
                    <w:jc w:val="both"/>
                    <w:rPr>
                      <w:color w:val="000000" w:themeColor="text1"/>
                      <w:sz w:val="16"/>
                      <w:szCs w:val="16"/>
                    </w:rPr>
                  </w:pPr>
                  <w:r w:rsidRPr="00E14102">
                    <w:rPr>
                      <w:color w:val="000000" w:themeColor="text1"/>
                      <w:sz w:val="16"/>
                      <w:szCs w:val="16"/>
                    </w:rPr>
                    <w:t>1093,5</w:t>
                  </w:r>
                </w:p>
                <w:p w14:paraId="333230B6" w14:textId="77777777" w:rsidR="006240D4" w:rsidRPr="00E14102" w:rsidRDefault="006240D4" w:rsidP="00E14102">
                  <w:pPr>
                    <w:jc w:val="both"/>
                    <w:rPr>
                      <w:color w:val="000000" w:themeColor="text1"/>
                      <w:sz w:val="16"/>
                      <w:szCs w:val="16"/>
                    </w:rPr>
                  </w:pPr>
                  <w:r w:rsidRPr="00E14102">
                    <w:rPr>
                      <w:color w:val="000000" w:themeColor="text1"/>
                      <w:sz w:val="16"/>
                      <w:szCs w:val="16"/>
                    </w:rPr>
                    <w:lastRenderedPageBreak/>
                    <w:t>481,8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38B8A" w14:textId="77777777" w:rsidR="006240D4" w:rsidRPr="00E14102" w:rsidRDefault="006240D4" w:rsidP="00E14102">
                  <w:pPr>
                    <w:jc w:val="both"/>
                    <w:rPr>
                      <w:color w:val="000000" w:themeColor="text1"/>
                      <w:sz w:val="16"/>
                      <w:szCs w:val="16"/>
                    </w:rPr>
                  </w:pPr>
                  <w:r w:rsidRPr="00E14102">
                    <w:rPr>
                      <w:color w:val="000000" w:themeColor="text1"/>
                      <w:sz w:val="16"/>
                      <w:szCs w:val="16"/>
                    </w:rPr>
                    <w:lastRenderedPageBreak/>
                    <w:t>2083,2</w:t>
                  </w:r>
                </w:p>
                <w:p w14:paraId="7C8CE34D" w14:textId="77777777" w:rsidR="006240D4" w:rsidRPr="00E14102" w:rsidRDefault="006240D4" w:rsidP="00E14102">
                  <w:pPr>
                    <w:jc w:val="both"/>
                    <w:rPr>
                      <w:color w:val="000000" w:themeColor="text1"/>
                      <w:sz w:val="16"/>
                      <w:szCs w:val="16"/>
                    </w:rPr>
                  </w:pPr>
                  <w:r w:rsidRPr="00E14102">
                    <w:rPr>
                      <w:color w:val="000000" w:themeColor="text1"/>
                      <w:sz w:val="16"/>
                      <w:szCs w:val="16"/>
                    </w:rPr>
                    <w:t>1264,7</w:t>
                  </w:r>
                </w:p>
                <w:p w14:paraId="43F90DB0" w14:textId="77777777" w:rsidR="006240D4" w:rsidRPr="00E14102" w:rsidRDefault="006240D4" w:rsidP="00E14102">
                  <w:pPr>
                    <w:jc w:val="both"/>
                    <w:rPr>
                      <w:color w:val="000000" w:themeColor="text1"/>
                      <w:sz w:val="16"/>
                      <w:szCs w:val="16"/>
                    </w:rPr>
                  </w:pPr>
                  <w:r w:rsidRPr="00E14102">
                    <w:rPr>
                      <w:color w:val="000000" w:themeColor="text1"/>
                      <w:sz w:val="16"/>
                      <w:szCs w:val="16"/>
                    </w:rPr>
                    <w:lastRenderedPageBreak/>
                    <w:t>610,9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EF792" w14:textId="77777777" w:rsidR="006240D4" w:rsidRPr="00E14102" w:rsidRDefault="006240D4" w:rsidP="00E14102">
                  <w:pPr>
                    <w:jc w:val="both"/>
                    <w:rPr>
                      <w:color w:val="000000" w:themeColor="text1"/>
                      <w:sz w:val="16"/>
                      <w:szCs w:val="16"/>
                    </w:rPr>
                  </w:pPr>
                  <w:r w:rsidRPr="00E14102">
                    <w:rPr>
                      <w:color w:val="000000" w:themeColor="text1"/>
                      <w:sz w:val="16"/>
                      <w:szCs w:val="16"/>
                    </w:rPr>
                    <w:lastRenderedPageBreak/>
                    <w:t>2744,1¹*</w:t>
                  </w:r>
                </w:p>
                <w:p w14:paraId="3BBC85B0" w14:textId="77777777" w:rsidR="006240D4" w:rsidRPr="00E14102" w:rsidRDefault="006240D4" w:rsidP="00E14102">
                  <w:pPr>
                    <w:jc w:val="both"/>
                    <w:rPr>
                      <w:color w:val="000000" w:themeColor="text1"/>
                      <w:sz w:val="16"/>
                      <w:szCs w:val="16"/>
                    </w:rPr>
                  </w:pPr>
                  <w:r w:rsidRPr="00E14102">
                    <w:rPr>
                      <w:color w:val="000000" w:themeColor="text1"/>
                      <w:sz w:val="16"/>
                      <w:szCs w:val="16"/>
                    </w:rPr>
                    <w:t>1441,8¹*</w:t>
                  </w:r>
                </w:p>
                <w:p w14:paraId="4A618F1F" w14:textId="77777777" w:rsidR="006240D4" w:rsidRPr="00E14102" w:rsidRDefault="006240D4" w:rsidP="00E14102">
                  <w:pPr>
                    <w:jc w:val="both"/>
                    <w:rPr>
                      <w:color w:val="000000" w:themeColor="text1"/>
                      <w:sz w:val="16"/>
                      <w:szCs w:val="16"/>
                    </w:rPr>
                  </w:pPr>
                  <w:r w:rsidRPr="00E14102">
                    <w:rPr>
                      <w:color w:val="000000" w:themeColor="text1"/>
                      <w:sz w:val="16"/>
                      <w:szCs w:val="16"/>
                    </w:rPr>
                    <w:lastRenderedPageBreak/>
                    <w:t>847,0¹*</w:t>
                  </w:r>
                </w:p>
              </w:tc>
            </w:tr>
            <w:tr w:rsidR="00E3599D" w:rsidRPr="00E14102" w14:paraId="401A700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4C6BC8" w14:textId="77777777" w:rsidR="006240D4" w:rsidRPr="00E14102" w:rsidRDefault="006240D4" w:rsidP="00E14102">
                  <w:pPr>
                    <w:jc w:val="both"/>
                    <w:rPr>
                      <w:color w:val="000000" w:themeColor="text1"/>
                      <w:sz w:val="16"/>
                      <w:szCs w:val="16"/>
                    </w:rPr>
                  </w:pPr>
                  <w:r w:rsidRPr="00E14102">
                    <w:rPr>
                      <w:color w:val="000000" w:themeColor="text1"/>
                      <w:sz w:val="16"/>
                      <w:szCs w:val="16"/>
                    </w:rPr>
                    <w:lastRenderedPageBreak/>
                    <w:t>2. Годовое 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F953F" w14:textId="77777777" w:rsidR="006240D4" w:rsidRPr="00E14102" w:rsidRDefault="006240D4" w:rsidP="00E14102">
                  <w:pPr>
                    <w:jc w:val="both"/>
                    <w:rPr>
                      <w:color w:val="000000" w:themeColor="text1"/>
                      <w:sz w:val="16"/>
                      <w:szCs w:val="16"/>
                    </w:rPr>
                  </w:pPr>
                  <w:r w:rsidRPr="00E14102">
                    <w:rPr>
                      <w:color w:val="000000" w:themeColor="text1"/>
                      <w:sz w:val="16"/>
                      <w:szCs w:val="16"/>
                    </w:rPr>
                    <w:t>260,3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D7790" w14:textId="77777777" w:rsidR="006240D4" w:rsidRPr="00E14102" w:rsidRDefault="006240D4" w:rsidP="00E14102">
                  <w:pPr>
                    <w:jc w:val="both"/>
                    <w:rPr>
                      <w:color w:val="000000" w:themeColor="text1"/>
                      <w:sz w:val="16"/>
                      <w:szCs w:val="16"/>
                    </w:rPr>
                  </w:pPr>
                  <w:r w:rsidRPr="00E14102">
                    <w:rPr>
                      <w:color w:val="000000" w:themeColor="text1"/>
                      <w:sz w:val="16"/>
                      <w:szCs w:val="16"/>
                    </w:rPr>
                    <w:t>324,9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0BBE3" w14:textId="77777777" w:rsidR="006240D4" w:rsidRPr="00E14102" w:rsidRDefault="006240D4" w:rsidP="00E14102">
                  <w:pPr>
                    <w:jc w:val="both"/>
                    <w:rPr>
                      <w:color w:val="000000" w:themeColor="text1"/>
                      <w:sz w:val="16"/>
                      <w:szCs w:val="16"/>
                    </w:rPr>
                  </w:pPr>
                  <w:r w:rsidRPr="00E14102">
                    <w:rPr>
                      <w:color w:val="000000" w:themeColor="text1"/>
                      <w:sz w:val="16"/>
                      <w:szCs w:val="16"/>
                    </w:rPr>
                    <w:t>294,4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4AE95" w14:textId="77777777" w:rsidR="006240D4" w:rsidRPr="00E14102" w:rsidRDefault="006240D4" w:rsidP="00E14102">
                  <w:pPr>
                    <w:jc w:val="both"/>
                    <w:rPr>
                      <w:color w:val="000000" w:themeColor="text1"/>
                      <w:sz w:val="16"/>
                      <w:szCs w:val="16"/>
                    </w:rPr>
                  </w:pPr>
                  <w:r w:rsidRPr="00E14102">
                    <w:rPr>
                      <w:color w:val="000000" w:themeColor="text1"/>
                      <w:sz w:val="16"/>
                      <w:szCs w:val="16"/>
                    </w:rPr>
                    <w:t>331,0</w:t>
                  </w:r>
                </w:p>
              </w:tc>
            </w:tr>
            <w:tr w:rsidR="00E3599D" w:rsidRPr="00E14102" w14:paraId="45CB8E3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48BDF2" w14:textId="77777777" w:rsidR="006240D4" w:rsidRPr="00E14102" w:rsidRDefault="006240D4" w:rsidP="00E14102">
                  <w:pPr>
                    <w:jc w:val="both"/>
                    <w:rPr>
                      <w:color w:val="000000" w:themeColor="text1"/>
                      <w:sz w:val="16"/>
                      <w:szCs w:val="16"/>
                    </w:rPr>
                  </w:pPr>
                  <w:r w:rsidRPr="00E14102">
                    <w:rPr>
                      <w:color w:val="000000" w:themeColor="text1"/>
                      <w:sz w:val="16"/>
                      <w:szCs w:val="16"/>
                    </w:rPr>
                    <w:t>3. Выработка на 1 руб. основных фондов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BBAFD" w14:textId="77777777" w:rsidR="006240D4" w:rsidRPr="00E14102" w:rsidRDefault="006240D4" w:rsidP="00E14102">
                  <w:pPr>
                    <w:jc w:val="both"/>
                    <w:rPr>
                      <w:color w:val="000000" w:themeColor="text1"/>
                      <w:sz w:val="16"/>
                      <w:szCs w:val="16"/>
                    </w:rPr>
                  </w:pPr>
                  <w:r w:rsidRPr="00E14102">
                    <w:rPr>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16017" w14:textId="77777777" w:rsidR="006240D4" w:rsidRPr="00E14102" w:rsidRDefault="006240D4" w:rsidP="00E14102">
                  <w:pPr>
                    <w:jc w:val="both"/>
                    <w:rPr>
                      <w:color w:val="000000" w:themeColor="text1"/>
                      <w:sz w:val="16"/>
                      <w:szCs w:val="16"/>
                    </w:rPr>
                  </w:pPr>
                  <w:r w:rsidRPr="00E14102">
                    <w:rPr>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026A6" w14:textId="77777777" w:rsidR="006240D4" w:rsidRPr="00E14102" w:rsidRDefault="006240D4" w:rsidP="00E14102">
                  <w:pPr>
                    <w:jc w:val="both"/>
                    <w:rPr>
                      <w:color w:val="000000" w:themeColor="text1"/>
                      <w:sz w:val="16"/>
                      <w:szCs w:val="16"/>
                    </w:rPr>
                  </w:pPr>
                  <w:r w:rsidRPr="00E14102">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79569" w14:textId="77777777" w:rsidR="006240D4" w:rsidRPr="00E14102" w:rsidRDefault="006240D4" w:rsidP="00E14102">
                  <w:pPr>
                    <w:jc w:val="both"/>
                    <w:rPr>
                      <w:color w:val="000000" w:themeColor="text1"/>
                      <w:sz w:val="16"/>
                      <w:szCs w:val="16"/>
                    </w:rPr>
                  </w:pPr>
                  <w:r w:rsidRPr="00E14102">
                    <w:rPr>
                      <w:color w:val="000000" w:themeColor="text1"/>
                      <w:sz w:val="16"/>
                      <w:szCs w:val="16"/>
                    </w:rPr>
                    <w:t>1,21</w:t>
                  </w:r>
                </w:p>
              </w:tc>
            </w:tr>
            <w:tr w:rsidR="00E3599D" w:rsidRPr="00E14102" w14:paraId="563B32C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1BF993" w14:textId="77777777" w:rsidR="006240D4" w:rsidRPr="00E14102" w:rsidRDefault="006240D4" w:rsidP="00E14102">
                  <w:pPr>
                    <w:jc w:val="both"/>
                    <w:rPr>
                      <w:color w:val="000000" w:themeColor="text1"/>
                      <w:sz w:val="16"/>
                      <w:szCs w:val="16"/>
                    </w:rPr>
                  </w:pPr>
                  <w:r w:rsidRPr="00E14102">
                    <w:rPr>
                      <w:color w:val="000000" w:themeColor="text1"/>
                      <w:sz w:val="16"/>
                      <w:szCs w:val="16"/>
                    </w:rPr>
                    <w:t>4. 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24037" w14:textId="77777777" w:rsidR="006240D4" w:rsidRPr="00E14102" w:rsidRDefault="006240D4" w:rsidP="00E14102">
                  <w:pPr>
                    <w:jc w:val="both"/>
                    <w:rPr>
                      <w:color w:val="000000" w:themeColor="text1"/>
                      <w:sz w:val="16"/>
                      <w:szCs w:val="16"/>
                    </w:rPr>
                  </w:pPr>
                  <w:r w:rsidRPr="00E14102">
                    <w:rPr>
                      <w:color w:val="000000" w:themeColor="text1"/>
                      <w:sz w:val="16"/>
                      <w:szCs w:val="16"/>
                    </w:rPr>
                    <w:t>5287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64037" w14:textId="77777777" w:rsidR="006240D4" w:rsidRPr="00E14102" w:rsidRDefault="006240D4" w:rsidP="00E14102">
                  <w:pPr>
                    <w:jc w:val="both"/>
                    <w:rPr>
                      <w:color w:val="000000" w:themeColor="text1"/>
                      <w:sz w:val="16"/>
                      <w:szCs w:val="16"/>
                    </w:rPr>
                  </w:pPr>
                  <w:r w:rsidRPr="00E14102">
                    <w:rPr>
                      <w:color w:val="000000" w:themeColor="text1"/>
                      <w:sz w:val="16"/>
                      <w:szCs w:val="16"/>
                    </w:rPr>
                    <w:t>6430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A6DB2" w14:textId="77777777" w:rsidR="006240D4" w:rsidRPr="00E14102" w:rsidRDefault="006240D4" w:rsidP="00E14102">
                  <w:pPr>
                    <w:jc w:val="both"/>
                    <w:rPr>
                      <w:color w:val="000000" w:themeColor="text1"/>
                      <w:sz w:val="16"/>
                      <w:szCs w:val="16"/>
                    </w:rPr>
                  </w:pPr>
                  <w:r w:rsidRPr="00E14102">
                    <w:rPr>
                      <w:color w:val="000000" w:themeColor="text1"/>
                      <w:sz w:val="16"/>
                      <w:szCs w:val="16"/>
                    </w:rPr>
                    <w:t>7076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F3F47" w14:textId="77777777" w:rsidR="006240D4" w:rsidRPr="00E14102" w:rsidRDefault="006240D4" w:rsidP="00E14102">
                  <w:pPr>
                    <w:jc w:val="both"/>
                    <w:rPr>
                      <w:color w:val="000000" w:themeColor="text1"/>
                      <w:sz w:val="16"/>
                      <w:szCs w:val="16"/>
                    </w:rPr>
                  </w:pPr>
                  <w:r w:rsidRPr="00E14102">
                    <w:rPr>
                      <w:color w:val="000000" w:themeColor="text1"/>
                      <w:sz w:val="16"/>
                      <w:szCs w:val="16"/>
                    </w:rPr>
                    <w:t>8285</w:t>
                  </w:r>
                </w:p>
              </w:tc>
            </w:tr>
          </w:tbl>
          <w:p w14:paraId="3817C7AC" w14:textId="77777777" w:rsidR="006240D4" w:rsidRPr="00E14102" w:rsidRDefault="006240D4" w:rsidP="00E14102">
            <w:pPr>
              <w:jc w:val="both"/>
              <w:rPr>
                <w:color w:val="000000" w:themeColor="text1"/>
                <w:sz w:val="16"/>
                <w:szCs w:val="16"/>
              </w:rPr>
            </w:pPr>
          </w:p>
        </w:tc>
      </w:tr>
    </w:tbl>
    <w:p w14:paraId="43EAF2AC" w14:textId="77777777" w:rsidR="006240D4" w:rsidRPr="00E14102" w:rsidRDefault="006240D4" w:rsidP="00E14102">
      <w:pPr>
        <w:pStyle w:val="ad"/>
        <w:spacing w:before="0" w:after="0"/>
        <w:rPr>
          <w:rFonts w:ascii="Times New Roman" w:hAnsi="Times New Roman" w:cs="Times New Roman"/>
          <w:color w:val="000000" w:themeColor="text1"/>
          <w:sz w:val="16"/>
          <w:szCs w:val="16"/>
        </w:rPr>
      </w:pPr>
      <w:r w:rsidRPr="00E14102">
        <w:rPr>
          <w:rStyle w:val="a6"/>
          <w:rFonts w:ascii="Times New Roman" w:hAnsi="Times New Roman" w:cs="Times New Roman"/>
          <w:i w:val="0"/>
          <w:color w:val="000000" w:themeColor="text1"/>
          <w:sz w:val="16"/>
          <w:szCs w:val="16"/>
        </w:rPr>
        <w:lastRenderedPageBreak/>
        <w:t>Примечание:</w:t>
      </w:r>
    </w:p>
    <w:p w14:paraId="276C8322" w14:textId="77777777" w:rsidR="006240D4" w:rsidRPr="00E14102" w:rsidRDefault="006240D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¹*</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Цифры, отмеченные звездочками, исправлены от руки.</w:t>
      </w:r>
    </w:p>
    <w:p w14:paraId="08EF873F" w14:textId="77777777" w:rsidR="006240D4" w:rsidRPr="00E14102" w:rsidRDefault="006240D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4372. Оп. 91. Д. 2189. Л. 31-32. Подлинник (15330).</w:t>
      </w:r>
    </w:p>
    <w:p w14:paraId="682431D5" w14:textId="77777777" w:rsidR="006240D4" w:rsidRPr="00E14102" w:rsidRDefault="006240D4" w:rsidP="00E14102">
      <w:pPr>
        <w:jc w:val="both"/>
        <w:rPr>
          <w:bCs/>
          <w:color w:val="000000" w:themeColor="text1"/>
          <w:sz w:val="16"/>
          <w:szCs w:val="16"/>
        </w:rPr>
      </w:pPr>
    </w:p>
    <w:p w14:paraId="4F98B030" w14:textId="77777777" w:rsidR="006240D4" w:rsidRPr="00E14102" w:rsidRDefault="006240D4" w:rsidP="00E14102">
      <w:pPr>
        <w:jc w:val="both"/>
        <w:rPr>
          <w:rStyle w:val="a6"/>
          <w:i w:val="0"/>
          <w:color w:val="000000" w:themeColor="text1"/>
          <w:sz w:val="16"/>
          <w:szCs w:val="16"/>
        </w:rPr>
      </w:pPr>
      <w:r w:rsidRPr="00E14102">
        <w:rPr>
          <w:color w:val="000000" w:themeColor="text1"/>
          <w:sz w:val="16"/>
          <w:szCs w:val="16"/>
        </w:rPr>
        <w:t>20 января 1935 г. — Справка Сектора обороны Госплана СССР «Основные показатели по капитальному строительству военной промышленности от VI к VII съезду Советов»</w:t>
      </w:r>
    </w:p>
    <w:p w14:paraId="2FAC0C49" w14:textId="77777777" w:rsidR="006240D4" w:rsidRPr="00E14102" w:rsidRDefault="006240D4"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7660271B" w14:textId="77777777" w:rsidR="006240D4" w:rsidRPr="00E14102" w:rsidRDefault="006240D4" w:rsidP="00E14102">
      <w:pPr>
        <w:jc w:val="both"/>
        <w:rPr>
          <w:color w:val="000000" w:themeColor="text1"/>
          <w:sz w:val="16"/>
          <w:szCs w:val="16"/>
        </w:rPr>
      </w:pPr>
      <w:r w:rsidRPr="00E14102">
        <w:rPr>
          <w:color w:val="000000" w:themeColor="text1"/>
          <w:sz w:val="16"/>
          <w:szCs w:val="16"/>
        </w:rPr>
        <w:t>(в млн. 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96"/>
        <w:gridCol w:w="986"/>
        <w:gridCol w:w="986"/>
        <w:gridCol w:w="986"/>
        <w:gridCol w:w="986"/>
        <w:gridCol w:w="2483"/>
      </w:tblGrid>
      <w:tr w:rsidR="00E3599D" w:rsidRPr="00E14102" w14:paraId="7BBF2CF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C927CC" w14:textId="77777777" w:rsidR="006240D4" w:rsidRPr="00E14102" w:rsidRDefault="006240D4" w:rsidP="00E14102">
            <w:pPr>
              <w:jc w:val="both"/>
              <w:rPr>
                <w:color w:val="000000" w:themeColor="text1"/>
                <w:sz w:val="16"/>
                <w:szCs w:val="16"/>
              </w:rPr>
            </w:pPr>
            <w:r w:rsidRPr="00E14102">
              <w:rPr>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8BA03" w14:textId="77777777" w:rsidR="006240D4" w:rsidRPr="00E14102" w:rsidRDefault="006240D4" w:rsidP="00E14102">
            <w:pPr>
              <w:jc w:val="both"/>
              <w:rPr>
                <w:color w:val="000000" w:themeColor="text1"/>
                <w:sz w:val="16"/>
                <w:szCs w:val="16"/>
              </w:rPr>
            </w:pPr>
            <w:r w:rsidRPr="00E14102">
              <w:rPr>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4FD6D" w14:textId="77777777" w:rsidR="006240D4" w:rsidRPr="00E14102" w:rsidRDefault="006240D4" w:rsidP="00E14102">
            <w:pPr>
              <w:jc w:val="both"/>
              <w:rPr>
                <w:color w:val="000000" w:themeColor="text1"/>
                <w:sz w:val="16"/>
                <w:szCs w:val="16"/>
              </w:rPr>
            </w:pPr>
            <w:r w:rsidRPr="00E14102">
              <w:rPr>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B0DA5" w14:textId="77777777" w:rsidR="006240D4" w:rsidRPr="00E14102" w:rsidRDefault="006240D4" w:rsidP="00E14102">
            <w:pPr>
              <w:jc w:val="both"/>
              <w:rPr>
                <w:color w:val="000000" w:themeColor="text1"/>
                <w:sz w:val="16"/>
                <w:szCs w:val="16"/>
              </w:rPr>
            </w:pPr>
            <w:r w:rsidRPr="00E14102">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764FB" w14:textId="77777777" w:rsidR="006240D4" w:rsidRPr="00E14102" w:rsidRDefault="006240D4" w:rsidP="00E14102">
            <w:pPr>
              <w:jc w:val="both"/>
              <w:rPr>
                <w:color w:val="000000" w:themeColor="text1"/>
                <w:sz w:val="16"/>
                <w:szCs w:val="16"/>
              </w:rPr>
            </w:pPr>
            <w:r w:rsidRPr="00E14102">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9DC8E" w14:textId="77777777" w:rsidR="006240D4" w:rsidRPr="00E14102" w:rsidRDefault="006240D4" w:rsidP="00E14102">
            <w:pPr>
              <w:jc w:val="both"/>
              <w:rPr>
                <w:color w:val="000000" w:themeColor="text1"/>
                <w:sz w:val="16"/>
                <w:szCs w:val="16"/>
              </w:rPr>
            </w:pPr>
            <w:r w:rsidRPr="00E14102">
              <w:rPr>
                <w:color w:val="000000" w:themeColor="text1"/>
                <w:sz w:val="16"/>
                <w:szCs w:val="16"/>
              </w:rPr>
              <w:t>Предварительные</w:t>
            </w:r>
          </w:p>
          <w:p w14:paraId="1ADF1898" w14:textId="77777777" w:rsidR="006240D4" w:rsidRPr="00E14102" w:rsidRDefault="006240D4" w:rsidP="00E14102">
            <w:pPr>
              <w:jc w:val="both"/>
              <w:rPr>
                <w:color w:val="000000" w:themeColor="text1"/>
                <w:sz w:val="16"/>
                <w:szCs w:val="16"/>
              </w:rPr>
            </w:pPr>
            <w:r w:rsidRPr="00E14102">
              <w:rPr>
                <w:color w:val="000000" w:themeColor="text1"/>
                <w:sz w:val="16"/>
                <w:szCs w:val="16"/>
              </w:rPr>
              <w:t>итоги 1934 г.</w:t>
            </w:r>
          </w:p>
        </w:tc>
      </w:tr>
      <w:tr w:rsidR="00E3599D" w:rsidRPr="00E14102" w14:paraId="37475518" w14:textId="77777777" w:rsidTr="00493FC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02E3229" w14:textId="77777777" w:rsidR="006240D4" w:rsidRPr="00E14102" w:rsidRDefault="006240D4" w:rsidP="00E14102">
            <w:pPr>
              <w:jc w:val="both"/>
              <w:rPr>
                <w:color w:val="000000" w:themeColor="text1"/>
                <w:sz w:val="16"/>
                <w:szCs w:val="16"/>
              </w:rPr>
            </w:pPr>
            <w:r w:rsidRPr="00E14102">
              <w:rPr>
                <w:color w:val="000000" w:themeColor="text1"/>
                <w:sz w:val="16"/>
                <w:szCs w:val="16"/>
              </w:rPr>
              <w:t>ГВМУ</w:t>
            </w:r>
          </w:p>
        </w:tc>
      </w:tr>
      <w:tr w:rsidR="00E3599D" w:rsidRPr="00E14102" w14:paraId="2C9E5E4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98397C" w14:textId="77777777" w:rsidR="006240D4" w:rsidRPr="00E14102" w:rsidRDefault="006240D4" w:rsidP="00E14102">
            <w:pPr>
              <w:jc w:val="both"/>
              <w:rPr>
                <w:color w:val="000000" w:themeColor="text1"/>
                <w:sz w:val="16"/>
                <w:szCs w:val="16"/>
              </w:rPr>
            </w:pPr>
            <w:r w:rsidRPr="00E14102">
              <w:rPr>
                <w:color w:val="000000" w:themeColor="text1"/>
                <w:sz w:val="16"/>
                <w:szCs w:val="16"/>
              </w:rPr>
              <w:t>1. Основные фонды (на конец года)</w:t>
            </w:r>
          </w:p>
          <w:p w14:paraId="58E213A0" w14:textId="77777777" w:rsidR="006240D4" w:rsidRPr="00E14102" w:rsidRDefault="006240D4" w:rsidP="00E14102">
            <w:pPr>
              <w:jc w:val="both"/>
              <w:rPr>
                <w:color w:val="000000" w:themeColor="text1"/>
                <w:sz w:val="16"/>
                <w:szCs w:val="16"/>
              </w:rPr>
            </w:pPr>
            <w:r w:rsidRPr="00E14102">
              <w:rPr>
                <w:color w:val="000000" w:themeColor="text1"/>
                <w:sz w:val="16"/>
                <w:szCs w:val="16"/>
              </w:rPr>
              <w:t>в том числе производственные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7C933" w14:textId="77777777" w:rsidR="006240D4" w:rsidRPr="00E14102" w:rsidRDefault="006240D4" w:rsidP="00E14102">
            <w:pPr>
              <w:jc w:val="both"/>
              <w:rPr>
                <w:color w:val="000000" w:themeColor="text1"/>
                <w:sz w:val="16"/>
                <w:szCs w:val="16"/>
              </w:rPr>
            </w:pPr>
            <w:r w:rsidRPr="00E14102">
              <w:rPr>
                <w:color w:val="000000" w:themeColor="text1"/>
                <w:sz w:val="16"/>
                <w:szCs w:val="16"/>
              </w:rPr>
              <w:t>602,8</w:t>
            </w:r>
          </w:p>
          <w:p w14:paraId="4F8E8ED4" w14:textId="77777777" w:rsidR="006240D4" w:rsidRPr="00E14102" w:rsidRDefault="006240D4" w:rsidP="00E14102">
            <w:pPr>
              <w:jc w:val="both"/>
              <w:rPr>
                <w:color w:val="000000" w:themeColor="text1"/>
                <w:sz w:val="16"/>
                <w:szCs w:val="16"/>
              </w:rPr>
            </w:pPr>
            <w:r w:rsidRPr="00E14102">
              <w:rPr>
                <w:color w:val="000000" w:themeColor="text1"/>
                <w:sz w:val="16"/>
                <w:szCs w:val="16"/>
              </w:rPr>
              <w:t>543,7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A4B09" w14:textId="77777777" w:rsidR="006240D4" w:rsidRPr="00E14102" w:rsidRDefault="006240D4" w:rsidP="00E14102">
            <w:pPr>
              <w:jc w:val="both"/>
              <w:rPr>
                <w:color w:val="000000" w:themeColor="text1"/>
                <w:sz w:val="16"/>
                <w:szCs w:val="16"/>
              </w:rPr>
            </w:pPr>
            <w:r w:rsidRPr="00E14102">
              <w:rPr>
                <w:color w:val="000000" w:themeColor="text1"/>
                <w:sz w:val="16"/>
                <w:szCs w:val="16"/>
              </w:rPr>
              <w:t>726,5</w:t>
            </w:r>
          </w:p>
          <w:p w14:paraId="44ED60F3" w14:textId="77777777" w:rsidR="006240D4" w:rsidRPr="00E14102" w:rsidRDefault="006240D4" w:rsidP="00E14102">
            <w:pPr>
              <w:jc w:val="both"/>
              <w:rPr>
                <w:color w:val="000000" w:themeColor="text1"/>
                <w:sz w:val="16"/>
                <w:szCs w:val="16"/>
              </w:rPr>
            </w:pPr>
            <w:r w:rsidRPr="00E14102">
              <w:rPr>
                <w:color w:val="000000" w:themeColor="text1"/>
                <w:sz w:val="16"/>
                <w:szCs w:val="16"/>
              </w:rPr>
              <w:t>643,3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D2B75" w14:textId="77777777" w:rsidR="006240D4" w:rsidRPr="00E14102" w:rsidRDefault="006240D4" w:rsidP="00E14102">
            <w:pPr>
              <w:jc w:val="both"/>
              <w:rPr>
                <w:color w:val="000000" w:themeColor="text1"/>
                <w:sz w:val="16"/>
                <w:szCs w:val="16"/>
              </w:rPr>
            </w:pPr>
            <w:r w:rsidRPr="00E14102">
              <w:rPr>
                <w:color w:val="000000" w:themeColor="text1"/>
                <w:sz w:val="16"/>
                <w:szCs w:val="16"/>
              </w:rPr>
              <w:t>961,1</w:t>
            </w:r>
          </w:p>
          <w:p w14:paraId="4B6917E5" w14:textId="77777777" w:rsidR="006240D4" w:rsidRPr="00E14102" w:rsidRDefault="006240D4" w:rsidP="00E14102">
            <w:pPr>
              <w:jc w:val="both"/>
              <w:rPr>
                <w:color w:val="000000" w:themeColor="text1"/>
                <w:sz w:val="16"/>
                <w:szCs w:val="16"/>
              </w:rPr>
            </w:pPr>
            <w:r w:rsidRPr="00E14102">
              <w:rPr>
                <w:color w:val="000000" w:themeColor="text1"/>
                <w:sz w:val="16"/>
                <w:szCs w:val="16"/>
              </w:rPr>
              <w:t>830,5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697B7" w14:textId="77777777" w:rsidR="006240D4" w:rsidRPr="00E14102" w:rsidRDefault="006240D4" w:rsidP="00E14102">
            <w:pPr>
              <w:jc w:val="both"/>
              <w:rPr>
                <w:color w:val="000000" w:themeColor="text1"/>
                <w:sz w:val="16"/>
                <w:szCs w:val="16"/>
              </w:rPr>
            </w:pPr>
            <w:r w:rsidRPr="00E14102">
              <w:rPr>
                <w:color w:val="000000" w:themeColor="text1"/>
                <w:sz w:val="16"/>
                <w:szCs w:val="16"/>
              </w:rPr>
              <w:t>1129,0</w:t>
            </w:r>
          </w:p>
          <w:p w14:paraId="72B7140E" w14:textId="77777777" w:rsidR="006240D4" w:rsidRPr="00E14102" w:rsidRDefault="006240D4" w:rsidP="00E14102">
            <w:pPr>
              <w:jc w:val="both"/>
              <w:rPr>
                <w:color w:val="000000" w:themeColor="text1"/>
                <w:sz w:val="16"/>
                <w:szCs w:val="16"/>
              </w:rPr>
            </w:pPr>
            <w:r w:rsidRPr="00E14102">
              <w:rPr>
                <w:color w:val="000000" w:themeColor="text1"/>
                <w:sz w:val="16"/>
                <w:szCs w:val="16"/>
              </w:rPr>
              <w:t>963,1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94F59" w14:textId="77777777" w:rsidR="006240D4" w:rsidRPr="00E14102" w:rsidRDefault="006240D4" w:rsidP="00E14102">
            <w:pPr>
              <w:jc w:val="both"/>
              <w:rPr>
                <w:color w:val="000000" w:themeColor="text1"/>
                <w:sz w:val="16"/>
                <w:szCs w:val="16"/>
              </w:rPr>
            </w:pPr>
            <w:r w:rsidRPr="00E14102">
              <w:rPr>
                <w:color w:val="000000" w:themeColor="text1"/>
                <w:sz w:val="16"/>
                <w:szCs w:val="16"/>
              </w:rPr>
              <w:t>1425,0</w:t>
            </w:r>
          </w:p>
          <w:p w14:paraId="52B609AF" w14:textId="77777777" w:rsidR="006240D4" w:rsidRPr="00E14102" w:rsidRDefault="006240D4" w:rsidP="00E14102">
            <w:pPr>
              <w:jc w:val="both"/>
              <w:rPr>
                <w:color w:val="000000" w:themeColor="text1"/>
                <w:sz w:val="16"/>
                <w:szCs w:val="16"/>
              </w:rPr>
            </w:pPr>
            <w:r w:rsidRPr="00E14102">
              <w:rPr>
                <w:color w:val="000000" w:themeColor="text1"/>
                <w:sz w:val="16"/>
                <w:szCs w:val="16"/>
              </w:rPr>
              <w:t>1235,0</w:t>
            </w:r>
          </w:p>
        </w:tc>
      </w:tr>
      <w:tr w:rsidR="00E3599D" w:rsidRPr="00E14102" w14:paraId="6DFCD41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92E217" w14:textId="77777777" w:rsidR="006240D4" w:rsidRPr="00E14102" w:rsidRDefault="006240D4" w:rsidP="00E14102">
            <w:pPr>
              <w:jc w:val="both"/>
              <w:rPr>
                <w:color w:val="000000" w:themeColor="text1"/>
                <w:sz w:val="16"/>
                <w:szCs w:val="16"/>
              </w:rPr>
            </w:pPr>
            <w:r w:rsidRPr="00E14102">
              <w:rPr>
                <w:color w:val="000000" w:themeColor="text1"/>
                <w:sz w:val="16"/>
                <w:szCs w:val="16"/>
              </w:rPr>
              <w:t>2. Капиталовложения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87D92" w14:textId="77777777" w:rsidR="006240D4" w:rsidRPr="00E14102" w:rsidRDefault="006240D4" w:rsidP="00E14102">
            <w:pPr>
              <w:jc w:val="both"/>
              <w:rPr>
                <w:color w:val="000000" w:themeColor="text1"/>
                <w:sz w:val="16"/>
                <w:szCs w:val="16"/>
              </w:rPr>
            </w:pPr>
            <w:r w:rsidRPr="00E14102">
              <w:rPr>
                <w:color w:val="000000" w:themeColor="text1"/>
                <w:sz w:val="16"/>
                <w:szCs w:val="16"/>
              </w:rPr>
              <w:t>131,0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6357D" w14:textId="77777777" w:rsidR="006240D4" w:rsidRPr="00E14102" w:rsidRDefault="006240D4" w:rsidP="00E14102">
            <w:pPr>
              <w:jc w:val="both"/>
              <w:rPr>
                <w:color w:val="000000" w:themeColor="text1"/>
                <w:sz w:val="16"/>
                <w:szCs w:val="16"/>
              </w:rPr>
            </w:pPr>
            <w:r w:rsidRPr="00E14102">
              <w:rPr>
                <w:color w:val="000000" w:themeColor="text1"/>
                <w:sz w:val="16"/>
                <w:szCs w:val="16"/>
              </w:rPr>
              <w:t>241,8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EC204" w14:textId="77777777" w:rsidR="006240D4" w:rsidRPr="00E14102" w:rsidRDefault="006240D4" w:rsidP="00E14102">
            <w:pPr>
              <w:jc w:val="both"/>
              <w:rPr>
                <w:color w:val="000000" w:themeColor="text1"/>
                <w:sz w:val="16"/>
                <w:szCs w:val="16"/>
              </w:rPr>
            </w:pPr>
            <w:r w:rsidRPr="00E14102">
              <w:rPr>
                <w:color w:val="000000" w:themeColor="text1"/>
                <w:sz w:val="16"/>
                <w:szCs w:val="16"/>
              </w:rPr>
              <w:t>403,2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609D8" w14:textId="77777777" w:rsidR="006240D4" w:rsidRPr="00E14102" w:rsidRDefault="006240D4" w:rsidP="00E14102">
            <w:pPr>
              <w:jc w:val="both"/>
              <w:rPr>
                <w:color w:val="000000" w:themeColor="text1"/>
                <w:sz w:val="16"/>
                <w:szCs w:val="16"/>
              </w:rPr>
            </w:pPr>
            <w:r w:rsidRPr="00E14102">
              <w:rPr>
                <w:color w:val="000000" w:themeColor="text1"/>
                <w:sz w:val="16"/>
                <w:szCs w:val="16"/>
              </w:rPr>
              <w:t>269,8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456A6" w14:textId="77777777" w:rsidR="006240D4" w:rsidRPr="00E14102" w:rsidRDefault="006240D4" w:rsidP="00E14102">
            <w:pPr>
              <w:jc w:val="both"/>
              <w:rPr>
                <w:color w:val="000000" w:themeColor="text1"/>
                <w:sz w:val="16"/>
                <w:szCs w:val="16"/>
              </w:rPr>
            </w:pPr>
            <w:r w:rsidRPr="00E14102">
              <w:rPr>
                <w:color w:val="000000" w:themeColor="text1"/>
                <w:sz w:val="16"/>
                <w:szCs w:val="16"/>
              </w:rPr>
              <w:t>428,0</w:t>
            </w:r>
          </w:p>
        </w:tc>
      </w:tr>
      <w:tr w:rsidR="00E3599D" w:rsidRPr="00E14102" w14:paraId="2FB64E5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61D352" w14:textId="77777777" w:rsidR="006240D4" w:rsidRPr="00E14102" w:rsidRDefault="006240D4" w:rsidP="00E14102">
            <w:pPr>
              <w:jc w:val="both"/>
              <w:rPr>
                <w:color w:val="000000" w:themeColor="text1"/>
                <w:sz w:val="16"/>
                <w:szCs w:val="16"/>
              </w:rPr>
            </w:pPr>
            <w:r w:rsidRPr="00E14102">
              <w:rPr>
                <w:color w:val="000000" w:themeColor="text1"/>
                <w:sz w:val="16"/>
                <w:szCs w:val="16"/>
              </w:rPr>
              <w:t>3. Ввод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4BD98" w14:textId="77777777" w:rsidR="006240D4" w:rsidRPr="00E14102" w:rsidRDefault="006240D4" w:rsidP="00E14102">
            <w:pPr>
              <w:jc w:val="both"/>
              <w:rPr>
                <w:color w:val="000000" w:themeColor="text1"/>
                <w:sz w:val="16"/>
                <w:szCs w:val="16"/>
              </w:rPr>
            </w:pPr>
            <w:r w:rsidRPr="00E14102">
              <w:rPr>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A2AAA" w14:textId="77777777" w:rsidR="006240D4" w:rsidRPr="00E14102" w:rsidRDefault="006240D4" w:rsidP="00E14102">
            <w:pPr>
              <w:jc w:val="both"/>
              <w:rPr>
                <w:color w:val="000000" w:themeColor="text1"/>
                <w:sz w:val="16"/>
                <w:szCs w:val="16"/>
              </w:rPr>
            </w:pPr>
            <w:r w:rsidRPr="00E14102">
              <w:rPr>
                <w:color w:val="000000" w:themeColor="text1"/>
                <w:sz w:val="16"/>
                <w:szCs w:val="16"/>
              </w:rPr>
              <w:t>164,0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3894F" w14:textId="77777777" w:rsidR="006240D4" w:rsidRPr="00E14102" w:rsidRDefault="006240D4" w:rsidP="00E14102">
            <w:pPr>
              <w:jc w:val="both"/>
              <w:rPr>
                <w:color w:val="000000" w:themeColor="text1"/>
                <w:sz w:val="16"/>
                <w:szCs w:val="16"/>
              </w:rPr>
            </w:pPr>
            <w:r w:rsidRPr="00E14102">
              <w:rPr>
                <w:color w:val="000000" w:themeColor="text1"/>
                <w:sz w:val="16"/>
                <w:szCs w:val="16"/>
              </w:rPr>
              <w:t>294,9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77578" w14:textId="77777777" w:rsidR="006240D4" w:rsidRPr="00E14102" w:rsidRDefault="006240D4" w:rsidP="00E14102">
            <w:pPr>
              <w:jc w:val="both"/>
              <w:rPr>
                <w:color w:val="000000" w:themeColor="text1"/>
                <w:sz w:val="16"/>
                <w:szCs w:val="16"/>
              </w:rPr>
            </w:pPr>
            <w:r w:rsidRPr="00E14102">
              <w:rPr>
                <w:color w:val="000000" w:themeColor="text1"/>
                <w:sz w:val="16"/>
                <w:szCs w:val="16"/>
              </w:rPr>
              <w:t>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220F0" w14:textId="77777777" w:rsidR="006240D4" w:rsidRPr="00E14102" w:rsidRDefault="006240D4" w:rsidP="00E14102">
            <w:pPr>
              <w:jc w:val="both"/>
              <w:rPr>
                <w:color w:val="000000" w:themeColor="text1"/>
                <w:sz w:val="16"/>
                <w:szCs w:val="16"/>
              </w:rPr>
            </w:pPr>
            <w:r w:rsidRPr="00E14102">
              <w:rPr>
                <w:color w:val="000000" w:themeColor="text1"/>
                <w:sz w:val="16"/>
                <w:szCs w:val="16"/>
              </w:rPr>
              <w:t>375,0</w:t>
            </w:r>
          </w:p>
        </w:tc>
      </w:tr>
      <w:tr w:rsidR="00E3599D" w:rsidRPr="00E14102" w14:paraId="05701B76" w14:textId="77777777" w:rsidTr="00493FC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FE814BA" w14:textId="77777777" w:rsidR="006240D4" w:rsidRPr="00E14102" w:rsidRDefault="006240D4" w:rsidP="00E14102">
            <w:pPr>
              <w:jc w:val="both"/>
              <w:rPr>
                <w:color w:val="000000" w:themeColor="text1"/>
                <w:sz w:val="16"/>
                <w:szCs w:val="16"/>
              </w:rPr>
            </w:pPr>
            <w:r w:rsidRPr="00E14102">
              <w:rPr>
                <w:color w:val="000000" w:themeColor="text1"/>
                <w:sz w:val="16"/>
                <w:szCs w:val="16"/>
              </w:rPr>
              <w:t>ГУАП</w:t>
            </w:r>
          </w:p>
        </w:tc>
      </w:tr>
      <w:tr w:rsidR="00E3599D" w:rsidRPr="00E14102" w14:paraId="1ECCF05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DA22F5" w14:textId="77777777" w:rsidR="006240D4" w:rsidRPr="00E14102" w:rsidRDefault="006240D4" w:rsidP="00E14102">
            <w:pPr>
              <w:jc w:val="both"/>
              <w:rPr>
                <w:color w:val="000000" w:themeColor="text1"/>
                <w:sz w:val="16"/>
                <w:szCs w:val="16"/>
              </w:rPr>
            </w:pPr>
            <w:r w:rsidRPr="00E14102">
              <w:rPr>
                <w:color w:val="000000" w:themeColor="text1"/>
                <w:sz w:val="16"/>
                <w:szCs w:val="16"/>
              </w:rPr>
              <w:t>1. Основные фонды (на конец года)</w:t>
            </w:r>
          </w:p>
          <w:p w14:paraId="237BE779" w14:textId="77777777" w:rsidR="006240D4" w:rsidRPr="00E14102" w:rsidRDefault="006240D4" w:rsidP="00E14102">
            <w:pPr>
              <w:jc w:val="both"/>
              <w:rPr>
                <w:color w:val="000000" w:themeColor="text1"/>
                <w:sz w:val="16"/>
                <w:szCs w:val="16"/>
              </w:rPr>
            </w:pPr>
            <w:r w:rsidRPr="00E14102">
              <w:rPr>
                <w:color w:val="000000" w:themeColor="text1"/>
                <w:sz w:val="16"/>
                <w:szCs w:val="16"/>
              </w:rPr>
              <w:t>в том числе производственные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BD7F5" w14:textId="77777777" w:rsidR="006240D4" w:rsidRPr="00E14102" w:rsidRDefault="006240D4" w:rsidP="00E14102">
            <w:pPr>
              <w:jc w:val="both"/>
              <w:rPr>
                <w:color w:val="000000" w:themeColor="text1"/>
                <w:sz w:val="16"/>
                <w:szCs w:val="16"/>
              </w:rPr>
            </w:pPr>
            <w:r w:rsidRPr="00E14102">
              <w:rPr>
                <w:color w:val="000000" w:themeColor="text1"/>
                <w:sz w:val="16"/>
                <w:szCs w:val="16"/>
              </w:rPr>
              <w:t>97,2</w:t>
            </w:r>
          </w:p>
          <w:p w14:paraId="3B48CB63" w14:textId="77777777" w:rsidR="006240D4" w:rsidRPr="00E14102" w:rsidRDefault="006240D4" w:rsidP="00E14102">
            <w:pPr>
              <w:jc w:val="both"/>
              <w:rPr>
                <w:color w:val="000000" w:themeColor="text1"/>
                <w:sz w:val="16"/>
                <w:szCs w:val="16"/>
              </w:rPr>
            </w:pPr>
            <w:r w:rsidRPr="00E14102">
              <w:rPr>
                <w:color w:val="000000" w:themeColor="text1"/>
                <w:sz w:val="16"/>
                <w:szCs w:val="16"/>
              </w:rPr>
              <w:t>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F78B1" w14:textId="77777777" w:rsidR="006240D4" w:rsidRPr="00E14102" w:rsidRDefault="006240D4" w:rsidP="00E14102">
            <w:pPr>
              <w:jc w:val="both"/>
              <w:rPr>
                <w:color w:val="000000" w:themeColor="text1"/>
                <w:sz w:val="16"/>
                <w:szCs w:val="16"/>
              </w:rPr>
            </w:pPr>
            <w:r w:rsidRPr="00E14102">
              <w:rPr>
                <w:color w:val="000000" w:themeColor="text1"/>
                <w:sz w:val="16"/>
                <w:szCs w:val="16"/>
              </w:rPr>
              <w:t>134,1</w:t>
            </w:r>
          </w:p>
          <w:p w14:paraId="50B61570" w14:textId="77777777" w:rsidR="006240D4" w:rsidRPr="00E14102" w:rsidRDefault="006240D4" w:rsidP="00E14102">
            <w:pPr>
              <w:jc w:val="both"/>
              <w:rPr>
                <w:color w:val="000000" w:themeColor="text1"/>
                <w:sz w:val="16"/>
                <w:szCs w:val="16"/>
              </w:rPr>
            </w:pPr>
            <w:r w:rsidRPr="00E14102">
              <w:rPr>
                <w:color w:val="000000" w:themeColor="text1"/>
                <w:sz w:val="16"/>
                <w:szCs w:val="16"/>
              </w:rPr>
              <w:t>117,5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13C55" w14:textId="77777777" w:rsidR="006240D4" w:rsidRPr="00E14102" w:rsidRDefault="006240D4" w:rsidP="00E14102">
            <w:pPr>
              <w:jc w:val="both"/>
              <w:rPr>
                <w:color w:val="000000" w:themeColor="text1"/>
                <w:sz w:val="16"/>
                <w:szCs w:val="16"/>
              </w:rPr>
            </w:pPr>
            <w:r w:rsidRPr="00E14102">
              <w:rPr>
                <w:color w:val="000000" w:themeColor="text1"/>
                <w:sz w:val="16"/>
                <w:szCs w:val="16"/>
              </w:rPr>
              <w:t>265,0</w:t>
            </w:r>
          </w:p>
          <w:p w14:paraId="51547021" w14:textId="77777777" w:rsidR="006240D4" w:rsidRPr="00E14102" w:rsidRDefault="006240D4" w:rsidP="00E14102">
            <w:pPr>
              <w:jc w:val="both"/>
              <w:rPr>
                <w:color w:val="000000" w:themeColor="text1"/>
                <w:sz w:val="16"/>
                <w:szCs w:val="16"/>
              </w:rPr>
            </w:pPr>
            <w:r w:rsidRPr="00E14102">
              <w:rPr>
                <w:color w:val="000000" w:themeColor="text1"/>
                <w:sz w:val="16"/>
                <w:szCs w:val="16"/>
              </w:rPr>
              <w:t>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E8784" w14:textId="77777777" w:rsidR="006240D4" w:rsidRPr="00E14102" w:rsidRDefault="006240D4" w:rsidP="00E14102">
            <w:pPr>
              <w:jc w:val="both"/>
              <w:rPr>
                <w:color w:val="000000" w:themeColor="text1"/>
                <w:sz w:val="16"/>
                <w:szCs w:val="16"/>
              </w:rPr>
            </w:pPr>
            <w:r w:rsidRPr="00E14102">
              <w:rPr>
                <w:color w:val="000000" w:themeColor="text1"/>
                <w:sz w:val="16"/>
                <w:szCs w:val="16"/>
              </w:rPr>
              <w:t>331,2</w:t>
            </w:r>
          </w:p>
          <w:p w14:paraId="5881B183" w14:textId="77777777" w:rsidR="006240D4" w:rsidRPr="00E14102" w:rsidRDefault="006240D4" w:rsidP="00E14102">
            <w:pPr>
              <w:jc w:val="both"/>
              <w:rPr>
                <w:color w:val="000000" w:themeColor="text1"/>
                <w:sz w:val="16"/>
                <w:szCs w:val="16"/>
              </w:rPr>
            </w:pPr>
            <w:r w:rsidRPr="00E14102">
              <w:rPr>
                <w:color w:val="000000" w:themeColor="text1"/>
                <w:sz w:val="16"/>
                <w:szCs w:val="16"/>
              </w:rPr>
              <w:t>269,4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3D146" w14:textId="77777777" w:rsidR="006240D4" w:rsidRPr="00E14102" w:rsidRDefault="006240D4" w:rsidP="00E14102">
            <w:pPr>
              <w:jc w:val="both"/>
              <w:rPr>
                <w:color w:val="000000" w:themeColor="text1"/>
                <w:sz w:val="16"/>
                <w:szCs w:val="16"/>
              </w:rPr>
            </w:pPr>
            <w:r w:rsidRPr="00E14102">
              <w:rPr>
                <w:color w:val="000000" w:themeColor="text1"/>
                <w:sz w:val="16"/>
                <w:szCs w:val="16"/>
              </w:rPr>
              <w:t>509,0</w:t>
            </w:r>
          </w:p>
          <w:p w14:paraId="16002660" w14:textId="77777777" w:rsidR="006240D4" w:rsidRPr="00E14102" w:rsidRDefault="006240D4" w:rsidP="00E14102">
            <w:pPr>
              <w:jc w:val="both"/>
              <w:rPr>
                <w:color w:val="000000" w:themeColor="text1"/>
                <w:sz w:val="16"/>
                <w:szCs w:val="16"/>
              </w:rPr>
            </w:pPr>
            <w:r w:rsidRPr="00E14102">
              <w:rPr>
                <w:color w:val="000000" w:themeColor="text1"/>
                <w:sz w:val="16"/>
                <w:szCs w:val="16"/>
              </w:rPr>
              <w:t>415,2</w:t>
            </w:r>
          </w:p>
        </w:tc>
      </w:tr>
      <w:tr w:rsidR="00E3599D" w:rsidRPr="00E14102" w14:paraId="35E811C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2D24AE" w14:textId="77777777" w:rsidR="006240D4" w:rsidRPr="00E14102" w:rsidRDefault="006240D4" w:rsidP="00E14102">
            <w:pPr>
              <w:jc w:val="both"/>
              <w:rPr>
                <w:color w:val="000000" w:themeColor="text1"/>
                <w:sz w:val="16"/>
                <w:szCs w:val="16"/>
              </w:rPr>
            </w:pPr>
            <w:r w:rsidRPr="00E14102">
              <w:rPr>
                <w:color w:val="000000" w:themeColor="text1"/>
                <w:sz w:val="16"/>
                <w:szCs w:val="16"/>
              </w:rPr>
              <w:t>2. Капиталовложения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4F057" w14:textId="77777777" w:rsidR="006240D4" w:rsidRPr="00E14102" w:rsidRDefault="006240D4" w:rsidP="00E14102">
            <w:pPr>
              <w:jc w:val="both"/>
              <w:rPr>
                <w:color w:val="000000" w:themeColor="text1"/>
                <w:sz w:val="16"/>
                <w:szCs w:val="16"/>
              </w:rPr>
            </w:pPr>
            <w:r w:rsidRPr="00E14102">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51E3C" w14:textId="77777777" w:rsidR="006240D4" w:rsidRPr="00E14102" w:rsidRDefault="006240D4" w:rsidP="00E14102">
            <w:pPr>
              <w:jc w:val="both"/>
              <w:rPr>
                <w:color w:val="000000" w:themeColor="text1"/>
                <w:sz w:val="16"/>
                <w:szCs w:val="16"/>
              </w:rPr>
            </w:pPr>
            <w:r w:rsidRPr="00E14102">
              <w:rPr>
                <w:color w:val="000000" w:themeColor="text1"/>
                <w:sz w:val="16"/>
                <w:szCs w:val="16"/>
              </w:rPr>
              <w:t>111,5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5BB76" w14:textId="77777777" w:rsidR="006240D4" w:rsidRPr="00E14102" w:rsidRDefault="006240D4" w:rsidP="00E14102">
            <w:pPr>
              <w:jc w:val="both"/>
              <w:rPr>
                <w:color w:val="000000" w:themeColor="text1"/>
                <w:sz w:val="16"/>
                <w:szCs w:val="16"/>
              </w:rPr>
            </w:pPr>
            <w:r w:rsidRPr="00E14102">
              <w:rPr>
                <w:color w:val="000000" w:themeColor="text1"/>
                <w:sz w:val="16"/>
                <w:szCs w:val="16"/>
              </w:rPr>
              <w:t>203,8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58BA4" w14:textId="77777777" w:rsidR="006240D4" w:rsidRPr="00E14102" w:rsidRDefault="006240D4" w:rsidP="00E14102">
            <w:pPr>
              <w:jc w:val="both"/>
              <w:rPr>
                <w:color w:val="000000" w:themeColor="text1"/>
                <w:sz w:val="16"/>
                <w:szCs w:val="16"/>
              </w:rPr>
            </w:pPr>
            <w:r w:rsidRPr="00E14102">
              <w:rPr>
                <w:color w:val="000000" w:themeColor="text1"/>
                <w:sz w:val="16"/>
                <w:szCs w:val="16"/>
              </w:rPr>
              <w:t>188,0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ACA1A" w14:textId="77777777" w:rsidR="006240D4" w:rsidRPr="00E14102" w:rsidRDefault="006240D4" w:rsidP="00E14102">
            <w:pPr>
              <w:jc w:val="both"/>
              <w:rPr>
                <w:color w:val="000000" w:themeColor="text1"/>
                <w:sz w:val="16"/>
                <w:szCs w:val="16"/>
              </w:rPr>
            </w:pPr>
            <w:r w:rsidRPr="00E14102">
              <w:rPr>
                <w:color w:val="000000" w:themeColor="text1"/>
                <w:sz w:val="16"/>
                <w:szCs w:val="16"/>
              </w:rPr>
              <w:t>250,0</w:t>
            </w:r>
          </w:p>
        </w:tc>
      </w:tr>
      <w:tr w:rsidR="00E3599D" w:rsidRPr="00E14102" w14:paraId="0C139C5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FEB9F7" w14:textId="77777777" w:rsidR="006240D4" w:rsidRPr="00E14102" w:rsidRDefault="006240D4" w:rsidP="00E14102">
            <w:pPr>
              <w:jc w:val="both"/>
              <w:rPr>
                <w:color w:val="000000" w:themeColor="text1"/>
                <w:sz w:val="16"/>
                <w:szCs w:val="16"/>
              </w:rPr>
            </w:pPr>
            <w:r w:rsidRPr="00E14102">
              <w:rPr>
                <w:color w:val="000000" w:themeColor="text1"/>
                <w:sz w:val="16"/>
                <w:szCs w:val="16"/>
              </w:rPr>
              <w:t>3. Ввод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0F4D3" w14:textId="77777777" w:rsidR="006240D4" w:rsidRPr="00E14102" w:rsidRDefault="006240D4" w:rsidP="00E14102">
            <w:pPr>
              <w:jc w:val="both"/>
              <w:rPr>
                <w:color w:val="000000" w:themeColor="text1"/>
                <w:sz w:val="16"/>
                <w:szCs w:val="16"/>
              </w:rPr>
            </w:pPr>
            <w:r w:rsidRPr="00E14102">
              <w:rPr>
                <w:color w:val="000000" w:themeColor="text1"/>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D100D" w14:textId="77777777" w:rsidR="006240D4" w:rsidRPr="00E14102" w:rsidRDefault="006240D4" w:rsidP="00E14102">
            <w:pPr>
              <w:jc w:val="both"/>
              <w:rPr>
                <w:color w:val="000000" w:themeColor="text1"/>
                <w:sz w:val="16"/>
                <w:szCs w:val="16"/>
              </w:rPr>
            </w:pPr>
            <w:r w:rsidRPr="00E14102">
              <w:rPr>
                <w:color w:val="000000" w:themeColor="text1"/>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DB4EA" w14:textId="77777777" w:rsidR="006240D4" w:rsidRPr="00E14102" w:rsidRDefault="006240D4" w:rsidP="00E14102">
            <w:pPr>
              <w:jc w:val="both"/>
              <w:rPr>
                <w:color w:val="000000" w:themeColor="text1"/>
                <w:sz w:val="16"/>
                <w:szCs w:val="16"/>
              </w:rPr>
            </w:pPr>
            <w:r w:rsidRPr="00E14102">
              <w:rPr>
                <w:color w:val="000000" w:themeColor="text1"/>
                <w:sz w:val="16"/>
                <w:szCs w:val="16"/>
              </w:rPr>
              <w:t>115,5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247F4" w14:textId="77777777" w:rsidR="006240D4" w:rsidRPr="00E14102" w:rsidRDefault="006240D4" w:rsidP="00E14102">
            <w:pPr>
              <w:jc w:val="both"/>
              <w:rPr>
                <w:color w:val="000000" w:themeColor="text1"/>
                <w:sz w:val="16"/>
                <w:szCs w:val="16"/>
              </w:rPr>
            </w:pPr>
            <w:r w:rsidRPr="00E14102">
              <w:rPr>
                <w:color w:val="000000" w:themeColor="text1"/>
                <w:sz w:val="16"/>
                <w:szCs w:val="16"/>
              </w:rPr>
              <w:t>138,2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F3866" w14:textId="77777777" w:rsidR="006240D4" w:rsidRPr="00E14102" w:rsidRDefault="006240D4" w:rsidP="00E14102">
            <w:pPr>
              <w:jc w:val="both"/>
              <w:rPr>
                <w:color w:val="000000" w:themeColor="text1"/>
                <w:sz w:val="16"/>
                <w:szCs w:val="16"/>
              </w:rPr>
            </w:pPr>
            <w:r w:rsidRPr="00E14102">
              <w:rPr>
                <w:color w:val="000000" w:themeColor="text1"/>
                <w:sz w:val="16"/>
                <w:szCs w:val="16"/>
              </w:rPr>
              <w:t>200,0</w:t>
            </w:r>
          </w:p>
        </w:tc>
      </w:tr>
      <w:tr w:rsidR="00E3599D" w:rsidRPr="00E14102" w14:paraId="7B6576C7" w14:textId="77777777" w:rsidTr="00493FC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7607B42" w14:textId="77777777" w:rsidR="006240D4" w:rsidRPr="00E14102" w:rsidRDefault="006240D4" w:rsidP="00E14102">
            <w:pPr>
              <w:jc w:val="both"/>
              <w:rPr>
                <w:color w:val="000000" w:themeColor="text1"/>
                <w:sz w:val="16"/>
                <w:szCs w:val="16"/>
              </w:rPr>
            </w:pPr>
            <w:r w:rsidRPr="00E14102">
              <w:rPr>
                <w:color w:val="000000" w:themeColor="text1"/>
                <w:sz w:val="16"/>
                <w:szCs w:val="16"/>
              </w:rPr>
              <w:t>Главхимпром</w:t>
            </w:r>
          </w:p>
        </w:tc>
      </w:tr>
      <w:tr w:rsidR="00E3599D" w:rsidRPr="00E14102" w14:paraId="0A681AF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8AAE65" w14:textId="77777777" w:rsidR="006240D4" w:rsidRPr="00E14102" w:rsidRDefault="006240D4" w:rsidP="00E14102">
            <w:pPr>
              <w:jc w:val="both"/>
              <w:rPr>
                <w:color w:val="000000" w:themeColor="text1"/>
                <w:sz w:val="16"/>
                <w:szCs w:val="16"/>
              </w:rPr>
            </w:pPr>
            <w:r w:rsidRPr="00E14102">
              <w:rPr>
                <w:color w:val="000000" w:themeColor="text1"/>
                <w:sz w:val="16"/>
                <w:szCs w:val="16"/>
              </w:rPr>
              <w:t>1. Основные фонды (на конец года)</w:t>
            </w:r>
          </w:p>
          <w:p w14:paraId="29514D82" w14:textId="77777777" w:rsidR="006240D4" w:rsidRPr="00E14102" w:rsidRDefault="006240D4" w:rsidP="00E14102">
            <w:pPr>
              <w:jc w:val="both"/>
              <w:rPr>
                <w:color w:val="000000" w:themeColor="text1"/>
                <w:sz w:val="16"/>
                <w:szCs w:val="16"/>
              </w:rPr>
            </w:pPr>
            <w:r w:rsidRPr="00E14102">
              <w:rPr>
                <w:color w:val="000000" w:themeColor="text1"/>
                <w:sz w:val="16"/>
                <w:szCs w:val="16"/>
              </w:rPr>
              <w:t>в том числе производственные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72E99" w14:textId="77777777" w:rsidR="006240D4" w:rsidRPr="00E14102" w:rsidRDefault="006240D4" w:rsidP="00E14102">
            <w:pPr>
              <w:jc w:val="both"/>
              <w:rPr>
                <w:color w:val="000000" w:themeColor="text1"/>
                <w:sz w:val="16"/>
                <w:szCs w:val="16"/>
              </w:rPr>
            </w:pPr>
            <w:r w:rsidRPr="00E14102">
              <w:rPr>
                <w:color w:val="000000" w:themeColor="text1"/>
                <w:sz w:val="16"/>
                <w:szCs w:val="16"/>
              </w:rPr>
              <w:t>228,5</w:t>
            </w:r>
          </w:p>
          <w:p w14:paraId="27636A2B" w14:textId="77777777" w:rsidR="006240D4" w:rsidRPr="00E14102" w:rsidRDefault="006240D4" w:rsidP="00E14102">
            <w:pPr>
              <w:jc w:val="both"/>
              <w:rPr>
                <w:color w:val="000000" w:themeColor="text1"/>
                <w:sz w:val="16"/>
                <w:szCs w:val="16"/>
              </w:rPr>
            </w:pPr>
            <w:r w:rsidRPr="00E14102">
              <w:rPr>
                <w:color w:val="000000" w:themeColor="text1"/>
                <w:sz w:val="16"/>
                <w:szCs w:val="16"/>
              </w:rPr>
              <w:t>179,9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CAB25" w14:textId="77777777" w:rsidR="006240D4" w:rsidRPr="00E14102" w:rsidRDefault="006240D4" w:rsidP="00E14102">
            <w:pPr>
              <w:jc w:val="both"/>
              <w:rPr>
                <w:color w:val="000000" w:themeColor="text1"/>
                <w:sz w:val="16"/>
                <w:szCs w:val="16"/>
              </w:rPr>
            </w:pPr>
            <w:r w:rsidRPr="00E14102">
              <w:rPr>
                <w:color w:val="000000" w:themeColor="text1"/>
                <w:sz w:val="16"/>
                <w:szCs w:val="16"/>
              </w:rPr>
              <w:t>311,9</w:t>
            </w:r>
          </w:p>
          <w:p w14:paraId="316E74C6" w14:textId="77777777" w:rsidR="006240D4" w:rsidRPr="00E14102" w:rsidRDefault="006240D4" w:rsidP="00E14102">
            <w:pPr>
              <w:jc w:val="both"/>
              <w:rPr>
                <w:color w:val="000000" w:themeColor="text1"/>
                <w:sz w:val="16"/>
                <w:szCs w:val="16"/>
              </w:rPr>
            </w:pPr>
            <w:r w:rsidRPr="00E14102">
              <w:rPr>
                <w:color w:val="000000" w:themeColor="text1"/>
                <w:sz w:val="16"/>
                <w:szCs w:val="16"/>
              </w:rPr>
              <w:t>257,6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28A98" w14:textId="77777777" w:rsidR="006240D4" w:rsidRPr="00E14102" w:rsidRDefault="006240D4" w:rsidP="00E14102">
            <w:pPr>
              <w:jc w:val="both"/>
              <w:rPr>
                <w:color w:val="000000" w:themeColor="text1"/>
                <w:sz w:val="16"/>
                <w:szCs w:val="16"/>
              </w:rPr>
            </w:pPr>
            <w:r w:rsidRPr="00E14102">
              <w:rPr>
                <w:color w:val="000000" w:themeColor="text1"/>
                <w:sz w:val="16"/>
                <w:szCs w:val="16"/>
              </w:rPr>
              <w:t>444,2</w:t>
            </w:r>
          </w:p>
          <w:p w14:paraId="2C0BF20A" w14:textId="77777777" w:rsidR="006240D4" w:rsidRPr="00E14102" w:rsidRDefault="006240D4" w:rsidP="00E14102">
            <w:pPr>
              <w:jc w:val="both"/>
              <w:rPr>
                <w:color w:val="000000" w:themeColor="text1"/>
                <w:sz w:val="16"/>
                <w:szCs w:val="16"/>
              </w:rPr>
            </w:pPr>
            <w:r w:rsidRPr="00E14102">
              <w:rPr>
                <w:color w:val="000000" w:themeColor="text1"/>
                <w:sz w:val="16"/>
                <w:szCs w:val="16"/>
              </w:rPr>
              <w:t>379,3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1372F" w14:textId="77777777" w:rsidR="006240D4" w:rsidRPr="00E14102" w:rsidRDefault="006240D4" w:rsidP="00E14102">
            <w:pPr>
              <w:jc w:val="both"/>
              <w:rPr>
                <w:color w:val="000000" w:themeColor="text1"/>
                <w:sz w:val="16"/>
                <w:szCs w:val="16"/>
              </w:rPr>
            </w:pPr>
            <w:r w:rsidRPr="00E14102">
              <w:rPr>
                <w:color w:val="000000" w:themeColor="text1"/>
                <w:sz w:val="16"/>
                <w:szCs w:val="16"/>
              </w:rPr>
              <w:t>552,4</w:t>
            </w:r>
          </w:p>
          <w:p w14:paraId="03BEDFD8" w14:textId="77777777" w:rsidR="006240D4" w:rsidRPr="00E14102" w:rsidRDefault="006240D4" w:rsidP="00E14102">
            <w:pPr>
              <w:jc w:val="both"/>
              <w:rPr>
                <w:color w:val="000000" w:themeColor="text1"/>
                <w:sz w:val="16"/>
                <w:szCs w:val="16"/>
              </w:rPr>
            </w:pPr>
            <w:r w:rsidRPr="00E14102">
              <w:rPr>
                <w:color w:val="000000" w:themeColor="text1"/>
                <w:sz w:val="16"/>
                <w:szCs w:val="16"/>
              </w:rPr>
              <w:t>474,8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E05CF" w14:textId="77777777" w:rsidR="006240D4" w:rsidRPr="00E14102" w:rsidRDefault="006240D4" w:rsidP="00E14102">
            <w:pPr>
              <w:jc w:val="both"/>
              <w:rPr>
                <w:color w:val="000000" w:themeColor="text1"/>
                <w:sz w:val="16"/>
                <w:szCs w:val="16"/>
              </w:rPr>
            </w:pPr>
            <w:r w:rsidRPr="00E14102">
              <w:rPr>
                <w:color w:val="000000" w:themeColor="text1"/>
                <w:sz w:val="16"/>
                <w:szCs w:val="16"/>
              </w:rPr>
              <w:t>618,2</w:t>
            </w:r>
          </w:p>
          <w:p w14:paraId="6551B3B5" w14:textId="77777777" w:rsidR="006240D4" w:rsidRPr="00E14102" w:rsidRDefault="006240D4" w:rsidP="00E14102">
            <w:pPr>
              <w:jc w:val="both"/>
              <w:rPr>
                <w:color w:val="000000" w:themeColor="text1"/>
                <w:sz w:val="16"/>
                <w:szCs w:val="16"/>
              </w:rPr>
            </w:pPr>
            <w:r w:rsidRPr="00E14102">
              <w:rPr>
                <w:color w:val="000000" w:themeColor="text1"/>
                <w:sz w:val="16"/>
                <w:szCs w:val="16"/>
              </w:rPr>
              <w:t>553,7</w:t>
            </w:r>
          </w:p>
        </w:tc>
      </w:tr>
      <w:tr w:rsidR="00E3599D" w:rsidRPr="00E14102" w14:paraId="147B50D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DF6B5E" w14:textId="77777777" w:rsidR="006240D4" w:rsidRPr="00E14102" w:rsidRDefault="006240D4" w:rsidP="00E14102">
            <w:pPr>
              <w:jc w:val="both"/>
              <w:rPr>
                <w:color w:val="000000" w:themeColor="text1"/>
                <w:sz w:val="16"/>
                <w:szCs w:val="16"/>
              </w:rPr>
            </w:pPr>
            <w:r w:rsidRPr="00E14102">
              <w:rPr>
                <w:color w:val="000000" w:themeColor="text1"/>
                <w:sz w:val="16"/>
                <w:szCs w:val="16"/>
              </w:rPr>
              <w:t>2. Капиталовложения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6D5BB" w14:textId="77777777" w:rsidR="006240D4" w:rsidRPr="00E14102" w:rsidRDefault="006240D4" w:rsidP="00E14102">
            <w:pPr>
              <w:jc w:val="both"/>
              <w:rPr>
                <w:color w:val="000000" w:themeColor="text1"/>
                <w:sz w:val="16"/>
                <w:szCs w:val="16"/>
              </w:rPr>
            </w:pPr>
            <w:r w:rsidRPr="00E14102">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245F1" w14:textId="77777777" w:rsidR="006240D4" w:rsidRPr="00E14102" w:rsidRDefault="006240D4" w:rsidP="00E14102">
            <w:pPr>
              <w:jc w:val="both"/>
              <w:rPr>
                <w:color w:val="000000" w:themeColor="text1"/>
                <w:sz w:val="16"/>
                <w:szCs w:val="16"/>
              </w:rPr>
            </w:pPr>
            <w:r w:rsidRPr="00E14102">
              <w:rPr>
                <w:color w:val="000000" w:themeColor="text1"/>
                <w:sz w:val="16"/>
                <w:szCs w:val="16"/>
              </w:rPr>
              <w:t>127,7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214AE" w14:textId="77777777" w:rsidR="006240D4" w:rsidRPr="00E14102" w:rsidRDefault="006240D4" w:rsidP="00E14102">
            <w:pPr>
              <w:jc w:val="both"/>
              <w:rPr>
                <w:color w:val="000000" w:themeColor="text1"/>
                <w:sz w:val="16"/>
                <w:szCs w:val="16"/>
              </w:rPr>
            </w:pPr>
            <w:r w:rsidRPr="00E14102">
              <w:rPr>
                <w:color w:val="000000" w:themeColor="text1"/>
                <w:sz w:val="16"/>
                <w:szCs w:val="16"/>
              </w:rPr>
              <w:t>159,2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020DD" w14:textId="77777777" w:rsidR="006240D4" w:rsidRPr="00E14102" w:rsidRDefault="006240D4" w:rsidP="00E14102">
            <w:pPr>
              <w:jc w:val="both"/>
              <w:rPr>
                <w:color w:val="000000" w:themeColor="text1"/>
                <w:sz w:val="16"/>
                <w:szCs w:val="16"/>
              </w:rPr>
            </w:pPr>
            <w:r w:rsidRPr="00E14102">
              <w:rPr>
                <w:color w:val="000000" w:themeColor="text1"/>
                <w:sz w:val="16"/>
                <w:szCs w:val="16"/>
              </w:rPr>
              <w:t>113,2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9AD54" w14:textId="77777777" w:rsidR="006240D4" w:rsidRPr="00E14102" w:rsidRDefault="006240D4" w:rsidP="00E14102">
            <w:pPr>
              <w:jc w:val="both"/>
              <w:rPr>
                <w:color w:val="000000" w:themeColor="text1"/>
                <w:sz w:val="16"/>
                <w:szCs w:val="16"/>
              </w:rPr>
            </w:pPr>
            <w:r w:rsidRPr="00E14102">
              <w:rPr>
                <w:color w:val="000000" w:themeColor="text1"/>
                <w:sz w:val="16"/>
                <w:szCs w:val="16"/>
              </w:rPr>
              <w:t>95,0</w:t>
            </w:r>
          </w:p>
        </w:tc>
      </w:tr>
      <w:tr w:rsidR="00E3599D" w:rsidRPr="00E14102" w14:paraId="265592E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D96CCC" w14:textId="77777777" w:rsidR="006240D4" w:rsidRPr="00E14102" w:rsidRDefault="006240D4" w:rsidP="00E14102">
            <w:pPr>
              <w:jc w:val="both"/>
              <w:rPr>
                <w:color w:val="000000" w:themeColor="text1"/>
                <w:sz w:val="16"/>
                <w:szCs w:val="16"/>
              </w:rPr>
            </w:pPr>
            <w:r w:rsidRPr="00E14102">
              <w:rPr>
                <w:color w:val="000000" w:themeColor="text1"/>
                <w:sz w:val="16"/>
                <w:szCs w:val="16"/>
              </w:rPr>
              <w:t>3. Ввод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FB165" w14:textId="77777777" w:rsidR="006240D4" w:rsidRPr="00E14102" w:rsidRDefault="006240D4" w:rsidP="00E14102">
            <w:pPr>
              <w:jc w:val="both"/>
              <w:rPr>
                <w:color w:val="000000" w:themeColor="text1"/>
                <w:sz w:val="16"/>
                <w:szCs w:val="16"/>
              </w:rPr>
            </w:pPr>
            <w:r w:rsidRPr="00E14102">
              <w:rPr>
                <w:color w:val="000000" w:themeColor="text1"/>
                <w:sz w:val="16"/>
                <w:szCs w:val="16"/>
              </w:rPr>
              <w:t>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516A8" w14:textId="77777777" w:rsidR="006240D4" w:rsidRPr="00E14102" w:rsidRDefault="006240D4" w:rsidP="00E14102">
            <w:pPr>
              <w:jc w:val="both"/>
              <w:rPr>
                <w:color w:val="000000" w:themeColor="text1"/>
                <w:sz w:val="16"/>
                <w:szCs w:val="16"/>
              </w:rPr>
            </w:pPr>
            <w:r w:rsidRPr="00E14102">
              <w:rPr>
                <w:color w:val="000000" w:themeColor="text1"/>
                <w:sz w:val="16"/>
                <w:szCs w:val="16"/>
              </w:rPr>
              <w:t>90,2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2EFE3" w14:textId="77777777" w:rsidR="006240D4" w:rsidRPr="00E14102" w:rsidRDefault="006240D4" w:rsidP="00E14102">
            <w:pPr>
              <w:jc w:val="both"/>
              <w:rPr>
                <w:color w:val="000000" w:themeColor="text1"/>
                <w:sz w:val="16"/>
                <w:szCs w:val="16"/>
              </w:rPr>
            </w:pPr>
            <w:r w:rsidRPr="00E14102">
              <w:rPr>
                <w:color w:val="000000" w:themeColor="text1"/>
                <w:sz w:val="16"/>
                <w:szCs w:val="16"/>
              </w:rPr>
              <w:t>150,8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9D4E6" w14:textId="77777777" w:rsidR="006240D4" w:rsidRPr="00E14102" w:rsidRDefault="006240D4" w:rsidP="00E14102">
            <w:pPr>
              <w:jc w:val="both"/>
              <w:rPr>
                <w:color w:val="000000" w:themeColor="text1"/>
                <w:sz w:val="16"/>
                <w:szCs w:val="16"/>
              </w:rPr>
            </w:pPr>
            <w:r w:rsidRPr="00E14102">
              <w:rPr>
                <w:color w:val="000000" w:themeColor="text1"/>
                <w:sz w:val="16"/>
                <w:szCs w:val="16"/>
              </w:rPr>
              <w:t>127,5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931BB" w14:textId="77777777" w:rsidR="006240D4" w:rsidRPr="00E14102" w:rsidRDefault="006240D4" w:rsidP="00E14102">
            <w:pPr>
              <w:jc w:val="both"/>
              <w:rPr>
                <w:color w:val="000000" w:themeColor="text1"/>
                <w:sz w:val="16"/>
                <w:szCs w:val="16"/>
              </w:rPr>
            </w:pPr>
            <w:r w:rsidRPr="00E14102">
              <w:rPr>
                <w:color w:val="000000" w:themeColor="text1"/>
                <w:sz w:val="16"/>
                <w:szCs w:val="16"/>
              </w:rPr>
              <w:t>90,0</w:t>
            </w:r>
          </w:p>
        </w:tc>
      </w:tr>
      <w:tr w:rsidR="00E3599D" w:rsidRPr="00E14102" w14:paraId="587CAE0E" w14:textId="77777777" w:rsidTr="00493FC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BF24638" w14:textId="77777777" w:rsidR="006240D4" w:rsidRPr="00E14102" w:rsidRDefault="006240D4" w:rsidP="00E14102">
            <w:pPr>
              <w:jc w:val="both"/>
              <w:rPr>
                <w:color w:val="000000" w:themeColor="text1"/>
                <w:sz w:val="16"/>
                <w:szCs w:val="16"/>
              </w:rPr>
            </w:pPr>
            <w:r w:rsidRPr="00E14102">
              <w:rPr>
                <w:color w:val="000000" w:themeColor="text1"/>
                <w:sz w:val="16"/>
                <w:szCs w:val="16"/>
              </w:rPr>
              <w:t>Главоргхимпром (ВХТОП)</w:t>
            </w:r>
          </w:p>
        </w:tc>
      </w:tr>
      <w:tr w:rsidR="00E3599D" w:rsidRPr="00E14102" w14:paraId="6298E95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2E3583" w14:textId="77777777" w:rsidR="006240D4" w:rsidRPr="00E14102" w:rsidRDefault="006240D4" w:rsidP="00E14102">
            <w:pPr>
              <w:jc w:val="both"/>
              <w:rPr>
                <w:color w:val="000000" w:themeColor="text1"/>
                <w:sz w:val="16"/>
                <w:szCs w:val="16"/>
              </w:rPr>
            </w:pPr>
            <w:r w:rsidRPr="00E14102">
              <w:rPr>
                <w:color w:val="000000" w:themeColor="text1"/>
                <w:sz w:val="16"/>
                <w:szCs w:val="16"/>
              </w:rPr>
              <w:t>1. Основные фонды (на конец года)</w:t>
            </w:r>
          </w:p>
          <w:p w14:paraId="01C7C80C" w14:textId="77777777" w:rsidR="006240D4" w:rsidRPr="00E14102" w:rsidRDefault="006240D4" w:rsidP="00E14102">
            <w:pPr>
              <w:jc w:val="both"/>
              <w:rPr>
                <w:color w:val="000000" w:themeColor="text1"/>
                <w:sz w:val="16"/>
                <w:szCs w:val="16"/>
              </w:rPr>
            </w:pPr>
            <w:r w:rsidRPr="00E14102">
              <w:rPr>
                <w:color w:val="000000" w:themeColor="text1"/>
                <w:sz w:val="16"/>
                <w:szCs w:val="16"/>
              </w:rPr>
              <w:t>в том числе производственные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22596" w14:textId="77777777" w:rsidR="006240D4" w:rsidRPr="00E14102" w:rsidRDefault="006240D4" w:rsidP="00E14102">
            <w:pPr>
              <w:jc w:val="both"/>
              <w:rPr>
                <w:color w:val="000000" w:themeColor="text1"/>
                <w:sz w:val="16"/>
                <w:szCs w:val="16"/>
              </w:rPr>
            </w:pPr>
            <w:r w:rsidRPr="00E14102">
              <w:rPr>
                <w:color w:val="000000" w:themeColor="text1"/>
                <w:sz w:val="16"/>
                <w:szCs w:val="16"/>
              </w:rPr>
              <w:t>20,4</w:t>
            </w:r>
          </w:p>
          <w:p w14:paraId="3278D24C" w14:textId="77777777" w:rsidR="006240D4" w:rsidRPr="00E14102" w:rsidRDefault="006240D4" w:rsidP="00E14102">
            <w:pPr>
              <w:jc w:val="both"/>
              <w:rPr>
                <w:color w:val="000000" w:themeColor="text1"/>
                <w:sz w:val="16"/>
                <w:szCs w:val="16"/>
              </w:rPr>
            </w:pPr>
            <w:r w:rsidRPr="00E14102">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8802E" w14:textId="77777777" w:rsidR="006240D4" w:rsidRPr="00E14102" w:rsidRDefault="006240D4" w:rsidP="00E14102">
            <w:pPr>
              <w:jc w:val="both"/>
              <w:rPr>
                <w:color w:val="000000" w:themeColor="text1"/>
                <w:sz w:val="16"/>
                <w:szCs w:val="16"/>
              </w:rPr>
            </w:pPr>
            <w:r w:rsidRPr="00E14102">
              <w:rPr>
                <w:color w:val="000000" w:themeColor="text1"/>
                <w:sz w:val="16"/>
                <w:szCs w:val="16"/>
              </w:rPr>
              <w:t>24,0</w:t>
            </w:r>
          </w:p>
          <w:p w14:paraId="0CCA44FF" w14:textId="77777777" w:rsidR="006240D4" w:rsidRPr="00E14102" w:rsidRDefault="006240D4" w:rsidP="00E14102">
            <w:pPr>
              <w:jc w:val="both"/>
              <w:rPr>
                <w:color w:val="000000" w:themeColor="text1"/>
                <w:sz w:val="16"/>
                <w:szCs w:val="16"/>
              </w:rPr>
            </w:pPr>
            <w:r w:rsidRPr="00E14102">
              <w:rPr>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5ADC6" w14:textId="77777777" w:rsidR="006240D4" w:rsidRPr="00E14102" w:rsidRDefault="006240D4" w:rsidP="00E14102">
            <w:pPr>
              <w:jc w:val="both"/>
              <w:rPr>
                <w:color w:val="000000" w:themeColor="text1"/>
                <w:sz w:val="16"/>
                <w:szCs w:val="16"/>
              </w:rPr>
            </w:pPr>
            <w:r w:rsidRPr="00E14102">
              <w:rPr>
                <w:color w:val="000000" w:themeColor="text1"/>
                <w:sz w:val="16"/>
                <w:szCs w:val="16"/>
              </w:rPr>
              <w:t>51,0</w:t>
            </w:r>
          </w:p>
          <w:p w14:paraId="28A8552E" w14:textId="77777777" w:rsidR="006240D4" w:rsidRPr="00E14102" w:rsidRDefault="006240D4" w:rsidP="00E14102">
            <w:pPr>
              <w:jc w:val="both"/>
              <w:rPr>
                <w:color w:val="000000" w:themeColor="text1"/>
                <w:sz w:val="16"/>
                <w:szCs w:val="16"/>
              </w:rPr>
            </w:pPr>
            <w:r w:rsidRPr="00E14102">
              <w:rPr>
                <w:color w:val="000000" w:themeColor="text1"/>
                <w:sz w:val="16"/>
                <w:szCs w:val="16"/>
              </w:rPr>
              <w:t>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88DCA" w14:textId="77777777" w:rsidR="006240D4" w:rsidRPr="00E14102" w:rsidRDefault="006240D4" w:rsidP="00E14102">
            <w:pPr>
              <w:jc w:val="both"/>
              <w:rPr>
                <w:color w:val="000000" w:themeColor="text1"/>
                <w:sz w:val="16"/>
                <w:szCs w:val="16"/>
              </w:rPr>
            </w:pPr>
            <w:r w:rsidRPr="00E14102">
              <w:rPr>
                <w:color w:val="000000" w:themeColor="text1"/>
                <w:sz w:val="16"/>
                <w:szCs w:val="16"/>
              </w:rPr>
              <w:t>72,0</w:t>
            </w:r>
          </w:p>
          <w:p w14:paraId="7AC4748B" w14:textId="77777777" w:rsidR="006240D4" w:rsidRPr="00E14102" w:rsidRDefault="006240D4" w:rsidP="00E14102">
            <w:pPr>
              <w:jc w:val="both"/>
              <w:rPr>
                <w:color w:val="000000" w:themeColor="text1"/>
                <w:sz w:val="16"/>
                <w:szCs w:val="16"/>
              </w:rPr>
            </w:pPr>
            <w:r w:rsidRPr="00E14102">
              <w:rPr>
                <w:color w:val="000000" w:themeColor="text1"/>
                <w:sz w:val="16"/>
                <w:szCs w:val="16"/>
              </w:rPr>
              <w:t>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7E37E" w14:textId="77777777" w:rsidR="006240D4" w:rsidRPr="00E14102" w:rsidRDefault="006240D4" w:rsidP="00E14102">
            <w:pPr>
              <w:jc w:val="both"/>
              <w:rPr>
                <w:color w:val="000000" w:themeColor="text1"/>
                <w:sz w:val="16"/>
                <w:szCs w:val="16"/>
              </w:rPr>
            </w:pPr>
            <w:r w:rsidRPr="00E14102">
              <w:rPr>
                <w:color w:val="000000" w:themeColor="text1"/>
                <w:sz w:val="16"/>
                <w:szCs w:val="16"/>
              </w:rPr>
              <w:t>80,0</w:t>
            </w:r>
          </w:p>
          <w:p w14:paraId="729F414C" w14:textId="77777777" w:rsidR="006240D4" w:rsidRPr="00E14102" w:rsidRDefault="006240D4" w:rsidP="00E14102">
            <w:pPr>
              <w:jc w:val="both"/>
              <w:rPr>
                <w:color w:val="000000" w:themeColor="text1"/>
                <w:sz w:val="16"/>
                <w:szCs w:val="16"/>
              </w:rPr>
            </w:pPr>
            <w:r w:rsidRPr="00E14102">
              <w:rPr>
                <w:color w:val="000000" w:themeColor="text1"/>
                <w:sz w:val="16"/>
                <w:szCs w:val="16"/>
              </w:rPr>
              <w:t>70,0</w:t>
            </w:r>
          </w:p>
        </w:tc>
      </w:tr>
      <w:tr w:rsidR="00E3599D" w:rsidRPr="00E14102" w14:paraId="0FBC81D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3D45DE" w14:textId="77777777" w:rsidR="006240D4" w:rsidRPr="00E14102" w:rsidRDefault="006240D4" w:rsidP="00E14102">
            <w:pPr>
              <w:jc w:val="both"/>
              <w:rPr>
                <w:color w:val="000000" w:themeColor="text1"/>
                <w:sz w:val="16"/>
                <w:szCs w:val="16"/>
              </w:rPr>
            </w:pPr>
            <w:r w:rsidRPr="00E14102">
              <w:rPr>
                <w:color w:val="000000" w:themeColor="text1"/>
                <w:sz w:val="16"/>
                <w:szCs w:val="16"/>
              </w:rPr>
              <w:t>2. Капиталовложения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E0827" w14:textId="77777777" w:rsidR="006240D4" w:rsidRPr="00E14102" w:rsidRDefault="006240D4"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B83FB" w14:textId="77777777" w:rsidR="006240D4" w:rsidRPr="00E14102" w:rsidRDefault="006240D4" w:rsidP="00E14102">
            <w:pPr>
              <w:jc w:val="both"/>
              <w:rPr>
                <w:color w:val="000000" w:themeColor="text1"/>
                <w:sz w:val="16"/>
                <w:szCs w:val="16"/>
              </w:rPr>
            </w:pPr>
            <w:r w:rsidRPr="00E14102">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2F66C" w14:textId="77777777" w:rsidR="006240D4" w:rsidRPr="00E14102" w:rsidRDefault="006240D4" w:rsidP="00E14102">
            <w:pPr>
              <w:jc w:val="both"/>
              <w:rPr>
                <w:color w:val="000000" w:themeColor="text1"/>
                <w:sz w:val="16"/>
                <w:szCs w:val="16"/>
              </w:rPr>
            </w:pPr>
            <w:r w:rsidRPr="00E14102">
              <w:rPr>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45696" w14:textId="77777777" w:rsidR="006240D4" w:rsidRPr="00E14102" w:rsidRDefault="006240D4" w:rsidP="00E14102">
            <w:pPr>
              <w:jc w:val="both"/>
              <w:rPr>
                <w:color w:val="000000" w:themeColor="text1"/>
                <w:sz w:val="16"/>
                <w:szCs w:val="16"/>
              </w:rPr>
            </w:pPr>
            <w:r w:rsidRPr="00E14102">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AB206" w14:textId="77777777" w:rsidR="006240D4" w:rsidRPr="00E14102" w:rsidRDefault="006240D4" w:rsidP="00E14102">
            <w:pPr>
              <w:jc w:val="both"/>
              <w:rPr>
                <w:color w:val="000000" w:themeColor="text1"/>
                <w:sz w:val="16"/>
                <w:szCs w:val="16"/>
              </w:rPr>
            </w:pPr>
            <w:r w:rsidRPr="00E14102">
              <w:rPr>
                <w:color w:val="000000" w:themeColor="text1"/>
                <w:sz w:val="16"/>
                <w:szCs w:val="16"/>
              </w:rPr>
              <w:t>15,1</w:t>
            </w:r>
          </w:p>
        </w:tc>
      </w:tr>
      <w:tr w:rsidR="00E3599D" w:rsidRPr="00E14102" w14:paraId="5CADD8C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CE2A5D" w14:textId="77777777" w:rsidR="006240D4" w:rsidRPr="00E14102" w:rsidRDefault="006240D4" w:rsidP="00E14102">
            <w:pPr>
              <w:jc w:val="both"/>
              <w:rPr>
                <w:color w:val="000000" w:themeColor="text1"/>
                <w:sz w:val="16"/>
                <w:szCs w:val="16"/>
              </w:rPr>
            </w:pPr>
            <w:r w:rsidRPr="00E14102">
              <w:rPr>
                <w:color w:val="000000" w:themeColor="text1"/>
                <w:sz w:val="16"/>
                <w:szCs w:val="16"/>
              </w:rPr>
              <w:t>3. Ввод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C0507" w14:textId="77777777" w:rsidR="006240D4" w:rsidRPr="00E14102" w:rsidRDefault="006240D4" w:rsidP="00E14102">
            <w:pPr>
              <w:jc w:val="both"/>
              <w:rPr>
                <w:color w:val="000000" w:themeColor="text1"/>
                <w:sz w:val="16"/>
                <w:szCs w:val="16"/>
              </w:rPr>
            </w:pPr>
            <w:r w:rsidRPr="00E14102">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9D62E" w14:textId="77777777" w:rsidR="006240D4" w:rsidRPr="00E14102" w:rsidRDefault="006240D4" w:rsidP="00E14102">
            <w:pPr>
              <w:jc w:val="both"/>
              <w:rPr>
                <w:color w:val="000000" w:themeColor="text1"/>
                <w:sz w:val="16"/>
                <w:szCs w:val="16"/>
              </w:rPr>
            </w:pPr>
            <w:r w:rsidRPr="00E14102">
              <w:rPr>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A6745" w14:textId="77777777" w:rsidR="006240D4" w:rsidRPr="00E14102" w:rsidRDefault="006240D4" w:rsidP="00E14102">
            <w:pPr>
              <w:jc w:val="both"/>
              <w:rPr>
                <w:color w:val="000000" w:themeColor="text1"/>
                <w:sz w:val="16"/>
                <w:szCs w:val="16"/>
              </w:rPr>
            </w:pPr>
            <w:r w:rsidRPr="00E14102">
              <w:rPr>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8A3A0" w14:textId="77777777" w:rsidR="006240D4" w:rsidRPr="00E14102" w:rsidRDefault="006240D4" w:rsidP="00E14102">
            <w:pPr>
              <w:jc w:val="both"/>
              <w:rPr>
                <w:color w:val="000000" w:themeColor="text1"/>
                <w:sz w:val="16"/>
                <w:szCs w:val="16"/>
              </w:rPr>
            </w:pPr>
            <w:r w:rsidRPr="00E14102">
              <w:rPr>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9F7A3" w14:textId="77777777" w:rsidR="006240D4" w:rsidRPr="00E14102" w:rsidRDefault="006240D4" w:rsidP="00E14102">
            <w:pPr>
              <w:jc w:val="both"/>
              <w:rPr>
                <w:color w:val="000000" w:themeColor="text1"/>
                <w:sz w:val="16"/>
                <w:szCs w:val="16"/>
              </w:rPr>
            </w:pPr>
            <w:r w:rsidRPr="00E14102">
              <w:rPr>
                <w:color w:val="000000" w:themeColor="text1"/>
                <w:sz w:val="16"/>
                <w:szCs w:val="16"/>
              </w:rPr>
              <w:t>10,0</w:t>
            </w:r>
          </w:p>
        </w:tc>
      </w:tr>
      <w:tr w:rsidR="00E3599D" w:rsidRPr="00E14102" w14:paraId="06DC961D" w14:textId="77777777" w:rsidTr="00493FC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461CC05" w14:textId="77777777" w:rsidR="006240D4" w:rsidRPr="00E14102" w:rsidRDefault="006240D4" w:rsidP="00E14102">
            <w:pPr>
              <w:jc w:val="both"/>
              <w:rPr>
                <w:color w:val="000000" w:themeColor="text1"/>
                <w:sz w:val="16"/>
                <w:szCs w:val="16"/>
              </w:rPr>
            </w:pPr>
            <w:r w:rsidRPr="00E14102">
              <w:rPr>
                <w:color w:val="000000" w:themeColor="text1"/>
                <w:sz w:val="16"/>
                <w:szCs w:val="16"/>
              </w:rPr>
              <w:t>Всего</w:t>
            </w:r>
          </w:p>
        </w:tc>
      </w:tr>
      <w:tr w:rsidR="00E3599D" w:rsidRPr="00E14102" w14:paraId="29744D1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779626" w14:textId="77777777" w:rsidR="006240D4" w:rsidRPr="00E14102" w:rsidRDefault="006240D4" w:rsidP="00E14102">
            <w:pPr>
              <w:jc w:val="both"/>
              <w:rPr>
                <w:color w:val="000000" w:themeColor="text1"/>
                <w:sz w:val="16"/>
                <w:szCs w:val="16"/>
              </w:rPr>
            </w:pPr>
            <w:r w:rsidRPr="00E14102">
              <w:rPr>
                <w:color w:val="000000" w:themeColor="text1"/>
                <w:sz w:val="16"/>
                <w:szCs w:val="16"/>
              </w:rPr>
              <w:t>1. Основные фонды (на конец года)</w:t>
            </w:r>
          </w:p>
          <w:p w14:paraId="21C811D0" w14:textId="77777777" w:rsidR="006240D4" w:rsidRPr="00E14102" w:rsidRDefault="006240D4" w:rsidP="00E14102">
            <w:pPr>
              <w:jc w:val="both"/>
              <w:rPr>
                <w:color w:val="000000" w:themeColor="text1"/>
                <w:sz w:val="16"/>
                <w:szCs w:val="16"/>
              </w:rPr>
            </w:pPr>
            <w:r w:rsidRPr="00E14102">
              <w:rPr>
                <w:color w:val="000000" w:themeColor="text1"/>
                <w:sz w:val="16"/>
                <w:szCs w:val="16"/>
              </w:rPr>
              <w:t>в том числе производственные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02285" w14:textId="77777777" w:rsidR="006240D4" w:rsidRPr="00E14102" w:rsidRDefault="006240D4" w:rsidP="00E14102">
            <w:pPr>
              <w:jc w:val="both"/>
              <w:rPr>
                <w:color w:val="000000" w:themeColor="text1"/>
                <w:sz w:val="16"/>
                <w:szCs w:val="16"/>
              </w:rPr>
            </w:pPr>
            <w:r w:rsidRPr="00E14102">
              <w:rPr>
                <w:color w:val="000000" w:themeColor="text1"/>
                <w:sz w:val="16"/>
                <w:szCs w:val="16"/>
              </w:rPr>
              <w:t>948,9</w:t>
            </w:r>
          </w:p>
          <w:p w14:paraId="6A190681" w14:textId="77777777" w:rsidR="006240D4" w:rsidRPr="00E14102" w:rsidRDefault="006240D4" w:rsidP="00E14102">
            <w:pPr>
              <w:jc w:val="both"/>
              <w:rPr>
                <w:color w:val="000000" w:themeColor="text1"/>
                <w:sz w:val="16"/>
                <w:szCs w:val="16"/>
              </w:rPr>
            </w:pPr>
            <w:r w:rsidRPr="00E14102">
              <w:rPr>
                <w:color w:val="000000" w:themeColor="text1"/>
                <w:sz w:val="16"/>
                <w:szCs w:val="16"/>
              </w:rPr>
              <w:t>822,3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B79EC" w14:textId="77777777" w:rsidR="006240D4" w:rsidRPr="00E14102" w:rsidRDefault="006240D4" w:rsidP="00E14102">
            <w:pPr>
              <w:jc w:val="both"/>
              <w:rPr>
                <w:color w:val="000000" w:themeColor="text1"/>
                <w:sz w:val="16"/>
                <w:szCs w:val="16"/>
              </w:rPr>
            </w:pPr>
            <w:r w:rsidRPr="00E14102">
              <w:rPr>
                <w:color w:val="000000" w:themeColor="text1"/>
                <w:sz w:val="16"/>
                <w:szCs w:val="16"/>
              </w:rPr>
              <w:t>1196,5</w:t>
            </w:r>
          </w:p>
          <w:p w14:paraId="022144A1" w14:textId="77777777" w:rsidR="006240D4" w:rsidRPr="00E14102" w:rsidRDefault="006240D4" w:rsidP="00E14102">
            <w:pPr>
              <w:jc w:val="both"/>
              <w:rPr>
                <w:color w:val="000000" w:themeColor="text1"/>
                <w:sz w:val="16"/>
                <w:szCs w:val="16"/>
              </w:rPr>
            </w:pPr>
            <w:r w:rsidRPr="00E14102">
              <w:rPr>
                <w:color w:val="000000" w:themeColor="text1"/>
                <w:sz w:val="16"/>
                <w:szCs w:val="16"/>
              </w:rPr>
              <w:t>1039,8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28B8F" w14:textId="77777777" w:rsidR="006240D4" w:rsidRPr="00E14102" w:rsidRDefault="006240D4" w:rsidP="00E14102">
            <w:pPr>
              <w:jc w:val="both"/>
              <w:rPr>
                <w:color w:val="000000" w:themeColor="text1"/>
                <w:sz w:val="16"/>
                <w:szCs w:val="16"/>
              </w:rPr>
            </w:pPr>
            <w:r w:rsidRPr="00E14102">
              <w:rPr>
                <w:color w:val="000000" w:themeColor="text1"/>
                <w:sz w:val="16"/>
                <w:szCs w:val="16"/>
              </w:rPr>
              <w:t>1721,3</w:t>
            </w:r>
          </w:p>
          <w:p w14:paraId="66C0DA32" w14:textId="77777777" w:rsidR="006240D4" w:rsidRPr="00E14102" w:rsidRDefault="006240D4" w:rsidP="00E14102">
            <w:pPr>
              <w:jc w:val="both"/>
              <w:rPr>
                <w:color w:val="000000" w:themeColor="text1"/>
                <w:sz w:val="16"/>
                <w:szCs w:val="16"/>
              </w:rPr>
            </w:pPr>
            <w:r w:rsidRPr="00E14102">
              <w:rPr>
                <w:color w:val="000000" w:themeColor="text1"/>
                <w:sz w:val="16"/>
                <w:szCs w:val="16"/>
              </w:rPr>
              <w:t>1476,5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F9A91" w14:textId="77777777" w:rsidR="006240D4" w:rsidRPr="00E14102" w:rsidRDefault="006240D4" w:rsidP="00E14102">
            <w:pPr>
              <w:jc w:val="both"/>
              <w:rPr>
                <w:color w:val="000000" w:themeColor="text1"/>
                <w:sz w:val="16"/>
                <w:szCs w:val="16"/>
              </w:rPr>
            </w:pPr>
            <w:r w:rsidRPr="00E14102">
              <w:rPr>
                <w:color w:val="000000" w:themeColor="text1"/>
                <w:sz w:val="16"/>
                <w:szCs w:val="16"/>
              </w:rPr>
              <w:t>2084,6</w:t>
            </w:r>
          </w:p>
          <w:p w14:paraId="2D595D75" w14:textId="77777777" w:rsidR="006240D4" w:rsidRPr="00E14102" w:rsidRDefault="006240D4" w:rsidP="00E14102">
            <w:pPr>
              <w:jc w:val="both"/>
              <w:rPr>
                <w:color w:val="000000" w:themeColor="text1"/>
                <w:sz w:val="16"/>
                <w:szCs w:val="16"/>
              </w:rPr>
            </w:pPr>
            <w:r w:rsidRPr="00E14102">
              <w:rPr>
                <w:color w:val="000000" w:themeColor="text1"/>
                <w:sz w:val="16"/>
                <w:szCs w:val="16"/>
              </w:rPr>
              <w:t>1769,8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30E7F" w14:textId="77777777" w:rsidR="006240D4" w:rsidRPr="00E14102" w:rsidRDefault="006240D4" w:rsidP="00E14102">
            <w:pPr>
              <w:jc w:val="both"/>
              <w:rPr>
                <w:color w:val="000000" w:themeColor="text1"/>
                <w:sz w:val="16"/>
                <w:szCs w:val="16"/>
              </w:rPr>
            </w:pPr>
            <w:r w:rsidRPr="00E14102">
              <w:rPr>
                <w:color w:val="000000" w:themeColor="text1"/>
                <w:sz w:val="16"/>
                <w:szCs w:val="16"/>
              </w:rPr>
              <w:t>2632,2</w:t>
            </w:r>
          </w:p>
          <w:p w14:paraId="6B2FF26E" w14:textId="77777777" w:rsidR="006240D4" w:rsidRPr="00E14102" w:rsidRDefault="006240D4" w:rsidP="00E14102">
            <w:pPr>
              <w:jc w:val="both"/>
              <w:rPr>
                <w:color w:val="000000" w:themeColor="text1"/>
                <w:sz w:val="16"/>
                <w:szCs w:val="16"/>
              </w:rPr>
            </w:pPr>
            <w:r w:rsidRPr="00E14102">
              <w:rPr>
                <w:color w:val="000000" w:themeColor="text1"/>
                <w:sz w:val="16"/>
                <w:szCs w:val="16"/>
              </w:rPr>
              <w:t>2273,9</w:t>
            </w:r>
          </w:p>
        </w:tc>
      </w:tr>
      <w:tr w:rsidR="00E3599D" w:rsidRPr="00E14102" w14:paraId="2B519E1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BD3640" w14:textId="77777777" w:rsidR="006240D4" w:rsidRPr="00E14102" w:rsidRDefault="006240D4" w:rsidP="00E14102">
            <w:pPr>
              <w:jc w:val="both"/>
              <w:rPr>
                <w:color w:val="000000" w:themeColor="text1"/>
                <w:sz w:val="16"/>
                <w:szCs w:val="16"/>
              </w:rPr>
            </w:pPr>
            <w:r w:rsidRPr="00E14102">
              <w:rPr>
                <w:color w:val="000000" w:themeColor="text1"/>
                <w:sz w:val="16"/>
                <w:szCs w:val="16"/>
              </w:rPr>
              <w:t>2. Капиталовложения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7347B" w14:textId="77777777" w:rsidR="006240D4" w:rsidRPr="00E14102" w:rsidRDefault="006240D4" w:rsidP="00E14102">
            <w:pPr>
              <w:jc w:val="both"/>
              <w:rPr>
                <w:color w:val="000000" w:themeColor="text1"/>
                <w:sz w:val="16"/>
                <w:szCs w:val="16"/>
              </w:rPr>
            </w:pPr>
            <w:r w:rsidRPr="00E14102">
              <w:rPr>
                <w:color w:val="000000" w:themeColor="text1"/>
                <w:sz w:val="16"/>
                <w:szCs w:val="16"/>
              </w:rPr>
              <w:t>266,0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516A4" w14:textId="77777777" w:rsidR="006240D4" w:rsidRPr="00E14102" w:rsidRDefault="006240D4" w:rsidP="00E14102">
            <w:pPr>
              <w:jc w:val="both"/>
              <w:rPr>
                <w:color w:val="000000" w:themeColor="text1"/>
                <w:sz w:val="16"/>
                <w:szCs w:val="16"/>
              </w:rPr>
            </w:pPr>
            <w:r w:rsidRPr="00E14102">
              <w:rPr>
                <w:color w:val="000000" w:themeColor="text1"/>
                <w:sz w:val="16"/>
                <w:szCs w:val="16"/>
              </w:rPr>
              <w:t>499,0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2881D" w14:textId="77777777" w:rsidR="006240D4" w:rsidRPr="00E14102" w:rsidRDefault="006240D4" w:rsidP="00E14102">
            <w:pPr>
              <w:jc w:val="both"/>
              <w:rPr>
                <w:color w:val="000000" w:themeColor="text1"/>
                <w:sz w:val="16"/>
                <w:szCs w:val="16"/>
              </w:rPr>
            </w:pPr>
            <w:r w:rsidRPr="00E14102">
              <w:rPr>
                <w:color w:val="000000" w:themeColor="text1"/>
                <w:sz w:val="16"/>
                <w:szCs w:val="16"/>
              </w:rPr>
              <w:t>785,1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CA829" w14:textId="77777777" w:rsidR="006240D4" w:rsidRPr="00E14102" w:rsidRDefault="006240D4" w:rsidP="00E14102">
            <w:pPr>
              <w:jc w:val="both"/>
              <w:rPr>
                <w:color w:val="000000" w:themeColor="text1"/>
                <w:sz w:val="16"/>
                <w:szCs w:val="16"/>
              </w:rPr>
            </w:pPr>
            <w:r w:rsidRPr="00E14102">
              <w:rPr>
                <w:color w:val="000000" w:themeColor="text1"/>
                <w:sz w:val="16"/>
                <w:szCs w:val="16"/>
              </w:rPr>
              <w:t>580,8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C0ED3" w14:textId="77777777" w:rsidR="006240D4" w:rsidRPr="00E14102" w:rsidRDefault="006240D4" w:rsidP="00E14102">
            <w:pPr>
              <w:jc w:val="both"/>
              <w:rPr>
                <w:color w:val="000000" w:themeColor="text1"/>
                <w:sz w:val="16"/>
                <w:szCs w:val="16"/>
              </w:rPr>
            </w:pPr>
            <w:r w:rsidRPr="00E14102">
              <w:rPr>
                <w:color w:val="000000" w:themeColor="text1"/>
                <w:sz w:val="16"/>
                <w:szCs w:val="16"/>
              </w:rPr>
              <w:t>788,1</w:t>
            </w:r>
          </w:p>
        </w:tc>
      </w:tr>
      <w:tr w:rsidR="00E3599D" w:rsidRPr="00E14102" w14:paraId="7489D13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2A2E8B" w14:textId="77777777" w:rsidR="006240D4" w:rsidRPr="00E14102" w:rsidRDefault="006240D4" w:rsidP="00E14102">
            <w:pPr>
              <w:jc w:val="both"/>
              <w:rPr>
                <w:color w:val="000000" w:themeColor="text1"/>
                <w:sz w:val="16"/>
                <w:szCs w:val="16"/>
              </w:rPr>
            </w:pPr>
            <w:r w:rsidRPr="00E14102">
              <w:rPr>
                <w:color w:val="000000" w:themeColor="text1"/>
                <w:sz w:val="16"/>
                <w:szCs w:val="16"/>
              </w:rPr>
              <w:t>3. Ввод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87D0F" w14:textId="77777777" w:rsidR="006240D4" w:rsidRPr="00E14102" w:rsidRDefault="006240D4" w:rsidP="00E14102">
            <w:pPr>
              <w:jc w:val="both"/>
              <w:rPr>
                <w:color w:val="000000" w:themeColor="text1"/>
                <w:sz w:val="16"/>
                <w:szCs w:val="16"/>
              </w:rPr>
            </w:pPr>
            <w:r w:rsidRPr="00E14102">
              <w:rPr>
                <w:color w:val="000000" w:themeColor="text1"/>
                <w:sz w:val="16"/>
                <w:szCs w:val="16"/>
              </w:rPr>
              <w:t>338,1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29E4F" w14:textId="77777777" w:rsidR="006240D4" w:rsidRPr="00E14102" w:rsidRDefault="006240D4" w:rsidP="00E14102">
            <w:pPr>
              <w:jc w:val="both"/>
              <w:rPr>
                <w:color w:val="000000" w:themeColor="text1"/>
                <w:sz w:val="16"/>
                <w:szCs w:val="16"/>
              </w:rPr>
            </w:pPr>
            <w:r w:rsidRPr="00E14102">
              <w:rPr>
                <w:color w:val="000000" w:themeColor="text1"/>
                <w:sz w:val="16"/>
                <w:szCs w:val="16"/>
              </w:rPr>
              <w:t>304,8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03244" w14:textId="77777777" w:rsidR="006240D4" w:rsidRPr="00E14102" w:rsidRDefault="006240D4" w:rsidP="00E14102">
            <w:pPr>
              <w:jc w:val="both"/>
              <w:rPr>
                <w:color w:val="000000" w:themeColor="text1"/>
                <w:sz w:val="16"/>
                <w:szCs w:val="16"/>
              </w:rPr>
            </w:pPr>
            <w:r w:rsidRPr="00E14102">
              <w:rPr>
                <w:color w:val="000000" w:themeColor="text1"/>
                <w:sz w:val="16"/>
                <w:szCs w:val="16"/>
              </w:rPr>
              <w:t>584,1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50E07" w14:textId="77777777" w:rsidR="006240D4" w:rsidRPr="00E14102" w:rsidRDefault="006240D4" w:rsidP="00E14102">
            <w:pPr>
              <w:jc w:val="both"/>
              <w:rPr>
                <w:color w:val="000000" w:themeColor="text1"/>
                <w:sz w:val="16"/>
                <w:szCs w:val="16"/>
              </w:rPr>
            </w:pPr>
            <w:r w:rsidRPr="00E14102">
              <w:rPr>
                <w:color w:val="000000" w:themeColor="text1"/>
                <w:sz w:val="16"/>
                <w:szCs w:val="16"/>
              </w:rPr>
              <w:t>510,4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80CA5" w14:textId="77777777" w:rsidR="006240D4" w:rsidRPr="00E14102" w:rsidRDefault="006240D4" w:rsidP="00E14102">
            <w:pPr>
              <w:jc w:val="both"/>
              <w:rPr>
                <w:color w:val="000000" w:themeColor="text1"/>
                <w:sz w:val="16"/>
                <w:szCs w:val="16"/>
              </w:rPr>
            </w:pPr>
            <w:r w:rsidRPr="00E14102">
              <w:rPr>
                <w:color w:val="000000" w:themeColor="text1"/>
                <w:sz w:val="16"/>
                <w:szCs w:val="16"/>
              </w:rPr>
              <w:t>675,0</w:t>
            </w:r>
          </w:p>
        </w:tc>
      </w:tr>
    </w:tbl>
    <w:p w14:paraId="662BD217" w14:textId="77777777" w:rsidR="006240D4" w:rsidRPr="00E14102" w:rsidRDefault="006240D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4372. Оп. 91. Д. 2189. Л. 33. Копия (15331).</w:t>
      </w:r>
    </w:p>
    <w:p w14:paraId="3A27B5AA" w14:textId="77777777" w:rsidR="006240D4" w:rsidRPr="00E14102" w:rsidRDefault="006240D4" w:rsidP="00E14102">
      <w:pPr>
        <w:jc w:val="both"/>
        <w:rPr>
          <w:bCs/>
          <w:color w:val="000000" w:themeColor="text1"/>
          <w:sz w:val="16"/>
          <w:szCs w:val="16"/>
        </w:rPr>
      </w:pPr>
    </w:p>
    <w:p w14:paraId="20711785" w14:textId="77777777" w:rsidR="006240D4" w:rsidRPr="00E14102" w:rsidRDefault="006240D4" w:rsidP="00E14102">
      <w:pPr>
        <w:pStyle w:val="rtejustify"/>
        <w:spacing w:before="0" w:after="0"/>
        <w:rPr>
          <w:color w:val="000000" w:themeColor="text1"/>
          <w:sz w:val="16"/>
          <w:szCs w:val="16"/>
        </w:rPr>
      </w:pPr>
      <w:r w:rsidRPr="00E14102">
        <w:rPr>
          <w:rStyle w:val="a6"/>
          <w:bCs/>
          <w:i w:val="0"/>
          <w:color w:val="000000" w:themeColor="text1"/>
          <w:sz w:val="16"/>
          <w:szCs w:val="16"/>
        </w:rPr>
        <w:t>20/23 января 1935 вышел приказ НКТП № 14с.</w:t>
      </w:r>
      <w:r w:rsidRPr="00E14102">
        <w:rPr>
          <w:color w:val="000000" w:themeColor="text1"/>
          <w:sz w:val="16"/>
          <w:szCs w:val="16"/>
        </w:rPr>
        <w:t xml:space="preserve"> Об обеспечении программы 1935 г. Кировским заводом по производству танков Т</w:t>
      </w:r>
      <w:r w:rsidRPr="00E14102">
        <w:rPr>
          <w:color w:val="000000" w:themeColor="text1"/>
          <w:sz w:val="16"/>
          <w:szCs w:val="16"/>
        </w:rPr>
        <w:noBreakHyphen/>
        <w:t>28 и ходовой части для Т</w:t>
      </w:r>
      <w:r w:rsidRPr="00E14102">
        <w:rPr>
          <w:color w:val="000000" w:themeColor="text1"/>
          <w:sz w:val="16"/>
          <w:szCs w:val="16"/>
        </w:rPr>
        <w:noBreakHyphen/>
        <w:t>26. (РГАЭ. Ф. 7297. Оп. 38. Д. 171. Л. 27</w:t>
      </w:r>
      <w:r w:rsidRPr="00E14102">
        <w:rPr>
          <w:color w:val="000000" w:themeColor="text1"/>
          <w:sz w:val="16"/>
          <w:szCs w:val="16"/>
        </w:rPr>
        <w:noBreakHyphen/>
        <w:t>26) (15246).</w:t>
      </w:r>
    </w:p>
    <w:p w14:paraId="2DA01E36" w14:textId="77777777" w:rsidR="006240D4" w:rsidRPr="00E14102" w:rsidRDefault="006240D4" w:rsidP="00E14102">
      <w:pPr>
        <w:pStyle w:val="rtejustify"/>
        <w:spacing w:before="0" w:after="0"/>
        <w:rPr>
          <w:color w:val="000000" w:themeColor="text1"/>
          <w:sz w:val="16"/>
          <w:szCs w:val="16"/>
        </w:rPr>
      </w:pPr>
    </w:p>
    <w:p w14:paraId="72B3CF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января 1935 года нарядом № 59/3 216с от Главного управления машиностроения (ГУМС) сооружение трех транспортеров ТМ-III-12 было поручено судостроительному заводу имени Анри Марта в Николаеве или, иначе, заводу № 198 Наркомата судостроительной промышленности СССР (директор А. В. Самарин). В этой работе также принимали участие заводы «Большевик», Металлический завод, «Красный Путиловец» и завод имени Егорова.</w:t>
      </w:r>
    </w:p>
    <w:p w14:paraId="773562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Технический проект этой артустановки был утвержден в 1936 году. По ряду параметров она была более совершенной по сравнению с другими установками подобного типа.</w:t>
      </w:r>
    </w:p>
    <w:p w14:paraId="56107E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Особо важным новшеством в конструкции ТМ-III-12 было то, что верхний лафет вместе с качающейся частью и соответственно со стволом обладал способностью опускаться во внутреннюю полость главной балки, что позволяло в походном положении значительно уменьшать габариты всей установки по высоте. Другой положительной особенностью ТМ-III-12 было наличие у транспортера возимого штыревого основания, дававшего возможность вести круговую стрельбу с заранее оборудованного на боевых позициях бетонного основания.</w:t>
      </w:r>
    </w:p>
    <w:p w14:paraId="51C173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Артустановка ТМ-III-12 обладала способностью поражать видимые и невидимые береговые и морские цели при скорости последних до 60 узлов.</w:t>
      </w:r>
    </w:p>
    <w:p w14:paraId="0589EA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Также необходимо отметить оригинальность решений по гидродомкратам, системе подачи снарядов и, в частности, по зарядной тележке (кокору).</w:t>
      </w:r>
    </w:p>
    <w:p w14:paraId="170827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проектировании артустановки особое внимание было обращено и на обеспечение ее быстрого ухода с позиции. Это было достигнуто путем замены механических устройств опускания лафета (таких, например, как у транспортера ТМ-1-14) гидравлическими. Были механизированы наиболее тяжелые ручные работы, такие, в частности, как продольное проталкивание снарядов и полузарядов.</w:t>
      </w:r>
    </w:p>
    <w:p w14:paraId="2ECEFA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эти конструкторские находки выгодно отличали ТМ-III-12 и от сходной по назначению и тактико-техническим параметрам американской железнодорожной артустановки.</w:t>
      </w:r>
    </w:p>
    <w:p w14:paraId="55667C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Транспортеры ТМ-III-12 изготавливались в цехе № 11 (начальник П. П. Разменов). В числе основных строителей систем — В. Ф. Бабанин, М. Рабизанович. В работах по монтажу артустановок участвовали инженеры И. Б. Смертенко, Фисун, Торянский, бригадир Я. П. Плахотник, слесари Иг И. Пляскота, П. Е.Данько, С. И. Фурман, В. А. Завацкий, К. Ф. Андреев, П. Г. Коновалов, В. А. Жадан, С. И. Жело и др. (11454).</w:t>
      </w:r>
    </w:p>
    <w:p w14:paraId="57B78AE4" w14:textId="77777777" w:rsidR="00D4105E" w:rsidRPr="00E14102" w:rsidRDefault="00D4105E" w:rsidP="00E14102">
      <w:pPr>
        <w:autoSpaceDE w:val="0"/>
        <w:autoSpaceDN w:val="0"/>
        <w:adjustRightInd w:val="0"/>
        <w:jc w:val="both"/>
        <w:rPr>
          <w:color w:val="000000" w:themeColor="text1"/>
          <w:sz w:val="16"/>
          <w:szCs w:val="16"/>
        </w:rPr>
      </w:pPr>
    </w:p>
    <w:p w14:paraId="375828EA" w14:textId="77777777" w:rsidR="006240D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C267BEA" w14:textId="77777777" w:rsidR="006240D4" w:rsidRPr="00E14102" w:rsidRDefault="006240D4" w:rsidP="00E14102">
      <w:pPr>
        <w:autoSpaceDE w:val="0"/>
        <w:autoSpaceDN w:val="0"/>
        <w:adjustRightInd w:val="0"/>
        <w:jc w:val="both"/>
        <w:rPr>
          <w:iCs/>
          <w:color w:val="000000" w:themeColor="text1"/>
          <w:sz w:val="16"/>
          <w:szCs w:val="16"/>
        </w:rPr>
      </w:pPr>
    </w:p>
    <w:p w14:paraId="7B6C90DA" w14:textId="77777777" w:rsidR="006240D4" w:rsidRPr="00E14102" w:rsidRDefault="006240D4" w:rsidP="00E14102">
      <w:pPr>
        <w:jc w:val="both"/>
        <w:rPr>
          <w:color w:val="000000" w:themeColor="text1"/>
          <w:sz w:val="16"/>
          <w:szCs w:val="16"/>
        </w:rPr>
      </w:pPr>
      <w:r w:rsidRPr="00E14102">
        <w:rPr>
          <w:bCs/>
          <w:color w:val="000000" w:themeColor="text1"/>
          <w:sz w:val="16"/>
          <w:szCs w:val="16"/>
        </w:rPr>
        <w:t>20 января</w:t>
      </w:r>
      <w:r w:rsidRPr="00E14102">
        <w:rPr>
          <w:color w:val="000000" w:themeColor="text1"/>
          <w:sz w:val="16"/>
          <w:szCs w:val="16"/>
        </w:rPr>
        <w:t xml:space="preserve"> в 1935 году НКВД арестовал 22-летнюю кремлевскую уборщицу Анну Авдееву, положив начало так называемому Кремлевскому делу, в ходе которого по обвинению в подготовке мифического покушения на И.В.Сталина и создании антисоветской организации было осуждено не менее 110 человек (15015).</w:t>
      </w:r>
    </w:p>
    <w:p w14:paraId="0EFDFB07" w14:textId="372AABD9" w:rsidR="006240D4" w:rsidRPr="00E14102" w:rsidRDefault="006240D4" w:rsidP="00E14102">
      <w:pPr>
        <w:jc w:val="both"/>
        <w:rPr>
          <w:color w:val="000000" w:themeColor="text1"/>
          <w:sz w:val="16"/>
          <w:szCs w:val="16"/>
        </w:rPr>
      </w:pPr>
    </w:p>
    <w:p w14:paraId="7B0F7307" w14:textId="3FBDB0B3" w:rsidR="00440F05" w:rsidRPr="00E14102" w:rsidRDefault="00440F05" w:rsidP="00E14102">
      <w:pPr>
        <w:jc w:val="both"/>
        <w:rPr>
          <w:i/>
          <w:iCs/>
          <w:color w:val="000000" w:themeColor="text1"/>
          <w:sz w:val="16"/>
          <w:szCs w:val="16"/>
        </w:rPr>
      </w:pPr>
      <w:r w:rsidRPr="00E14102">
        <w:rPr>
          <w:i/>
          <w:iCs/>
          <w:color w:val="000000" w:themeColor="text1"/>
          <w:sz w:val="16"/>
          <w:szCs w:val="16"/>
        </w:rPr>
        <w:t>Внешняя политика:</w:t>
      </w:r>
    </w:p>
    <w:p w14:paraId="590B7872" w14:textId="77777777" w:rsidR="00440F05" w:rsidRPr="00E14102" w:rsidRDefault="00440F05" w:rsidP="00E14102">
      <w:pPr>
        <w:jc w:val="both"/>
        <w:rPr>
          <w:i/>
          <w:iCs/>
          <w:color w:val="000000" w:themeColor="text1"/>
          <w:sz w:val="16"/>
          <w:szCs w:val="16"/>
        </w:rPr>
      </w:pPr>
    </w:p>
    <w:p w14:paraId="579A5EB2" w14:textId="77777777" w:rsidR="00440F05" w:rsidRPr="00E14102" w:rsidRDefault="00440F05" w:rsidP="00E14102">
      <w:pPr>
        <w:jc w:val="both"/>
        <w:rPr>
          <w:color w:val="0070C0"/>
          <w:sz w:val="16"/>
          <w:szCs w:val="16"/>
        </w:rPr>
      </w:pPr>
      <w:r w:rsidRPr="00E14102">
        <w:rPr>
          <w:color w:val="0070C0"/>
          <w:sz w:val="16"/>
          <w:szCs w:val="16"/>
        </w:rPr>
        <w:t>20 января 1935 года в Москве, в Пятом отделе внешней разведки (ИнО ОГПУ) с целью, как было сказано в постановлении о заведении дела, «выявления разработкой личного состава, деятельности, воо</w:t>
      </w:r>
      <w:r w:rsidRPr="00E14102">
        <w:rPr>
          <w:color w:val="0070C0"/>
          <w:sz w:val="16"/>
          <w:szCs w:val="16"/>
        </w:rPr>
        <w:softHyphen/>
        <w:t>ружения рейхсвера» было открыто агентурное дело «Хелм». В нем концентрировались материалы, начиная с 1927 года, по разделам: взаимоотношения командования вооруженных сил с руководством НСДАП, армия, ВМФ, вооружение, военная промышленность (22798).</w:t>
      </w:r>
    </w:p>
    <w:p w14:paraId="582FA71B" w14:textId="77777777" w:rsidR="00440F05" w:rsidRPr="00E14102" w:rsidRDefault="00440F05" w:rsidP="00E14102">
      <w:pPr>
        <w:jc w:val="both"/>
        <w:rPr>
          <w:color w:val="0070C0"/>
          <w:sz w:val="16"/>
          <w:szCs w:val="16"/>
        </w:rPr>
      </w:pPr>
    </w:p>
    <w:p w14:paraId="4093EA8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598EC40" w14:textId="77777777" w:rsidR="00D4105E" w:rsidRPr="00E14102" w:rsidRDefault="00D4105E" w:rsidP="00E14102">
      <w:pPr>
        <w:autoSpaceDE w:val="0"/>
        <w:autoSpaceDN w:val="0"/>
        <w:adjustRightInd w:val="0"/>
        <w:jc w:val="both"/>
        <w:rPr>
          <w:iCs/>
          <w:color w:val="000000" w:themeColor="text1"/>
          <w:sz w:val="16"/>
          <w:szCs w:val="16"/>
        </w:rPr>
      </w:pPr>
    </w:p>
    <w:p w14:paraId="56AC17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января 1935 в Бельгии были арестованы нацистские агитаторы призывавшие к возврату в состав Рейха (2100).</w:t>
      </w:r>
    </w:p>
    <w:p w14:paraId="23090289" w14:textId="77777777" w:rsidR="00D4105E" w:rsidRPr="00E14102" w:rsidRDefault="00D4105E" w:rsidP="00E14102">
      <w:pPr>
        <w:autoSpaceDE w:val="0"/>
        <w:autoSpaceDN w:val="0"/>
        <w:adjustRightInd w:val="0"/>
        <w:jc w:val="both"/>
        <w:rPr>
          <w:color w:val="000000" w:themeColor="text1"/>
          <w:sz w:val="16"/>
          <w:szCs w:val="16"/>
        </w:rPr>
      </w:pPr>
    </w:p>
    <w:p w14:paraId="2BB2FAA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C463A40" w14:textId="77777777" w:rsidR="00D4105E" w:rsidRPr="00E14102" w:rsidRDefault="00D4105E" w:rsidP="00E14102">
      <w:pPr>
        <w:autoSpaceDE w:val="0"/>
        <w:autoSpaceDN w:val="0"/>
        <w:adjustRightInd w:val="0"/>
        <w:jc w:val="both"/>
        <w:rPr>
          <w:iCs/>
          <w:color w:val="000000" w:themeColor="text1"/>
          <w:sz w:val="16"/>
          <w:szCs w:val="16"/>
        </w:rPr>
      </w:pPr>
    </w:p>
    <w:p w14:paraId="7D3566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января 1935 закончились заводские испытания АНТ-40 СБ 2ИС, которые шли с 30 декабря 1934. Достигли скорости 430 км/час на 4000 м (2233,46).</w:t>
      </w:r>
    </w:p>
    <w:p w14:paraId="04A8CC6F" w14:textId="77777777" w:rsidR="00D4105E" w:rsidRPr="00E14102" w:rsidRDefault="00D4105E" w:rsidP="00E14102">
      <w:pPr>
        <w:autoSpaceDE w:val="0"/>
        <w:autoSpaceDN w:val="0"/>
        <w:adjustRightInd w:val="0"/>
        <w:jc w:val="both"/>
        <w:rPr>
          <w:color w:val="000000" w:themeColor="text1"/>
          <w:sz w:val="16"/>
          <w:szCs w:val="16"/>
        </w:rPr>
      </w:pPr>
    </w:p>
    <w:p w14:paraId="5AB772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января 1935 г. закончились заводские испытания СБ-2ИС, которые шли с 30 декаборя 1934. Максимальная скорость на высоте 4000 м достигла 430 км/ч, далеко перекрыв требования задания. Очень хорошей была и скороподъемность.</w:t>
      </w:r>
    </w:p>
    <w:p w14:paraId="4AB815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Военные начали торопить с передачей машины на государственные испытания. Требовали уже к 20 января представить СБ-2ИС в НИН ВВС (7643).</w:t>
      </w:r>
    </w:p>
    <w:p w14:paraId="13213686" w14:textId="77777777" w:rsidR="00D4105E" w:rsidRPr="00E14102" w:rsidRDefault="00D4105E" w:rsidP="00E14102">
      <w:pPr>
        <w:autoSpaceDE w:val="0"/>
        <w:autoSpaceDN w:val="0"/>
        <w:adjustRightInd w:val="0"/>
        <w:jc w:val="both"/>
        <w:rPr>
          <w:color w:val="000000" w:themeColor="text1"/>
          <w:sz w:val="16"/>
          <w:szCs w:val="16"/>
        </w:rPr>
      </w:pPr>
    </w:p>
    <w:p w14:paraId="7C355F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января 1935 Нач. 4 отд. УВС РККА Базенков писал письмо N 40/0697 Врид. Нач. ГУАП Марголину с просьбой срочно сообщить намеченный срок выхода на гос. испытания разведывательного варианта ХАИ М-22 (2336,31).</w:t>
      </w:r>
    </w:p>
    <w:p w14:paraId="268BCA7E" w14:textId="77777777" w:rsidR="00D4105E" w:rsidRPr="00E14102" w:rsidRDefault="00D4105E" w:rsidP="00E14102">
      <w:pPr>
        <w:autoSpaceDE w:val="0"/>
        <w:autoSpaceDN w:val="0"/>
        <w:adjustRightInd w:val="0"/>
        <w:jc w:val="both"/>
        <w:rPr>
          <w:color w:val="000000" w:themeColor="text1"/>
          <w:sz w:val="16"/>
          <w:szCs w:val="16"/>
        </w:rPr>
      </w:pPr>
    </w:p>
    <w:p w14:paraId="5BE3FE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января 1935 г. начальник управления ВВС Алкснис писал письмо N 0127 наркому обороны Ворошилову и зам. наркома обороны Тухачевскому.</w:t>
      </w:r>
    </w:p>
    <w:p w14:paraId="54B096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Доношу, что 21.1.35 г. в 12 ч. 40 м. на Щелковском аэродроме при производстве гос. испытаний пушечного истребителя ИП1-РЦ Р3 производства завода N 153, пилотируемого командиром Отдельного истребительного Отряда Авиабригады НИИ ВС Степанченок произошла поломка самолета. Срыв капота. (2484,4-5).</w:t>
      </w:r>
    </w:p>
    <w:p w14:paraId="159D4B31" w14:textId="77777777" w:rsidR="00D4105E" w:rsidRPr="00E14102" w:rsidRDefault="00D4105E" w:rsidP="00E14102">
      <w:pPr>
        <w:autoSpaceDE w:val="0"/>
        <w:autoSpaceDN w:val="0"/>
        <w:adjustRightInd w:val="0"/>
        <w:jc w:val="both"/>
        <w:rPr>
          <w:color w:val="000000" w:themeColor="text1"/>
          <w:sz w:val="16"/>
          <w:szCs w:val="16"/>
        </w:rPr>
      </w:pPr>
    </w:p>
    <w:p w14:paraId="1D53F87E" w14:textId="77777777" w:rsidR="00B6622C" w:rsidRPr="00E14102" w:rsidRDefault="00B6622C" w:rsidP="00E14102">
      <w:pPr>
        <w:jc w:val="both"/>
        <w:rPr>
          <w:color w:val="0070C0"/>
          <w:sz w:val="16"/>
          <w:szCs w:val="16"/>
        </w:rPr>
      </w:pPr>
      <w:r w:rsidRPr="00E14102">
        <w:rPr>
          <w:color w:val="0070C0"/>
          <w:sz w:val="16"/>
          <w:szCs w:val="16"/>
        </w:rPr>
        <w:t>21 янва</w:t>
      </w:r>
      <w:r w:rsidRPr="00E14102">
        <w:rPr>
          <w:color w:val="0070C0"/>
          <w:sz w:val="16"/>
          <w:szCs w:val="16"/>
        </w:rPr>
        <w:softHyphen/>
        <w:t>ря 1935 на высоте 2000 метров при разгоне до мак</w:t>
      </w:r>
      <w:r w:rsidRPr="00E14102">
        <w:rPr>
          <w:color w:val="0070C0"/>
          <w:sz w:val="16"/>
          <w:szCs w:val="16"/>
        </w:rPr>
        <w:softHyphen/>
        <w:t>симальной скорости на ИП-1РЦФ-3разрушился и частично был сорван левый боковой капот. Самолетом управлял Федрови. Обломками створки была повреждена передняя кромка стабилизатора, опорный профиль капота и пробита обшивка в передней части фюзеляжа. Вынужденная посадка была выполнена на убранные лыжи, при этом погнулся винт самолета. В отчете сказано, что летчик не сумел выпустить шасси, но можно предположить, что он и не собирался этого делать. Аварийного выпуска на ДГ-52 не было, и пилот был вынужден секунд 20-25 управлять самолетом одной левой рукой - правая все это время была занята насосом уборки-выпуска шасси. Не имея полного представления о реальных раз</w:t>
      </w:r>
      <w:r w:rsidRPr="00E14102">
        <w:rPr>
          <w:color w:val="0070C0"/>
          <w:sz w:val="16"/>
          <w:szCs w:val="16"/>
        </w:rPr>
        <w:softHyphen/>
        <w:t>мерах разрушений, Федрови, скорее всего, решил не искушать судьбу, тем более, что в конечном итоге дополнительные поврежде</w:t>
      </w:r>
      <w:r w:rsidRPr="00E14102">
        <w:rPr>
          <w:color w:val="0070C0"/>
          <w:sz w:val="16"/>
          <w:szCs w:val="16"/>
        </w:rPr>
        <w:softHyphen/>
        <w:t>ния оказались минимальными.</w:t>
      </w:r>
    </w:p>
    <w:p w14:paraId="3970AB74" w14:textId="77777777" w:rsidR="00B6622C" w:rsidRPr="00E14102" w:rsidRDefault="00B6622C" w:rsidP="00E14102">
      <w:pPr>
        <w:jc w:val="both"/>
        <w:rPr>
          <w:color w:val="0070C0"/>
          <w:sz w:val="16"/>
          <w:szCs w:val="16"/>
        </w:rPr>
      </w:pPr>
      <w:r w:rsidRPr="00E14102">
        <w:rPr>
          <w:color w:val="0070C0"/>
          <w:sz w:val="16"/>
          <w:szCs w:val="16"/>
        </w:rPr>
        <w:t>Причина аварии крылась в конструкции мотоустановки. Нижние углы задней кромки капота при помощи замка тендерного типа жестко крепилась к переднему лонжерону центроплана. В результате вибрации крыла и тряски моторамы замок в полете разрушился, створка капота освободилась и «улетела» (19933).</w:t>
      </w:r>
    </w:p>
    <w:p w14:paraId="326E5C08" w14:textId="77777777" w:rsidR="00B6622C" w:rsidRPr="00E14102" w:rsidRDefault="00B6622C" w:rsidP="00E14102">
      <w:pPr>
        <w:jc w:val="both"/>
        <w:rPr>
          <w:color w:val="0070C0"/>
          <w:sz w:val="16"/>
          <w:szCs w:val="16"/>
        </w:rPr>
      </w:pPr>
    </w:p>
    <w:p w14:paraId="4E5A64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января 1935 Нач. КБ КАИ Ицкович писал Рапорт Нач. ГУАП Королеву:</w:t>
      </w:r>
    </w:p>
    <w:p w14:paraId="7CC00A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"Сообщаю, что опытный самолет УБП 2М-11 КАИ закончен постройкой и готов к заводским летным испытаниям.</w:t>
      </w:r>
    </w:p>
    <w:p w14:paraId="6E6CFD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согласно в/приказа о порядке испытаний опытных самолетов назначить приемочную комиссию, а также л для ведения заводских испытаний.</w:t>
      </w:r>
    </w:p>
    <w:p w14:paraId="66553D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Начать заводские испытания предполагаем в первых числах февраля." (2343,73).</w:t>
      </w:r>
    </w:p>
    <w:p w14:paraId="6F1581C8" w14:textId="77777777" w:rsidR="00D4105E" w:rsidRPr="00E14102" w:rsidRDefault="00D4105E" w:rsidP="00E14102">
      <w:pPr>
        <w:autoSpaceDE w:val="0"/>
        <w:autoSpaceDN w:val="0"/>
        <w:adjustRightInd w:val="0"/>
        <w:jc w:val="both"/>
        <w:rPr>
          <w:color w:val="000000" w:themeColor="text1"/>
          <w:sz w:val="16"/>
          <w:szCs w:val="16"/>
        </w:rPr>
      </w:pPr>
    </w:p>
    <w:p w14:paraId="2720BB1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DB6F8EA" w14:textId="77777777" w:rsidR="00D4105E" w:rsidRPr="00E14102" w:rsidRDefault="00D4105E" w:rsidP="00E14102">
      <w:pPr>
        <w:autoSpaceDE w:val="0"/>
        <w:autoSpaceDN w:val="0"/>
        <w:adjustRightInd w:val="0"/>
        <w:jc w:val="both"/>
        <w:rPr>
          <w:iCs/>
          <w:color w:val="000000" w:themeColor="text1"/>
          <w:sz w:val="16"/>
          <w:szCs w:val="16"/>
        </w:rPr>
      </w:pPr>
    </w:p>
    <w:p w14:paraId="5F77F762" w14:textId="77777777" w:rsidR="006240D4" w:rsidRPr="00E14102" w:rsidRDefault="006240D4" w:rsidP="00E14102">
      <w:pPr>
        <w:jc w:val="both"/>
        <w:rPr>
          <w:rStyle w:val="a6"/>
          <w:i w:val="0"/>
          <w:color w:val="000000" w:themeColor="text1"/>
          <w:sz w:val="16"/>
          <w:szCs w:val="16"/>
        </w:rPr>
      </w:pPr>
      <w:r w:rsidRPr="00E14102">
        <w:rPr>
          <w:rStyle w:val="a6"/>
          <w:i w:val="0"/>
          <w:color w:val="000000" w:themeColor="text1"/>
          <w:sz w:val="16"/>
          <w:szCs w:val="16"/>
        </w:rPr>
        <w:t xml:space="preserve">21 января 1935 г. </w:t>
      </w:r>
      <w:r w:rsidRPr="00E14102">
        <w:rPr>
          <w:color w:val="000000" w:themeColor="text1"/>
          <w:sz w:val="16"/>
          <w:szCs w:val="16"/>
        </w:rPr>
        <w:t>Справка Сектора обороны Госплана СССР «Выпуск главнейших изделий военной промышленности НКТП за время от VI к VII съезду Советов»</w:t>
      </w:r>
    </w:p>
    <w:p w14:paraId="185A444B" w14:textId="77777777" w:rsidR="006240D4" w:rsidRPr="00E14102" w:rsidRDefault="006240D4" w:rsidP="00E14102">
      <w:pPr>
        <w:jc w:val="both"/>
        <w:rPr>
          <w:color w:val="000000" w:themeColor="text1"/>
          <w:sz w:val="16"/>
          <w:szCs w:val="16"/>
        </w:rPr>
      </w:pPr>
      <w:r w:rsidRPr="00E14102">
        <w:rPr>
          <w:rStyle w:val="a6"/>
          <w:i w:val="0"/>
          <w:color w:val="000000" w:themeColor="text1"/>
          <w:sz w:val="16"/>
          <w:szCs w:val="16"/>
        </w:rPr>
        <w:t>Совершенно секретно.</w:t>
      </w:r>
    </w:p>
    <w:tbl>
      <w:tblPr>
        <w:tblW w:w="5000" w:type="pct"/>
        <w:tblCellSpacing w:w="15" w:type="dxa"/>
        <w:tblCellMar>
          <w:left w:w="0" w:type="dxa"/>
          <w:right w:w="0" w:type="dxa"/>
        </w:tblCellMar>
        <w:tblLook w:val="04A0" w:firstRow="1" w:lastRow="0" w:firstColumn="1" w:lastColumn="0" w:noHBand="0" w:noVBand="1"/>
      </w:tblPr>
      <w:tblGrid>
        <w:gridCol w:w="11339"/>
      </w:tblGrid>
      <w:tr w:rsidR="00E3599D" w:rsidRPr="00E14102" w14:paraId="735AA888" w14:textId="77777777" w:rsidTr="00493FC3">
        <w:trPr>
          <w:tblCellSpacing w:w="15" w:type="dxa"/>
        </w:trPr>
        <w:tc>
          <w:tcPr>
            <w:tcW w:w="0" w:type="auto"/>
            <w:vAlign w:val="center"/>
            <w:hideMark/>
          </w:tcPr>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13"/>
              <w:gridCol w:w="1239"/>
              <w:gridCol w:w="1239"/>
              <w:gridCol w:w="1239"/>
              <w:gridCol w:w="1239"/>
            </w:tblGrid>
            <w:tr w:rsidR="00E3599D" w:rsidRPr="00E14102" w14:paraId="0C3D234C" w14:textId="77777777" w:rsidTr="006240D4">
              <w:trPr>
                <w:tblCellSpacing w:w="0" w:type="dxa"/>
              </w:trPr>
              <w:tc>
                <w:tcPr>
                  <w:tcW w:w="0" w:type="auto"/>
                  <w:vAlign w:val="center"/>
                  <w:hideMark/>
                </w:tcPr>
                <w:p w14:paraId="59FAB4FB" w14:textId="77777777" w:rsidR="006240D4" w:rsidRPr="00E14102" w:rsidRDefault="006240D4" w:rsidP="00E14102">
                  <w:pPr>
                    <w:jc w:val="both"/>
                    <w:rPr>
                      <w:color w:val="000000" w:themeColor="text1"/>
                      <w:sz w:val="16"/>
                      <w:szCs w:val="16"/>
                    </w:rPr>
                  </w:pPr>
                  <w:r w:rsidRPr="00E14102">
                    <w:rPr>
                      <w:color w:val="000000" w:themeColor="text1"/>
                      <w:sz w:val="16"/>
                      <w:szCs w:val="16"/>
                    </w:rPr>
                    <w:t>Наименование главнейших изделий</w:t>
                  </w:r>
                </w:p>
              </w:tc>
              <w:tc>
                <w:tcPr>
                  <w:tcW w:w="0" w:type="auto"/>
                  <w:vAlign w:val="center"/>
                  <w:hideMark/>
                </w:tcPr>
                <w:p w14:paraId="01FDE2D2" w14:textId="77777777" w:rsidR="006240D4" w:rsidRPr="00E14102" w:rsidRDefault="006240D4" w:rsidP="00E14102">
                  <w:pPr>
                    <w:jc w:val="both"/>
                    <w:rPr>
                      <w:color w:val="000000" w:themeColor="text1"/>
                      <w:sz w:val="16"/>
                      <w:szCs w:val="16"/>
                    </w:rPr>
                  </w:pPr>
                  <w:r w:rsidRPr="00E14102">
                    <w:rPr>
                      <w:color w:val="000000" w:themeColor="text1"/>
                      <w:sz w:val="16"/>
                      <w:szCs w:val="16"/>
                    </w:rPr>
                    <w:t>1931 г.</w:t>
                  </w:r>
                </w:p>
              </w:tc>
              <w:tc>
                <w:tcPr>
                  <w:tcW w:w="0" w:type="auto"/>
                  <w:vAlign w:val="center"/>
                  <w:hideMark/>
                </w:tcPr>
                <w:p w14:paraId="03F33968" w14:textId="77777777" w:rsidR="006240D4" w:rsidRPr="00E14102" w:rsidRDefault="006240D4" w:rsidP="00E14102">
                  <w:pPr>
                    <w:jc w:val="both"/>
                    <w:rPr>
                      <w:color w:val="000000" w:themeColor="text1"/>
                      <w:sz w:val="16"/>
                      <w:szCs w:val="16"/>
                    </w:rPr>
                  </w:pPr>
                  <w:r w:rsidRPr="00E14102">
                    <w:rPr>
                      <w:color w:val="000000" w:themeColor="text1"/>
                      <w:sz w:val="16"/>
                      <w:szCs w:val="16"/>
                    </w:rPr>
                    <w:t>1932 г.</w:t>
                  </w:r>
                </w:p>
              </w:tc>
              <w:tc>
                <w:tcPr>
                  <w:tcW w:w="0" w:type="auto"/>
                  <w:vAlign w:val="center"/>
                  <w:hideMark/>
                </w:tcPr>
                <w:p w14:paraId="24EDF738" w14:textId="77777777" w:rsidR="006240D4" w:rsidRPr="00E14102" w:rsidRDefault="006240D4" w:rsidP="00E14102">
                  <w:pPr>
                    <w:jc w:val="both"/>
                    <w:rPr>
                      <w:color w:val="000000" w:themeColor="text1"/>
                      <w:sz w:val="16"/>
                      <w:szCs w:val="16"/>
                    </w:rPr>
                  </w:pPr>
                  <w:r w:rsidRPr="00E14102">
                    <w:rPr>
                      <w:color w:val="000000" w:themeColor="text1"/>
                      <w:sz w:val="16"/>
                      <w:szCs w:val="16"/>
                    </w:rPr>
                    <w:t>1933 г.</w:t>
                  </w:r>
                </w:p>
              </w:tc>
              <w:tc>
                <w:tcPr>
                  <w:tcW w:w="0" w:type="auto"/>
                  <w:vAlign w:val="center"/>
                  <w:hideMark/>
                </w:tcPr>
                <w:p w14:paraId="5831DECC" w14:textId="77777777" w:rsidR="006240D4" w:rsidRPr="00E14102" w:rsidRDefault="006240D4" w:rsidP="00E14102">
                  <w:pPr>
                    <w:jc w:val="both"/>
                    <w:rPr>
                      <w:color w:val="000000" w:themeColor="text1"/>
                      <w:sz w:val="16"/>
                      <w:szCs w:val="16"/>
                    </w:rPr>
                  </w:pPr>
                  <w:r w:rsidRPr="00E14102">
                    <w:rPr>
                      <w:color w:val="000000" w:themeColor="text1"/>
                      <w:sz w:val="16"/>
                      <w:szCs w:val="16"/>
                    </w:rPr>
                    <w:t>1934 г.</w:t>
                  </w:r>
                </w:p>
              </w:tc>
            </w:tr>
            <w:tr w:rsidR="00E3599D" w:rsidRPr="00E14102" w14:paraId="608CB480" w14:textId="77777777" w:rsidTr="006240D4">
              <w:trPr>
                <w:tblCellSpacing w:w="0" w:type="dxa"/>
              </w:trPr>
              <w:tc>
                <w:tcPr>
                  <w:tcW w:w="0" w:type="auto"/>
                  <w:vAlign w:val="center"/>
                  <w:hideMark/>
                </w:tcPr>
                <w:p w14:paraId="207FDB0D" w14:textId="77777777" w:rsidR="006240D4" w:rsidRPr="00E14102" w:rsidRDefault="006240D4" w:rsidP="00E14102">
                  <w:pPr>
                    <w:jc w:val="both"/>
                    <w:rPr>
                      <w:color w:val="000000" w:themeColor="text1"/>
                      <w:sz w:val="16"/>
                      <w:szCs w:val="16"/>
                    </w:rPr>
                  </w:pPr>
                  <w:r w:rsidRPr="00E14102">
                    <w:rPr>
                      <w:color w:val="000000" w:themeColor="text1"/>
                      <w:sz w:val="16"/>
                      <w:szCs w:val="16"/>
                    </w:rPr>
                    <w:t>1. Винтовки (тыс. шт.)</w:t>
                  </w:r>
                </w:p>
                <w:p w14:paraId="64033D4A" w14:textId="77777777" w:rsidR="006240D4" w:rsidRPr="00E14102" w:rsidRDefault="006240D4" w:rsidP="00E14102">
                  <w:pPr>
                    <w:jc w:val="both"/>
                    <w:rPr>
                      <w:color w:val="000000" w:themeColor="text1"/>
                      <w:sz w:val="16"/>
                      <w:szCs w:val="16"/>
                    </w:rPr>
                  </w:pPr>
                  <w:r w:rsidRPr="00E14102">
                    <w:rPr>
                      <w:color w:val="000000" w:themeColor="text1"/>
                      <w:sz w:val="16"/>
                      <w:szCs w:val="16"/>
                    </w:rPr>
                    <w:t>из них автоматические (тыс. шт.)</w:t>
                  </w:r>
                </w:p>
              </w:tc>
              <w:tc>
                <w:tcPr>
                  <w:tcW w:w="0" w:type="auto"/>
                  <w:vAlign w:val="center"/>
                  <w:hideMark/>
                </w:tcPr>
                <w:p w14:paraId="6B53293B" w14:textId="77777777" w:rsidR="006240D4" w:rsidRPr="00E14102" w:rsidRDefault="006240D4" w:rsidP="00E14102">
                  <w:pPr>
                    <w:jc w:val="both"/>
                    <w:rPr>
                      <w:color w:val="000000" w:themeColor="text1"/>
                      <w:sz w:val="16"/>
                      <w:szCs w:val="16"/>
                    </w:rPr>
                  </w:pPr>
                  <w:r w:rsidRPr="00E14102">
                    <w:rPr>
                      <w:color w:val="000000" w:themeColor="text1"/>
                      <w:sz w:val="16"/>
                      <w:szCs w:val="16"/>
                    </w:rPr>
                    <w:t>184,4</w:t>
                  </w:r>
                </w:p>
                <w:p w14:paraId="7061A51B" w14:textId="77777777" w:rsidR="006240D4" w:rsidRPr="00E14102" w:rsidRDefault="006240D4" w:rsidP="00E14102">
                  <w:pPr>
                    <w:jc w:val="both"/>
                    <w:rPr>
                      <w:color w:val="000000" w:themeColor="text1"/>
                      <w:sz w:val="16"/>
                      <w:szCs w:val="16"/>
                    </w:rPr>
                  </w:pPr>
                  <w:r w:rsidRPr="00E14102">
                    <w:rPr>
                      <w:color w:val="000000" w:themeColor="text1"/>
                      <w:sz w:val="16"/>
                      <w:szCs w:val="16"/>
                    </w:rPr>
                    <w:t>—</w:t>
                  </w:r>
                </w:p>
              </w:tc>
              <w:tc>
                <w:tcPr>
                  <w:tcW w:w="0" w:type="auto"/>
                  <w:vAlign w:val="center"/>
                  <w:hideMark/>
                </w:tcPr>
                <w:p w14:paraId="6D07F391" w14:textId="77777777" w:rsidR="006240D4" w:rsidRPr="00E14102" w:rsidRDefault="006240D4" w:rsidP="00E14102">
                  <w:pPr>
                    <w:jc w:val="both"/>
                    <w:rPr>
                      <w:color w:val="000000" w:themeColor="text1"/>
                      <w:sz w:val="16"/>
                      <w:szCs w:val="16"/>
                    </w:rPr>
                  </w:pPr>
                  <w:r w:rsidRPr="00E14102">
                    <w:rPr>
                      <w:color w:val="000000" w:themeColor="text1"/>
                      <w:sz w:val="16"/>
                      <w:szCs w:val="16"/>
                    </w:rPr>
                    <w:t>286,1</w:t>
                  </w:r>
                </w:p>
                <w:p w14:paraId="6517FE21" w14:textId="77777777" w:rsidR="006240D4" w:rsidRPr="00E14102" w:rsidRDefault="006240D4" w:rsidP="00E14102">
                  <w:pPr>
                    <w:jc w:val="both"/>
                    <w:rPr>
                      <w:color w:val="000000" w:themeColor="text1"/>
                      <w:sz w:val="16"/>
                      <w:szCs w:val="16"/>
                    </w:rPr>
                  </w:pPr>
                  <w:r w:rsidRPr="00E14102">
                    <w:rPr>
                      <w:color w:val="000000" w:themeColor="text1"/>
                      <w:sz w:val="16"/>
                      <w:szCs w:val="16"/>
                    </w:rPr>
                    <w:t>—</w:t>
                  </w:r>
                </w:p>
              </w:tc>
              <w:tc>
                <w:tcPr>
                  <w:tcW w:w="0" w:type="auto"/>
                  <w:vAlign w:val="center"/>
                  <w:hideMark/>
                </w:tcPr>
                <w:p w14:paraId="647D2CF3" w14:textId="77777777" w:rsidR="006240D4" w:rsidRPr="00E14102" w:rsidRDefault="006240D4" w:rsidP="00E14102">
                  <w:pPr>
                    <w:jc w:val="both"/>
                    <w:rPr>
                      <w:color w:val="000000" w:themeColor="text1"/>
                      <w:sz w:val="16"/>
                      <w:szCs w:val="16"/>
                    </w:rPr>
                  </w:pPr>
                  <w:r w:rsidRPr="00E14102">
                    <w:rPr>
                      <w:color w:val="000000" w:themeColor="text1"/>
                      <w:sz w:val="16"/>
                      <w:szCs w:val="16"/>
                    </w:rPr>
                    <w:t>241,0</w:t>
                  </w:r>
                </w:p>
                <w:p w14:paraId="313254DF" w14:textId="77777777" w:rsidR="006240D4" w:rsidRPr="00E14102" w:rsidRDefault="006240D4" w:rsidP="00E14102">
                  <w:pPr>
                    <w:jc w:val="both"/>
                    <w:rPr>
                      <w:color w:val="000000" w:themeColor="text1"/>
                      <w:sz w:val="16"/>
                      <w:szCs w:val="16"/>
                    </w:rPr>
                  </w:pPr>
                  <w:r w:rsidRPr="00E14102">
                    <w:rPr>
                      <w:color w:val="000000" w:themeColor="text1"/>
                      <w:sz w:val="16"/>
                      <w:szCs w:val="16"/>
                    </w:rPr>
                    <w:t>—</w:t>
                  </w:r>
                </w:p>
              </w:tc>
              <w:tc>
                <w:tcPr>
                  <w:tcW w:w="0" w:type="auto"/>
                  <w:vAlign w:val="center"/>
                  <w:hideMark/>
                </w:tcPr>
                <w:p w14:paraId="72EECCBF" w14:textId="77777777" w:rsidR="006240D4" w:rsidRPr="00E14102" w:rsidRDefault="006240D4" w:rsidP="00E14102">
                  <w:pPr>
                    <w:jc w:val="both"/>
                    <w:rPr>
                      <w:color w:val="000000" w:themeColor="text1"/>
                      <w:sz w:val="16"/>
                      <w:szCs w:val="16"/>
                    </w:rPr>
                  </w:pPr>
                  <w:r w:rsidRPr="00E14102">
                    <w:rPr>
                      <w:color w:val="000000" w:themeColor="text1"/>
                      <w:sz w:val="16"/>
                      <w:szCs w:val="16"/>
                    </w:rPr>
                    <w:t>319,6</w:t>
                  </w:r>
                </w:p>
                <w:p w14:paraId="4E319E24" w14:textId="77777777" w:rsidR="006240D4" w:rsidRPr="00E14102" w:rsidRDefault="006240D4" w:rsidP="00E14102">
                  <w:pPr>
                    <w:jc w:val="both"/>
                    <w:rPr>
                      <w:color w:val="000000" w:themeColor="text1"/>
                      <w:sz w:val="16"/>
                      <w:szCs w:val="16"/>
                    </w:rPr>
                  </w:pPr>
                  <w:r w:rsidRPr="00E14102">
                    <w:rPr>
                      <w:color w:val="000000" w:themeColor="text1"/>
                      <w:sz w:val="16"/>
                      <w:szCs w:val="16"/>
                    </w:rPr>
                    <w:t>0,7</w:t>
                  </w:r>
                </w:p>
              </w:tc>
            </w:tr>
            <w:tr w:rsidR="00E3599D" w:rsidRPr="00E14102" w14:paraId="52813352" w14:textId="77777777" w:rsidTr="006240D4">
              <w:trPr>
                <w:tblCellSpacing w:w="0" w:type="dxa"/>
              </w:trPr>
              <w:tc>
                <w:tcPr>
                  <w:tcW w:w="0" w:type="auto"/>
                  <w:vAlign w:val="center"/>
                  <w:hideMark/>
                </w:tcPr>
                <w:p w14:paraId="10F58225" w14:textId="77777777" w:rsidR="006240D4" w:rsidRPr="00E14102" w:rsidRDefault="006240D4" w:rsidP="00E14102">
                  <w:pPr>
                    <w:jc w:val="both"/>
                    <w:rPr>
                      <w:color w:val="000000" w:themeColor="text1"/>
                      <w:sz w:val="16"/>
                      <w:szCs w:val="16"/>
                    </w:rPr>
                  </w:pPr>
                  <w:r w:rsidRPr="00E14102">
                    <w:rPr>
                      <w:color w:val="000000" w:themeColor="text1"/>
                      <w:sz w:val="16"/>
                      <w:szCs w:val="16"/>
                    </w:rPr>
                    <w:t>2. Пулеметы «Максим» (тыс. шт.)</w:t>
                  </w:r>
                </w:p>
              </w:tc>
              <w:tc>
                <w:tcPr>
                  <w:tcW w:w="0" w:type="auto"/>
                  <w:vAlign w:val="center"/>
                  <w:hideMark/>
                </w:tcPr>
                <w:p w14:paraId="358E91A5" w14:textId="77777777" w:rsidR="006240D4" w:rsidRPr="00E14102" w:rsidRDefault="006240D4" w:rsidP="00E14102">
                  <w:pPr>
                    <w:jc w:val="both"/>
                    <w:rPr>
                      <w:color w:val="000000" w:themeColor="text1"/>
                      <w:sz w:val="16"/>
                      <w:szCs w:val="16"/>
                    </w:rPr>
                  </w:pPr>
                  <w:r w:rsidRPr="00E14102">
                    <w:rPr>
                      <w:color w:val="000000" w:themeColor="text1"/>
                      <w:sz w:val="16"/>
                      <w:szCs w:val="16"/>
                    </w:rPr>
                    <w:t>9,4</w:t>
                  </w:r>
                </w:p>
              </w:tc>
              <w:tc>
                <w:tcPr>
                  <w:tcW w:w="0" w:type="auto"/>
                  <w:vAlign w:val="center"/>
                  <w:hideMark/>
                </w:tcPr>
                <w:p w14:paraId="3976365E" w14:textId="77777777" w:rsidR="006240D4" w:rsidRPr="00E14102" w:rsidRDefault="006240D4" w:rsidP="00E14102">
                  <w:pPr>
                    <w:jc w:val="both"/>
                    <w:rPr>
                      <w:color w:val="000000" w:themeColor="text1"/>
                      <w:sz w:val="16"/>
                      <w:szCs w:val="16"/>
                    </w:rPr>
                  </w:pPr>
                  <w:r w:rsidRPr="00E14102">
                    <w:rPr>
                      <w:color w:val="000000" w:themeColor="text1"/>
                      <w:sz w:val="16"/>
                      <w:szCs w:val="16"/>
                    </w:rPr>
                    <w:t>16,4</w:t>
                  </w:r>
                </w:p>
              </w:tc>
              <w:tc>
                <w:tcPr>
                  <w:tcW w:w="0" w:type="auto"/>
                  <w:vAlign w:val="center"/>
                  <w:hideMark/>
                </w:tcPr>
                <w:p w14:paraId="07107C4F" w14:textId="77777777" w:rsidR="006240D4" w:rsidRPr="00E14102" w:rsidRDefault="006240D4" w:rsidP="00E14102">
                  <w:pPr>
                    <w:jc w:val="both"/>
                    <w:rPr>
                      <w:color w:val="000000" w:themeColor="text1"/>
                      <w:sz w:val="16"/>
                      <w:szCs w:val="16"/>
                    </w:rPr>
                  </w:pPr>
                  <w:r w:rsidRPr="00E14102">
                    <w:rPr>
                      <w:color w:val="000000" w:themeColor="text1"/>
                      <w:sz w:val="16"/>
                      <w:szCs w:val="16"/>
                    </w:rPr>
                    <w:t>8,7</w:t>
                  </w:r>
                </w:p>
              </w:tc>
              <w:tc>
                <w:tcPr>
                  <w:tcW w:w="0" w:type="auto"/>
                  <w:vAlign w:val="center"/>
                  <w:hideMark/>
                </w:tcPr>
                <w:p w14:paraId="1E7D931B" w14:textId="77777777" w:rsidR="006240D4" w:rsidRPr="00E14102" w:rsidRDefault="006240D4" w:rsidP="00E14102">
                  <w:pPr>
                    <w:jc w:val="both"/>
                    <w:rPr>
                      <w:color w:val="000000" w:themeColor="text1"/>
                      <w:sz w:val="16"/>
                      <w:szCs w:val="16"/>
                    </w:rPr>
                  </w:pPr>
                  <w:r w:rsidRPr="00E14102">
                    <w:rPr>
                      <w:color w:val="000000" w:themeColor="text1"/>
                      <w:sz w:val="16"/>
                      <w:szCs w:val="16"/>
                    </w:rPr>
                    <w:t>4,5</w:t>
                  </w:r>
                </w:p>
              </w:tc>
            </w:tr>
            <w:tr w:rsidR="00E3599D" w:rsidRPr="00E14102" w14:paraId="6192B040" w14:textId="77777777" w:rsidTr="006240D4">
              <w:trPr>
                <w:tblCellSpacing w:w="0" w:type="dxa"/>
              </w:trPr>
              <w:tc>
                <w:tcPr>
                  <w:tcW w:w="0" w:type="auto"/>
                  <w:vAlign w:val="center"/>
                  <w:hideMark/>
                </w:tcPr>
                <w:p w14:paraId="419AB9B0" w14:textId="77777777" w:rsidR="006240D4" w:rsidRPr="00E14102" w:rsidRDefault="006240D4" w:rsidP="00E14102">
                  <w:pPr>
                    <w:jc w:val="both"/>
                    <w:rPr>
                      <w:color w:val="000000" w:themeColor="text1"/>
                      <w:sz w:val="16"/>
                      <w:szCs w:val="16"/>
                    </w:rPr>
                  </w:pPr>
                  <w:r w:rsidRPr="00E14102">
                    <w:rPr>
                      <w:color w:val="000000" w:themeColor="text1"/>
                      <w:sz w:val="16"/>
                      <w:szCs w:val="16"/>
                    </w:rPr>
                    <w:t>3. Пулеметы прочие (тыс. шт.)</w:t>
                  </w:r>
                </w:p>
              </w:tc>
              <w:tc>
                <w:tcPr>
                  <w:tcW w:w="0" w:type="auto"/>
                  <w:vAlign w:val="center"/>
                  <w:hideMark/>
                </w:tcPr>
                <w:p w14:paraId="67D27A2A" w14:textId="77777777" w:rsidR="006240D4" w:rsidRPr="00E14102" w:rsidRDefault="006240D4" w:rsidP="00E14102">
                  <w:pPr>
                    <w:jc w:val="both"/>
                    <w:rPr>
                      <w:color w:val="000000" w:themeColor="text1"/>
                      <w:sz w:val="16"/>
                      <w:szCs w:val="16"/>
                    </w:rPr>
                  </w:pPr>
                  <w:r w:rsidRPr="00E14102">
                    <w:rPr>
                      <w:color w:val="000000" w:themeColor="text1"/>
                      <w:sz w:val="16"/>
                      <w:szCs w:val="16"/>
                    </w:rPr>
                    <w:t>39,3</w:t>
                  </w:r>
                </w:p>
              </w:tc>
              <w:tc>
                <w:tcPr>
                  <w:tcW w:w="0" w:type="auto"/>
                  <w:vAlign w:val="center"/>
                  <w:hideMark/>
                </w:tcPr>
                <w:p w14:paraId="10A5864F" w14:textId="77777777" w:rsidR="006240D4" w:rsidRPr="00E14102" w:rsidRDefault="006240D4" w:rsidP="00E14102">
                  <w:pPr>
                    <w:jc w:val="both"/>
                    <w:rPr>
                      <w:color w:val="000000" w:themeColor="text1"/>
                      <w:sz w:val="16"/>
                      <w:szCs w:val="16"/>
                    </w:rPr>
                  </w:pPr>
                  <w:r w:rsidRPr="00E14102">
                    <w:rPr>
                      <w:color w:val="000000" w:themeColor="text1"/>
                      <w:sz w:val="16"/>
                      <w:szCs w:val="16"/>
                    </w:rPr>
                    <w:t>52,5</w:t>
                  </w:r>
                </w:p>
              </w:tc>
              <w:tc>
                <w:tcPr>
                  <w:tcW w:w="0" w:type="auto"/>
                  <w:vAlign w:val="center"/>
                  <w:hideMark/>
                </w:tcPr>
                <w:p w14:paraId="391E5180" w14:textId="77777777" w:rsidR="006240D4" w:rsidRPr="00E14102" w:rsidRDefault="006240D4" w:rsidP="00E14102">
                  <w:pPr>
                    <w:jc w:val="both"/>
                    <w:rPr>
                      <w:color w:val="000000" w:themeColor="text1"/>
                      <w:sz w:val="16"/>
                      <w:szCs w:val="16"/>
                    </w:rPr>
                  </w:pPr>
                  <w:r w:rsidRPr="00E14102">
                    <w:rPr>
                      <w:color w:val="000000" w:themeColor="text1"/>
                      <w:sz w:val="16"/>
                      <w:szCs w:val="16"/>
                    </w:rPr>
                    <w:t>24,0</w:t>
                  </w:r>
                </w:p>
              </w:tc>
              <w:tc>
                <w:tcPr>
                  <w:tcW w:w="0" w:type="auto"/>
                  <w:vAlign w:val="center"/>
                  <w:hideMark/>
                </w:tcPr>
                <w:p w14:paraId="5B297C4E" w14:textId="77777777" w:rsidR="006240D4" w:rsidRPr="00E14102" w:rsidRDefault="006240D4" w:rsidP="00E14102">
                  <w:pPr>
                    <w:jc w:val="both"/>
                    <w:rPr>
                      <w:color w:val="000000" w:themeColor="text1"/>
                      <w:sz w:val="16"/>
                      <w:szCs w:val="16"/>
                    </w:rPr>
                  </w:pPr>
                  <w:r w:rsidRPr="00E14102">
                    <w:rPr>
                      <w:color w:val="000000" w:themeColor="text1"/>
                      <w:sz w:val="16"/>
                      <w:szCs w:val="16"/>
                    </w:rPr>
                    <w:t>25,0</w:t>
                  </w:r>
                </w:p>
              </w:tc>
            </w:tr>
            <w:tr w:rsidR="00E3599D" w:rsidRPr="00E14102" w14:paraId="7EBE7863" w14:textId="77777777" w:rsidTr="006240D4">
              <w:trPr>
                <w:tblCellSpacing w:w="0" w:type="dxa"/>
              </w:trPr>
              <w:tc>
                <w:tcPr>
                  <w:tcW w:w="0" w:type="auto"/>
                  <w:vAlign w:val="center"/>
                  <w:hideMark/>
                </w:tcPr>
                <w:p w14:paraId="53806103" w14:textId="77777777" w:rsidR="006240D4" w:rsidRPr="00E14102" w:rsidRDefault="006240D4" w:rsidP="00E14102">
                  <w:pPr>
                    <w:jc w:val="both"/>
                    <w:rPr>
                      <w:color w:val="000000" w:themeColor="text1"/>
                      <w:sz w:val="16"/>
                      <w:szCs w:val="16"/>
                    </w:rPr>
                  </w:pPr>
                  <w:r w:rsidRPr="00E14102">
                    <w:rPr>
                      <w:color w:val="000000" w:themeColor="text1"/>
                      <w:sz w:val="16"/>
                      <w:szCs w:val="16"/>
                    </w:rPr>
                    <w:t>4. Винтпатроны (млн. шт.)</w:t>
                  </w:r>
                </w:p>
              </w:tc>
              <w:tc>
                <w:tcPr>
                  <w:tcW w:w="0" w:type="auto"/>
                  <w:vAlign w:val="center"/>
                  <w:hideMark/>
                </w:tcPr>
                <w:p w14:paraId="7F16A127" w14:textId="77777777" w:rsidR="006240D4" w:rsidRPr="00E14102" w:rsidRDefault="006240D4" w:rsidP="00E14102">
                  <w:pPr>
                    <w:jc w:val="both"/>
                    <w:rPr>
                      <w:color w:val="000000" w:themeColor="text1"/>
                      <w:sz w:val="16"/>
                      <w:szCs w:val="16"/>
                    </w:rPr>
                  </w:pPr>
                  <w:r w:rsidRPr="00E14102">
                    <w:rPr>
                      <w:color w:val="000000" w:themeColor="text1"/>
                      <w:sz w:val="16"/>
                      <w:szCs w:val="16"/>
                    </w:rPr>
                    <w:t>272,1</w:t>
                  </w:r>
                </w:p>
              </w:tc>
              <w:tc>
                <w:tcPr>
                  <w:tcW w:w="0" w:type="auto"/>
                  <w:vAlign w:val="center"/>
                  <w:hideMark/>
                </w:tcPr>
                <w:p w14:paraId="2231590B" w14:textId="77777777" w:rsidR="006240D4" w:rsidRPr="00E14102" w:rsidRDefault="006240D4" w:rsidP="00E14102">
                  <w:pPr>
                    <w:jc w:val="both"/>
                    <w:rPr>
                      <w:color w:val="000000" w:themeColor="text1"/>
                      <w:sz w:val="16"/>
                      <w:szCs w:val="16"/>
                    </w:rPr>
                  </w:pPr>
                  <w:r w:rsidRPr="00E14102">
                    <w:rPr>
                      <w:color w:val="000000" w:themeColor="text1"/>
                      <w:sz w:val="16"/>
                      <w:szCs w:val="16"/>
                    </w:rPr>
                    <w:t>369,0</w:t>
                  </w:r>
                </w:p>
              </w:tc>
              <w:tc>
                <w:tcPr>
                  <w:tcW w:w="0" w:type="auto"/>
                  <w:vAlign w:val="center"/>
                  <w:hideMark/>
                </w:tcPr>
                <w:p w14:paraId="5A31C8D8" w14:textId="77777777" w:rsidR="006240D4" w:rsidRPr="00E14102" w:rsidRDefault="006240D4" w:rsidP="00E14102">
                  <w:pPr>
                    <w:jc w:val="both"/>
                    <w:rPr>
                      <w:color w:val="000000" w:themeColor="text1"/>
                      <w:sz w:val="16"/>
                      <w:szCs w:val="16"/>
                    </w:rPr>
                  </w:pPr>
                  <w:r w:rsidRPr="00E14102">
                    <w:rPr>
                      <w:color w:val="000000" w:themeColor="text1"/>
                      <w:sz w:val="16"/>
                      <w:szCs w:val="16"/>
                    </w:rPr>
                    <w:t>312,0</w:t>
                  </w:r>
                </w:p>
              </w:tc>
              <w:tc>
                <w:tcPr>
                  <w:tcW w:w="0" w:type="auto"/>
                  <w:vAlign w:val="center"/>
                  <w:hideMark/>
                </w:tcPr>
                <w:p w14:paraId="42F2FC1B" w14:textId="77777777" w:rsidR="006240D4" w:rsidRPr="00E14102" w:rsidRDefault="006240D4" w:rsidP="00E14102">
                  <w:pPr>
                    <w:jc w:val="both"/>
                    <w:rPr>
                      <w:color w:val="000000" w:themeColor="text1"/>
                      <w:sz w:val="16"/>
                      <w:szCs w:val="16"/>
                    </w:rPr>
                  </w:pPr>
                  <w:r w:rsidRPr="00E14102">
                    <w:rPr>
                      <w:color w:val="000000" w:themeColor="text1"/>
                      <w:sz w:val="16"/>
                      <w:szCs w:val="16"/>
                    </w:rPr>
                    <w:t>285,5</w:t>
                  </w:r>
                </w:p>
              </w:tc>
            </w:tr>
            <w:tr w:rsidR="00E3599D" w:rsidRPr="00E14102" w14:paraId="6498DF8F" w14:textId="77777777" w:rsidTr="006240D4">
              <w:trPr>
                <w:tblCellSpacing w:w="0" w:type="dxa"/>
              </w:trPr>
              <w:tc>
                <w:tcPr>
                  <w:tcW w:w="0" w:type="auto"/>
                  <w:vAlign w:val="center"/>
                  <w:hideMark/>
                </w:tcPr>
                <w:p w14:paraId="6C1D7356" w14:textId="77777777" w:rsidR="006240D4" w:rsidRPr="00E14102" w:rsidRDefault="006240D4" w:rsidP="00E14102">
                  <w:pPr>
                    <w:jc w:val="both"/>
                    <w:rPr>
                      <w:color w:val="000000" w:themeColor="text1"/>
                      <w:sz w:val="16"/>
                      <w:szCs w:val="16"/>
                    </w:rPr>
                  </w:pPr>
                  <w:r w:rsidRPr="00E14102">
                    <w:rPr>
                      <w:color w:val="000000" w:themeColor="text1"/>
                      <w:sz w:val="16"/>
                      <w:szCs w:val="16"/>
                    </w:rPr>
                    <w:t>5. Снаряды (тыс. шт.)</w:t>
                  </w:r>
                </w:p>
              </w:tc>
              <w:tc>
                <w:tcPr>
                  <w:tcW w:w="0" w:type="auto"/>
                  <w:vAlign w:val="center"/>
                  <w:hideMark/>
                </w:tcPr>
                <w:p w14:paraId="40DE905F" w14:textId="77777777" w:rsidR="006240D4" w:rsidRPr="00E14102" w:rsidRDefault="006240D4" w:rsidP="00E14102">
                  <w:pPr>
                    <w:jc w:val="both"/>
                    <w:rPr>
                      <w:color w:val="000000" w:themeColor="text1"/>
                      <w:sz w:val="16"/>
                      <w:szCs w:val="16"/>
                    </w:rPr>
                  </w:pPr>
                  <w:r w:rsidRPr="00E14102">
                    <w:rPr>
                      <w:color w:val="000000" w:themeColor="text1"/>
                      <w:sz w:val="16"/>
                      <w:szCs w:val="16"/>
                    </w:rPr>
                    <w:t>516,0</w:t>
                  </w:r>
                </w:p>
              </w:tc>
              <w:tc>
                <w:tcPr>
                  <w:tcW w:w="0" w:type="auto"/>
                  <w:vAlign w:val="center"/>
                  <w:hideMark/>
                </w:tcPr>
                <w:p w14:paraId="3555562B" w14:textId="77777777" w:rsidR="006240D4" w:rsidRPr="00E14102" w:rsidRDefault="006240D4" w:rsidP="00E14102">
                  <w:pPr>
                    <w:jc w:val="both"/>
                    <w:rPr>
                      <w:color w:val="000000" w:themeColor="text1"/>
                      <w:sz w:val="16"/>
                      <w:szCs w:val="16"/>
                    </w:rPr>
                  </w:pPr>
                  <w:r w:rsidRPr="00E14102">
                    <w:rPr>
                      <w:color w:val="000000" w:themeColor="text1"/>
                      <w:sz w:val="16"/>
                      <w:szCs w:val="16"/>
                    </w:rPr>
                    <w:t>994,7</w:t>
                  </w:r>
                </w:p>
              </w:tc>
              <w:tc>
                <w:tcPr>
                  <w:tcW w:w="0" w:type="auto"/>
                  <w:vAlign w:val="center"/>
                  <w:hideMark/>
                </w:tcPr>
                <w:p w14:paraId="25D7784E" w14:textId="77777777" w:rsidR="006240D4" w:rsidRPr="00E14102" w:rsidRDefault="006240D4" w:rsidP="00E14102">
                  <w:pPr>
                    <w:jc w:val="both"/>
                    <w:rPr>
                      <w:color w:val="000000" w:themeColor="text1"/>
                      <w:sz w:val="16"/>
                      <w:szCs w:val="16"/>
                    </w:rPr>
                  </w:pPr>
                  <w:r w:rsidRPr="00E14102">
                    <w:rPr>
                      <w:color w:val="000000" w:themeColor="text1"/>
                      <w:sz w:val="16"/>
                      <w:szCs w:val="16"/>
                    </w:rPr>
                    <w:t>1174,5</w:t>
                  </w:r>
                </w:p>
              </w:tc>
              <w:tc>
                <w:tcPr>
                  <w:tcW w:w="0" w:type="auto"/>
                  <w:vAlign w:val="center"/>
                  <w:hideMark/>
                </w:tcPr>
                <w:p w14:paraId="562F0327" w14:textId="77777777" w:rsidR="006240D4" w:rsidRPr="00E14102" w:rsidRDefault="006240D4" w:rsidP="00E14102">
                  <w:pPr>
                    <w:jc w:val="both"/>
                    <w:rPr>
                      <w:color w:val="000000" w:themeColor="text1"/>
                      <w:sz w:val="16"/>
                      <w:szCs w:val="16"/>
                    </w:rPr>
                  </w:pPr>
                  <w:r w:rsidRPr="00E14102">
                    <w:rPr>
                      <w:color w:val="000000" w:themeColor="text1"/>
                      <w:sz w:val="16"/>
                      <w:szCs w:val="16"/>
                    </w:rPr>
                    <w:t>2200,0</w:t>
                  </w:r>
                </w:p>
              </w:tc>
            </w:tr>
            <w:tr w:rsidR="00E3599D" w:rsidRPr="00E14102" w14:paraId="5F8037EE" w14:textId="77777777" w:rsidTr="006240D4">
              <w:trPr>
                <w:tblCellSpacing w:w="0" w:type="dxa"/>
              </w:trPr>
              <w:tc>
                <w:tcPr>
                  <w:tcW w:w="0" w:type="auto"/>
                  <w:vAlign w:val="center"/>
                  <w:hideMark/>
                </w:tcPr>
                <w:p w14:paraId="57C55C78" w14:textId="77777777" w:rsidR="006240D4" w:rsidRPr="00E14102" w:rsidRDefault="006240D4" w:rsidP="00E14102">
                  <w:pPr>
                    <w:jc w:val="both"/>
                    <w:rPr>
                      <w:color w:val="000000" w:themeColor="text1"/>
                      <w:sz w:val="16"/>
                      <w:szCs w:val="16"/>
                    </w:rPr>
                  </w:pPr>
                  <w:r w:rsidRPr="00E14102">
                    <w:rPr>
                      <w:color w:val="000000" w:themeColor="text1"/>
                      <w:sz w:val="16"/>
                      <w:szCs w:val="16"/>
                    </w:rPr>
                    <w:t>6. Орудия (шт.)</w:t>
                  </w:r>
                </w:p>
              </w:tc>
              <w:tc>
                <w:tcPr>
                  <w:tcW w:w="0" w:type="auto"/>
                  <w:vAlign w:val="center"/>
                  <w:hideMark/>
                </w:tcPr>
                <w:p w14:paraId="49795A89" w14:textId="77777777" w:rsidR="006240D4" w:rsidRPr="00E14102" w:rsidRDefault="006240D4" w:rsidP="00E14102">
                  <w:pPr>
                    <w:jc w:val="both"/>
                    <w:rPr>
                      <w:color w:val="000000" w:themeColor="text1"/>
                      <w:sz w:val="16"/>
                      <w:szCs w:val="16"/>
                    </w:rPr>
                  </w:pPr>
                  <w:r w:rsidRPr="00E14102">
                    <w:rPr>
                      <w:color w:val="000000" w:themeColor="text1"/>
                      <w:sz w:val="16"/>
                      <w:szCs w:val="16"/>
                    </w:rPr>
                    <w:t>1823</w:t>
                  </w:r>
                </w:p>
              </w:tc>
              <w:tc>
                <w:tcPr>
                  <w:tcW w:w="0" w:type="auto"/>
                  <w:vAlign w:val="center"/>
                  <w:hideMark/>
                </w:tcPr>
                <w:p w14:paraId="4F9305AC" w14:textId="77777777" w:rsidR="006240D4" w:rsidRPr="00E14102" w:rsidRDefault="006240D4" w:rsidP="00E14102">
                  <w:pPr>
                    <w:jc w:val="both"/>
                    <w:rPr>
                      <w:color w:val="000000" w:themeColor="text1"/>
                      <w:sz w:val="16"/>
                      <w:szCs w:val="16"/>
                    </w:rPr>
                  </w:pPr>
                  <w:r w:rsidRPr="00E14102">
                    <w:rPr>
                      <w:color w:val="000000" w:themeColor="text1"/>
                      <w:sz w:val="16"/>
                      <w:szCs w:val="16"/>
                    </w:rPr>
                    <w:t>2046</w:t>
                  </w:r>
                </w:p>
              </w:tc>
              <w:tc>
                <w:tcPr>
                  <w:tcW w:w="0" w:type="auto"/>
                  <w:vAlign w:val="center"/>
                  <w:hideMark/>
                </w:tcPr>
                <w:p w14:paraId="564D7166" w14:textId="77777777" w:rsidR="006240D4" w:rsidRPr="00E14102" w:rsidRDefault="006240D4" w:rsidP="00E14102">
                  <w:pPr>
                    <w:jc w:val="both"/>
                    <w:rPr>
                      <w:color w:val="000000" w:themeColor="text1"/>
                      <w:sz w:val="16"/>
                      <w:szCs w:val="16"/>
                    </w:rPr>
                  </w:pPr>
                  <w:r w:rsidRPr="00E14102">
                    <w:rPr>
                      <w:color w:val="000000" w:themeColor="text1"/>
                      <w:sz w:val="16"/>
                      <w:szCs w:val="16"/>
                    </w:rPr>
                    <w:t>1797</w:t>
                  </w:r>
                </w:p>
              </w:tc>
              <w:tc>
                <w:tcPr>
                  <w:tcW w:w="0" w:type="auto"/>
                  <w:vAlign w:val="center"/>
                  <w:hideMark/>
                </w:tcPr>
                <w:p w14:paraId="74042EB1" w14:textId="77777777" w:rsidR="006240D4" w:rsidRPr="00E14102" w:rsidRDefault="006240D4" w:rsidP="00E14102">
                  <w:pPr>
                    <w:jc w:val="both"/>
                    <w:rPr>
                      <w:color w:val="000000" w:themeColor="text1"/>
                      <w:sz w:val="16"/>
                      <w:szCs w:val="16"/>
                    </w:rPr>
                  </w:pPr>
                  <w:r w:rsidRPr="00E14102">
                    <w:rPr>
                      <w:color w:val="000000" w:themeColor="text1"/>
                      <w:sz w:val="16"/>
                      <w:szCs w:val="16"/>
                    </w:rPr>
                    <w:t>5164</w:t>
                  </w:r>
                </w:p>
              </w:tc>
            </w:tr>
            <w:tr w:rsidR="00E3599D" w:rsidRPr="00E14102" w14:paraId="28617D3C" w14:textId="77777777" w:rsidTr="006240D4">
              <w:trPr>
                <w:tblCellSpacing w:w="0" w:type="dxa"/>
              </w:trPr>
              <w:tc>
                <w:tcPr>
                  <w:tcW w:w="0" w:type="auto"/>
                  <w:vAlign w:val="center"/>
                  <w:hideMark/>
                </w:tcPr>
                <w:p w14:paraId="54EE9A93" w14:textId="77777777" w:rsidR="006240D4" w:rsidRPr="00E14102" w:rsidRDefault="006240D4" w:rsidP="00E14102">
                  <w:pPr>
                    <w:jc w:val="both"/>
                    <w:rPr>
                      <w:color w:val="000000" w:themeColor="text1"/>
                      <w:sz w:val="16"/>
                      <w:szCs w:val="16"/>
                    </w:rPr>
                  </w:pPr>
                  <w:r w:rsidRPr="00E14102">
                    <w:rPr>
                      <w:color w:val="000000" w:themeColor="text1"/>
                      <w:sz w:val="16"/>
                      <w:szCs w:val="16"/>
                    </w:rPr>
                    <w:t>7. Танки (шт.)</w:t>
                  </w:r>
                </w:p>
              </w:tc>
              <w:tc>
                <w:tcPr>
                  <w:tcW w:w="0" w:type="auto"/>
                  <w:vAlign w:val="center"/>
                  <w:hideMark/>
                </w:tcPr>
                <w:p w14:paraId="60ACCF91" w14:textId="77777777" w:rsidR="006240D4" w:rsidRPr="00E14102" w:rsidRDefault="006240D4" w:rsidP="00E14102">
                  <w:pPr>
                    <w:jc w:val="both"/>
                    <w:rPr>
                      <w:color w:val="000000" w:themeColor="text1"/>
                      <w:sz w:val="16"/>
                      <w:szCs w:val="16"/>
                    </w:rPr>
                  </w:pPr>
                  <w:r w:rsidRPr="00E14102">
                    <w:rPr>
                      <w:color w:val="000000" w:themeColor="text1"/>
                      <w:sz w:val="16"/>
                      <w:szCs w:val="16"/>
                    </w:rPr>
                    <w:t>928</w:t>
                  </w:r>
                </w:p>
              </w:tc>
              <w:tc>
                <w:tcPr>
                  <w:tcW w:w="0" w:type="auto"/>
                  <w:vAlign w:val="center"/>
                  <w:hideMark/>
                </w:tcPr>
                <w:p w14:paraId="60A3E988" w14:textId="77777777" w:rsidR="006240D4" w:rsidRPr="00E14102" w:rsidRDefault="006240D4" w:rsidP="00E14102">
                  <w:pPr>
                    <w:jc w:val="both"/>
                    <w:rPr>
                      <w:color w:val="000000" w:themeColor="text1"/>
                      <w:sz w:val="16"/>
                      <w:szCs w:val="16"/>
                    </w:rPr>
                  </w:pPr>
                  <w:r w:rsidRPr="00E14102">
                    <w:rPr>
                      <w:color w:val="000000" w:themeColor="text1"/>
                      <w:sz w:val="16"/>
                      <w:szCs w:val="16"/>
                    </w:rPr>
                    <w:t>3347</w:t>
                  </w:r>
                </w:p>
              </w:tc>
              <w:tc>
                <w:tcPr>
                  <w:tcW w:w="0" w:type="auto"/>
                  <w:vAlign w:val="center"/>
                  <w:hideMark/>
                </w:tcPr>
                <w:p w14:paraId="0B42E9EA" w14:textId="77777777" w:rsidR="006240D4" w:rsidRPr="00E14102" w:rsidRDefault="006240D4" w:rsidP="00E14102">
                  <w:pPr>
                    <w:jc w:val="both"/>
                    <w:rPr>
                      <w:color w:val="000000" w:themeColor="text1"/>
                      <w:sz w:val="16"/>
                      <w:szCs w:val="16"/>
                    </w:rPr>
                  </w:pPr>
                  <w:r w:rsidRPr="00E14102">
                    <w:rPr>
                      <w:color w:val="000000" w:themeColor="text1"/>
                      <w:sz w:val="16"/>
                      <w:szCs w:val="16"/>
                    </w:rPr>
                    <w:t>3640</w:t>
                  </w:r>
                </w:p>
              </w:tc>
              <w:tc>
                <w:tcPr>
                  <w:tcW w:w="0" w:type="auto"/>
                  <w:vAlign w:val="center"/>
                  <w:hideMark/>
                </w:tcPr>
                <w:p w14:paraId="211471E1" w14:textId="77777777" w:rsidR="006240D4" w:rsidRPr="00E14102" w:rsidRDefault="006240D4" w:rsidP="00E14102">
                  <w:pPr>
                    <w:jc w:val="both"/>
                    <w:rPr>
                      <w:color w:val="000000" w:themeColor="text1"/>
                      <w:sz w:val="16"/>
                      <w:szCs w:val="16"/>
                    </w:rPr>
                  </w:pPr>
                  <w:r w:rsidRPr="00E14102">
                    <w:rPr>
                      <w:color w:val="000000" w:themeColor="text1"/>
                      <w:sz w:val="16"/>
                      <w:szCs w:val="16"/>
                    </w:rPr>
                    <w:t>3440</w:t>
                  </w:r>
                </w:p>
              </w:tc>
            </w:tr>
            <w:tr w:rsidR="00E3599D" w:rsidRPr="00E14102" w14:paraId="4E05BFF7" w14:textId="77777777" w:rsidTr="006240D4">
              <w:trPr>
                <w:tblCellSpacing w:w="0" w:type="dxa"/>
              </w:trPr>
              <w:tc>
                <w:tcPr>
                  <w:tcW w:w="0" w:type="auto"/>
                  <w:vAlign w:val="center"/>
                  <w:hideMark/>
                </w:tcPr>
                <w:p w14:paraId="3F0E3EFD" w14:textId="77777777" w:rsidR="006240D4" w:rsidRPr="00E14102" w:rsidRDefault="006240D4" w:rsidP="00E14102">
                  <w:pPr>
                    <w:jc w:val="both"/>
                    <w:rPr>
                      <w:color w:val="000000" w:themeColor="text1"/>
                      <w:sz w:val="16"/>
                      <w:szCs w:val="16"/>
                    </w:rPr>
                  </w:pPr>
                  <w:r w:rsidRPr="00E14102">
                    <w:rPr>
                      <w:color w:val="000000" w:themeColor="text1"/>
                      <w:sz w:val="16"/>
                      <w:szCs w:val="16"/>
                    </w:rPr>
                    <w:t>8. Самолеты (шт.)</w:t>
                  </w:r>
                </w:p>
              </w:tc>
              <w:tc>
                <w:tcPr>
                  <w:tcW w:w="0" w:type="auto"/>
                  <w:vAlign w:val="center"/>
                  <w:hideMark/>
                </w:tcPr>
                <w:p w14:paraId="209341BC" w14:textId="77777777" w:rsidR="006240D4" w:rsidRPr="00E14102" w:rsidRDefault="006240D4" w:rsidP="00E14102">
                  <w:pPr>
                    <w:jc w:val="both"/>
                    <w:rPr>
                      <w:color w:val="000000" w:themeColor="text1"/>
                      <w:sz w:val="16"/>
                      <w:szCs w:val="16"/>
                    </w:rPr>
                  </w:pPr>
                  <w:r w:rsidRPr="00E14102">
                    <w:rPr>
                      <w:color w:val="000000" w:themeColor="text1"/>
                      <w:sz w:val="16"/>
                      <w:szCs w:val="16"/>
                    </w:rPr>
                    <w:t>1489</w:t>
                  </w:r>
                </w:p>
              </w:tc>
              <w:tc>
                <w:tcPr>
                  <w:tcW w:w="0" w:type="auto"/>
                  <w:vAlign w:val="center"/>
                  <w:hideMark/>
                </w:tcPr>
                <w:p w14:paraId="4C4D8A42" w14:textId="77777777" w:rsidR="006240D4" w:rsidRPr="00E14102" w:rsidRDefault="006240D4" w:rsidP="00E14102">
                  <w:pPr>
                    <w:jc w:val="both"/>
                    <w:rPr>
                      <w:color w:val="000000" w:themeColor="text1"/>
                      <w:sz w:val="16"/>
                      <w:szCs w:val="16"/>
                    </w:rPr>
                  </w:pPr>
                  <w:r w:rsidRPr="00E14102">
                    <w:rPr>
                      <w:color w:val="000000" w:themeColor="text1"/>
                      <w:sz w:val="16"/>
                      <w:szCs w:val="16"/>
                    </w:rPr>
                    <w:t>2487</w:t>
                  </w:r>
                </w:p>
              </w:tc>
              <w:tc>
                <w:tcPr>
                  <w:tcW w:w="0" w:type="auto"/>
                  <w:vAlign w:val="center"/>
                  <w:hideMark/>
                </w:tcPr>
                <w:p w14:paraId="55BDF252" w14:textId="77777777" w:rsidR="006240D4" w:rsidRPr="00E14102" w:rsidRDefault="006240D4" w:rsidP="00E14102">
                  <w:pPr>
                    <w:jc w:val="both"/>
                    <w:rPr>
                      <w:color w:val="000000" w:themeColor="text1"/>
                      <w:sz w:val="16"/>
                      <w:szCs w:val="16"/>
                    </w:rPr>
                  </w:pPr>
                  <w:r w:rsidRPr="00E14102">
                    <w:rPr>
                      <w:color w:val="000000" w:themeColor="text1"/>
                      <w:sz w:val="16"/>
                      <w:szCs w:val="16"/>
                    </w:rPr>
                    <w:t>4116</w:t>
                  </w:r>
                </w:p>
              </w:tc>
              <w:tc>
                <w:tcPr>
                  <w:tcW w:w="0" w:type="auto"/>
                  <w:vAlign w:val="center"/>
                  <w:hideMark/>
                </w:tcPr>
                <w:p w14:paraId="730626A7" w14:textId="77777777" w:rsidR="006240D4" w:rsidRPr="00E14102" w:rsidRDefault="006240D4" w:rsidP="00E14102">
                  <w:pPr>
                    <w:jc w:val="both"/>
                    <w:rPr>
                      <w:color w:val="000000" w:themeColor="text1"/>
                      <w:sz w:val="16"/>
                      <w:szCs w:val="16"/>
                    </w:rPr>
                  </w:pPr>
                  <w:r w:rsidRPr="00E14102">
                    <w:rPr>
                      <w:color w:val="000000" w:themeColor="text1"/>
                      <w:sz w:val="16"/>
                      <w:szCs w:val="16"/>
                    </w:rPr>
                    <w:t>4545</w:t>
                  </w:r>
                </w:p>
              </w:tc>
            </w:tr>
            <w:tr w:rsidR="00E3599D" w:rsidRPr="00E14102" w14:paraId="2F9796EE" w14:textId="77777777" w:rsidTr="006240D4">
              <w:trPr>
                <w:tblCellSpacing w:w="0" w:type="dxa"/>
              </w:trPr>
              <w:tc>
                <w:tcPr>
                  <w:tcW w:w="0" w:type="auto"/>
                  <w:vAlign w:val="center"/>
                  <w:hideMark/>
                </w:tcPr>
                <w:p w14:paraId="4DA244C4" w14:textId="77777777" w:rsidR="006240D4" w:rsidRPr="00E14102" w:rsidRDefault="006240D4" w:rsidP="00E14102">
                  <w:pPr>
                    <w:jc w:val="both"/>
                    <w:rPr>
                      <w:color w:val="000000" w:themeColor="text1"/>
                      <w:sz w:val="16"/>
                      <w:szCs w:val="16"/>
                    </w:rPr>
                  </w:pPr>
                  <w:r w:rsidRPr="00E14102">
                    <w:rPr>
                      <w:color w:val="000000" w:themeColor="text1"/>
                      <w:sz w:val="16"/>
                      <w:szCs w:val="16"/>
                    </w:rPr>
                    <w:t>9. Моторы (шт.)</w:t>
                  </w:r>
                </w:p>
              </w:tc>
              <w:tc>
                <w:tcPr>
                  <w:tcW w:w="0" w:type="auto"/>
                  <w:vAlign w:val="center"/>
                  <w:hideMark/>
                </w:tcPr>
                <w:p w14:paraId="6534EB77" w14:textId="77777777" w:rsidR="006240D4" w:rsidRPr="00E14102" w:rsidRDefault="006240D4" w:rsidP="00E14102">
                  <w:pPr>
                    <w:jc w:val="both"/>
                    <w:rPr>
                      <w:color w:val="000000" w:themeColor="text1"/>
                      <w:sz w:val="16"/>
                      <w:szCs w:val="16"/>
                    </w:rPr>
                  </w:pPr>
                  <w:r w:rsidRPr="00E14102">
                    <w:rPr>
                      <w:color w:val="000000" w:themeColor="text1"/>
                      <w:sz w:val="16"/>
                      <w:szCs w:val="16"/>
                    </w:rPr>
                    <w:t>1640</w:t>
                  </w:r>
                </w:p>
              </w:tc>
              <w:tc>
                <w:tcPr>
                  <w:tcW w:w="0" w:type="auto"/>
                  <w:vAlign w:val="center"/>
                  <w:hideMark/>
                </w:tcPr>
                <w:p w14:paraId="3A3A3362" w14:textId="77777777" w:rsidR="006240D4" w:rsidRPr="00E14102" w:rsidRDefault="006240D4" w:rsidP="00E14102">
                  <w:pPr>
                    <w:jc w:val="both"/>
                    <w:rPr>
                      <w:color w:val="000000" w:themeColor="text1"/>
                      <w:sz w:val="16"/>
                      <w:szCs w:val="16"/>
                    </w:rPr>
                  </w:pPr>
                  <w:r w:rsidRPr="00E14102">
                    <w:rPr>
                      <w:color w:val="000000" w:themeColor="text1"/>
                      <w:sz w:val="16"/>
                      <w:szCs w:val="16"/>
                    </w:rPr>
                    <w:t>4918</w:t>
                  </w:r>
                </w:p>
              </w:tc>
              <w:tc>
                <w:tcPr>
                  <w:tcW w:w="0" w:type="auto"/>
                  <w:vAlign w:val="center"/>
                  <w:hideMark/>
                </w:tcPr>
                <w:p w14:paraId="65D219CE" w14:textId="77777777" w:rsidR="006240D4" w:rsidRPr="00E14102" w:rsidRDefault="006240D4" w:rsidP="00E14102">
                  <w:pPr>
                    <w:jc w:val="both"/>
                    <w:rPr>
                      <w:color w:val="000000" w:themeColor="text1"/>
                      <w:sz w:val="16"/>
                      <w:szCs w:val="16"/>
                    </w:rPr>
                  </w:pPr>
                  <w:r w:rsidRPr="00E14102">
                    <w:rPr>
                      <w:color w:val="000000" w:themeColor="text1"/>
                      <w:sz w:val="16"/>
                      <w:szCs w:val="16"/>
                    </w:rPr>
                    <w:t>7775</w:t>
                  </w:r>
                </w:p>
              </w:tc>
              <w:tc>
                <w:tcPr>
                  <w:tcW w:w="0" w:type="auto"/>
                  <w:vAlign w:val="center"/>
                  <w:hideMark/>
                </w:tcPr>
                <w:p w14:paraId="4834E08F" w14:textId="77777777" w:rsidR="006240D4" w:rsidRPr="00E14102" w:rsidRDefault="006240D4" w:rsidP="00E14102">
                  <w:pPr>
                    <w:jc w:val="both"/>
                    <w:rPr>
                      <w:color w:val="000000" w:themeColor="text1"/>
                      <w:sz w:val="16"/>
                      <w:szCs w:val="16"/>
                    </w:rPr>
                  </w:pPr>
                  <w:r w:rsidRPr="00E14102">
                    <w:rPr>
                      <w:color w:val="000000" w:themeColor="text1"/>
                      <w:sz w:val="16"/>
                      <w:szCs w:val="16"/>
                    </w:rPr>
                    <w:t>10 241</w:t>
                  </w:r>
                </w:p>
              </w:tc>
            </w:tr>
            <w:tr w:rsidR="00E3599D" w:rsidRPr="00E14102" w14:paraId="00ABA84C" w14:textId="77777777" w:rsidTr="006240D4">
              <w:trPr>
                <w:tblCellSpacing w:w="0" w:type="dxa"/>
              </w:trPr>
              <w:tc>
                <w:tcPr>
                  <w:tcW w:w="0" w:type="auto"/>
                  <w:vAlign w:val="center"/>
                  <w:hideMark/>
                </w:tcPr>
                <w:p w14:paraId="6585FF27" w14:textId="77777777" w:rsidR="006240D4" w:rsidRPr="00E14102" w:rsidRDefault="006240D4" w:rsidP="00E14102">
                  <w:pPr>
                    <w:jc w:val="both"/>
                    <w:rPr>
                      <w:color w:val="000000" w:themeColor="text1"/>
                      <w:sz w:val="16"/>
                      <w:szCs w:val="16"/>
                    </w:rPr>
                  </w:pPr>
                  <w:r w:rsidRPr="00E14102">
                    <w:rPr>
                      <w:color w:val="000000" w:themeColor="text1"/>
                      <w:sz w:val="16"/>
                      <w:szCs w:val="16"/>
                    </w:rPr>
                    <w:t>10. Пороха свеж[ие] (т)</w:t>
                  </w:r>
                </w:p>
              </w:tc>
              <w:tc>
                <w:tcPr>
                  <w:tcW w:w="0" w:type="auto"/>
                  <w:vAlign w:val="center"/>
                  <w:hideMark/>
                </w:tcPr>
                <w:p w14:paraId="609A5B13" w14:textId="77777777" w:rsidR="006240D4" w:rsidRPr="00E14102" w:rsidRDefault="006240D4" w:rsidP="00E14102">
                  <w:pPr>
                    <w:jc w:val="both"/>
                    <w:rPr>
                      <w:color w:val="000000" w:themeColor="text1"/>
                      <w:sz w:val="16"/>
                      <w:szCs w:val="16"/>
                    </w:rPr>
                  </w:pPr>
                  <w:r w:rsidRPr="00E14102">
                    <w:rPr>
                      <w:color w:val="000000" w:themeColor="text1"/>
                      <w:sz w:val="16"/>
                      <w:szCs w:val="16"/>
                    </w:rPr>
                    <w:t>4065,7</w:t>
                  </w:r>
                </w:p>
              </w:tc>
              <w:tc>
                <w:tcPr>
                  <w:tcW w:w="0" w:type="auto"/>
                  <w:vAlign w:val="center"/>
                  <w:hideMark/>
                </w:tcPr>
                <w:p w14:paraId="1CA4D4ED" w14:textId="77777777" w:rsidR="006240D4" w:rsidRPr="00E14102" w:rsidRDefault="006240D4" w:rsidP="00E14102">
                  <w:pPr>
                    <w:jc w:val="both"/>
                    <w:rPr>
                      <w:color w:val="000000" w:themeColor="text1"/>
                      <w:sz w:val="16"/>
                      <w:szCs w:val="16"/>
                    </w:rPr>
                  </w:pPr>
                  <w:r w:rsidRPr="00E14102">
                    <w:rPr>
                      <w:color w:val="000000" w:themeColor="text1"/>
                      <w:sz w:val="16"/>
                      <w:szCs w:val="16"/>
                    </w:rPr>
                    <w:t>5674,2</w:t>
                  </w:r>
                </w:p>
              </w:tc>
              <w:tc>
                <w:tcPr>
                  <w:tcW w:w="0" w:type="auto"/>
                  <w:vAlign w:val="center"/>
                  <w:hideMark/>
                </w:tcPr>
                <w:p w14:paraId="7A894696" w14:textId="77777777" w:rsidR="006240D4" w:rsidRPr="00E14102" w:rsidRDefault="006240D4" w:rsidP="00E14102">
                  <w:pPr>
                    <w:jc w:val="both"/>
                    <w:rPr>
                      <w:color w:val="000000" w:themeColor="text1"/>
                      <w:sz w:val="16"/>
                      <w:szCs w:val="16"/>
                    </w:rPr>
                  </w:pPr>
                  <w:r w:rsidRPr="00E14102">
                    <w:rPr>
                      <w:color w:val="000000" w:themeColor="text1"/>
                      <w:sz w:val="16"/>
                      <w:szCs w:val="16"/>
                    </w:rPr>
                    <w:t>5267,0</w:t>
                  </w:r>
                </w:p>
              </w:tc>
              <w:tc>
                <w:tcPr>
                  <w:tcW w:w="0" w:type="auto"/>
                  <w:vAlign w:val="center"/>
                  <w:hideMark/>
                </w:tcPr>
                <w:p w14:paraId="7F65D50F" w14:textId="77777777" w:rsidR="006240D4" w:rsidRPr="00E14102" w:rsidRDefault="006240D4" w:rsidP="00E14102">
                  <w:pPr>
                    <w:jc w:val="both"/>
                    <w:rPr>
                      <w:color w:val="000000" w:themeColor="text1"/>
                      <w:sz w:val="16"/>
                      <w:szCs w:val="16"/>
                    </w:rPr>
                  </w:pPr>
                  <w:r w:rsidRPr="00E14102">
                    <w:rPr>
                      <w:color w:val="000000" w:themeColor="text1"/>
                      <w:sz w:val="16"/>
                      <w:szCs w:val="16"/>
                    </w:rPr>
                    <w:t>9266,0</w:t>
                  </w:r>
                </w:p>
              </w:tc>
            </w:tr>
            <w:tr w:rsidR="00E3599D" w:rsidRPr="00E14102" w14:paraId="052A0A30" w14:textId="77777777" w:rsidTr="006240D4">
              <w:trPr>
                <w:tblCellSpacing w:w="0" w:type="dxa"/>
              </w:trPr>
              <w:tc>
                <w:tcPr>
                  <w:tcW w:w="0" w:type="auto"/>
                  <w:vAlign w:val="center"/>
                  <w:hideMark/>
                </w:tcPr>
                <w:p w14:paraId="54642B39" w14:textId="77777777" w:rsidR="006240D4" w:rsidRPr="00E14102" w:rsidRDefault="006240D4" w:rsidP="00E14102">
                  <w:pPr>
                    <w:jc w:val="both"/>
                    <w:rPr>
                      <w:color w:val="000000" w:themeColor="text1"/>
                      <w:sz w:val="16"/>
                      <w:szCs w:val="16"/>
                    </w:rPr>
                  </w:pPr>
                  <w:r w:rsidRPr="00E14102">
                    <w:rPr>
                      <w:color w:val="000000" w:themeColor="text1"/>
                      <w:sz w:val="16"/>
                      <w:szCs w:val="16"/>
                    </w:rPr>
                    <w:t>11. Аммиак (тыс. т)</w:t>
                  </w:r>
                </w:p>
              </w:tc>
              <w:tc>
                <w:tcPr>
                  <w:tcW w:w="0" w:type="auto"/>
                  <w:vAlign w:val="center"/>
                  <w:hideMark/>
                </w:tcPr>
                <w:p w14:paraId="21DB0BB7" w14:textId="77777777" w:rsidR="006240D4" w:rsidRPr="00E14102" w:rsidRDefault="006240D4" w:rsidP="00E14102">
                  <w:pPr>
                    <w:jc w:val="both"/>
                    <w:rPr>
                      <w:color w:val="000000" w:themeColor="text1"/>
                      <w:sz w:val="16"/>
                      <w:szCs w:val="16"/>
                    </w:rPr>
                  </w:pPr>
                  <w:r w:rsidRPr="00E14102">
                    <w:rPr>
                      <w:color w:val="000000" w:themeColor="text1"/>
                      <w:sz w:val="16"/>
                      <w:szCs w:val="16"/>
                    </w:rPr>
                    <w:t>17,5</w:t>
                  </w:r>
                </w:p>
              </w:tc>
              <w:tc>
                <w:tcPr>
                  <w:tcW w:w="0" w:type="auto"/>
                  <w:vAlign w:val="center"/>
                  <w:hideMark/>
                </w:tcPr>
                <w:p w14:paraId="6B5D40E5" w14:textId="77777777" w:rsidR="006240D4" w:rsidRPr="00E14102" w:rsidRDefault="006240D4" w:rsidP="00E14102">
                  <w:pPr>
                    <w:jc w:val="both"/>
                    <w:rPr>
                      <w:color w:val="000000" w:themeColor="text1"/>
                      <w:sz w:val="16"/>
                      <w:szCs w:val="16"/>
                    </w:rPr>
                  </w:pPr>
                  <w:r w:rsidRPr="00E14102">
                    <w:rPr>
                      <w:color w:val="000000" w:themeColor="text1"/>
                      <w:sz w:val="16"/>
                      <w:szCs w:val="16"/>
                    </w:rPr>
                    <w:t>19,5</w:t>
                  </w:r>
                </w:p>
              </w:tc>
              <w:tc>
                <w:tcPr>
                  <w:tcW w:w="0" w:type="auto"/>
                  <w:vAlign w:val="center"/>
                  <w:hideMark/>
                </w:tcPr>
                <w:p w14:paraId="738F9417" w14:textId="77777777" w:rsidR="006240D4" w:rsidRPr="00E14102" w:rsidRDefault="006240D4" w:rsidP="00E14102">
                  <w:pPr>
                    <w:jc w:val="both"/>
                    <w:rPr>
                      <w:color w:val="000000" w:themeColor="text1"/>
                      <w:sz w:val="16"/>
                      <w:szCs w:val="16"/>
                    </w:rPr>
                  </w:pPr>
                  <w:r w:rsidRPr="00E14102">
                    <w:rPr>
                      <w:color w:val="000000" w:themeColor="text1"/>
                      <w:sz w:val="16"/>
                      <w:szCs w:val="16"/>
                    </w:rPr>
                    <w:t>55,5</w:t>
                  </w:r>
                </w:p>
              </w:tc>
              <w:tc>
                <w:tcPr>
                  <w:tcW w:w="0" w:type="auto"/>
                  <w:vAlign w:val="center"/>
                  <w:hideMark/>
                </w:tcPr>
                <w:p w14:paraId="66311CC8" w14:textId="77777777" w:rsidR="006240D4" w:rsidRPr="00E14102" w:rsidRDefault="006240D4" w:rsidP="00E14102">
                  <w:pPr>
                    <w:jc w:val="both"/>
                    <w:rPr>
                      <w:color w:val="000000" w:themeColor="text1"/>
                      <w:sz w:val="16"/>
                      <w:szCs w:val="16"/>
                    </w:rPr>
                  </w:pPr>
                  <w:r w:rsidRPr="00E14102">
                    <w:rPr>
                      <w:color w:val="000000" w:themeColor="text1"/>
                      <w:sz w:val="16"/>
                      <w:szCs w:val="16"/>
                    </w:rPr>
                    <w:t>97,6</w:t>
                  </w:r>
                </w:p>
              </w:tc>
            </w:tr>
          </w:tbl>
          <w:p w14:paraId="38D58BA2" w14:textId="77777777" w:rsidR="006240D4" w:rsidRPr="00E14102" w:rsidRDefault="006240D4" w:rsidP="00E14102">
            <w:pPr>
              <w:jc w:val="both"/>
              <w:rPr>
                <w:color w:val="000000" w:themeColor="text1"/>
                <w:sz w:val="16"/>
                <w:szCs w:val="16"/>
              </w:rPr>
            </w:pPr>
          </w:p>
        </w:tc>
      </w:tr>
    </w:tbl>
    <w:p w14:paraId="78004BB6" w14:textId="77777777" w:rsidR="006240D4" w:rsidRPr="00E14102" w:rsidRDefault="006240D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4372. Оп. 91. Д. 2189. Л. 35. Копия (15332).</w:t>
      </w:r>
    </w:p>
    <w:p w14:paraId="3E656AF2" w14:textId="77777777" w:rsidR="006240D4" w:rsidRPr="00E14102" w:rsidRDefault="006240D4" w:rsidP="00E14102">
      <w:pPr>
        <w:pStyle w:val="rtejustify"/>
        <w:spacing w:before="0" w:after="0"/>
        <w:rPr>
          <w:rStyle w:val="a6"/>
          <w:bCs/>
          <w:i w:val="0"/>
          <w:color w:val="000000" w:themeColor="text1"/>
          <w:sz w:val="16"/>
          <w:szCs w:val="16"/>
        </w:rPr>
      </w:pPr>
    </w:p>
    <w:p w14:paraId="53C49A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января 1935 года универсальная 76-мм пушка А-52 вместе с передком была отправлена на полигонные испытания на НИАП. В дивизионной артиллерии оказалась порочной сама идея универсальной пушки и А-51 и А-52 разделили учесть себе подобных. Не менее порочной была система размещения заказов опытных пушек на заводах № 8 и № 92, которые параллельно изготавливали собственные аналогичные пушки (3861).</w:t>
      </w:r>
    </w:p>
    <w:p w14:paraId="38570A9D" w14:textId="77777777" w:rsidR="00D4105E" w:rsidRPr="00E14102" w:rsidRDefault="00D4105E" w:rsidP="00E14102">
      <w:pPr>
        <w:autoSpaceDE w:val="0"/>
        <w:autoSpaceDN w:val="0"/>
        <w:adjustRightInd w:val="0"/>
        <w:jc w:val="both"/>
        <w:rPr>
          <w:color w:val="000000" w:themeColor="text1"/>
          <w:sz w:val="16"/>
          <w:szCs w:val="16"/>
        </w:rPr>
      </w:pPr>
    </w:p>
    <w:p w14:paraId="7E3F08B7" w14:textId="77777777" w:rsidR="006240D4" w:rsidRPr="00E14102" w:rsidRDefault="006240D4" w:rsidP="00E14102">
      <w:pPr>
        <w:jc w:val="both"/>
        <w:rPr>
          <w:color w:val="000000" w:themeColor="text1"/>
          <w:sz w:val="16"/>
          <w:szCs w:val="16"/>
        </w:rPr>
      </w:pPr>
      <w:r w:rsidRPr="00E14102">
        <w:rPr>
          <w:color w:val="000000" w:themeColor="text1"/>
          <w:sz w:val="16"/>
          <w:szCs w:val="16"/>
        </w:rPr>
        <w:t>21 января 1935 г. А-52 ГКБ-38 вместе с передком были отправлена на полигонные испытания на НИАП (15117).</w:t>
      </w:r>
    </w:p>
    <w:p w14:paraId="533E52F5" w14:textId="77777777" w:rsidR="006240D4" w:rsidRPr="00E14102" w:rsidRDefault="006240D4" w:rsidP="00E14102">
      <w:pPr>
        <w:jc w:val="both"/>
        <w:rPr>
          <w:color w:val="000000" w:themeColor="text1"/>
          <w:sz w:val="16"/>
          <w:szCs w:val="16"/>
        </w:rPr>
      </w:pPr>
    </w:p>
    <w:p w14:paraId="19017239" w14:textId="77777777" w:rsidR="006240D4" w:rsidRPr="00E14102" w:rsidRDefault="006240D4" w:rsidP="00E14102">
      <w:pPr>
        <w:pStyle w:val="rtejustify"/>
        <w:spacing w:before="0" w:after="0"/>
        <w:rPr>
          <w:color w:val="000000" w:themeColor="text1"/>
          <w:sz w:val="16"/>
          <w:szCs w:val="16"/>
        </w:rPr>
      </w:pPr>
      <w:r w:rsidRPr="00E14102">
        <w:rPr>
          <w:rStyle w:val="a6"/>
          <w:bCs/>
          <w:i w:val="0"/>
          <w:color w:val="000000" w:themeColor="text1"/>
          <w:sz w:val="16"/>
          <w:szCs w:val="16"/>
        </w:rPr>
        <w:t>21/23 января 1935 вышел приказ НКТП № 13с.</w:t>
      </w:r>
      <w:r w:rsidRPr="00E14102">
        <w:rPr>
          <w:color w:val="000000" w:themeColor="text1"/>
          <w:sz w:val="16"/>
          <w:szCs w:val="16"/>
        </w:rPr>
        <w:t xml:space="preserve"> О вербовке рабочей силы для предприятий ДВК и Восточной Сибири и обслуживании рабочих в пути. (РГАЭ. Ф. 7297. Оп. 38. Д. 171. Л. 25</w:t>
      </w:r>
      <w:r w:rsidRPr="00E14102">
        <w:rPr>
          <w:color w:val="000000" w:themeColor="text1"/>
          <w:sz w:val="16"/>
          <w:szCs w:val="16"/>
        </w:rPr>
        <w:noBreakHyphen/>
        <w:t>23) (15246).</w:t>
      </w:r>
    </w:p>
    <w:p w14:paraId="6787B9CA" w14:textId="77777777" w:rsidR="006240D4" w:rsidRPr="00E14102" w:rsidRDefault="006240D4" w:rsidP="00E14102">
      <w:pPr>
        <w:pStyle w:val="rtejustify"/>
        <w:spacing w:before="0" w:after="0"/>
        <w:rPr>
          <w:color w:val="000000" w:themeColor="text1"/>
          <w:sz w:val="16"/>
          <w:szCs w:val="16"/>
        </w:rPr>
      </w:pPr>
    </w:p>
    <w:p w14:paraId="5CEF665A" w14:textId="77777777" w:rsidR="006240D4" w:rsidRPr="00E14102" w:rsidRDefault="006240D4" w:rsidP="00E14102">
      <w:pPr>
        <w:jc w:val="both"/>
        <w:rPr>
          <w:color w:val="000000" w:themeColor="text1"/>
          <w:sz w:val="16"/>
          <w:szCs w:val="16"/>
        </w:rPr>
      </w:pPr>
      <w:r w:rsidRPr="00E14102">
        <w:rPr>
          <w:bCs/>
          <w:color w:val="000000" w:themeColor="text1"/>
          <w:sz w:val="16"/>
          <w:szCs w:val="16"/>
        </w:rPr>
        <w:t>21 января</w:t>
      </w:r>
      <w:r w:rsidRPr="00E14102">
        <w:rPr>
          <w:color w:val="000000" w:themeColor="text1"/>
          <w:sz w:val="16"/>
          <w:szCs w:val="16"/>
        </w:rPr>
        <w:t xml:space="preserve"> в 1935 году в СССР открылась первая прямая международная радиотелефонная связь Москва - Париж (15016).</w:t>
      </w:r>
    </w:p>
    <w:p w14:paraId="67368114" w14:textId="77777777" w:rsidR="006240D4" w:rsidRPr="00E14102" w:rsidRDefault="006240D4" w:rsidP="00E14102">
      <w:pPr>
        <w:jc w:val="both"/>
        <w:rPr>
          <w:color w:val="000000" w:themeColor="text1"/>
          <w:sz w:val="16"/>
          <w:szCs w:val="16"/>
        </w:rPr>
      </w:pPr>
    </w:p>
    <w:p w14:paraId="365A40BA" w14:textId="77777777" w:rsidR="00B44B59" w:rsidRPr="00E14102" w:rsidRDefault="00B44B59"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F71E40E" w14:textId="77777777" w:rsidR="00B44B59" w:rsidRPr="00E14102" w:rsidRDefault="00B44B59" w:rsidP="00E14102">
      <w:pPr>
        <w:autoSpaceDE w:val="0"/>
        <w:autoSpaceDN w:val="0"/>
        <w:adjustRightInd w:val="0"/>
        <w:jc w:val="both"/>
        <w:rPr>
          <w:iCs/>
          <w:color w:val="000000" w:themeColor="text1"/>
          <w:sz w:val="16"/>
          <w:szCs w:val="16"/>
        </w:rPr>
      </w:pPr>
    </w:p>
    <w:p w14:paraId="576EE1C7" w14:textId="11DF24D8" w:rsidR="00B44B59" w:rsidRPr="00E14102" w:rsidRDefault="00B44B59" w:rsidP="00E14102">
      <w:pPr>
        <w:jc w:val="both"/>
        <w:rPr>
          <w:color w:val="0070C0"/>
          <w:sz w:val="16"/>
          <w:szCs w:val="16"/>
        </w:rPr>
      </w:pPr>
      <w:r w:rsidRPr="00E14102">
        <w:rPr>
          <w:color w:val="0070C0"/>
          <w:sz w:val="16"/>
          <w:szCs w:val="16"/>
        </w:rPr>
        <w:t>22-23 января 1935 с самолета ИП-1РЦФ-3 сняли капоты, стабилизатор, шасси и обе ДРП для ремонта и доработок на заводе. Следующий полет состоялся только 13 февраля. Правда, уже 9 числа опробовали мотор, но еще три дня ушло на подгонку и регулировку капота «вто</w:t>
      </w:r>
      <w:r w:rsidRPr="00E14102">
        <w:rPr>
          <w:color w:val="0070C0"/>
          <w:sz w:val="16"/>
          <w:szCs w:val="16"/>
        </w:rPr>
        <w:softHyphen/>
        <w:t>рого типа». От прежнего внешне он отличал</w:t>
      </w:r>
      <w:r w:rsidRPr="00E14102">
        <w:rPr>
          <w:color w:val="0070C0"/>
          <w:sz w:val="16"/>
          <w:szCs w:val="16"/>
        </w:rPr>
        <w:softHyphen/>
        <w:t>ся установкой стяжной ленты по типу И-16 и свободной задней кромкой боковых крышек, которые просто лежали на опорном профиле капота, продленном до переднего лонжерона центроплана. Обтекатели на пушки уже не устанавливали (19933).</w:t>
      </w:r>
    </w:p>
    <w:p w14:paraId="53D8672F" w14:textId="77777777" w:rsidR="00B44B59" w:rsidRPr="00E14102" w:rsidRDefault="00B44B59" w:rsidP="00E14102">
      <w:pPr>
        <w:jc w:val="both"/>
        <w:rPr>
          <w:color w:val="0070C0"/>
          <w:sz w:val="16"/>
          <w:szCs w:val="16"/>
        </w:rPr>
      </w:pPr>
    </w:p>
    <w:p w14:paraId="3102DC2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5C539C8" w14:textId="77777777" w:rsidR="00D4105E" w:rsidRPr="00E14102" w:rsidRDefault="00D4105E" w:rsidP="00E14102">
      <w:pPr>
        <w:autoSpaceDE w:val="0"/>
        <w:autoSpaceDN w:val="0"/>
        <w:adjustRightInd w:val="0"/>
        <w:jc w:val="both"/>
        <w:rPr>
          <w:iCs/>
          <w:color w:val="000000" w:themeColor="text1"/>
          <w:sz w:val="16"/>
          <w:szCs w:val="16"/>
        </w:rPr>
      </w:pPr>
    </w:p>
    <w:p w14:paraId="0A4697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января 1935 назначили экипаж из НИИ ВВС для испытаний СБ-2ИС. В него вошли пилот Миндер, штурман Бряндинский, летнаб-хронометрист Нольде и техник Обыденников (7643).</w:t>
      </w:r>
    </w:p>
    <w:p w14:paraId="51300922" w14:textId="77777777" w:rsidR="00D4105E" w:rsidRPr="00E14102" w:rsidRDefault="00D4105E" w:rsidP="00E14102">
      <w:pPr>
        <w:autoSpaceDE w:val="0"/>
        <w:autoSpaceDN w:val="0"/>
        <w:adjustRightInd w:val="0"/>
        <w:jc w:val="both"/>
        <w:rPr>
          <w:color w:val="000000" w:themeColor="text1"/>
          <w:sz w:val="16"/>
          <w:szCs w:val="16"/>
        </w:rPr>
      </w:pPr>
    </w:p>
    <w:p w14:paraId="6FD6D8DC" w14:textId="77777777" w:rsidR="00B44B59" w:rsidRPr="00E14102" w:rsidRDefault="00B44B59" w:rsidP="00E14102">
      <w:pPr>
        <w:jc w:val="both"/>
        <w:rPr>
          <w:color w:val="0070C0"/>
          <w:sz w:val="16"/>
          <w:szCs w:val="16"/>
        </w:rPr>
      </w:pPr>
      <w:r w:rsidRPr="00E14102">
        <w:rPr>
          <w:color w:val="0070C0"/>
          <w:sz w:val="16"/>
          <w:szCs w:val="16"/>
        </w:rPr>
        <w:t>23 января 1935 года в объяснительной записке к отче</w:t>
      </w:r>
      <w:r w:rsidRPr="00E14102">
        <w:rPr>
          <w:color w:val="0070C0"/>
          <w:sz w:val="16"/>
          <w:szCs w:val="16"/>
        </w:rPr>
        <w:softHyphen/>
        <w:t>ту по основной деятельности завода № 81 за 1934 год ука</w:t>
      </w:r>
      <w:r w:rsidRPr="00E14102">
        <w:rPr>
          <w:color w:val="0070C0"/>
          <w:sz w:val="16"/>
          <w:szCs w:val="16"/>
        </w:rPr>
        <w:softHyphen/>
        <w:t>зывалось, что принятым к производству типом оставался Сталь-2 с мотором М-26. По этому самолету имелся про</w:t>
      </w:r>
      <w:r w:rsidRPr="00E14102">
        <w:rPr>
          <w:color w:val="0070C0"/>
          <w:sz w:val="16"/>
          <w:szCs w:val="16"/>
        </w:rPr>
        <w:softHyphen/>
        <w:t>изводственный задел и утвержденное задание на выпуск в 1934 году 96 экземпляров с необходимым количеством одиночных и групповых ремонтных комплектов (29365).</w:t>
      </w:r>
    </w:p>
    <w:p w14:paraId="204A6842" w14:textId="77777777" w:rsidR="00B44B59" w:rsidRPr="00E14102" w:rsidRDefault="00B44B59" w:rsidP="00E14102">
      <w:pPr>
        <w:shd w:val="clear" w:color="auto" w:fill="FFFFFF"/>
        <w:jc w:val="both"/>
        <w:rPr>
          <w:color w:val="0070C0"/>
          <w:sz w:val="16"/>
          <w:szCs w:val="16"/>
        </w:rPr>
      </w:pPr>
    </w:p>
    <w:p w14:paraId="3ADB37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января 1935 С.П.К. подписал чертежи планера-парителя СК-8п (105,68).</w:t>
      </w:r>
    </w:p>
    <w:p w14:paraId="06E1247A" w14:textId="77777777" w:rsidR="00D4105E" w:rsidRPr="00E14102" w:rsidRDefault="00D4105E" w:rsidP="00E14102">
      <w:pPr>
        <w:autoSpaceDE w:val="0"/>
        <w:autoSpaceDN w:val="0"/>
        <w:adjustRightInd w:val="0"/>
        <w:jc w:val="both"/>
        <w:rPr>
          <w:color w:val="000000" w:themeColor="text1"/>
          <w:sz w:val="16"/>
          <w:szCs w:val="16"/>
        </w:rPr>
      </w:pPr>
    </w:p>
    <w:p w14:paraId="06410F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января 1935 был завершен аванпроект планера-парителя СК-8 (см. Приложение 1) (АМЖ, ф. 5300, № 12) (10676).</w:t>
      </w:r>
    </w:p>
    <w:p w14:paraId="08F69790" w14:textId="77777777" w:rsidR="00D4105E" w:rsidRPr="00E14102" w:rsidRDefault="00D4105E" w:rsidP="00E14102">
      <w:pPr>
        <w:autoSpaceDE w:val="0"/>
        <w:autoSpaceDN w:val="0"/>
        <w:adjustRightInd w:val="0"/>
        <w:jc w:val="both"/>
        <w:rPr>
          <w:color w:val="000000" w:themeColor="text1"/>
          <w:sz w:val="16"/>
          <w:szCs w:val="16"/>
        </w:rPr>
      </w:pPr>
    </w:p>
    <w:p w14:paraId="772114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января 1935 Зам. Нач. ГУАП Ермолаев писал письмо N 242/357с Дир. завода 125 Ирьянову (копия Нач. ЦАГИ Харламову) по вопросу установки К-9 на И-14 и просил отправить в адрес ЦАГИ И-14 (без мотора) (2336,8).</w:t>
      </w:r>
    </w:p>
    <w:p w14:paraId="4B24095E" w14:textId="77777777" w:rsidR="00D4105E" w:rsidRPr="00E14102" w:rsidRDefault="00D4105E" w:rsidP="00E14102">
      <w:pPr>
        <w:autoSpaceDE w:val="0"/>
        <w:autoSpaceDN w:val="0"/>
        <w:adjustRightInd w:val="0"/>
        <w:jc w:val="both"/>
        <w:rPr>
          <w:color w:val="000000" w:themeColor="text1"/>
          <w:sz w:val="16"/>
          <w:szCs w:val="16"/>
        </w:rPr>
      </w:pPr>
    </w:p>
    <w:p w14:paraId="40883C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января 1935 года ст. военпред на заводе N 1 Кузнецов писал начальнику управления ВВС.</w:t>
      </w:r>
    </w:p>
    <w:p w14:paraId="457993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Доклад-справка.</w:t>
      </w:r>
    </w:p>
    <w:p w14:paraId="640FA6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 По договору 1934 года завод N 1 обязан был сдать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E3599D" w:rsidRPr="00E14102" w14:paraId="6F66D3EE" w14:textId="77777777">
        <w:tc>
          <w:tcPr>
            <w:tcW w:w="3757" w:type="dxa"/>
            <w:tcBorders>
              <w:top w:val="single" w:sz="12" w:space="0" w:color="auto"/>
            </w:tcBorders>
          </w:tcPr>
          <w:p w14:paraId="476100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Р5-М17 разведчиков</w:t>
            </w:r>
          </w:p>
        </w:tc>
        <w:tc>
          <w:tcPr>
            <w:tcW w:w="3757" w:type="dxa"/>
            <w:tcBorders>
              <w:top w:val="single" w:sz="12" w:space="0" w:color="auto"/>
            </w:tcBorders>
          </w:tcPr>
          <w:p w14:paraId="6F4A1F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1150</w:t>
            </w:r>
          </w:p>
        </w:tc>
        <w:tc>
          <w:tcPr>
            <w:tcW w:w="3757" w:type="dxa"/>
            <w:tcBorders>
              <w:top w:val="single" w:sz="12" w:space="0" w:color="auto"/>
            </w:tcBorders>
          </w:tcPr>
          <w:p w14:paraId="09ADE64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D1510DE" w14:textId="77777777">
        <w:tc>
          <w:tcPr>
            <w:tcW w:w="3757" w:type="dxa"/>
          </w:tcPr>
          <w:p w14:paraId="56DD31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Р5-М17 штурмовиков</w:t>
            </w:r>
          </w:p>
        </w:tc>
        <w:tc>
          <w:tcPr>
            <w:tcW w:w="3757" w:type="dxa"/>
          </w:tcPr>
          <w:p w14:paraId="7EC190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w:t>
            </w:r>
          </w:p>
        </w:tc>
        <w:tc>
          <w:tcPr>
            <w:tcW w:w="3757" w:type="dxa"/>
          </w:tcPr>
          <w:p w14:paraId="62C079F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F749D43" w14:textId="77777777">
        <w:tc>
          <w:tcPr>
            <w:tcW w:w="3757" w:type="dxa"/>
          </w:tcPr>
          <w:p w14:paraId="7C34D7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Р5-а-М17 (на поплавках)</w:t>
            </w:r>
          </w:p>
        </w:tc>
        <w:tc>
          <w:tcPr>
            <w:tcW w:w="3757" w:type="dxa"/>
          </w:tcPr>
          <w:p w14:paraId="1235CB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3757" w:type="dxa"/>
          </w:tcPr>
          <w:p w14:paraId="34BB45E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1DADA54" w14:textId="77777777">
        <w:tc>
          <w:tcPr>
            <w:tcW w:w="3757" w:type="dxa"/>
          </w:tcPr>
          <w:p w14:paraId="07C1C2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3757" w:type="dxa"/>
          </w:tcPr>
          <w:p w14:paraId="2F5418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1450 самолетов</w:t>
            </w:r>
          </w:p>
        </w:tc>
        <w:tc>
          <w:tcPr>
            <w:tcW w:w="3757" w:type="dxa"/>
          </w:tcPr>
          <w:p w14:paraId="4849CA1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4227DB" w14:textId="77777777">
        <w:tc>
          <w:tcPr>
            <w:tcW w:w="3757" w:type="dxa"/>
          </w:tcPr>
          <w:p w14:paraId="53F699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Сдал:</w:t>
            </w:r>
          </w:p>
        </w:tc>
        <w:tc>
          <w:tcPr>
            <w:tcW w:w="3757" w:type="dxa"/>
          </w:tcPr>
          <w:p w14:paraId="3671DDBC" w14:textId="77777777" w:rsidR="00D4105E" w:rsidRPr="00E14102" w:rsidRDefault="00D4105E" w:rsidP="00E14102">
            <w:pPr>
              <w:autoSpaceDE w:val="0"/>
              <w:autoSpaceDN w:val="0"/>
              <w:adjustRightInd w:val="0"/>
              <w:jc w:val="both"/>
              <w:rPr>
                <w:color w:val="000000" w:themeColor="text1"/>
                <w:sz w:val="16"/>
                <w:szCs w:val="16"/>
              </w:rPr>
            </w:pPr>
          </w:p>
        </w:tc>
        <w:tc>
          <w:tcPr>
            <w:tcW w:w="3757" w:type="dxa"/>
          </w:tcPr>
          <w:p w14:paraId="49543A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Недосдал:</w:t>
            </w:r>
          </w:p>
        </w:tc>
      </w:tr>
      <w:tr w:rsidR="00E3599D" w:rsidRPr="00E14102" w14:paraId="16AB38CB" w14:textId="77777777">
        <w:tc>
          <w:tcPr>
            <w:tcW w:w="3757" w:type="dxa"/>
          </w:tcPr>
          <w:p w14:paraId="67FFE1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Р5-М17 разведчиков</w:t>
            </w:r>
          </w:p>
        </w:tc>
        <w:tc>
          <w:tcPr>
            <w:tcW w:w="3757" w:type="dxa"/>
          </w:tcPr>
          <w:p w14:paraId="5E6EC6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961</w:t>
            </w:r>
          </w:p>
        </w:tc>
        <w:tc>
          <w:tcPr>
            <w:tcW w:w="3757" w:type="dxa"/>
          </w:tcPr>
          <w:p w14:paraId="5AB2C1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w:t>
            </w:r>
          </w:p>
        </w:tc>
      </w:tr>
      <w:tr w:rsidR="00E3599D" w:rsidRPr="00E14102" w14:paraId="16E782B4" w14:textId="77777777">
        <w:tc>
          <w:tcPr>
            <w:tcW w:w="3757" w:type="dxa"/>
          </w:tcPr>
          <w:p w14:paraId="41AE87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Р5-М17 штурмовиков</w:t>
            </w:r>
          </w:p>
        </w:tc>
        <w:tc>
          <w:tcPr>
            <w:tcW w:w="3757" w:type="dxa"/>
          </w:tcPr>
          <w:p w14:paraId="5F81FB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246</w:t>
            </w:r>
          </w:p>
        </w:tc>
        <w:tc>
          <w:tcPr>
            <w:tcW w:w="3757" w:type="dxa"/>
          </w:tcPr>
          <w:p w14:paraId="18ABEE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r>
      <w:tr w:rsidR="00E3599D" w:rsidRPr="00E14102" w14:paraId="7A85BFC7" w14:textId="77777777">
        <w:tc>
          <w:tcPr>
            <w:tcW w:w="3757" w:type="dxa"/>
          </w:tcPr>
          <w:p w14:paraId="4A8DED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Р5-а-М17 (на поплавках)</w:t>
            </w:r>
          </w:p>
        </w:tc>
        <w:tc>
          <w:tcPr>
            <w:tcW w:w="3757" w:type="dxa"/>
          </w:tcPr>
          <w:p w14:paraId="41DB98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47</w:t>
            </w:r>
          </w:p>
        </w:tc>
        <w:tc>
          <w:tcPr>
            <w:tcW w:w="3757" w:type="dxa"/>
          </w:tcPr>
          <w:p w14:paraId="20871D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r>
      <w:tr w:rsidR="00E3599D" w:rsidRPr="00E14102" w14:paraId="7A7F5A9C" w14:textId="77777777">
        <w:tc>
          <w:tcPr>
            <w:tcW w:w="3757" w:type="dxa"/>
            <w:tcBorders>
              <w:bottom w:val="single" w:sz="12" w:space="0" w:color="auto"/>
            </w:tcBorders>
          </w:tcPr>
          <w:p w14:paraId="781B24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3757" w:type="dxa"/>
            <w:tcBorders>
              <w:bottom w:val="single" w:sz="12" w:space="0" w:color="auto"/>
            </w:tcBorders>
          </w:tcPr>
          <w:p w14:paraId="4450B85F" w14:textId="77777777" w:rsidR="00D4105E" w:rsidRPr="00E14102" w:rsidRDefault="00D4105E" w:rsidP="00E14102">
            <w:pPr>
              <w:autoSpaceDE w:val="0"/>
              <w:autoSpaceDN w:val="0"/>
              <w:adjustRightInd w:val="0"/>
              <w:jc w:val="both"/>
              <w:rPr>
                <w:color w:val="000000" w:themeColor="text1"/>
                <w:sz w:val="16"/>
                <w:szCs w:val="16"/>
              </w:rPr>
            </w:pPr>
          </w:p>
        </w:tc>
        <w:tc>
          <w:tcPr>
            <w:tcW w:w="3757" w:type="dxa"/>
            <w:tcBorders>
              <w:bottom w:val="single" w:sz="12" w:space="0" w:color="auto"/>
            </w:tcBorders>
          </w:tcPr>
          <w:p w14:paraId="67BDE1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196</w:t>
            </w:r>
          </w:p>
        </w:tc>
      </w:tr>
    </w:tbl>
    <w:p w14:paraId="02C3FE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завод N 1 сдал сверхпрограммные самолеты И7 - 64 шт.</w:t>
      </w:r>
    </w:p>
    <w:p w14:paraId="340150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Кроме сданных машин на 31.12.34 года на заводе N 1 имелись готовые самолеты Р5.</w:t>
      </w:r>
    </w:p>
    <w:p w14:paraId="317C48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Эти все 55 самолетов не были оформлены военной приемкой исключительно потому, что директор завода Беленкович отказался их сдавать в 1934 году.</w:t>
      </w:r>
    </w:p>
    <w:p w14:paraId="07F943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На сегодня на заводе N 1 имеется 99 самолетов Р5, совершенно готовых и 6 самолетов этого же типа готовится к облету.</w:t>
      </w:r>
    </w:p>
    <w:p w14:paraId="00981C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самолетах стоят наши пулеметы ПВ-1.</w:t>
      </w:r>
    </w:p>
    <w:p w14:paraId="669C25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указаний - требовать ли от завода снятия наших пулеметов, т.к. самолетов Р5 нет в заказе 1935 года.</w:t>
      </w:r>
    </w:p>
    <w:p w14:paraId="0F63A6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Кроме самолетов Р5 разведчиков, на сегодня на заводе N 1 имеется 40 самолетов Р5Т-М17 (торпедоносцев) из коих 33 самолета уже облетанных, 7 самолетов подготовлены к облету. К 1.02.1935 года все 40 самолетов будут окончательно готовы.</w:t>
      </w:r>
    </w:p>
    <w:p w14:paraId="7D08D6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указаний о приемке и оформлении этих 40 самолетов Р5Т-М17. (3088,61).</w:t>
      </w:r>
    </w:p>
    <w:p w14:paraId="5723641B" w14:textId="77777777" w:rsidR="00D4105E" w:rsidRPr="00E14102" w:rsidRDefault="00D4105E" w:rsidP="00E14102">
      <w:pPr>
        <w:autoSpaceDE w:val="0"/>
        <w:autoSpaceDN w:val="0"/>
        <w:adjustRightInd w:val="0"/>
        <w:jc w:val="both"/>
        <w:rPr>
          <w:color w:val="000000" w:themeColor="text1"/>
          <w:sz w:val="16"/>
          <w:szCs w:val="16"/>
        </w:rPr>
      </w:pPr>
    </w:p>
    <w:p w14:paraId="03C450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января 1935 года гл. бухгалтер завода № 89 Крылов писал письмо № 31с в ЦФО ГУГВФ</w:t>
      </w:r>
    </w:p>
    <w:p w14:paraId="1D4E3F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Объяснительная записка за 1934 год</w:t>
      </w:r>
    </w:p>
    <w:p w14:paraId="5DED1C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1934 году завод в основном занимался производством новой продукции, тогда как в 1933 году и предыдущие годы он занимался только восстановлением продукции, созданной другими производственными предприятиями.</w:t>
      </w:r>
    </w:p>
    <w:p w14:paraId="6C7D49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1934 год намечался выпуск новых самолетов металлической конструкции типа АНТ-9 с мотором М-17 и типа ПС-IV. Однако в течение года производственное задание было изменено. В конце I полугодия завод получил задание переконструировать самолет К-5 под мотор М-17. В течение III квартала завод разработал технологический процесс по переделке самолета К-5 под мотор М-17 и выпустил первую опытную партию самолетов К-5 под мотор М-17 в количестве 5 штук, а в IV квартале 11 штук.</w:t>
      </w:r>
    </w:p>
    <w:p w14:paraId="1D78E9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в 1934 году заводом освоен процесс производства трех типов продукции – самолетов АНТ-9 с мотором М-17, ПС-IV с мотором Л-5 и К-5 с мотором М-17.</w:t>
      </w:r>
    </w:p>
    <w:p w14:paraId="429EAF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заводом в 1934 году самостоятельно разработана конструкция совершенно нового типа самолета ЗИГ-1 и приступлено к постройке первой опытной машины.</w:t>
      </w:r>
    </w:p>
    <w:p w14:paraId="5CB898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Заводом в 1934 году был отремонтирован самолет "Консолидейт", принимавший участие в спасении челюскинцев (7731, 164-183).</w:t>
      </w:r>
    </w:p>
    <w:p w14:paraId="30B6E48A" w14:textId="77777777" w:rsidR="00D4105E" w:rsidRPr="00E14102" w:rsidRDefault="00D4105E" w:rsidP="00E14102">
      <w:pPr>
        <w:autoSpaceDE w:val="0"/>
        <w:autoSpaceDN w:val="0"/>
        <w:adjustRightInd w:val="0"/>
        <w:jc w:val="both"/>
        <w:rPr>
          <w:color w:val="000000" w:themeColor="text1"/>
          <w:sz w:val="16"/>
          <w:szCs w:val="16"/>
        </w:rPr>
      </w:pPr>
    </w:p>
    <w:p w14:paraId="736A48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января 1935 года начальник завода № 81 им. Молотова и гл. бухгалтер Ровняличев писали письмо № 36с в ГЛ. управление ГВФ</w:t>
      </w:r>
    </w:p>
    <w:p w14:paraId="4F6EB2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Объяснительная записка к отчету по основной деятельности завода № 81 за 1934 год</w:t>
      </w:r>
    </w:p>
    <w:p w14:paraId="64C776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Принятым к производству типом был самолет С-2 с мотором М-26, по которому имелся задел и задание выпустить в 1934 году 96 машин с необходимым количеством одиночных и групповых комплектов.</w:t>
      </w:r>
    </w:p>
    <w:p w14:paraId="53244A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дальнейшем, по окончании 1934 года с выпуска С-2 заводу было дано задание перейти на выпуск машин С-3 в количестве 70 самолетов с соответствующим одиночных и групповых комплектов. К концу 1934 года опытный самолет был выпущен, серийное же производство подготовки к этому типу не имело.</w:t>
      </w:r>
    </w:p>
    <w:p w14:paraId="325719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этих основных типов программы, заводу задано было еще выпустить 2 самолета АНТ-9 (восстановительный ремонт).</w:t>
      </w:r>
    </w:p>
    <w:p w14:paraId="527295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1934 году задано на 1 квартал:</w:t>
      </w:r>
    </w:p>
    <w:p w14:paraId="10EFC2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 самолетов С-2</w:t>
      </w:r>
    </w:p>
    <w:p w14:paraId="5915DF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самолет С-3</w:t>
      </w:r>
    </w:p>
    <w:p w14:paraId="3731F6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самолета АНТ-9</w:t>
      </w:r>
    </w:p>
    <w:p w14:paraId="12CBE3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Фактически выпущено:</w:t>
      </w:r>
    </w:p>
    <w:p w14:paraId="32D238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Самолетов С-2 в январе – 4</w:t>
      </w:r>
    </w:p>
    <w:p w14:paraId="45C1D0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Самолетов С-2 в феврале – 17</w:t>
      </w:r>
    </w:p>
    <w:p w14:paraId="376E09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Самолетов С-2 в марте – 2</w:t>
      </w:r>
    </w:p>
    <w:p w14:paraId="13716E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самолетам С-3 был выпущен в производство несерийный заказ в количестве 6 машин, а по серийному типу не было ни чертежей, ни приспособлений, ни технологического процесса.</w:t>
      </w:r>
    </w:p>
    <w:p w14:paraId="01AC87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Вследствие имевших место весной 1934 года случаев аварий самолетов С-2 на линиях, командованием Аэрофлота было предложено внести в конструкцию ряд необходимых изменений, увеличивающих безопасность, причем заводу было указано не только ввести эти изменения на машинах последующих выпусков, но и переделать законченные самолеты, находившиеся на заводе.</w:t>
      </w:r>
    </w:p>
    <w:p w14:paraId="52CA87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заданных на второе полугодие 4-х самолетов С-3, фактически в производстве находился только один самолет, переделываемый под мотор М-17; прочие же 3 самолета были сняты с производства как несерийные.</w:t>
      </w:r>
    </w:p>
    <w:p w14:paraId="3EBE89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втором полугодии завод выполнял ряд внеплановых правительственных заданий, как-то: изготовление самолета С-2 для Международной авиационной выставки в Париже, ряд образцов продукции для авиационной выставки в Копенгагене, части самолета ДАР (7731, 80-108).</w:t>
      </w:r>
    </w:p>
    <w:p w14:paraId="2EBA92E9" w14:textId="77777777" w:rsidR="00D4105E" w:rsidRPr="00E14102" w:rsidRDefault="00D4105E" w:rsidP="00E14102">
      <w:pPr>
        <w:autoSpaceDE w:val="0"/>
        <w:autoSpaceDN w:val="0"/>
        <w:adjustRightInd w:val="0"/>
        <w:jc w:val="both"/>
        <w:rPr>
          <w:color w:val="000000" w:themeColor="text1"/>
          <w:sz w:val="16"/>
          <w:szCs w:val="16"/>
        </w:rPr>
      </w:pPr>
    </w:p>
    <w:p w14:paraId="46A2C904" w14:textId="77777777" w:rsidR="00C40E6A" w:rsidRPr="00E14102" w:rsidRDefault="00C40E6A" w:rsidP="00E14102">
      <w:pPr>
        <w:pStyle w:val="3f"/>
        <w:shd w:val="clear" w:color="auto" w:fill="auto"/>
        <w:spacing w:after="0" w:line="240" w:lineRule="auto"/>
        <w:jc w:val="both"/>
        <w:outlineLvl w:val="9"/>
        <w:rPr>
          <w:color w:val="000000" w:themeColor="text1"/>
          <w:sz w:val="16"/>
          <w:szCs w:val="16"/>
        </w:rPr>
      </w:pPr>
      <w:r w:rsidRPr="00E14102">
        <w:rPr>
          <w:color w:val="000000" w:themeColor="text1"/>
          <w:sz w:val="16"/>
          <w:szCs w:val="16"/>
        </w:rPr>
        <w:t>23 января 1935 г. Описание изобретения</w:t>
      </w:r>
      <w:r w:rsidRPr="00E14102">
        <w:rPr>
          <w:rStyle w:val="3f1"/>
          <w:b w:val="0"/>
          <w:color w:val="000000" w:themeColor="text1"/>
          <w:sz w:val="16"/>
          <w:szCs w:val="16"/>
        </w:rPr>
        <w:t xml:space="preserve"> М</w:t>
      </w:r>
      <w:r w:rsidRPr="00E14102">
        <w:rPr>
          <w:color w:val="000000" w:themeColor="text1"/>
          <w:sz w:val="16"/>
          <w:szCs w:val="16"/>
        </w:rPr>
        <w:t>.В. Гуревича «Пропеллер»</w:t>
      </w:r>
    </w:p>
    <w:p w14:paraId="6E066628" w14:textId="77777777" w:rsidR="00C40E6A" w:rsidRPr="00E14102" w:rsidRDefault="00C40E6A" w:rsidP="00E14102">
      <w:pPr>
        <w:tabs>
          <w:tab w:val="left" w:pos="4991"/>
        </w:tabs>
        <w:jc w:val="both"/>
        <w:rPr>
          <w:color w:val="000000" w:themeColor="text1"/>
          <w:sz w:val="16"/>
          <w:szCs w:val="16"/>
        </w:rPr>
      </w:pPr>
      <w:r w:rsidRPr="00E14102">
        <w:rPr>
          <w:color w:val="000000" w:themeColor="text1"/>
          <w:sz w:val="16"/>
          <w:szCs w:val="16"/>
        </w:rPr>
        <w:t>Ленинград</w:t>
      </w:r>
    </w:p>
    <w:p w14:paraId="068A0638" w14:textId="77777777" w:rsidR="00C40E6A" w:rsidRPr="00E14102" w:rsidRDefault="00C40E6A" w:rsidP="00E14102">
      <w:pPr>
        <w:jc w:val="both"/>
        <w:rPr>
          <w:color w:val="000000" w:themeColor="text1"/>
          <w:sz w:val="16"/>
          <w:szCs w:val="16"/>
        </w:rPr>
      </w:pPr>
      <w:r w:rsidRPr="00E14102">
        <w:rPr>
          <w:color w:val="000000" w:themeColor="text1"/>
          <w:sz w:val="16"/>
          <w:szCs w:val="16"/>
        </w:rPr>
        <w:t>Известные как проекты, так и осуществленные образцы устано</w:t>
      </w:r>
      <w:r w:rsidRPr="00E14102">
        <w:rPr>
          <w:color w:val="000000" w:themeColor="text1"/>
          <w:sz w:val="16"/>
          <w:szCs w:val="16"/>
        </w:rPr>
        <w:softHyphen/>
        <w:t>вок, действующих на центробежном принципе, обладают отрицатель</w:t>
      </w:r>
      <w:r w:rsidRPr="00E14102">
        <w:rPr>
          <w:color w:val="000000" w:themeColor="text1"/>
          <w:sz w:val="16"/>
          <w:szCs w:val="16"/>
        </w:rPr>
        <w:softHyphen/>
        <w:t>ным свойством в том смысле, что требуют мощного постороннего ис</w:t>
      </w:r>
      <w:r w:rsidRPr="00E14102">
        <w:rPr>
          <w:color w:val="000000" w:themeColor="text1"/>
          <w:sz w:val="16"/>
          <w:szCs w:val="16"/>
        </w:rPr>
        <w:softHyphen/>
        <w:t>точника энергии для приведения установки во вращательное движение.</w:t>
      </w:r>
    </w:p>
    <w:p w14:paraId="781D4538" w14:textId="77777777" w:rsidR="00C40E6A" w:rsidRPr="00E14102" w:rsidRDefault="00C40E6A" w:rsidP="00E14102">
      <w:pPr>
        <w:jc w:val="both"/>
        <w:rPr>
          <w:color w:val="000000" w:themeColor="text1"/>
          <w:sz w:val="16"/>
          <w:szCs w:val="16"/>
        </w:rPr>
      </w:pPr>
      <w:r w:rsidRPr="00E14102">
        <w:rPr>
          <w:color w:val="000000" w:themeColor="text1"/>
          <w:sz w:val="16"/>
          <w:szCs w:val="16"/>
        </w:rPr>
        <w:t>Я предлагаю использовать для стрельбы на самолете шаровыми пулями вращающийся винт самолета.</w:t>
      </w:r>
    </w:p>
    <w:p w14:paraId="15F55C00" w14:textId="77777777" w:rsidR="00C40E6A" w:rsidRPr="00E14102" w:rsidRDefault="00C40E6A" w:rsidP="00E14102">
      <w:pPr>
        <w:pStyle w:val="3f"/>
        <w:shd w:val="clear" w:color="auto" w:fill="auto"/>
        <w:spacing w:after="0" w:line="240" w:lineRule="auto"/>
        <w:jc w:val="both"/>
        <w:outlineLvl w:val="9"/>
        <w:rPr>
          <w:color w:val="000000" w:themeColor="text1"/>
          <w:sz w:val="16"/>
          <w:szCs w:val="16"/>
        </w:rPr>
      </w:pPr>
      <w:r w:rsidRPr="00E14102">
        <w:rPr>
          <w:color w:val="000000" w:themeColor="text1"/>
          <w:sz w:val="16"/>
          <w:szCs w:val="16"/>
        </w:rPr>
        <w:t>Тактические преимущества:</w:t>
      </w:r>
    </w:p>
    <w:p w14:paraId="00D719C9" w14:textId="77777777" w:rsidR="00C40E6A" w:rsidRPr="00E14102" w:rsidRDefault="00C40E6A" w:rsidP="00E14102">
      <w:pPr>
        <w:tabs>
          <w:tab w:val="left" w:pos="767"/>
        </w:tabs>
        <w:jc w:val="both"/>
        <w:rPr>
          <w:color w:val="000000" w:themeColor="text1"/>
          <w:sz w:val="16"/>
          <w:szCs w:val="16"/>
        </w:rPr>
      </w:pPr>
      <w:r w:rsidRPr="00E14102">
        <w:rPr>
          <w:color w:val="000000" w:themeColor="text1"/>
          <w:sz w:val="16"/>
          <w:szCs w:val="16"/>
        </w:rPr>
        <w:t>1. Возможность вести огонь при любом положении самодета.</w:t>
      </w:r>
    </w:p>
    <w:p w14:paraId="5704E6D2" w14:textId="77777777" w:rsidR="00C40E6A" w:rsidRPr="00E14102" w:rsidRDefault="00C40E6A" w:rsidP="00E14102">
      <w:pPr>
        <w:tabs>
          <w:tab w:val="left" w:pos="802"/>
        </w:tabs>
        <w:jc w:val="both"/>
        <w:rPr>
          <w:color w:val="000000" w:themeColor="text1"/>
          <w:sz w:val="16"/>
          <w:szCs w:val="16"/>
        </w:rPr>
      </w:pPr>
      <w:r w:rsidRPr="00E14102">
        <w:rPr>
          <w:color w:val="000000" w:themeColor="text1"/>
          <w:sz w:val="16"/>
          <w:szCs w:val="16"/>
        </w:rPr>
        <w:t>2. Наиболее целесообразно использование для штурмовых само</w:t>
      </w:r>
      <w:r w:rsidRPr="00E14102">
        <w:rPr>
          <w:color w:val="000000" w:themeColor="text1"/>
          <w:sz w:val="16"/>
          <w:szCs w:val="16"/>
        </w:rPr>
        <w:softHyphen/>
        <w:t>летов на малых высотах (5-25м).</w:t>
      </w:r>
    </w:p>
    <w:p w14:paraId="7217E5F9" w14:textId="77777777" w:rsidR="00C40E6A" w:rsidRPr="00E14102" w:rsidRDefault="00C40E6A" w:rsidP="00E14102">
      <w:pPr>
        <w:tabs>
          <w:tab w:val="left" w:pos="802"/>
        </w:tabs>
        <w:jc w:val="both"/>
        <w:rPr>
          <w:color w:val="000000" w:themeColor="text1"/>
          <w:sz w:val="16"/>
          <w:szCs w:val="16"/>
        </w:rPr>
      </w:pPr>
      <w:r w:rsidRPr="00E14102">
        <w:rPr>
          <w:color w:val="000000" w:themeColor="text1"/>
          <w:sz w:val="16"/>
          <w:szCs w:val="16"/>
        </w:rPr>
        <w:t>3. Большой темп стрельбы: давая выстрелы при каждом обороте винта, при двух лопастях и п=1500-200.0 об/мин. имеем 3000-4000 в/м.</w:t>
      </w:r>
    </w:p>
    <w:p w14:paraId="19DE650A" w14:textId="77777777" w:rsidR="00C40E6A" w:rsidRPr="00E14102" w:rsidRDefault="00C40E6A" w:rsidP="00E14102">
      <w:pPr>
        <w:tabs>
          <w:tab w:val="left" w:pos="798"/>
        </w:tabs>
        <w:jc w:val="both"/>
        <w:rPr>
          <w:color w:val="000000" w:themeColor="text1"/>
          <w:sz w:val="16"/>
          <w:szCs w:val="16"/>
        </w:rPr>
      </w:pPr>
      <w:r w:rsidRPr="00E14102">
        <w:rPr>
          <w:color w:val="000000" w:themeColor="text1"/>
          <w:sz w:val="16"/>
          <w:szCs w:val="16"/>
        </w:rPr>
        <w:t>4. Большое число пуль. Можно использовать недорогие шарики от шарикоподшипников.</w:t>
      </w:r>
    </w:p>
    <w:p w14:paraId="03D6F38C" w14:textId="77777777" w:rsidR="00C40E6A" w:rsidRPr="00E14102" w:rsidRDefault="00C40E6A" w:rsidP="00E14102">
      <w:pPr>
        <w:pStyle w:val="3f"/>
        <w:shd w:val="clear" w:color="auto" w:fill="auto"/>
        <w:spacing w:after="0" w:line="240" w:lineRule="auto"/>
        <w:jc w:val="both"/>
        <w:outlineLvl w:val="9"/>
        <w:rPr>
          <w:color w:val="000000" w:themeColor="text1"/>
          <w:sz w:val="16"/>
          <w:szCs w:val="16"/>
        </w:rPr>
      </w:pPr>
      <w:r w:rsidRPr="00E14102">
        <w:rPr>
          <w:color w:val="000000" w:themeColor="text1"/>
          <w:sz w:val="16"/>
          <w:szCs w:val="16"/>
        </w:rPr>
        <w:t>Устройство:</w:t>
      </w:r>
    </w:p>
    <w:p w14:paraId="6849FD33" w14:textId="77777777" w:rsidR="00C40E6A" w:rsidRPr="00E14102" w:rsidRDefault="00C40E6A" w:rsidP="00E14102">
      <w:pPr>
        <w:jc w:val="both"/>
        <w:rPr>
          <w:color w:val="000000" w:themeColor="text1"/>
          <w:sz w:val="16"/>
          <w:szCs w:val="16"/>
        </w:rPr>
      </w:pPr>
      <w:r w:rsidRPr="00E14102">
        <w:rPr>
          <w:color w:val="000000" w:themeColor="text1"/>
          <w:sz w:val="16"/>
          <w:szCs w:val="16"/>
        </w:rPr>
        <w:t>В лопастях винта идут центральные трубки, по которым под дей</w:t>
      </w:r>
      <w:r w:rsidRPr="00E14102">
        <w:rPr>
          <w:color w:val="000000" w:themeColor="text1"/>
          <w:sz w:val="16"/>
          <w:szCs w:val="16"/>
        </w:rPr>
        <w:softHyphen/>
        <w:t>ствием центробежных усилий от втулки перемещаются шаровые пули.</w:t>
      </w:r>
    </w:p>
    <w:p w14:paraId="79838855" w14:textId="77777777" w:rsidR="00C40E6A" w:rsidRPr="00E14102" w:rsidRDefault="00C40E6A" w:rsidP="00E14102">
      <w:pPr>
        <w:jc w:val="both"/>
        <w:rPr>
          <w:color w:val="000000" w:themeColor="text1"/>
          <w:sz w:val="16"/>
          <w:szCs w:val="16"/>
        </w:rPr>
      </w:pPr>
      <w:r w:rsidRPr="00E14102">
        <w:rPr>
          <w:color w:val="000000" w:themeColor="text1"/>
          <w:sz w:val="16"/>
          <w:szCs w:val="16"/>
        </w:rPr>
        <w:t>Не определяя пока конструктивного устройства отсекателя, от</w:t>
      </w:r>
      <w:r w:rsidRPr="00E14102">
        <w:rPr>
          <w:color w:val="000000" w:themeColor="text1"/>
          <w:sz w:val="16"/>
          <w:szCs w:val="16"/>
        </w:rPr>
        <w:softHyphen/>
        <w:t>мечу возможную схему.</w:t>
      </w:r>
    </w:p>
    <w:p w14:paraId="461219EB" w14:textId="77777777" w:rsidR="00C40E6A" w:rsidRPr="00E14102" w:rsidRDefault="00C40E6A" w:rsidP="00E14102">
      <w:pPr>
        <w:jc w:val="both"/>
        <w:rPr>
          <w:color w:val="000000" w:themeColor="text1"/>
          <w:sz w:val="16"/>
          <w:szCs w:val="16"/>
        </w:rPr>
      </w:pPr>
      <w:r w:rsidRPr="00E14102">
        <w:rPr>
          <w:color w:val="000000" w:themeColor="text1"/>
          <w:sz w:val="16"/>
          <w:szCs w:val="16"/>
        </w:rPr>
        <w:t>Например, для открытия огня повернуть трубку (1), отчего верх</w:t>
      </w:r>
      <w:r w:rsidRPr="00E14102">
        <w:rPr>
          <w:color w:val="000000" w:themeColor="text1"/>
          <w:sz w:val="16"/>
          <w:szCs w:val="16"/>
        </w:rPr>
        <w:softHyphen/>
        <w:t>няя заслонка (2) откроет первую пулю, а нижняя заслонка (3) перекро</w:t>
      </w:r>
      <w:r w:rsidRPr="00E14102">
        <w:rPr>
          <w:color w:val="000000" w:themeColor="text1"/>
          <w:sz w:val="16"/>
          <w:szCs w:val="16"/>
        </w:rPr>
        <w:softHyphen/>
        <w:t>ет вторую.</w:t>
      </w:r>
    </w:p>
    <w:p w14:paraId="3F791BB8" w14:textId="77777777" w:rsidR="00C40E6A" w:rsidRPr="00E14102" w:rsidRDefault="00C40E6A" w:rsidP="00E14102">
      <w:pPr>
        <w:jc w:val="both"/>
        <w:rPr>
          <w:color w:val="000000" w:themeColor="text1"/>
          <w:sz w:val="16"/>
          <w:szCs w:val="16"/>
        </w:rPr>
      </w:pPr>
      <w:r w:rsidRPr="00E14102">
        <w:rPr>
          <w:color w:val="000000" w:themeColor="text1"/>
          <w:sz w:val="16"/>
          <w:szCs w:val="16"/>
        </w:rPr>
        <w:t>Патроны помещаются в специальной коробке (5), вставляемой во втулку винта по шпонкам, и вращаются вместе с втулкой.</w:t>
      </w:r>
    </w:p>
    <w:p w14:paraId="24294966" w14:textId="77777777" w:rsidR="00C40E6A" w:rsidRPr="00E14102" w:rsidRDefault="00C40E6A" w:rsidP="00E14102">
      <w:pPr>
        <w:jc w:val="both"/>
        <w:rPr>
          <w:color w:val="000000" w:themeColor="text1"/>
          <w:sz w:val="16"/>
          <w:szCs w:val="16"/>
        </w:rPr>
      </w:pPr>
      <w:r w:rsidRPr="00E14102">
        <w:rPr>
          <w:color w:val="000000" w:themeColor="text1"/>
          <w:sz w:val="16"/>
          <w:szCs w:val="16"/>
        </w:rPr>
        <w:t>Пули под действием центробежных усилий перемещаются в винт, а действием подавателя (4) — вдоль магазина.</w:t>
      </w:r>
    </w:p>
    <w:p w14:paraId="5EF18294" w14:textId="77777777" w:rsidR="00C40E6A" w:rsidRPr="00E14102" w:rsidRDefault="00C40E6A" w:rsidP="00E14102">
      <w:pPr>
        <w:jc w:val="both"/>
        <w:rPr>
          <w:color w:val="000000" w:themeColor="text1"/>
          <w:sz w:val="16"/>
          <w:szCs w:val="16"/>
        </w:rPr>
      </w:pPr>
      <w:r w:rsidRPr="00E14102">
        <w:rPr>
          <w:color w:val="000000" w:themeColor="text1"/>
          <w:sz w:val="16"/>
          <w:szCs w:val="16"/>
        </w:rPr>
        <w:t>Регулировка момента выстрела может производиться при дей</w:t>
      </w:r>
      <w:r w:rsidRPr="00E14102">
        <w:rPr>
          <w:color w:val="000000" w:themeColor="text1"/>
          <w:sz w:val="16"/>
          <w:szCs w:val="16"/>
        </w:rPr>
        <w:softHyphen/>
        <w:t>ствии специального устройства, подобного синхронизатору и управля</w:t>
      </w:r>
      <w:r w:rsidRPr="00E14102">
        <w:rPr>
          <w:color w:val="000000" w:themeColor="text1"/>
          <w:sz w:val="16"/>
          <w:szCs w:val="16"/>
        </w:rPr>
        <w:softHyphen/>
        <w:t>емого летчиком.</w:t>
      </w:r>
    </w:p>
    <w:p w14:paraId="722B4E44" w14:textId="77777777" w:rsidR="00C40E6A" w:rsidRPr="00E14102" w:rsidRDefault="00C40E6A" w:rsidP="00E14102">
      <w:pPr>
        <w:jc w:val="both"/>
        <w:rPr>
          <w:color w:val="000000" w:themeColor="text1"/>
          <w:sz w:val="16"/>
          <w:szCs w:val="16"/>
        </w:rPr>
      </w:pPr>
      <w:r w:rsidRPr="00E14102">
        <w:rPr>
          <w:color w:val="000000" w:themeColor="text1"/>
          <w:sz w:val="16"/>
          <w:szCs w:val="16"/>
        </w:rPr>
        <w:t>Данное устройство дает, конечно, только принцип действия, ко</w:t>
      </w:r>
      <w:r w:rsidRPr="00E14102">
        <w:rPr>
          <w:color w:val="000000" w:themeColor="text1"/>
          <w:sz w:val="16"/>
          <w:szCs w:val="16"/>
        </w:rPr>
        <w:softHyphen/>
        <w:t>торое мы и считаем новым. Формула изобретения:</w:t>
      </w:r>
    </w:p>
    <w:p w14:paraId="02667321" w14:textId="77777777" w:rsidR="00C40E6A" w:rsidRPr="00E14102" w:rsidRDefault="00C40E6A" w:rsidP="00E14102">
      <w:pPr>
        <w:jc w:val="both"/>
        <w:rPr>
          <w:color w:val="000000" w:themeColor="text1"/>
          <w:sz w:val="16"/>
          <w:szCs w:val="16"/>
        </w:rPr>
      </w:pPr>
      <w:r w:rsidRPr="00E14102">
        <w:rPr>
          <w:color w:val="000000" w:themeColor="text1"/>
          <w:sz w:val="16"/>
          <w:szCs w:val="16"/>
        </w:rPr>
        <w:t>Центробежная установка на самолете, отличающаяся нием для бросания пуль вращающегося винта самолета.</w:t>
      </w:r>
    </w:p>
    <w:p w14:paraId="2F5B662C" w14:textId="77777777" w:rsidR="00C40E6A" w:rsidRPr="00E14102" w:rsidRDefault="00C40E6A" w:rsidP="00E14102">
      <w:pPr>
        <w:tabs>
          <w:tab w:val="left" w:pos="5174"/>
        </w:tabs>
        <w:jc w:val="both"/>
        <w:rPr>
          <w:color w:val="000000" w:themeColor="text1"/>
          <w:sz w:val="16"/>
          <w:szCs w:val="16"/>
        </w:rPr>
      </w:pPr>
      <w:r w:rsidRPr="00E14102">
        <w:rPr>
          <w:color w:val="000000" w:themeColor="text1"/>
          <w:sz w:val="16"/>
          <w:szCs w:val="16"/>
        </w:rPr>
        <w:t>Артиллерийский инженер М.В. Гуревич</w:t>
      </w:r>
    </w:p>
    <w:p w14:paraId="606B6DC4" w14:textId="77777777" w:rsidR="00C40E6A" w:rsidRPr="00E14102" w:rsidRDefault="00C40E6A" w:rsidP="00E14102">
      <w:pPr>
        <w:jc w:val="both"/>
        <w:rPr>
          <w:color w:val="000000" w:themeColor="text1"/>
          <w:sz w:val="16"/>
          <w:szCs w:val="16"/>
        </w:rPr>
      </w:pPr>
      <w:r w:rsidRPr="00E14102">
        <w:rPr>
          <w:color w:val="000000" w:themeColor="text1"/>
          <w:sz w:val="16"/>
          <w:szCs w:val="16"/>
        </w:rPr>
        <w:t>Приложение. Чертеж. Синька (15633).</w:t>
      </w:r>
    </w:p>
    <w:p w14:paraId="145EE97F" w14:textId="77777777" w:rsidR="00C40E6A" w:rsidRPr="00E14102" w:rsidRDefault="00C40E6A" w:rsidP="00E14102">
      <w:pPr>
        <w:pStyle w:val="2f0"/>
        <w:shd w:val="clear" w:color="auto" w:fill="auto"/>
        <w:spacing w:after="0" w:line="240" w:lineRule="auto"/>
        <w:jc w:val="both"/>
        <w:rPr>
          <w:b w:val="0"/>
          <w:color w:val="000000" w:themeColor="text1"/>
          <w:sz w:val="16"/>
          <w:szCs w:val="16"/>
        </w:rPr>
      </w:pPr>
    </w:p>
    <w:p w14:paraId="18307931" w14:textId="77777777" w:rsidR="00C40E6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6A60E4A" w14:textId="77777777" w:rsidR="00C40E6A" w:rsidRPr="00E14102" w:rsidRDefault="00C40E6A" w:rsidP="00E14102">
      <w:pPr>
        <w:autoSpaceDE w:val="0"/>
        <w:autoSpaceDN w:val="0"/>
        <w:adjustRightInd w:val="0"/>
        <w:jc w:val="both"/>
        <w:rPr>
          <w:iCs/>
          <w:color w:val="000000" w:themeColor="text1"/>
          <w:sz w:val="16"/>
          <w:szCs w:val="16"/>
        </w:rPr>
      </w:pPr>
    </w:p>
    <w:p w14:paraId="7B7EFD47" w14:textId="77777777" w:rsidR="00C40E6A" w:rsidRPr="00E14102" w:rsidRDefault="00C40E6A" w:rsidP="00E14102">
      <w:pPr>
        <w:jc w:val="both"/>
        <w:rPr>
          <w:rStyle w:val="0pt0"/>
          <w:rFonts w:eastAsia="Arial Narrow"/>
          <w:b w:val="0"/>
          <w:color w:val="000000" w:themeColor="text1"/>
          <w:spacing w:val="0"/>
          <w:sz w:val="16"/>
          <w:szCs w:val="16"/>
        </w:rPr>
      </w:pPr>
      <w:r w:rsidRPr="00E14102">
        <w:rPr>
          <w:color w:val="000000" w:themeColor="text1"/>
          <w:sz w:val="16"/>
          <w:szCs w:val="16"/>
        </w:rPr>
        <w:t>23 января 1935 г. Пистолет-пулемет Дегтярева был утвержден как образец для серийной пар</w:t>
      </w:r>
      <w:r w:rsidRPr="00E14102">
        <w:rPr>
          <w:color w:val="000000" w:themeColor="text1"/>
          <w:sz w:val="16"/>
          <w:szCs w:val="16"/>
        </w:rPr>
        <w:softHyphen/>
        <w:t>тии с заказом 300 штук. АУ присвоило ему ин</w:t>
      </w:r>
      <w:r w:rsidRPr="00E14102">
        <w:rPr>
          <w:color w:val="000000" w:themeColor="text1"/>
          <w:sz w:val="16"/>
          <w:szCs w:val="16"/>
        </w:rPr>
        <w:softHyphen/>
        <w:t>декс 56-А-133 (15766).</w:t>
      </w:r>
    </w:p>
    <w:p w14:paraId="51C7892C" w14:textId="77777777" w:rsidR="00C40E6A" w:rsidRPr="00E14102" w:rsidRDefault="00C40E6A" w:rsidP="00E14102">
      <w:pPr>
        <w:jc w:val="both"/>
        <w:rPr>
          <w:color w:val="000000" w:themeColor="text1"/>
          <w:sz w:val="16"/>
          <w:szCs w:val="16"/>
        </w:rPr>
      </w:pPr>
      <w:r w:rsidRPr="00E14102">
        <w:rPr>
          <w:bCs/>
          <w:color w:val="000000" w:themeColor="text1"/>
          <w:sz w:val="16"/>
          <w:szCs w:val="16"/>
        </w:rPr>
        <w:lastRenderedPageBreak/>
        <w:t>23 января</w:t>
      </w:r>
      <w:r w:rsidRPr="00E14102">
        <w:rPr>
          <w:color w:val="000000" w:themeColor="text1"/>
          <w:sz w:val="16"/>
          <w:szCs w:val="16"/>
        </w:rPr>
        <w:t xml:space="preserve"> в 1935 году глава Ленинградского НКВД Ф.Медведь приговаривается к трем годам тюрьмы по обвинению в халатности, приведшей к убийству Кирова (15018).</w:t>
      </w:r>
    </w:p>
    <w:p w14:paraId="6EE64AE7" w14:textId="77777777" w:rsidR="00C40E6A" w:rsidRPr="00E14102" w:rsidRDefault="00C40E6A" w:rsidP="00E14102">
      <w:pPr>
        <w:jc w:val="both"/>
        <w:rPr>
          <w:color w:val="000000" w:themeColor="text1"/>
          <w:sz w:val="16"/>
          <w:szCs w:val="16"/>
        </w:rPr>
      </w:pPr>
    </w:p>
    <w:p w14:paraId="13D46BA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7333A63" w14:textId="77777777" w:rsidR="00D4105E" w:rsidRPr="00E14102" w:rsidRDefault="00D4105E" w:rsidP="00E14102">
      <w:pPr>
        <w:autoSpaceDE w:val="0"/>
        <w:autoSpaceDN w:val="0"/>
        <w:adjustRightInd w:val="0"/>
        <w:jc w:val="both"/>
        <w:rPr>
          <w:iCs/>
          <w:color w:val="000000" w:themeColor="text1"/>
          <w:sz w:val="16"/>
          <w:szCs w:val="16"/>
        </w:rPr>
      </w:pPr>
    </w:p>
    <w:p w14:paraId="6353DBC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января 1935 глава Ленинградского НКВД Ф. Медведь приговорен к трем годам тюрьмы по обвинению в халатности, приведшей к убийству Кирова (4962).</w:t>
      </w:r>
    </w:p>
    <w:p w14:paraId="232440A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0D055A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373AAFD" w14:textId="77777777" w:rsidR="00D4105E" w:rsidRPr="00E14102" w:rsidRDefault="00D4105E" w:rsidP="00E14102">
      <w:pPr>
        <w:autoSpaceDE w:val="0"/>
        <w:autoSpaceDN w:val="0"/>
        <w:adjustRightInd w:val="0"/>
        <w:jc w:val="both"/>
        <w:rPr>
          <w:iCs/>
          <w:color w:val="000000" w:themeColor="text1"/>
          <w:sz w:val="16"/>
          <w:szCs w:val="16"/>
        </w:rPr>
      </w:pPr>
    </w:p>
    <w:p w14:paraId="577356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января 1935 В.М.П. послал в 19 сектор НИИ ВВС эскиз расположения приборов на доске первого пилота ТБ-7 (АНТ-42) (1077,280).</w:t>
      </w:r>
    </w:p>
    <w:p w14:paraId="7EDA593F" w14:textId="77777777" w:rsidR="00D4105E" w:rsidRPr="00E14102" w:rsidRDefault="00D4105E" w:rsidP="00E14102">
      <w:pPr>
        <w:autoSpaceDE w:val="0"/>
        <w:autoSpaceDN w:val="0"/>
        <w:adjustRightInd w:val="0"/>
        <w:jc w:val="both"/>
        <w:rPr>
          <w:color w:val="000000" w:themeColor="text1"/>
          <w:sz w:val="16"/>
          <w:szCs w:val="16"/>
        </w:rPr>
      </w:pPr>
    </w:p>
    <w:p w14:paraId="199ECA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января 1935 была подготовлена сводная таблица ЛД самолета ЦКБ МС-4 (МДР-5 2ИС) (2343,79).</w:t>
      </w:r>
    </w:p>
    <w:p w14:paraId="7BDD099E" w14:textId="77777777" w:rsidR="00D4105E" w:rsidRPr="00E14102" w:rsidRDefault="00D4105E" w:rsidP="00E14102">
      <w:pPr>
        <w:autoSpaceDE w:val="0"/>
        <w:autoSpaceDN w:val="0"/>
        <w:adjustRightInd w:val="0"/>
        <w:jc w:val="both"/>
        <w:rPr>
          <w:color w:val="000000" w:themeColor="text1"/>
          <w:sz w:val="16"/>
          <w:szCs w:val="16"/>
        </w:rPr>
      </w:pPr>
    </w:p>
    <w:p w14:paraId="69C6F2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января 1935 года вышло постановление № 147-20с СНК</w:t>
      </w:r>
    </w:p>
    <w:p w14:paraId="105E6F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производстве дизельмоторов</w:t>
      </w:r>
    </w:p>
    <w:p w14:paraId="11E3B73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Считать актуальнейшей задачей промышленности и ее научно-исследовательских учреждений максимально быстрое сконструирование и внедрение в производство дизельмоторов для авто-авиа-тракторной промышленности.</w:t>
      </w:r>
    </w:p>
    <w:p w14:paraId="67F80C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………………………………….(7516, 5).</w:t>
      </w:r>
    </w:p>
    <w:p w14:paraId="32177AF0" w14:textId="77777777" w:rsidR="00D4105E" w:rsidRPr="00E14102" w:rsidRDefault="00D4105E" w:rsidP="00E14102">
      <w:pPr>
        <w:autoSpaceDE w:val="0"/>
        <w:autoSpaceDN w:val="0"/>
        <w:adjustRightInd w:val="0"/>
        <w:jc w:val="both"/>
        <w:rPr>
          <w:color w:val="000000" w:themeColor="text1"/>
          <w:sz w:val="16"/>
          <w:szCs w:val="16"/>
        </w:rPr>
      </w:pPr>
    </w:p>
    <w:p w14:paraId="49D41D0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96A9F8F" w14:textId="77777777" w:rsidR="00D4105E" w:rsidRPr="00E14102" w:rsidRDefault="00D4105E" w:rsidP="00E14102">
      <w:pPr>
        <w:autoSpaceDE w:val="0"/>
        <w:autoSpaceDN w:val="0"/>
        <w:adjustRightInd w:val="0"/>
        <w:jc w:val="both"/>
        <w:rPr>
          <w:iCs/>
          <w:color w:val="000000" w:themeColor="text1"/>
          <w:sz w:val="16"/>
          <w:szCs w:val="16"/>
        </w:rPr>
      </w:pPr>
    </w:p>
    <w:p w14:paraId="3A7821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января 1935 в Вирджинии началась продажа пива в банках компании Крюгер (3481).</w:t>
      </w:r>
    </w:p>
    <w:p w14:paraId="2D9B5284" w14:textId="77777777" w:rsidR="00D4105E" w:rsidRPr="00E14102" w:rsidRDefault="00D4105E" w:rsidP="00E14102">
      <w:pPr>
        <w:autoSpaceDE w:val="0"/>
        <w:autoSpaceDN w:val="0"/>
        <w:adjustRightInd w:val="0"/>
        <w:jc w:val="both"/>
        <w:rPr>
          <w:color w:val="000000" w:themeColor="text1"/>
          <w:sz w:val="16"/>
          <w:szCs w:val="16"/>
        </w:rPr>
      </w:pPr>
    </w:p>
    <w:p w14:paraId="3AB96AE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24 января 1935 в Ричмонде (Вирджиния, США) выпущено первое в мире консервированное пиво (4962).</w:t>
      </w:r>
    </w:p>
    <w:p w14:paraId="76469DF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E271793" w14:textId="77777777" w:rsidR="00C40E6A" w:rsidRPr="00E14102" w:rsidRDefault="00C40E6A" w:rsidP="00E14102">
      <w:pPr>
        <w:jc w:val="both"/>
        <w:rPr>
          <w:color w:val="000000" w:themeColor="text1"/>
          <w:sz w:val="16"/>
          <w:szCs w:val="16"/>
        </w:rPr>
      </w:pPr>
      <w:r w:rsidRPr="00E14102">
        <w:rPr>
          <w:bCs/>
          <w:color w:val="000000" w:themeColor="text1"/>
          <w:sz w:val="16"/>
          <w:szCs w:val="16"/>
        </w:rPr>
        <w:t>24 января</w:t>
      </w:r>
      <w:r w:rsidRPr="00E14102">
        <w:rPr>
          <w:color w:val="000000" w:themeColor="text1"/>
          <w:sz w:val="16"/>
          <w:szCs w:val="16"/>
        </w:rPr>
        <w:t xml:space="preserve"> в 1935 году в американском городе Ричсонде (штат Вирджиния) поступила в продажу первая партия баночного пива под названием «Сливочный эль Крюгера» («Krueger Cream Ale»), произведенного компанией «Krueger Brewing Co». Оно так полюбилось покупателям, что к июню выпуск пива у Крюгера составил 550% к "добаночному" периоду, а к концу года в банки стали разливать пиво уже 23 завода. Первые пивные банки были плоскодонными: как верхняя и нижняя части у них использовались плоские металлические диски, вскрываемые консервными ножами. В сентябре 1935 года фирма "Континентэл Кэн" предложила банку с коническим верхом, наполнявшуюся и закрывавшуюся подобно бутылке (15019).</w:t>
      </w:r>
    </w:p>
    <w:p w14:paraId="0CC02C36" w14:textId="77777777" w:rsidR="00C40E6A" w:rsidRPr="00E14102" w:rsidRDefault="00C40E6A" w:rsidP="00E14102">
      <w:pPr>
        <w:jc w:val="both"/>
        <w:rPr>
          <w:color w:val="000000" w:themeColor="text1"/>
          <w:sz w:val="16"/>
          <w:szCs w:val="16"/>
        </w:rPr>
      </w:pPr>
    </w:p>
    <w:p w14:paraId="436CC3D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EA31AF4" w14:textId="77777777" w:rsidR="00D4105E" w:rsidRPr="00E14102" w:rsidRDefault="00D4105E" w:rsidP="00E14102">
      <w:pPr>
        <w:autoSpaceDE w:val="0"/>
        <w:autoSpaceDN w:val="0"/>
        <w:adjustRightInd w:val="0"/>
        <w:jc w:val="both"/>
        <w:rPr>
          <w:iCs/>
          <w:color w:val="000000" w:themeColor="text1"/>
          <w:sz w:val="16"/>
          <w:szCs w:val="16"/>
        </w:rPr>
      </w:pPr>
    </w:p>
    <w:p w14:paraId="124DCD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января 1934 года Начальник управления ВС Алкснис утвердил Требования к эталону самолета ТБ3-4М34РН (редукторному с нагнетателем) (6693).</w:t>
      </w:r>
    </w:p>
    <w:p w14:paraId="4DCE665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23954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января 1935 года Алкснис писал письмо N 40/0275 Тухачевскому.</w:t>
      </w:r>
    </w:p>
    <w:p w14:paraId="6C68A9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Рассмотрев эскизный проект легкого быстроходного бомбардировщика под два мотора Испано 12 УВ КБ N 2 Управления военных изобретений, считаю реализацию предложения желательной при условии внесения в проект ряда изменений.</w:t>
      </w:r>
    </w:p>
    <w:p w14:paraId="0631B2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принимая во внимание то, что КБ N 2 не обладает собственной производственной базой, которая является обязательной при осуществлении сложного задания по постройке скоростного бомбардировщика, считал бы рациональным передать инженеров Заславского и Бас-Дубова с их группой в качестве самостоятельной бригады на завод N 22 или, что менее желательно в качестве самостоятельного КБ на завод N 47 (Ленинград).</w:t>
      </w:r>
    </w:p>
    <w:p w14:paraId="3BAAF5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считал бы целесообразным внести в СТО вопрос о включении самолета в план опытного строительства. (3104,12).</w:t>
      </w:r>
    </w:p>
    <w:p w14:paraId="28A2F961" w14:textId="77777777" w:rsidR="00D4105E" w:rsidRPr="00E14102" w:rsidRDefault="00D4105E" w:rsidP="00E14102">
      <w:pPr>
        <w:autoSpaceDE w:val="0"/>
        <w:autoSpaceDN w:val="0"/>
        <w:adjustRightInd w:val="0"/>
        <w:jc w:val="both"/>
        <w:rPr>
          <w:color w:val="000000" w:themeColor="text1"/>
          <w:sz w:val="16"/>
          <w:szCs w:val="16"/>
        </w:rPr>
      </w:pPr>
    </w:p>
    <w:p w14:paraId="0F45D9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января 1935 года Начальник УВС Алкснис утвердил:</w:t>
      </w:r>
    </w:p>
    <w:p w14:paraId="05AD46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Протокол совещания у начальника УВС по строительству транспортного самолета “Т.С.1” – 19 января 1935 года</w:t>
      </w:r>
    </w:p>
    <w:p w14:paraId="638496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Присутствовали: начальник УВВС Алкснис, врид начальника ГУАП Марголин, начальник 4 отдела УВС Базенков, начальник НИИ ВС Лавров, начальник отделения УВС Горощенко, ст. конструктор “ТС1” Можаев, инженер-конструктор Ковальков и Осипенко.</w:t>
      </w:r>
    </w:p>
    <w:p w14:paraId="709B17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Можаев сообщил совещанию историю возникновения идеи необходимости создания и хода строительства транспортного самолета “ТС-1”, а также о тех трудностях особенно за последнее время, в которые упирается строительство самолета.</w:t>
      </w:r>
    </w:p>
    <w:p w14:paraId="08D738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Горощенко считает, что как сама идея, так и оригинальность конструкции заслуживают полного внимания и всемерного форсирования окончательной постройки с тем, чтобы в 1935 году успеть провести гос. испытание этого самолета.</w:t>
      </w:r>
    </w:p>
    <w:p w14:paraId="43AFDE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Лавров – целиком поддерживает Горощенко.</w:t>
      </w:r>
    </w:p>
    <w:p w14:paraId="4CE844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Марголин выражает сомнение в надежности сварки встык стальных хромомолибденовых труб и считает скорость самолета в 199 км/час на сегодня недостаточной, но поскольку есть решение Правительства о постройке этого самолета – надо его строить.</w:t>
      </w:r>
    </w:p>
    <w:p w14:paraId="059A4B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обмена мнениями начальник УВС Алкснис как общий вывод, заключает следующее:</w:t>
      </w:r>
    </w:p>
    <w:p w14:paraId="0B5735F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Во исполнение решения Правительства от 2 июля 1934 года № 1561 немедленно оформить заключение договора между ГУАПом и УВС, ответственность со стороны УВС возлагается на Базенкова, со стороны ГУАПа – на Зорина.</w:t>
      </w:r>
    </w:p>
    <w:p w14:paraId="2BBE556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Принять к сведению заявление Марголина об обеспечении размещения заказа постройки “ТС1” на заводах ГУАПа.</w:t>
      </w:r>
    </w:p>
    <w:p w14:paraId="3FDFBA0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Уточнить предварительную калькуляцию стоимости постройки самолета и окончательный срок постройки его.</w:t>
      </w:r>
    </w:p>
    <w:p w14:paraId="04F11F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исполнения 1 февраля 1935 года. Ответственность со стороны УВС – на Можаева, со стороны ГУАПа – на …………..</w:t>
      </w:r>
    </w:p>
    <w:p w14:paraId="315138E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Перед началом статических испытаний произвести демонстрацию в грузовом отсеке крыла – загрузку и выгрузку объектов согласно программы НИИ ВВС.</w:t>
      </w:r>
    </w:p>
    <w:p w14:paraId="13FFD40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Перед началом постройки опытного самолета считает обязательным проведение статических испытаний следующих частей указанного самолета: а) одного главного лонжерона; б) полного крыла; в) оперения; г) одной стойки шасси и д) части фюзеляжа.</w:t>
      </w:r>
    </w:p>
    <w:p w14:paraId="5874C9A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Считать ответственным за качество постройки самолета в соответствии с чертежами – ГУАП в лице строющего завода, а за конструкцию – УВС в лице группы конструкторов во главе с Можаевым</w:t>
      </w:r>
    </w:p>
    <w:p w14:paraId="136A159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Надпись:</w:t>
      </w:r>
    </w:p>
    <w:p w14:paraId="67CA311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Тов. Марголин. не возражает против изготовления частей (объектов) для статиспытаний на заводе № 18</w:t>
      </w:r>
    </w:p>
    <w:p w14:paraId="52CA424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25 января 1935.</w:t>
      </w:r>
    </w:p>
    <w:p w14:paraId="345C9DF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Верно: Машкевич (4213, 16).</w:t>
      </w:r>
    </w:p>
    <w:p w14:paraId="6024EB37"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1DAD8032" w14:textId="77777777" w:rsidR="00B44B59" w:rsidRPr="00E14102" w:rsidRDefault="00B44B59" w:rsidP="00E14102">
      <w:pPr>
        <w:jc w:val="both"/>
        <w:rPr>
          <w:color w:val="0070C0"/>
          <w:sz w:val="16"/>
          <w:szCs w:val="16"/>
        </w:rPr>
      </w:pPr>
      <w:r w:rsidRPr="00E14102">
        <w:rPr>
          <w:color w:val="0070C0"/>
          <w:sz w:val="16"/>
          <w:szCs w:val="16"/>
        </w:rPr>
        <w:t>25 января 1935 года начальник УВВСЯ.Алкснис утвердил отчет о результатах государ</w:t>
      </w:r>
      <w:r w:rsidRPr="00E14102">
        <w:rPr>
          <w:color w:val="0070C0"/>
          <w:sz w:val="16"/>
          <w:szCs w:val="16"/>
        </w:rPr>
        <w:softHyphen/>
        <w:t>ственных испытаний в НИИ ВВС мотора М-85 производства завода № 29, которые шли с 5 октября 1934 года (23188).</w:t>
      </w:r>
    </w:p>
    <w:p w14:paraId="241BB0F8" w14:textId="77777777" w:rsidR="00B44B59" w:rsidRPr="00E14102" w:rsidRDefault="00B44B59" w:rsidP="00E14102">
      <w:pPr>
        <w:jc w:val="both"/>
        <w:rPr>
          <w:color w:val="0070C0"/>
          <w:sz w:val="16"/>
          <w:szCs w:val="16"/>
        </w:rPr>
      </w:pPr>
    </w:p>
    <w:p w14:paraId="036078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января 1935 года начальник Управления ВВС Алкснис писал письмо N 40/0271 Базилевичу.</w:t>
      </w:r>
    </w:p>
    <w:p w14:paraId="270304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В/N 70/КО</w:t>
      </w:r>
    </w:p>
    <w:p w14:paraId="39D939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вопросу: Эксплуатации самолетов с тормозными колесами в УВС.</w:t>
      </w:r>
    </w:p>
    <w:p w14:paraId="5D6D72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Р5:</w:t>
      </w:r>
    </w:p>
    <w:p w14:paraId="4AD8D6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апреля 1934 года завод N 1 начал выпускать самолеты Р5 с тормозными колесами: их в частях ВС находится в эксплуатации до 850 штук.</w:t>
      </w:r>
    </w:p>
    <w:p w14:paraId="7BA4B6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Система управления тормозами - гидравлическая. В результате частичной эксплуатации этих колес, выявились ряд дефектов, затрудняющих нормальную эксплуатацию.</w:t>
      </w:r>
    </w:p>
    <w:p w14:paraId="78EA06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Дефекты тормозных колес самолета Р5 объясняются в основном тем, что завод N 120, выпускающий тормозные колеса не освоил их производство, благодаря чему тормозная система как у самолета Р5, так и других самолетов работает удовлетворительно в опытном образце, построенном ЦАГИ и начинает отказывать при установке серийных экземпляров выпуска завода N 120.</w:t>
      </w:r>
    </w:p>
    <w:p w14:paraId="450C9D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 разработал пневматическую систему торможения для самолета Р5 М-17. Эта система прошла испытания и как с точки зрения надежности, так и удобства торможения значительно лучше применяемой в настоящее время гидравлической системы.</w:t>
      </w:r>
    </w:p>
    <w:p w14:paraId="1010DF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Однако, внедрение ее в серийное производство ведется ГУАП недопустимо медленно.</w:t>
      </w:r>
    </w:p>
    <w:p w14:paraId="7251B4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ТБ-3.</w:t>
      </w:r>
    </w:p>
    <w:p w14:paraId="439018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частях ВС на эксплуатации находятся 26 самолетов с тормозными колесами. Система управления тормозами на этом самолете и свойственные ей дефекты аналогичны тормозной системе самолета Р5.</w:t>
      </w:r>
    </w:p>
    <w:p w14:paraId="0A05A5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Р6.</w:t>
      </w:r>
    </w:p>
    <w:p w14:paraId="15B0B6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этом самолете установлена система управления тормозами пневмогидравлическая. В частях ВС на эксплуатации находятся 6 самолетов.</w:t>
      </w:r>
    </w:p>
    <w:p w14:paraId="3765C7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войсковых испытаниях тормозных колес, проведенных в декабре 1934 года, обнаружен ряд производственных дефектов: они должны быть устранены в процессе серийного производства колес.</w:t>
      </w:r>
    </w:p>
    <w:p w14:paraId="56AF2E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И5.</w:t>
      </w:r>
    </w:p>
    <w:p w14:paraId="19A1AB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договору на 1934 год завод N 21 обязан был сдать УВС 65 самолетов с тормозными колесами. При испытании головного самолета с тормозными колесами оказалось, что конструкция шасси слаба.</w:t>
      </w:r>
    </w:p>
    <w:p w14:paraId="6A2FFF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Учитывая, что завод делает последнюю серию, после чего производство этого самолета снимается, завод отказался довести самолет И5 под тормозные колеса и сдал таковые на спицевых.</w:t>
      </w:r>
    </w:p>
    <w:p w14:paraId="4E769A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У-2.</w:t>
      </w:r>
    </w:p>
    <w:p w14:paraId="3714A7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Схема управления - механическая.</w:t>
      </w:r>
    </w:p>
    <w:p w14:paraId="2E5BAF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Войсковые испытания показали необходимость коренной переделки тормозного шасси ввиду недостаточной амортизации.</w:t>
      </w:r>
    </w:p>
    <w:p w14:paraId="0E638C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этого, завод N 23, выпускающий самолеты У2, отказывается устанавливать тормозные колеса на этих самолетах заказа 1935 года.</w:t>
      </w:r>
    </w:p>
    <w:p w14:paraId="1C2344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И-15.</w:t>
      </w:r>
    </w:p>
    <w:p w14:paraId="100331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Тормозное приспособление - механическое, оно удобно и просто в употреблении.</w:t>
      </w:r>
    </w:p>
    <w:p w14:paraId="65A11D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 чувствует степень торможения ногой, чего нет в вышеуказанных системах.</w:t>
      </w:r>
    </w:p>
    <w:p w14:paraId="70F5EE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Тормозные колеса прошли гос. испытания удовлетворительно. Недостатком этой системы является вытяжка тросов и образования люфтов в рычагах.</w:t>
      </w:r>
    </w:p>
    <w:p w14:paraId="25C4C7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это требует тщательной регулировки управления тормозами.</w:t>
      </w:r>
    </w:p>
    <w:p w14:paraId="093137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настоящий момент тормозные колеса ставятся на серийные самолеты.</w:t>
      </w:r>
    </w:p>
    <w:p w14:paraId="402DB5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Опыта эксплуатации в частях ВВС не имеется, так как самолеты только что начали поступать на эксплуатацию.</w:t>
      </w:r>
    </w:p>
    <w:p w14:paraId="34A46A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И-14 и И-16.</w:t>
      </w:r>
    </w:p>
    <w:p w14:paraId="22980D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Тормозное приспособление - механическое. Гос. испытания тормозные колеса в следствие их недоведенности не проходили.</w:t>
      </w:r>
    </w:p>
    <w:p w14:paraId="3E5040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на эксплуатацию еще не поступили.</w:t>
      </w:r>
    </w:p>
    <w:p w14:paraId="27D27B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Резюме:</w:t>
      </w:r>
    </w:p>
    <w:p w14:paraId="50C64F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на тормозные колеса всех самолетов ВС ГУАП"ом не обеспечен.</w:t>
      </w:r>
    </w:p>
    <w:p w14:paraId="62E0DB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Наиболее слабым звеном является не выпуск опытных тормозных колес, а их серийное производство и установка на самолеты (тормозные шасси). (3104,9-10).</w:t>
      </w:r>
    </w:p>
    <w:p w14:paraId="6740DAF0" w14:textId="77777777" w:rsidR="00D4105E" w:rsidRPr="00E14102" w:rsidRDefault="00D4105E" w:rsidP="00E14102">
      <w:pPr>
        <w:autoSpaceDE w:val="0"/>
        <w:autoSpaceDN w:val="0"/>
        <w:adjustRightInd w:val="0"/>
        <w:jc w:val="both"/>
        <w:rPr>
          <w:color w:val="000000" w:themeColor="text1"/>
          <w:sz w:val="16"/>
          <w:szCs w:val="16"/>
        </w:rPr>
      </w:pPr>
    </w:p>
    <w:p w14:paraId="3E1C19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января 1935 года Алкснис писал письмо № 40/0271 Базилевичу на В/№-70/КО</w:t>
      </w:r>
    </w:p>
    <w:p w14:paraId="56FCEF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вопросу: эксплуатации самолетов с тормозными колесами в УВС</w:t>
      </w:r>
    </w:p>
    <w:p w14:paraId="406C1E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Р5:</w:t>
      </w:r>
    </w:p>
    <w:p w14:paraId="0ECC2E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апреля 1934 года завод № 1 начал выпускать самолеты Р-5 с тормозными колесами.</w:t>
      </w:r>
    </w:p>
    <w:p w14:paraId="4A22C6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результате частичной эксплуатации этих колес выявился ряд дефектов ………….</w:t>
      </w:r>
    </w:p>
    <w:p w14:paraId="331CFF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Дефекты тормозных колес самолета Р-5 объясняются в основном тем, что завод № 120, выпускающий тормозные колеса, не освоил их производства, благодаря чему тормозная система как у самолета Р5, так и других самолетов работает удовлетворительно в опытном образце, построенном ЦАГИ и начинает отказывать при установке серийных экземпляров выпуска завода № 120.</w:t>
      </w:r>
    </w:p>
    <w:p w14:paraId="7A9171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ТБ-3</w:t>
      </w:r>
    </w:p>
    <w:p w14:paraId="38BBDA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частях ВВС на эксплуатации находятся 26 самолетов с тормозными колесами. Система управления тормозами на этом самолете и свойственные ей дефекты аналогичны тормозной системе самолета Р5.</w:t>
      </w:r>
    </w:p>
    <w:p w14:paraId="19B262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Р6</w:t>
      </w:r>
    </w:p>
    <w:p w14:paraId="6B7077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этом самолете установлена система управления тормозами пневмогидравлическая. В частях ВС на эксплуатации находятся 6 самолетов.</w:t>
      </w:r>
    </w:p>
    <w:p w14:paraId="549A28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войсковых испытаниях тормозных колес, проведенных в декабре 1934 года, обнаружен ряд производственных дефектов; они должны быть устранены в процессе серийного производства колес.</w:t>
      </w:r>
    </w:p>
    <w:p w14:paraId="390D1D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И-5</w:t>
      </w:r>
    </w:p>
    <w:p w14:paraId="47275F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договору 1934 года завод № 21 обязан был сдать УВС 65 самолетов с тормозными колесами. При испытании головного самолета с тормозными колесами оказалось, что конструкция шасси слаба.</w:t>
      </w:r>
    </w:p>
    <w:p w14:paraId="4C8800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Учитывая, что завод делает последнюю серию, после чего производство этого самолета снимается, завод оказался довести самолет И5 под тормозные колеса и сдал таковые на спицевых.</w:t>
      </w:r>
    </w:p>
    <w:p w14:paraId="18948F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У-2</w:t>
      </w:r>
    </w:p>
    <w:p w14:paraId="1651C3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Схема управления – механическая.</w:t>
      </w:r>
    </w:p>
    <w:p w14:paraId="59CF2A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Войсковые испытания колес показали необходимость коренной переделки тормозного шасси, ввиду недостаточной амортизации.</w:t>
      </w:r>
    </w:p>
    <w:p w14:paraId="7B9434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этого, завод № 22, выпускающий самолеты У-2, отказывается устанавливать тормозные колеса на этих самолетах заказа 1935 года.</w:t>
      </w:r>
    </w:p>
    <w:p w14:paraId="7FA7A5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И-15</w:t>
      </w:r>
    </w:p>
    <w:p w14:paraId="5D9246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Тормозное приспособление – Механическое, оно удобно и просто в употреблении.</w:t>
      </w:r>
    </w:p>
    <w:p w14:paraId="4F975B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Тормозные колеса прошли гос. испытания удовлетворительно.</w:t>
      </w:r>
    </w:p>
    <w:p w14:paraId="7CA904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настоящий момент тормозные колеса ставятся на серийные самолеты.</w:t>
      </w:r>
    </w:p>
    <w:p w14:paraId="7B2979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Опыта эксплуатации в частях ВВС не имеется, так как самолеты только что начали поступать на эксплуатацию.</w:t>
      </w:r>
    </w:p>
    <w:p w14:paraId="01362F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И-14 и И-16</w:t>
      </w:r>
    </w:p>
    <w:p w14:paraId="16BC4A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 испытания тормозные колеса еще не проходили вследствие их недоведенности.</w:t>
      </w:r>
    </w:p>
    <w:p w14:paraId="508408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Выводы:</w:t>
      </w:r>
    </w:p>
    <w:p w14:paraId="7457DA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на тормозные колеса всех самолетов ВС не обеспечен.</w:t>
      </w:r>
    </w:p>
    <w:p w14:paraId="69572A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Наиболее слабым звеном является не выпуск опытных тормозных колес, а их серийное производство и установка на самолеты (тормозные шасси) (4235,30-31).</w:t>
      </w:r>
    </w:p>
    <w:p w14:paraId="4FF90D2F" w14:textId="77777777" w:rsidR="00D4105E" w:rsidRPr="00E14102" w:rsidRDefault="00D4105E" w:rsidP="00E14102">
      <w:pPr>
        <w:autoSpaceDE w:val="0"/>
        <w:autoSpaceDN w:val="0"/>
        <w:adjustRightInd w:val="0"/>
        <w:jc w:val="both"/>
        <w:rPr>
          <w:color w:val="000000" w:themeColor="text1"/>
          <w:sz w:val="16"/>
          <w:szCs w:val="16"/>
        </w:rPr>
      </w:pPr>
    </w:p>
    <w:p w14:paraId="207B96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января 1935 года военное представительство на заводе N 31 N 00496.</w:t>
      </w:r>
    </w:p>
    <w:p w14:paraId="405A97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Сводка заказов УВВС и выполнения их в 1934 году заводом N 31 им. Димитрова.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E3599D" w:rsidRPr="00E14102" w14:paraId="29AD9049" w14:textId="77777777">
        <w:tc>
          <w:tcPr>
            <w:tcW w:w="2818" w:type="dxa"/>
            <w:tcBorders>
              <w:top w:val="single" w:sz="12" w:space="0" w:color="auto"/>
            </w:tcBorders>
          </w:tcPr>
          <w:p w14:paraId="6E7AD3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w:t>
            </w:r>
          </w:p>
        </w:tc>
        <w:tc>
          <w:tcPr>
            <w:tcW w:w="2818" w:type="dxa"/>
            <w:tcBorders>
              <w:top w:val="single" w:sz="12" w:space="0" w:color="auto"/>
            </w:tcBorders>
          </w:tcPr>
          <w:p w14:paraId="791AFE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Годовой</w:t>
            </w:r>
          </w:p>
        </w:tc>
        <w:tc>
          <w:tcPr>
            <w:tcW w:w="2818" w:type="dxa"/>
            <w:tcBorders>
              <w:top w:val="single" w:sz="12" w:space="0" w:color="auto"/>
            </w:tcBorders>
          </w:tcPr>
          <w:p w14:paraId="1B9B23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Выполнено</w:t>
            </w:r>
          </w:p>
        </w:tc>
      </w:tr>
      <w:tr w:rsidR="00E3599D" w:rsidRPr="00E14102" w14:paraId="0AF94901" w14:textId="77777777">
        <w:tc>
          <w:tcPr>
            <w:tcW w:w="2818" w:type="dxa"/>
          </w:tcPr>
          <w:p w14:paraId="02850F7F"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Pr>
          <w:p w14:paraId="45B03F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заказ</w:t>
            </w:r>
          </w:p>
        </w:tc>
        <w:tc>
          <w:tcPr>
            <w:tcW w:w="2818" w:type="dxa"/>
          </w:tcPr>
          <w:p w14:paraId="158E30F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AFF0F75" w14:textId="77777777">
        <w:tc>
          <w:tcPr>
            <w:tcW w:w="2818" w:type="dxa"/>
          </w:tcPr>
          <w:p w14:paraId="187253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 М-17</w:t>
            </w:r>
          </w:p>
        </w:tc>
        <w:tc>
          <w:tcPr>
            <w:tcW w:w="2818" w:type="dxa"/>
          </w:tcPr>
          <w:p w14:paraId="74FE03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2818" w:type="dxa"/>
          </w:tcPr>
          <w:p w14:paraId="4FCCB3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w:t>
            </w:r>
          </w:p>
        </w:tc>
      </w:tr>
      <w:tr w:rsidR="00E3599D" w:rsidRPr="00E14102" w14:paraId="6914A6BA" w14:textId="77777777">
        <w:tc>
          <w:tcPr>
            <w:tcW w:w="2818" w:type="dxa"/>
          </w:tcPr>
          <w:p w14:paraId="2600EB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АШ М-11</w:t>
            </w:r>
          </w:p>
        </w:tc>
        <w:tc>
          <w:tcPr>
            <w:tcW w:w="2818" w:type="dxa"/>
          </w:tcPr>
          <w:p w14:paraId="0C60DC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2818" w:type="dxa"/>
          </w:tcPr>
          <w:p w14:paraId="7AE974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r>
      <w:tr w:rsidR="00E3599D" w:rsidRPr="00E14102" w14:paraId="229C9E25" w14:textId="77777777">
        <w:tc>
          <w:tcPr>
            <w:tcW w:w="2818" w:type="dxa"/>
          </w:tcPr>
          <w:p w14:paraId="584D0F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 3М-34</w:t>
            </w:r>
          </w:p>
        </w:tc>
        <w:tc>
          <w:tcPr>
            <w:tcW w:w="2818" w:type="dxa"/>
          </w:tcPr>
          <w:p w14:paraId="1F52CB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2818" w:type="dxa"/>
          </w:tcPr>
          <w:p w14:paraId="4646BB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7788C9DD" w14:textId="77777777">
        <w:tc>
          <w:tcPr>
            <w:tcW w:w="2818" w:type="dxa"/>
          </w:tcPr>
          <w:p w14:paraId="6D6BC7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МБР-4 АССО</w:t>
            </w:r>
          </w:p>
        </w:tc>
        <w:tc>
          <w:tcPr>
            <w:tcW w:w="2818" w:type="dxa"/>
          </w:tcPr>
          <w:p w14:paraId="5AD2A1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2818" w:type="dxa"/>
          </w:tcPr>
          <w:p w14:paraId="5D82A1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8B9B60D" w14:textId="77777777">
        <w:tc>
          <w:tcPr>
            <w:tcW w:w="2818" w:type="dxa"/>
          </w:tcPr>
          <w:p w14:paraId="55B52C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Лодка МБР4</w:t>
            </w:r>
          </w:p>
        </w:tc>
        <w:tc>
          <w:tcPr>
            <w:tcW w:w="2818" w:type="dxa"/>
          </w:tcPr>
          <w:p w14:paraId="2266F5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2818" w:type="dxa"/>
          </w:tcPr>
          <w:p w14:paraId="62E1BA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r>
      <w:tr w:rsidR="00E3599D" w:rsidRPr="00E14102" w14:paraId="734F6B0C" w14:textId="77777777">
        <w:tc>
          <w:tcPr>
            <w:tcW w:w="2818" w:type="dxa"/>
          </w:tcPr>
          <w:p w14:paraId="5789CB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Без договора:</w:t>
            </w:r>
          </w:p>
        </w:tc>
        <w:tc>
          <w:tcPr>
            <w:tcW w:w="2818" w:type="dxa"/>
          </w:tcPr>
          <w:p w14:paraId="5C3E3E6E"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Pr>
          <w:p w14:paraId="5AEDE3F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B684E5F" w14:textId="77777777">
        <w:tc>
          <w:tcPr>
            <w:tcW w:w="2818" w:type="dxa"/>
            <w:tcBorders>
              <w:bottom w:val="single" w:sz="12" w:space="0" w:color="auto"/>
            </w:tcBorders>
          </w:tcPr>
          <w:p w14:paraId="48CA8F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Р-6 2М-17</w:t>
            </w:r>
          </w:p>
        </w:tc>
        <w:tc>
          <w:tcPr>
            <w:tcW w:w="2818" w:type="dxa"/>
            <w:tcBorders>
              <w:bottom w:val="single" w:sz="12" w:space="0" w:color="auto"/>
            </w:tcBorders>
          </w:tcPr>
          <w:p w14:paraId="1DFFD4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18" w:type="dxa"/>
            <w:tcBorders>
              <w:bottom w:val="single" w:sz="12" w:space="0" w:color="auto"/>
            </w:tcBorders>
          </w:tcPr>
          <w:p w14:paraId="7A95AF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(3072,110).</w:t>
            </w:r>
          </w:p>
        </w:tc>
      </w:tr>
    </w:tbl>
    <w:p w14:paraId="4B938095" w14:textId="77777777" w:rsidR="00D4105E" w:rsidRPr="00E14102" w:rsidRDefault="00D4105E" w:rsidP="00E14102">
      <w:pPr>
        <w:autoSpaceDE w:val="0"/>
        <w:autoSpaceDN w:val="0"/>
        <w:adjustRightInd w:val="0"/>
        <w:jc w:val="both"/>
        <w:rPr>
          <w:color w:val="000000" w:themeColor="text1"/>
          <w:sz w:val="16"/>
          <w:szCs w:val="16"/>
        </w:rPr>
      </w:pPr>
    </w:p>
    <w:p w14:paraId="74B8A7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января 1935 г. из второго отделения УВИ НВ РККА за подписью инженера высшей категории ОИ НКО СССР Попкова был отправлен отрицательный отзыв на изобретение Сухинина по еще одному способу стабилизации РС в полете. Суть его в общих чертах можно понять из это</w:t>
      </w:r>
      <w:r w:rsidRPr="00E14102">
        <w:rPr>
          <w:color w:val="000000" w:themeColor="text1"/>
          <w:sz w:val="16"/>
          <w:szCs w:val="16"/>
        </w:rPr>
        <w:softHyphen/>
        <w:t>го письма. «При рассмотрении Вашего предложения о стабилизации РС на полете найдено, что оно во всех существенных чертах совпадает с уст</w:t>
      </w:r>
      <w:r w:rsidRPr="00E14102">
        <w:rPr>
          <w:color w:val="000000" w:themeColor="text1"/>
          <w:sz w:val="16"/>
          <w:szCs w:val="16"/>
        </w:rPr>
        <w:softHyphen/>
        <w:t>ройством общеизвестной ракеты Унче (на самом деле, шведского конст</w:t>
      </w:r>
      <w:r w:rsidRPr="00E14102">
        <w:rPr>
          <w:color w:val="000000" w:themeColor="text1"/>
          <w:sz w:val="16"/>
          <w:szCs w:val="16"/>
        </w:rPr>
        <w:softHyphen/>
        <w:t>руктора звали Вильгельм Теодор Унге. — С.Р.), описание и чертеж кото</w:t>
      </w:r>
      <w:r w:rsidRPr="00E14102">
        <w:rPr>
          <w:color w:val="000000" w:themeColor="text1"/>
          <w:sz w:val="16"/>
          <w:szCs w:val="16"/>
        </w:rPr>
        <w:softHyphen/>
        <w:t>рой имеется в книге Н.А.Рынина «Ракеты» 1929 г. (стр. 16 и 19). Изло</w:t>
      </w:r>
      <w:r w:rsidRPr="00E14102">
        <w:rPr>
          <w:color w:val="000000" w:themeColor="text1"/>
          <w:sz w:val="16"/>
          <w:szCs w:val="16"/>
        </w:rPr>
        <w:softHyphen/>
        <w:t xml:space="preserve">женные Вами недостатки оперенных ракет, в общем, правильны, однако Ваше предложение их отнюдь не устраняет. Ввиду того, что к моменту вылета из направляющего </w:t>
      </w:r>
      <w:r w:rsidRPr="00E14102">
        <w:rPr>
          <w:color w:val="000000" w:themeColor="text1"/>
          <w:sz w:val="16"/>
          <w:szCs w:val="16"/>
        </w:rPr>
        <w:lastRenderedPageBreak/>
        <w:t>прибора успевает сгореть весьма небольшая часть РЗ, скорость вращения в этот момент, очевидно, будет незначи</w:t>
      </w:r>
      <w:r w:rsidRPr="00E14102">
        <w:rPr>
          <w:color w:val="000000" w:themeColor="text1"/>
          <w:sz w:val="16"/>
          <w:szCs w:val="16"/>
        </w:rPr>
        <w:softHyphen/>
        <w:t>тельной и не сможет обеспечить устойчивости снаряду в первые же мгновения его свободного полета.</w:t>
      </w:r>
    </w:p>
    <w:p w14:paraId="6AFCC00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Находясь в потоке высоко нагретых газов, винтообразная лопасть должна быть достаточно массивной. В противном случае, она расплавит</w:t>
      </w:r>
      <w:r w:rsidRPr="00E14102">
        <w:rPr>
          <w:color w:val="000000" w:themeColor="text1"/>
          <w:sz w:val="16"/>
          <w:szCs w:val="16"/>
        </w:rPr>
        <w:softHyphen/>
        <w:t>ся или сгорит. В связи с этим, снаряд должен быть утяжелен. При малей</w:t>
      </w:r>
      <w:r w:rsidRPr="00E14102">
        <w:rPr>
          <w:color w:val="000000" w:themeColor="text1"/>
          <w:sz w:val="16"/>
          <w:szCs w:val="16"/>
        </w:rPr>
        <w:softHyphen/>
        <w:t>шей неточности в установке лопасти будут возникать моменты, наруша</w:t>
      </w:r>
      <w:r w:rsidRPr="00E14102">
        <w:rPr>
          <w:color w:val="000000" w:themeColor="text1"/>
          <w:sz w:val="16"/>
          <w:szCs w:val="16"/>
        </w:rPr>
        <w:softHyphen/>
        <w:t>ющие устойчивость снаряда. Это усугубляется тем, что лопасть вращаю</w:t>
      </w:r>
      <w:r w:rsidRPr="00E14102">
        <w:rPr>
          <w:color w:val="000000" w:themeColor="text1"/>
          <w:sz w:val="16"/>
          <w:szCs w:val="16"/>
        </w:rPr>
        <w:softHyphen/>
        <w:t>щей пары находится далеко от центра тяжести РС.</w:t>
      </w:r>
    </w:p>
    <w:p w14:paraId="7D5F40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Ввиду того, что кпд реактивного действия газов невелик, пришлось бы значительную часть энергии газов использовать на вращение. Одна</w:t>
      </w:r>
      <w:r w:rsidRPr="00E14102">
        <w:rPr>
          <w:color w:val="000000" w:themeColor="text1"/>
          <w:sz w:val="16"/>
          <w:szCs w:val="16"/>
        </w:rPr>
        <w:softHyphen/>
        <w:t>ко, поступательная скорость снаряда, а потому и дальность его, умень</w:t>
      </w:r>
      <w:r w:rsidRPr="00E14102">
        <w:rPr>
          <w:color w:val="000000" w:themeColor="text1"/>
          <w:sz w:val="16"/>
          <w:szCs w:val="16"/>
        </w:rPr>
        <w:softHyphen/>
        <w:t>шатся. В свое время в РНИИ были проведены широкие испытания РС. вращение которых достигалось выпуском части газов через касательные сопла, высверленные в ракетной камере. То есть, было осуществлено устройство, аналогичное газовой турбине. При таком весьма несложном, но более надежном, чем предложенное Вами устройстве, указанные вы</w:t>
      </w:r>
      <w:r w:rsidRPr="00E14102">
        <w:rPr>
          <w:color w:val="000000" w:themeColor="text1"/>
          <w:sz w:val="16"/>
          <w:szCs w:val="16"/>
        </w:rPr>
        <w:softHyphen/>
        <w:t>ше обстоятельства сказались в такой степени, что разработка снарядов с вращением под действием самого РЗ была оставлена.</w:t>
      </w:r>
    </w:p>
    <w:p w14:paraId="4A2DFFC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Ввиду изложенного, реализация Вашего предложения не является целесообразной, секретность с него снимается. Вам рекомендуется для более подробных разъяснений обратиться за консультацией в РНИИ».</w:t>
      </w:r>
    </w:p>
    <w:p w14:paraId="61B936E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Здесь товарищ Попков оказался не совсем прав в той части своих объяснений, где утверждал о значительных потерях «энергии газов», ис</w:t>
      </w:r>
      <w:r w:rsidRPr="00E14102">
        <w:rPr>
          <w:color w:val="000000" w:themeColor="text1"/>
          <w:sz w:val="16"/>
          <w:szCs w:val="16"/>
        </w:rPr>
        <w:softHyphen/>
        <w:t>пользованных на вращение ракетного снаряда схемы Унге. Вне сомнения, через боковые наклонные сопла авиационных ТРС разработки 1932 г., на которые он ссылается, продукты горения РЗ расходовались лишь на вращение снаряда, уменьшая энергетику двигателя, столь необ</w:t>
      </w:r>
      <w:r w:rsidRPr="00E14102">
        <w:rPr>
          <w:color w:val="000000" w:themeColor="text1"/>
          <w:sz w:val="16"/>
          <w:szCs w:val="16"/>
        </w:rPr>
        <w:softHyphen/>
        <w:t>ходимую для поступательного движения и достижения высокой скоро</w:t>
      </w:r>
      <w:r w:rsidRPr="00E14102">
        <w:rPr>
          <w:color w:val="000000" w:themeColor="text1"/>
          <w:sz w:val="16"/>
          <w:szCs w:val="16"/>
        </w:rPr>
        <w:softHyphen/>
        <w:t>сти. Во всяком случае, схема германских ТРС довоенной разработки и отечественных послевоенной разработки с сопловыми коллекторами из наклонных сопел использовали замысел Унге без больших энергети</w:t>
      </w:r>
      <w:r w:rsidRPr="00E14102">
        <w:rPr>
          <w:color w:val="000000" w:themeColor="text1"/>
          <w:sz w:val="16"/>
          <w:szCs w:val="16"/>
        </w:rPr>
        <w:softHyphen/>
        <w:t>ческих затрат.</w:t>
      </w:r>
    </w:p>
    <w:p w14:paraId="197C00B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 менее любопытной оказалась судьба РС крупного калибра, работу над которым в течение многих лет вел инженер НИО завода №67 М.Н.Тверской. Научно-исследовательский отдел, в котором он работал, специализировалось на проектировании авиационного бомбового воору</w:t>
      </w:r>
      <w:r w:rsidRPr="00E14102">
        <w:rPr>
          <w:color w:val="000000" w:themeColor="text1"/>
          <w:sz w:val="16"/>
          <w:szCs w:val="16"/>
        </w:rPr>
        <w:softHyphen/>
        <w:t>жения. С 1932 г. там открыли новое научное направление по авиабомбам с дополнительными скоростями. Если вернуться к четвертой главе, где из</w:t>
      </w:r>
      <w:r w:rsidRPr="00E14102">
        <w:rPr>
          <w:color w:val="000000" w:themeColor="text1"/>
          <w:sz w:val="16"/>
          <w:szCs w:val="16"/>
        </w:rPr>
        <w:softHyphen/>
        <w:t>лагается, как авиабомбы с ДС конструировали ракетчики, можно отметить, что их творения выглядели подобно большим РС. У Тверского наоборот, РС напоминал, скорее, большую авиабомбу (11402).</w:t>
      </w:r>
    </w:p>
    <w:p w14:paraId="4533C97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EC5A0EA" w14:textId="77777777" w:rsidR="005259F6"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EBB2F6A" w14:textId="77777777" w:rsidR="005259F6" w:rsidRPr="00E14102" w:rsidRDefault="005259F6" w:rsidP="00E14102">
      <w:pPr>
        <w:autoSpaceDE w:val="0"/>
        <w:autoSpaceDN w:val="0"/>
        <w:adjustRightInd w:val="0"/>
        <w:jc w:val="both"/>
        <w:rPr>
          <w:iCs/>
          <w:color w:val="000000" w:themeColor="text1"/>
          <w:sz w:val="16"/>
          <w:szCs w:val="16"/>
        </w:rPr>
      </w:pPr>
    </w:p>
    <w:p w14:paraId="5E16B977" w14:textId="77777777" w:rsidR="00D56556" w:rsidRPr="00E14102" w:rsidRDefault="00D56556" w:rsidP="00E14102">
      <w:pPr>
        <w:jc w:val="both"/>
        <w:rPr>
          <w:color w:val="000000" w:themeColor="text1"/>
          <w:sz w:val="16"/>
          <w:szCs w:val="16"/>
        </w:rPr>
      </w:pPr>
      <w:r w:rsidRPr="00E14102">
        <w:rPr>
          <w:color w:val="000000" w:themeColor="text1"/>
          <w:sz w:val="16"/>
          <w:szCs w:val="16"/>
        </w:rPr>
        <w:t>25 января 1935 г. на НИАПе закончились заводские испытания опытного образца 76-мм пушки Л-3, которые шли с 19 декабря 1934 г. В ходе стрельбы отмечены прорыв газов в затворе и повреждения ударника. Меткость неудовлетворительная. После доработок на заводе Л-3 23 мая 1935 г. вновь попала на НИАП для повторных испытаний. При стрельбе снарядом весом 7,1 кг начальная скорость 720 м/с, а дальность 13942 м. На вооружение Л-3 принята не была (15117).</w:t>
      </w:r>
    </w:p>
    <w:p w14:paraId="28D600C5" w14:textId="77777777" w:rsidR="00D56556" w:rsidRPr="00E14102" w:rsidRDefault="00D56556" w:rsidP="00E14102">
      <w:pPr>
        <w:jc w:val="both"/>
        <w:rPr>
          <w:color w:val="000000" w:themeColor="text1"/>
          <w:sz w:val="16"/>
          <w:szCs w:val="16"/>
        </w:rPr>
      </w:pPr>
    </w:p>
    <w:p w14:paraId="34E846AE" w14:textId="77777777" w:rsidR="005259F6" w:rsidRPr="00E14102" w:rsidRDefault="005259F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25 января 1935 делегат открывшегося в Москве </w:t>
      </w:r>
      <w:r w:rsidRPr="00E14102">
        <w:rPr>
          <w:rFonts w:ascii="Times New Roman" w:hAnsi="Times New Roman" w:cs="Times New Roman"/>
          <w:color w:val="000000" w:themeColor="text1"/>
          <w:sz w:val="16"/>
          <w:szCs w:val="16"/>
        </w:rPr>
        <w:t>VII</w:t>
      </w:r>
      <w:r w:rsidRPr="00E14102">
        <w:rPr>
          <w:rFonts w:ascii="Times New Roman" w:hAnsi="Times New Roman" w:cs="Times New Roman"/>
          <w:color w:val="000000" w:themeColor="text1"/>
          <w:sz w:val="16"/>
          <w:szCs w:val="16"/>
          <w:lang w:val="ru-RU"/>
        </w:rPr>
        <w:t xml:space="preserve"> Всесоюзного съезда Советов директор Ковровского завода СВ. Савельев избран членом Центрального Исполнительного Комитета - ЦИК СССР - высшего органа государственной власти в нашей стране до принятия Конституции 1936 года.</w:t>
      </w:r>
    </w:p>
    <w:p w14:paraId="4DEC5521" w14:textId="77777777" w:rsidR="005259F6" w:rsidRPr="00E14102" w:rsidRDefault="005259F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К дню открытия съезда Советов ремонтно-механичес-кий цех отдела главного механика выполнил обязательство - изготовил опытный обрразец унишерсально-заточно-го станка «Цинцинати» и начал подготовку к массовому выпуску станков.</w:t>
      </w:r>
    </w:p>
    <w:p w14:paraId="7E8ABD9C" w14:textId="77777777" w:rsidR="005259F6" w:rsidRPr="00E14102" w:rsidRDefault="005259F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Завод начал серийный выпуск 12,7-мм крупнокалиберных пулеметов системы Шпитального и Владимирова, получивших наименование ШВАК.</w:t>
      </w:r>
    </w:p>
    <w:p w14:paraId="2B98F5B8" w14:textId="77777777" w:rsidR="005259F6" w:rsidRPr="00E14102" w:rsidRDefault="005259F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Испытания 12,7-мм крупнокалиберных авиационных пулеметов ШВАК подтвердили, что путем замены ствола пулемет можно переделать в пушку калибра 20 мм. Принятие ППД «7,62-мм пистолета-пулемета системы Дегтярева, образца 1934 года» на вооружение началь ствующего состава Красной Армии (12221).</w:t>
      </w:r>
    </w:p>
    <w:p w14:paraId="26176AFD" w14:textId="77777777" w:rsidR="005259F6" w:rsidRPr="00E14102" w:rsidRDefault="005259F6" w:rsidP="00E14102">
      <w:pPr>
        <w:pStyle w:val="ad"/>
        <w:spacing w:before="0" w:after="0"/>
        <w:rPr>
          <w:rFonts w:ascii="Times New Roman" w:hAnsi="Times New Roman" w:cs="Times New Roman"/>
          <w:color w:val="000000" w:themeColor="text1"/>
          <w:sz w:val="16"/>
          <w:szCs w:val="16"/>
          <w:lang w:val="ru-RU"/>
        </w:rPr>
      </w:pPr>
    </w:p>
    <w:p w14:paraId="6B7028E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8DDFA36" w14:textId="77777777" w:rsidR="00D4105E" w:rsidRPr="00E14102" w:rsidRDefault="00D4105E" w:rsidP="00E14102">
      <w:pPr>
        <w:autoSpaceDE w:val="0"/>
        <w:autoSpaceDN w:val="0"/>
        <w:adjustRightInd w:val="0"/>
        <w:jc w:val="both"/>
        <w:rPr>
          <w:iCs/>
          <w:color w:val="000000" w:themeColor="text1"/>
          <w:sz w:val="16"/>
          <w:szCs w:val="16"/>
        </w:rPr>
      </w:pPr>
    </w:p>
    <w:p w14:paraId="06D4D0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25 января по 6 февраля 1935 в Москве проходил 7-й съезд Советов СССР, который сделал вывод, что соц. уклад стал основным в стране и поручил ЦИК создать конституционную комиссию (1348,150).</w:t>
      </w:r>
    </w:p>
    <w:p w14:paraId="2D5ADA28" w14:textId="77777777" w:rsidR="00D4105E" w:rsidRPr="00E14102" w:rsidRDefault="00D4105E" w:rsidP="00E14102">
      <w:pPr>
        <w:autoSpaceDE w:val="0"/>
        <w:autoSpaceDN w:val="0"/>
        <w:adjustRightInd w:val="0"/>
        <w:jc w:val="both"/>
        <w:rPr>
          <w:color w:val="000000" w:themeColor="text1"/>
          <w:sz w:val="16"/>
          <w:szCs w:val="16"/>
        </w:rPr>
      </w:pPr>
    </w:p>
    <w:p w14:paraId="117005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января 1935 в Москве умер В.В.Куйбышев - Пред. Госплана (438,679).</w:t>
      </w:r>
    </w:p>
    <w:p w14:paraId="118738FB" w14:textId="77777777" w:rsidR="00D4105E" w:rsidRPr="00E14102" w:rsidRDefault="00D4105E" w:rsidP="00E14102">
      <w:pPr>
        <w:autoSpaceDE w:val="0"/>
        <w:autoSpaceDN w:val="0"/>
        <w:adjustRightInd w:val="0"/>
        <w:jc w:val="both"/>
        <w:rPr>
          <w:color w:val="000000" w:themeColor="text1"/>
          <w:sz w:val="16"/>
          <w:szCs w:val="16"/>
        </w:rPr>
      </w:pPr>
    </w:p>
    <w:p w14:paraId="51C697D4" w14:textId="77777777" w:rsidR="00FC6A40" w:rsidRPr="00E14102" w:rsidRDefault="00FC6A40" w:rsidP="00E14102">
      <w:pPr>
        <w:jc w:val="both"/>
        <w:rPr>
          <w:color w:val="0070C0"/>
          <w:sz w:val="16"/>
          <w:szCs w:val="16"/>
        </w:rPr>
      </w:pPr>
      <w:r w:rsidRPr="00E14102">
        <w:rPr>
          <w:color w:val="0070C0"/>
          <w:sz w:val="16"/>
          <w:szCs w:val="16"/>
        </w:rPr>
        <w:t>25 января 1935 года умер Валериан Владимирович Куйбышев - видный деятель Коммунистической партии и Советского государства, член партии с 1904 г., руководитель борьбы за Советскую власть в Самаре, один из политических руководителей Красной Армии и организаторов народного хозяйства (21179).</w:t>
      </w:r>
    </w:p>
    <w:p w14:paraId="4ABB7FA0" w14:textId="77777777" w:rsidR="00FC6A40" w:rsidRPr="00E14102" w:rsidRDefault="00FC6A40" w:rsidP="00E14102">
      <w:pPr>
        <w:jc w:val="both"/>
        <w:rPr>
          <w:color w:val="0070C0"/>
          <w:sz w:val="16"/>
          <w:szCs w:val="16"/>
        </w:rPr>
      </w:pPr>
    </w:p>
    <w:p w14:paraId="0BA1B3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января 1935 г. к дню открытия VII съезда Советов Мытищинский завод выпустил первые 40 вагонов, обеспечив тем самым своевременное открытие движения на метрополитене. В процессе эксплуатации и доводки первые вагоны типа «А» и «Б» были значительно модернизированы, особенно усовершенствована их электрическая схема. Эксплуатация показала высокую надежность и долговечность вагонов. Срок их эксплуатации был определен в 50 лет. Вагоны обеспечивали устойчивый пробег без капитального ремонта 2,5 млн. км. Серьезным недостатком конструкции первых вагонов было несовершенство конструкции автотормозов. Торможение было пневматическим, производилось за счет трения колодок о бандажи колес (электротормоз был внедрен позднее). Недостаточна была и электрическая защита от токов перегрузки и коротких замыканий (11613).</w:t>
      </w:r>
    </w:p>
    <w:p w14:paraId="557F59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19FCA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января 1935 вышло постановление ЦИК СССР о восстановлении в правах всех бывших кулаков наравне с другими гражданами СССР. Однако, ото не давало права покинуть место жительства ( 4081).</w:t>
      </w:r>
    </w:p>
    <w:p w14:paraId="3A1B8D51" w14:textId="77777777" w:rsidR="00D4105E" w:rsidRPr="00E14102" w:rsidRDefault="00D4105E" w:rsidP="00E14102">
      <w:pPr>
        <w:autoSpaceDE w:val="0"/>
        <w:autoSpaceDN w:val="0"/>
        <w:adjustRightInd w:val="0"/>
        <w:jc w:val="both"/>
        <w:rPr>
          <w:color w:val="000000" w:themeColor="text1"/>
          <w:sz w:val="16"/>
          <w:szCs w:val="16"/>
        </w:rPr>
      </w:pPr>
    </w:p>
    <w:p w14:paraId="4E0931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25 и 31 января 1935. Из протокола заседания Политбюро N 20, особая папка, 1935 г.</w:t>
      </w:r>
    </w:p>
    <w:p w14:paraId="51AA69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 зиновьевцах </w:t>
      </w:r>
    </w:p>
    <w:p w14:paraId="119B67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а) Выслать из Ленинграда 663 человека зиновьевцев на три-четыре года в следующие пункты: город Туруханск, Подкаменную Тунгуску, Сургут, Якутск, Дудинку, Вилюйск, Енисейск, Ворогово, Киренск, Тургай, Нарым, Верхоленск. </w:t>
      </w:r>
    </w:p>
    <w:p w14:paraId="11EE7C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Группу бывших оппозиционеров членов партии в количестве 325 чел. откомандировать из Ленинграда на работу в другие районы в партийном порядке (11652).</w:t>
      </w:r>
    </w:p>
    <w:p w14:paraId="05341463" w14:textId="77777777" w:rsidR="00D4105E" w:rsidRPr="00E14102" w:rsidRDefault="00D4105E" w:rsidP="00E14102">
      <w:pPr>
        <w:autoSpaceDE w:val="0"/>
        <w:autoSpaceDN w:val="0"/>
        <w:adjustRightInd w:val="0"/>
        <w:jc w:val="both"/>
        <w:rPr>
          <w:color w:val="000000" w:themeColor="text1"/>
          <w:sz w:val="16"/>
          <w:szCs w:val="16"/>
        </w:rPr>
      </w:pPr>
    </w:p>
    <w:p w14:paraId="39FED68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0780A14" w14:textId="77777777" w:rsidR="00D4105E" w:rsidRPr="00E14102" w:rsidRDefault="00D4105E" w:rsidP="00E14102">
      <w:pPr>
        <w:autoSpaceDE w:val="0"/>
        <w:autoSpaceDN w:val="0"/>
        <w:adjustRightInd w:val="0"/>
        <w:jc w:val="both"/>
        <w:rPr>
          <w:iCs/>
          <w:color w:val="000000" w:themeColor="text1"/>
          <w:sz w:val="16"/>
          <w:szCs w:val="16"/>
        </w:rPr>
      </w:pPr>
    </w:p>
    <w:p w14:paraId="182754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января 1935 в НИИ ВВС закончились гос. испытания ТБ-3 4М-34Р на устранение вибраций и снятия летных характеристик с 4-х лопастными винтами на средних моторах, которые шли с 1 августа 1934.</w:t>
      </w:r>
    </w:p>
    <w:p w14:paraId="37DC6F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 и отдела сухопутных самолетов Нерсисян и л того же отдела Стефановский.</w:t>
      </w:r>
    </w:p>
    <w:p w14:paraId="1EA856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AFBFE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НИИ ВВС считает возможным допустить установку 4-х лопастных винтов на средние моторы самолета</w:t>
      </w:r>
    </w:p>
    <w:p w14:paraId="705BC9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Для установления целесообразности замены крайних 2-х лопастных винтов Д-4.4 м на 4-х лопастные Д-3.9 м НИИ ВВС считает необходимым провести на заводе 22 дополнительные испытания (878).</w:t>
      </w:r>
    </w:p>
    <w:p w14:paraId="0C44848E" w14:textId="77777777" w:rsidR="00D4105E" w:rsidRPr="00E14102" w:rsidRDefault="00D4105E" w:rsidP="00E14102">
      <w:pPr>
        <w:autoSpaceDE w:val="0"/>
        <w:autoSpaceDN w:val="0"/>
        <w:adjustRightInd w:val="0"/>
        <w:jc w:val="both"/>
        <w:rPr>
          <w:color w:val="000000" w:themeColor="text1"/>
          <w:sz w:val="16"/>
          <w:szCs w:val="16"/>
        </w:rPr>
      </w:pPr>
    </w:p>
    <w:p w14:paraId="3B9DE9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26 января 1935 была подготовлена объяснительная записка:</w:t>
      </w:r>
    </w:p>
    <w:p w14:paraId="340314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СЕКРЕТНО</w:t>
      </w:r>
    </w:p>
    <w:p w14:paraId="7542F92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ОДНОМЕСТНЫЙ СКОРОСТНОЙ РАЗВЕДЧИК.</w:t>
      </w:r>
    </w:p>
    <w:p w14:paraId="255E56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НАЗНАЧЕНИЕ САМОЛЕТА</w:t>
      </w:r>
    </w:p>
    <w:p w14:paraId="2F309D3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Фотографческая разведка в дневное к ночное время.</w:t>
      </w:r>
    </w:p>
    <w:p w14:paraId="770D1E4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 СХЕМА САМОЛЕТА.</w:t>
      </w:r>
    </w:p>
    <w:p w14:paraId="4D50547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Моноплан с низко-расположенным крылом. Низко-расположенное крыло было выбрано с целью улучшения аэро</w:t>
      </w:r>
      <w:r w:rsidRPr="00E14102">
        <w:rPr>
          <w:color w:val="000000" w:themeColor="text1"/>
          <w:sz w:val="16"/>
          <w:szCs w:val="16"/>
        </w:rPr>
        <w:softHyphen/>
        <w:t>динамики машины и уменьшения высоты шасси. Кроме того, ряд других преимуществ, а именно дает возможностьсделать лег</w:t>
      </w:r>
      <w:r w:rsidRPr="00E14102">
        <w:rPr>
          <w:color w:val="000000" w:themeColor="text1"/>
          <w:sz w:val="16"/>
          <w:szCs w:val="16"/>
        </w:rPr>
        <w:softHyphen/>
        <w:t>кое управление рулями высоты и уменьшить посадочную скорость, вследствие близости расстояния крыла от земли</w:t>
      </w:r>
      <w:r w:rsidRPr="00E14102">
        <w:rPr>
          <w:smallCaps/>
          <w:color w:val="000000" w:themeColor="text1"/>
          <w:sz w:val="16"/>
          <w:szCs w:val="16"/>
        </w:rPr>
        <w:t>.</w:t>
      </w:r>
    </w:p>
    <w:p w14:paraId="1DC4AF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Мидель фюзеляжа значительно ужат. При выборе миделя фюзеляка основная ориентировка была на удобное размещение пилота и фотоаппарата АФА-13.</w:t>
      </w:r>
    </w:p>
    <w:p w14:paraId="1D9EAD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Уменьшение миделя фюзеляжа в основном зависит от диаметра звезды мотора, поэтому пришлось оборудовать мотор специальным капотов </w:t>
      </w:r>
      <w:r w:rsidRPr="00E14102">
        <w:rPr>
          <w:color w:val="000000" w:themeColor="text1"/>
          <w:sz w:val="16"/>
          <w:szCs w:val="16"/>
          <w:lang w:val="en-US"/>
        </w:rPr>
        <w:t>NACA</w:t>
      </w:r>
      <w:r w:rsidRPr="00E14102">
        <w:rPr>
          <w:color w:val="000000" w:themeColor="text1"/>
          <w:sz w:val="16"/>
          <w:szCs w:val="16"/>
        </w:rPr>
        <w:t xml:space="preserve"> с обтекателями на голов</w:t>
      </w:r>
      <w:r w:rsidRPr="00E14102">
        <w:rPr>
          <w:color w:val="000000" w:themeColor="text1"/>
          <w:sz w:val="16"/>
          <w:szCs w:val="16"/>
        </w:rPr>
        <w:softHyphen/>
        <w:t>ках цилиндров по типу "“</w:t>
      </w:r>
      <w:r w:rsidRPr="00E14102">
        <w:rPr>
          <w:color w:val="000000" w:themeColor="text1"/>
          <w:sz w:val="16"/>
          <w:szCs w:val="16"/>
          <w:lang w:val="en-US"/>
        </w:rPr>
        <w:t>ewoitine</w:t>
      </w:r>
      <w:r w:rsidRPr="00E14102">
        <w:rPr>
          <w:color w:val="000000" w:themeColor="text1"/>
          <w:sz w:val="16"/>
          <w:szCs w:val="16"/>
        </w:rPr>
        <w:t>"”- 3 или "</w:t>
      </w:r>
      <w:r w:rsidRPr="00E14102">
        <w:rPr>
          <w:color w:val="000000" w:themeColor="text1"/>
          <w:sz w:val="16"/>
          <w:szCs w:val="16"/>
          <w:lang w:val="en-US"/>
        </w:rPr>
        <w:t>Loire</w:t>
      </w:r>
      <w:r w:rsidRPr="00E14102">
        <w:rPr>
          <w:color w:val="000000" w:themeColor="text1"/>
          <w:sz w:val="16"/>
          <w:szCs w:val="16"/>
        </w:rPr>
        <w:t xml:space="preserve"> - 46 /оба самолета с мотором "Гном и Рон К-14 "/.</w:t>
      </w:r>
    </w:p>
    <w:p w14:paraId="6B7413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В основном варианте самолет разработан под мотор двухрядную звезду фирмы “Гном и Рон” марки “Мистраль Мажор” 14 с полным ноддузом и максимальной мощностью 1000 л.с.</w:t>
      </w:r>
    </w:p>
    <w:p w14:paraId="5F1708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самолете могут быть установлены другие моторы, в частности “Испано Сюиза” 14 двухрядная звезда с максимальной мощностью1200 л.с., а также “Райт-Циклон” Ф-3 с максимальной мощностью 712 л.с.</w:t>
      </w:r>
    </w:p>
    <w:p w14:paraId="119EFE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Ш. КОНСТРУКЦИЯ</w:t>
      </w:r>
    </w:p>
    <w:p w14:paraId="1BA1D6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К р ы л о</w:t>
      </w:r>
    </w:p>
    <w:p w14:paraId="2AA0EA7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Состоит из центральной части и двух отъемных частей /консолей/. Центральная честь крепится в четырех точках к фюзеляжу.</w:t>
      </w:r>
    </w:p>
    <w:p w14:paraId="7A5074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Лонжероны крыла состоят из хромомолибденовых труб  /термически обработанных/. Нервюры крыла из листового электрона специальной марки АЗМ. Обшивка крыла полотняная.</w:t>
      </w:r>
    </w:p>
    <w:p w14:paraId="7B9FDF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Ф ю з е л я ж</w:t>
      </w:r>
    </w:p>
    <w:p w14:paraId="3F45B2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Фюзеляж деренянный - по силовой схеме - полумонокок с работающей обшивкой из персклеенного шпона. Каркас образован из шпангоутов, лонкеронов и стрингеров.</w:t>
      </w:r>
    </w:p>
    <w:p w14:paraId="6FD942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Винтомоторная группа</w:t>
      </w:r>
    </w:p>
    <w:p w14:paraId="7CE1AD5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Самолет оборудован мотором "Гнои и Рон" марки "Мистраль Мажор” 14 </w:t>
      </w:r>
      <w:r w:rsidRPr="00E14102">
        <w:rPr>
          <w:color w:val="000000" w:themeColor="text1"/>
          <w:sz w:val="16"/>
          <w:szCs w:val="16"/>
          <w:lang w:val="en-US"/>
        </w:rPr>
        <w:t>KRSD</w:t>
      </w:r>
      <w:r w:rsidRPr="00E14102">
        <w:rPr>
          <w:color w:val="000000" w:themeColor="text1"/>
          <w:sz w:val="16"/>
          <w:szCs w:val="16"/>
        </w:rPr>
        <w:t xml:space="preserve"> с полным поддувом.</w:t>
      </w:r>
    </w:p>
    <w:p w14:paraId="78C3BF7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Винт 3-х лопастной диаметром Д - ;2.95 метра.</w:t>
      </w:r>
    </w:p>
    <w:p w14:paraId="08942DF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 втором варианте самолет оборудован мотором "Райт Циклон" Ф-3.</w:t>
      </w:r>
    </w:p>
    <w:p w14:paraId="37B517F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Винт 3-х лопастной Д - 3.0 метра.</w:t>
      </w:r>
    </w:p>
    <w:p w14:paraId="3964CBB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Моторама сварная из хромомолибденовых труб.</w:t>
      </w:r>
    </w:p>
    <w:p w14:paraId="6AE766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Пусковое приспособление самопуск "Эклипс".</w:t>
      </w:r>
    </w:p>
    <w:p w14:paraId="4A58BE5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Бензиновые баки расчитаны на 375 кг. горючего, основные баки расположены в центроплане и один - в фюзеляже.</w:t>
      </w:r>
    </w:p>
    <w:p w14:paraId="498C2F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Шасси и костыль</w:t>
      </w:r>
    </w:p>
    <w:p w14:paraId="2213D8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Шасси убирающееся в полете в крыло состоят их хромомолибденовых труб с масляно-пневматической амортизацией.</w:t>
      </w:r>
    </w:p>
    <w:p w14:paraId="6E6ECD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Костыль полый, сварной из хромомолибдена с резиновой амортизацией.</w:t>
      </w:r>
    </w:p>
    <w:p w14:paraId="2BBF8E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Оперение</w:t>
      </w:r>
    </w:p>
    <w:p w14:paraId="6EBA66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Рули оперения компенсированы рулями Флеттнера. Конст</w:t>
      </w:r>
      <w:r w:rsidRPr="00E14102">
        <w:rPr>
          <w:color w:val="000000" w:themeColor="text1"/>
          <w:sz w:val="16"/>
          <w:szCs w:val="16"/>
        </w:rPr>
        <w:softHyphen/>
        <w:t>рукция оперения цельноэлектронная марки АЗМ.</w:t>
      </w:r>
    </w:p>
    <w:p w14:paraId="7FEC3F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Оборудование и вооружение</w:t>
      </w:r>
    </w:p>
    <w:p w14:paraId="256015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снабжен фотоаппаратом АФА-13 для съемки с высоты 5000 м и двумя пулеметами ШКАС с 1000 шт. патронами.</w:t>
      </w:r>
    </w:p>
    <w:p w14:paraId="721FA69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ГЛАВНЫЙ КОНСТРУКТОР Инженер Сильванский (2337,174).</w:t>
      </w:r>
    </w:p>
    <w:p w14:paraId="4347A01D" w14:textId="77777777" w:rsidR="00D4105E" w:rsidRPr="00E14102" w:rsidRDefault="00D4105E" w:rsidP="00E14102">
      <w:pPr>
        <w:autoSpaceDE w:val="0"/>
        <w:autoSpaceDN w:val="0"/>
        <w:adjustRightInd w:val="0"/>
        <w:jc w:val="both"/>
        <w:rPr>
          <w:color w:val="000000" w:themeColor="text1"/>
          <w:sz w:val="16"/>
          <w:szCs w:val="16"/>
        </w:rPr>
      </w:pPr>
    </w:p>
    <w:p w14:paraId="2DD652AD" w14:textId="77777777" w:rsidR="00D56556" w:rsidRPr="00E14102" w:rsidRDefault="00D56556" w:rsidP="00E14102">
      <w:pPr>
        <w:pStyle w:val="rtejustify"/>
        <w:spacing w:before="0" w:after="0"/>
        <w:rPr>
          <w:color w:val="000000" w:themeColor="text1"/>
          <w:sz w:val="16"/>
          <w:szCs w:val="16"/>
        </w:rPr>
      </w:pPr>
      <w:r w:rsidRPr="00E14102">
        <w:rPr>
          <w:rStyle w:val="a6"/>
          <w:bCs/>
          <w:i w:val="0"/>
          <w:color w:val="000000" w:themeColor="text1"/>
          <w:sz w:val="16"/>
          <w:szCs w:val="16"/>
        </w:rPr>
        <w:t>26 января 1935 вышел приказ НКО №</w:t>
      </w:r>
      <w:r w:rsidRPr="00E14102">
        <w:rPr>
          <w:color w:val="000000" w:themeColor="text1"/>
          <w:sz w:val="16"/>
          <w:szCs w:val="16"/>
        </w:rPr>
        <w:t> 012. О производстве специальных испытаний гидросамолета Дорнье «Валь» на льду и на снегу со специальным оборудованием днища (15247).</w:t>
      </w:r>
    </w:p>
    <w:p w14:paraId="122E7E08" w14:textId="77777777" w:rsidR="00D56556" w:rsidRPr="00E14102" w:rsidRDefault="00D56556" w:rsidP="00E14102">
      <w:pPr>
        <w:pStyle w:val="rtejustify"/>
        <w:spacing w:before="0" w:after="0"/>
        <w:rPr>
          <w:color w:val="000000" w:themeColor="text1"/>
          <w:sz w:val="16"/>
          <w:szCs w:val="16"/>
        </w:rPr>
      </w:pPr>
    </w:p>
    <w:p w14:paraId="1CA5C1D0" w14:textId="77777777" w:rsidR="0063005B" w:rsidRPr="00E14102" w:rsidRDefault="0063005B" w:rsidP="00E14102">
      <w:pPr>
        <w:jc w:val="both"/>
        <w:rPr>
          <w:color w:val="000000" w:themeColor="text1"/>
          <w:sz w:val="16"/>
          <w:szCs w:val="16"/>
        </w:rPr>
      </w:pPr>
      <w:r w:rsidRPr="00E14102">
        <w:rPr>
          <w:color w:val="000000" w:themeColor="text1"/>
          <w:sz w:val="16"/>
          <w:szCs w:val="16"/>
        </w:rPr>
        <w:t>26 янва</w:t>
      </w:r>
      <w:r w:rsidRPr="00E14102">
        <w:rPr>
          <w:color w:val="000000" w:themeColor="text1"/>
          <w:sz w:val="16"/>
          <w:szCs w:val="16"/>
        </w:rPr>
        <w:softHyphen/>
        <w:t>ря 1935 года Политбюро ЦК ВКП(б) приня</w:t>
      </w:r>
      <w:r w:rsidRPr="00E14102">
        <w:rPr>
          <w:color w:val="000000" w:themeColor="text1"/>
          <w:sz w:val="16"/>
          <w:szCs w:val="16"/>
        </w:rPr>
        <w:softHyphen/>
        <w:t>ло постановление по перелету в США. В эки</w:t>
      </w:r>
      <w:r w:rsidRPr="00E14102">
        <w:rPr>
          <w:color w:val="000000" w:themeColor="text1"/>
          <w:sz w:val="16"/>
          <w:szCs w:val="16"/>
        </w:rPr>
        <w:softHyphen/>
        <w:t>паж Леваневского включили второго пилота Г.Ф. Байдукова и штурмана В.И.Левченко.</w:t>
      </w:r>
    </w:p>
    <w:p w14:paraId="1E09184A" w14:textId="77777777" w:rsidR="0063005B" w:rsidRPr="00E14102" w:rsidRDefault="0063005B" w:rsidP="00E14102">
      <w:pPr>
        <w:jc w:val="both"/>
        <w:rPr>
          <w:color w:val="000000" w:themeColor="text1"/>
          <w:sz w:val="16"/>
          <w:szCs w:val="16"/>
        </w:rPr>
      </w:pPr>
      <w:r w:rsidRPr="00E14102">
        <w:rPr>
          <w:color w:val="000000" w:themeColor="text1"/>
          <w:sz w:val="16"/>
          <w:szCs w:val="16"/>
        </w:rPr>
        <w:t>Леваневскому передали самолет РД-2 (бортовой N025), который экипаж Громо</w:t>
      </w:r>
      <w:r w:rsidRPr="00E14102">
        <w:rPr>
          <w:color w:val="000000" w:themeColor="text1"/>
          <w:sz w:val="16"/>
          <w:szCs w:val="16"/>
        </w:rPr>
        <w:softHyphen/>
        <w:t>ва готовил для дальнего перелета. При этом машину существенно доработали. Прежде всего, изменили систему охлаждения дви</w:t>
      </w:r>
      <w:r w:rsidRPr="00E14102">
        <w:rPr>
          <w:color w:val="000000" w:themeColor="text1"/>
          <w:sz w:val="16"/>
          <w:szCs w:val="16"/>
        </w:rPr>
        <w:softHyphen/>
        <w:t>гателя, установив вместо трех радиаторов — один и расположив его под моторамой, вместо индивидуальных патрубков двига</w:t>
      </w:r>
      <w:r w:rsidRPr="00E14102">
        <w:rPr>
          <w:color w:val="000000" w:themeColor="text1"/>
          <w:sz w:val="16"/>
          <w:szCs w:val="16"/>
        </w:rPr>
        <w:softHyphen/>
        <w:t>телей поставили реактивные, создававшие дополнительную тягу. Двухлопастный де</w:t>
      </w:r>
      <w:r w:rsidRPr="00E14102">
        <w:rPr>
          <w:color w:val="000000" w:themeColor="text1"/>
          <w:sz w:val="16"/>
          <w:szCs w:val="16"/>
        </w:rPr>
        <w:softHyphen/>
        <w:t>ревянный винт заменили трехлопастным металлическим, обрудованным антиобле- денителыюй системой. Это способствова</w:t>
      </w:r>
      <w:r w:rsidRPr="00E14102">
        <w:rPr>
          <w:color w:val="000000" w:themeColor="text1"/>
          <w:sz w:val="16"/>
          <w:szCs w:val="16"/>
        </w:rPr>
        <w:softHyphen/>
        <w:t>ло снижению километрового расхода то</w:t>
      </w:r>
      <w:r w:rsidRPr="00E14102">
        <w:rPr>
          <w:color w:val="000000" w:themeColor="text1"/>
          <w:sz w:val="16"/>
          <w:szCs w:val="16"/>
        </w:rPr>
        <w:softHyphen/>
        <w:t>плива почти на пять процентов и как след</w:t>
      </w:r>
      <w:r w:rsidRPr="00E14102">
        <w:rPr>
          <w:color w:val="000000" w:themeColor="text1"/>
          <w:sz w:val="16"/>
          <w:szCs w:val="16"/>
        </w:rPr>
        <w:softHyphen/>
        <w:t>ствие увеличению расчетной дальности по</w:t>
      </w:r>
      <w:r w:rsidRPr="00E14102">
        <w:rPr>
          <w:color w:val="000000" w:themeColor="text1"/>
          <w:sz w:val="16"/>
          <w:szCs w:val="16"/>
        </w:rPr>
        <w:softHyphen/>
        <w:t>лета с 11 770 до 12 590 км. Возросла и сред</w:t>
      </w:r>
      <w:r w:rsidRPr="00E14102">
        <w:rPr>
          <w:color w:val="000000" w:themeColor="text1"/>
          <w:sz w:val="16"/>
          <w:szCs w:val="16"/>
        </w:rPr>
        <w:softHyphen/>
        <w:t>няя скорость полета (12725).</w:t>
      </w:r>
    </w:p>
    <w:p w14:paraId="5DF58C8C" w14:textId="77777777" w:rsidR="0063005B" w:rsidRPr="00E14102" w:rsidRDefault="0063005B" w:rsidP="00E14102">
      <w:pPr>
        <w:jc w:val="both"/>
        <w:rPr>
          <w:color w:val="000000" w:themeColor="text1"/>
          <w:sz w:val="16"/>
          <w:szCs w:val="16"/>
        </w:rPr>
      </w:pPr>
    </w:p>
    <w:p w14:paraId="751E84A8" w14:textId="77777777" w:rsidR="007D40AA" w:rsidRPr="00E14102" w:rsidRDefault="007D40AA" w:rsidP="00E14102">
      <w:pPr>
        <w:jc w:val="both"/>
        <w:rPr>
          <w:color w:val="0070C0"/>
          <w:sz w:val="16"/>
          <w:szCs w:val="16"/>
        </w:rPr>
      </w:pPr>
      <w:r w:rsidRPr="00E14102">
        <w:rPr>
          <w:color w:val="0070C0"/>
          <w:sz w:val="16"/>
          <w:szCs w:val="16"/>
          <w:shd w:val="clear" w:color="auto" w:fill="FFFFFF"/>
        </w:rPr>
        <w:t>26 января 1935 года последовало решение «О перелете Москва — Сан-Франциско». «Считать, — указывало оно, — в порядке предварительном приемлемым предложение т. Леваневского о беспосадочном перелете Москва — Сан-Франциско через Северный полюс. Предложить тт. Орджоникидзе и Ворошилову помочь т. Леваневскому и предоставить ему возможность ознакомиться с самолетом РД. Окончательное решение принять по представлении доклада тт. Ворошилова, Орджоникидзе и Леваневского. Срок — декада» (20467).</w:t>
      </w:r>
    </w:p>
    <w:p w14:paraId="2ED41DCA" w14:textId="77777777" w:rsidR="007D40AA" w:rsidRPr="00E14102" w:rsidRDefault="007D40AA" w:rsidP="00E14102">
      <w:pPr>
        <w:jc w:val="both"/>
        <w:rPr>
          <w:color w:val="0070C0"/>
          <w:sz w:val="16"/>
          <w:szCs w:val="16"/>
        </w:rPr>
      </w:pPr>
    </w:p>
    <w:p w14:paraId="1A87927F" w14:textId="77777777" w:rsidR="007D40AA" w:rsidRPr="00E14102" w:rsidRDefault="007D40AA" w:rsidP="00E14102">
      <w:pPr>
        <w:jc w:val="both"/>
        <w:rPr>
          <w:color w:val="0070C0"/>
          <w:sz w:val="16"/>
          <w:szCs w:val="16"/>
        </w:rPr>
      </w:pPr>
      <w:r w:rsidRPr="00E14102">
        <w:rPr>
          <w:color w:val="0070C0"/>
          <w:sz w:val="16"/>
          <w:szCs w:val="16"/>
        </w:rPr>
        <w:t>26 января 1935 опросом членов ПБ</w:t>
      </w:r>
    </w:p>
    <w:p w14:paraId="5E0BC9E2" w14:textId="77777777" w:rsidR="007D40AA" w:rsidRPr="00E14102" w:rsidRDefault="007D40AA" w:rsidP="00E14102">
      <w:pPr>
        <w:jc w:val="both"/>
        <w:rPr>
          <w:color w:val="0070C0"/>
          <w:sz w:val="16"/>
          <w:szCs w:val="16"/>
        </w:rPr>
      </w:pPr>
      <w:r w:rsidRPr="00E14102">
        <w:rPr>
          <w:color w:val="0070C0"/>
          <w:sz w:val="16"/>
          <w:szCs w:val="16"/>
        </w:rPr>
        <w:t>133,- О перелете Москва - Сан-Франциско.</w:t>
      </w:r>
    </w:p>
    <w:p w14:paraId="054CC257" w14:textId="77777777" w:rsidR="007D40AA" w:rsidRPr="00E14102" w:rsidRDefault="007D40AA" w:rsidP="00E14102">
      <w:pPr>
        <w:jc w:val="both"/>
        <w:rPr>
          <w:color w:val="0070C0"/>
          <w:sz w:val="16"/>
          <w:szCs w:val="16"/>
        </w:rPr>
      </w:pPr>
      <w:r w:rsidRPr="00E14102">
        <w:rPr>
          <w:color w:val="0070C0"/>
          <w:sz w:val="16"/>
          <w:szCs w:val="16"/>
        </w:rPr>
        <w:t>1) Считать в порядке предварительном приемлемым предложение т.Леваневского о беспосадочном перелете Москва - Сан-Франциско через Северный полюс.</w:t>
      </w:r>
    </w:p>
    <w:p w14:paraId="6CC831E9" w14:textId="77777777" w:rsidR="007D40AA" w:rsidRPr="00E14102" w:rsidRDefault="007D40AA" w:rsidP="00E14102">
      <w:pPr>
        <w:jc w:val="both"/>
        <w:rPr>
          <w:color w:val="0070C0"/>
          <w:sz w:val="16"/>
          <w:szCs w:val="16"/>
        </w:rPr>
      </w:pPr>
      <w:r w:rsidRPr="00E14102">
        <w:rPr>
          <w:color w:val="0070C0"/>
          <w:sz w:val="16"/>
          <w:szCs w:val="16"/>
        </w:rPr>
        <w:t>2) Предложить т.т. Орджоникидзе и Ворошилову помочь т. Леваневскому и предоставить ему возможность ознако</w:t>
      </w:r>
      <w:r w:rsidRPr="00E14102">
        <w:rPr>
          <w:color w:val="0070C0"/>
          <w:sz w:val="16"/>
          <w:szCs w:val="16"/>
        </w:rPr>
        <w:softHyphen/>
        <w:t>миться с самолетом РД.</w:t>
      </w:r>
    </w:p>
    <w:p w14:paraId="572F9B39" w14:textId="77777777" w:rsidR="007D40AA" w:rsidRPr="00E14102" w:rsidRDefault="007D40AA" w:rsidP="00E14102">
      <w:pPr>
        <w:jc w:val="both"/>
        <w:rPr>
          <w:color w:val="0070C0"/>
          <w:sz w:val="16"/>
          <w:szCs w:val="16"/>
        </w:rPr>
      </w:pPr>
      <w:r w:rsidRPr="00E14102">
        <w:rPr>
          <w:color w:val="0070C0"/>
          <w:sz w:val="16"/>
          <w:szCs w:val="16"/>
        </w:rPr>
        <w:t>3) Окончательное решение принять по представлении доклада т.т. Ворошиловым,Орджоникидзе и Леваневским.</w:t>
      </w:r>
    </w:p>
    <w:p w14:paraId="5862C2FB" w14:textId="77777777" w:rsidR="007D40AA" w:rsidRPr="00E14102" w:rsidRDefault="007D40AA" w:rsidP="00E14102">
      <w:pPr>
        <w:jc w:val="both"/>
        <w:rPr>
          <w:color w:val="0070C0"/>
          <w:sz w:val="16"/>
          <w:szCs w:val="16"/>
        </w:rPr>
      </w:pPr>
      <w:r w:rsidRPr="00E14102">
        <w:rPr>
          <w:color w:val="0070C0"/>
          <w:sz w:val="16"/>
          <w:szCs w:val="16"/>
        </w:rPr>
        <w:t>Срок - декада.</w:t>
      </w:r>
    </w:p>
    <w:p w14:paraId="5FDEF8E3" w14:textId="77777777" w:rsidR="007D40AA" w:rsidRPr="00E14102" w:rsidRDefault="007D40AA" w:rsidP="00E14102">
      <w:pPr>
        <w:jc w:val="both"/>
        <w:rPr>
          <w:color w:val="0070C0"/>
          <w:sz w:val="16"/>
          <w:szCs w:val="16"/>
        </w:rPr>
      </w:pPr>
      <w:r w:rsidRPr="00E14102">
        <w:rPr>
          <w:color w:val="0070C0"/>
          <w:sz w:val="16"/>
          <w:szCs w:val="16"/>
        </w:rPr>
        <w:t>Выписки посланы: т.т. Ворошилову, Орджоникидзе, Лсваневскому</w:t>
      </w:r>
    </w:p>
    <w:p w14:paraId="07FF1747" w14:textId="77777777" w:rsidR="007D40AA" w:rsidRPr="00E14102" w:rsidRDefault="007D40AA" w:rsidP="00E14102">
      <w:pPr>
        <w:jc w:val="both"/>
        <w:rPr>
          <w:color w:val="0070C0"/>
          <w:sz w:val="16"/>
          <w:szCs w:val="16"/>
        </w:rPr>
      </w:pPr>
      <w:r w:rsidRPr="00E14102">
        <w:rPr>
          <w:color w:val="0070C0"/>
          <w:sz w:val="16"/>
          <w:szCs w:val="16"/>
        </w:rPr>
        <w:t>30 января 1935 состоялось заседание ПБ и подписан протокол № 20 за 4-30 января (22925).</w:t>
      </w:r>
    </w:p>
    <w:p w14:paraId="602CA71A" w14:textId="77777777" w:rsidR="007D40AA" w:rsidRPr="00E14102" w:rsidRDefault="007D40AA" w:rsidP="00E14102">
      <w:pPr>
        <w:jc w:val="both"/>
        <w:rPr>
          <w:color w:val="0070C0"/>
          <w:sz w:val="16"/>
          <w:szCs w:val="16"/>
        </w:rPr>
      </w:pPr>
    </w:p>
    <w:p w14:paraId="2687BA7C" w14:textId="77777777" w:rsidR="007D40AA" w:rsidRPr="00E14102" w:rsidRDefault="007D40AA" w:rsidP="00E14102">
      <w:pPr>
        <w:jc w:val="both"/>
        <w:rPr>
          <w:color w:val="0070C0"/>
          <w:sz w:val="16"/>
          <w:szCs w:val="16"/>
        </w:rPr>
      </w:pPr>
      <w:r w:rsidRPr="00E14102">
        <w:rPr>
          <w:color w:val="0070C0"/>
          <w:sz w:val="16"/>
          <w:szCs w:val="16"/>
        </w:rPr>
        <w:t>26 января 1935 года был подписан договор РНИИ и Автобронетанкового управления (АБТУ) РККА, согласно которому ракетчики обязались изготовить пусковую установку для танка БТ-5, вооружённую десятью снарядами калибра 132 мм. Для проведения экспериментов они закрепили с помощью болтов две направляющие планки на левой стороне башни танка. Пристрелка производилась с помощью танковой пушки. Испытания проводились на Софринском артиллерийском полигоне в апреле-мае 1935 года, но дальнейшего развития проект не получил (19941).</w:t>
      </w:r>
    </w:p>
    <w:p w14:paraId="4009E4F0" w14:textId="77777777" w:rsidR="007D40AA" w:rsidRPr="00E14102" w:rsidRDefault="007D40AA" w:rsidP="00E14102">
      <w:pPr>
        <w:jc w:val="both"/>
        <w:rPr>
          <w:color w:val="0070C0"/>
          <w:sz w:val="16"/>
          <w:szCs w:val="16"/>
        </w:rPr>
      </w:pPr>
    </w:p>
    <w:p w14:paraId="56A0A660" w14:textId="77777777" w:rsidR="007D40AA" w:rsidRPr="00E14102" w:rsidRDefault="007D40AA" w:rsidP="00E14102">
      <w:pPr>
        <w:pStyle w:val="ad"/>
        <w:shd w:val="clear" w:color="auto" w:fill="FFFFFF"/>
        <w:spacing w:before="0" w:after="0"/>
        <w:rPr>
          <w:rFonts w:ascii="Times New Roman" w:hAnsi="Times New Roman" w:cs="Times New Roman"/>
          <w:color w:val="0070C0"/>
          <w:sz w:val="16"/>
          <w:szCs w:val="16"/>
          <w:lang w:val="ru-RU"/>
        </w:rPr>
      </w:pPr>
      <w:r w:rsidRPr="00E14102">
        <w:rPr>
          <w:rFonts w:ascii="Times New Roman" w:hAnsi="Times New Roman" w:cs="Times New Roman"/>
          <w:color w:val="0070C0"/>
          <w:sz w:val="16"/>
          <w:szCs w:val="16"/>
          <w:lang w:val="ru-RU"/>
        </w:rPr>
        <w:t>26 января 1935 был подписан договор №251618с РНИИ с АБТУ на опытный образец ракетной установки на танке БТ-5 с 10-ю ракетами (21476).</w:t>
      </w:r>
    </w:p>
    <w:p w14:paraId="6C1B8CE2" w14:textId="77777777" w:rsidR="007D40AA" w:rsidRPr="00E14102" w:rsidRDefault="007D40AA" w:rsidP="00E14102">
      <w:pPr>
        <w:pStyle w:val="ad"/>
        <w:shd w:val="clear" w:color="auto" w:fill="FFFFFF"/>
        <w:spacing w:before="0" w:after="0"/>
        <w:rPr>
          <w:rFonts w:ascii="Times New Roman" w:hAnsi="Times New Roman" w:cs="Times New Roman"/>
          <w:color w:val="0070C0"/>
          <w:sz w:val="16"/>
          <w:szCs w:val="16"/>
          <w:lang w:val="ru-RU"/>
        </w:rPr>
      </w:pPr>
    </w:p>
    <w:p w14:paraId="301DC38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0E2143E" w14:textId="77777777" w:rsidR="00D4105E" w:rsidRPr="00E14102" w:rsidRDefault="00D4105E" w:rsidP="00E14102">
      <w:pPr>
        <w:autoSpaceDE w:val="0"/>
        <w:autoSpaceDN w:val="0"/>
        <w:adjustRightInd w:val="0"/>
        <w:jc w:val="both"/>
        <w:rPr>
          <w:iCs/>
          <w:color w:val="000000" w:themeColor="text1"/>
          <w:sz w:val="16"/>
          <w:szCs w:val="16"/>
        </w:rPr>
      </w:pPr>
    </w:p>
    <w:p w14:paraId="7C2F42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января 1935 было опубликовано сообщение о скоропостижной смерти Пред. Госплана В.В.Куйбышева от сердечного приступа (3908,346).</w:t>
      </w:r>
    </w:p>
    <w:p w14:paraId="3C2929FE" w14:textId="77777777" w:rsidR="00D4105E" w:rsidRPr="00E14102" w:rsidRDefault="00D4105E" w:rsidP="00E14102">
      <w:pPr>
        <w:autoSpaceDE w:val="0"/>
        <w:autoSpaceDN w:val="0"/>
        <w:adjustRightInd w:val="0"/>
        <w:jc w:val="both"/>
        <w:rPr>
          <w:color w:val="000000" w:themeColor="text1"/>
          <w:sz w:val="16"/>
          <w:szCs w:val="16"/>
        </w:rPr>
      </w:pPr>
    </w:p>
    <w:p w14:paraId="123CCB1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26 января 1935 вышло сообщение о скоропостижной смерти (по официальной версии - от сердечного приступа) председателя Госплана В, Куйбышева, считавшегося "умеренным" (4962).</w:t>
      </w:r>
    </w:p>
    <w:p w14:paraId="4147243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1443D8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26 января 1935 при загадочных обстоятельствах умер глава советского Госплана В. Куйбышев (есть мнения, что он был убит по приказу Сталина) (4962).</w:t>
      </w:r>
    </w:p>
    <w:p w14:paraId="11FA0438" w14:textId="08935589" w:rsidR="00D4105E" w:rsidRPr="00E14102" w:rsidRDefault="00D4105E" w:rsidP="00E14102">
      <w:pPr>
        <w:tabs>
          <w:tab w:val="left" w:pos="11199"/>
        </w:tabs>
        <w:autoSpaceDE w:val="0"/>
        <w:autoSpaceDN w:val="0"/>
        <w:adjustRightInd w:val="0"/>
        <w:jc w:val="both"/>
        <w:rPr>
          <w:color w:val="000000" w:themeColor="text1"/>
          <w:sz w:val="16"/>
          <w:szCs w:val="16"/>
        </w:rPr>
      </w:pPr>
    </w:p>
    <w:p w14:paraId="17451A3A" w14:textId="7150ADFC" w:rsidR="00C6280D" w:rsidRPr="00E14102" w:rsidRDefault="00C6280D" w:rsidP="00E14102">
      <w:pPr>
        <w:tabs>
          <w:tab w:val="left" w:pos="11199"/>
        </w:tabs>
        <w:autoSpaceDE w:val="0"/>
        <w:autoSpaceDN w:val="0"/>
        <w:adjustRightInd w:val="0"/>
        <w:jc w:val="both"/>
        <w:rPr>
          <w:i/>
          <w:iCs/>
          <w:color w:val="000000" w:themeColor="text1"/>
          <w:sz w:val="16"/>
          <w:szCs w:val="16"/>
        </w:rPr>
      </w:pPr>
      <w:r w:rsidRPr="00E14102">
        <w:rPr>
          <w:i/>
          <w:iCs/>
          <w:color w:val="000000" w:themeColor="text1"/>
          <w:sz w:val="16"/>
          <w:szCs w:val="16"/>
        </w:rPr>
        <w:t>За рубежом:</w:t>
      </w:r>
    </w:p>
    <w:p w14:paraId="4D86124A" w14:textId="77777777" w:rsidR="00C6280D" w:rsidRPr="00E14102" w:rsidRDefault="00C6280D" w:rsidP="00E14102">
      <w:pPr>
        <w:tabs>
          <w:tab w:val="left" w:pos="11199"/>
        </w:tabs>
        <w:autoSpaceDE w:val="0"/>
        <w:autoSpaceDN w:val="0"/>
        <w:adjustRightInd w:val="0"/>
        <w:jc w:val="both"/>
        <w:rPr>
          <w:i/>
          <w:iCs/>
          <w:color w:val="000000" w:themeColor="text1"/>
          <w:sz w:val="16"/>
          <w:szCs w:val="16"/>
        </w:rPr>
      </w:pPr>
    </w:p>
    <w:p w14:paraId="07FE7287" w14:textId="77777777" w:rsidR="00C6280D" w:rsidRPr="00E14102" w:rsidRDefault="00C6280D" w:rsidP="00E14102">
      <w:pPr>
        <w:jc w:val="both"/>
        <w:rPr>
          <w:color w:val="0070C0"/>
          <w:sz w:val="16"/>
          <w:szCs w:val="16"/>
        </w:rPr>
      </w:pPr>
      <w:r w:rsidRPr="00E14102">
        <w:rPr>
          <w:color w:val="0070C0"/>
          <w:sz w:val="16"/>
          <w:szCs w:val="16"/>
        </w:rPr>
        <w:t>26 января 1935 во время почтового рейса авиалайнер Hillman's Airways de Havilland Dragon Rapide G-ACPO терпит крушение в плохую погоду в Дербихейвене на острове Мэн (20800).</w:t>
      </w:r>
    </w:p>
    <w:p w14:paraId="477C59F1" w14:textId="77777777" w:rsidR="00C6280D" w:rsidRPr="00E14102" w:rsidRDefault="00C6280D" w:rsidP="00E14102">
      <w:pPr>
        <w:jc w:val="both"/>
        <w:rPr>
          <w:color w:val="0070C0"/>
          <w:sz w:val="16"/>
          <w:szCs w:val="16"/>
        </w:rPr>
      </w:pPr>
    </w:p>
    <w:p w14:paraId="3F80A27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4E4E1E8" w14:textId="77777777" w:rsidR="00D4105E" w:rsidRPr="00E14102" w:rsidRDefault="00D4105E" w:rsidP="00E14102">
      <w:pPr>
        <w:autoSpaceDE w:val="0"/>
        <w:autoSpaceDN w:val="0"/>
        <w:adjustRightInd w:val="0"/>
        <w:jc w:val="both"/>
        <w:rPr>
          <w:iCs/>
          <w:color w:val="000000" w:themeColor="text1"/>
          <w:sz w:val="16"/>
          <w:szCs w:val="16"/>
        </w:rPr>
      </w:pPr>
    </w:p>
    <w:p w14:paraId="1BBB49B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 января 1935 года вышел Приказ НИИ ВВС № 056 О приеме на полигонные испытания самолета И-14 вооруженного 4-мя пулеметами ШКАС.</w:t>
      </w:r>
    </w:p>
    <w:p w14:paraId="7B08A3E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начать 27 января 1935 года и закончить 5 февраля 1935 года (6814, 42).</w:t>
      </w:r>
    </w:p>
    <w:p w14:paraId="1586049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16A8C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января 1935 был подписан акт о сдаче ЗОК вооружения И-14 ОЭЛИД ЦАГИ (1102).</w:t>
      </w:r>
    </w:p>
    <w:p w14:paraId="7F92DE44" w14:textId="77777777" w:rsidR="00D4105E" w:rsidRPr="00E14102" w:rsidRDefault="00D4105E" w:rsidP="00E14102">
      <w:pPr>
        <w:autoSpaceDE w:val="0"/>
        <w:autoSpaceDN w:val="0"/>
        <w:adjustRightInd w:val="0"/>
        <w:jc w:val="both"/>
        <w:rPr>
          <w:color w:val="000000" w:themeColor="text1"/>
          <w:sz w:val="16"/>
          <w:szCs w:val="16"/>
        </w:rPr>
      </w:pPr>
    </w:p>
    <w:p w14:paraId="4065DC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января 1935 года начальник 4 отдела УВВС Базенков писал начальнику УВВС.</w:t>
      </w:r>
    </w:p>
    <w:p w14:paraId="1EC14A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выполнении планов УВВС заводом N 21 за 1934 год.</w:t>
      </w:r>
    </w:p>
    <w:p w14:paraId="785C39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21 за 1935 год фактически должен сдать УВС 675 самолетов И-16.</w:t>
      </w:r>
    </w:p>
    <w:p w14:paraId="0504A6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Состояние задела по программе 1934 года в 225 самолетов И-16, которые должны быть по правительственному постановлению сданы к 1.03.1935 г., не обеспечивает сдачи к обусловленному сроку этого количества даже без вооружения.</w:t>
      </w:r>
    </w:p>
    <w:p w14:paraId="1E78FC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случае утверждения схемы вооружения даже к 1.02.1935 года, завод будет занят доводкой самолетов и сдачей их УВВС минимум до 1.07.1935 года. отодвигая тем самым работы по программе 1935 года целиком и полностью на вторую половину 1935 года.</w:t>
      </w:r>
    </w:p>
    <w:p w14:paraId="228CD2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Предложения:</w:t>
      </w:r>
    </w:p>
    <w:p w14:paraId="0F6C3C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Добиться от ГУАП и завода N 39 не позже, чем к 5.02.т.г. представления доведенного эталона самолета И-16, по которому провести приемку задела 1934 года самолета И-16 на заводе N 21.</w:t>
      </w:r>
    </w:p>
    <w:p w14:paraId="466619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Потребовать от ГУАП доводки эталона самолета И-16 на 1935 год, взяв самолет 39 завода, с внесением в него всех изменений по результатам гос. испытаний после производства таковых. (3072,42).</w:t>
      </w:r>
    </w:p>
    <w:p w14:paraId="55E3D211" w14:textId="77777777" w:rsidR="00D4105E" w:rsidRPr="00E14102" w:rsidRDefault="00D4105E" w:rsidP="00E14102">
      <w:pPr>
        <w:autoSpaceDE w:val="0"/>
        <w:autoSpaceDN w:val="0"/>
        <w:adjustRightInd w:val="0"/>
        <w:jc w:val="both"/>
        <w:rPr>
          <w:color w:val="000000" w:themeColor="text1"/>
          <w:sz w:val="16"/>
          <w:szCs w:val="16"/>
        </w:rPr>
      </w:pPr>
    </w:p>
    <w:p w14:paraId="1FFEAE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27 января по 21 февраля 1935 в НИИ ВВС проходили испытания самолета И-14, оборудованного 4-мя пулеметами ШКАС (7779, 67-68).</w:t>
      </w:r>
    </w:p>
    <w:p w14:paraId="08883D12" w14:textId="77777777" w:rsidR="00D4105E" w:rsidRPr="00E14102" w:rsidRDefault="00D4105E" w:rsidP="00E14102">
      <w:pPr>
        <w:autoSpaceDE w:val="0"/>
        <w:autoSpaceDN w:val="0"/>
        <w:adjustRightInd w:val="0"/>
        <w:jc w:val="both"/>
        <w:rPr>
          <w:color w:val="000000" w:themeColor="text1"/>
          <w:sz w:val="16"/>
          <w:szCs w:val="16"/>
        </w:rPr>
      </w:pPr>
    </w:p>
    <w:p w14:paraId="6D9B7F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27 января по 22 февраля 1935 в НИИ ВВС проходили гос. испытания самолета ИА1-РЦ (7779, 67-68).</w:t>
      </w:r>
    </w:p>
    <w:p w14:paraId="017D18A4" w14:textId="77777777" w:rsidR="00D4105E" w:rsidRPr="00E14102" w:rsidRDefault="00D4105E" w:rsidP="00E14102">
      <w:pPr>
        <w:autoSpaceDE w:val="0"/>
        <w:autoSpaceDN w:val="0"/>
        <w:adjustRightInd w:val="0"/>
        <w:jc w:val="both"/>
        <w:rPr>
          <w:color w:val="000000" w:themeColor="text1"/>
          <w:sz w:val="16"/>
          <w:szCs w:val="16"/>
        </w:rPr>
      </w:pPr>
    </w:p>
    <w:p w14:paraId="3726FF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января 1935 было подготовлено письмо N 40/0633 Нач. УВВС Алкснис Нач. ГУАП:</w:t>
      </w:r>
    </w:p>
    <w:p w14:paraId="6E24CC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увеличением скоростей полета самолетов в настоящее время является особо нежелательным применение амортизаторов, фиксирующих положение лыжи в полете. Еще в 1917 т. Лобановым были запатентованы самоустанавливающиеся лыжи со стабилизатором. Эти лыжи успешно применялись на Ю-13.</w:t>
      </w:r>
    </w:p>
    <w:p w14:paraId="14D8AB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Считаю необходимым оживить это забытое дело, привлечь т. Лобанова и осуществить еще в текущую зиму постройку нескольких комплектов опытных лыж, в первую очередь для У-2, И-5 и И-15 для их последовательного испытания.</w:t>
      </w:r>
    </w:p>
    <w:p w14:paraId="573ED4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принятом Вами решении прошу меня поставить в известность." (2337,90).</w:t>
      </w:r>
    </w:p>
    <w:p w14:paraId="2063809D" w14:textId="77777777" w:rsidR="00D4105E" w:rsidRPr="00E14102" w:rsidRDefault="00D4105E" w:rsidP="00E14102">
      <w:pPr>
        <w:autoSpaceDE w:val="0"/>
        <w:autoSpaceDN w:val="0"/>
        <w:adjustRightInd w:val="0"/>
        <w:jc w:val="both"/>
        <w:rPr>
          <w:color w:val="000000" w:themeColor="text1"/>
          <w:sz w:val="16"/>
          <w:szCs w:val="16"/>
        </w:rPr>
      </w:pPr>
    </w:p>
    <w:p w14:paraId="2449DD6E" w14:textId="77777777" w:rsidR="00490C12" w:rsidRPr="00E14102" w:rsidRDefault="00490C12" w:rsidP="00E14102">
      <w:pPr>
        <w:jc w:val="both"/>
        <w:rPr>
          <w:rStyle w:val="a6"/>
          <w:i w:val="0"/>
          <w:color w:val="000000" w:themeColor="text1"/>
          <w:sz w:val="16"/>
          <w:szCs w:val="16"/>
        </w:rPr>
      </w:pPr>
      <w:r w:rsidRPr="00E14102">
        <w:rPr>
          <w:rStyle w:val="a6"/>
          <w:i w:val="0"/>
          <w:color w:val="000000" w:themeColor="text1"/>
          <w:sz w:val="16"/>
          <w:szCs w:val="16"/>
        </w:rPr>
        <w:t xml:space="preserve">27 января 1935 г. </w:t>
      </w:r>
      <w:r w:rsidRPr="00E14102">
        <w:rPr>
          <w:color w:val="000000" w:themeColor="text1"/>
          <w:sz w:val="16"/>
          <w:szCs w:val="16"/>
        </w:rPr>
        <w:t>Письмо начальника Главного управления морской судостроительной промышленности НКТП СССР Р. А. Муклевича секретарю ЦК ВКП(б) И. В. Сталину о качестве строительства подводных лодок</w:t>
      </w:r>
    </w:p>
    <w:p w14:paraId="40C088FF" w14:textId="77777777" w:rsidR="00490C12" w:rsidRPr="00E14102" w:rsidRDefault="00490C12"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355475C8"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Вопрос качества судостроения не является таким простым, как это излагается в записке КСК¹*. Затронутые вопросы (ходкость, автономность, сравнение с иностранными лодками, сквозные прорабы и др.) не поддаются безапелляционному и скорому разрешению, и критика их требует глубокого изучения вопроса и серьезного знания военного судостроения. Конструкция корабля, его основные элементы, плохие и хорошие стороны зависят не столько от промышленности, сколько от заказчика, разносторонние требования которого ложатся в основу разработки проекта, а многочисленные поправки принимаются уже в стадии осуществления, т. е. при постройке. Основные качества строящихся в данный период судов определяются общим уровнем техники страны, главным образом, машиностроительной, и накопленным научным и экспериментальным опытом в деле расчета и проектирования.</w:t>
      </w:r>
    </w:p>
    <w:p w14:paraId="043736A7"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Весь наш подводный флот фактически создан на коротком отрезке времени, не допускавшем каких-либо экспериментирований и даже проверки первых образцов. Обыкновенно закладывалась серия задолго до испытаний первого корабля. В силу этого первоначальная расчетная (по модели) скорость, полученная по данным Опытового бассейна Научно-исследовательского института УВМС в 13,75 узла, впоследствии была пересчетом этого же института снижена до 12,6 узлов. Практически получена скорость 11,5</w:t>
      </w:r>
      <w:r w:rsidRPr="00E14102">
        <w:rPr>
          <w:color w:val="000000" w:themeColor="text1"/>
          <w:sz w:val="16"/>
          <w:szCs w:val="16"/>
        </w:rPr>
        <w:noBreakHyphen/>
        <w:t>11,9 узла, и в дальнейшем — с улучшенными винтами и с наделками в носовой части булей — на подлодке «Ерш» осенью 1934 г. после докования была достигнута скорость 13 узлов при 600 об/м. Таким образом сейчас в результате опыта, которого ранее не было, имеется возможность путем небольших наделок на корпусе и смены винтов улучшить ходкость сданных лодок V</w:t>
      </w:r>
      <w:r w:rsidRPr="00E14102">
        <w:rPr>
          <w:color w:val="000000" w:themeColor="text1"/>
          <w:sz w:val="16"/>
          <w:szCs w:val="16"/>
        </w:rPr>
        <w:noBreakHyphen/>
        <w:t>с и V</w:t>
      </w:r>
      <w:r w:rsidRPr="00E14102">
        <w:rPr>
          <w:color w:val="000000" w:themeColor="text1"/>
          <w:sz w:val="16"/>
          <w:szCs w:val="16"/>
        </w:rPr>
        <w:noBreakHyphen/>
        <w:t>бис.</w:t>
      </w:r>
    </w:p>
    <w:p w14:paraId="55385299"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На последних лодках того же типа (X серия) скорость будет повышена до 13,5 узлов за счет увеличения мощности дизелей и улучшения обводов и винтов. При этом необходимо иметь в виду, что оптимальные скорости на судах могут на практике получаться при условии совершенно чистой подводной поверхности, что в условиях эксплуатации не всегда возможно, особенно на Дальнем Востоке, где имеет место сильное обрастание корпуса.</w:t>
      </w:r>
    </w:p>
    <w:p w14:paraId="6CC59EAE"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Значительно меньшее расхождение получено на одновременно строившихся лодках II серии («Ленинец»): 14,6</w:t>
      </w:r>
      <w:r w:rsidRPr="00E14102">
        <w:rPr>
          <w:color w:val="000000" w:themeColor="text1"/>
          <w:sz w:val="16"/>
          <w:szCs w:val="16"/>
        </w:rPr>
        <w:noBreakHyphen/>
        <w:t>14,85 узлов вместо расчетных 14,9 узлов. Проблема ходкости корабля является самой сложной, требующей большой и длительной научной и экспериментально-исследовательской работы с последующей опытной проверкой, и недостижение поставленных себе переделов²* не может быть объяснено так просто и легко «недостаточной борьбой за качество», как это указано в докладе КСК. Известны случаи из заграничной практики, когда построенные суда не достигали намеченной скорости. Ярким примером является английская лодка Л</w:t>
      </w:r>
      <w:r w:rsidRPr="00E14102">
        <w:rPr>
          <w:color w:val="000000" w:themeColor="text1"/>
          <w:sz w:val="16"/>
          <w:szCs w:val="16"/>
        </w:rPr>
        <w:noBreakHyphen/>
        <w:t>55, давшая, как известно, 13,8 узла вместо спесификационных 17,3 узла.</w:t>
      </w:r>
    </w:p>
    <w:p w14:paraId="74657703"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Что касается отставания наших подводных лодок по скорости от заграничных, то причины тут совершенно ясны: мы вынуждены были пользоваться теми двигателями, которые освоены нашей промышленностью, что особенно важно было при быстрой и массовой постройке, имевшей у нас место (за 3 года закончено постройкой 66 лодок с одинаковыми двигателями). Нигде в мире нет 16</w:t>
      </w:r>
      <w:r w:rsidRPr="00E14102">
        <w:rPr>
          <w:color w:val="000000" w:themeColor="text1"/>
          <w:sz w:val="16"/>
          <w:szCs w:val="16"/>
        </w:rPr>
        <w:noBreakHyphen/>
        <w:t>17 узловых лодок с подобной мощности двигателями. Дальнейшая борьба за ходкость ведется, и по установке новых двигателей Коломзавода в 2 тыс. л. с. скорость новых «Ленинцев» (XIII серия) будет уже 17</w:t>
      </w:r>
      <w:r w:rsidRPr="00E14102">
        <w:rPr>
          <w:color w:val="000000" w:themeColor="text1"/>
          <w:sz w:val="16"/>
          <w:szCs w:val="16"/>
        </w:rPr>
        <w:noBreakHyphen/>
        <w:t>18 узлов³*. Новая лодка «Правда», судя по результатам первого пробега, даст скорость порядка 20 узлов.</w:t>
      </w:r>
    </w:p>
    <w:p w14:paraId="7393AD64"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Вопрос автономности («10</w:t>
      </w:r>
      <w:r w:rsidRPr="00E14102">
        <w:rPr>
          <w:color w:val="000000" w:themeColor="text1"/>
          <w:sz w:val="16"/>
          <w:szCs w:val="16"/>
        </w:rPr>
        <w:noBreakHyphen/>
        <w:t>12 суток вместо 20») упирается не в дистиллированную воду, как это указано КСК, а в тактические требования, предъявленные заказчиком к лодкам столь ограниченного водоизмещения, каким обладают «Щуки». Ни одна из иностранных лодок такого же тоннажа не имеет столь сильного торпедного вооружения (10 торпед), что не могло не отразиться на бытовых условиях, необходимых для длительного плавания. Это является основной причиной понижения требуемой автономности, весьма большой для лодок этого типа. Лодки почти вдвое большего тоннажа («Ленинцы») имеют автономность 28 суток. Кроме того, важно точно установить, что в понятие «автономности» вкладывается.</w:t>
      </w:r>
    </w:p>
    <w:p w14:paraId="036FC68C"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«Обилие дефектов», указываемых в приемных актах, не является признаком недобросовестного отношения завода-строителя к своим обязательствам. Нужно следить не за количеством «пунктов» в актах, а за качественной стороной дела, отделять основное от второстепенного. Лодка представляет собой сложный комплекс множества механизмов и устройств, вызывающих как во время их изготовления, так и сдачи много всяких замечаний, полное устранение которых невозможно, поскольку сдача, приемка и эксплуатация рождают все новые желания и новые требования. Ярким доказательством этого служит тот факт, что ни одно из строящихся судов не заканчивается по одобренным и утвержденным чертежам, и любое эксплуатируемое судно имеет всегда множество претензий со стороны личного состава, в большинстве случаев не влияющих, однако, на его боевые и тактические качества.</w:t>
      </w:r>
    </w:p>
    <w:p w14:paraId="7220AE04"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Приведенный конкретный перечень недоделок лодок III серии, а также последующих пятых серий, обнимает дефекты, появление и устранение которых обуславливалось отсутствием у промышленности необходимого опыта. Каждый год плавания обогащает опыт личного состава и позволяет предъявлять новые требования к уже строящимся кораблям. Летом 1934 г. ряд опытных переделок был произведен на подлодке «Комсомолец», а также других, и в настоящее время положительный результат этих опытов переносится на другие суда (улучшение аварийного продувания, устранение оборжавления клапанов вентиляции, вентиляция картера, бесшумные трюмные помпы на новых лодках, устранение заклинивания горизонтальных рулей, облегчение ручного управления и др.). В ряде же других существенных вопросов (недостижение полного числа оборотов из-за крутильных колебаний, неудовлетворительность акбатареи) еще требуется большая работа проблемного порядка, прежде чем принять окончательное решение.</w:t>
      </w:r>
    </w:p>
    <w:p w14:paraId="6AC0C264"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Необходимо отметить, что часто заказчик борьбу за качество считает равноценным выполнению заводами всех его односторонних требований, которые во многих случаях бывают технически не обоснованы и противоречивы между собой и вытекают из несогласованности вопросов между различными учреждениями и институтами УВМС и даже отдельными приемщиками. Для примера из весьма многочисленных фактов можно привести причины отказа от допуска к приемным испытаниям четырех готовых подлодок на юге:</w:t>
      </w:r>
    </w:p>
    <w:p w14:paraId="7FEE68BD"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1) В соответствии с утвержденной Управлением кораблестроения и согласованной с Коломзаводом схемой на всех подлодках V, V</w:t>
      </w:r>
      <w:r w:rsidRPr="00E14102">
        <w:rPr>
          <w:color w:val="000000" w:themeColor="text1"/>
          <w:sz w:val="16"/>
          <w:szCs w:val="16"/>
        </w:rPr>
        <w:noBreakHyphen/>
        <w:t>бис, V</w:t>
      </w:r>
      <w:r w:rsidRPr="00E14102">
        <w:rPr>
          <w:color w:val="000000" w:themeColor="text1"/>
          <w:sz w:val="16"/>
          <w:szCs w:val="16"/>
        </w:rPr>
        <w:noBreakHyphen/>
        <w:t>бис</w:t>
      </w:r>
      <w:r w:rsidRPr="00E14102">
        <w:rPr>
          <w:color w:val="000000" w:themeColor="text1"/>
          <w:sz w:val="16"/>
          <w:szCs w:val="16"/>
        </w:rPr>
        <w:noBreakHyphen/>
        <w:t>2 и X серии устанавливается 1 масляный импортный сепаратор. Лодки V серии, а также лодки V</w:t>
      </w:r>
      <w:r w:rsidRPr="00E14102">
        <w:rPr>
          <w:color w:val="000000" w:themeColor="text1"/>
          <w:sz w:val="16"/>
          <w:szCs w:val="16"/>
        </w:rPr>
        <w:noBreakHyphen/>
        <w:t>бис серии на Балтийском море и Дальнем Востоке принимаются с одним масляным сепаратором, и ни приемной комиссией, ни Управлением кораблестроения или его уполномоченными не ставится вопроса о добавлении второго сепаратора, так как даже одним установленным сепаратором, как правило, лодочный состав не пользуется, и целесообразность его установки на лодке вообще сомнительна. При предъявлении лодок к испытаниям в декабре п[рошлого] г[ода] Управление кораблестроения (т. Сивков) по неправильной информации своего уполномоченного в Николаеве (т. Докукин) ставит категорические требования установки второго масляного сепаратора, и выполнение этого требования ставит условием возможности предъявления этих лодок к испытаниям. Причем заказчик прекрасно знает, что второй (ненужный) сепаратор нужно выписывать из-за границы, на что уйдет бесплодно минимум два месяца.</w:t>
      </w:r>
    </w:p>
    <w:p w14:paraId="783528DF"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2) На тех же лодках постройки НГЗ им. «61» гальюн (уборная) был установлен не в ограждении рубки, как предполагалось по спесификации, а в надстройке в соответствии с разработанным для этой серии чертежом расположения гальюна, который был утвержден уполномоченным УК в Ленинграде и по которому выполнена установка гальюна на всех лодках этой серии. НГЗ «61», видя расхождение в требованиях спесификации и утвержденных чертежах, своевременно запросил Управление кораблестроения, где же окончательно должен стоять гальюн, но не получил указаний о переносе гальюна в ограждение рубки, и только когда лодки были предъявлены к испытаниям, заказчик категорически потребовал переноса гальюна в ограждение вопреки утвержденному им чертежу его расположения и вопреки тому, что уже принято без каких-либо возражений приемной комиссией УВМС на других лодках этой серии.</w:t>
      </w:r>
    </w:p>
    <w:p w14:paraId="2A6DE9ED"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lastRenderedPageBreak/>
        <w:t>3) На тех же лодках требование «переделать задраивание резинового ковра аккумуляторных ям таким образом, чтобы он перекрывал комингс трюмов». На этих лодках конструкция задраивания выполнена в соответствии с утвержденными Управлением кораблестроения чертежами и аналогично тому, как выполнено и уже принято на других лодках этой серии. В мае месяце 1934 г. на НГЗ «61» аппаратом Управления кораблестроения и его представителем, специально командированным для решения этого и аналогичных вопросов на месте, вопрос о переделке системы задраивания решается отрицательно, что утверждается начальником Управления кораблестроения (письмо № 259543). Когда же лодки были предъявлены к испытаниям, то от завода категорически было потребовано переделать систему задраивания (письмо № 252038 от 1 декабря 1934 г. п. 23), и им же самим это категорическое требование было аннулировано (см. протокол в Главморпроме 17 января с. г.) как технически невыполнимое.</w:t>
      </w:r>
    </w:p>
    <w:p w14:paraId="55B3E6C3"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4) Чертежи эбонитового насоса для перекачки дистиллированной воды разрабатываются институтом Управления кораблестроения НИВКом, который затянул разработку этих чертежей до января с. г. Завод НГЗ «61», не получая утвержденных от УК чертежей, по которым должен быть разработан насос, разработал и построил насос своей конструкции с эбонитовой рубашкой и втулками и снабдил этими насосами предъявленные лодки. Управление кораблестроения категорически потребовало до предъявления лодок к испытаниям снабдить лодки эбонитовыми насосами по чертежам, которые им же с большим опозданием разработаны, еще не утверждены и не переданы промышленности для изготовления по ним насосов. Требование явно абсурдное и по этой причине самим начальником Управления кораблестроения отмененное (см. протокол в Главморпроме 17 января с. г.).</w:t>
      </w:r>
    </w:p>
    <w:p w14:paraId="71A8B37C"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5) До предъявления лодок к испытаниям потребовано Управлением кораблестроения снабдить лодки пеналами для голубиной почты. Между тем конструкция этих пеналов по заданию Управления кораблестроения разрабатывается Остехбюро, чертежи этих пеналов заводам Главморпрома еще не переданы, и само Управление кораблестроения и его органы не ориентированы, готовы ли чертежи и в каком положении находится вопрос с войсковыми испытаниями этих пеналов.</w:t>
      </w:r>
    </w:p>
    <w:p w14:paraId="6FFA846B"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6) Потребовано до представления лодок к испытаниям снабдить лодки приспособлениями для выбрасывания сигнальных бомбочек типа «ФИТ». Бомбочки, как и приспособления для их выбрасывания, разрабатывались по заданию Управления кораблестроения Остехбюро. Только в январе этого года Управление кораблестроения передало Главморпрому чертежи этого приспособления и выдало специальный наряд на установку этого прибора на одной лодке Х</w:t>
      </w:r>
      <w:r w:rsidRPr="00E14102">
        <w:rPr>
          <w:color w:val="000000" w:themeColor="text1"/>
          <w:sz w:val="16"/>
          <w:szCs w:val="16"/>
        </w:rPr>
        <w:noBreakHyphen/>
        <w:t>й серии каждого театра из числа входящих в строй в 1935 г. для выяснения возможности их установки на подлодках типа «Щука» и испытания. Возможно, что при разработке вопроса выяснится невозможность их удобной установки на лодках этого типа, между тем уполномоченный УК требует, а Управление кораблестроения подтверждает его требование установки приборов на предъявленных к испытанию лодках.</w:t>
      </w:r>
    </w:p>
    <w:p w14:paraId="78B6FE1F"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7) По спесификации V</w:t>
      </w:r>
      <w:r w:rsidRPr="00E14102">
        <w:rPr>
          <w:color w:val="000000" w:themeColor="text1"/>
          <w:sz w:val="16"/>
          <w:szCs w:val="16"/>
        </w:rPr>
        <w:noBreakHyphen/>
        <w:t>бис серии требуются бачки питьевой воды медные луженые. По обсуждению этого вопроса с врачами санитарной части флота решено было с согласия и утверждения уполномоченного УК в Ленинграде установить бачки не медные, а железные луженые или шоопированные алюминием. Выпускается чертеж железного бачка (луженого), и ими снабжаются лодки V</w:t>
      </w:r>
      <w:r w:rsidRPr="00E14102">
        <w:rPr>
          <w:color w:val="000000" w:themeColor="text1"/>
          <w:sz w:val="16"/>
          <w:szCs w:val="16"/>
        </w:rPr>
        <w:noBreakHyphen/>
        <w:t>бис серии, причем приемной комиссией они по признаку материала не забраковываются на принятых лодках этой серии. На лодках постройки НГЗ «61» ставится требование заменить железные бачки на медные луженые, а медные луженые бачки, посланные на Дальний Восток, забракованы приемной комиссией потому, что они медные, так как в медных бачках могут образоваться вредные для организма окиси. Следовательно, на юге требуют то, что уже на Дальнем Востоке забраковано.</w:t>
      </w:r>
    </w:p>
    <w:p w14:paraId="1F3FD1D7"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Вышеприведенные факты относятся только к одному заводу НГЗ «61» и к одной серии. Аналогичных фактов можно было бы привести достаточно много по каждому заводу и по каждой серии. Например, на Дальнем Востоке не приняты последние лодки воистину по смехотворным причинам: нет резинового ковра (завод предлагал заменить его линолеумом), нет «штатных» манометров (отличие штатного от нештатного состоит в красной черте на циферблате), чехлов для дизелей и ряда запасных мелочей.</w:t>
      </w:r>
    </w:p>
    <w:p w14:paraId="6E61F234"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Приведенного достаточно для характеристики того, насколько неправильны и противоречивы бывают зачастую требования заказчика и его уполномоченных, а между тем невыполнение подобного рода «требований» расцениваются УВМС как нежелание бороться за боевые качества сдаваемых лодок. Отсюда видно, что вопреки замечаниям КСК о попустительстве УВМСа, наоборот, часто имеет место предъявление требований, не способствующих повышению качества, а тормозящих работу заводов и бесплодно затягивающих сдачу лодок в состав флота. Вмешательство КСК делу мало помогло. Установки, даваемые представителями КСК непосредственно личному составу: на лодках и на заводах не принимать кораблей, пока все «пункты» не будут промышленностью выполнены, причем все «пункты» валятся в кучу и каждый каприз подгоняется под рубрику качества, сбивают с толку людей, толкают на какую-то своеобразную уравниловку в технике.</w:t>
      </w:r>
    </w:p>
    <w:p w14:paraId="3E95B192"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У нас много недостатков. Драться за качество нужно, и промышленность дерется и будет драться за улучшение продукции. Особенно много минусов в судовой электротехнике. Но капризов допускать нельзя. Нельзя корабль приспосабливать ко вкусам отдельного командира. Нельзя требовать обязательно дефицитной меди или латуни там, где с успехом может служить сталь или простое железо, не нужно требовать импорта там, где можно выйти из положения продукцией советского производства, можно временно помириться на 4</w:t>
      </w:r>
      <w:r w:rsidRPr="00E14102">
        <w:rPr>
          <w:color w:val="000000" w:themeColor="text1"/>
          <w:sz w:val="16"/>
          <w:szCs w:val="16"/>
        </w:rPr>
        <w:noBreakHyphen/>
        <w:t>миллиметровом резиновом ковре, если наша промышленность не делает 5</w:t>
      </w:r>
      <w:r w:rsidRPr="00E14102">
        <w:rPr>
          <w:color w:val="000000" w:themeColor="text1"/>
          <w:sz w:val="16"/>
          <w:szCs w:val="16"/>
        </w:rPr>
        <w:noBreakHyphen/>
        <w:t>миллиметрового, можно даже поплавать на «Малютках» или «Щуках» без автоматического керна, без наковальни, с одними, а не с двумя тисками, все это на боевое качество лодок в отрицательную сторону не повлияет. Наоборот, осложняет боевую работу лодки загромождение ее ненужными предметами и механизмами, которые потом приходится снимать и передавать на склады, что уже не раз в нашей практике имело место.</w:t>
      </w:r>
    </w:p>
    <w:p w14:paraId="0FCA1179"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Недостаточно продуманные требования к качеству в прошлом привели к целому ряду серьезных извращений в нашем судостроении. Так например, мы считали качеством, если винты корабля находятся на одном уровне с килем и даже по этому принципу строим лидеры, за границей над таким «качеством» смеются, мы считаем «качеством» двойное дно, а французы считают качеством скорость и именно для скорости отказываются и от двойного дна, и от расположения винтов по нашей системе, и от многого другого, что мы еще применяем. Я полагаю, что правы французы, а не мы.</w:t>
      </w:r>
    </w:p>
    <w:p w14:paraId="560D03DB"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Больше надо работать над проектом корабля, серьезнее изучать иностранный опыт, более внимательно и продуманно относиться к нашему собственному опыту, получаемому при боевом использовании кораблей на маневрах и учениях (а не к умозрительному «опыту» канцелярий) — вот путь, по которому надо идти в важном деле качественного улучшения нашей боевой мощи на море.</w:t>
      </w:r>
    </w:p>
    <w:p w14:paraId="4C59CB8A" w14:textId="77777777" w:rsidR="00490C12" w:rsidRPr="00E14102" w:rsidRDefault="00490C12"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Начальник Главморпрома Р.</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Муклевич</w:t>
      </w:r>
    </w:p>
    <w:p w14:paraId="2BE244F3" w14:textId="77777777" w:rsidR="00490C12" w:rsidRPr="00E14102" w:rsidRDefault="00490C12"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227BF39F"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¹* Письмо написано в ответ на записку членов Комиссии советского контроля Г. Д. Хаханьяна и Пылаева секретарю ЦК ВКП(б) И. В. Сталину «О качестве подводных лодок» от 15 января 1935 г.</w:t>
      </w:r>
    </w:p>
    <w:p w14:paraId="083DF055"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²* Так в тексте.</w:t>
      </w:r>
    </w:p>
    <w:p w14:paraId="4B39B0FD" w14:textId="77777777" w:rsidR="00490C12" w:rsidRPr="00E14102" w:rsidRDefault="00490C12" w:rsidP="00E14102">
      <w:pPr>
        <w:pStyle w:val="rtejustify"/>
        <w:spacing w:before="0" w:after="0"/>
        <w:rPr>
          <w:color w:val="000000" w:themeColor="text1"/>
          <w:sz w:val="16"/>
          <w:szCs w:val="16"/>
        </w:rPr>
      </w:pPr>
      <w:r w:rsidRPr="00E14102">
        <w:rPr>
          <w:color w:val="000000" w:themeColor="text1"/>
          <w:sz w:val="16"/>
          <w:szCs w:val="16"/>
        </w:rPr>
        <w:t>³* </w:t>
      </w:r>
      <w:r w:rsidRPr="00E14102">
        <w:rPr>
          <w:rStyle w:val="a6"/>
          <w:bCs/>
          <w:i w:val="0"/>
          <w:color w:val="000000" w:themeColor="text1"/>
          <w:sz w:val="16"/>
          <w:szCs w:val="16"/>
        </w:rPr>
        <w:t>Модернизации подводных лодок «Ленинец»</w:t>
      </w:r>
      <w:r w:rsidRPr="00E14102">
        <w:rPr>
          <w:color w:val="000000" w:themeColor="text1"/>
          <w:sz w:val="16"/>
          <w:szCs w:val="16"/>
        </w:rPr>
        <w:t xml:space="preserve"> посвящено письмо наркома тяжелой промышленности С. Орджоникидзе наркому обороны К. Е. Ворошилову от 24 сентября 1934 г. В письме говорится о переходе на производство судов XIII серии вместо XI серии как устаревшей и рассказывается, что начальник конструкторского бюро № 2 Главморпрома инженер Б. В. Малинин предложил модернизировать проект этих судов на основе использования опыта, накопившегося при постройке предыдущих серий подводных лодок, а также иностранной техпомощи по подводным лодкам Е</w:t>
      </w:r>
      <w:r w:rsidRPr="00E14102">
        <w:rPr>
          <w:color w:val="000000" w:themeColor="text1"/>
          <w:sz w:val="16"/>
          <w:szCs w:val="16"/>
        </w:rPr>
        <w:noBreakHyphen/>
        <w:t>2. При этом, «изменяется как форма, так и размеры прочного корпуса, увеличивается скорость с 14,5 до 18 узлов путем замены двигателей на новую марку Коломенского завода, увеличивается торпедное вооружение путем установки двух торпедных аппаратов в корме (суда XI серии не имеют кормового торпедного вооружения вовсе), увеличивается запас топлива и, следовательно, район плавания, упрощается система воздуха высокого давления, что даст выигрыш помещения внутри лодки. В производственном отношении предлагаемые изменения дают увеличение объема корпусных работ на заводах-строителях и соответствующее уменьшение их на Дальнем Востоке; сокращение количества железнодорожных платформ для перевозки; упрощение монтажных работ. При этом не будут нарушаться конечные сроки постройки и готовности судов». (РГВА. Ф. 4. Оп. 14. Д. 1212. Л. 83</w:t>
      </w:r>
      <w:r w:rsidRPr="00E14102">
        <w:rPr>
          <w:color w:val="000000" w:themeColor="text1"/>
          <w:sz w:val="16"/>
          <w:szCs w:val="16"/>
        </w:rPr>
        <w:noBreakHyphen/>
        <w:t>85).</w:t>
      </w:r>
    </w:p>
    <w:p w14:paraId="7F47B804" w14:textId="77777777" w:rsidR="00490C12" w:rsidRPr="00E14102" w:rsidRDefault="00490C12"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АП РФ. Ф. 3. Оп. 46. Д. 548. Л. 79-86. Подлинник (15333).</w:t>
      </w:r>
    </w:p>
    <w:p w14:paraId="7D6B770C" w14:textId="77777777" w:rsidR="00490C12" w:rsidRPr="00E14102" w:rsidRDefault="00490C12" w:rsidP="00E14102">
      <w:pPr>
        <w:jc w:val="both"/>
        <w:rPr>
          <w:bCs/>
          <w:color w:val="000000" w:themeColor="text1"/>
          <w:sz w:val="16"/>
          <w:szCs w:val="16"/>
        </w:rPr>
      </w:pPr>
    </w:p>
    <w:p w14:paraId="1EC3027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A4279DB" w14:textId="77777777" w:rsidR="00D4105E" w:rsidRPr="00E14102" w:rsidRDefault="00D4105E" w:rsidP="00E14102">
      <w:pPr>
        <w:autoSpaceDE w:val="0"/>
        <w:autoSpaceDN w:val="0"/>
        <w:adjustRightInd w:val="0"/>
        <w:jc w:val="both"/>
        <w:rPr>
          <w:iCs/>
          <w:color w:val="000000" w:themeColor="text1"/>
          <w:sz w:val="16"/>
          <w:szCs w:val="16"/>
        </w:rPr>
      </w:pPr>
    </w:p>
    <w:p w14:paraId="23498C3E" w14:textId="77777777" w:rsidR="00FA4EE1" w:rsidRPr="00E14102" w:rsidRDefault="00FA4EE1" w:rsidP="00E14102">
      <w:pPr>
        <w:jc w:val="both"/>
        <w:rPr>
          <w:color w:val="000000" w:themeColor="text1"/>
          <w:sz w:val="16"/>
          <w:szCs w:val="16"/>
        </w:rPr>
      </w:pPr>
      <w:r w:rsidRPr="00E14102">
        <w:rPr>
          <w:color w:val="000000" w:themeColor="text1"/>
          <w:sz w:val="16"/>
          <w:szCs w:val="16"/>
        </w:rPr>
        <w:t>27 января 1935. На экраны вышел фильм "Юность Максима". Авторы сценария и режиссеры Г. Козинцев и Л. Трауберг. Оператор А. Москвин. Композитор Д. Шостакович. В главной роли Б. Чирков (18720).</w:t>
      </w:r>
    </w:p>
    <w:p w14:paraId="5795FD84" w14:textId="77777777" w:rsidR="00FA4EE1" w:rsidRPr="00E14102" w:rsidRDefault="00FA4EE1" w:rsidP="00E14102">
      <w:pPr>
        <w:jc w:val="both"/>
        <w:rPr>
          <w:color w:val="000000" w:themeColor="text1"/>
          <w:sz w:val="16"/>
          <w:szCs w:val="16"/>
        </w:rPr>
      </w:pPr>
    </w:p>
    <w:p w14:paraId="7441BC89" w14:textId="77777777" w:rsidR="00C6280D" w:rsidRPr="00E14102" w:rsidRDefault="00C6280D" w:rsidP="00E14102">
      <w:pPr>
        <w:jc w:val="both"/>
        <w:rPr>
          <w:color w:val="0070C0"/>
          <w:sz w:val="16"/>
          <w:szCs w:val="16"/>
        </w:rPr>
      </w:pPr>
      <w:r w:rsidRPr="00E14102">
        <w:rPr>
          <w:color w:val="0070C0"/>
          <w:sz w:val="16"/>
          <w:szCs w:val="16"/>
        </w:rPr>
        <w:t>27 января 1935 года на экраны нашей страны вышел фильм «Юность Максима» - первая часть кинотрилогии о революции режиссеров Григория Козинцева и Леонида Трауберга с Борисом Чирковым в главной роли (21179).</w:t>
      </w:r>
    </w:p>
    <w:p w14:paraId="18EADBC4" w14:textId="77777777" w:rsidR="00C6280D" w:rsidRPr="00E14102" w:rsidRDefault="00C6280D" w:rsidP="00E14102">
      <w:pPr>
        <w:jc w:val="both"/>
        <w:rPr>
          <w:color w:val="0070C0"/>
          <w:sz w:val="16"/>
          <w:szCs w:val="16"/>
        </w:rPr>
      </w:pPr>
    </w:p>
    <w:p w14:paraId="302B86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января 1935 руководители МВС и Дмитлага Коган и Фирин, главный инженер МВС Жук и начальник Финотдела НКВД и МВС Берензон известили всех начальников “районов, работ районов, участков, работ участков, сооружений, отделов Управлений Строительства и Лагеря”:</w:t>
      </w:r>
    </w:p>
    <w:p w14:paraId="10CEC7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“Ассигнованная Правительством сумма финансирования нашей стройки почти на 25 % меньше, чем в 1934 г... (7560).</w:t>
      </w:r>
    </w:p>
    <w:p w14:paraId="67B6FD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Одних этих цифр достаточно, чтобы уяснить себе, насколько лучше и хозяйственнее мы должны работать в наступающем году (7560).</w:t>
      </w:r>
    </w:p>
    <w:p w14:paraId="72300D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истекшем году всякий дорого сделанный куб вел только к перерасходам по смете. Мы имели достаточно свободных средств, чтобы не сокращать независимо от перерасходов разворота годовой программы. В 1935 году всякий перерасход на одном кубе сорвет выполнение другого куба, так как на него не хватит средств (7560).</w:t>
      </w:r>
    </w:p>
    <w:p w14:paraId="3886A8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Мы в 1934 году были настолько свободны в средствах, что покупали все, что хотели и в любом количестве (7560).</w:t>
      </w:r>
    </w:p>
    <w:p w14:paraId="21011B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Эти материально-имущественные ценности разбросаны по районам и участковым базам, на сооружениях, по местам работ и т. д. Наш финансовый план на будущий год настолько напряжен, что мы не можем себе позволить иметь в запасе ни одного ненужного гвоздя (7560).</w:t>
      </w:r>
    </w:p>
    <w:p w14:paraId="42873C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 должны просмотреть все свое хозяйство, выявить все то, без чего вы можете обойтись, и сдать соответствующим Отделам для реализации.. (7560).</w:t>
      </w:r>
    </w:p>
    <w:p w14:paraId="593A5A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Стоимость лагерной рабсилы с вздорожанием основных видов довольствия повышается с 1 января в 1 1/2 раза. Если мы раньше могли покрывать наши промахи дешевой рабсилой, то сейчас у нас и эта возможность отпадает. Лагерная рабсила будет не дешевле вольной. Поэтому каждый недоданный на производство человек, каждый болтающийся зря человек будет проедать у вас средства, которых у вас имеется в обрез для выполнения производственной программы.. (7560).</w:t>
      </w:r>
    </w:p>
    <w:p w14:paraId="2EB260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Всякая бесхозяйственность впредь будет рассматриваться как срыв производственного плана с вытекающими отсюда для виновных последствиями” (7560).</w:t>
      </w:r>
    </w:p>
    <w:p w14:paraId="0C1A81C0" w14:textId="77777777" w:rsidR="00D4105E" w:rsidRPr="00E14102" w:rsidRDefault="00D4105E" w:rsidP="00E14102">
      <w:pPr>
        <w:autoSpaceDE w:val="0"/>
        <w:autoSpaceDN w:val="0"/>
        <w:adjustRightInd w:val="0"/>
        <w:jc w:val="both"/>
        <w:rPr>
          <w:color w:val="000000" w:themeColor="text1"/>
          <w:sz w:val="16"/>
          <w:szCs w:val="16"/>
        </w:rPr>
      </w:pPr>
    </w:p>
    <w:p w14:paraId="6FF065BC" w14:textId="77777777" w:rsidR="00731362" w:rsidRPr="00E14102" w:rsidRDefault="00731362" w:rsidP="00E14102">
      <w:pPr>
        <w:autoSpaceDE w:val="0"/>
        <w:autoSpaceDN w:val="0"/>
        <w:adjustRightInd w:val="0"/>
        <w:jc w:val="both"/>
        <w:rPr>
          <w:color w:val="000000" w:themeColor="text1"/>
          <w:sz w:val="16"/>
          <w:szCs w:val="16"/>
        </w:rPr>
      </w:pPr>
      <w:r w:rsidRPr="00E14102">
        <w:rPr>
          <w:color w:val="000000" w:themeColor="text1"/>
          <w:sz w:val="16"/>
          <w:szCs w:val="16"/>
        </w:rPr>
        <w:t>27 января 1935 г. группа молодежи, высланной с родителя</w:t>
      </w:r>
      <w:r w:rsidRPr="00E14102">
        <w:rPr>
          <w:color w:val="000000" w:themeColor="text1"/>
          <w:sz w:val="16"/>
          <w:szCs w:val="16"/>
        </w:rPr>
        <w:softHyphen/>
        <w:t>ми из Ленинграда в Уфу, обратилась с телеграммой на имя Сталина, Молотова и Ягоды. "Мы, нижеподписавшиеся юно</w:t>
      </w:r>
      <w:r w:rsidRPr="00E14102">
        <w:rPr>
          <w:color w:val="000000" w:themeColor="text1"/>
          <w:sz w:val="16"/>
          <w:szCs w:val="16"/>
        </w:rPr>
        <w:softHyphen/>
        <w:t>ши и девушки в возрасте от 18 до 25 лет, высланные из Ленин</w:t>
      </w:r>
      <w:r w:rsidRPr="00E14102">
        <w:rPr>
          <w:color w:val="000000" w:themeColor="text1"/>
          <w:sz w:val="16"/>
          <w:szCs w:val="16"/>
        </w:rPr>
        <w:softHyphen/>
        <w:t>града за социальное прошлое родителей или родственников, находясь в крайне тяжелом положении, — говорилось в теле</w:t>
      </w:r>
      <w:r w:rsidRPr="00E14102">
        <w:rPr>
          <w:color w:val="000000" w:themeColor="text1"/>
          <w:sz w:val="16"/>
          <w:szCs w:val="16"/>
        </w:rPr>
        <w:softHyphen/>
        <w:t>грамме, — обращаемся к Вам с просьбой снять с нас незаслу</w:t>
      </w:r>
      <w:r w:rsidRPr="00E14102">
        <w:rPr>
          <w:color w:val="000000" w:themeColor="text1"/>
          <w:sz w:val="16"/>
          <w:szCs w:val="16"/>
        </w:rPr>
        <w:softHyphen/>
        <w:t>женное наказание — административную высылку, восстано</w:t>
      </w:r>
      <w:r w:rsidRPr="00E14102">
        <w:rPr>
          <w:color w:val="000000" w:themeColor="text1"/>
          <w:sz w:val="16"/>
          <w:szCs w:val="16"/>
        </w:rPr>
        <w:softHyphen/>
        <w:t>вить во всех гражданских правах и разрешить проживание на всей территории Союза. Не можем отвечать за социальное прошлое родных в силу своего возраста, с прошлым не имеем ничего общего, рождены в революцию, возращены и воспита</w:t>
      </w:r>
      <w:r w:rsidRPr="00E14102">
        <w:rPr>
          <w:color w:val="000000" w:themeColor="text1"/>
          <w:sz w:val="16"/>
          <w:szCs w:val="16"/>
        </w:rPr>
        <w:softHyphen/>
        <w:t>ны советской властью, являемся честными советскими студентами, рабочими и служащими. Горячо желаем снова влиться в ряды советской молодежи и включиться в стройку социализ</w:t>
      </w:r>
      <w:r w:rsidRPr="00E14102">
        <w:rPr>
          <w:color w:val="000000" w:themeColor="text1"/>
          <w:sz w:val="16"/>
          <w:szCs w:val="16"/>
        </w:rPr>
        <w:softHyphen/>
        <w:t>ма". В тот же день Молотов переслал телеграмму Вышинскому с резолюцией: "Прошу Вас от себя и от т. Сталина вниматель</w:t>
      </w:r>
      <w:r w:rsidRPr="00E14102">
        <w:rPr>
          <w:color w:val="000000" w:themeColor="text1"/>
          <w:sz w:val="16"/>
          <w:szCs w:val="16"/>
        </w:rPr>
        <w:softHyphen/>
        <w:t>но и быстро разобраться в этом деле — надо дать ответ и, видимо, — пойти им навстречу" . Вышинский немедленно сообщил Молотову, что затребовал дела уфимских заявителей и одновременно поставил вопрос о возможности принятия об</w:t>
      </w:r>
      <w:r w:rsidRPr="00E14102">
        <w:rPr>
          <w:color w:val="000000" w:themeColor="text1"/>
          <w:sz w:val="16"/>
          <w:szCs w:val="16"/>
        </w:rPr>
        <w:softHyphen/>
        <w:t>щего постановления, предусматривающего отмену высылки для всех молодых людей, высланных в административном по</w:t>
      </w:r>
      <w:r w:rsidRPr="00E14102">
        <w:rPr>
          <w:color w:val="000000" w:themeColor="text1"/>
          <w:sz w:val="16"/>
          <w:szCs w:val="16"/>
        </w:rPr>
        <w:softHyphen/>
        <w:t>рядке вместе с родителями</w:t>
      </w:r>
      <w:r w:rsidRPr="00E14102">
        <w:rPr>
          <w:color w:val="000000" w:themeColor="text1"/>
          <w:sz w:val="16"/>
          <w:szCs w:val="16"/>
          <w:vertAlign w:val="superscript"/>
        </w:rPr>
        <w:t>36</w:t>
      </w:r>
      <w:r w:rsidRPr="00E14102">
        <w:rPr>
          <w:color w:val="000000" w:themeColor="text1"/>
          <w:sz w:val="16"/>
          <w:szCs w:val="16"/>
        </w:rPr>
        <w:t>. Эта идея Вышинского, однако, поддержки не получила. Было решено ограничиться решени</w:t>
      </w:r>
      <w:r w:rsidRPr="00E14102">
        <w:rPr>
          <w:color w:val="000000" w:themeColor="text1"/>
          <w:sz w:val="16"/>
          <w:szCs w:val="16"/>
        </w:rPr>
        <w:softHyphen/>
        <w:t xml:space="preserve">ем по конкретному ленинградскому случаю. 28 февраля </w:t>
      </w:r>
      <w:bookmarkStart w:id="2" w:name="YANDEX_30"/>
      <w:bookmarkEnd w:id="2"/>
      <w:r w:rsidRPr="00E14102">
        <w:rPr>
          <w:rStyle w:val="highlight"/>
          <w:color w:val="000000" w:themeColor="text1"/>
          <w:sz w:val="16"/>
          <w:szCs w:val="16"/>
        </w:rPr>
        <w:t> 1936 </w:t>
      </w:r>
      <w:r w:rsidRPr="00E14102">
        <w:rPr>
          <w:color w:val="000000" w:themeColor="text1"/>
          <w:sz w:val="16"/>
          <w:szCs w:val="16"/>
        </w:rPr>
        <w:t xml:space="preserve"> г. Политбюро утвердило подготовленное Вышинским и заме</w:t>
      </w:r>
      <w:r w:rsidRPr="00E14102">
        <w:rPr>
          <w:color w:val="000000" w:themeColor="text1"/>
          <w:sz w:val="16"/>
          <w:szCs w:val="16"/>
        </w:rPr>
        <w:softHyphen/>
        <w:t>стителем наркома внутренних дел СССР Г.Е.Прокофьевым постановление СНК и ЦК: "В отношении учащихся высших учебных заведений или занимающихся самостоятельным об</w:t>
      </w:r>
      <w:r w:rsidRPr="00E14102">
        <w:rPr>
          <w:color w:val="000000" w:themeColor="text1"/>
          <w:sz w:val="16"/>
          <w:szCs w:val="16"/>
        </w:rPr>
        <w:softHyphen/>
        <w:t xml:space="preserve">щественно полезным трудом, высланных в </w:t>
      </w:r>
      <w:bookmarkStart w:id="3" w:name="YANDEX_31"/>
      <w:bookmarkEnd w:id="3"/>
      <w:r w:rsidRPr="00E14102">
        <w:rPr>
          <w:rStyle w:val="highlight"/>
          <w:color w:val="000000" w:themeColor="text1"/>
          <w:sz w:val="16"/>
          <w:szCs w:val="16"/>
        </w:rPr>
        <w:t> 1935 </w:t>
      </w:r>
      <w:r w:rsidRPr="00E14102">
        <w:rPr>
          <w:color w:val="000000" w:themeColor="text1"/>
          <w:sz w:val="16"/>
          <w:szCs w:val="16"/>
        </w:rPr>
        <w:t xml:space="preserve"> г. из Ленинг</w:t>
      </w:r>
      <w:r w:rsidRPr="00E14102">
        <w:rPr>
          <w:color w:val="000000" w:themeColor="text1"/>
          <w:sz w:val="16"/>
          <w:szCs w:val="16"/>
        </w:rPr>
        <w:softHyphen/>
        <w:t>рада в административном порядке вместе с их родителями, в связи с социальным происхождением и прошлой деятельно</w:t>
      </w:r>
      <w:r w:rsidRPr="00E14102">
        <w:rPr>
          <w:color w:val="000000" w:themeColor="text1"/>
          <w:sz w:val="16"/>
          <w:szCs w:val="16"/>
        </w:rPr>
        <w:softHyphen/>
        <w:t>стью последних, но лично ничем не опороченных, — высылку отменить и разрешить им свободное проживание на всей тер</w:t>
      </w:r>
      <w:r w:rsidRPr="00E14102">
        <w:rPr>
          <w:color w:val="000000" w:themeColor="text1"/>
          <w:sz w:val="16"/>
          <w:szCs w:val="16"/>
        </w:rPr>
        <w:softHyphen/>
        <w:t>ритории Союза ССР"</w:t>
      </w:r>
      <w:r w:rsidRPr="00E14102">
        <w:rPr>
          <w:color w:val="000000" w:themeColor="text1"/>
          <w:sz w:val="16"/>
          <w:szCs w:val="16"/>
          <w:vertAlign w:val="superscript"/>
        </w:rPr>
        <w:t>37</w:t>
      </w:r>
      <w:r w:rsidRPr="00E14102">
        <w:rPr>
          <w:color w:val="000000" w:themeColor="text1"/>
          <w:sz w:val="16"/>
          <w:szCs w:val="16"/>
        </w:rPr>
        <w:t>. 14 марта Вышинский сообщил Стали</w:t>
      </w:r>
      <w:r w:rsidRPr="00E14102">
        <w:rPr>
          <w:color w:val="000000" w:themeColor="text1"/>
          <w:sz w:val="16"/>
          <w:szCs w:val="16"/>
        </w:rPr>
        <w:softHyphen/>
        <w:t>ну и Молотову, что проверке на основании постановления от 28 февраля подлежали около 6 тыс. дел (17307).</w:t>
      </w:r>
    </w:p>
    <w:p w14:paraId="747BC5F8" w14:textId="77777777" w:rsidR="00731362" w:rsidRPr="00E14102" w:rsidRDefault="00731362" w:rsidP="00E14102">
      <w:pPr>
        <w:autoSpaceDE w:val="0"/>
        <w:autoSpaceDN w:val="0"/>
        <w:adjustRightInd w:val="0"/>
        <w:jc w:val="both"/>
        <w:rPr>
          <w:color w:val="000000" w:themeColor="text1"/>
          <w:sz w:val="16"/>
          <w:szCs w:val="16"/>
        </w:rPr>
      </w:pPr>
    </w:p>
    <w:p w14:paraId="4B66B1D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DC1F4A7" w14:textId="77777777" w:rsidR="00D4105E" w:rsidRPr="00E14102" w:rsidRDefault="00D4105E" w:rsidP="00E14102">
      <w:pPr>
        <w:autoSpaceDE w:val="0"/>
        <w:autoSpaceDN w:val="0"/>
        <w:adjustRightInd w:val="0"/>
        <w:jc w:val="both"/>
        <w:rPr>
          <w:iCs/>
          <w:color w:val="000000" w:themeColor="text1"/>
          <w:sz w:val="16"/>
          <w:szCs w:val="16"/>
        </w:rPr>
      </w:pPr>
    </w:p>
    <w:p w14:paraId="54D379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января 1935 Лига наций проголосовала за лишение Японии мандатов в Китае (2100).</w:t>
      </w:r>
    </w:p>
    <w:p w14:paraId="4FDD346D" w14:textId="77777777" w:rsidR="00D4105E" w:rsidRPr="00E14102" w:rsidRDefault="00D4105E" w:rsidP="00E14102">
      <w:pPr>
        <w:autoSpaceDE w:val="0"/>
        <w:autoSpaceDN w:val="0"/>
        <w:adjustRightInd w:val="0"/>
        <w:jc w:val="both"/>
        <w:rPr>
          <w:color w:val="000000" w:themeColor="text1"/>
          <w:sz w:val="16"/>
          <w:szCs w:val="16"/>
        </w:rPr>
      </w:pPr>
    </w:p>
    <w:p w14:paraId="74311B7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AF71386" w14:textId="77777777" w:rsidR="00D4105E" w:rsidRPr="00E14102" w:rsidRDefault="00D4105E" w:rsidP="00E14102">
      <w:pPr>
        <w:autoSpaceDE w:val="0"/>
        <w:autoSpaceDN w:val="0"/>
        <w:adjustRightInd w:val="0"/>
        <w:jc w:val="both"/>
        <w:rPr>
          <w:iCs/>
          <w:color w:val="000000" w:themeColor="text1"/>
          <w:sz w:val="16"/>
          <w:szCs w:val="16"/>
        </w:rPr>
      </w:pPr>
    </w:p>
    <w:p w14:paraId="13B4C2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28 января 1935 г. вышло постановление Совета Труда и Обороны № 61 о посылке делегации в США для закупки бомбардировщика Мартин В-10 и пассажирского самолета Дуглас DC-2. Делегацию возглавлял А.Н. Туполев. В состав ее входили специалисты ГУАП и УВВС - среди них А.А. Архангельский, Б. М. Кондорский и Аузан. Из предварительного списка Туполев исключил конструктора И.Г. Немана. Впоследствии по настоянию секретариата СТО он вновь появился в составе делегации. Закупили самолет Дуглас DC-2 с моторами Райт "Циклон" и одномоторный штурмовик-разведчик Нортроп-2Е. После прибытия самолетов в СССР по инициативе начальника УВВС Я.И.Алксниса предусматривалась организация широкого ознакомления авиационных специалистов с особенностями конструкции, технологии изготовления и оборудованием этих самолетов. Наибольший интерес у специалистов ЦАГИ с точки зрения конструктивных и технологических решений, а также используемого оборудования вызвал ДС-2. Применительно к самолету "Нортроп" внимание обратили только на очень удачную систему обогрева и вентиляцию кабин экипажа, которую было предложено внедрить на ряде наших самолетов. М.М. Громов уделил серьезное </w:t>
      </w:r>
      <w:r w:rsidRPr="00E14102">
        <w:rPr>
          <w:color w:val="000000" w:themeColor="text1"/>
          <w:sz w:val="16"/>
          <w:szCs w:val="16"/>
        </w:rPr>
        <w:tab/>
        <w:t>внимание уникальным пилотажным качествам этого самолета. Реакции со стороны руководства и специалистов ЦАГИ на это не последовало. В то время не делалось никаких попыток провести исследования по определению способов достижения этих качеств, несмотря на крайнюю важность их для нашей авиации. Справедливости ради следует отметить, что эти исследования в ЦАГИ все же были организованы, но уже в 1940 г. (3404).</w:t>
      </w:r>
    </w:p>
    <w:p w14:paraId="188A825B" w14:textId="77777777" w:rsidR="00D4105E" w:rsidRPr="00E14102" w:rsidRDefault="00D4105E" w:rsidP="00E14102">
      <w:pPr>
        <w:autoSpaceDE w:val="0"/>
        <w:autoSpaceDN w:val="0"/>
        <w:adjustRightInd w:val="0"/>
        <w:jc w:val="both"/>
        <w:rPr>
          <w:color w:val="000000" w:themeColor="text1"/>
          <w:sz w:val="16"/>
          <w:szCs w:val="16"/>
        </w:rPr>
      </w:pPr>
    </w:p>
    <w:p w14:paraId="14B7AB83" w14:textId="77777777" w:rsidR="008F43A8" w:rsidRPr="00E14102" w:rsidRDefault="008F43A8" w:rsidP="00E14102">
      <w:pPr>
        <w:jc w:val="both"/>
        <w:rPr>
          <w:color w:val="000000" w:themeColor="text1"/>
          <w:sz w:val="16"/>
          <w:szCs w:val="16"/>
        </w:rPr>
      </w:pPr>
      <w:r w:rsidRPr="00E14102">
        <w:rPr>
          <w:color w:val="000000" w:themeColor="text1"/>
          <w:sz w:val="16"/>
          <w:szCs w:val="16"/>
        </w:rPr>
        <w:t>28 января 1935 г. И-14, вооруженный четырьмя пулемётами Ш</w:t>
      </w:r>
      <w:r w:rsidRPr="00E14102">
        <w:rPr>
          <w:color w:val="000000" w:themeColor="text1"/>
          <w:sz w:val="16"/>
          <w:szCs w:val="16"/>
          <w:lang w:val="en-US"/>
        </w:rPr>
        <w:t>KAC</w:t>
      </w:r>
      <w:r w:rsidRPr="00E14102">
        <w:rPr>
          <w:color w:val="000000" w:themeColor="text1"/>
          <w:sz w:val="16"/>
          <w:szCs w:val="16"/>
        </w:rPr>
        <w:t>, поступил в НИИ ВВС РККА для проведения полигонных испытаний вооружения. Испытания завершились 19 февраля 1935 г. В Заключении по испытаниям отмечалось: «1. Предъявленные ЦАГИ стрелковые установки под пулемёты Ш</w:t>
      </w:r>
      <w:r w:rsidRPr="00E14102">
        <w:rPr>
          <w:color w:val="000000" w:themeColor="text1"/>
          <w:sz w:val="16"/>
          <w:szCs w:val="16"/>
          <w:lang w:val="en-US"/>
        </w:rPr>
        <w:t>KAC</w:t>
      </w:r>
      <w:r w:rsidRPr="00E14102">
        <w:rPr>
          <w:color w:val="000000" w:themeColor="text1"/>
          <w:sz w:val="16"/>
          <w:szCs w:val="16"/>
        </w:rPr>
        <w:t xml:space="preserve"> синхронный и крыльевой, на... И-14 — поли</w:t>
      </w:r>
      <w:r w:rsidRPr="00E14102">
        <w:rPr>
          <w:color w:val="000000" w:themeColor="text1"/>
          <w:sz w:val="16"/>
          <w:szCs w:val="16"/>
        </w:rPr>
        <w:softHyphen/>
        <w:t>гонные испытания выдержали и могут быть рекомендованы к принятию на вооружение ВС РККА с обязательным устранением дефектов, перечисленных в выводах Отчета...» (15823).</w:t>
      </w:r>
    </w:p>
    <w:p w14:paraId="653B7AE2" w14:textId="77777777" w:rsidR="008F43A8" w:rsidRPr="00E14102" w:rsidRDefault="008F43A8" w:rsidP="00E14102">
      <w:pPr>
        <w:jc w:val="both"/>
        <w:rPr>
          <w:color w:val="000000" w:themeColor="text1"/>
          <w:sz w:val="16"/>
          <w:szCs w:val="16"/>
        </w:rPr>
      </w:pPr>
    </w:p>
    <w:p w14:paraId="35E61614" w14:textId="77777777" w:rsidR="00FA4EE1" w:rsidRPr="00E14102" w:rsidRDefault="00FA4EE1"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28 января 1935 года самолет И-14, вооруженный четырьмя пулеметами ШКАС, поступил в НИИ ВВС РККА для проведения полигонных испытаний вооружения. Испытания завершились 19 февраля 1935 года. В Заключении по испытаниям отмечалось:</w:t>
      </w:r>
    </w:p>
    <w:p w14:paraId="56E9DF45" w14:textId="77777777" w:rsidR="00FA4EE1" w:rsidRPr="00E14102" w:rsidRDefault="00FA4EE1" w:rsidP="00E14102">
      <w:pPr>
        <w:pStyle w:val="ad"/>
        <w:shd w:val="clear" w:color="auto" w:fill="FFFFFF"/>
        <w:spacing w:before="0" w:after="0"/>
        <w:textAlignment w:val="baseline"/>
        <w:rPr>
          <w:rStyle w:val="a6"/>
          <w:rFonts w:ascii="Times New Roman" w:hAnsi="Times New Roman" w:cs="Times New Roman"/>
          <w:i w:val="0"/>
          <w:color w:val="000000" w:themeColor="text1"/>
          <w:sz w:val="16"/>
          <w:szCs w:val="16"/>
          <w:bdr w:val="none" w:sz="0" w:space="0" w:color="auto" w:frame="1"/>
          <w:lang w:val="ru-RU"/>
        </w:rPr>
      </w:pPr>
      <w:r w:rsidRPr="00E14102">
        <w:rPr>
          <w:rStyle w:val="a6"/>
          <w:rFonts w:ascii="Times New Roman" w:hAnsi="Times New Roman" w:cs="Times New Roman"/>
          <w:i w:val="0"/>
          <w:color w:val="000000" w:themeColor="text1"/>
          <w:sz w:val="16"/>
          <w:szCs w:val="16"/>
          <w:bdr w:val="none" w:sz="0" w:space="0" w:color="auto" w:frame="1"/>
          <w:lang w:val="ru-RU"/>
        </w:rPr>
        <w:t>«1. Предъявленные ЦАГИ стрелковые установки под пулеметы ШКАС синхронный и крыльевой, на самолете И-14 – полигонные испытания выдержали и могут быть рекомендованы к принятию на вооружение ВС РККА с обязательным устранением дефектов, перечисленных в выводах Отчета. …» (19177).</w:t>
      </w:r>
    </w:p>
    <w:p w14:paraId="65274A62" w14:textId="77777777" w:rsidR="00FA4EE1" w:rsidRPr="00E14102" w:rsidRDefault="00FA4EE1"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2F5D76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января 1935 Нач. ЦКБ МС и ГК Г.М.Б. подписал Объяснительную записку к эскизному проекту гидросамолета МДР-5 2ИС-12 (2343,69).</w:t>
      </w:r>
    </w:p>
    <w:p w14:paraId="2F8AAD3B" w14:textId="77777777" w:rsidR="00D4105E" w:rsidRPr="00E14102" w:rsidRDefault="00D4105E" w:rsidP="00E14102">
      <w:pPr>
        <w:autoSpaceDE w:val="0"/>
        <w:autoSpaceDN w:val="0"/>
        <w:adjustRightInd w:val="0"/>
        <w:jc w:val="both"/>
        <w:rPr>
          <w:color w:val="000000" w:themeColor="text1"/>
          <w:sz w:val="16"/>
          <w:szCs w:val="16"/>
        </w:rPr>
      </w:pPr>
    </w:p>
    <w:p w14:paraId="76247BF5" w14:textId="77777777" w:rsidR="00FA4EE1" w:rsidRPr="00E14102" w:rsidRDefault="00FA4EE1" w:rsidP="00E14102">
      <w:pPr>
        <w:jc w:val="both"/>
        <w:rPr>
          <w:color w:val="000000" w:themeColor="text1"/>
          <w:sz w:val="16"/>
          <w:szCs w:val="16"/>
        </w:rPr>
      </w:pPr>
      <w:r w:rsidRPr="00E14102">
        <w:rPr>
          <w:color w:val="000000" w:themeColor="text1"/>
          <w:sz w:val="16"/>
          <w:szCs w:val="16"/>
        </w:rPr>
        <w:t>28 января 1935 г. Г.М.Бериев представил на рассмотрение эскизный проект гидросамолёта МДР-5-2 Испано-Сьюиза 12Ybrs (так он поименован в заголовке Объяснительной записки к эскизному проекту; цифра 2 обозначает число двигателей). В тексте употребляется просто название МДР-5. В других материалах эскизного проекта самолёт именуется как ЦКБ МС-4, а в табличках к чертежам – как МДР-5 (ЦКБМС-4). Объяснительная записка за подписью Бериева датирована 28/1-35 г., та же дата стоит на подписанных им чертежах. Из документов явствует, что проектирование велось по заданию, выданному в 1934 году. Вот каким предстаёт облик этого морского дальнего разведчика из материалов эскизного проекта. [РГАЭ Ф. 8328 оп. 1 д. 796 лл. 38-72 2. РГАЭ Ф. 8328 оп. 1 д. 796 лл. 10-11] МДР-5 (ЦКБ МС-4) представлял собой подкосный лодочный моноплан цельнометаллической конструкции с двумя двигателями (в современном написании) ИспаноСюиза 12Ybrs с номинальной мощностью в 760 л.с. Основным назначением самолёта значилась разведка удалённых районов моря и баз, сопровождение тяжёлых бомбардировщиков. В качестве основного материала для самолёта были приняты «супер-дюраль, дюраль и высококачественная сталь», подвергавшиеся во избежание коррозии поверхностным покрытиям, анодированию, фосфатированию и т.д. Вся наружная клёпка делалась впотай. Высокорасположенное крыло самолёта опиралось на пилон над лодкой и подкреплялось N-образными подкосами, идущими от бортов лодки к нижней поверхности крыла в местах её стыка с внутренней стороной мотогондол. Крыло размахом 25,0 м имело удлинение, равное 8.33. К центроплану постоянной хорды присоединялись отъёмные части крыла, имевшие заметное сужение и овальные в плане законцовки. Значительную часть крыла по размаху (60%) занимали посадочные щитки типа ZAP. В качестве основного профиля был принят профиль МОС-27, испытанный на самолёте МБР-2. Под крылом располагались неубираемые поплавки остойчивости на параллельных стойках, подкреплённых расчалками. На случай потери одного из поплавков в консоли крыла предусматривалось устройство, обеспечивающее плавание гидросамолёта. Фюзеляж самолёта представлял собой двухреданную лодку средней килеватости, с дюралевой конструкцией продольно-поперечного набора. Оба редана были прямыми в плане. Кабина пилотов закрывалась обтекаемым фонарём и имела модный по тем временам наклон вперёд ветровых стёкол фонаря. В кабине штурмана в носу лодки предусматривались наклонные иллюминаторы, обеспечивающие достаточный обзор по вертикали. Горизонтальное оперение монопланного типа с овальными законцовками опиралось на небольшой пилон над хвостовой частью и подкреплялось V-образными подкосами. Стабилизатор был непереставной. Для обеспечения продольной устойчивости на различных режимах полёта были устроены, по терминологии проекта, «управляемыефлапы» (т.е. триммеры), входившие в конструкцию рулей высоты. Вертикальное оперение было сделано двойным (что необычно для бериевских проектов того времени) с целью обеспечить «лучший обстрел задней полусферы и лучшую При поддержке Концерна «Радиоэлектронные технологии» 7-8.2016 «Крылья Родины» www.kr-magazine.ru 97 маневренность на воде». Килевые поверхности располагались над стабилизатором сравнительно близко к оси самолёта и подкреплялись с внутренней стороны подкосами. На случай полёта на одном моторе на рулях направления устанавливались управляемые флапы. Силовая установка самолёта состояла из двух двигателей Испано-Сюиза 12Ybrs с номинальной мощностью в 760 л.с. у земли и высотностью до 3380 м (19001).</w:t>
      </w:r>
    </w:p>
    <w:p w14:paraId="70B469CD" w14:textId="77777777" w:rsidR="00FA4EE1" w:rsidRPr="00E14102" w:rsidRDefault="00FA4EE1" w:rsidP="00E14102">
      <w:pPr>
        <w:jc w:val="both"/>
        <w:rPr>
          <w:color w:val="000000" w:themeColor="text1"/>
          <w:sz w:val="16"/>
          <w:szCs w:val="16"/>
        </w:rPr>
      </w:pPr>
    </w:p>
    <w:p w14:paraId="544BCA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января 1935 Нач. УВС РККА Алкснис писал письмо N 40/0636 Нач. ГУАП Марголину:</w:t>
      </w:r>
    </w:p>
    <w:p w14:paraId="7AAFA8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заводе 22 им. Горбунова строится очень медленно легкий самолет под названием ИП-3 ленинградских конструкторов Заславского и Бас-Дубова.</w:t>
      </w:r>
    </w:p>
    <w:p w14:paraId="3FD3F6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Вашего распоряжения о включении в дополнительный план опытного самолетостроения, представляемый Вами в Правительство, этого самолета, предусмотрев финансирование постройки.</w:t>
      </w:r>
    </w:p>
    <w:p w14:paraId="41962E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необходимые материалы о самолете в Вашем Управлении имеются." (2337,163).</w:t>
      </w:r>
    </w:p>
    <w:p w14:paraId="3992F2E5" w14:textId="77777777" w:rsidR="00D4105E" w:rsidRPr="00E14102" w:rsidRDefault="00D4105E" w:rsidP="00E14102">
      <w:pPr>
        <w:autoSpaceDE w:val="0"/>
        <w:autoSpaceDN w:val="0"/>
        <w:adjustRightInd w:val="0"/>
        <w:jc w:val="both"/>
        <w:rPr>
          <w:color w:val="000000" w:themeColor="text1"/>
          <w:sz w:val="16"/>
          <w:szCs w:val="16"/>
        </w:rPr>
      </w:pPr>
    </w:p>
    <w:p w14:paraId="557D08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28 января 1935 дата зарегистртован с опознавательным знаком СССР-Н62 - ПС-4 (Junkers W-33), зав. № 4, мотор - Junkers L-5. Первоначальный владелец воздушного судна - Восточно-Сибирское Управление ГВФ (с 19.09.34 г, опознавательный знак СССР- Л1417). В дальнейшем самолет передан Управлению Полярной авиации.</w:t>
      </w:r>
    </w:p>
    <w:p w14:paraId="38CAFA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февраля 1935 г. Н62 начал летать под управлением летчика В.И.Масленникова на линии, обслуживаемой Ленской авиагруппой УПА.</w:t>
      </w:r>
    </w:p>
    <w:p w14:paraId="5DF9F5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30-го декабря 1936 г, ПС-4 СССР-Н62 под управлением Масленникова с бортмехаником В.П. Лаушкиным и тремя пассажирами на борту потерпел аварию при взлете с Вилюйского аэродрома. В результате аварии были повреждены законцовки крыльев, сломаны шасси и воздушный винт. Экипаж и пассажиры остались невредимы.</w:t>
      </w:r>
    </w:p>
    <w:p w14:paraId="595A23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Менее чем через год, 17-го апреля 1937 г. при совершении взлета в Якутске летчик вновь подломал СССР-Н62. При разбеге пилот преждевременно "подорвал" самолет. Из-за липкого снега сначала от земли оторвалась только правая лыжа, вследствие чего образовался крен. При последующем ударе лыжа сломалась, и самолет резко развернуло вправо, подмяв шасси и сломав винт. За повторную аварию Масленникова решили отправить на курсы подготовки в Батайск и далее, в зависимости от результатов проверки, решить вопрос о дальнейшем использовании пилота на линейной работе. [РГАЭ, 9570-2-2962]</w:t>
      </w:r>
    </w:p>
    <w:p w14:paraId="722068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1937 г. Н62 летал только зимой, налетал 94 часа 38 мин, покрыл расстояние в 15252 км. Отсутствие поплавков вызвало необходимость законсервировать самолет на летнюю навигацию. [РГАЭ, 9570-2-1156]</w:t>
      </w:r>
    </w:p>
    <w:p w14:paraId="6053F6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Списали СССР-Н62 29.12.39 г. [приказ по ГУСМП № 1759, РЕГ. № 3465]. В приказе говорилось: "Аварийный самолет типа ПС-4, заводской №4, опознавательный знак СССР-Н62, списанный согласно акту Аварийной Комиссии от 18.06.37 г. - передается для использования на запчасти. Балансовая стоимость определена в 108 552 руб. 19 коп. Самолет передать Отряду Спецприменения ГВФ. С баланса Ленской Авиагруппы списать и исключить из списков УПА. Основание: Распоряжение УПА от 15.06-39 г." [РГАЭ, 9570-2-182] (11968).</w:t>
      </w:r>
    </w:p>
    <w:p w14:paraId="1026FD02" w14:textId="77777777" w:rsidR="00D4105E" w:rsidRPr="00E14102" w:rsidRDefault="00D4105E" w:rsidP="00E14102">
      <w:pPr>
        <w:autoSpaceDE w:val="0"/>
        <w:autoSpaceDN w:val="0"/>
        <w:adjustRightInd w:val="0"/>
        <w:jc w:val="both"/>
        <w:rPr>
          <w:color w:val="000000" w:themeColor="text1"/>
          <w:sz w:val="16"/>
          <w:szCs w:val="16"/>
        </w:rPr>
      </w:pPr>
    </w:p>
    <w:p w14:paraId="42C4F1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января 1935 дата присвоения опознавательного знака с литерой "Н" - СССР-Н63 - ПС-4 (Junkers W-33), зав. № 5, мотор - Junkers L-5. ПС-4 СССР-Н63 поступил на линии Ленской авиагруппы 13.01.36 г. В 1937 г. летал только зимой, налетал 364 часа 41 мин. и 58655 км. В летнее время был законсервирован по причине отсутствия поплавков.[РГАЭ, 9570-2-1156]</w:t>
      </w:r>
    </w:p>
    <w:p w14:paraId="187253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1939 г. СССР-Н63 принадлежал Якутской авиагруппе УПА.</w:t>
      </w:r>
    </w:p>
    <w:p w14:paraId="74EEF4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14-го апреля 1939 г. пилот 3-го класса И.И. Симаков во время взлета СССР-Н63 с аэродрома Сангархая отклонился при разбеге на 30° и стал преждевременно отрывать самолет. На неровной площадке аэродрома машина потерпела аварию.</w:t>
      </w:r>
    </w:p>
    <w:p w14:paraId="0E2930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Симаковым поступили суровее, чем с Масленниковым за аварию СССР-Н62. Правда, за ним уже были "грешки" по части летной дисциплины. Приказом начальника УПА Мазурука от 11 мая 1939 года Симакова сняли с летной работы и уволили из полярной авиации. Впрочем, уже 8 октября того же года Симаков был восстановлен в должности пилота УПА и зачислен временно в штат Московской авиагруппы "с последующим откомандированием на периферию". Основанием для этого послужило то, что "Симаковым осознан свой поступок и извлечен соответствующий урок, а также и то, что оценка происшествия дана неверная". [РГАЭ, 9570-2-2969]</w:t>
      </w:r>
    </w:p>
    <w:p w14:paraId="5D2800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Списали самолет 29.12.39 г. [пр. ГУСМП № 1759, РЕГ. № 3830]. В приказе говорилось: "Самолет ПС-4 заводской № 5, опознавательный знак СССР-Н63 выпуска 1934 года, находился на балансе Ленской Авиагруппы, с начала эксплуатации самолет наработал 1206 часов 40 мин. Имел один заводской ремонт в 1935 году и четыре текущих ремонта, последний произведен в ноябре 1938 года.</w:t>
      </w:r>
    </w:p>
    <w:p w14:paraId="629BEC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по моральному износу и отсутствию запчастей к эксплуатации на линии непригоден - передать Отряду Спецприменения ГВФ с находящимся на нем оборудованием. Балансовая стоимость определена 108552 руб. 19 коп. С баланса Ленской Авиагруппы списать и исключить из списков УПА.</w:t>
      </w:r>
    </w:p>
    <w:p w14:paraId="12D1C9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Основание: Распоряжение УПА от 15.06.39 г." [РГАЭ, 9570-2-182] (11968).</w:t>
      </w:r>
    </w:p>
    <w:p w14:paraId="1526A557" w14:textId="77777777" w:rsidR="00D4105E" w:rsidRPr="00E14102" w:rsidRDefault="00D4105E" w:rsidP="00E14102">
      <w:pPr>
        <w:autoSpaceDE w:val="0"/>
        <w:autoSpaceDN w:val="0"/>
        <w:adjustRightInd w:val="0"/>
        <w:jc w:val="both"/>
        <w:rPr>
          <w:color w:val="000000" w:themeColor="text1"/>
          <w:sz w:val="16"/>
          <w:szCs w:val="16"/>
        </w:rPr>
      </w:pPr>
    </w:p>
    <w:p w14:paraId="06A1C9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января 1935 дата присвоения опознавательного знака с литерой "Н" - СССР-Н64 - Ш-2, зав. № 31218, мотор - М-11. Первоначальный владелец воздушного судна - У ВС ГУСМП.</w:t>
      </w:r>
    </w:p>
    <w:p w14:paraId="07AAFE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1934 г. Ш-2 зав. № 31218 участвовал в сквозном переходе ледокола "Литке" по СМП с востока на запад.</w:t>
      </w:r>
    </w:p>
    <w:p w14:paraId="45FBA5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навигацию 1935 г. Н64 вместе с Р-5 СССР- Н130 поступил в распоряжение начальника экспедиции в Карском море Э.Ф. Крастина, для обслуживания ледокола "Ермак". Летный состав звена состоял из 2-х человек: пилот М.И. Козлов и бортмеханик Г.В. Косухин.</w:t>
      </w:r>
    </w:p>
    <w:p w14:paraId="61F5D3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Формуляр самолета потеряли еще в предыдущей экспедиции и в мастерских, после ремонта завели новый. В этом формуляре указали только налет после ремонта - 3 ч. 45 мин. От старой службы не осталось никаких следов.</w:t>
      </w:r>
    </w:p>
    <w:p w14:paraId="2EACBD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30-го июня Ш-2 погрузили на борт "Ермака", после чего ледокол отправился в Мурманск. Козлов и Косухин в этом переходе не участвовали, т.к. УВС не позаботилось о своевременном получении от НКВД пропусков на заграничный переход.</w:t>
      </w:r>
    </w:p>
    <w:p w14:paraId="33F5A0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прибытию в Мурманск авиаторы осмотрели Ш-2. От морского перехода машина не пострадала, но и без этого у СССР-Н64 было много дефектов.</w:t>
      </w:r>
    </w:p>
    <w:p w14:paraId="71254F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Многие болты крепления стоек и подкосов имели недопустимые люфты. Шурупы крепления элементов на нижних крыльях были еле завернуты и вылезали без отвертки. "Дерево, в местах, где вворачивались шурупы - дряблое. Покраска с металлических частей слезает, под ней ржавчина. Мотор и масляная система не отеплены". Запасных частей, кроме винта, никаких не было. Даже лыжи, высланные из Ленинграда по железной дороге, застряли где- то в пути.</w:t>
      </w:r>
    </w:p>
    <w:p w14:paraId="3F771C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Опробовать самолет в полете в Мурманске экипаж не успел. С трудом удалось получить бензин и авиамасло. Уже в пути выяснили, что бензин получен бакинский, в то время как для мотора М-11 необходим был грозненский бензин.</w:t>
      </w:r>
    </w:p>
    <w:p w14:paraId="578B1E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15-го июля "Ермак" вышел из Мурманска. 19-го июля Козлов выполнил первый пробный полет Ш-2 СССР-Н64 и, одновременно, небольшую ледовую разведку. Испытание выявило целый ряд дефектов: даже при nycfoM носовом бензобаке и загруженном заднем отсеке самолет сильно пикировал и "висел" на ручке, сильно вибрировали хвост и центропланные стойки на всех режимах работы мотора, сам мотор быстро переохлаждался и давал перебои. Кроме того, на машине не работал "Пионер", а при возвращении, очевидно от вибрации центроплана, лопнула трубка бензопровода. Несмотря на все это, Козлову удалось приводниться у борта ледокола.</w:t>
      </w:r>
    </w:p>
    <w:p w14:paraId="0F2B58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этого полета авиаторы утеплили маслобак и проводку, изменили угол установки стабилизатора, отрегулировали мотор и карбюратор. Все неполадки устранить так и не удалось - самолет в полете пикировал, хвостовое оперение вибрировало, мотор стыл и давал перебои.</w:t>
      </w:r>
    </w:p>
    <w:p w14:paraId="0CDECA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Особой проблемой стал подъем самолета на борт ледокола. Бортовой 2-тонный кран, у которого был увеличен вынос стрелы за счет специальной надставки на ферме, имел недостаточную прочность. Не выдержали нагрузки и изогнулись болты крепления тяг, поддерживающих ферму. Спуску и подъему препятствовали различные корабельные надстройки и имущество, потому приходилось производить сложные манипуляции с применением человеческой силы.</w:t>
      </w:r>
    </w:p>
    <w:p w14:paraId="5A1195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тем, по причине благоприятной ледовой обстановки в навигацию 1935 г. особой надобности в корабельном самолете не ощущалась. Поэтому за всю экспедицию, с 15 июля по 25 сентября, на Ш-2 СССР-Н64 выполнили всего 8 полетов, общей продолжительностью - 12 ч. 23 мин. Из них пять на ледовую разведку и три - от мыса Челюскин в устье реки Таймы- ры, для ознакомления с недавно организованной базой. Дважды в полетах участвовал капитан Воронин и однажды - начальник экспедиции Крастин.</w:t>
      </w:r>
    </w:p>
    <w:p w14:paraId="6FA517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2-го октября ледокол "Ермак" вернулся в Мурманск. Козлов получил распоряжение командования отправить самолеты с ледоколом в Ленинград, что и было исполнено. В Ленинграде Ш-2 СССР-Н64 снова сдали в ремонт той же воинской части в Ораниенбауме, откуда он был получен. [РГАЭ, 1120-2-9571]</w:t>
      </w:r>
    </w:p>
    <w:p w14:paraId="2B8277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1936 г. самолет был приписан к Московскому авиаотряду особого назначения УПА. Исключен из списков самолетного парка ГУСМП 16.02.38 г. (11968).</w:t>
      </w:r>
    </w:p>
    <w:p w14:paraId="47368928" w14:textId="77777777" w:rsidR="00D4105E" w:rsidRPr="00E14102" w:rsidRDefault="00D4105E" w:rsidP="00E14102">
      <w:pPr>
        <w:autoSpaceDE w:val="0"/>
        <w:autoSpaceDN w:val="0"/>
        <w:adjustRightInd w:val="0"/>
        <w:jc w:val="both"/>
        <w:rPr>
          <w:color w:val="000000" w:themeColor="text1"/>
          <w:sz w:val="16"/>
          <w:szCs w:val="16"/>
        </w:rPr>
      </w:pPr>
    </w:p>
    <w:p w14:paraId="1238A4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января 1935 дата присвоения опознавательного знака с литерой "Н" - СССР-Н65 - П-5, зав. № 8267, мотор - М-17. Первоначальный владелец воздушного судна - УВС ГУСМП.</w:t>
      </w:r>
    </w:p>
    <w:p w14:paraId="2216AA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1938 г. самолет принадлежал Николаевской школе морских летчиков ГУСМП. В сентябре 1938 г. Николаевскую школу переподчинили Наркомату ВМФ, соответственно туда вместе с другими самолетами школы передали П-5 СССР-Н65. Однако, 28.02.39 г. П-5 зав. № 8267 был принят на баланс Чукотского авиаотряда, в "связи с пополнением самолетного парка УПА и перемещениями отдельных самолетов". Далее, 21.07.39 г. П-5 №8267, вновь зарегистрировали в УПА с прежним опознавательным знаком СССР-Н65.</w:t>
      </w:r>
    </w:p>
    <w:p w14:paraId="5A9332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декабря 1940 г. заместителю командира МАГОН Дроздову было приказано подготовить самолет для перегонки в Якутск и сдать СССР- Н65 в Якутскую авиагруппу. Для приема машины от Московской авиагруппы и перелета в Якутск был назначен экипаж в составе: командира самолета Н-279 пилота 3-го класса Г.И. Ка- тюхова и бортмеханика 2-го класса М.Ф. Назарова, которых откомандировали для работы в Якутскую авиагруппу. [РГАЭ, 9570-2-2970] (11968).</w:t>
      </w:r>
    </w:p>
    <w:p w14:paraId="5C0A8A87" w14:textId="77777777" w:rsidR="00D4105E" w:rsidRPr="00E14102" w:rsidRDefault="00D4105E" w:rsidP="00E14102">
      <w:pPr>
        <w:autoSpaceDE w:val="0"/>
        <w:autoSpaceDN w:val="0"/>
        <w:adjustRightInd w:val="0"/>
        <w:jc w:val="both"/>
        <w:rPr>
          <w:color w:val="000000" w:themeColor="text1"/>
          <w:sz w:val="16"/>
          <w:szCs w:val="16"/>
        </w:rPr>
      </w:pPr>
    </w:p>
    <w:p w14:paraId="1B714B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января 1935 дата присвоения опознавательного знака с литерой "Н" - СССР-Н66 - П-5, зав. № 9131, мотор - М-17. Первоначальный владелец воздушного судна - УВС ГУСМП.</w:t>
      </w:r>
    </w:p>
    <w:p w14:paraId="647549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1938 г. самолет принадлежал Николаевской школе морских летчиков ГУСМП. В сентябре 1938 г. Николаевская школа была переподчинена Наркомату Военно-Морского Флота. Вместе с другими самолетами школы П-5 СССР- Н66 передали в Управление Морской авиации НКВМФ. Окончательно оформлено это было приказом № 542 по ГУСМП от 1-го декабря 1938 года. [РГАЭ. 9570-2-127] (11968).</w:t>
      </w:r>
    </w:p>
    <w:p w14:paraId="0298E5D1" w14:textId="77777777" w:rsidR="00D4105E" w:rsidRPr="00E14102" w:rsidRDefault="00D4105E" w:rsidP="00E14102">
      <w:pPr>
        <w:autoSpaceDE w:val="0"/>
        <w:autoSpaceDN w:val="0"/>
        <w:adjustRightInd w:val="0"/>
        <w:jc w:val="both"/>
        <w:rPr>
          <w:color w:val="000000" w:themeColor="text1"/>
          <w:sz w:val="16"/>
          <w:szCs w:val="16"/>
        </w:rPr>
      </w:pPr>
    </w:p>
    <w:p w14:paraId="3EB546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января 1935 дата присвоения опознавательного знака с литерой "Н" - СССР-Н67 - П-5, зав. № 9128, мотор - М-17. Первоначальный владелец воздушного судна - УВС ГУСМП.</w:t>
      </w:r>
    </w:p>
    <w:p w14:paraId="4B61C3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 марта 1935 г. самолеты СССР-Н68 М.В. Водопьянова и СССР-Н67 летчика Линделя начали перелет из Москвы по маршруту Свердловск - Омск - Красноярск - Иркутск - Чита - Хабаровск - Николаевск-на-Амуре - о. Б. Шантар- Аян - Охотск - б. Нагаево - Гижига - Каменка - Анадырь - Уэлен - м. Шмидта. Задачей перелета была проверка карт, снятие кроков отдельных объектов и сбор аэролоцийных сведений среди местного населения.</w:t>
      </w:r>
    </w:p>
    <w:p w14:paraId="0088BE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перелета летчики в мае 1935 г. вылетели в Хабаровск, откуда должны были следовать в Красноярск. Несмотря на желание М.В. Водопьянова вернуться на этих самолетах в Москву, их оставили для работы на Севере. [РГАЭ 9570-2-65]</w:t>
      </w:r>
    </w:p>
    <w:p w14:paraId="18F2E7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ноября 1935 г. на самолете летал командир Анадырского отряда Чукотской авиагруппы Глухов. В экипаж, кроме него, входили бортмеханик Н.М. Берендеев и штурман-радист И. Кочкуров. В конце ноября СССР-Н67 в паре с СССР-Н68 М.Н. Каминского вылетел из Анадыря в глубь Чукотки. Попав в туман, оба самолета совершили вынужденные посадки в 50 км друг от друга в районе поселка Снежное. Когда установилась летная погода, к месту посадки СССР-Н67 перелетел П-5 СССР-Н68.</w:t>
      </w:r>
    </w:p>
    <w:p w14:paraId="39AFDD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Снежном начавшейся пургой СССР-Н67 сорвало с недостаточно прочного крепления и унесло ветром на 700 метров от места стоянки. У машины оказались сломаны концы нижних крыльев, хвостовое оперение и стойка лы- жонка. К счастью мотор остался неповрежденным. Так как лететь самолет не мог, решено было отрулить его в поселок Усть-Белая, где и отремонтировать. Напротив поселка Глухов полностью сломал лыжонок, и дальнейшее передвижение самолета стало невозможным.</w:t>
      </w:r>
    </w:p>
    <w:p w14:paraId="2AE1A3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 руководством бортмеханика Берендеева и с согласия местных властей, авиаторы разобрали часть стены местной школы и внесли в помещение крылья и поврежденные части хвостового оперения. После этого Берендеев начал ремонт, занявший полтора месяца. В середине января СССР-Н67 был испытан в воздухе М.Н. Каминским и признан годным к дальнейшей эксплуатации.</w:t>
      </w:r>
    </w:p>
    <w:p w14:paraId="2D59AC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января 1936 г. Каминский с Берендеевым и двумя пассажирами вылетели в Уэль- каль. Не долетев из-за сильного встречного ветра до места назначения 20 км, летчик приземлился у эскимосского становища и во время посадки сломал левую лыжу. Берендеев отправился со сломанной лыжей в Уэлькаль, там починил ее и через четыре дня вернулся к машине. Во время установки лыжи бортмеханик заметил трещину на стойке хвостовой лыжи. Для замены стойки экипаж изменил решение лететь в Уэлькаль и вылетел на базу отряда в Анадыре. Через несколько дней СССР-Н67 был снова готов к полетам и, пилотируемый М.Н. Каминским, принял участие в поисках пропавшего П-5 СССР-Н43 Буторина и Волобуе- ва. [Каминский М" В небе Чукотки, кн. 1, Магаданское книжное издательство, 1967]</w:t>
      </w:r>
    </w:p>
    <w:p w14:paraId="642D7E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марта 1937 г. самолет, вместе с Чукотским авиаотрядом, передали в Управление по организации Тихоокеанской авиалинии для работ по внутренней связи Чукотки. СССР-Н67 попал во 2 отряд Управления. [РГАЭ, 9570-2-2962]</w:t>
      </w:r>
    </w:p>
    <w:p w14:paraId="406183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Исключен из списков самолетного парка ГУСМП 16.02.38 г. (11968).</w:t>
      </w:r>
    </w:p>
    <w:p w14:paraId="77EC3E4A" w14:textId="77777777" w:rsidR="00D4105E" w:rsidRPr="00E14102" w:rsidRDefault="00D4105E" w:rsidP="00E14102">
      <w:pPr>
        <w:autoSpaceDE w:val="0"/>
        <w:autoSpaceDN w:val="0"/>
        <w:adjustRightInd w:val="0"/>
        <w:jc w:val="both"/>
        <w:rPr>
          <w:color w:val="000000" w:themeColor="text1"/>
          <w:sz w:val="16"/>
          <w:szCs w:val="16"/>
        </w:rPr>
      </w:pPr>
    </w:p>
    <w:p w14:paraId="3D1E97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января 1935 дата присвоения опознавательного знака с литерой "Н" - СССР-Н68 - П-5, зав. № 9129, мотор - М-17. Первоначальный владелец воздушного судна - УВС ГУСМП. 1 марта 1935 г. СССР-Н68 вместе с СССР-Н67 отправился в перелет из Москвы до мыса Шмидта.</w:t>
      </w:r>
    </w:p>
    <w:p w14:paraId="599A10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ноября 1935 г. на самолете летал летчик Анадырского отряда Чукотской авиагруппы М.Н. Каминский. В экипаж, кроме него, входил бортмеханик Д.Ф. Островенко. В конце 1936 г. на СССР-Н68 пересел командир отряда Глухов. 26 декабря он прилетел из Анадыря в залив Креста для поисков пропавшего П-5 СССР-Н43 летчиков Волобуева и Буторина.</w:t>
      </w:r>
    </w:p>
    <w:p w14:paraId="068673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Глухов передал СССР-Н68 вместе с бортмехаником Островенко Каминскому, взяв себе свой отремонтированный СССР-Н67. Каминский продолжал поиски СССР-Н43, для чего 20 апреля перелетел в Уэлен. Там перед летчиками поставили новую задачу. В море унесло на льдине эскимосских охотников, добывавших нерпу. По просьбе секретаря Чукотского райкома ВКП (б) Каминский и пилот П-5 СССР-Н42 Богданов начали поиски охотников. В нарушение правил, сухопутные самолеты летали над морем в одиночку. В третьем полете Каминский нашел льдину с людьми.</w:t>
      </w:r>
    </w:p>
    <w:p w14:paraId="6F14BD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следующем полете самолет получил необычное повреждение. Родственники волно-</w:t>
      </w:r>
    </w:p>
    <w:p w14:paraId="09A3F1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Поплавковый Junkers W-33 с неизвестным бортовым номером рулит по акватории Иркутского гидроаэропорта. 1933-1934 гг.</w:t>
      </w:r>
    </w:p>
    <w:p w14:paraId="7174E4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вались за судьбу охотников и, чтобы убедиться в том, что их действительно нашли, отрядили председателя колхоза. Каминский, взяв его на борт, вылетел и быстро нашел льдину. Впервые поднявшийся в воздух эскимос, увидев своих соотечественников, в восторге резко вскочил и пробил головой целлулоидный фонарь кабины.</w:t>
      </w:r>
    </w:p>
    <w:p w14:paraId="2C78F3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эвакуации эскимосов было решено снарядить самолет У-2. Пока У-2 готовили, Каминский на СССР-Н68 вылетел на пограничный пост, чтобы доставить к месту службы пограничника. Во время посадки, в конце пробега, самолет налетел левой лыжей на единственный торос и встал на нос, поломав винт. Хвостовая часть лыжи оторвалась от кабана и ударила по нижней поверхности крыла у основания лонжерона. Крыло, винт и лыжу надо было менять. Машину законсервировали на месте аварии, а Каминский и Островенко вернулись в Уэлен. [Каминский М. В небе Чукотки, кн. 1, Магаданское книжное издательство, 1967]</w:t>
      </w:r>
    </w:p>
    <w:p w14:paraId="37167D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марта 1937 г. самолет, вместе с Чукотским авиаотрядом, передали в Управление по организации Тихоокеанской авиалинии для работ по внутренней связи Чукотки. СССР-Н67 попал во 2 отряд Управления. [РГАЭ, 9570-2-2962] Исключен из списков самолетного парка ГУСМП 16.02.38 г. (11968).</w:t>
      </w:r>
    </w:p>
    <w:p w14:paraId="74D6F4F8" w14:textId="77777777" w:rsidR="00D4105E" w:rsidRPr="00E14102" w:rsidRDefault="00D4105E" w:rsidP="00E14102">
      <w:pPr>
        <w:autoSpaceDE w:val="0"/>
        <w:autoSpaceDN w:val="0"/>
        <w:adjustRightInd w:val="0"/>
        <w:jc w:val="both"/>
        <w:rPr>
          <w:color w:val="000000" w:themeColor="text1"/>
          <w:sz w:val="16"/>
          <w:szCs w:val="16"/>
        </w:rPr>
      </w:pPr>
    </w:p>
    <w:p w14:paraId="7580D2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января 1935 дата присвоения опознавательного знака с литерой "Н" - СССР-Н69 - П-5, зав. № 9012, мотор - М-17. Первоначальный владелец воздушного судна - УВС ГУСМП. 25 марта 1937 г. СССР-Н69 закреплен за Тренировочным отрядом Енисейской авиагруппы. [РГАЭ, 9570-2-2962] В 1938 г. согласно приказу №542 по ГУСМП, самолет П-5 СССР-Н69 был передан в Управление Морской авиации НКВМФ (11968).</w:t>
      </w:r>
    </w:p>
    <w:p w14:paraId="6A1DC3DA" w14:textId="77777777" w:rsidR="00D4105E" w:rsidRPr="00E14102" w:rsidRDefault="00D4105E" w:rsidP="00E14102">
      <w:pPr>
        <w:autoSpaceDE w:val="0"/>
        <w:autoSpaceDN w:val="0"/>
        <w:adjustRightInd w:val="0"/>
        <w:jc w:val="both"/>
        <w:rPr>
          <w:color w:val="000000" w:themeColor="text1"/>
          <w:sz w:val="16"/>
          <w:szCs w:val="16"/>
        </w:rPr>
      </w:pPr>
    </w:p>
    <w:p w14:paraId="12EF80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января 1935 дата присвоения опознавательного знака с литерой "Н" - СССР-Н70 - ПР-5, опытный, мотор - М-17Ф № 1005. Первоначальный владелец воздушного судна - УВС ГУСМП. Самолет числился в Енисейской авиагруппе. [РГАЭ 9570-2-1117]</w:t>
      </w:r>
    </w:p>
    <w:p w14:paraId="091418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февраля 1935 г. в 10 часов 20 минут самолет ПР-5 СССР-Н70 стартовал с Центрального Московского аэродрома по маршруту Казань - Свердловск - Курган - Омск - Новосибирск - Красноярск. Это расстояние - около 4000 км - СССР-Н70 прошел за 20 летных часов.</w:t>
      </w:r>
    </w:p>
    <w:p w14:paraId="6300D4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Командир экипажа - летчик B.C. Молоков, бортмеханик - Г.Т. Побежимов, радист - М. Зибрев. Пассажирами являлись корреспонденты газет "Правда" - Горбатов и "Известия" - Ре- гистан.</w:t>
      </w:r>
    </w:p>
    <w:p w14:paraId="31DB11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марта 1935 г. СССР-Н70 стартовал из Красноярска, держа курс на Подкаменную Тунгуску.</w:t>
      </w:r>
    </w:p>
    <w:p w14:paraId="3C3B90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марта приземлились в Игарке, 9 марта прибыли в Усть-Порт. 10 марта самолет вылетел на о. Диксон, однако в связи с непогодой совершил посадку в Гальчихе, где задержался до 19 марта. Далее экипаж отправился на Диксон, где дозаправил самолет, оставил корреспондента "Правды" Горбатова и, взяв на его место другого пассажира, через два часа вылетел в Дудинку.</w:t>
      </w:r>
    </w:p>
    <w:p w14:paraId="5432BE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Над Бреховскими островами самолет попал в зону тумана, через 15-20 минут полета туман поредел, и стала видна земля. Командир самолета попробовал восстановить ориентировку, но местность внизу была однообразной и не имела никаких ориентиров. Заметив чум, Молоков повел ПР-5 на снижение и приземлился. У ненцев, живших в чуме, экипаж узнал, что находится на реке Максунихе в 50 км от Караула.</w:t>
      </w:r>
    </w:p>
    <w:p w14:paraId="39B91F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Ждать хорошей погоды было нельзя, т.к. тогда нужно было слить воду, чтобы не разморозить двигатель, а ни в чуме, ни на самолете не нашлось посуды, подходящей для разогрева воды и масла.</w:t>
      </w:r>
    </w:p>
    <w:p w14:paraId="0DFD16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Осмотрев площадку в направлении взлета и признав ее годной, Молоков решил долететь до Усть-Порта или, по крайней мере, до Караула.</w:t>
      </w:r>
    </w:p>
    <w:p w14:paraId="4144E8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безветренную погоду самолет вырулил на старт и начал разбег. Через 100 метров машина развернулась на 30-35° вправо и попала левой лыжей в запорошенную снегом яму.</w:t>
      </w:r>
    </w:p>
    <w:p w14:paraId="0B9D9A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причине поломки шасси ПР-5 СССР-Н70 оставили в тундре, а мотор и приборы на оленях перевезли в Караул. Экипаж Молокова 23 марта перелетел на самолете Ивана Черевич- ного в Дудинку, откуда вылетел дальше на самолете СССР-Н46.</w:t>
      </w:r>
    </w:p>
    <w:p w14:paraId="38322A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Списали СССР-Н70, вероятно, в январе 1936 года. [отн. ГУСМП № 01-20с, 31.01.36] (11968).</w:t>
      </w:r>
    </w:p>
    <w:p w14:paraId="7794D692" w14:textId="77777777" w:rsidR="00D4105E" w:rsidRPr="00E14102" w:rsidRDefault="00D4105E" w:rsidP="00E14102">
      <w:pPr>
        <w:autoSpaceDE w:val="0"/>
        <w:autoSpaceDN w:val="0"/>
        <w:adjustRightInd w:val="0"/>
        <w:jc w:val="both"/>
        <w:rPr>
          <w:color w:val="000000" w:themeColor="text1"/>
          <w:sz w:val="16"/>
          <w:szCs w:val="16"/>
        </w:rPr>
      </w:pPr>
    </w:p>
    <w:p w14:paraId="23F8A5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января 1935 года гл. бухгалтер завода № 82 Кузнецов писал письмо № 43 в ЦФО ГУГВФ</w:t>
      </w:r>
    </w:p>
    <w:p w14:paraId="14E215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Объяснительная записка к годовому отчету за 1934 год по эксплуатации</w:t>
      </w:r>
    </w:p>
    <w:p w14:paraId="40537D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1934 год заводу была поставлена задача по освоению производства опытных моторов, серийных моторов МГ-31 и запасных частей к моторам, находящимся в эксплуатации в ГВФ.</w:t>
      </w:r>
    </w:p>
    <w:p w14:paraId="5E11A1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Опытные моторы семьи МГ заводом в течение 1934 года были выпущены полностью. Моторы МГ-31 и МГ-21 закончили заводские испытания и предъявлены на госиспытания.</w:t>
      </w:r>
    </w:p>
    <w:p w14:paraId="656E31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Серийное производство моторов нельзя считать освоенным, так как выпущенные моторы были произведены полукустарным путем, без разработанной технологии и без произведенной подготовки производства.</w:t>
      </w:r>
    </w:p>
    <w:p w14:paraId="4F6623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Серийные моторы МГ-31, намеченные к выпуску в IV квартале не были сданы по причине производственных и конструктивных дефектов, выявленных в процессе госиспытания (7730, 230-235).</w:t>
      </w:r>
    </w:p>
    <w:p w14:paraId="1C6BC442" w14:textId="77777777" w:rsidR="00D4105E" w:rsidRPr="00E14102" w:rsidRDefault="00D4105E" w:rsidP="00E14102">
      <w:pPr>
        <w:autoSpaceDE w:val="0"/>
        <w:autoSpaceDN w:val="0"/>
        <w:adjustRightInd w:val="0"/>
        <w:jc w:val="both"/>
        <w:rPr>
          <w:color w:val="000000" w:themeColor="text1"/>
          <w:sz w:val="16"/>
          <w:szCs w:val="16"/>
        </w:rPr>
      </w:pPr>
    </w:p>
    <w:p w14:paraId="6D54CFA5" w14:textId="77777777" w:rsidR="0063005B" w:rsidRPr="00E14102" w:rsidRDefault="0063005B" w:rsidP="00E14102">
      <w:pPr>
        <w:pStyle w:val="a7"/>
        <w:rPr>
          <w:color w:val="000000" w:themeColor="text1"/>
          <w:sz w:val="16"/>
          <w:szCs w:val="16"/>
          <w:lang w:val="ru-RU"/>
        </w:rPr>
      </w:pPr>
      <w:r w:rsidRPr="00E14102">
        <w:rPr>
          <w:color w:val="000000" w:themeColor="text1"/>
          <w:sz w:val="16"/>
          <w:szCs w:val="16"/>
          <w:lang w:val="ru-RU"/>
        </w:rPr>
        <w:t>28 января 1935 г. После подписания протокола испытаний, дирижабль В-6 «Осоавиахим» был передан в опытную эксплуатацию. Но испытательные полеты под руководством шеф-пилота Нобиле завершились под</w:t>
      </w:r>
      <w:r w:rsidRPr="00E14102">
        <w:rPr>
          <w:color w:val="000000" w:themeColor="text1"/>
          <w:sz w:val="16"/>
          <w:szCs w:val="16"/>
          <w:lang w:val="ru-RU"/>
        </w:rPr>
        <w:softHyphen/>
        <w:t>писанием акта заводских испытаний лишь 23 апреля, после чего корабль и совершил свои известные перелеты по стране (12732).</w:t>
      </w:r>
    </w:p>
    <w:p w14:paraId="69AEEB91" w14:textId="77777777" w:rsidR="0063005B" w:rsidRPr="00E14102" w:rsidRDefault="0063005B" w:rsidP="00E14102">
      <w:pPr>
        <w:pStyle w:val="a7"/>
        <w:rPr>
          <w:color w:val="000000" w:themeColor="text1"/>
          <w:sz w:val="16"/>
          <w:szCs w:val="16"/>
          <w:lang w:val="ru-RU"/>
        </w:rPr>
      </w:pPr>
    </w:p>
    <w:p w14:paraId="769018FA" w14:textId="77777777" w:rsidR="008F43A8"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lastRenderedPageBreak/>
        <w:t>Другие оборонные отрасли:</w:t>
      </w:r>
    </w:p>
    <w:p w14:paraId="111B1FF7" w14:textId="77777777" w:rsidR="008F43A8" w:rsidRPr="00E14102" w:rsidRDefault="008F43A8" w:rsidP="00E14102">
      <w:pPr>
        <w:autoSpaceDE w:val="0"/>
        <w:autoSpaceDN w:val="0"/>
        <w:adjustRightInd w:val="0"/>
        <w:jc w:val="both"/>
        <w:rPr>
          <w:iCs/>
          <w:color w:val="000000" w:themeColor="text1"/>
          <w:sz w:val="16"/>
          <w:szCs w:val="16"/>
        </w:rPr>
      </w:pPr>
    </w:p>
    <w:p w14:paraId="58A604FF" w14:textId="77777777" w:rsidR="008F43A8" w:rsidRPr="00E14102" w:rsidRDefault="008F43A8" w:rsidP="00E14102">
      <w:pPr>
        <w:jc w:val="both"/>
        <w:rPr>
          <w:rStyle w:val="a6"/>
          <w:i w:val="0"/>
          <w:color w:val="000000" w:themeColor="text1"/>
          <w:sz w:val="16"/>
          <w:szCs w:val="16"/>
        </w:rPr>
      </w:pPr>
      <w:r w:rsidRPr="00E14102">
        <w:rPr>
          <w:rStyle w:val="a6"/>
          <w:i w:val="0"/>
          <w:color w:val="000000" w:themeColor="text1"/>
          <w:sz w:val="16"/>
          <w:szCs w:val="16"/>
        </w:rPr>
        <w:t xml:space="preserve">Не позднее 28 января 1935 г.¹* </w:t>
      </w:r>
      <w:r w:rsidRPr="00E14102">
        <w:rPr>
          <w:color w:val="000000" w:themeColor="text1"/>
          <w:sz w:val="16"/>
          <w:szCs w:val="16"/>
        </w:rPr>
        <w:t>Справка Главного военно-мобилизационного управления НКТП СССР о выполнении промышленностью заказов Наркомата обороны СССР по главнейшим номенклатурам в 1934 г.</w:t>
      </w:r>
    </w:p>
    <w:p w14:paraId="741A824D" w14:textId="77777777" w:rsidR="008F43A8" w:rsidRPr="00E14102" w:rsidRDefault="008F43A8" w:rsidP="00E14102">
      <w:pPr>
        <w:jc w:val="both"/>
        <w:rPr>
          <w:rStyle w:val="a6"/>
          <w:i w:val="0"/>
          <w:color w:val="000000" w:themeColor="text1"/>
          <w:sz w:val="16"/>
          <w:szCs w:val="16"/>
        </w:rPr>
      </w:pPr>
      <w:r w:rsidRPr="00E14102">
        <w:rPr>
          <w:rStyle w:val="a6"/>
          <w:i w:val="0"/>
          <w:color w:val="000000" w:themeColor="text1"/>
          <w:sz w:val="16"/>
          <w:szCs w:val="16"/>
        </w:rPr>
        <w:t>Совершенно секретно.</w:t>
      </w:r>
    </w:p>
    <w:p w14:paraId="3805B1BE" w14:textId="77777777" w:rsidR="008F43A8" w:rsidRPr="00E14102" w:rsidRDefault="008F43A8" w:rsidP="00E14102">
      <w:pPr>
        <w:jc w:val="both"/>
        <w:rPr>
          <w:color w:val="000000" w:themeColor="text1"/>
          <w:sz w:val="16"/>
          <w:szCs w:val="16"/>
        </w:rPr>
      </w:pPr>
      <w:r w:rsidRPr="00E14102">
        <w:rPr>
          <w:color w:val="000000" w:themeColor="text1"/>
          <w:sz w:val="16"/>
          <w:szCs w:val="16"/>
        </w:rPr>
        <w:t>I. Артиллерия</w:t>
      </w:r>
    </w:p>
    <w:p w14:paraId="4D80A3E8"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Заказ на 1934 г. по всем системам (без систем Курчевского) — 3836 орудий. Сдано промышленностью Наркомату обороны за 1934 г. — 4097 орудий. Выполнение годового заказа по категориям артсистем следующее:</w:t>
      </w:r>
    </w:p>
    <w:p w14:paraId="5B1CEBF9"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1. </w:t>
      </w:r>
      <w:r w:rsidRPr="00E14102">
        <w:rPr>
          <w:rStyle w:val="a6"/>
          <w:bCs/>
          <w:i w:val="0"/>
          <w:color w:val="000000" w:themeColor="text1"/>
          <w:sz w:val="16"/>
          <w:szCs w:val="16"/>
        </w:rPr>
        <w:t>Мелкокалиберная артиллерия</w:t>
      </w:r>
      <w:r w:rsidRPr="00E14102">
        <w:rPr>
          <w:color w:val="000000" w:themeColor="text1"/>
          <w:sz w:val="16"/>
          <w:szCs w:val="16"/>
        </w:rPr>
        <w:t xml:space="preserve"> (45 мм). Годовой заказ — 2438 орудий. Сдано за год — 2761 орудие.</w:t>
      </w:r>
    </w:p>
    <w:p w14:paraId="7F95907C"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2. </w:t>
      </w:r>
      <w:r w:rsidRPr="00E14102">
        <w:rPr>
          <w:rStyle w:val="a6"/>
          <w:bCs/>
          <w:i w:val="0"/>
          <w:color w:val="000000" w:themeColor="text1"/>
          <w:sz w:val="16"/>
          <w:szCs w:val="16"/>
        </w:rPr>
        <w:t>Полковая и дивизионная артиллерия</w:t>
      </w:r>
      <w:r w:rsidRPr="00E14102">
        <w:rPr>
          <w:color w:val="000000" w:themeColor="text1"/>
          <w:sz w:val="16"/>
          <w:szCs w:val="16"/>
        </w:rPr>
        <w:t xml:space="preserve"> (76</w:t>
      </w:r>
      <w:r w:rsidRPr="00E14102">
        <w:rPr>
          <w:color w:val="000000" w:themeColor="text1"/>
          <w:sz w:val="16"/>
          <w:szCs w:val="16"/>
        </w:rPr>
        <w:noBreakHyphen/>
        <w:t>мм пушки, 122</w:t>
      </w:r>
      <w:r w:rsidRPr="00E14102">
        <w:rPr>
          <w:color w:val="000000" w:themeColor="text1"/>
          <w:sz w:val="16"/>
          <w:szCs w:val="16"/>
        </w:rPr>
        <w:noBreakHyphen/>
        <w:t>мм гаубица, 152</w:t>
      </w:r>
      <w:r w:rsidRPr="00E14102">
        <w:rPr>
          <w:color w:val="000000" w:themeColor="text1"/>
          <w:sz w:val="16"/>
          <w:szCs w:val="16"/>
        </w:rPr>
        <w:noBreakHyphen/>
        <w:t>мм мортиры). Годовой заказ — 711 орудий. Сдано за год — 648 орудий. Изготовлены и будут сданы в январе-феврале 1935 г. в счет заказа 1934 г. — 29 орудий.</w:t>
      </w:r>
    </w:p>
    <w:p w14:paraId="27D4EDDE"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3. </w:t>
      </w:r>
      <w:r w:rsidRPr="00E14102">
        <w:rPr>
          <w:rStyle w:val="a6"/>
          <w:bCs/>
          <w:i w:val="0"/>
          <w:color w:val="000000" w:themeColor="text1"/>
          <w:sz w:val="16"/>
          <w:szCs w:val="16"/>
        </w:rPr>
        <w:t>Корпусная и средняя морская артиллерия</w:t>
      </w:r>
      <w:r w:rsidRPr="00E14102">
        <w:rPr>
          <w:color w:val="000000" w:themeColor="text1"/>
          <w:sz w:val="16"/>
          <w:szCs w:val="16"/>
        </w:rPr>
        <w:t xml:space="preserve"> (102, 107, 122 и 130</w:t>
      </w:r>
      <w:r w:rsidRPr="00E14102">
        <w:rPr>
          <w:color w:val="000000" w:themeColor="text1"/>
          <w:sz w:val="16"/>
          <w:szCs w:val="16"/>
        </w:rPr>
        <w:noBreakHyphen/>
        <w:t>мм пушки, 152</w:t>
      </w:r>
      <w:r w:rsidRPr="00E14102">
        <w:rPr>
          <w:color w:val="000000" w:themeColor="text1"/>
          <w:sz w:val="16"/>
          <w:szCs w:val="16"/>
        </w:rPr>
        <w:noBreakHyphen/>
        <w:t>мм гаубица). Годовой заказ — 221 орудие. Сдано за год — 180 орудий. Изготовлены и будут сданы в январе-феврале 1935 г. в счет заказа 1934 г. — 44 орудия.</w:t>
      </w:r>
    </w:p>
    <w:p w14:paraId="2EB62B33"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4. </w:t>
      </w:r>
      <w:r w:rsidRPr="00E14102">
        <w:rPr>
          <w:rStyle w:val="a6"/>
          <w:bCs/>
          <w:i w:val="0"/>
          <w:color w:val="000000" w:themeColor="text1"/>
          <w:sz w:val="16"/>
          <w:szCs w:val="16"/>
        </w:rPr>
        <w:t>Артиллерия резерва главного командования и тяжелые морские орудия</w:t>
      </w:r>
      <w:r w:rsidRPr="00E14102">
        <w:rPr>
          <w:color w:val="000000" w:themeColor="text1"/>
          <w:sz w:val="16"/>
          <w:szCs w:val="16"/>
        </w:rPr>
        <w:t xml:space="preserve"> (152</w:t>
      </w:r>
      <w:r w:rsidRPr="00E14102">
        <w:rPr>
          <w:color w:val="000000" w:themeColor="text1"/>
          <w:sz w:val="16"/>
          <w:szCs w:val="16"/>
        </w:rPr>
        <w:noBreakHyphen/>
        <w:t>мм и 180</w:t>
      </w:r>
      <w:r w:rsidRPr="00E14102">
        <w:rPr>
          <w:color w:val="000000" w:themeColor="text1"/>
          <w:sz w:val="16"/>
          <w:szCs w:val="16"/>
        </w:rPr>
        <w:noBreakHyphen/>
        <w:t>мм пушки, 203</w:t>
      </w:r>
      <w:r w:rsidRPr="00E14102">
        <w:rPr>
          <w:color w:val="000000" w:themeColor="text1"/>
          <w:sz w:val="16"/>
          <w:szCs w:val="16"/>
        </w:rPr>
        <w:noBreakHyphen/>
        <w:t>мм гаубица). Годовой заказ — 108 орудий. Сдано за год — 104 орудия.</w:t>
      </w:r>
    </w:p>
    <w:p w14:paraId="1DA41D4B"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5. </w:t>
      </w:r>
      <w:r w:rsidRPr="00E14102">
        <w:rPr>
          <w:rStyle w:val="a6"/>
          <w:bCs/>
          <w:i w:val="0"/>
          <w:color w:val="000000" w:themeColor="text1"/>
          <w:sz w:val="16"/>
          <w:szCs w:val="16"/>
        </w:rPr>
        <w:t>Зенитная артиллерия</w:t>
      </w:r>
      <w:r w:rsidRPr="00E14102">
        <w:rPr>
          <w:color w:val="000000" w:themeColor="text1"/>
          <w:sz w:val="16"/>
          <w:szCs w:val="16"/>
        </w:rPr>
        <w:t>. Годовой заказ — 358 орудий. Сдано за год — 404 орудия.</w:t>
      </w:r>
    </w:p>
    <w:p w14:paraId="3C0490F3"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6. </w:t>
      </w:r>
      <w:r w:rsidRPr="00E14102">
        <w:rPr>
          <w:rStyle w:val="a6"/>
          <w:bCs/>
          <w:i w:val="0"/>
          <w:color w:val="000000" w:themeColor="text1"/>
          <w:sz w:val="16"/>
          <w:szCs w:val="16"/>
        </w:rPr>
        <w:t>Модернизация артиллерии</w:t>
      </w:r>
      <w:r w:rsidRPr="00E14102">
        <w:rPr>
          <w:color w:val="000000" w:themeColor="text1"/>
          <w:sz w:val="16"/>
          <w:szCs w:val="16"/>
        </w:rPr>
        <w:t>. Годовой заказ — 1180 орудий. Сдано за год — 828 орудий. В том числе 76</w:t>
      </w:r>
      <w:r w:rsidRPr="00E14102">
        <w:rPr>
          <w:color w:val="000000" w:themeColor="text1"/>
          <w:sz w:val="16"/>
          <w:szCs w:val="16"/>
        </w:rPr>
        <w:noBreakHyphen/>
        <w:t>мм дивизионных пушек образца 1902/1930 г.: годовой заказ — 700 орудий, сдано за год — 491 орудие.</w:t>
      </w:r>
    </w:p>
    <w:p w14:paraId="163997CA"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7. </w:t>
      </w:r>
      <w:r w:rsidRPr="00E14102">
        <w:rPr>
          <w:rStyle w:val="a6"/>
          <w:bCs/>
          <w:i w:val="0"/>
          <w:color w:val="000000" w:themeColor="text1"/>
          <w:sz w:val="16"/>
          <w:szCs w:val="16"/>
        </w:rPr>
        <w:t>Перестволение</w:t>
      </w:r>
      <w:r w:rsidRPr="00E14102">
        <w:rPr>
          <w:color w:val="000000" w:themeColor="text1"/>
          <w:sz w:val="16"/>
          <w:szCs w:val="16"/>
        </w:rPr>
        <w:t>. Годовой заказ — 471 ствол. Сдано за год — 460 стволов.</w:t>
      </w:r>
    </w:p>
    <w:p w14:paraId="3A80EE3C"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II. Системы Курчевского</w:t>
      </w:r>
    </w:p>
    <w:p w14:paraId="7F404311"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Годовой заказ — 1367. Сдано за год — 453.</w:t>
      </w:r>
    </w:p>
    <w:p w14:paraId="5F59EA1F"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Согласно постановлению правительства промышленность обязана была изготовить две 305</w:t>
      </w:r>
      <w:r w:rsidRPr="00E14102">
        <w:rPr>
          <w:color w:val="000000" w:themeColor="text1"/>
          <w:sz w:val="16"/>
          <w:szCs w:val="16"/>
        </w:rPr>
        <w:noBreakHyphen/>
        <w:t>мм и восемь 152</w:t>
      </w:r>
      <w:r w:rsidRPr="00E14102">
        <w:rPr>
          <w:color w:val="000000" w:themeColor="text1"/>
          <w:sz w:val="16"/>
          <w:szCs w:val="16"/>
        </w:rPr>
        <w:noBreakHyphen/>
        <w:t>мм пушек Курчевского. Постановление правительства промышленностью выполнено. В 1934 г. пушки Курчевского были впервые поставлены на массовое производство.</w:t>
      </w:r>
    </w:p>
    <w:p w14:paraId="17778659"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Заводу № 7 на 1934 г. было задано освоить в массовом производстве пять систем Курчевского: 76</w:t>
      </w:r>
      <w:r w:rsidRPr="00E14102">
        <w:rPr>
          <w:color w:val="000000" w:themeColor="text1"/>
          <w:sz w:val="16"/>
          <w:szCs w:val="16"/>
        </w:rPr>
        <w:noBreakHyphen/>
        <w:t>мм батальонную пушку (ВПК), 76</w:t>
      </w:r>
      <w:r w:rsidRPr="00E14102">
        <w:rPr>
          <w:color w:val="000000" w:themeColor="text1"/>
          <w:sz w:val="16"/>
          <w:szCs w:val="16"/>
        </w:rPr>
        <w:noBreakHyphen/>
        <w:t>мм катерную пушку (КПК), 76</w:t>
      </w:r>
      <w:r w:rsidRPr="00E14102">
        <w:rPr>
          <w:color w:val="000000" w:themeColor="text1"/>
          <w:sz w:val="16"/>
          <w:szCs w:val="16"/>
        </w:rPr>
        <w:noBreakHyphen/>
        <w:t>мм самоходную пушку (СПК), 76</w:t>
      </w:r>
      <w:r w:rsidRPr="00E14102">
        <w:rPr>
          <w:color w:val="000000" w:themeColor="text1"/>
          <w:sz w:val="16"/>
          <w:szCs w:val="16"/>
        </w:rPr>
        <w:noBreakHyphen/>
        <w:t>мм авиационную пушку (АПК-4), 37</w:t>
      </w:r>
      <w:r w:rsidRPr="00E14102">
        <w:rPr>
          <w:color w:val="000000" w:themeColor="text1"/>
          <w:sz w:val="16"/>
          <w:szCs w:val="16"/>
        </w:rPr>
        <w:noBreakHyphen/>
        <w:t>мм ружье (14</w:t>
      </w:r>
      <w:r w:rsidRPr="00E14102">
        <w:rPr>
          <w:color w:val="000000" w:themeColor="text1"/>
          <w:sz w:val="16"/>
          <w:szCs w:val="16"/>
        </w:rPr>
        <w:noBreakHyphen/>
        <w:t>К). Завод освоил на массовом производстве и выполнил программу по 76</w:t>
      </w:r>
      <w:r w:rsidRPr="00E14102">
        <w:rPr>
          <w:color w:val="000000" w:themeColor="text1"/>
          <w:sz w:val="16"/>
          <w:szCs w:val="16"/>
        </w:rPr>
        <w:noBreakHyphen/>
        <w:t>мм батальонной и 76</w:t>
      </w:r>
      <w:r w:rsidRPr="00E14102">
        <w:rPr>
          <w:color w:val="000000" w:themeColor="text1"/>
          <w:sz w:val="16"/>
          <w:szCs w:val="16"/>
        </w:rPr>
        <w:noBreakHyphen/>
        <w:t>мм катерной пушкам. Что касается 76</w:t>
      </w:r>
      <w:r w:rsidRPr="00E14102">
        <w:rPr>
          <w:color w:val="000000" w:themeColor="text1"/>
          <w:sz w:val="16"/>
          <w:szCs w:val="16"/>
        </w:rPr>
        <w:noBreakHyphen/>
        <w:t>мм самоходной, 76</w:t>
      </w:r>
      <w:r w:rsidRPr="00E14102">
        <w:rPr>
          <w:color w:val="000000" w:themeColor="text1"/>
          <w:sz w:val="16"/>
          <w:szCs w:val="16"/>
        </w:rPr>
        <w:noBreakHyphen/>
        <w:t>мм авиационной и 37</w:t>
      </w:r>
      <w:r w:rsidRPr="00E14102">
        <w:rPr>
          <w:color w:val="000000" w:themeColor="text1"/>
          <w:sz w:val="16"/>
          <w:szCs w:val="16"/>
        </w:rPr>
        <w:noBreakHyphen/>
        <w:t>мм ружья, то завод этих систем производственно не освоил и программу по ним не выполнил.</w:t>
      </w:r>
    </w:p>
    <w:p w14:paraId="5F69CB10"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Все системы Курчевского поставлены на производство конструктивно недоработанными. В течение 1934 г. 76</w:t>
      </w:r>
      <w:r w:rsidRPr="00E14102">
        <w:rPr>
          <w:color w:val="000000" w:themeColor="text1"/>
          <w:sz w:val="16"/>
          <w:szCs w:val="16"/>
        </w:rPr>
        <w:noBreakHyphen/>
        <w:t>мм батальонная и катерная пушка были конструктивно доработаны. Что же касается самоходной, авиационной пушек и ружья Курчевского, то в течение 1934 г. окончательно доработать их не удалось. Эти три системы, по заявлению т. Курчевского, будут доработаны в первом квартале 1935 г.</w:t>
      </w:r>
    </w:p>
    <w:p w14:paraId="78A010A2"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III. Береговая оборона</w:t>
      </w:r>
    </w:p>
    <w:p w14:paraId="2FAAFF4E"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За 1934 г. промышленностью сданы на вооружение следующие батареи:</w:t>
      </w:r>
    </w:p>
    <w:p w14:paraId="4E110EE7"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1) </w:t>
      </w:r>
      <w:r w:rsidRPr="00E14102">
        <w:rPr>
          <w:rStyle w:val="a6"/>
          <w:bCs/>
          <w:i w:val="0"/>
          <w:color w:val="000000" w:themeColor="text1"/>
          <w:sz w:val="16"/>
          <w:szCs w:val="16"/>
        </w:rPr>
        <w:t>По Дальнему Востоку</w:t>
      </w:r>
      <w:r w:rsidRPr="00E14102">
        <w:rPr>
          <w:color w:val="000000" w:themeColor="text1"/>
          <w:sz w:val="16"/>
          <w:szCs w:val="16"/>
        </w:rPr>
        <w:t>. Двухбашенная шестиорудийная 305</w:t>
      </w:r>
      <w:r w:rsidRPr="00E14102">
        <w:rPr>
          <w:color w:val="000000" w:themeColor="text1"/>
          <w:sz w:val="16"/>
          <w:szCs w:val="16"/>
        </w:rPr>
        <w:noBreakHyphen/>
        <w:t>мм батарея № 1 (Русский Остров) — 6 орудий; четырехорудийная 180</w:t>
      </w:r>
      <w:r w:rsidRPr="00E14102">
        <w:rPr>
          <w:color w:val="000000" w:themeColor="text1"/>
          <w:sz w:val="16"/>
          <w:szCs w:val="16"/>
        </w:rPr>
        <w:noBreakHyphen/>
        <w:t>мм батарея № 12 (Русский Остров) — 4 орудия; четырехорудийная 180</w:t>
      </w:r>
      <w:r w:rsidRPr="00E14102">
        <w:rPr>
          <w:color w:val="000000" w:themeColor="text1"/>
          <w:sz w:val="16"/>
          <w:szCs w:val="16"/>
        </w:rPr>
        <w:noBreakHyphen/>
        <w:t>мм батарея № 15 (Русский Остров) — 4 орудия; четырехорудийная 180</w:t>
      </w:r>
      <w:r w:rsidRPr="00E14102">
        <w:rPr>
          <w:color w:val="000000" w:themeColor="text1"/>
          <w:sz w:val="16"/>
          <w:szCs w:val="16"/>
        </w:rPr>
        <w:noBreakHyphen/>
        <w:t>мм батарея № 11 (Остров Попова) — 4 орудия. Закончены монтажом в артиллерийской части и задерживаются сдачей ввиду затяжки строительных работ, выполняемых Инженерным управлением НКО²*: четырехорудийная 180</w:t>
      </w:r>
      <w:r w:rsidRPr="00E14102">
        <w:rPr>
          <w:color w:val="000000" w:themeColor="text1"/>
          <w:sz w:val="16"/>
          <w:szCs w:val="16"/>
        </w:rPr>
        <w:noBreakHyphen/>
        <w:t>мм батарея № 14 (Бухта Америка) — 4 орудия; четырехорудийная 180</w:t>
      </w:r>
      <w:r w:rsidRPr="00E14102">
        <w:rPr>
          <w:color w:val="000000" w:themeColor="text1"/>
          <w:sz w:val="16"/>
          <w:szCs w:val="16"/>
        </w:rPr>
        <w:noBreakHyphen/>
        <w:t>мм батарея № 11 (Бухта де Кастри) — 4 орудия.</w:t>
      </w:r>
    </w:p>
    <w:p w14:paraId="7F759D43"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2) </w:t>
      </w:r>
      <w:r w:rsidRPr="00E14102">
        <w:rPr>
          <w:rStyle w:val="a6"/>
          <w:bCs/>
          <w:i w:val="0"/>
          <w:color w:val="000000" w:themeColor="text1"/>
          <w:sz w:val="16"/>
          <w:szCs w:val="16"/>
        </w:rPr>
        <w:t>По Черному морю</w:t>
      </w:r>
      <w:r w:rsidRPr="00E14102">
        <w:rPr>
          <w:color w:val="000000" w:themeColor="text1"/>
          <w:sz w:val="16"/>
          <w:szCs w:val="16"/>
        </w:rPr>
        <w:t>. Закончены монтажом и проходят приемные испытания: четырехорудийная 180</w:t>
      </w:r>
      <w:r w:rsidRPr="00E14102">
        <w:rPr>
          <w:color w:val="000000" w:themeColor="text1"/>
          <w:sz w:val="16"/>
          <w:szCs w:val="16"/>
        </w:rPr>
        <w:noBreakHyphen/>
        <w:t>мм батарея № 29 (Керчь) — 4 орудия. Закончены монтажом в артиллерийской части, но не сдаются ввиду затяжки строительных работ (силовая станция, центральный пост), производимых Инженерным управлением НКО: трехорудийная 180</w:t>
      </w:r>
      <w:r w:rsidRPr="00E14102">
        <w:rPr>
          <w:color w:val="000000" w:themeColor="text1"/>
          <w:sz w:val="16"/>
          <w:szCs w:val="16"/>
        </w:rPr>
        <w:noBreakHyphen/>
        <w:t>мм батарея № 101 (Одесса) — 3 орудия, трехорудийная 180</w:t>
      </w:r>
      <w:r w:rsidRPr="00E14102">
        <w:rPr>
          <w:color w:val="000000" w:themeColor="text1"/>
          <w:sz w:val="16"/>
          <w:szCs w:val="16"/>
        </w:rPr>
        <w:noBreakHyphen/>
        <w:t>мм батарея № 102 (Одесса) — 3 орудия.</w:t>
      </w:r>
    </w:p>
    <w:p w14:paraId="5E1F2260"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Задание правительства на 1934 г. по батареям береговой обороны промышленностью выполнено.</w:t>
      </w:r>
    </w:p>
    <w:p w14:paraId="6B76B3A2"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IV. Транспортеры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07"/>
        <w:gridCol w:w="2253"/>
        <w:gridCol w:w="3663"/>
      </w:tblGrid>
      <w:tr w:rsidR="00E3599D" w:rsidRPr="00E14102" w14:paraId="6BADB78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D64A3C" w14:textId="77777777" w:rsidR="008F43A8" w:rsidRPr="00E14102" w:rsidRDefault="008F43A8"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AA75B" w14:textId="77777777" w:rsidR="008F43A8" w:rsidRPr="00E14102" w:rsidRDefault="008F43A8" w:rsidP="00E14102">
            <w:pPr>
              <w:jc w:val="both"/>
              <w:rPr>
                <w:color w:val="000000" w:themeColor="text1"/>
                <w:sz w:val="16"/>
                <w:szCs w:val="16"/>
              </w:rPr>
            </w:pPr>
            <w:r w:rsidRPr="00E14102">
              <w:rPr>
                <w:color w:val="000000" w:themeColor="text1"/>
                <w:sz w:val="16"/>
                <w:szCs w:val="16"/>
              </w:rPr>
              <w:t>Заказ на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31371" w14:textId="77777777" w:rsidR="008F43A8" w:rsidRPr="00E14102" w:rsidRDefault="008F43A8" w:rsidP="00E14102">
            <w:pPr>
              <w:jc w:val="both"/>
              <w:rPr>
                <w:color w:val="000000" w:themeColor="text1"/>
                <w:sz w:val="16"/>
                <w:szCs w:val="16"/>
              </w:rPr>
            </w:pPr>
            <w:r w:rsidRPr="00E14102">
              <w:rPr>
                <w:color w:val="000000" w:themeColor="text1"/>
                <w:sz w:val="16"/>
                <w:szCs w:val="16"/>
              </w:rPr>
              <w:t>Сдано за 1934 г.</w:t>
            </w:r>
          </w:p>
        </w:tc>
      </w:tr>
      <w:tr w:rsidR="00E3599D" w:rsidRPr="00E14102" w14:paraId="5D7B8A7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66C250" w14:textId="77777777" w:rsidR="008F43A8" w:rsidRPr="00E14102" w:rsidRDefault="008F43A8" w:rsidP="00E14102">
            <w:pPr>
              <w:jc w:val="both"/>
              <w:rPr>
                <w:color w:val="000000" w:themeColor="text1"/>
                <w:sz w:val="16"/>
                <w:szCs w:val="16"/>
              </w:rPr>
            </w:pPr>
            <w:r w:rsidRPr="00E14102">
              <w:rPr>
                <w:color w:val="000000" w:themeColor="text1"/>
                <w:sz w:val="16"/>
                <w:szCs w:val="16"/>
              </w:rPr>
              <w:t>Транспортеров 356</w:t>
            </w:r>
            <w:r w:rsidRPr="00E14102">
              <w:rPr>
                <w:color w:val="000000" w:themeColor="text1"/>
                <w:sz w:val="16"/>
                <w:szCs w:val="16"/>
              </w:rPr>
              <w:noBreakHyphen/>
              <w:t>мм </w:t>
            </w:r>
            <w:r w:rsidRPr="00E14102">
              <w:rPr>
                <w:color w:val="000000" w:themeColor="text1"/>
                <w:sz w:val="16"/>
                <w:szCs w:val="16"/>
              </w:rPr>
              <w:noBreakHyphen/>
              <w:t>14</w:t>
            </w:r>
            <w:r w:rsidRPr="00E14102">
              <w:rPr>
                <w:color w:val="000000" w:themeColor="text1"/>
                <w:sz w:val="16"/>
                <w:szCs w:val="16"/>
              </w:rPr>
              <w:noBreakHyphen/>
              <w:t>дюймовых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92BBD" w14:textId="77777777" w:rsidR="008F43A8" w:rsidRPr="00E14102" w:rsidRDefault="008F43A8" w:rsidP="00E14102">
            <w:pPr>
              <w:jc w:val="both"/>
              <w:rPr>
                <w:color w:val="000000" w:themeColor="text1"/>
                <w:sz w:val="16"/>
                <w:szCs w:val="16"/>
              </w:rPr>
            </w:pPr>
            <w:r w:rsidRPr="00E14102">
              <w:rPr>
                <w:color w:val="000000" w:themeColor="text1"/>
                <w:sz w:val="16"/>
                <w:szCs w:val="16"/>
              </w:rPr>
              <w:t>3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FBFBE" w14:textId="77777777" w:rsidR="008F43A8" w:rsidRPr="00E14102" w:rsidRDefault="008F43A8" w:rsidP="00E14102">
            <w:pPr>
              <w:jc w:val="both"/>
              <w:rPr>
                <w:color w:val="000000" w:themeColor="text1"/>
                <w:sz w:val="16"/>
                <w:szCs w:val="16"/>
              </w:rPr>
            </w:pPr>
            <w:r w:rsidRPr="00E14102">
              <w:rPr>
                <w:color w:val="000000" w:themeColor="text1"/>
                <w:sz w:val="16"/>
                <w:szCs w:val="16"/>
              </w:rPr>
              <w:t>3 шт.</w:t>
            </w:r>
          </w:p>
        </w:tc>
      </w:tr>
      <w:tr w:rsidR="00E3599D" w:rsidRPr="00E14102" w14:paraId="1CD8987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7C5BD6" w14:textId="77777777" w:rsidR="008F43A8" w:rsidRPr="00E14102" w:rsidRDefault="008F43A8" w:rsidP="00E14102">
            <w:pPr>
              <w:jc w:val="both"/>
              <w:rPr>
                <w:color w:val="000000" w:themeColor="text1"/>
                <w:sz w:val="16"/>
                <w:szCs w:val="16"/>
              </w:rPr>
            </w:pPr>
            <w:r w:rsidRPr="00E14102">
              <w:rPr>
                <w:color w:val="000000" w:themeColor="text1"/>
                <w:sz w:val="16"/>
                <w:szCs w:val="16"/>
              </w:rPr>
              <w:t>Транспортеров 305</w:t>
            </w:r>
            <w:r w:rsidRPr="00E14102">
              <w:rPr>
                <w:color w:val="000000" w:themeColor="text1"/>
                <w:sz w:val="16"/>
                <w:szCs w:val="16"/>
              </w:rPr>
              <w:noBreakHyphen/>
              <w:t>мм </w:t>
            </w:r>
            <w:r w:rsidRPr="00E14102">
              <w:rPr>
                <w:color w:val="000000" w:themeColor="text1"/>
                <w:sz w:val="16"/>
                <w:szCs w:val="16"/>
              </w:rPr>
              <w:noBreakHyphen/>
              <w:t>12</w:t>
            </w:r>
            <w:r w:rsidRPr="00E14102">
              <w:rPr>
                <w:color w:val="000000" w:themeColor="text1"/>
                <w:sz w:val="16"/>
                <w:szCs w:val="16"/>
              </w:rPr>
              <w:noBreakHyphen/>
              <w:t>дюймовых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C01B3" w14:textId="77777777" w:rsidR="008F43A8" w:rsidRPr="00E14102" w:rsidRDefault="008F43A8" w:rsidP="00E14102">
            <w:pPr>
              <w:jc w:val="both"/>
              <w:rPr>
                <w:color w:val="000000" w:themeColor="text1"/>
                <w:sz w:val="16"/>
                <w:szCs w:val="16"/>
              </w:rPr>
            </w:pPr>
            <w:r w:rsidRPr="00E14102">
              <w:rPr>
                <w:color w:val="000000" w:themeColor="text1"/>
                <w:sz w:val="16"/>
                <w:szCs w:val="16"/>
              </w:rPr>
              <w:t>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A0B84" w14:textId="77777777" w:rsidR="008F43A8" w:rsidRPr="00E14102" w:rsidRDefault="008F43A8" w:rsidP="00E14102">
            <w:pPr>
              <w:jc w:val="both"/>
              <w:rPr>
                <w:color w:val="000000" w:themeColor="text1"/>
                <w:sz w:val="16"/>
                <w:szCs w:val="16"/>
              </w:rPr>
            </w:pPr>
            <w:r w:rsidRPr="00E14102">
              <w:rPr>
                <w:color w:val="000000" w:themeColor="text1"/>
                <w:sz w:val="16"/>
                <w:szCs w:val="16"/>
              </w:rPr>
              <w:t>5 шт.</w:t>
            </w:r>
          </w:p>
        </w:tc>
      </w:tr>
      <w:tr w:rsidR="00E3599D" w:rsidRPr="00E14102" w14:paraId="7D03DF7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5E4BC6" w14:textId="77777777" w:rsidR="008F43A8" w:rsidRPr="00E14102" w:rsidRDefault="008F43A8" w:rsidP="00E14102">
            <w:pPr>
              <w:jc w:val="both"/>
              <w:rPr>
                <w:color w:val="000000" w:themeColor="text1"/>
                <w:sz w:val="16"/>
                <w:szCs w:val="16"/>
              </w:rPr>
            </w:pPr>
            <w:r w:rsidRPr="00E14102">
              <w:rPr>
                <w:color w:val="000000" w:themeColor="text1"/>
                <w:sz w:val="16"/>
                <w:szCs w:val="16"/>
              </w:rPr>
              <w:t>Транспортеров 180</w:t>
            </w:r>
            <w:r w:rsidRPr="00E14102">
              <w:rPr>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DC167" w14:textId="77777777" w:rsidR="008F43A8" w:rsidRPr="00E14102" w:rsidRDefault="008F43A8" w:rsidP="00E14102">
            <w:pPr>
              <w:jc w:val="both"/>
              <w:rPr>
                <w:color w:val="000000" w:themeColor="text1"/>
                <w:sz w:val="16"/>
                <w:szCs w:val="16"/>
              </w:rPr>
            </w:pPr>
            <w:r w:rsidRPr="00E14102">
              <w:rPr>
                <w:color w:val="000000" w:themeColor="text1"/>
                <w:sz w:val="16"/>
                <w:szCs w:val="16"/>
              </w:rPr>
              <w:t>4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1310F" w14:textId="77777777" w:rsidR="008F43A8" w:rsidRPr="00E14102" w:rsidRDefault="008F43A8" w:rsidP="00E14102">
            <w:pPr>
              <w:jc w:val="both"/>
              <w:rPr>
                <w:color w:val="000000" w:themeColor="text1"/>
                <w:sz w:val="16"/>
                <w:szCs w:val="16"/>
              </w:rPr>
            </w:pPr>
            <w:r w:rsidRPr="00E14102">
              <w:rPr>
                <w:color w:val="000000" w:themeColor="text1"/>
                <w:sz w:val="16"/>
                <w:szCs w:val="16"/>
              </w:rPr>
              <w:t>4 шт. (проходят приемку)</w:t>
            </w:r>
          </w:p>
        </w:tc>
      </w:tr>
    </w:tbl>
    <w:p w14:paraId="18A0E253" w14:textId="77777777" w:rsidR="008F43A8" w:rsidRPr="00E14102" w:rsidRDefault="008F43A8" w:rsidP="00E14102">
      <w:pPr>
        <w:jc w:val="both"/>
        <w:rPr>
          <w:color w:val="000000" w:themeColor="text1"/>
          <w:sz w:val="16"/>
          <w:szCs w:val="16"/>
        </w:rPr>
      </w:pPr>
      <w:r w:rsidRPr="00E14102">
        <w:rPr>
          <w:color w:val="000000" w:themeColor="text1"/>
          <w:sz w:val="16"/>
          <w:szCs w:val="16"/>
        </w:rPr>
        <w:t>V. Танки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84"/>
        <w:gridCol w:w="2328"/>
        <w:gridCol w:w="2411"/>
      </w:tblGrid>
      <w:tr w:rsidR="00E3599D" w:rsidRPr="00E14102" w14:paraId="0E5AC70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175AFF" w14:textId="77777777" w:rsidR="008F43A8" w:rsidRPr="00E14102" w:rsidRDefault="008F43A8"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AE876" w14:textId="77777777" w:rsidR="008F43A8" w:rsidRPr="00E14102" w:rsidRDefault="008F43A8" w:rsidP="00E14102">
            <w:pPr>
              <w:jc w:val="both"/>
              <w:rPr>
                <w:color w:val="000000" w:themeColor="text1"/>
                <w:sz w:val="16"/>
                <w:szCs w:val="16"/>
              </w:rPr>
            </w:pPr>
            <w:r w:rsidRPr="00E14102">
              <w:rPr>
                <w:color w:val="000000" w:themeColor="text1"/>
                <w:sz w:val="16"/>
                <w:szCs w:val="16"/>
              </w:rPr>
              <w:t>Заказ на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4F293" w14:textId="77777777" w:rsidR="008F43A8" w:rsidRPr="00E14102" w:rsidRDefault="008F43A8" w:rsidP="00E14102">
            <w:pPr>
              <w:jc w:val="both"/>
              <w:rPr>
                <w:color w:val="000000" w:themeColor="text1"/>
                <w:sz w:val="16"/>
                <w:szCs w:val="16"/>
              </w:rPr>
            </w:pPr>
            <w:r w:rsidRPr="00E14102">
              <w:rPr>
                <w:color w:val="000000" w:themeColor="text1"/>
                <w:sz w:val="16"/>
                <w:szCs w:val="16"/>
              </w:rPr>
              <w:t>Сдано за 1934 г.</w:t>
            </w:r>
          </w:p>
        </w:tc>
      </w:tr>
      <w:tr w:rsidR="00E3599D" w:rsidRPr="00E14102" w14:paraId="43CB11A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92E270" w14:textId="77777777" w:rsidR="008F43A8" w:rsidRPr="00E14102" w:rsidRDefault="008F43A8" w:rsidP="00E14102">
            <w:pPr>
              <w:jc w:val="both"/>
              <w:rPr>
                <w:color w:val="000000" w:themeColor="text1"/>
                <w:sz w:val="16"/>
                <w:szCs w:val="16"/>
              </w:rPr>
            </w:pPr>
            <w:r w:rsidRPr="00E14102">
              <w:rPr>
                <w:color w:val="000000" w:themeColor="text1"/>
                <w:sz w:val="16"/>
                <w:szCs w:val="16"/>
              </w:rPr>
              <w:t>Танк Виккерс» </w:t>
            </w:r>
            <w:r w:rsidRPr="00E14102">
              <w:rPr>
                <w:color w:val="000000" w:themeColor="text1"/>
                <w:sz w:val="16"/>
                <w:szCs w:val="16"/>
              </w:rPr>
              <w:noBreakHyphen/>
              <w:t> Т</w:t>
            </w:r>
            <w:r w:rsidRPr="00E14102">
              <w:rPr>
                <w:color w:val="000000" w:themeColor="text1"/>
                <w:sz w:val="16"/>
                <w:szCs w:val="16"/>
              </w:rPr>
              <w:noBreakHyphen/>
              <w:t>26, Ворошиловский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5BCAD" w14:textId="77777777" w:rsidR="008F43A8" w:rsidRPr="00E14102" w:rsidRDefault="008F43A8" w:rsidP="00E14102">
            <w:pPr>
              <w:jc w:val="both"/>
              <w:rPr>
                <w:color w:val="000000" w:themeColor="text1"/>
                <w:sz w:val="16"/>
                <w:szCs w:val="16"/>
              </w:rPr>
            </w:pPr>
            <w:r w:rsidRPr="00E14102">
              <w:rPr>
                <w:color w:val="000000" w:themeColor="text1"/>
                <w:sz w:val="16"/>
                <w:szCs w:val="16"/>
              </w:rPr>
              <w:t>1380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41875" w14:textId="77777777" w:rsidR="008F43A8" w:rsidRPr="00E14102" w:rsidRDefault="008F43A8" w:rsidP="00E14102">
            <w:pPr>
              <w:jc w:val="both"/>
              <w:rPr>
                <w:color w:val="000000" w:themeColor="text1"/>
                <w:sz w:val="16"/>
                <w:szCs w:val="16"/>
              </w:rPr>
            </w:pPr>
            <w:r w:rsidRPr="00E14102">
              <w:rPr>
                <w:color w:val="000000" w:themeColor="text1"/>
                <w:sz w:val="16"/>
                <w:szCs w:val="16"/>
              </w:rPr>
              <w:t>1426</w:t>
            </w:r>
          </w:p>
        </w:tc>
      </w:tr>
      <w:tr w:rsidR="00E3599D" w:rsidRPr="00E14102" w14:paraId="66DCA1B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7102A4" w14:textId="77777777" w:rsidR="008F43A8" w:rsidRPr="00E14102" w:rsidRDefault="008F43A8" w:rsidP="00E14102">
            <w:pPr>
              <w:jc w:val="both"/>
              <w:rPr>
                <w:color w:val="000000" w:themeColor="text1"/>
                <w:sz w:val="16"/>
                <w:szCs w:val="16"/>
              </w:rPr>
            </w:pPr>
            <w:r w:rsidRPr="00E14102">
              <w:rPr>
                <w:color w:val="000000" w:themeColor="text1"/>
                <w:sz w:val="16"/>
                <w:szCs w:val="16"/>
              </w:rPr>
              <w:t>Танк «Виккерс» </w:t>
            </w:r>
            <w:r w:rsidRPr="00E14102">
              <w:rPr>
                <w:color w:val="000000" w:themeColor="text1"/>
                <w:sz w:val="16"/>
                <w:szCs w:val="16"/>
              </w:rPr>
              <w:noBreakHyphen/>
              <w:t> Т</w:t>
            </w:r>
            <w:r w:rsidRPr="00E14102">
              <w:rPr>
                <w:color w:val="000000" w:themeColor="text1"/>
                <w:sz w:val="16"/>
                <w:szCs w:val="16"/>
              </w:rPr>
              <w:noBreakHyphen/>
              <w:t>26, СТЗ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F38A6" w14:textId="77777777" w:rsidR="008F43A8" w:rsidRPr="00E14102" w:rsidRDefault="008F43A8" w:rsidP="00E14102">
            <w:pPr>
              <w:jc w:val="both"/>
              <w:rPr>
                <w:color w:val="000000" w:themeColor="text1"/>
                <w:sz w:val="16"/>
                <w:szCs w:val="16"/>
              </w:rPr>
            </w:pPr>
            <w:r w:rsidRPr="00E14102">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D27CD" w14:textId="77777777" w:rsidR="008F43A8" w:rsidRPr="00E14102" w:rsidRDefault="008F43A8" w:rsidP="00E14102">
            <w:pPr>
              <w:jc w:val="both"/>
              <w:rPr>
                <w:color w:val="000000" w:themeColor="text1"/>
                <w:sz w:val="16"/>
                <w:szCs w:val="16"/>
              </w:rPr>
            </w:pPr>
            <w:r w:rsidRPr="00E14102">
              <w:rPr>
                <w:color w:val="000000" w:themeColor="text1"/>
                <w:sz w:val="16"/>
                <w:szCs w:val="16"/>
              </w:rPr>
              <w:t>23</w:t>
            </w:r>
          </w:p>
        </w:tc>
      </w:tr>
      <w:tr w:rsidR="00E3599D" w:rsidRPr="00E14102" w14:paraId="3580753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35A754" w14:textId="77777777" w:rsidR="008F43A8" w:rsidRPr="00E14102" w:rsidRDefault="008F43A8" w:rsidP="00E14102">
            <w:pPr>
              <w:jc w:val="both"/>
              <w:rPr>
                <w:color w:val="000000" w:themeColor="text1"/>
                <w:sz w:val="16"/>
                <w:szCs w:val="16"/>
              </w:rPr>
            </w:pPr>
            <w:r w:rsidRPr="00E14102">
              <w:rPr>
                <w:color w:val="000000" w:themeColor="text1"/>
                <w:sz w:val="16"/>
                <w:szCs w:val="16"/>
              </w:rPr>
              <w:t>Танк «Кристи» </w:t>
            </w:r>
            <w:r w:rsidRPr="00E14102">
              <w:rPr>
                <w:color w:val="000000" w:themeColor="text1"/>
                <w:sz w:val="16"/>
                <w:szCs w:val="16"/>
              </w:rPr>
              <w:noBreakHyphen/>
              <w:t> БТ, ХПЗ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108EC" w14:textId="77777777" w:rsidR="008F43A8" w:rsidRPr="00E14102" w:rsidRDefault="008F43A8" w:rsidP="00E14102">
            <w:pPr>
              <w:jc w:val="both"/>
              <w:rPr>
                <w:color w:val="000000" w:themeColor="text1"/>
                <w:sz w:val="16"/>
                <w:szCs w:val="16"/>
              </w:rPr>
            </w:pPr>
            <w:r w:rsidRPr="00E14102">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0238B" w14:textId="77777777" w:rsidR="008F43A8" w:rsidRPr="00E14102" w:rsidRDefault="008F43A8" w:rsidP="00E14102">
            <w:pPr>
              <w:jc w:val="both"/>
              <w:rPr>
                <w:color w:val="000000" w:themeColor="text1"/>
                <w:sz w:val="16"/>
                <w:szCs w:val="16"/>
              </w:rPr>
            </w:pPr>
            <w:r w:rsidRPr="00E14102">
              <w:rPr>
                <w:color w:val="000000" w:themeColor="text1"/>
                <w:sz w:val="16"/>
                <w:szCs w:val="16"/>
              </w:rPr>
              <w:t>1105</w:t>
            </w:r>
          </w:p>
        </w:tc>
      </w:tr>
      <w:tr w:rsidR="00E3599D" w:rsidRPr="00E14102" w14:paraId="59DEFE2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1DCA80" w14:textId="77777777" w:rsidR="008F43A8" w:rsidRPr="00E14102" w:rsidRDefault="008F43A8" w:rsidP="00E14102">
            <w:pPr>
              <w:jc w:val="both"/>
              <w:rPr>
                <w:color w:val="000000" w:themeColor="text1"/>
                <w:sz w:val="16"/>
                <w:szCs w:val="16"/>
              </w:rPr>
            </w:pPr>
            <w:r w:rsidRPr="00E14102">
              <w:rPr>
                <w:color w:val="000000" w:themeColor="text1"/>
                <w:sz w:val="16"/>
                <w:szCs w:val="16"/>
              </w:rPr>
              <w:t>Тяжелый танк – Т</w:t>
            </w:r>
            <w:r w:rsidRPr="00E14102">
              <w:rPr>
                <w:color w:val="000000" w:themeColor="text1"/>
                <w:sz w:val="16"/>
                <w:szCs w:val="16"/>
              </w:rPr>
              <w:noBreakHyphen/>
              <w:t>35, ХПЗ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E4C38" w14:textId="77777777" w:rsidR="008F43A8" w:rsidRPr="00E14102" w:rsidRDefault="008F43A8"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ED143" w14:textId="77777777" w:rsidR="008F43A8" w:rsidRPr="00E14102" w:rsidRDefault="008F43A8" w:rsidP="00E14102">
            <w:pPr>
              <w:jc w:val="both"/>
              <w:rPr>
                <w:color w:val="000000" w:themeColor="text1"/>
                <w:sz w:val="16"/>
                <w:szCs w:val="16"/>
              </w:rPr>
            </w:pPr>
            <w:r w:rsidRPr="00E14102">
              <w:rPr>
                <w:color w:val="000000" w:themeColor="text1"/>
                <w:sz w:val="16"/>
                <w:szCs w:val="16"/>
              </w:rPr>
              <w:t>10</w:t>
            </w:r>
          </w:p>
        </w:tc>
      </w:tr>
      <w:tr w:rsidR="00E3599D" w:rsidRPr="00E14102" w14:paraId="3E6BACD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C855DC" w14:textId="77777777" w:rsidR="008F43A8" w:rsidRPr="00E14102" w:rsidRDefault="008F43A8" w:rsidP="00E14102">
            <w:pPr>
              <w:jc w:val="both"/>
              <w:rPr>
                <w:color w:val="000000" w:themeColor="text1"/>
                <w:sz w:val="16"/>
                <w:szCs w:val="16"/>
              </w:rPr>
            </w:pPr>
            <w:r w:rsidRPr="00E14102">
              <w:rPr>
                <w:color w:val="000000" w:themeColor="text1"/>
                <w:sz w:val="16"/>
                <w:szCs w:val="16"/>
              </w:rPr>
              <w:t>Средний танк – Т</w:t>
            </w:r>
            <w:r w:rsidRPr="00E14102">
              <w:rPr>
                <w:color w:val="000000" w:themeColor="text1"/>
                <w:sz w:val="16"/>
                <w:szCs w:val="16"/>
              </w:rPr>
              <w:noBreakHyphen/>
              <w:t>28, Кировский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2CE42" w14:textId="77777777" w:rsidR="008F43A8" w:rsidRPr="00E14102" w:rsidRDefault="008F43A8"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FA50C" w14:textId="77777777" w:rsidR="008F43A8" w:rsidRPr="00E14102" w:rsidRDefault="008F43A8" w:rsidP="00E14102">
            <w:pPr>
              <w:jc w:val="both"/>
              <w:rPr>
                <w:color w:val="000000" w:themeColor="text1"/>
                <w:sz w:val="16"/>
                <w:szCs w:val="16"/>
              </w:rPr>
            </w:pPr>
            <w:r w:rsidRPr="00E14102">
              <w:rPr>
                <w:color w:val="000000" w:themeColor="text1"/>
                <w:sz w:val="16"/>
                <w:szCs w:val="16"/>
              </w:rPr>
              <w:t>50</w:t>
            </w:r>
          </w:p>
        </w:tc>
      </w:tr>
      <w:tr w:rsidR="00E3599D" w:rsidRPr="00E14102" w14:paraId="237365F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D30BD3" w14:textId="77777777" w:rsidR="008F43A8" w:rsidRPr="00E14102" w:rsidRDefault="008F43A8" w:rsidP="00E14102">
            <w:pPr>
              <w:jc w:val="both"/>
              <w:rPr>
                <w:color w:val="000000" w:themeColor="text1"/>
                <w:sz w:val="16"/>
                <w:szCs w:val="16"/>
              </w:rPr>
            </w:pPr>
            <w:r w:rsidRPr="00E14102">
              <w:rPr>
                <w:color w:val="000000" w:themeColor="text1"/>
                <w:sz w:val="16"/>
                <w:szCs w:val="16"/>
              </w:rPr>
              <w:t>Плавающая танкетка – Т</w:t>
            </w:r>
            <w:r w:rsidRPr="00E14102">
              <w:rPr>
                <w:color w:val="000000" w:themeColor="text1"/>
                <w:sz w:val="16"/>
                <w:szCs w:val="16"/>
              </w:rPr>
              <w:noBreakHyphen/>
              <w:t>37, завод №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97552" w14:textId="77777777" w:rsidR="008F43A8" w:rsidRPr="00E14102" w:rsidRDefault="008F43A8" w:rsidP="00E14102">
            <w:pPr>
              <w:jc w:val="both"/>
              <w:rPr>
                <w:color w:val="000000" w:themeColor="text1"/>
                <w:sz w:val="16"/>
                <w:szCs w:val="16"/>
              </w:rPr>
            </w:pPr>
            <w:r w:rsidRPr="00E14102">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69232" w14:textId="77777777" w:rsidR="008F43A8" w:rsidRPr="00E14102" w:rsidRDefault="008F43A8" w:rsidP="00E14102">
            <w:pPr>
              <w:jc w:val="both"/>
              <w:rPr>
                <w:color w:val="000000" w:themeColor="text1"/>
                <w:sz w:val="16"/>
                <w:szCs w:val="16"/>
              </w:rPr>
            </w:pPr>
            <w:r w:rsidRPr="00E14102">
              <w:rPr>
                <w:color w:val="000000" w:themeColor="text1"/>
                <w:sz w:val="16"/>
                <w:szCs w:val="16"/>
              </w:rPr>
              <w:t>951</w:t>
            </w:r>
          </w:p>
        </w:tc>
      </w:tr>
      <w:tr w:rsidR="00E3599D" w:rsidRPr="00E14102" w14:paraId="35E24F1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1BEB2F" w14:textId="77777777" w:rsidR="008F43A8" w:rsidRPr="00E14102" w:rsidRDefault="008F43A8" w:rsidP="00E14102">
            <w:pPr>
              <w:jc w:val="both"/>
              <w:rPr>
                <w:color w:val="000000" w:themeColor="text1"/>
                <w:sz w:val="16"/>
                <w:szCs w:val="16"/>
              </w:rPr>
            </w:pPr>
            <w:r w:rsidRPr="00E14102">
              <w:rPr>
                <w:color w:val="000000" w:themeColor="text1"/>
                <w:sz w:val="16"/>
                <w:szCs w:val="16"/>
              </w:rPr>
              <w:t>Плавающая танкетка, ГАЗ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A28DD" w14:textId="77777777" w:rsidR="008F43A8" w:rsidRPr="00E14102" w:rsidRDefault="008F43A8"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E885E" w14:textId="77777777" w:rsidR="008F43A8" w:rsidRPr="00E14102" w:rsidRDefault="008F43A8" w:rsidP="00E14102">
            <w:pPr>
              <w:jc w:val="both"/>
              <w:rPr>
                <w:color w:val="000000" w:themeColor="text1"/>
                <w:sz w:val="16"/>
                <w:szCs w:val="16"/>
              </w:rPr>
            </w:pPr>
            <w:r w:rsidRPr="00E14102">
              <w:rPr>
                <w:color w:val="000000" w:themeColor="text1"/>
                <w:sz w:val="16"/>
                <w:szCs w:val="16"/>
              </w:rPr>
              <w:t>—</w:t>
            </w:r>
          </w:p>
        </w:tc>
      </w:tr>
      <w:tr w:rsidR="00E3599D" w:rsidRPr="00E14102" w14:paraId="50E0D25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0045F9" w14:textId="77777777" w:rsidR="008F43A8" w:rsidRPr="00E14102" w:rsidRDefault="008F43A8" w:rsidP="00E14102">
            <w:pPr>
              <w:jc w:val="both"/>
              <w:rPr>
                <w:color w:val="000000" w:themeColor="text1"/>
                <w:sz w:val="16"/>
                <w:szCs w:val="16"/>
              </w:rPr>
            </w:pPr>
            <w:r w:rsidRPr="00E14102">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93288" w14:textId="77777777" w:rsidR="008F43A8" w:rsidRPr="00E14102" w:rsidRDefault="008F43A8" w:rsidP="00E14102">
            <w:pPr>
              <w:jc w:val="both"/>
              <w:rPr>
                <w:color w:val="000000" w:themeColor="text1"/>
                <w:sz w:val="16"/>
                <w:szCs w:val="16"/>
              </w:rPr>
            </w:pPr>
            <w:r w:rsidRPr="00E14102">
              <w:rPr>
                <w:color w:val="000000" w:themeColor="text1"/>
                <w:sz w:val="16"/>
                <w:szCs w:val="16"/>
              </w:rPr>
              <w:t>3660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4536A" w14:textId="77777777" w:rsidR="008F43A8" w:rsidRPr="00E14102" w:rsidRDefault="008F43A8" w:rsidP="00E14102">
            <w:pPr>
              <w:jc w:val="both"/>
              <w:rPr>
                <w:color w:val="000000" w:themeColor="text1"/>
                <w:sz w:val="16"/>
                <w:szCs w:val="16"/>
              </w:rPr>
            </w:pPr>
            <w:r w:rsidRPr="00E14102">
              <w:rPr>
                <w:color w:val="000000" w:themeColor="text1"/>
                <w:sz w:val="16"/>
                <w:szCs w:val="16"/>
              </w:rPr>
              <w:t>3565</w:t>
            </w:r>
          </w:p>
        </w:tc>
      </w:tr>
    </w:tbl>
    <w:p w14:paraId="5BF21C5C"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VI. Винтовки и пулеметы</w:t>
      </w:r>
    </w:p>
    <w:p w14:paraId="7236DD92"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а) Винтовки: заказ на 1934 г. — 300 тыс. шт., сдано за год — 303 тыс. шт.</w:t>
      </w:r>
    </w:p>
    <w:p w14:paraId="3DDF1650"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б) Пулеметы: заказ на 1934 г. — 23 763 шт., сдано за год — 29 226 шт.</w:t>
      </w:r>
    </w:p>
    <w:p w14:paraId="3267C0AC"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в) По пулемету ШКАС: заказ на 1934 г. — 2687 шт., сдано за год — 2478 шт. По автоматической винтовке Симонова программа 1934 г. Ижевским заводом не выполнена. Заказ на 1934 г. — 2020 шт., выполнено — 106 шт. В 1934 г. проходила конструктивная доработка и технологическая разработка автоматической винтовки. Ввиду сложности работы, завод в 1934 г. с ней не справился.</w:t>
      </w:r>
    </w:p>
    <w:p w14:paraId="51575682"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Ковровский завод в 1934 г. не выполнил программу по пулемету ШВАК — калибр 12,7 мм. Заказ на 1934 г. — 103 шт., сдано за год — 9 шт. С помощью т. Шпитального опытный образец этого пулемета удалось отладить только в сентябре-октябре.</w:t>
      </w:r>
    </w:p>
    <w:p w14:paraId="1E9E92C5"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VII. Торпеды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86"/>
        <w:gridCol w:w="3495"/>
        <w:gridCol w:w="2342"/>
      </w:tblGrid>
      <w:tr w:rsidR="00E3599D" w:rsidRPr="00E14102" w14:paraId="5512D91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71455D" w14:textId="77777777" w:rsidR="008F43A8" w:rsidRPr="00E14102" w:rsidRDefault="008F43A8"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EEAA9" w14:textId="77777777" w:rsidR="008F43A8" w:rsidRPr="00E14102" w:rsidRDefault="008F43A8" w:rsidP="00E14102">
            <w:pPr>
              <w:jc w:val="both"/>
              <w:rPr>
                <w:color w:val="000000" w:themeColor="text1"/>
                <w:sz w:val="16"/>
                <w:szCs w:val="16"/>
              </w:rPr>
            </w:pPr>
            <w:r w:rsidRPr="00E14102">
              <w:rPr>
                <w:color w:val="000000" w:themeColor="text1"/>
                <w:sz w:val="16"/>
                <w:szCs w:val="16"/>
              </w:rPr>
              <w:t>Годовой заказ на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D221F" w14:textId="77777777" w:rsidR="008F43A8" w:rsidRPr="00E14102" w:rsidRDefault="008F43A8" w:rsidP="00E14102">
            <w:pPr>
              <w:jc w:val="both"/>
              <w:rPr>
                <w:color w:val="000000" w:themeColor="text1"/>
                <w:sz w:val="16"/>
                <w:szCs w:val="16"/>
              </w:rPr>
            </w:pPr>
            <w:r w:rsidRPr="00E14102">
              <w:rPr>
                <w:color w:val="000000" w:themeColor="text1"/>
                <w:sz w:val="16"/>
                <w:szCs w:val="16"/>
              </w:rPr>
              <w:t>Сдано за 1934 г.</w:t>
            </w:r>
          </w:p>
        </w:tc>
      </w:tr>
      <w:tr w:rsidR="00E3599D" w:rsidRPr="00E14102" w14:paraId="4A5102E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1F8C1E" w14:textId="77777777" w:rsidR="008F43A8" w:rsidRPr="00E14102" w:rsidRDefault="008F43A8" w:rsidP="00E14102">
            <w:pPr>
              <w:jc w:val="both"/>
              <w:rPr>
                <w:color w:val="000000" w:themeColor="text1"/>
                <w:sz w:val="16"/>
                <w:szCs w:val="16"/>
              </w:rPr>
            </w:pPr>
            <w:r w:rsidRPr="00E14102">
              <w:rPr>
                <w:color w:val="000000" w:themeColor="text1"/>
                <w:sz w:val="16"/>
                <w:szCs w:val="16"/>
              </w:rPr>
              <w:t>Изготовление на заводе «Двигатель»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F344B" w14:textId="77777777" w:rsidR="008F43A8" w:rsidRPr="00E14102" w:rsidRDefault="008F43A8" w:rsidP="00E14102">
            <w:pPr>
              <w:jc w:val="both"/>
              <w:rPr>
                <w:color w:val="000000" w:themeColor="text1"/>
                <w:sz w:val="16"/>
                <w:szCs w:val="16"/>
              </w:rPr>
            </w:pPr>
            <w:r w:rsidRPr="00E14102">
              <w:rPr>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5C91B" w14:textId="77777777" w:rsidR="008F43A8" w:rsidRPr="00E14102" w:rsidRDefault="008F43A8" w:rsidP="00E14102">
            <w:pPr>
              <w:jc w:val="both"/>
              <w:rPr>
                <w:color w:val="000000" w:themeColor="text1"/>
                <w:sz w:val="16"/>
                <w:szCs w:val="16"/>
              </w:rPr>
            </w:pPr>
            <w:r w:rsidRPr="00E14102">
              <w:rPr>
                <w:color w:val="000000" w:themeColor="text1"/>
                <w:sz w:val="16"/>
                <w:szCs w:val="16"/>
              </w:rPr>
              <w:t>850</w:t>
            </w:r>
          </w:p>
        </w:tc>
      </w:tr>
      <w:tr w:rsidR="00E3599D" w:rsidRPr="00E14102" w14:paraId="761D3DC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EA0A14" w14:textId="77777777" w:rsidR="008F43A8" w:rsidRPr="00E14102" w:rsidRDefault="008F43A8" w:rsidP="00E14102">
            <w:pPr>
              <w:jc w:val="both"/>
              <w:rPr>
                <w:color w:val="000000" w:themeColor="text1"/>
                <w:sz w:val="16"/>
                <w:szCs w:val="16"/>
              </w:rPr>
            </w:pPr>
            <w:r w:rsidRPr="00E14102">
              <w:rPr>
                <w:color w:val="000000" w:themeColor="text1"/>
                <w:sz w:val="16"/>
                <w:szCs w:val="16"/>
              </w:rPr>
              <w:t>Пристрелка на Феодосийской станции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15BC9" w14:textId="77777777" w:rsidR="008F43A8" w:rsidRPr="00E14102" w:rsidRDefault="008F43A8" w:rsidP="00E14102">
            <w:pPr>
              <w:jc w:val="both"/>
              <w:rPr>
                <w:color w:val="000000" w:themeColor="text1"/>
                <w:sz w:val="16"/>
                <w:szCs w:val="16"/>
              </w:rPr>
            </w:pPr>
            <w:r w:rsidRPr="00E14102">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B028A" w14:textId="77777777" w:rsidR="008F43A8" w:rsidRPr="00E14102" w:rsidRDefault="008F43A8" w:rsidP="00E14102">
            <w:pPr>
              <w:jc w:val="both"/>
              <w:rPr>
                <w:color w:val="000000" w:themeColor="text1"/>
                <w:sz w:val="16"/>
                <w:szCs w:val="16"/>
              </w:rPr>
            </w:pPr>
            <w:r w:rsidRPr="00E14102">
              <w:rPr>
                <w:color w:val="000000" w:themeColor="text1"/>
                <w:sz w:val="16"/>
                <w:szCs w:val="16"/>
              </w:rPr>
              <w:t>618</w:t>
            </w:r>
          </w:p>
        </w:tc>
      </w:tr>
      <w:tr w:rsidR="00E3599D" w:rsidRPr="00E14102" w14:paraId="50C0111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D7C65F" w14:textId="77777777" w:rsidR="008F43A8" w:rsidRPr="00E14102" w:rsidRDefault="008F43A8" w:rsidP="00E14102">
            <w:pPr>
              <w:jc w:val="both"/>
              <w:rPr>
                <w:color w:val="000000" w:themeColor="text1"/>
                <w:sz w:val="16"/>
                <w:szCs w:val="16"/>
              </w:rPr>
            </w:pPr>
            <w:r w:rsidRPr="00E14102">
              <w:rPr>
                <w:color w:val="000000" w:themeColor="text1"/>
                <w:sz w:val="16"/>
                <w:szCs w:val="16"/>
              </w:rPr>
              <w:t>Сдача после пристрелки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204A7" w14:textId="77777777" w:rsidR="008F43A8" w:rsidRPr="00E14102" w:rsidRDefault="008F43A8" w:rsidP="00E14102">
            <w:pPr>
              <w:jc w:val="both"/>
              <w:rPr>
                <w:color w:val="000000" w:themeColor="text1"/>
                <w:sz w:val="16"/>
                <w:szCs w:val="16"/>
              </w:rPr>
            </w:pPr>
            <w:r w:rsidRPr="00E14102">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941D9" w14:textId="77777777" w:rsidR="008F43A8" w:rsidRPr="00E14102" w:rsidRDefault="008F43A8" w:rsidP="00E14102">
            <w:pPr>
              <w:jc w:val="both"/>
              <w:rPr>
                <w:color w:val="000000" w:themeColor="text1"/>
                <w:sz w:val="16"/>
                <w:szCs w:val="16"/>
              </w:rPr>
            </w:pPr>
            <w:r w:rsidRPr="00E14102">
              <w:rPr>
                <w:color w:val="000000" w:themeColor="text1"/>
                <w:sz w:val="16"/>
                <w:szCs w:val="16"/>
              </w:rPr>
              <w:t>596</w:t>
            </w:r>
          </w:p>
        </w:tc>
      </w:tr>
    </w:tbl>
    <w:p w14:paraId="735CE22B" w14:textId="77777777" w:rsidR="008F43A8" w:rsidRPr="00E14102" w:rsidRDefault="008F43A8" w:rsidP="00E14102">
      <w:pPr>
        <w:jc w:val="both"/>
        <w:rPr>
          <w:color w:val="000000" w:themeColor="text1"/>
          <w:sz w:val="16"/>
          <w:szCs w:val="16"/>
        </w:rPr>
      </w:pPr>
      <w:r w:rsidRPr="00E14102">
        <w:rPr>
          <w:color w:val="000000" w:themeColor="text1"/>
          <w:sz w:val="16"/>
          <w:szCs w:val="16"/>
        </w:rPr>
        <w:t>VIII. Взрыватели</w:t>
      </w:r>
    </w:p>
    <w:p w14:paraId="4D5D6FA6" w14:textId="77777777" w:rsidR="008F43A8" w:rsidRPr="00E14102" w:rsidRDefault="008F43A8" w:rsidP="00E14102">
      <w:pPr>
        <w:jc w:val="both"/>
        <w:rPr>
          <w:color w:val="000000" w:themeColor="text1"/>
          <w:sz w:val="16"/>
          <w:szCs w:val="16"/>
        </w:rPr>
      </w:pPr>
      <w:r w:rsidRPr="00E14102">
        <w:rPr>
          <w:color w:val="000000" w:themeColor="text1"/>
          <w:sz w:val="16"/>
          <w:szCs w:val="16"/>
        </w:rPr>
        <w:t>Годовой заказ — 5530 тыс. шт. Сдано за год — 5037 тыс. шт. Кроме того 546 тыс. шт. взрывателей собраны и снаряжены, но не отстреляны.</w:t>
      </w:r>
    </w:p>
    <w:p w14:paraId="14912007" w14:textId="77777777" w:rsidR="008F43A8" w:rsidRPr="00E14102" w:rsidRDefault="008F43A8" w:rsidP="00E14102">
      <w:pPr>
        <w:jc w:val="both"/>
        <w:rPr>
          <w:color w:val="000000" w:themeColor="text1"/>
          <w:sz w:val="16"/>
          <w:szCs w:val="16"/>
        </w:rPr>
      </w:pPr>
      <w:r w:rsidRPr="00E14102">
        <w:rPr>
          <w:color w:val="000000" w:themeColor="text1"/>
          <w:sz w:val="16"/>
          <w:szCs w:val="16"/>
        </w:rPr>
        <w:t>IX. Трубки</w:t>
      </w:r>
    </w:p>
    <w:p w14:paraId="1E867587" w14:textId="77777777" w:rsidR="008F43A8" w:rsidRPr="00E14102" w:rsidRDefault="008F43A8" w:rsidP="00E14102">
      <w:pPr>
        <w:jc w:val="both"/>
        <w:rPr>
          <w:color w:val="000000" w:themeColor="text1"/>
          <w:sz w:val="16"/>
          <w:szCs w:val="16"/>
        </w:rPr>
      </w:pPr>
      <w:r w:rsidRPr="00E14102">
        <w:rPr>
          <w:color w:val="000000" w:themeColor="text1"/>
          <w:sz w:val="16"/>
          <w:szCs w:val="16"/>
        </w:rPr>
        <w:t>Годовой заказ — 505 тыс. шт. Сдано за год — 625 тыс. шт.</w:t>
      </w:r>
    </w:p>
    <w:p w14:paraId="27576C60" w14:textId="77777777" w:rsidR="008F43A8" w:rsidRPr="00E14102" w:rsidRDefault="008F43A8" w:rsidP="00E14102">
      <w:pPr>
        <w:jc w:val="both"/>
        <w:rPr>
          <w:color w:val="000000" w:themeColor="text1"/>
          <w:sz w:val="16"/>
          <w:szCs w:val="16"/>
        </w:rPr>
      </w:pPr>
      <w:r w:rsidRPr="00E14102">
        <w:rPr>
          <w:color w:val="000000" w:themeColor="text1"/>
          <w:sz w:val="16"/>
          <w:szCs w:val="16"/>
        </w:rPr>
        <w:t>X. Гильзы и винтпатроны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84"/>
        <w:gridCol w:w="3616"/>
        <w:gridCol w:w="2423"/>
      </w:tblGrid>
      <w:tr w:rsidR="00E3599D" w:rsidRPr="00E14102" w14:paraId="015187F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E5586B" w14:textId="77777777" w:rsidR="008F43A8" w:rsidRPr="00E14102" w:rsidRDefault="008F43A8" w:rsidP="00E14102">
            <w:pPr>
              <w:jc w:val="both"/>
              <w:rPr>
                <w:color w:val="000000" w:themeColor="text1"/>
                <w:sz w:val="16"/>
                <w:szCs w:val="16"/>
              </w:rPr>
            </w:pPr>
            <w:r w:rsidRPr="00E14102">
              <w:rPr>
                <w:color w:val="000000" w:themeColor="text1"/>
                <w:sz w:val="16"/>
                <w:szCs w:val="16"/>
              </w:rPr>
              <w:t>Номенклатура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DEDE3" w14:textId="77777777" w:rsidR="008F43A8" w:rsidRPr="00E14102" w:rsidRDefault="008F43A8" w:rsidP="00E14102">
            <w:pPr>
              <w:jc w:val="both"/>
              <w:rPr>
                <w:color w:val="000000" w:themeColor="text1"/>
                <w:sz w:val="16"/>
                <w:szCs w:val="16"/>
              </w:rPr>
            </w:pPr>
            <w:r w:rsidRPr="00E14102">
              <w:rPr>
                <w:color w:val="000000" w:themeColor="text1"/>
                <w:sz w:val="16"/>
                <w:szCs w:val="16"/>
              </w:rPr>
              <w:t>Годовой заказ на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C28AF" w14:textId="77777777" w:rsidR="008F43A8" w:rsidRPr="00E14102" w:rsidRDefault="008F43A8" w:rsidP="00E14102">
            <w:pPr>
              <w:jc w:val="both"/>
              <w:rPr>
                <w:color w:val="000000" w:themeColor="text1"/>
                <w:sz w:val="16"/>
                <w:szCs w:val="16"/>
              </w:rPr>
            </w:pPr>
            <w:r w:rsidRPr="00E14102">
              <w:rPr>
                <w:color w:val="000000" w:themeColor="text1"/>
                <w:sz w:val="16"/>
                <w:szCs w:val="16"/>
              </w:rPr>
              <w:t>Сдано за 1934 г.</w:t>
            </w:r>
          </w:p>
        </w:tc>
      </w:tr>
      <w:tr w:rsidR="00E3599D" w:rsidRPr="00E14102" w14:paraId="621A567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D8A4CE" w14:textId="77777777" w:rsidR="008F43A8" w:rsidRPr="00E14102" w:rsidRDefault="008F43A8" w:rsidP="00E14102">
            <w:pPr>
              <w:jc w:val="both"/>
              <w:rPr>
                <w:color w:val="000000" w:themeColor="text1"/>
                <w:sz w:val="16"/>
                <w:szCs w:val="16"/>
              </w:rPr>
            </w:pPr>
            <w:r w:rsidRPr="00E14102">
              <w:rPr>
                <w:color w:val="000000" w:themeColor="text1"/>
                <w:sz w:val="16"/>
                <w:szCs w:val="16"/>
              </w:rPr>
              <w:t>7,62</w:t>
            </w:r>
            <w:r w:rsidRPr="00E14102">
              <w:rPr>
                <w:color w:val="000000" w:themeColor="text1"/>
                <w:sz w:val="16"/>
                <w:szCs w:val="16"/>
              </w:rPr>
              <w:noBreakHyphen/>
              <w:t>мм винтпатроны и ревпатроны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74988" w14:textId="77777777" w:rsidR="008F43A8" w:rsidRPr="00E14102" w:rsidRDefault="008F43A8" w:rsidP="00E14102">
            <w:pPr>
              <w:jc w:val="both"/>
              <w:rPr>
                <w:color w:val="000000" w:themeColor="text1"/>
                <w:sz w:val="16"/>
                <w:szCs w:val="16"/>
              </w:rPr>
            </w:pPr>
            <w:r w:rsidRPr="00E14102">
              <w:rPr>
                <w:color w:val="000000" w:themeColor="text1"/>
                <w:sz w:val="16"/>
                <w:szCs w:val="16"/>
              </w:rPr>
              <w:t>417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CAB74" w14:textId="77777777" w:rsidR="008F43A8" w:rsidRPr="00E14102" w:rsidRDefault="008F43A8" w:rsidP="00E14102">
            <w:pPr>
              <w:jc w:val="both"/>
              <w:rPr>
                <w:color w:val="000000" w:themeColor="text1"/>
                <w:sz w:val="16"/>
                <w:szCs w:val="16"/>
              </w:rPr>
            </w:pPr>
            <w:r w:rsidRPr="00E14102">
              <w:rPr>
                <w:color w:val="000000" w:themeColor="text1"/>
                <w:sz w:val="16"/>
                <w:szCs w:val="16"/>
              </w:rPr>
              <w:t>306 млн.</w:t>
            </w:r>
          </w:p>
        </w:tc>
      </w:tr>
      <w:tr w:rsidR="00E3599D" w:rsidRPr="00E14102" w14:paraId="67F6D4E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7338B8" w14:textId="77777777" w:rsidR="008F43A8" w:rsidRPr="00E14102" w:rsidRDefault="008F43A8" w:rsidP="00E14102">
            <w:pPr>
              <w:jc w:val="both"/>
              <w:rPr>
                <w:color w:val="000000" w:themeColor="text1"/>
                <w:sz w:val="16"/>
                <w:szCs w:val="16"/>
              </w:rPr>
            </w:pPr>
            <w:r w:rsidRPr="00E14102">
              <w:rPr>
                <w:color w:val="000000" w:themeColor="text1"/>
                <w:sz w:val="16"/>
                <w:szCs w:val="16"/>
              </w:rPr>
              <w:t>Орудийные гильзы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3B480" w14:textId="77777777" w:rsidR="008F43A8" w:rsidRPr="00E14102" w:rsidRDefault="008F43A8" w:rsidP="00E14102">
            <w:pPr>
              <w:jc w:val="both"/>
              <w:rPr>
                <w:color w:val="000000" w:themeColor="text1"/>
                <w:sz w:val="16"/>
                <w:szCs w:val="16"/>
              </w:rPr>
            </w:pPr>
            <w:r w:rsidRPr="00E14102">
              <w:rPr>
                <w:color w:val="000000" w:themeColor="text1"/>
                <w:sz w:val="16"/>
                <w:szCs w:val="16"/>
              </w:rPr>
              <w:t>2,083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05B2E" w14:textId="77777777" w:rsidR="008F43A8" w:rsidRPr="00E14102" w:rsidRDefault="008F43A8" w:rsidP="00E14102">
            <w:pPr>
              <w:jc w:val="both"/>
              <w:rPr>
                <w:color w:val="000000" w:themeColor="text1"/>
                <w:sz w:val="16"/>
                <w:szCs w:val="16"/>
              </w:rPr>
            </w:pPr>
            <w:r w:rsidRPr="00E14102">
              <w:rPr>
                <w:color w:val="000000" w:themeColor="text1"/>
                <w:sz w:val="16"/>
                <w:szCs w:val="16"/>
              </w:rPr>
              <w:t>1,308 тыс.</w:t>
            </w:r>
          </w:p>
        </w:tc>
      </w:tr>
    </w:tbl>
    <w:p w14:paraId="03521F39"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Невыполнение заказа по гильзам и винтпатронам объясняется недоснабжением заводов цветным металлом.</w:t>
      </w:r>
    </w:p>
    <w:p w14:paraId="008492DF" w14:textId="77777777" w:rsidR="008F43A8" w:rsidRPr="00E14102" w:rsidRDefault="008F43A8" w:rsidP="00E14102">
      <w:pPr>
        <w:jc w:val="both"/>
        <w:rPr>
          <w:color w:val="000000" w:themeColor="text1"/>
          <w:sz w:val="16"/>
          <w:szCs w:val="16"/>
        </w:rPr>
      </w:pPr>
      <w:r w:rsidRPr="00E14102">
        <w:rPr>
          <w:color w:val="000000" w:themeColor="text1"/>
          <w:sz w:val="16"/>
          <w:szCs w:val="16"/>
        </w:rPr>
        <w:t>XI. Снаряды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811"/>
        <w:gridCol w:w="2103"/>
        <w:gridCol w:w="1409"/>
      </w:tblGrid>
      <w:tr w:rsidR="00E3599D" w:rsidRPr="00E14102" w14:paraId="53F959A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031B39" w14:textId="77777777" w:rsidR="008F43A8" w:rsidRPr="00E14102" w:rsidRDefault="008F43A8" w:rsidP="00E14102">
            <w:pPr>
              <w:jc w:val="both"/>
              <w:rPr>
                <w:color w:val="000000" w:themeColor="text1"/>
                <w:sz w:val="16"/>
                <w:szCs w:val="16"/>
              </w:rPr>
            </w:pPr>
            <w:r w:rsidRPr="00E14102">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862F9" w14:textId="77777777" w:rsidR="008F43A8" w:rsidRPr="00E14102" w:rsidRDefault="008F43A8" w:rsidP="00E14102">
            <w:pPr>
              <w:jc w:val="both"/>
              <w:rPr>
                <w:color w:val="000000" w:themeColor="text1"/>
                <w:sz w:val="16"/>
                <w:szCs w:val="16"/>
              </w:rPr>
            </w:pPr>
            <w:r w:rsidRPr="00E14102">
              <w:rPr>
                <w:color w:val="000000" w:themeColor="text1"/>
                <w:sz w:val="16"/>
                <w:szCs w:val="16"/>
              </w:rPr>
              <w:t>Годовой заказ на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9A847" w14:textId="77777777" w:rsidR="008F43A8" w:rsidRPr="00E14102" w:rsidRDefault="008F43A8" w:rsidP="00E14102">
            <w:pPr>
              <w:jc w:val="both"/>
              <w:rPr>
                <w:color w:val="000000" w:themeColor="text1"/>
                <w:sz w:val="16"/>
                <w:szCs w:val="16"/>
              </w:rPr>
            </w:pPr>
            <w:r w:rsidRPr="00E14102">
              <w:rPr>
                <w:color w:val="000000" w:themeColor="text1"/>
                <w:sz w:val="16"/>
                <w:szCs w:val="16"/>
              </w:rPr>
              <w:t>Сдано за 1934 г.</w:t>
            </w:r>
          </w:p>
        </w:tc>
      </w:tr>
      <w:tr w:rsidR="00E3599D" w:rsidRPr="00E14102" w14:paraId="1640C06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F11571" w14:textId="77777777" w:rsidR="008F43A8" w:rsidRPr="00E14102" w:rsidRDefault="008F43A8" w:rsidP="00E14102">
            <w:pPr>
              <w:jc w:val="both"/>
              <w:rPr>
                <w:color w:val="000000" w:themeColor="text1"/>
                <w:sz w:val="16"/>
                <w:szCs w:val="16"/>
              </w:rPr>
            </w:pPr>
            <w:r w:rsidRPr="00E14102">
              <w:rPr>
                <w:color w:val="000000" w:themeColor="text1"/>
                <w:sz w:val="16"/>
                <w:szCs w:val="16"/>
              </w:rPr>
              <w:t>Всего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0453F" w14:textId="77777777" w:rsidR="008F43A8" w:rsidRPr="00E14102" w:rsidRDefault="008F43A8" w:rsidP="00E14102">
            <w:pPr>
              <w:jc w:val="both"/>
              <w:rPr>
                <w:color w:val="000000" w:themeColor="text1"/>
                <w:sz w:val="16"/>
                <w:szCs w:val="16"/>
              </w:rPr>
            </w:pPr>
            <w:r w:rsidRPr="00E14102">
              <w:rPr>
                <w:color w:val="000000" w:themeColor="text1"/>
                <w:sz w:val="16"/>
                <w:szCs w:val="16"/>
              </w:rPr>
              <w:t>3 618 650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D80BE" w14:textId="77777777" w:rsidR="008F43A8" w:rsidRPr="00E14102" w:rsidRDefault="008F43A8" w:rsidP="00E14102">
            <w:pPr>
              <w:jc w:val="both"/>
              <w:rPr>
                <w:color w:val="000000" w:themeColor="text1"/>
                <w:sz w:val="16"/>
                <w:szCs w:val="16"/>
              </w:rPr>
            </w:pPr>
            <w:r w:rsidRPr="00E14102">
              <w:rPr>
                <w:color w:val="000000" w:themeColor="text1"/>
                <w:sz w:val="16"/>
                <w:szCs w:val="16"/>
              </w:rPr>
              <w:t>2 660 401</w:t>
            </w:r>
          </w:p>
        </w:tc>
      </w:tr>
      <w:tr w:rsidR="00E3599D" w:rsidRPr="00E14102" w14:paraId="03A86B5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2319C5" w14:textId="77777777" w:rsidR="008F43A8" w:rsidRPr="00E14102" w:rsidRDefault="008F43A8" w:rsidP="00E14102">
            <w:pPr>
              <w:jc w:val="both"/>
              <w:rPr>
                <w:color w:val="000000" w:themeColor="text1"/>
                <w:sz w:val="16"/>
                <w:szCs w:val="16"/>
              </w:rPr>
            </w:pPr>
            <w:r w:rsidRPr="00E14102">
              <w:rPr>
                <w:color w:val="000000" w:themeColor="text1"/>
                <w:sz w:val="16"/>
                <w:szCs w:val="16"/>
              </w:rPr>
              <w:lastRenderedPageBreak/>
              <w:t>Мелкокалиберных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0844A" w14:textId="77777777" w:rsidR="008F43A8" w:rsidRPr="00E14102" w:rsidRDefault="008F43A8" w:rsidP="00E14102">
            <w:pPr>
              <w:jc w:val="both"/>
              <w:rPr>
                <w:color w:val="000000" w:themeColor="text1"/>
                <w:sz w:val="16"/>
                <w:szCs w:val="16"/>
              </w:rPr>
            </w:pPr>
            <w:r w:rsidRPr="00E14102">
              <w:rPr>
                <w:color w:val="000000" w:themeColor="text1"/>
                <w:sz w:val="16"/>
                <w:szCs w:val="16"/>
              </w:rPr>
              <w:t>2 070 000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FF009" w14:textId="77777777" w:rsidR="008F43A8" w:rsidRPr="00E14102" w:rsidRDefault="008F43A8" w:rsidP="00E14102">
            <w:pPr>
              <w:jc w:val="both"/>
              <w:rPr>
                <w:color w:val="000000" w:themeColor="text1"/>
                <w:sz w:val="16"/>
                <w:szCs w:val="16"/>
              </w:rPr>
            </w:pPr>
            <w:r w:rsidRPr="00E14102">
              <w:rPr>
                <w:color w:val="000000" w:themeColor="text1"/>
                <w:sz w:val="16"/>
                <w:szCs w:val="16"/>
              </w:rPr>
              <w:t>1 524 000</w:t>
            </w:r>
          </w:p>
        </w:tc>
      </w:tr>
      <w:tr w:rsidR="00E3599D" w:rsidRPr="00E14102" w14:paraId="474CE70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2B2C9E" w14:textId="77777777" w:rsidR="008F43A8" w:rsidRPr="00E14102" w:rsidRDefault="008F43A8" w:rsidP="00E14102">
            <w:pPr>
              <w:jc w:val="both"/>
              <w:rPr>
                <w:color w:val="000000" w:themeColor="text1"/>
                <w:sz w:val="16"/>
                <w:szCs w:val="16"/>
              </w:rPr>
            </w:pPr>
            <w:r w:rsidRPr="00E14102">
              <w:rPr>
                <w:color w:val="000000" w:themeColor="text1"/>
                <w:sz w:val="16"/>
                <w:szCs w:val="16"/>
              </w:rPr>
              <w:t>Средних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B89D4" w14:textId="77777777" w:rsidR="008F43A8" w:rsidRPr="00E14102" w:rsidRDefault="008F43A8" w:rsidP="00E14102">
            <w:pPr>
              <w:jc w:val="both"/>
              <w:rPr>
                <w:color w:val="000000" w:themeColor="text1"/>
                <w:sz w:val="16"/>
                <w:szCs w:val="16"/>
              </w:rPr>
            </w:pPr>
            <w:r w:rsidRPr="00E14102">
              <w:rPr>
                <w:color w:val="000000" w:themeColor="text1"/>
                <w:sz w:val="16"/>
                <w:szCs w:val="16"/>
              </w:rPr>
              <w:t>951 850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38186" w14:textId="77777777" w:rsidR="008F43A8" w:rsidRPr="00E14102" w:rsidRDefault="008F43A8" w:rsidP="00E14102">
            <w:pPr>
              <w:jc w:val="both"/>
              <w:rPr>
                <w:color w:val="000000" w:themeColor="text1"/>
                <w:sz w:val="16"/>
                <w:szCs w:val="16"/>
              </w:rPr>
            </w:pPr>
            <w:r w:rsidRPr="00E14102">
              <w:rPr>
                <w:color w:val="000000" w:themeColor="text1"/>
                <w:sz w:val="16"/>
                <w:szCs w:val="16"/>
              </w:rPr>
              <w:t>704 079</w:t>
            </w:r>
          </w:p>
        </w:tc>
      </w:tr>
      <w:tr w:rsidR="00E3599D" w:rsidRPr="00E14102" w14:paraId="679DB9B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476F86" w14:textId="77777777" w:rsidR="008F43A8" w:rsidRPr="00E14102" w:rsidRDefault="008F43A8" w:rsidP="00E14102">
            <w:pPr>
              <w:jc w:val="both"/>
              <w:rPr>
                <w:color w:val="000000" w:themeColor="text1"/>
                <w:sz w:val="16"/>
                <w:szCs w:val="16"/>
              </w:rPr>
            </w:pPr>
            <w:r w:rsidRPr="00E14102">
              <w:rPr>
                <w:color w:val="000000" w:themeColor="text1"/>
                <w:sz w:val="16"/>
                <w:szCs w:val="16"/>
              </w:rPr>
              <w:t>Крупных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E572D" w14:textId="77777777" w:rsidR="008F43A8" w:rsidRPr="00E14102" w:rsidRDefault="008F43A8" w:rsidP="00E14102">
            <w:pPr>
              <w:jc w:val="both"/>
              <w:rPr>
                <w:color w:val="000000" w:themeColor="text1"/>
                <w:sz w:val="16"/>
                <w:szCs w:val="16"/>
              </w:rPr>
            </w:pPr>
            <w:r w:rsidRPr="00E14102">
              <w:rPr>
                <w:color w:val="000000" w:themeColor="text1"/>
                <w:sz w:val="16"/>
                <w:szCs w:val="16"/>
              </w:rPr>
              <w:t>61800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3179C" w14:textId="77777777" w:rsidR="008F43A8" w:rsidRPr="00E14102" w:rsidRDefault="008F43A8" w:rsidP="00E14102">
            <w:pPr>
              <w:jc w:val="both"/>
              <w:rPr>
                <w:color w:val="000000" w:themeColor="text1"/>
                <w:sz w:val="16"/>
                <w:szCs w:val="16"/>
              </w:rPr>
            </w:pPr>
            <w:r w:rsidRPr="00E14102">
              <w:rPr>
                <w:color w:val="000000" w:themeColor="text1"/>
                <w:sz w:val="16"/>
                <w:szCs w:val="16"/>
              </w:rPr>
              <w:t>38 747</w:t>
            </w:r>
          </w:p>
        </w:tc>
      </w:tr>
      <w:tr w:rsidR="00E3599D" w:rsidRPr="00E14102" w14:paraId="61120B4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E9F5F3" w14:textId="77777777" w:rsidR="008F43A8" w:rsidRPr="00E14102" w:rsidRDefault="008F43A8" w:rsidP="00E14102">
            <w:pPr>
              <w:jc w:val="both"/>
              <w:rPr>
                <w:color w:val="000000" w:themeColor="text1"/>
                <w:sz w:val="16"/>
                <w:szCs w:val="16"/>
              </w:rPr>
            </w:pPr>
            <w:r w:rsidRPr="00E14102">
              <w:rPr>
                <w:color w:val="000000" w:themeColor="text1"/>
                <w:sz w:val="16"/>
                <w:szCs w:val="16"/>
              </w:rPr>
              <w:t>В том числе суррогатного снаряжения, переснаряжения и доснаряжения: средних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D30A9" w14:textId="77777777" w:rsidR="008F43A8" w:rsidRPr="00E14102" w:rsidRDefault="008F43A8" w:rsidP="00E14102">
            <w:pPr>
              <w:jc w:val="both"/>
              <w:rPr>
                <w:color w:val="000000" w:themeColor="text1"/>
                <w:sz w:val="16"/>
                <w:szCs w:val="16"/>
              </w:rPr>
            </w:pPr>
            <w:r w:rsidRPr="00E14102">
              <w:rPr>
                <w:color w:val="000000" w:themeColor="text1"/>
                <w:sz w:val="16"/>
                <w:szCs w:val="16"/>
              </w:rPr>
              <w:t>51 500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0A4E0" w14:textId="77777777" w:rsidR="008F43A8" w:rsidRPr="00E14102" w:rsidRDefault="008F43A8" w:rsidP="00E14102">
            <w:pPr>
              <w:jc w:val="both"/>
              <w:rPr>
                <w:color w:val="000000" w:themeColor="text1"/>
                <w:sz w:val="16"/>
                <w:szCs w:val="16"/>
              </w:rPr>
            </w:pPr>
            <w:r w:rsidRPr="00E14102">
              <w:rPr>
                <w:color w:val="000000" w:themeColor="text1"/>
                <w:sz w:val="16"/>
                <w:szCs w:val="16"/>
              </w:rPr>
              <w:t>47 948</w:t>
            </w:r>
          </w:p>
        </w:tc>
      </w:tr>
      <w:tr w:rsidR="00E3599D" w:rsidRPr="00E14102" w14:paraId="733C3E0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477DD6" w14:textId="77777777" w:rsidR="008F43A8" w:rsidRPr="00E14102" w:rsidRDefault="008F43A8" w:rsidP="00E14102">
            <w:pPr>
              <w:jc w:val="both"/>
              <w:rPr>
                <w:color w:val="000000" w:themeColor="text1"/>
                <w:sz w:val="16"/>
                <w:szCs w:val="16"/>
              </w:rPr>
            </w:pPr>
            <w:r w:rsidRPr="00E14102">
              <w:rPr>
                <w:color w:val="000000" w:themeColor="text1"/>
                <w:sz w:val="16"/>
                <w:szCs w:val="16"/>
              </w:rPr>
              <w:t>Тяжелых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32275" w14:textId="77777777" w:rsidR="008F43A8" w:rsidRPr="00E14102" w:rsidRDefault="008F43A8" w:rsidP="00E14102">
            <w:pPr>
              <w:jc w:val="both"/>
              <w:rPr>
                <w:color w:val="000000" w:themeColor="text1"/>
                <w:sz w:val="16"/>
                <w:szCs w:val="16"/>
              </w:rPr>
            </w:pPr>
            <w:r w:rsidRPr="00E14102">
              <w:rPr>
                <w:color w:val="000000" w:themeColor="text1"/>
                <w:sz w:val="16"/>
                <w:szCs w:val="16"/>
              </w:rPr>
              <w:t>10 500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DA052" w14:textId="77777777" w:rsidR="008F43A8" w:rsidRPr="00E14102" w:rsidRDefault="008F43A8" w:rsidP="00E14102">
            <w:pPr>
              <w:jc w:val="both"/>
              <w:rPr>
                <w:color w:val="000000" w:themeColor="text1"/>
                <w:sz w:val="16"/>
                <w:szCs w:val="16"/>
              </w:rPr>
            </w:pPr>
            <w:r w:rsidRPr="00E14102">
              <w:rPr>
                <w:color w:val="000000" w:themeColor="text1"/>
                <w:sz w:val="16"/>
                <w:szCs w:val="16"/>
              </w:rPr>
              <w:t>10 049</w:t>
            </w:r>
          </w:p>
        </w:tc>
      </w:tr>
      <w:tr w:rsidR="00E3599D" w:rsidRPr="00E14102" w14:paraId="4D849D5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23B2DB" w14:textId="77777777" w:rsidR="008F43A8" w:rsidRPr="00E14102" w:rsidRDefault="008F43A8" w:rsidP="00E14102">
            <w:pPr>
              <w:jc w:val="both"/>
              <w:rPr>
                <w:color w:val="000000" w:themeColor="text1"/>
                <w:sz w:val="16"/>
                <w:szCs w:val="16"/>
              </w:rPr>
            </w:pPr>
            <w:r w:rsidRPr="00E14102">
              <w:rPr>
                <w:color w:val="000000" w:themeColor="text1"/>
                <w:sz w:val="16"/>
                <w:szCs w:val="16"/>
              </w:rPr>
              <w:t>Зенитных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17D90" w14:textId="77777777" w:rsidR="008F43A8" w:rsidRPr="00E14102" w:rsidRDefault="008F43A8" w:rsidP="00E14102">
            <w:pPr>
              <w:jc w:val="both"/>
              <w:rPr>
                <w:color w:val="000000" w:themeColor="text1"/>
                <w:sz w:val="16"/>
                <w:szCs w:val="16"/>
              </w:rPr>
            </w:pPr>
            <w:r w:rsidRPr="00E14102">
              <w:rPr>
                <w:color w:val="000000" w:themeColor="text1"/>
                <w:sz w:val="16"/>
                <w:szCs w:val="16"/>
              </w:rPr>
              <w:t>215 000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AB668" w14:textId="77777777" w:rsidR="008F43A8" w:rsidRPr="00E14102" w:rsidRDefault="008F43A8" w:rsidP="00E14102">
            <w:pPr>
              <w:jc w:val="both"/>
              <w:rPr>
                <w:color w:val="000000" w:themeColor="text1"/>
                <w:sz w:val="16"/>
                <w:szCs w:val="16"/>
              </w:rPr>
            </w:pPr>
            <w:r w:rsidRPr="00E14102">
              <w:rPr>
                <w:color w:val="000000" w:themeColor="text1"/>
                <w:sz w:val="16"/>
                <w:szCs w:val="16"/>
              </w:rPr>
              <w:t>79 453</w:t>
            </w:r>
          </w:p>
        </w:tc>
      </w:tr>
    </w:tbl>
    <w:p w14:paraId="73958359"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Невыполнение программы по тяжелым морским снарядам (14</w:t>
      </w:r>
      <w:r w:rsidRPr="00E14102">
        <w:rPr>
          <w:color w:val="000000" w:themeColor="text1"/>
          <w:sz w:val="16"/>
          <w:szCs w:val="16"/>
        </w:rPr>
        <w:noBreakHyphen/>
        <w:t>дюймовым и 7,2</w:t>
      </w:r>
      <w:r w:rsidRPr="00E14102">
        <w:rPr>
          <w:color w:val="000000" w:themeColor="text1"/>
          <w:sz w:val="16"/>
          <w:szCs w:val="16"/>
        </w:rPr>
        <w:noBreakHyphen/>
        <w:t>дюймовым) вызвано тем, что до августа 1934 г. нам не удавалось получить образца снаряда, удовлетворяющего требованиям Наркомата обороны. До августа проводились опытные работы. К этой работе были привлечены все лучшие силы как в части конструирования снарядов, так и в части их производства. К концу 1934 г. промышленности удалось получить образцы 14</w:t>
      </w:r>
      <w:r w:rsidRPr="00E14102">
        <w:rPr>
          <w:color w:val="000000" w:themeColor="text1"/>
          <w:sz w:val="16"/>
          <w:szCs w:val="16"/>
        </w:rPr>
        <w:noBreakHyphen/>
        <w:t>дюймовых и 7,2</w:t>
      </w:r>
      <w:r w:rsidRPr="00E14102">
        <w:rPr>
          <w:color w:val="000000" w:themeColor="text1"/>
          <w:sz w:val="16"/>
          <w:szCs w:val="16"/>
        </w:rPr>
        <w:noBreakHyphen/>
        <w:t>дюймовых снарядов, удовлетворяющих Наркомат обороны. Крупную роль в деле конструирования современных тяжелых образцов сыграли: металлург-профессор Минкевич, конструктор Гобар, инженер Георгиев.</w:t>
      </w:r>
    </w:p>
    <w:p w14:paraId="49DCDEA0" w14:textId="77777777" w:rsidR="008F43A8" w:rsidRPr="00E14102" w:rsidRDefault="008F43A8" w:rsidP="00E14102">
      <w:pPr>
        <w:jc w:val="both"/>
        <w:rPr>
          <w:color w:val="000000" w:themeColor="text1"/>
          <w:sz w:val="16"/>
          <w:szCs w:val="16"/>
        </w:rPr>
      </w:pPr>
      <w:r w:rsidRPr="00E14102">
        <w:rPr>
          <w:color w:val="000000" w:themeColor="text1"/>
          <w:sz w:val="16"/>
          <w:szCs w:val="16"/>
        </w:rPr>
        <w:t>XII. Аэробомбы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89"/>
        <w:gridCol w:w="4032"/>
        <w:gridCol w:w="2702"/>
      </w:tblGrid>
      <w:tr w:rsidR="00E3599D" w:rsidRPr="00E14102" w14:paraId="77DCF01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556C2E" w14:textId="77777777" w:rsidR="008F43A8" w:rsidRPr="00E14102" w:rsidRDefault="008F43A8" w:rsidP="00E14102">
            <w:pPr>
              <w:jc w:val="both"/>
              <w:rPr>
                <w:color w:val="000000" w:themeColor="text1"/>
                <w:sz w:val="16"/>
                <w:szCs w:val="16"/>
              </w:rPr>
            </w:pPr>
            <w:r w:rsidRPr="00E14102">
              <w:rPr>
                <w:color w:val="000000" w:themeColor="text1"/>
                <w:sz w:val="16"/>
                <w:szCs w:val="16"/>
              </w:rPr>
              <w:t>Типы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3E233" w14:textId="77777777" w:rsidR="008F43A8" w:rsidRPr="00E14102" w:rsidRDefault="008F43A8" w:rsidP="00E14102">
            <w:pPr>
              <w:jc w:val="both"/>
              <w:rPr>
                <w:color w:val="000000" w:themeColor="text1"/>
                <w:sz w:val="16"/>
                <w:szCs w:val="16"/>
              </w:rPr>
            </w:pPr>
            <w:r w:rsidRPr="00E14102">
              <w:rPr>
                <w:color w:val="000000" w:themeColor="text1"/>
                <w:sz w:val="16"/>
                <w:szCs w:val="16"/>
              </w:rPr>
              <w:t>Годовой заказ на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98EEE" w14:textId="77777777" w:rsidR="008F43A8" w:rsidRPr="00E14102" w:rsidRDefault="008F43A8" w:rsidP="00E14102">
            <w:pPr>
              <w:jc w:val="both"/>
              <w:rPr>
                <w:color w:val="000000" w:themeColor="text1"/>
                <w:sz w:val="16"/>
                <w:szCs w:val="16"/>
              </w:rPr>
            </w:pPr>
            <w:r w:rsidRPr="00E14102">
              <w:rPr>
                <w:color w:val="000000" w:themeColor="text1"/>
                <w:sz w:val="16"/>
                <w:szCs w:val="16"/>
              </w:rPr>
              <w:t>Сдано за 1934 г.</w:t>
            </w:r>
          </w:p>
        </w:tc>
      </w:tr>
      <w:tr w:rsidR="00E3599D" w:rsidRPr="00E14102" w14:paraId="741B679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F47674" w14:textId="77777777" w:rsidR="008F43A8" w:rsidRPr="00E14102" w:rsidRDefault="008F43A8" w:rsidP="00E14102">
            <w:pPr>
              <w:jc w:val="both"/>
              <w:rPr>
                <w:color w:val="000000" w:themeColor="text1"/>
                <w:sz w:val="16"/>
                <w:szCs w:val="16"/>
              </w:rPr>
            </w:pPr>
            <w:r w:rsidRPr="00E14102">
              <w:rPr>
                <w:color w:val="000000" w:themeColor="text1"/>
                <w:sz w:val="16"/>
                <w:szCs w:val="16"/>
              </w:rPr>
              <w:t>Мелкие: от АО</w:t>
            </w:r>
            <w:r w:rsidRPr="00E14102">
              <w:rPr>
                <w:color w:val="000000" w:themeColor="text1"/>
                <w:sz w:val="16"/>
                <w:szCs w:val="16"/>
              </w:rPr>
              <w:noBreakHyphen/>
              <w:t>8 до АФ</w:t>
            </w:r>
            <w:r w:rsidRPr="00E14102">
              <w:rPr>
                <w:color w:val="000000" w:themeColor="text1"/>
                <w:sz w:val="16"/>
                <w:szCs w:val="16"/>
              </w:rPr>
              <w:noBreakHyphen/>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12BF6" w14:textId="77777777" w:rsidR="008F43A8" w:rsidRPr="00E14102" w:rsidRDefault="008F43A8" w:rsidP="00E14102">
            <w:pPr>
              <w:jc w:val="both"/>
              <w:rPr>
                <w:color w:val="000000" w:themeColor="text1"/>
                <w:sz w:val="16"/>
                <w:szCs w:val="16"/>
              </w:rPr>
            </w:pPr>
            <w:r w:rsidRPr="00E14102">
              <w:rPr>
                <w:color w:val="000000" w:themeColor="text1"/>
                <w:sz w:val="16"/>
                <w:szCs w:val="16"/>
              </w:rPr>
              <w:t>288 250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064E4" w14:textId="77777777" w:rsidR="008F43A8" w:rsidRPr="00E14102" w:rsidRDefault="008F43A8" w:rsidP="00E14102">
            <w:pPr>
              <w:jc w:val="both"/>
              <w:rPr>
                <w:color w:val="000000" w:themeColor="text1"/>
                <w:sz w:val="16"/>
                <w:szCs w:val="16"/>
              </w:rPr>
            </w:pPr>
            <w:r w:rsidRPr="00E14102">
              <w:rPr>
                <w:color w:val="000000" w:themeColor="text1"/>
                <w:sz w:val="16"/>
                <w:szCs w:val="16"/>
              </w:rPr>
              <w:t>292 350 шт.</w:t>
            </w:r>
          </w:p>
        </w:tc>
      </w:tr>
      <w:tr w:rsidR="00E3599D" w:rsidRPr="00E14102" w14:paraId="7A1AF40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617035" w14:textId="77777777" w:rsidR="008F43A8" w:rsidRPr="00E14102" w:rsidRDefault="008F43A8" w:rsidP="00E14102">
            <w:pPr>
              <w:jc w:val="both"/>
              <w:rPr>
                <w:color w:val="000000" w:themeColor="text1"/>
                <w:sz w:val="16"/>
                <w:szCs w:val="16"/>
              </w:rPr>
            </w:pPr>
            <w:r w:rsidRPr="00E14102">
              <w:rPr>
                <w:color w:val="000000" w:themeColor="text1"/>
                <w:sz w:val="16"/>
                <w:szCs w:val="16"/>
              </w:rPr>
              <w:t>Тяжелые: АФ-82 и выше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A7A31" w14:textId="77777777" w:rsidR="008F43A8" w:rsidRPr="00E14102" w:rsidRDefault="008F43A8" w:rsidP="00E14102">
            <w:pPr>
              <w:jc w:val="both"/>
              <w:rPr>
                <w:color w:val="000000" w:themeColor="text1"/>
                <w:sz w:val="16"/>
                <w:szCs w:val="16"/>
              </w:rPr>
            </w:pPr>
            <w:r w:rsidRPr="00E14102">
              <w:rPr>
                <w:color w:val="000000" w:themeColor="text1"/>
                <w:sz w:val="16"/>
                <w:szCs w:val="16"/>
              </w:rPr>
              <w:t>31 030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E9AF0" w14:textId="77777777" w:rsidR="008F43A8" w:rsidRPr="00E14102" w:rsidRDefault="008F43A8" w:rsidP="00E14102">
            <w:pPr>
              <w:jc w:val="both"/>
              <w:rPr>
                <w:color w:val="000000" w:themeColor="text1"/>
                <w:sz w:val="16"/>
                <w:szCs w:val="16"/>
              </w:rPr>
            </w:pPr>
            <w:r w:rsidRPr="00E14102">
              <w:rPr>
                <w:color w:val="000000" w:themeColor="text1"/>
                <w:sz w:val="16"/>
                <w:szCs w:val="16"/>
              </w:rPr>
              <w:t>36 496 шт.</w:t>
            </w:r>
          </w:p>
        </w:tc>
      </w:tr>
      <w:tr w:rsidR="00E3599D" w:rsidRPr="00E14102" w14:paraId="4EF8FF9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10A0B5" w14:textId="77777777" w:rsidR="008F43A8" w:rsidRPr="00E14102" w:rsidRDefault="008F43A8" w:rsidP="00E14102">
            <w:pPr>
              <w:jc w:val="both"/>
              <w:rPr>
                <w:color w:val="000000" w:themeColor="text1"/>
                <w:sz w:val="16"/>
                <w:szCs w:val="16"/>
              </w:rPr>
            </w:pPr>
            <w:r w:rsidRPr="00E14102">
              <w:rPr>
                <w:color w:val="000000" w:themeColor="text1"/>
                <w:sz w:val="16"/>
                <w:szCs w:val="16"/>
              </w:rPr>
              <w:t>Бронебойные:</w:t>
            </w:r>
          </w:p>
          <w:p w14:paraId="53F23CCF" w14:textId="77777777" w:rsidR="008F43A8" w:rsidRPr="00E14102" w:rsidRDefault="008F43A8" w:rsidP="00E14102">
            <w:pPr>
              <w:jc w:val="both"/>
              <w:rPr>
                <w:color w:val="000000" w:themeColor="text1"/>
                <w:sz w:val="16"/>
                <w:szCs w:val="16"/>
              </w:rPr>
            </w:pPr>
            <w:r w:rsidRPr="00E14102">
              <w:rPr>
                <w:color w:val="000000" w:themeColor="text1"/>
                <w:sz w:val="16"/>
                <w:szCs w:val="16"/>
              </w:rPr>
              <w:t>АБР-220</w:t>
            </w:r>
          </w:p>
          <w:p w14:paraId="0F13B130" w14:textId="77777777" w:rsidR="008F43A8" w:rsidRPr="00E14102" w:rsidRDefault="008F43A8" w:rsidP="00E14102">
            <w:pPr>
              <w:jc w:val="both"/>
              <w:rPr>
                <w:color w:val="000000" w:themeColor="text1"/>
                <w:sz w:val="16"/>
                <w:szCs w:val="16"/>
              </w:rPr>
            </w:pPr>
            <w:r w:rsidRPr="00E14102">
              <w:rPr>
                <w:color w:val="000000" w:themeColor="text1"/>
                <w:sz w:val="16"/>
                <w:szCs w:val="16"/>
              </w:rPr>
              <w:t>АБР-500</w:t>
            </w:r>
          </w:p>
          <w:p w14:paraId="018125B4" w14:textId="77777777" w:rsidR="008F43A8" w:rsidRPr="00E14102" w:rsidRDefault="008F43A8" w:rsidP="00E14102">
            <w:pPr>
              <w:jc w:val="both"/>
              <w:rPr>
                <w:color w:val="000000" w:themeColor="text1"/>
                <w:sz w:val="16"/>
                <w:szCs w:val="16"/>
              </w:rPr>
            </w:pPr>
            <w:r w:rsidRPr="00E14102">
              <w:rPr>
                <w:color w:val="000000" w:themeColor="text1"/>
                <w:sz w:val="16"/>
                <w:szCs w:val="16"/>
              </w:rPr>
              <w:t>АБР-1000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024C2" w14:textId="77777777" w:rsidR="008F43A8" w:rsidRPr="00E14102" w:rsidRDefault="008F43A8" w:rsidP="00E14102">
            <w:pPr>
              <w:jc w:val="both"/>
              <w:rPr>
                <w:color w:val="000000" w:themeColor="text1"/>
                <w:sz w:val="16"/>
                <w:szCs w:val="16"/>
              </w:rPr>
            </w:pPr>
            <w:r w:rsidRPr="00E14102">
              <w:rPr>
                <w:color w:val="000000" w:themeColor="text1"/>
                <w:sz w:val="16"/>
                <w:szCs w:val="16"/>
              </w:rPr>
              <w:t>880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F136C" w14:textId="77777777" w:rsidR="008F43A8" w:rsidRPr="00E14102" w:rsidRDefault="008F43A8" w:rsidP="00E14102">
            <w:pPr>
              <w:jc w:val="both"/>
              <w:rPr>
                <w:color w:val="000000" w:themeColor="text1"/>
                <w:sz w:val="16"/>
                <w:szCs w:val="16"/>
              </w:rPr>
            </w:pPr>
            <w:r w:rsidRPr="00E14102">
              <w:rPr>
                <w:color w:val="000000" w:themeColor="text1"/>
                <w:sz w:val="16"/>
                <w:szCs w:val="16"/>
              </w:rPr>
              <w:t>1293 шт.</w:t>
            </w:r>
          </w:p>
        </w:tc>
      </w:tr>
      <w:tr w:rsidR="00E3599D" w:rsidRPr="00E14102" w14:paraId="78AEB8FE"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71DFF4" w14:textId="77777777" w:rsidR="008F43A8" w:rsidRPr="00E14102" w:rsidRDefault="008F43A8" w:rsidP="00E14102">
            <w:pPr>
              <w:jc w:val="both"/>
              <w:rPr>
                <w:color w:val="000000" w:themeColor="text1"/>
                <w:sz w:val="16"/>
                <w:szCs w:val="16"/>
              </w:rPr>
            </w:pPr>
            <w:r w:rsidRPr="00E14102">
              <w:rPr>
                <w:color w:val="000000" w:themeColor="text1"/>
                <w:sz w:val="16"/>
                <w:szCs w:val="16"/>
              </w:rPr>
              <w:t>Специальные и химические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971E6" w14:textId="77777777" w:rsidR="008F43A8" w:rsidRPr="00E14102" w:rsidRDefault="008F43A8" w:rsidP="00E14102">
            <w:pPr>
              <w:jc w:val="both"/>
              <w:rPr>
                <w:color w:val="000000" w:themeColor="text1"/>
                <w:sz w:val="16"/>
                <w:szCs w:val="16"/>
              </w:rPr>
            </w:pPr>
            <w:r w:rsidRPr="00E14102">
              <w:rPr>
                <w:color w:val="000000" w:themeColor="text1"/>
                <w:sz w:val="16"/>
                <w:szCs w:val="16"/>
              </w:rPr>
              <w:t>57 000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371BA" w14:textId="77777777" w:rsidR="008F43A8" w:rsidRPr="00E14102" w:rsidRDefault="008F43A8" w:rsidP="00E14102">
            <w:pPr>
              <w:jc w:val="both"/>
              <w:rPr>
                <w:color w:val="000000" w:themeColor="text1"/>
                <w:sz w:val="16"/>
                <w:szCs w:val="16"/>
              </w:rPr>
            </w:pPr>
            <w:r w:rsidRPr="00E14102">
              <w:rPr>
                <w:color w:val="000000" w:themeColor="text1"/>
                <w:sz w:val="16"/>
                <w:szCs w:val="16"/>
              </w:rPr>
              <w:t>39 000 шт.</w:t>
            </w:r>
          </w:p>
        </w:tc>
      </w:tr>
    </w:tbl>
    <w:p w14:paraId="61FBF2F7"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Недовыполнение по специальным авиабомбам объясняется недостатком импортного металлического магния.</w:t>
      </w:r>
    </w:p>
    <w:p w14:paraId="19A4CFF7" w14:textId="77777777" w:rsidR="008F43A8" w:rsidRPr="00E14102" w:rsidRDefault="008F43A8" w:rsidP="00E14102">
      <w:pPr>
        <w:jc w:val="both"/>
        <w:rPr>
          <w:color w:val="000000" w:themeColor="text1"/>
          <w:sz w:val="16"/>
          <w:szCs w:val="16"/>
        </w:rPr>
      </w:pPr>
      <w:r w:rsidRPr="00E14102">
        <w:rPr>
          <w:color w:val="000000" w:themeColor="text1"/>
          <w:sz w:val="16"/>
          <w:szCs w:val="16"/>
        </w:rPr>
        <w:t>XIII. Пороха и взрывчатые вещества</w:t>
      </w:r>
    </w:p>
    <w:p w14:paraId="62CAEF39" w14:textId="77777777" w:rsidR="008F43A8" w:rsidRPr="00E14102" w:rsidRDefault="008F43A8" w:rsidP="00E14102">
      <w:pPr>
        <w:jc w:val="both"/>
        <w:rPr>
          <w:color w:val="000000" w:themeColor="text1"/>
          <w:sz w:val="16"/>
          <w:szCs w:val="16"/>
        </w:rPr>
      </w:pPr>
      <w:r w:rsidRPr="00E14102">
        <w:rPr>
          <w:color w:val="000000" w:themeColor="text1"/>
          <w:sz w:val="16"/>
          <w:szCs w:val="16"/>
        </w:rPr>
        <w:t>а) Пороха: годовой заказ — 10 197 т, сдано за год — 9072 т.</w:t>
      </w:r>
    </w:p>
    <w:p w14:paraId="1E485C43" w14:textId="77777777" w:rsidR="008F43A8" w:rsidRPr="00E14102" w:rsidRDefault="008F43A8" w:rsidP="00E14102">
      <w:pPr>
        <w:jc w:val="both"/>
        <w:rPr>
          <w:color w:val="000000" w:themeColor="text1"/>
          <w:sz w:val="16"/>
          <w:szCs w:val="16"/>
        </w:rPr>
      </w:pPr>
      <w:r w:rsidRPr="00E14102">
        <w:rPr>
          <w:color w:val="000000" w:themeColor="text1"/>
          <w:sz w:val="16"/>
          <w:szCs w:val="16"/>
        </w:rPr>
        <w:t>б) Взрывчатые вещества: годовой заказ — 20 446 т, сдано за год — 20 896 т.</w:t>
      </w:r>
    </w:p>
    <w:p w14:paraId="59084829" w14:textId="77777777" w:rsidR="008F43A8" w:rsidRPr="00E14102" w:rsidRDefault="008F43A8" w:rsidP="00E14102">
      <w:pPr>
        <w:jc w:val="both"/>
        <w:rPr>
          <w:color w:val="000000" w:themeColor="text1"/>
          <w:sz w:val="16"/>
          <w:szCs w:val="16"/>
        </w:rPr>
      </w:pPr>
      <w:r w:rsidRPr="00E14102">
        <w:rPr>
          <w:color w:val="000000" w:themeColor="text1"/>
          <w:sz w:val="16"/>
          <w:szCs w:val="16"/>
        </w:rPr>
        <w:t>XIV. Оптика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17"/>
        <w:gridCol w:w="3836"/>
        <w:gridCol w:w="2570"/>
      </w:tblGrid>
      <w:tr w:rsidR="00E3599D" w:rsidRPr="00E14102" w14:paraId="4FE641C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C53439" w14:textId="77777777" w:rsidR="008F43A8" w:rsidRPr="00E14102" w:rsidRDefault="008F43A8" w:rsidP="00E14102">
            <w:pPr>
              <w:jc w:val="both"/>
              <w:rPr>
                <w:color w:val="000000" w:themeColor="text1"/>
                <w:sz w:val="16"/>
                <w:szCs w:val="16"/>
              </w:rPr>
            </w:pPr>
            <w:r w:rsidRPr="00E14102">
              <w:rPr>
                <w:color w:val="000000" w:themeColor="text1"/>
                <w:sz w:val="16"/>
                <w:szCs w:val="16"/>
              </w:rPr>
              <w:t>Номенклатура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134B2" w14:textId="77777777" w:rsidR="008F43A8" w:rsidRPr="00E14102" w:rsidRDefault="008F43A8" w:rsidP="00E14102">
            <w:pPr>
              <w:jc w:val="both"/>
              <w:rPr>
                <w:color w:val="000000" w:themeColor="text1"/>
                <w:sz w:val="16"/>
                <w:szCs w:val="16"/>
              </w:rPr>
            </w:pPr>
            <w:r w:rsidRPr="00E14102">
              <w:rPr>
                <w:color w:val="000000" w:themeColor="text1"/>
                <w:sz w:val="16"/>
                <w:szCs w:val="16"/>
              </w:rPr>
              <w:t>Годовой заказ на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F36CD" w14:textId="77777777" w:rsidR="008F43A8" w:rsidRPr="00E14102" w:rsidRDefault="008F43A8" w:rsidP="00E14102">
            <w:pPr>
              <w:jc w:val="both"/>
              <w:rPr>
                <w:color w:val="000000" w:themeColor="text1"/>
                <w:sz w:val="16"/>
                <w:szCs w:val="16"/>
              </w:rPr>
            </w:pPr>
            <w:r w:rsidRPr="00E14102">
              <w:rPr>
                <w:color w:val="000000" w:themeColor="text1"/>
                <w:sz w:val="16"/>
                <w:szCs w:val="16"/>
              </w:rPr>
              <w:t>Сдано за 1934 г.</w:t>
            </w:r>
          </w:p>
        </w:tc>
      </w:tr>
      <w:tr w:rsidR="00E3599D" w:rsidRPr="00E14102" w14:paraId="2EFE344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760C24" w14:textId="77777777" w:rsidR="008F43A8" w:rsidRPr="00E14102" w:rsidRDefault="008F43A8" w:rsidP="00E14102">
            <w:pPr>
              <w:jc w:val="both"/>
              <w:rPr>
                <w:color w:val="000000" w:themeColor="text1"/>
                <w:sz w:val="16"/>
                <w:szCs w:val="16"/>
              </w:rPr>
            </w:pPr>
            <w:r w:rsidRPr="00E14102">
              <w:rPr>
                <w:color w:val="000000" w:themeColor="text1"/>
                <w:sz w:val="16"/>
                <w:szCs w:val="16"/>
              </w:rPr>
              <w:t>Танковые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C984B" w14:textId="77777777" w:rsidR="008F43A8" w:rsidRPr="00E14102" w:rsidRDefault="008F43A8" w:rsidP="00E14102">
            <w:pPr>
              <w:jc w:val="both"/>
              <w:rPr>
                <w:color w:val="000000" w:themeColor="text1"/>
                <w:sz w:val="16"/>
                <w:szCs w:val="16"/>
              </w:rPr>
            </w:pPr>
            <w:r w:rsidRPr="00E14102">
              <w:rPr>
                <w:color w:val="000000" w:themeColor="text1"/>
                <w:sz w:val="16"/>
                <w:szCs w:val="16"/>
              </w:rPr>
              <w:t>3090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B5F92" w14:textId="77777777" w:rsidR="008F43A8" w:rsidRPr="00E14102" w:rsidRDefault="008F43A8" w:rsidP="00E14102">
            <w:pPr>
              <w:jc w:val="both"/>
              <w:rPr>
                <w:color w:val="000000" w:themeColor="text1"/>
                <w:sz w:val="16"/>
                <w:szCs w:val="16"/>
              </w:rPr>
            </w:pPr>
            <w:r w:rsidRPr="00E14102">
              <w:rPr>
                <w:color w:val="000000" w:themeColor="text1"/>
                <w:sz w:val="16"/>
                <w:szCs w:val="16"/>
              </w:rPr>
              <w:t>3639</w:t>
            </w:r>
          </w:p>
        </w:tc>
      </w:tr>
      <w:tr w:rsidR="00E3599D" w:rsidRPr="00E14102" w14:paraId="3CFEAB2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28C2F6" w14:textId="77777777" w:rsidR="008F43A8" w:rsidRPr="00E14102" w:rsidRDefault="008F43A8" w:rsidP="00E14102">
            <w:pPr>
              <w:jc w:val="both"/>
              <w:rPr>
                <w:color w:val="000000" w:themeColor="text1"/>
                <w:sz w:val="16"/>
                <w:szCs w:val="16"/>
              </w:rPr>
            </w:pPr>
            <w:r w:rsidRPr="00E14102">
              <w:rPr>
                <w:color w:val="000000" w:themeColor="text1"/>
                <w:sz w:val="16"/>
                <w:szCs w:val="16"/>
              </w:rPr>
              <w:t>Авиаприцелы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C4D87" w14:textId="77777777" w:rsidR="008F43A8" w:rsidRPr="00E14102" w:rsidRDefault="008F43A8" w:rsidP="00E14102">
            <w:pPr>
              <w:jc w:val="both"/>
              <w:rPr>
                <w:color w:val="000000" w:themeColor="text1"/>
                <w:sz w:val="16"/>
                <w:szCs w:val="16"/>
              </w:rPr>
            </w:pPr>
            <w:r w:rsidRPr="00E14102">
              <w:rPr>
                <w:color w:val="000000" w:themeColor="text1"/>
                <w:sz w:val="16"/>
                <w:szCs w:val="16"/>
              </w:rPr>
              <w:t>3930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71F0A" w14:textId="77777777" w:rsidR="008F43A8" w:rsidRPr="00E14102" w:rsidRDefault="008F43A8" w:rsidP="00E14102">
            <w:pPr>
              <w:jc w:val="both"/>
              <w:rPr>
                <w:color w:val="000000" w:themeColor="text1"/>
                <w:sz w:val="16"/>
                <w:szCs w:val="16"/>
              </w:rPr>
            </w:pPr>
            <w:r w:rsidRPr="00E14102">
              <w:rPr>
                <w:color w:val="000000" w:themeColor="text1"/>
                <w:sz w:val="16"/>
                <w:szCs w:val="16"/>
              </w:rPr>
              <w:t>3723</w:t>
            </w:r>
          </w:p>
        </w:tc>
      </w:tr>
      <w:tr w:rsidR="00E3599D" w:rsidRPr="00E14102" w14:paraId="13EBA0C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F90649" w14:textId="77777777" w:rsidR="008F43A8" w:rsidRPr="00E14102" w:rsidRDefault="008F43A8" w:rsidP="00E14102">
            <w:pPr>
              <w:jc w:val="both"/>
              <w:rPr>
                <w:color w:val="000000" w:themeColor="text1"/>
                <w:sz w:val="16"/>
                <w:szCs w:val="16"/>
              </w:rPr>
            </w:pPr>
            <w:r w:rsidRPr="00E14102">
              <w:rPr>
                <w:color w:val="000000" w:themeColor="text1"/>
                <w:sz w:val="16"/>
                <w:szCs w:val="16"/>
              </w:rPr>
              <w:t>Винтовочные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2CF73" w14:textId="77777777" w:rsidR="008F43A8" w:rsidRPr="00E14102" w:rsidRDefault="008F43A8" w:rsidP="00E14102">
            <w:pPr>
              <w:jc w:val="both"/>
              <w:rPr>
                <w:color w:val="000000" w:themeColor="text1"/>
                <w:sz w:val="16"/>
                <w:szCs w:val="16"/>
              </w:rPr>
            </w:pPr>
            <w:r w:rsidRPr="00E14102">
              <w:rPr>
                <w:color w:val="000000" w:themeColor="text1"/>
                <w:sz w:val="16"/>
                <w:szCs w:val="16"/>
              </w:rPr>
              <w:t>7300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D39B5" w14:textId="77777777" w:rsidR="008F43A8" w:rsidRPr="00E14102" w:rsidRDefault="008F43A8" w:rsidP="00E14102">
            <w:pPr>
              <w:jc w:val="both"/>
              <w:rPr>
                <w:color w:val="000000" w:themeColor="text1"/>
                <w:sz w:val="16"/>
                <w:szCs w:val="16"/>
              </w:rPr>
            </w:pPr>
            <w:r w:rsidRPr="00E14102">
              <w:rPr>
                <w:color w:val="000000" w:themeColor="text1"/>
                <w:sz w:val="16"/>
                <w:szCs w:val="16"/>
              </w:rPr>
              <w:t>7300</w:t>
            </w:r>
          </w:p>
        </w:tc>
      </w:tr>
      <w:tr w:rsidR="00E3599D" w:rsidRPr="00E14102" w14:paraId="526234E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84E6B0" w14:textId="77777777" w:rsidR="008F43A8" w:rsidRPr="00E14102" w:rsidRDefault="008F43A8" w:rsidP="00E14102">
            <w:pPr>
              <w:jc w:val="both"/>
              <w:rPr>
                <w:color w:val="000000" w:themeColor="text1"/>
                <w:sz w:val="16"/>
                <w:szCs w:val="16"/>
              </w:rPr>
            </w:pPr>
            <w:r w:rsidRPr="00E14102">
              <w:rPr>
                <w:color w:val="000000" w:themeColor="text1"/>
                <w:sz w:val="16"/>
                <w:szCs w:val="16"/>
              </w:rPr>
              <w:t>Пулеметные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2BE55" w14:textId="77777777" w:rsidR="008F43A8" w:rsidRPr="00E14102" w:rsidRDefault="008F43A8" w:rsidP="00E14102">
            <w:pPr>
              <w:jc w:val="both"/>
              <w:rPr>
                <w:color w:val="000000" w:themeColor="text1"/>
                <w:sz w:val="16"/>
                <w:szCs w:val="16"/>
              </w:rPr>
            </w:pPr>
            <w:r w:rsidRPr="00E14102">
              <w:rPr>
                <w:color w:val="000000" w:themeColor="text1"/>
                <w:sz w:val="16"/>
                <w:szCs w:val="16"/>
              </w:rPr>
              <w:t>1840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CBF44" w14:textId="77777777" w:rsidR="008F43A8" w:rsidRPr="00E14102" w:rsidRDefault="008F43A8" w:rsidP="00E14102">
            <w:pPr>
              <w:jc w:val="both"/>
              <w:rPr>
                <w:color w:val="000000" w:themeColor="text1"/>
                <w:sz w:val="16"/>
                <w:szCs w:val="16"/>
              </w:rPr>
            </w:pPr>
            <w:r w:rsidRPr="00E14102">
              <w:rPr>
                <w:color w:val="000000" w:themeColor="text1"/>
                <w:sz w:val="16"/>
                <w:szCs w:val="16"/>
              </w:rPr>
              <w:t>1970</w:t>
            </w:r>
          </w:p>
        </w:tc>
      </w:tr>
      <w:tr w:rsidR="00E3599D" w:rsidRPr="00E14102" w14:paraId="2717A3B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9420F1" w14:textId="77777777" w:rsidR="008F43A8" w:rsidRPr="00E14102" w:rsidRDefault="008F43A8" w:rsidP="00E14102">
            <w:pPr>
              <w:jc w:val="both"/>
              <w:rPr>
                <w:color w:val="000000" w:themeColor="text1"/>
                <w:sz w:val="16"/>
                <w:szCs w:val="16"/>
              </w:rPr>
            </w:pPr>
            <w:r w:rsidRPr="00E14102">
              <w:rPr>
                <w:color w:val="000000" w:themeColor="text1"/>
                <w:sz w:val="16"/>
                <w:szCs w:val="16"/>
              </w:rPr>
              <w:t>Панорама артиллерийская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08FAB" w14:textId="77777777" w:rsidR="008F43A8" w:rsidRPr="00E14102" w:rsidRDefault="008F43A8" w:rsidP="00E14102">
            <w:pPr>
              <w:jc w:val="both"/>
              <w:rPr>
                <w:color w:val="000000" w:themeColor="text1"/>
                <w:sz w:val="16"/>
                <w:szCs w:val="16"/>
              </w:rPr>
            </w:pPr>
            <w:r w:rsidRPr="00E14102">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49651" w14:textId="77777777" w:rsidR="008F43A8" w:rsidRPr="00E14102" w:rsidRDefault="008F43A8" w:rsidP="00E14102">
            <w:pPr>
              <w:jc w:val="both"/>
              <w:rPr>
                <w:color w:val="000000" w:themeColor="text1"/>
                <w:sz w:val="16"/>
                <w:szCs w:val="16"/>
              </w:rPr>
            </w:pPr>
            <w:r w:rsidRPr="00E14102">
              <w:rPr>
                <w:color w:val="000000" w:themeColor="text1"/>
                <w:sz w:val="16"/>
                <w:szCs w:val="16"/>
              </w:rPr>
              <w:t>1100</w:t>
            </w:r>
          </w:p>
        </w:tc>
      </w:tr>
      <w:tr w:rsidR="00E3599D" w:rsidRPr="00E14102" w14:paraId="662AE8A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F0EB9D" w14:textId="77777777" w:rsidR="008F43A8" w:rsidRPr="00E14102" w:rsidRDefault="008F43A8" w:rsidP="00E14102">
            <w:pPr>
              <w:jc w:val="both"/>
              <w:rPr>
                <w:color w:val="000000" w:themeColor="text1"/>
                <w:sz w:val="16"/>
                <w:szCs w:val="16"/>
              </w:rPr>
            </w:pPr>
            <w:r w:rsidRPr="00E14102">
              <w:rPr>
                <w:color w:val="000000" w:themeColor="text1"/>
                <w:sz w:val="16"/>
                <w:szCs w:val="16"/>
              </w:rPr>
              <w:t>Перископы сухопутные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BC618" w14:textId="77777777" w:rsidR="008F43A8" w:rsidRPr="00E14102" w:rsidRDefault="008F43A8" w:rsidP="00E14102">
            <w:pPr>
              <w:jc w:val="both"/>
              <w:rPr>
                <w:color w:val="000000" w:themeColor="text1"/>
                <w:sz w:val="16"/>
                <w:szCs w:val="16"/>
              </w:rPr>
            </w:pPr>
            <w:r w:rsidRPr="00E14102">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B5B51" w14:textId="77777777" w:rsidR="008F43A8" w:rsidRPr="00E14102" w:rsidRDefault="008F43A8" w:rsidP="00E14102">
            <w:pPr>
              <w:jc w:val="both"/>
              <w:rPr>
                <w:color w:val="000000" w:themeColor="text1"/>
                <w:sz w:val="16"/>
                <w:szCs w:val="16"/>
              </w:rPr>
            </w:pPr>
            <w:r w:rsidRPr="00E14102">
              <w:rPr>
                <w:color w:val="000000" w:themeColor="text1"/>
                <w:sz w:val="16"/>
                <w:szCs w:val="16"/>
              </w:rPr>
              <w:t>640</w:t>
            </w:r>
          </w:p>
        </w:tc>
      </w:tr>
      <w:tr w:rsidR="00E3599D" w:rsidRPr="00E14102" w14:paraId="197911F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2CFBCF" w14:textId="77777777" w:rsidR="008F43A8" w:rsidRPr="00E14102" w:rsidRDefault="008F43A8" w:rsidP="00E14102">
            <w:pPr>
              <w:jc w:val="both"/>
              <w:rPr>
                <w:color w:val="000000" w:themeColor="text1"/>
                <w:sz w:val="16"/>
                <w:szCs w:val="16"/>
              </w:rPr>
            </w:pPr>
            <w:r w:rsidRPr="00E14102">
              <w:rPr>
                <w:color w:val="000000" w:themeColor="text1"/>
                <w:sz w:val="16"/>
                <w:szCs w:val="16"/>
              </w:rPr>
              <w:t>Перископы морские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4E833" w14:textId="77777777" w:rsidR="008F43A8" w:rsidRPr="00E14102" w:rsidRDefault="008F43A8" w:rsidP="00E14102">
            <w:pPr>
              <w:jc w:val="both"/>
              <w:rPr>
                <w:color w:val="000000" w:themeColor="text1"/>
                <w:sz w:val="16"/>
                <w:szCs w:val="16"/>
              </w:rPr>
            </w:pPr>
            <w:r w:rsidRPr="00E14102">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CC89E" w14:textId="77777777" w:rsidR="008F43A8" w:rsidRPr="00E14102" w:rsidRDefault="008F43A8" w:rsidP="00E14102">
            <w:pPr>
              <w:jc w:val="both"/>
              <w:rPr>
                <w:color w:val="000000" w:themeColor="text1"/>
                <w:sz w:val="16"/>
                <w:szCs w:val="16"/>
              </w:rPr>
            </w:pPr>
            <w:r w:rsidRPr="00E14102">
              <w:rPr>
                <w:color w:val="000000" w:themeColor="text1"/>
                <w:sz w:val="16"/>
                <w:szCs w:val="16"/>
              </w:rPr>
              <w:t>28</w:t>
            </w:r>
          </w:p>
        </w:tc>
      </w:tr>
      <w:tr w:rsidR="00E3599D" w:rsidRPr="00E14102" w14:paraId="4CBC793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B21B66" w14:textId="77777777" w:rsidR="008F43A8" w:rsidRPr="00E14102" w:rsidRDefault="008F43A8" w:rsidP="00E14102">
            <w:pPr>
              <w:jc w:val="both"/>
              <w:rPr>
                <w:color w:val="000000" w:themeColor="text1"/>
                <w:sz w:val="16"/>
                <w:szCs w:val="16"/>
              </w:rPr>
            </w:pPr>
            <w:r w:rsidRPr="00E14102">
              <w:rPr>
                <w:color w:val="000000" w:themeColor="text1"/>
                <w:sz w:val="16"/>
                <w:szCs w:val="16"/>
              </w:rPr>
              <w:t>Аэрофотокамеры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1F185" w14:textId="77777777" w:rsidR="008F43A8" w:rsidRPr="00E14102" w:rsidRDefault="008F43A8" w:rsidP="00E14102">
            <w:pPr>
              <w:jc w:val="both"/>
              <w:rPr>
                <w:color w:val="000000" w:themeColor="text1"/>
                <w:sz w:val="16"/>
                <w:szCs w:val="16"/>
              </w:rPr>
            </w:pPr>
            <w:r w:rsidRPr="00E14102">
              <w:rPr>
                <w:color w:val="000000" w:themeColor="text1"/>
                <w:sz w:val="16"/>
                <w:szCs w:val="16"/>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B5083" w14:textId="77777777" w:rsidR="008F43A8" w:rsidRPr="00E14102" w:rsidRDefault="008F43A8" w:rsidP="00E14102">
            <w:pPr>
              <w:jc w:val="both"/>
              <w:rPr>
                <w:color w:val="000000" w:themeColor="text1"/>
                <w:sz w:val="16"/>
                <w:szCs w:val="16"/>
              </w:rPr>
            </w:pPr>
            <w:r w:rsidRPr="00E14102">
              <w:rPr>
                <w:color w:val="000000" w:themeColor="text1"/>
                <w:sz w:val="16"/>
                <w:szCs w:val="16"/>
              </w:rPr>
              <w:t>235</w:t>
            </w:r>
          </w:p>
        </w:tc>
      </w:tr>
      <w:tr w:rsidR="00E3599D" w:rsidRPr="00E14102" w14:paraId="4C74B69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834C0E" w14:textId="77777777" w:rsidR="008F43A8" w:rsidRPr="00E14102" w:rsidRDefault="008F43A8" w:rsidP="00E14102">
            <w:pPr>
              <w:jc w:val="both"/>
              <w:rPr>
                <w:color w:val="000000" w:themeColor="text1"/>
                <w:sz w:val="16"/>
                <w:szCs w:val="16"/>
              </w:rPr>
            </w:pPr>
            <w:r w:rsidRPr="00E14102">
              <w:rPr>
                <w:color w:val="000000" w:themeColor="text1"/>
                <w:sz w:val="16"/>
                <w:szCs w:val="16"/>
              </w:rPr>
              <w:t>Стереотрубы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9B8CF" w14:textId="77777777" w:rsidR="008F43A8" w:rsidRPr="00E14102" w:rsidRDefault="008F43A8" w:rsidP="00E14102">
            <w:pPr>
              <w:jc w:val="both"/>
              <w:rPr>
                <w:color w:val="000000" w:themeColor="text1"/>
                <w:sz w:val="16"/>
                <w:szCs w:val="16"/>
              </w:rPr>
            </w:pPr>
            <w:r w:rsidRPr="00E14102">
              <w:rPr>
                <w:color w:val="000000" w:themeColor="text1"/>
                <w:sz w:val="16"/>
                <w:szCs w:val="16"/>
              </w:rPr>
              <w:t>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3C3A1" w14:textId="77777777" w:rsidR="008F43A8" w:rsidRPr="00E14102" w:rsidRDefault="008F43A8" w:rsidP="00E14102">
            <w:pPr>
              <w:jc w:val="both"/>
              <w:rPr>
                <w:color w:val="000000" w:themeColor="text1"/>
                <w:sz w:val="16"/>
                <w:szCs w:val="16"/>
              </w:rPr>
            </w:pPr>
            <w:r w:rsidRPr="00E14102">
              <w:rPr>
                <w:color w:val="000000" w:themeColor="text1"/>
                <w:sz w:val="16"/>
                <w:szCs w:val="16"/>
              </w:rPr>
              <w:t>857</w:t>
            </w:r>
          </w:p>
        </w:tc>
      </w:tr>
      <w:tr w:rsidR="00E3599D" w:rsidRPr="00E14102" w14:paraId="021FA98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8D235C" w14:textId="77777777" w:rsidR="008F43A8" w:rsidRPr="00E14102" w:rsidRDefault="008F43A8" w:rsidP="00E14102">
            <w:pPr>
              <w:jc w:val="both"/>
              <w:rPr>
                <w:color w:val="000000" w:themeColor="text1"/>
                <w:sz w:val="16"/>
                <w:szCs w:val="16"/>
              </w:rPr>
            </w:pPr>
            <w:r w:rsidRPr="00E14102">
              <w:rPr>
                <w:color w:val="000000" w:themeColor="text1"/>
                <w:sz w:val="16"/>
                <w:szCs w:val="16"/>
              </w:rPr>
              <w:t>Дальномеры с базой до 2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240DD" w14:textId="77777777" w:rsidR="008F43A8" w:rsidRPr="00E14102" w:rsidRDefault="008F43A8"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F19DA" w14:textId="77777777" w:rsidR="008F43A8" w:rsidRPr="00E14102" w:rsidRDefault="008F43A8" w:rsidP="00E14102">
            <w:pPr>
              <w:jc w:val="both"/>
              <w:rPr>
                <w:color w:val="000000" w:themeColor="text1"/>
                <w:sz w:val="16"/>
                <w:szCs w:val="16"/>
              </w:rPr>
            </w:pPr>
            <w:r w:rsidRPr="00E14102">
              <w:rPr>
                <w:color w:val="000000" w:themeColor="text1"/>
                <w:sz w:val="16"/>
                <w:szCs w:val="16"/>
              </w:rPr>
              <w:t>110</w:t>
            </w:r>
          </w:p>
        </w:tc>
      </w:tr>
      <w:tr w:rsidR="00E3599D" w:rsidRPr="00E14102" w14:paraId="16D3ED2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B82253" w14:textId="77777777" w:rsidR="008F43A8" w:rsidRPr="00E14102" w:rsidRDefault="008F43A8" w:rsidP="00E14102">
            <w:pPr>
              <w:jc w:val="both"/>
              <w:rPr>
                <w:color w:val="000000" w:themeColor="text1"/>
                <w:sz w:val="16"/>
                <w:szCs w:val="16"/>
              </w:rPr>
            </w:pPr>
            <w:r w:rsidRPr="00E14102">
              <w:rPr>
                <w:color w:val="000000" w:themeColor="text1"/>
                <w:sz w:val="16"/>
                <w:szCs w:val="16"/>
              </w:rPr>
              <w:t>Дальномеры с базой свыше 2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9820E" w14:textId="77777777" w:rsidR="008F43A8" w:rsidRPr="00E14102" w:rsidRDefault="008F43A8" w:rsidP="00E14102">
            <w:pPr>
              <w:jc w:val="both"/>
              <w:rPr>
                <w:color w:val="000000" w:themeColor="text1"/>
                <w:sz w:val="16"/>
                <w:szCs w:val="16"/>
              </w:rPr>
            </w:pPr>
            <w:r w:rsidRPr="00E14102">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F0A88" w14:textId="77777777" w:rsidR="008F43A8" w:rsidRPr="00E14102" w:rsidRDefault="008F43A8" w:rsidP="00E14102">
            <w:pPr>
              <w:jc w:val="both"/>
              <w:rPr>
                <w:color w:val="000000" w:themeColor="text1"/>
                <w:sz w:val="16"/>
                <w:szCs w:val="16"/>
              </w:rPr>
            </w:pPr>
            <w:r w:rsidRPr="00E14102">
              <w:rPr>
                <w:color w:val="000000" w:themeColor="text1"/>
                <w:sz w:val="16"/>
                <w:szCs w:val="16"/>
              </w:rPr>
              <w:t>23</w:t>
            </w:r>
          </w:p>
        </w:tc>
      </w:tr>
    </w:tbl>
    <w:p w14:paraId="5B3CF037" w14:textId="77777777" w:rsidR="008F43A8" w:rsidRPr="00E14102" w:rsidRDefault="008F43A8" w:rsidP="00E14102">
      <w:pPr>
        <w:pStyle w:val="ad"/>
        <w:spacing w:before="0" w:after="0"/>
        <w:rPr>
          <w:rFonts w:ascii="Times New Roman" w:hAnsi="Times New Roman" w:cs="Times New Roman"/>
          <w:color w:val="000000" w:themeColor="text1"/>
          <w:sz w:val="16"/>
          <w:szCs w:val="16"/>
        </w:rPr>
      </w:pPr>
      <w:r w:rsidRPr="00E14102">
        <w:rPr>
          <w:rStyle w:val="a6"/>
          <w:rFonts w:ascii="Times New Roman" w:hAnsi="Times New Roman" w:cs="Times New Roman"/>
          <w:i w:val="0"/>
          <w:color w:val="000000" w:themeColor="text1"/>
          <w:sz w:val="16"/>
          <w:szCs w:val="16"/>
        </w:rPr>
        <w:t>Примечания</w:t>
      </w:r>
      <w:r w:rsidRPr="00E14102">
        <w:rPr>
          <w:rFonts w:ascii="Times New Roman" w:hAnsi="Times New Roman" w:cs="Times New Roman"/>
          <w:color w:val="000000" w:themeColor="text1"/>
          <w:sz w:val="16"/>
          <w:szCs w:val="16"/>
        </w:rPr>
        <w:t>:</w:t>
      </w:r>
    </w:p>
    <w:p w14:paraId="4BD85708"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¹* Датируется по помете: «28 января 1935 г. послано т. Сталину, т. Молотову, т. Ворошилову. Павлуновский».</w:t>
      </w:r>
    </w:p>
    <w:p w14:paraId="458F9AB5"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 xml:space="preserve">²* По положению о Наркомате обороны СССР от 22 ноября 1934 г. Главное военно-инженерное управление РККА получило наименование </w:t>
      </w:r>
      <w:r w:rsidRPr="00E14102">
        <w:rPr>
          <w:rStyle w:val="a6"/>
          <w:bCs/>
          <w:i w:val="0"/>
          <w:color w:val="000000" w:themeColor="text1"/>
          <w:sz w:val="16"/>
          <w:szCs w:val="16"/>
        </w:rPr>
        <w:t>Инженерного управления РККА</w:t>
      </w:r>
      <w:r w:rsidRPr="00E14102">
        <w:rPr>
          <w:color w:val="000000" w:themeColor="text1"/>
          <w:sz w:val="16"/>
          <w:szCs w:val="16"/>
        </w:rPr>
        <w:t xml:space="preserve"> во главе с начальником управления. На него, как на центральный орган, возлагалось обеспечение РККА инженерным вооружением и имуществом, руководство инженерным строительством и инженерной подготовкой РККА. Приказом НКО № 0122 от 22 июня 1940 г. реорганизовано в Главное военно-инженерное управление Красной армии.</w:t>
      </w:r>
    </w:p>
    <w:p w14:paraId="312EF290" w14:textId="77777777" w:rsidR="008F43A8" w:rsidRPr="00E14102" w:rsidRDefault="008F43A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7297. Оп. 41. Д. 176. Л. 20-13. Копия (15334).</w:t>
      </w:r>
    </w:p>
    <w:p w14:paraId="711C4BDC" w14:textId="77777777" w:rsidR="008F43A8" w:rsidRPr="00E14102" w:rsidRDefault="008F43A8" w:rsidP="00E14102">
      <w:pPr>
        <w:jc w:val="both"/>
        <w:rPr>
          <w:bCs/>
          <w:color w:val="000000" w:themeColor="text1"/>
          <w:sz w:val="16"/>
          <w:szCs w:val="16"/>
        </w:rPr>
      </w:pPr>
    </w:p>
    <w:p w14:paraId="6597370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7527B893" w14:textId="77777777" w:rsidR="00D4105E" w:rsidRPr="00E14102" w:rsidRDefault="00D4105E" w:rsidP="00E14102">
      <w:pPr>
        <w:autoSpaceDE w:val="0"/>
        <w:autoSpaceDN w:val="0"/>
        <w:adjustRightInd w:val="0"/>
        <w:jc w:val="both"/>
        <w:rPr>
          <w:iCs/>
          <w:color w:val="000000" w:themeColor="text1"/>
          <w:sz w:val="16"/>
          <w:szCs w:val="16"/>
        </w:rPr>
      </w:pPr>
    </w:p>
    <w:p w14:paraId="0FE0CA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28 января по 6 февраля 1934 прошел 7 съезд Советов, который постановил начать работы над новой конституцией (3908,346).</w:t>
      </w:r>
    </w:p>
    <w:p w14:paraId="3DD2D2F4" w14:textId="77777777" w:rsidR="00D4105E" w:rsidRPr="00E14102" w:rsidRDefault="00D4105E" w:rsidP="00E14102">
      <w:pPr>
        <w:autoSpaceDE w:val="0"/>
        <w:autoSpaceDN w:val="0"/>
        <w:adjustRightInd w:val="0"/>
        <w:jc w:val="both"/>
        <w:rPr>
          <w:color w:val="000000" w:themeColor="text1"/>
          <w:sz w:val="16"/>
          <w:szCs w:val="16"/>
        </w:rPr>
      </w:pPr>
    </w:p>
    <w:p w14:paraId="5BF3B89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FFDBD3E" w14:textId="77777777" w:rsidR="00D4105E" w:rsidRPr="00E14102" w:rsidRDefault="00D4105E" w:rsidP="00E14102">
      <w:pPr>
        <w:autoSpaceDE w:val="0"/>
        <w:autoSpaceDN w:val="0"/>
        <w:adjustRightInd w:val="0"/>
        <w:jc w:val="both"/>
        <w:rPr>
          <w:iCs/>
          <w:color w:val="000000" w:themeColor="text1"/>
          <w:sz w:val="16"/>
          <w:szCs w:val="16"/>
        </w:rPr>
      </w:pPr>
    </w:p>
    <w:p w14:paraId="3451D070" w14:textId="77777777" w:rsidR="008F43A8" w:rsidRPr="00E14102" w:rsidRDefault="008F43A8" w:rsidP="00E14102">
      <w:pPr>
        <w:jc w:val="both"/>
        <w:rPr>
          <w:color w:val="000000" w:themeColor="text1"/>
          <w:sz w:val="16"/>
          <w:szCs w:val="16"/>
        </w:rPr>
      </w:pPr>
      <w:r w:rsidRPr="00E14102">
        <w:rPr>
          <w:bCs/>
          <w:color w:val="000000" w:themeColor="text1"/>
          <w:sz w:val="16"/>
          <w:szCs w:val="16"/>
        </w:rPr>
        <w:t xml:space="preserve">28 января </w:t>
      </w:r>
      <w:r w:rsidRPr="00E14102">
        <w:rPr>
          <w:color w:val="000000" w:themeColor="text1"/>
          <w:sz w:val="16"/>
          <w:szCs w:val="16"/>
        </w:rPr>
        <w:t xml:space="preserve">в 1935 году совершил первый полет гражданский авиалайнер </w:t>
      </w:r>
      <w:hyperlink r:id="rId23" w:tgtFrame="_blank" w:history="1">
        <w:r w:rsidRPr="00E14102">
          <w:rPr>
            <w:color w:val="000000" w:themeColor="text1"/>
            <w:sz w:val="16"/>
            <w:szCs w:val="16"/>
          </w:rPr>
          <w:t xml:space="preserve">«Potez 62», </w:t>
        </w:r>
      </w:hyperlink>
      <w:r w:rsidRPr="00E14102">
        <w:rPr>
          <w:color w:val="000000" w:themeColor="text1"/>
          <w:sz w:val="16"/>
          <w:szCs w:val="16"/>
        </w:rPr>
        <w:t>прототип Potez 65 - военно-транспортного самолета. Двухмоторный подкосный цельнометаллический моноплан с убирающимся шасси. Мотогондолы подвешены на фермах между крылом и фюзеляжем. Военный вариант пассажирского самолета Потэ 62, созданного в КБ фирмы "Сосьете де аэроплане Анри Потэ". Опытный образец этой машины на 16 мест. В нем использовали крыло и оперение бомбардировщика Потэ 540. С 1936 г. пассажирские самолеты серийно строились на заводе "Потэ" в Мельте. Потэ 65 отличался от гражданских машин усиленным полом, грузовой дверью и возможностью несения бомбовой нагрузки, а также мотоустановкой, унифицированной с бомбардировщиком Потэ 541. Предназначался в основном для воздушно-десантных операций. Головной серийный (опытного образца не было) Потэ 65 поднялся в воздух 2 июня 1937 г. Всего изготовили 50 экз. Самолеты Потэ 65 использовались ВВС Франции с июля 1937 г. и Румынии-с 1938 г (15023).</w:t>
      </w:r>
    </w:p>
    <w:p w14:paraId="41B61528" w14:textId="77777777" w:rsidR="008F43A8" w:rsidRPr="00E14102" w:rsidRDefault="008F43A8" w:rsidP="00E14102">
      <w:pPr>
        <w:jc w:val="both"/>
        <w:rPr>
          <w:color w:val="000000" w:themeColor="text1"/>
          <w:sz w:val="16"/>
          <w:szCs w:val="16"/>
        </w:rPr>
      </w:pPr>
    </w:p>
    <w:p w14:paraId="3C2D5E9C" w14:textId="77777777" w:rsidR="00C6280D" w:rsidRPr="00E14102" w:rsidRDefault="00C6280D" w:rsidP="00E14102">
      <w:pPr>
        <w:jc w:val="both"/>
        <w:rPr>
          <w:color w:val="0070C0"/>
          <w:sz w:val="16"/>
          <w:szCs w:val="16"/>
        </w:rPr>
      </w:pPr>
      <w:r w:rsidRPr="00E14102">
        <w:rPr>
          <w:color w:val="0070C0"/>
          <w:sz w:val="16"/>
          <w:szCs w:val="16"/>
        </w:rPr>
        <w:t xml:space="preserve">28 января 1935 состоялся первый полет </w:t>
      </w:r>
      <w:r w:rsidRPr="00E14102">
        <w:rPr>
          <w:color w:val="0070C0"/>
          <w:sz w:val="16"/>
          <w:szCs w:val="16"/>
          <w:lang w:val="en-US"/>
        </w:rPr>
        <w:t>Potez</w:t>
      </w:r>
      <w:r w:rsidRPr="00E14102">
        <w:rPr>
          <w:color w:val="0070C0"/>
          <w:sz w:val="16"/>
          <w:szCs w:val="16"/>
        </w:rPr>
        <w:t xml:space="preserve"> 62 (20800).</w:t>
      </w:r>
    </w:p>
    <w:p w14:paraId="339347DC" w14:textId="77777777" w:rsidR="00C6280D" w:rsidRPr="00E14102" w:rsidRDefault="00C6280D" w:rsidP="00E14102">
      <w:pPr>
        <w:jc w:val="both"/>
        <w:rPr>
          <w:color w:val="0070C0"/>
          <w:sz w:val="16"/>
          <w:szCs w:val="16"/>
        </w:rPr>
      </w:pPr>
    </w:p>
    <w:p w14:paraId="34389DD0" w14:textId="77777777" w:rsidR="00C6280D" w:rsidRPr="00E14102" w:rsidRDefault="00C6280D" w:rsidP="00E14102">
      <w:pPr>
        <w:jc w:val="both"/>
        <w:rPr>
          <w:color w:val="0070C0"/>
          <w:sz w:val="16"/>
          <w:szCs w:val="16"/>
        </w:rPr>
      </w:pPr>
      <w:r w:rsidRPr="00E14102">
        <w:rPr>
          <w:color w:val="0070C0"/>
          <w:sz w:val="16"/>
          <w:szCs w:val="16"/>
        </w:rPr>
        <w:t>28 января 1935 - Совершил первый полет гражданский авиалайнер Potez 62, созданный на основе военного самолета Potez 54. Он сохранил высокорасположенное подкосное крыло модели Potez 54, которое было присоединено к фюзеляжу измененной конструкции и великолепной аэродинамической формы. Командир и второй пилот располагались бок о бок, за ними находились два салона, вмещавшие до 16 пассажиров.</w:t>
      </w:r>
    </w:p>
    <w:p w14:paraId="7B0AF4B3" w14:textId="77777777" w:rsidR="00C6280D" w:rsidRPr="00E14102" w:rsidRDefault="00C6280D" w:rsidP="00E14102">
      <w:pPr>
        <w:jc w:val="both"/>
        <w:rPr>
          <w:color w:val="0070C0"/>
          <w:sz w:val="16"/>
          <w:szCs w:val="16"/>
        </w:rPr>
      </w:pPr>
      <w:r w:rsidRPr="00E14102">
        <w:rPr>
          <w:color w:val="0070C0"/>
          <w:sz w:val="16"/>
          <w:szCs w:val="16"/>
        </w:rPr>
        <w:t>Серийный самолет с двигателем Gnome-Rhône 14Kirs мощностью 820 л.с. получил обозначение Potez 620 (22641).</w:t>
      </w:r>
    </w:p>
    <w:p w14:paraId="6E5A6372" w14:textId="77777777" w:rsidR="00C6280D" w:rsidRPr="00E14102" w:rsidRDefault="00C6280D" w:rsidP="00E14102">
      <w:pPr>
        <w:jc w:val="both"/>
        <w:rPr>
          <w:color w:val="0070C0"/>
          <w:sz w:val="16"/>
          <w:szCs w:val="16"/>
        </w:rPr>
      </w:pPr>
    </w:p>
    <w:p w14:paraId="0156696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января 1935 в Германии произведены первые искусственные изумруды (4962).</w:t>
      </w:r>
    </w:p>
    <w:p w14:paraId="6B16BEB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29FE0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января 1935 Исландия стала первой страной в мире, в которой были легализованы аборты (4962).</w:t>
      </w:r>
    </w:p>
    <w:p w14:paraId="2A7E22C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40A18B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2641E0B" w14:textId="77777777" w:rsidR="00D4105E" w:rsidRPr="00E14102" w:rsidRDefault="00D4105E" w:rsidP="00E14102">
      <w:pPr>
        <w:autoSpaceDE w:val="0"/>
        <w:autoSpaceDN w:val="0"/>
        <w:adjustRightInd w:val="0"/>
        <w:jc w:val="both"/>
        <w:rPr>
          <w:iCs/>
          <w:color w:val="000000" w:themeColor="text1"/>
          <w:sz w:val="16"/>
          <w:szCs w:val="16"/>
        </w:rPr>
      </w:pPr>
    </w:p>
    <w:p w14:paraId="65E170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января 1935 были закончены полигонные испытания стрелковой установки конструкции ОКБ-2 ГВМУ на самолете И-16 с крыльевыми пулеметами системы ШКАС NN 2249, 2944, которые шли с 1 января 1935 (3071).</w:t>
      </w:r>
    </w:p>
    <w:p w14:paraId="14B32168" w14:textId="77777777" w:rsidR="00D4105E" w:rsidRPr="00E14102" w:rsidRDefault="00D4105E" w:rsidP="00E14102">
      <w:pPr>
        <w:autoSpaceDE w:val="0"/>
        <w:autoSpaceDN w:val="0"/>
        <w:adjustRightInd w:val="0"/>
        <w:jc w:val="both"/>
        <w:rPr>
          <w:color w:val="000000" w:themeColor="text1"/>
          <w:sz w:val="16"/>
          <w:szCs w:val="16"/>
        </w:rPr>
      </w:pPr>
    </w:p>
    <w:p w14:paraId="37154D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января 1935 Техдиректор завода 1 писал Нач. Самолетного отдела ГУАП письмо N 211 (вход. 1141аз1 от 31 января):</w:t>
      </w:r>
    </w:p>
    <w:p w14:paraId="475776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Вашему запросу (т. Машкевича) направляется для знакомства эскизный проект с моделью самолета скоростного одноместного фоторазведчика завода 1 Авиахим." (2337,176).</w:t>
      </w:r>
    </w:p>
    <w:p w14:paraId="016D37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января 1935 состоялось Тактико-техническое совещание НИИ ВС РККА:</w:t>
      </w:r>
    </w:p>
    <w:p w14:paraId="55FCCF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Темой: "1. Рассмотрение эскизного проекта скоростного одноместного фоторазведчика Завода 1.</w:t>
      </w:r>
    </w:p>
    <w:p w14:paraId="5EAC30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 к Сильванского (ГК).</w:t>
      </w:r>
    </w:p>
    <w:p w14:paraId="0EDAE9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Тов. Сильванский огласил следующие расчетные ЛТД самолета с мотором К-14:</w:t>
      </w:r>
    </w:p>
    <w:p w14:paraId="7F2E20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Полетный вес самолета - 1650 кг</w:t>
      </w:r>
    </w:p>
    <w:p w14:paraId="27A1D1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Вооружение - 2хШКАС в крыльях с 500 патронами на каждый. АФА-13</w:t>
      </w:r>
    </w:p>
    <w:p w14:paraId="05E83C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Техническая дальность - 1200 км</w:t>
      </w:r>
    </w:p>
    <w:p w14:paraId="396CF6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Макс. Скорости:</w:t>
      </w:r>
    </w:p>
    <w:p w14:paraId="242AAF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1000 - 420</w:t>
      </w:r>
    </w:p>
    <w:p w14:paraId="14AE8D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2000 - 450</w:t>
      </w:r>
    </w:p>
    <w:p w14:paraId="078956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3000 - 470</w:t>
      </w:r>
    </w:p>
    <w:p w14:paraId="3AB943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4000 - 455</w:t>
      </w:r>
    </w:p>
    <w:p w14:paraId="704DD2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5000 - 454</w:t>
      </w:r>
    </w:p>
    <w:p w14:paraId="749C68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6000 - 440</w:t>
      </w:r>
    </w:p>
    <w:p w14:paraId="2F5DE2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Скороподъемность</w:t>
      </w:r>
    </w:p>
    <w:p w14:paraId="3FD2B2E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1000 - 0,85</w:t>
      </w:r>
    </w:p>
    <w:p w14:paraId="11263F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5000 - 4,42</w:t>
      </w:r>
    </w:p>
    <w:p w14:paraId="03594E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6000 - 6</w:t>
      </w:r>
    </w:p>
    <w:p w14:paraId="1414AB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Потолок самолета - 9750</w:t>
      </w:r>
    </w:p>
    <w:p w14:paraId="77F134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Практический потолок 8800</w:t>
      </w:r>
    </w:p>
    <w:p w14:paraId="7B773A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Посадочная скорость - 117 км/ч.</w:t>
      </w:r>
    </w:p>
    <w:p w14:paraId="2818E9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ЦАПом - 98</w:t>
      </w:r>
    </w:p>
    <w:p w14:paraId="5ECE310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рассмотрении проекта:</w:t>
      </w:r>
    </w:p>
    <w:p w14:paraId="273B54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Начальник 1-го сектора т. ЛЕБЕДЕВ настаивает не ограничивать назначение самолета одними боевыми задачами по фоторазведке, а иметь данный самолет для двух назначений:</w:t>
      </w:r>
    </w:p>
    <w:p w14:paraId="2A294BD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одноместный скоростной фоторазведчик.</w:t>
      </w:r>
    </w:p>
    <w:p w14:paraId="0D507F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Довести запас патрон до 1000 шт. На пулемет и использовать данный самолет в качестве истребителя, т.к. он по данным будет иметь хорошую горизонтальную скорость...</w:t>
      </w:r>
    </w:p>
    <w:p w14:paraId="6429FC0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Инденером в/к 7 сектора т. Жемчужиным доложено, что конструктором не представлены все необходимые для проверочного расчета расчетные данные, а также проект не доработан по ряду деталей конструкции - нет даннных продувок - и поэтомуокончательное заключение по проекту в настоящее время дано быть не может.</w:t>
      </w:r>
    </w:p>
    <w:p w14:paraId="39B5F5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На основании обмена мнениями принято:</w:t>
      </w:r>
    </w:p>
    <w:p w14:paraId="14A862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Эскизный проект в основном утвердить</w:t>
      </w:r>
    </w:p>
    <w:p w14:paraId="1AC7A9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Иметь одно назначение самолета "скоростной одноместный фоторазведчик</w:t>
      </w:r>
    </w:p>
    <w:p w14:paraId="78BBA6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Вооружение самолета</w:t>
      </w:r>
    </w:p>
    <w:p w14:paraId="51F7BE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2 пулемета ШКАС с запасом патрон на 500 шт. на пул-т,</w:t>
      </w:r>
    </w:p>
    <w:p w14:paraId="285FB64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фотоаппарат АФА-12</w:t>
      </w:r>
    </w:p>
    <w:p w14:paraId="7AE0D3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радиооборудование на самолет не ставить</w:t>
      </w:r>
    </w:p>
    <w:p w14:paraId="1E0BA7F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сектор*/ со".мест1'0 с констр</w:t>
      </w:r>
      <w:r w:rsidRPr="00E14102">
        <w:rPr>
          <w:color w:val="000000" w:themeColor="text1"/>
          <w:sz w:val="16"/>
          <w:szCs w:val="16"/>
          <w:vertAlign w:val="superscript"/>
        </w:rPr>
        <w:t>т</w:t>
      </w:r>
      <w:r w:rsidRPr="00E14102">
        <w:rPr>
          <w:color w:val="000000" w:themeColor="text1"/>
          <w:sz w:val="16"/>
          <w:szCs w:val="16"/>
        </w:rPr>
        <w:t xml:space="preserve"> кторо:?</w:t>
      </w:r>
    </w:p>
    <w:p w14:paraId="403706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27 сектору совместно с конструктором отработать фотографическую часть в отношении:</w:t>
      </w:r>
    </w:p>
    <w:p w14:paraId="19FB3B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размещение фотоаппарата и подходов к нему</w:t>
      </w:r>
    </w:p>
    <w:p w14:paraId="5625AB8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обеспечения обзора вниз через прорез в полу - для вывода самолета на объект съемки и производства самой съемки, уточнив и проверив выполнение этих требований на макете.</w:t>
      </w:r>
    </w:p>
    <w:p w14:paraId="7E3276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Нормальней запас прочности самолета иметь не ниже 4.</w:t>
      </w:r>
    </w:p>
    <w:p w14:paraId="70E764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7. Конструктоу, по окончании продувок и доработки проекта, вторично представить полный расчетный материалв НИИ для окончательного заключения </w:t>
      </w:r>
    </w:p>
    <w:p w14:paraId="780A60D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совещания - начальник отделения /Лебедев/ (2337,175).</w:t>
      </w:r>
    </w:p>
    <w:p w14:paraId="413252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26 января 1935 была подготовлена объяснительная записка:</w:t>
      </w:r>
    </w:p>
    <w:p w14:paraId="4280BC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СЕКРЕТНО</w:t>
      </w:r>
    </w:p>
    <w:p w14:paraId="5FDA55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ОДНОМЕСТНЫЙ СКОРОСТНОЙ РАЗВЕДЧИК.</w:t>
      </w:r>
    </w:p>
    <w:p w14:paraId="561213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НАЗНАЧЕНИЕ САМОЛЕТА</w:t>
      </w:r>
    </w:p>
    <w:p w14:paraId="0E760A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Фотографческая разведка в дневное к ночное время.</w:t>
      </w:r>
    </w:p>
    <w:p w14:paraId="617E8F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 СХЕМА САМОЛЕТА.</w:t>
      </w:r>
    </w:p>
    <w:p w14:paraId="4F52D1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Моноплан с низко-расположенным крылом. Низко-расположенное крыло было выбрано с целью улучшения аэро</w:t>
      </w:r>
      <w:r w:rsidRPr="00E14102">
        <w:rPr>
          <w:color w:val="000000" w:themeColor="text1"/>
          <w:sz w:val="16"/>
          <w:szCs w:val="16"/>
        </w:rPr>
        <w:softHyphen/>
        <w:t>динамики машины и уменьшения высоты шасси. Кроме того, ряд других преимуществ, а именно дает возможностьсделать лег</w:t>
      </w:r>
      <w:r w:rsidRPr="00E14102">
        <w:rPr>
          <w:color w:val="000000" w:themeColor="text1"/>
          <w:sz w:val="16"/>
          <w:szCs w:val="16"/>
        </w:rPr>
        <w:softHyphen/>
        <w:t>кое управление рулями высоты и уменьшить посадочную скорость, вследствие близости расстояния крыла от земли</w:t>
      </w:r>
      <w:r w:rsidRPr="00E14102">
        <w:rPr>
          <w:smallCaps/>
          <w:color w:val="000000" w:themeColor="text1"/>
          <w:sz w:val="16"/>
          <w:szCs w:val="16"/>
        </w:rPr>
        <w:t>.</w:t>
      </w:r>
    </w:p>
    <w:p w14:paraId="37476B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Мидель фюзеляжа значительно ужат. При выборе миделя фюзеляка основная ориентировка была на удобное размещение пилота и фотоаппарата АФА-13.</w:t>
      </w:r>
    </w:p>
    <w:p w14:paraId="4A00935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Уменьшение миделя фюзеляжа в основном зависит от диаметра звезды мотора, поэтому пришлось оборудовать мотор специальным капотов </w:t>
      </w:r>
      <w:r w:rsidRPr="00E14102">
        <w:rPr>
          <w:color w:val="000000" w:themeColor="text1"/>
          <w:sz w:val="16"/>
          <w:szCs w:val="16"/>
          <w:lang w:val="en-US"/>
        </w:rPr>
        <w:t>NACA</w:t>
      </w:r>
      <w:r w:rsidRPr="00E14102">
        <w:rPr>
          <w:color w:val="000000" w:themeColor="text1"/>
          <w:sz w:val="16"/>
          <w:szCs w:val="16"/>
        </w:rPr>
        <w:t xml:space="preserve"> с обтекателями на голов</w:t>
      </w:r>
      <w:r w:rsidRPr="00E14102">
        <w:rPr>
          <w:color w:val="000000" w:themeColor="text1"/>
          <w:sz w:val="16"/>
          <w:szCs w:val="16"/>
        </w:rPr>
        <w:softHyphen/>
        <w:t>ках цилиндров по типу "“</w:t>
      </w:r>
      <w:r w:rsidRPr="00E14102">
        <w:rPr>
          <w:color w:val="000000" w:themeColor="text1"/>
          <w:sz w:val="16"/>
          <w:szCs w:val="16"/>
          <w:lang w:val="en-US"/>
        </w:rPr>
        <w:t>ewoitine</w:t>
      </w:r>
      <w:r w:rsidRPr="00E14102">
        <w:rPr>
          <w:color w:val="000000" w:themeColor="text1"/>
          <w:sz w:val="16"/>
          <w:szCs w:val="16"/>
        </w:rPr>
        <w:t>"”- 3 или "</w:t>
      </w:r>
      <w:r w:rsidRPr="00E14102">
        <w:rPr>
          <w:color w:val="000000" w:themeColor="text1"/>
          <w:sz w:val="16"/>
          <w:szCs w:val="16"/>
          <w:lang w:val="en-US"/>
        </w:rPr>
        <w:t>Loire</w:t>
      </w:r>
      <w:r w:rsidRPr="00E14102">
        <w:rPr>
          <w:color w:val="000000" w:themeColor="text1"/>
          <w:sz w:val="16"/>
          <w:szCs w:val="16"/>
        </w:rPr>
        <w:t xml:space="preserve"> - 46 /оба самолета с мотором "Гном и Рон К-14 "/.</w:t>
      </w:r>
    </w:p>
    <w:p w14:paraId="1322071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основном варианте самолет разработан под мотор двухрядную звезду фирмы “Гном и Рон” марки “Мистраль Мажор” 14 с полным ноддузом и максимальной мощностью 1000 л.с.</w:t>
      </w:r>
    </w:p>
    <w:p w14:paraId="1B77C3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самолете могут быть установлены другие моторы, в частности “Испано Сюиза” 14 двухрядная звезда с максимальной мощностью1200 л.с., а также “Райт-Циклон” Ф-3 с максимальной мощностью 712 л.с.</w:t>
      </w:r>
    </w:p>
    <w:p w14:paraId="5C91B3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Ш. КОНСТРУКЦИЯ</w:t>
      </w:r>
    </w:p>
    <w:p w14:paraId="5C8F9E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К р ы л о</w:t>
      </w:r>
    </w:p>
    <w:p w14:paraId="0CBC4EE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Состоит из центральной части и двух отъемных частей /консолей/. Центральная честь крепится в четырех точках к фюзеляжу.</w:t>
      </w:r>
    </w:p>
    <w:p w14:paraId="2F2BAEF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Лонжероны крыла состоят из хромомолибденовых труб  /термически обработанных/. Нервюры крыла из листового электрона специальной марки АЗМ. Обшивка крыла полотняная.</w:t>
      </w:r>
    </w:p>
    <w:p w14:paraId="39E3F24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Ф ю з е л я ж</w:t>
      </w:r>
    </w:p>
    <w:p w14:paraId="78D353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Фюзеляж деренянный - по силовой схеме - полумонокок с работающей обшивкой из персклеенного шпона. Каркас образован из шпангоутов, лонкеронов и стрингеров.</w:t>
      </w:r>
    </w:p>
    <w:p w14:paraId="5E290D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Винтомоторная группа</w:t>
      </w:r>
    </w:p>
    <w:p w14:paraId="67E693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Самолет оборудован мотором "Гнои и Рон" марки "Мистраль Мажор” 14 </w:t>
      </w:r>
      <w:r w:rsidRPr="00E14102">
        <w:rPr>
          <w:color w:val="000000" w:themeColor="text1"/>
          <w:sz w:val="16"/>
          <w:szCs w:val="16"/>
          <w:lang w:val="en-US"/>
        </w:rPr>
        <w:t>KRSD</w:t>
      </w:r>
      <w:r w:rsidRPr="00E14102">
        <w:rPr>
          <w:color w:val="000000" w:themeColor="text1"/>
          <w:sz w:val="16"/>
          <w:szCs w:val="16"/>
        </w:rPr>
        <w:t xml:space="preserve"> с полным поддувом.</w:t>
      </w:r>
    </w:p>
    <w:p w14:paraId="13B55E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Винт 3-х лопастной диаметром Д - ;2.95 метра.</w:t>
      </w:r>
    </w:p>
    <w:p w14:paraId="3007AA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 втором варианте самолет оборудован мотором "Райт Циклон" Ф-3.</w:t>
      </w:r>
    </w:p>
    <w:p w14:paraId="31289D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Винт 3-х лопастной Д - 3.0 метра.</w:t>
      </w:r>
    </w:p>
    <w:p w14:paraId="7E20C3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Моторама сварная из хромомолибденовых труб.</w:t>
      </w:r>
    </w:p>
    <w:p w14:paraId="4A07F7E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Пусковое приспособление самопуск "Эклипс".</w:t>
      </w:r>
    </w:p>
    <w:p w14:paraId="2EBEB0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Бензиновые баки расчитаны на 375 кг. горючего, основные баки расположены в центроплане и один - в фюзеляже.</w:t>
      </w:r>
    </w:p>
    <w:p w14:paraId="647435E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Шасси и костыль</w:t>
      </w:r>
    </w:p>
    <w:p w14:paraId="59453A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Шасси убирающееся в полете в крыло состоят их хромомолибденовых труб с масляно-пневматической амортизацией.</w:t>
      </w:r>
    </w:p>
    <w:p w14:paraId="4FDD9C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Костыль полый, сварной из хромомолибдена с резиновой амортизацией.</w:t>
      </w:r>
    </w:p>
    <w:p w14:paraId="03C66E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Оперение</w:t>
      </w:r>
    </w:p>
    <w:p w14:paraId="6E7866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Рули оперения компенсированы рулями Флеттнера. Конст</w:t>
      </w:r>
      <w:r w:rsidRPr="00E14102">
        <w:rPr>
          <w:color w:val="000000" w:themeColor="text1"/>
          <w:sz w:val="16"/>
          <w:szCs w:val="16"/>
        </w:rPr>
        <w:softHyphen/>
        <w:t>рукция оперения цельноэлектронная марки АЗМ.</w:t>
      </w:r>
    </w:p>
    <w:p w14:paraId="1BF49F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Оборудование и вооружение</w:t>
      </w:r>
    </w:p>
    <w:p w14:paraId="12959C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снабжен фотоаппаратом АФА-13 для съемки с высоты 5000 м и двумя пулеметами ШКАС с 1000 шт. патронами.</w:t>
      </w:r>
    </w:p>
    <w:p w14:paraId="10AE1E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ГЛАВНЫЙ КОНСТРУКТОР Инженер Сильванский (2337,174).</w:t>
      </w:r>
    </w:p>
    <w:p w14:paraId="02CC322F" w14:textId="77777777" w:rsidR="00D4105E" w:rsidRPr="00E14102" w:rsidRDefault="00D4105E" w:rsidP="00E14102">
      <w:pPr>
        <w:autoSpaceDE w:val="0"/>
        <w:autoSpaceDN w:val="0"/>
        <w:adjustRightInd w:val="0"/>
        <w:jc w:val="both"/>
        <w:rPr>
          <w:color w:val="000000" w:themeColor="text1"/>
          <w:sz w:val="16"/>
          <w:szCs w:val="16"/>
        </w:rPr>
      </w:pPr>
    </w:p>
    <w:p w14:paraId="6EADE4E0" w14:textId="77777777" w:rsidR="003838CD" w:rsidRPr="00E14102" w:rsidRDefault="003838CD" w:rsidP="00E14102">
      <w:pPr>
        <w:jc w:val="both"/>
        <w:rPr>
          <w:color w:val="000000" w:themeColor="text1"/>
          <w:sz w:val="16"/>
          <w:szCs w:val="16"/>
        </w:rPr>
      </w:pPr>
      <w:r w:rsidRPr="00E14102">
        <w:rPr>
          <w:color w:val="000000" w:themeColor="text1"/>
          <w:sz w:val="16"/>
          <w:szCs w:val="16"/>
        </w:rPr>
        <w:t xml:space="preserve">29 января 1935 г. завод №1 им. Авиахима направил в ГУАП (по запросу самолётного отдела этого ведомства) эскизный проект фоторазведчика (т.е. проект Сильванского – С.К.) [РГАЭ Ф. 8328 оп. 1 д.795 л. 176] Ещё ранее проект был представлен руководству ВВС. 3 января 1935 г. в НИИ ВВС РККА (в документах 1935 г. он именуется НИИ ВС РККА) состоялось Тактико-техническое совещание, на котором рассматривался эскизный проект «скоростного одноместного </w:t>
      </w:r>
      <w:r w:rsidRPr="00E14102">
        <w:rPr>
          <w:color w:val="000000" w:themeColor="text1"/>
          <w:sz w:val="16"/>
          <w:szCs w:val="16"/>
        </w:rPr>
        <w:lastRenderedPageBreak/>
        <w:t>фоторазведчика». Самолёт проходил в документах под описательным названием, без специального шифра (на одном из чертежей он назван ССР - видимо, «скоростной самолёт-разведчик»). А.В.Сильванский выступил на совещании с докладом и представил письменное описание самолёта, включая два чертежа. Познакомим читателя с этим проектом на основе указанных материалов. [РГАЭ Ф. 8328 оп. 1 д.795 л. 169-175] Самолёт сконструирован по схеме свободнонесущего низкоплана и внешне весьма похож на истребитель И-16, что и не удивительно. Основные внешние отличия касаются капота мотора, схемы шасси и увеличенного заголовника по типу И-17. «В основном варианте самолёт разработан под мотор двухрядную звезду фирмы «Гном и Рон» марки «Мистраль Можор» (так в тексте) с полным наддувом и максимальной мощностью 1000 л.с.». (Полное название в документе – «Мистраль Мажор» 14 KRSd, в таком написании). На самолёте, отмечал Сильванский, могут быть установлены и другие моторы, «в частности, «Испано Сюиза 14 HARS» двухрядная звезда, с максимальной мощностью 1200 л.с., а также «Райт-Циклон F-3» с максимальной мощностью 712 л.с.». (Гном-Рон «Мистраль Мажор» часто обозначался у нас как К-14 и строился по лицензии как М-85; «Райт-Циклон F-3» строился в СССР по лицензии как М-25). Именно «Райт-Циклон F-3» был выбран как резервный вариант силовой установки. Конструкторы решили поставить на фоторазведчик капот NACA с выколотками над коробками клапанов (ради как можно большего обжатия капота); за образец были взяты капоты двигателей «Гном-Рон К-14» на французских самолётах Dewoitine D.37 и Loire 46. Такие выколотки, но большего размера и вдвое меньшего количества, предусматривались и для варианта с альтернативным 14-цилиндровым двигателем, марка которого в чертеже не указана. Согласно протоколу совещания, в варианте самолёта с мотором «Мистраль Мажор» 14 KRSd предусматривался трёхлопастный винт диаметром 2,95 м. Этот винт показан на обоих чертежах. В запасном варианте с мотором «Райт-Циклон F-3» предполагался 2-лопастный винт диметром 3,0 м. Сильванский же в своём описании для обоих вариантов указывает 3-лопастный винт диаметром 3,0 м. Моторама сварная из хромомолибденовых труб. Крыло самолёта состояло из центроплана и двух отъёмных консолей; центроплан крепился к фюзеляжу в четырёх точках. Лонжероны крыла – из термически обработанных хромомолибденовых труб, нервюры – из листового электрона специальной марки AZM. Крыло обшивалось полотном. Фюзеляж проектировался деревянный, полумонокок с работающей обшивкой из переклеенного шпона на каркасе из шпангоутов, лонжеронов и стрингеров. Основные стойки убирающегося шасси состояли из хромомолибденовых труб с масляно-пневматической амортизацией. Из чертежа явствует, что предусматривалась уборка в крыло поворотом в сторону консоли (по типу «Спитфайра» и Bf 109). Согласно пояснениям исследователя поликарповской темы В.П.Иванова, эта схема шасси была заимствована Сильванским с первого варианта самолёта И-17 (ЦКБ-15), который разрабатывался в 1934 г. (на ЦКБ-15 шасси убиралось поворотом к консолям, и только на И-17 (ЦКБ-19) шасси стало убираться поворотом к фюзеляжу). Предусматривался полый костыль, сварной из хромомолибдена, с резиновой амортизацией. Каркас хвостового оперения – целиком из электрона марки AZM, рули оперения имеют компенсацию в виде флеттнеров. Самолёт оборудовался фотоаппаратом АФА-13 для съёмки с высоты 5000 м и двумя пулемётами ШКАС с боезапасом 1000 патронов (на упомянутых чертежах вооружение не показано). В представленной Сильванским весовой ведомости (как следует понимать, для основного варианта с мотором «ГномРон») указан полный вес самолёта 1650 кг и центровка пустого самолёта 22% САХ. Геометрические данные самолёта для обоих вариантов (по чертежу): Длина фюзеляжа – 6130 мм Размах крыла – 9500 мм Размах горизонтального оперения – 3600 мм. Каков же был «генезис» данного проекта? По предположению М. Маслова, Сильванский «сумел получить доступ к одному из отложенных в сторону проектов Поликарпова. Судя по всему, это была достаточно свежая разработка – ЦКБ-25 с двигателем «Гном-Рон» «Мистраль-Мажор» К-14.» В документе для НИИ ВВС от 26.1.1935 г. Сильванским были представлены проектные ЛТХ фоторазведчика для вариантов с моторами Гном-Рон К-14 и Райт-«Циклон», которые для удобства сведены здесь в таблицу. Вариант Основной Запасной Мотор Мистраль Мажор 14 KRSd 1000 л.с. Райт-Циклон F-3 720 л.с. Воздушный винт 3-лоп. диам. 3,0 м 3-лоп. диам. 3,0 м Максимальная скорость на высоте 470 км/ч 3000 м 440 км/ч 2000 м Скороподъёмность На 1000 м На 5000 м На 6000 м 0,85 мин 4,42 мин 6,0 мин 1,20 мин 6,00 мин 8,00 мин Потолок абсолютный 9700 м (9750 м)* 9500 м Потолок практический 9200 м (8800 м)* 9100 м Посадочная скорость без щитков 117 км/ч 117 км/ч Посадочная скорость со щитками 98 км/ч 98 км/ч Техническая дальность полёта 1200 км - *В скобках – данные, приведённые Сильванским устно на совещании в НИИ ВВС РККА 3 января 1935 г., согласно выписке из протокола совещания. Как видно из этой таблицы, по скоростным данным с новым на тот момент мотором Мистраль Мажор 14 KRSd мощностью 1000 л.с. фоторазведчик обещал превзойти как уже поступивший на вооружение И-16 с М-22, так и И-16 тип 5 с М-25, который только готовился к началу серийной постройки (максимальные скорости соответственно 362 км/ч у земли и 454 км/ч). На упомянутом выше совещании в НИИ ВВС РККА начальник 1-го сектора института Лебедев предложил не ограничивать назначение самолёта только задачами по фоторазведке, а предусмотреть его использование также в качестве истребителя с увеличением запаса патронов до 1000 шт. на пулемёт за счёт веса снимаемого фотоаппарата. На совещании было доложено, что конструктор представил не все необходимые для проверочного расчёта данные, а также проект не доработан по ряду деталей конструкции – нет данных продувок – и поэтому «окончательное заключение по проекту в настоящее время дано быть не может». Далее в протоколе говорилось: «На основании обмена мнениями принято: 1. Эскизный проект в основном утвердить. 2. Иметь одно назначение самолета «скоростной одноместный фоторазведчик». 3. Вооружение самолета. а/ 2 пулемета ШКАС с запасом патрон на 500 шт.на пул-т. б/ Аэрофотоаппарат АФА-13 в/ Радиооборудование на самолете не ставить (пункт 4 в оригинале пропущен – С.К.) 5. 27 сектору совместно с конструктором отработать фотографическую часть в отношении: а/ размещения фотоаппарата и подхода к нему, б/ обеспечения обзора вниз через прорез в полу – для вывода самолета на об”ект с”емки и производства самой с”емки, уточнив и поверив выполнение этих требований на макете. 6. Нормальный запас прочности самолета иметь не ниже 2. 7. Конструктору, по окончании продувок и доработки проекта в деталях, вторично представить полный расчетный материал в НИИ для окончательного заключения» (19008).</w:t>
      </w:r>
    </w:p>
    <w:p w14:paraId="2032613C" w14:textId="77777777" w:rsidR="003838CD" w:rsidRPr="00E14102" w:rsidRDefault="003838CD" w:rsidP="00E14102">
      <w:pPr>
        <w:jc w:val="both"/>
        <w:rPr>
          <w:color w:val="000000" w:themeColor="text1"/>
          <w:sz w:val="16"/>
          <w:szCs w:val="16"/>
        </w:rPr>
      </w:pPr>
    </w:p>
    <w:p w14:paraId="47C90E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января 1935 Врид Нач. ГУАП Марголин писал письмо № 2/439сс в СТО тов. Базилевичу (вход. № 274 от 29 января 1935)</w:t>
      </w:r>
    </w:p>
    <w:p w14:paraId="074F0C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 вопросу: Невыполнение сроков сдачи на госиспытания опытных объектов (ЛК, ИП-1, И-17. СБ-ЦАГИ).</w:t>
      </w:r>
    </w:p>
    <w:p w14:paraId="7EA7A82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Ваш запрос от 16.1.35 г. за № 149 сообщаю, что запаздывание в предъявлении на госиспытания вызвано следующими причинами:</w:t>
      </w:r>
    </w:p>
    <w:p w14:paraId="00EB2B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По самолету СБ-2 Исп. 12 УБРС</w:t>
      </w:r>
    </w:p>
    <w:p w14:paraId="58EBCCB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Срок пред"явления на гос'испытания 1-.ХП.34 г., утверж</w:t>
      </w:r>
      <w:r w:rsidRPr="00E14102">
        <w:rPr>
          <w:color w:val="000000" w:themeColor="text1"/>
          <w:sz w:val="16"/>
          <w:szCs w:val="16"/>
        </w:rPr>
        <w:softHyphen/>
        <w:t>денный Правительством 14.УП.34 г., относится к первому выходящему из постройки скоростному бомбардировщику, т.е. СБ с 2 моторами "Райт-Циклон". Этот самолет на заводские испытания вышел своевременного авария, которую он по</w:t>
      </w:r>
      <w:r w:rsidRPr="00E14102">
        <w:rPr>
          <w:color w:val="000000" w:themeColor="text1"/>
          <w:sz w:val="16"/>
          <w:szCs w:val="16"/>
        </w:rPr>
        <w:softHyphen/>
        <w:t>терпел при испытании, задержала.пред"явление его в срок.</w:t>
      </w:r>
    </w:p>
    <w:p w14:paraId="6919E70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СБ-2 Испано 12 УБРС в конце декабря вышел на заводские испытания и сечас летает весьма успешно.</w:t>
      </w:r>
    </w:p>
    <w:p w14:paraId="21C07B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По самолету И-17 Испано 12 УБРС.</w:t>
      </w:r>
    </w:p>
    <w:p w14:paraId="705DA1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Срок пред"явления на госиспытания самолета - 1/ХП.34 г. не выдержан по следующим причинам:</w:t>
      </w:r>
    </w:p>
    <w:p w14:paraId="531657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Необходимость обеспечить выпуск и доводку в пер</w:t>
      </w:r>
      <w:r w:rsidRPr="00E14102">
        <w:rPr>
          <w:color w:val="000000" w:themeColor="text1"/>
          <w:sz w:val="16"/>
          <w:szCs w:val="16"/>
        </w:rPr>
        <w:softHyphen/>
        <w:t>вую очередь истребительных машин И-15, И-16 и сам. ЛР потребовала от завода № 39 концентрации конструкторских и производственных сил на вопросах, относящихся к этим са</w:t>
      </w:r>
      <w:r w:rsidRPr="00E14102">
        <w:rPr>
          <w:color w:val="000000" w:themeColor="text1"/>
          <w:sz w:val="16"/>
          <w:szCs w:val="16"/>
        </w:rPr>
        <w:softHyphen/>
        <w:t>молетам (вибрация элеронов, рыскания, переделка центро</w:t>
      </w:r>
      <w:r w:rsidRPr="00E14102">
        <w:rPr>
          <w:color w:val="000000" w:themeColor="text1"/>
          <w:sz w:val="16"/>
          <w:szCs w:val="16"/>
        </w:rPr>
        <w:softHyphen/>
        <w:t>плана сам. И-15, проектирование и изготовление нового убирающегося шасси И-16, переделка вооружения на сам. И-16, ЛР и др.). Эти обстоятельства создали в 1У-ом квартале пр.г. напряженное состояние опытного производ</w:t>
      </w:r>
      <w:r w:rsidRPr="00E14102">
        <w:rPr>
          <w:color w:val="000000" w:themeColor="text1"/>
          <w:sz w:val="16"/>
          <w:szCs w:val="16"/>
        </w:rPr>
        <w:softHyphen/>
        <w:t>ства и не дали возможности заниматься другими опытными об"ектами.</w:t>
      </w:r>
    </w:p>
    <w:p w14:paraId="1B2A6B2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на испытания будет пред"явлен 1/У.с.г.</w:t>
      </w:r>
    </w:p>
    <w:p w14:paraId="455DC5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ЛК - 2М11</w:t>
      </w:r>
    </w:p>
    <w:p w14:paraId="3975907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Причины указанные по сам. И-17, также полностью относятся и к сам. ЛК-2И11 (параболла Черановского).</w:t>
      </w:r>
    </w:p>
    <w:p w14:paraId="6E34AA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настоящее время самолет находится в сборке и бу дет пред"явлен на испытания 1.1У-с.г.</w:t>
      </w:r>
    </w:p>
    <w:p w14:paraId="7580DF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4. ТШ3-М34 Не предъявлен 1. </w:t>
      </w:r>
      <w:r w:rsidRPr="00E14102">
        <w:rPr>
          <w:color w:val="000000" w:themeColor="text1"/>
          <w:sz w:val="16"/>
          <w:szCs w:val="16"/>
          <w:lang w:val="en-US"/>
        </w:rPr>
        <w:t>XI</w:t>
      </w:r>
      <w:r w:rsidRPr="00E14102">
        <w:rPr>
          <w:color w:val="000000" w:themeColor="text1"/>
          <w:sz w:val="16"/>
          <w:szCs w:val="16"/>
        </w:rPr>
        <w:t>.34 г. вследствие необходимости конструктивных переделок, обнаруженных в процессе заводских испытаний (новое хвостовое опере</w:t>
      </w:r>
      <w:r w:rsidRPr="00E14102">
        <w:rPr>
          <w:color w:val="000000" w:themeColor="text1"/>
          <w:sz w:val="16"/>
          <w:szCs w:val="16"/>
        </w:rPr>
        <w:softHyphen/>
        <w:t>ние, новая хвостовая часть фюзеляжа), а также вслед</w:t>
      </w:r>
      <w:r w:rsidRPr="00E14102">
        <w:rPr>
          <w:color w:val="000000" w:themeColor="text1"/>
          <w:sz w:val="16"/>
          <w:szCs w:val="16"/>
        </w:rPr>
        <w:softHyphen/>
        <w:t>ствие дополнительного требования ВВС об установке измененного типа вооружения. Последнее вызвало перепроекти</w:t>
      </w:r>
      <w:r w:rsidRPr="00E14102">
        <w:rPr>
          <w:color w:val="000000" w:themeColor="text1"/>
          <w:sz w:val="16"/>
          <w:szCs w:val="16"/>
        </w:rPr>
        <w:softHyphen/>
        <w:t>ровку и дополнительные изменения в конструкции</w:t>
      </w:r>
    </w:p>
    <w:p w14:paraId="6BFEEB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ИП-1 - РЦ</w:t>
      </w:r>
    </w:p>
    <w:p w14:paraId="2DA947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ИП-1 Р.Ц. строится УСР НКТП (т. Курчевским) и находится вне системы ГУАПа и наблюдение за ходом его строительства ГУАП не ведет (3419,77).</w:t>
      </w:r>
    </w:p>
    <w:p w14:paraId="5216C7DC" w14:textId="77777777" w:rsidR="00D4105E" w:rsidRPr="00E14102" w:rsidRDefault="00D4105E" w:rsidP="00E14102">
      <w:pPr>
        <w:autoSpaceDE w:val="0"/>
        <w:autoSpaceDN w:val="0"/>
        <w:adjustRightInd w:val="0"/>
        <w:jc w:val="both"/>
        <w:rPr>
          <w:color w:val="000000" w:themeColor="text1"/>
          <w:sz w:val="16"/>
          <w:szCs w:val="16"/>
        </w:rPr>
      </w:pPr>
    </w:p>
    <w:p w14:paraId="4EFE27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января 1935 завода 29 писал письмо N 12/187 Нач. ГУАП Королев о том, что для проведения летных испытаний мотора М-58МН на одном из истребителей завод 29 направил 28 сентября 1934 на завод 39 макет мотора для подготовки самолетов, а 15 января 1935 - первый мотор и 1 февраля 1939 - второй мотор. Завод никакой подготовки к испытаниям не провел (2337,199).</w:t>
      </w:r>
    </w:p>
    <w:p w14:paraId="073D440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проведения летных испытаний мотора "М-58МН" на одном из истребителей заводом был отправлен 28-го Сентября 1934 г. макет мотора для подготовки самолетов.</w:t>
      </w:r>
    </w:p>
    <w:p w14:paraId="54673F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15/1-35 г. отправлен заводу № 39 мотор.</w:t>
      </w:r>
    </w:p>
    <w:p w14:paraId="17F5F0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1/П-35 г. направляется второй мотор.</w:t>
      </w:r>
    </w:p>
    <w:p w14:paraId="51148CA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Выяснилось, что никакой подготовки к испытанию проведено заводом № 39 не было.</w:t>
      </w:r>
    </w:p>
    <w:p w14:paraId="1C6529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настоящее время даже не решен вопрос какой из заводов будет испытывать мотор: 21 или 39, несмотря на ранее данное распорлвение ГУАП"ом о проведении этой работы на заводе № 39....(2337,199).</w:t>
      </w:r>
    </w:p>
    <w:p w14:paraId="6FE89D60" w14:textId="77777777" w:rsidR="00D4105E" w:rsidRPr="00E14102" w:rsidRDefault="00D4105E" w:rsidP="00E14102">
      <w:pPr>
        <w:autoSpaceDE w:val="0"/>
        <w:autoSpaceDN w:val="0"/>
        <w:adjustRightInd w:val="0"/>
        <w:jc w:val="both"/>
        <w:rPr>
          <w:color w:val="000000" w:themeColor="text1"/>
          <w:sz w:val="16"/>
          <w:szCs w:val="16"/>
        </w:rPr>
      </w:pPr>
    </w:p>
    <w:p w14:paraId="49EA4E6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CCEC03A" w14:textId="77777777" w:rsidR="00D4105E" w:rsidRPr="00E14102" w:rsidRDefault="00D4105E" w:rsidP="00E14102">
      <w:pPr>
        <w:autoSpaceDE w:val="0"/>
        <w:autoSpaceDN w:val="0"/>
        <w:adjustRightInd w:val="0"/>
        <w:jc w:val="both"/>
        <w:rPr>
          <w:iCs/>
          <w:color w:val="000000" w:themeColor="text1"/>
          <w:sz w:val="16"/>
          <w:szCs w:val="16"/>
        </w:rPr>
      </w:pPr>
    </w:p>
    <w:p w14:paraId="62B13FBE" w14:textId="77777777" w:rsidR="008F43A8" w:rsidRPr="00E14102" w:rsidRDefault="008F43A8" w:rsidP="00E14102">
      <w:pPr>
        <w:jc w:val="both"/>
        <w:rPr>
          <w:rStyle w:val="a6"/>
          <w:i w:val="0"/>
          <w:color w:val="000000" w:themeColor="text1"/>
          <w:sz w:val="16"/>
          <w:szCs w:val="16"/>
        </w:rPr>
      </w:pPr>
      <w:r w:rsidRPr="00E14102">
        <w:rPr>
          <w:rStyle w:val="a6"/>
          <w:i w:val="0"/>
          <w:color w:val="000000" w:themeColor="text1"/>
          <w:sz w:val="16"/>
          <w:szCs w:val="16"/>
        </w:rPr>
        <w:t xml:space="preserve">Не позднее 29 января 1935 г.¹* </w:t>
      </w:r>
      <w:r w:rsidRPr="00E14102">
        <w:rPr>
          <w:color w:val="000000" w:themeColor="text1"/>
          <w:sz w:val="16"/>
          <w:szCs w:val="16"/>
        </w:rPr>
        <w:t>Из справки Патронно-гильзового треста ГВМУ об итогах годовой работы по основной деятельности за 1934 г.</w:t>
      </w:r>
    </w:p>
    <w:p w14:paraId="44E75196" w14:textId="77777777" w:rsidR="008F43A8" w:rsidRPr="00E14102" w:rsidRDefault="008F43A8"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7931C11A" w14:textId="77777777" w:rsidR="008F43A8" w:rsidRPr="00E14102" w:rsidRDefault="008F43A8" w:rsidP="00E14102">
      <w:pPr>
        <w:jc w:val="both"/>
        <w:rPr>
          <w:color w:val="000000" w:themeColor="text1"/>
          <w:sz w:val="16"/>
          <w:szCs w:val="16"/>
        </w:rPr>
      </w:pPr>
      <w:r w:rsidRPr="00E14102">
        <w:rPr>
          <w:color w:val="000000" w:themeColor="text1"/>
          <w:sz w:val="16"/>
          <w:szCs w:val="16"/>
        </w:rPr>
        <w:lastRenderedPageBreak/>
        <w:t>I. Выполнение плана валовой продукции</w:t>
      </w:r>
    </w:p>
    <w:p w14:paraId="04CA0BF1"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Задано по плану 98 157 тыс. руб. Выполнено 92 216 тыс. руб. Процент к плану — 93,9%. В том числе: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53"/>
        <w:gridCol w:w="2398"/>
        <w:gridCol w:w="3490"/>
        <w:gridCol w:w="2482"/>
      </w:tblGrid>
      <w:tr w:rsidR="00E3599D" w:rsidRPr="00E14102" w14:paraId="314F907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38DC04" w14:textId="77777777" w:rsidR="008F43A8" w:rsidRPr="00E14102" w:rsidRDefault="008F43A8"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D5985" w14:textId="77777777" w:rsidR="008F43A8" w:rsidRPr="00E14102" w:rsidRDefault="008F43A8" w:rsidP="00E14102">
            <w:pPr>
              <w:jc w:val="both"/>
              <w:rPr>
                <w:color w:val="000000" w:themeColor="text1"/>
                <w:sz w:val="16"/>
                <w:szCs w:val="16"/>
              </w:rPr>
            </w:pPr>
            <w:r w:rsidRPr="00E14102">
              <w:rPr>
                <w:color w:val="000000" w:themeColor="text1"/>
                <w:sz w:val="16"/>
                <w:szCs w:val="16"/>
              </w:rPr>
              <w:t>план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03BE0" w14:textId="77777777" w:rsidR="008F43A8" w:rsidRPr="00E14102" w:rsidRDefault="008F43A8" w:rsidP="00E14102">
            <w:pPr>
              <w:jc w:val="both"/>
              <w:rPr>
                <w:color w:val="000000" w:themeColor="text1"/>
                <w:sz w:val="16"/>
                <w:szCs w:val="16"/>
              </w:rPr>
            </w:pPr>
            <w:r w:rsidRPr="00E14102">
              <w:rPr>
                <w:color w:val="000000" w:themeColor="text1"/>
                <w:sz w:val="16"/>
                <w:szCs w:val="16"/>
              </w:rPr>
              <w:t>выполнение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5E42E" w14:textId="77777777" w:rsidR="008F43A8" w:rsidRPr="00E14102" w:rsidRDefault="008F43A8" w:rsidP="00E14102">
            <w:pPr>
              <w:jc w:val="both"/>
              <w:rPr>
                <w:color w:val="000000" w:themeColor="text1"/>
                <w:sz w:val="16"/>
                <w:szCs w:val="16"/>
              </w:rPr>
            </w:pPr>
            <w:r w:rsidRPr="00E14102">
              <w:rPr>
                <w:color w:val="000000" w:themeColor="text1"/>
                <w:sz w:val="16"/>
                <w:szCs w:val="16"/>
              </w:rPr>
              <w:t>процент к плану</w:t>
            </w:r>
          </w:p>
        </w:tc>
      </w:tr>
      <w:tr w:rsidR="00E3599D" w:rsidRPr="00E14102" w14:paraId="714CDC2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658084" w14:textId="77777777" w:rsidR="008F43A8" w:rsidRPr="00E14102" w:rsidRDefault="008F43A8" w:rsidP="00E14102">
            <w:pPr>
              <w:jc w:val="both"/>
              <w:rPr>
                <w:color w:val="000000" w:themeColor="text1"/>
                <w:sz w:val="16"/>
                <w:szCs w:val="16"/>
              </w:rPr>
            </w:pPr>
            <w:r w:rsidRPr="00E14102">
              <w:rPr>
                <w:color w:val="000000" w:themeColor="text1"/>
                <w:sz w:val="16"/>
                <w:szCs w:val="16"/>
              </w:rPr>
              <w:t>по 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021A4" w14:textId="77777777" w:rsidR="008F43A8" w:rsidRPr="00E14102" w:rsidRDefault="008F43A8" w:rsidP="00E14102">
            <w:pPr>
              <w:jc w:val="both"/>
              <w:rPr>
                <w:color w:val="000000" w:themeColor="text1"/>
                <w:sz w:val="16"/>
                <w:szCs w:val="16"/>
              </w:rPr>
            </w:pPr>
            <w:r w:rsidRPr="00E14102">
              <w:rPr>
                <w:color w:val="000000" w:themeColor="text1"/>
                <w:sz w:val="16"/>
                <w:szCs w:val="16"/>
              </w:rPr>
              <w:t>47 324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77AAE" w14:textId="77777777" w:rsidR="008F43A8" w:rsidRPr="00E14102" w:rsidRDefault="008F43A8" w:rsidP="00E14102">
            <w:pPr>
              <w:jc w:val="both"/>
              <w:rPr>
                <w:color w:val="000000" w:themeColor="text1"/>
                <w:sz w:val="16"/>
                <w:szCs w:val="16"/>
              </w:rPr>
            </w:pPr>
            <w:r w:rsidRPr="00E14102">
              <w:rPr>
                <w:color w:val="000000" w:themeColor="text1"/>
                <w:sz w:val="16"/>
                <w:szCs w:val="16"/>
              </w:rPr>
              <w:t>35 348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A207A" w14:textId="77777777" w:rsidR="008F43A8" w:rsidRPr="00E14102" w:rsidRDefault="008F43A8" w:rsidP="00E14102">
            <w:pPr>
              <w:jc w:val="both"/>
              <w:rPr>
                <w:color w:val="000000" w:themeColor="text1"/>
                <w:sz w:val="16"/>
                <w:szCs w:val="16"/>
              </w:rPr>
            </w:pPr>
            <w:r w:rsidRPr="00E14102">
              <w:rPr>
                <w:color w:val="000000" w:themeColor="text1"/>
                <w:sz w:val="16"/>
                <w:szCs w:val="16"/>
              </w:rPr>
              <w:t>74,5</w:t>
            </w:r>
          </w:p>
        </w:tc>
      </w:tr>
      <w:tr w:rsidR="00E3599D" w:rsidRPr="00E14102" w14:paraId="238A608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A6EF3B" w14:textId="77777777" w:rsidR="008F43A8" w:rsidRPr="00E14102" w:rsidRDefault="008F43A8" w:rsidP="00E14102">
            <w:pPr>
              <w:jc w:val="both"/>
              <w:rPr>
                <w:color w:val="000000" w:themeColor="text1"/>
                <w:sz w:val="16"/>
                <w:szCs w:val="16"/>
              </w:rPr>
            </w:pPr>
            <w:r w:rsidRPr="00E14102">
              <w:rPr>
                <w:color w:val="000000" w:themeColor="text1"/>
                <w:sz w:val="16"/>
                <w:szCs w:val="16"/>
              </w:rPr>
              <w:t>по мирной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47849" w14:textId="77777777" w:rsidR="008F43A8" w:rsidRPr="00E14102" w:rsidRDefault="008F43A8" w:rsidP="00E14102">
            <w:pPr>
              <w:jc w:val="both"/>
              <w:rPr>
                <w:color w:val="000000" w:themeColor="text1"/>
                <w:sz w:val="16"/>
                <w:szCs w:val="16"/>
              </w:rPr>
            </w:pPr>
            <w:r w:rsidRPr="00E14102">
              <w:rPr>
                <w:color w:val="000000" w:themeColor="text1"/>
                <w:sz w:val="16"/>
                <w:szCs w:val="16"/>
              </w:rPr>
              <w:t>42 239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757CB" w14:textId="77777777" w:rsidR="008F43A8" w:rsidRPr="00E14102" w:rsidRDefault="008F43A8" w:rsidP="00E14102">
            <w:pPr>
              <w:jc w:val="both"/>
              <w:rPr>
                <w:color w:val="000000" w:themeColor="text1"/>
                <w:sz w:val="16"/>
                <w:szCs w:val="16"/>
              </w:rPr>
            </w:pPr>
            <w:r w:rsidRPr="00E14102">
              <w:rPr>
                <w:color w:val="000000" w:themeColor="text1"/>
                <w:sz w:val="16"/>
                <w:szCs w:val="16"/>
              </w:rPr>
              <w:t>39 812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FE755" w14:textId="77777777" w:rsidR="008F43A8" w:rsidRPr="00E14102" w:rsidRDefault="008F43A8" w:rsidP="00E14102">
            <w:pPr>
              <w:jc w:val="both"/>
              <w:rPr>
                <w:color w:val="000000" w:themeColor="text1"/>
                <w:sz w:val="16"/>
                <w:szCs w:val="16"/>
              </w:rPr>
            </w:pPr>
            <w:r w:rsidRPr="00E14102">
              <w:rPr>
                <w:color w:val="000000" w:themeColor="text1"/>
                <w:sz w:val="16"/>
                <w:szCs w:val="16"/>
              </w:rPr>
              <w:t>94,3</w:t>
            </w:r>
          </w:p>
        </w:tc>
      </w:tr>
      <w:tr w:rsidR="00E3599D" w:rsidRPr="00E14102" w14:paraId="15F364C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A5DACF" w14:textId="77777777" w:rsidR="008F43A8" w:rsidRPr="00E14102" w:rsidRDefault="008F43A8" w:rsidP="00E14102">
            <w:pPr>
              <w:jc w:val="both"/>
              <w:rPr>
                <w:color w:val="000000" w:themeColor="text1"/>
                <w:sz w:val="16"/>
                <w:szCs w:val="16"/>
              </w:rPr>
            </w:pPr>
            <w:r w:rsidRPr="00E14102">
              <w:rPr>
                <w:color w:val="000000" w:themeColor="text1"/>
                <w:sz w:val="16"/>
                <w:szCs w:val="16"/>
              </w:rPr>
              <w:t>по междузаводской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800C8" w14:textId="77777777" w:rsidR="008F43A8" w:rsidRPr="00E14102" w:rsidRDefault="008F43A8" w:rsidP="00E14102">
            <w:pPr>
              <w:jc w:val="both"/>
              <w:rPr>
                <w:color w:val="000000" w:themeColor="text1"/>
                <w:sz w:val="16"/>
                <w:szCs w:val="16"/>
              </w:rPr>
            </w:pPr>
            <w:r w:rsidRPr="00E14102">
              <w:rPr>
                <w:color w:val="000000" w:themeColor="text1"/>
                <w:sz w:val="16"/>
                <w:szCs w:val="16"/>
              </w:rPr>
              <w:t>6048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2BA5F" w14:textId="77777777" w:rsidR="008F43A8" w:rsidRPr="00E14102" w:rsidRDefault="008F43A8" w:rsidP="00E14102">
            <w:pPr>
              <w:jc w:val="both"/>
              <w:rPr>
                <w:color w:val="000000" w:themeColor="text1"/>
                <w:sz w:val="16"/>
                <w:szCs w:val="16"/>
              </w:rPr>
            </w:pPr>
            <w:r w:rsidRPr="00E14102">
              <w:rPr>
                <w:color w:val="000000" w:themeColor="text1"/>
                <w:sz w:val="16"/>
                <w:szCs w:val="16"/>
              </w:rPr>
              <w:t>6345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48D74" w14:textId="77777777" w:rsidR="008F43A8" w:rsidRPr="00E14102" w:rsidRDefault="008F43A8" w:rsidP="00E14102">
            <w:pPr>
              <w:jc w:val="both"/>
              <w:rPr>
                <w:color w:val="000000" w:themeColor="text1"/>
                <w:sz w:val="16"/>
                <w:szCs w:val="16"/>
              </w:rPr>
            </w:pPr>
            <w:r w:rsidRPr="00E14102">
              <w:rPr>
                <w:color w:val="000000" w:themeColor="text1"/>
                <w:sz w:val="16"/>
                <w:szCs w:val="16"/>
              </w:rPr>
              <w:t>104,9</w:t>
            </w:r>
          </w:p>
        </w:tc>
      </w:tr>
    </w:tbl>
    <w:p w14:paraId="356EAECA"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По сравнению с 1933 г.: вся продукция — 117,9%; военная — 87,9%, гражданская — 133,4%.</w:t>
      </w:r>
    </w:p>
    <w:p w14:paraId="72345C90" w14:textId="77777777" w:rsidR="008F43A8" w:rsidRPr="00E14102" w:rsidRDefault="008F43A8" w:rsidP="00E14102">
      <w:pPr>
        <w:jc w:val="both"/>
        <w:rPr>
          <w:color w:val="000000" w:themeColor="text1"/>
          <w:sz w:val="16"/>
          <w:szCs w:val="16"/>
        </w:rPr>
      </w:pPr>
      <w:r w:rsidRPr="00E14102">
        <w:rPr>
          <w:color w:val="000000" w:themeColor="text1"/>
          <w:sz w:val="16"/>
          <w:szCs w:val="16"/>
        </w:rPr>
        <w:t>II. Выполнение плана по товарной продукции в отпускных ценах</w:t>
      </w:r>
    </w:p>
    <w:p w14:paraId="5DCFF0B4"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Задано — 110 074 тыс. руб.; выполнено — 100 990 тыс. руб.; процент выполнения — 91,7%. В том числе: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96"/>
        <w:gridCol w:w="2899"/>
        <w:gridCol w:w="3027"/>
        <w:gridCol w:w="3001"/>
      </w:tblGrid>
      <w:tr w:rsidR="00E3599D" w:rsidRPr="00E14102" w14:paraId="28BC39F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5214EB" w14:textId="77777777" w:rsidR="008F43A8" w:rsidRPr="00E14102" w:rsidRDefault="008F43A8"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92196" w14:textId="77777777" w:rsidR="008F43A8" w:rsidRPr="00E14102" w:rsidRDefault="008F43A8" w:rsidP="00E14102">
            <w:pPr>
              <w:jc w:val="both"/>
              <w:rPr>
                <w:color w:val="000000" w:themeColor="text1"/>
                <w:sz w:val="16"/>
                <w:szCs w:val="16"/>
              </w:rPr>
            </w:pPr>
            <w:r w:rsidRPr="00E14102">
              <w:rPr>
                <w:color w:val="000000" w:themeColor="text1"/>
                <w:sz w:val="16"/>
                <w:szCs w:val="16"/>
              </w:rPr>
              <w:t>план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A4366" w14:textId="77777777" w:rsidR="008F43A8" w:rsidRPr="00E14102" w:rsidRDefault="008F43A8" w:rsidP="00E14102">
            <w:pPr>
              <w:jc w:val="both"/>
              <w:rPr>
                <w:color w:val="000000" w:themeColor="text1"/>
                <w:sz w:val="16"/>
                <w:szCs w:val="16"/>
              </w:rPr>
            </w:pPr>
            <w:r w:rsidRPr="00E14102">
              <w:rPr>
                <w:color w:val="000000" w:themeColor="text1"/>
                <w:sz w:val="16"/>
                <w:szCs w:val="16"/>
              </w:rPr>
              <w:t>отчет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8539C" w14:textId="77777777" w:rsidR="008F43A8" w:rsidRPr="00E14102" w:rsidRDefault="008F43A8" w:rsidP="00E14102">
            <w:pPr>
              <w:jc w:val="both"/>
              <w:rPr>
                <w:color w:val="000000" w:themeColor="text1"/>
                <w:sz w:val="16"/>
                <w:szCs w:val="16"/>
              </w:rPr>
            </w:pPr>
            <w:r w:rsidRPr="00E14102">
              <w:rPr>
                <w:color w:val="000000" w:themeColor="text1"/>
                <w:sz w:val="16"/>
                <w:szCs w:val="16"/>
              </w:rPr>
              <w:t>процент к плану</w:t>
            </w:r>
          </w:p>
        </w:tc>
      </w:tr>
      <w:tr w:rsidR="00E3599D" w:rsidRPr="00E14102" w14:paraId="227E70A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07F48B" w14:textId="77777777" w:rsidR="008F43A8" w:rsidRPr="00E14102" w:rsidRDefault="008F43A8" w:rsidP="00E14102">
            <w:pPr>
              <w:jc w:val="both"/>
              <w:rPr>
                <w:color w:val="000000" w:themeColor="text1"/>
                <w:sz w:val="16"/>
                <w:szCs w:val="16"/>
              </w:rPr>
            </w:pPr>
            <w:r w:rsidRPr="00E14102">
              <w:rPr>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D6D76" w14:textId="77777777" w:rsidR="008F43A8" w:rsidRPr="00E14102" w:rsidRDefault="008F43A8" w:rsidP="00E14102">
            <w:pPr>
              <w:jc w:val="both"/>
              <w:rPr>
                <w:color w:val="000000" w:themeColor="text1"/>
                <w:sz w:val="16"/>
                <w:szCs w:val="16"/>
              </w:rPr>
            </w:pPr>
            <w:r w:rsidRPr="00E14102">
              <w:rPr>
                <w:color w:val="000000" w:themeColor="text1"/>
                <w:sz w:val="16"/>
                <w:szCs w:val="16"/>
              </w:rPr>
              <w:t>68 033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D101A" w14:textId="77777777" w:rsidR="008F43A8" w:rsidRPr="00E14102" w:rsidRDefault="008F43A8" w:rsidP="00E14102">
            <w:pPr>
              <w:jc w:val="both"/>
              <w:rPr>
                <w:color w:val="000000" w:themeColor="text1"/>
                <w:sz w:val="16"/>
                <w:szCs w:val="16"/>
              </w:rPr>
            </w:pPr>
            <w:r w:rsidRPr="00E14102">
              <w:rPr>
                <w:color w:val="000000" w:themeColor="text1"/>
                <w:sz w:val="16"/>
                <w:szCs w:val="16"/>
              </w:rPr>
              <w:t>52 202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F6CD1" w14:textId="77777777" w:rsidR="008F43A8" w:rsidRPr="00E14102" w:rsidRDefault="008F43A8" w:rsidP="00E14102">
            <w:pPr>
              <w:jc w:val="both"/>
              <w:rPr>
                <w:color w:val="000000" w:themeColor="text1"/>
                <w:sz w:val="16"/>
                <w:szCs w:val="16"/>
              </w:rPr>
            </w:pPr>
            <w:r w:rsidRPr="00E14102">
              <w:rPr>
                <w:color w:val="000000" w:themeColor="text1"/>
                <w:sz w:val="16"/>
                <w:szCs w:val="16"/>
              </w:rPr>
              <w:t>81,9</w:t>
            </w:r>
          </w:p>
        </w:tc>
      </w:tr>
      <w:tr w:rsidR="00E3599D" w:rsidRPr="00E14102" w14:paraId="13570F5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B5AC7C" w14:textId="77777777" w:rsidR="008F43A8" w:rsidRPr="00E14102" w:rsidRDefault="008F43A8" w:rsidP="00E14102">
            <w:pPr>
              <w:jc w:val="both"/>
              <w:rPr>
                <w:color w:val="000000" w:themeColor="text1"/>
                <w:sz w:val="16"/>
                <w:szCs w:val="16"/>
              </w:rPr>
            </w:pPr>
            <w:r w:rsidRPr="00E14102">
              <w:rPr>
                <w:color w:val="000000" w:themeColor="text1"/>
                <w:sz w:val="16"/>
                <w:szCs w:val="16"/>
              </w:rPr>
              <w:t>Гражданская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6F2C1" w14:textId="77777777" w:rsidR="008F43A8" w:rsidRPr="00E14102" w:rsidRDefault="008F43A8" w:rsidP="00E14102">
            <w:pPr>
              <w:jc w:val="both"/>
              <w:rPr>
                <w:color w:val="000000" w:themeColor="text1"/>
                <w:sz w:val="16"/>
                <w:szCs w:val="16"/>
              </w:rPr>
            </w:pPr>
            <w:r w:rsidRPr="00E14102">
              <w:rPr>
                <w:color w:val="000000" w:themeColor="text1"/>
                <w:sz w:val="16"/>
                <w:szCs w:val="16"/>
              </w:rPr>
              <w:t>36 967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BAA90" w14:textId="77777777" w:rsidR="008F43A8" w:rsidRPr="00E14102" w:rsidRDefault="008F43A8" w:rsidP="00E14102">
            <w:pPr>
              <w:jc w:val="both"/>
              <w:rPr>
                <w:color w:val="000000" w:themeColor="text1"/>
                <w:sz w:val="16"/>
                <w:szCs w:val="16"/>
              </w:rPr>
            </w:pPr>
            <w:r w:rsidRPr="00E14102">
              <w:rPr>
                <w:color w:val="000000" w:themeColor="text1"/>
                <w:sz w:val="16"/>
                <w:szCs w:val="16"/>
              </w:rPr>
              <w:t>33 659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AFE9F" w14:textId="77777777" w:rsidR="008F43A8" w:rsidRPr="00E14102" w:rsidRDefault="008F43A8" w:rsidP="00E14102">
            <w:pPr>
              <w:jc w:val="both"/>
              <w:rPr>
                <w:color w:val="000000" w:themeColor="text1"/>
                <w:sz w:val="16"/>
                <w:szCs w:val="16"/>
              </w:rPr>
            </w:pPr>
            <w:r w:rsidRPr="00E14102">
              <w:rPr>
                <w:color w:val="000000" w:themeColor="text1"/>
                <w:sz w:val="16"/>
                <w:szCs w:val="16"/>
              </w:rPr>
              <w:t>88,2</w:t>
            </w:r>
          </w:p>
        </w:tc>
      </w:tr>
    </w:tbl>
    <w:p w14:paraId="0DF3D3C6" w14:textId="77777777" w:rsidR="008F43A8" w:rsidRPr="00E14102" w:rsidRDefault="008F43A8" w:rsidP="00E14102">
      <w:pPr>
        <w:pStyle w:val="ad"/>
        <w:spacing w:before="0" w:after="0"/>
        <w:rPr>
          <w:rStyle w:val="a3"/>
          <w:rFonts w:ascii="Times New Roman" w:eastAsiaTheme="majorEastAsia" w:hAnsi="Times New Roman" w:cs="Times New Roman"/>
          <w:b w:val="0"/>
          <w:color w:val="000000" w:themeColor="text1"/>
          <w:sz w:val="16"/>
          <w:szCs w:val="16"/>
        </w:rPr>
      </w:pPr>
      <w:r w:rsidRPr="00E14102">
        <w:rPr>
          <w:rFonts w:ascii="Times New Roman" w:hAnsi="Times New Roman" w:cs="Times New Roman"/>
          <w:color w:val="000000" w:themeColor="text1"/>
          <w:sz w:val="16"/>
          <w:szCs w:val="16"/>
        </w:rPr>
        <w:t>Недодел по главнейшим изделиям</w:t>
      </w:r>
    </w:p>
    <w:p w14:paraId="5E1006A1" w14:textId="77777777" w:rsidR="008F43A8" w:rsidRPr="00E14102" w:rsidRDefault="008F43A8" w:rsidP="00E14102">
      <w:pPr>
        <w:pStyle w:val="ad"/>
        <w:spacing w:before="0" w:after="0"/>
        <w:rPr>
          <w:rFonts w:ascii="Times New Roman" w:hAnsi="Times New Roman" w:cs="Times New Roman"/>
          <w:color w:val="000000" w:themeColor="text1"/>
          <w:sz w:val="16"/>
          <w:szCs w:val="16"/>
        </w:rPr>
      </w:pPr>
      <w:r w:rsidRPr="00E14102">
        <w:rPr>
          <w:rStyle w:val="a3"/>
          <w:rFonts w:ascii="Times New Roman" w:eastAsiaTheme="majorEastAsia" w:hAnsi="Times New Roman" w:cs="Times New Roman"/>
          <w:b w:val="0"/>
          <w:color w:val="000000" w:themeColor="text1"/>
          <w:sz w:val="16"/>
          <w:szCs w:val="16"/>
        </w:rPr>
        <w:t>Военные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293"/>
        <w:gridCol w:w="1030"/>
      </w:tblGrid>
      <w:tr w:rsidR="00E3599D" w:rsidRPr="00E14102" w14:paraId="32DFE7B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DB3511" w14:textId="77777777" w:rsidR="008F43A8" w:rsidRPr="00E14102" w:rsidRDefault="008F43A8"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F9A34" w14:textId="77777777" w:rsidR="008F43A8" w:rsidRPr="00E14102" w:rsidRDefault="008F43A8" w:rsidP="00E14102">
            <w:pPr>
              <w:jc w:val="both"/>
              <w:rPr>
                <w:color w:val="000000" w:themeColor="text1"/>
                <w:sz w:val="16"/>
                <w:szCs w:val="16"/>
              </w:rPr>
            </w:pPr>
            <w:r w:rsidRPr="00E14102">
              <w:rPr>
                <w:color w:val="000000" w:themeColor="text1"/>
                <w:sz w:val="16"/>
                <w:szCs w:val="16"/>
              </w:rPr>
              <w:t>Процент недо-</w:t>
            </w:r>
            <w:r w:rsidRPr="00E14102">
              <w:rPr>
                <w:color w:val="000000" w:themeColor="text1"/>
                <w:sz w:val="16"/>
                <w:szCs w:val="16"/>
              </w:rPr>
              <w:softHyphen/>
            </w:r>
          </w:p>
          <w:p w14:paraId="631B8C3D" w14:textId="77777777" w:rsidR="008F43A8" w:rsidRPr="00E14102" w:rsidRDefault="008F43A8" w:rsidP="00E14102">
            <w:pPr>
              <w:jc w:val="both"/>
              <w:rPr>
                <w:color w:val="000000" w:themeColor="text1"/>
                <w:sz w:val="16"/>
                <w:szCs w:val="16"/>
              </w:rPr>
            </w:pPr>
            <w:r w:rsidRPr="00E14102">
              <w:rPr>
                <w:color w:val="000000" w:themeColor="text1"/>
                <w:sz w:val="16"/>
                <w:szCs w:val="16"/>
              </w:rPr>
              <w:t>выполнения</w:t>
            </w:r>
          </w:p>
        </w:tc>
      </w:tr>
      <w:tr w:rsidR="00E3599D" w:rsidRPr="00E14102" w14:paraId="36C53D3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C90C01" w14:textId="77777777" w:rsidR="008F43A8" w:rsidRPr="00E14102" w:rsidRDefault="008F43A8" w:rsidP="00E14102">
            <w:pPr>
              <w:jc w:val="both"/>
              <w:rPr>
                <w:color w:val="000000" w:themeColor="text1"/>
                <w:sz w:val="16"/>
                <w:szCs w:val="16"/>
              </w:rPr>
            </w:pPr>
            <w:r w:rsidRPr="00E14102">
              <w:rPr>
                <w:rStyle w:val="a6"/>
                <w:i w:val="0"/>
                <w:color w:val="000000" w:themeColor="text1"/>
                <w:sz w:val="16"/>
                <w:szCs w:val="16"/>
              </w:rPr>
              <w:t>Винтпатроны ГЛ ИЖ трассирующие</w:t>
            </w:r>
          </w:p>
          <w:p w14:paraId="05DE68DE" w14:textId="77777777" w:rsidR="008F43A8" w:rsidRPr="00E14102" w:rsidRDefault="008F43A8" w:rsidP="00E14102">
            <w:pPr>
              <w:jc w:val="both"/>
              <w:rPr>
                <w:color w:val="000000" w:themeColor="text1"/>
                <w:sz w:val="16"/>
                <w:szCs w:val="16"/>
              </w:rPr>
            </w:pPr>
            <w:r w:rsidRPr="00E14102">
              <w:rPr>
                <w:color w:val="000000" w:themeColor="text1"/>
                <w:sz w:val="16"/>
                <w:szCs w:val="16"/>
              </w:rPr>
              <w:t>Медленность освоения этого производства, большой процент брака и перебои со снабжением материалами как по химикалиям, так и по цветным металлам; последнее вынудило переход на железную гильзу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9D2B5" w14:textId="77777777" w:rsidR="008F43A8" w:rsidRPr="00E14102" w:rsidRDefault="008F43A8" w:rsidP="00E14102">
            <w:pPr>
              <w:jc w:val="both"/>
              <w:rPr>
                <w:color w:val="000000" w:themeColor="text1"/>
                <w:sz w:val="16"/>
                <w:szCs w:val="16"/>
              </w:rPr>
            </w:pPr>
            <w:r w:rsidRPr="00E14102">
              <w:rPr>
                <w:color w:val="000000" w:themeColor="text1"/>
                <w:sz w:val="16"/>
                <w:szCs w:val="16"/>
              </w:rPr>
              <w:t>86,4</w:t>
            </w:r>
          </w:p>
        </w:tc>
      </w:tr>
      <w:tr w:rsidR="00E3599D" w:rsidRPr="00E14102" w14:paraId="012B236E"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CA9AE2" w14:textId="77777777" w:rsidR="008F43A8" w:rsidRPr="00E14102" w:rsidRDefault="008F43A8" w:rsidP="00E14102">
            <w:pPr>
              <w:jc w:val="both"/>
              <w:rPr>
                <w:color w:val="000000" w:themeColor="text1"/>
                <w:sz w:val="16"/>
                <w:szCs w:val="16"/>
              </w:rPr>
            </w:pPr>
            <w:r w:rsidRPr="00E14102">
              <w:rPr>
                <w:rStyle w:val="a6"/>
                <w:i w:val="0"/>
                <w:color w:val="000000" w:themeColor="text1"/>
                <w:sz w:val="16"/>
                <w:szCs w:val="16"/>
              </w:rPr>
              <w:t>Винтпатроны ПЛ ПЖ бронебойные 1930 г.</w:t>
            </w:r>
          </w:p>
          <w:p w14:paraId="42A4AE83" w14:textId="77777777" w:rsidR="008F43A8" w:rsidRPr="00E14102" w:rsidRDefault="008F43A8" w:rsidP="00E14102">
            <w:pPr>
              <w:jc w:val="both"/>
              <w:rPr>
                <w:color w:val="000000" w:themeColor="text1"/>
                <w:sz w:val="16"/>
                <w:szCs w:val="16"/>
              </w:rPr>
            </w:pPr>
            <w:r w:rsidRPr="00E14102">
              <w:rPr>
                <w:color w:val="000000" w:themeColor="text1"/>
                <w:sz w:val="16"/>
                <w:szCs w:val="16"/>
              </w:rPr>
              <w:t>Перебои со снабжением специальными сталями, вынужденный переход на железную гильзу и медленность освоения производства на заводе № 17 бронебойных сердечников, брак по которым доходил до 50-60%.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7AC55" w14:textId="77777777" w:rsidR="008F43A8" w:rsidRPr="00E14102" w:rsidRDefault="008F43A8" w:rsidP="00E14102">
            <w:pPr>
              <w:jc w:val="both"/>
              <w:rPr>
                <w:color w:val="000000" w:themeColor="text1"/>
                <w:sz w:val="16"/>
                <w:szCs w:val="16"/>
              </w:rPr>
            </w:pPr>
            <w:r w:rsidRPr="00E14102">
              <w:rPr>
                <w:color w:val="000000" w:themeColor="text1"/>
                <w:sz w:val="16"/>
                <w:szCs w:val="16"/>
              </w:rPr>
              <w:t>83,7%</w:t>
            </w:r>
          </w:p>
        </w:tc>
      </w:tr>
      <w:tr w:rsidR="00E3599D" w:rsidRPr="00E14102" w14:paraId="23DCE64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FAF1AC" w14:textId="77777777" w:rsidR="008F43A8" w:rsidRPr="00E14102" w:rsidRDefault="008F43A8" w:rsidP="00E14102">
            <w:pPr>
              <w:jc w:val="both"/>
              <w:rPr>
                <w:color w:val="000000" w:themeColor="text1"/>
                <w:sz w:val="16"/>
                <w:szCs w:val="16"/>
              </w:rPr>
            </w:pPr>
            <w:r w:rsidRPr="00E14102">
              <w:rPr>
                <w:rStyle w:val="a6"/>
                <w:i w:val="0"/>
                <w:color w:val="000000" w:themeColor="text1"/>
                <w:sz w:val="16"/>
                <w:szCs w:val="16"/>
              </w:rPr>
              <w:t>Ревпатроны «Наган» ГЛ</w:t>
            </w:r>
          </w:p>
          <w:p w14:paraId="2C1654F7" w14:textId="77777777" w:rsidR="008F43A8" w:rsidRPr="00E14102" w:rsidRDefault="008F43A8" w:rsidP="00E14102">
            <w:pPr>
              <w:jc w:val="both"/>
              <w:rPr>
                <w:color w:val="000000" w:themeColor="text1"/>
                <w:sz w:val="16"/>
                <w:szCs w:val="16"/>
              </w:rPr>
            </w:pPr>
            <w:r w:rsidRPr="00E14102">
              <w:rPr>
                <w:color w:val="000000" w:themeColor="text1"/>
                <w:sz w:val="16"/>
                <w:szCs w:val="16"/>
              </w:rPr>
              <w:t>Недоснабжение капсюлями и цветными металлами, вынужденный переход в связи с этим на плакированную гильзу.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641F2" w14:textId="77777777" w:rsidR="008F43A8" w:rsidRPr="00E14102" w:rsidRDefault="008F43A8" w:rsidP="00E14102">
            <w:pPr>
              <w:jc w:val="both"/>
              <w:rPr>
                <w:color w:val="000000" w:themeColor="text1"/>
                <w:sz w:val="16"/>
                <w:szCs w:val="16"/>
              </w:rPr>
            </w:pPr>
            <w:r w:rsidRPr="00E14102">
              <w:rPr>
                <w:color w:val="000000" w:themeColor="text1"/>
                <w:sz w:val="16"/>
                <w:szCs w:val="16"/>
              </w:rPr>
              <w:t>52,4%</w:t>
            </w:r>
          </w:p>
        </w:tc>
      </w:tr>
      <w:tr w:rsidR="00E3599D" w:rsidRPr="00E14102" w14:paraId="6E822D7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7B64A5" w14:textId="77777777" w:rsidR="008F43A8" w:rsidRPr="00E14102" w:rsidRDefault="008F43A8" w:rsidP="00E14102">
            <w:pPr>
              <w:jc w:val="both"/>
              <w:rPr>
                <w:color w:val="000000" w:themeColor="text1"/>
                <w:sz w:val="16"/>
                <w:szCs w:val="16"/>
              </w:rPr>
            </w:pPr>
            <w:r w:rsidRPr="00E14102">
              <w:rPr>
                <w:rStyle w:val="a6"/>
                <w:i w:val="0"/>
                <w:color w:val="000000" w:themeColor="text1"/>
                <w:sz w:val="16"/>
                <w:szCs w:val="16"/>
              </w:rPr>
              <w:t>Пушечные гильзы лат[унные] 107</w:t>
            </w:r>
            <w:r w:rsidRPr="00E14102">
              <w:rPr>
                <w:rStyle w:val="a6"/>
                <w:i w:val="0"/>
                <w:color w:val="000000" w:themeColor="text1"/>
                <w:sz w:val="16"/>
                <w:szCs w:val="16"/>
              </w:rPr>
              <w:noBreakHyphen/>
              <w:t>мм</w:t>
            </w:r>
          </w:p>
          <w:p w14:paraId="54D0FDE2" w14:textId="77777777" w:rsidR="008F43A8" w:rsidRPr="00E14102" w:rsidRDefault="008F43A8" w:rsidP="00E14102">
            <w:pPr>
              <w:jc w:val="both"/>
              <w:rPr>
                <w:color w:val="000000" w:themeColor="text1"/>
                <w:sz w:val="16"/>
                <w:szCs w:val="16"/>
              </w:rPr>
            </w:pPr>
            <w:r w:rsidRPr="00E14102">
              <w:rPr>
                <w:rStyle w:val="a6"/>
                <w:i w:val="0"/>
                <w:color w:val="000000" w:themeColor="text1"/>
                <w:sz w:val="16"/>
                <w:szCs w:val="16"/>
              </w:rPr>
              <w:t>Пушечные гильзы лат[унные] 76</w:t>
            </w:r>
            <w:r w:rsidRPr="00E14102">
              <w:rPr>
                <w:rStyle w:val="a6"/>
                <w:i w:val="0"/>
                <w:color w:val="000000" w:themeColor="text1"/>
                <w:sz w:val="16"/>
                <w:szCs w:val="16"/>
              </w:rPr>
              <w:noBreakHyphen/>
              <w:t>мм  полевые</w:t>
            </w:r>
          </w:p>
          <w:p w14:paraId="70A8AF53" w14:textId="77777777" w:rsidR="008F43A8" w:rsidRPr="00E14102" w:rsidRDefault="008F43A8" w:rsidP="00E14102">
            <w:pPr>
              <w:jc w:val="both"/>
              <w:rPr>
                <w:color w:val="000000" w:themeColor="text1"/>
                <w:sz w:val="16"/>
                <w:szCs w:val="16"/>
              </w:rPr>
            </w:pPr>
            <w:r w:rsidRPr="00E14102">
              <w:rPr>
                <w:rStyle w:val="a6"/>
                <w:i w:val="0"/>
                <w:color w:val="000000" w:themeColor="text1"/>
                <w:sz w:val="16"/>
                <w:szCs w:val="16"/>
              </w:rPr>
              <w:t>Пушечные гильзы лат[унные] 45</w:t>
            </w:r>
            <w:r w:rsidRPr="00E14102">
              <w:rPr>
                <w:rStyle w:val="a6"/>
                <w:i w:val="0"/>
                <w:color w:val="000000" w:themeColor="text1"/>
                <w:sz w:val="16"/>
                <w:szCs w:val="16"/>
              </w:rPr>
              <w:noBreakHyphen/>
              <w:t>мм противотанковые</w:t>
            </w:r>
          </w:p>
          <w:p w14:paraId="125AF665" w14:textId="77777777" w:rsidR="008F43A8" w:rsidRPr="00E14102" w:rsidRDefault="008F43A8" w:rsidP="00E14102">
            <w:pPr>
              <w:jc w:val="both"/>
              <w:rPr>
                <w:color w:val="000000" w:themeColor="text1"/>
                <w:sz w:val="16"/>
                <w:szCs w:val="16"/>
              </w:rPr>
            </w:pPr>
            <w:r w:rsidRPr="00E14102">
              <w:rPr>
                <w:rStyle w:val="a6"/>
                <w:i w:val="0"/>
                <w:color w:val="000000" w:themeColor="text1"/>
                <w:sz w:val="16"/>
                <w:szCs w:val="16"/>
              </w:rPr>
              <w:t>Пушечные гильзы лат[унные] 37</w:t>
            </w:r>
            <w:r w:rsidRPr="00E14102">
              <w:rPr>
                <w:rStyle w:val="a6"/>
                <w:i w:val="0"/>
                <w:color w:val="000000" w:themeColor="text1"/>
                <w:sz w:val="16"/>
                <w:szCs w:val="16"/>
              </w:rPr>
              <w:noBreakHyphen/>
              <w:t>мм противотанковые</w:t>
            </w:r>
          </w:p>
          <w:p w14:paraId="46AB4241" w14:textId="77777777" w:rsidR="008F43A8" w:rsidRPr="00E14102" w:rsidRDefault="008F43A8" w:rsidP="00E14102">
            <w:pPr>
              <w:jc w:val="both"/>
              <w:rPr>
                <w:color w:val="000000" w:themeColor="text1"/>
                <w:sz w:val="16"/>
                <w:szCs w:val="16"/>
              </w:rPr>
            </w:pPr>
            <w:r w:rsidRPr="00E14102">
              <w:rPr>
                <w:color w:val="000000" w:themeColor="text1"/>
                <w:sz w:val="16"/>
                <w:szCs w:val="16"/>
              </w:rPr>
              <w:t>Недоснабжение цветными металлами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98EFB" w14:textId="77777777" w:rsidR="008F43A8" w:rsidRPr="00E14102" w:rsidRDefault="008F43A8" w:rsidP="00E14102">
            <w:pPr>
              <w:jc w:val="both"/>
              <w:rPr>
                <w:color w:val="000000" w:themeColor="text1"/>
                <w:sz w:val="16"/>
                <w:szCs w:val="16"/>
              </w:rPr>
            </w:pPr>
            <w:r w:rsidRPr="00E14102">
              <w:rPr>
                <w:color w:val="000000" w:themeColor="text1"/>
                <w:sz w:val="16"/>
                <w:szCs w:val="16"/>
              </w:rPr>
              <w:t>60,5%</w:t>
            </w:r>
          </w:p>
          <w:p w14:paraId="768F0514" w14:textId="77777777" w:rsidR="008F43A8" w:rsidRPr="00E14102" w:rsidRDefault="008F43A8" w:rsidP="00E14102">
            <w:pPr>
              <w:jc w:val="both"/>
              <w:rPr>
                <w:color w:val="000000" w:themeColor="text1"/>
                <w:sz w:val="16"/>
                <w:szCs w:val="16"/>
              </w:rPr>
            </w:pPr>
            <w:r w:rsidRPr="00E14102">
              <w:rPr>
                <w:color w:val="000000" w:themeColor="text1"/>
                <w:sz w:val="16"/>
                <w:szCs w:val="16"/>
              </w:rPr>
              <w:t>31,4%</w:t>
            </w:r>
          </w:p>
          <w:p w14:paraId="67C2BE8F" w14:textId="77777777" w:rsidR="008F43A8" w:rsidRPr="00E14102" w:rsidRDefault="008F43A8" w:rsidP="00E14102">
            <w:pPr>
              <w:jc w:val="both"/>
              <w:rPr>
                <w:color w:val="000000" w:themeColor="text1"/>
                <w:sz w:val="16"/>
                <w:szCs w:val="16"/>
              </w:rPr>
            </w:pPr>
            <w:r w:rsidRPr="00E14102">
              <w:rPr>
                <w:color w:val="000000" w:themeColor="text1"/>
                <w:sz w:val="16"/>
                <w:szCs w:val="16"/>
              </w:rPr>
              <w:t>29,5%</w:t>
            </w:r>
          </w:p>
          <w:p w14:paraId="35155C2D" w14:textId="77777777" w:rsidR="008F43A8" w:rsidRPr="00E14102" w:rsidRDefault="008F43A8" w:rsidP="00E14102">
            <w:pPr>
              <w:jc w:val="both"/>
              <w:rPr>
                <w:color w:val="000000" w:themeColor="text1"/>
                <w:sz w:val="16"/>
                <w:szCs w:val="16"/>
              </w:rPr>
            </w:pPr>
            <w:r w:rsidRPr="00E14102">
              <w:rPr>
                <w:color w:val="000000" w:themeColor="text1"/>
                <w:sz w:val="16"/>
                <w:szCs w:val="16"/>
              </w:rPr>
              <w:t>49,3%</w:t>
            </w:r>
          </w:p>
          <w:p w14:paraId="0F7DF73A" w14:textId="77777777" w:rsidR="008F43A8" w:rsidRPr="00E14102" w:rsidRDefault="008F43A8" w:rsidP="00E14102">
            <w:pPr>
              <w:jc w:val="both"/>
              <w:rPr>
                <w:color w:val="000000" w:themeColor="text1"/>
                <w:sz w:val="16"/>
                <w:szCs w:val="16"/>
              </w:rPr>
            </w:pPr>
            <w:r w:rsidRPr="00E14102">
              <w:rPr>
                <w:color w:val="000000" w:themeColor="text1"/>
                <w:sz w:val="16"/>
                <w:szCs w:val="16"/>
              </w:rPr>
              <w:t> </w:t>
            </w:r>
          </w:p>
        </w:tc>
      </w:tr>
      <w:tr w:rsidR="00E3599D" w:rsidRPr="00E14102" w14:paraId="5B9DDEA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17B77B" w14:textId="77777777" w:rsidR="008F43A8" w:rsidRPr="00E14102" w:rsidRDefault="008F43A8" w:rsidP="00E14102">
            <w:pPr>
              <w:jc w:val="both"/>
              <w:rPr>
                <w:color w:val="000000" w:themeColor="text1"/>
                <w:sz w:val="16"/>
                <w:szCs w:val="16"/>
              </w:rPr>
            </w:pPr>
            <w:r w:rsidRPr="00E14102">
              <w:rPr>
                <w:rStyle w:val="a6"/>
                <w:i w:val="0"/>
                <w:color w:val="000000" w:themeColor="text1"/>
                <w:sz w:val="16"/>
                <w:szCs w:val="16"/>
              </w:rPr>
              <w:t>Гильзы 4 калибра</w:t>
            </w:r>
          </w:p>
          <w:p w14:paraId="0FE69D76" w14:textId="77777777" w:rsidR="008F43A8" w:rsidRPr="00E14102" w:rsidRDefault="008F43A8" w:rsidP="00E14102">
            <w:pPr>
              <w:jc w:val="both"/>
              <w:rPr>
                <w:color w:val="000000" w:themeColor="text1"/>
                <w:sz w:val="16"/>
                <w:szCs w:val="16"/>
              </w:rPr>
            </w:pPr>
            <w:r w:rsidRPr="00E14102">
              <w:rPr>
                <w:color w:val="000000" w:themeColor="text1"/>
                <w:sz w:val="16"/>
                <w:szCs w:val="16"/>
              </w:rPr>
              <w:t>В процессе снаряжения их на заводе № 11 выявилась необходимость улучшения их качества, что повлекло за собой дополнительное освоение этого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37F0D" w14:textId="77777777" w:rsidR="008F43A8" w:rsidRPr="00E14102" w:rsidRDefault="008F43A8" w:rsidP="00E14102">
            <w:pPr>
              <w:jc w:val="both"/>
              <w:rPr>
                <w:color w:val="000000" w:themeColor="text1"/>
                <w:sz w:val="16"/>
                <w:szCs w:val="16"/>
              </w:rPr>
            </w:pPr>
            <w:r w:rsidRPr="00E14102">
              <w:rPr>
                <w:color w:val="000000" w:themeColor="text1"/>
                <w:sz w:val="16"/>
                <w:szCs w:val="16"/>
              </w:rPr>
              <w:t>25,6%</w:t>
            </w:r>
          </w:p>
        </w:tc>
      </w:tr>
    </w:tbl>
    <w:p w14:paraId="52729636" w14:textId="77777777" w:rsidR="008F43A8" w:rsidRPr="00E14102" w:rsidRDefault="008F43A8" w:rsidP="00E14102">
      <w:pPr>
        <w:pStyle w:val="ad"/>
        <w:spacing w:before="0" w:after="0"/>
        <w:rPr>
          <w:rFonts w:ascii="Times New Roman" w:hAnsi="Times New Roman" w:cs="Times New Roman"/>
          <w:color w:val="000000" w:themeColor="text1"/>
          <w:sz w:val="16"/>
          <w:szCs w:val="16"/>
        </w:rPr>
      </w:pPr>
      <w:r w:rsidRPr="00E14102">
        <w:rPr>
          <w:rStyle w:val="a3"/>
          <w:rFonts w:ascii="Times New Roman" w:eastAsiaTheme="majorEastAsia" w:hAnsi="Times New Roman" w:cs="Times New Roman"/>
          <w:b w:val="0"/>
          <w:color w:val="000000" w:themeColor="text1"/>
          <w:sz w:val="16"/>
          <w:szCs w:val="16"/>
        </w:rPr>
        <w:t>Гражданские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64"/>
        <w:gridCol w:w="559"/>
      </w:tblGrid>
      <w:tr w:rsidR="00E3599D" w:rsidRPr="00E14102" w14:paraId="24196C7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F979A6" w14:textId="77777777" w:rsidR="008F43A8" w:rsidRPr="00E14102" w:rsidRDefault="008F43A8" w:rsidP="00E14102">
            <w:pPr>
              <w:jc w:val="both"/>
              <w:rPr>
                <w:color w:val="000000" w:themeColor="text1"/>
                <w:sz w:val="16"/>
                <w:szCs w:val="16"/>
              </w:rPr>
            </w:pPr>
            <w:r w:rsidRPr="00E14102">
              <w:rPr>
                <w:rStyle w:val="a6"/>
                <w:i w:val="0"/>
                <w:color w:val="000000" w:themeColor="text1"/>
                <w:sz w:val="16"/>
                <w:szCs w:val="16"/>
              </w:rPr>
              <w:t>Примусы</w:t>
            </w:r>
          </w:p>
          <w:p w14:paraId="4DBC9B96" w14:textId="77777777" w:rsidR="008F43A8" w:rsidRPr="00E14102" w:rsidRDefault="008F43A8" w:rsidP="00E14102">
            <w:pPr>
              <w:jc w:val="both"/>
              <w:rPr>
                <w:color w:val="000000" w:themeColor="text1"/>
                <w:sz w:val="16"/>
                <w:szCs w:val="16"/>
              </w:rPr>
            </w:pPr>
            <w:r w:rsidRPr="00E14102">
              <w:rPr>
                <w:color w:val="000000" w:themeColor="text1"/>
                <w:sz w:val="16"/>
                <w:szCs w:val="16"/>
              </w:rPr>
              <w:t>Недоснабжение металлом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9B1DE" w14:textId="77777777" w:rsidR="008F43A8" w:rsidRPr="00E14102" w:rsidRDefault="008F43A8" w:rsidP="00E14102">
            <w:pPr>
              <w:jc w:val="both"/>
              <w:rPr>
                <w:color w:val="000000" w:themeColor="text1"/>
                <w:sz w:val="16"/>
                <w:szCs w:val="16"/>
              </w:rPr>
            </w:pPr>
            <w:r w:rsidRPr="00E14102">
              <w:rPr>
                <w:color w:val="000000" w:themeColor="text1"/>
                <w:sz w:val="16"/>
                <w:szCs w:val="16"/>
              </w:rPr>
              <w:t>6,9%</w:t>
            </w:r>
          </w:p>
        </w:tc>
      </w:tr>
      <w:tr w:rsidR="00E3599D" w:rsidRPr="00E14102" w14:paraId="0FA50A4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2CA66" w14:textId="77777777" w:rsidR="008F43A8" w:rsidRPr="00E14102" w:rsidRDefault="008F43A8" w:rsidP="00E14102">
            <w:pPr>
              <w:jc w:val="both"/>
              <w:rPr>
                <w:color w:val="000000" w:themeColor="text1"/>
                <w:sz w:val="16"/>
                <w:szCs w:val="16"/>
              </w:rPr>
            </w:pPr>
            <w:r w:rsidRPr="00E14102">
              <w:rPr>
                <w:rStyle w:val="a6"/>
                <w:i w:val="0"/>
                <w:color w:val="000000" w:themeColor="text1"/>
                <w:sz w:val="16"/>
                <w:szCs w:val="16"/>
              </w:rPr>
              <w:t>Малокалиберные патроны</w:t>
            </w:r>
          </w:p>
          <w:p w14:paraId="2EFB9B99" w14:textId="77777777" w:rsidR="008F43A8" w:rsidRPr="00E14102" w:rsidRDefault="008F43A8" w:rsidP="00E14102">
            <w:pPr>
              <w:jc w:val="both"/>
              <w:rPr>
                <w:color w:val="000000" w:themeColor="text1"/>
                <w:sz w:val="16"/>
                <w:szCs w:val="16"/>
              </w:rPr>
            </w:pPr>
            <w:r w:rsidRPr="00E14102">
              <w:rPr>
                <w:color w:val="000000" w:themeColor="text1"/>
                <w:sz w:val="16"/>
                <w:szCs w:val="16"/>
              </w:rPr>
              <w:t>Недоснабжение цветным металлом, в связи с чем завод № 46 уже освоил производство малокалиберных патронов из железа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D0FD5" w14:textId="77777777" w:rsidR="008F43A8" w:rsidRPr="00E14102" w:rsidRDefault="008F43A8" w:rsidP="00E14102">
            <w:pPr>
              <w:jc w:val="both"/>
              <w:rPr>
                <w:color w:val="000000" w:themeColor="text1"/>
                <w:sz w:val="16"/>
                <w:szCs w:val="16"/>
              </w:rPr>
            </w:pPr>
            <w:r w:rsidRPr="00E14102">
              <w:rPr>
                <w:color w:val="000000" w:themeColor="text1"/>
                <w:sz w:val="16"/>
                <w:szCs w:val="16"/>
              </w:rPr>
              <w:t>57,7%</w:t>
            </w:r>
          </w:p>
        </w:tc>
      </w:tr>
    </w:tbl>
    <w:p w14:paraId="49887D4B" w14:textId="77777777" w:rsidR="008F43A8" w:rsidRPr="00E14102" w:rsidRDefault="008F43A8" w:rsidP="00E14102">
      <w:pPr>
        <w:jc w:val="both"/>
        <w:rPr>
          <w:color w:val="000000" w:themeColor="text1"/>
          <w:sz w:val="16"/>
          <w:szCs w:val="16"/>
        </w:rPr>
      </w:pPr>
      <w:r w:rsidRPr="00E14102">
        <w:rPr>
          <w:color w:val="000000" w:themeColor="text1"/>
          <w:sz w:val="16"/>
          <w:szCs w:val="16"/>
        </w:rPr>
        <w:t>Снабжение цветными металлами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51"/>
        <w:gridCol w:w="1359"/>
        <w:gridCol w:w="1390"/>
        <w:gridCol w:w="1923"/>
      </w:tblGrid>
      <w:tr w:rsidR="00E3599D" w:rsidRPr="00E14102" w14:paraId="0D0AE70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3B79DE" w14:textId="77777777" w:rsidR="008F43A8" w:rsidRPr="00E14102" w:rsidRDefault="008F43A8"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F0866" w14:textId="77777777" w:rsidR="008F43A8" w:rsidRPr="00E14102" w:rsidRDefault="008F43A8" w:rsidP="00E14102">
            <w:pPr>
              <w:jc w:val="both"/>
              <w:rPr>
                <w:color w:val="000000" w:themeColor="text1"/>
                <w:sz w:val="16"/>
                <w:szCs w:val="16"/>
              </w:rPr>
            </w:pPr>
            <w:r w:rsidRPr="00E14102">
              <w:rPr>
                <w:color w:val="000000" w:themeColor="text1"/>
                <w:sz w:val="16"/>
                <w:szCs w:val="16"/>
              </w:rPr>
              <w:t>медь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20738" w14:textId="77777777" w:rsidR="008F43A8" w:rsidRPr="00E14102" w:rsidRDefault="008F43A8" w:rsidP="00E14102">
            <w:pPr>
              <w:jc w:val="both"/>
              <w:rPr>
                <w:color w:val="000000" w:themeColor="text1"/>
                <w:sz w:val="16"/>
                <w:szCs w:val="16"/>
              </w:rPr>
            </w:pPr>
            <w:r w:rsidRPr="00E14102">
              <w:rPr>
                <w:color w:val="000000" w:themeColor="text1"/>
                <w:sz w:val="16"/>
                <w:szCs w:val="16"/>
              </w:rPr>
              <w:t>цинк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BEB33" w14:textId="77777777" w:rsidR="008F43A8" w:rsidRPr="00E14102" w:rsidRDefault="008F43A8" w:rsidP="00E14102">
            <w:pPr>
              <w:jc w:val="both"/>
              <w:rPr>
                <w:color w:val="000000" w:themeColor="text1"/>
                <w:sz w:val="16"/>
                <w:szCs w:val="16"/>
              </w:rPr>
            </w:pPr>
            <w:r w:rsidRPr="00E14102">
              <w:rPr>
                <w:color w:val="000000" w:themeColor="text1"/>
                <w:sz w:val="16"/>
                <w:szCs w:val="16"/>
              </w:rPr>
              <w:t>свинец</w:t>
            </w:r>
          </w:p>
        </w:tc>
      </w:tr>
      <w:tr w:rsidR="00E3599D" w:rsidRPr="00E14102" w14:paraId="16F477BE"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4E0022" w14:textId="77777777" w:rsidR="008F43A8" w:rsidRPr="00E14102" w:rsidRDefault="008F43A8" w:rsidP="00E14102">
            <w:pPr>
              <w:jc w:val="both"/>
              <w:rPr>
                <w:color w:val="000000" w:themeColor="text1"/>
                <w:sz w:val="16"/>
                <w:szCs w:val="16"/>
              </w:rPr>
            </w:pPr>
            <w:r w:rsidRPr="00E14102">
              <w:rPr>
                <w:color w:val="000000" w:themeColor="text1"/>
                <w:sz w:val="16"/>
                <w:szCs w:val="16"/>
              </w:rPr>
              <w:t>Годовая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81D93" w14:textId="77777777" w:rsidR="008F43A8" w:rsidRPr="00E14102" w:rsidRDefault="008F43A8" w:rsidP="00E14102">
            <w:pPr>
              <w:jc w:val="both"/>
              <w:rPr>
                <w:color w:val="000000" w:themeColor="text1"/>
                <w:sz w:val="16"/>
                <w:szCs w:val="16"/>
              </w:rPr>
            </w:pPr>
            <w:r w:rsidRPr="00E14102">
              <w:rPr>
                <w:color w:val="000000" w:themeColor="text1"/>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368BF" w14:textId="77777777" w:rsidR="008F43A8" w:rsidRPr="00E14102" w:rsidRDefault="008F43A8" w:rsidP="00E14102">
            <w:pPr>
              <w:jc w:val="both"/>
              <w:rPr>
                <w:color w:val="000000" w:themeColor="text1"/>
                <w:sz w:val="16"/>
                <w:szCs w:val="16"/>
              </w:rPr>
            </w:pPr>
            <w:r w:rsidRPr="00E14102">
              <w:rPr>
                <w:color w:val="000000" w:themeColor="text1"/>
                <w:sz w:val="16"/>
                <w:szCs w:val="16"/>
              </w:rPr>
              <w:t>1947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620C9" w14:textId="77777777" w:rsidR="008F43A8" w:rsidRPr="00E14102" w:rsidRDefault="008F43A8" w:rsidP="00E14102">
            <w:pPr>
              <w:jc w:val="both"/>
              <w:rPr>
                <w:color w:val="000000" w:themeColor="text1"/>
                <w:sz w:val="16"/>
                <w:szCs w:val="16"/>
              </w:rPr>
            </w:pPr>
            <w:r w:rsidRPr="00E14102">
              <w:rPr>
                <w:color w:val="000000" w:themeColor="text1"/>
                <w:sz w:val="16"/>
                <w:szCs w:val="16"/>
              </w:rPr>
              <w:t>4217</w:t>
            </w:r>
          </w:p>
        </w:tc>
      </w:tr>
      <w:tr w:rsidR="00E3599D" w:rsidRPr="00E14102" w14:paraId="7F07841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A27AC2" w14:textId="77777777" w:rsidR="008F43A8" w:rsidRPr="00E14102" w:rsidRDefault="008F43A8" w:rsidP="00E14102">
            <w:pPr>
              <w:jc w:val="both"/>
              <w:rPr>
                <w:color w:val="000000" w:themeColor="text1"/>
                <w:sz w:val="16"/>
                <w:szCs w:val="16"/>
              </w:rPr>
            </w:pPr>
            <w:r w:rsidRPr="00E14102">
              <w:rPr>
                <w:color w:val="000000" w:themeColor="text1"/>
                <w:sz w:val="16"/>
                <w:szCs w:val="16"/>
              </w:rPr>
              <w:t>Фактически получено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C29EF" w14:textId="77777777" w:rsidR="008F43A8" w:rsidRPr="00E14102" w:rsidRDefault="008F43A8" w:rsidP="00E14102">
            <w:pPr>
              <w:jc w:val="both"/>
              <w:rPr>
                <w:color w:val="000000" w:themeColor="text1"/>
                <w:sz w:val="16"/>
                <w:szCs w:val="16"/>
              </w:rPr>
            </w:pPr>
            <w:r w:rsidRPr="00E14102">
              <w:rPr>
                <w:color w:val="000000" w:themeColor="text1"/>
                <w:sz w:val="16"/>
                <w:szCs w:val="16"/>
              </w:rPr>
              <w:t>1611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19E45" w14:textId="77777777" w:rsidR="008F43A8" w:rsidRPr="00E14102" w:rsidRDefault="008F43A8" w:rsidP="00E14102">
            <w:pPr>
              <w:jc w:val="both"/>
              <w:rPr>
                <w:color w:val="000000" w:themeColor="text1"/>
                <w:sz w:val="16"/>
                <w:szCs w:val="16"/>
              </w:rPr>
            </w:pPr>
            <w:r w:rsidRPr="00E14102">
              <w:rPr>
                <w:color w:val="000000" w:themeColor="text1"/>
                <w:sz w:val="16"/>
                <w:szCs w:val="16"/>
              </w:rPr>
              <w:t>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1C535" w14:textId="77777777" w:rsidR="008F43A8" w:rsidRPr="00E14102" w:rsidRDefault="008F43A8" w:rsidP="00E14102">
            <w:pPr>
              <w:jc w:val="both"/>
              <w:rPr>
                <w:color w:val="000000" w:themeColor="text1"/>
                <w:sz w:val="16"/>
                <w:szCs w:val="16"/>
              </w:rPr>
            </w:pPr>
            <w:r w:rsidRPr="00E14102">
              <w:rPr>
                <w:color w:val="000000" w:themeColor="text1"/>
                <w:sz w:val="16"/>
                <w:szCs w:val="16"/>
              </w:rPr>
              <w:t>3245</w:t>
            </w:r>
          </w:p>
        </w:tc>
      </w:tr>
      <w:tr w:rsidR="00E3599D" w:rsidRPr="00E14102" w14:paraId="1E5A8ED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63D167" w14:textId="77777777" w:rsidR="008F43A8" w:rsidRPr="00E14102" w:rsidRDefault="008F43A8" w:rsidP="00E14102">
            <w:pPr>
              <w:jc w:val="both"/>
              <w:rPr>
                <w:color w:val="000000" w:themeColor="text1"/>
                <w:sz w:val="16"/>
                <w:szCs w:val="16"/>
              </w:rPr>
            </w:pPr>
            <w:r w:rsidRPr="00E14102">
              <w:rPr>
                <w:color w:val="000000" w:themeColor="text1"/>
                <w:sz w:val="16"/>
                <w:szCs w:val="16"/>
              </w:rPr>
              <w:t>Процент удовлетворения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55547" w14:textId="77777777" w:rsidR="008F43A8" w:rsidRPr="00E14102" w:rsidRDefault="008F43A8" w:rsidP="00E14102">
            <w:pPr>
              <w:jc w:val="both"/>
              <w:rPr>
                <w:color w:val="000000" w:themeColor="text1"/>
                <w:sz w:val="16"/>
                <w:szCs w:val="16"/>
              </w:rPr>
            </w:pPr>
            <w:r w:rsidRPr="00E14102">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55E1B" w14:textId="77777777" w:rsidR="008F43A8" w:rsidRPr="00E14102" w:rsidRDefault="008F43A8" w:rsidP="00E14102">
            <w:pPr>
              <w:jc w:val="both"/>
              <w:rPr>
                <w:color w:val="000000" w:themeColor="text1"/>
                <w:sz w:val="16"/>
                <w:szCs w:val="16"/>
              </w:rPr>
            </w:pPr>
            <w:r w:rsidRPr="00E14102">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81F6D" w14:textId="77777777" w:rsidR="008F43A8" w:rsidRPr="00E14102" w:rsidRDefault="008F43A8" w:rsidP="00E14102">
            <w:pPr>
              <w:jc w:val="both"/>
              <w:rPr>
                <w:color w:val="000000" w:themeColor="text1"/>
                <w:sz w:val="16"/>
                <w:szCs w:val="16"/>
              </w:rPr>
            </w:pPr>
            <w:r w:rsidRPr="00E14102">
              <w:rPr>
                <w:color w:val="000000" w:themeColor="text1"/>
                <w:sz w:val="16"/>
                <w:szCs w:val="16"/>
              </w:rPr>
              <w:t>77%</w:t>
            </w:r>
          </w:p>
        </w:tc>
      </w:tr>
    </w:tbl>
    <w:p w14:paraId="13267359"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Сопоставляя фактическое снабжение цветным металлом с процентом выполнения задания по винтпатронам (зависимое, в основном, от снабжения свинцом) следует констатировать, что здесь имеется полное соответствие с процентом удовлетворения производства этим металлом.</w:t>
      </w:r>
    </w:p>
    <w:p w14:paraId="4523DB5F"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Новые производства</w:t>
      </w:r>
    </w:p>
    <w:p w14:paraId="0BA3B4A4"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В 1934 г. освоены следующие новые производства.</w:t>
      </w:r>
    </w:p>
    <w:p w14:paraId="2255A4FD" w14:textId="77777777" w:rsidR="008F43A8" w:rsidRPr="00E14102" w:rsidRDefault="008F43A8" w:rsidP="00E14102">
      <w:pPr>
        <w:pStyle w:val="rtejustify"/>
        <w:spacing w:before="0" w:after="0"/>
        <w:rPr>
          <w:color w:val="000000" w:themeColor="text1"/>
          <w:sz w:val="16"/>
          <w:szCs w:val="16"/>
        </w:rPr>
      </w:pPr>
      <w:r w:rsidRPr="00E14102">
        <w:rPr>
          <w:rStyle w:val="a6"/>
          <w:bCs/>
          <w:i w:val="0"/>
          <w:color w:val="000000" w:themeColor="text1"/>
          <w:sz w:val="16"/>
          <w:szCs w:val="16"/>
        </w:rPr>
        <w:t>По военной продукции</w:t>
      </w:r>
      <w:r w:rsidRPr="00E14102">
        <w:rPr>
          <w:color w:val="000000" w:themeColor="text1"/>
          <w:sz w:val="16"/>
          <w:szCs w:val="16"/>
        </w:rPr>
        <w:t>: Плакированная гильза на следующих винтпатронах: 1) 7,62</w:t>
      </w:r>
      <w:r w:rsidRPr="00E14102">
        <w:rPr>
          <w:color w:val="000000" w:themeColor="text1"/>
          <w:sz w:val="16"/>
          <w:szCs w:val="16"/>
        </w:rPr>
        <w:noBreakHyphen/>
        <w:t>мм бронебойная 1930 г.; 2) 7,62</w:t>
      </w:r>
      <w:r w:rsidRPr="00E14102">
        <w:rPr>
          <w:color w:val="000000" w:themeColor="text1"/>
          <w:sz w:val="16"/>
          <w:szCs w:val="16"/>
        </w:rPr>
        <w:noBreakHyphen/>
        <w:t>мм трассирующая; 3) 7,62</w:t>
      </w:r>
      <w:r w:rsidRPr="00E14102">
        <w:rPr>
          <w:color w:val="000000" w:themeColor="text1"/>
          <w:sz w:val="16"/>
          <w:szCs w:val="16"/>
        </w:rPr>
        <w:noBreakHyphen/>
        <w:t>мм бронебойная трассирующая; 4) 7,62</w:t>
      </w:r>
      <w:r w:rsidRPr="00E14102">
        <w:rPr>
          <w:color w:val="000000" w:themeColor="text1"/>
          <w:sz w:val="16"/>
          <w:szCs w:val="16"/>
        </w:rPr>
        <w:noBreakHyphen/>
        <w:t>мм бронебойная зажигательная 1932 г.; 5) 7,62</w:t>
      </w:r>
      <w:r w:rsidRPr="00E14102">
        <w:rPr>
          <w:color w:val="000000" w:themeColor="text1"/>
          <w:sz w:val="16"/>
          <w:szCs w:val="16"/>
        </w:rPr>
        <w:noBreakHyphen/>
        <w:t>мм авиационная; 6) 12,7</w:t>
      </w:r>
      <w:r w:rsidRPr="00E14102">
        <w:rPr>
          <w:color w:val="000000" w:themeColor="text1"/>
          <w:sz w:val="16"/>
          <w:szCs w:val="16"/>
        </w:rPr>
        <w:noBreakHyphen/>
        <w:t>мм бронебойные; 7) То же на ревпатронах «Наган»; 8) То же на ревпатронах «Маузер»; 9) Освоено производство латунной 37</w:t>
      </w:r>
      <w:r w:rsidRPr="00E14102">
        <w:rPr>
          <w:color w:val="000000" w:themeColor="text1"/>
          <w:sz w:val="16"/>
          <w:szCs w:val="16"/>
        </w:rPr>
        <w:noBreakHyphen/>
        <w:t>мм пушечной гильзы Шпитального; 10) То же по 45</w:t>
      </w:r>
      <w:r w:rsidRPr="00E14102">
        <w:rPr>
          <w:color w:val="000000" w:themeColor="text1"/>
          <w:sz w:val="16"/>
          <w:szCs w:val="16"/>
        </w:rPr>
        <w:noBreakHyphen/>
        <w:t>мм Шпитального; 11) То же по 20</w:t>
      </w:r>
      <w:r w:rsidRPr="00E14102">
        <w:rPr>
          <w:color w:val="000000" w:themeColor="text1"/>
          <w:sz w:val="16"/>
          <w:szCs w:val="16"/>
        </w:rPr>
        <w:noBreakHyphen/>
        <w:t>мм ШВАК; 12) Производство баллонов «Лауталь»; 13) Производство пиропатронов; 14) Производство патронов Рябова.</w:t>
      </w:r>
    </w:p>
    <w:p w14:paraId="4AA7343C" w14:textId="77777777" w:rsidR="008F43A8" w:rsidRPr="00E14102" w:rsidRDefault="008F43A8" w:rsidP="00E14102">
      <w:pPr>
        <w:pStyle w:val="rtejustify"/>
        <w:spacing w:before="0" w:after="0"/>
        <w:rPr>
          <w:color w:val="000000" w:themeColor="text1"/>
          <w:sz w:val="16"/>
          <w:szCs w:val="16"/>
        </w:rPr>
      </w:pPr>
      <w:r w:rsidRPr="00E14102">
        <w:rPr>
          <w:rStyle w:val="a6"/>
          <w:bCs/>
          <w:i w:val="0"/>
          <w:color w:val="000000" w:themeColor="text1"/>
          <w:sz w:val="16"/>
          <w:szCs w:val="16"/>
        </w:rPr>
        <w:t>По мирной продукции:</w:t>
      </w:r>
      <w:r w:rsidRPr="00E14102">
        <w:rPr>
          <w:color w:val="000000" w:themeColor="text1"/>
          <w:sz w:val="16"/>
          <w:szCs w:val="16"/>
        </w:rPr>
        <w:t xml:space="preserve"> 1) Освоение железной гильзы малокалиберных патронов; 2) Восстановлено производство самоваров на ТПЗ, прекращенное в 1932 г.; 3) Производство карбюраторов-испарителей «Холей»; 4) Станки ШУ</w:t>
      </w:r>
      <w:r w:rsidRPr="00E14102">
        <w:rPr>
          <w:color w:val="000000" w:themeColor="text1"/>
          <w:sz w:val="16"/>
          <w:szCs w:val="16"/>
        </w:rPr>
        <w:noBreakHyphen/>
        <w:t>40 на заводе № 60; 5) Станки штамповки гильз на заводе № 60; 6) Станки ЗГ</w:t>
      </w:r>
      <w:r w:rsidRPr="00E14102">
        <w:rPr>
          <w:color w:val="000000" w:themeColor="text1"/>
          <w:sz w:val="16"/>
          <w:szCs w:val="16"/>
        </w:rPr>
        <w:noBreakHyphen/>
        <w:t>12 на заводе № 60; 7) Станки ТУ</w:t>
      </w:r>
      <w:r w:rsidRPr="00E14102">
        <w:rPr>
          <w:color w:val="000000" w:themeColor="text1"/>
          <w:sz w:val="16"/>
          <w:szCs w:val="16"/>
        </w:rPr>
        <w:noBreakHyphen/>
        <w:t>2 на заводе № 60; 8) Станки обкатки шестерен на заводе № 60; 9) Станки токарно-винторезные ТУ на заводе № 3; 10) Станки плоек, шлифовальные типа «Артер» на заводе № 3;</w:t>
      </w:r>
    </w:p>
    <w:p w14:paraId="0B8BAFBA" w14:textId="77777777" w:rsidR="008F43A8" w:rsidRPr="00E14102" w:rsidRDefault="008F43A8" w:rsidP="00E14102">
      <w:pPr>
        <w:jc w:val="both"/>
        <w:rPr>
          <w:color w:val="000000" w:themeColor="text1"/>
          <w:sz w:val="16"/>
          <w:szCs w:val="16"/>
        </w:rPr>
      </w:pPr>
      <w:r w:rsidRPr="00E14102">
        <w:rPr>
          <w:color w:val="000000" w:themeColor="text1"/>
          <w:sz w:val="16"/>
          <w:szCs w:val="16"/>
        </w:rPr>
        <w:t>III. Брак в производстве</w:t>
      </w:r>
    </w:p>
    <w:p w14:paraId="08E12274" w14:textId="77777777" w:rsidR="008F43A8" w:rsidRPr="00E14102" w:rsidRDefault="008F43A8" w:rsidP="00E14102">
      <w:pPr>
        <w:jc w:val="both"/>
        <w:rPr>
          <w:color w:val="000000" w:themeColor="text1"/>
          <w:sz w:val="16"/>
          <w:szCs w:val="16"/>
        </w:rPr>
      </w:pPr>
      <w:r w:rsidRPr="00E14102">
        <w:rPr>
          <w:color w:val="000000" w:themeColor="text1"/>
          <w:sz w:val="16"/>
          <w:szCs w:val="16"/>
        </w:rPr>
        <w:t>[тыс. 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53"/>
        <w:gridCol w:w="1179"/>
        <w:gridCol w:w="1587"/>
        <w:gridCol w:w="1704"/>
      </w:tblGrid>
      <w:tr w:rsidR="00E3599D" w:rsidRPr="00E14102" w14:paraId="1FCAD0C9" w14:textId="77777777" w:rsidTr="00493FC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F3723D" w14:textId="77777777" w:rsidR="008F43A8" w:rsidRPr="00E14102" w:rsidRDefault="008F43A8" w:rsidP="00E14102">
            <w:pPr>
              <w:jc w:val="both"/>
              <w:rPr>
                <w:color w:val="000000" w:themeColor="text1"/>
                <w:sz w:val="16"/>
                <w:szCs w:val="16"/>
              </w:rPr>
            </w:pPr>
            <w:r w:rsidRPr="00E14102">
              <w:rPr>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9726D8A" w14:textId="77777777" w:rsidR="008F43A8" w:rsidRPr="00E14102" w:rsidRDefault="008F43A8" w:rsidP="00E14102">
            <w:pPr>
              <w:jc w:val="both"/>
              <w:rPr>
                <w:color w:val="000000" w:themeColor="text1"/>
                <w:sz w:val="16"/>
                <w:szCs w:val="16"/>
              </w:rPr>
            </w:pPr>
            <w:r w:rsidRPr="00E14102">
              <w:rPr>
                <w:color w:val="000000" w:themeColor="text1"/>
                <w:sz w:val="16"/>
                <w:szCs w:val="16"/>
              </w:rPr>
              <w:t>1933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E1501A" w14:textId="77777777" w:rsidR="008F43A8" w:rsidRPr="00E14102" w:rsidRDefault="008F43A8" w:rsidP="00E14102">
            <w:pPr>
              <w:jc w:val="both"/>
              <w:rPr>
                <w:color w:val="000000" w:themeColor="text1"/>
                <w:sz w:val="16"/>
                <w:szCs w:val="16"/>
              </w:rPr>
            </w:pPr>
            <w:r w:rsidRPr="00E14102">
              <w:rPr>
                <w:color w:val="000000" w:themeColor="text1"/>
                <w:sz w:val="16"/>
                <w:szCs w:val="16"/>
              </w:rPr>
              <w:t>1934 г.</w:t>
            </w:r>
          </w:p>
        </w:tc>
      </w:tr>
      <w:tr w:rsidR="00E3599D" w:rsidRPr="00E14102" w14:paraId="50F2B1CA"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2B8729B" w14:textId="77777777" w:rsidR="008F43A8" w:rsidRPr="00E14102" w:rsidRDefault="008F43A8" w:rsidP="00E14102">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9117801" w14:textId="77777777" w:rsidR="008F43A8" w:rsidRPr="00E14102" w:rsidRDefault="008F43A8"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59414" w14:textId="77777777" w:rsidR="008F43A8" w:rsidRPr="00E14102" w:rsidRDefault="008F43A8" w:rsidP="00E14102">
            <w:pPr>
              <w:jc w:val="both"/>
              <w:rPr>
                <w:color w:val="000000" w:themeColor="text1"/>
                <w:sz w:val="16"/>
                <w:szCs w:val="16"/>
              </w:rPr>
            </w:pPr>
            <w:r w:rsidRPr="00E14102">
              <w:rPr>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EBBAE" w14:textId="77777777" w:rsidR="008F43A8" w:rsidRPr="00E14102" w:rsidRDefault="008F43A8" w:rsidP="00E14102">
            <w:pPr>
              <w:jc w:val="both"/>
              <w:rPr>
                <w:color w:val="000000" w:themeColor="text1"/>
                <w:sz w:val="16"/>
                <w:szCs w:val="16"/>
              </w:rPr>
            </w:pPr>
            <w:r w:rsidRPr="00E14102">
              <w:rPr>
                <w:color w:val="000000" w:themeColor="text1"/>
                <w:sz w:val="16"/>
                <w:szCs w:val="16"/>
              </w:rPr>
              <w:t>По отчету</w:t>
            </w:r>
          </w:p>
        </w:tc>
      </w:tr>
      <w:tr w:rsidR="00E3599D" w:rsidRPr="00E14102" w14:paraId="0455D1D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9B7957" w14:textId="77777777" w:rsidR="008F43A8" w:rsidRPr="00E14102" w:rsidRDefault="008F43A8" w:rsidP="00E14102">
            <w:pPr>
              <w:jc w:val="both"/>
              <w:rPr>
                <w:color w:val="000000" w:themeColor="text1"/>
                <w:sz w:val="16"/>
                <w:szCs w:val="16"/>
              </w:rPr>
            </w:pPr>
            <w:r w:rsidRPr="00E14102">
              <w:rPr>
                <w:color w:val="000000" w:themeColor="text1"/>
                <w:sz w:val="16"/>
                <w:szCs w:val="16"/>
              </w:rPr>
              <w:t>Потери в абсолютной сумме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AA1C0" w14:textId="77777777" w:rsidR="008F43A8" w:rsidRPr="00E14102" w:rsidRDefault="008F43A8" w:rsidP="00E14102">
            <w:pPr>
              <w:jc w:val="both"/>
              <w:rPr>
                <w:color w:val="000000" w:themeColor="text1"/>
                <w:sz w:val="16"/>
                <w:szCs w:val="16"/>
              </w:rPr>
            </w:pPr>
            <w:r w:rsidRPr="00E14102">
              <w:rPr>
                <w:color w:val="000000" w:themeColor="text1"/>
                <w:sz w:val="16"/>
                <w:szCs w:val="16"/>
              </w:rPr>
              <w:t>5883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BFD7E" w14:textId="77777777" w:rsidR="008F43A8" w:rsidRPr="00E14102" w:rsidRDefault="008F43A8"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8B433" w14:textId="77777777" w:rsidR="008F43A8" w:rsidRPr="00E14102" w:rsidRDefault="008F43A8" w:rsidP="00E14102">
            <w:pPr>
              <w:jc w:val="both"/>
              <w:rPr>
                <w:color w:val="000000" w:themeColor="text1"/>
                <w:sz w:val="16"/>
                <w:szCs w:val="16"/>
              </w:rPr>
            </w:pPr>
            <w:r w:rsidRPr="00E14102">
              <w:rPr>
                <w:color w:val="000000" w:themeColor="text1"/>
                <w:sz w:val="16"/>
                <w:szCs w:val="16"/>
              </w:rPr>
              <w:t>6980</w:t>
            </w:r>
          </w:p>
        </w:tc>
      </w:tr>
      <w:tr w:rsidR="00E3599D" w:rsidRPr="00E14102" w14:paraId="2CB7CBB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5EBE66" w14:textId="77777777" w:rsidR="008F43A8" w:rsidRPr="00E14102" w:rsidRDefault="008F43A8" w:rsidP="00E14102">
            <w:pPr>
              <w:jc w:val="both"/>
              <w:rPr>
                <w:color w:val="000000" w:themeColor="text1"/>
                <w:sz w:val="16"/>
                <w:szCs w:val="16"/>
              </w:rPr>
            </w:pPr>
            <w:r w:rsidRPr="00E14102">
              <w:rPr>
                <w:color w:val="000000" w:themeColor="text1"/>
                <w:sz w:val="16"/>
                <w:szCs w:val="16"/>
              </w:rPr>
              <w:t>В том числе по 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B44D8" w14:textId="77777777" w:rsidR="008F43A8" w:rsidRPr="00E14102" w:rsidRDefault="008F43A8" w:rsidP="00E14102">
            <w:pPr>
              <w:jc w:val="both"/>
              <w:rPr>
                <w:color w:val="000000" w:themeColor="text1"/>
                <w:sz w:val="16"/>
                <w:szCs w:val="16"/>
              </w:rPr>
            </w:pPr>
            <w:r w:rsidRPr="00E14102">
              <w:rPr>
                <w:color w:val="000000" w:themeColor="text1"/>
                <w:sz w:val="16"/>
                <w:szCs w:val="16"/>
              </w:rPr>
              <w:t>3890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CDAA0" w14:textId="77777777" w:rsidR="008F43A8" w:rsidRPr="00E14102" w:rsidRDefault="008F43A8"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C02E4" w14:textId="77777777" w:rsidR="008F43A8" w:rsidRPr="00E14102" w:rsidRDefault="008F43A8" w:rsidP="00E14102">
            <w:pPr>
              <w:jc w:val="both"/>
              <w:rPr>
                <w:color w:val="000000" w:themeColor="text1"/>
                <w:sz w:val="16"/>
                <w:szCs w:val="16"/>
              </w:rPr>
            </w:pPr>
            <w:r w:rsidRPr="00E14102">
              <w:rPr>
                <w:color w:val="000000" w:themeColor="text1"/>
                <w:sz w:val="16"/>
                <w:szCs w:val="16"/>
              </w:rPr>
              <w:t>4727</w:t>
            </w:r>
          </w:p>
        </w:tc>
      </w:tr>
      <w:tr w:rsidR="00E3599D" w:rsidRPr="00E14102" w14:paraId="6C38870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0EA14B" w14:textId="77777777" w:rsidR="008F43A8" w:rsidRPr="00E14102" w:rsidRDefault="008F43A8" w:rsidP="00E14102">
            <w:pPr>
              <w:jc w:val="both"/>
              <w:rPr>
                <w:color w:val="000000" w:themeColor="text1"/>
                <w:sz w:val="16"/>
                <w:szCs w:val="16"/>
              </w:rPr>
            </w:pPr>
            <w:r w:rsidRPr="00E14102">
              <w:rPr>
                <w:color w:val="000000" w:themeColor="text1"/>
                <w:sz w:val="16"/>
                <w:szCs w:val="16"/>
              </w:rPr>
              <w:t>В том числе по гражданской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E791D" w14:textId="77777777" w:rsidR="008F43A8" w:rsidRPr="00E14102" w:rsidRDefault="008F43A8" w:rsidP="00E14102">
            <w:pPr>
              <w:jc w:val="both"/>
              <w:rPr>
                <w:color w:val="000000" w:themeColor="text1"/>
                <w:sz w:val="16"/>
                <w:szCs w:val="16"/>
              </w:rPr>
            </w:pPr>
            <w:r w:rsidRPr="00E14102">
              <w:rPr>
                <w:color w:val="000000" w:themeColor="text1"/>
                <w:sz w:val="16"/>
                <w:szCs w:val="16"/>
              </w:rPr>
              <w:t>1648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91039" w14:textId="77777777" w:rsidR="008F43A8" w:rsidRPr="00E14102" w:rsidRDefault="008F43A8"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02782" w14:textId="77777777" w:rsidR="008F43A8" w:rsidRPr="00E14102" w:rsidRDefault="008F43A8" w:rsidP="00E14102">
            <w:pPr>
              <w:jc w:val="both"/>
              <w:rPr>
                <w:color w:val="000000" w:themeColor="text1"/>
                <w:sz w:val="16"/>
                <w:szCs w:val="16"/>
              </w:rPr>
            </w:pPr>
            <w:r w:rsidRPr="00E14102">
              <w:rPr>
                <w:color w:val="000000" w:themeColor="text1"/>
                <w:sz w:val="16"/>
                <w:szCs w:val="16"/>
              </w:rPr>
              <w:t>1698</w:t>
            </w:r>
          </w:p>
        </w:tc>
      </w:tr>
      <w:tr w:rsidR="00E3599D" w:rsidRPr="00E14102" w14:paraId="38BD5EF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A131D2" w14:textId="77777777" w:rsidR="008F43A8" w:rsidRPr="00E14102" w:rsidRDefault="008F43A8" w:rsidP="00E14102">
            <w:pPr>
              <w:jc w:val="both"/>
              <w:rPr>
                <w:color w:val="000000" w:themeColor="text1"/>
                <w:sz w:val="16"/>
                <w:szCs w:val="16"/>
              </w:rPr>
            </w:pPr>
            <w:r w:rsidRPr="00E14102">
              <w:rPr>
                <w:color w:val="000000" w:themeColor="text1"/>
                <w:sz w:val="16"/>
                <w:szCs w:val="16"/>
              </w:rPr>
              <w:t>Потери в процентах к валовой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11F20" w14:textId="77777777" w:rsidR="008F43A8" w:rsidRPr="00E14102" w:rsidRDefault="008F43A8" w:rsidP="00E14102">
            <w:pPr>
              <w:jc w:val="both"/>
              <w:rPr>
                <w:color w:val="000000" w:themeColor="text1"/>
                <w:sz w:val="16"/>
                <w:szCs w:val="16"/>
              </w:rPr>
            </w:pPr>
            <w:r w:rsidRPr="00E14102">
              <w:rPr>
                <w:color w:val="000000" w:themeColor="text1"/>
                <w:sz w:val="16"/>
                <w:szCs w:val="16"/>
              </w:rPr>
              <w:t>6,56%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406AA" w14:textId="77777777" w:rsidR="008F43A8" w:rsidRPr="00E14102" w:rsidRDefault="008F43A8" w:rsidP="00E14102">
            <w:pPr>
              <w:jc w:val="both"/>
              <w:rPr>
                <w:color w:val="000000" w:themeColor="text1"/>
                <w:sz w:val="16"/>
                <w:szCs w:val="16"/>
              </w:rPr>
            </w:pPr>
            <w:r w:rsidRPr="00E1410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05AEF" w14:textId="77777777" w:rsidR="008F43A8" w:rsidRPr="00E14102" w:rsidRDefault="008F43A8" w:rsidP="00E14102">
            <w:pPr>
              <w:jc w:val="both"/>
              <w:rPr>
                <w:color w:val="000000" w:themeColor="text1"/>
                <w:sz w:val="16"/>
                <w:szCs w:val="16"/>
              </w:rPr>
            </w:pPr>
            <w:r w:rsidRPr="00E14102">
              <w:rPr>
                <w:color w:val="000000" w:themeColor="text1"/>
                <w:sz w:val="16"/>
                <w:szCs w:val="16"/>
              </w:rPr>
              <w:t>6,78</w:t>
            </w:r>
          </w:p>
        </w:tc>
      </w:tr>
      <w:tr w:rsidR="00E3599D" w:rsidRPr="00E14102" w14:paraId="5EA8905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F1D36B" w14:textId="77777777" w:rsidR="008F43A8" w:rsidRPr="00E14102" w:rsidRDefault="008F43A8" w:rsidP="00E14102">
            <w:pPr>
              <w:jc w:val="both"/>
              <w:rPr>
                <w:color w:val="000000" w:themeColor="text1"/>
                <w:sz w:val="16"/>
                <w:szCs w:val="16"/>
              </w:rPr>
            </w:pPr>
            <w:r w:rsidRPr="00E14102">
              <w:rPr>
                <w:color w:val="000000" w:themeColor="text1"/>
                <w:sz w:val="16"/>
                <w:szCs w:val="16"/>
              </w:rPr>
              <w:t>В том числе по 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8A2F5" w14:textId="77777777" w:rsidR="008F43A8" w:rsidRPr="00E14102" w:rsidRDefault="008F43A8" w:rsidP="00E14102">
            <w:pPr>
              <w:jc w:val="both"/>
              <w:rPr>
                <w:color w:val="000000" w:themeColor="text1"/>
                <w:sz w:val="16"/>
                <w:szCs w:val="16"/>
              </w:rPr>
            </w:pPr>
            <w:r w:rsidRPr="00E14102">
              <w:rPr>
                <w:color w:val="000000" w:themeColor="text1"/>
                <w:sz w:val="16"/>
                <w:szCs w:val="16"/>
              </w:rPr>
              <w:t>4,34%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09135" w14:textId="77777777" w:rsidR="008F43A8" w:rsidRPr="00E14102" w:rsidRDefault="008F43A8"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F7000" w14:textId="77777777" w:rsidR="008F43A8" w:rsidRPr="00E14102" w:rsidRDefault="008F43A8" w:rsidP="00E14102">
            <w:pPr>
              <w:jc w:val="both"/>
              <w:rPr>
                <w:color w:val="000000" w:themeColor="text1"/>
                <w:sz w:val="16"/>
                <w:szCs w:val="16"/>
              </w:rPr>
            </w:pPr>
            <w:r w:rsidRPr="00E14102">
              <w:rPr>
                <w:color w:val="000000" w:themeColor="text1"/>
                <w:sz w:val="16"/>
                <w:szCs w:val="16"/>
              </w:rPr>
              <w:t>4,59</w:t>
            </w:r>
          </w:p>
        </w:tc>
      </w:tr>
      <w:tr w:rsidR="00E3599D" w:rsidRPr="00E14102" w14:paraId="268031E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B6E388" w14:textId="77777777" w:rsidR="008F43A8" w:rsidRPr="00E14102" w:rsidRDefault="008F43A8" w:rsidP="00E14102">
            <w:pPr>
              <w:jc w:val="both"/>
              <w:rPr>
                <w:color w:val="000000" w:themeColor="text1"/>
                <w:sz w:val="16"/>
                <w:szCs w:val="16"/>
              </w:rPr>
            </w:pPr>
            <w:r w:rsidRPr="00E14102">
              <w:rPr>
                <w:color w:val="000000" w:themeColor="text1"/>
                <w:sz w:val="16"/>
                <w:szCs w:val="16"/>
              </w:rPr>
              <w:t>В том числе по гражданской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37E2C" w14:textId="77777777" w:rsidR="008F43A8" w:rsidRPr="00E14102" w:rsidRDefault="008F43A8" w:rsidP="00E14102">
            <w:pPr>
              <w:jc w:val="both"/>
              <w:rPr>
                <w:color w:val="000000" w:themeColor="text1"/>
                <w:sz w:val="16"/>
                <w:szCs w:val="16"/>
              </w:rPr>
            </w:pPr>
            <w:r w:rsidRPr="00E14102">
              <w:rPr>
                <w:color w:val="000000" w:themeColor="text1"/>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C2671" w14:textId="77777777" w:rsidR="008F43A8" w:rsidRPr="00E14102" w:rsidRDefault="008F43A8"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B8954" w14:textId="77777777" w:rsidR="008F43A8" w:rsidRPr="00E14102" w:rsidRDefault="008F43A8" w:rsidP="00E14102">
            <w:pPr>
              <w:jc w:val="both"/>
              <w:rPr>
                <w:color w:val="000000" w:themeColor="text1"/>
                <w:sz w:val="16"/>
                <w:szCs w:val="16"/>
              </w:rPr>
            </w:pPr>
            <w:r w:rsidRPr="00E14102">
              <w:rPr>
                <w:color w:val="000000" w:themeColor="text1"/>
                <w:sz w:val="16"/>
                <w:szCs w:val="16"/>
              </w:rPr>
              <w:t>1,65</w:t>
            </w:r>
          </w:p>
        </w:tc>
      </w:tr>
    </w:tbl>
    <w:p w14:paraId="1F077BAF" w14:textId="77777777" w:rsidR="008F43A8" w:rsidRPr="00E14102" w:rsidRDefault="008F43A8" w:rsidP="00E14102">
      <w:pPr>
        <w:jc w:val="both"/>
        <w:rPr>
          <w:color w:val="000000" w:themeColor="text1"/>
          <w:sz w:val="16"/>
          <w:szCs w:val="16"/>
        </w:rPr>
      </w:pPr>
      <w:r w:rsidRPr="00E14102">
        <w:rPr>
          <w:color w:val="000000" w:themeColor="text1"/>
          <w:sz w:val="16"/>
          <w:szCs w:val="16"/>
        </w:rPr>
        <w:t>IV. Снижение коммерческой себестоимости</w:t>
      </w:r>
    </w:p>
    <w:p w14:paraId="7D209959"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Задано снизить — 7,4%; выполнено — 6,3%.</w:t>
      </w:r>
    </w:p>
    <w:p w14:paraId="66A7F50C" w14:textId="77777777" w:rsidR="008F43A8" w:rsidRPr="00E14102" w:rsidRDefault="008F43A8" w:rsidP="00E14102">
      <w:pPr>
        <w:pStyle w:val="rtejustify"/>
        <w:spacing w:before="0" w:after="0"/>
        <w:rPr>
          <w:color w:val="000000" w:themeColor="text1"/>
          <w:sz w:val="16"/>
          <w:szCs w:val="16"/>
        </w:rPr>
      </w:pPr>
      <w:r w:rsidRPr="00E14102">
        <w:rPr>
          <w:rStyle w:val="a6"/>
          <w:bCs/>
          <w:i w:val="0"/>
          <w:color w:val="000000" w:themeColor="text1"/>
          <w:sz w:val="16"/>
          <w:szCs w:val="16"/>
        </w:rPr>
        <w:t>Снижение заводской себестоимости</w:t>
      </w:r>
      <w:r w:rsidRPr="00E14102">
        <w:rPr>
          <w:color w:val="000000" w:themeColor="text1"/>
          <w:sz w:val="16"/>
          <w:szCs w:val="16"/>
        </w:rPr>
        <w:t>. Задано снизить по ПФП — 6,2%; выполнено по ПФП — 5,3%.</w:t>
      </w:r>
    </w:p>
    <w:p w14:paraId="5470C82A" w14:textId="77777777" w:rsidR="008F43A8" w:rsidRPr="00E14102" w:rsidRDefault="008F43A8" w:rsidP="00E14102">
      <w:pPr>
        <w:pStyle w:val="ad"/>
        <w:spacing w:before="0" w:after="0"/>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В том числе: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09"/>
        <w:gridCol w:w="2298"/>
        <w:gridCol w:w="3716"/>
      </w:tblGrid>
      <w:tr w:rsidR="00E3599D" w:rsidRPr="00E14102" w14:paraId="0FE47EB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BBE84D" w14:textId="77777777" w:rsidR="008F43A8" w:rsidRPr="00E14102" w:rsidRDefault="008F43A8"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B7AD0" w14:textId="77777777" w:rsidR="008F43A8" w:rsidRPr="00E14102" w:rsidRDefault="008F43A8" w:rsidP="00E14102">
            <w:pPr>
              <w:jc w:val="both"/>
              <w:rPr>
                <w:color w:val="000000" w:themeColor="text1"/>
                <w:sz w:val="16"/>
                <w:szCs w:val="16"/>
              </w:rPr>
            </w:pPr>
            <w:r w:rsidRPr="00E14102">
              <w:rPr>
                <w:color w:val="000000" w:themeColor="text1"/>
                <w:sz w:val="16"/>
                <w:szCs w:val="16"/>
              </w:rPr>
              <w:t>задано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330D0" w14:textId="77777777" w:rsidR="008F43A8" w:rsidRPr="00E14102" w:rsidRDefault="008F43A8" w:rsidP="00E14102">
            <w:pPr>
              <w:jc w:val="both"/>
              <w:rPr>
                <w:color w:val="000000" w:themeColor="text1"/>
                <w:sz w:val="16"/>
                <w:szCs w:val="16"/>
              </w:rPr>
            </w:pPr>
            <w:r w:rsidRPr="00E14102">
              <w:rPr>
                <w:color w:val="000000" w:themeColor="text1"/>
                <w:sz w:val="16"/>
                <w:szCs w:val="16"/>
              </w:rPr>
              <w:t>выполнено</w:t>
            </w:r>
          </w:p>
        </w:tc>
      </w:tr>
      <w:tr w:rsidR="00E3599D" w:rsidRPr="00E14102" w14:paraId="435CEA8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DD320E" w14:textId="77777777" w:rsidR="008F43A8" w:rsidRPr="00E14102" w:rsidRDefault="008F43A8" w:rsidP="00E14102">
            <w:pPr>
              <w:jc w:val="both"/>
              <w:rPr>
                <w:color w:val="000000" w:themeColor="text1"/>
                <w:sz w:val="16"/>
                <w:szCs w:val="16"/>
              </w:rPr>
            </w:pPr>
            <w:r w:rsidRPr="00E14102">
              <w:rPr>
                <w:color w:val="000000" w:themeColor="text1"/>
                <w:sz w:val="16"/>
                <w:szCs w:val="16"/>
              </w:rPr>
              <w:t>по 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6102F" w14:textId="77777777" w:rsidR="008F43A8" w:rsidRPr="00E14102" w:rsidRDefault="008F43A8" w:rsidP="00E14102">
            <w:pPr>
              <w:jc w:val="both"/>
              <w:rPr>
                <w:color w:val="000000" w:themeColor="text1"/>
                <w:sz w:val="16"/>
                <w:szCs w:val="16"/>
              </w:rPr>
            </w:pPr>
            <w:r w:rsidRPr="00E14102">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7D7C1" w14:textId="77777777" w:rsidR="008F43A8" w:rsidRPr="00E14102" w:rsidRDefault="008F43A8" w:rsidP="00E14102">
            <w:pPr>
              <w:jc w:val="both"/>
              <w:rPr>
                <w:color w:val="000000" w:themeColor="text1"/>
                <w:sz w:val="16"/>
                <w:szCs w:val="16"/>
              </w:rPr>
            </w:pPr>
            <w:r w:rsidRPr="00E14102">
              <w:rPr>
                <w:color w:val="000000" w:themeColor="text1"/>
                <w:sz w:val="16"/>
                <w:szCs w:val="16"/>
              </w:rPr>
              <w:t>6,0%</w:t>
            </w:r>
          </w:p>
        </w:tc>
      </w:tr>
      <w:tr w:rsidR="00E3599D" w:rsidRPr="00E14102" w14:paraId="4695D12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9EB1C2" w14:textId="77777777" w:rsidR="008F43A8" w:rsidRPr="00E14102" w:rsidRDefault="008F43A8" w:rsidP="00E14102">
            <w:pPr>
              <w:jc w:val="both"/>
              <w:rPr>
                <w:color w:val="000000" w:themeColor="text1"/>
                <w:sz w:val="16"/>
                <w:szCs w:val="16"/>
              </w:rPr>
            </w:pPr>
            <w:r w:rsidRPr="00E14102">
              <w:rPr>
                <w:color w:val="000000" w:themeColor="text1"/>
                <w:sz w:val="16"/>
                <w:szCs w:val="16"/>
              </w:rPr>
              <w:t>по гражданской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64276" w14:textId="77777777" w:rsidR="008F43A8" w:rsidRPr="00E14102" w:rsidRDefault="008F43A8" w:rsidP="00E14102">
            <w:pPr>
              <w:jc w:val="both"/>
              <w:rPr>
                <w:color w:val="000000" w:themeColor="text1"/>
                <w:sz w:val="16"/>
                <w:szCs w:val="16"/>
              </w:rPr>
            </w:pPr>
            <w:r w:rsidRPr="00E14102">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05A52" w14:textId="77777777" w:rsidR="008F43A8" w:rsidRPr="00E14102" w:rsidRDefault="008F43A8" w:rsidP="00E14102">
            <w:pPr>
              <w:jc w:val="both"/>
              <w:rPr>
                <w:color w:val="000000" w:themeColor="text1"/>
                <w:sz w:val="16"/>
                <w:szCs w:val="16"/>
              </w:rPr>
            </w:pPr>
            <w:r w:rsidRPr="00E14102">
              <w:rPr>
                <w:color w:val="000000" w:themeColor="text1"/>
                <w:sz w:val="16"/>
                <w:szCs w:val="16"/>
              </w:rPr>
              <w:t>5,3%</w:t>
            </w:r>
          </w:p>
        </w:tc>
      </w:tr>
    </w:tbl>
    <w:p w14:paraId="7C84DAEB" w14:textId="77777777" w:rsidR="008F43A8" w:rsidRPr="00E14102" w:rsidRDefault="008F43A8" w:rsidP="00E14102">
      <w:pPr>
        <w:pStyle w:val="rtejustify"/>
        <w:spacing w:before="0" w:after="0"/>
        <w:rPr>
          <w:color w:val="000000" w:themeColor="text1"/>
          <w:sz w:val="16"/>
          <w:szCs w:val="16"/>
        </w:rPr>
      </w:pPr>
      <w:r w:rsidRPr="00E14102">
        <w:rPr>
          <w:rStyle w:val="a6"/>
          <w:bCs/>
          <w:i w:val="0"/>
          <w:color w:val="000000" w:themeColor="text1"/>
          <w:sz w:val="16"/>
          <w:szCs w:val="16"/>
        </w:rPr>
        <w:t>Снижение за счет отдельных элементов</w:t>
      </w:r>
      <w:r w:rsidRPr="00E14102">
        <w:rPr>
          <w:color w:val="000000" w:themeColor="text1"/>
          <w:sz w:val="16"/>
          <w:szCs w:val="16"/>
        </w:rPr>
        <w:t>. За счет материалов — 0,48%; за счет зарплаты осн. — 0,5%; за счет цеховых и специальных расходов — 1,18%; за счет общезаводских расходов — 3,89%; за счет потерь по внешним причинам — 0,3%.</w:t>
      </w:r>
    </w:p>
    <w:p w14:paraId="0FCF53D9" w14:textId="77777777" w:rsidR="008F43A8" w:rsidRPr="00E14102" w:rsidRDefault="008F43A8" w:rsidP="00E14102">
      <w:pPr>
        <w:jc w:val="both"/>
        <w:rPr>
          <w:color w:val="000000" w:themeColor="text1"/>
          <w:sz w:val="16"/>
          <w:szCs w:val="16"/>
        </w:rPr>
      </w:pPr>
      <w:r w:rsidRPr="00E14102">
        <w:rPr>
          <w:color w:val="000000" w:themeColor="text1"/>
          <w:sz w:val="16"/>
          <w:szCs w:val="16"/>
        </w:rPr>
        <w:t>Снижение себестоимости по отдельным видам главнейших изделий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60"/>
        <w:gridCol w:w="1551"/>
        <w:gridCol w:w="1461"/>
        <w:gridCol w:w="1551"/>
      </w:tblGrid>
      <w:tr w:rsidR="00E3599D" w:rsidRPr="00E14102" w14:paraId="699BB29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D063A8" w14:textId="77777777" w:rsidR="008F43A8" w:rsidRPr="00E14102" w:rsidRDefault="008F43A8"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BE3DF" w14:textId="77777777" w:rsidR="008F43A8" w:rsidRPr="00E14102" w:rsidRDefault="008F43A8" w:rsidP="00E14102">
            <w:pPr>
              <w:jc w:val="both"/>
              <w:rPr>
                <w:color w:val="000000" w:themeColor="text1"/>
                <w:sz w:val="16"/>
                <w:szCs w:val="16"/>
              </w:rPr>
            </w:pPr>
            <w:r w:rsidRPr="00E14102">
              <w:rPr>
                <w:color w:val="000000" w:themeColor="text1"/>
                <w:sz w:val="16"/>
                <w:szCs w:val="16"/>
              </w:rPr>
              <w:t>Отчет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1B28F" w14:textId="77777777" w:rsidR="008F43A8" w:rsidRPr="00E14102" w:rsidRDefault="008F43A8" w:rsidP="00E14102">
            <w:pPr>
              <w:jc w:val="both"/>
              <w:rPr>
                <w:color w:val="000000" w:themeColor="text1"/>
                <w:sz w:val="16"/>
                <w:szCs w:val="16"/>
              </w:rPr>
            </w:pPr>
            <w:r w:rsidRPr="00E14102">
              <w:rPr>
                <w:color w:val="000000" w:themeColor="text1"/>
                <w:sz w:val="16"/>
                <w:szCs w:val="16"/>
              </w:rPr>
              <w:t>План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BFBE7" w14:textId="77777777" w:rsidR="008F43A8" w:rsidRPr="00E14102" w:rsidRDefault="008F43A8" w:rsidP="00E14102">
            <w:pPr>
              <w:jc w:val="both"/>
              <w:rPr>
                <w:color w:val="000000" w:themeColor="text1"/>
                <w:sz w:val="16"/>
                <w:szCs w:val="16"/>
              </w:rPr>
            </w:pPr>
            <w:r w:rsidRPr="00E14102">
              <w:rPr>
                <w:color w:val="000000" w:themeColor="text1"/>
                <w:sz w:val="16"/>
                <w:szCs w:val="16"/>
              </w:rPr>
              <w:t>Отчет 1934 г.</w:t>
            </w:r>
          </w:p>
        </w:tc>
      </w:tr>
      <w:tr w:rsidR="00E3599D" w:rsidRPr="00E14102" w14:paraId="39EAD99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1F5DB8" w14:textId="77777777" w:rsidR="008F43A8" w:rsidRPr="00E14102" w:rsidRDefault="008F43A8" w:rsidP="00E14102">
            <w:pPr>
              <w:jc w:val="both"/>
              <w:rPr>
                <w:color w:val="000000" w:themeColor="text1"/>
                <w:sz w:val="16"/>
                <w:szCs w:val="16"/>
              </w:rPr>
            </w:pPr>
            <w:r w:rsidRPr="00E14102">
              <w:rPr>
                <w:color w:val="000000" w:themeColor="text1"/>
                <w:sz w:val="16"/>
                <w:szCs w:val="16"/>
              </w:rPr>
              <w:t>Винтпатроны ГЖ ПЖ б[ез] об[олочки] по заводу №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B0FEB" w14:textId="77777777" w:rsidR="008F43A8" w:rsidRPr="00E14102" w:rsidRDefault="008F43A8" w:rsidP="00E14102">
            <w:pPr>
              <w:jc w:val="both"/>
              <w:rPr>
                <w:color w:val="000000" w:themeColor="text1"/>
                <w:sz w:val="16"/>
                <w:szCs w:val="16"/>
              </w:rPr>
            </w:pPr>
            <w:r w:rsidRPr="00E14102">
              <w:rPr>
                <w:color w:val="000000" w:themeColor="text1"/>
                <w:sz w:val="16"/>
                <w:szCs w:val="16"/>
              </w:rPr>
              <w:t>108-25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E8D6E" w14:textId="77777777" w:rsidR="008F43A8" w:rsidRPr="00E14102" w:rsidRDefault="008F43A8" w:rsidP="00E14102">
            <w:pPr>
              <w:jc w:val="both"/>
              <w:rPr>
                <w:color w:val="000000" w:themeColor="text1"/>
                <w:sz w:val="16"/>
                <w:szCs w:val="16"/>
              </w:rPr>
            </w:pPr>
            <w:r w:rsidRPr="00E14102">
              <w:rPr>
                <w:color w:val="000000" w:themeColor="text1"/>
                <w:sz w:val="16"/>
                <w:szCs w:val="16"/>
              </w:rPr>
              <w:t>106-33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46D87" w14:textId="77777777" w:rsidR="008F43A8" w:rsidRPr="00E14102" w:rsidRDefault="008F43A8" w:rsidP="00E14102">
            <w:pPr>
              <w:jc w:val="both"/>
              <w:rPr>
                <w:color w:val="000000" w:themeColor="text1"/>
                <w:sz w:val="16"/>
                <w:szCs w:val="16"/>
              </w:rPr>
            </w:pPr>
            <w:r w:rsidRPr="00E14102">
              <w:rPr>
                <w:color w:val="000000" w:themeColor="text1"/>
                <w:sz w:val="16"/>
                <w:szCs w:val="16"/>
              </w:rPr>
              <w:t>101-20</w:t>
            </w:r>
          </w:p>
        </w:tc>
      </w:tr>
      <w:tr w:rsidR="00E3599D" w:rsidRPr="00E14102" w14:paraId="54C8C0A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A95D88" w14:textId="77777777" w:rsidR="008F43A8" w:rsidRPr="00E14102" w:rsidRDefault="008F43A8" w:rsidP="00E14102">
            <w:pPr>
              <w:jc w:val="both"/>
              <w:rPr>
                <w:color w:val="000000" w:themeColor="text1"/>
                <w:sz w:val="16"/>
                <w:szCs w:val="16"/>
              </w:rPr>
            </w:pPr>
            <w:r w:rsidRPr="00E14102">
              <w:rPr>
                <w:color w:val="000000" w:themeColor="text1"/>
                <w:sz w:val="16"/>
                <w:szCs w:val="16"/>
              </w:rPr>
              <w:t>Винтпатроны ГЖ ПЖ б[ез] об[олочки] по заводу №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5D351" w14:textId="77777777" w:rsidR="008F43A8" w:rsidRPr="00E14102" w:rsidRDefault="008F43A8" w:rsidP="00E14102">
            <w:pPr>
              <w:jc w:val="both"/>
              <w:rPr>
                <w:color w:val="000000" w:themeColor="text1"/>
                <w:sz w:val="16"/>
                <w:szCs w:val="16"/>
              </w:rPr>
            </w:pPr>
            <w:r w:rsidRPr="00E14102">
              <w:rPr>
                <w:color w:val="000000" w:themeColor="text1"/>
                <w:sz w:val="16"/>
                <w:szCs w:val="16"/>
              </w:rPr>
              <w:t>125-66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8AB03" w14:textId="77777777" w:rsidR="008F43A8" w:rsidRPr="00E14102" w:rsidRDefault="008F43A8" w:rsidP="00E14102">
            <w:pPr>
              <w:jc w:val="both"/>
              <w:rPr>
                <w:color w:val="000000" w:themeColor="text1"/>
                <w:sz w:val="16"/>
                <w:szCs w:val="16"/>
              </w:rPr>
            </w:pPr>
            <w:r w:rsidRPr="00E14102">
              <w:rPr>
                <w:color w:val="000000" w:themeColor="text1"/>
                <w:sz w:val="16"/>
                <w:szCs w:val="16"/>
              </w:rPr>
              <w:t>117-33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55633" w14:textId="77777777" w:rsidR="008F43A8" w:rsidRPr="00E14102" w:rsidRDefault="008F43A8" w:rsidP="00E14102">
            <w:pPr>
              <w:jc w:val="both"/>
              <w:rPr>
                <w:color w:val="000000" w:themeColor="text1"/>
                <w:sz w:val="16"/>
                <w:szCs w:val="16"/>
              </w:rPr>
            </w:pPr>
            <w:r w:rsidRPr="00E14102">
              <w:rPr>
                <w:color w:val="000000" w:themeColor="text1"/>
                <w:sz w:val="16"/>
                <w:szCs w:val="16"/>
              </w:rPr>
              <w:t>109-88</w:t>
            </w:r>
          </w:p>
        </w:tc>
      </w:tr>
      <w:tr w:rsidR="00E3599D" w:rsidRPr="00E14102" w14:paraId="4A3045B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930C73" w14:textId="77777777" w:rsidR="008F43A8" w:rsidRPr="00E14102" w:rsidRDefault="008F43A8" w:rsidP="00E14102">
            <w:pPr>
              <w:jc w:val="both"/>
              <w:rPr>
                <w:color w:val="000000" w:themeColor="text1"/>
                <w:sz w:val="16"/>
                <w:szCs w:val="16"/>
              </w:rPr>
            </w:pPr>
            <w:r w:rsidRPr="00E14102">
              <w:rPr>
                <w:color w:val="000000" w:themeColor="text1"/>
                <w:sz w:val="16"/>
                <w:szCs w:val="16"/>
              </w:rPr>
              <w:t>Винтпатроны ГЖ ПЖ б[ез] об[олочки] по заводу № 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16C73" w14:textId="77777777" w:rsidR="008F43A8" w:rsidRPr="00E14102" w:rsidRDefault="008F43A8" w:rsidP="00E14102">
            <w:pPr>
              <w:jc w:val="both"/>
              <w:rPr>
                <w:color w:val="000000" w:themeColor="text1"/>
                <w:sz w:val="16"/>
                <w:szCs w:val="16"/>
              </w:rPr>
            </w:pPr>
            <w:r w:rsidRPr="00E14102">
              <w:rPr>
                <w:color w:val="000000" w:themeColor="text1"/>
                <w:sz w:val="16"/>
                <w:szCs w:val="16"/>
              </w:rPr>
              <w:t>170-17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A34FF" w14:textId="77777777" w:rsidR="008F43A8" w:rsidRPr="00E14102" w:rsidRDefault="008F43A8" w:rsidP="00E14102">
            <w:pPr>
              <w:jc w:val="both"/>
              <w:rPr>
                <w:color w:val="000000" w:themeColor="text1"/>
                <w:sz w:val="16"/>
                <w:szCs w:val="16"/>
              </w:rPr>
            </w:pPr>
            <w:r w:rsidRPr="00E14102">
              <w:rPr>
                <w:color w:val="000000" w:themeColor="text1"/>
                <w:sz w:val="16"/>
                <w:szCs w:val="16"/>
              </w:rPr>
              <w:t>111-56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FDD7A" w14:textId="77777777" w:rsidR="008F43A8" w:rsidRPr="00E14102" w:rsidRDefault="008F43A8" w:rsidP="00E14102">
            <w:pPr>
              <w:jc w:val="both"/>
              <w:rPr>
                <w:color w:val="000000" w:themeColor="text1"/>
                <w:sz w:val="16"/>
                <w:szCs w:val="16"/>
              </w:rPr>
            </w:pPr>
            <w:r w:rsidRPr="00E14102">
              <w:rPr>
                <w:color w:val="000000" w:themeColor="text1"/>
                <w:sz w:val="16"/>
                <w:szCs w:val="16"/>
              </w:rPr>
              <w:t>120-13</w:t>
            </w:r>
          </w:p>
        </w:tc>
      </w:tr>
      <w:tr w:rsidR="00E3599D" w:rsidRPr="00E14102" w14:paraId="720498B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EE963B" w14:textId="77777777" w:rsidR="008F43A8" w:rsidRPr="00E14102" w:rsidRDefault="008F43A8" w:rsidP="00E14102">
            <w:pPr>
              <w:jc w:val="both"/>
              <w:rPr>
                <w:color w:val="000000" w:themeColor="text1"/>
                <w:sz w:val="16"/>
                <w:szCs w:val="16"/>
              </w:rPr>
            </w:pPr>
            <w:r w:rsidRPr="00E14102">
              <w:rPr>
                <w:color w:val="000000" w:themeColor="text1"/>
                <w:sz w:val="16"/>
                <w:szCs w:val="16"/>
              </w:rPr>
              <w:lastRenderedPageBreak/>
              <w:t>Винтпатроны ГЖ ПЖ в об[олочке] по заводу №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623BC" w14:textId="77777777" w:rsidR="008F43A8" w:rsidRPr="00E14102" w:rsidRDefault="008F43A8" w:rsidP="00E14102">
            <w:pPr>
              <w:jc w:val="both"/>
              <w:rPr>
                <w:color w:val="000000" w:themeColor="text1"/>
                <w:sz w:val="16"/>
                <w:szCs w:val="16"/>
              </w:rPr>
            </w:pPr>
            <w:r w:rsidRPr="00E14102">
              <w:rPr>
                <w:color w:val="000000" w:themeColor="text1"/>
                <w:sz w:val="16"/>
                <w:szCs w:val="16"/>
              </w:rPr>
              <w:t>118-37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5B604" w14:textId="77777777" w:rsidR="008F43A8" w:rsidRPr="00E14102" w:rsidRDefault="008F43A8" w:rsidP="00E14102">
            <w:pPr>
              <w:jc w:val="both"/>
              <w:rPr>
                <w:color w:val="000000" w:themeColor="text1"/>
                <w:sz w:val="16"/>
                <w:szCs w:val="16"/>
              </w:rPr>
            </w:pPr>
            <w:r w:rsidRPr="00E14102">
              <w:rPr>
                <w:color w:val="000000" w:themeColor="text1"/>
                <w:sz w:val="16"/>
                <w:szCs w:val="16"/>
              </w:rPr>
              <w:t>113-31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4A5AD" w14:textId="77777777" w:rsidR="008F43A8" w:rsidRPr="00E14102" w:rsidRDefault="008F43A8" w:rsidP="00E14102">
            <w:pPr>
              <w:jc w:val="both"/>
              <w:rPr>
                <w:color w:val="000000" w:themeColor="text1"/>
                <w:sz w:val="16"/>
                <w:szCs w:val="16"/>
              </w:rPr>
            </w:pPr>
            <w:r w:rsidRPr="00E14102">
              <w:rPr>
                <w:color w:val="000000" w:themeColor="text1"/>
                <w:sz w:val="16"/>
                <w:szCs w:val="16"/>
              </w:rPr>
              <w:t>112-50</w:t>
            </w:r>
          </w:p>
        </w:tc>
      </w:tr>
      <w:tr w:rsidR="00E3599D" w:rsidRPr="00E14102" w14:paraId="2291A2C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648206" w14:textId="77777777" w:rsidR="008F43A8" w:rsidRPr="00E14102" w:rsidRDefault="008F43A8" w:rsidP="00E14102">
            <w:pPr>
              <w:jc w:val="both"/>
              <w:rPr>
                <w:color w:val="000000" w:themeColor="text1"/>
                <w:sz w:val="16"/>
                <w:szCs w:val="16"/>
              </w:rPr>
            </w:pPr>
            <w:r w:rsidRPr="00E14102">
              <w:rPr>
                <w:color w:val="000000" w:themeColor="text1"/>
                <w:sz w:val="16"/>
                <w:szCs w:val="16"/>
              </w:rPr>
              <w:t>Винтпатроны ГЖ ПЖ в об[олочке] по заводу №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CE14A" w14:textId="77777777" w:rsidR="008F43A8" w:rsidRPr="00E14102" w:rsidRDefault="008F43A8" w:rsidP="00E14102">
            <w:pPr>
              <w:jc w:val="both"/>
              <w:rPr>
                <w:color w:val="000000" w:themeColor="text1"/>
                <w:sz w:val="16"/>
                <w:szCs w:val="16"/>
              </w:rPr>
            </w:pPr>
            <w:r w:rsidRPr="00E14102">
              <w:rPr>
                <w:color w:val="000000" w:themeColor="text1"/>
                <w:sz w:val="16"/>
                <w:szCs w:val="16"/>
              </w:rPr>
              <w:t>134-34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BCE2B" w14:textId="77777777" w:rsidR="008F43A8" w:rsidRPr="00E14102" w:rsidRDefault="008F43A8" w:rsidP="00E14102">
            <w:pPr>
              <w:jc w:val="both"/>
              <w:rPr>
                <w:color w:val="000000" w:themeColor="text1"/>
                <w:sz w:val="16"/>
                <w:szCs w:val="16"/>
              </w:rPr>
            </w:pPr>
            <w:r w:rsidRPr="00E14102">
              <w:rPr>
                <w:color w:val="000000" w:themeColor="text1"/>
                <w:sz w:val="16"/>
                <w:szCs w:val="16"/>
              </w:rPr>
              <w:t>130-30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10BE2" w14:textId="77777777" w:rsidR="008F43A8" w:rsidRPr="00E14102" w:rsidRDefault="008F43A8" w:rsidP="00E14102">
            <w:pPr>
              <w:jc w:val="both"/>
              <w:rPr>
                <w:color w:val="000000" w:themeColor="text1"/>
                <w:sz w:val="16"/>
                <w:szCs w:val="16"/>
              </w:rPr>
            </w:pPr>
            <w:r w:rsidRPr="00E14102">
              <w:rPr>
                <w:color w:val="000000" w:themeColor="text1"/>
                <w:sz w:val="16"/>
                <w:szCs w:val="16"/>
              </w:rPr>
              <w:t>126-76</w:t>
            </w:r>
          </w:p>
        </w:tc>
      </w:tr>
      <w:tr w:rsidR="00E3599D" w:rsidRPr="00E14102" w14:paraId="55F5006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1ED003" w14:textId="77777777" w:rsidR="008F43A8" w:rsidRPr="00E14102" w:rsidRDefault="008F43A8" w:rsidP="00E14102">
            <w:pPr>
              <w:jc w:val="both"/>
              <w:rPr>
                <w:color w:val="000000" w:themeColor="text1"/>
                <w:sz w:val="16"/>
                <w:szCs w:val="16"/>
              </w:rPr>
            </w:pPr>
            <w:r w:rsidRPr="00E14102">
              <w:rPr>
                <w:color w:val="000000" w:themeColor="text1"/>
                <w:sz w:val="16"/>
                <w:szCs w:val="16"/>
              </w:rPr>
              <w:t>Винтпатроны ГЖ ПЖ б[ез] об[олочки] тяж. по заводу ТПЗ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ED882" w14:textId="77777777" w:rsidR="008F43A8" w:rsidRPr="00E14102" w:rsidRDefault="008F43A8" w:rsidP="00E14102">
            <w:pPr>
              <w:jc w:val="both"/>
              <w:rPr>
                <w:color w:val="000000" w:themeColor="text1"/>
                <w:sz w:val="16"/>
                <w:szCs w:val="16"/>
              </w:rPr>
            </w:pPr>
            <w:r w:rsidRPr="00E14102">
              <w:rPr>
                <w:color w:val="000000" w:themeColor="text1"/>
                <w:sz w:val="16"/>
                <w:szCs w:val="16"/>
              </w:rPr>
              <w:t>168-95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4CFC3" w14:textId="77777777" w:rsidR="008F43A8" w:rsidRPr="00E14102" w:rsidRDefault="008F43A8" w:rsidP="00E14102">
            <w:pPr>
              <w:jc w:val="both"/>
              <w:rPr>
                <w:color w:val="000000" w:themeColor="text1"/>
                <w:sz w:val="16"/>
                <w:szCs w:val="16"/>
              </w:rPr>
            </w:pPr>
            <w:r w:rsidRPr="00E14102">
              <w:rPr>
                <w:color w:val="000000" w:themeColor="text1"/>
                <w:sz w:val="16"/>
                <w:szCs w:val="16"/>
              </w:rPr>
              <w:t>126-60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35230" w14:textId="77777777" w:rsidR="008F43A8" w:rsidRPr="00E14102" w:rsidRDefault="008F43A8" w:rsidP="00E14102">
            <w:pPr>
              <w:jc w:val="both"/>
              <w:rPr>
                <w:color w:val="000000" w:themeColor="text1"/>
                <w:sz w:val="16"/>
                <w:szCs w:val="16"/>
              </w:rPr>
            </w:pPr>
            <w:r w:rsidRPr="00E14102">
              <w:rPr>
                <w:color w:val="000000" w:themeColor="text1"/>
                <w:sz w:val="16"/>
                <w:szCs w:val="16"/>
              </w:rPr>
              <w:t>122-52</w:t>
            </w:r>
          </w:p>
        </w:tc>
      </w:tr>
      <w:tr w:rsidR="00E3599D" w:rsidRPr="00E14102" w14:paraId="279EED3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1E8C0D" w14:textId="77777777" w:rsidR="008F43A8" w:rsidRPr="00E14102" w:rsidRDefault="008F43A8" w:rsidP="00E14102">
            <w:pPr>
              <w:jc w:val="both"/>
              <w:rPr>
                <w:color w:val="000000" w:themeColor="text1"/>
                <w:sz w:val="16"/>
                <w:szCs w:val="16"/>
              </w:rPr>
            </w:pPr>
            <w:r w:rsidRPr="00E14102">
              <w:rPr>
                <w:color w:val="000000" w:themeColor="text1"/>
                <w:sz w:val="16"/>
                <w:szCs w:val="16"/>
              </w:rPr>
              <w:t>Винтпатроны ГЖ ПЖ б[ез] об[олочки] тяж. по заводу №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F8D83" w14:textId="77777777" w:rsidR="008F43A8" w:rsidRPr="00E14102" w:rsidRDefault="008F43A8" w:rsidP="00E14102">
            <w:pPr>
              <w:jc w:val="both"/>
              <w:rPr>
                <w:color w:val="000000" w:themeColor="text1"/>
                <w:sz w:val="16"/>
                <w:szCs w:val="16"/>
              </w:rPr>
            </w:pPr>
            <w:r w:rsidRPr="00E14102">
              <w:rPr>
                <w:color w:val="000000" w:themeColor="text1"/>
                <w:sz w:val="16"/>
                <w:szCs w:val="16"/>
              </w:rPr>
              <w:t>110-67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4BCAC" w14:textId="77777777" w:rsidR="008F43A8" w:rsidRPr="00E14102" w:rsidRDefault="008F43A8" w:rsidP="00E14102">
            <w:pPr>
              <w:jc w:val="both"/>
              <w:rPr>
                <w:color w:val="000000" w:themeColor="text1"/>
                <w:sz w:val="16"/>
                <w:szCs w:val="16"/>
              </w:rPr>
            </w:pPr>
            <w:r w:rsidRPr="00E14102">
              <w:rPr>
                <w:color w:val="000000" w:themeColor="text1"/>
                <w:sz w:val="16"/>
                <w:szCs w:val="16"/>
              </w:rPr>
              <w:t>109-52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6E368" w14:textId="77777777" w:rsidR="008F43A8" w:rsidRPr="00E14102" w:rsidRDefault="008F43A8" w:rsidP="00E14102">
            <w:pPr>
              <w:jc w:val="both"/>
              <w:rPr>
                <w:color w:val="000000" w:themeColor="text1"/>
                <w:sz w:val="16"/>
                <w:szCs w:val="16"/>
              </w:rPr>
            </w:pPr>
            <w:r w:rsidRPr="00E14102">
              <w:rPr>
                <w:color w:val="000000" w:themeColor="text1"/>
                <w:sz w:val="16"/>
                <w:szCs w:val="16"/>
              </w:rPr>
              <w:t>103-08</w:t>
            </w:r>
          </w:p>
        </w:tc>
      </w:tr>
      <w:tr w:rsidR="00E3599D" w:rsidRPr="00E14102" w14:paraId="3F0D3A0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FF280E" w14:textId="77777777" w:rsidR="008F43A8" w:rsidRPr="00E14102" w:rsidRDefault="008F43A8" w:rsidP="00E14102">
            <w:pPr>
              <w:jc w:val="both"/>
              <w:rPr>
                <w:color w:val="000000" w:themeColor="text1"/>
                <w:sz w:val="16"/>
                <w:szCs w:val="16"/>
              </w:rPr>
            </w:pPr>
            <w:r w:rsidRPr="00E14102">
              <w:rPr>
                <w:color w:val="000000" w:themeColor="text1"/>
                <w:sz w:val="16"/>
                <w:szCs w:val="16"/>
              </w:rPr>
              <w:t>Станки Р-1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06917" w14:textId="77777777" w:rsidR="008F43A8" w:rsidRPr="00E14102" w:rsidRDefault="008F43A8" w:rsidP="00E14102">
            <w:pPr>
              <w:jc w:val="both"/>
              <w:rPr>
                <w:color w:val="000000" w:themeColor="text1"/>
                <w:sz w:val="16"/>
                <w:szCs w:val="16"/>
              </w:rPr>
            </w:pPr>
            <w:r w:rsidRPr="00E14102">
              <w:rPr>
                <w:color w:val="000000" w:themeColor="text1"/>
                <w:sz w:val="16"/>
                <w:szCs w:val="16"/>
              </w:rPr>
              <w:t>9018</w:t>
            </w:r>
            <w:r w:rsidRPr="00E14102">
              <w:rPr>
                <w:color w:val="000000" w:themeColor="text1"/>
                <w:sz w:val="16"/>
                <w:szCs w:val="16"/>
              </w:rPr>
              <w:noBreakHyphen/>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C868C" w14:textId="77777777" w:rsidR="008F43A8" w:rsidRPr="00E14102" w:rsidRDefault="008F43A8" w:rsidP="00E14102">
            <w:pPr>
              <w:jc w:val="both"/>
              <w:rPr>
                <w:color w:val="000000" w:themeColor="text1"/>
                <w:sz w:val="16"/>
                <w:szCs w:val="16"/>
              </w:rPr>
            </w:pPr>
            <w:r w:rsidRPr="00E14102">
              <w:rPr>
                <w:color w:val="000000" w:themeColor="text1"/>
                <w:sz w:val="16"/>
                <w:szCs w:val="16"/>
              </w:rPr>
              <w:t>8791</w:t>
            </w:r>
            <w:r w:rsidRPr="00E14102">
              <w:rPr>
                <w:color w:val="000000" w:themeColor="text1"/>
                <w:sz w:val="16"/>
                <w:szCs w:val="16"/>
              </w:rPr>
              <w:noBreakHyphen/>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297FB" w14:textId="77777777" w:rsidR="008F43A8" w:rsidRPr="00E14102" w:rsidRDefault="008F43A8" w:rsidP="00E14102">
            <w:pPr>
              <w:jc w:val="both"/>
              <w:rPr>
                <w:color w:val="000000" w:themeColor="text1"/>
                <w:sz w:val="16"/>
                <w:szCs w:val="16"/>
              </w:rPr>
            </w:pPr>
            <w:r w:rsidRPr="00E14102">
              <w:rPr>
                <w:color w:val="000000" w:themeColor="text1"/>
                <w:sz w:val="16"/>
                <w:szCs w:val="16"/>
              </w:rPr>
              <w:t>5343</w:t>
            </w:r>
            <w:r w:rsidRPr="00E14102">
              <w:rPr>
                <w:color w:val="000000" w:themeColor="text1"/>
                <w:sz w:val="16"/>
                <w:szCs w:val="16"/>
              </w:rPr>
              <w:noBreakHyphen/>
              <w:t>05</w:t>
            </w:r>
          </w:p>
        </w:tc>
      </w:tr>
      <w:tr w:rsidR="00E3599D" w:rsidRPr="00E14102" w14:paraId="3974146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78AB3C" w14:textId="77777777" w:rsidR="008F43A8" w:rsidRPr="00E14102" w:rsidRDefault="008F43A8" w:rsidP="00E14102">
            <w:pPr>
              <w:jc w:val="both"/>
              <w:rPr>
                <w:color w:val="000000" w:themeColor="text1"/>
                <w:sz w:val="16"/>
                <w:szCs w:val="16"/>
              </w:rPr>
            </w:pPr>
            <w:r w:rsidRPr="00E14102">
              <w:rPr>
                <w:color w:val="000000" w:themeColor="text1"/>
                <w:sz w:val="16"/>
                <w:szCs w:val="16"/>
              </w:rPr>
              <w:t>Станки «Лерх»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E0493" w14:textId="77777777" w:rsidR="008F43A8" w:rsidRPr="00E14102" w:rsidRDefault="008F43A8" w:rsidP="00E14102">
            <w:pPr>
              <w:jc w:val="both"/>
              <w:rPr>
                <w:color w:val="000000" w:themeColor="text1"/>
                <w:sz w:val="16"/>
                <w:szCs w:val="16"/>
              </w:rPr>
            </w:pPr>
            <w:r w:rsidRPr="00E14102">
              <w:rPr>
                <w:color w:val="000000" w:themeColor="text1"/>
                <w:sz w:val="16"/>
                <w:szCs w:val="16"/>
              </w:rPr>
              <w:t>4209</w:t>
            </w:r>
            <w:r w:rsidRPr="00E14102">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244E8" w14:textId="77777777" w:rsidR="008F43A8" w:rsidRPr="00E14102" w:rsidRDefault="008F43A8" w:rsidP="00E14102">
            <w:pPr>
              <w:jc w:val="both"/>
              <w:rPr>
                <w:color w:val="000000" w:themeColor="text1"/>
                <w:sz w:val="16"/>
                <w:szCs w:val="16"/>
              </w:rPr>
            </w:pPr>
            <w:r w:rsidRPr="00E14102">
              <w:rPr>
                <w:color w:val="000000" w:themeColor="text1"/>
                <w:sz w:val="16"/>
                <w:szCs w:val="16"/>
              </w:rPr>
              <w:t>3885-88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A5964" w14:textId="77777777" w:rsidR="008F43A8" w:rsidRPr="00E14102" w:rsidRDefault="008F43A8" w:rsidP="00E14102">
            <w:pPr>
              <w:jc w:val="both"/>
              <w:rPr>
                <w:color w:val="000000" w:themeColor="text1"/>
                <w:sz w:val="16"/>
                <w:szCs w:val="16"/>
              </w:rPr>
            </w:pPr>
            <w:r w:rsidRPr="00E14102">
              <w:rPr>
                <w:color w:val="000000" w:themeColor="text1"/>
                <w:sz w:val="16"/>
                <w:szCs w:val="16"/>
              </w:rPr>
              <w:t>2714</w:t>
            </w:r>
            <w:r w:rsidRPr="00E14102">
              <w:rPr>
                <w:color w:val="000000" w:themeColor="text1"/>
                <w:sz w:val="16"/>
                <w:szCs w:val="16"/>
              </w:rPr>
              <w:noBreakHyphen/>
              <w:t>72</w:t>
            </w:r>
          </w:p>
        </w:tc>
      </w:tr>
      <w:tr w:rsidR="00E3599D" w:rsidRPr="00E14102" w14:paraId="1F01FB4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3F099C" w14:textId="77777777" w:rsidR="008F43A8" w:rsidRPr="00E14102" w:rsidRDefault="008F43A8" w:rsidP="00E14102">
            <w:pPr>
              <w:jc w:val="both"/>
              <w:rPr>
                <w:color w:val="000000" w:themeColor="text1"/>
                <w:sz w:val="16"/>
                <w:szCs w:val="16"/>
              </w:rPr>
            </w:pPr>
            <w:r w:rsidRPr="00E14102">
              <w:rPr>
                <w:color w:val="000000" w:themeColor="text1"/>
                <w:sz w:val="16"/>
                <w:szCs w:val="16"/>
              </w:rPr>
              <w:t>Гильзы охот. плак[ированные]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07D56" w14:textId="77777777" w:rsidR="008F43A8" w:rsidRPr="00E14102" w:rsidRDefault="008F43A8" w:rsidP="00E14102">
            <w:pPr>
              <w:jc w:val="both"/>
              <w:rPr>
                <w:color w:val="000000" w:themeColor="text1"/>
                <w:sz w:val="16"/>
                <w:szCs w:val="16"/>
              </w:rPr>
            </w:pPr>
            <w:r w:rsidRPr="00E14102">
              <w:rPr>
                <w:color w:val="000000" w:themeColor="text1"/>
                <w:sz w:val="16"/>
                <w:szCs w:val="16"/>
              </w:rPr>
              <w:t>173-75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53A03" w14:textId="77777777" w:rsidR="008F43A8" w:rsidRPr="00E14102" w:rsidRDefault="008F43A8" w:rsidP="00E14102">
            <w:pPr>
              <w:jc w:val="both"/>
              <w:rPr>
                <w:color w:val="000000" w:themeColor="text1"/>
                <w:sz w:val="16"/>
                <w:szCs w:val="16"/>
              </w:rPr>
            </w:pPr>
            <w:r w:rsidRPr="00E14102">
              <w:rPr>
                <w:color w:val="000000" w:themeColor="text1"/>
                <w:sz w:val="16"/>
                <w:szCs w:val="16"/>
              </w:rPr>
              <w:t>143-85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F62E6" w14:textId="77777777" w:rsidR="008F43A8" w:rsidRPr="00E14102" w:rsidRDefault="008F43A8" w:rsidP="00E14102">
            <w:pPr>
              <w:jc w:val="both"/>
              <w:rPr>
                <w:color w:val="000000" w:themeColor="text1"/>
                <w:sz w:val="16"/>
                <w:szCs w:val="16"/>
              </w:rPr>
            </w:pPr>
            <w:r w:rsidRPr="00E14102">
              <w:rPr>
                <w:color w:val="000000" w:themeColor="text1"/>
                <w:sz w:val="16"/>
                <w:szCs w:val="16"/>
              </w:rPr>
              <w:t>118-36</w:t>
            </w:r>
          </w:p>
        </w:tc>
      </w:tr>
    </w:tbl>
    <w:p w14:paraId="2A11B7F3"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Превышение себестоимости по главнейшим изделиям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64"/>
        <w:gridCol w:w="1731"/>
        <w:gridCol w:w="1944"/>
        <w:gridCol w:w="1984"/>
      </w:tblGrid>
      <w:tr w:rsidR="00E3599D" w:rsidRPr="00E14102" w14:paraId="76F015B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CAA100" w14:textId="77777777" w:rsidR="008F43A8" w:rsidRPr="00E14102" w:rsidRDefault="008F43A8"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278F" w14:textId="77777777" w:rsidR="008F43A8" w:rsidRPr="00E14102" w:rsidRDefault="008F43A8" w:rsidP="00E14102">
            <w:pPr>
              <w:jc w:val="both"/>
              <w:rPr>
                <w:color w:val="000000" w:themeColor="text1"/>
                <w:sz w:val="16"/>
                <w:szCs w:val="16"/>
              </w:rPr>
            </w:pPr>
            <w:r w:rsidRPr="00E14102">
              <w:rPr>
                <w:color w:val="000000" w:themeColor="text1"/>
                <w:sz w:val="16"/>
                <w:szCs w:val="16"/>
              </w:rPr>
              <w:t>по отчету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D7962" w14:textId="77777777" w:rsidR="008F43A8" w:rsidRPr="00E14102" w:rsidRDefault="008F43A8" w:rsidP="00E14102">
            <w:pPr>
              <w:jc w:val="both"/>
              <w:rPr>
                <w:color w:val="000000" w:themeColor="text1"/>
                <w:sz w:val="16"/>
                <w:szCs w:val="16"/>
              </w:rPr>
            </w:pPr>
            <w:r w:rsidRPr="00E14102">
              <w:rPr>
                <w:color w:val="000000" w:themeColor="text1"/>
                <w:sz w:val="16"/>
                <w:szCs w:val="16"/>
              </w:rPr>
              <w:t>по плану на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675C1" w14:textId="77777777" w:rsidR="008F43A8" w:rsidRPr="00E14102" w:rsidRDefault="008F43A8" w:rsidP="00E14102">
            <w:pPr>
              <w:jc w:val="both"/>
              <w:rPr>
                <w:color w:val="000000" w:themeColor="text1"/>
                <w:sz w:val="16"/>
                <w:szCs w:val="16"/>
              </w:rPr>
            </w:pPr>
            <w:r w:rsidRPr="00E14102">
              <w:rPr>
                <w:color w:val="000000" w:themeColor="text1"/>
                <w:sz w:val="16"/>
                <w:szCs w:val="16"/>
              </w:rPr>
              <w:t>по отчету за 1934 г.</w:t>
            </w:r>
          </w:p>
        </w:tc>
      </w:tr>
      <w:tr w:rsidR="00E3599D" w:rsidRPr="00E14102" w14:paraId="3EE1D97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7E4547" w14:textId="77777777" w:rsidR="008F43A8" w:rsidRPr="00E14102" w:rsidRDefault="008F43A8" w:rsidP="00E14102">
            <w:pPr>
              <w:jc w:val="both"/>
              <w:rPr>
                <w:color w:val="000000" w:themeColor="text1"/>
                <w:sz w:val="16"/>
                <w:szCs w:val="16"/>
              </w:rPr>
            </w:pPr>
            <w:r w:rsidRPr="00E14102">
              <w:rPr>
                <w:color w:val="000000" w:themeColor="text1"/>
                <w:sz w:val="16"/>
                <w:szCs w:val="16"/>
              </w:rPr>
              <w:t>Винтпатроны ГЛ ПЖ брон[ебойные] 1930 г., завод № 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4A45C" w14:textId="77777777" w:rsidR="008F43A8" w:rsidRPr="00E14102" w:rsidRDefault="008F43A8" w:rsidP="00E14102">
            <w:pPr>
              <w:jc w:val="both"/>
              <w:rPr>
                <w:color w:val="000000" w:themeColor="text1"/>
                <w:sz w:val="16"/>
                <w:szCs w:val="16"/>
              </w:rPr>
            </w:pPr>
            <w:r w:rsidRPr="00E14102">
              <w:rPr>
                <w:color w:val="000000" w:themeColor="text1"/>
                <w:sz w:val="16"/>
                <w:szCs w:val="16"/>
              </w:rPr>
              <w:t>170-80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24918" w14:textId="77777777" w:rsidR="008F43A8" w:rsidRPr="00E14102" w:rsidRDefault="008F43A8" w:rsidP="00E14102">
            <w:pPr>
              <w:jc w:val="both"/>
              <w:rPr>
                <w:color w:val="000000" w:themeColor="text1"/>
                <w:sz w:val="16"/>
                <w:szCs w:val="16"/>
              </w:rPr>
            </w:pPr>
            <w:r w:rsidRPr="00E14102">
              <w:rPr>
                <w:color w:val="000000" w:themeColor="text1"/>
                <w:sz w:val="16"/>
                <w:szCs w:val="16"/>
              </w:rPr>
              <w:t>150-24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AF83C" w14:textId="77777777" w:rsidR="008F43A8" w:rsidRPr="00E14102" w:rsidRDefault="008F43A8" w:rsidP="00E14102">
            <w:pPr>
              <w:jc w:val="both"/>
              <w:rPr>
                <w:color w:val="000000" w:themeColor="text1"/>
                <w:sz w:val="16"/>
                <w:szCs w:val="16"/>
              </w:rPr>
            </w:pPr>
            <w:r w:rsidRPr="00E14102">
              <w:rPr>
                <w:color w:val="000000" w:themeColor="text1"/>
                <w:sz w:val="16"/>
                <w:szCs w:val="16"/>
              </w:rPr>
              <w:t>223-82</w:t>
            </w:r>
          </w:p>
        </w:tc>
      </w:tr>
      <w:tr w:rsidR="00E3599D" w:rsidRPr="00E14102" w14:paraId="7C58706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60382A" w14:textId="77777777" w:rsidR="008F43A8" w:rsidRPr="00E14102" w:rsidRDefault="008F43A8" w:rsidP="00E14102">
            <w:pPr>
              <w:jc w:val="both"/>
              <w:rPr>
                <w:color w:val="000000" w:themeColor="text1"/>
                <w:sz w:val="16"/>
                <w:szCs w:val="16"/>
              </w:rPr>
            </w:pPr>
            <w:r w:rsidRPr="00E14102">
              <w:rPr>
                <w:color w:val="000000" w:themeColor="text1"/>
                <w:sz w:val="16"/>
                <w:szCs w:val="16"/>
              </w:rPr>
              <w:t>Винтпатроны ГЛ ПЖ брон[ебойные] 1930 г., завод №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79B37" w14:textId="77777777" w:rsidR="008F43A8" w:rsidRPr="00E14102" w:rsidRDefault="008F43A8" w:rsidP="00E14102">
            <w:pPr>
              <w:jc w:val="both"/>
              <w:rPr>
                <w:color w:val="000000" w:themeColor="text1"/>
                <w:sz w:val="16"/>
                <w:szCs w:val="16"/>
              </w:rPr>
            </w:pPr>
            <w:r w:rsidRPr="00E14102">
              <w:rPr>
                <w:color w:val="000000" w:themeColor="text1"/>
                <w:sz w:val="16"/>
                <w:szCs w:val="16"/>
              </w:rPr>
              <w:t>172-99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A85D6" w14:textId="77777777" w:rsidR="008F43A8" w:rsidRPr="00E14102" w:rsidRDefault="008F43A8" w:rsidP="00E14102">
            <w:pPr>
              <w:jc w:val="both"/>
              <w:rPr>
                <w:color w:val="000000" w:themeColor="text1"/>
                <w:sz w:val="16"/>
                <w:szCs w:val="16"/>
              </w:rPr>
            </w:pPr>
            <w:r w:rsidRPr="00E14102">
              <w:rPr>
                <w:color w:val="000000" w:themeColor="text1"/>
                <w:sz w:val="16"/>
                <w:szCs w:val="16"/>
              </w:rPr>
              <w:t>149-83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D627F" w14:textId="77777777" w:rsidR="008F43A8" w:rsidRPr="00E14102" w:rsidRDefault="008F43A8" w:rsidP="00E14102">
            <w:pPr>
              <w:jc w:val="both"/>
              <w:rPr>
                <w:color w:val="000000" w:themeColor="text1"/>
                <w:sz w:val="16"/>
                <w:szCs w:val="16"/>
              </w:rPr>
            </w:pPr>
            <w:r w:rsidRPr="00E14102">
              <w:rPr>
                <w:color w:val="000000" w:themeColor="text1"/>
                <w:sz w:val="16"/>
                <w:szCs w:val="16"/>
              </w:rPr>
              <w:t>186-81</w:t>
            </w:r>
          </w:p>
        </w:tc>
      </w:tr>
      <w:tr w:rsidR="00E3599D" w:rsidRPr="00E14102" w14:paraId="26BA13D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DE4B68" w14:textId="77777777" w:rsidR="008F43A8" w:rsidRPr="00E14102" w:rsidRDefault="008F43A8" w:rsidP="00E14102">
            <w:pPr>
              <w:jc w:val="both"/>
              <w:rPr>
                <w:color w:val="000000" w:themeColor="text1"/>
                <w:sz w:val="16"/>
                <w:szCs w:val="16"/>
              </w:rPr>
            </w:pPr>
            <w:r w:rsidRPr="00E14102">
              <w:rPr>
                <w:color w:val="000000" w:themeColor="text1"/>
                <w:sz w:val="16"/>
                <w:szCs w:val="16"/>
              </w:rPr>
              <w:t>Пушечные гильзы лат[унные] 76</w:t>
            </w:r>
            <w:r w:rsidRPr="00E14102">
              <w:rPr>
                <w:color w:val="000000" w:themeColor="text1"/>
                <w:sz w:val="16"/>
                <w:szCs w:val="16"/>
              </w:rPr>
              <w:noBreakHyphen/>
              <w:t>мм пол., ТПЗ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FC300" w14:textId="77777777" w:rsidR="008F43A8" w:rsidRPr="00E14102" w:rsidRDefault="008F43A8" w:rsidP="00E14102">
            <w:pPr>
              <w:jc w:val="both"/>
              <w:rPr>
                <w:color w:val="000000" w:themeColor="text1"/>
                <w:sz w:val="16"/>
                <w:szCs w:val="16"/>
              </w:rPr>
            </w:pPr>
            <w:r w:rsidRPr="00E14102">
              <w:rPr>
                <w:color w:val="000000" w:themeColor="text1"/>
                <w:sz w:val="16"/>
                <w:szCs w:val="16"/>
              </w:rPr>
              <w:t>6414</w:t>
            </w:r>
            <w:r w:rsidRPr="00E14102">
              <w:rPr>
                <w:color w:val="000000" w:themeColor="text1"/>
                <w:sz w:val="16"/>
                <w:szCs w:val="16"/>
              </w:rPr>
              <w:noBreakHyphen/>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8B842" w14:textId="77777777" w:rsidR="008F43A8" w:rsidRPr="00E14102" w:rsidRDefault="008F43A8" w:rsidP="00E14102">
            <w:pPr>
              <w:jc w:val="both"/>
              <w:rPr>
                <w:color w:val="000000" w:themeColor="text1"/>
                <w:sz w:val="16"/>
                <w:szCs w:val="16"/>
              </w:rPr>
            </w:pPr>
            <w:r w:rsidRPr="00E14102">
              <w:rPr>
                <w:color w:val="000000" w:themeColor="text1"/>
                <w:sz w:val="16"/>
                <w:szCs w:val="16"/>
              </w:rPr>
              <w:t>6320-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18CFA" w14:textId="77777777" w:rsidR="008F43A8" w:rsidRPr="00E14102" w:rsidRDefault="008F43A8" w:rsidP="00E14102">
            <w:pPr>
              <w:jc w:val="both"/>
              <w:rPr>
                <w:color w:val="000000" w:themeColor="text1"/>
                <w:sz w:val="16"/>
                <w:szCs w:val="16"/>
              </w:rPr>
            </w:pPr>
            <w:r w:rsidRPr="00E14102">
              <w:rPr>
                <w:color w:val="000000" w:themeColor="text1"/>
                <w:sz w:val="16"/>
                <w:szCs w:val="16"/>
              </w:rPr>
              <w:t>7247</w:t>
            </w:r>
            <w:r w:rsidRPr="00E14102">
              <w:rPr>
                <w:color w:val="000000" w:themeColor="text1"/>
                <w:sz w:val="16"/>
                <w:szCs w:val="16"/>
              </w:rPr>
              <w:noBreakHyphen/>
              <w:t>40</w:t>
            </w:r>
          </w:p>
        </w:tc>
      </w:tr>
      <w:tr w:rsidR="00E3599D" w:rsidRPr="00E14102" w14:paraId="1828E76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98ABDF" w14:textId="77777777" w:rsidR="008F43A8" w:rsidRPr="00E14102" w:rsidRDefault="008F43A8" w:rsidP="00E14102">
            <w:pPr>
              <w:jc w:val="both"/>
              <w:rPr>
                <w:color w:val="000000" w:themeColor="text1"/>
                <w:sz w:val="16"/>
                <w:szCs w:val="16"/>
              </w:rPr>
            </w:pPr>
            <w:r w:rsidRPr="00E14102">
              <w:rPr>
                <w:color w:val="000000" w:themeColor="text1"/>
                <w:sz w:val="16"/>
                <w:szCs w:val="16"/>
              </w:rPr>
              <w:t>Пушечные гильзы лат[унные] 37</w:t>
            </w:r>
            <w:r w:rsidRPr="00E14102">
              <w:rPr>
                <w:color w:val="000000" w:themeColor="text1"/>
                <w:sz w:val="16"/>
                <w:szCs w:val="16"/>
              </w:rPr>
              <w:noBreakHyphen/>
              <w:t>мм противотанковые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678C2" w14:textId="77777777" w:rsidR="008F43A8" w:rsidRPr="00E14102" w:rsidRDefault="008F43A8" w:rsidP="00E14102">
            <w:pPr>
              <w:jc w:val="both"/>
              <w:rPr>
                <w:color w:val="000000" w:themeColor="text1"/>
                <w:sz w:val="16"/>
                <w:szCs w:val="16"/>
              </w:rPr>
            </w:pPr>
            <w:r w:rsidRPr="00E14102">
              <w:rPr>
                <w:color w:val="000000" w:themeColor="text1"/>
                <w:sz w:val="16"/>
                <w:szCs w:val="16"/>
              </w:rPr>
              <w:t>8406-34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36FCA" w14:textId="77777777" w:rsidR="008F43A8" w:rsidRPr="00E14102" w:rsidRDefault="008F43A8" w:rsidP="00E14102">
            <w:pPr>
              <w:jc w:val="both"/>
              <w:rPr>
                <w:color w:val="000000" w:themeColor="text1"/>
                <w:sz w:val="16"/>
                <w:szCs w:val="16"/>
              </w:rPr>
            </w:pPr>
            <w:r w:rsidRPr="00E14102">
              <w:rPr>
                <w:color w:val="000000" w:themeColor="text1"/>
                <w:sz w:val="16"/>
                <w:szCs w:val="16"/>
              </w:rPr>
              <w:t>6070-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44C88" w14:textId="77777777" w:rsidR="008F43A8" w:rsidRPr="00E14102" w:rsidRDefault="008F43A8" w:rsidP="00E14102">
            <w:pPr>
              <w:jc w:val="both"/>
              <w:rPr>
                <w:color w:val="000000" w:themeColor="text1"/>
                <w:sz w:val="16"/>
                <w:szCs w:val="16"/>
              </w:rPr>
            </w:pPr>
            <w:r w:rsidRPr="00E14102">
              <w:rPr>
                <w:color w:val="000000" w:themeColor="text1"/>
                <w:sz w:val="16"/>
                <w:szCs w:val="16"/>
              </w:rPr>
              <w:t>9966</w:t>
            </w:r>
            <w:r w:rsidRPr="00E14102">
              <w:rPr>
                <w:color w:val="000000" w:themeColor="text1"/>
                <w:sz w:val="16"/>
                <w:szCs w:val="16"/>
              </w:rPr>
              <w:noBreakHyphen/>
              <w:t>39</w:t>
            </w:r>
          </w:p>
        </w:tc>
      </w:tr>
      <w:tr w:rsidR="00E3599D" w:rsidRPr="00E14102" w14:paraId="0E3A386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4358A0" w14:textId="77777777" w:rsidR="008F43A8" w:rsidRPr="00E14102" w:rsidRDefault="008F43A8" w:rsidP="00E14102">
            <w:pPr>
              <w:jc w:val="both"/>
              <w:rPr>
                <w:color w:val="000000" w:themeColor="text1"/>
                <w:sz w:val="16"/>
                <w:szCs w:val="16"/>
              </w:rPr>
            </w:pPr>
            <w:r w:rsidRPr="00E14102">
              <w:rPr>
                <w:color w:val="000000" w:themeColor="text1"/>
                <w:sz w:val="16"/>
                <w:szCs w:val="16"/>
              </w:rPr>
              <w:t>Пушечные гильзы лат[унные] 45</w:t>
            </w:r>
            <w:r w:rsidRPr="00E14102">
              <w:rPr>
                <w:color w:val="000000" w:themeColor="text1"/>
                <w:sz w:val="16"/>
                <w:szCs w:val="16"/>
              </w:rPr>
              <w:noBreakHyphen/>
              <w:t>мм противотанковые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BE105" w14:textId="77777777" w:rsidR="008F43A8" w:rsidRPr="00E14102" w:rsidRDefault="008F43A8" w:rsidP="00E14102">
            <w:pPr>
              <w:jc w:val="both"/>
              <w:rPr>
                <w:color w:val="000000" w:themeColor="text1"/>
                <w:sz w:val="16"/>
                <w:szCs w:val="16"/>
              </w:rPr>
            </w:pPr>
            <w:r w:rsidRPr="00E14102">
              <w:rPr>
                <w:color w:val="000000" w:themeColor="text1"/>
                <w:sz w:val="16"/>
                <w:szCs w:val="16"/>
              </w:rPr>
              <w:t>6060-57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45010" w14:textId="77777777" w:rsidR="008F43A8" w:rsidRPr="00E14102" w:rsidRDefault="008F43A8" w:rsidP="00E14102">
            <w:pPr>
              <w:jc w:val="both"/>
              <w:rPr>
                <w:color w:val="000000" w:themeColor="text1"/>
                <w:sz w:val="16"/>
                <w:szCs w:val="16"/>
              </w:rPr>
            </w:pPr>
            <w:r w:rsidRPr="00E14102">
              <w:rPr>
                <w:color w:val="000000" w:themeColor="text1"/>
                <w:sz w:val="16"/>
                <w:szCs w:val="16"/>
              </w:rPr>
              <w:t>5600-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04815" w14:textId="77777777" w:rsidR="008F43A8" w:rsidRPr="00E14102" w:rsidRDefault="008F43A8" w:rsidP="00E14102">
            <w:pPr>
              <w:jc w:val="both"/>
              <w:rPr>
                <w:color w:val="000000" w:themeColor="text1"/>
                <w:sz w:val="16"/>
                <w:szCs w:val="16"/>
              </w:rPr>
            </w:pPr>
            <w:r w:rsidRPr="00E14102">
              <w:rPr>
                <w:color w:val="000000" w:themeColor="text1"/>
                <w:sz w:val="16"/>
                <w:szCs w:val="16"/>
              </w:rPr>
              <w:t>6590</w:t>
            </w:r>
            <w:r w:rsidRPr="00E14102">
              <w:rPr>
                <w:color w:val="000000" w:themeColor="text1"/>
                <w:sz w:val="16"/>
                <w:szCs w:val="16"/>
              </w:rPr>
              <w:noBreakHyphen/>
              <w:t>46</w:t>
            </w:r>
          </w:p>
        </w:tc>
      </w:tr>
      <w:tr w:rsidR="00E3599D" w:rsidRPr="00E14102" w14:paraId="7405AFF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929B09" w14:textId="77777777" w:rsidR="008F43A8" w:rsidRPr="00E14102" w:rsidRDefault="008F43A8" w:rsidP="00E14102">
            <w:pPr>
              <w:jc w:val="both"/>
              <w:rPr>
                <w:color w:val="000000" w:themeColor="text1"/>
                <w:sz w:val="16"/>
                <w:szCs w:val="16"/>
              </w:rPr>
            </w:pPr>
            <w:r w:rsidRPr="00E14102">
              <w:rPr>
                <w:color w:val="000000" w:themeColor="text1"/>
                <w:sz w:val="16"/>
                <w:szCs w:val="16"/>
              </w:rPr>
              <w:t>Малокалиберные патроны лат[унные]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29D63" w14:textId="77777777" w:rsidR="008F43A8" w:rsidRPr="00E14102" w:rsidRDefault="008F43A8" w:rsidP="00E14102">
            <w:pPr>
              <w:jc w:val="both"/>
              <w:rPr>
                <w:color w:val="000000" w:themeColor="text1"/>
                <w:sz w:val="16"/>
                <w:szCs w:val="16"/>
              </w:rPr>
            </w:pPr>
            <w:r w:rsidRPr="00E14102">
              <w:rPr>
                <w:color w:val="000000" w:themeColor="text1"/>
                <w:sz w:val="16"/>
                <w:szCs w:val="16"/>
              </w:rPr>
              <w:t>17-49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C8EC6" w14:textId="77777777" w:rsidR="008F43A8" w:rsidRPr="00E14102" w:rsidRDefault="008F43A8" w:rsidP="00E14102">
            <w:pPr>
              <w:jc w:val="both"/>
              <w:rPr>
                <w:color w:val="000000" w:themeColor="text1"/>
                <w:sz w:val="16"/>
                <w:szCs w:val="16"/>
              </w:rPr>
            </w:pPr>
            <w:r w:rsidRPr="00E14102">
              <w:rPr>
                <w:color w:val="000000" w:themeColor="text1"/>
                <w:sz w:val="16"/>
                <w:szCs w:val="16"/>
              </w:rPr>
              <w:t>17-39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DF10F" w14:textId="77777777" w:rsidR="008F43A8" w:rsidRPr="00E14102" w:rsidRDefault="008F43A8" w:rsidP="00E14102">
            <w:pPr>
              <w:jc w:val="both"/>
              <w:rPr>
                <w:color w:val="000000" w:themeColor="text1"/>
                <w:sz w:val="16"/>
                <w:szCs w:val="16"/>
              </w:rPr>
            </w:pPr>
            <w:r w:rsidRPr="00E14102">
              <w:rPr>
                <w:color w:val="000000" w:themeColor="text1"/>
                <w:sz w:val="16"/>
                <w:szCs w:val="16"/>
              </w:rPr>
              <w:t>21-02</w:t>
            </w:r>
          </w:p>
        </w:tc>
      </w:tr>
    </w:tbl>
    <w:p w14:paraId="193C05E0"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Превышение себестоимости произошло главным образом у заводов № 46, ТПЗ и имени Серго. По заводам № 46 и им. Серго объясняется это в основном большим недовыполнением программы, а также и за счет увеличения норм расходов материалов и человеко-часов на единицу продукции, что видно из приведенной ниже таблицы:</w:t>
      </w:r>
    </w:p>
    <w:p w14:paraId="2EBA1AF2" w14:textId="77777777" w:rsidR="008F43A8" w:rsidRPr="00E14102" w:rsidRDefault="008F43A8"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Нормы расхода материалов и человеко-часов на единицу продукции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95"/>
        <w:gridCol w:w="5193"/>
        <w:gridCol w:w="1735"/>
        <w:gridCol w:w="1665"/>
        <w:gridCol w:w="1735"/>
      </w:tblGrid>
      <w:tr w:rsidR="00E3599D" w:rsidRPr="00E14102" w14:paraId="3185550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A89513" w14:textId="77777777" w:rsidR="008F43A8" w:rsidRPr="00E14102" w:rsidRDefault="008F43A8" w:rsidP="00E14102">
            <w:pPr>
              <w:jc w:val="both"/>
              <w:rPr>
                <w:color w:val="000000" w:themeColor="text1"/>
                <w:sz w:val="16"/>
                <w:szCs w:val="16"/>
              </w:rPr>
            </w:pPr>
            <w:r w:rsidRPr="00E14102">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BC79A" w14:textId="77777777" w:rsidR="008F43A8" w:rsidRPr="00E14102" w:rsidRDefault="008F43A8"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546A6" w14:textId="77777777" w:rsidR="008F43A8" w:rsidRPr="00E14102" w:rsidRDefault="008F43A8" w:rsidP="00E14102">
            <w:pPr>
              <w:jc w:val="both"/>
              <w:rPr>
                <w:color w:val="000000" w:themeColor="text1"/>
                <w:sz w:val="16"/>
                <w:szCs w:val="16"/>
              </w:rPr>
            </w:pPr>
            <w:r w:rsidRPr="00E14102">
              <w:rPr>
                <w:color w:val="000000" w:themeColor="text1"/>
                <w:sz w:val="16"/>
                <w:szCs w:val="16"/>
              </w:rPr>
              <w:t>По отчету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410C5" w14:textId="77777777" w:rsidR="008F43A8" w:rsidRPr="00E14102" w:rsidRDefault="008F43A8" w:rsidP="00E14102">
            <w:pPr>
              <w:jc w:val="both"/>
              <w:rPr>
                <w:color w:val="000000" w:themeColor="text1"/>
                <w:sz w:val="16"/>
                <w:szCs w:val="16"/>
              </w:rPr>
            </w:pPr>
            <w:r w:rsidRPr="00E14102">
              <w:rPr>
                <w:color w:val="000000" w:themeColor="text1"/>
                <w:sz w:val="16"/>
                <w:szCs w:val="16"/>
              </w:rPr>
              <w:t>По плану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40D77" w14:textId="77777777" w:rsidR="008F43A8" w:rsidRPr="00E14102" w:rsidRDefault="008F43A8" w:rsidP="00E14102">
            <w:pPr>
              <w:jc w:val="both"/>
              <w:rPr>
                <w:color w:val="000000" w:themeColor="text1"/>
                <w:sz w:val="16"/>
                <w:szCs w:val="16"/>
              </w:rPr>
            </w:pPr>
            <w:r w:rsidRPr="00E14102">
              <w:rPr>
                <w:color w:val="000000" w:themeColor="text1"/>
                <w:sz w:val="16"/>
                <w:szCs w:val="16"/>
              </w:rPr>
              <w:t>По отчету 1934 г.</w:t>
            </w:r>
          </w:p>
        </w:tc>
      </w:tr>
      <w:tr w:rsidR="00E3599D" w:rsidRPr="00E14102" w14:paraId="5D65FD90" w14:textId="77777777" w:rsidTr="00493FC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31C3AEB" w14:textId="77777777" w:rsidR="008F43A8" w:rsidRPr="00E14102" w:rsidRDefault="008F43A8" w:rsidP="00E14102">
            <w:pPr>
              <w:jc w:val="both"/>
              <w:rPr>
                <w:color w:val="000000" w:themeColor="text1"/>
                <w:sz w:val="16"/>
                <w:szCs w:val="16"/>
              </w:rPr>
            </w:pPr>
            <w:r w:rsidRPr="00E14102">
              <w:rPr>
                <w:color w:val="000000" w:themeColor="text1"/>
                <w:sz w:val="16"/>
                <w:szCs w:val="16"/>
              </w:rPr>
              <w:t>ТПЗ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D44DA" w14:textId="77777777" w:rsidR="008F43A8" w:rsidRPr="00E14102" w:rsidRDefault="008F43A8" w:rsidP="00E14102">
            <w:pPr>
              <w:jc w:val="both"/>
              <w:rPr>
                <w:color w:val="000000" w:themeColor="text1"/>
                <w:sz w:val="16"/>
                <w:szCs w:val="16"/>
              </w:rPr>
            </w:pPr>
            <w:r w:rsidRPr="00E14102">
              <w:rPr>
                <w:color w:val="000000" w:themeColor="text1"/>
                <w:sz w:val="16"/>
                <w:szCs w:val="16"/>
              </w:rPr>
              <w:t>Пушечные гильзы 107</w:t>
            </w:r>
            <w:r w:rsidRPr="00E14102">
              <w:rPr>
                <w:color w:val="000000" w:themeColor="text1"/>
                <w:sz w:val="16"/>
                <w:szCs w:val="16"/>
              </w:rPr>
              <w:noBreakHyphen/>
              <w:t>мм латунные</w:t>
            </w:r>
          </w:p>
          <w:p w14:paraId="1117463A" w14:textId="77777777" w:rsidR="008F43A8" w:rsidRPr="00E14102" w:rsidRDefault="008F43A8" w:rsidP="00E14102">
            <w:pPr>
              <w:jc w:val="both"/>
              <w:rPr>
                <w:color w:val="000000" w:themeColor="text1"/>
                <w:sz w:val="16"/>
                <w:szCs w:val="16"/>
              </w:rPr>
            </w:pPr>
            <w:r w:rsidRPr="00E14102">
              <w:rPr>
                <w:color w:val="000000" w:themeColor="text1"/>
                <w:sz w:val="16"/>
                <w:szCs w:val="16"/>
              </w:rPr>
              <w:t>круги латунные</w:t>
            </w:r>
          </w:p>
          <w:p w14:paraId="44EDC92E" w14:textId="77777777" w:rsidR="008F43A8" w:rsidRPr="00E14102" w:rsidRDefault="008F43A8" w:rsidP="00E14102">
            <w:pPr>
              <w:jc w:val="both"/>
              <w:rPr>
                <w:color w:val="000000" w:themeColor="text1"/>
                <w:sz w:val="16"/>
                <w:szCs w:val="16"/>
              </w:rPr>
            </w:pPr>
            <w:r w:rsidRPr="00E14102">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BC6B2" w14:textId="77777777" w:rsidR="008F43A8" w:rsidRPr="00E14102" w:rsidRDefault="008F43A8" w:rsidP="00E14102">
            <w:pPr>
              <w:jc w:val="both"/>
              <w:rPr>
                <w:color w:val="000000" w:themeColor="text1"/>
                <w:sz w:val="16"/>
                <w:szCs w:val="16"/>
              </w:rPr>
            </w:pPr>
          </w:p>
          <w:p w14:paraId="03128478" w14:textId="77777777" w:rsidR="008F43A8" w:rsidRPr="00E14102" w:rsidRDefault="008F43A8" w:rsidP="00E14102">
            <w:pPr>
              <w:jc w:val="both"/>
              <w:rPr>
                <w:color w:val="000000" w:themeColor="text1"/>
                <w:sz w:val="16"/>
                <w:szCs w:val="16"/>
              </w:rPr>
            </w:pPr>
            <w:r w:rsidRPr="00E14102">
              <w:rPr>
                <w:color w:val="000000" w:themeColor="text1"/>
                <w:sz w:val="16"/>
                <w:szCs w:val="16"/>
              </w:rPr>
              <w:t>4452</w:t>
            </w:r>
          </w:p>
          <w:p w14:paraId="78708EFC" w14:textId="77777777" w:rsidR="008F43A8" w:rsidRPr="00E14102" w:rsidRDefault="008F43A8" w:rsidP="00E14102">
            <w:pPr>
              <w:jc w:val="both"/>
              <w:rPr>
                <w:color w:val="000000" w:themeColor="text1"/>
                <w:sz w:val="16"/>
                <w:szCs w:val="16"/>
              </w:rPr>
            </w:pPr>
            <w:r w:rsidRPr="00E14102">
              <w:rPr>
                <w:color w:val="000000" w:themeColor="text1"/>
                <w:sz w:val="16"/>
                <w:szCs w:val="16"/>
              </w:rPr>
              <w:t>1140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A5DE0" w14:textId="77777777" w:rsidR="008F43A8" w:rsidRPr="00E14102" w:rsidRDefault="008F43A8" w:rsidP="00E14102">
            <w:pPr>
              <w:jc w:val="both"/>
              <w:rPr>
                <w:color w:val="000000" w:themeColor="text1"/>
                <w:sz w:val="16"/>
                <w:szCs w:val="16"/>
              </w:rPr>
            </w:pPr>
          </w:p>
          <w:p w14:paraId="21601C64" w14:textId="77777777" w:rsidR="008F43A8" w:rsidRPr="00E14102" w:rsidRDefault="008F43A8" w:rsidP="00E14102">
            <w:pPr>
              <w:jc w:val="both"/>
              <w:rPr>
                <w:color w:val="000000" w:themeColor="text1"/>
                <w:sz w:val="16"/>
                <w:szCs w:val="16"/>
              </w:rPr>
            </w:pPr>
            <w:r w:rsidRPr="00E14102">
              <w:rPr>
                <w:color w:val="000000" w:themeColor="text1"/>
                <w:sz w:val="16"/>
                <w:szCs w:val="16"/>
              </w:rPr>
              <w:t>4241,6</w:t>
            </w:r>
          </w:p>
          <w:p w14:paraId="7F2DDCC6" w14:textId="77777777" w:rsidR="008F43A8" w:rsidRPr="00E14102" w:rsidRDefault="008F43A8" w:rsidP="00E14102">
            <w:pPr>
              <w:jc w:val="both"/>
              <w:rPr>
                <w:color w:val="000000" w:themeColor="text1"/>
                <w:sz w:val="16"/>
                <w:szCs w:val="16"/>
              </w:rPr>
            </w:pPr>
            <w:r w:rsidRPr="00E14102">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B9DD4" w14:textId="77777777" w:rsidR="008F43A8" w:rsidRPr="00E14102" w:rsidRDefault="008F43A8" w:rsidP="00E14102">
            <w:pPr>
              <w:jc w:val="both"/>
              <w:rPr>
                <w:color w:val="000000" w:themeColor="text1"/>
                <w:sz w:val="16"/>
                <w:szCs w:val="16"/>
              </w:rPr>
            </w:pPr>
          </w:p>
          <w:p w14:paraId="2A629845" w14:textId="77777777" w:rsidR="008F43A8" w:rsidRPr="00E14102" w:rsidRDefault="008F43A8" w:rsidP="00E14102">
            <w:pPr>
              <w:jc w:val="both"/>
              <w:rPr>
                <w:color w:val="000000" w:themeColor="text1"/>
                <w:sz w:val="16"/>
                <w:szCs w:val="16"/>
              </w:rPr>
            </w:pPr>
            <w:r w:rsidRPr="00E14102">
              <w:rPr>
                <w:color w:val="000000" w:themeColor="text1"/>
                <w:sz w:val="16"/>
                <w:szCs w:val="16"/>
              </w:rPr>
              <w:t>4485</w:t>
            </w:r>
          </w:p>
          <w:p w14:paraId="23786922" w14:textId="77777777" w:rsidR="008F43A8" w:rsidRPr="00E14102" w:rsidRDefault="008F43A8" w:rsidP="00E14102">
            <w:pPr>
              <w:jc w:val="both"/>
              <w:rPr>
                <w:color w:val="000000" w:themeColor="text1"/>
                <w:sz w:val="16"/>
                <w:szCs w:val="16"/>
              </w:rPr>
            </w:pPr>
            <w:r w:rsidRPr="00E14102">
              <w:rPr>
                <w:color w:val="000000" w:themeColor="text1"/>
                <w:sz w:val="16"/>
                <w:szCs w:val="16"/>
              </w:rPr>
              <w:t>1168</w:t>
            </w:r>
          </w:p>
        </w:tc>
      </w:tr>
      <w:tr w:rsidR="00E3599D" w:rsidRPr="00E14102" w14:paraId="59471966"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BD70B4" w14:textId="77777777" w:rsidR="008F43A8" w:rsidRPr="00E14102" w:rsidRDefault="008F43A8"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9978BD" w14:textId="77777777" w:rsidR="008F43A8" w:rsidRPr="00E14102" w:rsidRDefault="008F43A8" w:rsidP="00E14102">
            <w:pPr>
              <w:jc w:val="both"/>
              <w:rPr>
                <w:color w:val="000000" w:themeColor="text1"/>
                <w:sz w:val="16"/>
                <w:szCs w:val="16"/>
              </w:rPr>
            </w:pPr>
            <w:r w:rsidRPr="00E14102">
              <w:rPr>
                <w:color w:val="000000" w:themeColor="text1"/>
                <w:sz w:val="16"/>
                <w:szCs w:val="16"/>
              </w:rPr>
              <w:t>Пушечные гильзы латунные 152</w:t>
            </w:r>
            <w:r w:rsidRPr="00E14102">
              <w:rPr>
                <w:color w:val="000000" w:themeColor="text1"/>
                <w:sz w:val="16"/>
                <w:szCs w:val="16"/>
              </w:rPr>
              <w:noBreakHyphen/>
              <w:t>мм гауб.</w:t>
            </w:r>
          </w:p>
          <w:p w14:paraId="6CB9D235" w14:textId="77777777" w:rsidR="008F43A8" w:rsidRPr="00E14102" w:rsidRDefault="008F43A8" w:rsidP="00E14102">
            <w:pPr>
              <w:jc w:val="both"/>
              <w:rPr>
                <w:color w:val="000000" w:themeColor="text1"/>
                <w:sz w:val="16"/>
                <w:szCs w:val="16"/>
              </w:rPr>
            </w:pPr>
            <w:r w:rsidRPr="00E14102">
              <w:rPr>
                <w:color w:val="000000" w:themeColor="text1"/>
                <w:sz w:val="16"/>
                <w:szCs w:val="16"/>
              </w:rPr>
              <w:t>круги латунные</w:t>
            </w:r>
          </w:p>
          <w:p w14:paraId="2FC23CA8" w14:textId="77777777" w:rsidR="008F43A8" w:rsidRPr="00E14102" w:rsidRDefault="008F43A8" w:rsidP="00E14102">
            <w:pPr>
              <w:jc w:val="both"/>
              <w:rPr>
                <w:color w:val="000000" w:themeColor="text1"/>
                <w:sz w:val="16"/>
                <w:szCs w:val="16"/>
              </w:rPr>
            </w:pPr>
            <w:r w:rsidRPr="00E14102">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DC72E" w14:textId="77777777" w:rsidR="008F43A8" w:rsidRPr="00E14102" w:rsidRDefault="008F43A8" w:rsidP="00E14102">
            <w:pPr>
              <w:jc w:val="both"/>
              <w:rPr>
                <w:color w:val="000000" w:themeColor="text1"/>
                <w:sz w:val="16"/>
                <w:szCs w:val="16"/>
              </w:rPr>
            </w:pPr>
          </w:p>
          <w:p w14:paraId="44EF1ADC" w14:textId="77777777" w:rsidR="008F43A8" w:rsidRPr="00E14102" w:rsidRDefault="008F43A8" w:rsidP="00E14102">
            <w:pPr>
              <w:jc w:val="both"/>
              <w:rPr>
                <w:color w:val="000000" w:themeColor="text1"/>
                <w:sz w:val="16"/>
                <w:szCs w:val="16"/>
              </w:rPr>
            </w:pPr>
            <w:r w:rsidRPr="00E14102">
              <w:rPr>
                <w:color w:val="000000" w:themeColor="text1"/>
                <w:sz w:val="16"/>
                <w:szCs w:val="16"/>
              </w:rPr>
              <w:t>4410</w:t>
            </w:r>
          </w:p>
          <w:p w14:paraId="23E63A06" w14:textId="77777777" w:rsidR="008F43A8" w:rsidRPr="00E14102" w:rsidRDefault="008F43A8" w:rsidP="00E14102">
            <w:pPr>
              <w:jc w:val="both"/>
              <w:rPr>
                <w:color w:val="000000" w:themeColor="text1"/>
                <w:sz w:val="16"/>
                <w:szCs w:val="16"/>
              </w:rPr>
            </w:pPr>
            <w:r w:rsidRPr="00E14102">
              <w:rPr>
                <w:color w:val="000000" w:themeColor="text1"/>
                <w:sz w:val="16"/>
                <w:szCs w:val="16"/>
              </w:rPr>
              <w:t>1104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CB253" w14:textId="77777777" w:rsidR="008F43A8" w:rsidRPr="00E14102" w:rsidRDefault="008F43A8" w:rsidP="00E14102">
            <w:pPr>
              <w:jc w:val="both"/>
              <w:rPr>
                <w:color w:val="000000" w:themeColor="text1"/>
                <w:sz w:val="16"/>
                <w:szCs w:val="16"/>
              </w:rPr>
            </w:pPr>
          </w:p>
          <w:p w14:paraId="6361F231" w14:textId="77777777" w:rsidR="008F43A8" w:rsidRPr="00E14102" w:rsidRDefault="008F43A8" w:rsidP="00E14102">
            <w:pPr>
              <w:jc w:val="both"/>
              <w:rPr>
                <w:color w:val="000000" w:themeColor="text1"/>
                <w:sz w:val="16"/>
                <w:szCs w:val="16"/>
              </w:rPr>
            </w:pPr>
            <w:r w:rsidRPr="00E14102">
              <w:rPr>
                <w:color w:val="000000" w:themeColor="text1"/>
                <w:sz w:val="16"/>
                <w:szCs w:val="16"/>
              </w:rPr>
              <w:t>4416,7</w:t>
            </w:r>
          </w:p>
          <w:p w14:paraId="3F952C0D" w14:textId="77777777" w:rsidR="008F43A8" w:rsidRPr="00E14102" w:rsidRDefault="008F43A8" w:rsidP="00E14102">
            <w:pPr>
              <w:jc w:val="both"/>
              <w:rPr>
                <w:color w:val="000000" w:themeColor="text1"/>
                <w:sz w:val="16"/>
                <w:szCs w:val="16"/>
              </w:rPr>
            </w:pPr>
            <w:r w:rsidRPr="00E14102">
              <w:rPr>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7B7ED" w14:textId="77777777" w:rsidR="008F43A8" w:rsidRPr="00E14102" w:rsidRDefault="008F43A8" w:rsidP="00E14102">
            <w:pPr>
              <w:jc w:val="both"/>
              <w:rPr>
                <w:color w:val="000000" w:themeColor="text1"/>
                <w:sz w:val="16"/>
                <w:szCs w:val="16"/>
              </w:rPr>
            </w:pPr>
          </w:p>
          <w:p w14:paraId="00E7EAB3" w14:textId="77777777" w:rsidR="008F43A8" w:rsidRPr="00E14102" w:rsidRDefault="008F43A8" w:rsidP="00E14102">
            <w:pPr>
              <w:jc w:val="both"/>
              <w:rPr>
                <w:color w:val="000000" w:themeColor="text1"/>
                <w:sz w:val="16"/>
                <w:szCs w:val="16"/>
              </w:rPr>
            </w:pPr>
            <w:r w:rsidRPr="00E14102">
              <w:rPr>
                <w:color w:val="000000" w:themeColor="text1"/>
                <w:sz w:val="16"/>
                <w:szCs w:val="16"/>
              </w:rPr>
              <w:t>4532</w:t>
            </w:r>
          </w:p>
          <w:p w14:paraId="5C238235" w14:textId="77777777" w:rsidR="008F43A8" w:rsidRPr="00E14102" w:rsidRDefault="008F43A8" w:rsidP="00E14102">
            <w:pPr>
              <w:jc w:val="both"/>
              <w:rPr>
                <w:color w:val="000000" w:themeColor="text1"/>
                <w:sz w:val="16"/>
                <w:szCs w:val="16"/>
              </w:rPr>
            </w:pPr>
            <w:r w:rsidRPr="00E14102">
              <w:rPr>
                <w:color w:val="000000" w:themeColor="text1"/>
                <w:sz w:val="16"/>
                <w:szCs w:val="16"/>
              </w:rPr>
              <w:t>1135</w:t>
            </w:r>
          </w:p>
        </w:tc>
      </w:tr>
      <w:tr w:rsidR="00E3599D" w:rsidRPr="00E14102" w14:paraId="12E9C1E6"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7A643CF" w14:textId="77777777" w:rsidR="008F43A8" w:rsidRPr="00E14102" w:rsidRDefault="008F43A8"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84294C" w14:textId="77777777" w:rsidR="008F43A8" w:rsidRPr="00E14102" w:rsidRDefault="008F43A8" w:rsidP="00E14102">
            <w:pPr>
              <w:jc w:val="both"/>
              <w:rPr>
                <w:color w:val="000000" w:themeColor="text1"/>
                <w:sz w:val="16"/>
                <w:szCs w:val="16"/>
              </w:rPr>
            </w:pPr>
            <w:r w:rsidRPr="00E14102">
              <w:rPr>
                <w:color w:val="000000" w:themeColor="text1"/>
                <w:sz w:val="16"/>
                <w:szCs w:val="16"/>
              </w:rPr>
              <w:t>Пушечные гильзы латунные 76</w:t>
            </w:r>
            <w:r w:rsidRPr="00E14102">
              <w:rPr>
                <w:color w:val="000000" w:themeColor="text1"/>
                <w:sz w:val="16"/>
                <w:szCs w:val="16"/>
              </w:rPr>
              <w:noBreakHyphen/>
              <w:t>мм пол.</w:t>
            </w:r>
          </w:p>
          <w:p w14:paraId="4931454A" w14:textId="77777777" w:rsidR="008F43A8" w:rsidRPr="00E14102" w:rsidRDefault="008F43A8" w:rsidP="00E14102">
            <w:pPr>
              <w:jc w:val="both"/>
              <w:rPr>
                <w:color w:val="000000" w:themeColor="text1"/>
                <w:sz w:val="16"/>
                <w:szCs w:val="16"/>
              </w:rPr>
            </w:pPr>
            <w:r w:rsidRPr="00E14102">
              <w:rPr>
                <w:color w:val="000000" w:themeColor="text1"/>
                <w:sz w:val="16"/>
                <w:szCs w:val="16"/>
              </w:rPr>
              <w:t>круги латунные</w:t>
            </w:r>
          </w:p>
          <w:p w14:paraId="023C0B51" w14:textId="77777777" w:rsidR="008F43A8" w:rsidRPr="00E14102" w:rsidRDefault="008F43A8" w:rsidP="00E14102">
            <w:pPr>
              <w:jc w:val="both"/>
              <w:rPr>
                <w:color w:val="000000" w:themeColor="text1"/>
                <w:sz w:val="16"/>
                <w:szCs w:val="16"/>
              </w:rPr>
            </w:pPr>
            <w:r w:rsidRPr="00E14102">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AD753" w14:textId="77777777" w:rsidR="008F43A8" w:rsidRPr="00E14102" w:rsidRDefault="008F43A8" w:rsidP="00E14102">
            <w:pPr>
              <w:jc w:val="both"/>
              <w:rPr>
                <w:color w:val="000000" w:themeColor="text1"/>
                <w:sz w:val="16"/>
                <w:szCs w:val="16"/>
              </w:rPr>
            </w:pPr>
          </w:p>
          <w:p w14:paraId="6D736E22" w14:textId="77777777" w:rsidR="008F43A8" w:rsidRPr="00E14102" w:rsidRDefault="008F43A8" w:rsidP="00E14102">
            <w:pPr>
              <w:jc w:val="both"/>
              <w:rPr>
                <w:color w:val="000000" w:themeColor="text1"/>
                <w:sz w:val="16"/>
                <w:szCs w:val="16"/>
              </w:rPr>
            </w:pPr>
            <w:r w:rsidRPr="00E14102">
              <w:rPr>
                <w:color w:val="000000" w:themeColor="text1"/>
                <w:sz w:val="16"/>
                <w:szCs w:val="16"/>
              </w:rPr>
              <w:t>2116</w:t>
            </w:r>
          </w:p>
          <w:p w14:paraId="0054FD2D" w14:textId="77777777" w:rsidR="008F43A8" w:rsidRPr="00E14102" w:rsidRDefault="008F43A8" w:rsidP="00E14102">
            <w:pPr>
              <w:jc w:val="both"/>
              <w:rPr>
                <w:color w:val="000000" w:themeColor="text1"/>
                <w:sz w:val="16"/>
                <w:szCs w:val="16"/>
              </w:rPr>
            </w:pPr>
            <w:r w:rsidRPr="00E14102">
              <w:rPr>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14D56" w14:textId="77777777" w:rsidR="008F43A8" w:rsidRPr="00E14102" w:rsidRDefault="008F43A8" w:rsidP="00E14102">
            <w:pPr>
              <w:jc w:val="both"/>
              <w:rPr>
                <w:color w:val="000000" w:themeColor="text1"/>
                <w:sz w:val="16"/>
                <w:szCs w:val="16"/>
              </w:rPr>
            </w:pPr>
          </w:p>
          <w:p w14:paraId="1680B99B" w14:textId="77777777" w:rsidR="008F43A8" w:rsidRPr="00E14102" w:rsidRDefault="008F43A8" w:rsidP="00E14102">
            <w:pPr>
              <w:jc w:val="both"/>
              <w:rPr>
                <w:color w:val="000000" w:themeColor="text1"/>
                <w:sz w:val="16"/>
                <w:szCs w:val="16"/>
              </w:rPr>
            </w:pPr>
            <w:r w:rsidRPr="00E14102">
              <w:rPr>
                <w:color w:val="000000" w:themeColor="text1"/>
                <w:sz w:val="16"/>
                <w:szCs w:val="16"/>
              </w:rPr>
              <w:t>1800,2</w:t>
            </w:r>
          </w:p>
          <w:p w14:paraId="635D3D9B" w14:textId="77777777" w:rsidR="008F43A8" w:rsidRPr="00E14102" w:rsidRDefault="008F43A8" w:rsidP="00E14102">
            <w:pPr>
              <w:jc w:val="both"/>
              <w:rPr>
                <w:color w:val="000000" w:themeColor="text1"/>
                <w:sz w:val="16"/>
                <w:szCs w:val="16"/>
              </w:rPr>
            </w:pPr>
            <w:r w:rsidRPr="00E14102">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15C65" w14:textId="77777777" w:rsidR="008F43A8" w:rsidRPr="00E14102" w:rsidRDefault="008F43A8" w:rsidP="00E14102">
            <w:pPr>
              <w:jc w:val="both"/>
              <w:rPr>
                <w:color w:val="000000" w:themeColor="text1"/>
                <w:sz w:val="16"/>
                <w:szCs w:val="16"/>
              </w:rPr>
            </w:pPr>
          </w:p>
          <w:p w14:paraId="3412568C" w14:textId="77777777" w:rsidR="008F43A8" w:rsidRPr="00E14102" w:rsidRDefault="008F43A8" w:rsidP="00E14102">
            <w:pPr>
              <w:jc w:val="both"/>
              <w:rPr>
                <w:color w:val="000000" w:themeColor="text1"/>
                <w:sz w:val="16"/>
                <w:szCs w:val="16"/>
              </w:rPr>
            </w:pPr>
            <w:r w:rsidRPr="00E14102">
              <w:rPr>
                <w:color w:val="000000" w:themeColor="text1"/>
                <w:sz w:val="16"/>
                <w:szCs w:val="16"/>
              </w:rPr>
              <w:t>2001</w:t>
            </w:r>
          </w:p>
          <w:p w14:paraId="3E8F1A1E" w14:textId="77777777" w:rsidR="008F43A8" w:rsidRPr="00E14102" w:rsidRDefault="008F43A8" w:rsidP="00E14102">
            <w:pPr>
              <w:jc w:val="both"/>
              <w:rPr>
                <w:color w:val="000000" w:themeColor="text1"/>
                <w:sz w:val="16"/>
                <w:szCs w:val="16"/>
              </w:rPr>
            </w:pPr>
            <w:r w:rsidRPr="00E14102">
              <w:rPr>
                <w:color w:val="000000" w:themeColor="text1"/>
                <w:sz w:val="16"/>
                <w:szCs w:val="16"/>
              </w:rPr>
              <w:t>1025</w:t>
            </w:r>
          </w:p>
        </w:tc>
      </w:tr>
      <w:tr w:rsidR="00E3599D" w:rsidRPr="00E14102" w14:paraId="0C568165"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C05598" w14:textId="77777777" w:rsidR="008F43A8" w:rsidRPr="00E14102" w:rsidRDefault="008F43A8"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A0752B" w14:textId="77777777" w:rsidR="008F43A8" w:rsidRPr="00E14102" w:rsidRDefault="008F43A8" w:rsidP="00E14102">
            <w:pPr>
              <w:jc w:val="both"/>
              <w:rPr>
                <w:color w:val="000000" w:themeColor="text1"/>
                <w:sz w:val="16"/>
                <w:szCs w:val="16"/>
              </w:rPr>
            </w:pPr>
            <w:r w:rsidRPr="00E14102">
              <w:rPr>
                <w:color w:val="000000" w:themeColor="text1"/>
                <w:sz w:val="16"/>
                <w:szCs w:val="16"/>
              </w:rPr>
              <w:t>Пушечные гильзы латунные 45</w:t>
            </w:r>
            <w:r w:rsidRPr="00E14102">
              <w:rPr>
                <w:color w:val="000000" w:themeColor="text1"/>
                <w:sz w:val="16"/>
                <w:szCs w:val="16"/>
              </w:rPr>
              <w:noBreakHyphen/>
              <w:t>мм противотанковые</w:t>
            </w:r>
          </w:p>
          <w:p w14:paraId="4BBBE15D" w14:textId="77777777" w:rsidR="008F43A8" w:rsidRPr="00E14102" w:rsidRDefault="008F43A8" w:rsidP="00E14102">
            <w:pPr>
              <w:jc w:val="both"/>
              <w:rPr>
                <w:color w:val="000000" w:themeColor="text1"/>
                <w:sz w:val="16"/>
                <w:szCs w:val="16"/>
              </w:rPr>
            </w:pPr>
            <w:r w:rsidRPr="00E14102">
              <w:rPr>
                <w:color w:val="000000" w:themeColor="text1"/>
                <w:sz w:val="16"/>
                <w:szCs w:val="16"/>
              </w:rPr>
              <w:t>круги латунные</w:t>
            </w:r>
          </w:p>
          <w:p w14:paraId="01C19876" w14:textId="77777777" w:rsidR="008F43A8" w:rsidRPr="00E14102" w:rsidRDefault="008F43A8" w:rsidP="00E14102">
            <w:pPr>
              <w:jc w:val="both"/>
              <w:rPr>
                <w:color w:val="000000" w:themeColor="text1"/>
                <w:sz w:val="16"/>
                <w:szCs w:val="16"/>
              </w:rPr>
            </w:pPr>
            <w:r w:rsidRPr="00E14102">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29B04" w14:textId="77777777" w:rsidR="008F43A8" w:rsidRPr="00E14102" w:rsidRDefault="008F43A8" w:rsidP="00E14102">
            <w:pPr>
              <w:jc w:val="both"/>
              <w:rPr>
                <w:color w:val="000000" w:themeColor="text1"/>
                <w:sz w:val="16"/>
                <w:szCs w:val="16"/>
              </w:rPr>
            </w:pPr>
          </w:p>
          <w:p w14:paraId="2E01D27B" w14:textId="77777777" w:rsidR="008F43A8" w:rsidRPr="00E14102" w:rsidRDefault="008F43A8" w:rsidP="00E14102">
            <w:pPr>
              <w:jc w:val="both"/>
              <w:rPr>
                <w:color w:val="000000" w:themeColor="text1"/>
                <w:sz w:val="16"/>
                <w:szCs w:val="16"/>
              </w:rPr>
            </w:pPr>
            <w:r w:rsidRPr="00E14102">
              <w:rPr>
                <w:color w:val="000000" w:themeColor="text1"/>
                <w:sz w:val="16"/>
                <w:szCs w:val="16"/>
              </w:rPr>
              <w:t>756</w:t>
            </w:r>
          </w:p>
          <w:p w14:paraId="16F483FD" w14:textId="77777777" w:rsidR="008F43A8" w:rsidRPr="00E14102" w:rsidRDefault="008F43A8" w:rsidP="00E14102">
            <w:pPr>
              <w:jc w:val="both"/>
              <w:rPr>
                <w:color w:val="000000" w:themeColor="text1"/>
                <w:sz w:val="16"/>
                <w:szCs w:val="16"/>
              </w:rPr>
            </w:pPr>
            <w:r w:rsidRPr="00E14102">
              <w:rPr>
                <w:color w:val="000000" w:themeColor="text1"/>
                <w:sz w:val="16"/>
                <w:szCs w:val="16"/>
              </w:rPr>
              <w:t>345,5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84971" w14:textId="77777777" w:rsidR="008F43A8" w:rsidRPr="00E14102" w:rsidRDefault="008F43A8" w:rsidP="00E14102">
            <w:pPr>
              <w:jc w:val="both"/>
              <w:rPr>
                <w:color w:val="000000" w:themeColor="text1"/>
                <w:sz w:val="16"/>
                <w:szCs w:val="16"/>
              </w:rPr>
            </w:pPr>
          </w:p>
          <w:p w14:paraId="4AA6474C" w14:textId="77777777" w:rsidR="008F43A8" w:rsidRPr="00E14102" w:rsidRDefault="008F43A8" w:rsidP="00E14102">
            <w:pPr>
              <w:jc w:val="both"/>
              <w:rPr>
                <w:color w:val="000000" w:themeColor="text1"/>
                <w:sz w:val="16"/>
                <w:szCs w:val="16"/>
              </w:rPr>
            </w:pPr>
            <w:r w:rsidRPr="00E14102">
              <w:rPr>
                <w:color w:val="000000" w:themeColor="text1"/>
                <w:sz w:val="16"/>
                <w:szCs w:val="16"/>
              </w:rPr>
              <w:t>759</w:t>
            </w:r>
          </w:p>
          <w:p w14:paraId="680A00E1" w14:textId="77777777" w:rsidR="008F43A8" w:rsidRPr="00E14102" w:rsidRDefault="008F43A8" w:rsidP="00E14102">
            <w:pPr>
              <w:jc w:val="both"/>
              <w:rPr>
                <w:color w:val="000000" w:themeColor="text1"/>
                <w:sz w:val="16"/>
                <w:szCs w:val="16"/>
              </w:rPr>
            </w:pPr>
            <w:r w:rsidRPr="00E14102">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0A282" w14:textId="77777777" w:rsidR="008F43A8" w:rsidRPr="00E14102" w:rsidRDefault="008F43A8" w:rsidP="00E14102">
            <w:pPr>
              <w:jc w:val="both"/>
              <w:rPr>
                <w:color w:val="000000" w:themeColor="text1"/>
                <w:sz w:val="16"/>
                <w:szCs w:val="16"/>
              </w:rPr>
            </w:pPr>
          </w:p>
          <w:p w14:paraId="78F74F35" w14:textId="77777777" w:rsidR="008F43A8" w:rsidRPr="00E14102" w:rsidRDefault="008F43A8" w:rsidP="00E14102">
            <w:pPr>
              <w:jc w:val="both"/>
              <w:rPr>
                <w:color w:val="000000" w:themeColor="text1"/>
                <w:sz w:val="16"/>
                <w:szCs w:val="16"/>
              </w:rPr>
            </w:pPr>
            <w:r w:rsidRPr="00E14102">
              <w:rPr>
                <w:color w:val="000000" w:themeColor="text1"/>
                <w:sz w:val="16"/>
                <w:szCs w:val="16"/>
              </w:rPr>
              <w:t>839</w:t>
            </w:r>
          </w:p>
          <w:p w14:paraId="42A6995E" w14:textId="77777777" w:rsidR="008F43A8" w:rsidRPr="00E14102" w:rsidRDefault="008F43A8" w:rsidP="00E14102">
            <w:pPr>
              <w:jc w:val="both"/>
              <w:rPr>
                <w:color w:val="000000" w:themeColor="text1"/>
                <w:sz w:val="16"/>
                <w:szCs w:val="16"/>
              </w:rPr>
            </w:pPr>
            <w:r w:rsidRPr="00E14102">
              <w:rPr>
                <w:color w:val="000000" w:themeColor="text1"/>
                <w:sz w:val="16"/>
                <w:szCs w:val="16"/>
              </w:rPr>
              <w:t>423</w:t>
            </w:r>
          </w:p>
        </w:tc>
      </w:tr>
      <w:tr w:rsidR="00E3599D" w:rsidRPr="00E14102" w14:paraId="3AD64374"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DAEB5CA" w14:textId="77777777" w:rsidR="008F43A8" w:rsidRPr="00E14102" w:rsidRDefault="008F43A8"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80E5C4" w14:textId="77777777" w:rsidR="008F43A8" w:rsidRPr="00E14102" w:rsidRDefault="008F43A8" w:rsidP="00E14102">
            <w:pPr>
              <w:jc w:val="both"/>
              <w:rPr>
                <w:color w:val="000000" w:themeColor="text1"/>
                <w:sz w:val="16"/>
                <w:szCs w:val="16"/>
              </w:rPr>
            </w:pPr>
            <w:r w:rsidRPr="00E14102">
              <w:rPr>
                <w:color w:val="000000" w:themeColor="text1"/>
                <w:sz w:val="16"/>
                <w:szCs w:val="16"/>
              </w:rPr>
              <w:t>Пушечные гильзы латунные 37</w:t>
            </w:r>
            <w:r w:rsidRPr="00E14102">
              <w:rPr>
                <w:color w:val="000000" w:themeColor="text1"/>
                <w:sz w:val="16"/>
                <w:szCs w:val="16"/>
              </w:rPr>
              <w:noBreakHyphen/>
              <w:t>мм противотанковые</w:t>
            </w:r>
          </w:p>
          <w:p w14:paraId="05FB72E3" w14:textId="77777777" w:rsidR="008F43A8" w:rsidRPr="00E14102" w:rsidRDefault="008F43A8" w:rsidP="00E14102">
            <w:pPr>
              <w:jc w:val="both"/>
              <w:rPr>
                <w:color w:val="000000" w:themeColor="text1"/>
                <w:sz w:val="16"/>
                <w:szCs w:val="16"/>
              </w:rPr>
            </w:pPr>
            <w:r w:rsidRPr="00E14102">
              <w:rPr>
                <w:color w:val="000000" w:themeColor="text1"/>
                <w:sz w:val="16"/>
                <w:szCs w:val="16"/>
              </w:rPr>
              <w:t>круги латунные</w:t>
            </w:r>
          </w:p>
          <w:p w14:paraId="1A732A69" w14:textId="77777777" w:rsidR="008F43A8" w:rsidRPr="00E14102" w:rsidRDefault="008F43A8" w:rsidP="00E14102">
            <w:pPr>
              <w:jc w:val="both"/>
              <w:rPr>
                <w:color w:val="000000" w:themeColor="text1"/>
                <w:sz w:val="16"/>
                <w:szCs w:val="16"/>
              </w:rPr>
            </w:pPr>
            <w:r w:rsidRPr="00E14102">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EBD9C" w14:textId="77777777" w:rsidR="008F43A8" w:rsidRPr="00E14102" w:rsidRDefault="008F43A8" w:rsidP="00E14102">
            <w:pPr>
              <w:jc w:val="both"/>
              <w:rPr>
                <w:color w:val="000000" w:themeColor="text1"/>
                <w:sz w:val="16"/>
                <w:szCs w:val="16"/>
              </w:rPr>
            </w:pPr>
          </w:p>
          <w:p w14:paraId="4F2CDDBE" w14:textId="77777777" w:rsidR="008F43A8" w:rsidRPr="00E14102" w:rsidRDefault="008F43A8" w:rsidP="00E14102">
            <w:pPr>
              <w:jc w:val="both"/>
              <w:rPr>
                <w:color w:val="000000" w:themeColor="text1"/>
                <w:sz w:val="16"/>
                <w:szCs w:val="16"/>
              </w:rPr>
            </w:pPr>
            <w:r w:rsidRPr="00E14102">
              <w:rPr>
                <w:color w:val="000000" w:themeColor="text1"/>
                <w:sz w:val="16"/>
                <w:szCs w:val="16"/>
              </w:rPr>
              <w:t>714</w:t>
            </w:r>
          </w:p>
          <w:p w14:paraId="07439439" w14:textId="77777777" w:rsidR="008F43A8" w:rsidRPr="00E14102" w:rsidRDefault="008F43A8" w:rsidP="00E14102">
            <w:pPr>
              <w:jc w:val="both"/>
              <w:rPr>
                <w:color w:val="000000" w:themeColor="text1"/>
                <w:sz w:val="16"/>
                <w:szCs w:val="16"/>
              </w:rPr>
            </w:pPr>
            <w:r w:rsidRPr="00E14102">
              <w:rPr>
                <w:color w:val="000000" w:themeColor="text1"/>
                <w:sz w:val="16"/>
                <w:szCs w:val="16"/>
              </w:rPr>
              <w:t>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A0C26" w14:textId="77777777" w:rsidR="008F43A8" w:rsidRPr="00E14102" w:rsidRDefault="008F43A8" w:rsidP="00E14102">
            <w:pPr>
              <w:jc w:val="both"/>
              <w:rPr>
                <w:color w:val="000000" w:themeColor="text1"/>
                <w:sz w:val="16"/>
                <w:szCs w:val="16"/>
              </w:rPr>
            </w:pPr>
          </w:p>
          <w:p w14:paraId="1ED0E58C" w14:textId="77777777" w:rsidR="008F43A8" w:rsidRPr="00E14102" w:rsidRDefault="008F43A8" w:rsidP="00E14102">
            <w:pPr>
              <w:jc w:val="both"/>
              <w:rPr>
                <w:color w:val="000000" w:themeColor="text1"/>
                <w:sz w:val="16"/>
                <w:szCs w:val="16"/>
              </w:rPr>
            </w:pPr>
            <w:r w:rsidRPr="00E14102">
              <w:rPr>
                <w:color w:val="000000" w:themeColor="text1"/>
                <w:sz w:val="16"/>
                <w:szCs w:val="16"/>
              </w:rPr>
              <w:t>665</w:t>
            </w:r>
          </w:p>
          <w:p w14:paraId="4F02FA3C" w14:textId="77777777" w:rsidR="008F43A8" w:rsidRPr="00E14102" w:rsidRDefault="008F43A8" w:rsidP="00E14102">
            <w:pPr>
              <w:jc w:val="both"/>
              <w:rPr>
                <w:color w:val="000000" w:themeColor="text1"/>
                <w:sz w:val="16"/>
                <w:szCs w:val="16"/>
              </w:rPr>
            </w:pPr>
            <w:r w:rsidRPr="00E14102">
              <w:rPr>
                <w:color w:val="000000" w:themeColor="text1"/>
                <w:sz w:val="16"/>
                <w:szCs w:val="16"/>
              </w:rPr>
              <w:t>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6A97D" w14:textId="77777777" w:rsidR="008F43A8" w:rsidRPr="00E14102" w:rsidRDefault="008F43A8" w:rsidP="00E14102">
            <w:pPr>
              <w:jc w:val="both"/>
              <w:rPr>
                <w:color w:val="000000" w:themeColor="text1"/>
                <w:sz w:val="16"/>
                <w:szCs w:val="16"/>
              </w:rPr>
            </w:pPr>
          </w:p>
          <w:p w14:paraId="71E0E425" w14:textId="77777777" w:rsidR="008F43A8" w:rsidRPr="00E14102" w:rsidRDefault="008F43A8" w:rsidP="00E14102">
            <w:pPr>
              <w:jc w:val="both"/>
              <w:rPr>
                <w:color w:val="000000" w:themeColor="text1"/>
                <w:sz w:val="16"/>
                <w:szCs w:val="16"/>
              </w:rPr>
            </w:pPr>
            <w:r w:rsidRPr="00E14102">
              <w:rPr>
                <w:color w:val="000000" w:themeColor="text1"/>
                <w:sz w:val="16"/>
                <w:szCs w:val="16"/>
              </w:rPr>
              <w:t>705</w:t>
            </w:r>
          </w:p>
          <w:p w14:paraId="5B9D4112" w14:textId="77777777" w:rsidR="008F43A8" w:rsidRPr="00E14102" w:rsidRDefault="008F43A8" w:rsidP="00E14102">
            <w:pPr>
              <w:jc w:val="both"/>
              <w:rPr>
                <w:color w:val="000000" w:themeColor="text1"/>
                <w:sz w:val="16"/>
                <w:szCs w:val="16"/>
              </w:rPr>
            </w:pPr>
            <w:r w:rsidRPr="00E14102">
              <w:rPr>
                <w:color w:val="000000" w:themeColor="text1"/>
                <w:sz w:val="16"/>
                <w:szCs w:val="16"/>
              </w:rPr>
              <w:t>562</w:t>
            </w:r>
          </w:p>
        </w:tc>
      </w:tr>
      <w:tr w:rsidR="00E3599D" w:rsidRPr="00E14102" w14:paraId="72EF70AE" w14:textId="77777777" w:rsidTr="00493FC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8E692E8" w14:textId="77777777" w:rsidR="008F43A8" w:rsidRPr="00E14102" w:rsidRDefault="008F43A8" w:rsidP="00E14102">
            <w:pPr>
              <w:jc w:val="both"/>
              <w:rPr>
                <w:color w:val="000000" w:themeColor="text1"/>
                <w:sz w:val="16"/>
                <w:szCs w:val="16"/>
              </w:rPr>
            </w:pPr>
            <w:r w:rsidRPr="00E14102">
              <w:rPr>
                <w:color w:val="000000" w:themeColor="text1"/>
                <w:sz w:val="16"/>
                <w:szCs w:val="16"/>
              </w:rPr>
              <w:t>им. Серго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E98FC" w14:textId="77777777" w:rsidR="008F43A8" w:rsidRPr="00E14102" w:rsidRDefault="008F43A8" w:rsidP="00E14102">
            <w:pPr>
              <w:jc w:val="both"/>
              <w:rPr>
                <w:color w:val="000000" w:themeColor="text1"/>
                <w:sz w:val="16"/>
                <w:szCs w:val="16"/>
              </w:rPr>
            </w:pPr>
            <w:r w:rsidRPr="00E14102">
              <w:rPr>
                <w:color w:val="000000" w:themeColor="text1"/>
                <w:sz w:val="16"/>
                <w:szCs w:val="16"/>
              </w:rPr>
              <w:t>Пушечные гильзы латунные 45</w:t>
            </w:r>
            <w:r w:rsidRPr="00E14102">
              <w:rPr>
                <w:color w:val="000000" w:themeColor="text1"/>
                <w:sz w:val="16"/>
                <w:szCs w:val="16"/>
              </w:rPr>
              <w:noBreakHyphen/>
              <w:t>мм противотанковые</w:t>
            </w:r>
          </w:p>
          <w:p w14:paraId="6F5FD90E" w14:textId="77777777" w:rsidR="008F43A8" w:rsidRPr="00E14102" w:rsidRDefault="008F43A8" w:rsidP="00E14102">
            <w:pPr>
              <w:jc w:val="both"/>
              <w:rPr>
                <w:color w:val="000000" w:themeColor="text1"/>
                <w:sz w:val="16"/>
                <w:szCs w:val="16"/>
              </w:rPr>
            </w:pPr>
            <w:r w:rsidRPr="00E14102">
              <w:rPr>
                <w:color w:val="000000" w:themeColor="text1"/>
                <w:sz w:val="16"/>
                <w:szCs w:val="16"/>
              </w:rPr>
              <w:t>круги латунные</w:t>
            </w:r>
          </w:p>
          <w:p w14:paraId="4B16E24D" w14:textId="77777777" w:rsidR="008F43A8" w:rsidRPr="00E14102" w:rsidRDefault="008F43A8" w:rsidP="00E14102">
            <w:pPr>
              <w:jc w:val="both"/>
              <w:rPr>
                <w:color w:val="000000" w:themeColor="text1"/>
                <w:sz w:val="16"/>
                <w:szCs w:val="16"/>
              </w:rPr>
            </w:pPr>
            <w:r w:rsidRPr="00E14102">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47352" w14:textId="77777777" w:rsidR="008F43A8" w:rsidRPr="00E14102" w:rsidRDefault="008F43A8" w:rsidP="00E14102">
            <w:pPr>
              <w:jc w:val="both"/>
              <w:rPr>
                <w:color w:val="000000" w:themeColor="text1"/>
                <w:sz w:val="16"/>
                <w:szCs w:val="16"/>
              </w:rPr>
            </w:pPr>
          </w:p>
          <w:p w14:paraId="07F8F858" w14:textId="77777777" w:rsidR="008F43A8" w:rsidRPr="00E14102" w:rsidRDefault="008F43A8" w:rsidP="00E14102">
            <w:pPr>
              <w:jc w:val="both"/>
              <w:rPr>
                <w:color w:val="000000" w:themeColor="text1"/>
                <w:sz w:val="16"/>
                <w:szCs w:val="16"/>
              </w:rPr>
            </w:pPr>
            <w:r w:rsidRPr="00E14102">
              <w:rPr>
                <w:color w:val="000000" w:themeColor="text1"/>
                <w:sz w:val="16"/>
                <w:szCs w:val="16"/>
              </w:rPr>
              <w:t>788,4</w:t>
            </w:r>
          </w:p>
          <w:p w14:paraId="755BFC7E" w14:textId="77777777" w:rsidR="008F43A8" w:rsidRPr="00E14102" w:rsidRDefault="008F43A8" w:rsidP="00E14102">
            <w:pPr>
              <w:jc w:val="both"/>
              <w:rPr>
                <w:color w:val="000000" w:themeColor="text1"/>
                <w:sz w:val="16"/>
                <w:szCs w:val="16"/>
              </w:rPr>
            </w:pPr>
            <w:r w:rsidRPr="00E14102">
              <w:rPr>
                <w:color w:val="000000" w:themeColor="text1"/>
                <w:sz w:val="16"/>
                <w:szCs w:val="16"/>
              </w:rPr>
              <w:t>661,6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25446" w14:textId="77777777" w:rsidR="008F43A8" w:rsidRPr="00E14102" w:rsidRDefault="008F43A8" w:rsidP="00E14102">
            <w:pPr>
              <w:jc w:val="both"/>
              <w:rPr>
                <w:color w:val="000000" w:themeColor="text1"/>
                <w:sz w:val="16"/>
                <w:szCs w:val="16"/>
              </w:rPr>
            </w:pPr>
          </w:p>
          <w:p w14:paraId="3F97EDDA" w14:textId="77777777" w:rsidR="008F43A8" w:rsidRPr="00E14102" w:rsidRDefault="008F43A8" w:rsidP="00E14102">
            <w:pPr>
              <w:jc w:val="both"/>
              <w:rPr>
                <w:color w:val="000000" w:themeColor="text1"/>
                <w:sz w:val="16"/>
                <w:szCs w:val="16"/>
              </w:rPr>
            </w:pPr>
            <w:r w:rsidRPr="00E14102">
              <w:rPr>
                <w:color w:val="000000" w:themeColor="text1"/>
                <w:sz w:val="16"/>
                <w:szCs w:val="16"/>
              </w:rPr>
              <w:t>781,1</w:t>
            </w:r>
          </w:p>
          <w:p w14:paraId="428C97AA" w14:textId="77777777" w:rsidR="008F43A8" w:rsidRPr="00E14102" w:rsidRDefault="008F43A8" w:rsidP="00E14102">
            <w:pPr>
              <w:jc w:val="both"/>
              <w:rPr>
                <w:color w:val="000000" w:themeColor="text1"/>
                <w:sz w:val="16"/>
                <w:szCs w:val="16"/>
              </w:rPr>
            </w:pPr>
            <w:r w:rsidRPr="00E14102">
              <w:rPr>
                <w:color w:val="000000" w:themeColor="text1"/>
                <w:sz w:val="16"/>
                <w:szCs w:val="16"/>
              </w:rPr>
              <w:t>380,0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33BF0" w14:textId="77777777" w:rsidR="008F43A8" w:rsidRPr="00E14102" w:rsidRDefault="008F43A8" w:rsidP="00E14102">
            <w:pPr>
              <w:jc w:val="both"/>
              <w:rPr>
                <w:color w:val="000000" w:themeColor="text1"/>
                <w:sz w:val="16"/>
                <w:szCs w:val="16"/>
              </w:rPr>
            </w:pPr>
          </w:p>
          <w:p w14:paraId="5F3F1E3B" w14:textId="77777777" w:rsidR="008F43A8" w:rsidRPr="00E14102" w:rsidRDefault="008F43A8" w:rsidP="00E14102">
            <w:pPr>
              <w:jc w:val="both"/>
              <w:rPr>
                <w:color w:val="000000" w:themeColor="text1"/>
                <w:sz w:val="16"/>
                <w:szCs w:val="16"/>
              </w:rPr>
            </w:pPr>
            <w:r w:rsidRPr="00E14102">
              <w:rPr>
                <w:color w:val="000000" w:themeColor="text1"/>
                <w:sz w:val="16"/>
                <w:szCs w:val="16"/>
              </w:rPr>
              <w:t>842,1</w:t>
            </w:r>
          </w:p>
          <w:p w14:paraId="1377B88B" w14:textId="77777777" w:rsidR="008F43A8" w:rsidRPr="00E14102" w:rsidRDefault="008F43A8" w:rsidP="00E14102">
            <w:pPr>
              <w:jc w:val="both"/>
              <w:rPr>
                <w:color w:val="000000" w:themeColor="text1"/>
                <w:sz w:val="16"/>
                <w:szCs w:val="16"/>
              </w:rPr>
            </w:pPr>
            <w:r w:rsidRPr="00E14102">
              <w:rPr>
                <w:color w:val="000000" w:themeColor="text1"/>
                <w:sz w:val="16"/>
                <w:szCs w:val="16"/>
              </w:rPr>
              <w:t>682,1</w:t>
            </w:r>
          </w:p>
        </w:tc>
      </w:tr>
      <w:tr w:rsidR="00E3599D" w:rsidRPr="00E14102" w14:paraId="2AC6C3BC"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6C2A84A" w14:textId="77777777" w:rsidR="008F43A8" w:rsidRPr="00E14102" w:rsidRDefault="008F43A8"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BEFA12" w14:textId="77777777" w:rsidR="008F43A8" w:rsidRPr="00E14102" w:rsidRDefault="008F43A8" w:rsidP="00E14102">
            <w:pPr>
              <w:jc w:val="both"/>
              <w:rPr>
                <w:color w:val="000000" w:themeColor="text1"/>
                <w:sz w:val="16"/>
                <w:szCs w:val="16"/>
              </w:rPr>
            </w:pPr>
            <w:r w:rsidRPr="00E14102">
              <w:rPr>
                <w:color w:val="000000" w:themeColor="text1"/>
                <w:sz w:val="16"/>
                <w:szCs w:val="16"/>
              </w:rPr>
              <w:t>Пушечные гильзы латунные 37</w:t>
            </w:r>
            <w:r w:rsidRPr="00E14102">
              <w:rPr>
                <w:color w:val="000000" w:themeColor="text1"/>
                <w:sz w:val="16"/>
                <w:szCs w:val="16"/>
              </w:rPr>
              <w:noBreakHyphen/>
              <w:t>мм противотанковые</w:t>
            </w:r>
          </w:p>
          <w:p w14:paraId="3D8C608D" w14:textId="77777777" w:rsidR="008F43A8" w:rsidRPr="00E14102" w:rsidRDefault="008F43A8" w:rsidP="00E14102">
            <w:pPr>
              <w:jc w:val="both"/>
              <w:rPr>
                <w:color w:val="000000" w:themeColor="text1"/>
                <w:sz w:val="16"/>
                <w:szCs w:val="16"/>
              </w:rPr>
            </w:pPr>
            <w:r w:rsidRPr="00E14102">
              <w:rPr>
                <w:color w:val="000000" w:themeColor="text1"/>
                <w:sz w:val="16"/>
                <w:szCs w:val="16"/>
              </w:rPr>
              <w:t>круги латунные</w:t>
            </w:r>
          </w:p>
          <w:p w14:paraId="4D60DD29" w14:textId="77777777" w:rsidR="008F43A8" w:rsidRPr="00E14102" w:rsidRDefault="008F43A8" w:rsidP="00E14102">
            <w:pPr>
              <w:jc w:val="both"/>
              <w:rPr>
                <w:color w:val="000000" w:themeColor="text1"/>
                <w:sz w:val="16"/>
                <w:szCs w:val="16"/>
              </w:rPr>
            </w:pPr>
            <w:r w:rsidRPr="00E14102">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142DE" w14:textId="77777777" w:rsidR="008F43A8" w:rsidRPr="00E14102" w:rsidRDefault="008F43A8" w:rsidP="00E14102">
            <w:pPr>
              <w:jc w:val="both"/>
              <w:rPr>
                <w:color w:val="000000" w:themeColor="text1"/>
                <w:sz w:val="16"/>
                <w:szCs w:val="16"/>
              </w:rPr>
            </w:pPr>
          </w:p>
          <w:p w14:paraId="693EF15F" w14:textId="77777777" w:rsidR="008F43A8" w:rsidRPr="00E14102" w:rsidRDefault="008F43A8" w:rsidP="00E14102">
            <w:pPr>
              <w:jc w:val="both"/>
              <w:rPr>
                <w:color w:val="000000" w:themeColor="text1"/>
                <w:sz w:val="16"/>
                <w:szCs w:val="16"/>
              </w:rPr>
            </w:pPr>
            <w:r w:rsidRPr="00E14102">
              <w:rPr>
                <w:color w:val="000000" w:themeColor="text1"/>
                <w:sz w:val="16"/>
                <w:szCs w:val="16"/>
              </w:rPr>
              <w:t>688</w:t>
            </w:r>
          </w:p>
          <w:p w14:paraId="2EBEC897" w14:textId="77777777" w:rsidR="008F43A8" w:rsidRPr="00E14102" w:rsidRDefault="008F43A8" w:rsidP="00E14102">
            <w:pPr>
              <w:jc w:val="both"/>
              <w:rPr>
                <w:color w:val="000000" w:themeColor="text1"/>
                <w:sz w:val="16"/>
                <w:szCs w:val="16"/>
              </w:rPr>
            </w:pPr>
            <w:r w:rsidRPr="00E14102">
              <w:rPr>
                <w:color w:val="000000" w:themeColor="text1"/>
                <w:sz w:val="16"/>
                <w:szCs w:val="16"/>
              </w:rPr>
              <w:t>1093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22517" w14:textId="77777777" w:rsidR="008F43A8" w:rsidRPr="00E14102" w:rsidRDefault="008F43A8" w:rsidP="00E14102">
            <w:pPr>
              <w:jc w:val="both"/>
              <w:rPr>
                <w:color w:val="000000" w:themeColor="text1"/>
                <w:sz w:val="16"/>
                <w:szCs w:val="16"/>
              </w:rPr>
            </w:pPr>
          </w:p>
          <w:p w14:paraId="00F5D434" w14:textId="77777777" w:rsidR="008F43A8" w:rsidRPr="00E14102" w:rsidRDefault="008F43A8" w:rsidP="00E14102">
            <w:pPr>
              <w:jc w:val="both"/>
              <w:rPr>
                <w:color w:val="000000" w:themeColor="text1"/>
                <w:sz w:val="16"/>
                <w:szCs w:val="16"/>
              </w:rPr>
            </w:pPr>
            <w:r w:rsidRPr="00E14102">
              <w:rPr>
                <w:color w:val="000000" w:themeColor="text1"/>
                <w:sz w:val="16"/>
                <w:szCs w:val="16"/>
              </w:rPr>
              <w:t>684,8</w:t>
            </w:r>
          </w:p>
          <w:p w14:paraId="71DA7121" w14:textId="77777777" w:rsidR="008F43A8" w:rsidRPr="00E14102" w:rsidRDefault="008F43A8" w:rsidP="00E14102">
            <w:pPr>
              <w:jc w:val="both"/>
              <w:rPr>
                <w:color w:val="000000" w:themeColor="text1"/>
                <w:sz w:val="16"/>
                <w:szCs w:val="16"/>
              </w:rPr>
            </w:pPr>
            <w:r w:rsidRPr="00E14102">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2FF91" w14:textId="77777777" w:rsidR="008F43A8" w:rsidRPr="00E14102" w:rsidRDefault="008F43A8" w:rsidP="00E14102">
            <w:pPr>
              <w:jc w:val="both"/>
              <w:rPr>
                <w:color w:val="000000" w:themeColor="text1"/>
                <w:sz w:val="16"/>
                <w:szCs w:val="16"/>
              </w:rPr>
            </w:pPr>
          </w:p>
          <w:p w14:paraId="1383375E" w14:textId="77777777" w:rsidR="008F43A8" w:rsidRPr="00E14102" w:rsidRDefault="008F43A8" w:rsidP="00E14102">
            <w:pPr>
              <w:jc w:val="both"/>
              <w:rPr>
                <w:color w:val="000000" w:themeColor="text1"/>
                <w:sz w:val="16"/>
                <w:szCs w:val="16"/>
              </w:rPr>
            </w:pPr>
            <w:r w:rsidRPr="00E14102">
              <w:rPr>
                <w:color w:val="000000" w:themeColor="text1"/>
                <w:sz w:val="16"/>
                <w:szCs w:val="16"/>
              </w:rPr>
              <w:t>819,5</w:t>
            </w:r>
          </w:p>
          <w:p w14:paraId="2BEFD4E3" w14:textId="77777777" w:rsidR="008F43A8" w:rsidRPr="00E14102" w:rsidRDefault="008F43A8" w:rsidP="00E14102">
            <w:pPr>
              <w:jc w:val="both"/>
              <w:rPr>
                <w:color w:val="000000" w:themeColor="text1"/>
                <w:sz w:val="16"/>
                <w:szCs w:val="16"/>
              </w:rPr>
            </w:pPr>
            <w:r w:rsidRPr="00E14102">
              <w:rPr>
                <w:color w:val="000000" w:themeColor="text1"/>
                <w:sz w:val="16"/>
                <w:szCs w:val="16"/>
              </w:rPr>
              <w:t>1322</w:t>
            </w:r>
          </w:p>
        </w:tc>
      </w:tr>
      <w:tr w:rsidR="00E3599D" w:rsidRPr="00E14102" w14:paraId="52BFF42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4FD0C6" w14:textId="77777777" w:rsidR="008F43A8" w:rsidRPr="00E14102" w:rsidRDefault="008F43A8" w:rsidP="00E14102">
            <w:pPr>
              <w:jc w:val="both"/>
              <w:rPr>
                <w:color w:val="000000" w:themeColor="text1"/>
                <w:sz w:val="16"/>
                <w:szCs w:val="16"/>
              </w:rPr>
            </w:pPr>
            <w:r w:rsidRPr="00E14102">
              <w:rPr>
                <w:color w:val="000000" w:themeColor="text1"/>
                <w:sz w:val="16"/>
                <w:szCs w:val="16"/>
              </w:rPr>
              <w:t>№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90EB9" w14:textId="77777777" w:rsidR="008F43A8" w:rsidRPr="00E14102" w:rsidRDefault="008F43A8" w:rsidP="00E14102">
            <w:pPr>
              <w:jc w:val="both"/>
              <w:rPr>
                <w:color w:val="000000" w:themeColor="text1"/>
                <w:sz w:val="16"/>
                <w:szCs w:val="16"/>
              </w:rPr>
            </w:pPr>
            <w:r w:rsidRPr="00E14102">
              <w:rPr>
                <w:color w:val="000000" w:themeColor="text1"/>
                <w:sz w:val="16"/>
                <w:szCs w:val="16"/>
              </w:rPr>
              <w:t>Мелкокалиберные патроны латунные</w:t>
            </w:r>
          </w:p>
          <w:p w14:paraId="7986C464" w14:textId="77777777" w:rsidR="008F43A8" w:rsidRPr="00E14102" w:rsidRDefault="008F43A8" w:rsidP="00E14102">
            <w:pPr>
              <w:jc w:val="both"/>
              <w:rPr>
                <w:color w:val="000000" w:themeColor="text1"/>
                <w:sz w:val="16"/>
                <w:szCs w:val="16"/>
              </w:rPr>
            </w:pPr>
            <w:r w:rsidRPr="00E14102">
              <w:rPr>
                <w:color w:val="000000" w:themeColor="text1"/>
                <w:sz w:val="16"/>
                <w:szCs w:val="16"/>
              </w:rPr>
              <w:t>латунь</w:t>
            </w:r>
          </w:p>
          <w:p w14:paraId="422933D4" w14:textId="77777777" w:rsidR="008F43A8" w:rsidRPr="00E14102" w:rsidRDefault="008F43A8" w:rsidP="00E14102">
            <w:pPr>
              <w:jc w:val="both"/>
              <w:rPr>
                <w:color w:val="000000" w:themeColor="text1"/>
                <w:sz w:val="16"/>
                <w:szCs w:val="16"/>
              </w:rPr>
            </w:pPr>
            <w:r w:rsidRPr="00E14102">
              <w:rPr>
                <w:color w:val="000000" w:themeColor="text1"/>
                <w:sz w:val="16"/>
                <w:szCs w:val="16"/>
              </w:rPr>
              <w:t>свинец</w:t>
            </w:r>
          </w:p>
          <w:p w14:paraId="41B61D77" w14:textId="77777777" w:rsidR="008F43A8" w:rsidRPr="00E14102" w:rsidRDefault="008F43A8" w:rsidP="00E14102">
            <w:pPr>
              <w:jc w:val="both"/>
              <w:rPr>
                <w:color w:val="000000" w:themeColor="text1"/>
                <w:sz w:val="16"/>
                <w:szCs w:val="16"/>
              </w:rPr>
            </w:pPr>
            <w:r w:rsidRPr="00E14102">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522B8" w14:textId="77777777" w:rsidR="008F43A8" w:rsidRPr="00E14102" w:rsidRDefault="008F43A8" w:rsidP="00E14102">
            <w:pPr>
              <w:jc w:val="both"/>
              <w:rPr>
                <w:color w:val="000000" w:themeColor="text1"/>
                <w:sz w:val="16"/>
                <w:szCs w:val="16"/>
              </w:rPr>
            </w:pPr>
          </w:p>
          <w:p w14:paraId="2E61A112" w14:textId="77777777" w:rsidR="008F43A8" w:rsidRPr="00E14102" w:rsidRDefault="008F43A8" w:rsidP="00E14102">
            <w:pPr>
              <w:jc w:val="both"/>
              <w:rPr>
                <w:color w:val="000000" w:themeColor="text1"/>
                <w:sz w:val="16"/>
                <w:szCs w:val="16"/>
              </w:rPr>
            </w:pPr>
            <w:r w:rsidRPr="00E14102">
              <w:rPr>
                <w:color w:val="000000" w:themeColor="text1"/>
                <w:sz w:val="16"/>
                <w:szCs w:val="16"/>
              </w:rPr>
              <w:t>1,515</w:t>
            </w:r>
          </w:p>
          <w:p w14:paraId="726CFA2B" w14:textId="77777777" w:rsidR="008F43A8" w:rsidRPr="00E14102" w:rsidRDefault="008F43A8" w:rsidP="00E14102">
            <w:pPr>
              <w:jc w:val="both"/>
              <w:rPr>
                <w:color w:val="000000" w:themeColor="text1"/>
                <w:sz w:val="16"/>
                <w:szCs w:val="16"/>
              </w:rPr>
            </w:pPr>
            <w:r w:rsidRPr="00E14102">
              <w:rPr>
                <w:color w:val="000000" w:themeColor="text1"/>
                <w:sz w:val="16"/>
                <w:szCs w:val="16"/>
              </w:rPr>
              <w:t>3,228</w:t>
            </w:r>
          </w:p>
          <w:p w14:paraId="59C6312A" w14:textId="77777777" w:rsidR="008F43A8" w:rsidRPr="00E14102" w:rsidRDefault="008F43A8" w:rsidP="00E14102">
            <w:pPr>
              <w:jc w:val="both"/>
              <w:rPr>
                <w:color w:val="000000" w:themeColor="text1"/>
                <w:sz w:val="16"/>
                <w:szCs w:val="16"/>
              </w:rPr>
            </w:pPr>
            <w:r w:rsidRPr="00E14102">
              <w:rPr>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907AE" w14:textId="77777777" w:rsidR="008F43A8" w:rsidRPr="00E14102" w:rsidRDefault="008F43A8" w:rsidP="00E14102">
            <w:pPr>
              <w:jc w:val="both"/>
              <w:rPr>
                <w:color w:val="000000" w:themeColor="text1"/>
                <w:sz w:val="16"/>
                <w:szCs w:val="16"/>
              </w:rPr>
            </w:pPr>
          </w:p>
          <w:p w14:paraId="29885582" w14:textId="77777777" w:rsidR="008F43A8" w:rsidRPr="00E14102" w:rsidRDefault="008F43A8" w:rsidP="00E14102">
            <w:pPr>
              <w:jc w:val="both"/>
              <w:rPr>
                <w:color w:val="000000" w:themeColor="text1"/>
                <w:sz w:val="16"/>
                <w:szCs w:val="16"/>
              </w:rPr>
            </w:pPr>
            <w:r w:rsidRPr="00E14102">
              <w:rPr>
                <w:color w:val="000000" w:themeColor="text1"/>
                <w:sz w:val="16"/>
                <w:szCs w:val="16"/>
              </w:rPr>
              <w:t>1,620</w:t>
            </w:r>
          </w:p>
          <w:p w14:paraId="6E453803" w14:textId="77777777" w:rsidR="008F43A8" w:rsidRPr="00E14102" w:rsidRDefault="008F43A8" w:rsidP="00E14102">
            <w:pPr>
              <w:jc w:val="both"/>
              <w:rPr>
                <w:color w:val="000000" w:themeColor="text1"/>
                <w:sz w:val="16"/>
                <w:szCs w:val="16"/>
              </w:rPr>
            </w:pPr>
            <w:r w:rsidRPr="00E14102">
              <w:rPr>
                <w:color w:val="000000" w:themeColor="text1"/>
                <w:sz w:val="16"/>
                <w:szCs w:val="16"/>
              </w:rPr>
              <w:t>2,711</w:t>
            </w:r>
          </w:p>
          <w:p w14:paraId="7082B87C" w14:textId="77777777" w:rsidR="008F43A8" w:rsidRPr="00E14102" w:rsidRDefault="008F43A8" w:rsidP="00E14102">
            <w:pPr>
              <w:jc w:val="both"/>
              <w:rPr>
                <w:color w:val="000000" w:themeColor="text1"/>
                <w:sz w:val="16"/>
                <w:szCs w:val="16"/>
              </w:rPr>
            </w:pPr>
            <w:r w:rsidRPr="00E14102">
              <w:rPr>
                <w:color w:val="000000" w:themeColor="text1"/>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C4E61" w14:textId="77777777" w:rsidR="008F43A8" w:rsidRPr="00E14102" w:rsidRDefault="008F43A8" w:rsidP="00E14102">
            <w:pPr>
              <w:jc w:val="both"/>
              <w:rPr>
                <w:color w:val="000000" w:themeColor="text1"/>
                <w:sz w:val="16"/>
                <w:szCs w:val="16"/>
              </w:rPr>
            </w:pPr>
          </w:p>
          <w:p w14:paraId="4187B747" w14:textId="77777777" w:rsidR="008F43A8" w:rsidRPr="00E14102" w:rsidRDefault="008F43A8" w:rsidP="00E14102">
            <w:pPr>
              <w:jc w:val="both"/>
              <w:rPr>
                <w:color w:val="000000" w:themeColor="text1"/>
                <w:sz w:val="16"/>
                <w:szCs w:val="16"/>
              </w:rPr>
            </w:pPr>
            <w:r w:rsidRPr="00E14102">
              <w:rPr>
                <w:color w:val="000000" w:themeColor="text1"/>
                <w:sz w:val="16"/>
                <w:szCs w:val="16"/>
              </w:rPr>
              <w:t>1,617</w:t>
            </w:r>
          </w:p>
          <w:p w14:paraId="0E8F090B" w14:textId="77777777" w:rsidR="008F43A8" w:rsidRPr="00E14102" w:rsidRDefault="008F43A8" w:rsidP="00E14102">
            <w:pPr>
              <w:jc w:val="both"/>
              <w:rPr>
                <w:color w:val="000000" w:themeColor="text1"/>
                <w:sz w:val="16"/>
                <w:szCs w:val="16"/>
              </w:rPr>
            </w:pPr>
            <w:r w:rsidRPr="00E14102">
              <w:rPr>
                <w:color w:val="000000" w:themeColor="text1"/>
                <w:sz w:val="16"/>
                <w:szCs w:val="16"/>
              </w:rPr>
              <w:t>2,839</w:t>
            </w:r>
          </w:p>
          <w:p w14:paraId="205AB434" w14:textId="77777777" w:rsidR="008F43A8" w:rsidRPr="00E14102" w:rsidRDefault="008F43A8" w:rsidP="00E14102">
            <w:pPr>
              <w:jc w:val="both"/>
              <w:rPr>
                <w:color w:val="000000" w:themeColor="text1"/>
                <w:sz w:val="16"/>
                <w:szCs w:val="16"/>
              </w:rPr>
            </w:pPr>
            <w:r w:rsidRPr="00E14102">
              <w:rPr>
                <w:color w:val="000000" w:themeColor="text1"/>
                <w:sz w:val="16"/>
                <w:szCs w:val="16"/>
              </w:rPr>
              <w:t>3,074</w:t>
            </w:r>
          </w:p>
        </w:tc>
      </w:tr>
    </w:tbl>
    <w:p w14:paraId="2905432C" w14:textId="77777777" w:rsidR="008F43A8" w:rsidRPr="00E14102" w:rsidRDefault="008F43A8" w:rsidP="00E14102">
      <w:pPr>
        <w:jc w:val="both"/>
        <w:rPr>
          <w:color w:val="000000" w:themeColor="text1"/>
          <w:sz w:val="16"/>
          <w:szCs w:val="16"/>
        </w:rPr>
      </w:pPr>
      <w:r w:rsidRPr="00E14102">
        <w:rPr>
          <w:color w:val="000000" w:themeColor="text1"/>
          <w:sz w:val="16"/>
          <w:szCs w:val="16"/>
        </w:rPr>
        <w:t>V. Труд (при выполнении плана валовой продукции на 93,9 [%])</w:t>
      </w:r>
    </w:p>
    <w:p w14:paraId="49EEB6C4" w14:textId="77777777" w:rsidR="008F43A8" w:rsidRPr="00E14102" w:rsidRDefault="008F43A8" w:rsidP="00E14102">
      <w:pPr>
        <w:pStyle w:val="HTML0"/>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1. Количество рабочих ............ - 106,4% к ПФП</w:t>
      </w:r>
    </w:p>
    <w:p w14:paraId="65E6577D" w14:textId="77777777" w:rsidR="008F43A8" w:rsidRPr="00E14102" w:rsidRDefault="008F43A8" w:rsidP="00E14102">
      <w:pPr>
        <w:pStyle w:val="HTML0"/>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2. Выработка ...................... - 90,4% к ПФП</w:t>
      </w:r>
    </w:p>
    <w:p w14:paraId="50B751E4" w14:textId="77777777" w:rsidR="008F43A8" w:rsidRPr="00E14102" w:rsidRDefault="008F43A8" w:rsidP="00E14102">
      <w:pPr>
        <w:pStyle w:val="HTML0"/>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3. Зарплата рабочего .............. - 94,9% к ПФП</w:t>
      </w:r>
    </w:p>
    <w:p w14:paraId="23CD7EDB" w14:textId="77777777" w:rsidR="008F43A8" w:rsidRPr="00E14102" w:rsidRDefault="008F43A8" w:rsidP="00E14102">
      <w:pPr>
        <w:pStyle w:val="HTML0"/>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4. Расход фонда зарплаты .......... - 97,6% к ПФП</w:t>
      </w:r>
    </w:p>
    <w:p w14:paraId="1D886809"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Текучесть рабсилы за 1934 г. (оборот) — 25%, в то время как в 1933 г. было — 37,2%. Неуважительные прогулы составляют — 0,05%, в то время как в 1933 г. составляли — 0,06%. Простои: текущие за 1934 г. составляют 330 166 час. и целодневные — 26 273 человеко-дней. Сверхурочные работы за 1934 г. составляли — 194 676 час.</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751"/>
        <w:gridCol w:w="786"/>
        <w:gridCol w:w="786"/>
      </w:tblGrid>
      <w:tr w:rsidR="00E3599D" w:rsidRPr="00E14102" w14:paraId="558FC3D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0BD7E5" w14:textId="77777777" w:rsidR="008F43A8" w:rsidRPr="00E14102" w:rsidRDefault="008F43A8"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62FA2" w14:textId="77777777" w:rsidR="008F43A8" w:rsidRPr="00E14102" w:rsidRDefault="008F43A8" w:rsidP="00E14102">
            <w:pPr>
              <w:jc w:val="both"/>
              <w:rPr>
                <w:color w:val="000000" w:themeColor="text1"/>
                <w:sz w:val="16"/>
                <w:szCs w:val="16"/>
              </w:rPr>
            </w:pPr>
            <w:r w:rsidRPr="00E14102">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DF940" w14:textId="77777777" w:rsidR="008F43A8" w:rsidRPr="00E14102" w:rsidRDefault="008F43A8" w:rsidP="00E14102">
            <w:pPr>
              <w:jc w:val="both"/>
              <w:rPr>
                <w:color w:val="000000" w:themeColor="text1"/>
                <w:sz w:val="16"/>
                <w:szCs w:val="16"/>
              </w:rPr>
            </w:pPr>
            <w:r w:rsidRPr="00E14102">
              <w:rPr>
                <w:color w:val="000000" w:themeColor="text1"/>
                <w:sz w:val="16"/>
                <w:szCs w:val="16"/>
              </w:rPr>
              <w:t>Отчет</w:t>
            </w:r>
          </w:p>
        </w:tc>
      </w:tr>
      <w:tr w:rsidR="00E3599D" w:rsidRPr="00E14102" w14:paraId="76261F1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594423" w14:textId="77777777" w:rsidR="008F43A8" w:rsidRPr="00E14102" w:rsidRDefault="008F43A8" w:rsidP="00E14102">
            <w:pPr>
              <w:jc w:val="both"/>
              <w:rPr>
                <w:color w:val="000000" w:themeColor="text1"/>
                <w:sz w:val="16"/>
                <w:szCs w:val="16"/>
              </w:rPr>
            </w:pPr>
            <w:r w:rsidRPr="00E14102">
              <w:rPr>
                <w:color w:val="000000" w:themeColor="text1"/>
                <w:sz w:val="16"/>
                <w:szCs w:val="16"/>
              </w:rPr>
              <w:t>Общезаводские расходы в части управленческих и общепроизводственных расходов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7A033" w14:textId="77777777" w:rsidR="008F43A8" w:rsidRPr="00E14102" w:rsidRDefault="008F43A8" w:rsidP="00E14102">
            <w:pPr>
              <w:jc w:val="both"/>
              <w:rPr>
                <w:color w:val="000000" w:themeColor="text1"/>
                <w:sz w:val="16"/>
                <w:szCs w:val="16"/>
              </w:rPr>
            </w:pPr>
            <w:r w:rsidRPr="00E14102">
              <w:rPr>
                <w:color w:val="000000" w:themeColor="text1"/>
                <w:sz w:val="16"/>
                <w:szCs w:val="16"/>
              </w:rPr>
              <w:t>14 184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981D3" w14:textId="77777777" w:rsidR="008F43A8" w:rsidRPr="00E14102" w:rsidRDefault="008F43A8" w:rsidP="00E14102">
            <w:pPr>
              <w:jc w:val="both"/>
              <w:rPr>
                <w:color w:val="000000" w:themeColor="text1"/>
                <w:sz w:val="16"/>
                <w:szCs w:val="16"/>
              </w:rPr>
            </w:pPr>
            <w:r w:rsidRPr="00E14102">
              <w:rPr>
                <w:color w:val="000000" w:themeColor="text1"/>
                <w:sz w:val="16"/>
                <w:szCs w:val="16"/>
              </w:rPr>
              <w:t>14 654</w:t>
            </w:r>
          </w:p>
        </w:tc>
      </w:tr>
      <w:tr w:rsidR="00E3599D" w:rsidRPr="00E14102" w14:paraId="215A6D0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83B257" w14:textId="77777777" w:rsidR="008F43A8" w:rsidRPr="00E14102" w:rsidRDefault="008F43A8" w:rsidP="00E14102">
            <w:pPr>
              <w:jc w:val="both"/>
              <w:rPr>
                <w:color w:val="000000" w:themeColor="text1"/>
                <w:sz w:val="16"/>
                <w:szCs w:val="16"/>
              </w:rPr>
            </w:pPr>
            <w:r w:rsidRPr="00E14102">
              <w:rPr>
                <w:color w:val="000000" w:themeColor="text1"/>
                <w:sz w:val="16"/>
                <w:szCs w:val="16"/>
              </w:rPr>
              <w:t>Цеховые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D7D42" w14:textId="77777777" w:rsidR="008F43A8" w:rsidRPr="00E14102" w:rsidRDefault="008F43A8" w:rsidP="00E14102">
            <w:pPr>
              <w:jc w:val="both"/>
              <w:rPr>
                <w:color w:val="000000" w:themeColor="text1"/>
                <w:sz w:val="16"/>
                <w:szCs w:val="16"/>
              </w:rPr>
            </w:pPr>
            <w:r w:rsidRPr="00E14102">
              <w:rPr>
                <w:color w:val="000000" w:themeColor="text1"/>
                <w:sz w:val="16"/>
                <w:szCs w:val="16"/>
              </w:rPr>
              <w:t>39 670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B3C06" w14:textId="77777777" w:rsidR="008F43A8" w:rsidRPr="00E14102" w:rsidRDefault="008F43A8" w:rsidP="00E14102">
            <w:pPr>
              <w:jc w:val="both"/>
              <w:rPr>
                <w:color w:val="000000" w:themeColor="text1"/>
                <w:sz w:val="16"/>
                <w:szCs w:val="16"/>
              </w:rPr>
            </w:pPr>
            <w:r w:rsidRPr="00E14102">
              <w:rPr>
                <w:color w:val="000000" w:themeColor="text1"/>
                <w:sz w:val="16"/>
                <w:szCs w:val="16"/>
              </w:rPr>
              <w:t>39 500</w:t>
            </w:r>
          </w:p>
        </w:tc>
      </w:tr>
      <w:tr w:rsidR="00E3599D" w:rsidRPr="00E14102" w14:paraId="0C9A570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146308" w14:textId="77777777" w:rsidR="008F43A8" w:rsidRPr="00E14102" w:rsidRDefault="008F43A8" w:rsidP="00E14102">
            <w:pPr>
              <w:jc w:val="both"/>
              <w:rPr>
                <w:color w:val="000000" w:themeColor="text1"/>
                <w:sz w:val="16"/>
                <w:szCs w:val="16"/>
              </w:rPr>
            </w:pPr>
            <w:r w:rsidRPr="00E14102">
              <w:rPr>
                <w:color w:val="000000" w:themeColor="text1"/>
                <w:sz w:val="16"/>
                <w:szCs w:val="16"/>
              </w:rPr>
              <w:t>Административные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7EF11" w14:textId="77777777" w:rsidR="008F43A8" w:rsidRPr="00E14102" w:rsidRDefault="008F43A8" w:rsidP="00E14102">
            <w:pPr>
              <w:jc w:val="both"/>
              <w:rPr>
                <w:color w:val="000000" w:themeColor="text1"/>
                <w:sz w:val="16"/>
                <w:szCs w:val="16"/>
              </w:rPr>
            </w:pPr>
            <w:r w:rsidRPr="00E14102">
              <w:rPr>
                <w:color w:val="000000" w:themeColor="text1"/>
                <w:sz w:val="16"/>
                <w:szCs w:val="16"/>
              </w:rPr>
              <w:t>…²*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B2BC2" w14:textId="77777777" w:rsidR="008F43A8" w:rsidRPr="00E14102" w:rsidRDefault="008F43A8" w:rsidP="00E14102">
            <w:pPr>
              <w:jc w:val="both"/>
              <w:rPr>
                <w:color w:val="000000" w:themeColor="text1"/>
                <w:sz w:val="16"/>
                <w:szCs w:val="16"/>
              </w:rPr>
            </w:pPr>
            <w:r w:rsidRPr="00E14102">
              <w:rPr>
                <w:color w:val="000000" w:themeColor="text1"/>
                <w:sz w:val="16"/>
                <w:szCs w:val="16"/>
              </w:rPr>
              <w:t>814,9</w:t>
            </w:r>
          </w:p>
        </w:tc>
      </w:tr>
      <w:tr w:rsidR="00E3599D" w:rsidRPr="00E14102" w14:paraId="30A26B4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090E5F" w14:textId="77777777" w:rsidR="008F43A8" w:rsidRPr="00E14102" w:rsidRDefault="008F43A8" w:rsidP="00E14102">
            <w:pPr>
              <w:jc w:val="both"/>
              <w:rPr>
                <w:color w:val="000000" w:themeColor="text1"/>
                <w:sz w:val="16"/>
                <w:szCs w:val="16"/>
              </w:rPr>
            </w:pPr>
            <w:r w:rsidRPr="00E14102">
              <w:rPr>
                <w:color w:val="000000" w:themeColor="text1"/>
                <w:sz w:val="16"/>
                <w:szCs w:val="16"/>
              </w:rPr>
              <w:t>Подготовка кадров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904CA" w14:textId="77777777" w:rsidR="008F43A8" w:rsidRPr="00E14102" w:rsidRDefault="008F43A8"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98EA6" w14:textId="77777777" w:rsidR="008F43A8" w:rsidRPr="00E14102" w:rsidRDefault="008F43A8" w:rsidP="00E14102">
            <w:pPr>
              <w:jc w:val="both"/>
              <w:rPr>
                <w:color w:val="000000" w:themeColor="text1"/>
                <w:sz w:val="16"/>
                <w:szCs w:val="16"/>
              </w:rPr>
            </w:pPr>
            <w:r w:rsidRPr="00E14102">
              <w:rPr>
                <w:color w:val="000000" w:themeColor="text1"/>
                <w:sz w:val="16"/>
                <w:szCs w:val="16"/>
              </w:rPr>
              <w:t> </w:t>
            </w:r>
          </w:p>
        </w:tc>
      </w:tr>
      <w:tr w:rsidR="00E3599D" w:rsidRPr="00E14102" w14:paraId="14F37BB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F9FE5F" w14:textId="77777777" w:rsidR="008F43A8" w:rsidRPr="00E14102" w:rsidRDefault="008F43A8" w:rsidP="00E14102">
            <w:pPr>
              <w:jc w:val="both"/>
              <w:rPr>
                <w:color w:val="000000" w:themeColor="text1"/>
                <w:sz w:val="16"/>
                <w:szCs w:val="16"/>
              </w:rPr>
            </w:pPr>
            <w:r w:rsidRPr="00E14102">
              <w:rPr>
                <w:color w:val="000000" w:themeColor="text1"/>
                <w:sz w:val="16"/>
                <w:szCs w:val="16"/>
              </w:rPr>
              <w:t>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06737" w14:textId="77777777" w:rsidR="008F43A8" w:rsidRPr="00E14102" w:rsidRDefault="008F43A8" w:rsidP="00E14102">
            <w:pPr>
              <w:jc w:val="both"/>
              <w:rPr>
                <w:color w:val="000000" w:themeColor="text1"/>
                <w:sz w:val="16"/>
                <w:szCs w:val="16"/>
              </w:rPr>
            </w:pPr>
            <w:r w:rsidRPr="00E14102">
              <w:rPr>
                <w:color w:val="000000" w:themeColor="text1"/>
                <w:sz w:val="16"/>
                <w:szCs w:val="16"/>
              </w:rPr>
              <w:t>2028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4879D" w14:textId="77777777" w:rsidR="008F43A8" w:rsidRPr="00E14102" w:rsidRDefault="008F43A8" w:rsidP="00E14102">
            <w:pPr>
              <w:jc w:val="both"/>
              <w:rPr>
                <w:color w:val="000000" w:themeColor="text1"/>
                <w:sz w:val="16"/>
                <w:szCs w:val="16"/>
              </w:rPr>
            </w:pPr>
            <w:r w:rsidRPr="00E14102">
              <w:rPr>
                <w:color w:val="000000" w:themeColor="text1"/>
                <w:sz w:val="16"/>
                <w:szCs w:val="16"/>
              </w:rPr>
              <w:t>1438</w:t>
            </w:r>
          </w:p>
        </w:tc>
      </w:tr>
      <w:tr w:rsidR="00E3599D" w:rsidRPr="00E14102" w14:paraId="14A0A3D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DCC6E8" w14:textId="77777777" w:rsidR="008F43A8" w:rsidRPr="00E14102" w:rsidRDefault="008F43A8" w:rsidP="00E14102">
            <w:pPr>
              <w:jc w:val="both"/>
              <w:rPr>
                <w:color w:val="000000" w:themeColor="text1"/>
                <w:sz w:val="16"/>
                <w:szCs w:val="16"/>
              </w:rPr>
            </w:pPr>
            <w:r w:rsidRPr="00E14102">
              <w:rPr>
                <w:color w:val="000000" w:themeColor="text1"/>
                <w:sz w:val="16"/>
                <w:szCs w:val="16"/>
              </w:rPr>
              <w:t>Контингент обучающихся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7A66C" w14:textId="77777777" w:rsidR="008F43A8" w:rsidRPr="00E14102" w:rsidRDefault="008F43A8" w:rsidP="00E14102">
            <w:pPr>
              <w:jc w:val="both"/>
              <w:rPr>
                <w:color w:val="000000" w:themeColor="text1"/>
                <w:sz w:val="16"/>
                <w:szCs w:val="16"/>
              </w:rPr>
            </w:pPr>
            <w:r w:rsidRPr="00E14102">
              <w:rPr>
                <w:color w:val="000000" w:themeColor="text1"/>
                <w:sz w:val="16"/>
                <w:szCs w:val="16"/>
              </w:rPr>
              <w:t>4464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8458A" w14:textId="77777777" w:rsidR="008F43A8" w:rsidRPr="00E14102" w:rsidRDefault="008F43A8" w:rsidP="00E14102">
            <w:pPr>
              <w:jc w:val="both"/>
              <w:rPr>
                <w:color w:val="000000" w:themeColor="text1"/>
                <w:sz w:val="16"/>
                <w:szCs w:val="16"/>
              </w:rPr>
            </w:pPr>
            <w:r w:rsidRPr="00E14102">
              <w:rPr>
                <w:color w:val="000000" w:themeColor="text1"/>
                <w:sz w:val="16"/>
                <w:szCs w:val="16"/>
              </w:rPr>
              <w:t>4000</w:t>
            </w:r>
          </w:p>
        </w:tc>
      </w:tr>
    </w:tbl>
    <w:p w14:paraId="71BA2760"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Учитывая большое недоснабжение треста сырьем — цветными металлами (по меди — 36%, по цинку — 43% и по свинцу — 77%) программа в целом по тресту выполнена на 93,9%, что достигнуто за счет замены недостающего цветного металла железом и плакировкой, — признать работу треста удовлетворительной.</w:t>
      </w:r>
    </w:p>
    <w:p w14:paraId="0D857787"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Замена цветных металлов железом и плакировкой дала возможность сэкономить дефицитных цветных металлов за 1934 г.: по меди — 2675 т, цинка — 1340 т, никеля — 216 т.</w:t>
      </w:r>
    </w:p>
    <w:p w14:paraId="54472E03" w14:textId="77777777" w:rsidR="008F43A8" w:rsidRPr="00E14102" w:rsidRDefault="008F43A8" w:rsidP="00E14102">
      <w:pPr>
        <w:jc w:val="both"/>
        <w:rPr>
          <w:color w:val="000000" w:themeColor="text1"/>
          <w:sz w:val="16"/>
          <w:szCs w:val="16"/>
        </w:rPr>
      </w:pPr>
      <w:r w:rsidRPr="00E14102">
        <w:rPr>
          <w:color w:val="000000" w:themeColor="text1"/>
          <w:sz w:val="16"/>
          <w:szCs w:val="16"/>
        </w:rPr>
        <w:t>VI. Мобилизация внутренних ресурсов</w:t>
      </w:r>
    </w:p>
    <w:p w14:paraId="49BD1D3A" w14:textId="77777777" w:rsidR="008F43A8" w:rsidRPr="00E14102" w:rsidRDefault="008F43A8" w:rsidP="00E14102">
      <w:pPr>
        <w:jc w:val="both"/>
        <w:rPr>
          <w:color w:val="000000" w:themeColor="text1"/>
          <w:sz w:val="16"/>
          <w:szCs w:val="16"/>
        </w:rPr>
      </w:pPr>
      <w:r w:rsidRPr="00E14102">
        <w:rPr>
          <w:color w:val="000000" w:themeColor="text1"/>
          <w:sz w:val="16"/>
          <w:szCs w:val="16"/>
        </w:rPr>
        <w:t>Предположено реализовать материальных ценностей по плану на 345 тыс. руб., фактически реализовано на 4984 тыс. руб.³*</w:t>
      </w:r>
    </w:p>
    <w:p w14:paraId="771728BD" w14:textId="77777777" w:rsidR="008F43A8" w:rsidRPr="00E14102" w:rsidRDefault="008F43A8" w:rsidP="00E14102">
      <w:pPr>
        <w:jc w:val="both"/>
        <w:rPr>
          <w:color w:val="000000" w:themeColor="text1"/>
          <w:sz w:val="16"/>
          <w:szCs w:val="16"/>
        </w:rPr>
      </w:pPr>
      <w:r w:rsidRPr="00E14102">
        <w:rPr>
          <w:color w:val="000000" w:themeColor="text1"/>
          <w:sz w:val="16"/>
          <w:szCs w:val="16"/>
        </w:rPr>
        <w:t>VII. Результаты</w:t>
      </w:r>
    </w:p>
    <w:p w14:paraId="4E82BF5D"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По плану убыток — 2200 тыс. руб., фактически — 3480 тыс. руб.</w:t>
      </w:r>
    </w:p>
    <w:p w14:paraId="08F4316C"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Главнейшие статьи потерь</w:t>
      </w:r>
    </w:p>
    <w:p w14:paraId="1B18BF86"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а) Потери от реализации — 1719 [тыс. руб.], б) отчисления в фонды в распоряжение предприятий — 1210 [тыс. руб.], в) потери от ликвидации основных средств — 298,6 [тыс. руб.], г) расходы по опытам, не давшим результаты — 128,7 [тыс. руб.], д) потери от списания долгов за истечением срока давности 182 [тыс. руб.], е) потери от списания безнадежных долгов — 303,7 [тыс. руб.], ж) потери по операциям прошлых лет — 586,2 [тыс. руб.].</w:t>
      </w:r>
    </w:p>
    <w:p w14:paraId="1F782F81"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В числе потерь от списания долгов за истечением исковой давности и потерь от списания безнадежных долгов значительную долю занимают потери завода № 46 (236 тыс. руб.) на котором до 1934 г. слабо было поставлено дело со взысканием этой задолженности — финчасти не было, главный бухгалтер был недостаточно опытный. В 1934 г. на этом заводе была проведена серьезная работа по упорядочению финансовой работы и учета — организована финансовая часть, произведена смена главного бухгалтера и т. д.</w:t>
      </w:r>
    </w:p>
    <w:p w14:paraId="60C327B3"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Главнейшей статьей по операциям прошлых лет является пересчет продукции, реализованной в прошлом году.</w:t>
      </w:r>
    </w:p>
    <w:p w14:paraId="39D6F4F0"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Предложения</w:t>
      </w:r>
    </w:p>
    <w:p w14:paraId="067F7F25"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lastRenderedPageBreak/>
        <w:t>I. Усилить работу по дальнейшей замене цветных металлов плакировкой и железом, не снижая качества изделий, особенно это относится к производству ревпатронов и мелкокалиберных патронов, каковые перевести в 1935 г. на валовый выпуск из плакировки и железа.</w:t>
      </w:r>
    </w:p>
    <w:p w14:paraId="643D6DC1"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II. Поработать вопрос в первом квартале 1935 г. по установлению правильности технологического процесса на основе машинного времени как по военному, так и по мирному производствам.</w:t>
      </w:r>
    </w:p>
    <w:p w14:paraId="23A8719D"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III. Усилить научно-исследовательскую работу на новые виды изделий, обратив особое внимание на производство специальных патронов.</w:t>
      </w:r>
    </w:p>
    <w:p w14:paraId="101B481D"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IV. Поднять на должную высоту работу опытного завода № 54, не замедляя переноса освоенных изделий на валовое производство.</w:t>
      </w:r>
    </w:p>
    <w:p w14:paraId="01AA3D3B"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V. Провести в 1935 г. мероприятия по организации рабочего места.</w:t>
      </w:r>
    </w:p>
    <w:p w14:paraId="7AFBB8DA"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VI. Одновременно с расширением производства из плакировки и железа добиться снижения брака, усилив контроль на переходах в заготовительных и обрабатывающих цехах.</w:t>
      </w:r>
    </w:p>
    <w:p w14:paraId="25EF7AC9"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VII. При пересмотре технологического процесса предусматривать максимальное применение твердых сплавов по выработке инструментов.</w:t>
      </w:r>
    </w:p>
    <w:p w14:paraId="6F462C23" w14:textId="77777777" w:rsidR="008F43A8" w:rsidRPr="00E14102" w:rsidRDefault="008F43A8" w:rsidP="00E14102">
      <w:pPr>
        <w:pStyle w:val="rtejustify"/>
        <w:spacing w:before="0" w:after="0"/>
        <w:rPr>
          <w:color w:val="000000" w:themeColor="text1"/>
          <w:sz w:val="16"/>
          <w:szCs w:val="16"/>
        </w:rPr>
      </w:pPr>
      <w:r w:rsidRPr="00E14102">
        <w:rPr>
          <w:color w:val="000000" w:themeColor="text1"/>
          <w:sz w:val="16"/>
          <w:szCs w:val="16"/>
        </w:rPr>
        <w:t>VIII. Для поднятия производительности труда в производстве, за исключением работ со взрывчатыми веществами, внедрять прогрессивно-премиальную оплату труда.</w:t>
      </w:r>
    </w:p>
    <w:p w14:paraId="7218209D" w14:textId="77777777" w:rsidR="008F43A8" w:rsidRPr="00E14102" w:rsidRDefault="008F43A8"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22A82870" w14:textId="77777777" w:rsidR="008F43A8" w:rsidRPr="00E14102" w:rsidRDefault="008F43A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¹*Датируется по помете на документе.</w:t>
      </w:r>
    </w:p>
    <w:p w14:paraId="28241ED7" w14:textId="77777777" w:rsidR="008F43A8" w:rsidRPr="00E14102" w:rsidRDefault="008F43A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²*</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Текст поврежден.</w:t>
      </w:r>
    </w:p>
    <w:p w14:paraId="0CBFE2E5" w14:textId="77777777" w:rsidR="008F43A8" w:rsidRPr="00E14102" w:rsidRDefault="008F43A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³*</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Опущен подраздел «Оборотные средства».</w:t>
      </w:r>
    </w:p>
    <w:p w14:paraId="387014ED" w14:textId="77777777" w:rsidR="008F43A8" w:rsidRPr="00E14102" w:rsidRDefault="008F43A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8178. Оп. 1. Д. 309. Л. 90-94. Копия (15335).</w:t>
      </w:r>
    </w:p>
    <w:p w14:paraId="3EDFA89B" w14:textId="77777777" w:rsidR="008F43A8" w:rsidRPr="00E14102" w:rsidRDefault="008F43A8" w:rsidP="00E14102">
      <w:pPr>
        <w:jc w:val="both"/>
        <w:rPr>
          <w:color w:val="000000" w:themeColor="text1"/>
          <w:sz w:val="16"/>
          <w:szCs w:val="16"/>
        </w:rPr>
      </w:pPr>
    </w:p>
    <w:p w14:paraId="25541A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января 1935 Нач. НТО АБТУ РККА Лебедев утвердил новые ТТТ на установку РС на БТ-5 - хотели поставить на штатной башне РС-132 (3880,15).</w:t>
      </w:r>
    </w:p>
    <w:p w14:paraId="2683B295" w14:textId="77777777" w:rsidR="00D4105E" w:rsidRPr="00E14102" w:rsidRDefault="00D4105E" w:rsidP="00E14102">
      <w:pPr>
        <w:autoSpaceDE w:val="0"/>
        <w:autoSpaceDN w:val="0"/>
        <w:adjustRightInd w:val="0"/>
        <w:jc w:val="both"/>
        <w:rPr>
          <w:color w:val="000000" w:themeColor="text1"/>
          <w:sz w:val="16"/>
          <w:szCs w:val="16"/>
        </w:rPr>
      </w:pPr>
    </w:p>
    <w:p w14:paraId="2566C756" w14:textId="77777777" w:rsidR="008F43A8" w:rsidRPr="00E14102" w:rsidRDefault="008F43A8" w:rsidP="00E14102">
      <w:pPr>
        <w:jc w:val="both"/>
        <w:rPr>
          <w:color w:val="000000" w:themeColor="text1"/>
          <w:sz w:val="16"/>
          <w:szCs w:val="16"/>
        </w:rPr>
      </w:pPr>
      <w:r w:rsidRPr="00E14102">
        <w:rPr>
          <w:color w:val="000000" w:themeColor="text1"/>
          <w:sz w:val="16"/>
          <w:szCs w:val="16"/>
        </w:rPr>
        <w:t xml:space="preserve">29 января 1935 г. начальник НТО АБТУ РККА утвердил новые ТТТ, предъявляемые к ракетным </w:t>
      </w:r>
      <w:hyperlink r:id="rId24" w:tgtFrame="_blank" w:history="1">
        <w:r w:rsidRPr="00E14102">
          <w:rPr>
            <w:color w:val="000000" w:themeColor="text1"/>
            <w:sz w:val="16"/>
            <w:szCs w:val="16"/>
          </w:rPr>
          <w:t>танк</w:t>
        </w:r>
      </w:hyperlink>
      <w:r w:rsidRPr="00E14102">
        <w:rPr>
          <w:color w:val="000000" w:themeColor="text1"/>
          <w:sz w:val="16"/>
          <w:szCs w:val="16"/>
        </w:rPr>
        <w:t xml:space="preserve">ам. Согласно новым ТТТ в качестве дополнительного вооружения на штатной башне </w:t>
      </w:r>
      <w:hyperlink r:id="rId25" w:tgtFrame="_blank" w:history="1">
        <w:r w:rsidRPr="00E14102">
          <w:rPr>
            <w:color w:val="000000" w:themeColor="text1"/>
            <w:sz w:val="16"/>
            <w:szCs w:val="16"/>
          </w:rPr>
          <w:t>танк</w:t>
        </w:r>
      </w:hyperlink>
      <w:r w:rsidRPr="00E14102">
        <w:rPr>
          <w:color w:val="000000" w:themeColor="text1"/>
          <w:sz w:val="16"/>
          <w:szCs w:val="16"/>
        </w:rPr>
        <w:t>а БТ-5 необходимо было установить 132-мм реактивную орудийную установку, состоящую из двух «орудий» (направляющих). Причем в требованиях особо подчеркивалось, что «установка должна допускать круговой обстрел на дальности до 4-х км. Придание углов возвышения для установок — раздельное. Наружные части изготовить с учетом непоражаемости от пуль огня противника» (15628).</w:t>
      </w:r>
    </w:p>
    <w:p w14:paraId="72F9F379" w14:textId="77777777" w:rsidR="008F43A8" w:rsidRPr="00E14102" w:rsidRDefault="008F43A8" w:rsidP="00E14102">
      <w:pPr>
        <w:jc w:val="both"/>
        <w:rPr>
          <w:color w:val="000000" w:themeColor="text1"/>
          <w:sz w:val="16"/>
          <w:szCs w:val="16"/>
        </w:rPr>
      </w:pPr>
    </w:p>
    <w:p w14:paraId="79FE62DD" w14:textId="77777777" w:rsidR="008F43A8" w:rsidRPr="00E14102" w:rsidRDefault="008F43A8" w:rsidP="00E14102">
      <w:pPr>
        <w:pStyle w:val="rtejustify"/>
        <w:spacing w:before="0" w:after="0"/>
        <w:rPr>
          <w:color w:val="000000" w:themeColor="text1"/>
          <w:sz w:val="16"/>
          <w:szCs w:val="16"/>
        </w:rPr>
      </w:pPr>
      <w:r w:rsidRPr="00E14102">
        <w:rPr>
          <w:rStyle w:val="a6"/>
          <w:bCs/>
          <w:i w:val="0"/>
          <w:color w:val="000000" w:themeColor="text1"/>
          <w:sz w:val="16"/>
          <w:szCs w:val="16"/>
        </w:rPr>
        <w:t>29 января 1935 вышел приказ НКТП № 15с.</w:t>
      </w:r>
      <w:r w:rsidRPr="00E14102">
        <w:rPr>
          <w:color w:val="000000" w:themeColor="text1"/>
          <w:sz w:val="16"/>
          <w:szCs w:val="16"/>
        </w:rPr>
        <w:t xml:space="preserve"> О переименовании завода «Дальсельмаш» в «Механический завод № 106 им. Молотова». (РГАЭ. Ф. 7297. Оп. 38. Д. 171. Л. 28) (15246).</w:t>
      </w:r>
    </w:p>
    <w:p w14:paraId="2F23A682" w14:textId="77777777" w:rsidR="008F43A8" w:rsidRPr="00E14102" w:rsidRDefault="008F43A8" w:rsidP="00E14102">
      <w:pPr>
        <w:pStyle w:val="rtejustify"/>
        <w:spacing w:before="0" w:after="0"/>
        <w:rPr>
          <w:color w:val="000000" w:themeColor="text1"/>
          <w:sz w:val="16"/>
          <w:szCs w:val="16"/>
        </w:rPr>
      </w:pPr>
    </w:p>
    <w:p w14:paraId="05B78433" w14:textId="77777777" w:rsidR="00A919F0" w:rsidRPr="00E14102" w:rsidRDefault="00A919F0"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C574A21" w14:textId="77777777" w:rsidR="00A919F0" w:rsidRPr="00E14102" w:rsidRDefault="00A919F0" w:rsidP="00E14102">
      <w:pPr>
        <w:autoSpaceDE w:val="0"/>
        <w:autoSpaceDN w:val="0"/>
        <w:adjustRightInd w:val="0"/>
        <w:jc w:val="both"/>
        <w:rPr>
          <w:iCs/>
          <w:color w:val="000000" w:themeColor="text1"/>
          <w:sz w:val="16"/>
          <w:szCs w:val="16"/>
        </w:rPr>
      </w:pPr>
    </w:p>
    <w:p w14:paraId="6BC3B744" w14:textId="77777777" w:rsidR="00A919F0" w:rsidRPr="00E14102" w:rsidRDefault="00A919F0"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30 января 1935, после рекордного полета на высоту 22 000 метров, погиб экипаж стратостата «Осоавиахим-1». Кинохроникеры запечатлели, а газетчики подробно описали, сначала как этот летательный аппарат стартовал, а потом – о похоронах погибших аэронавтов. Вслед за этим Совет Народных Комиссаров СССР принял решение: «Запретить публиковать в ТАСС и нашей прессе какие-либо данные о полетах в стратосферу, а равно о самом стратостате впредь до особого на то разрешения СНК» (19613).</w:t>
      </w:r>
    </w:p>
    <w:p w14:paraId="4E5A9F77" w14:textId="77777777" w:rsidR="00A919F0" w:rsidRPr="00E14102" w:rsidRDefault="00A919F0" w:rsidP="00E14102">
      <w:pPr>
        <w:jc w:val="both"/>
        <w:rPr>
          <w:color w:val="000000" w:themeColor="text1"/>
          <w:sz w:val="16"/>
          <w:szCs w:val="16"/>
        </w:rPr>
      </w:pPr>
    </w:p>
    <w:p w14:paraId="452796A8" w14:textId="77777777" w:rsidR="00C6280D" w:rsidRPr="00E14102" w:rsidRDefault="00C6280D"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ACB725E" w14:textId="77777777" w:rsidR="00C6280D" w:rsidRPr="00E14102" w:rsidRDefault="00C6280D" w:rsidP="00E14102">
      <w:pPr>
        <w:autoSpaceDE w:val="0"/>
        <w:autoSpaceDN w:val="0"/>
        <w:adjustRightInd w:val="0"/>
        <w:jc w:val="both"/>
        <w:rPr>
          <w:iCs/>
          <w:color w:val="000000" w:themeColor="text1"/>
          <w:sz w:val="16"/>
          <w:szCs w:val="16"/>
        </w:rPr>
      </w:pPr>
    </w:p>
    <w:p w14:paraId="4C3490A3" w14:textId="77777777" w:rsidR="00C6280D" w:rsidRPr="00E14102" w:rsidRDefault="00C6280D" w:rsidP="00E14102">
      <w:pPr>
        <w:jc w:val="both"/>
        <w:rPr>
          <w:color w:val="0070C0"/>
          <w:sz w:val="16"/>
          <w:szCs w:val="16"/>
        </w:rPr>
      </w:pPr>
      <w:r w:rsidRPr="00E14102">
        <w:rPr>
          <w:color w:val="0070C0"/>
          <w:sz w:val="16"/>
          <w:szCs w:val="16"/>
        </w:rPr>
        <w:t>30 января 1935 состоялось заседание ПБ и подписан протокол № 20 за 4-30 января</w:t>
      </w:r>
    </w:p>
    <w:p w14:paraId="179DA5BE" w14:textId="77777777" w:rsidR="00C6280D" w:rsidRPr="00E14102" w:rsidRDefault="00C6280D" w:rsidP="00E14102">
      <w:pPr>
        <w:jc w:val="both"/>
        <w:rPr>
          <w:color w:val="0070C0"/>
          <w:sz w:val="16"/>
          <w:szCs w:val="16"/>
        </w:rPr>
      </w:pPr>
      <w:r w:rsidRPr="00E14102">
        <w:rPr>
          <w:color w:val="0070C0"/>
          <w:sz w:val="16"/>
          <w:szCs w:val="16"/>
        </w:rPr>
        <w:t>9 января 1935 опросом членов ПБ</w:t>
      </w:r>
    </w:p>
    <w:p w14:paraId="15EC2C6A" w14:textId="77777777" w:rsidR="00C6280D" w:rsidRPr="00E14102" w:rsidRDefault="00C6280D" w:rsidP="00E14102">
      <w:pPr>
        <w:jc w:val="both"/>
        <w:rPr>
          <w:color w:val="0070C0"/>
          <w:sz w:val="16"/>
          <w:szCs w:val="16"/>
        </w:rPr>
      </w:pPr>
      <w:r w:rsidRPr="00E14102">
        <w:rPr>
          <w:color w:val="0070C0"/>
          <w:sz w:val="16"/>
          <w:szCs w:val="16"/>
        </w:rPr>
        <w:t>38.- О чacoвой промышленности</w:t>
      </w:r>
    </w:p>
    <w:p w14:paraId="20708F70" w14:textId="77777777" w:rsidR="00C6280D" w:rsidRPr="00E14102" w:rsidRDefault="00C6280D" w:rsidP="00E14102">
      <w:pPr>
        <w:jc w:val="both"/>
        <w:rPr>
          <w:color w:val="0070C0"/>
          <w:sz w:val="16"/>
          <w:szCs w:val="16"/>
        </w:rPr>
      </w:pPr>
      <w:r w:rsidRPr="00E14102">
        <w:rPr>
          <w:color w:val="0070C0"/>
          <w:sz w:val="16"/>
          <w:szCs w:val="16"/>
        </w:rPr>
        <w:t>3) 3акупить за границей оборудование для 2-х новых часовых заводов, поручив т. Орджоникидзе представить в пятидневный срок предложения о необходимых ассигнова</w:t>
      </w:r>
      <w:r w:rsidRPr="00E14102">
        <w:rPr>
          <w:color w:val="0070C0"/>
          <w:sz w:val="16"/>
          <w:szCs w:val="16"/>
        </w:rPr>
        <w:softHyphen/>
        <w:t>ниях, сроках начала и окончания строительства этих двух заводов.</w:t>
      </w:r>
    </w:p>
    <w:p w14:paraId="193B869E" w14:textId="77777777" w:rsidR="00C6280D" w:rsidRPr="00E14102" w:rsidRDefault="00C6280D" w:rsidP="00E14102">
      <w:pPr>
        <w:jc w:val="both"/>
        <w:rPr>
          <w:color w:val="0070C0"/>
          <w:sz w:val="16"/>
          <w:szCs w:val="16"/>
        </w:rPr>
      </w:pPr>
      <w:r w:rsidRPr="00E14102">
        <w:rPr>
          <w:color w:val="0070C0"/>
          <w:sz w:val="16"/>
          <w:szCs w:val="16"/>
        </w:rPr>
        <w:t>Выписки посланы; т .т Орджоникидзе, Мирошникову, Межлауку В., Ежову, Розенгольцу - п.З.</w:t>
      </w:r>
    </w:p>
    <w:p w14:paraId="1BA82774" w14:textId="77777777" w:rsidR="00C6280D" w:rsidRPr="00E14102" w:rsidRDefault="00C6280D" w:rsidP="00E14102">
      <w:pPr>
        <w:jc w:val="both"/>
        <w:rPr>
          <w:color w:val="0070C0"/>
          <w:sz w:val="16"/>
          <w:szCs w:val="16"/>
        </w:rPr>
      </w:pPr>
      <w:r w:rsidRPr="00E14102">
        <w:rPr>
          <w:color w:val="0070C0"/>
          <w:sz w:val="16"/>
          <w:szCs w:val="16"/>
        </w:rPr>
        <w:t>16 января 1935 опросом членов ПБ</w:t>
      </w:r>
    </w:p>
    <w:p w14:paraId="1CFE4EA1" w14:textId="77777777" w:rsidR="00C6280D" w:rsidRPr="00E14102" w:rsidRDefault="00C6280D" w:rsidP="00E14102">
      <w:pPr>
        <w:jc w:val="both"/>
        <w:rPr>
          <w:color w:val="0070C0"/>
          <w:sz w:val="16"/>
          <w:szCs w:val="16"/>
        </w:rPr>
      </w:pPr>
      <w:r w:rsidRPr="00E14102">
        <w:rPr>
          <w:color w:val="0070C0"/>
          <w:sz w:val="16"/>
          <w:szCs w:val="16"/>
        </w:rPr>
        <w:t>57,- О заказах в Италии.</w:t>
      </w:r>
    </w:p>
    <w:p w14:paraId="631B46E2" w14:textId="77777777" w:rsidR="00C6280D" w:rsidRPr="00E14102" w:rsidRDefault="00C6280D" w:rsidP="00E14102">
      <w:pPr>
        <w:jc w:val="both"/>
        <w:rPr>
          <w:color w:val="0070C0"/>
          <w:sz w:val="16"/>
          <w:szCs w:val="16"/>
        </w:rPr>
      </w:pPr>
      <w:r w:rsidRPr="00E14102">
        <w:rPr>
          <w:color w:val="0070C0"/>
          <w:sz w:val="16"/>
          <w:szCs w:val="16"/>
        </w:rPr>
        <w:t>Утвердить следующее решение СТО:</w:t>
      </w:r>
    </w:p>
    <w:p w14:paraId="287B487C" w14:textId="77777777" w:rsidR="00C6280D" w:rsidRPr="00E14102" w:rsidRDefault="00C6280D" w:rsidP="00E14102">
      <w:pPr>
        <w:jc w:val="both"/>
        <w:rPr>
          <w:color w:val="0070C0"/>
          <w:sz w:val="16"/>
          <w:szCs w:val="16"/>
        </w:rPr>
      </w:pPr>
      <w:r w:rsidRPr="00E14102">
        <w:rPr>
          <w:color w:val="0070C0"/>
          <w:sz w:val="16"/>
          <w:szCs w:val="16"/>
        </w:rPr>
        <w:t>Командировать в Италию для проведения консультации разработанного ЦКБС-1 (Главморпром) проекта крейсера у итальянской фирмы Ансальдо следующую группу морских спе</w:t>
      </w:r>
      <w:r w:rsidRPr="00E14102">
        <w:rPr>
          <w:color w:val="0070C0"/>
          <w:sz w:val="16"/>
          <w:szCs w:val="16"/>
        </w:rPr>
        <w:softHyphen/>
        <w:t>циалистов.</w:t>
      </w:r>
    </w:p>
    <w:p w14:paraId="1C98849B" w14:textId="77777777" w:rsidR="00C6280D" w:rsidRPr="00E14102" w:rsidRDefault="00C6280D" w:rsidP="00E14102">
      <w:pPr>
        <w:jc w:val="both"/>
        <w:rPr>
          <w:color w:val="0070C0"/>
          <w:sz w:val="16"/>
          <w:szCs w:val="16"/>
        </w:rPr>
      </w:pPr>
      <w:r w:rsidRPr="00E14102">
        <w:rPr>
          <w:color w:val="0070C0"/>
          <w:sz w:val="16"/>
          <w:szCs w:val="16"/>
        </w:rPr>
        <w:t>1) МАСЛОВА А.И. - главного проектанта крейсера,</w:t>
      </w:r>
    </w:p>
    <w:p w14:paraId="2223F3B2" w14:textId="77777777" w:rsidR="00C6280D" w:rsidRPr="00E14102" w:rsidRDefault="00C6280D" w:rsidP="00E14102">
      <w:pPr>
        <w:jc w:val="both"/>
        <w:rPr>
          <w:color w:val="0070C0"/>
          <w:sz w:val="16"/>
          <w:szCs w:val="16"/>
        </w:rPr>
      </w:pPr>
      <w:r w:rsidRPr="00E14102">
        <w:rPr>
          <w:color w:val="0070C0"/>
          <w:sz w:val="16"/>
          <w:szCs w:val="16"/>
        </w:rPr>
        <w:t>2) ШОПОВА В.Ф. - технического директора Балтийского завода, ответственного за постройку первого крейсера.</w:t>
      </w:r>
    </w:p>
    <w:p w14:paraId="5848AEC8" w14:textId="77777777" w:rsidR="00C6280D" w:rsidRPr="00E14102" w:rsidRDefault="00C6280D" w:rsidP="00E14102">
      <w:pPr>
        <w:jc w:val="both"/>
        <w:rPr>
          <w:color w:val="0070C0"/>
          <w:sz w:val="16"/>
          <w:szCs w:val="16"/>
        </w:rPr>
      </w:pPr>
      <w:r w:rsidRPr="00E14102">
        <w:rPr>
          <w:color w:val="0070C0"/>
          <w:sz w:val="16"/>
          <w:szCs w:val="16"/>
        </w:rPr>
        <w:t>3) БОМЗЕ Р.М. - корабельного инженера, представите</w:t>
      </w:r>
      <w:r w:rsidRPr="00E14102">
        <w:rPr>
          <w:color w:val="0070C0"/>
          <w:sz w:val="16"/>
          <w:szCs w:val="16"/>
        </w:rPr>
        <w:softHyphen/>
        <w:t>ля Управления морских сил.</w:t>
      </w:r>
    </w:p>
    <w:p w14:paraId="7766148E" w14:textId="77777777" w:rsidR="00C6280D" w:rsidRPr="00E14102" w:rsidRDefault="00C6280D" w:rsidP="00E14102">
      <w:pPr>
        <w:jc w:val="both"/>
        <w:rPr>
          <w:color w:val="0070C0"/>
          <w:sz w:val="16"/>
          <w:szCs w:val="16"/>
        </w:rPr>
      </w:pPr>
      <w:r w:rsidRPr="00E14102">
        <w:rPr>
          <w:color w:val="0070C0"/>
          <w:sz w:val="16"/>
          <w:szCs w:val="16"/>
        </w:rPr>
        <w:t>4) АЛЕКСЕ ЕВА Н.Ф. - инженера-конструктора, помощника главного просктировщика крейсера.</w:t>
      </w:r>
    </w:p>
    <w:p w14:paraId="222F8CFD" w14:textId="77777777" w:rsidR="00C6280D" w:rsidRPr="00E14102" w:rsidRDefault="00C6280D" w:rsidP="00E14102">
      <w:pPr>
        <w:jc w:val="both"/>
        <w:rPr>
          <w:color w:val="0070C0"/>
          <w:sz w:val="16"/>
          <w:szCs w:val="16"/>
        </w:rPr>
      </w:pPr>
      <w:r w:rsidRPr="00E14102">
        <w:rPr>
          <w:color w:val="0070C0"/>
          <w:sz w:val="16"/>
          <w:szCs w:val="16"/>
        </w:rPr>
        <w:t>Выписки посланы: т .т. Базиле вину, Ворошилову, Мирошникову, Артузову, Броуну</w:t>
      </w:r>
    </w:p>
    <w:p w14:paraId="15409410" w14:textId="77777777" w:rsidR="00C6280D" w:rsidRPr="00E14102" w:rsidRDefault="00C6280D" w:rsidP="00E14102">
      <w:pPr>
        <w:jc w:val="both"/>
        <w:rPr>
          <w:color w:val="0070C0"/>
          <w:sz w:val="16"/>
          <w:szCs w:val="16"/>
        </w:rPr>
      </w:pPr>
      <w:r w:rsidRPr="00E14102">
        <w:rPr>
          <w:color w:val="0070C0"/>
          <w:sz w:val="16"/>
          <w:szCs w:val="16"/>
        </w:rPr>
        <w:t>72.- Вопрос т. Ворошилова.</w:t>
      </w:r>
    </w:p>
    <w:p w14:paraId="697CEE98" w14:textId="77777777" w:rsidR="00C6280D" w:rsidRPr="00E14102" w:rsidRDefault="00C6280D" w:rsidP="00E14102">
      <w:pPr>
        <w:jc w:val="both"/>
        <w:rPr>
          <w:color w:val="0070C0"/>
          <w:sz w:val="16"/>
          <w:szCs w:val="16"/>
        </w:rPr>
      </w:pPr>
      <w:r w:rsidRPr="00E14102">
        <w:rPr>
          <w:color w:val="0070C0"/>
          <w:sz w:val="16"/>
          <w:szCs w:val="16"/>
        </w:rPr>
        <w:t>Принять следующее предложение т. Ворошилова:</w:t>
      </w:r>
    </w:p>
    <w:p w14:paraId="78DA33AD" w14:textId="77777777" w:rsidR="00C6280D" w:rsidRPr="00E14102" w:rsidRDefault="00C6280D" w:rsidP="00E14102">
      <w:pPr>
        <w:jc w:val="both"/>
        <w:rPr>
          <w:color w:val="0070C0"/>
          <w:sz w:val="16"/>
          <w:szCs w:val="16"/>
        </w:rPr>
      </w:pPr>
      <w:r w:rsidRPr="00E14102">
        <w:rPr>
          <w:color w:val="0070C0"/>
          <w:sz w:val="16"/>
          <w:szCs w:val="16"/>
        </w:rPr>
        <w:t>Считая прилет к нам американской эскадрильи целе</w:t>
      </w:r>
      <w:r w:rsidRPr="00E14102">
        <w:rPr>
          <w:color w:val="0070C0"/>
          <w:sz w:val="16"/>
          <w:szCs w:val="16"/>
        </w:rPr>
        <w:softHyphen/>
        <w:t>сообразным, разрешить НКОборони дать Фэймонвиллу поло</w:t>
      </w:r>
      <w:r w:rsidRPr="00E14102">
        <w:rPr>
          <w:color w:val="0070C0"/>
          <w:sz w:val="16"/>
          <w:szCs w:val="16"/>
        </w:rPr>
        <w:softHyphen/>
        <w:t>жительный ответ, указав, однако, на его неофициальность</w:t>
      </w:r>
    </w:p>
    <w:p w14:paraId="65FD7AB7" w14:textId="77777777" w:rsidR="00C6280D" w:rsidRPr="00E14102" w:rsidRDefault="00C6280D" w:rsidP="00E14102">
      <w:pPr>
        <w:jc w:val="both"/>
        <w:rPr>
          <w:color w:val="0070C0"/>
          <w:sz w:val="16"/>
          <w:szCs w:val="16"/>
        </w:rPr>
      </w:pPr>
      <w:r w:rsidRPr="00E14102">
        <w:rPr>
          <w:color w:val="0070C0"/>
          <w:sz w:val="16"/>
          <w:szCs w:val="16"/>
        </w:rPr>
        <w:t>Выписка послана: тов.Ворошилову.</w:t>
      </w:r>
    </w:p>
    <w:p w14:paraId="4859BCE2" w14:textId="77777777" w:rsidR="00C6280D" w:rsidRPr="00E14102" w:rsidRDefault="00C6280D" w:rsidP="00E14102">
      <w:pPr>
        <w:jc w:val="both"/>
        <w:rPr>
          <w:color w:val="0070C0"/>
          <w:sz w:val="16"/>
          <w:szCs w:val="16"/>
        </w:rPr>
      </w:pPr>
      <w:r w:rsidRPr="00E14102">
        <w:rPr>
          <w:color w:val="0070C0"/>
          <w:sz w:val="16"/>
          <w:szCs w:val="16"/>
        </w:rPr>
        <w:t>26 января 1935 опросом членов ПБ</w:t>
      </w:r>
    </w:p>
    <w:p w14:paraId="35B0145A" w14:textId="77777777" w:rsidR="00C6280D" w:rsidRPr="00E14102" w:rsidRDefault="00C6280D" w:rsidP="00E14102">
      <w:pPr>
        <w:jc w:val="both"/>
        <w:rPr>
          <w:color w:val="0070C0"/>
          <w:sz w:val="16"/>
          <w:szCs w:val="16"/>
        </w:rPr>
      </w:pPr>
      <w:r w:rsidRPr="00E14102">
        <w:rPr>
          <w:color w:val="0070C0"/>
          <w:sz w:val="16"/>
          <w:szCs w:val="16"/>
        </w:rPr>
        <w:t>133,- О перелете Москва - Сан-Франциско.</w:t>
      </w:r>
    </w:p>
    <w:p w14:paraId="3F0989E7" w14:textId="77777777" w:rsidR="00C6280D" w:rsidRPr="00E14102" w:rsidRDefault="00C6280D" w:rsidP="00E14102">
      <w:pPr>
        <w:jc w:val="both"/>
        <w:rPr>
          <w:color w:val="0070C0"/>
          <w:sz w:val="16"/>
          <w:szCs w:val="16"/>
        </w:rPr>
      </w:pPr>
      <w:r w:rsidRPr="00E14102">
        <w:rPr>
          <w:color w:val="0070C0"/>
          <w:sz w:val="16"/>
          <w:szCs w:val="16"/>
        </w:rPr>
        <w:t>1) Считать в порядке предварительном приемломым предложение т.Леваневского о беспосадочном перелете Москва - Сан-Франциско через Северный полюс.</w:t>
      </w:r>
    </w:p>
    <w:p w14:paraId="6BFC2826" w14:textId="77777777" w:rsidR="00C6280D" w:rsidRPr="00E14102" w:rsidRDefault="00C6280D" w:rsidP="00E14102">
      <w:pPr>
        <w:jc w:val="both"/>
        <w:rPr>
          <w:color w:val="0070C0"/>
          <w:sz w:val="16"/>
          <w:szCs w:val="16"/>
        </w:rPr>
      </w:pPr>
      <w:r w:rsidRPr="00E14102">
        <w:rPr>
          <w:color w:val="0070C0"/>
          <w:sz w:val="16"/>
          <w:szCs w:val="16"/>
        </w:rPr>
        <w:t>2) Предложить т.т. Орджоникидзе и Ворошилову помочь т. Леваневскому и предоставить ему возможность ознако</w:t>
      </w:r>
      <w:r w:rsidRPr="00E14102">
        <w:rPr>
          <w:color w:val="0070C0"/>
          <w:sz w:val="16"/>
          <w:szCs w:val="16"/>
        </w:rPr>
        <w:softHyphen/>
        <w:t>миться с самолетом РД.</w:t>
      </w:r>
    </w:p>
    <w:p w14:paraId="439D33B7" w14:textId="77777777" w:rsidR="00C6280D" w:rsidRPr="00E14102" w:rsidRDefault="00C6280D" w:rsidP="00E14102">
      <w:pPr>
        <w:jc w:val="both"/>
        <w:rPr>
          <w:color w:val="0070C0"/>
          <w:sz w:val="16"/>
          <w:szCs w:val="16"/>
        </w:rPr>
      </w:pPr>
      <w:r w:rsidRPr="00E14102">
        <w:rPr>
          <w:color w:val="0070C0"/>
          <w:sz w:val="16"/>
          <w:szCs w:val="16"/>
        </w:rPr>
        <w:t>3) Окончательное решение принять по представлении доклада т.т. Ворошиловым,Орджоникидзе и Леваневским.</w:t>
      </w:r>
    </w:p>
    <w:p w14:paraId="00D5BB57" w14:textId="77777777" w:rsidR="00C6280D" w:rsidRPr="00E14102" w:rsidRDefault="00C6280D" w:rsidP="00E14102">
      <w:pPr>
        <w:jc w:val="both"/>
        <w:rPr>
          <w:color w:val="0070C0"/>
          <w:sz w:val="16"/>
          <w:szCs w:val="16"/>
        </w:rPr>
      </w:pPr>
      <w:r w:rsidRPr="00E14102">
        <w:rPr>
          <w:color w:val="0070C0"/>
          <w:sz w:val="16"/>
          <w:szCs w:val="16"/>
        </w:rPr>
        <w:t>Срок - декада.</w:t>
      </w:r>
    </w:p>
    <w:p w14:paraId="2280B380" w14:textId="77777777" w:rsidR="00C6280D" w:rsidRPr="00E14102" w:rsidRDefault="00C6280D" w:rsidP="00E14102">
      <w:pPr>
        <w:jc w:val="both"/>
        <w:rPr>
          <w:color w:val="0070C0"/>
          <w:sz w:val="16"/>
          <w:szCs w:val="16"/>
        </w:rPr>
      </w:pPr>
      <w:r w:rsidRPr="00E14102">
        <w:rPr>
          <w:color w:val="0070C0"/>
          <w:sz w:val="16"/>
          <w:szCs w:val="16"/>
        </w:rPr>
        <w:t>Выписки посланы: т.т. Ворошилову, Орджоникидзе, Лсваневскому (22925)</w:t>
      </w:r>
    </w:p>
    <w:p w14:paraId="3E730680" w14:textId="77777777" w:rsidR="00C6280D" w:rsidRPr="00E14102" w:rsidRDefault="00C6280D" w:rsidP="00E14102">
      <w:pPr>
        <w:jc w:val="both"/>
        <w:rPr>
          <w:color w:val="0070C0"/>
          <w:sz w:val="16"/>
          <w:szCs w:val="16"/>
        </w:rPr>
      </w:pPr>
    </w:p>
    <w:p w14:paraId="05A48A8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1462040E" w14:textId="77777777" w:rsidR="00D4105E" w:rsidRPr="00E14102" w:rsidRDefault="00D4105E" w:rsidP="00E14102">
      <w:pPr>
        <w:autoSpaceDE w:val="0"/>
        <w:autoSpaceDN w:val="0"/>
        <w:adjustRightInd w:val="0"/>
        <w:jc w:val="both"/>
        <w:rPr>
          <w:iCs/>
          <w:color w:val="000000" w:themeColor="text1"/>
          <w:sz w:val="16"/>
          <w:szCs w:val="16"/>
        </w:rPr>
      </w:pPr>
    </w:p>
    <w:p w14:paraId="0F423F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января 1935 СССР удвоил размер армии до 940 тыс. чел. (2100).</w:t>
      </w:r>
    </w:p>
    <w:p w14:paraId="7B85A80D" w14:textId="77777777" w:rsidR="00D4105E" w:rsidRPr="00E14102" w:rsidRDefault="00D4105E" w:rsidP="00E14102">
      <w:pPr>
        <w:autoSpaceDE w:val="0"/>
        <w:autoSpaceDN w:val="0"/>
        <w:adjustRightInd w:val="0"/>
        <w:jc w:val="both"/>
        <w:rPr>
          <w:color w:val="000000" w:themeColor="text1"/>
          <w:sz w:val="16"/>
          <w:szCs w:val="16"/>
        </w:rPr>
      </w:pPr>
    </w:p>
    <w:p w14:paraId="518CEFA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6D3FB3F" w14:textId="77777777" w:rsidR="00D4105E" w:rsidRPr="00E14102" w:rsidRDefault="00D4105E" w:rsidP="00E14102">
      <w:pPr>
        <w:autoSpaceDE w:val="0"/>
        <w:autoSpaceDN w:val="0"/>
        <w:adjustRightInd w:val="0"/>
        <w:jc w:val="both"/>
        <w:rPr>
          <w:iCs/>
          <w:color w:val="000000" w:themeColor="text1"/>
          <w:sz w:val="16"/>
          <w:szCs w:val="16"/>
        </w:rPr>
      </w:pPr>
    </w:p>
    <w:p w14:paraId="2D5A5E3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31 января 1935 года Начальник управления ВС Алкснис утвердил Тактико-технические требования к бомбардировочному самолету дальнего действия (ТБ7-4М34 ФРН) (6683).</w:t>
      </w:r>
    </w:p>
    <w:p w14:paraId="7EDDB5B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Проектирующая и строящая организация ЦАГИ</w:t>
      </w:r>
    </w:p>
    <w:p w14:paraId="1A90A40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Назначение самолета</w:t>
      </w:r>
    </w:p>
    <w:p w14:paraId="39F1F1F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Бомбардировщик дальнего действия.</w:t>
      </w:r>
    </w:p>
    <w:p w14:paraId="11DC84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Условия работы</w:t>
      </w:r>
    </w:p>
    <w:p w14:paraId="53E2275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днем и ночью при плохих метеоусловиях.</w:t>
      </w:r>
    </w:p>
    <w:p w14:paraId="260B332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над большими водными пространствами.</w:t>
      </w:r>
    </w:p>
    <w:p w14:paraId="16B557A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на предельные радиусы действия с предельной нагрузкой.</w:t>
      </w:r>
    </w:p>
    <w:p w14:paraId="45EF586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преимущественно соединением.</w:t>
      </w:r>
    </w:p>
    <w:p w14:paraId="0A1F92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Летно-тактические данные самолета</w:t>
      </w:r>
    </w:p>
    <w:p w14:paraId="783D86B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Первый вариант самолета</w:t>
      </w:r>
    </w:p>
    <w:p w14:paraId="6B66116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 нормальной полезной нагрузкой 4400 кг должен обладать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2552"/>
      </w:tblGrid>
      <w:tr w:rsidR="00E3599D" w:rsidRPr="00E14102" w14:paraId="3B93E9A3" w14:textId="77777777">
        <w:tc>
          <w:tcPr>
            <w:tcW w:w="8046" w:type="dxa"/>
            <w:tcBorders>
              <w:top w:val="single" w:sz="12" w:space="0" w:color="auto"/>
            </w:tcBorders>
          </w:tcPr>
          <w:p w14:paraId="45B60D5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Максимальная скорость на высоте 4000 м </w:t>
            </w:r>
          </w:p>
        </w:tc>
        <w:tc>
          <w:tcPr>
            <w:tcW w:w="2552" w:type="dxa"/>
            <w:tcBorders>
              <w:top w:val="single" w:sz="12" w:space="0" w:color="auto"/>
            </w:tcBorders>
          </w:tcPr>
          <w:p w14:paraId="742B48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330-350 км/час</w:t>
            </w:r>
          </w:p>
        </w:tc>
      </w:tr>
      <w:tr w:rsidR="00E3599D" w:rsidRPr="00E14102" w14:paraId="7CEBAE3C" w14:textId="77777777">
        <w:tc>
          <w:tcPr>
            <w:tcW w:w="8046" w:type="dxa"/>
          </w:tcPr>
          <w:p w14:paraId="3476E90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Посадочная скорость</w:t>
            </w:r>
          </w:p>
        </w:tc>
        <w:tc>
          <w:tcPr>
            <w:tcW w:w="2552" w:type="dxa"/>
          </w:tcPr>
          <w:p w14:paraId="50D7ABE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90 км/час</w:t>
            </w:r>
          </w:p>
        </w:tc>
      </w:tr>
      <w:tr w:rsidR="00E3599D" w:rsidRPr="00E14102" w14:paraId="745851C8" w14:textId="77777777">
        <w:tc>
          <w:tcPr>
            <w:tcW w:w="8046" w:type="dxa"/>
          </w:tcPr>
          <w:p w14:paraId="78883FC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Дальность полета</w:t>
            </w:r>
          </w:p>
        </w:tc>
        <w:tc>
          <w:tcPr>
            <w:tcW w:w="2552" w:type="dxa"/>
          </w:tcPr>
          <w:p w14:paraId="1E03015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1500 км</w:t>
            </w:r>
          </w:p>
        </w:tc>
      </w:tr>
      <w:tr w:rsidR="00E3599D" w:rsidRPr="00E14102" w14:paraId="3BAD3156" w14:textId="77777777">
        <w:tc>
          <w:tcPr>
            <w:tcW w:w="8046" w:type="dxa"/>
          </w:tcPr>
          <w:p w14:paraId="7B464F4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Сбрасываемый груз</w:t>
            </w:r>
          </w:p>
        </w:tc>
        <w:tc>
          <w:tcPr>
            <w:tcW w:w="2552" w:type="dxa"/>
          </w:tcPr>
          <w:p w14:paraId="535D41A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2000 кг</w:t>
            </w:r>
          </w:p>
        </w:tc>
      </w:tr>
      <w:tr w:rsidR="00E3599D" w:rsidRPr="00E14102" w14:paraId="382F25DB" w14:textId="77777777">
        <w:tc>
          <w:tcPr>
            <w:tcW w:w="8046" w:type="dxa"/>
            <w:tcBorders>
              <w:bottom w:val="single" w:sz="12" w:space="0" w:color="auto"/>
            </w:tcBorders>
          </w:tcPr>
          <w:p w14:paraId="7E4A7F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Практический потолок</w:t>
            </w:r>
          </w:p>
        </w:tc>
        <w:tc>
          <w:tcPr>
            <w:tcW w:w="2552" w:type="dxa"/>
            <w:tcBorders>
              <w:bottom w:val="single" w:sz="12" w:space="0" w:color="auto"/>
            </w:tcBorders>
          </w:tcPr>
          <w:p w14:paraId="0B0ACB8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6000-7000 м</w:t>
            </w:r>
          </w:p>
        </w:tc>
      </w:tr>
    </w:tbl>
    <w:p w14:paraId="03CC094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перегруженном виде самолет должен обладать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2552"/>
      </w:tblGrid>
      <w:tr w:rsidR="00E3599D" w:rsidRPr="00E14102" w14:paraId="466795E3" w14:textId="77777777">
        <w:tc>
          <w:tcPr>
            <w:tcW w:w="8046" w:type="dxa"/>
            <w:tcBorders>
              <w:top w:val="single" w:sz="12" w:space="0" w:color="auto"/>
            </w:tcBorders>
          </w:tcPr>
          <w:p w14:paraId="458D47B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Дальность полета</w:t>
            </w:r>
          </w:p>
        </w:tc>
        <w:tc>
          <w:tcPr>
            <w:tcW w:w="2552" w:type="dxa"/>
            <w:tcBorders>
              <w:top w:val="single" w:sz="12" w:space="0" w:color="auto"/>
            </w:tcBorders>
          </w:tcPr>
          <w:p w14:paraId="5804AC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4000 км</w:t>
            </w:r>
          </w:p>
        </w:tc>
      </w:tr>
      <w:tr w:rsidR="00E3599D" w:rsidRPr="00E14102" w14:paraId="512746D2" w14:textId="77777777">
        <w:tc>
          <w:tcPr>
            <w:tcW w:w="8046" w:type="dxa"/>
            <w:tcBorders>
              <w:bottom w:val="single" w:sz="12" w:space="0" w:color="auto"/>
            </w:tcBorders>
          </w:tcPr>
          <w:p w14:paraId="0EEE00E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Сбрасываемый груз</w:t>
            </w:r>
          </w:p>
        </w:tc>
        <w:tc>
          <w:tcPr>
            <w:tcW w:w="2552" w:type="dxa"/>
            <w:tcBorders>
              <w:bottom w:val="single" w:sz="12" w:space="0" w:color="auto"/>
            </w:tcBorders>
          </w:tcPr>
          <w:p w14:paraId="5BA4824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2000 кг</w:t>
            </w:r>
          </w:p>
        </w:tc>
      </w:tr>
    </w:tbl>
    <w:p w14:paraId="6AD4BC6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Второй вариант самолета</w:t>
      </w:r>
    </w:p>
    <w:p w14:paraId="7E4BCA1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 центральной наддувной станцией должен обладать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2552"/>
      </w:tblGrid>
      <w:tr w:rsidR="00E3599D" w:rsidRPr="00E14102" w14:paraId="528B400F" w14:textId="77777777">
        <w:tc>
          <w:tcPr>
            <w:tcW w:w="8046" w:type="dxa"/>
            <w:tcBorders>
              <w:top w:val="single" w:sz="12" w:space="0" w:color="auto"/>
            </w:tcBorders>
          </w:tcPr>
          <w:p w14:paraId="3C96154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Максимальная скорость на высоте 8-9000 м </w:t>
            </w:r>
          </w:p>
        </w:tc>
        <w:tc>
          <w:tcPr>
            <w:tcW w:w="2552" w:type="dxa"/>
            <w:tcBorders>
              <w:top w:val="single" w:sz="12" w:space="0" w:color="auto"/>
            </w:tcBorders>
          </w:tcPr>
          <w:p w14:paraId="64BA1A2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370-400 км/час</w:t>
            </w:r>
          </w:p>
        </w:tc>
      </w:tr>
      <w:tr w:rsidR="00E3599D" w:rsidRPr="00E14102" w14:paraId="7BBF3053" w14:textId="77777777">
        <w:tc>
          <w:tcPr>
            <w:tcW w:w="8046" w:type="dxa"/>
          </w:tcPr>
          <w:p w14:paraId="4325682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2552" w:type="dxa"/>
          </w:tcPr>
          <w:p w14:paraId="0D1863F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90 км/час</w:t>
            </w:r>
          </w:p>
        </w:tc>
      </w:tr>
      <w:tr w:rsidR="00E3599D" w:rsidRPr="00E14102" w14:paraId="6DEB75CD" w14:textId="77777777">
        <w:tc>
          <w:tcPr>
            <w:tcW w:w="8046" w:type="dxa"/>
          </w:tcPr>
          <w:p w14:paraId="70ADD23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Дальность полета нормальная</w:t>
            </w:r>
          </w:p>
        </w:tc>
        <w:tc>
          <w:tcPr>
            <w:tcW w:w="2552" w:type="dxa"/>
          </w:tcPr>
          <w:p w14:paraId="57658D5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1200 км</w:t>
            </w:r>
          </w:p>
        </w:tc>
      </w:tr>
      <w:tr w:rsidR="00E3599D" w:rsidRPr="00E14102" w14:paraId="1505D6B2" w14:textId="77777777">
        <w:tc>
          <w:tcPr>
            <w:tcW w:w="8046" w:type="dxa"/>
          </w:tcPr>
          <w:p w14:paraId="7D1332B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Дальность полета с перегрузкой (в зависимости от продолжительности полета на больших высотах)</w:t>
            </w:r>
          </w:p>
        </w:tc>
        <w:tc>
          <w:tcPr>
            <w:tcW w:w="2552" w:type="dxa"/>
          </w:tcPr>
          <w:p w14:paraId="648D1FB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3000-3800 км</w:t>
            </w:r>
          </w:p>
        </w:tc>
      </w:tr>
      <w:tr w:rsidR="00E3599D" w:rsidRPr="00E14102" w14:paraId="2A8116CF" w14:textId="77777777">
        <w:tc>
          <w:tcPr>
            <w:tcW w:w="8046" w:type="dxa"/>
          </w:tcPr>
          <w:p w14:paraId="1C0A14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Сбрасываемый груз</w:t>
            </w:r>
          </w:p>
        </w:tc>
        <w:tc>
          <w:tcPr>
            <w:tcW w:w="2552" w:type="dxa"/>
          </w:tcPr>
          <w:p w14:paraId="49CBCC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2000 кг</w:t>
            </w:r>
          </w:p>
        </w:tc>
      </w:tr>
      <w:tr w:rsidR="00E3599D" w:rsidRPr="00E14102" w14:paraId="0765A108" w14:textId="77777777">
        <w:tc>
          <w:tcPr>
            <w:tcW w:w="8046" w:type="dxa"/>
            <w:tcBorders>
              <w:bottom w:val="single" w:sz="12" w:space="0" w:color="auto"/>
            </w:tcBorders>
          </w:tcPr>
          <w:p w14:paraId="3554C8F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Практический потолок</w:t>
            </w:r>
          </w:p>
        </w:tc>
        <w:tc>
          <w:tcPr>
            <w:tcW w:w="2552" w:type="dxa"/>
            <w:tcBorders>
              <w:bottom w:val="single" w:sz="12" w:space="0" w:color="auto"/>
            </w:tcBorders>
          </w:tcPr>
          <w:p w14:paraId="10AE3CF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11000-12000 м</w:t>
            </w:r>
          </w:p>
        </w:tc>
      </w:tr>
    </w:tbl>
    <w:p w14:paraId="60DF66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Примечание: бомбовая нагрузка в 2000 кг калибра от 100 кг до 2000 кг для обоих вариантов самолета с внутренней подвеской.</w:t>
      </w:r>
    </w:p>
    <w:p w14:paraId="756A52F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p w14:paraId="0AFDE45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Выливные приборы для ОВ типа наружных ВАП – 4х500 кг или 2х1000 кг</w:t>
      </w:r>
    </w:p>
    <w:p w14:paraId="492D94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Дымовые приборы для ДВ типа ДАМ – Х – 3 – 4 шт.</w:t>
      </w:r>
    </w:p>
    <w:p w14:paraId="74B91D9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Химические ампулы применяются в РРАБ подвешиваемых на наружных держателях для авиабомб.</w:t>
      </w:r>
    </w:p>
    <w:p w14:paraId="7CB079A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Требования к полетным качествам самолета</w:t>
      </w:r>
    </w:p>
    <w:p w14:paraId="1938C3A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Длина разбега самолета при безветрии не должна превышать 250 м.</w:t>
      </w:r>
    </w:p>
    <w:p w14:paraId="31B5D2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Длина пробега при посадке при действии тормозов не должна превышать 200-250 м.</w:t>
      </w:r>
    </w:p>
    <w:p w14:paraId="276B925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p w14:paraId="64DA056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Требования к конструкции самолета</w:t>
      </w:r>
    </w:p>
    <w:p w14:paraId="1B0ED6B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должен быть выполнен из отечественных материалов стандартного сортамента.</w:t>
      </w:r>
    </w:p>
    <w:p w14:paraId="234F826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Конструкция самолета должна позволять выпускать его заводом в варианте тяжелого крейсера без переделки основных производственных приспособлений.</w:t>
      </w:r>
    </w:p>
    <w:p w14:paraId="3C4A2FB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………………….(6683).</w:t>
      </w:r>
    </w:p>
    <w:p w14:paraId="05153CD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ACC21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января 1935 начальник Управления Воздушных Сил РККА Я.И.Алкснисом утвердил "ТТТ к бомбардировочному самолету дальнего действия ТБ-7 - 4 М-34ФРН". Согласно ТТТ к ТБ-7 выдвигались следующие основные требования, определявшие его лицо как скоростного высотного бомбардировщика класса "летающая крепость":</w:t>
      </w:r>
    </w:p>
    <w:p w14:paraId="243209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 Технические требования</w:t>
      </w:r>
    </w:p>
    <w:p w14:paraId="2EAEFD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Назначение самолета. Бомбардировщик дальнего действия.</w:t>
      </w:r>
    </w:p>
    <w:p w14:paraId="0A3288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Объекты действия.</w:t>
      </w:r>
    </w:p>
    <w:p w14:paraId="4FA88D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Объекты административного и политического значения, расположенные в глубоком тылу противника.</w:t>
      </w:r>
    </w:p>
    <w:p w14:paraId="104826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Промышленные предприятия военного назначения.</w:t>
      </w:r>
    </w:p>
    <w:p w14:paraId="3AFC20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Узловые и крупные железнодорожные станции и мостовые сооружения наиболее жизненных магистралей.</w:t>
      </w:r>
    </w:p>
    <w:p w14:paraId="757205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Государственные и центральные склады, аэродромы и авиабазы, расположенные в глубоком тылу противника.</w:t>
      </w:r>
    </w:p>
    <w:p w14:paraId="32561D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Морские базы, боевые и транспортные корабли в портах и открытом море на пределах радиуса действия бомбардировщика.</w:t>
      </w:r>
    </w:p>
    <w:p w14:paraId="2CA5A5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Переброска десанта до 50 чел. вооруженных бойцов и боевых средств на специальных подвесках.</w:t>
      </w:r>
    </w:p>
    <w:p w14:paraId="69C2BD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Условия работы</w:t>
      </w:r>
    </w:p>
    <w:p w14:paraId="6EE826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Полеты днем и ночью при плохих метеорологических условиях.</w:t>
      </w:r>
    </w:p>
    <w:p w14:paraId="5B1DBF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Полеты над большими водными просторами.</w:t>
      </w:r>
    </w:p>
    <w:p w14:paraId="1F3B39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Полеты на предельные радиусы действия с предельной нагрузкой.</w:t>
      </w:r>
    </w:p>
    <w:p w14:paraId="3E27FF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Полеты преимущественно соединениями.</w:t>
      </w:r>
    </w:p>
    <w:p w14:paraId="1F8C07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Весовые и летно-тактические данные</w:t>
      </w:r>
    </w:p>
    <w:p w14:paraId="5A0E58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Летно-тактические данные:</w:t>
      </w:r>
    </w:p>
    <w:p w14:paraId="73622C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Первый вариант самолета Самолет с нормальным полетным весом должен иметь весовую отдачу 50 %.</w:t>
      </w:r>
    </w:p>
    <w:p w14:paraId="186075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 нормальной полетной нагрузкой - 4400 кг, перечисленной ниже, должен обладать следующими данными:</w:t>
      </w:r>
    </w:p>
    <w:p w14:paraId="479501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Максимальной скоростью на высоте 4000 м - 330-350 км/ч.</w:t>
      </w:r>
    </w:p>
    <w:p w14:paraId="3A6A9A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Посадочной скоростью - 90 км/ч.</w:t>
      </w:r>
    </w:p>
    <w:p w14:paraId="26B522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Дальностью полета - 1500 км/ч.</w:t>
      </w:r>
    </w:p>
    <w:p w14:paraId="0E0C60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Сбрасываемым грузом 2000 кг.</w:t>
      </w:r>
    </w:p>
    <w:p w14:paraId="0BF08C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Практическим потолком 6000-7000 м.</w:t>
      </w:r>
    </w:p>
    <w:p w14:paraId="2647B0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перегрузочном виде самолет должен обладать следующими данными:</w:t>
      </w:r>
    </w:p>
    <w:p w14:paraId="274CD6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Дальностью полета - 4000 км</w:t>
      </w:r>
    </w:p>
    <w:p w14:paraId="49C37A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Сбрасываемым грузом - 2000 кг 2. Второй вариант самолета Самолет с центральной наддувной станцией должен обладать следующими данными:</w:t>
      </w:r>
    </w:p>
    <w:p w14:paraId="6B3CEE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а)Максимальной скоростью на высоте 8000-9000 м - 370-400 км/ч.</w:t>
      </w:r>
    </w:p>
    <w:p w14:paraId="1BA33A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Посадочной скоростью - 90 км/ч</w:t>
      </w:r>
    </w:p>
    <w:p w14:paraId="6009C6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Практическим потолком 11000-12000м.</w:t>
      </w:r>
    </w:p>
    <w:p w14:paraId="720A6A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Дальностью полета нормальной 1200 км.</w:t>
      </w:r>
    </w:p>
    <w:p w14:paraId="14A725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Дальностью полета с перегрузкой (в зависимости от продолжительности полета на большой высоте) -3000-3800 км.</w:t>
      </w:r>
    </w:p>
    <w:p w14:paraId="6B5C3D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 Бомбовая нагрузка в 2000 кг калибра от 100 кг до 2000 кг для обоих вариантов самолета с внутренней подвеской.</w:t>
      </w:r>
    </w:p>
    <w:p w14:paraId="4CB31C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Перечень вооружения и оборудования самолета</w:t>
      </w:r>
    </w:p>
    <w:p w14:paraId="0E517F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обоих вариантах самолета экипаж 8 чел.</w:t>
      </w:r>
    </w:p>
    <w:p w14:paraId="67830D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Командир корабля, он же штурман-бомбардир - 1 чел.</w:t>
      </w:r>
    </w:p>
    <w:p w14:paraId="299E5F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Летчиков - 2 чел.</w:t>
      </w:r>
    </w:p>
    <w:p w14:paraId="3BC95D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Радист - 1 чел.</w:t>
      </w:r>
    </w:p>
    <w:p w14:paraId="370AF4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Бортовых техников - 1 чел.</w:t>
      </w:r>
    </w:p>
    <w:p w14:paraId="3A604D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Стрелков-артиллеристов - 3 чел.</w:t>
      </w:r>
    </w:p>
    <w:p w14:paraId="1B8AF0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Стрелково-артиллерийское вооружение и оборудование:</w:t>
      </w:r>
    </w:p>
    <w:p w14:paraId="3C4ADA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 огневая точка.</w:t>
      </w:r>
    </w:p>
    <w:p w14:paraId="1EB4A3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Носовая шаровая электрифицированная башня под ШВАК -20 для обстрела передней полусферы, боекомплект - 250 снарядов, (электрификация огневых точек должна была внедряться по мере развития и отработки систем, рассматривался вариант с механическим приводом)</w:t>
      </w:r>
    </w:p>
    <w:p w14:paraId="12F222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2-я огневая точка.</w:t>
      </w:r>
    </w:p>
    <w:p w14:paraId="6E2BD5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Средняя экранированная и электрифицированная установка под ШВАК-20для обстрела верхней полусферы, боекомплект - 200 снарядов.</w:t>
      </w:r>
    </w:p>
    <w:p w14:paraId="22B4E5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3-я огневая точка.</w:t>
      </w:r>
    </w:p>
    <w:p w14:paraId="10CF47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Хвостовая экранированная и электрифицированная установка под ШВАК-20 для обстрела задней полусферы, боекомплект - 150 снарядов.</w:t>
      </w:r>
    </w:p>
    <w:p w14:paraId="7AFE52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2-я и 3-я огневые точки могут быть заменены на спаренные пулеметы LUKAC с боекомплетом на установку -1500 патронов.</w:t>
      </w:r>
    </w:p>
    <w:p w14:paraId="09B4B1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4-я огневая установка.</w:t>
      </w:r>
    </w:p>
    <w:p w14:paraId="740DFC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Люковая установка в фюзеляже под пулемет ШКАС для обстрела вниз, боекомплект - 1000 патронов.</w:t>
      </w:r>
    </w:p>
    <w:p w14:paraId="57A02E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Требования к приводам огневых установок</w:t>
      </w:r>
    </w:p>
    <w:p w14:paraId="3712C8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Скорость переноса огня:</w:t>
      </w:r>
    </w:p>
    <w:p w14:paraId="66A061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 горизонтальной плоскости в 1 сек. - 70 град.</w:t>
      </w:r>
    </w:p>
    <w:p w14:paraId="31BEE7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 вертикальной плоскости в 1 сек. - 25 град. При этом максимальное усилие стрелка при механическом приводе огневой установки не должно превосходить 5 кг.</w:t>
      </w:r>
    </w:p>
    <w:p w14:paraId="03C510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Бомбардировочное вооружение и оборудование.</w:t>
      </w:r>
    </w:p>
    <w:p w14:paraId="3A2015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Бомбы калибра от 50 кг до 1000 кг с внутренней подвеской, общим весом 2000 кг. Бомбы пристрелочные и светящиеся. Механические бомбосбра-сыватели СБР-9. Электрические бом-босбрасыватели ЭСБР-2. Оптический бомбардировочный прицел ОПБ-1 или С-4. Предусматривается вариант химического вооружения" (7685).</w:t>
      </w:r>
    </w:p>
    <w:p w14:paraId="7BEC60B7" w14:textId="77777777" w:rsidR="00D4105E" w:rsidRPr="00E14102" w:rsidRDefault="00D4105E" w:rsidP="00E14102">
      <w:pPr>
        <w:autoSpaceDE w:val="0"/>
        <w:autoSpaceDN w:val="0"/>
        <w:adjustRightInd w:val="0"/>
        <w:jc w:val="both"/>
        <w:rPr>
          <w:color w:val="000000" w:themeColor="text1"/>
          <w:sz w:val="16"/>
          <w:szCs w:val="16"/>
        </w:rPr>
      </w:pPr>
    </w:p>
    <w:p w14:paraId="364748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января 1935 начальник ВВС РККА Я.И. Алкснис утвердил новое задание, в котором ТБ-7 рассматривался как тяжёлый бомбардировщик с возможностью использования его в качестве транспортного самолёта (перевозка до 50 человек десанта). В задании фигурировали два варианта: с четырьмя М-34ФРН без агрегата центрального наддува и с "центральной наддувной станцией". В первом случае от ТБ-7 требовались максимальная скорость 330 - 350 км/ч, потолок 6000 - 7000 м, нормальная дальность полёта 1500 км и максимальная - 4000 км. Во втором данные существенно повышались: скорость 370 - 400 км/ч, потолок 11 000 - 12 000 м, но нормальная дальность уменьшалась до 1200 км, а максимальная - до 3000 - 3800 км. Остальные требования - общие для обоих вариантов. Экипаж - восемь человек, бомбовая нагрузка - 2000 кг (бомбы калибра от 100 до 1000 кг). Вместо бомб самолёт мог нести химические выливные приборы. Предусматривалось наличие бомбового прицела ОПБ-1, электробомбосбрасывателя ЭСБР-2 и механического сбрасывателя СБР-9. Вооружение планировалось из трёх 20-мм пушек ШBAK в носовой, хвостовой и верхней установках и люкового 7,62-мм пулемёта ШКАС, стрелявшего вниз-назад. Пушечные установки предполагалось электрифицировать. Вместо пушек в хвостовой и верхней башнях могли устанавливаться спаренные пулемёты ШKAC (11996).</w:t>
      </w:r>
    </w:p>
    <w:p w14:paraId="67BA6E4D" w14:textId="77777777" w:rsidR="00D4105E" w:rsidRPr="00E14102" w:rsidRDefault="00D4105E" w:rsidP="00E14102">
      <w:pPr>
        <w:autoSpaceDE w:val="0"/>
        <w:autoSpaceDN w:val="0"/>
        <w:adjustRightInd w:val="0"/>
        <w:jc w:val="both"/>
        <w:rPr>
          <w:color w:val="000000" w:themeColor="text1"/>
          <w:sz w:val="16"/>
          <w:szCs w:val="16"/>
        </w:rPr>
      </w:pPr>
    </w:p>
    <w:p w14:paraId="76267F0C" w14:textId="77777777" w:rsidR="00493FC3" w:rsidRPr="00E14102" w:rsidRDefault="00493FC3" w:rsidP="00E14102">
      <w:pPr>
        <w:jc w:val="both"/>
        <w:rPr>
          <w:color w:val="000000" w:themeColor="text1"/>
          <w:sz w:val="16"/>
          <w:szCs w:val="16"/>
        </w:rPr>
      </w:pPr>
      <w:r w:rsidRPr="00E14102">
        <w:rPr>
          <w:bCs/>
          <w:color w:val="000000" w:themeColor="text1"/>
          <w:sz w:val="16"/>
          <w:szCs w:val="16"/>
        </w:rPr>
        <w:t>31 января</w:t>
      </w:r>
      <w:r w:rsidRPr="00E14102">
        <w:rPr>
          <w:color w:val="000000" w:themeColor="text1"/>
          <w:sz w:val="16"/>
          <w:szCs w:val="16"/>
        </w:rPr>
        <w:t xml:space="preserve"> в 1935 году утверждены начальником Управления Воздушных Сил РККА Я И Алкснисом ранее разработанные НИИ ВВС "ТТТ к бомбардировочному самолету дальнего действия </w:t>
      </w:r>
      <w:hyperlink r:id="rId26" w:tgtFrame="_blank" w:history="1">
        <w:r w:rsidRPr="00E14102">
          <w:rPr>
            <w:color w:val="000000" w:themeColor="text1"/>
            <w:sz w:val="16"/>
            <w:szCs w:val="16"/>
          </w:rPr>
          <w:t xml:space="preserve">«ТБ-7 - 4 М-34ФРН». </w:t>
        </w:r>
      </w:hyperlink>
      <w:r w:rsidRPr="00E14102">
        <w:rPr>
          <w:color w:val="000000" w:themeColor="text1"/>
          <w:sz w:val="16"/>
          <w:szCs w:val="16"/>
        </w:rPr>
        <w:t xml:space="preserve">Согласно ТТТ к </w:t>
      </w:r>
      <w:hyperlink r:id="rId27" w:tgtFrame="_blank" w:history="1">
        <w:r w:rsidRPr="00E14102">
          <w:rPr>
            <w:color w:val="000000" w:themeColor="text1"/>
            <w:sz w:val="16"/>
            <w:szCs w:val="16"/>
          </w:rPr>
          <w:t xml:space="preserve">«ТБ-7» </w:t>
        </w:r>
      </w:hyperlink>
      <w:r w:rsidRPr="00E14102">
        <w:rPr>
          <w:color w:val="000000" w:themeColor="text1"/>
          <w:sz w:val="16"/>
          <w:szCs w:val="16"/>
        </w:rPr>
        <w:t>выдвигались основные требования, определявшие его лицо как скоростного высотного бомбардировщика класса "летающая крепость". В начале января 1935 года была разработана схема углов обстрела стрелково-пушечного вооружения в соответствии с концепцией "летающая крепость" (15026).</w:t>
      </w:r>
    </w:p>
    <w:p w14:paraId="3DE4F1F6" w14:textId="77777777" w:rsidR="00493FC3" w:rsidRPr="00E14102" w:rsidRDefault="00493FC3" w:rsidP="00E14102">
      <w:pPr>
        <w:jc w:val="both"/>
        <w:rPr>
          <w:color w:val="000000" w:themeColor="text1"/>
          <w:sz w:val="16"/>
          <w:szCs w:val="16"/>
        </w:rPr>
      </w:pPr>
    </w:p>
    <w:p w14:paraId="132334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января 1935 была закончена постройка АНТ-40бис (СБ-РЦ) (514).</w:t>
      </w:r>
    </w:p>
    <w:p w14:paraId="48B2114F" w14:textId="77777777" w:rsidR="00D4105E" w:rsidRPr="00E14102" w:rsidRDefault="00D4105E" w:rsidP="00E14102">
      <w:pPr>
        <w:autoSpaceDE w:val="0"/>
        <w:autoSpaceDN w:val="0"/>
        <w:adjustRightInd w:val="0"/>
        <w:jc w:val="both"/>
        <w:rPr>
          <w:color w:val="000000" w:themeColor="text1"/>
          <w:sz w:val="16"/>
          <w:szCs w:val="16"/>
        </w:rPr>
      </w:pPr>
    </w:p>
    <w:p w14:paraId="724ED9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путаница, т.к. СБ-РЦ был первым и его выпустили еще в октябре 1934, а СБ 2ИС был готов 30 декабря 1934 и 21 января закончились его заводские испытания (2233,46).</w:t>
      </w:r>
    </w:p>
    <w:p w14:paraId="56060F45" w14:textId="77777777" w:rsidR="00D4105E" w:rsidRPr="00E14102" w:rsidRDefault="00D4105E" w:rsidP="00E14102">
      <w:pPr>
        <w:autoSpaceDE w:val="0"/>
        <w:autoSpaceDN w:val="0"/>
        <w:adjustRightInd w:val="0"/>
        <w:jc w:val="both"/>
        <w:rPr>
          <w:color w:val="000000" w:themeColor="text1"/>
          <w:sz w:val="16"/>
          <w:szCs w:val="16"/>
        </w:rPr>
      </w:pPr>
    </w:p>
    <w:p w14:paraId="4184B1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января 1935 Нач. УВВС Алкснис писал письмо N В/8 40/0698 Врид. нач. ГУАП Марголину (копия: директору завода 1 Беленковичу):</w:t>
      </w:r>
    </w:p>
    <w:p w14:paraId="1AA1B5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 завода 1 разработан проект одноместного фоторазведчика, могущего быть примененным и как истребитель с М-85.</w:t>
      </w:r>
    </w:p>
    <w:p w14:paraId="48AFA1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Высокие ЛД (470 км/час на 3000 м) и применение М-85 делают, безусловно, целесообразным включение самолета в план опытного строительства в виде дополнительного задания заводу 1.</w:t>
      </w:r>
    </w:p>
    <w:p w14:paraId="14E354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срочно сообщить Ваше решение." (2343,169).</w:t>
      </w:r>
    </w:p>
    <w:p w14:paraId="702B42FF" w14:textId="77777777" w:rsidR="00D4105E" w:rsidRPr="00E14102" w:rsidRDefault="00D4105E" w:rsidP="00E14102">
      <w:pPr>
        <w:autoSpaceDE w:val="0"/>
        <w:autoSpaceDN w:val="0"/>
        <w:adjustRightInd w:val="0"/>
        <w:jc w:val="both"/>
        <w:rPr>
          <w:color w:val="000000" w:themeColor="text1"/>
          <w:sz w:val="16"/>
          <w:szCs w:val="16"/>
        </w:rPr>
      </w:pPr>
    </w:p>
    <w:p w14:paraId="46B62992" w14:textId="77777777" w:rsidR="00A919F0" w:rsidRPr="00E14102" w:rsidRDefault="00A919F0" w:rsidP="00E14102">
      <w:pPr>
        <w:jc w:val="both"/>
        <w:rPr>
          <w:color w:val="000000" w:themeColor="text1"/>
          <w:sz w:val="16"/>
          <w:szCs w:val="16"/>
        </w:rPr>
      </w:pPr>
      <w:r w:rsidRPr="00E14102">
        <w:rPr>
          <w:color w:val="000000" w:themeColor="text1"/>
          <w:sz w:val="16"/>
          <w:szCs w:val="16"/>
        </w:rPr>
        <w:t>31 января 1935 Начальника УВС РККА Алксниса в письме от 31.1.1935 г. на имя врид начальника ГУАП Марголина высказался за включение разработанного Сильванским проекта фоторазведчика, обсужденного на Техническом совещании в НИИ ВВС РККА 3.1.1935 г. в план опытного строительства в виде дополнительного задания заводу № 1. Алкснис сослался при этом на «высокие лётные данные самолёта (470 км. на 3000 мт.) и применение мотора М-85». В своем ответе Алкснису от 5 марта 1935 г. Марголин писал, что «принять окончательное решение о включении в план строительства самолётов 1935-36 гг. одноместного фоторазведчика, предложенного конструкторским бюро завода № 1, в настоящее время было бы несколько преждевременным, т.к. эскизный проект этого самолёта требует доработки, о чём указывает в своём заключении и НИИ ВС. Только по получении дополнительных данных (продувок, расчётных) можно будет решить вопрос о включении предложения завода № 1 в план опытного строительства». [РГАЭ Ф. 8328 оп. 1 д. 796 л. 169-170] Сходную позицию занял несколько ранее заместитель начальника ГУАПа Ермолаев. В своём письме № 244/538с от 4 февраля 1935 г., отвечая на письмо директора завода №1 Беленковича № 211 от 29 января 1935 г., он сообщил: Макет истребителя И-220 А.В.Сильванского «Представленный т. ШЕКУНОВЫМ эскизный проект скоростного фото-разведчика не является достаточным материалом для решения вопроса о необходимости его реализации. Считаю обязательным, до включения его в план опытного строительства Вашего завода, иметь всестороннее и окончательное заключение УВС (как заказчика) о полном соответствии проектируемого об”екта тактикотехническим требованиям к нему и о необходимости его постройки». [РГАЭ Ф. 8328 оп. 1 д. 795 л. 166] (Упомянутый в письме Шекунов, видимо, курировал на заводе данный проект Сильванского) По свидетельству В.П.Иванова, НИИ ВВС в своем окончательном заключении по проекту Сильванского отмечал, что автор проекта не представил убедительных обоснований для заявленных ЛТХ, в связи с чем реальность данного проекта представляется сомнительной. Проект встретил также резкую критику со стороны Поликарпова и других конструкторов. Один автор пишет: «Чертежи были представлены на рассмотрение начальника ГУАП Г.Н.Королеву, после чего их передали для всестороннего анализа на завод №39. Совет инженеров, на котором присутствовали Поликарпов и Григорович, пришел к выводу, что проект Сильванского имеет ряд грубых просчётов и явных подгонок под желаемые требования. Истребитель-разведчик, мягко говоря, не соответствовал ни одним нормам летной годности и судьба его решилась довольно быстро. Конструктору посоветовали более ответственно относиться к проектированию самолетов, а проект был единодушно забракован» (19008).</w:t>
      </w:r>
    </w:p>
    <w:p w14:paraId="5565A679" w14:textId="77777777" w:rsidR="00A919F0" w:rsidRPr="00E14102" w:rsidRDefault="00A919F0" w:rsidP="00E14102">
      <w:pPr>
        <w:jc w:val="both"/>
        <w:rPr>
          <w:color w:val="000000" w:themeColor="text1"/>
          <w:sz w:val="16"/>
          <w:szCs w:val="16"/>
        </w:rPr>
      </w:pPr>
    </w:p>
    <w:p w14:paraId="37B041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января 1935 Врид Нач. ГУАП Марголин писал Дир. завода 31 Мурашеву письмо N 244/462с по вопросу о постройке самолета СПЛ:</w:t>
      </w:r>
    </w:p>
    <w:p w14:paraId="7FBB97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"Настоящим ставлю Вас в известность, что Вам разрешается проводить разработку экспериментальной части (передача на винт) самолета для подводной лодки к Самсонова.</w:t>
      </w:r>
    </w:p>
    <w:p w14:paraId="5ABFB4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Эта работа должна проводится таким образом, чтобы не сорвать планов выпуска основных объектов плана -опытного строительства 1935, утвержденного Правительством." (2337,89).</w:t>
      </w:r>
    </w:p>
    <w:p w14:paraId="078964DD" w14:textId="77777777" w:rsidR="00D4105E" w:rsidRPr="00E14102" w:rsidRDefault="00D4105E" w:rsidP="00E14102">
      <w:pPr>
        <w:autoSpaceDE w:val="0"/>
        <w:autoSpaceDN w:val="0"/>
        <w:adjustRightInd w:val="0"/>
        <w:jc w:val="both"/>
        <w:rPr>
          <w:color w:val="000000" w:themeColor="text1"/>
          <w:sz w:val="16"/>
          <w:szCs w:val="16"/>
        </w:rPr>
      </w:pPr>
    </w:p>
    <w:p w14:paraId="3CEF341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31 января 1935 НКО К.Е.В. писал письмо № 376044сс/о ПРЕДСЕДАТЕЛЮ СОВЕТА ТРУДА И ОБОРОНЫ тов. МОЛОТОВУ</w:t>
      </w:r>
    </w:p>
    <w:p w14:paraId="3FAD82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 неудовлетворительном ходе выполнения плана опытного самолето и моторостроения на 1934-1935 гг.</w:t>
      </w:r>
    </w:p>
    <w:p w14:paraId="7E802B1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Согласно плана опытного самолето и моторострое</w:t>
      </w:r>
      <w:r w:rsidRPr="00E14102">
        <w:rPr>
          <w:color w:val="000000" w:themeColor="text1"/>
          <w:sz w:val="16"/>
          <w:szCs w:val="16"/>
        </w:rPr>
        <w:softHyphen/>
        <w:t>ния на 1934-1935 год, утвержденного Советом Труда и Обороны 14.УП-1934 г.. к 25-му января 1935 г. про</w:t>
      </w:r>
      <w:r w:rsidRPr="00E14102">
        <w:rPr>
          <w:color w:val="000000" w:themeColor="text1"/>
          <w:sz w:val="16"/>
          <w:szCs w:val="16"/>
        </w:rPr>
        <w:softHyphen/>
        <w:t>мышленность должна была представить на госиспытания 11 об'ектов (самолеты и моторы).</w:t>
      </w:r>
    </w:p>
    <w:p w14:paraId="160227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Все сроки предъявления этих об'ектов на гос</w:t>
      </w:r>
      <w:r w:rsidRPr="00E14102">
        <w:rPr>
          <w:color w:val="000000" w:themeColor="text1"/>
          <w:sz w:val="16"/>
          <w:szCs w:val="16"/>
        </w:rPr>
        <w:softHyphen/>
        <w:t>испытания, указанные в плане, были выдвинуты самой промышленностью.</w:t>
      </w:r>
    </w:p>
    <w:p w14:paraId="6BA4477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Несмотря на это, до 25.1-1935г. 6 опытных моторов и самолетов из этих 11 на госиспытания не предъявлены: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47"/>
        <w:gridCol w:w="3240"/>
        <w:gridCol w:w="1238"/>
        <w:gridCol w:w="2088"/>
      </w:tblGrid>
      <w:tr w:rsidR="00E3599D" w:rsidRPr="00E14102" w14:paraId="59ECFF01" w14:textId="77777777">
        <w:trPr>
          <w:trHeight w:val="547"/>
        </w:trPr>
        <w:tc>
          <w:tcPr>
            <w:tcW w:w="547" w:type="dxa"/>
            <w:tcBorders>
              <w:top w:val="single" w:sz="12" w:space="0" w:color="auto"/>
            </w:tcBorders>
          </w:tcPr>
          <w:p w14:paraId="1855E9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п/п</w:t>
            </w:r>
          </w:p>
        </w:tc>
        <w:tc>
          <w:tcPr>
            <w:tcW w:w="3240" w:type="dxa"/>
            <w:tcBorders>
              <w:top w:val="single" w:sz="12" w:space="0" w:color="auto"/>
            </w:tcBorders>
          </w:tcPr>
          <w:p w14:paraId="32ECEF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Наименование</w:t>
            </w:r>
          </w:p>
        </w:tc>
        <w:tc>
          <w:tcPr>
            <w:tcW w:w="1238" w:type="dxa"/>
            <w:tcBorders>
              <w:top w:val="single" w:sz="12" w:space="0" w:color="auto"/>
            </w:tcBorders>
          </w:tcPr>
          <w:p w14:paraId="46B987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Строщая организа</w:t>
            </w:r>
            <w:r w:rsidRPr="00E14102">
              <w:rPr>
                <w:color w:val="000000" w:themeColor="text1"/>
                <w:sz w:val="16"/>
                <w:szCs w:val="16"/>
              </w:rPr>
              <w:softHyphen/>
              <w:t>ция</w:t>
            </w:r>
          </w:p>
        </w:tc>
        <w:tc>
          <w:tcPr>
            <w:tcW w:w="2088" w:type="dxa"/>
            <w:tcBorders>
              <w:top w:val="single" w:sz="12" w:space="0" w:color="auto"/>
            </w:tcBorders>
          </w:tcPr>
          <w:p w14:paraId="56962A9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Срок пред”явления на госиспытания по решению СТО</w:t>
            </w:r>
          </w:p>
        </w:tc>
      </w:tr>
      <w:tr w:rsidR="00E3599D" w:rsidRPr="00E14102" w14:paraId="11277DC7" w14:textId="77777777">
        <w:trPr>
          <w:trHeight w:val="288"/>
        </w:trPr>
        <w:tc>
          <w:tcPr>
            <w:tcW w:w="547" w:type="dxa"/>
          </w:tcPr>
          <w:p w14:paraId="73FFB7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w:t>
            </w:r>
          </w:p>
        </w:tc>
        <w:tc>
          <w:tcPr>
            <w:tcW w:w="3240" w:type="dxa"/>
          </w:tcPr>
          <w:p w14:paraId="343E2FD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 М34 ФРН</w:t>
            </w:r>
          </w:p>
        </w:tc>
        <w:tc>
          <w:tcPr>
            <w:tcW w:w="1238" w:type="dxa"/>
          </w:tcPr>
          <w:p w14:paraId="50BF3E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ЦИАМ</w:t>
            </w:r>
          </w:p>
        </w:tc>
        <w:tc>
          <w:tcPr>
            <w:tcW w:w="2088" w:type="dxa"/>
          </w:tcPr>
          <w:p w14:paraId="53D443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1.1Х-34 г.</w:t>
            </w:r>
          </w:p>
        </w:tc>
      </w:tr>
      <w:tr w:rsidR="00E3599D" w:rsidRPr="00E14102" w14:paraId="582BB220" w14:textId="77777777">
        <w:trPr>
          <w:trHeight w:val="166"/>
        </w:trPr>
        <w:tc>
          <w:tcPr>
            <w:tcW w:w="547" w:type="dxa"/>
          </w:tcPr>
          <w:p w14:paraId="3310FE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w:t>
            </w:r>
          </w:p>
        </w:tc>
        <w:tc>
          <w:tcPr>
            <w:tcW w:w="3240" w:type="dxa"/>
          </w:tcPr>
          <w:p w14:paraId="2E0911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 М58 Н</w:t>
            </w:r>
          </w:p>
        </w:tc>
        <w:tc>
          <w:tcPr>
            <w:tcW w:w="1238" w:type="dxa"/>
          </w:tcPr>
          <w:p w14:paraId="2CF891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 № 29</w:t>
            </w:r>
          </w:p>
        </w:tc>
        <w:tc>
          <w:tcPr>
            <w:tcW w:w="2088" w:type="dxa"/>
          </w:tcPr>
          <w:p w14:paraId="56E988A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1.Х1-34 г.</w:t>
            </w:r>
          </w:p>
        </w:tc>
      </w:tr>
      <w:tr w:rsidR="00E3599D" w:rsidRPr="00E14102" w14:paraId="34400421" w14:textId="77777777">
        <w:trPr>
          <w:trHeight w:val="173"/>
        </w:trPr>
        <w:tc>
          <w:tcPr>
            <w:tcW w:w="547" w:type="dxa"/>
          </w:tcPr>
          <w:p w14:paraId="1F5D587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w:t>
            </w:r>
          </w:p>
        </w:tc>
        <w:tc>
          <w:tcPr>
            <w:tcW w:w="3240" w:type="dxa"/>
          </w:tcPr>
          <w:p w14:paraId="5B174A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М32</w:t>
            </w:r>
          </w:p>
        </w:tc>
        <w:tc>
          <w:tcPr>
            <w:tcW w:w="1238" w:type="dxa"/>
          </w:tcPr>
          <w:p w14:paraId="278D6F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ЦИАМ</w:t>
            </w:r>
          </w:p>
        </w:tc>
        <w:tc>
          <w:tcPr>
            <w:tcW w:w="2088" w:type="dxa"/>
          </w:tcPr>
          <w:p w14:paraId="77EF594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1.Х-34 г.</w:t>
            </w:r>
          </w:p>
        </w:tc>
      </w:tr>
      <w:tr w:rsidR="00E3599D" w:rsidRPr="00E14102" w14:paraId="3DE27A33" w14:textId="77777777">
        <w:trPr>
          <w:trHeight w:val="346"/>
        </w:trPr>
        <w:tc>
          <w:tcPr>
            <w:tcW w:w="547" w:type="dxa"/>
          </w:tcPr>
          <w:p w14:paraId="16EB470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w:t>
            </w:r>
          </w:p>
        </w:tc>
        <w:tc>
          <w:tcPr>
            <w:tcW w:w="3240" w:type="dxa"/>
          </w:tcPr>
          <w:p w14:paraId="5B106D4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Одном. истребитель И17-Испано 12Убрс</w:t>
            </w:r>
          </w:p>
        </w:tc>
        <w:tc>
          <w:tcPr>
            <w:tcW w:w="1238" w:type="dxa"/>
          </w:tcPr>
          <w:p w14:paraId="203CE3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 .№ 39</w:t>
            </w:r>
          </w:p>
        </w:tc>
        <w:tc>
          <w:tcPr>
            <w:tcW w:w="2088" w:type="dxa"/>
          </w:tcPr>
          <w:p w14:paraId="5AFD2E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1.ХП-34 г.</w:t>
            </w:r>
          </w:p>
        </w:tc>
      </w:tr>
      <w:tr w:rsidR="00E3599D" w:rsidRPr="00E14102" w14:paraId="506B0CD5" w14:textId="77777777">
        <w:trPr>
          <w:trHeight w:val="346"/>
        </w:trPr>
        <w:tc>
          <w:tcPr>
            <w:tcW w:w="547" w:type="dxa"/>
          </w:tcPr>
          <w:p w14:paraId="3476D34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w:t>
            </w:r>
          </w:p>
        </w:tc>
        <w:tc>
          <w:tcPr>
            <w:tcW w:w="3240" w:type="dxa"/>
          </w:tcPr>
          <w:p w14:paraId="4D9492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Двухместный истребитель ДИ6-Райт-Циклон</w:t>
            </w:r>
          </w:p>
        </w:tc>
        <w:tc>
          <w:tcPr>
            <w:tcW w:w="1238" w:type="dxa"/>
          </w:tcPr>
          <w:p w14:paraId="57CFAE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 .№ 39</w:t>
            </w:r>
          </w:p>
        </w:tc>
        <w:tc>
          <w:tcPr>
            <w:tcW w:w="2088" w:type="dxa"/>
          </w:tcPr>
          <w:p w14:paraId="5562F5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1.П-34 г.</w:t>
            </w:r>
          </w:p>
        </w:tc>
      </w:tr>
      <w:tr w:rsidR="00E3599D" w:rsidRPr="00E14102" w14:paraId="76E00943" w14:textId="77777777">
        <w:trPr>
          <w:trHeight w:val="425"/>
        </w:trPr>
        <w:tc>
          <w:tcPr>
            <w:tcW w:w="547" w:type="dxa"/>
            <w:tcBorders>
              <w:bottom w:val="single" w:sz="12" w:space="0" w:color="auto"/>
            </w:tcBorders>
          </w:tcPr>
          <w:p w14:paraId="35D815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w:t>
            </w:r>
          </w:p>
        </w:tc>
        <w:tc>
          <w:tcPr>
            <w:tcW w:w="3240" w:type="dxa"/>
            <w:tcBorders>
              <w:bottom w:val="single" w:sz="12" w:space="0" w:color="auto"/>
            </w:tcBorders>
          </w:tcPr>
          <w:p w14:paraId="3DB9077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Тяжелый штурмовин ТШЗ-М34</w:t>
            </w:r>
          </w:p>
        </w:tc>
        <w:tc>
          <w:tcPr>
            <w:tcW w:w="1238" w:type="dxa"/>
            <w:tcBorders>
              <w:bottom w:val="single" w:sz="12" w:space="0" w:color="auto"/>
            </w:tcBorders>
          </w:tcPr>
          <w:p w14:paraId="7E5F9F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 .№ 39</w:t>
            </w:r>
          </w:p>
        </w:tc>
        <w:tc>
          <w:tcPr>
            <w:tcW w:w="2088" w:type="dxa"/>
            <w:tcBorders>
              <w:bottom w:val="single" w:sz="12" w:space="0" w:color="auto"/>
            </w:tcBorders>
          </w:tcPr>
          <w:p w14:paraId="356821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1. </w:t>
            </w:r>
            <w:r w:rsidRPr="00E14102">
              <w:rPr>
                <w:color w:val="000000" w:themeColor="text1"/>
                <w:sz w:val="16"/>
                <w:szCs w:val="16"/>
                <w:lang w:val="en-US"/>
              </w:rPr>
              <w:t xml:space="preserve">XI </w:t>
            </w:r>
            <w:r w:rsidRPr="00E14102">
              <w:rPr>
                <w:color w:val="000000" w:themeColor="text1"/>
                <w:sz w:val="16"/>
                <w:szCs w:val="16"/>
              </w:rPr>
              <w:t>-34 г.</w:t>
            </w:r>
          </w:p>
        </w:tc>
      </w:tr>
    </w:tbl>
    <w:p w14:paraId="0BD04A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Из представленных же пяти самолетов:</w:t>
      </w:r>
    </w:p>
    <w:p w14:paraId="50C202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два (пушечный одноместный истребитель ИП-1 с мотором Райт-Циклон ГРИГОРОВИЧА под две пушки АПК-4 калибр.76 мм и скоростной бомбардировщик ближнего боя ЦАГИ) находятся на госиспытании, и</w:t>
      </w:r>
    </w:p>
    <w:p w14:paraId="3DDCD54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остальные три самолета (И16, ЛР, МИЗ) предъявлены с неотработанной установкой пулеметов ШКАС в крыльях у одноместного истребителя И-16, недоработана турель летнаба у разведчика ЛР с мотором М34-Н.</w:t>
      </w:r>
    </w:p>
    <w:p w14:paraId="5BEF97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Эти недостатки не устранены и сейчас.</w:t>
      </w:r>
    </w:p>
    <w:p w14:paraId="1184C0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Кроме того, ряд самолетов и моторов, находящихся в постройке и подлежащих предъявлению на госиспытания в пер</w:t>
      </w:r>
      <w:r w:rsidRPr="00E14102">
        <w:rPr>
          <w:color w:val="000000" w:themeColor="text1"/>
          <w:sz w:val="16"/>
          <w:szCs w:val="16"/>
        </w:rPr>
        <w:softHyphen/>
        <w:t>вой половине 1935г. (дизель Н-1, мотор М-44, самолеты: новые скоростные истребители И-18, ИП-Испано 12 Убрс, Р-9, МДР-4, МБР-5 и др.) так медленно проектируются и строятся, что налицо явная угроза срыва установленных СТО сроков пред”явления их (самолетов и моторов) на госиспыталия.</w:t>
      </w:r>
    </w:p>
    <w:p w14:paraId="2CCB52E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Столь медленное выполнение плана опытного строитель</w:t>
      </w:r>
      <w:r w:rsidRPr="00E14102">
        <w:rPr>
          <w:color w:val="000000" w:themeColor="text1"/>
          <w:sz w:val="16"/>
          <w:szCs w:val="16"/>
        </w:rPr>
        <w:softHyphen/>
        <w:t>ства создает большую угрозу намеченному в 1935-36 году перевооружению наших Военно-Зоздушных Сил на новую более .современную материальную часть.</w:t>
      </w:r>
    </w:p>
    <w:p w14:paraId="0F3777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на ближайшем заседании К.О. заслушать доклад НКТПрома о ходе выполнения плана опытного самолето и моторостроения (3419,22).</w:t>
      </w:r>
    </w:p>
    <w:p w14:paraId="5E027D6C" w14:textId="77777777" w:rsidR="00D4105E" w:rsidRPr="00E14102" w:rsidRDefault="00D4105E" w:rsidP="00E14102">
      <w:pPr>
        <w:autoSpaceDE w:val="0"/>
        <w:autoSpaceDN w:val="0"/>
        <w:adjustRightInd w:val="0"/>
        <w:jc w:val="both"/>
        <w:rPr>
          <w:color w:val="000000" w:themeColor="text1"/>
          <w:sz w:val="16"/>
          <w:szCs w:val="16"/>
        </w:rPr>
      </w:pPr>
    </w:p>
    <w:p w14:paraId="20927C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31 января по 16 марта 1935 л В.Л.Галышевым был проведен зимний перелет самолета СССР-42 Москва - Тикси на 10500 км (271,149) и летал В.Л.Галышев (2989).</w:t>
      </w:r>
    </w:p>
    <w:p w14:paraId="2EC46257" w14:textId="77777777" w:rsidR="00D4105E" w:rsidRPr="00E14102" w:rsidRDefault="00D4105E" w:rsidP="00E14102">
      <w:pPr>
        <w:autoSpaceDE w:val="0"/>
        <w:autoSpaceDN w:val="0"/>
        <w:adjustRightInd w:val="0"/>
        <w:jc w:val="both"/>
        <w:rPr>
          <w:color w:val="000000" w:themeColor="text1"/>
          <w:sz w:val="16"/>
          <w:szCs w:val="16"/>
        </w:rPr>
      </w:pPr>
    </w:p>
    <w:p w14:paraId="3EFD776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31 января 1935 г. состоялось начало перелета Москва - бухта Тикси в 10500 км В.Л.Галышева на самолете "СССР-42" (6395).</w:t>
      </w:r>
    </w:p>
    <w:p w14:paraId="1CD97A9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E3FB4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31 января 1935 г. Начальник Управления Воздушных Сил РККА Я.И.Алкснис приказал начальнику Научно-испытательного института ВС РККА В.К.Лаврову лично ознакомился на месте с работами РНИИ, о чем тот и доложил 1 февраля (11402).</w:t>
      </w:r>
    </w:p>
    <w:p w14:paraId="4CF25E67" w14:textId="77777777" w:rsidR="00D4105E" w:rsidRPr="00E14102" w:rsidRDefault="00D4105E" w:rsidP="00E14102">
      <w:pPr>
        <w:autoSpaceDE w:val="0"/>
        <w:autoSpaceDN w:val="0"/>
        <w:adjustRightInd w:val="0"/>
        <w:jc w:val="both"/>
        <w:rPr>
          <w:iCs/>
          <w:color w:val="000000" w:themeColor="text1"/>
          <w:sz w:val="16"/>
          <w:szCs w:val="16"/>
        </w:rPr>
      </w:pPr>
    </w:p>
    <w:p w14:paraId="091C71E2" w14:textId="77777777" w:rsidR="00493FC3" w:rsidRPr="00E14102" w:rsidRDefault="00493FC3" w:rsidP="00E14102">
      <w:pPr>
        <w:jc w:val="both"/>
        <w:rPr>
          <w:color w:val="000000" w:themeColor="text1"/>
          <w:sz w:val="16"/>
          <w:szCs w:val="16"/>
        </w:rPr>
      </w:pPr>
      <w:r w:rsidRPr="00E14102">
        <w:rPr>
          <w:bCs/>
          <w:color w:val="000000" w:themeColor="text1"/>
          <w:sz w:val="16"/>
          <w:szCs w:val="16"/>
        </w:rPr>
        <w:t>31 января</w:t>
      </w:r>
      <w:r w:rsidRPr="00E14102">
        <w:rPr>
          <w:color w:val="000000" w:themeColor="text1"/>
          <w:sz w:val="16"/>
          <w:szCs w:val="16"/>
        </w:rPr>
        <w:t xml:space="preserve"> в 1935 году начало </w:t>
      </w:r>
      <w:hyperlink r:id="rId28" w:tgtFrame="_blank" w:history="1">
        <w:r w:rsidRPr="00E14102">
          <w:rPr>
            <w:color w:val="000000" w:themeColor="text1"/>
            <w:sz w:val="16"/>
            <w:szCs w:val="16"/>
          </w:rPr>
          <w:t xml:space="preserve">перелета в 10500 км Москва-бухта Тикси В.Л.Галышева </w:t>
        </w:r>
      </w:hyperlink>
      <w:r w:rsidRPr="00E14102">
        <w:rPr>
          <w:color w:val="000000" w:themeColor="text1"/>
          <w:sz w:val="16"/>
          <w:szCs w:val="16"/>
        </w:rPr>
        <w:t xml:space="preserve">на самолете </w:t>
      </w:r>
      <w:hyperlink r:id="rId29" w:tgtFrame="_blank" w:history="1">
        <w:r w:rsidRPr="00E14102">
          <w:rPr>
            <w:color w:val="000000" w:themeColor="text1"/>
            <w:sz w:val="16"/>
            <w:szCs w:val="16"/>
          </w:rPr>
          <w:t xml:space="preserve">«Ju-W33» («ПС-4») «СССР-42». </w:t>
        </w:r>
      </w:hyperlink>
      <w:r w:rsidRPr="00E14102">
        <w:rPr>
          <w:color w:val="000000" w:themeColor="text1"/>
          <w:sz w:val="16"/>
          <w:szCs w:val="16"/>
        </w:rPr>
        <w:t>Одним из самых крупных заказчиков «W33» был Советский Союз. Первоначально, в 1928 году, самолеты в разобранном виде поставлялись на авиационный завод в Иркутске и ремонтные мастерские Добролет в Москве, где их собирали для дальнейшего использования. В СССР самолету было присвоено обозначение «ПС-4». С 1933 года на заводе в Иркутске началось строительство собственного варианта «W33», без немецкого участия. Так же как и первые модели «W33» советские «ПС-4» не имели иллюминаторов, так как использовались только для перевозки грузов, и в основном в Сибири. Последний самолет был выпущен в 1935 году. «ПС-4» использовались вплоть до начала Великой Отечественной в 1941 году (15026).</w:t>
      </w:r>
    </w:p>
    <w:p w14:paraId="2349A420" w14:textId="77777777" w:rsidR="00493FC3" w:rsidRPr="00E14102" w:rsidRDefault="00493FC3" w:rsidP="00E14102">
      <w:pPr>
        <w:jc w:val="both"/>
        <w:rPr>
          <w:color w:val="000000" w:themeColor="text1"/>
          <w:sz w:val="16"/>
          <w:szCs w:val="16"/>
        </w:rPr>
      </w:pPr>
    </w:p>
    <w:p w14:paraId="63A62F38" w14:textId="77777777" w:rsidR="00207120" w:rsidRPr="00E14102" w:rsidRDefault="00207120" w:rsidP="00E14102">
      <w:pPr>
        <w:shd w:val="clear" w:color="auto" w:fill="FFFFFF"/>
        <w:jc w:val="both"/>
        <w:textAlignment w:val="baseline"/>
        <w:rPr>
          <w:color w:val="0070C0"/>
          <w:sz w:val="16"/>
          <w:szCs w:val="16"/>
        </w:rPr>
      </w:pPr>
      <w:r w:rsidRPr="00E14102">
        <w:rPr>
          <w:color w:val="0070C0"/>
          <w:sz w:val="16"/>
          <w:szCs w:val="16"/>
        </w:rPr>
        <w:t>31 января 1935 в 11 часов 20 минут утра ПС-4 «Н-62» Галышева стартовал с центрального московского аэродрома. На борту самолета кроме запасного шасси, металлического винта, других необходимых деталей, везли для зимовщиков Тикси и 80 килограммов почты.</w:t>
      </w:r>
    </w:p>
    <w:p w14:paraId="796E70F3" w14:textId="77777777" w:rsidR="00207120" w:rsidRPr="00E14102" w:rsidRDefault="00207120" w:rsidP="00E14102">
      <w:pPr>
        <w:shd w:val="clear" w:color="auto" w:fill="FFFFFF"/>
        <w:jc w:val="both"/>
        <w:textAlignment w:val="baseline"/>
        <w:rPr>
          <w:color w:val="0070C0"/>
          <w:sz w:val="16"/>
          <w:szCs w:val="16"/>
        </w:rPr>
      </w:pPr>
      <w:r w:rsidRPr="00E14102">
        <w:rPr>
          <w:color w:val="0070C0"/>
          <w:sz w:val="16"/>
          <w:szCs w:val="16"/>
        </w:rPr>
        <w:t>В.Л. Галышев с бортмехаником Л.П. Демидовым и корреспондентом «Комсомольской правды» Е.И. Рябчиковым должны были преодолеть маршрут Москва – Казань – Свердловск – Новосибирск – Красноярск – Иркутск – Якутск – бухта Тикси, общей протяженностью 10500 километров. Впрочем, заявленная цель этого дальнего и сложного перелета была удивительно банальной – организация круглогодичной воздушной трассы Иркутск – Якутск – Тикси, соединившей Транссиб и Севморпуть.</w:t>
      </w:r>
    </w:p>
    <w:p w14:paraId="1CF012EA" w14:textId="77777777" w:rsidR="00207120" w:rsidRPr="00E14102" w:rsidRDefault="00207120" w:rsidP="00E14102">
      <w:pPr>
        <w:shd w:val="clear" w:color="auto" w:fill="FFFFFF"/>
        <w:jc w:val="both"/>
        <w:textAlignment w:val="baseline"/>
        <w:rPr>
          <w:color w:val="0070C0"/>
          <w:sz w:val="16"/>
          <w:szCs w:val="16"/>
        </w:rPr>
      </w:pPr>
      <w:r w:rsidRPr="00E14102">
        <w:rPr>
          <w:color w:val="0070C0"/>
          <w:sz w:val="16"/>
          <w:szCs w:val="16"/>
        </w:rPr>
        <w:t>1 февраля 1935 в 14 часов 30 минут самолет прибыл в Казань. Очевидно, на первом этапе маршрута случилась незапланированная посадка. 3 февраля экипаж, вылетев из Казани, пролетел в 12 часов дня (по московскому времени) Свердловск и в 13 часов 25 минут совершил посадку в Кургане. 4 февраля в 5 часов вечера Галышев благополучно приземлился на омском аэродроме.</w:t>
      </w:r>
    </w:p>
    <w:p w14:paraId="41125F91" w14:textId="77777777" w:rsidR="00207120" w:rsidRPr="00E14102" w:rsidRDefault="00207120" w:rsidP="00E14102">
      <w:pPr>
        <w:shd w:val="clear" w:color="auto" w:fill="FFFFFF"/>
        <w:jc w:val="both"/>
        <w:textAlignment w:val="baseline"/>
        <w:rPr>
          <w:color w:val="0070C0"/>
          <w:sz w:val="16"/>
          <w:szCs w:val="16"/>
        </w:rPr>
      </w:pPr>
      <w:r w:rsidRPr="00E14102">
        <w:rPr>
          <w:color w:val="0070C0"/>
          <w:sz w:val="16"/>
          <w:szCs w:val="16"/>
        </w:rPr>
        <w:t>6 февраля в 2 часа 30 минут (по московскому времени) экипаж Галышева добрался до Новосибирска. Расстояние от Омска при встречном ветре самолет ПС-4 прошел за 4 часа 10 минут. На всем маршруте движение самолета к цели все время задерживалось плохими метеорологическими условиями.</w:t>
      </w:r>
    </w:p>
    <w:p w14:paraId="78E91F3B" w14:textId="77777777" w:rsidR="00207120" w:rsidRPr="00E14102" w:rsidRDefault="00207120" w:rsidP="00E14102">
      <w:pPr>
        <w:shd w:val="clear" w:color="auto" w:fill="FFFFFF"/>
        <w:jc w:val="both"/>
        <w:textAlignment w:val="baseline"/>
        <w:rPr>
          <w:color w:val="0070C0"/>
          <w:sz w:val="16"/>
          <w:szCs w:val="16"/>
        </w:rPr>
      </w:pPr>
      <w:r w:rsidRPr="00E14102">
        <w:rPr>
          <w:color w:val="0070C0"/>
          <w:sz w:val="16"/>
          <w:szCs w:val="16"/>
        </w:rPr>
        <w:t>9 февраля в 7 часов 35 минут Галышев вылетел из Новосибирска, а в 12 часов 30 минут (по московскому времени) приземлился в Красноярске. Здесь к московскому экипажу должен был присоединиться самолет ПС-4 «Н-5» Г.К. Неронена с бортмехаником Д.П. Демидовым. Однако неготовность к перелету самолета Неронена задержала экспедицию. Перелет из Красноярска в Иркутск состоялся лишь 17 февраля. Самолет Галышева благополучно опустился на иркутском аэродроме, а экипаж Неронена совершил вынужденную посадку в 90 км от места назначения, повредив шасси. Перелететь в Иркутск, после ремонта повреждений, экипажу «Н-5» удалось только через три дня.</w:t>
      </w:r>
    </w:p>
    <w:p w14:paraId="2260074E" w14:textId="77777777" w:rsidR="00207120" w:rsidRPr="00E14102" w:rsidRDefault="00207120" w:rsidP="00E14102">
      <w:pPr>
        <w:shd w:val="clear" w:color="auto" w:fill="FFFFFF"/>
        <w:jc w:val="both"/>
        <w:textAlignment w:val="baseline"/>
        <w:rPr>
          <w:color w:val="0070C0"/>
          <w:sz w:val="16"/>
          <w:szCs w:val="16"/>
        </w:rPr>
      </w:pPr>
      <w:r w:rsidRPr="00E14102">
        <w:rPr>
          <w:color w:val="0070C0"/>
          <w:sz w:val="16"/>
          <w:szCs w:val="16"/>
        </w:rPr>
        <w:t>23 февраля оба самолета вылетели из Иркутска на север и, произведя промежуточную посадку в селе Верхнеленск, в тот же день приземлились в Усть-Куте. На следующий день авиаторы перелетели в Киренск, где на сутки задержались из-за внезапной оттепели.</w:t>
      </w:r>
    </w:p>
    <w:p w14:paraId="59051254" w14:textId="77777777" w:rsidR="00207120" w:rsidRPr="00E14102" w:rsidRDefault="00207120" w:rsidP="00E14102">
      <w:pPr>
        <w:shd w:val="clear" w:color="auto" w:fill="FFFFFF"/>
        <w:jc w:val="both"/>
        <w:textAlignment w:val="baseline"/>
        <w:rPr>
          <w:color w:val="0070C0"/>
          <w:sz w:val="16"/>
          <w:szCs w:val="16"/>
        </w:rPr>
      </w:pPr>
      <w:r w:rsidRPr="00E14102">
        <w:rPr>
          <w:color w:val="0070C0"/>
          <w:sz w:val="16"/>
          <w:szCs w:val="16"/>
        </w:rPr>
        <w:t>Следующую остановку сделали в селении Пеледуй, а 27 февраля экипажи Галышева и Неронена прибыли в Якутск. 3000 км от Иркутска до Якутска были пройдены за 12 часов 25 минут полетного времени.</w:t>
      </w:r>
    </w:p>
    <w:p w14:paraId="329CF5EF" w14:textId="77777777" w:rsidR="00207120" w:rsidRPr="00E14102" w:rsidRDefault="00207120" w:rsidP="00E14102">
      <w:pPr>
        <w:shd w:val="clear" w:color="auto" w:fill="FFFFFF"/>
        <w:jc w:val="both"/>
        <w:textAlignment w:val="baseline"/>
        <w:rPr>
          <w:color w:val="0070C0"/>
          <w:sz w:val="16"/>
          <w:szCs w:val="16"/>
        </w:rPr>
      </w:pPr>
      <w:r w:rsidRPr="00E14102">
        <w:rPr>
          <w:color w:val="0070C0"/>
          <w:sz w:val="16"/>
          <w:szCs w:val="16"/>
        </w:rPr>
        <w:t>Перелет продолжился 3 марта. Взлетев с аэродрома в Якутске в 11 часов 35 минут, два самолета ПС-4, из-за внезапного ухудшения погоды, уже через 1 час 20 минут приземлились на льду озера у поселка Сангар. Пурга продолжалась пять дней. Только 9 марта, при более чем пятидесятиградусном морозе, авиаторы смогли продолжить маршрут. К вечеру самолеты приземлились на озере Ахабыт в 30 км от Жиганска.</w:t>
      </w:r>
    </w:p>
    <w:p w14:paraId="4A93AE5C" w14:textId="77777777" w:rsidR="00207120" w:rsidRPr="00E14102" w:rsidRDefault="00207120" w:rsidP="00E14102">
      <w:pPr>
        <w:shd w:val="clear" w:color="auto" w:fill="FFFFFF"/>
        <w:jc w:val="both"/>
        <w:textAlignment w:val="baseline"/>
        <w:rPr>
          <w:color w:val="0070C0"/>
          <w:sz w:val="16"/>
          <w:szCs w:val="16"/>
        </w:rPr>
      </w:pPr>
      <w:r w:rsidRPr="00E14102">
        <w:rPr>
          <w:color w:val="0070C0"/>
          <w:sz w:val="16"/>
          <w:szCs w:val="16"/>
        </w:rPr>
        <w:t>11 марта летчики попытались преодолеть очередной этап маршрута, но пурга заставила их вернуться в Жиганск с середины пути. Вновь ожидание летной погоды, и только 14 марта экипажи Галышева и Неронена, преодолев при жесточайшем морозе свыше 500 километров, добрались до Булуна. На следующий день, 15 марта, оба самолета экспедиции благополучно приземлились в Тикси. В бухту Тикси был доставлен один пассажир – «инспектор политуправления Кац», почта, новые сапоги и радиолампы для радиостанции. Несмотря на «горячий» прием зимовщиков, Галышев, опасаясь вновь надолго задержаться из-за надвигающейся пурги, принял решение сразу отправиться в обратный путь. На борт самолета взяли пассажира – гидролога Гусева и почту. Через час после посадки самолеты улетели. 18 марта без происшествий авиаторы с посадками в Булуне, Жиганске и Киренске добрались до Якутска, откуда вылетели 22 марта.</w:t>
      </w:r>
    </w:p>
    <w:p w14:paraId="1E94E5C7" w14:textId="77777777" w:rsidR="00207120" w:rsidRPr="00E14102" w:rsidRDefault="00207120" w:rsidP="00E14102">
      <w:pPr>
        <w:shd w:val="clear" w:color="auto" w:fill="FFFFFF"/>
        <w:jc w:val="both"/>
        <w:textAlignment w:val="baseline"/>
        <w:rPr>
          <w:color w:val="0070C0"/>
          <w:sz w:val="16"/>
          <w:szCs w:val="16"/>
        </w:rPr>
      </w:pPr>
      <w:r w:rsidRPr="00E14102">
        <w:rPr>
          <w:color w:val="0070C0"/>
          <w:sz w:val="16"/>
          <w:szCs w:val="16"/>
        </w:rPr>
        <w:t>В Иркутск самолеты Галышева и Неронена прилетели 24 марта в 17 часов 25 минут по местному времени.</w:t>
      </w:r>
    </w:p>
    <w:p w14:paraId="513FBB6A" w14:textId="77777777" w:rsidR="00207120" w:rsidRPr="00E14102" w:rsidRDefault="00207120" w:rsidP="00E14102">
      <w:pPr>
        <w:shd w:val="clear" w:color="auto" w:fill="FFFFFF"/>
        <w:jc w:val="both"/>
        <w:textAlignment w:val="baseline"/>
        <w:rPr>
          <w:color w:val="0070C0"/>
          <w:sz w:val="16"/>
          <w:szCs w:val="16"/>
        </w:rPr>
      </w:pPr>
      <w:r w:rsidRPr="00E14102">
        <w:rPr>
          <w:color w:val="0070C0"/>
          <w:sz w:val="16"/>
          <w:szCs w:val="16"/>
        </w:rPr>
        <w:t>Воздушная линия Якутск – Тикси была открыта. За год на этом маршруте было выполнено 13 рейсов и перевезено около шести тонн груза и 63 пассажира (21249).</w:t>
      </w:r>
    </w:p>
    <w:p w14:paraId="1505AD39" w14:textId="77777777" w:rsidR="00207120" w:rsidRPr="00E14102" w:rsidRDefault="00207120" w:rsidP="00E14102">
      <w:pPr>
        <w:jc w:val="both"/>
        <w:rPr>
          <w:color w:val="0070C0"/>
          <w:sz w:val="16"/>
          <w:szCs w:val="16"/>
        </w:rPr>
      </w:pPr>
    </w:p>
    <w:p w14:paraId="15D323C6" w14:textId="77777777" w:rsidR="00207120" w:rsidRPr="00E14102" w:rsidRDefault="00207120" w:rsidP="00E14102">
      <w:pPr>
        <w:jc w:val="both"/>
        <w:rPr>
          <w:color w:val="0070C0"/>
          <w:sz w:val="16"/>
          <w:szCs w:val="16"/>
        </w:rPr>
      </w:pPr>
      <w:r w:rsidRPr="00E14102">
        <w:rPr>
          <w:color w:val="0070C0"/>
          <w:sz w:val="16"/>
          <w:szCs w:val="16"/>
        </w:rPr>
        <w:t>31 января 1935 в ходе регулярных пассажирских рейса из Москвы в СССР в Берлине, Германия , в Deruluft Юнкерс Ju 52 / 3mge D-Арен врезается в холм в тумане и дожде, погибли все 11 человек на борту (20800).</w:t>
      </w:r>
    </w:p>
    <w:p w14:paraId="60102205" w14:textId="77777777" w:rsidR="00207120" w:rsidRPr="00E14102" w:rsidRDefault="00207120" w:rsidP="00E14102">
      <w:pPr>
        <w:jc w:val="both"/>
        <w:rPr>
          <w:color w:val="0070C0"/>
          <w:sz w:val="16"/>
          <w:szCs w:val="16"/>
        </w:rPr>
      </w:pPr>
    </w:p>
    <w:p w14:paraId="5B2A1BD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97BEEFC" w14:textId="77777777" w:rsidR="00D4105E" w:rsidRPr="00E14102" w:rsidRDefault="00D4105E" w:rsidP="00E14102">
      <w:pPr>
        <w:autoSpaceDE w:val="0"/>
        <w:autoSpaceDN w:val="0"/>
        <w:adjustRightInd w:val="0"/>
        <w:jc w:val="both"/>
        <w:rPr>
          <w:iCs/>
          <w:color w:val="000000" w:themeColor="text1"/>
          <w:sz w:val="16"/>
          <w:szCs w:val="16"/>
        </w:rPr>
      </w:pPr>
    </w:p>
    <w:p w14:paraId="228C23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января 1935 г. было подготовлено заключение комиссии по испытаниям опытного образца 152-мм гаубицы обр. 1932 г. (А-19):</w:t>
      </w:r>
    </w:p>
    <w:p w14:paraId="753A92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Длина длинного отката (+6; +25) от 1185 до 1350 мм, а короткого (+30; +45) от 850 до 990 мм.</w:t>
      </w:r>
    </w:p>
    <w:p w14:paraId="63258A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Время перехода из походного положения в боевое 4 5 минут.</w:t>
      </w:r>
    </w:p>
    <w:p w14:paraId="324C24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Подъемный механизм работал неудовлетворительно, при выстреле сдавал. При действии маховиком механизм вертикального наведения работал рывками. Отмечался перекос цилиндров пружинного уравновешивающего механизма. Усилие на рукояти маховика подъемного механизма свыше 8 кг.</w:t>
      </w:r>
    </w:p>
    <w:p w14:paraId="2E1038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Заряжание системы при углах больше 30 становилось затруднительным вследствие низкого положения казенной части ствола.</w:t>
      </w:r>
    </w:p>
    <w:p w14:paraId="3F414F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Вследствие неудовлетворительной работы подъемного механизма и его сложности, комиссия на НИАПе предложила принять секторный подъемный механизм, а уравновешивающий механизм принять по типу 107-мм пушки фирмы Бофорс, а также иметь приспособление для быстрого приведения качающейся части к углу заряжания.</w:t>
      </w:r>
    </w:p>
    <w:p w14:paraId="4782E4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 не менее комиссия решила допустить систему к войсковым испытаниям.</w:t>
      </w:r>
    </w:p>
    <w:p w14:paraId="037EBB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Система была принята на вооружение и запущена в валовое производство, хотя в наименованиях и далее был разнобой: "152-мм пушка обр. 1910/1934 г." или "152-мм гаубица обр. 1934 г." В ходе проектирования 152-мм пушки обр. 1910/1934 г. много споров вызвал способ перевозки системы в походном положении. Для нее было разработано два варианта возки в раздельном и нераздельном положении. В ходе войсковых испытаний 152-мм пушки обр. 1910/1934 г. для сравнения был проведен пробег на большую дистанцию трех артсистем двух 122-мм пушек обр. 1931 г. в раздельном виде (то есть ствол на ствольной повозке, а лафет с передком отдельно) и одной 152-мм пушки обр. 1910/1934 г. в нераздельном виде (то есть ствол на лафете). К финишу 152-мм пушка обр. 1910/1934 г. пришла в лучшем состоянии. При раздельной возке тела орудий дульной частью ударяли по передку. Орудийная повозка была "подрессорена" только резиновыми шинами и на походе разбалтывалась. В то же время подрессоривание лафетов со снятыми телами орудий "работало жестко, что привело к ряду мелких поломок". Производство 152-мм пушки обр. 1910/1934 г. велось на Пермском заводе (3861).</w:t>
      </w:r>
    </w:p>
    <w:p w14:paraId="2FDA5BE1" w14:textId="77777777" w:rsidR="00D4105E" w:rsidRPr="00E14102" w:rsidRDefault="00D4105E" w:rsidP="00E14102">
      <w:pPr>
        <w:autoSpaceDE w:val="0"/>
        <w:autoSpaceDN w:val="0"/>
        <w:adjustRightInd w:val="0"/>
        <w:jc w:val="both"/>
        <w:rPr>
          <w:color w:val="000000" w:themeColor="text1"/>
          <w:sz w:val="16"/>
          <w:szCs w:val="16"/>
        </w:rPr>
      </w:pPr>
    </w:p>
    <w:p w14:paraId="67039A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31 января 1935 г. опытный завод № 185 поступило задание на проведение капитальной модернизации СУ-14 для устранения всех замеченных недостатков.</w:t>
      </w:r>
    </w:p>
    <w:p w14:paraId="103CEA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 доработки, проведенные в феврале—марте, были по</w:t>
      </w:r>
      <w:r w:rsidRPr="00E14102">
        <w:rPr>
          <w:color w:val="000000" w:themeColor="text1"/>
          <w:sz w:val="16"/>
          <w:szCs w:val="16"/>
        </w:rPr>
        <w:softHyphen/>
        <w:t>ловинчатыми, так как коснулась лишь ходовой части и мо-торно-трансмиссионной группы, не затронув боевую часть. Несмотря на то, что в «системе артвооружения» на вто</w:t>
      </w:r>
      <w:r w:rsidRPr="00E14102">
        <w:rPr>
          <w:color w:val="000000" w:themeColor="text1"/>
          <w:sz w:val="16"/>
          <w:szCs w:val="16"/>
        </w:rPr>
        <w:softHyphen/>
        <w:t>рую пятилетку не было места для самоходно-артиллерийской Установки типа СУ-14, работы над ней продолжались. Это было вызвано отчасти тем, что САУ этого типа, по мнению АНИИ, можно было вооружить морским 130-мм или 152-мм орудием, что делало возможным их оперативное применение Для нужд береговой обороны, особенно в случае отражения вражеских морских десантов. Конструкторским отделом самоходной артиллерии завода № 185 в 1934—1935 гг. для гусе</w:t>
      </w:r>
      <w:r w:rsidRPr="00E14102">
        <w:rPr>
          <w:color w:val="000000" w:themeColor="text1"/>
          <w:sz w:val="16"/>
          <w:szCs w:val="16"/>
        </w:rPr>
        <w:softHyphen/>
        <w:t>ничной САУ типа СУ-14 было разработано возимое поворот</w:t>
      </w:r>
      <w:r w:rsidRPr="00E14102">
        <w:rPr>
          <w:color w:val="000000" w:themeColor="text1"/>
          <w:sz w:val="16"/>
          <w:szCs w:val="16"/>
        </w:rPr>
        <w:softHyphen/>
        <w:t>ное основание на шариковой опоре. Особенность указанной конструкции состояла в том, что для вращения основания предполагалось применять двигатель самой САУ. Кроме то</w:t>
      </w:r>
      <w:r w:rsidRPr="00E14102">
        <w:rPr>
          <w:color w:val="000000" w:themeColor="text1"/>
          <w:sz w:val="16"/>
          <w:szCs w:val="16"/>
        </w:rPr>
        <w:softHyphen/>
        <w:t>го, было высказано предложение о перевооружении СУ-14 152,4-мм дальнобойной пушкой Б-10 в установочных местах 203,2-мм гаубицы Б-4. Но прежде, чем вести испытания ука</w:t>
      </w:r>
      <w:r w:rsidRPr="00E14102">
        <w:rPr>
          <w:color w:val="000000" w:themeColor="text1"/>
          <w:sz w:val="16"/>
          <w:szCs w:val="16"/>
        </w:rPr>
        <w:softHyphen/>
        <w:t>занных береговых систем, требовалось доработать базу САУ, чтобы устранить недостатки, отмеченные в ходе испытаний первого образца (11417).</w:t>
      </w:r>
    </w:p>
    <w:p w14:paraId="0BFF527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D0C0D0D" w14:textId="77777777" w:rsidR="00493FC3" w:rsidRPr="00E14102" w:rsidRDefault="00493FC3" w:rsidP="00E14102">
      <w:pPr>
        <w:jc w:val="both"/>
        <w:rPr>
          <w:color w:val="000000" w:themeColor="text1"/>
          <w:sz w:val="16"/>
          <w:szCs w:val="16"/>
        </w:rPr>
      </w:pPr>
      <w:r w:rsidRPr="00E14102">
        <w:rPr>
          <w:color w:val="000000" w:themeColor="text1"/>
          <w:sz w:val="16"/>
          <w:szCs w:val="16"/>
        </w:rPr>
        <w:t xml:space="preserve">31 января 1935 г. Опытный завод Спецмаштреста получил задание на капитальную модернизацию СУ-14. Но модернизация, проведенная в феврале-марте, была половинчатой, так как коснулась лишь ходовой части и моторо-трансмиссионной группы (в доработанном варианте СУ-14 были применены КПП и главный фрикцион от </w:t>
      </w:r>
      <w:hyperlink r:id="rId30" w:tgtFrame="_blank" w:history="1">
        <w:r w:rsidRPr="00E14102">
          <w:rPr>
            <w:color w:val="000000" w:themeColor="text1"/>
            <w:sz w:val="16"/>
            <w:szCs w:val="16"/>
          </w:rPr>
          <w:t>танк</w:t>
        </w:r>
      </w:hyperlink>
      <w:r w:rsidRPr="00E14102">
        <w:rPr>
          <w:color w:val="000000" w:themeColor="text1"/>
          <w:sz w:val="16"/>
          <w:szCs w:val="16"/>
        </w:rPr>
        <w:t>а Т-35), почти не затронув ее боевой части (15647).</w:t>
      </w:r>
    </w:p>
    <w:p w14:paraId="325D99CB" w14:textId="77777777" w:rsidR="00493FC3" w:rsidRPr="00E14102" w:rsidRDefault="00493FC3" w:rsidP="00E14102">
      <w:pPr>
        <w:jc w:val="both"/>
        <w:rPr>
          <w:color w:val="000000" w:themeColor="text1"/>
          <w:sz w:val="16"/>
          <w:szCs w:val="16"/>
        </w:rPr>
      </w:pPr>
    </w:p>
    <w:p w14:paraId="4BE1D411" w14:textId="77777777" w:rsidR="00C464A1" w:rsidRPr="00E14102" w:rsidRDefault="00C464A1" w:rsidP="00E14102">
      <w:pPr>
        <w:jc w:val="both"/>
        <w:rPr>
          <w:color w:val="000000" w:themeColor="text1"/>
          <w:sz w:val="16"/>
          <w:szCs w:val="16"/>
        </w:rPr>
      </w:pPr>
      <w:r w:rsidRPr="00E14102">
        <w:rPr>
          <w:color w:val="000000" w:themeColor="text1"/>
          <w:sz w:val="16"/>
          <w:szCs w:val="16"/>
        </w:rPr>
        <w:t>31 января 1935 года состоялся пуск первого эскалатора, который пошел и при испытании показал хорошее качество монтажа, а также безукориздненность хода". Многотиражная газета "Красный Металлист" № 6 (209) от 07 февраля 1935 года "Победный рапорт" ГПБ, Ленинград, шифр Л-88. 1935 год Управление треста "Союзстальмост" и изготовители эскалаторов рапортовали правительству 6-го февраля 1935 года об окончании монтажа и пуске эскалаторов, что общая схема экономии составила 4 миллиона рублей золотом и что новое для страны производство эскалаторостроения освоено (12260).</w:t>
      </w:r>
    </w:p>
    <w:p w14:paraId="3191696B" w14:textId="77777777" w:rsidR="00C464A1" w:rsidRPr="00E14102" w:rsidRDefault="00C464A1" w:rsidP="00E14102">
      <w:pPr>
        <w:jc w:val="both"/>
        <w:rPr>
          <w:color w:val="000000" w:themeColor="text1"/>
          <w:sz w:val="16"/>
          <w:szCs w:val="16"/>
        </w:rPr>
      </w:pPr>
    </w:p>
    <w:p w14:paraId="3285EE29" w14:textId="77777777" w:rsidR="00C30317"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70E6EE3" w14:textId="77777777" w:rsidR="00C30317" w:rsidRPr="00E14102" w:rsidRDefault="00C30317" w:rsidP="00E14102">
      <w:pPr>
        <w:autoSpaceDE w:val="0"/>
        <w:autoSpaceDN w:val="0"/>
        <w:adjustRightInd w:val="0"/>
        <w:jc w:val="both"/>
        <w:rPr>
          <w:iCs/>
          <w:color w:val="000000" w:themeColor="text1"/>
          <w:sz w:val="16"/>
          <w:szCs w:val="16"/>
        </w:rPr>
      </w:pPr>
    </w:p>
    <w:p w14:paraId="5FC0EC0E" w14:textId="77777777" w:rsidR="00C30317" w:rsidRPr="00E14102" w:rsidRDefault="00C30317" w:rsidP="00E14102">
      <w:pPr>
        <w:shd w:val="clear" w:color="auto" w:fill="FFFFFF"/>
        <w:jc w:val="both"/>
        <w:rPr>
          <w:color w:val="000000" w:themeColor="text1"/>
          <w:sz w:val="16"/>
          <w:szCs w:val="16"/>
        </w:rPr>
      </w:pPr>
      <w:r w:rsidRPr="00E14102">
        <w:rPr>
          <w:color w:val="000000" w:themeColor="text1"/>
          <w:sz w:val="16"/>
          <w:szCs w:val="16"/>
        </w:rPr>
        <w:t xml:space="preserve">31 </w:t>
      </w:r>
      <w:bookmarkStart w:id="4" w:name="YANDEX_11"/>
      <w:bookmarkEnd w:id="4"/>
      <w:r w:rsidRPr="00E14102">
        <w:rPr>
          <w:color w:val="000000" w:themeColor="text1"/>
          <w:sz w:val="16"/>
          <w:szCs w:val="16"/>
        </w:rPr>
        <w:t> января  1935 г., в самый разгар репрессий, Полит</w:t>
      </w:r>
      <w:r w:rsidRPr="00E14102">
        <w:rPr>
          <w:color w:val="000000" w:themeColor="text1"/>
          <w:sz w:val="16"/>
          <w:szCs w:val="16"/>
        </w:rPr>
        <w:softHyphen/>
        <w:t>бюро, по предложению Сталина, приняло принципиальное решение о внесении существенных изменений в конституцию, в частности, в избирательную систему. Через несколько дней о намерении советского руководства изменить избирательную систему ("в смысле замены не вполне равных выборов равны</w:t>
      </w:r>
      <w:r w:rsidRPr="00E14102">
        <w:rPr>
          <w:color w:val="000000" w:themeColor="text1"/>
          <w:sz w:val="16"/>
          <w:szCs w:val="16"/>
        </w:rPr>
        <w:softHyphen/>
        <w:t xml:space="preserve">ми, многостепенных — прямыми, открытых — закрытыми") сообщили газеты. Затем этот вопрос обсуждался на </w:t>
      </w:r>
      <w:r w:rsidRPr="00E14102">
        <w:rPr>
          <w:color w:val="000000" w:themeColor="text1"/>
          <w:sz w:val="16"/>
          <w:szCs w:val="16"/>
          <w:lang w:val="en-US"/>
        </w:rPr>
        <w:t>VII</w:t>
      </w:r>
      <w:r w:rsidRPr="00E14102">
        <w:rPr>
          <w:color w:val="000000" w:themeColor="text1"/>
          <w:sz w:val="16"/>
          <w:szCs w:val="16"/>
        </w:rPr>
        <w:t xml:space="preserve"> съезде Советов и стал объектом широкой пропагандистской кампа</w:t>
      </w:r>
      <w:r w:rsidRPr="00E14102">
        <w:rPr>
          <w:color w:val="000000" w:themeColor="text1"/>
          <w:sz w:val="16"/>
          <w:szCs w:val="16"/>
        </w:rPr>
        <w:softHyphen/>
        <w:t>нии. Обещая новую конституцию, сулившую предоставление полноценных гражданских прав многим "бывшим" и "соци</w:t>
      </w:r>
      <w:r w:rsidRPr="00E14102">
        <w:rPr>
          <w:color w:val="000000" w:themeColor="text1"/>
          <w:sz w:val="16"/>
          <w:szCs w:val="16"/>
        </w:rPr>
        <w:softHyphen/>
        <w:t>ально чуждым", правительство предпринимало также некото</w:t>
      </w:r>
      <w:r w:rsidRPr="00E14102">
        <w:rPr>
          <w:color w:val="000000" w:themeColor="text1"/>
          <w:sz w:val="16"/>
          <w:szCs w:val="16"/>
        </w:rPr>
        <w:softHyphen/>
        <w:t>рые вполне конкретные акции по "умиротворению" общества, реально облегчавшие положение миллионов людей (17306).</w:t>
      </w:r>
    </w:p>
    <w:p w14:paraId="072CBD04" w14:textId="77777777" w:rsidR="00C30317" w:rsidRPr="00E14102" w:rsidRDefault="00C30317" w:rsidP="00E14102">
      <w:pPr>
        <w:autoSpaceDE w:val="0"/>
        <w:autoSpaceDN w:val="0"/>
        <w:adjustRightInd w:val="0"/>
        <w:jc w:val="both"/>
        <w:rPr>
          <w:iCs/>
          <w:color w:val="000000" w:themeColor="text1"/>
          <w:sz w:val="16"/>
          <w:szCs w:val="16"/>
        </w:rPr>
      </w:pPr>
    </w:p>
    <w:p w14:paraId="5A5BF37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1497A167" w14:textId="77777777" w:rsidR="00D4105E" w:rsidRPr="00E14102" w:rsidRDefault="00D4105E" w:rsidP="00E14102">
      <w:pPr>
        <w:autoSpaceDE w:val="0"/>
        <w:autoSpaceDN w:val="0"/>
        <w:adjustRightInd w:val="0"/>
        <w:jc w:val="both"/>
        <w:rPr>
          <w:iCs/>
          <w:color w:val="000000" w:themeColor="text1"/>
          <w:sz w:val="16"/>
          <w:szCs w:val="16"/>
        </w:rPr>
      </w:pPr>
    </w:p>
    <w:p w14:paraId="1817B4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января 1935 Советский премьер потребовал от Японии ухода из Манчжурии (2100).</w:t>
      </w:r>
    </w:p>
    <w:p w14:paraId="606EA28E" w14:textId="77777777" w:rsidR="00D4105E" w:rsidRPr="00E14102" w:rsidRDefault="00D4105E" w:rsidP="00E14102">
      <w:pPr>
        <w:autoSpaceDE w:val="0"/>
        <w:autoSpaceDN w:val="0"/>
        <w:adjustRightInd w:val="0"/>
        <w:jc w:val="both"/>
        <w:rPr>
          <w:color w:val="000000" w:themeColor="text1"/>
          <w:sz w:val="16"/>
          <w:szCs w:val="16"/>
        </w:rPr>
      </w:pPr>
    </w:p>
    <w:p w14:paraId="0F5F14D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DAECA6D" w14:textId="77777777" w:rsidR="00D4105E" w:rsidRPr="00E14102" w:rsidRDefault="00D4105E" w:rsidP="00E14102">
      <w:pPr>
        <w:autoSpaceDE w:val="0"/>
        <w:autoSpaceDN w:val="0"/>
        <w:adjustRightInd w:val="0"/>
        <w:jc w:val="both"/>
        <w:rPr>
          <w:iCs/>
          <w:color w:val="000000" w:themeColor="text1"/>
          <w:sz w:val="16"/>
          <w:szCs w:val="16"/>
        </w:rPr>
      </w:pPr>
    </w:p>
    <w:p w14:paraId="4598A7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января 1935 гестапо арестовало Ф.Зандера - немецкого пионера ракет с ЖРД - за то, что тот не получая заказов от министерства вооружений пытался заинтересовать в своих работах итальянцев и англичан. Весь его архив пропал и до сих пор не обнаружен. В сентябре 1936 осудили по обвинению в гос. измене и приговорили к 4 годам тюрьмы и штрафам. В апреле 1938 - освободили, но через 5 месяцев умер от сердечного приступа (3814,21).</w:t>
      </w:r>
    </w:p>
    <w:p w14:paraId="0C5A8178" w14:textId="77777777" w:rsidR="00D4105E" w:rsidRPr="00E14102" w:rsidRDefault="00D4105E" w:rsidP="00E14102">
      <w:pPr>
        <w:autoSpaceDE w:val="0"/>
        <w:autoSpaceDN w:val="0"/>
        <w:adjustRightInd w:val="0"/>
        <w:jc w:val="both"/>
        <w:rPr>
          <w:color w:val="000000" w:themeColor="text1"/>
          <w:sz w:val="16"/>
          <w:szCs w:val="16"/>
        </w:rPr>
      </w:pPr>
    </w:p>
    <w:p w14:paraId="07259FC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96F5E33" w14:textId="77777777" w:rsidR="00D4105E" w:rsidRPr="00E14102" w:rsidRDefault="00D4105E" w:rsidP="00E14102">
      <w:pPr>
        <w:autoSpaceDE w:val="0"/>
        <w:autoSpaceDN w:val="0"/>
        <w:adjustRightInd w:val="0"/>
        <w:jc w:val="both"/>
        <w:rPr>
          <w:iCs/>
          <w:color w:val="000000" w:themeColor="text1"/>
          <w:sz w:val="16"/>
          <w:szCs w:val="16"/>
        </w:rPr>
      </w:pPr>
    </w:p>
    <w:p w14:paraId="507D9A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января 1935 конкурсная комиссия ВО Авиавнито и газеты За рулем начала подводить итого конкурса на проект скоростного пассажирского самолета, объявленного 8 мая 1934. Поступило почти 60 проектов. В.Н.Беляев предложил самолет типа летающее крыло - развитие схем планеров БП-2 и БП-3 и он пошел во 2-й тур (1847,30).</w:t>
      </w:r>
    </w:p>
    <w:p w14:paraId="7D936D47" w14:textId="77777777" w:rsidR="00D4105E" w:rsidRPr="00E14102" w:rsidRDefault="00D4105E" w:rsidP="00E14102">
      <w:pPr>
        <w:autoSpaceDE w:val="0"/>
        <w:autoSpaceDN w:val="0"/>
        <w:adjustRightInd w:val="0"/>
        <w:jc w:val="both"/>
        <w:rPr>
          <w:color w:val="000000" w:themeColor="text1"/>
          <w:sz w:val="16"/>
          <w:szCs w:val="16"/>
        </w:rPr>
      </w:pPr>
    </w:p>
    <w:p w14:paraId="1BD4297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5469637" w14:textId="77777777" w:rsidR="00D4105E" w:rsidRPr="00E14102" w:rsidRDefault="00D4105E" w:rsidP="00E14102">
      <w:pPr>
        <w:autoSpaceDE w:val="0"/>
        <w:autoSpaceDN w:val="0"/>
        <w:adjustRightInd w:val="0"/>
        <w:jc w:val="both"/>
        <w:rPr>
          <w:iCs/>
          <w:color w:val="000000" w:themeColor="text1"/>
          <w:sz w:val="16"/>
          <w:szCs w:val="16"/>
        </w:rPr>
      </w:pPr>
    </w:p>
    <w:p w14:paraId="6FFD7E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января 1935 года, выступая на VII Всесоюзном съезде Советов, Г.К. Орджоникидзе говорит о необходимости в кратчайший срок перевести тракторы ЧТЗ на дизели. Для этого необходимо было решить ряд труднейших вопросов. Во-первых, дизель из-за высокой степени сжатия тяжелее карбюраторного двигателя. Во-вторых, больших усилий требует разработка надежной топливной аппаратуры, которая должна изготовляться с поистине ювелирной точностью. Ведь в течение каждого цикла за 2–5 миллисекунд в цилиндр впрыскивается от 0,1 до 0,3 грамма топлива под давлением около 100 атмосфер. Для этого зазор, образуемый иглой-распылителем, должен быть от 60 до 90 микрон, а точность изготовления иглы должна составлять доли микрона (11627).</w:t>
      </w:r>
    </w:p>
    <w:p w14:paraId="6AE5B370" w14:textId="77777777" w:rsidR="00D4105E" w:rsidRPr="00E14102" w:rsidRDefault="00D4105E" w:rsidP="00E14102">
      <w:pPr>
        <w:autoSpaceDE w:val="0"/>
        <w:autoSpaceDN w:val="0"/>
        <w:adjustRightInd w:val="0"/>
        <w:jc w:val="both"/>
        <w:rPr>
          <w:color w:val="000000" w:themeColor="text1"/>
          <w:sz w:val="16"/>
          <w:szCs w:val="16"/>
        </w:rPr>
      </w:pPr>
    </w:p>
    <w:p w14:paraId="7B0CF115" w14:textId="77777777" w:rsidR="004F2931" w:rsidRPr="00E14102" w:rsidRDefault="004F2931" w:rsidP="00E14102">
      <w:pPr>
        <w:jc w:val="both"/>
        <w:rPr>
          <w:color w:val="0070C0"/>
          <w:sz w:val="16"/>
          <w:szCs w:val="16"/>
        </w:rPr>
      </w:pPr>
      <w:r w:rsidRPr="00E14102">
        <w:rPr>
          <w:color w:val="0070C0"/>
          <w:sz w:val="16"/>
          <w:szCs w:val="16"/>
        </w:rPr>
        <w:t>В конце января 1935 во время VII Всесоюзного съезда Советов, нарком Г.К. Орджоникидзе дал зада</w:t>
      </w:r>
      <w:r w:rsidRPr="00E14102">
        <w:rPr>
          <w:color w:val="0070C0"/>
          <w:sz w:val="16"/>
          <w:szCs w:val="16"/>
        </w:rPr>
        <w:softHyphen/>
        <w:t>ние специалистам НАТИ и ЧТЗ создать вполне со</w:t>
      </w:r>
      <w:r w:rsidRPr="00E14102">
        <w:rPr>
          <w:color w:val="0070C0"/>
          <w:sz w:val="16"/>
          <w:szCs w:val="16"/>
        </w:rPr>
        <w:softHyphen/>
        <w:t>временную и надежную конструкцию дизеля для трактора С-60, чтобы осуществить ее и поставить на испытание к 1 августа 1935 г.</w:t>
      </w:r>
    </w:p>
    <w:p w14:paraId="3A89BEBF" w14:textId="77777777" w:rsidR="004F2931" w:rsidRPr="00E14102" w:rsidRDefault="004F2931" w:rsidP="00E14102">
      <w:pPr>
        <w:jc w:val="both"/>
        <w:rPr>
          <w:color w:val="0070C0"/>
          <w:sz w:val="16"/>
          <w:szCs w:val="16"/>
        </w:rPr>
      </w:pPr>
      <w:r w:rsidRPr="00E14102">
        <w:rPr>
          <w:color w:val="0070C0"/>
          <w:sz w:val="16"/>
          <w:szCs w:val="16"/>
        </w:rPr>
        <w:t>Из всех дизелей тракторного типа для С-60 луч</w:t>
      </w:r>
      <w:r w:rsidRPr="00E14102">
        <w:rPr>
          <w:color w:val="0070C0"/>
          <w:sz w:val="16"/>
          <w:szCs w:val="16"/>
        </w:rPr>
        <w:softHyphen/>
        <w:t>ше всего подходили 4 двигателя Катерпиллер, прав</w:t>
      </w:r>
      <w:r w:rsidRPr="00E14102">
        <w:rPr>
          <w:color w:val="0070C0"/>
          <w:sz w:val="16"/>
          <w:szCs w:val="16"/>
        </w:rPr>
        <w:softHyphen/>
        <w:t>да, ни один из них не мог быть использован без изме</w:t>
      </w:r>
      <w:r w:rsidRPr="00E14102">
        <w:rPr>
          <w:color w:val="0070C0"/>
          <w:sz w:val="16"/>
          <w:szCs w:val="16"/>
        </w:rPr>
        <w:softHyphen/>
        <w:t>нения конструкции. Конкурсные испытания проводи</w:t>
      </w:r>
      <w:r w:rsidRPr="00E14102">
        <w:rPr>
          <w:color w:val="0070C0"/>
          <w:sz w:val="16"/>
          <w:szCs w:val="16"/>
        </w:rPr>
        <w:softHyphen/>
        <w:t>лись на тракторе С-60.</w:t>
      </w:r>
    </w:p>
    <w:p w14:paraId="516772A3" w14:textId="77777777" w:rsidR="004F2931" w:rsidRPr="00E14102" w:rsidRDefault="004F2931" w:rsidP="00E14102">
      <w:pPr>
        <w:jc w:val="both"/>
        <w:rPr>
          <w:color w:val="0070C0"/>
          <w:sz w:val="16"/>
          <w:szCs w:val="16"/>
        </w:rPr>
      </w:pPr>
      <w:r w:rsidRPr="00E14102">
        <w:rPr>
          <w:color w:val="0070C0"/>
          <w:sz w:val="16"/>
          <w:szCs w:val="16"/>
        </w:rPr>
        <w:t>Принято решение о создании дизеля для трактора ЧТЗ С-2 путем заимствования четырех</w:t>
      </w:r>
      <w:r w:rsidRPr="00E14102">
        <w:rPr>
          <w:color w:val="0070C0"/>
          <w:sz w:val="16"/>
          <w:szCs w:val="16"/>
        </w:rPr>
        <w:softHyphen/>
        <w:t>цилиндрового предкамерного дизеля Катерпиллер С-65 с незначительными изменениями. Проекти</w:t>
      </w:r>
      <w:r w:rsidRPr="00E14102">
        <w:rPr>
          <w:color w:val="0070C0"/>
          <w:sz w:val="16"/>
          <w:szCs w:val="16"/>
        </w:rPr>
        <w:softHyphen/>
        <w:t>рование дизеля началось в феврале. Работа прово</w:t>
      </w:r>
      <w:r w:rsidRPr="00E14102">
        <w:rPr>
          <w:color w:val="0070C0"/>
          <w:sz w:val="16"/>
          <w:szCs w:val="16"/>
        </w:rPr>
        <w:softHyphen/>
        <w:t>дилась совместно с ЧТЗ. Группой конструкторов НАТИ руководил А.В. Лебедев, конструкторское бюро ЧТЗ возглавлял В.Т. Ломоносов. Срок выпуска первых двух двигателей был задан 1 июля, третье</w:t>
      </w:r>
      <w:r w:rsidRPr="00E14102">
        <w:rPr>
          <w:color w:val="0070C0"/>
          <w:sz w:val="16"/>
          <w:szCs w:val="16"/>
        </w:rPr>
        <w:softHyphen/>
        <w:t>го-15 июля.</w:t>
      </w:r>
    </w:p>
    <w:p w14:paraId="08A5BB79" w14:textId="77777777" w:rsidR="004F2931" w:rsidRPr="00E14102" w:rsidRDefault="004F2931" w:rsidP="00E14102">
      <w:pPr>
        <w:jc w:val="both"/>
        <w:rPr>
          <w:color w:val="0070C0"/>
          <w:sz w:val="16"/>
          <w:szCs w:val="16"/>
        </w:rPr>
      </w:pPr>
      <w:r w:rsidRPr="00E14102">
        <w:rPr>
          <w:color w:val="0070C0"/>
          <w:sz w:val="16"/>
          <w:szCs w:val="16"/>
        </w:rPr>
        <w:t>Дизельмотор имел 4 цилиндра диаметром 145 мм, ход поршня-205 мм, рабочий объем - 13,52 л, степень сжатия -15,5. Двигатель весил 1900 кг, раз</w:t>
      </w:r>
      <w:r w:rsidRPr="00E14102">
        <w:rPr>
          <w:color w:val="0070C0"/>
          <w:sz w:val="16"/>
          <w:szCs w:val="16"/>
        </w:rPr>
        <w:softHyphen/>
        <w:t>вивал мощность 75 л.с. при 850 об./мин. Его длина - 1710 мм, высота -1380 мм, ширина-900 мм. Дизель имел значительно меньший литраж, но более высо</w:t>
      </w:r>
      <w:r w:rsidRPr="00E14102">
        <w:rPr>
          <w:color w:val="0070C0"/>
          <w:sz w:val="16"/>
          <w:szCs w:val="16"/>
        </w:rPr>
        <w:softHyphen/>
        <w:t>кое число оборотов, чем лигроиновый мотор. Кроме того дизель М-17 был в полтора раза тяжелее лиг</w:t>
      </w:r>
      <w:r w:rsidRPr="00E14102">
        <w:rPr>
          <w:color w:val="0070C0"/>
          <w:sz w:val="16"/>
          <w:szCs w:val="16"/>
        </w:rPr>
        <w:softHyphen/>
        <w:t>роинового мотора за счет более прочной конструк</w:t>
      </w:r>
      <w:r w:rsidRPr="00E14102">
        <w:rPr>
          <w:color w:val="0070C0"/>
          <w:sz w:val="16"/>
          <w:szCs w:val="16"/>
        </w:rPr>
        <w:softHyphen/>
        <w:t>ции и наличия дополнительных агрегатов - пусково</w:t>
      </w:r>
      <w:r w:rsidRPr="00E14102">
        <w:rPr>
          <w:color w:val="0070C0"/>
          <w:sz w:val="16"/>
          <w:szCs w:val="16"/>
        </w:rPr>
        <w:softHyphen/>
        <w:t>го мотора, топливного насоса, фильтров и пр. (22518).</w:t>
      </w:r>
    </w:p>
    <w:p w14:paraId="5915C5C8" w14:textId="77777777" w:rsidR="004F2931" w:rsidRPr="00E14102" w:rsidRDefault="004F2931" w:rsidP="00E14102">
      <w:pPr>
        <w:jc w:val="both"/>
        <w:rPr>
          <w:color w:val="0070C0"/>
          <w:sz w:val="16"/>
          <w:szCs w:val="16"/>
        </w:rPr>
      </w:pPr>
    </w:p>
    <w:p w14:paraId="0921C10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EF8092E" w14:textId="77777777" w:rsidR="00D4105E" w:rsidRPr="00E14102" w:rsidRDefault="00D4105E" w:rsidP="00E14102">
      <w:pPr>
        <w:autoSpaceDE w:val="0"/>
        <w:autoSpaceDN w:val="0"/>
        <w:adjustRightInd w:val="0"/>
        <w:jc w:val="both"/>
        <w:rPr>
          <w:iCs/>
          <w:color w:val="000000" w:themeColor="text1"/>
          <w:sz w:val="16"/>
          <w:szCs w:val="16"/>
        </w:rPr>
      </w:pPr>
    </w:p>
    <w:p w14:paraId="3C85146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конце января 1935 года 988 сторонников Зиновьева были высланы из Ленинграда в Сибирь и Якутию (6804).</w:t>
      </w:r>
    </w:p>
    <w:p w14:paraId="586CCCC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0F980F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ED5F2FA" w14:textId="77777777" w:rsidR="00D4105E" w:rsidRPr="00E14102" w:rsidRDefault="00D4105E" w:rsidP="00E14102">
      <w:pPr>
        <w:autoSpaceDE w:val="0"/>
        <w:autoSpaceDN w:val="0"/>
        <w:adjustRightInd w:val="0"/>
        <w:jc w:val="both"/>
        <w:rPr>
          <w:iCs/>
          <w:color w:val="000000" w:themeColor="text1"/>
          <w:sz w:val="16"/>
          <w:szCs w:val="16"/>
        </w:rPr>
      </w:pPr>
    </w:p>
    <w:p w14:paraId="50D739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были разработаны требования ВВС к тяжелому бомбардировщику проекта 42, ТБ-7 (АНТ-42) (342,13).</w:t>
      </w:r>
    </w:p>
    <w:p w14:paraId="6BD298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 в октябре 1934, а по третьим - в декабре.</w:t>
      </w:r>
    </w:p>
    <w:p w14:paraId="0930D3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Интересно, как они соотносились с октябрьскими или ЦАГИ удалось отстоять снижение.</w:t>
      </w:r>
    </w:p>
    <w:p w14:paraId="3138F6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Есть мнение, что в январе 1935 ВВС по результатам споров с ЦАГИ выпустили новые ТТТ на тяжелый бомбардировщик. Скорость - 330-350 км/час, дальность 4600 км с 2000 кг, рабочая высота - 4000 м, пушки для обороны, в т.ч. на выдвижной нижней установке (2122,5).</w:t>
      </w:r>
    </w:p>
    <w:p w14:paraId="7161B05A" w14:textId="77777777" w:rsidR="00D4105E" w:rsidRPr="00E14102" w:rsidRDefault="00D4105E" w:rsidP="00E14102">
      <w:pPr>
        <w:autoSpaceDE w:val="0"/>
        <w:autoSpaceDN w:val="0"/>
        <w:adjustRightInd w:val="0"/>
        <w:jc w:val="both"/>
        <w:rPr>
          <w:color w:val="000000" w:themeColor="text1"/>
          <w:sz w:val="16"/>
          <w:szCs w:val="16"/>
        </w:rPr>
      </w:pPr>
    </w:p>
    <w:p w14:paraId="4BB75346" w14:textId="77777777" w:rsidR="00075C8D" w:rsidRPr="00E14102" w:rsidRDefault="00075C8D"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январе 1935 г. был утвержден макет ДБ-2, а 15 июня заканчивается постройка первого самолета. 16 июня самолет был вывезен на аэродром и начались заводские испытания, которые проводили летчик-испытатель К.</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К. Попов и ведущий инженер М.</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 Егоров. 15 июля заводские испытания заканчиваются и опытный самолет передается на государственные испытания. 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E14102">
        <w:rPr>
          <w:rFonts w:ascii="Times New Roman" w:hAnsi="Times New Roman" w:cs="Times New Roman"/>
          <w:color w:val="000000" w:themeColor="text1"/>
          <w:sz w:val="16"/>
          <w:szCs w:val="16"/>
          <w:lang w:val="ru-RU"/>
        </w:rPr>
        <w:softHyphen/>
        <w:t>ва</w:t>
      </w:r>
      <w:r w:rsidRPr="00E14102">
        <w:rPr>
          <w:rFonts w:ascii="Times New Roman" w:hAnsi="Times New Roman" w:cs="Times New Roman"/>
          <w:color w:val="000000" w:themeColor="text1"/>
          <w:sz w:val="16"/>
          <w:szCs w:val="16"/>
          <w:lang w:val="ru-RU"/>
        </w:rPr>
        <w:softHyphen/>
        <w:t>тель</w:t>
      </w:r>
      <w:r w:rsidRPr="00E14102">
        <w:rPr>
          <w:rFonts w:ascii="Times New Roman" w:hAnsi="Times New Roman" w:cs="Times New Roman"/>
          <w:color w:val="000000" w:themeColor="text1"/>
          <w:sz w:val="16"/>
          <w:szCs w:val="16"/>
          <w:lang w:val="ru-RU"/>
        </w:rPr>
        <w:softHyphen/>
        <w:t>ских работ по флаттеру и бафтингу (19185).</w:t>
      </w:r>
    </w:p>
    <w:p w14:paraId="53027188" w14:textId="77777777" w:rsidR="00075C8D" w:rsidRPr="00E14102" w:rsidRDefault="00075C8D" w:rsidP="00E14102">
      <w:pPr>
        <w:pStyle w:val="rtecenter"/>
        <w:shd w:val="clear" w:color="auto" w:fill="FFFFFF"/>
        <w:spacing w:before="0" w:after="0"/>
        <w:jc w:val="both"/>
        <w:textAlignment w:val="baseline"/>
        <w:rPr>
          <w:color w:val="000000" w:themeColor="text1"/>
          <w:sz w:val="16"/>
          <w:szCs w:val="16"/>
        </w:rPr>
      </w:pPr>
    </w:p>
    <w:p w14:paraId="1FCA44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прошло специальное заседание в УВВС РККА у нач. штаба под пред. Хрипина, которое по поручению нач. УВВС Я.И.Алксниса рассмотрела существующие проекты высотных самолетов. Решили обратиться к соответствующим инстанциям с материалами, обосновывающими необходимость срочной реализации самолета СБ-1, т.к. представленный проект разрешает целый ряд поставленных в данной области задач (2343,232).</w:t>
      </w:r>
    </w:p>
    <w:p w14:paraId="2DBB50A3" w14:textId="77777777" w:rsidR="00D4105E" w:rsidRPr="00E14102" w:rsidRDefault="00D4105E" w:rsidP="00E14102">
      <w:pPr>
        <w:autoSpaceDE w:val="0"/>
        <w:autoSpaceDN w:val="0"/>
        <w:adjustRightInd w:val="0"/>
        <w:jc w:val="both"/>
        <w:rPr>
          <w:color w:val="000000" w:themeColor="text1"/>
          <w:sz w:val="16"/>
          <w:szCs w:val="16"/>
        </w:rPr>
      </w:pPr>
    </w:p>
    <w:p w14:paraId="061158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проект фото разведчика ХАИ-6 С.Я.Жолтовского был передан в ЦОМ ХАИ и началось строительство (553,144).</w:t>
      </w:r>
    </w:p>
    <w:p w14:paraId="627C234C" w14:textId="77777777" w:rsidR="00D4105E" w:rsidRPr="00E14102" w:rsidRDefault="00D4105E" w:rsidP="00E14102">
      <w:pPr>
        <w:autoSpaceDE w:val="0"/>
        <w:autoSpaceDN w:val="0"/>
        <w:adjustRightInd w:val="0"/>
        <w:jc w:val="both"/>
        <w:rPr>
          <w:color w:val="000000" w:themeColor="text1"/>
          <w:sz w:val="16"/>
          <w:szCs w:val="16"/>
        </w:rPr>
      </w:pPr>
    </w:p>
    <w:p w14:paraId="4F6318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ХАИ-6 (СФР) передали в производство в только что выстроенный новый корпус ЦОМ ХАИ и заложили три (одну для прочностных испытаний). Первоначально летные испытания планировали на 1 сентября 1934, потом на 1 ноября 1934, потом - на 1 марта 1935 (1166,28).</w:t>
      </w:r>
    </w:p>
    <w:p w14:paraId="27BAD2BA" w14:textId="77777777" w:rsidR="00D4105E" w:rsidRPr="00E14102" w:rsidRDefault="00D4105E" w:rsidP="00E14102">
      <w:pPr>
        <w:autoSpaceDE w:val="0"/>
        <w:autoSpaceDN w:val="0"/>
        <w:adjustRightInd w:val="0"/>
        <w:jc w:val="both"/>
        <w:rPr>
          <w:color w:val="000000" w:themeColor="text1"/>
          <w:sz w:val="16"/>
          <w:szCs w:val="16"/>
        </w:rPr>
      </w:pPr>
    </w:p>
    <w:p w14:paraId="4532FF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года прошли первые гос. испытания ДИ-6. Был одобрен, но указан ряд недостатков (3538).</w:t>
      </w:r>
    </w:p>
    <w:p w14:paraId="5072CC30" w14:textId="77777777" w:rsidR="00D4105E" w:rsidRPr="00E14102" w:rsidRDefault="00D4105E" w:rsidP="00E14102">
      <w:pPr>
        <w:autoSpaceDE w:val="0"/>
        <w:autoSpaceDN w:val="0"/>
        <w:adjustRightInd w:val="0"/>
        <w:jc w:val="both"/>
        <w:rPr>
          <w:color w:val="000000" w:themeColor="text1"/>
          <w:sz w:val="16"/>
          <w:szCs w:val="16"/>
        </w:rPr>
      </w:pPr>
    </w:p>
    <w:p w14:paraId="5F102B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была закончена постройка АНТ-29 ДИП (1076,474).</w:t>
      </w:r>
    </w:p>
    <w:p w14:paraId="0A637919" w14:textId="77777777" w:rsidR="00D4105E" w:rsidRPr="00E14102" w:rsidRDefault="00D4105E" w:rsidP="00E14102">
      <w:pPr>
        <w:autoSpaceDE w:val="0"/>
        <w:autoSpaceDN w:val="0"/>
        <w:adjustRightInd w:val="0"/>
        <w:jc w:val="both"/>
        <w:rPr>
          <w:color w:val="000000" w:themeColor="text1"/>
          <w:sz w:val="16"/>
          <w:szCs w:val="16"/>
        </w:rPr>
      </w:pPr>
    </w:p>
    <w:p w14:paraId="252962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 начались испытания опытного ИП-1, построенного в 1934 г., которые успешно завершились в марте того же года. Самолет продемонстрировал высокую скорость и хорошую маневренность, что в сочетании с мощным вооружением делало его весьма перспективной боевой машиной. Особой похвалы военных удостоилась прекрасная устойчивость самолета на пикировании. Хотя тогда еще не рассматривались специальные ударные самолеты, атакующие именно в режиме пикирования, было очевидно, что ИП-1 имеет большие резервы. Его собирались применять как в составе звеньев и эскадрилий для борьбы с крупными соединениями бомбардировщиков, так и для поражения укрепленных наземных целей.</w:t>
      </w:r>
    </w:p>
    <w:p w14:paraId="3FB053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настолько понравился начальнику ВВС Я.Алкснису, что он потребовал от авиапромышленности сократить производство уже заказанных истребителей в пользу ИП-1. Поскольку истребитель Григоровича уже был запущен в серийное производство на заводе №21 в Нижнем Новгороде, то увеличить объем выпуска можно было только путем привлечения новых мощностей. ГУАГ1 предложил развернуть серийное производство ИП-1 на 125-м заводе, не дожидаясь окончания государственных испытаний. Военная приемка в Иркутске даже завела в своей переписке дело за №6, но ему не суждено было заполниться листами переписки.</w:t>
      </w:r>
    </w:p>
    <w:p w14:paraId="6A81E4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первой половине 1936 г. на заводе разрабатывали маршрутную технологию, готовили чертежи оснастки и специальных инструментов. Когда в Иркутске уже были готовы приступить непосредственно к изготовлению машины, выяснилось, что самолету присущ весьма опасный недостаток.</w:t>
      </w:r>
    </w:p>
    <w:p w14:paraId="142F5B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Летчик-испытатель НИИ ВВС П.М.Стефановский выявил неудовлетворительные штопорные характеристики, улучшить которые пытались установкой форкиля на вертикальном оперении. Однако это не помогло и во время контрольных полетов летчик-испытатель НИИ ВВС А.И.Никашин, так и не сумев вывести серийный ИП-1 №28 из плоского штопора, вынужден был покинуть машину с парашютом.</w:t>
      </w:r>
    </w:p>
    <w:p w14:paraId="77D256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этого серийное производство истребителя прекратили, а на 125-м заводе уничтожили весь задел - плазы, шаблоны и ряд деталей (12037).</w:t>
      </w:r>
    </w:p>
    <w:p w14:paraId="5B5FCFD8" w14:textId="77777777" w:rsidR="00D4105E" w:rsidRPr="00E14102" w:rsidRDefault="00D4105E" w:rsidP="00E14102">
      <w:pPr>
        <w:autoSpaceDE w:val="0"/>
        <w:autoSpaceDN w:val="0"/>
        <w:adjustRightInd w:val="0"/>
        <w:jc w:val="both"/>
        <w:rPr>
          <w:color w:val="000000" w:themeColor="text1"/>
          <w:sz w:val="16"/>
          <w:szCs w:val="16"/>
        </w:rPr>
      </w:pPr>
    </w:p>
    <w:p w14:paraId="05B58A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АНТ-27бис предъявили на гос. испытания, но они проходили с 6 июня по 1 июля 1935 (2072,75).</w:t>
      </w:r>
    </w:p>
    <w:p w14:paraId="20941151" w14:textId="77777777" w:rsidR="00D4105E" w:rsidRPr="00E14102" w:rsidRDefault="00D4105E" w:rsidP="00E14102">
      <w:pPr>
        <w:autoSpaceDE w:val="0"/>
        <w:autoSpaceDN w:val="0"/>
        <w:adjustRightInd w:val="0"/>
        <w:jc w:val="both"/>
        <w:rPr>
          <w:color w:val="000000" w:themeColor="text1"/>
          <w:sz w:val="16"/>
          <w:szCs w:val="16"/>
        </w:rPr>
      </w:pPr>
    </w:p>
    <w:p w14:paraId="6B6907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 изготовили головной самолет для треста "Аэрогеодезия", предназначенный для картографической съемки местности. Все вооружение сняли, так же как и опорное кольцо под турель. Вырез кабины летнаба расширили и назад, и вперед. Вперед перенесли ветровой козырек, существенно увеличив его размеры. Каркас кабины усилили дополнительной рамой и двумя подкосами. Чтобы разместить большой фотоаппарат, сиденье сдвинули назад, потеснив инструментальный ящик. Аппарат приводился ветрянкой на правом борту. В полу сделали люк диаметром в полметра. Радио и второе управление девать было уже некуда, и от них отказались. Позднее по этому образцу переделали более десятка самолетов (12034).</w:t>
      </w:r>
    </w:p>
    <w:p w14:paraId="374600E6" w14:textId="77777777" w:rsidR="00D4105E" w:rsidRPr="00E14102" w:rsidRDefault="00D4105E" w:rsidP="00E14102">
      <w:pPr>
        <w:autoSpaceDE w:val="0"/>
        <w:autoSpaceDN w:val="0"/>
        <w:adjustRightInd w:val="0"/>
        <w:jc w:val="both"/>
        <w:rPr>
          <w:color w:val="000000" w:themeColor="text1"/>
          <w:sz w:val="16"/>
          <w:szCs w:val="16"/>
        </w:rPr>
      </w:pPr>
    </w:p>
    <w:p w14:paraId="139D5B96" w14:textId="77777777" w:rsidR="00075C8D" w:rsidRPr="00E14102" w:rsidRDefault="00075C8D" w:rsidP="00E14102">
      <w:pPr>
        <w:jc w:val="both"/>
        <w:rPr>
          <w:color w:val="000000" w:themeColor="text1"/>
          <w:sz w:val="16"/>
          <w:szCs w:val="16"/>
        </w:rPr>
      </w:pPr>
      <w:r w:rsidRPr="00E14102">
        <w:rPr>
          <w:color w:val="000000" w:themeColor="text1"/>
          <w:sz w:val="16"/>
          <w:szCs w:val="16"/>
        </w:rPr>
        <w:t>В январе 1935 г. началось проектирование БОК-7, который создавался с учетом опыта, накопленного при создании БОК-1, поэтому поначалу считался модификацией этой первой машины. Определялся как стратосферный разведчик (СР), способный вести аэрофотосъемку с высоты 14–16 км. В связи с военным предназначением указывалось вооружение: бомбы 400 кг, 2 пулемета ШКАС в крыле и два пулемета ШКАС для обороны задней полусферы (19161).</w:t>
      </w:r>
    </w:p>
    <w:p w14:paraId="16CF4FC7" w14:textId="77777777" w:rsidR="00075C8D" w:rsidRPr="00E14102" w:rsidRDefault="00075C8D" w:rsidP="00E14102">
      <w:pPr>
        <w:jc w:val="both"/>
        <w:rPr>
          <w:color w:val="000000" w:themeColor="text1"/>
          <w:sz w:val="16"/>
          <w:szCs w:val="16"/>
        </w:rPr>
      </w:pPr>
    </w:p>
    <w:p w14:paraId="2A34474E" w14:textId="77777777" w:rsidR="008042DC" w:rsidRPr="00E14102" w:rsidRDefault="008042D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январе 1935 года И. Варшавский вдвоем с Г.М. Заславским представили в Отдел изобретений НКО записку с предложением спроектировать и построить легкий бомбардировщик с зеркальной маскировкой. Все работы предлагалось разбить на два этапа: проект бомбардировщика с возможностью приспособления его под зеркальную маскировку и серию работ по самой маскировке с возможностью ее применения к бомбардировщику КБ-2. В результате авторы обещали выдать «проект маскировочного самолета с прекрасными летными данными» и «не в ущерб его летным качествам осуществить жесткие требования к размерам и деформациям, предъявляемой светомаскировкой Варшавского».</w:t>
      </w:r>
    </w:p>
    <w:p w14:paraId="32A05626" w14:textId="77777777" w:rsidR="008042DC" w:rsidRPr="00E14102" w:rsidRDefault="008042D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Такой оптимизм был основан на том, что Заславский, более сведущий в авиации, нашел все-таки в качестве прототипа для своего бомбардировщика самолет, чей внешний вид хотя и был необычен для тех лет, но более всего подходил к требованиям Варшавского. И этот самолет уже летал! Правда, обшит он был не сталью, столь удобной для получения зеркальной поверхности, а фанерой. Он так и назывался – «Фанера-2». Чтобы сделать его поверхность зеркальной, нужен был специальный материал – армированная фанера.</w:t>
      </w:r>
    </w:p>
    <w:p w14:paraId="4C15CF56" w14:textId="77777777" w:rsidR="008042DC" w:rsidRPr="00E14102" w:rsidRDefault="008042D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Перед проектированием специального самолета было решено в качестве опыта переделать один из уже построенных самолетов «Фанера». Для этого предполагалось произвести небольшие изменения конструкции крыла для придания конструкции большей жесткости, чтобы уменьшить прогиб обшивки, и заменить обычную фанеру на армированную отполированной сталью.</w:t>
      </w:r>
    </w:p>
    <w:p w14:paraId="7BC006C8" w14:textId="77777777" w:rsidR="008042DC" w:rsidRPr="00E14102" w:rsidRDefault="008042D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Все работы предлагалось провести на базе КБ-2, где проектом заинтересовались Л.С. Бас-Дубов, Ларионов и Н. Ильин. В НИВК же маскировочная тематика планомерно свертывалась и часть сотрудников Варшавского, занимавшихся экспериментальной разработкой зеркальной маскировки, в это время уже была уволена (12703).</w:t>
      </w:r>
    </w:p>
    <w:p w14:paraId="10D1201E" w14:textId="77777777" w:rsidR="008042DC" w:rsidRPr="00E14102" w:rsidRDefault="008042DC" w:rsidP="00E14102">
      <w:pPr>
        <w:shd w:val="clear" w:color="auto" w:fill="FFFFFF"/>
        <w:jc w:val="both"/>
        <w:rPr>
          <w:color w:val="000000" w:themeColor="text1"/>
          <w:sz w:val="16"/>
          <w:szCs w:val="16"/>
        </w:rPr>
      </w:pPr>
    </w:p>
    <w:p w14:paraId="41C9E3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января 1935 г. конструкторские отделы на моторных заводах стали именоваться опытно-конструкторскими бюро (ОКБ). Бюро специализировались на определенных типах моторов, создавая по</w:t>
      </w:r>
      <w:r w:rsidRPr="00E14102">
        <w:rPr>
          <w:color w:val="000000" w:themeColor="text1"/>
          <w:sz w:val="16"/>
          <w:szCs w:val="16"/>
        </w:rPr>
        <w:softHyphen/>
        <w:t>степенно развивающиеся семейства двигателей. По отдельным моторам назначались ведущие конструкторы, которые координировали всю рабо</w:t>
      </w:r>
      <w:r w:rsidRPr="00E14102">
        <w:rPr>
          <w:color w:val="000000" w:themeColor="text1"/>
          <w:sz w:val="16"/>
          <w:szCs w:val="16"/>
        </w:rPr>
        <w:softHyphen/>
        <w:t>ту по ним. Опытные образцы изготавливались специальными цехами и участками предприятий. Параллельно с ОКБ, входившими в систему НКТП, а затем НКОП, дей</w:t>
      </w:r>
      <w:r w:rsidRPr="00E14102">
        <w:rPr>
          <w:color w:val="000000" w:themeColor="text1"/>
          <w:sz w:val="16"/>
          <w:szCs w:val="16"/>
        </w:rPr>
        <w:softHyphen/>
        <w:t>ствовали проектные организации ГВФ. Созданный в 1930 г. НИИ ГВФ приказом от 4 июля 1932 г. был разделен на три института, одним из которых являлся НИИ авиадвигателей (НИИ АД ГВФ). Последнему под</w:t>
      </w:r>
      <w:r w:rsidRPr="00E14102">
        <w:rPr>
          <w:color w:val="000000" w:themeColor="text1"/>
          <w:sz w:val="16"/>
          <w:szCs w:val="16"/>
        </w:rPr>
        <w:softHyphen/>
        <w:t>чинили на правах филиала появившийся немного ранее Украинский авиа</w:t>
      </w:r>
      <w:r w:rsidRPr="00E14102">
        <w:rPr>
          <w:color w:val="000000" w:themeColor="text1"/>
          <w:sz w:val="16"/>
          <w:szCs w:val="16"/>
        </w:rPr>
        <w:softHyphen/>
        <w:t>дизельный институт (УНИАДИ, первоначально Украинский НИИ ДВС) в Харькове. В конце 30-х годов НИИ АД влили обратно в НИИ ГВФ, а проектирование там новых моторов прекратили. Примерно на год раньше УНИАДИ подчинили заводу № 75 и специализировали на дизелях для танков. Осоавиахим своих конструкторских организаций не имел, но участво</w:t>
      </w:r>
      <w:r w:rsidRPr="00E14102">
        <w:rPr>
          <w:color w:val="000000" w:themeColor="text1"/>
          <w:sz w:val="16"/>
          <w:szCs w:val="16"/>
        </w:rPr>
        <w:softHyphen/>
        <w:t>вал в финансировании проектных работ по моторам малой мощности. Такие работы часто оформлялись как внеплановые. Их вели сотрудники различных организаций, в частности ЦИАМ. На каждый этап работы оформляли трудовые соглашения с каждым участником. Оплата производилась после выполнения определенных этапов. С самой организацией Осоавиахим заключал договор о внеплановой работе и перечислял не</w:t>
      </w:r>
      <w:r w:rsidRPr="00E14102">
        <w:rPr>
          <w:color w:val="000000" w:themeColor="text1"/>
          <w:sz w:val="16"/>
          <w:szCs w:val="16"/>
        </w:rPr>
        <w:softHyphen/>
        <w:t>обходимые деньги. В конце 30-х годов к проектированию авиамоторов вновь присоедини</w:t>
      </w:r>
      <w:r w:rsidRPr="00E14102">
        <w:rPr>
          <w:color w:val="000000" w:themeColor="text1"/>
          <w:sz w:val="16"/>
          <w:szCs w:val="16"/>
        </w:rPr>
        <w:softHyphen/>
        <w:t>лись органы государственной безопасности. Схема была та же, что и рань</w:t>
      </w:r>
      <w:r w:rsidRPr="00E14102">
        <w:rPr>
          <w:color w:val="000000" w:themeColor="text1"/>
          <w:sz w:val="16"/>
          <w:szCs w:val="16"/>
        </w:rPr>
        <w:softHyphen/>
        <w:t>ше. В местах заключения находилось много инженеров-моторостроителей, арестованных в 1937-1938 гг. как «вредители», «враги народа» и «ино</w:t>
      </w:r>
      <w:r w:rsidRPr="00E14102">
        <w:rPr>
          <w:color w:val="000000" w:themeColor="text1"/>
          <w:sz w:val="16"/>
          <w:szCs w:val="16"/>
        </w:rPr>
        <w:softHyphen/>
        <w:t>странные шпионы». Их собирали в Особом техническом бюро (ОТБ) Спецтехотдела НКВД. Вскоре оно фактически разделилось на два: одно на заводе № 82 в Тушино, занимавшееся дизелями, другое — на заводе № 27 в Казани, проектировавшее Х-образные моторы на базе узлов дви</w:t>
      </w:r>
      <w:r w:rsidRPr="00E14102">
        <w:rPr>
          <w:color w:val="000000" w:themeColor="text1"/>
          <w:sz w:val="16"/>
          <w:szCs w:val="16"/>
        </w:rPr>
        <w:softHyphen/>
        <w:t>гателя М-105. По мере достижения успехов конструкторов освобождали, но сами тюремные бюро просуществовали до 1946 г. (11852).</w:t>
      </w:r>
    </w:p>
    <w:p w14:paraId="792221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D65158A" w14:textId="77777777" w:rsidR="00464501" w:rsidRPr="00E14102" w:rsidRDefault="00464501" w:rsidP="00E14102">
      <w:pPr>
        <w:jc w:val="both"/>
        <w:rPr>
          <w:color w:val="000000" w:themeColor="text1"/>
          <w:sz w:val="16"/>
          <w:szCs w:val="16"/>
        </w:rPr>
      </w:pPr>
      <w:r w:rsidRPr="00E14102">
        <w:rPr>
          <w:color w:val="000000" w:themeColor="text1"/>
          <w:sz w:val="16"/>
          <w:szCs w:val="16"/>
        </w:rPr>
        <w:t>В январе 1935 г. В.А. Чижевский в докладе «О необходимых мероприятиях по подготовке к бою на высотах 10—12000 метров и выше» писал:</w:t>
      </w:r>
    </w:p>
    <w:p w14:paraId="19F82561" w14:textId="77777777" w:rsidR="00464501" w:rsidRPr="00E14102" w:rsidRDefault="00464501" w:rsidP="00E14102">
      <w:pPr>
        <w:jc w:val="both"/>
        <w:rPr>
          <w:color w:val="000000" w:themeColor="text1"/>
          <w:sz w:val="16"/>
          <w:szCs w:val="16"/>
        </w:rPr>
      </w:pPr>
      <w:r w:rsidRPr="00E14102">
        <w:rPr>
          <w:color w:val="000000" w:themeColor="text1"/>
          <w:sz w:val="16"/>
          <w:szCs w:val="16"/>
        </w:rPr>
        <w:t>«Положение нашего Союза таково, что мы ни на минуту не должны забывать о том, что в каждый данный момент может возникнуть война. Это обязывает нас быть готовыми не только к ведению войны на суше, на море, в воздухе, но и в стратосфере.</w:t>
      </w:r>
    </w:p>
    <w:p w14:paraId="5FBEB056" w14:textId="77777777" w:rsidR="00464501" w:rsidRPr="00E14102" w:rsidRDefault="00464501" w:rsidP="00E14102">
      <w:pPr>
        <w:jc w:val="both"/>
        <w:rPr>
          <w:color w:val="000000" w:themeColor="text1"/>
          <w:sz w:val="16"/>
          <w:szCs w:val="16"/>
        </w:rPr>
      </w:pPr>
      <w:r w:rsidRPr="00E14102">
        <w:rPr>
          <w:color w:val="000000" w:themeColor="text1"/>
          <w:sz w:val="16"/>
          <w:szCs w:val="16"/>
        </w:rPr>
        <w:t>…Рассматривая условия боя на высоте 10–12 километров, мы видим, что они весьма отличаются от земных. В самом деле, атмосфера там настолько разрежена, что человек, даже пользуясь кислородной маской, находится на грани потери сознания. Пилоты, летавшие на высоте свыше 12-ти километров, указывали почти единогласно на то, что ими овладевает сонливость, слабость, и некоторые теряли сознание, приходя в себя значительно позже на высоте 6-4-х километров. Это имело место в условиях спокойной работы с людьми, длительно и тщательно готовившимися к полётам на этой высоте. В боевой обстановке от лётчика и, особенно, от наблюдателя потребуется большое нервное напряжение и значительные мускульные усилия, а это, как показывают врачебные исследования, ограничивает активность человека высотой 9-10 километров. Низкая температура влечёт запотевание очков, а если их снять — смерзание век.</w:t>
      </w:r>
    </w:p>
    <w:p w14:paraId="317FB2A1" w14:textId="77777777" w:rsidR="00464501" w:rsidRPr="00E14102" w:rsidRDefault="00464501" w:rsidP="00E14102">
      <w:pPr>
        <w:jc w:val="both"/>
        <w:rPr>
          <w:color w:val="000000" w:themeColor="text1"/>
          <w:sz w:val="16"/>
          <w:szCs w:val="16"/>
        </w:rPr>
      </w:pPr>
      <w:r w:rsidRPr="00E14102">
        <w:rPr>
          <w:color w:val="000000" w:themeColor="text1"/>
          <w:sz w:val="16"/>
          <w:szCs w:val="16"/>
        </w:rPr>
        <w:t>Ниже мы рассмотрим бой трёх истребителей на высоте 12-ти километров.</w:t>
      </w:r>
    </w:p>
    <w:p w14:paraId="0AF486BC" w14:textId="77777777" w:rsidR="00464501" w:rsidRPr="00E14102" w:rsidRDefault="00464501" w:rsidP="00E14102">
      <w:pPr>
        <w:jc w:val="both"/>
        <w:rPr>
          <w:color w:val="000000" w:themeColor="text1"/>
          <w:sz w:val="16"/>
          <w:szCs w:val="16"/>
        </w:rPr>
      </w:pPr>
      <w:r w:rsidRPr="00E14102">
        <w:rPr>
          <w:color w:val="000000" w:themeColor="text1"/>
          <w:sz w:val="16"/>
          <w:szCs w:val="16"/>
        </w:rPr>
        <w:t>Истребитель А ведёт лётчик, имеющий тёплый комбинезон, очки и кислородную маску обычного типа. Истребитель А встречается с истребителем Б, имеющим на борту пилота в скафандре. Самочувствие пилота Б (мы соответственно истребителям будем именовать и лётчика) будет во много раз лучше, чем пилота А: давление в скафандре будет близким к атмосферному, воздух, обогащённый кислородом, наполняет скафандр. Правда, движения пилота стеснены раздувшимся скафандром, но, несмотря на это, высокое моральной состояние и хорошее самочувствие решают итоги боя в пользу пилота Б.</w:t>
      </w:r>
    </w:p>
    <w:p w14:paraId="61E18F45" w14:textId="77777777" w:rsidR="00464501" w:rsidRPr="00E14102" w:rsidRDefault="00464501" w:rsidP="00E14102">
      <w:pPr>
        <w:jc w:val="both"/>
        <w:rPr>
          <w:color w:val="000000" w:themeColor="text1"/>
          <w:sz w:val="16"/>
          <w:szCs w:val="16"/>
        </w:rPr>
      </w:pPr>
      <w:r w:rsidRPr="00E14102">
        <w:rPr>
          <w:color w:val="000000" w:themeColor="text1"/>
          <w:sz w:val="16"/>
          <w:szCs w:val="16"/>
        </w:rPr>
        <w:t>В этот момент появляется истребитель В с пилотом, сидящим в герметической кабине. Пилот В чувствует себя в кабине лучше, чем пилот Б, и, тем более, пилот А. Легко дышится, тепло, никаких неудобств от потока воздуха, движения свободны. Зеркальные стекла кабины, подогреваемые в целях предохранения от замерзания и снабжённые кроме того электрическими дворниками, дают великолепный обзор пилоту В. Пилот В легко выходит победителем.</w:t>
      </w:r>
    </w:p>
    <w:p w14:paraId="25423404" w14:textId="77777777" w:rsidR="00464501" w:rsidRPr="00E14102" w:rsidRDefault="00464501" w:rsidP="00E14102">
      <w:pPr>
        <w:jc w:val="both"/>
        <w:rPr>
          <w:color w:val="000000" w:themeColor="text1"/>
          <w:sz w:val="16"/>
          <w:szCs w:val="16"/>
        </w:rPr>
      </w:pPr>
      <w:r w:rsidRPr="00E14102">
        <w:rPr>
          <w:color w:val="000000" w:themeColor="text1"/>
          <w:sz w:val="16"/>
          <w:szCs w:val="16"/>
        </w:rPr>
        <w:t>Многим покажутся эти рассуждения слишком простыми, но факт остаётся фактом. Двенадцать человек, работающие в подводной лодке, во много раз боеспособнее, чем 100 водолазов, спущенных в воду в своих водолазных костюмах.</w:t>
      </w:r>
    </w:p>
    <w:p w14:paraId="77D25125" w14:textId="77777777" w:rsidR="00464501" w:rsidRPr="00E14102" w:rsidRDefault="00464501" w:rsidP="00E14102">
      <w:pPr>
        <w:jc w:val="both"/>
        <w:rPr>
          <w:color w:val="000000" w:themeColor="text1"/>
          <w:sz w:val="16"/>
          <w:szCs w:val="16"/>
        </w:rPr>
      </w:pPr>
      <w:r w:rsidRPr="00E14102">
        <w:rPr>
          <w:color w:val="000000" w:themeColor="text1"/>
          <w:sz w:val="16"/>
          <w:szCs w:val="16"/>
        </w:rPr>
        <w:t>…Кабину я считаю обязательной для боевых полётов свыше 10-ти километров, т. к. она обеспечивает наилучшую работоспособность экипажа.</w:t>
      </w:r>
    </w:p>
    <w:p w14:paraId="5A7FF485" w14:textId="77777777" w:rsidR="00464501" w:rsidRPr="00E14102" w:rsidRDefault="00464501" w:rsidP="00E14102">
      <w:pPr>
        <w:jc w:val="both"/>
        <w:rPr>
          <w:color w:val="000000" w:themeColor="text1"/>
          <w:sz w:val="16"/>
          <w:szCs w:val="16"/>
        </w:rPr>
      </w:pPr>
      <w:r w:rsidRPr="00E14102">
        <w:rPr>
          <w:color w:val="000000" w:themeColor="text1"/>
          <w:sz w:val="16"/>
          <w:szCs w:val="16"/>
        </w:rPr>
        <w:t>Первым и существенным требованием к кабине является хороший обзор. Достигается обустройством цилиндрической или конусообразной башни над головой пилота и наблюдателя. Башня имеет стёкла, дающие круговой обзор. Для обзора земли непосредственно под самолётом в полу кабины делаются также окна и может быть установлен специальный перископ с большим углом зрения. Устройством подогрева электрического или в виде струи тёплого воздуха от глушителя мотора стёкла должны быть предохранены от замерзания. Запотевание устраняется электрическим дворником.</w:t>
      </w:r>
    </w:p>
    <w:p w14:paraId="79D48AB9" w14:textId="77777777" w:rsidR="00464501" w:rsidRPr="00E14102" w:rsidRDefault="00464501" w:rsidP="00E14102">
      <w:pPr>
        <w:jc w:val="both"/>
        <w:rPr>
          <w:color w:val="000000" w:themeColor="text1"/>
          <w:sz w:val="16"/>
          <w:szCs w:val="16"/>
        </w:rPr>
      </w:pPr>
      <w:r w:rsidRPr="00E14102">
        <w:rPr>
          <w:color w:val="000000" w:themeColor="text1"/>
          <w:sz w:val="16"/>
          <w:szCs w:val="16"/>
        </w:rPr>
        <w:lastRenderedPageBreak/>
        <w:t>В случае одноместного истребителя прицел помещается вне кабины перед передним окном. Управление огнём пулемёта производится нажатием рычажка на ручке управления. Вывод управления огнём из герметической кабины никакого затруднения не представляет. Значительно сложнее получается управление задним турельным пулемётом в случае двухместного самолёта.</w:t>
      </w:r>
    </w:p>
    <w:p w14:paraId="69DAD770" w14:textId="77777777" w:rsidR="00464501" w:rsidRPr="00E14102" w:rsidRDefault="00464501" w:rsidP="00E14102">
      <w:pPr>
        <w:jc w:val="both"/>
        <w:rPr>
          <w:color w:val="000000" w:themeColor="text1"/>
          <w:sz w:val="16"/>
          <w:szCs w:val="16"/>
        </w:rPr>
      </w:pPr>
      <w:r w:rsidRPr="00E14102">
        <w:rPr>
          <w:color w:val="000000" w:themeColor="text1"/>
          <w:sz w:val="16"/>
          <w:szCs w:val="16"/>
        </w:rPr>
        <w:t xml:space="preserve">…Эти вопросы Бюро Особых Конструкций завода № 35 сейчас прорабатывает применительно к проектируемому стратосферному разведчику, являющемуся модификацией стратосферного самолёта БОК-1 (СС), находящегося сейчас в постройке на заводе № 35 (Смоленск)» </w:t>
      </w:r>
      <w:hyperlink r:id="rId31" w:history="1">
        <w:r w:rsidRPr="00E14102">
          <w:rPr>
            <w:color w:val="000000" w:themeColor="text1"/>
            <w:sz w:val="16"/>
            <w:szCs w:val="16"/>
          </w:rPr>
          <w:t>[171]</w:t>
        </w:r>
      </w:hyperlink>
      <w:r w:rsidRPr="00E14102">
        <w:rPr>
          <w:color w:val="000000" w:themeColor="text1"/>
          <w:sz w:val="16"/>
          <w:szCs w:val="16"/>
        </w:rPr>
        <w:t xml:space="preserve"> (17489).</w:t>
      </w:r>
    </w:p>
    <w:p w14:paraId="0B87C3D3" w14:textId="77777777" w:rsidR="00464501" w:rsidRPr="00E14102" w:rsidRDefault="00464501" w:rsidP="00E14102">
      <w:pPr>
        <w:jc w:val="both"/>
        <w:rPr>
          <w:color w:val="000000" w:themeColor="text1"/>
          <w:sz w:val="16"/>
          <w:szCs w:val="16"/>
        </w:rPr>
      </w:pPr>
    </w:p>
    <w:p w14:paraId="72702AD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январе 1935 начался серийный выпуск дви</w:t>
      </w:r>
      <w:r w:rsidRPr="00E14102">
        <w:rPr>
          <w:color w:val="000000" w:themeColor="text1"/>
          <w:sz w:val="16"/>
          <w:szCs w:val="16"/>
        </w:rPr>
        <w:softHyphen/>
        <w:t>гателей М-34 с экранированным зажиганием, не создающим помехи для радиостанции, а полностью на него перешли к нача</w:t>
      </w:r>
      <w:r w:rsidRPr="00E14102">
        <w:rPr>
          <w:color w:val="000000" w:themeColor="text1"/>
          <w:sz w:val="16"/>
          <w:szCs w:val="16"/>
        </w:rPr>
        <w:softHyphen/>
        <w:t>лу июля. Вторая стадия модернизации М-34 именовалась «типом Б». В ее рамках «ужесточили» картер, ввели облегченный коленчатый вал с изменен</w:t>
      </w:r>
      <w:r w:rsidRPr="00E14102">
        <w:rPr>
          <w:color w:val="000000" w:themeColor="text1"/>
          <w:sz w:val="16"/>
          <w:szCs w:val="16"/>
        </w:rPr>
        <w:softHyphen/>
        <w:t>ным носком, поставили карбюратор К-34Б и доработали нагнетатель. Так появились М-34НБ и М-34РНБ, за</w:t>
      </w:r>
      <w:r w:rsidRPr="00E14102">
        <w:rPr>
          <w:color w:val="000000" w:themeColor="text1"/>
          <w:sz w:val="16"/>
          <w:szCs w:val="16"/>
        </w:rPr>
        <w:softHyphen/>
        <w:t>пущенные в серию в октябре 1935 г. На последнем внедрили облегченный редуктор, так что при равной мощ</w:t>
      </w:r>
      <w:r w:rsidRPr="00E14102">
        <w:rPr>
          <w:color w:val="000000" w:themeColor="text1"/>
          <w:sz w:val="16"/>
          <w:szCs w:val="16"/>
        </w:rPr>
        <w:softHyphen/>
        <w:t>ности вес получился меньше, чем у М-34РНА - 725 кг. Вариант М-34РБ выпускался в не</w:t>
      </w:r>
      <w:r w:rsidRPr="00E14102">
        <w:rPr>
          <w:color w:val="000000" w:themeColor="text1"/>
          <w:sz w:val="16"/>
          <w:szCs w:val="16"/>
        </w:rPr>
        <w:softHyphen/>
        <w:t>больших количествах, но впослед</w:t>
      </w:r>
      <w:r w:rsidRPr="00E14102">
        <w:rPr>
          <w:color w:val="000000" w:themeColor="text1"/>
          <w:sz w:val="16"/>
          <w:szCs w:val="16"/>
        </w:rPr>
        <w:softHyphen/>
        <w:t>ствии их много «всплыло» в ходе ремонтов (в 1938-39 годах с М-34РНБ на предприятиях ГВФ снимали нагне</w:t>
      </w:r>
      <w:r w:rsidRPr="00E14102">
        <w:rPr>
          <w:color w:val="000000" w:themeColor="text1"/>
          <w:sz w:val="16"/>
          <w:szCs w:val="16"/>
        </w:rPr>
        <w:softHyphen/>
        <w:t>татели, чтобы продлить ресурс дви</w:t>
      </w:r>
      <w:r w:rsidRPr="00E14102">
        <w:rPr>
          <w:color w:val="000000" w:themeColor="text1"/>
          <w:sz w:val="16"/>
          <w:szCs w:val="16"/>
        </w:rPr>
        <w:softHyphen/>
        <w:t>гателей. Так получались дополнитель</w:t>
      </w:r>
      <w:r w:rsidRPr="00E14102">
        <w:rPr>
          <w:color w:val="000000" w:themeColor="text1"/>
          <w:sz w:val="16"/>
          <w:szCs w:val="16"/>
        </w:rPr>
        <w:softHyphen/>
        <w:t>ные М-34РБ) (11848).</w:t>
      </w:r>
    </w:p>
    <w:p w14:paraId="5428C5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B34B8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Ранним январским утром 1935 года Трашутин прибыл на местный аэро</w:t>
      </w:r>
      <w:r w:rsidRPr="00E14102">
        <w:rPr>
          <w:color w:val="000000" w:themeColor="text1"/>
          <w:sz w:val="16"/>
          <w:szCs w:val="16"/>
        </w:rPr>
        <w:softHyphen/>
        <w:t>дром. Здесь были и Челпан, и Вихман, и другие конструкторы и инженеры дизельного отдела. Предстояло испытать дизель БД-2А в рабочих условиях.</w:t>
      </w:r>
    </w:p>
    <w:p w14:paraId="7090E5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Взревел двигатель самолета: он работал ровно и четко. Самолет стре</w:t>
      </w:r>
      <w:r w:rsidRPr="00E14102">
        <w:rPr>
          <w:color w:val="000000" w:themeColor="text1"/>
          <w:sz w:val="16"/>
          <w:szCs w:val="16"/>
        </w:rPr>
        <w:softHyphen/>
        <w:t>мительно разбежался, поднялся в воздух.</w:t>
      </w:r>
    </w:p>
    <w:p w14:paraId="01CBED0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Несколько полетов показали надежную работу двигателя, и было ре</w:t>
      </w:r>
      <w:r w:rsidRPr="00E14102">
        <w:rPr>
          <w:color w:val="000000" w:themeColor="text1"/>
          <w:sz w:val="16"/>
          <w:szCs w:val="16"/>
        </w:rPr>
        <w:softHyphen/>
        <w:t>шено везти самолет в Москву. Разрешение было получено.</w:t>
      </w:r>
    </w:p>
    <w:p w14:paraId="075097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Как рассказал Владимир Константинович Эрдели, в Москву напра</w:t>
      </w:r>
      <w:r w:rsidRPr="00E14102">
        <w:rPr>
          <w:color w:val="000000" w:themeColor="text1"/>
          <w:sz w:val="16"/>
          <w:szCs w:val="16"/>
        </w:rPr>
        <w:softHyphen/>
        <w:t>вился целый эшелон новинок, рожденных и изготовленных на ХПЗ: па</w:t>
      </w:r>
      <w:r w:rsidRPr="00E14102">
        <w:rPr>
          <w:color w:val="000000" w:themeColor="text1"/>
          <w:sz w:val="16"/>
          <w:szCs w:val="16"/>
        </w:rPr>
        <w:softHyphen/>
        <w:t>ровоз «СО» — Серго Орджоникидзе, два танка БТ-5 с установленным в них дизелем БД-2 и самолет Р-5, тоже с дизелем БД-2А.</w:t>
      </w:r>
    </w:p>
    <w:p w14:paraId="39D7D7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Трашутин и другие конструкторы заранее вылетели в столицу, чтобы встретить эшелона перевезти Р-5 на Ходынское поле, состыковать крылья с фюзеляжем и подготовить самолет к полетам.</w:t>
      </w:r>
    </w:p>
    <w:p w14:paraId="286A09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Наступили тревожные дни ожидания. На аэродром приехали Воро</w:t>
      </w:r>
      <w:r w:rsidRPr="00E14102">
        <w:rPr>
          <w:color w:val="000000" w:themeColor="text1"/>
          <w:sz w:val="16"/>
          <w:szCs w:val="16"/>
        </w:rPr>
        <w:softHyphen/>
        <w:t>шилов, Буденный, Алкснис.</w:t>
      </w:r>
    </w:p>
    <w:p w14:paraId="06ED4C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Нарком авиационной промышленности Петр Ионович Баранов сооб</w:t>
      </w:r>
      <w:r w:rsidRPr="00E14102">
        <w:rPr>
          <w:color w:val="000000" w:themeColor="text1"/>
          <w:sz w:val="16"/>
          <w:szCs w:val="16"/>
        </w:rPr>
        <w:softHyphen/>
        <w:t>щил, что специальная комиссия, в состав которой вошли опытные летчи</w:t>
      </w:r>
      <w:r w:rsidRPr="00E14102">
        <w:rPr>
          <w:color w:val="000000" w:themeColor="text1"/>
          <w:sz w:val="16"/>
          <w:szCs w:val="16"/>
        </w:rPr>
        <w:softHyphen/>
        <w:t>ки и конструкторы, должны ознакомиться с дизелем.</w:t>
      </w:r>
    </w:p>
    <w:p w14:paraId="589000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Конкурировать с авиационным мотором М-34 конструкции А.А.Ми-кулина новому дизелю БД-2А было нелегко. Мощность его была чуть ли не на половину меньше, чем у М-34. На его стороне было только преиму</w:t>
      </w:r>
      <w:r w:rsidRPr="00E14102">
        <w:rPr>
          <w:color w:val="000000" w:themeColor="text1"/>
          <w:sz w:val="16"/>
          <w:szCs w:val="16"/>
        </w:rPr>
        <w:softHyphen/>
        <w:t>щества дизеля перед бензиновым карбюраторным двигателем. Только и всего. Правда, мощность в будущем можно было форсировать, для этого в БД-2А имелись резервы. Но... Началась полоса неудач. Авария следовала за аварией. Мотор не приняли.</w:t>
      </w:r>
    </w:p>
    <w:p w14:paraId="2766E0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январе 1935 года самолет с дизелем БД-2А эшелоном доставили в Москву, — вспоминал один из участников этих «смотрин». — Дизель дол</w:t>
      </w:r>
      <w:r w:rsidRPr="00E14102">
        <w:rPr>
          <w:color w:val="000000" w:themeColor="text1"/>
          <w:sz w:val="16"/>
          <w:szCs w:val="16"/>
        </w:rPr>
        <w:softHyphen/>
        <w:t>го не запускался. Таких очковтирателей, каким был директор ХПЗ И.П. Бондаренко, было немало.</w:t>
      </w:r>
    </w:p>
    <w:p w14:paraId="30C850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Приходится удивляться не тому, что абсолютно не отработанный ди</w:t>
      </w:r>
      <w:r w:rsidRPr="00E14102">
        <w:rPr>
          <w:color w:val="000000" w:themeColor="text1"/>
          <w:sz w:val="16"/>
          <w:szCs w:val="16"/>
        </w:rPr>
        <w:softHyphen/>
        <w:t>зель БД-2 с моторесурсом от 0 до 3-4 часов был водружен на самолет и официально предъявлен госкомиссии, а тому, какой уважающий себя Пилот рискнул подняться в воздух с таким дизелем, ведь авария могла Произойти в любой момент» (Воспоминания М.П.Поддубного. Хранят</w:t>
      </w:r>
      <w:r w:rsidRPr="00E14102">
        <w:rPr>
          <w:color w:val="000000" w:themeColor="text1"/>
          <w:sz w:val="16"/>
          <w:szCs w:val="16"/>
        </w:rPr>
        <w:softHyphen/>
        <w:t>ся на кафедре двигателей ВАБТВ им.Р.Я.Малиновского).</w:t>
      </w:r>
    </w:p>
    <w:p w14:paraId="0FBEA40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Михаил Петрович Поддубный, в то время работавший в ЦИАМе и, Приехавший наблюдать на Ходынское поле за полетом Р-5 с дизелем АН-1 конструкции А.Д.Чаромского, над созданием которого он также работал, ничуть не драматизировал события.</w:t>
      </w:r>
    </w:p>
    <w:p w14:paraId="1FA737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Трашутин понимал, что конкурировать с М-34, к этому времени фор</w:t>
      </w:r>
      <w:r w:rsidRPr="00E14102">
        <w:rPr>
          <w:color w:val="000000" w:themeColor="text1"/>
          <w:sz w:val="16"/>
          <w:szCs w:val="16"/>
        </w:rPr>
        <w:softHyphen/>
        <w:t>сированным до 750 л.с. и имевшим взлетную мощность 830 «лошадей», уже отработанным и выпускаемым серийно в Рыбинске, было преждевре</w:t>
      </w:r>
      <w:r w:rsidRPr="00E14102">
        <w:rPr>
          <w:color w:val="000000" w:themeColor="text1"/>
          <w:sz w:val="16"/>
          <w:szCs w:val="16"/>
        </w:rPr>
        <w:softHyphen/>
        <w:t>менно и нелегко. Кроме того, Микулин уже вел работы по форсированию мощности двигателя до 1000 л.с. Чтобы угнаться за такой мощностью, нужно было менять размерность всего двигателя БД-2А.</w:t>
      </w:r>
    </w:p>
    <w:p w14:paraId="6CFC67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 Трашутин не искал оправданий, он понимал: авария — итог недо</w:t>
      </w:r>
      <w:r w:rsidRPr="00E14102">
        <w:rPr>
          <w:color w:val="000000" w:themeColor="text1"/>
          <w:sz w:val="16"/>
          <w:szCs w:val="16"/>
        </w:rPr>
        <w:softHyphen/>
        <w:t>работок, спешки, поиска, наконец. Успокаивая себя тем, что какое-то количество неисправностей они сведут к минимуму, а уж затем полнос</w:t>
      </w:r>
      <w:r w:rsidRPr="00E14102">
        <w:rPr>
          <w:color w:val="000000" w:themeColor="text1"/>
          <w:sz w:val="16"/>
          <w:szCs w:val="16"/>
        </w:rPr>
        <w:softHyphen/>
        <w:t>тью их устранят.</w:t>
      </w:r>
    </w:p>
    <w:p w14:paraId="2A12F5E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Надо отметить, что почти невозможно было конкурировать и с дизе</w:t>
      </w:r>
      <w:r w:rsidRPr="00E14102">
        <w:rPr>
          <w:color w:val="000000" w:themeColor="text1"/>
          <w:sz w:val="16"/>
          <w:szCs w:val="16"/>
        </w:rPr>
        <w:softHyphen/>
        <w:t>лем Чаромского АН-1. Его первоначальная проектная мощность была 750-1000 л.с. и он имел вес около 1700 кг. Однако после доработки, его вес удалось снизить до 1300 кг и в 1935 году дизель был принят к серийному производству для авиации дальнего действия.</w:t>
      </w:r>
    </w:p>
    <w:p w14:paraId="347029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 АН-1 имел слишком большие мощности и габариты и для установ</w:t>
      </w:r>
      <w:r w:rsidRPr="00E14102">
        <w:rPr>
          <w:color w:val="000000" w:themeColor="text1"/>
          <w:sz w:val="16"/>
          <w:szCs w:val="16"/>
        </w:rPr>
        <w:softHyphen/>
        <w:t>ки в легкие танки серии БТ не годился. Во время «смотрин» на всех чле</w:t>
      </w:r>
      <w:r w:rsidRPr="00E14102">
        <w:rPr>
          <w:color w:val="000000" w:themeColor="text1"/>
          <w:sz w:val="16"/>
          <w:szCs w:val="16"/>
        </w:rPr>
        <w:softHyphen/>
        <w:t>нов правительства произвел впечатление двигатель М-34 Александра Микулина и он ходил по Ходынскому полю именинником (11504).</w:t>
      </w:r>
    </w:p>
    <w:p w14:paraId="4DFA04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B93CA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 МГ-31 впер</w:t>
      </w:r>
      <w:r w:rsidRPr="00E14102">
        <w:rPr>
          <w:color w:val="000000" w:themeColor="text1"/>
          <w:sz w:val="16"/>
          <w:szCs w:val="16"/>
        </w:rPr>
        <w:softHyphen/>
        <w:t>вые выставили на госиспытания, но два мотора довольно быстро вышли из строя. В феврале проводились повторные госиспытания, но двигатель опять не справился с программой — начали отворачиваться головки ци</w:t>
      </w:r>
      <w:r w:rsidRPr="00E14102">
        <w:rPr>
          <w:color w:val="000000" w:themeColor="text1"/>
          <w:sz w:val="16"/>
          <w:szCs w:val="16"/>
        </w:rPr>
        <w:softHyphen/>
        <w:t>линдров. Лишь в 1936 г. МГ-31 прошел госиспытания. В январе — фев</w:t>
      </w:r>
      <w:r w:rsidRPr="00E14102">
        <w:rPr>
          <w:color w:val="000000" w:themeColor="text1"/>
          <w:sz w:val="16"/>
          <w:szCs w:val="16"/>
        </w:rPr>
        <w:softHyphen/>
        <w:t>рале 1937 г. двигатель успешно опробовали на самолете «Сталь-2». С 1936 г. МГ-31 серийно выпускался заводом № 82, с конца 1937 г. его сменил усовершенствованный МГ-31 Ф. В общей сложности изготовили 129 экз. Производство было прекращено в связи с передачей предприятия в ведение НКВД. По постановлению от июля 1939 г. выпуск МГ-31 дол</w:t>
      </w:r>
      <w:r w:rsidRPr="00E14102">
        <w:rPr>
          <w:color w:val="000000" w:themeColor="text1"/>
          <w:sz w:val="16"/>
          <w:szCs w:val="16"/>
        </w:rPr>
        <w:softHyphen/>
        <w:t>жен был освоить завод № 16 в Воронеже. К концу года предполагался выпуск первой серии из 10 моторов, но практически ни одного МГ-31 в Воронеже не собрали. После окончания войны предлагали восстановить производство МГ-31 на каком-либо предприятии, но затем от этой идеи отказались.</w:t>
      </w:r>
    </w:p>
    <w:p w14:paraId="3FD2514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Моторы МГ-31 Ф эксплуатировались до конца 1946 г.</w:t>
      </w:r>
    </w:p>
    <w:p w14:paraId="02848D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Характеристики:</w:t>
      </w:r>
    </w:p>
    <w:p w14:paraId="32323B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9-цилиндровый, звездообразный, воздушного охлаждения, четырех</w:t>
      </w:r>
      <w:r w:rsidRPr="00E14102">
        <w:rPr>
          <w:color w:val="000000" w:themeColor="text1"/>
          <w:sz w:val="16"/>
          <w:szCs w:val="16"/>
        </w:rPr>
        <w:softHyphen/>
        <w:t>тактный, безредукторный, с одноступенчатым односкоростным ПЦН;</w:t>
      </w:r>
    </w:p>
    <w:p w14:paraId="4C1DD01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объем 15,5;</w:t>
      </w:r>
    </w:p>
    <w:p w14:paraId="2EC4BB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диаметр цилиндра/ход поршня 125/140 мм:</w:t>
      </w:r>
    </w:p>
    <w:p w14:paraId="4C5AF43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степень сжатия 5,0;</w:t>
      </w:r>
    </w:p>
    <w:p w14:paraId="585801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мощность и вес в зависимости от модификации.</w:t>
      </w:r>
    </w:p>
    <w:p w14:paraId="434A00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Известны следующие модификации:</w:t>
      </w:r>
    </w:p>
    <w:p w14:paraId="08F564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МГ-31, серийно выпускался с 1936 г. Мощность 270/320 л.с. (реально получено на испытаниях 270/310 л.с.), вес 247 кг.</w:t>
      </w:r>
    </w:p>
    <w:p w14:paraId="4922941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МГ-31 А, усовершенствованный опытный образец 1936 г.</w:t>
      </w:r>
    </w:p>
    <w:p w14:paraId="4E97E5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МГ-31 Н, опытный вариант с непосредственным впрыском.</w:t>
      </w:r>
    </w:p>
    <w:p w14:paraId="345729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МГ-31 Ф, форсированный вариант. Прошел заводские испытания в 1937 г. и в том же году запущен в серию. Имел усиленные поршни и шатуны, усовершенствованную маслосистему, привод синхронизато</w:t>
      </w:r>
      <w:r w:rsidRPr="00E14102">
        <w:rPr>
          <w:color w:val="000000" w:themeColor="text1"/>
          <w:sz w:val="16"/>
          <w:szCs w:val="16"/>
        </w:rPr>
        <w:softHyphen/>
        <w:t>ра. Мощность 270/335 кг, вес 250 кг (по другим данным, 255 кг).</w:t>
      </w:r>
    </w:p>
    <w:p w14:paraId="0ECE100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МГ-31ФН, опытный образец 1937 г. на базе МГ-31Ф с непосредствен</w:t>
      </w:r>
      <w:r w:rsidRPr="00E14102">
        <w:rPr>
          <w:color w:val="000000" w:themeColor="text1"/>
          <w:sz w:val="16"/>
          <w:szCs w:val="16"/>
        </w:rPr>
        <w:softHyphen/>
        <w:t>ным впрыском топлива.</w:t>
      </w:r>
    </w:p>
    <w:p w14:paraId="124949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МГ-31Ф2, опытный образец, проходил заводские испытания. Подроб</w:t>
      </w:r>
      <w:r w:rsidRPr="00E14102">
        <w:rPr>
          <w:color w:val="000000" w:themeColor="text1"/>
          <w:sz w:val="16"/>
          <w:szCs w:val="16"/>
        </w:rPr>
        <w:softHyphen/>
        <w:t>ности неизвестны.</w:t>
      </w:r>
    </w:p>
    <w:p w14:paraId="20A17A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Моторы МГ-31 устанавливались на серийных самолетах «Сталь-2», опытных УТИ-5 (НВ-2бис), У-5 (ЛШ), МА-1, Ш-7, ЛИГ-8, ДКЛ, РАФ-11, РАФ-Ибис, П-3 (ЛИГ-5), СХ-1 (ЛИГ-10), САМ-16 (недостроен), вертолете «Омега-П» (2МГ). Использование МГ-31 предусматривалось также про</w:t>
      </w:r>
      <w:r w:rsidRPr="00E14102">
        <w:rPr>
          <w:color w:val="000000" w:themeColor="text1"/>
          <w:sz w:val="16"/>
          <w:szCs w:val="16"/>
        </w:rPr>
        <w:softHyphen/>
        <w:t>ектами МБР-6 и УТ-3 (11852).</w:t>
      </w:r>
    </w:p>
    <w:p w14:paraId="6DEBBE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7EE65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прошла испытания стрелковая установка для И-16, разработанная Шпитальным, но затем заводом N 39 по предложению ВВС в нее внесено несколько изменений и с этими изменениями она вновь испытывалась (3479).</w:t>
      </w:r>
    </w:p>
    <w:p w14:paraId="5FC09D1B" w14:textId="77777777" w:rsidR="00D4105E" w:rsidRPr="00E14102" w:rsidRDefault="00D4105E" w:rsidP="00E14102">
      <w:pPr>
        <w:autoSpaceDE w:val="0"/>
        <w:autoSpaceDN w:val="0"/>
        <w:adjustRightInd w:val="0"/>
        <w:jc w:val="both"/>
        <w:rPr>
          <w:color w:val="000000" w:themeColor="text1"/>
          <w:sz w:val="16"/>
          <w:szCs w:val="16"/>
        </w:rPr>
      </w:pPr>
    </w:p>
    <w:p w14:paraId="7B57F22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январе 1935 вышел Приказ НИИ ВВС № 02 О полигонных испытаниях вооружения самолета И-16 с нормально установленными двумя пулеметами ШКАС по одному в крыле.</w:t>
      </w:r>
    </w:p>
    <w:p w14:paraId="77F241E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 изменение приказа № 0523 от 20 декабря 1934 года (6814, 2).</w:t>
      </w:r>
    </w:p>
    <w:p w14:paraId="23D6EC2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72E2E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 в Глававиаироме решили, что все дальнейшие работы но совершенствованию И-16 будут вестись на авиазаводе №21 при консультации специалистов завода №39, персонально - начальника 2-й бригады ЦКБ Н.Н.Поликарпова. В ЦКБ предлагалось довести до государственных испытаний И-16 РЦ F-3 №123954, построить образец с двигателем "Гном Рон", самолете усиленными стойками (вилками) и пневмоуборкой шасси - после этого все работы по И-16 в Москве прекратить. Конструкторская бригада №2 Центрального конструкторского бюро существовала с 1932-го до середины 1936 г. (12015).</w:t>
      </w:r>
    </w:p>
    <w:p w14:paraId="11B3C254" w14:textId="77777777" w:rsidR="00D4105E" w:rsidRPr="00E14102" w:rsidRDefault="00D4105E" w:rsidP="00E14102">
      <w:pPr>
        <w:autoSpaceDE w:val="0"/>
        <w:autoSpaceDN w:val="0"/>
        <w:adjustRightInd w:val="0"/>
        <w:jc w:val="both"/>
        <w:rPr>
          <w:color w:val="000000" w:themeColor="text1"/>
          <w:sz w:val="16"/>
          <w:szCs w:val="16"/>
        </w:rPr>
      </w:pPr>
    </w:p>
    <w:p w14:paraId="3832CF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 на заводе № 39 по типу третьего опытного экземпляра с учетом опыта производства и эксплуатации первых серийных машин построили еще один истребитель. Он имел видоизмененный капот Уоттера, кок сравнительно большого диаметра, закрывав</w:t>
      </w:r>
      <w:r w:rsidRPr="00E14102">
        <w:rPr>
          <w:color w:val="000000" w:themeColor="text1"/>
          <w:sz w:val="16"/>
          <w:szCs w:val="16"/>
        </w:rPr>
        <w:softHyphen/>
        <w:t>ший ступицу винта, увеличенный запас прочности, некоторые усовершенствования в конструкции и аэро</w:t>
      </w:r>
      <w:r w:rsidRPr="00E14102">
        <w:rPr>
          <w:color w:val="000000" w:themeColor="text1"/>
          <w:sz w:val="16"/>
          <w:szCs w:val="16"/>
        </w:rPr>
        <w:softHyphen/>
        <w:t>динамике. Механизм зависания элеронов сохранили. На истребителе стоял двигатель Райт “Циклон” Р-3. Испы</w:t>
      </w:r>
      <w:r w:rsidRPr="00E14102">
        <w:rPr>
          <w:color w:val="000000" w:themeColor="text1"/>
          <w:sz w:val="16"/>
          <w:szCs w:val="16"/>
        </w:rPr>
        <w:softHyphen/>
        <w:t>тания показали его более высокие летные характеристи</w:t>
      </w:r>
      <w:r w:rsidRPr="00E14102">
        <w:rPr>
          <w:color w:val="000000" w:themeColor="text1"/>
          <w:sz w:val="16"/>
          <w:szCs w:val="16"/>
        </w:rPr>
        <w:softHyphen/>
        <w:t>ки. Поликарпов решил строить самолеты “Сталинского задания” по типу этой машины (10667).</w:t>
      </w:r>
    </w:p>
    <w:p w14:paraId="104AA54A" w14:textId="77777777" w:rsidR="00D4105E" w:rsidRPr="00E14102" w:rsidRDefault="00D4105E" w:rsidP="00E14102">
      <w:pPr>
        <w:autoSpaceDE w:val="0"/>
        <w:autoSpaceDN w:val="0"/>
        <w:adjustRightInd w:val="0"/>
        <w:jc w:val="both"/>
        <w:rPr>
          <w:color w:val="000000" w:themeColor="text1"/>
          <w:sz w:val="16"/>
          <w:szCs w:val="16"/>
        </w:rPr>
      </w:pPr>
    </w:p>
    <w:p w14:paraId="1AB3D4B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В январе 1935 г. опыт</w:t>
      </w:r>
      <w:r w:rsidRPr="00E14102">
        <w:rPr>
          <w:color w:val="000000" w:themeColor="text1"/>
          <w:sz w:val="16"/>
          <w:szCs w:val="16"/>
        </w:rPr>
        <w:softHyphen/>
        <w:t>ные работы по И—15 передали заводу №1, однако до кон</w:t>
      </w:r>
      <w:r w:rsidRPr="00E14102">
        <w:rPr>
          <w:color w:val="000000" w:themeColor="text1"/>
          <w:sz w:val="16"/>
          <w:szCs w:val="16"/>
        </w:rPr>
        <w:softHyphen/>
        <w:t>ца 1936 г., там абсолютно ничего не сделали в отношении совершенствования машины (10547).</w:t>
      </w:r>
    </w:p>
    <w:p w14:paraId="7FF31E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CE163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И-14бис доработали в эталон для серии. Получил более мощный мотор модификации F-3 (РЦФ-3), крыло с предкрылками, электроинерционный самопуск, ВИШ, но более широкую колею не сделали - поставили потом в серии. Оснастили новым вооружением 2хПВ-1 (по 1000 патронов) и 2хШКАС (по 650 патронов) и опять отправили в НИИ ВВС (4020,14).</w:t>
      </w:r>
    </w:p>
    <w:p w14:paraId="5DA5A901" w14:textId="77777777" w:rsidR="00D4105E" w:rsidRPr="00E14102" w:rsidRDefault="00D4105E" w:rsidP="00E14102">
      <w:pPr>
        <w:autoSpaceDE w:val="0"/>
        <w:autoSpaceDN w:val="0"/>
        <w:adjustRightInd w:val="0"/>
        <w:jc w:val="both"/>
        <w:rPr>
          <w:color w:val="000000" w:themeColor="text1"/>
          <w:sz w:val="16"/>
          <w:szCs w:val="16"/>
        </w:rPr>
      </w:pPr>
    </w:p>
    <w:p w14:paraId="669123E5" w14:textId="77777777" w:rsidR="006637B0" w:rsidRPr="00E14102" w:rsidRDefault="006637B0" w:rsidP="00E14102">
      <w:pPr>
        <w:jc w:val="both"/>
        <w:rPr>
          <w:color w:val="0070C0"/>
          <w:sz w:val="16"/>
          <w:szCs w:val="16"/>
        </w:rPr>
      </w:pPr>
      <w:r w:rsidRPr="00E14102">
        <w:rPr>
          <w:color w:val="0070C0"/>
          <w:sz w:val="16"/>
          <w:szCs w:val="16"/>
        </w:rPr>
        <w:t>В январе 1935 г. началось проектирование И-З (истребителя звена) в соответствии с техническими требованиями НИИ ВВС. Самолет представлял собой моноплан с крылом «обратная чайка», что позволяло увеличить расстояние до крыла са</w:t>
      </w:r>
      <w:r w:rsidRPr="00E14102">
        <w:rPr>
          <w:color w:val="0070C0"/>
          <w:sz w:val="16"/>
          <w:szCs w:val="16"/>
        </w:rPr>
        <w:softHyphen/>
        <w:t>молета-носителя и возможность при вынужденной посад</w:t>
      </w:r>
      <w:r w:rsidRPr="00E14102">
        <w:rPr>
          <w:color w:val="0070C0"/>
          <w:sz w:val="16"/>
          <w:szCs w:val="16"/>
        </w:rPr>
        <w:softHyphen/>
        <w:t>ке садиться на выступающую вниз часть крыла. Конструк</w:t>
      </w:r>
      <w:r w:rsidRPr="00E14102">
        <w:rPr>
          <w:color w:val="0070C0"/>
          <w:sz w:val="16"/>
          <w:szCs w:val="16"/>
        </w:rPr>
        <w:softHyphen/>
        <w:t>ция цельнометаллическая с гладкой обшивкой. Вооруже</w:t>
      </w:r>
      <w:r w:rsidRPr="00E14102">
        <w:rPr>
          <w:color w:val="0070C0"/>
          <w:sz w:val="16"/>
          <w:szCs w:val="16"/>
        </w:rPr>
        <w:softHyphen/>
        <w:t>ние: 4 синхронных пулемета, а также пулеметы в крыле, способные менять угол установки на 10 градусов. Для оснащения силовой установки предполагался перспек</w:t>
      </w:r>
      <w:r w:rsidRPr="00E14102">
        <w:rPr>
          <w:color w:val="0070C0"/>
          <w:sz w:val="16"/>
          <w:szCs w:val="16"/>
        </w:rPr>
        <w:softHyphen/>
        <w:t>тивный двигатель Гном-Рон 14krsd (М-85) с воздушным винтом диаметром 3,4 метра.</w:t>
      </w:r>
    </w:p>
    <w:p w14:paraId="691AEEB1" w14:textId="77777777" w:rsidR="006637B0" w:rsidRPr="00E14102" w:rsidRDefault="006637B0" w:rsidP="00E14102">
      <w:pPr>
        <w:jc w:val="both"/>
        <w:rPr>
          <w:color w:val="0070C0"/>
          <w:sz w:val="16"/>
          <w:szCs w:val="16"/>
        </w:rPr>
      </w:pPr>
      <w:r w:rsidRPr="00E14102">
        <w:rPr>
          <w:color w:val="0070C0"/>
          <w:sz w:val="16"/>
          <w:szCs w:val="16"/>
        </w:rPr>
        <w:t>Самолет проектировался без шасси и костыля, т.к. пред</w:t>
      </w:r>
      <w:r w:rsidRPr="00E14102">
        <w:rPr>
          <w:color w:val="0070C0"/>
          <w:sz w:val="16"/>
          <w:szCs w:val="16"/>
        </w:rPr>
        <w:softHyphen/>
        <w:t>полагался для подцепки под носитель, а посадка на зем</w:t>
      </w:r>
      <w:r w:rsidRPr="00E14102">
        <w:rPr>
          <w:color w:val="0070C0"/>
          <w:sz w:val="16"/>
          <w:szCs w:val="16"/>
        </w:rPr>
        <w:softHyphen/>
        <w:t>лю оценивалась как крайний вариант. По расчетам, само</w:t>
      </w:r>
      <w:r w:rsidRPr="00E14102">
        <w:rPr>
          <w:color w:val="0070C0"/>
          <w:sz w:val="16"/>
          <w:szCs w:val="16"/>
        </w:rPr>
        <w:softHyphen/>
        <w:t>лет садился со скоростью около 130 км/ч на нижние по</w:t>
      </w:r>
      <w:r w:rsidRPr="00E14102">
        <w:rPr>
          <w:color w:val="0070C0"/>
          <w:sz w:val="16"/>
          <w:szCs w:val="16"/>
        </w:rPr>
        <w:softHyphen/>
        <w:t>верхности крыла с предполагаемыми повреждениями винта и хвоста. Для проведения полетных испытаний пер</w:t>
      </w:r>
      <w:r w:rsidRPr="00E14102">
        <w:rPr>
          <w:color w:val="0070C0"/>
          <w:sz w:val="16"/>
          <w:szCs w:val="16"/>
        </w:rPr>
        <w:softHyphen/>
        <w:t>вого экземпляра планировалось обычное шасси с колеса</w:t>
      </w:r>
      <w:r w:rsidRPr="00E14102">
        <w:rPr>
          <w:color w:val="0070C0"/>
          <w:sz w:val="16"/>
          <w:szCs w:val="16"/>
        </w:rPr>
        <w:softHyphen/>
        <w:t>ми в обтекателях. В 1935 г. самолет был в основном спроектирован, началось его изготовление на заводе №22. Однако в декабре 1935 г. все работы по И-3 по решению руководства были прекращены. Основной причиной стало удачное использование в системе «Самолет-Звено» истре</w:t>
      </w:r>
      <w:r w:rsidRPr="00E14102">
        <w:rPr>
          <w:color w:val="0070C0"/>
          <w:sz w:val="16"/>
          <w:szCs w:val="16"/>
        </w:rPr>
        <w:softHyphen/>
        <w:t>бителей И-16, которые во многом соответствовали зада</w:t>
      </w:r>
      <w:r w:rsidRPr="00E14102">
        <w:rPr>
          <w:color w:val="0070C0"/>
          <w:sz w:val="16"/>
          <w:szCs w:val="16"/>
        </w:rPr>
        <w:softHyphen/>
        <w:t>чам, возлагаемым на «Истребитель Звена».</w:t>
      </w:r>
    </w:p>
    <w:p w14:paraId="4943E8B9" w14:textId="77777777" w:rsidR="006637B0" w:rsidRPr="00E14102" w:rsidRDefault="006637B0" w:rsidP="00E14102">
      <w:pPr>
        <w:jc w:val="both"/>
        <w:rPr>
          <w:color w:val="0070C0"/>
          <w:sz w:val="16"/>
          <w:szCs w:val="16"/>
        </w:rPr>
      </w:pPr>
      <w:r w:rsidRPr="00E14102">
        <w:rPr>
          <w:color w:val="0070C0"/>
          <w:sz w:val="16"/>
          <w:szCs w:val="16"/>
        </w:rPr>
        <w:t>Кроме описанного варианта, в архивном наследии В.С. Вахмистрова нашелся еще один проект специально</w:t>
      </w:r>
      <w:r w:rsidRPr="00E14102">
        <w:rPr>
          <w:color w:val="0070C0"/>
          <w:sz w:val="16"/>
          <w:szCs w:val="16"/>
        </w:rPr>
        <w:softHyphen/>
        <w:t>го истребителя И-3, который определялся как самолет «Д». Скорее всего, это был тот же И-3, но в новой редакции. Кроме общих совпадающих размерных параметров, изве</w:t>
      </w:r>
      <w:r w:rsidRPr="00E14102">
        <w:rPr>
          <w:color w:val="0070C0"/>
          <w:sz w:val="16"/>
          <w:szCs w:val="16"/>
        </w:rPr>
        <w:softHyphen/>
        <w:t>стно, что самолет предполагалось оснастить двигателем М-85 (Гном-Рон 14krsd) с воздушным винтом диаметром 3,2 м. О конструктивной проработке самолета «Д» сведе</w:t>
      </w:r>
      <w:r w:rsidRPr="00E14102">
        <w:rPr>
          <w:color w:val="0070C0"/>
          <w:sz w:val="16"/>
          <w:szCs w:val="16"/>
        </w:rPr>
        <w:softHyphen/>
        <w:t>ния не обнаружены (20345).</w:t>
      </w:r>
    </w:p>
    <w:p w14:paraId="4D43D4AD" w14:textId="77777777" w:rsidR="006637B0" w:rsidRPr="00E14102" w:rsidRDefault="006637B0" w:rsidP="00E14102">
      <w:pPr>
        <w:jc w:val="both"/>
        <w:rPr>
          <w:color w:val="0070C0"/>
          <w:sz w:val="16"/>
          <w:szCs w:val="16"/>
        </w:rPr>
      </w:pPr>
    </w:p>
    <w:p w14:paraId="375183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 изготовили головной самолет Р-5 для картографической съемки. Вырез кабины летнаба расширили, увеличенный козырек перенесли вперед, в полу сделали люк диаметром в полметра, а чтобы разместить большой фотоаппарат, сиденье сдвинули назад, убрали второе управление и радиостанцию. Каркас кабины усилили дополнительной рамой и подкосами. Фотоаппарат приводился в действие от ветрянки на правом борту. Позднее по этому образцу переделали более десятка самолетов (11936).</w:t>
      </w:r>
    </w:p>
    <w:p w14:paraId="4D2AB972" w14:textId="77777777" w:rsidR="00D4105E" w:rsidRPr="00E14102" w:rsidRDefault="00D4105E" w:rsidP="00E14102">
      <w:pPr>
        <w:autoSpaceDE w:val="0"/>
        <w:autoSpaceDN w:val="0"/>
        <w:adjustRightInd w:val="0"/>
        <w:jc w:val="both"/>
        <w:rPr>
          <w:color w:val="000000" w:themeColor="text1"/>
          <w:sz w:val="16"/>
          <w:szCs w:val="16"/>
        </w:rPr>
      </w:pPr>
    </w:p>
    <w:p w14:paraId="60351841" w14:textId="77777777" w:rsidR="006637B0" w:rsidRPr="00E14102" w:rsidRDefault="006637B0" w:rsidP="00E14102">
      <w:pPr>
        <w:jc w:val="both"/>
        <w:rPr>
          <w:color w:val="0070C0"/>
          <w:sz w:val="16"/>
          <w:szCs w:val="16"/>
        </w:rPr>
      </w:pPr>
      <w:r w:rsidRPr="00E14102">
        <w:rPr>
          <w:color w:val="0070C0"/>
          <w:sz w:val="16"/>
          <w:szCs w:val="16"/>
        </w:rPr>
        <w:t>В январе 1935 го</w:t>
      </w:r>
      <w:r w:rsidRPr="00E14102">
        <w:rPr>
          <w:color w:val="0070C0"/>
          <w:sz w:val="16"/>
          <w:szCs w:val="16"/>
        </w:rPr>
        <w:softHyphen/>
        <w:t>да началось проектирование БОК-7. БОК-7 создавался с учетом опыта, накопленного при создании БОК-1, поэтому поначалу считался модификаци</w:t>
      </w:r>
      <w:r w:rsidRPr="00E14102">
        <w:rPr>
          <w:color w:val="0070C0"/>
          <w:sz w:val="16"/>
          <w:szCs w:val="16"/>
        </w:rPr>
        <w:softHyphen/>
        <w:t>ей этой первой машины. Определялся как стратосферный разведчик (СР), способный вести аэрофотосъемку с высоты 14—16 км. В связи с военным предназначением указыва</w:t>
      </w:r>
      <w:r w:rsidRPr="00E14102">
        <w:rPr>
          <w:color w:val="0070C0"/>
          <w:sz w:val="16"/>
          <w:szCs w:val="16"/>
        </w:rPr>
        <w:softHyphen/>
        <w:t>лось вооружение: 400 кг бомб и 4 пулемета ШКАС (два - в крыле, два - для обороны задней полусферы).</w:t>
      </w:r>
    </w:p>
    <w:p w14:paraId="6FF06242" w14:textId="77777777" w:rsidR="006637B0" w:rsidRPr="00E14102" w:rsidRDefault="006637B0" w:rsidP="00E14102">
      <w:pPr>
        <w:jc w:val="both"/>
        <w:rPr>
          <w:color w:val="0070C0"/>
          <w:sz w:val="16"/>
          <w:szCs w:val="16"/>
        </w:rPr>
      </w:pPr>
      <w:r w:rsidRPr="00E14102">
        <w:rPr>
          <w:color w:val="0070C0"/>
          <w:sz w:val="16"/>
          <w:szCs w:val="16"/>
        </w:rPr>
        <w:t>В 1937 г., когда было решено построить два экземпля</w:t>
      </w:r>
      <w:r w:rsidRPr="00E14102">
        <w:rPr>
          <w:color w:val="0070C0"/>
          <w:sz w:val="16"/>
          <w:szCs w:val="16"/>
        </w:rPr>
        <w:softHyphen/>
        <w:t>ра БОК-7, используются другие определения его назначе</w:t>
      </w:r>
      <w:r w:rsidRPr="00E14102">
        <w:rPr>
          <w:color w:val="0070C0"/>
          <w:sz w:val="16"/>
          <w:szCs w:val="16"/>
        </w:rPr>
        <w:softHyphen/>
        <w:t>ния: 1-й экземпляр - для установления рекорда высоты, 2-й экземпляр - военный (по отношению к нему иногда применялось обозначение БОК-8). Конструкция, подобная БОК-1, но несколько увеличенных размеров. Герметичная кабина объемом 8 куб. метров, регенерационного типа, встроенная в фюзеляж. Шасси неубираемое, по первона</w:t>
      </w:r>
      <w:r w:rsidRPr="00E14102">
        <w:rPr>
          <w:color w:val="0070C0"/>
          <w:sz w:val="16"/>
          <w:szCs w:val="16"/>
        </w:rPr>
        <w:softHyphen/>
        <w:t>чальному проекту стойки и колеса заключены в обтекате</w:t>
      </w:r>
      <w:r w:rsidRPr="00E14102">
        <w:rPr>
          <w:color w:val="0070C0"/>
          <w:sz w:val="16"/>
          <w:szCs w:val="16"/>
        </w:rPr>
        <w:softHyphen/>
        <w:t>ли - «штаны».</w:t>
      </w:r>
    </w:p>
    <w:p w14:paraId="73F66659" w14:textId="77777777" w:rsidR="006637B0" w:rsidRPr="00E14102" w:rsidRDefault="006637B0" w:rsidP="00E14102">
      <w:pPr>
        <w:jc w:val="both"/>
        <w:rPr>
          <w:color w:val="0070C0"/>
          <w:sz w:val="16"/>
          <w:szCs w:val="16"/>
        </w:rPr>
      </w:pPr>
      <w:r w:rsidRPr="00E14102">
        <w:rPr>
          <w:color w:val="0070C0"/>
          <w:sz w:val="16"/>
          <w:szCs w:val="16"/>
        </w:rPr>
        <w:t>Между тем, построили только один экземпляр высотно</w:t>
      </w:r>
      <w:r w:rsidRPr="00E14102">
        <w:rPr>
          <w:color w:val="0070C0"/>
          <w:sz w:val="16"/>
          <w:szCs w:val="16"/>
        </w:rPr>
        <w:softHyphen/>
        <w:t>го самолета под обозначением БОК-7. Говорилось, что это экспериментальный опытный самолет, построенный для ре</w:t>
      </w:r>
      <w:r w:rsidRPr="00E14102">
        <w:rPr>
          <w:color w:val="0070C0"/>
          <w:sz w:val="16"/>
          <w:szCs w:val="16"/>
        </w:rPr>
        <w:softHyphen/>
        <w:t>шения и отработки ряда вопросов при полете в стратосфе</w:t>
      </w:r>
      <w:r w:rsidRPr="00E14102">
        <w:rPr>
          <w:color w:val="0070C0"/>
          <w:sz w:val="16"/>
          <w:szCs w:val="16"/>
        </w:rPr>
        <w:softHyphen/>
        <w:t>ре на высотах до 16 000 метров (20263).</w:t>
      </w:r>
    </w:p>
    <w:p w14:paraId="4EC16595" w14:textId="77777777" w:rsidR="006637B0" w:rsidRPr="00E14102" w:rsidRDefault="006637B0" w:rsidP="00E14102">
      <w:pPr>
        <w:shd w:val="clear" w:color="auto" w:fill="FFFFFF"/>
        <w:jc w:val="both"/>
        <w:rPr>
          <w:color w:val="0070C0"/>
          <w:sz w:val="16"/>
          <w:szCs w:val="16"/>
        </w:rPr>
      </w:pPr>
    </w:p>
    <w:p w14:paraId="7B1918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состоялись гос. испытания МБР-4бис, которые подтвердили данные заводских испытаний. Самолет был рекомендован к принятию на вооружение, но ставить М-34РН. Делать решили на 31 заводе и в 1936-1937 построили 15 и называли МТБ-1 (1085,112).</w:t>
      </w:r>
    </w:p>
    <w:p w14:paraId="0CD31756" w14:textId="77777777" w:rsidR="00D4105E" w:rsidRPr="00E14102" w:rsidRDefault="00D4105E" w:rsidP="00E14102">
      <w:pPr>
        <w:autoSpaceDE w:val="0"/>
        <w:autoSpaceDN w:val="0"/>
        <w:adjustRightInd w:val="0"/>
        <w:jc w:val="both"/>
        <w:rPr>
          <w:color w:val="000000" w:themeColor="text1"/>
          <w:sz w:val="16"/>
          <w:szCs w:val="16"/>
        </w:rPr>
      </w:pPr>
    </w:p>
    <w:p w14:paraId="1932E3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проходили гос. испытания МБР-4 (Савойя) и решили принять в серию, установив М-34РН, но в сентябре 1935 вновь произошла катастрофа из-за вспучивания полотняной обшивки. Все равно начали серию с М-34Р и сделали 15 в 1936-37 и в т.ч. в варианте МТБ-1 (80,267).</w:t>
      </w:r>
    </w:p>
    <w:p w14:paraId="505F09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на вооружении состояла только до 1936.</w:t>
      </w:r>
    </w:p>
    <w:p w14:paraId="68F51275" w14:textId="77777777" w:rsidR="00D4105E" w:rsidRPr="00E14102" w:rsidRDefault="00D4105E" w:rsidP="00E14102">
      <w:pPr>
        <w:autoSpaceDE w:val="0"/>
        <w:autoSpaceDN w:val="0"/>
        <w:adjustRightInd w:val="0"/>
        <w:jc w:val="both"/>
        <w:rPr>
          <w:color w:val="000000" w:themeColor="text1"/>
          <w:sz w:val="16"/>
          <w:szCs w:val="16"/>
        </w:rPr>
      </w:pPr>
    </w:p>
    <w:p w14:paraId="1CD20E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Изаксон вместе с А.М.Черемухиным и С.А.Корзинщиковым в Англию закупать автожир С-30. Автожир прибыл в Москву в середине 1935 (391,79).</w:t>
      </w:r>
    </w:p>
    <w:p w14:paraId="4191E206" w14:textId="77777777" w:rsidR="00D4105E" w:rsidRPr="00E14102" w:rsidRDefault="00D4105E" w:rsidP="00E14102">
      <w:pPr>
        <w:autoSpaceDE w:val="0"/>
        <w:autoSpaceDN w:val="0"/>
        <w:adjustRightInd w:val="0"/>
        <w:jc w:val="both"/>
        <w:rPr>
          <w:color w:val="000000" w:themeColor="text1"/>
          <w:sz w:val="16"/>
          <w:szCs w:val="16"/>
        </w:rPr>
      </w:pPr>
    </w:p>
    <w:p w14:paraId="1498C5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завершились гос. испытания М-85 (2467,1).</w:t>
      </w:r>
    </w:p>
    <w:p w14:paraId="43E006CB" w14:textId="77777777" w:rsidR="00D4105E" w:rsidRPr="00E14102" w:rsidRDefault="00D4105E" w:rsidP="00E14102">
      <w:pPr>
        <w:autoSpaceDE w:val="0"/>
        <w:autoSpaceDN w:val="0"/>
        <w:adjustRightInd w:val="0"/>
        <w:jc w:val="both"/>
        <w:rPr>
          <w:color w:val="000000" w:themeColor="text1"/>
          <w:sz w:val="16"/>
          <w:szCs w:val="16"/>
        </w:rPr>
      </w:pPr>
    </w:p>
    <w:p w14:paraId="04717F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 завершились госиспытания моторов воздушного охлаждения М-85 (лицензионный вариант французского мотора "Гном-Рон" 14К). Для своего самолета Ильюшин выбрал именно эти моторы (9501).</w:t>
      </w:r>
    </w:p>
    <w:p w14:paraId="113ADE59" w14:textId="77777777" w:rsidR="00D4105E" w:rsidRPr="00E14102" w:rsidRDefault="00D4105E" w:rsidP="00E14102">
      <w:pPr>
        <w:autoSpaceDE w:val="0"/>
        <w:autoSpaceDN w:val="0"/>
        <w:adjustRightInd w:val="0"/>
        <w:jc w:val="both"/>
        <w:rPr>
          <w:color w:val="000000" w:themeColor="text1"/>
          <w:sz w:val="16"/>
          <w:szCs w:val="16"/>
        </w:rPr>
      </w:pPr>
    </w:p>
    <w:p w14:paraId="1A70A4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январе 1935 г. приказом наркома тяжелой про</w:t>
      </w:r>
      <w:r w:rsidRPr="00E14102">
        <w:rPr>
          <w:color w:val="000000" w:themeColor="text1"/>
          <w:sz w:val="16"/>
          <w:szCs w:val="16"/>
        </w:rPr>
        <w:softHyphen/>
        <w:t>мышленности Серго Орджоникидзе за успехи в со</w:t>
      </w:r>
      <w:r w:rsidRPr="00E14102">
        <w:rPr>
          <w:color w:val="000000" w:themeColor="text1"/>
          <w:sz w:val="16"/>
          <w:szCs w:val="16"/>
        </w:rPr>
        <w:softHyphen/>
        <w:t>здании М—34 А.А.Микулин был награжден легковой автомашиной, а в начале августа 1936 г. всем моторам типа М—34 было присвоено имя конструктора Алек</w:t>
      </w:r>
      <w:r w:rsidRPr="00E14102">
        <w:rPr>
          <w:color w:val="000000" w:themeColor="text1"/>
          <w:sz w:val="16"/>
          <w:szCs w:val="16"/>
        </w:rPr>
        <w:softHyphen/>
        <w:t>сандра Александровича Микулина и в дальнейшем предписывалось “именовать мотор АМ—34” (9984).</w:t>
      </w:r>
    </w:p>
    <w:p w14:paraId="6E521E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F5C78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 приказом наркома тяжелой промышленности Серго Орджоникидзе за успехи в создании М-34 Александр Микулин был награжден легковой автомашиной ГАЗ-А (10781).</w:t>
      </w:r>
    </w:p>
    <w:p w14:paraId="798A32CE" w14:textId="77777777" w:rsidR="00D4105E" w:rsidRPr="00E14102" w:rsidRDefault="00D4105E" w:rsidP="00E14102">
      <w:pPr>
        <w:autoSpaceDE w:val="0"/>
        <w:autoSpaceDN w:val="0"/>
        <w:adjustRightInd w:val="0"/>
        <w:jc w:val="both"/>
        <w:rPr>
          <w:color w:val="000000" w:themeColor="text1"/>
          <w:sz w:val="16"/>
          <w:szCs w:val="16"/>
        </w:rPr>
      </w:pPr>
    </w:p>
    <w:p w14:paraId="45CC0A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январе 1935 г. как и ранее в сентябре 1934 г. М-34ФРН предъявляли на госиспытания. Каждый раз он выходил из строя, проработав менее 50 часов, но при последней попытке максимальная мощность дошла до 1200 л.с. В на</w:t>
      </w:r>
      <w:r w:rsidRPr="00E14102">
        <w:rPr>
          <w:color w:val="000000" w:themeColor="text1"/>
          <w:sz w:val="16"/>
          <w:szCs w:val="16"/>
        </w:rPr>
        <w:softHyphen/>
        <w:t>чале 1935 г. документацию переда</w:t>
      </w:r>
      <w:r w:rsidRPr="00E14102">
        <w:rPr>
          <w:color w:val="000000" w:themeColor="text1"/>
          <w:sz w:val="16"/>
          <w:szCs w:val="16"/>
        </w:rPr>
        <w:softHyphen/>
        <w:t>ли заводу, и в 1936 г. М-34ФРН вы</w:t>
      </w:r>
      <w:r w:rsidRPr="00E14102">
        <w:rPr>
          <w:color w:val="000000" w:themeColor="text1"/>
          <w:sz w:val="16"/>
          <w:szCs w:val="16"/>
        </w:rPr>
        <w:softHyphen/>
        <w:t>пустили в количестве 35 штук.</w:t>
      </w:r>
    </w:p>
    <w:p w14:paraId="3FC5B3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P-5 отрабатывали различные экспериментальные решения, в т.ч. гусеничное шасси и "бабочковое" оперение техника Филатова</w:t>
      </w:r>
    </w:p>
    <w:p w14:paraId="1E834A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Два ЛП-5, изготовленные в 1934 г., имели дополнительные бензобаки и грузовые контейнеры у корня крыла.</w:t>
      </w:r>
    </w:p>
    <w:p w14:paraId="2DDF41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ГВФ эксплуатировали также аэрофотосъемочные и санитарные П-5. </w:t>
      </w:r>
    </w:p>
    <w:p w14:paraId="68D6AF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Санитарных П-5 было не больше десятка. Иногда больных сажали в заднюю кабину, иной раз под крыло подвешивали "люльки" - фанерные футляры, в которые вкладывали носилки с людьми (11848).</w:t>
      </w:r>
    </w:p>
    <w:p w14:paraId="0F215C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DF3D39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январе 1935 г. проходил госиспытания М-34ФРН (он же М-34РФН и М-34РНФ), форсированный вариант М-34РН,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E14102">
        <w:rPr>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E14102">
        <w:rPr>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 (11852).</w:t>
      </w:r>
    </w:p>
    <w:p w14:paraId="5E090AC4" w14:textId="77777777" w:rsidR="00D4105E" w:rsidRPr="00E14102" w:rsidRDefault="00D4105E" w:rsidP="00E14102">
      <w:pPr>
        <w:autoSpaceDE w:val="0"/>
        <w:autoSpaceDN w:val="0"/>
        <w:adjustRightInd w:val="0"/>
        <w:jc w:val="both"/>
        <w:rPr>
          <w:color w:val="000000" w:themeColor="text1"/>
          <w:sz w:val="16"/>
          <w:szCs w:val="16"/>
        </w:rPr>
      </w:pPr>
    </w:p>
    <w:p w14:paraId="1BEEE2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 МГ-31 впервые выставили на госиспытания, но оба предъявленных экземпляра довольно быстро вышли из строя. Лишь в 1936 г. МГ-31 успешно прошел госиспытания. Новый вариант уже оснащался карбюратором К-17 с расточенным диффузором. В январе-феврале 1937 г. двигатель успешно опробовали в воздухе на самолете "Сталь-2". С 1936 г. на заводе № 82 освоили серийный выпуск МГ-31. Параллельно в НИИ АД ГВФ спроектировали и построили опытные образцы модификаций МГ-31А, МГ-31Н (с непосредственным впрыском топлива) и МГ-31Ф (форсированной по частоте вращения вала). С конца 1937 г. тип "Ф "внедрили в серию. В опытных образцах существовали модификации МГ-31ФН (с впрыском топлива) и МГ-31Ф2 (о последней нет информации). Моторы МГ-31 и МГ-31Ф устанавливались на серийных пассажирских самолетах "Сталь-2", опытных машинах УТИ-5 (НВ-2бис) и др., а позже на вертолете "Омега-II" (2МГ). В последнем случае к двигателю пристроили вентилятор принудительного охлаждения. Использование МГ-31 предусматривалось также проектами самолетов МБР-6 и УТ-3. (11478).</w:t>
      </w:r>
    </w:p>
    <w:p w14:paraId="3683D917" w14:textId="77777777" w:rsidR="00D4105E" w:rsidRPr="00E14102" w:rsidRDefault="00D4105E" w:rsidP="00E14102">
      <w:pPr>
        <w:autoSpaceDE w:val="0"/>
        <w:autoSpaceDN w:val="0"/>
        <w:adjustRightInd w:val="0"/>
        <w:jc w:val="both"/>
        <w:rPr>
          <w:color w:val="000000" w:themeColor="text1"/>
          <w:sz w:val="16"/>
          <w:szCs w:val="16"/>
        </w:rPr>
      </w:pPr>
    </w:p>
    <w:p w14:paraId="7B2C16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К.А.К. переехал в Воронеж на завод 18 (70,249).</w:t>
      </w:r>
    </w:p>
    <w:p w14:paraId="6556001A" w14:textId="77777777" w:rsidR="00D4105E" w:rsidRPr="00E14102" w:rsidRDefault="00D4105E" w:rsidP="00E14102">
      <w:pPr>
        <w:autoSpaceDE w:val="0"/>
        <w:autoSpaceDN w:val="0"/>
        <w:adjustRightInd w:val="0"/>
        <w:jc w:val="both"/>
        <w:rPr>
          <w:color w:val="000000" w:themeColor="text1"/>
          <w:sz w:val="16"/>
          <w:szCs w:val="16"/>
        </w:rPr>
      </w:pPr>
    </w:p>
    <w:p w14:paraId="26E56EEE" w14:textId="0229E260" w:rsidR="006637B0" w:rsidRPr="00E14102" w:rsidRDefault="006637B0" w:rsidP="00E14102">
      <w:pPr>
        <w:jc w:val="both"/>
        <w:rPr>
          <w:color w:val="0070C0"/>
          <w:sz w:val="16"/>
          <w:szCs w:val="16"/>
        </w:rPr>
      </w:pPr>
      <w:r w:rsidRPr="00E14102">
        <w:rPr>
          <w:color w:val="0070C0"/>
          <w:sz w:val="16"/>
          <w:szCs w:val="16"/>
        </w:rPr>
        <w:t>В январе 1935 года по распоряжению ГУАПа для помощи заводу 21 в выполнении важнейшего правительственного задания по освоению в серии машины типа 4 на завод прибыла специальная комиссия. В ее составе: технический директор завода № 124 Дайбог, заместитель начальника чертежно</w:t>
      </w:r>
      <w:r w:rsidRPr="00E14102">
        <w:rPr>
          <w:color w:val="0070C0"/>
          <w:sz w:val="16"/>
          <w:szCs w:val="16"/>
        </w:rPr>
        <w:softHyphen/>
        <w:t xml:space="preserve">конструкторского отдела завода </w:t>
      </w:r>
      <w:r w:rsidRPr="00E14102">
        <w:rPr>
          <w:color w:val="0070C0"/>
          <w:sz w:val="16"/>
          <w:szCs w:val="16"/>
        </w:rPr>
        <w:lastRenderedPageBreak/>
        <w:t>№22 Марчевский, инспектор главка по качеству Окороков. На заводе был проведен ряд кадровых и организационных изменений. Дайбог занял должность технического директора завода, Марчевский стал начальником чертежно</w:t>
      </w:r>
      <w:r w:rsidRPr="00E14102">
        <w:rPr>
          <w:color w:val="0070C0"/>
          <w:sz w:val="16"/>
          <w:szCs w:val="16"/>
        </w:rPr>
        <w:softHyphen/>
        <w:t>конструкторского отдела.</w:t>
      </w:r>
    </w:p>
    <w:p w14:paraId="4ADD5A28" w14:textId="77777777" w:rsidR="006637B0" w:rsidRPr="00E14102" w:rsidRDefault="006637B0" w:rsidP="00E14102">
      <w:pPr>
        <w:jc w:val="both"/>
        <w:rPr>
          <w:color w:val="0070C0"/>
          <w:sz w:val="16"/>
          <w:szCs w:val="16"/>
        </w:rPr>
      </w:pPr>
      <w:r w:rsidRPr="00E14102">
        <w:rPr>
          <w:color w:val="0070C0"/>
          <w:sz w:val="16"/>
          <w:szCs w:val="16"/>
        </w:rPr>
        <w:t>На заводе освоение самолета И-16 шло с большим трудом. За два предыдущих года с трудом наладили производство И-5, освоили спарку типа 6, отработали пассажирский и военный варианты ХАИ-1. А здесь опять новый самолет. В 1934 году был изготовлен всего 41 самолет И-16. Согласно заданию ГУАПа завод должен был нарастить выпуск И-16 до цифр:</w:t>
      </w:r>
    </w:p>
    <w:p w14:paraId="28D88521" w14:textId="77777777" w:rsidR="006637B0" w:rsidRPr="00E14102" w:rsidRDefault="006637B0" w:rsidP="00E14102">
      <w:pPr>
        <w:jc w:val="both"/>
        <w:rPr>
          <w:color w:val="0070C0"/>
          <w:sz w:val="16"/>
          <w:szCs w:val="16"/>
        </w:rPr>
      </w:pPr>
      <w:r w:rsidRPr="00E14102">
        <w:rPr>
          <w:color w:val="0070C0"/>
          <w:sz w:val="16"/>
          <w:szCs w:val="16"/>
        </w:rPr>
        <w:t>- в 1935 году - 1500 самолетов;</w:t>
      </w:r>
    </w:p>
    <w:p w14:paraId="1577F93D" w14:textId="77777777" w:rsidR="006637B0" w:rsidRPr="00E14102" w:rsidRDefault="006637B0" w:rsidP="00E14102">
      <w:pPr>
        <w:jc w:val="both"/>
        <w:rPr>
          <w:color w:val="0070C0"/>
          <w:sz w:val="16"/>
          <w:szCs w:val="16"/>
        </w:rPr>
      </w:pPr>
      <w:r w:rsidRPr="00E14102">
        <w:rPr>
          <w:color w:val="0070C0"/>
          <w:sz w:val="16"/>
          <w:szCs w:val="16"/>
        </w:rPr>
        <w:t>- в 1936 году - 3000 самолетов;</w:t>
      </w:r>
    </w:p>
    <w:p w14:paraId="36A1601E" w14:textId="77777777" w:rsidR="006637B0" w:rsidRPr="00E14102" w:rsidRDefault="006637B0" w:rsidP="00E14102">
      <w:pPr>
        <w:jc w:val="both"/>
        <w:rPr>
          <w:color w:val="0070C0"/>
          <w:sz w:val="16"/>
          <w:szCs w:val="16"/>
        </w:rPr>
      </w:pPr>
      <w:r w:rsidRPr="00E14102">
        <w:rPr>
          <w:color w:val="0070C0"/>
          <w:sz w:val="16"/>
          <w:szCs w:val="16"/>
        </w:rPr>
        <w:t>- в 1937 году-4000 самолетов (21100).</w:t>
      </w:r>
    </w:p>
    <w:p w14:paraId="67F13943" w14:textId="77777777" w:rsidR="006637B0" w:rsidRPr="00E14102" w:rsidRDefault="006637B0" w:rsidP="00E14102">
      <w:pPr>
        <w:jc w:val="both"/>
        <w:rPr>
          <w:color w:val="0070C0"/>
          <w:sz w:val="16"/>
          <w:szCs w:val="16"/>
        </w:rPr>
      </w:pPr>
    </w:p>
    <w:p w14:paraId="777098F2" w14:textId="669D8F94" w:rsidR="006637B0" w:rsidRPr="00E14102" w:rsidRDefault="006637B0" w:rsidP="00E14102">
      <w:pPr>
        <w:shd w:val="clear" w:color="auto" w:fill="FFFFFF"/>
        <w:jc w:val="both"/>
        <w:rPr>
          <w:color w:val="0070C0"/>
          <w:sz w:val="16"/>
          <w:szCs w:val="16"/>
        </w:rPr>
      </w:pPr>
      <w:r w:rsidRPr="00E14102">
        <w:rPr>
          <w:color w:val="0070C0"/>
          <w:sz w:val="16"/>
          <w:szCs w:val="16"/>
        </w:rPr>
        <w:t>В январе 1935 года Стар</w:t>
      </w:r>
      <w:r w:rsidRPr="00E14102">
        <w:rPr>
          <w:color w:val="0070C0"/>
          <w:sz w:val="16"/>
          <w:szCs w:val="16"/>
        </w:rPr>
        <w:softHyphen/>
        <w:t>ший военпред завода 125 Багров докладывал, что в основных производственных цехах, вклю</w:t>
      </w:r>
      <w:r w:rsidRPr="00E14102">
        <w:rPr>
          <w:color w:val="0070C0"/>
          <w:sz w:val="16"/>
          <w:szCs w:val="16"/>
        </w:rPr>
        <w:softHyphen/>
        <w:t xml:space="preserve">чая инструментальный, насчитывается около </w:t>
      </w:r>
      <w:r w:rsidRPr="00E14102">
        <w:rPr>
          <w:rStyle w:val="860"/>
          <w:rFonts w:ascii="Times New Roman" w:hAnsi="Times New Roman" w:cs="Times New Roman"/>
          <w:color w:val="0070C0"/>
          <w:sz w:val="16"/>
          <w:szCs w:val="16"/>
        </w:rPr>
        <w:t>750 производственных рабочих, что состав</w:t>
      </w:r>
      <w:r w:rsidRPr="00E14102">
        <w:rPr>
          <w:rStyle w:val="860"/>
          <w:rFonts w:ascii="Times New Roman" w:hAnsi="Times New Roman" w:cs="Times New Roman"/>
          <w:color w:val="0070C0"/>
          <w:sz w:val="16"/>
          <w:szCs w:val="16"/>
        </w:rPr>
        <w:softHyphen/>
        <w:t>ляет примерно 30% потребного штата. Осо</w:t>
      </w:r>
      <w:r w:rsidRPr="00E14102">
        <w:rPr>
          <w:rStyle w:val="860"/>
          <w:rFonts w:ascii="Times New Roman" w:hAnsi="Times New Roman" w:cs="Times New Roman"/>
          <w:color w:val="0070C0"/>
          <w:sz w:val="16"/>
          <w:szCs w:val="16"/>
        </w:rPr>
        <w:softHyphen/>
        <w:t>бенно остро ощущалась нехватка высококва</w:t>
      </w:r>
      <w:r w:rsidRPr="00E14102">
        <w:rPr>
          <w:rStyle w:val="860"/>
          <w:rFonts w:ascii="Times New Roman" w:hAnsi="Times New Roman" w:cs="Times New Roman"/>
          <w:color w:val="0070C0"/>
          <w:sz w:val="16"/>
          <w:szCs w:val="16"/>
        </w:rPr>
        <w:softHyphen/>
        <w:t>лифицированного персонала. В дюралево- клепальном цехе № 3 к каждой рабочей пози</w:t>
      </w:r>
      <w:r w:rsidRPr="00E14102">
        <w:rPr>
          <w:rStyle w:val="860"/>
          <w:rFonts w:ascii="Times New Roman" w:hAnsi="Times New Roman" w:cs="Times New Roman"/>
          <w:color w:val="0070C0"/>
          <w:sz w:val="16"/>
          <w:szCs w:val="16"/>
        </w:rPr>
        <w:softHyphen/>
        <w:t>ции был подведен сжатый воздух и на 300 че</w:t>
      </w:r>
      <w:r w:rsidRPr="00E14102">
        <w:rPr>
          <w:rStyle w:val="860"/>
          <w:rFonts w:ascii="Times New Roman" w:hAnsi="Times New Roman" w:cs="Times New Roman"/>
          <w:color w:val="0070C0"/>
          <w:sz w:val="16"/>
          <w:szCs w:val="16"/>
        </w:rPr>
        <w:softHyphen/>
        <w:t>ловек наличного персонала имелось 400 пневмомолотков, однако пневмоклепка даже не осваивалась: некому было.</w:t>
      </w:r>
    </w:p>
    <w:p w14:paraId="35A886C2" w14:textId="77777777" w:rsidR="006637B0" w:rsidRPr="00E14102" w:rsidRDefault="006637B0" w:rsidP="00E14102">
      <w:pPr>
        <w:pStyle w:val="1080"/>
        <w:shd w:val="clear" w:color="auto" w:fill="auto"/>
        <w:spacing w:after="0" w:line="240" w:lineRule="auto"/>
        <w:ind w:firstLine="0"/>
        <w:jc w:val="both"/>
        <w:rPr>
          <w:rFonts w:ascii="Times New Roman" w:hAnsi="Times New Roman" w:cs="Times New Roman"/>
          <w:color w:val="0070C0"/>
          <w:sz w:val="16"/>
          <w:szCs w:val="16"/>
        </w:rPr>
      </w:pPr>
      <w:r w:rsidRPr="00E14102">
        <w:rPr>
          <w:rStyle w:val="860"/>
          <w:rFonts w:ascii="Times New Roman" w:hAnsi="Times New Roman" w:cs="Times New Roman"/>
          <w:color w:val="0070C0"/>
          <w:sz w:val="16"/>
          <w:szCs w:val="16"/>
        </w:rPr>
        <w:t>Основной причиной военные считали не</w:t>
      </w:r>
      <w:r w:rsidRPr="00E14102">
        <w:rPr>
          <w:rStyle w:val="860"/>
          <w:rFonts w:ascii="Times New Roman" w:hAnsi="Times New Roman" w:cs="Times New Roman"/>
          <w:color w:val="0070C0"/>
          <w:sz w:val="16"/>
          <w:szCs w:val="16"/>
        </w:rPr>
        <w:softHyphen/>
        <w:t>умение и отчасти нежелание руководства грамотно организовать работу всех звеньев завода. В частности, острая нехватка персо</w:t>
      </w:r>
      <w:r w:rsidRPr="00E14102">
        <w:rPr>
          <w:rStyle w:val="860"/>
          <w:rFonts w:ascii="Times New Roman" w:hAnsi="Times New Roman" w:cs="Times New Roman"/>
          <w:color w:val="0070C0"/>
          <w:sz w:val="16"/>
          <w:szCs w:val="16"/>
        </w:rPr>
        <w:softHyphen/>
        <w:t>нала была обусловлена отсутствием жилья. Директор завода и партком «нашли общий язык» и, несмотря на директиву крайкома партии о сдаче ежемесячно семи жилых домов, активно боролись с этим решением, хотя техническим директором завода была предметно обоснована возможность реали</w:t>
      </w:r>
      <w:r w:rsidRPr="00E14102">
        <w:rPr>
          <w:rStyle w:val="860"/>
          <w:rFonts w:ascii="Times New Roman" w:hAnsi="Times New Roman" w:cs="Times New Roman"/>
          <w:color w:val="0070C0"/>
          <w:sz w:val="16"/>
          <w:szCs w:val="16"/>
        </w:rPr>
        <w:softHyphen/>
        <w:t>зации такой программы.</w:t>
      </w:r>
    </w:p>
    <w:p w14:paraId="1D468A49" w14:textId="77777777" w:rsidR="006637B0" w:rsidRPr="00E14102" w:rsidRDefault="006637B0" w:rsidP="00E14102">
      <w:pPr>
        <w:pStyle w:val="1080"/>
        <w:shd w:val="clear" w:color="auto" w:fill="auto"/>
        <w:spacing w:after="0" w:line="240" w:lineRule="auto"/>
        <w:ind w:firstLine="0"/>
        <w:jc w:val="both"/>
        <w:rPr>
          <w:rFonts w:ascii="Times New Roman" w:hAnsi="Times New Roman" w:cs="Times New Roman"/>
          <w:color w:val="0070C0"/>
          <w:sz w:val="16"/>
          <w:szCs w:val="16"/>
        </w:rPr>
      </w:pPr>
      <w:r w:rsidRPr="00E14102">
        <w:rPr>
          <w:rStyle w:val="860"/>
          <w:rFonts w:ascii="Times New Roman" w:hAnsi="Times New Roman" w:cs="Times New Roman"/>
          <w:color w:val="0070C0"/>
          <w:sz w:val="16"/>
          <w:szCs w:val="16"/>
        </w:rPr>
        <w:t>Техническое руководство тоже не всегда оказывалось на высоте. По недосмотру про</w:t>
      </w:r>
      <w:r w:rsidRPr="00E14102">
        <w:rPr>
          <w:rStyle w:val="860"/>
          <w:rFonts w:ascii="Times New Roman" w:hAnsi="Times New Roman" w:cs="Times New Roman"/>
          <w:color w:val="0070C0"/>
          <w:sz w:val="16"/>
          <w:szCs w:val="16"/>
        </w:rPr>
        <w:softHyphen/>
        <w:t>изводство не было обеспечено рядом при</w:t>
      </w:r>
      <w:r w:rsidRPr="00E14102">
        <w:rPr>
          <w:rStyle w:val="860"/>
          <w:rFonts w:ascii="Times New Roman" w:hAnsi="Times New Roman" w:cs="Times New Roman"/>
          <w:color w:val="0070C0"/>
          <w:sz w:val="16"/>
          <w:szCs w:val="16"/>
        </w:rPr>
        <w:softHyphen/>
        <w:t>способлений, шаблонов, оправок и тому по</w:t>
      </w:r>
      <w:r w:rsidRPr="00E14102">
        <w:rPr>
          <w:rStyle w:val="860"/>
          <w:rFonts w:ascii="Times New Roman" w:hAnsi="Times New Roman" w:cs="Times New Roman"/>
          <w:color w:val="0070C0"/>
          <w:sz w:val="16"/>
          <w:szCs w:val="16"/>
        </w:rPr>
        <w:softHyphen/>
        <w:t>добного, что временами не только тормозило, но и останавливало выполнение работ. Без серьезной проработки было заказано сразу шесть деревянных стапелей для сборки фю</w:t>
      </w:r>
      <w:r w:rsidRPr="00E14102">
        <w:rPr>
          <w:rStyle w:val="860"/>
          <w:rFonts w:ascii="Times New Roman" w:hAnsi="Times New Roman" w:cs="Times New Roman"/>
          <w:color w:val="0070C0"/>
          <w:sz w:val="16"/>
          <w:szCs w:val="16"/>
        </w:rPr>
        <w:softHyphen/>
        <w:t>зеляжа по цене 10 тысяч рублей за каждый при отпускной цене за сам самолет в 160 тысяч рублей, однако при выемке из стапеля первого фюзеляжа стапель пришлось распи</w:t>
      </w:r>
      <w:r w:rsidRPr="00E14102">
        <w:rPr>
          <w:rStyle w:val="860"/>
          <w:rFonts w:ascii="Times New Roman" w:hAnsi="Times New Roman" w:cs="Times New Roman"/>
          <w:color w:val="0070C0"/>
          <w:sz w:val="16"/>
          <w:szCs w:val="16"/>
        </w:rPr>
        <w:softHyphen/>
        <w:t>лить на достаточно мелкие фрагменты. Были заказаны металлические стапеля.</w:t>
      </w:r>
    </w:p>
    <w:p w14:paraId="3633C2C6" w14:textId="77777777" w:rsidR="006637B0" w:rsidRPr="00E14102" w:rsidRDefault="006637B0" w:rsidP="00E14102">
      <w:pPr>
        <w:pStyle w:val="1080"/>
        <w:shd w:val="clear" w:color="auto" w:fill="auto"/>
        <w:spacing w:after="0" w:line="240" w:lineRule="auto"/>
        <w:ind w:firstLine="0"/>
        <w:jc w:val="both"/>
        <w:rPr>
          <w:rFonts w:ascii="Times New Roman" w:hAnsi="Times New Roman" w:cs="Times New Roman"/>
          <w:color w:val="0070C0"/>
          <w:sz w:val="16"/>
          <w:szCs w:val="16"/>
        </w:rPr>
      </w:pPr>
      <w:r w:rsidRPr="00E14102">
        <w:rPr>
          <w:rStyle w:val="860"/>
          <w:rFonts w:ascii="Times New Roman" w:hAnsi="Times New Roman" w:cs="Times New Roman"/>
          <w:color w:val="0070C0"/>
          <w:sz w:val="16"/>
          <w:szCs w:val="16"/>
        </w:rPr>
        <w:t>При острой нехватке персонала техниче</w:t>
      </w:r>
      <w:r w:rsidRPr="00E14102">
        <w:rPr>
          <w:rStyle w:val="860"/>
          <w:rFonts w:ascii="Times New Roman" w:hAnsi="Times New Roman" w:cs="Times New Roman"/>
          <w:color w:val="0070C0"/>
          <w:sz w:val="16"/>
          <w:szCs w:val="16"/>
        </w:rPr>
        <w:softHyphen/>
        <w:t>ская учеба была организована формальным образом. Клепальщикам вместо практиче</w:t>
      </w:r>
      <w:r w:rsidRPr="00E14102">
        <w:rPr>
          <w:rStyle w:val="860"/>
          <w:rFonts w:ascii="Times New Roman" w:hAnsi="Times New Roman" w:cs="Times New Roman"/>
          <w:color w:val="0070C0"/>
          <w:sz w:val="16"/>
          <w:szCs w:val="16"/>
        </w:rPr>
        <w:softHyphen/>
        <w:t>ских занятий по освоению пневмоинструмента два с половиной месяца преподавали хим</w:t>
      </w:r>
      <w:r w:rsidRPr="00E14102">
        <w:rPr>
          <w:rStyle w:val="860"/>
          <w:rFonts w:ascii="Times New Roman" w:hAnsi="Times New Roman" w:cs="Times New Roman"/>
          <w:color w:val="0070C0"/>
          <w:sz w:val="16"/>
          <w:szCs w:val="16"/>
        </w:rPr>
        <w:softHyphen/>
        <w:t>состав дюраля, а инструментальщики из</w:t>
      </w:r>
      <w:r w:rsidRPr="00E14102">
        <w:rPr>
          <w:rStyle w:val="860"/>
          <w:rFonts w:ascii="Times New Roman" w:hAnsi="Times New Roman" w:cs="Times New Roman"/>
          <w:color w:val="0070C0"/>
          <w:sz w:val="16"/>
          <w:szCs w:val="16"/>
        </w:rPr>
        <w:softHyphen/>
        <w:t>учали доменные процессы. При наличии трети необходимого персонала была органи</w:t>
      </w:r>
      <w:r w:rsidRPr="00E14102">
        <w:rPr>
          <w:rStyle w:val="860"/>
          <w:rFonts w:ascii="Times New Roman" w:hAnsi="Times New Roman" w:cs="Times New Roman"/>
          <w:color w:val="0070C0"/>
          <w:sz w:val="16"/>
          <w:szCs w:val="16"/>
        </w:rPr>
        <w:softHyphen/>
        <w:t>зована трехсменная работа цехов. На пред</w:t>
      </w:r>
      <w:r w:rsidRPr="00E14102">
        <w:rPr>
          <w:rStyle w:val="860"/>
          <w:rFonts w:ascii="Times New Roman" w:hAnsi="Times New Roman" w:cs="Times New Roman"/>
          <w:color w:val="0070C0"/>
          <w:sz w:val="16"/>
          <w:szCs w:val="16"/>
        </w:rPr>
        <w:softHyphen/>
        <w:t>ложение военпредов пока убрать хотя бы ночную смену, на которую приходился самый высокий процент брака, дирекция отвечала отказом, мотивируя это необходимостью «на</w:t>
      </w:r>
      <w:r w:rsidRPr="00E14102">
        <w:rPr>
          <w:rStyle w:val="860"/>
          <w:rFonts w:ascii="Times New Roman" w:hAnsi="Times New Roman" w:cs="Times New Roman"/>
          <w:color w:val="0070C0"/>
          <w:sz w:val="16"/>
          <w:szCs w:val="16"/>
        </w:rPr>
        <w:softHyphen/>
        <w:t>ращивания темпов». Результатом всего этого стало отвратительное качество выпущенных И-14 и огромный, доходящий до трети от об</w:t>
      </w:r>
      <w:r w:rsidRPr="00E14102">
        <w:rPr>
          <w:rStyle w:val="860"/>
          <w:rFonts w:ascii="Times New Roman" w:hAnsi="Times New Roman" w:cs="Times New Roman"/>
          <w:color w:val="0070C0"/>
          <w:sz w:val="16"/>
          <w:szCs w:val="16"/>
        </w:rPr>
        <w:softHyphen/>
        <w:t>щего количества, процент брака</w:t>
      </w:r>
      <w:r w:rsidRPr="00E14102">
        <w:rPr>
          <w:rStyle w:val="860"/>
          <w:rFonts w:ascii="Times New Roman" w:hAnsi="Times New Roman" w:cs="Times New Roman"/>
          <w:color w:val="0070C0"/>
          <w:sz w:val="16"/>
          <w:szCs w:val="16"/>
          <w:lang w:val="ru-RU"/>
        </w:rPr>
        <w:t xml:space="preserve"> (19871)</w:t>
      </w:r>
      <w:r w:rsidRPr="00E14102">
        <w:rPr>
          <w:rStyle w:val="860"/>
          <w:rFonts w:ascii="Times New Roman" w:hAnsi="Times New Roman" w:cs="Times New Roman"/>
          <w:color w:val="0070C0"/>
          <w:sz w:val="16"/>
          <w:szCs w:val="16"/>
        </w:rPr>
        <w:t>.</w:t>
      </w:r>
    </w:p>
    <w:p w14:paraId="7AC3FEDE" w14:textId="77777777" w:rsidR="006637B0" w:rsidRPr="00E14102" w:rsidRDefault="006637B0" w:rsidP="00E14102">
      <w:pPr>
        <w:jc w:val="both"/>
        <w:rPr>
          <w:rStyle w:val="441"/>
          <w:rFonts w:ascii="Times New Roman" w:hAnsi="Times New Roman" w:cs="Times New Roman"/>
          <w:i w:val="0"/>
          <w:iCs w:val="0"/>
          <w:color w:val="0070C0"/>
          <w:sz w:val="16"/>
          <w:szCs w:val="16"/>
          <w:lang w:val="ru"/>
        </w:rPr>
      </w:pPr>
    </w:p>
    <w:p w14:paraId="2F4EE5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января 1935 И.Ф.Петров стал начальником отдела сухопутных самолетов НИИ ВВС (262,35).</w:t>
      </w:r>
    </w:p>
    <w:p w14:paraId="00C7233D" w14:textId="77777777" w:rsidR="00D4105E" w:rsidRPr="00E14102" w:rsidRDefault="00D4105E" w:rsidP="00E14102">
      <w:pPr>
        <w:autoSpaceDE w:val="0"/>
        <w:autoSpaceDN w:val="0"/>
        <w:adjustRightInd w:val="0"/>
        <w:jc w:val="both"/>
        <w:rPr>
          <w:color w:val="000000" w:themeColor="text1"/>
          <w:sz w:val="16"/>
          <w:szCs w:val="16"/>
        </w:rPr>
      </w:pPr>
    </w:p>
    <w:p w14:paraId="729F96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января 1935 было подготовлено письмо N 40/0633 Нач. УВВС Алкснис Нач. ГУАП:</w:t>
      </w:r>
    </w:p>
    <w:p w14:paraId="6F5AC7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увеличением скоростей полета самолетов в настоящее время является особо нежелательным применение амортизаторов, фиксирующих положение лыжи в полете. Еще в 1917 т. Лобановым были запатентованы самоустанавливающиеся лыжи со стабилизатором. Эти лыжи успешно применялись на Ю-13.</w:t>
      </w:r>
    </w:p>
    <w:p w14:paraId="08A1F2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Считаю необходимым оживить это забытое дело, привлечь т. Лобанова и осуществить еще в текущую зиму постройку нескольких комплектов опытных лыж, в первую очередь для У-2, И-5 и И-15 для их последовательного испытания.</w:t>
      </w:r>
    </w:p>
    <w:p w14:paraId="47CE9E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принятом Вами решении прошу меня поставить в известность." (2337,90).</w:t>
      </w:r>
    </w:p>
    <w:p w14:paraId="5C91682E" w14:textId="77777777" w:rsidR="00D4105E" w:rsidRPr="00E14102" w:rsidRDefault="00D4105E" w:rsidP="00E14102">
      <w:pPr>
        <w:autoSpaceDE w:val="0"/>
        <w:autoSpaceDN w:val="0"/>
        <w:adjustRightInd w:val="0"/>
        <w:jc w:val="both"/>
        <w:rPr>
          <w:color w:val="000000" w:themeColor="text1"/>
          <w:sz w:val="16"/>
          <w:szCs w:val="16"/>
        </w:rPr>
      </w:pPr>
    </w:p>
    <w:p w14:paraId="51568D4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январе 1935 вышел Приказ НИИ ВВС № 030 О проведении демонстрации объектов Майзеля наркому обороны (6814, 34).</w:t>
      </w:r>
    </w:p>
    <w:p w14:paraId="0077554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D0E84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года турель под Эрликон ЦАГИ испытывали на Ногинском полигоне. В дальнейшем предполагалось установить в башне отечественную пушку ШВАК (9807).</w:t>
      </w:r>
    </w:p>
    <w:p w14:paraId="3107369B" w14:textId="77777777" w:rsidR="00D4105E" w:rsidRPr="00E14102" w:rsidRDefault="00D4105E" w:rsidP="00E14102">
      <w:pPr>
        <w:autoSpaceDE w:val="0"/>
        <w:autoSpaceDN w:val="0"/>
        <w:adjustRightInd w:val="0"/>
        <w:jc w:val="both"/>
        <w:rPr>
          <w:color w:val="000000" w:themeColor="text1"/>
          <w:sz w:val="16"/>
          <w:szCs w:val="16"/>
        </w:rPr>
      </w:pPr>
    </w:p>
    <w:p w14:paraId="7CC6A5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январе 1935 года И. Варшавского с исполняющим обязанности начальника КБ 2 при НКО СССР Г.М. Заславскимвдвоем представили в Отдел изобретении НКО записку с предложением спроектировать и построить легкий бомбардировщик с зеркальной маскировкой. Все работы предлагалось разбить на два этапа: проект бомбардировщика с возможностью приспособления его под зеркальную маскировку и серию работ по самой маскировке с возможностью ее применения к бомбардировщику КБ-2. В результате авторы обещали выдать «проект маскировочного самолета с прекрасными летными данными» и «не в ущерб его летным качествам осуществить жесткие требования к размерам и деформациям, предъявляемой светомаскировкой Варшавского». </w:t>
      </w:r>
    </w:p>
    <w:p w14:paraId="6BCA43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Такой оптимизм был основан на том, что Заславский, более сведущий в авиации, нашел все-таки в качестве прототипа для своего бомбардировщика самолет, чей внешний вид хотя и был необычен для тех лет, по более всего подходил к требованиям Варшавского. И этот самолет уже летал! Правда, обшит он был не сталью, столь удобной для получения зеркальной поверхности, а фанерой. Он так и назывался — «Фанера-2». Чтобы сделать его поверхность зеркальной, нужен был специальный материал — армированная фанера. </w:t>
      </w:r>
    </w:p>
    <w:p w14:paraId="4980FD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Перед проектированием специального самолета было решено в качестве опыта переделать один из уже построенных самолетов «Фанера-2». Для этого предполагалось произвести небольшие изменения конструкции крыла для придания конструкции большей жесткости, чтобы уменьшить прогиб обшивки, и заменить обычную фанеру на армированную отполированной сталью. </w:t>
      </w:r>
    </w:p>
    <w:p w14:paraId="747F84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работы предлагалось провести на базе КБ-2, где проектом заинтересовались А.С. Бас-Дубов, Ларионов и Н. Ильин. В НИВК же маскировочная тематика планомерно свертывалась и часть сотрудников Варшавского, занимавшихся экспериментальной разработкой зеркальной маскировки, в это время уже была уволена (11505).</w:t>
      </w:r>
    </w:p>
    <w:p w14:paraId="5AFB6761" w14:textId="77777777" w:rsidR="00D4105E" w:rsidRPr="00E14102" w:rsidRDefault="00D4105E" w:rsidP="00E14102">
      <w:pPr>
        <w:autoSpaceDE w:val="0"/>
        <w:autoSpaceDN w:val="0"/>
        <w:adjustRightInd w:val="0"/>
        <w:jc w:val="both"/>
        <w:rPr>
          <w:color w:val="000000" w:themeColor="text1"/>
          <w:sz w:val="16"/>
          <w:szCs w:val="16"/>
        </w:rPr>
      </w:pPr>
    </w:p>
    <w:p w14:paraId="79B9EC58" w14:textId="77777777" w:rsidR="00075C8D" w:rsidRPr="00E14102" w:rsidRDefault="00075C8D" w:rsidP="00E14102">
      <w:pPr>
        <w:jc w:val="both"/>
        <w:rPr>
          <w:color w:val="000000" w:themeColor="text1"/>
          <w:sz w:val="16"/>
          <w:szCs w:val="16"/>
        </w:rPr>
      </w:pPr>
      <w:r w:rsidRPr="00E14102">
        <w:rPr>
          <w:color w:val="000000" w:themeColor="text1"/>
          <w:sz w:val="16"/>
          <w:szCs w:val="16"/>
        </w:rPr>
        <w:t xml:space="preserve">В январе </w:t>
      </w:r>
      <w:smartTag w:uri="urn:schemas-microsoft-com:office:smarttags" w:element="metricconverter">
        <w:smartTagPr>
          <w:attr w:name="ProductID" w:val="1935 г"/>
        </w:smartTagPr>
        <w:r w:rsidRPr="00E14102">
          <w:rPr>
            <w:color w:val="000000" w:themeColor="text1"/>
            <w:sz w:val="16"/>
            <w:szCs w:val="16"/>
          </w:rPr>
          <w:t>1935 г</w:t>
        </w:r>
      </w:smartTag>
      <w:r w:rsidRPr="00E14102">
        <w:rPr>
          <w:color w:val="000000" w:themeColor="text1"/>
          <w:sz w:val="16"/>
          <w:szCs w:val="16"/>
        </w:rPr>
        <w:t>. в РНИИ состоялась научно-техническая конференция на которой обсуждались перспективы развития института. На конференции участвовали видные ученые В.П. Ветчинкин, Б.С. Стечкин, Д.А. Вентцель. От РНИИ среди ведущих специалистов были Королев, Глушко, Тихонравов. С программным докладом выступил А.Г. Костиков. Основным направлением при полетах на дальность были приняты крылатые ракеты. В 1934-1935 гг. было изготовлено и испытано несколько вариантов крылатых ракет с пороховыми и жидкостными двигателями. Для обеспечения их устойчивости в полете требовалась автономная система управления. С этого времени с Королевым стал работать Б.В. Раушенбах. Разработка таких систем не была профильной для РНИИ. Это было одной из причин разногласий Королева с Лангемаком (19590).</w:t>
      </w:r>
    </w:p>
    <w:p w14:paraId="6CACF2B0" w14:textId="77777777" w:rsidR="00075C8D" w:rsidRPr="00E14102" w:rsidRDefault="00075C8D" w:rsidP="00E14102">
      <w:pPr>
        <w:jc w:val="both"/>
        <w:rPr>
          <w:color w:val="000000" w:themeColor="text1"/>
          <w:sz w:val="16"/>
          <w:szCs w:val="16"/>
        </w:rPr>
      </w:pPr>
    </w:p>
    <w:p w14:paraId="41E73A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январе 1935 г. по заказу АУ РККА в РНИИ был спроектирован первый вариант 40-мм турборакетного сигнального снаряда ТРС-40С модели 140400, рассчитанный на использование РЗ из одной шашки ПТП габа</w:t>
      </w:r>
      <w:r w:rsidRPr="00E14102">
        <w:rPr>
          <w:color w:val="000000" w:themeColor="text1"/>
          <w:sz w:val="16"/>
          <w:szCs w:val="16"/>
        </w:rPr>
        <w:softHyphen/>
        <w:t>ритами 29/6-70 мм. Для подбора диаметра критического сечения сопла даже изготовили опытную 40-мм камеру, благодаря которой удалось экс</w:t>
      </w:r>
      <w:r w:rsidRPr="00E14102">
        <w:rPr>
          <w:color w:val="000000" w:themeColor="text1"/>
          <w:sz w:val="16"/>
          <w:szCs w:val="16"/>
        </w:rPr>
        <w:softHyphen/>
        <w:t>периментально определить размеры центрального и боковых вращатель</w:t>
      </w:r>
      <w:r w:rsidRPr="00E14102">
        <w:rPr>
          <w:color w:val="000000" w:themeColor="text1"/>
          <w:sz w:val="16"/>
          <w:szCs w:val="16"/>
        </w:rPr>
        <w:softHyphen/>
        <w:t>ных сопел.</w:t>
      </w:r>
    </w:p>
    <w:p w14:paraId="5EBE33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пуска снарядов разработали специальную направляющую труб</w:t>
      </w:r>
      <w:r w:rsidRPr="00E14102">
        <w:rPr>
          <w:color w:val="000000" w:themeColor="text1"/>
          <w:sz w:val="16"/>
          <w:szCs w:val="16"/>
        </w:rPr>
        <w:softHyphen/>
        <w:t>чатого типа модели 559. Трудно судить, что это был за боеприпас, но со</w:t>
      </w:r>
      <w:r w:rsidRPr="00E14102">
        <w:rPr>
          <w:color w:val="000000" w:themeColor="text1"/>
          <w:sz w:val="16"/>
          <w:szCs w:val="16"/>
        </w:rPr>
        <w:softHyphen/>
        <w:t>временные сигнальные патроны аналогичного калибра запускают с ру</w:t>
      </w:r>
      <w:r w:rsidRPr="00E14102">
        <w:rPr>
          <w:color w:val="000000" w:themeColor="text1"/>
          <w:sz w:val="16"/>
          <w:szCs w:val="16"/>
        </w:rPr>
        <w:softHyphen/>
        <w:t>ки. В феврале 1935 г. провели серию опытов по подбору воспламените</w:t>
      </w:r>
      <w:r w:rsidRPr="00E14102">
        <w:rPr>
          <w:color w:val="000000" w:themeColor="text1"/>
          <w:sz w:val="16"/>
          <w:szCs w:val="16"/>
        </w:rPr>
        <w:softHyphen/>
        <w:t>лей, действию капсюлей при различной длине пусковой трубы и пр. А 14 марта состоялась первая стрельба на Люблинском полигоне. Действие РЗ, воспламенителей и капсюлей было безотказным.</w:t>
      </w:r>
    </w:p>
    <w:p w14:paraId="41D32D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апреля при стрельбе для предотвращения срыва колпаков передних обтекателей, у трех снарядов их привязали к стакану БЧ стальной прово</w:t>
      </w:r>
      <w:r w:rsidRPr="00E14102">
        <w:rPr>
          <w:color w:val="000000" w:themeColor="text1"/>
          <w:sz w:val="16"/>
          <w:szCs w:val="16"/>
        </w:rPr>
        <w:softHyphen/>
        <w:t>локой, чтобы получить безотказное зажигание сигнального состава. Вос</w:t>
      </w:r>
      <w:r w:rsidRPr="00E14102">
        <w:rPr>
          <w:color w:val="000000" w:themeColor="text1"/>
          <w:sz w:val="16"/>
          <w:szCs w:val="16"/>
        </w:rPr>
        <w:softHyphen/>
        <w:t>пламенители в БЧ крепили стопиновыми нитями. Передача огня от ра</w:t>
      </w:r>
      <w:r w:rsidRPr="00E14102">
        <w:rPr>
          <w:color w:val="000000" w:themeColor="text1"/>
          <w:sz w:val="16"/>
          <w:szCs w:val="16"/>
        </w:rPr>
        <w:softHyphen/>
        <w:t>ботающего двигателя на дистанционное кольцо обеспечивалось порохо</w:t>
      </w:r>
      <w:r w:rsidRPr="00E14102">
        <w:rPr>
          <w:color w:val="000000" w:themeColor="text1"/>
          <w:sz w:val="16"/>
          <w:szCs w:val="16"/>
        </w:rPr>
        <w:softHyphen/>
        <w:t>вой подмазкой «у начала горения дистанционного состава». Стрельба продемонстрировала безотказное действие дистанционного кольца и капсюля-воспламенителя.</w:t>
      </w:r>
    </w:p>
    <w:p w14:paraId="5D8F0E0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Однако, от представителя НТО-1 ОБАА АУ РККА Лукашина посту</w:t>
      </w:r>
      <w:r w:rsidRPr="00E14102">
        <w:rPr>
          <w:color w:val="000000" w:themeColor="text1"/>
          <w:sz w:val="16"/>
          <w:szCs w:val="16"/>
        </w:rPr>
        <w:softHyphen/>
        <w:t>пило предложение доработать снаряд под РЗ из штатного пороха ПТП габаритами 24/6-57,5 мм, и в марте в РНИИ приступили к разработке второго варианта этого снаряда. По заданию РНИИ одновременно в ВХНИИ разработали рецептуру состава звездок, а также цветных огней и дымов. На основании опытов создали снаряд модели 140900 и пуско</w:t>
      </w:r>
      <w:r w:rsidRPr="00E14102">
        <w:rPr>
          <w:color w:val="000000" w:themeColor="text1"/>
          <w:sz w:val="16"/>
          <w:szCs w:val="16"/>
        </w:rPr>
        <w:softHyphen/>
        <w:t>вую трубу к нему модели 101700. 15 июля отстреляли четыре новых бое-припаса, снаряженных сигнальными звездками. Три снаряда «дали пра</w:t>
      </w:r>
      <w:r w:rsidRPr="00E14102">
        <w:rPr>
          <w:color w:val="000000" w:themeColor="text1"/>
          <w:sz w:val="16"/>
          <w:szCs w:val="16"/>
        </w:rPr>
        <w:softHyphen/>
        <w:t>вильный полет с высотой подъема 500 м». У одного все же сорвало обте</w:t>
      </w:r>
      <w:r w:rsidRPr="00E14102">
        <w:rPr>
          <w:color w:val="000000" w:themeColor="text1"/>
          <w:sz w:val="16"/>
          <w:szCs w:val="16"/>
        </w:rPr>
        <w:softHyphen/>
        <w:t>катель головной части.</w:t>
      </w:r>
    </w:p>
    <w:p w14:paraId="5419A5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сентября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E14102">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E14102">
        <w:rPr>
          <w:color w:val="000000" w:themeColor="text1"/>
          <w:sz w:val="16"/>
          <w:szCs w:val="16"/>
        </w:rPr>
        <w:softHyphen/>
        <w:t>нейшем в чертежи внесли изменения, улучшив крепление алюминиево</w:t>
      </w:r>
      <w:r w:rsidRPr="00E14102">
        <w:rPr>
          <w:color w:val="000000" w:themeColor="text1"/>
          <w:sz w:val="16"/>
          <w:szCs w:val="16"/>
        </w:rPr>
        <w:softHyphen/>
        <w:t>го головного обтекателя с дном. Готовые образцы 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E14102">
        <w:rPr>
          <w:color w:val="000000" w:themeColor="text1"/>
          <w:sz w:val="16"/>
          <w:szCs w:val="16"/>
        </w:rPr>
        <w:softHyphen/>
        <w:t>сов модели 140900 и четыре пусковых трубы модели 101700 для полигон</w:t>
      </w:r>
      <w:r w:rsidRPr="00E14102">
        <w:rPr>
          <w:color w:val="000000" w:themeColor="text1"/>
          <w:sz w:val="16"/>
          <w:szCs w:val="16"/>
        </w:rPr>
        <w:softHyphen/>
        <w:t>ных испытаний (11402).</w:t>
      </w:r>
    </w:p>
    <w:p w14:paraId="76F08329" w14:textId="77777777" w:rsidR="00D4105E" w:rsidRPr="00E14102" w:rsidRDefault="00D4105E" w:rsidP="00E14102">
      <w:pPr>
        <w:autoSpaceDE w:val="0"/>
        <w:autoSpaceDN w:val="0"/>
        <w:adjustRightInd w:val="0"/>
        <w:jc w:val="both"/>
        <w:rPr>
          <w:color w:val="000000" w:themeColor="text1"/>
          <w:sz w:val="16"/>
          <w:szCs w:val="16"/>
        </w:rPr>
      </w:pPr>
    </w:p>
    <w:p w14:paraId="64E5B685" w14:textId="77777777" w:rsidR="006637B0" w:rsidRPr="00E14102" w:rsidRDefault="006637B0" w:rsidP="00E14102">
      <w:pPr>
        <w:jc w:val="both"/>
        <w:rPr>
          <w:color w:val="0070C0"/>
          <w:sz w:val="16"/>
          <w:szCs w:val="16"/>
        </w:rPr>
      </w:pPr>
      <w:r w:rsidRPr="00E14102">
        <w:rPr>
          <w:color w:val="0070C0"/>
          <w:sz w:val="16"/>
          <w:szCs w:val="16"/>
          <w:lang w:bidi="ru-RU"/>
        </w:rPr>
        <w:t>В январе 1935 года чертежи мачты, выполненные проектным отделом Дирижаблестроя и трестом «Стальмост», передали в Свердловск. К лету на заводе «Уралмаш» изготовили металлоконструкции, и вскоре 45-тонный каркас, предварительно собранный на земле, поставили вертикально (23192).</w:t>
      </w:r>
    </w:p>
    <w:p w14:paraId="5B97FD88" w14:textId="77777777" w:rsidR="006637B0" w:rsidRPr="00E14102" w:rsidRDefault="006637B0" w:rsidP="00E14102">
      <w:pPr>
        <w:jc w:val="both"/>
        <w:rPr>
          <w:color w:val="0070C0"/>
          <w:sz w:val="16"/>
          <w:szCs w:val="16"/>
        </w:rPr>
      </w:pPr>
    </w:p>
    <w:p w14:paraId="03E4A88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6229EA8" w14:textId="77777777" w:rsidR="00D4105E" w:rsidRPr="00E14102" w:rsidRDefault="00D4105E" w:rsidP="00E14102">
      <w:pPr>
        <w:autoSpaceDE w:val="0"/>
        <w:autoSpaceDN w:val="0"/>
        <w:adjustRightInd w:val="0"/>
        <w:jc w:val="both"/>
        <w:rPr>
          <w:iCs/>
          <w:color w:val="000000" w:themeColor="text1"/>
          <w:sz w:val="16"/>
          <w:szCs w:val="16"/>
        </w:rPr>
      </w:pPr>
    </w:p>
    <w:p w14:paraId="63EDB9B8" w14:textId="77777777" w:rsidR="006637B0" w:rsidRPr="00E14102" w:rsidRDefault="006637B0" w:rsidP="00E14102">
      <w:pPr>
        <w:autoSpaceDE w:val="0"/>
        <w:autoSpaceDN w:val="0"/>
        <w:adjustRightInd w:val="0"/>
        <w:jc w:val="both"/>
        <w:rPr>
          <w:color w:val="0070C0"/>
          <w:sz w:val="16"/>
          <w:szCs w:val="16"/>
        </w:rPr>
      </w:pPr>
      <w:r w:rsidRPr="00E14102">
        <w:rPr>
          <w:color w:val="0070C0"/>
          <w:sz w:val="16"/>
          <w:szCs w:val="16"/>
        </w:rPr>
        <w:t>В январе 1935 г. в СКБ Шавырина от НИХИ РККА были направлены ТТТ на усовершенствование конструкции 107-мм химического миномета обр. 1934 с целью увеличения подвижности, устойчивости при стрельбе и удобства перемещения. Основными узлами, подлежащими конструктивному пересмотру, были опорная плита, подставка, амортизатор и колесный ход.429 (20074).</w:t>
      </w:r>
    </w:p>
    <w:p w14:paraId="31FAA85A" w14:textId="77777777" w:rsidR="006637B0" w:rsidRPr="00E14102" w:rsidRDefault="006637B0" w:rsidP="00E14102">
      <w:pPr>
        <w:autoSpaceDE w:val="0"/>
        <w:autoSpaceDN w:val="0"/>
        <w:adjustRightInd w:val="0"/>
        <w:jc w:val="both"/>
        <w:rPr>
          <w:color w:val="0070C0"/>
          <w:sz w:val="16"/>
          <w:szCs w:val="16"/>
        </w:rPr>
      </w:pPr>
    </w:p>
    <w:p w14:paraId="292D7B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 завод (Завод № 605 НКБ, п/я 15, Киселевский машиностроительный завод (КМЗ) им. И.С. Черных, ОАО «КМЗ им. И.С. Черных» /г. Киселевск Новосибирской обл. п/я 15 «Термос» (1942 г.)/ /652702  г. Киселевск Кемеровской обл. ул. Проектная, 1/) выдал первую продукцию- вагонетки, ручные лебедки, шахтные вентиляторы, металлические стойки, рештаки. В 1940 г. завод передан в ведение НКУП и стал специализироваться на выпуске горношахтного оборудования.</w:t>
      </w:r>
    </w:p>
    <w:p w14:paraId="50F27F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Зимой 1931-32 г. было начато строительство завода для производства оборудования для угольных шахт Кузбасса. К началу 1934 г. построены корпуса основных и вспомогательных цехов, начат монтаж оборудования. </w:t>
      </w:r>
    </w:p>
    <w:p w14:paraId="0202BA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начала войны завод передан в ведение НКБ и получил № 605. Сюда с конца июля по 11.1941 г. эвакуированы завод «Красный Круль» из Эстонии и часть завода № 70 НКБ из Москвы (производство М-8 и РБС-82, 335 ед. оборудования, 1200 чел.), к 30.12.1941 г. все оборудование прибыло, бблыпая его часть смонтирована и введена в строй. С 12.1941 г. начат выпуск боеприпасов, к 30.01.1942 г. восстановлено производство М-8 и РБС-82 мощностью 280 тыс. шт. в год.</w:t>
      </w:r>
    </w:p>
    <w:p w14:paraId="3DCAC0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12.1942-04.1943 г. - в ведении 4ГУ НКБ, в 08.1943-09.1944 г. - в ведении 7ГУ. Имел обозначение «п/я 15» (1943 г.).</w:t>
      </w:r>
    </w:p>
    <w:p w14:paraId="2637F4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составе завода основные цехи (1943 г.): механические № 8, 10, кузнечно-прессовый, термический, литейный.</w:t>
      </w:r>
    </w:p>
    <w:p w14:paraId="4BAF4B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 СМ РСФСР от 9.06.1965 г. заводу присвоено имя И.С. Черных (слесаря завода, погибшего в годы войны).</w:t>
      </w:r>
    </w:p>
    <w:p w14:paraId="1EF336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08.2000 г. КМЗ вошел в состав компании «Южкузбассуголь».</w:t>
      </w:r>
    </w:p>
    <w:p w14:paraId="738CD5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(1943 г.): производственная- 13021 м</w:t>
      </w:r>
      <w:r w:rsidRPr="00E14102">
        <w:rPr>
          <w:color w:val="000000" w:themeColor="text1"/>
          <w:sz w:val="16"/>
          <w:szCs w:val="16"/>
          <w:vertAlign w:val="superscript"/>
        </w:rPr>
        <w:t>2</w:t>
      </w:r>
      <w:r w:rsidRPr="00E14102">
        <w:rPr>
          <w:color w:val="000000" w:themeColor="text1"/>
          <w:sz w:val="16"/>
          <w:szCs w:val="16"/>
        </w:rPr>
        <w:t>; вспомогательная- 5864 м</w:t>
      </w:r>
      <w:r w:rsidRPr="00E14102">
        <w:rPr>
          <w:color w:val="000000" w:themeColor="text1"/>
          <w:sz w:val="16"/>
          <w:szCs w:val="16"/>
          <w:vertAlign w:val="superscript"/>
        </w:rPr>
        <w:t>2</w:t>
      </w:r>
      <w:r w:rsidRPr="00E14102">
        <w:rPr>
          <w:color w:val="000000" w:themeColor="text1"/>
          <w:sz w:val="16"/>
          <w:szCs w:val="16"/>
        </w:rPr>
        <w:t>.</w:t>
      </w:r>
    </w:p>
    <w:p w14:paraId="7CD98E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Численность персонала (12.1942 г.)- 3831 чел.</w:t>
      </w:r>
      <w:r w:rsidRPr="00E14102">
        <w:rPr>
          <w:color w:val="000000" w:themeColor="text1"/>
          <w:sz w:val="16"/>
          <w:szCs w:val="16"/>
          <w:vertAlign w:val="superscript"/>
        </w:rPr>
        <w:t>132</w:t>
      </w:r>
    </w:p>
    <w:p w14:paraId="413DEA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Директор- С.Т. Коберник, В.В. Аладьин, Н.П. Щербина, (04.1943 г.)- Н.А. Манаков, В.Н. Истомин, М.Я. Андриенко, В. Г. Берсенев, М.А. Всяких, А.Н. Горбань, А. Г. Соловьев, В.З. Старченко, </w:t>
      </w:r>
      <w:r w:rsidRPr="00E14102">
        <w:rPr>
          <w:color w:val="000000" w:themeColor="text1"/>
          <w:sz w:val="16"/>
          <w:szCs w:val="16"/>
          <w:lang w:val="en-US"/>
        </w:rPr>
        <w:t>JI</w:t>
      </w:r>
      <w:r w:rsidRPr="00E14102">
        <w:rPr>
          <w:color w:val="000000" w:themeColor="text1"/>
          <w:sz w:val="16"/>
          <w:szCs w:val="16"/>
        </w:rPr>
        <w:t>.</w:t>
      </w:r>
      <w:r w:rsidRPr="00E14102">
        <w:rPr>
          <w:color w:val="000000" w:themeColor="text1"/>
          <w:sz w:val="16"/>
          <w:szCs w:val="16"/>
          <w:lang w:val="en-US"/>
        </w:rPr>
        <w:t>A</w:t>
      </w:r>
      <w:r w:rsidRPr="00E14102">
        <w:rPr>
          <w:color w:val="000000" w:themeColor="text1"/>
          <w:sz w:val="16"/>
          <w:szCs w:val="16"/>
        </w:rPr>
        <w:t>. Галкин.</w:t>
      </w:r>
    </w:p>
    <w:p w14:paraId="7F4B84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М-8 (РС-82); М-120 (1943); механизированный комплекс 2М81; шахтные и горнорудные вагонетки, шахтные лебедки; центрифуги для углеобогатительных предприятий (11982).</w:t>
      </w:r>
    </w:p>
    <w:p w14:paraId="0F2E8DEA" w14:textId="77777777" w:rsidR="00D4105E" w:rsidRPr="00E14102" w:rsidRDefault="00D4105E" w:rsidP="00E14102">
      <w:pPr>
        <w:autoSpaceDE w:val="0"/>
        <w:autoSpaceDN w:val="0"/>
        <w:adjustRightInd w:val="0"/>
        <w:jc w:val="both"/>
        <w:rPr>
          <w:color w:val="000000" w:themeColor="text1"/>
          <w:sz w:val="16"/>
          <w:szCs w:val="16"/>
        </w:rPr>
      </w:pPr>
    </w:p>
    <w:p w14:paraId="0806F7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был утвержден Техпроект ЗЗО в Лыткарино (Завод № 233 НКОП, НКВ, НКЭП, НКПСМ, Завод зеркальных отражателей (ЗЗО) НКТП, НКОП, Лыткаринский завод оптического стекла (ЛЗОС), ОАО «ЛЗОС» РАВ /140080  г. Лыткарино Московской обл. ул. Парковая, 1 тел. 552-14-66, -32-95/), было организовано «Государственное Управление строительством ЗЗО», но к 09.1935 г. строительство не было начато. Пр. ВООМП № 112 от 17.09.1935 г. требовалось к 20.09.1935 г. исправить генплан и приступить к закладке фундамента механического цеха. По пр. ГВМУ № 97 от 7.07.1935 г. и ВООМП № 99 от 13.07.1935 г. строительство ЗЗО включено в состав ВООМП. В 12.1936 г. строительство передано в НКОП. По пр. № 09с от 23.01.1937 г. строительство завода передано в ведение 9ГУ НКОП, по пр. № 132 от 11.04.1937 г. строительство поручено тресту «СтройЦАГИ». По пр. № 011с от 28.01.1937 г. ЗЗО переименован в завод № 233 НКОП. В 02.1939 г. передан из 9ГУ НКОП в ведение 9ГУ НКВ и получил статус особорежимного предприятия. Позднее передан в НКЭП. В 12.1943 г. завод № 233 - в ведении НКПСМ.</w:t>
      </w:r>
    </w:p>
    <w:p w14:paraId="0E45DA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 ВТОМП № 1083с от 22.07.1936 г. в заканчивающемся постройкой корпусе механического цеха организован цех оптического машиностанкостроения со сроком пуска 1.09.1936 г.; с завода № 69 туда передано производство двух типов станков.</w:t>
      </w:r>
    </w:p>
    <w:p w14:paraId="28DF60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 0218 от 28.09.1937 г. заводу была установлена программа по выпуску в 1938 г. оптических станков: шлифовально-полировочных ШП-350 - 100, ШП-100 - 20, ШП-200 - 125, центрировочный типа «Цейсс» ЦП-30.</w:t>
      </w:r>
    </w:p>
    <w:p w14:paraId="1C82BD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неудовлетворительными темпами работ» 13/20.01.1938 г. вышел приказ № Юс провести обследование строительства завода. Приказом № 220 от 2.06.1938 г. требовалось закончить к 10.06.1938 г. проект цеха технического стекла; по пр. № 296с от 7.08.1938 г. необходимо было ввести в эксплуатацию в 1938 г.: отделения цеха технического стекла: керамическое, стекловаренное, прочие - к 1.04.1939 г.; лабораторию, 1-ю очередь цеха зеркальных отражателей - к 1.05.1939 г.</w:t>
      </w:r>
      <w:r w:rsidRPr="00E14102">
        <w:rPr>
          <w:color w:val="000000" w:themeColor="text1"/>
          <w:sz w:val="16"/>
          <w:szCs w:val="16"/>
          <w:vertAlign w:val="superscript"/>
        </w:rPr>
        <w:t>139</w:t>
      </w:r>
    </w:p>
    <w:p w14:paraId="5EBF79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Имел филиал в  г. Петропавловске, который в войну был влит в состав завода НКСП.</w:t>
      </w:r>
      <w:r w:rsidRPr="00E14102">
        <w:rPr>
          <w:color w:val="000000" w:themeColor="text1"/>
          <w:sz w:val="16"/>
          <w:szCs w:val="16"/>
          <w:vertAlign w:val="superscript"/>
        </w:rPr>
        <w:t>61</w:t>
      </w:r>
    </w:p>
    <w:p w14:paraId="72B5BC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Изготавливал стекла для фонарей кабин самолетов. Было изготовлено главное зеркало диаметром 6 м для телескопа БТА.</w:t>
      </w:r>
    </w:p>
    <w:p w14:paraId="41137C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оптики (1980-е); (2002 г.): оптические стекла; приборы ночного видения; изделия волоконной оптики; бинокли, зрительные трубы.</w:t>
      </w:r>
    </w:p>
    <w:p w14:paraId="23977F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2000 г. ОАО «ЛЗОС» - в ведении РАВ. По Указу Президента РФ № 1009 от 4.08.2004 г. вошло в число стратегических оборонных предприятий. В 2007 г. планировалось вхождение предприятия в холдинг «Электронные системы» ОПК «Оборонпром».</w:t>
      </w:r>
    </w:p>
    <w:p w14:paraId="05F448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Имел производства (2005 г.): оптических материалов; оптико-механических и оптико-электронных приборов; крупногабаритной оптики (линзовые аэро- и космические объективы, зеркала); инструментов, станков и нестандартного оборудования. Освоен выпуск более 250 марок оптического стекла (в т. ч. азерного, бескислородные или халькогенидные стекла, ситалл). ЛЗОС - единственная в мире фирма, обладающая технологиями финишной обработки крупногабаритной астрономической оптики. Принимал участие в программах: </w:t>
      </w:r>
      <w:r w:rsidRPr="00E14102">
        <w:rPr>
          <w:color w:val="000000" w:themeColor="text1"/>
          <w:sz w:val="16"/>
          <w:szCs w:val="16"/>
          <w:lang w:val="en-US"/>
        </w:rPr>
        <w:t>SALT</w:t>
      </w:r>
      <w:r w:rsidRPr="00E14102">
        <w:rPr>
          <w:color w:val="000000" w:themeColor="text1"/>
          <w:sz w:val="16"/>
          <w:szCs w:val="16"/>
        </w:rPr>
        <w:t xml:space="preserve"> (диаметр -11м, ЮАР), </w:t>
      </w:r>
      <w:r w:rsidRPr="00E14102">
        <w:rPr>
          <w:color w:val="000000" w:themeColor="text1"/>
          <w:sz w:val="16"/>
          <w:szCs w:val="16"/>
          <w:lang w:val="en-US"/>
        </w:rPr>
        <w:t>LAMOST</w:t>
      </w:r>
      <w:r w:rsidRPr="00E14102">
        <w:rPr>
          <w:color w:val="000000" w:themeColor="text1"/>
          <w:sz w:val="16"/>
          <w:szCs w:val="16"/>
        </w:rPr>
        <w:t xml:space="preserve"> (6,5 м, Китай), </w:t>
      </w:r>
      <w:r w:rsidRPr="00E14102">
        <w:rPr>
          <w:color w:val="000000" w:themeColor="text1"/>
          <w:sz w:val="16"/>
          <w:szCs w:val="16"/>
          <w:lang w:val="en-US"/>
        </w:rPr>
        <w:t>VISTA</w:t>
      </w:r>
      <w:r w:rsidRPr="00E14102">
        <w:rPr>
          <w:color w:val="000000" w:themeColor="text1"/>
          <w:sz w:val="16"/>
          <w:szCs w:val="16"/>
        </w:rPr>
        <w:t xml:space="preserve"> (4,1 м, Шотландия), </w:t>
      </w:r>
      <w:r w:rsidRPr="00E14102">
        <w:rPr>
          <w:color w:val="000000" w:themeColor="text1"/>
          <w:sz w:val="16"/>
          <w:szCs w:val="16"/>
          <w:lang w:val="en-US"/>
        </w:rPr>
        <w:t>VST</w:t>
      </w:r>
      <w:r w:rsidRPr="00E14102">
        <w:rPr>
          <w:color w:val="000000" w:themeColor="text1"/>
          <w:sz w:val="16"/>
          <w:szCs w:val="16"/>
        </w:rPr>
        <w:t xml:space="preserve"> (2,65 м, Италия).</w:t>
      </w:r>
      <w:r w:rsidRPr="00E14102">
        <w:rPr>
          <w:color w:val="000000" w:themeColor="text1"/>
          <w:sz w:val="16"/>
          <w:szCs w:val="16"/>
          <w:vertAlign w:val="superscript"/>
        </w:rPr>
        <w:t>101</w:t>
      </w:r>
    </w:p>
    <w:p w14:paraId="07850C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(1935 г.)-  Г.Ф. Козлов, (19.07.1937-08.1938 г.-)- АС. Чесноков. Гендиректор (1986-2002 г.-)- А.В. Самуйлов.</w:t>
      </w:r>
    </w:p>
    <w:p w14:paraId="163112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строительства (09.1935 г.)- Козлов, (07.1936 г.)- В.Н. Дыньков. Зам. директора (09.1938 г.)- В.Н. Дыньков. Зам. гендиректора: (2007 г.)- С. Кузнецов; по ВЭМ, маркетингу и сбыту (2002 г.)- А.П. Патрикеев.</w:t>
      </w:r>
      <w:r w:rsidRPr="00E14102">
        <w:rPr>
          <w:color w:val="000000" w:themeColor="text1"/>
          <w:sz w:val="16"/>
          <w:szCs w:val="16"/>
          <w:vertAlign w:val="superscript"/>
        </w:rPr>
        <w:t>69</w:t>
      </w:r>
    </w:p>
    <w:p w14:paraId="739B12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Технический директор (2000 г.)- В.В. Румянцев.</w:t>
      </w:r>
    </w:p>
    <w:p w14:paraId="1F3468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(1935 г.)- Попов, (09.1938 г.)- В.Н. Дыньков.</w:t>
      </w:r>
    </w:p>
    <w:p w14:paraId="3899C2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конструктор (2007 г.)- С. Кузнецов.</w:t>
      </w:r>
    </w:p>
    <w:p w14:paraId="7DBE03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гл. конструктора (2007 г.)- В. Давиденко.</w:t>
      </w:r>
    </w:p>
    <w:p w14:paraId="7D9C98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плановой группы (1935 г.)- Сотников.</w:t>
      </w:r>
    </w:p>
    <w:p w14:paraId="7B9C5F40"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Создано:</w:t>
      </w:r>
      <w:r w:rsidRPr="00E14102">
        <w:rPr>
          <w:color w:val="000000" w:themeColor="text1"/>
          <w:sz w:val="16"/>
          <w:szCs w:val="16"/>
        </w:rPr>
        <w:t xml:space="preserve"> танковый дневно-ночной прибор наблюдения ТВН-10 (2000-е), вертолетные очки ночного видения ОВН-1 (2006), прибор ночного видения ПНВ-63М (2006).</w:t>
      </w:r>
    </w:p>
    <w:p w14:paraId="38FF1D4D"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Производство:</w:t>
      </w:r>
      <w:r w:rsidRPr="00E14102">
        <w:rPr>
          <w:color w:val="000000" w:themeColor="text1"/>
          <w:sz w:val="16"/>
          <w:szCs w:val="16"/>
        </w:rPr>
        <w:t xml:space="preserve"> зеркальные отражатели для зенитных прожекторов диаметром 0,6-1,5 м (ВОВ); бронестекла для самолетов Ил-2, Ла-5, Як-1 (ВОВ), Ил-28 (1948); смотровые призмы для танков (1943); оптическое стекло (после ВОВ); очки ночного видения для пилотов (2002) (11982).</w:t>
      </w:r>
    </w:p>
    <w:p w14:paraId="2E13E0F9" w14:textId="77777777" w:rsidR="00D4105E" w:rsidRPr="00E14102" w:rsidRDefault="00D4105E" w:rsidP="00E14102">
      <w:pPr>
        <w:autoSpaceDE w:val="0"/>
        <w:autoSpaceDN w:val="0"/>
        <w:adjustRightInd w:val="0"/>
        <w:jc w:val="both"/>
        <w:rPr>
          <w:color w:val="000000" w:themeColor="text1"/>
          <w:sz w:val="16"/>
          <w:szCs w:val="16"/>
        </w:rPr>
      </w:pPr>
    </w:p>
    <w:p w14:paraId="4BAA8D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в КБ завода № 37 Н.А.Астрова был разработан плавающий колесно-гусеничный танк Т-43 (9527,52).</w:t>
      </w:r>
    </w:p>
    <w:p w14:paraId="6909B176" w14:textId="77777777" w:rsidR="00D4105E" w:rsidRPr="00E14102" w:rsidRDefault="00D4105E" w:rsidP="00E14102">
      <w:pPr>
        <w:autoSpaceDE w:val="0"/>
        <w:autoSpaceDN w:val="0"/>
        <w:adjustRightInd w:val="0"/>
        <w:jc w:val="both"/>
        <w:rPr>
          <w:color w:val="000000" w:themeColor="text1"/>
          <w:sz w:val="16"/>
          <w:szCs w:val="16"/>
        </w:rPr>
      </w:pPr>
    </w:p>
    <w:p w14:paraId="33E9DB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СКБ завода Компрессор разработало химический танк ХБТ-5. Опытный образец изготовили на заводе в 1936 и в октябре 1936 прошел войсковые испытания. До начала ВОВ в войсках было 13 (9527,190).</w:t>
      </w:r>
    </w:p>
    <w:p w14:paraId="2D9B6836" w14:textId="77777777" w:rsidR="00D4105E" w:rsidRPr="00E14102" w:rsidRDefault="00D4105E" w:rsidP="00E14102">
      <w:pPr>
        <w:autoSpaceDE w:val="0"/>
        <w:autoSpaceDN w:val="0"/>
        <w:adjustRightInd w:val="0"/>
        <w:jc w:val="both"/>
        <w:rPr>
          <w:color w:val="000000" w:themeColor="text1"/>
          <w:sz w:val="16"/>
          <w:szCs w:val="16"/>
        </w:rPr>
      </w:pPr>
    </w:p>
    <w:p w14:paraId="3DF9A6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 вступила в строй Морских сил Дальнего Востока головная лодка серии Vбис "Стерлядь" (Щ-113). Эти же заводы построили лодки "Севрюга" (Щ-114), "Осетр" (Щ-116), "Белуга" (Щ-119) и "Навага" (Щ-120). Одновременно Балтийский завод и Дальзавод построили лодки "Скат" (Щ-115), "Макрель" (Щ-117) и "Кефаль" (Щ-118). Всего до марта 1935 г. в состав Морских сил Дальнего Востока по</w:t>
      </w:r>
      <w:r w:rsidRPr="00E14102">
        <w:rPr>
          <w:color w:val="000000" w:themeColor="text1"/>
          <w:sz w:val="16"/>
          <w:szCs w:val="16"/>
        </w:rPr>
        <w:softHyphen/>
        <w:t>ступили восемь подводных лодок Убис серии, которые довели об</w:t>
      </w:r>
      <w:r w:rsidRPr="00E14102">
        <w:rPr>
          <w:color w:val="000000" w:themeColor="text1"/>
          <w:sz w:val="16"/>
          <w:szCs w:val="16"/>
        </w:rPr>
        <w:softHyphen/>
        <w:t>щее количество лодок типа "Щука" на этом театре до 20.</w:t>
      </w:r>
    </w:p>
    <w:p w14:paraId="2D6F90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Четыре лодки Убис серии были построены для Морских сил Черного моря. Из них "Сазан" (Щ-201), "Сельдь" (Щ-202) и "Ми</w:t>
      </w:r>
      <w:r w:rsidRPr="00E14102">
        <w:rPr>
          <w:color w:val="000000" w:themeColor="text1"/>
          <w:sz w:val="16"/>
          <w:szCs w:val="16"/>
        </w:rPr>
        <w:softHyphen/>
        <w:t>нога" (Щ-204) — заводом им. А. Марти в Ленинграде со сборкой на николаевском заводе им. 61 Коммунара. "Камбалу" (Щ-203) собра</w:t>
      </w:r>
      <w:r w:rsidRPr="00E14102">
        <w:rPr>
          <w:color w:val="000000" w:themeColor="text1"/>
          <w:sz w:val="16"/>
          <w:szCs w:val="16"/>
        </w:rPr>
        <w:softHyphen/>
        <w:t>ли там же, но из секций, изготовленных на Балтийском заводе. Для Морских сил Балтийского моря завод им. А. Марти построил "Линь" (Щ-305), а завод "Красное Сормово" — "Семгу" (Щ-308). Последней вступила в строй в декабре 1935 г. Щ-204. Таким обра</w:t>
      </w:r>
      <w:r w:rsidRPr="00E14102">
        <w:rPr>
          <w:color w:val="000000" w:themeColor="text1"/>
          <w:sz w:val="16"/>
          <w:szCs w:val="16"/>
        </w:rPr>
        <w:softHyphen/>
        <w:t>зом, всю серию создали в течение немногим более трех лет. (По другим, менее достоверным, данным, подводная лодка Щ-204 от</w:t>
      </w:r>
      <w:r w:rsidRPr="00E14102">
        <w:rPr>
          <w:color w:val="000000" w:themeColor="text1"/>
          <w:sz w:val="16"/>
          <w:szCs w:val="16"/>
        </w:rPr>
        <w:softHyphen/>
        <w:t>носилась уже к следующей серии лодок типа "Щука", а последним кораблем Убис серии была Щ-308, вступившая в строй в ноябре 1935 г.)</w:t>
      </w:r>
    </w:p>
    <w:p w14:paraId="2BFA10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Лодки Убис серии практически повторяли предыдущие, от ко</w:t>
      </w:r>
      <w:r w:rsidRPr="00E14102">
        <w:rPr>
          <w:color w:val="000000" w:themeColor="text1"/>
          <w:sz w:val="16"/>
          <w:szCs w:val="16"/>
        </w:rPr>
        <w:softHyphen/>
        <w:t>торых отличались несколько измененными обводами носовой час</w:t>
      </w:r>
      <w:r w:rsidRPr="00E14102">
        <w:rPr>
          <w:color w:val="000000" w:themeColor="text1"/>
          <w:sz w:val="16"/>
          <w:szCs w:val="16"/>
        </w:rPr>
        <w:softHyphen/>
        <w:t>ти корпуса (длина 58,8 м). Скорость надводного хода составила 12,3 уз. (3898).</w:t>
      </w:r>
    </w:p>
    <w:p w14:paraId="335C5F2E" w14:textId="77777777" w:rsidR="00D4105E" w:rsidRPr="00E14102" w:rsidRDefault="00D4105E" w:rsidP="00E14102">
      <w:pPr>
        <w:autoSpaceDE w:val="0"/>
        <w:autoSpaceDN w:val="0"/>
        <w:adjustRightInd w:val="0"/>
        <w:jc w:val="both"/>
        <w:rPr>
          <w:color w:val="000000" w:themeColor="text1"/>
          <w:sz w:val="16"/>
          <w:szCs w:val="16"/>
        </w:rPr>
      </w:pPr>
    </w:p>
    <w:p w14:paraId="79BC43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в Смоленске в мастерских 5 отд. мехбригады был изготовлен еще один деревянный мост для БТ-5 (3880,32).</w:t>
      </w:r>
    </w:p>
    <w:p w14:paraId="4667ED2E" w14:textId="77777777" w:rsidR="00D4105E" w:rsidRPr="00E14102" w:rsidRDefault="00D4105E" w:rsidP="00E14102">
      <w:pPr>
        <w:autoSpaceDE w:val="0"/>
        <w:autoSpaceDN w:val="0"/>
        <w:adjustRightInd w:val="0"/>
        <w:jc w:val="both"/>
        <w:rPr>
          <w:color w:val="000000" w:themeColor="text1"/>
          <w:sz w:val="16"/>
          <w:szCs w:val="16"/>
        </w:rPr>
      </w:pPr>
    </w:p>
    <w:p w14:paraId="1C02CD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начат выпуск автомобилей-самосвалов ЯС-1 грузоподъемностью 4 тонны (11246). Сентябрь. Начало стахановского движения на заводе.</w:t>
      </w:r>
    </w:p>
    <w:p w14:paraId="328D1F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сентября. Выпущен 10-тысячный грузовой автомобиль. Выпущена партия автомобилей ЯГ-5 ("Монголка") в экспортном исполнении. Главными инженерами работали: со 2 марта - А.С. Литвинов, с 13 октября - В.Ф. Гайдукевич (11246).</w:t>
      </w:r>
    </w:p>
    <w:p w14:paraId="6AFDA273" w14:textId="77777777" w:rsidR="00D4105E" w:rsidRPr="00E14102" w:rsidRDefault="00D4105E" w:rsidP="00E14102">
      <w:pPr>
        <w:autoSpaceDE w:val="0"/>
        <w:autoSpaceDN w:val="0"/>
        <w:adjustRightInd w:val="0"/>
        <w:jc w:val="both"/>
        <w:rPr>
          <w:color w:val="000000" w:themeColor="text1"/>
          <w:sz w:val="16"/>
          <w:szCs w:val="16"/>
        </w:rPr>
      </w:pPr>
    </w:p>
    <w:p w14:paraId="18F09793" w14:textId="77777777" w:rsidR="00747865" w:rsidRPr="00E14102" w:rsidRDefault="00747865" w:rsidP="00E14102">
      <w:pPr>
        <w:jc w:val="both"/>
        <w:rPr>
          <w:color w:val="0070C0"/>
          <w:sz w:val="16"/>
          <w:szCs w:val="16"/>
        </w:rPr>
      </w:pPr>
      <w:r w:rsidRPr="00E14102">
        <w:rPr>
          <w:color w:val="0070C0"/>
          <w:sz w:val="16"/>
          <w:szCs w:val="16"/>
        </w:rPr>
        <w:lastRenderedPageBreak/>
        <w:t>В январе 1935 начался серийный выпуск первого отечественного самосвала ЯС-1. В основу проекта самосвала положена конструктивная схема, обосно</w:t>
      </w:r>
      <w:r w:rsidRPr="00E14102">
        <w:rPr>
          <w:color w:val="0070C0"/>
          <w:sz w:val="16"/>
          <w:szCs w:val="16"/>
        </w:rPr>
        <w:softHyphen/>
        <w:t>вание, общая компоновка и расчеты, выполненные А.А. Сеславиным.</w:t>
      </w:r>
    </w:p>
    <w:p w14:paraId="60F3B3D9" w14:textId="77777777" w:rsidR="00747865" w:rsidRPr="00E14102" w:rsidRDefault="00747865" w:rsidP="00E14102">
      <w:pPr>
        <w:jc w:val="both"/>
        <w:rPr>
          <w:color w:val="0070C0"/>
          <w:sz w:val="16"/>
          <w:szCs w:val="16"/>
        </w:rPr>
      </w:pPr>
      <w:r w:rsidRPr="00E14102">
        <w:rPr>
          <w:color w:val="0070C0"/>
          <w:sz w:val="16"/>
          <w:szCs w:val="16"/>
        </w:rPr>
        <w:t>ЯС-1 в снаряженном состоянии весил на 890 кг больше, чем бортовой грузовик ЯГ-4, - 5640 кг. Подъ</w:t>
      </w:r>
      <w:r w:rsidRPr="00E14102">
        <w:rPr>
          <w:color w:val="0070C0"/>
          <w:sz w:val="16"/>
          <w:szCs w:val="16"/>
        </w:rPr>
        <w:softHyphen/>
        <w:t>ем кузова занимал 20 секунд, а спуск -18.</w:t>
      </w:r>
    </w:p>
    <w:p w14:paraId="004776AF" w14:textId="77777777" w:rsidR="00747865" w:rsidRPr="00E14102" w:rsidRDefault="00747865" w:rsidP="00E14102">
      <w:pPr>
        <w:jc w:val="both"/>
        <w:rPr>
          <w:color w:val="0070C0"/>
          <w:sz w:val="16"/>
          <w:szCs w:val="16"/>
        </w:rPr>
      </w:pPr>
      <w:r w:rsidRPr="00E14102">
        <w:rPr>
          <w:color w:val="0070C0"/>
          <w:sz w:val="16"/>
          <w:szCs w:val="16"/>
        </w:rPr>
        <w:t>Грузовая платформа самосвала ЯС-1 объемом 2,5 м3 (с установленными дополнительными бортами - 3,4 м3) опрокидывалась назад на угол 50°. Платфор</w:t>
      </w:r>
      <w:r w:rsidRPr="00E14102">
        <w:rPr>
          <w:color w:val="0070C0"/>
          <w:sz w:val="16"/>
          <w:szCs w:val="16"/>
        </w:rPr>
        <w:softHyphen/>
        <w:t>ма была деревянная, обитая внутри листовым желе</w:t>
      </w:r>
      <w:r w:rsidRPr="00E14102">
        <w:rPr>
          <w:color w:val="0070C0"/>
          <w:sz w:val="16"/>
          <w:szCs w:val="16"/>
        </w:rPr>
        <w:softHyphen/>
        <w:t>зом толщиной 2 мм. Боковые борта усилены пятью контрфорсами, сделанными из полос стали. По кром</w:t>
      </w:r>
      <w:r w:rsidRPr="00E14102">
        <w:rPr>
          <w:color w:val="0070C0"/>
          <w:sz w:val="16"/>
          <w:szCs w:val="16"/>
        </w:rPr>
        <w:softHyphen/>
        <w:t>кам бортов были установлены бруски, окованные сталью. Задний борт изготовлялся из листовой стали толщиной 3 мм, усиливался рамкой и тремя попере</w:t>
      </w:r>
      <w:r w:rsidRPr="00E14102">
        <w:rPr>
          <w:color w:val="0070C0"/>
          <w:sz w:val="16"/>
          <w:szCs w:val="16"/>
        </w:rPr>
        <w:softHyphen/>
        <w:t>чинами из стального уголка. Такая конструкция грузо</w:t>
      </w:r>
      <w:r w:rsidRPr="00E14102">
        <w:rPr>
          <w:color w:val="0070C0"/>
          <w:sz w:val="16"/>
          <w:szCs w:val="16"/>
        </w:rPr>
        <w:softHyphen/>
        <w:t>вой платформы была тяжела и недолговечна.</w:t>
      </w:r>
    </w:p>
    <w:p w14:paraId="50A0CBCC" w14:textId="77777777" w:rsidR="00747865" w:rsidRPr="00E14102" w:rsidRDefault="00747865" w:rsidP="00E14102">
      <w:pPr>
        <w:jc w:val="both"/>
        <w:rPr>
          <w:color w:val="0070C0"/>
          <w:sz w:val="16"/>
          <w:szCs w:val="16"/>
        </w:rPr>
      </w:pPr>
      <w:r w:rsidRPr="00E14102">
        <w:rPr>
          <w:color w:val="0070C0"/>
          <w:sz w:val="16"/>
          <w:szCs w:val="16"/>
        </w:rPr>
        <w:t>Общий объем выпуска самосвала составил 573 автомобиля (22518).</w:t>
      </w:r>
    </w:p>
    <w:p w14:paraId="43B7421A" w14:textId="77777777" w:rsidR="00747865" w:rsidRPr="00E14102" w:rsidRDefault="00747865" w:rsidP="00E14102">
      <w:pPr>
        <w:jc w:val="both"/>
        <w:rPr>
          <w:color w:val="0070C0"/>
          <w:sz w:val="16"/>
          <w:szCs w:val="16"/>
        </w:rPr>
      </w:pPr>
    </w:p>
    <w:p w14:paraId="1F4DFD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 начался серийный выпуск ЯС-1. Уже в этот год из ворот ЯАЗ вышел 261 самосвал, в 1936 - 700, а затем в среднем- по 1000 машин в год. Таким образом, почти половину своих автомобилей завод изготовлял с самосвальными кузовами. С переходом на базовую грузовую модель ЯГ-6 в мае 1936 г.. появилась и ее самосвальная модификация ЯС-3, тоже грузоподъемностью 4 т. С освоением выпуска ЯГ-7 намечалось делать самосвал ЯС-4, но он остался опытным образцом (12098).</w:t>
      </w:r>
    </w:p>
    <w:p w14:paraId="0E0D99A2" w14:textId="77777777" w:rsidR="00D4105E" w:rsidRPr="00E14102" w:rsidRDefault="00D4105E" w:rsidP="00E14102">
      <w:pPr>
        <w:autoSpaceDE w:val="0"/>
        <w:autoSpaceDN w:val="0"/>
        <w:adjustRightInd w:val="0"/>
        <w:jc w:val="both"/>
        <w:rPr>
          <w:color w:val="000000" w:themeColor="text1"/>
          <w:sz w:val="16"/>
          <w:szCs w:val="16"/>
        </w:rPr>
      </w:pPr>
    </w:p>
    <w:p w14:paraId="3ACB83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был создан НИИ по технике связи Разведывательного управления РККА во главе с А.И.Гурвичем (4236).</w:t>
      </w:r>
    </w:p>
    <w:p w14:paraId="2C779003" w14:textId="77777777" w:rsidR="00D4105E" w:rsidRPr="00E14102" w:rsidRDefault="00D4105E" w:rsidP="00E14102">
      <w:pPr>
        <w:autoSpaceDE w:val="0"/>
        <w:autoSpaceDN w:val="0"/>
        <w:adjustRightInd w:val="0"/>
        <w:jc w:val="both"/>
        <w:rPr>
          <w:color w:val="000000" w:themeColor="text1"/>
          <w:sz w:val="16"/>
          <w:szCs w:val="16"/>
        </w:rPr>
      </w:pPr>
    </w:p>
    <w:p w14:paraId="01DC81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года НИИСЭМ РККА разделен на Научно-исследовательский институт связи (НИИС) РККА (Сокольники и Тарасовка) и Научно-испытательный технический институт (НИТИ) РККА (Мытищи) (10515).</w:t>
      </w:r>
    </w:p>
    <w:p w14:paraId="035E3799" w14:textId="77777777" w:rsidR="00D4105E" w:rsidRPr="00E14102" w:rsidRDefault="00D4105E" w:rsidP="00E14102">
      <w:pPr>
        <w:autoSpaceDE w:val="0"/>
        <w:autoSpaceDN w:val="0"/>
        <w:adjustRightInd w:val="0"/>
        <w:jc w:val="both"/>
        <w:rPr>
          <w:color w:val="000000" w:themeColor="text1"/>
          <w:sz w:val="16"/>
          <w:szCs w:val="16"/>
        </w:rPr>
      </w:pPr>
    </w:p>
    <w:p w14:paraId="5087ABDF" w14:textId="77777777" w:rsidR="00F76F85" w:rsidRPr="00E14102" w:rsidRDefault="00F76F85" w:rsidP="00E14102">
      <w:pPr>
        <w:jc w:val="both"/>
        <w:rPr>
          <w:color w:val="000000" w:themeColor="text1"/>
          <w:sz w:val="16"/>
          <w:szCs w:val="16"/>
        </w:rPr>
      </w:pPr>
      <w:r w:rsidRPr="00E14102">
        <w:rPr>
          <w:color w:val="000000" w:themeColor="text1"/>
          <w:sz w:val="16"/>
          <w:szCs w:val="16"/>
        </w:rPr>
        <w:t>В январе 1935 г. на основе перфоратора английской фирмы Крид начата разработка отечественного перфоратора. Хотя проектные чертежи были готовы уже через три месяца, но из-за неудовлетворительной организации изготовления деталей при</w:t>
      </w:r>
      <w:r w:rsidRPr="00E14102">
        <w:rPr>
          <w:color w:val="000000" w:themeColor="text1"/>
          <w:sz w:val="16"/>
          <w:szCs w:val="16"/>
        </w:rPr>
        <w:softHyphen/>
        <w:t>боров опытная партия была представлена для испытаний только в начале 1936 г. С апреля 1936 г. завод начал серийное производство перфораторов Крида и в те</w:t>
      </w:r>
      <w:r w:rsidRPr="00E14102">
        <w:rPr>
          <w:color w:val="000000" w:themeColor="text1"/>
          <w:sz w:val="16"/>
          <w:szCs w:val="16"/>
        </w:rPr>
        <w:softHyphen/>
        <w:t>чение оставшейся части года выпустил первую серийную партию в 80 прибо- ров (19098).</w:t>
      </w:r>
    </w:p>
    <w:p w14:paraId="7FD958D3" w14:textId="77777777" w:rsidR="00F76F85" w:rsidRPr="00E14102" w:rsidRDefault="00F76F85" w:rsidP="00E14102">
      <w:pPr>
        <w:jc w:val="both"/>
        <w:rPr>
          <w:color w:val="000000" w:themeColor="text1"/>
          <w:sz w:val="16"/>
          <w:szCs w:val="16"/>
        </w:rPr>
      </w:pPr>
    </w:p>
    <w:p w14:paraId="50318ADE" w14:textId="19214491" w:rsidR="00D4105E" w:rsidRPr="00E14102" w:rsidRDefault="00D4105E" w:rsidP="00E14102">
      <w:pPr>
        <w:autoSpaceDE w:val="0"/>
        <w:autoSpaceDN w:val="0"/>
        <w:adjustRightInd w:val="0"/>
        <w:jc w:val="both"/>
        <w:rPr>
          <w:i/>
          <w:color w:val="000000" w:themeColor="text1"/>
          <w:sz w:val="16"/>
          <w:szCs w:val="16"/>
        </w:rPr>
      </w:pPr>
      <w:r w:rsidRPr="00E14102">
        <w:rPr>
          <w:i/>
          <w:color w:val="000000" w:themeColor="text1"/>
          <w:sz w:val="16"/>
          <w:szCs w:val="16"/>
        </w:rPr>
        <w:t>Армия</w:t>
      </w:r>
      <w:r w:rsidR="006637B0" w:rsidRPr="00E14102">
        <w:rPr>
          <w:i/>
          <w:color w:val="000000" w:themeColor="text1"/>
          <w:sz w:val="16"/>
          <w:szCs w:val="16"/>
        </w:rPr>
        <w:t>:</w:t>
      </w:r>
    </w:p>
    <w:p w14:paraId="17A93600" w14:textId="77777777" w:rsidR="00D4105E" w:rsidRPr="00E14102" w:rsidRDefault="00D4105E" w:rsidP="00E14102">
      <w:pPr>
        <w:autoSpaceDE w:val="0"/>
        <w:autoSpaceDN w:val="0"/>
        <w:adjustRightInd w:val="0"/>
        <w:jc w:val="both"/>
        <w:rPr>
          <w:i/>
          <w:color w:val="000000" w:themeColor="text1"/>
          <w:sz w:val="16"/>
          <w:szCs w:val="16"/>
        </w:rPr>
      </w:pPr>
    </w:p>
    <w:p w14:paraId="51895F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 Р-5Ш получили 254-я и 257-я бригады в Сибирском военном округе. Летом того же года в ходе учений они уже имитировали налет на аэродром в Омске.</w:t>
      </w:r>
    </w:p>
    <w:p w14:paraId="1E158F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Одним из основных видов оружия для штурмовиков считаюсь химическое. Предусматриваюсь применение ВАП-4 против пехоты, кавалерии, артиллерии и обозов, в первую очередь, на конной тяге. Особенно уязвимыми считали обозы и артиллерию, где лошадей много, а людей сравнительно мало. При неожиданной атаке они не успели бы надеть на всех лошадей противогазы. У обозников не имелось и эффективных средств борьбы с низколетящими самолетами.</w:t>
      </w:r>
    </w:p>
    <w:p w14:paraId="3C2849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переделка бомбодержателей на Р-5Ш усложнила подвеску ВАП-4. Чтобы подвесить два прибора, требовалось снять дополнительные балочки с двух бомбодержателей с каждой стороны. Подвеске второй пары ВАП-4 мешали "дирижаблики" - коробки для сбора звеньев из дополнительных пулеметов.</w:t>
      </w:r>
    </w:p>
    <w:p w14:paraId="709E78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Один Р-5 нес примерно 160 кг чистого иприта или люизита, Р-5Ш - в два раза меньше. Тем не менее при высоте полета около 50 м он накрывал ядовитым дождем всю ширину дороги. На поле боя предусматривалось нанесение ударов с малых высот в строю звена и отряда, со средних высот - эскадрильей. Штурмовая бригада могла за два вылета сбросить 9 т иприта. Две бригады за один вылет могли перебить всех лошадей в польском пехотном корпусе (12034).</w:t>
      </w:r>
    </w:p>
    <w:p w14:paraId="0A71DDD4" w14:textId="77777777" w:rsidR="00D4105E" w:rsidRPr="00E14102" w:rsidRDefault="00D4105E" w:rsidP="00E14102">
      <w:pPr>
        <w:autoSpaceDE w:val="0"/>
        <w:autoSpaceDN w:val="0"/>
        <w:adjustRightInd w:val="0"/>
        <w:jc w:val="both"/>
        <w:rPr>
          <w:color w:val="000000" w:themeColor="text1"/>
          <w:sz w:val="16"/>
          <w:szCs w:val="16"/>
        </w:rPr>
      </w:pPr>
    </w:p>
    <w:p w14:paraId="4D57CE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на ТБ-3Р начали перевооружать две эскадрильи 2-й ТБАБ на аэродроме Едрово в ЛВО. Начали отваливаться хвостовые колеса (проявилась слабость вилки). Данный дефект проявился и в Монино (9086).</w:t>
      </w:r>
    </w:p>
    <w:p w14:paraId="3CAC392B" w14:textId="77777777" w:rsidR="00D4105E" w:rsidRPr="00E14102" w:rsidRDefault="00D4105E" w:rsidP="00E14102">
      <w:pPr>
        <w:autoSpaceDE w:val="0"/>
        <w:autoSpaceDN w:val="0"/>
        <w:adjustRightInd w:val="0"/>
        <w:jc w:val="both"/>
        <w:rPr>
          <w:color w:val="000000" w:themeColor="text1"/>
          <w:sz w:val="16"/>
          <w:szCs w:val="16"/>
        </w:rPr>
      </w:pPr>
    </w:p>
    <w:p w14:paraId="3619F3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 на ТБ-ЗР начали перевооружать две эскадрильи 2-й тбаб на аэродроме Едрово в Ленинградском военном округе. К 1 февраля там находился 31 бомбардировщик этого типа. Позднее появились целые бригады, вооружейные ТБ-ЗР, такие, как 9-я. Много машин этого типа отправили на Дальний Восток и в Забайкалье, где отношения с японцами периодически обострялись.</w:t>
      </w:r>
    </w:p>
    <w:p w14:paraId="1C90D7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1935 г. выпустили всего 74 самолета, все модификации ТБ-ЗР. В этот период количество четырехмоторных бомбовозов в ВВС РККА достигло своего пика - ими полностью или частично были вооружены 36 эскадрилий. Во время первомайского парада 1935 г. над Москвой прошли не два, как в наше время, а 72 тяжелых бомбардировщика.</w:t>
      </w:r>
    </w:p>
    <w:p w14:paraId="7BAA66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было очень серьезной силой. На наиболее важных направлениях командование ВВС могло достаточно быстро сосредоточить до 200 машин. Подсчитайте: при бомбовой нагрузке в две тонны такая армада была способна разом сбросить на противника 400 т фугасных, осколочных, зажигательных или химических бомб (12036).</w:t>
      </w:r>
    </w:p>
    <w:p w14:paraId="533DA9D0" w14:textId="77777777" w:rsidR="00D4105E" w:rsidRPr="00E14102" w:rsidRDefault="00D4105E" w:rsidP="00E14102">
      <w:pPr>
        <w:autoSpaceDE w:val="0"/>
        <w:autoSpaceDN w:val="0"/>
        <w:adjustRightInd w:val="0"/>
        <w:jc w:val="both"/>
        <w:rPr>
          <w:color w:val="000000" w:themeColor="text1"/>
          <w:sz w:val="16"/>
          <w:szCs w:val="16"/>
        </w:rPr>
      </w:pPr>
    </w:p>
    <w:p w14:paraId="7FA869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 на И-5 летало около десятка эскадрилий и несколько отдельных отрядов. Больше всего И-5 имелось на Украине - 149 истребителей. До насыщения эскадрилий ВВС РККА новыми И-15 и И-16 устаревшие И-5 составляли существенную часть парка истребительной авиации (11997).</w:t>
      </w:r>
    </w:p>
    <w:p w14:paraId="7AE444A3" w14:textId="77777777" w:rsidR="00D4105E" w:rsidRPr="00E14102" w:rsidRDefault="00D4105E" w:rsidP="00E14102">
      <w:pPr>
        <w:autoSpaceDE w:val="0"/>
        <w:autoSpaceDN w:val="0"/>
        <w:adjustRightInd w:val="0"/>
        <w:jc w:val="both"/>
        <w:rPr>
          <w:color w:val="000000" w:themeColor="text1"/>
          <w:sz w:val="16"/>
          <w:szCs w:val="16"/>
        </w:rPr>
      </w:pPr>
    </w:p>
    <w:p w14:paraId="2C5035C9" w14:textId="77777777" w:rsidR="006637B0" w:rsidRPr="00E14102" w:rsidRDefault="006637B0" w:rsidP="00E14102">
      <w:pPr>
        <w:shd w:val="clear" w:color="auto" w:fill="FFFFFF"/>
        <w:jc w:val="both"/>
        <w:rPr>
          <w:color w:val="0070C0"/>
          <w:sz w:val="16"/>
          <w:szCs w:val="16"/>
        </w:rPr>
      </w:pPr>
      <w:r w:rsidRPr="00E14102">
        <w:rPr>
          <w:color w:val="0070C0"/>
          <w:sz w:val="16"/>
          <w:szCs w:val="16"/>
        </w:rPr>
        <w:t>В январе 1935 г. на VII Всесоюзном съезде Советов "главной сенсацией" явился доклад Тухачевского, отметившего таким образом четвертую годовщину со дня принятия плана реконструкции РККА. Выйдя к трибуне под "бурные аплодисменты, переходящие в овацию" (Это обстоятельство было отмечено не только в стенограмме заседания съезда, по и в передовой "Правды" (Кровно народная, непобедимая! // Правда. 1935 31 янв.). Газета также поместила большой (и почти символичный) снимок - Тухачевский и слушающие его Сталин, Ворошилов, другие члены президиума. Овация в честь Красной Армии и ее вождей в завершение речи Тухачевского продолжалась 20 минут (BERSON J. (OTMAR). Kreml na bialo. Warszawa, 1936. S. 49)), заместитель наркома доложил о громадном прогрессе в строительстве Красной Армии. Он сообщил, что вместо официально ассигнованных на 1934 г. 1665 млн руб. на оборонные нужды было израсходовано 5 млрд, а на 1935 г. планируется выделить 6500 млн руб. ("бурные аплодисменты"). Численность РККА, заявил Тухачевский к восторгу двух тысяч делегатов съезда, возросла с менее чем 600 тыс. до 940 тыс. человек к концу 1934 г., что вызывалось созданием укрепрайонов и новых пунктов береговой обороны, военно-морским строительством, развитием технических средств борьбы. Особую роль в мотивировке расширения РККА играло разъяснение, что удаленность дальневосточного театра военных действий не позволяет осуществлять быстрые переброски сил по внутренним коммуникационным линиям, как это делала Германия в мировую войну (VII Всесоюзный Съезд Советов: Красная Армия сильна как никогда: Речь тов. Тухачевского // Правда. 1935. 31 янв. С. 1-2.) (22725).</w:t>
      </w:r>
    </w:p>
    <w:p w14:paraId="1C2C21F5" w14:textId="77777777" w:rsidR="006637B0" w:rsidRPr="00E14102" w:rsidRDefault="006637B0" w:rsidP="00E14102">
      <w:pPr>
        <w:jc w:val="both"/>
        <w:rPr>
          <w:color w:val="0070C0"/>
          <w:sz w:val="16"/>
          <w:szCs w:val="16"/>
        </w:rPr>
      </w:pPr>
    </w:p>
    <w:p w14:paraId="641F87D9" w14:textId="77777777" w:rsidR="006637B0" w:rsidRPr="00E14102" w:rsidRDefault="006637B0" w:rsidP="00E14102">
      <w:pPr>
        <w:jc w:val="both"/>
        <w:rPr>
          <w:color w:val="0070C0"/>
          <w:sz w:val="16"/>
          <w:szCs w:val="16"/>
        </w:rPr>
      </w:pPr>
      <w:r w:rsidRPr="00E14102">
        <w:rPr>
          <w:color w:val="0070C0"/>
          <w:sz w:val="16"/>
          <w:szCs w:val="16"/>
        </w:rPr>
        <w:t>В январе 1935 года Политбюро ЦК ВКП(б) рассмотрело вопрос «Об обучении французских летчиков в Высшей Парашютной школе» и разрешило НК Обороны пригласить 5-6 летчиков из Франции для прохождения месячного курса обучения в ВПШ Осоавиахима (АП РФ. Ф. 3. Оп. 50. Д. 660. Л. 5). Подготовка французских летчиков была так хорошо организована, что в августе 1935 года руководителю ЦАК СССР пришло благодарственное письмо за подписью министра авиации Франции: «Французские офицеры, вернувшиеся из СССР, сообщили мне о совершенно искреннем и сердечном гостеприимстве, которое Вы оказали им в Парашютной школе в Тушине. Благодаря целесообразной организации обучения и усиленному вниманию со стороны инструкторов по отношению к ним, они могли усвоить в короткий срок максимум знаний» (РГАСПИ. Ф.М – 1. Оп. 23. Д. 1136. Л. 67) (21402).</w:t>
      </w:r>
    </w:p>
    <w:p w14:paraId="28AB737D" w14:textId="77777777" w:rsidR="006637B0" w:rsidRPr="00E14102" w:rsidRDefault="006637B0" w:rsidP="00E14102">
      <w:pPr>
        <w:jc w:val="both"/>
        <w:rPr>
          <w:color w:val="0070C0"/>
          <w:sz w:val="16"/>
          <w:szCs w:val="16"/>
        </w:rPr>
      </w:pPr>
    </w:p>
    <w:p w14:paraId="222A2C3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6EEC4FF" w14:textId="77777777" w:rsidR="00D4105E" w:rsidRPr="00E14102" w:rsidRDefault="00D4105E" w:rsidP="00E14102">
      <w:pPr>
        <w:autoSpaceDE w:val="0"/>
        <w:autoSpaceDN w:val="0"/>
        <w:adjustRightInd w:val="0"/>
        <w:jc w:val="both"/>
        <w:rPr>
          <w:iCs/>
          <w:color w:val="000000" w:themeColor="text1"/>
          <w:sz w:val="16"/>
          <w:szCs w:val="16"/>
        </w:rPr>
      </w:pPr>
    </w:p>
    <w:p w14:paraId="510839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Зиновьев и Каменев стали фигурантами политического процесса и согласились с расплывчатыми обвинительными формулировками, указывающими за их политическую ответственность в убийстве С.М.К., граничащую с подстрекательством. суд приговорил Зиновьева к 10, а Каменева к 5 годам тюрьмы. И.В.С выразил Г.Г.Ягоде недовольство приговором: "Плохо работаете Генрих Григорьевич". Ягода рыдал (3240).</w:t>
      </w:r>
    </w:p>
    <w:p w14:paraId="438001C7" w14:textId="77777777" w:rsidR="00D4105E" w:rsidRPr="00E14102" w:rsidRDefault="00D4105E" w:rsidP="00E14102">
      <w:pPr>
        <w:autoSpaceDE w:val="0"/>
        <w:autoSpaceDN w:val="0"/>
        <w:adjustRightInd w:val="0"/>
        <w:jc w:val="both"/>
        <w:rPr>
          <w:color w:val="000000" w:themeColor="text1"/>
          <w:sz w:val="16"/>
          <w:szCs w:val="16"/>
        </w:rPr>
      </w:pPr>
    </w:p>
    <w:p w14:paraId="20D11965" w14:textId="77777777" w:rsidR="007E4C44" w:rsidRPr="00E14102" w:rsidRDefault="007E4C4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январе 1935 года в Сталина в кремлёвской библиотеке стреляла представительница графского рода Орлова-Павлова. Сталин не пострадал, а стрелявшая была арестована и вскоре расстреляна. Одновременно были сняты со своих постов Енукидзе и Петерсон. Это покушение тоже приписывают к делу «Клубок». в начале 1930-х годов был образован достаточно реальный заговор против Сталина с участием Енукидзе, Петерсона, военных, который получил название «дело „Клубок“». В рамках этого заговора планировался арест или убийство Сталина и его ближайшего окружения. Все основные обвиняемые, проходившие по этому делу, были расстреляны, материалы дела в значительной мере засекречены до настоящего времени.</w:t>
      </w:r>
    </w:p>
    <w:p w14:paraId="10C7F2F7" w14:textId="77777777" w:rsidR="007E4C44" w:rsidRPr="00E14102" w:rsidRDefault="007E4C44" w:rsidP="00E14102">
      <w:pPr>
        <w:pStyle w:val="ad"/>
        <w:spacing w:before="0" w:after="0"/>
        <w:rPr>
          <w:rFonts w:ascii="Times New Roman" w:hAnsi="Times New Roman" w:cs="Times New Roman"/>
          <w:color w:val="000000" w:themeColor="text1"/>
          <w:sz w:val="16"/>
          <w:szCs w:val="16"/>
          <w:lang w:val="ru-RU"/>
        </w:rPr>
      </w:pPr>
    </w:p>
    <w:p w14:paraId="61C094D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41AF544" w14:textId="77777777" w:rsidR="00D4105E" w:rsidRPr="00E14102" w:rsidRDefault="00D4105E" w:rsidP="00E14102">
      <w:pPr>
        <w:autoSpaceDE w:val="0"/>
        <w:autoSpaceDN w:val="0"/>
        <w:adjustRightInd w:val="0"/>
        <w:jc w:val="both"/>
        <w:rPr>
          <w:iCs/>
          <w:color w:val="000000" w:themeColor="text1"/>
          <w:sz w:val="16"/>
          <w:szCs w:val="16"/>
        </w:rPr>
      </w:pPr>
    </w:p>
    <w:p w14:paraId="51B374E8" w14:textId="77777777" w:rsidR="00747865" w:rsidRPr="00E14102" w:rsidRDefault="00747865" w:rsidP="00E14102">
      <w:pPr>
        <w:jc w:val="both"/>
        <w:rPr>
          <w:color w:val="0070C0"/>
          <w:sz w:val="16"/>
          <w:szCs w:val="16"/>
        </w:rPr>
      </w:pPr>
      <w:r w:rsidRPr="00E14102">
        <w:rPr>
          <w:color w:val="0070C0"/>
          <w:sz w:val="16"/>
          <w:szCs w:val="16"/>
        </w:rPr>
        <w:t xml:space="preserve">Январь 1935 состоялся первый полет </w:t>
      </w:r>
      <w:r w:rsidRPr="00E14102">
        <w:rPr>
          <w:color w:val="0070C0"/>
          <w:sz w:val="16"/>
          <w:szCs w:val="16"/>
          <w:lang w:val="en-US"/>
        </w:rPr>
        <w:t>ANF</w:t>
      </w:r>
      <w:r w:rsidRPr="00E14102">
        <w:rPr>
          <w:color w:val="0070C0"/>
          <w:sz w:val="16"/>
          <w:szCs w:val="16"/>
        </w:rPr>
        <w:t xml:space="preserve"> </w:t>
      </w:r>
      <w:r w:rsidRPr="00E14102">
        <w:rPr>
          <w:color w:val="0070C0"/>
          <w:sz w:val="16"/>
          <w:szCs w:val="16"/>
          <w:lang w:val="en-US"/>
        </w:rPr>
        <w:t>Les</w:t>
      </w:r>
      <w:r w:rsidRPr="00E14102">
        <w:rPr>
          <w:color w:val="0070C0"/>
          <w:sz w:val="16"/>
          <w:szCs w:val="16"/>
        </w:rPr>
        <w:t xml:space="preserve"> </w:t>
      </w:r>
      <w:r w:rsidRPr="00E14102">
        <w:rPr>
          <w:color w:val="0070C0"/>
          <w:sz w:val="16"/>
          <w:szCs w:val="16"/>
          <w:lang w:val="en-US"/>
        </w:rPr>
        <w:t>Mureaux</w:t>
      </w:r>
      <w:r w:rsidRPr="00E14102">
        <w:rPr>
          <w:color w:val="0070C0"/>
          <w:sz w:val="16"/>
          <w:szCs w:val="16"/>
        </w:rPr>
        <w:t xml:space="preserve"> 117</w:t>
      </w:r>
      <w:r w:rsidRPr="00E14102">
        <w:rPr>
          <w:color w:val="0070C0"/>
          <w:sz w:val="16"/>
          <w:szCs w:val="16"/>
          <w:lang w:val="en-US"/>
        </w:rPr>
        <w:t>R</w:t>
      </w:r>
      <w:r w:rsidRPr="00E14102">
        <w:rPr>
          <w:color w:val="0070C0"/>
          <w:sz w:val="16"/>
          <w:szCs w:val="16"/>
        </w:rPr>
        <w:t>.2 (20800).</w:t>
      </w:r>
    </w:p>
    <w:p w14:paraId="6C98C7BD" w14:textId="77777777" w:rsidR="00747865" w:rsidRPr="00E14102" w:rsidRDefault="00747865" w:rsidP="00E14102">
      <w:pPr>
        <w:jc w:val="both"/>
        <w:rPr>
          <w:color w:val="0070C0"/>
          <w:sz w:val="16"/>
          <w:szCs w:val="16"/>
        </w:rPr>
      </w:pPr>
    </w:p>
    <w:p w14:paraId="3C33873C" w14:textId="77777777" w:rsidR="00747865" w:rsidRPr="00E14102" w:rsidRDefault="00747865" w:rsidP="00E14102">
      <w:pPr>
        <w:jc w:val="both"/>
        <w:rPr>
          <w:color w:val="0070C0"/>
          <w:sz w:val="16"/>
          <w:szCs w:val="16"/>
        </w:rPr>
      </w:pPr>
      <w:r w:rsidRPr="00E14102">
        <w:rPr>
          <w:color w:val="0070C0"/>
          <w:sz w:val="16"/>
          <w:szCs w:val="16"/>
        </w:rPr>
        <w:t>В январе 1935 Хелен Ричи начинает летать в качестве первого офицера в Пенсильвании Central Airlines . Управляя Ford Tri-Motor между Вашингтоном, округ Колумбия, и Детройтом , штат Мичиган , через Питтсбург , штат Пенсильвания , и Кливленд , штат Огайо , она является первой женщиной-пилотом регулярной коммерческой авиакомпании (20800).</w:t>
      </w:r>
    </w:p>
    <w:p w14:paraId="1FD7E017" w14:textId="77777777" w:rsidR="00747865" w:rsidRPr="00E14102" w:rsidRDefault="00747865" w:rsidP="00E14102">
      <w:pPr>
        <w:jc w:val="both"/>
        <w:rPr>
          <w:color w:val="0070C0"/>
          <w:sz w:val="16"/>
          <w:szCs w:val="16"/>
        </w:rPr>
      </w:pPr>
    </w:p>
    <w:p w14:paraId="094000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г. в Риме были подписаны франко-итальянская конвенция о взаимном уважении территориальной целостности государств Центральной Европы и консультативный пакт. Фактически Франция и Италия обязались сотрудничать в деле сохранения независимости Австрии. Соглашение Муссолини - Лаваль имело антигерманскую направленность. Со своей стороны Франция предоставила ряд преимуществ итальянским подданным во Французском Тунисе и согласилась на ряд территориальных уступок Италии в Африке, которые существенно улучшали стратегические позиции Италии в войне против Эфиопии. Французское правительство так же признало экономическое преобладание Италии в этой стране. По существу, итальянское правительство заручилось дипломатической поддержкой Франции в вопросе колониальной экспансии (3871).</w:t>
      </w:r>
    </w:p>
    <w:p w14:paraId="7761182D" w14:textId="77777777" w:rsidR="00D4105E" w:rsidRPr="00E14102" w:rsidRDefault="00D4105E" w:rsidP="00E14102">
      <w:pPr>
        <w:autoSpaceDE w:val="0"/>
        <w:autoSpaceDN w:val="0"/>
        <w:adjustRightInd w:val="0"/>
        <w:jc w:val="both"/>
        <w:rPr>
          <w:color w:val="000000" w:themeColor="text1"/>
          <w:sz w:val="16"/>
          <w:szCs w:val="16"/>
        </w:rPr>
      </w:pPr>
    </w:p>
    <w:p w14:paraId="62E96E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в Италии испытывали торпеды, управляемые подводными пловцами (3961,25).</w:t>
      </w:r>
    </w:p>
    <w:p w14:paraId="3030FFA9" w14:textId="77777777" w:rsidR="00D4105E" w:rsidRPr="00E14102" w:rsidRDefault="00D4105E" w:rsidP="00E14102">
      <w:pPr>
        <w:autoSpaceDE w:val="0"/>
        <w:autoSpaceDN w:val="0"/>
        <w:adjustRightInd w:val="0"/>
        <w:jc w:val="both"/>
        <w:rPr>
          <w:color w:val="000000" w:themeColor="text1"/>
          <w:sz w:val="16"/>
          <w:szCs w:val="16"/>
        </w:rPr>
      </w:pPr>
    </w:p>
    <w:p w14:paraId="62CCBC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1935 на Филиппинах было созвано Конституционное собрание (3907,191).</w:t>
      </w:r>
    </w:p>
    <w:p w14:paraId="636F2139" w14:textId="77777777" w:rsidR="00D4105E" w:rsidRPr="00E14102" w:rsidRDefault="00D4105E" w:rsidP="00E14102">
      <w:pPr>
        <w:autoSpaceDE w:val="0"/>
        <w:autoSpaceDN w:val="0"/>
        <w:adjustRightInd w:val="0"/>
        <w:jc w:val="both"/>
        <w:rPr>
          <w:color w:val="000000" w:themeColor="text1"/>
          <w:sz w:val="16"/>
          <w:szCs w:val="16"/>
        </w:rPr>
      </w:pPr>
    </w:p>
    <w:p w14:paraId="395A628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B8267D9" w14:textId="77777777" w:rsidR="00D4105E" w:rsidRPr="00E14102" w:rsidRDefault="00D4105E" w:rsidP="00E14102">
      <w:pPr>
        <w:autoSpaceDE w:val="0"/>
        <w:autoSpaceDN w:val="0"/>
        <w:adjustRightInd w:val="0"/>
        <w:jc w:val="both"/>
        <w:rPr>
          <w:iCs/>
          <w:color w:val="000000" w:themeColor="text1"/>
          <w:sz w:val="16"/>
          <w:szCs w:val="16"/>
        </w:rPr>
      </w:pPr>
    </w:p>
    <w:p w14:paraId="34D6E0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января по ноябрь 1935 в КБ А.Н.Т. на ТБ-3 (АНТ-6) проводили исследования по определению влияния гладкой обшивки на ЛТХ по сравнению с обшивкой из гофра. Полотно пришивалось к гофру и покрывалось лаком. Испытывали машину 22 завода N 22452 выполнили 42 полета. Площадь полотна увеличивали постепенно и замеряли ЛТХ (346,29).</w:t>
      </w:r>
    </w:p>
    <w:p w14:paraId="326A95F9" w14:textId="77777777" w:rsidR="00D4105E" w:rsidRPr="00E14102" w:rsidRDefault="00D4105E" w:rsidP="00E14102">
      <w:pPr>
        <w:autoSpaceDE w:val="0"/>
        <w:autoSpaceDN w:val="0"/>
        <w:adjustRightInd w:val="0"/>
        <w:jc w:val="both"/>
        <w:rPr>
          <w:color w:val="000000" w:themeColor="text1"/>
          <w:sz w:val="16"/>
          <w:szCs w:val="16"/>
        </w:rPr>
      </w:pPr>
    </w:p>
    <w:p w14:paraId="3E0835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января 1935 по март 1936 г. велась постройка автожира А-15. Впервые в практике автожиростроения применена головка ротора с совмещенными шарнирами для уменьшения усилий на ручку и регулируемые заслонки капота NACA для регулировки температуры головок цилиндров, послужившие прототипами в дальнейших конструкциях. Помимо этого введены усовершенствования в отдельных деталях автожира (3305).</w:t>
      </w:r>
    </w:p>
    <w:p w14:paraId="5C047965" w14:textId="77777777" w:rsidR="00D4105E" w:rsidRPr="00E14102" w:rsidRDefault="00D4105E" w:rsidP="00E14102">
      <w:pPr>
        <w:autoSpaceDE w:val="0"/>
        <w:autoSpaceDN w:val="0"/>
        <w:adjustRightInd w:val="0"/>
        <w:jc w:val="both"/>
        <w:rPr>
          <w:color w:val="000000" w:themeColor="text1"/>
          <w:sz w:val="16"/>
          <w:szCs w:val="16"/>
        </w:rPr>
      </w:pPr>
    </w:p>
    <w:p w14:paraId="32B210E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44029E3" w14:textId="77777777" w:rsidR="00D4105E" w:rsidRPr="00E14102" w:rsidRDefault="00D4105E" w:rsidP="00E14102">
      <w:pPr>
        <w:autoSpaceDE w:val="0"/>
        <w:autoSpaceDN w:val="0"/>
        <w:adjustRightInd w:val="0"/>
        <w:jc w:val="both"/>
        <w:rPr>
          <w:iCs/>
          <w:color w:val="000000" w:themeColor="text1"/>
          <w:sz w:val="16"/>
          <w:szCs w:val="16"/>
        </w:rPr>
      </w:pPr>
    </w:p>
    <w:p w14:paraId="5C93E8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январе-марте 1935 года были отстрелены последующие три ж/д установки ТМ-1-180, а первая - в декабре 1934. 180-мм ж. д. установки ТМ-1-180 принципиально отличались от 305-мм и 356-мм установок. Вращающаяся часть ТМ-1-180 со 180-мм пушкой Б-1-П была взята с мелкими изменениями от береговой щитовой установки МО-1-180. В частности, были уменьшены габариты и толщина щита (лоб 38 мм, бок и крыша 20 мм). Меньший калибр и увеличение числа опорных ног до восьми позволили добиться кругового обстрела при стрельбе с рельсов. Фактически это были установки на центральном штыре на ж. д. платформе. На первых установках были пушки с мелкой (1,35-мм) нарезкой, а на последующих с глубокой (3,6-мм). Снаряды этих орудий не взаимозаменяемые. К началу войны на службе числилась только одна батарея с мелкой нарезкой. Изготовление установок ТМ-1-180 велось на заводе им. Марти в г. Николаеве. Пушки Б-1-П производились заводом "Баррикады". В боекомплект ТМ-1-80 входили снаряды бронебойный, полубронебойный, осколочно-фугасный и дистанционная граната с механической трубкой ВМ-16. Все снаряды имели одинаковую массу 97,5 кг. Вес взрывчатого вещества у бронебойных снаряды составил 1,81,9 кг, полубронебойных 6,97,0 кг, а у осколочно-фугасных около 8 кг. В основном ж. д. батареи строились для борьбы с вражеским флотом. Например, три 356-мм, три 305-мм и восемь 180-мм ж. д. орудий вместе со стационарными береговыми батареями калибра 152-305 мм перекрывали огнем вход в Финский залив. Но германское командование даже не планировало участие крупных надводных кораблей в войне против СССР. Морских целей у наших батарей не оказалось. Сложно пришлось батареям № 9 и № 17 на полуострове Ханко, блокированном финнами в первые дни войны. Батареи вели огонь по финским позициям и городу Таммисаари (3861).</w:t>
      </w:r>
    </w:p>
    <w:p w14:paraId="31587837" w14:textId="77777777" w:rsidR="00D4105E" w:rsidRPr="00E14102" w:rsidRDefault="00D4105E" w:rsidP="00E14102">
      <w:pPr>
        <w:autoSpaceDE w:val="0"/>
        <w:autoSpaceDN w:val="0"/>
        <w:adjustRightInd w:val="0"/>
        <w:jc w:val="both"/>
        <w:rPr>
          <w:color w:val="000000" w:themeColor="text1"/>
          <w:sz w:val="16"/>
          <w:szCs w:val="16"/>
        </w:rPr>
      </w:pPr>
    </w:p>
    <w:p w14:paraId="2A08B6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январе-марте 1935 года были отстреляеы еще три установки ТМ-1-180.</w:t>
      </w:r>
    </w:p>
    <w:p w14:paraId="2B47F1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испытания перевозимая скорость на паровозной тяге достигала 60 км /ч.</w:t>
      </w:r>
    </w:p>
    <w:p w14:paraId="02109F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Первая батарея этих установок была принята на вооружение в 1936 году и размещена на позициях в Лебяжьем. До начала Великой Отечественной войны 1941 —1945 гг. было выпущено еще 12 таких транспортеров. А всего на боевых позициях в годы войны, главным образом под Ленинградом, действовало двадцать 180-мм железнодорожных артустановок ТМ-1-180 (11454).</w:t>
      </w:r>
    </w:p>
    <w:p w14:paraId="52B9FC57" w14:textId="77777777" w:rsidR="00D4105E" w:rsidRPr="00E14102" w:rsidRDefault="00D4105E" w:rsidP="00E14102">
      <w:pPr>
        <w:autoSpaceDE w:val="0"/>
        <w:autoSpaceDN w:val="0"/>
        <w:adjustRightInd w:val="0"/>
        <w:jc w:val="both"/>
        <w:rPr>
          <w:color w:val="000000" w:themeColor="text1"/>
          <w:sz w:val="16"/>
          <w:szCs w:val="16"/>
        </w:rPr>
      </w:pPr>
    </w:p>
    <w:p w14:paraId="4412884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601C649" w14:textId="77777777" w:rsidR="00D4105E" w:rsidRPr="00E14102" w:rsidRDefault="00D4105E" w:rsidP="00E14102">
      <w:pPr>
        <w:autoSpaceDE w:val="0"/>
        <w:autoSpaceDN w:val="0"/>
        <w:adjustRightInd w:val="0"/>
        <w:jc w:val="both"/>
        <w:rPr>
          <w:iCs/>
          <w:color w:val="000000" w:themeColor="text1"/>
          <w:sz w:val="16"/>
          <w:szCs w:val="16"/>
        </w:rPr>
      </w:pPr>
    </w:p>
    <w:p w14:paraId="5D2099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начала 1935 года самолет Сталь-7 был пущен в производство на заводе 240-ГВФ и закончен постройкой летом 1936 года (3334).</w:t>
      </w:r>
    </w:p>
    <w:p w14:paraId="46AD2860" w14:textId="77777777" w:rsidR="00D4105E" w:rsidRPr="00E14102" w:rsidRDefault="00D4105E" w:rsidP="00E14102">
      <w:pPr>
        <w:autoSpaceDE w:val="0"/>
        <w:autoSpaceDN w:val="0"/>
        <w:adjustRightInd w:val="0"/>
        <w:jc w:val="both"/>
        <w:rPr>
          <w:color w:val="000000" w:themeColor="text1"/>
          <w:sz w:val="16"/>
          <w:szCs w:val="16"/>
        </w:rPr>
      </w:pPr>
    </w:p>
    <w:p w14:paraId="7BF2CE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 были начаты работы по увязочному макету АНТ-37, которые выявили необходимость внесения кардинальных изменений в конструкцию ДБ-1, ранее принятую в качестве исходного образца. Поначалу считалось, что новый самолет можно будет построить путем внесения необходимых усовершенствований и изменений в одномоторный ДБ-1 (АНТ-25). Установку двигателей "Гном-Рон" с деревянными двухлопастными воздушными винтами надеялись полностью позаимствовать после опробования на двухмоторном истребителе ДИ-8 (АНТ-46). Все эти "открытия" озвучил главный конструктор самолета П.О. Сухой на техническом совете, состоявшемся в ЦАГИ 4 января 1935 г. На следующем заседании - 28 февраля - Павел Осипович сообщил, что его бригаде пришлось полностью переконструировать весь самолет. По его заявлению чертежи новой машины были готовы на 70-75%, а сдача полного комплекта документации ожидалась не ранее 1 апреля. Так как еще ранее появление АНТ-37 на аэродроме запланировали на 15 июня, а предъявление его на государственные испытания 15 июля 1935 г., то понятно, что с этого момента все действительно "закрутилось": появились сверхурочные, вторая смена и прочие атрибуты спешной деятельности. При этом следует добавить, что и тактико-технические требования ВВС на новый бомбардировщик окончательно не были подготовлены и утверждены (11945).</w:t>
      </w:r>
    </w:p>
    <w:p w14:paraId="2CDBA1DC" w14:textId="77777777" w:rsidR="00D4105E" w:rsidRPr="00E14102" w:rsidRDefault="00D4105E" w:rsidP="00E14102">
      <w:pPr>
        <w:autoSpaceDE w:val="0"/>
        <w:autoSpaceDN w:val="0"/>
        <w:adjustRightInd w:val="0"/>
        <w:jc w:val="both"/>
        <w:rPr>
          <w:color w:val="000000" w:themeColor="text1"/>
          <w:sz w:val="16"/>
          <w:szCs w:val="16"/>
        </w:rPr>
      </w:pPr>
    </w:p>
    <w:p w14:paraId="478E052E" w14:textId="77777777" w:rsidR="00AA0847" w:rsidRPr="00E14102" w:rsidRDefault="00AA0847" w:rsidP="00E14102">
      <w:pPr>
        <w:jc w:val="both"/>
        <w:rPr>
          <w:color w:val="0070C0"/>
          <w:sz w:val="16"/>
          <w:szCs w:val="16"/>
        </w:rPr>
      </w:pPr>
      <w:r w:rsidRPr="00E14102">
        <w:rPr>
          <w:color w:val="0070C0"/>
          <w:sz w:val="16"/>
          <w:szCs w:val="16"/>
        </w:rPr>
        <w:t>В начале 1935 г. работы по увязочному макету АНТ-37 выявили не</w:t>
      </w:r>
      <w:r w:rsidRPr="00E14102">
        <w:rPr>
          <w:color w:val="0070C0"/>
          <w:sz w:val="16"/>
          <w:szCs w:val="16"/>
        </w:rPr>
        <w:softHyphen/>
        <w:t>обходимость внесения кардинальных из</w:t>
      </w:r>
      <w:r w:rsidRPr="00E14102">
        <w:rPr>
          <w:color w:val="0070C0"/>
          <w:sz w:val="16"/>
          <w:szCs w:val="16"/>
        </w:rPr>
        <w:softHyphen/>
        <w:t>менений в конструкцию ДБ-1, ранее при</w:t>
      </w:r>
      <w:r w:rsidRPr="00E14102">
        <w:rPr>
          <w:color w:val="0070C0"/>
          <w:sz w:val="16"/>
          <w:szCs w:val="16"/>
        </w:rPr>
        <w:softHyphen/>
        <w:t>нятую в качестве исходного образца. Это «открытие» озвучил главный конструктор самолета П.О. Сухой на техническом со</w:t>
      </w:r>
      <w:r w:rsidRPr="00E14102">
        <w:rPr>
          <w:color w:val="0070C0"/>
          <w:sz w:val="16"/>
          <w:szCs w:val="16"/>
        </w:rPr>
        <w:softHyphen/>
        <w:t>вете, состоявшемся в ЦАГИ 4 января. На следующем заседании, 28 февраля, Павел Осипович сообщил, что бригаде пришлось полностью переконструиро</w:t>
      </w:r>
      <w:r w:rsidRPr="00E14102">
        <w:rPr>
          <w:color w:val="0070C0"/>
          <w:sz w:val="16"/>
          <w:szCs w:val="16"/>
        </w:rPr>
        <w:softHyphen/>
        <w:t>вать весь самолет, и чертежи новой ма</w:t>
      </w:r>
      <w:r w:rsidRPr="00E14102">
        <w:rPr>
          <w:color w:val="0070C0"/>
          <w:sz w:val="16"/>
          <w:szCs w:val="16"/>
        </w:rPr>
        <w:softHyphen/>
        <w:t>шины готовы на 70-75%. По его заявле</w:t>
      </w:r>
      <w:r w:rsidRPr="00E14102">
        <w:rPr>
          <w:color w:val="0070C0"/>
          <w:sz w:val="16"/>
          <w:szCs w:val="16"/>
        </w:rPr>
        <w:softHyphen/>
        <w:t>нию, сдача полного комплекта докумен</w:t>
      </w:r>
      <w:r w:rsidRPr="00E14102">
        <w:rPr>
          <w:color w:val="0070C0"/>
          <w:sz w:val="16"/>
          <w:szCs w:val="16"/>
        </w:rPr>
        <w:softHyphen/>
        <w:t>тации ожидалась не ранее 1 апреля. Так как выкатка АНТ-37 на аэродром уже была запланирована на 15 июня, а предъявле</w:t>
      </w:r>
      <w:r w:rsidRPr="00E14102">
        <w:rPr>
          <w:color w:val="0070C0"/>
          <w:sz w:val="16"/>
          <w:szCs w:val="16"/>
        </w:rPr>
        <w:softHyphen/>
        <w:t>ние его на государственные испытания — на 15 июля 1935 г., то понятно, что теперь все «закрутилось»: появились сверхуроч</w:t>
      </w:r>
      <w:r w:rsidRPr="00E14102">
        <w:rPr>
          <w:color w:val="0070C0"/>
          <w:sz w:val="16"/>
          <w:szCs w:val="16"/>
        </w:rPr>
        <w:softHyphen/>
        <w:t>ные, вторая смена и прочие атрибуты спешной деятельности.</w:t>
      </w:r>
    </w:p>
    <w:p w14:paraId="2E698716" w14:textId="77777777" w:rsidR="00AA0847" w:rsidRPr="00E14102" w:rsidRDefault="00AA0847" w:rsidP="00E14102">
      <w:pPr>
        <w:jc w:val="both"/>
        <w:rPr>
          <w:color w:val="0070C0"/>
          <w:sz w:val="16"/>
          <w:szCs w:val="16"/>
        </w:rPr>
      </w:pPr>
      <w:r w:rsidRPr="00E14102">
        <w:rPr>
          <w:color w:val="0070C0"/>
          <w:sz w:val="16"/>
          <w:szCs w:val="16"/>
        </w:rPr>
        <w:t>В соответствии с подготовленными тактико-техническими требованиями, ДБ-2 (АНТ-37) определялся как дальний бомбардировщик, способный нести 1000 кг бомб на расстояние 5000 км со скоростью 250 км/ч (впоследствии ее увеличили до 300-320 км/ч) (22285).</w:t>
      </w:r>
    </w:p>
    <w:p w14:paraId="21701483" w14:textId="77777777" w:rsidR="00AA0847" w:rsidRPr="00E14102" w:rsidRDefault="00AA0847" w:rsidP="00E14102">
      <w:pPr>
        <w:jc w:val="both"/>
        <w:rPr>
          <w:color w:val="0070C0"/>
          <w:sz w:val="16"/>
          <w:szCs w:val="16"/>
        </w:rPr>
      </w:pPr>
    </w:p>
    <w:p w14:paraId="00DD39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начала 1935 г. изучать самолет стали члены будущего экипажа, выделенные для агит- эскадрильи из гражданской авиации. Командиром "Максима Горького" должен был стать И.В. Михеев, опытный пилот ГВФ (12024).</w:t>
      </w:r>
    </w:p>
    <w:p w14:paraId="41FE84B9" w14:textId="77777777" w:rsidR="00D4105E" w:rsidRPr="00E14102" w:rsidRDefault="00D4105E" w:rsidP="00E14102">
      <w:pPr>
        <w:autoSpaceDE w:val="0"/>
        <w:autoSpaceDN w:val="0"/>
        <w:adjustRightInd w:val="0"/>
        <w:jc w:val="both"/>
        <w:rPr>
          <w:color w:val="000000" w:themeColor="text1"/>
          <w:sz w:val="16"/>
          <w:szCs w:val="16"/>
        </w:rPr>
      </w:pPr>
    </w:p>
    <w:p w14:paraId="5C3689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 был построен двухместный пушечный истребитель ДНП (АНТ-29) явился дальнейшим развитием МИ-3. АНТ-29 имел полностью гладкую металлическую обшивку планера, был вооружен безоткатной, 102-мм динамореактивной пушкой (ДРП) конструкции Курчевского, проходящей через весь фюзеляж. В связи с прекращением в 1936 г. работ по ДРП, доводку АНТ-29 прекратили (12027).</w:t>
      </w:r>
    </w:p>
    <w:p w14:paraId="33497019" w14:textId="77777777" w:rsidR="00D4105E" w:rsidRPr="00E14102" w:rsidRDefault="00D4105E" w:rsidP="00E14102">
      <w:pPr>
        <w:autoSpaceDE w:val="0"/>
        <w:autoSpaceDN w:val="0"/>
        <w:adjustRightInd w:val="0"/>
        <w:jc w:val="both"/>
        <w:rPr>
          <w:color w:val="000000" w:themeColor="text1"/>
          <w:sz w:val="16"/>
          <w:szCs w:val="16"/>
        </w:rPr>
      </w:pPr>
    </w:p>
    <w:p w14:paraId="235E4D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начала 1935 г. выпуск устаревавшего Р-5 начали свертывать. Существенных изменений в его конструкцию уже не вносили, а от планов организовать выпуск на заводе № 125 в Иркутске отказались. В конце года Р-5 сняли с производства. Всего за этот год изготовили 500 машин разных модификаций (11936).</w:t>
      </w:r>
    </w:p>
    <w:p w14:paraId="73DB2EFF" w14:textId="77777777" w:rsidR="00D4105E" w:rsidRPr="00E14102" w:rsidRDefault="00D4105E" w:rsidP="00E14102">
      <w:pPr>
        <w:autoSpaceDE w:val="0"/>
        <w:autoSpaceDN w:val="0"/>
        <w:adjustRightInd w:val="0"/>
        <w:jc w:val="both"/>
        <w:rPr>
          <w:color w:val="000000" w:themeColor="text1"/>
          <w:sz w:val="16"/>
          <w:szCs w:val="16"/>
        </w:rPr>
      </w:pPr>
    </w:p>
    <w:p w14:paraId="3AA6ED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начала 1935 г., как и намечалось первоначально, выпуск устаревших Р-5 начали свертывать. Существенных изменений в его конструкцию уже не вносили. В марте неожиданно выяснили, что вмонтированные в днище под кабиной летнаба кодовые огни (небольшие фары с цветными стеклами) обладают зажигательным действием. При включении их в ангаре отражатель фары давал мощный поток энергии, способный воспламенить бумагу, промасленную тряпку или кусок дерева. В целях безопасности отражатели стали обрабатывать пескоструйным аппаратом, обеспечивая рассеяние света. Ставился вопрос о комплектации самолетов противоштопорные ракетами; их разработку заказали РНИИ, но никаких данных о выполнении этой работы нет (12034).</w:t>
      </w:r>
    </w:p>
    <w:p w14:paraId="30E1658A" w14:textId="77777777" w:rsidR="00D4105E" w:rsidRPr="00E14102" w:rsidRDefault="00D4105E" w:rsidP="00E14102">
      <w:pPr>
        <w:autoSpaceDE w:val="0"/>
        <w:autoSpaceDN w:val="0"/>
        <w:adjustRightInd w:val="0"/>
        <w:jc w:val="both"/>
        <w:rPr>
          <w:color w:val="000000" w:themeColor="text1"/>
          <w:sz w:val="16"/>
          <w:szCs w:val="16"/>
        </w:rPr>
      </w:pPr>
    </w:p>
    <w:p w14:paraId="0A011A65" w14:textId="77777777" w:rsidR="00AA0847" w:rsidRPr="00E14102" w:rsidRDefault="00AA0847" w:rsidP="00E14102">
      <w:pPr>
        <w:jc w:val="both"/>
        <w:rPr>
          <w:color w:val="0070C0"/>
          <w:sz w:val="16"/>
          <w:szCs w:val="16"/>
        </w:rPr>
      </w:pPr>
      <w:r w:rsidRPr="00E14102">
        <w:rPr>
          <w:color w:val="0070C0"/>
          <w:sz w:val="16"/>
          <w:szCs w:val="16"/>
        </w:rPr>
        <w:t>В начале 1935 г. облик скоростного разведчика Ко</w:t>
      </w:r>
      <w:r w:rsidRPr="00E14102">
        <w:rPr>
          <w:color w:val="0070C0"/>
          <w:sz w:val="16"/>
          <w:szCs w:val="16"/>
        </w:rPr>
        <w:softHyphen/>
        <w:t>черигина в основном сформировался. Это был вполне гармоничный среднеплан со всеми атрибутами присущи</w:t>
      </w:r>
      <w:r w:rsidRPr="00E14102">
        <w:rPr>
          <w:color w:val="0070C0"/>
          <w:sz w:val="16"/>
          <w:szCs w:val="16"/>
        </w:rPr>
        <w:softHyphen/>
        <w:t>ми современным самолетам - свободнонесущим металли</w:t>
      </w:r>
      <w:r w:rsidRPr="00E14102">
        <w:rPr>
          <w:color w:val="0070C0"/>
          <w:sz w:val="16"/>
          <w:szCs w:val="16"/>
        </w:rPr>
        <w:softHyphen/>
        <w:t>ческим крылом, убирающимся шасси, закрытыми кабина</w:t>
      </w:r>
      <w:r w:rsidRPr="00E14102">
        <w:rPr>
          <w:color w:val="0070C0"/>
          <w:sz w:val="16"/>
          <w:szCs w:val="16"/>
        </w:rPr>
        <w:softHyphen/>
        <w:t>ми для двух членов экипажа. Уже весной построили увя- зочный макет СР, в апреле состоялась окончательная макетная комиссия, после чего машина пошла в производ</w:t>
      </w:r>
      <w:r w:rsidRPr="00E14102">
        <w:rPr>
          <w:color w:val="0070C0"/>
          <w:sz w:val="16"/>
          <w:szCs w:val="16"/>
        </w:rPr>
        <w:softHyphen/>
        <w:t>ство. Всего заложили три экземпляра самолета, из кото</w:t>
      </w:r>
      <w:r w:rsidRPr="00E14102">
        <w:rPr>
          <w:color w:val="0070C0"/>
          <w:sz w:val="16"/>
          <w:szCs w:val="16"/>
        </w:rPr>
        <w:softHyphen/>
        <w:t>рых первый считался опытным, а остальные два опреде</w:t>
      </w:r>
      <w:r w:rsidRPr="00E14102">
        <w:rPr>
          <w:color w:val="0070C0"/>
          <w:sz w:val="16"/>
          <w:szCs w:val="16"/>
        </w:rPr>
        <w:softHyphen/>
        <w:t>лялись как малая серия для проведения войсковых испы</w:t>
      </w:r>
      <w:r w:rsidRPr="00E14102">
        <w:rPr>
          <w:color w:val="0070C0"/>
          <w:sz w:val="16"/>
          <w:szCs w:val="16"/>
        </w:rPr>
        <w:softHyphen/>
        <w:t>таний. По другим данным, сначала заложили два опытных образца, а затем войсковую серию в три экземпляра. Од</w:t>
      </w:r>
      <w:r w:rsidRPr="00E14102">
        <w:rPr>
          <w:color w:val="0070C0"/>
          <w:sz w:val="16"/>
          <w:szCs w:val="16"/>
        </w:rPr>
        <w:softHyphen/>
        <w:t>нако впоследствии просматривается судьба лишь двух-трех первых опытных машин (20362).</w:t>
      </w:r>
    </w:p>
    <w:p w14:paraId="675E4FF5" w14:textId="77777777" w:rsidR="00AA0847" w:rsidRPr="00E14102" w:rsidRDefault="00AA0847" w:rsidP="00E14102">
      <w:pPr>
        <w:shd w:val="clear" w:color="auto" w:fill="FFFFFF"/>
        <w:jc w:val="both"/>
        <w:rPr>
          <w:color w:val="0070C0"/>
          <w:sz w:val="16"/>
          <w:szCs w:val="16"/>
        </w:rPr>
      </w:pPr>
    </w:p>
    <w:p w14:paraId="757A310B" w14:textId="77777777" w:rsidR="00AA0847" w:rsidRPr="00E14102" w:rsidRDefault="00AA0847" w:rsidP="00E14102">
      <w:pPr>
        <w:jc w:val="both"/>
        <w:rPr>
          <w:color w:val="0070C0"/>
          <w:sz w:val="16"/>
          <w:szCs w:val="16"/>
        </w:rPr>
      </w:pPr>
      <w:r w:rsidRPr="00E14102">
        <w:rPr>
          <w:color w:val="0070C0"/>
          <w:sz w:val="16"/>
          <w:szCs w:val="16"/>
        </w:rPr>
        <w:t>В начале 1935 г. был забракован натурный макет самолета ВС-2 К-12 Калинина. В это же время Калинин ходатайствовал о выделении двух импортных моторов Гном-Рон 14К «Мистраль-Мажор», которыми можно было бы заменить недостаточно мощные М-22 (23157).</w:t>
      </w:r>
    </w:p>
    <w:p w14:paraId="6BB87C1D" w14:textId="77777777" w:rsidR="00AA0847" w:rsidRPr="00E14102" w:rsidRDefault="00AA0847" w:rsidP="00E14102">
      <w:pPr>
        <w:jc w:val="both"/>
        <w:rPr>
          <w:color w:val="0070C0"/>
          <w:sz w:val="16"/>
          <w:szCs w:val="16"/>
        </w:rPr>
      </w:pPr>
    </w:p>
    <w:p w14:paraId="1F7E4DF6" w14:textId="77777777" w:rsidR="00AA0847" w:rsidRPr="00E14102" w:rsidRDefault="00AA0847" w:rsidP="00E14102">
      <w:pPr>
        <w:jc w:val="both"/>
        <w:rPr>
          <w:color w:val="0070C0"/>
          <w:sz w:val="16"/>
          <w:szCs w:val="16"/>
        </w:rPr>
      </w:pPr>
      <w:r w:rsidRPr="00E14102">
        <w:rPr>
          <w:color w:val="0070C0"/>
          <w:sz w:val="16"/>
          <w:szCs w:val="16"/>
        </w:rPr>
        <w:t>В нача</w:t>
      </w:r>
      <w:r w:rsidRPr="00E14102">
        <w:rPr>
          <w:color w:val="0070C0"/>
          <w:sz w:val="16"/>
          <w:szCs w:val="16"/>
        </w:rPr>
        <w:softHyphen/>
        <w:t>ле 1935 г. завершилась постройка второй экземпляр А-8, который в первоначальном виде повторял предыдущую машину. После чего аппарат передали для проведения испытаний в ОЭЛИД ЦАГИ. Первый полет совершил лет</w:t>
      </w:r>
      <w:r w:rsidRPr="00E14102">
        <w:rPr>
          <w:color w:val="0070C0"/>
          <w:sz w:val="16"/>
          <w:szCs w:val="16"/>
        </w:rPr>
        <w:softHyphen/>
        <w:t>чик Корзинщиков 19 февраля 1935 г. Дальнейшие полеты проводились при изменяемых центровках и различном полетном весе. Удалось добиться более высокой полетной устойчивости по сравнению с первым экземпляром.</w:t>
      </w:r>
    </w:p>
    <w:p w14:paraId="4B819FB9" w14:textId="77777777" w:rsidR="00AA0847" w:rsidRPr="00E14102" w:rsidRDefault="00AA0847" w:rsidP="00E14102">
      <w:pPr>
        <w:jc w:val="both"/>
        <w:rPr>
          <w:color w:val="0070C0"/>
          <w:sz w:val="16"/>
          <w:szCs w:val="16"/>
        </w:rPr>
      </w:pPr>
      <w:r w:rsidRPr="00E14102">
        <w:rPr>
          <w:color w:val="0070C0"/>
          <w:sz w:val="16"/>
          <w:szCs w:val="16"/>
        </w:rPr>
        <w:t>Переход к непосредственному управлению ротором осу</w:t>
      </w:r>
      <w:r w:rsidRPr="00E14102">
        <w:rPr>
          <w:color w:val="0070C0"/>
          <w:sz w:val="16"/>
          <w:szCs w:val="16"/>
        </w:rPr>
        <w:softHyphen/>
        <w:t>ществлялся постепенно. Поначалу экспериментировали с закрепленными неподвижно элеронами, затем крыло сня</w:t>
      </w:r>
      <w:r w:rsidRPr="00E14102">
        <w:rPr>
          <w:color w:val="0070C0"/>
          <w:sz w:val="16"/>
          <w:szCs w:val="16"/>
        </w:rPr>
        <w:softHyphen/>
        <w:t>ли и летали без него. В ходе зимних испытаний на лыжах пытались добиться повышения путевой устойчивости. Не</w:t>
      </w:r>
      <w:r w:rsidRPr="00E14102">
        <w:rPr>
          <w:color w:val="0070C0"/>
          <w:sz w:val="16"/>
          <w:szCs w:val="16"/>
        </w:rPr>
        <w:softHyphen/>
        <w:t>большие вертикальные шайбы заменили введением допол</w:t>
      </w:r>
      <w:r w:rsidRPr="00E14102">
        <w:rPr>
          <w:color w:val="0070C0"/>
          <w:sz w:val="16"/>
          <w:szCs w:val="16"/>
        </w:rPr>
        <w:softHyphen/>
        <w:t>нительных килей увеличенной площади, однако такой при</w:t>
      </w:r>
      <w:r w:rsidRPr="00E14102">
        <w:rPr>
          <w:color w:val="0070C0"/>
          <w:sz w:val="16"/>
          <w:szCs w:val="16"/>
        </w:rPr>
        <w:softHyphen/>
        <w:t>ем оказался малоэффективным (20361).</w:t>
      </w:r>
    </w:p>
    <w:p w14:paraId="46D94F61" w14:textId="77777777" w:rsidR="00AA0847" w:rsidRPr="00E14102" w:rsidRDefault="00AA0847" w:rsidP="00E14102">
      <w:pPr>
        <w:jc w:val="both"/>
        <w:rPr>
          <w:color w:val="0070C0"/>
          <w:sz w:val="16"/>
          <w:szCs w:val="16"/>
        </w:rPr>
      </w:pPr>
    </w:p>
    <w:p w14:paraId="685E07B1" w14:textId="77777777" w:rsidR="00CE6FC3" w:rsidRPr="00E14102" w:rsidRDefault="00CE6FC3" w:rsidP="00E14102">
      <w:pPr>
        <w:jc w:val="both"/>
        <w:rPr>
          <w:color w:val="0070C0"/>
          <w:sz w:val="16"/>
          <w:szCs w:val="16"/>
        </w:rPr>
      </w:pPr>
      <w:r w:rsidRPr="00E14102">
        <w:rPr>
          <w:color w:val="0070C0"/>
          <w:sz w:val="16"/>
          <w:szCs w:val="16"/>
        </w:rPr>
        <w:t>В начале 1935 г, учитывая опыт постройки и испытаний ав</w:t>
      </w:r>
      <w:r w:rsidRPr="00E14102">
        <w:rPr>
          <w:color w:val="0070C0"/>
          <w:sz w:val="16"/>
          <w:szCs w:val="16"/>
        </w:rPr>
        <w:softHyphen/>
        <w:t>тожиров А-6 и А-8, решено было построить подобный ап</w:t>
      </w:r>
      <w:r w:rsidRPr="00E14102">
        <w:rPr>
          <w:color w:val="0070C0"/>
          <w:sz w:val="16"/>
          <w:szCs w:val="16"/>
        </w:rPr>
        <w:softHyphen/>
        <w:t>парат с таким же двигателем М-11, но с улучшением всех летных характеристик. Автожир получил обозначение А-13, его основное предназначение оставалось традиционным - разведка и связь. Кроме того, А-13 планировалось использовать в качестве учебного аппарата, для чего автожир оборудовали двойным управлением.</w:t>
      </w:r>
    </w:p>
    <w:p w14:paraId="7A5A0D9B" w14:textId="77777777" w:rsidR="00CE6FC3" w:rsidRPr="00E14102" w:rsidRDefault="00CE6FC3" w:rsidP="00E14102">
      <w:pPr>
        <w:jc w:val="both"/>
        <w:rPr>
          <w:color w:val="0070C0"/>
          <w:sz w:val="16"/>
          <w:szCs w:val="16"/>
        </w:rPr>
      </w:pPr>
      <w:r w:rsidRPr="00E14102">
        <w:rPr>
          <w:color w:val="0070C0"/>
          <w:sz w:val="16"/>
          <w:szCs w:val="16"/>
        </w:rPr>
        <w:t>Увеличение потолка и скороподъемности с одновремен</w:t>
      </w:r>
      <w:r w:rsidRPr="00E14102">
        <w:rPr>
          <w:color w:val="0070C0"/>
          <w:sz w:val="16"/>
          <w:szCs w:val="16"/>
        </w:rPr>
        <w:softHyphen/>
        <w:t>ным уменьшением длины разбега предполагалось полу</w:t>
      </w:r>
      <w:r w:rsidRPr="00E14102">
        <w:rPr>
          <w:color w:val="0070C0"/>
          <w:sz w:val="16"/>
          <w:szCs w:val="16"/>
        </w:rPr>
        <w:softHyphen/>
        <w:t>чить за счет облегчения конструкции и улучшения аэроди</w:t>
      </w:r>
      <w:r w:rsidRPr="00E14102">
        <w:rPr>
          <w:color w:val="0070C0"/>
          <w:sz w:val="16"/>
          <w:szCs w:val="16"/>
        </w:rPr>
        <w:softHyphen/>
        <w:t>намики. Для снижения веса все силовые узлы ранее создан</w:t>
      </w:r>
      <w:r w:rsidRPr="00E14102">
        <w:rPr>
          <w:color w:val="0070C0"/>
          <w:sz w:val="16"/>
          <w:szCs w:val="16"/>
        </w:rPr>
        <w:softHyphen/>
        <w:t>ных А-6 и А-8 подверглись пересмотру и дополнительному расчету на прочность, в результате чего удалось уменьшить вес конструкции на 39 кг. Модель А-13 с целью выявления наиболее совершенной формы фюзеляжа, крыла и опере</w:t>
      </w:r>
      <w:r w:rsidRPr="00E14102">
        <w:rPr>
          <w:color w:val="0070C0"/>
          <w:sz w:val="16"/>
          <w:szCs w:val="16"/>
        </w:rPr>
        <w:softHyphen/>
        <w:t>ния исследовалась в аэродинамической трубе ЦАГИ. Дви</w:t>
      </w:r>
      <w:r w:rsidRPr="00E14102">
        <w:rPr>
          <w:color w:val="0070C0"/>
          <w:sz w:val="16"/>
          <w:szCs w:val="16"/>
        </w:rPr>
        <w:softHyphen/>
        <w:t>гатель М-11 поначалу закрыли капотом с индивидуальными обтекателями цилиндров, впоследствии для снижения со</w:t>
      </w:r>
      <w:r w:rsidRPr="00E14102">
        <w:rPr>
          <w:color w:val="0070C0"/>
          <w:sz w:val="16"/>
          <w:szCs w:val="16"/>
        </w:rPr>
        <w:softHyphen/>
        <w:t>противления использовали кольцо Тауненда.</w:t>
      </w:r>
    </w:p>
    <w:p w14:paraId="6BC8DA42" w14:textId="77777777" w:rsidR="00CE6FC3" w:rsidRPr="00E14102" w:rsidRDefault="00CE6FC3" w:rsidP="00E14102">
      <w:pPr>
        <w:jc w:val="both"/>
        <w:rPr>
          <w:color w:val="0070C0"/>
          <w:sz w:val="16"/>
          <w:szCs w:val="16"/>
        </w:rPr>
      </w:pPr>
      <w:r w:rsidRPr="00E14102">
        <w:rPr>
          <w:color w:val="0070C0"/>
          <w:sz w:val="16"/>
          <w:szCs w:val="16"/>
        </w:rPr>
        <w:t>При создании А-13 особое внимание уделялось повыше</w:t>
      </w:r>
      <w:r w:rsidRPr="00E14102">
        <w:rPr>
          <w:color w:val="0070C0"/>
          <w:sz w:val="16"/>
          <w:szCs w:val="16"/>
        </w:rPr>
        <w:softHyphen/>
        <w:t>нию путевой устойчивости, для чего вертикальное опере</w:t>
      </w:r>
      <w:r w:rsidRPr="00E14102">
        <w:rPr>
          <w:color w:val="0070C0"/>
          <w:sz w:val="16"/>
          <w:szCs w:val="16"/>
        </w:rPr>
        <w:softHyphen/>
        <w:t>ние по сравнению с А-6 и А-8 заметно увеличилось по пло</w:t>
      </w:r>
      <w:r w:rsidRPr="00E14102">
        <w:rPr>
          <w:color w:val="0070C0"/>
          <w:sz w:val="16"/>
          <w:szCs w:val="16"/>
        </w:rPr>
        <w:softHyphen/>
        <w:t>щади, а на концах стабилизатора установили эллипсо</w:t>
      </w:r>
      <w:r w:rsidRPr="00E14102">
        <w:rPr>
          <w:color w:val="0070C0"/>
          <w:sz w:val="16"/>
          <w:szCs w:val="16"/>
        </w:rPr>
        <w:softHyphen/>
        <w:t>видные «шайбы».</w:t>
      </w:r>
    </w:p>
    <w:p w14:paraId="136A05FF" w14:textId="77777777" w:rsidR="00CE6FC3" w:rsidRPr="00E14102" w:rsidRDefault="00CE6FC3" w:rsidP="00E14102">
      <w:pPr>
        <w:jc w:val="both"/>
        <w:rPr>
          <w:color w:val="0070C0"/>
          <w:sz w:val="16"/>
          <w:szCs w:val="16"/>
        </w:rPr>
      </w:pPr>
      <w:r w:rsidRPr="00E14102">
        <w:rPr>
          <w:color w:val="0070C0"/>
          <w:sz w:val="16"/>
          <w:szCs w:val="16"/>
        </w:rPr>
        <w:t>Хотя А-13 оснастили ротором с непосредственным уп</w:t>
      </w:r>
      <w:r w:rsidRPr="00E14102">
        <w:rPr>
          <w:color w:val="0070C0"/>
          <w:sz w:val="16"/>
          <w:szCs w:val="16"/>
        </w:rPr>
        <w:softHyphen/>
        <w:t>равлением, позволяющим изменять центровку аппарата, для подстраховки автожир имел крыло, оборудованное элеронами. В сечении лопастей ротора впервые исполь</w:t>
      </w:r>
      <w:r w:rsidRPr="00E14102">
        <w:rPr>
          <w:color w:val="0070C0"/>
          <w:sz w:val="16"/>
          <w:szCs w:val="16"/>
        </w:rPr>
        <w:softHyphen/>
        <w:t>зовался более эффективный несимметричный профиль «Мунк» М-12.</w:t>
      </w:r>
    </w:p>
    <w:p w14:paraId="6574D064" w14:textId="77777777" w:rsidR="00CE6FC3" w:rsidRPr="00E14102" w:rsidRDefault="00CE6FC3" w:rsidP="00E14102">
      <w:pPr>
        <w:jc w:val="both"/>
        <w:rPr>
          <w:color w:val="0070C0"/>
          <w:sz w:val="16"/>
          <w:szCs w:val="16"/>
        </w:rPr>
      </w:pPr>
      <w:bookmarkStart w:id="5" w:name="bookmark46"/>
      <w:r w:rsidRPr="00E14102">
        <w:rPr>
          <w:color w:val="0070C0"/>
          <w:sz w:val="16"/>
          <w:szCs w:val="16"/>
        </w:rPr>
        <w:t>Данные и характеристики А-13*</w:t>
      </w:r>
      <w:bookmarkEnd w:id="5"/>
    </w:p>
    <w:tbl>
      <w:tblPr>
        <w:tblOverlap w:val="never"/>
        <w:tblW w:w="0" w:type="auto"/>
        <w:jc w:val="center"/>
        <w:tblLayout w:type="fixed"/>
        <w:tblCellMar>
          <w:left w:w="10" w:type="dxa"/>
          <w:right w:w="10" w:type="dxa"/>
        </w:tblCellMar>
        <w:tblLook w:val="04A0" w:firstRow="1" w:lastRow="0" w:firstColumn="1" w:lastColumn="0" w:noHBand="0" w:noVBand="1"/>
      </w:tblPr>
      <w:tblGrid>
        <w:gridCol w:w="3514"/>
        <w:gridCol w:w="1565"/>
      </w:tblGrid>
      <w:tr w:rsidR="00CE6FC3" w:rsidRPr="00E14102" w14:paraId="413384C1" w14:textId="77777777" w:rsidTr="003D0776">
        <w:trPr>
          <w:trHeight w:hRule="exact" w:val="298"/>
          <w:jc w:val="center"/>
        </w:trPr>
        <w:tc>
          <w:tcPr>
            <w:tcW w:w="3514" w:type="dxa"/>
            <w:tcBorders>
              <w:top w:val="single" w:sz="4" w:space="0" w:color="auto"/>
              <w:left w:val="single" w:sz="4" w:space="0" w:color="auto"/>
              <w:bottom w:val="nil"/>
              <w:right w:val="nil"/>
            </w:tcBorders>
            <w:vAlign w:val="bottom"/>
            <w:hideMark/>
          </w:tcPr>
          <w:p w14:paraId="4D6B747A" w14:textId="77777777" w:rsidR="00CE6FC3" w:rsidRPr="00E14102" w:rsidRDefault="00CE6FC3" w:rsidP="00E14102">
            <w:pPr>
              <w:jc w:val="both"/>
              <w:rPr>
                <w:color w:val="0070C0"/>
                <w:sz w:val="16"/>
                <w:szCs w:val="16"/>
              </w:rPr>
            </w:pPr>
            <w:r w:rsidRPr="00E14102">
              <w:rPr>
                <w:color w:val="0070C0"/>
                <w:sz w:val="16"/>
                <w:szCs w:val="16"/>
              </w:rPr>
              <w:t>Диаметр ротора (м)</w:t>
            </w:r>
          </w:p>
        </w:tc>
        <w:tc>
          <w:tcPr>
            <w:tcW w:w="1565" w:type="dxa"/>
            <w:tcBorders>
              <w:top w:val="single" w:sz="4" w:space="0" w:color="auto"/>
              <w:left w:val="nil"/>
              <w:bottom w:val="nil"/>
              <w:right w:val="single" w:sz="4" w:space="0" w:color="auto"/>
            </w:tcBorders>
            <w:vAlign w:val="bottom"/>
            <w:hideMark/>
          </w:tcPr>
          <w:p w14:paraId="2E605898" w14:textId="77777777" w:rsidR="00CE6FC3" w:rsidRPr="00E14102" w:rsidRDefault="00CE6FC3" w:rsidP="00E14102">
            <w:pPr>
              <w:jc w:val="both"/>
              <w:rPr>
                <w:color w:val="0070C0"/>
                <w:sz w:val="16"/>
                <w:szCs w:val="16"/>
              </w:rPr>
            </w:pPr>
            <w:r w:rsidRPr="00E14102">
              <w:rPr>
                <w:color w:val="0070C0"/>
                <w:sz w:val="16"/>
                <w:szCs w:val="16"/>
              </w:rPr>
              <w:t>11,5</w:t>
            </w:r>
          </w:p>
        </w:tc>
      </w:tr>
      <w:tr w:rsidR="00CE6FC3" w:rsidRPr="00E14102" w14:paraId="49570A18" w14:textId="77777777" w:rsidTr="003D0776">
        <w:trPr>
          <w:trHeight w:hRule="exact" w:val="197"/>
          <w:jc w:val="center"/>
        </w:trPr>
        <w:tc>
          <w:tcPr>
            <w:tcW w:w="3514" w:type="dxa"/>
            <w:tcBorders>
              <w:top w:val="nil"/>
              <w:left w:val="single" w:sz="4" w:space="0" w:color="auto"/>
              <w:bottom w:val="nil"/>
              <w:right w:val="nil"/>
            </w:tcBorders>
            <w:hideMark/>
          </w:tcPr>
          <w:p w14:paraId="7078A92A" w14:textId="77777777" w:rsidR="00CE6FC3" w:rsidRPr="00E14102" w:rsidRDefault="00CE6FC3" w:rsidP="00E14102">
            <w:pPr>
              <w:jc w:val="both"/>
              <w:rPr>
                <w:color w:val="0070C0"/>
                <w:sz w:val="16"/>
                <w:szCs w:val="16"/>
              </w:rPr>
            </w:pPr>
            <w:r w:rsidRPr="00E14102">
              <w:rPr>
                <w:color w:val="0070C0"/>
                <w:sz w:val="16"/>
                <w:szCs w:val="16"/>
              </w:rPr>
              <w:t>Длина без ротора (м)</w:t>
            </w:r>
          </w:p>
        </w:tc>
        <w:tc>
          <w:tcPr>
            <w:tcW w:w="1565" w:type="dxa"/>
            <w:tcBorders>
              <w:top w:val="nil"/>
              <w:left w:val="nil"/>
              <w:bottom w:val="nil"/>
              <w:right w:val="single" w:sz="4" w:space="0" w:color="auto"/>
            </w:tcBorders>
            <w:hideMark/>
          </w:tcPr>
          <w:p w14:paraId="5FFEB448" w14:textId="77777777" w:rsidR="00CE6FC3" w:rsidRPr="00E14102" w:rsidRDefault="00CE6FC3" w:rsidP="00E14102">
            <w:pPr>
              <w:jc w:val="both"/>
              <w:rPr>
                <w:color w:val="0070C0"/>
                <w:sz w:val="16"/>
                <w:szCs w:val="16"/>
              </w:rPr>
            </w:pPr>
            <w:r w:rsidRPr="00E14102">
              <w:rPr>
                <w:color w:val="0070C0"/>
                <w:sz w:val="16"/>
                <w:szCs w:val="16"/>
              </w:rPr>
              <w:t>6,6</w:t>
            </w:r>
          </w:p>
        </w:tc>
      </w:tr>
      <w:tr w:rsidR="00CE6FC3" w:rsidRPr="00E14102" w14:paraId="2AA56142" w14:textId="77777777" w:rsidTr="003D0776">
        <w:trPr>
          <w:trHeight w:hRule="exact" w:val="192"/>
          <w:jc w:val="center"/>
        </w:trPr>
        <w:tc>
          <w:tcPr>
            <w:tcW w:w="3514" w:type="dxa"/>
            <w:tcBorders>
              <w:top w:val="nil"/>
              <w:left w:val="single" w:sz="4" w:space="0" w:color="auto"/>
              <w:bottom w:val="nil"/>
              <w:right w:val="nil"/>
            </w:tcBorders>
            <w:vAlign w:val="bottom"/>
            <w:hideMark/>
          </w:tcPr>
          <w:p w14:paraId="2B2B0FB0" w14:textId="77777777" w:rsidR="00CE6FC3" w:rsidRPr="00E14102" w:rsidRDefault="00CE6FC3" w:rsidP="00E14102">
            <w:pPr>
              <w:jc w:val="both"/>
              <w:rPr>
                <w:color w:val="0070C0"/>
                <w:sz w:val="16"/>
                <w:szCs w:val="16"/>
              </w:rPr>
            </w:pPr>
            <w:r w:rsidRPr="00E14102">
              <w:rPr>
                <w:color w:val="0070C0"/>
                <w:sz w:val="16"/>
                <w:szCs w:val="16"/>
              </w:rPr>
              <w:t>Высота в линии полета (м)</w:t>
            </w:r>
          </w:p>
        </w:tc>
        <w:tc>
          <w:tcPr>
            <w:tcW w:w="1565" w:type="dxa"/>
            <w:tcBorders>
              <w:top w:val="nil"/>
              <w:left w:val="nil"/>
              <w:bottom w:val="nil"/>
              <w:right w:val="single" w:sz="4" w:space="0" w:color="auto"/>
            </w:tcBorders>
            <w:vAlign w:val="bottom"/>
            <w:hideMark/>
          </w:tcPr>
          <w:p w14:paraId="2E05AC07" w14:textId="77777777" w:rsidR="00CE6FC3" w:rsidRPr="00E14102" w:rsidRDefault="00CE6FC3" w:rsidP="00E14102">
            <w:pPr>
              <w:jc w:val="both"/>
              <w:rPr>
                <w:color w:val="0070C0"/>
                <w:sz w:val="16"/>
                <w:szCs w:val="16"/>
              </w:rPr>
            </w:pPr>
            <w:r w:rsidRPr="00E14102">
              <w:rPr>
                <w:color w:val="0070C0"/>
                <w:sz w:val="16"/>
                <w:szCs w:val="16"/>
              </w:rPr>
              <w:t>3,0</w:t>
            </w:r>
          </w:p>
        </w:tc>
      </w:tr>
      <w:tr w:rsidR="00CE6FC3" w:rsidRPr="00E14102" w14:paraId="5D920479" w14:textId="77777777" w:rsidTr="003D0776">
        <w:trPr>
          <w:trHeight w:hRule="exact" w:val="211"/>
          <w:jc w:val="center"/>
        </w:trPr>
        <w:tc>
          <w:tcPr>
            <w:tcW w:w="3514" w:type="dxa"/>
            <w:tcBorders>
              <w:top w:val="nil"/>
              <w:left w:val="single" w:sz="4" w:space="0" w:color="auto"/>
              <w:bottom w:val="nil"/>
              <w:right w:val="nil"/>
            </w:tcBorders>
            <w:vAlign w:val="bottom"/>
            <w:hideMark/>
          </w:tcPr>
          <w:p w14:paraId="2590FD37" w14:textId="77777777" w:rsidR="00CE6FC3" w:rsidRPr="00E14102" w:rsidRDefault="00CE6FC3" w:rsidP="00E14102">
            <w:pPr>
              <w:jc w:val="both"/>
              <w:rPr>
                <w:color w:val="0070C0"/>
                <w:sz w:val="16"/>
                <w:szCs w:val="16"/>
              </w:rPr>
            </w:pPr>
            <w:r w:rsidRPr="00E14102">
              <w:rPr>
                <w:color w:val="0070C0"/>
                <w:sz w:val="16"/>
                <w:szCs w:val="16"/>
              </w:rPr>
              <w:t>Размах крыла (м)</w:t>
            </w:r>
          </w:p>
        </w:tc>
        <w:tc>
          <w:tcPr>
            <w:tcW w:w="1565" w:type="dxa"/>
            <w:tcBorders>
              <w:top w:val="nil"/>
              <w:left w:val="nil"/>
              <w:bottom w:val="nil"/>
              <w:right w:val="single" w:sz="4" w:space="0" w:color="auto"/>
            </w:tcBorders>
            <w:vAlign w:val="bottom"/>
            <w:hideMark/>
          </w:tcPr>
          <w:p w14:paraId="464EF176" w14:textId="77777777" w:rsidR="00CE6FC3" w:rsidRPr="00E14102" w:rsidRDefault="00CE6FC3" w:rsidP="00E14102">
            <w:pPr>
              <w:jc w:val="both"/>
              <w:rPr>
                <w:color w:val="0070C0"/>
                <w:sz w:val="16"/>
                <w:szCs w:val="16"/>
              </w:rPr>
            </w:pPr>
            <w:r w:rsidRPr="00E14102">
              <w:rPr>
                <w:color w:val="0070C0"/>
                <w:sz w:val="16"/>
                <w:szCs w:val="16"/>
              </w:rPr>
              <w:t>6,5</w:t>
            </w:r>
          </w:p>
        </w:tc>
      </w:tr>
      <w:tr w:rsidR="00CE6FC3" w:rsidRPr="00E14102" w14:paraId="349C0180" w14:textId="77777777" w:rsidTr="003D0776">
        <w:trPr>
          <w:trHeight w:hRule="exact" w:val="197"/>
          <w:jc w:val="center"/>
        </w:trPr>
        <w:tc>
          <w:tcPr>
            <w:tcW w:w="3514" w:type="dxa"/>
            <w:tcBorders>
              <w:top w:val="nil"/>
              <w:left w:val="single" w:sz="4" w:space="0" w:color="auto"/>
              <w:bottom w:val="nil"/>
              <w:right w:val="nil"/>
            </w:tcBorders>
            <w:hideMark/>
          </w:tcPr>
          <w:p w14:paraId="45C2702C" w14:textId="77777777" w:rsidR="00CE6FC3" w:rsidRPr="00E14102" w:rsidRDefault="00CE6FC3" w:rsidP="00E14102">
            <w:pPr>
              <w:jc w:val="both"/>
              <w:rPr>
                <w:color w:val="0070C0"/>
                <w:sz w:val="16"/>
                <w:szCs w:val="16"/>
              </w:rPr>
            </w:pPr>
            <w:r w:rsidRPr="00E14102">
              <w:rPr>
                <w:color w:val="0070C0"/>
                <w:sz w:val="16"/>
                <w:szCs w:val="16"/>
              </w:rPr>
              <w:t>Вес пустого (кг)</w:t>
            </w:r>
          </w:p>
        </w:tc>
        <w:tc>
          <w:tcPr>
            <w:tcW w:w="1565" w:type="dxa"/>
            <w:tcBorders>
              <w:top w:val="nil"/>
              <w:left w:val="nil"/>
              <w:bottom w:val="nil"/>
              <w:right w:val="single" w:sz="4" w:space="0" w:color="auto"/>
            </w:tcBorders>
            <w:hideMark/>
          </w:tcPr>
          <w:p w14:paraId="4F561622" w14:textId="77777777" w:rsidR="00CE6FC3" w:rsidRPr="00E14102" w:rsidRDefault="00CE6FC3" w:rsidP="00E14102">
            <w:pPr>
              <w:jc w:val="both"/>
              <w:rPr>
                <w:color w:val="0070C0"/>
                <w:sz w:val="16"/>
                <w:szCs w:val="16"/>
              </w:rPr>
            </w:pPr>
            <w:r w:rsidRPr="00E14102">
              <w:rPr>
                <w:color w:val="0070C0"/>
                <w:sz w:val="16"/>
                <w:szCs w:val="16"/>
              </w:rPr>
              <w:t>559</w:t>
            </w:r>
          </w:p>
        </w:tc>
      </w:tr>
      <w:tr w:rsidR="00CE6FC3" w:rsidRPr="00E14102" w14:paraId="6F1E9365" w14:textId="77777777" w:rsidTr="003D0776">
        <w:trPr>
          <w:trHeight w:hRule="exact" w:val="216"/>
          <w:jc w:val="center"/>
        </w:trPr>
        <w:tc>
          <w:tcPr>
            <w:tcW w:w="3514" w:type="dxa"/>
            <w:tcBorders>
              <w:top w:val="nil"/>
              <w:left w:val="single" w:sz="4" w:space="0" w:color="auto"/>
              <w:bottom w:val="single" w:sz="4" w:space="0" w:color="auto"/>
              <w:right w:val="nil"/>
            </w:tcBorders>
            <w:hideMark/>
          </w:tcPr>
          <w:p w14:paraId="5FF25B99" w14:textId="77777777" w:rsidR="00CE6FC3" w:rsidRPr="00E14102" w:rsidRDefault="00CE6FC3" w:rsidP="00E14102">
            <w:pPr>
              <w:jc w:val="both"/>
              <w:rPr>
                <w:color w:val="0070C0"/>
                <w:sz w:val="16"/>
                <w:szCs w:val="16"/>
              </w:rPr>
            </w:pPr>
            <w:r w:rsidRPr="00E14102">
              <w:rPr>
                <w:color w:val="0070C0"/>
                <w:sz w:val="16"/>
                <w:szCs w:val="16"/>
              </w:rPr>
              <w:t>Полетный вес (кг)</w:t>
            </w:r>
          </w:p>
        </w:tc>
        <w:tc>
          <w:tcPr>
            <w:tcW w:w="1565" w:type="dxa"/>
            <w:tcBorders>
              <w:top w:val="nil"/>
              <w:left w:val="nil"/>
              <w:bottom w:val="single" w:sz="4" w:space="0" w:color="auto"/>
              <w:right w:val="single" w:sz="4" w:space="0" w:color="auto"/>
            </w:tcBorders>
            <w:hideMark/>
          </w:tcPr>
          <w:p w14:paraId="6FB0DD16" w14:textId="77777777" w:rsidR="00CE6FC3" w:rsidRPr="00E14102" w:rsidRDefault="00CE6FC3" w:rsidP="00E14102">
            <w:pPr>
              <w:jc w:val="both"/>
              <w:rPr>
                <w:color w:val="0070C0"/>
                <w:sz w:val="16"/>
                <w:szCs w:val="16"/>
              </w:rPr>
            </w:pPr>
            <w:r w:rsidRPr="00E14102">
              <w:rPr>
                <w:color w:val="0070C0"/>
                <w:sz w:val="16"/>
                <w:szCs w:val="16"/>
              </w:rPr>
              <w:t>798</w:t>
            </w:r>
          </w:p>
        </w:tc>
      </w:tr>
    </w:tbl>
    <w:p w14:paraId="03097405" w14:textId="77777777" w:rsidR="00CE6FC3" w:rsidRPr="00E14102" w:rsidRDefault="00CE6FC3" w:rsidP="00E14102">
      <w:pPr>
        <w:jc w:val="both"/>
        <w:rPr>
          <w:color w:val="0070C0"/>
          <w:sz w:val="16"/>
          <w:szCs w:val="16"/>
        </w:rPr>
      </w:pPr>
      <w:r w:rsidRPr="00E14102">
        <w:rPr>
          <w:color w:val="0070C0"/>
          <w:sz w:val="16"/>
          <w:szCs w:val="16"/>
        </w:rPr>
        <w:t>* Летные характеристики не фиксировались (20361).</w:t>
      </w:r>
    </w:p>
    <w:p w14:paraId="1CB48DB4" w14:textId="77777777" w:rsidR="00CE6FC3" w:rsidRPr="00E14102" w:rsidRDefault="00CE6FC3" w:rsidP="00E14102">
      <w:pPr>
        <w:shd w:val="clear" w:color="auto" w:fill="FFFFFF"/>
        <w:jc w:val="both"/>
        <w:rPr>
          <w:color w:val="0070C0"/>
          <w:sz w:val="16"/>
          <w:szCs w:val="16"/>
        </w:rPr>
      </w:pPr>
    </w:p>
    <w:p w14:paraId="52013A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 прекратили разработку прекратили проекта ЗС-2, в котором самолет собирались вооружить тремя 20-мм пушками (видимо, типа ШВАК). Этот вариант был немного тяжелее пулеметного и, соответственно, получался тихоходнее (12034).</w:t>
      </w:r>
    </w:p>
    <w:p w14:paraId="141E9831" w14:textId="77777777" w:rsidR="00D4105E" w:rsidRPr="00E14102" w:rsidRDefault="00D4105E" w:rsidP="00E14102">
      <w:pPr>
        <w:autoSpaceDE w:val="0"/>
        <w:autoSpaceDN w:val="0"/>
        <w:adjustRightInd w:val="0"/>
        <w:jc w:val="both"/>
        <w:rPr>
          <w:color w:val="000000" w:themeColor="text1"/>
          <w:sz w:val="16"/>
          <w:szCs w:val="16"/>
        </w:rPr>
      </w:pPr>
    </w:p>
    <w:p w14:paraId="74C151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w:t>
      </w:r>
      <w:r w:rsidRPr="00E14102">
        <w:rPr>
          <w:color w:val="000000" w:themeColor="text1"/>
          <w:sz w:val="16"/>
          <w:szCs w:val="16"/>
        </w:rPr>
        <w:softHyphen/>
        <w:t>ле 1935 г. на Р-5 для связи с северными зимовками осуществили перелет из Москвы в Хабаровск. Построили два специальных ЛП-5, обозначаемых также АРК-5, с бор</w:t>
      </w:r>
      <w:r w:rsidRPr="00E14102">
        <w:rPr>
          <w:color w:val="000000" w:themeColor="text1"/>
          <w:sz w:val="16"/>
          <w:szCs w:val="16"/>
        </w:rPr>
        <w:softHyphen/>
        <w:t>товыми номерами СССР-Н67 и СССР-Н68. Они имели несколько измененный по форме фонарь кабины для летчика и одного пассажира, обогреваемой теплым воз</w:t>
      </w:r>
      <w:r w:rsidRPr="00E14102">
        <w:rPr>
          <w:color w:val="000000" w:themeColor="text1"/>
          <w:sz w:val="16"/>
          <w:szCs w:val="16"/>
        </w:rPr>
        <w:softHyphen/>
        <w:t>духом от двигателя, радиостанцию, дополнительные топливные баки, а по бортам фюзеляжа, в виде наплы</w:t>
      </w:r>
      <w:r w:rsidRPr="00E14102">
        <w:rPr>
          <w:color w:val="000000" w:themeColor="text1"/>
          <w:sz w:val="16"/>
          <w:szCs w:val="16"/>
        </w:rPr>
        <w:softHyphen/>
        <w:t>вов на нижнем крыле — контейнеры для грузов (10667).</w:t>
      </w:r>
    </w:p>
    <w:p w14:paraId="37699381" w14:textId="77777777" w:rsidR="00D4105E" w:rsidRPr="00E14102" w:rsidRDefault="00D4105E" w:rsidP="00E14102">
      <w:pPr>
        <w:autoSpaceDE w:val="0"/>
        <w:autoSpaceDN w:val="0"/>
        <w:adjustRightInd w:val="0"/>
        <w:jc w:val="both"/>
        <w:rPr>
          <w:color w:val="000000" w:themeColor="text1"/>
          <w:sz w:val="16"/>
          <w:szCs w:val="16"/>
        </w:rPr>
      </w:pPr>
    </w:p>
    <w:p w14:paraId="684C9F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 на ЛП-5 - Р-5 с закрытыми кабинами - был предпринят перелет из Москвы через Хабаровск, Анадырь к зимовке на мысе Шмидта (5016).</w:t>
      </w:r>
    </w:p>
    <w:p w14:paraId="5E935AFD" w14:textId="77777777" w:rsidR="00D4105E" w:rsidRPr="00E14102" w:rsidRDefault="00D4105E" w:rsidP="00E14102">
      <w:pPr>
        <w:autoSpaceDE w:val="0"/>
        <w:autoSpaceDN w:val="0"/>
        <w:adjustRightInd w:val="0"/>
        <w:jc w:val="both"/>
        <w:rPr>
          <w:color w:val="000000" w:themeColor="text1"/>
          <w:sz w:val="16"/>
          <w:szCs w:val="16"/>
        </w:rPr>
      </w:pPr>
    </w:p>
    <w:p w14:paraId="561694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НТК УВВС утвердила проект ХАИ-5. И.Г.Неман получил КБ на Харьковском авиазаводе в феврале (553,145).</w:t>
      </w:r>
    </w:p>
    <w:p w14:paraId="3B5622E2" w14:textId="77777777" w:rsidR="00D4105E" w:rsidRPr="00E14102" w:rsidRDefault="00D4105E" w:rsidP="00E14102">
      <w:pPr>
        <w:autoSpaceDE w:val="0"/>
        <w:autoSpaceDN w:val="0"/>
        <w:adjustRightInd w:val="0"/>
        <w:jc w:val="both"/>
        <w:rPr>
          <w:color w:val="000000" w:themeColor="text1"/>
          <w:sz w:val="16"/>
          <w:szCs w:val="16"/>
        </w:rPr>
      </w:pPr>
    </w:p>
    <w:p w14:paraId="7284FF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года конструкторы ХАИ, освободившись от проектных работ над СФР, вовсю принялись нагонять конкурентов. Научно-технический комитет ВВС одобрил проект, предложенный Неманом. С успехом прошла макетная комиссия. Но мастерские ХАИ занимались производством самолетов ХАИ-6, и изготовление опытного образца ХАИ-5 с двигателем М-22 разместили в цехах близлежащего завода № 135. Постройка «пятерки» в условиях серийного завода, загруженного производством самолета И-Z и подготовкой к серии пушечного истребителя ИП-1, шла медленно. К тому же постоянно менялось техническое задание. Многое пришлось доделывать, а порой и перекраивать, прежде чем машина обрела жизнь. Особую тревогу испытывал Неман за винтомоторную установку ХАИ-5. Планируемый на самолет мотор М-22 безнадежно устарел, и необходимость в его замене стала очевидна. Но в серийном производстве подходящих двигателей воздушного охлаждения еще не было (11456).</w:t>
      </w:r>
    </w:p>
    <w:p w14:paraId="73453C4B" w14:textId="77777777" w:rsidR="00D4105E" w:rsidRPr="00E14102" w:rsidRDefault="00D4105E" w:rsidP="00E14102">
      <w:pPr>
        <w:autoSpaceDE w:val="0"/>
        <w:autoSpaceDN w:val="0"/>
        <w:adjustRightInd w:val="0"/>
        <w:jc w:val="both"/>
        <w:rPr>
          <w:color w:val="000000" w:themeColor="text1"/>
          <w:sz w:val="16"/>
          <w:szCs w:val="16"/>
        </w:rPr>
      </w:pPr>
    </w:p>
    <w:p w14:paraId="4226FB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(зимой в начале - 80,228) П.О.С. был сделан АНТ-29 ДИП (91,150).</w:t>
      </w:r>
    </w:p>
    <w:p w14:paraId="6C85EAD6" w14:textId="77777777" w:rsidR="00D4105E" w:rsidRPr="00E14102" w:rsidRDefault="00D4105E" w:rsidP="00E14102">
      <w:pPr>
        <w:autoSpaceDE w:val="0"/>
        <w:autoSpaceDN w:val="0"/>
        <w:adjustRightInd w:val="0"/>
        <w:jc w:val="both"/>
        <w:rPr>
          <w:color w:val="000000" w:themeColor="text1"/>
          <w:sz w:val="16"/>
          <w:szCs w:val="16"/>
        </w:rPr>
      </w:pPr>
    </w:p>
    <w:p w14:paraId="688EFB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 в связи с развёртыванием проектных работ по созданию рекордного скоростного самолёта усилился интерес установке на ДИ-7 механической спарки двух М-100. В результате моторному заводу №26 поручили задание на разработку "механической спарки" двигателей М-100 (затем М-103). Позднее работа продолжилась и её результаты воплотились в создании экспериментального самолёта "С" конструкции Болховитинова. Однако к истории И-17 это уже ни коим образом не относилось (9630).</w:t>
      </w:r>
    </w:p>
    <w:p w14:paraId="5056C6C4" w14:textId="77777777" w:rsidR="00D4105E" w:rsidRPr="00E14102" w:rsidRDefault="00D4105E" w:rsidP="00E14102">
      <w:pPr>
        <w:autoSpaceDE w:val="0"/>
        <w:autoSpaceDN w:val="0"/>
        <w:adjustRightInd w:val="0"/>
        <w:jc w:val="both"/>
        <w:rPr>
          <w:color w:val="000000" w:themeColor="text1"/>
          <w:sz w:val="16"/>
          <w:szCs w:val="16"/>
        </w:rPr>
      </w:pPr>
    </w:p>
    <w:p w14:paraId="2C1431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года, когда страсти вокруг “чайки” только накалялись, рассматривался вопрос запуска в серию двухместного истребителя ДИ-б (ЦКБ-11) конструкции С.А.Кочеригина. Именно тогда Кочеригин предложил одноместный вариант ДИ-б, разрабатываемый под обозначением ЦКБ-41. Тот факт, что и ЦКБ-41 особого интереса не вызывал, подтверждает выбор ВВС в пользу моноплана И-16 (6593).</w:t>
      </w:r>
    </w:p>
    <w:p w14:paraId="1DAEB136" w14:textId="77777777" w:rsidR="00D4105E" w:rsidRPr="00E14102" w:rsidRDefault="00D4105E" w:rsidP="00E14102">
      <w:pPr>
        <w:autoSpaceDE w:val="0"/>
        <w:autoSpaceDN w:val="0"/>
        <w:adjustRightInd w:val="0"/>
        <w:jc w:val="both"/>
        <w:rPr>
          <w:color w:val="000000" w:themeColor="text1"/>
          <w:sz w:val="16"/>
          <w:szCs w:val="16"/>
        </w:rPr>
      </w:pPr>
    </w:p>
    <w:p w14:paraId="51D12A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 на московском авиазаводе № 39 изготовили модифицированный истребитель И-15. Самолет получил обозначение ЦКБ-3 № 7 (№ 33907). На нем установили привычный бипланный центроплан с усиленными стальными стыковыми нервюрами. Крепление к фюзеляжу осуществлялось И-образными стойками. Изменилась проводка управления элеронами, сами элероны получили дополнительные усиления для уменьшения вибраций. Кроме того, двигатель М-25 оборудовали коллектором выхлопных газов и инерционным самопуском (6593).</w:t>
      </w:r>
    </w:p>
    <w:p w14:paraId="6061E230" w14:textId="77777777" w:rsidR="00D4105E" w:rsidRPr="00E14102" w:rsidRDefault="00D4105E" w:rsidP="00E14102">
      <w:pPr>
        <w:autoSpaceDE w:val="0"/>
        <w:autoSpaceDN w:val="0"/>
        <w:adjustRightInd w:val="0"/>
        <w:jc w:val="both"/>
        <w:rPr>
          <w:color w:val="000000" w:themeColor="text1"/>
          <w:sz w:val="16"/>
          <w:szCs w:val="16"/>
        </w:rPr>
      </w:pPr>
    </w:p>
    <w:p w14:paraId="262F2E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начала 1935 г. Н.Н.П считал, что параллельно с работами по совершенствова</w:t>
      </w:r>
      <w:r w:rsidRPr="00E14102">
        <w:rPr>
          <w:color w:val="000000" w:themeColor="text1"/>
          <w:sz w:val="16"/>
          <w:szCs w:val="16"/>
        </w:rPr>
        <w:softHyphen/>
        <w:t>нию И-16 необходимо заниматься проектированием но</w:t>
      </w:r>
      <w:r w:rsidRPr="00E14102">
        <w:rPr>
          <w:color w:val="000000" w:themeColor="text1"/>
          <w:sz w:val="16"/>
          <w:szCs w:val="16"/>
        </w:rPr>
        <w:softHyphen/>
        <w:t>вого боевого самолета и на раннем этапе вести эти работы под флагом модернизации истребителя И-16. В марте 1935 г. в плане бригады № 2 ЦКБ мы видим довод</w:t>
      </w:r>
      <w:r w:rsidRPr="00E14102">
        <w:rPr>
          <w:color w:val="000000" w:themeColor="text1"/>
          <w:sz w:val="16"/>
          <w:szCs w:val="16"/>
        </w:rPr>
        <w:softHyphen/>
        <w:t>ку истребителя И-16 с моторами М-22 и Райт “Циклон” Р-3, проектирование его модификации с мотором М-58. Но там же присутствуют и первые новые разработки, пока еще ведущиеся под видом модернизации И-16: ЦКБ-29 с двигателем Гном-Рон К-9, ЦКБ-25 с более мощным Гном-Рон К-14кг§с1. Последний проект представлял собой уже совершенно новую машину, с иными параметрами, геометрическими размерами. Первоначально ЦКБ-25 имел обозначение И-19, затем И-20. Эскизный проект этого истребителя-моноплана закончили в феврале 1935 г. Мотор Гном-Рон К-14 раз</w:t>
      </w:r>
      <w:r w:rsidRPr="00E14102">
        <w:rPr>
          <w:color w:val="000000" w:themeColor="text1"/>
          <w:sz w:val="16"/>
          <w:szCs w:val="16"/>
        </w:rPr>
        <w:softHyphen/>
        <w:t>вивал у земли максимальную мощность 670 л.с., на вы</w:t>
      </w:r>
      <w:r w:rsidRPr="00E14102">
        <w:rPr>
          <w:color w:val="000000" w:themeColor="text1"/>
          <w:sz w:val="16"/>
          <w:szCs w:val="16"/>
        </w:rPr>
        <w:softHyphen/>
        <w:t>соте 3740 м - 770 л.с. Длина самолета равнялась 6,6 м, размах -Юм. Вес пустого истребителя составлял 1280 кг, полетный вес - 1740 кг. Вооружение: два пулемета ШКАС в крыле. Предусматривалась установка четырех пулеметов ШКАС в крыле и подвеска 100 кг бомб. Пото</w:t>
      </w:r>
      <w:r w:rsidRPr="00E14102">
        <w:rPr>
          <w:color w:val="000000" w:themeColor="text1"/>
          <w:sz w:val="16"/>
          <w:szCs w:val="16"/>
        </w:rPr>
        <w:softHyphen/>
        <w:t>лок-10000 м (10667).</w:t>
      </w:r>
    </w:p>
    <w:p w14:paraId="7B1776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E2C1D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появился И-15бис (67,114).</w:t>
      </w:r>
    </w:p>
    <w:p w14:paraId="0D67F6EE" w14:textId="77777777" w:rsidR="00D4105E" w:rsidRPr="00E14102" w:rsidRDefault="00D4105E" w:rsidP="00E14102">
      <w:pPr>
        <w:autoSpaceDE w:val="0"/>
        <w:autoSpaceDN w:val="0"/>
        <w:adjustRightInd w:val="0"/>
        <w:jc w:val="both"/>
        <w:rPr>
          <w:color w:val="000000" w:themeColor="text1"/>
          <w:sz w:val="16"/>
          <w:szCs w:val="16"/>
        </w:rPr>
      </w:pPr>
    </w:p>
    <w:p w14:paraId="6878C9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начале 1935 г. на московском авиазаводе № 39 изготовили модифицированный истребитель ЦКБ-3 без чайки. Самолет получил обозначение ЦКБ-3 №7 (№ 33907). На нем установили привычный бипланный центроплан с усиленными стальными стыковыми нервюрами. Крепление к фюзеляжу осуществлялось И-образными стойками. Изменилась проводка управления элеронами, сами элероны получили дополнительные усиления для уменьшения вибраций. Кроме того, двигатель М-25 оборудовали коллектором выхлопных газов и инерционным самопуском (12014).</w:t>
      </w:r>
    </w:p>
    <w:p w14:paraId="7CC5C139" w14:textId="77777777" w:rsidR="00D4105E" w:rsidRPr="00E14102" w:rsidRDefault="00D4105E" w:rsidP="00E14102">
      <w:pPr>
        <w:autoSpaceDE w:val="0"/>
        <w:autoSpaceDN w:val="0"/>
        <w:adjustRightInd w:val="0"/>
        <w:jc w:val="both"/>
        <w:rPr>
          <w:color w:val="000000" w:themeColor="text1"/>
          <w:sz w:val="16"/>
          <w:szCs w:val="16"/>
        </w:rPr>
      </w:pPr>
    </w:p>
    <w:p w14:paraId="4992AF2D" w14:textId="77777777" w:rsidR="00F76F85" w:rsidRPr="00E14102" w:rsidRDefault="00F76F85"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В начале 1935</w:t>
      </w:r>
      <w:r w:rsidRPr="00E14102">
        <w:rPr>
          <w:rStyle w:val="75pt"/>
          <w:color w:val="000000" w:themeColor="text1"/>
          <w:sz w:val="16"/>
          <w:szCs w:val="16"/>
        </w:rPr>
        <w:t xml:space="preserve"> г.</w:t>
      </w:r>
      <w:r w:rsidRPr="00E14102">
        <w:rPr>
          <w:color w:val="000000" w:themeColor="text1"/>
          <w:sz w:val="16"/>
          <w:szCs w:val="16"/>
        </w:rPr>
        <w:t xml:space="preserve"> на авиазаво</w:t>
      </w:r>
      <w:r w:rsidRPr="00E14102">
        <w:rPr>
          <w:color w:val="000000" w:themeColor="text1"/>
          <w:sz w:val="16"/>
          <w:szCs w:val="16"/>
        </w:rPr>
        <w:softHyphen/>
        <w:t>де № 39 изготовили модифицированный истребитель - с крылом без чай</w:t>
      </w:r>
      <w:r w:rsidRPr="00E14102">
        <w:rPr>
          <w:color w:val="000000" w:themeColor="text1"/>
          <w:sz w:val="16"/>
          <w:szCs w:val="16"/>
        </w:rPr>
        <w:tab/>
        <w:t>ки. Самолет получил обозначение ЦКБ-3 № 7 (№ 33907). На нем установили привычный бипланный цен</w:t>
      </w:r>
      <w:r w:rsidRPr="00E14102">
        <w:rPr>
          <w:color w:val="000000" w:themeColor="text1"/>
          <w:sz w:val="16"/>
          <w:szCs w:val="16"/>
        </w:rPr>
        <w:softHyphen/>
        <w:t>троплан с усиленными стальными стыковыми нервюрами. Кре</w:t>
      </w:r>
      <w:r w:rsidRPr="00E14102">
        <w:rPr>
          <w:color w:val="000000" w:themeColor="text1"/>
          <w:sz w:val="16"/>
          <w:szCs w:val="16"/>
        </w:rPr>
        <w:softHyphen/>
        <w:t>пление к фюзеляжу осуществлялось И-образными стойками. Изменилась проводка управления элеронами, сами элероны были усилены для уменьшения вибраций. Кроме того, двига</w:t>
      </w:r>
      <w:r w:rsidRPr="00E14102">
        <w:rPr>
          <w:color w:val="000000" w:themeColor="text1"/>
          <w:sz w:val="16"/>
          <w:szCs w:val="16"/>
        </w:rPr>
        <w:softHyphen/>
        <w:t>тель М-25 оборудовали коллектором выхлопных газов и инер</w:t>
      </w:r>
      <w:r w:rsidRPr="00E14102">
        <w:rPr>
          <w:color w:val="000000" w:themeColor="text1"/>
          <w:sz w:val="16"/>
          <w:szCs w:val="16"/>
        </w:rPr>
        <w:softHyphen/>
        <w:t>ционным самопуском (19107).</w:t>
      </w:r>
    </w:p>
    <w:p w14:paraId="1B573AC6" w14:textId="77777777" w:rsidR="00F76F85" w:rsidRPr="00E14102" w:rsidRDefault="00F76F85" w:rsidP="00E14102">
      <w:pPr>
        <w:pStyle w:val="24"/>
        <w:shd w:val="clear" w:color="auto" w:fill="auto"/>
        <w:spacing w:after="0" w:line="240" w:lineRule="auto"/>
        <w:ind w:firstLine="0"/>
        <w:jc w:val="both"/>
        <w:rPr>
          <w:color w:val="000000" w:themeColor="text1"/>
          <w:sz w:val="16"/>
          <w:szCs w:val="16"/>
        </w:rPr>
      </w:pPr>
    </w:p>
    <w:p w14:paraId="7C7687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года, когда страсти вокруг "чайки" только накалялись, рассматривался вопрос запуска в серию двухместного истребителя ДИ-6 (ЦКБ-11) конструкции С.А. Кочеригина. Помимо двухместной машины Кочеригин предлагал тогда и ее одноместный вариант, разрабатываемый под обозначением ЦКБ-41. Тот факт, что и ЦКБ-41 особого интереса не вызвал, лишь подтверждает выбор ВВС в пользу моноплана И-16. Таким образом, история советских истребителей-бипланов могла закончиться еще в 1935 году. Впрочем, судьбе было угодно, чтобы она продолжилась и этому способствовали новые обстоятельства (12014).</w:t>
      </w:r>
    </w:p>
    <w:p w14:paraId="6A2DEED1" w14:textId="77777777" w:rsidR="00D4105E" w:rsidRPr="00E14102" w:rsidRDefault="00D4105E" w:rsidP="00E14102">
      <w:pPr>
        <w:autoSpaceDE w:val="0"/>
        <w:autoSpaceDN w:val="0"/>
        <w:adjustRightInd w:val="0"/>
        <w:jc w:val="both"/>
        <w:rPr>
          <w:color w:val="000000" w:themeColor="text1"/>
          <w:sz w:val="16"/>
          <w:szCs w:val="16"/>
        </w:rPr>
      </w:pPr>
    </w:p>
    <w:p w14:paraId="7F2FBDC9" w14:textId="77777777" w:rsidR="00C464A1" w:rsidRPr="00E14102" w:rsidRDefault="00C464A1" w:rsidP="00E14102">
      <w:pPr>
        <w:jc w:val="both"/>
        <w:rPr>
          <w:color w:val="000000" w:themeColor="text1"/>
          <w:sz w:val="16"/>
          <w:szCs w:val="16"/>
        </w:rPr>
      </w:pPr>
      <w:r w:rsidRPr="00E14102">
        <w:rPr>
          <w:color w:val="000000" w:themeColor="text1"/>
          <w:sz w:val="16"/>
          <w:szCs w:val="16"/>
        </w:rPr>
        <w:t>В начале 1935 г., когда страсти вокруг «чайки» только накалялись, рас-сматривался вопрос о запуске в серию двухместного истребителя ДИ-6 (ЦКБ-11) конструкции С.А. Кочеригина. Помимо двухместной машины, Кочеригин пред-лагал и её одноместный вариант под обозначением ЦКБ-41. Тот факт, что и ЦКБ-41 особого интереса не вызвал, лишь подтверждает выбор ВВС в пользу моноплана И-16. Таким образом, история советских истребителей-бипланов могла закончиться ещё в 1935 г. (12261).</w:t>
      </w:r>
    </w:p>
    <w:p w14:paraId="6590BD81" w14:textId="77777777" w:rsidR="00C464A1" w:rsidRPr="00E14102" w:rsidRDefault="00C464A1" w:rsidP="00E14102">
      <w:pPr>
        <w:jc w:val="both"/>
        <w:rPr>
          <w:color w:val="000000" w:themeColor="text1"/>
          <w:sz w:val="16"/>
          <w:szCs w:val="16"/>
        </w:rPr>
      </w:pPr>
    </w:p>
    <w:p w14:paraId="7CC2F6DE" w14:textId="77777777" w:rsidR="00C464A1" w:rsidRPr="00E14102" w:rsidRDefault="00C464A1" w:rsidP="00E14102">
      <w:pPr>
        <w:jc w:val="both"/>
        <w:rPr>
          <w:color w:val="000000" w:themeColor="text1"/>
          <w:sz w:val="16"/>
          <w:szCs w:val="16"/>
        </w:rPr>
      </w:pPr>
      <w:r w:rsidRPr="00E14102">
        <w:rPr>
          <w:color w:val="000000" w:themeColor="text1"/>
          <w:sz w:val="16"/>
          <w:szCs w:val="16"/>
        </w:rPr>
        <w:t>В начале 1935 г. модифицированный истребитель ЦКБ-3 изготовили на заводе № 39. Он получил обозначение ЦКБ-3 № 7 (он же № 33907). На нём установили привычный бипланный центроплан с усиленными стальными стыковыми нервюрами. Крепление его к фюзеляжу осуществлялось И-образными стойками. Изменилась проводка управления элеронами, сами элероны дополнительно усилили, чтобы уменьшить вибрации. Двигатель М-25 оборудовали коллектором выхлопных газов и инерционным самопуском. Заводские испытания ЦКБ-3 №7 начались в марте. Летали Чкалов, Коккинаки, Николаев. Лётные характеристики самолёта в основном остались на прежнем уровне. Несколько снизилась скороподъёмность, максимальная скорость составила 367 км/ч на высоте 3000 м, что соответствовало максимальной скорости машины с «чайкой». Время виража на высоте 1000 м увеличилось и составило 9,36 с. Однако главная цель считалась достигнутой, о чём свидетельствовали заключения лётчиков-испытателей. «На основании проведённого испытания можно утверждать, что самолёт ЦКБ-3 с нормальным центропланом во многом превосходит самолёт с «чайкой», - писалВ.П. Чкалов. «Устойчивость пути самолёта можно считать полностью достигнутой. При определении устойчивости замечено, что вертикальное оперение самолёта имеется с большим запасом, чего не было на самолёте с «чайкой». Обзор вперёд и вверх значительно улучшился. Несколько изменилось зрительное впечатление о манёвренности благодаря тому, что капоты от кабины лётчика до мотора имеют прямую линию и поэтому нос кажется удлинённым. При полученных данных скорости, скороподъёмности, манёвренности и хорошей устойчивости пути, которой добились, применив нормальный центроплан, считаю необходи-мым в дальнейшем прекратить постройку самолётов с «чайкой», - В.К. Коккинаки (12261).</w:t>
      </w:r>
    </w:p>
    <w:p w14:paraId="5E85B043" w14:textId="77777777" w:rsidR="00C464A1" w:rsidRPr="00E14102" w:rsidRDefault="00C464A1" w:rsidP="00E14102">
      <w:pPr>
        <w:jc w:val="both"/>
        <w:rPr>
          <w:color w:val="000000" w:themeColor="text1"/>
          <w:sz w:val="16"/>
          <w:szCs w:val="16"/>
        </w:rPr>
      </w:pPr>
    </w:p>
    <w:p w14:paraId="49C7DF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проект Г-38 (ЛК-2) переделали в 3 местный тяжелый истребитель и легкий бомбардировщик, способный бомбардировать с пикирования (80,244). Провозились до 1936, когда он уже устарел, но все же как двухбалочный был раньше, чем к Фоккера (92,495).</w:t>
      </w:r>
    </w:p>
    <w:p w14:paraId="13E42636" w14:textId="77777777" w:rsidR="00D4105E" w:rsidRPr="00E14102" w:rsidRDefault="00D4105E" w:rsidP="00E14102">
      <w:pPr>
        <w:autoSpaceDE w:val="0"/>
        <w:autoSpaceDN w:val="0"/>
        <w:adjustRightInd w:val="0"/>
        <w:jc w:val="both"/>
        <w:rPr>
          <w:color w:val="000000" w:themeColor="text1"/>
          <w:sz w:val="16"/>
          <w:szCs w:val="16"/>
        </w:rPr>
      </w:pPr>
    </w:p>
    <w:p w14:paraId="329AA1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года ООК приступил к испытанию модифицированной машины (5-ЭА). Летные испытания этой машины, которые проводили в 1935-1936 гг. показали достаточно удовлетворительные результаты этой модификации и значительное превосходство в смысле устойчивости этой машины над первым аппаратом. С модифицированным аппаратом 5-ЭА провели 173 испытания, из них свободных полетов воздухе – 32 (3849,13).</w:t>
      </w:r>
    </w:p>
    <w:p w14:paraId="71433021" w14:textId="77777777" w:rsidR="00D4105E" w:rsidRPr="00E14102" w:rsidRDefault="00D4105E" w:rsidP="00E14102">
      <w:pPr>
        <w:autoSpaceDE w:val="0"/>
        <w:autoSpaceDN w:val="0"/>
        <w:adjustRightInd w:val="0"/>
        <w:jc w:val="both"/>
        <w:rPr>
          <w:color w:val="000000" w:themeColor="text1"/>
          <w:sz w:val="16"/>
          <w:szCs w:val="16"/>
        </w:rPr>
      </w:pPr>
    </w:p>
    <w:p w14:paraId="10022669" w14:textId="77777777" w:rsidR="00CE6FC3" w:rsidRPr="00E14102" w:rsidRDefault="00CE6FC3" w:rsidP="00E14102">
      <w:pPr>
        <w:jc w:val="both"/>
        <w:rPr>
          <w:color w:val="0070C0"/>
          <w:sz w:val="16"/>
          <w:szCs w:val="16"/>
        </w:rPr>
      </w:pPr>
      <w:r w:rsidRPr="00E14102">
        <w:rPr>
          <w:color w:val="0070C0"/>
          <w:sz w:val="16"/>
          <w:szCs w:val="16"/>
        </w:rPr>
        <w:t>В начале 1935 г. в Ленинградском филиале ЭИ НКТП, где велись работы по постройке стратопланера со сроком готовности в ноябре 1935 г., изготовили и испытали герметическую двухместную кабину планера. В нижней части оболочки предусмотрели специальную раму, к которой крепились крылья планера. Подвес</w:t>
      </w:r>
      <w:r w:rsidRPr="00E14102">
        <w:rPr>
          <w:color w:val="0070C0"/>
          <w:sz w:val="16"/>
          <w:szCs w:val="16"/>
        </w:rPr>
        <w:softHyphen/>
        <w:t>ную систему разместили внутри оболочки. Ап</w:t>
      </w:r>
      <w:r w:rsidRPr="00E14102">
        <w:rPr>
          <w:color w:val="0070C0"/>
          <w:sz w:val="16"/>
          <w:szCs w:val="16"/>
        </w:rPr>
        <w:softHyphen/>
        <w:t>парат, получивший индекс Г-65, реализован не был. В 1939 г. П.И. Гроховский внёс последний штрих в проект стратопланера, снабдив его реак</w:t>
      </w:r>
      <w:r w:rsidRPr="00E14102">
        <w:rPr>
          <w:color w:val="0070C0"/>
          <w:sz w:val="16"/>
          <w:szCs w:val="16"/>
        </w:rPr>
        <w:softHyphen/>
        <w:t>тивным двигателем (20120).</w:t>
      </w:r>
    </w:p>
    <w:p w14:paraId="3D884D22" w14:textId="77777777" w:rsidR="00CE6FC3" w:rsidRPr="00E14102" w:rsidRDefault="00CE6FC3" w:rsidP="00E14102">
      <w:pPr>
        <w:jc w:val="both"/>
        <w:rPr>
          <w:color w:val="0070C0"/>
          <w:sz w:val="16"/>
          <w:szCs w:val="16"/>
        </w:rPr>
      </w:pPr>
    </w:p>
    <w:p w14:paraId="399A47D1" w14:textId="77777777" w:rsidR="00F76F85" w:rsidRPr="00E14102" w:rsidRDefault="00F76F85"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 начала 1935 г. к списку эксплуатантов АИР-6 добавились Уральское, Западно-Сибирское и Северо-Казахское управления. Так, с августа два АИР-6 работали на местной линии Ойрот- Тура - Новосибирск. В конце 1935 г. летчик Н. Бенкунский и техник Г. Бакланов в Иркутске собрали прибывший по железной дороге АИР-6 и перегнали его в Якутск.</w:t>
      </w:r>
    </w:p>
    <w:p w14:paraId="6EC1F111" w14:textId="77777777" w:rsidR="00F76F85" w:rsidRPr="00E14102" w:rsidRDefault="00F76F85"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Самолет считался неприхотливым и простым в эксплуатации. Мотор М-11В позволял использовать чистый грозненский бензин невысокого качества. Масло ААС также стоило недорого. Полотно постоянно подкрашивали, а раз в год самолет заново покрывали аэролаком, чтобы сохранить натяжение ткани.</w:t>
      </w:r>
    </w:p>
    <w:p w14:paraId="214A18B5" w14:textId="77777777" w:rsidR="00F76F85" w:rsidRPr="00E14102" w:rsidRDefault="00F76F85"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Летом летали на колесах, в конце осени машины переставляли на лыжи. Деревянные лыжи для улучшения скольжения и для защиты от примерзания смолили, а затем покрывали слоем мази для спортивных лыж. Пол в ангаре, который не отапливали, засыпали снегом, чтобы самолет легче выкатывался наружу. На зиму проводили утепление маслобака и магистралей, меняли летние жиклеры в карбюраторе на зимние. В холода мотор укрывали теплым чехлом.</w:t>
      </w:r>
    </w:p>
    <w:p w14:paraId="32A2913A" w14:textId="77777777" w:rsidR="00F76F85" w:rsidRPr="00E14102" w:rsidRDefault="00F76F85"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Уровень аварийности для АИР-6 был невысок. Например, за 1937 г. зафиксировали всего одну аварию с машиной этого типа, причем пострадавший самолет отремонтировали (19099).</w:t>
      </w:r>
    </w:p>
    <w:p w14:paraId="21AA1DC3" w14:textId="77777777" w:rsidR="00F76F85" w:rsidRPr="00E14102" w:rsidRDefault="00F76F85" w:rsidP="00E14102">
      <w:pPr>
        <w:pStyle w:val="aa"/>
        <w:jc w:val="both"/>
        <w:rPr>
          <w:rFonts w:ascii="Times New Roman" w:hAnsi="Times New Roman" w:cs="Times New Roman"/>
          <w:color w:val="000000" w:themeColor="text1"/>
          <w:sz w:val="16"/>
          <w:szCs w:val="16"/>
          <w:lang w:val="ru-RU"/>
        </w:rPr>
      </w:pPr>
    </w:p>
    <w:p w14:paraId="164484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была подготовлена справка:</w:t>
      </w:r>
    </w:p>
    <w:p w14:paraId="5D9A1B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 по докладу ГУАПа о выполнении производственной программы 1934 года</w:t>
      </w:r>
    </w:p>
    <w:p w14:paraId="7C3004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 самолетам</w:t>
      </w:r>
    </w:p>
    <w:p w14:paraId="592517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Общая программа по самолетам выполнена на 99,3%.</w:t>
      </w:r>
    </w:p>
    <w:p w14:paraId="7EF59D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выполнена программа:</w:t>
      </w:r>
    </w:p>
    <w:p w14:paraId="2FA897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 новым истребителям (И-14, И-15, И-16).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E3599D" w:rsidRPr="00E14102" w14:paraId="6D59BA32" w14:textId="77777777">
        <w:tc>
          <w:tcPr>
            <w:tcW w:w="5635" w:type="dxa"/>
          </w:tcPr>
          <w:p w14:paraId="71D5C0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Требовалось сдать</w:t>
            </w:r>
          </w:p>
        </w:tc>
        <w:tc>
          <w:tcPr>
            <w:tcW w:w="5635" w:type="dxa"/>
          </w:tcPr>
          <w:p w14:paraId="303E9E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Сдано</w:t>
            </w:r>
          </w:p>
        </w:tc>
      </w:tr>
      <w:tr w:rsidR="00E3599D" w:rsidRPr="00E14102" w14:paraId="5170A4F3" w14:textId="77777777">
        <w:tc>
          <w:tcPr>
            <w:tcW w:w="5635" w:type="dxa"/>
          </w:tcPr>
          <w:p w14:paraId="2648F3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 – 30 самолетов</w:t>
            </w:r>
          </w:p>
        </w:tc>
        <w:tc>
          <w:tcPr>
            <w:tcW w:w="5635" w:type="dxa"/>
          </w:tcPr>
          <w:p w14:paraId="57A78A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 (завод № 125 Иркутск)</w:t>
            </w:r>
          </w:p>
        </w:tc>
      </w:tr>
      <w:tr w:rsidR="00E3599D" w:rsidRPr="00E14102" w14:paraId="7EC72828" w14:textId="77777777">
        <w:tc>
          <w:tcPr>
            <w:tcW w:w="5635" w:type="dxa"/>
          </w:tcPr>
          <w:p w14:paraId="6974F2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 – 150 самолетов</w:t>
            </w:r>
          </w:p>
        </w:tc>
        <w:tc>
          <w:tcPr>
            <w:tcW w:w="5635" w:type="dxa"/>
          </w:tcPr>
          <w:p w14:paraId="4681DB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133 (заводы №№ 1 и 39)</w:t>
            </w:r>
          </w:p>
        </w:tc>
      </w:tr>
      <w:tr w:rsidR="00E3599D" w:rsidRPr="00E14102" w14:paraId="4B7749C6" w14:textId="77777777">
        <w:tc>
          <w:tcPr>
            <w:tcW w:w="5635" w:type="dxa"/>
          </w:tcPr>
          <w:p w14:paraId="395C8B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 – 275 самолетов</w:t>
            </w:r>
          </w:p>
        </w:tc>
        <w:tc>
          <w:tcPr>
            <w:tcW w:w="5635" w:type="dxa"/>
          </w:tcPr>
          <w:p w14:paraId="2E5344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125 (заводы №№ 21 и 39)</w:t>
            </w:r>
          </w:p>
        </w:tc>
      </w:tr>
    </w:tbl>
    <w:p w14:paraId="3A560D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СТО № К-189сс предложено сдать весь недодел по новым истребителям в I квартале 1935 года сверх годового плана.</w:t>
      </w:r>
    </w:p>
    <w:p w14:paraId="123E35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 бомбовозам ТБ-3 с М-34Р и М-34РН</w:t>
      </w:r>
    </w:p>
    <w:p w14:paraId="7791DB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Первоначально подлежало сдаче 95 самолетов ТБ-3-4М34Р и 100 самолетов ТБ3-4М34РН. Впоследствии (постановление СТО № К-7сс от 13 января 1934 года) было предложено НКО принять в счет плана 1934 года 40 штук ТБ3-М34 по старому образцу.</w:t>
      </w:r>
    </w:p>
    <w:p w14:paraId="3195BF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Фактически ГУАПом изготовлено:</w:t>
      </w:r>
    </w:p>
    <w:p w14:paraId="58E199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 – 41 машина</w:t>
      </w:r>
    </w:p>
    <w:p w14:paraId="61D430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ТБ3-М34Р – 150 машин (на 65 машин отсутствует вооружение)</w:t>
      </w:r>
    </w:p>
    <w:p w14:paraId="244E7D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ТБ3-М34РН - 0 машин</w:t>
      </w:r>
    </w:p>
    <w:p w14:paraId="7240BE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ТБ3-М17 – 13 машин (заводы №№ 39 и 18)</w:t>
      </w:r>
    </w:p>
    <w:p w14:paraId="38DF5E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утверждении плана заказов на 1935 год предложено НКТП сдать весь недодел по ТБ3-М34Р, сверх нового заказа на 1935 год.</w:t>
      </w:r>
    </w:p>
    <w:p w14:paraId="6C4C0B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ТБ3-М34РН в количестве 5 первых единиц заканчиваются строительством и будут сданы в ближайшее время.</w:t>
      </w:r>
    </w:p>
    <w:p w14:paraId="3C4F83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Несданные 1-м заводом 49 торпедоносцев сдаются в январе-феврале. Алкснис получил санкцию наркома обороны на оплату этих самолетов.</w:t>
      </w:r>
    </w:p>
    <w:p w14:paraId="51617C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По РД имеется решение КО от 19 декабря 1934 года, по которому завод № 18 обязан доделать и сдать 25 самолетов РД в 1935 году. Одновременно признано необходимым перейти к производству варианта дальнего бомбардировщика с двумя моторами К-14. Проект постановления СТО, представленный НКТП на заключение в НКО.</w:t>
      </w:r>
    </w:p>
    <w:p w14:paraId="23E7A6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По МДР-4 – первый образец, изготовленный ЦАГИ, разбит при испытаниях. Второй экземпляр также обнаружил ряд недочетов, до устранения которых завод № 31 не может начать производство этой машины.</w:t>
      </w:r>
    </w:p>
    <w:p w14:paraId="08DCC0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По ЛР – опытная машина прошла испытания, завод № 22 готовится к производству серийного заказа.</w:t>
      </w:r>
    </w:p>
    <w:p w14:paraId="17C106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ж) МК – машина не прошла еще госиспытаний.</w:t>
      </w:r>
    </w:p>
    <w:p w14:paraId="6327CF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 моторам.</w:t>
      </w:r>
    </w:p>
    <w:p w14:paraId="094909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Общая программа выполнена с превышением. Исключение представляет М34-РН и РЦ. По программе 1934 года следовало изготовить 430 моторов М34 РН и собрать на заводе № 19 – 50 штук моторов РЦ. По мотору М34РН сделано только 14 единиц. По РЦ – не собрано ни одного мотора (4039, 43-44).</w:t>
      </w:r>
    </w:p>
    <w:p w14:paraId="520AD4B8" w14:textId="77777777" w:rsidR="00D4105E" w:rsidRPr="00E14102" w:rsidRDefault="00D4105E" w:rsidP="00E14102">
      <w:pPr>
        <w:autoSpaceDE w:val="0"/>
        <w:autoSpaceDN w:val="0"/>
        <w:adjustRightInd w:val="0"/>
        <w:jc w:val="both"/>
        <w:rPr>
          <w:color w:val="000000" w:themeColor="text1"/>
          <w:sz w:val="16"/>
          <w:szCs w:val="16"/>
        </w:rPr>
      </w:pPr>
    </w:p>
    <w:p w14:paraId="048F745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начале 1935 г. л Благина назначили ведущим лётчиком-испытателем ещё по двум само</w:t>
      </w:r>
      <w:r w:rsidRPr="00E14102">
        <w:rPr>
          <w:color w:val="000000" w:themeColor="text1"/>
          <w:sz w:val="16"/>
          <w:szCs w:val="16"/>
        </w:rPr>
        <w:softHyphen/>
        <w:t>лётам. 14 февраля 1935 г. он впервые поднял в воздух АНТ-29 (ДИП — двухмоторный истребитель пушечный). У В.Б. Шаврова фамилия Благина стыдливо не упомянута, а в написанной по заводским материалам книге «Самолеты ОКБ А.Н.Туполева» (Ригмант В.Г. Самолеты ОКБ А.Н. Туполева. М., 2001. С. 35, 48) указан только лётчик-испытатель С.А. Корзинщиков. Но это не так: в начале 1935 г. на ДИПе сначала летал Благин, и только после четырех полётов самолёт возвратили на завод на доработку, а в конце 1935 г. испытания продолжил Корзинщиков. Развитием АНТ-20 «МГ» еще больших размеров должен был стать 12-моторный супергигант АНТ-26/28 (ТБ-6) с размахом крыльев до 95 м. Сначала построили двухместную геометрически по</w:t>
      </w:r>
      <w:r w:rsidRPr="00E14102">
        <w:rPr>
          <w:color w:val="000000" w:themeColor="text1"/>
          <w:sz w:val="16"/>
          <w:szCs w:val="16"/>
        </w:rPr>
        <w:softHyphen/>
        <w:t>добную модель-планер с размахом крыльев около 20 м. Ведущим лётчиком-испытате</w:t>
      </w:r>
      <w:r w:rsidRPr="00E14102">
        <w:rPr>
          <w:color w:val="000000" w:themeColor="text1"/>
          <w:sz w:val="16"/>
          <w:szCs w:val="16"/>
        </w:rPr>
        <w:softHyphen/>
        <w:t>лем планера тоже назначили Н.П. Благина, он и начал лётные испытания, предвари</w:t>
      </w:r>
      <w:r w:rsidRPr="00E14102">
        <w:rPr>
          <w:color w:val="000000" w:themeColor="text1"/>
          <w:sz w:val="16"/>
          <w:szCs w:val="16"/>
        </w:rPr>
        <w:softHyphen/>
        <w:t>тельно освоив полёты на планере БП-2. И опять в книгах В.Б. Шаврова и В.Г. Ригманта летавшим на планере ТБ-6 указан лишь Б.Н. Кудрин, на самом деле лишь продолжив</w:t>
      </w:r>
      <w:r w:rsidRPr="00E14102">
        <w:rPr>
          <w:color w:val="000000" w:themeColor="text1"/>
          <w:sz w:val="16"/>
          <w:szCs w:val="16"/>
        </w:rPr>
        <w:softHyphen/>
        <w:t>ший испытания после гибели Благина. Очевидно, что и «Заводские хроники...» после катастрофы подверглись «редактированию» (11696).</w:t>
      </w:r>
    </w:p>
    <w:p w14:paraId="0E6F94E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9B07D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Л.В.К., поссорившийся с Д.П.Г., который ушел на 133 завод на краю ЦА, стал организовывать собственный авиаотдел и пригласил в т.ч. и В.Б.Ш., который занимался Ш-3, и Б.И.Ч., который начал разрабатывать БИЧ-17 (2693,17).</w:t>
      </w:r>
    </w:p>
    <w:p w14:paraId="32DB80F4" w14:textId="77777777" w:rsidR="00D4105E" w:rsidRPr="00E14102" w:rsidRDefault="00D4105E" w:rsidP="00E14102">
      <w:pPr>
        <w:autoSpaceDE w:val="0"/>
        <w:autoSpaceDN w:val="0"/>
        <w:adjustRightInd w:val="0"/>
        <w:jc w:val="both"/>
        <w:rPr>
          <w:color w:val="000000" w:themeColor="text1"/>
          <w:sz w:val="16"/>
          <w:szCs w:val="16"/>
        </w:rPr>
      </w:pPr>
    </w:p>
    <w:p w14:paraId="29EEEF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 (возможно, это произошло и несколько позже) конструкторское бюро Д.П.Г. после конфликта с Курчевским перевели как отдельное подразделение на завод № 1 и выделили производственную базу на окраине Ходынки, в бывших ремонтных мастерских, которые стали именовать заводом № 133. Конструкторское бюро Григоровича далее стало именоваться Особым конструкторским управлением (ОКУ); иногда использовалось написание ОКУ-133 (12005).</w:t>
      </w:r>
    </w:p>
    <w:p w14:paraId="4E6C996E" w14:textId="77777777" w:rsidR="00D4105E" w:rsidRPr="00E14102" w:rsidRDefault="00D4105E" w:rsidP="00E14102">
      <w:pPr>
        <w:autoSpaceDE w:val="0"/>
        <w:autoSpaceDN w:val="0"/>
        <w:adjustRightInd w:val="0"/>
        <w:jc w:val="both"/>
        <w:rPr>
          <w:color w:val="000000" w:themeColor="text1"/>
          <w:sz w:val="16"/>
          <w:szCs w:val="16"/>
        </w:rPr>
      </w:pPr>
    </w:p>
    <w:p w14:paraId="374700E8" w14:textId="77777777" w:rsidR="002E3C5F" w:rsidRPr="00E14102" w:rsidRDefault="002E3C5F" w:rsidP="00E14102">
      <w:pPr>
        <w:pStyle w:val="a7"/>
        <w:rPr>
          <w:color w:val="000000" w:themeColor="text1"/>
          <w:sz w:val="16"/>
          <w:szCs w:val="16"/>
          <w:lang w:val="ru-RU"/>
        </w:rPr>
      </w:pPr>
      <w:r w:rsidRPr="00E14102">
        <w:rPr>
          <w:color w:val="000000" w:themeColor="text1"/>
          <w:sz w:val="16"/>
          <w:szCs w:val="16"/>
          <w:lang w:val="ru-RU"/>
        </w:rPr>
        <w:t>В начале 1935 г. (возможно это про</w:t>
      </w:r>
      <w:r w:rsidRPr="00E14102">
        <w:rPr>
          <w:color w:val="000000" w:themeColor="text1"/>
          <w:sz w:val="16"/>
          <w:szCs w:val="16"/>
          <w:lang w:val="ru-RU"/>
        </w:rPr>
        <w:softHyphen/>
        <w:t>изошло в течение года) КБ Гигоровича перевели как отдельное подразделение на авиаза</w:t>
      </w:r>
      <w:r w:rsidRPr="00E14102">
        <w:rPr>
          <w:color w:val="000000" w:themeColor="text1"/>
          <w:sz w:val="16"/>
          <w:szCs w:val="16"/>
          <w:lang w:val="ru-RU"/>
        </w:rPr>
        <w:softHyphen/>
        <w:t>вод № 1, выделили производственную базу на окраине Ходынки в бывших ремонтных мастерских, которые стали именовать авиазаводом №133. Конструкторское бюро Григоровича далее стало «скромно» именоваться как Особое конструкторское управление (ОКУ), иногда</w:t>
      </w:r>
      <w:r w:rsidRPr="00E14102">
        <w:rPr>
          <w:rStyle w:val="350"/>
          <w:rFonts w:ascii="Times New Roman" w:hAnsi="Times New Roman" w:cs="Times New Roman"/>
          <w:i w:val="0"/>
          <w:color w:val="000000" w:themeColor="text1"/>
          <w:sz w:val="16"/>
          <w:szCs w:val="16"/>
          <w:lang w:val="ru-RU"/>
        </w:rPr>
        <w:t xml:space="preserve"> в его</w:t>
      </w:r>
      <w:r w:rsidRPr="00E14102">
        <w:rPr>
          <w:color w:val="000000" w:themeColor="text1"/>
          <w:sz w:val="16"/>
          <w:szCs w:val="16"/>
          <w:lang w:val="ru-RU"/>
        </w:rPr>
        <w:t xml:space="preserve"> отношении использовалось написание ОКУ-133 (15742).</w:t>
      </w:r>
    </w:p>
    <w:p w14:paraId="39FA85FE" w14:textId="77777777" w:rsidR="002E3C5F" w:rsidRPr="00E14102" w:rsidRDefault="002E3C5F" w:rsidP="00E14102">
      <w:pPr>
        <w:pStyle w:val="a7"/>
        <w:rPr>
          <w:color w:val="000000" w:themeColor="text1"/>
          <w:sz w:val="16"/>
          <w:szCs w:val="16"/>
          <w:lang w:val="ru-RU"/>
        </w:rPr>
      </w:pPr>
    </w:p>
    <w:p w14:paraId="5AF34693" w14:textId="77777777" w:rsidR="002E3C5F" w:rsidRPr="00E14102" w:rsidRDefault="002E3C5F" w:rsidP="00E14102">
      <w:pPr>
        <w:pStyle w:val="a7"/>
        <w:rPr>
          <w:color w:val="000000" w:themeColor="text1"/>
          <w:sz w:val="16"/>
          <w:szCs w:val="16"/>
          <w:lang w:val="ru-RU"/>
        </w:rPr>
      </w:pPr>
      <w:r w:rsidRPr="00E14102">
        <w:rPr>
          <w:color w:val="000000" w:themeColor="text1"/>
          <w:sz w:val="16"/>
          <w:szCs w:val="16"/>
          <w:lang w:val="ru-RU"/>
        </w:rPr>
        <w:t>В начале 1935 г. доработанный опыт</w:t>
      </w:r>
      <w:r w:rsidRPr="00E14102">
        <w:rPr>
          <w:color w:val="000000" w:themeColor="text1"/>
          <w:sz w:val="16"/>
          <w:szCs w:val="16"/>
          <w:lang w:val="ru-RU"/>
        </w:rPr>
        <w:softHyphen/>
        <w:t>ный ДГ-52 под обозначением ИП-1 М-25 (при присвоении обозначения в ВВС поме</w:t>
      </w:r>
      <w:r w:rsidRPr="00E14102">
        <w:rPr>
          <w:color w:val="000000" w:themeColor="text1"/>
          <w:sz w:val="16"/>
          <w:szCs w:val="16"/>
          <w:lang w:val="ru-RU"/>
        </w:rPr>
        <w:softHyphen/>
        <w:t>няли порядок букв) поступил в НИИ ВВС. Называлась следующая цель испытаний: «Определить выносливость конструкции, и ее живучесть при стрельбе из АПК-4М».</w:t>
      </w:r>
    </w:p>
    <w:p w14:paraId="41E7656C" w14:textId="77777777" w:rsidR="002E3C5F" w:rsidRPr="00E14102" w:rsidRDefault="002E3C5F" w:rsidP="00E14102">
      <w:pPr>
        <w:pStyle w:val="a7"/>
        <w:rPr>
          <w:color w:val="000000" w:themeColor="text1"/>
          <w:sz w:val="16"/>
          <w:szCs w:val="16"/>
          <w:lang w:val="ru-RU"/>
        </w:rPr>
      </w:pPr>
      <w:r w:rsidRPr="00E14102">
        <w:rPr>
          <w:color w:val="000000" w:themeColor="text1"/>
          <w:sz w:val="16"/>
          <w:szCs w:val="16"/>
          <w:lang w:val="ru-RU"/>
        </w:rPr>
        <w:t>Согласно отчету по испытаниям, самолет был принят 13 января 1935 г. тех</w:t>
      </w:r>
      <w:r w:rsidRPr="00E14102">
        <w:rPr>
          <w:color w:val="000000" w:themeColor="text1"/>
          <w:sz w:val="16"/>
          <w:szCs w:val="16"/>
          <w:lang w:val="ru-RU"/>
        </w:rPr>
        <w:softHyphen/>
        <w:t>нической бригадой НИИ ВВС в Подлипках и в тот же день летчик Федрови перегнал его на аэродром Щелково. Последую</w:t>
      </w:r>
      <w:r w:rsidRPr="00E14102">
        <w:rPr>
          <w:color w:val="000000" w:themeColor="text1"/>
          <w:sz w:val="16"/>
          <w:szCs w:val="16"/>
          <w:lang w:val="ru-RU"/>
        </w:rPr>
        <w:softHyphen/>
        <w:t>щие полеты в НИИ до последних чисел февраля выполняли Федрови и летчик- испытатель Степанчонок. Самолет был оборудован убираемыми лыжами, в отно</w:t>
      </w:r>
      <w:r w:rsidRPr="00E14102">
        <w:rPr>
          <w:color w:val="000000" w:themeColor="text1"/>
          <w:sz w:val="16"/>
          <w:szCs w:val="16"/>
          <w:lang w:val="ru-RU"/>
        </w:rPr>
        <w:softHyphen/>
        <w:t>шении которых указывалось, что такие лыжи в Советском Союзе использовались впервые. Интересно, что хотя схема уби</w:t>
      </w:r>
      <w:r w:rsidRPr="00E14102">
        <w:rPr>
          <w:color w:val="000000" w:themeColor="text1"/>
          <w:sz w:val="16"/>
          <w:szCs w:val="16"/>
          <w:lang w:val="ru-RU"/>
        </w:rPr>
        <w:softHyphen/>
        <w:t>раемого шасси ИП-1 с выступающими из-под крыла гондолами расценивалась не вполне современной, однако в сочета</w:t>
      </w:r>
      <w:r w:rsidRPr="00E14102">
        <w:rPr>
          <w:color w:val="000000" w:themeColor="text1"/>
          <w:sz w:val="16"/>
          <w:szCs w:val="16"/>
          <w:lang w:val="ru-RU"/>
        </w:rPr>
        <w:softHyphen/>
        <w:t>ниями с зимними лыжами она оказалась вполне удачной. Подтверждением тому стала авария самолета, произошедшая 3 марта 1935 г. на Центральном аэродро</w:t>
      </w:r>
      <w:r w:rsidRPr="00E14102">
        <w:rPr>
          <w:color w:val="000000" w:themeColor="text1"/>
          <w:sz w:val="16"/>
          <w:szCs w:val="16"/>
          <w:lang w:val="ru-RU"/>
        </w:rPr>
        <w:softHyphen/>
        <w:t>ме Москвы.</w:t>
      </w:r>
    </w:p>
    <w:p w14:paraId="652AA8EA" w14:textId="77777777" w:rsidR="002E3C5F" w:rsidRPr="00E14102" w:rsidRDefault="002E3C5F" w:rsidP="00E14102">
      <w:pPr>
        <w:pStyle w:val="a7"/>
        <w:rPr>
          <w:color w:val="000000" w:themeColor="text1"/>
          <w:sz w:val="16"/>
          <w:szCs w:val="16"/>
          <w:lang w:val="ru-RU"/>
        </w:rPr>
      </w:pPr>
      <w:r w:rsidRPr="00E14102">
        <w:rPr>
          <w:color w:val="000000" w:themeColor="text1"/>
          <w:sz w:val="16"/>
          <w:szCs w:val="16"/>
          <w:lang w:val="ru-RU"/>
        </w:rPr>
        <w:t>В тот день летчик Федрови выпол</w:t>
      </w:r>
      <w:r w:rsidRPr="00E14102">
        <w:rPr>
          <w:color w:val="000000" w:themeColor="text1"/>
          <w:sz w:val="16"/>
          <w:szCs w:val="16"/>
          <w:lang w:val="ru-RU"/>
        </w:rPr>
        <w:softHyphen/>
        <w:t>нял полеты с разгоном до максимальной скорости. Во время проведения одного из скоростных режимов лопнуло крепле</w:t>
      </w:r>
      <w:r w:rsidRPr="00E14102">
        <w:rPr>
          <w:color w:val="000000" w:themeColor="text1"/>
          <w:sz w:val="16"/>
          <w:szCs w:val="16"/>
          <w:lang w:val="ru-RU"/>
        </w:rPr>
        <w:softHyphen/>
        <w:t>ние левой части капота двигателя, фраг</w:t>
      </w:r>
      <w:r w:rsidRPr="00E14102">
        <w:rPr>
          <w:color w:val="000000" w:themeColor="text1"/>
          <w:sz w:val="16"/>
          <w:szCs w:val="16"/>
          <w:lang w:val="ru-RU"/>
        </w:rPr>
        <w:softHyphen/>
        <w:t>мент боковины сорвало, и она врезалась в переднюю кромку стабилизатора хво</w:t>
      </w:r>
      <w:r w:rsidRPr="00E14102">
        <w:rPr>
          <w:color w:val="000000" w:themeColor="text1"/>
          <w:sz w:val="16"/>
          <w:szCs w:val="16"/>
          <w:lang w:val="ru-RU"/>
        </w:rPr>
        <w:softHyphen/>
        <w:t>стового оперения. Федрови немедленно пошел на посадку, однако от волнения забыл произвести выпуск шасси. Тем не менее, приземление на снежную поверх</w:t>
      </w:r>
      <w:r w:rsidRPr="00E14102">
        <w:rPr>
          <w:color w:val="000000" w:themeColor="text1"/>
          <w:sz w:val="16"/>
          <w:szCs w:val="16"/>
          <w:lang w:val="ru-RU"/>
        </w:rPr>
        <w:softHyphen/>
        <w:t>ность благодаря выступающим шассий- ным гондолам произошло вполне благо</w:t>
      </w:r>
      <w:r w:rsidRPr="00E14102">
        <w:rPr>
          <w:color w:val="000000" w:themeColor="text1"/>
          <w:sz w:val="16"/>
          <w:szCs w:val="16"/>
          <w:lang w:val="ru-RU"/>
        </w:rPr>
        <w:softHyphen/>
        <w:t>получно. Поврежденным оказался лишь металлический воздушный винт, концы которого загнулись. После аварийной посадки самолет направили для ремонта поврежденных элементов конструкции и намеченно</w:t>
      </w:r>
      <w:r w:rsidRPr="00E14102">
        <w:rPr>
          <w:color w:val="000000" w:themeColor="text1"/>
          <w:sz w:val="16"/>
          <w:szCs w:val="16"/>
          <w:lang w:val="ru-RU"/>
        </w:rPr>
        <w:softHyphen/>
        <w:t>го монтажа пушек АПК. Одновременно доработали капот, усилили элементы его крепления и ввели дополнительную попе</w:t>
      </w:r>
      <w:r w:rsidRPr="00E14102">
        <w:rPr>
          <w:color w:val="000000" w:themeColor="text1"/>
          <w:sz w:val="16"/>
          <w:szCs w:val="16"/>
          <w:lang w:val="ru-RU"/>
        </w:rPr>
        <w:softHyphen/>
        <w:t>речную стяжную ленту (как у И-16). Еще один вариант капота с прорезанными отверстиями для отдельных выхлопных патрубков сделали в июле 1935 г. Однако, скорее всего, данное упоминание пере</w:t>
      </w:r>
      <w:r w:rsidRPr="00E14102">
        <w:rPr>
          <w:color w:val="000000" w:themeColor="text1"/>
          <w:sz w:val="16"/>
          <w:szCs w:val="16"/>
          <w:lang w:val="ru-RU"/>
        </w:rPr>
        <w:softHyphen/>
        <w:t>делок капота двигателя в деле по испыта</w:t>
      </w:r>
      <w:r w:rsidRPr="00E14102">
        <w:rPr>
          <w:color w:val="000000" w:themeColor="text1"/>
          <w:sz w:val="16"/>
          <w:szCs w:val="16"/>
          <w:lang w:val="ru-RU"/>
        </w:rPr>
        <w:softHyphen/>
        <w:t>ниям ИП-1 относилось к другому самолету -ДГ-6З (15742).</w:t>
      </w:r>
    </w:p>
    <w:p w14:paraId="309EFA31" w14:textId="77777777" w:rsidR="002E3C5F" w:rsidRPr="00E14102" w:rsidRDefault="002E3C5F" w:rsidP="00E14102">
      <w:pPr>
        <w:pStyle w:val="a7"/>
        <w:rPr>
          <w:color w:val="000000" w:themeColor="text1"/>
          <w:sz w:val="16"/>
          <w:szCs w:val="16"/>
          <w:lang w:val="ru-RU"/>
        </w:rPr>
      </w:pPr>
    </w:p>
    <w:p w14:paraId="5DF0F3D4" w14:textId="77777777" w:rsidR="008042DC" w:rsidRPr="00E14102" w:rsidRDefault="008042DC" w:rsidP="00E14102">
      <w:pPr>
        <w:shd w:val="clear" w:color="auto" w:fill="FFFFFF"/>
        <w:jc w:val="both"/>
        <w:rPr>
          <w:color w:val="000000" w:themeColor="text1"/>
          <w:sz w:val="16"/>
          <w:szCs w:val="16"/>
        </w:rPr>
      </w:pPr>
      <w:r w:rsidRPr="00E14102">
        <w:rPr>
          <w:color w:val="000000" w:themeColor="text1"/>
          <w:sz w:val="16"/>
          <w:szCs w:val="16"/>
        </w:rPr>
        <w:t>В начале 1935 г, известный летчик-спортсмен Центрального аэроклуба СССР Н.Д.Федосеев предложил включить самолет Г-10 в намеченный на сентябрь года круговой перелет спортивных самолетов протяженностью 5500км. (Перелет этот неоднократно будет упоминаться в дальнейшем, в частности, в связи с самолетами Г-15 и Г-20. Поэтому уместно привести его полный маршрут: Москва - Горький - Казань - Сарапул -Пермь - Свердловск - Челябинск -Магнитогорск - Оренбург - Куйбышев - Саратов - Сталинград - Луганск - Сталино - Днепропетровск -Киев - Брянск - Москва).</w:t>
      </w:r>
    </w:p>
    <w:p w14:paraId="7FC6F789" w14:textId="77777777" w:rsidR="008042DC" w:rsidRPr="00E14102" w:rsidRDefault="008042DC" w:rsidP="00E14102">
      <w:pPr>
        <w:shd w:val="clear" w:color="auto" w:fill="FFFFFF"/>
        <w:jc w:val="both"/>
        <w:rPr>
          <w:color w:val="000000" w:themeColor="text1"/>
          <w:sz w:val="16"/>
          <w:szCs w:val="16"/>
        </w:rPr>
      </w:pPr>
      <w:r w:rsidRPr="00E14102">
        <w:rPr>
          <w:color w:val="000000" w:themeColor="text1"/>
          <w:sz w:val="16"/>
          <w:szCs w:val="16"/>
        </w:rPr>
        <w:t>Для осуществления своего предложения Федосеев нашел старенький двигатель «Вальтер» мощностью 65л.с, лично перебрал его и установил на самолет.</w:t>
      </w:r>
    </w:p>
    <w:p w14:paraId="0F1335B6" w14:textId="77777777" w:rsidR="008042DC" w:rsidRPr="00E14102" w:rsidRDefault="008042DC" w:rsidP="00E14102">
      <w:pPr>
        <w:shd w:val="clear" w:color="auto" w:fill="FFFFFF"/>
        <w:jc w:val="both"/>
        <w:rPr>
          <w:color w:val="000000" w:themeColor="text1"/>
          <w:sz w:val="16"/>
          <w:szCs w:val="16"/>
        </w:rPr>
      </w:pPr>
      <w:r w:rsidRPr="00E14102">
        <w:rPr>
          <w:color w:val="000000" w:themeColor="text1"/>
          <w:sz w:val="16"/>
          <w:szCs w:val="16"/>
        </w:rPr>
        <w:t>Перелет, как и планировалось, занял 7 дней. Г-10 шел вне конкурса, так как имел мотор меньшей мощности, чем остальные машины, оснащенные серийными М-11. Несмотря на это, Г-10 успешно прошел весь маршрут, практически наравне с другими участниками. Летчик Федосеев за проявленную инициативу и успешный перелет был награжден призом Наркомата обороны СССР - золотыми часами.</w:t>
      </w:r>
    </w:p>
    <w:p w14:paraId="6F00532B" w14:textId="77777777" w:rsidR="008042DC" w:rsidRPr="00E14102" w:rsidRDefault="008042DC" w:rsidP="00E14102">
      <w:pPr>
        <w:shd w:val="clear" w:color="auto" w:fill="FFFFFF"/>
        <w:jc w:val="both"/>
        <w:rPr>
          <w:color w:val="000000" w:themeColor="text1"/>
          <w:sz w:val="16"/>
          <w:szCs w:val="16"/>
        </w:rPr>
      </w:pPr>
      <w:r w:rsidRPr="00E14102">
        <w:rPr>
          <w:color w:val="000000" w:themeColor="text1"/>
          <w:sz w:val="16"/>
          <w:szCs w:val="16"/>
        </w:rPr>
        <w:t>Отсутствие серийных отечественных моторов мощностью порядка 60 л.с. не позволило внедрить Г-10 в более широкую эксплуатацию, и все ограничилось постройкой единственного экземпляра.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9"/>
      </w:tblGrid>
      <w:tr w:rsidR="00E3599D" w:rsidRPr="00E14102" w14:paraId="5409A2E4"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838078" w14:textId="77777777" w:rsidR="008042DC" w:rsidRPr="00E14102" w:rsidRDefault="008042DC" w:rsidP="00E14102">
            <w:pPr>
              <w:jc w:val="both"/>
              <w:rPr>
                <w:color w:val="000000" w:themeColor="text1"/>
                <w:sz w:val="16"/>
                <w:szCs w:val="16"/>
              </w:rPr>
            </w:pPr>
            <w:r w:rsidRPr="00E14102">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E47282" w14:textId="77777777" w:rsidR="008042DC" w:rsidRPr="00E14102" w:rsidRDefault="008042DC" w:rsidP="00E14102">
            <w:pPr>
              <w:jc w:val="both"/>
              <w:rPr>
                <w:color w:val="000000" w:themeColor="text1"/>
                <w:sz w:val="16"/>
                <w:szCs w:val="16"/>
              </w:rPr>
            </w:pPr>
            <w:r w:rsidRPr="00E14102">
              <w:rPr>
                <w:color w:val="000000" w:themeColor="text1"/>
                <w:sz w:val="16"/>
                <w:szCs w:val="16"/>
              </w:rPr>
              <w:t>  </w:t>
            </w:r>
            <w:r w:rsidRPr="00E14102">
              <w:rPr>
                <w:color w:val="000000" w:themeColor="text1"/>
                <w:sz w:val="16"/>
                <w:szCs w:val="16"/>
                <w:lang w:val="uk-UA"/>
              </w:rPr>
              <w:t>Г-10</w:t>
            </w:r>
          </w:p>
        </w:tc>
      </w:tr>
      <w:tr w:rsidR="00E3599D" w:rsidRPr="00E14102" w14:paraId="069072B2"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0BAF17A" w14:textId="77777777" w:rsidR="008042DC" w:rsidRPr="00E14102" w:rsidRDefault="008042DC" w:rsidP="00E14102">
            <w:pPr>
              <w:jc w:val="both"/>
              <w:rPr>
                <w:color w:val="000000" w:themeColor="text1"/>
                <w:sz w:val="16"/>
                <w:szCs w:val="16"/>
              </w:rPr>
            </w:pPr>
            <w:r w:rsidRPr="00E14102">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CE9754" w14:textId="77777777" w:rsidR="008042DC" w:rsidRPr="00E14102" w:rsidRDefault="008042DC" w:rsidP="00E14102">
            <w:pPr>
              <w:jc w:val="both"/>
              <w:rPr>
                <w:color w:val="000000" w:themeColor="text1"/>
                <w:sz w:val="16"/>
                <w:szCs w:val="16"/>
              </w:rPr>
            </w:pPr>
            <w:r w:rsidRPr="00E14102">
              <w:rPr>
                <w:color w:val="000000" w:themeColor="text1"/>
                <w:sz w:val="16"/>
                <w:szCs w:val="16"/>
              </w:rPr>
              <w:t>  8.40</w:t>
            </w:r>
          </w:p>
        </w:tc>
      </w:tr>
      <w:tr w:rsidR="00E3599D" w:rsidRPr="00E14102" w14:paraId="555F46FB"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8CCFD5" w14:textId="77777777" w:rsidR="008042DC" w:rsidRPr="00E14102" w:rsidRDefault="008042DC" w:rsidP="00E14102">
            <w:pPr>
              <w:jc w:val="both"/>
              <w:rPr>
                <w:color w:val="000000" w:themeColor="text1"/>
                <w:sz w:val="16"/>
                <w:szCs w:val="16"/>
              </w:rPr>
            </w:pPr>
            <w:r w:rsidRPr="00E14102">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0E0EEC" w14:textId="77777777" w:rsidR="008042DC" w:rsidRPr="00E14102" w:rsidRDefault="008042DC" w:rsidP="00E14102">
            <w:pPr>
              <w:jc w:val="both"/>
              <w:rPr>
                <w:color w:val="000000" w:themeColor="text1"/>
                <w:sz w:val="16"/>
                <w:szCs w:val="16"/>
              </w:rPr>
            </w:pPr>
            <w:r w:rsidRPr="00E14102">
              <w:rPr>
                <w:color w:val="000000" w:themeColor="text1"/>
                <w:sz w:val="16"/>
                <w:szCs w:val="16"/>
              </w:rPr>
              <w:t>  5.60</w:t>
            </w:r>
          </w:p>
        </w:tc>
      </w:tr>
      <w:tr w:rsidR="00E3599D" w:rsidRPr="00E14102" w14:paraId="279205A1"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332DD74" w14:textId="77777777" w:rsidR="008042DC" w:rsidRPr="00E14102" w:rsidRDefault="008042DC" w:rsidP="00E14102">
            <w:pPr>
              <w:jc w:val="both"/>
              <w:rPr>
                <w:color w:val="000000" w:themeColor="text1"/>
                <w:sz w:val="16"/>
                <w:szCs w:val="16"/>
              </w:rPr>
            </w:pPr>
            <w:r w:rsidRPr="00E14102">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6695EB" w14:textId="77777777" w:rsidR="008042DC" w:rsidRPr="00E14102" w:rsidRDefault="008042DC" w:rsidP="00E14102">
            <w:pPr>
              <w:jc w:val="both"/>
              <w:rPr>
                <w:color w:val="000000" w:themeColor="text1"/>
                <w:sz w:val="16"/>
                <w:szCs w:val="16"/>
              </w:rPr>
            </w:pPr>
            <w:r w:rsidRPr="00E14102">
              <w:rPr>
                <w:color w:val="000000" w:themeColor="text1"/>
                <w:sz w:val="16"/>
                <w:szCs w:val="16"/>
              </w:rPr>
              <w:t> </w:t>
            </w:r>
          </w:p>
        </w:tc>
      </w:tr>
      <w:tr w:rsidR="00E3599D" w:rsidRPr="00E14102" w14:paraId="1365FE03"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EEC03D" w14:textId="77777777" w:rsidR="008042DC" w:rsidRPr="00E14102" w:rsidRDefault="008042DC" w:rsidP="00E14102">
            <w:pPr>
              <w:jc w:val="both"/>
              <w:rPr>
                <w:color w:val="000000" w:themeColor="text1"/>
                <w:sz w:val="16"/>
                <w:szCs w:val="16"/>
              </w:rPr>
            </w:pPr>
            <w:r w:rsidRPr="00E14102">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D51BA55" w14:textId="77777777" w:rsidR="008042DC" w:rsidRPr="00E14102" w:rsidRDefault="008042DC" w:rsidP="00E14102">
            <w:pPr>
              <w:jc w:val="both"/>
              <w:rPr>
                <w:color w:val="000000" w:themeColor="text1"/>
                <w:sz w:val="16"/>
                <w:szCs w:val="16"/>
              </w:rPr>
            </w:pPr>
            <w:r w:rsidRPr="00E14102">
              <w:rPr>
                <w:color w:val="000000" w:themeColor="text1"/>
                <w:sz w:val="16"/>
                <w:szCs w:val="16"/>
              </w:rPr>
              <w:t>  11.00</w:t>
            </w:r>
          </w:p>
        </w:tc>
      </w:tr>
      <w:tr w:rsidR="00E3599D" w:rsidRPr="00E14102" w14:paraId="5EB9339E"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ACE763B" w14:textId="77777777" w:rsidR="008042DC" w:rsidRPr="00E14102" w:rsidRDefault="008042DC" w:rsidP="00E14102">
            <w:pPr>
              <w:jc w:val="both"/>
              <w:rPr>
                <w:color w:val="000000" w:themeColor="text1"/>
                <w:sz w:val="16"/>
                <w:szCs w:val="16"/>
              </w:rPr>
            </w:pPr>
            <w:r w:rsidRPr="00E14102">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9A97AA" w14:textId="77777777" w:rsidR="008042DC" w:rsidRPr="00E14102" w:rsidRDefault="008042DC" w:rsidP="00E14102">
            <w:pPr>
              <w:jc w:val="both"/>
              <w:rPr>
                <w:color w:val="000000" w:themeColor="text1"/>
                <w:sz w:val="16"/>
                <w:szCs w:val="16"/>
              </w:rPr>
            </w:pPr>
            <w:r w:rsidRPr="00E14102">
              <w:rPr>
                <w:color w:val="000000" w:themeColor="text1"/>
                <w:sz w:val="16"/>
                <w:szCs w:val="16"/>
              </w:rPr>
              <w:t> </w:t>
            </w:r>
          </w:p>
        </w:tc>
      </w:tr>
      <w:tr w:rsidR="00E3599D" w:rsidRPr="00E14102" w14:paraId="29D37DF6"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1FE0CBE" w14:textId="77777777" w:rsidR="008042DC" w:rsidRPr="00E14102" w:rsidRDefault="008042DC" w:rsidP="00E14102">
            <w:pPr>
              <w:jc w:val="both"/>
              <w:rPr>
                <w:color w:val="000000" w:themeColor="text1"/>
                <w:sz w:val="16"/>
                <w:szCs w:val="16"/>
              </w:rPr>
            </w:pPr>
            <w:r w:rsidRPr="00E14102">
              <w:rPr>
                <w:color w:val="000000" w:themeColor="text1"/>
                <w:sz w:val="16"/>
                <w:szCs w:val="16"/>
              </w:rPr>
              <w:t>  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A3B8E6C" w14:textId="77777777" w:rsidR="008042DC" w:rsidRPr="00E14102" w:rsidRDefault="008042DC" w:rsidP="00E14102">
            <w:pPr>
              <w:jc w:val="both"/>
              <w:rPr>
                <w:color w:val="000000" w:themeColor="text1"/>
                <w:sz w:val="16"/>
                <w:szCs w:val="16"/>
              </w:rPr>
            </w:pPr>
            <w:r w:rsidRPr="00E14102">
              <w:rPr>
                <w:color w:val="000000" w:themeColor="text1"/>
                <w:sz w:val="16"/>
                <w:szCs w:val="16"/>
              </w:rPr>
              <w:t>  330</w:t>
            </w:r>
          </w:p>
        </w:tc>
      </w:tr>
      <w:tr w:rsidR="00E3599D" w:rsidRPr="00E14102" w14:paraId="7B254087"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193FDBB" w14:textId="77777777" w:rsidR="008042DC" w:rsidRPr="00E14102" w:rsidRDefault="008042DC" w:rsidP="00E14102">
            <w:pPr>
              <w:jc w:val="both"/>
              <w:rPr>
                <w:color w:val="000000" w:themeColor="text1"/>
                <w:sz w:val="16"/>
                <w:szCs w:val="16"/>
              </w:rPr>
            </w:pPr>
            <w:r w:rsidRPr="00E14102">
              <w:rPr>
                <w:color w:val="000000" w:themeColor="text1"/>
                <w:sz w:val="16"/>
                <w:szCs w:val="16"/>
              </w:rPr>
              <w:t>  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579C272" w14:textId="77777777" w:rsidR="008042DC" w:rsidRPr="00E14102" w:rsidRDefault="008042DC" w:rsidP="00E14102">
            <w:pPr>
              <w:jc w:val="both"/>
              <w:rPr>
                <w:color w:val="000000" w:themeColor="text1"/>
                <w:sz w:val="16"/>
                <w:szCs w:val="16"/>
              </w:rPr>
            </w:pPr>
            <w:r w:rsidRPr="00E14102">
              <w:rPr>
                <w:color w:val="000000" w:themeColor="text1"/>
                <w:sz w:val="16"/>
                <w:szCs w:val="16"/>
              </w:rPr>
              <w:t>  505</w:t>
            </w:r>
          </w:p>
        </w:tc>
      </w:tr>
      <w:tr w:rsidR="00E3599D" w:rsidRPr="00E14102" w14:paraId="04361B7A"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296A92" w14:textId="77777777" w:rsidR="008042DC" w:rsidRPr="00E14102" w:rsidRDefault="008042DC" w:rsidP="00E14102">
            <w:pPr>
              <w:jc w:val="both"/>
              <w:rPr>
                <w:color w:val="000000" w:themeColor="text1"/>
                <w:sz w:val="16"/>
                <w:szCs w:val="16"/>
              </w:rPr>
            </w:pPr>
            <w:r w:rsidRPr="00E14102">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2EA5E72" w14:textId="77777777" w:rsidR="008042DC" w:rsidRPr="00E14102" w:rsidRDefault="008042DC" w:rsidP="00E14102">
            <w:pPr>
              <w:jc w:val="both"/>
              <w:rPr>
                <w:color w:val="000000" w:themeColor="text1"/>
                <w:sz w:val="16"/>
                <w:szCs w:val="16"/>
              </w:rPr>
            </w:pPr>
            <w:r w:rsidRPr="00E14102">
              <w:rPr>
                <w:color w:val="000000" w:themeColor="text1"/>
                <w:sz w:val="16"/>
                <w:szCs w:val="16"/>
              </w:rPr>
              <w:t>  1 ПД Walter</w:t>
            </w:r>
          </w:p>
        </w:tc>
      </w:tr>
      <w:tr w:rsidR="00E3599D" w:rsidRPr="00E14102" w14:paraId="4E276EB3"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C8C58D" w14:textId="77777777" w:rsidR="008042DC" w:rsidRPr="00E14102" w:rsidRDefault="008042DC" w:rsidP="00E14102">
            <w:pPr>
              <w:jc w:val="both"/>
              <w:rPr>
                <w:color w:val="000000" w:themeColor="text1"/>
                <w:sz w:val="16"/>
                <w:szCs w:val="16"/>
              </w:rPr>
            </w:pPr>
            <w:r w:rsidRPr="00E14102">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34F8ED5" w14:textId="77777777" w:rsidR="008042DC" w:rsidRPr="00E14102" w:rsidRDefault="008042DC" w:rsidP="00E14102">
            <w:pPr>
              <w:jc w:val="both"/>
              <w:rPr>
                <w:color w:val="000000" w:themeColor="text1"/>
                <w:sz w:val="16"/>
                <w:szCs w:val="16"/>
              </w:rPr>
            </w:pPr>
            <w:r w:rsidRPr="00E14102">
              <w:rPr>
                <w:color w:val="000000" w:themeColor="text1"/>
                <w:sz w:val="16"/>
                <w:szCs w:val="16"/>
              </w:rPr>
              <w:t>  1 × 60</w:t>
            </w:r>
          </w:p>
        </w:tc>
      </w:tr>
      <w:tr w:rsidR="00E3599D" w:rsidRPr="00E14102" w14:paraId="3325A24E"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CEA377" w14:textId="77777777" w:rsidR="008042DC" w:rsidRPr="00E14102" w:rsidRDefault="008042DC" w:rsidP="00E14102">
            <w:pPr>
              <w:jc w:val="both"/>
              <w:rPr>
                <w:color w:val="000000" w:themeColor="text1"/>
                <w:sz w:val="16"/>
                <w:szCs w:val="16"/>
              </w:rPr>
            </w:pPr>
            <w:r w:rsidRPr="00E14102">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761EF49" w14:textId="77777777" w:rsidR="008042DC" w:rsidRPr="00E14102" w:rsidRDefault="008042DC" w:rsidP="00E14102">
            <w:pPr>
              <w:jc w:val="both"/>
              <w:rPr>
                <w:color w:val="000000" w:themeColor="text1"/>
                <w:sz w:val="16"/>
                <w:szCs w:val="16"/>
              </w:rPr>
            </w:pPr>
            <w:r w:rsidRPr="00E14102">
              <w:rPr>
                <w:color w:val="000000" w:themeColor="text1"/>
                <w:sz w:val="16"/>
                <w:szCs w:val="16"/>
              </w:rPr>
              <w:t>  170</w:t>
            </w:r>
          </w:p>
        </w:tc>
      </w:tr>
      <w:tr w:rsidR="00E3599D" w:rsidRPr="00E14102" w14:paraId="1559DBC8"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D05B8F" w14:textId="77777777" w:rsidR="008042DC" w:rsidRPr="00E14102" w:rsidRDefault="008042DC" w:rsidP="00E14102">
            <w:pPr>
              <w:jc w:val="both"/>
              <w:rPr>
                <w:color w:val="000000" w:themeColor="text1"/>
                <w:sz w:val="16"/>
                <w:szCs w:val="16"/>
              </w:rPr>
            </w:pPr>
            <w:r w:rsidRPr="00E14102">
              <w:rPr>
                <w:color w:val="000000" w:themeColor="text1"/>
                <w:sz w:val="16"/>
                <w:szCs w:val="16"/>
              </w:rPr>
              <w:lastRenderedPageBreak/>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5552E4" w14:textId="77777777" w:rsidR="008042DC" w:rsidRPr="00E14102" w:rsidRDefault="008042DC" w:rsidP="00E14102">
            <w:pPr>
              <w:jc w:val="both"/>
              <w:rPr>
                <w:color w:val="000000" w:themeColor="text1"/>
                <w:sz w:val="16"/>
                <w:szCs w:val="16"/>
              </w:rPr>
            </w:pPr>
            <w:r w:rsidRPr="00E14102">
              <w:rPr>
                <w:color w:val="000000" w:themeColor="text1"/>
                <w:sz w:val="16"/>
                <w:szCs w:val="16"/>
              </w:rPr>
              <w:t>  138</w:t>
            </w:r>
          </w:p>
        </w:tc>
      </w:tr>
      <w:tr w:rsidR="00E3599D" w:rsidRPr="00E14102" w14:paraId="067FB06E"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3515129" w14:textId="77777777" w:rsidR="008042DC" w:rsidRPr="00E14102" w:rsidRDefault="008042DC" w:rsidP="00E14102">
            <w:pPr>
              <w:jc w:val="both"/>
              <w:rPr>
                <w:color w:val="000000" w:themeColor="text1"/>
                <w:sz w:val="16"/>
                <w:szCs w:val="16"/>
              </w:rPr>
            </w:pPr>
            <w:r w:rsidRPr="00E14102">
              <w:rPr>
                <w:color w:val="000000" w:themeColor="text1"/>
                <w:sz w:val="16"/>
                <w:szCs w:val="16"/>
              </w:rPr>
              <w:t>Практическая дальность, км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1A37300" w14:textId="77777777" w:rsidR="008042DC" w:rsidRPr="00E14102" w:rsidRDefault="008042DC" w:rsidP="00E14102">
            <w:pPr>
              <w:jc w:val="both"/>
              <w:rPr>
                <w:color w:val="000000" w:themeColor="text1"/>
                <w:sz w:val="16"/>
                <w:szCs w:val="16"/>
              </w:rPr>
            </w:pPr>
            <w:r w:rsidRPr="00E14102">
              <w:rPr>
                <w:color w:val="000000" w:themeColor="text1"/>
                <w:sz w:val="16"/>
                <w:szCs w:val="16"/>
              </w:rPr>
              <w:t>  700</w:t>
            </w:r>
          </w:p>
        </w:tc>
      </w:tr>
      <w:tr w:rsidR="00E3599D" w:rsidRPr="00E14102" w14:paraId="7F89820C"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A00EE0" w14:textId="77777777" w:rsidR="008042DC" w:rsidRPr="00E14102" w:rsidRDefault="008042DC" w:rsidP="00E14102">
            <w:pPr>
              <w:jc w:val="both"/>
              <w:rPr>
                <w:color w:val="000000" w:themeColor="text1"/>
                <w:sz w:val="16"/>
                <w:szCs w:val="16"/>
              </w:rPr>
            </w:pPr>
            <w:r w:rsidRPr="00E14102">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6799F0" w14:textId="77777777" w:rsidR="008042DC" w:rsidRPr="00E14102" w:rsidRDefault="008042DC" w:rsidP="00E14102">
            <w:pPr>
              <w:jc w:val="both"/>
              <w:rPr>
                <w:color w:val="000000" w:themeColor="text1"/>
                <w:sz w:val="16"/>
                <w:szCs w:val="16"/>
              </w:rPr>
            </w:pPr>
            <w:r w:rsidRPr="00E14102">
              <w:rPr>
                <w:color w:val="000000" w:themeColor="text1"/>
                <w:sz w:val="16"/>
                <w:szCs w:val="16"/>
              </w:rPr>
              <w:t>  4</w:t>
            </w:r>
          </w:p>
        </w:tc>
      </w:tr>
      <w:tr w:rsidR="00E3599D" w:rsidRPr="00E14102" w14:paraId="571D2755"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4EFBEC" w14:textId="77777777" w:rsidR="008042DC" w:rsidRPr="00E14102" w:rsidRDefault="008042DC" w:rsidP="00E14102">
            <w:pPr>
              <w:jc w:val="both"/>
              <w:rPr>
                <w:color w:val="000000" w:themeColor="text1"/>
                <w:sz w:val="16"/>
                <w:szCs w:val="16"/>
              </w:rPr>
            </w:pPr>
            <w:r w:rsidRPr="00E14102">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23666C" w14:textId="77777777" w:rsidR="008042DC" w:rsidRPr="00E14102" w:rsidRDefault="008042DC" w:rsidP="00E14102">
            <w:pPr>
              <w:jc w:val="both"/>
              <w:rPr>
                <w:color w:val="000000" w:themeColor="text1"/>
                <w:sz w:val="16"/>
                <w:szCs w:val="16"/>
              </w:rPr>
            </w:pPr>
            <w:r w:rsidRPr="00E14102">
              <w:rPr>
                <w:color w:val="000000" w:themeColor="text1"/>
                <w:sz w:val="16"/>
                <w:szCs w:val="16"/>
              </w:rPr>
              <w:t>  200</w:t>
            </w:r>
          </w:p>
        </w:tc>
      </w:tr>
      <w:tr w:rsidR="00E3599D" w:rsidRPr="00E14102" w14:paraId="781E82F8"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7AC983" w14:textId="77777777" w:rsidR="008042DC" w:rsidRPr="00E14102" w:rsidRDefault="008042DC" w:rsidP="00E14102">
            <w:pPr>
              <w:jc w:val="both"/>
              <w:rPr>
                <w:color w:val="000000" w:themeColor="text1"/>
                <w:sz w:val="16"/>
                <w:szCs w:val="16"/>
              </w:rPr>
            </w:pPr>
            <w:r w:rsidRPr="00E14102">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917411" w14:textId="77777777" w:rsidR="008042DC" w:rsidRPr="00E14102" w:rsidRDefault="008042DC" w:rsidP="00E14102">
            <w:pPr>
              <w:jc w:val="both"/>
              <w:rPr>
                <w:color w:val="000000" w:themeColor="text1"/>
                <w:sz w:val="16"/>
                <w:szCs w:val="16"/>
              </w:rPr>
            </w:pPr>
            <w:r w:rsidRPr="00E14102">
              <w:rPr>
                <w:color w:val="000000" w:themeColor="text1"/>
                <w:sz w:val="16"/>
                <w:szCs w:val="16"/>
              </w:rPr>
              <w:t>  5200</w:t>
            </w:r>
          </w:p>
        </w:tc>
      </w:tr>
      <w:tr w:rsidR="00E3599D" w:rsidRPr="00E14102" w14:paraId="45DF9A9E"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935948" w14:textId="77777777" w:rsidR="008042DC" w:rsidRPr="00E14102" w:rsidRDefault="008042DC" w:rsidP="00E14102">
            <w:pPr>
              <w:jc w:val="both"/>
              <w:rPr>
                <w:color w:val="000000" w:themeColor="text1"/>
                <w:sz w:val="16"/>
                <w:szCs w:val="16"/>
              </w:rPr>
            </w:pPr>
            <w:r w:rsidRPr="00E14102">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0D4FC4B" w14:textId="77777777" w:rsidR="008042DC" w:rsidRPr="00E14102" w:rsidRDefault="008042DC" w:rsidP="00E14102">
            <w:pPr>
              <w:jc w:val="both"/>
              <w:rPr>
                <w:color w:val="000000" w:themeColor="text1"/>
                <w:sz w:val="16"/>
                <w:szCs w:val="16"/>
              </w:rPr>
            </w:pPr>
            <w:r w:rsidRPr="00E14102">
              <w:rPr>
                <w:color w:val="000000" w:themeColor="text1"/>
                <w:sz w:val="16"/>
                <w:szCs w:val="16"/>
              </w:rPr>
              <w:t>  2</w:t>
            </w:r>
          </w:p>
        </w:tc>
      </w:tr>
    </w:tbl>
    <w:p w14:paraId="2E3B8347" w14:textId="77777777" w:rsidR="008042DC" w:rsidRPr="00E14102" w:rsidRDefault="008042DC" w:rsidP="00E14102">
      <w:pPr>
        <w:pBdr>
          <w:bottom w:val="single" w:sz="6" w:space="2" w:color="EBEBEB"/>
        </w:pBdr>
        <w:shd w:val="clear" w:color="auto" w:fill="FFFFFF"/>
        <w:jc w:val="both"/>
        <w:rPr>
          <w:color w:val="000000" w:themeColor="text1"/>
          <w:sz w:val="16"/>
          <w:szCs w:val="16"/>
        </w:rPr>
      </w:pPr>
      <w:r w:rsidRPr="00E14102">
        <w:rPr>
          <w:color w:val="000000" w:themeColor="text1"/>
          <w:sz w:val="16"/>
          <w:szCs w:val="16"/>
        </w:rPr>
        <w:t>(12682).</w:t>
      </w:r>
    </w:p>
    <w:p w14:paraId="3C281981" w14:textId="77777777" w:rsidR="008042DC" w:rsidRPr="00E14102" w:rsidRDefault="008042DC" w:rsidP="00E14102">
      <w:pPr>
        <w:shd w:val="clear" w:color="auto" w:fill="FFFFFF"/>
        <w:jc w:val="both"/>
        <w:rPr>
          <w:color w:val="000000" w:themeColor="text1"/>
          <w:sz w:val="16"/>
          <w:szCs w:val="16"/>
        </w:rPr>
      </w:pPr>
    </w:p>
    <w:p w14:paraId="696734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 на 21 заводе сформировался конструкторский коллектив. Первая самостоятельная работа инженеров ЧКО по созданию УТИ-1 (6211) была замечена. Алкснис предложил заводскому коллективу спроектировать и построить полноценный самолет-истребитель в соответствии с тактико-техническим требованиями ВВС. Естественно, данное предложение не предполагало освобождения от основных обязанностей по обслуживанию серийного производства. Работу следовало вести в свободное время на общественных началах. Такой подход являлся в то время едва ли не повсеместным, и позволял выявить наиболее живучие и работоспособные кадры. Был этот принцип не так уж плох: в случае неудачи участники продолжали тянуть лямку "серийщиков", а успех сулил радужные перспективы, хорошо знакомые любому творческому человеку. Дуэт Алексея Боровкова и Ильи Флорова стал основным генератором идей. Задуманный самолет должен был обладать одновременно свойствами скоростных монопланов и маневренных бипланов. Для разрешения этих противоречивых требований окончательно остановились на схеме биплана со свободнонесущими крыльями, без традиционных стоек и расчалок. В качестве силовой установки использовали двигатель М-85 - двухрядную, четырнадцатицилиндровую звезду воздушного охлаждения, обладавшую номинальной мощностью 800 л. с. на высоте 3850 метров.</w:t>
      </w:r>
    </w:p>
    <w:p w14:paraId="37473C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создавался явно под впечатлением И-16, внедрением которого занимались в Горьком со второй половины 1934 г. Касалось это, прежде всего, короткого бочкообразного фюзеляжа, но на этом сходство заканчивалось. Новыми и совершенно необычными являлись: смещенная максимально назад для улучшения обзора кабина пилота с задвижным козырьком, цельнометаллические крылья с гладкой обшивкой, очень чистые с точки зрения аэродинамики и имевшие размах всего 6,98 м. Конструктивно крылья были выполнены в виде жесткого кессона (в носке крыла), образованного обшивкой, подкрепленной внутренним гофром. Такая конструкция, впоследствии нашедшая множество приверженцев, в СССР использовалась впервые. Фюзеляж самолета смешанной конструкции, центральная его часть, примыкавшая к двигателю - стальная сварная ферма, прикрываемая легкосъемными боковыми крышками; последнее должно было обеспечить максимальное удобство при техническом обслуживании. Хвостовая часть фюзеляжа - деревянный монокок, получаемый путем надевания деревянной "скорлупы" из шпона на легкий каркас. С освоением подобной конструкции трудностей не предполагалось, именно таким образом изготавливались в соседних цехах поликарповские "ишачки". Шасси самолета неубирающееся, колеса и стойки снабжены обтекателями. Костыль также в обтекателе, причем нижняя его часть являлась фрагментом руля поворота и могла при обжатом амортизаторе перемещаться вверх. Конечно, не все во внешнем облике и конструкции определилось сразу. Задуманный смело и необычно, истребитель рождался мучительно медленно (3453).</w:t>
      </w:r>
    </w:p>
    <w:p w14:paraId="42FA8FF2" w14:textId="77777777" w:rsidR="00D4105E" w:rsidRPr="00E14102" w:rsidRDefault="00D4105E" w:rsidP="00E14102">
      <w:pPr>
        <w:autoSpaceDE w:val="0"/>
        <w:autoSpaceDN w:val="0"/>
        <w:adjustRightInd w:val="0"/>
        <w:jc w:val="both"/>
        <w:rPr>
          <w:color w:val="000000" w:themeColor="text1"/>
          <w:sz w:val="16"/>
          <w:szCs w:val="16"/>
        </w:rPr>
      </w:pPr>
    </w:p>
    <w:p w14:paraId="217103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начала 1935 г. на заводе № 29 в Запорожье производился М-85 - лицензионная копия французского мотора Гном-Рон 14Кс1г8. Первый мотор выпустили в июле 1935 г. Ранние серии частично комплектовались импортными узлами и электрооборудованием (магнето, карбюратор, клапана, подшипники ПЦН, выхлопные патрубки, бензонасос, компрессор, свечи. Два мотора прошли длительные заводские испытания в июле — авгус 1935 г. М-85 проходил государственные стендовые испытания в НИИ ВВС с 27 октября 1935 г., успешно завершил их (со второго предъявления) январе 1936 г. На испытаниях зафиксировали мощность 761/812 л.с. Поздние серии частично унифицировались с М-86, в частности от последнего взяли усиленный кривошипно-шатунный механизм. Двигате; сняли с производства в конце 1937 г. Всего выпущено 463 экз.</w:t>
      </w:r>
    </w:p>
    <w:p w14:paraId="07B103E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Характеристики:</w:t>
      </w:r>
    </w:p>
    <w:p w14:paraId="2CEF76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14-цилиндровый, двухрядный звездообразный, четырехтактный, воз</w:t>
      </w:r>
      <w:r w:rsidRPr="00E14102">
        <w:rPr>
          <w:color w:val="000000" w:themeColor="text1"/>
          <w:sz w:val="16"/>
          <w:szCs w:val="16"/>
        </w:rPr>
        <w:softHyphen/>
        <w:t>душного охлаждения, редукторный, с односкоростным ПЦН;</w:t>
      </w:r>
    </w:p>
    <w:p w14:paraId="7992C4B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мощность 720/800 л.с. (с винтом фиксированного шага 765 л.с.);</w:t>
      </w:r>
    </w:p>
    <w:p w14:paraId="0E90C7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вес 600 кг;</w:t>
      </w:r>
    </w:p>
    <w:p w14:paraId="633582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диаметр цилиндра/ход поршня 146/165 мм;</w:t>
      </w:r>
    </w:p>
    <w:p w14:paraId="16E320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полный рабочий объем 38,68 л;</w:t>
      </w:r>
    </w:p>
    <w:p w14:paraId="22699A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степень сжатия 5,5.</w:t>
      </w:r>
    </w:p>
    <w:p w14:paraId="4854A6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Применялся на серийных самолетах ДБ-3, опытных самолетах И-207, ДГ-58 (ПБ, недостроен), ДГ-58Р (Р-9, недостроен), Р-9 (ЛБШ), ПС-35, ДИ-8. Предусматривался в проекте одной из модификаций СБ (11852).</w:t>
      </w:r>
    </w:p>
    <w:p w14:paraId="727F85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135E8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начале 1935 г. во все варианты М-34 внесли небольшие изменения, результатом которых стал «тип А»: М-34НА, М-34РА и М-34РНА. Максимальная мощность поднялась до 820 л.с., а вес у типа РНА дошел до 748 кг. Интересно, что у ранних серий М-34РНА вых</w:t>
      </w:r>
      <w:r w:rsidRPr="00E14102">
        <w:rPr>
          <w:color w:val="000000" w:themeColor="text1"/>
          <w:sz w:val="16"/>
          <w:szCs w:val="16"/>
        </w:rPr>
        <w:softHyphen/>
        <w:t>лопные клапаны имели масляное ох</w:t>
      </w:r>
      <w:r w:rsidRPr="00E14102">
        <w:rPr>
          <w:color w:val="000000" w:themeColor="text1"/>
          <w:sz w:val="16"/>
          <w:szCs w:val="16"/>
        </w:rPr>
        <w:softHyphen/>
        <w:t>лаждение. Масло капало из трубоч</w:t>
      </w:r>
      <w:r w:rsidRPr="00E14102">
        <w:rPr>
          <w:color w:val="000000" w:themeColor="text1"/>
          <w:sz w:val="16"/>
          <w:szCs w:val="16"/>
        </w:rPr>
        <w:softHyphen/>
        <w:t>ки в чашку на верхушке втулки кла</w:t>
      </w:r>
      <w:r w:rsidRPr="00E14102">
        <w:rPr>
          <w:color w:val="000000" w:themeColor="text1"/>
          <w:sz w:val="16"/>
          <w:szCs w:val="16"/>
        </w:rPr>
        <w:softHyphen/>
        <w:t>пана. Но вскоре выявился существен</w:t>
      </w:r>
      <w:r w:rsidRPr="00E14102">
        <w:rPr>
          <w:color w:val="000000" w:themeColor="text1"/>
          <w:sz w:val="16"/>
          <w:szCs w:val="16"/>
        </w:rPr>
        <w:softHyphen/>
        <w:t>ный дефект: угорающее масло дава</w:t>
      </w:r>
      <w:r w:rsidRPr="00E14102">
        <w:rPr>
          <w:color w:val="000000" w:themeColor="text1"/>
          <w:sz w:val="16"/>
          <w:szCs w:val="16"/>
        </w:rPr>
        <w:softHyphen/>
        <w:t>ло смолистые осаждения, которые не пропускали масло вниз и затрудня</w:t>
      </w:r>
      <w:r w:rsidRPr="00E14102">
        <w:rPr>
          <w:color w:val="000000" w:themeColor="text1"/>
          <w:sz w:val="16"/>
          <w:szCs w:val="16"/>
        </w:rPr>
        <w:softHyphen/>
        <w:t>ли движение штока. От масляного ох</w:t>
      </w:r>
      <w:r w:rsidRPr="00E14102">
        <w:rPr>
          <w:color w:val="000000" w:themeColor="text1"/>
          <w:sz w:val="16"/>
          <w:szCs w:val="16"/>
        </w:rPr>
        <w:softHyphen/>
        <w:t>лаждения отказались. К середине 30-х годов уровень брака на заводе № 24 упал до приемлемых, по советским меркам, 15-17%. Осенью 1934 г. изготовили первые моторы с экранированным зажиганием, не создающим помехи для радиостанции. Но серийные дви</w:t>
      </w:r>
      <w:r w:rsidRPr="00E14102">
        <w:rPr>
          <w:color w:val="000000" w:themeColor="text1"/>
          <w:sz w:val="16"/>
          <w:szCs w:val="16"/>
        </w:rPr>
        <w:softHyphen/>
        <w:t>гатели в таком исполнении появились только в январе следующего года, а полностью на него перешли к нача</w:t>
      </w:r>
      <w:r w:rsidRPr="00E14102">
        <w:rPr>
          <w:color w:val="000000" w:themeColor="text1"/>
          <w:sz w:val="16"/>
          <w:szCs w:val="16"/>
        </w:rPr>
        <w:softHyphen/>
        <w:t>лу июля. Вторая стадия модернизации М-34 именовалась «типом Б». В ее рамках «ужесточили» картер, ввели облегченный коленчатый вал с изменен</w:t>
      </w:r>
      <w:r w:rsidRPr="00E14102">
        <w:rPr>
          <w:color w:val="000000" w:themeColor="text1"/>
          <w:sz w:val="16"/>
          <w:szCs w:val="16"/>
        </w:rPr>
        <w:softHyphen/>
        <w:t>ным носком, поставили карбюратор К-34Б и доработали нагнетатель. Так появились М-34НБ и М-34РНБ, за</w:t>
      </w:r>
      <w:r w:rsidRPr="00E14102">
        <w:rPr>
          <w:color w:val="000000" w:themeColor="text1"/>
          <w:sz w:val="16"/>
          <w:szCs w:val="16"/>
        </w:rPr>
        <w:softHyphen/>
        <w:t>пущенные в серию в октябре 1935 г. На последнем внедрили облегченный редуктор, так что при равной мощ</w:t>
      </w:r>
      <w:r w:rsidRPr="00E14102">
        <w:rPr>
          <w:color w:val="000000" w:themeColor="text1"/>
          <w:sz w:val="16"/>
          <w:szCs w:val="16"/>
        </w:rPr>
        <w:softHyphen/>
        <w:t>ности вес получился меньше, чем у М-34РНА - 725 кг. Вариант М-34РБ выпускался в не</w:t>
      </w:r>
      <w:r w:rsidRPr="00E14102">
        <w:rPr>
          <w:color w:val="000000" w:themeColor="text1"/>
          <w:sz w:val="16"/>
          <w:szCs w:val="16"/>
        </w:rPr>
        <w:softHyphen/>
        <w:t>больших количествах, но впослед</w:t>
      </w:r>
      <w:r w:rsidRPr="00E14102">
        <w:rPr>
          <w:color w:val="000000" w:themeColor="text1"/>
          <w:sz w:val="16"/>
          <w:szCs w:val="16"/>
        </w:rPr>
        <w:softHyphen/>
        <w:t>ствии их много «всплыло» в ходе ремонтов (в 1938-39 годах с М-34РНБ на предприятиях ГВФ снимали нагне</w:t>
      </w:r>
      <w:r w:rsidRPr="00E14102">
        <w:rPr>
          <w:color w:val="000000" w:themeColor="text1"/>
          <w:sz w:val="16"/>
          <w:szCs w:val="16"/>
        </w:rPr>
        <w:softHyphen/>
        <w:t>татели, чтобы продлить ресурс дви</w:t>
      </w:r>
      <w:r w:rsidRPr="00E14102">
        <w:rPr>
          <w:color w:val="000000" w:themeColor="text1"/>
          <w:sz w:val="16"/>
          <w:szCs w:val="16"/>
        </w:rPr>
        <w:softHyphen/>
        <w:t>гателей. Так получались дополнитель</w:t>
      </w:r>
      <w:r w:rsidRPr="00E14102">
        <w:rPr>
          <w:color w:val="000000" w:themeColor="text1"/>
          <w:sz w:val="16"/>
          <w:szCs w:val="16"/>
        </w:rPr>
        <w:softHyphen/>
        <w:t>ные М-34РБ) (11848).</w:t>
      </w:r>
    </w:p>
    <w:p w14:paraId="2C36712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F9F5B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w:t>
      </w:r>
      <w:r w:rsidRPr="00E14102">
        <w:rPr>
          <w:color w:val="000000" w:themeColor="text1"/>
          <w:sz w:val="16"/>
          <w:szCs w:val="16"/>
        </w:rPr>
        <w:softHyphen/>
        <w:t>чале 1935 г. документацию по М-34ФРН переда</w:t>
      </w:r>
      <w:r w:rsidRPr="00E14102">
        <w:rPr>
          <w:color w:val="000000" w:themeColor="text1"/>
          <w:sz w:val="16"/>
          <w:szCs w:val="16"/>
        </w:rPr>
        <w:softHyphen/>
        <w:t>ли заводу № 24 и в 1936 г. М-34ФРН вы</w:t>
      </w:r>
      <w:r w:rsidRPr="00E14102">
        <w:rPr>
          <w:color w:val="000000" w:themeColor="text1"/>
          <w:sz w:val="16"/>
          <w:szCs w:val="16"/>
        </w:rPr>
        <w:softHyphen/>
        <w:t>пустили в количестве 35 штук (11848).</w:t>
      </w:r>
    </w:p>
    <w:p w14:paraId="5F77CD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21E9F3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начала 1935 г. М-34ФРН с испарительным охлаждением раз</w:t>
      </w:r>
      <w:r w:rsidRPr="00E14102">
        <w:rPr>
          <w:color w:val="000000" w:themeColor="text1"/>
          <w:sz w:val="16"/>
          <w:szCs w:val="16"/>
        </w:rPr>
        <w:softHyphen/>
        <w:t>рабатывался в ЦИАМ Р.И. Бартошем. Во второй половине 30-х годов перспективным представлялось при</w:t>
      </w:r>
      <w:r w:rsidRPr="00E14102">
        <w:rPr>
          <w:color w:val="000000" w:themeColor="text1"/>
          <w:sz w:val="16"/>
          <w:szCs w:val="16"/>
        </w:rPr>
        <w:softHyphen/>
        <w:t>менение испарительного охлаждения. Вода закипала в рубашке и в виде пара отводилась в конденсаторы. Для того, чтобы снять то же количество тепла, при этом требовалось куда меньше воды. Вес системы охлажде</w:t>
      </w:r>
      <w:r w:rsidRPr="00E14102">
        <w:rPr>
          <w:color w:val="000000" w:themeColor="text1"/>
          <w:sz w:val="16"/>
          <w:szCs w:val="16"/>
        </w:rPr>
        <w:softHyphen/>
        <w:t>ния должен был снизиться. В том же году его испытали на ТБ-3. В 1936 г. изго</w:t>
      </w:r>
      <w:r w:rsidRPr="00E14102">
        <w:rPr>
          <w:color w:val="000000" w:themeColor="text1"/>
          <w:sz w:val="16"/>
          <w:szCs w:val="16"/>
        </w:rPr>
        <w:softHyphen/>
        <w:t>товили несколько таких моторов для опытного истребителя И-21. Двига</w:t>
      </w:r>
      <w:r w:rsidRPr="00E14102">
        <w:rPr>
          <w:color w:val="000000" w:themeColor="text1"/>
          <w:sz w:val="16"/>
          <w:szCs w:val="16"/>
        </w:rPr>
        <w:softHyphen/>
        <w:t>тель имел повышающий редуктор и нестандартный нижний картер с герметическим сквозным каналом для прохода трубы лонжерона центроп</w:t>
      </w:r>
      <w:r w:rsidRPr="00E14102">
        <w:rPr>
          <w:color w:val="000000" w:themeColor="text1"/>
          <w:sz w:val="16"/>
          <w:szCs w:val="16"/>
        </w:rPr>
        <w:softHyphen/>
        <w:t>лана. В начале 1937 г. на И-21 со</w:t>
      </w:r>
      <w:r w:rsidRPr="00E14102">
        <w:rPr>
          <w:color w:val="000000" w:themeColor="text1"/>
          <w:sz w:val="16"/>
          <w:szCs w:val="16"/>
        </w:rPr>
        <w:softHyphen/>
        <w:t>вершили несколько полетов. Надеж</w:t>
      </w:r>
      <w:r w:rsidRPr="00E14102">
        <w:rPr>
          <w:color w:val="000000" w:themeColor="text1"/>
          <w:sz w:val="16"/>
          <w:szCs w:val="16"/>
        </w:rPr>
        <w:softHyphen/>
        <w:t>ность системы оказалась крайне низ</w:t>
      </w:r>
      <w:r w:rsidRPr="00E14102">
        <w:rPr>
          <w:color w:val="000000" w:themeColor="text1"/>
          <w:sz w:val="16"/>
          <w:szCs w:val="16"/>
        </w:rPr>
        <w:softHyphen/>
        <w:t>кой. Надо сказать, что немцы и анг</w:t>
      </w:r>
      <w:r w:rsidRPr="00E14102">
        <w:rPr>
          <w:color w:val="000000" w:themeColor="text1"/>
          <w:sz w:val="16"/>
          <w:szCs w:val="16"/>
        </w:rPr>
        <w:softHyphen/>
        <w:t>личане, шедшие по тому же пути, тоже не смогли добиться надежного функционирования системы парово</w:t>
      </w:r>
      <w:r w:rsidRPr="00E14102">
        <w:rPr>
          <w:color w:val="000000" w:themeColor="text1"/>
          <w:sz w:val="16"/>
          <w:szCs w:val="16"/>
        </w:rPr>
        <w:softHyphen/>
        <w:t>го охлаждения и отказались от нее (11848).</w:t>
      </w:r>
    </w:p>
    <w:p w14:paraId="3BCDE8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5579E75" w14:textId="77777777" w:rsidR="00D4105E" w:rsidRPr="00E14102" w:rsidRDefault="00D4105E" w:rsidP="00E14102">
      <w:pPr>
        <w:numPr>
          <w:ilvl w:val="12"/>
          <w:numId w:val="0"/>
        </w:numPr>
        <w:autoSpaceDE w:val="0"/>
        <w:autoSpaceDN w:val="0"/>
        <w:adjustRightInd w:val="0"/>
        <w:jc w:val="both"/>
        <w:rPr>
          <w:iCs/>
          <w:color w:val="000000" w:themeColor="text1"/>
          <w:sz w:val="16"/>
          <w:szCs w:val="16"/>
        </w:rPr>
      </w:pPr>
      <w:r w:rsidRPr="00E14102">
        <w:rPr>
          <w:color w:val="000000" w:themeColor="text1"/>
          <w:sz w:val="16"/>
          <w:szCs w:val="16"/>
        </w:rPr>
        <w:t>С начала 1935 г. М-34ФРН с испарительным охлаждением; разрабатывался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E14102">
        <w:rPr>
          <w:color w:val="000000" w:themeColor="text1"/>
          <w:sz w:val="16"/>
          <w:szCs w:val="16"/>
        </w:rPr>
        <w:softHyphen/>
        <w:t>тирован с тремя вариантами редуктора и двумя типами ПЦН. Впер</w:t>
      </w:r>
      <w:r w:rsidRPr="00E14102">
        <w:rPr>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 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E14102">
        <w:rPr>
          <w:color w:val="000000" w:themeColor="text1"/>
          <w:sz w:val="16"/>
          <w:szCs w:val="16"/>
        </w:rPr>
        <w:softHyphen/>
        <w:t>тов, удлиненный носок редуктора, усиленный коленвал с измененной схе</w:t>
      </w:r>
      <w:r w:rsidRPr="00E14102">
        <w:rPr>
          <w:color w:val="000000" w:themeColor="text1"/>
          <w:sz w:val="16"/>
          <w:szCs w:val="16"/>
        </w:rPr>
        <w:softHyphen/>
        <w:t xml:space="preserve">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w:t>
      </w:r>
      <w:r w:rsidRPr="00E14102">
        <w:rPr>
          <w:color w:val="000000" w:themeColor="text1"/>
          <w:sz w:val="16"/>
          <w:szCs w:val="16"/>
        </w:rPr>
        <w:lastRenderedPageBreak/>
        <w:t>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 (11852).</w:t>
      </w:r>
    </w:p>
    <w:p w14:paraId="6D66DF91" w14:textId="77777777" w:rsidR="00D4105E" w:rsidRPr="00E14102" w:rsidRDefault="00D4105E" w:rsidP="00E14102">
      <w:pPr>
        <w:numPr>
          <w:ilvl w:val="12"/>
          <w:numId w:val="0"/>
        </w:numPr>
        <w:autoSpaceDE w:val="0"/>
        <w:autoSpaceDN w:val="0"/>
        <w:adjustRightInd w:val="0"/>
        <w:jc w:val="both"/>
        <w:rPr>
          <w:iCs/>
          <w:color w:val="000000" w:themeColor="text1"/>
          <w:sz w:val="16"/>
          <w:szCs w:val="16"/>
        </w:rPr>
      </w:pPr>
    </w:p>
    <w:p w14:paraId="1E9BC1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 на завод (Завод № 120 НКТП, НКОП, НКАП, Завод № 120/309 нкоп /Балашиха Московской обл.;  г. Нижний Тагил Свердловской обл.,  г. Каменск Челябинской обл) с завода № 34 передано металлургическое производство по выпуску алюминиевого и магниевого проката. Головной и единственный до ВОВ завод по авиаколесам и тормозам. Выпускал также агрегаты управления. В 1938 г. выпускал также артиллерийские колеса.</w:t>
      </w:r>
    </w:p>
    <w:p w14:paraId="585D0C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 0032 от 8.02.1937 г. заводу предписано к 1.04.1937 г. сдать в эксплуатацию 1-ю очередь литейного цеха, к 1.07.1937 г. закончить вторую треть колесного цеха, а в 1-м полугодии 1938 г. - последнюю треть колесного цеха; приказом № 00116 от 28.05.1937 г. - к 1.10.1937 г. организовать производство колес для самолета Вулти. Приказом № 226 от 4.06.1938 г. заводу поручено начать в текущем году строительство цеха ширпотреба.</w:t>
      </w:r>
    </w:p>
    <w:p w14:paraId="04A504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заводе действовал опытный отдел с опытным цехом по разработке колес и тормозов, в 1936 г. создано ОКБ.</w:t>
      </w:r>
    </w:p>
    <w:p w14:paraId="499E12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распоряжением правительства № С0861с от 23.03.1937 г. и пр. № 071с от 5.04.1937 г. литейное производство завода выделено в самостоятельный завод № 219 в ведении 1ГУ (первоначально планировалось присвоить заводу № 120А или 234). Разделение имущества предписано провести в месячный срок.</w:t>
      </w:r>
    </w:p>
    <w:p w14:paraId="504913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1E7CC8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Перед войной действовал филиал на Нижнетагильском вагоностроительном заводе.</w:t>
      </w:r>
    </w:p>
    <w:p w14:paraId="342D2A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 приказу № 668сс от 12.07.1941 г. часть завода (50%) № 120 2ГУ </w:t>
      </w:r>
      <w:r w:rsidRPr="00E14102">
        <w:rPr>
          <w:color w:val="000000" w:themeColor="text1"/>
          <w:sz w:val="16"/>
          <w:szCs w:val="16"/>
          <w:lang w:val="en-US"/>
        </w:rPr>
        <w:t>HKAIT</w:t>
      </w:r>
      <w:r w:rsidRPr="00E14102">
        <w:rPr>
          <w:color w:val="000000" w:themeColor="text1"/>
          <w:sz w:val="16"/>
          <w:szCs w:val="16"/>
        </w:rPr>
        <w:t xml:space="preserve"> и КБ эвакуированы в Нижний Тагил на площадку своего филиала. Другая часть завода (в т.ч. испытательная станция с личным составом) по приказу № 1053сс от 9.10.1941 г. эвакуирована в  г. Каменск Челябинской обл. на площадку строящегося завода № 286 2ГУ НКАП. По приказу № 1079с от 26.10.1941 г. часть завода № 120 и завод № 286 слиты в единый завод № 120, а часть завода в Нижнем Тагиле действовала как филиал завода № 120. Начальник филиала- Власов. По приказу № 1183с от 23.12.1941 г. филиал в Нижнем Тагиле получил статус основного и наименование завод № 120 НКАП, а завод в Каменске, наоборот, стал филиалом.</w:t>
      </w:r>
    </w:p>
    <w:p w14:paraId="43CF49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целью расширения производства колес по приказу № 91с от 1.02.1942 г. филиал завода в Каменске преобразован в самостоятельный завод № 286 НКАП.</w:t>
      </w:r>
    </w:p>
    <w:p w14:paraId="023403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литых колес для Пе-2, ЛаГГ-3, Ил-2, Як-1, алюминиевое литье.</w:t>
      </w:r>
    </w:p>
    <w:p w14:paraId="2064C6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приказу № 25с от 5.01.1942 г. площади эвакуированного завода № 120 НКАП с оставшимся оборудованием и кадрами и завода № 121 НКАП переданы вновь созданному заводу № 219 (заводы располагались на смежных территориях). По приказу № 92с от 12.02.1943 г. с завода № 120 НКАП в ОКБ завода № 219 НКАП переведена большая группа ИТР и рабочих, ранее работавших там, и оборудование. Затем еще неоднократно специалисты завода № 120 переводились в ОКБ завода № 219 НКАП для его укрепления (приказ № 735с от 8.12.1943 г.).</w:t>
      </w:r>
    </w:p>
    <w:p w14:paraId="552CC8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Действовал филиал завода № 120 в  г. Березовске, директор- А.И. Пастер. На площадку филиала эвакуирован из Москвы завод № 261 2ГУ НКАП. По приказу № 279с от 14.04.1942 г. завод № 261 влит в состав завода № 120. Затем по приказу НКАП № 150с от 15.03.1943 г. завод № 261 НКАП в  г. Березовске восстановлен как самостоятельный.</w:t>
      </w:r>
    </w:p>
    <w:p w14:paraId="3211CF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приказу № 435с от 12.11.1945 г. основная часть личного состава (800 чел.) и оборудования завода № 120 переведена и влита с 1.11.1945 г. в состав завода № 286 НКАП, а оставшиеся 300 квалифицированных рабочих и ИТР переданы для укрепления завода № 219. Территория завода тем же приказом передана в распоряжение завода № 183 НКТП.</w:t>
      </w:r>
    </w:p>
    <w:p w14:paraId="704F23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(-05.1937-8.02.1938 г.)- И.С. Михайлов, (15.06.1938-12.1941 г.-&gt; Е.М. Горницкий, (02.1942 г.)- А.И. Пастер (одновременно директор завода № 261), (-06.1944-11.1945 г.)- Миронов.</w:t>
      </w:r>
    </w:p>
    <w:p w14:paraId="270621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директора (06.1937 г.)- Н.А. Данилович.</w:t>
      </w:r>
    </w:p>
    <w:p w14:paraId="31406B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(06.1937 г.)- Н.А. Данилович.</w:t>
      </w:r>
    </w:p>
    <w:p w14:paraId="0F5EFC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конструктор (11.1940 г.-)- П.В. Флеров.</w:t>
      </w:r>
    </w:p>
    <w:p w14:paraId="4A0584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инженеры: по колесному производству (06.1937 г.)- Е.М. Горницкий; по литейному производству (06.1937 г.)- С.С. Фельдман (11982).</w:t>
      </w:r>
    </w:p>
    <w:p w14:paraId="50B86210" w14:textId="77777777" w:rsidR="00D4105E" w:rsidRPr="00E14102" w:rsidRDefault="00D4105E" w:rsidP="00E14102">
      <w:pPr>
        <w:autoSpaceDE w:val="0"/>
        <w:autoSpaceDN w:val="0"/>
        <w:adjustRightInd w:val="0"/>
        <w:jc w:val="both"/>
        <w:rPr>
          <w:color w:val="000000" w:themeColor="text1"/>
          <w:sz w:val="16"/>
          <w:szCs w:val="16"/>
        </w:rPr>
      </w:pPr>
    </w:p>
    <w:p w14:paraId="4C96D1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была подготовлена Объяснительная записка к отчету о работе за 1934 год по службе гл. инженера вооружения</w:t>
      </w:r>
    </w:p>
    <w:p w14:paraId="50F23B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Основными работами по бомбардировочному вооружению в 1934 году являлись:</w:t>
      </w:r>
    </w:p>
    <w:p w14:paraId="77DA0F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По бомбодержателям и сбрасывателям:</w:t>
      </w:r>
    </w:p>
    <w:p w14:paraId="039D1D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доводка и внедрение в серийное производство новых электрифицированных бомбодержателей и сбрасывателей.</w:t>
      </w:r>
    </w:p>
    <w:p w14:paraId="3D9355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разработка и испытания новых более совершенных бомбодержателей и сбрасывателей.</w:t>
      </w:r>
    </w:p>
    <w:p w14:paraId="5837DE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результате этих работ почти все старые типы бомбодержателей и сбрасывателей снимаются с производства с 1935 года и заменяются новыми значительно более совершенными типами (ДЕР-19, 20, 21, 30, 31, 32, поясная подвеска и т.д.). Особенно больших результатов добились в части уменьшения весов бомбардировочного вооружения и улучшения аэродинамических и тактических свойств их.</w:t>
      </w:r>
    </w:p>
    <w:p w14:paraId="7267E8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По авиабомбам и взрывателям:</w:t>
      </w:r>
    </w:p>
    <w:p w14:paraId="175D9D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Отработка эффективности действия фугасных и бронебойных авиабомб по действительным и близким к действительным целям, как валового производства, так и опытных образцов.</w:t>
      </w:r>
    </w:p>
    <w:p w14:paraId="7D6C9C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Отработка баллистических данных авиабомб.</w:t>
      </w:r>
    </w:p>
    <w:p w14:paraId="4AB47F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Отработка зажигательных, осветительных и других авиабомб специального назначения.</w:t>
      </w:r>
    </w:p>
    <w:p w14:paraId="099A88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Отработка новых взрывателей с длительным замедлением, электровзрывателей и дистанционных трубок.</w:t>
      </w:r>
    </w:p>
    <w:p w14:paraId="087FAE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прицелам</w:t>
      </w:r>
    </w:p>
    <w:p w14:paraId="256808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Основная работа - отработка и получение на вооружение синхронного прицела автомата для бомбометания и прицела для низкого торпедометания.</w:t>
      </w:r>
    </w:p>
    <w:p w14:paraId="232B6C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прицелу для низкого торпедометания отработан и принят на вооружение образец прицела.</w:t>
      </w:r>
    </w:p>
    <w:p w14:paraId="53DDF8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синхронному прицелу для бомбометания испытывался ряд прицелов, которые передавались на войсковые и гос. испытания требуют дальнейшей доработки.</w:t>
      </w:r>
    </w:p>
    <w:p w14:paraId="058130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p w14:paraId="483490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Основными работами являлись:</w:t>
      </w:r>
    </w:p>
    <w:p w14:paraId="23982E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получение горизонтальных дымзавес, унификация приборов и огнеметание.</w:t>
      </w:r>
    </w:p>
    <w:p w14:paraId="203AFB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p w14:paraId="11D1EB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Основными работами сектора являлось: внедрение пул. ШКАС в опытное строительство и в особенности в строевые части ВС.</w:t>
      </w:r>
    </w:p>
    <w:p w14:paraId="3D3CCB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Отработка стрелковых установок истребительных самолетов.</w:t>
      </w:r>
    </w:p>
    <w:p w14:paraId="606927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Отработка подвижных экранированных электрифицированных установок под ШКАС на скоростные самолеты.</w:t>
      </w:r>
    </w:p>
    <w:p w14:paraId="3D1B88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Отработка в смысле увеличения живучести синхронного пулемета ШКАС.</w:t>
      </w:r>
    </w:p>
    <w:p w14:paraId="645DC2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Отработка турелей под ШВАК в особенности кал. 20 мм к нему и патронов.</w:t>
      </w:r>
    </w:p>
    <w:p w14:paraId="7BF7AD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Отработка турелей под ШВАК экранированных электрифицированных с подводом непрерывного питания и улавливанием звеньев и гильз.</w:t>
      </w:r>
    </w:p>
    <w:p w14:paraId="67C8F2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Отработка прицелов для подвижных и неподвижных установок с артсистемами кал. 7,62 мм - 37 мм с расчетом на скорость самолета своего и противника до 600 км/час и дистанцией стрельбы для кал. 7,62 мм до 1000 м и для кал. выше 7,62 мм до 3000 м.</w:t>
      </w:r>
    </w:p>
    <w:p w14:paraId="22FEA1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Минно-торпедное вооружение</w:t>
      </w:r>
    </w:p>
    <w:p w14:paraId="1D82C1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Главной узловой проблемой работы сектора была отработка низкого торпедометания и минометания как отстающего участка в области вооружения.</w:t>
      </w:r>
    </w:p>
    <w:p w14:paraId="3C364C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Полностью справиться с этой работой сектору не удалось.</w:t>
      </w:r>
    </w:p>
    <w:p w14:paraId="0A2466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Стрелково-артиллерийское вооружение</w:t>
      </w:r>
    </w:p>
    <w:p w14:paraId="31730C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Основными работами 18 сектора за 1934 год были следующие:</w:t>
      </w:r>
    </w:p>
    <w:p w14:paraId="25C2AC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Проведение войсковых испытаний АПК-4 на сам. ЗЕТ.</w:t>
      </w:r>
    </w:p>
    <w:p w14:paraId="3851EF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Проведение гос. испытаний АПК-11 на самолете И14.</w:t>
      </w:r>
    </w:p>
    <w:p w14:paraId="3A603A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Проведение гос. испытаний реактивных снарядов калибра 82 мм на самолете И-5 и 132 мм на самолете Р-6.</w:t>
      </w:r>
    </w:p>
    <w:p w14:paraId="189F33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Составление описания вооружения самолета ЗЕТ.</w:t>
      </w:r>
    </w:p>
    <w:p w14:paraId="2E7933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Разработка и постройка прицелов для артиллерийских установок на самолетах и испытание их.</w:t>
      </w:r>
    </w:p>
    <w:p w14:paraId="7AC836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Вооружение новых самолетов ЗЕТ новыми системами АПк-8, АПК-12, АПК-13 и испытание их (3127).</w:t>
      </w:r>
    </w:p>
    <w:p w14:paraId="6DD0447B" w14:textId="77777777" w:rsidR="00D4105E" w:rsidRPr="00E14102" w:rsidRDefault="00D4105E" w:rsidP="00E14102">
      <w:pPr>
        <w:autoSpaceDE w:val="0"/>
        <w:autoSpaceDN w:val="0"/>
        <w:adjustRightInd w:val="0"/>
        <w:jc w:val="both"/>
        <w:rPr>
          <w:color w:val="000000" w:themeColor="text1"/>
          <w:sz w:val="16"/>
          <w:szCs w:val="16"/>
        </w:rPr>
      </w:pPr>
    </w:p>
    <w:p w14:paraId="69E015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года Майзель А.Е. на заводе № 3 был отстранен от работ (3441, 33).</w:t>
      </w:r>
    </w:p>
    <w:p w14:paraId="54B8C674" w14:textId="77777777" w:rsidR="00D4105E" w:rsidRPr="00E14102" w:rsidRDefault="00D4105E" w:rsidP="00E14102">
      <w:pPr>
        <w:autoSpaceDE w:val="0"/>
        <w:autoSpaceDN w:val="0"/>
        <w:adjustRightInd w:val="0"/>
        <w:jc w:val="both"/>
        <w:rPr>
          <w:color w:val="000000" w:themeColor="text1"/>
          <w:sz w:val="16"/>
          <w:szCs w:val="16"/>
        </w:rPr>
      </w:pPr>
    </w:p>
    <w:p w14:paraId="4FA242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года началась разработка ракетных бомб с дополнительной скоростью. Заводские испытания были проведены в ноябре-декабре 1936 года в Севастополе (4187).</w:t>
      </w:r>
    </w:p>
    <w:p w14:paraId="1EE8C90D" w14:textId="77777777" w:rsidR="00D4105E" w:rsidRPr="00E14102" w:rsidRDefault="00D4105E" w:rsidP="00E14102">
      <w:pPr>
        <w:autoSpaceDE w:val="0"/>
        <w:autoSpaceDN w:val="0"/>
        <w:adjustRightInd w:val="0"/>
        <w:jc w:val="both"/>
        <w:rPr>
          <w:color w:val="000000" w:themeColor="text1"/>
          <w:sz w:val="16"/>
          <w:szCs w:val="16"/>
        </w:rPr>
      </w:pPr>
    </w:p>
    <w:p w14:paraId="6375BB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начале 1935 Л.В.Курчевский пригласил Б.И.Ч. создать бесхвостый истребитель под две 3-х дюймовые пушки АПК-4 и для проектирования и строительства БИЧ-17 при Управлении спецработ на заводе 8 в Подлипках организовали КБ. В начале 1936 машина была на 60% готова, но Л.В.К. арестовали и все пошло прахом (2544,117).</w:t>
      </w:r>
    </w:p>
    <w:p w14:paraId="36B0D89E" w14:textId="77777777" w:rsidR="00D4105E" w:rsidRPr="00E14102" w:rsidRDefault="00D4105E" w:rsidP="00E14102">
      <w:pPr>
        <w:autoSpaceDE w:val="0"/>
        <w:autoSpaceDN w:val="0"/>
        <w:adjustRightInd w:val="0"/>
        <w:jc w:val="both"/>
        <w:rPr>
          <w:color w:val="000000" w:themeColor="text1"/>
          <w:sz w:val="16"/>
          <w:szCs w:val="16"/>
        </w:rPr>
      </w:pPr>
    </w:p>
    <w:p w14:paraId="397308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утвердили макет ЛК-2 П.И.Гроховского (80,244).</w:t>
      </w:r>
    </w:p>
    <w:p w14:paraId="0D23A8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 по предложению майора Воронина</w:t>
      </w:r>
    </w:p>
    <w:p w14:paraId="2C0084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Имеется два предложения по оборудованию самолетов для борьбы с аэростатами заграждения:</w:t>
      </w:r>
    </w:p>
    <w:p w14:paraId="2AF6A98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предложение майора Воронина и</w:t>
      </w:r>
    </w:p>
    <w:p w14:paraId="53D3125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предложение ст. лейтенанта Гурова.</w:t>
      </w:r>
    </w:p>
    <w:p w14:paraId="63743D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было подано предложение Воронина по оборудованию самолетов для борьбы с аэростатами заграждения, но реализации предложения Воронину добиться не удалось. В НИИ ВВС о нем не было известно до марта 1937 года. В период испытания Р-6, оборудованного приспособлением другого конструктора - Гурова - Воронин прислал в НИИ протест против того, что испытание ведется без его участия. Бажанов распорядился привлечь его к работе. Воронин два раза приглашался на заседания комиссии по воздушному тральщику в НИИ, но войти в работу не сумел, так он более всего интересовался признанием за ним авторства проведенной Гуровым работы (4180).</w:t>
      </w:r>
    </w:p>
    <w:p w14:paraId="7D6BD8D1" w14:textId="77777777" w:rsidR="00D4105E" w:rsidRPr="00E14102" w:rsidRDefault="00D4105E" w:rsidP="00E14102">
      <w:pPr>
        <w:autoSpaceDE w:val="0"/>
        <w:autoSpaceDN w:val="0"/>
        <w:adjustRightInd w:val="0"/>
        <w:jc w:val="both"/>
        <w:rPr>
          <w:color w:val="000000" w:themeColor="text1"/>
          <w:sz w:val="16"/>
          <w:szCs w:val="16"/>
        </w:rPr>
      </w:pPr>
    </w:p>
    <w:p w14:paraId="2D69B9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начале 1935 г. в документах первые упоминания ракетной авиабомбе на базе РС-245 (11402).</w:t>
      </w:r>
    </w:p>
    <w:p w14:paraId="4C03C2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73D7DB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начале 1935 г. в ОВИ НКО СССР (Москва, 2-й дом НКО) начали поступать проекты отечественного управляемого ракетного вооружения. Нельзя однозначно утверждать, что это были первые попытки создать ракеты класса «воздух-воздух», но военных эти предложения очень заин</w:t>
      </w:r>
      <w:r w:rsidRPr="00E14102">
        <w:rPr>
          <w:color w:val="000000" w:themeColor="text1"/>
          <w:sz w:val="16"/>
          <w:szCs w:val="16"/>
        </w:rPr>
        <w:softHyphen/>
        <w:t>тересовали (11402).</w:t>
      </w:r>
    </w:p>
    <w:p w14:paraId="1D0C73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1B8D5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 в ВИАМе была разработана белая маскировочная краска для самолетов с полотняной обшивкой, не имевшая, на первый взгляд, никакого отношения к камуфляжу. Она состояла из казеина, буры, мела и закрепляющего спецлака, состав которого считался секретным. Главной особенностью этой краски было то, что она наносилась поверх основного (аэролакового) покрытия самолета и могла быть смыта без его повреждения. Удаление краски после того, как надобность в ней отпадала, осуществлялось с помощью горячей воды и тряпок, трудоемкость этой операции сильно зависела от процента содержания спецлака, Этот принцип, используемый в дальнейшем для создания таких же временных красок других цветов, сыграл огромную роль во всех исследованиях камуфляжных окрасок самолетов в СССР вплоть до 1941 г (2560,17).</w:t>
      </w:r>
    </w:p>
    <w:p w14:paraId="2AE9A982" w14:textId="77777777" w:rsidR="00D4105E" w:rsidRPr="00E14102" w:rsidRDefault="00D4105E" w:rsidP="00E14102">
      <w:pPr>
        <w:autoSpaceDE w:val="0"/>
        <w:autoSpaceDN w:val="0"/>
        <w:adjustRightInd w:val="0"/>
        <w:jc w:val="both"/>
        <w:rPr>
          <w:color w:val="000000" w:themeColor="text1"/>
          <w:sz w:val="16"/>
          <w:szCs w:val="16"/>
        </w:rPr>
      </w:pPr>
    </w:p>
    <w:p w14:paraId="6118B6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 ВИАМ разработал две марки хлопчатобумажных тканей АМ-85 и АСТ-100. По своим характеристикам, определенным в лабораторных условиях, они не отличались от иностранных и значительно (на 50%) превосходили льняное полотно по прочности. У новых тканей по сравнению с А-16 были и некоторые недостатки: увеличенный на 5 - 17 % вес, большее удлинение и меньший прирост прочности при нанесении аэролака. Последнее, впрочем, вполне компенсировалось более высокой первоначальной прочностью и в лакированном виде все ткани имели почти одинаковые показатели по прочности. Учитывая, что прирост прочности от лакирования носит временный характер и при эксплуатации уменьшается, принятие на снабжение ВВС новых тканей сулило значительно больший срок службы обшивки (2560,13). В том же 1935 г. хлопчатобумажные ткани были предъявлены на испытания в НИИ ВВС. Для этого на заводе 39 ими были обтянуты два истребителя И-16. На новые ткани по технологии завода нанесли обычное лакокрасочное покрытие, но обшивка быстро ослабла, обвисла и ее пришлось снять. Существовавшие в тот период ааролаки оказались непригодными, требовались более эластичные и дающие большую усадку. Такие аэролаки были созданы в ВИАМ и предъявлены вместе с тканями на повторные испытания в следующем году (2560,13).</w:t>
      </w:r>
    </w:p>
    <w:p w14:paraId="0C1A2D31" w14:textId="77777777" w:rsidR="00D4105E" w:rsidRPr="00E14102" w:rsidRDefault="00D4105E" w:rsidP="00E14102">
      <w:pPr>
        <w:autoSpaceDE w:val="0"/>
        <w:autoSpaceDN w:val="0"/>
        <w:adjustRightInd w:val="0"/>
        <w:jc w:val="both"/>
        <w:rPr>
          <w:color w:val="000000" w:themeColor="text1"/>
          <w:sz w:val="16"/>
          <w:szCs w:val="16"/>
        </w:rPr>
      </w:pPr>
    </w:p>
    <w:p w14:paraId="74C7BBF6" w14:textId="77777777" w:rsidR="00CE6FC3" w:rsidRPr="00E14102" w:rsidRDefault="00CE6FC3" w:rsidP="00E14102">
      <w:pPr>
        <w:jc w:val="both"/>
        <w:rPr>
          <w:color w:val="0070C0"/>
          <w:sz w:val="16"/>
          <w:szCs w:val="16"/>
        </w:rPr>
      </w:pPr>
      <w:r w:rsidRPr="00E14102">
        <w:rPr>
          <w:color w:val="0070C0"/>
          <w:sz w:val="16"/>
          <w:szCs w:val="16"/>
        </w:rPr>
        <w:t>В начале 1935 г. специ</w:t>
      </w:r>
      <w:r w:rsidRPr="00E14102">
        <w:rPr>
          <w:color w:val="0070C0"/>
          <w:sz w:val="16"/>
          <w:szCs w:val="16"/>
        </w:rPr>
        <w:softHyphen/>
        <w:t>альная инструкция запретила воздухоплавателям летать без парашютов, оказалось, что у тех нет опыта прыжков с современными ранцевыми па</w:t>
      </w:r>
      <w:r w:rsidRPr="00E14102">
        <w:rPr>
          <w:color w:val="0070C0"/>
          <w:sz w:val="16"/>
          <w:szCs w:val="16"/>
        </w:rPr>
        <w:softHyphen/>
        <w:t>рашютами из гондолы свободного аэростата.</w:t>
      </w:r>
    </w:p>
    <w:p w14:paraId="2D82BEB6" w14:textId="77777777" w:rsidR="00CE6FC3" w:rsidRPr="00E14102" w:rsidRDefault="00CE6FC3" w:rsidP="00E14102">
      <w:pPr>
        <w:jc w:val="both"/>
        <w:rPr>
          <w:color w:val="0070C0"/>
          <w:sz w:val="16"/>
          <w:szCs w:val="16"/>
        </w:rPr>
      </w:pPr>
      <w:r w:rsidRPr="00E14102">
        <w:rPr>
          <w:color w:val="0070C0"/>
          <w:sz w:val="16"/>
          <w:szCs w:val="16"/>
        </w:rPr>
        <w:t>Прыжки со свободных аэростатов имеют свои особенности. Если при прыжках с самолёта че</w:t>
      </w:r>
      <w:r w:rsidRPr="00E14102">
        <w:rPr>
          <w:color w:val="0070C0"/>
          <w:sz w:val="16"/>
          <w:szCs w:val="16"/>
        </w:rPr>
        <w:softHyphen/>
        <w:t>ловек некоторое время по инерции летит со ско</w:t>
      </w:r>
      <w:r w:rsidRPr="00E14102">
        <w:rPr>
          <w:color w:val="0070C0"/>
          <w:sz w:val="16"/>
          <w:szCs w:val="16"/>
        </w:rPr>
        <w:softHyphen/>
        <w:t>ростью, достаточной для раскрытия парашюта, то, покидая корзину свободного аэростата, не</w:t>
      </w:r>
      <w:r w:rsidRPr="00E14102">
        <w:rPr>
          <w:color w:val="0070C0"/>
          <w:sz w:val="16"/>
          <w:szCs w:val="16"/>
        </w:rPr>
        <w:softHyphen/>
        <w:t>подвижного относительно воздуха, парашютист сначала имеет скорость, равную нулю. Поэто</w:t>
      </w:r>
      <w:r w:rsidRPr="00E14102">
        <w:rPr>
          <w:color w:val="0070C0"/>
          <w:sz w:val="16"/>
          <w:szCs w:val="16"/>
        </w:rPr>
        <w:softHyphen/>
        <w:t>му купол парашюта раскрывается только через некоторое время, то есть прыжок выполняется с вынужденной затяжкой. Одновременно резкое уменьшение нагрузки вызывает быстрый подъём аэростата (20120).</w:t>
      </w:r>
    </w:p>
    <w:p w14:paraId="0BDB06CA" w14:textId="77777777" w:rsidR="00CE6FC3" w:rsidRPr="00E14102" w:rsidRDefault="00CE6FC3" w:rsidP="00E14102">
      <w:pPr>
        <w:jc w:val="both"/>
        <w:rPr>
          <w:color w:val="0070C0"/>
          <w:sz w:val="16"/>
          <w:szCs w:val="16"/>
        </w:rPr>
      </w:pPr>
    </w:p>
    <w:p w14:paraId="2F400FDB"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В начале 1935 года Герой Советского Союза С.А. Леваневский обратился в адрес советского правительства с предложением совершить дальний рекордный перелет на самолете АНТ-25 через Северный полюс в США. После всестороннего обсуждения, 27 февраля 1935 года, Политбюро ЦК ВКП(б) было утверждено постановление Совета Труда и Обороны (СТО) СССР «О подготовке и проведении перелета т. Леваневского», в котором, в частности, говорилось:</w:t>
      </w:r>
    </w:p>
    <w:p w14:paraId="47AD0479"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«1. Принять предложение т. Леваневского о перелете летом (июль) 1935 года без посадки по маршруту Москва – Сан-Франциско, через Северный Полюс, на самолете РД.</w:t>
      </w:r>
    </w:p>
    <w:p w14:paraId="53916D79"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2. Обязать Наркомтяжпром, под ответственность т. Оржоникидзе, произвести необходимые переделки в самолете РД для указанного перелета и обеспечить самолет моторами М-34 для испытания и перелета.</w:t>
      </w:r>
    </w:p>
    <w:p w14:paraId="0D219ACB"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3. Обязать НКОбороны, под ответственность т. Ворошилова, организовать тренировку и подготовку экипажа для перелета и обеспечения самого перелета радиосвязью и метеорологическим обслуживанием.</w:t>
      </w:r>
    </w:p>
    <w:p w14:paraId="5D3C1D6F"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4. Возложить общее руководство подготовкой перелета и осуществление его на т. Ворошилова и т. Орджоникидзе, а непосредственное руководство подготовкой и перелетом на начальника УВС РККА т. Алксниса.</w:t>
      </w:r>
    </w:p>
    <w:p w14:paraId="6642144C"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Подчинить командира самолета т. Леваневского на весь период подготовки и проведения перелета т. Алкснис.</w:t>
      </w:r>
    </w:p>
    <w:p w14:paraId="101193CF"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5. Утвердить экипаж для перелета в следующем составе:</w:t>
      </w:r>
    </w:p>
    <w:p w14:paraId="0D602AC5"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Командиром экипажа и первым летчиком – т. (С.А.) Леваневского;</w:t>
      </w:r>
    </w:p>
    <w:p w14:paraId="3D556E61"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Штурманом – флаг-штурмана Черного моря – т. (В.И.) Левченко;</w:t>
      </w:r>
    </w:p>
    <w:p w14:paraId="11785C87"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Вторым летчиком – слушателя Военно-воздушной академии – т. (Г.Ф.) Байдукова;</w:t>
      </w:r>
    </w:p>
    <w:p w14:paraId="51825FFD"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Запасным штурманом – зав. штурманской кафедры Военно-воздушной академии – т. (А.В.) Беляков;</w:t>
      </w:r>
    </w:p>
    <w:p w14:paraId="11A9488D"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Запасным летчиком – командира отдельного отряда Балтморя – т. (М.В.) Гуревич.</w:t>
      </w:r>
    </w:p>
    <w:p w14:paraId="26510252"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Техническое обслуживание, подготовку и оборудование самолета для перелета возложить на инженера Испытательной станции ЦАГИ т. (Е.К.) Стоман, авиатехника той же станции т. (В.И.) Бердник, авиатехника Полтавской школы Осоавиахима т. Шабота» . [89]</w:t>
      </w:r>
    </w:p>
    <w:p w14:paraId="0CD2C701"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Весьма необычно описывал в мемуарах спустя 50 лет свое назначение вторым пилотом в экипаж Леваневского Георгий Филиппович Байдуков:</w:t>
      </w:r>
    </w:p>
    <w:p w14:paraId="0D292238"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«Я тогда учился в Военно-воздушной академии имени профессора Н.Е. Жуковского на инженерном факультете. Во время весенней экзаменационной сессии было объявлено постановление СТО о включении меня в состав экипажа С.А. Леваневского в качестве сменного пилота … для перелета на самолете АНТ-25 в 1935 г. из Москвы в Сан-Франциско (США) через Северный полюс. Это решение меня очень смутило, так как я никогда не интересовался ни Арктикой, ни Америкой, не знал самолета АНТ-25 и не был знаком с Леваневским, но как человек военный, я был обязан безоговорочно выполнять решения старших командиров и, тем более, СТО СССР.</w:t>
      </w:r>
    </w:p>
    <w:p w14:paraId="7E12824D"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Леваневский рассказал мне, что он мечтает установить постоянную воздушную линию между Москвой и США по кратчайшему расстоянию…</w:t>
      </w:r>
    </w:p>
    <w:p w14:paraId="271DBA83"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Я спросил: «А кто вам рекомендовал меня?»</w:t>
      </w:r>
    </w:p>
    <w:p w14:paraId="3A88F4DA" w14:textId="77777777" w:rsidR="00CE6FC3" w:rsidRPr="00E14102" w:rsidRDefault="00CE6FC3" w:rsidP="00E14102">
      <w:pPr>
        <w:shd w:val="clear" w:color="auto" w:fill="FFFFFF"/>
        <w:jc w:val="both"/>
        <w:textAlignment w:val="baseline"/>
        <w:rPr>
          <w:color w:val="0070C0"/>
          <w:sz w:val="16"/>
          <w:szCs w:val="16"/>
        </w:rPr>
      </w:pPr>
      <w:r w:rsidRPr="00E14102">
        <w:rPr>
          <w:color w:val="0070C0"/>
          <w:sz w:val="16"/>
          <w:szCs w:val="16"/>
        </w:rPr>
        <w:t>- Во-первых, начальник ВВС Алкснис, во-вторых, командир эскадрильи авиабригады НИИ ВВС Юмашев, а, в-третьих, начальник штурманской кафедры академии им. Н.Е. Жуковского Беляков, с которым вы летали вместе в прошлом году в европейские страны. Они считают, что вы один из лучших в стране специалистов по «слепым» полетам, а на нашем маршруте, как я полагаю, пилотирование по приборам, вне видимости земли, будет обычным явлением» (21249).</w:t>
      </w:r>
    </w:p>
    <w:p w14:paraId="3326310E" w14:textId="77777777" w:rsidR="00CE6FC3" w:rsidRPr="00E14102" w:rsidRDefault="00CE6FC3" w:rsidP="00E14102">
      <w:pPr>
        <w:shd w:val="clear" w:color="auto" w:fill="FFFFFF"/>
        <w:jc w:val="both"/>
        <w:textAlignment w:val="baseline"/>
        <w:rPr>
          <w:color w:val="0070C0"/>
          <w:sz w:val="16"/>
          <w:szCs w:val="16"/>
        </w:rPr>
      </w:pPr>
    </w:p>
    <w:p w14:paraId="634464E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1DEC86E" w14:textId="77777777" w:rsidR="00D4105E" w:rsidRPr="00E14102" w:rsidRDefault="00D4105E" w:rsidP="00E14102">
      <w:pPr>
        <w:autoSpaceDE w:val="0"/>
        <w:autoSpaceDN w:val="0"/>
        <w:adjustRightInd w:val="0"/>
        <w:jc w:val="both"/>
        <w:rPr>
          <w:iCs/>
          <w:color w:val="000000" w:themeColor="text1"/>
          <w:sz w:val="16"/>
          <w:szCs w:val="16"/>
        </w:rPr>
      </w:pPr>
    </w:p>
    <w:p w14:paraId="6ABC02BE" w14:textId="77777777" w:rsidR="00F76F85" w:rsidRPr="00E14102" w:rsidRDefault="00F76F85" w:rsidP="00E14102">
      <w:pPr>
        <w:jc w:val="both"/>
        <w:rPr>
          <w:color w:val="000000" w:themeColor="text1"/>
          <w:sz w:val="16"/>
          <w:szCs w:val="16"/>
        </w:rPr>
      </w:pPr>
      <w:r w:rsidRPr="00E14102">
        <w:rPr>
          <w:color w:val="000000" w:themeColor="text1"/>
          <w:sz w:val="16"/>
          <w:szCs w:val="16"/>
        </w:rPr>
        <w:t>В начале 1935 г. была создана авторитетная комиссия под руководством A.С.Бакаева, в которую вошли сотрудники Московского порохового института Б.П.Фомин, B.C.Дерновой, а также работники порохового завода В.С.Бондарь, И.В.Крыжановский и др. Комиссия провела анализ всего технологического процесса, выявила причины трудностей и разработала мероприятия по их устранению. В частности было установлено, что причиной высокой аварийности при вальцевании на горизонтальных вальцах было травление поверхности валков в результате обработки их соляной кислотой, проводившейся с целью повышения захватывающей способности валков. При этом образовывались глубокие раковины — центры вспышек. Травление было категорически запрещено и заменено натиранием валков наждачным камнем.</w:t>
      </w:r>
    </w:p>
    <w:p w14:paraId="49C22A9C" w14:textId="77777777" w:rsidR="00F76F85" w:rsidRPr="00E14102" w:rsidRDefault="00F76F85" w:rsidP="00E14102">
      <w:pPr>
        <w:jc w:val="both"/>
        <w:rPr>
          <w:color w:val="000000" w:themeColor="text1"/>
          <w:sz w:val="16"/>
          <w:szCs w:val="16"/>
        </w:rPr>
      </w:pPr>
      <w:r w:rsidRPr="00E14102">
        <w:rPr>
          <w:color w:val="000000" w:themeColor="text1"/>
          <w:sz w:val="16"/>
          <w:szCs w:val="16"/>
        </w:rPr>
        <w:lastRenderedPageBreak/>
        <w:t>На всех фазах производства были внедрены технологические регламенты и обеспечено их строгое соблюдение, повышена производственная дисциплина, организовано обучение персонала.</w:t>
      </w:r>
    </w:p>
    <w:p w14:paraId="38E9789E" w14:textId="77777777" w:rsidR="00F76F85" w:rsidRPr="00E14102" w:rsidRDefault="00F76F85" w:rsidP="00E14102">
      <w:pPr>
        <w:jc w:val="both"/>
        <w:rPr>
          <w:color w:val="000000" w:themeColor="text1"/>
          <w:sz w:val="16"/>
          <w:szCs w:val="16"/>
        </w:rPr>
      </w:pPr>
      <w:r w:rsidRPr="00E14102">
        <w:rPr>
          <w:color w:val="000000" w:themeColor="text1"/>
          <w:sz w:val="16"/>
          <w:szCs w:val="16"/>
        </w:rPr>
        <w:t>В результате проведенной работы производство нитроглицериновых баллиститных порохов на заводе стабилизировалось, аварийность на всех фазах резко уменьшилась, снизился технологический брак, повысилась производительность труда.</w:t>
      </w:r>
    </w:p>
    <w:p w14:paraId="6FC505FC" w14:textId="77777777" w:rsidR="00F76F85" w:rsidRPr="00E14102" w:rsidRDefault="00F76F85" w:rsidP="00E14102">
      <w:pPr>
        <w:jc w:val="both"/>
        <w:rPr>
          <w:color w:val="000000" w:themeColor="text1"/>
          <w:sz w:val="16"/>
          <w:szCs w:val="16"/>
        </w:rPr>
      </w:pPr>
      <w:r w:rsidRPr="00E14102">
        <w:rPr>
          <w:color w:val="000000" w:themeColor="text1"/>
          <w:sz w:val="16"/>
          <w:szCs w:val="16"/>
        </w:rPr>
        <w:t>Уже в 1935 г. завод Морозова поставлял в достаточно больших количествах трубчатые пороха, предназначенные для комплектации метательных зарядов к морским артиллерийским системам. Наружный диаметр изготовляемых пороховых трубок доходил до 20 мм, а их длина — до 650 мм, причем и диаметр трубок, и их длина в случае необходимости могли быть увеличены. Таким образом, задача изготовления метательных артиллерийских зарядов из нитроглицериновых баллиститных порохов была решена (18646).</w:t>
      </w:r>
    </w:p>
    <w:p w14:paraId="74838469" w14:textId="77777777" w:rsidR="00F76F85" w:rsidRPr="00E14102" w:rsidRDefault="00F76F85" w:rsidP="00E14102">
      <w:pPr>
        <w:jc w:val="both"/>
        <w:rPr>
          <w:color w:val="000000" w:themeColor="text1"/>
          <w:sz w:val="16"/>
          <w:szCs w:val="16"/>
        </w:rPr>
      </w:pPr>
    </w:p>
    <w:p w14:paraId="747BB7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года были изготовлены три опытных образца 76-мм дивизионной пушки Ф-22, два из которых имели складные станины, а один нескладные. Опытный экземпляр Ф-22 с дульным тормозом (эффективностью до 30 %) имел боевой вес 1474 кг. Все опытные экземпляры имели удлиненную камору под новый патрон. Но позже по требованию заказчика дульный тормоз был снят и была принята камора от 76-мм пушки обр. 1902 г (3861).</w:t>
      </w:r>
    </w:p>
    <w:p w14:paraId="4942CB68" w14:textId="77777777" w:rsidR="00D4105E" w:rsidRPr="00E14102" w:rsidRDefault="00D4105E" w:rsidP="00E14102">
      <w:pPr>
        <w:autoSpaceDE w:val="0"/>
        <w:autoSpaceDN w:val="0"/>
        <w:adjustRightInd w:val="0"/>
        <w:jc w:val="both"/>
        <w:rPr>
          <w:color w:val="000000" w:themeColor="text1"/>
          <w:sz w:val="16"/>
          <w:szCs w:val="16"/>
        </w:rPr>
      </w:pPr>
    </w:p>
    <w:p w14:paraId="228220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начале 1935 г. принимались активные меры по ускорению внедрения в производство новых орудий на заводе Новое Сормово. Так, 8 февраля вышло распоряжение по механическому цеху № 1 об организации бесперебойной трехсменной работы по деталям пушек Ф-20 и Ф-22. [29 — Там же, Д. 200, Л. 22.] В конце мая завод завершил сборку первых «двадцать вторых», которые по инициативе наркома Орджоникидзе, директора завода Радкевича и конструктора Грабина были выставлены на государственные испытания (11741).</w:t>
      </w:r>
    </w:p>
    <w:p w14:paraId="753832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80842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года заводом "Большевик" были изготовлены новые 220/368-мм подкалиберные снаряды чертежей 3217 и 3218 для 356/52-мм пушки с поясковыми поддонами (поясковый поддон - поддон, имеющий медные пояски, подобен обычному снаряду) (3861).</w:t>
      </w:r>
    </w:p>
    <w:p w14:paraId="3FF057E1" w14:textId="77777777" w:rsidR="00D4105E" w:rsidRPr="00E14102" w:rsidRDefault="00D4105E" w:rsidP="00E14102">
      <w:pPr>
        <w:autoSpaceDE w:val="0"/>
        <w:autoSpaceDN w:val="0"/>
        <w:adjustRightInd w:val="0"/>
        <w:jc w:val="both"/>
        <w:rPr>
          <w:color w:val="000000" w:themeColor="text1"/>
          <w:sz w:val="16"/>
          <w:szCs w:val="16"/>
        </w:rPr>
      </w:pPr>
    </w:p>
    <w:p w14:paraId="02681A39" w14:textId="77777777" w:rsidR="002E3C5F" w:rsidRPr="00E14102" w:rsidRDefault="002E3C5F" w:rsidP="00E14102">
      <w:pPr>
        <w:jc w:val="both"/>
        <w:rPr>
          <w:color w:val="000000" w:themeColor="text1"/>
          <w:sz w:val="16"/>
          <w:szCs w:val="16"/>
        </w:rPr>
      </w:pPr>
      <w:r w:rsidRPr="00E14102">
        <w:rPr>
          <w:color w:val="000000" w:themeColor="text1"/>
          <w:sz w:val="16"/>
          <w:szCs w:val="16"/>
        </w:rPr>
        <w:t>В начале 1935 г. заводом «Большевик» были изготовлены новые 220/368-мм подкалиберные снаряды чертежей 3217 и 3218 с поясковыми поддонами, стрельбы которыми производились в июне-августе 1935 г. Вес конструкции составлял 262 кг, а вес 220-мм активного снаряда — 142 кг, заряд пороха — 255 кг. На испытаниях была получена скорость 1254—1265 м/с. При стрельбе 2 августа 1935 г. получена средняя дальность 88 720 м при угле возвышения около 50°. Боковое отклонение при стрельбах составило 100—150 м. Для дальнейшего увеличения дальности стрельбы были начаты работы по уменьшению веса поддона (15117).</w:t>
      </w:r>
    </w:p>
    <w:p w14:paraId="6EC2BB1F" w14:textId="77777777" w:rsidR="002E3C5F" w:rsidRPr="00E14102" w:rsidRDefault="002E3C5F" w:rsidP="00E14102">
      <w:pPr>
        <w:jc w:val="both"/>
        <w:rPr>
          <w:color w:val="000000" w:themeColor="text1"/>
          <w:sz w:val="16"/>
          <w:szCs w:val="16"/>
        </w:rPr>
      </w:pPr>
    </w:p>
    <w:p w14:paraId="3F9179DE" w14:textId="77777777" w:rsidR="008042DC" w:rsidRPr="00E14102" w:rsidRDefault="008042DC" w:rsidP="00E14102">
      <w:pPr>
        <w:jc w:val="both"/>
        <w:rPr>
          <w:color w:val="000000" w:themeColor="text1"/>
          <w:sz w:val="16"/>
          <w:szCs w:val="16"/>
        </w:rPr>
      </w:pPr>
      <w:r w:rsidRPr="00E14102">
        <w:rPr>
          <w:color w:val="000000" w:themeColor="text1"/>
          <w:sz w:val="16"/>
          <w:szCs w:val="16"/>
        </w:rPr>
        <w:t>В начале 1935 г. заводом «Большевик» были изготовлены новые 220/368-мм подкалиберные снаряды чертежей 3217 и 3218 с поясковыми поддонами,[41] стрельбы которыми производились в июне — августе 1935 г. Вес конструкции составлял 262 кг, а вес 220-мм активного снаряда — 142 кг, заряд пороха — 255 кг. На испытаниях была получена скорость 1254–1265 м/с. При стрельбе 2 августа 1935 г. получена средняя дальность 88 720 м при угле возвышения около 50°. Боковое отклонение при стрельбах составило 100–150 м.</w:t>
      </w:r>
    </w:p>
    <w:p w14:paraId="4AFD0FE4" w14:textId="77777777" w:rsidR="008042DC" w:rsidRPr="00E14102" w:rsidRDefault="008042DC" w:rsidP="00E14102">
      <w:pPr>
        <w:jc w:val="both"/>
        <w:rPr>
          <w:color w:val="000000" w:themeColor="text1"/>
          <w:sz w:val="16"/>
          <w:szCs w:val="16"/>
        </w:rPr>
      </w:pPr>
      <w:r w:rsidRPr="00E14102">
        <w:rPr>
          <w:color w:val="000000" w:themeColor="text1"/>
          <w:sz w:val="16"/>
          <w:szCs w:val="16"/>
        </w:rPr>
        <w:t>Для дальнейшего увеличения дальности стрельбы были начаты работы по уменьшению веса поддона.</w:t>
      </w:r>
    </w:p>
    <w:p w14:paraId="69577A4A" w14:textId="77777777" w:rsidR="008042DC" w:rsidRPr="00E14102" w:rsidRDefault="008042DC" w:rsidP="00E14102">
      <w:pPr>
        <w:jc w:val="both"/>
        <w:rPr>
          <w:color w:val="000000" w:themeColor="text1"/>
          <w:sz w:val="16"/>
          <w:szCs w:val="16"/>
        </w:rPr>
      </w:pPr>
      <w:r w:rsidRPr="00E14102">
        <w:rPr>
          <w:color w:val="000000" w:themeColor="text1"/>
          <w:sz w:val="16"/>
          <w:szCs w:val="16"/>
        </w:rPr>
        <w:t>В конце 1935 г. были проведены стрельбы снарядами с поясковыми поддонами чертежа 6125. Вес активного снаряда составил 142 кг, а вес поддона — 120 кг, дальность стрельбы — 97 270 м при угле +42°. Среднее рассеивание по четырем выстрелам: боковое — 55 м, продольное — 935 м. Ожидаемая дальность при угле +50° — 110 км. Падение поддонов происходило на расстоянии 3–5 км. Всего было произведено 47 выстрелов снарядами чертежа 6125.</w:t>
      </w:r>
    </w:p>
    <w:p w14:paraId="5BFB4844" w14:textId="77777777" w:rsidR="008042DC" w:rsidRPr="00E14102" w:rsidRDefault="008042DC" w:rsidP="00E14102">
      <w:pPr>
        <w:jc w:val="both"/>
        <w:rPr>
          <w:color w:val="000000" w:themeColor="text1"/>
          <w:sz w:val="16"/>
          <w:szCs w:val="16"/>
        </w:rPr>
      </w:pPr>
      <w:r w:rsidRPr="00E14102">
        <w:rPr>
          <w:color w:val="000000" w:themeColor="text1"/>
          <w:sz w:val="16"/>
          <w:szCs w:val="16"/>
        </w:rPr>
        <w:t>Далее работы были продолжены по пути облегчения пояскового поддона до 112 кг (снаряд чертежа 6314).</w:t>
      </w:r>
    </w:p>
    <w:p w14:paraId="52103B4F" w14:textId="77777777" w:rsidR="008042DC" w:rsidRPr="00E14102" w:rsidRDefault="008042DC" w:rsidP="00E14102">
      <w:pPr>
        <w:jc w:val="both"/>
        <w:rPr>
          <w:color w:val="000000" w:themeColor="text1"/>
          <w:sz w:val="16"/>
          <w:szCs w:val="16"/>
        </w:rPr>
      </w:pPr>
      <w:r w:rsidRPr="00E14102">
        <w:rPr>
          <w:color w:val="000000" w:themeColor="text1"/>
          <w:sz w:val="16"/>
          <w:szCs w:val="16"/>
        </w:rPr>
        <w:t>К тому времени была закончена переделка второй 356мм пушки в 368-мм. При испытаниях 368-мм пушки № 2 в 1936-м — начале 1937 г. снарядом чертежа 6314 были получены удовлетворительные результаты, и на их основе в марте 1937 г. составили таблицы стрельбы из 368-мм пушки снарядами чертежа 6314. Конструкция снаряда чертежа 6314 весила 254 кг, из них на поясковый поддон приходилось 112,1 кг, на активный снаряд — 140 кг. Длина 220-мм активного снаряда — 5 калибров. В качестве взрывчатого вещества использовалось 7 кг тротила, взрыватель РГМ. При стрельбе полным зарядом в 223 кг начальная скорость составляла 1390 м/с, а дальность 120,5 кг. Таким образом, была получена та же дальность, что и у «Парижской пушки», но более тяжелым снарядом. Главное же заключалось в том, что была использована обычная морская пушка, да и живучесть ствола была гораздо больше, чем у немцев. 368-мм стволы предполагалось установить на железнодорожных транспортерах ТМ-1–14.</w:t>
      </w:r>
    </w:p>
    <w:p w14:paraId="53C02109" w14:textId="77777777" w:rsidR="008042DC" w:rsidRPr="00E14102" w:rsidRDefault="008042DC" w:rsidP="00E14102">
      <w:pPr>
        <w:jc w:val="both"/>
        <w:rPr>
          <w:color w:val="000000" w:themeColor="text1"/>
          <w:sz w:val="16"/>
          <w:szCs w:val="16"/>
        </w:rPr>
      </w:pPr>
      <w:r w:rsidRPr="00E14102">
        <w:rPr>
          <w:color w:val="000000" w:themeColor="text1"/>
          <w:sz w:val="16"/>
          <w:szCs w:val="16"/>
        </w:rPr>
        <w:t>Тем не менее на этом этапе работы с поясковыми поддонами приостановили, поскольку предпочтение было отдано звездчатым поддонам. Но прежде чем перейти к снарядам со звездчатыми поддонами, закончу рассказ о сверхдальних пушках с обычными поясковыми снарядами (12705).</w:t>
      </w:r>
    </w:p>
    <w:p w14:paraId="0CC04039" w14:textId="77777777" w:rsidR="008042DC" w:rsidRPr="00E14102" w:rsidRDefault="008042DC" w:rsidP="00E14102">
      <w:pPr>
        <w:jc w:val="both"/>
        <w:rPr>
          <w:color w:val="000000" w:themeColor="text1"/>
          <w:sz w:val="16"/>
          <w:szCs w:val="16"/>
        </w:rPr>
      </w:pPr>
    </w:p>
    <w:p w14:paraId="466C780A" w14:textId="77777777" w:rsidR="00F76F85" w:rsidRPr="00E14102" w:rsidRDefault="00F76F85" w:rsidP="00E14102">
      <w:pPr>
        <w:pStyle w:val="rtejustify"/>
        <w:shd w:val="clear" w:color="auto" w:fill="FFFFFF"/>
        <w:spacing w:before="0" w:after="0"/>
        <w:rPr>
          <w:color w:val="000000" w:themeColor="text1"/>
          <w:sz w:val="16"/>
          <w:szCs w:val="16"/>
        </w:rPr>
      </w:pPr>
      <w:r w:rsidRPr="00E14102">
        <w:rPr>
          <w:color w:val="000000" w:themeColor="text1"/>
          <w:sz w:val="16"/>
          <w:szCs w:val="16"/>
        </w:rPr>
        <w:t>В начале 1935 г. опытный образец АКТ-37 Кондакова был изготовлен в мастерских Артакадемии После длительной отладки 4 мая 1936 г. АКТ-37 поступил на НИАП для проведения полигонных испытаний. С 16 мая по 11 июня 1936 г. на НИАПе проводились стрельбы из АКТ-37, установленной на временном станке.</w:t>
      </w:r>
    </w:p>
    <w:p w14:paraId="4A45ED5A" w14:textId="77777777" w:rsidR="00F76F85" w:rsidRPr="00E14102" w:rsidRDefault="00F76F85" w:rsidP="00E14102">
      <w:pPr>
        <w:pStyle w:val="rtejustify"/>
        <w:shd w:val="clear" w:color="auto" w:fill="FFFFFF"/>
        <w:spacing w:before="0" w:after="0"/>
        <w:rPr>
          <w:color w:val="000000" w:themeColor="text1"/>
          <w:sz w:val="16"/>
          <w:szCs w:val="16"/>
        </w:rPr>
      </w:pPr>
      <w:r w:rsidRPr="00E14102">
        <w:rPr>
          <w:color w:val="000000" w:themeColor="text1"/>
          <w:sz w:val="16"/>
          <w:szCs w:val="16"/>
        </w:rPr>
        <w:t>Затем пушка была установлена в носовой турели двухмоторного разведчик Р-6  (АНТ-7) конструкции Туполева. Стрельбы в воздухе проводились с 8 по 16 августа 1936 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77AF67BD" w14:textId="77777777" w:rsidR="00F76F85" w:rsidRPr="00E14102" w:rsidRDefault="00F76F85" w:rsidP="00E14102">
      <w:pPr>
        <w:pStyle w:val="rtejustify"/>
        <w:shd w:val="clear" w:color="auto" w:fill="FFFFFF"/>
        <w:spacing w:before="0" w:after="0"/>
        <w:rPr>
          <w:color w:val="000000" w:themeColor="text1"/>
          <w:sz w:val="16"/>
          <w:szCs w:val="16"/>
        </w:rPr>
      </w:pPr>
      <w:r w:rsidRPr="00E14102">
        <w:rPr>
          <w:color w:val="000000" w:themeColor="text1"/>
          <w:sz w:val="16"/>
          <w:szCs w:val="16"/>
        </w:rPr>
        <w:t>Согласно постановлению командования ВВС пушка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1F2BB9E5" w14:textId="77777777" w:rsidR="00F76F85" w:rsidRPr="00E14102" w:rsidRDefault="00F76F85" w:rsidP="00E14102">
      <w:pPr>
        <w:pStyle w:val="rtejustify"/>
        <w:shd w:val="clear" w:color="auto" w:fill="FFFFFF"/>
        <w:spacing w:before="0" w:after="0"/>
        <w:rPr>
          <w:color w:val="000000" w:themeColor="text1"/>
          <w:sz w:val="16"/>
          <w:szCs w:val="16"/>
        </w:rPr>
      </w:pPr>
      <w:r w:rsidRPr="00E14102">
        <w:rPr>
          <w:color w:val="000000" w:themeColor="text1"/>
          <w:sz w:val="16"/>
          <w:szCs w:val="16"/>
        </w:rPr>
        <w:t>Не дожидаясь конца испытаний АКТ-37, Кондаков уже в 1936 г. начал работу по ее модернизации (19169).</w:t>
      </w:r>
    </w:p>
    <w:p w14:paraId="6B873FF5" w14:textId="77777777" w:rsidR="00F76F85" w:rsidRPr="00E14102" w:rsidRDefault="00F76F85" w:rsidP="00E14102">
      <w:pPr>
        <w:pStyle w:val="rtejustify"/>
        <w:shd w:val="clear" w:color="auto" w:fill="FFFFFF"/>
        <w:spacing w:before="0" w:after="0"/>
        <w:rPr>
          <w:color w:val="000000" w:themeColor="text1"/>
          <w:sz w:val="16"/>
          <w:szCs w:val="16"/>
        </w:rPr>
      </w:pPr>
    </w:p>
    <w:p w14:paraId="3EAD9BEE" w14:textId="77777777" w:rsidR="008042DC" w:rsidRPr="00E14102" w:rsidRDefault="008042DC" w:rsidP="00E14102">
      <w:pPr>
        <w:jc w:val="both"/>
        <w:rPr>
          <w:color w:val="000000" w:themeColor="text1"/>
          <w:sz w:val="16"/>
          <w:szCs w:val="16"/>
        </w:rPr>
      </w:pPr>
      <w:r w:rsidRPr="00E14102">
        <w:rPr>
          <w:color w:val="000000" w:themeColor="text1"/>
          <w:sz w:val="16"/>
          <w:szCs w:val="16"/>
        </w:rPr>
        <w:t>В начале 1935 г. вышло постановление Совета Труда и Обороны, согласно которому к навигации 1936 г. спаренными 305-мм пушками Курчевского должны были быть вооружены эсминцы «Карл Маркс» и «Калинин». Однако работы затянулись, и испытания были проведены на эсминце «Карл Маркс» лишь в 1940 г. В целом испытания были неудачными, 305-мм спаренная установка была демонтирована с эсминца, и дальнейшие работы по ней прекратили. К сожалению, отчеты об этом испытании еще закрыты (12705).</w:t>
      </w:r>
    </w:p>
    <w:p w14:paraId="2543D21A" w14:textId="77777777" w:rsidR="008042DC" w:rsidRPr="00E14102" w:rsidRDefault="008042DC" w:rsidP="00E14102">
      <w:pPr>
        <w:jc w:val="both"/>
        <w:rPr>
          <w:color w:val="000000" w:themeColor="text1"/>
          <w:sz w:val="16"/>
          <w:szCs w:val="16"/>
        </w:rPr>
      </w:pPr>
    </w:p>
    <w:p w14:paraId="35E004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года в серийное производство пошел танк БТ-7 с несколько упрощенным бронекорпусом и уже отработанной в производстве башней от танка БТ-5. В башне цилиндрической формы с развитой кормовой нишей размещалась 45-мм танковая пушка 20K, спаренный с нею пулемет ДТ. На части танков устанавливались радиостанции 71-ТК с поручневой антенной. Экипаж состоял из трех человек: командир, он же наводчик, заряжающий и механик-водитель. Однако от идеи колесно-гусеничной машины с 76-мм пушкой не отказались и Автобронетанковое управление (АБТУ) поручило заводу разработать проект установки на БТ-7 башни от танка Т-26-4 (3862).</w:t>
      </w:r>
    </w:p>
    <w:p w14:paraId="6E21AF14" w14:textId="77777777" w:rsidR="00D4105E" w:rsidRPr="00E14102" w:rsidRDefault="00D4105E" w:rsidP="00E14102">
      <w:pPr>
        <w:autoSpaceDE w:val="0"/>
        <w:autoSpaceDN w:val="0"/>
        <w:adjustRightInd w:val="0"/>
        <w:jc w:val="both"/>
        <w:rPr>
          <w:color w:val="000000" w:themeColor="text1"/>
          <w:sz w:val="16"/>
          <w:szCs w:val="16"/>
        </w:rPr>
      </w:pPr>
    </w:p>
    <w:p w14:paraId="1D4680D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начале 1935, когда завод уже начал осваивать серийный выпуск БТ-7 из экспери</w:t>
      </w:r>
      <w:r w:rsidRPr="00E14102">
        <w:rPr>
          <w:color w:val="000000" w:themeColor="text1"/>
          <w:sz w:val="16"/>
          <w:szCs w:val="16"/>
        </w:rPr>
        <w:softHyphen/>
        <w:t>ментального цеха вышел один из двух первых опытных образцов, изготов</w:t>
      </w:r>
      <w:r w:rsidRPr="00E14102">
        <w:rPr>
          <w:color w:val="000000" w:themeColor="text1"/>
          <w:sz w:val="16"/>
          <w:szCs w:val="16"/>
        </w:rPr>
        <w:softHyphen/>
        <w:t>ленный в самом конце 1934 года.</w:t>
      </w:r>
    </w:p>
    <w:p w14:paraId="34CA55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«Поначалу все выглядело вполне обнадеживающе: танк собрали, оп</w:t>
      </w:r>
      <w:r w:rsidRPr="00E14102">
        <w:rPr>
          <w:color w:val="000000" w:themeColor="text1"/>
          <w:sz w:val="16"/>
          <w:szCs w:val="16"/>
        </w:rPr>
        <w:softHyphen/>
        <w:t>робовали — работает. Начались испытания, и вот тут-то он и «дал прику</w:t>
      </w:r>
      <w:r w:rsidRPr="00E14102">
        <w:rPr>
          <w:color w:val="000000" w:themeColor="text1"/>
          <w:sz w:val="16"/>
          <w:szCs w:val="16"/>
        </w:rPr>
        <w:softHyphen/>
        <w:t>рить». Пройдя некоторое расстояние, машина вдруг остановилась. Дви</w:t>
      </w:r>
      <w:r w:rsidRPr="00E14102">
        <w:rPr>
          <w:color w:val="000000" w:themeColor="text1"/>
          <w:sz w:val="16"/>
          <w:szCs w:val="16"/>
        </w:rPr>
        <w:softHyphen/>
        <w:t>гатель работает, скорости переключаются, а танк... стоит как вкопанный», — рассказывали об этом ветераны завода.</w:t>
      </w:r>
    </w:p>
    <w:p w14:paraId="5144F0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Установить причину аварии не составило труда. Как оказалось, в ко</w:t>
      </w:r>
      <w:r w:rsidRPr="00E14102">
        <w:rPr>
          <w:color w:val="000000" w:themeColor="text1"/>
          <w:sz w:val="16"/>
          <w:szCs w:val="16"/>
        </w:rPr>
        <w:softHyphen/>
        <w:t>робке перемены передач разрушились зубья шестерен. Собрали вторую машину — авария повторилась с удручающей схожестью. Причина та же: выход из строя КПП.</w:t>
      </w:r>
    </w:p>
    <w:p w14:paraId="5CD6384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Создалось критическое положение, был поставлен вопрос о приоста</w:t>
      </w:r>
      <w:r w:rsidRPr="00E14102">
        <w:rPr>
          <w:color w:val="000000" w:themeColor="text1"/>
          <w:sz w:val="16"/>
          <w:szCs w:val="16"/>
        </w:rPr>
        <w:softHyphen/>
        <w:t>новке производства. Началась нервотрепка. Дефект был более, чем серь</w:t>
      </w:r>
      <w:r w:rsidRPr="00E14102">
        <w:rPr>
          <w:color w:val="000000" w:themeColor="text1"/>
          <w:sz w:val="16"/>
          <w:szCs w:val="16"/>
        </w:rPr>
        <w:softHyphen/>
        <w:t>езный. На его устранение были брошены самые искушенные работники КБ — «трансмиссионщик» Александр Морозов, Владимир Дорошенко, Яков Баран... Технологи, инженеры—исследователи, работники заводс</w:t>
      </w:r>
      <w:r w:rsidRPr="00E14102">
        <w:rPr>
          <w:color w:val="000000" w:themeColor="text1"/>
          <w:sz w:val="16"/>
          <w:szCs w:val="16"/>
        </w:rPr>
        <w:softHyphen/>
        <w:t>ких лабораторий — все были вовлечены в этот круговорот.</w:t>
      </w:r>
    </w:p>
    <w:p w14:paraId="213A76F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те невероятно трудные, нервозные дни принималось почти любое предложение, если оно не было лишено смысла и не являлось абсурдным. Много дельных предложений родилось тогда. «Их тут же внедряли и, за</w:t>
      </w:r>
      <w:r w:rsidRPr="00E14102">
        <w:rPr>
          <w:color w:val="000000" w:themeColor="text1"/>
          <w:sz w:val="16"/>
          <w:szCs w:val="16"/>
        </w:rPr>
        <w:softHyphen/>
        <w:t>таив дыхание, в неизвестно какой раз начинали испытания,— вспомина</w:t>
      </w:r>
      <w:r w:rsidRPr="00E14102">
        <w:rPr>
          <w:color w:val="000000" w:themeColor="text1"/>
          <w:sz w:val="16"/>
          <w:szCs w:val="16"/>
        </w:rPr>
        <w:softHyphen/>
        <w:t>ет Яков Ионович Баран. — Заводился двигатель, танк трогался с места, но через некоторое время раздавался ненавистный хруст ломающихся зубь</w:t>
      </w:r>
      <w:r w:rsidRPr="00E14102">
        <w:rPr>
          <w:color w:val="000000" w:themeColor="text1"/>
          <w:sz w:val="16"/>
          <w:szCs w:val="16"/>
        </w:rPr>
        <w:softHyphen/>
        <w:t>ев. Вскрыв коробку обнаруживали изуродованные шестерни, скрученный ведущий вал, разрушенные подшипники».</w:t>
      </w:r>
    </w:p>
    <w:p w14:paraId="5AF243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Путем изменения качества металла валов и шестерен, введением иных режимов закалки и изменением глубины цементации и еще с помощью многих мероприятий, казалось, удалось устранить дефект и машины с завода пошли в войска, где их начали осваивать в эксплуатации.</w:t>
      </w:r>
    </w:p>
    <w:p w14:paraId="1B0471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году ХПЗ выпустил 500 танков БТ-7 (11504).</w:t>
      </w:r>
    </w:p>
    <w:p w14:paraId="14897C5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9732F66" w14:textId="77777777" w:rsidR="00B763DA" w:rsidRPr="00E14102" w:rsidRDefault="00B763DA"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С начала 1935 года в переписке по Т-29 начинает фигурировать еще одна фамилия — Кошкин. Вопреки расхожему мнению, Михаил Ильич к танкам имел самое прямое отношение. На заводе №185 он начал работу ещё в 1934 году, после окончания Ленинградского политехнического института. А его дипломная работа была </w:t>
      </w:r>
      <w:r w:rsidRPr="00E14102">
        <w:rPr>
          <w:rFonts w:ascii="Times New Roman" w:hAnsi="Times New Roman" w:cs="Times New Roman"/>
          <w:color w:val="000000" w:themeColor="text1"/>
          <w:sz w:val="16"/>
          <w:szCs w:val="16"/>
          <w:lang w:val="ru-RU"/>
        </w:rPr>
        <w:lastRenderedPageBreak/>
        <w:t>напрямую связана с Т-29. К весне 1935 года Кошкин уже был заместителем начальника конструкторского отдела, то есть Гинзбурга. Такой взлёт за короткое время не мог быть случайным (17708).</w:t>
      </w:r>
    </w:p>
    <w:p w14:paraId="52EE658C" w14:textId="77777777" w:rsidR="00B763DA" w:rsidRPr="00E14102" w:rsidRDefault="00B763DA" w:rsidP="00E14102">
      <w:pPr>
        <w:jc w:val="both"/>
        <w:rPr>
          <w:color w:val="000000" w:themeColor="text1"/>
          <w:sz w:val="16"/>
          <w:szCs w:val="16"/>
        </w:rPr>
      </w:pPr>
    </w:p>
    <w:p w14:paraId="1EBA91B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начале 1935 г. на испытания вышла АТ-1, вооруженная серийной 76,2-мм пушкой ПС-3 № 11. На испытаниях в апреле 1935 г. были достигнуты хорошие результаты. Скорост</w:t>
      </w:r>
      <w:r w:rsidRPr="00E14102">
        <w:rPr>
          <w:color w:val="000000" w:themeColor="text1"/>
          <w:sz w:val="16"/>
          <w:szCs w:val="16"/>
        </w:rPr>
        <w:softHyphen/>
        <w:t>рельность без исправления наводки составила 12—15 выстр/мин, наибольшая дальность стрельбы составляла 10580 м (тогда как по заданию она должна была составлять 7500—8000 м), попытки ведения стрельбы из пулемета и пушки в движении по целям, расположенным по ходу ма</w:t>
      </w:r>
      <w:r w:rsidRPr="00E14102">
        <w:rPr>
          <w:color w:val="000000" w:themeColor="text1"/>
          <w:sz w:val="16"/>
          <w:szCs w:val="16"/>
        </w:rPr>
        <w:softHyphen/>
        <w:t>шины, закончились в целом успешно. Отмечалась удовле</w:t>
      </w:r>
      <w:r w:rsidRPr="00E14102">
        <w:rPr>
          <w:color w:val="000000" w:themeColor="text1"/>
          <w:sz w:val="16"/>
          <w:szCs w:val="16"/>
        </w:rPr>
        <w:softHyphen/>
        <w:t>творительная работа полуавтоматики пушки, но по располо</w:t>
      </w:r>
      <w:r w:rsidRPr="00E14102">
        <w:rPr>
          <w:color w:val="000000" w:themeColor="text1"/>
          <w:sz w:val="16"/>
          <w:szCs w:val="16"/>
        </w:rPr>
        <w:softHyphen/>
        <w:t>жению боекомплекта, маховиков наводки орудия относи</w:t>
      </w:r>
      <w:r w:rsidRPr="00E14102">
        <w:rPr>
          <w:color w:val="000000" w:themeColor="text1"/>
          <w:sz w:val="16"/>
          <w:szCs w:val="16"/>
        </w:rPr>
        <w:softHyphen/>
        <w:t>тельно рабочего места наводчика, отсутствию гильзосбор-ника и др., на войсковые испытания машина допущена не была. Кроме того, артиллерийская часть второго экземпляра АТ-1 на испытаниях вела себя не вполне корректно. Орудие ПС-3 с постоянной нарезкой работало из рук вон плохо. Кроме того, к окончанию полигонных испытаний АТ-1 ар</w:t>
      </w:r>
      <w:r w:rsidRPr="00E14102">
        <w:rPr>
          <w:color w:val="000000" w:themeColor="text1"/>
          <w:sz w:val="16"/>
          <w:szCs w:val="16"/>
        </w:rPr>
        <w:softHyphen/>
        <w:t>тиллерийское КБ Кировского завода предложило для воору</w:t>
      </w:r>
      <w:r w:rsidRPr="00E14102">
        <w:rPr>
          <w:color w:val="000000" w:themeColor="text1"/>
          <w:sz w:val="16"/>
          <w:szCs w:val="16"/>
        </w:rPr>
        <w:softHyphen/>
        <w:t>жения тяжелых танков новую мощную 76,2-мм пушку Л-7, имевшую баллистику орудия обр. 1902/30 гг. (собственно, это орудие представляло собой старую знакомую, но усовершенствованную пушку Тарнавского—Лендера) и, по заявле</w:t>
      </w:r>
      <w:r w:rsidRPr="00E14102">
        <w:rPr>
          <w:color w:val="000000" w:themeColor="text1"/>
          <w:sz w:val="16"/>
          <w:szCs w:val="16"/>
        </w:rPr>
        <w:softHyphen/>
        <w:t>нию разработчиков, превосходившую все известные танко</w:t>
      </w:r>
      <w:r w:rsidRPr="00E14102">
        <w:rPr>
          <w:color w:val="000000" w:themeColor="text1"/>
          <w:sz w:val="16"/>
          <w:szCs w:val="16"/>
        </w:rPr>
        <w:softHyphen/>
        <w:t>вые артсистемы. Вполне естественно, что разработчикам АТ-1 рекомендовали установить указанное орудие на место ПС-3 во второй экземпляр САУ, но сделать это не удалось по причине конструктивных особенностей Л-7, а изготавливать новую рубку для АТ-1 не стали. Но в целом САУ понрави</w:t>
      </w:r>
      <w:r w:rsidRPr="00E14102">
        <w:rPr>
          <w:color w:val="000000" w:themeColor="text1"/>
          <w:sz w:val="16"/>
          <w:szCs w:val="16"/>
        </w:rPr>
        <w:softHyphen/>
        <w:t>лась, и руководство АБТУ приняло решение о подготовке серийного выпуска АТ-1, для чего в 1936 г. завод должен был изготовить установочную партию в 10 машин для проведе</w:t>
      </w:r>
      <w:r w:rsidRPr="00E14102">
        <w:rPr>
          <w:color w:val="000000" w:themeColor="text1"/>
          <w:sz w:val="16"/>
          <w:szCs w:val="16"/>
        </w:rPr>
        <w:softHyphen/>
        <w:t>ния расширенных полигонных и войсковых испытаний.</w:t>
      </w:r>
    </w:p>
    <w:p w14:paraId="7673E1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все же искоренить недостатки серийной пушки ПС-3 на Кировском заводе не удалось, и завод поставил вопрос о производстве вместо указанного орудия своего изделия Л-10, которое, как и Л-7, не пожелало встать в отведенное для него на АТ-1 место. Кроме того, завод № 174, загруженный увели</w:t>
      </w:r>
      <w:r w:rsidRPr="00E14102">
        <w:rPr>
          <w:color w:val="000000" w:themeColor="text1"/>
          <w:sz w:val="16"/>
          <w:szCs w:val="16"/>
        </w:rPr>
        <w:softHyphen/>
        <w:t>ченной программой выпуска Т-26, не смог выдать 10 улуч</w:t>
      </w:r>
      <w:r w:rsidRPr="00E14102">
        <w:rPr>
          <w:color w:val="000000" w:themeColor="text1"/>
          <w:sz w:val="16"/>
          <w:szCs w:val="16"/>
        </w:rPr>
        <w:softHyphen/>
        <w:t>шенных шасси для производства АТ-1. Потому программа выпуска пробной серии АТ-1 была перенесена на 1937 г. (11417)/</w:t>
      </w:r>
    </w:p>
    <w:p w14:paraId="568BDBEC" w14:textId="77777777" w:rsidR="00D4105E" w:rsidRPr="00E14102" w:rsidRDefault="00D4105E" w:rsidP="00E14102">
      <w:pPr>
        <w:autoSpaceDE w:val="0"/>
        <w:autoSpaceDN w:val="0"/>
        <w:adjustRightInd w:val="0"/>
        <w:jc w:val="both"/>
        <w:rPr>
          <w:color w:val="000000" w:themeColor="text1"/>
          <w:sz w:val="16"/>
          <w:szCs w:val="16"/>
        </w:rPr>
      </w:pPr>
    </w:p>
    <w:p w14:paraId="4E80D09D" w14:textId="77777777" w:rsidR="00F76F85" w:rsidRPr="00E14102" w:rsidRDefault="00F76F85"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начале 1935 года опытный образец АТ-1, который ожидалось получить в декабре 1934 года, вышел на испытания, но это не точно. По ряду причин (прежде всего, из-за загрузки по ряду других программ) завод №185 в этот срок уложиться не смог. Одновременно шли работы по программе Т-29, а также Т-46-1 — эти танки находились в большем приоритете.</w:t>
      </w:r>
    </w:p>
    <w:p w14:paraId="3ECFF5BF" w14:textId="77777777" w:rsidR="00F76F85" w:rsidRPr="00E14102" w:rsidRDefault="00F76F85"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Согласно письму от 19 мая 1935 года, опытный образец артиллерийского танка только поступил на сборку, сроком её окончания указывался июнь. При этом в письме Гинзбург указывал, что для машины требуется вооружение, включая орудие ПС-3. 22 мая пушку с заводским номером 107 направили на завод №185 вместе с положенным к ней ЗИПом (19671).</w:t>
      </w:r>
    </w:p>
    <w:p w14:paraId="4B136AA4" w14:textId="77777777" w:rsidR="00F76F85" w:rsidRPr="00E14102" w:rsidRDefault="00F76F85"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42EEEFA4" w14:textId="77777777" w:rsidR="00696714" w:rsidRPr="00E14102" w:rsidRDefault="00696714" w:rsidP="00E14102">
      <w:pPr>
        <w:jc w:val="both"/>
        <w:rPr>
          <w:color w:val="000000" w:themeColor="text1"/>
          <w:sz w:val="16"/>
          <w:szCs w:val="16"/>
        </w:rPr>
      </w:pPr>
      <w:r w:rsidRPr="00E14102">
        <w:rPr>
          <w:color w:val="000000" w:themeColor="text1"/>
          <w:sz w:val="16"/>
          <w:szCs w:val="16"/>
        </w:rPr>
        <w:t xml:space="preserve">В начале 1935 г. НТО АБТУ РКАА выдал техническое задание на разработку к 15 апреля эскизного проекта самоходной установки батальонной пушки на шасси </w:t>
      </w:r>
      <w:hyperlink r:id="rId32" w:tgtFrame="_blank" w:history="1">
        <w:r w:rsidRPr="00E14102">
          <w:rPr>
            <w:color w:val="000000" w:themeColor="text1"/>
            <w:sz w:val="16"/>
            <w:szCs w:val="16"/>
          </w:rPr>
          <w:t>танк</w:t>
        </w:r>
      </w:hyperlink>
      <w:r w:rsidRPr="00E14102">
        <w:rPr>
          <w:color w:val="000000" w:themeColor="text1"/>
          <w:sz w:val="16"/>
          <w:szCs w:val="16"/>
        </w:rPr>
        <w:t>а Т-37 (15654).</w:t>
      </w:r>
    </w:p>
    <w:p w14:paraId="636C4D27" w14:textId="77777777" w:rsidR="00696714" w:rsidRPr="00E14102" w:rsidRDefault="00696714" w:rsidP="00E14102">
      <w:pPr>
        <w:jc w:val="both"/>
        <w:rPr>
          <w:color w:val="000000" w:themeColor="text1"/>
          <w:sz w:val="16"/>
          <w:szCs w:val="16"/>
        </w:rPr>
      </w:pPr>
    </w:p>
    <w:p w14:paraId="4CD8C48F" w14:textId="77777777" w:rsidR="00696714" w:rsidRPr="00E14102" w:rsidRDefault="00696714" w:rsidP="00E14102">
      <w:pPr>
        <w:jc w:val="both"/>
        <w:rPr>
          <w:color w:val="000000" w:themeColor="text1"/>
          <w:sz w:val="16"/>
          <w:szCs w:val="16"/>
        </w:rPr>
      </w:pPr>
      <w:r w:rsidRPr="00E14102">
        <w:rPr>
          <w:color w:val="000000" w:themeColor="text1"/>
          <w:sz w:val="16"/>
          <w:szCs w:val="16"/>
        </w:rPr>
        <w:t>В начале 1935 года начался вы</w:t>
      </w:r>
      <w:r w:rsidRPr="00E14102">
        <w:rPr>
          <w:color w:val="000000" w:themeColor="text1"/>
          <w:sz w:val="16"/>
          <w:szCs w:val="16"/>
        </w:rPr>
        <w:softHyphen/>
        <w:t>пуск танка с несколько упрощенным бронекорпусом и серийной башней от БТ-5 с 45-мм пушкой. В КБ ХПЗ тем временем внимательно изучали докумен</w:t>
      </w:r>
      <w:r w:rsidRPr="00E14102">
        <w:rPr>
          <w:color w:val="000000" w:themeColor="text1"/>
          <w:sz w:val="16"/>
          <w:szCs w:val="16"/>
        </w:rPr>
        <w:softHyphen/>
        <w:t>тацию на башню Т-26-4 на предмет ее установки на БТ-7. В апреле 1935 года одна такая башня прибыла на ХПЗ. По</w:t>
      </w:r>
      <w:r w:rsidRPr="00E14102">
        <w:rPr>
          <w:color w:val="000000" w:themeColor="text1"/>
          <w:sz w:val="16"/>
          <w:szCs w:val="16"/>
        </w:rPr>
        <w:softHyphen/>
        <w:t>сле ее изучения в конструкцию башенно</w:t>
      </w:r>
      <w:r w:rsidRPr="00E14102">
        <w:rPr>
          <w:color w:val="000000" w:themeColor="text1"/>
          <w:sz w:val="16"/>
          <w:szCs w:val="16"/>
        </w:rPr>
        <w:softHyphen/>
        <w:t>го погона были внесены изменения, уси</w:t>
      </w:r>
      <w:r w:rsidRPr="00E14102">
        <w:rPr>
          <w:color w:val="000000" w:themeColor="text1"/>
          <w:sz w:val="16"/>
          <w:szCs w:val="16"/>
        </w:rPr>
        <w:softHyphen/>
        <w:t>лена крыша, предусмотрена установка кормового пулемета. В октябре 1935 года новый танк вывели на заводской поли</w:t>
      </w:r>
      <w:r w:rsidRPr="00E14102">
        <w:rPr>
          <w:color w:val="000000" w:themeColor="text1"/>
          <w:sz w:val="16"/>
          <w:szCs w:val="16"/>
        </w:rPr>
        <w:softHyphen/>
        <w:t>гон, а в начале 1936 года началась сборка первой серии из пяти танков БТ-7А (А — артиллерийский) с башней Т-26-4 (15232).</w:t>
      </w:r>
    </w:p>
    <w:p w14:paraId="32F9714D" w14:textId="77777777" w:rsidR="00696714" w:rsidRPr="00E14102" w:rsidRDefault="00696714" w:rsidP="00E14102">
      <w:pPr>
        <w:jc w:val="both"/>
        <w:rPr>
          <w:color w:val="000000" w:themeColor="text1"/>
          <w:sz w:val="16"/>
          <w:szCs w:val="16"/>
        </w:rPr>
      </w:pPr>
    </w:p>
    <w:p w14:paraId="267C58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года в мастерских Артакадемии был изготовлен опытный образец АКТ-37 (3861).</w:t>
      </w:r>
    </w:p>
    <w:p w14:paraId="0B4EF7C9" w14:textId="77777777" w:rsidR="00D4105E" w:rsidRPr="00E14102" w:rsidRDefault="00D4105E" w:rsidP="00E14102">
      <w:pPr>
        <w:autoSpaceDE w:val="0"/>
        <w:autoSpaceDN w:val="0"/>
        <w:adjustRightInd w:val="0"/>
        <w:jc w:val="both"/>
        <w:rPr>
          <w:color w:val="000000" w:themeColor="text1"/>
          <w:sz w:val="16"/>
          <w:szCs w:val="16"/>
        </w:rPr>
      </w:pPr>
    </w:p>
    <w:p w14:paraId="6F849A28" w14:textId="77777777" w:rsidR="00696714" w:rsidRPr="00E14102" w:rsidRDefault="00696714" w:rsidP="00E14102">
      <w:pPr>
        <w:jc w:val="both"/>
        <w:rPr>
          <w:color w:val="000000" w:themeColor="text1"/>
          <w:sz w:val="16"/>
          <w:szCs w:val="16"/>
        </w:rPr>
      </w:pPr>
      <w:r w:rsidRPr="00E14102">
        <w:rPr>
          <w:color w:val="000000" w:themeColor="text1"/>
          <w:sz w:val="16"/>
          <w:szCs w:val="16"/>
        </w:rPr>
        <w:t>В начале 1935 г. начальни</w:t>
      </w:r>
      <w:r w:rsidRPr="00E14102">
        <w:rPr>
          <w:color w:val="000000" w:themeColor="text1"/>
          <w:sz w:val="16"/>
          <w:szCs w:val="16"/>
        </w:rPr>
        <w:softHyphen/>
        <w:t>ком НИИИТ РККА дивинженером (инженером дивизии) Потаповым была утверждена Программа испытаний минного заградите</w:t>
      </w:r>
      <w:r w:rsidRPr="00E14102">
        <w:rPr>
          <w:color w:val="000000" w:themeColor="text1"/>
          <w:sz w:val="16"/>
          <w:szCs w:val="16"/>
        </w:rPr>
        <w:softHyphen/>
        <w:t>ля. Планировалось испытать МЗП в различных условиях, на подъемах и спу</w:t>
      </w:r>
      <w:r w:rsidRPr="00E14102">
        <w:rPr>
          <w:color w:val="000000" w:themeColor="text1"/>
          <w:sz w:val="16"/>
          <w:szCs w:val="16"/>
        </w:rPr>
        <w:softHyphen/>
        <w:t>сках до 30°. Большое внимание уделялось без</w:t>
      </w:r>
      <w:r w:rsidRPr="00E14102">
        <w:rPr>
          <w:color w:val="000000" w:themeColor="text1"/>
          <w:sz w:val="16"/>
          <w:szCs w:val="16"/>
        </w:rPr>
        <w:softHyphen/>
        <w:t>опасности транспортировки мин на всех ско</w:t>
      </w:r>
      <w:r w:rsidRPr="00E14102">
        <w:rPr>
          <w:color w:val="000000" w:themeColor="text1"/>
          <w:sz w:val="16"/>
          <w:szCs w:val="16"/>
        </w:rPr>
        <w:softHyphen/>
        <w:t>ростях движения прицепки и при преодолении небольших препятствий, а также ее защищен</w:t>
      </w:r>
      <w:r w:rsidRPr="00E14102">
        <w:rPr>
          <w:color w:val="000000" w:themeColor="text1"/>
          <w:sz w:val="16"/>
          <w:szCs w:val="16"/>
        </w:rPr>
        <w:softHyphen/>
        <w:t>ности от самовзрыва мин в случае быстрой остановки перед неожиданными преградами. Макеты мин предполагалось испытать с ис</w:t>
      </w:r>
      <w:r w:rsidRPr="00E14102">
        <w:rPr>
          <w:color w:val="000000" w:themeColor="text1"/>
          <w:sz w:val="16"/>
          <w:szCs w:val="16"/>
        </w:rPr>
        <w:softHyphen/>
        <w:t>пользованием дымовых шашек - на так назы</w:t>
      </w:r>
      <w:r w:rsidRPr="00E14102">
        <w:rPr>
          <w:color w:val="000000" w:themeColor="text1"/>
          <w:sz w:val="16"/>
          <w:szCs w:val="16"/>
        </w:rPr>
        <w:softHyphen/>
        <w:t>ваемых «вспышках» (15777).</w:t>
      </w:r>
    </w:p>
    <w:p w14:paraId="4D1ADCF4" w14:textId="77777777" w:rsidR="00696714" w:rsidRPr="00E14102" w:rsidRDefault="00696714" w:rsidP="00E14102">
      <w:pPr>
        <w:jc w:val="both"/>
        <w:rPr>
          <w:color w:val="000000" w:themeColor="text1"/>
          <w:sz w:val="16"/>
          <w:szCs w:val="16"/>
        </w:rPr>
      </w:pPr>
    </w:p>
    <w:p w14:paraId="1A9B50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 опытный образец АКТ-37 был изготовлен в мастерских Артакадемии. После длительной отладки 4 мая 1936 г. АКТ-37 поступил на НИАП для проведения полигонных испытаний. С 16 мая по 11 июня 1936 г. на НИАПе проводились стрельбы из АКТ-37, установленной на временном станке.</w:t>
      </w:r>
    </w:p>
    <w:p w14:paraId="536009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1932 г. сотрудники Артакадемии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w:t>
      </w:r>
    </w:p>
    <w:p w14:paraId="264E83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2D1CB2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первоначальному проекту ствол, баллистика и боекомплект были взяты от 37-мм автомата «Рейнметалл»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410ABB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надвижением по направляющим казенника на его место нового магазина.</w:t>
      </w:r>
    </w:p>
    <w:p w14:paraId="53B964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Преимуществом АКТ-37 был сравнительно высокий темп стрельбы — 200 выстр/мин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w:t>
      </w:r>
    </w:p>
    <w:p w14:paraId="0A5A5D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Затем пушка была установлена на самолет Р-6. Стрельбы в воздухе проводились с 8 по 16 августа 1936 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47B97C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31FB88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w:t>
      </w:r>
    </w:p>
    <w:p w14:paraId="19BA7E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Лафет ТАКТ (тумбовый) был разработан для установки как в кузове грузового автомобиля, так и на четырехколесной повозке ЗУ-7 Брянского завода (типа «Бофорс»).</w:t>
      </w:r>
    </w:p>
    <w:p w14:paraId="229F4F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1936–1938 гг. на заводе № 7 было изготовлено 15 автоматов АКТ-37, а на заводе № 4 (им. Ворошилова) — 5.</w:t>
      </w:r>
    </w:p>
    <w:p w14:paraId="54C415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октября 1937 г. на НИАП для испытаний был подан АКТ-37 на лафете ТАКТ, установленном на автомобиле ЗИС-12. Угол возвышения установки составлял +80°.</w:t>
      </w:r>
    </w:p>
    <w:p w14:paraId="0178CC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23–28 апреля 1938 г. на НИАПе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w:t>
      </w:r>
    </w:p>
    <w:p w14:paraId="123CBE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Наконец 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3F53AF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Данные автомата АКТ-37 </w:t>
      </w:r>
    </w:p>
    <w:p w14:paraId="0891B7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мм — 37</w:t>
      </w:r>
    </w:p>
    <w:p w14:paraId="592F52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автомата, мм — 3050*</w:t>
      </w:r>
    </w:p>
    <w:p w14:paraId="077F29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ствола, мм/клб — 1900/51,3</w:t>
      </w:r>
    </w:p>
    <w:p w14:paraId="34555B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нарезной части, мм — 1652</w:t>
      </w:r>
    </w:p>
    <w:p w14:paraId="49B5E0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Объем каморы, л — 0,266</w:t>
      </w:r>
    </w:p>
    <w:p w14:paraId="617583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Крутизна нарезов: у основания, клб/град — 50/3°35?43?</w:t>
      </w:r>
    </w:p>
    <w:p w14:paraId="743EE6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дула, клб/град — 30/5°58?42?</w:t>
      </w:r>
    </w:p>
    <w:p w14:paraId="2C30CA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Число нарезов — 15</w:t>
      </w:r>
    </w:p>
    <w:p w14:paraId="66C294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Глубина нарезов, мм — 0,45</w:t>
      </w:r>
    </w:p>
    <w:p w14:paraId="51D55F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Ширина нарезов, мм — 4,8</w:t>
      </w:r>
    </w:p>
    <w:p w14:paraId="01AFA9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Ширина полей, мм — 2,5</w:t>
      </w:r>
    </w:p>
    <w:p w14:paraId="4B118F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Вес ствола, кг — 13,13*</w:t>
      </w:r>
    </w:p>
    <w:p w14:paraId="7BC21C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автоматики (затвора с рамой), кг — 8,5*</w:t>
      </w:r>
    </w:p>
    <w:p w14:paraId="60CFD2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откатных частей, кг — 134,5 (при весе качающейся части 240 кг)</w:t>
      </w:r>
    </w:p>
    <w:p w14:paraId="1FDAC0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качающейся части, кг — 215* (позже 240 кг)</w:t>
      </w:r>
    </w:p>
    <w:p w14:paraId="2608C3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магазина с 5 патронами, кг — 12,5*</w:t>
      </w:r>
    </w:p>
    <w:p w14:paraId="3953CE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отката, мм: максимальная — 160</w:t>
      </w:r>
    </w:p>
    <w:p w14:paraId="5F29AF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минимальная, обеспечивающая работу автоматики — 153–155</w:t>
      </w:r>
    </w:p>
    <w:p w14:paraId="5D4F09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Темп стрельбы, выстр/мин — 150–200 (на различных испытаниях)</w:t>
      </w:r>
    </w:p>
    <w:p w14:paraId="3C3E0D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Расчетные данные.</w:t>
      </w:r>
    </w:p>
    <w:p w14:paraId="339F10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785414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гильзы первоначально была 265 мм, а с конца 1936 г. — 240 мм. Вес патрона около 1,5 кг.</w:t>
      </w:r>
    </w:p>
    <w:p w14:paraId="4C908F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60EC8E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Основными отличиями АСКОН от АКТ были:</w:t>
      </w:r>
    </w:p>
    <w:p w14:paraId="6E1123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227E07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57EAEC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6A70F7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0AE2BA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370B1E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Данные 37-мм автоматической пушки АСКОН-37 </w:t>
      </w:r>
    </w:p>
    <w:p w14:paraId="4098AD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мм — 37</w:t>
      </w:r>
    </w:p>
    <w:p w14:paraId="3C3A62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автомата, мм — 3318</w:t>
      </w:r>
    </w:p>
    <w:p w14:paraId="26F255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ствола, мм/клб — 2335/63,1</w:t>
      </w:r>
    </w:p>
    <w:p w14:paraId="39B3A3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пути снаряда по каналу, мм — 2115</w:t>
      </w:r>
    </w:p>
    <w:p w14:paraId="3B8A24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нарезной части, мм — 072</w:t>
      </w:r>
    </w:p>
    <w:p w14:paraId="3DA7AF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Объем каморы, дм3 — 0,540</w:t>
      </w:r>
    </w:p>
    <w:p w14:paraId="64F629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Крутизна нарезов постоянная, клб — 30</w:t>
      </w:r>
    </w:p>
    <w:p w14:paraId="52B357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Число нарезов — 16</w:t>
      </w:r>
    </w:p>
    <w:p w14:paraId="45437E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Глубина нарезов, мм — 0,45</w:t>
      </w:r>
    </w:p>
    <w:p w14:paraId="495986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Ширина полей, мм — 2,5</w:t>
      </w:r>
    </w:p>
    <w:p w14:paraId="0A8D13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ствольной группы, кг — 123,4</w:t>
      </w:r>
    </w:p>
    <w:p w14:paraId="6128EB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автоматики, кг — 13</w:t>
      </w:r>
    </w:p>
    <w:p w14:paraId="79D89D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откатных частей; кг — 153</w:t>
      </w:r>
    </w:p>
    <w:p w14:paraId="062E7D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люльки, кг — 71,24</w:t>
      </w:r>
    </w:p>
    <w:p w14:paraId="40818A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магазина, кг — 5,73</w:t>
      </w:r>
    </w:p>
    <w:p w14:paraId="44B05A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качающейся части, кг — 442,1</w:t>
      </w:r>
    </w:p>
    <w:p w14:paraId="3C84C9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отката ствола, мм — 117</w:t>
      </w:r>
    </w:p>
    <w:p w14:paraId="4D28E2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Темп стрельбы, выстр/мин — 250</w:t>
      </w:r>
    </w:p>
    <w:p w14:paraId="348280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Баллистические данные АСКОН-37</w:t>
      </w:r>
    </w:p>
    <w:p w14:paraId="0D98F9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снаряда — Осколочный чертежа 6436 (АНИМИ)</w:t>
      </w:r>
    </w:p>
    <w:p w14:paraId="40A602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снаряда, кг — 0,645</w:t>
      </w:r>
    </w:p>
    <w:p w14:paraId="3BB6CC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заряда, кг — 0,378</w:t>
      </w:r>
    </w:p>
    <w:p w14:paraId="6EC40B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Начальная скорость, м/с — 1060</w:t>
      </w:r>
    </w:p>
    <w:p w14:paraId="7201D0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Давление, кг/см2 — 2900 (12091).</w:t>
      </w:r>
    </w:p>
    <w:p w14:paraId="4A979701" w14:textId="77777777" w:rsidR="00D4105E" w:rsidRPr="00E14102" w:rsidRDefault="00D4105E" w:rsidP="00E14102">
      <w:pPr>
        <w:autoSpaceDE w:val="0"/>
        <w:autoSpaceDN w:val="0"/>
        <w:adjustRightInd w:val="0"/>
        <w:jc w:val="both"/>
        <w:rPr>
          <w:color w:val="000000" w:themeColor="text1"/>
          <w:sz w:val="16"/>
          <w:szCs w:val="16"/>
        </w:rPr>
      </w:pPr>
    </w:p>
    <w:p w14:paraId="3488ED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начале 1935 года была проведена модернизация установки СУ-14, сводившаяся в основном к более широкому использованию агрегатов оригинальной конструкции, заимствованных у Т-35, или взамен агрегатов Т-28 (11638). </w:t>
      </w:r>
    </w:p>
    <w:p w14:paraId="04000C87" w14:textId="77777777" w:rsidR="00D4105E" w:rsidRPr="00E14102" w:rsidRDefault="00D4105E" w:rsidP="00E14102">
      <w:pPr>
        <w:autoSpaceDE w:val="0"/>
        <w:autoSpaceDN w:val="0"/>
        <w:adjustRightInd w:val="0"/>
        <w:jc w:val="both"/>
        <w:rPr>
          <w:color w:val="000000" w:themeColor="text1"/>
          <w:sz w:val="16"/>
          <w:szCs w:val="16"/>
        </w:rPr>
      </w:pPr>
    </w:p>
    <w:p w14:paraId="10ED52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начале 1935 года все ПБ-4 с новыми радиаторами сдали заказчику. При этом одну машину разобрали для испытания обстре</w:t>
      </w:r>
      <w:r w:rsidRPr="00E14102">
        <w:rPr>
          <w:color w:val="000000" w:themeColor="text1"/>
          <w:sz w:val="16"/>
          <w:szCs w:val="16"/>
        </w:rPr>
        <w:softHyphen/>
        <w:t>лом бронекорпуса. Из-за того, что ПБ-4 изготовили в 1933-1934 годах, а приняли только в 1935-м, многие исследователи пишут о 10 и даже 15 выпущенных образцах. На самом деле в плане за</w:t>
      </w:r>
      <w:r w:rsidRPr="00E14102">
        <w:rPr>
          <w:color w:val="000000" w:themeColor="text1"/>
          <w:sz w:val="16"/>
          <w:szCs w:val="16"/>
        </w:rPr>
        <w:softHyphen/>
        <w:t>казов на 1934 год значилось 10 ПБ-4, а в отчете за 1935 год -5 ПБ-4. Естественно, не зная всей истории с этими броневи</w:t>
      </w:r>
      <w:r w:rsidRPr="00E14102">
        <w:rPr>
          <w:color w:val="000000" w:themeColor="text1"/>
          <w:sz w:val="16"/>
          <w:szCs w:val="16"/>
        </w:rPr>
        <w:softHyphen/>
        <w:t>ками, можно говорить о 15 машинах, хотя всего было выпу</w:t>
      </w:r>
      <w:r w:rsidRPr="00E14102">
        <w:rPr>
          <w:color w:val="000000" w:themeColor="text1"/>
          <w:sz w:val="16"/>
          <w:szCs w:val="16"/>
        </w:rPr>
        <w:softHyphen/>
        <w:t>щено 6 ПБ-4, из них один разобран весной 1935 года. Три бронеавтомобиля ПБ-4 передали на хранение во</w:t>
      </w:r>
      <w:r w:rsidRPr="00E14102">
        <w:rPr>
          <w:color w:val="000000" w:themeColor="text1"/>
          <w:sz w:val="16"/>
          <w:szCs w:val="16"/>
        </w:rPr>
        <w:softHyphen/>
        <w:t>енному складу № 37, один в течение двух лет числился в составе 5-го механизированного корпуса Московского военного округа и один остался на НИБТ полигоне, где до</w:t>
      </w:r>
      <w:r w:rsidRPr="00E14102">
        <w:rPr>
          <w:color w:val="000000" w:themeColor="text1"/>
          <w:sz w:val="16"/>
          <w:szCs w:val="16"/>
        </w:rPr>
        <w:softHyphen/>
        <w:t>жил до наших дней. Сегодня этот образец ПБ-4 можно увидеть в экспозиции военно-исторического музея броне</w:t>
      </w:r>
      <w:r w:rsidRPr="00E14102">
        <w:rPr>
          <w:color w:val="000000" w:themeColor="text1"/>
          <w:sz w:val="16"/>
          <w:szCs w:val="16"/>
        </w:rPr>
        <w:softHyphen/>
        <w:t>танкового вооружения и техники в поселке Кубинка Мос</w:t>
      </w:r>
      <w:r w:rsidRPr="00E14102">
        <w:rPr>
          <w:color w:val="000000" w:themeColor="text1"/>
          <w:sz w:val="16"/>
          <w:szCs w:val="16"/>
        </w:rPr>
        <w:softHyphen/>
        <w:t>ковской области (11284).</w:t>
      </w:r>
    </w:p>
    <w:p w14:paraId="7B8154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B8B18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начале 1935 года в конструкторском бюро Курчевского, работавшем на территории завода № 38 в подмос</w:t>
      </w:r>
      <w:r w:rsidRPr="00E14102">
        <w:rPr>
          <w:color w:val="000000" w:themeColor="text1"/>
          <w:sz w:val="16"/>
          <w:szCs w:val="16"/>
        </w:rPr>
        <w:softHyphen/>
        <w:t>ковных Подлипках, спроектировали легкий бронеавтомо</w:t>
      </w:r>
      <w:r w:rsidRPr="00E14102">
        <w:rPr>
          <w:color w:val="000000" w:themeColor="text1"/>
          <w:sz w:val="16"/>
          <w:szCs w:val="16"/>
        </w:rPr>
        <w:softHyphen/>
        <w:t>биль на трехосном шасси ГАЗ-ТК. Проект представили на рассмотрение в автобронетанковое управление Красной Армии (с 1 января 1935 года УММ РККА переименовали в АБТУ), где было принято решение о по</w:t>
      </w:r>
      <w:r w:rsidRPr="00E14102">
        <w:rPr>
          <w:color w:val="000000" w:themeColor="text1"/>
          <w:sz w:val="16"/>
          <w:szCs w:val="16"/>
        </w:rPr>
        <w:softHyphen/>
        <w:t>стройке опытного образца — по проходимости ГАЗ-ТК превосходил ГАЗ-А, а других шасси для легких бронема</w:t>
      </w:r>
      <w:r w:rsidRPr="00E14102">
        <w:rPr>
          <w:color w:val="000000" w:themeColor="text1"/>
          <w:sz w:val="16"/>
          <w:szCs w:val="16"/>
        </w:rPr>
        <w:softHyphen/>
        <w:t>шин в СССР не было.</w:t>
      </w:r>
    </w:p>
    <w:p w14:paraId="123FCD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Как и в случае с шасси ТК, при проектировании бро</w:t>
      </w:r>
      <w:r w:rsidRPr="00E14102">
        <w:rPr>
          <w:color w:val="000000" w:themeColor="text1"/>
          <w:sz w:val="16"/>
          <w:szCs w:val="16"/>
        </w:rPr>
        <w:softHyphen/>
        <w:t>невика Курчевский попытался обойтись «малой кровью» — для него был взят корпус ФАИ, который разре</w:t>
      </w:r>
      <w:r w:rsidRPr="00E14102">
        <w:rPr>
          <w:color w:val="000000" w:themeColor="text1"/>
          <w:sz w:val="16"/>
          <w:szCs w:val="16"/>
        </w:rPr>
        <w:softHyphen/>
        <w:t>зали в средней части и удлинили, вварив в борта и крышу листы обычной стали шириной 820 мм. За счет увели</w:t>
      </w:r>
      <w:r w:rsidRPr="00E14102">
        <w:rPr>
          <w:color w:val="000000" w:themeColor="text1"/>
          <w:sz w:val="16"/>
          <w:szCs w:val="16"/>
        </w:rPr>
        <w:softHyphen/>
        <w:t>чения размеров корпуса в нем удаюсь разместить радио</w:t>
      </w:r>
      <w:r w:rsidRPr="00E14102">
        <w:rPr>
          <w:color w:val="000000" w:themeColor="text1"/>
          <w:sz w:val="16"/>
          <w:szCs w:val="16"/>
        </w:rPr>
        <w:softHyphen/>
        <w:t>станцию 71-ТК с поручневой антенной - в ФАИ при его небольших размерах ее установить не удалось. Для улуч</w:t>
      </w:r>
      <w:r w:rsidRPr="00E14102">
        <w:rPr>
          <w:color w:val="000000" w:themeColor="text1"/>
          <w:sz w:val="16"/>
          <w:szCs w:val="16"/>
        </w:rPr>
        <w:softHyphen/>
        <w:t>шения преодоления препятствий на бортах броневика установили запасные колеса, вращающиеся на специаль</w:t>
      </w:r>
      <w:r w:rsidRPr="00E14102">
        <w:rPr>
          <w:color w:val="000000" w:themeColor="text1"/>
          <w:sz w:val="16"/>
          <w:szCs w:val="16"/>
        </w:rPr>
        <w:softHyphen/>
        <w:t>ных кронштейнах. Вооружение осталось таким же, как у ФАИ - пулемет ДТ в башне, правда, боекомплект вы</w:t>
      </w:r>
      <w:r w:rsidRPr="00E14102">
        <w:rPr>
          <w:color w:val="000000" w:themeColor="text1"/>
          <w:sz w:val="16"/>
          <w:szCs w:val="16"/>
        </w:rPr>
        <w:softHyphen/>
        <w:t>рос на 7 магазинов (441 патрон). Новый броневик изгото</w:t>
      </w:r>
      <w:r w:rsidRPr="00E14102">
        <w:rPr>
          <w:color w:val="000000" w:themeColor="text1"/>
          <w:sz w:val="16"/>
          <w:szCs w:val="16"/>
        </w:rPr>
        <w:softHyphen/>
        <w:t>вили на заводе № 38 в июне 1935 года. В документах он именовался как «бронеавтомобиль ГАЗ-ТК», или сокра</w:t>
      </w:r>
      <w:r w:rsidRPr="00E14102">
        <w:rPr>
          <w:color w:val="000000" w:themeColor="text1"/>
          <w:sz w:val="16"/>
          <w:szCs w:val="16"/>
        </w:rPr>
        <w:softHyphen/>
        <w:t>щенно БА ГАЗ-ТК. Никаких других индексов эта машина не имела (11284).</w:t>
      </w:r>
    </w:p>
    <w:p w14:paraId="34C5B54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FC7BC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начале 1935 года была построена третья серия опытных образцов СТЗ-5. Эти машины, показанные 16 июля вместе с сельскохозяйственным трактором СТЗ-3 высшему руководству страны во главе с И.В.Сталиным, получили полное одобрение, а в кузове СТЗ-5 члены Политбюро даже проехались по опытному полю НАТИ. 10 декабря 1935 года два СТЗ-5, участвовавших в зимнем пробеге Сталинград— Москва, успешно продемонстрировали в Кремле. </w:t>
      </w:r>
    </w:p>
    <w:p w14:paraId="4C883F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Обнаруженные во время испытаний недостатки транспортного трактора устранили к 1936 году. Но на подготовку его к производству, вслед за СТЗ-3, на Сталинградском тракторном заводе ушло два года. </w:t>
      </w:r>
    </w:p>
    <w:p w14:paraId="2204C6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Машина имела уже ставшую традиционной для транспортных тракторов компоновку с передним расположением двухместной (водитель и командир орудия) закрытой дерево-металлической кабины, установленной над двигателем. За кабиной и топливными баками находилась двухметровая грузовая деревянная платформа с откидными бортами и съемным брезентовым верхом с целлулоидными окнами. Здесь на четырех откидных полумягких сиденьях размещался орудийный расчет, а на полу — боеприпасы и артиллерийское снаряжение. Легкая и рациональная рама трактора состояла из двух продольных швеллеров, связанных четырьмя различными поперечинами. Двигатель 1МА — типично тракторный, четырехцилин-дровый, карбюраторный (от дизеля пришлось отказаться), с зажиганием от магнето, малооборотный и относительно тяжелый, но выносливый и надежный (выпускался до 1953 года). Заводился он и мог работать на бензине (бак — 14 л), переходя потом (после прогрева до 90°) на керосин или лигроин (бак — 148 л), то есть был фактически многотопливным. Для предупреждения детонации и для повышения мощности, особенно при работе на керосине с большой нагрузкой в жаркое время года, в цилиндры через специальную сиcтему карбюратора впрыскивалась иода, пока в 1941 году не была введена питиде-гонационная камера сгорания. Диигатель имел полноценные системы смазки, охлаждения, питания, электрооборудования. </w:t>
      </w:r>
      <w:r w:rsidRPr="00E14102">
        <w:rPr>
          <w:color w:val="000000" w:themeColor="text1"/>
          <w:sz w:val="16"/>
          <w:szCs w:val="16"/>
        </w:rPr>
        <w:lastRenderedPageBreak/>
        <w:t xml:space="preserve">Запуск — электростартером (ею не было на СТЗ-3) или безопасной (при обратном ударе) пусковой рукояткой; управление - ножной педалью «по-автомобильному". В коробке передач, стыкуемой с задним мостом, были изменены передаточные числа с целью увеличения силового диапазона (до 9,81 против 2,1 у СТЗ-3) и скоростей движения, введена еще одна (понижающая) передача. При движении на ней со скоростью 1,9 км/ч СТЗ-5 развивал гягу 4850 кгс, то есть на пределе сцепления гусениц с грунтом. </w:t>
      </w:r>
    </w:p>
    <w:p w14:paraId="2C4143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Задний мост с бортовыми фрикционами и тормозами (дополнены общим ножным приводом) вместе с конечными передачами полностью заимствовались от СТЗ-3, что оказалось очень важным при их совместном массовом производстве. Ходовая часть была более приспособленной к движению С высокими скоростями: введены обрезиненные опорные и поддерживающие катки и мелкозвенчатая гусеница с вдвое уменьшенным шагом. Ведущая звездочка осталась прежней, а потому быстро изнашивалась. На картере заднего моста под платформой устанавливался вертикальный кабестан с тросом длиной 40 м для подтягивания прицепов (при раздельном преодолении тяжелых участков), самовытаскивания трактора и буксировки других машин. Тяговое усилие кабестана составляло 4000 кгс, хотя мощность двигателя позволяла развивать до 12 000 кгс, но это было небезопасно для прочности трактора. Такое довольно простое и эффективное устройство вполне заменяло лебедку, которая уже тогда считалась обязательной для каждого артиллерийского тягача, кроме легкого. Кабина имела открывающиеся передние и боковые стекла, а также регулируемые жалюзи в передней и задней части — для организации ее проточной вентиляции; в противном случае летом температура здесь от нагрева массивным двигателем достигала 50°. </w:t>
      </w:r>
    </w:p>
    <w:p w14:paraId="5EC91A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1939 году специально для СТЗ-5 на Харьковском тракторном заводе был построен дизельный двигатель Д-8Т (транспортный) мощностью 58,5 л.с. при 1350 об/мин, рабочим обьемом 6,876 л, со стартерным запуском (затем — с пусковым двигателем СТЗ). Но из-за присущих ему недостатков и технологических трудностей в производство он не пошел.</w:t>
      </w:r>
    </w:p>
    <w:p w14:paraId="63FDA1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1937 году были выпущены первые 173 транспортных СТЗ-5, в 1938-м— 136, в 1939-м-уже 1256 и в 1940 году- 1274. В артиллерийских частях они буксировали артсистемы массой до 3400 кг, в том числе 76-мм полковые и дивизионные пушки, 122-мм и 152-мм гаубицы, а также 76-мм (позже и 85-мм) зенитные орудия. Скоро в РККА СТЗ-5 стал наиболее распространенным и доступным артиллерийским тягачом, успешно работавшим во всех климатических зонах СССР. Летом 1939 года машина проходила армейские испытания в районе города Медведь Новгородской области. Были определены параметры ее геометрической проходимости: ров — до 1 м, стенка — до 0,6 м, брод — до 0,8 м. Это же подтвердили испытания СТЗ-5, проведенные в 1939— 1940 годах на НИБТПолигоне ГАБТУ КА. </w:t>
      </w:r>
    </w:p>
    <w:p w14:paraId="143B39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Средне-техническая скорость движения тягача с прицепом по шоссе в составе батареи достигала 14 км/ч; в составе полка — 11 км/ч; по грунту — 10 км/ч. При эксплуатации сильно сказывалось его сельскохозяйственное происхождение: из всех отечественных машин этого назначения он имел самую плохую проходимость, небольшую удельную мощность, узкую колею {выбранную для работы с четырехкорпусным плугом), малый клиренс, недостаточные сцепные возможности гусениц с мелкими грунтозацепами высотой всего 35 мм, значительное удельное давление на грунт из-за малой ширины траков, сильную продольную раскачку при движении на больших скоростях — стоял даже вопрос о добавлении пятого опорного катка для увеличения базы (амортизаторы тогда еще не применялись). На зимних обледенелых дорогах сцепления гусениц с грунтом было недостаточно для устойчивого движения. </w:t>
      </w:r>
    </w:p>
    <w:p w14:paraId="3F069E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выносливость тягача не вызывала сомнений — он дважды (в ноябре —декабре 1935 года и в марте — апреле 1939-го) совершал безостановочные пробеги Сталинград — Москва и обратно без поломок и недопустимых износов. Дополнительные испытания СТЗ-5, проведенные в НАТИ летом-осенью 1943 года, показали низкие тяговые свойства машины. При движении на высшей, пятой передаче максимальное тяговое усилие на крюке не превышало 240 — 270 кгс, что позволяло тягачу уверенно работать без прицепа или тянуть его только по хорошим дорогам с подъемами оказался крайне незначительным (2 — 6%) и при перегрузке скорость резко падала. Поэтому приходилось работать в основном на четвертой (нагрузка на крюке — 585 кгс) и на третьей (нагрузка — до 1230 кгс) передачах. Движение в условиях бездорожья или при буксировке тяжелых прицепов было возможно только на второй передаче (тяговое усилие — 2720 кгс). Отмечался также очень низкий коэффициент сцепления гусенице грунтом (f = 0,599) (11639).</w:t>
      </w:r>
    </w:p>
    <w:p w14:paraId="7C01247C" w14:textId="77777777" w:rsidR="00D4105E" w:rsidRPr="00E14102" w:rsidRDefault="00D4105E" w:rsidP="00E14102">
      <w:pPr>
        <w:autoSpaceDE w:val="0"/>
        <w:autoSpaceDN w:val="0"/>
        <w:adjustRightInd w:val="0"/>
        <w:jc w:val="both"/>
        <w:rPr>
          <w:color w:val="000000" w:themeColor="text1"/>
          <w:sz w:val="16"/>
          <w:szCs w:val="16"/>
        </w:rPr>
      </w:pPr>
    </w:p>
    <w:p w14:paraId="52E1B5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года объединенной конструкторской группой ЧТЗ (руководитель В.Т. Ломоносов) и НАТИ – научно-исследовательского автотракторного института (руководитель А. Лебедев) был создан дизель-мотор М-75, приспособленный для трактора С-60.</w:t>
      </w:r>
    </w:p>
    <w:p w14:paraId="380118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Дизельной проблеме на ЧТЗ посвятили техническое совещание, состоявшееся 6 апреля 1935 года. Было принято решение о создании специальной дизельной комиссии, а затем и дизельного производства. По предложению Брускина, поддержанному Орджоникидзе, дизельное производство (позже преобразованное в дизельное управление) возглавил Элиазар Ильич Гуревич. Работу было решено вести в двух главных направлениях: разработка оптимальной конструкции дизеля для трактора ЧТЗ и подготовка к реконструкции завода для выпуска дизельных тракторов (11627).</w:t>
      </w:r>
    </w:p>
    <w:p w14:paraId="1D18F016" w14:textId="77777777" w:rsidR="00D4105E" w:rsidRPr="00E14102" w:rsidRDefault="00D4105E" w:rsidP="00E14102">
      <w:pPr>
        <w:autoSpaceDE w:val="0"/>
        <w:autoSpaceDN w:val="0"/>
        <w:adjustRightInd w:val="0"/>
        <w:jc w:val="both"/>
        <w:rPr>
          <w:color w:val="000000" w:themeColor="text1"/>
          <w:sz w:val="16"/>
          <w:szCs w:val="16"/>
        </w:rPr>
      </w:pPr>
    </w:p>
    <w:p w14:paraId="60BF3B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начале 1935 года коллектив НАТИ во главе с начальником тракторного отдела В.Я.Слонимским и ведущим конструктором А.А.Крейслером взялся за сложную и неблагодарную работу — создание транспортного трактора на базе С60 ЧТЗ - слишком велико было желание дать стране еще одну транспортную машину. На прототипе транспортного трактора «Сталинец-1» (С-1 или “Скоростной") в конструкцию машины, по сравнению с базовой, внесли кардинальные изменения: подняли мощность двигателя путем увеличения частоты вращения, степени сжатия и перевода его на бензин (вместо лигроина); добавили четвертую ступень в коробку передач и расширили ее силовой диапазон; создали многокатковый движитель с двойной эластичной подвеской; применили легкую мелкозвенчатую гусеницу; использовали пневмоусилители управления бортовых фрикционов. Компоновку изменили по опыту СТЗ-5 — двигатель сместили вперед и заключили внутрь кабины, сзади, на освободившемся месте установили кузов, под ним — лебедку от тягача «Коминтерн». С-1 построили осенью 1935 года в НАТИ, а 10 декабря после прохождения испытаний он был показан вместе с новыми тракторами в Кремле И.В.Сталину и другим руководителям государства. В следующем году по результатам испытаний усилили подвеску, мощность двигателя довели до 120 л.с. (и даже до 130 л.с.) при 1200 об/мин, то есть она увеличилась почти вдвое по сравнению с С-60, при этом скорость машины повысилась. Зимой 1937-го С-1 проходил испытания (водители - А.В.Сапожников от НАТИ и ВИ.Дурановский - от ЧТЗ) уже как артиллерийский тягач на Лужском полигоне, где показал неплохие результаты: среднюю скорость по шоссе без прицепа — 22 км/ч, с артсистемой массой 7,2 т — до 17 км/ч, с массой 12 т — до 11 км/ч, подъем 24° - без прицепа и 12,5° —с прицепом. Однако в это время ЧТЗ уже интенсивно готовился к переходу на новый базовый трактор С-65 с дизелем НАТИ М-17 (75 л.с.), поэтому бензиновый С-1 оказался бесперспективным. </w:t>
      </w:r>
    </w:p>
    <w:p w14:paraId="23530B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Новый транспортный трактор с дизелем, также форсированным до требуемой, более высокой мощности, пришлось создавать почти с нуля, одновременно существенно дорабатывая подвеску и ходовую часть. </w:t>
      </w:r>
    </w:p>
    <w:p w14:paraId="43F9C4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Транспортной модификацией двигателя М-17 с конца 1936 года занимался ведущий конструктор-дизелист НАТИ А.В.Лебедев, а также инженеры В.Н.Попов и А.С.Балаев. Рабочий обьем мотора увеличили на 14,3% путем доведения диаметра цилиндров до 155 мм -предела, обусловленного измененной конструкцией блока и поршневой группы; частоту вращения повысили на 35%; расширили фазы газораспределения; применили новую форкамеру. Весной 1937 года дизель МТ-17 был построен в НАТИ, Одновременно с ним компоновался и новый трактор «Сталинец-2». Очередной раз переделывались подвеска и ходовая часть, аносились изменения в трансмиссию. В конце года первый С-2 вышел на испытания, которые показали, что он требует серьезной конструкторской доработки. Однако острая потребность в артиллерийских тягачах для армии в преддверии войны вынудила передать «сырую» недоведенную машину в производство. 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600068FB" w14:textId="77777777" w:rsidR="00D4105E" w:rsidRPr="00E14102" w:rsidRDefault="00D4105E" w:rsidP="00E14102">
      <w:pPr>
        <w:autoSpaceDE w:val="0"/>
        <w:autoSpaceDN w:val="0"/>
        <w:adjustRightInd w:val="0"/>
        <w:jc w:val="both"/>
        <w:rPr>
          <w:color w:val="000000" w:themeColor="text1"/>
          <w:sz w:val="16"/>
          <w:szCs w:val="16"/>
        </w:rPr>
      </w:pPr>
    </w:p>
    <w:p w14:paraId="0AC843F9" w14:textId="77777777" w:rsidR="00EC7631" w:rsidRPr="00E14102" w:rsidRDefault="00EC7631" w:rsidP="00E14102">
      <w:pPr>
        <w:jc w:val="both"/>
        <w:rPr>
          <w:color w:val="000000" w:themeColor="text1"/>
          <w:sz w:val="16"/>
          <w:szCs w:val="16"/>
        </w:rPr>
      </w:pPr>
      <w:r w:rsidRPr="00E14102">
        <w:rPr>
          <w:color w:val="000000" w:themeColor="text1"/>
          <w:sz w:val="16"/>
          <w:szCs w:val="16"/>
        </w:rPr>
        <w:t>В начале 1935 г. в соответствии с приказом Главэспрома НКТП № 40 от 10 февраля была произведена глубокая реорганизация сети научно- исследовательских учреждений Главэспрома. Во многом по настоянию руко</w:t>
      </w:r>
      <w:r w:rsidRPr="00E14102">
        <w:rPr>
          <w:color w:val="000000" w:themeColor="text1"/>
          <w:sz w:val="16"/>
          <w:szCs w:val="16"/>
        </w:rPr>
        <w:softHyphen/>
        <w:t>водителя программы мощного радиостроения А. Л. Минца в связи с построй</w:t>
      </w:r>
      <w:r w:rsidRPr="00E14102">
        <w:rPr>
          <w:color w:val="000000" w:themeColor="text1"/>
          <w:sz w:val="16"/>
          <w:szCs w:val="16"/>
        </w:rPr>
        <w:softHyphen/>
        <w:t>кой радиоцентров и мощных радиостанций был создан Государственный Со</w:t>
      </w:r>
      <w:r w:rsidRPr="00E14102">
        <w:rPr>
          <w:color w:val="000000" w:themeColor="text1"/>
          <w:sz w:val="16"/>
          <w:szCs w:val="16"/>
        </w:rPr>
        <w:softHyphen/>
        <w:t>юзный Комбинат Мощного Радиостроения (КМРС) им. Коминтерна. В его со</w:t>
      </w:r>
      <w:r w:rsidRPr="00E14102">
        <w:rPr>
          <w:color w:val="000000" w:themeColor="text1"/>
          <w:sz w:val="16"/>
          <w:szCs w:val="16"/>
        </w:rPr>
        <w:softHyphen/>
        <w:t>став вошли Радиозавод им. Коминтерна, а также Отраслевая лаборатория про</w:t>
      </w:r>
      <w:r w:rsidRPr="00E14102">
        <w:rPr>
          <w:color w:val="000000" w:themeColor="text1"/>
          <w:sz w:val="16"/>
          <w:szCs w:val="16"/>
        </w:rPr>
        <w:softHyphen/>
        <w:t>фессиональных устройств (ОРПУ), организованная в свою очередь 1 марта 1935 г. на базе большей части лабораторий ЦРЛ и Отраслевой лаборатории передающих устройств.</w:t>
      </w:r>
    </w:p>
    <w:p w14:paraId="3FE45251" w14:textId="77777777" w:rsidR="00EC7631" w:rsidRPr="00E14102" w:rsidRDefault="00EC7631" w:rsidP="00E14102">
      <w:pPr>
        <w:jc w:val="both"/>
        <w:rPr>
          <w:color w:val="000000" w:themeColor="text1"/>
          <w:sz w:val="16"/>
          <w:szCs w:val="16"/>
        </w:rPr>
      </w:pPr>
      <w:r w:rsidRPr="00E14102">
        <w:rPr>
          <w:color w:val="000000" w:themeColor="text1"/>
          <w:sz w:val="16"/>
          <w:szCs w:val="16"/>
        </w:rPr>
        <w:t>Территориально ОРПУ КМРС разместилась не только в помещениях ЦРЛ на улицах акад. Павлова и Грота, а также и на территории завода им. Ко</w:t>
      </w:r>
      <w:r w:rsidRPr="00E14102">
        <w:rPr>
          <w:color w:val="000000" w:themeColor="text1"/>
          <w:sz w:val="16"/>
          <w:szCs w:val="16"/>
        </w:rPr>
        <w:softHyphen/>
        <w:t>минтерна. В ее составе было создано около двадцати лабораторий-отделов та</w:t>
      </w:r>
      <w:r w:rsidRPr="00E14102">
        <w:rPr>
          <w:color w:val="000000" w:themeColor="text1"/>
          <w:sz w:val="16"/>
          <w:szCs w:val="16"/>
        </w:rPr>
        <w:softHyphen/>
        <w:t>ких, как магистральных передатчиков (И.Х. Невяжский), магистрального ра</w:t>
      </w:r>
      <w:r w:rsidRPr="00E14102">
        <w:rPr>
          <w:color w:val="000000" w:themeColor="text1"/>
          <w:sz w:val="16"/>
          <w:szCs w:val="16"/>
        </w:rPr>
        <w:softHyphen/>
        <w:t>диоприема (А.А. Пистолькорс), низкой частоты (М.М. Вейсбейн), передаю</w:t>
      </w:r>
      <w:r w:rsidRPr="00E14102">
        <w:rPr>
          <w:color w:val="000000" w:themeColor="text1"/>
          <w:sz w:val="16"/>
          <w:szCs w:val="16"/>
        </w:rPr>
        <w:softHyphen/>
        <w:t>щих антенн (М.С. Нейман), электровакуумный (Н.И. Оганов), источников пи</w:t>
      </w:r>
      <w:r w:rsidRPr="00E14102">
        <w:rPr>
          <w:color w:val="000000" w:themeColor="text1"/>
          <w:sz w:val="16"/>
          <w:szCs w:val="16"/>
        </w:rPr>
        <w:softHyphen/>
        <w:t>тания (М.А.Спицын), специальных разработок (Л.Е. Штиллерман) и др. Ди</w:t>
      </w:r>
      <w:r w:rsidRPr="00E14102">
        <w:rPr>
          <w:color w:val="000000" w:themeColor="text1"/>
          <w:sz w:val="16"/>
          <w:szCs w:val="16"/>
        </w:rPr>
        <w:softHyphen/>
        <w:t>ректором ОРПУ был назначен А. Л. Минц, которого 29 апреля 1936 г. сменил И.З. Нефедов.</w:t>
      </w:r>
    </w:p>
    <w:p w14:paraId="3536C35F" w14:textId="77777777" w:rsidR="00EC7631" w:rsidRPr="00E14102" w:rsidRDefault="00EC7631" w:rsidP="00E14102">
      <w:pPr>
        <w:jc w:val="both"/>
        <w:rPr>
          <w:color w:val="000000" w:themeColor="text1"/>
          <w:sz w:val="16"/>
          <w:szCs w:val="16"/>
        </w:rPr>
      </w:pPr>
      <w:r w:rsidRPr="00E14102">
        <w:rPr>
          <w:color w:val="000000" w:themeColor="text1"/>
          <w:sz w:val="16"/>
          <w:szCs w:val="16"/>
        </w:rPr>
        <w:t>Завод им. Коминтерна, который в составе КМРС получил наименование «Завод серийного производства», занимался разработкой новых образцов ра</w:t>
      </w:r>
      <w:r w:rsidRPr="00E14102">
        <w:rPr>
          <w:color w:val="000000" w:themeColor="text1"/>
          <w:sz w:val="16"/>
          <w:szCs w:val="16"/>
        </w:rPr>
        <w:softHyphen/>
        <w:t>диостанций по заданиям НКО и серийным производством принятой на воору</w:t>
      </w:r>
      <w:r w:rsidRPr="00E14102">
        <w:rPr>
          <w:color w:val="000000" w:themeColor="text1"/>
          <w:sz w:val="16"/>
          <w:szCs w:val="16"/>
        </w:rPr>
        <w:softHyphen/>
        <w:t>жение радиопродукции.</w:t>
      </w:r>
    </w:p>
    <w:p w14:paraId="10F1D41A" w14:textId="77777777" w:rsidR="00EC7631" w:rsidRPr="00E14102" w:rsidRDefault="00EC7631" w:rsidP="00E14102">
      <w:pPr>
        <w:jc w:val="both"/>
        <w:rPr>
          <w:color w:val="000000" w:themeColor="text1"/>
          <w:sz w:val="16"/>
          <w:szCs w:val="16"/>
        </w:rPr>
      </w:pPr>
      <w:r w:rsidRPr="00E14102">
        <w:rPr>
          <w:color w:val="000000" w:themeColor="text1"/>
          <w:sz w:val="16"/>
          <w:szCs w:val="16"/>
        </w:rPr>
        <w:t>Кроме завода и ОРПУ в составе КМРС функционировали: Отраслевая лаборатория измерительных устройств (ОРИЗ), производившая точную изме</w:t>
      </w:r>
      <w:r w:rsidRPr="00E14102">
        <w:rPr>
          <w:color w:val="000000" w:themeColor="text1"/>
          <w:sz w:val="16"/>
          <w:szCs w:val="16"/>
        </w:rPr>
        <w:softHyphen/>
        <w:t>рительную аппаратуру, применяемую в радиотехнике, кварцевые возбудители для мощных радиостанций и кварцевые пластины для стабилизации; Проект</w:t>
      </w:r>
      <w:r w:rsidRPr="00E14102">
        <w:rPr>
          <w:color w:val="000000" w:themeColor="text1"/>
          <w:sz w:val="16"/>
          <w:szCs w:val="16"/>
        </w:rPr>
        <w:softHyphen/>
        <w:t>ная контора, занимавшаяся проектированием радиостанций</w:t>
      </w:r>
      <w:r w:rsidRPr="00E14102">
        <w:rPr>
          <w:color w:val="000000" w:themeColor="text1"/>
          <w:sz w:val="16"/>
          <w:szCs w:val="16"/>
          <w:vertAlign w:val="superscript"/>
        </w:rPr>
        <w:t>1</w:t>
      </w:r>
      <w:r w:rsidRPr="00E14102">
        <w:rPr>
          <w:color w:val="000000" w:themeColor="text1"/>
          <w:sz w:val="16"/>
          <w:szCs w:val="16"/>
        </w:rPr>
        <w:t>; Отраслевая ра</w:t>
      </w:r>
      <w:r w:rsidRPr="00E14102">
        <w:rPr>
          <w:color w:val="000000" w:themeColor="text1"/>
          <w:sz w:val="16"/>
          <w:szCs w:val="16"/>
        </w:rPr>
        <w:softHyphen/>
        <w:t>диолаборатория магистрального приема (ОРМП); лаборатория материалов профессора Вальтера, а также ряд монтажно-строительных подразделений.</w:t>
      </w:r>
    </w:p>
    <w:p w14:paraId="2862B2F4" w14:textId="77777777" w:rsidR="00EC7631" w:rsidRPr="00E14102" w:rsidRDefault="00EC7631" w:rsidP="00E14102">
      <w:pPr>
        <w:jc w:val="both"/>
        <w:rPr>
          <w:color w:val="000000" w:themeColor="text1"/>
          <w:sz w:val="16"/>
          <w:szCs w:val="16"/>
        </w:rPr>
      </w:pPr>
      <w:r w:rsidRPr="00E14102">
        <w:rPr>
          <w:color w:val="000000" w:themeColor="text1"/>
          <w:sz w:val="16"/>
          <w:szCs w:val="16"/>
        </w:rPr>
        <w:lastRenderedPageBreak/>
        <w:t>Не вошедшие в ОРПУ подразделения ЦРЛ, занимавшиеся вопросами радиовещательного приема и акустики, а также лаборатория индустриальных радиопомех были сконцентрированы в ее филиале на Каменном острове. На</w:t>
      </w:r>
      <w:r w:rsidRPr="00E14102">
        <w:rPr>
          <w:color w:val="000000" w:themeColor="text1"/>
          <w:sz w:val="16"/>
          <w:szCs w:val="16"/>
        </w:rPr>
        <w:softHyphen/>
        <w:t>конец, приказом № 1467 НКТП от 3 сентября 1936 г. не вошедшая в ОРПУ часть ЦРЛ была переименована в институт радиовещательного приема и аку</w:t>
      </w:r>
      <w:r w:rsidRPr="00E14102">
        <w:rPr>
          <w:color w:val="000000" w:themeColor="text1"/>
          <w:sz w:val="16"/>
          <w:szCs w:val="16"/>
        </w:rPr>
        <w:softHyphen/>
        <w:t>стики (ИРПА).</w:t>
      </w:r>
    </w:p>
    <w:p w14:paraId="6D77F562" w14:textId="77777777" w:rsidR="00EC7631" w:rsidRPr="00E14102" w:rsidRDefault="00EC7631" w:rsidP="00E14102">
      <w:pPr>
        <w:jc w:val="both"/>
        <w:rPr>
          <w:color w:val="000000" w:themeColor="text1"/>
          <w:sz w:val="16"/>
          <w:szCs w:val="16"/>
        </w:rPr>
      </w:pPr>
      <w:r w:rsidRPr="00E14102">
        <w:rPr>
          <w:color w:val="000000" w:themeColor="text1"/>
          <w:sz w:val="16"/>
          <w:szCs w:val="16"/>
        </w:rPr>
        <w:t>Так завершилась 13-летняя история Центральной радиолаборатории, ко</w:t>
      </w:r>
      <w:r w:rsidRPr="00E14102">
        <w:rPr>
          <w:color w:val="000000" w:themeColor="text1"/>
          <w:sz w:val="16"/>
          <w:szCs w:val="16"/>
        </w:rPr>
        <w:softHyphen/>
        <w:t>торая внесла существенный вклад в развитие всех отраслей радиотехники, по</w:t>
      </w:r>
      <w:r w:rsidRPr="00E14102">
        <w:rPr>
          <w:color w:val="000000" w:themeColor="text1"/>
          <w:sz w:val="16"/>
          <w:szCs w:val="16"/>
        </w:rPr>
        <w:softHyphen/>
        <w:t>служила основой для дальнейшего совершенствования и расширения научно- исследовательской и производственной базы военной радиосвязи (19098).</w:t>
      </w:r>
    </w:p>
    <w:p w14:paraId="2E0D9A07" w14:textId="77777777" w:rsidR="00EC7631" w:rsidRPr="00E14102" w:rsidRDefault="00EC7631" w:rsidP="00E14102">
      <w:pPr>
        <w:jc w:val="both"/>
        <w:rPr>
          <w:color w:val="000000" w:themeColor="text1"/>
          <w:sz w:val="16"/>
          <w:szCs w:val="16"/>
        </w:rPr>
      </w:pPr>
    </w:p>
    <w:p w14:paraId="5ADAC7E5" w14:textId="77777777" w:rsidR="008042DC" w:rsidRPr="00E14102" w:rsidRDefault="008042DC" w:rsidP="00E14102">
      <w:pPr>
        <w:jc w:val="both"/>
        <w:rPr>
          <w:rFonts w:eastAsia="TimesNewRoman"/>
          <w:color w:val="000000" w:themeColor="text1"/>
          <w:sz w:val="16"/>
          <w:szCs w:val="16"/>
        </w:rPr>
      </w:pPr>
      <w:r w:rsidRPr="00E14102">
        <w:rPr>
          <w:rFonts w:eastAsia="TimesNewRoman"/>
          <w:color w:val="000000" w:themeColor="text1"/>
          <w:sz w:val="16"/>
          <w:szCs w:val="16"/>
        </w:rPr>
        <w:t>С начала 1935 года представители СССР начали вести переговоры с итальянскими фирмами о получении технической помощи по постройке лидера эсминцев, так как руководство французских фирм «Фив-Лилль» и «Шантье де Франц» отказали в ней. Переговоры вели торгпред СССР в Италии Б. С. Беленький и военно-морской атташе в Италии Л. В. Анципо-Чикунский. Решался вопрос о строительстве лидера эсминцев водоизмещением в 2400-2600 тонн. Итальянскую сторону представляли три фирмы, которые предлагали цену:</w:t>
      </w:r>
    </w:p>
    <w:p w14:paraId="163395BA" w14:textId="77777777" w:rsidR="008042DC" w:rsidRPr="00E14102" w:rsidRDefault="008042DC" w:rsidP="00E14102">
      <w:pPr>
        <w:jc w:val="both"/>
        <w:rPr>
          <w:rFonts w:eastAsia="TimesNewRoman"/>
          <w:color w:val="000000" w:themeColor="text1"/>
          <w:sz w:val="16"/>
          <w:szCs w:val="16"/>
        </w:rPr>
      </w:pPr>
      <w:r w:rsidRPr="00E14102">
        <w:rPr>
          <w:rFonts w:eastAsia="TimesNewRoman"/>
          <w:color w:val="000000" w:themeColor="text1"/>
          <w:sz w:val="16"/>
          <w:szCs w:val="16"/>
        </w:rPr>
        <w:t>«Ансальдо» – 36 млн лир; «Адриатика» – 22 млн лир; «Одеро-Терни-Орландо» – 19 млн лир (и дополнительно 30 млн лир за полную постройку нового корабля).</w:t>
      </w:r>
    </w:p>
    <w:p w14:paraId="5403CBDF" w14:textId="77777777" w:rsidR="008042DC" w:rsidRPr="00E14102" w:rsidRDefault="008042DC" w:rsidP="00E14102">
      <w:pPr>
        <w:jc w:val="both"/>
        <w:rPr>
          <w:rFonts w:eastAsia="TimesNewRoman"/>
          <w:color w:val="000000" w:themeColor="text1"/>
          <w:sz w:val="16"/>
          <w:szCs w:val="16"/>
        </w:rPr>
      </w:pPr>
      <w:r w:rsidRPr="00E14102">
        <w:rPr>
          <w:rFonts w:eastAsia="TimesNewRoman"/>
          <w:color w:val="000000" w:themeColor="text1"/>
          <w:sz w:val="16"/>
          <w:szCs w:val="16"/>
        </w:rPr>
        <w:t>Советские представители докладывали НКО СССР К. Е. Ворошилову: «Итальянские верфи, имеющие опыт строительства лидеров и сделав нам предложение, убеждают нас, что для правильной поставки техпомощи необходимо было бы поручить им постройку одного лидера полностью и, наряду с этим, приступить к постройке такого же у нас с тем, что для этого второго, они поставят необходимые механизмы и окажут нам по договору полную техническую помощь. По этому их варианту, группа наших инженеров могла бы работать здесь на постройке одного лидера в Италии, знакомясь тут же со всей техникой и организацией его строительства и, одновременно с этим, на лидере, который начат был бы строительством у нас, могли бы работать итальянские инженеры и конструкторы» [4, д. 305, л. 8-9].</w:t>
      </w:r>
    </w:p>
    <w:p w14:paraId="30B118E8" w14:textId="77777777" w:rsidR="008042DC" w:rsidRPr="00E14102" w:rsidRDefault="008042DC" w:rsidP="00E14102">
      <w:pPr>
        <w:jc w:val="both"/>
        <w:rPr>
          <w:rFonts w:eastAsia="TimesNewRoman"/>
          <w:color w:val="000000" w:themeColor="text1"/>
          <w:sz w:val="16"/>
          <w:szCs w:val="16"/>
        </w:rPr>
      </w:pPr>
      <w:r w:rsidRPr="00E14102">
        <w:rPr>
          <w:rFonts w:eastAsia="TimesNewRoman"/>
          <w:color w:val="000000" w:themeColor="text1"/>
          <w:sz w:val="16"/>
          <w:szCs w:val="16"/>
        </w:rPr>
        <w:t>Постройка лидера эсминцев была поручена фирме «Одеро-Терни-Орландо», которая «запросила за строительство корабля, комплект механизмов для второго судна, строящегося в СССР, и всю техническую помощь всего 41 млн итальянских лир» [Там же].</w:t>
      </w:r>
    </w:p>
    <w:p w14:paraId="15154F88" w14:textId="77777777" w:rsidR="008042DC" w:rsidRPr="00E14102" w:rsidRDefault="008042DC" w:rsidP="00E14102">
      <w:pPr>
        <w:jc w:val="both"/>
        <w:rPr>
          <w:rFonts w:eastAsia="TimesNewRoman"/>
          <w:color w:val="000000" w:themeColor="text1"/>
          <w:sz w:val="16"/>
          <w:szCs w:val="16"/>
        </w:rPr>
      </w:pPr>
      <w:r w:rsidRPr="00E14102">
        <w:rPr>
          <w:rFonts w:eastAsia="TimesNewRoman"/>
          <w:color w:val="000000" w:themeColor="text1"/>
          <w:sz w:val="16"/>
          <w:szCs w:val="16"/>
        </w:rPr>
        <w:t>Выбор в пользу этой фирмы советскими представителями был сделан ещѐ и потому, что принимались во внимание более высокие технические показатели лидера эсминцев, предложенные фирмой «Орландо», еѐ опыт в постройке кораблей подобного типа и еѐ мощное конструкторское бюро [Там же, л. 39-41] (12701).</w:t>
      </w:r>
    </w:p>
    <w:p w14:paraId="6D98C050" w14:textId="77777777" w:rsidR="008042DC" w:rsidRPr="00E14102" w:rsidRDefault="008042DC" w:rsidP="00E14102">
      <w:pPr>
        <w:jc w:val="both"/>
        <w:rPr>
          <w:rFonts w:eastAsia="TimesNewRoman"/>
          <w:color w:val="000000" w:themeColor="text1"/>
          <w:sz w:val="16"/>
          <w:szCs w:val="16"/>
        </w:rPr>
      </w:pPr>
    </w:p>
    <w:p w14:paraId="1816A7D7" w14:textId="77777777" w:rsidR="00EC7631" w:rsidRPr="00E14102" w:rsidRDefault="00EC7631" w:rsidP="00E14102">
      <w:pPr>
        <w:jc w:val="both"/>
        <w:rPr>
          <w:color w:val="000000" w:themeColor="text1"/>
          <w:sz w:val="16"/>
          <w:szCs w:val="16"/>
        </w:rPr>
      </w:pPr>
      <w:r w:rsidRPr="00E14102">
        <w:rPr>
          <w:color w:val="000000" w:themeColor="text1"/>
          <w:sz w:val="16"/>
          <w:szCs w:val="16"/>
        </w:rPr>
        <w:t>С начала 1935 года представители СССР начали вести переговоры с итальянскими фирмами о получении технической помощи по постройке лидера эсминцев, так как руководство французских фирм «Фив-Лилль» и «Шантье де Франц» отказали в ней. Переговоры вели торгпред СССР в Италии Б. С. Беленький и военноморской атташе в Италии Л. В. Анципо-Чикунский. Решался вопрос о строительстве лидера эсминцев водоизмещением в 2400-2600 тонн. Итальянскую сторону представляли три фирмы, которые предлагали цену: «Ансальдо» – 36 млн лир; «Адриатика» – 22 млн лир; «Одеро-Терни-Орландо» – 19 млн лир (и дополнительно 30 млн лир за полную постройку нового корабля).</w:t>
      </w:r>
    </w:p>
    <w:p w14:paraId="38319070" w14:textId="77777777" w:rsidR="00EC7631" w:rsidRPr="00E14102" w:rsidRDefault="00EC7631" w:rsidP="00E14102">
      <w:pPr>
        <w:jc w:val="both"/>
        <w:rPr>
          <w:color w:val="000000" w:themeColor="text1"/>
          <w:sz w:val="16"/>
          <w:szCs w:val="16"/>
        </w:rPr>
      </w:pPr>
      <w:r w:rsidRPr="00E14102">
        <w:rPr>
          <w:color w:val="000000" w:themeColor="text1"/>
          <w:sz w:val="16"/>
          <w:szCs w:val="16"/>
        </w:rPr>
        <w:t>Советские представители докладывали НКО СССР К. Е. Ворошилову: «Итальянские верфи, имеющие опыт строительства лидеров и сделав нам предложение, убеждают нас, что для правильной поставки техпомощи необходимо было бы поручить им постройку одного лидера полностью и, наряду с этим, приступить к постройке такого же у нас с тем, что для этого второго, они поставят необходимые механизмы и окажут нам по договору полную техническую помощь. По этому их варианту, группа наших инженеров могла бы работать здесь на постройке одного лидера в Италии, знакомясь тут же со всей техникой и организацией его строительства и, одновременно с этим, на лидере, который начат был бы строительством у нас, могли бы работать итальянские инженеры и конструкторы» [4, д. 305, л. 8-9].</w:t>
      </w:r>
    </w:p>
    <w:p w14:paraId="607EEE67" w14:textId="77777777" w:rsidR="00EC7631" w:rsidRPr="00E14102" w:rsidRDefault="00EC7631" w:rsidP="00E14102">
      <w:pPr>
        <w:jc w:val="both"/>
        <w:rPr>
          <w:color w:val="000000" w:themeColor="text1"/>
          <w:sz w:val="16"/>
          <w:szCs w:val="16"/>
        </w:rPr>
      </w:pPr>
      <w:r w:rsidRPr="00E14102">
        <w:rPr>
          <w:color w:val="000000" w:themeColor="text1"/>
          <w:sz w:val="16"/>
          <w:szCs w:val="16"/>
        </w:rPr>
        <w:t>Постройка лидера эсминцев была поручена фирме «Одеро-Терни-Орландо», которая «запросила за строительство корабля, комплект механизмов для второго судна, строящегося в СССР, и всю техническую помощь всего 41 млн итальянских лир» [Там же].</w:t>
      </w:r>
    </w:p>
    <w:p w14:paraId="008CDDD5" w14:textId="77777777" w:rsidR="00EC7631" w:rsidRPr="00E14102" w:rsidRDefault="00EC7631" w:rsidP="00E14102">
      <w:pPr>
        <w:jc w:val="both"/>
        <w:rPr>
          <w:color w:val="000000" w:themeColor="text1"/>
          <w:sz w:val="16"/>
          <w:szCs w:val="16"/>
        </w:rPr>
      </w:pPr>
      <w:r w:rsidRPr="00E14102">
        <w:rPr>
          <w:color w:val="000000" w:themeColor="text1"/>
          <w:sz w:val="16"/>
          <w:szCs w:val="16"/>
        </w:rPr>
        <w:t>Выбор в пользу этой фирмы советскими представителями был сделан ещѐ и потому, что принимались во внимание более высокие технические показатели лидера эсминцев, предложенные фирмой «Орландо», еѐ опыт в постройке кораблей подобного типа и еѐ мощное конструкторское бюро [Там же, л. 39-41]. Договор на строительство лидера эсминцев был подписан руководством фирмы «Одеро-Терни-Орландо» и представителями «Судопроекта» (НКТП) 9 сентября 1935 г., стоимость заказа составляла 44 млн итальянских лир [5, д. 20, л. 33]. Кораблю было присвоено наименование «Ташкент», первоначально он был предназначен для вступления в состав Балтийского флота. Однако сложившаяся в Европе ситуация вынудила 1 ноября 1938 г. народного комиссара ВМФ (НКВМФ) СССР М. П. Фриновского доложить председателю КО СНК СССР по лидеру «Ташкент»: «Чтобы избежать провокаций со стороны итальянцев, в связи с расширением отечественного судостроения, базирование корабля с итальянской сдаточной командой и администрацией в г. Ленинграде не желательно, поэтому необходимо переводить приѐмку в Одессу» [Там же, д. 22, л. 129]. В конце ноября 1938 года НКВМФ сообщал народному комиссару иностранных дел (НКИД) М. М. Литвинову: «Лидер ―Ташкент‖ предназначался для Балтийского флота, но в связи с нежелательностью прохода через Гибралтарский пролив, вступает в состав Черноморского флота. Лидер пройдѐт через проливы под итальянским флагом, с итальянской командой и без вооружения. Может возникнуть необходимость сообщения турецкому правительству сведений о вступлении этого корабля в состав Черноморского флота» [6, д. 140, л. 5] (18258).</w:t>
      </w:r>
    </w:p>
    <w:p w14:paraId="3726E3E2" w14:textId="77777777" w:rsidR="00EC7631" w:rsidRPr="00E14102" w:rsidRDefault="00EC7631" w:rsidP="00E14102">
      <w:pPr>
        <w:jc w:val="both"/>
        <w:rPr>
          <w:color w:val="000000" w:themeColor="text1"/>
          <w:sz w:val="16"/>
          <w:szCs w:val="16"/>
        </w:rPr>
      </w:pPr>
    </w:p>
    <w:p w14:paraId="6A013515" w14:textId="77777777" w:rsidR="00696714" w:rsidRPr="00E14102" w:rsidRDefault="00696714" w:rsidP="00E14102">
      <w:pPr>
        <w:jc w:val="both"/>
        <w:rPr>
          <w:color w:val="000000" w:themeColor="text1"/>
          <w:sz w:val="16"/>
          <w:szCs w:val="16"/>
        </w:rPr>
      </w:pPr>
      <w:r w:rsidRPr="00E14102">
        <w:rPr>
          <w:color w:val="000000" w:themeColor="text1"/>
          <w:sz w:val="16"/>
          <w:szCs w:val="16"/>
        </w:rPr>
        <w:t>В начале 1935 г, вышло постановление Совета труда и обороны, согласно которому к навигации 1936 г. спаренными 305-мм пушками Курчевского должны были быть вооружены эсминцы «Карл Маркс» и «Калинин». Однако работы затянулись, и испытания были проведены на эсминце «Карл Маркс» лишь в 1940 г. В целом испытания были неудачными, 305-мм спаренная установка была демонтирована с эсминца, и дальнейшие работы по ней прекратили. К сожалению, отчеты об этом испытании еще закрыты (15117).</w:t>
      </w:r>
    </w:p>
    <w:p w14:paraId="4B5E6615" w14:textId="77777777" w:rsidR="00696714" w:rsidRPr="00E14102" w:rsidRDefault="00696714" w:rsidP="00E14102">
      <w:pPr>
        <w:jc w:val="both"/>
        <w:rPr>
          <w:color w:val="000000" w:themeColor="text1"/>
          <w:sz w:val="16"/>
          <w:szCs w:val="16"/>
        </w:rPr>
      </w:pPr>
    </w:p>
    <w:p w14:paraId="7F7F0C57" w14:textId="77777777" w:rsidR="00B763DA" w:rsidRPr="00E14102" w:rsidRDefault="00B763DA" w:rsidP="00E14102">
      <w:pPr>
        <w:jc w:val="both"/>
        <w:rPr>
          <w:color w:val="000000" w:themeColor="text1"/>
          <w:sz w:val="16"/>
          <w:szCs w:val="16"/>
        </w:rPr>
      </w:pPr>
      <w:r w:rsidRPr="00E14102">
        <w:rPr>
          <w:color w:val="000000" w:themeColor="text1"/>
          <w:sz w:val="16"/>
          <w:szCs w:val="16"/>
        </w:rPr>
        <w:t>В начале 1935 года состоялась передача ЗИСу Ростокинского машиностроительного завода Треста «Союзформлитье» на правах филиала − Ростокинского завода спецмашин. В состав Московского автомобильного завода имени Сталина помимо основной производственной площадки входят: - Завод пожарных машин (Москва) - Ростокинский завод специальных машин (Ростокино) - Автоарматурный завод (Москва) (17494).</w:t>
      </w:r>
    </w:p>
    <w:p w14:paraId="48096835" w14:textId="77777777" w:rsidR="00B763DA" w:rsidRPr="00E14102" w:rsidRDefault="00B763DA" w:rsidP="00E14102">
      <w:pPr>
        <w:jc w:val="both"/>
        <w:rPr>
          <w:color w:val="000000" w:themeColor="text1"/>
          <w:sz w:val="16"/>
          <w:szCs w:val="16"/>
        </w:rPr>
      </w:pPr>
    </w:p>
    <w:p w14:paraId="2BEF83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 были готовы рабочие чертежи пл серии Н, за выпуском кото</w:t>
      </w:r>
      <w:r w:rsidRPr="00E14102">
        <w:rPr>
          <w:color w:val="000000" w:themeColor="text1"/>
          <w:sz w:val="16"/>
          <w:szCs w:val="16"/>
        </w:rPr>
        <w:softHyphen/>
        <w:t>рых, как и за постройкой лодок, наблюдали инженеры фирмы "Дешимаг" (3898).</w:t>
      </w:r>
    </w:p>
    <w:p w14:paraId="1EA06BC7" w14:textId="77777777" w:rsidR="00D4105E" w:rsidRPr="00E14102" w:rsidRDefault="00D4105E" w:rsidP="00E14102">
      <w:pPr>
        <w:autoSpaceDE w:val="0"/>
        <w:autoSpaceDN w:val="0"/>
        <w:adjustRightInd w:val="0"/>
        <w:jc w:val="both"/>
        <w:rPr>
          <w:color w:val="000000" w:themeColor="text1"/>
          <w:sz w:val="16"/>
          <w:szCs w:val="16"/>
        </w:rPr>
      </w:pPr>
    </w:p>
    <w:p w14:paraId="0B5361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 тихоокеанская Щ-117 совершила 40-суточное автономное плавание (при проектной автономности 20 сут). Механизмы этой лодки в походе (3022,3 мили из них 315,6 миль под водой) ра</w:t>
      </w:r>
      <w:r w:rsidRPr="00E14102">
        <w:rPr>
          <w:color w:val="000000" w:themeColor="text1"/>
          <w:sz w:val="16"/>
          <w:szCs w:val="16"/>
        </w:rPr>
        <w:softHyphen/>
        <w:t>ботали без серьезных неисправностей. В том же году рекорд Щ-117 был превзойден лодками Щ-122 (50 сут.) и Щ-123 (2,5 мес.), а в 1936 г. - лодкой Щ-113 (103 сут.). На Щ-113 был также поставлен удачный эксперимент по плаванию в подводном положении под дизелями. Воздух для дизелей подавался по гофрированному шлангу, укрепленному на головке зенитного перископа. К сожалению, из-за дезорганизации кадров флота и промышленности в 1937—1938 гг. этот опыт не получил должного продолжения. При этом пострадали и организа</w:t>
      </w:r>
      <w:r w:rsidRPr="00E14102">
        <w:rPr>
          <w:color w:val="000000" w:themeColor="text1"/>
          <w:sz w:val="16"/>
          <w:szCs w:val="16"/>
        </w:rPr>
        <w:softHyphen/>
        <w:t>торы "стахановских" автономных походов. На Тихом океане лодки типа "Щука" превысили и проектную подводную автономность: в 1935 г. Щ-103 прошла в подводном положении 150 миль за 58 ч, а Щ-117 находилась под водой в те</w:t>
      </w:r>
      <w:r w:rsidRPr="00E14102">
        <w:rPr>
          <w:color w:val="000000" w:themeColor="text1"/>
          <w:sz w:val="16"/>
          <w:szCs w:val="16"/>
        </w:rPr>
        <w:softHyphen/>
        <w:t>чении 340 ч 58 мин при норме 72 ч. (3898).</w:t>
      </w:r>
    </w:p>
    <w:p w14:paraId="18BDF1B5" w14:textId="77777777" w:rsidR="00D4105E" w:rsidRPr="00E14102" w:rsidRDefault="00D4105E" w:rsidP="00E14102">
      <w:pPr>
        <w:autoSpaceDE w:val="0"/>
        <w:autoSpaceDN w:val="0"/>
        <w:adjustRightInd w:val="0"/>
        <w:jc w:val="both"/>
        <w:rPr>
          <w:color w:val="000000" w:themeColor="text1"/>
          <w:sz w:val="16"/>
          <w:szCs w:val="16"/>
        </w:rPr>
      </w:pPr>
    </w:p>
    <w:p w14:paraId="49EE6E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года удалось закончить рабочий проект подводной лодки IX серии (10672).</w:t>
      </w:r>
    </w:p>
    <w:p w14:paraId="5AFF714F" w14:textId="77777777" w:rsidR="00D4105E" w:rsidRPr="00E14102" w:rsidRDefault="00D4105E" w:rsidP="00E14102">
      <w:pPr>
        <w:autoSpaceDE w:val="0"/>
        <w:autoSpaceDN w:val="0"/>
        <w:adjustRightInd w:val="0"/>
        <w:jc w:val="both"/>
        <w:rPr>
          <w:color w:val="000000" w:themeColor="text1"/>
          <w:sz w:val="16"/>
          <w:szCs w:val="16"/>
        </w:rPr>
      </w:pPr>
    </w:p>
    <w:p w14:paraId="14AAC61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767DDA0F" w14:textId="77777777" w:rsidR="00D4105E" w:rsidRPr="00E14102" w:rsidRDefault="00D4105E" w:rsidP="00E14102">
      <w:pPr>
        <w:autoSpaceDE w:val="0"/>
        <w:autoSpaceDN w:val="0"/>
        <w:adjustRightInd w:val="0"/>
        <w:jc w:val="both"/>
        <w:rPr>
          <w:iCs/>
          <w:color w:val="000000" w:themeColor="text1"/>
          <w:sz w:val="16"/>
          <w:szCs w:val="16"/>
        </w:rPr>
      </w:pPr>
    </w:p>
    <w:p w14:paraId="552367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Уже к началу 1935 г. Красная армия как организационно, так и количественно была, бесспорно, сильнейшей в мире. А силы ее авиации впервые широкомасштабно опробовались на Киевских маневрах в сентябре 1935 г. (3145).</w:t>
      </w:r>
    </w:p>
    <w:p w14:paraId="4A50767C" w14:textId="77777777" w:rsidR="00D4105E" w:rsidRPr="00E14102" w:rsidRDefault="00D4105E" w:rsidP="00E14102">
      <w:pPr>
        <w:autoSpaceDE w:val="0"/>
        <w:autoSpaceDN w:val="0"/>
        <w:adjustRightInd w:val="0"/>
        <w:jc w:val="both"/>
        <w:rPr>
          <w:color w:val="000000" w:themeColor="text1"/>
          <w:sz w:val="16"/>
          <w:szCs w:val="16"/>
        </w:rPr>
      </w:pPr>
    </w:p>
    <w:p w14:paraId="0BDE5A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началу 1935 г. Красная армия как с точки зрения организационной, так и количественно бесспорно была сильнейшей в мире. В Красной армии насчитывалось около 1,5 млн солдат и офицеров, до 5 тыс. танков и свыше б тыс. самолетов. Значительно раньше, чем в Германии и в других странах, в составе Красной армии были сформированы крупные мотомеханизированные корпуса и парашютно-десантные части.</w:t>
      </w:r>
    </w:p>
    <w:p w14:paraId="6C3AFA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период 1932-34 гг. было создано 4 мотомеханизированных корпуса, переименованных впоследствии в танковые. По штату в корпусе числилось 490 танков.</w:t>
      </w:r>
    </w:p>
    <w:p w14:paraId="2DBB8C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этому времени ни в одной другой армии мира не было подобных танковых формирований в руках командующего фронтом. В Германии лишь в 1937 г. после изучения опыта Красной армии приступили к созданию моторизованных корпусов примерно такого же состава (9649).</w:t>
      </w:r>
    </w:p>
    <w:p w14:paraId="0F0B2855" w14:textId="77777777" w:rsidR="00D4105E" w:rsidRPr="00E14102" w:rsidRDefault="00D4105E" w:rsidP="00E14102">
      <w:pPr>
        <w:autoSpaceDE w:val="0"/>
        <w:autoSpaceDN w:val="0"/>
        <w:adjustRightInd w:val="0"/>
        <w:jc w:val="both"/>
        <w:rPr>
          <w:color w:val="000000" w:themeColor="text1"/>
          <w:sz w:val="16"/>
          <w:szCs w:val="16"/>
        </w:rPr>
      </w:pPr>
    </w:p>
    <w:p w14:paraId="3A17001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F6A9F6A" w14:textId="77777777" w:rsidR="00D4105E" w:rsidRPr="00E14102" w:rsidRDefault="00D4105E" w:rsidP="00E14102">
      <w:pPr>
        <w:autoSpaceDE w:val="0"/>
        <w:autoSpaceDN w:val="0"/>
        <w:adjustRightInd w:val="0"/>
        <w:jc w:val="both"/>
        <w:rPr>
          <w:iCs/>
          <w:color w:val="000000" w:themeColor="text1"/>
          <w:sz w:val="16"/>
          <w:szCs w:val="16"/>
        </w:rPr>
      </w:pPr>
    </w:p>
    <w:p w14:paraId="5B6B7D24" w14:textId="77777777" w:rsidR="00CB43E5" w:rsidRPr="00E14102" w:rsidRDefault="00CB43E5" w:rsidP="00E14102">
      <w:pPr>
        <w:shd w:val="clear" w:color="auto" w:fill="FFFFFF"/>
        <w:jc w:val="both"/>
        <w:textAlignment w:val="baseline"/>
        <w:rPr>
          <w:color w:val="0070C0"/>
          <w:sz w:val="16"/>
          <w:szCs w:val="16"/>
        </w:rPr>
      </w:pPr>
      <w:r w:rsidRPr="00E14102">
        <w:rPr>
          <w:color w:val="0070C0"/>
          <w:sz w:val="16"/>
          <w:szCs w:val="16"/>
        </w:rPr>
        <w:t>В начале 1935 г. на заводе фирмы «Боинг» в г. Сиэтл (шт. Вашингтон) началась постройка опытного образца Боинг Модель 299 (</w:t>
      </w:r>
      <w:r w:rsidRPr="00E14102">
        <w:rPr>
          <w:color w:val="0070C0"/>
          <w:sz w:val="16"/>
          <w:szCs w:val="16"/>
          <w:lang w:val="en-US"/>
        </w:rPr>
        <w:t>Model</w:t>
      </w:r>
      <w:r w:rsidRPr="00E14102">
        <w:rPr>
          <w:color w:val="0070C0"/>
          <w:sz w:val="16"/>
          <w:szCs w:val="16"/>
        </w:rPr>
        <w:t xml:space="preserve"> </w:t>
      </w:r>
      <w:r w:rsidRPr="00E14102">
        <w:rPr>
          <w:color w:val="0070C0"/>
          <w:sz w:val="16"/>
          <w:szCs w:val="16"/>
          <w:lang w:val="en-US"/>
        </w:rPr>
        <w:t>X</w:t>
      </w:r>
      <w:r w:rsidRPr="00E14102">
        <w:rPr>
          <w:color w:val="0070C0"/>
          <w:sz w:val="16"/>
          <w:szCs w:val="16"/>
        </w:rPr>
        <w:t xml:space="preserve">-299, </w:t>
      </w:r>
      <w:r w:rsidRPr="00E14102">
        <w:rPr>
          <w:color w:val="0070C0"/>
          <w:sz w:val="16"/>
          <w:szCs w:val="16"/>
          <w:lang w:val="en-US"/>
        </w:rPr>
        <w:t>B</w:t>
      </w:r>
      <w:r w:rsidRPr="00E14102">
        <w:rPr>
          <w:color w:val="0070C0"/>
          <w:sz w:val="16"/>
          <w:szCs w:val="16"/>
        </w:rPr>
        <w:t>-299, “</w:t>
      </w:r>
      <w:r w:rsidRPr="00E14102">
        <w:rPr>
          <w:color w:val="0070C0"/>
          <w:sz w:val="16"/>
          <w:szCs w:val="16"/>
          <w:lang w:val="en-US"/>
        </w:rPr>
        <w:t>XB</w:t>
      </w:r>
      <w:r w:rsidRPr="00E14102">
        <w:rPr>
          <w:color w:val="0070C0"/>
          <w:sz w:val="16"/>
          <w:szCs w:val="16"/>
        </w:rPr>
        <w:t>-17”, “</w:t>
      </w:r>
      <w:r w:rsidRPr="00E14102">
        <w:rPr>
          <w:color w:val="0070C0"/>
          <w:sz w:val="16"/>
          <w:szCs w:val="16"/>
          <w:lang w:val="en-US"/>
        </w:rPr>
        <w:t>Multiengine</w:t>
      </w:r>
      <w:r w:rsidRPr="00E14102">
        <w:rPr>
          <w:color w:val="0070C0"/>
          <w:sz w:val="16"/>
          <w:szCs w:val="16"/>
        </w:rPr>
        <w:t xml:space="preserve"> </w:t>
      </w:r>
      <w:r w:rsidRPr="00E14102">
        <w:rPr>
          <w:color w:val="0070C0"/>
          <w:sz w:val="16"/>
          <w:szCs w:val="16"/>
          <w:lang w:val="en-US"/>
        </w:rPr>
        <w:t>Bomber</w:t>
      </w:r>
      <w:r w:rsidRPr="00E14102">
        <w:rPr>
          <w:color w:val="0070C0"/>
          <w:sz w:val="16"/>
          <w:szCs w:val="16"/>
        </w:rPr>
        <w:t>”, “</w:t>
      </w:r>
      <w:r w:rsidRPr="00E14102">
        <w:rPr>
          <w:color w:val="0070C0"/>
          <w:sz w:val="16"/>
          <w:szCs w:val="16"/>
          <w:lang w:val="en-US"/>
        </w:rPr>
        <w:t>aerial</w:t>
      </w:r>
      <w:r w:rsidRPr="00E14102">
        <w:rPr>
          <w:color w:val="0070C0"/>
          <w:sz w:val="16"/>
          <w:szCs w:val="16"/>
        </w:rPr>
        <w:t xml:space="preserve"> </w:t>
      </w:r>
      <w:r w:rsidRPr="00E14102">
        <w:rPr>
          <w:color w:val="0070C0"/>
          <w:sz w:val="16"/>
          <w:szCs w:val="16"/>
          <w:lang w:val="en-US"/>
        </w:rPr>
        <w:t>battle</w:t>
      </w:r>
      <w:r w:rsidRPr="00E14102">
        <w:rPr>
          <w:color w:val="0070C0"/>
          <w:sz w:val="16"/>
          <w:szCs w:val="16"/>
        </w:rPr>
        <w:t>-</w:t>
      </w:r>
      <w:r w:rsidRPr="00E14102">
        <w:rPr>
          <w:color w:val="0070C0"/>
          <w:sz w:val="16"/>
          <w:szCs w:val="16"/>
          <w:lang w:val="en-US"/>
        </w:rPr>
        <w:t>cruiser</w:t>
      </w:r>
      <w:r w:rsidRPr="00E14102">
        <w:rPr>
          <w:color w:val="0070C0"/>
          <w:sz w:val="16"/>
          <w:szCs w:val="16"/>
        </w:rPr>
        <w:t>", "</w:t>
      </w:r>
      <w:r w:rsidRPr="00E14102">
        <w:rPr>
          <w:color w:val="0070C0"/>
          <w:sz w:val="16"/>
          <w:szCs w:val="16"/>
          <w:lang w:val="en-US"/>
        </w:rPr>
        <w:t>flying</w:t>
      </w:r>
      <w:r w:rsidRPr="00E14102">
        <w:rPr>
          <w:color w:val="0070C0"/>
          <w:sz w:val="16"/>
          <w:szCs w:val="16"/>
        </w:rPr>
        <w:t xml:space="preserve"> </w:t>
      </w:r>
      <w:r w:rsidRPr="00E14102">
        <w:rPr>
          <w:color w:val="0070C0"/>
          <w:sz w:val="16"/>
          <w:szCs w:val="16"/>
          <w:lang w:val="en-US"/>
        </w:rPr>
        <w:t>fortress</w:t>
      </w:r>
      <w:r w:rsidRPr="00E14102">
        <w:rPr>
          <w:color w:val="0070C0"/>
          <w:sz w:val="16"/>
          <w:szCs w:val="16"/>
        </w:rPr>
        <w:t xml:space="preserve">”, зав. № 1963, рег. № ВВС 35-X-13372) 1-й опытный, тяжелый бомбардировщик Строительство велось на средства фирмы, которые должны были быть компенсированы при приемке самолета заказчиком по завершении основного этапа испытаний. При этом, если не были </w:t>
      </w:r>
      <w:r w:rsidRPr="00E14102">
        <w:rPr>
          <w:color w:val="0070C0"/>
          <w:sz w:val="16"/>
          <w:szCs w:val="16"/>
        </w:rPr>
        <w:lastRenderedPageBreak/>
        <w:t>выполнены определенные пункты ТТТ, на фирму налагался штраф.   Постройка самолета велась в то время, когда на фирме проходили большие сокращения – из 1700 работников осталось 600.   Самолет был сдан на ЗИ в частичной комплектации (23158).</w:t>
      </w:r>
    </w:p>
    <w:p w14:paraId="45ACB58E" w14:textId="77777777" w:rsidR="00CB43E5" w:rsidRPr="00E14102" w:rsidRDefault="00CB43E5" w:rsidP="00E14102">
      <w:pPr>
        <w:shd w:val="clear" w:color="auto" w:fill="FFFFFF"/>
        <w:jc w:val="both"/>
        <w:textAlignment w:val="baseline"/>
        <w:rPr>
          <w:color w:val="0070C0"/>
          <w:sz w:val="16"/>
          <w:szCs w:val="16"/>
        </w:rPr>
      </w:pPr>
    </w:p>
    <w:p w14:paraId="0DBDDC82" w14:textId="77777777" w:rsidR="00CB43E5" w:rsidRPr="00E14102" w:rsidRDefault="00CB43E5" w:rsidP="00E14102">
      <w:pPr>
        <w:shd w:val="clear" w:color="auto" w:fill="FFFFFF"/>
        <w:jc w:val="both"/>
        <w:textAlignment w:val="baseline"/>
        <w:rPr>
          <w:color w:val="0070C0"/>
          <w:sz w:val="16"/>
          <w:szCs w:val="16"/>
        </w:rPr>
      </w:pPr>
      <w:r w:rsidRPr="00E14102">
        <w:rPr>
          <w:color w:val="0070C0"/>
          <w:sz w:val="16"/>
          <w:szCs w:val="16"/>
        </w:rPr>
        <w:t>В начале 1935 года вышел на испытания шестимоторный гигант Late 521 «Лейтенант де Вассо Пари». 8 декабря выполнил первый трансатлантический рейс в Наталь, но 4 января 1936 года в заливе Пенсакола на восточном побережье США он попал в шторм и затонул. Тяжело поврежденную машину подняли с морского дна, перевезли во Францию, отремонтировали и снова ввели в строй. Даже со «слабыми» серийными моторами «Испано-Сюиза» H.S. 12Ybrs по 860 л.с. (первоначально самолет имел 6 опытных 970-сильных моторов) его данные остались высоки. За вторую половину 1937 года на нем было установлено 5 международных рекордов для гидросамолетов, в т.ч. дальности (5771,3 км, перелет из Марокко в Бразилию) и подъема груза 18 т на высоту 2000 м. Флот «положил глаз» на новый «Латекоер» и заказал для ВМС серию таких гидропланов параллельно с Br. 730 (22815).</w:t>
      </w:r>
    </w:p>
    <w:p w14:paraId="47C12B7C" w14:textId="77777777" w:rsidR="00CB43E5" w:rsidRPr="00E14102" w:rsidRDefault="00CB43E5" w:rsidP="00E14102">
      <w:pPr>
        <w:shd w:val="clear" w:color="auto" w:fill="FFFFFF"/>
        <w:jc w:val="both"/>
        <w:textAlignment w:val="baseline"/>
        <w:rPr>
          <w:color w:val="0070C0"/>
          <w:sz w:val="16"/>
          <w:szCs w:val="16"/>
        </w:rPr>
      </w:pPr>
    </w:p>
    <w:p w14:paraId="5872560F" w14:textId="77777777" w:rsidR="00696714" w:rsidRPr="00E14102" w:rsidRDefault="00696714" w:rsidP="00E14102">
      <w:pPr>
        <w:jc w:val="both"/>
        <w:rPr>
          <w:color w:val="000000" w:themeColor="text1"/>
          <w:sz w:val="16"/>
          <w:szCs w:val="16"/>
        </w:rPr>
      </w:pPr>
      <w:r w:rsidRPr="00E14102">
        <w:rPr>
          <w:color w:val="000000" w:themeColor="text1"/>
          <w:sz w:val="16"/>
          <w:szCs w:val="16"/>
        </w:rPr>
        <w:t>В начале 1935 г. в городе Гендоне на выставке демонстрировался самолет, названный «Куинби» («пчелиная матка»). Он управлялся с земли: выполнял взлеты, посадки, виражи, пикирование, фигуры высшего пилотажа. Самолет был оборудован специальной аппаратурой для радиоуправления не только с земли, но и с другого самолета.</w:t>
      </w:r>
    </w:p>
    <w:p w14:paraId="355C7243" w14:textId="77777777" w:rsidR="00696714" w:rsidRPr="00E14102" w:rsidRDefault="00696714" w:rsidP="00E14102">
      <w:pPr>
        <w:jc w:val="both"/>
        <w:rPr>
          <w:color w:val="000000" w:themeColor="text1"/>
          <w:sz w:val="16"/>
          <w:szCs w:val="16"/>
        </w:rPr>
      </w:pPr>
      <w:r w:rsidRPr="00E14102">
        <w:rPr>
          <w:color w:val="000000" w:themeColor="text1"/>
          <w:sz w:val="16"/>
          <w:szCs w:val="16"/>
        </w:rPr>
        <w:t>Внешне телесамолет ничем не отличался от обычного самолета. Он представлял собой обыкновенный биплан с мотором мощностью 200—300 л. с. Его полетный вес составлял 850 кг, а максимальная скорость — 250 км/ч.</w:t>
      </w:r>
    </w:p>
    <w:p w14:paraId="36985500" w14:textId="77777777" w:rsidR="00696714" w:rsidRPr="00E14102" w:rsidRDefault="00696714" w:rsidP="00E14102">
      <w:pPr>
        <w:jc w:val="both"/>
        <w:rPr>
          <w:color w:val="000000" w:themeColor="text1"/>
          <w:sz w:val="16"/>
          <w:szCs w:val="16"/>
        </w:rPr>
      </w:pPr>
      <w:r w:rsidRPr="00E14102">
        <w:rPr>
          <w:color w:val="000000" w:themeColor="text1"/>
          <w:sz w:val="16"/>
          <w:szCs w:val="16"/>
        </w:rPr>
        <w:t>Первоначально телеуправляемый самолет использовался как движущаяся мишень для зенитной артиллерии.</w:t>
      </w:r>
    </w:p>
    <w:p w14:paraId="0D01A09E" w14:textId="77777777" w:rsidR="00696714" w:rsidRPr="00E14102" w:rsidRDefault="00696714" w:rsidP="00E14102">
      <w:pPr>
        <w:jc w:val="both"/>
        <w:rPr>
          <w:color w:val="000000" w:themeColor="text1"/>
          <w:sz w:val="16"/>
          <w:szCs w:val="16"/>
        </w:rPr>
      </w:pPr>
      <w:r w:rsidRPr="00E14102">
        <w:rPr>
          <w:color w:val="000000" w:themeColor="text1"/>
          <w:sz w:val="16"/>
          <w:szCs w:val="16"/>
        </w:rPr>
        <w:t>В конце 1935 г. англичане решили устроить грандиозное шоу — радиоуправляемый самолет должен был уничтожить радиоуправляемый линкор. В качестве мишени использовался разоруженный линкор «Центурион» водоизмещением 25,7 тыс. т, который в 1926 г. был обращен в радиоуправляемый корабль-цель. Но, увы, из этой затеи ничего не вышло (15117).</w:t>
      </w:r>
    </w:p>
    <w:p w14:paraId="127B890B" w14:textId="77777777" w:rsidR="00696714" w:rsidRPr="00E14102" w:rsidRDefault="00696714" w:rsidP="00E14102">
      <w:pPr>
        <w:jc w:val="both"/>
        <w:rPr>
          <w:color w:val="000000" w:themeColor="text1"/>
          <w:sz w:val="16"/>
          <w:szCs w:val="16"/>
        </w:rPr>
      </w:pPr>
    </w:p>
    <w:p w14:paraId="284534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1935 года из германского порта Бремерхавен отправился в Хайфу большой пассажирский пароход. Его название "Тель-Авив" было начертано на борту огромными ивритскими буквами, а на мачте того же парохода гордо реял нацистский флаг со свастикой. Судно, направляющееся в солнечную Палестину, принадлежало видному сионисту, а капитаном был член национал-социалистической партии (3573).</w:t>
      </w:r>
    </w:p>
    <w:p w14:paraId="020D32D6" w14:textId="77777777" w:rsidR="00D4105E" w:rsidRPr="00E14102" w:rsidRDefault="00D4105E" w:rsidP="00E14102">
      <w:pPr>
        <w:autoSpaceDE w:val="0"/>
        <w:autoSpaceDN w:val="0"/>
        <w:adjustRightInd w:val="0"/>
        <w:jc w:val="both"/>
        <w:rPr>
          <w:color w:val="000000" w:themeColor="text1"/>
          <w:sz w:val="16"/>
          <w:szCs w:val="16"/>
        </w:rPr>
      </w:pPr>
    </w:p>
    <w:p w14:paraId="4F63E61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67E58CC" w14:textId="77777777" w:rsidR="00D4105E" w:rsidRPr="00E14102" w:rsidRDefault="00D4105E" w:rsidP="00E14102">
      <w:pPr>
        <w:autoSpaceDE w:val="0"/>
        <w:autoSpaceDN w:val="0"/>
        <w:adjustRightInd w:val="0"/>
        <w:jc w:val="both"/>
        <w:rPr>
          <w:iCs/>
          <w:color w:val="000000" w:themeColor="text1"/>
          <w:sz w:val="16"/>
          <w:szCs w:val="16"/>
        </w:rPr>
      </w:pPr>
    </w:p>
    <w:p w14:paraId="7821582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Зимой 1935, когда постройку опытного образца ЦКБ-26 ускорили, "ББ-2 2К-14... с плана был снят. - гласило официальное письмо, прибывшее из НИИ ВВС. Решение было вполне логично. СБ Туполева оказался весьма удачным и готовился к серийному производству. Ильюшинский самолет по сравнению с СБ имел и свои преимущества, и свои недостатки. С одной стороны, даже расчетные летные данные ББ-2 получались ниже, чем у уже летавшего опытного СБ-2ИС. С другой - он был лишен некоторых дефектов туполевской машины, вызывавших нарекания у военных: кабины получились попросторнее, сектора обстрела стрелковых установок - пошире. На Ильюшина работали также опасения, что моторов М-100 (советской копии двигателя “Испано-Сюиза”12УЬгз) не хватит на запланированный выпуск СБ (в связи с этим Туполеву заказали третий опытный экземпляр СБ с “Гном-Ронами”, превратившийся позднее в тяжелый истребитель ДИ-8). То есть в конечном итоге ставку сделали на бомбардировщик ЦАГИ и ББ-2 оказался не нужен (6474).</w:t>
      </w:r>
    </w:p>
    <w:p w14:paraId="3240E74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EF47CE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468B763" w14:textId="77777777" w:rsidR="00D4105E" w:rsidRPr="00E14102" w:rsidRDefault="00D4105E" w:rsidP="00E14102">
      <w:pPr>
        <w:autoSpaceDE w:val="0"/>
        <w:autoSpaceDN w:val="0"/>
        <w:adjustRightInd w:val="0"/>
        <w:jc w:val="both"/>
        <w:rPr>
          <w:iCs/>
          <w:color w:val="000000" w:themeColor="text1"/>
          <w:sz w:val="16"/>
          <w:szCs w:val="16"/>
        </w:rPr>
      </w:pPr>
    </w:p>
    <w:p w14:paraId="405002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февралю 1935 СБ-РЦ (АНТ-40) восстановили после поломки при посадке 31 октября 1934 (4,13). Потом использовали для экспериментальных работ (2233,46).</w:t>
      </w:r>
    </w:p>
    <w:p w14:paraId="586B38DC" w14:textId="77777777" w:rsidR="00D4105E" w:rsidRPr="00E14102" w:rsidRDefault="00D4105E" w:rsidP="00E14102">
      <w:pPr>
        <w:autoSpaceDE w:val="0"/>
        <w:autoSpaceDN w:val="0"/>
        <w:adjustRightInd w:val="0"/>
        <w:jc w:val="both"/>
        <w:rPr>
          <w:color w:val="000000" w:themeColor="text1"/>
          <w:sz w:val="16"/>
          <w:szCs w:val="16"/>
        </w:rPr>
      </w:pPr>
    </w:p>
    <w:p w14:paraId="24713A1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6CE9352" w14:textId="77777777" w:rsidR="00D4105E" w:rsidRPr="00E14102" w:rsidRDefault="00D4105E" w:rsidP="00E14102">
      <w:pPr>
        <w:autoSpaceDE w:val="0"/>
        <w:autoSpaceDN w:val="0"/>
        <w:adjustRightInd w:val="0"/>
        <w:jc w:val="both"/>
        <w:rPr>
          <w:iCs/>
          <w:color w:val="000000" w:themeColor="text1"/>
          <w:sz w:val="16"/>
          <w:szCs w:val="16"/>
        </w:rPr>
      </w:pPr>
    </w:p>
    <w:p w14:paraId="5DF67A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февраля по 21 октября 1935 прошли испытания ТБ-3 (АНТ-6) 22 завода N 22452, полностью обшитого полотном (1017,169).</w:t>
      </w:r>
    </w:p>
    <w:p w14:paraId="53B8B09C" w14:textId="77777777" w:rsidR="00D4105E" w:rsidRPr="00E14102" w:rsidRDefault="00D4105E" w:rsidP="00E14102">
      <w:pPr>
        <w:autoSpaceDE w:val="0"/>
        <w:autoSpaceDN w:val="0"/>
        <w:adjustRightInd w:val="0"/>
        <w:jc w:val="both"/>
        <w:rPr>
          <w:color w:val="000000" w:themeColor="text1"/>
          <w:sz w:val="16"/>
          <w:szCs w:val="16"/>
        </w:rPr>
      </w:pPr>
    </w:p>
    <w:p w14:paraId="6F5C42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февраля 1935 Нач. УВВС Я.И.А. писал в ГУАП (по поволу СБ): “По предварительным даннымидущиз заводских испытаний машина дает такие показатели, что ее внедрение в серийное производство надо всемерно форсировать...” (9393,2).</w:t>
      </w:r>
    </w:p>
    <w:p w14:paraId="4169CC23" w14:textId="77777777" w:rsidR="00D4105E" w:rsidRPr="00E14102" w:rsidRDefault="00D4105E" w:rsidP="00E14102">
      <w:pPr>
        <w:autoSpaceDE w:val="0"/>
        <w:autoSpaceDN w:val="0"/>
        <w:adjustRightInd w:val="0"/>
        <w:jc w:val="both"/>
        <w:rPr>
          <w:color w:val="000000" w:themeColor="text1"/>
          <w:sz w:val="16"/>
          <w:szCs w:val="16"/>
        </w:rPr>
      </w:pPr>
    </w:p>
    <w:p w14:paraId="12C92D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февраля 1935 был готов АНТ-29 (ДИП). С заводских испытаний был снят вследствие ликвидации ДРП. Серии и гос. испытаний не было (514).</w:t>
      </w:r>
    </w:p>
    <w:p w14:paraId="4AF508A3" w14:textId="77777777" w:rsidR="00D4105E" w:rsidRPr="00E14102" w:rsidRDefault="00D4105E" w:rsidP="00E14102">
      <w:pPr>
        <w:autoSpaceDE w:val="0"/>
        <w:autoSpaceDN w:val="0"/>
        <w:adjustRightInd w:val="0"/>
        <w:jc w:val="both"/>
        <w:rPr>
          <w:color w:val="000000" w:themeColor="text1"/>
          <w:sz w:val="16"/>
          <w:szCs w:val="16"/>
        </w:rPr>
      </w:pPr>
    </w:p>
    <w:p w14:paraId="35593FFD" w14:textId="77777777" w:rsidR="00C464A1" w:rsidRPr="00E14102" w:rsidRDefault="00C464A1" w:rsidP="00E14102">
      <w:pPr>
        <w:jc w:val="both"/>
        <w:rPr>
          <w:color w:val="000000" w:themeColor="text1"/>
          <w:sz w:val="16"/>
          <w:szCs w:val="16"/>
        </w:rPr>
      </w:pPr>
      <w:r w:rsidRPr="00E14102">
        <w:rPr>
          <w:color w:val="000000" w:themeColor="text1"/>
          <w:sz w:val="16"/>
          <w:szCs w:val="16"/>
        </w:rPr>
        <w:t>На 1 февраля 1935 г. на Тихом океане числились 14 Р-ба и КР-ба, на Балтике - 24, на Черном море - 24, еще шесть достались школе морских лётчиков, а один находился в ОМО НИИ ВВС. Но военным этого не хватало. Только на Дальнем Востоке хотели разместить четыре эскадрильи на КР-ба.</w:t>
      </w:r>
    </w:p>
    <w:p w14:paraId="3BF8A088" w14:textId="77777777" w:rsidR="00C464A1" w:rsidRPr="00E14102" w:rsidRDefault="00C464A1" w:rsidP="00E14102">
      <w:pPr>
        <w:jc w:val="both"/>
        <w:rPr>
          <w:color w:val="000000" w:themeColor="text1"/>
          <w:sz w:val="16"/>
          <w:szCs w:val="16"/>
        </w:rPr>
      </w:pPr>
      <w:r w:rsidRPr="00E14102">
        <w:rPr>
          <w:color w:val="000000" w:themeColor="text1"/>
          <w:sz w:val="16"/>
          <w:szCs w:val="16"/>
        </w:rPr>
        <w:t>Почти все КР-ба входили в состав морских крейсерских эскадрилий (мкраэ). Первоначально рассчитывали, что каждая будет располагать 19 самолётами, но потом остановились на штате из 12 машин, как у сухопутных крейсерских эскадрилий. Например, на дальневосточной гидробазе Суходол находилась полностью укомплектованная дюжиной КР-ба 30-я мкраэ. Но были и эскадрильи смешанного состава. Так, в 124-й эскадрилье на Чёрном море имелись три ТБ-1 а на поплавках, три ТБ-1 на колёсах, одна амфибия Ш-2 и три КР-ба (12264).</w:t>
      </w:r>
    </w:p>
    <w:p w14:paraId="4C335028" w14:textId="77777777" w:rsidR="00C464A1" w:rsidRPr="00E14102" w:rsidRDefault="00C464A1" w:rsidP="00E14102">
      <w:pPr>
        <w:jc w:val="both"/>
        <w:rPr>
          <w:color w:val="000000" w:themeColor="text1"/>
          <w:sz w:val="16"/>
          <w:szCs w:val="16"/>
        </w:rPr>
      </w:pPr>
    </w:p>
    <w:p w14:paraId="6796E4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февраля 1935 Нач. УВВС Алкснис писал Нач. ГУАП письмо N 40/0744:</w:t>
      </w:r>
    </w:p>
    <w:p w14:paraId="22D07C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"Если вопрос применения тормозных колес на самолетах ВФ РККА, сдвинут с мертвой точки, то применение тормозных лыж у нас нет еще ни на одной машине.</w:t>
      </w:r>
    </w:p>
    <w:p w14:paraId="3345DD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тем, опыт эксплуатации тормозных лыж заграницей дает положительные результаты, в частности оборудованный тормозными колесами американский самолет Флистер 20 (самолет т. Слепнева) дает значительный эффект, а именно: значительно сокращает пробег, облегчает руление на снегу и разворачивается почти на месте.</w:t>
      </w:r>
    </w:p>
    <w:p w14:paraId="1A5BA3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Учитывая важность вопроса, прошу дать задание ЦАГИ совместно с заводом, изготовляющим лыжи, разработать конструкцию и построить опытные тормозные лыжи в первую очередь к самолетам Р-5, И-15, И-16 с таким расчетом, чтобы иметь возможность испытать лыжи зимой 1935-1936.</w:t>
      </w:r>
    </w:p>
    <w:p w14:paraId="489D04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чем управление тормозной лыжей д.б. осуществлено с использованием управления тормозными колесами.</w:t>
      </w:r>
    </w:p>
    <w:p w14:paraId="4AB60A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сроках выполнения этой работы прошу поставить меня в известность." (2337,200).</w:t>
      </w:r>
    </w:p>
    <w:p w14:paraId="44BF21F4" w14:textId="77777777" w:rsidR="00D4105E" w:rsidRPr="00E14102" w:rsidRDefault="00D4105E" w:rsidP="00E14102">
      <w:pPr>
        <w:autoSpaceDE w:val="0"/>
        <w:autoSpaceDN w:val="0"/>
        <w:adjustRightInd w:val="0"/>
        <w:jc w:val="both"/>
        <w:rPr>
          <w:color w:val="000000" w:themeColor="text1"/>
          <w:sz w:val="16"/>
          <w:szCs w:val="16"/>
        </w:rPr>
      </w:pPr>
    </w:p>
    <w:p w14:paraId="738674F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1 февраля по 31 декабря 1935 года проводились испытания ацетилцеллюлозных аэролаков (6730).</w:t>
      </w:r>
    </w:p>
    <w:p w14:paraId="0842141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6A090F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 лакокрасочной лаборатории Отдела 6 Краснопольский</w:t>
      </w:r>
    </w:p>
    <w:p w14:paraId="78B47D3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3F3589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03E1C1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6C9BDA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комбинированными аэролаками до полного выявления качеств покрытий при работе в условиях эксплуатации.</w:t>
      </w:r>
    </w:p>
    <w:p w14:paraId="047E255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Рецептура ацетилцеллюлозного аэролака первого покрытия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36"/>
        <w:gridCol w:w="4428"/>
      </w:tblGrid>
      <w:tr w:rsidR="00E3599D" w:rsidRPr="00E14102" w14:paraId="3A4020F8" w14:textId="77777777">
        <w:tc>
          <w:tcPr>
            <w:tcW w:w="2736" w:type="dxa"/>
            <w:tcBorders>
              <w:top w:val="single" w:sz="12" w:space="0" w:color="auto"/>
            </w:tcBorders>
          </w:tcPr>
          <w:p w14:paraId="766C04E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Ацетилцеллюлоза</w:t>
            </w:r>
          </w:p>
        </w:tc>
        <w:tc>
          <w:tcPr>
            <w:tcW w:w="4428" w:type="dxa"/>
            <w:tcBorders>
              <w:top w:val="single" w:sz="12" w:space="0" w:color="auto"/>
            </w:tcBorders>
          </w:tcPr>
          <w:p w14:paraId="2904DA8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11,3%</w:t>
            </w:r>
          </w:p>
        </w:tc>
      </w:tr>
      <w:tr w:rsidR="00E3599D" w:rsidRPr="00E14102" w14:paraId="303EA76A" w14:textId="77777777">
        <w:tc>
          <w:tcPr>
            <w:tcW w:w="2736" w:type="dxa"/>
          </w:tcPr>
          <w:p w14:paraId="493D9F3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Бензилацетат</w:t>
            </w:r>
          </w:p>
        </w:tc>
        <w:tc>
          <w:tcPr>
            <w:tcW w:w="4428" w:type="dxa"/>
          </w:tcPr>
          <w:p w14:paraId="5C11C1A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8,0%</w:t>
            </w:r>
          </w:p>
        </w:tc>
      </w:tr>
      <w:tr w:rsidR="00E3599D" w:rsidRPr="00E14102" w14:paraId="3A17C629" w14:textId="77777777">
        <w:tc>
          <w:tcPr>
            <w:tcW w:w="2736" w:type="dxa"/>
          </w:tcPr>
          <w:p w14:paraId="6EA96A7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Бензол</w:t>
            </w:r>
          </w:p>
        </w:tc>
        <w:tc>
          <w:tcPr>
            <w:tcW w:w="4428" w:type="dxa"/>
          </w:tcPr>
          <w:p w14:paraId="74674D9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13,3%</w:t>
            </w:r>
          </w:p>
        </w:tc>
      </w:tr>
      <w:tr w:rsidR="00E3599D" w:rsidRPr="00E14102" w14:paraId="5EA1625C" w14:textId="77777777">
        <w:tc>
          <w:tcPr>
            <w:tcW w:w="2736" w:type="dxa"/>
          </w:tcPr>
          <w:p w14:paraId="3D19F0E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Этиловый спирт</w:t>
            </w:r>
          </w:p>
        </w:tc>
        <w:tc>
          <w:tcPr>
            <w:tcW w:w="4428" w:type="dxa"/>
          </w:tcPr>
          <w:p w14:paraId="273CB2B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13,3%</w:t>
            </w:r>
          </w:p>
        </w:tc>
      </w:tr>
      <w:tr w:rsidR="00E3599D" w:rsidRPr="00E14102" w14:paraId="725CD1E2" w14:textId="77777777">
        <w:tc>
          <w:tcPr>
            <w:tcW w:w="2736" w:type="dxa"/>
          </w:tcPr>
          <w:p w14:paraId="704746A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Этилацетат</w:t>
            </w:r>
          </w:p>
        </w:tc>
        <w:tc>
          <w:tcPr>
            <w:tcW w:w="4428" w:type="dxa"/>
          </w:tcPr>
          <w:p w14:paraId="796D54D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26,6%</w:t>
            </w:r>
          </w:p>
        </w:tc>
      </w:tr>
      <w:tr w:rsidR="00E3599D" w:rsidRPr="00E14102" w14:paraId="125B2561" w14:textId="77777777">
        <w:tc>
          <w:tcPr>
            <w:tcW w:w="2736" w:type="dxa"/>
            <w:tcBorders>
              <w:bottom w:val="single" w:sz="12" w:space="0" w:color="auto"/>
            </w:tcBorders>
          </w:tcPr>
          <w:p w14:paraId="6DECCF3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Ацетон технический</w:t>
            </w:r>
          </w:p>
        </w:tc>
        <w:tc>
          <w:tcPr>
            <w:tcW w:w="4428" w:type="dxa"/>
            <w:tcBorders>
              <w:bottom w:val="single" w:sz="12" w:space="0" w:color="auto"/>
            </w:tcBorders>
          </w:tcPr>
          <w:p w14:paraId="30D5BA5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27,5%</w:t>
            </w:r>
          </w:p>
        </w:tc>
      </w:tr>
    </w:tbl>
    <w:p w14:paraId="4DB5B86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Метод окраски самолетов и рам</w:t>
      </w:r>
    </w:p>
    <w:p w14:paraId="4F7124A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нормальными нитролаками второго покрытия.</w:t>
      </w:r>
    </w:p>
    <w:p w14:paraId="429832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Третий слой цветного аэролака наносился на самолет после окончания заводских испытаний его (6730).</w:t>
      </w:r>
    </w:p>
    <w:p w14:paraId="63E6652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8C40F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1 февраля по 31 декабря 1935 года проводились испытания по теме ЛК-7 “Испытание ацетилцеллюлозных аэролаков” (6830).</w:t>
      </w:r>
    </w:p>
    <w:p w14:paraId="34A18B0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3460053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лакокрасочной лаборатории 6 Отдела Краснопольский</w:t>
      </w:r>
    </w:p>
    <w:p w14:paraId="62B47E6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4162C99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05DD070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B62F7C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 аэролаками до полного выявления качеств покрытий при работе в условиях эксплуатации.</w:t>
      </w:r>
    </w:p>
    <w:p w14:paraId="6EC8402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Поставить перед ВИАМом и заводом № 36 вопрос о проработке в 1936 году рецептуры цветных ацетилцеллюлозных аэролаков для защиты покрытий и об уточнении рецептуры бесцветных лаков с целью получения более высокой усадки.</w:t>
      </w:r>
    </w:p>
    <w:p w14:paraId="135298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Рецептура ацетилцеллюлозного аэролака первого покрытия</w:t>
      </w:r>
    </w:p>
    <w:p w14:paraId="62A8899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Ацетилцеллюлоза – 11,3 %</w:t>
      </w:r>
    </w:p>
    <w:p w14:paraId="76B2A59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Бензилацетат – 8%</w:t>
      </w:r>
    </w:p>
    <w:p w14:paraId="3E868B5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Бензол – 13,3%</w:t>
      </w:r>
    </w:p>
    <w:p w14:paraId="4A9D20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Этиловый спирт – 13,3%</w:t>
      </w:r>
    </w:p>
    <w:p w14:paraId="08F8F8D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Этилацетат – 26,6%</w:t>
      </w:r>
    </w:p>
    <w:p w14:paraId="526FD0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Ацетон технический – 27,5%</w:t>
      </w:r>
    </w:p>
    <w:p w14:paraId="26AD5A7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 нитролаком второго покрытия.</w:t>
      </w:r>
    </w:p>
    <w:p w14:paraId="6373BA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Были окрашены 2 самолета (И-15 и ЗС) (6830).</w:t>
      </w:r>
    </w:p>
    <w:p w14:paraId="69BE2117"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E084D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февраля 1935 А.Н.Т. выступал на VII Съезде Советов (273,311).</w:t>
      </w:r>
    </w:p>
    <w:p w14:paraId="5F8DCD98" w14:textId="77777777" w:rsidR="00D4105E" w:rsidRPr="00E14102" w:rsidRDefault="00D4105E" w:rsidP="00E14102">
      <w:pPr>
        <w:autoSpaceDE w:val="0"/>
        <w:autoSpaceDN w:val="0"/>
        <w:adjustRightInd w:val="0"/>
        <w:jc w:val="both"/>
        <w:rPr>
          <w:color w:val="000000" w:themeColor="text1"/>
          <w:sz w:val="16"/>
          <w:szCs w:val="16"/>
        </w:rPr>
      </w:pPr>
    </w:p>
    <w:p w14:paraId="5E1519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февраля 1935 г. начальник Научно-испытательного института ВС РККА В.К.Лавров писал Начальнику Управления Воздушных Сил РККА Я.И.Алкснису: «Во исполнение Вашего приказания от 31 января 1935 г., я лично ознакомился на месте с работами РНИИ и до</w:t>
      </w:r>
      <w:r w:rsidRPr="00E14102">
        <w:rPr>
          <w:color w:val="000000" w:themeColor="text1"/>
          <w:sz w:val="16"/>
          <w:szCs w:val="16"/>
        </w:rPr>
        <w:softHyphen/>
        <w:t>кладываю. По снарядам РС-82 и РС-132, чтобы продолжить работу но баллистике, которую АУ РККА проведет во втором квартале, необходи</w:t>
      </w:r>
      <w:r w:rsidRPr="00E14102">
        <w:rPr>
          <w:color w:val="000000" w:themeColor="text1"/>
          <w:sz w:val="16"/>
          <w:szCs w:val="16"/>
        </w:rPr>
        <w:softHyphen/>
        <w:t>мо теперь же принять меры, обеспечивающие возможность в 1935 г. ис</w:t>
      </w:r>
      <w:r w:rsidRPr="00E14102">
        <w:rPr>
          <w:color w:val="000000" w:themeColor="text1"/>
          <w:sz w:val="16"/>
          <w:szCs w:val="16"/>
        </w:rPr>
        <w:softHyphen/>
        <w:t>пытать самолеты, вооруженные РС. То есть, испытать стрельбой и опре</w:t>
      </w:r>
      <w:r w:rsidRPr="00E14102">
        <w:rPr>
          <w:color w:val="000000" w:themeColor="text1"/>
          <w:sz w:val="16"/>
          <w:szCs w:val="16"/>
        </w:rPr>
        <w:softHyphen/>
        <w:t>делить их тактические возможности.</w:t>
      </w:r>
    </w:p>
    <w:p w14:paraId="6A6D44E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Я полагаю, что целесообразнее всего приготовить для этих целей два самолета ТБ-3 с установкой на каждом из них шести РС-132 и три самолета И-14 с установкой на каждом из них четырех-шести РС-82. То и другое ставить на старых установках без перемены угла возвышения. Чертежи установок есть в РНИИ, но сами установки никто не делает. Прошу приказать начальнику отдела вооружений тов. Пономареву своевременно обеспечить возможность испытаний. Одновременно поручить РНИИ разработку перезаряжающейся установки с переменным углом возвыше</w:t>
      </w:r>
      <w:r w:rsidRPr="00E14102">
        <w:rPr>
          <w:color w:val="000000" w:themeColor="text1"/>
          <w:sz w:val="16"/>
          <w:szCs w:val="16"/>
        </w:rPr>
        <w:softHyphen/>
        <w:t>ния и переменным временем трубок. Если над такой установкой не рабо</w:t>
      </w:r>
      <w:r w:rsidRPr="00E14102">
        <w:rPr>
          <w:color w:val="000000" w:themeColor="text1"/>
          <w:sz w:val="16"/>
          <w:szCs w:val="16"/>
        </w:rPr>
        <w:softHyphen/>
        <w:t>тать, мы опоздаем на год с возможностью применения РС на самоле</w:t>
      </w:r>
      <w:r w:rsidRPr="00E14102">
        <w:rPr>
          <w:color w:val="000000" w:themeColor="text1"/>
          <w:sz w:val="16"/>
          <w:szCs w:val="16"/>
        </w:rPr>
        <w:softHyphen/>
        <w:t>те...». Кстати, крайнее замечание относилось к ранее упомянутым уста</w:t>
      </w:r>
      <w:r w:rsidRPr="00E14102">
        <w:rPr>
          <w:color w:val="000000" w:themeColor="text1"/>
          <w:sz w:val="16"/>
          <w:szCs w:val="16"/>
        </w:rPr>
        <w:softHyphen/>
        <w:t>новкам АУРС-82 (11402).</w:t>
      </w:r>
    </w:p>
    <w:p w14:paraId="7CFA4B2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923130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февраля 1935 г. было письмо Начальнику Управления Воздушных Сил РККА Алкснису от начальника Научно-испытательного института ВС РККА Лаврова: «РНИИ может спроектировать и построить специальную аэробомбу с увеличенной на 100-200 м/с скоростью на конечной траектории. При этом от 20 до 40% веса общего бомбы имеет реактивный заряд. Следовательно, будем иметь при общем весе бомбы 100 кг и приращении конечной скорости 100 м/с, калибр 80 кг. Если же приращение конечной скорости - 200 м/с, калибр бомбы составит 60 кг. На 1935 г. РНИИ согласен взять на себя лишь проектирование образца калибра 100 кг. Но я считаю это верным, поскольку необходимо посмотреть, что получится. А постройка более мощных бомб будет лишь иметь производственные трудности».</w:t>
      </w:r>
    </w:p>
    <w:p w14:paraId="419ED6E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Такой подход заказчика обусловил оснащение ранних образцов ракетных авиабомб минимальными ракетными зарядами (11402).</w:t>
      </w:r>
    </w:p>
    <w:p w14:paraId="05A82F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04415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февраля 1935 г. основное назначение РС-245 при применении с бомбардировщиков ТБ-3 окончательно изменили. Отныне боеприпас, в соответствии с предложением начальника 5 отдела УВВС РККА военинженера 1 ранга М.П.Пономарева, поддержанным начальником НИИ ВС РККА комбригом В.К.Лавровым перед начальником УВВС РККА Я.И.Алкснисом, предназначался для обстрела исключительно наземных целей (11402).</w:t>
      </w:r>
    </w:p>
    <w:p w14:paraId="6EF31D1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FB0ED6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41914D3B" w14:textId="77777777" w:rsidR="00D4105E" w:rsidRPr="00E14102" w:rsidRDefault="00D4105E" w:rsidP="00E14102">
      <w:pPr>
        <w:autoSpaceDE w:val="0"/>
        <w:autoSpaceDN w:val="0"/>
        <w:adjustRightInd w:val="0"/>
        <w:jc w:val="both"/>
        <w:rPr>
          <w:iCs/>
          <w:color w:val="000000" w:themeColor="text1"/>
          <w:sz w:val="16"/>
          <w:szCs w:val="16"/>
        </w:rPr>
      </w:pPr>
    </w:p>
    <w:p w14:paraId="7E4CBA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февраля 1935 на аэродроме Едрово в Ленинградском военном округе в двух эскадрильях 2-й тбаб находился 31 бомбардировщик типа ТБ-ЗР. Позднее появились целые бригады, вооружейные ТБ-ЗР, такие, как 9-я. Много машин этого типа отправили на Дальний Восток и в Забайкалье, где отношения с японцами периодически обострялись.</w:t>
      </w:r>
    </w:p>
    <w:p w14:paraId="608E75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1935 г. выпустили всего 74 самолета, все модификации ТБ-ЗР. В этот период количество четырехмоторных бомбовозов в ВВС РККА достигло своего пика - ими полностью или частично были вооружены 36 эскадрилий. Во время первомайского парада 1935 г. над Москвой прошли не два, как в наше время, а 72 тяжелых бомбардировщика.</w:t>
      </w:r>
    </w:p>
    <w:p w14:paraId="54459C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было очень серьезной силой. На наиболее важных направлениях командование ВВС могло достаточно быстро сосредоточить до 200 машин. Подсчитайте: при бомбовой нагрузке в две тонны такая армада была способна разом сбросить на противника 400 т фугасных, осколочных, зажигательных или химических бомб (12036).</w:t>
      </w:r>
    </w:p>
    <w:p w14:paraId="0D9D69B3" w14:textId="77777777" w:rsidR="00D4105E" w:rsidRPr="00E14102" w:rsidRDefault="00D4105E" w:rsidP="00E14102">
      <w:pPr>
        <w:autoSpaceDE w:val="0"/>
        <w:autoSpaceDN w:val="0"/>
        <w:adjustRightInd w:val="0"/>
        <w:jc w:val="both"/>
        <w:rPr>
          <w:color w:val="000000" w:themeColor="text1"/>
          <w:sz w:val="16"/>
          <w:szCs w:val="16"/>
        </w:rPr>
      </w:pPr>
    </w:p>
    <w:p w14:paraId="6AECA9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 февраля 1935 г. в строю числились 63 боевых и 4 учебных (в Ейской школе) гидроплана Р-5а. В том числе 19 принадлежали 16-й эскадрилье, приданной Амурской флотилии, 23 - Тихоокеанскому флоту и 20 - Черноморскому. Эксплуатировались они сравнительно недолго, к середине 1936 г. в строевых частях Р-5а уже не осталось (11936).</w:t>
      </w:r>
    </w:p>
    <w:p w14:paraId="143D0862" w14:textId="77777777" w:rsidR="00D4105E" w:rsidRPr="00E14102" w:rsidRDefault="00D4105E" w:rsidP="00E14102">
      <w:pPr>
        <w:autoSpaceDE w:val="0"/>
        <w:autoSpaceDN w:val="0"/>
        <w:adjustRightInd w:val="0"/>
        <w:jc w:val="both"/>
        <w:rPr>
          <w:color w:val="000000" w:themeColor="text1"/>
          <w:sz w:val="16"/>
          <w:szCs w:val="16"/>
        </w:rPr>
      </w:pPr>
    </w:p>
    <w:p w14:paraId="047758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 февраля 1935 г. в составе ВВС числились 63 боевых и четыре учебных (в Ейской школе морских летчиков) гидропланов. В том числе 19 принадлежали ВВС ОКДВА (16-я эскадрилья, приданная Амурской военной флотилии), 23 - Тихоокеанскому флоту, 20 - Черноморскому флоту.</w:t>
      </w:r>
    </w:p>
    <w:p w14:paraId="718D78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второй половине 1934 г. планировали заменить пулеметы ПВ-1 и ДА на новые, типа ШКАС. Однако процесс доводки нового вооружения затянулся и не затронул поплавковый вариант. Самолеты продолжали выпускаться о старыми пулеметами.</w:t>
      </w:r>
    </w:p>
    <w:p w14:paraId="5B5AB7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Явные недостатки машины привели к постепенному сворачиванию серийного производства. Основными ближними разведчиками флота стали летающие лодки - итальянские С-62Б и их советские копии МБР-4, а позднее МБР-2. Р-5а же широкого распространения не получил и выполнял в основном вспомогательные функции. Эксплуатировались они сравнительно недолго. К середине 1936 г. в строевых частях их уже не осталось. Последнее упоминание о нем обнаружено в документах 44-й скоростной бомбардировочной эскадрильи ВВС Черноморского флота, в которой в августе 1937 г. вместе с двумя обычными Р-5 и тремя Р-5Т имелся один МР-5 (Р-5а), видимо, переставленный на колеса (12034).</w:t>
      </w:r>
    </w:p>
    <w:p w14:paraId="424DB790" w14:textId="77777777" w:rsidR="00D4105E" w:rsidRPr="00E14102" w:rsidRDefault="00D4105E" w:rsidP="00E14102">
      <w:pPr>
        <w:autoSpaceDE w:val="0"/>
        <w:autoSpaceDN w:val="0"/>
        <w:adjustRightInd w:val="0"/>
        <w:jc w:val="both"/>
        <w:rPr>
          <w:color w:val="000000" w:themeColor="text1"/>
          <w:sz w:val="16"/>
          <w:szCs w:val="16"/>
        </w:rPr>
      </w:pPr>
    </w:p>
    <w:p w14:paraId="3A87F4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февраля 1935:</w:t>
      </w:r>
    </w:p>
    <w:p w14:paraId="0CB49B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Наличие самолетов Р-5, Р-5Ш и Р-5а в ВВС РККА на 1.02.1935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E3599D" w:rsidRPr="00E14102" w14:paraId="64C5578E" w14:textId="77777777">
        <w:tc>
          <w:tcPr>
            <w:tcW w:w="1601" w:type="dxa"/>
            <w:tcBorders>
              <w:top w:val="single" w:sz="12" w:space="0" w:color="auto"/>
            </w:tcBorders>
          </w:tcPr>
          <w:p w14:paraId="07C10935" w14:textId="77777777" w:rsidR="00D4105E" w:rsidRPr="00E14102" w:rsidRDefault="00D4105E" w:rsidP="00E14102">
            <w:pPr>
              <w:autoSpaceDE w:val="0"/>
              <w:autoSpaceDN w:val="0"/>
              <w:adjustRightInd w:val="0"/>
              <w:jc w:val="both"/>
              <w:rPr>
                <w:color w:val="000000" w:themeColor="text1"/>
                <w:sz w:val="16"/>
                <w:szCs w:val="16"/>
              </w:rPr>
            </w:pPr>
          </w:p>
        </w:tc>
        <w:tc>
          <w:tcPr>
            <w:tcW w:w="1601" w:type="dxa"/>
            <w:tcBorders>
              <w:top w:val="single" w:sz="12" w:space="0" w:color="auto"/>
            </w:tcBorders>
          </w:tcPr>
          <w:p w14:paraId="138AEF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w:t>
            </w:r>
          </w:p>
        </w:tc>
        <w:tc>
          <w:tcPr>
            <w:tcW w:w="1601" w:type="dxa"/>
            <w:tcBorders>
              <w:top w:val="single" w:sz="12" w:space="0" w:color="auto"/>
            </w:tcBorders>
          </w:tcPr>
          <w:p w14:paraId="5415B2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Р-5Ш</w:t>
            </w:r>
          </w:p>
        </w:tc>
        <w:tc>
          <w:tcPr>
            <w:tcW w:w="1601" w:type="dxa"/>
            <w:tcBorders>
              <w:top w:val="single" w:sz="12" w:space="0" w:color="auto"/>
            </w:tcBorders>
          </w:tcPr>
          <w:p w14:paraId="5F6E63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Р-5а</w:t>
            </w:r>
          </w:p>
        </w:tc>
        <w:tc>
          <w:tcPr>
            <w:tcW w:w="1601" w:type="dxa"/>
            <w:tcBorders>
              <w:top w:val="single" w:sz="12" w:space="0" w:color="auto"/>
            </w:tcBorders>
          </w:tcPr>
          <w:p w14:paraId="28DF5412" w14:textId="77777777" w:rsidR="00D4105E" w:rsidRPr="00E14102" w:rsidRDefault="00D4105E" w:rsidP="00E14102">
            <w:pPr>
              <w:autoSpaceDE w:val="0"/>
              <w:autoSpaceDN w:val="0"/>
              <w:adjustRightInd w:val="0"/>
              <w:jc w:val="both"/>
              <w:rPr>
                <w:color w:val="000000" w:themeColor="text1"/>
                <w:sz w:val="16"/>
                <w:szCs w:val="16"/>
              </w:rPr>
            </w:pPr>
          </w:p>
        </w:tc>
        <w:tc>
          <w:tcPr>
            <w:tcW w:w="1601" w:type="dxa"/>
            <w:tcBorders>
              <w:top w:val="single" w:sz="12" w:space="0" w:color="auto"/>
            </w:tcBorders>
          </w:tcPr>
          <w:p w14:paraId="1AA8FC26" w14:textId="77777777" w:rsidR="00D4105E" w:rsidRPr="00E14102" w:rsidRDefault="00D4105E" w:rsidP="00E14102">
            <w:pPr>
              <w:autoSpaceDE w:val="0"/>
              <w:autoSpaceDN w:val="0"/>
              <w:adjustRightInd w:val="0"/>
              <w:jc w:val="both"/>
              <w:rPr>
                <w:color w:val="000000" w:themeColor="text1"/>
                <w:sz w:val="16"/>
                <w:szCs w:val="16"/>
              </w:rPr>
            </w:pPr>
          </w:p>
        </w:tc>
        <w:tc>
          <w:tcPr>
            <w:tcW w:w="1601" w:type="dxa"/>
            <w:tcBorders>
              <w:top w:val="single" w:sz="12" w:space="0" w:color="auto"/>
            </w:tcBorders>
          </w:tcPr>
          <w:p w14:paraId="5FDE0DD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1D97C3E" w14:textId="77777777">
        <w:tc>
          <w:tcPr>
            <w:tcW w:w="1601" w:type="dxa"/>
          </w:tcPr>
          <w:p w14:paraId="01BCBEC0" w14:textId="77777777" w:rsidR="00D4105E" w:rsidRPr="00E14102" w:rsidRDefault="00D4105E" w:rsidP="00E14102">
            <w:pPr>
              <w:autoSpaceDE w:val="0"/>
              <w:autoSpaceDN w:val="0"/>
              <w:adjustRightInd w:val="0"/>
              <w:jc w:val="both"/>
              <w:rPr>
                <w:color w:val="000000" w:themeColor="text1"/>
                <w:sz w:val="16"/>
                <w:szCs w:val="16"/>
              </w:rPr>
            </w:pPr>
          </w:p>
        </w:tc>
        <w:tc>
          <w:tcPr>
            <w:tcW w:w="1601" w:type="dxa"/>
          </w:tcPr>
          <w:p w14:paraId="40EE8F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Исправл.</w:t>
            </w:r>
          </w:p>
        </w:tc>
        <w:tc>
          <w:tcPr>
            <w:tcW w:w="1601" w:type="dxa"/>
          </w:tcPr>
          <w:p w14:paraId="1AFACA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Неисправл.</w:t>
            </w:r>
          </w:p>
        </w:tc>
        <w:tc>
          <w:tcPr>
            <w:tcW w:w="1601" w:type="dxa"/>
          </w:tcPr>
          <w:p w14:paraId="2226DF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Исправл.</w:t>
            </w:r>
          </w:p>
        </w:tc>
        <w:tc>
          <w:tcPr>
            <w:tcW w:w="1601" w:type="dxa"/>
          </w:tcPr>
          <w:p w14:paraId="48468B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Неисправл.</w:t>
            </w:r>
          </w:p>
        </w:tc>
        <w:tc>
          <w:tcPr>
            <w:tcW w:w="1601" w:type="dxa"/>
          </w:tcPr>
          <w:p w14:paraId="555F88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Исправл.</w:t>
            </w:r>
          </w:p>
        </w:tc>
        <w:tc>
          <w:tcPr>
            <w:tcW w:w="1601" w:type="dxa"/>
          </w:tcPr>
          <w:p w14:paraId="4D0271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Неисправл.</w:t>
            </w:r>
          </w:p>
        </w:tc>
      </w:tr>
      <w:tr w:rsidR="00E3599D" w:rsidRPr="00E14102" w14:paraId="2E59A0D1" w14:textId="77777777">
        <w:tc>
          <w:tcPr>
            <w:tcW w:w="1601" w:type="dxa"/>
          </w:tcPr>
          <w:p w14:paraId="3F804C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ВО</w:t>
            </w:r>
          </w:p>
        </w:tc>
        <w:tc>
          <w:tcPr>
            <w:tcW w:w="1601" w:type="dxa"/>
          </w:tcPr>
          <w:p w14:paraId="381640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237</w:t>
            </w:r>
          </w:p>
        </w:tc>
        <w:tc>
          <w:tcPr>
            <w:tcW w:w="1601" w:type="dxa"/>
          </w:tcPr>
          <w:p w14:paraId="48A710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1601" w:type="dxa"/>
          </w:tcPr>
          <w:p w14:paraId="4C43EC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64DEE4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55FBB4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34514F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3FB5814C" w14:textId="77777777">
        <w:tc>
          <w:tcPr>
            <w:tcW w:w="1601" w:type="dxa"/>
          </w:tcPr>
          <w:p w14:paraId="3F7B3A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Белорусский ВО</w:t>
            </w:r>
          </w:p>
        </w:tc>
        <w:tc>
          <w:tcPr>
            <w:tcW w:w="1601" w:type="dxa"/>
          </w:tcPr>
          <w:p w14:paraId="75842D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508</w:t>
            </w:r>
          </w:p>
        </w:tc>
        <w:tc>
          <w:tcPr>
            <w:tcW w:w="1601" w:type="dxa"/>
          </w:tcPr>
          <w:p w14:paraId="6AD204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1601" w:type="dxa"/>
          </w:tcPr>
          <w:p w14:paraId="160F17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5C185E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2DE60F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6DF734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16C4E226" w14:textId="77777777">
        <w:tc>
          <w:tcPr>
            <w:tcW w:w="1601" w:type="dxa"/>
          </w:tcPr>
          <w:p w14:paraId="312E12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Украинский ВО</w:t>
            </w:r>
          </w:p>
        </w:tc>
        <w:tc>
          <w:tcPr>
            <w:tcW w:w="1601" w:type="dxa"/>
          </w:tcPr>
          <w:p w14:paraId="4F830D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1601" w:type="dxa"/>
          </w:tcPr>
          <w:p w14:paraId="71A68B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1601" w:type="dxa"/>
          </w:tcPr>
          <w:p w14:paraId="1D54C1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57A14F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627CAB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63CEFC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60018527" w14:textId="77777777">
        <w:tc>
          <w:tcPr>
            <w:tcW w:w="1601" w:type="dxa"/>
          </w:tcPr>
          <w:p w14:paraId="1A247C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ВО</w:t>
            </w:r>
          </w:p>
        </w:tc>
        <w:tc>
          <w:tcPr>
            <w:tcW w:w="1601" w:type="dxa"/>
          </w:tcPr>
          <w:p w14:paraId="04CC43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w:t>
            </w:r>
          </w:p>
        </w:tc>
        <w:tc>
          <w:tcPr>
            <w:tcW w:w="1601" w:type="dxa"/>
          </w:tcPr>
          <w:p w14:paraId="2B45C0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01" w:type="dxa"/>
          </w:tcPr>
          <w:p w14:paraId="2DF0B0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05B7E7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7B2D42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124AF0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068C8B5" w14:textId="77777777">
        <w:tc>
          <w:tcPr>
            <w:tcW w:w="1601" w:type="dxa"/>
          </w:tcPr>
          <w:p w14:paraId="355E1F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Приволжский ВО</w:t>
            </w:r>
          </w:p>
        </w:tc>
        <w:tc>
          <w:tcPr>
            <w:tcW w:w="1601" w:type="dxa"/>
          </w:tcPr>
          <w:p w14:paraId="76F8E3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53</w:t>
            </w:r>
          </w:p>
        </w:tc>
        <w:tc>
          <w:tcPr>
            <w:tcW w:w="1601" w:type="dxa"/>
          </w:tcPr>
          <w:p w14:paraId="4540A3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601" w:type="dxa"/>
          </w:tcPr>
          <w:p w14:paraId="5BC778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0E7436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1B4DA8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0D4A8F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B7F77FA" w14:textId="77777777">
        <w:tc>
          <w:tcPr>
            <w:tcW w:w="1601" w:type="dxa"/>
          </w:tcPr>
          <w:p w14:paraId="4EE876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Северо-Кавказский ВО</w:t>
            </w:r>
          </w:p>
        </w:tc>
        <w:tc>
          <w:tcPr>
            <w:tcW w:w="1601" w:type="dxa"/>
          </w:tcPr>
          <w:p w14:paraId="471CFF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123</w:t>
            </w:r>
          </w:p>
        </w:tc>
        <w:tc>
          <w:tcPr>
            <w:tcW w:w="1601" w:type="dxa"/>
          </w:tcPr>
          <w:p w14:paraId="3E95B0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601" w:type="dxa"/>
          </w:tcPr>
          <w:p w14:paraId="0F9786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4311C0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1B0D94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72FDBE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6F5EA941" w14:textId="77777777">
        <w:tc>
          <w:tcPr>
            <w:tcW w:w="1601" w:type="dxa"/>
          </w:tcPr>
          <w:p w14:paraId="342A68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Среднеазиатский ВО</w:t>
            </w:r>
          </w:p>
        </w:tc>
        <w:tc>
          <w:tcPr>
            <w:tcW w:w="1601" w:type="dxa"/>
          </w:tcPr>
          <w:p w14:paraId="59FB60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601" w:type="dxa"/>
          </w:tcPr>
          <w:p w14:paraId="1BB564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601" w:type="dxa"/>
          </w:tcPr>
          <w:p w14:paraId="18E65F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58D799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623B0C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0E51B3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11869658" w14:textId="77777777">
        <w:tc>
          <w:tcPr>
            <w:tcW w:w="1601" w:type="dxa"/>
          </w:tcPr>
          <w:p w14:paraId="1D9018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Сибирский ВО</w:t>
            </w:r>
          </w:p>
        </w:tc>
        <w:tc>
          <w:tcPr>
            <w:tcW w:w="1601" w:type="dxa"/>
          </w:tcPr>
          <w:p w14:paraId="3C020F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1601" w:type="dxa"/>
          </w:tcPr>
          <w:p w14:paraId="362427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1601" w:type="dxa"/>
          </w:tcPr>
          <w:p w14:paraId="23FEBF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109</w:t>
            </w:r>
          </w:p>
        </w:tc>
        <w:tc>
          <w:tcPr>
            <w:tcW w:w="1601" w:type="dxa"/>
          </w:tcPr>
          <w:p w14:paraId="7EF95A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01" w:type="dxa"/>
          </w:tcPr>
          <w:p w14:paraId="3F1FEC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46D26C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6CE276E8" w14:textId="77777777">
        <w:tc>
          <w:tcPr>
            <w:tcW w:w="1601" w:type="dxa"/>
          </w:tcPr>
          <w:p w14:paraId="73426C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ОКДВА</w:t>
            </w:r>
          </w:p>
        </w:tc>
        <w:tc>
          <w:tcPr>
            <w:tcW w:w="1601" w:type="dxa"/>
          </w:tcPr>
          <w:p w14:paraId="565BD0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504</w:t>
            </w:r>
          </w:p>
        </w:tc>
        <w:tc>
          <w:tcPr>
            <w:tcW w:w="1601" w:type="dxa"/>
          </w:tcPr>
          <w:p w14:paraId="1B4DEC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w:t>
            </w:r>
          </w:p>
        </w:tc>
        <w:tc>
          <w:tcPr>
            <w:tcW w:w="1601" w:type="dxa"/>
          </w:tcPr>
          <w:p w14:paraId="177872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333</w:t>
            </w:r>
          </w:p>
        </w:tc>
        <w:tc>
          <w:tcPr>
            <w:tcW w:w="1601" w:type="dxa"/>
          </w:tcPr>
          <w:p w14:paraId="02BC49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w:t>
            </w:r>
          </w:p>
        </w:tc>
        <w:tc>
          <w:tcPr>
            <w:tcW w:w="1601" w:type="dxa"/>
          </w:tcPr>
          <w:p w14:paraId="0C6023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w:t>
            </w:r>
          </w:p>
        </w:tc>
        <w:tc>
          <w:tcPr>
            <w:tcW w:w="1601" w:type="dxa"/>
          </w:tcPr>
          <w:p w14:paraId="5F30C4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r>
      <w:tr w:rsidR="00E3599D" w:rsidRPr="00E14102" w14:paraId="357EAB43" w14:textId="77777777">
        <w:tc>
          <w:tcPr>
            <w:tcW w:w="1601" w:type="dxa"/>
          </w:tcPr>
          <w:p w14:paraId="46F896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Тихоокеанский флот</w:t>
            </w:r>
          </w:p>
        </w:tc>
        <w:tc>
          <w:tcPr>
            <w:tcW w:w="1601" w:type="dxa"/>
          </w:tcPr>
          <w:p w14:paraId="49A9B5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57</w:t>
            </w:r>
          </w:p>
        </w:tc>
        <w:tc>
          <w:tcPr>
            <w:tcW w:w="1601" w:type="dxa"/>
          </w:tcPr>
          <w:p w14:paraId="0EB040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1601" w:type="dxa"/>
          </w:tcPr>
          <w:p w14:paraId="1A9636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0FC7B8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7C08D8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1601" w:type="dxa"/>
          </w:tcPr>
          <w:p w14:paraId="7A554D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r>
      <w:tr w:rsidR="00E3599D" w:rsidRPr="00E14102" w14:paraId="16CD79B3" w14:textId="77777777">
        <w:tc>
          <w:tcPr>
            <w:tcW w:w="1601" w:type="dxa"/>
          </w:tcPr>
          <w:p w14:paraId="577D03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Балтийский флот</w:t>
            </w:r>
          </w:p>
        </w:tc>
        <w:tc>
          <w:tcPr>
            <w:tcW w:w="1601" w:type="dxa"/>
          </w:tcPr>
          <w:p w14:paraId="71EFCD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1601" w:type="dxa"/>
          </w:tcPr>
          <w:p w14:paraId="17A701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01" w:type="dxa"/>
          </w:tcPr>
          <w:p w14:paraId="7D043B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266E49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6FF818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1BD007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154654F9" w14:textId="77777777">
        <w:tc>
          <w:tcPr>
            <w:tcW w:w="1601" w:type="dxa"/>
          </w:tcPr>
          <w:p w14:paraId="63C297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Черноморский флот</w:t>
            </w:r>
          </w:p>
        </w:tc>
        <w:tc>
          <w:tcPr>
            <w:tcW w:w="1601" w:type="dxa"/>
          </w:tcPr>
          <w:p w14:paraId="3B27C6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w:t>
            </w:r>
          </w:p>
        </w:tc>
        <w:tc>
          <w:tcPr>
            <w:tcW w:w="1601" w:type="dxa"/>
          </w:tcPr>
          <w:p w14:paraId="7FE690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01" w:type="dxa"/>
          </w:tcPr>
          <w:p w14:paraId="4B3067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1B00CA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0865D1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01" w:type="dxa"/>
          </w:tcPr>
          <w:p w14:paraId="4534CA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r>
      <w:tr w:rsidR="00E3599D" w:rsidRPr="00E14102" w14:paraId="2D4014C2" w14:textId="77777777">
        <w:tc>
          <w:tcPr>
            <w:tcW w:w="1601" w:type="dxa"/>
          </w:tcPr>
          <w:p w14:paraId="46368F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Учебные заведения</w:t>
            </w:r>
          </w:p>
        </w:tc>
        <w:tc>
          <w:tcPr>
            <w:tcW w:w="1601" w:type="dxa"/>
          </w:tcPr>
          <w:p w14:paraId="3634A0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1601" w:type="dxa"/>
          </w:tcPr>
          <w:p w14:paraId="1BECBF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w:t>
            </w:r>
          </w:p>
        </w:tc>
        <w:tc>
          <w:tcPr>
            <w:tcW w:w="1601" w:type="dxa"/>
          </w:tcPr>
          <w:p w14:paraId="646E30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7241F0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01" w:type="dxa"/>
          </w:tcPr>
          <w:p w14:paraId="66A87F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601" w:type="dxa"/>
          </w:tcPr>
          <w:p w14:paraId="69318E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r>
      <w:tr w:rsidR="00E3599D" w:rsidRPr="00E14102" w14:paraId="6C6E7D13" w14:textId="77777777">
        <w:tc>
          <w:tcPr>
            <w:tcW w:w="1601" w:type="dxa"/>
          </w:tcPr>
          <w:p w14:paraId="0E6918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Части центрального подчинения</w:t>
            </w:r>
          </w:p>
        </w:tc>
        <w:tc>
          <w:tcPr>
            <w:tcW w:w="1601" w:type="dxa"/>
          </w:tcPr>
          <w:p w14:paraId="70DD4E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135</w:t>
            </w:r>
          </w:p>
        </w:tc>
        <w:tc>
          <w:tcPr>
            <w:tcW w:w="1601" w:type="dxa"/>
          </w:tcPr>
          <w:p w14:paraId="750EC0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601" w:type="dxa"/>
          </w:tcPr>
          <w:p w14:paraId="51F1D4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601" w:type="dxa"/>
          </w:tcPr>
          <w:p w14:paraId="457CB0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601" w:type="dxa"/>
          </w:tcPr>
          <w:p w14:paraId="5B8959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601" w:type="dxa"/>
          </w:tcPr>
          <w:p w14:paraId="3F3B99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r>
      <w:tr w:rsidR="00E3599D" w:rsidRPr="00E14102" w14:paraId="72BFB3D6" w14:textId="77777777">
        <w:tc>
          <w:tcPr>
            <w:tcW w:w="1601" w:type="dxa"/>
            <w:tcBorders>
              <w:bottom w:val="single" w:sz="12" w:space="0" w:color="auto"/>
            </w:tcBorders>
          </w:tcPr>
          <w:p w14:paraId="65C125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1601" w:type="dxa"/>
            <w:tcBorders>
              <w:bottom w:val="single" w:sz="12" w:space="0" w:color="auto"/>
            </w:tcBorders>
          </w:tcPr>
          <w:p w14:paraId="3DD908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2605</w:t>
            </w:r>
          </w:p>
        </w:tc>
        <w:tc>
          <w:tcPr>
            <w:tcW w:w="1601" w:type="dxa"/>
            <w:tcBorders>
              <w:bottom w:val="single" w:sz="12" w:space="0" w:color="auto"/>
            </w:tcBorders>
          </w:tcPr>
          <w:p w14:paraId="4A1BBC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206</w:t>
            </w:r>
          </w:p>
        </w:tc>
        <w:tc>
          <w:tcPr>
            <w:tcW w:w="1601" w:type="dxa"/>
            <w:tcBorders>
              <w:bottom w:val="single" w:sz="12" w:space="0" w:color="auto"/>
            </w:tcBorders>
          </w:tcPr>
          <w:p w14:paraId="250A3B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444</w:t>
            </w:r>
          </w:p>
        </w:tc>
        <w:tc>
          <w:tcPr>
            <w:tcW w:w="1601" w:type="dxa"/>
            <w:tcBorders>
              <w:bottom w:val="single" w:sz="12" w:space="0" w:color="auto"/>
            </w:tcBorders>
          </w:tcPr>
          <w:p w14:paraId="14A421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w:t>
            </w:r>
          </w:p>
        </w:tc>
        <w:tc>
          <w:tcPr>
            <w:tcW w:w="1601" w:type="dxa"/>
            <w:tcBorders>
              <w:bottom w:val="single" w:sz="12" w:space="0" w:color="auto"/>
            </w:tcBorders>
          </w:tcPr>
          <w:p w14:paraId="779A8E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67</w:t>
            </w:r>
          </w:p>
        </w:tc>
        <w:tc>
          <w:tcPr>
            <w:tcW w:w="1601" w:type="dxa"/>
            <w:tcBorders>
              <w:bottom w:val="single" w:sz="12" w:space="0" w:color="auto"/>
            </w:tcBorders>
          </w:tcPr>
          <w:p w14:paraId="7F5B75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r>
    </w:tbl>
    <w:p w14:paraId="3F6308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(12034).</w:t>
      </w:r>
    </w:p>
    <w:p w14:paraId="553CEAA1" w14:textId="77777777" w:rsidR="00D4105E" w:rsidRPr="00E14102" w:rsidRDefault="00D4105E" w:rsidP="00E14102">
      <w:pPr>
        <w:autoSpaceDE w:val="0"/>
        <w:autoSpaceDN w:val="0"/>
        <w:adjustRightInd w:val="0"/>
        <w:jc w:val="both"/>
        <w:rPr>
          <w:color w:val="000000" w:themeColor="text1"/>
          <w:sz w:val="16"/>
          <w:szCs w:val="16"/>
        </w:rPr>
      </w:pPr>
    </w:p>
    <w:p w14:paraId="27CFB297" w14:textId="77777777" w:rsidR="008F150F" w:rsidRPr="00E14102" w:rsidRDefault="008F150F"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6031B2D" w14:textId="77777777" w:rsidR="008F150F" w:rsidRPr="00E14102" w:rsidRDefault="008F150F" w:rsidP="00E14102">
      <w:pPr>
        <w:autoSpaceDE w:val="0"/>
        <w:autoSpaceDN w:val="0"/>
        <w:adjustRightInd w:val="0"/>
        <w:jc w:val="both"/>
        <w:rPr>
          <w:iCs/>
          <w:color w:val="000000" w:themeColor="text1"/>
          <w:sz w:val="16"/>
          <w:szCs w:val="16"/>
        </w:rPr>
      </w:pPr>
    </w:p>
    <w:p w14:paraId="1E02A2D7" w14:textId="77777777" w:rsidR="008F150F" w:rsidRPr="00E14102" w:rsidRDefault="008F150F" w:rsidP="00E14102">
      <w:pPr>
        <w:jc w:val="both"/>
        <w:rPr>
          <w:color w:val="0070C0"/>
          <w:sz w:val="16"/>
          <w:szCs w:val="16"/>
        </w:rPr>
      </w:pPr>
      <w:r w:rsidRPr="00E14102">
        <w:rPr>
          <w:color w:val="0070C0"/>
          <w:sz w:val="16"/>
          <w:szCs w:val="16"/>
        </w:rPr>
        <w:t>С 1 февраля по 24 марта 1935 г. во Всесоюзном аэросанном пробеге, проходившем под эгидой "Автодора", принимали участие аэросани АНТ-IV и АНТ-Х (21489).</w:t>
      </w:r>
    </w:p>
    <w:p w14:paraId="662DD28B" w14:textId="77777777" w:rsidR="008F150F" w:rsidRPr="00E14102" w:rsidRDefault="008F150F" w:rsidP="00E14102">
      <w:pPr>
        <w:jc w:val="both"/>
        <w:rPr>
          <w:color w:val="0070C0"/>
          <w:sz w:val="16"/>
          <w:szCs w:val="16"/>
        </w:rPr>
      </w:pPr>
    </w:p>
    <w:p w14:paraId="1D02053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719004CC" w14:textId="77777777" w:rsidR="00D4105E" w:rsidRPr="00E14102" w:rsidRDefault="00D4105E" w:rsidP="00E14102">
      <w:pPr>
        <w:autoSpaceDE w:val="0"/>
        <w:autoSpaceDN w:val="0"/>
        <w:adjustRightInd w:val="0"/>
        <w:jc w:val="both"/>
        <w:rPr>
          <w:iCs/>
          <w:color w:val="000000" w:themeColor="text1"/>
          <w:sz w:val="16"/>
          <w:szCs w:val="16"/>
        </w:rPr>
      </w:pPr>
    </w:p>
    <w:p w14:paraId="3D14E7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февраля 1935 пленум ЦК избрал А.Микояна и В.Чубаря в Политбюро, а А.Жданова и Р.Эйхе - кандидатами в члены ПБ (3908,346).</w:t>
      </w:r>
    </w:p>
    <w:p w14:paraId="660E115E" w14:textId="77777777" w:rsidR="00D4105E" w:rsidRPr="00E14102" w:rsidRDefault="00D4105E" w:rsidP="00E14102">
      <w:pPr>
        <w:autoSpaceDE w:val="0"/>
        <w:autoSpaceDN w:val="0"/>
        <w:adjustRightInd w:val="0"/>
        <w:jc w:val="both"/>
        <w:rPr>
          <w:color w:val="000000" w:themeColor="text1"/>
          <w:sz w:val="16"/>
          <w:szCs w:val="16"/>
        </w:rPr>
      </w:pPr>
    </w:p>
    <w:p w14:paraId="44BD3830" w14:textId="77777777" w:rsidR="00F64F2C" w:rsidRPr="00E14102" w:rsidRDefault="00F64F2C" w:rsidP="00E14102">
      <w:pPr>
        <w:shd w:val="clear" w:color="auto" w:fill="FFFFFF"/>
        <w:jc w:val="both"/>
        <w:rPr>
          <w:color w:val="000000" w:themeColor="text1"/>
          <w:sz w:val="16"/>
          <w:szCs w:val="16"/>
        </w:rPr>
      </w:pPr>
      <w:r w:rsidRPr="00E14102">
        <w:rPr>
          <w:color w:val="000000" w:themeColor="text1"/>
          <w:sz w:val="16"/>
          <w:szCs w:val="16"/>
        </w:rPr>
        <w:t>1 февраля 1935 г. пленум ЦК ВКП(б) утвердил членами Политбюро А.И.Микояна и В.Я.Чубаря, а кандидатами в члены Политбюро А.А.Жданова и Р.И.Эйхе. Если оценивать эти перестановки, руководствуясь версией о существовании в Политбюро "фракций" "умеренных" и "радикалов", то придется признать, что после убийства Кирова в Политбюро усилились позиции "умеренных". Достаточно осторожным и "умерен</w:t>
      </w:r>
      <w:r w:rsidRPr="00E14102">
        <w:rPr>
          <w:color w:val="000000" w:themeColor="text1"/>
          <w:sz w:val="16"/>
          <w:szCs w:val="16"/>
        </w:rPr>
        <w:softHyphen/>
        <w:t>ным" политиком был Чубарь, обвиненный в 1938 г. в связях с Рыковым и в "правых" настроениях. К "умеренным" некото</w:t>
      </w:r>
      <w:r w:rsidRPr="00E14102">
        <w:rPr>
          <w:color w:val="000000" w:themeColor="text1"/>
          <w:sz w:val="16"/>
          <w:szCs w:val="16"/>
        </w:rPr>
        <w:softHyphen/>
        <w:t>рые историки причисляют также Жданова (подробнее об этом будет сказано в следующем параграфе). Скорее, к "умерен</w:t>
      </w:r>
      <w:r w:rsidRPr="00E14102">
        <w:rPr>
          <w:color w:val="000000" w:themeColor="text1"/>
          <w:sz w:val="16"/>
          <w:szCs w:val="16"/>
        </w:rPr>
        <w:softHyphen/>
        <w:t>ным", чем к "радикалам", можно было бы отнести также Эйхе, репрессированного в 1938 г.</w:t>
      </w:r>
    </w:p>
    <w:p w14:paraId="2A2158A3" w14:textId="77777777" w:rsidR="00F64F2C" w:rsidRPr="00E14102" w:rsidRDefault="00F64F2C" w:rsidP="00E14102">
      <w:pPr>
        <w:shd w:val="clear" w:color="auto" w:fill="FFFFFF"/>
        <w:jc w:val="both"/>
        <w:rPr>
          <w:color w:val="000000" w:themeColor="text1"/>
          <w:sz w:val="16"/>
          <w:szCs w:val="16"/>
        </w:rPr>
      </w:pPr>
      <w:r w:rsidRPr="00E14102">
        <w:rPr>
          <w:color w:val="000000" w:themeColor="text1"/>
          <w:sz w:val="16"/>
          <w:szCs w:val="16"/>
        </w:rPr>
        <w:t>Однако, на самом деле, перестановки в Политбюро не име</w:t>
      </w:r>
      <w:r w:rsidRPr="00E14102">
        <w:rPr>
          <w:color w:val="000000" w:themeColor="text1"/>
          <w:sz w:val="16"/>
          <w:szCs w:val="16"/>
        </w:rPr>
        <w:softHyphen/>
        <w:t>ли никакого особого политического значения, а предопределя</w:t>
      </w:r>
      <w:r w:rsidRPr="00E14102">
        <w:rPr>
          <w:color w:val="000000" w:themeColor="text1"/>
          <w:sz w:val="16"/>
          <w:szCs w:val="16"/>
        </w:rPr>
        <w:softHyphen/>
        <w:t>лись скорее формальной процедурой заполнения вакансий. Микоян и Чубарь заняли места полных членов Политбюро взамен Кирова и умершего Куйбышева потому, что имели на это право как старейшие кандидаты в члены Политбюро (с 1926 г.), занимавшие к тому же важные посты (Микоян был наркомом пищевой промышленности СССР, а Чубарь — за</w:t>
      </w:r>
      <w:r w:rsidRPr="00E14102">
        <w:rPr>
          <w:color w:val="000000" w:themeColor="text1"/>
          <w:sz w:val="16"/>
          <w:szCs w:val="16"/>
        </w:rPr>
        <w:softHyphen/>
        <w:t>местителем председателя Совнаркома СССР). Эйхе был вы</w:t>
      </w:r>
      <w:r w:rsidRPr="00E14102">
        <w:rPr>
          <w:color w:val="000000" w:themeColor="text1"/>
          <w:sz w:val="16"/>
          <w:szCs w:val="16"/>
        </w:rPr>
        <w:softHyphen/>
        <w:t>двинут на освободившуюся должность кандидата в члены По</w:t>
      </w:r>
      <w:r w:rsidRPr="00E14102">
        <w:rPr>
          <w:color w:val="000000" w:themeColor="text1"/>
          <w:sz w:val="16"/>
          <w:szCs w:val="16"/>
        </w:rPr>
        <w:softHyphen/>
        <w:t>литбюро с явно демонстративной целью — как секретарь круп</w:t>
      </w:r>
      <w:r w:rsidRPr="00E14102">
        <w:rPr>
          <w:color w:val="000000" w:themeColor="text1"/>
          <w:sz w:val="16"/>
          <w:szCs w:val="16"/>
        </w:rPr>
        <w:softHyphen/>
        <w:t>нейшей Западно-Сибирской партийной организации. Постоян</w:t>
      </w:r>
      <w:r w:rsidRPr="00E14102">
        <w:rPr>
          <w:color w:val="000000" w:themeColor="text1"/>
          <w:sz w:val="16"/>
          <w:szCs w:val="16"/>
        </w:rPr>
        <w:softHyphen/>
        <w:t>но находясь за тысячи километров от Москвы, реально он не мог участвовать в работе Политбюро. Жданов же, наоборот, уже не мог оставаться вне Политбюро. Как секретарь ЦК ВКП (б) с начала 1934 г., он фактически работал как член Политбюро и нередко визировал решения Политбюро. Решающим обстоя</w:t>
      </w:r>
      <w:r w:rsidRPr="00E14102">
        <w:rPr>
          <w:color w:val="000000" w:themeColor="text1"/>
          <w:sz w:val="16"/>
          <w:szCs w:val="16"/>
        </w:rPr>
        <w:softHyphen/>
        <w:t>тельством, предопределившим его вхождение в Политбюро, был, конечно, тот факт, что Жданов наследовал Кирову на посту руководителя ленинградской партийной организации (17307).</w:t>
      </w:r>
    </w:p>
    <w:p w14:paraId="5C523ED4" w14:textId="77777777" w:rsidR="00F64F2C" w:rsidRPr="00E14102" w:rsidRDefault="00F64F2C" w:rsidP="00E14102">
      <w:pPr>
        <w:autoSpaceDE w:val="0"/>
        <w:autoSpaceDN w:val="0"/>
        <w:adjustRightInd w:val="0"/>
        <w:jc w:val="both"/>
        <w:rPr>
          <w:color w:val="000000" w:themeColor="text1"/>
          <w:sz w:val="16"/>
          <w:szCs w:val="16"/>
        </w:rPr>
      </w:pPr>
    </w:p>
    <w:p w14:paraId="5A412E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февраля 1935 закрыли Торгсин (3481).</w:t>
      </w:r>
    </w:p>
    <w:p w14:paraId="11942732" w14:textId="77777777" w:rsidR="00D4105E" w:rsidRPr="00E14102" w:rsidRDefault="00D4105E" w:rsidP="00E14102">
      <w:pPr>
        <w:autoSpaceDE w:val="0"/>
        <w:autoSpaceDN w:val="0"/>
        <w:adjustRightInd w:val="0"/>
        <w:jc w:val="both"/>
        <w:rPr>
          <w:color w:val="000000" w:themeColor="text1"/>
          <w:sz w:val="16"/>
          <w:szCs w:val="16"/>
        </w:rPr>
      </w:pPr>
    </w:p>
    <w:p w14:paraId="7BB07643" w14:textId="77777777" w:rsidR="00FF0E2E" w:rsidRPr="00E14102" w:rsidRDefault="00FF0E2E" w:rsidP="00E14102">
      <w:pPr>
        <w:jc w:val="both"/>
        <w:rPr>
          <w:color w:val="000000" w:themeColor="text1"/>
          <w:sz w:val="16"/>
          <w:szCs w:val="16"/>
        </w:rPr>
      </w:pPr>
      <w:r w:rsidRPr="00E14102">
        <w:rPr>
          <w:color w:val="000000" w:themeColor="text1"/>
          <w:sz w:val="16"/>
          <w:szCs w:val="16"/>
        </w:rPr>
        <w:t>1 февраля 1935. Закрыта сеть магазинов "Торгсин", продававших дефицитные товары за золото и валюту (18720).</w:t>
      </w:r>
    </w:p>
    <w:p w14:paraId="3BB5E505" w14:textId="77777777" w:rsidR="00FF0E2E" w:rsidRPr="00E14102" w:rsidRDefault="00FF0E2E" w:rsidP="00E14102">
      <w:pPr>
        <w:jc w:val="both"/>
        <w:rPr>
          <w:color w:val="000000" w:themeColor="text1"/>
          <w:sz w:val="16"/>
          <w:szCs w:val="16"/>
        </w:rPr>
      </w:pPr>
    </w:p>
    <w:p w14:paraId="4C1FD43F" w14:textId="77777777" w:rsidR="00696714" w:rsidRPr="00E14102" w:rsidRDefault="00696714" w:rsidP="00E14102">
      <w:pPr>
        <w:jc w:val="both"/>
        <w:rPr>
          <w:color w:val="000000" w:themeColor="text1"/>
          <w:sz w:val="16"/>
          <w:szCs w:val="16"/>
        </w:rPr>
      </w:pPr>
      <w:r w:rsidRPr="00E14102">
        <w:rPr>
          <w:bCs/>
          <w:color w:val="000000" w:themeColor="text1"/>
          <w:sz w:val="16"/>
          <w:szCs w:val="16"/>
        </w:rPr>
        <w:t>1 февраля</w:t>
      </w:r>
      <w:r w:rsidRPr="00E14102">
        <w:rPr>
          <w:color w:val="000000" w:themeColor="text1"/>
          <w:sz w:val="16"/>
          <w:szCs w:val="16"/>
        </w:rPr>
        <w:t xml:space="preserve"> в 1935 году закрыта сеть магазинов "Торгсин", где за золото и валюту можно было купить дефицитные продовольственные и промышленные товары (15027).</w:t>
      </w:r>
    </w:p>
    <w:p w14:paraId="7C1E5025" w14:textId="77777777" w:rsidR="00696714" w:rsidRPr="00E14102" w:rsidRDefault="00696714" w:rsidP="00E14102">
      <w:pPr>
        <w:jc w:val="both"/>
        <w:rPr>
          <w:color w:val="000000" w:themeColor="text1"/>
          <w:sz w:val="16"/>
          <w:szCs w:val="16"/>
        </w:rPr>
      </w:pPr>
    </w:p>
    <w:p w14:paraId="31F5A4C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7BF8AE9" w14:textId="77777777" w:rsidR="00D4105E" w:rsidRPr="00E14102" w:rsidRDefault="00D4105E" w:rsidP="00E14102">
      <w:pPr>
        <w:autoSpaceDE w:val="0"/>
        <w:autoSpaceDN w:val="0"/>
        <w:adjustRightInd w:val="0"/>
        <w:jc w:val="both"/>
        <w:rPr>
          <w:iCs/>
          <w:color w:val="000000" w:themeColor="text1"/>
          <w:sz w:val="16"/>
          <w:szCs w:val="16"/>
        </w:rPr>
      </w:pPr>
    </w:p>
    <w:p w14:paraId="4A40E8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февраля 1935 в Лондоне прошли британо-германские переговоры о перевооружении немецкой армии (3907,191).</w:t>
      </w:r>
    </w:p>
    <w:p w14:paraId="3735D074" w14:textId="77777777" w:rsidR="00D4105E" w:rsidRPr="00E14102" w:rsidRDefault="00D4105E" w:rsidP="00E14102">
      <w:pPr>
        <w:autoSpaceDE w:val="0"/>
        <w:autoSpaceDN w:val="0"/>
        <w:adjustRightInd w:val="0"/>
        <w:jc w:val="both"/>
        <w:rPr>
          <w:color w:val="000000" w:themeColor="text1"/>
          <w:sz w:val="16"/>
          <w:szCs w:val="16"/>
        </w:rPr>
      </w:pPr>
    </w:p>
    <w:p w14:paraId="268AB6A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28CF2B7" w14:textId="77777777" w:rsidR="00D4105E" w:rsidRPr="00E14102" w:rsidRDefault="00D4105E" w:rsidP="00E14102">
      <w:pPr>
        <w:autoSpaceDE w:val="0"/>
        <w:autoSpaceDN w:val="0"/>
        <w:adjustRightInd w:val="0"/>
        <w:jc w:val="both"/>
        <w:rPr>
          <w:iCs/>
          <w:color w:val="000000" w:themeColor="text1"/>
          <w:sz w:val="16"/>
          <w:szCs w:val="16"/>
        </w:rPr>
      </w:pPr>
    </w:p>
    <w:p w14:paraId="644821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февраля 1935 года Начальник НИИ ВВС Лавров утвердил Отчет по испытаниям самолета ТБ3-4М34 на устранение вибраций и снятие летных характеристик с 4-мя лопастными винтами на средних моторах (6677).</w:t>
      </w:r>
    </w:p>
    <w:p w14:paraId="3E2B05B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13870F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 отдела сухопутных самолетов Нерсисян</w:t>
      </w:r>
    </w:p>
    <w:p w14:paraId="3F68A40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Летчик отдела сухопутных самолетов Стефановский</w:t>
      </w:r>
    </w:p>
    <w:p w14:paraId="2C69F7B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7851DAE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Выявление причин вибрации носовой и хвостовой частей самолета.</w:t>
      </w:r>
    </w:p>
    <w:p w14:paraId="774800E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Изыскание мероприятий по их устранению.</w:t>
      </w:r>
    </w:p>
    <w:p w14:paraId="205752E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Выявление летных характеристик самолета после устранения вибраций.</w:t>
      </w:r>
    </w:p>
    <w:p w14:paraId="5113DED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2592BD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НИИ ВВС на основании полученных результатов испытаний, считает возможным допустить установку 4-х лопастных винтов на средние моторы самолета (6677).</w:t>
      </w:r>
    </w:p>
    <w:p w14:paraId="31F4688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085A88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февраля 1935 Нач. НИИ ВВС лавров утвердил Отчет испытаний ТБ-3 4М-34Р на устранение вибраций и снятия летных характеристик с 4-х лопастными винтами на средних моторах, которые проходили с 1 августа 1934 по 26 января 1935 (878).</w:t>
      </w:r>
    </w:p>
    <w:p w14:paraId="143CA403" w14:textId="77777777" w:rsidR="00D4105E" w:rsidRPr="00E14102" w:rsidRDefault="00D4105E" w:rsidP="00E14102">
      <w:pPr>
        <w:autoSpaceDE w:val="0"/>
        <w:autoSpaceDN w:val="0"/>
        <w:adjustRightInd w:val="0"/>
        <w:jc w:val="both"/>
        <w:rPr>
          <w:color w:val="000000" w:themeColor="text1"/>
          <w:sz w:val="16"/>
          <w:szCs w:val="16"/>
        </w:rPr>
      </w:pPr>
    </w:p>
    <w:p w14:paraId="756CC9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февраля 1935 Дир. завода 24 Марьямов писал Зам. Нач. ГУАП Марголину с просьбой указания о срочном проведении предварительного расчета СБ К.А.К. с ИС, М-34Н и М-34НФ (2343,7).</w:t>
      </w:r>
    </w:p>
    <w:p w14:paraId="697744BD" w14:textId="77777777" w:rsidR="00D4105E" w:rsidRPr="00E14102" w:rsidRDefault="00D4105E" w:rsidP="00E14102">
      <w:pPr>
        <w:autoSpaceDE w:val="0"/>
        <w:autoSpaceDN w:val="0"/>
        <w:adjustRightInd w:val="0"/>
        <w:jc w:val="both"/>
        <w:rPr>
          <w:color w:val="000000" w:themeColor="text1"/>
          <w:sz w:val="16"/>
          <w:szCs w:val="16"/>
        </w:rPr>
      </w:pPr>
    </w:p>
    <w:p w14:paraId="1F94FC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февраля 1935 ДИП с 2 Испано был выведен на аэродром и должен был с 1 июля передан на гос. испытания, однако до февраля 1936 все еще доводился из за низкой устойчивости (320).</w:t>
      </w:r>
    </w:p>
    <w:p w14:paraId="31973095" w14:textId="77777777" w:rsidR="00D4105E" w:rsidRPr="00E14102" w:rsidRDefault="00D4105E" w:rsidP="00E14102">
      <w:pPr>
        <w:autoSpaceDE w:val="0"/>
        <w:autoSpaceDN w:val="0"/>
        <w:adjustRightInd w:val="0"/>
        <w:jc w:val="both"/>
        <w:rPr>
          <w:color w:val="000000" w:themeColor="text1"/>
          <w:sz w:val="16"/>
          <w:szCs w:val="16"/>
        </w:rPr>
      </w:pPr>
    </w:p>
    <w:p w14:paraId="102F89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февраля 1935 был подготовлен отчет о выполнении плана работ завода 39 на 1934 (2336,56):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77"/>
        <w:gridCol w:w="1785"/>
        <w:gridCol w:w="1785"/>
        <w:gridCol w:w="3375"/>
      </w:tblGrid>
      <w:tr w:rsidR="00E3599D" w:rsidRPr="00E14102" w14:paraId="08F6AB9D" w14:textId="77777777">
        <w:tc>
          <w:tcPr>
            <w:tcW w:w="4077" w:type="dxa"/>
            <w:tcBorders>
              <w:top w:val="single" w:sz="12" w:space="0" w:color="auto"/>
            </w:tcBorders>
          </w:tcPr>
          <w:p w14:paraId="0AACE8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N Наименование</w:t>
            </w:r>
          </w:p>
        </w:tc>
        <w:tc>
          <w:tcPr>
            <w:tcW w:w="1785" w:type="dxa"/>
            <w:tcBorders>
              <w:top w:val="single" w:sz="12" w:space="0" w:color="auto"/>
            </w:tcBorders>
          </w:tcPr>
          <w:p w14:paraId="2668AE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w:t>
            </w:r>
          </w:p>
        </w:tc>
        <w:tc>
          <w:tcPr>
            <w:tcW w:w="1785" w:type="dxa"/>
            <w:tcBorders>
              <w:top w:val="single" w:sz="12" w:space="0" w:color="auto"/>
            </w:tcBorders>
          </w:tcPr>
          <w:p w14:paraId="190DF9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Факт</w:t>
            </w:r>
          </w:p>
        </w:tc>
        <w:tc>
          <w:tcPr>
            <w:tcW w:w="3375" w:type="dxa"/>
            <w:tcBorders>
              <w:top w:val="single" w:sz="12" w:space="0" w:color="auto"/>
            </w:tcBorders>
          </w:tcPr>
          <w:p w14:paraId="48192D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Факт</w:t>
            </w:r>
          </w:p>
        </w:tc>
      </w:tr>
      <w:tr w:rsidR="00E3599D" w:rsidRPr="00E14102" w14:paraId="1127A9A2" w14:textId="77777777">
        <w:tc>
          <w:tcPr>
            <w:tcW w:w="4077" w:type="dxa"/>
          </w:tcPr>
          <w:p w14:paraId="7A224A86" w14:textId="77777777" w:rsidR="00D4105E" w:rsidRPr="00E14102" w:rsidRDefault="00D4105E" w:rsidP="00E14102">
            <w:pPr>
              <w:autoSpaceDE w:val="0"/>
              <w:autoSpaceDN w:val="0"/>
              <w:adjustRightInd w:val="0"/>
              <w:jc w:val="both"/>
              <w:rPr>
                <w:color w:val="000000" w:themeColor="text1"/>
                <w:sz w:val="16"/>
                <w:szCs w:val="16"/>
              </w:rPr>
            </w:pPr>
          </w:p>
        </w:tc>
        <w:tc>
          <w:tcPr>
            <w:tcW w:w="1785" w:type="dxa"/>
          </w:tcPr>
          <w:p w14:paraId="1091E221" w14:textId="77777777" w:rsidR="00D4105E" w:rsidRPr="00E14102" w:rsidRDefault="00D4105E" w:rsidP="00E14102">
            <w:pPr>
              <w:autoSpaceDE w:val="0"/>
              <w:autoSpaceDN w:val="0"/>
              <w:adjustRightInd w:val="0"/>
              <w:jc w:val="both"/>
              <w:rPr>
                <w:color w:val="000000" w:themeColor="text1"/>
                <w:sz w:val="16"/>
                <w:szCs w:val="16"/>
              </w:rPr>
            </w:pPr>
          </w:p>
        </w:tc>
        <w:tc>
          <w:tcPr>
            <w:tcW w:w="1785" w:type="dxa"/>
          </w:tcPr>
          <w:p w14:paraId="479CD1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w:t>
            </w:r>
          </w:p>
        </w:tc>
        <w:tc>
          <w:tcPr>
            <w:tcW w:w="3375" w:type="dxa"/>
          </w:tcPr>
          <w:p w14:paraId="66276A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w:t>
            </w:r>
          </w:p>
        </w:tc>
      </w:tr>
      <w:tr w:rsidR="00E3599D" w:rsidRPr="00E14102" w14:paraId="6E526C67" w14:textId="77777777">
        <w:tc>
          <w:tcPr>
            <w:tcW w:w="4077" w:type="dxa"/>
          </w:tcPr>
          <w:p w14:paraId="39A362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И-15 доводка, окончание испытаний и доводки</w:t>
            </w:r>
          </w:p>
        </w:tc>
        <w:tc>
          <w:tcPr>
            <w:tcW w:w="1785" w:type="dxa"/>
          </w:tcPr>
          <w:p w14:paraId="4C02C5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01.02.34</w:t>
            </w:r>
          </w:p>
        </w:tc>
        <w:tc>
          <w:tcPr>
            <w:tcW w:w="1785" w:type="dxa"/>
          </w:tcPr>
          <w:p w14:paraId="216E5F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02.34</w:t>
            </w:r>
          </w:p>
        </w:tc>
        <w:tc>
          <w:tcPr>
            <w:tcW w:w="3375" w:type="dxa"/>
          </w:tcPr>
          <w:p w14:paraId="224C90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05.34 (испытания проходили совместно)</w:t>
            </w:r>
          </w:p>
        </w:tc>
      </w:tr>
      <w:tr w:rsidR="00E3599D" w:rsidRPr="00E14102" w14:paraId="4EE03A47" w14:textId="77777777">
        <w:tc>
          <w:tcPr>
            <w:tcW w:w="4077" w:type="dxa"/>
          </w:tcPr>
          <w:p w14:paraId="6B159C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И-16 М-22 - то же</w:t>
            </w:r>
          </w:p>
        </w:tc>
        <w:tc>
          <w:tcPr>
            <w:tcW w:w="1785" w:type="dxa"/>
          </w:tcPr>
          <w:p w14:paraId="37325D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01.03.34</w:t>
            </w:r>
          </w:p>
        </w:tc>
        <w:tc>
          <w:tcPr>
            <w:tcW w:w="1785" w:type="dxa"/>
          </w:tcPr>
          <w:p w14:paraId="22477D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02.34</w:t>
            </w:r>
          </w:p>
        </w:tc>
        <w:tc>
          <w:tcPr>
            <w:tcW w:w="3375" w:type="dxa"/>
          </w:tcPr>
          <w:p w14:paraId="2B96AF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03.34</w:t>
            </w:r>
          </w:p>
        </w:tc>
      </w:tr>
      <w:tr w:rsidR="00E3599D" w:rsidRPr="00E14102" w14:paraId="42D28EDA" w14:textId="77777777">
        <w:tc>
          <w:tcPr>
            <w:tcW w:w="4077" w:type="dxa"/>
          </w:tcPr>
          <w:p w14:paraId="0B2889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И-16 РЦ - то же</w:t>
            </w:r>
          </w:p>
        </w:tc>
        <w:tc>
          <w:tcPr>
            <w:tcW w:w="1785" w:type="dxa"/>
          </w:tcPr>
          <w:p w14:paraId="2D20F6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01.03.34</w:t>
            </w:r>
          </w:p>
        </w:tc>
        <w:tc>
          <w:tcPr>
            <w:tcW w:w="1785" w:type="dxa"/>
          </w:tcPr>
          <w:p w14:paraId="64A7F0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02.34</w:t>
            </w:r>
          </w:p>
        </w:tc>
        <w:tc>
          <w:tcPr>
            <w:tcW w:w="3375" w:type="dxa"/>
          </w:tcPr>
          <w:p w14:paraId="19C558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03.34</w:t>
            </w:r>
          </w:p>
        </w:tc>
      </w:tr>
      <w:tr w:rsidR="00E3599D" w:rsidRPr="00E14102" w14:paraId="7DF8296A" w14:textId="77777777">
        <w:tc>
          <w:tcPr>
            <w:tcW w:w="4077" w:type="dxa"/>
          </w:tcPr>
          <w:p w14:paraId="22BF29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ЛР М-34 - то же</w:t>
            </w:r>
          </w:p>
        </w:tc>
        <w:tc>
          <w:tcPr>
            <w:tcW w:w="1785" w:type="dxa"/>
          </w:tcPr>
          <w:p w14:paraId="1A9961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785" w:type="dxa"/>
          </w:tcPr>
          <w:p w14:paraId="09432F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12.33</w:t>
            </w:r>
          </w:p>
        </w:tc>
        <w:tc>
          <w:tcPr>
            <w:tcW w:w="3375" w:type="dxa"/>
          </w:tcPr>
          <w:p w14:paraId="717DB0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6DFBF0C2" w14:textId="77777777">
        <w:tc>
          <w:tcPr>
            <w:tcW w:w="4077" w:type="dxa"/>
          </w:tcPr>
          <w:p w14:paraId="3459BA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ЛР М-34Н установка мотора с Н, исп. и доводки</w:t>
            </w:r>
          </w:p>
        </w:tc>
        <w:tc>
          <w:tcPr>
            <w:tcW w:w="1785" w:type="dxa"/>
          </w:tcPr>
          <w:p w14:paraId="7160F9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01.08.34</w:t>
            </w:r>
          </w:p>
        </w:tc>
        <w:tc>
          <w:tcPr>
            <w:tcW w:w="1785" w:type="dxa"/>
          </w:tcPr>
          <w:p w14:paraId="304173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06.34</w:t>
            </w:r>
          </w:p>
        </w:tc>
        <w:tc>
          <w:tcPr>
            <w:tcW w:w="3375" w:type="dxa"/>
          </w:tcPr>
          <w:p w14:paraId="59F6D9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09.34</w:t>
            </w:r>
          </w:p>
        </w:tc>
      </w:tr>
      <w:tr w:rsidR="00E3599D" w:rsidRPr="00E14102" w14:paraId="5846A6F9" w14:textId="77777777">
        <w:tc>
          <w:tcPr>
            <w:tcW w:w="4077" w:type="dxa"/>
          </w:tcPr>
          <w:p w14:paraId="755037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ДИ-6 достройка, испытание, доводки</w:t>
            </w:r>
          </w:p>
        </w:tc>
        <w:tc>
          <w:tcPr>
            <w:tcW w:w="1785" w:type="dxa"/>
          </w:tcPr>
          <w:p w14:paraId="217731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01.09.34</w:t>
            </w:r>
          </w:p>
        </w:tc>
        <w:tc>
          <w:tcPr>
            <w:tcW w:w="1785" w:type="dxa"/>
          </w:tcPr>
          <w:p w14:paraId="74BFD9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09.34</w:t>
            </w:r>
          </w:p>
        </w:tc>
        <w:tc>
          <w:tcPr>
            <w:tcW w:w="3375" w:type="dxa"/>
          </w:tcPr>
          <w:p w14:paraId="7F0405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12.34 (предварительные)</w:t>
            </w:r>
          </w:p>
        </w:tc>
      </w:tr>
      <w:tr w:rsidR="00E3599D" w:rsidRPr="00E14102" w14:paraId="32930051" w14:textId="77777777">
        <w:tc>
          <w:tcPr>
            <w:tcW w:w="4077" w:type="dxa"/>
          </w:tcPr>
          <w:p w14:paraId="298077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ТШ-3 М-34 достройка, испытание, доводка</w:t>
            </w:r>
          </w:p>
        </w:tc>
        <w:tc>
          <w:tcPr>
            <w:tcW w:w="1785" w:type="dxa"/>
          </w:tcPr>
          <w:p w14:paraId="40714E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01.11.34</w:t>
            </w:r>
          </w:p>
        </w:tc>
        <w:tc>
          <w:tcPr>
            <w:tcW w:w="1785" w:type="dxa"/>
          </w:tcPr>
          <w:p w14:paraId="55EA25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02.35</w:t>
            </w:r>
          </w:p>
        </w:tc>
        <w:tc>
          <w:tcPr>
            <w:tcW w:w="3375" w:type="dxa"/>
          </w:tcPr>
          <w:p w14:paraId="12BB32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01.06.35 (задержка из-за изменения числа пулеметов)</w:t>
            </w:r>
          </w:p>
        </w:tc>
      </w:tr>
      <w:tr w:rsidR="00E3599D" w:rsidRPr="00E14102" w14:paraId="5B3C9C14" w14:textId="77777777">
        <w:tc>
          <w:tcPr>
            <w:tcW w:w="4077" w:type="dxa"/>
          </w:tcPr>
          <w:p w14:paraId="4C8000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ДИ-6 2-й</w:t>
            </w:r>
          </w:p>
        </w:tc>
        <w:tc>
          <w:tcPr>
            <w:tcW w:w="1785" w:type="dxa"/>
          </w:tcPr>
          <w:p w14:paraId="659F85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01.12.34</w:t>
            </w:r>
          </w:p>
        </w:tc>
        <w:tc>
          <w:tcPr>
            <w:tcW w:w="1785" w:type="dxa"/>
          </w:tcPr>
          <w:p w14:paraId="33DD64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3375" w:type="dxa"/>
          </w:tcPr>
          <w:p w14:paraId="4F67C6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01.05.35</w:t>
            </w:r>
          </w:p>
        </w:tc>
      </w:tr>
      <w:tr w:rsidR="00E3599D" w:rsidRPr="00E14102" w14:paraId="05D4B753" w14:textId="77777777">
        <w:tc>
          <w:tcPr>
            <w:tcW w:w="4077" w:type="dxa"/>
          </w:tcPr>
          <w:p w14:paraId="3F3C99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ТШ-3 2-й</w:t>
            </w:r>
          </w:p>
        </w:tc>
        <w:tc>
          <w:tcPr>
            <w:tcW w:w="1785" w:type="dxa"/>
          </w:tcPr>
          <w:p w14:paraId="12EA4A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01.01.35</w:t>
            </w:r>
          </w:p>
        </w:tc>
        <w:tc>
          <w:tcPr>
            <w:tcW w:w="1785" w:type="dxa"/>
          </w:tcPr>
          <w:p w14:paraId="4139FB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3375" w:type="dxa"/>
          </w:tcPr>
          <w:p w14:paraId="687905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01.06.35</w:t>
            </w:r>
          </w:p>
        </w:tc>
      </w:tr>
      <w:tr w:rsidR="00E3599D" w:rsidRPr="00E14102" w14:paraId="7DCC6705" w14:textId="77777777">
        <w:tc>
          <w:tcPr>
            <w:tcW w:w="4077" w:type="dxa"/>
          </w:tcPr>
          <w:p w14:paraId="4C89AA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И-17 ИС</w:t>
            </w:r>
          </w:p>
        </w:tc>
        <w:tc>
          <w:tcPr>
            <w:tcW w:w="1785" w:type="dxa"/>
          </w:tcPr>
          <w:p w14:paraId="5871A2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01.12.34</w:t>
            </w:r>
          </w:p>
        </w:tc>
        <w:tc>
          <w:tcPr>
            <w:tcW w:w="1785" w:type="dxa"/>
          </w:tcPr>
          <w:p w14:paraId="1A8036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3375" w:type="dxa"/>
          </w:tcPr>
          <w:p w14:paraId="43ADCE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6228A4E" w14:textId="77777777">
        <w:tc>
          <w:tcPr>
            <w:tcW w:w="4077" w:type="dxa"/>
          </w:tcPr>
          <w:p w14:paraId="25992B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11. И-17 ИС</w:t>
            </w:r>
          </w:p>
        </w:tc>
        <w:tc>
          <w:tcPr>
            <w:tcW w:w="1785" w:type="dxa"/>
          </w:tcPr>
          <w:p w14:paraId="002B2F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785" w:type="dxa"/>
          </w:tcPr>
          <w:p w14:paraId="13CB33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01.06.35</w:t>
            </w:r>
          </w:p>
        </w:tc>
        <w:tc>
          <w:tcPr>
            <w:tcW w:w="3375" w:type="dxa"/>
          </w:tcPr>
          <w:p w14:paraId="758EE6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01.08.35</w:t>
            </w:r>
          </w:p>
        </w:tc>
      </w:tr>
      <w:tr w:rsidR="00E3599D" w:rsidRPr="00E14102" w14:paraId="2F87423E" w14:textId="77777777">
        <w:tc>
          <w:tcPr>
            <w:tcW w:w="4077" w:type="dxa"/>
          </w:tcPr>
          <w:p w14:paraId="762092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Работы по заводу 35</w:t>
            </w:r>
          </w:p>
        </w:tc>
        <w:tc>
          <w:tcPr>
            <w:tcW w:w="1785" w:type="dxa"/>
          </w:tcPr>
          <w:p w14:paraId="5AA2F83F" w14:textId="77777777" w:rsidR="00D4105E" w:rsidRPr="00E14102" w:rsidRDefault="00D4105E" w:rsidP="00E14102">
            <w:pPr>
              <w:autoSpaceDE w:val="0"/>
              <w:autoSpaceDN w:val="0"/>
              <w:adjustRightInd w:val="0"/>
              <w:jc w:val="both"/>
              <w:rPr>
                <w:color w:val="000000" w:themeColor="text1"/>
                <w:sz w:val="16"/>
                <w:szCs w:val="16"/>
              </w:rPr>
            </w:pPr>
          </w:p>
        </w:tc>
        <w:tc>
          <w:tcPr>
            <w:tcW w:w="1785" w:type="dxa"/>
          </w:tcPr>
          <w:p w14:paraId="391A7E9A" w14:textId="77777777" w:rsidR="00D4105E" w:rsidRPr="00E14102" w:rsidRDefault="00D4105E" w:rsidP="00E14102">
            <w:pPr>
              <w:autoSpaceDE w:val="0"/>
              <w:autoSpaceDN w:val="0"/>
              <w:adjustRightInd w:val="0"/>
              <w:jc w:val="both"/>
              <w:rPr>
                <w:color w:val="000000" w:themeColor="text1"/>
                <w:sz w:val="16"/>
                <w:szCs w:val="16"/>
              </w:rPr>
            </w:pPr>
          </w:p>
        </w:tc>
        <w:tc>
          <w:tcPr>
            <w:tcW w:w="3375" w:type="dxa"/>
          </w:tcPr>
          <w:p w14:paraId="48779B2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59F5DF3" w14:textId="77777777">
        <w:tc>
          <w:tcPr>
            <w:tcW w:w="4077" w:type="dxa"/>
          </w:tcPr>
          <w:p w14:paraId="730504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Работы по заводу 31</w:t>
            </w:r>
          </w:p>
        </w:tc>
        <w:tc>
          <w:tcPr>
            <w:tcW w:w="1785" w:type="dxa"/>
          </w:tcPr>
          <w:p w14:paraId="2290B3D1" w14:textId="77777777" w:rsidR="00D4105E" w:rsidRPr="00E14102" w:rsidRDefault="00D4105E" w:rsidP="00E14102">
            <w:pPr>
              <w:autoSpaceDE w:val="0"/>
              <w:autoSpaceDN w:val="0"/>
              <w:adjustRightInd w:val="0"/>
              <w:jc w:val="both"/>
              <w:rPr>
                <w:color w:val="000000" w:themeColor="text1"/>
                <w:sz w:val="16"/>
                <w:szCs w:val="16"/>
              </w:rPr>
            </w:pPr>
          </w:p>
        </w:tc>
        <w:tc>
          <w:tcPr>
            <w:tcW w:w="1785" w:type="dxa"/>
          </w:tcPr>
          <w:p w14:paraId="244F2C79" w14:textId="77777777" w:rsidR="00D4105E" w:rsidRPr="00E14102" w:rsidRDefault="00D4105E" w:rsidP="00E14102">
            <w:pPr>
              <w:autoSpaceDE w:val="0"/>
              <w:autoSpaceDN w:val="0"/>
              <w:adjustRightInd w:val="0"/>
              <w:jc w:val="both"/>
              <w:rPr>
                <w:color w:val="000000" w:themeColor="text1"/>
                <w:sz w:val="16"/>
                <w:szCs w:val="16"/>
              </w:rPr>
            </w:pPr>
          </w:p>
        </w:tc>
        <w:tc>
          <w:tcPr>
            <w:tcW w:w="3375" w:type="dxa"/>
          </w:tcPr>
          <w:p w14:paraId="0C69E5B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9F515F1" w14:textId="77777777">
        <w:tc>
          <w:tcPr>
            <w:tcW w:w="4077" w:type="dxa"/>
          </w:tcPr>
          <w:p w14:paraId="5DE408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Постройка Р-5 Рафаэлянца в срок</w:t>
            </w:r>
          </w:p>
        </w:tc>
        <w:tc>
          <w:tcPr>
            <w:tcW w:w="1785" w:type="dxa"/>
          </w:tcPr>
          <w:p w14:paraId="1022F1B9" w14:textId="77777777" w:rsidR="00D4105E" w:rsidRPr="00E14102" w:rsidRDefault="00D4105E" w:rsidP="00E14102">
            <w:pPr>
              <w:autoSpaceDE w:val="0"/>
              <w:autoSpaceDN w:val="0"/>
              <w:adjustRightInd w:val="0"/>
              <w:jc w:val="both"/>
              <w:rPr>
                <w:color w:val="000000" w:themeColor="text1"/>
                <w:sz w:val="16"/>
                <w:szCs w:val="16"/>
              </w:rPr>
            </w:pPr>
          </w:p>
        </w:tc>
        <w:tc>
          <w:tcPr>
            <w:tcW w:w="1785" w:type="dxa"/>
          </w:tcPr>
          <w:p w14:paraId="279FF052" w14:textId="77777777" w:rsidR="00D4105E" w:rsidRPr="00E14102" w:rsidRDefault="00D4105E" w:rsidP="00E14102">
            <w:pPr>
              <w:autoSpaceDE w:val="0"/>
              <w:autoSpaceDN w:val="0"/>
              <w:adjustRightInd w:val="0"/>
              <w:jc w:val="both"/>
              <w:rPr>
                <w:color w:val="000000" w:themeColor="text1"/>
                <w:sz w:val="16"/>
                <w:szCs w:val="16"/>
              </w:rPr>
            </w:pPr>
          </w:p>
        </w:tc>
        <w:tc>
          <w:tcPr>
            <w:tcW w:w="3375" w:type="dxa"/>
          </w:tcPr>
          <w:p w14:paraId="3DD3306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C820E28" w14:textId="77777777">
        <w:tc>
          <w:tcPr>
            <w:tcW w:w="4077" w:type="dxa"/>
            <w:tcBorders>
              <w:bottom w:val="single" w:sz="12" w:space="0" w:color="auto"/>
            </w:tcBorders>
          </w:tcPr>
          <w:p w14:paraId="7A57AA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Установка и испытание лыж МБР-2 в срок (2336,56)</w:t>
            </w:r>
          </w:p>
        </w:tc>
        <w:tc>
          <w:tcPr>
            <w:tcW w:w="1785" w:type="dxa"/>
            <w:tcBorders>
              <w:bottom w:val="single" w:sz="12" w:space="0" w:color="auto"/>
            </w:tcBorders>
          </w:tcPr>
          <w:p w14:paraId="103B6673" w14:textId="77777777" w:rsidR="00D4105E" w:rsidRPr="00E14102" w:rsidRDefault="00D4105E" w:rsidP="00E14102">
            <w:pPr>
              <w:autoSpaceDE w:val="0"/>
              <w:autoSpaceDN w:val="0"/>
              <w:adjustRightInd w:val="0"/>
              <w:jc w:val="both"/>
              <w:rPr>
                <w:color w:val="000000" w:themeColor="text1"/>
                <w:sz w:val="16"/>
                <w:szCs w:val="16"/>
              </w:rPr>
            </w:pPr>
          </w:p>
        </w:tc>
        <w:tc>
          <w:tcPr>
            <w:tcW w:w="1785" w:type="dxa"/>
            <w:tcBorders>
              <w:bottom w:val="single" w:sz="12" w:space="0" w:color="auto"/>
            </w:tcBorders>
          </w:tcPr>
          <w:p w14:paraId="51D5F4DC" w14:textId="77777777" w:rsidR="00D4105E" w:rsidRPr="00E14102" w:rsidRDefault="00D4105E" w:rsidP="00E14102">
            <w:pPr>
              <w:autoSpaceDE w:val="0"/>
              <w:autoSpaceDN w:val="0"/>
              <w:adjustRightInd w:val="0"/>
              <w:jc w:val="both"/>
              <w:rPr>
                <w:color w:val="000000" w:themeColor="text1"/>
                <w:sz w:val="16"/>
                <w:szCs w:val="16"/>
              </w:rPr>
            </w:pPr>
          </w:p>
        </w:tc>
        <w:tc>
          <w:tcPr>
            <w:tcW w:w="3375" w:type="dxa"/>
            <w:tcBorders>
              <w:bottom w:val="single" w:sz="12" w:space="0" w:color="auto"/>
            </w:tcBorders>
          </w:tcPr>
          <w:p w14:paraId="181F86C6" w14:textId="77777777" w:rsidR="00D4105E" w:rsidRPr="00E14102" w:rsidRDefault="00D4105E" w:rsidP="00E14102">
            <w:pPr>
              <w:autoSpaceDE w:val="0"/>
              <w:autoSpaceDN w:val="0"/>
              <w:adjustRightInd w:val="0"/>
              <w:jc w:val="both"/>
              <w:rPr>
                <w:color w:val="000000" w:themeColor="text1"/>
                <w:sz w:val="16"/>
                <w:szCs w:val="16"/>
              </w:rPr>
            </w:pPr>
          </w:p>
        </w:tc>
      </w:tr>
    </w:tbl>
    <w:p w14:paraId="7465DF28" w14:textId="77777777" w:rsidR="00D4105E" w:rsidRPr="00E14102" w:rsidRDefault="00D4105E" w:rsidP="00E14102">
      <w:pPr>
        <w:autoSpaceDE w:val="0"/>
        <w:autoSpaceDN w:val="0"/>
        <w:adjustRightInd w:val="0"/>
        <w:jc w:val="both"/>
        <w:rPr>
          <w:iCs/>
          <w:color w:val="000000" w:themeColor="text1"/>
          <w:sz w:val="16"/>
          <w:szCs w:val="16"/>
        </w:rPr>
      </w:pPr>
    </w:p>
    <w:p w14:paraId="032EFE71" w14:textId="77777777" w:rsidR="00696714" w:rsidRPr="00E14102" w:rsidRDefault="00696714" w:rsidP="00E14102">
      <w:pPr>
        <w:pStyle w:val="rtejustify"/>
        <w:spacing w:before="0" w:after="0"/>
        <w:rPr>
          <w:color w:val="000000" w:themeColor="text1"/>
          <w:sz w:val="16"/>
          <w:szCs w:val="16"/>
        </w:rPr>
      </w:pPr>
      <w:r w:rsidRPr="00E14102">
        <w:rPr>
          <w:rStyle w:val="a6"/>
          <w:bCs/>
          <w:i w:val="0"/>
          <w:color w:val="000000" w:themeColor="text1"/>
          <w:sz w:val="16"/>
          <w:szCs w:val="16"/>
        </w:rPr>
        <w:t>2 февраля 1935 вышел приказ НКО №</w:t>
      </w:r>
      <w:r w:rsidRPr="00E14102">
        <w:rPr>
          <w:color w:val="000000" w:themeColor="text1"/>
          <w:sz w:val="16"/>
          <w:szCs w:val="16"/>
        </w:rPr>
        <w:t> 016. О проведении совместных испытаний ВС ЛВО и АНИИ РККА по обеспечению боевого применения новых средств авиационного вооружения в РККА (15247).</w:t>
      </w:r>
    </w:p>
    <w:p w14:paraId="3CE3E0BC" w14:textId="77777777" w:rsidR="00696714" w:rsidRPr="00E14102" w:rsidRDefault="00696714" w:rsidP="00E14102">
      <w:pPr>
        <w:pStyle w:val="rtejustify"/>
        <w:spacing w:before="0" w:after="0"/>
        <w:rPr>
          <w:color w:val="000000" w:themeColor="text1"/>
          <w:sz w:val="16"/>
          <w:szCs w:val="16"/>
        </w:rPr>
      </w:pPr>
    </w:p>
    <w:p w14:paraId="0D31622C" w14:textId="77777777" w:rsidR="00696714" w:rsidRPr="00E14102" w:rsidRDefault="00696714" w:rsidP="00E14102">
      <w:pPr>
        <w:pStyle w:val="rtejustify"/>
        <w:spacing w:before="0" w:after="0"/>
        <w:rPr>
          <w:color w:val="000000" w:themeColor="text1"/>
          <w:sz w:val="16"/>
          <w:szCs w:val="16"/>
        </w:rPr>
      </w:pPr>
      <w:r w:rsidRPr="00E14102">
        <w:rPr>
          <w:rStyle w:val="a6"/>
          <w:bCs/>
          <w:i w:val="0"/>
          <w:color w:val="000000" w:themeColor="text1"/>
          <w:sz w:val="16"/>
          <w:szCs w:val="16"/>
        </w:rPr>
        <w:t>2 февраля 1935 вышел приказ НКО №</w:t>
      </w:r>
      <w:r w:rsidRPr="00E14102">
        <w:rPr>
          <w:color w:val="000000" w:themeColor="text1"/>
          <w:sz w:val="16"/>
          <w:szCs w:val="16"/>
        </w:rPr>
        <w:t> 017. О производстве войсковых испытаний фотобомб 0</w:t>
      </w:r>
      <w:r w:rsidRPr="00E14102">
        <w:rPr>
          <w:color w:val="000000" w:themeColor="text1"/>
          <w:sz w:val="16"/>
          <w:szCs w:val="16"/>
        </w:rPr>
        <w:noBreakHyphen/>
        <w:t>15 (15247).</w:t>
      </w:r>
    </w:p>
    <w:p w14:paraId="3A8FDC3F" w14:textId="77777777" w:rsidR="00696714" w:rsidRPr="00E14102" w:rsidRDefault="00696714" w:rsidP="00E14102">
      <w:pPr>
        <w:pStyle w:val="rtejustify"/>
        <w:spacing w:before="0" w:after="0"/>
        <w:rPr>
          <w:color w:val="000000" w:themeColor="text1"/>
          <w:sz w:val="16"/>
          <w:szCs w:val="16"/>
        </w:rPr>
      </w:pPr>
    </w:p>
    <w:p w14:paraId="3C012172" w14:textId="77777777" w:rsidR="0069671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26CF3F9" w14:textId="77777777" w:rsidR="00696714" w:rsidRPr="00E14102" w:rsidRDefault="00696714" w:rsidP="00E14102">
      <w:pPr>
        <w:autoSpaceDE w:val="0"/>
        <w:autoSpaceDN w:val="0"/>
        <w:adjustRightInd w:val="0"/>
        <w:jc w:val="both"/>
        <w:rPr>
          <w:iCs/>
          <w:color w:val="000000" w:themeColor="text1"/>
          <w:sz w:val="16"/>
          <w:szCs w:val="16"/>
        </w:rPr>
      </w:pPr>
    </w:p>
    <w:p w14:paraId="78D85DF6" w14:textId="77777777" w:rsidR="00696714" w:rsidRPr="00E14102" w:rsidRDefault="00696714" w:rsidP="00E14102">
      <w:pPr>
        <w:jc w:val="both"/>
        <w:rPr>
          <w:color w:val="000000" w:themeColor="text1"/>
          <w:sz w:val="16"/>
          <w:szCs w:val="16"/>
        </w:rPr>
      </w:pPr>
      <w:r w:rsidRPr="00E14102">
        <w:rPr>
          <w:bCs/>
          <w:color w:val="000000" w:themeColor="text1"/>
          <w:sz w:val="16"/>
          <w:szCs w:val="16"/>
        </w:rPr>
        <w:t>2 февраля</w:t>
      </w:r>
      <w:r w:rsidRPr="00E14102">
        <w:rPr>
          <w:color w:val="000000" w:themeColor="text1"/>
          <w:sz w:val="16"/>
          <w:szCs w:val="16"/>
        </w:rPr>
        <w:t xml:space="preserve"> в 1935 году полиграф, или детектор лжи, был принципиально разработан еще в конце XIX века, причем авторство идеи приписывается многим людям. В этом году он нашел первое практическое применение в США, когда усовершенствованный прибор детектива Леонарда Килера был использован во время процесса над двумя преступниками и его показания послужили доказательством их вины (15028).</w:t>
      </w:r>
    </w:p>
    <w:p w14:paraId="1F99A3A6" w14:textId="77777777" w:rsidR="00696714" w:rsidRPr="00E14102" w:rsidRDefault="00696714" w:rsidP="00E14102">
      <w:pPr>
        <w:jc w:val="both"/>
        <w:rPr>
          <w:color w:val="000000" w:themeColor="text1"/>
          <w:sz w:val="16"/>
          <w:szCs w:val="16"/>
        </w:rPr>
      </w:pPr>
    </w:p>
    <w:p w14:paraId="6427E5C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9A5FDC5" w14:textId="77777777" w:rsidR="00D4105E" w:rsidRPr="00E14102" w:rsidRDefault="00D4105E" w:rsidP="00E14102">
      <w:pPr>
        <w:autoSpaceDE w:val="0"/>
        <w:autoSpaceDN w:val="0"/>
        <w:adjustRightInd w:val="0"/>
        <w:jc w:val="both"/>
        <w:rPr>
          <w:iCs/>
          <w:color w:val="000000" w:themeColor="text1"/>
          <w:sz w:val="16"/>
          <w:szCs w:val="16"/>
        </w:rPr>
      </w:pPr>
    </w:p>
    <w:p w14:paraId="200554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февраля 1935 Нач. моторного отдела Алмазов писал Нач. ЦИАМ Беляевскому (копия: дир. завода 22 и Нач. опытного сектора Самолетного отдела) письмо N 46/19:</w:t>
      </w:r>
    </w:p>
    <w:p w14:paraId="07893A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директивой Правительства и распоряжением Нач. ГУАП Королева Вам надлежит к 1 марта с.г. обеспечить самолет ТБ-3 4 моторами М-34ФРН, годными для летных испытаний.</w:t>
      </w:r>
    </w:p>
    <w:p w14:paraId="369630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Поэтому просим всю работу перестроить у себя так, чтобы названные моторы к указанному сроку было переданы заводу 22 в годном для полетов состоянии.</w:t>
      </w:r>
    </w:p>
    <w:p w14:paraId="3ADBA6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просим изготовить к 15 февраля с.г. один макет мотора М-34ФРН и немедленно отправить его на завод 22 для проведения подготовительных работ по установке мотора на самолет.</w:t>
      </w:r>
    </w:p>
    <w:p w14:paraId="178E8D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 исполнении просим поставить нас в известность," (2343,200).</w:t>
      </w:r>
    </w:p>
    <w:p w14:paraId="52D2B421" w14:textId="77777777" w:rsidR="00D4105E" w:rsidRPr="00E14102" w:rsidRDefault="00D4105E" w:rsidP="00E14102">
      <w:pPr>
        <w:autoSpaceDE w:val="0"/>
        <w:autoSpaceDN w:val="0"/>
        <w:adjustRightInd w:val="0"/>
        <w:jc w:val="both"/>
        <w:rPr>
          <w:color w:val="000000" w:themeColor="text1"/>
          <w:sz w:val="16"/>
          <w:szCs w:val="16"/>
        </w:rPr>
      </w:pPr>
    </w:p>
    <w:p w14:paraId="785533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февраля 1935 АНТ-29 ДИП-1 был направлен на аэродром для испытаний (2072,76).</w:t>
      </w:r>
    </w:p>
    <w:p w14:paraId="77A2A37A" w14:textId="77777777" w:rsidR="00D4105E" w:rsidRPr="00E14102" w:rsidRDefault="00D4105E" w:rsidP="00E14102">
      <w:pPr>
        <w:autoSpaceDE w:val="0"/>
        <w:autoSpaceDN w:val="0"/>
        <w:adjustRightInd w:val="0"/>
        <w:jc w:val="both"/>
        <w:rPr>
          <w:color w:val="000000" w:themeColor="text1"/>
          <w:sz w:val="16"/>
          <w:szCs w:val="16"/>
        </w:rPr>
      </w:pPr>
    </w:p>
    <w:p w14:paraId="3566793B" w14:textId="77777777" w:rsidR="00FF0E2E" w:rsidRPr="00E14102" w:rsidRDefault="00FF0E2E"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3 февраля 1935 года готовый самолет ДИП 2М-100 передали в ОЭЛИД ЦАГИ для заводских испытаний. После проведения подготовительных работ, 14 февраля 1935 года летчик-испытатель Н. П. Благин впервые поднял самолет в воздух. Первый полет выявил невозможность балансировки самолета, необходимость увеличения площади руля поворота и большие нагрузки на элеронах. В течение десяти дней эти недостатки путем доработок были устранены. До середины марта выполнили еще три полета, после чего с самолета сняли моторы для установки на самолет 40-</w:t>
      </w:r>
      <w:r w:rsidRPr="00E14102">
        <w:rPr>
          <w:rFonts w:ascii="Times New Roman" w:hAnsi="Times New Roman" w:cs="Times New Roman"/>
          <w:color w:val="000000" w:themeColor="text1"/>
          <w:sz w:val="16"/>
          <w:szCs w:val="16"/>
        </w:rPr>
        <w:t>II</w:t>
      </w:r>
      <w:r w:rsidRPr="00E14102">
        <w:rPr>
          <w:rFonts w:ascii="Times New Roman" w:hAnsi="Times New Roman" w:cs="Times New Roman"/>
          <w:color w:val="000000" w:themeColor="text1"/>
          <w:sz w:val="16"/>
          <w:szCs w:val="16"/>
          <w:lang w:val="ru-RU"/>
        </w:rPr>
        <w:t>, а ДИП перевезли в ЗОК для доработок (19175).</w:t>
      </w:r>
    </w:p>
    <w:p w14:paraId="3745944A" w14:textId="77777777" w:rsidR="00FF0E2E" w:rsidRPr="00E14102" w:rsidRDefault="00FF0E2E"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0356BC25" w14:textId="77777777" w:rsidR="00696714" w:rsidRPr="00E14102" w:rsidRDefault="00696714" w:rsidP="00E14102">
      <w:pPr>
        <w:autoSpaceDE w:val="0"/>
        <w:autoSpaceDN w:val="0"/>
        <w:adjustRightInd w:val="0"/>
        <w:jc w:val="both"/>
        <w:rPr>
          <w:color w:val="000000" w:themeColor="text1"/>
          <w:sz w:val="16"/>
          <w:szCs w:val="16"/>
        </w:rPr>
      </w:pPr>
      <w:r w:rsidRPr="00E14102">
        <w:rPr>
          <w:color w:val="000000" w:themeColor="text1"/>
          <w:sz w:val="16"/>
          <w:szCs w:val="16"/>
        </w:rPr>
        <w:t>3 февраля 1935 г. цельнометаллический истребитель-моноплан с двумя моторами М-100 вышел на заводские испытания. Поднимал машину в воздух летчик-испытатель Н.Благин, известный впоследствии как виновник гибели самолета “Максим Горький” (он исполнял “мертвую петлю” вокруг крыла).</w:t>
      </w:r>
    </w:p>
    <w:p w14:paraId="317C8214" w14:textId="77777777" w:rsidR="00696714" w:rsidRPr="00E14102" w:rsidRDefault="00696714" w:rsidP="00E14102">
      <w:pPr>
        <w:autoSpaceDE w:val="0"/>
        <w:autoSpaceDN w:val="0"/>
        <w:adjustRightInd w:val="0"/>
        <w:jc w:val="both"/>
        <w:rPr>
          <w:color w:val="000000" w:themeColor="text1"/>
          <w:sz w:val="16"/>
          <w:szCs w:val="16"/>
        </w:rPr>
      </w:pPr>
      <w:r w:rsidRPr="00E14102">
        <w:rPr>
          <w:color w:val="000000" w:themeColor="text1"/>
          <w:sz w:val="16"/>
          <w:szCs w:val="16"/>
        </w:rPr>
        <w:t>В процессе испытаний было выявлено значительное количество дефектов, и, в частности, неудовлетворительную оценку получили силовая установка и оперение самолета.</w:t>
      </w:r>
    </w:p>
    <w:p w14:paraId="1096FA4E" w14:textId="77777777" w:rsidR="00696714" w:rsidRPr="00E14102" w:rsidRDefault="00696714" w:rsidP="00E14102">
      <w:pPr>
        <w:autoSpaceDE w:val="0"/>
        <w:autoSpaceDN w:val="0"/>
        <w:adjustRightInd w:val="0"/>
        <w:jc w:val="both"/>
        <w:rPr>
          <w:iCs/>
          <w:color w:val="000000" w:themeColor="text1"/>
          <w:sz w:val="16"/>
          <w:szCs w:val="16"/>
        </w:rPr>
      </w:pPr>
    </w:p>
    <w:p w14:paraId="0B0D4F4A" w14:textId="77777777" w:rsidR="00696714" w:rsidRPr="00E14102" w:rsidRDefault="00696714" w:rsidP="00E14102">
      <w:pPr>
        <w:jc w:val="both"/>
        <w:rPr>
          <w:color w:val="000000" w:themeColor="text1"/>
          <w:sz w:val="16"/>
          <w:szCs w:val="16"/>
        </w:rPr>
      </w:pPr>
      <w:r w:rsidRPr="00E14102">
        <w:rPr>
          <w:color w:val="000000" w:themeColor="text1"/>
          <w:sz w:val="16"/>
          <w:szCs w:val="16"/>
        </w:rPr>
        <w:t>3 февраля 1935 г. готовый самолёт ДИП 2М-100 передали в ОЭЛИД ЦАГИ для заво</w:t>
      </w:r>
      <w:r w:rsidRPr="00E14102">
        <w:rPr>
          <w:color w:val="000000" w:themeColor="text1"/>
          <w:sz w:val="16"/>
          <w:szCs w:val="16"/>
        </w:rPr>
        <w:softHyphen/>
        <w:t>дских испытаний. После проведения подготовительных работ 14 февраля 1935 г. лётчик- испытатель Н.П. Благин впервые поднял машину в воздух. Первый полёт выявил невоз</w:t>
      </w:r>
      <w:r w:rsidRPr="00E14102">
        <w:rPr>
          <w:color w:val="000000" w:themeColor="text1"/>
          <w:sz w:val="16"/>
          <w:szCs w:val="16"/>
        </w:rPr>
        <w:softHyphen/>
        <w:t>можность балансировки самолёта, необходимость увеличения площади руля поворота и большие нагрузки на элеронах. В течение десяти дней эти недостатки, путём доработок устранили. До середины марта выполнили ещё три полёта, после чего с самолёта сняли моторы для установки на самолёт 40-И</w:t>
      </w:r>
      <w:r w:rsidRPr="00E14102">
        <w:rPr>
          <w:color w:val="000000" w:themeColor="text1"/>
          <w:sz w:val="16"/>
          <w:szCs w:val="16"/>
          <w:vertAlign w:val="superscript"/>
        </w:rPr>
        <w:t>5</w:t>
      </w:r>
      <w:r w:rsidRPr="00E14102">
        <w:rPr>
          <w:color w:val="000000" w:themeColor="text1"/>
          <w:sz w:val="16"/>
          <w:szCs w:val="16"/>
        </w:rPr>
        <w:t>, а ДИП перевезли в ЗОК для доработок (15823).</w:t>
      </w:r>
    </w:p>
    <w:p w14:paraId="18A79244" w14:textId="77777777" w:rsidR="00696714" w:rsidRPr="00E14102" w:rsidRDefault="00696714" w:rsidP="00E14102">
      <w:pPr>
        <w:jc w:val="both"/>
        <w:rPr>
          <w:color w:val="000000" w:themeColor="text1"/>
          <w:sz w:val="16"/>
          <w:szCs w:val="16"/>
        </w:rPr>
      </w:pPr>
    </w:p>
    <w:p w14:paraId="6FA300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февраля 1935 года начальник 1 отдела УВС Алексеевский писал письмо N 058.</w:t>
      </w:r>
    </w:p>
    <w:p w14:paraId="5B444D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приказанию нач. УВС при сем препровождаю копию докладной записки зам. наркома обороны Тухачевского о "Химической борьбе с конским транспортом".</w:t>
      </w:r>
    </w:p>
    <w:p w14:paraId="6661F6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[Использование штурмовой авиации]. (3104,112-115).</w:t>
      </w:r>
    </w:p>
    <w:p w14:paraId="574C62C2" w14:textId="77777777" w:rsidR="00D4105E" w:rsidRPr="00E14102" w:rsidRDefault="00D4105E" w:rsidP="00E14102">
      <w:pPr>
        <w:autoSpaceDE w:val="0"/>
        <w:autoSpaceDN w:val="0"/>
        <w:adjustRightInd w:val="0"/>
        <w:jc w:val="both"/>
        <w:rPr>
          <w:color w:val="000000" w:themeColor="text1"/>
          <w:sz w:val="16"/>
          <w:szCs w:val="16"/>
        </w:rPr>
      </w:pPr>
    </w:p>
    <w:p w14:paraId="28757E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февраля 1935 Зам. нач. ГУАП Ермолаев писал письмо N 244/520 дир. завода 28 Мельникову по вопросу "Об изготовлении опытных лыж":</w:t>
      </w:r>
    </w:p>
    <w:p w14:paraId="3E7271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"Настоящим Вам предлагается изготовить опытные лыжи (по одному комплекту) для самолетов И-5, и И-15 конструкции и Лобанова, по черт. и указаниям автора. Лыжи д.б. изготовлены и испытаны в текущем зимнем сезоне..." (2337,91).</w:t>
      </w:r>
    </w:p>
    <w:p w14:paraId="47724F80" w14:textId="77777777" w:rsidR="00D4105E" w:rsidRPr="00E14102" w:rsidRDefault="00D4105E" w:rsidP="00E14102">
      <w:pPr>
        <w:autoSpaceDE w:val="0"/>
        <w:autoSpaceDN w:val="0"/>
        <w:adjustRightInd w:val="0"/>
        <w:jc w:val="both"/>
        <w:rPr>
          <w:color w:val="000000" w:themeColor="text1"/>
          <w:sz w:val="16"/>
          <w:szCs w:val="16"/>
        </w:rPr>
      </w:pPr>
    </w:p>
    <w:p w14:paraId="0760AC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февраля 1935 вышло постановление ГУАП по докладу завода 39 им. Менжинского об итогах хоз. деятельности за 1934.</w:t>
      </w:r>
    </w:p>
    <w:p w14:paraId="22D503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Заслушав доклад ВРИО Директора завода 39 Ю.В.Калганова ГУАП констатирует что:</w:t>
      </w:r>
    </w:p>
    <w:p w14:paraId="60EA0A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План выпуска валовой продукции в неизменных ценах по серийному и опытному производству выполнен на 118%...</w:t>
      </w:r>
    </w:p>
    <w:p w14:paraId="0D9965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Производственное задание по серийному производству выполнено в количестве на 104.4%</w:t>
      </w:r>
    </w:p>
    <w:p w14:paraId="50CAE3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 доработке 8 ТБ-3 - 100%</w:t>
      </w:r>
    </w:p>
    <w:p w14:paraId="1286D7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 выпуску 30 И-15 - 113.3%</w:t>
      </w:r>
    </w:p>
    <w:p w14:paraId="5A0A25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 выпуску 50 И-16 - 100%</w:t>
      </w:r>
    </w:p>
    <w:p w14:paraId="525E06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По опытному производству закончены постройкой и прошли гос. испытания:</w:t>
      </w:r>
    </w:p>
    <w:p w14:paraId="7C27BF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ЦКБ-1 - 2 экз.</w:t>
      </w:r>
    </w:p>
    <w:p w14:paraId="1BDD4E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ЦКБ-3 - 2 экз.</w:t>
      </w:r>
    </w:p>
    <w:p w14:paraId="14159C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ЦКБ-12 - 3 экз.</w:t>
      </w:r>
    </w:p>
    <w:p w14:paraId="1C1E3D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Второй экз. стратосферной гондолы</w:t>
      </w:r>
    </w:p>
    <w:p w14:paraId="4F2C99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выполнены вне программы:</w:t>
      </w:r>
    </w:p>
    <w:p w14:paraId="7D1700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Изготовление Р-5 Лимузина Рафаэлянца</w:t>
      </w:r>
    </w:p>
    <w:p w14:paraId="766EE9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Изготовление планера ГЗ-1</w:t>
      </w:r>
    </w:p>
    <w:p w14:paraId="1802EE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Изготовление орнитоптера Черановского</w:t>
      </w:r>
    </w:p>
    <w:p w14:paraId="438D8F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Изготовление убирающегося шасси для Сталь МАИ-2</w:t>
      </w:r>
    </w:p>
    <w:p w14:paraId="28D13A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Ремонт 1-го экз. стратосферной гондолы</w:t>
      </w:r>
    </w:p>
    <w:p w14:paraId="7DBE3A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закончены:</w:t>
      </w:r>
    </w:p>
    <w:p w14:paraId="05DF15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И-17, ТШ-3, ДИ-6...(2336,61).</w:t>
      </w:r>
    </w:p>
    <w:p w14:paraId="5A4527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Есть маленькая справка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E3599D" w:rsidRPr="00E14102" w14:paraId="2C433C35" w14:textId="77777777">
        <w:tc>
          <w:tcPr>
            <w:tcW w:w="2818" w:type="dxa"/>
            <w:tcBorders>
              <w:top w:val="single" w:sz="12" w:space="0" w:color="auto"/>
            </w:tcBorders>
          </w:tcPr>
          <w:p w14:paraId="29F9CEA3"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Borders>
              <w:top w:val="single" w:sz="12" w:space="0" w:color="auto"/>
            </w:tcBorders>
          </w:tcPr>
          <w:p w14:paraId="6F7913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w:t>
            </w:r>
          </w:p>
        </w:tc>
        <w:tc>
          <w:tcPr>
            <w:tcW w:w="2818" w:type="dxa"/>
            <w:tcBorders>
              <w:top w:val="single" w:sz="12" w:space="0" w:color="auto"/>
            </w:tcBorders>
          </w:tcPr>
          <w:p w14:paraId="12FDC3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Факт</w:t>
            </w:r>
          </w:p>
        </w:tc>
      </w:tr>
      <w:tr w:rsidR="00E3599D" w:rsidRPr="00E14102" w14:paraId="0EA4ABC6" w14:textId="77777777">
        <w:tc>
          <w:tcPr>
            <w:tcW w:w="2818" w:type="dxa"/>
          </w:tcPr>
          <w:p w14:paraId="2A6984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ЦКБ-1 ЛР</w:t>
            </w:r>
          </w:p>
        </w:tc>
        <w:tc>
          <w:tcPr>
            <w:tcW w:w="2818" w:type="dxa"/>
          </w:tcPr>
          <w:p w14:paraId="2CFF06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12.33</w:t>
            </w:r>
          </w:p>
        </w:tc>
        <w:tc>
          <w:tcPr>
            <w:tcW w:w="2818" w:type="dxa"/>
          </w:tcPr>
          <w:p w14:paraId="4E9A40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09.34</w:t>
            </w:r>
          </w:p>
        </w:tc>
      </w:tr>
      <w:tr w:rsidR="00E3599D" w:rsidRPr="00E14102" w14:paraId="1FBC14D5" w14:textId="77777777">
        <w:tc>
          <w:tcPr>
            <w:tcW w:w="2818" w:type="dxa"/>
          </w:tcPr>
          <w:p w14:paraId="5E5E78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ЦКБ-3 И-15</w:t>
            </w:r>
          </w:p>
        </w:tc>
        <w:tc>
          <w:tcPr>
            <w:tcW w:w="2818" w:type="dxa"/>
          </w:tcPr>
          <w:p w14:paraId="695256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03.34</w:t>
            </w:r>
          </w:p>
        </w:tc>
        <w:tc>
          <w:tcPr>
            <w:tcW w:w="2818" w:type="dxa"/>
          </w:tcPr>
          <w:p w14:paraId="16DC62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05.34</w:t>
            </w:r>
          </w:p>
        </w:tc>
      </w:tr>
      <w:tr w:rsidR="00E3599D" w:rsidRPr="00E14102" w14:paraId="353A548D" w14:textId="77777777">
        <w:tc>
          <w:tcPr>
            <w:tcW w:w="2818" w:type="dxa"/>
          </w:tcPr>
          <w:p w14:paraId="0D77EF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ЦКБ-12 И-16</w:t>
            </w:r>
          </w:p>
        </w:tc>
        <w:tc>
          <w:tcPr>
            <w:tcW w:w="2818" w:type="dxa"/>
          </w:tcPr>
          <w:p w14:paraId="4D3247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03.34</w:t>
            </w:r>
          </w:p>
        </w:tc>
        <w:tc>
          <w:tcPr>
            <w:tcW w:w="2818" w:type="dxa"/>
          </w:tcPr>
          <w:p w14:paraId="1CDF15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03.34</w:t>
            </w:r>
          </w:p>
        </w:tc>
      </w:tr>
      <w:tr w:rsidR="00E3599D" w:rsidRPr="00E14102" w14:paraId="17BFE039" w14:textId="77777777">
        <w:tc>
          <w:tcPr>
            <w:tcW w:w="2818" w:type="dxa"/>
          </w:tcPr>
          <w:p w14:paraId="19CA7C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ЦКБ-5 РК</w:t>
            </w:r>
          </w:p>
        </w:tc>
        <w:tc>
          <w:tcPr>
            <w:tcW w:w="2818" w:type="dxa"/>
          </w:tcPr>
          <w:p w14:paraId="081A7E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10.33</w:t>
            </w:r>
          </w:p>
        </w:tc>
        <w:tc>
          <w:tcPr>
            <w:tcW w:w="2818" w:type="dxa"/>
          </w:tcPr>
          <w:p w14:paraId="7B7D7A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08.34</w:t>
            </w:r>
          </w:p>
        </w:tc>
      </w:tr>
      <w:tr w:rsidR="00E3599D" w:rsidRPr="00E14102" w14:paraId="63098F75" w14:textId="77777777">
        <w:tc>
          <w:tcPr>
            <w:tcW w:w="2818" w:type="dxa"/>
          </w:tcPr>
          <w:p w14:paraId="3709B7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Доводка Р-5</w:t>
            </w:r>
          </w:p>
        </w:tc>
        <w:tc>
          <w:tcPr>
            <w:tcW w:w="2818" w:type="dxa"/>
          </w:tcPr>
          <w:p w14:paraId="0AD796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12.33</w:t>
            </w:r>
          </w:p>
        </w:tc>
        <w:tc>
          <w:tcPr>
            <w:tcW w:w="2818" w:type="dxa"/>
          </w:tcPr>
          <w:p w14:paraId="0BC015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08.34</w:t>
            </w:r>
          </w:p>
        </w:tc>
      </w:tr>
      <w:tr w:rsidR="00E3599D" w:rsidRPr="00E14102" w14:paraId="24DC5DBB" w14:textId="77777777">
        <w:tc>
          <w:tcPr>
            <w:tcW w:w="2818" w:type="dxa"/>
          </w:tcPr>
          <w:p w14:paraId="00D165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w:t>
            </w:r>
          </w:p>
        </w:tc>
        <w:tc>
          <w:tcPr>
            <w:tcW w:w="2818" w:type="dxa"/>
          </w:tcPr>
          <w:p w14:paraId="7C30C6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18" w:type="dxa"/>
          </w:tcPr>
          <w:p w14:paraId="7643DF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04.34</w:t>
            </w:r>
          </w:p>
        </w:tc>
      </w:tr>
      <w:tr w:rsidR="00E3599D" w:rsidRPr="00E14102" w14:paraId="245AF36A" w14:textId="77777777">
        <w:tc>
          <w:tcPr>
            <w:tcW w:w="2818" w:type="dxa"/>
          </w:tcPr>
          <w:p w14:paraId="3504A7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Заводу 35</w:t>
            </w:r>
          </w:p>
        </w:tc>
        <w:tc>
          <w:tcPr>
            <w:tcW w:w="2818" w:type="dxa"/>
          </w:tcPr>
          <w:p w14:paraId="0E9208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18" w:type="dxa"/>
          </w:tcPr>
          <w:p w14:paraId="1350F8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06.34</w:t>
            </w:r>
          </w:p>
        </w:tc>
      </w:tr>
      <w:tr w:rsidR="00E3599D" w:rsidRPr="00E14102" w14:paraId="5F2D9D2F" w14:textId="77777777">
        <w:tc>
          <w:tcPr>
            <w:tcW w:w="2818" w:type="dxa"/>
          </w:tcPr>
          <w:p w14:paraId="5038EE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Торм. шасси Р-5</w:t>
            </w:r>
          </w:p>
        </w:tc>
        <w:tc>
          <w:tcPr>
            <w:tcW w:w="2818" w:type="dxa"/>
          </w:tcPr>
          <w:p w14:paraId="333462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18" w:type="dxa"/>
          </w:tcPr>
          <w:p w14:paraId="7BA760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08.34</w:t>
            </w:r>
          </w:p>
        </w:tc>
      </w:tr>
      <w:tr w:rsidR="00E3599D" w:rsidRPr="00E14102" w14:paraId="3383EF71" w14:textId="77777777">
        <w:tc>
          <w:tcPr>
            <w:tcW w:w="2818" w:type="dxa"/>
          </w:tcPr>
          <w:p w14:paraId="73F404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 работы</w:t>
            </w:r>
          </w:p>
        </w:tc>
        <w:tc>
          <w:tcPr>
            <w:tcW w:w="2818" w:type="dxa"/>
          </w:tcPr>
          <w:p w14:paraId="737053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12.34</w:t>
            </w:r>
          </w:p>
        </w:tc>
        <w:tc>
          <w:tcPr>
            <w:tcW w:w="2818" w:type="dxa"/>
          </w:tcPr>
          <w:p w14:paraId="374D82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12.34</w:t>
            </w:r>
          </w:p>
        </w:tc>
      </w:tr>
      <w:tr w:rsidR="00E3599D" w:rsidRPr="00E14102" w14:paraId="78A75119" w14:textId="77777777">
        <w:tc>
          <w:tcPr>
            <w:tcW w:w="2818" w:type="dxa"/>
          </w:tcPr>
          <w:p w14:paraId="678582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Работы продолжаются</w:t>
            </w:r>
          </w:p>
        </w:tc>
        <w:tc>
          <w:tcPr>
            <w:tcW w:w="2818" w:type="dxa"/>
          </w:tcPr>
          <w:p w14:paraId="07DA981F"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Pr>
          <w:p w14:paraId="680A929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D6E1C6C" w14:textId="77777777">
        <w:tc>
          <w:tcPr>
            <w:tcW w:w="2818" w:type="dxa"/>
          </w:tcPr>
          <w:p w14:paraId="45DF11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ЦКБ-6</w:t>
            </w:r>
          </w:p>
        </w:tc>
        <w:tc>
          <w:tcPr>
            <w:tcW w:w="2818" w:type="dxa"/>
          </w:tcPr>
          <w:p w14:paraId="19B08C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07.34 Л-49 пас. для связи с райцентрами</w:t>
            </w:r>
          </w:p>
        </w:tc>
        <w:tc>
          <w:tcPr>
            <w:tcW w:w="2818" w:type="dxa"/>
          </w:tcPr>
          <w:p w14:paraId="250B4BF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2B6B129" w14:textId="77777777">
        <w:tc>
          <w:tcPr>
            <w:tcW w:w="2818" w:type="dxa"/>
          </w:tcPr>
          <w:p w14:paraId="44451E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ЦКБ-8</w:t>
            </w:r>
          </w:p>
        </w:tc>
        <w:tc>
          <w:tcPr>
            <w:tcW w:w="2818" w:type="dxa"/>
          </w:tcPr>
          <w:p w14:paraId="2AC1F1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12.34</w:t>
            </w:r>
          </w:p>
        </w:tc>
        <w:tc>
          <w:tcPr>
            <w:tcW w:w="2818" w:type="dxa"/>
          </w:tcPr>
          <w:p w14:paraId="6D633A0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7BA70DA" w14:textId="77777777">
        <w:tc>
          <w:tcPr>
            <w:tcW w:w="2818" w:type="dxa"/>
          </w:tcPr>
          <w:p w14:paraId="05B71A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ЦКБ-14</w:t>
            </w:r>
          </w:p>
        </w:tc>
        <w:tc>
          <w:tcPr>
            <w:tcW w:w="2818" w:type="dxa"/>
          </w:tcPr>
          <w:p w14:paraId="5C7DD2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07.34</w:t>
            </w:r>
          </w:p>
        </w:tc>
        <w:tc>
          <w:tcPr>
            <w:tcW w:w="2818" w:type="dxa"/>
          </w:tcPr>
          <w:p w14:paraId="61F0A36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E0DF06C" w14:textId="77777777">
        <w:tc>
          <w:tcPr>
            <w:tcW w:w="2818" w:type="dxa"/>
          </w:tcPr>
          <w:p w14:paraId="768836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ЦКБ-18</w:t>
            </w:r>
          </w:p>
        </w:tc>
        <w:tc>
          <w:tcPr>
            <w:tcW w:w="2818" w:type="dxa"/>
          </w:tcPr>
          <w:p w14:paraId="629B29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07.34 И-16 штурмовик</w:t>
            </w:r>
          </w:p>
        </w:tc>
        <w:tc>
          <w:tcPr>
            <w:tcW w:w="2818" w:type="dxa"/>
          </w:tcPr>
          <w:p w14:paraId="759847F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CF3810E" w14:textId="77777777">
        <w:tc>
          <w:tcPr>
            <w:tcW w:w="2818" w:type="dxa"/>
          </w:tcPr>
          <w:p w14:paraId="27CD5E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w:t>
            </w:r>
          </w:p>
        </w:tc>
        <w:tc>
          <w:tcPr>
            <w:tcW w:w="2818" w:type="dxa"/>
          </w:tcPr>
          <w:p w14:paraId="0CBC1E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12.34</w:t>
            </w:r>
          </w:p>
        </w:tc>
        <w:tc>
          <w:tcPr>
            <w:tcW w:w="2818" w:type="dxa"/>
          </w:tcPr>
          <w:p w14:paraId="27E9BC8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8D3EA5D" w14:textId="77777777">
        <w:tc>
          <w:tcPr>
            <w:tcW w:w="2818" w:type="dxa"/>
          </w:tcPr>
          <w:p w14:paraId="34AADE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Начаты и продолжаются</w:t>
            </w:r>
          </w:p>
        </w:tc>
        <w:tc>
          <w:tcPr>
            <w:tcW w:w="2818" w:type="dxa"/>
          </w:tcPr>
          <w:p w14:paraId="1A224FD0"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Pr>
          <w:p w14:paraId="315C9BD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46EBD01" w14:textId="77777777">
        <w:tc>
          <w:tcPr>
            <w:tcW w:w="2818" w:type="dxa"/>
          </w:tcPr>
          <w:p w14:paraId="04D2C8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 Испано</w:t>
            </w:r>
          </w:p>
        </w:tc>
        <w:tc>
          <w:tcPr>
            <w:tcW w:w="2818" w:type="dxa"/>
          </w:tcPr>
          <w:p w14:paraId="255EF0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12.34</w:t>
            </w:r>
          </w:p>
        </w:tc>
        <w:tc>
          <w:tcPr>
            <w:tcW w:w="2818" w:type="dxa"/>
          </w:tcPr>
          <w:p w14:paraId="4637C43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06F35FD" w14:textId="77777777">
        <w:tc>
          <w:tcPr>
            <w:tcW w:w="2818" w:type="dxa"/>
          </w:tcPr>
          <w:p w14:paraId="0755BF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ЦКБ-20</w:t>
            </w:r>
          </w:p>
        </w:tc>
        <w:tc>
          <w:tcPr>
            <w:tcW w:w="2818" w:type="dxa"/>
          </w:tcPr>
          <w:p w14:paraId="7F9EBB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06.34</w:t>
            </w:r>
          </w:p>
        </w:tc>
        <w:tc>
          <w:tcPr>
            <w:tcW w:w="2818" w:type="dxa"/>
          </w:tcPr>
          <w:p w14:paraId="077EA43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39F6791" w14:textId="77777777">
        <w:tc>
          <w:tcPr>
            <w:tcW w:w="2818" w:type="dxa"/>
          </w:tcPr>
          <w:p w14:paraId="6576FA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КД-2</w:t>
            </w:r>
          </w:p>
        </w:tc>
        <w:tc>
          <w:tcPr>
            <w:tcW w:w="2818" w:type="dxa"/>
          </w:tcPr>
          <w:p w14:paraId="20743D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01.34</w:t>
            </w:r>
          </w:p>
        </w:tc>
        <w:tc>
          <w:tcPr>
            <w:tcW w:w="2818" w:type="dxa"/>
          </w:tcPr>
          <w:p w14:paraId="265A5C9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8541A9F" w14:textId="77777777">
        <w:tc>
          <w:tcPr>
            <w:tcW w:w="2818" w:type="dxa"/>
          </w:tcPr>
          <w:p w14:paraId="45552D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w:t>
            </w:r>
          </w:p>
        </w:tc>
        <w:tc>
          <w:tcPr>
            <w:tcW w:w="2818" w:type="dxa"/>
          </w:tcPr>
          <w:p w14:paraId="6FCE8C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12.34</w:t>
            </w:r>
          </w:p>
        </w:tc>
        <w:tc>
          <w:tcPr>
            <w:tcW w:w="2818" w:type="dxa"/>
          </w:tcPr>
          <w:p w14:paraId="61F9699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D152DAF" w14:textId="77777777">
        <w:tc>
          <w:tcPr>
            <w:tcW w:w="2818" w:type="dxa"/>
            <w:tcBorders>
              <w:bottom w:val="single" w:sz="12" w:space="0" w:color="auto"/>
            </w:tcBorders>
          </w:tcPr>
          <w:p w14:paraId="0D8E27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(2336,57).</w:t>
            </w:r>
          </w:p>
        </w:tc>
        <w:tc>
          <w:tcPr>
            <w:tcW w:w="2818" w:type="dxa"/>
            <w:tcBorders>
              <w:bottom w:val="single" w:sz="12" w:space="0" w:color="auto"/>
            </w:tcBorders>
          </w:tcPr>
          <w:p w14:paraId="217BBBD1"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Borders>
              <w:bottom w:val="single" w:sz="12" w:space="0" w:color="auto"/>
            </w:tcBorders>
          </w:tcPr>
          <w:p w14:paraId="22E101F7" w14:textId="77777777" w:rsidR="00D4105E" w:rsidRPr="00E14102" w:rsidRDefault="00D4105E" w:rsidP="00E14102">
            <w:pPr>
              <w:autoSpaceDE w:val="0"/>
              <w:autoSpaceDN w:val="0"/>
              <w:adjustRightInd w:val="0"/>
              <w:jc w:val="both"/>
              <w:rPr>
                <w:color w:val="000000" w:themeColor="text1"/>
                <w:sz w:val="16"/>
                <w:szCs w:val="16"/>
              </w:rPr>
            </w:pPr>
          </w:p>
        </w:tc>
      </w:tr>
    </w:tbl>
    <w:p w14:paraId="20865AF5" w14:textId="77777777" w:rsidR="00D4105E" w:rsidRPr="00E14102" w:rsidRDefault="00D4105E" w:rsidP="00E14102">
      <w:pPr>
        <w:autoSpaceDE w:val="0"/>
        <w:autoSpaceDN w:val="0"/>
        <w:adjustRightInd w:val="0"/>
        <w:jc w:val="both"/>
        <w:rPr>
          <w:color w:val="000000" w:themeColor="text1"/>
          <w:sz w:val="16"/>
          <w:szCs w:val="16"/>
        </w:rPr>
      </w:pPr>
    </w:p>
    <w:p w14:paraId="5D5C2E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февраля 1935 года Начальник НИИ ВВС Лавров утвердил Отчет о полигонных испытаниях стрелковой установки конструкции ОКБ-2 ГВМУ на самолете И-16 с крыльевыми пулеметами системы ШКАС NN 2249, 2944</w:t>
      </w:r>
    </w:p>
    <w:p w14:paraId="34698D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w:t>
      </w:r>
    </w:p>
    <w:p w14:paraId="50692A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Начаты 1.01.35 г.</w:t>
      </w:r>
    </w:p>
    <w:p w14:paraId="6D8D72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Окончены 29.01.35 г.</w:t>
      </w:r>
    </w:p>
    <w:p w14:paraId="666545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638DA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Предъявленная ОКБ-2 ГВМУ стрелковая установка с крыльевыми пулеметами системы ШКАС на самолете И-16 - полигонные испытания выдержала и может быть рекомендована, как образец для изготовления чертежей и эталона установки (с учетом опыты испытаний) на самолет И-16 выпуска первой серии. (3071,32-43).</w:t>
      </w:r>
    </w:p>
    <w:p w14:paraId="5E2A44E3" w14:textId="77777777" w:rsidR="00D4105E" w:rsidRPr="00E14102" w:rsidRDefault="00D4105E" w:rsidP="00E14102">
      <w:pPr>
        <w:autoSpaceDE w:val="0"/>
        <w:autoSpaceDN w:val="0"/>
        <w:adjustRightInd w:val="0"/>
        <w:jc w:val="both"/>
        <w:rPr>
          <w:color w:val="000000" w:themeColor="text1"/>
          <w:sz w:val="16"/>
          <w:szCs w:val="16"/>
        </w:rPr>
      </w:pPr>
    </w:p>
    <w:p w14:paraId="16A1A61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26D69DD" w14:textId="77777777" w:rsidR="00D4105E" w:rsidRPr="00E14102" w:rsidRDefault="00D4105E" w:rsidP="00E14102">
      <w:pPr>
        <w:autoSpaceDE w:val="0"/>
        <w:autoSpaceDN w:val="0"/>
        <w:adjustRightInd w:val="0"/>
        <w:jc w:val="both"/>
        <w:rPr>
          <w:iCs/>
          <w:color w:val="000000" w:themeColor="text1"/>
          <w:sz w:val="16"/>
          <w:szCs w:val="16"/>
        </w:rPr>
      </w:pPr>
    </w:p>
    <w:p w14:paraId="4A8335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февраля 1935 года вышел Циркуляр № 13 Главного управления милиции НКВД СССР, который основывался на постановлении ЦИК СССР от 25 января того же года, в котором указывалось, что “восстановление в гражданских правах высланных кулаков не дает им права выезда с места поселения”. Согласно этому циркуляру, всем высланным “кулакам, восстановленным в гражданских правах”, паспорта выдавались “исключительно по месту расположения трудпоселения” на основе списков, представленных райкомендатурами. В паспорте следовало обязательно указать, что он выдан “на основании списка такой-то комендатуры трудпоселения, такого-то района, номер и дату списка”. Пункт 3-й обязывал: “Лиц, имеющих в паспортах указанную запись, — не прописывать на проживание нигде, кроме мест поселения. При обнаружении этих лиц в других местностях задерживать их, как бежавших, и направлять этапом к месту поселения” (9985).</w:t>
      </w:r>
    </w:p>
    <w:p w14:paraId="269EBCA8" w14:textId="15A3F8E5" w:rsidR="00D4105E" w:rsidRPr="00E14102" w:rsidRDefault="00D4105E" w:rsidP="00E14102">
      <w:pPr>
        <w:autoSpaceDE w:val="0"/>
        <w:autoSpaceDN w:val="0"/>
        <w:adjustRightInd w:val="0"/>
        <w:jc w:val="both"/>
        <w:rPr>
          <w:color w:val="000000" w:themeColor="text1"/>
          <w:sz w:val="16"/>
          <w:szCs w:val="16"/>
        </w:rPr>
      </w:pPr>
    </w:p>
    <w:p w14:paraId="4E90213D" w14:textId="5962AF5B" w:rsidR="00C15851" w:rsidRPr="00E14102" w:rsidRDefault="00C15851" w:rsidP="00E14102">
      <w:pPr>
        <w:autoSpaceDE w:val="0"/>
        <w:autoSpaceDN w:val="0"/>
        <w:adjustRightInd w:val="0"/>
        <w:jc w:val="both"/>
        <w:rPr>
          <w:i/>
          <w:iCs/>
          <w:color w:val="000000" w:themeColor="text1"/>
          <w:sz w:val="16"/>
          <w:szCs w:val="16"/>
        </w:rPr>
      </w:pPr>
      <w:r w:rsidRPr="00E14102">
        <w:rPr>
          <w:i/>
          <w:iCs/>
          <w:color w:val="000000" w:themeColor="text1"/>
          <w:sz w:val="16"/>
          <w:szCs w:val="16"/>
        </w:rPr>
        <w:t>За рубежом:</w:t>
      </w:r>
    </w:p>
    <w:p w14:paraId="6B818977" w14:textId="77777777" w:rsidR="00C15851" w:rsidRPr="00E14102" w:rsidRDefault="00C15851" w:rsidP="00E14102">
      <w:pPr>
        <w:autoSpaceDE w:val="0"/>
        <w:autoSpaceDN w:val="0"/>
        <w:adjustRightInd w:val="0"/>
        <w:jc w:val="both"/>
        <w:rPr>
          <w:i/>
          <w:iCs/>
          <w:color w:val="000000" w:themeColor="text1"/>
          <w:sz w:val="16"/>
          <w:szCs w:val="16"/>
        </w:rPr>
      </w:pPr>
    </w:p>
    <w:p w14:paraId="090519A8" w14:textId="77777777" w:rsidR="00C15851" w:rsidRPr="00E14102" w:rsidRDefault="00C15851" w:rsidP="00E14102">
      <w:pPr>
        <w:jc w:val="both"/>
        <w:rPr>
          <w:color w:val="0070C0"/>
          <w:sz w:val="16"/>
          <w:szCs w:val="16"/>
        </w:rPr>
      </w:pPr>
      <w:r w:rsidRPr="00E14102">
        <w:rPr>
          <w:color w:val="0070C0"/>
          <w:sz w:val="16"/>
          <w:szCs w:val="16"/>
        </w:rPr>
        <w:t>3 февраля 1935 умирает немецкий авиаконструктор Хьюго Юнкерс.</w:t>
      </w:r>
    </w:p>
    <w:p w14:paraId="23B5EF24" w14:textId="77777777" w:rsidR="00C15851" w:rsidRPr="00E14102" w:rsidRDefault="00C15851" w:rsidP="00E14102">
      <w:pPr>
        <w:jc w:val="both"/>
        <w:rPr>
          <w:color w:val="0070C0"/>
          <w:sz w:val="16"/>
          <w:szCs w:val="16"/>
        </w:rPr>
      </w:pPr>
    </w:p>
    <w:p w14:paraId="32B83BC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0DAAE84" w14:textId="77777777" w:rsidR="00D4105E" w:rsidRPr="00E14102" w:rsidRDefault="00D4105E" w:rsidP="00E14102">
      <w:pPr>
        <w:autoSpaceDE w:val="0"/>
        <w:autoSpaceDN w:val="0"/>
        <w:adjustRightInd w:val="0"/>
        <w:jc w:val="both"/>
        <w:rPr>
          <w:iCs/>
          <w:color w:val="000000" w:themeColor="text1"/>
          <w:sz w:val="16"/>
          <w:szCs w:val="16"/>
        </w:rPr>
      </w:pPr>
    </w:p>
    <w:p w14:paraId="4065DA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февраля 1935 в НИИ ВВС закончились повторные гос. испытания самолета ЛР-М34Н, которые проходили с 27 декабря 1934. Турельная установка была признана негодной. Самолет сдан на завод № 39 (7779, 44-46).</w:t>
      </w:r>
    </w:p>
    <w:p w14:paraId="1E819382" w14:textId="77777777" w:rsidR="00D4105E" w:rsidRPr="00E14102" w:rsidRDefault="00D4105E" w:rsidP="00E14102">
      <w:pPr>
        <w:autoSpaceDE w:val="0"/>
        <w:autoSpaceDN w:val="0"/>
        <w:adjustRightInd w:val="0"/>
        <w:jc w:val="both"/>
        <w:rPr>
          <w:color w:val="000000" w:themeColor="text1"/>
          <w:sz w:val="16"/>
          <w:szCs w:val="16"/>
        </w:rPr>
      </w:pPr>
    </w:p>
    <w:p w14:paraId="6C0492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февраля 1935 Нач. Опытного Сектора Самолетного Отдела ГУАП Машкевич писал письмо N 242/524с на завод 39 Чижевскому о том, что по указанию Зам. Нач. ГУАП Ермолаева в план работ БОК на 1935 дополнительной работы по конструированию высотной кабины для ЛР. Просил смету (2336,9).</w:t>
      </w:r>
    </w:p>
    <w:p w14:paraId="0665F246" w14:textId="77777777" w:rsidR="00D4105E" w:rsidRPr="00E14102" w:rsidRDefault="00D4105E" w:rsidP="00E14102">
      <w:pPr>
        <w:autoSpaceDE w:val="0"/>
        <w:autoSpaceDN w:val="0"/>
        <w:adjustRightInd w:val="0"/>
        <w:jc w:val="both"/>
        <w:rPr>
          <w:color w:val="000000" w:themeColor="text1"/>
          <w:sz w:val="16"/>
          <w:szCs w:val="16"/>
        </w:rPr>
      </w:pPr>
    </w:p>
    <w:p w14:paraId="100C20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февраля 1935 Зам. нач. ГУАП Ермолаев писал Дир. завода 1 Беленкович письмо N 244/538с на вх. N 211 от 29 января 1935 по вопросу "О проекте скоростного разведчика":</w:t>
      </w:r>
    </w:p>
    <w:p w14:paraId="3C4B7E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"Представленный т. Шелкуновым эскизный проект скоростного фоторазведчика не является достаточным материалом для решения вопроса о необходимости его реализации.</w:t>
      </w:r>
    </w:p>
    <w:p w14:paraId="373264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Считаю обязательным, до включения его в план опытного строительства Вашего завода, иметь всестороннее и окончательное заключение УВС (как заказчика) о полном соответствии проектируемого объекта ТТТ к нему и о необходимости его постройки." (2337,166).</w:t>
      </w:r>
    </w:p>
    <w:p w14:paraId="234ED18B" w14:textId="77777777" w:rsidR="00D4105E" w:rsidRPr="00E14102" w:rsidRDefault="00D4105E" w:rsidP="00E14102">
      <w:pPr>
        <w:autoSpaceDE w:val="0"/>
        <w:autoSpaceDN w:val="0"/>
        <w:adjustRightInd w:val="0"/>
        <w:jc w:val="both"/>
        <w:rPr>
          <w:color w:val="000000" w:themeColor="text1"/>
          <w:sz w:val="16"/>
          <w:szCs w:val="16"/>
        </w:rPr>
      </w:pPr>
    </w:p>
    <w:p w14:paraId="21C98E26" w14:textId="77777777" w:rsidR="00C17A36" w:rsidRPr="00E14102" w:rsidRDefault="00C17A36" w:rsidP="00E14102">
      <w:pPr>
        <w:jc w:val="both"/>
        <w:rPr>
          <w:color w:val="000000" w:themeColor="text1"/>
          <w:sz w:val="16"/>
          <w:szCs w:val="16"/>
        </w:rPr>
      </w:pPr>
      <w:r w:rsidRPr="00E14102">
        <w:rPr>
          <w:color w:val="000000" w:themeColor="text1"/>
          <w:sz w:val="16"/>
          <w:szCs w:val="16"/>
        </w:rPr>
        <w:t>4 февраля 1935 г. заместитель начальника ГУАПа Ермолаев в своём письме № 244/538с, отвечая на письмо директора завода №1 Беленковича № 211 от 29 января 1935 г., он сообщил: Макет истребителя И-220 А.В.Сильванского «Представленный т. ШЕКУНОВЫМ эскизный проект скоростного фото-разведчика не является достаточным материалом для решения вопроса о необходимости его реализации. Считаю обязательным, до включения его в план опытного строительства Вашего завода, иметь всестороннее и окончательное заключение УВС (как заказчика) о полном соответствии проектируемого об”екта тактикотехническим требованиям к нему и о необходимости его постройки». [РГАЭ Ф. 8328 оп. 1 д. 795 л. 166] (Упомянутый в письме Шекунов, видимо, курировал на заводе данный проект Сильванского) По свидетельству В.П.Иванова, НИИ ВВС в своем окончательном заключении по проекту Сильванского отмечал, что автор проекта не представил убедительных обоснований для заявленных ЛТХ, в связи с чем реальность данного проекта представляется сомнительной. Проект встретил также резкую критику со стороны Поликарпова и других конструкторов. Один автор пишет: «Чертежи были представлены на рассмотрение начальника ГУАП Г.Н.Королеву, после чего их передали для всестороннего анализа на завод №39. Совет инженеров, на котором присутствовали Поликарпов и Григорович, пришел к выводу, что проект Сильванского имеет ряд грубых просчётов и явных подгонок под желаемые требования. Истребитель-разведчик, мягко говоря, не соответствовал ни одним нормам летной годности и судьба его решилась довольно быстро. Конструктору посоветовали более ответственно относиться к проектированию самолетов, а проект был единодушно забракован» (19008).</w:t>
      </w:r>
    </w:p>
    <w:p w14:paraId="4C5F1AAD" w14:textId="77777777" w:rsidR="00C17A36" w:rsidRPr="00E14102" w:rsidRDefault="00C17A36" w:rsidP="00E14102">
      <w:pPr>
        <w:jc w:val="both"/>
        <w:rPr>
          <w:color w:val="000000" w:themeColor="text1"/>
          <w:sz w:val="16"/>
          <w:szCs w:val="16"/>
        </w:rPr>
      </w:pPr>
    </w:p>
    <w:p w14:paraId="778F34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февраля 1935 Нач. сам. отд. ГУАП Зорин писал директору завода 28 Мельникову (копия дир. завода 31 Мурашеву) по вопросу "О винте к самолету МБР-5" письмо № Д244/522:</w:t>
      </w:r>
    </w:p>
    <w:p w14:paraId="4BE350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необходимостью всемерного форсирования выпуска опытного экз. гидросамолета МБР-5, прошу включить в план первого кв. с.г. изготовление металлического винта для него по черт., переданным Вам конструкторской бригадой завода 31 (и Самсоновым)." (2337,147).</w:t>
      </w:r>
    </w:p>
    <w:p w14:paraId="6A97A8F7" w14:textId="77777777" w:rsidR="00D4105E" w:rsidRPr="00E14102" w:rsidRDefault="00D4105E" w:rsidP="00E14102">
      <w:pPr>
        <w:autoSpaceDE w:val="0"/>
        <w:autoSpaceDN w:val="0"/>
        <w:adjustRightInd w:val="0"/>
        <w:jc w:val="both"/>
        <w:rPr>
          <w:color w:val="000000" w:themeColor="text1"/>
          <w:sz w:val="16"/>
          <w:szCs w:val="16"/>
        </w:rPr>
      </w:pPr>
    </w:p>
    <w:p w14:paraId="5739EC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февраля 1935 Зам. нач. научно-опытного сектора самолетного отдела ГУАП Машкевич писал письмо N 244/527с Врид. нач. 8 сектора НИИ ВВС Красильщикову по вопросу "О постройке СПЛ":</w:t>
      </w:r>
    </w:p>
    <w:p w14:paraId="6422F8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Вашей просьбе, при сем возвращаю эскизный проект СПЛ (и Самсонов).</w:t>
      </w:r>
    </w:p>
    <w:p w14:paraId="2CA292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 по ЭП, ТТТ и ТУ на конструктивную разработку передачи на винт - оставлены в делах ГУАПа, как необходимый материал к принятым решениям.</w:t>
      </w:r>
    </w:p>
    <w:p w14:paraId="73EE09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ГУАП по указанному самолету принял следующее решение:</w:t>
      </w:r>
    </w:p>
    <w:p w14:paraId="0DDFAA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Спроектировать и построить экспериментальную часть самолета - передачу на винт</w:t>
      </w:r>
    </w:p>
    <w:p w14:paraId="588972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Возбудить ходатайство перед НКТП о закупке 2-х моторов...</w:t>
      </w:r>
    </w:p>
    <w:p w14:paraId="2BEE20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случае положительных результатов в работе экспериментальной части самолета - приступить к постройке в целом самолета, для чего внести в дополнительный план на утверждение Правительства со сроком постройки в 1935."</w:t>
      </w:r>
    </w:p>
    <w:p w14:paraId="6968A8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 Материал на 16 стр. С 2-мя чертежами (2337,159).</w:t>
      </w:r>
    </w:p>
    <w:p w14:paraId="6F140E0F" w14:textId="77777777" w:rsidR="00D4105E" w:rsidRPr="00E14102" w:rsidRDefault="00D4105E" w:rsidP="00E14102">
      <w:pPr>
        <w:autoSpaceDE w:val="0"/>
        <w:autoSpaceDN w:val="0"/>
        <w:adjustRightInd w:val="0"/>
        <w:jc w:val="both"/>
        <w:rPr>
          <w:color w:val="000000" w:themeColor="text1"/>
          <w:sz w:val="16"/>
          <w:szCs w:val="16"/>
        </w:rPr>
      </w:pPr>
    </w:p>
    <w:p w14:paraId="6F6C49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февраля 1935 года вышел Приказ НИИ ВВС № 074 О гос. испытании опытного мотора МГ-31 НИИ авиадвигателей ГВФ</w:t>
      </w:r>
    </w:p>
    <w:p w14:paraId="283BCF2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начать 4 февраля и закончить не позднее 25 февраля 1935 года (6814, 56).</w:t>
      </w:r>
    </w:p>
    <w:p w14:paraId="19867A5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70F078F" w14:textId="77777777" w:rsidR="00696714" w:rsidRPr="00E14102" w:rsidRDefault="00696714" w:rsidP="00E14102">
      <w:pPr>
        <w:pStyle w:val="rtejustify"/>
        <w:spacing w:before="0" w:after="0"/>
        <w:rPr>
          <w:color w:val="000000" w:themeColor="text1"/>
          <w:sz w:val="16"/>
          <w:szCs w:val="16"/>
        </w:rPr>
      </w:pPr>
      <w:r w:rsidRPr="00E14102">
        <w:rPr>
          <w:rStyle w:val="a6"/>
          <w:bCs/>
          <w:i w:val="0"/>
          <w:color w:val="000000" w:themeColor="text1"/>
          <w:sz w:val="16"/>
          <w:szCs w:val="16"/>
        </w:rPr>
        <w:lastRenderedPageBreak/>
        <w:t>4 февраля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9сс «План заказов на запчасти к мотору “Либерти” к танкам БТ на 1935 г.». (ГА РФ. Ф. Р</w:t>
      </w:r>
      <w:r w:rsidRPr="00E14102">
        <w:rPr>
          <w:color w:val="000000" w:themeColor="text1"/>
          <w:sz w:val="16"/>
          <w:szCs w:val="16"/>
        </w:rPr>
        <w:noBreakHyphen/>
        <w:t>8418. Оп. 28. Д. 6. Л. 27</w:t>
      </w:r>
      <w:r w:rsidRPr="00E14102">
        <w:rPr>
          <w:color w:val="000000" w:themeColor="text1"/>
          <w:sz w:val="16"/>
          <w:szCs w:val="16"/>
        </w:rPr>
        <w:noBreakHyphen/>
        <w:t>29) (15460).</w:t>
      </w:r>
    </w:p>
    <w:p w14:paraId="76A1D123" w14:textId="77777777" w:rsidR="00696714" w:rsidRPr="00E14102" w:rsidRDefault="00696714" w:rsidP="00E14102">
      <w:pPr>
        <w:pStyle w:val="rtejustify"/>
        <w:spacing w:before="0" w:after="0"/>
        <w:rPr>
          <w:color w:val="000000" w:themeColor="text1"/>
          <w:sz w:val="16"/>
          <w:szCs w:val="16"/>
        </w:rPr>
      </w:pPr>
    </w:p>
    <w:p w14:paraId="38E123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февраля 1935 Зам. нач. ГУАП Ермолаев писал Нач. УВС т. Алкснису письмо N 244/537с на вх. N 40/0636 от 28 января 1935 по вопросу "Самолет ИП-3":</w:t>
      </w:r>
    </w:p>
    <w:p w14:paraId="302B15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"Ассигнования, отпущенные ГУАПу на 1935, даны для выполнения заданий, утвержденных Правительством в 1934.</w:t>
      </w:r>
    </w:p>
    <w:p w14:paraId="7FF345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Следовательно на постройку самолета ИП-3, как не включенного своевременно в план строительства ГУАП, денежных средств не имеется.</w:t>
      </w:r>
    </w:p>
    <w:p w14:paraId="32AE29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Поэтому для обеспечения строительства как этого самолета, так и других объектов, не вошедших в опытный план Правительства, прошу форсировать проработку всех дополнительных заданий на 1936, а также в план опытного строительства на 1936.</w:t>
      </w:r>
    </w:p>
    <w:p w14:paraId="5E7AB2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Последнее совершенно необходимо для представления в Правительство на утверждение и для получения дополнительных средств на эти работы.</w:t>
      </w:r>
    </w:p>
    <w:p w14:paraId="24111A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же диктуется соображениями надлежащей загрузки опытных заводов и желанием избежать задержек по производству объектов." (2337,165).</w:t>
      </w:r>
    </w:p>
    <w:p w14:paraId="3F305B8F" w14:textId="77777777" w:rsidR="00D4105E" w:rsidRPr="00E14102" w:rsidRDefault="00D4105E" w:rsidP="00E14102">
      <w:pPr>
        <w:autoSpaceDE w:val="0"/>
        <w:autoSpaceDN w:val="0"/>
        <w:adjustRightInd w:val="0"/>
        <w:jc w:val="both"/>
        <w:rPr>
          <w:color w:val="000000" w:themeColor="text1"/>
          <w:sz w:val="16"/>
          <w:szCs w:val="16"/>
        </w:rPr>
      </w:pPr>
    </w:p>
    <w:p w14:paraId="3D3556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февраля 1935 были подготовлены Дополнения к постановлению ГУАП по докладу завода № 39 им. Менжинского об итогах хозяйственной деятельности за 1934 - в основном по вопросам капитального строительства (2336,68).</w:t>
      </w:r>
    </w:p>
    <w:p w14:paraId="4235763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ответ на Ваш запрос на основнии совещания по испарительному охлаждению сообщаем следующее:</w:t>
      </w:r>
    </w:p>
    <w:p w14:paraId="18051A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Для выполнения работ необходимо 12.03 получить переоборудованной мотор, .находящийся в данный момент в пр-ве в ЦИАМ"е.</w:t>
      </w:r>
    </w:p>
    <w:p w14:paraId="16D4EB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Для изготовления конденсаторов необходимо получить дополнительно /сверх заявки ЭНРЖ-6 0,1 м/м - 50 кгр. и 0,2 - 10 кгр.</w:t>
      </w:r>
    </w:p>
    <w:p w14:paraId="0163DD4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После получения мотора заводу для подгонки деталей к мотору для нонтожа на машине и подготовки машины к испытаниям необходимо 20рабочих дней т.е. при получении мотора 12/Ш охлаждающая система будет подготовлена к испнтаниям 12/1У-35 г.</w:t>
      </w:r>
    </w:p>
    <w:p w14:paraId="6F2D4B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В случае неполучения мотора из ЦИАМ, заводом запроектирована доработка мотора по заводским чертежам, эта доработка может быть заполнена заводом самостоятельно, но в таком случае срок окончания работ необходимо перенести на 30/1У-35 года.</w:t>
      </w:r>
    </w:p>
    <w:p w14:paraId="37C3E09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Проектирование по испарительному охлаждению закончено, чертежи в производстве. Воздухо-масляный радиатор необходимый для испытания будет закончен провариванием и чертежи будут спущены в цех 12.03.</w:t>
      </w:r>
    </w:p>
    <w:p w14:paraId="708B99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Общий об"ем работы без доработки мотора и масляного радиатора 2.600 ч/часов.</w:t>
      </w:r>
    </w:p>
    <w:p w14:paraId="368161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Прошу выдать наряд на производство означенных работ (2336,69).</w:t>
      </w:r>
    </w:p>
    <w:p w14:paraId="1C81283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Использование (взамен изготовления рабочих чертезвй) конструктивных чертежи ЦБК с частичной доработкой их в ЦКБ.</w:t>
      </w:r>
    </w:p>
    <w:p w14:paraId="21EFBFD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Передача в цеха разработки технологического процесса г технормирования из центральна отделов заводоуправления:</w:t>
      </w:r>
    </w:p>
    <w:p w14:paraId="05A02F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Передача части квалифицированных конструкторов аппарата центрального БШ в производственные цеха для разработки на пе</w:t>
      </w:r>
      <w:r w:rsidRPr="00E14102">
        <w:rPr>
          <w:color w:val="000000" w:themeColor="text1"/>
          <w:sz w:val="16"/>
          <w:szCs w:val="16"/>
        </w:rPr>
        <w:softHyphen/>
        <w:t>сте и изготовления непосредственно производственными цехами мелких приспособлений и инструментов, потреби ость которых выяв</w:t>
      </w:r>
      <w:r w:rsidRPr="00E14102">
        <w:rPr>
          <w:color w:val="000000" w:themeColor="text1"/>
          <w:sz w:val="16"/>
          <w:szCs w:val="16"/>
        </w:rPr>
        <w:softHyphen/>
        <w:t>лялась по ходу производств?:.</w:t>
      </w:r>
    </w:p>
    <w:p w14:paraId="6D4BB7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Внедрение заводом системы качественной оценки сдаваемой БИП продукции на: "отлично, "хорошо", "удовлетворительно". Эта система поставила на новую высоту соцсоревнование и способ-1ствовада обеспечение и своевременности выпуска новых самолетов цовле творительного качества.</w:t>
      </w:r>
    </w:p>
    <w:p w14:paraId="0CCDFCA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Факторами отрицательного порядка, тормозившими выполнение плана были:</w:t>
      </w:r>
    </w:p>
    <w:p w14:paraId="5561AD4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Несвоевременное поступление от поставщиков материалов (и их частичная некондиционность), готовых изделий и приборов.</w:t>
      </w:r>
    </w:p>
    <w:p w14:paraId="1F41D2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Конструкторские изменения и переделки, вводившиеся в об"екты И-15 и И-16 по требованию закачика УВВС в процессе осуществления производства этой новой продукции.</w:t>
      </w:r>
    </w:p>
    <w:p w14:paraId="3B461F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Отчетная фабрично-заводская себестоимость сравнимой с 1933 г. продукции снижена на 11,5%, при задании в 8,7%, и составила 92.6% к плану</w:t>
      </w:r>
    </w:p>
    <w:p w14:paraId="0C4564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Средне годовая выработка рабочих по серийному производству выросла против плана на 9,1%</w:t>
      </w:r>
    </w:p>
    <w:p w14:paraId="5D343D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Главнейшими факторами, обусловившими рост производительно</w:t>
      </w:r>
      <w:r w:rsidRPr="00E14102">
        <w:rPr>
          <w:color w:val="000000" w:themeColor="text1"/>
          <w:sz w:val="16"/>
          <w:szCs w:val="16"/>
        </w:rPr>
        <w:softHyphen/>
        <w:t>сти труда рабочих были: переброски в цеха аппарата по техноло</w:t>
      </w:r>
      <w:r w:rsidRPr="00E14102">
        <w:rPr>
          <w:color w:val="000000" w:themeColor="text1"/>
          <w:sz w:val="16"/>
          <w:szCs w:val="16"/>
        </w:rPr>
        <w:softHyphen/>
        <w:t>гическому планированию и технологическому нормированию, больший охват работ технормами.рост сдельщины с 66.6% в 1 кв. до 91,2% в 1У кв., рост рацпредложений по механизации трудовых процессов.</w:t>
      </w:r>
    </w:p>
    <w:p w14:paraId="381AE8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 Общий фонд зарплаты всех работающих вырос против плана на 10,8%, с учетом выполнения плава по валовой продукции перерас</w:t>
      </w:r>
      <w:r w:rsidRPr="00E14102">
        <w:rPr>
          <w:color w:val="000000" w:themeColor="text1"/>
          <w:sz w:val="16"/>
          <w:szCs w:val="16"/>
        </w:rPr>
        <w:softHyphen/>
        <w:t>ход фонда составил 1.401 тыс. руб., или 10,3%, обусловленной в из</w:t>
      </w:r>
      <w:r w:rsidRPr="00E14102">
        <w:rPr>
          <w:color w:val="000000" w:themeColor="text1"/>
          <w:sz w:val="16"/>
          <w:szCs w:val="16"/>
        </w:rPr>
        <w:softHyphen/>
        <w:t>вестной мере выплатой оборонной прибавки, допущением сверхурочных работ для обеспечения своевременного выполнения правительствен</w:t>
      </w:r>
      <w:r w:rsidRPr="00E14102">
        <w:rPr>
          <w:color w:val="000000" w:themeColor="text1"/>
          <w:sz w:val="16"/>
          <w:szCs w:val="16"/>
        </w:rPr>
        <w:softHyphen/>
        <w:t>ного задания.</w:t>
      </w:r>
    </w:p>
    <w:p w14:paraId="7B47B6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 Средне-годовая зарплата по категориям работащих дает превышение плана: но рабочим на 29,9%, ИТР - 13, 7%, КСХ - 10,7%.</w:t>
      </w:r>
    </w:p>
    <w:p w14:paraId="093B5E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 Процент сверхурочных работ составил 13.1% по серийному и 14,0% по опытному производствам.</w:t>
      </w:r>
    </w:p>
    <w:p w14:paraId="459DE6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13) План заготовления материалов выполнен свыше, чем на 100% по черным и цветным металлам и недовыполнен по вспомогательным мате риалам.</w:t>
      </w:r>
    </w:p>
    <w:p w14:paraId="559222E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 В отчетном году имели место перебои в снабжали цветными металлами и легированными сталями.</w:t>
      </w:r>
    </w:p>
    <w:p w14:paraId="6251EA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Договорная дисциплина в части поставок заводу в отли</w:t>
      </w:r>
      <w:r w:rsidRPr="00E14102">
        <w:rPr>
          <w:color w:val="000000" w:themeColor="text1"/>
          <w:sz w:val="16"/>
          <w:szCs w:val="16"/>
        </w:rPr>
        <w:softHyphen/>
        <w:t>чие от 1933 года значительно укрепилась.</w:t>
      </w:r>
    </w:p>
    <w:p w14:paraId="7B9D66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16) План сбыта в связи с перевыполнением производственной программы и выполнением большого количества заказов на сторону - - перевыполнен. Все договора по сдаче продукции заводом вштод-неш полностью,но с опозданиями в сроках,в связи с задержками выхода продукции из производства из-за конструктивных изменений и переделок.</w:t>
      </w:r>
    </w:p>
    <w:p w14:paraId="6070F8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17) Запасы всех материальных ценностей составили на 1/1-35 г. - 5.921,9 тыс.руб. против 5.432 тыс.руб. на 1/1-1934 г. и 4.288,0 тыс.руб. по плану.</w:t>
      </w:r>
    </w:p>
    <w:p w14:paraId="68EB47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18) Остатки незавершенного производства и полуфабрикатов на 1/1-35 г. выражаются в сумме 10.976 тыс.руб. против 11.004 т.р. по плану. Из них остатки по серийному производству составляют 1.103 тыс.руб. против плановой суммы в 1.080 тыс.руб.</w:t>
      </w:r>
    </w:p>
    <w:p w14:paraId="251E1B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 Дебиторы по прочий операциям снижены против прошлого года с 1.314,2 тыс.руб. до 163,9 тыс.руб. при плане в 375 тыс. руб.; сомнительные долги сниженыс 588,8 тыс .руб. до 3,2 тыс. рубл.</w:t>
      </w:r>
    </w:p>
    <w:p w14:paraId="0F1A46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 По накладный расходам имеет шсто перерасход как по це</w:t>
      </w:r>
      <w:r w:rsidRPr="00E14102">
        <w:rPr>
          <w:color w:val="000000" w:themeColor="text1"/>
          <w:sz w:val="16"/>
          <w:szCs w:val="16"/>
        </w:rPr>
        <w:softHyphen/>
        <w:t>ховым, так и по общезаводским расходам, выражающийся в сумме 1.152 тыс.руб. по цеховым расходам (что составляет 12% к плану) и 681 тыс .руб. по общезаводских расходам (управленческим и общепроизводственанм - 15% к плану).</w:t>
      </w:r>
    </w:p>
    <w:p w14:paraId="7E14275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 Убыток в 5.773 тыс.руб. произошел, главным образом, за счех реализации (4.259 тыс.руб.), а также потерь от производствен</w:t>
      </w:r>
      <w:r w:rsidRPr="00E14102">
        <w:rPr>
          <w:color w:val="000000" w:themeColor="text1"/>
          <w:sz w:val="16"/>
          <w:szCs w:val="16"/>
        </w:rPr>
        <w:softHyphen/>
        <w:t>ного риска (1.525 тыс.руб.).</w:t>
      </w:r>
    </w:p>
    <w:p w14:paraId="663700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22) Постановление Совета по Отчетности за 1933 год по основ</w:t>
      </w:r>
      <w:r w:rsidRPr="00E14102">
        <w:rPr>
          <w:color w:val="000000" w:themeColor="text1"/>
          <w:sz w:val="16"/>
          <w:szCs w:val="16"/>
        </w:rPr>
        <w:softHyphen/>
        <w:t>ной деятельности в части финансового хозяйства выполнено лишь в отношении дебиторской задолавнности, каковая снвяена на 2.250 тыс. руб. при задании в 2.000 тыс.руб.. что касается кредиторской за-долазнности, то вместо снижения на 1.000 тыс.руб. по постановле</w:t>
      </w:r>
      <w:r w:rsidRPr="00E14102">
        <w:rPr>
          <w:color w:val="000000" w:themeColor="text1"/>
          <w:sz w:val="16"/>
          <w:szCs w:val="16"/>
        </w:rPr>
        <w:softHyphen/>
        <w:t>ние Совета, имеет место прирост на 769 тыс.руб.</w:t>
      </w:r>
    </w:p>
    <w:p w14:paraId="6713DBB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23) В отчетном году заводом проведен ряд мероприятий по улуч</w:t>
      </w:r>
      <w:r w:rsidRPr="00E14102">
        <w:rPr>
          <w:color w:val="000000" w:themeColor="text1"/>
          <w:sz w:val="16"/>
          <w:szCs w:val="16"/>
        </w:rPr>
        <w:softHyphen/>
        <w:t>шению учета, в частности: по оформлению и прохождению рабкарт, частичному сокращению, упрощению и унификации форм первичной до</w:t>
      </w:r>
      <w:r w:rsidRPr="00E14102">
        <w:rPr>
          <w:color w:val="000000" w:themeColor="text1"/>
          <w:sz w:val="16"/>
          <w:szCs w:val="16"/>
        </w:rPr>
        <w:softHyphen/>
        <w:t>кументации, вообще, по централизации бухгалтерского и статистиче</w:t>
      </w:r>
      <w:r w:rsidRPr="00E14102">
        <w:rPr>
          <w:color w:val="000000" w:themeColor="text1"/>
          <w:sz w:val="16"/>
          <w:szCs w:val="16"/>
        </w:rPr>
        <w:softHyphen/>
        <w:t>ского учета.</w:t>
      </w:r>
    </w:p>
    <w:p w14:paraId="7FE025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24) Годовой отчет представлен в рекордный срок, т.е. за 25 дней до срока и по качеству вполне удовлетворителен.</w:t>
      </w:r>
    </w:p>
    <w:p w14:paraId="55044C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ГУАПпостановляет:</w:t>
      </w:r>
    </w:p>
    <w:p w14:paraId="20EDF3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Производственно-хозяйственнуэ деятелъность завода за 1924 год призвать удовлетворительной.</w:t>
      </w:r>
    </w:p>
    <w:p w14:paraId="639669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Отметить, что завод добился положительных результатов, главным образом, благодаря току, что перевод производства с типа тяжелого самолетостроения на мелкосерийное произведен в исключительно короткий срок.</w:t>
      </w:r>
    </w:p>
    <w:p w14:paraId="1C64B0C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Включитъ завод № 39 в число предприятий, участаузаздос во Всесоюзном конкурсе НКТП имени УП С"езда Советов на лучший годовой отчет.</w:t>
      </w:r>
    </w:p>
    <w:p w14:paraId="5DDE0E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Преддошть Директору завода № 39</w:t>
      </w:r>
    </w:p>
    <w:p w14:paraId="2AEE29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Обеспечить дальнейшее улучшение качества выпускаемой продукции</w:t>
      </w:r>
    </w:p>
    <w:p w14:paraId="0DC689A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Погасить сверхнормативную кредиторскую задолженность.</w:t>
      </w:r>
    </w:p>
    <w:p w14:paraId="149C4A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Не допускать перерасхода против утзержденных смет.</w:t>
      </w:r>
    </w:p>
    <w:p w14:paraId="4AD1A1E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Принять меры к недопущению сверхурочных работ</w:t>
      </w:r>
    </w:p>
    <w:p w14:paraId="673CD1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Вести дальнейшие работы по сокращению и упрощению уче</w:t>
      </w:r>
      <w:r w:rsidRPr="00E14102">
        <w:rPr>
          <w:color w:val="000000" w:themeColor="text1"/>
          <w:sz w:val="16"/>
          <w:szCs w:val="16"/>
        </w:rPr>
        <w:softHyphen/>
        <w:t>та и его улучшению (2326,61).</w:t>
      </w:r>
    </w:p>
    <w:p w14:paraId="234B046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дополнение к своим письмам от 20.12 34 г. за № 3190с и от 20 февраля № 474с настоящим уточняю обязательные сроки получения здесь в Москве моторов К14.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28"/>
        <w:gridCol w:w="810"/>
        <w:gridCol w:w="1863"/>
        <w:gridCol w:w="4276"/>
      </w:tblGrid>
      <w:tr w:rsidR="00E3599D" w:rsidRPr="00E14102" w14:paraId="7CA8C736" w14:textId="77777777">
        <w:tc>
          <w:tcPr>
            <w:tcW w:w="2628" w:type="dxa"/>
            <w:tcBorders>
              <w:top w:val="single" w:sz="12" w:space="0" w:color="auto"/>
            </w:tcBorders>
          </w:tcPr>
          <w:p w14:paraId="0FF5322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Наименование самолета</w:t>
            </w:r>
          </w:p>
        </w:tc>
        <w:tc>
          <w:tcPr>
            <w:tcW w:w="810" w:type="dxa"/>
            <w:tcBorders>
              <w:top w:val="single" w:sz="12" w:space="0" w:color="auto"/>
            </w:tcBorders>
          </w:tcPr>
          <w:p w14:paraId="4C9194E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Колич. моторов</w:t>
            </w:r>
          </w:p>
        </w:tc>
        <w:tc>
          <w:tcPr>
            <w:tcW w:w="1863" w:type="dxa"/>
            <w:tcBorders>
              <w:top w:val="single" w:sz="12" w:space="0" w:color="auto"/>
            </w:tcBorders>
          </w:tcPr>
          <w:p w14:paraId="080A25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Крайний срок до</w:t>
            </w:r>
            <w:r w:rsidRPr="00E14102">
              <w:rPr>
                <w:color w:val="000000" w:themeColor="text1"/>
                <w:sz w:val="16"/>
                <w:szCs w:val="16"/>
              </w:rPr>
              <w:softHyphen/>
              <w:t>ставки для установки на самол.</w:t>
            </w:r>
          </w:p>
        </w:tc>
        <w:tc>
          <w:tcPr>
            <w:tcW w:w="4276" w:type="dxa"/>
            <w:tcBorders>
              <w:top w:val="single" w:sz="12" w:space="0" w:color="auto"/>
            </w:tcBorders>
          </w:tcPr>
          <w:p w14:paraId="083F3A3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0698FDD8" w14:textId="77777777">
        <w:tc>
          <w:tcPr>
            <w:tcW w:w="2628" w:type="dxa"/>
          </w:tcPr>
          <w:p w14:paraId="71EF59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ДБ-2</w:t>
            </w:r>
          </w:p>
        </w:tc>
        <w:tc>
          <w:tcPr>
            <w:tcW w:w="810" w:type="dxa"/>
          </w:tcPr>
          <w:p w14:paraId="063C14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863" w:type="dxa"/>
          </w:tcPr>
          <w:p w14:paraId="49F691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марта 35 г.</w:t>
            </w:r>
          </w:p>
        </w:tc>
        <w:tc>
          <w:tcPr>
            <w:tcW w:w="4276" w:type="dxa"/>
          </w:tcPr>
          <w:p w14:paraId="133F83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Рудукция 1:2 с ВИШ</w:t>
            </w:r>
          </w:p>
        </w:tc>
      </w:tr>
      <w:tr w:rsidR="00E3599D" w:rsidRPr="00E14102" w14:paraId="7B3BB467" w14:textId="77777777">
        <w:tc>
          <w:tcPr>
            <w:tcW w:w="2628" w:type="dxa"/>
          </w:tcPr>
          <w:p w14:paraId="364EF1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запас</w:t>
            </w:r>
          </w:p>
        </w:tc>
        <w:tc>
          <w:tcPr>
            <w:tcW w:w="810" w:type="dxa"/>
          </w:tcPr>
          <w:p w14:paraId="0D90D8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863" w:type="dxa"/>
          </w:tcPr>
          <w:p w14:paraId="08BBB6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мая 35 г.</w:t>
            </w:r>
          </w:p>
        </w:tc>
        <w:tc>
          <w:tcPr>
            <w:tcW w:w="4276" w:type="dxa"/>
          </w:tcPr>
          <w:p w14:paraId="245F689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0D66CAB" w14:textId="77777777">
        <w:tc>
          <w:tcPr>
            <w:tcW w:w="2628" w:type="dxa"/>
          </w:tcPr>
          <w:p w14:paraId="3C84CD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ДИ8</w:t>
            </w:r>
          </w:p>
        </w:tc>
        <w:tc>
          <w:tcPr>
            <w:tcW w:w="810" w:type="dxa"/>
          </w:tcPr>
          <w:p w14:paraId="4DDCD6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863" w:type="dxa"/>
          </w:tcPr>
          <w:p w14:paraId="2C1787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марта 35 г.</w:t>
            </w:r>
          </w:p>
        </w:tc>
        <w:tc>
          <w:tcPr>
            <w:tcW w:w="4276" w:type="dxa"/>
          </w:tcPr>
          <w:p w14:paraId="1DC530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Редукция 2:3 с металлич. винтами</w:t>
            </w:r>
          </w:p>
        </w:tc>
      </w:tr>
      <w:tr w:rsidR="00E3599D" w:rsidRPr="00E14102" w14:paraId="41D142FB" w14:textId="77777777">
        <w:tc>
          <w:tcPr>
            <w:tcW w:w="2628" w:type="dxa"/>
          </w:tcPr>
          <w:p w14:paraId="2D139D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запас</w:t>
            </w:r>
          </w:p>
        </w:tc>
        <w:tc>
          <w:tcPr>
            <w:tcW w:w="810" w:type="dxa"/>
          </w:tcPr>
          <w:p w14:paraId="649519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863" w:type="dxa"/>
          </w:tcPr>
          <w:p w14:paraId="471104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35 г.</w:t>
            </w:r>
          </w:p>
        </w:tc>
        <w:tc>
          <w:tcPr>
            <w:tcW w:w="4276" w:type="dxa"/>
          </w:tcPr>
          <w:p w14:paraId="72E477B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94C4B22" w14:textId="77777777">
        <w:tc>
          <w:tcPr>
            <w:tcW w:w="2628" w:type="dxa"/>
          </w:tcPr>
          <w:p w14:paraId="140364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АНТ 35</w:t>
            </w:r>
          </w:p>
        </w:tc>
        <w:tc>
          <w:tcPr>
            <w:tcW w:w="810" w:type="dxa"/>
          </w:tcPr>
          <w:p w14:paraId="61255B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863" w:type="dxa"/>
          </w:tcPr>
          <w:p w14:paraId="712493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35 г.</w:t>
            </w:r>
          </w:p>
        </w:tc>
        <w:tc>
          <w:tcPr>
            <w:tcW w:w="4276" w:type="dxa"/>
          </w:tcPr>
          <w:p w14:paraId="23373D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Редукция 2:3 с металлич. винтами</w:t>
            </w:r>
          </w:p>
        </w:tc>
      </w:tr>
      <w:tr w:rsidR="00E3599D" w:rsidRPr="00E14102" w14:paraId="5CFCB2D5" w14:textId="77777777">
        <w:tc>
          <w:tcPr>
            <w:tcW w:w="2628" w:type="dxa"/>
          </w:tcPr>
          <w:p w14:paraId="1EEB0B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запас</w:t>
            </w:r>
          </w:p>
        </w:tc>
        <w:tc>
          <w:tcPr>
            <w:tcW w:w="810" w:type="dxa"/>
          </w:tcPr>
          <w:p w14:paraId="3A2AD7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863" w:type="dxa"/>
          </w:tcPr>
          <w:p w14:paraId="18911E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35 г.</w:t>
            </w:r>
          </w:p>
        </w:tc>
        <w:tc>
          <w:tcPr>
            <w:tcW w:w="4276" w:type="dxa"/>
          </w:tcPr>
          <w:p w14:paraId="123D83F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9DE476D" w14:textId="77777777">
        <w:tc>
          <w:tcPr>
            <w:tcW w:w="2628" w:type="dxa"/>
          </w:tcPr>
          <w:p w14:paraId="65658B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Экспер. Машина АНТ 43</w:t>
            </w:r>
          </w:p>
        </w:tc>
        <w:tc>
          <w:tcPr>
            <w:tcW w:w="810" w:type="dxa"/>
          </w:tcPr>
          <w:p w14:paraId="039B98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863" w:type="dxa"/>
          </w:tcPr>
          <w:p w14:paraId="033BEA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июня 35 г.</w:t>
            </w:r>
          </w:p>
        </w:tc>
        <w:tc>
          <w:tcPr>
            <w:tcW w:w="4276" w:type="dxa"/>
          </w:tcPr>
          <w:p w14:paraId="2CB153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Редукция 2:3 с металлич. винтом</w:t>
            </w:r>
          </w:p>
        </w:tc>
      </w:tr>
      <w:tr w:rsidR="00E3599D" w:rsidRPr="00E14102" w14:paraId="6A15E31A" w14:textId="77777777">
        <w:tc>
          <w:tcPr>
            <w:tcW w:w="2628" w:type="dxa"/>
          </w:tcPr>
          <w:p w14:paraId="4F66E1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w:t>
            </w:r>
          </w:p>
        </w:tc>
        <w:tc>
          <w:tcPr>
            <w:tcW w:w="810" w:type="dxa"/>
          </w:tcPr>
          <w:p w14:paraId="38F396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863" w:type="dxa"/>
          </w:tcPr>
          <w:p w14:paraId="73EC32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35 г.</w:t>
            </w:r>
          </w:p>
        </w:tc>
        <w:tc>
          <w:tcPr>
            <w:tcW w:w="4276" w:type="dxa"/>
          </w:tcPr>
          <w:p w14:paraId="4760DD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Редукция 2:3 с металлич. винтом диаметром 3.4 м</w:t>
            </w:r>
          </w:p>
        </w:tc>
      </w:tr>
      <w:tr w:rsidR="00E3599D" w:rsidRPr="00E14102" w14:paraId="2D4B216E" w14:textId="77777777">
        <w:tc>
          <w:tcPr>
            <w:tcW w:w="2628" w:type="dxa"/>
          </w:tcPr>
          <w:p w14:paraId="64B655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w:t>
            </w:r>
          </w:p>
        </w:tc>
        <w:tc>
          <w:tcPr>
            <w:tcW w:w="810" w:type="dxa"/>
          </w:tcPr>
          <w:p w14:paraId="41F64A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863" w:type="dxa"/>
          </w:tcPr>
          <w:p w14:paraId="2095B9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35 г.</w:t>
            </w:r>
          </w:p>
        </w:tc>
        <w:tc>
          <w:tcPr>
            <w:tcW w:w="4276" w:type="dxa"/>
          </w:tcPr>
          <w:p w14:paraId="2B0657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Редукция 2:3 с металлич. винтами</w:t>
            </w:r>
          </w:p>
        </w:tc>
      </w:tr>
      <w:tr w:rsidR="00E3599D" w:rsidRPr="00E14102" w14:paraId="7988877C" w14:textId="77777777">
        <w:tc>
          <w:tcPr>
            <w:tcW w:w="2628" w:type="dxa"/>
          </w:tcPr>
          <w:p w14:paraId="364E48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МТБ-2</w:t>
            </w:r>
          </w:p>
        </w:tc>
        <w:tc>
          <w:tcPr>
            <w:tcW w:w="810" w:type="dxa"/>
          </w:tcPr>
          <w:p w14:paraId="744A25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863" w:type="dxa"/>
          </w:tcPr>
          <w:p w14:paraId="5B8C7B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июня 35 г.</w:t>
            </w:r>
          </w:p>
        </w:tc>
        <w:tc>
          <w:tcPr>
            <w:tcW w:w="4276" w:type="dxa"/>
          </w:tcPr>
          <w:p w14:paraId="376A06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Редукция 2:3 с металлич. винтами ВИШ 3-х лопасными</w:t>
            </w:r>
          </w:p>
        </w:tc>
      </w:tr>
      <w:tr w:rsidR="00E3599D" w:rsidRPr="00E14102" w14:paraId="3A698380" w14:textId="77777777">
        <w:tc>
          <w:tcPr>
            <w:tcW w:w="2628" w:type="dxa"/>
          </w:tcPr>
          <w:p w14:paraId="05C28D39" w14:textId="77777777" w:rsidR="00D4105E" w:rsidRPr="00E14102" w:rsidRDefault="00D4105E" w:rsidP="00E14102">
            <w:pPr>
              <w:autoSpaceDE w:val="0"/>
              <w:autoSpaceDN w:val="0"/>
              <w:adjustRightInd w:val="0"/>
              <w:jc w:val="both"/>
              <w:rPr>
                <w:color w:val="000000" w:themeColor="text1"/>
                <w:sz w:val="16"/>
                <w:szCs w:val="16"/>
              </w:rPr>
            </w:pPr>
          </w:p>
        </w:tc>
        <w:tc>
          <w:tcPr>
            <w:tcW w:w="810" w:type="dxa"/>
          </w:tcPr>
          <w:p w14:paraId="13B069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863" w:type="dxa"/>
          </w:tcPr>
          <w:p w14:paraId="71D96E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35 г.</w:t>
            </w:r>
          </w:p>
        </w:tc>
        <w:tc>
          <w:tcPr>
            <w:tcW w:w="4276" w:type="dxa"/>
          </w:tcPr>
          <w:p w14:paraId="3D7B333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B0145C5" w14:textId="77777777">
        <w:tc>
          <w:tcPr>
            <w:tcW w:w="2628" w:type="dxa"/>
            <w:tcBorders>
              <w:bottom w:val="single" w:sz="12" w:space="0" w:color="auto"/>
            </w:tcBorders>
          </w:tcPr>
          <w:p w14:paraId="7CE6A541" w14:textId="77777777" w:rsidR="00D4105E" w:rsidRPr="00E14102" w:rsidRDefault="00D4105E" w:rsidP="00E14102">
            <w:pPr>
              <w:autoSpaceDE w:val="0"/>
              <w:autoSpaceDN w:val="0"/>
              <w:adjustRightInd w:val="0"/>
              <w:jc w:val="both"/>
              <w:rPr>
                <w:color w:val="000000" w:themeColor="text1"/>
                <w:sz w:val="16"/>
                <w:szCs w:val="16"/>
              </w:rPr>
            </w:pPr>
          </w:p>
        </w:tc>
        <w:tc>
          <w:tcPr>
            <w:tcW w:w="810" w:type="dxa"/>
            <w:tcBorders>
              <w:bottom w:val="single" w:sz="12" w:space="0" w:color="auto"/>
            </w:tcBorders>
          </w:tcPr>
          <w:p w14:paraId="375EB4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863" w:type="dxa"/>
            <w:tcBorders>
              <w:bottom w:val="single" w:sz="12" w:space="0" w:color="auto"/>
            </w:tcBorders>
          </w:tcPr>
          <w:p w14:paraId="472E90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февраля 36 г.</w:t>
            </w:r>
          </w:p>
        </w:tc>
        <w:tc>
          <w:tcPr>
            <w:tcW w:w="4276" w:type="dxa"/>
            <w:tcBorders>
              <w:bottom w:val="single" w:sz="12" w:space="0" w:color="auto"/>
            </w:tcBorders>
          </w:tcPr>
          <w:p w14:paraId="606EF030" w14:textId="77777777" w:rsidR="00D4105E" w:rsidRPr="00E14102" w:rsidRDefault="00D4105E" w:rsidP="00E14102">
            <w:pPr>
              <w:autoSpaceDE w:val="0"/>
              <w:autoSpaceDN w:val="0"/>
              <w:adjustRightInd w:val="0"/>
              <w:jc w:val="both"/>
              <w:rPr>
                <w:color w:val="000000" w:themeColor="text1"/>
                <w:sz w:val="16"/>
                <w:szCs w:val="16"/>
              </w:rPr>
            </w:pPr>
          </w:p>
        </w:tc>
      </w:tr>
    </w:tbl>
    <w:p w14:paraId="1ADE525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Суммируя по срокам подачи указанные моторы имеем необходимость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E3599D" w:rsidRPr="00E14102" w14:paraId="2E3690A3" w14:textId="77777777">
        <w:tc>
          <w:tcPr>
            <w:tcW w:w="3192" w:type="dxa"/>
            <w:tcBorders>
              <w:top w:val="single" w:sz="12" w:space="0" w:color="auto"/>
            </w:tcBorders>
            <w:shd w:val="clear" w:color="auto" w:fill="FFFFFF"/>
          </w:tcPr>
          <w:p w14:paraId="5E0A6B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15-25 марта</w:t>
            </w:r>
          </w:p>
        </w:tc>
        <w:tc>
          <w:tcPr>
            <w:tcW w:w="3192" w:type="dxa"/>
            <w:tcBorders>
              <w:top w:val="single" w:sz="12" w:space="0" w:color="auto"/>
            </w:tcBorders>
            <w:shd w:val="clear" w:color="auto" w:fill="FFFFFF"/>
          </w:tcPr>
          <w:p w14:paraId="50C3B8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3192" w:type="dxa"/>
            <w:tcBorders>
              <w:top w:val="single" w:sz="12" w:space="0" w:color="auto"/>
            </w:tcBorders>
            <w:shd w:val="clear" w:color="auto" w:fill="FFFFFF"/>
          </w:tcPr>
          <w:p w14:paraId="7F850C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 2:3</w:t>
            </w:r>
          </w:p>
        </w:tc>
      </w:tr>
      <w:tr w:rsidR="00E3599D" w:rsidRPr="00E14102" w14:paraId="0C09A10E" w14:textId="77777777">
        <w:tc>
          <w:tcPr>
            <w:tcW w:w="3192" w:type="dxa"/>
            <w:shd w:val="clear" w:color="auto" w:fill="FFFFFF"/>
          </w:tcPr>
          <w:p w14:paraId="7E5797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15-25 марта</w:t>
            </w:r>
          </w:p>
        </w:tc>
        <w:tc>
          <w:tcPr>
            <w:tcW w:w="3192" w:type="dxa"/>
            <w:shd w:val="clear" w:color="auto" w:fill="FFFFFF"/>
          </w:tcPr>
          <w:p w14:paraId="016D44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3192" w:type="dxa"/>
            <w:shd w:val="clear" w:color="auto" w:fill="FFFFFF"/>
          </w:tcPr>
          <w:p w14:paraId="57DE73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 1:2</w:t>
            </w:r>
          </w:p>
        </w:tc>
      </w:tr>
      <w:tr w:rsidR="00E3599D" w:rsidRPr="00E14102" w14:paraId="11E17379" w14:textId="77777777">
        <w:tc>
          <w:tcPr>
            <w:tcW w:w="3192" w:type="dxa"/>
            <w:shd w:val="clear" w:color="auto" w:fill="FFFFFF"/>
          </w:tcPr>
          <w:p w14:paraId="68743A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мая</w:t>
            </w:r>
          </w:p>
        </w:tc>
        <w:tc>
          <w:tcPr>
            <w:tcW w:w="3192" w:type="dxa"/>
            <w:shd w:val="clear" w:color="auto" w:fill="FFFFFF"/>
          </w:tcPr>
          <w:p w14:paraId="4E00A4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ред. 1:2</w:t>
            </w:r>
          </w:p>
        </w:tc>
        <w:tc>
          <w:tcPr>
            <w:tcW w:w="3192" w:type="dxa"/>
            <w:shd w:val="clear" w:color="auto" w:fill="FFFFFF"/>
          </w:tcPr>
          <w:p w14:paraId="09B2227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31D945D" w14:textId="77777777">
        <w:tc>
          <w:tcPr>
            <w:tcW w:w="3192" w:type="dxa"/>
            <w:shd w:val="clear" w:color="auto" w:fill="FFFFFF"/>
          </w:tcPr>
          <w:p w14:paraId="111791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w:t>
            </w:r>
          </w:p>
        </w:tc>
        <w:tc>
          <w:tcPr>
            <w:tcW w:w="3192" w:type="dxa"/>
            <w:shd w:val="clear" w:color="auto" w:fill="FFFFFF"/>
          </w:tcPr>
          <w:p w14:paraId="503852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3192" w:type="dxa"/>
            <w:shd w:val="clear" w:color="auto" w:fill="FFFFFF"/>
          </w:tcPr>
          <w:p w14:paraId="1BCB58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 2:3</w:t>
            </w:r>
          </w:p>
        </w:tc>
      </w:tr>
      <w:tr w:rsidR="00E3599D" w:rsidRPr="00E14102" w14:paraId="04C55D2B" w14:textId="77777777">
        <w:tc>
          <w:tcPr>
            <w:tcW w:w="3192" w:type="dxa"/>
            <w:shd w:val="clear" w:color="auto" w:fill="FFFFFF"/>
          </w:tcPr>
          <w:p w14:paraId="00D1B1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июня</w:t>
            </w:r>
          </w:p>
        </w:tc>
        <w:tc>
          <w:tcPr>
            <w:tcW w:w="3192" w:type="dxa"/>
            <w:shd w:val="clear" w:color="auto" w:fill="FFFFFF"/>
          </w:tcPr>
          <w:p w14:paraId="079F66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3192" w:type="dxa"/>
            <w:shd w:val="clear" w:color="auto" w:fill="FFFFFF"/>
          </w:tcPr>
          <w:p w14:paraId="0925A8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 2:3</w:t>
            </w:r>
          </w:p>
        </w:tc>
      </w:tr>
      <w:tr w:rsidR="00E3599D" w:rsidRPr="00E14102" w14:paraId="1DD99088" w14:textId="77777777">
        <w:tc>
          <w:tcPr>
            <w:tcW w:w="3192" w:type="dxa"/>
            <w:shd w:val="clear" w:color="auto" w:fill="FFFFFF"/>
          </w:tcPr>
          <w:p w14:paraId="2293E1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июля</w:t>
            </w:r>
          </w:p>
        </w:tc>
        <w:tc>
          <w:tcPr>
            <w:tcW w:w="3192" w:type="dxa"/>
            <w:shd w:val="clear" w:color="auto" w:fill="FFFFFF"/>
          </w:tcPr>
          <w:p w14:paraId="1E464C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3192" w:type="dxa"/>
            <w:shd w:val="clear" w:color="auto" w:fill="FFFFFF"/>
          </w:tcPr>
          <w:p w14:paraId="09E47E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 2:3</w:t>
            </w:r>
          </w:p>
        </w:tc>
      </w:tr>
      <w:tr w:rsidR="00E3599D" w:rsidRPr="00E14102" w14:paraId="1D6B919F" w14:textId="77777777">
        <w:tc>
          <w:tcPr>
            <w:tcW w:w="3192" w:type="dxa"/>
            <w:shd w:val="clear" w:color="auto" w:fill="FFFFFF"/>
          </w:tcPr>
          <w:p w14:paraId="3E8A84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w:t>
            </w:r>
          </w:p>
        </w:tc>
        <w:tc>
          <w:tcPr>
            <w:tcW w:w="3192" w:type="dxa"/>
            <w:shd w:val="clear" w:color="auto" w:fill="FFFFFF"/>
          </w:tcPr>
          <w:p w14:paraId="630B7D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3192" w:type="dxa"/>
            <w:shd w:val="clear" w:color="auto" w:fill="FFFFFF"/>
          </w:tcPr>
          <w:p w14:paraId="4ACC5F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 2:3</w:t>
            </w:r>
          </w:p>
        </w:tc>
      </w:tr>
      <w:tr w:rsidR="00E3599D" w:rsidRPr="00E14102" w14:paraId="18FE3769" w14:textId="77777777">
        <w:tc>
          <w:tcPr>
            <w:tcW w:w="3192" w:type="dxa"/>
            <w:shd w:val="clear" w:color="auto" w:fill="FFFFFF"/>
          </w:tcPr>
          <w:p w14:paraId="42BE3F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w:t>
            </w:r>
          </w:p>
        </w:tc>
        <w:tc>
          <w:tcPr>
            <w:tcW w:w="3192" w:type="dxa"/>
            <w:shd w:val="clear" w:color="auto" w:fill="FFFFFF"/>
          </w:tcPr>
          <w:p w14:paraId="1798E6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3192" w:type="dxa"/>
            <w:shd w:val="clear" w:color="auto" w:fill="FFFFFF"/>
          </w:tcPr>
          <w:p w14:paraId="5FC80F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 2:3</w:t>
            </w:r>
          </w:p>
        </w:tc>
      </w:tr>
      <w:tr w:rsidR="00E3599D" w:rsidRPr="00E14102" w14:paraId="2F6B28AC" w14:textId="77777777">
        <w:tc>
          <w:tcPr>
            <w:tcW w:w="3192" w:type="dxa"/>
            <w:shd w:val="clear" w:color="auto" w:fill="FFFFFF"/>
          </w:tcPr>
          <w:p w14:paraId="6BA088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февраля</w:t>
            </w:r>
          </w:p>
        </w:tc>
        <w:tc>
          <w:tcPr>
            <w:tcW w:w="3192" w:type="dxa"/>
            <w:shd w:val="clear" w:color="auto" w:fill="FFFFFF"/>
          </w:tcPr>
          <w:p w14:paraId="089694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3192" w:type="dxa"/>
            <w:shd w:val="clear" w:color="auto" w:fill="FFFFFF"/>
          </w:tcPr>
          <w:p w14:paraId="13C609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 2:3</w:t>
            </w:r>
          </w:p>
        </w:tc>
      </w:tr>
      <w:tr w:rsidR="00E3599D" w:rsidRPr="00E14102" w14:paraId="0F1610FC" w14:textId="77777777">
        <w:tc>
          <w:tcPr>
            <w:tcW w:w="3192" w:type="dxa"/>
            <w:tcBorders>
              <w:bottom w:val="single" w:sz="12" w:space="0" w:color="auto"/>
            </w:tcBorders>
            <w:shd w:val="clear" w:color="auto" w:fill="FFFFFF"/>
          </w:tcPr>
          <w:p w14:paraId="3D040C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3192" w:type="dxa"/>
            <w:tcBorders>
              <w:bottom w:val="single" w:sz="12" w:space="0" w:color="auto"/>
            </w:tcBorders>
            <w:shd w:val="clear" w:color="auto" w:fill="FFFFFF"/>
          </w:tcPr>
          <w:p w14:paraId="5F52FA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w:t>
            </w:r>
          </w:p>
        </w:tc>
        <w:tc>
          <w:tcPr>
            <w:tcW w:w="3192" w:type="dxa"/>
            <w:tcBorders>
              <w:bottom w:val="single" w:sz="12" w:space="0" w:color="auto"/>
            </w:tcBorders>
            <w:shd w:val="clear" w:color="auto" w:fill="FFFFFF"/>
          </w:tcPr>
          <w:p w14:paraId="0D5EF628" w14:textId="77777777" w:rsidR="00D4105E" w:rsidRPr="00E14102" w:rsidRDefault="00D4105E" w:rsidP="00E14102">
            <w:pPr>
              <w:autoSpaceDE w:val="0"/>
              <w:autoSpaceDN w:val="0"/>
              <w:adjustRightInd w:val="0"/>
              <w:jc w:val="both"/>
              <w:rPr>
                <w:color w:val="000000" w:themeColor="text1"/>
                <w:sz w:val="16"/>
                <w:szCs w:val="16"/>
              </w:rPr>
            </w:pPr>
          </w:p>
        </w:tc>
      </w:tr>
    </w:tbl>
    <w:p w14:paraId="5C964C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Сверх того, согласно проекта постановления СТО по самолету ДБ-2 надлежит выписать к апрелю с.г. 3 К14 с редукцией 1:2 и сметаллическими ВИШ (2336,55).</w:t>
      </w:r>
    </w:p>
    <w:p w14:paraId="0D09F90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ДОКЛАД О НЕОБХОДИМЫХ МЕРОПРИЯТИЯХ ПО ПОДГОТОВКЕ К БОЮ НА ВЫСОТАХ 10-12.000 МЕТРОВ и ВЫШЕ.</w:t>
      </w:r>
    </w:p>
    <w:p w14:paraId="52A32E4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РАЗВИТИЕ ВЫСОТ</w:t>
      </w:r>
      <w:r w:rsidRPr="00E14102">
        <w:rPr>
          <w:color w:val="000000" w:themeColor="text1"/>
          <w:sz w:val="16"/>
          <w:szCs w:val="16"/>
        </w:rPr>
        <w:softHyphen/>
        <w:t>НОЙ АВИАЦИИ.</w:t>
      </w:r>
    </w:p>
    <w:p w14:paraId="59331E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Последние годы развития авиации характери</w:t>
      </w:r>
      <w:r w:rsidRPr="00E14102">
        <w:rPr>
          <w:color w:val="000000" w:themeColor="text1"/>
          <w:sz w:val="16"/>
          <w:szCs w:val="16"/>
        </w:rPr>
        <w:softHyphen/>
        <w:t>зуются очень большим вниманием, которое уделяет</w:t>
      </w:r>
      <w:r w:rsidRPr="00E14102">
        <w:rPr>
          <w:color w:val="000000" w:themeColor="text1"/>
          <w:sz w:val="16"/>
          <w:szCs w:val="16"/>
        </w:rPr>
        <w:softHyphen/>
        <w:t>ся во всех странах достижению наибольшей высота. Упорная борьба за кавдае 100 метров высоты ведет</w:t>
      </w:r>
      <w:r w:rsidRPr="00E14102">
        <w:rPr>
          <w:color w:val="000000" w:themeColor="text1"/>
          <w:sz w:val="16"/>
          <w:szCs w:val="16"/>
        </w:rPr>
        <w:softHyphen/>
        <w:t>ся во всех странах. Организуются специальные стратосферные школа по подготовке летного персо</w:t>
      </w:r>
      <w:r w:rsidRPr="00E14102">
        <w:rPr>
          <w:color w:val="000000" w:themeColor="text1"/>
          <w:sz w:val="16"/>
          <w:szCs w:val="16"/>
        </w:rPr>
        <w:softHyphen/>
        <w:t>нала, строятся камеры для испытания высотных мо</w:t>
      </w:r>
      <w:r w:rsidRPr="00E14102">
        <w:rPr>
          <w:color w:val="000000" w:themeColor="text1"/>
          <w:sz w:val="16"/>
          <w:szCs w:val="16"/>
        </w:rPr>
        <w:softHyphen/>
        <w:t>торов, изучается влияние стратосферы на человека и т.п.</w:t>
      </w:r>
    </w:p>
    <w:p w14:paraId="1917A4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Чем же об"ясяяетоя такая заинтересованность в овладении стратосферой?</w:t>
      </w:r>
    </w:p>
    <w:p w14:paraId="3B13FA7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одной сторона стратосфера открывает широкий путь для полетов о очень большими скоростями при всегда ясном небе, с другой стороны овладение стратосферой имеет несомненно большое военное значение. Пройти незамеченным через фронтовую полосу, вне досягаемости средств противовоздушной оборона, добраться до глубоких стратегических пунктов, сбросить бомбы, если нужно бесшумно сни</w:t>
      </w:r>
      <w:r w:rsidRPr="00E14102">
        <w:rPr>
          <w:color w:val="000000" w:themeColor="text1"/>
          <w:sz w:val="16"/>
          <w:szCs w:val="16"/>
        </w:rPr>
        <w:softHyphen/>
        <w:t>зиться, произвести фотос"емку и набирая высоту тем же путем уйти обратно. Так можно сформулиро</w:t>
      </w:r>
      <w:r w:rsidRPr="00E14102">
        <w:rPr>
          <w:color w:val="000000" w:themeColor="text1"/>
          <w:sz w:val="16"/>
          <w:szCs w:val="16"/>
        </w:rPr>
        <w:softHyphen/>
        <w:t>вать значение высотных полетов.</w:t>
      </w:r>
    </w:p>
    <w:p w14:paraId="087BE3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Как видно из графика рекордов высоты, прове</w:t>
      </w:r>
      <w:r w:rsidRPr="00E14102">
        <w:rPr>
          <w:color w:val="000000" w:themeColor="text1"/>
          <w:sz w:val="16"/>
          <w:szCs w:val="16"/>
        </w:rPr>
        <w:softHyphen/>
        <w:t>денная кривая еще не имеет тенденции загнуться книзу и следуя ей. а также и расчетным данным на высотах более 15-ти километров.</w:t>
      </w:r>
    </w:p>
    <w:p w14:paraId="13D631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Такое развитие высотной авиации стало воз</w:t>
      </w:r>
      <w:r w:rsidRPr="00E14102">
        <w:rPr>
          <w:color w:val="000000" w:themeColor="text1"/>
          <w:sz w:val="16"/>
          <w:szCs w:val="16"/>
        </w:rPr>
        <w:softHyphen/>
        <w:t>можным на основе роста высотности моторов. На при</w:t>
      </w:r>
      <w:r w:rsidRPr="00E14102">
        <w:rPr>
          <w:color w:val="000000" w:themeColor="text1"/>
          <w:sz w:val="16"/>
          <w:szCs w:val="16"/>
        </w:rPr>
        <w:softHyphen/>
        <w:t>лагаемом графике даны высотные'характеристики .не</w:t>
      </w:r>
      <w:r w:rsidRPr="00E14102">
        <w:rPr>
          <w:color w:val="000000" w:themeColor="text1"/>
          <w:sz w:val="16"/>
          <w:szCs w:val="16"/>
        </w:rPr>
        <w:softHyphen/>
        <w:t>которых моторов. Эти моторы уже существуют реаль</w:t>
      </w:r>
      <w:r w:rsidRPr="00E14102">
        <w:rPr>
          <w:color w:val="000000" w:themeColor="text1"/>
          <w:sz w:val="16"/>
          <w:szCs w:val="16"/>
        </w:rPr>
        <w:softHyphen/>
        <w:t>но, но нам известно, что уже сейчас проходят ис</w:t>
      </w:r>
      <w:r w:rsidRPr="00E14102">
        <w:rPr>
          <w:color w:val="000000" w:themeColor="text1"/>
          <w:sz w:val="16"/>
          <w:szCs w:val="16"/>
        </w:rPr>
        <w:softHyphen/>
        <w:t>пытание нагнетатели, обеспечивающие полную мощность мотора на 6-8.000 метров и проектируются с еще большей высотностью.</w:t>
      </w:r>
    </w:p>
    <w:p w14:paraId="1B24B7D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Это еще раз подтверждает, что мы стоим на</w:t>
      </w:r>
      <w:r w:rsidRPr="00E14102">
        <w:rPr>
          <w:color w:val="000000" w:themeColor="text1"/>
          <w:sz w:val="16"/>
          <w:szCs w:val="16"/>
        </w:rPr>
        <w:softHyphen/>
        <w:t>кануне полетов на высоте от 12-ти до 16-ти кило</w:t>
      </w:r>
      <w:r w:rsidRPr="00E14102">
        <w:rPr>
          <w:color w:val="000000" w:themeColor="text1"/>
          <w:sz w:val="16"/>
          <w:szCs w:val="16"/>
        </w:rPr>
        <w:softHyphen/>
        <w:t>метров.</w:t>
      </w:r>
    </w:p>
    <w:p w14:paraId="6AAD46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Положение нашего Союза таково, что мы ни на минуту не должны забывать о том, что в каждый дан</w:t>
      </w:r>
      <w:r w:rsidRPr="00E14102">
        <w:rPr>
          <w:color w:val="000000" w:themeColor="text1"/>
          <w:sz w:val="16"/>
          <w:szCs w:val="16"/>
        </w:rPr>
        <w:softHyphen/>
        <w:t>ный момент может возникнуть война. Л это обязывает нас быть готовыми не только к ведению войны на суше, на море, в воздухе, но и в стратосфере.</w:t>
      </w:r>
    </w:p>
    <w:p w14:paraId="147F8AC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Условия боя в стратосфере</w:t>
      </w:r>
    </w:p>
    <w:p w14:paraId="7BFB4D5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Рассматривая условия бол на высоте 10-12 километров, мы видим, что они весьма отличаются от земных. В самом деле, атмосфера там настолько раз</w:t>
      </w:r>
      <w:r w:rsidRPr="00E14102">
        <w:rPr>
          <w:color w:val="000000" w:themeColor="text1"/>
          <w:sz w:val="16"/>
          <w:szCs w:val="16"/>
        </w:rPr>
        <w:softHyphen/>
        <w:t>режена, что человек даже пользуясь кислородной маской, находится на грани потери сознания. Пилоты, летавшие'на высоте свыше 12-ти километров, ука</w:t>
      </w:r>
      <w:r w:rsidRPr="00E14102">
        <w:rPr>
          <w:color w:val="000000" w:themeColor="text1"/>
          <w:sz w:val="16"/>
          <w:szCs w:val="16"/>
        </w:rPr>
        <w:softHyphen/>
        <w:t xml:space="preserve">зывали почти единогласно на то, что ими овладевает сонливость, слабость и некоторые теряли .сознание, ; приходя в себя значительно позже на высоте 6-4-х </w:t>
      </w:r>
      <w:r w:rsidRPr="00E14102">
        <w:rPr>
          <w:color w:val="000000" w:themeColor="text1"/>
          <w:sz w:val="16"/>
          <w:szCs w:val="16"/>
          <w:vertAlign w:val="subscript"/>
        </w:rPr>
        <w:t xml:space="preserve">ж </w:t>
      </w:r>
      <w:r w:rsidRPr="00E14102">
        <w:rPr>
          <w:color w:val="000000" w:themeColor="text1"/>
          <w:sz w:val="16"/>
          <w:szCs w:val="16"/>
        </w:rPr>
        <w:t>километров, ото имело место в условиях спокойной работы с людьми длительно и тщательно готовившими</w:t>
      </w:r>
      <w:r w:rsidRPr="00E14102">
        <w:rPr>
          <w:color w:val="000000" w:themeColor="text1"/>
          <w:sz w:val="16"/>
          <w:szCs w:val="16"/>
        </w:rPr>
        <w:softHyphen/>
        <w:t>ся к полетам на этой высоте. В боевой обстановке от летчика и особенно от наблюдателя потребуется большое нервное напряжение и значительные мускуль</w:t>
      </w:r>
      <w:r w:rsidRPr="00E14102">
        <w:rPr>
          <w:color w:val="000000" w:themeColor="text1"/>
          <w:sz w:val="16"/>
          <w:szCs w:val="16"/>
        </w:rPr>
        <w:softHyphen/>
        <w:t>ные усилия, а это, как показывают врачебные иссле</w:t>
      </w:r>
      <w:r w:rsidRPr="00E14102">
        <w:rPr>
          <w:color w:val="000000" w:themeColor="text1"/>
          <w:sz w:val="16"/>
          <w:szCs w:val="16"/>
        </w:rPr>
        <w:softHyphen/>
        <w:t>дования, ограничивает активность человека высотой 9-10 километров.</w:t>
      </w:r>
    </w:p>
    <w:p w14:paraId="72D27E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Низкая температура влечет запотевание очков, а если их снять - смерзание век.</w:t>
      </w:r>
    </w:p>
    <w:p w14:paraId="104575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Ниже мы рассмотрим бой 3-х истребителей на высоте 12-ти километров.</w:t>
      </w:r>
    </w:p>
    <w:p w14:paraId="53BD25A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Истребитель А ведет летчик, имеющий теплый комбинезон, очки и кислородную маску обычного типа. Истребитель А встречается о потребителем Б, имею</w:t>
      </w:r>
      <w:r w:rsidRPr="00E14102">
        <w:rPr>
          <w:color w:val="000000" w:themeColor="text1"/>
          <w:sz w:val="16"/>
          <w:szCs w:val="16"/>
        </w:rPr>
        <w:softHyphen/>
        <w:t>щим на борту пилота в скафандре^ Самочувствие пи</w:t>
      </w:r>
      <w:r w:rsidRPr="00E14102">
        <w:rPr>
          <w:color w:val="000000" w:themeColor="text1"/>
          <w:sz w:val="16"/>
          <w:szCs w:val="16"/>
        </w:rPr>
        <w:softHyphen/>
        <w:t>лота Б ( мы соответственно истребителям будем име</w:t>
      </w:r>
      <w:r w:rsidRPr="00E14102">
        <w:rPr>
          <w:color w:val="000000" w:themeColor="text1"/>
          <w:sz w:val="16"/>
          <w:szCs w:val="16"/>
        </w:rPr>
        <w:softHyphen/>
        <w:t>новать и летчика) будет во много раз лучше чем яа-лота А: давление в скафандре будет близким к ат</w:t>
      </w:r>
      <w:r w:rsidRPr="00E14102">
        <w:rPr>
          <w:color w:val="000000" w:themeColor="text1"/>
          <w:sz w:val="16"/>
          <w:szCs w:val="16"/>
        </w:rPr>
        <w:softHyphen/>
        <w:t>мосферному, воздух обогащенный кислородом наполняет скафандр. Правда, движения пилота стеснены раздувшимся скафандром, но несмотря на это высокое мо</w:t>
      </w:r>
      <w:r w:rsidRPr="00E14102">
        <w:rPr>
          <w:color w:val="000000" w:themeColor="text1"/>
          <w:sz w:val="16"/>
          <w:szCs w:val="16"/>
        </w:rPr>
        <w:softHyphen/>
        <w:t>ральной состояние и хорошев самочувствие решают боя в пользу пилота. Б.</w:t>
      </w:r>
    </w:p>
    <w:p w14:paraId="1A5A64E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этот момент появляется истребитель В в пи</w:t>
      </w:r>
      <w:r w:rsidRPr="00E14102">
        <w:rPr>
          <w:color w:val="000000" w:themeColor="text1"/>
          <w:sz w:val="16"/>
          <w:szCs w:val="16"/>
        </w:rPr>
        <w:softHyphen/>
        <w:t>лотом, сидящим в герметической кабине. Пилот В чувствует себя в кабине лучше, чем пилот Б, и тем фолее пилота. А. Легко дышится, тепло, никаких не</w:t>
      </w:r>
      <w:r w:rsidRPr="00E14102">
        <w:rPr>
          <w:color w:val="000000" w:themeColor="text1"/>
          <w:sz w:val="16"/>
          <w:szCs w:val="16"/>
        </w:rPr>
        <w:softHyphen/>
        <w:t>удобств от потока воздуха, движения свободны. Зеркальные стекла кабины, подогреваемые р целях предохранения от замерзания и снабженные кроме того электрическими дворниками дают великолепный обзор пилоту В. Пилот В легко выходит победителем.</w:t>
      </w:r>
    </w:p>
    <w:p w14:paraId="18DE38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Многим покажутся эти рассуждения слишком про</w:t>
      </w:r>
      <w:r w:rsidRPr="00E14102">
        <w:rPr>
          <w:color w:val="000000" w:themeColor="text1"/>
          <w:sz w:val="16"/>
          <w:szCs w:val="16"/>
        </w:rPr>
        <w:softHyphen/>
        <w:t>стыми, но факт остается фактом. Двенадцать веловек, работающие в подводной лодке, во много раз боеспо</w:t>
      </w:r>
      <w:r w:rsidRPr="00E14102">
        <w:rPr>
          <w:color w:val="000000" w:themeColor="text1"/>
          <w:sz w:val="16"/>
          <w:szCs w:val="16"/>
        </w:rPr>
        <w:softHyphen/>
        <w:t>собнее, чем 100 водолазов, спущенных в воду в ововх водолазных костюмах.</w:t>
      </w:r>
    </w:p>
    <w:p w14:paraId="2026A7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Самый простой и наиболее распространенный спо</w:t>
      </w:r>
      <w:r w:rsidRPr="00E14102">
        <w:rPr>
          <w:color w:val="000000" w:themeColor="text1"/>
          <w:sz w:val="16"/>
          <w:szCs w:val="16"/>
        </w:rPr>
        <w:softHyphen/>
        <w:t>соб (см. фото) состоит в том, что пилот одевает маску, в которую подается кислород по гофрированной трубке из прорезиненной материи. Употреблять чистые резино</w:t>
      </w:r>
      <w:r w:rsidRPr="00E14102">
        <w:rPr>
          <w:color w:val="000000" w:themeColor="text1"/>
          <w:sz w:val="16"/>
          <w:szCs w:val="16"/>
        </w:rPr>
        <w:softHyphen/>
        <w:t>вые трубки не рекомендуется, так как резина при низких температурах делается хрупкой и были неоднократ</w:t>
      </w:r>
      <w:r w:rsidRPr="00E14102">
        <w:rPr>
          <w:color w:val="000000" w:themeColor="text1"/>
          <w:sz w:val="16"/>
          <w:szCs w:val="16"/>
        </w:rPr>
        <w:softHyphen/>
        <w:t>ные случав обрыва трубок яа высоте. Это система от</w:t>
      </w:r>
      <w:r w:rsidRPr="00E14102">
        <w:rPr>
          <w:color w:val="000000" w:themeColor="text1"/>
          <w:sz w:val="16"/>
          <w:szCs w:val="16"/>
        </w:rPr>
        <w:softHyphen/>
        <w:t>крытая - пилот выдыхает в атмосферу.</w:t>
      </w:r>
    </w:p>
    <w:p w14:paraId="05F987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Существует также закрытая система - когда пилот берет трубку, заканчивающуюся специальным наконечником; имеющим резиновую -шайбу,- которая закладывается между губами и «передними зубами. На нос одевается зажим.</w:t>
      </w:r>
    </w:p>
    <w:p w14:paraId="50D60C6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Пилот вдыхает и выдыхает в смесительный мешок. Система клапанов устанавливает циркуляцию потока воздуха. Выдыхаемый пилотом воздух проходит через патрон со щелочью, где происходит поглощение углекислоты, выделяемой человеком при дыхании. В смесительный мешок все время подается кислород. ста система более при</w:t>
      </w:r>
      <w:r w:rsidRPr="00E14102">
        <w:rPr>
          <w:color w:val="000000" w:themeColor="text1"/>
          <w:sz w:val="16"/>
          <w:szCs w:val="16"/>
        </w:rPr>
        <w:softHyphen/>
        <w:t>годна цля герметической гондолы, так как устраняется накопление вредной углекислоты.</w:t>
      </w:r>
    </w:p>
    <w:p w14:paraId="3EA693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Вместо баллона со сжатым кислородом можно упот</w:t>
      </w:r>
      <w:r w:rsidRPr="00E14102">
        <w:rPr>
          <w:color w:val="000000" w:themeColor="text1"/>
          <w:sz w:val="16"/>
          <w:szCs w:val="16"/>
        </w:rPr>
        <w:softHyphen/>
        <w:t>реблять сухой кислород. В этом случав плитка специаль</w:t>
      </w:r>
      <w:r w:rsidRPr="00E14102">
        <w:rPr>
          <w:color w:val="000000" w:themeColor="text1"/>
          <w:sz w:val="16"/>
          <w:szCs w:val="16"/>
        </w:rPr>
        <w:softHyphen/>
        <w:t>ного состава закладывается в металлический цилиндр и -плотно закрывается. Под действием электрического запала начинается химическая реакция, при которой вы</w:t>
      </w:r>
      <w:r w:rsidRPr="00E14102">
        <w:rPr>
          <w:color w:val="000000" w:themeColor="text1"/>
          <w:sz w:val="16"/>
          <w:szCs w:val="16"/>
        </w:rPr>
        <w:softHyphen/>
        <w:t>деляется кислород. Кислород проходи? через фильтр и поступает в смесительный мешок -и далее как в прежней схеме. Вместо баллонов со сжатым кислородом и сухого кислорода можно применять жидкий-киолород, наливаемый в дюаровский сосуд, снабженный испарителем. При по</w:t>
      </w:r>
      <w:r w:rsidRPr="00E14102">
        <w:rPr>
          <w:color w:val="000000" w:themeColor="text1"/>
          <w:sz w:val="16"/>
          <w:szCs w:val="16"/>
        </w:rPr>
        <w:softHyphen/>
        <w:t>ворачивании регулятора кислород поступает в испари</w:t>
      </w:r>
      <w:r w:rsidRPr="00E14102">
        <w:rPr>
          <w:color w:val="000000" w:themeColor="text1"/>
          <w:sz w:val="16"/>
          <w:szCs w:val="16"/>
        </w:rPr>
        <w:softHyphen/>
        <w:t>тель и далее к пилоту.</w:t>
      </w:r>
    </w:p>
    <w:p w14:paraId="176705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Второй способ - это применение скафандра.На фото изображен скафандр изготовленный для летчика ПОСТ. Скафандр представляет собой костюм, сшитый из воздухонепроницаемой ткани, которая долена иметь достаточную прочность, чтобы выдерживать разницу между давлением внутри скафандра и наружным. Для головы делается обычна металлическая маска со стеклами протев глаз. Система питания киолородои - замкнутая. Может быть применена и система искусственной вентиляции, когда воздух отводимый от импеллера или от специального ком</w:t>
      </w:r>
      <w:r w:rsidRPr="00E14102">
        <w:rPr>
          <w:color w:val="000000" w:themeColor="text1"/>
          <w:sz w:val="16"/>
          <w:szCs w:val="16"/>
        </w:rPr>
        <w:softHyphen/>
        <w:t>прессора, очищенный от примеси масла, прогоняется че</w:t>
      </w:r>
      <w:r w:rsidRPr="00E14102">
        <w:rPr>
          <w:color w:val="000000" w:themeColor="text1"/>
          <w:sz w:val="16"/>
          <w:szCs w:val="16"/>
        </w:rPr>
        <w:softHyphen/>
        <w:t>рез скафандр.</w:t>
      </w:r>
    </w:p>
    <w:p w14:paraId="665BEE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Скафандр является'весьма пригодным средством для совершения под"ема в стратосферу на любую высоту на самолетах, не имеющих герметической кабины. Хорошего образца скафандра мы еще не имеем, так как трудно осуществить герметическое соединение отдельных частей костюма. Кроме того возникают неприятности с выпуск</w:t>
      </w:r>
      <w:r w:rsidRPr="00E14102">
        <w:rPr>
          <w:color w:val="000000" w:themeColor="text1"/>
          <w:sz w:val="16"/>
          <w:szCs w:val="16"/>
        </w:rPr>
        <w:softHyphen/>
        <w:t>ным клапаном, через ятзторый выходит избыток воздуха из скафандра, т.к. влага содержащаяся в выходящем воздухе конденсируется и обмерзающий клапан переатает-работать. Неудобство для пило.та представляет также раздутие скафандра, затрудняющее огибание руки, паль</w:t>
      </w:r>
      <w:r w:rsidRPr="00E14102">
        <w:rPr>
          <w:color w:val="000000" w:themeColor="text1"/>
          <w:sz w:val="16"/>
          <w:szCs w:val="16"/>
        </w:rPr>
        <w:softHyphen/>
        <w:t>цев и ноги в суставах. Все эти трудности при соответ</w:t>
      </w:r>
      <w:r w:rsidRPr="00E14102">
        <w:rPr>
          <w:color w:val="000000" w:themeColor="text1"/>
          <w:sz w:val="16"/>
          <w:szCs w:val="16"/>
        </w:rPr>
        <w:softHyphen/>
        <w:t>ствующей проработке скафандра могут быть устранена.</w:t>
      </w:r>
    </w:p>
    <w:p w14:paraId="6FCC34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Третий способ - это герметическая кабина приме</w:t>
      </w:r>
      <w:r w:rsidRPr="00E14102">
        <w:rPr>
          <w:color w:val="000000" w:themeColor="text1"/>
          <w:sz w:val="16"/>
          <w:szCs w:val="16"/>
        </w:rPr>
        <w:softHyphen/>
        <w:t>няемая обычно, на стратопланах. Кабина представлявлякт собой обычно металлический цилиндр. Герметический люк позволяет пилоту войти внутр'ь кабины и совершенно изолироваться от внешней среды. Для обеспечения дыха</w:t>
      </w:r>
      <w:r w:rsidRPr="00E14102">
        <w:rPr>
          <w:color w:val="000000" w:themeColor="text1"/>
          <w:sz w:val="16"/>
          <w:szCs w:val="16"/>
        </w:rPr>
        <w:softHyphen/>
        <w:t>ния пилотов применяется любая из перечисленных систем кислородного оборудования, но обязательно о прибором, очищающим воздух от углекислоты. Кислород поступает непосредственно в кабину и пилоты избавляются от не</w:t>
      </w:r>
      <w:r w:rsidRPr="00E14102">
        <w:rPr>
          <w:color w:val="000000" w:themeColor="text1"/>
          <w:sz w:val="16"/>
          <w:szCs w:val="16"/>
        </w:rPr>
        <w:softHyphen/>
        <w:t>обходимости дераать трубку во рту или маоку на лице. В случае искусственной вентиляции поглотители угле—-кислоты могут отсутствовать. Окна кайины" устраиваются либо в боковых стенках цилиндра, либо в специальных башенных надстройках над головой пилота. Вое органа управления выводятся наружу через герметические саль</w:t>
      </w:r>
      <w:r w:rsidRPr="00E14102">
        <w:rPr>
          <w:color w:val="000000" w:themeColor="text1"/>
          <w:sz w:val="16"/>
          <w:szCs w:val="16"/>
        </w:rPr>
        <w:softHyphen/>
        <w:t>ники. Для поддержания нормальной температуры в кабине она снабжается тепловой изоляцией и устраивается по</w:t>
      </w:r>
      <w:r w:rsidRPr="00E14102">
        <w:rPr>
          <w:color w:val="000000" w:themeColor="text1"/>
          <w:sz w:val="16"/>
          <w:szCs w:val="16"/>
        </w:rPr>
        <w:softHyphen/>
        <w:t>догрев отходящими газами.</w:t>
      </w:r>
    </w:p>
    <w:p w14:paraId="0813304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Кабину я считаю обязательное для боевых полетов свыше 10-ти километров, т.к. она обеспечивает наилуч</w:t>
      </w:r>
      <w:r w:rsidRPr="00E14102">
        <w:rPr>
          <w:color w:val="000000" w:themeColor="text1"/>
          <w:sz w:val="16"/>
          <w:szCs w:val="16"/>
        </w:rPr>
        <w:softHyphen/>
        <w:t>шую работоспособность экипажа.</w:t>
      </w:r>
    </w:p>
    <w:p w14:paraId="63302BD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Первым и существенным требованием к кабине является - хороший обзор. Достигается обустройством цилиндрической или конусообразной башни над головой пилота и наблюдателя. Башня имеет стекла дающие кру</w:t>
      </w:r>
      <w:r w:rsidRPr="00E14102">
        <w:rPr>
          <w:color w:val="000000" w:themeColor="text1"/>
          <w:sz w:val="16"/>
          <w:szCs w:val="16"/>
        </w:rPr>
        <w:softHyphen/>
        <w:t>говой обзор. Для обзора земли непосредственно под самолетом в полу кабины делаются такне окна и иокет быть установлен специальный перископ с больший угяои зрения. Устройством подогрева электрического или в 'ви де отруи теплоро воздуха от глушителя мотора, отекла должны быть предохранены от замерзания. Запотевание/ устраняется электрический дворником.</w:t>
      </w:r>
    </w:p>
    <w:p w14:paraId="4A0E06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случае одноцветного истребителя прицеп_поме-щается вне кабины перед передний окном. Управление огнем пулемета производится нажатием рычажка на руч</w:t>
      </w:r>
      <w:r w:rsidRPr="00E14102">
        <w:rPr>
          <w:color w:val="000000" w:themeColor="text1"/>
          <w:sz w:val="16"/>
          <w:szCs w:val="16"/>
        </w:rPr>
        <w:softHyphen/>
        <w:t>ке управления. Вывод управления огней из герметичес</w:t>
      </w:r>
      <w:r w:rsidRPr="00E14102">
        <w:rPr>
          <w:color w:val="000000" w:themeColor="text1"/>
          <w:sz w:val="16"/>
          <w:szCs w:val="16"/>
        </w:rPr>
        <w:softHyphen/>
        <w:t>кой кабины никакого затруднения не представляет.</w:t>
      </w:r>
    </w:p>
    <w:p w14:paraId="17100C5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Значительно сложнее получается управление задним турельным пулеметом в случае двухместного самолета. Здесь намечаются следующие устройства: пулемет укреп</w:t>
      </w:r>
      <w:r w:rsidRPr="00E14102">
        <w:rPr>
          <w:color w:val="000000" w:themeColor="text1"/>
          <w:sz w:val="16"/>
          <w:szCs w:val="16"/>
        </w:rPr>
        <w:softHyphen/>
        <w:t>ляется вне кабины таким образом, чтобы от действия двух электромоторов, он мог занимать любое положение. Механический прицел располагается так, чтобы он на</w:t>
      </w:r>
      <w:r w:rsidRPr="00E14102">
        <w:rPr>
          <w:color w:val="000000" w:themeColor="text1"/>
          <w:sz w:val="16"/>
          <w:szCs w:val="16"/>
        </w:rPr>
        <w:softHyphen/>
        <w:t>ходился против глаза наблюдателя. Наблюдатель поме</w:t>
      </w:r>
      <w:r w:rsidRPr="00E14102">
        <w:rPr>
          <w:color w:val="000000" w:themeColor="text1"/>
          <w:sz w:val="16"/>
          <w:szCs w:val="16"/>
        </w:rPr>
        <w:softHyphen/>
        <w:t>щается на поворачивающем сидении. Сидение вращается помощью электромотора одноЕременко с поворачиванием турельного кольца. Пилот имеет два рычага: поворота по горизонтали и под"ема пулемета по вертикали. На. одйом из рычаго* имеется гашетка для открытия огня.</w:t>
      </w:r>
    </w:p>
    <w:p w14:paraId="5DB578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Могут быть и другие варианты. Особенно трудно осуществить прострел задней полусферы.</w:t>
      </w:r>
    </w:p>
    <w:p w14:paraId="15CBC2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Эти вопросы Бюро Особых Конструкций завода №35 сейчас прорабатывает применительно к проектируемому стратосферному разведчику, являющемуся модификацией стратосфер ного самолета БОК-1 (ее), находящегося сейчас в постройке на заводе № 35 (Смоленск).</w:t>
      </w:r>
    </w:p>
    <w:p w14:paraId="44E6D85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Чрезвычайно интересный является"вопрос защиты кабины от огня противника. Здесь могут быть ряд ва</w:t>
      </w:r>
      <w:r w:rsidRPr="00E14102">
        <w:rPr>
          <w:color w:val="000000" w:themeColor="text1"/>
          <w:sz w:val="16"/>
          <w:szCs w:val="16"/>
        </w:rPr>
        <w:softHyphen/>
        <w:t>риантов: 1. Двойные стенки со специальной прокладкой 2. Стенки кабины из брони.</w:t>
      </w:r>
    </w:p>
    <w:p w14:paraId="6705DD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Окна в случае выступающей башни могут прикры</w:t>
      </w:r>
      <w:r w:rsidRPr="00E14102">
        <w:rPr>
          <w:color w:val="000000" w:themeColor="text1"/>
          <w:sz w:val="16"/>
          <w:szCs w:val="16"/>
        </w:rPr>
        <w:softHyphen/>
        <w:t>ваться стальным колпаком с прорезями, имеющим быстрое вращение (на подобие танковых башен).</w:t>
      </w:r>
    </w:p>
    <w:p w14:paraId="67064F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пулеметам устанавливаемым на высотных самоле</w:t>
      </w:r>
      <w:r w:rsidRPr="00E14102">
        <w:rPr>
          <w:color w:val="000000" w:themeColor="text1"/>
          <w:sz w:val="16"/>
          <w:szCs w:val="16"/>
        </w:rPr>
        <w:softHyphen/>
        <w:t>тах и стратопланах должны быть пред"явлены требования безукоризненной работы при.низких температурах, что можно достигнуть применением специальной смазки.</w:t>
      </w:r>
    </w:p>
    <w:p w14:paraId="7832F3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Бомбометание о больших высот требует проработки и создания специальных прицелов.</w:t>
      </w:r>
    </w:p>
    <w:p w14:paraId="55B47F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этого трассирования требуется специальная широкоугольная камера.</w:t>
      </w:r>
    </w:p>
    <w:p w14:paraId="08871B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Заканчивая этот краткий обзор, я хотел бы остановиться на конкретных выводах, которые можно было бы сделать исходя из вышеизложенного.</w:t>
      </w:r>
    </w:p>
    <w:p w14:paraId="423237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Необходимо вновь оживить темпы работы по высотный вопросам, в частности потребовать от авиа</w:t>
      </w:r>
      <w:r w:rsidRPr="00E14102">
        <w:rPr>
          <w:color w:val="000000" w:themeColor="text1"/>
          <w:sz w:val="16"/>
          <w:szCs w:val="16"/>
        </w:rPr>
        <w:softHyphen/>
        <w:t>ционной промышленности безусловного окончания страто</w:t>
      </w:r>
      <w:r w:rsidRPr="00E14102">
        <w:rPr>
          <w:color w:val="000000" w:themeColor="text1"/>
          <w:sz w:val="16"/>
          <w:szCs w:val="16"/>
        </w:rPr>
        <w:softHyphen/>
        <w:t>плана БОК-1 (ос) в первой половине 1935 года, построй</w:t>
      </w:r>
      <w:r w:rsidRPr="00E14102">
        <w:rPr>
          <w:color w:val="000000" w:themeColor="text1"/>
          <w:sz w:val="16"/>
          <w:szCs w:val="16"/>
        </w:rPr>
        <w:softHyphen/>
        <w:t>ка которого тянется уне третий год, а между тем поль</w:t>
      </w:r>
      <w:r w:rsidRPr="00E14102">
        <w:rPr>
          <w:color w:val="000000" w:themeColor="text1"/>
          <w:sz w:val="16"/>
          <w:szCs w:val="16"/>
        </w:rPr>
        <w:softHyphen/>
        <w:t>зуясь этим самолетом с мотором М-34 РН можно совер</w:t>
      </w:r>
      <w:r w:rsidRPr="00E14102">
        <w:rPr>
          <w:color w:val="000000" w:themeColor="text1"/>
          <w:sz w:val="16"/>
          <w:szCs w:val="16"/>
        </w:rPr>
        <w:softHyphen/>
        <w:t>шать полеты до 10-11 километров высоты и прорабаты</w:t>
      </w:r>
      <w:r w:rsidRPr="00E14102">
        <w:rPr>
          <w:color w:val="000000" w:themeColor="text1"/>
          <w:sz w:val="16"/>
          <w:szCs w:val="16"/>
        </w:rPr>
        <w:softHyphen/>
        <w:t>вать гее новые вопросы, которые возникли в связи с введением герметической кабины.</w:t>
      </w:r>
    </w:p>
    <w:p w14:paraId="1B78924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Немедленно приступить к приспособлению истребителя в разведчика к высотным полетам путем устрой</w:t>
      </w:r>
      <w:r w:rsidRPr="00E14102">
        <w:rPr>
          <w:color w:val="000000" w:themeColor="text1"/>
          <w:sz w:val="16"/>
          <w:szCs w:val="16"/>
        </w:rPr>
        <w:softHyphen/>
        <w:t>ства герметических кайвн. Этот вопрос наше Бюро нача</w:t>
      </w:r>
      <w:r w:rsidRPr="00E14102">
        <w:rPr>
          <w:color w:val="000000" w:themeColor="text1"/>
          <w:sz w:val="16"/>
          <w:szCs w:val="16"/>
        </w:rPr>
        <w:softHyphen/>
        <w:t>ло прорабатывать еще в прошлом гоуу, но мы на эту ра</w:t>
      </w:r>
      <w:r w:rsidRPr="00E14102">
        <w:rPr>
          <w:color w:val="000000" w:themeColor="text1"/>
          <w:sz w:val="16"/>
          <w:szCs w:val="16"/>
        </w:rPr>
        <w:softHyphen/>
        <w:t>боту не имеем задания на 1935 год,</w:t>
      </w:r>
    </w:p>
    <w:p w14:paraId="7B90594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качестве конкретных самолетов могут быть взяты И-16 и И-15.</w:t>
      </w:r>
    </w:p>
    <w:p w14:paraId="6BBCD3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Ускорить работы по скафандрам.</w:t>
      </w:r>
    </w:p>
    <w:p w14:paraId="460D9A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Создать легкое и безотказное электрическое управлением пулеметом.</w:t>
      </w:r>
    </w:p>
    <w:p w14:paraId="12F964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Создать специальные прицелы как для пулеметов, так и для бомбометания с больших высот.</w:t>
      </w:r>
    </w:p>
    <w:p w14:paraId="0485C0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Дать задание промышленности на создание стандартного оборудования для стратопланов:</w:t>
      </w:r>
    </w:p>
    <w:p w14:paraId="1A2F70F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кислородный прибор (с жидким кислородом)</w:t>
      </w:r>
    </w:p>
    <w:p w14:paraId="290E6F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регенеративную машинку для поглощения угле</w:t>
      </w:r>
      <w:r w:rsidRPr="00E14102">
        <w:rPr>
          <w:color w:val="000000" w:themeColor="text1"/>
          <w:sz w:val="16"/>
          <w:szCs w:val="16"/>
        </w:rPr>
        <w:softHyphen/>
        <w:t>кислоты.</w:t>
      </w:r>
    </w:p>
    <w:p w14:paraId="29C646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приборы скорости и уклономеры, могущие быть помещенными в герметической кабине.</w:t>
      </w:r>
    </w:p>
    <w:p w14:paraId="368E1F8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НАЧАЛЬНИК БЮРО ОСОБЫХ КОНСТРУКЦИЙ ЗАВОДА № 35 (ЧИЖЕВСКИЙ В.А.) 11 января 1935 (2336,27).</w:t>
      </w:r>
    </w:p>
    <w:p w14:paraId="055BC1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C1E0E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февраля 1935 Зам. нач. ГУАП Ермолаев писал Нач. УВС т. Алкснису письмо N 244/536с на вх. N 40/0633 от 28 января 1935%</w:t>
      </w:r>
    </w:p>
    <w:p w14:paraId="1813A6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"Сообщаю, что задание на изготовление опытных лыж конструкции и Лобанова дано заводу 23 (У-2) и 28 (И-6 и И-16)." (2337,164).</w:t>
      </w:r>
    </w:p>
    <w:p w14:paraId="44ED0C44" w14:textId="77777777" w:rsidR="00D4105E" w:rsidRPr="00E14102" w:rsidRDefault="00D4105E" w:rsidP="00E14102">
      <w:pPr>
        <w:autoSpaceDE w:val="0"/>
        <w:autoSpaceDN w:val="0"/>
        <w:adjustRightInd w:val="0"/>
        <w:jc w:val="both"/>
        <w:rPr>
          <w:color w:val="000000" w:themeColor="text1"/>
          <w:sz w:val="16"/>
          <w:szCs w:val="16"/>
        </w:rPr>
      </w:pPr>
    </w:p>
    <w:p w14:paraId="54FC5E00" w14:textId="77777777" w:rsidR="0069671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0AF02E9" w14:textId="77777777" w:rsidR="00696714" w:rsidRPr="00E14102" w:rsidRDefault="00696714" w:rsidP="00E14102">
      <w:pPr>
        <w:autoSpaceDE w:val="0"/>
        <w:autoSpaceDN w:val="0"/>
        <w:adjustRightInd w:val="0"/>
        <w:jc w:val="both"/>
        <w:rPr>
          <w:iCs/>
          <w:color w:val="000000" w:themeColor="text1"/>
          <w:sz w:val="16"/>
          <w:szCs w:val="16"/>
        </w:rPr>
      </w:pPr>
    </w:p>
    <w:p w14:paraId="050F877B" w14:textId="77777777" w:rsidR="00696714" w:rsidRPr="00E14102" w:rsidRDefault="00696714" w:rsidP="00E14102">
      <w:pPr>
        <w:shd w:val="clear" w:color="auto" w:fill="FFFFFF"/>
        <w:jc w:val="both"/>
        <w:rPr>
          <w:color w:val="000000" w:themeColor="text1"/>
          <w:sz w:val="16"/>
          <w:szCs w:val="16"/>
        </w:rPr>
      </w:pPr>
      <w:r w:rsidRPr="00E14102">
        <w:rPr>
          <w:bCs/>
          <w:iCs/>
          <w:color w:val="000000" w:themeColor="text1"/>
          <w:sz w:val="16"/>
          <w:szCs w:val="16"/>
        </w:rPr>
        <w:t>4 февраля 1935 г.</w:t>
      </w:r>
      <w:r w:rsidRPr="00E14102">
        <w:rPr>
          <w:color w:val="000000" w:themeColor="text1"/>
          <w:sz w:val="16"/>
          <w:szCs w:val="16"/>
        </w:rPr>
        <w:t xml:space="preserve"> Начало февральско-мартовских войсковых учений с широким применением химических средств. Проведены на химическом полигоне во Фролищах (Нижегородская область). Задача — использование в сложных зимних условиях и реальной тактической обстановке: химических минометов для стрельбы минами с ипритом и фосгеном; ВАПов для поливки СОВ; БХМ и НПЗ для заражения местности и т.д. Степень опасности снега через различные периоды после заражения ипритом определялась путем </w:t>
      </w:r>
      <w:r w:rsidRPr="00E14102">
        <w:rPr>
          <w:bCs/>
          <w:iCs/>
          <w:color w:val="000000" w:themeColor="text1"/>
          <w:sz w:val="16"/>
          <w:szCs w:val="16"/>
        </w:rPr>
        <w:t>биоконтроля на людях</w:t>
      </w:r>
      <w:r w:rsidRPr="00E14102">
        <w:rPr>
          <w:color w:val="000000" w:themeColor="text1"/>
          <w:sz w:val="16"/>
          <w:szCs w:val="16"/>
        </w:rPr>
        <w:t xml:space="preserve"> (17133).</w:t>
      </w:r>
    </w:p>
    <w:p w14:paraId="3FCD1D46" w14:textId="77777777" w:rsidR="00696714" w:rsidRPr="00E14102" w:rsidRDefault="00696714" w:rsidP="00E14102">
      <w:pPr>
        <w:shd w:val="clear" w:color="auto" w:fill="FFFFFF"/>
        <w:jc w:val="both"/>
        <w:rPr>
          <w:color w:val="000000" w:themeColor="text1"/>
          <w:sz w:val="16"/>
          <w:szCs w:val="16"/>
        </w:rPr>
      </w:pPr>
    </w:p>
    <w:p w14:paraId="3AE8EAF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48B963F" w14:textId="77777777" w:rsidR="00D4105E" w:rsidRPr="00E14102" w:rsidRDefault="00D4105E" w:rsidP="00E14102">
      <w:pPr>
        <w:autoSpaceDE w:val="0"/>
        <w:autoSpaceDN w:val="0"/>
        <w:adjustRightInd w:val="0"/>
        <w:jc w:val="both"/>
        <w:rPr>
          <w:iCs/>
          <w:color w:val="000000" w:themeColor="text1"/>
          <w:sz w:val="16"/>
          <w:szCs w:val="16"/>
        </w:rPr>
      </w:pPr>
    </w:p>
    <w:p w14:paraId="4A0FBA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февраля 1935 г. состоялся сквозной пробный рейс четырехвагонного состава по всей построенной линии Московского метро. В нем вместе с эксплуатационниками находился Л.М. Каганович, который умело и оперативно решал многие организационные вопросы строительства (11614).</w:t>
      </w:r>
    </w:p>
    <w:p w14:paraId="586F51F1" w14:textId="77777777" w:rsidR="00D4105E" w:rsidRPr="00E14102" w:rsidRDefault="00D4105E" w:rsidP="00E14102">
      <w:pPr>
        <w:autoSpaceDE w:val="0"/>
        <w:autoSpaceDN w:val="0"/>
        <w:adjustRightInd w:val="0"/>
        <w:jc w:val="both"/>
        <w:rPr>
          <w:color w:val="000000" w:themeColor="text1"/>
          <w:sz w:val="16"/>
          <w:szCs w:val="16"/>
        </w:rPr>
      </w:pPr>
    </w:p>
    <w:p w14:paraId="41A777CC" w14:textId="77777777" w:rsidR="00696714" w:rsidRPr="00E14102" w:rsidRDefault="00696714" w:rsidP="00E14102">
      <w:pPr>
        <w:jc w:val="both"/>
        <w:rPr>
          <w:color w:val="000000" w:themeColor="text1"/>
          <w:sz w:val="16"/>
          <w:szCs w:val="16"/>
        </w:rPr>
      </w:pPr>
      <w:r w:rsidRPr="00E14102">
        <w:rPr>
          <w:bCs/>
          <w:color w:val="000000" w:themeColor="text1"/>
          <w:sz w:val="16"/>
          <w:szCs w:val="16"/>
        </w:rPr>
        <w:t>4 февраля</w:t>
      </w:r>
      <w:r w:rsidRPr="00E14102">
        <w:rPr>
          <w:color w:val="000000" w:themeColor="text1"/>
          <w:sz w:val="16"/>
          <w:szCs w:val="16"/>
        </w:rPr>
        <w:t xml:space="preserve"> в 1935 году пущен первый испытательный поезд Московского метрополитена (15030).</w:t>
      </w:r>
    </w:p>
    <w:p w14:paraId="50ABA081" w14:textId="77777777" w:rsidR="00696714" w:rsidRPr="00E14102" w:rsidRDefault="00696714" w:rsidP="00E14102">
      <w:pPr>
        <w:jc w:val="both"/>
        <w:rPr>
          <w:color w:val="000000" w:themeColor="text1"/>
          <w:sz w:val="16"/>
          <w:szCs w:val="16"/>
        </w:rPr>
      </w:pPr>
    </w:p>
    <w:p w14:paraId="63395512" w14:textId="77777777" w:rsidR="00C17A36" w:rsidRPr="00E14102" w:rsidRDefault="00C17A36" w:rsidP="00E14102">
      <w:pPr>
        <w:jc w:val="both"/>
        <w:rPr>
          <w:color w:val="000000" w:themeColor="text1"/>
          <w:sz w:val="16"/>
          <w:szCs w:val="16"/>
        </w:rPr>
      </w:pPr>
      <w:r w:rsidRPr="00E14102">
        <w:rPr>
          <w:color w:val="000000" w:themeColor="text1"/>
          <w:sz w:val="16"/>
          <w:szCs w:val="16"/>
        </w:rPr>
        <w:t>4 февраля 1935. Впервые пробный поезд прошел по всей трассе первой очереди метрополитена (18720).</w:t>
      </w:r>
    </w:p>
    <w:p w14:paraId="29817612" w14:textId="77777777" w:rsidR="00C17A36" w:rsidRPr="00E14102" w:rsidRDefault="00C17A36" w:rsidP="00E14102">
      <w:pPr>
        <w:jc w:val="both"/>
        <w:rPr>
          <w:color w:val="000000" w:themeColor="text1"/>
          <w:sz w:val="16"/>
          <w:szCs w:val="16"/>
        </w:rPr>
      </w:pPr>
    </w:p>
    <w:p w14:paraId="182FD193" w14:textId="77777777" w:rsidR="00C15851" w:rsidRPr="00E14102" w:rsidRDefault="00C15851" w:rsidP="00E14102">
      <w:pPr>
        <w:jc w:val="both"/>
        <w:rPr>
          <w:color w:val="0070C0"/>
          <w:sz w:val="16"/>
          <w:szCs w:val="16"/>
        </w:rPr>
      </w:pPr>
      <w:r w:rsidRPr="00E14102">
        <w:rPr>
          <w:color w:val="0070C0"/>
          <w:sz w:val="16"/>
          <w:szCs w:val="16"/>
        </w:rPr>
        <w:t>4 февраля 1935 года пущен первый испытательный поезд Московского метрополитена. Через два дня после первого пробного прохода поезда, состоявшегося 4 февраля 1935 года, первыми пассажирами Московского метро стали делегаты VII Всесоюзного съезда Советов. 19 февраля началось регулярное учебное движение по трассе. В период обкатки тысячи москвичей - передовиков производства, получили возможность проехать по первой линии лучшего в мире метрополитена.</w:t>
      </w:r>
    </w:p>
    <w:p w14:paraId="7D87B4D6" w14:textId="77777777" w:rsidR="00C15851" w:rsidRPr="00E14102" w:rsidRDefault="00C15851" w:rsidP="00E14102">
      <w:pPr>
        <w:jc w:val="both"/>
        <w:rPr>
          <w:color w:val="0070C0"/>
          <w:sz w:val="16"/>
          <w:szCs w:val="16"/>
        </w:rPr>
      </w:pPr>
      <w:r w:rsidRPr="00E14102">
        <w:rPr>
          <w:color w:val="0070C0"/>
          <w:sz w:val="16"/>
          <w:szCs w:val="16"/>
        </w:rPr>
        <w:t>В 4 часа 30 минут утра 15 мая 1935 года первый двухсекционный состав (маршрут №1) вышел из депо на линию. Было начато движение поездов между станциями "Сокольники" и "Парк культуры", с ответвлением к Смоленской площади (станции "Коминтерн", "Арбатская" и "Смоленская"). Позже метропоезда стали формировать из четырех вагонов (двух секций), а с марта 1936 года - из шести вагонов (трёх секций) (21179).</w:t>
      </w:r>
    </w:p>
    <w:p w14:paraId="5A317E09" w14:textId="77777777" w:rsidR="00C15851" w:rsidRPr="00E14102" w:rsidRDefault="00C15851" w:rsidP="00E14102">
      <w:pPr>
        <w:jc w:val="both"/>
        <w:rPr>
          <w:color w:val="0070C0"/>
          <w:sz w:val="16"/>
          <w:szCs w:val="16"/>
        </w:rPr>
      </w:pPr>
    </w:p>
    <w:p w14:paraId="669B64E8" w14:textId="77777777" w:rsidR="0069671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27B0659" w14:textId="77777777" w:rsidR="00696714" w:rsidRPr="00E14102" w:rsidRDefault="00696714" w:rsidP="00E14102">
      <w:pPr>
        <w:autoSpaceDE w:val="0"/>
        <w:autoSpaceDN w:val="0"/>
        <w:adjustRightInd w:val="0"/>
        <w:jc w:val="both"/>
        <w:rPr>
          <w:iCs/>
          <w:color w:val="000000" w:themeColor="text1"/>
          <w:sz w:val="16"/>
          <w:szCs w:val="16"/>
        </w:rPr>
      </w:pPr>
    </w:p>
    <w:p w14:paraId="74AF7E03" w14:textId="77777777" w:rsidR="00696714" w:rsidRPr="00E14102" w:rsidRDefault="00696714" w:rsidP="00E14102">
      <w:pPr>
        <w:jc w:val="both"/>
        <w:rPr>
          <w:color w:val="000000" w:themeColor="text1"/>
          <w:sz w:val="16"/>
          <w:szCs w:val="16"/>
        </w:rPr>
      </w:pPr>
      <w:r w:rsidRPr="00E14102">
        <w:rPr>
          <w:bCs/>
          <w:color w:val="000000" w:themeColor="text1"/>
          <w:sz w:val="16"/>
          <w:szCs w:val="16"/>
        </w:rPr>
        <w:t>4 февраля</w:t>
      </w:r>
      <w:r w:rsidRPr="00E14102">
        <w:rPr>
          <w:color w:val="000000" w:themeColor="text1"/>
          <w:sz w:val="16"/>
          <w:szCs w:val="16"/>
        </w:rPr>
        <w:t xml:space="preserve"> в 1935 году (по 1 апреля) летающая лодка </w:t>
      </w:r>
      <w:hyperlink r:id="rId33" w:history="1">
        <w:r w:rsidRPr="00E14102">
          <w:rPr>
            <w:color w:val="000000" w:themeColor="text1"/>
            <w:sz w:val="16"/>
            <w:szCs w:val="16"/>
          </w:rPr>
          <w:t xml:space="preserve">«Bleriot 5190» «Santos Dumont» </w:t>
        </w:r>
      </w:hyperlink>
      <w:r w:rsidRPr="00E14102">
        <w:rPr>
          <w:color w:val="000000" w:themeColor="text1"/>
          <w:sz w:val="16"/>
          <w:szCs w:val="16"/>
        </w:rPr>
        <w:t>совершила трансатлантический перелет перелёт протяженностью 3500 километров (15030).</w:t>
      </w:r>
    </w:p>
    <w:p w14:paraId="0B8238B2" w14:textId="77777777" w:rsidR="00696714" w:rsidRPr="00E14102" w:rsidRDefault="00696714" w:rsidP="00E14102">
      <w:pPr>
        <w:jc w:val="both"/>
        <w:rPr>
          <w:color w:val="000000" w:themeColor="text1"/>
          <w:sz w:val="16"/>
          <w:szCs w:val="16"/>
        </w:rPr>
      </w:pPr>
    </w:p>
    <w:p w14:paraId="1DC5C508" w14:textId="77777777" w:rsidR="00696714" w:rsidRPr="00E14102" w:rsidRDefault="00696714" w:rsidP="00E14102">
      <w:pPr>
        <w:jc w:val="both"/>
        <w:rPr>
          <w:color w:val="000000" w:themeColor="text1"/>
          <w:sz w:val="16"/>
          <w:szCs w:val="16"/>
        </w:rPr>
      </w:pPr>
      <w:r w:rsidRPr="00E14102">
        <w:rPr>
          <w:bCs/>
          <w:color w:val="000000" w:themeColor="text1"/>
          <w:sz w:val="16"/>
          <w:szCs w:val="16"/>
        </w:rPr>
        <w:t>4 февраля</w:t>
      </w:r>
      <w:r w:rsidRPr="00E14102">
        <w:rPr>
          <w:color w:val="000000" w:themeColor="text1"/>
          <w:sz w:val="16"/>
          <w:szCs w:val="16"/>
        </w:rPr>
        <w:t xml:space="preserve"> в 1935 году японский испытатель Кадзима совершил на </w:t>
      </w:r>
      <w:hyperlink r:id="rId34" w:tgtFrame="_blank" w:history="1">
        <w:r w:rsidRPr="00E14102">
          <w:rPr>
            <w:color w:val="000000" w:themeColor="text1"/>
            <w:sz w:val="16"/>
            <w:szCs w:val="16"/>
          </w:rPr>
          <w:t xml:space="preserve">«Mitsubishi» «Ka.14» </w:t>
        </w:r>
      </w:hyperlink>
      <w:r w:rsidRPr="00E14102">
        <w:rPr>
          <w:color w:val="000000" w:themeColor="text1"/>
          <w:sz w:val="16"/>
          <w:szCs w:val="16"/>
        </w:rPr>
        <w:t>первый полет. На заводских испытаниях опытная машина показала скорость 444 км/ч на высоте 3200 м. (задание требовало всего лишь 350 км/ч). Другие требования также оказались превышенными. Представители флота фирме не поверили и потребовали контрольных испытаний морскими летчиками. Но флотский испытатель Кобаяси на мерной базе в Кагамигахаре выжал из «Ка-14» 449 км/ч. Hо в воздухе самолет был недостаточно устойчив, а при посадке козлил. В результате второй опытный самолет был модернизирован – на него установили безредукторный двигатель «Nakajima» «Kotobuki-3» мощностью 640 л.с. Крыло имело теперь прямой центроплан и V-образность консолей в 2°40'. Hа центроплане были установлены щелевые закрылки. В последующем было построено еще четыре опытных самолета с различными двигателями «Nakajima» «Hikari-1» и «Mitsubishi» «А-8» и «А-9» воздушного охлаждения. После успешного завершения войсковых испытаний осенью 1936 г. самолет «Ка-14» был принят на вооружение под обозначением «палубный истребитель морской тип 96» («А5М1») с двигателем «Nakajima» «Kotobuki-2» «KAI-1» мощностью 580 л.с (15030).</w:t>
      </w:r>
    </w:p>
    <w:p w14:paraId="47247881" w14:textId="77777777" w:rsidR="00696714" w:rsidRPr="00E14102" w:rsidRDefault="00696714" w:rsidP="00E14102">
      <w:pPr>
        <w:jc w:val="both"/>
        <w:rPr>
          <w:color w:val="000000" w:themeColor="text1"/>
          <w:sz w:val="16"/>
          <w:szCs w:val="16"/>
        </w:rPr>
      </w:pPr>
    </w:p>
    <w:p w14:paraId="5E04EF4F" w14:textId="77777777" w:rsidR="00C15851" w:rsidRPr="00E14102" w:rsidRDefault="00C15851" w:rsidP="00E14102">
      <w:pPr>
        <w:jc w:val="both"/>
        <w:rPr>
          <w:color w:val="0070C0"/>
          <w:sz w:val="16"/>
          <w:szCs w:val="16"/>
        </w:rPr>
      </w:pPr>
      <w:r w:rsidRPr="00E14102">
        <w:rPr>
          <w:color w:val="0070C0"/>
          <w:sz w:val="16"/>
          <w:szCs w:val="16"/>
        </w:rPr>
        <w:t>4 февраля 1935 состоялся первый полет Mitsubishi A5M (союзное имя "Клод") (20800).</w:t>
      </w:r>
    </w:p>
    <w:p w14:paraId="7E5D8076" w14:textId="77777777" w:rsidR="00C15851" w:rsidRPr="00E14102" w:rsidRDefault="00C15851" w:rsidP="00E14102">
      <w:pPr>
        <w:jc w:val="both"/>
        <w:rPr>
          <w:color w:val="0070C0"/>
          <w:sz w:val="16"/>
          <w:szCs w:val="16"/>
        </w:rPr>
      </w:pPr>
    </w:p>
    <w:p w14:paraId="5D2FDA5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FD7D72F" w14:textId="77777777" w:rsidR="00D4105E" w:rsidRPr="00E14102" w:rsidRDefault="00D4105E" w:rsidP="00E14102">
      <w:pPr>
        <w:autoSpaceDE w:val="0"/>
        <w:autoSpaceDN w:val="0"/>
        <w:adjustRightInd w:val="0"/>
        <w:jc w:val="both"/>
        <w:rPr>
          <w:iCs/>
          <w:color w:val="000000" w:themeColor="text1"/>
          <w:sz w:val="16"/>
          <w:szCs w:val="16"/>
        </w:rPr>
      </w:pPr>
    </w:p>
    <w:p w14:paraId="6666D3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февраля 1935 В.М.П. как зам. нач. СОС писал в трест Спецсталь по вопросу заказа на листы заводу Серп и Молот для ТБ-7 (АНТ-42) (1077,280).</w:t>
      </w:r>
    </w:p>
    <w:p w14:paraId="11CED23E" w14:textId="77777777" w:rsidR="00D4105E" w:rsidRPr="00E14102" w:rsidRDefault="00D4105E" w:rsidP="00E14102">
      <w:pPr>
        <w:autoSpaceDE w:val="0"/>
        <w:autoSpaceDN w:val="0"/>
        <w:adjustRightInd w:val="0"/>
        <w:jc w:val="both"/>
        <w:rPr>
          <w:color w:val="000000" w:themeColor="text1"/>
          <w:sz w:val="16"/>
          <w:szCs w:val="16"/>
        </w:rPr>
      </w:pPr>
    </w:p>
    <w:p w14:paraId="46645E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5 по 19 февраля 1935 в НИИ ВВС проходили испытания СБ 2ИС-12 на лыжах (2917).</w:t>
      </w:r>
    </w:p>
    <w:p w14:paraId="138393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 Нач. ЛИС НИИ Петров, л Минлер, ви Подлесецкий.</w:t>
      </w:r>
    </w:p>
    <w:p w14:paraId="39B058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Цель испытания: Определение летно-тактических и боевых данных СБ в зимних условиях (на лыжах) (2917).</w:t>
      </w:r>
    </w:p>
    <w:p w14:paraId="3D3800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эти испытания шли с 10 марта 1935 по 10 февраля 1936 (2917).</w:t>
      </w:r>
    </w:p>
    <w:p w14:paraId="2865CAA9" w14:textId="77777777" w:rsidR="00D4105E" w:rsidRPr="00E14102" w:rsidRDefault="00D4105E" w:rsidP="00E14102">
      <w:pPr>
        <w:autoSpaceDE w:val="0"/>
        <w:autoSpaceDN w:val="0"/>
        <w:adjustRightInd w:val="0"/>
        <w:jc w:val="both"/>
        <w:rPr>
          <w:color w:val="000000" w:themeColor="text1"/>
          <w:sz w:val="16"/>
          <w:szCs w:val="16"/>
        </w:rPr>
      </w:pPr>
    </w:p>
    <w:p w14:paraId="641C7F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февраля 1935 г. на повторные заводские испытания вышел СБ 2РЦ - дублер первой машины. Заводские испытания дублера продолжались до сентября 1935 г. К этому времени на самолет было установлено все штатное вооружение. Кроме того, на самолете были осуществлены некоторые конструктивные изменения. Полетный вес самолета вырос более чем на тонну. В программу заводских испытаний включили и испытание вооружения самолета на Ногинском полигоне. Постепенно заводские испытания перерастали в совместные, поскольку, кроме заводских летчиков, к полетам привлекались и летчики НИИ ВВС КА (9501).</w:t>
      </w:r>
    </w:p>
    <w:p w14:paraId="3445BE46" w14:textId="77777777" w:rsidR="00D4105E" w:rsidRPr="00E14102" w:rsidRDefault="00D4105E" w:rsidP="00E14102">
      <w:pPr>
        <w:autoSpaceDE w:val="0"/>
        <w:autoSpaceDN w:val="0"/>
        <w:adjustRightInd w:val="0"/>
        <w:jc w:val="both"/>
        <w:rPr>
          <w:color w:val="000000" w:themeColor="text1"/>
          <w:sz w:val="16"/>
          <w:szCs w:val="16"/>
        </w:rPr>
      </w:pPr>
    </w:p>
    <w:p w14:paraId="72A1607D" w14:textId="77777777" w:rsidR="008F0A1B" w:rsidRPr="00E14102" w:rsidRDefault="008F0A1B" w:rsidP="00E14102">
      <w:pPr>
        <w:jc w:val="both"/>
        <w:rPr>
          <w:color w:val="000000" w:themeColor="text1"/>
          <w:sz w:val="16"/>
          <w:szCs w:val="16"/>
        </w:rPr>
      </w:pPr>
      <w:r w:rsidRPr="00E14102">
        <w:rPr>
          <w:bCs/>
          <w:color w:val="000000" w:themeColor="text1"/>
          <w:sz w:val="16"/>
          <w:szCs w:val="16"/>
        </w:rPr>
        <w:t>5 февраля</w:t>
      </w:r>
      <w:r w:rsidRPr="00E14102">
        <w:rPr>
          <w:color w:val="000000" w:themeColor="text1"/>
          <w:sz w:val="16"/>
          <w:szCs w:val="16"/>
        </w:rPr>
        <w:t xml:space="preserve"> в 1935 году на повторные заводские испытания вышел ближний бомбардировщик </w:t>
      </w:r>
      <w:hyperlink r:id="rId35" w:tgtFrame="_blank" w:history="1">
        <w:r w:rsidRPr="00E14102">
          <w:rPr>
            <w:color w:val="000000" w:themeColor="text1"/>
            <w:sz w:val="16"/>
            <w:szCs w:val="16"/>
          </w:rPr>
          <w:t xml:space="preserve">«СБ 2РЦ» </w:t>
        </w:r>
      </w:hyperlink>
      <w:r w:rsidRPr="00E14102">
        <w:rPr>
          <w:color w:val="000000" w:themeColor="text1"/>
          <w:sz w:val="16"/>
          <w:szCs w:val="16"/>
        </w:rPr>
        <w:t>- дублер первой машины. Заводские испытания дублера продолжались до сентября 1935 г. К этому времени на самолет было установлено все штатное вооружение. Вооружение должно включало бомбовую нагрузку до 500 кг. Оборонительное вооружение состояло из трех подвижных пулеметов ШКАС: носового с боезапасом 1000 патронов (в резерве 500 патронов), верхнего с боезапасом 1000 патронов (в резерве 1000), нижнего 500 (в резерве 500). Кроме того, на самолете были осуществлены некоторые конструктивные изменения. Полетный вес самолета вырос более чем на тонну (15031).</w:t>
      </w:r>
    </w:p>
    <w:p w14:paraId="33FF8C2E" w14:textId="77777777" w:rsidR="008F0A1B" w:rsidRPr="00E14102" w:rsidRDefault="008F0A1B" w:rsidP="00E14102">
      <w:pPr>
        <w:jc w:val="both"/>
        <w:rPr>
          <w:color w:val="000000" w:themeColor="text1"/>
          <w:sz w:val="16"/>
          <w:szCs w:val="16"/>
        </w:rPr>
      </w:pPr>
    </w:p>
    <w:p w14:paraId="6DB182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5 февраля 1935 начались повторные заводские испытания СБ-2РЦ. К этому времени машина уже получила штатное стрелковое и бомбовое вооружение (первый этап испытаний проводился без него). За счет этого, а также некоторых внесенных в конструкцию изменений, полетный вес возрос более чем на тонну. Заводские испытания шли до сентября 1935 г. Они включали также опробование вооружения на Ногинском полигоне. При этом кроме заводских пилотов, к полетам привлекались и летчики НИИ ВВС (7643).</w:t>
      </w:r>
    </w:p>
    <w:p w14:paraId="4DE54E89" w14:textId="77777777" w:rsidR="00D4105E" w:rsidRPr="00E14102" w:rsidRDefault="00D4105E" w:rsidP="00E14102">
      <w:pPr>
        <w:autoSpaceDE w:val="0"/>
        <w:autoSpaceDN w:val="0"/>
        <w:adjustRightInd w:val="0"/>
        <w:jc w:val="both"/>
        <w:rPr>
          <w:color w:val="000000" w:themeColor="text1"/>
          <w:sz w:val="16"/>
          <w:szCs w:val="16"/>
        </w:rPr>
      </w:pPr>
    </w:p>
    <w:p w14:paraId="7102CD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5 февраля по 31 июля 1935 были проведены повторные заводские испытания СБ-РЦ (АНТ-40). Уменьшили площадь крыла при том же размахе (4,13).</w:t>
      </w:r>
    </w:p>
    <w:p w14:paraId="139D8711" w14:textId="77777777" w:rsidR="00D4105E" w:rsidRPr="00E14102" w:rsidRDefault="00D4105E" w:rsidP="00E14102">
      <w:pPr>
        <w:autoSpaceDE w:val="0"/>
        <w:autoSpaceDN w:val="0"/>
        <w:adjustRightInd w:val="0"/>
        <w:jc w:val="both"/>
        <w:rPr>
          <w:color w:val="000000" w:themeColor="text1"/>
          <w:sz w:val="16"/>
          <w:szCs w:val="16"/>
        </w:rPr>
      </w:pPr>
    </w:p>
    <w:p w14:paraId="1D5352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период с 5 февраля по 21 июня 1935 г. АНТ-40РЦ прошел повторные заводские испытания, после чего к полетам на нем подключились летчики НИИ ВВС. С двигателями Райт "Циклон", каждый из которых развивал мощность 730 л.е., машина показала максимальную скорость 325 км/ч на высоте 4000 м. Практический потолок составил 6880 м.</w:t>
      </w:r>
    </w:p>
    <w:p w14:paraId="20832D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Хотя полученные характеристики полностью соответствовали техническому заданию, интерес к АНТ-40РЦ еще до окончания испытаний снизился, ибо вторая опытная машина, оснащенная двигателями "Испано- Сюиза" показала в полетах заметно более высокие результаты. Поэтому далее АНТ-40РЦ не развивался, его перевели в разряд экспериментальных образцов. В частности, на нем в начале 1936 г. испытывались воздушные винты переменного шага фирмы "Гамильтон" и убираемые в полете лыжи (12027).</w:t>
      </w:r>
    </w:p>
    <w:p w14:paraId="6371D20F" w14:textId="77777777" w:rsidR="00D4105E" w:rsidRPr="00E14102" w:rsidRDefault="00D4105E" w:rsidP="00E14102">
      <w:pPr>
        <w:autoSpaceDE w:val="0"/>
        <w:autoSpaceDN w:val="0"/>
        <w:adjustRightInd w:val="0"/>
        <w:jc w:val="both"/>
        <w:rPr>
          <w:color w:val="000000" w:themeColor="text1"/>
          <w:sz w:val="16"/>
          <w:szCs w:val="16"/>
        </w:rPr>
      </w:pPr>
    </w:p>
    <w:p w14:paraId="20947D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февраля 1935 Зам. Нач. УМС Дудри писал письмо N 204134с Зам. Нач. ГУАП Ермолаеву и Нач. ГУ УВС о том, что срок выпуска на гос. испытания КОР-1. завод 31 сдвигает с 1 августа 1935 на 1 июня 1936. Настаивал на сроке, установленном Правительством (2336,29).</w:t>
      </w:r>
    </w:p>
    <w:p w14:paraId="7B9192EF" w14:textId="77777777" w:rsidR="00D4105E" w:rsidRPr="00E14102" w:rsidRDefault="00D4105E" w:rsidP="00E14102">
      <w:pPr>
        <w:autoSpaceDE w:val="0"/>
        <w:autoSpaceDN w:val="0"/>
        <w:adjustRightInd w:val="0"/>
        <w:jc w:val="both"/>
        <w:rPr>
          <w:color w:val="000000" w:themeColor="text1"/>
          <w:sz w:val="16"/>
          <w:szCs w:val="16"/>
        </w:rPr>
      </w:pPr>
    </w:p>
    <w:p w14:paraId="1ABED8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февраля 1935 года начальник ГУГВФ при СНК Уншлихт писал письмо № 59/17с председателю СТО и СНК Молотову В.М., председателю Госплана Межлаук В.И.</w:t>
      </w:r>
    </w:p>
    <w:p w14:paraId="267B12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утверждении плана капитальных работ по Аэрофлоту на 1935 год правительством был решен вопрос о постройке завода малолитражных моторов. В титульном списке Аэрофлота на это строительство в 1935 году забронировано 6 млн. рублей. Определено также место строительства, а именно – достройка и приспособление неоконченного корпуса завода № 85 в Тушино. Необходимо приступить к строительным работам по достройке корпуса, жилых домов и к разработке технологического процесса.</w:t>
      </w:r>
    </w:p>
    <w:p w14:paraId="5A7422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все эти работы задерживаются из-за нерешенности вопроса о развитии легкомоторной авиации. В частности, задерживается выбор типов моторов для постановки на производство. Вызвано это тем, что необходимые для закупки образцов и оборудования импортные контингенты (100000 рублей) до сих пор не выделены. Задержка в выборе типов моторов не позволяет приступить к разработке технологического процесса, что в свою очередь не дает возможности своевременно разместить заказы на оборудование.</w:t>
      </w:r>
    </w:p>
    <w:p w14:paraId="344F37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ускорить рассмотрение предложений внесенных по этому вопросу в СНК и СТО 23 ноября 1934 года (4149, 46).</w:t>
      </w:r>
    </w:p>
    <w:p w14:paraId="5DFE702A" w14:textId="77777777" w:rsidR="00D4105E" w:rsidRPr="00E14102" w:rsidRDefault="00D4105E" w:rsidP="00E14102">
      <w:pPr>
        <w:autoSpaceDE w:val="0"/>
        <w:autoSpaceDN w:val="0"/>
        <w:adjustRightInd w:val="0"/>
        <w:jc w:val="both"/>
        <w:rPr>
          <w:color w:val="000000" w:themeColor="text1"/>
          <w:sz w:val="16"/>
          <w:szCs w:val="16"/>
        </w:rPr>
      </w:pPr>
    </w:p>
    <w:p w14:paraId="0521E1B0" w14:textId="77777777" w:rsidR="00C17A36" w:rsidRPr="00E14102" w:rsidRDefault="00C17A36"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FDBDC06" w14:textId="77777777" w:rsidR="00C17A36" w:rsidRPr="00E14102" w:rsidRDefault="00C17A36" w:rsidP="00E14102">
      <w:pPr>
        <w:autoSpaceDE w:val="0"/>
        <w:autoSpaceDN w:val="0"/>
        <w:adjustRightInd w:val="0"/>
        <w:jc w:val="both"/>
        <w:rPr>
          <w:iCs/>
          <w:color w:val="000000" w:themeColor="text1"/>
          <w:sz w:val="16"/>
          <w:szCs w:val="16"/>
        </w:rPr>
      </w:pPr>
    </w:p>
    <w:p w14:paraId="3094D023" w14:textId="77777777" w:rsidR="00C17A36" w:rsidRPr="00E14102" w:rsidRDefault="00C17A36" w:rsidP="00E14102">
      <w:pPr>
        <w:jc w:val="both"/>
        <w:rPr>
          <w:color w:val="000000" w:themeColor="text1"/>
          <w:sz w:val="16"/>
          <w:szCs w:val="16"/>
        </w:rPr>
      </w:pPr>
      <w:r w:rsidRPr="00E14102">
        <w:rPr>
          <w:color w:val="000000" w:themeColor="text1"/>
          <w:sz w:val="16"/>
          <w:szCs w:val="16"/>
        </w:rPr>
        <w:t>5 февраля 1935. Центральный совет Союза воинствующих безбожников сдал Красному флоту подводную лодку, построенную на средства, собранные среди членов Союза безбожников (18720).</w:t>
      </w:r>
    </w:p>
    <w:p w14:paraId="58018F3A" w14:textId="77777777" w:rsidR="00C17A36" w:rsidRPr="00E14102" w:rsidRDefault="00C17A36" w:rsidP="00E14102">
      <w:pPr>
        <w:jc w:val="both"/>
        <w:rPr>
          <w:color w:val="000000" w:themeColor="text1"/>
          <w:sz w:val="16"/>
          <w:szCs w:val="16"/>
        </w:rPr>
      </w:pPr>
    </w:p>
    <w:p w14:paraId="4EE08CF8" w14:textId="77777777" w:rsidR="008F0A1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78CEB53" w14:textId="77777777" w:rsidR="008F0A1B" w:rsidRPr="00E14102" w:rsidRDefault="008F0A1B" w:rsidP="00E14102">
      <w:pPr>
        <w:autoSpaceDE w:val="0"/>
        <w:autoSpaceDN w:val="0"/>
        <w:adjustRightInd w:val="0"/>
        <w:jc w:val="both"/>
        <w:rPr>
          <w:iCs/>
          <w:color w:val="000000" w:themeColor="text1"/>
          <w:sz w:val="16"/>
          <w:szCs w:val="16"/>
        </w:rPr>
      </w:pPr>
    </w:p>
    <w:p w14:paraId="142C91D7" w14:textId="77777777" w:rsidR="008F0A1B" w:rsidRPr="00E14102" w:rsidRDefault="008F0A1B" w:rsidP="00E14102">
      <w:pPr>
        <w:jc w:val="both"/>
        <w:rPr>
          <w:color w:val="000000" w:themeColor="text1"/>
          <w:sz w:val="16"/>
          <w:szCs w:val="16"/>
        </w:rPr>
      </w:pPr>
      <w:r w:rsidRPr="00E14102">
        <w:rPr>
          <w:bCs/>
          <w:color w:val="000000" w:themeColor="text1"/>
          <w:sz w:val="16"/>
          <w:szCs w:val="16"/>
        </w:rPr>
        <w:t>5 февраля</w:t>
      </w:r>
      <w:r w:rsidRPr="00E14102">
        <w:rPr>
          <w:color w:val="000000" w:themeColor="text1"/>
          <w:sz w:val="16"/>
          <w:szCs w:val="16"/>
        </w:rPr>
        <w:t xml:space="preserve"> в 1935 году финские военные заказали новый учебный самолёт, получивший обозначение </w:t>
      </w:r>
      <w:hyperlink r:id="rId36" w:tgtFrame="_blank" w:history="1">
        <w:r w:rsidRPr="00E14102">
          <w:rPr>
            <w:color w:val="000000" w:themeColor="text1"/>
            <w:sz w:val="16"/>
            <w:szCs w:val="16"/>
          </w:rPr>
          <w:t xml:space="preserve">«VL Viima». </w:t>
        </w:r>
      </w:hyperlink>
      <w:r w:rsidRPr="00E14102">
        <w:rPr>
          <w:color w:val="000000" w:themeColor="text1"/>
          <w:sz w:val="16"/>
          <w:szCs w:val="16"/>
        </w:rPr>
        <w:t>Первый прототип «Viima I» облетали 11 января 1936, второй - 12 октября 1937 года. За ними последовала серия из 22 самолётов (15031).</w:t>
      </w:r>
    </w:p>
    <w:p w14:paraId="0CE3B1E9" w14:textId="77777777" w:rsidR="008F0A1B" w:rsidRPr="00E14102" w:rsidRDefault="008F0A1B" w:rsidP="00E14102">
      <w:pPr>
        <w:jc w:val="both"/>
        <w:rPr>
          <w:color w:val="000000" w:themeColor="text1"/>
          <w:sz w:val="16"/>
          <w:szCs w:val="16"/>
        </w:rPr>
      </w:pPr>
    </w:p>
    <w:p w14:paraId="6A0E8C70" w14:textId="77777777" w:rsidR="00C15851" w:rsidRPr="00E14102" w:rsidRDefault="00C15851" w:rsidP="00E14102">
      <w:pPr>
        <w:jc w:val="both"/>
        <w:rPr>
          <w:color w:val="000000" w:themeColor="text1"/>
          <w:sz w:val="16"/>
          <w:szCs w:val="16"/>
        </w:rPr>
      </w:pPr>
      <w:r w:rsidRPr="00E14102">
        <w:rPr>
          <w:bCs/>
          <w:color w:val="000000" w:themeColor="text1"/>
          <w:sz w:val="16"/>
          <w:szCs w:val="16"/>
        </w:rPr>
        <w:t>5 февраля</w:t>
      </w:r>
      <w:r w:rsidRPr="00E14102">
        <w:rPr>
          <w:color w:val="000000" w:themeColor="text1"/>
          <w:sz w:val="16"/>
          <w:szCs w:val="16"/>
        </w:rPr>
        <w:t xml:space="preserve"> в 1935 году успешно завершились испытания второго опытного образца («TU-150») финского УТС </w:t>
      </w:r>
      <w:hyperlink r:id="rId37" w:tgtFrame="_blank" w:history="1">
        <w:r w:rsidRPr="00E14102">
          <w:rPr>
            <w:color w:val="000000" w:themeColor="text1"/>
            <w:sz w:val="16"/>
            <w:szCs w:val="16"/>
          </w:rPr>
          <w:t xml:space="preserve">«VL Tuisku» </w:t>
        </w:r>
      </w:hyperlink>
      <w:r w:rsidRPr="00E14102">
        <w:rPr>
          <w:color w:val="000000" w:themeColor="text1"/>
          <w:sz w:val="16"/>
          <w:szCs w:val="16"/>
        </w:rPr>
        <w:t>с двигателем «Lycoming» «R-680-BA» мощностью 240 л.с. После испытаний последовал заказ на 29 серийных самолетов. Первый полет самолета, получившего наименование «VL Tuisku», состоялся 10 января 1934 года (15031).</w:t>
      </w:r>
    </w:p>
    <w:p w14:paraId="4B2E8D83" w14:textId="77777777" w:rsidR="00C15851" w:rsidRPr="00E14102" w:rsidRDefault="00C15851" w:rsidP="00E14102">
      <w:pPr>
        <w:jc w:val="both"/>
        <w:rPr>
          <w:color w:val="000000" w:themeColor="text1"/>
          <w:sz w:val="16"/>
          <w:szCs w:val="16"/>
        </w:rPr>
      </w:pPr>
    </w:p>
    <w:p w14:paraId="162CF217" w14:textId="77777777" w:rsidR="008F0A1B" w:rsidRPr="00E14102" w:rsidRDefault="008F0A1B" w:rsidP="00E14102">
      <w:pPr>
        <w:jc w:val="both"/>
        <w:rPr>
          <w:color w:val="000000" w:themeColor="text1"/>
          <w:sz w:val="16"/>
          <w:szCs w:val="16"/>
        </w:rPr>
      </w:pPr>
      <w:r w:rsidRPr="00E14102">
        <w:rPr>
          <w:bCs/>
          <w:color w:val="000000" w:themeColor="text1"/>
          <w:sz w:val="16"/>
          <w:szCs w:val="16"/>
        </w:rPr>
        <w:t>5 февраля</w:t>
      </w:r>
      <w:r w:rsidRPr="00E14102">
        <w:rPr>
          <w:color w:val="000000" w:themeColor="text1"/>
          <w:sz w:val="16"/>
          <w:szCs w:val="16"/>
        </w:rPr>
        <w:t xml:space="preserve"> в 1935 году поднялся в воздух в городе Ханворс легкий автожир </w:t>
      </w:r>
      <w:hyperlink r:id="rId38" w:tgtFrame="_blank" w:history="1">
        <w:r w:rsidRPr="00E14102">
          <w:rPr>
            <w:color w:val="000000" w:themeColor="text1"/>
            <w:sz w:val="16"/>
            <w:szCs w:val="16"/>
          </w:rPr>
          <w:t xml:space="preserve">«C.1(4) (Cierva)» </w:t>
        </w:r>
      </w:hyperlink>
      <w:r w:rsidRPr="00E14102">
        <w:rPr>
          <w:color w:val="000000" w:themeColor="text1"/>
          <w:sz w:val="16"/>
          <w:szCs w:val="16"/>
        </w:rPr>
        <w:t>со звездообразным двигателем «Pobjoy Niagara» (15031).</w:t>
      </w:r>
    </w:p>
    <w:p w14:paraId="555029E8" w14:textId="77777777" w:rsidR="008F0A1B" w:rsidRPr="00E14102" w:rsidRDefault="008F0A1B" w:rsidP="00E14102">
      <w:pPr>
        <w:jc w:val="both"/>
        <w:rPr>
          <w:color w:val="000000" w:themeColor="text1"/>
          <w:sz w:val="16"/>
          <w:szCs w:val="16"/>
        </w:rPr>
      </w:pPr>
    </w:p>
    <w:p w14:paraId="51D2D4CA" w14:textId="77777777" w:rsidR="00C15851" w:rsidRPr="00E14102" w:rsidRDefault="00C15851" w:rsidP="00E14102">
      <w:pPr>
        <w:jc w:val="both"/>
        <w:rPr>
          <w:color w:val="0070C0"/>
          <w:sz w:val="16"/>
          <w:szCs w:val="16"/>
        </w:rPr>
      </w:pPr>
      <w:r w:rsidRPr="00E14102">
        <w:rPr>
          <w:color w:val="0070C0"/>
          <w:sz w:val="16"/>
          <w:szCs w:val="16"/>
        </w:rPr>
        <w:t>5 февраля 1935 - поднялся в воздух в городе Ханворс легкий автожир C.1(4) (Cierva) со звездообразным двигателем Pobjoy Niagara (22633).</w:t>
      </w:r>
    </w:p>
    <w:p w14:paraId="203A2DB7" w14:textId="77777777" w:rsidR="00C15851" w:rsidRPr="00E14102" w:rsidRDefault="00C15851" w:rsidP="00E14102">
      <w:pPr>
        <w:jc w:val="both"/>
        <w:rPr>
          <w:color w:val="0070C0"/>
          <w:sz w:val="16"/>
          <w:szCs w:val="16"/>
        </w:rPr>
      </w:pPr>
    </w:p>
    <w:p w14:paraId="22A98094" w14:textId="77777777" w:rsidR="00C15851" w:rsidRPr="00E14102" w:rsidRDefault="00C15851" w:rsidP="00E14102">
      <w:pPr>
        <w:jc w:val="both"/>
        <w:rPr>
          <w:color w:val="0070C0"/>
          <w:sz w:val="16"/>
          <w:szCs w:val="16"/>
        </w:rPr>
      </w:pPr>
      <w:r w:rsidRPr="00E14102">
        <w:rPr>
          <w:color w:val="0070C0"/>
          <w:sz w:val="16"/>
          <w:szCs w:val="16"/>
        </w:rPr>
        <w:t>5 февраля 1935 состоялся первый полет Westland CL.20 (20800).</w:t>
      </w:r>
    </w:p>
    <w:p w14:paraId="5BB67578" w14:textId="77777777" w:rsidR="00C15851" w:rsidRPr="00E14102" w:rsidRDefault="00C15851" w:rsidP="00E14102">
      <w:pPr>
        <w:jc w:val="both"/>
        <w:rPr>
          <w:color w:val="0070C0"/>
          <w:sz w:val="16"/>
          <w:szCs w:val="16"/>
        </w:rPr>
      </w:pPr>
    </w:p>
    <w:p w14:paraId="1167F967" w14:textId="77777777" w:rsidR="008F0A1B" w:rsidRPr="00E14102" w:rsidRDefault="008F0A1B" w:rsidP="00E14102">
      <w:pPr>
        <w:jc w:val="both"/>
        <w:rPr>
          <w:color w:val="000000" w:themeColor="text1"/>
          <w:sz w:val="16"/>
          <w:szCs w:val="16"/>
        </w:rPr>
      </w:pPr>
      <w:r w:rsidRPr="00E14102">
        <w:rPr>
          <w:bCs/>
          <w:color w:val="000000" w:themeColor="text1"/>
          <w:sz w:val="16"/>
          <w:szCs w:val="16"/>
        </w:rPr>
        <w:t>5 февраля</w:t>
      </w:r>
      <w:r w:rsidRPr="00E14102">
        <w:rPr>
          <w:color w:val="000000" w:themeColor="text1"/>
          <w:sz w:val="16"/>
          <w:szCs w:val="16"/>
        </w:rPr>
        <w:t xml:space="preserve"> в 1935 году в Нью-Йорке заправилы профессионального бокса приняли решение, что поединки за чемпионское звание не могут длиться более 15 раундов (15031).</w:t>
      </w:r>
    </w:p>
    <w:p w14:paraId="5CD792DF" w14:textId="77777777" w:rsidR="008F0A1B" w:rsidRPr="00E14102" w:rsidRDefault="008F0A1B" w:rsidP="00E14102">
      <w:pPr>
        <w:jc w:val="both"/>
        <w:rPr>
          <w:color w:val="000000" w:themeColor="text1"/>
          <w:sz w:val="16"/>
          <w:szCs w:val="16"/>
        </w:rPr>
      </w:pPr>
    </w:p>
    <w:p w14:paraId="552A668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6AC2A00" w14:textId="77777777" w:rsidR="00D4105E" w:rsidRPr="00E14102" w:rsidRDefault="00D4105E" w:rsidP="00E14102">
      <w:pPr>
        <w:autoSpaceDE w:val="0"/>
        <w:autoSpaceDN w:val="0"/>
        <w:adjustRightInd w:val="0"/>
        <w:jc w:val="both"/>
        <w:rPr>
          <w:iCs/>
          <w:color w:val="000000" w:themeColor="text1"/>
          <w:sz w:val="16"/>
          <w:szCs w:val="16"/>
        </w:rPr>
      </w:pPr>
    </w:p>
    <w:p w14:paraId="25D41D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февраля 1935 в ОЭЛИД ЦАГИ закончились испытания СБ 2ИС-12 на лыжах, которые шли с 29 декабря 1934. Выполнили 21 полет и налетали 9:42 (2917).</w:t>
      </w:r>
    </w:p>
    <w:p w14:paraId="557C15EE" w14:textId="77777777" w:rsidR="00D4105E" w:rsidRPr="00E14102" w:rsidRDefault="00D4105E" w:rsidP="00E14102">
      <w:pPr>
        <w:autoSpaceDE w:val="0"/>
        <w:autoSpaceDN w:val="0"/>
        <w:adjustRightInd w:val="0"/>
        <w:jc w:val="both"/>
        <w:rPr>
          <w:color w:val="000000" w:themeColor="text1"/>
          <w:sz w:val="16"/>
          <w:szCs w:val="16"/>
        </w:rPr>
      </w:pPr>
    </w:p>
    <w:p w14:paraId="14623D4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 февраля 1935 в ОЭЛИД ЦАГИ закончились заводские испытания самолета СБ с 2-мя моторами Испано-Сюиза 12, которые проходили с 29 декабря 1934. 8 февраля машина поступила на гос. испытания (6704).</w:t>
      </w:r>
    </w:p>
    <w:p w14:paraId="17D5A34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9E50C57" w14:textId="77777777" w:rsidR="008F0A1B" w:rsidRPr="00E14102" w:rsidRDefault="008F0A1B" w:rsidP="00E14102">
      <w:pPr>
        <w:jc w:val="both"/>
        <w:rPr>
          <w:color w:val="000000" w:themeColor="text1"/>
          <w:sz w:val="16"/>
          <w:szCs w:val="16"/>
        </w:rPr>
      </w:pPr>
      <w:r w:rsidRPr="00E14102">
        <w:rPr>
          <w:bCs/>
          <w:color w:val="000000" w:themeColor="text1"/>
          <w:sz w:val="16"/>
          <w:szCs w:val="16"/>
        </w:rPr>
        <w:t>6 февраля</w:t>
      </w:r>
      <w:r w:rsidRPr="00E14102">
        <w:rPr>
          <w:color w:val="000000" w:themeColor="text1"/>
          <w:sz w:val="16"/>
          <w:szCs w:val="16"/>
        </w:rPr>
        <w:t xml:space="preserve"> в 1935 году завершились заводские испытания самолета Архангельского </w:t>
      </w:r>
      <w:hyperlink r:id="rId39" w:tgtFrame="_blank" w:history="1">
        <w:r w:rsidRPr="00E14102">
          <w:rPr>
            <w:color w:val="000000" w:themeColor="text1"/>
            <w:sz w:val="16"/>
            <w:szCs w:val="16"/>
          </w:rPr>
          <w:t xml:space="preserve">«СБ 2ИС» («АНТ-40-2»). </w:t>
        </w:r>
      </w:hyperlink>
      <w:r w:rsidRPr="00E14102">
        <w:rPr>
          <w:color w:val="000000" w:themeColor="text1"/>
          <w:sz w:val="16"/>
          <w:szCs w:val="16"/>
        </w:rPr>
        <w:t>«ANT-40-2» или «СБ 2ИС» - прототип с двигателями «Испано-Сьюза» («ИС») мощностью 780 л.с. Построен в конце 1934 года, первый полёт совершил 30 декабря 1934 под управлением Н.С.Журова. На начавшихся в январе 1935 года лётных испытаниях самолёт показал скорость 433 км/ч. Испытания продолжались до апреля 1936 года. Прототип стал эталоном для серийного производства (15032).</w:t>
      </w:r>
    </w:p>
    <w:p w14:paraId="63175EFD" w14:textId="77777777" w:rsidR="008F0A1B" w:rsidRPr="00E14102" w:rsidRDefault="008F0A1B" w:rsidP="00E14102">
      <w:pPr>
        <w:jc w:val="both"/>
        <w:rPr>
          <w:color w:val="000000" w:themeColor="text1"/>
          <w:sz w:val="16"/>
          <w:szCs w:val="16"/>
        </w:rPr>
      </w:pPr>
    </w:p>
    <w:p w14:paraId="12A3F3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февраля 1935 года зам. наркома обороны Тухачевский писал письмо № 376087сс/о председателю комиссии обороны Молотову</w:t>
      </w:r>
    </w:p>
    <w:p w14:paraId="36C6AB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исполнение постановления КО от 13 января 1935 года представляю разработанный комиссией проект постановления СТО по системам “К” (2426,12).</w:t>
      </w:r>
    </w:p>
    <w:p w14:paraId="7EA86E30" w14:textId="77777777" w:rsidR="00D4105E" w:rsidRPr="00E14102" w:rsidRDefault="00D4105E" w:rsidP="00E14102">
      <w:pPr>
        <w:autoSpaceDE w:val="0"/>
        <w:autoSpaceDN w:val="0"/>
        <w:adjustRightInd w:val="0"/>
        <w:jc w:val="both"/>
        <w:rPr>
          <w:color w:val="000000" w:themeColor="text1"/>
          <w:sz w:val="16"/>
          <w:szCs w:val="16"/>
        </w:rPr>
      </w:pPr>
    </w:p>
    <w:p w14:paraId="1E98271E" w14:textId="77777777" w:rsidR="00307D57"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E217128" w14:textId="77777777" w:rsidR="00307D57" w:rsidRPr="00E14102" w:rsidRDefault="00307D57" w:rsidP="00E14102">
      <w:pPr>
        <w:autoSpaceDE w:val="0"/>
        <w:autoSpaceDN w:val="0"/>
        <w:adjustRightInd w:val="0"/>
        <w:jc w:val="both"/>
        <w:rPr>
          <w:iCs/>
          <w:color w:val="000000" w:themeColor="text1"/>
          <w:sz w:val="16"/>
          <w:szCs w:val="16"/>
        </w:rPr>
      </w:pPr>
    </w:p>
    <w:p w14:paraId="73FEDB67" w14:textId="77777777" w:rsidR="00307D57" w:rsidRPr="00E14102" w:rsidRDefault="00307D57" w:rsidP="00E14102">
      <w:pPr>
        <w:jc w:val="both"/>
        <w:rPr>
          <w:color w:val="000000" w:themeColor="text1"/>
          <w:sz w:val="16"/>
          <w:szCs w:val="16"/>
        </w:rPr>
      </w:pPr>
      <w:r w:rsidRPr="00E14102">
        <w:rPr>
          <w:color w:val="000000" w:themeColor="text1"/>
          <w:sz w:val="16"/>
          <w:szCs w:val="16"/>
        </w:rPr>
        <w:t>6-го февраля 1935 года изготовители эскалаторов рапортовали правительству об окончании монтажа и пуске эскалаторов, что общая схема экономии составила 4 миллиона рублей золотом и что новое для страны производство эскалаторостроения освоено (12260).</w:t>
      </w:r>
    </w:p>
    <w:p w14:paraId="1333F063" w14:textId="77777777" w:rsidR="00307D57" w:rsidRPr="00E14102" w:rsidRDefault="00307D57" w:rsidP="00E14102">
      <w:pPr>
        <w:jc w:val="both"/>
        <w:rPr>
          <w:color w:val="000000" w:themeColor="text1"/>
          <w:sz w:val="16"/>
          <w:szCs w:val="16"/>
        </w:rPr>
      </w:pPr>
    </w:p>
    <w:p w14:paraId="4A99C415" w14:textId="77777777" w:rsidR="00307D57"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804235D" w14:textId="77777777" w:rsidR="00307D57" w:rsidRPr="00E14102" w:rsidRDefault="00307D57" w:rsidP="00E14102">
      <w:pPr>
        <w:autoSpaceDE w:val="0"/>
        <w:autoSpaceDN w:val="0"/>
        <w:adjustRightInd w:val="0"/>
        <w:jc w:val="both"/>
        <w:rPr>
          <w:iCs/>
          <w:color w:val="000000" w:themeColor="text1"/>
          <w:sz w:val="16"/>
          <w:szCs w:val="16"/>
        </w:rPr>
      </w:pPr>
    </w:p>
    <w:p w14:paraId="21CD5013" w14:textId="77777777" w:rsidR="00307D57" w:rsidRPr="00E14102" w:rsidRDefault="00307D57" w:rsidP="00E14102">
      <w:pPr>
        <w:jc w:val="both"/>
        <w:rPr>
          <w:color w:val="000000" w:themeColor="text1"/>
          <w:sz w:val="16"/>
          <w:szCs w:val="16"/>
        </w:rPr>
      </w:pPr>
      <w:r w:rsidRPr="00E14102">
        <w:rPr>
          <w:color w:val="000000" w:themeColor="text1"/>
          <w:sz w:val="16"/>
          <w:szCs w:val="16"/>
        </w:rPr>
        <w:t>6-го февраля 1935 года в день закрытия Седьмого съезда Советов СССР первыми пассажирами Московского метро стали делегаты. По приказу Наркома Путей сообщения от 14 мая 1935 года №118/и, Московский метрополитен был открыт для всеобщего пользования 15 мая 1935 года (12260).</w:t>
      </w:r>
    </w:p>
    <w:p w14:paraId="5C859F99" w14:textId="77777777" w:rsidR="00307D57" w:rsidRPr="00E14102" w:rsidRDefault="00307D57" w:rsidP="00E14102">
      <w:pPr>
        <w:jc w:val="both"/>
        <w:rPr>
          <w:color w:val="000000" w:themeColor="text1"/>
          <w:sz w:val="16"/>
          <w:szCs w:val="16"/>
        </w:rPr>
      </w:pPr>
    </w:p>
    <w:p w14:paraId="0D48A15A" w14:textId="77777777" w:rsidR="00C17A36" w:rsidRPr="00E14102" w:rsidRDefault="00C17A36" w:rsidP="00E14102">
      <w:pPr>
        <w:jc w:val="both"/>
        <w:rPr>
          <w:color w:val="000000" w:themeColor="text1"/>
          <w:sz w:val="16"/>
          <w:szCs w:val="16"/>
        </w:rPr>
      </w:pPr>
      <w:r w:rsidRPr="00E14102">
        <w:rPr>
          <w:color w:val="000000" w:themeColor="text1"/>
          <w:sz w:val="16"/>
          <w:szCs w:val="16"/>
        </w:rPr>
        <w:t>В начале февраля 1935 Каганович установил срок исправлений до 18 февраля 1935 г., после чего москвичей можно было запустить на станции и вестибюли{545}. 22 февраля Политбюро назначило правительственную комиссию в составе высокопоставленных функционеров и ученых под председательством руководителя Госплана и заместителя председателя Совнаркома В. И. Межлаука. Комиссия должна была проверить выполненную Метростроем работу и принять первую очередь. После этого в первой половине марта намечалось сдать метро в постоянную эксплуатацию{546}.</w:t>
      </w:r>
    </w:p>
    <w:p w14:paraId="3662BB55" w14:textId="77777777" w:rsidR="00C17A36" w:rsidRPr="00E14102" w:rsidRDefault="00C17A36" w:rsidP="00E14102">
      <w:pPr>
        <w:jc w:val="both"/>
        <w:rPr>
          <w:color w:val="000000" w:themeColor="text1"/>
          <w:sz w:val="16"/>
          <w:szCs w:val="16"/>
        </w:rPr>
      </w:pPr>
      <w:r w:rsidRPr="00E14102">
        <w:rPr>
          <w:color w:val="000000" w:themeColor="text1"/>
          <w:sz w:val="16"/>
          <w:szCs w:val="16"/>
        </w:rPr>
        <w:t>Комиссия заседала существенно дольше, чем предполагалось. Причина состояла не только в том, что Метрострой затягивал с предоставлением требуемой технической документации, чтобы выиграть время для исправления недоделок, а прежде всего в том, что комиссия отнеслась весьма серьезно к возложенной на нее миссии. Московское партийное руководство проявляло недовольство и упрекало комиссию в «перестраховке». Межлаук и нарком тяжелой промышленности Орджоникидзе, в чье ведение Метрострой был передан в начале марта{547},стремились при любых обстоятельствах избежать срывов при сдаче метро в эксплуатацию, как то нередко случалось в ходе поспешных пусков на промышленных гигантах первой пятилетки[51].Наконец, перед лицом своего населения и заграницы нужно было соответствовать лозунгу, что построено лучшее метро в мире. Технические, строительные или организационные упущения на метрополитене невозможно было скрыть от общественности, как то делалось на других предприятиях. В метро тысячи пассажиров ежедневно могли сами убедиться, действует оно или нет (18299).</w:t>
      </w:r>
    </w:p>
    <w:p w14:paraId="04B98A38" w14:textId="77777777" w:rsidR="00C17A36" w:rsidRPr="00E14102" w:rsidRDefault="00C17A36" w:rsidP="00E14102">
      <w:pPr>
        <w:jc w:val="both"/>
        <w:rPr>
          <w:color w:val="000000" w:themeColor="text1"/>
          <w:sz w:val="16"/>
          <w:szCs w:val="16"/>
        </w:rPr>
      </w:pPr>
    </w:p>
    <w:p w14:paraId="5CF82DC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80033C8" w14:textId="77777777" w:rsidR="00D4105E" w:rsidRPr="00E14102" w:rsidRDefault="00D4105E" w:rsidP="00E14102">
      <w:pPr>
        <w:autoSpaceDE w:val="0"/>
        <w:autoSpaceDN w:val="0"/>
        <w:adjustRightInd w:val="0"/>
        <w:jc w:val="both"/>
        <w:rPr>
          <w:iCs/>
          <w:color w:val="000000" w:themeColor="text1"/>
          <w:sz w:val="16"/>
          <w:szCs w:val="16"/>
        </w:rPr>
      </w:pPr>
    </w:p>
    <w:p w14:paraId="7ACF645B" w14:textId="77777777" w:rsidR="008F0A1B" w:rsidRPr="00E14102" w:rsidRDefault="008F0A1B" w:rsidP="00E14102">
      <w:pPr>
        <w:jc w:val="both"/>
        <w:rPr>
          <w:color w:val="000000" w:themeColor="text1"/>
          <w:sz w:val="16"/>
          <w:szCs w:val="16"/>
        </w:rPr>
      </w:pPr>
      <w:r w:rsidRPr="00E14102">
        <w:rPr>
          <w:bCs/>
          <w:color w:val="000000" w:themeColor="text1"/>
          <w:sz w:val="16"/>
          <w:szCs w:val="16"/>
        </w:rPr>
        <w:t>6 февраля</w:t>
      </w:r>
      <w:r w:rsidRPr="00E14102">
        <w:rPr>
          <w:color w:val="000000" w:themeColor="text1"/>
          <w:sz w:val="16"/>
          <w:szCs w:val="16"/>
        </w:rPr>
        <w:t xml:space="preserve"> в 1935 году поднялcя в воздух прототип </w:t>
      </w:r>
      <w:hyperlink r:id="rId40" w:tgtFrame="_blank" w:history="1">
        <w:r w:rsidRPr="00E14102">
          <w:rPr>
            <w:color w:val="000000" w:themeColor="text1"/>
            <w:sz w:val="16"/>
            <w:szCs w:val="16"/>
          </w:rPr>
          <w:t xml:space="preserve">«XP3D» </w:t>
        </w:r>
      </w:hyperlink>
      <w:r w:rsidRPr="00E14102">
        <w:rPr>
          <w:color w:val="000000" w:themeColor="text1"/>
          <w:sz w:val="16"/>
          <w:szCs w:val="16"/>
        </w:rPr>
        <w:t xml:space="preserve">фирмы «Дуглас», в будущем многоцелевой лодки </w:t>
      </w:r>
      <w:hyperlink r:id="rId41" w:tgtFrame="_blank" w:history="1">
        <w:r w:rsidRPr="00E14102">
          <w:rPr>
            <w:color w:val="000000" w:themeColor="text1"/>
            <w:sz w:val="16"/>
            <w:szCs w:val="16"/>
          </w:rPr>
          <w:t xml:space="preserve">«Consolidated PBY» Catalina». </w:t>
        </w:r>
      </w:hyperlink>
    </w:p>
    <w:p w14:paraId="0149FC0F" w14:textId="77777777" w:rsidR="008F0A1B" w:rsidRPr="00E14102" w:rsidRDefault="008F0A1B" w:rsidP="00E14102">
      <w:pPr>
        <w:jc w:val="both"/>
        <w:rPr>
          <w:color w:val="000000" w:themeColor="text1"/>
          <w:sz w:val="16"/>
          <w:szCs w:val="16"/>
        </w:rPr>
      </w:pPr>
    </w:p>
    <w:p w14:paraId="0E578E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 февраля 1935 впервые в продажу поступила настольная игра “Монополия” (4962).</w:t>
      </w:r>
    </w:p>
    <w:p w14:paraId="500E805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75EEA4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F4E8566" w14:textId="77777777" w:rsidR="00D4105E" w:rsidRPr="00E14102" w:rsidRDefault="00D4105E" w:rsidP="00E14102">
      <w:pPr>
        <w:autoSpaceDE w:val="0"/>
        <w:autoSpaceDN w:val="0"/>
        <w:adjustRightInd w:val="0"/>
        <w:jc w:val="both"/>
        <w:rPr>
          <w:iCs/>
          <w:color w:val="000000" w:themeColor="text1"/>
          <w:sz w:val="16"/>
          <w:szCs w:val="16"/>
        </w:rPr>
      </w:pPr>
    </w:p>
    <w:p w14:paraId="32609191" w14:textId="77777777" w:rsidR="008F0A1B" w:rsidRPr="00E14102" w:rsidRDefault="008F0A1B" w:rsidP="00E14102">
      <w:pPr>
        <w:pStyle w:val="rtejustify"/>
        <w:spacing w:before="0" w:after="0"/>
        <w:rPr>
          <w:color w:val="000000" w:themeColor="text1"/>
          <w:sz w:val="16"/>
          <w:szCs w:val="16"/>
        </w:rPr>
      </w:pPr>
      <w:r w:rsidRPr="00E14102">
        <w:rPr>
          <w:rStyle w:val="a6"/>
          <w:bCs/>
          <w:i w:val="0"/>
          <w:color w:val="000000" w:themeColor="text1"/>
          <w:sz w:val="16"/>
          <w:szCs w:val="16"/>
        </w:rPr>
        <w:t>7 февраля 1935 вышел приказ НКО №</w:t>
      </w:r>
      <w:r w:rsidRPr="00E14102">
        <w:rPr>
          <w:color w:val="000000" w:themeColor="text1"/>
          <w:sz w:val="16"/>
          <w:szCs w:val="16"/>
        </w:rPr>
        <w:t> 022. Об отмене приказа РВС 1934 г № 008 «О назначении комиссии для приемки самолета ТМС</w:t>
      </w:r>
      <w:r w:rsidRPr="00E14102">
        <w:rPr>
          <w:color w:val="000000" w:themeColor="text1"/>
          <w:sz w:val="16"/>
          <w:szCs w:val="16"/>
        </w:rPr>
        <w:noBreakHyphen/>
        <w:t>1» (15247).</w:t>
      </w:r>
    </w:p>
    <w:p w14:paraId="3DBD36BA" w14:textId="77777777" w:rsidR="008F0A1B" w:rsidRPr="00E14102" w:rsidRDefault="008F0A1B" w:rsidP="00E14102">
      <w:pPr>
        <w:pStyle w:val="rtejustify"/>
        <w:spacing w:before="0" w:after="0"/>
        <w:rPr>
          <w:color w:val="000000" w:themeColor="text1"/>
          <w:sz w:val="16"/>
          <w:szCs w:val="16"/>
        </w:rPr>
      </w:pPr>
    </w:p>
    <w:p w14:paraId="1EE949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февраля 1935 на заседании моторного комитета Авиавнито (протокол 1) было заслушано сообщение Дмитриевского о работе бригады по высотным моторам и в частности по выбору мотора для высотного самолета СБ-1 (2343,231).</w:t>
      </w:r>
    </w:p>
    <w:p w14:paraId="76ABE142" w14:textId="77777777" w:rsidR="00D4105E" w:rsidRPr="00E14102" w:rsidRDefault="00D4105E" w:rsidP="00E14102">
      <w:pPr>
        <w:autoSpaceDE w:val="0"/>
        <w:autoSpaceDN w:val="0"/>
        <w:adjustRightInd w:val="0"/>
        <w:jc w:val="both"/>
        <w:rPr>
          <w:color w:val="000000" w:themeColor="text1"/>
          <w:sz w:val="16"/>
          <w:szCs w:val="16"/>
        </w:rPr>
      </w:pPr>
    </w:p>
    <w:p w14:paraId="3AED85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февраля 1935 года Начальник НИИ ВВС Лавров утвердил Отчет о разработке и испытании макета ночной аэронавигационной бомбы для суши</w:t>
      </w:r>
    </w:p>
    <w:p w14:paraId="4539C2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Назначение бомбы:</w:t>
      </w:r>
    </w:p>
    <w:p w14:paraId="53E0E9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Ночная аэронавигационная бомба для суши предназначена для получения световой визирной точки в полете ночью над местностью лишенной каких бы то ни было освещенных и достаточно хорошо видимых с самолета объектов.</w:t>
      </w:r>
    </w:p>
    <w:p w14:paraId="767197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EDD044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Испытанный макет бомбы оказался вполне соответствующим своему назначению при сбрасывании на местность, лишенную каких-либо препятствий могущих заслонить собою свет бомбы (густая и высокая трава, густой лес и т.п.).</w:t>
      </w:r>
    </w:p>
    <w:p w14:paraId="7FFB158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Учитывая простоту конструкции бомбы необходимо признать целесообразным заказ опытной серии по макету (без изготовления опытного образца) ……..(3929).</w:t>
      </w:r>
    </w:p>
    <w:p w14:paraId="5E76ADBE"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09F445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февраля 1935 у зам. нач. ГУАП Ермолаева было совещание "О тормозных колесах размером 2 метра и 900 мм (1025,114).</w:t>
      </w:r>
    </w:p>
    <w:p w14:paraId="7B096380" w14:textId="77777777" w:rsidR="00D4105E" w:rsidRPr="00E14102" w:rsidRDefault="00D4105E" w:rsidP="00E14102">
      <w:pPr>
        <w:autoSpaceDE w:val="0"/>
        <w:autoSpaceDN w:val="0"/>
        <w:adjustRightInd w:val="0"/>
        <w:jc w:val="both"/>
        <w:rPr>
          <w:color w:val="000000" w:themeColor="text1"/>
          <w:sz w:val="16"/>
          <w:szCs w:val="16"/>
        </w:rPr>
      </w:pPr>
    </w:p>
    <w:p w14:paraId="323B21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февраля 1935 года были подготовлены Общие выводы по докладу за 1934 год ст. военпреда на заводе N 18 Пасечного.</w:t>
      </w:r>
    </w:p>
    <w:p w14:paraId="218703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договору завод обязан был сдать 25 шт. самолетов РД. Самолетов РД в целом ни одного не сдано.</w:t>
      </w:r>
    </w:p>
    <w:p w14:paraId="538F94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Заслуживает большого интереса работа опытно-конструкторского бюро инж. Москалева:</w:t>
      </w:r>
    </w:p>
    <w:p w14:paraId="465317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Запроектирован 2-х местный истребитель парабола под мотор М-34РН.</w:t>
      </w:r>
    </w:p>
    <w:p w14:paraId="7CA864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На 1935 год запроектирован к разработке скоростной бомбардировщик под 3М-12V с максимальной скоростью 500 км/час с полезной нагрузкой 3500 кг.</w:t>
      </w:r>
    </w:p>
    <w:p w14:paraId="6334C7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Эскизный проект одноместного истребителя под мотор 1-М-12V со скоростью 680 км/час. (3072,33-35).</w:t>
      </w:r>
    </w:p>
    <w:p w14:paraId="7AC5B176" w14:textId="77777777" w:rsidR="00D4105E" w:rsidRPr="00E14102" w:rsidRDefault="00D4105E" w:rsidP="00E14102">
      <w:pPr>
        <w:autoSpaceDE w:val="0"/>
        <w:autoSpaceDN w:val="0"/>
        <w:adjustRightInd w:val="0"/>
        <w:jc w:val="both"/>
        <w:rPr>
          <w:color w:val="000000" w:themeColor="text1"/>
          <w:sz w:val="16"/>
          <w:szCs w:val="16"/>
        </w:rPr>
      </w:pPr>
    </w:p>
    <w:p w14:paraId="0D35F7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февраля 1935 года ст. бухгалтер завода № 81 писал письмо № 75с в Экономическое управление ГУГВФ</w:t>
      </w:r>
    </w:p>
    <w:p w14:paraId="6A5EF8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Объяснительная записка к годовому отчету по Проектно-конструкторскому отделу завода № 81 им. Молотова за 1934 год</w:t>
      </w:r>
    </w:p>
    <w:p w14:paraId="586AB1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Отдел опытного самолетостроения возник из ячейки созданной в начале 1930 года для проектирования стального самолета из нержавеющей стали под руководством Путилова, сперва при Академии ВФ, а затем в составе Добролета (ОСД). На основе развернувшихся работ был создан НИИ ГВФ в начале 1931 года.</w:t>
      </w:r>
    </w:p>
    <w:p w14:paraId="10377B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Основные работы Отдела опытного самолетостроения Института, заключались в проектировании и постройке цельностального самолета из нержавеющей стали на электросварке. Самолет был построен в начале октября 1931 года, доказав возможность и необходимость развития цельностального самолетостроения в Союзе. Для серийного выпуска самолетов Сталь-2 был построен завод № 81.</w:t>
      </w:r>
    </w:p>
    <w:p w14:paraId="3B7D57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Впоследствии, для приближения конструкторской мысли непосредственно к производству, Отдел опытного самолетостроения влился в состав завода № 81.</w:t>
      </w:r>
    </w:p>
    <w:p w14:paraId="528512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1933 году Отделом был выпущен самолет Сталь-3 с мотором М-22.</w:t>
      </w:r>
    </w:p>
    <w:p w14:paraId="5625FC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1934 году Отдел претерпел следующие структурные изменения: ООС слился с существующим к началу 1934 года Конструкторским отделом завода № 81, получив наименование Проектно-конструкторский отдел завода с передачей объединенному отделу всех функций серийного обслуживания завода. С января 1934 года Отдел был выделен на самостоятельный баланс со своим бюджетом, с распорядителем кредитов Путиловым.</w:t>
      </w:r>
    </w:p>
    <w:p w14:paraId="0A4BDA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Основная тематика Отдела в 1934 году состояла в следующем:</w:t>
      </w:r>
    </w:p>
    <w:p w14:paraId="1B12EE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Конструирование и постройка опытного самолета С-5.</w:t>
      </w:r>
    </w:p>
    <w:p w14:paraId="4053C7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Начало конструирования опытного самолета Сталь-11.</w:t>
      </w:r>
    </w:p>
    <w:p w14:paraId="6919DC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Установка самолета Сталь-2 на поплавки (дюралевые).</w:t>
      </w:r>
    </w:p>
    <w:p w14:paraId="2039B4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Установка самолета Сталь-3 на поплавки (армированные или стальные).</w:t>
      </w:r>
    </w:p>
    <w:p w14:paraId="60E03C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Статиспытания конструкции.</w:t>
      </w:r>
    </w:p>
    <w:p w14:paraId="157FB8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Колесно-лыжное шасси.</w:t>
      </w:r>
    </w:p>
    <w:p w14:paraId="5FD11B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Усовершенствование и доводки самолета С-2 и С-3.Опытные мастерские Отдела были сформированы лишь в начале 1934 года (7730, 300-301).</w:t>
      </w:r>
    </w:p>
    <w:p w14:paraId="742595DD" w14:textId="77777777" w:rsidR="00D4105E" w:rsidRPr="00E14102" w:rsidRDefault="00D4105E" w:rsidP="00E14102">
      <w:pPr>
        <w:autoSpaceDE w:val="0"/>
        <w:autoSpaceDN w:val="0"/>
        <w:adjustRightInd w:val="0"/>
        <w:jc w:val="both"/>
        <w:rPr>
          <w:color w:val="000000" w:themeColor="text1"/>
          <w:sz w:val="16"/>
          <w:szCs w:val="16"/>
        </w:rPr>
      </w:pPr>
    </w:p>
    <w:p w14:paraId="60F3372B" w14:textId="77777777" w:rsidR="008F0A1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D985E6F" w14:textId="77777777" w:rsidR="008F0A1B" w:rsidRPr="00E14102" w:rsidRDefault="008F0A1B" w:rsidP="00E14102">
      <w:pPr>
        <w:autoSpaceDE w:val="0"/>
        <w:autoSpaceDN w:val="0"/>
        <w:adjustRightInd w:val="0"/>
        <w:jc w:val="both"/>
        <w:rPr>
          <w:iCs/>
          <w:color w:val="000000" w:themeColor="text1"/>
          <w:sz w:val="16"/>
          <w:szCs w:val="16"/>
        </w:rPr>
      </w:pPr>
    </w:p>
    <w:p w14:paraId="096BC529" w14:textId="77777777" w:rsidR="008F0A1B" w:rsidRPr="00E14102" w:rsidRDefault="008F0A1B"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7 февраля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ЦК ВКП(б) одобрил план получения технической помощи по радиотехнике и телевидению от крупнейшей компании «Радиокорпорейшн», насчитывавшей свыше 600 радиовещательных станций. Начались переговоры. СТО СССР 09.09 1935 года принял постановление № С-118сс «О заключении договора с фирмой «Радиокорпорейшн». (ГАРФ. Ф. Р-8418, оп. 28, д. 7, л. 101). Основное внимание при этом уделялось военному аспекту, о чем свидетельствует тот факт, что для руководства всем этим взаимодействием был выбран начальник связи РККА Н.М. Синявский, для прикрытия переведенный на должность заместителя наркома связи СССР. Этим же можно объяснить и основное внимание освоению в первую очередь ламп с металлическим корпусом, который, видимо, представлялся более прочным. За пять лет действия договора (с 1935 года по 1940-й) было закуплено новейшее заводское оборудование и приобретены права на использование технологии изготовления радиоламп. Если учесть стоимость покупаемого оборудования и образцов, командировки американских специалистов в СССР и советских инженеров в Америку (ежегодно 100 человек), то договор обошелся государству в 6</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млн долл.</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для того времени очень значительная сумма (15736).</w:t>
      </w:r>
    </w:p>
    <w:p w14:paraId="06775AB0" w14:textId="77777777" w:rsidR="008F0A1B" w:rsidRPr="00E14102" w:rsidRDefault="008F0A1B" w:rsidP="00E14102">
      <w:pPr>
        <w:pStyle w:val="ad"/>
        <w:spacing w:before="0" w:after="0"/>
        <w:rPr>
          <w:rFonts w:ascii="Times New Roman" w:hAnsi="Times New Roman" w:cs="Times New Roman"/>
          <w:color w:val="000000" w:themeColor="text1"/>
          <w:sz w:val="16"/>
          <w:szCs w:val="16"/>
          <w:lang w:val="ru-RU"/>
        </w:rPr>
      </w:pPr>
    </w:p>
    <w:p w14:paraId="2BDECC8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D5958E5" w14:textId="77777777" w:rsidR="00D4105E" w:rsidRPr="00E14102" w:rsidRDefault="00D4105E" w:rsidP="00E14102">
      <w:pPr>
        <w:autoSpaceDE w:val="0"/>
        <w:autoSpaceDN w:val="0"/>
        <w:adjustRightInd w:val="0"/>
        <w:jc w:val="both"/>
        <w:rPr>
          <w:iCs/>
          <w:color w:val="000000" w:themeColor="text1"/>
          <w:sz w:val="16"/>
          <w:szCs w:val="16"/>
        </w:rPr>
      </w:pPr>
    </w:p>
    <w:p w14:paraId="07B41A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8 по 19 февраля 1935 проходили гос. испытания самолета СБ с 2-мя моторами Испано-Сюиза 12 (6704).</w:t>
      </w:r>
    </w:p>
    <w:p w14:paraId="2371A9E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5A910C4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Начальник ЛИС НИИ Петров</w:t>
      </w:r>
    </w:p>
    <w:p w14:paraId="0991644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НИО ОСС НИИ – Филин</w:t>
      </w:r>
    </w:p>
    <w:p w14:paraId="29BFBE4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 ЛИСа - Подлесецкий</w:t>
      </w:r>
    </w:p>
    <w:p w14:paraId="3BF340C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Летчик – Миндер</w:t>
      </w:r>
    </w:p>
    <w:p w14:paraId="7E09A2E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52BA8A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летно-тактических и боевых данных самолета СБ (скоростной бомбардировщик) в зимних условиях (на лыжах).</w:t>
      </w:r>
    </w:p>
    <w:p w14:paraId="5963E8F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8ED66A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Наличие у самолета СБ больших максимальных скоростей, большого потолка и мощного вооружения, ставящих его в разряд одного из лучших в мире скоростных бомбардировщиков требуют скорейшего введения его на вооружение ВС.</w:t>
      </w:r>
    </w:p>
    <w:p w14:paraId="7689135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8222"/>
      </w:tblGrid>
      <w:tr w:rsidR="00E3599D" w:rsidRPr="00E14102" w14:paraId="5F4E8C4A" w14:textId="77777777">
        <w:tc>
          <w:tcPr>
            <w:tcW w:w="2376" w:type="dxa"/>
            <w:tcBorders>
              <w:top w:val="single" w:sz="12" w:space="0" w:color="auto"/>
            </w:tcBorders>
          </w:tcPr>
          <w:p w14:paraId="03B7497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февраля 1935 года</w:t>
            </w:r>
          </w:p>
        </w:tc>
        <w:tc>
          <w:tcPr>
            <w:tcW w:w="8222" w:type="dxa"/>
            <w:tcBorders>
              <w:top w:val="single" w:sz="12" w:space="0" w:color="auto"/>
            </w:tcBorders>
          </w:tcPr>
          <w:p w14:paraId="298B47C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летчиками Юмашевым и Громовым. Испытание стрелковых и бомбардировочных установок с точки зрения возможности прицеливания при различных скоростях и положениях самолета.</w:t>
            </w:r>
          </w:p>
        </w:tc>
      </w:tr>
      <w:tr w:rsidR="00E3599D" w:rsidRPr="00E14102" w14:paraId="2873FD4D" w14:textId="77777777">
        <w:tc>
          <w:tcPr>
            <w:tcW w:w="2376" w:type="dxa"/>
          </w:tcPr>
          <w:p w14:paraId="6368E6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февраля 1935 года</w:t>
            </w:r>
          </w:p>
        </w:tc>
        <w:tc>
          <w:tcPr>
            <w:tcW w:w="8222" w:type="dxa"/>
          </w:tcPr>
          <w:p w14:paraId="4A653A2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летчиком Филиным и испытание стрелкового и бомбардировочного вооружения.</w:t>
            </w:r>
          </w:p>
        </w:tc>
      </w:tr>
      <w:tr w:rsidR="00E3599D" w:rsidRPr="00E14102" w14:paraId="54ADC5E7" w14:textId="77777777">
        <w:tc>
          <w:tcPr>
            <w:tcW w:w="2376" w:type="dxa"/>
          </w:tcPr>
          <w:p w14:paraId="04C9296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февраля 1935 года</w:t>
            </w:r>
          </w:p>
        </w:tc>
        <w:tc>
          <w:tcPr>
            <w:tcW w:w="8222" w:type="dxa"/>
          </w:tcPr>
          <w:p w14:paraId="3444F66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километраж, бомбометание 1/500 с 1500 м высоты на максимальной скорости и наблюдение за открыванием и закрыванием бомбового люка при разных скоростях. Полет на зубцы и стрельба из передней установки на различных скоростях и высотах: 2000, 3000, 4500 и 6000 м.</w:t>
            </w:r>
          </w:p>
        </w:tc>
      </w:tr>
      <w:tr w:rsidR="00E3599D" w:rsidRPr="00E14102" w14:paraId="608F32D2" w14:textId="77777777">
        <w:tc>
          <w:tcPr>
            <w:tcW w:w="2376" w:type="dxa"/>
          </w:tcPr>
          <w:p w14:paraId="298E0BC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 февраля 1935 года</w:t>
            </w:r>
          </w:p>
        </w:tc>
        <w:tc>
          <w:tcPr>
            <w:tcW w:w="8222" w:type="dxa"/>
          </w:tcPr>
          <w:p w14:paraId="4965C6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потолок. Полет на стрельбу из передней установки на различных скоростях. Полет на бомбометание 2/250 кг и стрельба из заднего пулемета.</w:t>
            </w:r>
          </w:p>
        </w:tc>
      </w:tr>
      <w:tr w:rsidR="00E3599D" w:rsidRPr="00E14102" w14:paraId="2A1EFCF1" w14:textId="77777777">
        <w:tc>
          <w:tcPr>
            <w:tcW w:w="2376" w:type="dxa"/>
          </w:tcPr>
          <w:p w14:paraId="709D7F7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февраля 1935 года</w:t>
            </w:r>
          </w:p>
        </w:tc>
        <w:tc>
          <w:tcPr>
            <w:tcW w:w="8222" w:type="dxa"/>
          </w:tcPr>
          <w:p w14:paraId="653129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летчиком Громовым и выявление причин перегрева мотора.</w:t>
            </w:r>
          </w:p>
        </w:tc>
      </w:tr>
      <w:tr w:rsidR="00E3599D" w:rsidRPr="00E14102" w14:paraId="43042E8D" w14:textId="77777777">
        <w:tc>
          <w:tcPr>
            <w:tcW w:w="2376" w:type="dxa"/>
          </w:tcPr>
          <w:p w14:paraId="01DA693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18 февраля 1935 года</w:t>
            </w:r>
          </w:p>
        </w:tc>
        <w:tc>
          <w:tcPr>
            <w:tcW w:w="8222" w:type="dxa"/>
          </w:tcPr>
          <w:p w14:paraId="3304322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летчиками Филиным и Петровым.</w:t>
            </w:r>
          </w:p>
        </w:tc>
      </w:tr>
      <w:tr w:rsidR="00E3599D" w:rsidRPr="00E14102" w14:paraId="4A24CEAB" w14:textId="77777777">
        <w:tc>
          <w:tcPr>
            <w:tcW w:w="2376" w:type="dxa"/>
            <w:tcBorders>
              <w:bottom w:val="single" w:sz="12" w:space="0" w:color="auto"/>
            </w:tcBorders>
          </w:tcPr>
          <w:p w14:paraId="127AACC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февраля 1935 года</w:t>
            </w:r>
          </w:p>
        </w:tc>
        <w:tc>
          <w:tcPr>
            <w:tcW w:w="8222" w:type="dxa"/>
            <w:tcBorders>
              <w:bottom w:val="single" w:sz="12" w:space="0" w:color="auto"/>
            </w:tcBorders>
          </w:tcPr>
          <w:p w14:paraId="0743ABD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потолок.</w:t>
            </w:r>
          </w:p>
        </w:tc>
      </w:tr>
    </w:tbl>
    <w:p w14:paraId="0119555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Налет самолета СБ</w:t>
      </w:r>
    </w:p>
    <w:p w14:paraId="43EC58B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 испытании ОЭЛИД ЦАГИ с 29 декабря 1934 года по 6 февраля 1935 года:</w:t>
      </w:r>
    </w:p>
    <w:p w14:paraId="5D14BB2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Полетов – 21, налет 9 час. 42 мин</w:t>
      </w:r>
    </w:p>
    <w:p w14:paraId="7F5C957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 испытании НИИ ВС с 8 февраля по 19 февраля 1935 года:</w:t>
      </w:r>
    </w:p>
    <w:p w14:paraId="1DDEEF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Полетов – 17, налет 10 час. 20 мин.</w:t>
      </w:r>
    </w:p>
    <w:p w14:paraId="0C8FBE4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Всего полетов 38, налет – 20 час. 02 мин. (6704).</w:t>
      </w:r>
    </w:p>
    <w:p w14:paraId="0183B16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43A00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8 февраля 1935 г. начались совместные испытания СБ 2ИС в НИИ ВВС КА. Для проведения совместных испытаний ОКБ и ВВС к 23 января был назначен экипаж из НИИ ВВС КА. В него вошли летчик Миндер, штурман Брян-динский, летнаб-хронометрист Нольде и техник Обыденников. До завершения испытаний 19 февраля было выполнено 38 полетов. Кроме Миндера, от НИИ ВВС КА в облете самолета участвовали летчики М. М. Громов, А. Н. Филин и А. Б. Юмашев. Из ОЭЛИД ЦАГИ в испытаниях участвовал экипаж Журова.</w:t>
      </w:r>
    </w:p>
    <w:p w14:paraId="30323C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проводились с неубирающимися в полете лыжами. Максимальная скорость на лыжах составила у земли - 320 км/ч, на расчетной высоте 4000 м - 351 км/ч, на высоте 8000 м - 310 км/ч.</w:t>
      </w:r>
    </w:p>
    <w:p w14:paraId="123ED5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набора высоты 5000 м - 7,2 мин, практический потолок - 9400 м -выдающийся для своего времени результат. Ожидалось, что в летних условиях с убранным колесным шасси максимальная скорость на расчетной высоте составит 410-420 км/ч.</w:t>
      </w:r>
    </w:p>
    <w:p w14:paraId="0F8436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Полетный вес самолета составил 5000 кг. Размах крыла - 20,3 м. Несущая поверхность крыла имела площадь - 47,34 м2. Соответственно удельная нагрузка на несущую поверхность -105,7 кг/м2. Мощность, развиваемая моторами у земли, - 1530 л.с., а на расчетной для моторов высоте 3100 м - 1720 л.с. Соответственно, удельная нагрузка, отнесенная к мощности у земли, составляла 3,26 кг/л.с. и на расчетной высоте - 2,9 кг/л.с. Центр тяжести самолета составлял 29,3 % САХ.</w:t>
      </w:r>
    </w:p>
    <w:p w14:paraId="5E2DF8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отчете по государственным испытаниям отмечалось, что СБ 2ИС испытаний не прошел. Тем не менее было рекомендовано принять самолет на вооружение, внедрить его в серийное производство и устранить недостатки. К 15 марта 1935 г. требовалось довести вооружение и оборудование.</w:t>
      </w:r>
    </w:p>
    <w:p w14:paraId="249138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качестве основных недостатков отмечались: недостаточная продольная устойчивость самолета, недостаточная эффективность элеронов, "недостаточность" руля поворота при полете на одном моторе, недоведенность системы охлаждения моторов.</w:t>
      </w:r>
    </w:p>
    <w:p w14:paraId="7233D2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заключении делался вывод о том, что "СБ 2ИС принадлежит к новому тактическому классу современных бомбардировочных самолетов, обладающих чрезвычайно высокой горизонтальной скоростью полета и скороподъемностью...(9501).</w:t>
      </w:r>
    </w:p>
    <w:p w14:paraId="492B61FC" w14:textId="77777777" w:rsidR="00D4105E" w:rsidRPr="00E14102" w:rsidRDefault="00D4105E" w:rsidP="00E14102">
      <w:pPr>
        <w:autoSpaceDE w:val="0"/>
        <w:autoSpaceDN w:val="0"/>
        <w:adjustRightInd w:val="0"/>
        <w:jc w:val="both"/>
        <w:rPr>
          <w:color w:val="000000" w:themeColor="text1"/>
          <w:sz w:val="16"/>
          <w:szCs w:val="16"/>
        </w:rPr>
      </w:pPr>
    </w:p>
    <w:p w14:paraId="205AD4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8 февраля 1935 в Щелково начались государственые испытания СБ-2ИС. Они велись как совместные. Параллельно с военными на бомбардировщике летал экипаж Журова из ОЭЛИД ЦА-ГИ. Скорость намеряли ниже, чем на заводских испытаниях - 351 км/ч. Дело в том, что самолет установили на неубиравшиеся в полете лыжи, изрядно ухудшавшие аэродинамику. Но и это было большим скачком вперед по сравнению с состоявшими на вооружении бомбардировщиками. Кроме К.П. Миндера в облете СБ-2ИС участвовали М.М. Громов, А.И. Филин и А.Б. Юмашев (7643).</w:t>
      </w:r>
    </w:p>
    <w:p w14:paraId="57876480" w14:textId="77777777" w:rsidR="00D4105E" w:rsidRPr="00E14102" w:rsidRDefault="00D4105E" w:rsidP="00E14102">
      <w:pPr>
        <w:autoSpaceDE w:val="0"/>
        <w:autoSpaceDN w:val="0"/>
        <w:adjustRightInd w:val="0"/>
        <w:jc w:val="both"/>
        <w:rPr>
          <w:color w:val="000000" w:themeColor="text1"/>
          <w:sz w:val="16"/>
          <w:szCs w:val="16"/>
        </w:rPr>
      </w:pPr>
    </w:p>
    <w:p w14:paraId="00275C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февраля 1935 М.Н. Тухачевский, курировавший все новые вооружения РККА, утвердил программу государственных испытаний СБ-2ИС (7643).</w:t>
      </w:r>
    </w:p>
    <w:p w14:paraId="011F8681" w14:textId="77777777" w:rsidR="00D4105E" w:rsidRPr="00E14102" w:rsidRDefault="00D4105E" w:rsidP="00E14102">
      <w:pPr>
        <w:autoSpaceDE w:val="0"/>
        <w:autoSpaceDN w:val="0"/>
        <w:adjustRightInd w:val="0"/>
        <w:jc w:val="both"/>
        <w:rPr>
          <w:color w:val="000000" w:themeColor="text1"/>
          <w:sz w:val="16"/>
          <w:szCs w:val="16"/>
        </w:rPr>
      </w:pPr>
    </w:p>
    <w:p w14:paraId="3177C3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8 февраля по 3 марта 1935 проходили гос. испытания СБ 2ИС АНТ-40, которые были прерваны из-за элеронного флаттера. Потом после работ М.В.Келдыша испытания продолжились летом и закончились в апреле 1936 (2233,46).</w:t>
      </w:r>
    </w:p>
    <w:p w14:paraId="5A94F0E3" w14:textId="77777777" w:rsidR="00D4105E" w:rsidRPr="00E14102" w:rsidRDefault="00D4105E" w:rsidP="00E14102">
      <w:pPr>
        <w:autoSpaceDE w:val="0"/>
        <w:autoSpaceDN w:val="0"/>
        <w:adjustRightInd w:val="0"/>
        <w:jc w:val="both"/>
        <w:rPr>
          <w:color w:val="000000" w:themeColor="text1"/>
          <w:sz w:val="16"/>
          <w:szCs w:val="16"/>
        </w:rPr>
      </w:pPr>
    </w:p>
    <w:p w14:paraId="1EEA27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начали гос. испытания СБ (АНТ-40) с М-100, но 3 марта - прервали из-за флаттера. Устранили (80,234).</w:t>
      </w:r>
    </w:p>
    <w:p w14:paraId="17FF2C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Правильнее - с ИС и закончили их в несколько этапов в апреле 1935, а потом передали на завод в качестве эталона для серии. Сдвинули двигатель на 100 мм вперед, увеличили стреловидность консолей с 4.5 до 9 гр., увеличили площадь оперения, на РВ ввели компенсаторы (4,14).</w:t>
      </w:r>
    </w:p>
    <w:p w14:paraId="33532D29" w14:textId="77777777" w:rsidR="00D4105E" w:rsidRPr="00E14102" w:rsidRDefault="00D4105E" w:rsidP="00E14102">
      <w:pPr>
        <w:autoSpaceDE w:val="0"/>
        <w:autoSpaceDN w:val="0"/>
        <w:adjustRightInd w:val="0"/>
        <w:jc w:val="both"/>
        <w:rPr>
          <w:color w:val="000000" w:themeColor="text1"/>
          <w:sz w:val="16"/>
          <w:szCs w:val="16"/>
        </w:rPr>
      </w:pPr>
    </w:p>
    <w:p w14:paraId="18F857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8 февраля 1935 г. начались государственные испытания АНТ-40ИС на подмосковном аэродроме в Щелково. Со стороны ЦАГИ в полетах участвовал летчик Н.С.Журов, ведущий летчик от НИИ ВВС - К.П.Миндер, летчики облета М.М.Громов, А.И.Филин, А.Б.Юмашев, И.Ф.Петров. АНТ-40ИС летал на лыжном неубираемом шасси, использовались двухлопастные деревянные винты, максимальная скорость не превышала 351 км/ч на высоте 4000 м. Практический потолок с полетным весом 5000 кг составил 9400 м.</w:t>
      </w:r>
    </w:p>
    <w:p w14:paraId="0A47B9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этап испытаний закончился 20 февраля 1935 г. Отмечалось, что самолет имеет недоведенное вооружение и охлаждение двигателей, недостаточную продольную устойчивость и эффективность элеронов. Тем не менее, 22 февраля Начальник ВВС</w:t>
      </w:r>
    </w:p>
    <w:p w14:paraId="7C94D1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Я.И.Алкснис подписал акт тестирования АНТ-40ИС - "Считать самолет СБ подлежащим внедрению в серийное производство и принятию на вооружение с устранением недочетов, выявленных на испытаниях" (12027).</w:t>
      </w:r>
    </w:p>
    <w:p w14:paraId="74398211" w14:textId="77777777" w:rsidR="00D4105E" w:rsidRPr="00E14102" w:rsidRDefault="00D4105E" w:rsidP="00E14102">
      <w:pPr>
        <w:autoSpaceDE w:val="0"/>
        <w:autoSpaceDN w:val="0"/>
        <w:adjustRightInd w:val="0"/>
        <w:jc w:val="both"/>
        <w:rPr>
          <w:color w:val="000000" w:themeColor="text1"/>
          <w:sz w:val="16"/>
          <w:szCs w:val="16"/>
        </w:rPr>
      </w:pPr>
    </w:p>
    <w:p w14:paraId="5D3FBBE3" w14:textId="77777777" w:rsidR="008F0A1B" w:rsidRPr="00E14102" w:rsidRDefault="008F0A1B" w:rsidP="00E14102">
      <w:pPr>
        <w:jc w:val="both"/>
        <w:rPr>
          <w:color w:val="000000" w:themeColor="text1"/>
          <w:sz w:val="16"/>
          <w:szCs w:val="16"/>
        </w:rPr>
      </w:pPr>
      <w:r w:rsidRPr="00E14102">
        <w:rPr>
          <w:bCs/>
          <w:color w:val="000000" w:themeColor="text1"/>
          <w:sz w:val="16"/>
          <w:szCs w:val="16"/>
        </w:rPr>
        <w:t>8 февраля</w:t>
      </w:r>
      <w:r w:rsidRPr="00E14102">
        <w:rPr>
          <w:color w:val="000000" w:themeColor="text1"/>
          <w:sz w:val="16"/>
          <w:szCs w:val="16"/>
        </w:rPr>
        <w:t xml:space="preserve"> в 1935 году в НИИ ВВС КА начались совместные испытания </w:t>
      </w:r>
      <w:hyperlink r:id="rId42" w:tgtFrame="_blank" w:history="1">
        <w:r w:rsidRPr="00E14102">
          <w:rPr>
            <w:color w:val="000000" w:themeColor="text1"/>
            <w:sz w:val="16"/>
            <w:szCs w:val="16"/>
          </w:rPr>
          <w:t xml:space="preserve">«СБ-2ИС» («АНТ-40-2»). </w:t>
        </w:r>
      </w:hyperlink>
      <w:r w:rsidRPr="00E14102">
        <w:rPr>
          <w:color w:val="000000" w:themeColor="text1"/>
          <w:sz w:val="16"/>
          <w:szCs w:val="16"/>
        </w:rPr>
        <w:t>До завершения испытаний 19 февраля было выполнено 38 полетов. Кроме Миндера, от НИИ ВВС КА в облете самолета участвовали летчики М.М.Громов, А.Н.Филин и А.Б.Юмашев. Из ОЭЛИД ЦАГИ в испытаниях участвовал экипаж Журова. От своего предшественника «СБ-2РЦ» он отличался не только моторами, но и некоторыми размерами. Выросли размах (до 20,33 м) и площадь крыла (до 52,9 м2), так же как площадь горизонтального оперения. Почти вдвое увеличился объём бензобаков. Полётный вес возрос до 4850 кг (максимальный - до 5530 кг). На «АНТ-40-2» ставились два мотора "Испано-Сюиза" по 780' л.с. Винты двухлопастные металлические фиксированного шага. Ступицы винтов прикрывались небольшими коками. Форма и размеры мотогондол были близки к «АНТ-40-1», но в передней части капоты имели не круглую, а овальную форму. Охлаждение моторов обеспечивалось лобовыми сотовыми радиаторами. Спереди они прикрывались горизонтальными жалюзи, а на выходе поток воздуха регулировался поворотными совками (15034).</w:t>
      </w:r>
    </w:p>
    <w:p w14:paraId="7117DB17" w14:textId="77777777" w:rsidR="008F0A1B" w:rsidRPr="00E14102" w:rsidRDefault="008F0A1B" w:rsidP="00E14102">
      <w:pPr>
        <w:jc w:val="both"/>
        <w:rPr>
          <w:color w:val="000000" w:themeColor="text1"/>
          <w:sz w:val="16"/>
          <w:szCs w:val="16"/>
        </w:rPr>
      </w:pPr>
    </w:p>
    <w:p w14:paraId="3B3CE3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февраля 1935 Нач. ЦАГИ Харламов писал Нач. ВВС Алкснису и Врид ГУАП Марголину письмо N 377с (вход. 1690 от 11 февраля 1935) на N 40/0741 от 1 февраля 1935:</w:t>
      </w:r>
    </w:p>
    <w:p w14:paraId="29E571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Ваш запрос сообщаю, что с 27 января по 6 февраля с.г. не было летной погоды, осталось 2-3 полета испытать окончательно вооружение и самолет будет сдан в НИИ. Сейчас машина на лыжах." (2337,185).</w:t>
      </w:r>
    </w:p>
    <w:p w14:paraId="6232932C" w14:textId="77777777" w:rsidR="00D4105E" w:rsidRPr="00E14102" w:rsidRDefault="00D4105E" w:rsidP="00E14102">
      <w:pPr>
        <w:autoSpaceDE w:val="0"/>
        <w:autoSpaceDN w:val="0"/>
        <w:adjustRightInd w:val="0"/>
        <w:jc w:val="both"/>
        <w:rPr>
          <w:color w:val="000000" w:themeColor="text1"/>
          <w:sz w:val="16"/>
          <w:szCs w:val="16"/>
        </w:rPr>
      </w:pPr>
    </w:p>
    <w:p w14:paraId="4944ED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8 по 22 февраля 1935 года в НИИ ВВС проходили испытания самолета И7 N 4449 с мотором М17 N 262646 Е=7,3 винт N 32250 Д=3,112 Н=2,77</w:t>
      </w:r>
    </w:p>
    <w:p w14:paraId="744705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Цель испытаний:</w:t>
      </w:r>
    </w:p>
    <w:p w14:paraId="63A740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Летные и эксплуатационные испытания самолета И7 N 4449 эталон 1933 г. с новым клепаным дюралевым хвостовым оперением.</w:t>
      </w:r>
    </w:p>
    <w:p w14:paraId="224FE6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E4C3D7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 И7 М17 с новым дюралевым оперением может быть допущен к эксплуатации после устранения (зав. N 1) дефектов.</w:t>
      </w:r>
    </w:p>
    <w:p w14:paraId="7DDE9E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60859E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 Петухов</w:t>
      </w:r>
    </w:p>
    <w:p w14:paraId="012B2C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 Савинов</w:t>
      </w:r>
    </w:p>
    <w:p w14:paraId="704E13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Календарь</w:t>
      </w:r>
    </w:p>
    <w:p w14:paraId="7E439E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Прохождения испытаний самолета И7 N 4449</w:t>
      </w:r>
    </w:p>
    <w:p w14:paraId="031D42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получен с завода N 1 – 8 января 1935 года</w:t>
      </w:r>
    </w:p>
    <w:p w14:paraId="147F72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Перелет в Щелково - 8 января 1935 года</w:t>
      </w:r>
    </w:p>
    <w:p w14:paraId="785CBD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Окончание испытаний – 22 февраля 1935 года</w:t>
      </w:r>
    </w:p>
    <w:p w14:paraId="18DD53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Затрачено на испытание 45 календарных дней</w:t>
      </w:r>
    </w:p>
    <w:p w14:paraId="7DCDA4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самолета было проведено в 16 дней</w:t>
      </w:r>
    </w:p>
    <w:p w14:paraId="5536D9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время нахождения самолета в НИИ ВВС налетано 22 часа 25 минут</w:t>
      </w:r>
    </w:p>
    <w:p w14:paraId="34507A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Произведено фигур высшего пилотажа – 500</w:t>
      </w:r>
    </w:p>
    <w:p w14:paraId="0E8024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Сделано посадок – 47 (3984).</w:t>
      </w:r>
    </w:p>
    <w:p w14:paraId="65073B44" w14:textId="77777777" w:rsidR="00D4105E" w:rsidRPr="00E14102" w:rsidRDefault="00D4105E" w:rsidP="00E14102">
      <w:pPr>
        <w:autoSpaceDE w:val="0"/>
        <w:autoSpaceDN w:val="0"/>
        <w:adjustRightInd w:val="0"/>
        <w:jc w:val="both"/>
        <w:rPr>
          <w:color w:val="000000" w:themeColor="text1"/>
          <w:sz w:val="16"/>
          <w:szCs w:val="16"/>
        </w:rPr>
      </w:pPr>
    </w:p>
    <w:p w14:paraId="61799E2E" w14:textId="77777777" w:rsidR="008F0A1B" w:rsidRPr="00E14102" w:rsidRDefault="008F0A1B" w:rsidP="00E14102">
      <w:pPr>
        <w:pStyle w:val="rtejustify"/>
        <w:spacing w:before="0" w:after="0"/>
        <w:rPr>
          <w:color w:val="000000" w:themeColor="text1"/>
          <w:sz w:val="16"/>
          <w:szCs w:val="16"/>
        </w:rPr>
      </w:pPr>
      <w:r w:rsidRPr="00E14102">
        <w:rPr>
          <w:rStyle w:val="a6"/>
          <w:bCs/>
          <w:i w:val="0"/>
          <w:color w:val="000000" w:themeColor="text1"/>
          <w:sz w:val="16"/>
          <w:szCs w:val="16"/>
        </w:rPr>
        <w:t>8 февраля 1935 вышел приказ НКО №</w:t>
      </w:r>
      <w:r w:rsidRPr="00E14102">
        <w:rPr>
          <w:color w:val="000000" w:themeColor="text1"/>
          <w:sz w:val="16"/>
          <w:szCs w:val="16"/>
        </w:rPr>
        <w:t> 023. О проведении государственных испытаний опытного гидросамолета МК</w:t>
      </w:r>
      <w:r w:rsidRPr="00E14102">
        <w:rPr>
          <w:color w:val="000000" w:themeColor="text1"/>
          <w:sz w:val="16"/>
          <w:szCs w:val="16"/>
        </w:rPr>
        <w:noBreakHyphen/>
        <w:t>1</w:t>
      </w:r>
      <w:r w:rsidRPr="00E14102">
        <w:rPr>
          <w:color w:val="000000" w:themeColor="text1"/>
          <w:sz w:val="16"/>
          <w:szCs w:val="16"/>
        </w:rPr>
        <w:noBreakHyphen/>
        <w:t>6М</w:t>
      </w:r>
      <w:r w:rsidRPr="00E14102">
        <w:rPr>
          <w:color w:val="000000" w:themeColor="text1"/>
          <w:sz w:val="16"/>
          <w:szCs w:val="16"/>
        </w:rPr>
        <w:noBreakHyphen/>
        <w:t>34Р (15247).</w:t>
      </w:r>
    </w:p>
    <w:p w14:paraId="11B63BEE" w14:textId="77777777" w:rsidR="008F0A1B" w:rsidRPr="00E14102" w:rsidRDefault="008F0A1B" w:rsidP="00E14102">
      <w:pPr>
        <w:pStyle w:val="rtejustify"/>
        <w:spacing w:before="0" w:after="0"/>
        <w:rPr>
          <w:color w:val="000000" w:themeColor="text1"/>
          <w:sz w:val="16"/>
          <w:szCs w:val="16"/>
        </w:rPr>
      </w:pPr>
    </w:p>
    <w:p w14:paraId="1725DE8C" w14:textId="77777777" w:rsidR="008F0A1B" w:rsidRPr="00E14102" w:rsidRDefault="008F0A1B" w:rsidP="00E14102">
      <w:pPr>
        <w:autoSpaceDE w:val="0"/>
        <w:autoSpaceDN w:val="0"/>
        <w:adjustRightInd w:val="0"/>
        <w:jc w:val="both"/>
        <w:rPr>
          <w:color w:val="000000" w:themeColor="text1"/>
          <w:sz w:val="16"/>
          <w:szCs w:val="16"/>
        </w:rPr>
      </w:pPr>
      <w:r w:rsidRPr="00E14102">
        <w:rPr>
          <w:color w:val="000000" w:themeColor="text1"/>
          <w:sz w:val="16"/>
          <w:szCs w:val="16"/>
        </w:rPr>
        <w:t>8 февраля 1935 были подготовлены технические требования к двухместному парителю СК-9 (см. Приложение 1) и выполнены расчеты крыла на прочность. СК-9 позднее был переоборудован в реактивный аппарат (индекс РП-318-1). Был испытан в полете в феврале 1940 г. (Там же, № 18) (10676).</w:t>
      </w:r>
    </w:p>
    <w:p w14:paraId="22D76678" w14:textId="77777777" w:rsidR="008F0A1B" w:rsidRPr="00E14102" w:rsidRDefault="008F0A1B" w:rsidP="00E14102">
      <w:pPr>
        <w:autoSpaceDE w:val="0"/>
        <w:autoSpaceDN w:val="0"/>
        <w:adjustRightInd w:val="0"/>
        <w:jc w:val="both"/>
        <w:rPr>
          <w:color w:val="000000" w:themeColor="text1"/>
          <w:sz w:val="16"/>
          <w:szCs w:val="16"/>
        </w:rPr>
      </w:pPr>
    </w:p>
    <w:p w14:paraId="3C82D9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февраля 1935 года гл. бухгалтер Щленский писал письмо № 62с в ЦФО Аэрофлота:</w:t>
      </w:r>
    </w:p>
    <w:p w14:paraId="02E35B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Объяснительная записка к годовому отчету за 1934 год по основной деятельности завода № 84</w:t>
      </w:r>
    </w:p>
    <w:p w14:paraId="674AE2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Предположенная по плану и проводившаяся с июня 1934 года структура основного производства в виде 4-х отдельных цехов (инструментально-механический, дюралево-заготовительный, цех групповой сборки, цех окончательной сборки), бала изменена в ноябре 1934 года. Вместо 4 существовавших цехов были образованы 2 цеха: инструментально-механический и самолетный.</w:t>
      </w:r>
    </w:p>
    <w:p w14:paraId="3EDA5A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по товарной продукции заводом в 1934 году не выполнен, оставшиеся в незавершенном производстве 7 самолетов АНТ-9 переходят на 1935 год.</w:t>
      </w:r>
    </w:p>
    <w:p w14:paraId="59C386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осени 1933 года по 9 апреля 1934 года, когда был окончательно утвержден техпромфинплан, изменилось около 5 вариантов задания на 1934 год, причем номенклатура задания – был и ремонт АНТ-9 с мотором М-17 и постройка фюзеляжа АНТ-14 и, наконец постройка 8 самолетов АНТ-9, получаемых с завода № 31 в Таганроге (7731, 4-14).</w:t>
      </w:r>
    </w:p>
    <w:p w14:paraId="3D1E4252" w14:textId="77777777" w:rsidR="00D4105E" w:rsidRPr="00E14102" w:rsidRDefault="00D4105E" w:rsidP="00E14102">
      <w:pPr>
        <w:autoSpaceDE w:val="0"/>
        <w:autoSpaceDN w:val="0"/>
        <w:adjustRightInd w:val="0"/>
        <w:jc w:val="both"/>
        <w:rPr>
          <w:color w:val="000000" w:themeColor="text1"/>
          <w:sz w:val="16"/>
          <w:szCs w:val="16"/>
        </w:rPr>
      </w:pPr>
    </w:p>
    <w:p w14:paraId="4CE3164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EDAC7D6" w14:textId="77777777" w:rsidR="00D4105E" w:rsidRPr="00E14102" w:rsidRDefault="00D4105E" w:rsidP="00E14102">
      <w:pPr>
        <w:autoSpaceDE w:val="0"/>
        <w:autoSpaceDN w:val="0"/>
        <w:adjustRightInd w:val="0"/>
        <w:jc w:val="both"/>
        <w:rPr>
          <w:iCs/>
          <w:color w:val="000000" w:themeColor="text1"/>
          <w:sz w:val="16"/>
          <w:szCs w:val="16"/>
        </w:rPr>
      </w:pPr>
    </w:p>
    <w:p w14:paraId="6A3123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февраля 1935 года опытный образец полууниверсальной 76-мм пушки А-51 ГКБ-38 был отправлен на полигонные испытания на НИАП. Полигонные испытания он не выдержал (3861).</w:t>
      </w:r>
    </w:p>
    <w:p w14:paraId="7A3EE3DF" w14:textId="77777777" w:rsidR="00D4105E" w:rsidRPr="00E14102" w:rsidRDefault="00D4105E" w:rsidP="00E14102">
      <w:pPr>
        <w:autoSpaceDE w:val="0"/>
        <w:autoSpaceDN w:val="0"/>
        <w:adjustRightInd w:val="0"/>
        <w:jc w:val="both"/>
        <w:rPr>
          <w:color w:val="000000" w:themeColor="text1"/>
          <w:sz w:val="16"/>
          <w:szCs w:val="16"/>
        </w:rPr>
      </w:pPr>
    </w:p>
    <w:p w14:paraId="59B8D3FA" w14:textId="77777777" w:rsidR="00D30265" w:rsidRPr="00E14102" w:rsidRDefault="00D30265" w:rsidP="00E14102">
      <w:pPr>
        <w:jc w:val="both"/>
        <w:rPr>
          <w:color w:val="000000" w:themeColor="text1"/>
          <w:sz w:val="16"/>
          <w:szCs w:val="16"/>
        </w:rPr>
      </w:pPr>
      <w:r w:rsidRPr="00E14102">
        <w:rPr>
          <w:color w:val="000000" w:themeColor="text1"/>
          <w:sz w:val="16"/>
          <w:szCs w:val="16"/>
        </w:rPr>
        <w:t>8 февраля 1935 г. опытный образец А-51 ГКБ-38 был отправлен на полигонные испытания на НИАП. Полигонные испытания он не выдержал. 13 апреля 1935 г. при стрельбе у него сильно деформировались диски и ободы колес (15117).</w:t>
      </w:r>
    </w:p>
    <w:p w14:paraId="22A9024D" w14:textId="77777777" w:rsidR="00D30265" w:rsidRPr="00E14102" w:rsidRDefault="00D30265" w:rsidP="00E14102">
      <w:pPr>
        <w:jc w:val="both"/>
        <w:rPr>
          <w:color w:val="000000" w:themeColor="text1"/>
          <w:sz w:val="16"/>
          <w:szCs w:val="16"/>
        </w:rPr>
      </w:pPr>
    </w:p>
    <w:p w14:paraId="48CA0DB4" w14:textId="77777777" w:rsidR="00C17A36" w:rsidRPr="00E14102" w:rsidRDefault="00C17A36" w:rsidP="00E14102">
      <w:pPr>
        <w:jc w:val="both"/>
        <w:rPr>
          <w:color w:val="000000" w:themeColor="text1"/>
          <w:sz w:val="16"/>
          <w:szCs w:val="16"/>
        </w:rPr>
      </w:pPr>
      <w:r w:rsidRPr="00E14102">
        <w:rPr>
          <w:color w:val="000000" w:themeColor="text1"/>
          <w:sz w:val="16"/>
          <w:szCs w:val="16"/>
        </w:rPr>
        <w:t>8 февраля 1935 года командир отдельного полка бронепоездов Плявин в акте передачи части новому командиру сообщал: «В полку имеются 3 учебные броне-дрезины, требующие капитального ремонта. Запросить нач. АБТО о наряде на запасные части к ним для ремонта на складе № 60». В начале 1930-х годов бронедрезины Матваль перевели в разряд учебных - машины сильно износились, а запасных частей к ним не было. В 1938 году все бронедрезины Матваль сняли с вооружения как устаревшие. Большая часть из них отправилась в утиль, а одну передали войскам НКВД по охране железных дорог, где ее использовали в качестве учебной до 1942 года (18626).</w:t>
      </w:r>
    </w:p>
    <w:p w14:paraId="0A7C820B" w14:textId="77777777" w:rsidR="00C17A36" w:rsidRPr="00E14102" w:rsidRDefault="00C17A36" w:rsidP="00E14102">
      <w:pPr>
        <w:jc w:val="both"/>
        <w:rPr>
          <w:color w:val="000000" w:themeColor="text1"/>
          <w:sz w:val="16"/>
          <w:szCs w:val="16"/>
        </w:rPr>
      </w:pPr>
    </w:p>
    <w:p w14:paraId="659596B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6C2F512" w14:textId="77777777" w:rsidR="00D4105E" w:rsidRPr="00E14102" w:rsidRDefault="00D4105E" w:rsidP="00E14102">
      <w:pPr>
        <w:autoSpaceDE w:val="0"/>
        <w:autoSpaceDN w:val="0"/>
        <w:adjustRightInd w:val="0"/>
        <w:jc w:val="both"/>
        <w:rPr>
          <w:iCs/>
          <w:color w:val="000000" w:themeColor="text1"/>
          <w:sz w:val="16"/>
          <w:szCs w:val="16"/>
        </w:rPr>
      </w:pPr>
    </w:p>
    <w:p w14:paraId="30756990" w14:textId="77777777" w:rsidR="00FC1960" w:rsidRPr="00E14102" w:rsidRDefault="00FC1960" w:rsidP="00E14102">
      <w:pPr>
        <w:jc w:val="both"/>
        <w:rPr>
          <w:color w:val="0070C0"/>
          <w:sz w:val="16"/>
          <w:szCs w:val="16"/>
        </w:rPr>
      </w:pPr>
      <w:r w:rsidRPr="00E14102">
        <w:rPr>
          <w:color w:val="0070C0"/>
          <w:sz w:val="16"/>
          <w:szCs w:val="16"/>
        </w:rPr>
        <w:t>9 февраля 1935 опросом членов ПБ</w:t>
      </w:r>
    </w:p>
    <w:p w14:paraId="235F7B54" w14:textId="77777777" w:rsidR="00FC1960" w:rsidRPr="00E14102" w:rsidRDefault="00FC1960" w:rsidP="00E14102">
      <w:pPr>
        <w:jc w:val="both"/>
        <w:rPr>
          <w:color w:val="0070C0"/>
          <w:sz w:val="16"/>
          <w:szCs w:val="16"/>
        </w:rPr>
      </w:pPr>
      <w:r w:rsidRPr="00E14102">
        <w:rPr>
          <w:color w:val="0070C0"/>
          <w:sz w:val="16"/>
          <w:szCs w:val="16"/>
        </w:rPr>
        <w:t>29.- О самолетах</w:t>
      </w:r>
    </w:p>
    <w:p w14:paraId="210AF9F8" w14:textId="77777777" w:rsidR="00FC1960" w:rsidRPr="00E14102" w:rsidRDefault="00FC1960" w:rsidP="00E14102">
      <w:pPr>
        <w:jc w:val="both"/>
        <w:rPr>
          <w:color w:val="0070C0"/>
          <w:sz w:val="16"/>
          <w:szCs w:val="16"/>
        </w:rPr>
      </w:pPr>
      <w:r w:rsidRPr="00E14102">
        <w:rPr>
          <w:color w:val="0070C0"/>
          <w:sz w:val="16"/>
          <w:szCs w:val="16"/>
        </w:rPr>
        <w:t>Утвердить следующий проект постановления СТО:</w:t>
      </w:r>
    </w:p>
    <w:p w14:paraId="3D245844" w14:textId="77777777" w:rsidR="00FC1960" w:rsidRPr="00E14102" w:rsidRDefault="00FC1960" w:rsidP="00E14102">
      <w:pPr>
        <w:jc w:val="both"/>
        <w:rPr>
          <w:color w:val="0070C0"/>
          <w:sz w:val="16"/>
          <w:szCs w:val="16"/>
        </w:rPr>
      </w:pPr>
      <w:r w:rsidRPr="00E14102">
        <w:rPr>
          <w:color w:val="0070C0"/>
          <w:sz w:val="16"/>
          <w:szCs w:val="16"/>
        </w:rPr>
        <w:t>1. Bo изменение постановления СТО от 20.ХП.34 г. за № 189/сс, по самолетам - обязать НКТяжпром произвести самолетов СБ по заводу № 22 вместо 200 - 500 штук.</w:t>
      </w:r>
    </w:p>
    <w:p w14:paraId="365AF2E2" w14:textId="77777777" w:rsidR="00FC1960" w:rsidRPr="00E14102" w:rsidRDefault="00FC1960" w:rsidP="00E14102">
      <w:pPr>
        <w:jc w:val="both"/>
        <w:rPr>
          <w:color w:val="0070C0"/>
          <w:sz w:val="16"/>
          <w:szCs w:val="16"/>
        </w:rPr>
      </w:pPr>
      <w:r w:rsidRPr="00E14102">
        <w:rPr>
          <w:color w:val="0070C0"/>
          <w:sz w:val="16"/>
          <w:szCs w:val="16"/>
        </w:rPr>
        <w:t>2. По моторам "Испано-Сюиза" (М-100) по заводу № 126 вместо принятых 600 - установить 1000 штук.</w:t>
      </w:r>
    </w:p>
    <w:p w14:paraId="5A249B32" w14:textId="77777777" w:rsidR="00FC1960" w:rsidRPr="00E14102" w:rsidRDefault="00FC1960" w:rsidP="00E14102">
      <w:pPr>
        <w:jc w:val="both"/>
        <w:rPr>
          <w:color w:val="0070C0"/>
          <w:sz w:val="16"/>
          <w:szCs w:val="16"/>
        </w:rPr>
      </w:pPr>
      <w:r w:rsidRPr="00E14102">
        <w:rPr>
          <w:color w:val="0070C0"/>
          <w:sz w:val="16"/>
          <w:szCs w:val="16"/>
        </w:rPr>
        <w:t>3. Данное решение в своем выполнении должно прово</w:t>
      </w:r>
      <w:r w:rsidRPr="00E14102">
        <w:rPr>
          <w:color w:val="0070C0"/>
          <w:sz w:val="16"/>
          <w:szCs w:val="16"/>
        </w:rPr>
        <w:softHyphen/>
        <w:t>диться в условиях мобилизационного времени, для чего заводы №№ 26, 22 и 95 перевести на мобилизационное сос</w:t>
      </w:r>
      <w:r w:rsidRPr="00E14102">
        <w:rPr>
          <w:color w:val="0070C0"/>
          <w:sz w:val="16"/>
          <w:szCs w:val="16"/>
        </w:rPr>
        <w:softHyphen/>
        <w:t>тояние.</w:t>
      </w:r>
    </w:p>
    <w:p w14:paraId="4962B7DD" w14:textId="77777777" w:rsidR="00FC1960" w:rsidRPr="00E14102" w:rsidRDefault="00FC1960" w:rsidP="00E14102">
      <w:pPr>
        <w:jc w:val="both"/>
        <w:rPr>
          <w:color w:val="0070C0"/>
          <w:sz w:val="16"/>
          <w:szCs w:val="16"/>
        </w:rPr>
      </w:pPr>
      <w:r w:rsidRPr="00E14102">
        <w:rPr>
          <w:color w:val="0070C0"/>
          <w:sz w:val="16"/>
          <w:szCs w:val="16"/>
        </w:rPr>
        <w:t>4. Тов.Королеву (ГУАП), на основе настоящего реше</w:t>
      </w:r>
      <w:r w:rsidRPr="00E14102">
        <w:rPr>
          <w:color w:val="0070C0"/>
          <w:sz w:val="16"/>
          <w:szCs w:val="16"/>
        </w:rPr>
        <w:softHyphen/>
        <w:t>ния, в 3-дневный срок представить проект решения СТО, обеспечивающий выполнение данного задания.</w:t>
      </w:r>
    </w:p>
    <w:p w14:paraId="6B3465EF" w14:textId="77777777" w:rsidR="00FC1960" w:rsidRPr="00E14102" w:rsidRDefault="00FC1960" w:rsidP="00E14102">
      <w:pPr>
        <w:jc w:val="both"/>
        <w:rPr>
          <w:color w:val="0070C0"/>
          <w:sz w:val="16"/>
          <w:szCs w:val="16"/>
        </w:rPr>
      </w:pPr>
      <w:r w:rsidRPr="00E14102">
        <w:rPr>
          <w:color w:val="0070C0"/>
          <w:sz w:val="16"/>
          <w:szCs w:val="16"/>
        </w:rPr>
        <w:t>Выписки посланы; т.т. ОРДЖОНИКИД3Е, КОРОЛЕВУ</w:t>
      </w:r>
    </w:p>
    <w:p w14:paraId="54377B0F" w14:textId="77777777" w:rsidR="00FC1960" w:rsidRPr="00E14102" w:rsidRDefault="00FC1960" w:rsidP="00E14102">
      <w:pPr>
        <w:jc w:val="both"/>
        <w:rPr>
          <w:color w:val="0070C0"/>
          <w:sz w:val="16"/>
          <w:szCs w:val="16"/>
        </w:rPr>
      </w:pPr>
      <w:r w:rsidRPr="00E14102">
        <w:rPr>
          <w:color w:val="0070C0"/>
          <w:sz w:val="16"/>
          <w:szCs w:val="16"/>
        </w:rPr>
        <w:t>33.-О комиссии по закупкам в Америке</w:t>
      </w:r>
    </w:p>
    <w:p w14:paraId="6F78C464" w14:textId="77777777" w:rsidR="00FC1960" w:rsidRPr="00E14102" w:rsidRDefault="00FC1960" w:rsidP="00E14102">
      <w:pPr>
        <w:jc w:val="both"/>
        <w:rPr>
          <w:color w:val="0070C0"/>
          <w:sz w:val="16"/>
          <w:szCs w:val="16"/>
        </w:rPr>
      </w:pPr>
      <w:r w:rsidRPr="00E14102">
        <w:rPr>
          <w:color w:val="0070C0"/>
          <w:sz w:val="16"/>
          <w:szCs w:val="16"/>
        </w:rPr>
        <w:t>В дополнение к постановлению Политбюро от 16 де</w:t>
      </w:r>
      <w:r w:rsidRPr="00E14102">
        <w:rPr>
          <w:color w:val="0070C0"/>
          <w:sz w:val="16"/>
          <w:szCs w:val="16"/>
        </w:rPr>
        <w:softHyphen/>
        <w:t>кабря 1934 года, разрешить поездку в Америку вместе с т.Туполевым т.т. Бабушкину, Меерсон и Башкирову.</w:t>
      </w:r>
    </w:p>
    <w:p w14:paraId="07131749" w14:textId="77777777" w:rsidR="00FC1960" w:rsidRPr="00E14102" w:rsidRDefault="00FC1960" w:rsidP="00E14102">
      <w:pPr>
        <w:jc w:val="both"/>
        <w:rPr>
          <w:color w:val="0070C0"/>
          <w:sz w:val="16"/>
          <w:szCs w:val="16"/>
        </w:rPr>
      </w:pPr>
      <w:r w:rsidRPr="00E14102">
        <w:rPr>
          <w:color w:val="0070C0"/>
          <w:sz w:val="16"/>
          <w:szCs w:val="16"/>
        </w:rPr>
        <w:t>Выписки посланы: т.т Базилевичу, Орджоникидзе, Артузову, Броуну.</w:t>
      </w:r>
    </w:p>
    <w:p w14:paraId="0270EED1" w14:textId="77777777" w:rsidR="00FC1960" w:rsidRPr="00E14102" w:rsidRDefault="00FC1960" w:rsidP="00E14102">
      <w:pPr>
        <w:jc w:val="both"/>
        <w:rPr>
          <w:color w:val="0070C0"/>
          <w:sz w:val="16"/>
          <w:szCs w:val="16"/>
        </w:rPr>
      </w:pPr>
      <w:r w:rsidRPr="00E14102">
        <w:rPr>
          <w:color w:val="0070C0"/>
          <w:sz w:val="16"/>
          <w:szCs w:val="16"/>
        </w:rPr>
        <w:t>22 февраля 1935 состоялось заседание ПБ и подписан протокол № 21 (22926).</w:t>
      </w:r>
    </w:p>
    <w:p w14:paraId="41866A3E" w14:textId="77777777" w:rsidR="00FC1960" w:rsidRPr="00E14102" w:rsidRDefault="00FC1960" w:rsidP="00E14102">
      <w:pPr>
        <w:jc w:val="both"/>
        <w:rPr>
          <w:color w:val="0070C0"/>
          <w:sz w:val="16"/>
          <w:szCs w:val="16"/>
        </w:rPr>
      </w:pPr>
    </w:p>
    <w:p w14:paraId="7040752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 февраля 1935 года Начальник управления ВС Алкснис утвердил Тактико-технические требования к самолету “Звено”. ТБ3 + 2И5, ТБ3 + 2И15, ТБ3 + 2И16 и ТБ3 + 2И16 с приспособлением для зацепления в воздухе (6690).</w:t>
      </w:r>
    </w:p>
    <w:p w14:paraId="73DC1D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Проектирующая и строящая организация завод № 22</w:t>
      </w:r>
    </w:p>
    <w:p w14:paraId="5E6B90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Назначение</w:t>
      </w:r>
    </w:p>
    <w:p w14:paraId="5F9074F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Непосредственное охранение тяжелых бомбардировщиков и транспортных самолетов одноместными истребителями на расстояние от аэродрома вылета, равное удвоенному тактическому радиусу действия истребителя.</w:t>
      </w:r>
    </w:p>
    <w:p w14:paraId="43E34F7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Выполняемые задачи</w:t>
      </w:r>
    </w:p>
    <w:p w14:paraId="026C631F"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При полете бомбардировочного или транспортного соединения, при встречах с воздушным противником, истребители отделившись от несущих самолетов ведут бой на пути к цели…………….</w:t>
      </w:r>
    </w:p>
    <w:p w14:paraId="13235C6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 Доставка истребителей в район действия системой самолета “Звено” дает возможность продвинуть действие истребительной авиации в глубину расположения противника.</w:t>
      </w:r>
    </w:p>
    <w:p w14:paraId="4E9CA17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Система самолета “Звено” может быть использована для решения задачи самолет-торпеда, когда один из спаренных самолетов является ведущим, другой самолетом-торпедой.</w:t>
      </w:r>
    </w:p>
    <w:p w14:paraId="69EBAFC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Летно-тактические данные</w:t>
      </w:r>
    </w:p>
    <w:p w14:paraId="11C3DCD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Для выполнения основной задачи самолета “Звено” – сопровождение бомбардировщиков истребителями при удвоенной тактической дальности последних, питание горючим и смазочным истребителей должно производиться из баков ТБ3.</w:t>
      </w:r>
    </w:p>
    <w:p w14:paraId="21FC9CC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Истребители отделяются по сигналу командира самолета “Звено”. На случай необходимости должна быть предусмотрена возможность отрыва летчиков истребителей по их инициативе и аварийное отцепление командиром тяжелого самолета.</w:t>
      </w:r>
    </w:p>
    <w:p w14:paraId="7317EC6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Нормальный отрыв истребителей должен производиться на скоростях от минимальной до 175 км/час.</w:t>
      </w:r>
    </w:p>
    <w:p w14:paraId="77D5821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“Звено” в любых сочетаниях с истребителями на плоскости (И5 и И15), так и под плоскостями (И16) – должен обладать устойчивостью ………………..</w:t>
      </w:r>
    </w:p>
    <w:p w14:paraId="54EC6F4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 случае необходимости, должна быть обеспечена посадка ТБ3 с двумя или одним истребителем, при этом посадочная скорость должна быть не выше на 10 км посадочной скорости ТБ3.</w:t>
      </w:r>
    </w:p>
    <w:p w14:paraId="0D75657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Зацепление истребителей должно производиться на всех скоростях ТБ3.</w:t>
      </w:r>
    </w:p>
    <w:p w14:paraId="6BC3217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Конструкция</w:t>
      </w:r>
    </w:p>
    <w:p w14:paraId="37E776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p w14:paraId="45B6DCE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Схема самолета “Звено” в варианте ТБ3 + 2И5 и ТБ3 + 2И15 должна обеспечивать взаимную видимость между летчиками-истребителями и экипажем ТБ3.</w:t>
      </w:r>
    </w:p>
    <w:p w14:paraId="1344A72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Для нижнего варианта - ТБ3 + 2И16 – связь между летчиком ТБ3 и И16 должна быть обеспечена применением простейшего переговорного или командного прибора.</w:t>
      </w:r>
    </w:p>
    <w:p w14:paraId="4BCDC0A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………………….(6690).</w:t>
      </w:r>
    </w:p>
    <w:p w14:paraId="2F64FB6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00D30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февраля 1935 п/п Зам. Нач. ГУАП Ермолаев писал письмо Еач. УВВС тов. Алкснису на в/№ 40/0794 от 1 февраля 1935:</w:t>
      </w:r>
    </w:p>
    <w:p w14:paraId="24F84A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вопросу: О разработке конструкции опытных лыж.</w:t>
      </w:r>
    </w:p>
    <w:p w14:paraId="6447F41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Сообщаю, что конструкция опытных тормозных лыж уже разработана 9-й бригадой ЦАГИ для самолета Р-5.</w:t>
      </w:r>
    </w:p>
    <w:p w14:paraId="376C216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Лыжи находятся в настоящее время в производстве ЗОК"а.</w:t>
      </w:r>
    </w:p>
    <w:p w14:paraId="4A4B0A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Окончание постройки и испытаний намечено в текущем зимнем сезоне. Задержкой в проведении заводских испыта</w:t>
      </w:r>
      <w:r w:rsidRPr="00E14102">
        <w:rPr>
          <w:color w:val="000000" w:themeColor="text1"/>
          <w:sz w:val="16"/>
          <w:szCs w:val="16"/>
        </w:rPr>
        <w:softHyphen/>
        <w:t>ний может послужить отсутствие в ЦАГИ самолета Р-5 с тормозным шасси.</w:t>
      </w:r>
    </w:p>
    <w:p w14:paraId="3BECD04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Поэтому прошу распоряжения о предоставлении ЦАГИ из Вашего заказа одного самолета Р-5 с тормозным шасси, необходимого для испытания тормозшх лыж.</w:t>
      </w:r>
    </w:p>
    <w:p w14:paraId="06FFD1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случае положительных результатов испытания их на сам. Р-5, аналогичные лыжи будут изготовлены на сам. И-15 и И-16 (2337,201).</w:t>
      </w:r>
    </w:p>
    <w:p w14:paraId="1F203EF3" w14:textId="77777777" w:rsidR="00D4105E" w:rsidRPr="00E14102" w:rsidRDefault="00D4105E" w:rsidP="00E14102">
      <w:pPr>
        <w:autoSpaceDE w:val="0"/>
        <w:autoSpaceDN w:val="0"/>
        <w:adjustRightInd w:val="0"/>
        <w:jc w:val="both"/>
        <w:rPr>
          <w:color w:val="000000" w:themeColor="text1"/>
          <w:sz w:val="16"/>
          <w:szCs w:val="16"/>
        </w:rPr>
      </w:pPr>
    </w:p>
    <w:p w14:paraId="331BC0D4" w14:textId="77777777" w:rsidR="00C17A36" w:rsidRPr="00E14102" w:rsidRDefault="00C17A36"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9 февраля 1935 г. появилось сообщение, что новый самолет - АИР-6 полярный «на днях» прошел государственные испытания и передан в эксплуатацию. АИР-6 собирались использовать для связи, обслуживания полярных станций,обследования местности и коротких перелетов по островам (19099).</w:t>
      </w:r>
    </w:p>
    <w:p w14:paraId="4AC1429B" w14:textId="77777777" w:rsidR="00C17A36" w:rsidRPr="00E14102" w:rsidRDefault="00C17A36" w:rsidP="00E14102">
      <w:pPr>
        <w:pStyle w:val="aa"/>
        <w:jc w:val="both"/>
        <w:rPr>
          <w:rFonts w:ascii="Times New Roman" w:hAnsi="Times New Roman" w:cs="Times New Roman"/>
          <w:color w:val="000000" w:themeColor="text1"/>
          <w:sz w:val="16"/>
          <w:szCs w:val="16"/>
          <w:lang w:val="ru-RU"/>
        </w:rPr>
      </w:pPr>
    </w:p>
    <w:p w14:paraId="732519FC" w14:textId="77777777" w:rsidR="00D30265"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162C50A" w14:textId="77777777" w:rsidR="00D30265" w:rsidRPr="00E14102" w:rsidRDefault="00D30265" w:rsidP="00E14102">
      <w:pPr>
        <w:autoSpaceDE w:val="0"/>
        <w:autoSpaceDN w:val="0"/>
        <w:adjustRightInd w:val="0"/>
        <w:jc w:val="both"/>
        <w:rPr>
          <w:iCs/>
          <w:color w:val="000000" w:themeColor="text1"/>
          <w:sz w:val="16"/>
          <w:szCs w:val="16"/>
        </w:rPr>
      </w:pPr>
    </w:p>
    <w:p w14:paraId="752E116E" w14:textId="77777777" w:rsidR="00D30265" w:rsidRPr="00E14102" w:rsidRDefault="00D30265" w:rsidP="00E14102">
      <w:pPr>
        <w:jc w:val="both"/>
        <w:rPr>
          <w:rStyle w:val="a6"/>
          <w:i w:val="0"/>
          <w:color w:val="000000" w:themeColor="text1"/>
          <w:sz w:val="16"/>
          <w:szCs w:val="16"/>
        </w:rPr>
      </w:pPr>
      <w:r w:rsidRPr="00E14102">
        <w:rPr>
          <w:rStyle w:val="a6"/>
          <w:i w:val="0"/>
          <w:color w:val="000000" w:themeColor="text1"/>
          <w:sz w:val="16"/>
          <w:szCs w:val="16"/>
        </w:rPr>
        <w:t xml:space="preserve">9 февраля 1935 г. </w:t>
      </w:r>
      <w:r w:rsidRPr="00E14102">
        <w:rPr>
          <w:color w:val="000000" w:themeColor="text1"/>
          <w:sz w:val="16"/>
          <w:szCs w:val="16"/>
        </w:rPr>
        <w:t>Из отчета Военно-химического треста ГВМУ в Наркомат тяжелой промышленности СССР о работе за 1934 г.</w:t>
      </w:r>
    </w:p>
    <w:p w14:paraId="035FB275" w14:textId="77777777" w:rsidR="00D30265" w:rsidRPr="00E14102" w:rsidRDefault="00D30265"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094DF1F9" w14:textId="77777777" w:rsidR="00D30265" w:rsidRPr="00E14102" w:rsidRDefault="00D30265" w:rsidP="00E14102">
      <w:pPr>
        <w:jc w:val="both"/>
        <w:rPr>
          <w:color w:val="000000" w:themeColor="text1"/>
          <w:sz w:val="16"/>
          <w:szCs w:val="16"/>
        </w:rPr>
      </w:pPr>
      <w:r w:rsidRPr="00E14102">
        <w:rPr>
          <w:color w:val="000000" w:themeColor="text1"/>
          <w:sz w:val="16"/>
          <w:szCs w:val="16"/>
        </w:rPr>
        <w:t>I. Производство</w:t>
      </w:r>
    </w:p>
    <w:p w14:paraId="0E488B2B"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Прежде чем перейти к вопросу анализа годовой деятельности Вохимтреста, необходимо остановиться на плановом задании 1934 г. Техпромфинплан Вохимтреста утвержден в следующих суммах: 1. Военная — 241,4; 2. Мирная — 91,9; 3. Междузаводская — 29,2; 4. Прочая — 16,7; 5. Изменение: а) полуфабрикатов — +0,7; б) незавершенного производства — +0,4. Всего по валовой продукции — 380,3. Здесь необходимо отметить, что изменение незавершенного производства построено, исходя из того, что фактический остаток на 1 января 1934 г. и выходной на 1 января 1935 г. (по плану) взяты, включая стоимость корпусов по обоим годам. Техпромфинплан в течение всего года (по товарной продукции) не корректировался, несмотря на то, что заказчик отказался от целого ряда изделий, что и оформил соответствующими документальными данными. К этим изделиям относятся: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90"/>
        <w:gridCol w:w="1859"/>
        <w:gridCol w:w="2774"/>
      </w:tblGrid>
      <w:tr w:rsidR="00E3599D" w:rsidRPr="00E14102" w14:paraId="7AE2036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0F9C75" w14:textId="77777777" w:rsidR="00D30265" w:rsidRPr="00E14102" w:rsidRDefault="00D30265"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1F1F2" w14:textId="77777777" w:rsidR="00D30265" w:rsidRPr="00E14102" w:rsidRDefault="00D30265" w:rsidP="00E14102">
            <w:pPr>
              <w:jc w:val="both"/>
              <w:rPr>
                <w:color w:val="000000" w:themeColor="text1"/>
                <w:sz w:val="16"/>
                <w:szCs w:val="16"/>
              </w:rPr>
            </w:pPr>
            <w:r w:rsidRPr="00E14102">
              <w:rPr>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BA8A7" w14:textId="77777777" w:rsidR="00D30265" w:rsidRPr="00E14102" w:rsidRDefault="00D30265" w:rsidP="00E14102">
            <w:pPr>
              <w:jc w:val="both"/>
              <w:rPr>
                <w:color w:val="000000" w:themeColor="text1"/>
                <w:sz w:val="16"/>
                <w:szCs w:val="16"/>
              </w:rPr>
            </w:pPr>
            <w:r w:rsidRPr="00E14102">
              <w:rPr>
                <w:color w:val="000000" w:themeColor="text1"/>
                <w:sz w:val="16"/>
                <w:szCs w:val="16"/>
              </w:rPr>
              <w:t>Сумма</w:t>
            </w:r>
          </w:p>
        </w:tc>
      </w:tr>
      <w:tr w:rsidR="00E3599D" w:rsidRPr="00E14102" w14:paraId="419E5382" w14:textId="77777777" w:rsidTr="005F3FE6">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BA9869F" w14:textId="77777777" w:rsidR="00D30265" w:rsidRPr="00E14102" w:rsidRDefault="00D30265" w:rsidP="00E14102">
            <w:pPr>
              <w:jc w:val="both"/>
              <w:rPr>
                <w:color w:val="000000" w:themeColor="text1"/>
                <w:sz w:val="16"/>
                <w:szCs w:val="16"/>
              </w:rPr>
            </w:pPr>
            <w:r w:rsidRPr="00E14102">
              <w:rPr>
                <w:color w:val="000000" w:themeColor="text1"/>
                <w:sz w:val="16"/>
                <w:szCs w:val="16"/>
              </w:rPr>
              <w:t>УВМС</w:t>
            </w:r>
          </w:p>
        </w:tc>
      </w:tr>
      <w:tr w:rsidR="00E3599D" w:rsidRPr="00E14102" w14:paraId="4DE0117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F68295" w14:textId="77777777" w:rsidR="00D30265" w:rsidRPr="00E14102" w:rsidRDefault="00D30265" w:rsidP="00E14102">
            <w:pPr>
              <w:jc w:val="both"/>
              <w:rPr>
                <w:color w:val="000000" w:themeColor="text1"/>
                <w:sz w:val="16"/>
                <w:szCs w:val="16"/>
              </w:rPr>
            </w:pPr>
            <w:r w:rsidRPr="00E14102">
              <w:rPr>
                <w:color w:val="000000" w:themeColor="text1"/>
                <w:sz w:val="16"/>
                <w:szCs w:val="16"/>
              </w:rPr>
              <w:t>1. 180</w:t>
            </w:r>
            <w:r w:rsidRPr="00E14102">
              <w:rPr>
                <w:color w:val="000000" w:themeColor="text1"/>
                <w:sz w:val="16"/>
                <w:szCs w:val="16"/>
              </w:rPr>
              <w:noBreakHyphen/>
              <w:t>мм 60 фугасные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C7E99" w14:textId="77777777" w:rsidR="00D30265" w:rsidRPr="00E14102" w:rsidRDefault="00D30265" w:rsidP="00E14102">
            <w:pPr>
              <w:jc w:val="both"/>
              <w:rPr>
                <w:color w:val="000000" w:themeColor="text1"/>
                <w:sz w:val="16"/>
                <w:szCs w:val="16"/>
              </w:rPr>
            </w:pPr>
            <w:r w:rsidRPr="00E14102">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17FC9" w14:textId="77777777" w:rsidR="00D30265" w:rsidRPr="00E14102" w:rsidRDefault="00D30265" w:rsidP="00E14102">
            <w:pPr>
              <w:jc w:val="both"/>
              <w:rPr>
                <w:color w:val="000000" w:themeColor="text1"/>
                <w:sz w:val="16"/>
                <w:szCs w:val="16"/>
              </w:rPr>
            </w:pPr>
            <w:r w:rsidRPr="00E14102">
              <w:rPr>
                <w:color w:val="000000" w:themeColor="text1"/>
                <w:sz w:val="16"/>
                <w:szCs w:val="16"/>
              </w:rPr>
              <w:t>1600,0</w:t>
            </w:r>
          </w:p>
        </w:tc>
      </w:tr>
      <w:tr w:rsidR="00E3599D" w:rsidRPr="00E14102" w14:paraId="4FABA10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0A0A92" w14:textId="77777777" w:rsidR="00D30265" w:rsidRPr="00E14102" w:rsidRDefault="00D30265" w:rsidP="00E14102">
            <w:pPr>
              <w:jc w:val="both"/>
              <w:rPr>
                <w:color w:val="000000" w:themeColor="text1"/>
                <w:sz w:val="16"/>
                <w:szCs w:val="16"/>
              </w:rPr>
            </w:pPr>
            <w:r w:rsidRPr="00E14102">
              <w:rPr>
                <w:color w:val="000000" w:themeColor="text1"/>
                <w:sz w:val="16"/>
                <w:szCs w:val="16"/>
              </w:rPr>
              <w:t>2. 120</w:t>
            </w:r>
            <w:r w:rsidRPr="00E14102">
              <w:rPr>
                <w:color w:val="000000" w:themeColor="text1"/>
                <w:sz w:val="16"/>
                <w:szCs w:val="16"/>
              </w:rPr>
              <w:noBreakHyphen/>
              <w:t>мм 50 фугасные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459CF" w14:textId="77777777" w:rsidR="00D30265" w:rsidRPr="00E14102" w:rsidRDefault="00D30265" w:rsidP="00E14102">
            <w:pPr>
              <w:jc w:val="both"/>
              <w:rPr>
                <w:color w:val="000000" w:themeColor="text1"/>
                <w:sz w:val="16"/>
                <w:szCs w:val="16"/>
              </w:rPr>
            </w:pPr>
            <w:r w:rsidRPr="00E14102">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61AB6" w14:textId="77777777" w:rsidR="00D30265" w:rsidRPr="00E14102" w:rsidRDefault="00D30265" w:rsidP="00E14102">
            <w:pPr>
              <w:jc w:val="both"/>
              <w:rPr>
                <w:color w:val="000000" w:themeColor="text1"/>
                <w:sz w:val="16"/>
                <w:szCs w:val="16"/>
              </w:rPr>
            </w:pPr>
            <w:r w:rsidRPr="00E14102">
              <w:rPr>
                <w:color w:val="000000" w:themeColor="text1"/>
                <w:sz w:val="16"/>
                <w:szCs w:val="16"/>
              </w:rPr>
              <w:t>430,0</w:t>
            </w:r>
          </w:p>
        </w:tc>
      </w:tr>
      <w:tr w:rsidR="00E3599D" w:rsidRPr="00E14102" w14:paraId="188923E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4CFBAF" w14:textId="77777777" w:rsidR="00D30265" w:rsidRPr="00E14102" w:rsidRDefault="00D30265" w:rsidP="00E14102">
            <w:pPr>
              <w:jc w:val="both"/>
              <w:rPr>
                <w:color w:val="000000" w:themeColor="text1"/>
                <w:sz w:val="16"/>
                <w:szCs w:val="16"/>
              </w:rPr>
            </w:pPr>
            <w:r w:rsidRPr="00E14102">
              <w:rPr>
                <w:color w:val="000000" w:themeColor="text1"/>
                <w:sz w:val="16"/>
                <w:szCs w:val="16"/>
              </w:rPr>
              <w:t>3. Подрывные патроны № 1, № 2, № 3, № 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02B42" w14:textId="77777777" w:rsidR="00D30265" w:rsidRPr="00E14102" w:rsidRDefault="00D30265" w:rsidP="00E14102">
            <w:pPr>
              <w:jc w:val="both"/>
              <w:rPr>
                <w:color w:val="000000" w:themeColor="text1"/>
                <w:sz w:val="16"/>
                <w:szCs w:val="16"/>
              </w:rPr>
            </w:pPr>
            <w:r w:rsidRPr="00E14102">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87624" w14:textId="77777777" w:rsidR="00D30265" w:rsidRPr="00E14102" w:rsidRDefault="00D30265" w:rsidP="00E14102">
            <w:pPr>
              <w:jc w:val="both"/>
              <w:rPr>
                <w:color w:val="000000" w:themeColor="text1"/>
                <w:sz w:val="16"/>
                <w:szCs w:val="16"/>
              </w:rPr>
            </w:pPr>
            <w:r w:rsidRPr="00E14102">
              <w:rPr>
                <w:color w:val="000000" w:themeColor="text1"/>
                <w:sz w:val="16"/>
                <w:szCs w:val="16"/>
              </w:rPr>
              <w:t>21,0</w:t>
            </w:r>
          </w:p>
        </w:tc>
      </w:tr>
      <w:tr w:rsidR="00E3599D" w:rsidRPr="00E14102" w14:paraId="5635B4D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328904" w14:textId="77777777" w:rsidR="00D30265" w:rsidRPr="00E14102" w:rsidRDefault="00D30265" w:rsidP="00E14102">
            <w:pPr>
              <w:jc w:val="both"/>
              <w:rPr>
                <w:color w:val="000000" w:themeColor="text1"/>
                <w:sz w:val="16"/>
                <w:szCs w:val="16"/>
              </w:rPr>
            </w:pPr>
            <w:r w:rsidRPr="00E14102">
              <w:rPr>
                <w:color w:val="000000" w:themeColor="text1"/>
                <w:sz w:val="16"/>
                <w:szCs w:val="16"/>
              </w:rPr>
              <w:t>4. Снаряжение ПОН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F3838" w14:textId="77777777" w:rsidR="00D30265" w:rsidRPr="00E14102" w:rsidRDefault="00D30265" w:rsidP="00E14102">
            <w:pPr>
              <w:jc w:val="both"/>
              <w:rPr>
                <w:color w:val="000000" w:themeColor="text1"/>
                <w:sz w:val="16"/>
                <w:szCs w:val="16"/>
              </w:rPr>
            </w:pPr>
            <w:r w:rsidRPr="00E14102">
              <w:rPr>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C870B" w14:textId="77777777" w:rsidR="00D30265" w:rsidRPr="00E14102" w:rsidRDefault="00D30265" w:rsidP="00E14102">
            <w:pPr>
              <w:jc w:val="both"/>
              <w:rPr>
                <w:color w:val="000000" w:themeColor="text1"/>
                <w:sz w:val="16"/>
                <w:szCs w:val="16"/>
              </w:rPr>
            </w:pPr>
            <w:r w:rsidRPr="00E14102">
              <w:rPr>
                <w:color w:val="000000" w:themeColor="text1"/>
                <w:sz w:val="16"/>
                <w:szCs w:val="16"/>
              </w:rPr>
              <w:t>25,0</w:t>
            </w:r>
          </w:p>
        </w:tc>
      </w:tr>
      <w:tr w:rsidR="00E3599D" w:rsidRPr="00E14102" w14:paraId="691EB77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689CDC" w14:textId="77777777" w:rsidR="00D30265" w:rsidRPr="00E14102" w:rsidRDefault="00D30265" w:rsidP="00E14102">
            <w:pPr>
              <w:jc w:val="both"/>
              <w:rPr>
                <w:color w:val="000000" w:themeColor="text1"/>
                <w:sz w:val="16"/>
                <w:szCs w:val="16"/>
              </w:rPr>
            </w:pPr>
            <w:r w:rsidRPr="00E14102">
              <w:rPr>
                <w:color w:val="000000" w:themeColor="text1"/>
                <w:sz w:val="16"/>
                <w:szCs w:val="16"/>
              </w:rPr>
              <w:t>5. БЗО 53 см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6998E" w14:textId="77777777" w:rsidR="00D30265" w:rsidRPr="00E14102" w:rsidRDefault="00D30265" w:rsidP="00E14102">
            <w:pPr>
              <w:jc w:val="both"/>
              <w:rPr>
                <w:color w:val="000000" w:themeColor="text1"/>
                <w:sz w:val="16"/>
                <w:szCs w:val="16"/>
              </w:rPr>
            </w:pPr>
            <w:r w:rsidRPr="00E14102">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DE389" w14:textId="77777777" w:rsidR="00D30265" w:rsidRPr="00E14102" w:rsidRDefault="00D30265" w:rsidP="00E14102">
            <w:pPr>
              <w:jc w:val="both"/>
              <w:rPr>
                <w:color w:val="000000" w:themeColor="text1"/>
                <w:sz w:val="16"/>
                <w:szCs w:val="16"/>
              </w:rPr>
            </w:pPr>
            <w:r w:rsidRPr="00E14102">
              <w:rPr>
                <w:color w:val="000000" w:themeColor="text1"/>
                <w:sz w:val="16"/>
                <w:szCs w:val="16"/>
              </w:rPr>
              <w:t>242,0</w:t>
            </w:r>
          </w:p>
        </w:tc>
      </w:tr>
      <w:tr w:rsidR="00E3599D" w:rsidRPr="00E14102" w14:paraId="6B7610F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722381" w14:textId="77777777" w:rsidR="00D30265" w:rsidRPr="00E14102" w:rsidRDefault="00D30265" w:rsidP="00E14102">
            <w:pPr>
              <w:jc w:val="both"/>
              <w:rPr>
                <w:color w:val="000000" w:themeColor="text1"/>
                <w:sz w:val="16"/>
                <w:szCs w:val="16"/>
              </w:rPr>
            </w:pPr>
            <w:r w:rsidRPr="00E14102">
              <w:rPr>
                <w:color w:val="000000" w:themeColor="text1"/>
                <w:sz w:val="16"/>
                <w:szCs w:val="16"/>
              </w:rPr>
              <w:t>6. БЗО 45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8F7AF" w14:textId="77777777" w:rsidR="00D30265" w:rsidRPr="00E14102" w:rsidRDefault="00D30265" w:rsidP="00E14102">
            <w:pPr>
              <w:jc w:val="both"/>
              <w:rPr>
                <w:color w:val="000000" w:themeColor="text1"/>
                <w:sz w:val="16"/>
                <w:szCs w:val="16"/>
              </w:rPr>
            </w:pPr>
            <w:r w:rsidRPr="00E14102">
              <w:rPr>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2DD07" w14:textId="77777777" w:rsidR="00D30265" w:rsidRPr="00E14102" w:rsidRDefault="00D30265" w:rsidP="00E14102">
            <w:pPr>
              <w:jc w:val="both"/>
              <w:rPr>
                <w:color w:val="000000" w:themeColor="text1"/>
                <w:sz w:val="16"/>
                <w:szCs w:val="16"/>
              </w:rPr>
            </w:pPr>
            <w:r w:rsidRPr="00E14102">
              <w:rPr>
                <w:color w:val="000000" w:themeColor="text1"/>
                <w:sz w:val="16"/>
                <w:szCs w:val="16"/>
              </w:rPr>
              <w:t>109,0</w:t>
            </w:r>
          </w:p>
        </w:tc>
      </w:tr>
      <w:tr w:rsidR="00E3599D" w:rsidRPr="00E14102" w14:paraId="330BDBE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588C8" w14:textId="77777777" w:rsidR="00D30265" w:rsidRPr="00E14102" w:rsidRDefault="00D30265" w:rsidP="00E14102">
            <w:pPr>
              <w:jc w:val="both"/>
              <w:rPr>
                <w:color w:val="000000" w:themeColor="text1"/>
                <w:sz w:val="16"/>
                <w:szCs w:val="16"/>
              </w:rPr>
            </w:pPr>
            <w:r w:rsidRPr="00E14102">
              <w:rPr>
                <w:color w:val="000000" w:themeColor="text1"/>
                <w:sz w:val="16"/>
                <w:szCs w:val="16"/>
              </w:rPr>
              <w:t>7. Снаряжение мин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D2B35" w14:textId="77777777" w:rsidR="00D30265" w:rsidRPr="00E14102" w:rsidRDefault="00D30265" w:rsidP="00E14102">
            <w:pPr>
              <w:jc w:val="both"/>
              <w:rPr>
                <w:color w:val="000000" w:themeColor="text1"/>
                <w:sz w:val="16"/>
                <w:szCs w:val="16"/>
              </w:rPr>
            </w:pPr>
            <w:r w:rsidRPr="00E14102">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F8631" w14:textId="77777777" w:rsidR="00D30265" w:rsidRPr="00E14102" w:rsidRDefault="00D30265" w:rsidP="00E14102">
            <w:pPr>
              <w:jc w:val="both"/>
              <w:rPr>
                <w:color w:val="000000" w:themeColor="text1"/>
                <w:sz w:val="16"/>
                <w:szCs w:val="16"/>
              </w:rPr>
            </w:pPr>
            <w:r w:rsidRPr="00E14102">
              <w:rPr>
                <w:color w:val="000000" w:themeColor="text1"/>
                <w:sz w:val="16"/>
                <w:szCs w:val="16"/>
              </w:rPr>
              <w:t>150,0</w:t>
            </w:r>
          </w:p>
        </w:tc>
      </w:tr>
      <w:tr w:rsidR="00E3599D" w:rsidRPr="00E14102" w14:paraId="6F16CF2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FFAEB7" w14:textId="77777777" w:rsidR="00D30265" w:rsidRPr="00E14102" w:rsidRDefault="00D30265" w:rsidP="00E14102">
            <w:pPr>
              <w:jc w:val="both"/>
              <w:rPr>
                <w:color w:val="000000" w:themeColor="text1"/>
                <w:sz w:val="16"/>
                <w:szCs w:val="16"/>
              </w:rPr>
            </w:pPr>
            <w:r w:rsidRPr="00E14102">
              <w:rPr>
                <w:color w:val="000000" w:themeColor="text1"/>
                <w:sz w:val="16"/>
                <w:szCs w:val="16"/>
              </w:rPr>
              <w:t>8. Снаряжение мин антенных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E8A1B" w14:textId="77777777" w:rsidR="00D30265" w:rsidRPr="00E14102" w:rsidRDefault="00D30265" w:rsidP="00E14102">
            <w:pPr>
              <w:jc w:val="both"/>
              <w:rPr>
                <w:color w:val="000000" w:themeColor="text1"/>
                <w:sz w:val="16"/>
                <w:szCs w:val="16"/>
              </w:rPr>
            </w:pPr>
            <w:r w:rsidRPr="00E14102">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50FA9" w14:textId="77777777" w:rsidR="00D30265" w:rsidRPr="00E14102" w:rsidRDefault="00D30265" w:rsidP="00E14102">
            <w:pPr>
              <w:jc w:val="both"/>
              <w:rPr>
                <w:color w:val="000000" w:themeColor="text1"/>
                <w:sz w:val="16"/>
                <w:szCs w:val="16"/>
              </w:rPr>
            </w:pPr>
            <w:r w:rsidRPr="00E14102">
              <w:rPr>
                <w:color w:val="000000" w:themeColor="text1"/>
                <w:sz w:val="16"/>
                <w:szCs w:val="16"/>
              </w:rPr>
              <w:t>228,0</w:t>
            </w:r>
          </w:p>
        </w:tc>
      </w:tr>
      <w:tr w:rsidR="00E3599D" w:rsidRPr="00E14102" w14:paraId="58A6A2C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55E96" w14:textId="77777777" w:rsidR="00D30265" w:rsidRPr="00E14102" w:rsidRDefault="00D30265" w:rsidP="00E14102">
            <w:pPr>
              <w:jc w:val="both"/>
              <w:rPr>
                <w:color w:val="000000" w:themeColor="text1"/>
                <w:sz w:val="16"/>
                <w:szCs w:val="16"/>
              </w:rPr>
            </w:pPr>
            <w:r w:rsidRPr="00E14102">
              <w:rPr>
                <w:color w:val="000000" w:themeColor="text1"/>
                <w:sz w:val="16"/>
                <w:szCs w:val="16"/>
              </w:rPr>
              <w:t>9. 356</w:t>
            </w:r>
            <w:r w:rsidRPr="00E14102">
              <w:rPr>
                <w:color w:val="000000" w:themeColor="text1"/>
                <w:sz w:val="16"/>
                <w:szCs w:val="16"/>
              </w:rPr>
              <w:noBreakHyphen/>
              <w:t>мм 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A777C" w14:textId="77777777" w:rsidR="00D30265" w:rsidRPr="00E14102" w:rsidRDefault="00D30265" w:rsidP="00E14102">
            <w:pPr>
              <w:jc w:val="both"/>
              <w:rPr>
                <w:color w:val="000000" w:themeColor="text1"/>
                <w:sz w:val="16"/>
                <w:szCs w:val="16"/>
              </w:rPr>
            </w:pPr>
            <w:r w:rsidRPr="00E14102">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6A578" w14:textId="77777777" w:rsidR="00D30265" w:rsidRPr="00E14102" w:rsidRDefault="00D30265" w:rsidP="00E14102">
            <w:pPr>
              <w:jc w:val="both"/>
              <w:rPr>
                <w:color w:val="000000" w:themeColor="text1"/>
                <w:sz w:val="16"/>
                <w:szCs w:val="16"/>
              </w:rPr>
            </w:pPr>
            <w:r w:rsidRPr="00E14102">
              <w:rPr>
                <w:color w:val="000000" w:themeColor="text1"/>
                <w:sz w:val="16"/>
                <w:szCs w:val="16"/>
              </w:rPr>
              <w:t>953,0</w:t>
            </w:r>
          </w:p>
        </w:tc>
      </w:tr>
      <w:tr w:rsidR="00E3599D" w:rsidRPr="00E14102" w14:paraId="34A284A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BF1F8F" w14:textId="77777777" w:rsidR="00D30265" w:rsidRPr="00E14102" w:rsidRDefault="00D30265" w:rsidP="00E14102">
            <w:pPr>
              <w:jc w:val="both"/>
              <w:rPr>
                <w:color w:val="000000" w:themeColor="text1"/>
                <w:sz w:val="16"/>
                <w:szCs w:val="16"/>
              </w:rPr>
            </w:pPr>
            <w:r w:rsidRPr="00E14102">
              <w:rPr>
                <w:color w:val="000000" w:themeColor="text1"/>
                <w:sz w:val="16"/>
                <w:szCs w:val="16"/>
              </w:rPr>
              <w:t>10. 180</w:t>
            </w:r>
            <w:r w:rsidRPr="00E14102">
              <w:rPr>
                <w:color w:val="000000" w:themeColor="text1"/>
                <w:sz w:val="16"/>
                <w:szCs w:val="16"/>
              </w:rPr>
              <w:noBreakHyphen/>
              <w:t>мм 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A6912" w14:textId="77777777" w:rsidR="00D30265" w:rsidRPr="00E14102" w:rsidRDefault="00D30265" w:rsidP="00E14102">
            <w:pPr>
              <w:jc w:val="both"/>
              <w:rPr>
                <w:color w:val="000000" w:themeColor="text1"/>
                <w:sz w:val="16"/>
                <w:szCs w:val="16"/>
              </w:rPr>
            </w:pPr>
            <w:r w:rsidRPr="00E14102">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DB33F" w14:textId="77777777" w:rsidR="00D30265" w:rsidRPr="00E14102" w:rsidRDefault="00D30265" w:rsidP="00E14102">
            <w:pPr>
              <w:jc w:val="both"/>
              <w:rPr>
                <w:color w:val="000000" w:themeColor="text1"/>
                <w:sz w:val="16"/>
                <w:szCs w:val="16"/>
              </w:rPr>
            </w:pPr>
            <w:r w:rsidRPr="00E14102">
              <w:rPr>
                <w:color w:val="000000" w:themeColor="text1"/>
                <w:sz w:val="16"/>
                <w:szCs w:val="16"/>
              </w:rPr>
              <w:t>1215,0</w:t>
            </w:r>
          </w:p>
        </w:tc>
      </w:tr>
      <w:tr w:rsidR="00E3599D" w:rsidRPr="00E14102" w14:paraId="0A8340A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C8C660" w14:textId="77777777" w:rsidR="00D30265" w:rsidRPr="00E14102" w:rsidRDefault="00D30265" w:rsidP="00E14102">
            <w:pPr>
              <w:jc w:val="both"/>
              <w:rPr>
                <w:color w:val="000000" w:themeColor="text1"/>
                <w:sz w:val="16"/>
                <w:szCs w:val="16"/>
              </w:rPr>
            </w:pPr>
            <w:r w:rsidRPr="00E14102">
              <w:rPr>
                <w:color w:val="000000" w:themeColor="text1"/>
                <w:sz w:val="16"/>
                <w:szCs w:val="16"/>
              </w:rPr>
              <w:t>11. 356</w:t>
            </w:r>
            <w:r w:rsidRPr="00E14102">
              <w:rPr>
                <w:color w:val="000000" w:themeColor="text1"/>
                <w:sz w:val="16"/>
                <w:szCs w:val="16"/>
              </w:rPr>
              <w:noBreakHyphen/>
              <w:t>мм фугасные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F2F70" w14:textId="77777777" w:rsidR="00D30265" w:rsidRPr="00E14102" w:rsidRDefault="00D30265"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B9801" w14:textId="77777777" w:rsidR="00D30265" w:rsidRPr="00E14102" w:rsidRDefault="00D30265" w:rsidP="00E14102">
            <w:pPr>
              <w:jc w:val="both"/>
              <w:rPr>
                <w:color w:val="000000" w:themeColor="text1"/>
                <w:sz w:val="16"/>
                <w:szCs w:val="16"/>
              </w:rPr>
            </w:pPr>
            <w:r w:rsidRPr="00E14102">
              <w:rPr>
                <w:color w:val="000000" w:themeColor="text1"/>
                <w:sz w:val="16"/>
                <w:szCs w:val="16"/>
              </w:rPr>
              <w:t>593,0</w:t>
            </w:r>
          </w:p>
        </w:tc>
      </w:tr>
      <w:tr w:rsidR="00E3599D" w:rsidRPr="00E14102" w14:paraId="6E912DD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54C5F2" w14:textId="77777777" w:rsidR="00D30265" w:rsidRPr="00E14102" w:rsidRDefault="00D30265" w:rsidP="00E14102">
            <w:pPr>
              <w:jc w:val="both"/>
              <w:rPr>
                <w:color w:val="000000" w:themeColor="text1"/>
                <w:sz w:val="16"/>
                <w:szCs w:val="16"/>
              </w:rPr>
            </w:pPr>
            <w:r w:rsidRPr="00E14102">
              <w:rPr>
                <w:color w:val="000000" w:themeColor="text1"/>
                <w:sz w:val="16"/>
                <w:szCs w:val="16"/>
              </w:rPr>
              <w:t>12. 152</w:t>
            </w:r>
            <w:r w:rsidRPr="00E14102">
              <w:rPr>
                <w:color w:val="000000" w:themeColor="text1"/>
                <w:sz w:val="16"/>
                <w:szCs w:val="16"/>
              </w:rPr>
              <w:noBreakHyphen/>
              <w:t>мм осветительные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ACF5A" w14:textId="77777777" w:rsidR="00D30265" w:rsidRPr="00E14102" w:rsidRDefault="00D30265" w:rsidP="00E14102">
            <w:pPr>
              <w:jc w:val="both"/>
              <w:rPr>
                <w:color w:val="000000" w:themeColor="text1"/>
                <w:sz w:val="16"/>
                <w:szCs w:val="16"/>
              </w:rPr>
            </w:pPr>
            <w:r w:rsidRPr="00E14102">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15B87" w14:textId="77777777" w:rsidR="00D30265" w:rsidRPr="00E14102" w:rsidRDefault="00D30265" w:rsidP="00E14102">
            <w:pPr>
              <w:jc w:val="both"/>
              <w:rPr>
                <w:color w:val="000000" w:themeColor="text1"/>
                <w:sz w:val="16"/>
                <w:szCs w:val="16"/>
              </w:rPr>
            </w:pPr>
            <w:r w:rsidRPr="00E14102">
              <w:rPr>
                <w:color w:val="000000" w:themeColor="text1"/>
                <w:sz w:val="16"/>
                <w:szCs w:val="16"/>
              </w:rPr>
              <w:t>179,0</w:t>
            </w:r>
          </w:p>
        </w:tc>
      </w:tr>
      <w:tr w:rsidR="00E3599D" w:rsidRPr="00E14102" w14:paraId="4758D62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98B592" w14:textId="77777777" w:rsidR="00D30265" w:rsidRPr="00E14102" w:rsidRDefault="00D30265" w:rsidP="00E14102">
            <w:pPr>
              <w:jc w:val="both"/>
              <w:rPr>
                <w:color w:val="000000" w:themeColor="text1"/>
                <w:sz w:val="16"/>
                <w:szCs w:val="16"/>
              </w:rPr>
            </w:pPr>
            <w:r w:rsidRPr="00E14102">
              <w:rPr>
                <w:color w:val="000000" w:themeColor="text1"/>
                <w:sz w:val="16"/>
                <w:szCs w:val="16"/>
              </w:rPr>
              <w:t>13.152</w:t>
            </w:r>
            <w:r w:rsidRPr="00E14102">
              <w:rPr>
                <w:color w:val="000000" w:themeColor="text1"/>
                <w:sz w:val="16"/>
                <w:szCs w:val="16"/>
              </w:rPr>
              <w:noBreakHyphen/>
              <w:t>мм фугасные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A96DA" w14:textId="77777777" w:rsidR="00D30265" w:rsidRPr="00E14102" w:rsidRDefault="00D30265" w:rsidP="00E14102">
            <w:pPr>
              <w:jc w:val="both"/>
              <w:rPr>
                <w:color w:val="000000" w:themeColor="text1"/>
                <w:sz w:val="16"/>
                <w:szCs w:val="16"/>
              </w:rPr>
            </w:pPr>
            <w:r w:rsidRPr="00E14102">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A09DA" w14:textId="77777777" w:rsidR="00D30265" w:rsidRPr="00E14102" w:rsidRDefault="00D30265" w:rsidP="00E14102">
            <w:pPr>
              <w:jc w:val="both"/>
              <w:rPr>
                <w:color w:val="000000" w:themeColor="text1"/>
                <w:sz w:val="16"/>
                <w:szCs w:val="16"/>
              </w:rPr>
            </w:pPr>
            <w:r w:rsidRPr="00E14102">
              <w:rPr>
                <w:color w:val="000000" w:themeColor="text1"/>
                <w:sz w:val="16"/>
                <w:szCs w:val="16"/>
              </w:rPr>
              <w:t>863,0</w:t>
            </w:r>
          </w:p>
        </w:tc>
      </w:tr>
      <w:tr w:rsidR="00E3599D" w:rsidRPr="00E14102" w14:paraId="688328D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D37FE" w14:textId="77777777" w:rsidR="00D30265" w:rsidRPr="00E14102" w:rsidRDefault="00D30265" w:rsidP="00E14102">
            <w:pPr>
              <w:jc w:val="both"/>
              <w:rPr>
                <w:color w:val="000000" w:themeColor="text1"/>
                <w:sz w:val="16"/>
                <w:szCs w:val="16"/>
              </w:rPr>
            </w:pPr>
            <w:r w:rsidRPr="00E14102">
              <w:rPr>
                <w:color w:val="000000" w:themeColor="text1"/>
                <w:sz w:val="16"/>
                <w:szCs w:val="16"/>
              </w:rPr>
              <w:t>14. 102</w:t>
            </w:r>
            <w:r w:rsidRPr="00E14102">
              <w:rPr>
                <w:color w:val="000000" w:themeColor="text1"/>
                <w:sz w:val="16"/>
                <w:szCs w:val="16"/>
              </w:rPr>
              <w:noBreakHyphen/>
              <w:t>мм фугасные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9D53B" w14:textId="77777777" w:rsidR="00D30265" w:rsidRPr="00E14102" w:rsidRDefault="00D30265" w:rsidP="00E14102">
            <w:pPr>
              <w:jc w:val="both"/>
              <w:rPr>
                <w:color w:val="000000" w:themeColor="text1"/>
                <w:sz w:val="16"/>
                <w:szCs w:val="16"/>
              </w:rPr>
            </w:pPr>
            <w:r w:rsidRPr="00E14102">
              <w:rPr>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5F6A0" w14:textId="77777777" w:rsidR="00D30265" w:rsidRPr="00E14102" w:rsidRDefault="00D30265" w:rsidP="00E14102">
            <w:pPr>
              <w:jc w:val="both"/>
              <w:rPr>
                <w:color w:val="000000" w:themeColor="text1"/>
                <w:sz w:val="16"/>
                <w:szCs w:val="16"/>
              </w:rPr>
            </w:pPr>
            <w:r w:rsidRPr="00E14102">
              <w:rPr>
                <w:color w:val="000000" w:themeColor="text1"/>
                <w:sz w:val="16"/>
                <w:szCs w:val="16"/>
              </w:rPr>
              <w:t>240,0</w:t>
            </w:r>
          </w:p>
        </w:tc>
      </w:tr>
      <w:tr w:rsidR="00E3599D" w:rsidRPr="00E14102" w14:paraId="7643D75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C1F22F" w14:textId="77777777" w:rsidR="00D30265" w:rsidRPr="00E14102" w:rsidRDefault="00D30265" w:rsidP="00E14102">
            <w:pPr>
              <w:jc w:val="both"/>
              <w:rPr>
                <w:color w:val="000000" w:themeColor="text1"/>
                <w:sz w:val="16"/>
                <w:szCs w:val="16"/>
              </w:rPr>
            </w:pPr>
            <w:r w:rsidRPr="00E14102">
              <w:rPr>
                <w:color w:val="000000" w:themeColor="text1"/>
                <w:sz w:val="16"/>
                <w:szCs w:val="16"/>
              </w:rPr>
              <w:t>15. 45</w:t>
            </w:r>
            <w:r w:rsidRPr="00E14102">
              <w:rPr>
                <w:color w:val="000000" w:themeColor="text1"/>
                <w:sz w:val="16"/>
                <w:szCs w:val="16"/>
              </w:rPr>
              <w:noBreakHyphen/>
              <w:t>мм дистанционные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4AC25" w14:textId="77777777" w:rsidR="00D30265" w:rsidRPr="00E14102" w:rsidRDefault="00D30265" w:rsidP="00E14102">
            <w:pPr>
              <w:jc w:val="both"/>
              <w:rPr>
                <w:color w:val="000000" w:themeColor="text1"/>
                <w:sz w:val="16"/>
                <w:szCs w:val="16"/>
              </w:rPr>
            </w:pPr>
            <w:r w:rsidRPr="00E14102">
              <w:rPr>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CF4B1" w14:textId="77777777" w:rsidR="00D30265" w:rsidRPr="00E14102" w:rsidRDefault="00D30265" w:rsidP="00E14102">
            <w:pPr>
              <w:jc w:val="both"/>
              <w:rPr>
                <w:color w:val="000000" w:themeColor="text1"/>
                <w:sz w:val="16"/>
                <w:szCs w:val="16"/>
              </w:rPr>
            </w:pPr>
            <w:r w:rsidRPr="00E14102">
              <w:rPr>
                <w:color w:val="000000" w:themeColor="text1"/>
                <w:sz w:val="16"/>
                <w:szCs w:val="16"/>
              </w:rPr>
              <w:t>204,0</w:t>
            </w:r>
          </w:p>
        </w:tc>
      </w:tr>
      <w:tr w:rsidR="00E3599D" w:rsidRPr="00E14102" w14:paraId="064F156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A8B817" w14:textId="77777777" w:rsidR="00D30265" w:rsidRPr="00E14102" w:rsidRDefault="00D30265" w:rsidP="00E14102">
            <w:pPr>
              <w:jc w:val="both"/>
              <w:rPr>
                <w:color w:val="000000" w:themeColor="text1"/>
                <w:sz w:val="16"/>
                <w:szCs w:val="16"/>
              </w:rPr>
            </w:pPr>
            <w:r w:rsidRPr="00E14102">
              <w:rPr>
                <w:color w:val="000000" w:themeColor="text1"/>
                <w:sz w:val="16"/>
                <w:szCs w:val="16"/>
              </w:rPr>
              <w:t>16. Капсюльные втулки высокого давления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B0687" w14:textId="77777777" w:rsidR="00D30265" w:rsidRPr="00E14102" w:rsidRDefault="00D30265" w:rsidP="00E14102">
            <w:pPr>
              <w:jc w:val="both"/>
              <w:rPr>
                <w:color w:val="000000" w:themeColor="text1"/>
                <w:sz w:val="16"/>
                <w:szCs w:val="16"/>
              </w:rPr>
            </w:pPr>
            <w:r w:rsidRPr="00E14102">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6170D" w14:textId="77777777" w:rsidR="00D30265" w:rsidRPr="00E14102" w:rsidRDefault="00D30265" w:rsidP="00E14102">
            <w:pPr>
              <w:jc w:val="both"/>
              <w:rPr>
                <w:color w:val="000000" w:themeColor="text1"/>
                <w:sz w:val="16"/>
                <w:szCs w:val="16"/>
              </w:rPr>
            </w:pPr>
            <w:r w:rsidRPr="00E14102">
              <w:rPr>
                <w:color w:val="000000" w:themeColor="text1"/>
                <w:sz w:val="16"/>
                <w:szCs w:val="16"/>
              </w:rPr>
              <w:t>82</w:t>
            </w:r>
          </w:p>
        </w:tc>
      </w:tr>
      <w:tr w:rsidR="00E3599D" w:rsidRPr="00E14102" w14:paraId="15D2F3F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F5F049" w14:textId="77777777" w:rsidR="00D30265" w:rsidRPr="00E14102" w:rsidRDefault="00D30265" w:rsidP="00E14102">
            <w:pPr>
              <w:jc w:val="both"/>
              <w:rPr>
                <w:color w:val="000000" w:themeColor="text1"/>
                <w:sz w:val="16"/>
                <w:szCs w:val="16"/>
              </w:rPr>
            </w:pPr>
            <w:r w:rsidRPr="00E14102">
              <w:rPr>
                <w:color w:val="000000" w:themeColor="text1"/>
                <w:sz w:val="16"/>
                <w:szCs w:val="16"/>
              </w:rPr>
              <w:t>Итого по УВМС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FD365" w14:textId="77777777" w:rsidR="00D30265" w:rsidRPr="00E14102" w:rsidRDefault="00D30265"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DB059" w14:textId="77777777" w:rsidR="00D30265" w:rsidRPr="00E14102" w:rsidRDefault="00D30265" w:rsidP="00E14102">
            <w:pPr>
              <w:jc w:val="both"/>
              <w:rPr>
                <w:color w:val="000000" w:themeColor="text1"/>
                <w:sz w:val="16"/>
                <w:szCs w:val="16"/>
              </w:rPr>
            </w:pPr>
            <w:r w:rsidRPr="00E14102">
              <w:rPr>
                <w:color w:val="000000" w:themeColor="text1"/>
                <w:sz w:val="16"/>
                <w:szCs w:val="16"/>
              </w:rPr>
              <w:t>7134,0</w:t>
            </w:r>
          </w:p>
        </w:tc>
      </w:tr>
      <w:tr w:rsidR="00E3599D" w:rsidRPr="00E14102" w14:paraId="0DE53FEF" w14:textId="77777777" w:rsidTr="005F3FE6">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8E615F5" w14:textId="77777777" w:rsidR="00D30265" w:rsidRPr="00E14102" w:rsidRDefault="00D30265" w:rsidP="00E14102">
            <w:pPr>
              <w:jc w:val="both"/>
              <w:rPr>
                <w:color w:val="000000" w:themeColor="text1"/>
                <w:sz w:val="16"/>
                <w:szCs w:val="16"/>
              </w:rPr>
            </w:pPr>
            <w:r w:rsidRPr="00E14102">
              <w:rPr>
                <w:color w:val="000000" w:themeColor="text1"/>
                <w:sz w:val="16"/>
                <w:szCs w:val="16"/>
              </w:rPr>
              <w:t>По ГАУ</w:t>
            </w:r>
          </w:p>
        </w:tc>
      </w:tr>
      <w:tr w:rsidR="00E3599D" w:rsidRPr="00E14102" w14:paraId="749E116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D264D4" w14:textId="77777777" w:rsidR="00D30265" w:rsidRPr="00E14102" w:rsidRDefault="00D30265" w:rsidP="00E14102">
            <w:pPr>
              <w:jc w:val="both"/>
              <w:rPr>
                <w:color w:val="000000" w:themeColor="text1"/>
                <w:sz w:val="16"/>
                <w:szCs w:val="16"/>
              </w:rPr>
            </w:pPr>
            <w:r w:rsidRPr="00E14102">
              <w:rPr>
                <w:color w:val="000000" w:themeColor="text1"/>
                <w:sz w:val="16"/>
                <w:szCs w:val="16"/>
              </w:rPr>
              <w:t>37</w:t>
            </w:r>
            <w:r w:rsidRPr="00E14102">
              <w:rPr>
                <w:color w:val="000000" w:themeColor="text1"/>
                <w:sz w:val="16"/>
                <w:szCs w:val="16"/>
              </w:rPr>
              <w:noBreakHyphen/>
              <w:t>мм 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2EAE9" w14:textId="77777777" w:rsidR="00D30265" w:rsidRPr="00E14102" w:rsidRDefault="00D30265" w:rsidP="00E14102">
            <w:pPr>
              <w:jc w:val="both"/>
              <w:rPr>
                <w:color w:val="000000" w:themeColor="text1"/>
                <w:sz w:val="16"/>
                <w:szCs w:val="16"/>
              </w:rPr>
            </w:pPr>
            <w:r w:rsidRPr="00E14102">
              <w:rPr>
                <w:color w:val="000000" w:themeColor="text1"/>
                <w:sz w:val="16"/>
                <w:szCs w:val="16"/>
              </w:rPr>
              <w:t>70 000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ADAF0" w14:textId="77777777" w:rsidR="00D30265" w:rsidRPr="00E14102" w:rsidRDefault="00D30265" w:rsidP="00E14102">
            <w:pPr>
              <w:jc w:val="both"/>
              <w:rPr>
                <w:color w:val="000000" w:themeColor="text1"/>
                <w:sz w:val="16"/>
                <w:szCs w:val="16"/>
              </w:rPr>
            </w:pPr>
            <w:r w:rsidRPr="00E14102">
              <w:rPr>
                <w:color w:val="000000" w:themeColor="text1"/>
                <w:sz w:val="16"/>
                <w:szCs w:val="16"/>
              </w:rPr>
              <w:t>1015,0</w:t>
            </w:r>
          </w:p>
        </w:tc>
      </w:tr>
      <w:tr w:rsidR="00E3599D" w:rsidRPr="00E14102" w14:paraId="4A1DD2E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0EDC62" w14:textId="77777777" w:rsidR="00D30265" w:rsidRPr="00E14102" w:rsidRDefault="00D30265" w:rsidP="00E14102">
            <w:pPr>
              <w:jc w:val="both"/>
              <w:rPr>
                <w:color w:val="000000" w:themeColor="text1"/>
                <w:sz w:val="16"/>
                <w:szCs w:val="16"/>
              </w:rPr>
            </w:pPr>
            <w:r w:rsidRPr="00E14102">
              <w:rPr>
                <w:color w:val="000000" w:themeColor="text1"/>
                <w:sz w:val="16"/>
                <w:szCs w:val="16"/>
              </w:rPr>
              <w:t>Снаряжение АС-5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98387" w14:textId="77777777" w:rsidR="00D30265" w:rsidRPr="00E14102" w:rsidRDefault="00D30265" w:rsidP="00E14102">
            <w:pPr>
              <w:jc w:val="both"/>
              <w:rPr>
                <w:color w:val="000000" w:themeColor="text1"/>
                <w:sz w:val="16"/>
                <w:szCs w:val="16"/>
              </w:rPr>
            </w:pPr>
            <w:r w:rsidRPr="00E14102">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7A97C" w14:textId="77777777" w:rsidR="00D30265" w:rsidRPr="00E14102" w:rsidRDefault="00D30265" w:rsidP="00E14102">
            <w:pPr>
              <w:jc w:val="both"/>
              <w:rPr>
                <w:color w:val="000000" w:themeColor="text1"/>
                <w:sz w:val="16"/>
                <w:szCs w:val="16"/>
              </w:rPr>
            </w:pPr>
            <w:r w:rsidRPr="00E14102">
              <w:rPr>
                <w:color w:val="000000" w:themeColor="text1"/>
                <w:sz w:val="16"/>
                <w:szCs w:val="16"/>
              </w:rPr>
              <w:t>95,0</w:t>
            </w:r>
          </w:p>
        </w:tc>
      </w:tr>
      <w:tr w:rsidR="00E3599D" w:rsidRPr="00E14102" w14:paraId="02A3B04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311ED1" w14:textId="77777777" w:rsidR="00D30265" w:rsidRPr="00E14102" w:rsidRDefault="00D30265" w:rsidP="00E14102">
            <w:pPr>
              <w:jc w:val="both"/>
              <w:rPr>
                <w:color w:val="000000" w:themeColor="text1"/>
                <w:sz w:val="16"/>
                <w:szCs w:val="16"/>
              </w:rPr>
            </w:pPr>
            <w:r w:rsidRPr="00E14102">
              <w:rPr>
                <w:color w:val="000000" w:themeColor="text1"/>
                <w:sz w:val="16"/>
                <w:szCs w:val="16"/>
              </w:rPr>
              <w:t>ГД-З</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82086" w14:textId="77777777" w:rsidR="00D30265" w:rsidRPr="00E14102" w:rsidRDefault="00D30265" w:rsidP="00E14102">
            <w:pPr>
              <w:jc w:val="both"/>
              <w:rPr>
                <w:color w:val="000000" w:themeColor="text1"/>
                <w:sz w:val="16"/>
                <w:szCs w:val="16"/>
              </w:rPr>
            </w:pPr>
            <w:r w:rsidRPr="00E14102">
              <w:rPr>
                <w:color w:val="000000" w:themeColor="text1"/>
                <w:sz w:val="16"/>
                <w:szCs w:val="16"/>
              </w:rPr>
              <w:t>20 100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4A466" w14:textId="77777777" w:rsidR="00D30265" w:rsidRPr="00E14102" w:rsidRDefault="00D30265" w:rsidP="00E14102">
            <w:pPr>
              <w:jc w:val="both"/>
              <w:rPr>
                <w:color w:val="000000" w:themeColor="text1"/>
                <w:sz w:val="16"/>
                <w:szCs w:val="16"/>
              </w:rPr>
            </w:pPr>
            <w:r w:rsidRPr="00E14102">
              <w:rPr>
                <w:color w:val="000000" w:themeColor="text1"/>
                <w:sz w:val="16"/>
                <w:szCs w:val="16"/>
              </w:rPr>
              <w:t>190,0</w:t>
            </w:r>
          </w:p>
        </w:tc>
      </w:tr>
      <w:tr w:rsidR="00E3599D" w:rsidRPr="00E14102" w14:paraId="29DB327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AF4C3E" w14:textId="77777777" w:rsidR="00D30265" w:rsidRPr="00E14102" w:rsidRDefault="00D30265" w:rsidP="00E14102">
            <w:pPr>
              <w:jc w:val="both"/>
              <w:rPr>
                <w:color w:val="000000" w:themeColor="text1"/>
                <w:sz w:val="16"/>
                <w:szCs w:val="16"/>
              </w:rPr>
            </w:pPr>
            <w:r w:rsidRPr="00E14102">
              <w:rPr>
                <w:color w:val="000000" w:themeColor="text1"/>
                <w:sz w:val="16"/>
                <w:szCs w:val="16"/>
              </w:rPr>
              <w:t>[Итого по ГАУ]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CD14C" w14:textId="77777777" w:rsidR="00D30265" w:rsidRPr="00E14102" w:rsidRDefault="00D30265"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63B3C" w14:textId="77777777" w:rsidR="00D30265" w:rsidRPr="00E14102" w:rsidRDefault="00D30265" w:rsidP="00E14102">
            <w:pPr>
              <w:jc w:val="both"/>
              <w:rPr>
                <w:color w:val="000000" w:themeColor="text1"/>
                <w:sz w:val="16"/>
                <w:szCs w:val="16"/>
              </w:rPr>
            </w:pPr>
            <w:r w:rsidRPr="00E14102">
              <w:rPr>
                <w:color w:val="000000" w:themeColor="text1"/>
                <w:sz w:val="16"/>
                <w:szCs w:val="16"/>
              </w:rPr>
              <w:t>2200,0</w:t>
            </w:r>
          </w:p>
        </w:tc>
      </w:tr>
      <w:tr w:rsidR="00E3599D" w:rsidRPr="00E14102" w14:paraId="18C51545" w14:textId="77777777" w:rsidTr="005F3FE6">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92C6FAD" w14:textId="77777777" w:rsidR="00D30265" w:rsidRPr="00E14102" w:rsidRDefault="00D30265" w:rsidP="00E14102">
            <w:pPr>
              <w:jc w:val="both"/>
              <w:rPr>
                <w:color w:val="000000" w:themeColor="text1"/>
                <w:sz w:val="16"/>
                <w:szCs w:val="16"/>
              </w:rPr>
            </w:pPr>
            <w:r w:rsidRPr="00E14102">
              <w:rPr>
                <w:color w:val="000000" w:themeColor="text1"/>
                <w:sz w:val="16"/>
                <w:szCs w:val="16"/>
              </w:rPr>
              <w:t>Мирная продукция</w:t>
            </w:r>
          </w:p>
        </w:tc>
      </w:tr>
      <w:tr w:rsidR="00E3599D" w:rsidRPr="00E14102" w14:paraId="2D8274B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CDAE3D" w14:textId="77777777" w:rsidR="00D30265" w:rsidRPr="00E14102" w:rsidRDefault="00D30265" w:rsidP="00E14102">
            <w:pPr>
              <w:jc w:val="both"/>
              <w:rPr>
                <w:color w:val="000000" w:themeColor="text1"/>
                <w:sz w:val="16"/>
                <w:szCs w:val="16"/>
              </w:rPr>
            </w:pPr>
            <w:r w:rsidRPr="00E14102">
              <w:rPr>
                <w:color w:val="000000" w:themeColor="text1"/>
                <w:sz w:val="16"/>
                <w:szCs w:val="16"/>
              </w:rPr>
              <w:t>Уголь АГ рекуперационный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24082" w14:textId="77777777" w:rsidR="00D30265" w:rsidRPr="00E14102" w:rsidRDefault="00D30265" w:rsidP="00E14102">
            <w:pPr>
              <w:jc w:val="both"/>
              <w:rPr>
                <w:color w:val="000000" w:themeColor="text1"/>
                <w:sz w:val="16"/>
                <w:szCs w:val="16"/>
              </w:rPr>
            </w:pPr>
            <w:r w:rsidRPr="00E14102">
              <w:rPr>
                <w:color w:val="000000" w:themeColor="text1"/>
                <w:sz w:val="16"/>
                <w:szCs w:val="16"/>
              </w:rPr>
              <w:t>101т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1C012" w14:textId="77777777" w:rsidR="00D30265" w:rsidRPr="00E14102" w:rsidRDefault="00D30265" w:rsidP="00E14102">
            <w:pPr>
              <w:jc w:val="both"/>
              <w:rPr>
                <w:color w:val="000000" w:themeColor="text1"/>
                <w:sz w:val="16"/>
                <w:szCs w:val="16"/>
              </w:rPr>
            </w:pPr>
            <w:r w:rsidRPr="00E14102">
              <w:rPr>
                <w:color w:val="000000" w:themeColor="text1"/>
                <w:sz w:val="16"/>
                <w:szCs w:val="16"/>
              </w:rPr>
              <w:t>323,0</w:t>
            </w:r>
          </w:p>
        </w:tc>
      </w:tr>
      <w:tr w:rsidR="00E3599D" w:rsidRPr="00E14102" w14:paraId="7A60A91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C37169" w14:textId="77777777" w:rsidR="00D30265" w:rsidRPr="00E14102" w:rsidRDefault="00D30265" w:rsidP="00E14102">
            <w:pPr>
              <w:jc w:val="both"/>
              <w:rPr>
                <w:color w:val="000000" w:themeColor="text1"/>
                <w:sz w:val="16"/>
                <w:szCs w:val="16"/>
              </w:rPr>
            </w:pPr>
            <w:r w:rsidRPr="00E14102">
              <w:rPr>
                <w:color w:val="000000" w:themeColor="text1"/>
                <w:sz w:val="16"/>
                <w:szCs w:val="16"/>
              </w:rPr>
              <w:t>Коллоксилин триплексный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28B14" w14:textId="77777777" w:rsidR="00D30265" w:rsidRPr="00E14102" w:rsidRDefault="00D30265" w:rsidP="00E14102">
            <w:pPr>
              <w:jc w:val="both"/>
              <w:rPr>
                <w:color w:val="000000" w:themeColor="text1"/>
                <w:sz w:val="16"/>
                <w:szCs w:val="16"/>
              </w:rPr>
            </w:pPr>
            <w:r w:rsidRPr="00E14102">
              <w:rPr>
                <w:color w:val="000000" w:themeColor="text1"/>
                <w:sz w:val="16"/>
                <w:szCs w:val="16"/>
              </w:rPr>
              <w:t>30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E7879" w14:textId="77777777" w:rsidR="00D30265" w:rsidRPr="00E14102" w:rsidRDefault="00D30265" w:rsidP="00E14102">
            <w:pPr>
              <w:jc w:val="both"/>
              <w:rPr>
                <w:color w:val="000000" w:themeColor="text1"/>
                <w:sz w:val="16"/>
                <w:szCs w:val="16"/>
              </w:rPr>
            </w:pPr>
            <w:r w:rsidRPr="00E14102">
              <w:rPr>
                <w:color w:val="000000" w:themeColor="text1"/>
                <w:sz w:val="16"/>
                <w:szCs w:val="16"/>
              </w:rPr>
              <w:t>270,0</w:t>
            </w:r>
          </w:p>
        </w:tc>
      </w:tr>
      <w:tr w:rsidR="00E3599D" w:rsidRPr="00E14102" w14:paraId="1B1FCCD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43260D" w14:textId="77777777" w:rsidR="00D30265" w:rsidRPr="00E14102" w:rsidRDefault="00D30265" w:rsidP="00E14102">
            <w:pPr>
              <w:jc w:val="both"/>
              <w:rPr>
                <w:color w:val="000000" w:themeColor="text1"/>
                <w:sz w:val="16"/>
                <w:szCs w:val="16"/>
              </w:rPr>
            </w:pPr>
            <w:r w:rsidRPr="00E14102">
              <w:rPr>
                <w:color w:val="000000" w:themeColor="text1"/>
                <w:sz w:val="16"/>
                <w:szCs w:val="16"/>
              </w:rPr>
              <w:t>Противогазы детские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7AD25" w14:textId="77777777" w:rsidR="00D30265" w:rsidRPr="00E14102" w:rsidRDefault="00D30265" w:rsidP="00E14102">
            <w:pPr>
              <w:jc w:val="both"/>
              <w:rPr>
                <w:color w:val="000000" w:themeColor="text1"/>
                <w:sz w:val="16"/>
                <w:szCs w:val="16"/>
              </w:rPr>
            </w:pPr>
            <w:r w:rsidRPr="00E14102">
              <w:rPr>
                <w:color w:val="000000" w:themeColor="text1"/>
                <w:sz w:val="16"/>
                <w:szCs w:val="16"/>
              </w:rPr>
              <w:t>250 000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A37EA" w14:textId="77777777" w:rsidR="00D30265" w:rsidRPr="00E14102" w:rsidRDefault="00D30265" w:rsidP="00E14102">
            <w:pPr>
              <w:jc w:val="both"/>
              <w:rPr>
                <w:color w:val="000000" w:themeColor="text1"/>
                <w:sz w:val="16"/>
                <w:szCs w:val="16"/>
              </w:rPr>
            </w:pPr>
            <w:r w:rsidRPr="00E14102">
              <w:rPr>
                <w:color w:val="000000" w:themeColor="text1"/>
                <w:sz w:val="16"/>
                <w:szCs w:val="16"/>
              </w:rPr>
              <w:t>987,0</w:t>
            </w:r>
          </w:p>
        </w:tc>
      </w:tr>
      <w:tr w:rsidR="00E3599D" w:rsidRPr="00E14102" w14:paraId="74A0469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0172B3" w14:textId="77777777" w:rsidR="00D30265" w:rsidRPr="00E14102" w:rsidRDefault="00D30265" w:rsidP="00E14102">
            <w:pPr>
              <w:jc w:val="both"/>
              <w:rPr>
                <w:color w:val="000000" w:themeColor="text1"/>
                <w:sz w:val="16"/>
                <w:szCs w:val="16"/>
              </w:rPr>
            </w:pPr>
            <w:r w:rsidRPr="00E14102">
              <w:rPr>
                <w:color w:val="000000" w:themeColor="text1"/>
                <w:sz w:val="16"/>
                <w:szCs w:val="16"/>
              </w:rPr>
              <w:t>[Итого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A11C6" w14:textId="77777777" w:rsidR="00D30265" w:rsidRPr="00E14102" w:rsidRDefault="00D30265"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89D1E" w14:textId="77777777" w:rsidR="00D30265" w:rsidRPr="00E14102" w:rsidRDefault="00D30265" w:rsidP="00E14102">
            <w:pPr>
              <w:jc w:val="both"/>
              <w:rPr>
                <w:color w:val="000000" w:themeColor="text1"/>
                <w:sz w:val="16"/>
                <w:szCs w:val="16"/>
              </w:rPr>
            </w:pPr>
            <w:r w:rsidRPr="00E14102">
              <w:rPr>
                <w:color w:val="000000" w:themeColor="text1"/>
                <w:sz w:val="16"/>
                <w:szCs w:val="16"/>
              </w:rPr>
              <w:t>1580,0</w:t>
            </w:r>
          </w:p>
        </w:tc>
      </w:tr>
      <w:tr w:rsidR="00E3599D" w:rsidRPr="00E14102" w14:paraId="4D46999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C1D026" w14:textId="77777777" w:rsidR="00D30265" w:rsidRPr="00E14102" w:rsidRDefault="00D30265" w:rsidP="00E14102">
            <w:pPr>
              <w:jc w:val="both"/>
              <w:rPr>
                <w:color w:val="000000" w:themeColor="text1"/>
                <w:sz w:val="16"/>
                <w:szCs w:val="16"/>
              </w:rPr>
            </w:pPr>
            <w:r w:rsidRPr="00E14102">
              <w:rPr>
                <w:color w:val="000000" w:themeColor="text1"/>
                <w:sz w:val="16"/>
                <w:szCs w:val="16"/>
              </w:rPr>
              <w:t>Всего снято заказчиками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B16D8" w14:textId="77777777" w:rsidR="00D30265" w:rsidRPr="00E14102" w:rsidRDefault="00D30265"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862E4" w14:textId="77777777" w:rsidR="00D30265" w:rsidRPr="00E14102" w:rsidRDefault="00D30265" w:rsidP="00E14102">
            <w:pPr>
              <w:jc w:val="both"/>
              <w:rPr>
                <w:color w:val="000000" w:themeColor="text1"/>
                <w:sz w:val="16"/>
                <w:szCs w:val="16"/>
              </w:rPr>
            </w:pPr>
            <w:r w:rsidRPr="00E14102">
              <w:rPr>
                <w:color w:val="000000" w:themeColor="text1"/>
                <w:sz w:val="16"/>
                <w:szCs w:val="16"/>
              </w:rPr>
              <w:t>10 914,0 тыс. руб.</w:t>
            </w:r>
          </w:p>
        </w:tc>
      </w:tr>
    </w:tbl>
    <w:p w14:paraId="287E6097"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Кроме того Главхимромом распоряжением зам. начальника управления т. Тодорского сняты с завода № 15: азотная кислота — 5200 т на сумму 3750 руб.; деталь 24 РГ</w:t>
      </w:r>
      <w:r w:rsidRPr="00E14102">
        <w:rPr>
          <w:color w:val="000000" w:themeColor="text1"/>
          <w:sz w:val="16"/>
          <w:szCs w:val="16"/>
        </w:rPr>
        <w:noBreakHyphen/>
        <w:t>6 — 900 тыс. т на сумму 373 руб. Всего на сумму 4123 [руб.] с оставлением этого задания за трестом. Но так как трест не может быть производственной единицей, а является суммой слагаемых отдельных заводов, снятое с заводов автоматически должно быть снято и с треста. Делая эту поправку, валовая продукция в целом по тресту будет составлять: 380,3¹* млн. руб. — 4,1 млн. руб. = 376,2 млн. руб. Далее, если исключить совершенно бесспорно снятые непосредственно заказчиком, валовая продукция по тресту должна составлять: 380,3 млн. руб. — 4,1 млн. руб. (снятые Главхимпромом с завода № 15) — 10,9 млн. руб. (снятые заказчиком) = 365,3 млн. руб., т. е. фактическая деятельность треста протекала в условиях выполнения именно этого плана, потому что заводы треста эти снятые заказчиком и Главхимпромом изделия не выполняли.</w:t>
      </w:r>
    </w:p>
    <w:p w14:paraId="134C3F93"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Вохимтрест не делает даже поправок на изделия, не обеспеченные объектами снаряжения, по которым поставщик официально уведомил, что в 1934 г. поставки не будет — таких изделий имеется на 15 млн. руб., причем главнейшие из них — это: снаряжение 203</w:t>
      </w:r>
      <w:r w:rsidRPr="00E14102">
        <w:rPr>
          <w:color w:val="000000" w:themeColor="text1"/>
          <w:sz w:val="16"/>
          <w:szCs w:val="16"/>
        </w:rPr>
        <w:noBreakHyphen/>
        <w:t>мм бетоноб[ойных снарядов] — 6 тыс. шт.; снаряжение 152</w:t>
      </w:r>
      <w:r w:rsidRPr="00E14102">
        <w:rPr>
          <w:color w:val="000000" w:themeColor="text1"/>
          <w:sz w:val="16"/>
          <w:szCs w:val="16"/>
        </w:rPr>
        <w:noBreakHyphen/>
        <w:t>мм бетоноб[ойных снарядов] — 3 тыс. шт.; снаряжение 203</w:t>
      </w:r>
      <w:r w:rsidRPr="00E14102">
        <w:rPr>
          <w:color w:val="000000" w:themeColor="text1"/>
          <w:sz w:val="16"/>
          <w:szCs w:val="16"/>
        </w:rPr>
        <w:noBreakHyphen/>
        <w:t>мм гаубицы — 1663 шт.; капсюльные втулки к 115</w:t>
      </w:r>
      <w:r w:rsidRPr="00E14102">
        <w:rPr>
          <w:color w:val="000000" w:themeColor="text1"/>
          <w:sz w:val="16"/>
          <w:szCs w:val="16"/>
        </w:rPr>
        <w:noBreakHyphen/>
        <w:t>мм английским гильзам — 245 тыс. шт.; сигнальные гранатки — 1500 тыс. шт.; снаряжение 152</w:t>
      </w:r>
      <w:r w:rsidRPr="00E14102">
        <w:rPr>
          <w:color w:val="000000" w:themeColor="text1"/>
          <w:sz w:val="16"/>
          <w:szCs w:val="16"/>
        </w:rPr>
        <w:noBreakHyphen/>
        <w:t>мм пушки Шнейдера — 1 тыс. шт.; снаряжение 76</w:t>
      </w:r>
      <w:r w:rsidRPr="00E14102">
        <w:rPr>
          <w:color w:val="000000" w:themeColor="text1"/>
          <w:sz w:val="16"/>
          <w:szCs w:val="16"/>
        </w:rPr>
        <w:noBreakHyphen/>
        <w:t>мм зажигательн[ых снарядов] — 7 тыс. шт.</w:t>
      </w:r>
    </w:p>
    <w:p w14:paraId="6F2F9F26"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Официальный бухгалтерский отчет фиксирует выполнение программы в размере 95,6%; фактический процент выполнения в целом по тресту должен быть 99,5%, исходя из того плана, который трестом фактически выполнялся, а именно с учетом следующих моментов: а) снятых Главхимпромом с завода № 15 (на сумму 4,1 млн. руб.); б) снятых непосредственно заказчиком, но неоформленных Главхимпромом (10,9 млн. руб.). Таким образом, план будет равен сумме 365,3 млн. руб., а выполнение — 363,5 млн. руб., т. е. близко к 100% (99,5%). Сделав указанную предпосылку, производственную деятельность 1934 г. можно охарактеризовать как имеющую большие достижения по сравнению с 1933 г., тем более что объем выпущенной продукции в 1934 г. несравненно больший, чем в предыдущем году (рост на 45%).</w:t>
      </w:r>
    </w:p>
    <w:p w14:paraId="10F97037"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Характерно отметить, что свыше 50% заводов программу выполнили полностью, а три завода закончили год в декабре месяце. К этим заводам относятся: 1) Завод № 6 — выполнил программу 108,4%. 2) Завод № 15 — выполнил программу 108,3%. 3) Завод № 5 — выполнил программу 108,5%. 4) Завод № 12 — выполнил программу 100,1%. 5) Завод № 53 — выполнил программу 102%. 6) Завод № 52 — выполнил программу 99,8%. 7) Завод № 98 — перевыполнил в 3 раза.</w:t>
      </w:r>
    </w:p>
    <w:p w14:paraId="4C52A7C0"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lastRenderedPageBreak/>
        <w:t>Остальные заводы программу резко недовыполнили, причем три завода являются наиболее отсталыми: это завод № 80 — программу выполнил 87,0%; завод №11 — программу выполнил 79,8%; завод № 55 — программу выполнил 80,2%. Завод № 59 перевыполнил программу по всем цехам за исключением нитроглицериновых порохов (пятого цеха), по которому выполнение равно лишь 39,0%. Резкое невыполнение программы по нитроглицериновым порохам в основном вызвано причинами снабженческого характера.</w:t>
      </w:r>
    </w:p>
    <w:p w14:paraId="19FA4C51"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По отдельным главнейшим изделиям выполнение характеризуется следующими цифрами (см. таблицу выполнения главнейших изделий)²*.</w:t>
      </w:r>
    </w:p>
    <w:p w14:paraId="324E718E"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Переходя к анализу производственной деятельности в разрезе отдельных главнейших производств, Вохимтрест считает необходимым остановиться на следующих основных моментах.</w:t>
      </w:r>
    </w:p>
    <w:p w14:paraId="06671BEC" w14:textId="77777777" w:rsidR="00D30265" w:rsidRPr="00E14102" w:rsidRDefault="00D30265" w:rsidP="00E14102">
      <w:pPr>
        <w:jc w:val="both"/>
        <w:rPr>
          <w:color w:val="000000" w:themeColor="text1"/>
          <w:sz w:val="16"/>
          <w:szCs w:val="16"/>
        </w:rPr>
      </w:pPr>
      <w:r w:rsidRPr="00E14102">
        <w:rPr>
          <w:color w:val="000000" w:themeColor="text1"/>
          <w:sz w:val="16"/>
          <w:szCs w:val="16"/>
        </w:rPr>
        <w:t>Освоение новых производств и новые установки на заводах Вохимтреста в 1934 г.</w:t>
      </w:r>
    </w:p>
    <w:p w14:paraId="3CA6DD37" w14:textId="77777777" w:rsidR="00D30265" w:rsidRPr="00E14102" w:rsidRDefault="00D30265" w:rsidP="00E14102">
      <w:pPr>
        <w:jc w:val="both"/>
        <w:rPr>
          <w:color w:val="000000" w:themeColor="text1"/>
          <w:sz w:val="16"/>
          <w:szCs w:val="16"/>
        </w:rPr>
      </w:pPr>
      <w:r w:rsidRPr="00E14102">
        <w:rPr>
          <w:color w:val="000000" w:themeColor="text1"/>
          <w:sz w:val="16"/>
          <w:szCs w:val="16"/>
        </w:rPr>
        <w:t>Пороховая группа</w:t>
      </w:r>
    </w:p>
    <w:p w14:paraId="68814E76" w14:textId="77777777" w:rsidR="00D30265" w:rsidRPr="00E14102" w:rsidRDefault="00D30265" w:rsidP="00E14102">
      <w:pPr>
        <w:jc w:val="both"/>
        <w:rPr>
          <w:color w:val="000000" w:themeColor="text1"/>
          <w:sz w:val="16"/>
          <w:szCs w:val="16"/>
        </w:rPr>
      </w:pPr>
      <w:r w:rsidRPr="00E14102">
        <w:rPr>
          <w:color w:val="000000" w:themeColor="text1"/>
          <w:sz w:val="16"/>
          <w:szCs w:val="16"/>
        </w:rPr>
        <w:t>Завод № 52. 1) Бикфордов шнур, бронированный для НКО. 2) Установка рентгеновского аппарата для контроля шнура. 3) Изготовление бикфордова шнура для экспорта. Завод № 59. 4) Производство нитроглицериновых порохов (объект 111). 5) Производство бикфордова шнура всех видов. Завод № 6. 6) Экспортные пороха.</w:t>
      </w:r>
    </w:p>
    <w:p w14:paraId="43ABE9A5" w14:textId="77777777" w:rsidR="00D30265" w:rsidRPr="00E14102" w:rsidRDefault="00D30265" w:rsidP="00E14102">
      <w:pPr>
        <w:jc w:val="both"/>
        <w:rPr>
          <w:color w:val="000000" w:themeColor="text1"/>
          <w:sz w:val="16"/>
          <w:szCs w:val="16"/>
        </w:rPr>
      </w:pPr>
      <w:r w:rsidRPr="00E14102">
        <w:rPr>
          <w:color w:val="000000" w:themeColor="text1"/>
          <w:sz w:val="16"/>
          <w:szCs w:val="16"/>
        </w:rPr>
        <w:t>Кислотная группа</w:t>
      </w:r>
    </w:p>
    <w:p w14:paraId="352F448C" w14:textId="77777777" w:rsidR="00D30265" w:rsidRPr="00E14102" w:rsidRDefault="00D30265" w:rsidP="00E14102">
      <w:pPr>
        <w:jc w:val="both"/>
        <w:rPr>
          <w:color w:val="000000" w:themeColor="text1"/>
          <w:sz w:val="16"/>
          <w:szCs w:val="16"/>
        </w:rPr>
      </w:pPr>
      <w:r w:rsidRPr="00E14102">
        <w:rPr>
          <w:color w:val="000000" w:themeColor="text1"/>
          <w:sz w:val="16"/>
          <w:szCs w:val="16"/>
        </w:rPr>
        <w:t>В 1934 г. пущены и освоены следующие новые кислотные установки и агрегаты. Завод № 15. 1) Сернокислотная система Байера — январь 1934 г. 2) Новые мощные денитрационные колонны 135 т — октябрь 1934 г. 3) Вторая очередь НАЗа с аппаратами «Хемико» — январь, февраль 1934 г.</w:t>
      </w:r>
    </w:p>
    <w:p w14:paraId="71656E05" w14:textId="77777777" w:rsidR="00D30265" w:rsidRPr="00E14102" w:rsidRDefault="00D30265" w:rsidP="00E14102">
      <w:pPr>
        <w:jc w:val="both"/>
        <w:rPr>
          <w:color w:val="000000" w:themeColor="text1"/>
          <w:sz w:val="16"/>
          <w:szCs w:val="16"/>
        </w:rPr>
      </w:pPr>
      <w:r w:rsidRPr="00E14102">
        <w:rPr>
          <w:color w:val="000000" w:themeColor="text1"/>
          <w:sz w:val="16"/>
          <w:szCs w:val="16"/>
        </w:rPr>
        <w:t>По группе ВВ</w:t>
      </w:r>
    </w:p>
    <w:p w14:paraId="5B3ABABD" w14:textId="77777777" w:rsidR="00D30265" w:rsidRPr="00E14102" w:rsidRDefault="00D30265" w:rsidP="00E14102">
      <w:pPr>
        <w:jc w:val="both"/>
        <w:rPr>
          <w:color w:val="000000" w:themeColor="text1"/>
          <w:sz w:val="16"/>
          <w:szCs w:val="16"/>
        </w:rPr>
      </w:pPr>
      <w:r w:rsidRPr="00E14102">
        <w:rPr>
          <w:color w:val="000000" w:themeColor="text1"/>
          <w:sz w:val="16"/>
          <w:szCs w:val="16"/>
        </w:rPr>
        <w:t>1) Кристаллизация ТНТ из кислот (завод № 15). 2) Непрерывная нитрация (первая, вторая) — завод № 80. 3) Реконструкция первой, второй нитрации по методу Холево (завод № 80). 4) Реконструкция третьей нитрации (заводы №№80, 15). 5) Освоено производство мелинита (завод № 15).</w:t>
      </w:r>
    </w:p>
    <w:p w14:paraId="771AC77D" w14:textId="77777777" w:rsidR="00D30265" w:rsidRPr="00E14102" w:rsidRDefault="00D30265" w:rsidP="00E14102">
      <w:pPr>
        <w:jc w:val="both"/>
        <w:rPr>
          <w:color w:val="000000" w:themeColor="text1"/>
          <w:sz w:val="16"/>
          <w:szCs w:val="16"/>
        </w:rPr>
      </w:pPr>
      <w:r w:rsidRPr="00E14102">
        <w:rPr>
          <w:color w:val="000000" w:themeColor="text1"/>
          <w:sz w:val="16"/>
          <w:szCs w:val="16"/>
        </w:rPr>
        <w:t>Группа динамитов аммонитов</w:t>
      </w:r>
    </w:p>
    <w:p w14:paraId="5963F6A7" w14:textId="77777777" w:rsidR="00D30265" w:rsidRPr="00E14102" w:rsidRDefault="00D30265" w:rsidP="00E14102">
      <w:pPr>
        <w:jc w:val="both"/>
        <w:rPr>
          <w:color w:val="000000" w:themeColor="text1"/>
          <w:sz w:val="16"/>
          <w:szCs w:val="16"/>
        </w:rPr>
      </w:pPr>
      <w:r w:rsidRPr="00E14102">
        <w:rPr>
          <w:color w:val="000000" w:themeColor="text1"/>
          <w:sz w:val="16"/>
          <w:szCs w:val="16"/>
        </w:rPr>
        <w:t>1) Ксилинит 8/5</w:t>
      </w:r>
      <w:r w:rsidRPr="00E14102">
        <w:rPr>
          <w:color w:val="000000" w:themeColor="text1"/>
          <w:sz w:val="16"/>
          <w:szCs w:val="16"/>
        </w:rPr>
        <w:noBreakHyphen/>
        <w:t>процентный на заводах 6, 52, 59, на последнем получение ксилилового масла. 2) Зерненный состав «Фавье» — на заводе [№] 53 с ДНН. 3) Экспортные сорта динамитов — завод [№] 52.</w:t>
      </w:r>
    </w:p>
    <w:p w14:paraId="6AFA4267" w14:textId="77777777" w:rsidR="00D30265" w:rsidRPr="00E14102" w:rsidRDefault="00D30265" w:rsidP="00E14102">
      <w:pPr>
        <w:jc w:val="both"/>
        <w:rPr>
          <w:color w:val="000000" w:themeColor="text1"/>
          <w:sz w:val="16"/>
          <w:szCs w:val="16"/>
        </w:rPr>
      </w:pPr>
      <w:r w:rsidRPr="00E14102">
        <w:rPr>
          <w:color w:val="000000" w:themeColor="text1"/>
          <w:sz w:val="16"/>
          <w:szCs w:val="16"/>
        </w:rPr>
        <w:t>Группа химзащиты</w:t>
      </w:r>
    </w:p>
    <w:p w14:paraId="1DD24C2D" w14:textId="77777777" w:rsidR="00D30265" w:rsidRPr="00E14102" w:rsidRDefault="00D30265" w:rsidP="00E14102">
      <w:pPr>
        <w:pStyle w:val="rtejustify"/>
        <w:spacing w:before="0" w:after="0"/>
        <w:rPr>
          <w:color w:val="000000" w:themeColor="text1"/>
          <w:sz w:val="16"/>
          <w:szCs w:val="16"/>
        </w:rPr>
      </w:pPr>
      <w:r w:rsidRPr="00E14102">
        <w:rPr>
          <w:rStyle w:val="a6"/>
          <w:bCs/>
          <w:i w:val="0"/>
          <w:color w:val="000000" w:themeColor="text1"/>
          <w:sz w:val="16"/>
          <w:szCs w:val="16"/>
        </w:rPr>
        <w:t>Завод №12</w:t>
      </w:r>
      <w:r w:rsidRPr="00E14102">
        <w:rPr>
          <w:color w:val="000000" w:themeColor="text1"/>
          <w:sz w:val="16"/>
          <w:szCs w:val="16"/>
        </w:rPr>
        <w:t>. 1) АОХ</w:t>
      </w:r>
      <w:r w:rsidRPr="00E14102">
        <w:rPr>
          <w:color w:val="000000" w:themeColor="text1"/>
          <w:sz w:val="16"/>
          <w:szCs w:val="16"/>
        </w:rPr>
        <w:noBreakHyphen/>
        <w:t>10 с веществом 12. В 1931 г. была снаряжена опытная партия; в 1934 г. велось валовое снаряжение. 2) Противогазы в коробке «ТЧ» освобождение от белой жести и олова³*. 3) ФП</w:t>
      </w:r>
      <w:r w:rsidRPr="00E14102">
        <w:rPr>
          <w:color w:val="000000" w:themeColor="text1"/>
          <w:sz w:val="16"/>
          <w:szCs w:val="16"/>
        </w:rPr>
        <w:noBreakHyphen/>
        <w:t>360 облегченный реконструированный. 4) ФПГ</w:t>
      </w:r>
      <w:r w:rsidRPr="00E14102">
        <w:rPr>
          <w:color w:val="000000" w:themeColor="text1"/>
          <w:sz w:val="16"/>
          <w:szCs w:val="16"/>
        </w:rPr>
        <w:noBreakHyphen/>
        <w:t>30, 5) ФПГ</w:t>
      </w:r>
      <w:r w:rsidRPr="00E14102">
        <w:rPr>
          <w:color w:val="000000" w:themeColor="text1"/>
          <w:sz w:val="16"/>
          <w:szCs w:val="16"/>
        </w:rPr>
        <w:noBreakHyphen/>
        <w:t>60, 6) ФПГ</w:t>
      </w:r>
      <w:r w:rsidRPr="00E14102">
        <w:rPr>
          <w:color w:val="000000" w:themeColor="text1"/>
          <w:sz w:val="16"/>
          <w:szCs w:val="16"/>
        </w:rPr>
        <w:noBreakHyphen/>
        <w:t>150 — впервые выпущенные в 1934 г. для Снабосоавиахима. 7) ФПС</w:t>
      </w:r>
      <w:r w:rsidRPr="00E14102">
        <w:rPr>
          <w:color w:val="000000" w:themeColor="text1"/>
          <w:sz w:val="16"/>
          <w:szCs w:val="16"/>
        </w:rPr>
        <w:noBreakHyphen/>
        <w:t>300 морской фильтр. 8) Химпоглотитель марки «ХПД». 9) Промышленные противогазы новых марок. 10) Химпоглотитель марки «ХП</w:t>
      </w:r>
      <w:r w:rsidRPr="00E14102">
        <w:rPr>
          <w:color w:val="000000" w:themeColor="text1"/>
          <w:sz w:val="16"/>
          <w:szCs w:val="16"/>
        </w:rPr>
        <w:noBreakHyphen/>
        <w:t>2».</w:t>
      </w:r>
    </w:p>
    <w:p w14:paraId="27C11D69" w14:textId="77777777" w:rsidR="00D30265" w:rsidRPr="00E14102" w:rsidRDefault="00D30265" w:rsidP="00E14102">
      <w:pPr>
        <w:pStyle w:val="rtejustify"/>
        <w:spacing w:before="0" w:after="0"/>
        <w:rPr>
          <w:color w:val="000000" w:themeColor="text1"/>
          <w:sz w:val="16"/>
          <w:szCs w:val="16"/>
        </w:rPr>
      </w:pPr>
      <w:r w:rsidRPr="00E14102">
        <w:rPr>
          <w:rStyle w:val="a6"/>
          <w:bCs/>
          <w:i w:val="0"/>
          <w:color w:val="000000" w:themeColor="text1"/>
          <w:sz w:val="16"/>
          <w:szCs w:val="16"/>
        </w:rPr>
        <w:t>Завод № 80</w:t>
      </w:r>
      <w:r w:rsidRPr="00E14102">
        <w:rPr>
          <w:color w:val="000000" w:themeColor="text1"/>
          <w:sz w:val="16"/>
          <w:szCs w:val="16"/>
        </w:rPr>
        <w:t>. 1) ХАБ</w:t>
      </w:r>
      <w:r w:rsidRPr="00E14102">
        <w:rPr>
          <w:color w:val="000000" w:themeColor="text1"/>
          <w:sz w:val="16"/>
          <w:szCs w:val="16"/>
        </w:rPr>
        <w:noBreakHyphen/>
        <w:t>200, освоено новое производство, первое в системе ВХТ. 2) 122</w:t>
      </w:r>
      <w:r w:rsidRPr="00E14102">
        <w:rPr>
          <w:color w:val="000000" w:themeColor="text1"/>
          <w:sz w:val="16"/>
          <w:szCs w:val="16"/>
        </w:rPr>
        <w:noBreakHyphen/>
        <w:t>мм ОХС с веществом 15, 3) 152</w:t>
      </w:r>
      <w:r w:rsidRPr="00E14102">
        <w:rPr>
          <w:color w:val="000000" w:themeColor="text1"/>
          <w:sz w:val="16"/>
          <w:szCs w:val="16"/>
        </w:rPr>
        <w:noBreakHyphen/>
        <w:t>мм ОХС с веществом 15 — без освоения производства в существующем производстве п. 4. 4) Освоено производство «ХП</w:t>
      </w:r>
      <w:r w:rsidRPr="00E14102">
        <w:rPr>
          <w:color w:val="000000" w:themeColor="text1"/>
          <w:sz w:val="16"/>
          <w:szCs w:val="16"/>
        </w:rPr>
        <w:noBreakHyphen/>
        <w:t>1» — новое производство. 5) Рекуперационные угли марки АР</w:t>
      </w:r>
      <w:r w:rsidRPr="00E14102">
        <w:rPr>
          <w:color w:val="000000" w:themeColor="text1"/>
          <w:sz w:val="16"/>
          <w:szCs w:val="16"/>
        </w:rPr>
        <w:noBreakHyphen/>
        <w:t>Бр.</w:t>
      </w:r>
    </w:p>
    <w:p w14:paraId="36920E6D" w14:textId="77777777" w:rsidR="00D30265" w:rsidRPr="00E14102" w:rsidRDefault="00D30265" w:rsidP="00E14102">
      <w:pPr>
        <w:jc w:val="both"/>
        <w:rPr>
          <w:color w:val="000000" w:themeColor="text1"/>
          <w:sz w:val="16"/>
          <w:szCs w:val="16"/>
        </w:rPr>
      </w:pPr>
      <w:r w:rsidRPr="00E14102">
        <w:rPr>
          <w:color w:val="000000" w:themeColor="text1"/>
          <w:sz w:val="16"/>
          <w:szCs w:val="16"/>
        </w:rPr>
        <w:t>Пиротехния</w:t>
      </w:r>
    </w:p>
    <w:p w14:paraId="1C4037CD" w14:textId="77777777" w:rsidR="00D30265" w:rsidRPr="00E14102" w:rsidRDefault="00D30265" w:rsidP="00E14102">
      <w:pPr>
        <w:jc w:val="both"/>
        <w:rPr>
          <w:color w:val="000000" w:themeColor="text1"/>
          <w:sz w:val="16"/>
          <w:szCs w:val="16"/>
        </w:rPr>
      </w:pPr>
      <w:r w:rsidRPr="00E14102">
        <w:rPr>
          <w:color w:val="000000" w:themeColor="text1"/>
          <w:sz w:val="16"/>
          <w:szCs w:val="16"/>
        </w:rPr>
        <w:t>Завод № 5 — 107</w:t>
      </w:r>
      <w:r w:rsidRPr="00E14102">
        <w:rPr>
          <w:color w:val="000000" w:themeColor="text1"/>
          <w:sz w:val="16"/>
          <w:szCs w:val="16"/>
        </w:rPr>
        <w:noBreakHyphen/>
        <w:t>мм, 152</w:t>
      </w:r>
      <w:r w:rsidRPr="00E14102">
        <w:rPr>
          <w:color w:val="000000" w:themeColor="text1"/>
          <w:sz w:val="16"/>
          <w:szCs w:val="16"/>
        </w:rPr>
        <w:noBreakHyphen/>
        <w:t>мм сигналы дневного и ночного действий (по 9 сортов). Звездки под мортирку (красного и желтого огней). Взрывпакеты с цветными дымами (двух сортов).</w:t>
      </w:r>
    </w:p>
    <w:p w14:paraId="66A982E5" w14:textId="77777777" w:rsidR="00D30265" w:rsidRPr="00E14102" w:rsidRDefault="00D30265" w:rsidP="00E14102">
      <w:pPr>
        <w:jc w:val="both"/>
        <w:rPr>
          <w:color w:val="000000" w:themeColor="text1"/>
          <w:sz w:val="16"/>
          <w:szCs w:val="16"/>
        </w:rPr>
      </w:pPr>
      <w:r w:rsidRPr="00E14102">
        <w:rPr>
          <w:color w:val="000000" w:themeColor="text1"/>
          <w:sz w:val="16"/>
          <w:szCs w:val="16"/>
        </w:rPr>
        <w:t>Завод № 11 — 20</w:t>
      </w:r>
      <w:r w:rsidRPr="00E14102">
        <w:rPr>
          <w:color w:val="000000" w:themeColor="text1"/>
          <w:sz w:val="16"/>
          <w:szCs w:val="16"/>
        </w:rPr>
        <w:noBreakHyphen/>
        <w:t>мм трассирующие снаряды; 26</w:t>
      </w:r>
      <w:r w:rsidRPr="00E14102">
        <w:rPr>
          <w:color w:val="000000" w:themeColor="text1"/>
          <w:sz w:val="16"/>
          <w:szCs w:val="16"/>
        </w:rPr>
        <w:noBreakHyphen/>
        <w:t>мм сигнальные патроны желтого огня; 26</w:t>
      </w:r>
      <w:r w:rsidRPr="00E14102">
        <w:rPr>
          <w:color w:val="000000" w:themeColor="text1"/>
          <w:sz w:val="16"/>
          <w:szCs w:val="16"/>
        </w:rPr>
        <w:noBreakHyphen/>
        <w:t>мм комбинированные сигнальные патроны, опытно-валовые партии (красный-красный и красный-зеленый).</w:t>
      </w:r>
    </w:p>
    <w:p w14:paraId="100F79B7" w14:textId="77777777" w:rsidR="00D30265" w:rsidRPr="00E14102" w:rsidRDefault="00D30265" w:rsidP="00E14102">
      <w:pPr>
        <w:jc w:val="both"/>
        <w:rPr>
          <w:color w:val="000000" w:themeColor="text1"/>
          <w:sz w:val="16"/>
          <w:szCs w:val="16"/>
        </w:rPr>
      </w:pPr>
      <w:r w:rsidRPr="00E14102">
        <w:rPr>
          <w:color w:val="000000" w:themeColor="text1"/>
          <w:sz w:val="16"/>
          <w:szCs w:val="16"/>
        </w:rPr>
        <w:t>Заряды АБГ — шашки для указания направления ветра (в опытном масштабе).</w:t>
      </w:r>
    </w:p>
    <w:p w14:paraId="3CBD11E2" w14:textId="77777777" w:rsidR="00D30265" w:rsidRPr="00E14102" w:rsidRDefault="00D30265" w:rsidP="00E14102">
      <w:pPr>
        <w:jc w:val="both"/>
        <w:rPr>
          <w:color w:val="000000" w:themeColor="text1"/>
          <w:sz w:val="16"/>
          <w:szCs w:val="16"/>
        </w:rPr>
      </w:pPr>
      <w:r w:rsidRPr="00E14102">
        <w:rPr>
          <w:color w:val="000000" w:themeColor="text1"/>
          <w:sz w:val="16"/>
          <w:szCs w:val="16"/>
        </w:rPr>
        <w:t>Завод № 80 — АЗ</w:t>
      </w:r>
      <w:r w:rsidRPr="00E14102">
        <w:rPr>
          <w:color w:val="000000" w:themeColor="text1"/>
          <w:sz w:val="16"/>
          <w:szCs w:val="16"/>
        </w:rPr>
        <w:noBreakHyphen/>
        <w:t>50 на военном и гражданском термитах; АС</w:t>
      </w:r>
      <w:r w:rsidRPr="00E14102">
        <w:rPr>
          <w:color w:val="000000" w:themeColor="text1"/>
          <w:sz w:val="16"/>
          <w:szCs w:val="16"/>
        </w:rPr>
        <w:noBreakHyphen/>
        <w:t>5.</w:t>
      </w:r>
    </w:p>
    <w:p w14:paraId="3C63F1FB" w14:textId="77777777" w:rsidR="00D30265" w:rsidRPr="00E14102" w:rsidRDefault="00D30265" w:rsidP="00E14102">
      <w:pPr>
        <w:jc w:val="both"/>
        <w:rPr>
          <w:color w:val="000000" w:themeColor="text1"/>
          <w:sz w:val="16"/>
          <w:szCs w:val="16"/>
        </w:rPr>
      </w:pPr>
      <w:r w:rsidRPr="00E14102">
        <w:rPr>
          <w:color w:val="000000" w:themeColor="text1"/>
          <w:sz w:val="16"/>
          <w:szCs w:val="16"/>
        </w:rPr>
        <w:t>Капсюльная группа</w:t>
      </w:r>
    </w:p>
    <w:p w14:paraId="6146ECB8"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1) 37</w:t>
      </w:r>
      <w:r w:rsidRPr="00E14102">
        <w:rPr>
          <w:color w:val="000000" w:themeColor="text1"/>
          <w:sz w:val="16"/>
          <w:szCs w:val="16"/>
        </w:rPr>
        <w:noBreakHyphen/>
        <w:t>мм бронебойные снаряды «К». 2) Запальные стаканы ПЛТ. 3) Клапаны потопления (нов[ые] черт[ежи]). 4) КТМ</w:t>
      </w:r>
      <w:r w:rsidRPr="00E14102">
        <w:rPr>
          <w:color w:val="000000" w:themeColor="text1"/>
          <w:sz w:val="16"/>
          <w:szCs w:val="16"/>
        </w:rPr>
        <w:noBreakHyphen/>
        <w:t>1. 5) КТМ</w:t>
      </w:r>
      <w:r w:rsidRPr="00E14102">
        <w:rPr>
          <w:color w:val="000000" w:themeColor="text1"/>
          <w:sz w:val="16"/>
          <w:szCs w:val="16"/>
        </w:rPr>
        <w:noBreakHyphen/>
        <w:t>2. 6) БЗМ. 7) 5</w:t>
      </w:r>
      <w:r w:rsidRPr="00E14102">
        <w:rPr>
          <w:color w:val="000000" w:themeColor="text1"/>
          <w:sz w:val="16"/>
          <w:szCs w:val="16"/>
        </w:rPr>
        <w:noBreakHyphen/>
        <w:t>ДТ</w:t>
      </w:r>
      <w:r w:rsidRPr="00E14102">
        <w:rPr>
          <w:color w:val="000000" w:themeColor="text1"/>
          <w:sz w:val="16"/>
          <w:szCs w:val="16"/>
        </w:rPr>
        <w:noBreakHyphen/>
        <w:t>2. 8) Капсюли ШКАС. 9) Капсюли МТГ. 10) Капсюли КТ.</w:t>
      </w:r>
    </w:p>
    <w:p w14:paraId="78F43412"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Как показывает приведенная таблица⁴*, в 1934 г. форсированным темпом (вследствие задания правительства по увеличению выпуска аммонитов) были достроены аммонитные цехи заводов № 12 и № 55 и приспособлена под производство аммонитов аппаратура СУД завода № 98. Выстроенные мастерские изготовили в 1934 г. свыше 7 тыс. т (22% от всего количества аммонитов).</w:t>
      </w:r>
    </w:p>
    <w:p w14:paraId="4B7E7F97"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В части внедрения новых взрыввеществ обращает внимание изготовление ксилинита, благодаря чему используется ксилиловое масло, что при отсутствии или недостатке нитросольвентнафта сольвенит может быть ксилинитом, что даст экономию, т. к. ксилиловое масло является отходом. Усовершенствован состав «Фавье» (на динитронафталине) путем применения измельчения готового состава на меланжер, что даст повышение бризантности с 8 до 11 мм. Усовершенствовано производство аммонитов на заводе № 12, дающем аммониты бризантностью в среднем 10</w:t>
      </w:r>
      <w:r w:rsidRPr="00E14102">
        <w:rPr>
          <w:color w:val="000000" w:themeColor="text1"/>
          <w:sz w:val="16"/>
          <w:szCs w:val="16"/>
        </w:rPr>
        <w:noBreakHyphen/>
        <w:t>11 мм вместо 8</w:t>
      </w:r>
      <w:r w:rsidRPr="00E14102">
        <w:rPr>
          <w:color w:val="000000" w:themeColor="text1"/>
          <w:sz w:val="16"/>
          <w:szCs w:val="16"/>
        </w:rPr>
        <w:noBreakHyphen/>
        <w:t>8,5 мм. Введено производство зерненного состава «Фавье» бризантностью до 15 мм на заводе № 53, проработан вопрос патронирования сольвенитов в водонепроницаемых резиновых оболочках, невыгодных в экономическом отношении. Введено изготовление экспортных сортов динамитов, представляющих большие затруднения. Выпуск этих динамитов имеет колоссальное народно-хозяйственное значение, т. к. открывает путь советскому экспорту в страны Востока. Характерной особенностью является то обстоятельство, что завод № 52, имея большую экспортную программу, падающую на декабрь месяц, т. е. как раз на такой отрезок времени, когда малейшая неповоротливость могла сорвать выполнение этого ответственного задания, путем колоссального напряжения программу по экспорту выполнил.</w:t>
      </w:r>
    </w:p>
    <w:p w14:paraId="4EF190CE"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В 1934 г. (на заводе № 59) производство ксилила из нефтяного ксилила освоено; по заводу № 80 нельзя считать окончательно освоенным метод ВХНИИ (2 нитрация), т. к. для этого отсутствует соответствующая аппаратура. Оба производства в настоящее время малорентабельны и требуют реконструкции. Освоено мелинитовое производство, которое на протяжении ряда лет не могло работать, вследствие невозможности отжима отработанной кислоты от мелинита и отсутствия способа очистки промывных вод от растворенной пикриновой кислоты. В течение 1934 г. эти трудности окончательно преодолены, кроме того, введены улучшения в остальные фазы процесса, в результате чего производство пикриновой кислоты из фенола в основном освоено.</w:t>
      </w:r>
    </w:p>
    <w:p w14:paraId="244D1D95"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Окончательное освоение бензольного способа кристаллизации тетрила (в то время, как процент брака по температуре затвердения тетрила колебался в течение 1933 г. и I квартала 1934 г. в пределах от 15 до 90%, в результате проведенных технических и организационных мероприятий процент брака снизился до нескольких процентов, а по некоторым месяцам — до нуля). Успешная реконструкция тротилового производства: а) получение тротила по методу Холево; б) метод обратного прилива в третьей нитрации; в) горячий кислотооборот; г) кристаллизация тротила из кислот; д) новый метод промывки тротила. Реконструкция тротилового производства позволила значительно снизить расходные коэффициенты по всем основным материалам (подробно о расходных коэффициентах в разделе «Себестоимость». Полное освоение вновь пущенной азотно-кислотной установки (завод № 15), в результате чего уже в конце первого полугодия достигнута проектная мощность, а по окислительному отделению и по концентрации азотной кислоты проектная мощность перекрыта. Пущенный в начале 1934 г. контактный серно-кислотный цех (завод № 15) полностью освоен. Особо положительным моментом в работе цеха является быстрое разрешение вопроса интенсификации системы путем ввода купоросного масла со стороны (доходит до 60%). Освоено шнековое снаряжение снарядов и АБ (мелких и средних калибров) суррогатированными взрыввеществами в валовом порядке на шнекаппаратах, что вносит существенное улучшение в снаряжательное дело (полностью механизирован процесс снаряжения). Разработан метод снаряжения французской смесью на шнекаппаратах. Освоено снаряжение крупных аэробомб столбиками из амселитры, что дает возможность применять состав суррогатированного взрыввещества 60/40. Освоено снаряжение фильтров на угле АГ и алигнина. Освоено снаряжение противогазов на коробке ТГ (без пайки, коробки черной жести). Разработан и освоен мощный химпоглотитель ХПД (без цемента). Разрешение проблемы пайки изделий в коробках свинцом вместо сплава его с оловом, что дает большую экономию в остродефицитном металле — олове. Освоено снаряжение взрывателей крупнокалиберной артиллерии — бронебойных (морские БЗМ, сухопутные 5</w:t>
      </w:r>
      <w:r w:rsidRPr="00E14102">
        <w:rPr>
          <w:color w:val="000000" w:themeColor="text1"/>
          <w:sz w:val="16"/>
          <w:szCs w:val="16"/>
        </w:rPr>
        <w:noBreakHyphen/>
        <w:t>ДТ</w:t>
      </w:r>
      <w:r w:rsidRPr="00E14102">
        <w:rPr>
          <w:color w:val="000000" w:themeColor="text1"/>
          <w:sz w:val="16"/>
          <w:szCs w:val="16"/>
        </w:rPr>
        <w:noBreakHyphen/>
        <w:t>2, 8</w:t>
      </w:r>
      <w:r w:rsidRPr="00E14102">
        <w:rPr>
          <w:color w:val="000000" w:themeColor="text1"/>
          <w:sz w:val="16"/>
          <w:szCs w:val="16"/>
        </w:rPr>
        <w:noBreakHyphen/>
        <w:t>Г</w:t>
      </w:r>
      <w:r w:rsidRPr="00E14102">
        <w:rPr>
          <w:color w:val="000000" w:themeColor="text1"/>
          <w:sz w:val="16"/>
          <w:szCs w:val="16"/>
        </w:rPr>
        <w:noBreakHyphen/>
        <w:t>12), при этом по изделиям БЗМ и 5</w:t>
      </w:r>
      <w:r w:rsidRPr="00E14102">
        <w:rPr>
          <w:color w:val="000000" w:themeColor="text1"/>
          <w:sz w:val="16"/>
          <w:szCs w:val="16"/>
        </w:rPr>
        <w:noBreakHyphen/>
        <w:t>ДТ</w:t>
      </w:r>
      <w:r w:rsidRPr="00E14102">
        <w:rPr>
          <w:color w:val="000000" w:themeColor="text1"/>
          <w:sz w:val="16"/>
          <w:szCs w:val="16"/>
        </w:rPr>
        <w:noBreakHyphen/>
        <w:t>2 создан вновь технологический процесс и новые технические условия.</w:t>
      </w:r>
    </w:p>
    <w:p w14:paraId="3D74A270"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Наряду с целым рядом достижений, из которых главнейшими являются: 1) досрочное выполнение и перевыполнение гражданской продукции (задание правительства о форсированном выпуске аммонитов и средств воспламенения полностью выполнено, включая и экспортную продукцию); 2) пуск и освоение значительного количества новых изделий и производств; имеются отрицательные моменты, не изжитые в 1934 г. К числу их относится: невыполнение военной программы (выполнена в пределах 88%, причем выполнение договоров 84,3%, по отдельным главнейшим заказчикам выполнение характеризуется следующими цифрами: ГАУ — 85,2%, УВМС — 75,2%, Патронно-гильзовый трест — 117,6%, Вохиму — 86%.</w:t>
      </w:r>
    </w:p>
    <w:p w14:paraId="3E887D34"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Подавляющее большинство номенклатур не выполнено, главным образом, из-за неподачи объектов (не подано свыше чем на 15 млн. руб. — подробная ведомость прилагается). Вместе с тем имеются изделия, которые не изготовлены по причинам, всецело зависящим от производственной работы заводов или от конструктивных изменений в чертежах.</w:t>
      </w:r>
    </w:p>
    <w:p w14:paraId="1537F78E" w14:textId="77777777" w:rsidR="00D30265" w:rsidRPr="00E14102" w:rsidRDefault="00D30265" w:rsidP="00E14102">
      <w:pPr>
        <w:jc w:val="both"/>
        <w:rPr>
          <w:color w:val="000000" w:themeColor="text1"/>
          <w:sz w:val="16"/>
          <w:szCs w:val="16"/>
        </w:rPr>
      </w:pPr>
      <w:r w:rsidRPr="00E14102">
        <w:rPr>
          <w:color w:val="000000" w:themeColor="text1"/>
          <w:sz w:val="16"/>
          <w:szCs w:val="16"/>
        </w:rPr>
        <w:t>Пиротехния</w:t>
      </w:r>
    </w:p>
    <w:p w14:paraId="1F20B6E3"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Программа по пиротехническим изделиям (завод № 5, завод № 11 и завод № 80) выполнена в пределах 60%. На протяжении всего 1934 г. работа пиротехнических цехов, с одной стороны, лимитировалась снабжением как материалами и сырьем (магний, красители дымов, термит, перебои с идитолом), так и объектами (корпуса под гранату «Д», авиасигналов, трассеров «К», корпуса морских осветительных снарядов, корпуса зажигательных снарядов) и, с другой стороны, наличия 50% новых изделий, требующих не только освоения по имеющимся технологическим процессам, но также проведение большого количества опытов для разработки совершенно новых технологических процессов и исправления существующих вследствие подачи корпусов, изготовленных не по тем чертежам (УВМС — трассера «К» и корпуса осветительных снарядов). Одновременно необходимо отметить, что заводы все же, несмотря на крайне тяжелые условия работы, освоили целый ряд новых изделий (эти изделия указаны выше).</w:t>
      </w:r>
    </w:p>
    <w:p w14:paraId="4514F410"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lastRenderedPageBreak/>
        <w:t>По снаряжению невыполнение в целом по тресту вызвано тем обстоятельством, что снаряжательные цехи завода № 80 и № 55 резко недовыполнили свою программу...⁵*</w:t>
      </w:r>
    </w:p>
    <w:p w14:paraId="4FE3DC3C" w14:textId="77777777" w:rsidR="00D30265" w:rsidRPr="00E14102" w:rsidRDefault="00D30265" w:rsidP="00E14102">
      <w:pPr>
        <w:pStyle w:val="rtecenter"/>
        <w:spacing w:before="0" w:after="0"/>
        <w:jc w:val="both"/>
        <w:rPr>
          <w:color w:val="000000" w:themeColor="text1"/>
          <w:sz w:val="16"/>
          <w:szCs w:val="16"/>
        </w:rPr>
      </w:pPr>
      <w:r w:rsidRPr="00E14102">
        <w:rPr>
          <w:color w:val="000000" w:themeColor="text1"/>
          <w:sz w:val="16"/>
          <w:szCs w:val="16"/>
        </w:rPr>
        <w:t>* * *</w:t>
      </w:r>
    </w:p>
    <w:p w14:paraId="7384BC24"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В 1935 г. Вохимтрест считает необходимым провести следующие технические мероприятия: 1. Уточнение технологического процесса изготовления нитроглицериновых порохов в отношении отдельных деталей. Работа эта будет проведена группой работников треста, ВХНИИ и заводом № 6. На обязанности той же группы работников будет проверка подготовленности кадров, в особенности, на прессах.</w:t>
      </w:r>
    </w:p>
    <w:p w14:paraId="4632A2D2"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2. После пуска в эксплуатацию объектов 112/128 (дымные пороха и СУД) на заводе № 98 должен быть решен принципиально вопрос о дальнейшей работе этих производств на заводе № 53. Крайняя изношенность аппаратуры дымных порохов и ветхость зданий, отсутствие ограждений со стороны завода № 9, получение пароэлектроэнергии от завода № 9, полное отсутствие правильного и последовательного производственного потока требует или затраты больших сумм на рационализацию и реконструкцию всего производства (около 1,5 млн. руб.), или после вступления в строй этих объектов на заводе № 98 законсервировать и передать заводу № 9.</w:t>
      </w:r>
    </w:p>
    <w:p w14:paraId="1F9D21F1"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3. Установление контроля шнура при помощи рентгеновского аппарата.</w:t>
      </w:r>
    </w:p>
    <w:p w14:paraId="6A2BD13F"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4. Изготовление опытных образчиков порохов с несколько замедленным временем горения (62</w:t>
      </w:r>
      <w:r w:rsidRPr="00E14102">
        <w:rPr>
          <w:color w:val="000000" w:themeColor="text1"/>
          <w:sz w:val="16"/>
          <w:szCs w:val="16"/>
        </w:rPr>
        <w:noBreakHyphen/>
        <w:t>72 мин.) с использованием рецепта пороха инженера Данилова.</w:t>
      </w:r>
    </w:p>
    <w:p w14:paraId="2E074EA8"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5. Освоение технологического процесса изготовления триплексного коллоксилина.</w:t>
      </w:r>
    </w:p>
    <w:p w14:paraId="696144AB"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6. Получение состава «Фавье» на тринитронафталине на основании опытов получения тринитронафталина на Рубежанском заводе.</w:t>
      </w:r>
    </w:p>
    <w:p w14:paraId="53943274"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7. Изготовление антигризутных составов вместо намеченных гризутинов после окончательной проверки в ВХНИИ.</w:t>
      </w:r>
    </w:p>
    <w:p w14:paraId="77608047"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8. Изготовление зерненого состава «Фавье» на заводе № 53 (300 т) и по получении отзывов с мест — в большем количестве.</w:t>
      </w:r>
    </w:p>
    <w:p w14:paraId="4C261276"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9. Изготовление аммонитов на ферросилиции по получении пригодного для валовой работы технологического процесса.</w:t>
      </w:r>
    </w:p>
    <w:p w14:paraId="6B9F1DA5"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10. Изготовление особых сортов динамита для экспорта.</w:t>
      </w:r>
    </w:p>
    <w:p w14:paraId="5241288B"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11. Изготовление аммонитов на тротиловом масле, патронированных и порошком в коробках; заводы №№ 80 и 15 перед отправкой тротилового масла на другие заводы будут предварительно его подвергать очистке.</w:t>
      </w:r>
    </w:p>
    <w:p w14:paraId="28BD4207"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12. Переход на прессование мелкокалиберных снарядов одним тротилом методом прессования с гладким пуансоном с соответствующей подготовкой станков для сверловки гнезда.</w:t>
      </w:r>
    </w:p>
    <w:p w14:paraId="7F9ABEBC"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13. Улучшение работы по тетриловым детонаторам, имея в виду, что по новым техусловиям значительно ужесточены допуски по трещинам, сколам и проч. Для указанного необходимо пересмотреть все чертежи инструмента.</w:t>
      </w:r>
    </w:p>
    <w:p w14:paraId="6E943B57"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14. С целью уменьшения расхода крепкой азотной кислоты (тротиловое производство), форсирование опытов по применению слабой азотной кислоты для разбавления отработанных кислот третьей нитрации.</w:t>
      </w:r>
    </w:p>
    <w:p w14:paraId="47B55AFC"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15. Разрешение проблемы ликвидации коррозии змеевиков в кубах холодильников в отделении ректификации спирта.</w:t>
      </w:r>
    </w:p>
    <w:p w14:paraId="1370626C"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16. Дальнейшее усовершенствование промывки ТНТ.</w:t>
      </w:r>
    </w:p>
    <w:p w14:paraId="597C79C9"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17. Снижение расхода спирта введением большей герметизации аппаратуры и пересмотра спиртооборота.</w:t>
      </w:r>
    </w:p>
    <w:p w14:paraId="175908D6"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18. Уменьшение содержания азотной кислоты в отработанной кислоте после первой нитрации.</w:t>
      </w:r>
    </w:p>
    <w:p w14:paraId="4DB4B409"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19. Форсирование опытных работ по улучшению качества кислотного тротила в отношении маслянистости.</w:t>
      </w:r>
    </w:p>
    <w:p w14:paraId="286BA340"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20. Освоение процесса отжимки нитрованного продукта на вакуум воронки (тетриловое производство).</w:t>
      </w:r>
    </w:p>
    <w:p w14:paraId="446289E5"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21. Проведение опытов нитрации в нитраторе большой емкости согласно проекту реконструкции тетрилового производства.</w:t>
      </w:r>
    </w:p>
    <w:p w14:paraId="1350E026"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22. Разрешение проблемы денитрации отработанных кислот мелинитового производства.</w:t>
      </w:r>
    </w:p>
    <w:p w14:paraId="20B3CFFF"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23. Концентрация внимания на опытных заказах, в частности на механизации процессов снаряжения (завод № 15).</w:t>
      </w:r>
    </w:p>
    <w:p w14:paraId="2D3F3A56"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24. Освоение технологического процесса по валовому изготовлению капсюлей трубке Розенберга.</w:t>
      </w:r>
    </w:p>
    <w:p w14:paraId="6DADC0C4"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25. Обследование тротиловых цехов заводов №№ 15,80 с целью унификации технологических процессов и установления мощностей.</w:t>
      </w:r>
    </w:p>
    <w:p w14:paraId="3DC92301"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26. То же самое по тетриловым цехам.</w:t>
      </w:r>
    </w:p>
    <w:p w14:paraId="6850A451"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27. Разработка способа получения гранулированного тротила для шнекования. Установка и освоение барабана для чешуирования на заводе № 15.</w:t>
      </w:r>
    </w:p>
    <w:p w14:paraId="78BCB826"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28. Внедрение на всех заводах сушкообразного технологического процесса заливки снарядов.</w:t>
      </w:r>
    </w:p>
    <w:p w14:paraId="7AF18C40"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29. Разработка и освоение кускового способа заливки снарядов увеличенной дальности согласно новых ТУ на заводе № 80⁶*.</w:t>
      </w:r>
    </w:p>
    <w:p w14:paraId="1F9E7C99" w14:textId="77777777" w:rsidR="00D30265" w:rsidRPr="00E14102" w:rsidRDefault="00D30265" w:rsidP="00E14102">
      <w:pPr>
        <w:jc w:val="both"/>
        <w:rPr>
          <w:color w:val="000000" w:themeColor="text1"/>
          <w:sz w:val="16"/>
          <w:szCs w:val="16"/>
        </w:rPr>
      </w:pPr>
      <w:r w:rsidRPr="00E14102">
        <w:rPr>
          <w:color w:val="000000" w:themeColor="text1"/>
          <w:sz w:val="16"/>
          <w:szCs w:val="16"/>
        </w:rPr>
        <w:t>Труд и кадры</w:t>
      </w:r>
    </w:p>
    <w:p w14:paraId="1E1EAB1D" w14:textId="77777777" w:rsidR="00D30265" w:rsidRPr="00E14102" w:rsidRDefault="00D30265"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Валовый выпуск продукции за 1934</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в отпускных ценах 1926/27</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составляет: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69"/>
        <w:gridCol w:w="2033"/>
        <w:gridCol w:w="2452"/>
        <w:gridCol w:w="2302"/>
        <w:gridCol w:w="2567"/>
      </w:tblGrid>
      <w:tr w:rsidR="00E3599D" w:rsidRPr="00E14102" w14:paraId="740AC159"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972D7C" w14:textId="77777777" w:rsidR="00D30265" w:rsidRPr="00E14102" w:rsidRDefault="00D30265" w:rsidP="00E14102">
            <w:pPr>
              <w:jc w:val="both"/>
              <w:rPr>
                <w:color w:val="000000" w:themeColor="text1"/>
                <w:sz w:val="16"/>
                <w:szCs w:val="16"/>
              </w:rPr>
            </w:pPr>
            <w:r w:rsidRPr="00E14102">
              <w:rPr>
                <w:color w:val="000000" w:themeColor="text1"/>
                <w:sz w:val="16"/>
                <w:szCs w:val="16"/>
              </w:rPr>
              <w:t>1933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B8BF7E" w14:textId="77777777" w:rsidR="00D30265" w:rsidRPr="00E14102" w:rsidRDefault="00D30265" w:rsidP="00E14102">
            <w:pPr>
              <w:jc w:val="both"/>
              <w:rPr>
                <w:color w:val="000000" w:themeColor="text1"/>
                <w:sz w:val="16"/>
                <w:szCs w:val="16"/>
              </w:rPr>
            </w:pPr>
            <w:r w:rsidRPr="00E14102">
              <w:rPr>
                <w:color w:val="000000" w:themeColor="text1"/>
                <w:sz w:val="16"/>
                <w:szCs w:val="16"/>
              </w:rPr>
              <w:t>1934 г. [тыс. руб.]</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5972F9F" w14:textId="77777777" w:rsidR="00D30265" w:rsidRPr="00E14102" w:rsidRDefault="00D30265" w:rsidP="00E14102">
            <w:pPr>
              <w:jc w:val="both"/>
              <w:rPr>
                <w:color w:val="000000" w:themeColor="text1"/>
                <w:sz w:val="16"/>
                <w:szCs w:val="16"/>
              </w:rPr>
            </w:pPr>
            <w:r w:rsidRPr="00E14102">
              <w:rPr>
                <w:color w:val="000000" w:themeColor="text1"/>
                <w:sz w:val="16"/>
                <w:szCs w:val="16"/>
              </w:rPr>
              <w:t>1934 г. в процентах</w:t>
            </w:r>
          </w:p>
        </w:tc>
      </w:tr>
      <w:tr w:rsidR="00E3599D" w:rsidRPr="00E14102" w14:paraId="542E78D4"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BA86453" w14:textId="77777777" w:rsidR="00D30265" w:rsidRPr="00E14102" w:rsidRDefault="00D30265"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1D9AB1" w14:textId="77777777" w:rsidR="00D30265" w:rsidRPr="00E14102" w:rsidRDefault="00D30265" w:rsidP="00E14102">
            <w:pPr>
              <w:jc w:val="both"/>
              <w:rPr>
                <w:color w:val="000000" w:themeColor="text1"/>
                <w:sz w:val="16"/>
                <w:szCs w:val="16"/>
              </w:rPr>
            </w:pPr>
            <w:r w:rsidRPr="00E14102">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470A3" w14:textId="77777777" w:rsidR="00D30265" w:rsidRPr="00E14102" w:rsidRDefault="00D30265" w:rsidP="00E14102">
            <w:pPr>
              <w:jc w:val="both"/>
              <w:rPr>
                <w:color w:val="000000" w:themeColor="text1"/>
                <w:sz w:val="16"/>
                <w:szCs w:val="16"/>
              </w:rPr>
            </w:pPr>
            <w:r w:rsidRPr="00E14102">
              <w:rPr>
                <w:color w:val="000000" w:themeColor="text1"/>
                <w:sz w:val="16"/>
                <w:szCs w:val="16"/>
              </w:rPr>
              <w:t>Отчет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1EC1D" w14:textId="77777777" w:rsidR="00D30265" w:rsidRPr="00E14102" w:rsidRDefault="00D30265" w:rsidP="00E14102">
            <w:pPr>
              <w:jc w:val="both"/>
              <w:rPr>
                <w:color w:val="000000" w:themeColor="text1"/>
                <w:sz w:val="16"/>
                <w:szCs w:val="16"/>
              </w:rPr>
            </w:pPr>
            <w:r w:rsidRPr="00E14102">
              <w:rPr>
                <w:color w:val="000000" w:themeColor="text1"/>
                <w:sz w:val="16"/>
                <w:szCs w:val="16"/>
              </w:rPr>
              <w:t>к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BF8A5" w14:textId="77777777" w:rsidR="00D30265" w:rsidRPr="00E14102" w:rsidRDefault="00D30265" w:rsidP="00E14102">
            <w:pPr>
              <w:jc w:val="both"/>
              <w:rPr>
                <w:color w:val="000000" w:themeColor="text1"/>
                <w:sz w:val="16"/>
                <w:szCs w:val="16"/>
              </w:rPr>
            </w:pPr>
            <w:r w:rsidRPr="00E14102">
              <w:rPr>
                <w:color w:val="000000" w:themeColor="text1"/>
                <w:sz w:val="16"/>
                <w:szCs w:val="16"/>
              </w:rPr>
              <w:t>к 1933 г.</w:t>
            </w:r>
          </w:p>
        </w:tc>
      </w:tr>
      <w:tr w:rsidR="00E3599D" w:rsidRPr="00E14102" w14:paraId="7FBDE5B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DE4146" w14:textId="77777777" w:rsidR="00D30265" w:rsidRPr="00E14102" w:rsidRDefault="00D30265" w:rsidP="00E14102">
            <w:pPr>
              <w:jc w:val="both"/>
              <w:rPr>
                <w:color w:val="000000" w:themeColor="text1"/>
                <w:sz w:val="16"/>
                <w:szCs w:val="16"/>
              </w:rPr>
            </w:pPr>
            <w:r w:rsidRPr="00E14102">
              <w:rPr>
                <w:color w:val="000000" w:themeColor="text1"/>
                <w:sz w:val="16"/>
                <w:szCs w:val="16"/>
              </w:rPr>
              <w:t>251 884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ACF42" w14:textId="77777777" w:rsidR="00D30265" w:rsidRPr="00E14102" w:rsidRDefault="00D30265" w:rsidP="00E14102">
            <w:pPr>
              <w:jc w:val="both"/>
              <w:rPr>
                <w:color w:val="000000" w:themeColor="text1"/>
                <w:sz w:val="16"/>
                <w:szCs w:val="16"/>
              </w:rPr>
            </w:pPr>
            <w:r w:rsidRPr="00E14102">
              <w:rPr>
                <w:color w:val="000000" w:themeColor="text1"/>
                <w:sz w:val="16"/>
                <w:szCs w:val="16"/>
              </w:rPr>
              <w:t>380,3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DCCA1" w14:textId="77777777" w:rsidR="00D30265" w:rsidRPr="00E14102" w:rsidRDefault="00D30265" w:rsidP="00E14102">
            <w:pPr>
              <w:jc w:val="both"/>
              <w:rPr>
                <w:color w:val="000000" w:themeColor="text1"/>
                <w:sz w:val="16"/>
                <w:szCs w:val="16"/>
              </w:rPr>
            </w:pPr>
            <w:r w:rsidRPr="00E14102">
              <w:rPr>
                <w:color w:val="000000" w:themeColor="text1"/>
                <w:sz w:val="16"/>
                <w:szCs w:val="16"/>
              </w:rPr>
              <w:t>363,52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FF210" w14:textId="77777777" w:rsidR="00D30265" w:rsidRPr="00E14102" w:rsidRDefault="00D30265" w:rsidP="00E14102">
            <w:pPr>
              <w:jc w:val="both"/>
              <w:rPr>
                <w:color w:val="000000" w:themeColor="text1"/>
                <w:sz w:val="16"/>
                <w:szCs w:val="16"/>
              </w:rPr>
            </w:pPr>
            <w:r w:rsidRPr="00E14102">
              <w:rPr>
                <w:color w:val="000000" w:themeColor="text1"/>
                <w:sz w:val="16"/>
                <w:szCs w:val="16"/>
              </w:rPr>
              <w:t>144,3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624C8" w14:textId="77777777" w:rsidR="00D30265" w:rsidRPr="00E14102" w:rsidRDefault="00D30265" w:rsidP="00E14102">
            <w:pPr>
              <w:jc w:val="both"/>
              <w:rPr>
                <w:color w:val="000000" w:themeColor="text1"/>
                <w:sz w:val="16"/>
                <w:szCs w:val="16"/>
              </w:rPr>
            </w:pPr>
            <w:r w:rsidRPr="00E14102">
              <w:rPr>
                <w:color w:val="000000" w:themeColor="text1"/>
                <w:sz w:val="16"/>
                <w:szCs w:val="16"/>
              </w:rPr>
              <w:t>95,6</w:t>
            </w:r>
          </w:p>
        </w:tc>
      </w:tr>
    </w:tbl>
    <w:p w14:paraId="3323A91A"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Указанная продукция изготовлена следующим количеством работающего состава: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37"/>
        <w:gridCol w:w="1249"/>
        <w:gridCol w:w="1184"/>
        <w:gridCol w:w="1184"/>
        <w:gridCol w:w="1385"/>
        <w:gridCol w:w="2784"/>
      </w:tblGrid>
      <w:tr w:rsidR="00E3599D" w:rsidRPr="00E14102" w14:paraId="7260ECC1"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1B26AE" w14:textId="77777777" w:rsidR="00D30265" w:rsidRPr="00E14102" w:rsidRDefault="00D30265" w:rsidP="00E14102">
            <w:pPr>
              <w:jc w:val="both"/>
              <w:rPr>
                <w:color w:val="000000" w:themeColor="text1"/>
                <w:sz w:val="16"/>
                <w:szCs w:val="16"/>
              </w:rPr>
            </w:pPr>
            <w:r w:rsidRPr="00E14102">
              <w:rPr>
                <w:color w:val="000000" w:themeColor="text1"/>
                <w:sz w:val="16"/>
                <w:szCs w:val="16"/>
              </w:rPr>
              <w:t>Категории работы⁷*</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EA7D20D" w14:textId="77777777" w:rsidR="00D30265" w:rsidRPr="00E14102" w:rsidRDefault="00D30265" w:rsidP="00E14102">
            <w:pPr>
              <w:jc w:val="both"/>
              <w:rPr>
                <w:color w:val="000000" w:themeColor="text1"/>
                <w:sz w:val="16"/>
                <w:szCs w:val="16"/>
              </w:rPr>
            </w:pPr>
            <w:r w:rsidRPr="00E14102">
              <w:rPr>
                <w:color w:val="000000" w:themeColor="text1"/>
                <w:sz w:val="16"/>
                <w:szCs w:val="16"/>
              </w:rPr>
              <w:t>1933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7322BD8" w14:textId="77777777" w:rsidR="00D30265" w:rsidRPr="00E14102" w:rsidRDefault="00D30265" w:rsidP="00E14102">
            <w:pPr>
              <w:jc w:val="both"/>
              <w:rPr>
                <w:color w:val="000000" w:themeColor="text1"/>
                <w:sz w:val="16"/>
                <w:szCs w:val="16"/>
              </w:rPr>
            </w:pPr>
            <w:r w:rsidRPr="00E14102">
              <w:rPr>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C8BF55" w14:textId="77777777" w:rsidR="00D30265" w:rsidRPr="00E14102" w:rsidRDefault="00D30265" w:rsidP="00E14102">
            <w:pPr>
              <w:jc w:val="both"/>
              <w:rPr>
                <w:color w:val="000000" w:themeColor="text1"/>
                <w:sz w:val="16"/>
                <w:szCs w:val="16"/>
              </w:rPr>
            </w:pPr>
            <w:r w:rsidRPr="00E14102">
              <w:rPr>
                <w:color w:val="000000" w:themeColor="text1"/>
                <w:sz w:val="16"/>
                <w:szCs w:val="16"/>
              </w:rPr>
              <w:t>1934 г. в процентах</w:t>
            </w:r>
          </w:p>
        </w:tc>
      </w:tr>
      <w:tr w:rsidR="00E3599D" w:rsidRPr="00E14102" w14:paraId="0BC2D8B7"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B678FE4" w14:textId="77777777" w:rsidR="00D30265" w:rsidRPr="00E14102" w:rsidRDefault="00D30265" w:rsidP="00E14102">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F07E756" w14:textId="77777777" w:rsidR="00D30265" w:rsidRPr="00E14102" w:rsidRDefault="00D30265"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4288FD" w14:textId="77777777" w:rsidR="00D30265" w:rsidRPr="00E14102" w:rsidRDefault="00D30265" w:rsidP="00E14102">
            <w:pPr>
              <w:jc w:val="both"/>
              <w:rPr>
                <w:color w:val="000000" w:themeColor="text1"/>
                <w:sz w:val="16"/>
                <w:szCs w:val="16"/>
              </w:rPr>
            </w:pPr>
            <w:r w:rsidRPr="00E14102">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E14F8" w14:textId="77777777" w:rsidR="00D30265" w:rsidRPr="00E14102" w:rsidRDefault="00D30265" w:rsidP="00E14102">
            <w:pPr>
              <w:jc w:val="both"/>
              <w:rPr>
                <w:color w:val="000000" w:themeColor="text1"/>
                <w:sz w:val="16"/>
                <w:szCs w:val="16"/>
              </w:rPr>
            </w:pPr>
            <w:r w:rsidRPr="00E14102">
              <w:rPr>
                <w:color w:val="000000" w:themeColor="text1"/>
                <w:sz w:val="16"/>
                <w:szCs w:val="16"/>
              </w:rPr>
              <w:t>Отчет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75DBE" w14:textId="77777777" w:rsidR="00D30265" w:rsidRPr="00E14102" w:rsidRDefault="00D30265" w:rsidP="00E14102">
            <w:pPr>
              <w:jc w:val="both"/>
              <w:rPr>
                <w:color w:val="000000" w:themeColor="text1"/>
                <w:sz w:val="16"/>
                <w:szCs w:val="16"/>
              </w:rPr>
            </w:pPr>
            <w:r w:rsidRPr="00E14102">
              <w:rPr>
                <w:color w:val="000000" w:themeColor="text1"/>
                <w:sz w:val="16"/>
                <w:szCs w:val="16"/>
              </w:rPr>
              <w:t>к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3E7DC" w14:textId="77777777" w:rsidR="00D30265" w:rsidRPr="00E14102" w:rsidRDefault="00D30265" w:rsidP="00E14102">
            <w:pPr>
              <w:jc w:val="both"/>
              <w:rPr>
                <w:color w:val="000000" w:themeColor="text1"/>
                <w:sz w:val="16"/>
                <w:szCs w:val="16"/>
              </w:rPr>
            </w:pPr>
            <w:r w:rsidRPr="00E14102">
              <w:rPr>
                <w:color w:val="000000" w:themeColor="text1"/>
                <w:sz w:val="16"/>
                <w:szCs w:val="16"/>
              </w:rPr>
              <w:t>к отчету 1933 г.</w:t>
            </w:r>
          </w:p>
        </w:tc>
      </w:tr>
      <w:tr w:rsidR="00E3599D" w:rsidRPr="00E14102" w14:paraId="6BAC83E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009D47" w14:textId="77777777" w:rsidR="00D30265" w:rsidRPr="00E14102" w:rsidRDefault="00D30265" w:rsidP="00E14102">
            <w:pPr>
              <w:jc w:val="both"/>
              <w:rPr>
                <w:color w:val="000000" w:themeColor="text1"/>
                <w:sz w:val="16"/>
                <w:szCs w:val="16"/>
              </w:rPr>
            </w:pPr>
            <w:r w:rsidRPr="00E14102">
              <w:rPr>
                <w:color w:val="000000" w:themeColor="text1"/>
                <w:sz w:val="16"/>
                <w:szCs w:val="16"/>
              </w:rPr>
              <w:t>Рабочие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E7A7F" w14:textId="77777777" w:rsidR="00D30265" w:rsidRPr="00E14102" w:rsidRDefault="00D30265" w:rsidP="00E14102">
            <w:pPr>
              <w:jc w:val="both"/>
              <w:rPr>
                <w:color w:val="000000" w:themeColor="text1"/>
                <w:sz w:val="16"/>
                <w:szCs w:val="16"/>
              </w:rPr>
            </w:pPr>
            <w:r w:rsidRPr="00E14102">
              <w:rPr>
                <w:color w:val="000000" w:themeColor="text1"/>
                <w:sz w:val="16"/>
                <w:szCs w:val="16"/>
              </w:rPr>
              <w:t>20 383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E1B79" w14:textId="77777777" w:rsidR="00D30265" w:rsidRPr="00E14102" w:rsidRDefault="00D30265" w:rsidP="00E14102">
            <w:pPr>
              <w:jc w:val="both"/>
              <w:rPr>
                <w:color w:val="000000" w:themeColor="text1"/>
                <w:sz w:val="16"/>
                <w:szCs w:val="16"/>
              </w:rPr>
            </w:pPr>
            <w:r w:rsidRPr="00E14102">
              <w:rPr>
                <w:color w:val="000000" w:themeColor="text1"/>
                <w:sz w:val="16"/>
                <w:szCs w:val="16"/>
              </w:rPr>
              <w:t>26 151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0D9C7" w14:textId="77777777" w:rsidR="00D30265" w:rsidRPr="00E14102" w:rsidRDefault="00D30265" w:rsidP="00E14102">
            <w:pPr>
              <w:jc w:val="both"/>
              <w:rPr>
                <w:color w:val="000000" w:themeColor="text1"/>
                <w:sz w:val="16"/>
                <w:szCs w:val="16"/>
              </w:rPr>
            </w:pPr>
            <w:r w:rsidRPr="00E14102">
              <w:rPr>
                <w:color w:val="000000" w:themeColor="text1"/>
                <w:sz w:val="16"/>
                <w:szCs w:val="16"/>
              </w:rPr>
              <w:t>25 409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FABFF" w14:textId="77777777" w:rsidR="00D30265" w:rsidRPr="00E14102" w:rsidRDefault="00D30265" w:rsidP="00E14102">
            <w:pPr>
              <w:jc w:val="both"/>
              <w:rPr>
                <w:color w:val="000000" w:themeColor="text1"/>
                <w:sz w:val="16"/>
                <w:szCs w:val="16"/>
              </w:rPr>
            </w:pPr>
            <w:r w:rsidRPr="00E14102">
              <w:rPr>
                <w:color w:val="000000" w:themeColor="text1"/>
                <w:sz w:val="16"/>
                <w:szCs w:val="16"/>
              </w:rPr>
              <w:t>97,2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5FD20" w14:textId="77777777" w:rsidR="00D30265" w:rsidRPr="00E14102" w:rsidRDefault="00D30265" w:rsidP="00E14102">
            <w:pPr>
              <w:jc w:val="both"/>
              <w:rPr>
                <w:color w:val="000000" w:themeColor="text1"/>
                <w:sz w:val="16"/>
                <w:szCs w:val="16"/>
              </w:rPr>
            </w:pPr>
            <w:r w:rsidRPr="00E14102">
              <w:rPr>
                <w:color w:val="000000" w:themeColor="text1"/>
                <w:sz w:val="16"/>
                <w:szCs w:val="16"/>
              </w:rPr>
              <w:t>124,7</w:t>
            </w:r>
          </w:p>
        </w:tc>
      </w:tr>
      <w:tr w:rsidR="00E3599D" w:rsidRPr="00E14102" w14:paraId="7BCEC76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4D0624" w14:textId="77777777" w:rsidR="00D30265" w:rsidRPr="00E14102" w:rsidRDefault="00D30265" w:rsidP="00E14102">
            <w:pPr>
              <w:jc w:val="both"/>
              <w:rPr>
                <w:color w:val="000000" w:themeColor="text1"/>
                <w:sz w:val="16"/>
                <w:szCs w:val="16"/>
              </w:rPr>
            </w:pPr>
            <w:r w:rsidRPr="00E14102">
              <w:rPr>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16906" w14:textId="77777777" w:rsidR="00D30265" w:rsidRPr="00E14102" w:rsidRDefault="00D30265" w:rsidP="00E14102">
            <w:pPr>
              <w:jc w:val="both"/>
              <w:rPr>
                <w:color w:val="000000" w:themeColor="text1"/>
                <w:sz w:val="16"/>
                <w:szCs w:val="16"/>
              </w:rPr>
            </w:pPr>
            <w:r w:rsidRPr="00E14102">
              <w:rPr>
                <w:color w:val="000000" w:themeColor="text1"/>
                <w:sz w:val="16"/>
                <w:szCs w:val="16"/>
              </w:rPr>
              <w:t>2290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6CBC5" w14:textId="77777777" w:rsidR="00D30265" w:rsidRPr="00E14102" w:rsidRDefault="00D30265" w:rsidP="00E14102">
            <w:pPr>
              <w:jc w:val="both"/>
              <w:rPr>
                <w:color w:val="000000" w:themeColor="text1"/>
                <w:sz w:val="16"/>
                <w:szCs w:val="16"/>
              </w:rPr>
            </w:pPr>
            <w:r w:rsidRPr="00E14102">
              <w:rPr>
                <w:color w:val="000000" w:themeColor="text1"/>
                <w:sz w:val="16"/>
                <w:szCs w:val="16"/>
              </w:rPr>
              <w:t>2801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40E11" w14:textId="77777777" w:rsidR="00D30265" w:rsidRPr="00E14102" w:rsidRDefault="00D30265" w:rsidP="00E14102">
            <w:pPr>
              <w:jc w:val="both"/>
              <w:rPr>
                <w:color w:val="000000" w:themeColor="text1"/>
                <w:sz w:val="16"/>
                <w:szCs w:val="16"/>
              </w:rPr>
            </w:pPr>
            <w:r w:rsidRPr="00E14102">
              <w:rPr>
                <w:color w:val="000000" w:themeColor="text1"/>
                <w:sz w:val="16"/>
                <w:szCs w:val="16"/>
              </w:rPr>
              <w:t>26,02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CA9A5" w14:textId="77777777" w:rsidR="00D30265" w:rsidRPr="00E14102" w:rsidRDefault="00D30265" w:rsidP="00E14102">
            <w:pPr>
              <w:jc w:val="both"/>
              <w:rPr>
                <w:color w:val="000000" w:themeColor="text1"/>
                <w:sz w:val="16"/>
                <w:szCs w:val="16"/>
              </w:rPr>
            </w:pPr>
            <w:r w:rsidRPr="00E14102">
              <w:rPr>
                <w:color w:val="000000" w:themeColor="text1"/>
                <w:sz w:val="16"/>
                <w:szCs w:val="16"/>
              </w:rPr>
              <w:t>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5085E" w14:textId="77777777" w:rsidR="00D30265" w:rsidRPr="00E14102" w:rsidRDefault="00D30265" w:rsidP="00E14102">
            <w:pPr>
              <w:jc w:val="both"/>
              <w:rPr>
                <w:color w:val="000000" w:themeColor="text1"/>
                <w:sz w:val="16"/>
                <w:szCs w:val="16"/>
              </w:rPr>
            </w:pPr>
            <w:r w:rsidRPr="00E14102">
              <w:rPr>
                <w:color w:val="000000" w:themeColor="text1"/>
                <w:sz w:val="16"/>
                <w:szCs w:val="16"/>
              </w:rPr>
              <w:t>113,6</w:t>
            </w:r>
          </w:p>
        </w:tc>
      </w:tr>
      <w:tr w:rsidR="00E3599D" w:rsidRPr="00E14102" w14:paraId="55ECF32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5932A" w14:textId="77777777" w:rsidR="00D30265" w:rsidRPr="00E14102" w:rsidRDefault="00D30265" w:rsidP="00E14102">
            <w:pPr>
              <w:jc w:val="both"/>
              <w:rPr>
                <w:color w:val="000000" w:themeColor="text1"/>
                <w:sz w:val="16"/>
                <w:szCs w:val="16"/>
              </w:rPr>
            </w:pPr>
            <w:r w:rsidRPr="00E14102">
              <w:rPr>
                <w:color w:val="000000" w:themeColor="text1"/>
                <w:sz w:val="16"/>
                <w:szCs w:val="16"/>
              </w:rPr>
              <w:t>Служащие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B81C2" w14:textId="77777777" w:rsidR="00D30265" w:rsidRPr="00E14102" w:rsidRDefault="00D30265" w:rsidP="00E14102">
            <w:pPr>
              <w:jc w:val="both"/>
              <w:rPr>
                <w:color w:val="000000" w:themeColor="text1"/>
                <w:sz w:val="16"/>
                <w:szCs w:val="16"/>
              </w:rPr>
            </w:pPr>
            <w:r w:rsidRPr="00E14102">
              <w:rPr>
                <w:color w:val="000000" w:themeColor="text1"/>
                <w:sz w:val="16"/>
                <w:szCs w:val="16"/>
              </w:rPr>
              <w:t>2070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DBE99" w14:textId="77777777" w:rsidR="00D30265" w:rsidRPr="00E14102" w:rsidRDefault="00D30265" w:rsidP="00E14102">
            <w:pPr>
              <w:jc w:val="both"/>
              <w:rPr>
                <w:color w:val="000000" w:themeColor="text1"/>
                <w:sz w:val="16"/>
                <w:szCs w:val="16"/>
              </w:rPr>
            </w:pPr>
            <w:r w:rsidRPr="00E14102">
              <w:rPr>
                <w:color w:val="000000" w:themeColor="text1"/>
                <w:sz w:val="16"/>
                <w:szCs w:val="16"/>
              </w:rPr>
              <w:t>2046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5EC97" w14:textId="77777777" w:rsidR="00D30265" w:rsidRPr="00E14102" w:rsidRDefault="00D30265" w:rsidP="00E14102">
            <w:pPr>
              <w:jc w:val="both"/>
              <w:rPr>
                <w:color w:val="000000" w:themeColor="text1"/>
                <w:sz w:val="16"/>
                <w:szCs w:val="16"/>
              </w:rPr>
            </w:pPr>
            <w:r w:rsidRPr="00E14102">
              <w:rPr>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2441B" w14:textId="77777777" w:rsidR="00D30265" w:rsidRPr="00E14102" w:rsidRDefault="00D30265" w:rsidP="00E14102">
            <w:pPr>
              <w:jc w:val="both"/>
              <w:rPr>
                <w:color w:val="000000" w:themeColor="text1"/>
                <w:sz w:val="16"/>
                <w:szCs w:val="16"/>
              </w:rPr>
            </w:pPr>
            <w:r w:rsidRPr="00E14102">
              <w:rPr>
                <w:color w:val="000000" w:themeColor="text1"/>
                <w:sz w:val="16"/>
                <w:szCs w:val="16"/>
              </w:rPr>
              <w:t>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BA52F" w14:textId="77777777" w:rsidR="00D30265" w:rsidRPr="00E14102" w:rsidRDefault="00D30265" w:rsidP="00E14102">
            <w:pPr>
              <w:jc w:val="both"/>
              <w:rPr>
                <w:color w:val="000000" w:themeColor="text1"/>
                <w:sz w:val="16"/>
                <w:szCs w:val="16"/>
              </w:rPr>
            </w:pPr>
            <w:r w:rsidRPr="00E14102">
              <w:rPr>
                <w:color w:val="000000" w:themeColor="text1"/>
                <w:sz w:val="16"/>
                <w:szCs w:val="16"/>
              </w:rPr>
              <w:t>93,6</w:t>
            </w:r>
          </w:p>
        </w:tc>
      </w:tr>
      <w:tr w:rsidR="00E3599D" w:rsidRPr="00E14102" w14:paraId="4BE336F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38513D" w14:textId="77777777" w:rsidR="00D30265" w:rsidRPr="00E14102" w:rsidRDefault="00D30265" w:rsidP="00E14102">
            <w:pPr>
              <w:jc w:val="both"/>
              <w:rPr>
                <w:color w:val="000000" w:themeColor="text1"/>
                <w:sz w:val="16"/>
                <w:szCs w:val="16"/>
              </w:rPr>
            </w:pPr>
            <w:r w:rsidRPr="00E14102">
              <w:rPr>
                <w:color w:val="000000" w:themeColor="text1"/>
                <w:sz w:val="16"/>
                <w:szCs w:val="16"/>
              </w:rPr>
              <w:t>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194F5" w14:textId="77777777" w:rsidR="00D30265" w:rsidRPr="00E14102" w:rsidRDefault="00D30265" w:rsidP="00E14102">
            <w:pPr>
              <w:jc w:val="both"/>
              <w:rPr>
                <w:color w:val="000000" w:themeColor="text1"/>
                <w:sz w:val="16"/>
                <w:szCs w:val="16"/>
              </w:rPr>
            </w:pPr>
            <w:r w:rsidRPr="00E14102">
              <w:rPr>
                <w:color w:val="000000" w:themeColor="text1"/>
                <w:sz w:val="16"/>
                <w:szCs w:val="16"/>
              </w:rPr>
              <w:t>1247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C6853" w14:textId="77777777" w:rsidR="00D30265" w:rsidRPr="00E14102" w:rsidRDefault="00D30265" w:rsidP="00E14102">
            <w:pPr>
              <w:jc w:val="both"/>
              <w:rPr>
                <w:color w:val="000000" w:themeColor="text1"/>
                <w:sz w:val="16"/>
                <w:szCs w:val="16"/>
              </w:rPr>
            </w:pPr>
            <w:r w:rsidRPr="00E14102">
              <w:rPr>
                <w:color w:val="000000" w:themeColor="text1"/>
                <w:sz w:val="16"/>
                <w:szCs w:val="16"/>
              </w:rPr>
              <w:t>1539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B1284" w14:textId="77777777" w:rsidR="00D30265" w:rsidRPr="00E14102" w:rsidRDefault="00D30265" w:rsidP="00E14102">
            <w:pPr>
              <w:jc w:val="both"/>
              <w:rPr>
                <w:color w:val="000000" w:themeColor="text1"/>
                <w:sz w:val="16"/>
                <w:szCs w:val="16"/>
              </w:rPr>
            </w:pPr>
            <w:r w:rsidRPr="00E14102">
              <w:rPr>
                <w:color w:val="000000" w:themeColor="text1"/>
                <w:sz w:val="16"/>
                <w:szCs w:val="16"/>
              </w:rPr>
              <w:t>1479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22E0A" w14:textId="77777777" w:rsidR="00D30265" w:rsidRPr="00E14102" w:rsidRDefault="00D30265" w:rsidP="00E14102">
            <w:pPr>
              <w:jc w:val="both"/>
              <w:rPr>
                <w:color w:val="000000" w:themeColor="text1"/>
                <w:sz w:val="16"/>
                <w:szCs w:val="16"/>
              </w:rPr>
            </w:pPr>
            <w:r w:rsidRPr="00E14102">
              <w:rPr>
                <w:color w:val="000000" w:themeColor="text1"/>
                <w:sz w:val="16"/>
                <w:szCs w:val="16"/>
              </w:rPr>
              <w:t>96,1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D188A" w14:textId="77777777" w:rsidR="00D30265" w:rsidRPr="00E14102" w:rsidRDefault="00D30265" w:rsidP="00E14102">
            <w:pPr>
              <w:jc w:val="both"/>
              <w:rPr>
                <w:color w:val="000000" w:themeColor="text1"/>
                <w:sz w:val="16"/>
                <w:szCs w:val="16"/>
              </w:rPr>
            </w:pPr>
            <w:r w:rsidRPr="00E14102">
              <w:rPr>
                <w:color w:val="000000" w:themeColor="text1"/>
                <w:sz w:val="16"/>
                <w:szCs w:val="16"/>
              </w:rPr>
              <w:t>118,6</w:t>
            </w:r>
          </w:p>
        </w:tc>
      </w:tr>
      <w:tr w:rsidR="00E3599D" w:rsidRPr="00E14102" w14:paraId="6279350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C114A5" w14:textId="77777777" w:rsidR="00D30265" w:rsidRPr="00E14102" w:rsidRDefault="00D30265" w:rsidP="00E14102">
            <w:pPr>
              <w:jc w:val="both"/>
              <w:rPr>
                <w:color w:val="000000" w:themeColor="text1"/>
                <w:sz w:val="16"/>
                <w:szCs w:val="16"/>
              </w:rPr>
            </w:pPr>
            <w:r w:rsidRPr="00E14102">
              <w:rPr>
                <w:color w:val="000000" w:themeColor="text1"/>
                <w:sz w:val="16"/>
                <w:szCs w:val="16"/>
              </w:rPr>
              <w:t>Учен[ики]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1F980" w14:textId="77777777" w:rsidR="00D30265" w:rsidRPr="00E14102" w:rsidRDefault="00D30265" w:rsidP="00E14102">
            <w:pPr>
              <w:jc w:val="both"/>
              <w:rPr>
                <w:color w:val="000000" w:themeColor="text1"/>
                <w:sz w:val="16"/>
                <w:szCs w:val="16"/>
              </w:rPr>
            </w:pPr>
            <w:r w:rsidRPr="00E14102">
              <w:rPr>
                <w:color w:val="000000" w:themeColor="text1"/>
                <w:sz w:val="16"/>
                <w:szCs w:val="16"/>
              </w:rPr>
              <w:t>1752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D6B22" w14:textId="77777777" w:rsidR="00D30265" w:rsidRPr="00E14102" w:rsidRDefault="00D30265" w:rsidP="00E14102">
            <w:pPr>
              <w:jc w:val="both"/>
              <w:rPr>
                <w:color w:val="000000" w:themeColor="text1"/>
                <w:sz w:val="16"/>
                <w:szCs w:val="16"/>
              </w:rPr>
            </w:pPr>
            <w:r w:rsidRPr="00E14102">
              <w:rPr>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3C3B4" w14:textId="77777777" w:rsidR="00D30265" w:rsidRPr="00E14102" w:rsidRDefault="00D30265" w:rsidP="00E14102">
            <w:pPr>
              <w:jc w:val="both"/>
              <w:rPr>
                <w:color w:val="000000" w:themeColor="text1"/>
                <w:sz w:val="16"/>
                <w:szCs w:val="16"/>
              </w:rPr>
            </w:pPr>
            <w:r w:rsidRPr="00E14102">
              <w:rPr>
                <w:color w:val="000000" w:themeColor="text1"/>
                <w:sz w:val="16"/>
                <w:szCs w:val="16"/>
              </w:rPr>
              <w:t>1148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7ADC0" w14:textId="77777777" w:rsidR="00D30265" w:rsidRPr="00E14102" w:rsidRDefault="00D30265" w:rsidP="00E14102">
            <w:pPr>
              <w:jc w:val="both"/>
              <w:rPr>
                <w:color w:val="000000" w:themeColor="text1"/>
                <w:sz w:val="16"/>
                <w:szCs w:val="16"/>
              </w:rPr>
            </w:pPr>
            <w:r w:rsidRPr="00E14102">
              <w:rPr>
                <w:color w:val="000000" w:themeColor="text1"/>
                <w:sz w:val="16"/>
                <w:szCs w:val="16"/>
              </w:rPr>
              <w:t>63,8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18507" w14:textId="77777777" w:rsidR="00D30265" w:rsidRPr="00E14102" w:rsidRDefault="00D30265" w:rsidP="00E14102">
            <w:pPr>
              <w:jc w:val="both"/>
              <w:rPr>
                <w:color w:val="000000" w:themeColor="text1"/>
                <w:sz w:val="16"/>
                <w:szCs w:val="16"/>
              </w:rPr>
            </w:pPr>
            <w:r w:rsidRPr="00E14102">
              <w:rPr>
                <w:color w:val="000000" w:themeColor="text1"/>
                <w:sz w:val="16"/>
                <w:szCs w:val="16"/>
              </w:rPr>
              <w:t>65,5</w:t>
            </w:r>
          </w:p>
        </w:tc>
      </w:tr>
    </w:tbl>
    <w:p w14:paraId="5EF56048"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Численность работающего состава за 1933 и 1934 г. пересчитана, согласно инструкции Центрального сектора труда НКТП и ЦОЭС НКТП № 15/4-49, а также специального указания спецгруппы ЦОЭС НКТП от⁸* за №. Численность работающего состава включает и завод № 98, который ранее Главхимпромом в годовой план по труду не был включен.</w:t>
      </w:r>
    </w:p>
    <w:p w14:paraId="067B9036"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Утвержденный по тресту план в части валовой продукции не подвергался никаким корректировкам, за исключением лишь методологического исправления в части незавершенного производства. 20 января 1935 г. за № 04-23 г. от Главхимпрома получено указание, что изменение незавершенного производства по плану должно быть построено, исходя из того, что фактический остаток на 1 января 1934 г. и выходной на 1 января 1935 г. (по плану) по обоим годам включали стоимость корпусов. Благодаря этому общий размер валовой продукции уменьшился на 7,4 млн. руб. Это уменьшение валовой продукции на численности рабсилы отражения не имеет, так как это связано исключительно с корпусами, последует лишь изменение выработки на 1 рабочего.</w:t>
      </w:r>
    </w:p>
    <w:p w14:paraId="4D582A3A"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Все показатели в части выработки и валового выпуска построены исключительно, включая стоимость корпусов, в соответствии с отчетными данными⁹*.</w:t>
      </w:r>
    </w:p>
    <w:p w14:paraId="4A58DF44" w14:textId="77777777" w:rsidR="00D30265" w:rsidRPr="00E14102" w:rsidRDefault="00D30265"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Начальник Вохимтреста А.</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Сырцов</w:t>
      </w:r>
    </w:p>
    <w:p w14:paraId="4E7A18A2" w14:textId="77777777" w:rsidR="00D30265" w:rsidRPr="00E14102" w:rsidRDefault="00D30265"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Главный бухгалтер Макаров</w:t>
      </w:r>
    </w:p>
    <w:p w14:paraId="3D0FCC07" w14:textId="77777777" w:rsidR="00D30265" w:rsidRPr="00E14102" w:rsidRDefault="00D30265"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221305D5"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¹* Цифра исправлена от руки, первоначально — 380,4 млн. руб. Все расчетные итоги далее также исправлены от руки.</w:t>
      </w:r>
    </w:p>
    <w:p w14:paraId="4ED37553"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²* Таблица не публикуется (см. там же, л. 14</w:t>
      </w:r>
      <w:r w:rsidRPr="00E14102">
        <w:rPr>
          <w:color w:val="000000" w:themeColor="text1"/>
          <w:sz w:val="16"/>
          <w:szCs w:val="16"/>
        </w:rPr>
        <w:noBreakHyphen/>
        <w:t>15).</w:t>
      </w:r>
    </w:p>
    <w:p w14:paraId="2148CCCB"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³* Так в тексте.</w:t>
      </w:r>
    </w:p>
    <w:p w14:paraId="00E540D8"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⁴* Сведения даны в виде нумерованного списка.</w:t>
      </w:r>
    </w:p>
    <w:p w14:paraId="75F561AD"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⁵* Опущены сведения о выполнении программы отдельными заводами.</w:t>
      </w:r>
    </w:p>
    <w:p w14:paraId="61B1276D"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⁶* Опущены разделы: «По энергохозяйству», «По технике безопасности»; «II. Себестоимость».</w:t>
      </w:r>
    </w:p>
    <w:p w14:paraId="64427675"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⁷* Так в тексте. По-видимому, имеются в виду категории работников.</w:t>
      </w:r>
    </w:p>
    <w:p w14:paraId="64C75BFD"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⁸* Дата и номер указания в тексте отсутствуют.</w:t>
      </w:r>
    </w:p>
    <w:p w14:paraId="4F20F1EB" w14:textId="77777777" w:rsidR="00D30265" w:rsidRPr="00E14102" w:rsidRDefault="00D30265" w:rsidP="00E14102">
      <w:pPr>
        <w:pStyle w:val="rtejustify"/>
        <w:spacing w:before="0" w:after="0"/>
        <w:rPr>
          <w:color w:val="000000" w:themeColor="text1"/>
          <w:sz w:val="16"/>
          <w:szCs w:val="16"/>
        </w:rPr>
      </w:pPr>
      <w:r w:rsidRPr="00E14102">
        <w:rPr>
          <w:color w:val="000000" w:themeColor="text1"/>
          <w:sz w:val="16"/>
          <w:szCs w:val="16"/>
        </w:rPr>
        <w:t>⁹* Опущены разделы: «Текучесть рабочей силы»; «Трудовая дисциплина»; «Уплотнение рабочего дня»; «Организация труда и техническое нормирование»; «Установление и пересмотр норм»; «Производительность труда»; «Заработная плата и использование фондов»; «Тарифная дисциплина»; «Кадры и культурно-бытовые условия»; «Жилищные условия»; «Культурно-бытовое и социальное обслуживание»; «Материальное снабжение»; «IV. Снабжение»; «Топливо»; «Выполнение плана сбыта мирной продукции за 1934 г.»; «V. Финансовое состояние и контроль рублем»; «VI. Реальность отчета за 1934 г.»; «VII. Проведение отчетной кампании за 1934 г.»; «VIII. Состояние учета и отчетности».</w:t>
      </w:r>
    </w:p>
    <w:p w14:paraId="3DEDAB9F" w14:textId="77777777" w:rsidR="00D30265" w:rsidRPr="00E14102" w:rsidRDefault="00D30265"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8318. Оп. 1. Д. 370. Л. 51-58, 65. Подлинник.</w:t>
      </w:r>
    </w:p>
    <w:p w14:paraId="61DDD823" w14:textId="77777777" w:rsidR="00D30265" w:rsidRPr="00E14102" w:rsidRDefault="00D30265" w:rsidP="00E14102">
      <w:pPr>
        <w:pStyle w:val="rtejustify"/>
        <w:spacing w:before="0" w:after="0"/>
        <w:rPr>
          <w:color w:val="000000" w:themeColor="text1"/>
          <w:sz w:val="16"/>
          <w:szCs w:val="16"/>
        </w:rPr>
      </w:pPr>
    </w:p>
    <w:p w14:paraId="16B9ADB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6C4996F3" w14:textId="77777777" w:rsidR="00D4105E" w:rsidRPr="00E14102" w:rsidRDefault="00D4105E" w:rsidP="00E14102">
      <w:pPr>
        <w:autoSpaceDE w:val="0"/>
        <w:autoSpaceDN w:val="0"/>
        <w:adjustRightInd w:val="0"/>
        <w:jc w:val="both"/>
        <w:rPr>
          <w:iCs/>
          <w:color w:val="000000" w:themeColor="text1"/>
          <w:sz w:val="16"/>
          <w:szCs w:val="16"/>
        </w:rPr>
      </w:pPr>
    </w:p>
    <w:p w14:paraId="5E30C9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февраля 1935 Морские силы Дальнего Востока, созданные в апреле 1932, стали Тихоокеанским флотом (359,109).</w:t>
      </w:r>
    </w:p>
    <w:p w14:paraId="10BBDD67" w14:textId="77777777" w:rsidR="00D4105E" w:rsidRPr="00E14102" w:rsidRDefault="00D4105E" w:rsidP="00E14102">
      <w:pPr>
        <w:autoSpaceDE w:val="0"/>
        <w:autoSpaceDN w:val="0"/>
        <w:adjustRightInd w:val="0"/>
        <w:jc w:val="both"/>
        <w:rPr>
          <w:color w:val="000000" w:themeColor="text1"/>
          <w:sz w:val="16"/>
          <w:szCs w:val="16"/>
        </w:rPr>
      </w:pPr>
    </w:p>
    <w:p w14:paraId="122976E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BC38EDA" w14:textId="77777777" w:rsidR="00D4105E" w:rsidRPr="00E14102" w:rsidRDefault="00D4105E" w:rsidP="00E14102">
      <w:pPr>
        <w:autoSpaceDE w:val="0"/>
        <w:autoSpaceDN w:val="0"/>
        <w:adjustRightInd w:val="0"/>
        <w:jc w:val="both"/>
        <w:rPr>
          <w:iCs/>
          <w:color w:val="000000" w:themeColor="text1"/>
          <w:sz w:val="16"/>
          <w:szCs w:val="16"/>
        </w:rPr>
      </w:pPr>
    </w:p>
    <w:p w14:paraId="784C22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февраля 1935 Нач. секр. части ЦКБ Васильева писала в НОТО ГУАП Машкевичу письмо (вход. 1831а331 от 14 февраля 1935):</w:t>
      </w:r>
    </w:p>
    <w:p w14:paraId="1BD84C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распоряжению т. С.В.И. Секретная часть ЦКБ при сем направляет для сведения копию протокола Совещания Макетной Комиссии от 29 декабря 1934 в ЦКБ завода 39, под председательством т. Лаврова по самолету ЦКБ-26 (ББ).</w:t>
      </w:r>
    </w:p>
    <w:p w14:paraId="540A32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 копия протокола на 3-х л." (2337,184).</w:t>
      </w:r>
    </w:p>
    <w:p w14:paraId="26524F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декабря 1934 макетная комиссия утвердила макет ЦКБ-26 (24,83).</w:t>
      </w:r>
    </w:p>
    <w:p w14:paraId="3EB262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"Протокол</w:t>
      </w:r>
    </w:p>
    <w:p w14:paraId="5C6E4E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Совещания Макетной Комиссии от 29 декабря 1934 в ЦКБ Зав. 39 по самолету ББ (ЦКБ-26) (2337,183).</w:t>
      </w:r>
    </w:p>
    <w:p w14:paraId="0EB6A3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Присутствовали: от УВВС и НИИ ВВС</w:t>
      </w:r>
    </w:p>
    <w:p w14:paraId="0F9BA8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ab/>
        <w:t>Лавров, Аузан, Коробов, Лебедев, Петров,</w:t>
      </w:r>
    </w:p>
    <w:p w14:paraId="6193C6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ab/>
        <w:t>Жемчужин, Никольский, Чернявский, Неустроев,</w:t>
      </w:r>
    </w:p>
    <w:p w14:paraId="7D3F39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ab/>
        <w:t>Емельянов, Мосолов</w:t>
      </w:r>
    </w:p>
    <w:p w14:paraId="7D7AEF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ab/>
        <w:t>от завода 39 - Калганов, Ильюшин, Сеньков,</w:t>
      </w:r>
    </w:p>
    <w:p w14:paraId="7053F8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ab/>
        <w:t>Мальцев, Бажанов, Суздальцев, Левин, Карасев</w:t>
      </w:r>
    </w:p>
    <w:p w14:paraId="606760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Постановили:</w:t>
      </w:r>
    </w:p>
    <w:p w14:paraId="78FE4E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летным данным.</w:t>
      </w:r>
    </w:p>
    <w:p w14:paraId="4F1355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Посадочную скорость согласно эскизного проекта 96 километров в час - утвердить.</w:t>
      </w:r>
    </w:p>
    <w:p w14:paraId="33C05E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Макет утвердить со следующими изменениями:</w:t>
      </w:r>
    </w:p>
    <w:p w14:paraId="75F29D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 По бомбардировочному вооружению:</w:t>
      </w:r>
    </w:p>
    <w:p w14:paraId="779658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Вместо СБР-1 установить ЭСБР-2 с установкой новой конструкции сигнализации сброшенных бомб.</w:t>
      </w:r>
    </w:p>
    <w:p w14:paraId="5DD1AC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принять заявление ЦКБ о том, что для подъема тяжелых бомб устанавливается лебедка КД 2 с полиспастом.</w:t>
      </w:r>
    </w:p>
    <w:p w14:paraId="4FC3C5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По аэронавигации.</w:t>
      </w:r>
    </w:p>
    <w:p w14:paraId="2476BC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 передней кабине часы, высотомер и указатель скорости переставить влево, вверх, назад, вне стрелковой установки.</w:t>
      </w:r>
    </w:p>
    <w:p w14:paraId="7A33EE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Трубку Пито передвинуть назад, с тем, чтобы она не мешала прицелу Герц.</w:t>
      </w:r>
    </w:p>
    <w:p w14:paraId="35494C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Указанные изменения на макете проверить Чернявскому.</w:t>
      </w:r>
    </w:p>
    <w:p w14:paraId="5816E5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III. По стрелковому вооружению.</w:t>
      </w:r>
    </w:p>
    <w:p w14:paraId="0174D4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Углы обстрела утвердить, согласно прилагаемой при сем схеме.</w:t>
      </w:r>
    </w:p>
    <w:p w14:paraId="7A0C83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IV. Радио.</w:t>
      </w:r>
    </w:p>
    <w:p w14:paraId="4D0BFC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Установить 13 СК-1.</w:t>
      </w:r>
    </w:p>
    <w:p w14:paraId="5FEF79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Приемник и передатчик подвинуть возможно ближе к заднему стрелку, опустив ее ниже на 30-40 мм.</w:t>
      </w:r>
    </w:p>
    <w:p w14:paraId="01219C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Установить распределительный щиток рации на левом борту, занизив тягу к рулю высоты.</w:t>
      </w:r>
    </w:p>
    <w:p w14:paraId="018DDA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Телеграфный ключ подвинуть на 100 мм вперед.</w:t>
      </w:r>
    </w:p>
    <w:p w14:paraId="3A075F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V. По электротехническому оборудованию.</w:t>
      </w:r>
    </w:p>
    <w:p w14:paraId="47EB2A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Вместо аккумулятора типа 6-АТ-IV устанавливать 6-АТИ-III.</w:t>
      </w:r>
    </w:p>
    <w:p w14:paraId="23DA12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Установку подкрыльных факелов осуществить убирающейся в плоскость.</w:t>
      </w:r>
    </w:p>
    <w:p w14:paraId="7FFDC0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Предусмотреть крепления для 2-х парашютных ракет типа ПАР-13И и светосигнального прибора АСИ-95, крепления должны допускать легкую съемность этих элементов в полете.</w:t>
      </w:r>
    </w:p>
    <w:p w14:paraId="44C68A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Габариты должен дать 29 сектор НИИ.</w:t>
      </w:r>
    </w:p>
    <w:p w14:paraId="0FCDBC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При электрообогреве экипажа учесть следующее:</w:t>
      </w:r>
    </w:p>
    <w:p w14:paraId="62B74A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во время работы передатчика радио пилот и стрелок из обогрева выключается, что должно автоматически обеспечиваться электросхемой.</w:t>
      </w:r>
    </w:p>
    <w:p w14:paraId="2CA2BA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Крепления для реостатов обогревательной одежды д.б. передвижными.</w:t>
      </w:r>
    </w:p>
    <w:p w14:paraId="79E952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кабине штурмана установить ящик для запасных предохранителей и ламп накаливания. Комплектацию должен указать 29 сектор НИИ.</w:t>
      </w:r>
    </w:p>
    <w:p w14:paraId="07208A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Питание электросигнализации подъема шасси осуществить от электросети самолета.</w:t>
      </w:r>
    </w:p>
    <w:p w14:paraId="06798F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VI. Обзор, летная кабина и друг.</w:t>
      </w:r>
    </w:p>
    <w:p w14:paraId="0080F2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Термопару перенести на место бензиномера, а на место термопары поставить термогаза.</w:t>
      </w:r>
    </w:p>
    <w:p w14:paraId="6DDEAD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Перенести манометры подъема шасси к кранам переключения, а на место манометров поставить планшет Писаренко.</w:t>
      </w:r>
    </w:p>
    <w:p w14:paraId="12B21D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В передней части фонаря летчика сделать с обеих сторон половины стекла подвижными. С левой стороны должен быть обеспечен сдвиг любой половины стекла.</w:t>
      </w:r>
    </w:p>
    <w:p w14:paraId="561ED6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Около кинжальной установки в фюзеляже желательно, для обзора вниз в бока, поставить застекленные окна.</w:t>
      </w:r>
    </w:p>
    <w:p w14:paraId="7804B9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Согласиться с предложением завода установить у летнаба и заднего стрелка прицепные парашюты.</w:t>
      </w:r>
    </w:p>
    <w:p w14:paraId="68410B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Согласиться, в связи с невозможностью сбора, с предложением не собирать стреляных гильз и звеньев на кинжальной установке.</w:t>
      </w:r>
    </w:p>
    <w:p w14:paraId="225891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Председатель Лавров</w:t>
      </w:r>
    </w:p>
    <w:p w14:paraId="3AC374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30.01.35 (2337,183).</w:t>
      </w:r>
    </w:p>
    <w:p w14:paraId="77688F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Есть мнение КБ, что бригада все же делала ставку на ДБ, а не ББ и продолжила постройку ЦКБ-26 несмотря на риск (3846,5).</w:t>
      </w:r>
    </w:p>
    <w:p w14:paraId="014F089F" w14:textId="77777777" w:rsidR="00D4105E" w:rsidRPr="00E14102" w:rsidRDefault="00D4105E" w:rsidP="00E14102">
      <w:pPr>
        <w:autoSpaceDE w:val="0"/>
        <w:autoSpaceDN w:val="0"/>
        <w:adjustRightInd w:val="0"/>
        <w:jc w:val="both"/>
        <w:rPr>
          <w:color w:val="000000" w:themeColor="text1"/>
          <w:sz w:val="16"/>
          <w:szCs w:val="16"/>
        </w:rPr>
      </w:pPr>
    </w:p>
    <w:p w14:paraId="500A68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10 по 20 февраля 1935 в НИИ ВВС проходили гос. испытания СБ. Самолет испытаний не прошел. Летал 12 час(7717, 16).</w:t>
      </w:r>
    </w:p>
    <w:p w14:paraId="3A51D4BB" w14:textId="77777777" w:rsidR="00D4105E" w:rsidRPr="00E14102" w:rsidRDefault="00D4105E" w:rsidP="00E14102">
      <w:pPr>
        <w:autoSpaceDE w:val="0"/>
        <w:autoSpaceDN w:val="0"/>
        <w:adjustRightInd w:val="0"/>
        <w:jc w:val="both"/>
        <w:rPr>
          <w:color w:val="000000" w:themeColor="text1"/>
          <w:sz w:val="16"/>
          <w:szCs w:val="16"/>
        </w:rPr>
      </w:pPr>
    </w:p>
    <w:p w14:paraId="705AEA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февраля 1935 вышло постановление СТО N С-11сс "Об увеличении программы на 1935 г. по самолетам СБ и моторам Испано-Сюиза" В.М.М. (2161,146) во изменение постановления СТО N К-189сс от 20 декабря 1934 и решили вместо 200 - 500 на 22 заводе (2394,8).</w:t>
      </w:r>
    </w:p>
    <w:p w14:paraId="6ADB0959" w14:textId="77777777" w:rsidR="00D4105E" w:rsidRPr="00E14102" w:rsidRDefault="00D4105E" w:rsidP="00E14102">
      <w:pPr>
        <w:autoSpaceDE w:val="0"/>
        <w:autoSpaceDN w:val="0"/>
        <w:adjustRightInd w:val="0"/>
        <w:jc w:val="both"/>
        <w:rPr>
          <w:color w:val="000000" w:themeColor="text1"/>
          <w:sz w:val="16"/>
          <w:szCs w:val="16"/>
        </w:rPr>
      </w:pPr>
    </w:p>
    <w:p w14:paraId="70028DE5" w14:textId="77777777" w:rsidR="008853C1" w:rsidRPr="00E14102" w:rsidRDefault="008853C1" w:rsidP="00E14102">
      <w:pPr>
        <w:pStyle w:val="rtejustify"/>
        <w:spacing w:before="0" w:after="0"/>
        <w:rPr>
          <w:color w:val="000000" w:themeColor="text1"/>
          <w:sz w:val="16"/>
          <w:szCs w:val="16"/>
        </w:rPr>
      </w:pPr>
      <w:r w:rsidRPr="00E14102">
        <w:rPr>
          <w:rStyle w:val="a6"/>
          <w:bCs/>
          <w:i w:val="0"/>
          <w:color w:val="000000" w:themeColor="text1"/>
          <w:sz w:val="16"/>
          <w:szCs w:val="16"/>
        </w:rPr>
        <w:t>10 февраля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11сс «Об увеличении программы 1935 г. по самолетам СБ и моторам “Испано</w:t>
      </w:r>
      <w:r w:rsidRPr="00E14102">
        <w:rPr>
          <w:color w:val="000000" w:themeColor="text1"/>
          <w:sz w:val="16"/>
          <w:szCs w:val="16"/>
        </w:rPr>
        <w:noBreakHyphen/>
        <w:t>Сюиза”». (ГА РФ. Ф. Р</w:t>
      </w:r>
      <w:r w:rsidRPr="00E14102">
        <w:rPr>
          <w:color w:val="000000" w:themeColor="text1"/>
          <w:sz w:val="16"/>
          <w:szCs w:val="16"/>
        </w:rPr>
        <w:noBreakHyphen/>
        <w:t>8418. Оп. 28. Д. 6. Л. 31) (15460).</w:t>
      </w:r>
    </w:p>
    <w:p w14:paraId="2D0A800E" w14:textId="77777777" w:rsidR="008853C1" w:rsidRPr="00E14102" w:rsidRDefault="008853C1" w:rsidP="00E14102">
      <w:pPr>
        <w:pStyle w:val="rtejustify"/>
        <w:spacing w:before="0" w:after="0"/>
        <w:rPr>
          <w:color w:val="000000" w:themeColor="text1"/>
          <w:sz w:val="16"/>
          <w:szCs w:val="16"/>
        </w:rPr>
      </w:pPr>
    </w:p>
    <w:p w14:paraId="06DF68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февраля 1935 года вышло постановление № С-11сс СТО</w:t>
      </w:r>
    </w:p>
    <w:p w14:paraId="43B092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 увеличении программы 1935 года по самолетам СБ и моторам "Испано-Сюиза"</w:t>
      </w:r>
    </w:p>
    <w:p w14:paraId="67E305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изменение постановления СТО № К-189сс от 20 декабря 1934 года СТО постановляет:</w:t>
      </w:r>
    </w:p>
    <w:p w14:paraId="0B56257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НКТяжпром произвести самолетов СБ по заводу № 22 вместо 200 – 500 штук.</w:t>
      </w:r>
    </w:p>
    <w:p w14:paraId="02E706C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моторам "Испано-Сюиза" (М-100) по заводу № 26 – вместо принятых 600 установить 1000 штук.</w:t>
      </w:r>
    </w:p>
    <w:p w14:paraId="73FC49B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Данное решение в своем выполнении должно проводиться в условиях мобилизационного времени, для чего заводы №№ 26, 22 и 95 перевести на мобилизационное состояние (7516, 6).</w:t>
      </w:r>
    </w:p>
    <w:p w14:paraId="30A43B76"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2789E9C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февраля 1935 года вышел Приказ НИИ ВВС № 073 Об испытании самолета “ЗВЕНО” в вариантах: исследование подсоса под крылом самолета ТБ-3; ТБ3-4М17+ИZ; ТБ3-4М17+2И5 на предельный тактический радиус.</w:t>
      </w:r>
    </w:p>
    <w:p w14:paraId="70DA04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провести на аэродроме Института в Щелкове.</w:t>
      </w:r>
    </w:p>
    <w:p w14:paraId="76EABB5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начать 11 февраля 1935 года и форсировать таким образом, чтобы закончить в 7 летных дней (6814, 59).</w:t>
      </w:r>
    </w:p>
    <w:p w14:paraId="2621347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2E7C1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февраля 1935 согласно Начальнику Штаба НИИ ВС Коробову:</w:t>
      </w:r>
    </w:p>
    <w:p w14:paraId="7001E0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Перечень испытаний, проходящих в НИИ ВС на 10 февраля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3686"/>
        <w:gridCol w:w="3685"/>
      </w:tblGrid>
      <w:tr w:rsidR="00E3599D" w:rsidRPr="00E14102" w14:paraId="45259C94" w14:textId="77777777">
        <w:tc>
          <w:tcPr>
            <w:tcW w:w="3510" w:type="dxa"/>
          </w:tcPr>
          <w:p w14:paraId="131766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испытываемых объектов</w:t>
            </w:r>
          </w:p>
        </w:tc>
        <w:tc>
          <w:tcPr>
            <w:tcW w:w="3686" w:type="dxa"/>
          </w:tcPr>
          <w:p w14:paraId="03BBDE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окончания испытаний</w:t>
            </w:r>
          </w:p>
        </w:tc>
        <w:tc>
          <w:tcPr>
            <w:tcW w:w="3685" w:type="dxa"/>
          </w:tcPr>
          <w:p w14:paraId="594849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Состояние на 20 января 1935 года</w:t>
            </w:r>
          </w:p>
        </w:tc>
      </w:tr>
      <w:tr w:rsidR="00E3599D" w:rsidRPr="00E14102" w14:paraId="61147547" w14:textId="77777777">
        <w:tc>
          <w:tcPr>
            <w:tcW w:w="3510" w:type="dxa"/>
          </w:tcPr>
          <w:p w14:paraId="4EF4C5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Повторные госиспытания самолета ЛР-М-34Н</w:t>
            </w:r>
          </w:p>
        </w:tc>
        <w:tc>
          <w:tcPr>
            <w:tcW w:w="3686" w:type="dxa"/>
          </w:tcPr>
          <w:p w14:paraId="1F3E94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летных дней, считая начало с 27 декабря 1934 года</w:t>
            </w:r>
          </w:p>
        </w:tc>
        <w:tc>
          <w:tcPr>
            <w:tcW w:w="3685" w:type="dxa"/>
          </w:tcPr>
          <w:p w14:paraId="3ED734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Госиспытания закончены 4 февраля 1934 года. Турельная установка признана негодной. Самолет сдан на завод № 39.</w:t>
            </w:r>
          </w:p>
        </w:tc>
      </w:tr>
      <w:tr w:rsidR="00E3599D" w:rsidRPr="00E14102" w14:paraId="5F537B0C" w14:textId="77777777">
        <w:tc>
          <w:tcPr>
            <w:tcW w:w="3510" w:type="dxa"/>
          </w:tcPr>
          <w:p w14:paraId="68E400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Госиспытание самолета ИП1-РЦ</w:t>
            </w:r>
          </w:p>
        </w:tc>
        <w:tc>
          <w:tcPr>
            <w:tcW w:w="3686" w:type="dxa"/>
          </w:tcPr>
          <w:p w14:paraId="0E057A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дней, считая начало с 7 января 1935 года</w:t>
            </w:r>
          </w:p>
        </w:tc>
        <w:tc>
          <w:tcPr>
            <w:tcW w:w="3685" w:type="dxa"/>
          </w:tcPr>
          <w:p w14:paraId="0339E6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Сняты капоты и отправлены на завод № 133 для переделки.</w:t>
            </w:r>
          </w:p>
        </w:tc>
      </w:tr>
      <w:tr w:rsidR="00E3599D" w:rsidRPr="00E14102" w14:paraId="688EFBBE" w14:textId="77777777">
        <w:tc>
          <w:tcPr>
            <w:tcW w:w="3510" w:type="dxa"/>
          </w:tcPr>
          <w:p w14:paraId="20A473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Совместные предварительные испытания самолета СБ-ИС</w:t>
            </w:r>
          </w:p>
        </w:tc>
        <w:tc>
          <w:tcPr>
            <w:tcW w:w="3686" w:type="dxa"/>
          </w:tcPr>
          <w:p w14:paraId="5FEBDA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2 летных дня, считая начало с 15 января 1935 года</w:t>
            </w:r>
          </w:p>
        </w:tc>
        <w:tc>
          <w:tcPr>
            <w:tcW w:w="3685" w:type="dxa"/>
          </w:tcPr>
          <w:p w14:paraId="761A43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подготовлен для проведения госиспытаний.</w:t>
            </w:r>
          </w:p>
        </w:tc>
      </w:tr>
    </w:tbl>
    <w:p w14:paraId="505C9A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(7779, 44-46).</w:t>
      </w:r>
    </w:p>
    <w:p w14:paraId="0B9DA28B" w14:textId="77777777" w:rsidR="00D4105E" w:rsidRPr="00E14102" w:rsidRDefault="00D4105E" w:rsidP="00E14102">
      <w:pPr>
        <w:autoSpaceDE w:val="0"/>
        <w:autoSpaceDN w:val="0"/>
        <w:adjustRightInd w:val="0"/>
        <w:jc w:val="both"/>
        <w:rPr>
          <w:color w:val="000000" w:themeColor="text1"/>
          <w:sz w:val="16"/>
          <w:szCs w:val="16"/>
        </w:rPr>
      </w:pPr>
    </w:p>
    <w:p w14:paraId="3971588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C5E2F6C" w14:textId="77777777" w:rsidR="00D4105E" w:rsidRPr="00E14102" w:rsidRDefault="00D4105E" w:rsidP="00E14102">
      <w:pPr>
        <w:autoSpaceDE w:val="0"/>
        <w:autoSpaceDN w:val="0"/>
        <w:adjustRightInd w:val="0"/>
        <w:jc w:val="both"/>
        <w:rPr>
          <w:iCs/>
          <w:color w:val="000000" w:themeColor="text1"/>
          <w:sz w:val="16"/>
          <w:szCs w:val="16"/>
        </w:rPr>
      </w:pPr>
    </w:p>
    <w:p w14:paraId="544E30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февраля 1935:</w:t>
      </w:r>
    </w:p>
    <w:p w14:paraId="569A33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протокола испытаний:</w:t>
      </w:r>
    </w:p>
    <w:p w14:paraId="74C679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 N 2. 10/II-35 г. Действие ядовитого дыма на команду танка при движении машины в ядовито дымной волне адамсита с закрытыми люками.</w:t>
      </w:r>
    </w:p>
    <w:p w14:paraId="7D2F96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Подопытным лицом являлся водитель машины. Для определения результатов раздражения у незащищенного противогазом водителя рядом с водителем в танке находился врач.</w:t>
      </w:r>
    </w:p>
    <w:p w14:paraId="25A656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Выводы. Ядовитый дым при движении танка с закрытыми люками в ядовито дымной волне проникает в щели танка с момента включения в волну. Степень раздражения у незащищенных противогазом водителей машин равна степени раздражения бойцов, находящихся вне танка на открытой площадке. Работа по управлению танком усиливает степень раздражения. Управление машиной в волне затруднено. Длительность раздражения, полученная в танке, превышает длительность, полученную вне танка" (9066).</w:t>
      </w:r>
    </w:p>
    <w:p w14:paraId="7941F198" w14:textId="77777777" w:rsidR="00D4105E" w:rsidRPr="00E14102" w:rsidRDefault="00D4105E" w:rsidP="00E14102">
      <w:pPr>
        <w:autoSpaceDE w:val="0"/>
        <w:autoSpaceDN w:val="0"/>
        <w:adjustRightInd w:val="0"/>
        <w:jc w:val="both"/>
        <w:rPr>
          <w:color w:val="000000" w:themeColor="text1"/>
          <w:sz w:val="16"/>
          <w:szCs w:val="16"/>
        </w:rPr>
      </w:pPr>
    </w:p>
    <w:p w14:paraId="71DE3F5D" w14:textId="77777777" w:rsidR="008853C1" w:rsidRPr="00E14102" w:rsidRDefault="008853C1" w:rsidP="00E14102">
      <w:pPr>
        <w:shd w:val="clear" w:color="auto" w:fill="FFFFFF"/>
        <w:jc w:val="both"/>
        <w:rPr>
          <w:color w:val="000000" w:themeColor="text1"/>
          <w:sz w:val="16"/>
          <w:szCs w:val="16"/>
        </w:rPr>
      </w:pPr>
      <w:r w:rsidRPr="00E14102">
        <w:rPr>
          <w:bCs/>
          <w:iCs/>
          <w:color w:val="000000" w:themeColor="text1"/>
          <w:sz w:val="16"/>
          <w:szCs w:val="16"/>
        </w:rPr>
        <w:t>10 февраля 1935 г.</w:t>
      </w:r>
      <w:r w:rsidRPr="00E14102">
        <w:rPr>
          <w:color w:val="000000" w:themeColor="text1"/>
          <w:sz w:val="16"/>
          <w:szCs w:val="16"/>
        </w:rPr>
        <w:t xml:space="preserve"> На полигоне Шиханы (Саратовская область) выполнен опыт «</w:t>
      </w:r>
      <w:r w:rsidRPr="00E14102">
        <w:rPr>
          <w:iCs/>
          <w:color w:val="000000" w:themeColor="text1"/>
          <w:sz w:val="16"/>
          <w:szCs w:val="16"/>
        </w:rPr>
        <w:t>Действие ядовитого дыма на команду танка (водителя машины) при движении машины в ядовито-дымной волне адамсита с закрытыми люками</w:t>
      </w:r>
      <w:r w:rsidRPr="00E14102">
        <w:rPr>
          <w:color w:val="000000" w:themeColor="text1"/>
          <w:sz w:val="16"/>
          <w:szCs w:val="16"/>
        </w:rPr>
        <w:t>». Методика: «</w:t>
      </w:r>
      <w:r w:rsidRPr="00E14102">
        <w:rPr>
          <w:iCs/>
          <w:color w:val="000000" w:themeColor="text1"/>
          <w:sz w:val="16"/>
          <w:szCs w:val="16"/>
        </w:rPr>
        <w:t>Для определения результатов раздражения у </w:t>
      </w:r>
      <w:r w:rsidRPr="00E14102">
        <w:rPr>
          <w:bCs/>
          <w:iCs/>
          <w:color w:val="000000" w:themeColor="text1"/>
          <w:sz w:val="16"/>
          <w:szCs w:val="16"/>
        </w:rPr>
        <w:t>незащищенного противогазом</w:t>
      </w:r>
      <w:r w:rsidRPr="00E14102">
        <w:rPr>
          <w:iCs/>
          <w:color w:val="000000" w:themeColor="text1"/>
          <w:sz w:val="16"/>
          <w:szCs w:val="16"/>
        </w:rPr>
        <w:t xml:space="preserve"> водителя рядом с водителем в танке находился врач, который регистрировал раздражения, получаемые водителем во время движения танка в дымволне, на обычной листке биоконтроля</w:t>
      </w:r>
      <w:r w:rsidRPr="00E14102">
        <w:rPr>
          <w:color w:val="000000" w:themeColor="text1"/>
          <w:sz w:val="16"/>
          <w:szCs w:val="16"/>
        </w:rPr>
        <w:t>». Водитель, «</w:t>
      </w:r>
      <w:r w:rsidRPr="00E14102">
        <w:rPr>
          <w:iCs/>
          <w:color w:val="000000" w:themeColor="text1"/>
          <w:sz w:val="16"/>
          <w:szCs w:val="16"/>
        </w:rPr>
        <w:t>достигнув дистанции 700-750 метров от позиции дымопуска,.. получил раздражение сильной степени и больше не мог вести танк</w:t>
      </w:r>
      <w:r w:rsidRPr="00E14102">
        <w:rPr>
          <w:color w:val="000000" w:themeColor="text1"/>
          <w:sz w:val="16"/>
          <w:szCs w:val="16"/>
        </w:rPr>
        <w:t>» (17133).</w:t>
      </w:r>
    </w:p>
    <w:p w14:paraId="7631C965" w14:textId="77777777" w:rsidR="008853C1" w:rsidRPr="00E14102" w:rsidRDefault="008853C1" w:rsidP="00E14102">
      <w:pPr>
        <w:shd w:val="clear" w:color="auto" w:fill="FFFFFF"/>
        <w:jc w:val="both"/>
        <w:rPr>
          <w:color w:val="000000" w:themeColor="text1"/>
          <w:sz w:val="16"/>
          <w:szCs w:val="16"/>
        </w:rPr>
      </w:pPr>
    </w:p>
    <w:p w14:paraId="6F08163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 февраля 1935 года вышел Приказ Главэспрома НКТП № 40, которым была произведена реорганизация сети научно-исследова</w:t>
      </w:r>
      <w:r w:rsidRPr="00E14102">
        <w:rPr>
          <w:color w:val="000000" w:themeColor="text1"/>
          <w:sz w:val="16"/>
          <w:szCs w:val="16"/>
        </w:rPr>
        <w:softHyphen/>
        <w:t>тельских учреждений Главного управления электрослаботочной промышленности. В частности, в созданный Комбинат мощного радиостроения (КМРС), кроме завода им. Коминтерна, вошла Отраслевая лаборатория профессиональных устройств (ОРПУ), организованная 1.03.35г. на базе большей части лабораторий ЦРЛ и Отраслевой радиолаборатории передающих устройств. Территориально ОРПУ КМРС разместилась не только в помещениях ЦРЛ на улицах Ак. Павлова и Грота, а также и на территории завода им. Коминтерна. В подчинение ОРПУ КМРС приказом Главэспрома была передана загородная испытатель</w:t>
      </w:r>
      <w:r w:rsidRPr="00E14102">
        <w:rPr>
          <w:color w:val="000000" w:themeColor="text1"/>
          <w:sz w:val="16"/>
          <w:szCs w:val="16"/>
        </w:rPr>
        <w:softHyphen/>
        <w:t>ная лаборатория ЛЭФИ, находившаяся в нос. Тайцы. Было со</w:t>
      </w:r>
      <w:r w:rsidRPr="00E14102">
        <w:rPr>
          <w:color w:val="000000" w:themeColor="text1"/>
          <w:sz w:val="16"/>
          <w:szCs w:val="16"/>
        </w:rPr>
        <w:softHyphen/>
        <w:t>здано около 20 лабораторий-отделов: магистральных передатчи</w:t>
      </w:r>
      <w:r w:rsidRPr="00E14102">
        <w:rPr>
          <w:color w:val="000000" w:themeColor="text1"/>
          <w:sz w:val="16"/>
          <w:szCs w:val="16"/>
        </w:rPr>
        <w:softHyphen/>
        <w:t>ков (И.Х. Невяжский), магистрального радиоприема (Л.А. Пис-толькорс), низкой частоты (М.М. Вейсбейн). передающих антенн (М.С. Нейман), электровакуумный (Н.И. Оганов), источников питания (М.А. Спицын), нормальных конструкций (А.Р. Шмидт, ¦юзднее М.И. Лапиров-Скобло), специальных разработок (Л.Е. Штиллерман). радиовещательных передатчиков (З.И. Мо</w:t>
      </w:r>
      <w:r w:rsidRPr="00E14102">
        <w:rPr>
          <w:color w:val="000000" w:themeColor="text1"/>
          <w:sz w:val="16"/>
          <w:szCs w:val="16"/>
        </w:rPr>
        <w:softHyphen/>
        <w:t>дель) и др. Директором ОРПУ КМРС был назначен А.Л. Минц, которого 29.04.36г. сменил И.З. Нефёдов. За сравнительно неболь</w:t>
      </w:r>
      <w:r w:rsidRPr="00E14102">
        <w:rPr>
          <w:color w:val="000000" w:themeColor="text1"/>
          <w:sz w:val="16"/>
          <w:szCs w:val="16"/>
        </w:rPr>
        <w:softHyphen/>
        <w:t>шой отрезок времени ОРПУ КМРС успешно выполнила задания по проектированию и оснащению ряда мощных радиоцентров. К 1937 году было закончено строительство серии 120 и 150 кВт радиостанций. Серийное изготовление передающей аппаратуры радиоцентров было возложено на завод им. Коминтерна, куда перешла в 1937 году часть сотрудников ОРПУ во главе с Г.А. -Зейтлёнком. Не вошедшие в ОРПУ КМРС подразделения, занимавшие</w:t>
      </w:r>
      <w:r w:rsidRPr="00E14102">
        <w:rPr>
          <w:color w:val="000000" w:themeColor="text1"/>
          <w:sz w:val="16"/>
          <w:szCs w:val="16"/>
        </w:rPr>
        <w:softHyphen/>
        <w:t>ся вопросами радиовещательного приёма и акустики, а также ла</w:t>
      </w:r>
      <w:r w:rsidRPr="00E14102">
        <w:rPr>
          <w:color w:val="000000" w:themeColor="text1"/>
          <w:sz w:val="16"/>
          <w:szCs w:val="16"/>
        </w:rPr>
        <w:softHyphen/>
        <w:t>боратория индустриальных радиопомех были сконцентрирова</w:t>
      </w:r>
      <w:r w:rsidRPr="00E14102">
        <w:rPr>
          <w:color w:val="000000" w:themeColor="text1"/>
          <w:sz w:val="16"/>
          <w:szCs w:val="16"/>
        </w:rPr>
        <w:softHyphen/>
        <w:t>ны на Каменном острове. Директором этой части ЦРЛ остался Д.Н. Румянцев. Такое положение сохранялось в течение полуто</w:t>
      </w:r>
      <w:r w:rsidRPr="00E14102">
        <w:rPr>
          <w:color w:val="000000" w:themeColor="text1"/>
          <w:sz w:val="16"/>
          <w:szCs w:val="16"/>
        </w:rPr>
        <w:softHyphen/>
        <w:t>ра лет, пока не последовал приказ № 1467 по Народному комис</w:t>
      </w:r>
      <w:r w:rsidRPr="00E14102">
        <w:rPr>
          <w:color w:val="000000" w:themeColor="text1"/>
          <w:sz w:val="16"/>
          <w:szCs w:val="16"/>
        </w:rPr>
        <w:softHyphen/>
        <w:t>сариату тяжёлой промышленности от 3 сентября 1936 года о пе</w:t>
      </w:r>
      <w:r w:rsidRPr="00E14102">
        <w:rPr>
          <w:color w:val="000000" w:themeColor="text1"/>
          <w:sz w:val="16"/>
          <w:szCs w:val="16"/>
        </w:rPr>
        <w:softHyphen/>
        <w:t>реименовании не вошедшей в ОРПУ КМРС части ЦРЛ в Инсти</w:t>
      </w:r>
      <w:r w:rsidRPr="00E14102">
        <w:rPr>
          <w:color w:val="000000" w:themeColor="text1"/>
          <w:sz w:val="16"/>
          <w:szCs w:val="16"/>
        </w:rPr>
        <w:softHyphen/>
        <w:t>тут радиовещательного приёма и акустики (ИРПА). Так из недр старейшего радиотехнического предприятия страны родилось ещё одно самостоятельное предприятие - Институт радиовещатель</w:t>
      </w:r>
      <w:r w:rsidRPr="00E14102">
        <w:rPr>
          <w:color w:val="000000" w:themeColor="text1"/>
          <w:sz w:val="16"/>
          <w:szCs w:val="16"/>
        </w:rPr>
        <w:softHyphen/>
        <w:t>ного приёма и акустики. Директором ИРПА был назначен Д.Н. Румянцев. Таким образом, фактическим преемником ЦРЛ по её ос</w:t>
      </w:r>
      <w:r w:rsidRPr="00E14102">
        <w:rPr>
          <w:color w:val="000000" w:themeColor="text1"/>
          <w:sz w:val="16"/>
          <w:szCs w:val="16"/>
        </w:rPr>
        <w:softHyphen/>
        <w:t>новной тематике с 1935г. стала ОРПУ КМРС на ул. Ак. Павло</w:t>
      </w:r>
      <w:r w:rsidRPr="00E14102">
        <w:rPr>
          <w:color w:val="000000" w:themeColor="text1"/>
          <w:sz w:val="16"/>
          <w:szCs w:val="16"/>
        </w:rPr>
        <w:softHyphen/>
        <w:t>ва, 14а, куда влилось большинство её специалистов, включая тех, кто с 1931 по 1935гг. работал в ОРПУ. Формальным же преемни</w:t>
      </w:r>
      <w:r w:rsidRPr="00E14102">
        <w:rPr>
          <w:color w:val="000000" w:themeColor="text1"/>
          <w:sz w:val="16"/>
          <w:szCs w:val="16"/>
        </w:rPr>
        <w:softHyphen/>
        <w:t>ком ЦРЛ в 1936 г. оказался ИРПА.</w:t>
      </w:r>
    </w:p>
    <w:p w14:paraId="2448EC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процессе реорганизации ЦРЛ ряд лабораторий и твор</w:t>
      </w:r>
      <w:r w:rsidRPr="00E14102">
        <w:rPr>
          <w:color w:val="000000" w:themeColor="text1"/>
          <w:sz w:val="16"/>
          <w:szCs w:val="16"/>
        </w:rPr>
        <w:softHyphen/>
        <w:t>ческих коллективов перешел работать в другие организации:</w:t>
      </w:r>
    </w:p>
    <w:p w14:paraId="1CA432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лаборатория токов высокой частоты В.П. Вологдина ушла в ТУГИ, затем на ее основе были созданы Всесоюзный научио-исследовительский институт промышленного применения токов высокой частотя и Лабораториявысокочастотной термообработке АН СССР, работы этой же ла</w:t>
      </w:r>
      <w:r w:rsidRPr="00E14102">
        <w:rPr>
          <w:color w:val="000000" w:themeColor="text1"/>
          <w:sz w:val="16"/>
          <w:szCs w:val="16"/>
        </w:rPr>
        <w:softHyphen/>
        <w:t>боратории по электролитью и электросварке перешли на завод "Электрик";</w:t>
      </w:r>
    </w:p>
    <w:p w14:paraId="622F44FB" w14:textId="77777777" w:rsidR="00D4105E" w:rsidRPr="00E14102" w:rsidRDefault="00D4105E" w:rsidP="00E14102">
      <w:pPr>
        <w:shd w:val="clear" w:color="auto" w:fill="FFFFFF"/>
        <w:tabs>
          <w:tab w:val="left" w:pos="859"/>
        </w:tabs>
        <w:autoSpaceDE w:val="0"/>
        <w:autoSpaceDN w:val="0"/>
        <w:adjustRightInd w:val="0"/>
        <w:jc w:val="both"/>
        <w:rPr>
          <w:color w:val="000000" w:themeColor="text1"/>
          <w:sz w:val="16"/>
          <w:szCs w:val="16"/>
        </w:rPr>
      </w:pPr>
      <w:r w:rsidRPr="00E14102">
        <w:rPr>
          <w:color w:val="000000" w:themeColor="text1"/>
          <w:sz w:val="16"/>
          <w:szCs w:val="16"/>
        </w:rPr>
        <w:t>большая часть лаборатории высокочастотной физики Л.И. Мандельштама и Н.Д. Папалекси, связанная с раз</w:t>
      </w:r>
      <w:r w:rsidRPr="00E14102">
        <w:rPr>
          <w:color w:val="000000" w:themeColor="text1"/>
          <w:sz w:val="16"/>
          <w:szCs w:val="16"/>
        </w:rPr>
        <w:softHyphen/>
        <w:t>работкой радиоинтерференционных методов измерения расстояний перешла в ЛФТИ, одновременно работы по нелинейной радиотехнике перешли в Лабораторию ко</w:t>
      </w:r>
      <w:r w:rsidRPr="00E14102">
        <w:rPr>
          <w:color w:val="000000" w:themeColor="text1"/>
          <w:sz w:val="16"/>
          <w:szCs w:val="16"/>
        </w:rPr>
        <w:softHyphen/>
      </w:r>
      <w:r w:rsidRPr="00E14102">
        <w:rPr>
          <w:color w:val="000000" w:themeColor="text1"/>
          <w:sz w:val="16"/>
          <w:szCs w:val="16"/>
        </w:rPr>
        <w:br/>
        <w:t>лебаний ЛЭФИ, а позже - в Физический институт АН СССР;</w:t>
      </w:r>
    </w:p>
    <w:p w14:paraId="4A7632AA" w14:textId="77777777" w:rsidR="00D4105E" w:rsidRPr="00E14102" w:rsidRDefault="00D4105E" w:rsidP="00E14102">
      <w:pPr>
        <w:shd w:val="clear" w:color="auto" w:fill="FFFFFF"/>
        <w:tabs>
          <w:tab w:val="left" w:pos="859"/>
        </w:tabs>
        <w:autoSpaceDE w:val="0"/>
        <w:autoSpaceDN w:val="0"/>
        <w:adjustRightInd w:val="0"/>
        <w:jc w:val="both"/>
        <w:rPr>
          <w:color w:val="000000" w:themeColor="text1"/>
          <w:sz w:val="16"/>
          <w:szCs w:val="16"/>
        </w:rPr>
      </w:pPr>
      <w:r w:rsidRPr="00E14102">
        <w:rPr>
          <w:color w:val="000000" w:themeColor="text1"/>
          <w:sz w:val="16"/>
          <w:szCs w:val="16"/>
        </w:rPr>
        <w:t xml:space="preserve">группа </w:t>
      </w:r>
      <w:r w:rsidRPr="00E14102">
        <w:rPr>
          <w:color w:val="000000" w:themeColor="text1"/>
          <w:sz w:val="16"/>
          <w:szCs w:val="16"/>
          <w:lang w:val="en-US"/>
        </w:rPr>
        <w:t>A</w:t>
      </w:r>
      <w:r w:rsidRPr="00E14102">
        <w:rPr>
          <w:color w:val="000000" w:themeColor="text1"/>
          <w:sz w:val="16"/>
          <w:szCs w:val="16"/>
        </w:rPr>
        <w:t>.</w:t>
      </w:r>
      <w:r w:rsidRPr="00E14102">
        <w:rPr>
          <w:color w:val="000000" w:themeColor="text1"/>
          <w:sz w:val="16"/>
          <w:szCs w:val="16"/>
          <w:lang w:val="en-US"/>
        </w:rPr>
        <w:t>M</w:t>
      </w:r>
      <w:r w:rsidRPr="00E14102">
        <w:rPr>
          <w:color w:val="000000" w:themeColor="text1"/>
          <w:sz w:val="16"/>
          <w:szCs w:val="16"/>
        </w:rPr>
        <w:t>. Кугушева лаборатории генерирующих уст</w:t>
      </w:r>
      <w:r w:rsidRPr="00E14102">
        <w:rPr>
          <w:color w:val="000000" w:themeColor="text1"/>
          <w:sz w:val="16"/>
          <w:szCs w:val="16"/>
        </w:rPr>
        <w:softHyphen/>
        <w:t>ройств, связанная с исследованием физиологического воздействия высокочастотных излучений, перешла на работу в ВИЭМ;</w:t>
      </w:r>
    </w:p>
    <w:p w14:paraId="338289A9" w14:textId="77777777" w:rsidR="00D4105E" w:rsidRPr="00E14102" w:rsidRDefault="00D4105E" w:rsidP="00E14102">
      <w:pPr>
        <w:shd w:val="clear" w:color="auto" w:fill="FFFFFF"/>
        <w:tabs>
          <w:tab w:val="left" w:pos="859"/>
        </w:tabs>
        <w:autoSpaceDE w:val="0"/>
        <w:autoSpaceDN w:val="0"/>
        <w:adjustRightInd w:val="0"/>
        <w:jc w:val="both"/>
        <w:rPr>
          <w:color w:val="000000" w:themeColor="text1"/>
          <w:sz w:val="16"/>
          <w:szCs w:val="16"/>
        </w:rPr>
      </w:pPr>
      <w:r w:rsidRPr="00E14102">
        <w:rPr>
          <w:color w:val="000000" w:themeColor="text1"/>
          <w:sz w:val="16"/>
          <w:szCs w:val="16"/>
        </w:rPr>
        <w:t>работы военно-морской лаборатории по радиолокации перевели в ЦВИРЛ (г. Горький), а остальные работы этой даборатории УКВ и ДЦВ диапазонов передали в НИИ-8 (после объединения с Телевизионным институтом - НИИ-9);</w:t>
      </w:r>
    </w:p>
    <w:p w14:paraId="31E7F36F" w14:textId="77777777" w:rsidR="00D4105E" w:rsidRPr="00E14102" w:rsidRDefault="00D4105E" w:rsidP="00E14102">
      <w:pPr>
        <w:shd w:val="clear" w:color="auto" w:fill="FFFFFF"/>
        <w:tabs>
          <w:tab w:val="left" w:pos="859"/>
        </w:tabs>
        <w:autoSpaceDE w:val="0"/>
        <w:autoSpaceDN w:val="0"/>
        <w:adjustRightInd w:val="0"/>
        <w:jc w:val="both"/>
        <w:rPr>
          <w:color w:val="000000" w:themeColor="text1"/>
          <w:sz w:val="16"/>
          <w:szCs w:val="16"/>
        </w:rPr>
      </w:pPr>
      <w:r w:rsidRPr="00E14102">
        <w:rPr>
          <w:color w:val="000000" w:themeColor="text1"/>
          <w:sz w:val="16"/>
          <w:szCs w:val="16"/>
        </w:rPr>
        <w:t>телевизионная тематика с группой А.А. Расплетина ушла в Телевизионный институт.</w:t>
      </w:r>
    </w:p>
    <w:p w14:paraId="2A72B7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Вакуум-физико-техническая лаборатория (б. подотдел ва</w:t>
      </w:r>
      <w:r w:rsidRPr="00E14102">
        <w:rPr>
          <w:color w:val="000000" w:themeColor="text1"/>
          <w:sz w:val="16"/>
          <w:szCs w:val="16"/>
        </w:rPr>
        <w:softHyphen/>
        <w:t>куумной техники) была расформирована. Группа ультраакусти</w:t>
      </w:r>
      <w:r w:rsidRPr="00E14102">
        <w:rPr>
          <w:color w:val="000000" w:themeColor="text1"/>
          <w:sz w:val="16"/>
          <w:szCs w:val="16"/>
        </w:rPr>
        <w:softHyphen/>
        <w:t>ки С.Я.Соколова до конца 1936г. продолжала работать на Каменном острове, а затем была передана в ЛЭТИ.</w:t>
      </w:r>
    </w:p>
    <w:p w14:paraId="0DF2A8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При создании ОРПУ </w:t>
      </w:r>
      <w:r w:rsidRPr="00E14102">
        <w:rPr>
          <w:color w:val="000000" w:themeColor="text1"/>
          <w:sz w:val="16"/>
          <w:szCs w:val="16"/>
          <w:lang w:val="en-US"/>
        </w:rPr>
        <w:t>KMPC</w:t>
      </w:r>
      <w:r w:rsidRPr="00E14102">
        <w:rPr>
          <w:color w:val="000000" w:themeColor="text1"/>
          <w:sz w:val="16"/>
          <w:szCs w:val="16"/>
        </w:rPr>
        <w:t xml:space="preserve"> все подразделения ЦРЛ и Ра</w:t>
      </w:r>
      <w:r w:rsidRPr="00E14102">
        <w:rPr>
          <w:color w:val="000000" w:themeColor="text1"/>
          <w:sz w:val="16"/>
          <w:szCs w:val="16"/>
        </w:rPr>
        <w:softHyphen/>
        <w:t>диозавода, занимавшиеся радиоизмерениями, были объединены в отдел радиоизмерений (ОРИЗ), который вскоре стал полусамо-стоятельной хозрасчетной организацией и был выведен из соста</w:t>
      </w:r>
      <w:r w:rsidRPr="00E14102">
        <w:rPr>
          <w:color w:val="000000" w:themeColor="text1"/>
          <w:sz w:val="16"/>
          <w:szCs w:val="16"/>
        </w:rPr>
        <w:softHyphen/>
        <w:t>ва ОРПУ КМРС.</w:t>
      </w:r>
    </w:p>
    <w:p w14:paraId="312CDA0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Вот как описывает процесс этих преобразований З.И. Мо</w:t>
      </w:r>
      <w:r w:rsidRPr="00E14102">
        <w:rPr>
          <w:color w:val="000000" w:themeColor="text1"/>
          <w:sz w:val="16"/>
          <w:szCs w:val="16"/>
        </w:rPr>
        <w:softHyphen/>
        <w:t>дель:</w:t>
      </w:r>
    </w:p>
    <w:p w14:paraId="20B4AB9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Весной 1935 г. наше предприятие ОРПУ - завод им. Комин</w:t>
      </w:r>
      <w:r w:rsidRPr="00E14102">
        <w:rPr>
          <w:color w:val="000000" w:themeColor="text1"/>
          <w:sz w:val="16"/>
          <w:szCs w:val="16"/>
        </w:rPr>
        <w:softHyphen/>
        <w:t>терна значительно увеличилось и стало называться Комбинатом мощного радиостроения (КМРС). Ему были переданы все здания ЦРЛ на улице А к. Павлова со следующими подразделениями: лабо</w:t>
      </w:r>
      <w:r w:rsidRPr="00E14102">
        <w:rPr>
          <w:color w:val="000000" w:themeColor="text1"/>
          <w:sz w:val="16"/>
          <w:szCs w:val="16"/>
        </w:rPr>
        <w:softHyphen/>
        <w:t>раторией В.П. Вологдина, которой стал руководить М. А. Спицын, лабораторией профессионального приема, возглавляемой А. П. Си-версом(В.И. Сифоров в течение некоторого времени был ее кон</w:t>
      </w:r>
      <w:r w:rsidRPr="00E14102">
        <w:rPr>
          <w:color w:val="000000" w:themeColor="text1"/>
          <w:sz w:val="16"/>
          <w:szCs w:val="16"/>
        </w:rPr>
        <w:softHyphen/>
        <w:t>сультантом), лабораторией кварцевых пластин и стандартов частоты, руководимой 11.11. Куровским, лабораторией радиомате</w:t>
      </w:r>
      <w:r w:rsidRPr="00E14102">
        <w:rPr>
          <w:color w:val="000000" w:themeColor="text1"/>
          <w:sz w:val="16"/>
          <w:szCs w:val="16"/>
        </w:rPr>
        <w:softHyphen/>
        <w:t xml:space="preserve">риалов Л. Л. Ванеева, частью лаборатории </w:t>
      </w:r>
      <w:r w:rsidRPr="00E14102">
        <w:rPr>
          <w:color w:val="000000" w:themeColor="text1"/>
          <w:sz w:val="16"/>
          <w:szCs w:val="16"/>
          <w:lang w:val="en-US"/>
        </w:rPr>
        <w:t>A</w:t>
      </w:r>
      <w:r w:rsidRPr="00E14102">
        <w:rPr>
          <w:color w:val="000000" w:themeColor="text1"/>
          <w:sz w:val="16"/>
          <w:szCs w:val="16"/>
        </w:rPr>
        <w:t>.</w:t>
      </w:r>
      <w:r w:rsidRPr="00E14102">
        <w:rPr>
          <w:color w:val="000000" w:themeColor="text1"/>
          <w:sz w:val="16"/>
          <w:szCs w:val="16"/>
          <w:lang w:val="en-US"/>
        </w:rPr>
        <w:t>M</w:t>
      </w:r>
      <w:r w:rsidRPr="00E14102">
        <w:rPr>
          <w:color w:val="000000" w:themeColor="text1"/>
          <w:sz w:val="16"/>
          <w:szCs w:val="16"/>
        </w:rPr>
        <w:t>. Кугушева (группа ПН. Пальмова). группой лаборатории ЛИ. Мандельштама и Н.Д. Папалекси (МП. Рубчинский, М.М. Вейсбейн), с основной частью технического отдела, мастерскими (С. Т. Тутункин), тех</w:t>
      </w:r>
      <w:r w:rsidRPr="00E14102">
        <w:rPr>
          <w:color w:val="000000" w:themeColor="text1"/>
          <w:sz w:val="16"/>
          <w:szCs w:val="16"/>
        </w:rPr>
        <w:softHyphen/>
        <w:t xml:space="preserve">нической библиотекой и её организатором М. С. Виридарским. М.А. Бонч-Бруевич, ВВ. Татарииов и </w:t>
      </w:r>
      <w:r w:rsidRPr="00E14102">
        <w:rPr>
          <w:color w:val="000000" w:themeColor="text1"/>
          <w:sz w:val="16"/>
          <w:szCs w:val="16"/>
          <w:lang w:val="en-US"/>
        </w:rPr>
        <w:t>A</w:t>
      </w:r>
      <w:r w:rsidRPr="00E14102">
        <w:rPr>
          <w:color w:val="000000" w:themeColor="text1"/>
          <w:sz w:val="16"/>
          <w:szCs w:val="16"/>
        </w:rPr>
        <w:t>.</w:t>
      </w:r>
      <w:r w:rsidRPr="00E14102">
        <w:rPr>
          <w:color w:val="000000" w:themeColor="text1"/>
          <w:sz w:val="16"/>
          <w:szCs w:val="16"/>
          <w:lang w:val="en-US"/>
        </w:rPr>
        <w:t>M</w:t>
      </w:r>
      <w:r w:rsidRPr="00E14102">
        <w:rPr>
          <w:color w:val="000000" w:themeColor="text1"/>
          <w:sz w:val="16"/>
          <w:szCs w:val="16"/>
        </w:rPr>
        <w:t>. Кугушев стали рабо</w:t>
      </w:r>
      <w:r w:rsidRPr="00E14102">
        <w:rPr>
          <w:color w:val="000000" w:themeColor="text1"/>
          <w:sz w:val="16"/>
          <w:szCs w:val="16"/>
        </w:rPr>
        <w:softHyphen/>
        <w:t>тать в ЛЭИС, В.</w:t>
      </w:r>
      <w:r w:rsidRPr="00E14102">
        <w:rPr>
          <w:color w:val="000000" w:themeColor="text1"/>
          <w:sz w:val="16"/>
          <w:szCs w:val="16"/>
          <w:lang w:val="en-US"/>
        </w:rPr>
        <w:t>II</w:t>
      </w:r>
      <w:r w:rsidRPr="00E14102">
        <w:rPr>
          <w:color w:val="000000" w:themeColor="text1"/>
          <w:sz w:val="16"/>
          <w:szCs w:val="16"/>
        </w:rPr>
        <w:t>. Вологдип в ЛЭТИ, Л.И. Мандельштам н Н.Д. Папалекси в ЛФТИ. Оставшаяся часть ЦРЛ, возглавляе</w:t>
      </w:r>
      <w:r w:rsidRPr="00E14102">
        <w:rPr>
          <w:color w:val="000000" w:themeColor="text1"/>
          <w:sz w:val="16"/>
          <w:szCs w:val="16"/>
        </w:rPr>
        <w:softHyphen/>
        <w:t>мая Д. И. Румянцевым, переехала в здание на Каменном острове и стала называться Институтом радиовещательного приема и аку</w:t>
      </w:r>
      <w:r w:rsidRPr="00E14102">
        <w:rPr>
          <w:color w:val="000000" w:themeColor="text1"/>
          <w:sz w:val="16"/>
          <w:szCs w:val="16"/>
        </w:rPr>
        <w:softHyphen/>
        <w:t>стики (И РИА)...</w:t>
      </w:r>
    </w:p>
    <w:p w14:paraId="4E27750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w:t>
      </w:r>
      <w:r w:rsidRPr="00E14102">
        <w:rPr>
          <w:color w:val="000000" w:themeColor="text1"/>
          <w:sz w:val="16"/>
          <w:szCs w:val="16"/>
          <w:lang w:val="en-US"/>
        </w:rPr>
        <w:t>P</w:t>
      </w:r>
      <w:r w:rsidRPr="00E14102">
        <w:rPr>
          <w:color w:val="000000" w:themeColor="text1"/>
          <w:sz w:val="16"/>
          <w:szCs w:val="16"/>
        </w:rPr>
        <w:t>ПУ появились лаборатории, лишь частично связанные с передающими устройствами, эта аббревиатура спита расшифро</w:t>
      </w:r>
      <w:r w:rsidRPr="00E14102">
        <w:rPr>
          <w:color w:val="000000" w:themeColor="text1"/>
          <w:sz w:val="16"/>
          <w:szCs w:val="16"/>
        </w:rPr>
        <w:softHyphen/>
        <w:t>вываться как Отраслевая радиолаборатория профессиональных ус</w:t>
      </w:r>
      <w:r w:rsidRPr="00E14102">
        <w:rPr>
          <w:color w:val="000000" w:themeColor="text1"/>
          <w:sz w:val="16"/>
          <w:szCs w:val="16"/>
        </w:rPr>
        <w:softHyphen/>
        <w:t xml:space="preserve">тройств. В состав </w:t>
      </w:r>
      <w:r w:rsidRPr="00E14102">
        <w:rPr>
          <w:color w:val="000000" w:themeColor="text1"/>
          <w:sz w:val="16"/>
          <w:szCs w:val="16"/>
          <w:lang w:val="en-US"/>
        </w:rPr>
        <w:t>KMPC</w:t>
      </w:r>
      <w:r w:rsidRPr="00E14102">
        <w:rPr>
          <w:color w:val="000000" w:themeColor="text1"/>
          <w:sz w:val="16"/>
          <w:szCs w:val="16"/>
        </w:rPr>
        <w:t xml:space="preserve"> также вошло монтажное бюро в Моск</w:t>
      </w:r>
      <w:r w:rsidRPr="00E14102">
        <w:rPr>
          <w:color w:val="000000" w:themeColor="text1"/>
          <w:sz w:val="16"/>
          <w:szCs w:val="16"/>
        </w:rPr>
        <w:softHyphen/>
        <w:t xml:space="preserve">ве, руководимое М.С. Лихачевым. Главным инженером </w:t>
      </w:r>
      <w:r w:rsidRPr="00E14102">
        <w:rPr>
          <w:color w:val="000000" w:themeColor="text1"/>
          <w:sz w:val="16"/>
          <w:szCs w:val="16"/>
          <w:lang w:val="en-US"/>
        </w:rPr>
        <w:t>KMPC</w:t>
      </w:r>
      <w:r w:rsidRPr="00E14102">
        <w:rPr>
          <w:color w:val="000000" w:themeColor="text1"/>
          <w:sz w:val="16"/>
          <w:szCs w:val="16"/>
        </w:rPr>
        <w:t xml:space="preserve"> был назначен А.Л. Мини ( и одновременно директором ОРПУ КМРС, прим. ред.).</w:t>
      </w:r>
    </w:p>
    <w:p w14:paraId="5AC272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Лаборатории ОРПУ, ранее помещавшиеся на заводе им. Ко</w:t>
      </w:r>
      <w:r w:rsidRPr="00E14102">
        <w:rPr>
          <w:color w:val="000000" w:themeColor="text1"/>
          <w:sz w:val="16"/>
          <w:szCs w:val="16"/>
        </w:rPr>
        <w:softHyphen/>
        <w:t xml:space="preserve">минтерна, переехали в помещение ЦРЛ. Группа, руководимая П.П. Пальмовым (Г.З. Бесидский, Е.Л. Каменский, </w:t>
      </w:r>
      <w:r w:rsidRPr="00E14102">
        <w:rPr>
          <w:color w:val="000000" w:themeColor="text1"/>
          <w:sz w:val="16"/>
          <w:szCs w:val="16"/>
          <w:lang w:val="en-US"/>
        </w:rPr>
        <w:t>B</w:t>
      </w:r>
      <w:r w:rsidRPr="00E14102">
        <w:rPr>
          <w:color w:val="000000" w:themeColor="text1"/>
          <w:sz w:val="16"/>
          <w:szCs w:val="16"/>
        </w:rPr>
        <w:t>.</w:t>
      </w:r>
      <w:r w:rsidRPr="00E14102">
        <w:rPr>
          <w:color w:val="000000" w:themeColor="text1"/>
          <w:sz w:val="16"/>
          <w:szCs w:val="16"/>
          <w:lang w:val="en-US"/>
        </w:rPr>
        <w:t>C</w:t>
      </w:r>
      <w:r w:rsidRPr="00E14102">
        <w:rPr>
          <w:color w:val="000000" w:themeColor="text1"/>
          <w:sz w:val="16"/>
          <w:szCs w:val="16"/>
        </w:rPr>
        <w:t>. Кацеиель-сои). была влита в нашу лабораторию... Благодаря телевизион</w:t>
      </w:r>
      <w:r w:rsidRPr="00E14102">
        <w:rPr>
          <w:color w:val="000000" w:themeColor="text1"/>
          <w:sz w:val="16"/>
          <w:szCs w:val="16"/>
        </w:rPr>
        <w:softHyphen/>
        <w:t>ным УКВ передатчикам, она стала называться Лабораторией ве</w:t>
      </w:r>
      <w:r w:rsidRPr="00E14102">
        <w:rPr>
          <w:color w:val="000000" w:themeColor="text1"/>
          <w:sz w:val="16"/>
          <w:szCs w:val="16"/>
        </w:rPr>
        <w:softHyphen/>
        <w:t>щательных радиопередатчиков. Тематика морской лаборатории изменилась она стала заниматься преимущественно вопросами радионавигации. На территории ЦРЛ появилась антенная лабора</w:t>
      </w:r>
      <w:r w:rsidRPr="00E14102">
        <w:rPr>
          <w:color w:val="000000" w:themeColor="text1"/>
          <w:sz w:val="16"/>
          <w:szCs w:val="16"/>
        </w:rPr>
        <w:softHyphen/>
        <w:t>тория, которой руководил М.С. Нейман. Тем не менее, мы продол</w:t>
      </w:r>
      <w:r w:rsidRPr="00E14102">
        <w:rPr>
          <w:color w:val="000000" w:themeColor="text1"/>
          <w:sz w:val="16"/>
          <w:szCs w:val="16"/>
        </w:rPr>
        <w:softHyphen/>
        <w:t>жали заниматься вопросами реконструкции антенны радиостан</w:t>
      </w:r>
      <w:r w:rsidRPr="00E14102">
        <w:rPr>
          <w:color w:val="000000" w:themeColor="text1"/>
          <w:sz w:val="16"/>
          <w:szCs w:val="16"/>
        </w:rPr>
        <w:softHyphen/>
        <w:t>ции им. Коминтерна. В новой ОРПУ было решено усилить ответ</w:t>
      </w:r>
      <w:r w:rsidRPr="00E14102">
        <w:rPr>
          <w:color w:val="000000" w:themeColor="text1"/>
          <w:sz w:val="16"/>
          <w:szCs w:val="16"/>
        </w:rPr>
        <w:softHyphen/>
        <w:t xml:space="preserve">ственность лабораторий за разработку объектов, передав в их состав соответствующие группы конструкторов и работников систем автоматики. В нашу лабораторию была переведена группа конструкторов, руководимая весьма одаренным Г.Ф. Никольским, и небольшая группа по автоматике, возглавлявшаяся Н.И. Эйдлн-иым. В составе ОРПУ остались два проектно-копструкторских бюро - одно по </w:t>
      </w:r>
      <w:r w:rsidRPr="00E14102">
        <w:rPr>
          <w:color w:val="000000" w:themeColor="text1"/>
          <w:sz w:val="16"/>
          <w:szCs w:val="16"/>
          <w:lang w:val="en-US"/>
        </w:rPr>
        <w:t>KB</w:t>
      </w:r>
      <w:r w:rsidRPr="00E14102">
        <w:rPr>
          <w:color w:val="000000" w:themeColor="text1"/>
          <w:sz w:val="16"/>
          <w:szCs w:val="16"/>
        </w:rPr>
        <w:t xml:space="preserve"> радиоцентром во главе с П. Н. Рамлау, другое по оборонной тематике (фамилию руководителя я забыл, но помню. что ему пришлось вскоре уйти, так как выяснилось, что его отец служил боцманом на морской яхте "Штандарт ", а он был крещен самим Николаем </w:t>
      </w:r>
      <w:r w:rsidRPr="00E14102">
        <w:rPr>
          <w:color w:val="000000" w:themeColor="text1"/>
          <w:sz w:val="16"/>
          <w:szCs w:val="16"/>
          <w:lang w:val="en-US"/>
        </w:rPr>
        <w:t>II</w:t>
      </w:r>
      <w:r w:rsidRPr="00E14102">
        <w:rPr>
          <w:color w:val="000000" w:themeColor="text1"/>
          <w:sz w:val="16"/>
          <w:szCs w:val="16"/>
        </w:rPr>
        <w:t>}.</w:t>
      </w:r>
    </w:p>
    <w:p w14:paraId="70B25F1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 время пребывания А.Л. Минца в США значительно усили</w:t>
      </w:r>
      <w:r w:rsidRPr="00E14102">
        <w:rPr>
          <w:color w:val="000000" w:themeColor="text1"/>
          <w:sz w:val="16"/>
          <w:szCs w:val="16"/>
        </w:rPr>
        <w:softHyphen/>
        <w:t xml:space="preserve">лись центробежные устремления подразделений </w:t>
      </w:r>
      <w:r w:rsidRPr="00E14102">
        <w:rPr>
          <w:color w:val="000000" w:themeColor="text1"/>
          <w:sz w:val="16"/>
          <w:szCs w:val="16"/>
          <w:lang w:val="en-US"/>
        </w:rPr>
        <w:t>KMPC</w:t>
      </w:r>
      <w:r w:rsidRPr="00E14102">
        <w:rPr>
          <w:color w:val="000000" w:themeColor="text1"/>
          <w:sz w:val="16"/>
          <w:szCs w:val="16"/>
        </w:rPr>
        <w:t>. Первым добился самостоятельности радиозавод им. Коминтерна с перево</w:t>
      </w:r>
      <w:r w:rsidRPr="00E14102">
        <w:rPr>
          <w:color w:val="000000" w:themeColor="text1"/>
          <w:sz w:val="16"/>
          <w:szCs w:val="16"/>
        </w:rPr>
        <w:softHyphen/>
        <w:t>дом в него части прежней лаборатории КВ-УКВ передатчиков, включая ГА. Зейтлёнка, а также лаборатории, возглавлявшейся П. П. Куровским. Затем отделилось Московское монтажное бюро во главе с М.С. Лихачевым, которое было передано через несколь</w:t>
      </w:r>
      <w:r w:rsidRPr="00E14102">
        <w:rPr>
          <w:color w:val="000000" w:themeColor="text1"/>
          <w:sz w:val="16"/>
          <w:szCs w:val="16"/>
        </w:rPr>
        <w:softHyphen/>
        <w:t>ко лет НК связи и стало строительно-монтажным трестом. Ла</w:t>
      </w:r>
      <w:r w:rsidRPr="00E14102">
        <w:rPr>
          <w:color w:val="000000" w:themeColor="text1"/>
          <w:sz w:val="16"/>
          <w:szCs w:val="16"/>
        </w:rPr>
        <w:softHyphen/>
        <w:t>боратория радиоматериалов с научным руководителем А.Ф. Валь</w:t>
      </w:r>
      <w:r w:rsidRPr="00E14102">
        <w:rPr>
          <w:color w:val="000000" w:themeColor="text1"/>
          <w:sz w:val="16"/>
          <w:szCs w:val="16"/>
        </w:rPr>
        <w:softHyphen/>
        <w:t>тером стала самостоятельным НИИ.</w:t>
      </w:r>
    </w:p>
    <w:p w14:paraId="05F718E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В результате от </w:t>
      </w:r>
      <w:r w:rsidRPr="00E14102">
        <w:rPr>
          <w:color w:val="000000" w:themeColor="text1"/>
          <w:sz w:val="16"/>
          <w:szCs w:val="16"/>
          <w:lang w:val="en-US"/>
        </w:rPr>
        <w:t>KMPC</w:t>
      </w:r>
      <w:r w:rsidRPr="00E14102">
        <w:rPr>
          <w:color w:val="000000" w:themeColor="text1"/>
          <w:sz w:val="16"/>
          <w:szCs w:val="16"/>
        </w:rPr>
        <w:t xml:space="preserve"> осталась одна Отраслевая радио</w:t>
      </w:r>
      <w:r w:rsidRPr="00E14102">
        <w:rPr>
          <w:color w:val="000000" w:themeColor="text1"/>
          <w:sz w:val="16"/>
          <w:szCs w:val="16"/>
        </w:rPr>
        <w:softHyphen/>
        <w:t xml:space="preserve">лаборатория профессиональных устройств (ОРНУ), укрупненная за счет прежней ЦРЛ и занимавшая её помещения; в основное были переведены 3 группы прежней лаборатории КБ- УКВ: И. </w:t>
      </w:r>
      <w:r w:rsidRPr="00E14102">
        <w:rPr>
          <w:color w:val="000000" w:themeColor="text1"/>
          <w:sz w:val="16"/>
          <w:szCs w:val="16"/>
          <w:lang w:val="en-US"/>
        </w:rPr>
        <w:t>X</w:t>
      </w:r>
      <w:r w:rsidRPr="00E14102">
        <w:rPr>
          <w:color w:val="000000" w:themeColor="text1"/>
          <w:sz w:val="16"/>
          <w:szCs w:val="16"/>
        </w:rPr>
        <w:t>. Невяж-ского, И. С. Гоноровекого и Б. В. Кузнецова последняя разрабаты</w:t>
      </w:r>
      <w:r w:rsidRPr="00E14102">
        <w:rPr>
          <w:color w:val="000000" w:themeColor="text1"/>
          <w:sz w:val="16"/>
          <w:szCs w:val="16"/>
        </w:rPr>
        <w:softHyphen/>
        <w:t xml:space="preserve">вала </w:t>
      </w:r>
      <w:r w:rsidRPr="00E14102">
        <w:rPr>
          <w:color w:val="000000" w:themeColor="text1"/>
          <w:sz w:val="16"/>
          <w:szCs w:val="16"/>
        </w:rPr>
        <w:lastRenderedPageBreak/>
        <w:t>возбудители ВЧ колебаний с повышенной стабильностью час</w:t>
      </w:r>
      <w:r w:rsidRPr="00E14102">
        <w:rPr>
          <w:color w:val="000000" w:themeColor="text1"/>
          <w:sz w:val="16"/>
          <w:szCs w:val="16"/>
        </w:rPr>
        <w:softHyphen/>
        <w:t>тоты. В другом помещении ОРПУ па ул. Грота остались лабора</w:t>
      </w:r>
      <w:r w:rsidRPr="00E14102">
        <w:rPr>
          <w:color w:val="000000" w:themeColor="text1"/>
          <w:sz w:val="16"/>
          <w:szCs w:val="16"/>
        </w:rPr>
        <w:softHyphen/>
        <w:t>тории профессиональных радиоприёмников и распространения ра</w:t>
      </w:r>
      <w:r w:rsidRPr="00E14102">
        <w:rPr>
          <w:color w:val="000000" w:themeColor="text1"/>
          <w:sz w:val="16"/>
          <w:szCs w:val="16"/>
        </w:rPr>
        <w:softHyphen/>
        <w:t>диоволи.</w:t>
      </w:r>
    </w:p>
    <w:p w14:paraId="738403A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АЛ. Минц продолжал более года работать в ОРПУ, а за</w:t>
      </w:r>
      <w:r w:rsidRPr="00E14102">
        <w:rPr>
          <w:color w:val="000000" w:themeColor="text1"/>
          <w:sz w:val="16"/>
          <w:szCs w:val="16"/>
        </w:rPr>
        <w:softHyphen/>
        <w:t>тем в мае 1938г. был арестован. Вместо него был назначен глав</w:t>
      </w:r>
      <w:r w:rsidRPr="00E14102">
        <w:rPr>
          <w:color w:val="000000" w:themeColor="text1"/>
          <w:sz w:val="16"/>
          <w:szCs w:val="16"/>
        </w:rPr>
        <w:softHyphen/>
        <w:t>ным инженером нашего предприятия начинающий специалист в области радиотехники - выпускник ЛЭИС Д.Л. Дондыш.</w:t>
      </w:r>
    </w:p>
    <w:p w14:paraId="2A8D096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Деятельность предприятия, ориентированная в 1930-31гг. и с 1935г. на развитие мощного радиостроения, не ограничива</w:t>
      </w:r>
      <w:r w:rsidRPr="00E14102">
        <w:rPr>
          <w:color w:val="000000" w:themeColor="text1"/>
          <w:sz w:val="16"/>
          <w:szCs w:val="16"/>
        </w:rPr>
        <w:softHyphen/>
        <w:t>лась только этой тематикой. По-прежнему развивались и другие направления техники. В книге "Центральная радиолаборатория в Ленинграде" подробно описаны её достижения в областях про</w:t>
      </w:r>
      <w:r w:rsidRPr="00E14102">
        <w:rPr>
          <w:color w:val="000000" w:themeColor="text1"/>
          <w:sz w:val="16"/>
          <w:szCs w:val="16"/>
        </w:rPr>
        <w:softHyphen/>
        <w:t>фессионального радиоприёма, антенных устройств и пеленгова</w:t>
      </w:r>
      <w:r w:rsidRPr="00E14102">
        <w:rPr>
          <w:color w:val="000000" w:themeColor="text1"/>
          <w:sz w:val="16"/>
          <w:szCs w:val="16"/>
        </w:rPr>
        <w:softHyphen/>
        <w:t>ния:</w:t>
      </w:r>
    </w:p>
    <w:p w14:paraId="7FAF09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Большую роль в развитии дальних магистральных линий ра</w:t>
      </w:r>
      <w:r w:rsidRPr="00E14102">
        <w:rPr>
          <w:color w:val="000000" w:themeColor="text1"/>
          <w:sz w:val="16"/>
          <w:szCs w:val="16"/>
        </w:rPr>
        <w:softHyphen/>
        <w:t>диосвязи на коротких волнах сыграл разработанный А. П. Сиверсом в 1931 г. приёмник ПЦКУ для телефонного и телеграфного при</w:t>
      </w:r>
      <w:r w:rsidRPr="00E14102">
        <w:rPr>
          <w:color w:val="000000" w:themeColor="text1"/>
          <w:sz w:val="16"/>
          <w:szCs w:val="16"/>
        </w:rPr>
        <w:softHyphen/>
        <w:t xml:space="preserve">ёма... </w:t>
      </w:r>
      <w:r w:rsidRPr="00E14102">
        <w:rPr>
          <w:color w:val="000000" w:themeColor="text1"/>
          <w:sz w:val="16"/>
          <w:szCs w:val="16"/>
          <w:lang w:val="en-US"/>
        </w:rPr>
        <w:t>I</w:t>
      </w:r>
      <w:r w:rsidRPr="00E14102">
        <w:rPr>
          <w:color w:val="000000" w:themeColor="text1"/>
          <w:sz w:val="16"/>
          <w:szCs w:val="16"/>
        </w:rPr>
        <w:t>/риёмникн 11ЦКУ значительно превосходили по своим пока</w:t>
      </w:r>
      <w:r w:rsidRPr="00E14102">
        <w:rPr>
          <w:color w:val="000000" w:themeColor="text1"/>
          <w:sz w:val="16"/>
          <w:szCs w:val="16"/>
        </w:rPr>
        <w:softHyphen/>
        <w:t>зателям многие современные ему заграничные приёмники. Благода</w:t>
      </w:r>
      <w:r w:rsidRPr="00E14102">
        <w:rPr>
          <w:color w:val="000000" w:themeColor="text1"/>
          <w:sz w:val="16"/>
          <w:szCs w:val="16"/>
        </w:rPr>
        <w:softHyphen/>
        <w:t>ря высоким электрическим качествам и конструктивной прочнос</w:t>
      </w:r>
      <w:r w:rsidRPr="00E14102">
        <w:rPr>
          <w:color w:val="000000" w:themeColor="text1"/>
          <w:sz w:val="16"/>
          <w:szCs w:val="16"/>
        </w:rPr>
        <w:softHyphen/>
        <w:t>ти ПЦКУ и его модификация К'ГФ-1 были использованы в каче</w:t>
      </w:r>
      <w:r w:rsidRPr="00E14102">
        <w:rPr>
          <w:color w:val="000000" w:themeColor="text1"/>
          <w:sz w:val="16"/>
          <w:szCs w:val="16"/>
        </w:rPr>
        <w:softHyphen/>
        <w:t>стве основы для разработки более сложных... радиоприёмников.</w:t>
      </w:r>
    </w:p>
    <w:p w14:paraId="78FE778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1932 - 1933гг. группа коротковолновых профессиональных приёмников была выделена в отдельную лабораторию...</w:t>
      </w:r>
    </w:p>
    <w:p w14:paraId="553D558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В 1933г. </w:t>
      </w:r>
      <w:r w:rsidRPr="00E14102">
        <w:rPr>
          <w:color w:val="000000" w:themeColor="text1"/>
          <w:sz w:val="16"/>
          <w:szCs w:val="16"/>
          <w:lang w:val="en-US"/>
        </w:rPr>
        <w:t>A</w:t>
      </w:r>
      <w:r w:rsidRPr="00E14102">
        <w:rPr>
          <w:color w:val="000000" w:themeColor="text1"/>
          <w:sz w:val="16"/>
          <w:szCs w:val="16"/>
        </w:rPr>
        <w:t>.П. Сиверсом и его сотрудниками был разработан образец и изготовлена опытная серия приёмной части автомобиль</w:t>
      </w:r>
      <w:r w:rsidRPr="00E14102">
        <w:rPr>
          <w:color w:val="000000" w:themeColor="text1"/>
          <w:sz w:val="16"/>
          <w:szCs w:val="16"/>
        </w:rPr>
        <w:softHyphen/>
        <w:t>ной коротковолновой приёмо-переданпией радиостанции РА Т для связи на дальние расстояния. Во время Великой Отечественной вой</w:t>
      </w:r>
      <w:r w:rsidRPr="00E14102">
        <w:rPr>
          <w:color w:val="000000" w:themeColor="text1"/>
          <w:sz w:val="16"/>
          <w:szCs w:val="16"/>
        </w:rPr>
        <w:softHyphen/>
        <w:t>ны эти радиостанции широко использовались в сухопутных войс</w:t>
      </w:r>
      <w:r w:rsidRPr="00E14102">
        <w:rPr>
          <w:color w:val="000000" w:themeColor="text1"/>
          <w:sz w:val="16"/>
          <w:szCs w:val="16"/>
        </w:rPr>
        <w:softHyphen/>
        <w:t>ках Советской Армии...</w:t>
      </w:r>
    </w:p>
    <w:p w14:paraId="2D071F3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октябре 1930 г. в связи со слиянием ЦРЛс Радиозаводом им. Коминтерна в составе отдела приёмников была организована воен</w:t>
      </w:r>
      <w:r w:rsidRPr="00E14102">
        <w:rPr>
          <w:color w:val="000000" w:themeColor="text1"/>
          <w:sz w:val="16"/>
          <w:szCs w:val="16"/>
        </w:rPr>
        <w:softHyphen/>
        <w:t>но-морская лаборатория под руководством М.Е. Старика. Лабора</w:t>
      </w:r>
      <w:r w:rsidRPr="00E14102">
        <w:rPr>
          <w:color w:val="000000" w:themeColor="text1"/>
          <w:sz w:val="16"/>
          <w:szCs w:val="16"/>
        </w:rPr>
        <w:softHyphen/>
        <w:t>тория вела нссле&lt;)ования мето&lt;)ов и разработку аппаратуры радио-пеленгования, разработку специальной радиоприёмной аппаратуры и исследования в области использования ультракоротких (метро</w:t>
      </w:r>
      <w:r w:rsidRPr="00E14102">
        <w:rPr>
          <w:color w:val="000000" w:themeColor="text1"/>
          <w:sz w:val="16"/>
          <w:szCs w:val="16"/>
        </w:rPr>
        <w:softHyphen/>
        <w:t>вых ) волн.</w:t>
      </w:r>
    </w:p>
    <w:p w14:paraId="054669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1930 1935гг. были исследованы методы пеленгования ко</w:t>
      </w:r>
      <w:r w:rsidRPr="00E14102">
        <w:rPr>
          <w:color w:val="000000" w:themeColor="text1"/>
          <w:sz w:val="16"/>
          <w:szCs w:val="16"/>
        </w:rPr>
        <w:softHyphen/>
        <w:t>ротких волн, свободные от поляризационных ошибок, и разрабо</w:t>
      </w:r>
      <w:r w:rsidRPr="00E14102">
        <w:rPr>
          <w:color w:val="000000" w:themeColor="text1"/>
          <w:sz w:val="16"/>
          <w:szCs w:val="16"/>
        </w:rPr>
        <w:softHyphen/>
        <w:t>тан (</w:t>
      </w:r>
      <w:r w:rsidRPr="00E14102">
        <w:rPr>
          <w:color w:val="000000" w:themeColor="text1"/>
          <w:sz w:val="16"/>
          <w:szCs w:val="16"/>
          <w:lang w:val="en-US"/>
        </w:rPr>
        <w:t>A</w:t>
      </w:r>
      <w:r w:rsidRPr="00E14102">
        <w:rPr>
          <w:color w:val="000000" w:themeColor="text1"/>
          <w:sz w:val="16"/>
          <w:szCs w:val="16"/>
        </w:rPr>
        <w:t>.</w:t>
      </w:r>
      <w:r w:rsidRPr="00E14102">
        <w:rPr>
          <w:color w:val="000000" w:themeColor="text1"/>
          <w:sz w:val="16"/>
          <w:szCs w:val="16"/>
          <w:lang w:val="en-US"/>
        </w:rPr>
        <w:t>M</w:t>
      </w:r>
      <w:r w:rsidRPr="00E14102">
        <w:rPr>
          <w:color w:val="000000" w:themeColor="text1"/>
          <w:sz w:val="16"/>
          <w:szCs w:val="16"/>
        </w:rPr>
        <w:t>. Верцманом) радиопеленгатор с вращающейся антен</w:t>
      </w:r>
      <w:r w:rsidRPr="00E14102">
        <w:rPr>
          <w:color w:val="000000" w:themeColor="text1"/>
          <w:sz w:val="16"/>
          <w:szCs w:val="16"/>
        </w:rPr>
        <w:softHyphen/>
        <w:t xml:space="preserve">ной и стационарный радиопеленгатор, работающий по принципу, предложенному АН. Щукиным... М.Е. Стариком и </w:t>
      </w:r>
      <w:r w:rsidRPr="00E14102">
        <w:rPr>
          <w:color w:val="000000" w:themeColor="text1"/>
          <w:sz w:val="16"/>
          <w:szCs w:val="16"/>
          <w:lang w:val="en-US"/>
        </w:rPr>
        <w:t>II</w:t>
      </w:r>
      <w:r w:rsidRPr="00E14102">
        <w:rPr>
          <w:color w:val="000000" w:themeColor="text1"/>
          <w:sz w:val="16"/>
          <w:szCs w:val="16"/>
        </w:rPr>
        <w:t xml:space="preserve">.В. Карма-линым были исследованы методы автоматического пеленгования средних волн н разработан фазометрнческий пеленгатор. </w:t>
      </w:r>
      <w:r w:rsidRPr="00E14102">
        <w:rPr>
          <w:color w:val="000000" w:themeColor="text1"/>
          <w:sz w:val="16"/>
          <w:szCs w:val="16"/>
          <w:lang w:val="en-US"/>
        </w:rPr>
        <w:t>B</w:t>
      </w:r>
      <w:r w:rsidRPr="00E14102">
        <w:rPr>
          <w:color w:val="000000" w:themeColor="text1"/>
          <w:sz w:val="16"/>
          <w:szCs w:val="16"/>
        </w:rPr>
        <w:t>.</w:t>
      </w:r>
      <w:r w:rsidRPr="00E14102">
        <w:rPr>
          <w:color w:val="000000" w:themeColor="text1"/>
          <w:sz w:val="16"/>
          <w:szCs w:val="16"/>
          <w:lang w:val="en-US"/>
        </w:rPr>
        <w:t>C</w:t>
      </w:r>
      <w:r w:rsidRPr="00E14102">
        <w:rPr>
          <w:color w:val="000000" w:themeColor="text1"/>
          <w:sz w:val="16"/>
          <w:szCs w:val="16"/>
        </w:rPr>
        <w:t>. Ко</w:t>
      </w:r>
      <w:r w:rsidRPr="00E14102">
        <w:rPr>
          <w:color w:val="000000" w:themeColor="text1"/>
          <w:sz w:val="16"/>
          <w:szCs w:val="16"/>
        </w:rPr>
        <w:softHyphen/>
        <w:t xml:space="preserve">ган, </w:t>
      </w:r>
      <w:r w:rsidRPr="00E14102">
        <w:rPr>
          <w:color w:val="000000" w:themeColor="text1"/>
          <w:sz w:val="16"/>
          <w:szCs w:val="16"/>
          <w:lang w:val="en-US"/>
        </w:rPr>
        <w:t>II</w:t>
      </w:r>
      <w:r w:rsidRPr="00E14102">
        <w:rPr>
          <w:color w:val="000000" w:themeColor="text1"/>
          <w:sz w:val="16"/>
          <w:szCs w:val="16"/>
        </w:rPr>
        <w:t>. В. Кармалин исследовали девиацию на кораблях; М.Е. Ста</w:t>
      </w:r>
      <w:r w:rsidRPr="00E14102">
        <w:rPr>
          <w:color w:val="000000" w:themeColor="text1"/>
          <w:sz w:val="16"/>
          <w:szCs w:val="16"/>
        </w:rPr>
        <w:softHyphen/>
        <w:t>рик и ИХ. Лазннк разработали выносной радиопеленгатор н высо</w:t>
      </w:r>
      <w:r w:rsidRPr="00E14102">
        <w:rPr>
          <w:color w:val="000000" w:themeColor="text1"/>
          <w:sz w:val="16"/>
          <w:szCs w:val="16"/>
        </w:rPr>
        <w:softHyphen/>
        <w:t>кочастотные фильтры для приёма сигналов на коротких волнах вблизи радиопередатчиков, а также ультракоротковолновый при</w:t>
      </w:r>
      <w:r w:rsidRPr="00E14102">
        <w:rPr>
          <w:color w:val="000000" w:themeColor="text1"/>
          <w:sz w:val="16"/>
          <w:szCs w:val="16"/>
        </w:rPr>
        <w:softHyphen/>
        <w:t>ёмник для катодного телевидения; И. С. Кукес - приёмники корот</w:t>
      </w:r>
      <w:r w:rsidRPr="00E14102">
        <w:rPr>
          <w:color w:val="000000" w:themeColor="text1"/>
          <w:sz w:val="16"/>
          <w:szCs w:val="16"/>
        </w:rPr>
        <w:softHyphen/>
        <w:t>ких волн для разнесенного приёма в условиях подвижных служб...</w:t>
      </w:r>
    </w:p>
    <w:p w14:paraId="7945C8F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Тогда же в лаборатории п/рудились С.Н. Савин и МП. До-л)ханов (позже доктор технических наук, профессор)...</w:t>
      </w:r>
    </w:p>
    <w:p w14:paraId="053B88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Учеными ЦРЛ была проделана огромная работа по созданиию теории радиоприема. Наиболее плодотворными в этом отношении были работы В. И Сифорова в области резонансных и полосовых усилителей, детектирования, преобразования частоты, приёма ча-стотно-модглированных сигналов, фазовой селекции и нестационар</w:t>
      </w:r>
      <w:r w:rsidRPr="00E14102">
        <w:rPr>
          <w:color w:val="000000" w:themeColor="text1"/>
          <w:sz w:val="16"/>
          <w:szCs w:val="16"/>
        </w:rPr>
        <w:softHyphen/>
        <w:t>ных явлений в радиоприёмниках. Теоретические и эксперименталь</w:t>
      </w:r>
      <w:r w:rsidRPr="00E14102">
        <w:rPr>
          <w:color w:val="000000" w:themeColor="text1"/>
          <w:sz w:val="16"/>
          <w:szCs w:val="16"/>
        </w:rPr>
        <w:softHyphen/>
        <w:t>ные работы В. И. Сифорова расширили представления о методах борьбы с замираниями и помехами при приёме радиотелеграфных сигналов...</w:t>
      </w:r>
    </w:p>
    <w:p w14:paraId="58015D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1930 г. в составе отдела приёмников была организована ла</w:t>
      </w:r>
      <w:r w:rsidRPr="00E14102">
        <w:rPr>
          <w:color w:val="000000" w:themeColor="text1"/>
          <w:sz w:val="16"/>
          <w:szCs w:val="16"/>
        </w:rPr>
        <w:softHyphen/>
        <w:t>боратория приёмных антенн под руководством А А. Пистолькор-са. Лаборатория провела многочисленные исследования и разработ</w:t>
      </w:r>
      <w:r w:rsidRPr="00E14102">
        <w:rPr>
          <w:color w:val="000000" w:themeColor="text1"/>
          <w:sz w:val="16"/>
          <w:szCs w:val="16"/>
        </w:rPr>
        <w:softHyphen/>
        <w:t>ки приёмных антенн и антенна-фидерных линий, преимущественно в области профессионального приёма на коротких волнах. Лабора</w:t>
      </w:r>
      <w:r w:rsidRPr="00E14102">
        <w:rPr>
          <w:color w:val="000000" w:themeColor="text1"/>
          <w:sz w:val="16"/>
          <w:szCs w:val="16"/>
        </w:rPr>
        <w:softHyphen/>
        <w:t>торией быт разработаны крестообразные антенны; методы и при</w:t>
      </w:r>
      <w:r w:rsidRPr="00E14102">
        <w:rPr>
          <w:color w:val="000000" w:themeColor="text1"/>
          <w:sz w:val="16"/>
          <w:szCs w:val="16"/>
        </w:rPr>
        <w:softHyphen/>
        <w:t>боры для измерения характеристик и параметров антенн и фидер</w:t>
      </w:r>
      <w:r w:rsidRPr="00E14102">
        <w:rPr>
          <w:color w:val="000000" w:themeColor="text1"/>
          <w:sz w:val="16"/>
          <w:szCs w:val="16"/>
        </w:rPr>
        <w:softHyphen/>
        <w:t>ных линий; экранированный высокочастотный кабель для фидер</w:t>
      </w:r>
      <w:r w:rsidRPr="00E14102">
        <w:rPr>
          <w:color w:val="000000" w:themeColor="text1"/>
          <w:sz w:val="16"/>
          <w:szCs w:val="16"/>
        </w:rPr>
        <w:softHyphen/>
        <w:t>ных линий; переходные конденсаторы для антенн бегущей волны; фидерные переходы и антенные коммутаторы...</w:t>
      </w:r>
    </w:p>
    <w:p w14:paraId="477BD39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числе интересных и содержательных работ, проведенных в ЦРЛ в области радиоприёма, следует отметить исследования Л. Б. Слепяна в области резонансных усилителей, детектирования и расчета входных цепей радиоприёмников. Вопросами детекти</w:t>
      </w:r>
      <w:r w:rsidRPr="00E14102">
        <w:rPr>
          <w:color w:val="000000" w:themeColor="text1"/>
          <w:sz w:val="16"/>
          <w:szCs w:val="16"/>
        </w:rPr>
        <w:softHyphen/>
        <w:t>рования занимался также А. К. Балихин. Известны работы ПН. Л-рылова по нестационарным явлениям в радиоприёмниках и по поме</w:t>
      </w:r>
      <w:r w:rsidRPr="00E14102">
        <w:rPr>
          <w:color w:val="000000" w:themeColor="text1"/>
          <w:sz w:val="16"/>
          <w:szCs w:val="16"/>
        </w:rPr>
        <w:softHyphen/>
        <w:t>хам радиоприёму. Помехами радиоприёму занимался также М.А. Бонч-Бруевич.</w:t>
      </w:r>
    </w:p>
    <w:p w14:paraId="74710093" w14:textId="77777777" w:rsidR="00D4105E" w:rsidRPr="00E14102" w:rsidRDefault="00D4105E" w:rsidP="00E14102">
      <w:pPr>
        <w:shd w:val="clear" w:color="auto" w:fill="FFFFFF"/>
        <w:autoSpaceDE w:val="0"/>
        <w:autoSpaceDN w:val="0"/>
        <w:adjustRightInd w:val="0"/>
        <w:jc w:val="both"/>
        <w:rPr>
          <w:iCs/>
          <w:color w:val="000000" w:themeColor="text1"/>
          <w:sz w:val="16"/>
          <w:szCs w:val="16"/>
        </w:rPr>
      </w:pPr>
      <w:r w:rsidRPr="00E14102">
        <w:rPr>
          <w:color w:val="000000" w:themeColor="text1"/>
          <w:sz w:val="16"/>
          <w:szCs w:val="16"/>
        </w:rPr>
        <w:t>Развитие радиофикации и электрификации страны потре</w:t>
      </w:r>
      <w:r w:rsidRPr="00E14102">
        <w:rPr>
          <w:color w:val="000000" w:themeColor="text1"/>
          <w:sz w:val="16"/>
          <w:szCs w:val="16"/>
        </w:rPr>
        <w:softHyphen/>
        <w:t>бовало срочной разработки методов подавления радиопомех, со</w:t>
      </w:r>
      <w:r w:rsidRPr="00E14102">
        <w:rPr>
          <w:color w:val="000000" w:themeColor="text1"/>
          <w:sz w:val="16"/>
          <w:szCs w:val="16"/>
        </w:rPr>
        <w:softHyphen/>
        <w:t>здаваемых различными электроустройствами, и аппаратуры из</w:t>
      </w:r>
      <w:r w:rsidRPr="00E14102">
        <w:rPr>
          <w:color w:val="000000" w:themeColor="text1"/>
          <w:sz w:val="16"/>
          <w:szCs w:val="16"/>
        </w:rPr>
        <w:softHyphen/>
        <w:t>мерения этих помех. По инициативе М.Д. Абрамсопа в 1933г. в отделе приёмников ЦРЛ была организована сначала группа, а за</w:t>
      </w:r>
      <w:r w:rsidRPr="00E14102">
        <w:rPr>
          <w:color w:val="000000" w:themeColor="text1"/>
          <w:sz w:val="16"/>
          <w:szCs w:val="16"/>
        </w:rPr>
        <w:softHyphen/>
        <w:t>тем лаборатория по борьбе с индустриальными радиопомехами. Кроме М.Д. Абрамсона, основными работниками лаборатории с 1933 по 1935гг. были С.А. Лютое, Л.А. Фоменко (позже доктор технических наук), Ф.Э. Ильгекит. При реорганизации ЦРЛ в 1936г. лаборатория</w:t>
      </w:r>
      <w:r w:rsidRPr="00E14102">
        <w:rPr>
          <w:iCs/>
          <w:color w:val="000000" w:themeColor="text1"/>
          <w:sz w:val="16"/>
          <w:szCs w:val="16"/>
        </w:rPr>
        <w:t xml:space="preserve"> помех была сохранена в составе Института радиовещательного приёма и акустики, где и продолжала свою дело.</w:t>
      </w:r>
    </w:p>
    <w:p w14:paraId="2E2FF4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Вот что вспоминает А.А. Пистолькорс о работе (в 30-е годы) ан</w:t>
      </w:r>
      <w:r w:rsidRPr="00E14102">
        <w:rPr>
          <w:color w:val="000000" w:themeColor="text1"/>
          <w:sz w:val="16"/>
          <w:szCs w:val="16"/>
        </w:rPr>
        <w:softHyphen/>
        <w:t>тенной лаборатории:</w:t>
      </w:r>
    </w:p>
    <w:p w14:paraId="00C397F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начальный период работы лаборатории необходимо было освоить элементы теории преимущественно коротковолновых при</w:t>
      </w:r>
      <w:r w:rsidRPr="00E14102">
        <w:rPr>
          <w:color w:val="000000" w:themeColor="text1"/>
          <w:sz w:val="16"/>
          <w:szCs w:val="16"/>
        </w:rPr>
        <w:softHyphen/>
        <w:t>ёмных антенн, принципы их использования и технику соединения антенны с приёмником... Необходимо было разрабатывать и ис</w:t>
      </w:r>
      <w:r w:rsidRPr="00E14102">
        <w:rPr>
          <w:color w:val="000000" w:themeColor="text1"/>
          <w:sz w:val="16"/>
          <w:szCs w:val="16"/>
        </w:rPr>
        <w:softHyphen/>
        <w:t>пытывать ряд коротковолновых антенн, удовлетворяющих доволь</w:t>
      </w:r>
      <w:r w:rsidRPr="00E14102">
        <w:rPr>
          <w:color w:val="000000" w:themeColor="text1"/>
          <w:sz w:val="16"/>
          <w:szCs w:val="16"/>
        </w:rPr>
        <w:softHyphen/>
        <w:t>но широкому кругу требований заказчика. Для полевых испытаний таких антенн был организован полигон близ поселка Тайцы, неда</w:t>
      </w:r>
      <w:r w:rsidRPr="00E14102">
        <w:rPr>
          <w:color w:val="000000" w:themeColor="text1"/>
          <w:sz w:val="16"/>
          <w:szCs w:val="16"/>
        </w:rPr>
        <w:softHyphen/>
        <w:t>леко от Ленинграда. На этом полигоне впервые был введен в прак</w:t>
      </w:r>
      <w:r w:rsidRPr="00E14102">
        <w:rPr>
          <w:color w:val="000000" w:themeColor="text1"/>
          <w:sz w:val="16"/>
          <w:szCs w:val="16"/>
        </w:rPr>
        <w:softHyphen/>
        <w:t>тику метод снятия диаграмм направленности антенн с помощью самолета.</w:t>
      </w:r>
    </w:p>
    <w:p w14:paraId="6AA97A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начале тридцатых годов усиленно развивалась коротко</w:t>
      </w:r>
      <w:r w:rsidRPr="00E14102">
        <w:rPr>
          <w:color w:val="000000" w:themeColor="text1"/>
          <w:sz w:val="16"/>
          <w:szCs w:val="16"/>
        </w:rPr>
        <w:softHyphen/>
        <w:t>волновая радиосвязь, сооружались передающие и приёмные центры для неё. Для приема за рубежом стали внедряться диапазонные "ан</w:t>
      </w:r>
      <w:r w:rsidRPr="00E14102">
        <w:rPr>
          <w:color w:val="000000" w:themeColor="text1"/>
          <w:sz w:val="16"/>
          <w:szCs w:val="16"/>
        </w:rPr>
        <w:softHyphen/>
        <w:t>тенны бегущей волны ", представляющие собой систему из ряда го</w:t>
      </w:r>
      <w:r w:rsidRPr="00E14102">
        <w:rPr>
          <w:color w:val="000000" w:themeColor="text1"/>
          <w:sz w:val="16"/>
          <w:szCs w:val="16"/>
        </w:rPr>
        <w:softHyphen/>
        <w:t>ризонтальных симметричных вибраторов, присоединенных через небольшие конденсаторы к двухпроводной линии длиной 90 метров, нагруженной па сопротивление, равное волновому. Такие антенны по разработанному лабораторией проекту сооружались и на Мос</w:t>
      </w:r>
      <w:r w:rsidRPr="00E14102">
        <w:rPr>
          <w:color w:val="000000" w:themeColor="text1"/>
          <w:sz w:val="16"/>
          <w:szCs w:val="16"/>
        </w:rPr>
        <w:softHyphen/>
        <w:t>ковском приёмном радиоцентре в поселке Бутово Лаборатории при</w:t>
      </w:r>
      <w:r w:rsidRPr="00E14102">
        <w:rPr>
          <w:color w:val="000000" w:themeColor="text1"/>
          <w:sz w:val="16"/>
          <w:szCs w:val="16"/>
        </w:rPr>
        <w:softHyphen/>
        <w:t>шлось потратить немало времени для наблюдения за их сооруже</w:t>
      </w:r>
      <w:r w:rsidRPr="00E14102">
        <w:rPr>
          <w:color w:val="000000" w:themeColor="text1"/>
          <w:sz w:val="16"/>
          <w:szCs w:val="16"/>
        </w:rPr>
        <w:softHyphen/>
        <w:t>нием и для ввода их в эксплуатацию. Эта работа завершилась пол</w:t>
      </w:r>
      <w:r w:rsidRPr="00E14102">
        <w:rPr>
          <w:color w:val="000000" w:themeColor="text1"/>
          <w:sz w:val="16"/>
          <w:szCs w:val="16"/>
        </w:rPr>
        <w:softHyphen/>
        <w:t>ным успехом, что послужило основанием для загрузки в дальней</w:t>
      </w:r>
      <w:r w:rsidRPr="00E14102">
        <w:rPr>
          <w:color w:val="000000" w:themeColor="text1"/>
          <w:sz w:val="16"/>
          <w:szCs w:val="16"/>
        </w:rPr>
        <w:softHyphen/>
        <w:t>шем лаборатории большой проектной работой: созданием проек</w:t>
      </w:r>
      <w:r w:rsidRPr="00E14102">
        <w:rPr>
          <w:color w:val="000000" w:themeColor="text1"/>
          <w:sz w:val="16"/>
          <w:szCs w:val="16"/>
        </w:rPr>
        <w:softHyphen/>
        <w:t>та трех коротковолновых приёмных центров в Москве, Иркутске и Комсомольске-на-Амуре, включающего в себя не только антен</w:t>
      </w:r>
      <w:r w:rsidRPr="00E14102">
        <w:rPr>
          <w:color w:val="000000" w:themeColor="text1"/>
          <w:sz w:val="16"/>
          <w:szCs w:val="16"/>
        </w:rPr>
        <w:softHyphen/>
        <w:t>ную часть, но и приёмную аппаратуру, разрабатывавшуюся на за</w:t>
      </w:r>
      <w:r w:rsidRPr="00E14102">
        <w:rPr>
          <w:color w:val="000000" w:themeColor="text1"/>
          <w:sz w:val="16"/>
          <w:szCs w:val="16"/>
        </w:rPr>
        <w:softHyphen/>
        <w:t>воде им. Козицкого под руководством А. П. Сиверса по заданию ла</w:t>
      </w:r>
      <w:r w:rsidRPr="00E14102">
        <w:rPr>
          <w:color w:val="000000" w:themeColor="text1"/>
          <w:sz w:val="16"/>
          <w:szCs w:val="16"/>
        </w:rPr>
        <w:softHyphen/>
        <w:t>боратории. При разработке проекта бьиг внесен ряд усовершенство</w:t>
      </w:r>
      <w:r w:rsidRPr="00E14102">
        <w:rPr>
          <w:color w:val="000000" w:themeColor="text1"/>
          <w:sz w:val="16"/>
          <w:szCs w:val="16"/>
        </w:rPr>
        <w:softHyphen/>
        <w:t>ваний в антенны бегущей волны, и много внимания пришлось уде</w:t>
      </w:r>
      <w:r w:rsidRPr="00E14102">
        <w:rPr>
          <w:color w:val="000000" w:themeColor="text1"/>
          <w:sz w:val="16"/>
          <w:szCs w:val="16"/>
        </w:rPr>
        <w:softHyphen/>
        <w:t>лить вопросам коммутации антенн с приёмниками. Проект ука</w:t>
      </w:r>
      <w:r w:rsidRPr="00E14102">
        <w:rPr>
          <w:color w:val="000000" w:themeColor="text1"/>
          <w:sz w:val="16"/>
          <w:szCs w:val="16"/>
        </w:rPr>
        <w:softHyphen/>
        <w:t>занных трех центров был успешно защищен в 1937г.</w:t>
      </w:r>
    </w:p>
    <w:p w14:paraId="02CB95E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Наиболее активную роль в разработках лаборатории играли А.Л. Драбкин, А.Д. Истрашкин, Л.Ш Натадзе иЛ.И. Шпильберг(11481).</w:t>
      </w:r>
    </w:p>
    <w:p w14:paraId="5743659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F9DFA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февраля 1935 г. вышел приказ Главэспрома НКТП № 40, в соответствиис которым была произведена глубокая реорганизация сети научно исследовательских учреждений Главэспрома. Во многом по настоянию руко водителя программы мощного радиостроения А.Л. Минца в связи с построй кой радиоцентров и мощных радиостанций был создан Государственный Со юзный Комбинат Мощного Радиостроения (КМРС) им. Коминтерна. В его со став вошли Радиозавод им. Коминтерна, а также Отраслевая лаборатория про фессиональных устройств (ОРПУ), организованная в свою очередь 1 марта 1935 г. на базе большей части лабораторий ЦРЛ и Отраслевой лаборатории передающих устройств (Михайлов В.А. Указ. соч. С. 61.). Территориально ОРПУ КМРС разместилась не только в помещениях ЦРЛ на улицах акад. Павлова и Грота, а также и на территории завода им. Ко минтерна. В ее составе было создано около двадцати лабораторий-отделов та ких, как магистральных передатчиков (И.Х. Невяжский), магистрального ра диоприема (А.А. Пистолькорс), низкой частоты (М.М. Вейсбейн), передаю щих антенн (М.С. Нейман), электровакуумный (Н.И. Оганов), источников пи тания (М.А.Спицын), специальных разработок (Л.Е. Штиллерман) и др. Ди ректором ОРПУ был назначен А.Л. Минц, которого 29 апреля 1936 г. сменил И.З. Нефедов. Завод им. Коминтерна, который в составе КМРС получил наименование «Завод серийного производства», занимался разработкой новых образцов ра диостанций по заданиям НКО и серийным производством принятой на воору жение радиопродукции. Кроме завода и ОРПУ в составе КМРС функционировали: Отраслевая лаборатория измерительных устройств (ОРИЗ), производившая точную измерительную аппаратуру, применяемую в радиотехнике, кварцевые возбудители для мощных радиостанций и кварцевые пластины для стабилизации; Проект ная контора, занимавшаяся проектированием радиостанций (ЦГА СПб., ф. 945, оп. 3, д. 287, л. 121.); Отраслевая ра диолаборатория магистрального приема (ОРМП); лаборатория материалов профессора Вальтера, а также ряд монтажно-строительных подразделений. Не вошедшие в ОРПУ подразделения ЦРЛ, занимавшиеся вопросами радиовещательного приема и акустики, а также лаборатория индустриальных радиопомех были сконцентрированы в ее филиале на Каменном острове. На конец, приказом № 1467 НКТП от 3 сентября 1936 г. не вошедшая в ОРПУ часть ЦРЛ была переименована в институт радиовещательного приема и аку стики (ИРПА) (Михайлов В.А. Указ. соч. С. 63.). Так завершилась 13-летняя история Центральной радиолаборатории, ко торая внесла существенный вклад в развитие всех отраслей радиотехники, по служила основой для дальнейшего совершенствования и расширения научно исследовательской и производственной базы военной радиосвязи (11870).</w:t>
      </w:r>
    </w:p>
    <w:p w14:paraId="7AA2AF44" w14:textId="77777777" w:rsidR="00D4105E" w:rsidRPr="00E14102" w:rsidRDefault="00D4105E" w:rsidP="00E14102">
      <w:pPr>
        <w:autoSpaceDE w:val="0"/>
        <w:autoSpaceDN w:val="0"/>
        <w:adjustRightInd w:val="0"/>
        <w:jc w:val="both"/>
        <w:rPr>
          <w:color w:val="000000" w:themeColor="text1"/>
          <w:sz w:val="16"/>
          <w:szCs w:val="16"/>
        </w:rPr>
      </w:pPr>
    </w:p>
    <w:p w14:paraId="4E2ACA0D" w14:textId="77777777" w:rsidR="00C17A36" w:rsidRPr="00E14102" w:rsidRDefault="00C17A36" w:rsidP="00E14102">
      <w:pPr>
        <w:jc w:val="both"/>
        <w:rPr>
          <w:color w:val="000000" w:themeColor="text1"/>
          <w:sz w:val="16"/>
          <w:szCs w:val="16"/>
        </w:rPr>
      </w:pPr>
      <w:r w:rsidRPr="00E14102">
        <w:rPr>
          <w:color w:val="000000" w:themeColor="text1"/>
          <w:sz w:val="16"/>
          <w:szCs w:val="16"/>
        </w:rPr>
        <w:t>10 февраля 1935 г. в соответствии с приказом Главэспрома НКТП № 40 был создан Государственный Союзный Комбинат Мощного Радиостроения (КМРС) им. Коминтерна. В его состав вошли радиозавод им. Коминтерна, а также Отраслевая лаборатория профессиональных устройств (ОРПУ), организованная в свою очередь 1 марта 1935 г. на базе большей части лабораторий ЦРЛ и Отраслевой лаборатории передающих устройств. При этом из ЦРЛ были переведены все группы, занимавшиеся спецразработками, вместе с имевшимися у них заказами на такого рода разработки5. В составе ОРПУ было создано около двадцати лабораторий-отделов таких как, магистральных передатчиков (И.Х. Невяжский), магистрального радиоприема (А.А. Пистолькорс), низкой частоты (М.М. Вейсбейн), передающих антенн (М.С. Нейман), электровакуумный (Н.И. Оганов), источников питания (М.А. Спицын), специальных разработок (Л.Е. Штиллерман) и др. Директором ОРПУ был назначен А.Л. Минц, которого 29 апреля 1936 г. сменил И.З. Нефедов. Не вошедшая в ОРПУ часть ЦРЛ приказом наркома тяжелой промышленности № 1467 от 3 сентября 1936 г. была переименована в институт радиовещательного приема и акустики (ИРПА) (18297).</w:t>
      </w:r>
    </w:p>
    <w:p w14:paraId="5A96226C" w14:textId="77777777" w:rsidR="00C17A36" w:rsidRPr="00E14102" w:rsidRDefault="00C17A36" w:rsidP="00E14102">
      <w:pPr>
        <w:jc w:val="both"/>
        <w:rPr>
          <w:color w:val="000000" w:themeColor="text1"/>
          <w:sz w:val="16"/>
          <w:szCs w:val="16"/>
        </w:rPr>
      </w:pPr>
    </w:p>
    <w:p w14:paraId="4CB370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10 февраля 1935 г. на стапеле (Завод № 369 НКСП, МСП, Кокуйский судостроительный завод, Сретенская верфь, ООО «Сретенский судостроительный завод» /пос. Кокуй Сретенского р-на Читинской обл. ул. Заводская, 9/) была заложена первая баржа, этот день стал днем рождения Сретенской верфи. В 1937 г. продолжавшееся строительство завода № 369 было законсервировано. В 1939 г. завод передан в Ведение НКСП.</w:t>
      </w:r>
    </w:p>
    <w:p w14:paraId="1B0069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1907-08 г. в пос. Кокуй на р. Шилка открыты отделения Балтийского и Сормовского заводов с временной верфью для сборки канонерских лодок производства этих заводов, построены стапеля. Осуществлялась сборка канонерских лодок для Амурской флотилии. Затем судостроение заглохло и возобновлено лишь в 1935 г., когда начато строительство наливных барж.</w:t>
      </w:r>
    </w:p>
    <w:p w14:paraId="79E1E3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1942 г. сюда эвакуирована часть завода № 638 НКСП.</w:t>
      </w:r>
    </w:p>
    <w:p w14:paraId="69E3F8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1950-е  г. велось активное строительство завода, продолжавшееся до 1980 г.</w:t>
      </w:r>
    </w:p>
    <w:p w14:paraId="69C079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Далее- ООО «Сретенский ССЗ». В 2005 г. велась процедура банкротства завода.</w:t>
      </w:r>
    </w:p>
    <w:p w14:paraId="1803DB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Численность персонала (1970-е)- 3500 чел., (1999 г.)- 770 чел.</w:t>
      </w:r>
    </w:p>
    <w:p w14:paraId="66FB6B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Гендиректор (2005 г.)- П. Похитонов.</w:t>
      </w:r>
    </w:p>
    <w:p w14:paraId="565A71F1"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Производство:</w:t>
      </w:r>
      <w:r w:rsidRPr="00E14102">
        <w:rPr>
          <w:color w:val="000000" w:themeColor="text1"/>
          <w:sz w:val="16"/>
          <w:szCs w:val="16"/>
        </w:rPr>
        <w:t xml:space="preserve"> сборка канонерских лодок Сормовского завода «Бурят», «Монгол», «Орочанин», «Вогул» («Беднота»), «Вотяк» («Пролетарий»), «Калмык», «Киргиз», «Корел», «Сибиряк» («Красное знамя»), «Зырянин» (1907-08);</w:t>
      </w:r>
      <w:r w:rsidRPr="00E14102">
        <w:rPr>
          <w:iCs/>
          <w:color w:val="000000" w:themeColor="text1"/>
          <w:sz w:val="16"/>
          <w:szCs w:val="16"/>
        </w:rPr>
        <w:t xml:space="preserve"> буксиры:</w:t>
      </w:r>
      <w:r w:rsidRPr="00E14102">
        <w:rPr>
          <w:color w:val="000000" w:themeColor="text1"/>
          <w:sz w:val="16"/>
          <w:szCs w:val="16"/>
        </w:rPr>
        <w:t xml:space="preserve"> морской 400 л.с. типа «МБ» пр. 130 (1933-39)- 9; речные пр. 1741 «Капитан В.В. Климов», пр. 1741А (1970-е-90)- всего около 300 (вместе с Тюменским ССЗ); наливные баржи (1935-40-е); сухогрузные транспорты пр. 450 (1954)- 2, пр. 450Б (1955-58)- 35 (вместе с заводом 196); станции размагничивания пр. 523 (1950-е); речной бронекатер пр. 1248 (1979-91)- более 20; вспомогательные суда для ВМФ (1970-е); речные теплоходы (1968);</w:t>
      </w:r>
      <w:r w:rsidRPr="00E14102">
        <w:rPr>
          <w:iCs/>
          <w:color w:val="000000" w:themeColor="text1"/>
          <w:sz w:val="16"/>
          <w:szCs w:val="16"/>
        </w:rPr>
        <w:t xml:space="preserve"> рыболовецкие суда:</w:t>
      </w:r>
      <w:r w:rsidRPr="00E14102">
        <w:rPr>
          <w:color w:val="000000" w:themeColor="text1"/>
          <w:sz w:val="16"/>
          <w:szCs w:val="16"/>
        </w:rPr>
        <w:t xml:space="preserve"> сейнер пр. 388М типа «Маневренный» (1967-80-е)- 250 (вместе с Николаевским-на-Амуре и Астраханским им. Кирова ССЗ); МРТ пр. 1328 «Балтика» (-1999)- 3; среднее добывающее судно пр. 13020 «Приморье» (1988), (2000-е)-1; малое добывающее судно МДС-90 пр. 13033 «Крильон» (2000-е)- 3; служебно-разъездной катер пр. 13982 (1980-е); понтонно-мостовой парк пр. 65 (1960-е); морской теплоход-площадка пр. 16901 для перевозки грузов в районы, не имеющие причалов; моторные лодки; вагоны-общежития; неводовыборочные лебедки, гидростаты; мебель (11982).</w:t>
      </w:r>
    </w:p>
    <w:p w14:paraId="66D20357" w14:textId="77777777" w:rsidR="00D4105E" w:rsidRPr="00E14102" w:rsidRDefault="00D4105E" w:rsidP="00E14102">
      <w:pPr>
        <w:autoSpaceDE w:val="0"/>
        <w:autoSpaceDN w:val="0"/>
        <w:adjustRightInd w:val="0"/>
        <w:jc w:val="both"/>
        <w:rPr>
          <w:color w:val="000000" w:themeColor="text1"/>
          <w:sz w:val="16"/>
          <w:szCs w:val="16"/>
        </w:rPr>
      </w:pPr>
    </w:p>
    <w:p w14:paraId="21D703D0" w14:textId="77777777" w:rsidR="008853C1"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0BA08EB" w14:textId="77777777" w:rsidR="008853C1" w:rsidRPr="00E14102" w:rsidRDefault="008853C1" w:rsidP="00E14102">
      <w:pPr>
        <w:autoSpaceDE w:val="0"/>
        <w:autoSpaceDN w:val="0"/>
        <w:adjustRightInd w:val="0"/>
        <w:jc w:val="both"/>
        <w:rPr>
          <w:iCs/>
          <w:color w:val="000000" w:themeColor="text1"/>
          <w:sz w:val="16"/>
          <w:szCs w:val="16"/>
        </w:rPr>
      </w:pPr>
    </w:p>
    <w:p w14:paraId="0BF50EB8" w14:textId="77777777" w:rsidR="008853C1" w:rsidRPr="00E14102" w:rsidRDefault="008853C1" w:rsidP="00E14102">
      <w:pPr>
        <w:pStyle w:val="rtejustify"/>
        <w:spacing w:before="0" w:after="0"/>
        <w:rPr>
          <w:color w:val="000000" w:themeColor="text1"/>
          <w:sz w:val="16"/>
          <w:szCs w:val="16"/>
        </w:rPr>
      </w:pPr>
      <w:r w:rsidRPr="00E14102">
        <w:rPr>
          <w:color w:val="000000" w:themeColor="text1"/>
          <w:sz w:val="16"/>
          <w:szCs w:val="16"/>
        </w:rPr>
        <w:t xml:space="preserve">10 февраля 1935 г. Постановлением СНК был утвержден новый Устав железных дорог СССР, который был введен с 15 марта 1935 г. В 1935 г. была также проведена организационная перестройка аппарата управления транспорта: ликвидировалось Центральное управление делами при наркоме, и взамен его создан секретариат; Административно-организационное управление реорганизовано в Управление делами НКПС; при Управлении делами создан Особый сектор, который в оперативном отношении подчинялся секретариату наркома; группа контроля и инспекция при наркоме соединялись в единую контрольно-инспекторскую группу; Техническое совещание реорганизовано в Научно-технический совет при наркоме для решения вопросов реконструкции железнодорожного транспорта. Некоторые структурные изменения были внесены приказом НКПС № 320 от 16 апреля 1936 г., тогда были созданы новые управления (движения, пассажирское, грузовое и др.). (РГАЭ. Ф. 1884. И/с) (15254). В 1931 г. из НКПС в самостоятельную отрасль управления были выделены автотранспорт и дороги, для чего автомобильный отдел Центрального управления местного транспорта был реорганизован в </w:t>
      </w:r>
      <w:r w:rsidRPr="00E14102">
        <w:rPr>
          <w:rStyle w:val="a6"/>
          <w:bCs/>
          <w:i w:val="0"/>
          <w:color w:val="000000" w:themeColor="text1"/>
          <w:sz w:val="16"/>
          <w:szCs w:val="16"/>
        </w:rPr>
        <w:t>Центральное управление шоссейных и грунтовых дорог и автомобильного транспорта (Цудотранс)</w:t>
      </w:r>
      <w:r w:rsidRPr="00E14102">
        <w:rPr>
          <w:color w:val="000000" w:themeColor="text1"/>
          <w:sz w:val="16"/>
          <w:szCs w:val="16"/>
        </w:rPr>
        <w:t>. С 1931 г. по 1935 г. Цудотранс был подчинен СНК СССР. Постановлением СНК СССР от 13 января 1932 г. было утверждено «Положение о Всесоюзном центральном управлении шоссейных и грунтовых дорог и автомобильного транспорта при СНК СССР», которое расширило задачи Цудотранса. Оно определило, что «Всесоюзное центральное управление шоссейных и грунтовых дорог и автомобильного транспорта при Совете народных комиссаров СССР имеет задачи руководства, планирования и регулирования дорожного хозяйства и автомобильного транспорта, а также транспортно-эксплуатационного и складского дела». Постановлением ЦИК и СНК СССР от 28 октября 1935 г. Цудотранс передан в состав НКВД СССР, а в марте 1936 г. реорганизован в Главное управление шоссейных дорог (Гушосдор) НКВД СССР.</w:t>
      </w:r>
    </w:p>
    <w:p w14:paraId="5342592C" w14:textId="3BA300BE" w:rsidR="008853C1" w:rsidRPr="00E14102" w:rsidRDefault="008853C1" w:rsidP="00E14102">
      <w:pPr>
        <w:pStyle w:val="rtejustify"/>
        <w:spacing w:before="0" w:after="0"/>
        <w:rPr>
          <w:color w:val="000000" w:themeColor="text1"/>
          <w:sz w:val="16"/>
          <w:szCs w:val="16"/>
        </w:rPr>
      </w:pPr>
    </w:p>
    <w:p w14:paraId="7760400D" w14:textId="1241FF33" w:rsidR="00FC1960" w:rsidRPr="00E14102" w:rsidRDefault="00FC1960" w:rsidP="00E14102">
      <w:pPr>
        <w:pStyle w:val="rtejustify"/>
        <w:spacing w:before="0" w:after="0"/>
        <w:rPr>
          <w:i/>
          <w:iCs/>
          <w:color w:val="000000" w:themeColor="text1"/>
          <w:sz w:val="16"/>
          <w:szCs w:val="16"/>
        </w:rPr>
      </w:pPr>
      <w:r w:rsidRPr="00E14102">
        <w:rPr>
          <w:i/>
          <w:iCs/>
          <w:color w:val="000000" w:themeColor="text1"/>
          <w:sz w:val="16"/>
          <w:szCs w:val="16"/>
        </w:rPr>
        <w:t>Внешняя торговля:</w:t>
      </w:r>
    </w:p>
    <w:p w14:paraId="327BF2EA" w14:textId="77777777" w:rsidR="00FC1960" w:rsidRPr="00E14102" w:rsidRDefault="00FC1960" w:rsidP="00E14102">
      <w:pPr>
        <w:pStyle w:val="rtejustify"/>
        <w:spacing w:before="0" w:after="0"/>
        <w:rPr>
          <w:i/>
          <w:iCs/>
          <w:color w:val="000000" w:themeColor="text1"/>
          <w:sz w:val="16"/>
          <w:szCs w:val="16"/>
        </w:rPr>
      </w:pPr>
    </w:p>
    <w:p w14:paraId="5CD3557C" w14:textId="77777777" w:rsidR="00FC1960" w:rsidRPr="00E14102" w:rsidRDefault="00FC1960" w:rsidP="00E14102">
      <w:pPr>
        <w:jc w:val="both"/>
        <w:rPr>
          <w:color w:val="0070C0"/>
          <w:sz w:val="16"/>
          <w:szCs w:val="16"/>
        </w:rPr>
      </w:pPr>
      <w:r w:rsidRPr="00E14102">
        <w:rPr>
          <w:color w:val="0070C0"/>
          <w:sz w:val="16"/>
          <w:szCs w:val="16"/>
        </w:rPr>
        <w:t>10 февраля 1935 опросом членов ПБ</w:t>
      </w:r>
    </w:p>
    <w:p w14:paraId="328360E5" w14:textId="77777777" w:rsidR="00FC1960" w:rsidRPr="00E14102" w:rsidRDefault="00FC1960" w:rsidP="00E14102">
      <w:pPr>
        <w:jc w:val="both"/>
        <w:rPr>
          <w:color w:val="0070C0"/>
          <w:sz w:val="16"/>
          <w:szCs w:val="16"/>
        </w:rPr>
      </w:pPr>
      <w:r w:rsidRPr="00E14102">
        <w:rPr>
          <w:color w:val="0070C0"/>
          <w:sz w:val="16"/>
          <w:szCs w:val="16"/>
        </w:rPr>
        <w:t>38.- О сессии Комитета торговли и производства оружия.</w:t>
      </w:r>
    </w:p>
    <w:p w14:paraId="75290BC7" w14:textId="77777777" w:rsidR="00FC1960" w:rsidRPr="00E14102" w:rsidRDefault="00FC1960" w:rsidP="00E14102">
      <w:pPr>
        <w:jc w:val="both"/>
        <w:rPr>
          <w:color w:val="0070C0"/>
          <w:sz w:val="16"/>
          <w:szCs w:val="16"/>
        </w:rPr>
      </w:pPr>
      <w:r w:rsidRPr="00E14102">
        <w:rPr>
          <w:color w:val="0070C0"/>
          <w:sz w:val="16"/>
          <w:szCs w:val="16"/>
        </w:rPr>
        <w:t>Для участия в Комиссии торговли и производства оружия направить в Женеву т.Венцова, которому дать сле</w:t>
      </w:r>
      <w:r w:rsidRPr="00E14102">
        <w:rPr>
          <w:color w:val="0070C0"/>
          <w:sz w:val="16"/>
          <w:szCs w:val="16"/>
        </w:rPr>
        <w:softHyphen/>
        <w:t>дующие инструкции:</w:t>
      </w:r>
    </w:p>
    <w:p w14:paraId="42B5C249" w14:textId="77777777" w:rsidR="00FC1960" w:rsidRPr="00E14102" w:rsidRDefault="00FC1960" w:rsidP="00E14102">
      <w:pPr>
        <w:jc w:val="both"/>
        <w:rPr>
          <w:color w:val="0070C0"/>
          <w:sz w:val="16"/>
          <w:szCs w:val="16"/>
        </w:rPr>
      </w:pPr>
      <w:r w:rsidRPr="00E14102">
        <w:rPr>
          <w:color w:val="0070C0"/>
          <w:sz w:val="16"/>
          <w:szCs w:val="16"/>
        </w:rPr>
        <w:t>1. В случае общих дебатов заявить,со ссылкой на выступление т.Литвинова в Бюро Конференции по разоруже</w:t>
      </w:r>
      <w:r w:rsidRPr="00E14102">
        <w:rPr>
          <w:color w:val="0070C0"/>
          <w:sz w:val="16"/>
          <w:szCs w:val="16"/>
        </w:rPr>
        <w:softHyphen/>
        <w:t>нию. что мы не возражаем против отдельного обсуждения и выработки проекта конвенции по контролю над производ</w:t>
      </w:r>
      <w:r w:rsidRPr="00E14102">
        <w:rPr>
          <w:color w:val="0070C0"/>
          <w:sz w:val="16"/>
          <w:szCs w:val="16"/>
        </w:rPr>
        <w:softHyphen/>
        <w:t>ством и торговлей оружием, но что мы мыслим себе эту конвенцию, как часть общего соглашения о разоружении. Мы считаем, что пока государства не взяли на себя ни</w:t>
      </w:r>
      <w:r w:rsidRPr="00E14102">
        <w:rPr>
          <w:color w:val="0070C0"/>
          <w:sz w:val="16"/>
          <w:szCs w:val="16"/>
        </w:rPr>
        <w:softHyphen/>
        <w:t>каких обязательств о сокращении и ограничении своих воо</w:t>
      </w:r>
      <w:r w:rsidRPr="00E14102">
        <w:rPr>
          <w:color w:val="0070C0"/>
          <w:sz w:val="16"/>
          <w:szCs w:val="16"/>
        </w:rPr>
        <w:softHyphen/>
        <w:t>ружений и могут увеличивать последние до произвольных размеров, любые моры по контролю над производством и торговлей оружием не могут ни в какой степени увеличи</w:t>
      </w:r>
      <w:r w:rsidRPr="00E14102">
        <w:rPr>
          <w:color w:val="0070C0"/>
          <w:sz w:val="16"/>
          <w:szCs w:val="16"/>
        </w:rPr>
        <w:softHyphen/>
        <w:t>вать чувства безопасности народов и служить долу мира. Мы поэтому не придаем значения самостоятельной конвен</w:t>
      </w:r>
      <w:r w:rsidRPr="00E14102">
        <w:rPr>
          <w:color w:val="0070C0"/>
          <w:sz w:val="16"/>
          <w:szCs w:val="16"/>
        </w:rPr>
        <w:softHyphen/>
        <w:t>ции по торговле оружием, если она не будет связана с конвенцией по разоружению. Во всяком случав, конвенция по контролю над производством и торговлей оружием прием</w:t>
      </w:r>
      <w:r w:rsidRPr="00E14102">
        <w:rPr>
          <w:color w:val="0070C0"/>
          <w:sz w:val="16"/>
          <w:szCs w:val="16"/>
        </w:rPr>
        <w:softHyphen/>
        <w:t>лема для нас лишь в случае принятия ее всеми главнейши</w:t>
      </w:r>
      <w:r w:rsidRPr="00E14102">
        <w:rPr>
          <w:color w:val="0070C0"/>
          <w:sz w:val="16"/>
          <w:szCs w:val="16"/>
        </w:rPr>
        <w:softHyphen/>
        <w:t>ми государствами и, в частности, соседями СССР.</w:t>
      </w:r>
    </w:p>
    <w:p w14:paraId="51EB4110" w14:textId="77777777" w:rsidR="00FC1960" w:rsidRPr="00E14102" w:rsidRDefault="00FC1960" w:rsidP="00E14102">
      <w:pPr>
        <w:jc w:val="both"/>
        <w:rPr>
          <w:color w:val="0070C0"/>
          <w:sz w:val="16"/>
          <w:szCs w:val="16"/>
        </w:rPr>
      </w:pPr>
      <w:r w:rsidRPr="00E14102">
        <w:rPr>
          <w:color w:val="0070C0"/>
          <w:sz w:val="16"/>
          <w:szCs w:val="16"/>
        </w:rPr>
        <w:t>2. добиваться уравнения режимов государственного и частного производства оружия и, кроме того, внести пред</w:t>
      </w:r>
      <w:r w:rsidRPr="00E14102">
        <w:rPr>
          <w:color w:val="0070C0"/>
          <w:sz w:val="16"/>
          <w:szCs w:val="16"/>
        </w:rPr>
        <w:softHyphen/>
        <w:t>ложенные НК Обороны поправки в соответствии с запиской т.Литвинова от 7.П.35 г.</w:t>
      </w:r>
    </w:p>
    <w:p w14:paraId="492BD4C9" w14:textId="77777777" w:rsidR="00FC1960" w:rsidRPr="00E14102" w:rsidRDefault="00FC1960" w:rsidP="00E14102">
      <w:pPr>
        <w:jc w:val="both"/>
        <w:rPr>
          <w:color w:val="0070C0"/>
          <w:sz w:val="16"/>
          <w:szCs w:val="16"/>
        </w:rPr>
      </w:pPr>
      <w:r w:rsidRPr="00E14102">
        <w:rPr>
          <w:color w:val="0070C0"/>
          <w:sz w:val="16"/>
          <w:szCs w:val="16"/>
        </w:rPr>
        <w:t>Выписки посланы: т.т.Литвинову, Ворошилову.</w:t>
      </w:r>
    </w:p>
    <w:p w14:paraId="318EF1EC" w14:textId="77777777" w:rsidR="00FC1960" w:rsidRPr="00E14102" w:rsidRDefault="00FC1960" w:rsidP="00E14102">
      <w:pPr>
        <w:jc w:val="both"/>
        <w:rPr>
          <w:color w:val="0070C0"/>
          <w:sz w:val="16"/>
          <w:szCs w:val="16"/>
        </w:rPr>
      </w:pPr>
      <w:r w:rsidRPr="00E14102">
        <w:rPr>
          <w:color w:val="0070C0"/>
          <w:sz w:val="16"/>
          <w:szCs w:val="16"/>
        </w:rPr>
        <w:t>22 февраля 1935 состоялось заседание ПБ и подписан протокол № 21 (22926).</w:t>
      </w:r>
    </w:p>
    <w:p w14:paraId="53E3A879" w14:textId="77777777" w:rsidR="00FC1960" w:rsidRPr="00E14102" w:rsidRDefault="00FC1960" w:rsidP="00E14102">
      <w:pPr>
        <w:jc w:val="both"/>
        <w:rPr>
          <w:color w:val="0070C0"/>
          <w:sz w:val="16"/>
          <w:szCs w:val="16"/>
        </w:rPr>
      </w:pPr>
    </w:p>
    <w:p w14:paraId="3363CCE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6B833DA" w14:textId="77777777" w:rsidR="00D4105E" w:rsidRPr="00E14102" w:rsidRDefault="00D4105E" w:rsidP="00E14102">
      <w:pPr>
        <w:autoSpaceDE w:val="0"/>
        <w:autoSpaceDN w:val="0"/>
        <w:adjustRightInd w:val="0"/>
        <w:jc w:val="both"/>
        <w:rPr>
          <w:iCs/>
          <w:color w:val="000000" w:themeColor="text1"/>
          <w:sz w:val="16"/>
          <w:szCs w:val="16"/>
        </w:rPr>
      </w:pPr>
    </w:p>
    <w:p w14:paraId="33A9F0B0" w14:textId="77777777" w:rsidR="008853C1" w:rsidRPr="00E14102" w:rsidRDefault="008853C1" w:rsidP="00E14102">
      <w:pPr>
        <w:jc w:val="both"/>
        <w:rPr>
          <w:color w:val="000000" w:themeColor="text1"/>
          <w:sz w:val="16"/>
          <w:szCs w:val="16"/>
        </w:rPr>
      </w:pPr>
      <w:r w:rsidRPr="00E14102">
        <w:rPr>
          <w:bCs/>
          <w:color w:val="000000" w:themeColor="text1"/>
          <w:sz w:val="16"/>
          <w:szCs w:val="16"/>
        </w:rPr>
        <w:t>10 февраля</w:t>
      </w:r>
      <w:r w:rsidRPr="00E14102">
        <w:rPr>
          <w:color w:val="000000" w:themeColor="text1"/>
          <w:sz w:val="16"/>
          <w:szCs w:val="16"/>
        </w:rPr>
        <w:t xml:space="preserve"> в 1935 году состоялся первый полет двухместного истребителя </w:t>
      </w:r>
      <w:hyperlink r:id="rId43" w:tgtFrame="_blank" w:history="1">
        <w:r w:rsidRPr="00E14102">
          <w:rPr>
            <w:color w:val="000000" w:themeColor="text1"/>
            <w:sz w:val="16"/>
            <w:szCs w:val="16"/>
          </w:rPr>
          <w:t xml:space="preserve">«ANF» «Mureaux 180». </w:t>
        </w:r>
      </w:hyperlink>
      <w:r w:rsidRPr="00E14102">
        <w:rPr>
          <w:color w:val="000000" w:themeColor="text1"/>
          <w:sz w:val="16"/>
          <w:szCs w:val="16"/>
        </w:rPr>
        <w:t>Истребитель показал недостаточные летные характеристики и был отвергнут Военным Министерством (15036).</w:t>
      </w:r>
    </w:p>
    <w:p w14:paraId="19835626" w14:textId="77777777" w:rsidR="008853C1" w:rsidRPr="00E14102" w:rsidRDefault="008853C1" w:rsidP="00E14102">
      <w:pPr>
        <w:jc w:val="both"/>
        <w:rPr>
          <w:color w:val="000000" w:themeColor="text1"/>
          <w:sz w:val="16"/>
          <w:szCs w:val="16"/>
        </w:rPr>
      </w:pPr>
    </w:p>
    <w:p w14:paraId="5E8CAA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февраля 1935 в Северной Месопотамии обнаружены руины древнейшего известного науке города (существовал примерно 5700 лет назад) (4962).</w:t>
      </w:r>
    </w:p>
    <w:p w14:paraId="558325C4"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34CAF5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FF0507C" w14:textId="77777777" w:rsidR="00D4105E" w:rsidRPr="00E14102" w:rsidRDefault="00D4105E" w:rsidP="00E14102">
      <w:pPr>
        <w:autoSpaceDE w:val="0"/>
        <w:autoSpaceDN w:val="0"/>
        <w:adjustRightInd w:val="0"/>
        <w:jc w:val="both"/>
        <w:rPr>
          <w:iCs/>
          <w:color w:val="000000" w:themeColor="text1"/>
          <w:sz w:val="16"/>
          <w:szCs w:val="16"/>
        </w:rPr>
      </w:pPr>
    </w:p>
    <w:p w14:paraId="514C8C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февраля 1935 Нач. отд. военных изобретений НКО СССР Русанов писал письмо N 189126с Нач. ГУАП Морголину (копия: директору завода 22, нач. КБ-2 ОИ ОКО, военпреду УВС на 22 заводе):</w:t>
      </w:r>
    </w:p>
    <w:p w14:paraId="00C064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22 им Горбунова, согласно договоренности, принял на себя изготовление ИП-3, разработанного КБ-2 Отдела Изобретений НКО, со сроком 1 апреля 1935.</w:t>
      </w:r>
    </w:p>
    <w:p w14:paraId="6FD149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принимая заказ, поставил условие о предоставлении ему некоторых материалов и средств в сумме 200 тыс. руб. на оборудование опытного цеха для постройки самолета (в счет расплаты за самолет).</w:t>
      </w:r>
    </w:p>
    <w:p w14:paraId="4B0C03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ОИ ОКО были принять меры и большинство материалов и 200 тыс. руб. переведены заводу 22.</w:t>
      </w:r>
    </w:p>
    <w:p w14:paraId="26F0E9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Ознакомление с состоянием работ на 1 февраля 1935 показало, что состояние их таково, что ни в коей мере не обеспечивает выполнение работ к намеченному сроку.</w:t>
      </w:r>
    </w:p>
    <w:p w14:paraId="034A06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Рассматривая причины задержки постройки самолета, выявлено, что КБ-2 свое обязательство выполнило в такой степени, что постройка самолета м.б. быть развернута полностью. мною дополнительно дано распоряжение...</w:t>
      </w:r>
    </w:p>
    <w:p w14:paraId="49F3D6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...чертжи: общий вид самолета, лыжи, вооружение, второй вариант радиатора.2) представить заводу недостающие 6 размеров труб в количестве 20 м и небольшое количество НРС.</w:t>
      </w:r>
    </w:p>
    <w:p w14:paraId="2A6729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предоставить заводу во временное пользование сварной аппарат для сварки самолетов</w:t>
      </w:r>
    </w:p>
    <w:p w14:paraId="52A5A6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дать выписки ТД из ТТТ на ИП-3</w:t>
      </w:r>
    </w:p>
    <w:p w14:paraId="3803D0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доставить заводу модель самолета.</w:t>
      </w:r>
    </w:p>
    <w:p w14:paraId="055975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данное время завод медленность постройки самолета объясняет отсутствием у него двух токарных станков и одного револьверного и дополнительно одного сварочного аппарата, а нас просит помочь в приобретении этого оборудования.</w:t>
      </w:r>
    </w:p>
    <w:p w14:paraId="53FBB8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Считаю, что такой метод постройки ненормален. Прошу Вас оказать соответствующую помощь в приобретении оборудования заводу и дать указания о немедленном развертывании постройки самолета в кратчайший срок.</w:t>
      </w:r>
    </w:p>
    <w:p w14:paraId="7AD5C3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Вашем решении прошу уведомить." (2343,14).</w:t>
      </w:r>
    </w:p>
    <w:p w14:paraId="75ABC3F1" w14:textId="77777777" w:rsidR="00D4105E" w:rsidRPr="00E14102" w:rsidRDefault="00D4105E" w:rsidP="00E14102">
      <w:pPr>
        <w:autoSpaceDE w:val="0"/>
        <w:autoSpaceDN w:val="0"/>
        <w:adjustRightInd w:val="0"/>
        <w:jc w:val="both"/>
        <w:rPr>
          <w:color w:val="000000" w:themeColor="text1"/>
          <w:sz w:val="16"/>
          <w:szCs w:val="16"/>
        </w:rPr>
      </w:pPr>
    </w:p>
    <w:p w14:paraId="5988F7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февраля 1935 Техдиректор завода 23 Амбольт и Нач. ОКО Михельсон писали письмо N166с НИИ ВВС, 7-й Сектор, Квитко (копия ГУАП, Сам. сектор ООС Машкевичу):</w:t>
      </w:r>
    </w:p>
    <w:p w14:paraId="768F9C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"Направляя Вам прелиминарный проект самолета УТИ, завод 23 просит Вас рассмотреть проект и обсудить его совместно с представителями завода, на предмет скорейшего утверждения одного из намеченных в нем вариантов.</w:t>
      </w:r>
    </w:p>
    <w:p w14:paraId="7E84CD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завод просит Вашего содействия в организации продувок модели утвержденного варианта и испытания ее на штопорном приборе ЦАГИ.</w:t>
      </w:r>
    </w:p>
    <w:p w14:paraId="47BE1C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Наконец, завод просит Вас обсудить совместно с его представителями программу испытаний на штопор модифицированного У-2, снабженного симметричными профилями, предназначенными к установке на УТИ." (2337,285) Варианты: равный биплан, полутороплан, подкосный моноплан. По мнению ОКО равный биплан - лучше (2337,285).</w:t>
      </w:r>
    </w:p>
    <w:p w14:paraId="636A0F90" w14:textId="77777777" w:rsidR="00D4105E" w:rsidRPr="00E14102" w:rsidRDefault="00D4105E" w:rsidP="00E14102">
      <w:pPr>
        <w:autoSpaceDE w:val="0"/>
        <w:autoSpaceDN w:val="0"/>
        <w:adjustRightInd w:val="0"/>
        <w:jc w:val="both"/>
        <w:rPr>
          <w:color w:val="000000" w:themeColor="text1"/>
          <w:sz w:val="16"/>
          <w:szCs w:val="16"/>
        </w:rPr>
      </w:pPr>
    </w:p>
    <w:p w14:paraId="76E3ED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февраля 1935 года начальник завода № 86 писал письмо № 21с начальнику ЦФО ГУГВФ</w:t>
      </w:r>
    </w:p>
    <w:p w14:paraId="2115F1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Объяснительная записка к годовому отчету 1934 года</w:t>
      </w:r>
    </w:p>
    <w:p w14:paraId="61E88B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Эксплуатация производственных площадей началась в I квартале 1933 года, выпуск продукции начался со II квартала 1933 года.</w:t>
      </w:r>
    </w:p>
    <w:p w14:paraId="31460A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1934 года намечал выпуск 200 самолетов У-2 II класса и 700 моторов М-11 общим ремонтом, что составляет по самолетам 80% проектной мощности завода, а по моторам 46%.</w:t>
      </w:r>
    </w:p>
    <w:p w14:paraId="67055B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1934 году завод полностью освоил ремонт самолетов У-2, также освоен ремонт моторов М-11 и М-17 (7730, 18-30).</w:t>
      </w:r>
    </w:p>
    <w:p w14:paraId="5396F410" w14:textId="77777777" w:rsidR="00D4105E" w:rsidRPr="00E14102" w:rsidRDefault="00D4105E" w:rsidP="00E14102">
      <w:pPr>
        <w:autoSpaceDE w:val="0"/>
        <w:autoSpaceDN w:val="0"/>
        <w:adjustRightInd w:val="0"/>
        <w:jc w:val="both"/>
        <w:rPr>
          <w:color w:val="000000" w:themeColor="text1"/>
          <w:sz w:val="16"/>
          <w:szCs w:val="16"/>
        </w:rPr>
      </w:pPr>
    </w:p>
    <w:p w14:paraId="611DE5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февраля 1935 Зам. нач. ГУАП Ермолаев писал Нач. УВС Алкснису письмо N 244/658с по вопросу "О разработке конструкции опытных лыж":</w:t>
      </w:r>
    </w:p>
    <w:p w14:paraId="52FE0B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"Сообщаю, что конструкция опытных тормозных лыж уже разработана 9-й бригадой ЦАГИ для Р-5.</w:t>
      </w:r>
    </w:p>
    <w:p w14:paraId="771E57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Лыжи находятся в настоящее время в производстве.</w:t>
      </w:r>
    </w:p>
    <w:p w14:paraId="62024B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Окончание постройки и испытаний намечено в текущем зимнем сезоне. Задержкой в проведении заводских испытаний может послужить отсутствие в ЦАГИ самолетов Р-5 с тормозным шасси.</w:t>
      </w:r>
    </w:p>
    <w:p w14:paraId="0D093A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Поэтому прошу распоряжения о предоставлении ЦАГИ из Вашего заказа одного самолета Р-5 с тормозным шасси, необходимого для испытания тормозных лыж.</w:t>
      </w:r>
    </w:p>
    <w:p w14:paraId="3620E5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случае положительных результатов испытания их на Р-5, аналогичные лыжи будут изготовлены на И-15 и И-16." (2337,201).</w:t>
      </w:r>
    </w:p>
    <w:p w14:paraId="27214B5A" w14:textId="77777777" w:rsidR="00D4105E" w:rsidRPr="00E14102" w:rsidRDefault="00D4105E" w:rsidP="00E14102">
      <w:pPr>
        <w:autoSpaceDE w:val="0"/>
        <w:autoSpaceDN w:val="0"/>
        <w:adjustRightInd w:val="0"/>
        <w:jc w:val="both"/>
        <w:rPr>
          <w:color w:val="000000" w:themeColor="text1"/>
          <w:sz w:val="16"/>
          <w:szCs w:val="16"/>
        </w:rPr>
      </w:pPr>
    </w:p>
    <w:p w14:paraId="43549383" w14:textId="77777777" w:rsidR="00580274" w:rsidRPr="00E14102" w:rsidRDefault="00580274" w:rsidP="00E14102">
      <w:pPr>
        <w:pStyle w:val="rtejustify"/>
        <w:spacing w:before="0" w:after="0"/>
        <w:rPr>
          <w:color w:val="000000" w:themeColor="text1"/>
          <w:sz w:val="16"/>
          <w:szCs w:val="16"/>
        </w:rPr>
      </w:pPr>
      <w:r w:rsidRPr="00E14102">
        <w:rPr>
          <w:rStyle w:val="a6"/>
          <w:bCs/>
          <w:i w:val="0"/>
          <w:color w:val="000000" w:themeColor="text1"/>
          <w:sz w:val="16"/>
          <w:szCs w:val="16"/>
        </w:rPr>
        <w:t>11 февраля 1935 вышел приказ НКО №</w:t>
      </w:r>
      <w:r w:rsidRPr="00E14102">
        <w:rPr>
          <w:color w:val="000000" w:themeColor="text1"/>
          <w:sz w:val="16"/>
          <w:szCs w:val="16"/>
        </w:rPr>
        <w:t> 024. О назначении войсковых испытаний приспособления для переливания горючего из самолетов Р</w:t>
      </w:r>
      <w:r w:rsidRPr="00E14102">
        <w:rPr>
          <w:color w:val="000000" w:themeColor="text1"/>
          <w:sz w:val="16"/>
          <w:szCs w:val="16"/>
        </w:rPr>
        <w:noBreakHyphen/>
        <w:t>5 в самолеты ТБ</w:t>
      </w:r>
      <w:r w:rsidRPr="00E14102">
        <w:rPr>
          <w:color w:val="000000" w:themeColor="text1"/>
          <w:sz w:val="16"/>
          <w:szCs w:val="16"/>
        </w:rPr>
        <w:noBreakHyphen/>
        <w:t>1 и ТБ</w:t>
      </w:r>
      <w:r w:rsidRPr="00E14102">
        <w:rPr>
          <w:color w:val="000000" w:themeColor="text1"/>
          <w:sz w:val="16"/>
          <w:szCs w:val="16"/>
        </w:rPr>
        <w:noBreakHyphen/>
        <w:t>3 (15247).</w:t>
      </w:r>
    </w:p>
    <w:p w14:paraId="1EABDDEF" w14:textId="77777777" w:rsidR="00580274" w:rsidRPr="00E14102" w:rsidRDefault="00580274" w:rsidP="00E14102">
      <w:pPr>
        <w:pStyle w:val="rtejustify"/>
        <w:spacing w:before="0" w:after="0"/>
        <w:rPr>
          <w:color w:val="000000" w:themeColor="text1"/>
          <w:sz w:val="16"/>
          <w:szCs w:val="16"/>
        </w:rPr>
      </w:pPr>
    </w:p>
    <w:p w14:paraId="426DEF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февраля 1935 вышел приказ ГУАП N 55:</w:t>
      </w:r>
    </w:p>
    <w:p w14:paraId="0E85B9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указаниями НКАП, штат центрального аппарата Глававиапрома на 1935 устанавливается в кол. 244 штатных единиц." (2071,98).</w:t>
      </w:r>
    </w:p>
    <w:p w14:paraId="3B35CB95" w14:textId="77777777" w:rsidR="00D4105E" w:rsidRPr="00E14102" w:rsidRDefault="00D4105E" w:rsidP="00E14102">
      <w:pPr>
        <w:autoSpaceDE w:val="0"/>
        <w:autoSpaceDN w:val="0"/>
        <w:adjustRightInd w:val="0"/>
        <w:jc w:val="both"/>
        <w:rPr>
          <w:color w:val="000000" w:themeColor="text1"/>
          <w:sz w:val="16"/>
          <w:szCs w:val="16"/>
        </w:rPr>
      </w:pPr>
    </w:p>
    <w:p w14:paraId="19CFF25E" w14:textId="77777777" w:rsidR="00580274" w:rsidRPr="00E14102" w:rsidRDefault="00580274" w:rsidP="00E14102">
      <w:pPr>
        <w:shd w:val="clear" w:color="auto" w:fill="FFFFFF"/>
        <w:jc w:val="both"/>
        <w:rPr>
          <w:color w:val="000000" w:themeColor="text1"/>
          <w:sz w:val="16"/>
          <w:szCs w:val="16"/>
        </w:rPr>
      </w:pPr>
      <w:r w:rsidRPr="00E14102">
        <w:rPr>
          <w:bCs/>
          <w:iCs/>
          <w:color w:val="000000" w:themeColor="text1"/>
          <w:sz w:val="16"/>
          <w:szCs w:val="16"/>
        </w:rPr>
        <w:t>11 февраля 1935 г.</w:t>
      </w:r>
      <w:r w:rsidRPr="00E14102">
        <w:rPr>
          <w:color w:val="000000" w:themeColor="text1"/>
          <w:sz w:val="16"/>
          <w:szCs w:val="16"/>
        </w:rPr>
        <w:t xml:space="preserve"> Письмо наркома обороны К.Е.Ворошилова наркому НКТП Г.К.Орджоникидзе: «</w:t>
      </w:r>
      <w:r w:rsidRPr="00E14102">
        <w:rPr>
          <w:iCs/>
          <w:color w:val="000000" w:themeColor="text1"/>
          <w:sz w:val="16"/>
          <w:szCs w:val="16"/>
        </w:rPr>
        <w:t>химическое вооружение авиации сильно отстает от роста и развития техники самой авиации</w:t>
      </w:r>
      <w:r w:rsidRPr="00E14102">
        <w:rPr>
          <w:color w:val="000000" w:themeColor="text1"/>
          <w:sz w:val="16"/>
          <w:szCs w:val="16"/>
        </w:rPr>
        <w:t>». Предложены меры: «</w:t>
      </w:r>
      <w:r w:rsidRPr="00E14102">
        <w:rPr>
          <w:iCs/>
          <w:color w:val="000000" w:themeColor="text1"/>
          <w:sz w:val="16"/>
          <w:szCs w:val="16"/>
        </w:rPr>
        <w:t>форсирование работ по проектированию химического вооружения на вновь строящиеся самолеты</w:t>
      </w:r>
      <w:r w:rsidRPr="00E14102">
        <w:rPr>
          <w:color w:val="000000" w:themeColor="text1"/>
          <w:sz w:val="16"/>
          <w:szCs w:val="16"/>
        </w:rPr>
        <w:t>», создание «химического» конструкторского бюро в ЦАГИ и воссоздание на заводе № 39, создание на «</w:t>
      </w:r>
      <w:r w:rsidRPr="00E14102">
        <w:rPr>
          <w:iCs/>
          <w:color w:val="000000" w:themeColor="text1"/>
          <w:sz w:val="16"/>
          <w:szCs w:val="16"/>
        </w:rPr>
        <w:t>самолетных заводах конструкторских групп главным образом для установок химического вооружения</w:t>
      </w:r>
      <w:r w:rsidRPr="00E14102">
        <w:rPr>
          <w:color w:val="000000" w:themeColor="text1"/>
          <w:sz w:val="16"/>
          <w:szCs w:val="16"/>
        </w:rPr>
        <w:t>» и т.д (17133).</w:t>
      </w:r>
    </w:p>
    <w:p w14:paraId="5991AE74" w14:textId="77777777" w:rsidR="00580274" w:rsidRPr="00E14102" w:rsidRDefault="00580274" w:rsidP="00E14102">
      <w:pPr>
        <w:shd w:val="clear" w:color="auto" w:fill="FFFFFF"/>
        <w:jc w:val="both"/>
        <w:rPr>
          <w:color w:val="000000" w:themeColor="text1"/>
          <w:sz w:val="16"/>
          <w:szCs w:val="16"/>
        </w:rPr>
      </w:pPr>
    </w:p>
    <w:p w14:paraId="44DE7BB8" w14:textId="77777777" w:rsidR="00580274" w:rsidRPr="00E14102" w:rsidRDefault="00580274" w:rsidP="00E14102">
      <w:pPr>
        <w:jc w:val="both"/>
        <w:rPr>
          <w:color w:val="000000" w:themeColor="text1"/>
          <w:sz w:val="16"/>
          <w:szCs w:val="16"/>
        </w:rPr>
      </w:pPr>
      <w:r w:rsidRPr="00E14102">
        <w:rPr>
          <w:bCs/>
          <w:color w:val="000000" w:themeColor="text1"/>
          <w:sz w:val="16"/>
          <w:szCs w:val="16"/>
        </w:rPr>
        <w:t>11 февраля</w:t>
      </w:r>
      <w:r w:rsidRPr="00E14102">
        <w:rPr>
          <w:color w:val="000000" w:themeColor="text1"/>
          <w:sz w:val="16"/>
          <w:szCs w:val="16"/>
        </w:rPr>
        <w:t xml:space="preserve"> в 1935 году начало перелета Москва-Красноярск-Игарка-Диксон с четырьмя промежуточными посадками, на самолете </w:t>
      </w:r>
      <w:hyperlink r:id="rId44" w:tgtFrame="_blank" w:history="1">
        <w:r w:rsidRPr="00E14102">
          <w:rPr>
            <w:color w:val="000000" w:themeColor="text1"/>
            <w:sz w:val="16"/>
            <w:szCs w:val="16"/>
          </w:rPr>
          <w:t xml:space="preserve">«ПР-5» </w:t>
        </w:r>
      </w:hyperlink>
      <w:r w:rsidRPr="00E14102">
        <w:rPr>
          <w:color w:val="000000" w:themeColor="text1"/>
          <w:sz w:val="16"/>
          <w:szCs w:val="16"/>
        </w:rPr>
        <w:t>протяженностью 13000 км, экипаж В.С.Молокова. «ПР-5» – арктический вариант самолета «Р-5». Модификацию ПР-5 разработал авиаконструктор А.Н.Рафаэлянц. Фюзеляж с четырехместной кабиной. Мощность двигателя 525 кВт (715 л. с). Основные данные «ПР-5»: взлетная масса — 3242 кг, нагрузка на крыло 64,5 кг/м 2, максимальная скорость — 233 км/ч, полная нагрузка — 1090 кг (15037).</w:t>
      </w:r>
    </w:p>
    <w:p w14:paraId="263D2B0C" w14:textId="77777777" w:rsidR="00580274" w:rsidRPr="00E14102" w:rsidRDefault="00580274" w:rsidP="00E14102">
      <w:pPr>
        <w:jc w:val="both"/>
        <w:rPr>
          <w:color w:val="000000" w:themeColor="text1"/>
          <w:sz w:val="16"/>
          <w:szCs w:val="16"/>
        </w:rPr>
      </w:pPr>
    </w:p>
    <w:p w14:paraId="13A91F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11 февраля по 19 марта 1935 В.С.Молоков на самолете СССР-Н2 осуществил перелет Москва - Диксон на расстояние 13000 км (271,149) на ПР-5 (272,377).</w:t>
      </w:r>
    </w:p>
    <w:p w14:paraId="5A3347DC" w14:textId="77777777" w:rsidR="00D4105E" w:rsidRPr="00E14102" w:rsidRDefault="00D4105E" w:rsidP="00E14102">
      <w:pPr>
        <w:autoSpaceDE w:val="0"/>
        <w:autoSpaceDN w:val="0"/>
        <w:adjustRightInd w:val="0"/>
        <w:jc w:val="both"/>
        <w:rPr>
          <w:color w:val="000000" w:themeColor="text1"/>
          <w:sz w:val="16"/>
          <w:szCs w:val="16"/>
        </w:rPr>
      </w:pPr>
    </w:p>
    <w:p w14:paraId="7C58B79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февраля 1935 г. состоялся перелет Москва - Красноярск - Игарка - Диксон В.С.Молокова на ПР-5 протяженностью 13000 (6395).</w:t>
      </w:r>
    </w:p>
    <w:p w14:paraId="7287C83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E18ADD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3D1CC12" w14:textId="77777777" w:rsidR="00D4105E" w:rsidRPr="00E14102" w:rsidRDefault="00D4105E" w:rsidP="00E14102">
      <w:pPr>
        <w:autoSpaceDE w:val="0"/>
        <w:autoSpaceDN w:val="0"/>
        <w:adjustRightInd w:val="0"/>
        <w:jc w:val="both"/>
        <w:rPr>
          <w:iCs/>
          <w:color w:val="000000" w:themeColor="text1"/>
          <w:sz w:val="16"/>
          <w:szCs w:val="16"/>
        </w:rPr>
      </w:pPr>
    </w:p>
    <w:p w14:paraId="528ECC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февраля 1935 завод 31 писал Зам. нач. ГУАП Марголину письмо N 294с по вопросу "О постройке самолета СПЛ":</w:t>
      </w:r>
    </w:p>
    <w:p w14:paraId="4B5644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"Подтверждая получение Вашего отношения от 31 января с.г. N 244/462с, настоящим сообщаем, что задание о разработке экспериментальной части С для ПЛ конструкции и Самсонова, м.б. принята к исполнению в нашем ЦКБ МС и опытном производстве как сверхпрограммная работа, с учетом выполнения в первую очередь и в установленные сроки основных объектов нашей программы текущего года...(2343,18).</w:t>
      </w:r>
    </w:p>
    <w:p w14:paraId="477E8E87" w14:textId="77777777" w:rsidR="00D4105E" w:rsidRPr="00E14102" w:rsidRDefault="00D4105E" w:rsidP="00E14102">
      <w:pPr>
        <w:autoSpaceDE w:val="0"/>
        <w:autoSpaceDN w:val="0"/>
        <w:adjustRightInd w:val="0"/>
        <w:jc w:val="both"/>
        <w:rPr>
          <w:color w:val="000000" w:themeColor="text1"/>
          <w:sz w:val="16"/>
          <w:szCs w:val="16"/>
        </w:rPr>
      </w:pPr>
    </w:p>
    <w:p w14:paraId="5D2EB40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3BD21FE" w14:textId="77777777" w:rsidR="00D4105E" w:rsidRPr="00E14102" w:rsidRDefault="00D4105E" w:rsidP="00E14102">
      <w:pPr>
        <w:autoSpaceDE w:val="0"/>
        <w:autoSpaceDN w:val="0"/>
        <w:adjustRightInd w:val="0"/>
        <w:jc w:val="both"/>
        <w:rPr>
          <w:iCs/>
          <w:color w:val="000000" w:themeColor="text1"/>
          <w:sz w:val="16"/>
          <w:szCs w:val="16"/>
        </w:rPr>
      </w:pPr>
    </w:p>
    <w:p w14:paraId="69CE08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февраля 1935 у побережья Калифорнии разбился последний американский дирижабль Macon (ZRS-5). Погибло 2 чел. (2100) из команды в 38 (2254).</w:t>
      </w:r>
    </w:p>
    <w:p w14:paraId="203B5AC1" w14:textId="77777777" w:rsidR="00D4105E" w:rsidRPr="00E14102" w:rsidRDefault="00D4105E" w:rsidP="00E14102">
      <w:pPr>
        <w:autoSpaceDE w:val="0"/>
        <w:autoSpaceDN w:val="0"/>
        <w:adjustRightInd w:val="0"/>
        <w:jc w:val="both"/>
        <w:rPr>
          <w:color w:val="000000" w:themeColor="text1"/>
          <w:sz w:val="16"/>
          <w:szCs w:val="16"/>
        </w:rPr>
      </w:pPr>
    </w:p>
    <w:p w14:paraId="2015623A" w14:textId="77777777" w:rsidR="00580274" w:rsidRPr="00E14102" w:rsidRDefault="00580274" w:rsidP="00E14102">
      <w:pPr>
        <w:jc w:val="both"/>
        <w:rPr>
          <w:color w:val="000000" w:themeColor="text1"/>
          <w:sz w:val="16"/>
          <w:szCs w:val="16"/>
        </w:rPr>
      </w:pPr>
      <w:r w:rsidRPr="00E14102">
        <w:rPr>
          <w:color w:val="000000" w:themeColor="text1"/>
          <w:sz w:val="16"/>
          <w:szCs w:val="16"/>
        </w:rPr>
        <w:t>12 февраля 1935 г. произошла катастрофа ZRS-5: дирижабль, потеряв управление вследствие повреждения сильным ветром, упал в Тихий океан и затонул [</w:t>
      </w:r>
      <w:r w:rsidRPr="00E14102">
        <w:rPr>
          <w:bCs/>
          <w:color w:val="000000" w:themeColor="text1"/>
          <w:sz w:val="16"/>
          <w:szCs w:val="16"/>
        </w:rPr>
        <w:t xml:space="preserve">Арие М.Я. </w:t>
      </w:r>
      <w:r w:rsidRPr="00E14102">
        <w:rPr>
          <w:color w:val="000000" w:themeColor="text1"/>
          <w:sz w:val="16"/>
          <w:szCs w:val="16"/>
        </w:rPr>
        <w:t xml:space="preserve">Дирижабли. - Киев: Наукова думка, 1986, с. 222; </w:t>
      </w:r>
      <w:r w:rsidRPr="00E14102">
        <w:rPr>
          <w:bCs/>
          <w:color w:val="000000" w:themeColor="text1"/>
          <w:sz w:val="16"/>
          <w:szCs w:val="16"/>
        </w:rPr>
        <w:t xml:space="preserve">Смит, Ричард К. </w:t>
      </w:r>
      <w:r w:rsidRPr="00E14102">
        <w:rPr>
          <w:color w:val="000000" w:themeColor="text1"/>
          <w:sz w:val="16"/>
          <w:szCs w:val="16"/>
        </w:rPr>
        <w:t>Авианосцы легче воздуха. - М.: ПК «Воздух», 1999., с. 259-264] (15234).</w:t>
      </w:r>
    </w:p>
    <w:p w14:paraId="6F6602D0" w14:textId="77777777" w:rsidR="00580274" w:rsidRPr="00E14102" w:rsidRDefault="00580274" w:rsidP="00E14102">
      <w:pPr>
        <w:jc w:val="both"/>
        <w:rPr>
          <w:color w:val="000000" w:themeColor="text1"/>
          <w:sz w:val="16"/>
          <w:szCs w:val="16"/>
        </w:rPr>
      </w:pPr>
    </w:p>
    <w:p w14:paraId="3786EB29" w14:textId="77777777" w:rsidR="00580274" w:rsidRPr="00E14102" w:rsidRDefault="00580274" w:rsidP="00E14102">
      <w:pPr>
        <w:jc w:val="both"/>
        <w:rPr>
          <w:color w:val="000000" w:themeColor="text1"/>
          <w:sz w:val="16"/>
          <w:szCs w:val="16"/>
        </w:rPr>
      </w:pPr>
      <w:r w:rsidRPr="00E14102">
        <w:rPr>
          <w:bCs/>
          <w:color w:val="000000" w:themeColor="text1"/>
          <w:sz w:val="16"/>
          <w:szCs w:val="16"/>
        </w:rPr>
        <w:t>12 февраля</w:t>
      </w:r>
      <w:r w:rsidRPr="00E14102">
        <w:rPr>
          <w:color w:val="000000" w:themeColor="text1"/>
          <w:sz w:val="16"/>
          <w:szCs w:val="16"/>
        </w:rPr>
        <w:t xml:space="preserve"> в 1935 году в Тихом океане, во время исполнения 55 полета потерпел катастрофу дирижабль ZRS-5 «Macon», в которой погибли 2 человека. Дирижабль возвращался на базу после участия в морских учениях на Тихом океане. Внезапно под воздействием сильного порыва ветра произошло повреждение корпуса в месте крепления хвостового оперения, что повлекло за собой отказ руля высоты. Практически неуправляемый по высоте дирижабль попал в мощный нисходящий поток и начал быстро снижаться. Положение усугубилось разрывом первого и второго кормовых газовых баллонов. ZRS-5 коснулся кормой воды на расстоянии 16 км от берега в 180 км южнее Сан-Франциско. Команда пересела в спасательные лодки. Из 83 человек спастись удалось 81. Один человек выпрыгнул из дирижабля во время спуска и погиб, а второй не вернулся после того, как пошел в кормовую часть осмотреть повреждения. После гибели ZRS-5 «Macon», а затем LZ-129 «Гинденбург» производство гигантских дирижаблей приостановилось. Затем была Вторая мировая война война, в ней пилотируемые дирижабли не использовались. После войны появились вместительные пассажирские самолеты и тяжелые транспортные. Дирижаблестроение не прекратилось совсем, но утратило свою актуальность. Хотя все авиационные специалисты утверждают, что дирижабли еще обязательно вернутся.. (15038).</w:t>
      </w:r>
    </w:p>
    <w:p w14:paraId="4DF858A3" w14:textId="77777777" w:rsidR="00580274" w:rsidRPr="00E14102" w:rsidRDefault="00580274" w:rsidP="00E14102">
      <w:pPr>
        <w:jc w:val="both"/>
        <w:rPr>
          <w:color w:val="000000" w:themeColor="text1"/>
          <w:sz w:val="16"/>
          <w:szCs w:val="16"/>
        </w:rPr>
      </w:pPr>
    </w:p>
    <w:p w14:paraId="286C606C" w14:textId="77777777" w:rsidR="00FC1960" w:rsidRPr="00E14102" w:rsidRDefault="00FC1960" w:rsidP="00E14102">
      <w:pPr>
        <w:jc w:val="both"/>
        <w:rPr>
          <w:color w:val="0070C0"/>
          <w:sz w:val="16"/>
          <w:szCs w:val="16"/>
        </w:rPr>
      </w:pPr>
      <w:r w:rsidRPr="00E14102">
        <w:rPr>
          <w:color w:val="0070C0"/>
          <w:sz w:val="16"/>
          <w:szCs w:val="16"/>
        </w:rPr>
        <w:t>12 февраля 1935 дирижабль ВМС США USS Macon (ZRS-5) терпит крушение и тонет у мыса Сур, Калифорния. Двое членов экипажа погибают (20800).</w:t>
      </w:r>
    </w:p>
    <w:p w14:paraId="60BBDE95" w14:textId="77777777" w:rsidR="00FC1960" w:rsidRPr="00E14102" w:rsidRDefault="00FC1960" w:rsidP="00E14102">
      <w:pPr>
        <w:jc w:val="both"/>
        <w:rPr>
          <w:color w:val="0070C0"/>
          <w:sz w:val="16"/>
          <w:szCs w:val="16"/>
        </w:rPr>
      </w:pPr>
    </w:p>
    <w:p w14:paraId="2256E1AF" w14:textId="77777777" w:rsidR="00FC1960" w:rsidRPr="00E14102" w:rsidRDefault="00FC1960" w:rsidP="00E14102">
      <w:pPr>
        <w:jc w:val="both"/>
        <w:rPr>
          <w:color w:val="0070C0"/>
          <w:sz w:val="16"/>
          <w:szCs w:val="16"/>
        </w:rPr>
      </w:pPr>
      <w:r w:rsidRPr="00E14102">
        <w:rPr>
          <w:color w:val="0070C0"/>
          <w:sz w:val="16"/>
          <w:szCs w:val="16"/>
        </w:rPr>
        <w:t>12 февраля 1935 - В Тихом океане, во время 55-го полета потерпел катастрофу дирижабль ZRS-5 «Macon», в которой погибли 2 человека.</w:t>
      </w:r>
    </w:p>
    <w:p w14:paraId="7A1CAB19" w14:textId="77777777" w:rsidR="00FC1960" w:rsidRPr="00E14102" w:rsidRDefault="00FC1960" w:rsidP="00E14102">
      <w:pPr>
        <w:jc w:val="both"/>
        <w:rPr>
          <w:color w:val="0070C0"/>
          <w:sz w:val="16"/>
          <w:szCs w:val="16"/>
        </w:rPr>
      </w:pPr>
      <w:r w:rsidRPr="00E14102">
        <w:rPr>
          <w:color w:val="0070C0"/>
          <w:sz w:val="16"/>
          <w:szCs w:val="16"/>
        </w:rPr>
        <w:t>Гибель "Мейкона" произошла от сравнительно небольшой конструктивной недоработки. При боковом порыве ветра верхний киль с частью шпангоута был оторван, обломки повредили три газовых баллона в кормовой части дирижабля, подъемная сила из-за потери гелия уменьшилась на 20%, что привело к беде. Живучесть американских дирижаблей не позволяла им выжить даже в мирное время. Идея боевых воздушных авианосцев оказалась утопией (22600).</w:t>
      </w:r>
    </w:p>
    <w:p w14:paraId="38DCC496" w14:textId="77777777" w:rsidR="00FC1960" w:rsidRPr="00E14102" w:rsidRDefault="00FC1960" w:rsidP="00E14102">
      <w:pPr>
        <w:jc w:val="both"/>
        <w:rPr>
          <w:color w:val="0070C0"/>
          <w:sz w:val="16"/>
          <w:szCs w:val="16"/>
        </w:rPr>
      </w:pPr>
    </w:p>
    <w:p w14:paraId="086E748E" w14:textId="77777777" w:rsidR="00FC1960" w:rsidRPr="00E14102" w:rsidRDefault="00FC1960" w:rsidP="00E14102">
      <w:pPr>
        <w:jc w:val="both"/>
        <w:rPr>
          <w:color w:val="0070C0"/>
          <w:sz w:val="16"/>
          <w:szCs w:val="16"/>
        </w:rPr>
      </w:pPr>
      <w:r w:rsidRPr="00E14102">
        <w:rPr>
          <w:color w:val="0070C0"/>
          <w:sz w:val="16"/>
          <w:szCs w:val="16"/>
        </w:rPr>
        <w:t>12 февраля 1935 шотландский физик сэр Роберта Александра Уотсона-Уатта направил в министерство на имя Альберта Персиваля Роу, личного помощника директора по научным исследованиям Гарри Эгертона Уимпериса, секретный меморандум (служебную записку) на тему «Обнаружение и определение местоположения самолета радиоволновыми методами» («Detection and location of aircraft by radio methods»), в котором обосновал возможность раннего предупреждения о воздушном нападении противника, для чего предложил обнаруживать и сопровождать вражеские самолеты с помощью радиоволн, а 26 февраля того же года в ходе проведенного в условиях повышенной секретности – в присутствии всего трех человек – опыта впервые на практике продемонстрировал такую возможность, обнаружив с помощью своего метода самолет-мишень, в качестве которого был использован бомбардировщик «Хейфорд» (22709).</w:t>
      </w:r>
    </w:p>
    <w:p w14:paraId="107A18B2" w14:textId="77777777" w:rsidR="00FC1960" w:rsidRPr="00E14102" w:rsidRDefault="00FC1960" w:rsidP="00E14102">
      <w:pPr>
        <w:jc w:val="both"/>
        <w:rPr>
          <w:color w:val="0070C0"/>
          <w:sz w:val="16"/>
          <w:szCs w:val="16"/>
        </w:rPr>
      </w:pPr>
    </w:p>
    <w:p w14:paraId="4B6D4F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февраля 1935 Австрия. Стачки и демонстрации в годовщину февральских боев 1934 г (7444).</w:t>
      </w:r>
    </w:p>
    <w:p w14:paraId="3B99D0EB" w14:textId="77777777" w:rsidR="00D4105E" w:rsidRPr="00E14102" w:rsidRDefault="00D4105E" w:rsidP="00E14102">
      <w:pPr>
        <w:autoSpaceDE w:val="0"/>
        <w:autoSpaceDN w:val="0"/>
        <w:adjustRightInd w:val="0"/>
        <w:jc w:val="both"/>
        <w:rPr>
          <w:color w:val="000000" w:themeColor="text1"/>
          <w:sz w:val="16"/>
          <w:szCs w:val="16"/>
        </w:rPr>
      </w:pPr>
    </w:p>
    <w:p w14:paraId="321FF851" w14:textId="77777777" w:rsidR="00FC1960" w:rsidRPr="00E14102" w:rsidRDefault="00FC1960"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F860023" w14:textId="77777777" w:rsidR="00FC1960" w:rsidRPr="00E14102" w:rsidRDefault="00FC1960" w:rsidP="00E14102">
      <w:pPr>
        <w:autoSpaceDE w:val="0"/>
        <w:autoSpaceDN w:val="0"/>
        <w:adjustRightInd w:val="0"/>
        <w:jc w:val="both"/>
        <w:rPr>
          <w:iCs/>
          <w:color w:val="000000" w:themeColor="text1"/>
          <w:sz w:val="16"/>
          <w:szCs w:val="16"/>
        </w:rPr>
      </w:pPr>
    </w:p>
    <w:p w14:paraId="52ADB5AD" w14:textId="77777777" w:rsidR="00FC1960" w:rsidRPr="00E14102" w:rsidRDefault="00FC1960" w:rsidP="00E14102">
      <w:pPr>
        <w:jc w:val="both"/>
        <w:rPr>
          <w:color w:val="0070C0"/>
          <w:sz w:val="16"/>
          <w:szCs w:val="16"/>
        </w:rPr>
      </w:pPr>
      <w:r w:rsidRPr="00E14102">
        <w:rPr>
          <w:color w:val="0070C0"/>
          <w:sz w:val="16"/>
          <w:szCs w:val="16"/>
        </w:rPr>
        <w:lastRenderedPageBreak/>
        <w:t>13 февраля 1935 состоялся следующий полет ИП-1РЦФ-3. Правда, уже 9 числа опробовали мотор, но еще три дня ушло на подгонку и регулировку капота «вто</w:t>
      </w:r>
      <w:r w:rsidRPr="00E14102">
        <w:rPr>
          <w:color w:val="0070C0"/>
          <w:sz w:val="16"/>
          <w:szCs w:val="16"/>
        </w:rPr>
        <w:softHyphen/>
        <w:t>рого типа». От прежнего внешне он отличал</w:t>
      </w:r>
      <w:r w:rsidRPr="00E14102">
        <w:rPr>
          <w:color w:val="0070C0"/>
          <w:sz w:val="16"/>
          <w:szCs w:val="16"/>
        </w:rPr>
        <w:softHyphen/>
        <w:t>ся установкой стяжной ленты по типу И-16 и свободной задней кромкой боковых крышек, которые просто лежали на опорном профиле капота, продленном до переднего лонжерона центроплана. Обтекатели на пушки уже не устанавливали (19933).</w:t>
      </w:r>
    </w:p>
    <w:p w14:paraId="6D1F9865" w14:textId="77777777" w:rsidR="00FC1960" w:rsidRPr="00E14102" w:rsidRDefault="00FC1960" w:rsidP="00E14102">
      <w:pPr>
        <w:jc w:val="both"/>
        <w:rPr>
          <w:color w:val="0070C0"/>
          <w:sz w:val="16"/>
          <w:szCs w:val="16"/>
        </w:rPr>
      </w:pPr>
    </w:p>
    <w:p w14:paraId="16F0A27D" w14:textId="77777777" w:rsidR="0058027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8964418" w14:textId="77777777" w:rsidR="00580274" w:rsidRPr="00E14102" w:rsidRDefault="00580274" w:rsidP="00E14102">
      <w:pPr>
        <w:autoSpaceDE w:val="0"/>
        <w:autoSpaceDN w:val="0"/>
        <w:adjustRightInd w:val="0"/>
        <w:jc w:val="both"/>
        <w:rPr>
          <w:iCs/>
          <w:color w:val="000000" w:themeColor="text1"/>
          <w:sz w:val="16"/>
          <w:szCs w:val="16"/>
        </w:rPr>
      </w:pPr>
    </w:p>
    <w:p w14:paraId="27BF066A" w14:textId="77777777" w:rsidR="00580274" w:rsidRPr="00E14102" w:rsidRDefault="00580274" w:rsidP="00E14102">
      <w:pPr>
        <w:jc w:val="both"/>
        <w:rPr>
          <w:rStyle w:val="a6"/>
          <w:i w:val="0"/>
          <w:color w:val="000000" w:themeColor="text1"/>
          <w:sz w:val="16"/>
          <w:szCs w:val="16"/>
        </w:rPr>
      </w:pPr>
      <w:r w:rsidRPr="00E14102">
        <w:rPr>
          <w:rStyle w:val="a6"/>
          <w:i w:val="0"/>
          <w:color w:val="000000" w:themeColor="text1"/>
          <w:sz w:val="16"/>
          <w:szCs w:val="16"/>
        </w:rPr>
        <w:t xml:space="preserve">13 февраля 1935 г. </w:t>
      </w:r>
      <w:r w:rsidRPr="00E14102">
        <w:rPr>
          <w:color w:val="000000" w:themeColor="text1"/>
          <w:sz w:val="16"/>
          <w:szCs w:val="16"/>
        </w:rPr>
        <w:t>Докладная записка наркома обороны СССР К. Е. Ворошилова председателю Комиссии обороны СССР В. М. Молотову о закупках в Англии образцов танко-тракторной и автомобильной промышленности</w:t>
      </w:r>
    </w:p>
    <w:p w14:paraId="6665E51A" w14:textId="77777777" w:rsidR="00580274" w:rsidRPr="00E14102" w:rsidRDefault="00580274"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6E12F30E" w14:textId="77777777" w:rsidR="00580274" w:rsidRPr="00E14102" w:rsidRDefault="00580274" w:rsidP="00E14102">
      <w:pPr>
        <w:pStyle w:val="rtejustify"/>
        <w:spacing w:before="0" w:after="0"/>
        <w:rPr>
          <w:color w:val="000000" w:themeColor="text1"/>
          <w:sz w:val="16"/>
          <w:szCs w:val="16"/>
        </w:rPr>
      </w:pPr>
      <w:r w:rsidRPr="00E14102">
        <w:rPr>
          <w:color w:val="000000" w:themeColor="text1"/>
          <w:sz w:val="16"/>
          <w:szCs w:val="16"/>
        </w:rPr>
        <w:t>В результате командировки в Англию, согласно постановлению КО от 13 июня начальника 7 отдела АБТУ РККА¹* т. Лебедева и директора завода им. Ворошилова т. Фокина были закуплены нижеследующие образцы танко-тракторной, автомобильной английской промышленности:</w:t>
      </w:r>
    </w:p>
    <w:p w14:paraId="68034D67" w14:textId="77777777" w:rsidR="00580274" w:rsidRPr="00E14102" w:rsidRDefault="00580274" w:rsidP="00E14102">
      <w:pPr>
        <w:pStyle w:val="rtejustify"/>
        <w:spacing w:before="0" w:after="0"/>
        <w:rPr>
          <w:color w:val="000000" w:themeColor="text1"/>
          <w:sz w:val="16"/>
          <w:szCs w:val="16"/>
        </w:rPr>
      </w:pPr>
      <w:r w:rsidRPr="00E14102">
        <w:rPr>
          <w:color w:val="000000" w:themeColor="text1"/>
          <w:sz w:val="16"/>
          <w:szCs w:val="16"/>
        </w:rPr>
        <w:t>1. 2 тягача с дизель-мотором 130 л. с. фирмы AEG.</w:t>
      </w:r>
    </w:p>
    <w:p w14:paraId="61BD6938" w14:textId="77777777" w:rsidR="00580274" w:rsidRPr="00E14102" w:rsidRDefault="00580274" w:rsidP="00E14102">
      <w:pPr>
        <w:pStyle w:val="rtejustify"/>
        <w:spacing w:before="0" w:after="0"/>
        <w:rPr>
          <w:color w:val="000000" w:themeColor="text1"/>
          <w:sz w:val="16"/>
          <w:szCs w:val="16"/>
        </w:rPr>
      </w:pPr>
      <w:r w:rsidRPr="00E14102">
        <w:rPr>
          <w:color w:val="000000" w:themeColor="text1"/>
          <w:sz w:val="16"/>
          <w:szCs w:val="16"/>
        </w:rPr>
        <w:t>2. 3 прицепки для этих тягачей с различными типами кузовов.</w:t>
      </w:r>
    </w:p>
    <w:p w14:paraId="3A7A6C66" w14:textId="77777777" w:rsidR="00580274" w:rsidRPr="00E14102" w:rsidRDefault="00580274" w:rsidP="00E14102">
      <w:pPr>
        <w:pStyle w:val="rtejustify"/>
        <w:spacing w:before="0" w:after="0"/>
        <w:rPr>
          <w:color w:val="000000" w:themeColor="text1"/>
          <w:sz w:val="16"/>
          <w:szCs w:val="16"/>
        </w:rPr>
      </w:pPr>
      <w:r w:rsidRPr="00E14102">
        <w:rPr>
          <w:color w:val="000000" w:themeColor="text1"/>
          <w:sz w:val="16"/>
          <w:szCs w:val="16"/>
        </w:rPr>
        <w:t>3. Запасной дизель-мотор и коробка скоростей для тягача с запасными частями. Этот тягач с двумя прицепками может перевозить на хорошей дороге 15 т груза с максимальной скоростью 45 км.</w:t>
      </w:r>
    </w:p>
    <w:p w14:paraId="059D63D8" w14:textId="77777777" w:rsidR="00580274" w:rsidRPr="00E14102" w:rsidRDefault="00580274" w:rsidP="00E14102">
      <w:pPr>
        <w:pStyle w:val="rtejustify"/>
        <w:spacing w:before="0" w:after="0"/>
        <w:rPr>
          <w:color w:val="000000" w:themeColor="text1"/>
          <w:sz w:val="16"/>
          <w:szCs w:val="16"/>
        </w:rPr>
      </w:pPr>
      <w:r w:rsidRPr="00E14102">
        <w:rPr>
          <w:color w:val="000000" w:themeColor="text1"/>
          <w:sz w:val="16"/>
          <w:szCs w:val="16"/>
        </w:rPr>
        <w:t>4. Дизель-мотор «Перкинс» для установки его в наш танк Т</w:t>
      </w:r>
      <w:r w:rsidRPr="00E14102">
        <w:rPr>
          <w:color w:val="000000" w:themeColor="text1"/>
          <w:sz w:val="16"/>
          <w:szCs w:val="16"/>
        </w:rPr>
        <w:noBreakHyphen/>
        <w:t>37.</w:t>
      </w:r>
    </w:p>
    <w:p w14:paraId="020C0055" w14:textId="77777777" w:rsidR="00580274" w:rsidRPr="00E14102" w:rsidRDefault="00580274" w:rsidP="00E14102">
      <w:pPr>
        <w:pStyle w:val="rtejustify"/>
        <w:spacing w:before="0" w:after="0"/>
        <w:rPr>
          <w:color w:val="000000" w:themeColor="text1"/>
          <w:sz w:val="16"/>
          <w:szCs w:val="16"/>
        </w:rPr>
      </w:pPr>
      <w:r w:rsidRPr="00E14102">
        <w:rPr>
          <w:color w:val="000000" w:themeColor="text1"/>
          <w:sz w:val="16"/>
          <w:szCs w:val="16"/>
        </w:rPr>
        <w:t>5. 2 образца усовершенствованных моторов воздушного охлаждения фирмы «Армстронг-Сидлей» для нашего танка Т</w:t>
      </w:r>
      <w:r w:rsidRPr="00E14102">
        <w:rPr>
          <w:color w:val="000000" w:themeColor="text1"/>
          <w:sz w:val="16"/>
          <w:szCs w:val="16"/>
        </w:rPr>
        <w:noBreakHyphen/>
        <w:t>26.</w:t>
      </w:r>
    </w:p>
    <w:p w14:paraId="21756C76" w14:textId="77777777" w:rsidR="00580274" w:rsidRPr="00E14102" w:rsidRDefault="00580274" w:rsidP="00E14102">
      <w:pPr>
        <w:pStyle w:val="rtejustify"/>
        <w:spacing w:before="0" w:after="0"/>
        <w:rPr>
          <w:color w:val="000000" w:themeColor="text1"/>
          <w:sz w:val="16"/>
          <w:szCs w:val="16"/>
        </w:rPr>
      </w:pPr>
      <w:r w:rsidRPr="00E14102">
        <w:rPr>
          <w:color w:val="000000" w:themeColor="text1"/>
          <w:sz w:val="16"/>
          <w:szCs w:val="16"/>
        </w:rPr>
        <w:t>К концу года Наркомтяжпромом был командирован в Англию директор опытного завода им. Кирова т. Барыков, который продолжил переговоры, начатые т. Лебедевым и Фокиным о заказе танка Штрауслера. После длительных переговоров был выдан заказ фирме «Штрауслер» на изготовление одного колесно-гусеничного танка со сварным броневым корпусом из брони Гатфильда. На основе ознакомления с английской промышленностью т. Лебедев, Фокин, Барыков внесли ряд предложений о покупке новых образцов, которые представляют большой интерес для усовершенствования наших боевых и транспортных машин. По предложениям этих товарищей необходимо закупить за границей нижеследующие образцы:</w:t>
      </w:r>
    </w:p>
    <w:p w14:paraId="30CEAB75" w14:textId="77777777" w:rsidR="00580274" w:rsidRPr="00E14102" w:rsidRDefault="00580274" w:rsidP="00E14102">
      <w:pPr>
        <w:pStyle w:val="rtejustify"/>
        <w:spacing w:before="0" w:after="0"/>
        <w:rPr>
          <w:color w:val="000000" w:themeColor="text1"/>
          <w:sz w:val="16"/>
          <w:szCs w:val="16"/>
        </w:rPr>
      </w:pPr>
      <w:r w:rsidRPr="00E14102">
        <w:rPr>
          <w:color w:val="000000" w:themeColor="text1"/>
          <w:sz w:val="16"/>
          <w:szCs w:val="16"/>
        </w:rPr>
        <w:t>1. Двигатели воздушного охлаждения фирмы «Армстронг-Сидлей» мощностью 350, 180 и 120 л. с. Эти моторы особенно нужны нам для наших конструкторских бюро как опытные образцы, так как они явятся основой для дальнейшего усовершенствования наших моторов и создания специальных танковых моторов воздушного охлаждения.</w:t>
      </w:r>
    </w:p>
    <w:p w14:paraId="03948804" w14:textId="77777777" w:rsidR="00580274" w:rsidRPr="00E14102" w:rsidRDefault="00580274" w:rsidP="00E14102">
      <w:pPr>
        <w:pStyle w:val="rtejustify"/>
        <w:spacing w:before="0" w:after="0"/>
        <w:rPr>
          <w:color w:val="000000" w:themeColor="text1"/>
          <w:sz w:val="16"/>
          <w:szCs w:val="16"/>
        </w:rPr>
      </w:pPr>
      <w:r w:rsidRPr="00E14102">
        <w:rPr>
          <w:color w:val="000000" w:themeColor="text1"/>
          <w:sz w:val="16"/>
          <w:szCs w:val="16"/>
        </w:rPr>
        <w:t>2. 8</w:t>
      </w:r>
      <w:r w:rsidRPr="00E14102">
        <w:rPr>
          <w:color w:val="000000" w:themeColor="text1"/>
          <w:sz w:val="16"/>
          <w:szCs w:val="16"/>
        </w:rPr>
        <w:noBreakHyphen/>
        <w:t>тонный танк Виккерса с мотором «Роллс-Ройс» 120</w:t>
      </w:r>
      <w:r w:rsidRPr="00E14102">
        <w:rPr>
          <w:color w:val="000000" w:themeColor="text1"/>
          <w:sz w:val="16"/>
          <w:szCs w:val="16"/>
        </w:rPr>
        <w:noBreakHyphen/>
        <w:t>130 л. с. со скоростями порядка 40</w:t>
      </w:r>
      <w:r w:rsidRPr="00E14102">
        <w:rPr>
          <w:color w:val="000000" w:themeColor="text1"/>
          <w:sz w:val="16"/>
          <w:szCs w:val="16"/>
        </w:rPr>
        <w:noBreakHyphen/>
        <w:t>45 км. В этой машине для нас представляет интерес усовершенствованная подвеска, сделанная по той же схеме, которая имеется у нашего танка Т</w:t>
      </w:r>
      <w:r w:rsidRPr="00E14102">
        <w:rPr>
          <w:color w:val="000000" w:themeColor="text1"/>
          <w:sz w:val="16"/>
          <w:szCs w:val="16"/>
        </w:rPr>
        <w:noBreakHyphen/>
        <w:t>26, а также установка мотора «Роллс-Ройс».</w:t>
      </w:r>
    </w:p>
    <w:p w14:paraId="7432B321" w14:textId="77777777" w:rsidR="00580274" w:rsidRPr="00E14102" w:rsidRDefault="00580274" w:rsidP="00E14102">
      <w:pPr>
        <w:pStyle w:val="rtejustify"/>
        <w:spacing w:before="0" w:after="0"/>
        <w:rPr>
          <w:color w:val="000000" w:themeColor="text1"/>
          <w:sz w:val="16"/>
          <w:szCs w:val="16"/>
        </w:rPr>
      </w:pPr>
      <w:r w:rsidRPr="00E14102">
        <w:rPr>
          <w:color w:val="000000" w:themeColor="text1"/>
          <w:sz w:val="16"/>
          <w:szCs w:val="16"/>
        </w:rPr>
        <w:t>3. 4,5</w:t>
      </w:r>
      <w:r w:rsidRPr="00E14102">
        <w:rPr>
          <w:color w:val="000000" w:themeColor="text1"/>
          <w:sz w:val="16"/>
          <w:szCs w:val="16"/>
        </w:rPr>
        <w:noBreakHyphen/>
        <w:t>тонный гусеничный танк фирмы «Виккерс» с мотором 90 л. с. с максимальными скоростями до 65 км. В этой конструкции есть ряд элементов, как то: подвеска, управление, вентиляция башни, которые представляют интерес для усовершенствования нашей разведывательной машины Т</w:t>
      </w:r>
      <w:r w:rsidRPr="00E14102">
        <w:rPr>
          <w:color w:val="000000" w:themeColor="text1"/>
          <w:sz w:val="16"/>
          <w:szCs w:val="16"/>
        </w:rPr>
        <w:noBreakHyphen/>
        <w:t>37. Танк этот представляет интерес и по тем соображениям, что он находится на вооружении английской армии.</w:t>
      </w:r>
    </w:p>
    <w:p w14:paraId="580EE33C" w14:textId="77777777" w:rsidR="00580274" w:rsidRPr="00E14102" w:rsidRDefault="00580274" w:rsidP="00E14102">
      <w:pPr>
        <w:pStyle w:val="rtejustify"/>
        <w:spacing w:before="0" w:after="0"/>
        <w:rPr>
          <w:color w:val="000000" w:themeColor="text1"/>
          <w:sz w:val="16"/>
          <w:szCs w:val="16"/>
        </w:rPr>
      </w:pPr>
      <w:r w:rsidRPr="00E14102">
        <w:rPr>
          <w:color w:val="000000" w:themeColor="text1"/>
          <w:sz w:val="16"/>
          <w:szCs w:val="16"/>
        </w:rPr>
        <w:t>4. Закупить у фирмы «Гатфильд» и Английской стальной компании небольшие партии брони 30</w:t>
      </w:r>
      <w:r w:rsidRPr="00E14102">
        <w:rPr>
          <w:color w:val="000000" w:themeColor="text1"/>
          <w:sz w:val="16"/>
          <w:szCs w:val="16"/>
        </w:rPr>
        <w:noBreakHyphen/>
        <w:t>50 т для того, чтобы в процессе приемки этой брони изучить способы ее приготовления и повысить нашу собственную культуру в области производства брони.</w:t>
      </w:r>
    </w:p>
    <w:p w14:paraId="4E306484" w14:textId="77777777" w:rsidR="00580274" w:rsidRPr="00E14102" w:rsidRDefault="00580274" w:rsidP="00E14102">
      <w:pPr>
        <w:pStyle w:val="rtejustify"/>
        <w:spacing w:before="0" w:after="0"/>
        <w:rPr>
          <w:color w:val="000000" w:themeColor="text1"/>
          <w:sz w:val="16"/>
          <w:szCs w:val="16"/>
        </w:rPr>
      </w:pPr>
      <w:r w:rsidRPr="00E14102">
        <w:rPr>
          <w:color w:val="000000" w:themeColor="text1"/>
          <w:sz w:val="16"/>
          <w:szCs w:val="16"/>
        </w:rPr>
        <w:t>5. Кроме того, в связи с развертыванием выпуска телемеханических танков, целесообразно закупить в Англии: а) гидравлическую трансмиссию у фирмы «Виккерс-Коутс», б) коробку передач с автоматическим переключением скоростей у фирмы «Остин».</w:t>
      </w:r>
    </w:p>
    <w:p w14:paraId="318CEF20" w14:textId="77777777" w:rsidR="00580274" w:rsidRPr="00E14102" w:rsidRDefault="00580274" w:rsidP="00E14102">
      <w:pPr>
        <w:pStyle w:val="rtejustify"/>
        <w:spacing w:before="0" w:after="0"/>
        <w:rPr>
          <w:color w:val="000000" w:themeColor="text1"/>
          <w:sz w:val="16"/>
          <w:szCs w:val="16"/>
        </w:rPr>
      </w:pPr>
      <w:r w:rsidRPr="00E14102">
        <w:rPr>
          <w:color w:val="000000" w:themeColor="text1"/>
          <w:sz w:val="16"/>
          <w:szCs w:val="16"/>
        </w:rPr>
        <w:t>Лично я считаю необходимым купить указанные образцы и прошу рассмотреть этот вопрос на ближайшем заседании КО.</w:t>
      </w:r>
    </w:p>
    <w:p w14:paraId="06BE69EF" w14:textId="77777777" w:rsidR="00580274" w:rsidRPr="00E14102" w:rsidRDefault="00580274"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Народный комиссар обороны Союза ССР Ворошилов</w:t>
      </w:r>
    </w:p>
    <w:p w14:paraId="51F297FE" w14:textId="77777777" w:rsidR="00580274" w:rsidRPr="00E14102" w:rsidRDefault="00580274"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Примечание</w:t>
      </w:r>
      <w:r w:rsidRPr="00E14102">
        <w:rPr>
          <w:rFonts w:ascii="Times New Roman" w:hAnsi="Times New Roman" w:cs="Times New Roman"/>
          <w:color w:val="000000" w:themeColor="text1"/>
          <w:sz w:val="16"/>
          <w:szCs w:val="16"/>
          <w:lang w:val="ru-RU"/>
        </w:rPr>
        <w:t>:</w:t>
      </w:r>
    </w:p>
    <w:p w14:paraId="62BDBE84" w14:textId="77777777" w:rsidR="00580274" w:rsidRPr="00E14102" w:rsidRDefault="00580274" w:rsidP="00E14102">
      <w:pPr>
        <w:pStyle w:val="rtejustify"/>
        <w:spacing w:before="0" w:after="0"/>
        <w:rPr>
          <w:color w:val="000000" w:themeColor="text1"/>
          <w:sz w:val="16"/>
          <w:szCs w:val="16"/>
        </w:rPr>
      </w:pPr>
      <w:r w:rsidRPr="00E14102">
        <w:rPr>
          <w:color w:val="000000" w:themeColor="text1"/>
          <w:sz w:val="16"/>
          <w:szCs w:val="16"/>
        </w:rPr>
        <w:t>¹* </w:t>
      </w:r>
      <w:r w:rsidRPr="00E14102">
        <w:rPr>
          <w:rStyle w:val="a6"/>
          <w:bCs/>
          <w:i w:val="0"/>
          <w:color w:val="000000" w:themeColor="text1"/>
          <w:sz w:val="16"/>
          <w:szCs w:val="16"/>
        </w:rPr>
        <w:t>Автобронетанковое управление (АБТУ) РККА</w:t>
      </w:r>
      <w:r w:rsidRPr="00E14102">
        <w:rPr>
          <w:color w:val="000000" w:themeColor="text1"/>
          <w:sz w:val="16"/>
          <w:szCs w:val="16"/>
        </w:rPr>
        <w:t xml:space="preserve"> было создано по положению о Наркомате обороны СССР от 22 ноября 1934 г. на базе Управления по механизации и моторизации РККА. На него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специальной подготовкой личного состава. Приказом НКО № 055 от 9 апреля 1936 г. управление было подчинено Главному управлению вооружения и технического снабжения РККА, а после его упразднения по приказу НКО СССР № 0114 от 26 июля 1937 г. — наркому обороны.</w:t>
      </w:r>
    </w:p>
    <w:p w14:paraId="2442C697" w14:textId="77777777" w:rsidR="00580274" w:rsidRPr="00E14102" w:rsidRDefault="0058027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РГВА. Ф. 4. Оп. 14. Д. 1410. Л. 44-44 об. Заверенная копия (15337).</w:t>
      </w:r>
    </w:p>
    <w:p w14:paraId="30C95344" w14:textId="77777777" w:rsidR="00580274" w:rsidRPr="00E14102" w:rsidRDefault="00580274" w:rsidP="00E14102">
      <w:pPr>
        <w:jc w:val="both"/>
        <w:rPr>
          <w:bCs/>
          <w:color w:val="000000" w:themeColor="text1"/>
          <w:sz w:val="16"/>
          <w:szCs w:val="16"/>
        </w:rPr>
      </w:pPr>
    </w:p>
    <w:p w14:paraId="368C2B53" w14:textId="77777777" w:rsidR="0058027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A66DDE7" w14:textId="77777777" w:rsidR="00580274" w:rsidRPr="00E14102" w:rsidRDefault="00580274" w:rsidP="00E14102">
      <w:pPr>
        <w:autoSpaceDE w:val="0"/>
        <w:autoSpaceDN w:val="0"/>
        <w:adjustRightInd w:val="0"/>
        <w:jc w:val="both"/>
        <w:rPr>
          <w:iCs/>
          <w:color w:val="000000" w:themeColor="text1"/>
          <w:sz w:val="16"/>
          <w:szCs w:val="16"/>
        </w:rPr>
      </w:pPr>
    </w:p>
    <w:p w14:paraId="175BBD17" w14:textId="77777777" w:rsidR="00580274" w:rsidRPr="00E14102" w:rsidRDefault="00580274" w:rsidP="00E14102">
      <w:pPr>
        <w:jc w:val="both"/>
        <w:rPr>
          <w:color w:val="000000" w:themeColor="text1"/>
          <w:sz w:val="16"/>
          <w:szCs w:val="16"/>
        </w:rPr>
      </w:pPr>
      <w:r w:rsidRPr="00E14102">
        <w:rPr>
          <w:bCs/>
          <w:color w:val="000000" w:themeColor="text1"/>
          <w:sz w:val="16"/>
          <w:szCs w:val="16"/>
        </w:rPr>
        <w:t>13 февраля</w:t>
      </w:r>
      <w:r w:rsidRPr="00E14102">
        <w:rPr>
          <w:color w:val="000000" w:themeColor="text1"/>
          <w:sz w:val="16"/>
          <w:szCs w:val="16"/>
        </w:rPr>
        <w:t xml:space="preserve"> в 1935 году в Нью-Джерси Бруно Хауптманн (Bruno Hauptmann) признан судом виновным в похищении и убийстве 20-месячного сына известного авиатора Чарльза Линдберга и его супруги Анны. За жизнь ребенка преступник требовал 50 тысяч долларов, однако позднее тело малыша было найдено на обочине дороги мертвым. Эксперты установили, что с момента смерти труп пролежал 2 месяца (15039).</w:t>
      </w:r>
    </w:p>
    <w:p w14:paraId="3571CA7D" w14:textId="77777777" w:rsidR="00580274" w:rsidRPr="00E14102" w:rsidRDefault="00580274" w:rsidP="00E14102">
      <w:pPr>
        <w:jc w:val="both"/>
        <w:rPr>
          <w:color w:val="000000" w:themeColor="text1"/>
          <w:sz w:val="16"/>
          <w:szCs w:val="16"/>
        </w:rPr>
      </w:pPr>
    </w:p>
    <w:p w14:paraId="6971DA8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FDA3574" w14:textId="77777777" w:rsidR="00D4105E" w:rsidRPr="00E14102" w:rsidRDefault="00D4105E" w:rsidP="00E14102">
      <w:pPr>
        <w:autoSpaceDE w:val="0"/>
        <w:autoSpaceDN w:val="0"/>
        <w:adjustRightInd w:val="0"/>
        <w:jc w:val="both"/>
        <w:rPr>
          <w:iCs/>
          <w:color w:val="000000" w:themeColor="text1"/>
          <w:sz w:val="16"/>
          <w:szCs w:val="16"/>
        </w:rPr>
      </w:pPr>
    </w:p>
    <w:p w14:paraId="014182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февраля 1935 был подготовлен отчет по государственным испытаниям в НИИ ВВС КА СБ 2ИС, в котором приведены ЛТХ: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30"/>
        <w:gridCol w:w="2130"/>
        <w:gridCol w:w="2130"/>
      </w:tblGrid>
      <w:tr w:rsidR="00E3599D" w:rsidRPr="00E14102" w14:paraId="62C47E8D" w14:textId="77777777">
        <w:tc>
          <w:tcPr>
            <w:tcW w:w="2130" w:type="dxa"/>
            <w:tcBorders>
              <w:top w:val="single" w:sz="12" w:space="0" w:color="auto"/>
            </w:tcBorders>
          </w:tcPr>
          <w:p w14:paraId="492512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показателя</w:t>
            </w:r>
          </w:p>
        </w:tc>
        <w:tc>
          <w:tcPr>
            <w:tcW w:w="2130" w:type="dxa"/>
            <w:tcBorders>
              <w:top w:val="single" w:sz="12" w:space="0" w:color="auto"/>
            </w:tcBorders>
          </w:tcPr>
          <w:p w14:paraId="2E37B3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убранным шасси</w:t>
            </w:r>
          </w:p>
        </w:tc>
        <w:tc>
          <w:tcPr>
            <w:tcW w:w="2130" w:type="dxa"/>
            <w:tcBorders>
              <w:top w:val="single" w:sz="12" w:space="0" w:color="auto"/>
            </w:tcBorders>
          </w:tcPr>
          <w:p w14:paraId="29F2CD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лыжах</w:t>
            </w:r>
          </w:p>
        </w:tc>
      </w:tr>
      <w:tr w:rsidR="00E3599D" w:rsidRPr="00E14102" w14:paraId="775F476B" w14:textId="77777777">
        <w:tc>
          <w:tcPr>
            <w:tcW w:w="2130" w:type="dxa"/>
          </w:tcPr>
          <w:p w14:paraId="2737C9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у земли, км/ч</w:t>
            </w:r>
          </w:p>
        </w:tc>
        <w:tc>
          <w:tcPr>
            <w:tcW w:w="2130" w:type="dxa"/>
          </w:tcPr>
          <w:p w14:paraId="223566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365</w:t>
            </w:r>
          </w:p>
        </w:tc>
        <w:tc>
          <w:tcPr>
            <w:tcW w:w="2130" w:type="dxa"/>
          </w:tcPr>
          <w:p w14:paraId="759BDC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318</w:t>
            </w:r>
          </w:p>
        </w:tc>
      </w:tr>
      <w:tr w:rsidR="00E3599D" w:rsidRPr="00E14102" w14:paraId="5B75A846" w14:textId="77777777">
        <w:tc>
          <w:tcPr>
            <w:tcW w:w="2130" w:type="dxa"/>
          </w:tcPr>
          <w:p w14:paraId="1D43BE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на 5000 м, км/ч</w:t>
            </w:r>
          </w:p>
        </w:tc>
        <w:tc>
          <w:tcPr>
            <w:tcW w:w="2130" w:type="dxa"/>
          </w:tcPr>
          <w:p w14:paraId="4AFB53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416</w:t>
            </w:r>
          </w:p>
        </w:tc>
        <w:tc>
          <w:tcPr>
            <w:tcW w:w="2130" w:type="dxa"/>
          </w:tcPr>
          <w:p w14:paraId="26BA7DB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9235A1B" w14:textId="77777777">
        <w:tc>
          <w:tcPr>
            <w:tcW w:w="2130" w:type="dxa"/>
          </w:tcPr>
          <w:p w14:paraId="4BC57A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341</w:t>
            </w:r>
          </w:p>
        </w:tc>
        <w:tc>
          <w:tcPr>
            <w:tcW w:w="2130" w:type="dxa"/>
          </w:tcPr>
          <w:p w14:paraId="71FDDC88" w14:textId="77777777" w:rsidR="00D4105E" w:rsidRPr="00E14102" w:rsidRDefault="00D4105E" w:rsidP="00E14102">
            <w:pPr>
              <w:autoSpaceDE w:val="0"/>
              <w:autoSpaceDN w:val="0"/>
              <w:adjustRightInd w:val="0"/>
              <w:jc w:val="both"/>
              <w:rPr>
                <w:color w:val="000000" w:themeColor="text1"/>
                <w:sz w:val="16"/>
                <w:szCs w:val="16"/>
              </w:rPr>
            </w:pPr>
          </w:p>
        </w:tc>
        <w:tc>
          <w:tcPr>
            <w:tcW w:w="2130" w:type="dxa"/>
          </w:tcPr>
          <w:p w14:paraId="3302452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82F5885" w14:textId="77777777">
        <w:tc>
          <w:tcPr>
            <w:tcW w:w="2130" w:type="dxa"/>
          </w:tcPr>
          <w:p w14:paraId="5C44AA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Грании,а высотности, м</w:t>
            </w:r>
          </w:p>
        </w:tc>
        <w:tc>
          <w:tcPr>
            <w:tcW w:w="2130" w:type="dxa"/>
          </w:tcPr>
          <w:p w14:paraId="514C0C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5300</w:t>
            </w:r>
          </w:p>
        </w:tc>
        <w:tc>
          <w:tcPr>
            <w:tcW w:w="2130" w:type="dxa"/>
          </w:tcPr>
          <w:p w14:paraId="6D8EBE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3950</w:t>
            </w:r>
          </w:p>
        </w:tc>
      </w:tr>
      <w:tr w:rsidR="00E3599D" w:rsidRPr="00E14102" w14:paraId="1131343D" w14:textId="77777777">
        <w:tc>
          <w:tcPr>
            <w:tcW w:w="2130" w:type="dxa"/>
          </w:tcPr>
          <w:p w14:paraId="6B63B1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на границевысотности, км/ч</w:t>
            </w:r>
          </w:p>
        </w:tc>
        <w:tc>
          <w:tcPr>
            <w:tcW w:w="2130" w:type="dxa"/>
          </w:tcPr>
          <w:p w14:paraId="6A9669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418</w:t>
            </w:r>
          </w:p>
        </w:tc>
        <w:tc>
          <w:tcPr>
            <w:tcW w:w="2130" w:type="dxa"/>
          </w:tcPr>
          <w:p w14:paraId="27660D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352</w:t>
            </w:r>
          </w:p>
        </w:tc>
      </w:tr>
      <w:tr w:rsidR="00E3599D" w:rsidRPr="00E14102" w14:paraId="5F4B89E9" w14:textId="77777777">
        <w:tc>
          <w:tcPr>
            <w:tcW w:w="2130" w:type="dxa"/>
          </w:tcPr>
          <w:p w14:paraId="27ADB4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Практический потолок, м</w:t>
            </w:r>
          </w:p>
        </w:tc>
        <w:tc>
          <w:tcPr>
            <w:tcW w:w="2130" w:type="dxa"/>
          </w:tcPr>
          <w:p w14:paraId="4DEA7A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9660</w:t>
            </w:r>
          </w:p>
        </w:tc>
        <w:tc>
          <w:tcPr>
            <w:tcW w:w="2130" w:type="dxa"/>
          </w:tcPr>
          <w:p w14:paraId="376CAD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8500</w:t>
            </w:r>
          </w:p>
        </w:tc>
      </w:tr>
      <w:tr w:rsidR="00E3599D" w:rsidRPr="00E14102" w14:paraId="6897AC50" w14:textId="77777777">
        <w:tc>
          <w:tcPr>
            <w:tcW w:w="2130" w:type="dxa"/>
          </w:tcPr>
          <w:p w14:paraId="6FF6A1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набора высоты 5000 м, мин</w:t>
            </w:r>
          </w:p>
        </w:tc>
        <w:tc>
          <w:tcPr>
            <w:tcW w:w="2130" w:type="dxa"/>
          </w:tcPr>
          <w:p w14:paraId="63A2C2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w:t>
            </w:r>
          </w:p>
        </w:tc>
        <w:tc>
          <w:tcPr>
            <w:tcW w:w="2130" w:type="dxa"/>
          </w:tcPr>
          <w:p w14:paraId="75FC3C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11,4</w:t>
            </w:r>
          </w:p>
        </w:tc>
      </w:tr>
      <w:tr w:rsidR="00E3599D" w:rsidRPr="00E14102" w14:paraId="27E6DA39" w14:textId="77777777">
        <w:tc>
          <w:tcPr>
            <w:tcW w:w="2130" w:type="dxa"/>
          </w:tcPr>
          <w:p w14:paraId="1DBA55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набора высоты 8000 м, мин</w:t>
            </w:r>
          </w:p>
        </w:tc>
        <w:tc>
          <w:tcPr>
            <w:tcW w:w="2130" w:type="dxa"/>
          </w:tcPr>
          <w:p w14:paraId="107E34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19,8</w:t>
            </w:r>
          </w:p>
        </w:tc>
        <w:tc>
          <w:tcPr>
            <w:tcW w:w="2130" w:type="dxa"/>
          </w:tcPr>
          <w:p w14:paraId="54ADBA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76C14847" w14:textId="77777777">
        <w:tc>
          <w:tcPr>
            <w:tcW w:w="2130" w:type="dxa"/>
          </w:tcPr>
          <w:p w14:paraId="5E4E95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Техническая дальность полета с убраннымшасси до полного выгорания горючего на высоте 6000 м при крейсерской скорости 290 км/ч и начальном запасе горючего 530 кг, км</w:t>
            </w:r>
          </w:p>
        </w:tc>
        <w:tc>
          <w:tcPr>
            <w:tcW w:w="2130" w:type="dxa"/>
          </w:tcPr>
          <w:p w14:paraId="07B8CD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980</w:t>
            </w:r>
          </w:p>
        </w:tc>
        <w:tc>
          <w:tcPr>
            <w:tcW w:w="2130" w:type="dxa"/>
          </w:tcPr>
          <w:p w14:paraId="57A1D6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19E78231" w14:textId="77777777">
        <w:tc>
          <w:tcPr>
            <w:tcW w:w="2130" w:type="dxa"/>
          </w:tcPr>
          <w:p w14:paraId="6FFEB7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Разбег самолета, м</w:t>
            </w:r>
          </w:p>
        </w:tc>
        <w:tc>
          <w:tcPr>
            <w:tcW w:w="2130" w:type="dxa"/>
          </w:tcPr>
          <w:p w14:paraId="19D6EA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280-300</w:t>
            </w:r>
          </w:p>
        </w:tc>
        <w:tc>
          <w:tcPr>
            <w:tcW w:w="2130" w:type="dxa"/>
          </w:tcPr>
          <w:p w14:paraId="64F158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280-320</w:t>
            </w:r>
          </w:p>
        </w:tc>
      </w:tr>
      <w:tr w:rsidR="00E3599D" w:rsidRPr="00E14102" w14:paraId="041DE24E" w14:textId="77777777">
        <w:tc>
          <w:tcPr>
            <w:tcW w:w="2130" w:type="dxa"/>
            <w:tcBorders>
              <w:bottom w:val="single" w:sz="12" w:space="0" w:color="auto"/>
            </w:tcBorders>
          </w:tcPr>
          <w:p w14:paraId="617A58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Пробег с использованием тормозов присреднем положении закрылков, м</w:t>
            </w:r>
          </w:p>
        </w:tc>
        <w:tc>
          <w:tcPr>
            <w:tcW w:w="2130" w:type="dxa"/>
            <w:tcBorders>
              <w:bottom w:val="single" w:sz="12" w:space="0" w:color="auto"/>
            </w:tcBorders>
          </w:tcPr>
          <w:p w14:paraId="2DA625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w:t>
            </w:r>
          </w:p>
        </w:tc>
        <w:tc>
          <w:tcPr>
            <w:tcW w:w="2130" w:type="dxa"/>
            <w:tcBorders>
              <w:bottom w:val="single" w:sz="12" w:space="0" w:color="auto"/>
            </w:tcBorders>
          </w:tcPr>
          <w:p w14:paraId="59EA14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260-300</w:t>
            </w:r>
          </w:p>
        </w:tc>
      </w:tr>
    </w:tbl>
    <w:p w14:paraId="097F7B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(9501)</w:t>
      </w:r>
    </w:p>
    <w:p w14:paraId="7ABFA998" w14:textId="77777777" w:rsidR="00D4105E" w:rsidRPr="00E14102" w:rsidRDefault="00D4105E" w:rsidP="00E14102">
      <w:pPr>
        <w:autoSpaceDE w:val="0"/>
        <w:autoSpaceDN w:val="0"/>
        <w:adjustRightInd w:val="0"/>
        <w:jc w:val="both"/>
        <w:rPr>
          <w:color w:val="000000" w:themeColor="text1"/>
          <w:sz w:val="16"/>
          <w:szCs w:val="16"/>
        </w:rPr>
      </w:pPr>
    </w:p>
    <w:p w14:paraId="25DA24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февраля 1935 состоялся первый полет ДИП (АНТ-29) (237,172). Летал С.А.Корзинщиков (109,237). Полеты продолжались до 28 марта 1935 (2072,76).</w:t>
      </w:r>
    </w:p>
    <w:p w14:paraId="3CA50B77" w14:textId="77777777" w:rsidR="00D4105E" w:rsidRPr="00E14102" w:rsidRDefault="00D4105E" w:rsidP="00E14102">
      <w:pPr>
        <w:autoSpaceDE w:val="0"/>
        <w:autoSpaceDN w:val="0"/>
        <w:adjustRightInd w:val="0"/>
        <w:jc w:val="both"/>
        <w:rPr>
          <w:color w:val="000000" w:themeColor="text1"/>
          <w:sz w:val="16"/>
          <w:szCs w:val="16"/>
        </w:rPr>
      </w:pPr>
    </w:p>
    <w:p w14:paraId="22B5B5CA" w14:textId="77777777" w:rsidR="00C17A36" w:rsidRPr="00E14102" w:rsidRDefault="00C17A36"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lastRenderedPageBreak/>
        <w:t>14 февраля 1935 года летчик-испытатель Н. П. Благин впервые поднял самолет в воздух. Первый полет выявил невозможность балансировки самолета, необходимость увеличения площади руля поворота и большие нагрузки на элеронах. В течение десяти дней эти недостатки путем доработок были устранены. До середины марта выполнили еще три полета, после чего с самолета сняли моторы для установки на самолет 40-</w:t>
      </w:r>
      <w:r w:rsidRPr="00E14102">
        <w:rPr>
          <w:rFonts w:ascii="Times New Roman" w:hAnsi="Times New Roman" w:cs="Times New Roman"/>
          <w:color w:val="000000" w:themeColor="text1"/>
          <w:sz w:val="16"/>
          <w:szCs w:val="16"/>
        </w:rPr>
        <w:t>II</w:t>
      </w:r>
      <w:r w:rsidRPr="00E14102">
        <w:rPr>
          <w:rFonts w:ascii="Times New Roman" w:hAnsi="Times New Roman" w:cs="Times New Roman"/>
          <w:color w:val="000000" w:themeColor="text1"/>
          <w:sz w:val="16"/>
          <w:szCs w:val="16"/>
          <w:lang w:val="ru-RU"/>
        </w:rPr>
        <w:t>, а ДИП перевезли в ЗОК для доработок (19175).</w:t>
      </w:r>
    </w:p>
    <w:p w14:paraId="300BCCE4" w14:textId="77777777" w:rsidR="00C17A36" w:rsidRPr="00E14102" w:rsidRDefault="00C17A36"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4FC01D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 февраля 1935 г. л Благина впервые поднял в воздух АНТ-29 (ДИП — двухмоторный истребитель пушечный). У В.Б. Шаврова фамилия Благина стыдливо не упомянута, а в написанной по заводским материалам книге «Самолеты ОКБ А.Н.Туполева» (Ригмант В.Г. Самолеты ОКБ А.Н. Туполева. М., 2001. С. 35, 48) указан только лётчик-испытатель С.А. Корзинщиков. Но это не так: в начале 1935 г. на ДИПе сначала летал Благин, и только после четырех полётов самолёт возвратили на завод на доработку, а в конце 1935 г. испытания продолжил Корзинщиков. Развитием АНТ-20 «МГ» еще больших размеров должен был стать 12-моторный супергигант АНТ-26/28 (ТБ-6) с размахом крыльев до 95 м. Сначала построили двухместную геометрически по</w:t>
      </w:r>
      <w:r w:rsidRPr="00E14102">
        <w:rPr>
          <w:color w:val="000000" w:themeColor="text1"/>
          <w:sz w:val="16"/>
          <w:szCs w:val="16"/>
        </w:rPr>
        <w:softHyphen/>
        <w:t>добную модель-планер с размахом крыльев около 20 м. Ведущим лётчиком-испытате</w:t>
      </w:r>
      <w:r w:rsidRPr="00E14102">
        <w:rPr>
          <w:color w:val="000000" w:themeColor="text1"/>
          <w:sz w:val="16"/>
          <w:szCs w:val="16"/>
        </w:rPr>
        <w:softHyphen/>
        <w:t>лем планера тоже назначили Н.П. Благина, он и начал лётные испытания, предвари</w:t>
      </w:r>
      <w:r w:rsidRPr="00E14102">
        <w:rPr>
          <w:color w:val="000000" w:themeColor="text1"/>
          <w:sz w:val="16"/>
          <w:szCs w:val="16"/>
        </w:rPr>
        <w:softHyphen/>
        <w:t>тельно освоив полёты на планере БП-2. И опять в книгах В.Б. Шаврова и В.Г. Ригманта летавшим на планере ТБ-6 указан лишь Б.Н. Кудрин, на самом деле лишь продолжив</w:t>
      </w:r>
      <w:r w:rsidRPr="00E14102">
        <w:rPr>
          <w:color w:val="000000" w:themeColor="text1"/>
          <w:sz w:val="16"/>
          <w:szCs w:val="16"/>
        </w:rPr>
        <w:softHyphen/>
        <w:t>ший испытания после гибели Благина. Очевидно, что и «Заводские хроники...» после катастрофы подверглись «редактированию» (11696).</w:t>
      </w:r>
    </w:p>
    <w:p w14:paraId="1841F6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5A750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февраля 1935 г. был первый полет ДИП. Летал С. А. Корзинщиков. По результатам первых полетов выяснилось значительное количество недостатков и недоделок, которые устранялись вплоть до глубокой осени. После проведения доработок, облета и ряда дополнительных проверок ДИП предполагалось предъявить в первой половине 1936 г. на государственные испытания. Вплоть до конца 1936 г. работа по двухмоторному пушечному истребителю стояла в плане работ, однако известно, что еще 28 марта 1936 г. имелось распоряжение А. Н. Туполева о прекращении заказа на АНТ-29. Дальнейшая судьба самолета неизвестна. Нет данных и о проведении воздушных стрельб из АПК-8 (12091).</w:t>
      </w:r>
    </w:p>
    <w:p w14:paraId="6EC43F08" w14:textId="77777777" w:rsidR="00D4105E" w:rsidRPr="00E14102" w:rsidRDefault="00D4105E" w:rsidP="00E14102">
      <w:pPr>
        <w:autoSpaceDE w:val="0"/>
        <w:autoSpaceDN w:val="0"/>
        <w:adjustRightInd w:val="0"/>
        <w:jc w:val="both"/>
        <w:rPr>
          <w:color w:val="000000" w:themeColor="text1"/>
          <w:sz w:val="16"/>
          <w:szCs w:val="16"/>
        </w:rPr>
      </w:pPr>
    </w:p>
    <w:p w14:paraId="79B2F7E9" w14:textId="77777777" w:rsidR="00580274" w:rsidRPr="00E14102" w:rsidRDefault="00580274" w:rsidP="00E14102">
      <w:pPr>
        <w:jc w:val="both"/>
        <w:rPr>
          <w:color w:val="000000" w:themeColor="text1"/>
          <w:sz w:val="16"/>
          <w:szCs w:val="16"/>
        </w:rPr>
      </w:pPr>
      <w:r w:rsidRPr="00E14102">
        <w:rPr>
          <w:color w:val="000000" w:themeColor="text1"/>
          <w:sz w:val="16"/>
          <w:szCs w:val="16"/>
        </w:rPr>
        <w:t>14 февраля 1935 г. после проведения подготовительных работ лётчик- испытатель Н.П. Благин впервые поднял ДИП в воздух. Первый полёт выявил невоз</w:t>
      </w:r>
      <w:r w:rsidRPr="00E14102">
        <w:rPr>
          <w:color w:val="000000" w:themeColor="text1"/>
          <w:sz w:val="16"/>
          <w:szCs w:val="16"/>
        </w:rPr>
        <w:softHyphen/>
        <w:t>можность балансировки самолёта, необходимость увеличения площади руля поворота и большие нагрузки на элеронах. В течение десяти дней эти недостатки, путём доработок устранили. До середины марта выполнили ещё три полёта, после чего с самолёта сняли моторы для установки на самолёт 40-И</w:t>
      </w:r>
      <w:r w:rsidRPr="00E14102">
        <w:rPr>
          <w:color w:val="000000" w:themeColor="text1"/>
          <w:sz w:val="16"/>
          <w:szCs w:val="16"/>
          <w:vertAlign w:val="superscript"/>
        </w:rPr>
        <w:t>5</w:t>
      </w:r>
      <w:r w:rsidRPr="00E14102">
        <w:rPr>
          <w:color w:val="000000" w:themeColor="text1"/>
          <w:sz w:val="16"/>
          <w:szCs w:val="16"/>
        </w:rPr>
        <w:t>, а ДИП перевезли в ЗОК для доработок (15823).</w:t>
      </w:r>
    </w:p>
    <w:p w14:paraId="61DD95F6" w14:textId="77777777" w:rsidR="00580274" w:rsidRPr="00E14102" w:rsidRDefault="00580274" w:rsidP="00E14102">
      <w:pPr>
        <w:jc w:val="both"/>
        <w:rPr>
          <w:color w:val="000000" w:themeColor="text1"/>
          <w:sz w:val="16"/>
          <w:szCs w:val="16"/>
        </w:rPr>
      </w:pPr>
    </w:p>
    <w:p w14:paraId="0CCEE300" w14:textId="77777777" w:rsidR="00580274" w:rsidRPr="00E14102" w:rsidRDefault="00580274" w:rsidP="00E14102">
      <w:pPr>
        <w:jc w:val="both"/>
        <w:rPr>
          <w:color w:val="000000" w:themeColor="text1"/>
          <w:sz w:val="16"/>
          <w:szCs w:val="16"/>
        </w:rPr>
      </w:pPr>
      <w:r w:rsidRPr="00E14102">
        <w:rPr>
          <w:bCs/>
          <w:color w:val="000000" w:themeColor="text1"/>
          <w:sz w:val="16"/>
          <w:szCs w:val="16"/>
        </w:rPr>
        <w:t>14 февраля</w:t>
      </w:r>
      <w:r w:rsidRPr="00E14102">
        <w:rPr>
          <w:color w:val="000000" w:themeColor="text1"/>
          <w:sz w:val="16"/>
          <w:szCs w:val="16"/>
        </w:rPr>
        <w:t xml:space="preserve"> в 1935 году первый полет двухместного истребителя </w:t>
      </w:r>
      <w:hyperlink r:id="rId45" w:tgtFrame="_blank" w:history="1">
        <w:r w:rsidRPr="00E14102">
          <w:rPr>
            <w:color w:val="000000" w:themeColor="text1"/>
            <w:sz w:val="16"/>
            <w:szCs w:val="16"/>
          </w:rPr>
          <w:t xml:space="preserve">«АНТ-29» (ДИП), </w:t>
        </w:r>
      </w:hyperlink>
      <w:r w:rsidRPr="00E14102">
        <w:rPr>
          <w:color w:val="000000" w:themeColor="text1"/>
          <w:sz w:val="16"/>
          <w:szCs w:val="16"/>
        </w:rPr>
        <w:t>С.А.Корзинщиков. В ходе первых же полетов обнаружились некоторые дефекты и недостаточность поверхностей рулей и элеронов. Самолет был возвращен на завод опытных конструкций (ЗОК). При продолжении испытаний в конце 1935 г. было много разных неполадок, примерно тех же, что и с «МИ-ЗД». Госиспытаний, намеченных на первую половину 1936 г., самолет не проходил. Доводками его заниматься не стали, поскольку с появлением PC (реактивных снарядов), подвешиваемых под крыло истребителей, ДРП потеряли свое значение (15040).</w:t>
      </w:r>
    </w:p>
    <w:p w14:paraId="77E7284D" w14:textId="77777777" w:rsidR="00580274" w:rsidRPr="00E14102" w:rsidRDefault="00580274" w:rsidP="00E14102">
      <w:pPr>
        <w:jc w:val="both"/>
        <w:rPr>
          <w:color w:val="000000" w:themeColor="text1"/>
          <w:sz w:val="16"/>
          <w:szCs w:val="16"/>
        </w:rPr>
      </w:pPr>
    </w:p>
    <w:p w14:paraId="7A01FF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февраля 1935 директор завода 23 Орлов и техдиректор Амбольт писали письмо N 178с ГУАП - Сам. сектор, Опытное машиностроение, Машкевичу, ВВС РККА, Нач. Воен. уч. заведений Левину и НИИ ВВС, 7 сектор Квитко:</w:t>
      </w:r>
    </w:p>
    <w:p w14:paraId="39BCF9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У-3 М-48 в вооруженном варианте 23 февраля с.г. поступит на летные заводские испытания, по окончанию которых будет передан на гос. испытания в НИИ ВВС.</w:t>
      </w:r>
    </w:p>
    <w:p w14:paraId="21CC2A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Зная Вашу заинтересованность в данном варианте машины, просим командировать представителей для участия в испытаниях." (2337,180).</w:t>
      </w:r>
    </w:p>
    <w:p w14:paraId="3075F65C" w14:textId="77777777" w:rsidR="00D4105E" w:rsidRPr="00E14102" w:rsidRDefault="00D4105E" w:rsidP="00E14102">
      <w:pPr>
        <w:autoSpaceDE w:val="0"/>
        <w:autoSpaceDN w:val="0"/>
        <w:adjustRightInd w:val="0"/>
        <w:jc w:val="both"/>
        <w:rPr>
          <w:color w:val="000000" w:themeColor="text1"/>
          <w:sz w:val="16"/>
          <w:szCs w:val="16"/>
        </w:rPr>
      </w:pPr>
    </w:p>
    <w:p w14:paraId="387905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февраля 1935 Нач. УВС Алкснис писал письмо N 40/01295 Врид. Нач. ГУАП Марголину и Зам. Нач. Морских сил РККА Дудри о том, что по полученным данным завод 31 поднял вопрос о переносе срока КОР-1 с 1 августа 1935 на 1 июня 1936 и о том, что это не соответствует срокам плана опытного самолетостроения, утвержденного СТО 14 августа 1934 (2336,39).</w:t>
      </w:r>
    </w:p>
    <w:p w14:paraId="15DEB141" w14:textId="77777777" w:rsidR="00D4105E" w:rsidRPr="00E14102" w:rsidRDefault="00D4105E" w:rsidP="00E14102">
      <w:pPr>
        <w:autoSpaceDE w:val="0"/>
        <w:autoSpaceDN w:val="0"/>
        <w:adjustRightInd w:val="0"/>
        <w:jc w:val="both"/>
        <w:rPr>
          <w:color w:val="000000" w:themeColor="text1"/>
          <w:sz w:val="16"/>
          <w:szCs w:val="16"/>
        </w:rPr>
      </w:pPr>
    </w:p>
    <w:p w14:paraId="79646CBF" w14:textId="77777777" w:rsidR="00FC1960" w:rsidRPr="00E14102" w:rsidRDefault="00FC1960" w:rsidP="00E14102">
      <w:pPr>
        <w:jc w:val="both"/>
        <w:rPr>
          <w:color w:val="0070C0"/>
          <w:sz w:val="16"/>
          <w:szCs w:val="16"/>
        </w:rPr>
      </w:pPr>
      <w:r w:rsidRPr="00E14102">
        <w:rPr>
          <w:color w:val="0070C0"/>
          <w:sz w:val="16"/>
          <w:szCs w:val="16"/>
        </w:rPr>
        <w:t>14 февраля 1935 г. при определении максимальной скорости полета на А-7 началась сильная тряска, что за</w:t>
      </w:r>
      <w:r w:rsidRPr="00E14102">
        <w:rPr>
          <w:color w:val="0070C0"/>
          <w:sz w:val="16"/>
          <w:szCs w:val="16"/>
        </w:rPr>
        <w:softHyphen/>
        <w:t>ставило Корзинщикова немедленно совершить вынужден</w:t>
      </w:r>
      <w:r w:rsidRPr="00E14102">
        <w:rPr>
          <w:color w:val="0070C0"/>
          <w:sz w:val="16"/>
          <w:szCs w:val="16"/>
        </w:rPr>
        <w:softHyphen/>
        <w:t>ную посадку. При этом передняя лыжа попала в снежный бугор, аппарат встал на нос - были сломаны ротор, тяну</w:t>
      </w:r>
      <w:r w:rsidRPr="00E14102">
        <w:rPr>
          <w:color w:val="0070C0"/>
          <w:sz w:val="16"/>
          <w:szCs w:val="16"/>
        </w:rPr>
        <w:softHyphen/>
        <w:t>щий воздушный винт и левое крыло, повреждены шасси и стабилизатор (20361).</w:t>
      </w:r>
    </w:p>
    <w:p w14:paraId="1CACC929" w14:textId="77777777" w:rsidR="00FC1960" w:rsidRPr="00E14102" w:rsidRDefault="00FC1960" w:rsidP="00E14102">
      <w:pPr>
        <w:shd w:val="clear" w:color="auto" w:fill="FFFFFF"/>
        <w:jc w:val="both"/>
        <w:rPr>
          <w:color w:val="0070C0"/>
          <w:sz w:val="16"/>
          <w:szCs w:val="16"/>
        </w:rPr>
      </w:pPr>
    </w:p>
    <w:p w14:paraId="1B42D2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февраля 1935 А.Н.Т. и другие сотрудники ЦАГИ были командированы в США на полгода (с остановкой во Франции).</w:t>
      </w:r>
    </w:p>
    <w:p w14:paraId="6DA266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этой поездке были люди не только из ЦАГИ, так как известно, что ездил и И.Г.Неман, но был в США 4 месяца и полмесяца во Франции (1166,29).</w:t>
      </w:r>
    </w:p>
    <w:p w14:paraId="0A32C58A" w14:textId="77777777" w:rsidR="00D4105E" w:rsidRPr="00E14102" w:rsidRDefault="00D4105E" w:rsidP="00E14102">
      <w:pPr>
        <w:autoSpaceDE w:val="0"/>
        <w:autoSpaceDN w:val="0"/>
        <w:adjustRightInd w:val="0"/>
        <w:jc w:val="both"/>
        <w:rPr>
          <w:color w:val="000000" w:themeColor="text1"/>
          <w:sz w:val="16"/>
          <w:szCs w:val="16"/>
        </w:rPr>
      </w:pPr>
    </w:p>
    <w:p w14:paraId="58D1027E" w14:textId="77777777" w:rsidR="0058027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55980ED" w14:textId="77777777" w:rsidR="00580274" w:rsidRPr="00E14102" w:rsidRDefault="00580274" w:rsidP="00E14102">
      <w:pPr>
        <w:autoSpaceDE w:val="0"/>
        <w:autoSpaceDN w:val="0"/>
        <w:adjustRightInd w:val="0"/>
        <w:jc w:val="both"/>
        <w:rPr>
          <w:iCs/>
          <w:color w:val="000000" w:themeColor="text1"/>
          <w:sz w:val="16"/>
          <w:szCs w:val="16"/>
        </w:rPr>
      </w:pPr>
    </w:p>
    <w:p w14:paraId="35B3E62E" w14:textId="77777777" w:rsidR="00580274" w:rsidRPr="00E14102" w:rsidRDefault="00580274" w:rsidP="00E14102">
      <w:pPr>
        <w:pStyle w:val="rtejustify"/>
        <w:spacing w:before="0" w:after="0"/>
        <w:rPr>
          <w:color w:val="000000" w:themeColor="text1"/>
          <w:sz w:val="16"/>
          <w:szCs w:val="16"/>
        </w:rPr>
      </w:pPr>
      <w:r w:rsidRPr="00E14102">
        <w:rPr>
          <w:rStyle w:val="a6"/>
          <w:bCs/>
          <w:i w:val="0"/>
          <w:color w:val="000000" w:themeColor="text1"/>
          <w:sz w:val="16"/>
          <w:szCs w:val="16"/>
        </w:rPr>
        <w:t>14 февраля 1935 вышел приказ НКО №</w:t>
      </w:r>
      <w:r w:rsidRPr="00E14102">
        <w:rPr>
          <w:color w:val="000000" w:themeColor="text1"/>
          <w:sz w:val="16"/>
          <w:szCs w:val="16"/>
        </w:rPr>
        <w:t> 007. О назначении комиссии для испытания образцов телемеханических танков Т</w:t>
      </w:r>
      <w:r w:rsidRPr="00E14102">
        <w:rPr>
          <w:color w:val="000000" w:themeColor="text1"/>
          <w:sz w:val="16"/>
          <w:szCs w:val="16"/>
        </w:rPr>
        <w:noBreakHyphen/>
        <w:t>26 (15247).</w:t>
      </w:r>
    </w:p>
    <w:p w14:paraId="519243A2" w14:textId="77777777" w:rsidR="00580274" w:rsidRPr="00E14102" w:rsidRDefault="00580274" w:rsidP="00E14102">
      <w:pPr>
        <w:pStyle w:val="rtejustify"/>
        <w:spacing w:before="0" w:after="0"/>
        <w:rPr>
          <w:color w:val="000000" w:themeColor="text1"/>
          <w:sz w:val="16"/>
          <w:szCs w:val="16"/>
        </w:rPr>
      </w:pPr>
    </w:p>
    <w:p w14:paraId="73397E4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7FAE8797" w14:textId="77777777" w:rsidR="00D4105E" w:rsidRPr="00E14102" w:rsidRDefault="00D4105E" w:rsidP="00E14102">
      <w:pPr>
        <w:autoSpaceDE w:val="0"/>
        <w:autoSpaceDN w:val="0"/>
        <w:adjustRightInd w:val="0"/>
        <w:jc w:val="both"/>
        <w:rPr>
          <w:color w:val="000000" w:themeColor="text1"/>
          <w:sz w:val="16"/>
          <w:szCs w:val="16"/>
        </w:rPr>
      </w:pPr>
    </w:p>
    <w:p w14:paraId="65949A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февраля 1935 приказ НКВД СССР № 29 объявил 1935 год решающим для окончания строительства канала Волга-Москва в срок, установленный партией и правительством: весной 1937 года канал должен быть сдан в эксплуатацию; отмечалось, что не менее 80 процентов разработки грунтов сделано с использованием экскаваторов, гидромеханизации, малой механизации и грабарок; строительным отрядам, занятым на немеханизированных тяжелых физических работах и выполняющих плановые задания, в феврале - апреле предоставлялся пятисуточный отдых (7560).</w:t>
      </w:r>
    </w:p>
    <w:p w14:paraId="10F32BB8" w14:textId="77777777" w:rsidR="00D4105E" w:rsidRPr="00E14102" w:rsidRDefault="00D4105E" w:rsidP="00E14102">
      <w:pPr>
        <w:autoSpaceDE w:val="0"/>
        <w:autoSpaceDN w:val="0"/>
        <w:adjustRightInd w:val="0"/>
        <w:jc w:val="both"/>
        <w:rPr>
          <w:color w:val="000000" w:themeColor="text1"/>
          <w:sz w:val="16"/>
          <w:szCs w:val="16"/>
        </w:rPr>
      </w:pPr>
    </w:p>
    <w:p w14:paraId="5BE0F953" w14:textId="77777777" w:rsidR="0058027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0C9C9EE" w14:textId="77777777" w:rsidR="00580274" w:rsidRPr="00E14102" w:rsidRDefault="00580274" w:rsidP="00E14102">
      <w:pPr>
        <w:autoSpaceDE w:val="0"/>
        <w:autoSpaceDN w:val="0"/>
        <w:adjustRightInd w:val="0"/>
        <w:jc w:val="both"/>
        <w:rPr>
          <w:iCs/>
          <w:color w:val="000000" w:themeColor="text1"/>
          <w:sz w:val="16"/>
          <w:szCs w:val="16"/>
        </w:rPr>
      </w:pPr>
    </w:p>
    <w:p w14:paraId="38549511" w14:textId="77777777" w:rsidR="00580274" w:rsidRPr="00E14102" w:rsidRDefault="00580274" w:rsidP="00E14102">
      <w:pPr>
        <w:jc w:val="both"/>
        <w:rPr>
          <w:color w:val="000000" w:themeColor="text1"/>
          <w:sz w:val="16"/>
          <w:szCs w:val="16"/>
        </w:rPr>
      </w:pPr>
      <w:r w:rsidRPr="00E14102">
        <w:rPr>
          <w:bCs/>
          <w:color w:val="000000" w:themeColor="text1"/>
          <w:sz w:val="16"/>
          <w:szCs w:val="16"/>
        </w:rPr>
        <w:t>14 февраля</w:t>
      </w:r>
      <w:r w:rsidRPr="00E14102">
        <w:rPr>
          <w:color w:val="000000" w:themeColor="text1"/>
          <w:sz w:val="16"/>
          <w:szCs w:val="16"/>
        </w:rPr>
        <w:t xml:space="preserve"> в 1935 году военные испытатели впервые опробовали средний бомбардировщик </w:t>
      </w:r>
      <w:hyperlink r:id="rId46" w:tgtFrame="_blank" w:history="1">
        <w:r w:rsidRPr="00E14102">
          <w:rPr>
            <w:color w:val="000000" w:themeColor="text1"/>
            <w:sz w:val="16"/>
            <w:szCs w:val="16"/>
          </w:rPr>
          <w:t xml:space="preserve">«MB.210» «Verdum». </w:t>
        </w:r>
      </w:hyperlink>
      <w:r w:rsidRPr="00E14102">
        <w:rPr>
          <w:color w:val="000000" w:themeColor="text1"/>
          <w:sz w:val="16"/>
          <w:szCs w:val="16"/>
        </w:rPr>
        <w:t>К апрелю «МВ.210» прошел испытания при различном взлетном весе вплоть до максимальной величины в 8500 кг. В мае на самолете смонтировали вооружение. Уже первые испытания «МВ.210» вскрыли необходимость увеличения стабилизатора. Одновременно верхнюю турель сместили вперед, увеличили угол стреловидности консолей и поставили выпускающуюся нижнюю турель (15040).</w:t>
      </w:r>
    </w:p>
    <w:p w14:paraId="1FE76C58" w14:textId="77777777" w:rsidR="00580274" w:rsidRPr="00E14102" w:rsidRDefault="00580274" w:rsidP="00E14102">
      <w:pPr>
        <w:jc w:val="both"/>
        <w:rPr>
          <w:color w:val="000000" w:themeColor="text1"/>
          <w:sz w:val="16"/>
          <w:szCs w:val="16"/>
        </w:rPr>
      </w:pPr>
    </w:p>
    <w:p w14:paraId="0C34242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75C41F0" w14:textId="77777777" w:rsidR="00D4105E" w:rsidRPr="00E14102" w:rsidRDefault="00D4105E" w:rsidP="00E14102">
      <w:pPr>
        <w:autoSpaceDE w:val="0"/>
        <w:autoSpaceDN w:val="0"/>
        <w:adjustRightInd w:val="0"/>
        <w:jc w:val="both"/>
        <w:rPr>
          <w:iCs/>
          <w:color w:val="000000" w:themeColor="text1"/>
          <w:sz w:val="16"/>
          <w:szCs w:val="16"/>
        </w:rPr>
      </w:pPr>
    </w:p>
    <w:p w14:paraId="395A76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февраля 1935 года Алкснис писал письмо N 40/01242 Базилевичу.</w:t>
      </w:r>
    </w:p>
    <w:p w14:paraId="5E80A5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передачи на гос. испытания самолета ХАИ М-22 - 1.09.35 года, заявленный ГУАП является неприемлемым, так как постройка в 1936 году самолета с невысотным мотором М-22 явится нецелесообразной. Этот срок может быть приемлемым лишь при условии замены мотора М-22 высотным мотором М-75 (Гном-Рон К-9).</w:t>
      </w:r>
    </w:p>
    <w:p w14:paraId="085DD9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Крайним сроком предъявления на гос. испытания самолета ХАИ с мотором М-22 может явиться лишь 15.05.с.г. (3104,38).</w:t>
      </w:r>
    </w:p>
    <w:p w14:paraId="135B40A7" w14:textId="77777777" w:rsidR="00D4105E" w:rsidRPr="00E14102" w:rsidRDefault="00D4105E" w:rsidP="00E14102">
      <w:pPr>
        <w:autoSpaceDE w:val="0"/>
        <w:autoSpaceDN w:val="0"/>
        <w:adjustRightInd w:val="0"/>
        <w:jc w:val="both"/>
        <w:rPr>
          <w:color w:val="000000" w:themeColor="text1"/>
          <w:sz w:val="16"/>
          <w:szCs w:val="16"/>
        </w:rPr>
      </w:pPr>
    </w:p>
    <w:p w14:paraId="2ECC04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февраля 1935 Зам. Нач. ГУАП Ермолаев писал письмо N 242/717с Зам. Нач. УМС Дудри (копия Нач. ГУ УВС Алкснису и дир. завода 31 Мурашеву) на N 204134с от 5 февраля 1935 по вопросу О выпуске на гос. испытания КОР-1. ГУАП писал, что сдвиг с 1 августа на 1 ноября 1935 вызван переездом бригады 3 с завода 39 на завод 31, но срок 1 июня 1936 предлагается заводом 31 и не согласован с ГУАП (2336,30).</w:t>
      </w:r>
    </w:p>
    <w:p w14:paraId="63C67DE9" w14:textId="77777777" w:rsidR="00D4105E" w:rsidRPr="00E14102" w:rsidRDefault="00D4105E" w:rsidP="00E14102">
      <w:pPr>
        <w:autoSpaceDE w:val="0"/>
        <w:autoSpaceDN w:val="0"/>
        <w:adjustRightInd w:val="0"/>
        <w:jc w:val="both"/>
        <w:rPr>
          <w:color w:val="000000" w:themeColor="text1"/>
          <w:sz w:val="16"/>
          <w:szCs w:val="16"/>
        </w:rPr>
      </w:pPr>
    </w:p>
    <w:p w14:paraId="50D94862" w14:textId="77777777" w:rsidR="00C7292B" w:rsidRPr="00E14102" w:rsidRDefault="00C7292B" w:rsidP="00E14102">
      <w:pPr>
        <w:shd w:val="clear" w:color="auto" w:fill="FFFFFF"/>
        <w:jc w:val="both"/>
        <w:rPr>
          <w:color w:val="000000" w:themeColor="text1"/>
          <w:sz w:val="16"/>
          <w:szCs w:val="16"/>
        </w:rPr>
      </w:pPr>
      <w:r w:rsidRPr="00E14102">
        <w:rPr>
          <w:bCs/>
          <w:iCs/>
          <w:color w:val="000000" w:themeColor="text1"/>
          <w:sz w:val="16"/>
          <w:szCs w:val="16"/>
        </w:rPr>
        <w:t>15 февраля 1935 г.</w:t>
      </w:r>
      <w:r w:rsidRPr="00E14102">
        <w:rPr>
          <w:color w:val="000000" w:themeColor="text1"/>
          <w:sz w:val="16"/>
          <w:szCs w:val="16"/>
        </w:rPr>
        <w:t xml:space="preserve"> Письмо начальника ЦАГИ начальнику ВОХИМУ РККА Я.М.Фишману с просьбой об организации на полигоне в Кузьминках (Москва) лаборатории и постоянной опытной площадки ЦАГИ для полигонных испытаний химического вооружения самолетов (17133).</w:t>
      </w:r>
    </w:p>
    <w:p w14:paraId="3ABAB14B" w14:textId="77777777" w:rsidR="00C7292B" w:rsidRPr="00E14102" w:rsidRDefault="00C7292B" w:rsidP="00E14102">
      <w:pPr>
        <w:shd w:val="clear" w:color="auto" w:fill="FFFFFF"/>
        <w:jc w:val="both"/>
        <w:rPr>
          <w:color w:val="000000" w:themeColor="text1"/>
          <w:sz w:val="16"/>
          <w:szCs w:val="16"/>
        </w:rPr>
      </w:pPr>
    </w:p>
    <w:p w14:paraId="27304DFC" w14:textId="77777777" w:rsidR="00C7292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32C77D2" w14:textId="77777777" w:rsidR="00C7292B" w:rsidRPr="00E14102" w:rsidRDefault="00C7292B" w:rsidP="00E14102">
      <w:pPr>
        <w:autoSpaceDE w:val="0"/>
        <w:autoSpaceDN w:val="0"/>
        <w:adjustRightInd w:val="0"/>
        <w:jc w:val="both"/>
        <w:rPr>
          <w:iCs/>
          <w:color w:val="000000" w:themeColor="text1"/>
          <w:sz w:val="16"/>
          <w:szCs w:val="16"/>
        </w:rPr>
      </w:pPr>
    </w:p>
    <w:p w14:paraId="5BFD5A66" w14:textId="77777777" w:rsidR="00C7292B" w:rsidRPr="00E14102" w:rsidRDefault="00C7292B" w:rsidP="00E14102">
      <w:pPr>
        <w:pStyle w:val="rtejustify"/>
        <w:spacing w:before="0" w:after="0"/>
        <w:rPr>
          <w:color w:val="000000" w:themeColor="text1"/>
          <w:sz w:val="16"/>
          <w:szCs w:val="16"/>
        </w:rPr>
      </w:pPr>
      <w:r w:rsidRPr="00E14102">
        <w:rPr>
          <w:rStyle w:val="a6"/>
          <w:bCs/>
          <w:i w:val="0"/>
          <w:color w:val="000000" w:themeColor="text1"/>
          <w:sz w:val="16"/>
          <w:szCs w:val="16"/>
        </w:rPr>
        <w:t>15 февраля 1935 вышел приказ НКО №</w:t>
      </w:r>
      <w:r w:rsidRPr="00E14102">
        <w:rPr>
          <w:color w:val="000000" w:themeColor="text1"/>
          <w:sz w:val="16"/>
          <w:szCs w:val="16"/>
        </w:rPr>
        <w:t> 025. О порядке эксплуатации автобронемашин в РККА (15247).</w:t>
      </w:r>
    </w:p>
    <w:p w14:paraId="2181F438" w14:textId="77777777" w:rsidR="00C7292B" w:rsidRPr="00E14102" w:rsidRDefault="00C7292B" w:rsidP="00E14102">
      <w:pPr>
        <w:pStyle w:val="rtejustify"/>
        <w:spacing w:before="0" w:after="0"/>
        <w:rPr>
          <w:color w:val="000000" w:themeColor="text1"/>
          <w:sz w:val="16"/>
          <w:szCs w:val="16"/>
        </w:rPr>
      </w:pPr>
    </w:p>
    <w:p w14:paraId="1182C7D0" w14:textId="77777777" w:rsidR="004F769A" w:rsidRPr="00E14102" w:rsidRDefault="004F769A" w:rsidP="00E14102">
      <w:pPr>
        <w:jc w:val="both"/>
        <w:rPr>
          <w:color w:val="000000" w:themeColor="text1"/>
          <w:sz w:val="16"/>
          <w:szCs w:val="16"/>
        </w:rPr>
      </w:pPr>
      <w:r w:rsidRPr="00E14102">
        <w:rPr>
          <w:color w:val="000000" w:themeColor="text1"/>
          <w:sz w:val="16"/>
          <w:szCs w:val="16"/>
        </w:rPr>
        <w:t xml:space="preserve">15 февраля 1935 г. появляется Приказ №40, конкретизирующий издания, которые должны быть изъяты: «а) работы, целиком принадлежащие Троцкому, Зиновьеву, Каменеву, Cафарову и другим осужденным троцкистам и зиновьевцам; б) сборники, учебники или хрестоматии, выпущенные в прошлые (до 1931) года и в качестве учебных пособий или массовой литературы под редакцией упомянутых лиц, или с их статьями или выдержками из них; в) диапозитивы, листовки, плакаты с </w:t>
      </w:r>
      <w:r w:rsidRPr="00E14102">
        <w:rPr>
          <w:color w:val="000000" w:themeColor="text1"/>
          <w:sz w:val="16"/>
          <w:szCs w:val="16"/>
        </w:rPr>
        <w:lastRenderedPageBreak/>
        <w:t>изображением упомянутых лиц и с выдержками (цитатами) из их произведений, а также их портреты...». В том же Приказе перечислялась литература, не подлежащая изъятию: «а) протоколы советских, партийных, профсоюзных и других съездов и конференций (стенографические отчеты), где имеются выступления или доклады упомянутых лиц; б) томы сочинений В.И.Ленина ... и аналогичных материалов (например, «Ленинские сборники»)... в) газеты и журналы со статьями упомянутых лиц; г) издания, выходящие под редакцией упомянутых лиц, но не вызывающие со стороны цензурных сомнений...» (орфография подлинника). Этот приказ Главлита был подкреплен и партийным циркуляром со стороны Оргбюро ЦК (17273).</w:t>
      </w:r>
    </w:p>
    <w:p w14:paraId="61382444" w14:textId="77777777" w:rsidR="004F769A" w:rsidRPr="00E14102" w:rsidRDefault="004F769A" w:rsidP="00E14102">
      <w:pPr>
        <w:jc w:val="both"/>
        <w:rPr>
          <w:color w:val="000000" w:themeColor="text1"/>
          <w:sz w:val="16"/>
          <w:szCs w:val="16"/>
        </w:rPr>
      </w:pPr>
    </w:p>
    <w:p w14:paraId="41D43D43" w14:textId="77777777" w:rsidR="005766E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63F1726" w14:textId="77777777" w:rsidR="005766E0" w:rsidRPr="00E14102" w:rsidRDefault="005766E0" w:rsidP="00E14102">
      <w:pPr>
        <w:autoSpaceDE w:val="0"/>
        <w:autoSpaceDN w:val="0"/>
        <w:adjustRightInd w:val="0"/>
        <w:jc w:val="both"/>
        <w:rPr>
          <w:iCs/>
          <w:color w:val="000000" w:themeColor="text1"/>
          <w:sz w:val="16"/>
          <w:szCs w:val="16"/>
        </w:rPr>
      </w:pPr>
    </w:p>
    <w:p w14:paraId="3D67BE2F" w14:textId="77777777" w:rsidR="00C17A36" w:rsidRPr="00E14102" w:rsidRDefault="00C17A36" w:rsidP="00E14102">
      <w:pPr>
        <w:jc w:val="both"/>
        <w:rPr>
          <w:color w:val="000000" w:themeColor="text1"/>
          <w:sz w:val="16"/>
          <w:szCs w:val="16"/>
        </w:rPr>
      </w:pPr>
      <w:r w:rsidRPr="00E14102">
        <w:rPr>
          <w:color w:val="000000" w:themeColor="text1"/>
          <w:sz w:val="16"/>
          <w:szCs w:val="16"/>
        </w:rPr>
        <w:t>15 февраля 1938 г. на основании постановления СНК СССР № 170 «О порядке приобретения малокалиберных винтовок»</w:t>
      </w:r>
      <w:bookmarkStart w:id="6" w:name="annot_25"/>
      <w:r w:rsidR="00B64C5C" w:rsidRPr="00E14102">
        <w:rPr>
          <w:color w:val="000000" w:themeColor="text1"/>
          <w:sz w:val="16"/>
          <w:szCs w:val="16"/>
        </w:rPr>
        <w:fldChar w:fldCharType="begin"/>
      </w:r>
      <w:r w:rsidRPr="00E14102">
        <w:rPr>
          <w:color w:val="000000" w:themeColor="text1"/>
          <w:sz w:val="16"/>
          <w:szCs w:val="16"/>
        </w:rPr>
        <w:instrText xml:space="preserve"> HYPERLINK "https://bstudy.net/621217/pravo/pravovoe_regulirovanie_oborota_oruzhiya_sovetskom_gosudarstve" \l "gads_btm" </w:instrText>
      </w:r>
      <w:r w:rsidR="00B64C5C" w:rsidRPr="00E14102">
        <w:rPr>
          <w:color w:val="000000" w:themeColor="text1"/>
          <w:sz w:val="16"/>
          <w:szCs w:val="16"/>
        </w:rPr>
        <w:fldChar w:fldCharType="separate"/>
      </w:r>
      <w:r w:rsidRPr="00E14102">
        <w:rPr>
          <w:rStyle w:val="a4"/>
          <w:rFonts w:eastAsiaTheme="majorEastAsia"/>
          <w:color w:val="000000" w:themeColor="text1"/>
          <w:sz w:val="16"/>
          <w:szCs w:val="16"/>
        </w:rPr>
        <w:t>[25]</w:t>
      </w:r>
      <w:r w:rsidR="00B64C5C" w:rsidRPr="00E14102">
        <w:rPr>
          <w:color w:val="000000" w:themeColor="text1"/>
          <w:sz w:val="16"/>
          <w:szCs w:val="16"/>
        </w:rPr>
        <w:fldChar w:fldCharType="end"/>
      </w:r>
      <w:bookmarkEnd w:id="6"/>
      <w:r w:rsidRPr="00E14102">
        <w:rPr>
          <w:color w:val="000000" w:themeColor="text1"/>
          <w:sz w:val="16"/>
          <w:szCs w:val="16"/>
        </w:rPr>
        <w:t> начиная с 1938 г. в стране было ограничено их приобретение: как предприятиям, учреждениям, организациям, так и гражданам, следовало предварительно получить разрешение милиции (18514).</w:t>
      </w:r>
    </w:p>
    <w:p w14:paraId="4FF7DF73" w14:textId="77777777" w:rsidR="00C17A36" w:rsidRPr="00E14102" w:rsidRDefault="00C17A36" w:rsidP="00E14102">
      <w:pPr>
        <w:jc w:val="both"/>
        <w:rPr>
          <w:color w:val="000000" w:themeColor="text1"/>
          <w:sz w:val="16"/>
          <w:szCs w:val="16"/>
        </w:rPr>
      </w:pPr>
    </w:p>
    <w:p w14:paraId="73441877" w14:textId="77777777" w:rsidR="005766E0" w:rsidRPr="00E14102" w:rsidRDefault="005766E0" w:rsidP="00E14102">
      <w:pPr>
        <w:jc w:val="both"/>
        <w:rPr>
          <w:color w:val="000000" w:themeColor="text1"/>
          <w:sz w:val="16"/>
          <w:szCs w:val="16"/>
        </w:rPr>
      </w:pPr>
      <w:r w:rsidRPr="00E14102">
        <w:rPr>
          <w:color w:val="000000" w:themeColor="text1"/>
          <w:sz w:val="16"/>
          <w:szCs w:val="16"/>
        </w:rPr>
        <w:t>15 февраля 1935 г. появляется Приказ №40, конкретизирующий издания, которые должны быть изъяты: «а) работы, целиком принадлежащие Троцкому, Зиновьеву, Каменеву, Cафарову и другим осужденным троцкистам и зиновьевцам; б) сборники, учебники или хрестоматии, выпущенные в прошлые (до 1931) года и в качестве учебных пособий или массовой литературы под редакцией упомянутых лиц, или с их статьями или выдержками из них; в) диапозитивы, листовки, плакаты с изображением упомянутых лиц и с выдержками (цитатами) из их произведений, а также их портреты...». В том же Приказе перечислялась литература, не подлежащая изъятию: «а) протоколы советских, партийных, профсоюзных и других съездов и конференций (стенографические отчеты), где имеются выступления или доклады упомянутых лиц; б) томы сочинений В.И.Ленина ... и аналогичных материалов (например, «Ленинские сборники»)... в) газеты и журналы со статьями упомянутых лиц; г) издания, выходящие под редакцией упомянутых лиц, но не вызывающие со стороны цензурных сомнений...» (орфография подлинника). Этот приказ Главлита был подкреплен и партийным циркуляром со стороны Оргбюро ЦК (17273).</w:t>
      </w:r>
    </w:p>
    <w:p w14:paraId="166B7755" w14:textId="77777777" w:rsidR="005766E0" w:rsidRPr="00E14102" w:rsidRDefault="005766E0" w:rsidP="00E14102">
      <w:pPr>
        <w:jc w:val="both"/>
        <w:rPr>
          <w:color w:val="000000" w:themeColor="text1"/>
          <w:sz w:val="16"/>
          <w:szCs w:val="16"/>
        </w:rPr>
      </w:pPr>
    </w:p>
    <w:p w14:paraId="33CDB32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55E8647" w14:textId="77777777" w:rsidR="00D4105E" w:rsidRPr="00E14102" w:rsidRDefault="00D4105E" w:rsidP="00E14102">
      <w:pPr>
        <w:autoSpaceDE w:val="0"/>
        <w:autoSpaceDN w:val="0"/>
        <w:adjustRightInd w:val="0"/>
        <w:jc w:val="both"/>
        <w:rPr>
          <w:iCs/>
          <w:color w:val="000000" w:themeColor="text1"/>
          <w:sz w:val="16"/>
          <w:szCs w:val="16"/>
        </w:rPr>
      </w:pPr>
    </w:p>
    <w:p w14:paraId="46524A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середине февраля 1935 состоялось совещание у Зам. Нач. ППО ГУАП по рассмотрению и утверждению КЦ по заводу КПБ (115):</w:t>
      </w:r>
    </w:p>
    <w:p w14:paraId="5E1241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счет бюджета - 604.8 тыс.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E3599D" w:rsidRPr="00E14102" w14:paraId="5732481D" w14:textId="77777777">
        <w:tc>
          <w:tcPr>
            <w:tcW w:w="3757" w:type="dxa"/>
            <w:tcBorders>
              <w:top w:val="single" w:sz="12" w:space="0" w:color="auto"/>
            </w:tcBorders>
          </w:tcPr>
          <w:p w14:paraId="7D692F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АИР-6бис</w:t>
            </w:r>
          </w:p>
        </w:tc>
        <w:tc>
          <w:tcPr>
            <w:tcW w:w="3757" w:type="dxa"/>
            <w:tcBorders>
              <w:top w:val="single" w:sz="12" w:space="0" w:color="auto"/>
            </w:tcBorders>
          </w:tcPr>
          <w:p w14:paraId="474604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w:t>
            </w:r>
          </w:p>
        </w:tc>
        <w:tc>
          <w:tcPr>
            <w:tcW w:w="3757" w:type="dxa"/>
            <w:tcBorders>
              <w:top w:val="single" w:sz="12" w:space="0" w:color="auto"/>
            </w:tcBorders>
          </w:tcPr>
          <w:p w14:paraId="642414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01.02.35</w:t>
            </w:r>
          </w:p>
        </w:tc>
      </w:tr>
      <w:tr w:rsidR="00E3599D" w:rsidRPr="00E14102" w14:paraId="6742DA33" w14:textId="77777777">
        <w:tc>
          <w:tcPr>
            <w:tcW w:w="3757" w:type="dxa"/>
          </w:tcPr>
          <w:p w14:paraId="3F0558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АИР-9</w:t>
            </w:r>
          </w:p>
        </w:tc>
        <w:tc>
          <w:tcPr>
            <w:tcW w:w="3757" w:type="dxa"/>
          </w:tcPr>
          <w:p w14:paraId="4B1E29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w:t>
            </w:r>
          </w:p>
        </w:tc>
        <w:tc>
          <w:tcPr>
            <w:tcW w:w="3757" w:type="dxa"/>
          </w:tcPr>
          <w:p w14:paraId="5F3AA1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01.04.35</w:t>
            </w:r>
          </w:p>
        </w:tc>
      </w:tr>
      <w:tr w:rsidR="00E3599D" w:rsidRPr="00E14102" w14:paraId="1CACA748" w14:textId="77777777">
        <w:tc>
          <w:tcPr>
            <w:tcW w:w="3757" w:type="dxa"/>
          </w:tcPr>
          <w:p w14:paraId="0AB9D77C" w14:textId="77777777" w:rsidR="00D4105E" w:rsidRPr="00E14102" w:rsidRDefault="00D4105E" w:rsidP="00E14102">
            <w:pPr>
              <w:autoSpaceDE w:val="0"/>
              <w:autoSpaceDN w:val="0"/>
              <w:adjustRightInd w:val="0"/>
              <w:jc w:val="both"/>
              <w:rPr>
                <w:color w:val="000000" w:themeColor="text1"/>
                <w:sz w:val="16"/>
                <w:szCs w:val="16"/>
              </w:rPr>
            </w:pPr>
          </w:p>
        </w:tc>
        <w:tc>
          <w:tcPr>
            <w:tcW w:w="3757" w:type="dxa"/>
          </w:tcPr>
          <w:p w14:paraId="168C54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w:t>
            </w:r>
          </w:p>
        </w:tc>
        <w:tc>
          <w:tcPr>
            <w:tcW w:w="3757" w:type="dxa"/>
          </w:tcPr>
          <w:p w14:paraId="208B57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15.04.35</w:t>
            </w:r>
          </w:p>
        </w:tc>
      </w:tr>
      <w:tr w:rsidR="00E3599D" w:rsidRPr="00E14102" w14:paraId="538F40FA" w14:textId="77777777">
        <w:tc>
          <w:tcPr>
            <w:tcW w:w="3757" w:type="dxa"/>
          </w:tcPr>
          <w:p w14:paraId="269A44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АИР-10</w:t>
            </w:r>
          </w:p>
        </w:tc>
        <w:tc>
          <w:tcPr>
            <w:tcW w:w="3757" w:type="dxa"/>
          </w:tcPr>
          <w:p w14:paraId="0731B1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w:t>
            </w:r>
          </w:p>
        </w:tc>
        <w:tc>
          <w:tcPr>
            <w:tcW w:w="3757" w:type="dxa"/>
          </w:tcPr>
          <w:p w14:paraId="186772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01.06.35</w:t>
            </w:r>
          </w:p>
        </w:tc>
      </w:tr>
      <w:tr w:rsidR="00E3599D" w:rsidRPr="00E14102" w14:paraId="2A88BA8D" w14:textId="77777777">
        <w:tc>
          <w:tcPr>
            <w:tcW w:w="3757" w:type="dxa"/>
          </w:tcPr>
          <w:p w14:paraId="39BC9202" w14:textId="77777777" w:rsidR="00D4105E" w:rsidRPr="00E14102" w:rsidRDefault="00D4105E" w:rsidP="00E14102">
            <w:pPr>
              <w:autoSpaceDE w:val="0"/>
              <w:autoSpaceDN w:val="0"/>
              <w:adjustRightInd w:val="0"/>
              <w:jc w:val="both"/>
              <w:rPr>
                <w:color w:val="000000" w:themeColor="text1"/>
                <w:sz w:val="16"/>
                <w:szCs w:val="16"/>
              </w:rPr>
            </w:pPr>
          </w:p>
        </w:tc>
        <w:tc>
          <w:tcPr>
            <w:tcW w:w="3757" w:type="dxa"/>
          </w:tcPr>
          <w:p w14:paraId="123A32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w:t>
            </w:r>
          </w:p>
        </w:tc>
        <w:tc>
          <w:tcPr>
            <w:tcW w:w="3757" w:type="dxa"/>
          </w:tcPr>
          <w:p w14:paraId="5DB958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15.06.35</w:t>
            </w:r>
          </w:p>
        </w:tc>
      </w:tr>
      <w:tr w:rsidR="00E3599D" w:rsidRPr="00E14102" w14:paraId="73A65AE2" w14:textId="77777777">
        <w:tc>
          <w:tcPr>
            <w:tcW w:w="3757" w:type="dxa"/>
          </w:tcPr>
          <w:p w14:paraId="5A698C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АИР-14</w:t>
            </w:r>
          </w:p>
        </w:tc>
        <w:tc>
          <w:tcPr>
            <w:tcW w:w="3757" w:type="dxa"/>
          </w:tcPr>
          <w:p w14:paraId="1E38B1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w:t>
            </w:r>
          </w:p>
        </w:tc>
        <w:tc>
          <w:tcPr>
            <w:tcW w:w="3757" w:type="dxa"/>
          </w:tcPr>
          <w:p w14:paraId="0008FB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15.10.35</w:t>
            </w:r>
          </w:p>
        </w:tc>
      </w:tr>
      <w:tr w:rsidR="00E3599D" w:rsidRPr="00E14102" w14:paraId="54D9A07A" w14:textId="77777777">
        <w:tc>
          <w:tcPr>
            <w:tcW w:w="3757" w:type="dxa"/>
            <w:tcBorders>
              <w:bottom w:val="single" w:sz="12" w:space="0" w:color="auto"/>
            </w:tcBorders>
          </w:tcPr>
          <w:p w14:paraId="4FF97F12" w14:textId="77777777" w:rsidR="00D4105E" w:rsidRPr="00E14102" w:rsidRDefault="00D4105E" w:rsidP="00E14102">
            <w:pPr>
              <w:autoSpaceDE w:val="0"/>
              <w:autoSpaceDN w:val="0"/>
              <w:adjustRightInd w:val="0"/>
              <w:jc w:val="both"/>
              <w:rPr>
                <w:color w:val="000000" w:themeColor="text1"/>
                <w:sz w:val="16"/>
                <w:szCs w:val="16"/>
              </w:rPr>
            </w:pPr>
          </w:p>
        </w:tc>
        <w:tc>
          <w:tcPr>
            <w:tcW w:w="3757" w:type="dxa"/>
            <w:tcBorders>
              <w:bottom w:val="single" w:sz="12" w:space="0" w:color="auto"/>
            </w:tcBorders>
          </w:tcPr>
          <w:p w14:paraId="318CBD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w:t>
            </w:r>
          </w:p>
        </w:tc>
        <w:tc>
          <w:tcPr>
            <w:tcW w:w="3757" w:type="dxa"/>
            <w:tcBorders>
              <w:bottom w:val="single" w:sz="12" w:space="0" w:color="auto"/>
            </w:tcBorders>
          </w:tcPr>
          <w:p w14:paraId="7F4D55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01.12.35</w:t>
            </w:r>
          </w:p>
        </w:tc>
      </w:tr>
    </w:tbl>
    <w:p w14:paraId="3BEE56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счет заказа 3-х лиц - 482.7 тыс.</w:t>
      </w:r>
    </w:p>
    <w:p w14:paraId="41808D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АИР-10</w:t>
      </w:r>
    </w:p>
    <w:p w14:paraId="7BB31A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АИР-12</w:t>
      </w:r>
    </w:p>
    <w:p w14:paraId="20FD65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АИР-6</w:t>
      </w:r>
    </w:p>
    <w:p w14:paraId="343D54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Поплавки к АИР-9</w:t>
      </w:r>
    </w:p>
    <w:p w14:paraId="2FDCAD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Сер. черт. АИР-9 (2336,48).</w:t>
      </w:r>
    </w:p>
    <w:p w14:paraId="3FE84C5A" w14:textId="77777777" w:rsidR="00D4105E" w:rsidRPr="00E14102" w:rsidRDefault="00D4105E" w:rsidP="00E14102">
      <w:pPr>
        <w:autoSpaceDE w:val="0"/>
        <w:autoSpaceDN w:val="0"/>
        <w:adjustRightInd w:val="0"/>
        <w:jc w:val="both"/>
        <w:rPr>
          <w:color w:val="000000" w:themeColor="text1"/>
          <w:sz w:val="16"/>
          <w:szCs w:val="16"/>
        </w:rPr>
      </w:pPr>
    </w:p>
    <w:p w14:paraId="4DC5F7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середине февраля 1935 состоялось совещание у Зам. Нач. ППО ГУАП по рассмотрению и утверждению КЦ по ХАИ:</w:t>
      </w:r>
    </w:p>
    <w:p w14:paraId="3EA59B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Темат. план:</w:t>
      </w:r>
    </w:p>
    <w:p w14:paraId="724D5A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Н-4</w:t>
      </w:r>
    </w:p>
    <w:p w14:paraId="1CA01C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НТ-6</w:t>
      </w:r>
    </w:p>
    <w:p w14:paraId="4577C1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ХАИ-6-3</w:t>
      </w:r>
    </w:p>
    <w:p w14:paraId="1E38EB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ХАИ-5-1</w:t>
      </w:r>
    </w:p>
    <w:p w14:paraId="089C3A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ХАИ-7 проектирование</w:t>
      </w:r>
    </w:p>
    <w:p w14:paraId="6C8DDE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ХАИ-4 доводки и испытания...(2336).</w:t>
      </w:r>
    </w:p>
    <w:p w14:paraId="19907DA0" w14:textId="77777777" w:rsidR="00D4105E" w:rsidRPr="00E14102" w:rsidRDefault="00D4105E" w:rsidP="00E14102">
      <w:pPr>
        <w:autoSpaceDE w:val="0"/>
        <w:autoSpaceDN w:val="0"/>
        <w:adjustRightInd w:val="0"/>
        <w:jc w:val="both"/>
        <w:rPr>
          <w:color w:val="000000" w:themeColor="text1"/>
          <w:sz w:val="16"/>
          <w:szCs w:val="16"/>
        </w:rPr>
      </w:pPr>
    </w:p>
    <w:p w14:paraId="5730158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AB7A56D" w14:textId="77777777" w:rsidR="00D4105E" w:rsidRPr="00E14102" w:rsidRDefault="00D4105E" w:rsidP="00E14102">
      <w:pPr>
        <w:autoSpaceDE w:val="0"/>
        <w:autoSpaceDN w:val="0"/>
        <w:adjustRightInd w:val="0"/>
        <w:jc w:val="both"/>
        <w:rPr>
          <w:iCs/>
          <w:color w:val="000000" w:themeColor="text1"/>
          <w:sz w:val="16"/>
          <w:szCs w:val="16"/>
        </w:rPr>
      </w:pPr>
    </w:p>
    <w:p w14:paraId="225233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февраля 1935 ГУАП сообщил ВВС письмом N 242/734с о том, что плановый выход разведчика ХАИ М-22 на гос. испытания намечен на 1 июля 1935 (2336,32).</w:t>
      </w:r>
    </w:p>
    <w:p w14:paraId="468799C5" w14:textId="77777777" w:rsidR="00D4105E" w:rsidRPr="00E14102" w:rsidRDefault="00D4105E" w:rsidP="00E14102">
      <w:pPr>
        <w:autoSpaceDE w:val="0"/>
        <w:autoSpaceDN w:val="0"/>
        <w:adjustRightInd w:val="0"/>
        <w:jc w:val="both"/>
        <w:rPr>
          <w:color w:val="000000" w:themeColor="text1"/>
          <w:sz w:val="16"/>
          <w:szCs w:val="16"/>
        </w:rPr>
      </w:pPr>
    </w:p>
    <w:p w14:paraId="5B22F1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февраля 1935 состоялось совещание у Зам. Нач. ГУАП по рассмотрению и утверждению КЦ ЦАГИ на 1935. Утвердили производственную программу:</w:t>
      </w:r>
    </w:p>
    <w:p w14:paraId="668E50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Утвердить план опытного строительства в составе следующих объектов и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3599D" w:rsidRPr="00E14102" w14:paraId="02D05A43" w14:textId="77777777">
        <w:tc>
          <w:tcPr>
            <w:tcW w:w="5636" w:type="dxa"/>
            <w:tcBorders>
              <w:top w:val="single" w:sz="12" w:space="0" w:color="auto"/>
            </w:tcBorders>
          </w:tcPr>
          <w:p w14:paraId="7CC1DB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Шифр</w:t>
            </w:r>
          </w:p>
        </w:tc>
        <w:tc>
          <w:tcPr>
            <w:tcW w:w="5636" w:type="dxa"/>
            <w:tcBorders>
              <w:top w:val="single" w:sz="12" w:space="0" w:color="auto"/>
            </w:tcBorders>
          </w:tcPr>
          <w:p w14:paraId="340019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сдачи на гос. исп.</w:t>
            </w:r>
          </w:p>
        </w:tc>
      </w:tr>
      <w:tr w:rsidR="00E3599D" w:rsidRPr="00E14102" w14:paraId="2F40AA94" w14:textId="77777777">
        <w:tc>
          <w:tcPr>
            <w:tcW w:w="5636" w:type="dxa"/>
          </w:tcPr>
          <w:p w14:paraId="0E235E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ЛК-4 М-34ФР</w:t>
            </w:r>
          </w:p>
        </w:tc>
        <w:tc>
          <w:tcPr>
            <w:tcW w:w="5636" w:type="dxa"/>
          </w:tcPr>
          <w:p w14:paraId="7DFEB3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01.01.36</w:t>
            </w:r>
          </w:p>
        </w:tc>
      </w:tr>
      <w:tr w:rsidR="00E3599D" w:rsidRPr="00E14102" w14:paraId="4C3FBFAF" w14:textId="77777777">
        <w:tc>
          <w:tcPr>
            <w:tcW w:w="5636" w:type="dxa"/>
          </w:tcPr>
          <w:p w14:paraId="5EDCAD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ДИП Испано</w:t>
            </w:r>
          </w:p>
        </w:tc>
        <w:tc>
          <w:tcPr>
            <w:tcW w:w="5636" w:type="dxa"/>
          </w:tcPr>
          <w:p w14:paraId="52F641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01.03.35</w:t>
            </w:r>
          </w:p>
        </w:tc>
      </w:tr>
      <w:tr w:rsidR="00E3599D" w:rsidRPr="00E14102" w14:paraId="5FF828AD" w14:textId="77777777">
        <w:tc>
          <w:tcPr>
            <w:tcW w:w="5636" w:type="dxa"/>
          </w:tcPr>
          <w:p w14:paraId="44A977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ДБ-2 2К-14</w:t>
            </w:r>
          </w:p>
        </w:tc>
        <w:tc>
          <w:tcPr>
            <w:tcW w:w="5636" w:type="dxa"/>
          </w:tcPr>
          <w:p w14:paraId="3455F0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15.06.35</w:t>
            </w:r>
          </w:p>
        </w:tc>
      </w:tr>
      <w:tr w:rsidR="00E3599D" w:rsidRPr="00E14102" w14:paraId="7471D2EB" w14:textId="77777777">
        <w:tc>
          <w:tcPr>
            <w:tcW w:w="5636" w:type="dxa"/>
          </w:tcPr>
          <w:p w14:paraId="4E3D6E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ВСБ</w:t>
            </w:r>
          </w:p>
        </w:tc>
        <w:tc>
          <w:tcPr>
            <w:tcW w:w="5636" w:type="dxa"/>
          </w:tcPr>
          <w:p w14:paraId="25BD91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Проектирование</w:t>
            </w:r>
          </w:p>
        </w:tc>
      </w:tr>
      <w:tr w:rsidR="00E3599D" w:rsidRPr="00E14102" w14:paraId="561F1833" w14:textId="77777777">
        <w:tc>
          <w:tcPr>
            <w:tcW w:w="5636" w:type="dxa"/>
          </w:tcPr>
          <w:p w14:paraId="4DB57A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А-12 М-25</w:t>
            </w:r>
          </w:p>
        </w:tc>
        <w:tc>
          <w:tcPr>
            <w:tcW w:w="5636" w:type="dxa"/>
          </w:tcPr>
          <w:p w14:paraId="462D62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01.12.35</w:t>
            </w:r>
          </w:p>
        </w:tc>
      </w:tr>
      <w:tr w:rsidR="00E3599D" w:rsidRPr="00E14102" w14:paraId="3E923E89" w14:textId="77777777">
        <w:tc>
          <w:tcPr>
            <w:tcW w:w="5636" w:type="dxa"/>
          </w:tcPr>
          <w:p w14:paraId="01F04C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11-ЭА Кертис Конкверер</w:t>
            </w:r>
          </w:p>
        </w:tc>
        <w:tc>
          <w:tcPr>
            <w:tcW w:w="5636" w:type="dxa"/>
          </w:tcPr>
          <w:p w14:paraId="7AAF9F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01.02.36</w:t>
            </w:r>
          </w:p>
        </w:tc>
      </w:tr>
      <w:tr w:rsidR="00E3599D" w:rsidRPr="00E14102" w14:paraId="467124F5" w14:textId="77777777">
        <w:tc>
          <w:tcPr>
            <w:tcW w:w="5636" w:type="dxa"/>
          </w:tcPr>
          <w:p w14:paraId="0B75EE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МДР-4 М-34РН</w:t>
            </w:r>
          </w:p>
        </w:tc>
        <w:tc>
          <w:tcPr>
            <w:tcW w:w="5636" w:type="dxa"/>
          </w:tcPr>
          <w:p w14:paraId="463A52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01.07.35</w:t>
            </w:r>
          </w:p>
        </w:tc>
      </w:tr>
      <w:tr w:rsidR="00E3599D" w:rsidRPr="00E14102" w14:paraId="69FC6A74" w14:textId="77777777">
        <w:tc>
          <w:tcPr>
            <w:tcW w:w="5636" w:type="dxa"/>
          </w:tcPr>
          <w:p w14:paraId="7DA393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СБ Испано</w:t>
            </w:r>
          </w:p>
        </w:tc>
        <w:tc>
          <w:tcPr>
            <w:tcW w:w="5636" w:type="dxa"/>
          </w:tcPr>
          <w:p w14:paraId="074E82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01.06.35</w:t>
            </w:r>
          </w:p>
        </w:tc>
      </w:tr>
      <w:tr w:rsidR="00E3599D" w:rsidRPr="00E14102" w14:paraId="3A5A905A" w14:textId="77777777">
        <w:tc>
          <w:tcPr>
            <w:tcW w:w="5636" w:type="dxa"/>
          </w:tcPr>
          <w:p w14:paraId="138CD3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СБ РЦ</w:t>
            </w:r>
          </w:p>
        </w:tc>
        <w:tc>
          <w:tcPr>
            <w:tcW w:w="5636" w:type="dxa"/>
          </w:tcPr>
          <w:p w14:paraId="1C9FD2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01.07.35</w:t>
            </w:r>
          </w:p>
        </w:tc>
      </w:tr>
      <w:tr w:rsidR="00E3599D" w:rsidRPr="00E14102" w14:paraId="6937B256" w14:textId="77777777">
        <w:tc>
          <w:tcPr>
            <w:tcW w:w="5636" w:type="dxa"/>
          </w:tcPr>
          <w:p w14:paraId="3F6094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ДИ-8 К-14</w:t>
            </w:r>
          </w:p>
        </w:tc>
        <w:tc>
          <w:tcPr>
            <w:tcW w:w="5636" w:type="dxa"/>
          </w:tcPr>
          <w:p w14:paraId="771E87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01.08.35</w:t>
            </w:r>
          </w:p>
        </w:tc>
      </w:tr>
      <w:tr w:rsidR="00E3599D" w:rsidRPr="00E14102" w14:paraId="5A42DCBE" w14:textId="77777777">
        <w:tc>
          <w:tcPr>
            <w:tcW w:w="5636" w:type="dxa"/>
          </w:tcPr>
          <w:p w14:paraId="18C172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МК-1 М-34РН</w:t>
            </w:r>
          </w:p>
        </w:tc>
        <w:tc>
          <w:tcPr>
            <w:tcW w:w="5636" w:type="dxa"/>
          </w:tcPr>
          <w:p w14:paraId="50514E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01.07.35</w:t>
            </w:r>
          </w:p>
        </w:tc>
      </w:tr>
      <w:tr w:rsidR="00E3599D" w:rsidRPr="00E14102" w14:paraId="3219893A" w14:textId="77777777">
        <w:tc>
          <w:tcPr>
            <w:tcW w:w="5636" w:type="dxa"/>
          </w:tcPr>
          <w:p w14:paraId="521B45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ТБ-3 4М-34НР с центр. Наддувом</w:t>
            </w:r>
          </w:p>
        </w:tc>
        <w:tc>
          <w:tcPr>
            <w:tcW w:w="5636" w:type="dxa"/>
          </w:tcPr>
          <w:p w14:paraId="7B52C9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01.07.35</w:t>
            </w:r>
          </w:p>
        </w:tc>
      </w:tr>
      <w:tr w:rsidR="00E3599D" w:rsidRPr="00E14102" w14:paraId="63A895AE" w14:textId="77777777">
        <w:tc>
          <w:tcPr>
            <w:tcW w:w="5636" w:type="dxa"/>
          </w:tcPr>
          <w:p w14:paraId="18B240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И-14бис РЦ</w:t>
            </w:r>
          </w:p>
        </w:tc>
        <w:tc>
          <w:tcPr>
            <w:tcW w:w="5636" w:type="dxa"/>
          </w:tcPr>
          <w:p w14:paraId="097189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01.08.35</w:t>
            </w:r>
          </w:p>
        </w:tc>
      </w:tr>
      <w:tr w:rsidR="00E3599D" w:rsidRPr="00E14102" w14:paraId="1698C66D" w14:textId="77777777">
        <w:tc>
          <w:tcPr>
            <w:tcW w:w="5636" w:type="dxa"/>
          </w:tcPr>
          <w:p w14:paraId="55832A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И-14</w:t>
            </w:r>
          </w:p>
        </w:tc>
        <w:tc>
          <w:tcPr>
            <w:tcW w:w="5636" w:type="dxa"/>
          </w:tcPr>
          <w:p w14:paraId="240609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60091664" w14:textId="77777777">
        <w:tc>
          <w:tcPr>
            <w:tcW w:w="5636" w:type="dxa"/>
          </w:tcPr>
          <w:p w14:paraId="7E0107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ТБ-7 4М-34ФРН</w:t>
            </w:r>
          </w:p>
        </w:tc>
        <w:tc>
          <w:tcPr>
            <w:tcW w:w="5636" w:type="dxa"/>
          </w:tcPr>
          <w:p w14:paraId="087A89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r>
      <w:tr w:rsidR="00E3599D" w:rsidRPr="00E14102" w14:paraId="01189394" w14:textId="77777777">
        <w:tc>
          <w:tcPr>
            <w:tcW w:w="5636" w:type="dxa"/>
            <w:tcBorders>
              <w:bottom w:val="single" w:sz="12" w:space="0" w:color="auto"/>
            </w:tcBorders>
          </w:tcPr>
          <w:p w14:paraId="57ACF2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4 эксп. самолета...(2336,74)</w:t>
            </w:r>
          </w:p>
        </w:tc>
        <w:tc>
          <w:tcPr>
            <w:tcW w:w="5636" w:type="dxa"/>
            <w:tcBorders>
              <w:bottom w:val="single" w:sz="12" w:space="0" w:color="auto"/>
            </w:tcBorders>
          </w:tcPr>
          <w:p w14:paraId="20DAB32D" w14:textId="77777777" w:rsidR="00D4105E" w:rsidRPr="00E14102" w:rsidRDefault="00D4105E" w:rsidP="00E14102">
            <w:pPr>
              <w:autoSpaceDE w:val="0"/>
              <w:autoSpaceDN w:val="0"/>
              <w:adjustRightInd w:val="0"/>
              <w:jc w:val="both"/>
              <w:rPr>
                <w:color w:val="000000" w:themeColor="text1"/>
                <w:sz w:val="16"/>
                <w:szCs w:val="16"/>
              </w:rPr>
            </w:pPr>
          </w:p>
        </w:tc>
      </w:tr>
    </w:tbl>
    <w:p w14:paraId="26E23A28" w14:textId="77777777" w:rsidR="00D4105E" w:rsidRPr="00E14102" w:rsidRDefault="00D4105E" w:rsidP="00E14102">
      <w:pPr>
        <w:autoSpaceDE w:val="0"/>
        <w:autoSpaceDN w:val="0"/>
        <w:adjustRightInd w:val="0"/>
        <w:jc w:val="both"/>
        <w:rPr>
          <w:iCs/>
          <w:color w:val="000000" w:themeColor="text1"/>
          <w:sz w:val="16"/>
          <w:szCs w:val="16"/>
        </w:rPr>
      </w:pPr>
    </w:p>
    <w:p w14:paraId="4FDDDC8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D61539D" w14:textId="77777777" w:rsidR="00D4105E" w:rsidRPr="00E14102" w:rsidRDefault="00D4105E" w:rsidP="00E14102">
      <w:pPr>
        <w:autoSpaceDE w:val="0"/>
        <w:autoSpaceDN w:val="0"/>
        <w:adjustRightInd w:val="0"/>
        <w:jc w:val="both"/>
        <w:rPr>
          <w:iCs/>
          <w:color w:val="000000" w:themeColor="text1"/>
          <w:sz w:val="16"/>
          <w:szCs w:val="16"/>
        </w:rPr>
      </w:pPr>
    </w:p>
    <w:p w14:paraId="69D16A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февраля 1935 г. приказом Наркомата топливной промышленности СССР была создана Государственная экспериментально-конструкторская контора "Гормашпроект". Постановлением Совета Народных Комиссаров СССР от 23 июня 1938 г. преобразована в Государственную союзную экспериментально-конструкторскую контору угольного машиностроения "Углемашпроект". Приказом Наркомата угольной промышленности СССР от 3 марта 1945 г. контора реорганизована в Государственный проектно-конструкторский и экспериментальный институт угольного машиностроения "Гипроуглемаш". Разделенный приказами Наркомата угольной промышленности Западных районов СССР и Наркомата угольной промышленности Восточных районов СССР от 23 января 1946 г. на Гипроуглемаш Запада и Гипроуглемаш Востока, постановлением Совета Министров СССР от 28 декабря 1948 г. Гипроуглемаш был вновь создан путем объединения этих институтов (12102).</w:t>
      </w:r>
    </w:p>
    <w:p w14:paraId="21FE0019" w14:textId="77777777" w:rsidR="00C7292B" w:rsidRPr="00E14102" w:rsidRDefault="00C7292B" w:rsidP="00E14102">
      <w:pPr>
        <w:autoSpaceDE w:val="0"/>
        <w:autoSpaceDN w:val="0"/>
        <w:adjustRightInd w:val="0"/>
        <w:jc w:val="both"/>
        <w:rPr>
          <w:color w:val="000000" w:themeColor="text1"/>
          <w:sz w:val="16"/>
          <w:szCs w:val="16"/>
        </w:rPr>
      </w:pPr>
    </w:p>
    <w:p w14:paraId="285688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16 февраля 1935 г. приказом Наркомата легкой промышленности СССР в результате ликвидации Центрального научно-исследовательского института текстильной промышленности (ЦНИИТП) создана Центральная научно-исследовательская лаборатория шелковой промышленности (ЦНИЛШ). Приказом Наркомата легкой промышленности СССР от 7 февраля 1936 г. на базе лаборатории создан ЦНИИШелка. Приказом Госкомитета по легкой промышленности при Госплане СССР от 6 марта 1964 г. на базе института создан ВНИИПХВ (12102).</w:t>
      </w:r>
    </w:p>
    <w:p w14:paraId="1AAEA482" w14:textId="77777777" w:rsidR="00D4105E" w:rsidRPr="00E14102" w:rsidRDefault="00D4105E" w:rsidP="00E14102">
      <w:pPr>
        <w:autoSpaceDE w:val="0"/>
        <w:autoSpaceDN w:val="0"/>
        <w:adjustRightInd w:val="0"/>
        <w:jc w:val="both"/>
        <w:rPr>
          <w:color w:val="000000" w:themeColor="text1"/>
          <w:sz w:val="16"/>
          <w:szCs w:val="16"/>
        </w:rPr>
      </w:pPr>
    </w:p>
    <w:p w14:paraId="2D07C33D" w14:textId="77777777" w:rsidR="00FC1960" w:rsidRPr="00E14102" w:rsidRDefault="00FC1960"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DD9CC03" w14:textId="77777777" w:rsidR="00FC1960" w:rsidRPr="00E14102" w:rsidRDefault="00FC1960" w:rsidP="00E14102">
      <w:pPr>
        <w:autoSpaceDE w:val="0"/>
        <w:autoSpaceDN w:val="0"/>
        <w:adjustRightInd w:val="0"/>
        <w:jc w:val="both"/>
        <w:rPr>
          <w:iCs/>
          <w:color w:val="000000" w:themeColor="text1"/>
          <w:sz w:val="16"/>
          <w:szCs w:val="16"/>
        </w:rPr>
      </w:pPr>
    </w:p>
    <w:p w14:paraId="7C9913FE" w14:textId="77777777" w:rsidR="00FC1960" w:rsidRPr="00E14102" w:rsidRDefault="00FC1960" w:rsidP="00E14102">
      <w:pPr>
        <w:jc w:val="both"/>
        <w:rPr>
          <w:color w:val="0070C0"/>
          <w:sz w:val="16"/>
          <w:szCs w:val="16"/>
        </w:rPr>
      </w:pPr>
      <w:r w:rsidRPr="00E14102">
        <w:rPr>
          <w:color w:val="0070C0"/>
          <w:sz w:val="16"/>
          <w:szCs w:val="16"/>
        </w:rPr>
        <w:t>16 февраля 1935 опросом членов ПБ</w:t>
      </w:r>
    </w:p>
    <w:p w14:paraId="17A0F23C" w14:textId="77777777" w:rsidR="00FC1960" w:rsidRPr="00E14102" w:rsidRDefault="00FC1960" w:rsidP="00E14102">
      <w:pPr>
        <w:jc w:val="both"/>
        <w:rPr>
          <w:color w:val="0070C0"/>
          <w:sz w:val="16"/>
          <w:szCs w:val="16"/>
        </w:rPr>
      </w:pPr>
      <w:r w:rsidRPr="00E14102">
        <w:rPr>
          <w:color w:val="0070C0"/>
          <w:sz w:val="16"/>
          <w:szCs w:val="16"/>
        </w:rPr>
        <w:t>71.- Об охране Кремля.</w:t>
      </w:r>
    </w:p>
    <w:p w14:paraId="14799E1F" w14:textId="77777777" w:rsidR="00FC1960" w:rsidRPr="00E14102" w:rsidRDefault="00FC1960" w:rsidP="00E14102">
      <w:pPr>
        <w:jc w:val="both"/>
        <w:rPr>
          <w:color w:val="0070C0"/>
          <w:sz w:val="16"/>
          <w:szCs w:val="16"/>
        </w:rPr>
      </w:pPr>
      <w:r w:rsidRPr="00E14102">
        <w:rPr>
          <w:color w:val="0070C0"/>
          <w:sz w:val="16"/>
          <w:szCs w:val="16"/>
        </w:rPr>
        <w:t>1. Выделить все хозяйство Кремля из комендатуры Кремля. В ведении комендатуры оставить, минимально необ</w:t>
      </w:r>
      <w:r w:rsidRPr="00E14102">
        <w:rPr>
          <w:color w:val="0070C0"/>
          <w:sz w:val="16"/>
          <w:szCs w:val="16"/>
        </w:rPr>
        <w:softHyphen/>
        <w:t>ходимый, для внутреннего обслуживания Кремля штат электро</w:t>
      </w:r>
      <w:r w:rsidRPr="00E14102">
        <w:rPr>
          <w:color w:val="0070C0"/>
          <w:sz w:val="16"/>
          <w:szCs w:val="16"/>
        </w:rPr>
        <w:softHyphen/>
        <w:t>монтеров, водопроводчиков, истопников, слесарей, дворни</w:t>
      </w:r>
      <w:r w:rsidRPr="00E14102">
        <w:rPr>
          <w:color w:val="0070C0"/>
          <w:sz w:val="16"/>
          <w:szCs w:val="16"/>
        </w:rPr>
        <w:softHyphen/>
        <w:t>ков, полотеров и уборщиц.</w:t>
      </w:r>
    </w:p>
    <w:p w14:paraId="18B3D931" w14:textId="77777777" w:rsidR="00FC1960" w:rsidRPr="00E14102" w:rsidRDefault="00FC1960" w:rsidP="00E14102">
      <w:pPr>
        <w:jc w:val="both"/>
        <w:rPr>
          <w:color w:val="0070C0"/>
          <w:sz w:val="16"/>
          <w:szCs w:val="16"/>
        </w:rPr>
      </w:pPr>
      <w:r w:rsidRPr="00E14102">
        <w:rPr>
          <w:color w:val="0070C0"/>
          <w:sz w:val="16"/>
          <w:szCs w:val="16"/>
        </w:rPr>
        <w:t>2. Комендатуру Кремля считать организацией, ведающей только охраной Кремля.</w:t>
      </w:r>
    </w:p>
    <w:p w14:paraId="469FDCAE" w14:textId="77777777" w:rsidR="00FC1960" w:rsidRPr="00E14102" w:rsidRDefault="00FC1960" w:rsidP="00E14102">
      <w:pPr>
        <w:jc w:val="both"/>
        <w:rPr>
          <w:color w:val="0070C0"/>
          <w:sz w:val="16"/>
          <w:szCs w:val="16"/>
        </w:rPr>
      </w:pPr>
      <w:r w:rsidRPr="00E14102">
        <w:rPr>
          <w:color w:val="0070C0"/>
          <w:sz w:val="16"/>
          <w:szCs w:val="16"/>
        </w:rPr>
        <w:t>3. Коменданта Кремля подчинить Народному Комиссару Внутренних дел по внутренней охране и Народному Комисса</w:t>
      </w:r>
      <w:r w:rsidRPr="00E14102">
        <w:rPr>
          <w:color w:val="0070C0"/>
          <w:sz w:val="16"/>
          <w:szCs w:val="16"/>
        </w:rPr>
        <w:softHyphen/>
        <w:t>ру Обороны по воинской охране.</w:t>
      </w:r>
    </w:p>
    <w:p w14:paraId="7DE1DBAB" w14:textId="77777777" w:rsidR="00FC1960" w:rsidRPr="00E14102" w:rsidRDefault="00FC1960" w:rsidP="00E14102">
      <w:pPr>
        <w:jc w:val="both"/>
        <w:rPr>
          <w:color w:val="0070C0"/>
          <w:sz w:val="16"/>
          <w:szCs w:val="16"/>
        </w:rPr>
      </w:pPr>
      <w:r w:rsidRPr="00E14102">
        <w:rPr>
          <w:color w:val="0070C0"/>
          <w:sz w:val="16"/>
          <w:szCs w:val="16"/>
        </w:rPr>
        <w:t>4. Назначить заместителем коменданта Кремля по внут</w:t>
      </w:r>
      <w:r w:rsidRPr="00E14102">
        <w:rPr>
          <w:color w:val="0070C0"/>
          <w:sz w:val="16"/>
          <w:szCs w:val="16"/>
        </w:rPr>
        <w:softHyphen/>
        <w:t>ренней охране тов.Успенского Александра Ивановича.</w:t>
      </w:r>
    </w:p>
    <w:p w14:paraId="5CB534DE" w14:textId="77777777" w:rsidR="00FC1960" w:rsidRPr="00E14102" w:rsidRDefault="00FC1960" w:rsidP="00E14102">
      <w:pPr>
        <w:jc w:val="both"/>
        <w:rPr>
          <w:color w:val="0070C0"/>
          <w:sz w:val="16"/>
          <w:szCs w:val="16"/>
        </w:rPr>
      </w:pPr>
      <w:r w:rsidRPr="00E14102">
        <w:rPr>
          <w:color w:val="0070C0"/>
          <w:sz w:val="16"/>
          <w:szCs w:val="16"/>
        </w:rPr>
        <w:t>5. Назначить тов. Королева заместителем коменданта Кремля по гарнизону Кремля.</w:t>
      </w:r>
    </w:p>
    <w:p w14:paraId="2EBA0B55" w14:textId="77777777" w:rsidR="00FC1960" w:rsidRPr="00E14102" w:rsidRDefault="00FC1960" w:rsidP="00E14102">
      <w:pPr>
        <w:jc w:val="both"/>
        <w:rPr>
          <w:color w:val="0070C0"/>
          <w:sz w:val="16"/>
          <w:szCs w:val="16"/>
        </w:rPr>
      </w:pPr>
      <w:r w:rsidRPr="00E14102">
        <w:rPr>
          <w:color w:val="0070C0"/>
          <w:sz w:val="16"/>
          <w:szCs w:val="16"/>
        </w:rPr>
        <w:t>6. Вывести из Кремля в новый дом Совнаркома:</w:t>
      </w:r>
    </w:p>
    <w:p w14:paraId="325177D3" w14:textId="77777777" w:rsidR="00FC1960" w:rsidRPr="00E14102" w:rsidRDefault="00FC1960" w:rsidP="00E14102">
      <w:pPr>
        <w:jc w:val="both"/>
        <w:rPr>
          <w:color w:val="0070C0"/>
          <w:sz w:val="16"/>
          <w:szCs w:val="16"/>
        </w:rPr>
      </w:pPr>
      <w:r w:rsidRPr="00E14102">
        <w:rPr>
          <w:color w:val="0070C0"/>
          <w:sz w:val="16"/>
          <w:szCs w:val="16"/>
        </w:rPr>
        <w:t>а) приемные и канцелярии Секретарей Совета Националь</w:t>
      </w:r>
      <w:r w:rsidRPr="00E14102">
        <w:rPr>
          <w:color w:val="0070C0"/>
          <w:sz w:val="16"/>
          <w:szCs w:val="16"/>
        </w:rPr>
        <w:softHyphen/>
        <w:t>ностей и Союзного Совета, центральную избирательную комис</w:t>
      </w:r>
      <w:r w:rsidRPr="00E14102">
        <w:rPr>
          <w:color w:val="0070C0"/>
          <w:sz w:val="16"/>
          <w:szCs w:val="16"/>
        </w:rPr>
        <w:softHyphen/>
        <w:t>сию, комиссию по делам гражданства, комиссию по делам част</w:t>
      </w:r>
      <w:r w:rsidRPr="00E14102">
        <w:rPr>
          <w:color w:val="0070C0"/>
          <w:sz w:val="16"/>
          <w:szCs w:val="16"/>
        </w:rPr>
        <w:softHyphen/>
        <w:t>ной амнистии и организационный отдел ЦИК СССР;</w:t>
      </w:r>
    </w:p>
    <w:p w14:paraId="7A6E991D" w14:textId="77777777" w:rsidR="00FC1960" w:rsidRPr="00E14102" w:rsidRDefault="00FC1960" w:rsidP="00E14102">
      <w:pPr>
        <w:jc w:val="both"/>
        <w:rPr>
          <w:color w:val="0070C0"/>
          <w:sz w:val="16"/>
          <w:szCs w:val="16"/>
        </w:rPr>
      </w:pPr>
      <w:r w:rsidRPr="00E14102">
        <w:rPr>
          <w:color w:val="0070C0"/>
          <w:sz w:val="16"/>
          <w:szCs w:val="16"/>
        </w:rPr>
        <w:t>б) административную комиссию, орготдел и приемную за</w:t>
      </w:r>
      <w:r w:rsidRPr="00E14102">
        <w:rPr>
          <w:color w:val="0070C0"/>
          <w:sz w:val="16"/>
          <w:szCs w:val="16"/>
        </w:rPr>
        <w:softHyphen/>
        <w:t>местителя Секретаря ВцИК"а РСФСР;</w:t>
      </w:r>
    </w:p>
    <w:p w14:paraId="7FF4E7F7" w14:textId="77777777" w:rsidR="00FC1960" w:rsidRPr="00E14102" w:rsidRDefault="00FC1960" w:rsidP="00E14102">
      <w:pPr>
        <w:jc w:val="both"/>
        <w:rPr>
          <w:color w:val="0070C0"/>
          <w:sz w:val="16"/>
          <w:szCs w:val="16"/>
        </w:rPr>
      </w:pPr>
      <w:r w:rsidRPr="00E14102">
        <w:rPr>
          <w:color w:val="0070C0"/>
          <w:sz w:val="16"/>
          <w:szCs w:val="16"/>
        </w:rPr>
        <w:t>в) комитет резервов и канцелярию пом. управделами по административно-хозяйственной части Совнаркома СССР;</w:t>
      </w:r>
    </w:p>
    <w:p w14:paraId="7173E770" w14:textId="77777777" w:rsidR="00FC1960" w:rsidRPr="00E14102" w:rsidRDefault="00FC1960" w:rsidP="00E14102">
      <w:pPr>
        <w:jc w:val="both"/>
        <w:rPr>
          <w:color w:val="0070C0"/>
          <w:sz w:val="16"/>
          <w:szCs w:val="16"/>
        </w:rPr>
      </w:pPr>
      <w:r w:rsidRPr="00E14102">
        <w:rPr>
          <w:color w:val="0070C0"/>
          <w:sz w:val="16"/>
          <w:szCs w:val="16"/>
        </w:rPr>
        <w:t>г) административно-хозяйственннй отдел, экспортное со</w:t>
      </w:r>
      <w:r w:rsidRPr="00E14102">
        <w:rPr>
          <w:color w:val="0070C0"/>
          <w:sz w:val="16"/>
          <w:szCs w:val="16"/>
        </w:rPr>
        <w:softHyphen/>
        <w:t>вещание, аппарат ЭКССО и канцелярию пом. управделами по административно-хозяйственной части Совнаркома РСФСР.</w:t>
      </w:r>
    </w:p>
    <w:p w14:paraId="0682A582" w14:textId="77777777" w:rsidR="00FC1960" w:rsidRPr="00E14102" w:rsidRDefault="00FC1960" w:rsidP="00E14102">
      <w:pPr>
        <w:jc w:val="both"/>
        <w:rPr>
          <w:color w:val="0070C0"/>
          <w:sz w:val="16"/>
          <w:szCs w:val="16"/>
        </w:rPr>
      </w:pPr>
      <w:r w:rsidRPr="00E14102">
        <w:rPr>
          <w:color w:val="0070C0"/>
          <w:sz w:val="16"/>
          <w:szCs w:val="16"/>
        </w:rPr>
        <w:t>Оставить в Кремле только Управления делами, секрет</w:t>
      </w:r>
      <w:r w:rsidRPr="00E14102">
        <w:rPr>
          <w:color w:val="0070C0"/>
          <w:sz w:val="16"/>
          <w:szCs w:val="16"/>
        </w:rPr>
        <w:softHyphen/>
        <w:t>ные отделы (части) этих учреждений и личные секретариаты;</w:t>
      </w:r>
    </w:p>
    <w:p w14:paraId="5D141C67" w14:textId="77777777" w:rsidR="00FC1960" w:rsidRPr="00E14102" w:rsidRDefault="00FC1960" w:rsidP="00E14102">
      <w:pPr>
        <w:jc w:val="both"/>
        <w:rPr>
          <w:color w:val="0070C0"/>
          <w:sz w:val="16"/>
          <w:szCs w:val="16"/>
        </w:rPr>
      </w:pPr>
      <w:r w:rsidRPr="00E14102">
        <w:rPr>
          <w:color w:val="0070C0"/>
          <w:sz w:val="16"/>
          <w:szCs w:val="16"/>
        </w:rPr>
        <w:t>7.Вывести из кремлевского арсенала и передать т.Па</w:t>
      </w:r>
      <w:r w:rsidRPr="00E14102">
        <w:rPr>
          <w:color w:val="0070C0"/>
          <w:sz w:val="16"/>
          <w:szCs w:val="16"/>
        </w:rPr>
        <w:softHyphen/>
        <w:t>хомову все мастерские, а также гражданский отдел управле</w:t>
      </w:r>
      <w:r w:rsidRPr="00E14102">
        <w:rPr>
          <w:color w:val="0070C0"/>
          <w:sz w:val="16"/>
          <w:szCs w:val="16"/>
        </w:rPr>
        <w:softHyphen/>
        <w:t>ния коменданта Кремля (строительный сектор, снабженческо- складскую группу и др.).</w:t>
      </w:r>
    </w:p>
    <w:p w14:paraId="679293C0" w14:textId="77777777" w:rsidR="00FC1960" w:rsidRPr="00E14102" w:rsidRDefault="00FC1960" w:rsidP="00E14102">
      <w:pPr>
        <w:jc w:val="both"/>
        <w:rPr>
          <w:color w:val="0070C0"/>
          <w:sz w:val="16"/>
          <w:szCs w:val="16"/>
        </w:rPr>
      </w:pPr>
      <w:r w:rsidRPr="00E14102">
        <w:rPr>
          <w:color w:val="0070C0"/>
          <w:sz w:val="16"/>
          <w:szCs w:val="16"/>
        </w:rPr>
        <w:t>8. Вывести из Кремля столовую сотрудников здания правительства, переводя эту столовую в здание ГУМ"а. Деле</w:t>
      </w:r>
      <w:r w:rsidRPr="00E14102">
        <w:rPr>
          <w:color w:val="0070C0"/>
          <w:sz w:val="16"/>
          <w:szCs w:val="16"/>
        </w:rPr>
        <w:softHyphen/>
        <w:t>гатскую столовую перевести в помещение бывшего театра 1-го дома ЦИКСа, обязав тов. Пахомова вывести эти столовые в кратчайший срок. Поручить Паукеру. Пахомову, Успенскому установить сроки перевода столовых из Кремля.</w:t>
      </w:r>
    </w:p>
    <w:p w14:paraId="7D3B2202" w14:textId="77777777" w:rsidR="00FC1960" w:rsidRPr="00E14102" w:rsidRDefault="00FC1960" w:rsidP="00E14102">
      <w:pPr>
        <w:jc w:val="both"/>
        <w:rPr>
          <w:color w:val="0070C0"/>
          <w:sz w:val="16"/>
          <w:szCs w:val="16"/>
        </w:rPr>
      </w:pPr>
      <w:r w:rsidRPr="00E14102">
        <w:rPr>
          <w:color w:val="0070C0"/>
          <w:sz w:val="16"/>
          <w:szCs w:val="16"/>
        </w:rPr>
        <w:t>9. Поручить т.т. Енукидзе, Петерсону, Успенскому, Паукеру пересмотреть:</w:t>
      </w:r>
    </w:p>
    <w:p w14:paraId="6094B131" w14:textId="77777777" w:rsidR="00FC1960" w:rsidRPr="00E14102" w:rsidRDefault="00FC1960" w:rsidP="00E14102">
      <w:pPr>
        <w:jc w:val="both"/>
        <w:rPr>
          <w:color w:val="0070C0"/>
          <w:sz w:val="16"/>
          <w:szCs w:val="16"/>
        </w:rPr>
      </w:pPr>
      <w:r w:rsidRPr="00E14102">
        <w:rPr>
          <w:color w:val="0070C0"/>
          <w:sz w:val="16"/>
          <w:szCs w:val="16"/>
        </w:rPr>
        <w:t>а)список лиц, имеющих постоянные пропуска в Кремль,</w:t>
      </w:r>
    </w:p>
    <w:p w14:paraId="435E986A" w14:textId="77777777" w:rsidR="00FC1960" w:rsidRPr="00E14102" w:rsidRDefault="00FC1960" w:rsidP="00E14102">
      <w:pPr>
        <w:jc w:val="both"/>
        <w:rPr>
          <w:color w:val="0070C0"/>
          <w:sz w:val="16"/>
          <w:szCs w:val="16"/>
        </w:rPr>
      </w:pPr>
      <w:r w:rsidRPr="00E14102">
        <w:rPr>
          <w:color w:val="0070C0"/>
          <w:sz w:val="16"/>
          <w:szCs w:val="16"/>
        </w:rPr>
        <w:t>б) Учреждения, которые могут быть дополнительно выведены из Кремля.</w:t>
      </w:r>
    </w:p>
    <w:p w14:paraId="1F09FEC4" w14:textId="77777777" w:rsidR="00FC1960" w:rsidRPr="00E14102" w:rsidRDefault="00FC1960" w:rsidP="00E14102">
      <w:pPr>
        <w:jc w:val="both"/>
        <w:rPr>
          <w:color w:val="0070C0"/>
          <w:sz w:val="16"/>
          <w:szCs w:val="16"/>
        </w:rPr>
      </w:pPr>
      <w:r w:rsidRPr="00E14102">
        <w:rPr>
          <w:color w:val="0070C0"/>
          <w:sz w:val="16"/>
          <w:szCs w:val="16"/>
        </w:rPr>
        <w:t>10. т.т. Ягоде, Енукидзе, Петерсону. Молчанову. Успенско</w:t>
      </w:r>
      <w:r w:rsidRPr="00E14102">
        <w:rPr>
          <w:color w:val="0070C0"/>
          <w:sz w:val="16"/>
          <w:szCs w:val="16"/>
        </w:rPr>
        <w:softHyphen/>
        <w:t>му, Паукеру и Фриновскому в двухмесячный срок разработать и представить в ЦК ВКП(б) план реорганизации охраны Крем</w:t>
      </w:r>
      <w:r w:rsidRPr="00E14102">
        <w:rPr>
          <w:color w:val="0070C0"/>
          <w:sz w:val="16"/>
          <w:szCs w:val="16"/>
        </w:rPr>
        <w:softHyphen/>
        <w:t>ля, имея ввиду перевод школы курсантов в другое место и оставление красноармейского гарнизона с подчинением ко</w:t>
      </w:r>
      <w:r w:rsidRPr="00E14102">
        <w:rPr>
          <w:color w:val="0070C0"/>
          <w:sz w:val="16"/>
          <w:szCs w:val="16"/>
        </w:rPr>
        <w:softHyphen/>
        <w:t>менданта по внутренней охране Кремля Наркомвнуделу, а по воинской охране - Наркому Обороны.</w:t>
      </w:r>
    </w:p>
    <w:p w14:paraId="5D7F5A07" w14:textId="77777777" w:rsidR="00FC1960" w:rsidRPr="00E14102" w:rsidRDefault="00FC1960" w:rsidP="00E14102">
      <w:pPr>
        <w:jc w:val="both"/>
        <w:rPr>
          <w:color w:val="0070C0"/>
          <w:sz w:val="16"/>
          <w:szCs w:val="16"/>
        </w:rPr>
      </w:pPr>
      <w:r w:rsidRPr="00E14102">
        <w:rPr>
          <w:color w:val="0070C0"/>
          <w:sz w:val="16"/>
          <w:szCs w:val="16"/>
        </w:rPr>
        <w:t>Выписки посланы: т.т. Енукидзе, Ворошилову, Ягода, Петерсону, Паукеру - все;</w:t>
      </w:r>
    </w:p>
    <w:p w14:paraId="79AD9A8D" w14:textId="77777777" w:rsidR="00FC1960" w:rsidRPr="00E14102" w:rsidRDefault="00FC1960" w:rsidP="00E14102">
      <w:pPr>
        <w:jc w:val="both"/>
        <w:rPr>
          <w:color w:val="0070C0"/>
          <w:sz w:val="16"/>
          <w:szCs w:val="16"/>
        </w:rPr>
      </w:pPr>
      <w:r w:rsidRPr="00E14102">
        <w:rPr>
          <w:color w:val="0070C0"/>
          <w:sz w:val="16"/>
          <w:szCs w:val="16"/>
        </w:rPr>
        <w:t>Успенскому - 8,9,10, Молчанову - 10, Пахомову - 7,8, Фриновскому - 10.</w:t>
      </w:r>
    </w:p>
    <w:p w14:paraId="140F1587" w14:textId="77777777" w:rsidR="00FC1960" w:rsidRPr="00E14102" w:rsidRDefault="00FC1960" w:rsidP="00E14102">
      <w:pPr>
        <w:jc w:val="both"/>
        <w:rPr>
          <w:color w:val="0070C0"/>
          <w:sz w:val="16"/>
          <w:szCs w:val="16"/>
        </w:rPr>
      </w:pPr>
      <w:r w:rsidRPr="00E14102">
        <w:rPr>
          <w:color w:val="0070C0"/>
          <w:sz w:val="16"/>
          <w:szCs w:val="16"/>
        </w:rPr>
        <w:t>19 февраля 1935 опросом членов ПБ</w:t>
      </w:r>
    </w:p>
    <w:p w14:paraId="21B98ABA" w14:textId="77777777" w:rsidR="00FC1960" w:rsidRPr="00E14102" w:rsidRDefault="00FC1960" w:rsidP="00E14102">
      <w:pPr>
        <w:jc w:val="both"/>
        <w:rPr>
          <w:color w:val="0070C0"/>
          <w:sz w:val="16"/>
          <w:szCs w:val="16"/>
        </w:rPr>
      </w:pPr>
      <w:r w:rsidRPr="00E14102">
        <w:rPr>
          <w:color w:val="0070C0"/>
          <w:sz w:val="16"/>
          <w:szCs w:val="16"/>
        </w:rPr>
        <w:t>104.- О гласности военных расходов.</w:t>
      </w:r>
    </w:p>
    <w:p w14:paraId="660BBB43" w14:textId="77777777" w:rsidR="00FC1960" w:rsidRPr="00E14102" w:rsidRDefault="00FC1960" w:rsidP="00E14102">
      <w:pPr>
        <w:jc w:val="both"/>
        <w:rPr>
          <w:color w:val="0070C0"/>
          <w:sz w:val="16"/>
          <w:szCs w:val="16"/>
        </w:rPr>
      </w:pPr>
      <w:r w:rsidRPr="00E14102">
        <w:rPr>
          <w:color w:val="0070C0"/>
          <w:sz w:val="16"/>
          <w:szCs w:val="16"/>
        </w:rPr>
        <w:t>Поручить Наркомобороны подготовить данные для ежегодника Лиги Наций и представить в Политбюро на ут</w:t>
      </w:r>
      <w:r w:rsidRPr="00E14102">
        <w:rPr>
          <w:color w:val="0070C0"/>
          <w:sz w:val="16"/>
          <w:szCs w:val="16"/>
        </w:rPr>
        <w:softHyphen/>
        <w:t>верждение.</w:t>
      </w:r>
    </w:p>
    <w:p w14:paraId="6B1BF44B" w14:textId="77777777" w:rsidR="00FC1960" w:rsidRPr="00E14102" w:rsidRDefault="00FC1960" w:rsidP="00E14102">
      <w:pPr>
        <w:jc w:val="both"/>
        <w:rPr>
          <w:color w:val="0070C0"/>
          <w:sz w:val="16"/>
          <w:szCs w:val="16"/>
        </w:rPr>
      </w:pPr>
      <w:r w:rsidRPr="00E14102">
        <w:rPr>
          <w:color w:val="0070C0"/>
          <w:sz w:val="16"/>
          <w:szCs w:val="16"/>
        </w:rPr>
        <w:t>Выписка послана: т.т. Ворошилову, Литвинову</w:t>
      </w:r>
    </w:p>
    <w:p w14:paraId="2A77E439" w14:textId="77777777" w:rsidR="00FC1960" w:rsidRPr="00E14102" w:rsidRDefault="00FC1960" w:rsidP="00E14102">
      <w:pPr>
        <w:jc w:val="both"/>
        <w:rPr>
          <w:color w:val="0070C0"/>
          <w:sz w:val="16"/>
          <w:szCs w:val="16"/>
        </w:rPr>
      </w:pPr>
      <w:r w:rsidRPr="00E14102">
        <w:rPr>
          <w:color w:val="0070C0"/>
          <w:sz w:val="16"/>
          <w:szCs w:val="16"/>
        </w:rPr>
        <w:t>22 февраля 1935 состоялось заседание ПБ и подписан протокол № 21 (22926).</w:t>
      </w:r>
    </w:p>
    <w:p w14:paraId="547B25AA" w14:textId="77777777" w:rsidR="00FC1960" w:rsidRPr="00E14102" w:rsidRDefault="00FC1960" w:rsidP="00E14102">
      <w:pPr>
        <w:jc w:val="both"/>
        <w:rPr>
          <w:color w:val="0070C0"/>
          <w:sz w:val="16"/>
          <w:szCs w:val="16"/>
        </w:rPr>
      </w:pPr>
    </w:p>
    <w:p w14:paraId="38E9C8C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BC81A95" w14:textId="77777777" w:rsidR="00D4105E" w:rsidRPr="00E14102" w:rsidRDefault="00D4105E" w:rsidP="00E14102">
      <w:pPr>
        <w:autoSpaceDE w:val="0"/>
        <w:autoSpaceDN w:val="0"/>
        <w:adjustRightInd w:val="0"/>
        <w:jc w:val="both"/>
        <w:rPr>
          <w:iCs/>
          <w:color w:val="000000" w:themeColor="text1"/>
          <w:sz w:val="16"/>
          <w:szCs w:val="16"/>
        </w:rPr>
      </w:pPr>
    </w:p>
    <w:p w14:paraId="46B0D1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17 по 23 февраля 1935 Б.Г.Чухновский на Дорнье-Валь авиаотдела Морских сил ЧМ на Азовском море произвел испытания полозков (предложенных для ДАР Р.Л.Б. и сконструированных и СНИИ Аэрофлота Беркиным и Даниленко) для полетов с воды на лед и обратно. Машина неоднократно проваливалась под лед, но взлетала. Полозки устанавливали на заводе 45 (99,197).</w:t>
      </w:r>
    </w:p>
    <w:p w14:paraId="085C09B2" w14:textId="77777777" w:rsidR="00D4105E" w:rsidRPr="00E14102" w:rsidRDefault="00D4105E" w:rsidP="00E14102">
      <w:pPr>
        <w:autoSpaceDE w:val="0"/>
        <w:autoSpaceDN w:val="0"/>
        <w:adjustRightInd w:val="0"/>
        <w:jc w:val="both"/>
        <w:rPr>
          <w:color w:val="000000" w:themeColor="text1"/>
          <w:sz w:val="16"/>
          <w:szCs w:val="16"/>
        </w:rPr>
      </w:pPr>
    </w:p>
    <w:p w14:paraId="4DEC944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период с 17 по 23 февраля 1935 года, согласно записке Чухновского, экипажем самолета «Дорнье-Валь» авиаот</w:t>
      </w:r>
      <w:r w:rsidRPr="00E14102">
        <w:rPr>
          <w:color w:val="000000" w:themeColor="text1"/>
          <w:sz w:val="16"/>
          <w:szCs w:val="16"/>
        </w:rPr>
        <w:softHyphen/>
        <w:t>ряда Морских Сил Черного моря &lt;...&gt; под руководством Чухновского были проведены испытания по</w:t>
      </w:r>
      <w:r w:rsidRPr="00E14102">
        <w:rPr>
          <w:color w:val="000000" w:themeColor="text1"/>
          <w:sz w:val="16"/>
          <w:szCs w:val="16"/>
        </w:rPr>
        <w:softHyphen/>
        <w:t>лозков для полетов с воды на лед и обратно, пол</w:t>
      </w:r>
      <w:r w:rsidRPr="00E14102">
        <w:rPr>
          <w:color w:val="000000" w:themeColor="text1"/>
          <w:sz w:val="16"/>
          <w:szCs w:val="16"/>
        </w:rPr>
        <w:softHyphen/>
        <w:t>ностью подтвердившие правильное решение этой задачи. Обстановка испытаний была трудной. Благо</w:t>
      </w:r>
      <w:r w:rsidRPr="00E14102">
        <w:rPr>
          <w:color w:val="000000" w:themeColor="text1"/>
          <w:sz w:val="16"/>
          <w:szCs w:val="16"/>
        </w:rPr>
        <w:softHyphen/>
        <w:t>даря теплой погоде, лед в Азовском море интен</w:t>
      </w:r>
      <w:r w:rsidRPr="00E14102">
        <w:rPr>
          <w:color w:val="000000" w:themeColor="text1"/>
          <w:sz w:val="16"/>
          <w:szCs w:val="16"/>
        </w:rPr>
        <w:softHyphen/>
        <w:t>сивно таял, и потребовалось проявление настоящей решительности и ударничества со стороны каждого члена экипажа, чтобы сразу после завод</w:t>
      </w:r>
      <w:r w:rsidRPr="00E14102">
        <w:rPr>
          <w:color w:val="000000" w:themeColor="text1"/>
          <w:sz w:val="16"/>
          <w:szCs w:val="16"/>
        </w:rPr>
        <w:softHyphen/>
        <w:t>ских испытаний, в течение ровно трех часов, под</w:t>
      </w:r>
      <w:r w:rsidRPr="00E14102">
        <w:rPr>
          <w:color w:val="000000" w:themeColor="text1"/>
          <w:sz w:val="16"/>
          <w:szCs w:val="16"/>
        </w:rPr>
        <w:softHyphen/>
        <w:t>готовить самолет к перелету Севастополь - Ейск, несмотря на то, что экипаж летел со мною впер</w:t>
      </w:r>
      <w:r w:rsidRPr="00E14102">
        <w:rPr>
          <w:color w:val="000000" w:themeColor="text1"/>
          <w:sz w:val="16"/>
          <w:szCs w:val="16"/>
        </w:rPr>
        <w:softHyphen/>
        <w:t>вые и вылет производился в нелетную погоду.</w:t>
      </w:r>
    </w:p>
    <w:p w14:paraId="080164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следующий день после посадки на лед в Ей</w:t>
      </w:r>
      <w:r w:rsidRPr="00E14102">
        <w:rPr>
          <w:color w:val="000000" w:themeColor="text1"/>
          <w:sz w:val="16"/>
          <w:szCs w:val="16"/>
        </w:rPr>
        <w:softHyphen/>
        <w:t>ске, самолет провалился под лед, был с трудом вытащен и после этого летал еще 10 раз. После последнего полета лодка самолета проваливалась под лед еще 7 раз, но благодаря полозкам только с помощью собственной тяги моторов выбира</w:t>
      </w:r>
      <w:r w:rsidRPr="00E14102">
        <w:rPr>
          <w:color w:val="000000" w:themeColor="text1"/>
          <w:sz w:val="16"/>
          <w:szCs w:val="16"/>
        </w:rPr>
        <w:softHyphen/>
        <w:t>лась на более твердый лед и не получала никаких повреждений.</w:t>
      </w:r>
    </w:p>
    <w:p w14:paraId="3886B8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Полозки по моему предложению были сконст</w:t>
      </w:r>
      <w:r w:rsidRPr="00E14102">
        <w:rPr>
          <w:color w:val="000000" w:themeColor="text1"/>
          <w:sz w:val="16"/>
          <w:szCs w:val="16"/>
        </w:rPr>
        <w:softHyphen/>
        <w:t>руированы для ДАРа инженерами СНИИ Аэро</w:t>
      </w:r>
      <w:r w:rsidRPr="00E14102">
        <w:rPr>
          <w:color w:val="000000" w:themeColor="text1"/>
          <w:sz w:val="16"/>
          <w:szCs w:val="16"/>
        </w:rPr>
        <w:softHyphen/>
        <w:t>флота т.т. Берлиным и Даниленко, под общим руководством главного инженера Бартини. Уста</w:t>
      </w:r>
      <w:r w:rsidRPr="00E14102">
        <w:rPr>
          <w:color w:val="000000" w:themeColor="text1"/>
          <w:sz w:val="16"/>
          <w:szCs w:val="16"/>
        </w:rPr>
        <w:softHyphen/>
        <w:t>новка полозков на самолет «Дорнье-Валь» была осуществлена в кратчайший срок (6 дней) брига</w:t>
      </w:r>
      <w:r w:rsidRPr="00E14102">
        <w:rPr>
          <w:color w:val="000000" w:themeColor="text1"/>
          <w:sz w:val="16"/>
          <w:szCs w:val="16"/>
        </w:rPr>
        <w:softHyphen/>
        <w:t>дой мастера Гейзера (завод № 45), причем так на</w:t>
      </w:r>
      <w:r w:rsidRPr="00E14102">
        <w:rPr>
          <w:color w:val="000000" w:themeColor="text1"/>
          <w:sz w:val="16"/>
          <w:szCs w:val="16"/>
        </w:rPr>
        <w:softHyphen/>
        <w:t>дежно и прочно, что выдержала непредусмотрен</w:t>
      </w:r>
      <w:r w:rsidRPr="00E14102">
        <w:rPr>
          <w:color w:val="000000" w:themeColor="text1"/>
          <w:sz w:val="16"/>
          <w:szCs w:val="16"/>
        </w:rPr>
        <w:softHyphen/>
        <w:t>ную ломку льдов.</w:t>
      </w:r>
    </w:p>
    <w:p w14:paraId="236A17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Все аэродромные работы, связанные с испыта</w:t>
      </w:r>
      <w:r w:rsidRPr="00E14102">
        <w:rPr>
          <w:color w:val="000000" w:themeColor="text1"/>
          <w:sz w:val="16"/>
          <w:szCs w:val="16"/>
        </w:rPr>
        <w:softHyphen/>
        <w:t>ниями, были прекрасно обеспечены, как в брига</w:t>
      </w:r>
      <w:r w:rsidRPr="00E14102">
        <w:rPr>
          <w:color w:val="000000" w:themeColor="text1"/>
          <w:sz w:val="16"/>
          <w:szCs w:val="16"/>
        </w:rPr>
        <w:softHyphen/>
        <w:t>де ВВС ЧМ, где командир т. Жаворонков, так и в школе им. т. Сталина, где начальником т. Бажанов» (11160).</w:t>
      </w:r>
    </w:p>
    <w:p w14:paraId="381B53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B4E79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февраля 1935 дата присвоения опознавательного знака с литерой "Н" - СССР-Н59 - У-2СП, зав. № 7114, мотор - М-11. Первоначальный владелец воздушного судна - УВС ГУСМП. Самолет выпуска 1935 года. Эксплуатировался в Енисейской авиагруппе УПА. 25 марта 1937 года приказом по УПА № 11 СССР-Н44 закрепляется за 3-м линейным отрядом Енисейской авиагруппы УПА для работы на участках Красноярск - Сов. рудник, Красноярск - Кежма и Красноярск - Абакан. В 1939 году СССР Н-59 передали в Якутскую авиагруппу. На нем летал пилот В.Г. Чернов. В 1940 г. самолет летал под управлением летчика Коптева.</w:t>
      </w:r>
    </w:p>
    <w:p w14:paraId="5C938602" w14:textId="77777777" w:rsidR="00D4105E" w:rsidRPr="00E14102" w:rsidRDefault="00D4105E" w:rsidP="00E14102">
      <w:pPr>
        <w:autoSpaceDE w:val="0"/>
        <w:autoSpaceDN w:val="0"/>
        <w:adjustRightInd w:val="0"/>
        <w:jc w:val="both"/>
        <w:rPr>
          <w:color w:val="000000" w:themeColor="text1"/>
          <w:sz w:val="16"/>
          <w:szCs w:val="16"/>
        </w:rPr>
      </w:pPr>
    </w:p>
    <w:p w14:paraId="2288D9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февраля 1935 дата присвоения опознавательного знака с литерой "Н" - СССР-Н60 - У-2СП, зав. № 7116, мотор - М-11. Первоначальный владелец воздушного судна - УВС ГУСМП. Самолет выпуска 1935 года. Эксплуатировался в Енисейской авиагруппе УПА. 25 марта 1937 года приказом по УПА № 11 закрепляется за 3-им линейным отрядом Енисейской авиагруппы УПА для работы на участках Красноярск - Сов. рудник, Красноярск - Кежма и Красноярск - Абакан. Приказом по ГВФ №73/97 от 07.01.39 г. самолет, вместе с другими машинами Енисейской авиагруппы УПА, был принят в ГВФ, составив Енисейскую авиагруппу ГВФ. 03.02.40 г. перерегистрирован с опознавательным знаком СССР-Л2972 (11958).</w:t>
      </w:r>
    </w:p>
    <w:p w14:paraId="7713078D" w14:textId="77777777" w:rsidR="00D4105E" w:rsidRPr="00E14102" w:rsidRDefault="00D4105E" w:rsidP="00E14102">
      <w:pPr>
        <w:autoSpaceDE w:val="0"/>
        <w:autoSpaceDN w:val="0"/>
        <w:adjustRightInd w:val="0"/>
        <w:jc w:val="both"/>
        <w:rPr>
          <w:color w:val="000000" w:themeColor="text1"/>
          <w:sz w:val="16"/>
          <w:szCs w:val="16"/>
        </w:rPr>
      </w:pPr>
    </w:p>
    <w:p w14:paraId="3015A0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февраля 1935 дата присвоения опознавательного знака с литерой "Н" - СССР-Н61 - У-2СП, зав. № 7121, мотор - М-11. 25 марта 1937 г. приказом по УПА № 11 СССР-Н61 закрепили за 3 линейным отрядом Енисейской авиагруппы для работы на участках Красноярск - Сов. рудник, Красноярск - Кежма и Красноярск - Абакан. Приказом по ГУ ГВФ № 73/97с от 07.01.39 г. самолет передан в Енисейскую авиагруппу ГВФ (11968).</w:t>
      </w:r>
    </w:p>
    <w:p w14:paraId="48B2F84C" w14:textId="77777777" w:rsidR="00D4105E" w:rsidRPr="00E14102" w:rsidRDefault="00D4105E" w:rsidP="00E14102">
      <w:pPr>
        <w:autoSpaceDE w:val="0"/>
        <w:autoSpaceDN w:val="0"/>
        <w:adjustRightInd w:val="0"/>
        <w:jc w:val="both"/>
        <w:rPr>
          <w:color w:val="000000" w:themeColor="text1"/>
          <w:sz w:val="16"/>
          <w:szCs w:val="16"/>
        </w:rPr>
      </w:pPr>
    </w:p>
    <w:p w14:paraId="14EC450B" w14:textId="77777777" w:rsidR="00D4105E" w:rsidRPr="00E14102" w:rsidRDefault="004B7965" w:rsidP="00E14102">
      <w:pPr>
        <w:shd w:val="clear" w:color="auto" w:fill="FFFFFF"/>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7216AC5" w14:textId="77777777" w:rsidR="00D4105E" w:rsidRPr="00E14102" w:rsidRDefault="00D4105E" w:rsidP="00E14102">
      <w:pPr>
        <w:shd w:val="clear" w:color="auto" w:fill="FFFFFF"/>
        <w:autoSpaceDE w:val="0"/>
        <w:autoSpaceDN w:val="0"/>
        <w:adjustRightInd w:val="0"/>
        <w:jc w:val="both"/>
        <w:rPr>
          <w:iCs/>
          <w:color w:val="000000" w:themeColor="text1"/>
          <w:sz w:val="16"/>
          <w:szCs w:val="16"/>
        </w:rPr>
      </w:pPr>
    </w:p>
    <w:p w14:paraId="6809F5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февраля 1935 года начальник 1-го управления УММ РККА Ольшанский направил И. Халепскому следующую докладную записку:</w:t>
      </w:r>
    </w:p>
    <w:p w14:paraId="610D227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настоящее время на вооружении механизированных частей РККА состоит и производится серийным порядком легкая бронемашина ФАИ (РБ-2). По имеющимся в 1 уп</w:t>
      </w:r>
      <w:r w:rsidRPr="00E14102">
        <w:rPr>
          <w:color w:val="000000" w:themeColor="text1"/>
          <w:sz w:val="16"/>
          <w:szCs w:val="16"/>
        </w:rPr>
        <w:softHyphen/>
        <w:t>равлении УММ данным целого ряда учений, эта бронема</w:t>
      </w:r>
      <w:r w:rsidRPr="00E14102">
        <w:rPr>
          <w:color w:val="000000" w:themeColor="text1"/>
          <w:sz w:val="16"/>
          <w:szCs w:val="16"/>
        </w:rPr>
        <w:softHyphen/>
        <w:t>шина, будучи перецентрована назад (башня сзади) показа</w:t>
      </w:r>
      <w:r w:rsidRPr="00E14102">
        <w:rPr>
          <w:color w:val="000000" w:themeColor="text1"/>
          <w:sz w:val="16"/>
          <w:szCs w:val="16"/>
        </w:rPr>
        <w:softHyphen/>
        <w:t>ла ничтожную проходимость при движении даже по мягко</w:t>
      </w:r>
      <w:r w:rsidRPr="00E14102">
        <w:rPr>
          <w:color w:val="000000" w:themeColor="text1"/>
          <w:sz w:val="16"/>
          <w:szCs w:val="16"/>
        </w:rPr>
        <w:softHyphen/>
        <w:t>му грунту (размягченная глина и т.д.)- Бронемашина в этих условиях с трудом берет даже самый незначительный подъ</w:t>
      </w:r>
      <w:r w:rsidRPr="00E14102">
        <w:rPr>
          <w:color w:val="000000" w:themeColor="text1"/>
          <w:sz w:val="16"/>
          <w:szCs w:val="16"/>
        </w:rPr>
        <w:softHyphen/>
        <w:t>ем, не может двигаться по глубоким колеям дороги там, где свободно проходит машина «Форд-А» и бронемашина Д-8. Прошу Вашего распоряжения о прекращении серийного производства легкой бронемашины ФАИ и испытании для постановки серийного производства вместо нее другого об</w:t>
      </w:r>
      <w:r w:rsidRPr="00E14102">
        <w:rPr>
          <w:color w:val="000000" w:themeColor="text1"/>
          <w:sz w:val="16"/>
          <w:szCs w:val="16"/>
        </w:rPr>
        <w:softHyphen/>
        <w:t xml:space="preserve">разца легкой бронемашины, имеющей башню посередине». </w:t>
      </w:r>
      <w:r w:rsidRPr="00E14102">
        <w:rPr>
          <w:color w:val="000000" w:themeColor="text1"/>
          <w:sz w:val="16"/>
          <w:szCs w:val="16"/>
        </w:rPr>
        <w:lastRenderedPageBreak/>
        <w:t>Через несколько дней начальник УММ РККА красным карандашом наложил резолюцию: «Не получив нового луч</w:t>
      </w:r>
      <w:r w:rsidRPr="00E14102">
        <w:rPr>
          <w:color w:val="000000" w:themeColor="text1"/>
          <w:sz w:val="16"/>
          <w:szCs w:val="16"/>
        </w:rPr>
        <w:softHyphen/>
        <w:t>шего типа нельзя бросать существующего. Нам нужно спе</w:t>
      </w:r>
      <w:r w:rsidRPr="00E14102">
        <w:rPr>
          <w:color w:val="000000" w:themeColor="text1"/>
          <w:sz w:val="16"/>
          <w:szCs w:val="16"/>
        </w:rPr>
        <w:softHyphen/>
        <w:t>шить с новым типом». Однако создание нового типа легко</w:t>
      </w:r>
      <w:r w:rsidRPr="00E14102">
        <w:rPr>
          <w:color w:val="000000" w:themeColor="text1"/>
          <w:sz w:val="16"/>
          <w:szCs w:val="16"/>
        </w:rPr>
        <w:softHyphen/>
        <w:t>го бронеавтомобиля упиралось в отсутствие подходящего шасси для этой цели — кроме ГАЗ-А, других легковых авто</w:t>
      </w:r>
      <w:r w:rsidRPr="00E14102">
        <w:rPr>
          <w:color w:val="000000" w:themeColor="text1"/>
          <w:sz w:val="16"/>
          <w:szCs w:val="16"/>
        </w:rPr>
        <w:softHyphen/>
        <w:t>мобилей в Советском Союзе в то время не производилось (11284).</w:t>
      </w:r>
    </w:p>
    <w:p w14:paraId="4FEF18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B81C8B3" w14:textId="77777777" w:rsidR="00FC1960" w:rsidRPr="00E14102" w:rsidRDefault="00FC1960" w:rsidP="00E14102">
      <w:pPr>
        <w:jc w:val="both"/>
        <w:rPr>
          <w:color w:val="0070C0"/>
          <w:sz w:val="16"/>
          <w:szCs w:val="16"/>
        </w:rPr>
      </w:pPr>
      <w:r w:rsidRPr="00E14102">
        <w:rPr>
          <w:color w:val="0070C0"/>
          <w:sz w:val="16"/>
          <w:szCs w:val="16"/>
        </w:rPr>
        <w:t>17 февраля 1935 газета «Правда» писала об открытом автобусе НАМИ со складной крышей для санаториев по за</w:t>
      </w:r>
      <w:r w:rsidRPr="00E14102">
        <w:rPr>
          <w:color w:val="0070C0"/>
          <w:sz w:val="16"/>
          <w:szCs w:val="16"/>
        </w:rPr>
        <w:softHyphen/>
        <w:t>казу НКВД на шасси ЗИС-8 как об автобусе, предназна</w:t>
      </w:r>
      <w:r w:rsidRPr="00E14102">
        <w:rPr>
          <w:color w:val="0070C0"/>
          <w:sz w:val="16"/>
          <w:szCs w:val="16"/>
        </w:rPr>
        <w:softHyphen/>
        <w:t>ченном для туристов и междугородного сообщения в курортных районах (22518).</w:t>
      </w:r>
    </w:p>
    <w:p w14:paraId="1CFD6DAC" w14:textId="77777777" w:rsidR="00FC1960" w:rsidRPr="00E14102" w:rsidRDefault="00FC1960" w:rsidP="00E14102">
      <w:pPr>
        <w:jc w:val="both"/>
        <w:rPr>
          <w:color w:val="0070C0"/>
          <w:sz w:val="16"/>
          <w:szCs w:val="16"/>
        </w:rPr>
      </w:pPr>
    </w:p>
    <w:p w14:paraId="229647F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7A536EA6" w14:textId="77777777" w:rsidR="00D4105E" w:rsidRPr="00E14102" w:rsidRDefault="00D4105E" w:rsidP="00E14102">
      <w:pPr>
        <w:autoSpaceDE w:val="0"/>
        <w:autoSpaceDN w:val="0"/>
        <w:adjustRightInd w:val="0"/>
        <w:jc w:val="both"/>
        <w:rPr>
          <w:iCs/>
          <w:color w:val="000000" w:themeColor="text1"/>
          <w:sz w:val="16"/>
          <w:szCs w:val="16"/>
        </w:rPr>
      </w:pPr>
    </w:p>
    <w:p w14:paraId="6DC8BE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февраля 1935 закрылся второй всесоюзный съезд колхозников-ударников (3481).</w:t>
      </w:r>
    </w:p>
    <w:p w14:paraId="4947F419" w14:textId="77777777" w:rsidR="00D4105E" w:rsidRPr="00E14102" w:rsidRDefault="00D4105E" w:rsidP="00E14102">
      <w:pPr>
        <w:autoSpaceDE w:val="0"/>
        <w:autoSpaceDN w:val="0"/>
        <w:adjustRightInd w:val="0"/>
        <w:jc w:val="both"/>
        <w:rPr>
          <w:color w:val="000000" w:themeColor="text1"/>
          <w:sz w:val="16"/>
          <w:szCs w:val="16"/>
        </w:rPr>
      </w:pPr>
    </w:p>
    <w:p w14:paraId="686C49A8" w14:textId="77777777" w:rsidR="00C7292B" w:rsidRPr="00E14102" w:rsidRDefault="00C7292B" w:rsidP="00E14102">
      <w:pPr>
        <w:jc w:val="both"/>
        <w:rPr>
          <w:color w:val="000000" w:themeColor="text1"/>
          <w:sz w:val="16"/>
          <w:szCs w:val="16"/>
        </w:rPr>
      </w:pPr>
      <w:r w:rsidRPr="00E14102">
        <w:rPr>
          <w:bCs/>
          <w:color w:val="000000" w:themeColor="text1"/>
          <w:sz w:val="16"/>
          <w:szCs w:val="16"/>
        </w:rPr>
        <w:t>17 февраля</w:t>
      </w:r>
      <w:r w:rsidRPr="00E14102">
        <w:rPr>
          <w:color w:val="000000" w:themeColor="text1"/>
          <w:sz w:val="16"/>
          <w:szCs w:val="16"/>
        </w:rPr>
        <w:t xml:space="preserve"> в 1935 году </w:t>
      </w:r>
      <w:hyperlink r:id="rId47" w:tgtFrame="_blank" w:history="1">
        <w:r w:rsidRPr="00E14102">
          <w:rPr>
            <w:color w:val="000000" w:themeColor="text1"/>
            <w:sz w:val="16"/>
            <w:szCs w:val="16"/>
          </w:rPr>
          <w:t xml:space="preserve">"Примерный устав сельскохозяйственной артели" (утв. СНК СССР, ЦК ВКП(б) 17.02.1935) </w:t>
        </w:r>
      </w:hyperlink>
      <w:r w:rsidRPr="00E14102">
        <w:rPr>
          <w:color w:val="000000" w:themeColor="text1"/>
          <w:sz w:val="16"/>
          <w:szCs w:val="16"/>
        </w:rPr>
        <w:t>(15043).</w:t>
      </w:r>
    </w:p>
    <w:p w14:paraId="1D52A56C" w14:textId="77777777" w:rsidR="00C7292B" w:rsidRPr="00E14102" w:rsidRDefault="00C7292B" w:rsidP="00E14102">
      <w:pPr>
        <w:jc w:val="both"/>
        <w:rPr>
          <w:color w:val="000000" w:themeColor="text1"/>
          <w:sz w:val="16"/>
          <w:szCs w:val="16"/>
        </w:rPr>
      </w:pPr>
    </w:p>
    <w:p w14:paraId="06A0EF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февраля 1935 приняли новый устав колхозов с уточнением размеров личного приусадебного хозяйства (1348,200) - от 0.25 до 0.5 га, одна корова, два теленка, одна свинья с поросятами, 10 овец и коз, птица и кролики без ограничения, приняли на 2 съезде колхозников-ударников (3908,346).</w:t>
      </w:r>
    </w:p>
    <w:p w14:paraId="67140EAE" w14:textId="77777777" w:rsidR="00D4105E" w:rsidRPr="00E14102" w:rsidRDefault="00D4105E" w:rsidP="00E14102">
      <w:pPr>
        <w:autoSpaceDE w:val="0"/>
        <w:autoSpaceDN w:val="0"/>
        <w:adjustRightInd w:val="0"/>
        <w:jc w:val="both"/>
        <w:rPr>
          <w:color w:val="000000" w:themeColor="text1"/>
          <w:sz w:val="16"/>
          <w:szCs w:val="16"/>
        </w:rPr>
      </w:pPr>
    </w:p>
    <w:p w14:paraId="0784041A" w14:textId="77777777" w:rsidR="00356A2F" w:rsidRPr="00E14102" w:rsidRDefault="00356A2F" w:rsidP="00E14102">
      <w:pPr>
        <w:autoSpaceDE w:val="0"/>
        <w:autoSpaceDN w:val="0"/>
        <w:adjustRightInd w:val="0"/>
        <w:jc w:val="both"/>
        <w:rPr>
          <w:color w:val="000000" w:themeColor="text1"/>
          <w:sz w:val="16"/>
          <w:szCs w:val="16"/>
        </w:rPr>
      </w:pPr>
      <w:r w:rsidRPr="00E14102">
        <w:rPr>
          <w:color w:val="000000" w:themeColor="text1"/>
          <w:sz w:val="16"/>
          <w:szCs w:val="16"/>
        </w:rPr>
        <w:t>17 февраля 1935 г. социализм: СНК и ВКП(Б) утверждают новый Устав колхозов – закреплены трудодни, колхозникам разрешено ведение подсобного хозяйства и продажа продуктов на рынке (17328).</w:t>
      </w:r>
    </w:p>
    <w:p w14:paraId="6E9E1995" w14:textId="77777777" w:rsidR="00356A2F" w:rsidRPr="00E14102" w:rsidRDefault="00356A2F" w:rsidP="00E14102">
      <w:pPr>
        <w:autoSpaceDE w:val="0"/>
        <w:autoSpaceDN w:val="0"/>
        <w:adjustRightInd w:val="0"/>
        <w:jc w:val="both"/>
        <w:rPr>
          <w:color w:val="000000" w:themeColor="text1"/>
          <w:sz w:val="16"/>
          <w:szCs w:val="16"/>
        </w:rPr>
      </w:pPr>
    </w:p>
    <w:p w14:paraId="4248558D" w14:textId="77777777" w:rsidR="00C7292B" w:rsidRPr="00E14102" w:rsidRDefault="00C7292B" w:rsidP="00E14102">
      <w:pPr>
        <w:jc w:val="both"/>
        <w:rPr>
          <w:color w:val="000000" w:themeColor="text1"/>
          <w:sz w:val="16"/>
          <w:szCs w:val="16"/>
        </w:rPr>
      </w:pPr>
      <w:r w:rsidRPr="00E14102">
        <w:rPr>
          <w:bCs/>
          <w:color w:val="000000" w:themeColor="text1"/>
          <w:sz w:val="16"/>
          <w:szCs w:val="16"/>
        </w:rPr>
        <w:t>17 февраля</w:t>
      </w:r>
      <w:r w:rsidRPr="00E14102">
        <w:rPr>
          <w:color w:val="000000" w:themeColor="text1"/>
          <w:sz w:val="16"/>
          <w:szCs w:val="16"/>
        </w:rPr>
        <w:t xml:space="preserve"> в 1935 году в Москве завершил работу (начало 11 февраля) Второй Всесоюзный съезд колхозников-ударников. На этом съезде присутствовало 1433 делегата, представлявшие, в отличие от 1-го съезда, колхозы всех краев, областей и нац. республик. Съезд обсудил Примерный устав сельско-хозяйственной артели и единогласно принял его. Съезд постановил просить ЦК ВКП(б) и СНК СССР организовать в 1937 в Москве Всесоюзную сельско-хозяйственную выставку (15043).</w:t>
      </w:r>
    </w:p>
    <w:p w14:paraId="6C06D5C4" w14:textId="77777777" w:rsidR="00C7292B" w:rsidRPr="00E14102" w:rsidRDefault="00C7292B" w:rsidP="00E14102">
      <w:pPr>
        <w:jc w:val="both"/>
        <w:rPr>
          <w:color w:val="000000" w:themeColor="text1"/>
          <w:sz w:val="16"/>
          <w:szCs w:val="16"/>
        </w:rPr>
      </w:pPr>
    </w:p>
    <w:p w14:paraId="5D43AE5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88466C6" w14:textId="77777777" w:rsidR="00D4105E" w:rsidRPr="00E14102" w:rsidRDefault="00D4105E" w:rsidP="00E14102">
      <w:pPr>
        <w:autoSpaceDE w:val="0"/>
        <w:autoSpaceDN w:val="0"/>
        <w:adjustRightInd w:val="0"/>
        <w:jc w:val="both"/>
        <w:rPr>
          <w:iCs/>
          <w:color w:val="000000" w:themeColor="text1"/>
          <w:sz w:val="16"/>
          <w:szCs w:val="16"/>
        </w:rPr>
      </w:pPr>
    </w:p>
    <w:p w14:paraId="5A67769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17 февраля 1935 в Германии введен 8-часовой рабочий день (4962).</w:t>
      </w:r>
    </w:p>
    <w:p w14:paraId="4E3E908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13C1C1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A0E2793" w14:textId="77777777" w:rsidR="00D4105E" w:rsidRPr="00E14102" w:rsidRDefault="00D4105E" w:rsidP="00E14102">
      <w:pPr>
        <w:autoSpaceDE w:val="0"/>
        <w:autoSpaceDN w:val="0"/>
        <w:adjustRightInd w:val="0"/>
        <w:jc w:val="both"/>
        <w:rPr>
          <w:iCs/>
          <w:color w:val="000000" w:themeColor="text1"/>
          <w:sz w:val="16"/>
          <w:szCs w:val="16"/>
        </w:rPr>
      </w:pPr>
    </w:p>
    <w:p w14:paraId="5C10F2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февраля 1935 заводской ли 125 завода И.И.Лагутин совершил первый вылет на головном серийном И-14 N 125001. Из-за дефектов 9 серийная машина N 125009 попал на гос. испытания только через год (4020,14).</w:t>
      </w:r>
    </w:p>
    <w:p w14:paraId="1146C3C8" w14:textId="77777777" w:rsidR="00D4105E" w:rsidRPr="00E14102" w:rsidRDefault="00D4105E" w:rsidP="00E14102">
      <w:pPr>
        <w:autoSpaceDE w:val="0"/>
        <w:autoSpaceDN w:val="0"/>
        <w:adjustRightInd w:val="0"/>
        <w:jc w:val="both"/>
        <w:rPr>
          <w:color w:val="000000" w:themeColor="text1"/>
          <w:sz w:val="16"/>
          <w:szCs w:val="16"/>
        </w:rPr>
      </w:pPr>
    </w:p>
    <w:p w14:paraId="62D18A66" w14:textId="77777777" w:rsidR="00C7292B" w:rsidRPr="00E14102" w:rsidRDefault="00C7292B" w:rsidP="00E14102">
      <w:pPr>
        <w:jc w:val="both"/>
        <w:rPr>
          <w:color w:val="000000" w:themeColor="text1"/>
          <w:sz w:val="16"/>
          <w:szCs w:val="16"/>
        </w:rPr>
      </w:pPr>
      <w:r w:rsidRPr="00E14102">
        <w:rPr>
          <w:color w:val="000000" w:themeColor="text1"/>
          <w:sz w:val="16"/>
          <w:szCs w:val="16"/>
        </w:rPr>
        <w:t>18 февраля 1935 г. заводской лётчик-испытатель завода №125 И.И. Лагутин поднял в воздух головной серийный И-14 М-25 (125001). Первые серийные машины требовали длительной доводки из-за массы конструктивных и производствен</w:t>
      </w:r>
      <w:r w:rsidRPr="00E14102">
        <w:rPr>
          <w:color w:val="000000" w:themeColor="text1"/>
          <w:sz w:val="16"/>
          <w:szCs w:val="16"/>
        </w:rPr>
        <w:softHyphen/>
        <w:t>ных дефектов. Официально началом серийного произвдства И-14 считается 1936 г. (15823).</w:t>
      </w:r>
    </w:p>
    <w:p w14:paraId="1BB7547B" w14:textId="77777777" w:rsidR="00C7292B" w:rsidRPr="00E14102" w:rsidRDefault="00C7292B" w:rsidP="00E14102">
      <w:pPr>
        <w:jc w:val="both"/>
        <w:rPr>
          <w:color w:val="000000" w:themeColor="text1"/>
          <w:sz w:val="16"/>
          <w:szCs w:val="16"/>
        </w:rPr>
      </w:pPr>
    </w:p>
    <w:p w14:paraId="6330BBF6" w14:textId="77777777" w:rsidR="00C7292B" w:rsidRPr="00E14102" w:rsidRDefault="004B7965" w:rsidP="00E14102">
      <w:pPr>
        <w:shd w:val="clear" w:color="auto" w:fill="FFFFFF"/>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FA7BEEE" w14:textId="77777777" w:rsidR="00C7292B" w:rsidRPr="00E14102" w:rsidRDefault="00C7292B" w:rsidP="00E14102">
      <w:pPr>
        <w:shd w:val="clear" w:color="auto" w:fill="FFFFFF"/>
        <w:autoSpaceDE w:val="0"/>
        <w:autoSpaceDN w:val="0"/>
        <w:adjustRightInd w:val="0"/>
        <w:jc w:val="both"/>
        <w:rPr>
          <w:iCs/>
          <w:color w:val="000000" w:themeColor="text1"/>
          <w:sz w:val="16"/>
          <w:szCs w:val="16"/>
        </w:rPr>
      </w:pPr>
    </w:p>
    <w:p w14:paraId="4154A640" w14:textId="77777777" w:rsidR="00C7292B" w:rsidRPr="00E14102" w:rsidRDefault="00C7292B" w:rsidP="00E14102">
      <w:pPr>
        <w:pStyle w:val="rtejustify"/>
        <w:spacing w:before="0" w:after="0"/>
        <w:rPr>
          <w:color w:val="000000" w:themeColor="text1"/>
          <w:sz w:val="16"/>
          <w:szCs w:val="16"/>
        </w:rPr>
      </w:pPr>
      <w:r w:rsidRPr="00E14102">
        <w:rPr>
          <w:rStyle w:val="a6"/>
          <w:bCs/>
          <w:i w:val="0"/>
          <w:color w:val="000000" w:themeColor="text1"/>
          <w:sz w:val="16"/>
          <w:szCs w:val="16"/>
        </w:rPr>
        <w:t>18 февраля 1935 вышел приказ НКО №</w:t>
      </w:r>
      <w:r w:rsidRPr="00E14102">
        <w:rPr>
          <w:color w:val="000000" w:themeColor="text1"/>
          <w:sz w:val="16"/>
          <w:szCs w:val="16"/>
        </w:rPr>
        <w:t> 0017. С ведомостью обеспечения чертежами и техническими условиями заказа на боеприпасы АУ РККА на 1935 г. в дополнение приказа НКО 1935 г НКО № 004 (15247).</w:t>
      </w:r>
    </w:p>
    <w:p w14:paraId="677AAD67" w14:textId="77777777" w:rsidR="00C7292B" w:rsidRPr="00E14102" w:rsidRDefault="00C7292B" w:rsidP="00E14102">
      <w:pPr>
        <w:pStyle w:val="rtejustify"/>
        <w:spacing w:before="0" w:after="0"/>
        <w:rPr>
          <w:color w:val="000000" w:themeColor="text1"/>
          <w:sz w:val="16"/>
          <w:szCs w:val="16"/>
        </w:rPr>
      </w:pPr>
    </w:p>
    <w:p w14:paraId="685B458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087F2BD" w14:textId="77777777" w:rsidR="00D4105E" w:rsidRPr="00E14102" w:rsidRDefault="00D4105E" w:rsidP="00E14102">
      <w:pPr>
        <w:autoSpaceDE w:val="0"/>
        <w:autoSpaceDN w:val="0"/>
        <w:adjustRightInd w:val="0"/>
        <w:jc w:val="both"/>
        <w:rPr>
          <w:iCs/>
          <w:color w:val="000000" w:themeColor="text1"/>
          <w:sz w:val="16"/>
          <w:szCs w:val="16"/>
        </w:rPr>
      </w:pPr>
    </w:p>
    <w:p w14:paraId="4A77FF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февраля 1935 Рим сообщил о посылке войск в Итальянское Сомали (2100).</w:t>
      </w:r>
    </w:p>
    <w:p w14:paraId="78860664" w14:textId="77777777" w:rsidR="00D4105E" w:rsidRPr="00E14102" w:rsidRDefault="00D4105E" w:rsidP="00E14102">
      <w:pPr>
        <w:autoSpaceDE w:val="0"/>
        <w:autoSpaceDN w:val="0"/>
        <w:adjustRightInd w:val="0"/>
        <w:jc w:val="both"/>
        <w:rPr>
          <w:color w:val="000000" w:themeColor="text1"/>
          <w:sz w:val="16"/>
          <w:szCs w:val="16"/>
        </w:rPr>
      </w:pPr>
    </w:p>
    <w:p w14:paraId="48B01361" w14:textId="77777777" w:rsidR="0011334B" w:rsidRPr="00E14102" w:rsidRDefault="0011334B" w:rsidP="00E14102">
      <w:pPr>
        <w:jc w:val="both"/>
        <w:rPr>
          <w:color w:val="000000" w:themeColor="text1"/>
          <w:sz w:val="16"/>
          <w:szCs w:val="16"/>
        </w:rPr>
      </w:pPr>
      <w:r w:rsidRPr="00E14102">
        <w:rPr>
          <w:bCs/>
          <w:color w:val="000000" w:themeColor="text1"/>
          <w:sz w:val="16"/>
          <w:szCs w:val="16"/>
        </w:rPr>
        <w:t>18 февраля</w:t>
      </w:r>
      <w:r w:rsidRPr="00E14102">
        <w:rPr>
          <w:color w:val="000000" w:themeColor="text1"/>
          <w:sz w:val="16"/>
          <w:szCs w:val="16"/>
        </w:rPr>
        <w:t xml:space="preserve"> в 1935 году в берлинской тюрьме казнены баронесса Бенита фон Фалкенхайн и ее подруга Рената фон Натцнер, осужденные за шпионаж. При их казни последний раз палач использовал в Германии топор. Однако официально обезглавливание топором было отменено в этой стране в 1938 году (15044).</w:t>
      </w:r>
    </w:p>
    <w:p w14:paraId="25E43D31" w14:textId="77777777" w:rsidR="0011334B" w:rsidRPr="00E14102" w:rsidRDefault="0011334B" w:rsidP="00E14102">
      <w:pPr>
        <w:jc w:val="both"/>
        <w:rPr>
          <w:color w:val="000000" w:themeColor="text1"/>
          <w:sz w:val="16"/>
          <w:szCs w:val="16"/>
        </w:rPr>
      </w:pPr>
    </w:p>
    <w:p w14:paraId="400C492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2605562" w14:textId="77777777" w:rsidR="00D4105E" w:rsidRPr="00E14102" w:rsidRDefault="00D4105E" w:rsidP="00E14102">
      <w:pPr>
        <w:autoSpaceDE w:val="0"/>
        <w:autoSpaceDN w:val="0"/>
        <w:adjustRightInd w:val="0"/>
        <w:jc w:val="both"/>
        <w:rPr>
          <w:iCs/>
          <w:color w:val="000000" w:themeColor="text1"/>
          <w:sz w:val="16"/>
          <w:szCs w:val="16"/>
        </w:rPr>
      </w:pPr>
    </w:p>
    <w:p w14:paraId="34B86B1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февраля 1935 года вышел Приказ НИИ ВВС № 098:</w:t>
      </w:r>
    </w:p>
    <w:p w14:paraId="21F2219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Дополнение к приказу НИИ ВС № 519 от 17 декабря 1934 года об испытании моторов М17Ф Е=7,3 на самолетах</w:t>
      </w:r>
    </w:p>
    <w:p w14:paraId="60FE459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Предъявленные заводом № 26 последние четыре мотора М-17Ф Е=7,3 для летных испытаний на самолете ТБ3 принять.</w:t>
      </w:r>
    </w:p>
    <w:p w14:paraId="15C169A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на ТБ3 начать 15 февраля 1935 года и закончить в 25 летных дней (6814, 70).</w:t>
      </w:r>
    </w:p>
    <w:p w14:paraId="37FE3E4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FA7D5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февраля 1935 закончились гос. испытания самолета СБ с 2-мя моторами Испано-Сюиза 12, которые проходили с 8 февраля 1935 (6704).</w:t>
      </w:r>
    </w:p>
    <w:p w14:paraId="54C0FEA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0AF6DB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ЛИС НИИ Петров</w:t>
      </w:r>
    </w:p>
    <w:p w14:paraId="3B6221A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НИО ОСС НИИ – Филин</w:t>
      </w:r>
    </w:p>
    <w:p w14:paraId="3EB2962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 ЛИСа - Подлесецкий</w:t>
      </w:r>
    </w:p>
    <w:p w14:paraId="6436573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Летчик – Миндер</w:t>
      </w:r>
    </w:p>
    <w:p w14:paraId="13BDA4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6D5E12C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летно-тактических и боевых данных самолета СБ (скоростной бомбардировщик) в зимних условиях (на лыжах).</w:t>
      </w:r>
    </w:p>
    <w:p w14:paraId="4D02610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F5177E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Наличие у самолета СБ больших максимальных скоростей, большого потолка и мощного вооружения, ставящих его в разряд одного из лучших в мире скоростных бомбардировщиков требуют скорейшего введения его на вооружение ВС.</w:t>
      </w:r>
    </w:p>
    <w:p w14:paraId="2371A66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8080"/>
      </w:tblGrid>
      <w:tr w:rsidR="00E3599D" w:rsidRPr="00E14102" w14:paraId="05506BB8" w14:textId="77777777">
        <w:tc>
          <w:tcPr>
            <w:tcW w:w="2518" w:type="dxa"/>
            <w:tcBorders>
              <w:top w:val="single" w:sz="12" w:space="0" w:color="auto"/>
            </w:tcBorders>
          </w:tcPr>
          <w:p w14:paraId="5A0943A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февраля 1935 года</w:t>
            </w:r>
          </w:p>
        </w:tc>
        <w:tc>
          <w:tcPr>
            <w:tcW w:w="8080" w:type="dxa"/>
            <w:tcBorders>
              <w:top w:val="single" w:sz="12" w:space="0" w:color="auto"/>
            </w:tcBorders>
          </w:tcPr>
          <w:p w14:paraId="3074A0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летчиками Юмашевым и Громовым. Испытание стрелковых и бомбардировочных установок с точки зрения возможности прицеливания при различных скоростях и положениях самолета.</w:t>
            </w:r>
          </w:p>
        </w:tc>
      </w:tr>
      <w:tr w:rsidR="00E3599D" w:rsidRPr="00E14102" w14:paraId="3661C998" w14:textId="77777777">
        <w:tc>
          <w:tcPr>
            <w:tcW w:w="2518" w:type="dxa"/>
          </w:tcPr>
          <w:p w14:paraId="79411D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февраля 1935 года</w:t>
            </w:r>
          </w:p>
        </w:tc>
        <w:tc>
          <w:tcPr>
            <w:tcW w:w="8080" w:type="dxa"/>
          </w:tcPr>
          <w:p w14:paraId="521979C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летчиком Филиным и испытание стрелкового и бомбардировочного вооружения.</w:t>
            </w:r>
          </w:p>
        </w:tc>
      </w:tr>
      <w:tr w:rsidR="00E3599D" w:rsidRPr="00E14102" w14:paraId="07F71EC3" w14:textId="77777777">
        <w:tc>
          <w:tcPr>
            <w:tcW w:w="2518" w:type="dxa"/>
          </w:tcPr>
          <w:p w14:paraId="607FA13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февраля 1935 года</w:t>
            </w:r>
          </w:p>
        </w:tc>
        <w:tc>
          <w:tcPr>
            <w:tcW w:w="8080" w:type="dxa"/>
          </w:tcPr>
          <w:p w14:paraId="1B57878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километраж, бомбометание 1/500 с 1500 м высоты на максимальной скорости и наблюдение за открыванием и закрыванием бомбового люка при разных скоростях. Полет на зубцы и стрельба из передней установки на различных скоростях и высотах: 2000, 3000, 4500 и 6000 м.</w:t>
            </w:r>
          </w:p>
        </w:tc>
      </w:tr>
      <w:tr w:rsidR="00E3599D" w:rsidRPr="00E14102" w14:paraId="3CB6B7F9" w14:textId="77777777">
        <w:tc>
          <w:tcPr>
            <w:tcW w:w="2518" w:type="dxa"/>
          </w:tcPr>
          <w:p w14:paraId="2E63D4B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 февраля 1935 года</w:t>
            </w:r>
          </w:p>
        </w:tc>
        <w:tc>
          <w:tcPr>
            <w:tcW w:w="8080" w:type="dxa"/>
          </w:tcPr>
          <w:p w14:paraId="46E43AF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потолок. Полет на стрельбу из передней установки на различных скоростях. Полет на бомбометание 2/250 кг и стрельба из заднего пулемета.</w:t>
            </w:r>
          </w:p>
        </w:tc>
      </w:tr>
      <w:tr w:rsidR="00E3599D" w:rsidRPr="00E14102" w14:paraId="2F0F8300" w14:textId="77777777">
        <w:tc>
          <w:tcPr>
            <w:tcW w:w="2518" w:type="dxa"/>
          </w:tcPr>
          <w:p w14:paraId="48BCA5A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февраля 1935 года</w:t>
            </w:r>
          </w:p>
        </w:tc>
        <w:tc>
          <w:tcPr>
            <w:tcW w:w="8080" w:type="dxa"/>
          </w:tcPr>
          <w:p w14:paraId="082C85A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летчиком Громовым и выявление причин перегрева мотора.</w:t>
            </w:r>
          </w:p>
        </w:tc>
      </w:tr>
      <w:tr w:rsidR="00E3599D" w:rsidRPr="00E14102" w14:paraId="4D0C1AE6" w14:textId="77777777">
        <w:tc>
          <w:tcPr>
            <w:tcW w:w="2518" w:type="dxa"/>
          </w:tcPr>
          <w:p w14:paraId="0121671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18 февраля 1935 года</w:t>
            </w:r>
          </w:p>
        </w:tc>
        <w:tc>
          <w:tcPr>
            <w:tcW w:w="8080" w:type="dxa"/>
          </w:tcPr>
          <w:p w14:paraId="797D0A9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летчиками Филиным и Петровым.</w:t>
            </w:r>
          </w:p>
        </w:tc>
      </w:tr>
      <w:tr w:rsidR="00E3599D" w:rsidRPr="00E14102" w14:paraId="42057343" w14:textId="77777777">
        <w:tc>
          <w:tcPr>
            <w:tcW w:w="2518" w:type="dxa"/>
            <w:tcBorders>
              <w:bottom w:val="single" w:sz="12" w:space="0" w:color="auto"/>
            </w:tcBorders>
          </w:tcPr>
          <w:p w14:paraId="6470B90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февраля 1935 года</w:t>
            </w:r>
          </w:p>
        </w:tc>
        <w:tc>
          <w:tcPr>
            <w:tcW w:w="8080" w:type="dxa"/>
            <w:tcBorders>
              <w:bottom w:val="single" w:sz="12" w:space="0" w:color="auto"/>
            </w:tcBorders>
          </w:tcPr>
          <w:p w14:paraId="53781D3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потолок.</w:t>
            </w:r>
          </w:p>
        </w:tc>
      </w:tr>
    </w:tbl>
    <w:p w14:paraId="6623B89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Налет самолета СБ</w:t>
      </w:r>
    </w:p>
    <w:p w14:paraId="036D5E3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 испытании ОЭЛИД ЦАГИ с 29 декабря 1934 года по 6 февраля 1935 года:</w:t>
      </w:r>
    </w:p>
    <w:p w14:paraId="15C4F4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Полетов – 21, налет 9 час. 42 мин</w:t>
      </w:r>
    </w:p>
    <w:p w14:paraId="3FE197C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 испытании НИИ ВС с 8 февраля по 19 февраля 1935 года:</w:t>
      </w:r>
    </w:p>
    <w:p w14:paraId="4C89284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Полетов – 17, налет 10 час. 20 мин.</w:t>
      </w:r>
    </w:p>
    <w:p w14:paraId="44DBFED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Всего полетов 38, налет – 20 час. 02 мин. (6704).</w:t>
      </w:r>
    </w:p>
    <w:p w14:paraId="46CC7B6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DA653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февраля 1935 в НИИ ВВС закончились испытания СБ 2ИС-12 на лыжах, которые шли с 5 февраля 1935 (2917).</w:t>
      </w:r>
    </w:p>
    <w:p w14:paraId="60DAEA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 Нач. ЛИС НИИ Петров, л Минлер, ви Подлесецкий.</w:t>
      </w:r>
    </w:p>
    <w:p w14:paraId="495633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 Определение летно-тактических и боевых данных СБ в зимних условиях (на лыжах) (2917).</w:t>
      </w:r>
    </w:p>
    <w:p w14:paraId="0AF866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Выполнили 17 полетов и налетали 10:20</w:t>
      </w:r>
    </w:p>
    <w:p w14:paraId="768CB6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 данный экз. СБ оставить в ЦАГИ и предложить ГУАП в кратчайший срок устранить дефекты, что проверить специальными испытаниями в НИИ ВВС (2917).</w:t>
      </w:r>
    </w:p>
    <w:p w14:paraId="0F4D47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эти испытания шли с 10 марта 1935 по 10 февраля 1936 (2917).</w:t>
      </w:r>
    </w:p>
    <w:p w14:paraId="22CD930A" w14:textId="77777777" w:rsidR="00D4105E" w:rsidRPr="00E14102" w:rsidRDefault="00D4105E" w:rsidP="00E14102">
      <w:pPr>
        <w:autoSpaceDE w:val="0"/>
        <w:autoSpaceDN w:val="0"/>
        <w:adjustRightInd w:val="0"/>
        <w:jc w:val="both"/>
        <w:rPr>
          <w:color w:val="000000" w:themeColor="text1"/>
          <w:sz w:val="16"/>
          <w:szCs w:val="16"/>
        </w:rPr>
      </w:pPr>
    </w:p>
    <w:p w14:paraId="438E99BC" w14:textId="77777777" w:rsidR="0011334B" w:rsidRPr="00E14102" w:rsidRDefault="0011334B" w:rsidP="00E14102">
      <w:pPr>
        <w:jc w:val="both"/>
        <w:rPr>
          <w:color w:val="000000" w:themeColor="text1"/>
          <w:sz w:val="16"/>
          <w:szCs w:val="16"/>
        </w:rPr>
      </w:pPr>
      <w:r w:rsidRPr="00E14102">
        <w:rPr>
          <w:bCs/>
          <w:color w:val="000000" w:themeColor="text1"/>
          <w:sz w:val="16"/>
          <w:szCs w:val="16"/>
        </w:rPr>
        <w:t>19 февраля</w:t>
      </w:r>
      <w:r w:rsidRPr="00E14102">
        <w:rPr>
          <w:color w:val="000000" w:themeColor="text1"/>
          <w:sz w:val="16"/>
          <w:szCs w:val="16"/>
        </w:rPr>
        <w:t xml:space="preserve"> в 1935 году завершились совместные испытания «СБ» «2ИС» в НИИ ВВС КА (начались 8 февраля). Для проведения совместных испытаний ОКБ и ВВС к 23 января был назначен экипаж из НИИ ВВС КА. В него вошли летчик Миндер, штурман Бряндинский, летнаб-хронометрист Нольде и техник Обыденников. В ходе испытаний было выполнено 38 полетов. Кроме Миндера, от НИИ ВВС КА в облете самолета участвовали летчики М.М.Громов, А.Н.Филин и А.Б.Юмашев. Из ОЭЛИД ЦАГИ в испытаниях участвовал экипаж Журова (15045).</w:t>
      </w:r>
    </w:p>
    <w:p w14:paraId="50AC967D" w14:textId="77777777" w:rsidR="0011334B" w:rsidRPr="00E14102" w:rsidRDefault="0011334B" w:rsidP="00E14102">
      <w:pPr>
        <w:jc w:val="both"/>
        <w:rPr>
          <w:color w:val="000000" w:themeColor="text1"/>
          <w:sz w:val="16"/>
          <w:szCs w:val="16"/>
        </w:rPr>
      </w:pPr>
    </w:p>
    <w:p w14:paraId="081627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февраля 1935 года было подготовлено Товарищеское письмо Можаева</w:t>
      </w:r>
    </w:p>
    <w:p w14:paraId="54F28D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Дорогой Георгий Дмитриевич!</w:t>
      </w:r>
    </w:p>
    <w:p w14:paraId="781D2E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Обращаюсь к Вам с товарищеским письмом и прилагаю при сем материал, из которого явствует, что не смотря на постановление Правительства от 2 июля 1934 года за № 1561, дело о постройке транспортного самолета “ТС-1”, как видно из материала, идет неудовлетворительно. Постройка самолета совершается ненормальным порядком по вине ГУАПа и др. организаций.</w:t>
      </w:r>
    </w:p>
    <w:p w14:paraId="1295E2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ГУАП явно не хочет выполнять постановление Правительства, т.е. вести постройку по транспортному самолету, вследствие чего приходится комбинировать всякими путями постройку транспортного самолета. Такое ненормальное строительство транспортного самолета увеличивает сроки и стоимость, что явно противоречит постановлению партии и правительства. 19 января 1935 года было созвано совещание начальника УВС Алксниса, на котором было постановлено в третий раз, что транспортный самолет нужно строить и он необходим (см. протокол совещания и доклад Можаева на упомянутом совещании.</w:t>
      </w:r>
    </w:p>
    <w:p w14:paraId="1B1B14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изложенного, просил бы с Вашей стороны оказать помощь в быстрой постройке этого самолета на заводе № 1, у Беленковича, т.к. завод 135 в Харькове, не только помогает в постройке транспортного самолета, а наоборот тормозит таковой. (См. прилож. материал рапорт зам. начальника УВВС от 24 декабря 1934 года за № 89/с).</w:t>
      </w:r>
    </w:p>
    <w:p w14:paraId="78E5F4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 упомянутый материал.</w:t>
      </w:r>
    </w:p>
    <w:p w14:paraId="28F33C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ком. Приветом Можаев (4213, 15).</w:t>
      </w:r>
    </w:p>
    <w:p w14:paraId="167586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января 1935 года Начальник УВС Алкснис утвердил:</w:t>
      </w:r>
    </w:p>
    <w:p w14:paraId="35AC0E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Протокол совещания у начальника УВС по строительству транспортного самолета “Т.С.1” – 19 января 1935 года</w:t>
      </w:r>
    </w:p>
    <w:p w14:paraId="24B643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Присутствовали: начальник УВВС Алкснис, врид начальника ГУАП Марголин, начальник 4 отдела УВС Базенков, начальник НИИ ВС Лавров, начальник отделения УВС Горощенко, ст. конструктор “ТС1” Можаев, инженер-конструктор Ковальков и Осипенко.</w:t>
      </w:r>
    </w:p>
    <w:p w14:paraId="7F4C87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Можаев сообщил совещанию историю возникновения идеи необходимости создания и хода строительства транспортного самолета “ТС-1”, а также о тех трудностях особенно за последнее время, в которые упирается строительство самолета.</w:t>
      </w:r>
    </w:p>
    <w:p w14:paraId="35E792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Горощенко считает, что как сама идея, так и оригинальность конструкции заслуживают полного внимания и всемерного форсирования окончательной постройки с тем, чтобы в 1935 году успеть провести гос. испытание этого самолета.</w:t>
      </w:r>
    </w:p>
    <w:p w14:paraId="0FE205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Лавров – целиком поддерживает Горощенко.</w:t>
      </w:r>
    </w:p>
    <w:p w14:paraId="6CE6BE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Марголин выражает сомнение в надежности сварки встык стальных хромомолибденовых труб и считает скорость самолета в 199 км/час на сегодня недостаточной, но поскольку есть решение Правительства о постройке этого самолета – надо его строить.</w:t>
      </w:r>
    </w:p>
    <w:p w14:paraId="6B3449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обмена мнениями начальник УВС Алкснис как общий вывод, заключает следующее:</w:t>
      </w:r>
    </w:p>
    <w:p w14:paraId="4FEADB9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Во исполнение решения Правительства от 2 июля 1934 года № 1561 немедленно оформить заключение договора между ГУАПом и УВС, ответственность со стороны УВС возлагается на Базенкова, со стороны ГУАПа – на Зорина.</w:t>
      </w:r>
    </w:p>
    <w:p w14:paraId="7FF60FE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Принять к сведению заявление Марголина об обеспечении размещения заказа постройки “ТС1” на заводах ГУАПа.</w:t>
      </w:r>
    </w:p>
    <w:p w14:paraId="1DCC328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Уточнить предварительную калькуляцию стоимости постройки самолета и окончательный срок постройки его.</w:t>
      </w:r>
    </w:p>
    <w:p w14:paraId="3DBA84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исполнения 1 февраля 1935 года. Ответственность со стороны УВС – на Можаева, со стороны ГУАПа – на …………..</w:t>
      </w:r>
    </w:p>
    <w:p w14:paraId="376CF80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Перед началом статических испытаний произвести демонстрацию в грузовом отсеке крыла – загрузку и выгрузку объектов согласно программы НИИ ВВС.</w:t>
      </w:r>
    </w:p>
    <w:p w14:paraId="6A74FEC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Перед началом постройки опытного самолета считает обязательным проведение статических испытаний следующих частей указанного самолета: а) одного главного лонжерона; б) полного крыла; в) оперения; г) одной стойки шасси и д) части фюзеляжа.</w:t>
      </w:r>
    </w:p>
    <w:p w14:paraId="255F4CB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Считать ответственным за качество постройки самолета в соответствии с чертежами – ГУАП в лице строющего завода, а за конструкцию – УВС в лице группы конструкторов во главе с Можаевым (4213, 16).</w:t>
      </w:r>
    </w:p>
    <w:p w14:paraId="540F17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декабря 1934 года инженер Можаев писал письмо № 91/с зам. начальника УВВС Ткачеву</w:t>
      </w:r>
    </w:p>
    <w:p w14:paraId="620BD9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Рапорт</w:t>
      </w:r>
    </w:p>
    <w:p w14:paraId="7B9F4B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Прилагая при сем материалы: копию предложения ГУАПа заводам №№ 18 и 135 о продолжении строительства самолета “ТС”, копию письма Калинина о возможности строительства объектов для статиспытаний самолета “ТС”, копию телеграммы посланную мною в ГУАП Коренькову , от последнего ответа не последовало по сей день не мне и не заводу № 135, фото которое отображает часть помещения цеха № 2, свободное у завода № 135, на последнее мы претендуем для строительства фюзеляжа, заднего лонжерона и грузового отсека самолета “ТС”. Все эти объекты идут для статиспытаний.</w:t>
      </w:r>
    </w:p>
    <w:p w14:paraId="291CC7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приложенных материалов явствует, что завод № 135 в лице Куздалина (директор завода) и Вострова (технического директора) отказываются выполнять распоряжение ГУАПа, т. е. вести строительство “ТС” даже разовыми заказами и за наличный расчет, т.е. фактически не выполняют постановление ПРавительства от 2 июня 1934 года за № 1562, которое на них возложено вышеупомянутым постановлением. Завод № 135 мотивирует, что у них нет кадров для опытного строительства и помещений, что УВВС не принимает самолеты “ЗЕТ”, вследствие чего заводу № 135 приходится освободившие помещение ОС-18 (см. прим. план цеха № 2) занимать готовой продукцией и держать ее в консервированном виде по вине ВВС. Слабое оборудование станками механического цеха и полная его загрузка, что несоответствует действительности (см. приложение служебной записки инструментального цеха) таковой не загружен и может принять подделку деталей для “ТС”.</w:t>
      </w:r>
    </w:p>
    <w:p w14:paraId="502110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Как видно из всех приложенных материалов мотивировка завода № 135 не соответствует действительности, а именно:</w:t>
      </w:r>
    </w:p>
    <w:p w14:paraId="1F7DC8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Кадры для строительства “ТС” дает Калинин, которые имеют в этом отношении опыт, т.е. вполне квалифицированные рабочие и имеющие стаж и опыт по опытному строительству;</w:t>
      </w:r>
    </w:p>
    <w:p w14:paraId="377A30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Помещение для постройки фюзеляжа, второго лонжерона и грузового отсека самолета “ТС” вполне достаточно (см. фото и план цеха № 2);</w:t>
      </w:r>
    </w:p>
    <w:p w14:paraId="6598FD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хранение самолетов “ЗЕТ” временное хранение, последние должны быть упакованы в ящики и готовы к отправке после сдаточного испытания или, возможно летом разогнать самолеты по частям – в частях смонтировать пушечную систему, выслав для этой цели людей с завода № 135;</w:t>
      </w:r>
    </w:p>
    <w:p w14:paraId="393D6A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Имеющийся парк станков, как видно не загружен полностью, а возможно имеет или будет иметь простой, что ляжет накладными расходами на самолеты “ЗЕТ”.</w:t>
      </w:r>
    </w:p>
    <w:p w14:paraId="041A39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вышеизложенного явствует, что директор завода Куздалин и техдиректор Востров умышленно ведут работу по строительству “ТС” на срыв, даже для статиспытаний, рассматривая это все со своей “колоколни”, игнорируя распоряжение центра – этим самым ослабляя обороноспособность страны, т.к. отсутствие специальных транспортных самолетов тяжело отзывается в данный момент в авиачастях, как например на Дальнем востоке в военное время это еще более скажется.</w:t>
      </w:r>
    </w:p>
    <w:p w14:paraId="7D1180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Посему прошу срочно принять с Вашей стороны следующие меры:</w:t>
      </w:r>
    </w:p>
    <w:p w14:paraId="2388A91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Вторично прошу дело по постройке “ТС” передать прокурору и по партлинии с привлечением виновных лиц по срыву строительства самолета “ТС”.</w:t>
      </w:r>
    </w:p>
    <w:p w14:paraId="4CCBFAA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Категорически потребовать от ГУАПа приказание заводу № 135 приступить к строительству “ТС”, безоговорочно установить срок на перечисленные в сем рапорте объекты до 1 марта 1935 года.</w:t>
      </w:r>
    </w:p>
    <w:p w14:paraId="485A9E1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Принять кадры заводу № 135 увольняемые заводом ОС-18 и использовать их по строительству “ТС”.</w:t>
      </w:r>
    </w:p>
    <w:p w14:paraId="576FF3F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Обеспечение материалами – строительство “ТС” это возложить на завод № 135.</w:t>
      </w:r>
    </w:p>
    <w:p w14:paraId="7CEFC84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Кадры квалифицированных рабочих, переведенных с завода ОС-18 на завод № 135 подчинить мне для ускорения постройки с полным содержанием на всех видах по заводу № 135.</w:t>
      </w:r>
    </w:p>
    <w:p w14:paraId="15E38C2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Обеспечить всеми видами инструмента и приспособлениями заводу № 135 строительство “ТС”.</w:t>
      </w:r>
    </w:p>
    <w:p w14:paraId="5583D8A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Забронировать помещение отмеченное по плану красным карандашем в цеха М-2 за строительством “ТС”</w:t>
      </w:r>
    </w:p>
    <w:p w14:paraId="3E1C6D5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Приложение: упомянутое</w:t>
      </w:r>
    </w:p>
    <w:p w14:paraId="639C870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Помета:</w:t>
      </w:r>
    </w:p>
    <w:p w14:paraId="06F566F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lastRenderedPageBreak/>
        <w:t>К данному рапорту прикладывается план работ по объектам ТС и объяснение, почему мы настаиваем на строительстве на 135 заводе, т.к. это сокращает сроки и дает экономию в средствах. 25 денкабря 1934 г.  (4213, 26-27).</w:t>
      </w:r>
    </w:p>
    <w:p w14:paraId="0F7B235D"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02086B46" w14:textId="77777777" w:rsidR="0011334B" w:rsidRPr="00E14102" w:rsidRDefault="0011334B" w:rsidP="00E14102">
      <w:pPr>
        <w:jc w:val="both"/>
        <w:rPr>
          <w:color w:val="000000" w:themeColor="text1"/>
          <w:sz w:val="16"/>
          <w:szCs w:val="16"/>
        </w:rPr>
      </w:pPr>
      <w:r w:rsidRPr="00E14102">
        <w:rPr>
          <w:color w:val="000000" w:themeColor="text1"/>
          <w:sz w:val="16"/>
          <w:szCs w:val="16"/>
        </w:rPr>
        <w:t>19 февраля 1935 г. испытания И-14, вооруженный четырьмя пулемётами Ш</w:t>
      </w:r>
      <w:r w:rsidRPr="00E14102">
        <w:rPr>
          <w:color w:val="000000" w:themeColor="text1"/>
          <w:sz w:val="16"/>
          <w:szCs w:val="16"/>
          <w:lang w:val="en-US"/>
        </w:rPr>
        <w:t>KAC</w:t>
      </w:r>
      <w:r w:rsidRPr="00E14102">
        <w:rPr>
          <w:color w:val="000000" w:themeColor="text1"/>
          <w:sz w:val="16"/>
          <w:szCs w:val="16"/>
        </w:rPr>
        <w:t>, завершились В Заключении по испытаниям отмечалось: «1. Предъявленные ЦАГИ стрелковые установки под пулемёты Ш</w:t>
      </w:r>
      <w:r w:rsidRPr="00E14102">
        <w:rPr>
          <w:color w:val="000000" w:themeColor="text1"/>
          <w:sz w:val="16"/>
          <w:szCs w:val="16"/>
          <w:lang w:val="en-US"/>
        </w:rPr>
        <w:t>KAC</w:t>
      </w:r>
      <w:r w:rsidRPr="00E14102">
        <w:rPr>
          <w:color w:val="000000" w:themeColor="text1"/>
          <w:sz w:val="16"/>
          <w:szCs w:val="16"/>
        </w:rPr>
        <w:t xml:space="preserve"> синхронный и крыльевой, на... И-14 — поли</w:t>
      </w:r>
      <w:r w:rsidRPr="00E14102">
        <w:rPr>
          <w:color w:val="000000" w:themeColor="text1"/>
          <w:sz w:val="16"/>
          <w:szCs w:val="16"/>
        </w:rPr>
        <w:softHyphen/>
        <w:t>гонные испытания выдержали и могут быть рекомендованы к принятию на вооружение ВС РККА с обязательным устранением дефектов, перечисленных в выводах Отчета...» (15823).</w:t>
      </w:r>
    </w:p>
    <w:p w14:paraId="180810A8" w14:textId="77777777" w:rsidR="0011334B" w:rsidRPr="00E14102" w:rsidRDefault="0011334B" w:rsidP="00E14102">
      <w:pPr>
        <w:jc w:val="both"/>
        <w:rPr>
          <w:color w:val="000000" w:themeColor="text1"/>
          <w:sz w:val="16"/>
          <w:szCs w:val="16"/>
        </w:rPr>
      </w:pPr>
    </w:p>
    <w:p w14:paraId="0873C7AA" w14:textId="77777777" w:rsidR="0011334B" w:rsidRPr="00E14102" w:rsidRDefault="0011334B" w:rsidP="00E14102">
      <w:pPr>
        <w:pStyle w:val="rtejustify"/>
        <w:spacing w:before="0" w:after="0"/>
        <w:rPr>
          <w:color w:val="000000" w:themeColor="text1"/>
          <w:sz w:val="16"/>
          <w:szCs w:val="16"/>
        </w:rPr>
      </w:pPr>
      <w:r w:rsidRPr="00E14102">
        <w:rPr>
          <w:rStyle w:val="a6"/>
          <w:bCs/>
          <w:i w:val="0"/>
          <w:color w:val="000000" w:themeColor="text1"/>
          <w:sz w:val="16"/>
          <w:szCs w:val="16"/>
        </w:rPr>
        <w:t>19 февраля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12сс «О строительстве самолета “ДАР”» (ГА РФ. Ф. Р</w:t>
      </w:r>
      <w:r w:rsidRPr="00E14102">
        <w:rPr>
          <w:color w:val="000000" w:themeColor="text1"/>
          <w:sz w:val="16"/>
          <w:szCs w:val="16"/>
        </w:rPr>
        <w:noBreakHyphen/>
        <w:t>8418. Оп. 28. Д. 6. Л. 32) (15460).</w:t>
      </w:r>
    </w:p>
    <w:p w14:paraId="5CBF8BF0" w14:textId="77777777" w:rsidR="0011334B" w:rsidRPr="00E14102" w:rsidRDefault="0011334B" w:rsidP="00E14102">
      <w:pPr>
        <w:pStyle w:val="rtejustify"/>
        <w:spacing w:before="0" w:after="0"/>
        <w:rPr>
          <w:color w:val="000000" w:themeColor="text1"/>
          <w:sz w:val="16"/>
          <w:szCs w:val="16"/>
        </w:rPr>
      </w:pPr>
    </w:p>
    <w:p w14:paraId="3B6865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февраля 1935 вышло постановление СТО N 12 "О строительстве самолета ДАР".</w:t>
      </w:r>
    </w:p>
    <w:p w14:paraId="2F0909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Обязать ГУАП закончить сборку самолета ДАР на заводе Марти к 1 июня 1935.</w:t>
      </w:r>
    </w:p>
    <w:p w14:paraId="08B3DA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заводу Марти заводские испытания окончить к 1 июля 1935 и 15 июля представить на гос. испытания в НИИ ВВС." Чубарь (2398,9).</w:t>
      </w:r>
    </w:p>
    <w:p w14:paraId="76C2DDBA" w14:textId="77777777" w:rsidR="00D4105E" w:rsidRPr="00E14102" w:rsidRDefault="00D4105E" w:rsidP="00E14102">
      <w:pPr>
        <w:autoSpaceDE w:val="0"/>
        <w:autoSpaceDN w:val="0"/>
        <w:adjustRightInd w:val="0"/>
        <w:jc w:val="both"/>
        <w:rPr>
          <w:color w:val="000000" w:themeColor="text1"/>
          <w:sz w:val="16"/>
          <w:szCs w:val="16"/>
        </w:rPr>
      </w:pPr>
    </w:p>
    <w:p w14:paraId="2CC110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февраля 1935 года постановление № С-12сс СТО</w:t>
      </w:r>
    </w:p>
    <w:p w14:paraId="05B3EE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строительстве самолета ДАР</w:t>
      </w:r>
    </w:p>
    <w:p w14:paraId="62DD14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567A80E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Главморпром (Муклевич) закончить сборку самолета ДАР на заводе Марти (Сушунов) к 1 июня 1935 года.</w:t>
      </w:r>
    </w:p>
    <w:p w14:paraId="34AF0B3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Заводу Марти заводские испытания закончить к 1 июля 1935 года и 15 июля представить на госиспытания в НИИ ВВС.</w:t>
      </w:r>
    </w:p>
    <w:p w14:paraId="3A4DD7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……………………………..(7516, 7).</w:t>
      </w:r>
    </w:p>
    <w:p w14:paraId="574E755F" w14:textId="77777777" w:rsidR="00D4105E" w:rsidRPr="00E14102" w:rsidRDefault="00D4105E" w:rsidP="00E14102">
      <w:pPr>
        <w:autoSpaceDE w:val="0"/>
        <w:autoSpaceDN w:val="0"/>
        <w:adjustRightInd w:val="0"/>
        <w:jc w:val="both"/>
        <w:rPr>
          <w:color w:val="000000" w:themeColor="text1"/>
          <w:sz w:val="16"/>
          <w:szCs w:val="16"/>
        </w:rPr>
      </w:pPr>
    </w:p>
    <w:p w14:paraId="77F992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февраля 1935 состоялся первый полет второго экз. автожира А-8 (391,70).</w:t>
      </w:r>
    </w:p>
    <w:p w14:paraId="3C6CB229" w14:textId="77777777" w:rsidR="00D4105E" w:rsidRPr="00E14102" w:rsidRDefault="00D4105E" w:rsidP="00E14102">
      <w:pPr>
        <w:autoSpaceDE w:val="0"/>
        <w:autoSpaceDN w:val="0"/>
        <w:adjustRightInd w:val="0"/>
        <w:jc w:val="both"/>
        <w:rPr>
          <w:color w:val="000000" w:themeColor="text1"/>
          <w:sz w:val="16"/>
          <w:szCs w:val="16"/>
        </w:rPr>
      </w:pPr>
    </w:p>
    <w:p w14:paraId="30FBB4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февраля 1935 года в НИИ ВВС начались заводские испытания планера Г-31 экспериментального института (Гроховского). 22 февраля 1935 года в НИИ ВВС был сделан пробный взлет с планером Г-31 экспериментального института Гроховского. Из-за плохой управляемости, планер был отцеплен и посадка произведена в 2-х км от аэродрома. Планер требует капитального ремонта, т.к. у него лопнул лонжерон (7779, 2-4).</w:t>
      </w:r>
    </w:p>
    <w:p w14:paraId="4339F250" w14:textId="77777777" w:rsidR="00D4105E" w:rsidRPr="00E14102" w:rsidRDefault="00D4105E" w:rsidP="00E14102">
      <w:pPr>
        <w:autoSpaceDE w:val="0"/>
        <w:autoSpaceDN w:val="0"/>
        <w:adjustRightInd w:val="0"/>
        <w:jc w:val="both"/>
        <w:rPr>
          <w:color w:val="000000" w:themeColor="text1"/>
          <w:sz w:val="16"/>
          <w:szCs w:val="16"/>
        </w:rPr>
      </w:pPr>
    </w:p>
    <w:p w14:paraId="2111B3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февраля 1935 года ст. военпред на заводе N 1 писал письмо N ВП/0057 нач. IV отдела УВС Базенкову.</w:t>
      </w:r>
    </w:p>
    <w:p w14:paraId="3F2E06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Цифровые данные за 1934 год по выполнению производственного плана по договору с УВС на заводе N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E3599D" w:rsidRPr="00E14102" w14:paraId="7735D3DF" w14:textId="77777777">
        <w:tc>
          <w:tcPr>
            <w:tcW w:w="2254" w:type="dxa"/>
            <w:tcBorders>
              <w:top w:val="single" w:sz="12" w:space="0" w:color="auto"/>
            </w:tcBorders>
          </w:tcPr>
          <w:p w14:paraId="63AC94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w:t>
            </w:r>
          </w:p>
        </w:tc>
        <w:tc>
          <w:tcPr>
            <w:tcW w:w="2254" w:type="dxa"/>
            <w:tcBorders>
              <w:top w:val="single" w:sz="12" w:space="0" w:color="auto"/>
            </w:tcBorders>
          </w:tcPr>
          <w:p w14:paraId="6EC0F4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Предполог.</w:t>
            </w:r>
          </w:p>
        </w:tc>
        <w:tc>
          <w:tcPr>
            <w:tcW w:w="2254" w:type="dxa"/>
            <w:tcBorders>
              <w:top w:val="single" w:sz="12" w:space="0" w:color="auto"/>
            </w:tcBorders>
          </w:tcPr>
          <w:p w14:paraId="7B7D5A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Принято</w:t>
            </w:r>
          </w:p>
        </w:tc>
        <w:tc>
          <w:tcPr>
            <w:tcW w:w="2254" w:type="dxa"/>
            <w:tcBorders>
              <w:top w:val="single" w:sz="12" w:space="0" w:color="auto"/>
            </w:tcBorders>
          </w:tcPr>
          <w:p w14:paraId="12F5B5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выполнен.</w:t>
            </w:r>
          </w:p>
        </w:tc>
      </w:tr>
      <w:tr w:rsidR="00E3599D" w:rsidRPr="00E14102" w14:paraId="4BCEA7AB" w14:textId="77777777">
        <w:tc>
          <w:tcPr>
            <w:tcW w:w="2254" w:type="dxa"/>
          </w:tcPr>
          <w:p w14:paraId="670E0A7F"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20B586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договору</w:t>
            </w:r>
          </w:p>
        </w:tc>
        <w:tc>
          <w:tcPr>
            <w:tcW w:w="2254" w:type="dxa"/>
          </w:tcPr>
          <w:p w14:paraId="6F07DA51"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1B4F49C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661DF78" w14:textId="77777777">
        <w:tc>
          <w:tcPr>
            <w:tcW w:w="2254" w:type="dxa"/>
          </w:tcPr>
          <w:p w14:paraId="52032A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 разведчик</w:t>
            </w:r>
          </w:p>
        </w:tc>
        <w:tc>
          <w:tcPr>
            <w:tcW w:w="2254" w:type="dxa"/>
          </w:tcPr>
          <w:p w14:paraId="5E7F99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1150</w:t>
            </w:r>
          </w:p>
        </w:tc>
        <w:tc>
          <w:tcPr>
            <w:tcW w:w="2254" w:type="dxa"/>
          </w:tcPr>
          <w:p w14:paraId="603462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961</w:t>
            </w:r>
          </w:p>
        </w:tc>
        <w:tc>
          <w:tcPr>
            <w:tcW w:w="2254" w:type="dxa"/>
          </w:tcPr>
          <w:p w14:paraId="54A203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83,5</w:t>
            </w:r>
          </w:p>
        </w:tc>
      </w:tr>
      <w:tr w:rsidR="00E3599D" w:rsidRPr="00E14102" w14:paraId="6658BF7F" w14:textId="77777777">
        <w:tc>
          <w:tcPr>
            <w:tcW w:w="2254" w:type="dxa"/>
          </w:tcPr>
          <w:p w14:paraId="53C6E8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 штурмовик</w:t>
            </w:r>
          </w:p>
        </w:tc>
        <w:tc>
          <w:tcPr>
            <w:tcW w:w="2254" w:type="dxa"/>
          </w:tcPr>
          <w:p w14:paraId="10E24F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w:t>
            </w:r>
          </w:p>
        </w:tc>
        <w:tc>
          <w:tcPr>
            <w:tcW w:w="2254" w:type="dxa"/>
          </w:tcPr>
          <w:p w14:paraId="55126E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246</w:t>
            </w:r>
          </w:p>
        </w:tc>
        <w:tc>
          <w:tcPr>
            <w:tcW w:w="2254" w:type="dxa"/>
          </w:tcPr>
          <w:p w14:paraId="3F381A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98,4</w:t>
            </w:r>
          </w:p>
        </w:tc>
      </w:tr>
      <w:tr w:rsidR="00E3599D" w:rsidRPr="00E14102" w14:paraId="3CE70D5B" w14:textId="77777777">
        <w:tc>
          <w:tcPr>
            <w:tcW w:w="2254" w:type="dxa"/>
          </w:tcPr>
          <w:p w14:paraId="75B757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 морские</w:t>
            </w:r>
          </w:p>
        </w:tc>
        <w:tc>
          <w:tcPr>
            <w:tcW w:w="2254" w:type="dxa"/>
          </w:tcPr>
          <w:p w14:paraId="15987D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2254" w:type="dxa"/>
          </w:tcPr>
          <w:p w14:paraId="1602CA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47</w:t>
            </w:r>
          </w:p>
        </w:tc>
        <w:tc>
          <w:tcPr>
            <w:tcW w:w="2254" w:type="dxa"/>
          </w:tcPr>
          <w:p w14:paraId="0425E5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94</w:t>
            </w:r>
          </w:p>
        </w:tc>
      </w:tr>
      <w:tr w:rsidR="00E3599D" w:rsidRPr="00E14102" w14:paraId="2A803732" w14:textId="77777777">
        <w:tc>
          <w:tcPr>
            <w:tcW w:w="2254" w:type="dxa"/>
          </w:tcPr>
          <w:p w14:paraId="06F83A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w:t>
            </w:r>
          </w:p>
        </w:tc>
        <w:tc>
          <w:tcPr>
            <w:tcW w:w="2254" w:type="dxa"/>
          </w:tcPr>
          <w:p w14:paraId="7BF921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w:t>
            </w:r>
          </w:p>
        </w:tc>
        <w:tc>
          <w:tcPr>
            <w:tcW w:w="2254" w:type="dxa"/>
          </w:tcPr>
          <w:p w14:paraId="1F8963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w:t>
            </w:r>
          </w:p>
        </w:tc>
        <w:tc>
          <w:tcPr>
            <w:tcW w:w="2254" w:type="dxa"/>
          </w:tcPr>
          <w:p w14:paraId="74ACF6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42,8</w:t>
            </w:r>
          </w:p>
        </w:tc>
      </w:tr>
      <w:tr w:rsidR="00E3599D" w:rsidRPr="00E14102" w14:paraId="587B6892" w14:textId="77777777">
        <w:tc>
          <w:tcPr>
            <w:tcW w:w="2254" w:type="dxa"/>
          </w:tcPr>
          <w:p w14:paraId="13D245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"Триэс"</w:t>
            </w:r>
          </w:p>
        </w:tc>
        <w:tc>
          <w:tcPr>
            <w:tcW w:w="2254" w:type="dxa"/>
          </w:tcPr>
          <w:p w14:paraId="04CD35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4F95A8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2254" w:type="dxa"/>
          </w:tcPr>
          <w:p w14:paraId="3B7D7E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особому</w:t>
            </w:r>
          </w:p>
        </w:tc>
      </w:tr>
      <w:tr w:rsidR="00E3599D" w:rsidRPr="00E14102" w14:paraId="20C7E092" w14:textId="77777777">
        <w:tc>
          <w:tcPr>
            <w:tcW w:w="2254" w:type="dxa"/>
          </w:tcPr>
          <w:p w14:paraId="11678966"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4C0ED829"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70876905"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15D4D3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договору</w:t>
            </w:r>
          </w:p>
        </w:tc>
      </w:tr>
      <w:tr w:rsidR="00E3599D" w:rsidRPr="00E14102" w14:paraId="7CE294CE" w14:textId="77777777">
        <w:tc>
          <w:tcPr>
            <w:tcW w:w="2254" w:type="dxa"/>
            <w:tcBorders>
              <w:bottom w:val="single" w:sz="12" w:space="0" w:color="auto"/>
            </w:tcBorders>
          </w:tcPr>
          <w:p w14:paraId="2EFEF8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И-7</w:t>
            </w:r>
          </w:p>
        </w:tc>
        <w:tc>
          <w:tcPr>
            <w:tcW w:w="2254" w:type="dxa"/>
            <w:tcBorders>
              <w:bottom w:val="single" w:sz="12" w:space="0" w:color="auto"/>
            </w:tcBorders>
          </w:tcPr>
          <w:p w14:paraId="067E57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Borders>
              <w:bottom w:val="single" w:sz="12" w:space="0" w:color="auto"/>
            </w:tcBorders>
          </w:tcPr>
          <w:p w14:paraId="37F16D60"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Borders>
              <w:bottom w:val="single" w:sz="12" w:space="0" w:color="auto"/>
            </w:tcBorders>
          </w:tcPr>
          <w:p w14:paraId="43FDDB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64</w:t>
            </w:r>
          </w:p>
        </w:tc>
      </w:tr>
    </w:tbl>
    <w:p w14:paraId="1B738B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(3072,77-80).</w:t>
      </w:r>
    </w:p>
    <w:p w14:paraId="3AC77079" w14:textId="77777777" w:rsidR="00D4105E" w:rsidRPr="00E14102" w:rsidRDefault="00D4105E" w:rsidP="00E14102">
      <w:pPr>
        <w:autoSpaceDE w:val="0"/>
        <w:autoSpaceDN w:val="0"/>
        <w:adjustRightInd w:val="0"/>
        <w:jc w:val="both"/>
        <w:rPr>
          <w:color w:val="000000" w:themeColor="text1"/>
          <w:sz w:val="16"/>
          <w:szCs w:val="16"/>
        </w:rPr>
      </w:pPr>
    </w:p>
    <w:p w14:paraId="103297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 19 февраля по 3 марта 1935 года прошли полигонные испытания стрелковой установки, как эталона с крыльевыми пулеметами системы "ШКАС" на серийный самолет И-16 N 2 и N 9 (3071).</w:t>
      </w:r>
    </w:p>
    <w:p w14:paraId="7FEA85D3" w14:textId="77777777" w:rsidR="00D4105E" w:rsidRPr="00E14102" w:rsidRDefault="00D4105E" w:rsidP="00E14102">
      <w:pPr>
        <w:autoSpaceDE w:val="0"/>
        <w:autoSpaceDN w:val="0"/>
        <w:adjustRightInd w:val="0"/>
        <w:jc w:val="both"/>
        <w:rPr>
          <w:color w:val="000000" w:themeColor="text1"/>
          <w:sz w:val="16"/>
          <w:szCs w:val="16"/>
        </w:rPr>
      </w:pPr>
    </w:p>
    <w:p w14:paraId="631CF3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февраля 1935 года Галактионов писал письмо № 302/ко в НКО Тухачевскому</w:t>
      </w:r>
    </w:p>
    <w:p w14:paraId="68BD0F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Протоколом КО № 1 от 13 января 1935 года под Вашим председательством создана комиссия для разработки проектов постановлений:</w:t>
      </w:r>
    </w:p>
    <w:p w14:paraId="381366F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 мероприятиях для форсирования работ по системам Курчевского и обеспечения программы 1935 года.</w:t>
      </w:r>
    </w:p>
    <w:p w14:paraId="5B62D10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 изготовлении морских и сухопутных 305 мм пушек Курчеевского.</w:t>
      </w:r>
    </w:p>
    <w:p w14:paraId="78F8C5B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 приемке УВВС 30 самолетов “ЗЕТ”.</w:t>
      </w:r>
    </w:p>
    <w:p w14:paraId="7AC5D9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указанию Молотова прошу срочно представить указанные проекты постановлений (2426,50).</w:t>
      </w:r>
    </w:p>
    <w:p w14:paraId="133E3267" w14:textId="675310B5" w:rsidR="00D4105E" w:rsidRPr="00E14102" w:rsidRDefault="00D4105E" w:rsidP="00E14102">
      <w:pPr>
        <w:autoSpaceDE w:val="0"/>
        <w:autoSpaceDN w:val="0"/>
        <w:adjustRightInd w:val="0"/>
        <w:jc w:val="both"/>
        <w:rPr>
          <w:color w:val="000000" w:themeColor="text1"/>
          <w:sz w:val="16"/>
          <w:szCs w:val="16"/>
        </w:rPr>
      </w:pPr>
    </w:p>
    <w:p w14:paraId="78B4E4CA" w14:textId="43093991" w:rsidR="00FC1960" w:rsidRPr="00E14102" w:rsidRDefault="00FC1960" w:rsidP="00E14102">
      <w:pPr>
        <w:autoSpaceDE w:val="0"/>
        <w:autoSpaceDN w:val="0"/>
        <w:adjustRightInd w:val="0"/>
        <w:jc w:val="both"/>
        <w:rPr>
          <w:i/>
          <w:iCs/>
          <w:color w:val="000000" w:themeColor="text1"/>
          <w:sz w:val="16"/>
          <w:szCs w:val="16"/>
        </w:rPr>
      </w:pPr>
      <w:r w:rsidRPr="00E14102">
        <w:rPr>
          <w:i/>
          <w:iCs/>
          <w:color w:val="000000" w:themeColor="text1"/>
          <w:sz w:val="16"/>
          <w:szCs w:val="16"/>
        </w:rPr>
        <w:t>Армия:</w:t>
      </w:r>
    </w:p>
    <w:p w14:paraId="52DC339A" w14:textId="77777777" w:rsidR="00FC1960" w:rsidRPr="00E14102" w:rsidRDefault="00FC1960" w:rsidP="00E14102">
      <w:pPr>
        <w:autoSpaceDE w:val="0"/>
        <w:autoSpaceDN w:val="0"/>
        <w:adjustRightInd w:val="0"/>
        <w:jc w:val="both"/>
        <w:rPr>
          <w:i/>
          <w:iCs/>
          <w:color w:val="000000" w:themeColor="text1"/>
          <w:sz w:val="16"/>
          <w:szCs w:val="16"/>
        </w:rPr>
      </w:pPr>
    </w:p>
    <w:p w14:paraId="7013070D" w14:textId="77777777" w:rsidR="00FC1960" w:rsidRPr="00E14102" w:rsidRDefault="00FC1960" w:rsidP="00E14102">
      <w:pPr>
        <w:shd w:val="clear" w:color="auto" w:fill="FFFFFF"/>
        <w:jc w:val="both"/>
        <w:rPr>
          <w:color w:val="0070C0"/>
          <w:sz w:val="16"/>
          <w:szCs w:val="16"/>
        </w:rPr>
      </w:pPr>
      <w:r w:rsidRPr="00E14102">
        <w:rPr>
          <w:color w:val="0070C0"/>
          <w:sz w:val="16"/>
          <w:szCs w:val="16"/>
        </w:rPr>
        <w:t>19 февраля 1935 командующий войсками БВО Уборевич выступил с предложением "О новом плане войны на Западе" (Записка Уборевича датирована 19 февраля 1935 г., что создаст впечатление, будто Тухачевский лишь поддержал инициативу комвойсками БВО. Возможно, речь шла о намеренном распределении ролей (как это было с предложениями Тухачевского и Триандафиллова в 1931 г.), которое, впрочем, вряд ли могло ввести в заблуждение высших военных руководителей. Позднее начальник УВВС РККА свидетельствовал: "Если Тухачевский что-нибудь сказал, то из Белоруссии и с Украины сразу выдвигают те же самые мероприятия, и попытайся тогда противодействовать - ничего не выйдет, по шее получишь" (выступление Алксниса 3 июня 1937 г. на совещании Военного совета НКО СССР с командирами и политработниками 1-4 июня 1937 г. (неправленая стенограмма) // РГА СПИ. Ф. 17. Оп. 1б5. Д 60. Л. 2).). Он также указывал на изменение стратегического ландшафта и утверждал, что основная опасность для СССР исходит со стороны Польши и Германии, которых поддержит Финляндия. В то время как последняя создаст угрозу Ленинграду, 25-30 польско-немецких дивизий могут быть двинуты через Литву и Латвию. Уборевич добавлял, что удар СССР может быть нанесен также Великобританией, Эстонией и Латвией. Вторым основным фактором, согласно Уборевичу, являлись "гигантские производственные возможности" германского хозяйства, успехи в механизации рейхсвера и химическом перевооружении. Залогом успеха поэтому становился разгром Польши, прежде чем Германия успеет полностью отмобилизоваться и реализовать преимущества своего военно-экономического потенциала. Превосходство СССР над Германией и Польшей в танках, кавалерии и авиации позволило бы РККА нанести удары в глубь польской территории уже "в первые дни войны" и уничтожить вооруженные силы Полыни еще до их сосредоточения. Для этого необходимо расширить военную инфраструктуру в приграничных областях, увеличить численность механизированных и авиационных соединений, обеспечив, в частности, двойной или тройной перенес Советских ВВС над авиацией обоих противников. Следует предусмотреть мобилизацию основных сил Красной Армии с таким расчетом, чтобы она могла быть завершена на 15-16-й день после ее объявления (</w:t>
      </w:r>
      <w:r w:rsidRPr="00E14102">
        <w:rPr>
          <w:color w:val="0070C0"/>
          <w:sz w:val="16"/>
          <w:szCs w:val="16"/>
          <w:lang w:val="en-US"/>
        </w:rPr>
        <w:t>ROBERTS</w:t>
      </w:r>
      <w:r w:rsidRPr="00E14102">
        <w:rPr>
          <w:color w:val="0070C0"/>
          <w:sz w:val="16"/>
          <w:szCs w:val="16"/>
        </w:rPr>
        <w:t xml:space="preserve"> С. </w:t>
      </w:r>
      <w:r w:rsidRPr="00E14102">
        <w:rPr>
          <w:color w:val="0070C0"/>
          <w:sz w:val="16"/>
          <w:szCs w:val="16"/>
          <w:lang w:val="en-US"/>
        </w:rPr>
        <w:t>A</w:t>
      </w:r>
      <w:r w:rsidRPr="00E14102">
        <w:rPr>
          <w:color w:val="0070C0"/>
          <w:sz w:val="16"/>
          <w:szCs w:val="16"/>
        </w:rPr>
        <w:t xml:space="preserve"> </w:t>
      </w:r>
      <w:r w:rsidRPr="00E14102">
        <w:rPr>
          <w:color w:val="0070C0"/>
          <w:sz w:val="16"/>
          <w:szCs w:val="16"/>
          <w:lang w:val="en-US"/>
        </w:rPr>
        <w:t>Planning</w:t>
      </w:r>
      <w:r w:rsidRPr="00E14102">
        <w:rPr>
          <w:color w:val="0070C0"/>
          <w:sz w:val="16"/>
          <w:szCs w:val="16"/>
        </w:rPr>
        <w:t xml:space="preserve"> </w:t>
      </w:r>
      <w:r w:rsidRPr="00E14102">
        <w:rPr>
          <w:color w:val="0070C0"/>
          <w:sz w:val="16"/>
          <w:szCs w:val="16"/>
          <w:lang w:val="en-US"/>
        </w:rPr>
        <w:t>for</w:t>
      </w:r>
      <w:r w:rsidRPr="00E14102">
        <w:rPr>
          <w:color w:val="0070C0"/>
          <w:sz w:val="16"/>
          <w:szCs w:val="16"/>
        </w:rPr>
        <w:t xml:space="preserve"> </w:t>
      </w:r>
      <w:r w:rsidRPr="00E14102">
        <w:rPr>
          <w:color w:val="0070C0"/>
          <w:sz w:val="16"/>
          <w:szCs w:val="16"/>
          <w:lang w:val="en-US"/>
        </w:rPr>
        <w:t>war</w:t>
      </w:r>
      <w:r w:rsidRPr="00E14102">
        <w:rPr>
          <w:color w:val="0070C0"/>
          <w:sz w:val="16"/>
          <w:szCs w:val="16"/>
        </w:rPr>
        <w:t xml:space="preserve">: </w:t>
      </w:r>
      <w:r w:rsidRPr="00E14102">
        <w:rPr>
          <w:color w:val="0070C0"/>
          <w:sz w:val="16"/>
          <w:szCs w:val="16"/>
          <w:lang w:val="en-US"/>
        </w:rPr>
        <w:t>The</w:t>
      </w:r>
      <w:r w:rsidRPr="00E14102">
        <w:rPr>
          <w:color w:val="0070C0"/>
          <w:sz w:val="16"/>
          <w:szCs w:val="16"/>
        </w:rPr>
        <w:t xml:space="preserve"> </w:t>
      </w:r>
      <w:r w:rsidRPr="00E14102">
        <w:rPr>
          <w:color w:val="0070C0"/>
          <w:sz w:val="16"/>
          <w:szCs w:val="16"/>
          <w:lang w:val="en-US"/>
        </w:rPr>
        <w:t>Red</w:t>
      </w:r>
      <w:r w:rsidRPr="00E14102">
        <w:rPr>
          <w:color w:val="0070C0"/>
          <w:sz w:val="16"/>
          <w:szCs w:val="16"/>
        </w:rPr>
        <w:t xml:space="preserve"> </w:t>
      </w:r>
      <w:r w:rsidRPr="00E14102">
        <w:rPr>
          <w:color w:val="0070C0"/>
          <w:sz w:val="16"/>
          <w:szCs w:val="16"/>
          <w:lang w:val="en-US"/>
        </w:rPr>
        <w:t>Army</w:t>
      </w:r>
      <w:r w:rsidRPr="00E14102">
        <w:rPr>
          <w:color w:val="0070C0"/>
          <w:sz w:val="16"/>
          <w:szCs w:val="16"/>
        </w:rPr>
        <w:t xml:space="preserve"> </w:t>
      </w:r>
      <w:r w:rsidRPr="00E14102">
        <w:rPr>
          <w:color w:val="0070C0"/>
          <w:sz w:val="16"/>
          <w:szCs w:val="16"/>
          <w:lang w:val="en-US"/>
        </w:rPr>
        <w:t>and</w:t>
      </w:r>
      <w:r w:rsidRPr="00E14102">
        <w:rPr>
          <w:color w:val="0070C0"/>
          <w:sz w:val="16"/>
          <w:szCs w:val="16"/>
        </w:rPr>
        <w:t xml:space="preserve"> </w:t>
      </w:r>
      <w:r w:rsidRPr="00E14102">
        <w:rPr>
          <w:color w:val="0070C0"/>
          <w:sz w:val="16"/>
          <w:szCs w:val="16"/>
          <w:lang w:val="en-US"/>
        </w:rPr>
        <w:t>the</w:t>
      </w:r>
      <w:r w:rsidRPr="00E14102">
        <w:rPr>
          <w:color w:val="0070C0"/>
          <w:sz w:val="16"/>
          <w:szCs w:val="16"/>
        </w:rPr>
        <w:t xml:space="preserve"> </w:t>
      </w:r>
      <w:r w:rsidRPr="00E14102">
        <w:rPr>
          <w:color w:val="0070C0"/>
          <w:sz w:val="16"/>
          <w:szCs w:val="16"/>
          <w:lang w:val="en-US"/>
        </w:rPr>
        <w:t>catastrophe</w:t>
      </w:r>
      <w:r w:rsidRPr="00E14102">
        <w:rPr>
          <w:color w:val="0070C0"/>
          <w:sz w:val="16"/>
          <w:szCs w:val="16"/>
        </w:rPr>
        <w:t xml:space="preserve"> </w:t>
      </w:r>
      <w:r w:rsidRPr="00E14102">
        <w:rPr>
          <w:color w:val="0070C0"/>
          <w:sz w:val="16"/>
          <w:szCs w:val="16"/>
          <w:lang w:val="en-US"/>
        </w:rPr>
        <w:t>of</w:t>
      </w:r>
      <w:r w:rsidRPr="00E14102">
        <w:rPr>
          <w:color w:val="0070C0"/>
          <w:sz w:val="16"/>
          <w:szCs w:val="16"/>
        </w:rPr>
        <w:t xml:space="preserve"> 1941 // </w:t>
      </w:r>
      <w:r w:rsidRPr="00E14102">
        <w:rPr>
          <w:color w:val="0070C0"/>
          <w:sz w:val="16"/>
          <w:szCs w:val="16"/>
          <w:lang w:val="en-US"/>
        </w:rPr>
        <w:t>Europe</w:t>
      </w:r>
      <w:r w:rsidRPr="00E14102">
        <w:rPr>
          <w:color w:val="0070C0"/>
          <w:sz w:val="16"/>
          <w:szCs w:val="16"/>
        </w:rPr>
        <w:t>-</w:t>
      </w:r>
      <w:r w:rsidRPr="00E14102">
        <w:rPr>
          <w:color w:val="0070C0"/>
          <w:sz w:val="16"/>
          <w:szCs w:val="16"/>
          <w:lang w:val="en-US"/>
        </w:rPr>
        <w:t>Asia</w:t>
      </w:r>
      <w:r w:rsidRPr="00E14102">
        <w:rPr>
          <w:color w:val="0070C0"/>
          <w:sz w:val="16"/>
          <w:szCs w:val="16"/>
        </w:rPr>
        <w:t xml:space="preserve"> </w:t>
      </w:r>
      <w:r w:rsidRPr="00E14102">
        <w:rPr>
          <w:color w:val="0070C0"/>
          <w:sz w:val="16"/>
          <w:szCs w:val="16"/>
          <w:lang w:val="en-US"/>
        </w:rPr>
        <w:t>Studies</w:t>
      </w:r>
      <w:r w:rsidRPr="00E14102">
        <w:rPr>
          <w:color w:val="0070C0"/>
          <w:sz w:val="16"/>
          <w:szCs w:val="16"/>
        </w:rPr>
        <w:t xml:space="preserve">. 1995. </w:t>
      </w:r>
      <w:r w:rsidRPr="00E14102">
        <w:rPr>
          <w:color w:val="0070C0"/>
          <w:sz w:val="16"/>
          <w:szCs w:val="16"/>
          <w:lang w:val="en-US"/>
        </w:rPr>
        <w:t>Vol</w:t>
      </w:r>
      <w:r w:rsidRPr="00E14102">
        <w:rPr>
          <w:color w:val="0070C0"/>
          <w:sz w:val="16"/>
          <w:szCs w:val="16"/>
        </w:rPr>
        <w:t xml:space="preserve">. 47. № 8. </w:t>
      </w:r>
      <w:r w:rsidRPr="00E14102">
        <w:rPr>
          <w:color w:val="0070C0"/>
          <w:sz w:val="16"/>
          <w:szCs w:val="16"/>
          <w:lang w:val="en-US"/>
        </w:rPr>
        <w:t>P</w:t>
      </w:r>
      <w:r w:rsidRPr="00E14102">
        <w:rPr>
          <w:color w:val="0070C0"/>
          <w:sz w:val="16"/>
          <w:szCs w:val="16"/>
        </w:rPr>
        <w:t xml:space="preserve">. 1304-1305; </w:t>
      </w:r>
      <w:r w:rsidRPr="00E14102">
        <w:rPr>
          <w:color w:val="0070C0"/>
          <w:sz w:val="16"/>
          <w:szCs w:val="16"/>
          <w:lang w:val="en-US"/>
        </w:rPr>
        <w:t>SAMUELSON</w:t>
      </w:r>
      <w:r w:rsidRPr="00E14102">
        <w:rPr>
          <w:color w:val="0070C0"/>
          <w:sz w:val="16"/>
          <w:szCs w:val="16"/>
        </w:rPr>
        <w:t xml:space="preserve"> </w:t>
      </w:r>
      <w:r w:rsidRPr="00E14102">
        <w:rPr>
          <w:color w:val="0070C0"/>
          <w:sz w:val="16"/>
          <w:szCs w:val="16"/>
          <w:lang w:val="en-US"/>
        </w:rPr>
        <w:t>L</w:t>
      </w:r>
      <w:r w:rsidRPr="00E14102">
        <w:rPr>
          <w:color w:val="0070C0"/>
          <w:sz w:val="16"/>
          <w:szCs w:val="16"/>
        </w:rPr>
        <w:t xml:space="preserve"> </w:t>
      </w:r>
      <w:r w:rsidRPr="00E14102">
        <w:rPr>
          <w:color w:val="0070C0"/>
          <w:sz w:val="16"/>
          <w:szCs w:val="16"/>
          <w:lang w:val="en-US"/>
        </w:rPr>
        <w:t>Op</w:t>
      </w:r>
      <w:r w:rsidRPr="00E14102">
        <w:rPr>
          <w:color w:val="0070C0"/>
          <w:sz w:val="16"/>
          <w:szCs w:val="16"/>
        </w:rPr>
        <w:t xml:space="preserve">. </w:t>
      </w:r>
      <w:r w:rsidRPr="00E14102">
        <w:rPr>
          <w:color w:val="0070C0"/>
          <w:sz w:val="16"/>
          <w:szCs w:val="16"/>
          <w:lang w:val="en-US"/>
        </w:rPr>
        <w:t>cit</w:t>
      </w:r>
      <w:r w:rsidRPr="00E14102">
        <w:rPr>
          <w:color w:val="0070C0"/>
          <w:sz w:val="16"/>
          <w:szCs w:val="16"/>
        </w:rPr>
        <w:t xml:space="preserve">. </w:t>
      </w:r>
      <w:r w:rsidRPr="00E14102">
        <w:rPr>
          <w:color w:val="0070C0"/>
          <w:sz w:val="16"/>
          <w:szCs w:val="16"/>
          <w:lang w:val="en-US"/>
        </w:rPr>
        <w:t>P</w:t>
      </w:r>
      <w:r w:rsidRPr="00E14102">
        <w:rPr>
          <w:color w:val="0070C0"/>
          <w:sz w:val="16"/>
          <w:szCs w:val="16"/>
        </w:rPr>
        <w:t>. 193-194. С Роберте подчеркивает "поразительное сходство" предложений Тухачевского и Уборевича. Судя по изложению Л. Самуэльсоиом записки Уборевича Ворошилову от 8 ноября 1936 г., представленные в ней рекомендации повторяли содержание его "доклада о новом плане войны на Западе" (19 февраля 1935 г.) (САМУЭЛЬСОН Л. Указ. соч. С 183-184). Эти документы переведены на секретное хранение). Меморандум Тухачевского поддерживал настояния Уборевича относительно танковой и авиационной составляющих мобразвертывания, однако охватывал более широкий спектр вопросов, по существу возвращаясь к ключевым темам записки от 11 января 1930 г. - необходимости резко увеличить количество стрелковых дивизий и новых наступательных средств (22725).</w:t>
      </w:r>
    </w:p>
    <w:p w14:paraId="25026114" w14:textId="77777777" w:rsidR="00FC1960" w:rsidRPr="00E14102" w:rsidRDefault="00FC1960" w:rsidP="00E14102">
      <w:pPr>
        <w:jc w:val="both"/>
        <w:rPr>
          <w:color w:val="0070C0"/>
          <w:sz w:val="16"/>
          <w:szCs w:val="16"/>
        </w:rPr>
      </w:pPr>
    </w:p>
    <w:p w14:paraId="542042B4" w14:textId="77777777" w:rsidR="0011334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4ABD073" w14:textId="77777777" w:rsidR="0011334B" w:rsidRPr="00E14102" w:rsidRDefault="0011334B" w:rsidP="00E14102">
      <w:pPr>
        <w:autoSpaceDE w:val="0"/>
        <w:autoSpaceDN w:val="0"/>
        <w:adjustRightInd w:val="0"/>
        <w:jc w:val="both"/>
        <w:rPr>
          <w:iCs/>
          <w:color w:val="000000" w:themeColor="text1"/>
          <w:sz w:val="16"/>
          <w:szCs w:val="16"/>
        </w:rPr>
      </w:pPr>
    </w:p>
    <w:p w14:paraId="7E68BC8A" w14:textId="77777777" w:rsidR="0011334B" w:rsidRPr="00E14102" w:rsidRDefault="0011334B" w:rsidP="00E14102">
      <w:pPr>
        <w:jc w:val="both"/>
        <w:rPr>
          <w:color w:val="000000" w:themeColor="text1"/>
          <w:sz w:val="16"/>
          <w:szCs w:val="16"/>
        </w:rPr>
      </w:pPr>
      <w:r w:rsidRPr="00E14102">
        <w:rPr>
          <w:bCs/>
          <w:color w:val="000000" w:themeColor="text1"/>
          <w:sz w:val="16"/>
          <w:szCs w:val="16"/>
        </w:rPr>
        <w:t>19 февраля</w:t>
      </w:r>
      <w:r w:rsidRPr="00E14102">
        <w:rPr>
          <w:color w:val="000000" w:themeColor="text1"/>
          <w:sz w:val="16"/>
          <w:szCs w:val="16"/>
        </w:rPr>
        <w:t xml:space="preserve"> в 1935 году первый полёт опытного экземпляра учебно-тренировочного самолёта </w:t>
      </w:r>
      <w:hyperlink r:id="rId48" w:tgtFrame="_blank" w:history="1">
        <w:r w:rsidRPr="00E14102">
          <w:rPr>
            <w:color w:val="000000" w:themeColor="text1"/>
            <w:sz w:val="16"/>
            <w:szCs w:val="16"/>
          </w:rPr>
          <w:t xml:space="preserve">«FN.305» </w:t>
        </w:r>
      </w:hyperlink>
      <w:r w:rsidRPr="00E14102">
        <w:rPr>
          <w:color w:val="000000" w:themeColor="text1"/>
          <w:sz w:val="16"/>
          <w:szCs w:val="16"/>
        </w:rPr>
        <w:t>(компания «Nardi», Италия).Это был свободнонесущий низкоплан смешанной конструкции с убирающимися к фюзеляжу основными стойками шасси. Он предназначался для промежуточной подготовки пилотов, как спортивный или туристический, и должен был производиться как в одноместной, так и двухместной конфигурации. Опытный двухместный самолет имел закрытую кабину пилота и звездообразный двигатель «Fiat» «A.70S» мощностью 200 л.с., с которым развивал максимальную скорость 340 км/час (15045).</w:t>
      </w:r>
    </w:p>
    <w:p w14:paraId="13160893" w14:textId="77777777" w:rsidR="0011334B" w:rsidRPr="00E14102" w:rsidRDefault="0011334B" w:rsidP="00E14102">
      <w:pPr>
        <w:jc w:val="both"/>
        <w:rPr>
          <w:color w:val="000000" w:themeColor="text1"/>
          <w:sz w:val="16"/>
          <w:szCs w:val="16"/>
        </w:rPr>
      </w:pPr>
    </w:p>
    <w:p w14:paraId="5D3A08D8" w14:textId="77777777" w:rsidR="00FC1960" w:rsidRPr="00E14102" w:rsidRDefault="00FC1960" w:rsidP="00E14102">
      <w:pPr>
        <w:jc w:val="both"/>
        <w:rPr>
          <w:color w:val="0070C0"/>
          <w:sz w:val="16"/>
          <w:szCs w:val="16"/>
        </w:rPr>
      </w:pPr>
      <w:r w:rsidRPr="00E14102">
        <w:rPr>
          <w:color w:val="0070C0"/>
          <w:sz w:val="16"/>
          <w:szCs w:val="16"/>
        </w:rPr>
        <w:t>19 февраля 1935 года — первый полёт учебно-тренировочного самолёта Nardi FN.305. /Италия/</w:t>
      </w:r>
    </w:p>
    <w:p w14:paraId="1672263B" w14:textId="77777777" w:rsidR="00FC1960" w:rsidRPr="00E14102" w:rsidRDefault="00FC1960" w:rsidP="00E14102">
      <w:pPr>
        <w:jc w:val="both"/>
        <w:rPr>
          <w:color w:val="0070C0"/>
          <w:sz w:val="16"/>
          <w:szCs w:val="16"/>
        </w:rPr>
      </w:pPr>
      <w:r w:rsidRPr="00E14102">
        <w:rPr>
          <w:color w:val="0070C0"/>
          <w:sz w:val="16"/>
          <w:szCs w:val="16"/>
        </w:rPr>
        <w:t>В начале 1930-х годов братья Эусте, Элио и Луиджи Нарди (Euste, Elio and Luigi Nardi) основали в Милане авиастроительную компанию Fratelli Nardi. Свой первый самолёт — учебно-тренировочный FN.305 — фирма начала разрабатывать в 1934 году.</w:t>
      </w:r>
    </w:p>
    <w:p w14:paraId="34315E28" w14:textId="77777777" w:rsidR="00FC1960" w:rsidRPr="00E14102" w:rsidRDefault="00FC1960" w:rsidP="00E14102">
      <w:pPr>
        <w:jc w:val="both"/>
        <w:rPr>
          <w:color w:val="0070C0"/>
          <w:sz w:val="16"/>
          <w:szCs w:val="16"/>
        </w:rPr>
      </w:pPr>
      <w:r w:rsidRPr="00E14102">
        <w:rPr>
          <w:color w:val="0070C0"/>
          <w:sz w:val="16"/>
          <w:szCs w:val="16"/>
        </w:rPr>
        <w:lastRenderedPageBreak/>
        <w:t>Первенец Fratelli Nardi представлял собой низкоплан с убирающимся шасси. Основной серийный вариант — FN.305A — был двухместным и оснащался двигателем Alfa Romeo 115. Максимальная скорость — 300 км/ч, дальность полёта — 620 км. Опционально устанавливались 1-2 × 7,7-мм пулемёта Breda-SAFAT.</w:t>
      </w:r>
    </w:p>
    <w:p w14:paraId="64F5EB43" w14:textId="77777777" w:rsidR="00FC1960" w:rsidRPr="00E14102" w:rsidRDefault="00FC1960" w:rsidP="00E14102">
      <w:pPr>
        <w:jc w:val="both"/>
        <w:rPr>
          <w:color w:val="0070C0"/>
          <w:sz w:val="16"/>
          <w:szCs w:val="16"/>
        </w:rPr>
      </w:pPr>
      <w:r w:rsidRPr="00E14102">
        <w:rPr>
          <w:color w:val="0070C0"/>
          <w:sz w:val="16"/>
          <w:szCs w:val="16"/>
        </w:rPr>
        <w:t>Самолёт получился очень удачным. Кроме двухместного, выпускались одноместный вариант FN.305B/C и вариант для дальних перелётов FN.305D с двигателем Walter Bora. Кроме Италии, самолёты эксплуатировались Болгарией, Венгрией, Румынией, Францией и Чили. Было выпущено более 300 единиц FN.305 всех вариантов (22300).</w:t>
      </w:r>
    </w:p>
    <w:p w14:paraId="494F5529" w14:textId="77777777" w:rsidR="00FC1960" w:rsidRPr="00E14102" w:rsidRDefault="00FC1960" w:rsidP="00E14102">
      <w:pPr>
        <w:shd w:val="clear" w:color="auto" w:fill="FFFFFF"/>
        <w:jc w:val="both"/>
        <w:rPr>
          <w:color w:val="0070C0"/>
          <w:sz w:val="16"/>
          <w:szCs w:val="16"/>
        </w:rPr>
      </w:pPr>
    </w:p>
    <w:p w14:paraId="4F53AE6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8570F7E" w14:textId="77777777" w:rsidR="00D4105E" w:rsidRPr="00E14102" w:rsidRDefault="00D4105E" w:rsidP="00E14102">
      <w:pPr>
        <w:autoSpaceDE w:val="0"/>
        <w:autoSpaceDN w:val="0"/>
        <w:adjustRightInd w:val="0"/>
        <w:jc w:val="both"/>
        <w:rPr>
          <w:iCs/>
          <w:color w:val="000000" w:themeColor="text1"/>
          <w:sz w:val="16"/>
          <w:szCs w:val="16"/>
        </w:rPr>
      </w:pPr>
    </w:p>
    <w:p w14:paraId="1EFA3F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февраля 1935 Зам. нач. ГУАП Ермолаев писал Нач. ЦИАМ Беляевскому и Нач. ЦАГИ Харламову, а т. директорам заводов 1 Синельникову и 22 Миткевичу письмо N233/800с по вопросу испытания АН-1 на самолете:</w:t>
      </w:r>
    </w:p>
    <w:p w14:paraId="016A71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решения вопроса о целесообразности использования АН-1 на ТБ-3 и возможности подготовить Р-5 для испытаний в воздухе АН предлагаю:</w:t>
      </w:r>
    </w:p>
    <w:p w14:paraId="6B865E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ЦИАМ немедленно выслать полную характеристику и установочные чертежи АН-1 на заводы 1 и 22</w:t>
      </w:r>
    </w:p>
    <w:p w14:paraId="1CD93A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Заводу 22...произвести расчет и дать заключение о летных качествах ТБ-3 4АН-1 и перечень необходимых переделок.</w:t>
      </w:r>
    </w:p>
    <w:p w14:paraId="54B563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заводу 1...произвести расчет для определения возможности приспособить Р-5 для испытания в полете мотора АН-1, дать перечень переделок и смету расходов на эту работу.</w:t>
      </w:r>
    </w:p>
    <w:p w14:paraId="4DB8AB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ЦАГИ и ЦИАМ обеспечить полную консультацию заводов по вопросам, связанным с установкой АН-1 на самолетах и их испытанием в воздухе." (2337,207).</w:t>
      </w:r>
    </w:p>
    <w:p w14:paraId="4088FBF5" w14:textId="77777777" w:rsidR="00D4105E" w:rsidRPr="00E14102" w:rsidRDefault="00D4105E" w:rsidP="00E14102">
      <w:pPr>
        <w:autoSpaceDE w:val="0"/>
        <w:autoSpaceDN w:val="0"/>
        <w:adjustRightInd w:val="0"/>
        <w:jc w:val="both"/>
        <w:rPr>
          <w:color w:val="000000" w:themeColor="text1"/>
          <w:sz w:val="16"/>
          <w:szCs w:val="16"/>
        </w:rPr>
      </w:pPr>
    </w:p>
    <w:p w14:paraId="6236B4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февраля 1935 в НИИ ВВС закончились гос. испытания СБ, которые проходили с 10 февраля. Самолет испытаний не прошел. Летал 12 час(7717, 16).</w:t>
      </w:r>
    </w:p>
    <w:p w14:paraId="67C9C5E4" w14:textId="77777777" w:rsidR="00D4105E" w:rsidRPr="00E14102" w:rsidRDefault="00D4105E" w:rsidP="00E14102">
      <w:pPr>
        <w:autoSpaceDE w:val="0"/>
        <w:autoSpaceDN w:val="0"/>
        <w:adjustRightInd w:val="0"/>
        <w:jc w:val="both"/>
        <w:rPr>
          <w:color w:val="000000" w:themeColor="text1"/>
          <w:sz w:val="16"/>
          <w:szCs w:val="16"/>
        </w:rPr>
      </w:pPr>
    </w:p>
    <w:p w14:paraId="42B9AB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20 февраля 1935 в основном завершилась передача чертежей СБ на завод 22 и к концу месяца завершили полностью (9393,2).</w:t>
      </w:r>
    </w:p>
    <w:p w14:paraId="67EE4D6A" w14:textId="77777777" w:rsidR="00D4105E" w:rsidRPr="00E14102" w:rsidRDefault="00D4105E" w:rsidP="00E14102">
      <w:pPr>
        <w:autoSpaceDE w:val="0"/>
        <w:autoSpaceDN w:val="0"/>
        <w:adjustRightInd w:val="0"/>
        <w:jc w:val="both"/>
        <w:rPr>
          <w:color w:val="000000" w:themeColor="text1"/>
          <w:sz w:val="16"/>
          <w:szCs w:val="16"/>
        </w:rPr>
      </w:pPr>
    </w:p>
    <w:p w14:paraId="3C1CD9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февраля 1935 г. закончился первый этап госиспытания АНТ-40ИС на подмосковном аэродроме в Щелково, которые шли с 8 февраля 1935 г.</w:t>
      </w:r>
    </w:p>
    <w:p w14:paraId="39D24A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 стороны ЦАГИ в полетах участвовал летчик Н.С.Журов, ведущий летчик от НИИ ВВС - К.П.Миндер, летчики облета М.М.Громов, А.И.Филин, А.Б.Юмашев, И.Ф.Петров. АНТ-40ИС летал на лыжном неубираемом шасси, использовались двухлопастные деревянные винты, максимальная скорость не превышала 351 км/ч на высоте 4000 м. Практический потолок с полетным весом 5000 кг составил 9400 м.</w:t>
      </w:r>
    </w:p>
    <w:p w14:paraId="53826D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Отмечалось, что самолет имеет недоведенное вооружение и охлаждение двигателей, недостаточную продольную устойчивость и эффективность элеронов. Тем не менее, 22 февраля Начальник ВВС</w:t>
      </w:r>
    </w:p>
    <w:p w14:paraId="4DC0A0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Я.И.Алкснис подписал акт тестирования АНТ-40ИС - "Считать самолет СБ подлежащим внедрению в серийное производство и принятию на вооружение с устранением недочетов, выявленных на испытаниях" (12027).</w:t>
      </w:r>
    </w:p>
    <w:p w14:paraId="71D18295" w14:textId="77777777" w:rsidR="00D4105E" w:rsidRPr="00E14102" w:rsidRDefault="00D4105E" w:rsidP="00E14102">
      <w:pPr>
        <w:autoSpaceDE w:val="0"/>
        <w:autoSpaceDN w:val="0"/>
        <w:adjustRightInd w:val="0"/>
        <w:jc w:val="both"/>
        <w:rPr>
          <w:color w:val="000000" w:themeColor="text1"/>
          <w:sz w:val="16"/>
          <w:szCs w:val="16"/>
        </w:rPr>
      </w:pPr>
    </w:p>
    <w:p w14:paraId="0D8B70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февраля 1935 согласно Начальнику Штаба НИИ ВС Коробову:</w:t>
      </w:r>
    </w:p>
    <w:p w14:paraId="395C98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Перечень испытаний, проходящих в НИИ ВС на 20 февраля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3544"/>
        <w:gridCol w:w="3686"/>
      </w:tblGrid>
      <w:tr w:rsidR="00E3599D" w:rsidRPr="00E14102" w14:paraId="0CE6ECAE" w14:textId="77777777">
        <w:tc>
          <w:tcPr>
            <w:tcW w:w="3510" w:type="dxa"/>
          </w:tcPr>
          <w:p w14:paraId="3057A6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испытываемых объектов</w:t>
            </w:r>
          </w:p>
        </w:tc>
        <w:tc>
          <w:tcPr>
            <w:tcW w:w="3544" w:type="dxa"/>
          </w:tcPr>
          <w:p w14:paraId="2D98E3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окончания испытаний</w:t>
            </w:r>
          </w:p>
        </w:tc>
        <w:tc>
          <w:tcPr>
            <w:tcW w:w="3686" w:type="dxa"/>
          </w:tcPr>
          <w:p w14:paraId="5D61D2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Состояние на 20 января 1935 года</w:t>
            </w:r>
          </w:p>
        </w:tc>
      </w:tr>
      <w:tr w:rsidR="00E3599D" w:rsidRPr="00E14102" w14:paraId="1C3D76E3" w14:textId="77777777">
        <w:tc>
          <w:tcPr>
            <w:tcW w:w="3510" w:type="dxa"/>
          </w:tcPr>
          <w:p w14:paraId="121283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Госиспытание самолета ИП1-РЦ</w:t>
            </w:r>
          </w:p>
        </w:tc>
        <w:tc>
          <w:tcPr>
            <w:tcW w:w="3544" w:type="dxa"/>
          </w:tcPr>
          <w:p w14:paraId="6B464A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дней, считая начало с 7 января 1935 года</w:t>
            </w:r>
          </w:p>
        </w:tc>
        <w:tc>
          <w:tcPr>
            <w:tcW w:w="3686" w:type="dxa"/>
          </w:tcPr>
          <w:p w14:paraId="02A2D2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Ремонт самолета закончен 12 февраля 1935 года.</w:t>
            </w:r>
          </w:p>
          <w:p w14:paraId="3B621B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февраля 1935 года сделан полет на тарировку винта</w:t>
            </w:r>
          </w:p>
          <w:p w14:paraId="3DB322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февраля 1935 года проведены скороподъемность на 5000 м и скорости по высотам, маневренность на высоте</w:t>
            </w:r>
          </w:p>
        </w:tc>
      </w:tr>
      <w:tr w:rsidR="00E3599D" w:rsidRPr="00E14102" w14:paraId="7C1C5B39" w14:textId="77777777">
        <w:tc>
          <w:tcPr>
            <w:tcW w:w="3510" w:type="dxa"/>
          </w:tcPr>
          <w:p w14:paraId="7D06A5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Совместные предварительные испытания самолета СБ-ИС</w:t>
            </w:r>
          </w:p>
        </w:tc>
        <w:tc>
          <w:tcPr>
            <w:tcW w:w="3544" w:type="dxa"/>
          </w:tcPr>
          <w:p w14:paraId="0308F5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2 летных дня, считая начало с 15 января 1935 года</w:t>
            </w:r>
          </w:p>
        </w:tc>
        <w:tc>
          <w:tcPr>
            <w:tcW w:w="3686" w:type="dxa"/>
          </w:tcPr>
          <w:p w14:paraId="09B83D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самолета закончено.</w:t>
            </w:r>
          </w:p>
        </w:tc>
      </w:tr>
      <w:tr w:rsidR="00E3599D" w:rsidRPr="00E14102" w14:paraId="1A15EF4B" w14:textId="77777777">
        <w:tc>
          <w:tcPr>
            <w:tcW w:w="3510" w:type="dxa"/>
          </w:tcPr>
          <w:p w14:paraId="66E496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планера Г-31</w:t>
            </w:r>
          </w:p>
        </w:tc>
        <w:tc>
          <w:tcPr>
            <w:tcW w:w="3544" w:type="dxa"/>
          </w:tcPr>
          <w:p w14:paraId="6A80DA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3686" w:type="dxa"/>
          </w:tcPr>
          <w:p w14:paraId="6C4B26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февраля 1935 года начались заводские испытания планера</w:t>
            </w:r>
          </w:p>
        </w:tc>
      </w:tr>
    </w:tbl>
    <w:p w14:paraId="5689CD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(7779, 64-66).</w:t>
      </w:r>
    </w:p>
    <w:p w14:paraId="7F8AD1D7" w14:textId="77777777" w:rsidR="00D4105E" w:rsidRPr="00E14102" w:rsidRDefault="00D4105E" w:rsidP="00E14102">
      <w:pPr>
        <w:autoSpaceDE w:val="0"/>
        <w:autoSpaceDN w:val="0"/>
        <w:adjustRightInd w:val="0"/>
        <w:jc w:val="both"/>
        <w:rPr>
          <w:color w:val="000000" w:themeColor="text1"/>
          <w:sz w:val="16"/>
          <w:szCs w:val="16"/>
        </w:rPr>
      </w:pPr>
    </w:p>
    <w:p w14:paraId="0BA118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февраля 1935 г. Р-5 Н-70 стартовал с Центрального аэродром Москвы в направлении на восток. Это был дальний почтовый перелет на остров Диксон. Летчиком в перелет на значили Героя Советского Союза Василия Молокова. Полеты на Диксон случались и ранее, однако, этот должен был положить начало регулярным сообщениям, поэтому ему с самого начала придавалась значительная пропагандистская окраска. Кроме Молокова и механика Побежимова, в дальний путь отправлялись корреспонденты газет “Правда”и “Известия” Горбатов и Эль-Регистан.</w:t>
      </w:r>
    </w:p>
    <w:p w14:paraId="3E386F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 5 с бортовым номером СССР Н-70 был тщательно подготов лен к дальнему перелету. Носовую часть машины окрасили в яр кий синий цвет, синей была и отделка всей остальной поверхнос ти, покрытой серебристой краской. Под нижними крыльями по,д весили уже известные транспортные контейнеры.</w:t>
      </w:r>
    </w:p>
    <w:p w14:paraId="1617B9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Уже на следующий день участ ники перелета отогревались и отдыхали в Омске. Продвижение н север с этого момента становится медленным по причине ухудшения погоды. Лишь 4 марта удалось вылететь из Красноярска, три дня просидели в Подкаменной Тунгуске. Вылетев на Игарку, ещ три дня пережидали метель в поселке Гольчиха. 19 марта, с прояснением вылетели на Диксон. Зимовщики восторженно встречал экипаж, однако Молоков, не желая упускать погоду, буквальн через два часа вылетел с почтой на Дудинку. После совершени промежуточной посадки в поселке Иннокентьевский самолет попал в полосу тумана и заблудился. Для восстановления ориента ровки Молоков решил приземлиться у стоянки оленеводов. После прояснения обстановки решил взлетать. Однако тут счастье изменило ему, самолет попал в оленью яму и сломал лыжу. Ямы, одна из которых послужила причиной происшествия, выкапывали в твердом снегу олени - в них они прятались от морозов. Затем ямы заносило первой метелью мягким пушистым снегом, и они были совершенно незаметны. Уже впоследствии, при стартах в местах оленьих стойбищ летчикам указывалось обязательно лично проверять место предполагаемого старта.</w:t>
      </w:r>
    </w:p>
    <w:p w14:paraId="272ED5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помощь Молокову вылетел на обычном Р-5 Н-46 летчик Головин, который забрал экипаж. Н-70 оставили на месте аварии.</w:t>
      </w:r>
    </w:p>
    <w:p w14:paraId="4AC3D8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Перелет на Диксон, несмотря на досадную поломку, подтвердил, что ПР-5 подходит для использования в качестве пассажирской машины. Было принято решение о серийном производстве. Рафаэлянц получил базу для продолжения своих работ в быковских авиаремонтных мастерских. Здесь делали фюзеляжи и соединяли их с крыльями, шасси и оперением, получаемыми с авиазавода №1. Авиаремонтные мастерские Московского Территориального Управления ГВФ в Быково существовали с 1931 г., обслуживали в основном сельхозавиацию и занимались ремонтом У-2. В 1935 г. в Быково освоили ремонт Р-5. Рафаэлянц, назначенный главным инженером мастерских, продолжал совершенствовать самолет. В серии место пилота сдвинули вперед на 350мм для получения удовлетворительной центровки. Кроме этого, пилота передвинули на левый борт для улучшения обзора - справа и чуть ниже находилось сиденье бортмеханика. В кабину экипаж забирался по старинке, через верх, для этого сдвигался фонарь и откидывались бортовые створки. Четверо пассажиров попадали в кабину через дверь на левом борту, сидели по двое рядом, лицом к лицу. Пассажирская кабина имела подвод теплого воздуха от коллектора двигателя, была утеплена ватином и обита шелком. Большие окна обеспечивали прекрасный обзор в полете.</w:t>
      </w:r>
    </w:p>
    <w:p w14:paraId="565BEC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дополнительным доработкам в ПР-5 следует отнести измененное крепление капотов, обтекатели на колесах, зализы на стойках, новое приборное оборудование, посадочную фару (5016).</w:t>
      </w:r>
    </w:p>
    <w:p w14:paraId="1F89859D" w14:textId="77777777" w:rsidR="00D4105E" w:rsidRPr="00E14102" w:rsidRDefault="00D4105E" w:rsidP="00E14102">
      <w:pPr>
        <w:autoSpaceDE w:val="0"/>
        <w:autoSpaceDN w:val="0"/>
        <w:adjustRightInd w:val="0"/>
        <w:jc w:val="both"/>
        <w:rPr>
          <w:color w:val="000000" w:themeColor="text1"/>
          <w:sz w:val="16"/>
          <w:szCs w:val="16"/>
        </w:rPr>
      </w:pPr>
    </w:p>
    <w:p w14:paraId="79D7891C" w14:textId="77777777" w:rsidR="0011334B" w:rsidRPr="00E14102" w:rsidRDefault="0011334B" w:rsidP="00E14102">
      <w:pPr>
        <w:jc w:val="both"/>
        <w:rPr>
          <w:color w:val="000000" w:themeColor="text1"/>
          <w:sz w:val="16"/>
          <w:szCs w:val="16"/>
        </w:rPr>
      </w:pPr>
      <w:r w:rsidRPr="00E14102">
        <w:rPr>
          <w:bCs/>
          <w:color w:val="000000" w:themeColor="text1"/>
          <w:sz w:val="16"/>
          <w:szCs w:val="16"/>
        </w:rPr>
        <w:t>20 февраля</w:t>
      </w:r>
      <w:r w:rsidRPr="00E14102">
        <w:rPr>
          <w:color w:val="000000" w:themeColor="text1"/>
          <w:sz w:val="16"/>
          <w:szCs w:val="16"/>
        </w:rPr>
        <w:t xml:space="preserve"> в 1935 году легкий транспортный самолет «ПР-5» «Полярный Р-5» (Н-70) стартовал с Центрального аэродрома Москвы в направлении на восток. Новый самолет отправится после окончания госиспытаний в дальний почтовый перелет на остров Диксон. Летчиком в перелет назначили Героя Советского Союза Василия Молокова. Полеты на Диксон случались и ранее, однако, этот должен был положить начало регулярным сообщениям, поэтому ему с самого начала придавалась значительная пропагандистская окраска. Кроме Молокова и механика Побежимова, в дальний путь отправлялись корреспонденты газет "Правда" и "Известия" Горбатов и Эль-Регистан. «ПР-5» с бортовым номером СССР Н-70 был тщательно подготовлен к дальнему перелету. Носовую часть машины окрасили в яркий синий цвет, синей была и отделка всей остальной поверхности, покрытой серебристой краской. Под нижними крыльями подвесили уже известные транспортные контейнеры. Перелет на Диксон, несмотря на поломку лыжи, подтвердил, что «ПР-5» подходит для использования в качестве пассажирской машины. Было принято решение о серийном производстве (15046).</w:t>
      </w:r>
    </w:p>
    <w:p w14:paraId="5CB3F666" w14:textId="77777777" w:rsidR="0011334B" w:rsidRPr="00E14102" w:rsidRDefault="0011334B" w:rsidP="00E14102">
      <w:pPr>
        <w:jc w:val="both"/>
        <w:rPr>
          <w:color w:val="000000" w:themeColor="text1"/>
          <w:sz w:val="16"/>
          <w:szCs w:val="16"/>
        </w:rPr>
      </w:pPr>
    </w:p>
    <w:p w14:paraId="7F0091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февраля 1935 Молоков на первом ПР-5 Н-70 вылетел из Москвы (с ЦА в 10:00) на Диксон и 19 марта долетел (1638,12).</w:t>
      </w:r>
    </w:p>
    <w:p w14:paraId="53D60669" w14:textId="77777777" w:rsidR="00D4105E" w:rsidRPr="00E14102" w:rsidRDefault="00D4105E" w:rsidP="00E14102">
      <w:pPr>
        <w:autoSpaceDE w:val="0"/>
        <w:autoSpaceDN w:val="0"/>
        <w:adjustRightInd w:val="0"/>
        <w:jc w:val="both"/>
        <w:rPr>
          <w:color w:val="000000" w:themeColor="text1"/>
          <w:sz w:val="16"/>
          <w:szCs w:val="16"/>
        </w:rPr>
      </w:pPr>
    </w:p>
    <w:p w14:paraId="1FA3DD07" w14:textId="77777777" w:rsidR="00DC61A5" w:rsidRPr="00E14102" w:rsidRDefault="00DC61A5" w:rsidP="00E14102">
      <w:pPr>
        <w:jc w:val="both"/>
        <w:rPr>
          <w:color w:val="0070C0"/>
          <w:sz w:val="16"/>
          <w:szCs w:val="16"/>
        </w:rPr>
      </w:pPr>
      <w:r w:rsidRPr="00E14102">
        <w:rPr>
          <w:color w:val="0070C0"/>
          <w:sz w:val="16"/>
          <w:szCs w:val="16"/>
        </w:rPr>
        <w:lastRenderedPageBreak/>
        <w:t>20 февраля 1935 года постановлением НКЛП СССР № 43 был утвержден Устав Государственного Всесоюзного автономного парашютного завода № 1. Завод учреждался для производства людских и грузовых парашютов и состоял в непосредственном подчинении Моботдела НКЛП. Его уставной капитал составил 1.400.000 рублей. Располагался он в Тушино, и в его составе работали швейно-монтажный, слесарный, механический, гальванический цеха, утильцех и подсобные цеха (РГАЭ. Ф. 7733. Оп. 24. Д. 322. Лл. 99, 100, 102.). В 1936 году завершилась реконструкция завода. В результате в октябре открылись паяльный, кузнечноштамповочный, инструментальный, ремонтный и др. цеха (РГАЭ. Ф. 7733. Оп. 24. Д. 322. Л. 108.) (21402). 5</w:t>
      </w:r>
    </w:p>
    <w:p w14:paraId="6C632065" w14:textId="77777777" w:rsidR="00DC61A5" w:rsidRPr="00E14102" w:rsidRDefault="00DC61A5" w:rsidP="00E14102">
      <w:pPr>
        <w:jc w:val="both"/>
        <w:rPr>
          <w:color w:val="0070C0"/>
          <w:sz w:val="16"/>
          <w:szCs w:val="16"/>
        </w:rPr>
      </w:pPr>
    </w:p>
    <w:p w14:paraId="31DEAE24" w14:textId="77777777" w:rsidR="00DC61A5" w:rsidRPr="00E14102" w:rsidRDefault="00DC61A5" w:rsidP="00E14102">
      <w:pPr>
        <w:jc w:val="both"/>
        <w:rPr>
          <w:color w:val="0070C0"/>
          <w:sz w:val="16"/>
          <w:szCs w:val="16"/>
        </w:rPr>
      </w:pPr>
      <w:r w:rsidRPr="00E14102">
        <w:rPr>
          <w:color w:val="0070C0"/>
          <w:sz w:val="16"/>
          <w:szCs w:val="16"/>
        </w:rPr>
        <w:t>20 февраля 1935 года был утвержден Устав парашютного завода № 2 в Солнечногорске, который с 1933 года в основном производил грузовые парашюты и десантную технику. Его уставной капитал составлял 900.000 рублей. Завод состоял уже из 7 цехов: закройный, швейный, слесарный, механический, столярный, монтажный и подсобный (РГАЭ. Ф. 7733. Оп. 24. Д. 322. Лл. 99, 116) (21402).1</w:t>
      </w:r>
    </w:p>
    <w:p w14:paraId="46CB60D6" w14:textId="77777777" w:rsidR="00DC61A5" w:rsidRPr="00E14102" w:rsidRDefault="00DC61A5" w:rsidP="00E14102">
      <w:pPr>
        <w:jc w:val="both"/>
        <w:rPr>
          <w:color w:val="0070C0"/>
          <w:sz w:val="16"/>
          <w:szCs w:val="16"/>
        </w:rPr>
      </w:pPr>
    </w:p>
    <w:p w14:paraId="54C0D1C5" w14:textId="77777777" w:rsidR="0011334B" w:rsidRPr="00E14102" w:rsidRDefault="004B7965" w:rsidP="00E14102">
      <w:pPr>
        <w:shd w:val="clear" w:color="auto" w:fill="FFFFFF"/>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43C546D" w14:textId="77777777" w:rsidR="0011334B" w:rsidRPr="00E14102" w:rsidRDefault="0011334B" w:rsidP="00E14102">
      <w:pPr>
        <w:shd w:val="clear" w:color="auto" w:fill="FFFFFF"/>
        <w:autoSpaceDE w:val="0"/>
        <w:autoSpaceDN w:val="0"/>
        <w:adjustRightInd w:val="0"/>
        <w:jc w:val="both"/>
        <w:rPr>
          <w:iCs/>
          <w:color w:val="000000" w:themeColor="text1"/>
          <w:sz w:val="16"/>
          <w:szCs w:val="16"/>
        </w:rPr>
      </w:pPr>
    </w:p>
    <w:p w14:paraId="55669929" w14:textId="77777777" w:rsidR="00DC61A5" w:rsidRPr="00E14102" w:rsidRDefault="00DC61A5" w:rsidP="00E14102">
      <w:pPr>
        <w:jc w:val="both"/>
        <w:rPr>
          <w:color w:val="0070C0"/>
          <w:sz w:val="16"/>
          <w:szCs w:val="16"/>
        </w:rPr>
      </w:pPr>
      <w:r w:rsidRPr="00E14102">
        <w:rPr>
          <w:color w:val="0070C0"/>
          <w:sz w:val="16"/>
          <w:szCs w:val="16"/>
        </w:rPr>
        <w:t>20 февраля 1935 г.</w:t>
      </w:r>
    </w:p>
    <w:p w14:paraId="5C0EAE1B" w14:textId="77777777" w:rsidR="00DC61A5" w:rsidRPr="00E14102" w:rsidRDefault="00DC61A5" w:rsidP="00E14102">
      <w:pPr>
        <w:jc w:val="both"/>
        <w:rPr>
          <w:color w:val="0070C0"/>
          <w:sz w:val="16"/>
          <w:szCs w:val="16"/>
        </w:rPr>
      </w:pPr>
      <w:r w:rsidRPr="00E14102">
        <w:rPr>
          <w:color w:val="0070C0"/>
          <w:sz w:val="16"/>
          <w:szCs w:val="16"/>
        </w:rPr>
        <w:t>Письмо П.А. Богданова К.Е. Ворошилову о необходимости использования в СССР достижений американской техники</w:t>
      </w:r>
    </w:p>
    <w:p w14:paraId="3A3A3772" w14:textId="77777777" w:rsidR="00DC61A5" w:rsidRPr="00E14102" w:rsidRDefault="00DC61A5" w:rsidP="00E14102">
      <w:pPr>
        <w:jc w:val="both"/>
        <w:rPr>
          <w:color w:val="0070C0"/>
          <w:sz w:val="16"/>
          <w:szCs w:val="16"/>
        </w:rPr>
      </w:pPr>
      <w:r w:rsidRPr="00E14102">
        <w:rPr>
          <w:color w:val="0070C0"/>
          <w:sz w:val="16"/>
          <w:szCs w:val="16"/>
        </w:rPr>
        <w:t>20 февраля 1935 г.</w:t>
      </w:r>
    </w:p>
    <w:p w14:paraId="666DF0FF" w14:textId="77777777" w:rsidR="00DC61A5" w:rsidRPr="00E14102" w:rsidRDefault="00DC61A5" w:rsidP="00E14102">
      <w:pPr>
        <w:jc w:val="both"/>
        <w:rPr>
          <w:color w:val="0070C0"/>
          <w:sz w:val="16"/>
          <w:szCs w:val="16"/>
        </w:rPr>
      </w:pPr>
      <w:r w:rsidRPr="00E14102">
        <w:rPr>
          <w:color w:val="0070C0"/>
          <w:sz w:val="16"/>
          <w:szCs w:val="16"/>
        </w:rPr>
        <w:t>Кисловодск</w:t>
      </w:r>
    </w:p>
    <w:p w14:paraId="22C345A6" w14:textId="77777777" w:rsidR="00DC61A5" w:rsidRPr="00E14102" w:rsidRDefault="00DC61A5" w:rsidP="00E14102">
      <w:pPr>
        <w:jc w:val="both"/>
        <w:rPr>
          <w:color w:val="0070C0"/>
          <w:sz w:val="16"/>
          <w:szCs w:val="16"/>
        </w:rPr>
      </w:pPr>
      <w:r w:rsidRPr="00E14102">
        <w:rPr>
          <w:color w:val="0070C0"/>
          <w:sz w:val="16"/>
          <w:szCs w:val="16"/>
        </w:rPr>
        <w:t>Секретно</w:t>
      </w:r>
    </w:p>
    <w:p w14:paraId="3853B112" w14:textId="77777777" w:rsidR="00DC61A5" w:rsidRPr="00E14102" w:rsidRDefault="00DC61A5" w:rsidP="00E14102">
      <w:pPr>
        <w:jc w:val="both"/>
        <w:rPr>
          <w:color w:val="0070C0"/>
          <w:sz w:val="16"/>
          <w:szCs w:val="16"/>
        </w:rPr>
      </w:pPr>
      <w:r w:rsidRPr="00E14102">
        <w:rPr>
          <w:color w:val="0070C0"/>
          <w:sz w:val="16"/>
          <w:szCs w:val="16"/>
        </w:rPr>
        <w:t>Лично</w:t>
      </w:r>
    </w:p>
    <w:p w14:paraId="7DBCC91D" w14:textId="77777777" w:rsidR="00DC61A5" w:rsidRPr="00E14102" w:rsidRDefault="00DC61A5" w:rsidP="00E14102">
      <w:pPr>
        <w:jc w:val="both"/>
        <w:rPr>
          <w:color w:val="0070C0"/>
          <w:sz w:val="16"/>
          <w:szCs w:val="16"/>
        </w:rPr>
      </w:pPr>
      <w:r w:rsidRPr="00E14102">
        <w:rPr>
          <w:color w:val="0070C0"/>
          <w:sz w:val="16"/>
          <w:szCs w:val="16"/>
        </w:rPr>
        <w:t>Уважаемый Климентий Ефремович,</w:t>
      </w:r>
    </w:p>
    <w:p w14:paraId="4E7C6BF9" w14:textId="77777777" w:rsidR="00DC61A5" w:rsidRPr="00E14102" w:rsidRDefault="00DC61A5" w:rsidP="00E14102">
      <w:pPr>
        <w:jc w:val="both"/>
        <w:rPr>
          <w:color w:val="0070C0"/>
          <w:sz w:val="16"/>
          <w:szCs w:val="16"/>
        </w:rPr>
      </w:pPr>
      <w:r w:rsidRPr="00E14102">
        <w:rPr>
          <w:color w:val="0070C0"/>
          <w:sz w:val="16"/>
          <w:szCs w:val="16"/>
        </w:rPr>
        <w:t xml:space="preserve">До отъезда своего лечиться не удалось увидеть Вас, и сейчас пользуюсь надежной оказией, чтобы послать Вам некоторые соображения свои о значении американской техники и об использовании </w:t>
      </w:r>
    </w:p>
    <w:p w14:paraId="164714D6" w14:textId="77777777" w:rsidR="00DC61A5" w:rsidRPr="00E14102" w:rsidRDefault="00DC61A5" w:rsidP="00E14102">
      <w:pPr>
        <w:jc w:val="both"/>
        <w:rPr>
          <w:color w:val="0070C0"/>
          <w:sz w:val="16"/>
          <w:szCs w:val="16"/>
        </w:rPr>
      </w:pPr>
      <w:r w:rsidRPr="00E14102">
        <w:rPr>
          <w:color w:val="0070C0"/>
          <w:sz w:val="16"/>
          <w:szCs w:val="16"/>
        </w:rPr>
        <w:t>1) Задачу - перегнать технику капиталистического мира – в отношении Америки надо ставить не в разрезе количества, а в первую очередь в отношении качества, ибо это наиболее совершенная страна в достигнутом уровне техники, так и в организации производства. Задачу эту целесообразно выполнить с наименьшей затратой средств и в возможно краткий срок.</w:t>
      </w:r>
    </w:p>
    <w:p w14:paraId="3FF7265E" w14:textId="77777777" w:rsidR="00DC61A5" w:rsidRPr="00E14102" w:rsidRDefault="00DC61A5" w:rsidP="00E14102">
      <w:pPr>
        <w:jc w:val="both"/>
        <w:rPr>
          <w:color w:val="0070C0"/>
          <w:sz w:val="16"/>
          <w:szCs w:val="16"/>
        </w:rPr>
      </w:pPr>
      <w:r w:rsidRPr="00E14102">
        <w:rPr>
          <w:color w:val="0070C0"/>
          <w:sz w:val="16"/>
          <w:szCs w:val="16"/>
        </w:rPr>
        <w:t>2) Секрет преимущества американской техники заключается прежде всего в их методе разрешать каждую задачу наиболее простым и дешевым путем, получая в то же время наибольшую эффективность* (производительность в единицу времени). Этот метод выработался в результате десятилетней ожесточенной борьбы на рынке и необходимости внедрять товары для массового потребления. Задача облегчается громадным накопленным опытом, сконцентрированным в архивах и проектных бюро высокоспециализированных фирм. Возьмите аэроплан или авиамотор - соответствующие заводы являются в значительной степени сборочными мастерскими, куда отдельные части доставляются с высокоспециализированных заводов (на отдельных заводах вырабатываются, например - клапан, подшипники, карбюратор, крыльчатки, самопуск, части из алюминия, требующие электросварки и т.д.). Наконец, будучи прекрасными практиками, американцы одновременно широко поставили научно-исследовательскую работу (как в фирменных институтах и лабораториях, так и в высших учебных заведениях и специальных институтах, например, Меллона в Питтсбурге), умело сочетая теорию и практику, избегая излишнего теоретизирования германской «школы» и узкого «мастерства» английской техники.</w:t>
      </w:r>
    </w:p>
    <w:p w14:paraId="0787A8B6" w14:textId="77777777" w:rsidR="00DC61A5" w:rsidRPr="00E14102" w:rsidRDefault="00DC61A5" w:rsidP="00E14102">
      <w:pPr>
        <w:jc w:val="both"/>
        <w:rPr>
          <w:color w:val="0070C0"/>
          <w:sz w:val="16"/>
          <w:szCs w:val="16"/>
        </w:rPr>
      </w:pPr>
      <w:r w:rsidRPr="00E14102">
        <w:rPr>
          <w:color w:val="0070C0"/>
          <w:sz w:val="16"/>
          <w:szCs w:val="16"/>
        </w:rPr>
        <w:t>3) Указанный выше метод плюс высокая специализация и опыт, плюс научно-исследовательская работа обеспечивают американцам те исключительные темпы развития техники и изобретательства, за которыми не угоняется Европа (за некоторым, исключением, конечно). Кризис задержал эти темпы, но не приостановил их, а в некоторых специальных областях (химия, авиация) общее мировое конфликтное состояние даже ускорило развитие этих отраслей техники.</w:t>
      </w:r>
    </w:p>
    <w:p w14:paraId="7A60094F" w14:textId="77777777" w:rsidR="00DC61A5" w:rsidRPr="00E14102" w:rsidRDefault="00DC61A5" w:rsidP="00E14102">
      <w:pPr>
        <w:jc w:val="both"/>
        <w:rPr>
          <w:color w:val="0070C0"/>
          <w:sz w:val="16"/>
          <w:szCs w:val="16"/>
        </w:rPr>
      </w:pPr>
      <w:r w:rsidRPr="00E14102">
        <w:rPr>
          <w:color w:val="0070C0"/>
          <w:sz w:val="16"/>
          <w:szCs w:val="16"/>
        </w:rPr>
        <w:t>Один только пример отставания Европы: в Париже я присутствовал на совещании н[ашей] комиссии, ездившей на авиационную выставку, а также осматривал заводы «Испано-Сюиз» и «Рон», с которыми у нас договора, и вот что я устанавливаю:</w:t>
      </w:r>
    </w:p>
    <w:p w14:paraId="51520892" w14:textId="77777777" w:rsidR="00DC61A5" w:rsidRPr="00E14102" w:rsidRDefault="00DC61A5" w:rsidP="00E14102">
      <w:pPr>
        <w:jc w:val="both"/>
        <w:rPr>
          <w:color w:val="0070C0"/>
          <w:sz w:val="16"/>
          <w:szCs w:val="16"/>
        </w:rPr>
      </w:pPr>
      <w:r w:rsidRPr="00E14102">
        <w:rPr>
          <w:color w:val="0070C0"/>
          <w:sz w:val="16"/>
          <w:szCs w:val="16"/>
        </w:rPr>
        <w:t>в Америке налаженные регулярные ночные рейсы пассажирских самолетов как поперек континента (более 4 000 км в 17 часов), так и в Южную Америку. Во Франции к этому еще не считают возможным приступать;</w:t>
      </w:r>
    </w:p>
    <w:p w14:paraId="531FA008" w14:textId="77777777" w:rsidR="00DC61A5" w:rsidRPr="00E14102" w:rsidRDefault="00DC61A5" w:rsidP="00E14102">
      <w:pPr>
        <w:jc w:val="both"/>
        <w:rPr>
          <w:color w:val="0070C0"/>
          <w:sz w:val="16"/>
          <w:szCs w:val="16"/>
        </w:rPr>
      </w:pPr>
      <w:r w:rsidRPr="00E14102">
        <w:rPr>
          <w:color w:val="0070C0"/>
          <w:sz w:val="16"/>
          <w:szCs w:val="16"/>
        </w:rPr>
        <w:t>в Америке разрешена проблема замены карбюратора, «прямым вспрыском» безопасного для воспламенения горючего и в 1935 г. вводится в авиафлоте (см. доклад т. Жарова1). Во Франции над вопросом только работают;</w:t>
      </w:r>
    </w:p>
    <w:p w14:paraId="7F4B2852" w14:textId="77777777" w:rsidR="00DC61A5" w:rsidRPr="00E14102" w:rsidRDefault="00DC61A5" w:rsidP="00E14102">
      <w:pPr>
        <w:jc w:val="both"/>
        <w:rPr>
          <w:color w:val="0070C0"/>
          <w:sz w:val="16"/>
          <w:szCs w:val="16"/>
        </w:rPr>
      </w:pPr>
      <w:r w:rsidRPr="00E14102">
        <w:rPr>
          <w:color w:val="0070C0"/>
          <w:sz w:val="16"/>
          <w:szCs w:val="16"/>
        </w:rPr>
        <w:t>в Америке имеются все виды приборов, обеспечивающие пилоту определение высоты и направления, полет в тумане, автоматичность управления и т.д. Во Франции этакого ассортимента приборов еще нет, и в ответственных случаях Европа берет американские приборы (например, английский самолет, взявший первый приз перелета Англия-Австралия, был оборудован американскими приборами; кстати, второй и третий призы были взяты американскими не спортивными самолетами, летевшими с почтой и пассажирами, т.е. в эксплуатационных условиях);</w:t>
      </w:r>
    </w:p>
    <w:p w14:paraId="0156D4B1" w14:textId="77777777" w:rsidR="00DC61A5" w:rsidRPr="00E14102" w:rsidRDefault="00DC61A5" w:rsidP="00E14102">
      <w:pPr>
        <w:jc w:val="both"/>
        <w:rPr>
          <w:color w:val="0070C0"/>
          <w:sz w:val="16"/>
          <w:szCs w:val="16"/>
        </w:rPr>
      </w:pPr>
      <w:r w:rsidRPr="00E14102">
        <w:rPr>
          <w:color w:val="0070C0"/>
          <w:sz w:val="16"/>
          <w:szCs w:val="16"/>
        </w:rPr>
        <w:t xml:space="preserve">в Америке на заводах «Райт» и «Пратт и Уитней» четко поставленное серийное производство небольшого числа типов моторов, у «Рона» и «Испано-Сюиз» технология, которую нельзя сравнивать с американской! (Не потому ли французские моторы стоят значительно дороже в золотых рублях, чем американский «Циклон»); </w:t>
      </w:r>
    </w:p>
    <w:p w14:paraId="7B2A4A5C" w14:textId="77777777" w:rsidR="00DC61A5" w:rsidRPr="00E14102" w:rsidRDefault="00DC61A5" w:rsidP="00E14102">
      <w:pPr>
        <w:jc w:val="both"/>
        <w:rPr>
          <w:color w:val="0070C0"/>
          <w:sz w:val="16"/>
          <w:szCs w:val="16"/>
        </w:rPr>
      </w:pPr>
      <w:r w:rsidRPr="00E14102">
        <w:rPr>
          <w:color w:val="0070C0"/>
          <w:sz w:val="16"/>
          <w:szCs w:val="16"/>
        </w:rPr>
        <w:t>в Америке последний тип мотора воздушного охлаждения - двойная звезда - находился в серийном производстве и сотни часов пролетал в воздухе, во Франции в то же время этого опыта еще не было.</w:t>
      </w:r>
    </w:p>
    <w:p w14:paraId="2073B73E" w14:textId="77777777" w:rsidR="00DC61A5" w:rsidRPr="00E14102" w:rsidRDefault="00DC61A5" w:rsidP="00E14102">
      <w:pPr>
        <w:jc w:val="both"/>
        <w:rPr>
          <w:color w:val="0070C0"/>
          <w:sz w:val="16"/>
          <w:szCs w:val="16"/>
        </w:rPr>
      </w:pPr>
      <w:r w:rsidRPr="00E14102">
        <w:rPr>
          <w:color w:val="0070C0"/>
          <w:sz w:val="16"/>
          <w:szCs w:val="16"/>
        </w:rPr>
        <w:t>Могу привести ряд примеров из других областей - непрерывно прокатный листовой стан, специальные станки для массового производства, крекирование нефти, нержавеющая окраска металлов и т.д.</w:t>
      </w:r>
    </w:p>
    <w:p w14:paraId="1249824B" w14:textId="77777777" w:rsidR="00DC61A5" w:rsidRPr="00E14102" w:rsidRDefault="00DC61A5" w:rsidP="00E14102">
      <w:pPr>
        <w:jc w:val="both"/>
        <w:rPr>
          <w:color w:val="0070C0"/>
          <w:sz w:val="16"/>
          <w:szCs w:val="16"/>
        </w:rPr>
      </w:pPr>
      <w:r w:rsidRPr="00E14102">
        <w:rPr>
          <w:color w:val="0070C0"/>
          <w:sz w:val="16"/>
          <w:szCs w:val="16"/>
        </w:rPr>
        <w:t>4) Что касается Союза, то мы многое взяли и освоили за последние пять лет из американской техники (сужу по прошедшим через мои руки сотнями технических комиссий и отдельным инженерам), однако многие из этих работников были вынуждены ограничиваться только общими осмотрами или в лучшем случае изучали вопрос в момент их пребывания на заводе и, уезжая, теряли всякую связь и возможность следить за дальнейшим развитием интересовавших их вопросов. За последние 2 года мы занимались больше ознакомлением, чем систематическим изучением американской техники.</w:t>
      </w:r>
    </w:p>
    <w:p w14:paraId="291836A3" w14:textId="77777777" w:rsidR="00DC61A5" w:rsidRPr="00E14102" w:rsidRDefault="00DC61A5" w:rsidP="00E14102">
      <w:pPr>
        <w:jc w:val="both"/>
        <w:rPr>
          <w:color w:val="0070C0"/>
          <w:sz w:val="16"/>
          <w:szCs w:val="16"/>
        </w:rPr>
      </w:pPr>
      <w:r w:rsidRPr="00E14102">
        <w:rPr>
          <w:color w:val="0070C0"/>
          <w:sz w:val="16"/>
          <w:szCs w:val="16"/>
        </w:rPr>
        <w:t>Мне же кажется, что именно теперь (в накаляющейся атмосфере мировых отношений) нам важно обеспечивать себе качественное превосходство нашей техники над противником, а постоянное и систематическое изучение наиболее передовой (американской) техники значительно поможет в этом, облегчая вскрывать наши отстающие участки и устанавливать, что и как мы должны брать из Америки. Я мог бы указать ряд примеров из своего опыта работы в Америке, когда отсутствие или разрыв постоянной связи тормозил развитие техники у нас в Союзе (например, добыча и переработка нефти, вопросы связи, специальные сорта стали и т.д.).</w:t>
      </w:r>
    </w:p>
    <w:p w14:paraId="20F4D851" w14:textId="77777777" w:rsidR="00DC61A5" w:rsidRPr="00E14102" w:rsidRDefault="00DC61A5" w:rsidP="00E14102">
      <w:pPr>
        <w:jc w:val="both"/>
        <w:rPr>
          <w:color w:val="0070C0"/>
          <w:sz w:val="16"/>
          <w:szCs w:val="16"/>
        </w:rPr>
      </w:pPr>
      <w:r w:rsidRPr="00E14102">
        <w:rPr>
          <w:color w:val="0070C0"/>
          <w:sz w:val="16"/>
          <w:szCs w:val="16"/>
        </w:rPr>
        <w:t>5) Перехожу к практической программе работы в Америке, исходя из вышеизложенных общих соображений. Для обеспечения систематического использования и изучения американской техники необходимо иметь:</w:t>
      </w:r>
    </w:p>
    <w:p w14:paraId="6C1B71BE" w14:textId="77777777" w:rsidR="00DC61A5" w:rsidRPr="00E14102" w:rsidRDefault="00DC61A5" w:rsidP="00E14102">
      <w:pPr>
        <w:jc w:val="both"/>
        <w:rPr>
          <w:color w:val="0070C0"/>
          <w:sz w:val="16"/>
          <w:szCs w:val="16"/>
        </w:rPr>
      </w:pPr>
      <w:r w:rsidRPr="00E14102">
        <w:rPr>
          <w:color w:val="0070C0"/>
          <w:sz w:val="16"/>
          <w:szCs w:val="16"/>
        </w:rPr>
        <w:t>а) Постоянное бюро - (инженерный отдел Амторга) специалистов.</w:t>
      </w:r>
    </w:p>
    <w:p w14:paraId="73E76973" w14:textId="77777777" w:rsidR="00DC61A5" w:rsidRPr="00E14102" w:rsidRDefault="00DC61A5" w:rsidP="00E14102">
      <w:pPr>
        <w:jc w:val="both"/>
        <w:rPr>
          <w:color w:val="0070C0"/>
          <w:sz w:val="16"/>
          <w:szCs w:val="16"/>
        </w:rPr>
      </w:pPr>
      <w:r w:rsidRPr="00E14102">
        <w:rPr>
          <w:color w:val="0070C0"/>
          <w:sz w:val="16"/>
          <w:szCs w:val="16"/>
        </w:rPr>
        <w:t>6) Технические договора по отдельным наиболее интересующим нас вопросам.</w:t>
      </w:r>
    </w:p>
    <w:p w14:paraId="0FC5627B" w14:textId="77777777" w:rsidR="00DC61A5" w:rsidRPr="00E14102" w:rsidRDefault="00DC61A5" w:rsidP="00E14102">
      <w:pPr>
        <w:jc w:val="both"/>
        <w:rPr>
          <w:color w:val="0070C0"/>
          <w:sz w:val="16"/>
          <w:szCs w:val="16"/>
        </w:rPr>
      </w:pPr>
      <w:r w:rsidRPr="00E14102">
        <w:rPr>
          <w:color w:val="0070C0"/>
          <w:sz w:val="16"/>
          <w:szCs w:val="16"/>
        </w:rPr>
        <w:t>в) Специальный фонд для закупки наиболее интересных образцов, моделей, новинок, чертежей и т.д.</w:t>
      </w:r>
    </w:p>
    <w:p w14:paraId="225FCC59" w14:textId="77777777" w:rsidR="00DC61A5" w:rsidRPr="00E14102" w:rsidRDefault="00DC61A5" w:rsidP="00E14102">
      <w:pPr>
        <w:jc w:val="both"/>
        <w:rPr>
          <w:color w:val="0070C0"/>
          <w:sz w:val="16"/>
          <w:szCs w:val="16"/>
        </w:rPr>
      </w:pPr>
      <w:r w:rsidRPr="00E14102">
        <w:rPr>
          <w:color w:val="0070C0"/>
          <w:sz w:val="16"/>
          <w:szCs w:val="16"/>
        </w:rPr>
        <w:t>г) Заказы наиболее нужных машин, материалов и приборов с получением чертежей (если удастся) и организацией приемки соответствующими специалистами.</w:t>
      </w:r>
    </w:p>
    <w:p w14:paraId="502F26A2" w14:textId="77777777" w:rsidR="00DC61A5" w:rsidRPr="00E14102" w:rsidRDefault="00DC61A5" w:rsidP="00E14102">
      <w:pPr>
        <w:jc w:val="both"/>
        <w:rPr>
          <w:color w:val="0070C0"/>
          <w:sz w:val="16"/>
          <w:szCs w:val="16"/>
        </w:rPr>
      </w:pPr>
      <w:r w:rsidRPr="00E14102">
        <w:rPr>
          <w:color w:val="0070C0"/>
          <w:sz w:val="16"/>
          <w:szCs w:val="16"/>
        </w:rPr>
        <w:t>д) Посылка технических комиссий с определенными заданиями после подготовки их плана работы на месте в Америке. Посылка комиссий должна идти в централизованном порядке, дабы избежать параллелизма работы.</w:t>
      </w:r>
    </w:p>
    <w:p w14:paraId="3BE9E673" w14:textId="77777777" w:rsidR="00DC61A5" w:rsidRPr="00E14102" w:rsidRDefault="00DC61A5" w:rsidP="00E14102">
      <w:pPr>
        <w:jc w:val="both"/>
        <w:rPr>
          <w:color w:val="0070C0"/>
          <w:sz w:val="16"/>
          <w:szCs w:val="16"/>
        </w:rPr>
      </w:pPr>
      <w:r w:rsidRPr="00E14102">
        <w:rPr>
          <w:color w:val="0070C0"/>
          <w:sz w:val="16"/>
          <w:szCs w:val="16"/>
        </w:rPr>
        <w:t>е) Посылка инженеров в американские высшие учебные институты на срок 1-2 года для усовершенствования своих знаний.</w:t>
      </w:r>
    </w:p>
    <w:p w14:paraId="173A9C34" w14:textId="77777777" w:rsidR="00DC61A5" w:rsidRPr="00E14102" w:rsidRDefault="00DC61A5" w:rsidP="00E14102">
      <w:pPr>
        <w:jc w:val="both"/>
        <w:rPr>
          <w:color w:val="0070C0"/>
          <w:sz w:val="16"/>
          <w:szCs w:val="16"/>
        </w:rPr>
      </w:pPr>
      <w:r w:rsidRPr="00E14102">
        <w:rPr>
          <w:color w:val="0070C0"/>
          <w:sz w:val="16"/>
          <w:szCs w:val="16"/>
        </w:rPr>
        <w:t>ж) Постоянная связь с научно-исследовательскими институтами и обществами наших союзных институтов и промышленности путем вступления членами, обмен научными трудами, корреспондентская связь, выписка журналов, участие в съездах и т.д.</w:t>
      </w:r>
    </w:p>
    <w:p w14:paraId="3E8722E0" w14:textId="77777777" w:rsidR="00DC61A5" w:rsidRPr="00E14102" w:rsidRDefault="00DC61A5" w:rsidP="00E14102">
      <w:pPr>
        <w:jc w:val="both"/>
        <w:rPr>
          <w:color w:val="0070C0"/>
          <w:sz w:val="16"/>
          <w:szCs w:val="16"/>
        </w:rPr>
      </w:pPr>
      <w:r w:rsidRPr="00E14102">
        <w:rPr>
          <w:color w:val="0070C0"/>
          <w:sz w:val="16"/>
          <w:szCs w:val="16"/>
        </w:rPr>
        <w:t>Совокупность всех этих мер обеспечит ту систематическую связь, которая даст в каждый момент возможность ориентироваться в положении американской техники интересующей нас области и устанавливать, что надо делать в нашей промышленности для того, чтобы быть впереди. Вся эта программа (если выделить заказы) потребует небольших средств и ни в какой мере не нарушит общей установки в данный момент наших коммерческих отношений с Америкой («покупать только в меру необходимости»). Лично я определяю эту цифру в сумме не более 2 000 000 руб. (два миллиона) в год. Что касается заказов на Америку, то вопрос о них должен решаться самостоятельно в общем плане закупок за границей.</w:t>
      </w:r>
    </w:p>
    <w:p w14:paraId="6151B6C0" w14:textId="77777777" w:rsidR="00DC61A5" w:rsidRPr="00E14102" w:rsidRDefault="00DC61A5" w:rsidP="00E14102">
      <w:pPr>
        <w:jc w:val="both"/>
        <w:rPr>
          <w:color w:val="0070C0"/>
          <w:sz w:val="16"/>
          <w:szCs w:val="16"/>
        </w:rPr>
      </w:pPr>
      <w:r w:rsidRPr="00E14102">
        <w:rPr>
          <w:color w:val="0070C0"/>
          <w:sz w:val="16"/>
          <w:szCs w:val="16"/>
        </w:rPr>
        <w:t>6) Отдельные пункты моей программы требуют некоторых пояснений. По пункту «а» сейчас инженерный отдел состоит из трех человек, этого совершенно недостаточно для охвата всей работы. По моей идее отдел должен вести серьезную (а не случайную, по отдельным заданиям) постоянную разработку интересующих нашу промышленность проблем, подготовлять материалы и осмотры заводов для приезжающих комиссий, а после их отъезда продолжать разрабатывать и следить за теми вопросами, над которыми работали комиссии. Кроме того, отдел должен следить за исполнением техдоговоров и оформлять заказы. Необходимо иметь не менее семи, а при развитии работы не менее десяти человек, из которых не менее 3-5 специалиста из Союза.</w:t>
      </w:r>
    </w:p>
    <w:p w14:paraId="16DCD99D" w14:textId="77777777" w:rsidR="00DC61A5" w:rsidRPr="00E14102" w:rsidRDefault="00DC61A5" w:rsidP="00E14102">
      <w:pPr>
        <w:jc w:val="both"/>
        <w:rPr>
          <w:color w:val="0070C0"/>
          <w:sz w:val="16"/>
          <w:szCs w:val="16"/>
        </w:rPr>
      </w:pPr>
      <w:r w:rsidRPr="00E14102">
        <w:rPr>
          <w:color w:val="0070C0"/>
          <w:sz w:val="16"/>
          <w:szCs w:val="16"/>
        </w:rPr>
        <w:t>Людей надо посылать знающих и солидных обязательно.</w:t>
      </w:r>
    </w:p>
    <w:p w14:paraId="31952B29" w14:textId="77777777" w:rsidR="00DC61A5" w:rsidRPr="00E14102" w:rsidRDefault="00DC61A5" w:rsidP="00E14102">
      <w:pPr>
        <w:jc w:val="both"/>
        <w:rPr>
          <w:color w:val="0070C0"/>
          <w:sz w:val="16"/>
          <w:szCs w:val="16"/>
        </w:rPr>
      </w:pPr>
      <w:r w:rsidRPr="00E14102">
        <w:rPr>
          <w:color w:val="0070C0"/>
          <w:sz w:val="16"/>
          <w:szCs w:val="16"/>
        </w:rPr>
        <w:t xml:space="preserve">По пункту «б». Технические договора «Сперри» и «Райт» дают возможность брать очень высокую технику и производственный опыт для десятков наших инженеров и мастеров. Только при наличии такого типа договоров (еще договор с «Фордом») наши люди действительно могут залезать в глубь производства и схватывать все тонкости технологического процесса. Без договоров они будут гостями - посетителями заводов и не увидят десятой доли того, что им дает ежедневное пребывание и </w:t>
      </w:r>
      <w:r w:rsidRPr="00E14102">
        <w:rPr>
          <w:color w:val="0070C0"/>
          <w:sz w:val="16"/>
          <w:szCs w:val="16"/>
        </w:rPr>
        <w:lastRenderedPageBreak/>
        <w:t>работы на заводах, где имеются договора техпомощи. Этого не вполне понимает ГУАП, тактика которого чуть не привела фирму («Райт») к разрыву с нами договора. Также прием, оказанный в Москве ГУАПом, приезжавшему недавно представителю фирмы был достаточно «прохладный». Как ни как, а мотор «Циклон» остается пока лучшим мотором этого класса в Америке, фирма работает над дальнейшим усовершенствованием своих типов моторов и, несомненно, будет нам еще полезна (договор заключили ведь очень дешево к тому же). Я, во всяком случае, повидав французские заводы и лабораторию завода «Испано-Сюиз», остался непоколебленным сторонником американской авиации!</w:t>
      </w:r>
    </w:p>
    <w:p w14:paraId="42A5968A" w14:textId="77777777" w:rsidR="00DC61A5" w:rsidRPr="00E14102" w:rsidRDefault="00DC61A5" w:rsidP="00E14102">
      <w:pPr>
        <w:jc w:val="both"/>
        <w:rPr>
          <w:color w:val="0070C0"/>
          <w:sz w:val="16"/>
          <w:szCs w:val="16"/>
        </w:rPr>
      </w:pPr>
      <w:r w:rsidRPr="00E14102">
        <w:rPr>
          <w:color w:val="0070C0"/>
          <w:sz w:val="16"/>
          <w:szCs w:val="16"/>
        </w:rPr>
        <w:t>Учитывая высокую специализацию американской техники (см. выше п. 2), нельзя думать, что фирма, дающая окончательный продукт, сможет дать техпомощь и по всем составным частям машины. Поэтому следовало бы иметь какое-то соглашение (договор техпомощи или заказ с получением техпомощи) с фирмами, изготовляющими такие специальные приборы, которых у нас еще нет и которых ни фирма «Райт», ни «Сперри» дать не смогут, ибо сами их не производят; например, компрессор для высотных полетов, самопуск Бендикса2 или «прямой вспрыск» и т.д.</w:t>
      </w:r>
    </w:p>
    <w:p w14:paraId="658D1362" w14:textId="77777777" w:rsidR="00DC61A5" w:rsidRPr="00E14102" w:rsidRDefault="00DC61A5" w:rsidP="00E14102">
      <w:pPr>
        <w:jc w:val="both"/>
        <w:rPr>
          <w:color w:val="0070C0"/>
          <w:sz w:val="16"/>
          <w:szCs w:val="16"/>
        </w:rPr>
      </w:pPr>
      <w:r w:rsidRPr="00E14102">
        <w:rPr>
          <w:color w:val="0070C0"/>
          <w:sz w:val="16"/>
          <w:szCs w:val="16"/>
        </w:rPr>
        <w:t>Америка накануне разрешения проблемы полетов на больших высотах (и в стратосфере), и может быть связь по этой линии и договора ускорят решение проблемы и у нас.</w:t>
      </w:r>
    </w:p>
    <w:p w14:paraId="702D7BFA" w14:textId="77777777" w:rsidR="00DC61A5" w:rsidRPr="00E14102" w:rsidRDefault="00DC61A5" w:rsidP="00E14102">
      <w:pPr>
        <w:jc w:val="both"/>
        <w:rPr>
          <w:color w:val="0070C0"/>
          <w:sz w:val="16"/>
          <w:szCs w:val="16"/>
        </w:rPr>
      </w:pPr>
      <w:r w:rsidRPr="00E14102">
        <w:rPr>
          <w:color w:val="0070C0"/>
          <w:sz w:val="16"/>
          <w:szCs w:val="16"/>
        </w:rPr>
        <w:t>По пункту «д». Организовывать осмотры заводов и получение материалов для приезжающих комиссий задача далеко нелегкая, особенно при отсутствии заказов и договоров. Поэтому наиболее ответственные связи можно использовать не слишком часто и их надо хранить для наиболее ответственных случаев. Между тем, в прошлом (1934) году был ряд комиссий авиапромышленности, осматривавших те же заводы, под конец фирмы начинают отказывать в доступе. Дело надо обязательно централизовать и договариваться заранее о программе работы с Амторгом.</w:t>
      </w:r>
    </w:p>
    <w:p w14:paraId="1BFA1CCF" w14:textId="77777777" w:rsidR="00DC61A5" w:rsidRPr="00E14102" w:rsidRDefault="00DC61A5" w:rsidP="00E14102">
      <w:pPr>
        <w:jc w:val="both"/>
        <w:rPr>
          <w:color w:val="0070C0"/>
          <w:sz w:val="16"/>
          <w:szCs w:val="16"/>
        </w:rPr>
      </w:pPr>
      <w:r w:rsidRPr="00E14102">
        <w:rPr>
          <w:color w:val="0070C0"/>
          <w:sz w:val="16"/>
          <w:szCs w:val="16"/>
        </w:rPr>
        <w:t>По пункту «е». Опыт студентов, присланных НКТяжем показал, что хорошо подготовленные нами инженеры выносят очень много из американских институтов. Должны, конечно, приезжать со знанием английского языка (хотя бы теоретическим).</w:t>
      </w:r>
    </w:p>
    <w:p w14:paraId="652FF5C2" w14:textId="77777777" w:rsidR="00DC61A5" w:rsidRPr="00E14102" w:rsidRDefault="00DC61A5" w:rsidP="00E14102">
      <w:pPr>
        <w:jc w:val="both"/>
        <w:rPr>
          <w:color w:val="0070C0"/>
          <w:sz w:val="16"/>
          <w:szCs w:val="16"/>
        </w:rPr>
      </w:pPr>
      <w:r w:rsidRPr="00E14102">
        <w:rPr>
          <w:color w:val="0070C0"/>
          <w:sz w:val="16"/>
          <w:szCs w:val="16"/>
        </w:rPr>
        <w:t xml:space="preserve">Что, однако, особенно важно: выполняя специальные проекты или работая над научными и производственными вопросами с профессурой, студенты получают доступ к таким материалам, которых никаким договором от фирм не получишь! Наши студенты (их было 50) себя прекрасно зарекомендовали, лучшие институты Америки (Массачусетс, Карнеги, Корнель, Колумбийский, Пардью и др.) встретят новых студентов наилучшим образом. </w:t>
      </w:r>
    </w:p>
    <w:p w14:paraId="7BF3F508" w14:textId="77777777" w:rsidR="00DC61A5" w:rsidRPr="00E14102" w:rsidRDefault="00DC61A5" w:rsidP="00E14102">
      <w:pPr>
        <w:jc w:val="both"/>
        <w:rPr>
          <w:color w:val="0070C0"/>
          <w:sz w:val="16"/>
          <w:szCs w:val="16"/>
        </w:rPr>
      </w:pPr>
      <w:r w:rsidRPr="00E14102">
        <w:rPr>
          <w:color w:val="0070C0"/>
          <w:sz w:val="16"/>
          <w:szCs w:val="16"/>
        </w:rPr>
        <w:t>Рекомендую к будущему семестру (сентябрь 1935 г.) послать 10 студентов из окончивших наши академии. Нельзя посылать только кораблестроителей, ибо иностранцев на специальные предметы кораблестроения не принимают.</w:t>
      </w:r>
    </w:p>
    <w:p w14:paraId="590C20C7" w14:textId="77777777" w:rsidR="00DC61A5" w:rsidRPr="00E14102" w:rsidRDefault="00DC61A5" w:rsidP="00E14102">
      <w:pPr>
        <w:jc w:val="both"/>
        <w:rPr>
          <w:color w:val="0070C0"/>
          <w:sz w:val="16"/>
          <w:szCs w:val="16"/>
        </w:rPr>
      </w:pPr>
      <w:r w:rsidRPr="00E14102">
        <w:rPr>
          <w:color w:val="0070C0"/>
          <w:sz w:val="16"/>
          <w:szCs w:val="16"/>
        </w:rPr>
        <w:t>По остальным пунктам пояснений не требуется.</w:t>
      </w:r>
    </w:p>
    <w:p w14:paraId="41524949" w14:textId="77777777" w:rsidR="00DC61A5" w:rsidRPr="00E14102" w:rsidRDefault="00DC61A5" w:rsidP="00E14102">
      <w:pPr>
        <w:jc w:val="both"/>
        <w:rPr>
          <w:color w:val="0070C0"/>
          <w:sz w:val="16"/>
          <w:szCs w:val="16"/>
        </w:rPr>
      </w:pPr>
      <w:r w:rsidRPr="00E14102">
        <w:rPr>
          <w:color w:val="0070C0"/>
          <w:sz w:val="16"/>
          <w:szCs w:val="16"/>
        </w:rPr>
        <w:t xml:space="preserve">Примечание: Возможно, что все написанное мною Вам хорошо известно. Но я так много уделял и времени, и интереса работе инженерного отдела, а в частности авиации и моторизации, что мне хотелось в сжатом виде дать Вам некоторые свои выводы. </w:t>
      </w:r>
    </w:p>
    <w:p w14:paraId="0CD24AF1" w14:textId="77777777" w:rsidR="00DC61A5" w:rsidRPr="00E14102" w:rsidRDefault="00DC61A5" w:rsidP="00E14102">
      <w:pPr>
        <w:jc w:val="both"/>
        <w:rPr>
          <w:color w:val="0070C0"/>
          <w:sz w:val="16"/>
          <w:szCs w:val="16"/>
        </w:rPr>
      </w:pPr>
      <w:r w:rsidRPr="00E14102">
        <w:rPr>
          <w:color w:val="0070C0"/>
          <w:sz w:val="16"/>
          <w:szCs w:val="16"/>
        </w:rPr>
        <w:t>Если Вас интересует записка или отдельные вопросы, готов всегда устно или письменно дать все, что смогу.</w:t>
      </w:r>
    </w:p>
    <w:p w14:paraId="7A91B5B8" w14:textId="77777777" w:rsidR="00DC61A5" w:rsidRPr="00E14102" w:rsidRDefault="00DC61A5" w:rsidP="00E14102">
      <w:pPr>
        <w:jc w:val="both"/>
        <w:rPr>
          <w:color w:val="0070C0"/>
          <w:sz w:val="16"/>
          <w:szCs w:val="16"/>
        </w:rPr>
      </w:pPr>
      <w:r w:rsidRPr="00E14102">
        <w:rPr>
          <w:color w:val="0070C0"/>
          <w:sz w:val="16"/>
          <w:szCs w:val="16"/>
        </w:rPr>
        <w:t>С сердечным коммунистическим приветом Петр Богданов</w:t>
      </w:r>
    </w:p>
    <w:p w14:paraId="42F5608F" w14:textId="77777777" w:rsidR="00DC61A5" w:rsidRPr="00E14102" w:rsidRDefault="00DC61A5" w:rsidP="00E14102">
      <w:pPr>
        <w:jc w:val="both"/>
        <w:rPr>
          <w:color w:val="0070C0"/>
          <w:sz w:val="16"/>
          <w:szCs w:val="16"/>
        </w:rPr>
      </w:pPr>
      <w:r w:rsidRPr="00E14102">
        <w:rPr>
          <w:color w:val="0070C0"/>
          <w:sz w:val="16"/>
          <w:szCs w:val="16"/>
        </w:rPr>
        <w:t>АП РФ. Ф. 3. On. 66. Д. 363. Л. 3-7. Копия (20840).</w:t>
      </w:r>
    </w:p>
    <w:p w14:paraId="5A862C95" w14:textId="77777777" w:rsidR="00DC61A5" w:rsidRPr="00E14102" w:rsidRDefault="00DC61A5" w:rsidP="00E14102">
      <w:pPr>
        <w:jc w:val="both"/>
        <w:rPr>
          <w:color w:val="0070C0"/>
          <w:sz w:val="16"/>
          <w:szCs w:val="16"/>
        </w:rPr>
      </w:pPr>
    </w:p>
    <w:p w14:paraId="197F959E" w14:textId="77777777" w:rsidR="0011334B" w:rsidRPr="00E14102" w:rsidRDefault="0011334B" w:rsidP="00E14102">
      <w:pPr>
        <w:pStyle w:val="rtejustify"/>
        <w:spacing w:before="0" w:after="0"/>
        <w:rPr>
          <w:color w:val="000000" w:themeColor="text1"/>
          <w:sz w:val="16"/>
          <w:szCs w:val="16"/>
        </w:rPr>
      </w:pPr>
      <w:r w:rsidRPr="00E14102">
        <w:rPr>
          <w:rStyle w:val="a6"/>
          <w:bCs/>
          <w:i w:val="0"/>
          <w:color w:val="000000" w:themeColor="text1"/>
          <w:sz w:val="16"/>
          <w:szCs w:val="16"/>
        </w:rPr>
        <w:t>20/21 февраля 1935 вышел приказ НКТП № 23сс.</w:t>
      </w:r>
      <w:r w:rsidRPr="00E14102">
        <w:rPr>
          <w:color w:val="000000" w:themeColor="text1"/>
          <w:sz w:val="16"/>
          <w:szCs w:val="16"/>
        </w:rPr>
        <w:t xml:space="preserve"> О постройке на Северной судостроительной верфи экспериментального судна № 500. (РГАЭ. Ф. 7297. Оп. 38. Д. 171. Л. 34) (15246).</w:t>
      </w:r>
    </w:p>
    <w:p w14:paraId="4E9B94D5" w14:textId="77777777" w:rsidR="0011334B" w:rsidRPr="00E14102" w:rsidRDefault="0011334B" w:rsidP="00E14102">
      <w:pPr>
        <w:pStyle w:val="rtejustify"/>
        <w:spacing w:before="0" w:after="0"/>
        <w:rPr>
          <w:color w:val="000000" w:themeColor="text1"/>
          <w:sz w:val="16"/>
          <w:szCs w:val="16"/>
        </w:rPr>
      </w:pPr>
    </w:p>
    <w:p w14:paraId="41A97F5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E868C17" w14:textId="77777777" w:rsidR="00D4105E" w:rsidRPr="00E14102" w:rsidRDefault="00D4105E" w:rsidP="00E14102">
      <w:pPr>
        <w:autoSpaceDE w:val="0"/>
        <w:autoSpaceDN w:val="0"/>
        <w:adjustRightInd w:val="0"/>
        <w:jc w:val="both"/>
        <w:rPr>
          <w:iCs/>
          <w:color w:val="000000" w:themeColor="text1"/>
          <w:sz w:val="16"/>
          <w:szCs w:val="16"/>
        </w:rPr>
      </w:pPr>
    </w:p>
    <w:p w14:paraId="2AB908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февраля 1935 в НИИ ВВС закончились испытания самолета И-14, оборудованного 4-мя пулеметами ШКАС, которые проходили с 27 января 1935 (7779, 67-68).</w:t>
      </w:r>
    </w:p>
    <w:p w14:paraId="177F4EEE" w14:textId="77777777" w:rsidR="00D4105E" w:rsidRPr="00E14102" w:rsidRDefault="00D4105E" w:rsidP="00E14102">
      <w:pPr>
        <w:autoSpaceDE w:val="0"/>
        <w:autoSpaceDN w:val="0"/>
        <w:adjustRightInd w:val="0"/>
        <w:jc w:val="both"/>
        <w:rPr>
          <w:color w:val="000000" w:themeColor="text1"/>
          <w:sz w:val="16"/>
          <w:szCs w:val="16"/>
        </w:rPr>
      </w:pPr>
    </w:p>
    <w:p w14:paraId="0A03D0B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февраля 1935 года вышел Приказ НИИ ВВС № 0103 О гос. испытаниях имитационных авиабомб для имитации разрыва авиабомбы конструкции завода № 5 (6814, 80).</w:t>
      </w:r>
    </w:p>
    <w:p w14:paraId="4F6A9E3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DDDC81B" w14:textId="77777777" w:rsidR="004A72F7" w:rsidRPr="00E14102" w:rsidRDefault="004A72F7" w:rsidP="00E14102">
      <w:pPr>
        <w:shd w:val="clear" w:color="auto" w:fill="FFFFFF"/>
        <w:jc w:val="both"/>
        <w:textAlignment w:val="baseline"/>
        <w:rPr>
          <w:color w:val="0070C0"/>
          <w:sz w:val="16"/>
          <w:szCs w:val="16"/>
        </w:rPr>
      </w:pPr>
      <w:r w:rsidRPr="00E14102">
        <w:rPr>
          <w:color w:val="0070C0"/>
          <w:sz w:val="16"/>
          <w:szCs w:val="16"/>
        </w:rPr>
        <w:t xml:space="preserve">21 февраля 1935 с Центрального аэродрома Москвы самолет Молокова вылетел по маршруту Москва – Красноярск – остров Диксон. </w:t>
      </w:r>
    </w:p>
    <w:p w14:paraId="305286AE" w14:textId="77777777" w:rsidR="004A72F7" w:rsidRPr="00E14102" w:rsidRDefault="004A72F7" w:rsidP="00E14102">
      <w:pPr>
        <w:shd w:val="clear" w:color="auto" w:fill="FFFFFF"/>
        <w:jc w:val="both"/>
        <w:textAlignment w:val="baseline"/>
        <w:rPr>
          <w:color w:val="0070C0"/>
          <w:sz w:val="16"/>
          <w:szCs w:val="16"/>
        </w:rPr>
      </w:pPr>
      <w:r w:rsidRPr="00E14102">
        <w:rPr>
          <w:color w:val="0070C0"/>
          <w:sz w:val="16"/>
          <w:szCs w:val="16"/>
        </w:rPr>
        <w:t>Перелет В.С. Молокова также как и предыдущий не преследовал рекордных целей. Экипаж в составе: командира В.С. Молокова, бортмеханика Г.Т. Побежимова и радиста М. Зибрева должен был проверить возможность организации круглогодичной авиатрассы Красноярск – остров Диксон. Освещать в советской прессе новые трудовые подвиги советских летчиков должны были, летевшие пассажирами, корреспонденты «Правды» Б.Л. Горбатов и «Известий» – Эль-Регистан.</w:t>
      </w:r>
    </w:p>
    <w:p w14:paraId="69059700" w14:textId="77777777" w:rsidR="004A72F7" w:rsidRPr="00E14102" w:rsidRDefault="004A72F7" w:rsidP="00E14102">
      <w:pPr>
        <w:shd w:val="clear" w:color="auto" w:fill="FFFFFF"/>
        <w:jc w:val="both"/>
        <w:textAlignment w:val="baseline"/>
        <w:rPr>
          <w:color w:val="0070C0"/>
          <w:sz w:val="16"/>
          <w:szCs w:val="16"/>
        </w:rPr>
      </w:pPr>
      <w:r w:rsidRPr="00E14102">
        <w:rPr>
          <w:color w:val="0070C0"/>
          <w:sz w:val="16"/>
          <w:szCs w:val="16"/>
        </w:rPr>
        <w:t>Самолет, на котором предстояло выполнить перелет, был весьма примечательный. Конструктором А.Н. Рафаэлянцем с учетом требований ГУСМП был спроектирован и построен самолет ПР-5 – глубокая модернизация привычного Р-5. Главной отличительной особенностью его являлся новый обтекаемый, оборудованный удобной четырехместной пассажирской кабиной, фюзеляж. Впервые в воздух он поднялся 18 ноября 1934 года. Самолет, получивший бортовой номер «Н-70», был тщательно подготовлен к дальнему перелету. Носовая часть серебристого самолета-красавца и верхние поверхности крыльев были окрашены в ярко-синий цвет.</w:t>
      </w:r>
    </w:p>
    <w:p w14:paraId="167EDA62" w14:textId="77777777" w:rsidR="004A72F7" w:rsidRPr="00E14102" w:rsidRDefault="004A72F7" w:rsidP="00E14102">
      <w:pPr>
        <w:shd w:val="clear" w:color="auto" w:fill="FFFFFF"/>
        <w:jc w:val="both"/>
        <w:textAlignment w:val="baseline"/>
        <w:rPr>
          <w:color w:val="0070C0"/>
          <w:sz w:val="16"/>
          <w:szCs w:val="16"/>
        </w:rPr>
      </w:pPr>
      <w:r w:rsidRPr="00E14102">
        <w:rPr>
          <w:color w:val="0070C0"/>
          <w:sz w:val="16"/>
          <w:szCs w:val="16"/>
        </w:rPr>
        <w:t>Первая посадка была произведена в Казани через четыре часа полета. 22 февраля Молоков вылетел из Казани, предполагая приземлиться в Свердловске, но ввиду «полного отсутствия видимости» пришлось сесть в Янауле. 24 февраля, несмотря на плохую погоду, члены экспедиции благополучно добрались до Свердловска. 26 февраля в 7 часов 15 минут (по московскому времени) вылетели из Свердловска и через два с небольшим часа полета приземлились в Кургане. Заправив самолет, Молоков вылетел в Омск, где и совершил очередную посадку через 4 часа 10 минут полета.</w:t>
      </w:r>
    </w:p>
    <w:p w14:paraId="1B8C8CFD" w14:textId="77777777" w:rsidR="004A72F7" w:rsidRPr="00E14102" w:rsidRDefault="004A72F7" w:rsidP="00E14102">
      <w:pPr>
        <w:shd w:val="clear" w:color="auto" w:fill="FFFFFF"/>
        <w:jc w:val="both"/>
        <w:textAlignment w:val="baseline"/>
        <w:rPr>
          <w:color w:val="0070C0"/>
          <w:sz w:val="16"/>
          <w:szCs w:val="16"/>
        </w:rPr>
      </w:pPr>
      <w:r w:rsidRPr="00E14102">
        <w:rPr>
          <w:color w:val="0070C0"/>
          <w:sz w:val="16"/>
          <w:szCs w:val="16"/>
        </w:rPr>
        <w:t>27 февраля в 1 час 10 минут (по московскому времени) авиаторов встретил Новосибирск. 28 февраля Молоков совершил перелет Новосибирск – Красноярск, преодолев 675 км за 3 часа 5 минут. 4 марта в 6 часов 40 минут (по московскому времени) «Н-70» вылетел с красноярского аэродрома. Вечером 6 марта экипаж Молокова прибыл в Игарку.</w:t>
      </w:r>
    </w:p>
    <w:p w14:paraId="7A097FE7" w14:textId="77777777" w:rsidR="004A72F7" w:rsidRPr="00E14102" w:rsidRDefault="004A72F7" w:rsidP="00E14102">
      <w:pPr>
        <w:shd w:val="clear" w:color="auto" w:fill="FFFFFF"/>
        <w:jc w:val="both"/>
        <w:textAlignment w:val="baseline"/>
        <w:rPr>
          <w:color w:val="0070C0"/>
          <w:sz w:val="16"/>
          <w:szCs w:val="16"/>
        </w:rPr>
      </w:pPr>
      <w:r w:rsidRPr="00E14102">
        <w:rPr>
          <w:color w:val="0070C0"/>
          <w:sz w:val="16"/>
          <w:szCs w:val="16"/>
        </w:rPr>
        <w:t>Дальнейшему продвижению авиаторов к конечному пункту перелета постоянно мешала изменчивая погода. Позже В.С. Молоков вспоминал:</w:t>
      </w:r>
    </w:p>
    <w:p w14:paraId="597CB162" w14:textId="77777777" w:rsidR="004A72F7" w:rsidRPr="00E14102" w:rsidRDefault="004A72F7" w:rsidP="00E14102">
      <w:pPr>
        <w:shd w:val="clear" w:color="auto" w:fill="FFFFFF"/>
        <w:jc w:val="both"/>
        <w:textAlignment w:val="baseline"/>
        <w:rPr>
          <w:color w:val="0070C0"/>
          <w:sz w:val="16"/>
          <w:szCs w:val="16"/>
        </w:rPr>
      </w:pPr>
      <w:r w:rsidRPr="00E14102">
        <w:rPr>
          <w:color w:val="0070C0"/>
          <w:sz w:val="16"/>
          <w:szCs w:val="16"/>
        </w:rPr>
        <w:t>«В Игарке пришлось задержаться. Самолет не мог подняться с места посадки. Лед покрывался водой, лыжи проваливались в талый снег. Пришли на помощь местные жители. Строем маршировали они по протоке и утоптали узкую дорожку…</w:t>
      </w:r>
    </w:p>
    <w:p w14:paraId="1FADEF2B" w14:textId="77777777" w:rsidR="004A72F7" w:rsidRPr="00E14102" w:rsidRDefault="004A72F7" w:rsidP="00E14102">
      <w:pPr>
        <w:shd w:val="clear" w:color="auto" w:fill="FFFFFF"/>
        <w:jc w:val="both"/>
        <w:textAlignment w:val="baseline"/>
        <w:rPr>
          <w:color w:val="0070C0"/>
          <w:sz w:val="16"/>
          <w:szCs w:val="16"/>
        </w:rPr>
      </w:pPr>
      <w:r w:rsidRPr="00E14102">
        <w:rPr>
          <w:color w:val="0070C0"/>
          <w:sz w:val="16"/>
          <w:szCs w:val="16"/>
        </w:rPr>
        <w:t>У зимовки Гольчиха на берегу Енисейского залива нам пришлось идти на вынужденную посадку. Больше недели продержала нас здесь пурга.</w:t>
      </w:r>
    </w:p>
    <w:p w14:paraId="6EBD140B" w14:textId="77777777" w:rsidR="004A72F7" w:rsidRPr="00E14102" w:rsidRDefault="004A72F7" w:rsidP="00E14102">
      <w:pPr>
        <w:shd w:val="clear" w:color="auto" w:fill="FFFFFF"/>
        <w:jc w:val="both"/>
        <w:textAlignment w:val="baseline"/>
        <w:rPr>
          <w:color w:val="0070C0"/>
          <w:sz w:val="16"/>
          <w:szCs w:val="16"/>
        </w:rPr>
      </w:pPr>
      <w:r w:rsidRPr="00E14102">
        <w:rPr>
          <w:color w:val="0070C0"/>
          <w:sz w:val="16"/>
          <w:szCs w:val="16"/>
        </w:rPr>
        <w:t>Только 19 марта мы достигли Диксона. Выгрузили почту – газеты, книги, посылки, а главное – письма! Зимовщики не знали, как лучше нас принять, чем угостить... Однако задерживаться долго нам было нельзя, хотелось использовать наступившую ясную погоду. Через два часа мы вылетели в Дудинку. Только Борис Горбатов остался зимовать на Диксоне» . [86]</w:t>
      </w:r>
    </w:p>
    <w:p w14:paraId="66B6D883" w14:textId="77777777" w:rsidR="004A72F7" w:rsidRPr="00E14102" w:rsidRDefault="004A72F7" w:rsidP="00E14102">
      <w:pPr>
        <w:shd w:val="clear" w:color="auto" w:fill="FFFFFF"/>
        <w:jc w:val="both"/>
        <w:textAlignment w:val="baseline"/>
        <w:rPr>
          <w:color w:val="0070C0"/>
          <w:sz w:val="16"/>
          <w:szCs w:val="16"/>
        </w:rPr>
      </w:pPr>
      <w:r w:rsidRPr="00E14102">
        <w:rPr>
          <w:color w:val="0070C0"/>
          <w:sz w:val="16"/>
          <w:szCs w:val="16"/>
        </w:rPr>
        <w:t>На этом рассказ о перелете Молокова можно было бы закончить. Заявленная цель была достигнута, причем, с минимумом приключений. Однако оказалось, что Арктика приберегла «сюрприз» для экипажа Молокова на обратный путь. Вновь обратимся к воспоминаниям Василия Сергеевича:</w:t>
      </w:r>
    </w:p>
    <w:p w14:paraId="0F9D16CC" w14:textId="77777777" w:rsidR="004A72F7" w:rsidRPr="00E14102" w:rsidRDefault="004A72F7" w:rsidP="00E14102">
      <w:pPr>
        <w:shd w:val="clear" w:color="auto" w:fill="FFFFFF"/>
        <w:jc w:val="both"/>
        <w:textAlignment w:val="baseline"/>
        <w:rPr>
          <w:color w:val="0070C0"/>
          <w:sz w:val="16"/>
          <w:szCs w:val="16"/>
        </w:rPr>
      </w:pPr>
      <w:r w:rsidRPr="00E14102">
        <w:rPr>
          <w:color w:val="0070C0"/>
          <w:sz w:val="16"/>
          <w:szCs w:val="16"/>
        </w:rPr>
        <w:t>«В районе Бреховских островов перед нами внезапно, словно из-под земли, выросла стена тумана. Серая его масса буквально облепила самолет... Понимаю, что надо садиться… Внимательно разглядываю через борт лежащую внизу местность… вот мелькнула и темная верхушка чума. Теперь уже спокойно иду на посадку. Сели удачно. Только огляделись, а к нам уже издали спешат две фигуры в меховых одеждах. Оказалось – ненцы-оленеводы… Один из ненцев быстро начертил на снегу карту... Рисунок в точности совпадал с нашей картой. Теперь мы знаем направление на ближайшую зимовку на Енисее – Караул – и расстояние до нее. Надо лететь, пока не настала ночь… Взлет, короткая пробежка – и наш самолет скапотировал, с треском уткнувшись носом в сугроб. Чисто автоматически в какие-то доли секунды я успел выключить мотор. Пожара не возникло, поскольку авария произошла на взлете при небольшой скорости. Зибрев, Эль-Регистан и присоединившийся к нам в Диксоне заготовитель пушнины Пятницкий вылетели из кабины на снег, а нас с Побежимовым удержали ремни. К счастью, все мы отделались ушибами и царапинами... Я решил выяснить, в чем причина аварии... Вот она – прикрытая снегом яма, возможно вырытая копытом оленя. Лыжа самолета попала в эту яму. Такого препятствия не предугадаешь на ровном снежном поле».</w:t>
      </w:r>
    </w:p>
    <w:p w14:paraId="18805798" w14:textId="77777777" w:rsidR="004A72F7" w:rsidRPr="00E14102" w:rsidRDefault="004A72F7" w:rsidP="00E14102">
      <w:pPr>
        <w:shd w:val="clear" w:color="auto" w:fill="FFFFFF"/>
        <w:jc w:val="both"/>
        <w:textAlignment w:val="baseline"/>
        <w:rPr>
          <w:color w:val="0070C0"/>
          <w:sz w:val="16"/>
          <w:szCs w:val="16"/>
        </w:rPr>
      </w:pPr>
      <w:r w:rsidRPr="00E14102">
        <w:rPr>
          <w:color w:val="0070C0"/>
          <w:sz w:val="16"/>
          <w:szCs w:val="16"/>
        </w:rPr>
        <w:t>Экипажу повезло, а вот для красавца-самолета ПР-5, только недавно вышедшего из заводских ворот, этот перелет оказался первым и последним. Его списали (21249).</w:t>
      </w:r>
    </w:p>
    <w:p w14:paraId="0EAD20A3" w14:textId="77777777" w:rsidR="004A72F7" w:rsidRPr="00E14102" w:rsidRDefault="004A72F7" w:rsidP="00E14102">
      <w:pPr>
        <w:jc w:val="both"/>
        <w:rPr>
          <w:color w:val="0070C0"/>
          <w:sz w:val="16"/>
          <w:szCs w:val="16"/>
        </w:rPr>
      </w:pPr>
    </w:p>
    <w:p w14:paraId="4843DA5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E1B8D26" w14:textId="77777777" w:rsidR="00D4105E" w:rsidRPr="00E14102" w:rsidRDefault="00D4105E" w:rsidP="00E14102">
      <w:pPr>
        <w:autoSpaceDE w:val="0"/>
        <w:autoSpaceDN w:val="0"/>
        <w:adjustRightInd w:val="0"/>
        <w:jc w:val="both"/>
        <w:rPr>
          <w:iCs/>
          <w:color w:val="000000" w:themeColor="text1"/>
          <w:sz w:val="16"/>
          <w:szCs w:val="16"/>
        </w:rPr>
      </w:pPr>
    </w:p>
    <w:p w14:paraId="3202D3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февраля 1935 в Москве состоялся первый в СССР Международный кинофестиваль (3960, 72).</w:t>
      </w:r>
    </w:p>
    <w:p w14:paraId="31722657" w14:textId="77777777" w:rsidR="00D4105E" w:rsidRPr="00E14102" w:rsidRDefault="00D4105E" w:rsidP="00E14102">
      <w:pPr>
        <w:autoSpaceDE w:val="0"/>
        <w:autoSpaceDN w:val="0"/>
        <w:adjustRightInd w:val="0"/>
        <w:jc w:val="both"/>
        <w:rPr>
          <w:color w:val="000000" w:themeColor="text1"/>
          <w:sz w:val="16"/>
          <w:szCs w:val="16"/>
        </w:rPr>
      </w:pPr>
    </w:p>
    <w:p w14:paraId="0335B5DF" w14:textId="77777777" w:rsidR="00C17A36" w:rsidRPr="00E14102" w:rsidRDefault="00C17A36" w:rsidP="00E14102">
      <w:pPr>
        <w:jc w:val="both"/>
        <w:rPr>
          <w:color w:val="000000" w:themeColor="text1"/>
          <w:sz w:val="16"/>
          <w:szCs w:val="16"/>
        </w:rPr>
      </w:pPr>
      <w:r w:rsidRPr="00E14102">
        <w:rPr>
          <w:color w:val="000000" w:themeColor="text1"/>
          <w:sz w:val="16"/>
          <w:szCs w:val="16"/>
        </w:rPr>
        <w:t>21 февраля - 2 марта 1935. Первый в СССР международный кинофестиваль. Первая премия присуждена фильмам "Чапаев", "Юность Максима" и "Крестьяне", вторая -фильму "Последний миллиардер" (режиссер Р. Клер), третья - Уолту Диснею за мультипликационные фильмы (18720).</w:t>
      </w:r>
    </w:p>
    <w:p w14:paraId="3E8ECC75" w14:textId="77777777" w:rsidR="00C17A36" w:rsidRPr="00E14102" w:rsidRDefault="00C17A36" w:rsidP="00E14102">
      <w:pPr>
        <w:jc w:val="both"/>
        <w:rPr>
          <w:color w:val="000000" w:themeColor="text1"/>
          <w:sz w:val="16"/>
          <w:szCs w:val="16"/>
        </w:rPr>
      </w:pPr>
    </w:p>
    <w:p w14:paraId="074670F0" w14:textId="77777777" w:rsidR="0011334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46755CB" w14:textId="77777777" w:rsidR="0011334B" w:rsidRPr="00E14102" w:rsidRDefault="0011334B" w:rsidP="00E14102">
      <w:pPr>
        <w:autoSpaceDE w:val="0"/>
        <w:autoSpaceDN w:val="0"/>
        <w:adjustRightInd w:val="0"/>
        <w:jc w:val="both"/>
        <w:rPr>
          <w:iCs/>
          <w:color w:val="000000" w:themeColor="text1"/>
          <w:sz w:val="16"/>
          <w:szCs w:val="16"/>
        </w:rPr>
      </w:pPr>
    </w:p>
    <w:p w14:paraId="7B5325D5" w14:textId="77777777" w:rsidR="0011334B" w:rsidRPr="00E14102" w:rsidRDefault="0011334B" w:rsidP="00E14102">
      <w:pPr>
        <w:jc w:val="both"/>
        <w:rPr>
          <w:color w:val="000000" w:themeColor="text1"/>
          <w:sz w:val="16"/>
          <w:szCs w:val="16"/>
        </w:rPr>
      </w:pPr>
      <w:r w:rsidRPr="00E14102">
        <w:rPr>
          <w:color w:val="000000" w:themeColor="text1"/>
          <w:sz w:val="16"/>
          <w:szCs w:val="16"/>
        </w:rPr>
        <w:t xml:space="preserve">21 февраля 1935 "Хаукер" направила в министерство авиации данные уточненных расчетов характеристик истребителя. Максимальная скорость должна была превысить требуемую заданием и составлять 530 км/ч. При этом брался взлетный вес в 2230 кг, на 135 кг больше первоначальных наметок Кэмма. Большая часть </w:t>
      </w:r>
      <w:r w:rsidRPr="00E14102">
        <w:rPr>
          <w:color w:val="000000" w:themeColor="text1"/>
          <w:sz w:val="16"/>
          <w:szCs w:val="16"/>
        </w:rPr>
        <w:lastRenderedPageBreak/>
        <w:t>разницы шла за счет увеличения массы двигателя в процессе доводки и заложенного для сохранения центровки увеличения боезапаса. В тот же день министерство направило навстречу заказ на постройку одного опытного образца номер К5083. Эту машину фактически начали строить раньше, но еще шесть месяцев ушло, пока самолет завершили. В августе 1935 г. истребитель собрали, затем около шести недель потратили на обтяжку полотном фюзеляжа, крыльев и оперения, и проверку функционирования узлов и агрегатов. К этому моменту заказчики уже твердо решили вопрос с вооружением. В июле поступило указание устанавливать восемь "Браунингов". Поскольку на самом деле их еще не имелось, опытную машину догрузили балластом. Это, и небольшое увеличение емкости бензобаков довели реальный взлетный вес истребителя до 2460 кг. Вместо патронов и радиостанции также разместили балласт. На самолете стоял двигатель "Мерлин"С, который к тому времени еще не прошел ресурсных испытаний, обязательных для получения государственного сертификата. Но новому истребителю придавалось такое значение, что на это просто наплевали. 23 октября самолет перевезли в Бруклендс, где вновь собрали после транспортировки. Машину взвесили, опробовали мотор, и испытатель П.Балмэн начал пробежки по летному полю. 6 ноября он впервые оторвался от земли (15129).</w:t>
      </w:r>
    </w:p>
    <w:p w14:paraId="3FDF5B75" w14:textId="77777777" w:rsidR="0011334B" w:rsidRPr="00E14102" w:rsidRDefault="0011334B" w:rsidP="00E14102">
      <w:pPr>
        <w:jc w:val="both"/>
        <w:rPr>
          <w:color w:val="000000" w:themeColor="text1"/>
          <w:sz w:val="16"/>
          <w:szCs w:val="16"/>
        </w:rPr>
      </w:pPr>
    </w:p>
    <w:p w14:paraId="4AD5EB35" w14:textId="77777777" w:rsidR="004A72F7" w:rsidRPr="00E14102" w:rsidRDefault="004A72F7" w:rsidP="00E14102">
      <w:pPr>
        <w:jc w:val="both"/>
        <w:rPr>
          <w:color w:val="0070C0"/>
          <w:sz w:val="16"/>
          <w:szCs w:val="16"/>
        </w:rPr>
      </w:pPr>
      <w:r w:rsidRPr="00E14102">
        <w:rPr>
          <w:color w:val="0070C0"/>
          <w:sz w:val="16"/>
          <w:szCs w:val="16"/>
        </w:rPr>
        <w:t>21 февраля 1935 сестры Джейн и Элизабет Дю Буа, дочери американского консула в Неаполе, Италия , Coert du Bois, взламывают дверь авиалайнера Hillman Airways de Havilland Dragon Rapide и прыгают за борт, разбиваясь на смерть. Обе женщины были обручены с пилотами, погибшими в результате крушения летающей лодки Королевских ВВС у Сицилии 15 февраля (20800).</w:t>
      </w:r>
    </w:p>
    <w:p w14:paraId="0BAD3D0E" w14:textId="77777777" w:rsidR="004A72F7" w:rsidRPr="00E14102" w:rsidRDefault="004A72F7" w:rsidP="00E14102">
      <w:pPr>
        <w:jc w:val="both"/>
        <w:rPr>
          <w:color w:val="0070C0"/>
          <w:sz w:val="16"/>
          <w:szCs w:val="16"/>
        </w:rPr>
      </w:pPr>
    </w:p>
    <w:p w14:paraId="100BEBAD" w14:textId="77777777" w:rsidR="004A72F7" w:rsidRPr="00E14102" w:rsidRDefault="004A72F7" w:rsidP="00E14102">
      <w:pPr>
        <w:jc w:val="both"/>
        <w:rPr>
          <w:color w:val="0070C0"/>
          <w:sz w:val="16"/>
          <w:szCs w:val="16"/>
        </w:rPr>
      </w:pPr>
      <w:r w:rsidRPr="00E14102">
        <w:rPr>
          <w:color w:val="0070C0"/>
          <w:sz w:val="16"/>
          <w:szCs w:val="16"/>
        </w:rPr>
        <w:t>21 февраля 1935 состоялся первый полет авиадвигателя Rolls-Royce PV-12, прототипа Rolls-Royce Merlin (в Hawker Hart ) (20800).</w:t>
      </w:r>
    </w:p>
    <w:p w14:paraId="345CF80E" w14:textId="77777777" w:rsidR="004A72F7" w:rsidRPr="00E14102" w:rsidRDefault="004A72F7" w:rsidP="00E14102">
      <w:pPr>
        <w:jc w:val="both"/>
        <w:rPr>
          <w:color w:val="0070C0"/>
          <w:sz w:val="16"/>
          <w:szCs w:val="16"/>
        </w:rPr>
      </w:pPr>
    </w:p>
    <w:p w14:paraId="76C473BD" w14:textId="77777777" w:rsidR="0011334B" w:rsidRPr="00E14102" w:rsidRDefault="0011334B" w:rsidP="00E14102">
      <w:pPr>
        <w:jc w:val="both"/>
        <w:rPr>
          <w:color w:val="000000" w:themeColor="text1"/>
          <w:sz w:val="16"/>
          <w:szCs w:val="16"/>
        </w:rPr>
      </w:pPr>
      <w:r w:rsidRPr="00E14102">
        <w:rPr>
          <w:bCs/>
          <w:color w:val="000000" w:themeColor="text1"/>
          <w:sz w:val="16"/>
          <w:szCs w:val="16"/>
        </w:rPr>
        <w:t>21 февраля</w:t>
      </w:r>
      <w:r w:rsidRPr="00E14102">
        <w:rPr>
          <w:color w:val="000000" w:themeColor="text1"/>
          <w:sz w:val="16"/>
          <w:szCs w:val="16"/>
        </w:rPr>
        <w:t xml:space="preserve"> в 1935 году Арман Петижан и группа его коммерческих партнеров подписали деловые бумаги и объявили о создании новой компании. Ее имя было взято от названия старинного замка Lancosme в центре Франции. Букву "s" посчитали лишней и выкинули. Так родилась знаменитая косметическая фирма "Ланком" (15047).</w:t>
      </w:r>
    </w:p>
    <w:p w14:paraId="69990A80" w14:textId="77777777" w:rsidR="0011334B" w:rsidRPr="00E14102" w:rsidRDefault="0011334B" w:rsidP="00E14102">
      <w:pPr>
        <w:jc w:val="both"/>
        <w:rPr>
          <w:color w:val="000000" w:themeColor="text1"/>
          <w:sz w:val="16"/>
          <w:szCs w:val="16"/>
        </w:rPr>
      </w:pPr>
    </w:p>
    <w:p w14:paraId="2F34BF9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5A7F88D" w14:textId="77777777" w:rsidR="00D4105E" w:rsidRPr="00E14102" w:rsidRDefault="00D4105E" w:rsidP="00E14102">
      <w:pPr>
        <w:autoSpaceDE w:val="0"/>
        <w:autoSpaceDN w:val="0"/>
        <w:adjustRightInd w:val="0"/>
        <w:jc w:val="both"/>
        <w:rPr>
          <w:iCs/>
          <w:color w:val="000000" w:themeColor="text1"/>
          <w:sz w:val="16"/>
          <w:szCs w:val="16"/>
        </w:rPr>
      </w:pPr>
    </w:p>
    <w:p w14:paraId="67F6FF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февраля 1935 года в НИИ ВВС закончились испытания самолета И7 N 4449 с мотором М17 N 262646 Е=7,3 винт N 32250 Д=3,112 Н=2,77, которые проходили с 8 февраля 1935</w:t>
      </w:r>
    </w:p>
    <w:p w14:paraId="09A680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53AB4D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Летные и эксплуатационные испытания самолета И7 N 4449 эталон 1933 г. с новым клепаным дюралевым хвостовым оперением.</w:t>
      </w:r>
    </w:p>
    <w:p w14:paraId="6DC9C4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096869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 И7 М17 с новым дюралевым оперением может быть допущен к эксплуатации после устранения (зав. N 1) дефектов.</w:t>
      </w:r>
    </w:p>
    <w:p w14:paraId="59B6D5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56341B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 Петухов</w:t>
      </w:r>
    </w:p>
    <w:p w14:paraId="281649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 Савинов</w:t>
      </w:r>
    </w:p>
    <w:p w14:paraId="7A1F35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Календарь</w:t>
      </w:r>
    </w:p>
    <w:p w14:paraId="1A4ED4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Прохождения испытаний самолета И7 N 4449</w:t>
      </w:r>
    </w:p>
    <w:p w14:paraId="5D3EEB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получен с завода N 1 – 8 января 1935 года</w:t>
      </w:r>
    </w:p>
    <w:p w14:paraId="51D189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Перелет в Щелково - 8 января 1935 года</w:t>
      </w:r>
    </w:p>
    <w:p w14:paraId="6E8462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Окончание испытаний – 22 февраля 1935 года</w:t>
      </w:r>
    </w:p>
    <w:p w14:paraId="67BC6A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Затрачено на испытание 45 календарных дней</w:t>
      </w:r>
    </w:p>
    <w:p w14:paraId="42558A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самолета было проведено в 16 дней</w:t>
      </w:r>
    </w:p>
    <w:p w14:paraId="66A868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время нахождения самолета в НИИ ВВС налетано 22 часа 25 минут</w:t>
      </w:r>
    </w:p>
    <w:p w14:paraId="65B6E7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Произведено фигур высшего пилотажа – 500</w:t>
      </w:r>
    </w:p>
    <w:p w14:paraId="34D398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Сделано посадок – 47 (3984).</w:t>
      </w:r>
    </w:p>
    <w:p w14:paraId="34946DA0" w14:textId="77777777" w:rsidR="00D4105E" w:rsidRPr="00E14102" w:rsidRDefault="00D4105E" w:rsidP="00E14102">
      <w:pPr>
        <w:autoSpaceDE w:val="0"/>
        <w:autoSpaceDN w:val="0"/>
        <w:adjustRightInd w:val="0"/>
        <w:jc w:val="both"/>
        <w:rPr>
          <w:color w:val="000000" w:themeColor="text1"/>
          <w:sz w:val="16"/>
          <w:szCs w:val="16"/>
        </w:rPr>
      </w:pPr>
    </w:p>
    <w:p w14:paraId="3D3E71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февраля 1935 в НИИ ВВС закончились гос. испытания самолета ИА1-РЦ, которые проходили с 27 января 1935 (7779, 67-68).</w:t>
      </w:r>
    </w:p>
    <w:p w14:paraId="1FA7A8BD" w14:textId="77777777" w:rsidR="00D4105E" w:rsidRPr="00E14102" w:rsidRDefault="00D4105E" w:rsidP="00E14102">
      <w:pPr>
        <w:autoSpaceDE w:val="0"/>
        <w:autoSpaceDN w:val="0"/>
        <w:adjustRightInd w:val="0"/>
        <w:jc w:val="both"/>
        <w:rPr>
          <w:color w:val="000000" w:themeColor="text1"/>
          <w:sz w:val="16"/>
          <w:szCs w:val="16"/>
        </w:rPr>
      </w:pPr>
    </w:p>
    <w:p w14:paraId="7E012C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февраля 1935 года зам. начальника ГЛАВАВИАПРОМа Ермолаев подписал:</w:t>
      </w:r>
    </w:p>
    <w:p w14:paraId="0E1452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 об изготовлении транспортного самолета (Можаева).</w:t>
      </w:r>
    </w:p>
    <w:p w14:paraId="3C9B03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конструкции Можаева начат постройкой в 1934 году на заводе № 135 В Харькове и в настоящее время заканчивается постройка частей самолета (лонжерон, фюзеляж, оперение), предназначенных для статиспытаний.</w:t>
      </w:r>
    </w:p>
    <w:p w14:paraId="21D49C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ведется под непосредственным руководством и наблюдением самого Можаева. Для этого в его распоряжение передано заводское помещение, рабочие и оборудование.</w:t>
      </w:r>
    </w:p>
    <w:p w14:paraId="747C10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случае удовлетворительных результатов статических испытаний, заводу № 135 поручено изготовление самолета в целом, для чего Можаевым и заводом должен быть заключен соответствующий договор.</w:t>
      </w:r>
    </w:p>
    <w:p w14:paraId="5695E8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Директору завода предписание дано. Окончание постройки самолета следует ожидать к концу 1935 года (4213, 52).</w:t>
      </w:r>
    </w:p>
    <w:p w14:paraId="500DAF96" w14:textId="77777777" w:rsidR="00D4105E" w:rsidRPr="00E14102" w:rsidRDefault="00D4105E" w:rsidP="00E14102">
      <w:pPr>
        <w:autoSpaceDE w:val="0"/>
        <w:autoSpaceDN w:val="0"/>
        <w:adjustRightInd w:val="0"/>
        <w:jc w:val="both"/>
        <w:rPr>
          <w:color w:val="000000" w:themeColor="text1"/>
          <w:sz w:val="16"/>
          <w:szCs w:val="16"/>
        </w:rPr>
      </w:pPr>
    </w:p>
    <w:p w14:paraId="3815F8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февраля 1935 Нач. 4 отдела УВС РККА Базенков писал письмо N 40/01611 Зам. Нач. ГУАП Ермолаеву на N 242/717с от 15 февраля 1935 о том, что постановлением N 91сс 1934 срок предъявления КОР-1 на гос. испытания 1 августа 1935. В отношении же N 242/717с ГУАП ставит в известность, что срок сдвигается на 1 ноября, с чем УВС не согласен (2336,49).</w:t>
      </w:r>
    </w:p>
    <w:p w14:paraId="3DD97CB6" w14:textId="77777777" w:rsidR="00D4105E" w:rsidRPr="00E14102" w:rsidRDefault="00D4105E" w:rsidP="00E14102">
      <w:pPr>
        <w:autoSpaceDE w:val="0"/>
        <w:autoSpaceDN w:val="0"/>
        <w:adjustRightInd w:val="0"/>
        <w:jc w:val="both"/>
        <w:rPr>
          <w:color w:val="000000" w:themeColor="text1"/>
          <w:sz w:val="16"/>
          <w:szCs w:val="16"/>
        </w:rPr>
      </w:pPr>
    </w:p>
    <w:p w14:paraId="5B922D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февраля 1935 года в НИИ ВВС в ходе заводских испытаний был сделан пробный взлет с планером Г-31 экспериментального института Гроховского. Из-за плохой управляемости, планер был отцеплен и посадка произведена в 2-х км от аэродрома. Планер требует капитального ремонта, т.к. у него лопнул лонжерон (7779, 2-4).</w:t>
      </w:r>
    </w:p>
    <w:p w14:paraId="11DE057B" w14:textId="77777777" w:rsidR="00D4105E" w:rsidRPr="00E14102" w:rsidRDefault="00D4105E" w:rsidP="00E14102">
      <w:pPr>
        <w:autoSpaceDE w:val="0"/>
        <w:autoSpaceDN w:val="0"/>
        <w:adjustRightInd w:val="0"/>
        <w:jc w:val="both"/>
        <w:rPr>
          <w:color w:val="000000" w:themeColor="text1"/>
          <w:sz w:val="16"/>
          <w:szCs w:val="16"/>
        </w:rPr>
      </w:pPr>
    </w:p>
    <w:p w14:paraId="0D84F9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февраля 1935 года ст. военпред на заводе N 22 писал письмо N 041сс нач. 4 отдела УВС.</w:t>
      </w:r>
    </w:p>
    <w:p w14:paraId="415FD2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Ведомость годового отчета по выполнению договора на 1934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E3599D" w:rsidRPr="00E14102" w14:paraId="6B676411" w14:textId="77777777">
        <w:tc>
          <w:tcPr>
            <w:tcW w:w="2254" w:type="dxa"/>
            <w:tcBorders>
              <w:top w:val="single" w:sz="12" w:space="0" w:color="auto"/>
            </w:tcBorders>
          </w:tcPr>
          <w:p w14:paraId="142811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w:t>
            </w:r>
          </w:p>
        </w:tc>
        <w:tc>
          <w:tcPr>
            <w:tcW w:w="2254" w:type="dxa"/>
            <w:tcBorders>
              <w:top w:val="single" w:sz="12" w:space="0" w:color="auto"/>
            </w:tcBorders>
          </w:tcPr>
          <w:p w14:paraId="604704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Подлежало</w:t>
            </w:r>
          </w:p>
        </w:tc>
        <w:tc>
          <w:tcPr>
            <w:tcW w:w="2254" w:type="dxa"/>
            <w:tcBorders>
              <w:top w:val="single" w:sz="12" w:space="0" w:color="auto"/>
            </w:tcBorders>
          </w:tcPr>
          <w:p w14:paraId="1F7A25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Сдано</w:t>
            </w:r>
          </w:p>
        </w:tc>
        <w:tc>
          <w:tcPr>
            <w:tcW w:w="2254" w:type="dxa"/>
            <w:tcBorders>
              <w:top w:val="single" w:sz="12" w:space="0" w:color="auto"/>
            </w:tcBorders>
          </w:tcPr>
          <w:p w14:paraId="2C08DF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Оставш.</w:t>
            </w:r>
          </w:p>
        </w:tc>
      </w:tr>
      <w:tr w:rsidR="00E3599D" w:rsidRPr="00E14102" w14:paraId="787661B4" w14:textId="77777777">
        <w:tc>
          <w:tcPr>
            <w:tcW w:w="2254" w:type="dxa"/>
          </w:tcPr>
          <w:p w14:paraId="7876D762"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0231CA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сдать по</w:t>
            </w:r>
          </w:p>
        </w:tc>
        <w:tc>
          <w:tcPr>
            <w:tcW w:w="2254" w:type="dxa"/>
          </w:tcPr>
          <w:p w14:paraId="4B3293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дог.</w:t>
            </w:r>
          </w:p>
        </w:tc>
        <w:tc>
          <w:tcPr>
            <w:tcW w:w="2254" w:type="dxa"/>
          </w:tcPr>
          <w:p w14:paraId="6E4216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недодел</w:t>
            </w:r>
          </w:p>
        </w:tc>
      </w:tr>
      <w:tr w:rsidR="00E3599D" w:rsidRPr="00E14102" w14:paraId="73E82C14" w14:textId="77777777">
        <w:tc>
          <w:tcPr>
            <w:tcW w:w="2254" w:type="dxa"/>
          </w:tcPr>
          <w:p w14:paraId="708F2DE6"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3FE0C5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договору</w:t>
            </w:r>
          </w:p>
        </w:tc>
        <w:tc>
          <w:tcPr>
            <w:tcW w:w="2254" w:type="dxa"/>
          </w:tcPr>
          <w:p w14:paraId="2D1786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w:t>
            </w:r>
          </w:p>
        </w:tc>
        <w:tc>
          <w:tcPr>
            <w:tcW w:w="2254" w:type="dxa"/>
          </w:tcPr>
          <w:p w14:paraId="7A9CFE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w:t>
            </w:r>
          </w:p>
        </w:tc>
      </w:tr>
      <w:tr w:rsidR="00E3599D" w:rsidRPr="00E14102" w14:paraId="7CBF5009" w14:textId="77777777">
        <w:tc>
          <w:tcPr>
            <w:tcW w:w="2254" w:type="dxa"/>
          </w:tcPr>
          <w:p w14:paraId="2CEFF639"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0CC5C5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1934 г.</w:t>
            </w:r>
          </w:p>
        </w:tc>
        <w:tc>
          <w:tcPr>
            <w:tcW w:w="2254" w:type="dxa"/>
          </w:tcPr>
          <w:p w14:paraId="1A3281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1.01.34 г.</w:t>
            </w:r>
          </w:p>
        </w:tc>
        <w:tc>
          <w:tcPr>
            <w:tcW w:w="2254" w:type="dxa"/>
          </w:tcPr>
          <w:p w14:paraId="1EA360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1.01.35 г.</w:t>
            </w:r>
          </w:p>
        </w:tc>
      </w:tr>
      <w:tr w:rsidR="00E3599D" w:rsidRPr="00E14102" w14:paraId="0A52AAFF" w14:textId="77777777">
        <w:tc>
          <w:tcPr>
            <w:tcW w:w="2254" w:type="dxa"/>
          </w:tcPr>
          <w:p w14:paraId="526E6F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М34</w:t>
            </w:r>
          </w:p>
        </w:tc>
        <w:tc>
          <w:tcPr>
            <w:tcW w:w="2254" w:type="dxa"/>
          </w:tcPr>
          <w:p w14:paraId="71A5CF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2254" w:type="dxa"/>
          </w:tcPr>
          <w:p w14:paraId="01082DA9"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31CC6B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w:t>
            </w:r>
          </w:p>
        </w:tc>
      </w:tr>
      <w:tr w:rsidR="00E3599D" w:rsidRPr="00E14102" w14:paraId="7FF1D0E0" w14:textId="77777777">
        <w:tc>
          <w:tcPr>
            <w:tcW w:w="2254" w:type="dxa"/>
          </w:tcPr>
          <w:p w14:paraId="2076AF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М34Р</w:t>
            </w:r>
          </w:p>
        </w:tc>
        <w:tc>
          <w:tcPr>
            <w:tcW w:w="2254" w:type="dxa"/>
          </w:tcPr>
          <w:p w14:paraId="0449AF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w:t>
            </w:r>
          </w:p>
        </w:tc>
        <w:tc>
          <w:tcPr>
            <w:tcW w:w="2254" w:type="dxa"/>
          </w:tcPr>
          <w:p w14:paraId="19E06604"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50B662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w:t>
            </w:r>
          </w:p>
        </w:tc>
      </w:tr>
      <w:tr w:rsidR="00E3599D" w:rsidRPr="00E14102" w14:paraId="568F0EE5" w14:textId="77777777">
        <w:tc>
          <w:tcPr>
            <w:tcW w:w="2254" w:type="dxa"/>
          </w:tcPr>
          <w:p w14:paraId="7AE70D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М34РН</w:t>
            </w:r>
          </w:p>
        </w:tc>
        <w:tc>
          <w:tcPr>
            <w:tcW w:w="2254" w:type="dxa"/>
          </w:tcPr>
          <w:p w14:paraId="0D007E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2254" w:type="dxa"/>
          </w:tcPr>
          <w:p w14:paraId="6713BD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7B53BD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6CB7E6CC" w14:textId="77777777">
        <w:tc>
          <w:tcPr>
            <w:tcW w:w="2254" w:type="dxa"/>
          </w:tcPr>
          <w:p w14:paraId="493B43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 М-17</w:t>
            </w:r>
          </w:p>
        </w:tc>
        <w:tc>
          <w:tcPr>
            <w:tcW w:w="2254" w:type="dxa"/>
          </w:tcPr>
          <w:p w14:paraId="0190DD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2254" w:type="dxa"/>
          </w:tcPr>
          <w:p w14:paraId="2D95EC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2254" w:type="dxa"/>
          </w:tcPr>
          <w:p w14:paraId="6BAD26D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2527D3E" w14:textId="77777777">
        <w:tc>
          <w:tcPr>
            <w:tcW w:w="2254" w:type="dxa"/>
          </w:tcPr>
          <w:p w14:paraId="661E1C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КР-6а М-17</w:t>
            </w:r>
          </w:p>
        </w:tc>
        <w:tc>
          <w:tcPr>
            <w:tcW w:w="2254" w:type="dxa"/>
          </w:tcPr>
          <w:p w14:paraId="2C4634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2254" w:type="dxa"/>
          </w:tcPr>
          <w:p w14:paraId="1C62D4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w:t>
            </w:r>
          </w:p>
        </w:tc>
        <w:tc>
          <w:tcPr>
            <w:tcW w:w="2254" w:type="dxa"/>
          </w:tcPr>
          <w:p w14:paraId="16825D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r>
      <w:tr w:rsidR="00E3599D" w:rsidRPr="00E14102" w14:paraId="0451C3D2" w14:textId="77777777">
        <w:tc>
          <w:tcPr>
            <w:tcW w:w="2254" w:type="dxa"/>
          </w:tcPr>
          <w:p w14:paraId="519B70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МИ-3 М34Р</w:t>
            </w:r>
          </w:p>
        </w:tc>
        <w:tc>
          <w:tcPr>
            <w:tcW w:w="2254" w:type="dxa"/>
          </w:tcPr>
          <w:p w14:paraId="5340EB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2254" w:type="dxa"/>
          </w:tcPr>
          <w:p w14:paraId="7CA531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686EF8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r>
      <w:tr w:rsidR="00E3599D" w:rsidRPr="00E14102" w14:paraId="3F91FB4B" w14:textId="77777777">
        <w:tc>
          <w:tcPr>
            <w:tcW w:w="2254" w:type="dxa"/>
          </w:tcPr>
          <w:p w14:paraId="4FD209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МК-1 6М34 РН</w:t>
            </w:r>
          </w:p>
        </w:tc>
        <w:tc>
          <w:tcPr>
            <w:tcW w:w="2254" w:type="dxa"/>
          </w:tcPr>
          <w:p w14:paraId="47C67F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2254" w:type="dxa"/>
          </w:tcPr>
          <w:p w14:paraId="250710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1B1CEB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r>
      <w:tr w:rsidR="00E3599D" w:rsidRPr="00E14102" w14:paraId="6DDE9D82" w14:textId="77777777">
        <w:tc>
          <w:tcPr>
            <w:tcW w:w="2254" w:type="dxa"/>
          </w:tcPr>
          <w:p w14:paraId="5E623C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Сверх договора:</w:t>
            </w:r>
          </w:p>
        </w:tc>
        <w:tc>
          <w:tcPr>
            <w:tcW w:w="2254" w:type="dxa"/>
          </w:tcPr>
          <w:p w14:paraId="79C8DB70"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29975B7D"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2E9D915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CB3BC6" w14:textId="77777777">
        <w:tc>
          <w:tcPr>
            <w:tcW w:w="2254" w:type="dxa"/>
          </w:tcPr>
          <w:p w14:paraId="104D86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М34Р</w:t>
            </w:r>
          </w:p>
        </w:tc>
        <w:tc>
          <w:tcPr>
            <w:tcW w:w="2254" w:type="dxa"/>
          </w:tcPr>
          <w:p w14:paraId="09347DD5"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3DCC05D5"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570891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r>
      <w:tr w:rsidR="00E3599D" w:rsidRPr="00E14102" w14:paraId="7B3E7AA5" w14:textId="77777777">
        <w:tc>
          <w:tcPr>
            <w:tcW w:w="2254" w:type="dxa"/>
            <w:tcBorders>
              <w:bottom w:val="single" w:sz="12" w:space="0" w:color="auto"/>
            </w:tcBorders>
          </w:tcPr>
          <w:p w14:paraId="55C105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(3072,143).</w:t>
            </w:r>
          </w:p>
        </w:tc>
        <w:tc>
          <w:tcPr>
            <w:tcW w:w="2254" w:type="dxa"/>
            <w:tcBorders>
              <w:bottom w:val="single" w:sz="12" w:space="0" w:color="auto"/>
            </w:tcBorders>
          </w:tcPr>
          <w:p w14:paraId="68F91E9A"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Borders>
              <w:bottom w:val="single" w:sz="12" w:space="0" w:color="auto"/>
            </w:tcBorders>
          </w:tcPr>
          <w:p w14:paraId="3817E026"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Borders>
              <w:bottom w:val="single" w:sz="12" w:space="0" w:color="auto"/>
            </w:tcBorders>
          </w:tcPr>
          <w:p w14:paraId="06FEE25B" w14:textId="77777777" w:rsidR="00D4105E" w:rsidRPr="00E14102" w:rsidRDefault="00D4105E" w:rsidP="00E14102">
            <w:pPr>
              <w:autoSpaceDE w:val="0"/>
              <w:autoSpaceDN w:val="0"/>
              <w:adjustRightInd w:val="0"/>
              <w:jc w:val="both"/>
              <w:rPr>
                <w:color w:val="000000" w:themeColor="text1"/>
                <w:sz w:val="16"/>
                <w:szCs w:val="16"/>
              </w:rPr>
            </w:pPr>
          </w:p>
        </w:tc>
      </w:tr>
    </w:tbl>
    <w:p w14:paraId="26F417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Причины несвоевременного выполнения</w:t>
      </w:r>
    </w:p>
    <w:p w14:paraId="7D48E4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программы по ТБ3-4М34-Р</w:t>
      </w:r>
    </w:p>
    <w:p w14:paraId="707CA1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выпуском эталонного самолета завод сильно запоздал (должен был выпустить 1 мая, а выпустил 11 июня). (3072,144).</w:t>
      </w:r>
    </w:p>
    <w:p w14:paraId="784D4A3F" w14:textId="77777777" w:rsidR="00D4105E" w:rsidRPr="00E14102" w:rsidRDefault="00D4105E" w:rsidP="00E14102">
      <w:pPr>
        <w:autoSpaceDE w:val="0"/>
        <w:autoSpaceDN w:val="0"/>
        <w:adjustRightInd w:val="0"/>
        <w:jc w:val="both"/>
        <w:rPr>
          <w:color w:val="000000" w:themeColor="text1"/>
          <w:sz w:val="16"/>
          <w:szCs w:val="16"/>
        </w:rPr>
      </w:pPr>
    </w:p>
    <w:p w14:paraId="482658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февраля 1935 года начальник завода № 85 Яковлев писал письмо № 59с в ЦФОО ГУГВФ</w:t>
      </w:r>
    </w:p>
    <w:p w14:paraId="021D61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Объяснительная записка завода № 85 к годовому отчету за 1934 год по эксплуатации</w:t>
      </w:r>
    </w:p>
    <w:p w14:paraId="3C3D6C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марте 1934 года завод получил задание на производство ангарно-аэродромного оборудования. С июня 1934 года в связи с приказом начальника Аэрофлота № 186 мероприятия завода по ангарно-аэродромному оборудованию были приостановлены и завод переключился на производство деталей и агрегатов, требуемых для монтажа земных и самолетных радиостанций (7731, 257-293).</w:t>
      </w:r>
    </w:p>
    <w:p w14:paraId="1B88CB8B" w14:textId="77777777" w:rsidR="00D4105E" w:rsidRPr="00E14102" w:rsidRDefault="00D4105E" w:rsidP="00E14102">
      <w:pPr>
        <w:autoSpaceDE w:val="0"/>
        <w:autoSpaceDN w:val="0"/>
        <w:adjustRightInd w:val="0"/>
        <w:jc w:val="both"/>
        <w:rPr>
          <w:color w:val="000000" w:themeColor="text1"/>
          <w:sz w:val="16"/>
          <w:szCs w:val="16"/>
        </w:rPr>
      </w:pPr>
    </w:p>
    <w:p w14:paraId="69F55F3F" w14:textId="77777777" w:rsidR="00FF07E2" w:rsidRPr="00E14102" w:rsidRDefault="00FF07E2" w:rsidP="00E14102">
      <w:pPr>
        <w:pStyle w:val="rtejustify"/>
        <w:spacing w:before="0" w:after="0"/>
        <w:rPr>
          <w:color w:val="000000" w:themeColor="text1"/>
          <w:sz w:val="16"/>
          <w:szCs w:val="16"/>
        </w:rPr>
      </w:pPr>
      <w:r w:rsidRPr="00E14102">
        <w:rPr>
          <w:rStyle w:val="a6"/>
          <w:bCs/>
          <w:i w:val="0"/>
          <w:color w:val="000000" w:themeColor="text1"/>
          <w:sz w:val="16"/>
          <w:szCs w:val="16"/>
        </w:rPr>
        <w:t>22 февраля</w:t>
      </w:r>
      <w:r w:rsidRPr="00E14102">
        <w:rPr>
          <w:color w:val="000000" w:themeColor="text1"/>
          <w:sz w:val="16"/>
          <w:szCs w:val="16"/>
        </w:rPr>
        <w:t>1935 Решение Политбюро № 21. 29. О самолетах и моторах (ПБ от 9 февраля 1935 г.). — ОП. 38. О сессии Комитета торговли и производства оружия (ПБ от 10 февраля 1935 г.). — ОП. 104. О гласности военных расходов (ПБ от 19 февраля 1935 г.). — ОП. (Политбюро ЦК РКП(б)-ВКП(Б). Повестки дня заседаний. 1919</w:t>
      </w:r>
      <w:r w:rsidRPr="00E14102">
        <w:rPr>
          <w:color w:val="000000" w:themeColor="text1"/>
          <w:sz w:val="16"/>
          <w:szCs w:val="16"/>
        </w:rPr>
        <w:noBreakHyphen/>
        <w:t>1952: Каталог / Т. 2. С. 624, 626; РГАСПИ. Ф. 17. Оп. 162. Д. 17. Л. 128, 129, 133) (15462).</w:t>
      </w:r>
    </w:p>
    <w:p w14:paraId="0553E63B" w14:textId="77777777" w:rsidR="00FF07E2" w:rsidRPr="00E14102" w:rsidRDefault="00FF07E2" w:rsidP="00E14102">
      <w:pPr>
        <w:pStyle w:val="rtejustify"/>
        <w:spacing w:before="0" w:after="0"/>
        <w:rPr>
          <w:color w:val="000000" w:themeColor="text1"/>
          <w:sz w:val="16"/>
          <w:szCs w:val="16"/>
        </w:rPr>
      </w:pPr>
    </w:p>
    <w:p w14:paraId="3F030BDA" w14:textId="77777777" w:rsidR="004A72F7" w:rsidRPr="00E14102" w:rsidRDefault="004A72F7" w:rsidP="00E14102">
      <w:pPr>
        <w:jc w:val="both"/>
        <w:rPr>
          <w:color w:val="0070C0"/>
          <w:sz w:val="16"/>
          <w:szCs w:val="16"/>
        </w:rPr>
      </w:pPr>
      <w:r w:rsidRPr="00E14102">
        <w:rPr>
          <w:color w:val="0070C0"/>
          <w:sz w:val="16"/>
          <w:szCs w:val="16"/>
        </w:rPr>
        <w:t>22 февраля 1935 состоялось заседание ПБ и подписан протокол № 21</w:t>
      </w:r>
    </w:p>
    <w:p w14:paraId="72EA8C20" w14:textId="77777777" w:rsidR="004A72F7" w:rsidRPr="00E14102" w:rsidRDefault="004A72F7" w:rsidP="00E14102">
      <w:pPr>
        <w:jc w:val="both"/>
        <w:rPr>
          <w:color w:val="0070C0"/>
          <w:sz w:val="16"/>
          <w:szCs w:val="16"/>
        </w:rPr>
      </w:pPr>
      <w:r w:rsidRPr="00E14102">
        <w:rPr>
          <w:color w:val="0070C0"/>
          <w:sz w:val="16"/>
          <w:szCs w:val="16"/>
        </w:rPr>
        <w:t>9 февраля 1935 опросом членов ПБ</w:t>
      </w:r>
    </w:p>
    <w:p w14:paraId="2B0E90FA" w14:textId="77777777" w:rsidR="004A72F7" w:rsidRPr="00E14102" w:rsidRDefault="004A72F7" w:rsidP="00E14102">
      <w:pPr>
        <w:jc w:val="both"/>
        <w:rPr>
          <w:color w:val="0070C0"/>
          <w:sz w:val="16"/>
          <w:szCs w:val="16"/>
        </w:rPr>
      </w:pPr>
      <w:r w:rsidRPr="00E14102">
        <w:rPr>
          <w:color w:val="0070C0"/>
          <w:sz w:val="16"/>
          <w:szCs w:val="16"/>
        </w:rPr>
        <w:t>29.- О самолетах</w:t>
      </w:r>
    </w:p>
    <w:p w14:paraId="68DC8948" w14:textId="77777777" w:rsidR="004A72F7" w:rsidRPr="00E14102" w:rsidRDefault="004A72F7" w:rsidP="00E14102">
      <w:pPr>
        <w:jc w:val="both"/>
        <w:rPr>
          <w:color w:val="0070C0"/>
          <w:sz w:val="16"/>
          <w:szCs w:val="16"/>
        </w:rPr>
      </w:pPr>
      <w:r w:rsidRPr="00E14102">
        <w:rPr>
          <w:color w:val="0070C0"/>
          <w:sz w:val="16"/>
          <w:szCs w:val="16"/>
        </w:rPr>
        <w:t>Утвердить следующий проект постановления СТО:</w:t>
      </w:r>
    </w:p>
    <w:p w14:paraId="6F8B6D6A" w14:textId="77777777" w:rsidR="004A72F7" w:rsidRPr="00E14102" w:rsidRDefault="004A72F7" w:rsidP="00E14102">
      <w:pPr>
        <w:jc w:val="both"/>
        <w:rPr>
          <w:color w:val="0070C0"/>
          <w:sz w:val="16"/>
          <w:szCs w:val="16"/>
        </w:rPr>
      </w:pPr>
      <w:r w:rsidRPr="00E14102">
        <w:rPr>
          <w:color w:val="0070C0"/>
          <w:sz w:val="16"/>
          <w:szCs w:val="16"/>
        </w:rPr>
        <w:t>1. Bo изменение постановления СТО от 20.ХП.34 г. за № 189/сс, по самолетам - обязать НКТяжпром произвести самолетов СБ по заводу № 22 вместо 200 - 500 штук.</w:t>
      </w:r>
    </w:p>
    <w:p w14:paraId="52F168AD" w14:textId="77777777" w:rsidR="004A72F7" w:rsidRPr="00E14102" w:rsidRDefault="004A72F7" w:rsidP="00E14102">
      <w:pPr>
        <w:jc w:val="both"/>
        <w:rPr>
          <w:color w:val="0070C0"/>
          <w:sz w:val="16"/>
          <w:szCs w:val="16"/>
        </w:rPr>
      </w:pPr>
      <w:r w:rsidRPr="00E14102">
        <w:rPr>
          <w:color w:val="0070C0"/>
          <w:sz w:val="16"/>
          <w:szCs w:val="16"/>
        </w:rPr>
        <w:t>2. По моторам "Испано-Сюиза" (М-100) по заводу № 126 вместо принятых 600 - установить 1000 штук.</w:t>
      </w:r>
    </w:p>
    <w:p w14:paraId="1249A7B7" w14:textId="77777777" w:rsidR="004A72F7" w:rsidRPr="00E14102" w:rsidRDefault="004A72F7" w:rsidP="00E14102">
      <w:pPr>
        <w:jc w:val="both"/>
        <w:rPr>
          <w:color w:val="0070C0"/>
          <w:sz w:val="16"/>
          <w:szCs w:val="16"/>
        </w:rPr>
      </w:pPr>
      <w:r w:rsidRPr="00E14102">
        <w:rPr>
          <w:color w:val="0070C0"/>
          <w:sz w:val="16"/>
          <w:szCs w:val="16"/>
        </w:rPr>
        <w:t>3. Данное решение в своем выполнении должно прово</w:t>
      </w:r>
      <w:r w:rsidRPr="00E14102">
        <w:rPr>
          <w:color w:val="0070C0"/>
          <w:sz w:val="16"/>
          <w:szCs w:val="16"/>
        </w:rPr>
        <w:softHyphen/>
        <w:t>диться в условиях мобилизационного времени, для чего заводы №№ 26, 22 и 95 перевести на мобилизационное сос</w:t>
      </w:r>
      <w:r w:rsidRPr="00E14102">
        <w:rPr>
          <w:color w:val="0070C0"/>
          <w:sz w:val="16"/>
          <w:szCs w:val="16"/>
        </w:rPr>
        <w:softHyphen/>
        <w:t>тояние.</w:t>
      </w:r>
    </w:p>
    <w:p w14:paraId="2EB3DC6A" w14:textId="77777777" w:rsidR="004A72F7" w:rsidRPr="00E14102" w:rsidRDefault="004A72F7" w:rsidP="00E14102">
      <w:pPr>
        <w:jc w:val="both"/>
        <w:rPr>
          <w:color w:val="0070C0"/>
          <w:sz w:val="16"/>
          <w:szCs w:val="16"/>
        </w:rPr>
      </w:pPr>
      <w:r w:rsidRPr="00E14102">
        <w:rPr>
          <w:color w:val="0070C0"/>
          <w:sz w:val="16"/>
          <w:szCs w:val="16"/>
        </w:rPr>
        <w:t>4. Тов.Королеву (ГУАП), на основе настоящего реше</w:t>
      </w:r>
      <w:r w:rsidRPr="00E14102">
        <w:rPr>
          <w:color w:val="0070C0"/>
          <w:sz w:val="16"/>
          <w:szCs w:val="16"/>
        </w:rPr>
        <w:softHyphen/>
        <w:t>ния, в 3-дневный срок представить проект решения СТО, обеспечивающий выполнение данного задания.</w:t>
      </w:r>
    </w:p>
    <w:p w14:paraId="451BAC8B" w14:textId="77777777" w:rsidR="004A72F7" w:rsidRPr="00E14102" w:rsidRDefault="004A72F7" w:rsidP="00E14102">
      <w:pPr>
        <w:jc w:val="both"/>
        <w:rPr>
          <w:color w:val="0070C0"/>
          <w:sz w:val="16"/>
          <w:szCs w:val="16"/>
        </w:rPr>
      </w:pPr>
      <w:r w:rsidRPr="00E14102">
        <w:rPr>
          <w:color w:val="0070C0"/>
          <w:sz w:val="16"/>
          <w:szCs w:val="16"/>
        </w:rPr>
        <w:t>Выписки посланы; т.т. ОРДЖОНИКИД3Е, КОРОЛЕВУ</w:t>
      </w:r>
    </w:p>
    <w:p w14:paraId="51B728C3" w14:textId="77777777" w:rsidR="004A72F7" w:rsidRPr="00E14102" w:rsidRDefault="004A72F7" w:rsidP="00E14102">
      <w:pPr>
        <w:jc w:val="both"/>
        <w:rPr>
          <w:color w:val="0070C0"/>
          <w:sz w:val="16"/>
          <w:szCs w:val="16"/>
        </w:rPr>
      </w:pPr>
      <w:r w:rsidRPr="00E14102">
        <w:rPr>
          <w:color w:val="0070C0"/>
          <w:sz w:val="16"/>
          <w:szCs w:val="16"/>
        </w:rPr>
        <w:t>33.-О комиссии по закупкам в Америке</w:t>
      </w:r>
    </w:p>
    <w:p w14:paraId="7AA399A0" w14:textId="77777777" w:rsidR="004A72F7" w:rsidRPr="00E14102" w:rsidRDefault="004A72F7" w:rsidP="00E14102">
      <w:pPr>
        <w:jc w:val="both"/>
        <w:rPr>
          <w:color w:val="0070C0"/>
          <w:sz w:val="16"/>
          <w:szCs w:val="16"/>
        </w:rPr>
      </w:pPr>
      <w:r w:rsidRPr="00E14102">
        <w:rPr>
          <w:color w:val="0070C0"/>
          <w:sz w:val="16"/>
          <w:szCs w:val="16"/>
        </w:rPr>
        <w:t>В дополнение к постановлению Политбюро от 16 де</w:t>
      </w:r>
      <w:r w:rsidRPr="00E14102">
        <w:rPr>
          <w:color w:val="0070C0"/>
          <w:sz w:val="16"/>
          <w:szCs w:val="16"/>
        </w:rPr>
        <w:softHyphen/>
        <w:t>кабря 1934 года, разрешить поездку в Америку вместе с т.Туполевым т.т. Бабушкину, Меерсон и Башкирову.</w:t>
      </w:r>
    </w:p>
    <w:p w14:paraId="714998B1" w14:textId="77777777" w:rsidR="004A72F7" w:rsidRPr="00E14102" w:rsidRDefault="004A72F7" w:rsidP="00E14102">
      <w:pPr>
        <w:jc w:val="both"/>
        <w:rPr>
          <w:color w:val="0070C0"/>
          <w:sz w:val="16"/>
          <w:szCs w:val="16"/>
        </w:rPr>
      </w:pPr>
      <w:r w:rsidRPr="00E14102">
        <w:rPr>
          <w:color w:val="0070C0"/>
          <w:sz w:val="16"/>
          <w:szCs w:val="16"/>
        </w:rPr>
        <w:t>Выписки посланы: т.т Базилевичу, Орджоникидзе, Артузову, Броуну.</w:t>
      </w:r>
    </w:p>
    <w:p w14:paraId="2F73AB06" w14:textId="77777777" w:rsidR="004A72F7" w:rsidRPr="00E14102" w:rsidRDefault="004A72F7" w:rsidP="00E14102">
      <w:pPr>
        <w:jc w:val="both"/>
        <w:rPr>
          <w:color w:val="0070C0"/>
          <w:sz w:val="16"/>
          <w:szCs w:val="16"/>
        </w:rPr>
      </w:pPr>
      <w:r w:rsidRPr="00E14102">
        <w:rPr>
          <w:color w:val="0070C0"/>
          <w:sz w:val="16"/>
          <w:szCs w:val="16"/>
        </w:rPr>
        <w:t>10 февраля 1935 опросом членов ПБ</w:t>
      </w:r>
    </w:p>
    <w:p w14:paraId="0374CE3D" w14:textId="77777777" w:rsidR="004A72F7" w:rsidRPr="00E14102" w:rsidRDefault="004A72F7" w:rsidP="00E14102">
      <w:pPr>
        <w:jc w:val="both"/>
        <w:rPr>
          <w:color w:val="0070C0"/>
          <w:sz w:val="16"/>
          <w:szCs w:val="16"/>
        </w:rPr>
      </w:pPr>
      <w:r w:rsidRPr="00E14102">
        <w:rPr>
          <w:color w:val="0070C0"/>
          <w:sz w:val="16"/>
          <w:szCs w:val="16"/>
        </w:rPr>
        <w:t>38.- 0 сессии Комитета торговли и производства оружия.</w:t>
      </w:r>
    </w:p>
    <w:p w14:paraId="3318B175" w14:textId="77777777" w:rsidR="004A72F7" w:rsidRPr="00E14102" w:rsidRDefault="004A72F7" w:rsidP="00E14102">
      <w:pPr>
        <w:jc w:val="both"/>
        <w:rPr>
          <w:color w:val="0070C0"/>
          <w:sz w:val="16"/>
          <w:szCs w:val="16"/>
        </w:rPr>
      </w:pPr>
      <w:r w:rsidRPr="00E14102">
        <w:rPr>
          <w:color w:val="0070C0"/>
          <w:sz w:val="16"/>
          <w:szCs w:val="16"/>
        </w:rPr>
        <w:t>Для участия в Комиссии торговли и производства оружия направить в Женеву т.Венцова, которому дать сле</w:t>
      </w:r>
      <w:r w:rsidRPr="00E14102">
        <w:rPr>
          <w:color w:val="0070C0"/>
          <w:sz w:val="16"/>
          <w:szCs w:val="16"/>
        </w:rPr>
        <w:softHyphen/>
        <w:t>дующие инструкции:</w:t>
      </w:r>
    </w:p>
    <w:p w14:paraId="555CB14A" w14:textId="77777777" w:rsidR="004A72F7" w:rsidRPr="00E14102" w:rsidRDefault="004A72F7" w:rsidP="00E14102">
      <w:pPr>
        <w:jc w:val="both"/>
        <w:rPr>
          <w:color w:val="0070C0"/>
          <w:sz w:val="16"/>
          <w:szCs w:val="16"/>
        </w:rPr>
      </w:pPr>
      <w:r w:rsidRPr="00E14102">
        <w:rPr>
          <w:color w:val="0070C0"/>
          <w:sz w:val="16"/>
          <w:szCs w:val="16"/>
        </w:rPr>
        <w:t>1. В случае общих дебатов заявить,со ссылкой на выступление т.Литвинова в Бюро Конференции по разоруже</w:t>
      </w:r>
      <w:r w:rsidRPr="00E14102">
        <w:rPr>
          <w:color w:val="0070C0"/>
          <w:sz w:val="16"/>
          <w:szCs w:val="16"/>
        </w:rPr>
        <w:softHyphen/>
        <w:t>нию. что мы не возражаем против отдельного обсуждения и выработки проекта конвенции по контролю над производ</w:t>
      </w:r>
      <w:r w:rsidRPr="00E14102">
        <w:rPr>
          <w:color w:val="0070C0"/>
          <w:sz w:val="16"/>
          <w:szCs w:val="16"/>
        </w:rPr>
        <w:softHyphen/>
        <w:t>ством и торговлей оружием, но что мы мыслим себе эту конвенцию, как часть общего соглашения о разоружении. Мы считаем, что пока государства не взяли на себя ни</w:t>
      </w:r>
      <w:r w:rsidRPr="00E14102">
        <w:rPr>
          <w:color w:val="0070C0"/>
          <w:sz w:val="16"/>
          <w:szCs w:val="16"/>
        </w:rPr>
        <w:softHyphen/>
        <w:t>каких обязательств о сокращении и ограничении своих воо</w:t>
      </w:r>
      <w:r w:rsidRPr="00E14102">
        <w:rPr>
          <w:color w:val="0070C0"/>
          <w:sz w:val="16"/>
          <w:szCs w:val="16"/>
        </w:rPr>
        <w:softHyphen/>
        <w:t>ружений и могут увеличивать последние до произвольных размеров, любые моры по контролю над производством и торговлей оружием не могут ни в какой степени увеличи</w:t>
      </w:r>
      <w:r w:rsidRPr="00E14102">
        <w:rPr>
          <w:color w:val="0070C0"/>
          <w:sz w:val="16"/>
          <w:szCs w:val="16"/>
        </w:rPr>
        <w:softHyphen/>
        <w:t>вать чувства безопасности народов и служить долу мира. Мы поэтому не придаем значения самостоятельной конвен</w:t>
      </w:r>
      <w:r w:rsidRPr="00E14102">
        <w:rPr>
          <w:color w:val="0070C0"/>
          <w:sz w:val="16"/>
          <w:szCs w:val="16"/>
        </w:rPr>
        <w:softHyphen/>
        <w:t>ции по торговле оружием, если она не будет связана с конвенцией по разоружению. Во всяком случав, конвенция по контролю над производством и торговлей оружием прием</w:t>
      </w:r>
      <w:r w:rsidRPr="00E14102">
        <w:rPr>
          <w:color w:val="0070C0"/>
          <w:sz w:val="16"/>
          <w:szCs w:val="16"/>
        </w:rPr>
        <w:softHyphen/>
        <w:t>лема для нас лишь в случае принятия ее всеми главнейши</w:t>
      </w:r>
      <w:r w:rsidRPr="00E14102">
        <w:rPr>
          <w:color w:val="0070C0"/>
          <w:sz w:val="16"/>
          <w:szCs w:val="16"/>
        </w:rPr>
        <w:softHyphen/>
        <w:t>ми государствами и, в частности, соседями СССР.</w:t>
      </w:r>
    </w:p>
    <w:p w14:paraId="600A5147" w14:textId="77777777" w:rsidR="004A72F7" w:rsidRPr="00E14102" w:rsidRDefault="004A72F7" w:rsidP="00E14102">
      <w:pPr>
        <w:jc w:val="both"/>
        <w:rPr>
          <w:color w:val="0070C0"/>
          <w:sz w:val="16"/>
          <w:szCs w:val="16"/>
        </w:rPr>
      </w:pPr>
      <w:r w:rsidRPr="00E14102">
        <w:rPr>
          <w:color w:val="0070C0"/>
          <w:sz w:val="16"/>
          <w:szCs w:val="16"/>
        </w:rPr>
        <w:t>2. добиваться уравнения режимов государственного и частного производства оружия и, кроме того, внести пред</w:t>
      </w:r>
      <w:r w:rsidRPr="00E14102">
        <w:rPr>
          <w:color w:val="0070C0"/>
          <w:sz w:val="16"/>
          <w:szCs w:val="16"/>
        </w:rPr>
        <w:softHyphen/>
        <w:t>ложенные НК Обороны поправки в соответствии с запиской т.Литвинова от 7.П.35 г.</w:t>
      </w:r>
    </w:p>
    <w:p w14:paraId="06DCF221" w14:textId="77777777" w:rsidR="004A72F7" w:rsidRPr="00E14102" w:rsidRDefault="004A72F7" w:rsidP="00E14102">
      <w:pPr>
        <w:jc w:val="both"/>
        <w:rPr>
          <w:color w:val="0070C0"/>
          <w:sz w:val="16"/>
          <w:szCs w:val="16"/>
        </w:rPr>
      </w:pPr>
      <w:r w:rsidRPr="00E14102">
        <w:rPr>
          <w:color w:val="0070C0"/>
          <w:sz w:val="16"/>
          <w:szCs w:val="16"/>
        </w:rPr>
        <w:t>Выписки посланы: т.т.Литвинову, Ворошилову.</w:t>
      </w:r>
    </w:p>
    <w:p w14:paraId="65418D97" w14:textId="77777777" w:rsidR="004A72F7" w:rsidRPr="00E14102" w:rsidRDefault="004A72F7" w:rsidP="00E14102">
      <w:pPr>
        <w:jc w:val="both"/>
        <w:rPr>
          <w:color w:val="0070C0"/>
          <w:sz w:val="16"/>
          <w:szCs w:val="16"/>
        </w:rPr>
      </w:pPr>
      <w:r w:rsidRPr="00E14102">
        <w:rPr>
          <w:color w:val="0070C0"/>
          <w:sz w:val="16"/>
          <w:szCs w:val="16"/>
        </w:rPr>
        <w:t>16 февраля 1935 опросом членов ПБ</w:t>
      </w:r>
    </w:p>
    <w:p w14:paraId="1EE1BD23" w14:textId="77777777" w:rsidR="004A72F7" w:rsidRPr="00E14102" w:rsidRDefault="004A72F7" w:rsidP="00E14102">
      <w:pPr>
        <w:jc w:val="both"/>
        <w:rPr>
          <w:color w:val="0070C0"/>
          <w:sz w:val="16"/>
          <w:szCs w:val="16"/>
        </w:rPr>
      </w:pPr>
      <w:r w:rsidRPr="00E14102">
        <w:rPr>
          <w:color w:val="0070C0"/>
          <w:sz w:val="16"/>
          <w:szCs w:val="16"/>
        </w:rPr>
        <w:t>71.- Об охране Кремля.</w:t>
      </w:r>
    </w:p>
    <w:p w14:paraId="5521B50A" w14:textId="77777777" w:rsidR="004A72F7" w:rsidRPr="00E14102" w:rsidRDefault="004A72F7" w:rsidP="00E14102">
      <w:pPr>
        <w:jc w:val="both"/>
        <w:rPr>
          <w:color w:val="0070C0"/>
          <w:sz w:val="16"/>
          <w:szCs w:val="16"/>
        </w:rPr>
      </w:pPr>
      <w:r w:rsidRPr="00E14102">
        <w:rPr>
          <w:color w:val="0070C0"/>
          <w:sz w:val="16"/>
          <w:szCs w:val="16"/>
        </w:rPr>
        <w:t>1. Выделить все хозяйство Кремля из комендатуры Кремля. В ведении комендатуры оставить, минимально необ</w:t>
      </w:r>
      <w:r w:rsidRPr="00E14102">
        <w:rPr>
          <w:color w:val="0070C0"/>
          <w:sz w:val="16"/>
          <w:szCs w:val="16"/>
        </w:rPr>
        <w:softHyphen/>
        <w:t>ходимый, для внутреннего обслуживания Кремля штат электро</w:t>
      </w:r>
      <w:r w:rsidRPr="00E14102">
        <w:rPr>
          <w:color w:val="0070C0"/>
          <w:sz w:val="16"/>
          <w:szCs w:val="16"/>
        </w:rPr>
        <w:softHyphen/>
        <w:t>монтеров, водопроводчиков, истопников, слесарей, дворни</w:t>
      </w:r>
      <w:r w:rsidRPr="00E14102">
        <w:rPr>
          <w:color w:val="0070C0"/>
          <w:sz w:val="16"/>
          <w:szCs w:val="16"/>
        </w:rPr>
        <w:softHyphen/>
        <w:t>ков, полотеров и уборщиц.</w:t>
      </w:r>
    </w:p>
    <w:p w14:paraId="092B2BDC" w14:textId="77777777" w:rsidR="004A72F7" w:rsidRPr="00E14102" w:rsidRDefault="004A72F7" w:rsidP="00E14102">
      <w:pPr>
        <w:jc w:val="both"/>
        <w:rPr>
          <w:color w:val="0070C0"/>
          <w:sz w:val="16"/>
          <w:szCs w:val="16"/>
        </w:rPr>
      </w:pPr>
      <w:r w:rsidRPr="00E14102">
        <w:rPr>
          <w:color w:val="0070C0"/>
          <w:sz w:val="16"/>
          <w:szCs w:val="16"/>
        </w:rPr>
        <w:t>2. Комендатуру Кремля считать организацией, ведающей только охраной Кремля.</w:t>
      </w:r>
    </w:p>
    <w:p w14:paraId="583E47A0" w14:textId="77777777" w:rsidR="004A72F7" w:rsidRPr="00E14102" w:rsidRDefault="004A72F7" w:rsidP="00E14102">
      <w:pPr>
        <w:jc w:val="both"/>
        <w:rPr>
          <w:color w:val="0070C0"/>
          <w:sz w:val="16"/>
          <w:szCs w:val="16"/>
        </w:rPr>
      </w:pPr>
      <w:r w:rsidRPr="00E14102">
        <w:rPr>
          <w:color w:val="0070C0"/>
          <w:sz w:val="16"/>
          <w:szCs w:val="16"/>
        </w:rPr>
        <w:t>3. Коменданта Кремля подчинить Народному Комиссару Внутренних дел по внутренней охране и Народному Комисса</w:t>
      </w:r>
      <w:r w:rsidRPr="00E14102">
        <w:rPr>
          <w:color w:val="0070C0"/>
          <w:sz w:val="16"/>
          <w:szCs w:val="16"/>
        </w:rPr>
        <w:softHyphen/>
        <w:t>ру Обороны по воинской охране.</w:t>
      </w:r>
    </w:p>
    <w:p w14:paraId="684EA182" w14:textId="77777777" w:rsidR="004A72F7" w:rsidRPr="00E14102" w:rsidRDefault="004A72F7" w:rsidP="00E14102">
      <w:pPr>
        <w:jc w:val="both"/>
        <w:rPr>
          <w:color w:val="0070C0"/>
          <w:sz w:val="16"/>
          <w:szCs w:val="16"/>
        </w:rPr>
      </w:pPr>
      <w:r w:rsidRPr="00E14102">
        <w:rPr>
          <w:color w:val="0070C0"/>
          <w:sz w:val="16"/>
          <w:szCs w:val="16"/>
        </w:rPr>
        <w:t>4. Назначить заместителем коменданта Кремля по внут</w:t>
      </w:r>
      <w:r w:rsidRPr="00E14102">
        <w:rPr>
          <w:color w:val="0070C0"/>
          <w:sz w:val="16"/>
          <w:szCs w:val="16"/>
        </w:rPr>
        <w:softHyphen/>
        <w:t>ренней охране тов.Успенского Александра Ивановича.</w:t>
      </w:r>
    </w:p>
    <w:p w14:paraId="2B96F702" w14:textId="77777777" w:rsidR="004A72F7" w:rsidRPr="00E14102" w:rsidRDefault="004A72F7" w:rsidP="00E14102">
      <w:pPr>
        <w:jc w:val="both"/>
        <w:rPr>
          <w:color w:val="0070C0"/>
          <w:sz w:val="16"/>
          <w:szCs w:val="16"/>
        </w:rPr>
      </w:pPr>
      <w:r w:rsidRPr="00E14102">
        <w:rPr>
          <w:color w:val="0070C0"/>
          <w:sz w:val="16"/>
          <w:szCs w:val="16"/>
        </w:rPr>
        <w:t>5. Назначить тов. Королева заместителем коменданта Кремля по гарнизону Кремля.</w:t>
      </w:r>
    </w:p>
    <w:p w14:paraId="598EC817" w14:textId="77777777" w:rsidR="004A72F7" w:rsidRPr="00E14102" w:rsidRDefault="004A72F7" w:rsidP="00E14102">
      <w:pPr>
        <w:jc w:val="both"/>
        <w:rPr>
          <w:color w:val="0070C0"/>
          <w:sz w:val="16"/>
          <w:szCs w:val="16"/>
        </w:rPr>
      </w:pPr>
      <w:r w:rsidRPr="00E14102">
        <w:rPr>
          <w:color w:val="0070C0"/>
          <w:sz w:val="16"/>
          <w:szCs w:val="16"/>
        </w:rPr>
        <w:t>6. Вывести из Кремля в новый дом Совнаркома:</w:t>
      </w:r>
    </w:p>
    <w:p w14:paraId="559EF551" w14:textId="77777777" w:rsidR="004A72F7" w:rsidRPr="00E14102" w:rsidRDefault="004A72F7" w:rsidP="00E14102">
      <w:pPr>
        <w:jc w:val="both"/>
        <w:rPr>
          <w:color w:val="0070C0"/>
          <w:sz w:val="16"/>
          <w:szCs w:val="16"/>
        </w:rPr>
      </w:pPr>
      <w:r w:rsidRPr="00E14102">
        <w:rPr>
          <w:color w:val="0070C0"/>
          <w:sz w:val="16"/>
          <w:szCs w:val="16"/>
        </w:rPr>
        <w:t>а) приемные и канцелярии Секретарей Совета Националь</w:t>
      </w:r>
      <w:r w:rsidRPr="00E14102">
        <w:rPr>
          <w:color w:val="0070C0"/>
          <w:sz w:val="16"/>
          <w:szCs w:val="16"/>
        </w:rPr>
        <w:softHyphen/>
        <w:t>ностей и Союзного Совета, центральную избирательную комис</w:t>
      </w:r>
      <w:r w:rsidRPr="00E14102">
        <w:rPr>
          <w:color w:val="0070C0"/>
          <w:sz w:val="16"/>
          <w:szCs w:val="16"/>
        </w:rPr>
        <w:softHyphen/>
        <w:t>сию, комиссию по делам гражданства, комиссию по делам част</w:t>
      </w:r>
      <w:r w:rsidRPr="00E14102">
        <w:rPr>
          <w:color w:val="0070C0"/>
          <w:sz w:val="16"/>
          <w:szCs w:val="16"/>
        </w:rPr>
        <w:softHyphen/>
        <w:t>ной амнистии и организационный отдел ЦИК СССР;</w:t>
      </w:r>
    </w:p>
    <w:p w14:paraId="4E3611E5" w14:textId="77777777" w:rsidR="004A72F7" w:rsidRPr="00E14102" w:rsidRDefault="004A72F7" w:rsidP="00E14102">
      <w:pPr>
        <w:jc w:val="both"/>
        <w:rPr>
          <w:color w:val="0070C0"/>
          <w:sz w:val="16"/>
          <w:szCs w:val="16"/>
        </w:rPr>
      </w:pPr>
      <w:r w:rsidRPr="00E14102">
        <w:rPr>
          <w:color w:val="0070C0"/>
          <w:sz w:val="16"/>
          <w:szCs w:val="16"/>
        </w:rPr>
        <w:t>б) административную комиссию, орготдел и приемную за</w:t>
      </w:r>
      <w:r w:rsidRPr="00E14102">
        <w:rPr>
          <w:color w:val="0070C0"/>
          <w:sz w:val="16"/>
          <w:szCs w:val="16"/>
        </w:rPr>
        <w:softHyphen/>
        <w:t>местителя Секретаря ВцИК"а РСФСР;</w:t>
      </w:r>
    </w:p>
    <w:p w14:paraId="0B59667F" w14:textId="77777777" w:rsidR="004A72F7" w:rsidRPr="00E14102" w:rsidRDefault="004A72F7" w:rsidP="00E14102">
      <w:pPr>
        <w:jc w:val="both"/>
        <w:rPr>
          <w:color w:val="0070C0"/>
          <w:sz w:val="16"/>
          <w:szCs w:val="16"/>
        </w:rPr>
      </w:pPr>
      <w:r w:rsidRPr="00E14102">
        <w:rPr>
          <w:color w:val="0070C0"/>
          <w:sz w:val="16"/>
          <w:szCs w:val="16"/>
        </w:rPr>
        <w:t>в) комитет резервов и канцелярию пом. управделами по административно-хозяйственной части Совнаркома СССР;</w:t>
      </w:r>
    </w:p>
    <w:p w14:paraId="7FBDC39D" w14:textId="77777777" w:rsidR="004A72F7" w:rsidRPr="00E14102" w:rsidRDefault="004A72F7" w:rsidP="00E14102">
      <w:pPr>
        <w:jc w:val="both"/>
        <w:rPr>
          <w:color w:val="0070C0"/>
          <w:sz w:val="16"/>
          <w:szCs w:val="16"/>
        </w:rPr>
      </w:pPr>
      <w:r w:rsidRPr="00E14102">
        <w:rPr>
          <w:color w:val="0070C0"/>
          <w:sz w:val="16"/>
          <w:szCs w:val="16"/>
        </w:rPr>
        <w:t>г) административно-хозяйственннй отдел, экспортное со</w:t>
      </w:r>
      <w:r w:rsidRPr="00E14102">
        <w:rPr>
          <w:color w:val="0070C0"/>
          <w:sz w:val="16"/>
          <w:szCs w:val="16"/>
        </w:rPr>
        <w:softHyphen/>
        <w:t>вещание, аппарат ЭКССО и канцелярию пом. управделами по административно-хозяйственной части Совнаркома РСФСР.</w:t>
      </w:r>
    </w:p>
    <w:p w14:paraId="2E06680E" w14:textId="77777777" w:rsidR="004A72F7" w:rsidRPr="00E14102" w:rsidRDefault="004A72F7" w:rsidP="00E14102">
      <w:pPr>
        <w:jc w:val="both"/>
        <w:rPr>
          <w:color w:val="0070C0"/>
          <w:sz w:val="16"/>
          <w:szCs w:val="16"/>
        </w:rPr>
      </w:pPr>
      <w:r w:rsidRPr="00E14102">
        <w:rPr>
          <w:color w:val="0070C0"/>
          <w:sz w:val="16"/>
          <w:szCs w:val="16"/>
        </w:rPr>
        <w:t>Оставить в Кремле только Управления делами, секрет</w:t>
      </w:r>
      <w:r w:rsidRPr="00E14102">
        <w:rPr>
          <w:color w:val="0070C0"/>
          <w:sz w:val="16"/>
          <w:szCs w:val="16"/>
        </w:rPr>
        <w:softHyphen/>
        <w:t>ные отделы (части) этих учреждений и личные секретариаты;</w:t>
      </w:r>
    </w:p>
    <w:p w14:paraId="46D2AB0A" w14:textId="77777777" w:rsidR="004A72F7" w:rsidRPr="00E14102" w:rsidRDefault="004A72F7" w:rsidP="00E14102">
      <w:pPr>
        <w:jc w:val="both"/>
        <w:rPr>
          <w:color w:val="0070C0"/>
          <w:sz w:val="16"/>
          <w:szCs w:val="16"/>
        </w:rPr>
      </w:pPr>
      <w:r w:rsidRPr="00E14102">
        <w:rPr>
          <w:color w:val="0070C0"/>
          <w:sz w:val="16"/>
          <w:szCs w:val="16"/>
        </w:rPr>
        <w:t>7.Вывести из кремлевского арсенала и передать т.Па</w:t>
      </w:r>
      <w:r w:rsidRPr="00E14102">
        <w:rPr>
          <w:color w:val="0070C0"/>
          <w:sz w:val="16"/>
          <w:szCs w:val="16"/>
        </w:rPr>
        <w:softHyphen/>
        <w:t>хомову все мастерские, а также гражданский отдел управле</w:t>
      </w:r>
      <w:r w:rsidRPr="00E14102">
        <w:rPr>
          <w:color w:val="0070C0"/>
          <w:sz w:val="16"/>
          <w:szCs w:val="16"/>
        </w:rPr>
        <w:softHyphen/>
        <w:t>ния коменданта Кремля (строительный сектор, снабженческо- складскую группу и др.).</w:t>
      </w:r>
    </w:p>
    <w:p w14:paraId="1AF88330" w14:textId="77777777" w:rsidR="004A72F7" w:rsidRPr="00E14102" w:rsidRDefault="004A72F7" w:rsidP="00E14102">
      <w:pPr>
        <w:jc w:val="both"/>
        <w:rPr>
          <w:color w:val="0070C0"/>
          <w:sz w:val="16"/>
          <w:szCs w:val="16"/>
        </w:rPr>
      </w:pPr>
      <w:r w:rsidRPr="00E14102">
        <w:rPr>
          <w:color w:val="0070C0"/>
          <w:sz w:val="16"/>
          <w:szCs w:val="16"/>
        </w:rPr>
        <w:t>8. Вывести из Кремля столовую сотрудников здания правительства, переводя эту столовую в здание ГУМ"а. Деле</w:t>
      </w:r>
      <w:r w:rsidRPr="00E14102">
        <w:rPr>
          <w:color w:val="0070C0"/>
          <w:sz w:val="16"/>
          <w:szCs w:val="16"/>
        </w:rPr>
        <w:softHyphen/>
        <w:t>гатскую столовую перевести в помещение бывшего театра 1-го дома ЦИКСа, обязав тов. Пахомова вывести эти столовые в кратчайший срок. Поручить Паукеру. Пахомову, Успенскому установить сроки перевода столовых из Кремля.</w:t>
      </w:r>
    </w:p>
    <w:p w14:paraId="4ACD9923" w14:textId="77777777" w:rsidR="004A72F7" w:rsidRPr="00E14102" w:rsidRDefault="004A72F7" w:rsidP="00E14102">
      <w:pPr>
        <w:jc w:val="both"/>
        <w:rPr>
          <w:color w:val="0070C0"/>
          <w:sz w:val="16"/>
          <w:szCs w:val="16"/>
        </w:rPr>
      </w:pPr>
      <w:r w:rsidRPr="00E14102">
        <w:rPr>
          <w:color w:val="0070C0"/>
          <w:sz w:val="16"/>
          <w:szCs w:val="16"/>
        </w:rPr>
        <w:t>9. Поручить т.т. Енукидзе, Петерсону, Успенскому, Паукеру пересмотреть:</w:t>
      </w:r>
    </w:p>
    <w:p w14:paraId="4C789F3E" w14:textId="77777777" w:rsidR="004A72F7" w:rsidRPr="00E14102" w:rsidRDefault="004A72F7" w:rsidP="00E14102">
      <w:pPr>
        <w:jc w:val="both"/>
        <w:rPr>
          <w:color w:val="0070C0"/>
          <w:sz w:val="16"/>
          <w:szCs w:val="16"/>
        </w:rPr>
      </w:pPr>
      <w:r w:rsidRPr="00E14102">
        <w:rPr>
          <w:color w:val="0070C0"/>
          <w:sz w:val="16"/>
          <w:szCs w:val="16"/>
        </w:rPr>
        <w:t>а)список лиц, имеющих постоянные пропуска в Кремль,</w:t>
      </w:r>
    </w:p>
    <w:p w14:paraId="4A81EAF5" w14:textId="77777777" w:rsidR="004A72F7" w:rsidRPr="00E14102" w:rsidRDefault="004A72F7" w:rsidP="00E14102">
      <w:pPr>
        <w:jc w:val="both"/>
        <w:rPr>
          <w:color w:val="0070C0"/>
          <w:sz w:val="16"/>
          <w:szCs w:val="16"/>
        </w:rPr>
      </w:pPr>
      <w:r w:rsidRPr="00E14102">
        <w:rPr>
          <w:color w:val="0070C0"/>
          <w:sz w:val="16"/>
          <w:szCs w:val="16"/>
        </w:rPr>
        <w:t>б) Учреждения, которые могут быть дополнительно выведены из Кремля.</w:t>
      </w:r>
    </w:p>
    <w:p w14:paraId="751FA63F" w14:textId="77777777" w:rsidR="004A72F7" w:rsidRPr="00E14102" w:rsidRDefault="004A72F7" w:rsidP="00E14102">
      <w:pPr>
        <w:jc w:val="both"/>
        <w:rPr>
          <w:color w:val="0070C0"/>
          <w:sz w:val="16"/>
          <w:szCs w:val="16"/>
        </w:rPr>
      </w:pPr>
      <w:r w:rsidRPr="00E14102">
        <w:rPr>
          <w:color w:val="0070C0"/>
          <w:sz w:val="16"/>
          <w:szCs w:val="16"/>
        </w:rPr>
        <w:t>10. т.т. Ягоде, Енукидзе, Петерсону. Молчанову. Успенско</w:t>
      </w:r>
      <w:r w:rsidRPr="00E14102">
        <w:rPr>
          <w:color w:val="0070C0"/>
          <w:sz w:val="16"/>
          <w:szCs w:val="16"/>
        </w:rPr>
        <w:softHyphen/>
        <w:t>му, Паукеру и Фриновскому в двухмесячный срок разработать и представить в ЦК ВКП(б) план реорганизации охраны Крем</w:t>
      </w:r>
      <w:r w:rsidRPr="00E14102">
        <w:rPr>
          <w:color w:val="0070C0"/>
          <w:sz w:val="16"/>
          <w:szCs w:val="16"/>
        </w:rPr>
        <w:softHyphen/>
        <w:t>ля, имея ввиду перевод школы курсантов в другое место и оставление красноармейского гарнизона с подчинением ко</w:t>
      </w:r>
      <w:r w:rsidRPr="00E14102">
        <w:rPr>
          <w:color w:val="0070C0"/>
          <w:sz w:val="16"/>
          <w:szCs w:val="16"/>
        </w:rPr>
        <w:softHyphen/>
        <w:t>менданта по внутренней охране Кремля Наркомвнуделу, а по воинской охране - Наркому Обороны.</w:t>
      </w:r>
    </w:p>
    <w:p w14:paraId="5A39B8A5" w14:textId="77777777" w:rsidR="004A72F7" w:rsidRPr="00E14102" w:rsidRDefault="004A72F7" w:rsidP="00E14102">
      <w:pPr>
        <w:jc w:val="both"/>
        <w:rPr>
          <w:color w:val="0070C0"/>
          <w:sz w:val="16"/>
          <w:szCs w:val="16"/>
        </w:rPr>
      </w:pPr>
      <w:r w:rsidRPr="00E14102">
        <w:rPr>
          <w:color w:val="0070C0"/>
          <w:sz w:val="16"/>
          <w:szCs w:val="16"/>
        </w:rPr>
        <w:t>Выписки посланы: т.т. Енукидзе, Ворошилову, Ягода, Петерсону, Паукеру - все;</w:t>
      </w:r>
    </w:p>
    <w:p w14:paraId="736D7239" w14:textId="77777777" w:rsidR="004A72F7" w:rsidRPr="00E14102" w:rsidRDefault="004A72F7" w:rsidP="00E14102">
      <w:pPr>
        <w:jc w:val="both"/>
        <w:rPr>
          <w:color w:val="0070C0"/>
          <w:sz w:val="16"/>
          <w:szCs w:val="16"/>
        </w:rPr>
      </w:pPr>
      <w:r w:rsidRPr="00E14102">
        <w:rPr>
          <w:color w:val="0070C0"/>
          <w:sz w:val="16"/>
          <w:szCs w:val="16"/>
        </w:rPr>
        <w:t>Успенскому - 8,9,10, Молчанову - 10, Пахомову - 7,8, Фриновскому - 10.</w:t>
      </w:r>
    </w:p>
    <w:p w14:paraId="48C3DE35" w14:textId="77777777" w:rsidR="004A72F7" w:rsidRPr="00E14102" w:rsidRDefault="004A72F7" w:rsidP="00E14102">
      <w:pPr>
        <w:jc w:val="both"/>
        <w:rPr>
          <w:color w:val="0070C0"/>
          <w:sz w:val="16"/>
          <w:szCs w:val="16"/>
        </w:rPr>
      </w:pPr>
      <w:r w:rsidRPr="00E14102">
        <w:rPr>
          <w:color w:val="0070C0"/>
          <w:sz w:val="16"/>
          <w:szCs w:val="16"/>
        </w:rPr>
        <w:t>19 февраля 1935 опросом членов ПБ</w:t>
      </w:r>
    </w:p>
    <w:p w14:paraId="1D306781" w14:textId="77777777" w:rsidR="004A72F7" w:rsidRPr="00E14102" w:rsidRDefault="004A72F7" w:rsidP="00E14102">
      <w:pPr>
        <w:jc w:val="both"/>
        <w:rPr>
          <w:color w:val="0070C0"/>
          <w:sz w:val="16"/>
          <w:szCs w:val="16"/>
        </w:rPr>
      </w:pPr>
      <w:r w:rsidRPr="00E14102">
        <w:rPr>
          <w:color w:val="0070C0"/>
          <w:sz w:val="16"/>
          <w:szCs w:val="16"/>
        </w:rPr>
        <w:t>104.- О гласности военных расходов.</w:t>
      </w:r>
    </w:p>
    <w:p w14:paraId="64FF87F1" w14:textId="77777777" w:rsidR="004A72F7" w:rsidRPr="00E14102" w:rsidRDefault="004A72F7" w:rsidP="00E14102">
      <w:pPr>
        <w:jc w:val="both"/>
        <w:rPr>
          <w:color w:val="0070C0"/>
          <w:sz w:val="16"/>
          <w:szCs w:val="16"/>
        </w:rPr>
      </w:pPr>
      <w:r w:rsidRPr="00E14102">
        <w:rPr>
          <w:color w:val="0070C0"/>
          <w:sz w:val="16"/>
          <w:szCs w:val="16"/>
        </w:rPr>
        <w:t>Поручить Наркомобороны подготовить данные для ежегодника Лиги Наций и представить в Политбюро на ут</w:t>
      </w:r>
      <w:r w:rsidRPr="00E14102">
        <w:rPr>
          <w:color w:val="0070C0"/>
          <w:sz w:val="16"/>
          <w:szCs w:val="16"/>
        </w:rPr>
        <w:softHyphen/>
        <w:t>верждение.</w:t>
      </w:r>
    </w:p>
    <w:p w14:paraId="3A0F1EB7" w14:textId="77777777" w:rsidR="004A72F7" w:rsidRPr="00E14102" w:rsidRDefault="004A72F7" w:rsidP="00E14102">
      <w:pPr>
        <w:jc w:val="both"/>
        <w:rPr>
          <w:color w:val="0070C0"/>
          <w:sz w:val="16"/>
          <w:szCs w:val="16"/>
        </w:rPr>
      </w:pPr>
      <w:r w:rsidRPr="00E14102">
        <w:rPr>
          <w:color w:val="0070C0"/>
          <w:sz w:val="16"/>
          <w:szCs w:val="16"/>
        </w:rPr>
        <w:t>Выписка послана: т.т. Ворошилову, Литвинову (22926).</w:t>
      </w:r>
    </w:p>
    <w:p w14:paraId="711A171D" w14:textId="77777777" w:rsidR="004A72F7" w:rsidRPr="00E14102" w:rsidRDefault="004A72F7" w:rsidP="00E14102">
      <w:pPr>
        <w:jc w:val="both"/>
        <w:rPr>
          <w:color w:val="0070C0"/>
          <w:sz w:val="16"/>
          <w:szCs w:val="16"/>
        </w:rPr>
      </w:pPr>
    </w:p>
    <w:p w14:paraId="7EB41FF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F3AA828" w14:textId="77777777" w:rsidR="00D4105E" w:rsidRPr="00E14102" w:rsidRDefault="00D4105E" w:rsidP="00E14102">
      <w:pPr>
        <w:autoSpaceDE w:val="0"/>
        <w:autoSpaceDN w:val="0"/>
        <w:adjustRightInd w:val="0"/>
        <w:jc w:val="both"/>
        <w:rPr>
          <w:iCs/>
          <w:color w:val="000000" w:themeColor="text1"/>
          <w:sz w:val="16"/>
          <w:szCs w:val="16"/>
        </w:rPr>
      </w:pPr>
    </w:p>
    <w:p w14:paraId="685202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февраля 1935 была назначена комиссия по приемке всех сооружений Московского Метро (11614).</w:t>
      </w:r>
    </w:p>
    <w:p w14:paraId="2D383336" w14:textId="77777777" w:rsidR="00D4105E" w:rsidRPr="00E14102" w:rsidRDefault="00D4105E" w:rsidP="00E14102">
      <w:pPr>
        <w:autoSpaceDE w:val="0"/>
        <w:autoSpaceDN w:val="0"/>
        <w:adjustRightInd w:val="0"/>
        <w:jc w:val="both"/>
        <w:rPr>
          <w:color w:val="000000" w:themeColor="text1"/>
          <w:sz w:val="16"/>
          <w:szCs w:val="16"/>
        </w:rPr>
      </w:pPr>
    </w:p>
    <w:p w14:paraId="6011789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94CB1EB" w14:textId="77777777" w:rsidR="00D4105E" w:rsidRPr="00E14102" w:rsidRDefault="00D4105E" w:rsidP="00E14102">
      <w:pPr>
        <w:autoSpaceDE w:val="0"/>
        <w:autoSpaceDN w:val="0"/>
        <w:adjustRightInd w:val="0"/>
        <w:jc w:val="both"/>
        <w:rPr>
          <w:iCs/>
          <w:color w:val="000000" w:themeColor="text1"/>
          <w:sz w:val="16"/>
          <w:szCs w:val="16"/>
        </w:rPr>
      </w:pPr>
    </w:p>
    <w:p w14:paraId="1EB858E5" w14:textId="77777777" w:rsidR="005149BA" w:rsidRPr="00E14102" w:rsidRDefault="005149BA" w:rsidP="00E14102">
      <w:pPr>
        <w:jc w:val="both"/>
        <w:rPr>
          <w:color w:val="0070C0"/>
          <w:sz w:val="16"/>
          <w:szCs w:val="16"/>
        </w:rPr>
      </w:pPr>
      <w:r w:rsidRPr="00E14102">
        <w:rPr>
          <w:color w:val="0070C0"/>
          <w:sz w:val="16"/>
          <w:szCs w:val="16"/>
        </w:rPr>
        <w:t>22 февраля 1935 полеты самолетов над Белым домом в Вашингтоне, округ Колумбия, становятся незаконными. Жалоба президента Франклина Рузвельта на то, что самолет мешает ему спать, побудила к принятию нового закона (20800).</w:t>
      </w:r>
    </w:p>
    <w:p w14:paraId="21370BCE" w14:textId="77777777" w:rsidR="005149BA" w:rsidRPr="00E14102" w:rsidRDefault="005149BA" w:rsidP="00E14102">
      <w:pPr>
        <w:jc w:val="both"/>
        <w:rPr>
          <w:color w:val="0070C0"/>
          <w:sz w:val="16"/>
          <w:szCs w:val="16"/>
        </w:rPr>
      </w:pPr>
    </w:p>
    <w:p w14:paraId="57CCA3AB" w14:textId="77777777" w:rsidR="005149BA" w:rsidRPr="00E14102" w:rsidRDefault="005149BA" w:rsidP="00E14102">
      <w:pPr>
        <w:jc w:val="both"/>
        <w:rPr>
          <w:color w:val="0070C0"/>
          <w:sz w:val="16"/>
          <w:szCs w:val="16"/>
        </w:rPr>
      </w:pPr>
      <w:r w:rsidRPr="00E14102">
        <w:rPr>
          <w:color w:val="0070C0"/>
          <w:sz w:val="16"/>
          <w:szCs w:val="16"/>
        </w:rPr>
        <w:t xml:space="preserve">22 февраля 1935 Лиланд Эндрюс побил январский рекорд Дулиттла, совершив трансконтинентальный транспортный перелет через Соединенные Штаты за 11 часов 34 минуты (20800). </w:t>
      </w:r>
    </w:p>
    <w:p w14:paraId="60AFBC0C" w14:textId="77777777" w:rsidR="005149BA" w:rsidRPr="00E14102" w:rsidRDefault="005149BA" w:rsidP="00E14102">
      <w:pPr>
        <w:jc w:val="both"/>
        <w:rPr>
          <w:color w:val="0070C0"/>
          <w:sz w:val="16"/>
          <w:szCs w:val="16"/>
        </w:rPr>
      </w:pPr>
    </w:p>
    <w:p w14:paraId="50CE0BE6" w14:textId="77777777" w:rsidR="005149BA" w:rsidRPr="00E14102" w:rsidRDefault="005149BA" w:rsidP="00E14102">
      <w:pPr>
        <w:jc w:val="both"/>
        <w:rPr>
          <w:color w:val="0070C0"/>
          <w:sz w:val="16"/>
          <w:szCs w:val="16"/>
        </w:rPr>
      </w:pPr>
      <w:r w:rsidRPr="00E14102">
        <w:rPr>
          <w:color w:val="0070C0"/>
          <w:sz w:val="16"/>
          <w:szCs w:val="16"/>
        </w:rPr>
        <w:t>22 февраля 1935 - Леланд Эндрюс (Leland Andrews) с вторым пилотом Генри Мейерсом и радистом Г. Д. Рейберном побил январский рекорд Джимми Дулиттла, совершив трансконтинентальный транспортный перелет на Самолете Vultee через Соединенные Штаты за 11 часов 34 минуты, прибыв в аэропорт Флойд Беннет (Нью-Йорк) из Лос-Анджелеса (22590). </w:t>
      </w:r>
    </w:p>
    <w:p w14:paraId="0BAB53D8" w14:textId="77777777" w:rsidR="005149BA" w:rsidRPr="00E14102" w:rsidRDefault="005149BA" w:rsidP="00E14102">
      <w:pPr>
        <w:jc w:val="both"/>
        <w:rPr>
          <w:color w:val="0070C0"/>
          <w:sz w:val="16"/>
          <w:szCs w:val="16"/>
        </w:rPr>
      </w:pPr>
    </w:p>
    <w:p w14:paraId="2E5255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февраля 1935 итальянские войска высадились в Восточной Африке (3907,191).</w:t>
      </w:r>
    </w:p>
    <w:p w14:paraId="27A79E4B" w14:textId="77777777" w:rsidR="00D4105E" w:rsidRPr="00E14102" w:rsidRDefault="00D4105E" w:rsidP="00E14102">
      <w:pPr>
        <w:autoSpaceDE w:val="0"/>
        <w:autoSpaceDN w:val="0"/>
        <w:adjustRightInd w:val="0"/>
        <w:jc w:val="both"/>
        <w:rPr>
          <w:color w:val="000000" w:themeColor="text1"/>
          <w:sz w:val="16"/>
          <w:szCs w:val="16"/>
        </w:rPr>
      </w:pPr>
    </w:p>
    <w:p w14:paraId="647067F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22 февраля 1935 в США самолетам запрещено пролетать над Белым домом (4962).</w:t>
      </w:r>
    </w:p>
    <w:p w14:paraId="4750EB2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6595BF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D2A83DA" w14:textId="77777777" w:rsidR="00D4105E" w:rsidRPr="00E14102" w:rsidRDefault="00D4105E" w:rsidP="00E14102">
      <w:pPr>
        <w:autoSpaceDE w:val="0"/>
        <w:autoSpaceDN w:val="0"/>
        <w:adjustRightInd w:val="0"/>
        <w:jc w:val="both"/>
        <w:rPr>
          <w:iCs/>
          <w:color w:val="000000" w:themeColor="text1"/>
          <w:sz w:val="16"/>
          <w:szCs w:val="16"/>
        </w:rPr>
      </w:pPr>
    </w:p>
    <w:p w14:paraId="531109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февраля 1935 года зам. начальника ГЛАВАВИАПРОМа Ермолаев подписал:</w:t>
      </w:r>
    </w:p>
    <w:p w14:paraId="4FAA36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 об изготовлении транспортного самолета (Можаева).</w:t>
      </w:r>
    </w:p>
    <w:p w14:paraId="500373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конструкции Можаева начат постройкой в 1934 году на заводе № 135 В Харькове и в настоящее время заканчивается постройка частей самолета (лонжерон, фюзеляж, оперение), предназначенных для статиспытаний.</w:t>
      </w:r>
    </w:p>
    <w:p w14:paraId="2F7FBD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ведется под непосредственным руководством и наблюдением самого Можаева. Для этого в его распоряжение передано заводское помещение, рабочие и оборудование.</w:t>
      </w:r>
    </w:p>
    <w:p w14:paraId="52A4DC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случае удовлетворительных результатов статических испытаний, заводу № 135 поручено изготовление самолета в целом, для чего Можаевым и заводом должен быть заключен соответствующий договор.</w:t>
      </w:r>
    </w:p>
    <w:p w14:paraId="19A33A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Директору завода предписание дано. Окончание постройки самолета следует ожидать к концу 1935 года (4213, 52).</w:t>
      </w:r>
    </w:p>
    <w:p w14:paraId="26026F21" w14:textId="77777777" w:rsidR="00D4105E" w:rsidRPr="00E14102" w:rsidRDefault="00D4105E" w:rsidP="00E14102">
      <w:pPr>
        <w:autoSpaceDE w:val="0"/>
        <w:autoSpaceDN w:val="0"/>
        <w:adjustRightInd w:val="0"/>
        <w:jc w:val="both"/>
        <w:rPr>
          <w:color w:val="000000" w:themeColor="text1"/>
          <w:sz w:val="16"/>
          <w:szCs w:val="16"/>
        </w:rPr>
      </w:pPr>
    </w:p>
    <w:p w14:paraId="466E161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8512BD3" w14:textId="77777777" w:rsidR="00D4105E" w:rsidRPr="00E14102" w:rsidRDefault="00D4105E" w:rsidP="00E14102">
      <w:pPr>
        <w:autoSpaceDE w:val="0"/>
        <w:autoSpaceDN w:val="0"/>
        <w:adjustRightInd w:val="0"/>
        <w:jc w:val="both"/>
        <w:rPr>
          <w:iCs/>
          <w:color w:val="000000" w:themeColor="text1"/>
          <w:sz w:val="16"/>
          <w:szCs w:val="16"/>
        </w:rPr>
      </w:pPr>
    </w:p>
    <w:p w14:paraId="2D0AE0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февраля 1935 года начальник секретного отдела Исаев писал письмо № 2/856с в СНК Базилевичу</w:t>
      </w:r>
    </w:p>
    <w:p w14:paraId="1544CE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распоряжению зам. начальника ГУАПа Ермолаева препровождаю при сем справку об изготовлении проекта самолета (Можаева).</w:t>
      </w:r>
    </w:p>
    <w:p w14:paraId="0BA057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 на 1 листе (4213, 51).</w:t>
      </w:r>
    </w:p>
    <w:p w14:paraId="214D9B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февраля 1935 года зам. начальника ГЛАВАВИАПРОМа Ермолаев подписал:</w:t>
      </w:r>
    </w:p>
    <w:p w14:paraId="394878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 об изготовлении транспортного самолета (Можаева).</w:t>
      </w:r>
    </w:p>
    <w:p w14:paraId="2C5218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конструкции Можаева начат постройкой в 1934 году на заводе № 135 В Харькове и в настоящее время заканчивается постройка частей самолета (лонжерон, фюзеляж, оперение), предназначенных для статиспытаний.</w:t>
      </w:r>
    </w:p>
    <w:p w14:paraId="648E01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ведется под непосредственным руководством и наблюдением самого Можаева. Для этого в его распоряжение передано заводское помещение, рабочие и оборудование.</w:t>
      </w:r>
    </w:p>
    <w:p w14:paraId="36D8CE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случае удовлетворительных результатов статических испытаний, заводу № 135 поручено изготовление самолета в целом, для чего Можаевым и заводом должен быть заключен соответствующий договор.</w:t>
      </w:r>
    </w:p>
    <w:p w14:paraId="36797E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Директору завода предписание дано. Окончание постройки самолета следует ожидать к концу 1935 года (4213, 52).</w:t>
      </w:r>
    </w:p>
    <w:p w14:paraId="6DE659DE" w14:textId="77777777" w:rsidR="00D4105E" w:rsidRPr="00E14102" w:rsidRDefault="00D4105E" w:rsidP="00E14102">
      <w:pPr>
        <w:autoSpaceDE w:val="0"/>
        <w:autoSpaceDN w:val="0"/>
        <w:adjustRightInd w:val="0"/>
        <w:jc w:val="both"/>
        <w:rPr>
          <w:color w:val="000000" w:themeColor="text1"/>
          <w:sz w:val="16"/>
          <w:szCs w:val="16"/>
        </w:rPr>
      </w:pPr>
    </w:p>
    <w:p w14:paraId="391297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февраля 1935 Директор ХАИ Красильников и Нач. Проектного бюро самолетостроения и Желтовский писали Нач. 2 отделения 4 отдела УВВС РККА Галдину письмо N 89 (копия: ГУАП Машкевичу):</w:t>
      </w:r>
    </w:p>
    <w:p w14:paraId="195D35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того, что нами строятся опытные самолеты по заданию Военведа ХАИ-6 и ХАИ-5, срок окончания ХАИ-6 - 15 марта 1935, а ХАИ-5 - 15 апреля, мы считали бы крайне полезным производство предварительного контроля и приемки названных самолетов военной приемкой завода 135 до представления их на гос. испытания..." (2343,24).</w:t>
      </w:r>
    </w:p>
    <w:p w14:paraId="27D0B384" w14:textId="77777777" w:rsidR="00D4105E" w:rsidRPr="00E14102" w:rsidRDefault="00D4105E" w:rsidP="00E14102">
      <w:pPr>
        <w:autoSpaceDE w:val="0"/>
        <w:autoSpaceDN w:val="0"/>
        <w:adjustRightInd w:val="0"/>
        <w:jc w:val="both"/>
        <w:rPr>
          <w:color w:val="000000" w:themeColor="text1"/>
          <w:sz w:val="16"/>
          <w:szCs w:val="16"/>
        </w:rPr>
      </w:pPr>
    </w:p>
    <w:p w14:paraId="0C838B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февраля 1935 на заводские испытания был предъявлен самолет У-3 М-48 200 нр в военном варианте. Л Я.М.Садовский выполнил первый контрольный полет с пассажиром Михельсоном и испытания шли до 6 апреля 1935 (2343,192).</w:t>
      </w:r>
    </w:p>
    <w:p w14:paraId="2D8E37DB" w14:textId="77777777" w:rsidR="00D4105E" w:rsidRPr="00E14102" w:rsidRDefault="00D4105E" w:rsidP="00E14102">
      <w:pPr>
        <w:autoSpaceDE w:val="0"/>
        <w:autoSpaceDN w:val="0"/>
        <w:adjustRightInd w:val="0"/>
        <w:jc w:val="both"/>
        <w:rPr>
          <w:color w:val="000000" w:themeColor="text1"/>
          <w:sz w:val="16"/>
          <w:szCs w:val="16"/>
        </w:rPr>
      </w:pPr>
    </w:p>
    <w:p w14:paraId="4401A1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февраля 1935 Б.Г.Чухновский на Дорнье-Валь авиаотдела Морских сил ЧМ на Азовском море закончил испытания полозков (предложенных для ДАР Р.Л.Б. и сконструированных и СНИИ Аэрофлота Берлиным и Даниленко) для полетов с воды на лед и обратно, которые шли с 17 февраля. Машина неоднократно проваливалась под лед, но взлетала. Полозки устанавливали на заводе 45 (99,197).</w:t>
      </w:r>
    </w:p>
    <w:p w14:paraId="0DACF07D" w14:textId="77777777" w:rsidR="00D4105E" w:rsidRPr="00E14102" w:rsidRDefault="00D4105E" w:rsidP="00E14102">
      <w:pPr>
        <w:autoSpaceDE w:val="0"/>
        <w:autoSpaceDN w:val="0"/>
        <w:adjustRightInd w:val="0"/>
        <w:jc w:val="both"/>
        <w:rPr>
          <w:color w:val="000000" w:themeColor="text1"/>
          <w:sz w:val="16"/>
          <w:szCs w:val="16"/>
        </w:rPr>
      </w:pPr>
    </w:p>
    <w:p w14:paraId="3E92AF8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C645F6E" w14:textId="77777777" w:rsidR="00D4105E" w:rsidRPr="00E14102" w:rsidRDefault="00D4105E" w:rsidP="00E14102">
      <w:pPr>
        <w:autoSpaceDE w:val="0"/>
        <w:autoSpaceDN w:val="0"/>
        <w:adjustRightInd w:val="0"/>
        <w:jc w:val="both"/>
        <w:rPr>
          <w:iCs/>
          <w:color w:val="000000" w:themeColor="text1"/>
          <w:sz w:val="16"/>
          <w:szCs w:val="16"/>
        </w:rPr>
      </w:pPr>
    </w:p>
    <w:p w14:paraId="51ADB7D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февраля 1935 на пост главы комиссии партийного контроля ВКП(б) назначен Н. Ежов, будущий глава НКВД (4962).</w:t>
      </w:r>
    </w:p>
    <w:p w14:paraId="10723B0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9501E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февраля 1935 Н.Ежов (секретарь ЦК, заменивший С.М.К.) был поставлен во главе Центральной комиссии партконтроля (3908,346).</w:t>
      </w:r>
    </w:p>
    <w:p w14:paraId="61BFC663" w14:textId="77777777" w:rsidR="00D4105E" w:rsidRPr="00E14102" w:rsidRDefault="00D4105E" w:rsidP="00E14102">
      <w:pPr>
        <w:autoSpaceDE w:val="0"/>
        <w:autoSpaceDN w:val="0"/>
        <w:adjustRightInd w:val="0"/>
        <w:jc w:val="both"/>
        <w:rPr>
          <w:color w:val="000000" w:themeColor="text1"/>
          <w:sz w:val="16"/>
          <w:szCs w:val="16"/>
        </w:rPr>
      </w:pPr>
    </w:p>
    <w:p w14:paraId="152A9E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февраля 1935 во главе Комиссии партконтроля поставили Н.И.Ежова, Секретаря ЦК (1348,120).</w:t>
      </w:r>
    </w:p>
    <w:p w14:paraId="1F1737F5" w14:textId="77777777" w:rsidR="00D4105E" w:rsidRPr="00E14102" w:rsidRDefault="00D4105E" w:rsidP="00E14102">
      <w:pPr>
        <w:autoSpaceDE w:val="0"/>
        <w:autoSpaceDN w:val="0"/>
        <w:adjustRightInd w:val="0"/>
        <w:jc w:val="both"/>
        <w:rPr>
          <w:color w:val="000000" w:themeColor="text1"/>
          <w:sz w:val="16"/>
          <w:szCs w:val="16"/>
        </w:rPr>
      </w:pPr>
    </w:p>
    <w:p w14:paraId="58CA804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BA9030E" w14:textId="77777777" w:rsidR="00D4105E" w:rsidRPr="00E14102" w:rsidRDefault="00D4105E" w:rsidP="00E14102">
      <w:pPr>
        <w:autoSpaceDE w:val="0"/>
        <w:autoSpaceDN w:val="0"/>
        <w:adjustRightInd w:val="0"/>
        <w:jc w:val="both"/>
        <w:rPr>
          <w:iCs/>
          <w:color w:val="000000" w:themeColor="text1"/>
          <w:sz w:val="16"/>
          <w:szCs w:val="16"/>
        </w:rPr>
      </w:pPr>
    </w:p>
    <w:p w14:paraId="4DE71E4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24 февраля 1935 г. состоялся первый полет серийного АНТ-31 (И-14) на Иркутском авиазаводе (6395).</w:t>
      </w:r>
    </w:p>
    <w:p w14:paraId="368277A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635B3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февраля 1934 состоялся первый полет серийного АНТ-31 (И-14) на Иркутском авиазаводе 125 (2668).</w:t>
      </w:r>
    </w:p>
    <w:p w14:paraId="15243646" w14:textId="77777777" w:rsidR="00D4105E" w:rsidRPr="00E14102" w:rsidRDefault="00D4105E" w:rsidP="00E14102">
      <w:pPr>
        <w:autoSpaceDE w:val="0"/>
        <w:autoSpaceDN w:val="0"/>
        <w:adjustRightInd w:val="0"/>
        <w:jc w:val="both"/>
        <w:rPr>
          <w:color w:val="000000" w:themeColor="text1"/>
          <w:sz w:val="16"/>
          <w:szCs w:val="16"/>
        </w:rPr>
      </w:pPr>
    </w:p>
    <w:p w14:paraId="2942E8C2" w14:textId="77777777" w:rsidR="00FF07E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6E81F57" w14:textId="77777777" w:rsidR="00FF07E2" w:rsidRPr="00E14102" w:rsidRDefault="00FF07E2" w:rsidP="00E14102">
      <w:pPr>
        <w:autoSpaceDE w:val="0"/>
        <w:autoSpaceDN w:val="0"/>
        <w:adjustRightInd w:val="0"/>
        <w:jc w:val="both"/>
        <w:rPr>
          <w:iCs/>
          <w:color w:val="000000" w:themeColor="text1"/>
          <w:sz w:val="16"/>
          <w:szCs w:val="16"/>
        </w:rPr>
      </w:pPr>
    </w:p>
    <w:p w14:paraId="1206FD50" w14:textId="77777777" w:rsidR="00FF07E2" w:rsidRPr="00E14102" w:rsidRDefault="00FF07E2" w:rsidP="00E14102">
      <w:pPr>
        <w:jc w:val="both"/>
        <w:rPr>
          <w:color w:val="000000" w:themeColor="text1"/>
          <w:sz w:val="16"/>
          <w:szCs w:val="16"/>
        </w:rPr>
      </w:pPr>
      <w:r w:rsidRPr="00E14102">
        <w:rPr>
          <w:bCs/>
          <w:color w:val="000000" w:themeColor="text1"/>
          <w:sz w:val="16"/>
          <w:szCs w:val="16"/>
        </w:rPr>
        <w:t>24 февраля</w:t>
      </w:r>
      <w:r w:rsidRPr="00E14102">
        <w:rPr>
          <w:color w:val="000000" w:themeColor="text1"/>
          <w:sz w:val="16"/>
          <w:szCs w:val="16"/>
        </w:rPr>
        <w:t xml:space="preserve"> в 1935 году И.В.Сталин на письме Лили Брик, в котором сообщалось о том, что до сих пор не выпущено собрание сочинений Владимира Маяковского, начертал резолюцию: "Маяковский был и остается лучшим, талантливейшим поэтом нашей советской эпохи". Эта фраза была взята из письма Лили Юрьевны. От себя И.В.Сталин добавил: "Забвение или безразличие к его трудам, есть преступление" (15050).</w:t>
      </w:r>
    </w:p>
    <w:p w14:paraId="31309C16" w14:textId="77777777" w:rsidR="00FF07E2" w:rsidRPr="00E14102" w:rsidRDefault="00FF07E2" w:rsidP="00E14102">
      <w:pPr>
        <w:jc w:val="both"/>
        <w:rPr>
          <w:color w:val="000000" w:themeColor="text1"/>
          <w:sz w:val="16"/>
          <w:szCs w:val="16"/>
        </w:rPr>
      </w:pPr>
    </w:p>
    <w:p w14:paraId="30E0D069" w14:textId="77777777" w:rsidR="00FF07E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BA80C82" w14:textId="77777777" w:rsidR="00FF07E2" w:rsidRPr="00E14102" w:rsidRDefault="00FF07E2" w:rsidP="00E14102">
      <w:pPr>
        <w:autoSpaceDE w:val="0"/>
        <w:autoSpaceDN w:val="0"/>
        <w:adjustRightInd w:val="0"/>
        <w:jc w:val="both"/>
        <w:rPr>
          <w:iCs/>
          <w:color w:val="000000" w:themeColor="text1"/>
          <w:sz w:val="16"/>
          <w:szCs w:val="16"/>
        </w:rPr>
      </w:pPr>
    </w:p>
    <w:p w14:paraId="38F4B231" w14:textId="77777777" w:rsidR="00FF07E2" w:rsidRPr="00E14102" w:rsidRDefault="00FF07E2" w:rsidP="00E14102">
      <w:pPr>
        <w:jc w:val="both"/>
        <w:rPr>
          <w:color w:val="000000" w:themeColor="text1"/>
          <w:sz w:val="16"/>
          <w:szCs w:val="16"/>
        </w:rPr>
      </w:pPr>
      <w:r w:rsidRPr="00E14102">
        <w:rPr>
          <w:bCs/>
          <w:color w:val="000000" w:themeColor="text1"/>
          <w:sz w:val="16"/>
          <w:szCs w:val="16"/>
        </w:rPr>
        <w:t>24 февраля</w:t>
      </w:r>
      <w:r w:rsidRPr="00E14102">
        <w:rPr>
          <w:color w:val="000000" w:themeColor="text1"/>
          <w:sz w:val="16"/>
          <w:szCs w:val="16"/>
        </w:rPr>
        <w:t xml:space="preserve"> в 1935 году первый полёт опытного самолета </w:t>
      </w:r>
      <w:hyperlink r:id="rId49" w:tgtFrame="_blank" w:history="1">
        <w:r w:rsidRPr="00E14102">
          <w:rPr>
            <w:color w:val="000000" w:themeColor="text1"/>
            <w:sz w:val="16"/>
            <w:szCs w:val="16"/>
          </w:rPr>
          <w:t xml:space="preserve">«Hе.111а» </w:t>
        </w:r>
      </w:hyperlink>
      <w:r w:rsidRPr="00E14102">
        <w:rPr>
          <w:color w:val="000000" w:themeColor="text1"/>
          <w:sz w:val="16"/>
          <w:szCs w:val="16"/>
        </w:rPr>
        <w:t>(Германия). Первоначальные летные испытания, проведенные Герхардом Hичке, показали, что летные данные нового самолета много лучше существовавших моделей. По конструкции это был классический свободнонесущий низкоплан с работающей обшивкой, аэродинамика которого была последним словом техники. Удлиненный, тонкий нос заканчивался остекленным конусом с кабиной бомбардира. В носу была вертикальная прорезь для установки пулемета. Была предусмотрена установка таких же пулеметов на верхней турели и в выдвижной нижней башенке - "корзине". Бомбовая нагрузка - 1000кг на вертикальной подвеске в отсеке. Двигатели «ВМW-VI»» 6.0Z» - 12-цилиндровые жидкостного охлаждения, взлетной мощностью 660 л.с. и 500 л.с. на номинале. Пустой вес был 5795 кг, взлетный - 7600кг. В самом начале испытаний «Hе.111а» показал скорость 347км/ч - вполне сравнимую со скоростью тогдашних истребителей. Потолок был 5400 м, дальность 1500 км (15050).</w:t>
      </w:r>
    </w:p>
    <w:p w14:paraId="1E64C8E9" w14:textId="77777777" w:rsidR="00FF07E2" w:rsidRPr="00E14102" w:rsidRDefault="00FF07E2" w:rsidP="00E14102">
      <w:pPr>
        <w:jc w:val="both"/>
        <w:rPr>
          <w:color w:val="000000" w:themeColor="text1"/>
          <w:sz w:val="16"/>
          <w:szCs w:val="16"/>
        </w:rPr>
      </w:pPr>
    </w:p>
    <w:p w14:paraId="363D11C5" w14:textId="77777777" w:rsidR="00497C8F" w:rsidRPr="00E14102" w:rsidRDefault="00497C8F" w:rsidP="00E14102">
      <w:pPr>
        <w:jc w:val="both"/>
        <w:rPr>
          <w:color w:val="0070C0"/>
          <w:sz w:val="16"/>
          <w:szCs w:val="16"/>
        </w:rPr>
      </w:pPr>
      <w:r w:rsidRPr="00E14102">
        <w:rPr>
          <w:color w:val="0070C0"/>
          <w:sz w:val="16"/>
          <w:szCs w:val="16"/>
        </w:rPr>
        <w:t>24 февраля 1935 состоялся первый полет Heinkel He 111 марш Kawasaki Ki-10 (союзное название "Перри") (20800).</w:t>
      </w:r>
    </w:p>
    <w:p w14:paraId="5FDF7EEB" w14:textId="77777777" w:rsidR="00497C8F" w:rsidRPr="00E14102" w:rsidRDefault="00497C8F" w:rsidP="00E14102">
      <w:pPr>
        <w:jc w:val="both"/>
        <w:rPr>
          <w:color w:val="0070C0"/>
          <w:sz w:val="16"/>
          <w:szCs w:val="16"/>
        </w:rPr>
      </w:pPr>
    </w:p>
    <w:p w14:paraId="1C14DABC" w14:textId="77777777" w:rsidR="00497C8F" w:rsidRPr="00E14102" w:rsidRDefault="00497C8F" w:rsidP="00E14102">
      <w:pPr>
        <w:jc w:val="both"/>
        <w:rPr>
          <w:color w:val="0070C0"/>
          <w:sz w:val="16"/>
          <w:szCs w:val="16"/>
        </w:rPr>
      </w:pPr>
      <w:r w:rsidRPr="00E14102">
        <w:rPr>
          <w:color w:val="0070C0"/>
          <w:sz w:val="16"/>
          <w:szCs w:val="16"/>
        </w:rPr>
        <w:t>24 февраля 1935 - Состоялся первый полет скоростного 2-х моторного лайнера — немецкий 10-местный Heinkel He-111. Пилот - выпускник Липецкой летной школы Герхард Ничке. Это был военный вариант самолета - He.111a, гражданский вариант - He.111V2 взлетел через четыре недели (22588).</w:t>
      </w:r>
    </w:p>
    <w:p w14:paraId="67181E35" w14:textId="77777777" w:rsidR="00497C8F" w:rsidRPr="00E14102" w:rsidRDefault="00497C8F" w:rsidP="00E14102">
      <w:pPr>
        <w:jc w:val="both"/>
        <w:rPr>
          <w:color w:val="0070C0"/>
          <w:sz w:val="16"/>
          <w:szCs w:val="16"/>
        </w:rPr>
      </w:pPr>
    </w:p>
    <w:p w14:paraId="234BD523" w14:textId="77777777" w:rsidR="00497C8F" w:rsidRPr="00E14102" w:rsidRDefault="00497C8F" w:rsidP="00E14102">
      <w:pPr>
        <w:jc w:val="both"/>
        <w:rPr>
          <w:color w:val="0070C0"/>
          <w:sz w:val="16"/>
          <w:szCs w:val="16"/>
        </w:rPr>
      </w:pPr>
      <w:r w:rsidRPr="00E14102">
        <w:rPr>
          <w:color w:val="0070C0"/>
          <w:sz w:val="16"/>
          <w:szCs w:val="16"/>
        </w:rPr>
        <w:t>24 февраля 1935 года совершил первый полет Heinkel He 111. Только 3-й и 4-й прототипы получили 6-местный общий салон и 4-местное курительное купе. Им дали имена «Росток» и «Дрезден» и сделали шумную рекламу, но серийных пассажирских Не 111 выпустили немного, а основные усилия были сосредоточены на Не 111b (Не 111V3), который стал эталоном для серийного бомбардировщика. В расчете на массовый выпуск конструкция упрощалась, например, спрямили задние кромки крыла, потеряв несколько километров скорости, но зато сократили трудоемкость.</w:t>
      </w:r>
    </w:p>
    <w:p w14:paraId="2F3C5930" w14:textId="77777777" w:rsidR="00497C8F" w:rsidRPr="00E14102" w:rsidRDefault="00497C8F" w:rsidP="00E14102">
      <w:pPr>
        <w:jc w:val="both"/>
        <w:rPr>
          <w:color w:val="0070C0"/>
          <w:sz w:val="16"/>
          <w:szCs w:val="16"/>
        </w:rPr>
      </w:pPr>
      <w:r w:rsidRPr="00E14102">
        <w:rPr>
          <w:color w:val="0070C0"/>
          <w:sz w:val="16"/>
          <w:szCs w:val="16"/>
        </w:rPr>
        <w:t xml:space="preserve">Загруженный вооружением Не 111А-0 стал вялым и трудноуправляемым, ВВС отказались принять 10 построенных самолетов и 6 из них продали Китаю, а на один установили новейшие V-образные (перевернутые) моторы Даймлер-Бенц DB 600 с приводными центробежными нагнетателями. Машина преобразилась настолько, </w:t>
      </w:r>
      <w:r w:rsidRPr="00E14102">
        <w:rPr>
          <w:color w:val="0070C0"/>
          <w:sz w:val="16"/>
          <w:szCs w:val="16"/>
        </w:rPr>
        <w:lastRenderedPageBreak/>
        <w:t>что Хейнкелю для его выпуска дали денег на строительство нового завода в Ораниенбурге — площадей базового предприятия в Росток-Мариэнехе уже не хватало (22811).</w:t>
      </w:r>
    </w:p>
    <w:p w14:paraId="39364621" w14:textId="77777777" w:rsidR="00497C8F" w:rsidRPr="00E14102" w:rsidRDefault="00497C8F" w:rsidP="00E14102">
      <w:pPr>
        <w:jc w:val="both"/>
        <w:rPr>
          <w:color w:val="0070C0"/>
          <w:sz w:val="16"/>
          <w:szCs w:val="16"/>
        </w:rPr>
      </w:pPr>
    </w:p>
    <w:p w14:paraId="1B7C549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BC5ABFA" w14:textId="77777777" w:rsidR="00D4105E" w:rsidRPr="00E14102" w:rsidRDefault="00D4105E" w:rsidP="00E14102">
      <w:pPr>
        <w:autoSpaceDE w:val="0"/>
        <w:autoSpaceDN w:val="0"/>
        <w:adjustRightInd w:val="0"/>
        <w:jc w:val="both"/>
        <w:rPr>
          <w:iCs/>
          <w:color w:val="000000" w:themeColor="text1"/>
          <w:sz w:val="16"/>
          <w:szCs w:val="16"/>
        </w:rPr>
      </w:pPr>
    </w:p>
    <w:p w14:paraId="396353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февраля 1935 г. Зам. наркома Обороны и председатель комиссии по испытанию самолета СБ Тухачевский утвердил Акт гос. испытаний самолета скоростного бомбардировщика СБ с 2-мя моторами Испано-Сюиза 12Убрс конструкции ЦАГИ</w:t>
      </w:r>
    </w:p>
    <w:p w14:paraId="327849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Считать самолет скоростного бомбардировщика СБ прошедшим гос. испытания и подлежащим внедрению в серийное производство на вооружение с устранением недочетов, выявленных на испытаниях.</w:t>
      </w:r>
    </w:p>
    <w:p w14:paraId="4BA265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Отчет</w:t>
      </w:r>
    </w:p>
    <w:p w14:paraId="301214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испытанию самолета СБ</w:t>
      </w:r>
    </w:p>
    <w:p w14:paraId="40AEEF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2-мя моторами Испано-Сюиза 12</w:t>
      </w:r>
    </w:p>
    <w:p w14:paraId="1216DD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122D44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 ЛИСа Подлесецкий</w:t>
      </w:r>
    </w:p>
    <w:p w14:paraId="6DB921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 Миндер</w:t>
      </w:r>
    </w:p>
    <w:p w14:paraId="724994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0BDBE1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Определение летно-тактических и боевых данных самолета СБ (скоростной бомбардировщик) в зимних условиях (на лыжах).</w:t>
      </w:r>
    </w:p>
    <w:p w14:paraId="0D5BCA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15795F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проведенных испытаний НИИ ВС считает:</w:t>
      </w:r>
    </w:p>
    <w:p w14:paraId="6C536E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Наличие у самолета СБ больших максимальных скоростей, большого потолка и мощного вооружения, ставящих его в разряд одного из лучших в мире скоростных бомбардировщиков требуют скорейшего введения его на вооружение ВС (3307).</w:t>
      </w:r>
    </w:p>
    <w:p w14:paraId="57C7D820" w14:textId="77777777" w:rsidR="00D4105E" w:rsidRPr="00E14102" w:rsidRDefault="00D4105E" w:rsidP="00E14102">
      <w:pPr>
        <w:autoSpaceDE w:val="0"/>
        <w:autoSpaceDN w:val="0"/>
        <w:adjustRightInd w:val="0"/>
        <w:jc w:val="both"/>
        <w:rPr>
          <w:color w:val="000000" w:themeColor="text1"/>
          <w:sz w:val="16"/>
          <w:szCs w:val="16"/>
        </w:rPr>
      </w:pPr>
    </w:p>
    <w:p w14:paraId="28BB21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февраля 1935 состоялся первый полет серийного АНТ-31 (И-14) на Иркутском авиазаводе 125 (2989).</w:t>
      </w:r>
    </w:p>
    <w:p w14:paraId="2E12A825" w14:textId="77777777" w:rsidR="00D4105E" w:rsidRPr="00E14102" w:rsidRDefault="00D4105E" w:rsidP="00E14102">
      <w:pPr>
        <w:autoSpaceDE w:val="0"/>
        <w:autoSpaceDN w:val="0"/>
        <w:adjustRightInd w:val="0"/>
        <w:jc w:val="both"/>
        <w:rPr>
          <w:color w:val="000000" w:themeColor="text1"/>
          <w:sz w:val="16"/>
          <w:szCs w:val="16"/>
        </w:rPr>
      </w:pPr>
    </w:p>
    <w:p w14:paraId="1CC95B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февраля 1935 Нач. БОК Чижевский писал Нач. Опытного сектора самолетного отдела ГУАП Машкевичу (копия: Дир. завода 35 Янишевскому письмо N 249с:</w:t>
      </w:r>
    </w:p>
    <w:p w14:paraId="73D193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"Представляю при этом эскиз самолета ЛР с установленной на нем ГК.</w:t>
      </w:r>
    </w:p>
    <w:p w14:paraId="4A04B7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сравнении с исходным самолетом ЛР внесены следующие изменения: снят наблюдатель, турель, турельные пулеметы, фото, аэронавигационные приборы наблюдателя и прочие детали, связанные со снятием второго человека.</w:t>
      </w:r>
    </w:p>
    <w:p w14:paraId="32134E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Установлены вновь: ГК и кислородное оборудование ее.</w:t>
      </w:r>
    </w:p>
    <w:p w14:paraId="29BC82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самолета в целом снижается на 100 кг.</w:t>
      </w:r>
    </w:p>
    <w:p w14:paraId="3FD442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Сравнительные летные характеристики самолета с различными ВМГ даны на прилагаемом графике, из коего видно, что устойчивый полет для ЛР м.б. обеспечен на высоте 8-10-12 км в зависимости от постановки соответственно М-34Н2 или М-34 Фармана (высотность - 6000 м) или М-34 РАТО (высотность - 8000 м)...</w:t>
      </w:r>
    </w:p>
    <w:p w14:paraId="4D05E0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...рабочие чертежи м.б. выполнены к 1 июля с.г. Стоимость работ - 50 тыс. руб.</w:t>
      </w:r>
    </w:p>
    <w:p w14:paraId="757C23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Что касается постройки кабины и переделки самолета, а также стоимости производственных работ, то они будут сообщены дополнительно по проработке этого вопроса ОПО завода 35." (2343,23).</w:t>
      </w:r>
    </w:p>
    <w:p w14:paraId="367174EC" w14:textId="77777777" w:rsidR="00D4105E" w:rsidRPr="00E14102" w:rsidRDefault="00D4105E" w:rsidP="00E14102">
      <w:pPr>
        <w:autoSpaceDE w:val="0"/>
        <w:autoSpaceDN w:val="0"/>
        <w:adjustRightInd w:val="0"/>
        <w:jc w:val="both"/>
        <w:rPr>
          <w:color w:val="000000" w:themeColor="text1"/>
          <w:sz w:val="16"/>
          <w:szCs w:val="16"/>
        </w:rPr>
      </w:pPr>
    </w:p>
    <w:p w14:paraId="399F49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февраля 1935 П.И.Гроховский защитил АС изобретение самолета-таран - ЛК с опущенными крыльями, штырем на носу и тросами, а также режущей кромкой по крылу. Его стали проектировать и строить в мастерских ЦАГИ с участием С.Г.Козлова, В.Ф.Болховитинова, Каминова по договору во внерабочее время и назвали Кукарача (1101,192).</w:t>
      </w:r>
    </w:p>
    <w:p w14:paraId="2EE28699" w14:textId="1B59CB7A" w:rsidR="00D4105E" w:rsidRPr="00E14102" w:rsidRDefault="00D4105E" w:rsidP="00E14102">
      <w:pPr>
        <w:autoSpaceDE w:val="0"/>
        <w:autoSpaceDN w:val="0"/>
        <w:adjustRightInd w:val="0"/>
        <w:jc w:val="both"/>
        <w:rPr>
          <w:color w:val="000000" w:themeColor="text1"/>
          <w:sz w:val="16"/>
          <w:szCs w:val="16"/>
        </w:rPr>
      </w:pPr>
    </w:p>
    <w:p w14:paraId="5EDFD073" w14:textId="2CC0EEAC" w:rsidR="00D349C2" w:rsidRPr="00E14102" w:rsidRDefault="00D349C2" w:rsidP="00E14102">
      <w:pPr>
        <w:autoSpaceDE w:val="0"/>
        <w:autoSpaceDN w:val="0"/>
        <w:adjustRightInd w:val="0"/>
        <w:jc w:val="both"/>
        <w:rPr>
          <w:i/>
          <w:iCs/>
          <w:color w:val="000000" w:themeColor="text1"/>
          <w:sz w:val="16"/>
          <w:szCs w:val="16"/>
        </w:rPr>
      </w:pPr>
      <w:r w:rsidRPr="00E14102">
        <w:rPr>
          <w:i/>
          <w:iCs/>
          <w:color w:val="000000" w:themeColor="text1"/>
          <w:sz w:val="16"/>
          <w:szCs w:val="16"/>
        </w:rPr>
        <w:t>Армия:</w:t>
      </w:r>
    </w:p>
    <w:p w14:paraId="58185D72" w14:textId="77777777" w:rsidR="00D349C2" w:rsidRPr="00E14102" w:rsidRDefault="00D349C2" w:rsidP="00E14102">
      <w:pPr>
        <w:autoSpaceDE w:val="0"/>
        <w:autoSpaceDN w:val="0"/>
        <w:adjustRightInd w:val="0"/>
        <w:jc w:val="both"/>
        <w:rPr>
          <w:i/>
          <w:iCs/>
          <w:color w:val="000000" w:themeColor="text1"/>
          <w:sz w:val="16"/>
          <w:szCs w:val="16"/>
        </w:rPr>
      </w:pPr>
    </w:p>
    <w:p w14:paraId="013D4993" w14:textId="77777777" w:rsidR="00F0018F" w:rsidRPr="00E14102" w:rsidRDefault="00F0018F" w:rsidP="00E14102">
      <w:pPr>
        <w:shd w:val="clear" w:color="auto" w:fill="FFFFFF"/>
        <w:jc w:val="both"/>
        <w:rPr>
          <w:color w:val="0070C0"/>
          <w:sz w:val="16"/>
          <w:szCs w:val="16"/>
        </w:rPr>
      </w:pPr>
      <w:r w:rsidRPr="00E14102">
        <w:rPr>
          <w:color w:val="0070C0"/>
          <w:sz w:val="16"/>
          <w:szCs w:val="16"/>
        </w:rPr>
        <w:t>25 февраля 1935 г. в новой докладной записке наркому Тухачевский подытоживал изменения в военно-политической ситуации на западных рубежах и, ссылаясь на преувеличенные данные Разведупра, определял потребности Красной Армии для успешной борьбы с вооруженными силами Польши и Германии (при вероятном неучастии в войне Румынии и возможном выступлении Финляндии). "Для выполнения основной нашей стратегической задачи - разгрома Польши, силы Западного и Юго-Западного фронтов должны превосходить польско-германские силы по крайней мере в полтора раза, а по авиации в два-три раза". Следовательно, утверждал он, в распоряжении этих фронтов должны находиться 5-7 тысяч боевых самолетов, 8-12 механизированных бригад и 120 стрелковых дивизий к исходу первого месяца войны (месяцем позже - 160 дивизий), тогда как Штаб предназначает на эти цели не более 112 дивизий. Рассмотрение двух основных вариантов развертывания (южнее и севернее Полесья) являлось прологом к грозной инвективе: "Если произвести общий подсчет необходимых для обороны СССР сил, то станет ясно, что Штаб РККА этой потребности совершенно недопонимает и не только не добивается увеличения числа стр[елковых] дивизий, мехбригад и авиации, но, наоборот, самовольно сокращает существующее число стр[елковых] дивизий. Штаб РККА находится в плену у сложившейся организации, неспособен изменить ее, перегружает техникой запасные части, вузы и пр. Штаб РККА не отдает себе отчета о (sic) сложности и трудности решения стоящих перед нами стратегических задач". Учитывая силы прикрытия остальных границ (особенно 35 дивизий с 3-4 тыс. самолетов "против Японии"), Тухачевский приходил к выводам о необходимости иметь в составе РККА военного времени 221 стрелковую дивизию, 11-14 тыс. самолетов и увеличить число механизированных бригад. Поскольку "одной мехбригадой можно заменять одну строковую дивизию", то при доведении числа танковых соединений "хотя бы" до 31 мехбригады, "потребное число стр[елковых] дивизий составит 190". Пулеметов на вооружение 190 дивизий хватало с избытком, некоторый недостаток пушек и гаубиц мог быть преодолен уменьшением числа орудий до 36 для 50 дивизий. Невыполнение этих условий чревато "захватом Западной Украины и Западной Белоруссии и дальнейшей очень трудной для нас обороной" (Записка Тухачевского Наркому Обороны СССР Ворошилову, 25.02.1935. С. 2-11.) (22725).</w:t>
      </w:r>
    </w:p>
    <w:p w14:paraId="273C2DD2" w14:textId="77777777" w:rsidR="00F0018F" w:rsidRPr="00E14102" w:rsidRDefault="00F0018F" w:rsidP="00E14102">
      <w:pPr>
        <w:shd w:val="clear" w:color="auto" w:fill="FFFFFF"/>
        <w:jc w:val="both"/>
        <w:rPr>
          <w:color w:val="0070C0"/>
          <w:sz w:val="16"/>
          <w:szCs w:val="16"/>
        </w:rPr>
      </w:pPr>
    </w:p>
    <w:p w14:paraId="43525C1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9A3ED9E" w14:textId="77777777" w:rsidR="00D4105E" w:rsidRPr="00E14102" w:rsidRDefault="00D4105E" w:rsidP="00E14102">
      <w:pPr>
        <w:autoSpaceDE w:val="0"/>
        <w:autoSpaceDN w:val="0"/>
        <w:adjustRightInd w:val="0"/>
        <w:jc w:val="both"/>
        <w:rPr>
          <w:color w:val="000000" w:themeColor="text1"/>
          <w:sz w:val="16"/>
          <w:szCs w:val="16"/>
        </w:rPr>
      </w:pPr>
    </w:p>
    <w:p w14:paraId="30DFAB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февраля 1935 циркуляром Дмитлага № 10 утверждались нормы питания детей заключенных, привезенных в лагерь вместе с родителями (по разрешению начальника лагеря) или родившихся здесь; питание детям отпускалось бесплатно (7560).</w:t>
      </w:r>
    </w:p>
    <w:p w14:paraId="0FC8022D" w14:textId="77777777" w:rsidR="00D4105E" w:rsidRPr="00E14102" w:rsidRDefault="00D4105E" w:rsidP="00E14102">
      <w:pPr>
        <w:autoSpaceDE w:val="0"/>
        <w:autoSpaceDN w:val="0"/>
        <w:adjustRightInd w:val="0"/>
        <w:jc w:val="both"/>
        <w:rPr>
          <w:color w:val="000000" w:themeColor="text1"/>
          <w:sz w:val="16"/>
          <w:szCs w:val="16"/>
        </w:rPr>
      </w:pPr>
    </w:p>
    <w:p w14:paraId="07084527" w14:textId="77777777" w:rsidR="00FF07E2" w:rsidRPr="00E14102" w:rsidRDefault="00FF07E2" w:rsidP="00E14102">
      <w:pPr>
        <w:jc w:val="both"/>
        <w:rPr>
          <w:color w:val="000000" w:themeColor="text1"/>
          <w:sz w:val="16"/>
          <w:szCs w:val="16"/>
        </w:rPr>
      </w:pPr>
      <w:r w:rsidRPr="00E14102">
        <w:rPr>
          <w:bCs/>
          <w:color w:val="000000" w:themeColor="text1"/>
          <w:sz w:val="16"/>
          <w:szCs w:val="16"/>
        </w:rPr>
        <w:t>25 февраля</w:t>
      </w:r>
      <w:r w:rsidRPr="00E14102">
        <w:rPr>
          <w:color w:val="000000" w:themeColor="text1"/>
          <w:sz w:val="16"/>
          <w:szCs w:val="16"/>
        </w:rPr>
        <w:t xml:space="preserve"> в 1935 году Всесоюзное радио передало репортаж из дома М.А.Шолохова в станице Вешенской Ростовской области. Микрофон был установлен в его рабочей комнате. Писатель ответил на вопросы корреспондента «Последних известий» (15051).</w:t>
      </w:r>
    </w:p>
    <w:p w14:paraId="6351A39C" w14:textId="77777777" w:rsidR="00FF07E2" w:rsidRPr="00E14102" w:rsidRDefault="00FF07E2" w:rsidP="00E14102">
      <w:pPr>
        <w:jc w:val="both"/>
        <w:rPr>
          <w:color w:val="000000" w:themeColor="text1"/>
          <w:sz w:val="16"/>
          <w:szCs w:val="16"/>
        </w:rPr>
      </w:pPr>
    </w:p>
    <w:p w14:paraId="4DFE8B9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93DD342" w14:textId="77777777" w:rsidR="00D4105E" w:rsidRPr="00E14102" w:rsidRDefault="00D4105E" w:rsidP="00E14102">
      <w:pPr>
        <w:autoSpaceDE w:val="0"/>
        <w:autoSpaceDN w:val="0"/>
        <w:adjustRightInd w:val="0"/>
        <w:jc w:val="both"/>
        <w:rPr>
          <w:iCs/>
          <w:color w:val="000000" w:themeColor="text1"/>
          <w:sz w:val="16"/>
          <w:szCs w:val="16"/>
        </w:rPr>
      </w:pPr>
    </w:p>
    <w:p w14:paraId="4EF2FBB7" w14:textId="77777777" w:rsidR="00D349C2" w:rsidRPr="00E14102" w:rsidRDefault="00D349C2" w:rsidP="00E14102">
      <w:pPr>
        <w:jc w:val="both"/>
        <w:rPr>
          <w:color w:val="0070C0"/>
          <w:sz w:val="16"/>
          <w:szCs w:val="16"/>
        </w:rPr>
      </w:pPr>
      <w:r w:rsidRPr="00E14102">
        <w:rPr>
          <w:color w:val="0070C0"/>
          <w:sz w:val="16"/>
          <w:szCs w:val="16"/>
        </w:rPr>
        <w:t>До 26 февраля 1935 продолжались полеты ИП-1РЦФ-3 по программе. В целом самолет военным понра</w:t>
      </w:r>
      <w:r w:rsidRPr="00E14102">
        <w:rPr>
          <w:color w:val="0070C0"/>
          <w:sz w:val="16"/>
          <w:szCs w:val="16"/>
        </w:rPr>
        <w:softHyphen/>
        <w:t>вился. По скорости и скороподъемности он превосходил своего основного конкурента И-14 во всем диапазоне высот, немного усту</w:t>
      </w:r>
      <w:r w:rsidRPr="00E14102">
        <w:rPr>
          <w:color w:val="0070C0"/>
          <w:sz w:val="16"/>
          <w:szCs w:val="16"/>
        </w:rPr>
        <w:softHyphen/>
        <w:t>пая ему в потолке (8000 м против 8500 м, соответственно), при этом он обладал более мощным вооружением и был заметно проще в управлении. Сиденье пилоты признали неудобным - уставала спина, вместе с тем, отметили хороший обзор, простор и удобство высоко расположенной кабины.Самолет был устойчив на рулении. Взлет, набор высоты, планирование и посадка трудностей не пред</w:t>
      </w:r>
      <w:r w:rsidRPr="00E14102">
        <w:rPr>
          <w:color w:val="0070C0"/>
          <w:sz w:val="16"/>
          <w:szCs w:val="16"/>
        </w:rPr>
        <w:softHyphen/>
        <w:t>ставляли, правда, при выпущенных закрыл</w:t>
      </w:r>
      <w:r w:rsidRPr="00E14102">
        <w:rPr>
          <w:color w:val="0070C0"/>
          <w:sz w:val="16"/>
          <w:szCs w:val="16"/>
        </w:rPr>
        <w:softHyphen/>
        <w:t>ках он «висел на ручке». В горизонтальном полете ДГ-52 особенностей не имел, за исключением излишне чуткой реакции на руль высоты и тугого управления элеронами на больших скоростях из-за отсутствия на них флетнеров. На скорости около 250 км/ч самолет спокойно летел сброшенной ручкой. Путевая и поперечная устойчивость были вполне удовлетворительными, продольная устойчивость - нейтральна, при резком дрос</w:t>
      </w:r>
      <w:r w:rsidRPr="00E14102">
        <w:rPr>
          <w:color w:val="0070C0"/>
          <w:sz w:val="16"/>
          <w:szCs w:val="16"/>
        </w:rPr>
        <w:softHyphen/>
        <w:t>селировании мотора самолет имел тенден</w:t>
      </w:r>
      <w:r w:rsidRPr="00E14102">
        <w:rPr>
          <w:color w:val="0070C0"/>
          <w:sz w:val="16"/>
          <w:szCs w:val="16"/>
        </w:rPr>
        <w:softHyphen/>
        <w:t>цию перехода «на нос».</w:t>
      </w:r>
    </w:p>
    <w:p w14:paraId="5AAF77CA" w14:textId="77777777" w:rsidR="00D349C2" w:rsidRPr="00E14102" w:rsidRDefault="00D349C2" w:rsidP="00E14102">
      <w:pPr>
        <w:shd w:val="clear" w:color="auto" w:fill="FFFFFF"/>
        <w:jc w:val="both"/>
        <w:rPr>
          <w:color w:val="0070C0"/>
          <w:sz w:val="16"/>
          <w:szCs w:val="16"/>
        </w:rPr>
      </w:pPr>
      <w:r w:rsidRPr="00E14102">
        <w:rPr>
          <w:color w:val="0070C0"/>
          <w:sz w:val="16"/>
          <w:szCs w:val="16"/>
        </w:rPr>
        <w:t>Военные отмечали неплохие пилотажные свойства ДГ-52. Самолет без каких-либо виб</w:t>
      </w:r>
      <w:r w:rsidRPr="00E14102">
        <w:rPr>
          <w:color w:val="0070C0"/>
          <w:sz w:val="16"/>
          <w:szCs w:val="16"/>
        </w:rPr>
        <w:softHyphen/>
        <w:t>раций устойчиво пикировал на скоростях до 500 км/ч, хорошо скользил и парашютиро</w:t>
      </w:r>
      <w:r w:rsidRPr="00E14102">
        <w:rPr>
          <w:color w:val="0070C0"/>
          <w:sz w:val="16"/>
          <w:szCs w:val="16"/>
        </w:rPr>
        <w:softHyphen/>
        <w:t>вал. Нареканий по выполнению петель, пере</w:t>
      </w:r>
      <w:r w:rsidRPr="00E14102">
        <w:rPr>
          <w:color w:val="0070C0"/>
          <w:sz w:val="16"/>
          <w:szCs w:val="16"/>
        </w:rPr>
        <w:softHyphen/>
        <w:t>воротов, боевых разворотов, виражей и вось</w:t>
      </w:r>
      <w:r w:rsidRPr="00E14102">
        <w:rPr>
          <w:color w:val="0070C0"/>
          <w:sz w:val="16"/>
          <w:szCs w:val="16"/>
        </w:rPr>
        <w:softHyphen/>
        <w:t>мерок не было. Отмечалось, что перекладка из одного виража в другой требует больших усилий, чем на И-15 и И-16, но выполнялась она достаточно быстро. Испытаний на што</w:t>
      </w:r>
      <w:r w:rsidRPr="00E14102">
        <w:rPr>
          <w:color w:val="0070C0"/>
          <w:sz w:val="16"/>
          <w:szCs w:val="16"/>
        </w:rPr>
        <w:softHyphen/>
        <w:t>пор на первом этапе испытаний не планиро</w:t>
      </w:r>
      <w:r w:rsidRPr="00E14102">
        <w:rPr>
          <w:color w:val="0070C0"/>
          <w:sz w:val="16"/>
          <w:szCs w:val="16"/>
        </w:rPr>
        <w:softHyphen/>
        <w:t>валось, однако никто в НИИ ВВС не придал значения серьезному «звонку», громко про</w:t>
      </w:r>
      <w:r w:rsidRPr="00E14102">
        <w:rPr>
          <w:color w:val="0070C0"/>
          <w:sz w:val="16"/>
          <w:szCs w:val="16"/>
        </w:rPr>
        <w:softHyphen/>
        <w:t>звучавшему в одном из полетов. При выпол</w:t>
      </w:r>
      <w:r w:rsidRPr="00E14102">
        <w:rPr>
          <w:color w:val="0070C0"/>
          <w:sz w:val="16"/>
          <w:szCs w:val="16"/>
        </w:rPr>
        <w:softHyphen/>
        <w:t>нении правой бочки самолет сорвался в плоский штопор, из которого вышел, потеряв 800 метров высоты. Отнесись военные более критично к этому событию, судьба самолетов ИП-1 возможно сложилась бы боле удачно.</w:t>
      </w:r>
    </w:p>
    <w:p w14:paraId="18937832" w14:textId="77777777" w:rsidR="00D349C2" w:rsidRPr="00E14102" w:rsidRDefault="00D349C2" w:rsidP="00E14102">
      <w:pPr>
        <w:jc w:val="both"/>
        <w:rPr>
          <w:color w:val="0070C0"/>
          <w:sz w:val="16"/>
          <w:szCs w:val="16"/>
        </w:rPr>
      </w:pPr>
      <w:r w:rsidRPr="00E14102">
        <w:rPr>
          <w:color w:val="0070C0"/>
          <w:sz w:val="16"/>
          <w:szCs w:val="16"/>
        </w:rPr>
        <w:t>Всякий новый самолет имеет какие-то изъяны. Условия, в которых строили ДГ-52, мягко говоря, располагали к просчетам и неисправностям, тем не менее, у военных серьезных претензий не нашлось. Даже в списке опасных для полета дефектов не было указано каких-либо органических недостат</w:t>
      </w:r>
      <w:r w:rsidRPr="00E14102">
        <w:rPr>
          <w:color w:val="0070C0"/>
          <w:sz w:val="16"/>
          <w:szCs w:val="16"/>
        </w:rPr>
        <w:softHyphen/>
        <w:t xml:space="preserve">ков. Неудачная конструкция </w:t>
      </w:r>
      <w:r w:rsidRPr="00E14102">
        <w:rPr>
          <w:color w:val="0070C0"/>
          <w:sz w:val="16"/>
          <w:szCs w:val="16"/>
        </w:rPr>
        <w:lastRenderedPageBreak/>
        <w:t>привязных рем</w:t>
      </w:r>
      <w:r w:rsidRPr="00E14102">
        <w:rPr>
          <w:color w:val="0070C0"/>
          <w:sz w:val="16"/>
          <w:szCs w:val="16"/>
        </w:rPr>
        <w:softHyphen/>
        <w:t>ней, не предохранявших летчика от удара о передний борт, непрочный и плохо подогнан</w:t>
      </w:r>
      <w:r w:rsidRPr="00E14102">
        <w:rPr>
          <w:color w:val="0070C0"/>
          <w:sz w:val="16"/>
          <w:szCs w:val="16"/>
        </w:rPr>
        <w:softHyphen/>
        <w:t>ный капот «второго типа», деформация обшивки над гондолами шасси, плохая рабо</w:t>
      </w:r>
      <w:r w:rsidRPr="00E14102">
        <w:rPr>
          <w:color w:val="0070C0"/>
          <w:sz w:val="16"/>
          <w:szCs w:val="16"/>
        </w:rPr>
        <w:softHyphen/>
        <w:t>та перекрывного клапана шасси и слабая моторама - вот, пожалуй, и весь список.</w:t>
      </w:r>
    </w:p>
    <w:p w14:paraId="6C76DAA5" w14:textId="77777777" w:rsidR="00D349C2" w:rsidRPr="00E14102" w:rsidRDefault="00D349C2" w:rsidP="00E14102">
      <w:pPr>
        <w:jc w:val="both"/>
        <w:rPr>
          <w:color w:val="0070C0"/>
          <w:sz w:val="16"/>
          <w:szCs w:val="16"/>
        </w:rPr>
      </w:pPr>
      <w:r w:rsidRPr="00E14102">
        <w:rPr>
          <w:color w:val="0070C0"/>
          <w:sz w:val="16"/>
          <w:szCs w:val="16"/>
        </w:rPr>
        <w:t>Значительная часть дефектов, понижаю</w:t>
      </w:r>
      <w:r w:rsidRPr="00E14102">
        <w:rPr>
          <w:color w:val="0070C0"/>
          <w:sz w:val="16"/>
          <w:szCs w:val="16"/>
        </w:rPr>
        <w:softHyphen/>
        <w:t>щих боеспособность, приходилась на отсут</w:t>
      </w:r>
      <w:r w:rsidRPr="00E14102">
        <w:rPr>
          <w:color w:val="0070C0"/>
          <w:sz w:val="16"/>
          <w:szCs w:val="16"/>
        </w:rPr>
        <w:softHyphen/>
        <w:t>ствие тех или иных устройств или некоррект</w:t>
      </w:r>
      <w:r w:rsidRPr="00E14102">
        <w:rPr>
          <w:color w:val="0070C0"/>
          <w:sz w:val="16"/>
          <w:szCs w:val="16"/>
        </w:rPr>
        <w:softHyphen/>
        <w:t>ную работу имеющихся систем. Военным не хватало радиоустановки, светосигнального прибора, самопуска, динамомашины и обо</w:t>
      </w:r>
      <w:r w:rsidRPr="00E14102">
        <w:rPr>
          <w:color w:val="0070C0"/>
          <w:sz w:val="16"/>
          <w:szCs w:val="16"/>
        </w:rPr>
        <w:softHyphen/>
        <w:t>грева трубки Пито. Были претензии к факелодержателям, кабинному освещению, защи</w:t>
      </w:r>
      <w:r w:rsidRPr="00E14102">
        <w:rPr>
          <w:color w:val="0070C0"/>
          <w:sz w:val="16"/>
          <w:szCs w:val="16"/>
        </w:rPr>
        <w:softHyphen/>
        <w:t>те электропроводки от масла, фиксации сек</w:t>
      </w:r>
      <w:r w:rsidRPr="00E14102">
        <w:rPr>
          <w:color w:val="0070C0"/>
          <w:sz w:val="16"/>
          <w:szCs w:val="16"/>
        </w:rPr>
        <w:softHyphen/>
        <w:t>тора газа, прочности кока винта, работе надвижной шторки козырька и недостаточно жесткому креплению прицела. Пулеметная установка в левой консоли центроплана не была принята на испытания по причине явной непригодности.</w:t>
      </w:r>
    </w:p>
    <w:p w14:paraId="26AEECE5" w14:textId="77777777" w:rsidR="00D349C2" w:rsidRPr="00E14102" w:rsidRDefault="00D349C2" w:rsidP="00E14102">
      <w:pPr>
        <w:jc w:val="both"/>
        <w:rPr>
          <w:color w:val="0070C0"/>
          <w:sz w:val="16"/>
          <w:szCs w:val="16"/>
        </w:rPr>
      </w:pPr>
      <w:r w:rsidRPr="00E14102">
        <w:rPr>
          <w:color w:val="0070C0"/>
          <w:sz w:val="16"/>
          <w:szCs w:val="16"/>
        </w:rPr>
        <w:t>Так называемые эксплуатационные дефекты в основном относились, как сегодня говорят, к сферам эргономики и эксплуата</w:t>
      </w:r>
      <w:r w:rsidRPr="00E14102">
        <w:rPr>
          <w:color w:val="0070C0"/>
          <w:sz w:val="16"/>
          <w:szCs w:val="16"/>
        </w:rPr>
        <w:softHyphen/>
        <w:t>ционной технологичности. Уже упоминалось, что на самолете стояла очень неудобная спинка сиденья, кроме того, диапазон верти</w:t>
      </w:r>
      <w:r w:rsidRPr="00E14102">
        <w:rPr>
          <w:color w:val="0070C0"/>
          <w:sz w:val="16"/>
          <w:szCs w:val="16"/>
        </w:rPr>
        <w:softHyphen/>
        <w:t>кальной регулировки кресла оказался край</w:t>
      </w:r>
      <w:r w:rsidRPr="00E14102">
        <w:rPr>
          <w:color w:val="0070C0"/>
          <w:sz w:val="16"/>
          <w:szCs w:val="16"/>
        </w:rPr>
        <w:softHyphen/>
        <w:t>не мал, а подъемный механизм плохо рабо</w:t>
      </w:r>
      <w:r w:rsidRPr="00E14102">
        <w:rPr>
          <w:color w:val="0070C0"/>
          <w:sz w:val="16"/>
          <w:szCs w:val="16"/>
        </w:rPr>
        <w:softHyphen/>
        <w:t>тал. Попасть в кабину без посторонней помо</w:t>
      </w:r>
      <w:r w:rsidRPr="00E14102">
        <w:rPr>
          <w:color w:val="0070C0"/>
          <w:sz w:val="16"/>
          <w:szCs w:val="16"/>
        </w:rPr>
        <w:softHyphen/>
        <w:t>щи было почти невозможно - отсутствовали поручни и подножки. Обслуживать ДГ-52 тоже было непросто. Конструкторы не пред</w:t>
      </w:r>
      <w:r w:rsidRPr="00E14102">
        <w:rPr>
          <w:color w:val="0070C0"/>
          <w:sz w:val="16"/>
          <w:szCs w:val="16"/>
        </w:rPr>
        <w:softHyphen/>
        <w:t>усмотрели лючков для осмотра мотоустанов</w:t>
      </w:r>
      <w:r w:rsidRPr="00E14102">
        <w:rPr>
          <w:color w:val="0070C0"/>
          <w:sz w:val="16"/>
          <w:szCs w:val="16"/>
        </w:rPr>
        <w:softHyphen/>
        <w:t>ки и тросов управления. Забыли и о такелаж</w:t>
      </w:r>
      <w:r w:rsidRPr="00E14102">
        <w:rPr>
          <w:color w:val="0070C0"/>
          <w:sz w:val="16"/>
          <w:szCs w:val="16"/>
        </w:rPr>
        <w:softHyphen/>
        <w:t>ных узлах для буксировки самолета. Трудно было добраться до масляного крана и слив</w:t>
      </w:r>
      <w:r w:rsidRPr="00E14102">
        <w:rPr>
          <w:color w:val="0070C0"/>
          <w:sz w:val="16"/>
          <w:szCs w:val="16"/>
        </w:rPr>
        <w:softHyphen/>
        <w:t>ной пробки маслобака, а также крышки заливного бачка. Сложно оказалось менять приборы в кабине - болты крепления имели малую головку без шлица для отвертки (19933).</w:t>
      </w:r>
    </w:p>
    <w:p w14:paraId="1FC2D7E6" w14:textId="77777777" w:rsidR="00D349C2" w:rsidRPr="00E14102" w:rsidRDefault="00D349C2" w:rsidP="00E14102">
      <w:pPr>
        <w:jc w:val="both"/>
        <w:rPr>
          <w:color w:val="0070C0"/>
          <w:sz w:val="16"/>
          <w:szCs w:val="16"/>
        </w:rPr>
      </w:pPr>
    </w:p>
    <w:p w14:paraId="13DE55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февраля 1935 года начальник 7 отдела УВС Хрусталев писал письмо N 1/201с начальнику управления ВС, начальнику НИИ ВС.</w:t>
      </w:r>
    </w:p>
    <w:p w14:paraId="5389D1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w:t>
      </w:r>
    </w:p>
    <w:p w14:paraId="693F74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результатах опытных полетов самолета ТБ-1 и самолета И-4</w:t>
      </w:r>
    </w:p>
    <w:p w14:paraId="425432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установкой Вахмистрова, проведенных в Капорье в 1934 году</w:t>
      </w:r>
    </w:p>
    <w:p w14:paraId="332AC3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1934 году в 4 АЭ проводилась тренировка в сбрасывании истребителей И-4 с бомбардировщиков ТБ-1 и обучение летного состава в практике срыва.</w:t>
      </w:r>
    </w:p>
    <w:p w14:paraId="0AA5FB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полеты и срывы И-4 с ТБ-1 прошли нормально без происшествий.</w:t>
      </w:r>
    </w:p>
    <w:p w14:paraId="1CAA11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Питание самолета И_4 горючим от ТБ-1 в полете не производилось. Не производились также и полеты с бомбовой нагрузкой на ТБ-1 при полете с самолетом И-4, поэтому дать полностью оценку тактико-технических свойств звену Вахмистрова не могу.</w:t>
      </w:r>
    </w:p>
    <w:p w14:paraId="436C7F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345430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Общий вывод:</w:t>
      </w:r>
    </w:p>
    <w:p w14:paraId="1CDD4E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хорошей организованности взаимодействий летчиков полет в составе "звена Вахмистрова" безопасен и доступен для массового применения для рядовых дисциплинированных летчиков (3626,23).</w:t>
      </w:r>
    </w:p>
    <w:p w14:paraId="7120CC51" w14:textId="77777777" w:rsidR="00D4105E" w:rsidRPr="00E14102" w:rsidRDefault="00D4105E" w:rsidP="00E14102">
      <w:pPr>
        <w:autoSpaceDE w:val="0"/>
        <w:autoSpaceDN w:val="0"/>
        <w:adjustRightInd w:val="0"/>
        <w:jc w:val="both"/>
        <w:rPr>
          <w:color w:val="000000" w:themeColor="text1"/>
          <w:sz w:val="16"/>
          <w:szCs w:val="16"/>
        </w:rPr>
      </w:pPr>
    </w:p>
    <w:p w14:paraId="124B2E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26 февраля по 16 августа 1935 проводились заводские испытания Р-6 с радиаторами в крыле. Скорость выросла на 5 км/ч. Не приняли (346,37).</w:t>
      </w:r>
    </w:p>
    <w:p w14:paraId="694292EC" w14:textId="77777777" w:rsidR="00D4105E" w:rsidRPr="00E14102" w:rsidRDefault="00D4105E" w:rsidP="00E14102">
      <w:pPr>
        <w:autoSpaceDE w:val="0"/>
        <w:autoSpaceDN w:val="0"/>
        <w:adjustRightInd w:val="0"/>
        <w:jc w:val="both"/>
        <w:rPr>
          <w:color w:val="000000" w:themeColor="text1"/>
          <w:sz w:val="16"/>
          <w:szCs w:val="16"/>
        </w:rPr>
      </w:pPr>
    </w:p>
    <w:p w14:paraId="3A0B66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26 февраля 1935 года вышел Приказ НИИ ВВС № 0104 О полигонных испытаниях стрелкового вооружения на самолете И16 с пулеметами ШКАС.</w:t>
      </w:r>
    </w:p>
    <w:p w14:paraId="6257571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начать с 22 февраля 1935 года и закончить в 4 летных дня (6814, 87).</w:t>
      </w:r>
    </w:p>
    <w:p w14:paraId="4BB5010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9F5EE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февраля 1935 состоялось совещание комиссии по рассмотрению плана мероприятий по перелету С.А.Леваневского в США под председательством В.М.П. (1077,264).</w:t>
      </w:r>
    </w:p>
    <w:p w14:paraId="6AC0B168" w14:textId="77777777" w:rsidR="00D4105E" w:rsidRPr="00E14102" w:rsidRDefault="00D4105E" w:rsidP="00E14102">
      <w:pPr>
        <w:autoSpaceDE w:val="0"/>
        <w:autoSpaceDN w:val="0"/>
        <w:adjustRightInd w:val="0"/>
        <w:jc w:val="both"/>
        <w:rPr>
          <w:color w:val="000000" w:themeColor="text1"/>
          <w:sz w:val="16"/>
          <w:szCs w:val="16"/>
        </w:rPr>
      </w:pPr>
    </w:p>
    <w:p w14:paraId="0BCDE288" w14:textId="77777777" w:rsidR="00D349C2" w:rsidRPr="00E14102" w:rsidRDefault="00D349C2" w:rsidP="00E14102">
      <w:pPr>
        <w:shd w:val="clear" w:color="auto" w:fill="FFFFFF"/>
        <w:jc w:val="both"/>
        <w:rPr>
          <w:color w:val="0070C0"/>
          <w:sz w:val="16"/>
          <w:szCs w:val="16"/>
        </w:rPr>
      </w:pPr>
      <w:r w:rsidRPr="00E14102">
        <w:rPr>
          <w:color w:val="0070C0"/>
          <w:sz w:val="16"/>
          <w:szCs w:val="16"/>
        </w:rPr>
        <w:t>26 февраля 1935 Политбюро приняло окончательное решение. От имени СТО:</w:t>
      </w:r>
    </w:p>
    <w:p w14:paraId="747835B3" w14:textId="77777777" w:rsidR="00D349C2" w:rsidRPr="00E14102" w:rsidRDefault="00D349C2" w:rsidP="00E14102">
      <w:pPr>
        <w:shd w:val="clear" w:color="auto" w:fill="FFFFFF"/>
        <w:jc w:val="both"/>
        <w:rPr>
          <w:color w:val="0070C0"/>
          <w:sz w:val="16"/>
          <w:szCs w:val="16"/>
        </w:rPr>
      </w:pPr>
      <w:r w:rsidRPr="00E14102">
        <w:rPr>
          <w:color w:val="0070C0"/>
          <w:sz w:val="16"/>
          <w:szCs w:val="16"/>
        </w:rPr>
        <w:t>«1. Принять предложение т. Леваневского о перелете летом (июль) 1935 года без посадки по маршруту Москва — Сан-Франциско через Северный полюс на самолете РД.</w:t>
      </w:r>
    </w:p>
    <w:p w14:paraId="42B0FA01" w14:textId="77777777" w:rsidR="00D349C2" w:rsidRPr="00E14102" w:rsidRDefault="00D349C2" w:rsidP="00E14102">
      <w:pPr>
        <w:shd w:val="clear" w:color="auto" w:fill="FFFFFF"/>
        <w:jc w:val="both"/>
        <w:rPr>
          <w:color w:val="0070C0"/>
          <w:sz w:val="16"/>
          <w:szCs w:val="16"/>
        </w:rPr>
      </w:pPr>
      <w:r w:rsidRPr="00E14102">
        <w:rPr>
          <w:color w:val="0070C0"/>
          <w:sz w:val="16"/>
          <w:szCs w:val="16"/>
        </w:rPr>
        <w:t>2. Обязать Наркомтяжпром под ответственность т. Орджоникидзе произвести необходимые переделки в самолете РД для указанного перелета и обеспечить самолет моторами М34 для испытания и перелета.</w:t>
      </w:r>
    </w:p>
    <w:p w14:paraId="1A73DA72" w14:textId="77777777" w:rsidR="00D349C2" w:rsidRPr="00E14102" w:rsidRDefault="00D349C2" w:rsidP="00E14102">
      <w:pPr>
        <w:shd w:val="clear" w:color="auto" w:fill="FFFFFF"/>
        <w:jc w:val="both"/>
        <w:rPr>
          <w:color w:val="0070C0"/>
          <w:sz w:val="16"/>
          <w:szCs w:val="16"/>
        </w:rPr>
      </w:pPr>
      <w:r w:rsidRPr="00E14102">
        <w:rPr>
          <w:color w:val="0070C0"/>
          <w:sz w:val="16"/>
          <w:szCs w:val="16"/>
        </w:rPr>
        <w:t>3. Обязать НКОбороны под ответственность т. Ворошилова организовать тренировку и подготовку экипажа для перелета и обеспечения самого перелета радиосвязью и метеорологическим обслуживанием.</w:t>
      </w:r>
    </w:p>
    <w:p w14:paraId="69901856" w14:textId="77777777" w:rsidR="00D349C2" w:rsidRPr="00E14102" w:rsidRDefault="00D349C2" w:rsidP="00E14102">
      <w:pPr>
        <w:shd w:val="clear" w:color="auto" w:fill="FFFFFF"/>
        <w:jc w:val="both"/>
        <w:rPr>
          <w:color w:val="0070C0"/>
          <w:sz w:val="16"/>
          <w:szCs w:val="16"/>
        </w:rPr>
      </w:pPr>
      <w:r w:rsidRPr="00E14102">
        <w:rPr>
          <w:color w:val="0070C0"/>
          <w:sz w:val="16"/>
          <w:szCs w:val="16"/>
        </w:rPr>
        <w:t>4. Возложить общее руководство подготовкой перелета и осуществлением его на т. Ворошилова и т. Орджоникидзе, а непосредственное руководство подготовкой и перелетом — на нач. УВВС РККА т. Алксниса. Подчинить командира самолета т. Леваневского на весь период подготовки и проведения перелета т. Алкснису.</w:t>
      </w:r>
    </w:p>
    <w:p w14:paraId="58027BAC" w14:textId="77777777" w:rsidR="00D349C2" w:rsidRPr="00E14102" w:rsidRDefault="00D349C2" w:rsidP="00E14102">
      <w:pPr>
        <w:shd w:val="clear" w:color="auto" w:fill="FFFFFF"/>
        <w:jc w:val="both"/>
        <w:rPr>
          <w:color w:val="0070C0"/>
          <w:sz w:val="16"/>
          <w:szCs w:val="16"/>
        </w:rPr>
      </w:pPr>
      <w:r w:rsidRPr="00E14102">
        <w:rPr>
          <w:color w:val="0070C0"/>
          <w:sz w:val="16"/>
          <w:szCs w:val="16"/>
        </w:rPr>
        <w:t>5. Утвердить экипаж для перелета в следующем составе: командиром экипажа и первым летчиком — т. Леваневского. Штурманом — флаг-штурмана Черного моря т. Левченко, вторым летчиком — слушателя Военно-воздушной академии т. Байдукова, запасным штурманом — заведующего штурманской кафедрой Военно-воздушной академии т. Белякова, запасным летчиком — командира Отдельного отряда т. Гуревича…</w:t>
      </w:r>
    </w:p>
    <w:p w14:paraId="724F6CEB" w14:textId="77777777" w:rsidR="00D349C2" w:rsidRPr="00E14102" w:rsidRDefault="00D349C2" w:rsidP="00E14102">
      <w:pPr>
        <w:shd w:val="clear" w:color="auto" w:fill="FFFFFF"/>
        <w:jc w:val="both"/>
        <w:rPr>
          <w:color w:val="0070C0"/>
          <w:sz w:val="16"/>
          <w:szCs w:val="16"/>
        </w:rPr>
      </w:pPr>
      <w:r w:rsidRPr="00E14102">
        <w:rPr>
          <w:color w:val="0070C0"/>
          <w:sz w:val="16"/>
          <w:szCs w:val="16"/>
        </w:rPr>
        <w:t>6. Отпустить на подготовку и проведение перелета из резервного фонда Совнаркома Союза 1 500 000 рублей в совзнаках и 55 000 в инвалюте согласно прилагаемой смете» (20467).</w:t>
      </w:r>
    </w:p>
    <w:p w14:paraId="6C1261BD" w14:textId="77777777" w:rsidR="00D349C2" w:rsidRPr="00E14102" w:rsidRDefault="00D349C2" w:rsidP="00E14102">
      <w:pPr>
        <w:jc w:val="both"/>
        <w:rPr>
          <w:color w:val="0070C0"/>
          <w:sz w:val="16"/>
          <w:szCs w:val="16"/>
        </w:rPr>
      </w:pPr>
    </w:p>
    <w:p w14:paraId="7D62E5A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6122A90" w14:textId="77777777" w:rsidR="00D4105E" w:rsidRPr="00E14102" w:rsidRDefault="00D4105E" w:rsidP="00E14102">
      <w:pPr>
        <w:autoSpaceDE w:val="0"/>
        <w:autoSpaceDN w:val="0"/>
        <w:adjustRightInd w:val="0"/>
        <w:jc w:val="both"/>
        <w:rPr>
          <w:iCs/>
          <w:color w:val="000000" w:themeColor="text1"/>
          <w:sz w:val="16"/>
          <w:szCs w:val="16"/>
        </w:rPr>
      </w:pPr>
    </w:p>
    <w:p w14:paraId="11F7B4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февраля 1935 вышло решение правительства Германии о создании военной авиации (3186).</w:t>
      </w:r>
    </w:p>
    <w:p w14:paraId="66E59190" w14:textId="77777777" w:rsidR="00D4105E" w:rsidRPr="00E14102" w:rsidRDefault="00D4105E" w:rsidP="00E14102">
      <w:pPr>
        <w:autoSpaceDE w:val="0"/>
        <w:autoSpaceDN w:val="0"/>
        <w:adjustRightInd w:val="0"/>
        <w:jc w:val="both"/>
        <w:rPr>
          <w:color w:val="000000" w:themeColor="text1"/>
          <w:sz w:val="16"/>
          <w:szCs w:val="16"/>
        </w:rPr>
      </w:pPr>
    </w:p>
    <w:p w14:paraId="100E1F8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26 февраля 1935 в Германии учреждена военная авиация (Люфтваффе) под командованием Геринга (4962).</w:t>
      </w:r>
    </w:p>
    <w:p w14:paraId="08DB315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C467827" w14:textId="77777777" w:rsidR="00D349C2" w:rsidRPr="00E14102" w:rsidRDefault="00D349C2" w:rsidP="00E14102">
      <w:pPr>
        <w:jc w:val="both"/>
        <w:rPr>
          <w:color w:val="0070C0"/>
          <w:sz w:val="16"/>
          <w:szCs w:val="16"/>
        </w:rPr>
      </w:pPr>
      <w:r w:rsidRPr="00E14102">
        <w:rPr>
          <w:color w:val="0070C0"/>
          <w:sz w:val="16"/>
          <w:szCs w:val="16"/>
        </w:rPr>
        <w:t>26 февраля 1935 в Германии Адольф Гитлер приказывает Герману Герингу тайно создать Люфтваффе, нарушая положение Версальского договора 1919 года, согласно которому Германия никогда больше не будет иметь вооруженных самолетов (20800).</w:t>
      </w:r>
    </w:p>
    <w:p w14:paraId="267C3182" w14:textId="77777777" w:rsidR="00D349C2" w:rsidRPr="00E14102" w:rsidRDefault="00D349C2" w:rsidP="00E14102">
      <w:pPr>
        <w:jc w:val="both"/>
        <w:rPr>
          <w:color w:val="0070C0"/>
          <w:sz w:val="16"/>
          <w:szCs w:val="16"/>
        </w:rPr>
      </w:pPr>
    </w:p>
    <w:p w14:paraId="5C00A72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26 февраля 1935 изобретатель Роберт Ватсон-Ватт впервые продемонстрировал радар (4962).</w:t>
      </w:r>
    </w:p>
    <w:p w14:paraId="2019672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CD7EDBD" w14:textId="77777777" w:rsidR="0085120B" w:rsidRPr="00E14102" w:rsidRDefault="0085120B" w:rsidP="00E14102">
      <w:pPr>
        <w:jc w:val="both"/>
        <w:rPr>
          <w:color w:val="0070C0"/>
          <w:sz w:val="16"/>
          <w:szCs w:val="16"/>
        </w:rPr>
      </w:pPr>
      <w:r w:rsidRPr="00E14102">
        <w:rPr>
          <w:color w:val="0070C0"/>
          <w:sz w:val="16"/>
          <w:szCs w:val="16"/>
        </w:rPr>
        <w:t>26 февраля 1935 Роберт Уотсон-Ватт и Арнольд Уилкинс впервые продемонстрировали отражение радиоволн от самолета недалеко от Давентри в Англии (20800).</w:t>
      </w:r>
    </w:p>
    <w:p w14:paraId="72C83A68" w14:textId="77777777" w:rsidR="0085120B" w:rsidRPr="00E14102" w:rsidRDefault="0085120B" w:rsidP="00E14102">
      <w:pPr>
        <w:jc w:val="both"/>
        <w:rPr>
          <w:color w:val="0070C0"/>
          <w:sz w:val="16"/>
          <w:szCs w:val="16"/>
        </w:rPr>
      </w:pPr>
    </w:p>
    <w:p w14:paraId="0675A451" w14:textId="77777777" w:rsidR="0085120B" w:rsidRPr="00E14102" w:rsidRDefault="0085120B" w:rsidP="00E14102">
      <w:pPr>
        <w:jc w:val="both"/>
        <w:rPr>
          <w:color w:val="0070C0"/>
          <w:sz w:val="16"/>
          <w:szCs w:val="16"/>
        </w:rPr>
      </w:pPr>
      <w:r w:rsidRPr="00E14102">
        <w:rPr>
          <w:color w:val="0070C0"/>
          <w:sz w:val="16"/>
          <w:szCs w:val="16"/>
        </w:rPr>
        <w:t>26 февраля 1935 года Роберт Уотсон-Ватт и Арнольд Уилкинс в ходе проведенного в условиях повышенной секретности – в присутствии всего трех человек – опыта впервые на практике продемонстрировал возможность, обнаружив с помощью своего метода самолет-мишень, в качестве которого был использован бомбардировщик «Хейфорд» (22709).</w:t>
      </w:r>
    </w:p>
    <w:p w14:paraId="6A2D66B4" w14:textId="77777777" w:rsidR="0085120B" w:rsidRPr="00E14102" w:rsidRDefault="0085120B" w:rsidP="00E14102">
      <w:pPr>
        <w:jc w:val="both"/>
        <w:rPr>
          <w:color w:val="0070C0"/>
          <w:sz w:val="16"/>
          <w:szCs w:val="16"/>
        </w:rPr>
      </w:pPr>
    </w:p>
    <w:p w14:paraId="0995F5F1" w14:textId="77777777" w:rsidR="00FF07E2" w:rsidRPr="00E14102" w:rsidRDefault="00FF07E2" w:rsidP="00E14102">
      <w:pPr>
        <w:jc w:val="both"/>
        <w:rPr>
          <w:bCs/>
          <w:color w:val="000000" w:themeColor="text1"/>
          <w:sz w:val="16"/>
          <w:szCs w:val="16"/>
        </w:rPr>
      </w:pPr>
      <w:r w:rsidRPr="00E14102">
        <w:rPr>
          <w:bCs/>
          <w:color w:val="000000" w:themeColor="text1"/>
          <w:sz w:val="16"/>
          <w:szCs w:val="16"/>
        </w:rPr>
        <w:t>26 февраля</w:t>
      </w:r>
      <w:r w:rsidRPr="00E14102">
        <w:rPr>
          <w:color w:val="000000" w:themeColor="text1"/>
          <w:sz w:val="16"/>
          <w:szCs w:val="16"/>
        </w:rPr>
        <w:t xml:space="preserve"> в 1935 году шотландский ученый Роберт Александр Ватсон-Ватт (Robert Alexander Watson-Watt) (1892–1973) провел первые испытания устройства, получившего название "радар" (RAdio Detection And Ranging). При разработке он пользовался законом, который сформулировал Кристиан Допплер, известный австрийский физик и астроном. Кристиан Допплер писал, что «частота отражённого от движущегося объекта сигнала, отличается от частоты самого излучаемого сигнала на величину, прямо пропорциональную скорости передвижения данного объекта». Роберт Уотсон-Уатт потомок знаменитого физика Джеймса Ватта.</w:t>
      </w:r>
    </w:p>
    <w:p w14:paraId="5908E4AF" w14:textId="77777777" w:rsidR="00FF07E2" w:rsidRPr="00E14102" w:rsidRDefault="00FF07E2" w:rsidP="00E14102">
      <w:pPr>
        <w:jc w:val="both"/>
        <w:rPr>
          <w:color w:val="000000" w:themeColor="text1"/>
          <w:sz w:val="16"/>
          <w:szCs w:val="16"/>
        </w:rPr>
      </w:pPr>
      <w:r w:rsidRPr="00E14102">
        <w:rPr>
          <w:color w:val="000000" w:themeColor="text1"/>
          <w:sz w:val="16"/>
          <w:szCs w:val="16"/>
        </w:rPr>
        <w:t>Ведущий специалист в развитии секретного оружия Англии – авиационной радиолокации. Запатентовал (1934 и 1935) устройство для обнаружения и определения местоположения приближающихся самолетов – радиолокатор или радар (RADAR – Radio Detection And Ranging). В 1937 ученый со своей супругой под видом туристов совершили опасное путешествие по Германии с целью поиска немецких радарных станций (15052).</w:t>
      </w:r>
    </w:p>
    <w:p w14:paraId="4539E803" w14:textId="77777777" w:rsidR="00FF07E2" w:rsidRPr="00E14102" w:rsidRDefault="00FF07E2" w:rsidP="00E14102">
      <w:pPr>
        <w:jc w:val="both"/>
        <w:rPr>
          <w:color w:val="000000" w:themeColor="text1"/>
          <w:sz w:val="16"/>
          <w:szCs w:val="16"/>
        </w:rPr>
      </w:pPr>
    </w:p>
    <w:p w14:paraId="59869E2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C6DD03A" w14:textId="77777777" w:rsidR="00D4105E" w:rsidRPr="00E14102" w:rsidRDefault="00D4105E" w:rsidP="00E14102">
      <w:pPr>
        <w:autoSpaceDE w:val="0"/>
        <w:autoSpaceDN w:val="0"/>
        <w:adjustRightInd w:val="0"/>
        <w:jc w:val="both"/>
        <w:rPr>
          <w:iCs/>
          <w:color w:val="000000" w:themeColor="text1"/>
          <w:sz w:val="16"/>
          <w:szCs w:val="16"/>
        </w:rPr>
      </w:pPr>
    </w:p>
    <w:p w14:paraId="4C5E59A5" w14:textId="77777777" w:rsidR="00481A9F" w:rsidRPr="00E14102" w:rsidRDefault="00481A9F" w:rsidP="00E14102">
      <w:pPr>
        <w:jc w:val="both"/>
        <w:rPr>
          <w:color w:val="0070C0"/>
          <w:sz w:val="16"/>
          <w:szCs w:val="16"/>
        </w:rPr>
      </w:pPr>
      <w:r w:rsidRPr="00E14102">
        <w:rPr>
          <w:color w:val="0070C0"/>
          <w:sz w:val="16"/>
          <w:szCs w:val="16"/>
        </w:rPr>
        <w:t>27 февраля 1935 года в Горьком состоялось расширенное совещание по вопросам плана опытных работ на текущий год под председательством врид начальника ГУАП С.Л. Марголина с участием Н.Н. Поликарпова. Обсуждались три вопроса: создание эталона И-16М-22 в мае текущего года, модификация И-16 под мотор «Райт-Циклон» с использованием проведенной заводом № 39 работы и выходом эталона 1-го августа, а также установка мотора М-58 на один из самолетов И-16, выпускаемых заводом № 21 со сроками по усмотрению директора завода. Очевидно, для стабильности серийного производства ключевой была подготовка эталонных машин, чему, по идее, и должен был уделять особое внимание директор, однако Евгений Иванович смотрел на дело «шире» (23033).</w:t>
      </w:r>
    </w:p>
    <w:p w14:paraId="5AA1DCDE" w14:textId="77777777" w:rsidR="00481A9F" w:rsidRPr="00E14102" w:rsidRDefault="00481A9F" w:rsidP="00E14102">
      <w:pPr>
        <w:jc w:val="both"/>
        <w:rPr>
          <w:color w:val="0070C0"/>
          <w:sz w:val="16"/>
          <w:szCs w:val="16"/>
        </w:rPr>
      </w:pPr>
    </w:p>
    <w:p w14:paraId="0EA306E5" w14:textId="77777777" w:rsidR="00481A9F" w:rsidRPr="00E14102" w:rsidRDefault="00481A9F" w:rsidP="00E14102">
      <w:pPr>
        <w:jc w:val="both"/>
        <w:rPr>
          <w:color w:val="0070C0"/>
          <w:sz w:val="16"/>
          <w:szCs w:val="16"/>
        </w:rPr>
      </w:pPr>
      <w:r w:rsidRPr="00E14102">
        <w:rPr>
          <w:color w:val="0070C0"/>
          <w:sz w:val="16"/>
          <w:szCs w:val="16"/>
        </w:rPr>
        <w:t>27 февраля 1935 г.</w:t>
      </w:r>
    </w:p>
    <w:p w14:paraId="1F4C354B" w14:textId="77777777" w:rsidR="00481A9F" w:rsidRPr="00E14102" w:rsidRDefault="00481A9F" w:rsidP="00E14102">
      <w:pPr>
        <w:jc w:val="both"/>
        <w:rPr>
          <w:color w:val="0070C0"/>
          <w:sz w:val="16"/>
          <w:szCs w:val="16"/>
        </w:rPr>
      </w:pPr>
      <w:r w:rsidRPr="00E14102">
        <w:rPr>
          <w:color w:val="0070C0"/>
          <w:sz w:val="16"/>
          <w:szCs w:val="16"/>
        </w:rPr>
        <w:t>ПРОТОКОЛ СОВЕЩАНИЯ У ДИРЕКТОРА ЗАВОДА № 21</w:t>
      </w:r>
    </w:p>
    <w:p w14:paraId="49A53744" w14:textId="77777777" w:rsidR="00481A9F" w:rsidRPr="00E14102" w:rsidRDefault="00481A9F" w:rsidP="00E14102">
      <w:pPr>
        <w:jc w:val="both"/>
        <w:rPr>
          <w:color w:val="0070C0"/>
          <w:sz w:val="16"/>
          <w:szCs w:val="16"/>
        </w:rPr>
      </w:pPr>
      <w:r w:rsidRPr="00E14102">
        <w:rPr>
          <w:color w:val="0070C0"/>
          <w:sz w:val="16"/>
          <w:szCs w:val="16"/>
        </w:rPr>
        <w:t>г. Горький</w:t>
      </w:r>
    </w:p>
    <w:p w14:paraId="62460E4F" w14:textId="77777777" w:rsidR="00481A9F" w:rsidRPr="00E14102" w:rsidRDefault="00481A9F" w:rsidP="00E14102">
      <w:pPr>
        <w:jc w:val="both"/>
        <w:rPr>
          <w:color w:val="0070C0"/>
          <w:sz w:val="16"/>
          <w:szCs w:val="16"/>
        </w:rPr>
      </w:pPr>
      <w:r w:rsidRPr="00E14102">
        <w:rPr>
          <w:color w:val="0070C0"/>
          <w:sz w:val="16"/>
          <w:szCs w:val="16"/>
        </w:rPr>
        <w:lastRenderedPageBreak/>
        <w:t>Присутствовали: Врид. Нач[альника] ГУ АП. т. Марголин,</w:t>
      </w:r>
    </w:p>
    <w:p w14:paraId="349FC80A" w14:textId="77777777" w:rsidR="00481A9F" w:rsidRPr="00E14102" w:rsidRDefault="00481A9F" w:rsidP="00E14102">
      <w:pPr>
        <w:jc w:val="both"/>
        <w:rPr>
          <w:color w:val="0070C0"/>
          <w:sz w:val="16"/>
          <w:szCs w:val="16"/>
        </w:rPr>
      </w:pPr>
      <w:r w:rsidRPr="00E14102">
        <w:rPr>
          <w:color w:val="0070C0"/>
          <w:sz w:val="16"/>
          <w:szCs w:val="16"/>
        </w:rPr>
        <w:t>Гл. конструктор машины т. Поликарпов</w:t>
      </w:r>
    </w:p>
    <w:p w14:paraId="70C9EB37" w14:textId="77777777" w:rsidR="00481A9F" w:rsidRPr="00E14102" w:rsidRDefault="00481A9F" w:rsidP="00E14102">
      <w:pPr>
        <w:jc w:val="both"/>
        <w:rPr>
          <w:color w:val="0070C0"/>
          <w:sz w:val="16"/>
          <w:szCs w:val="16"/>
        </w:rPr>
      </w:pPr>
      <w:r w:rsidRPr="00E14102">
        <w:rPr>
          <w:color w:val="0070C0"/>
          <w:sz w:val="16"/>
          <w:szCs w:val="16"/>
        </w:rPr>
        <w:t>Директор завода №21 т. Мирошников,</w:t>
      </w:r>
    </w:p>
    <w:p w14:paraId="0D51970B" w14:textId="77777777" w:rsidR="00481A9F" w:rsidRPr="00E14102" w:rsidRDefault="00481A9F" w:rsidP="00E14102">
      <w:pPr>
        <w:jc w:val="both"/>
        <w:rPr>
          <w:color w:val="0070C0"/>
          <w:sz w:val="16"/>
          <w:szCs w:val="16"/>
        </w:rPr>
      </w:pPr>
      <w:r w:rsidRPr="00E14102">
        <w:rPr>
          <w:color w:val="0070C0"/>
          <w:sz w:val="16"/>
          <w:szCs w:val="16"/>
        </w:rPr>
        <w:t>Секретарь парткома т. Вартанян,</w:t>
      </w:r>
    </w:p>
    <w:p w14:paraId="0E1C306E" w14:textId="77777777" w:rsidR="00481A9F" w:rsidRPr="00E14102" w:rsidRDefault="00481A9F" w:rsidP="00E14102">
      <w:pPr>
        <w:jc w:val="both"/>
        <w:rPr>
          <w:color w:val="0070C0"/>
          <w:sz w:val="16"/>
          <w:szCs w:val="16"/>
        </w:rPr>
      </w:pPr>
      <w:r w:rsidRPr="00E14102">
        <w:rPr>
          <w:color w:val="0070C0"/>
          <w:sz w:val="16"/>
          <w:szCs w:val="16"/>
        </w:rPr>
        <w:t>От завода № 39 т. Сорокин</w:t>
      </w:r>
    </w:p>
    <w:p w14:paraId="6A7A9E9C" w14:textId="77777777" w:rsidR="00481A9F" w:rsidRPr="00E14102" w:rsidRDefault="00481A9F" w:rsidP="00E14102">
      <w:pPr>
        <w:jc w:val="both"/>
        <w:rPr>
          <w:color w:val="0070C0"/>
          <w:sz w:val="16"/>
          <w:szCs w:val="16"/>
        </w:rPr>
      </w:pPr>
      <w:r w:rsidRPr="00E14102">
        <w:rPr>
          <w:color w:val="0070C0"/>
          <w:sz w:val="16"/>
          <w:szCs w:val="16"/>
        </w:rPr>
        <w:t>От завода № 21 тт. Успасский, Дайбог, Марчевский, Белоусов, Абрамов, Шаталов, Копытин, Панкратьев.</w:t>
      </w:r>
    </w:p>
    <w:p w14:paraId="7D23BEC7" w14:textId="77777777" w:rsidR="00481A9F" w:rsidRPr="00E14102" w:rsidRDefault="00481A9F" w:rsidP="00E14102">
      <w:pPr>
        <w:jc w:val="both"/>
        <w:rPr>
          <w:color w:val="0070C0"/>
          <w:sz w:val="16"/>
          <w:szCs w:val="16"/>
        </w:rPr>
      </w:pPr>
      <w:r w:rsidRPr="00E14102">
        <w:rPr>
          <w:color w:val="0070C0"/>
          <w:sz w:val="16"/>
          <w:szCs w:val="16"/>
        </w:rPr>
        <w:t>27 февраля 1935 г.</w:t>
      </w:r>
    </w:p>
    <w:p w14:paraId="5F5ADF03" w14:textId="77777777" w:rsidR="00481A9F" w:rsidRPr="00E14102" w:rsidRDefault="00481A9F" w:rsidP="00E14102">
      <w:pPr>
        <w:jc w:val="both"/>
        <w:rPr>
          <w:color w:val="0070C0"/>
          <w:sz w:val="16"/>
          <w:szCs w:val="16"/>
        </w:rPr>
      </w:pPr>
      <w:r w:rsidRPr="00E14102">
        <w:rPr>
          <w:color w:val="0070C0"/>
          <w:sz w:val="16"/>
          <w:szCs w:val="16"/>
        </w:rPr>
        <w:t>Председатель - тов. Марголин.</w:t>
      </w:r>
    </w:p>
    <w:p w14:paraId="3C2A66B5" w14:textId="77777777" w:rsidR="00481A9F" w:rsidRPr="00E14102" w:rsidRDefault="00481A9F" w:rsidP="00E14102">
      <w:pPr>
        <w:jc w:val="both"/>
        <w:rPr>
          <w:color w:val="0070C0"/>
          <w:sz w:val="16"/>
          <w:szCs w:val="16"/>
        </w:rPr>
      </w:pPr>
      <w:r w:rsidRPr="00E14102">
        <w:rPr>
          <w:color w:val="0070C0"/>
          <w:sz w:val="16"/>
          <w:szCs w:val="16"/>
        </w:rPr>
        <w:t>Слушали: О плане опытных работ на 1935 год.</w:t>
      </w:r>
    </w:p>
    <w:p w14:paraId="41B307D1" w14:textId="77777777" w:rsidR="00481A9F" w:rsidRPr="00E14102" w:rsidRDefault="00481A9F" w:rsidP="00E14102">
      <w:pPr>
        <w:jc w:val="both"/>
        <w:rPr>
          <w:color w:val="0070C0"/>
          <w:sz w:val="16"/>
          <w:szCs w:val="16"/>
        </w:rPr>
      </w:pPr>
      <w:r w:rsidRPr="00E14102">
        <w:rPr>
          <w:color w:val="0070C0"/>
          <w:sz w:val="16"/>
          <w:szCs w:val="16"/>
        </w:rPr>
        <w:t>Постановили:</w:t>
      </w:r>
    </w:p>
    <w:p w14:paraId="0C3FC382" w14:textId="77777777" w:rsidR="00481A9F" w:rsidRPr="00E14102" w:rsidRDefault="00481A9F" w:rsidP="00E14102">
      <w:pPr>
        <w:jc w:val="both"/>
        <w:rPr>
          <w:color w:val="0070C0"/>
          <w:sz w:val="16"/>
          <w:szCs w:val="16"/>
        </w:rPr>
      </w:pPr>
      <w:r w:rsidRPr="00E14102">
        <w:rPr>
          <w:color w:val="0070C0"/>
          <w:sz w:val="16"/>
          <w:szCs w:val="16"/>
        </w:rPr>
        <w:t>I) Считать необходимым организовать опытные работы на заводе №21. Поставить для выполнения в плане 1935 года следующие опытные</w:t>
      </w:r>
    </w:p>
    <w:p w14:paraId="053BF8E5" w14:textId="77777777" w:rsidR="00481A9F" w:rsidRPr="00E14102" w:rsidRDefault="00481A9F" w:rsidP="00E14102">
      <w:pPr>
        <w:jc w:val="both"/>
        <w:rPr>
          <w:color w:val="0070C0"/>
          <w:sz w:val="16"/>
          <w:szCs w:val="16"/>
        </w:rPr>
      </w:pPr>
      <w:r w:rsidRPr="00E14102">
        <w:rPr>
          <w:color w:val="0070C0"/>
          <w:sz w:val="16"/>
          <w:szCs w:val="16"/>
        </w:rPr>
        <w:t>работы:</w:t>
      </w:r>
    </w:p>
    <w:p w14:paraId="68C8122D" w14:textId="77777777" w:rsidR="00481A9F" w:rsidRPr="00E14102" w:rsidRDefault="00481A9F" w:rsidP="00E14102">
      <w:pPr>
        <w:jc w:val="both"/>
        <w:rPr>
          <w:color w:val="0070C0"/>
          <w:sz w:val="16"/>
          <w:szCs w:val="16"/>
        </w:rPr>
      </w:pPr>
      <w:r w:rsidRPr="00E14102">
        <w:rPr>
          <w:color w:val="0070C0"/>
          <w:sz w:val="16"/>
          <w:szCs w:val="16"/>
        </w:rPr>
        <w:t>а) создание эталона самолета И-16 с мотором М-22 в мае месяце с.г.</w:t>
      </w:r>
    </w:p>
    <w:p w14:paraId="5E6E2FE6" w14:textId="77777777" w:rsidR="00481A9F" w:rsidRPr="00E14102" w:rsidRDefault="00481A9F" w:rsidP="00E14102">
      <w:pPr>
        <w:jc w:val="both"/>
        <w:rPr>
          <w:color w:val="0070C0"/>
          <w:sz w:val="16"/>
          <w:szCs w:val="16"/>
        </w:rPr>
      </w:pPr>
      <w:r w:rsidRPr="00E14102">
        <w:rPr>
          <w:color w:val="0070C0"/>
          <w:sz w:val="16"/>
          <w:szCs w:val="16"/>
        </w:rPr>
        <w:t>б) модификацию самолета И-16 под мотор «Райт Циклон», причем для этой цели главному конструктору машины тов. Поликарпову передать заводу № 21 все начатые им работы в этой области (элероны, моторную установку, вооружение и проч.) и оказать необходимую техническую помощь.</w:t>
      </w:r>
    </w:p>
    <w:p w14:paraId="44306571" w14:textId="77777777" w:rsidR="00481A9F" w:rsidRPr="00E14102" w:rsidRDefault="00481A9F" w:rsidP="00E14102">
      <w:pPr>
        <w:jc w:val="both"/>
        <w:rPr>
          <w:color w:val="0070C0"/>
          <w:sz w:val="16"/>
          <w:szCs w:val="16"/>
        </w:rPr>
      </w:pPr>
      <w:r w:rsidRPr="00E14102">
        <w:rPr>
          <w:color w:val="0070C0"/>
          <w:sz w:val="16"/>
          <w:szCs w:val="16"/>
        </w:rPr>
        <w:t>Срок окончания работы 1/VIII-35 г.</w:t>
      </w:r>
    </w:p>
    <w:p w14:paraId="0FB0868E" w14:textId="77777777" w:rsidR="00481A9F" w:rsidRPr="00E14102" w:rsidRDefault="00481A9F" w:rsidP="00E14102">
      <w:pPr>
        <w:jc w:val="both"/>
        <w:rPr>
          <w:color w:val="0070C0"/>
          <w:sz w:val="16"/>
          <w:szCs w:val="16"/>
        </w:rPr>
      </w:pPr>
      <w:r w:rsidRPr="00E14102">
        <w:rPr>
          <w:color w:val="0070C0"/>
          <w:sz w:val="16"/>
          <w:szCs w:val="16"/>
        </w:rPr>
        <w:t xml:space="preserve">в) экспериментальную работу по установке мотора М-58 в одном из самолетов И-16, выпускаемых заводом № 21 по усмотрению директора завода. </w:t>
      </w:r>
    </w:p>
    <w:p w14:paraId="0226BBA6" w14:textId="77777777" w:rsidR="00481A9F" w:rsidRPr="00E14102" w:rsidRDefault="00481A9F" w:rsidP="00E14102">
      <w:pPr>
        <w:jc w:val="both"/>
        <w:rPr>
          <w:color w:val="0070C0"/>
          <w:sz w:val="16"/>
          <w:szCs w:val="16"/>
        </w:rPr>
      </w:pPr>
      <w:r w:rsidRPr="00E14102">
        <w:rPr>
          <w:color w:val="0070C0"/>
          <w:sz w:val="16"/>
          <w:szCs w:val="16"/>
        </w:rPr>
        <w:t>Срок окончания работы - заводу представить в ГУ АП.</w:t>
      </w:r>
    </w:p>
    <w:p w14:paraId="22F97C6A" w14:textId="77777777" w:rsidR="00481A9F" w:rsidRPr="00E14102" w:rsidRDefault="00481A9F" w:rsidP="00E14102">
      <w:pPr>
        <w:jc w:val="both"/>
        <w:rPr>
          <w:color w:val="0070C0"/>
          <w:sz w:val="16"/>
          <w:szCs w:val="16"/>
        </w:rPr>
      </w:pPr>
      <w:r w:rsidRPr="00E14102">
        <w:rPr>
          <w:color w:val="0070C0"/>
          <w:sz w:val="16"/>
          <w:szCs w:val="16"/>
        </w:rPr>
        <w:t>II) Финансирование перечисленных опытных работ произвести с 1/Ш с.г. Потребную сумму для этого установить 28/И с.г. в ГУАПе.</w:t>
      </w:r>
    </w:p>
    <w:p w14:paraId="5826AF52" w14:textId="77777777" w:rsidR="00481A9F" w:rsidRPr="00E14102" w:rsidRDefault="00481A9F" w:rsidP="00E14102">
      <w:pPr>
        <w:jc w:val="both"/>
        <w:rPr>
          <w:color w:val="0070C0"/>
          <w:sz w:val="16"/>
          <w:szCs w:val="16"/>
        </w:rPr>
      </w:pPr>
      <w:r w:rsidRPr="00E14102">
        <w:rPr>
          <w:color w:val="0070C0"/>
          <w:sz w:val="16"/>
          <w:szCs w:val="16"/>
        </w:rPr>
        <w:t>III. Принять к сведению заявление директора завода тов. Мирошникова о том, что для выполнения вышеперечисленных опытных работ по подсчетам завода потребуется не менее миллиона рублей.</w:t>
      </w:r>
    </w:p>
    <w:p w14:paraId="5F20D233" w14:textId="77777777" w:rsidR="00481A9F" w:rsidRPr="00E14102" w:rsidRDefault="00481A9F" w:rsidP="00E14102">
      <w:pPr>
        <w:jc w:val="both"/>
        <w:rPr>
          <w:color w:val="0070C0"/>
          <w:sz w:val="16"/>
          <w:szCs w:val="16"/>
        </w:rPr>
      </w:pPr>
      <w:r w:rsidRPr="00E14102">
        <w:rPr>
          <w:color w:val="0070C0"/>
          <w:sz w:val="16"/>
          <w:szCs w:val="16"/>
        </w:rPr>
        <w:t>Председатель</w:t>
      </w:r>
      <w:r w:rsidRPr="00E14102">
        <w:rPr>
          <w:color w:val="0070C0"/>
          <w:sz w:val="16"/>
          <w:szCs w:val="16"/>
        </w:rPr>
        <w:tab/>
        <w:t>(Марголин)</w:t>
      </w:r>
    </w:p>
    <w:p w14:paraId="092CE092" w14:textId="77777777" w:rsidR="00481A9F" w:rsidRPr="00E14102" w:rsidRDefault="00481A9F" w:rsidP="00E14102">
      <w:pPr>
        <w:jc w:val="both"/>
        <w:rPr>
          <w:color w:val="0070C0"/>
          <w:sz w:val="16"/>
          <w:szCs w:val="16"/>
        </w:rPr>
      </w:pPr>
      <w:r w:rsidRPr="00E14102">
        <w:rPr>
          <w:color w:val="0070C0"/>
          <w:sz w:val="16"/>
          <w:szCs w:val="16"/>
        </w:rPr>
        <w:t>27-го февраля 1935 года.</w:t>
      </w:r>
    </w:p>
    <w:p w14:paraId="19B0060D" w14:textId="77777777" w:rsidR="00481A9F" w:rsidRPr="00E14102" w:rsidRDefault="00481A9F" w:rsidP="00E14102">
      <w:pPr>
        <w:jc w:val="both"/>
        <w:rPr>
          <w:color w:val="0070C0"/>
          <w:sz w:val="16"/>
          <w:szCs w:val="16"/>
        </w:rPr>
      </w:pPr>
      <w:r w:rsidRPr="00E14102">
        <w:rPr>
          <w:color w:val="0070C0"/>
          <w:sz w:val="16"/>
          <w:szCs w:val="16"/>
        </w:rPr>
        <w:t xml:space="preserve">Государственное казенное учреждение Центральный </w:t>
      </w:r>
    </w:p>
    <w:p w14:paraId="10E4DF5E" w14:textId="77777777" w:rsidR="00481A9F" w:rsidRPr="00E14102" w:rsidRDefault="00481A9F" w:rsidP="00E14102">
      <w:pPr>
        <w:jc w:val="both"/>
        <w:rPr>
          <w:color w:val="0070C0"/>
          <w:sz w:val="16"/>
          <w:szCs w:val="16"/>
        </w:rPr>
      </w:pPr>
      <w:r w:rsidRPr="00E14102">
        <w:rPr>
          <w:color w:val="0070C0"/>
          <w:sz w:val="16"/>
          <w:szCs w:val="16"/>
        </w:rPr>
        <w:t>архив Нижегородской области (ЦАНО).</w:t>
      </w:r>
    </w:p>
    <w:p w14:paraId="3759C6EE" w14:textId="77777777" w:rsidR="00481A9F" w:rsidRPr="00E14102" w:rsidRDefault="00481A9F" w:rsidP="00E14102">
      <w:pPr>
        <w:jc w:val="both"/>
        <w:rPr>
          <w:color w:val="0070C0"/>
          <w:sz w:val="16"/>
          <w:szCs w:val="16"/>
        </w:rPr>
      </w:pPr>
      <w:r w:rsidRPr="00E14102">
        <w:rPr>
          <w:color w:val="0070C0"/>
          <w:sz w:val="16"/>
          <w:szCs w:val="16"/>
        </w:rPr>
        <w:t>Ф. 2066. Оп. 6. Д. 89. Л. 1-1об. Подлинник. Машинопись (20958).</w:t>
      </w:r>
    </w:p>
    <w:p w14:paraId="0A3171A1" w14:textId="77777777" w:rsidR="00481A9F" w:rsidRPr="00E14102" w:rsidRDefault="00481A9F" w:rsidP="00E14102">
      <w:pPr>
        <w:jc w:val="both"/>
        <w:rPr>
          <w:color w:val="0070C0"/>
          <w:sz w:val="16"/>
          <w:szCs w:val="16"/>
        </w:rPr>
      </w:pPr>
    </w:p>
    <w:p w14:paraId="3BDA124B" w14:textId="77777777" w:rsidR="00FF07E2" w:rsidRPr="00E14102" w:rsidRDefault="00FF07E2" w:rsidP="00E14102">
      <w:pPr>
        <w:jc w:val="both"/>
        <w:rPr>
          <w:color w:val="000000" w:themeColor="text1"/>
          <w:sz w:val="16"/>
          <w:szCs w:val="16"/>
        </w:rPr>
      </w:pPr>
      <w:r w:rsidRPr="00E14102">
        <w:rPr>
          <w:bCs/>
          <w:color w:val="000000" w:themeColor="text1"/>
          <w:sz w:val="16"/>
          <w:szCs w:val="16"/>
        </w:rPr>
        <w:t>27 февраля</w:t>
      </w:r>
      <w:r w:rsidRPr="00E14102">
        <w:rPr>
          <w:color w:val="000000" w:themeColor="text1"/>
          <w:sz w:val="16"/>
          <w:szCs w:val="16"/>
        </w:rPr>
        <w:t xml:space="preserve"> в 1935 году летчик-испытатель И.И.Лагутин поднял в воздух первый серийный истребитель </w:t>
      </w:r>
      <w:hyperlink r:id="rId50" w:tgtFrame="_blank" w:history="1">
        <w:r w:rsidRPr="00E14102">
          <w:rPr>
            <w:color w:val="000000" w:themeColor="text1"/>
            <w:sz w:val="16"/>
            <w:szCs w:val="16"/>
          </w:rPr>
          <w:t xml:space="preserve">«И-14» </w:t>
        </w:r>
      </w:hyperlink>
      <w:r w:rsidRPr="00E14102">
        <w:rPr>
          <w:color w:val="000000" w:themeColor="text1"/>
          <w:sz w:val="16"/>
          <w:szCs w:val="16"/>
        </w:rPr>
        <w:t>производства завода №125 в городе Иркутске (15053).</w:t>
      </w:r>
    </w:p>
    <w:p w14:paraId="37FC9D31" w14:textId="77777777" w:rsidR="00FF07E2" w:rsidRPr="00E14102" w:rsidRDefault="00FF07E2" w:rsidP="00E14102">
      <w:pPr>
        <w:jc w:val="both"/>
        <w:rPr>
          <w:color w:val="000000" w:themeColor="text1"/>
          <w:sz w:val="16"/>
          <w:szCs w:val="16"/>
        </w:rPr>
      </w:pPr>
    </w:p>
    <w:p w14:paraId="712721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февраля 1935 вышло постановление СТО N С-14сс "О сроках предъявления на испытания опытных и экспериментальных моторов по плану, утвержденному постановлению СТО N К-91сс от 14 июля 1934" В.М.М. (2151,148).</w:t>
      </w:r>
    </w:p>
    <w:p w14:paraId="0538C2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Установить срок предъявления М-62 на гос. испытания 1 января 1936...</w:t>
      </w:r>
    </w:p>
    <w:p w14:paraId="6D9746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Авиадизель Н-5 - заводские испытания 1 мая 1935 (2398,17).</w:t>
      </w:r>
    </w:p>
    <w:p w14:paraId="5F7ACC57" w14:textId="77777777" w:rsidR="00D4105E" w:rsidRPr="00E14102" w:rsidRDefault="00D4105E" w:rsidP="00E14102">
      <w:pPr>
        <w:autoSpaceDE w:val="0"/>
        <w:autoSpaceDN w:val="0"/>
        <w:adjustRightInd w:val="0"/>
        <w:jc w:val="both"/>
        <w:rPr>
          <w:color w:val="000000" w:themeColor="text1"/>
          <w:sz w:val="16"/>
          <w:szCs w:val="16"/>
        </w:rPr>
      </w:pPr>
    </w:p>
    <w:p w14:paraId="04FE1122" w14:textId="77777777" w:rsidR="00FF07E2" w:rsidRPr="00E14102" w:rsidRDefault="00FF07E2" w:rsidP="00E14102">
      <w:pPr>
        <w:pStyle w:val="rtejustify"/>
        <w:spacing w:before="0" w:after="0"/>
        <w:rPr>
          <w:color w:val="000000" w:themeColor="text1"/>
          <w:sz w:val="16"/>
          <w:szCs w:val="16"/>
        </w:rPr>
      </w:pPr>
      <w:r w:rsidRPr="00E14102">
        <w:rPr>
          <w:rStyle w:val="a6"/>
          <w:bCs/>
          <w:i w:val="0"/>
          <w:color w:val="000000" w:themeColor="text1"/>
          <w:sz w:val="16"/>
          <w:szCs w:val="16"/>
        </w:rPr>
        <w:t>27 февраля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14сс «О сроках предъявления на испытания опытных и экспериментальных моторов по плану, утвержденному постановлением СТО СССР № К</w:t>
      </w:r>
      <w:r w:rsidRPr="00E14102">
        <w:rPr>
          <w:color w:val="000000" w:themeColor="text1"/>
          <w:sz w:val="16"/>
          <w:szCs w:val="16"/>
        </w:rPr>
        <w:noBreakHyphen/>
        <w:t>91сс от 14 июля 1934 г.». (ГА РФ. Ф. Р</w:t>
      </w:r>
      <w:r w:rsidRPr="00E14102">
        <w:rPr>
          <w:color w:val="000000" w:themeColor="text1"/>
          <w:sz w:val="16"/>
          <w:szCs w:val="16"/>
        </w:rPr>
        <w:noBreakHyphen/>
        <w:t>8418. Оп. 28. Д. 6. Л. 34) (15460).</w:t>
      </w:r>
    </w:p>
    <w:p w14:paraId="21E3EB91" w14:textId="77777777" w:rsidR="00FF07E2" w:rsidRPr="00E14102" w:rsidRDefault="00FF07E2" w:rsidP="00E14102">
      <w:pPr>
        <w:pStyle w:val="rtejustify"/>
        <w:spacing w:before="0" w:after="0"/>
        <w:rPr>
          <w:color w:val="000000" w:themeColor="text1"/>
          <w:sz w:val="16"/>
          <w:szCs w:val="16"/>
        </w:rPr>
      </w:pPr>
    </w:p>
    <w:p w14:paraId="3FD0E5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февраля 1935 года постановление № С-14сс СТО</w:t>
      </w:r>
    </w:p>
    <w:p w14:paraId="4C0438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сроках предъявления на испытания опытных и экспериментальных моторов по плану, утвержденному постановлением СТО № К-91сс от 14 июля 1934 года</w:t>
      </w:r>
    </w:p>
    <w:p w14:paraId="58FF43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53DAD77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Установить срок предъявления мотора М-62 на госиспытание – 1 января 1936 года.</w:t>
      </w:r>
    </w:p>
    <w:p w14:paraId="0D88BE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Утвердить предложение ГУАПа о передаче постройки этого мотора заводу № 19, как модификации мотора Райт-Циклон.</w:t>
      </w:r>
    </w:p>
    <w:p w14:paraId="520DB99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ГУАП приступить к изготовлению морского варианта мотора М-44 мощностью 1600 л.с., весом 1600 кг и расходом 220 гр/НР/ч по тактико-техническим требованиям УВМС НКО с предъявлением его на госиспытание 1 января 1936 года.</w:t>
      </w:r>
    </w:p>
    <w:p w14:paraId="7396736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ЦИАМу поставить на заводские испытания мотор М-56 не позднее 1 мая 1935 года.</w:t>
      </w:r>
    </w:p>
    <w:p w14:paraId="6DD63F8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Вопрос о реализации предложений инженеров Бессонова и Сердюкова отложить до 1 мая 1935 года.</w:t>
      </w:r>
    </w:p>
    <w:p w14:paraId="4F50543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ГУАП восстановить работы по авиадизелю Н-5 с постановкой его на заводские испытания 1 мая 1935 года.</w:t>
      </w:r>
    </w:p>
    <w:p w14:paraId="57BACB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Техническое руководство по доводке дизеля возложить на гл. конструктора проф. Стечкина Б.С., подчинив его по этой работе непосредственно начальнику ЦИАМа (7516, 8).</w:t>
      </w:r>
    </w:p>
    <w:p w14:paraId="341E807D" w14:textId="77777777" w:rsidR="00D4105E" w:rsidRPr="00E14102" w:rsidRDefault="00D4105E" w:rsidP="00E14102">
      <w:pPr>
        <w:autoSpaceDE w:val="0"/>
        <w:autoSpaceDN w:val="0"/>
        <w:adjustRightInd w:val="0"/>
        <w:jc w:val="both"/>
        <w:rPr>
          <w:color w:val="000000" w:themeColor="text1"/>
          <w:sz w:val="16"/>
          <w:szCs w:val="16"/>
        </w:rPr>
      </w:pPr>
    </w:p>
    <w:p w14:paraId="76A9DCB2"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27 февраля 1935 года, Политбюро ЦК ВКП(б) было утверждено постановление Совета Труда и Обороны (СТО) СССР «О подготовке и проведении перелета т. Леваневского», в котором, в частности, говорилось:</w:t>
      </w:r>
    </w:p>
    <w:p w14:paraId="6D84951E"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«1. Принять предложение т. Леваневского о перелете летом (июль) 1935 года без посадки по маршруту Москва – Сан-Франциско, через Северный Полюс, на самолете РД.</w:t>
      </w:r>
    </w:p>
    <w:p w14:paraId="125994DD"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2. Обязать Наркомтяжпром, под ответственность т. Оржоникидзе, произвести необходимые переделки в самолете РД для указанного перелета и обеспечить самолет моторами М-34 для испытания и перелета.</w:t>
      </w:r>
    </w:p>
    <w:p w14:paraId="11B0AA98"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3. Обязать НКОбороны, под ответственность т. Ворошилова, организовать тренировку и подготовку экипажа для перелета и обеспечения самого перелета радиосвязью и метеорологическим обслуживанием.</w:t>
      </w:r>
    </w:p>
    <w:p w14:paraId="418D478F"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4. Возложить общее руководство подготовкой перелета и осуществление его на т. Ворошилова и т. Орджоникидзе, а непосредственное руководство подготовкой и перелетом на начальника УВС РККА т. Алксниса.</w:t>
      </w:r>
    </w:p>
    <w:p w14:paraId="63FF1795"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Подчинить командира самолета т. Леваневского на весь период подготовки и проведения перелета т. Алкснис.</w:t>
      </w:r>
    </w:p>
    <w:p w14:paraId="4C3898C7"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5. Утвердить экипаж для перелета в следующем составе:</w:t>
      </w:r>
    </w:p>
    <w:p w14:paraId="3249E87B"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Командиром экипажа и первым летчиком – т. (С.А.) Леваневского;</w:t>
      </w:r>
    </w:p>
    <w:p w14:paraId="58687685"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Штурманом – флаг-штурмана Черного моря – т. (В.И.) Левченко;</w:t>
      </w:r>
    </w:p>
    <w:p w14:paraId="3A97C33A"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Вторым летчиком – слушателя Военно-воздушной академии – т. (Г.Ф.) Байдукова;</w:t>
      </w:r>
    </w:p>
    <w:p w14:paraId="6B296C06"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Запасным штурманом – зав. штурманской кафедры Военно-воздушной академии – т. (А.В.) Беляков;</w:t>
      </w:r>
    </w:p>
    <w:p w14:paraId="2F2207DC"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Запасным летчиком – командира отдельного отряда Балтморя – т. (М.В.) Гуревич.</w:t>
      </w:r>
    </w:p>
    <w:p w14:paraId="47944921"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Техническое обслуживание, подготовку и оборудование самолета для перелета возложить на инженера Испытательной станции ЦАГИ т. (Е.К.) Стоман, авиатехника той же станции т. (В.И.) Бердник, авиатехника Полтавской школы Осоавиахима т. Шабота» (21249).</w:t>
      </w:r>
    </w:p>
    <w:p w14:paraId="1EC65866"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Весьма необычно описывал в мемуарах спустя 50 лет свое назначение вторым пилотом в экипаж Леваневского Георгий Филиппович Байдуков:</w:t>
      </w:r>
    </w:p>
    <w:p w14:paraId="3A39F9A0"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«Я тогда учился в Военно-воздушной академии имени профессора Н.Е. Жуковского на инженерном факультете. Во время весенней экзаменационной сессии было объявлено постановление СТО о включении меня в состав экипажа С.А. Леваневского в качестве сменного пилота … для перелета на самолете АНТ-25 в 1935 г. из Москвы в Сан-Франциско (США) через Северный полюс. Это решение меня очень смутило, так как я никогда не интересовался ни Арктикой, ни Америкой, не знал самолета АНТ-25 и не был знаком с Леваневским, но как человек военный, я был обязан безоговорочно выполнять решения старших командиров и, тем более, СТО СССР.</w:t>
      </w:r>
    </w:p>
    <w:p w14:paraId="5D2A4E48"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Леваневский рассказал мне, что он мечтает установить постоянную воздушную линию между Москвой и США по кратчайшему расстоянию…</w:t>
      </w:r>
    </w:p>
    <w:p w14:paraId="3B0A1439"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Я спросил: «А кто вам рекомендовал меня?»</w:t>
      </w:r>
    </w:p>
    <w:p w14:paraId="0CB6900C" w14:textId="77777777" w:rsidR="00481A9F" w:rsidRPr="00E14102" w:rsidRDefault="00481A9F" w:rsidP="00E14102">
      <w:pPr>
        <w:shd w:val="clear" w:color="auto" w:fill="FFFFFF"/>
        <w:jc w:val="both"/>
        <w:textAlignment w:val="baseline"/>
        <w:rPr>
          <w:color w:val="0070C0"/>
          <w:sz w:val="16"/>
          <w:szCs w:val="16"/>
        </w:rPr>
      </w:pPr>
      <w:r w:rsidRPr="00E14102">
        <w:rPr>
          <w:color w:val="0070C0"/>
          <w:sz w:val="16"/>
          <w:szCs w:val="16"/>
        </w:rPr>
        <w:t>- Во-первых, начальник ВВС Алкснис, во-вторых, командир эскадрильи авиабригады НИИ ВВС Юмашев, а, в-третьих, начальник штурманской кафедры академии им. Н.Е. Жуковского Беляков, с которым вы летали вместе в прошлом году в европейские страны. Они считают, что вы один из лучших в стране специалистов по «слепым» полетам, а на нашем маршруте, как я полагаю, пилотирование по приборам, вне видимости земли, будет обычным явлением» (21249).</w:t>
      </w:r>
    </w:p>
    <w:p w14:paraId="52C0DED2" w14:textId="77777777" w:rsidR="00481A9F" w:rsidRPr="00E14102" w:rsidRDefault="00481A9F" w:rsidP="00E14102">
      <w:pPr>
        <w:shd w:val="clear" w:color="auto" w:fill="FFFFFF"/>
        <w:jc w:val="both"/>
        <w:textAlignment w:val="baseline"/>
        <w:rPr>
          <w:color w:val="0070C0"/>
          <w:sz w:val="16"/>
          <w:szCs w:val="16"/>
        </w:rPr>
      </w:pPr>
    </w:p>
    <w:p w14:paraId="4C30FC8C" w14:textId="77777777" w:rsidR="00481A9F" w:rsidRPr="00E14102" w:rsidRDefault="00481A9F" w:rsidP="00E14102">
      <w:pPr>
        <w:jc w:val="both"/>
        <w:rPr>
          <w:color w:val="0070C0"/>
          <w:sz w:val="16"/>
          <w:szCs w:val="16"/>
        </w:rPr>
      </w:pPr>
      <w:r w:rsidRPr="00E14102">
        <w:rPr>
          <w:color w:val="0070C0"/>
          <w:sz w:val="16"/>
          <w:szCs w:val="16"/>
        </w:rPr>
        <w:t>27 февраля 1935 опросом членов ПБ</w:t>
      </w:r>
    </w:p>
    <w:p w14:paraId="0E557409" w14:textId="77777777" w:rsidR="00481A9F" w:rsidRPr="00E14102" w:rsidRDefault="00481A9F" w:rsidP="00E14102">
      <w:pPr>
        <w:jc w:val="both"/>
        <w:rPr>
          <w:color w:val="0070C0"/>
          <w:sz w:val="16"/>
          <w:szCs w:val="16"/>
        </w:rPr>
      </w:pPr>
      <w:r w:rsidRPr="00E14102">
        <w:rPr>
          <w:color w:val="0070C0"/>
          <w:sz w:val="16"/>
          <w:szCs w:val="16"/>
        </w:rPr>
        <w:t>20.- О подготовке и проведении перелета т. Леваневского,</w:t>
      </w:r>
    </w:p>
    <w:p w14:paraId="7F512354" w14:textId="77777777" w:rsidR="00481A9F" w:rsidRPr="00E14102" w:rsidRDefault="00481A9F" w:rsidP="00E14102">
      <w:pPr>
        <w:jc w:val="both"/>
        <w:rPr>
          <w:color w:val="0070C0"/>
          <w:sz w:val="16"/>
          <w:szCs w:val="16"/>
        </w:rPr>
      </w:pPr>
      <w:r w:rsidRPr="00E14102">
        <w:rPr>
          <w:color w:val="0070C0"/>
          <w:sz w:val="16"/>
          <w:szCs w:val="16"/>
        </w:rPr>
        <w:t>(ПБ от 26.1.1935 г ., Пр. № 20, п. 133).</w:t>
      </w:r>
    </w:p>
    <w:p w14:paraId="66C55835" w14:textId="77777777" w:rsidR="00481A9F" w:rsidRPr="00E14102" w:rsidRDefault="00481A9F" w:rsidP="00E14102">
      <w:pPr>
        <w:jc w:val="both"/>
        <w:rPr>
          <w:color w:val="0070C0"/>
          <w:sz w:val="16"/>
          <w:szCs w:val="16"/>
        </w:rPr>
      </w:pPr>
      <w:r w:rsidRPr="00E14102">
        <w:rPr>
          <w:color w:val="0070C0"/>
          <w:sz w:val="16"/>
          <w:szCs w:val="16"/>
        </w:rPr>
        <w:t>Утвердить проект постановления СТО (см. приложение).</w:t>
      </w:r>
    </w:p>
    <w:p w14:paraId="3BD5CB7C" w14:textId="77777777" w:rsidR="00481A9F" w:rsidRPr="00E14102" w:rsidRDefault="00481A9F" w:rsidP="00E14102">
      <w:pPr>
        <w:jc w:val="both"/>
        <w:rPr>
          <w:color w:val="0070C0"/>
          <w:sz w:val="16"/>
          <w:szCs w:val="16"/>
        </w:rPr>
      </w:pPr>
      <w:r w:rsidRPr="00E14102">
        <w:rPr>
          <w:color w:val="0070C0"/>
          <w:sz w:val="16"/>
          <w:szCs w:val="16"/>
        </w:rPr>
        <w:lastRenderedPageBreak/>
        <w:t>ПРИЛОЖЕНИЕ</w:t>
      </w:r>
    </w:p>
    <w:p w14:paraId="13EC32E9" w14:textId="77777777" w:rsidR="00481A9F" w:rsidRPr="00E14102" w:rsidRDefault="00481A9F" w:rsidP="00E14102">
      <w:pPr>
        <w:jc w:val="both"/>
        <w:rPr>
          <w:color w:val="0070C0"/>
          <w:sz w:val="16"/>
          <w:szCs w:val="16"/>
        </w:rPr>
      </w:pPr>
      <w:r w:rsidRPr="00E14102">
        <w:rPr>
          <w:color w:val="0070C0"/>
          <w:sz w:val="16"/>
          <w:szCs w:val="16"/>
        </w:rPr>
        <w:t>к п. 20 (о.п.) пр. ПБ 22.</w:t>
      </w:r>
    </w:p>
    <w:p w14:paraId="6769C678" w14:textId="77777777" w:rsidR="00481A9F" w:rsidRPr="00E14102" w:rsidRDefault="00481A9F" w:rsidP="00E14102">
      <w:pPr>
        <w:jc w:val="both"/>
        <w:rPr>
          <w:color w:val="0070C0"/>
          <w:sz w:val="16"/>
          <w:szCs w:val="16"/>
        </w:rPr>
      </w:pPr>
      <w:r w:rsidRPr="00E14102">
        <w:rPr>
          <w:color w:val="0070C0"/>
          <w:sz w:val="16"/>
          <w:szCs w:val="16"/>
        </w:rPr>
        <w:t>Постановление Совета Труда и Обороны</w:t>
      </w:r>
      <w:r w:rsidRPr="00E14102">
        <w:rPr>
          <w:color w:val="0070C0"/>
          <w:sz w:val="16"/>
          <w:szCs w:val="16"/>
        </w:rPr>
        <w:tab/>
        <w:t>СССР</w:t>
      </w:r>
    </w:p>
    <w:p w14:paraId="5FEFE1C7" w14:textId="77777777" w:rsidR="00481A9F" w:rsidRPr="00E14102" w:rsidRDefault="00481A9F" w:rsidP="00E14102">
      <w:pPr>
        <w:jc w:val="both"/>
        <w:rPr>
          <w:color w:val="0070C0"/>
          <w:sz w:val="16"/>
          <w:szCs w:val="16"/>
        </w:rPr>
      </w:pPr>
      <w:r w:rsidRPr="00E14102">
        <w:rPr>
          <w:color w:val="0070C0"/>
          <w:sz w:val="16"/>
          <w:szCs w:val="16"/>
        </w:rPr>
        <w:t>(Утверждено Политбюро ЦК ВКП(б) 27 февраля 1935 года).</w:t>
      </w:r>
    </w:p>
    <w:p w14:paraId="10B5769F" w14:textId="77777777" w:rsidR="00481A9F" w:rsidRPr="00E14102" w:rsidRDefault="00481A9F" w:rsidP="00E14102">
      <w:pPr>
        <w:jc w:val="both"/>
        <w:rPr>
          <w:color w:val="0070C0"/>
          <w:sz w:val="16"/>
          <w:szCs w:val="16"/>
        </w:rPr>
      </w:pPr>
      <w:r w:rsidRPr="00E14102">
        <w:rPr>
          <w:color w:val="0070C0"/>
          <w:sz w:val="16"/>
          <w:szCs w:val="16"/>
        </w:rPr>
        <w:t>Совет Торда и Обороны постановляет:</w:t>
      </w:r>
    </w:p>
    <w:p w14:paraId="1C9477BF" w14:textId="77777777" w:rsidR="00481A9F" w:rsidRPr="00E14102" w:rsidRDefault="00481A9F" w:rsidP="00E14102">
      <w:pPr>
        <w:jc w:val="both"/>
        <w:rPr>
          <w:color w:val="0070C0"/>
          <w:sz w:val="16"/>
          <w:szCs w:val="16"/>
        </w:rPr>
      </w:pPr>
      <w:r w:rsidRPr="00E14102">
        <w:rPr>
          <w:color w:val="0070C0"/>
          <w:sz w:val="16"/>
          <w:szCs w:val="16"/>
        </w:rPr>
        <w:t>1. Принять предложение т.Леваневского о перелете летом (июль) 1935 года без посадки по маршруту Москва-Сан-Францпско, через Северный Полюс, па самолете Р.Д.</w:t>
      </w:r>
    </w:p>
    <w:p w14:paraId="06C2A6E4" w14:textId="77777777" w:rsidR="00481A9F" w:rsidRPr="00E14102" w:rsidRDefault="00481A9F" w:rsidP="00E14102">
      <w:pPr>
        <w:jc w:val="both"/>
        <w:rPr>
          <w:color w:val="0070C0"/>
          <w:sz w:val="16"/>
          <w:szCs w:val="16"/>
        </w:rPr>
      </w:pPr>
      <w:r w:rsidRPr="00E14102">
        <w:rPr>
          <w:color w:val="0070C0"/>
          <w:sz w:val="16"/>
          <w:szCs w:val="16"/>
        </w:rPr>
        <w:t>2. 0бязать Наркомтяжпрои, под ответственность т. Орджони</w:t>
      </w:r>
      <w:r w:rsidRPr="00E14102">
        <w:rPr>
          <w:color w:val="0070C0"/>
          <w:sz w:val="16"/>
          <w:szCs w:val="16"/>
        </w:rPr>
        <w:softHyphen/>
        <w:t>кидзе, произвести необходимые переделки в самолете Р.Д. для указанного перелета и обеспечить самолет моторами М34 для испы</w:t>
      </w:r>
      <w:r w:rsidRPr="00E14102">
        <w:rPr>
          <w:color w:val="0070C0"/>
          <w:sz w:val="16"/>
          <w:szCs w:val="16"/>
        </w:rPr>
        <w:softHyphen/>
        <w:t>тания и перелета.</w:t>
      </w:r>
    </w:p>
    <w:p w14:paraId="74893DC2" w14:textId="77777777" w:rsidR="00481A9F" w:rsidRPr="00E14102" w:rsidRDefault="00481A9F" w:rsidP="00E14102">
      <w:pPr>
        <w:jc w:val="both"/>
        <w:rPr>
          <w:color w:val="0070C0"/>
          <w:sz w:val="16"/>
          <w:szCs w:val="16"/>
        </w:rPr>
      </w:pPr>
      <w:r w:rsidRPr="00E14102">
        <w:rPr>
          <w:color w:val="0070C0"/>
          <w:sz w:val="16"/>
          <w:szCs w:val="16"/>
        </w:rPr>
        <w:t>3. Обязат НКОбороны, под ответственность т. Ворошилова, организовать тренировку и подготовку экипажа для перелета и обес</w:t>
      </w:r>
      <w:r w:rsidRPr="00E14102">
        <w:rPr>
          <w:color w:val="0070C0"/>
          <w:sz w:val="16"/>
          <w:szCs w:val="16"/>
        </w:rPr>
        <w:softHyphen/>
        <w:t>печение самого перелета радиосвязью и метеорологическим обслу</w:t>
      </w:r>
      <w:r w:rsidRPr="00E14102">
        <w:rPr>
          <w:color w:val="0070C0"/>
          <w:sz w:val="16"/>
          <w:szCs w:val="16"/>
        </w:rPr>
        <w:softHyphen/>
        <w:t>живанием.</w:t>
      </w:r>
    </w:p>
    <w:p w14:paraId="50133FE0" w14:textId="77777777" w:rsidR="00481A9F" w:rsidRPr="00E14102" w:rsidRDefault="00481A9F" w:rsidP="00E14102">
      <w:pPr>
        <w:jc w:val="both"/>
        <w:rPr>
          <w:color w:val="0070C0"/>
          <w:sz w:val="16"/>
          <w:szCs w:val="16"/>
        </w:rPr>
      </w:pPr>
      <w:r w:rsidRPr="00E14102">
        <w:rPr>
          <w:color w:val="0070C0"/>
          <w:sz w:val="16"/>
          <w:szCs w:val="16"/>
        </w:rPr>
        <w:t>4. Возложить общее руководство подготовкой перелета и осущсствлением его на т. Ворошилова и т. Орджоникидзе, а непосред</w:t>
      </w:r>
      <w:r w:rsidRPr="00E14102">
        <w:rPr>
          <w:color w:val="0070C0"/>
          <w:sz w:val="16"/>
          <w:szCs w:val="16"/>
        </w:rPr>
        <w:softHyphen/>
        <w:t>ственное руководство подготовкой и перелетом на начальника ВВС т. Алкснис.</w:t>
      </w:r>
    </w:p>
    <w:p w14:paraId="0D864CB8" w14:textId="77777777" w:rsidR="00481A9F" w:rsidRPr="00E14102" w:rsidRDefault="00481A9F" w:rsidP="00E14102">
      <w:pPr>
        <w:jc w:val="both"/>
        <w:rPr>
          <w:color w:val="0070C0"/>
          <w:sz w:val="16"/>
          <w:szCs w:val="16"/>
        </w:rPr>
      </w:pPr>
      <w:r w:rsidRPr="00E14102">
        <w:rPr>
          <w:color w:val="0070C0"/>
          <w:sz w:val="16"/>
          <w:szCs w:val="16"/>
        </w:rPr>
        <w:t>Подчинить командира самолета т. Леваневского на весь период подготовки и проведения перелета т. Алкснис.</w:t>
      </w:r>
    </w:p>
    <w:p w14:paraId="7439E83C" w14:textId="77777777" w:rsidR="00481A9F" w:rsidRPr="00E14102" w:rsidRDefault="00481A9F" w:rsidP="00E14102">
      <w:pPr>
        <w:jc w:val="both"/>
        <w:rPr>
          <w:color w:val="0070C0"/>
          <w:sz w:val="16"/>
          <w:szCs w:val="16"/>
        </w:rPr>
      </w:pPr>
      <w:r w:rsidRPr="00E14102">
        <w:rPr>
          <w:color w:val="0070C0"/>
          <w:sz w:val="16"/>
          <w:szCs w:val="16"/>
        </w:rPr>
        <w:t>5. Утвердить экипаж для перелета в следующем составе: Командиром экипажа и первым летчиком - т.Леваневского;</w:t>
      </w:r>
    </w:p>
    <w:p w14:paraId="6C8F4B3E" w14:textId="77777777" w:rsidR="00481A9F" w:rsidRPr="00E14102" w:rsidRDefault="00481A9F" w:rsidP="00E14102">
      <w:pPr>
        <w:jc w:val="both"/>
        <w:rPr>
          <w:color w:val="0070C0"/>
          <w:sz w:val="16"/>
          <w:szCs w:val="16"/>
        </w:rPr>
      </w:pPr>
      <w:r w:rsidRPr="00E14102">
        <w:rPr>
          <w:color w:val="0070C0"/>
          <w:sz w:val="16"/>
          <w:szCs w:val="16"/>
        </w:rPr>
        <w:t>штурманом - флаг-штурмана Черного моря - т. Левченко;</w:t>
      </w:r>
    </w:p>
    <w:p w14:paraId="504676B1" w14:textId="77777777" w:rsidR="00481A9F" w:rsidRPr="00E14102" w:rsidRDefault="00481A9F" w:rsidP="00E14102">
      <w:pPr>
        <w:jc w:val="both"/>
        <w:rPr>
          <w:color w:val="0070C0"/>
          <w:sz w:val="16"/>
          <w:szCs w:val="16"/>
        </w:rPr>
      </w:pPr>
      <w:r w:rsidRPr="00E14102">
        <w:rPr>
          <w:color w:val="0070C0"/>
          <w:sz w:val="16"/>
          <w:szCs w:val="16"/>
        </w:rPr>
        <w:t>Вторым» летчиком - слушателя военно-воздушной Академии - т. Байдукова;</w:t>
      </w:r>
    </w:p>
    <w:p w14:paraId="3A44572B" w14:textId="77777777" w:rsidR="00481A9F" w:rsidRPr="00E14102" w:rsidRDefault="00481A9F" w:rsidP="00E14102">
      <w:pPr>
        <w:jc w:val="both"/>
        <w:rPr>
          <w:color w:val="0070C0"/>
          <w:sz w:val="16"/>
          <w:szCs w:val="16"/>
        </w:rPr>
      </w:pPr>
      <w:r w:rsidRPr="00E14102">
        <w:rPr>
          <w:color w:val="0070C0"/>
          <w:sz w:val="16"/>
          <w:szCs w:val="16"/>
        </w:rPr>
        <w:t>Запасным штурманом - зав. штурманской кафедры Военно-Воз</w:t>
      </w:r>
      <w:r w:rsidRPr="00E14102">
        <w:rPr>
          <w:color w:val="0070C0"/>
          <w:sz w:val="16"/>
          <w:szCs w:val="16"/>
        </w:rPr>
        <w:softHyphen/>
        <w:t>душной Академии - т. Белякова;</w:t>
      </w:r>
    </w:p>
    <w:p w14:paraId="6AD0D18E" w14:textId="77777777" w:rsidR="00481A9F" w:rsidRPr="00E14102" w:rsidRDefault="00481A9F" w:rsidP="00E14102">
      <w:pPr>
        <w:jc w:val="both"/>
        <w:rPr>
          <w:color w:val="0070C0"/>
          <w:sz w:val="16"/>
          <w:szCs w:val="16"/>
        </w:rPr>
      </w:pPr>
      <w:r w:rsidRPr="00E14102">
        <w:rPr>
          <w:color w:val="0070C0"/>
          <w:sz w:val="16"/>
          <w:szCs w:val="16"/>
        </w:rPr>
        <w:t>Запасным летчиком - командира Отдельного отряда Балтморя - т. Гуревич.</w:t>
      </w:r>
    </w:p>
    <w:p w14:paraId="6804129E" w14:textId="77777777" w:rsidR="00481A9F" w:rsidRPr="00E14102" w:rsidRDefault="00481A9F" w:rsidP="00E14102">
      <w:pPr>
        <w:jc w:val="both"/>
        <w:rPr>
          <w:color w:val="0070C0"/>
          <w:sz w:val="16"/>
          <w:szCs w:val="16"/>
        </w:rPr>
      </w:pPr>
      <w:r w:rsidRPr="00E14102">
        <w:rPr>
          <w:color w:val="0070C0"/>
          <w:sz w:val="16"/>
          <w:szCs w:val="16"/>
        </w:rPr>
        <w:t>Техническое обслуживание, подготовку и оборудование само</w:t>
      </w:r>
      <w:r w:rsidRPr="00E14102">
        <w:rPr>
          <w:color w:val="0070C0"/>
          <w:sz w:val="16"/>
          <w:szCs w:val="16"/>
        </w:rPr>
        <w:softHyphen/>
        <w:t>лета перелета возложить. на инженера Испытательной Станции ЦАГН т. Стеган, авиатехника той же станции т. Бердник, авиатехни</w:t>
      </w:r>
      <w:r w:rsidRPr="00E14102">
        <w:rPr>
          <w:color w:val="0070C0"/>
          <w:sz w:val="16"/>
          <w:szCs w:val="16"/>
        </w:rPr>
        <w:softHyphen/>
        <w:t>ка Полтавской Школы Осоавнахима - т. Шабота.</w:t>
      </w:r>
    </w:p>
    <w:p w14:paraId="7F4B3619" w14:textId="77777777" w:rsidR="00481A9F" w:rsidRPr="00E14102" w:rsidRDefault="00481A9F" w:rsidP="00E14102">
      <w:pPr>
        <w:jc w:val="both"/>
        <w:rPr>
          <w:color w:val="0070C0"/>
          <w:sz w:val="16"/>
          <w:szCs w:val="16"/>
        </w:rPr>
      </w:pPr>
      <w:r w:rsidRPr="00E14102">
        <w:rPr>
          <w:color w:val="0070C0"/>
          <w:sz w:val="16"/>
          <w:szCs w:val="16"/>
        </w:rPr>
        <w:t>6. Экипаж и технический состав, перечисленный выше, немед</w:t>
      </w:r>
      <w:r w:rsidRPr="00E14102">
        <w:rPr>
          <w:color w:val="0070C0"/>
          <w:sz w:val="16"/>
          <w:szCs w:val="16"/>
        </w:rPr>
        <w:softHyphen/>
        <w:t>ленно освободить от всех других обязанностей и использовать только для подготовки к перелету.</w:t>
      </w:r>
    </w:p>
    <w:p w14:paraId="03676335" w14:textId="77777777" w:rsidR="00481A9F" w:rsidRPr="00E14102" w:rsidRDefault="00481A9F" w:rsidP="00E14102">
      <w:pPr>
        <w:jc w:val="both"/>
        <w:rPr>
          <w:color w:val="0070C0"/>
          <w:sz w:val="16"/>
          <w:szCs w:val="16"/>
        </w:rPr>
      </w:pPr>
      <w:r w:rsidRPr="00E14102">
        <w:rPr>
          <w:color w:val="0070C0"/>
          <w:sz w:val="16"/>
          <w:szCs w:val="16"/>
        </w:rPr>
        <w:t>7. На командира самолета т. Леваневского н подчиненный ему экипаж и техническнй состав, перечисленный выше, возложить всю полноту ответственности за техническую подготовку и фактическую готовность самолета ко всем полетам (предварительные, испытательные, рекордный), за грамотную эксплоатацию самолета в полете и за подготовку самого полета и самолета в отношениях: штурман</w:t>
      </w:r>
      <w:r w:rsidRPr="00E14102">
        <w:rPr>
          <w:color w:val="0070C0"/>
          <w:sz w:val="16"/>
          <w:szCs w:val="16"/>
        </w:rPr>
        <w:softHyphen/>
        <w:t>ском, связи и аэрометеорологичсском.</w:t>
      </w:r>
    </w:p>
    <w:p w14:paraId="3055A120" w14:textId="77777777" w:rsidR="00481A9F" w:rsidRPr="00E14102" w:rsidRDefault="00481A9F" w:rsidP="00E14102">
      <w:pPr>
        <w:jc w:val="both"/>
        <w:rPr>
          <w:color w:val="0070C0"/>
          <w:sz w:val="16"/>
          <w:szCs w:val="16"/>
        </w:rPr>
      </w:pPr>
      <w:r w:rsidRPr="00E14102">
        <w:rPr>
          <w:color w:val="0070C0"/>
          <w:sz w:val="16"/>
          <w:szCs w:val="16"/>
        </w:rPr>
        <w:t>8. Административно-хозяйственную и техническую подготовку к перелету на Центральном аэродроме возложить на ЦАГИ, на аэро</w:t>
      </w:r>
      <w:r w:rsidRPr="00E14102">
        <w:rPr>
          <w:color w:val="0070C0"/>
          <w:sz w:val="16"/>
          <w:szCs w:val="16"/>
        </w:rPr>
        <w:softHyphen/>
        <w:t>дроме Щелково - на Научпо-Испытательны институт ВС РККА.</w:t>
      </w:r>
    </w:p>
    <w:p w14:paraId="60131D4B" w14:textId="77777777" w:rsidR="00481A9F" w:rsidRPr="00E14102" w:rsidRDefault="00481A9F" w:rsidP="00E14102">
      <w:pPr>
        <w:jc w:val="both"/>
        <w:rPr>
          <w:color w:val="0070C0"/>
          <w:sz w:val="16"/>
          <w:szCs w:val="16"/>
        </w:rPr>
      </w:pPr>
      <w:r w:rsidRPr="00E14102">
        <w:rPr>
          <w:color w:val="0070C0"/>
          <w:sz w:val="16"/>
          <w:szCs w:val="16"/>
        </w:rPr>
        <w:t>9. Отпустить на подготовку и проведепие перелета из резерв</w:t>
      </w:r>
      <w:r w:rsidRPr="00E14102">
        <w:rPr>
          <w:color w:val="0070C0"/>
          <w:sz w:val="16"/>
          <w:szCs w:val="16"/>
        </w:rPr>
        <w:softHyphen/>
        <w:t>ного флнда Совнаркома Союза 1.600.000 рублей в совзнаках и 55.000 в инвалюте, согласно прилагаемой сметы.</w:t>
      </w:r>
    </w:p>
    <w:p w14:paraId="5857A9D3" w14:textId="77777777" w:rsidR="00481A9F" w:rsidRPr="00E14102" w:rsidRDefault="00481A9F" w:rsidP="00E14102">
      <w:pPr>
        <w:jc w:val="both"/>
        <w:rPr>
          <w:color w:val="0070C0"/>
          <w:sz w:val="16"/>
          <w:szCs w:val="16"/>
        </w:rPr>
      </w:pPr>
      <w:r w:rsidRPr="00E14102">
        <w:rPr>
          <w:color w:val="0070C0"/>
          <w:sz w:val="16"/>
          <w:szCs w:val="16"/>
        </w:rPr>
        <w:t>Списки посланы: т.т. Ворошилову, Орджоникидзе, Болотову, Алкснису.</w:t>
      </w:r>
    </w:p>
    <w:p w14:paraId="361AECDA" w14:textId="77777777" w:rsidR="00481A9F" w:rsidRPr="00E14102" w:rsidRDefault="00481A9F" w:rsidP="00E14102">
      <w:pPr>
        <w:jc w:val="both"/>
        <w:rPr>
          <w:color w:val="0070C0"/>
          <w:sz w:val="16"/>
          <w:szCs w:val="16"/>
        </w:rPr>
      </w:pPr>
      <w:r w:rsidRPr="00E14102">
        <w:rPr>
          <w:color w:val="0070C0"/>
          <w:sz w:val="16"/>
          <w:szCs w:val="16"/>
        </w:rPr>
        <w:t>5 марта 1935 состоялось заседание ПБ и подписан протокол № 22 (22927).</w:t>
      </w:r>
    </w:p>
    <w:p w14:paraId="41FD41EF" w14:textId="77777777" w:rsidR="00481A9F" w:rsidRPr="00E14102" w:rsidRDefault="00481A9F" w:rsidP="00E14102">
      <w:pPr>
        <w:jc w:val="both"/>
        <w:rPr>
          <w:color w:val="0070C0"/>
          <w:sz w:val="16"/>
          <w:szCs w:val="16"/>
        </w:rPr>
      </w:pPr>
    </w:p>
    <w:p w14:paraId="113406B7" w14:textId="77777777" w:rsidR="00FF07E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3F26304" w14:textId="77777777" w:rsidR="00FF07E2" w:rsidRPr="00E14102" w:rsidRDefault="00FF07E2" w:rsidP="00E14102">
      <w:pPr>
        <w:autoSpaceDE w:val="0"/>
        <w:autoSpaceDN w:val="0"/>
        <w:adjustRightInd w:val="0"/>
        <w:jc w:val="both"/>
        <w:rPr>
          <w:color w:val="000000" w:themeColor="text1"/>
          <w:sz w:val="16"/>
          <w:szCs w:val="16"/>
        </w:rPr>
      </w:pPr>
    </w:p>
    <w:p w14:paraId="54CD3D56" w14:textId="77777777" w:rsidR="00F64F2C" w:rsidRPr="00E14102" w:rsidRDefault="00F64F2C" w:rsidP="00E14102">
      <w:pPr>
        <w:jc w:val="both"/>
        <w:rPr>
          <w:bCs/>
          <w:color w:val="000000" w:themeColor="text1"/>
          <w:sz w:val="16"/>
          <w:szCs w:val="16"/>
        </w:rPr>
      </w:pPr>
      <w:r w:rsidRPr="00E14102">
        <w:rPr>
          <w:color w:val="000000" w:themeColor="text1"/>
          <w:sz w:val="16"/>
          <w:szCs w:val="16"/>
        </w:rPr>
        <w:t>27 февраля 1935 г. решение Политбюро о перестановках на руководящих партийно-государственных постах. Судя по подлинному про</w:t>
      </w:r>
      <w:r w:rsidRPr="00E14102">
        <w:rPr>
          <w:color w:val="000000" w:themeColor="text1"/>
          <w:sz w:val="16"/>
          <w:szCs w:val="16"/>
        </w:rPr>
        <w:softHyphen/>
        <w:t>токолу, это важное постановление могло быть принято на встрече группы членов Политбюро. Сам оригинал постановле</w:t>
      </w:r>
      <w:r w:rsidRPr="00E14102">
        <w:rPr>
          <w:color w:val="000000" w:themeColor="text1"/>
          <w:sz w:val="16"/>
          <w:szCs w:val="16"/>
        </w:rPr>
        <w:softHyphen/>
        <w:t>ния был написан Поскребышевым (а, значит, скорее всего, продиктован Сталиным), после чего завизирован Сталиным. Под сталинской подписью одним тёмнокрасным карандашом расписались Каганович, Орджоникидзе, Молотов, Вороши</w:t>
      </w:r>
      <w:r w:rsidRPr="00E14102">
        <w:rPr>
          <w:color w:val="000000" w:themeColor="text1"/>
          <w:sz w:val="16"/>
          <w:szCs w:val="16"/>
        </w:rPr>
        <w:softHyphen/>
        <w:t>лов, Микоян. Калинин, как следует из секретарской пометки, был опрошен (видимо, по телефону). В соответствии с этим постановлением, член Политбюро А.А.Андреев был освобож</w:t>
      </w:r>
      <w:r w:rsidRPr="00E14102">
        <w:rPr>
          <w:color w:val="000000" w:themeColor="text1"/>
          <w:sz w:val="16"/>
          <w:szCs w:val="16"/>
        </w:rPr>
        <w:softHyphen/>
        <w:t>ден от поста наркома путей сообщения и назначен секретарем ЦК ВКП(б). На его место в Наркомат путей сообщения был переведен Л.М.Каганович, который сохранил пост секретаря ЦК, но был освобожден от обязанностей председателя Комис</w:t>
      </w:r>
      <w:r w:rsidRPr="00E14102">
        <w:rPr>
          <w:color w:val="000000" w:themeColor="text1"/>
          <w:sz w:val="16"/>
          <w:szCs w:val="16"/>
        </w:rPr>
        <w:softHyphen/>
        <w:t>сии партийного контроля при ЦК ВКП(б) и секретаря Мос</w:t>
      </w:r>
      <w:r w:rsidRPr="00E14102">
        <w:rPr>
          <w:color w:val="000000" w:themeColor="text1"/>
          <w:sz w:val="16"/>
          <w:szCs w:val="16"/>
        </w:rPr>
        <w:softHyphen/>
        <w:t>ковского областного комитета партии. Председателем Комис</w:t>
      </w:r>
      <w:r w:rsidRPr="00E14102">
        <w:rPr>
          <w:color w:val="000000" w:themeColor="text1"/>
          <w:sz w:val="16"/>
          <w:szCs w:val="16"/>
        </w:rPr>
        <w:softHyphen/>
        <w:t>сии партийного контроля вместо Кагановича был назначен Н.И.Ежов, ставший незадолго до этого также секретарем ЦК. Еще одну часть "наследства" Кагановича — пост секретаря московского обкома ВКП(б) — получил другой выдвиженец - Н.С.Хрущев (17307).</w:t>
      </w:r>
    </w:p>
    <w:p w14:paraId="60B6DE83" w14:textId="77777777" w:rsidR="00F64F2C" w:rsidRPr="00E14102" w:rsidRDefault="00F64F2C" w:rsidP="00E14102">
      <w:pPr>
        <w:jc w:val="both"/>
        <w:rPr>
          <w:bCs/>
          <w:color w:val="000000" w:themeColor="text1"/>
          <w:sz w:val="16"/>
          <w:szCs w:val="16"/>
        </w:rPr>
      </w:pPr>
    </w:p>
    <w:p w14:paraId="6283325C" w14:textId="77777777" w:rsidR="00FF07E2" w:rsidRPr="00E14102" w:rsidRDefault="00FF07E2" w:rsidP="00E14102">
      <w:pPr>
        <w:jc w:val="both"/>
        <w:rPr>
          <w:color w:val="000000" w:themeColor="text1"/>
          <w:sz w:val="16"/>
          <w:szCs w:val="16"/>
        </w:rPr>
      </w:pPr>
      <w:r w:rsidRPr="00E14102">
        <w:rPr>
          <w:bCs/>
          <w:color w:val="000000" w:themeColor="text1"/>
          <w:sz w:val="16"/>
          <w:szCs w:val="16"/>
        </w:rPr>
        <w:t>27 февраля</w:t>
      </w:r>
      <w:r w:rsidRPr="00E14102">
        <w:rPr>
          <w:color w:val="000000" w:themeColor="text1"/>
          <w:sz w:val="16"/>
          <w:szCs w:val="16"/>
        </w:rPr>
        <w:t xml:space="preserve"> в 1935 году управление НКВД по Ленинградской области издало циркуляр "О выселении контрреволюционного элемента из Ленинграда и пригородных районов". Согласно ему, выселению в течение месяца подлежали 10-12 тысяч человек, принадлежавших прежде к обеспеченным слоям Санкт-Петербургского общества (15053).</w:t>
      </w:r>
    </w:p>
    <w:p w14:paraId="5E2FED67" w14:textId="77777777" w:rsidR="00FF07E2" w:rsidRPr="00E14102" w:rsidRDefault="00FF07E2" w:rsidP="00E14102">
      <w:pPr>
        <w:jc w:val="both"/>
        <w:rPr>
          <w:color w:val="000000" w:themeColor="text1"/>
          <w:sz w:val="16"/>
          <w:szCs w:val="16"/>
        </w:rPr>
      </w:pPr>
    </w:p>
    <w:p w14:paraId="6FB37D8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3E3A093" w14:textId="77777777" w:rsidR="00D4105E" w:rsidRPr="00E14102" w:rsidRDefault="00D4105E" w:rsidP="00E14102">
      <w:pPr>
        <w:autoSpaceDE w:val="0"/>
        <w:autoSpaceDN w:val="0"/>
        <w:adjustRightInd w:val="0"/>
        <w:jc w:val="both"/>
        <w:rPr>
          <w:iCs/>
          <w:color w:val="000000" w:themeColor="text1"/>
          <w:sz w:val="16"/>
          <w:szCs w:val="16"/>
        </w:rPr>
      </w:pPr>
    </w:p>
    <w:p w14:paraId="5E93FD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февраля 1935 ЦАГИ писал письмо N 562с Нач. отдела интехпомощи с заявкой на К-14. Всего хотели 19 и в т.ч. для 3 ДБ-2 к 25 марта 1935 (2336,55).</w:t>
      </w:r>
    </w:p>
    <w:p w14:paraId="6E5F806F" w14:textId="77777777" w:rsidR="00D4105E" w:rsidRPr="00E14102" w:rsidRDefault="00D4105E" w:rsidP="00E14102">
      <w:pPr>
        <w:autoSpaceDE w:val="0"/>
        <w:autoSpaceDN w:val="0"/>
        <w:adjustRightInd w:val="0"/>
        <w:jc w:val="both"/>
        <w:rPr>
          <w:color w:val="000000" w:themeColor="text1"/>
          <w:sz w:val="16"/>
          <w:szCs w:val="16"/>
        </w:rPr>
      </w:pPr>
    </w:p>
    <w:p w14:paraId="26E08F32" w14:textId="77777777" w:rsidR="00EC326A" w:rsidRPr="00E14102" w:rsidRDefault="00EC326A" w:rsidP="00E14102">
      <w:pPr>
        <w:jc w:val="both"/>
        <w:rPr>
          <w:color w:val="0070C0"/>
          <w:sz w:val="16"/>
          <w:szCs w:val="16"/>
        </w:rPr>
      </w:pPr>
      <w:r w:rsidRPr="00E14102">
        <w:rPr>
          <w:color w:val="0070C0"/>
          <w:sz w:val="16"/>
          <w:szCs w:val="16"/>
        </w:rPr>
        <w:t>28 февраля 1935 Павел Осипович сообщил, что бригаде пришлось полностью переконструиро</w:t>
      </w:r>
      <w:r w:rsidRPr="00E14102">
        <w:rPr>
          <w:color w:val="0070C0"/>
          <w:sz w:val="16"/>
          <w:szCs w:val="16"/>
        </w:rPr>
        <w:softHyphen/>
        <w:t>вать весь самолет ДБ-1, и чертежи новой ма</w:t>
      </w:r>
      <w:r w:rsidRPr="00E14102">
        <w:rPr>
          <w:color w:val="0070C0"/>
          <w:sz w:val="16"/>
          <w:szCs w:val="16"/>
        </w:rPr>
        <w:softHyphen/>
        <w:t>шины готовы АНТ-37 на 70-75%. По его заявле</w:t>
      </w:r>
      <w:r w:rsidRPr="00E14102">
        <w:rPr>
          <w:color w:val="0070C0"/>
          <w:sz w:val="16"/>
          <w:szCs w:val="16"/>
        </w:rPr>
        <w:softHyphen/>
        <w:t>нию, сдача полного комплекта докумен</w:t>
      </w:r>
      <w:r w:rsidRPr="00E14102">
        <w:rPr>
          <w:color w:val="0070C0"/>
          <w:sz w:val="16"/>
          <w:szCs w:val="16"/>
        </w:rPr>
        <w:softHyphen/>
        <w:t>тации ожидалась не ранее 1 апреля. Так как выкатка АНТ-37 на аэродром уже была запланирована на 15 июня, а предъявле</w:t>
      </w:r>
      <w:r w:rsidRPr="00E14102">
        <w:rPr>
          <w:color w:val="0070C0"/>
          <w:sz w:val="16"/>
          <w:szCs w:val="16"/>
        </w:rPr>
        <w:softHyphen/>
        <w:t>ние его на государственные испытания — на 15 июля 1935 г., то понятно, что теперь все «закрутилось»: появились сверхуроч</w:t>
      </w:r>
      <w:r w:rsidRPr="00E14102">
        <w:rPr>
          <w:color w:val="0070C0"/>
          <w:sz w:val="16"/>
          <w:szCs w:val="16"/>
        </w:rPr>
        <w:softHyphen/>
        <w:t>ные, вторая смена и прочие атрибуты спешной деятельности.</w:t>
      </w:r>
    </w:p>
    <w:p w14:paraId="0FE22910" w14:textId="77777777" w:rsidR="00EC326A" w:rsidRPr="00E14102" w:rsidRDefault="00EC326A" w:rsidP="00E14102">
      <w:pPr>
        <w:jc w:val="both"/>
        <w:rPr>
          <w:color w:val="0070C0"/>
          <w:sz w:val="16"/>
          <w:szCs w:val="16"/>
        </w:rPr>
      </w:pPr>
      <w:r w:rsidRPr="00E14102">
        <w:rPr>
          <w:color w:val="0070C0"/>
          <w:sz w:val="16"/>
          <w:szCs w:val="16"/>
        </w:rPr>
        <w:t>В соответствии с подготовленными тактико-техническими требованиями, ДБ-2 (АНТ-37) определялся как дальний бомбардировщик, способный нести 1000 кг бомб на расстояние 5000 км со скоростью 250 км/ч (впоследствии ее увеличили до 300-320 км/ч).</w:t>
      </w:r>
    </w:p>
    <w:p w14:paraId="724E119E" w14:textId="77777777" w:rsidR="00EC326A" w:rsidRPr="00E14102" w:rsidRDefault="00EC326A" w:rsidP="00E14102">
      <w:pPr>
        <w:jc w:val="both"/>
        <w:rPr>
          <w:color w:val="0070C0"/>
          <w:sz w:val="16"/>
          <w:szCs w:val="16"/>
        </w:rPr>
      </w:pPr>
      <w:r w:rsidRPr="00E14102">
        <w:rPr>
          <w:color w:val="0070C0"/>
          <w:sz w:val="16"/>
          <w:szCs w:val="16"/>
        </w:rPr>
        <w:t>Самолет имел трехлонжеронное кры</w:t>
      </w:r>
      <w:r w:rsidRPr="00E14102">
        <w:rPr>
          <w:color w:val="0070C0"/>
          <w:sz w:val="16"/>
          <w:szCs w:val="16"/>
        </w:rPr>
        <w:softHyphen/>
        <w:t>ло с размахом 31,0 м и площадью 89,9 м2, которое в отличие от крыла АНТ-25 имело гладкую обшивку (у АНТ-25 гофрирован</w:t>
      </w:r>
      <w:r w:rsidRPr="00E14102">
        <w:rPr>
          <w:color w:val="0070C0"/>
          <w:sz w:val="16"/>
          <w:szCs w:val="16"/>
        </w:rPr>
        <w:softHyphen/>
        <w:t>ная обшивка крыла для снижения сопро</w:t>
      </w:r>
      <w:r w:rsidRPr="00E14102">
        <w:rPr>
          <w:color w:val="0070C0"/>
          <w:sz w:val="16"/>
          <w:szCs w:val="16"/>
        </w:rPr>
        <w:softHyphen/>
        <w:t>тивления была обтянута полотном). Топ</w:t>
      </w:r>
      <w:r w:rsidRPr="00E14102">
        <w:rPr>
          <w:color w:val="0070C0"/>
          <w:sz w:val="16"/>
          <w:szCs w:val="16"/>
        </w:rPr>
        <w:softHyphen/>
        <w:t>ливные баки, вмещающие 3800 л горюче</w:t>
      </w:r>
      <w:r w:rsidRPr="00E14102">
        <w:rPr>
          <w:color w:val="0070C0"/>
          <w:sz w:val="16"/>
          <w:szCs w:val="16"/>
        </w:rPr>
        <w:softHyphen/>
        <w:t>го, располагались в крыле между первым и вторым лонжеронами. Особенность ДБ-2 — второе управление в задней ка</w:t>
      </w:r>
      <w:r w:rsidRPr="00E14102">
        <w:rPr>
          <w:color w:val="0070C0"/>
          <w:sz w:val="16"/>
          <w:szCs w:val="16"/>
        </w:rPr>
        <w:softHyphen/>
        <w:t>бине, традиционно предназначенной для стрелка-радиста. Оборонительное во</w:t>
      </w:r>
      <w:r w:rsidRPr="00E14102">
        <w:rPr>
          <w:color w:val="0070C0"/>
          <w:sz w:val="16"/>
          <w:szCs w:val="16"/>
        </w:rPr>
        <w:softHyphen/>
        <w:t>оружение самолета включало три пуле</w:t>
      </w:r>
      <w:r w:rsidRPr="00E14102">
        <w:rPr>
          <w:color w:val="0070C0"/>
          <w:sz w:val="16"/>
          <w:szCs w:val="16"/>
        </w:rPr>
        <w:softHyphen/>
        <w:t>мета ШКАС калибром 7,62 мм, которые размещались на турели СП-4 в носовой поворачивающейся башне кабины штур</w:t>
      </w:r>
      <w:r w:rsidRPr="00E14102">
        <w:rPr>
          <w:color w:val="0070C0"/>
          <w:sz w:val="16"/>
          <w:szCs w:val="16"/>
        </w:rPr>
        <w:softHyphen/>
        <w:t>мана, а также на верхней турели ТУР-9 и в нижней люковой установке задней каби</w:t>
      </w:r>
      <w:r w:rsidRPr="00E14102">
        <w:rPr>
          <w:color w:val="0070C0"/>
          <w:sz w:val="16"/>
          <w:szCs w:val="16"/>
        </w:rPr>
        <w:softHyphen/>
        <w:t>ны. Основные убираемые в полете опоры шасси были оснащены спаренными коле</w:t>
      </w:r>
      <w:r w:rsidRPr="00E14102">
        <w:rPr>
          <w:color w:val="0070C0"/>
          <w:sz w:val="16"/>
          <w:szCs w:val="16"/>
        </w:rPr>
        <w:softHyphen/>
        <w:t>сами размером 900x200 мм. Хвостовая костыльная опора с колесом размером 470x300 мм в полете не убиралась. (22285).</w:t>
      </w:r>
    </w:p>
    <w:p w14:paraId="3806CD30" w14:textId="77777777" w:rsidR="00EC326A" w:rsidRPr="00E14102" w:rsidRDefault="00EC326A" w:rsidP="00E14102">
      <w:pPr>
        <w:jc w:val="both"/>
        <w:rPr>
          <w:color w:val="0070C0"/>
          <w:sz w:val="16"/>
          <w:szCs w:val="16"/>
        </w:rPr>
      </w:pPr>
    </w:p>
    <w:p w14:paraId="60CF22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февраля 1935 полностью завершилась передача чертежей СБ на завод 22, которая велась с 5 декабря 1934 (9393,2).</w:t>
      </w:r>
    </w:p>
    <w:p w14:paraId="05722689" w14:textId="77777777" w:rsidR="00D4105E" w:rsidRPr="00E14102" w:rsidRDefault="00D4105E" w:rsidP="00E14102">
      <w:pPr>
        <w:autoSpaceDE w:val="0"/>
        <w:autoSpaceDN w:val="0"/>
        <w:adjustRightInd w:val="0"/>
        <w:jc w:val="both"/>
        <w:rPr>
          <w:color w:val="000000" w:themeColor="text1"/>
          <w:sz w:val="16"/>
          <w:szCs w:val="16"/>
        </w:rPr>
      </w:pPr>
    </w:p>
    <w:p w14:paraId="538A641C" w14:textId="77777777" w:rsidR="00EC326A" w:rsidRPr="00E14102" w:rsidRDefault="00EC326A" w:rsidP="00E14102">
      <w:pPr>
        <w:jc w:val="both"/>
        <w:rPr>
          <w:color w:val="0070C0"/>
          <w:sz w:val="16"/>
          <w:szCs w:val="16"/>
        </w:rPr>
      </w:pPr>
      <w:r w:rsidRPr="00E14102">
        <w:rPr>
          <w:color w:val="0070C0"/>
          <w:sz w:val="16"/>
          <w:szCs w:val="16"/>
        </w:rPr>
        <w:t>28 февраля 1935 самолет ИП-1РЦФ-3 перегнали в Подлип</w:t>
      </w:r>
      <w:r w:rsidRPr="00E14102">
        <w:rPr>
          <w:color w:val="0070C0"/>
          <w:sz w:val="16"/>
          <w:szCs w:val="16"/>
        </w:rPr>
        <w:softHyphen/>
        <w:t>ки. Цель этого путешествия в отчетах не ука</w:t>
      </w:r>
      <w:r w:rsidRPr="00E14102">
        <w:rPr>
          <w:color w:val="0070C0"/>
          <w:sz w:val="16"/>
          <w:szCs w:val="16"/>
        </w:rPr>
        <w:softHyphen/>
        <w:t>зана - вполне вероятно, что это было связано с доводкой ДРП. Сразу после возвращения в Щелково 3 марта самолет попал в руки летчи</w:t>
      </w:r>
      <w:r w:rsidRPr="00E14102">
        <w:rPr>
          <w:color w:val="0070C0"/>
          <w:sz w:val="16"/>
          <w:szCs w:val="16"/>
        </w:rPr>
        <w:softHyphen/>
        <w:t>ков облета. 4 марта в полет отправился ком</w:t>
      </w:r>
      <w:r w:rsidRPr="00E14102">
        <w:rPr>
          <w:color w:val="0070C0"/>
          <w:sz w:val="16"/>
          <w:szCs w:val="16"/>
        </w:rPr>
        <w:softHyphen/>
        <w:t>бриг А.И. Залевский. Это был 15-й и, как ока</w:t>
      </w:r>
      <w:r w:rsidRPr="00E14102">
        <w:rPr>
          <w:color w:val="0070C0"/>
          <w:sz w:val="16"/>
          <w:szCs w:val="16"/>
        </w:rPr>
        <w:softHyphen/>
        <w:t>залось, последний вылет по программе. Адам Иосифович на посадке забыл выпустить шасси. Повреждения оказались более серь</w:t>
      </w:r>
      <w:r w:rsidRPr="00E14102">
        <w:rPr>
          <w:color w:val="0070C0"/>
          <w:sz w:val="16"/>
          <w:szCs w:val="16"/>
        </w:rPr>
        <w:softHyphen/>
        <w:t>езными, чем при вынужденной посадке Федрови. Испытания решили на этом завершить. За три дня самолет подлатали и 7 марта вер</w:t>
      </w:r>
      <w:r w:rsidRPr="00E14102">
        <w:rPr>
          <w:color w:val="0070C0"/>
          <w:sz w:val="16"/>
          <w:szCs w:val="16"/>
        </w:rPr>
        <w:softHyphen/>
        <w:t>нули в Подлипки.</w:t>
      </w:r>
    </w:p>
    <w:p w14:paraId="7F2F7716" w14:textId="77777777" w:rsidR="00EC326A" w:rsidRPr="00E14102" w:rsidRDefault="00EC326A" w:rsidP="00E14102">
      <w:pPr>
        <w:jc w:val="both"/>
        <w:rPr>
          <w:color w:val="0070C0"/>
          <w:sz w:val="16"/>
          <w:szCs w:val="16"/>
        </w:rPr>
      </w:pPr>
      <w:r w:rsidRPr="00E14102">
        <w:rPr>
          <w:color w:val="0070C0"/>
          <w:sz w:val="16"/>
          <w:szCs w:val="16"/>
        </w:rPr>
        <w:t>В выводах к отчету НИИ ВВС отмечалось, что ИП-1 является истребителем, способным вести бой против тяжелых самолетов против</w:t>
      </w:r>
      <w:r w:rsidRPr="00E14102">
        <w:rPr>
          <w:color w:val="0070C0"/>
          <w:sz w:val="16"/>
          <w:szCs w:val="16"/>
        </w:rPr>
        <w:softHyphen/>
        <w:t>ника со скоростями 320-350 км/ч на дистан</w:t>
      </w:r>
      <w:r w:rsidRPr="00E14102">
        <w:rPr>
          <w:color w:val="0070C0"/>
          <w:sz w:val="16"/>
          <w:szCs w:val="16"/>
        </w:rPr>
        <w:softHyphen/>
        <w:t>циях 1000-1500 метров, используя скорость в сочетании с маневром. Атаковать авиацию противника на земле и в воздухе в радиусе до 300 км. Особо военные отметили безотказ</w:t>
      </w:r>
      <w:r w:rsidRPr="00E14102">
        <w:rPr>
          <w:color w:val="0070C0"/>
          <w:sz w:val="16"/>
          <w:szCs w:val="16"/>
        </w:rPr>
        <w:softHyphen/>
        <w:t>ность работы шасси. За время испытаний было выполнено 27 циклов уборки-выпуска в воздухе и 42 - на земле.</w:t>
      </w:r>
    </w:p>
    <w:p w14:paraId="5AF87CEE" w14:textId="77777777" w:rsidR="00EC326A" w:rsidRPr="00E14102" w:rsidRDefault="00EC326A" w:rsidP="00E14102">
      <w:pPr>
        <w:jc w:val="both"/>
        <w:rPr>
          <w:color w:val="0070C0"/>
          <w:sz w:val="16"/>
          <w:szCs w:val="16"/>
        </w:rPr>
      </w:pPr>
      <w:r w:rsidRPr="00E14102">
        <w:rPr>
          <w:color w:val="0070C0"/>
          <w:sz w:val="16"/>
          <w:szCs w:val="16"/>
        </w:rPr>
        <w:t>Заключение гласило, что на основании полученных летных данных с пушечным и пулеметным вооружением НИИ ВС РККА (тут нет опечатки - аббревиатура ВВС официаль</w:t>
      </w:r>
      <w:r w:rsidRPr="00E14102">
        <w:rPr>
          <w:color w:val="0070C0"/>
          <w:sz w:val="16"/>
          <w:szCs w:val="16"/>
        </w:rPr>
        <w:softHyphen/>
        <w:t>но появилась несколько позже) считает, что при устранении отмеченных в отчете недо</w:t>
      </w:r>
      <w:r w:rsidRPr="00E14102">
        <w:rPr>
          <w:color w:val="0070C0"/>
          <w:sz w:val="16"/>
          <w:szCs w:val="16"/>
        </w:rPr>
        <w:softHyphen/>
        <w:t>статков и при безотказной работе установ</w:t>
      </w:r>
      <w:r w:rsidRPr="00E14102">
        <w:rPr>
          <w:color w:val="0070C0"/>
          <w:sz w:val="16"/>
          <w:szCs w:val="16"/>
        </w:rPr>
        <w:softHyphen/>
        <w:t>ленного на самолете вооружения, ИП-1 будет соответствовать общим тактико-техническим требованиям (19933).</w:t>
      </w:r>
    </w:p>
    <w:p w14:paraId="09DD8CB5" w14:textId="77777777" w:rsidR="00EC326A" w:rsidRPr="00E14102" w:rsidRDefault="00EC326A" w:rsidP="00E14102">
      <w:pPr>
        <w:jc w:val="both"/>
        <w:rPr>
          <w:color w:val="0070C0"/>
          <w:sz w:val="16"/>
          <w:szCs w:val="16"/>
        </w:rPr>
      </w:pPr>
    </w:p>
    <w:p w14:paraId="073D07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февраля 1935 года руководитель военно-морской группы КПК Куйбышев и зам. руководителя военно-морской группы КПК Березин писали письмо N 207/52сс Сталину, Кагановичу, Молотову.</w:t>
      </w:r>
    </w:p>
    <w:p w14:paraId="4B566A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производстве истребителей И-16</w:t>
      </w:r>
    </w:p>
    <w:p w14:paraId="4D41CE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СТО от 3 октября 1934 года было принято к сведению заявление начальника ГУАП Королева о том, что программа 1934 года по И-16 ГУАП'ом будет выполнена в срок. Однако это обещание выполнено не было. Постановлением СТО от 19 декабря 1934 года выполнение этого заказа было отсрочено до 1 марта 1935 года. Но к 1 марта авиапромышленность не сдала армии ни одной машины И-16.</w:t>
      </w:r>
    </w:p>
    <w:p w14:paraId="70A96D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2ECDDA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Система вооружения до сего дня не утверждена. Установка, разработанная заводом N 39 не прошла испытания. В январе прошла испытания установка, разработанная Шпитальным, но затем заводом N 39 по предложению ВВС в нее внесено несколько изменений и с этими изменениями она вновь испытывается.</w:t>
      </w:r>
    </w:p>
    <w:p w14:paraId="2A49C5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6B29DB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Только в начале марта выходят опытные образцы зимних шасси с прижимающейся лыжей октября и есть основания полагать, что и на зиму 1936 года И-16 останется с шасси старого типа.</w:t>
      </w:r>
    </w:p>
    <w:p w14:paraId="3FE3D7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39 волокитит с установкой пулеметов не в крыле, а под крыльями...</w:t>
      </w:r>
    </w:p>
    <w:p w14:paraId="22C917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Постановкой на И-16 четырех пулеметов ГУАП совершенно не интересуется и эти работы ведет почти подпольно завод N 21.</w:t>
      </w:r>
    </w:p>
    <w:p w14:paraId="17A1C1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сего времени также ничего не сделано для постановки на производство И-16 с мотором Райт-Циклон, следовательно, производя И-16 с мотором М-22, мы по-прежнему остаемся по скорости на уровне 370 км/час, в то время как известно, что И-16 с РЦ показал скорость в 437 км/час (3479,7-9).</w:t>
      </w:r>
    </w:p>
    <w:p w14:paraId="33844D6D" w14:textId="77777777" w:rsidR="00D4105E" w:rsidRPr="00E14102" w:rsidRDefault="00D4105E" w:rsidP="00E14102">
      <w:pPr>
        <w:autoSpaceDE w:val="0"/>
        <w:autoSpaceDN w:val="0"/>
        <w:adjustRightInd w:val="0"/>
        <w:jc w:val="both"/>
        <w:rPr>
          <w:color w:val="000000" w:themeColor="text1"/>
          <w:sz w:val="16"/>
          <w:szCs w:val="16"/>
        </w:rPr>
      </w:pPr>
    </w:p>
    <w:p w14:paraId="759B28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февраля 1935 у А.Н.Т. состоялось совещание о работе ЗОК и П.О.С. сообщил, что все чертежи АНТ-37 сданы ЗОК (1102).</w:t>
      </w:r>
    </w:p>
    <w:p w14:paraId="5C68427D" w14:textId="77777777" w:rsidR="00D4105E" w:rsidRPr="00E14102" w:rsidRDefault="00D4105E" w:rsidP="00E14102">
      <w:pPr>
        <w:autoSpaceDE w:val="0"/>
        <w:autoSpaceDN w:val="0"/>
        <w:adjustRightInd w:val="0"/>
        <w:jc w:val="both"/>
        <w:rPr>
          <w:color w:val="000000" w:themeColor="text1"/>
          <w:sz w:val="16"/>
          <w:szCs w:val="16"/>
        </w:rPr>
      </w:pPr>
    </w:p>
    <w:p w14:paraId="26CB92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февраля 1935 на следующем заседании технического совета, состоявшемся в ЦАГИ, Павел Осипович сообщил, что его бригаде пришлось полностью переконструировать весь самолет АНТ-37. По его заявлению чертежи новой машины были готовы на 70-75%, а сдача полного комплекта документации ожидалась не ранее 1 апреля. Так как еще ранее появление АНТ-37 на аэродроме запланировали на 15 июня, а предъявление его на государственные испытания 15 июля 1935 г., то понятно, что с этого момента все действительно "закрутилось": появились сверхурочные, вторая смена и прочие атрибуты спешной деятельности. При этом следует добавить, что и тактико-технические требования ВВС на новый бомбардировщик окончательно не были подготовлены и утверждены (11945).</w:t>
      </w:r>
    </w:p>
    <w:p w14:paraId="6AD31574" w14:textId="77777777" w:rsidR="00D4105E" w:rsidRPr="00E14102" w:rsidRDefault="00D4105E" w:rsidP="00E14102">
      <w:pPr>
        <w:autoSpaceDE w:val="0"/>
        <w:autoSpaceDN w:val="0"/>
        <w:adjustRightInd w:val="0"/>
        <w:jc w:val="both"/>
        <w:rPr>
          <w:color w:val="000000" w:themeColor="text1"/>
          <w:sz w:val="16"/>
          <w:szCs w:val="16"/>
        </w:rPr>
      </w:pPr>
    </w:p>
    <w:p w14:paraId="3EEAF4A8" w14:textId="77777777" w:rsidR="008042DC" w:rsidRPr="00E14102" w:rsidRDefault="008042D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28 февраля 1935 года Алкснис поручил включить работы по прозрачному самолету в план научно-исследовательских работ ВВА и срочно выделить академии самолет АИР-6. Нельзя сказать, что эта яковлевская машина наиболее полно удовлетворяла требованиям минимальной видимости – этому, например, мешали подкосы крыла и шасси, состоящее из большого количества стоек. Кроме того, два лонжерона коробчатого сечения высотой 150 мм и нервюры, расположенные через 240 мм, представляли собой сплошные фанерные стенки. Но это был единственный моноплан малой мощности, который реально было в то время получить. На деньги из других тем небольшая конструкторская группа Козлова начала проектирование специального прозрачного двухместного самолета с мотором М-11, которое предполагалось закончить в апреле. В проекте было предусмотрено применение «отражательного» принципа для уменьшения видимости нервюр и лонжеронов, но для этого требовалось придать им своеобразные конструктивные формы. Особое внимание уделялось внутренней структуре самолета и свойствам целлона (12703).</w:t>
      </w:r>
    </w:p>
    <w:p w14:paraId="56B8B210" w14:textId="77777777" w:rsidR="008042DC" w:rsidRPr="00E14102" w:rsidRDefault="008042DC" w:rsidP="00E14102">
      <w:pPr>
        <w:pStyle w:val="ad"/>
        <w:spacing w:before="0" w:after="0"/>
        <w:rPr>
          <w:rFonts w:ascii="Times New Roman" w:hAnsi="Times New Roman" w:cs="Times New Roman"/>
          <w:color w:val="000000" w:themeColor="text1"/>
          <w:sz w:val="16"/>
          <w:szCs w:val="16"/>
          <w:lang w:val="ru-RU"/>
        </w:rPr>
      </w:pPr>
    </w:p>
    <w:p w14:paraId="0693F2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февраля 1935 РД для полета Леваневского в США был разобран и перевезен для доработок в ЦАГИ (2343,90).</w:t>
      </w:r>
    </w:p>
    <w:p w14:paraId="74C20E77" w14:textId="77777777" w:rsidR="00D4105E" w:rsidRPr="00E14102" w:rsidRDefault="00D4105E" w:rsidP="00E14102">
      <w:pPr>
        <w:autoSpaceDE w:val="0"/>
        <w:autoSpaceDN w:val="0"/>
        <w:adjustRightInd w:val="0"/>
        <w:jc w:val="both"/>
        <w:rPr>
          <w:color w:val="000000" w:themeColor="text1"/>
          <w:sz w:val="16"/>
          <w:szCs w:val="16"/>
        </w:rPr>
      </w:pPr>
    </w:p>
    <w:p w14:paraId="53B1DD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февраля 1935 вышло постановление СТО N 171-34сс "О подготовке и проведении перелета Леваневского." В.М.М. (2161,68).</w:t>
      </w:r>
    </w:p>
    <w:p w14:paraId="69884B2E" w14:textId="77777777" w:rsidR="00D4105E" w:rsidRPr="00E14102" w:rsidRDefault="00D4105E" w:rsidP="00E14102">
      <w:pPr>
        <w:autoSpaceDE w:val="0"/>
        <w:autoSpaceDN w:val="0"/>
        <w:adjustRightInd w:val="0"/>
        <w:jc w:val="both"/>
        <w:rPr>
          <w:color w:val="000000" w:themeColor="text1"/>
          <w:sz w:val="16"/>
          <w:szCs w:val="16"/>
        </w:rPr>
      </w:pPr>
    </w:p>
    <w:p w14:paraId="2CB900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февраля 1935 года постановление № 171-34сс СТО</w:t>
      </w:r>
    </w:p>
    <w:p w14:paraId="5053F6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подготовке и проведении перелета Леваневского</w:t>
      </w:r>
    </w:p>
    <w:p w14:paraId="4031DB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53B78F4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Принять предложение Леваневского о перелете летом (июль) 1935 года без посадки по маршруту Москва-Сан-Франциско, через Северный полюс на самолете РД.</w:t>
      </w:r>
    </w:p>
    <w:p w14:paraId="43FFD9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………………………….(7516, 9-10).</w:t>
      </w:r>
    </w:p>
    <w:p w14:paraId="493C6DE4" w14:textId="77777777" w:rsidR="00D4105E" w:rsidRPr="00E14102" w:rsidRDefault="00D4105E" w:rsidP="00E14102">
      <w:pPr>
        <w:autoSpaceDE w:val="0"/>
        <w:autoSpaceDN w:val="0"/>
        <w:adjustRightInd w:val="0"/>
        <w:jc w:val="both"/>
        <w:rPr>
          <w:color w:val="000000" w:themeColor="text1"/>
          <w:sz w:val="16"/>
          <w:szCs w:val="16"/>
        </w:rPr>
      </w:pPr>
    </w:p>
    <w:p w14:paraId="2E50A1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февраля 1935 согласно Начальнику Штаба НИИ ВС Коробову:</w:t>
      </w:r>
    </w:p>
    <w:p w14:paraId="663ED4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Перечень испытаний, проходящих в НИИ ВС на 28 февраля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3544"/>
        <w:gridCol w:w="3544"/>
      </w:tblGrid>
      <w:tr w:rsidR="00E3599D" w:rsidRPr="00E14102" w14:paraId="40FB431A" w14:textId="77777777">
        <w:tc>
          <w:tcPr>
            <w:tcW w:w="3510" w:type="dxa"/>
          </w:tcPr>
          <w:p w14:paraId="137D34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испытываемых объектов</w:t>
            </w:r>
          </w:p>
        </w:tc>
        <w:tc>
          <w:tcPr>
            <w:tcW w:w="3544" w:type="dxa"/>
          </w:tcPr>
          <w:p w14:paraId="454901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окончания испытаний</w:t>
            </w:r>
          </w:p>
        </w:tc>
        <w:tc>
          <w:tcPr>
            <w:tcW w:w="3544" w:type="dxa"/>
          </w:tcPr>
          <w:p w14:paraId="1CBAAF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Состояние на 20 января 1935 года</w:t>
            </w:r>
          </w:p>
        </w:tc>
      </w:tr>
      <w:tr w:rsidR="00E3599D" w:rsidRPr="00E14102" w14:paraId="1054E1A6" w14:textId="77777777">
        <w:tc>
          <w:tcPr>
            <w:tcW w:w="3510" w:type="dxa"/>
          </w:tcPr>
          <w:p w14:paraId="024A24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Госиспытание самолета ИП1-РЦ</w:t>
            </w:r>
          </w:p>
        </w:tc>
        <w:tc>
          <w:tcPr>
            <w:tcW w:w="3544" w:type="dxa"/>
          </w:tcPr>
          <w:p w14:paraId="717646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дней, считая начало с 7 января 1935 года</w:t>
            </w:r>
          </w:p>
        </w:tc>
        <w:tc>
          <w:tcPr>
            <w:tcW w:w="3544" w:type="dxa"/>
          </w:tcPr>
          <w:p w14:paraId="618D99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закончено 26 февраля 1935 года</w:t>
            </w:r>
          </w:p>
        </w:tc>
      </w:tr>
      <w:tr w:rsidR="00E3599D" w:rsidRPr="00E14102" w14:paraId="62D85E0C" w14:textId="77777777">
        <w:tc>
          <w:tcPr>
            <w:tcW w:w="3510" w:type="dxa"/>
          </w:tcPr>
          <w:p w14:paraId="236144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планера Г-31</w:t>
            </w:r>
          </w:p>
        </w:tc>
        <w:tc>
          <w:tcPr>
            <w:tcW w:w="3544" w:type="dxa"/>
          </w:tcPr>
          <w:p w14:paraId="658A8F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3544" w:type="dxa"/>
          </w:tcPr>
          <w:p w14:paraId="0FB661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февраля 1935 года сделан пробный взлет с планером. Из-за плохой управляемости, планер был отцеплен и посадка произведена в 2-х км от аэродрома. Планер требует капитального ремонта, т.к. у него лопнул лонжерон.</w:t>
            </w:r>
          </w:p>
        </w:tc>
      </w:tr>
      <w:tr w:rsidR="00E3599D" w:rsidRPr="00E14102" w14:paraId="53BF1180" w14:textId="77777777">
        <w:tc>
          <w:tcPr>
            <w:tcW w:w="3510" w:type="dxa"/>
          </w:tcPr>
          <w:p w14:paraId="219CEA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самолета И-14, оборудованного 4-мя пулеметами ШКАС</w:t>
            </w:r>
          </w:p>
        </w:tc>
        <w:tc>
          <w:tcPr>
            <w:tcW w:w="3544" w:type="dxa"/>
          </w:tcPr>
          <w:p w14:paraId="1BCD7E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января 1935 года по 5 февраля 1935 года</w:t>
            </w:r>
          </w:p>
        </w:tc>
        <w:tc>
          <w:tcPr>
            <w:tcW w:w="3544" w:type="dxa"/>
          </w:tcPr>
          <w:p w14:paraId="357E92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закончены 21 февраля 1935 года</w:t>
            </w:r>
          </w:p>
        </w:tc>
      </w:tr>
    </w:tbl>
    <w:p w14:paraId="640F35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(7779, 67-68).</w:t>
      </w:r>
    </w:p>
    <w:p w14:paraId="3686BBE4" w14:textId="77777777" w:rsidR="00D4105E" w:rsidRPr="00E14102" w:rsidRDefault="00D4105E" w:rsidP="00E14102">
      <w:pPr>
        <w:autoSpaceDE w:val="0"/>
        <w:autoSpaceDN w:val="0"/>
        <w:adjustRightInd w:val="0"/>
        <w:jc w:val="both"/>
        <w:rPr>
          <w:color w:val="000000" w:themeColor="text1"/>
          <w:sz w:val="16"/>
          <w:szCs w:val="16"/>
        </w:rPr>
      </w:pPr>
    </w:p>
    <w:p w14:paraId="69E2E6DA" w14:textId="77777777" w:rsidR="0015479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0BF2EE8" w14:textId="77777777" w:rsidR="00154792" w:rsidRPr="00E14102" w:rsidRDefault="00154792" w:rsidP="00E14102">
      <w:pPr>
        <w:autoSpaceDE w:val="0"/>
        <w:autoSpaceDN w:val="0"/>
        <w:adjustRightInd w:val="0"/>
        <w:jc w:val="both"/>
        <w:rPr>
          <w:iCs/>
          <w:color w:val="000000" w:themeColor="text1"/>
          <w:sz w:val="16"/>
          <w:szCs w:val="16"/>
        </w:rPr>
      </w:pPr>
    </w:p>
    <w:p w14:paraId="017761D6" w14:textId="77777777" w:rsidR="00154792" w:rsidRPr="00E14102" w:rsidRDefault="00154792" w:rsidP="00E14102">
      <w:pPr>
        <w:jc w:val="both"/>
        <w:rPr>
          <w:color w:val="000000" w:themeColor="text1"/>
          <w:sz w:val="16"/>
          <w:szCs w:val="16"/>
        </w:rPr>
      </w:pPr>
      <w:r w:rsidRPr="00E14102">
        <w:rPr>
          <w:bCs/>
          <w:color w:val="000000" w:themeColor="text1"/>
          <w:sz w:val="16"/>
          <w:szCs w:val="16"/>
        </w:rPr>
        <w:t>28 февраля</w:t>
      </w:r>
      <w:r w:rsidRPr="00E14102">
        <w:rPr>
          <w:color w:val="000000" w:themeColor="text1"/>
          <w:sz w:val="16"/>
          <w:szCs w:val="16"/>
        </w:rPr>
        <w:t xml:space="preserve"> в 1935 году группа американского химика Уоллеса Хьюма Карозерса из центральной лаборатории фирмы «Дюпон де Немур» в Уилмингтоне (штат Делавэр) фактически создала нейлон — первое в мире синтетическое волокно, разработанное на основе синтезированной им же в 1934 году полиамидной смолы. Разработки продолжились, но 29 апреля 1937 года после длительной депрессии ученый покончил с собой, так и не увидев триумфального шествия своего детища по миру. 27 октября 1938 года руководители «Дюпон» объявили об изобретении нейлона, а поступившие в продажу 24 октября 1939 года нейлоновые чулки (в одном из универмагов Вилмингтона, США, штат Делавэр) стали сенсацией (15054).</w:t>
      </w:r>
    </w:p>
    <w:p w14:paraId="5BF10344" w14:textId="77777777" w:rsidR="00154792" w:rsidRPr="00E14102" w:rsidRDefault="00154792" w:rsidP="00E14102">
      <w:pPr>
        <w:jc w:val="both"/>
        <w:rPr>
          <w:color w:val="000000" w:themeColor="text1"/>
          <w:sz w:val="16"/>
          <w:szCs w:val="16"/>
        </w:rPr>
      </w:pPr>
    </w:p>
    <w:p w14:paraId="48172E3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C5478C7" w14:textId="77777777" w:rsidR="00D4105E" w:rsidRPr="00E14102" w:rsidRDefault="00D4105E" w:rsidP="00E14102">
      <w:pPr>
        <w:autoSpaceDE w:val="0"/>
        <w:autoSpaceDN w:val="0"/>
        <w:adjustRightInd w:val="0"/>
        <w:jc w:val="both"/>
        <w:rPr>
          <w:iCs/>
          <w:color w:val="000000" w:themeColor="text1"/>
          <w:sz w:val="16"/>
          <w:szCs w:val="16"/>
        </w:rPr>
      </w:pPr>
    </w:p>
    <w:p w14:paraId="0FAA35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февраля 1935 г. в Наркомате тяжелой промышленности состоялось представительное совещание по вопросу выпуска И-14 на заводе №125. ГУАП представляли его начальник Марголин (бывший до недавнего прошлого директором 39-го завода), зам.начальника ГУАП Кацва, а также еще восемь руководителей. От ЦАГИ присутствовали Сухой и директор ЗОК Осипов, от завода №125 - директор Ирьянов, Елькин, замдиректора по снабжению Леванов, инженеры Засько и Дворкин.</w:t>
      </w:r>
    </w:p>
    <w:p w14:paraId="0FDCB6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решении совещания отмечалось, что И-14 прошел испытания по вооружению и чертежи самолета переданы из ЦАГИ представительству серийного завода в Москве, а оно в свою очередь обязано теперь переслать их в Иркутск. П.О.Сухому предписывалось в течении пяти дней доложить свои предложения по срокам изготовления чертежей мотоустановки с двигателем Райт "Циклон" F3 (в переписке он практически постоянно фигурировал под обозначением РЦФЗ).</w:t>
      </w:r>
    </w:p>
    <w:p w14:paraId="215FBA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Проникшись бедственным положением с кадрами в Иркутске, Марголин разрешил Ирьянову оплачивать подготовку кадров по нормам, принятым Главным управлением учебных заведений НКОП, с учетом отдаленности местности, утвердил сумму в 100 тыс. руб. для этой пели и разрешил дополнительно потратить 200 тыс.руб. из фонда капитального строительства в счет отпущенных ранее лимитов.</w:t>
      </w:r>
    </w:p>
    <w:p w14:paraId="7084F9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Разработку технологических процессов изготовления деталей самолета, узлов, агрегатов и их сборки вела технологическая секция техотдела завода. В основном она была укомплектована молодыми специалистами, выпускниками техникумов и институтов, и инженерами-практиками. Первым было не занимать энергии и энтузиазма, но не хватало опыта, вторым - теоретических знаний. Слияние потенциалов в такой короткий срок не могло произойти: следствием стало то, что маршрутная технология оказалась составленной с большим количеством ошибок и для серийного производства оказалась не пригодной. Достаточно сказать, сборка каркасов и установка обшивки велись в одном деревянном стапеле, который для выемки готового фюзеляжа пришлось просто-напросто разрубить!</w:t>
      </w:r>
    </w:p>
    <w:p w14:paraId="385E15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не только технологам было сложно.</w:t>
      </w:r>
    </w:p>
    <w:p w14:paraId="0C6FD2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Практически все процессы, такие как клепка, выколотка, анодирование, были для завода №125 в новинку и требовали освоения. Рабочие кадры набирались из молодежи, прошедшей краткосрочную подготовку в школе фабрично-заводского обучения (ФЗУ). Люди старались, но отсутствие опыта не могло не сказаться.</w:t>
      </w:r>
    </w:p>
    <w:p w14:paraId="38EC11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заводе в начальный период в заготовительном цехе отсутствовало формование листов, а потому дюраль резали вручную с многочисленными примерками листов по месту и подгонками. Множество операций приходилось выполнять без оснастки и специального инструмента, полностью отсутствовала механизация трудоемких процессов. Если добавить сюда хроническую нехватку материалов, то станет не удивительно, что сборка головной машины затянулась на полгода и лишь в феврале 1935 г. головной И -14 был предъявлен для летных испытаний (12037).</w:t>
      </w:r>
    </w:p>
    <w:p w14:paraId="5372FAD9" w14:textId="77777777" w:rsidR="00D4105E" w:rsidRPr="00E14102" w:rsidRDefault="00D4105E" w:rsidP="00E14102">
      <w:pPr>
        <w:autoSpaceDE w:val="0"/>
        <w:autoSpaceDN w:val="0"/>
        <w:adjustRightInd w:val="0"/>
        <w:jc w:val="both"/>
        <w:rPr>
          <w:color w:val="000000" w:themeColor="text1"/>
          <w:sz w:val="16"/>
          <w:szCs w:val="16"/>
        </w:rPr>
      </w:pPr>
    </w:p>
    <w:p w14:paraId="7D0E44D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773455F" w14:textId="77777777" w:rsidR="00D4105E" w:rsidRPr="00E14102" w:rsidRDefault="00D4105E" w:rsidP="00E14102">
      <w:pPr>
        <w:autoSpaceDE w:val="0"/>
        <w:autoSpaceDN w:val="0"/>
        <w:adjustRightInd w:val="0"/>
        <w:jc w:val="both"/>
        <w:rPr>
          <w:iCs/>
          <w:color w:val="000000" w:themeColor="text1"/>
          <w:sz w:val="16"/>
          <w:szCs w:val="16"/>
        </w:rPr>
      </w:pPr>
    </w:p>
    <w:p w14:paraId="0C3904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До последних чисел февраля 1935 полеты на ИП-1 М-25 (в Управлении ВВС поменяли порядок букв), который 13 января 1935 приняла техническая бригада НИИ ВВС и тот же день лётчик П.Я. Федрови перегнал в Щёлково, выполняли Федрови и Степанчонок. Самолёт был оборудован убираемыми лыжами, которые в Советском Союзе использовались впервые. Интересно, что хотя схема убираемого шасси ИП-1 с выступающими из-под крыла гондолами считалась не вполне современной, однако в сочетании с зимними лыжами она оказалась достаточно удачной. Подтверждением тому стала авария, произошедшая 3 марта 1935 г. на Центральном аэродроме в Москве. В этот день Федрови выполнял полёты с разгоном до максимальной скорости. На одном из скоростных режимов лопнуло крепление левой части капота двигателя, боковую секцию её сорвало, и она врезалась в переднюю кромку стабилизатора. Федрови немедленно пошёл на посадку, однако, от волнения забыл выпустить шасси. Тем не менее, благодаря выступающим гондолам приземление на заснеженное поле произошло вполне благополучно. Повреждённым оказался только металлический воздушный винт, концы которого погнулись.</w:t>
      </w:r>
    </w:p>
    <w:p w14:paraId="0271B5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сводке аварий НИИ ВВС значится ещё одна посадка ИП-1 с убранным шасси. Она произошла 4 марта в Щёлково, пилотировал истребитель А.И. Залев- ский.</w:t>
      </w:r>
    </w:p>
    <w:p w14:paraId="5F47F7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После второй аварийной посадки самолёт направили для ремонта повреждённых элементов конструкции и монтажа АПК-4М. Одновременно доработали капот, усилили элементы его крепления и ввели дополнительную поперечную стяжную ленту (как у И-16). Ещё один вариант капота с прорезанными отверстиями для отдельных выхлопных патрубков сделали в июле 1935 г. Однако, скорее всего, данное упоминание переделок капота двигателя, приведённое в деле по испытаниям ИП-1, относилось к другому самолёту - ДГ-53 (12005). </w:t>
      </w:r>
    </w:p>
    <w:p w14:paraId="66E5F246" w14:textId="77777777" w:rsidR="00D4105E" w:rsidRPr="00E14102" w:rsidRDefault="00D4105E" w:rsidP="00E14102">
      <w:pPr>
        <w:autoSpaceDE w:val="0"/>
        <w:autoSpaceDN w:val="0"/>
        <w:adjustRightInd w:val="0"/>
        <w:jc w:val="both"/>
        <w:rPr>
          <w:color w:val="000000" w:themeColor="text1"/>
          <w:sz w:val="16"/>
          <w:szCs w:val="16"/>
        </w:rPr>
      </w:pPr>
    </w:p>
    <w:p w14:paraId="1E8C60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февраля 1935 недостроенный МБР-5 П.Д. Самсонова перевезли в Таганрог на 31 (1030,27).</w:t>
      </w:r>
    </w:p>
    <w:p w14:paraId="0A70AF09" w14:textId="77777777" w:rsidR="00D4105E" w:rsidRPr="00E14102" w:rsidRDefault="00D4105E" w:rsidP="00E14102">
      <w:pPr>
        <w:autoSpaceDE w:val="0"/>
        <w:autoSpaceDN w:val="0"/>
        <w:adjustRightInd w:val="0"/>
        <w:jc w:val="both"/>
        <w:rPr>
          <w:color w:val="000000" w:themeColor="text1"/>
          <w:sz w:val="16"/>
          <w:szCs w:val="16"/>
        </w:rPr>
      </w:pPr>
    </w:p>
    <w:p w14:paraId="1FF7B4C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CDFEFB7" w14:textId="77777777" w:rsidR="00D4105E" w:rsidRPr="00E14102" w:rsidRDefault="00D4105E" w:rsidP="00E14102">
      <w:pPr>
        <w:autoSpaceDE w:val="0"/>
        <w:autoSpaceDN w:val="0"/>
        <w:adjustRightInd w:val="0"/>
        <w:jc w:val="both"/>
        <w:rPr>
          <w:iCs/>
          <w:color w:val="000000" w:themeColor="text1"/>
          <w:sz w:val="16"/>
          <w:szCs w:val="16"/>
        </w:rPr>
      </w:pPr>
    </w:p>
    <w:p w14:paraId="46795F23" w14:textId="77777777" w:rsidR="0089038A" w:rsidRPr="00E14102" w:rsidRDefault="0089038A" w:rsidP="00E14102">
      <w:pPr>
        <w:jc w:val="both"/>
        <w:rPr>
          <w:color w:val="0070C0"/>
          <w:sz w:val="16"/>
          <w:szCs w:val="16"/>
        </w:rPr>
      </w:pPr>
      <w:r w:rsidRPr="00E14102">
        <w:rPr>
          <w:color w:val="0070C0"/>
          <w:sz w:val="16"/>
          <w:szCs w:val="16"/>
        </w:rPr>
        <w:t>В феврале 1935 г. первые два серийных ДИ-6 М-25 (зав. №113903 и №113905) поступили для проведения войсковых испыта</w:t>
      </w:r>
      <w:r w:rsidRPr="00E14102">
        <w:rPr>
          <w:color w:val="0070C0"/>
          <w:sz w:val="16"/>
          <w:szCs w:val="16"/>
        </w:rPr>
        <w:softHyphen/>
        <w:t>ний. На самом деле организация подоб</w:t>
      </w:r>
      <w:r w:rsidRPr="00E14102">
        <w:rPr>
          <w:color w:val="0070C0"/>
          <w:sz w:val="16"/>
          <w:szCs w:val="16"/>
        </w:rPr>
        <w:softHyphen/>
        <w:t>ных испытаний только отрабатывалась, поэтому тестиро</w:t>
      </w:r>
      <w:r w:rsidRPr="00E14102">
        <w:rPr>
          <w:color w:val="0070C0"/>
          <w:sz w:val="16"/>
          <w:szCs w:val="16"/>
        </w:rPr>
        <w:softHyphen/>
        <w:t>вание этих экземпляров вели летчики НИИ ВВС. В мае к проведению войсковых испытаний подключился еще один ДИ-6 (зав. №113901). Все полеты по программе заверши</w:t>
      </w:r>
      <w:r w:rsidRPr="00E14102">
        <w:rPr>
          <w:color w:val="0070C0"/>
          <w:sz w:val="16"/>
          <w:szCs w:val="16"/>
        </w:rPr>
        <w:softHyphen/>
        <w:t>лись 28 июня. В отчете по проведенным испытаниям от</w:t>
      </w:r>
      <w:r w:rsidRPr="00E14102">
        <w:rPr>
          <w:color w:val="0070C0"/>
          <w:sz w:val="16"/>
          <w:szCs w:val="16"/>
        </w:rPr>
        <w:softHyphen/>
        <w:t>мечалось, что «По маневренности ДИ-6 М-25 стоит даже выше одноместных скоростных истребителей. Наличие задней огневой точки, при отмеченных выше качествах, да</w:t>
      </w:r>
      <w:r w:rsidRPr="00E14102">
        <w:rPr>
          <w:color w:val="0070C0"/>
          <w:sz w:val="16"/>
          <w:szCs w:val="16"/>
        </w:rPr>
        <w:softHyphen/>
        <w:t>ет ему значительные преимущества при ведении воздуш</w:t>
      </w:r>
      <w:r w:rsidRPr="00E14102">
        <w:rPr>
          <w:color w:val="0070C0"/>
          <w:sz w:val="16"/>
          <w:szCs w:val="16"/>
        </w:rPr>
        <w:softHyphen/>
        <w:t>ного боя со всеми типами самолетов. Однако наличие целого ряда недостатков задней кабины стрелка на ДИ-6 М-25 снижает его боевую ценность как истребителя». В за</w:t>
      </w:r>
      <w:r w:rsidRPr="00E14102">
        <w:rPr>
          <w:color w:val="0070C0"/>
          <w:sz w:val="16"/>
          <w:szCs w:val="16"/>
        </w:rPr>
        <w:softHyphen/>
        <w:t>ключении указывалось, что двухместный истребитель ДИ- 6 М-25 войсковые испытания выдержал удовлетворитель</w:t>
      </w:r>
      <w:r w:rsidRPr="00E14102">
        <w:rPr>
          <w:color w:val="0070C0"/>
          <w:sz w:val="16"/>
          <w:szCs w:val="16"/>
        </w:rPr>
        <w:softHyphen/>
        <w:t>но. Серийное производство самолета решили продол</w:t>
      </w:r>
      <w:r w:rsidRPr="00E14102">
        <w:rPr>
          <w:color w:val="0070C0"/>
          <w:sz w:val="16"/>
          <w:szCs w:val="16"/>
        </w:rPr>
        <w:softHyphen/>
        <w:t>жить на авиазаводе №81 в Москве (20362).</w:t>
      </w:r>
    </w:p>
    <w:p w14:paraId="394390B1" w14:textId="77777777" w:rsidR="0089038A" w:rsidRPr="00E14102" w:rsidRDefault="0089038A" w:rsidP="00E14102">
      <w:pPr>
        <w:shd w:val="clear" w:color="auto" w:fill="FFFFFF"/>
        <w:jc w:val="both"/>
        <w:rPr>
          <w:color w:val="0070C0"/>
          <w:sz w:val="16"/>
          <w:szCs w:val="16"/>
        </w:rPr>
      </w:pPr>
    </w:p>
    <w:p w14:paraId="35FC38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г. был осуществлен проект “Тягач”. На фюзеляже бомбардировщика ТБ-3 закрепили старый истребитель И-5 без крыльев, оперения и колес, но с пилотом. Фактически получили дополнительную мотоустановку. По сравнению с “чистым” ТБ-3, “Тягач” увеличил максимальную скорость на 10 км/ч и немного улучшил скороподъемность до высоты 3000 м (поскольку мотор М-22 на И-5 был невысотным). Зато на виражах “Тягач” начало трясти, а выхлопные газы от двигателя И-5 заносило в кабину задних стрелков бомбардировщика. В дальнейшем Вахмистров планировал создать "Мощный тягач” - съемную тандемную мотоустановку, монтируемую на самолет-носитель в случае необходимости, но эта идея так и не была осуществлена (9807).</w:t>
      </w:r>
    </w:p>
    <w:p w14:paraId="28019B76" w14:textId="77777777" w:rsidR="00D4105E" w:rsidRPr="00E14102" w:rsidRDefault="00D4105E" w:rsidP="00E14102">
      <w:pPr>
        <w:autoSpaceDE w:val="0"/>
        <w:autoSpaceDN w:val="0"/>
        <w:adjustRightInd w:val="0"/>
        <w:jc w:val="both"/>
        <w:rPr>
          <w:color w:val="000000" w:themeColor="text1"/>
          <w:sz w:val="16"/>
          <w:szCs w:val="16"/>
        </w:rPr>
      </w:pPr>
    </w:p>
    <w:p w14:paraId="60B5B9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г. реализовали проект "Тягач". На фюзеляже бомбардировщика закрепили старый истребитель И-5 без крыльев, оперения и колес, но с пилотом. Фактически получили дополнительную мотоустановку. По сравнению с "чистым" ТБ-3 "Тягач" увеличил максимальную скорость на 10 км/ч и немного улучшил скороподъемность до высоты 3000 м (поскольку мотор М-22 на И-5 был невысотным). Зато на виражах "Тягач" начало трясти, а выхлопные газы от двигателя И-5 заносило в кабину задних стрелков бомбардировщика. В дальнейшем Вахмистров планировал создать "Мощный тягач" - съемную тан- демную мотоустановку, монтируемую на самолет-носитель в случае необходимости. Она могла пригодиться не только "авиаматке", но и транспортному самолету при перевозке тяжелого и громоздкого груза, особенно на наружной подвеске. Но эта идея не была осуществлена (12036).</w:t>
      </w:r>
    </w:p>
    <w:p w14:paraId="36896152" w14:textId="77777777" w:rsidR="00D4105E" w:rsidRPr="00E14102" w:rsidRDefault="00D4105E" w:rsidP="00E14102">
      <w:pPr>
        <w:autoSpaceDE w:val="0"/>
        <w:autoSpaceDN w:val="0"/>
        <w:adjustRightInd w:val="0"/>
        <w:jc w:val="both"/>
        <w:rPr>
          <w:color w:val="000000" w:themeColor="text1"/>
          <w:sz w:val="16"/>
          <w:szCs w:val="16"/>
        </w:rPr>
      </w:pPr>
    </w:p>
    <w:p w14:paraId="4F675DB5" w14:textId="77777777" w:rsidR="00B763DA" w:rsidRPr="00E14102" w:rsidRDefault="00B763DA" w:rsidP="00E14102">
      <w:pPr>
        <w:jc w:val="both"/>
        <w:rPr>
          <w:color w:val="000000" w:themeColor="text1"/>
          <w:sz w:val="16"/>
          <w:szCs w:val="16"/>
        </w:rPr>
      </w:pPr>
      <w:r w:rsidRPr="00E14102">
        <w:rPr>
          <w:color w:val="000000" w:themeColor="text1"/>
          <w:sz w:val="16"/>
          <w:szCs w:val="16"/>
        </w:rPr>
        <w:t>В феврале 1935 г., прежде чем приступить к лётным испытаниям звена 5, провели эксперименты по определению взаимного влияния самолётов при подходе И-Z для подцепки. Для этого на трапеции закрепили крыло, имитирующее плоскость истребителя. Ферму с этим крылом в полёте опускали, замеряя скорость воздушного потока и подсасывающую силу на разных расстояниях от ТБ-3. Лишь убедившись, что ненормальных усилий подсоса крыла И-Z к крылу ТБ-3 нет, решили приступить к полётам. Пилотировать И-Z должен был лётчик-испытатель В.А. Степанчёнок, бомбардировщик — П.М. Стефановский.</w:t>
      </w:r>
    </w:p>
    <w:p w14:paraId="4B82B734" w14:textId="77777777" w:rsidR="00B763DA" w:rsidRPr="00E14102" w:rsidRDefault="00B763DA" w:rsidP="00E14102">
      <w:pPr>
        <w:jc w:val="both"/>
        <w:rPr>
          <w:color w:val="000000" w:themeColor="text1"/>
          <w:sz w:val="16"/>
          <w:szCs w:val="16"/>
        </w:rPr>
      </w:pPr>
      <w:r w:rsidRPr="00E14102">
        <w:rPr>
          <w:color w:val="000000" w:themeColor="text1"/>
          <w:sz w:val="16"/>
          <w:szCs w:val="16"/>
        </w:rPr>
        <w:t>Полёты начали с тренировки. К трапеции присоединили два двухметровых деревянных шеста, между ними натянули матерчатые ленты. Степанчёнок должен был по одной обрывать их крюком на кабане.</w:t>
      </w:r>
    </w:p>
    <w:p w14:paraId="70BB268C" w14:textId="77777777" w:rsidR="00B763DA" w:rsidRPr="00E14102" w:rsidRDefault="00B763DA" w:rsidP="00E14102">
      <w:pPr>
        <w:jc w:val="both"/>
        <w:rPr>
          <w:color w:val="000000" w:themeColor="text1"/>
          <w:sz w:val="16"/>
          <w:szCs w:val="16"/>
        </w:rPr>
      </w:pPr>
      <w:r w:rsidRPr="00E14102">
        <w:rPr>
          <w:color w:val="000000" w:themeColor="text1"/>
          <w:sz w:val="16"/>
          <w:szCs w:val="16"/>
        </w:rPr>
        <w:t>Свой замысел Вахмистров позаимствовал из американского опыта. Там занялись изучением техники отделения и подцепки самолёта к дирижаблю, и в начале 1930-х годов на вооружении ВМФ США появились дирижабли «Акрон» и «Мэйкон» с истребителями на борту. Самолёты размещались в ангаре внутри дирижаблей, из которого их можно было с помощью подвижной трапеции опустить через люк наружу, и они стартовали в полёт. После полёта лётчик крюком над фюзеляжем цеплялся за трапецию и его втягивали внутрь.</w:t>
      </w:r>
    </w:p>
    <w:p w14:paraId="56C2AED6" w14:textId="77777777" w:rsidR="00B763DA" w:rsidRPr="00E14102" w:rsidRDefault="00B763DA" w:rsidP="00E14102">
      <w:pPr>
        <w:jc w:val="both"/>
        <w:rPr>
          <w:color w:val="000000" w:themeColor="text1"/>
          <w:sz w:val="16"/>
          <w:szCs w:val="16"/>
        </w:rPr>
      </w:pPr>
      <w:r w:rsidRPr="00E14102">
        <w:rPr>
          <w:color w:val="000000" w:themeColor="text1"/>
          <w:sz w:val="16"/>
          <w:szCs w:val="16"/>
        </w:rPr>
        <w:t>Но опытов соединения самолётов в воздухе история ещё не знала. Вахмистров понимал, что идёт на большой риск, особенно после катастрофы с Коротковым. Поэтому он не торопился, всё делалось поэтапно.</w:t>
      </w:r>
    </w:p>
    <w:p w14:paraId="05BA29D4" w14:textId="77777777" w:rsidR="00B763DA" w:rsidRPr="00E14102" w:rsidRDefault="00B763DA" w:rsidP="00E14102">
      <w:pPr>
        <w:jc w:val="both"/>
        <w:rPr>
          <w:color w:val="000000" w:themeColor="text1"/>
          <w:sz w:val="16"/>
          <w:szCs w:val="16"/>
        </w:rPr>
      </w:pPr>
      <w:r w:rsidRPr="00E14102">
        <w:rPr>
          <w:color w:val="000000" w:themeColor="text1"/>
          <w:sz w:val="16"/>
          <w:szCs w:val="16"/>
        </w:rPr>
        <w:t>Сначала была создана конструкция для подцепки И-Z под фюзеляж ТБ-3. Она была в принципе такой же, как у американцев. Под центропланом бомбардировщика закрепили трапецию длиной около 4 м. С помощью тросов и лебёдки она могла опускаться вниз для приема истребителя и снова прижиматься к фюзеляжу. Управлял ей бортмеханик с помощью специального штурвала. На фюзеляже И-Z в районе центра тяжести смонтировали ферму («кабан»), заканчивающуюся сзади трубой с крюком и фиксирующим замком. Передняя часть трубы была раздвоена и загнута вниз, чтобы предохранить винт от возможных ударов при подходе к трапеции.</w:t>
      </w:r>
    </w:p>
    <w:p w14:paraId="51E35493" w14:textId="77777777" w:rsidR="00B763DA" w:rsidRPr="00E14102" w:rsidRDefault="00B763DA" w:rsidP="00E14102">
      <w:pPr>
        <w:jc w:val="both"/>
        <w:rPr>
          <w:color w:val="000000" w:themeColor="text1"/>
          <w:sz w:val="16"/>
          <w:szCs w:val="16"/>
        </w:rPr>
      </w:pPr>
      <w:r w:rsidRPr="00E14102">
        <w:rPr>
          <w:color w:val="000000" w:themeColor="text1"/>
          <w:sz w:val="16"/>
          <w:szCs w:val="16"/>
        </w:rPr>
        <w:t>При подцепке лётчик истребителя уравнивал скорость со скоростью бомбардировщика и, нацелившись, прицеплялся крюком к нижней части трапеции, срабатывал замок. После этого бортмеханик поднимал трапецию с самолётом И-Z до упора его крыльями в колёса ТБ-3. Одновременно из трапеции выдвигалась трубчатая вилка, упиравшаяся в закабинную часть истребителя для дополнительной фиксации. Конструкция И-Z в местах контакта с колесами и задней опорой была усилена более толстой дюралевой обшивкой. Для взлёта пилот истребителя тросиком открывал замок на крюке и освобождал самолёт.</w:t>
      </w:r>
    </w:p>
    <w:p w14:paraId="19306BD6" w14:textId="77777777" w:rsidR="00B763DA" w:rsidRPr="00E14102" w:rsidRDefault="00B763DA" w:rsidP="00E14102">
      <w:pPr>
        <w:jc w:val="both"/>
        <w:rPr>
          <w:color w:val="000000" w:themeColor="text1"/>
          <w:sz w:val="16"/>
          <w:szCs w:val="16"/>
        </w:rPr>
      </w:pPr>
      <w:r w:rsidRPr="00E14102">
        <w:rPr>
          <w:color w:val="000000" w:themeColor="text1"/>
          <w:sz w:val="16"/>
          <w:szCs w:val="16"/>
        </w:rPr>
        <w:t>Первая тренировка 15 марта 1935 г. прошла неудачно. Дважды лётчик пытался сорвать ленты, но не сумел. При третьей попытке он, не рассчитав, ударился трубой кабана о металлическую трапецию и погнул трубу. Зато следующую тренировку, 20 марта, Степанчёнок провёл на «отлично». В каждом из трёх полётов он срывал все пять лент, то есть все 15 опытов прошли успешно.</w:t>
      </w:r>
    </w:p>
    <w:p w14:paraId="71A5C1D0" w14:textId="77777777" w:rsidR="00B763DA" w:rsidRPr="00E14102" w:rsidRDefault="00B763DA" w:rsidP="00E14102">
      <w:pPr>
        <w:jc w:val="both"/>
        <w:rPr>
          <w:color w:val="000000" w:themeColor="text1"/>
          <w:sz w:val="16"/>
          <w:szCs w:val="16"/>
        </w:rPr>
      </w:pPr>
      <w:r w:rsidRPr="00E14102">
        <w:rPr>
          <w:color w:val="000000" w:themeColor="text1"/>
          <w:sz w:val="16"/>
          <w:szCs w:val="16"/>
        </w:rPr>
        <w:t xml:space="preserve">23 марта впервые в истории авиации была выполнена подцепка одного самолёта к другому в полёте. Произошло это на высоте 1700 м при скорости 140 км/ч. «Самолёт „ЗЕТ“ после вполне нормальных подходов к штанге на третьем зацепился. Никаких колебаний и вибраций у самолёта „ЗЕТ“ не наблюдалось. После подцепки самолёт „ЗЕТ“ подтянули. Всё „звено“ снизилось в таком положении до 500 м для демонстрации начальнику Управления ВВС РККА, находившемуся на аэродроме. После была набрана высота 1200 м, ферма с самолётом „ЗЕТ“ опущена на 20 оборотов и самолёт „ЗЕТ“ отцепился вполне нормально», — сказано в отчёте </w:t>
      </w:r>
      <w:hyperlink r:id="rId51" w:history="1">
        <w:r w:rsidRPr="00E14102">
          <w:rPr>
            <w:color w:val="000000" w:themeColor="text1"/>
            <w:sz w:val="16"/>
            <w:szCs w:val="16"/>
          </w:rPr>
          <w:t>[90]</w:t>
        </w:r>
      </w:hyperlink>
      <w:r w:rsidRPr="00E14102">
        <w:rPr>
          <w:color w:val="000000" w:themeColor="text1"/>
          <w:sz w:val="16"/>
          <w:szCs w:val="16"/>
        </w:rPr>
        <w:t xml:space="preserve"> .</w:t>
      </w:r>
    </w:p>
    <w:p w14:paraId="7F0936EE" w14:textId="77777777" w:rsidR="00B763DA" w:rsidRPr="00E14102" w:rsidRDefault="00B763DA" w:rsidP="00E14102">
      <w:pPr>
        <w:jc w:val="both"/>
        <w:rPr>
          <w:color w:val="000000" w:themeColor="text1"/>
          <w:sz w:val="16"/>
          <w:szCs w:val="16"/>
        </w:rPr>
      </w:pPr>
      <w:r w:rsidRPr="00E14102">
        <w:rPr>
          <w:color w:val="000000" w:themeColor="text1"/>
          <w:sz w:val="16"/>
          <w:szCs w:val="16"/>
        </w:rPr>
        <w:t>29 марта Степанчёнок, несмотря на болтанку в воздухе, осуществил ещё четыре подцепки и отцепки. Последняя, четвёртая, была сделана с подтягом И-Z к ТБ-3. Сама подцепка занимала 15–20 секунд, а вот на подтягивание самолёта в походное положение (крылья прижаты к колесам бомбардировщика) уходило намного больше времени — до 2,5 минут.</w:t>
      </w:r>
    </w:p>
    <w:p w14:paraId="1F8D37BB" w14:textId="77777777" w:rsidR="00B763DA" w:rsidRPr="00E14102" w:rsidRDefault="00B763DA" w:rsidP="00E14102">
      <w:pPr>
        <w:jc w:val="both"/>
        <w:rPr>
          <w:color w:val="000000" w:themeColor="text1"/>
          <w:sz w:val="16"/>
          <w:szCs w:val="16"/>
        </w:rPr>
      </w:pPr>
      <w:r w:rsidRPr="00E14102">
        <w:rPr>
          <w:color w:val="000000" w:themeColor="text1"/>
          <w:sz w:val="16"/>
          <w:szCs w:val="16"/>
        </w:rPr>
        <w:t>По результатам полётов было рекомендовано разработать конструкцию захвата типа вертикальной вилки, упрощающую технику зацепления, а также спроектировать питание горючим и маслом от бомбардировщика и техническую связь с подвешенным самолётом (при испытаниях общение между экипажами осуществлялось зрительно — через бомболюк, или передачей записок) (17489).</w:t>
      </w:r>
    </w:p>
    <w:p w14:paraId="079FD0BC" w14:textId="77777777" w:rsidR="00B763DA" w:rsidRPr="00E14102" w:rsidRDefault="00B763DA" w:rsidP="00E14102">
      <w:pPr>
        <w:jc w:val="both"/>
        <w:rPr>
          <w:color w:val="000000" w:themeColor="text1"/>
          <w:sz w:val="16"/>
          <w:szCs w:val="16"/>
        </w:rPr>
      </w:pPr>
    </w:p>
    <w:p w14:paraId="191780EF" w14:textId="77777777" w:rsidR="00B763DA" w:rsidRPr="00E14102" w:rsidRDefault="00B763DA" w:rsidP="00E14102">
      <w:pPr>
        <w:pStyle w:val="a7"/>
        <w:rPr>
          <w:color w:val="000000" w:themeColor="text1"/>
          <w:sz w:val="16"/>
          <w:szCs w:val="16"/>
          <w:lang w:val="ru-RU"/>
        </w:rPr>
      </w:pPr>
      <w:r w:rsidRPr="00E14102">
        <w:rPr>
          <w:color w:val="000000" w:themeColor="text1"/>
          <w:sz w:val="16"/>
          <w:szCs w:val="16"/>
          <w:lang w:val="ru-RU"/>
        </w:rPr>
        <w:t>В фев</w:t>
      </w:r>
      <w:r w:rsidRPr="00E14102">
        <w:rPr>
          <w:color w:val="000000" w:themeColor="text1"/>
          <w:sz w:val="16"/>
          <w:szCs w:val="16"/>
          <w:lang w:val="ru-RU"/>
        </w:rPr>
        <w:softHyphen/>
        <w:t>рале 1935 г. провели практические эксперименты по самолету-тягачу Вахмистрова, используя элементы «Зве</w:t>
      </w:r>
      <w:r w:rsidRPr="00E14102">
        <w:rPr>
          <w:color w:val="000000" w:themeColor="text1"/>
          <w:sz w:val="16"/>
          <w:szCs w:val="16"/>
          <w:lang w:val="ru-RU"/>
        </w:rPr>
        <w:softHyphen/>
        <w:t>на-2». Над фюзеляжем ТБ-3 с моторами М-17 установили полуразобранный ста</w:t>
      </w:r>
      <w:r w:rsidRPr="00E14102">
        <w:rPr>
          <w:color w:val="000000" w:themeColor="text1"/>
          <w:sz w:val="16"/>
          <w:szCs w:val="16"/>
          <w:lang w:val="ru-RU"/>
        </w:rPr>
        <w:softHyphen/>
        <w:t>рый истребитель И-5. На последнем от</w:t>
      </w:r>
      <w:r w:rsidRPr="00E14102">
        <w:rPr>
          <w:color w:val="000000" w:themeColor="text1"/>
          <w:sz w:val="16"/>
          <w:szCs w:val="16"/>
          <w:lang w:val="ru-RU"/>
        </w:rPr>
        <w:softHyphen/>
        <w:t>сутствовали коробка крыльев, оперение, колеса, костыль и кок винта. Вахмистров сначала хотел сделать тросовое управле</w:t>
      </w:r>
      <w:r w:rsidRPr="00E14102">
        <w:rPr>
          <w:color w:val="000000" w:themeColor="text1"/>
          <w:sz w:val="16"/>
          <w:szCs w:val="16"/>
          <w:lang w:val="ru-RU"/>
        </w:rPr>
        <w:softHyphen/>
        <w:t>ние карбюратором мотора М-22 на этом «недоистребителе», чтобы обойтись без моториста, но потом решил сперва по</w:t>
      </w:r>
      <w:r w:rsidRPr="00E14102">
        <w:rPr>
          <w:color w:val="000000" w:themeColor="text1"/>
          <w:sz w:val="16"/>
          <w:szCs w:val="16"/>
          <w:lang w:val="ru-RU"/>
        </w:rPr>
        <w:softHyphen/>
        <w:t>пробовать по</w:t>
      </w:r>
      <w:r w:rsidRPr="00E14102">
        <w:rPr>
          <w:color w:val="000000" w:themeColor="text1"/>
          <w:sz w:val="16"/>
          <w:szCs w:val="16"/>
          <w:lang w:val="ru-RU"/>
        </w:rPr>
        <w:softHyphen/>
        <w:t>пробовать с летчиком в кабине. В таком варианте «тягач» весил 975 кг. вместе с управлявшим дополнительным двигате</w:t>
      </w:r>
      <w:r w:rsidRPr="00E14102">
        <w:rPr>
          <w:color w:val="000000" w:themeColor="text1"/>
          <w:sz w:val="16"/>
          <w:szCs w:val="16"/>
          <w:lang w:val="ru-RU"/>
        </w:rPr>
        <w:softHyphen/>
        <w:t>лем человеком.</w:t>
      </w:r>
    </w:p>
    <w:p w14:paraId="35BA12FD" w14:textId="77777777" w:rsidR="00B763DA" w:rsidRPr="00E14102" w:rsidRDefault="00B763DA" w:rsidP="00E14102">
      <w:pPr>
        <w:pStyle w:val="a7"/>
        <w:rPr>
          <w:color w:val="000000" w:themeColor="text1"/>
          <w:sz w:val="16"/>
          <w:szCs w:val="16"/>
          <w:lang w:val="ru-RU"/>
        </w:rPr>
      </w:pPr>
      <w:r w:rsidRPr="00E14102">
        <w:rPr>
          <w:color w:val="000000" w:themeColor="text1"/>
          <w:sz w:val="16"/>
          <w:szCs w:val="16"/>
          <w:lang w:val="ru-RU"/>
        </w:rPr>
        <w:t>Этим человеком стал испытатель С.П. Супрун. ТБ-3 пилотировали П.М. Сте- фановский и М.А. Нюхтиков. Испытания показали, что максимальная скорость немного выросла, достигнув 208 км/ч, потолок вместо 3500 м стал равняться 3850 м. Существенно улучшилась скоро</w:t>
      </w:r>
      <w:r w:rsidRPr="00E14102">
        <w:rPr>
          <w:color w:val="000000" w:themeColor="text1"/>
          <w:sz w:val="16"/>
          <w:szCs w:val="16"/>
          <w:lang w:val="ru-RU"/>
        </w:rPr>
        <w:softHyphen/>
        <w:t>подъемность: подъем на высоту 3000 м занимал 28 мин вместо 35,7 мин. А вот время подъема на практический потолок почему-то увеличилось до 63,7 мин (было 57,6 мин).</w:t>
      </w:r>
    </w:p>
    <w:p w14:paraId="3E77364C" w14:textId="77777777" w:rsidR="00B763DA" w:rsidRPr="00E14102" w:rsidRDefault="00B763DA" w:rsidP="00E14102">
      <w:pPr>
        <w:pStyle w:val="a7"/>
        <w:rPr>
          <w:color w:val="000000" w:themeColor="text1"/>
          <w:sz w:val="16"/>
          <w:szCs w:val="16"/>
          <w:lang w:val="ru-RU"/>
        </w:rPr>
      </w:pPr>
      <w:r w:rsidRPr="00E14102">
        <w:rPr>
          <w:color w:val="000000" w:themeColor="text1"/>
          <w:sz w:val="16"/>
          <w:szCs w:val="16"/>
          <w:lang w:val="ru-RU"/>
        </w:rPr>
        <w:t>На поведение ТБ-3 в воздухе «над</w:t>
      </w:r>
      <w:r w:rsidRPr="00E14102">
        <w:rPr>
          <w:color w:val="000000" w:themeColor="text1"/>
          <w:sz w:val="16"/>
          <w:szCs w:val="16"/>
          <w:lang w:val="ru-RU"/>
        </w:rPr>
        <w:softHyphen/>
        <w:t>стройка» практически не повлияла, хотя на виражах отметили продольные ко</w:t>
      </w:r>
      <w:r w:rsidRPr="00E14102">
        <w:rPr>
          <w:color w:val="000000" w:themeColor="text1"/>
          <w:sz w:val="16"/>
          <w:szCs w:val="16"/>
          <w:lang w:val="ru-RU"/>
        </w:rPr>
        <w:softHyphen/>
        <w:t>лебания «тягача». Но здесь сказывалось недостаточно жесткое его крепление - установка-то считалась временной. Вых</w:t>
      </w:r>
      <w:r w:rsidRPr="00E14102">
        <w:rPr>
          <w:color w:val="000000" w:themeColor="text1"/>
          <w:sz w:val="16"/>
          <w:szCs w:val="16"/>
          <w:lang w:val="ru-RU"/>
        </w:rPr>
        <w:softHyphen/>
        <w:t>лопные газы сверху заносило в пилот</w:t>
      </w:r>
      <w:r w:rsidRPr="00E14102">
        <w:rPr>
          <w:color w:val="000000" w:themeColor="text1"/>
          <w:sz w:val="16"/>
          <w:szCs w:val="16"/>
          <w:lang w:val="ru-RU"/>
        </w:rPr>
        <w:softHyphen/>
        <w:t>скую кабину ТБ-3. Садился бомбардиров</w:t>
      </w:r>
      <w:r w:rsidRPr="00E14102">
        <w:rPr>
          <w:color w:val="000000" w:themeColor="text1"/>
          <w:sz w:val="16"/>
          <w:szCs w:val="16"/>
          <w:lang w:val="ru-RU"/>
        </w:rPr>
        <w:softHyphen/>
        <w:t>щик с выключенным мотором М-22.</w:t>
      </w:r>
    </w:p>
    <w:p w14:paraId="7E6AD8E6" w14:textId="77777777" w:rsidR="00B763DA" w:rsidRPr="00E14102" w:rsidRDefault="00B763DA" w:rsidP="00E14102">
      <w:pPr>
        <w:pStyle w:val="a7"/>
        <w:rPr>
          <w:color w:val="000000" w:themeColor="text1"/>
          <w:sz w:val="16"/>
          <w:szCs w:val="16"/>
          <w:lang w:val="ru-RU"/>
        </w:rPr>
      </w:pPr>
      <w:r w:rsidRPr="00E14102">
        <w:rPr>
          <w:color w:val="000000" w:themeColor="text1"/>
          <w:sz w:val="16"/>
          <w:szCs w:val="16"/>
          <w:lang w:val="ru-RU"/>
        </w:rPr>
        <w:t>В целом пришли к выводу, что «на</w:t>
      </w:r>
      <w:r w:rsidRPr="00E14102">
        <w:rPr>
          <w:color w:val="000000" w:themeColor="text1"/>
          <w:sz w:val="16"/>
          <w:szCs w:val="16"/>
          <w:lang w:val="ru-RU"/>
        </w:rPr>
        <w:softHyphen/>
        <w:t>вар» невелик. Но ведь вся установка яв</w:t>
      </w:r>
      <w:r w:rsidRPr="00E14102">
        <w:rPr>
          <w:color w:val="000000" w:themeColor="text1"/>
          <w:sz w:val="16"/>
          <w:szCs w:val="16"/>
          <w:lang w:val="ru-RU"/>
        </w:rPr>
        <w:softHyphen/>
        <w:t>лялась чистой импровизацией. Никто не согласовывал характеристики моторов и винтов, просто хотели проверить инте</w:t>
      </w:r>
      <w:r w:rsidRPr="00E14102">
        <w:rPr>
          <w:color w:val="000000" w:themeColor="text1"/>
          <w:sz w:val="16"/>
          <w:szCs w:val="16"/>
          <w:lang w:val="ru-RU"/>
        </w:rPr>
        <w:softHyphen/>
        <w:t>ресную идею.</w:t>
      </w:r>
    </w:p>
    <w:p w14:paraId="640FE0D8" w14:textId="77777777" w:rsidR="00B763DA" w:rsidRPr="00E14102" w:rsidRDefault="00B763DA" w:rsidP="00E14102">
      <w:pPr>
        <w:pStyle w:val="a7"/>
        <w:rPr>
          <w:color w:val="000000" w:themeColor="text1"/>
          <w:sz w:val="16"/>
          <w:szCs w:val="16"/>
          <w:lang w:val="ru-RU"/>
        </w:rPr>
      </w:pPr>
      <w:r w:rsidRPr="00E14102">
        <w:rPr>
          <w:color w:val="000000" w:themeColor="text1"/>
          <w:sz w:val="16"/>
          <w:szCs w:val="16"/>
          <w:lang w:val="ru-RU"/>
        </w:rPr>
        <w:lastRenderedPageBreak/>
        <w:t>Чуть позже Вахмистров предложил использовать не самолет-тягач, а быстросъемную дополнительную мотоуста</w:t>
      </w:r>
      <w:r w:rsidRPr="00E14102">
        <w:rPr>
          <w:color w:val="000000" w:themeColor="text1"/>
          <w:sz w:val="16"/>
          <w:szCs w:val="16"/>
          <w:lang w:val="ru-RU"/>
        </w:rPr>
        <w:softHyphen/>
        <w:t xml:space="preserve">новку. Ее можно было бы монтировать </w:t>
      </w:r>
      <w:r w:rsidRPr="00E14102">
        <w:rPr>
          <w:rStyle w:val="82"/>
          <w:b w:val="0"/>
          <w:color w:val="000000" w:themeColor="text1"/>
          <w:sz w:val="16"/>
          <w:szCs w:val="16"/>
          <w:lang w:val="ru-RU"/>
        </w:rPr>
        <w:t>црм</w:t>
      </w:r>
      <w:r w:rsidRPr="00E14102">
        <w:rPr>
          <w:color w:val="000000" w:themeColor="text1"/>
          <w:sz w:val="16"/>
          <w:szCs w:val="16"/>
          <w:lang w:val="ru-RU"/>
        </w:rPr>
        <w:t xml:space="preserve"> выполнении определенных заданий, </w:t>
      </w:r>
      <w:r w:rsidRPr="00E14102">
        <w:rPr>
          <w:rStyle w:val="82"/>
          <w:b w:val="0"/>
          <w:color w:val="000000" w:themeColor="text1"/>
          <w:sz w:val="16"/>
          <w:szCs w:val="16"/>
          <w:lang w:val="ru-RU"/>
        </w:rPr>
        <w:t>требовавших</w:t>
      </w:r>
      <w:r w:rsidRPr="00E14102">
        <w:rPr>
          <w:color w:val="000000" w:themeColor="text1"/>
          <w:sz w:val="16"/>
          <w:szCs w:val="16"/>
          <w:lang w:val="ru-RU"/>
        </w:rPr>
        <w:t xml:space="preserve"> взлета с перегрузкой, а при</w:t>
      </w:r>
      <w:r w:rsidRPr="00E14102">
        <w:rPr>
          <w:rStyle w:val="91"/>
          <w:color w:val="000000" w:themeColor="text1"/>
          <w:spacing w:val="0"/>
          <w:sz w:val="16"/>
          <w:szCs w:val="16"/>
          <w:lang w:val="ru-RU"/>
        </w:rPr>
        <w:t xml:space="preserve"> </w:t>
      </w:r>
      <w:r w:rsidRPr="00E14102">
        <w:rPr>
          <w:color w:val="000000" w:themeColor="text1"/>
          <w:sz w:val="16"/>
          <w:szCs w:val="16"/>
          <w:lang w:val="ru-RU"/>
        </w:rPr>
        <w:t>отсутствии надобности - снимать. Но и эта концепция осталась нереализованной (17741).</w:t>
      </w:r>
    </w:p>
    <w:p w14:paraId="5031B0E2" w14:textId="77777777" w:rsidR="00B763DA" w:rsidRPr="00E14102" w:rsidRDefault="00B763DA" w:rsidP="00E14102">
      <w:pPr>
        <w:jc w:val="both"/>
        <w:rPr>
          <w:color w:val="000000" w:themeColor="text1"/>
          <w:sz w:val="16"/>
          <w:szCs w:val="16"/>
        </w:rPr>
      </w:pPr>
    </w:p>
    <w:p w14:paraId="1D5BB5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закончились заводские испытания СБ, которые проходили с декабря 1934 (7717, 16).</w:t>
      </w:r>
    </w:p>
    <w:p w14:paraId="62602209" w14:textId="77777777" w:rsidR="00D4105E" w:rsidRPr="00E14102" w:rsidRDefault="00D4105E" w:rsidP="00E14102">
      <w:pPr>
        <w:autoSpaceDE w:val="0"/>
        <w:autoSpaceDN w:val="0"/>
        <w:adjustRightInd w:val="0"/>
        <w:jc w:val="both"/>
        <w:rPr>
          <w:color w:val="000000" w:themeColor="text1"/>
          <w:sz w:val="16"/>
          <w:szCs w:val="16"/>
        </w:rPr>
      </w:pPr>
    </w:p>
    <w:p w14:paraId="1D06AFA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феврале 1935 года был подготовлен Отчет по испытанию самолета СБ с 2-мя моторами Испано-Сюиза 12 (6704).</w:t>
      </w:r>
    </w:p>
    <w:p w14:paraId="248D61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5ED7B3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ЛИС НИИ Петров</w:t>
      </w:r>
    </w:p>
    <w:p w14:paraId="140C4AA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НИО ОСС НИИ – Филин</w:t>
      </w:r>
    </w:p>
    <w:p w14:paraId="36979B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 ЛИСа - Подлесецкий</w:t>
      </w:r>
    </w:p>
    <w:p w14:paraId="713BA3C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Летчик – Миндер</w:t>
      </w:r>
    </w:p>
    <w:p w14:paraId="1807973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763FCA6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летно-тактических и боевых данных самолета СБ (скоростной бомбардировщик) в зимних условиях (на лыжах).</w:t>
      </w:r>
    </w:p>
    <w:p w14:paraId="0844B39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EA9E67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1. Наличие у самолета СБ больших максимальных скоростей, большого потолка и мощного вооружения, ставящих его в разряд одного из лучших в мире скоростных бомбардировщиков требуют скорейшего введения его на вооружение ВС.</w:t>
      </w:r>
    </w:p>
    <w:p w14:paraId="66FA674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8505"/>
      </w:tblGrid>
      <w:tr w:rsidR="00E3599D" w:rsidRPr="00E14102" w14:paraId="0D27AA76" w14:textId="77777777">
        <w:tc>
          <w:tcPr>
            <w:tcW w:w="2093" w:type="dxa"/>
            <w:tcBorders>
              <w:top w:val="single" w:sz="12" w:space="0" w:color="auto"/>
            </w:tcBorders>
          </w:tcPr>
          <w:p w14:paraId="2F59BE2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февраля 1935 года</w:t>
            </w:r>
          </w:p>
        </w:tc>
        <w:tc>
          <w:tcPr>
            <w:tcW w:w="8505" w:type="dxa"/>
            <w:tcBorders>
              <w:top w:val="single" w:sz="12" w:space="0" w:color="auto"/>
            </w:tcBorders>
          </w:tcPr>
          <w:p w14:paraId="20E1AFF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летчиками Юмашевым и Громовым. Испытание стрелковых и бомбардировочных установок с точки зрения возможности прицеливания при различных скоростях и положениях самолета.</w:t>
            </w:r>
          </w:p>
        </w:tc>
      </w:tr>
      <w:tr w:rsidR="00E3599D" w:rsidRPr="00E14102" w14:paraId="40132656" w14:textId="77777777">
        <w:tc>
          <w:tcPr>
            <w:tcW w:w="2093" w:type="dxa"/>
          </w:tcPr>
          <w:p w14:paraId="45C338A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февраля 1935 года</w:t>
            </w:r>
          </w:p>
        </w:tc>
        <w:tc>
          <w:tcPr>
            <w:tcW w:w="8505" w:type="dxa"/>
          </w:tcPr>
          <w:p w14:paraId="6D61129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летчиком Филиным и испытание стрелкового и бомбардировочного вооружения.</w:t>
            </w:r>
          </w:p>
        </w:tc>
      </w:tr>
      <w:tr w:rsidR="00E3599D" w:rsidRPr="00E14102" w14:paraId="71C60E1E" w14:textId="77777777">
        <w:tc>
          <w:tcPr>
            <w:tcW w:w="2093" w:type="dxa"/>
          </w:tcPr>
          <w:p w14:paraId="39B2984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февраля 1935 года</w:t>
            </w:r>
          </w:p>
        </w:tc>
        <w:tc>
          <w:tcPr>
            <w:tcW w:w="8505" w:type="dxa"/>
          </w:tcPr>
          <w:p w14:paraId="13885F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километраж, бомбометание 1/500 с 1500 м высоты на максимальной скорости и наблюдение за открыванием и закрыванием бомбового люка при разных скоростях. Полет на зубцы и стрельба из передней установки на различных скоростях и высотах: 2000, 3000, 4500 и 6000 м.</w:t>
            </w:r>
          </w:p>
        </w:tc>
      </w:tr>
      <w:tr w:rsidR="00E3599D" w:rsidRPr="00E14102" w14:paraId="095E22FC" w14:textId="77777777">
        <w:tc>
          <w:tcPr>
            <w:tcW w:w="2093" w:type="dxa"/>
          </w:tcPr>
          <w:p w14:paraId="56187EB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 февраля 1935 года</w:t>
            </w:r>
          </w:p>
        </w:tc>
        <w:tc>
          <w:tcPr>
            <w:tcW w:w="8505" w:type="dxa"/>
          </w:tcPr>
          <w:p w14:paraId="04C15EC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потолок. Полет на стрельбу из передней установки на различных скоростях. Полет на бомбометание 2/250 кг и стрельба из заднего пулемета.</w:t>
            </w:r>
          </w:p>
        </w:tc>
      </w:tr>
      <w:tr w:rsidR="00E3599D" w:rsidRPr="00E14102" w14:paraId="01D8F10E" w14:textId="77777777">
        <w:tc>
          <w:tcPr>
            <w:tcW w:w="2093" w:type="dxa"/>
          </w:tcPr>
          <w:p w14:paraId="7B70C8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февраля 1935 года</w:t>
            </w:r>
          </w:p>
        </w:tc>
        <w:tc>
          <w:tcPr>
            <w:tcW w:w="8505" w:type="dxa"/>
          </w:tcPr>
          <w:p w14:paraId="30C7F3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летчиком Громовым и выявление причин перегрева мотора.</w:t>
            </w:r>
          </w:p>
        </w:tc>
      </w:tr>
      <w:tr w:rsidR="00E3599D" w:rsidRPr="00E14102" w14:paraId="58D82B3A" w14:textId="77777777">
        <w:tc>
          <w:tcPr>
            <w:tcW w:w="2093" w:type="dxa"/>
          </w:tcPr>
          <w:p w14:paraId="7AA449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18 февраля 1935 года</w:t>
            </w:r>
          </w:p>
        </w:tc>
        <w:tc>
          <w:tcPr>
            <w:tcW w:w="8505" w:type="dxa"/>
          </w:tcPr>
          <w:p w14:paraId="0BA8768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летчиками Филиным и Петровым.</w:t>
            </w:r>
          </w:p>
        </w:tc>
      </w:tr>
      <w:tr w:rsidR="00E3599D" w:rsidRPr="00E14102" w14:paraId="40972292" w14:textId="77777777">
        <w:tc>
          <w:tcPr>
            <w:tcW w:w="2093" w:type="dxa"/>
            <w:tcBorders>
              <w:bottom w:val="single" w:sz="12" w:space="0" w:color="auto"/>
            </w:tcBorders>
          </w:tcPr>
          <w:p w14:paraId="77FF388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февраля 1935 года</w:t>
            </w:r>
          </w:p>
        </w:tc>
        <w:tc>
          <w:tcPr>
            <w:tcW w:w="8505" w:type="dxa"/>
            <w:tcBorders>
              <w:bottom w:val="single" w:sz="12" w:space="0" w:color="auto"/>
            </w:tcBorders>
          </w:tcPr>
          <w:p w14:paraId="1528281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потолок.</w:t>
            </w:r>
          </w:p>
        </w:tc>
      </w:tr>
    </w:tbl>
    <w:p w14:paraId="01160C9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Налет самолета СБ</w:t>
      </w:r>
    </w:p>
    <w:p w14:paraId="45ECBBC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 испытании ОЭЛИД ЦАГИ с 29 декабря 1934 года по 6 февраля 1935 года:</w:t>
      </w:r>
    </w:p>
    <w:p w14:paraId="25EC24A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Полетов – 21, налет 9 час. 42 мин</w:t>
      </w:r>
    </w:p>
    <w:p w14:paraId="6F47B0F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 испытании НИИ ВС с 8 февраля по 19 февраля 1935 года:</w:t>
      </w:r>
    </w:p>
    <w:p w14:paraId="2C5C4B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Полетов – 17, налет 10 час. 20 мин.</w:t>
      </w:r>
    </w:p>
    <w:p w14:paraId="6BCECC0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Всего полетов 38, налет – 20 час. 02 мин. (6704).</w:t>
      </w:r>
    </w:p>
    <w:p w14:paraId="77765FF7"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5979AE2" w14:textId="77777777" w:rsidR="0089038A" w:rsidRPr="00E14102" w:rsidRDefault="0089038A" w:rsidP="00E14102">
      <w:pPr>
        <w:pStyle w:val="2540"/>
        <w:shd w:val="clear" w:color="auto" w:fill="auto"/>
        <w:spacing w:line="240" w:lineRule="auto"/>
        <w:ind w:firstLine="0"/>
        <w:jc w:val="both"/>
        <w:rPr>
          <w:rStyle w:val="174"/>
          <w:rFonts w:ascii="Times New Roman" w:hAnsi="Times New Roman" w:cs="Times New Roman"/>
          <w:color w:val="0070C0"/>
          <w:sz w:val="16"/>
          <w:szCs w:val="16"/>
        </w:rPr>
      </w:pPr>
      <w:r w:rsidRPr="00E14102">
        <w:rPr>
          <w:rStyle w:val="174"/>
          <w:rFonts w:ascii="Times New Roman" w:hAnsi="Times New Roman" w:cs="Times New Roman"/>
          <w:color w:val="0070C0"/>
          <w:sz w:val="16"/>
          <w:szCs w:val="16"/>
          <w:lang w:val="ru-RU"/>
        </w:rPr>
        <w:t>В</w:t>
      </w:r>
      <w:r w:rsidRPr="00E14102">
        <w:rPr>
          <w:rStyle w:val="175"/>
          <w:rFonts w:ascii="Times New Roman" w:hAnsi="Times New Roman" w:cs="Times New Roman"/>
          <w:color w:val="0070C0"/>
          <w:sz w:val="16"/>
          <w:szCs w:val="16"/>
        </w:rPr>
        <w:t xml:space="preserve"> </w:t>
      </w:r>
      <w:r w:rsidRPr="00E14102">
        <w:rPr>
          <w:rStyle w:val="174"/>
          <w:rFonts w:ascii="Times New Roman" w:hAnsi="Times New Roman" w:cs="Times New Roman"/>
          <w:color w:val="0070C0"/>
          <w:sz w:val="16"/>
          <w:szCs w:val="16"/>
        </w:rPr>
        <w:t>феврале 1935 года Я.И. Алкснис, не соглас</w:t>
      </w:r>
      <w:r w:rsidRPr="00E14102">
        <w:rPr>
          <w:rStyle w:val="174"/>
          <w:rFonts w:ascii="Times New Roman" w:hAnsi="Times New Roman" w:cs="Times New Roman"/>
          <w:color w:val="0070C0"/>
          <w:sz w:val="16"/>
          <w:szCs w:val="16"/>
        </w:rPr>
        <w:softHyphen/>
        <w:t>ный со сроками готовности самолета,</w:t>
      </w:r>
      <w:r w:rsidRPr="00E14102">
        <w:rPr>
          <w:rStyle w:val="175"/>
          <w:rFonts w:ascii="Times New Roman" w:hAnsi="Times New Roman" w:cs="Times New Roman"/>
          <w:color w:val="0070C0"/>
          <w:sz w:val="16"/>
          <w:szCs w:val="16"/>
        </w:rPr>
        <w:t xml:space="preserve"> </w:t>
      </w:r>
      <w:r w:rsidRPr="00E14102">
        <w:rPr>
          <w:rStyle w:val="174"/>
          <w:rFonts w:ascii="Times New Roman" w:hAnsi="Times New Roman" w:cs="Times New Roman"/>
          <w:color w:val="0070C0"/>
          <w:sz w:val="16"/>
          <w:szCs w:val="16"/>
        </w:rPr>
        <w:t>заявленными ГУАП, писал, что постройка в</w:t>
      </w:r>
      <w:r w:rsidRPr="00E14102">
        <w:rPr>
          <w:rStyle w:val="175"/>
          <w:rFonts w:ascii="Times New Roman" w:hAnsi="Times New Roman" w:cs="Times New Roman"/>
          <w:color w:val="0070C0"/>
          <w:sz w:val="16"/>
          <w:szCs w:val="16"/>
        </w:rPr>
        <w:t xml:space="preserve"> </w:t>
      </w:r>
      <w:r w:rsidRPr="00E14102">
        <w:rPr>
          <w:rStyle w:val="174"/>
          <w:rFonts w:ascii="Times New Roman" w:hAnsi="Times New Roman" w:cs="Times New Roman"/>
          <w:color w:val="0070C0"/>
          <w:sz w:val="16"/>
          <w:szCs w:val="16"/>
        </w:rPr>
        <w:t>1936 году самолета</w:t>
      </w:r>
      <w:r w:rsidRPr="00E14102">
        <w:rPr>
          <w:rStyle w:val="174"/>
          <w:rFonts w:ascii="Times New Roman" w:hAnsi="Times New Roman" w:cs="Times New Roman"/>
          <w:color w:val="0070C0"/>
          <w:sz w:val="16"/>
          <w:szCs w:val="16"/>
          <w:lang w:val="ru-RU"/>
        </w:rPr>
        <w:t xml:space="preserve"> разведчика</w:t>
      </w:r>
      <w:r w:rsidRPr="00E14102">
        <w:rPr>
          <w:rStyle w:val="174"/>
          <w:rFonts w:ascii="Times New Roman" w:hAnsi="Times New Roman" w:cs="Times New Roman"/>
          <w:color w:val="0070C0"/>
          <w:sz w:val="16"/>
          <w:szCs w:val="16"/>
        </w:rPr>
        <w:t xml:space="preserve"> с невысотным мотором М-</w:t>
      </w:r>
      <w:r w:rsidRPr="00E14102">
        <w:rPr>
          <w:rStyle w:val="175"/>
          <w:rFonts w:ascii="Times New Roman" w:hAnsi="Times New Roman" w:cs="Times New Roman"/>
          <w:color w:val="0070C0"/>
          <w:sz w:val="16"/>
          <w:szCs w:val="16"/>
        </w:rPr>
        <w:t xml:space="preserve"> </w:t>
      </w:r>
      <w:r w:rsidRPr="00E14102">
        <w:rPr>
          <w:rStyle w:val="174"/>
          <w:rFonts w:ascii="Times New Roman" w:hAnsi="Times New Roman" w:cs="Times New Roman"/>
          <w:color w:val="0070C0"/>
          <w:sz w:val="16"/>
          <w:szCs w:val="16"/>
        </w:rPr>
        <w:t>22 будет нецелесообразной. В унисон Кага</w:t>
      </w:r>
      <w:r w:rsidRPr="00E14102">
        <w:rPr>
          <w:rStyle w:val="174"/>
          <w:rFonts w:ascii="Times New Roman" w:hAnsi="Times New Roman" w:cs="Times New Roman"/>
          <w:color w:val="0070C0"/>
          <w:sz w:val="16"/>
          <w:szCs w:val="16"/>
        </w:rPr>
        <w:softHyphen/>
        <w:t>новичу он предлагал заменить мотор М-22</w:t>
      </w:r>
      <w:r w:rsidRPr="00E14102">
        <w:rPr>
          <w:rStyle w:val="175"/>
          <w:rFonts w:ascii="Times New Roman" w:hAnsi="Times New Roman" w:cs="Times New Roman"/>
          <w:color w:val="0070C0"/>
          <w:sz w:val="16"/>
          <w:szCs w:val="16"/>
        </w:rPr>
        <w:t xml:space="preserve"> </w:t>
      </w:r>
      <w:r w:rsidRPr="00E14102">
        <w:rPr>
          <w:rStyle w:val="174"/>
          <w:rFonts w:ascii="Times New Roman" w:hAnsi="Times New Roman" w:cs="Times New Roman"/>
          <w:color w:val="0070C0"/>
          <w:sz w:val="16"/>
          <w:szCs w:val="16"/>
        </w:rPr>
        <w:t>высотным мотором М-75 («Гном-Рон Мист</w:t>
      </w:r>
      <w:r w:rsidRPr="00E14102">
        <w:rPr>
          <w:rStyle w:val="174"/>
          <w:rFonts w:ascii="Times New Roman" w:hAnsi="Times New Roman" w:cs="Times New Roman"/>
          <w:color w:val="0070C0"/>
          <w:sz w:val="16"/>
          <w:szCs w:val="16"/>
        </w:rPr>
        <w:softHyphen/>
        <w:t>раль 9 К»), производство которого планиро</w:t>
      </w:r>
      <w:r w:rsidRPr="00E14102">
        <w:rPr>
          <w:rStyle w:val="174"/>
          <w:rFonts w:ascii="Times New Roman" w:hAnsi="Times New Roman" w:cs="Times New Roman"/>
          <w:color w:val="0070C0"/>
          <w:sz w:val="16"/>
          <w:szCs w:val="16"/>
        </w:rPr>
        <w:softHyphen/>
        <w:t>вали развернуть на заводе № 29 в дополне</w:t>
      </w:r>
      <w:r w:rsidRPr="00E14102">
        <w:rPr>
          <w:rStyle w:val="174"/>
          <w:rFonts w:ascii="Times New Roman" w:hAnsi="Times New Roman" w:cs="Times New Roman"/>
          <w:color w:val="0070C0"/>
          <w:sz w:val="16"/>
          <w:szCs w:val="16"/>
        </w:rPr>
        <w:softHyphen/>
        <w:t>ние к выпуску М-85</w:t>
      </w:r>
      <w:r w:rsidRPr="00E14102">
        <w:rPr>
          <w:rStyle w:val="174"/>
          <w:rFonts w:ascii="Times New Roman" w:hAnsi="Times New Roman" w:cs="Times New Roman"/>
          <w:color w:val="0070C0"/>
          <w:sz w:val="16"/>
          <w:szCs w:val="16"/>
          <w:lang w:val="ru-RU"/>
        </w:rPr>
        <w:t xml:space="preserve"> (19898)</w:t>
      </w:r>
      <w:r w:rsidRPr="00E14102">
        <w:rPr>
          <w:rStyle w:val="174"/>
          <w:rFonts w:ascii="Times New Roman" w:hAnsi="Times New Roman" w:cs="Times New Roman"/>
          <w:color w:val="0070C0"/>
          <w:sz w:val="16"/>
          <w:szCs w:val="16"/>
        </w:rPr>
        <w:t xml:space="preserve">. </w:t>
      </w:r>
    </w:p>
    <w:p w14:paraId="141D9543" w14:textId="77777777" w:rsidR="0089038A" w:rsidRPr="00E14102" w:rsidRDefault="0089038A" w:rsidP="00E14102">
      <w:pPr>
        <w:pStyle w:val="2540"/>
        <w:shd w:val="clear" w:color="auto" w:fill="auto"/>
        <w:spacing w:line="240" w:lineRule="auto"/>
        <w:ind w:firstLine="0"/>
        <w:jc w:val="both"/>
        <w:rPr>
          <w:rStyle w:val="174"/>
          <w:rFonts w:ascii="Times New Roman" w:hAnsi="Times New Roman" w:cs="Times New Roman"/>
          <w:color w:val="0070C0"/>
          <w:sz w:val="16"/>
          <w:szCs w:val="16"/>
        </w:rPr>
      </w:pPr>
    </w:p>
    <w:p w14:paraId="134C79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закончили строительство ДИП (АНТ-29), которое шло с сентября 1934. М-34 заменили на М-100 (1454,23).</w:t>
      </w:r>
    </w:p>
    <w:p w14:paraId="77E76754" w14:textId="77777777" w:rsidR="00D4105E" w:rsidRPr="00E14102" w:rsidRDefault="00D4105E" w:rsidP="00E14102">
      <w:pPr>
        <w:autoSpaceDE w:val="0"/>
        <w:autoSpaceDN w:val="0"/>
        <w:adjustRightInd w:val="0"/>
        <w:jc w:val="both"/>
        <w:rPr>
          <w:color w:val="000000" w:themeColor="text1"/>
          <w:sz w:val="16"/>
          <w:szCs w:val="16"/>
        </w:rPr>
      </w:pPr>
    </w:p>
    <w:p w14:paraId="037404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проходили заводские испытания АНТ-29 (ДИП). Возвратили для доработки в ЗОК и продолжили в конце 1935. Летал не очень устойчиво плюс к этому времени уже были свернуты работы по АПК (4,11). Летал Н.Благин, тот самый, что потом погубил МГ (1454,23).</w:t>
      </w:r>
    </w:p>
    <w:p w14:paraId="14E2DCA0" w14:textId="77777777" w:rsidR="00D4105E" w:rsidRPr="00E14102" w:rsidRDefault="00D4105E" w:rsidP="00E14102">
      <w:pPr>
        <w:autoSpaceDE w:val="0"/>
        <w:autoSpaceDN w:val="0"/>
        <w:adjustRightInd w:val="0"/>
        <w:jc w:val="both"/>
        <w:rPr>
          <w:color w:val="000000" w:themeColor="text1"/>
          <w:sz w:val="16"/>
          <w:szCs w:val="16"/>
        </w:rPr>
      </w:pPr>
    </w:p>
    <w:p w14:paraId="5E369F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на одном из Р-5 смонтировали радиостанцию 13СК-2, запитывавшуюся от генератора ДСФ-500 с приводом от мотора (а не от ветрянки, как раньше). Эксперимент кончился неудачно - помехи практически глушили передачу. В июне того же года станцию 13СК-2 скомбинировали с радиополукомпасом. Его рамка располагалась внутри задней части фюзеляжа, фанерный борт ее практически не экранировал. Позднее подобные устройства использовались не столько в военной, сколько в гражданской авиации (12034).</w:t>
      </w:r>
    </w:p>
    <w:p w14:paraId="709E0FE1" w14:textId="77777777" w:rsidR="00D4105E" w:rsidRPr="00E14102" w:rsidRDefault="00D4105E" w:rsidP="00E14102">
      <w:pPr>
        <w:autoSpaceDE w:val="0"/>
        <w:autoSpaceDN w:val="0"/>
        <w:adjustRightInd w:val="0"/>
        <w:jc w:val="both"/>
        <w:rPr>
          <w:color w:val="000000" w:themeColor="text1"/>
          <w:sz w:val="16"/>
          <w:szCs w:val="16"/>
        </w:rPr>
      </w:pPr>
    </w:p>
    <w:p w14:paraId="7AD42D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феврале 1935 г. Н.Н.П. закончил эскизный проект истребителя-моноплана ЦКБ-25 (И-19, потом И-20). Мотор Гном-Рон К-14 раз</w:t>
      </w:r>
      <w:r w:rsidRPr="00E14102">
        <w:rPr>
          <w:color w:val="000000" w:themeColor="text1"/>
          <w:sz w:val="16"/>
          <w:szCs w:val="16"/>
        </w:rPr>
        <w:softHyphen/>
        <w:t>вивал у земли максимальную мощность 670 л.с., на вы</w:t>
      </w:r>
      <w:r w:rsidRPr="00E14102">
        <w:rPr>
          <w:color w:val="000000" w:themeColor="text1"/>
          <w:sz w:val="16"/>
          <w:szCs w:val="16"/>
        </w:rPr>
        <w:softHyphen/>
        <w:t>соте 3740 м - 770 л.с. Длина самолета равнялась 6,6 м, размах -Юм. Вес пустого истребителя составлял 1280 кг, полетный вес - 1740 кг. Вооружение: два пулемета ШКАС в крыле. Предусматривалась установка четырех пулеметов ШКАС в крыле и подвеска 100 кг бомб. Пото</w:t>
      </w:r>
      <w:r w:rsidRPr="00E14102">
        <w:rPr>
          <w:color w:val="000000" w:themeColor="text1"/>
          <w:sz w:val="16"/>
          <w:szCs w:val="16"/>
        </w:rPr>
        <w:softHyphen/>
        <w:t>лок-10000 м (10667).</w:t>
      </w:r>
    </w:p>
    <w:p w14:paraId="38EA8C7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91A7F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феврале 1935 г. Н.Н.П. подготовил эскизный проект (истребитель И-19) с мото</w:t>
      </w:r>
      <w:r w:rsidRPr="00E14102">
        <w:rPr>
          <w:color w:val="000000" w:themeColor="text1"/>
          <w:sz w:val="16"/>
          <w:szCs w:val="16"/>
        </w:rPr>
        <w:softHyphen/>
        <w:t>ром Гном-Рон К-14. На его основе потом решили разработать проект самолета ЦКБ-28 (И-20) и внести в планы бригады № 2 проекти</w:t>
      </w:r>
      <w:r w:rsidRPr="00E14102">
        <w:rPr>
          <w:color w:val="000000" w:themeColor="text1"/>
          <w:sz w:val="16"/>
          <w:szCs w:val="16"/>
        </w:rPr>
        <w:softHyphen/>
        <w:t>рование машин ЦКБ-25 с мотором Испано-Сюиза 12 (И-18), а также ЦКБ-25 с М-34 (И-19) (10667).</w:t>
      </w:r>
    </w:p>
    <w:p w14:paraId="288BD1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4EBBEB3" w14:textId="77777777" w:rsidR="0089038A" w:rsidRPr="00E14102" w:rsidRDefault="0089038A" w:rsidP="00E14102">
      <w:pPr>
        <w:shd w:val="clear" w:color="auto" w:fill="FFFFFF"/>
        <w:jc w:val="both"/>
        <w:rPr>
          <w:rStyle w:val="441"/>
          <w:rFonts w:ascii="Times New Roman" w:hAnsi="Times New Roman" w:cs="Times New Roman"/>
          <w:i w:val="0"/>
          <w:iCs w:val="0"/>
          <w:color w:val="0070C0"/>
          <w:sz w:val="16"/>
          <w:szCs w:val="16"/>
        </w:rPr>
      </w:pPr>
      <w:r w:rsidRPr="00E14102">
        <w:rPr>
          <w:rStyle w:val="442"/>
          <w:rFonts w:ascii="Times New Roman" w:hAnsi="Times New Roman" w:cs="Times New Roman"/>
          <w:color w:val="0070C0"/>
          <w:sz w:val="16"/>
          <w:szCs w:val="16"/>
        </w:rPr>
        <w:t>В феврале 1935 года иркутский серийный И-14 совершил первый полет, но даже летом сда</w:t>
      </w:r>
      <w:r w:rsidRPr="00E14102">
        <w:rPr>
          <w:rStyle w:val="442"/>
          <w:rFonts w:ascii="Times New Roman" w:hAnsi="Times New Roman" w:cs="Times New Roman"/>
          <w:color w:val="0070C0"/>
          <w:sz w:val="16"/>
          <w:szCs w:val="16"/>
        </w:rPr>
        <w:softHyphen/>
        <w:t>вать военным было нечего. Помимо производ</w:t>
      </w:r>
      <w:r w:rsidRPr="00E14102">
        <w:rPr>
          <w:rStyle w:val="442"/>
          <w:rFonts w:ascii="Times New Roman" w:hAnsi="Times New Roman" w:cs="Times New Roman"/>
          <w:color w:val="0070C0"/>
          <w:sz w:val="16"/>
          <w:szCs w:val="16"/>
        </w:rPr>
        <w:softHyphen/>
        <w:t>ственных дефектов, самолет имел проблемы с прочностью, полностью отсутствовало ос</w:t>
      </w:r>
      <w:r w:rsidRPr="00E14102">
        <w:rPr>
          <w:rStyle w:val="442"/>
          <w:rFonts w:ascii="Times New Roman" w:hAnsi="Times New Roman" w:cs="Times New Roman"/>
          <w:color w:val="0070C0"/>
          <w:sz w:val="16"/>
          <w:szCs w:val="16"/>
        </w:rPr>
        <w:softHyphen/>
        <w:t>новное вооружение - пушки АПК-11. В уже упо</w:t>
      </w:r>
      <w:r w:rsidRPr="00E14102">
        <w:rPr>
          <w:rStyle w:val="442"/>
          <w:rFonts w:ascii="Times New Roman" w:hAnsi="Times New Roman" w:cs="Times New Roman"/>
          <w:color w:val="0070C0"/>
          <w:sz w:val="16"/>
          <w:szCs w:val="16"/>
        </w:rPr>
        <w:softHyphen/>
        <w:t>мянутом постановлении СТО № ОК-3сс «О ра</w:t>
      </w:r>
      <w:r w:rsidRPr="00E14102">
        <w:rPr>
          <w:rStyle w:val="442"/>
          <w:rFonts w:ascii="Times New Roman" w:hAnsi="Times New Roman" w:cs="Times New Roman"/>
          <w:color w:val="0070C0"/>
          <w:sz w:val="16"/>
          <w:szCs w:val="16"/>
        </w:rPr>
        <w:softHyphen/>
        <w:t>боте авиационной промышленности» от 8 января 1936 года про И-14 говорилось: «Раз</w:t>
      </w:r>
      <w:r w:rsidRPr="00E14102">
        <w:rPr>
          <w:rStyle w:val="442"/>
          <w:rFonts w:ascii="Times New Roman" w:hAnsi="Times New Roman" w:cs="Times New Roman"/>
          <w:color w:val="0070C0"/>
          <w:sz w:val="16"/>
          <w:szCs w:val="16"/>
        </w:rPr>
        <w:softHyphen/>
        <w:t>решить НКТП (ГУАП) собрать и выпустить в 1936 году на заводе № 125 из имеющегося за</w:t>
      </w:r>
      <w:r w:rsidRPr="00E14102">
        <w:rPr>
          <w:rStyle w:val="442"/>
          <w:rFonts w:ascii="Times New Roman" w:hAnsi="Times New Roman" w:cs="Times New Roman"/>
          <w:color w:val="0070C0"/>
          <w:sz w:val="16"/>
          <w:szCs w:val="16"/>
        </w:rPr>
        <w:softHyphen/>
        <w:t>дела 50 самолетов И-14 в пулеметном вари</w:t>
      </w:r>
      <w:r w:rsidRPr="00E14102">
        <w:rPr>
          <w:rStyle w:val="442"/>
          <w:rFonts w:ascii="Times New Roman" w:hAnsi="Times New Roman" w:cs="Times New Roman"/>
          <w:color w:val="0070C0"/>
          <w:sz w:val="16"/>
          <w:szCs w:val="16"/>
        </w:rPr>
        <w:softHyphen/>
        <w:t>анте УВС 1935 г., т. е. с прочностью 11,5, а УВС при</w:t>
      </w:r>
      <w:r w:rsidRPr="00E14102">
        <w:rPr>
          <w:rStyle w:val="442"/>
          <w:rFonts w:ascii="Times New Roman" w:hAnsi="Times New Roman" w:cs="Times New Roman"/>
          <w:color w:val="0070C0"/>
          <w:sz w:val="16"/>
          <w:szCs w:val="16"/>
        </w:rPr>
        <w:softHyphen/>
        <w:t>нять эти машины. ЦАГИ продолжить работу над самолетом И-14 и в месячный срок пред</w:t>
      </w:r>
      <w:r w:rsidRPr="00E14102">
        <w:rPr>
          <w:rStyle w:val="442"/>
          <w:rFonts w:ascii="Times New Roman" w:hAnsi="Times New Roman" w:cs="Times New Roman"/>
          <w:color w:val="0070C0"/>
          <w:sz w:val="16"/>
          <w:szCs w:val="16"/>
        </w:rPr>
        <w:softHyphen/>
        <w:t>ставить свои соображения о доведении ма</w:t>
      </w:r>
      <w:r w:rsidRPr="00E14102">
        <w:rPr>
          <w:rStyle w:val="442"/>
          <w:rFonts w:ascii="Times New Roman" w:hAnsi="Times New Roman" w:cs="Times New Roman"/>
          <w:color w:val="0070C0"/>
          <w:sz w:val="16"/>
          <w:szCs w:val="16"/>
        </w:rPr>
        <w:softHyphen/>
        <w:t>шины до прочности 13» (19871)</w:t>
      </w:r>
      <w:r w:rsidRPr="00E14102">
        <w:rPr>
          <w:rStyle w:val="441"/>
          <w:rFonts w:ascii="Times New Roman" w:hAnsi="Times New Roman" w:cs="Times New Roman"/>
          <w:color w:val="0070C0"/>
          <w:sz w:val="16"/>
          <w:szCs w:val="16"/>
        </w:rPr>
        <w:t>.</w:t>
      </w:r>
    </w:p>
    <w:p w14:paraId="62FF87C8" w14:textId="77777777" w:rsidR="0089038A" w:rsidRPr="00E14102" w:rsidRDefault="0089038A" w:rsidP="00E14102">
      <w:pPr>
        <w:jc w:val="both"/>
        <w:rPr>
          <w:color w:val="0070C0"/>
          <w:sz w:val="16"/>
          <w:szCs w:val="16"/>
        </w:rPr>
      </w:pPr>
    </w:p>
    <w:p w14:paraId="16F7DF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года завод № 125 окончил изготовление головной машины И-14.</w:t>
      </w:r>
    </w:p>
    <w:p w14:paraId="3E32AD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Серийное производство И-14 развернулось только через полгода после выпуска головной машины. В январе 1936 года было дано задание освоить в серийном производстве машину ПИ (пушечный истребитель). В мае 1936 года машина была снята с производства. С мая 1936 года завод перешел на освоение машины СБ.</w:t>
      </w:r>
    </w:p>
    <w:p w14:paraId="3944A6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находилась на производстве на заводе до конца 1940 года.</w:t>
      </w:r>
    </w:p>
    <w:p w14:paraId="19C253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СНК и ЦК ВКП(б) от 8 января 1941 года и приказом НКАП № 36сс от 18 января 1941 года заводу было дано задание освоить и запустить в серийное производство машину ПЕ-2.</w:t>
      </w:r>
    </w:p>
    <w:p w14:paraId="4F0014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Решением СНК № 2125РС от 27 июня 1941 года заводу № 125 передается со всем оборудованием и личным составом завод № 104 НКО (типовой авторемонтный завод, именуемый при строительстве ГАРЗ № 4). В эксплуатацию он был пущен также в 1934 году. В 1940 году занимался ремонтом грузовых автомобилей, танков, моторов к танкам.</w:t>
      </w:r>
    </w:p>
    <w:p w14:paraId="51259E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Расположен завод № 104 от завода № 125 на расстоянии 2 км в сторону Иркутска в восточном направлении.</w:t>
      </w:r>
    </w:p>
    <w:p w14:paraId="2B4C6D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это время приказом НКАП № 623с от 5 июля 1941 года в завод № 125, как его филиал вливается авиазавод № 99, находящийся в Улан-Удэ. До 24 августа 1942 года этот завод изготовлял для самолета ПЕ-2 хвостовую часть фюзеляжа Ф-3.</w:t>
      </w:r>
    </w:p>
    <w:p w14:paraId="2E19A8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Решением ГОКО № 2209сс от 24 августа 1942 года он выделен как самостоятельный завод № 99.</w:t>
      </w:r>
    </w:p>
    <w:p w14:paraId="295E1D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Головной самолет ПЕ-2 по сборке был сдан в июле 1941 года. В октябре, ноябре, декабре 1941 года на площади завода № 125 постановлением Совета эвакуации № 14323 СЭ от 6 октября 1941 года был эвакуирован из Москвы авиазавод № 39 им. Менжинского. Директор объединенного завода Иосилович.</w:t>
      </w:r>
    </w:p>
    <w:p w14:paraId="1A953C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дальнейшем завод № 125 именуется завод № 39.</w:t>
      </w:r>
    </w:p>
    <w:p w14:paraId="6A3B03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Слияние завода № 125, 104 и 99, эвакуация завода № 39 резко увеличило количество площадей и работающих.</w:t>
      </w:r>
    </w:p>
    <w:p w14:paraId="7504F5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короткий период изготовления ПЕ-2 (февраль-август 1941 года) завод сумел освоить и дать ряд модификаций машины ПЕ-2, ПЕ-3, ПЕ-3 БИС наряду с полной отработкой самой машины ПЕ-2 и доведением выпуска до масштабов крупно-серийного производства.</w:t>
      </w:r>
    </w:p>
    <w:p w14:paraId="5A3E59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ГОКО от 3 августа 1942 года № 2134 и приказом НКАП № 589с от 5 августа 1942 года завод получил задание осовить и запустить в серийное производство машину ИЛ-4.</w:t>
      </w:r>
    </w:p>
    <w:p w14:paraId="24FC46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7D1A8C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7E87D7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3C52E7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538897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Головную машину ТУ-2 завод выпустил 30 июня 1947 года.</w:t>
      </w:r>
    </w:p>
    <w:p w14:paraId="3A2087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ТУ-2 завод выпускал в течение 1947-1949 гг.</w:t>
      </w:r>
    </w:p>
    <w:p w14:paraId="0CF3DF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 В начале сентября 1949 года все работы по запуску в производство ИЛ-28 были приостановлены в связи с изменением задания.</w:t>
      </w:r>
    </w:p>
    <w:p w14:paraId="02E36F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6A4AB5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4F11F7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И.о. директора – Гордин</w:t>
      </w:r>
    </w:p>
    <w:p w14:paraId="7F5DE4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Иркутская область, п/я 411</w:t>
      </w:r>
    </w:p>
    <w:p w14:paraId="501B68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Производственный профиль – самолетостроение</w:t>
      </w:r>
    </w:p>
    <w:p w14:paraId="468840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74177C79" w14:textId="77777777" w:rsidR="00D4105E" w:rsidRPr="00E14102" w:rsidRDefault="00D4105E" w:rsidP="00E14102">
      <w:pPr>
        <w:autoSpaceDE w:val="0"/>
        <w:autoSpaceDN w:val="0"/>
        <w:adjustRightInd w:val="0"/>
        <w:jc w:val="both"/>
        <w:rPr>
          <w:color w:val="000000" w:themeColor="text1"/>
          <w:sz w:val="16"/>
          <w:szCs w:val="16"/>
        </w:rPr>
      </w:pPr>
    </w:p>
    <w:p w14:paraId="440F18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заводской л-и И.И.Лагутин совершил полет первый серийный И-14бис 125 завода в Иркутске с РЦ 712 нр - М-25. Всего построили 55 и приняли 18-19 + 4 в Новосибирске на 153 заводе. Затянулись работы по улучшению штопорных характеристик (1719,46). Эта машина имела РЦ SR-1820-F3 (640/720 нр), шасси с колеей 1550 мм и вооружение из 2хШКАС в фюзеляже и 2хШКАС в крыле. В воздухе стрелял ли НИИ ВВС П.М.Стефановский. Хотели заказать 30 4-пулеметных машин для проведения войсковых испытаний (4020,14).</w:t>
      </w:r>
    </w:p>
    <w:p w14:paraId="121D92AB" w14:textId="77777777" w:rsidR="00D4105E" w:rsidRPr="00E14102" w:rsidRDefault="00D4105E" w:rsidP="00E14102">
      <w:pPr>
        <w:autoSpaceDE w:val="0"/>
        <w:autoSpaceDN w:val="0"/>
        <w:adjustRightInd w:val="0"/>
        <w:jc w:val="both"/>
        <w:rPr>
          <w:color w:val="000000" w:themeColor="text1"/>
          <w:sz w:val="16"/>
          <w:szCs w:val="16"/>
        </w:rPr>
      </w:pPr>
    </w:p>
    <w:p w14:paraId="139054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г. головной И -14 завода № 125 был предъявлен для летных испытаний. Поднял его в воздух летчик И.И.Лагутин - первый летчик-испытатель авиазавода №125. Для завода это был праздник, но в Наркомате сочли, что задание в срок не выполнено и В.Г.Ирьянов был освобожден от должности директора завода № 125 и направлен в распоряжение управления кадров Наркомтяжпрома.</w:t>
      </w:r>
    </w:p>
    <w:p w14:paraId="22F678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Отдел кадров Наркомата направил Ирьянова на строительство завода № 83 в г. Хабаровск, где он работал в должностях начальника тарифно-нормировочного бюро, председателем завкома и начальником отдела ка 11итального строительства (12037).</w:t>
      </w:r>
    </w:p>
    <w:p w14:paraId="648076E3" w14:textId="77777777" w:rsidR="00D4105E" w:rsidRPr="00E14102" w:rsidRDefault="00D4105E" w:rsidP="00E14102">
      <w:pPr>
        <w:autoSpaceDE w:val="0"/>
        <w:autoSpaceDN w:val="0"/>
        <w:adjustRightInd w:val="0"/>
        <w:jc w:val="both"/>
        <w:rPr>
          <w:color w:val="000000" w:themeColor="text1"/>
          <w:sz w:val="16"/>
          <w:szCs w:val="16"/>
        </w:rPr>
      </w:pPr>
    </w:p>
    <w:p w14:paraId="2F5DCD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АИР-6 в арктическом варианте с утеплением прошел гос. испытания и был передан в ГУ СМП. На нем в феврале же л Щитков вылетел на нем в Тюмень для обслуживания обской линии Тюмень-Самарово - сейчас это Ханто-Мансийск и с марта 1935 на линии работало три АИР-6 (3550,12).</w:t>
      </w:r>
    </w:p>
    <w:p w14:paraId="3CAE6FBF" w14:textId="77777777" w:rsidR="00D4105E" w:rsidRPr="00E14102" w:rsidRDefault="00D4105E" w:rsidP="00E14102">
      <w:pPr>
        <w:autoSpaceDE w:val="0"/>
        <w:autoSpaceDN w:val="0"/>
        <w:adjustRightInd w:val="0"/>
        <w:jc w:val="both"/>
        <w:rPr>
          <w:color w:val="000000" w:themeColor="text1"/>
          <w:sz w:val="16"/>
          <w:szCs w:val="16"/>
        </w:rPr>
      </w:pPr>
    </w:p>
    <w:p w14:paraId="0B01C6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Алкснис включил прозрачный самолет в план работ ВВА и приказал срочно выделить для этого АИР-6 (7460).</w:t>
      </w:r>
    </w:p>
    <w:p w14:paraId="5E2A2892" w14:textId="77777777" w:rsidR="00D4105E" w:rsidRPr="00E14102" w:rsidRDefault="00D4105E" w:rsidP="00E14102">
      <w:pPr>
        <w:autoSpaceDE w:val="0"/>
        <w:autoSpaceDN w:val="0"/>
        <w:adjustRightInd w:val="0"/>
        <w:jc w:val="both"/>
        <w:rPr>
          <w:color w:val="000000" w:themeColor="text1"/>
          <w:sz w:val="16"/>
          <w:szCs w:val="16"/>
        </w:rPr>
      </w:pPr>
    </w:p>
    <w:p w14:paraId="126348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МБР-5 П.Д.Самсонова был перевезен в Таганрог на завод 31 и там собрали только в сентябрю 1935 (2555,69).</w:t>
      </w:r>
    </w:p>
    <w:p w14:paraId="05E9B954" w14:textId="77777777" w:rsidR="00D4105E" w:rsidRPr="00E14102" w:rsidRDefault="00D4105E" w:rsidP="00E14102">
      <w:pPr>
        <w:autoSpaceDE w:val="0"/>
        <w:autoSpaceDN w:val="0"/>
        <w:adjustRightInd w:val="0"/>
        <w:jc w:val="both"/>
        <w:rPr>
          <w:color w:val="000000" w:themeColor="text1"/>
          <w:sz w:val="16"/>
          <w:szCs w:val="16"/>
        </w:rPr>
      </w:pPr>
    </w:p>
    <w:p w14:paraId="72777001" w14:textId="77777777" w:rsidR="00154792" w:rsidRPr="00E14102" w:rsidRDefault="00154792" w:rsidP="00E14102">
      <w:pPr>
        <w:jc w:val="both"/>
        <w:rPr>
          <w:color w:val="000000" w:themeColor="text1"/>
          <w:sz w:val="16"/>
          <w:szCs w:val="16"/>
        </w:rPr>
      </w:pPr>
      <w:r w:rsidRPr="00E14102">
        <w:rPr>
          <w:color w:val="000000" w:themeColor="text1"/>
          <w:sz w:val="16"/>
          <w:szCs w:val="16"/>
        </w:rPr>
        <w:t>В феврале 1935-го арктический вариант самолета АИР-6 прошел госиспытания и был передан в Главное управление Севморпути. В этом же месяце пилот Щитков вылетел в Тюмень для обслуживания обской линии Тюмень - Самарово (Ханты-Мансийск). С марта 1935-го здесь работали три АИР-6. Немало пользы принесли санитарные АИР-6. Несмотря на то, что максимальная высота у этих машин составляла 4500 м, они успешно применялись в горных районах страны. В Киргизии первый санитарный самолет АИР-6 появился в 1935-м. А четверть века спустя, в 1960-м, здесь широко использовались санитарные Як-12, а также, впервые в СССР, вертолеты Ми-1 и Ми-4. За первые 10 месяцев 1960-го десятки первоклассных машин санитарной авиации совершили 1100 вылетов - в 100 раз больше, чем в 1935-м (15727).</w:t>
      </w:r>
    </w:p>
    <w:p w14:paraId="6B10C1CF" w14:textId="77777777" w:rsidR="00154792" w:rsidRPr="00E14102" w:rsidRDefault="00154792" w:rsidP="00E14102">
      <w:pPr>
        <w:jc w:val="both"/>
        <w:rPr>
          <w:color w:val="000000" w:themeColor="text1"/>
          <w:sz w:val="16"/>
          <w:szCs w:val="16"/>
        </w:rPr>
      </w:pPr>
    </w:p>
    <w:p w14:paraId="7CE80E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г. подготовили Тактико-технические требования к МТБ-2 с четырьмя двигателями Гном Рон "Мистраль Мажор" К-14. В сопроводительной документации указывалось, что самолет принят к постройке ЦАГИ постановлением СТО № К-1950 от 27 декабря 1934 г.</w:t>
      </w:r>
    </w:p>
    <w:p w14:paraId="6D7A3D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подготовленных в Управлении ВВС ТТТ указывалось, что МТБ-2 предназначается для ведения боевых действий на всех морских театрах СССР и должен выполнять следующие задачи:</w:t>
      </w:r>
    </w:p>
    <w:p w14:paraId="05A29F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бомбардировка баз и боевых судов противника;</w:t>
      </w:r>
    </w:p>
    <w:p w14:paraId="4AE0B3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дальняя дневная и ночная разведка в открытом море и на побережье противника;</w:t>
      </w:r>
    </w:p>
    <w:p w14:paraId="2943F8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транспортировка людей, боеприпасов и горючего в съемных баках.</w:t>
      </w:r>
    </w:p>
    <w:p w14:paraId="2FAEF8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отношении методов использования говорилось:</w:t>
      </w:r>
    </w:p>
    <w:p w14:paraId="668F55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самолет может временно базироваться и работать с необорудованных гидродромов, находясь в течение этого времени на плаву без подъема на берег, и используя для обслуживания оборудование, возимое на борту;</w:t>
      </w:r>
    </w:p>
    <w:p w14:paraId="23CB9B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самолет должен совершать полеты вне зависимости от метеорологических условий - как днем, так и ночью, в строю и одиночным порядком. Выполнение слепого полета является основным видом применения самолета;</w:t>
      </w:r>
    </w:p>
    <w:p w14:paraId="55286D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самолет ведет воздушный бой, основанный на использовании собственной огневой мощи вооружения;</w:t>
      </w:r>
    </w:p>
    <w:p w14:paraId="0AF88C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мореходные качества самолета должны позволять посадку в открытом море и максимально возможную непотопляемость при аварийных случаях, связанных с повреждением днища лодки;</w:t>
      </w:r>
    </w:p>
    <w:p w14:paraId="7C305D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высота боевого применения 4000 метров.</w:t>
      </w:r>
    </w:p>
    <w:p w14:paraId="6684EB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Основные требуемые летные и боевые характеристики:</w:t>
      </w:r>
    </w:p>
    <w:p w14:paraId="144AF9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максимальная скорость 300 км/ч на высоте 4000 метров;</w:t>
      </w:r>
    </w:p>
    <w:p w14:paraId="1B6383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посадочная скорость 90-100 км/ч;</w:t>
      </w:r>
    </w:p>
    <w:p w14:paraId="53A902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практический потолок 7000-7500 м;</w:t>
      </w:r>
    </w:p>
    <w:p w14:paraId="15DDD0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дальность полета с одной тонной бомб 1300-1350 км;</w:t>
      </w:r>
    </w:p>
    <w:p w14:paraId="798B66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максимальная дальность полета (без бомб) 1600-1800 км;</w:t>
      </w:r>
    </w:p>
    <w:p w14:paraId="73FAF1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экипаж самолета 6 человек, пилоты размещены в кабине в шахматном порядке;</w:t>
      </w:r>
    </w:p>
    <w:p w14:paraId="7D01EE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с нормальным полетным весом самолет должен маневрировать на воде, осуществлять взлет и посадку в открытом море при волне высотой 1-1,5 метра и ветре 7-10 м/с;</w:t>
      </w:r>
    </w:p>
    <w:p w14:paraId="4E230C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конструкция лодки цельнометаллическая со стойким защитным антикоррозионным покрытием;</w:t>
      </w:r>
    </w:p>
    <w:p w14:paraId="31A84D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вооружение - пулеметы ШКАС на турелях ТУР-8 и пушка ШВАК на центральной оборонительной точке.</w:t>
      </w:r>
    </w:p>
    <w:p w14:paraId="20A036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Разработка морского тяжелого бомбардировщика под шифром АНТ-44 с четырьмя двигателями Гном Рон "Мистраль Мажор" К-14 (М-85) велась 2-й бригадой конструкторского отдела сектора опытного самолетостроения (K0C0C) ЦАГИ. После гибели Ивана Ивановича Погосского (в катастрофе АНТ-27 15 апреля 1934 г.) бригаду возглавил Александр Петрович Голубков, который руководил процессом создания, постройки и совершенствования АНТ-44 с начала и до завершения работ (11962).</w:t>
      </w:r>
    </w:p>
    <w:p w14:paraId="3D4D0E63" w14:textId="77777777" w:rsidR="00D4105E" w:rsidRPr="00E14102" w:rsidRDefault="00D4105E" w:rsidP="00E14102">
      <w:pPr>
        <w:autoSpaceDE w:val="0"/>
        <w:autoSpaceDN w:val="0"/>
        <w:adjustRightInd w:val="0"/>
        <w:jc w:val="both"/>
        <w:rPr>
          <w:color w:val="000000" w:themeColor="text1"/>
          <w:sz w:val="16"/>
          <w:szCs w:val="16"/>
        </w:rPr>
      </w:pPr>
    </w:p>
    <w:p w14:paraId="502DB2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года ЦИАМ приступил к работам над первым отечественным ТК под двигатель AM -34PH (7685).</w:t>
      </w:r>
    </w:p>
    <w:p w14:paraId="04164386" w14:textId="77777777" w:rsidR="00D4105E" w:rsidRPr="00E14102" w:rsidRDefault="00D4105E" w:rsidP="00E14102">
      <w:pPr>
        <w:autoSpaceDE w:val="0"/>
        <w:autoSpaceDN w:val="0"/>
        <w:adjustRightInd w:val="0"/>
        <w:jc w:val="both"/>
        <w:rPr>
          <w:color w:val="000000" w:themeColor="text1"/>
          <w:sz w:val="16"/>
          <w:szCs w:val="16"/>
        </w:rPr>
      </w:pPr>
    </w:p>
    <w:p w14:paraId="652928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г. изучали возможность доработки старых самолетов под М-34Р и М-34РН. Эту работу хотели поручить заводу №84 в Химках, однако пришли к выводу, что объем переделок слишком велик, и от этой идеи отказались (9964).</w:t>
      </w:r>
    </w:p>
    <w:p w14:paraId="76FEA34B" w14:textId="77777777" w:rsidR="00D4105E" w:rsidRPr="00E14102" w:rsidRDefault="00D4105E" w:rsidP="00E14102">
      <w:pPr>
        <w:autoSpaceDE w:val="0"/>
        <w:autoSpaceDN w:val="0"/>
        <w:adjustRightInd w:val="0"/>
        <w:jc w:val="both"/>
        <w:rPr>
          <w:color w:val="000000" w:themeColor="text1"/>
          <w:sz w:val="16"/>
          <w:szCs w:val="16"/>
        </w:rPr>
      </w:pPr>
    </w:p>
    <w:p w14:paraId="21CB6B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феврале 1935 проводились повторные госиспытания МГ-31, но двигатель опять не справился с программой — начали отворачиваться головки ци</w:t>
      </w:r>
      <w:r w:rsidRPr="00E14102">
        <w:rPr>
          <w:color w:val="000000" w:themeColor="text1"/>
          <w:sz w:val="16"/>
          <w:szCs w:val="16"/>
        </w:rPr>
        <w:softHyphen/>
        <w:t>линдров. Лишь в 1936 г. МГ-31 прошел госиспытания. В январе — фев</w:t>
      </w:r>
      <w:r w:rsidRPr="00E14102">
        <w:rPr>
          <w:color w:val="000000" w:themeColor="text1"/>
          <w:sz w:val="16"/>
          <w:szCs w:val="16"/>
        </w:rPr>
        <w:softHyphen/>
        <w:t>рале 1937 г. двигатель успешно опробовали на самолете «Сталь-2». С 1936 г. МГ-31 серийно выпускался заводом № 82, с конца 1937 г. его сменил усовершенствованный МГ-31 Ф. В общей сложности изготовили 129 экз. Производство было прекращено в связи с передачей предприятия в ведение НКВД. По постановлению от июля 1939 г. выпуск МГ-31 дол</w:t>
      </w:r>
      <w:r w:rsidRPr="00E14102">
        <w:rPr>
          <w:color w:val="000000" w:themeColor="text1"/>
          <w:sz w:val="16"/>
          <w:szCs w:val="16"/>
        </w:rPr>
        <w:softHyphen/>
        <w:t>жен был освоить завод № 16 в Воронеже. К концу года предполагался выпуск первой серии из 10 моторов, но практически ни одного МГ-31 в Воронеже не собрали. После окончания войны предлагали восстановить производство МГ-31 на каком-либо предприятии, но затем от этой идеи отказались.</w:t>
      </w:r>
    </w:p>
    <w:p w14:paraId="13F4A05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Моторы МГ-31 Ф эксплуатировались до конца 1946 г.</w:t>
      </w:r>
    </w:p>
    <w:p w14:paraId="2AB750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Характеристики:</w:t>
      </w:r>
    </w:p>
    <w:p w14:paraId="55A152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9-цилиндровый, звездообразный, воздушного охлаждения, четырех</w:t>
      </w:r>
      <w:r w:rsidRPr="00E14102">
        <w:rPr>
          <w:color w:val="000000" w:themeColor="text1"/>
          <w:sz w:val="16"/>
          <w:szCs w:val="16"/>
        </w:rPr>
        <w:softHyphen/>
        <w:t>тактный, безредукторный, с одноступенчатым односкоростным ПЦН;</w:t>
      </w:r>
    </w:p>
    <w:p w14:paraId="28E7E6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объем 15,5;</w:t>
      </w:r>
    </w:p>
    <w:p w14:paraId="637529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диаметр цилиндра/ход поршня 125/140 мм:</w:t>
      </w:r>
    </w:p>
    <w:p w14:paraId="20BB85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степень сжатия 5,0;</w:t>
      </w:r>
    </w:p>
    <w:p w14:paraId="550589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мощность и вес в зависимости от модификации.</w:t>
      </w:r>
    </w:p>
    <w:p w14:paraId="507FCD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Известны следующие модификации:</w:t>
      </w:r>
    </w:p>
    <w:p w14:paraId="520E9E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МГ-31, серийно выпускался с 1936 г. Мощность 270/320 л.с. (реально получено на испытаниях 270/310 л.с.), вес 247 кг.</w:t>
      </w:r>
    </w:p>
    <w:p w14:paraId="15D63B4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МГ-31 А, усовершенствованный опытный образец 1936 г.</w:t>
      </w:r>
    </w:p>
    <w:p w14:paraId="56ADB97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МГ-31 Н, опытный вариант с непосредственным впрыском.</w:t>
      </w:r>
    </w:p>
    <w:p w14:paraId="61B1B2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МГ-31 Ф, форсированный вариант. Прошел заводские испытания в 1937 г. и в том же году запущен в серию. Имел усиленные поршни и шатуны, усовершенствованную маслосистему, привод синхронизато</w:t>
      </w:r>
      <w:r w:rsidRPr="00E14102">
        <w:rPr>
          <w:color w:val="000000" w:themeColor="text1"/>
          <w:sz w:val="16"/>
          <w:szCs w:val="16"/>
        </w:rPr>
        <w:softHyphen/>
        <w:t>ра. Мощность 270/335 кг, вес 250 кг (по другим данным, 255 кг).</w:t>
      </w:r>
    </w:p>
    <w:p w14:paraId="792AD3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МГ-31ФН, опытный образец 1937 г. на базе МГ-31Ф с непосредствен</w:t>
      </w:r>
      <w:r w:rsidRPr="00E14102">
        <w:rPr>
          <w:color w:val="000000" w:themeColor="text1"/>
          <w:sz w:val="16"/>
          <w:szCs w:val="16"/>
        </w:rPr>
        <w:softHyphen/>
        <w:t>ным впрыском топлива.</w:t>
      </w:r>
    </w:p>
    <w:p w14:paraId="7AF2F5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МГ-31Ф2, опытный образец, проходил заводские испытания. Подроб</w:t>
      </w:r>
      <w:r w:rsidRPr="00E14102">
        <w:rPr>
          <w:color w:val="000000" w:themeColor="text1"/>
          <w:sz w:val="16"/>
          <w:szCs w:val="16"/>
        </w:rPr>
        <w:softHyphen/>
        <w:t>ности неизвестны.</w:t>
      </w:r>
    </w:p>
    <w:p w14:paraId="55B2BFF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Моторы МГ-31 устанавливались на серийных самолетах «Сталь-2», опытных УТИ-5 (НВ-2бис), У-5 (ЛШ), МА-1, Ш-7, ЛИГ-8, ДКЛ, РАФ-11, РАФ-Ибис, П-3 (ЛИГ-5), СХ-1 (ЛИГ-10), САМ-16 (недостроен), вертолете «Омега-П» (2МГ). Использование МГ-31 предусматривалось также про</w:t>
      </w:r>
      <w:r w:rsidRPr="00E14102">
        <w:rPr>
          <w:color w:val="000000" w:themeColor="text1"/>
          <w:sz w:val="16"/>
          <w:szCs w:val="16"/>
        </w:rPr>
        <w:softHyphen/>
        <w:t>ектами МБР-6 и УТ-3 (11852).</w:t>
      </w:r>
    </w:p>
    <w:p w14:paraId="457A49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F4F9E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было упоминание о работе СПК над планерлетом (буксировочным планером) СК-7 (см. Приложение 1) (журн. "Вестник инженеров и техников", февраль 1935 г., с. 120) (10676).</w:t>
      </w:r>
    </w:p>
    <w:p w14:paraId="2C6D62C2" w14:textId="77777777" w:rsidR="00D4105E" w:rsidRPr="00E14102" w:rsidRDefault="00D4105E" w:rsidP="00E14102">
      <w:pPr>
        <w:autoSpaceDE w:val="0"/>
        <w:autoSpaceDN w:val="0"/>
        <w:adjustRightInd w:val="0"/>
        <w:jc w:val="both"/>
        <w:rPr>
          <w:color w:val="000000" w:themeColor="text1"/>
          <w:sz w:val="16"/>
          <w:szCs w:val="16"/>
        </w:rPr>
      </w:pPr>
    </w:p>
    <w:p w14:paraId="7B7270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года нач. 4 отдела УВС Базенков подготовил Перечень вопросов, подлежащих освещению в объяснительной записке к годовому отчету за 1934 год.</w:t>
      </w:r>
    </w:p>
    <w:p w14:paraId="705608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плану заказов.</w:t>
      </w:r>
    </w:p>
    <w:p w14:paraId="2F94DB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Основные причины недовыполнения плана заказов.</w:t>
      </w:r>
    </w:p>
    <w:p w14:paraId="7CA948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N 1.</w:t>
      </w:r>
    </w:p>
    <w:p w14:paraId="054D74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Р-5.</w:t>
      </w:r>
    </w:p>
    <w:p w14:paraId="078269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Неукомплектованность самолетов рядом приборов и агрегатов (полуоси, компаса, тормозное оборудование и др.).</w:t>
      </w:r>
    </w:p>
    <w:p w14:paraId="310959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Недоброкачественная склейка отдельных деталей и агрегатов самолетов и небрежное отношение к технологическим процессам сушки и склейки древесины.</w:t>
      </w:r>
    </w:p>
    <w:p w14:paraId="4EB3F8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И-15.</w:t>
      </w:r>
    </w:p>
    <w:p w14:paraId="695127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Неудовлетворительная организация по обеспечению внедрения серии в производство.</w:t>
      </w:r>
    </w:p>
    <w:p w14:paraId="695DCF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Недоработанность конструкции, вызывавшая внесение целого ряда изменений.</w:t>
      </w:r>
    </w:p>
    <w:p w14:paraId="4EE4A4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Медленное устранение опытными организациями (завод N 39 и ЦАГИ) конструктивных недочетов, выявленных заводскими и государственными испытаниями.</w:t>
      </w:r>
    </w:p>
    <w:p w14:paraId="3474F8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Плохое снабжение завода материалами и полуфабрикатами, гл. образом хромомолибденовыми трубами.</w:t>
      </w:r>
    </w:p>
    <w:p w14:paraId="0660F4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N 21.</w:t>
      </w:r>
    </w:p>
    <w:p w14:paraId="507F17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И-16.</w:t>
      </w:r>
    </w:p>
    <w:p w14:paraId="36C2AF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Неудовлетворительная организация по обеспечению внедрения серии в производство.</w:t>
      </w:r>
    </w:p>
    <w:p w14:paraId="65C47F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Недоработанность конструкции, вызывавшая внесение целого ряда изменений.</w:t>
      </w:r>
    </w:p>
    <w:p w14:paraId="3E57FE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Медленное устранение опытными организациями (завод N 39 и ЦАГИ) конструктивных недочетов, выявленных заводскими и государственными испытаниями.</w:t>
      </w:r>
    </w:p>
    <w:p w14:paraId="50C50F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Плохое снабжение завода материалами и полуфабрикатами, гл. образом хромомолибденовыми трубами.</w:t>
      </w:r>
    </w:p>
    <w:p w14:paraId="32EB79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Недоброкачественность синхронизаторов.</w:t>
      </w:r>
    </w:p>
    <w:p w14:paraId="0E914F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Медленная конструктивная доводка убирающегося шасси.</w:t>
      </w:r>
    </w:p>
    <w:p w14:paraId="77A114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N 22.</w:t>
      </w:r>
    </w:p>
    <w:p w14:paraId="79933E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ТБ3-М34РН.</w:t>
      </w:r>
    </w:p>
    <w:p w14:paraId="20CC18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Отсутствие эталона, не изготовленного заводом.</w:t>
      </w:r>
    </w:p>
    <w:p w14:paraId="50C85E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Неподача заводом N 24 моторов М34РН.</w:t>
      </w:r>
    </w:p>
    <w:p w14:paraId="31E0FA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Отвлечение внимания всего заводоуправления на выполнение программы по другим типам, несмотря на нажимы и своевременные сигналы УВС.</w:t>
      </w:r>
    </w:p>
    <w:p w14:paraId="1EEE5D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N 125.</w:t>
      </w:r>
    </w:p>
    <w:p w14:paraId="398873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И-14.</w:t>
      </w:r>
    </w:p>
    <w:p w14:paraId="42C29C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Медленное внедрение самолета в производство и освоение конструкции, потому что первоначальный заказ этих самолетов с 21-го завода был передан заводу N 125 - еще полностью не оборудованному и по настоящий момент.</w:t>
      </w:r>
    </w:p>
    <w:p w14:paraId="3F039F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Скверная подготовка производства.</w:t>
      </w:r>
    </w:p>
    <w:p w14:paraId="0909FA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Завод не имел образца, каковой еще не доведен ЦАГИ гл. образом по вооружению и оборудованию радио, что понуждало завод неоднократно вводить изменения в чертежи и запущенные в серию детали.</w:t>
      </w:r>
    </w:p>
    <w:p w14:paraId="5EDF42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Необеспеченность в достаточном количестве квалифицированной рабочей силой и материалами.</w:t>
      </w:r>
    </w:p>
    <w:p w14:paraId="360A0B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N 135.</w:t>
      </w:r>
    </w:p>
    <w:p w14:paraId="3A7357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ЗЕТ.</w:t>
      </w:r>
    </w:p>
    <w:p w14:paraId="75EC7F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Неподача ГАУ в срок авиапушек АПК-4, вследствие чего задерживалась приемка окончательно готовых самолетов.</w:t>
      </w:r>
    </w:p>
    <w:p w14:paraId="0CEBF7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Недоброкачественность конструкции, вызвавшая внесение целого ряда изменений.</w:t>
      </w:r>
    </w:p>
    <w:p w14:paraId="537765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3. Медленное устранение опытными организациями (завод N 39 и ЦАГИ) конструктивных недочетов, выявленных заводскими и государственными испытаниями.</w:t>
      </w:r>
    </w:p>
    <w:p w14:paraId="267AD0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Плохое снабжение завода материалами и полуфабрикатами, гл. образом хромомолибденовыми трубами.</w:t>
      </w:r>
    </w:p>
    <w:p w14:paraId="50A835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Недоброкачественность синхронизаторов.</w:t>
      </w:r>
    </w:p>
    <w:p w14:paraId="601501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Медленная конструктивная доводка убирающегося шасси.</w:t>
      </w:r>
    </w:p>
    <w:p w14:paraId="20EDA3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N 43.</w:t>
      </w:r>
    </w:p>
    <w:p w14:paraId="57A2C6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ХАИ воор.</w:t>
      </w:r>
    </w:p>
    <w:p w14:paraId="1A935D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Несвоевременное предъявление заводом N 21 эталона.</w:t>
      </w:r>
    </w:p>
    <w:p w14:paraId="226D12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Неудовлетворительная организация и подготовка производства 43-го завода, оборудованного и в основном приспособленного не для серийных выпусков, а для ремонта.</w:t>
      </w:r>
    </w:p>
    <w:p w14:paraId="4D7AF9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Затрудненность освоения по причине необеспеченности завода квалифицированной рабсилой.</w:t>
      </w:r>
    </w:p>
    <w:p w14:paraId="01C8CF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Плохая обеспеченность и снабжение завода материалами.</w:t>
      </w:r>
    </w:p>
    <w:p w14:paraId="0FBE7C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N 31.</w:t>
      </w:r>
    </w:p>
    <w:p w14:paraId="19A7FE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МБР-2.</w:t>
      </w:r>
    </w:p>
    <w:p w14:paraId="5CDB07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Опоздание подготовки производства в начале года, в связи с чем запуск серии начнется только с апреля.</w:t>
      </w:r>
    </w:p>
    <w:p w14:paraId="59B14C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Крайне медленное разворачивание производства и освоения конструкции самолета.</w:t>
      </w:r>
    </w:p>
    <w:p w14:paraId="01BDBF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Несвоевременность предъявления заводом головного самолета по причине внесения заводом N 39 целого ряда конструктивных изменений в образцовый самолет.</w:t>
      </w:r>
    </w:p>
    <w:p w14:paraId="67796A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Неудовлетворительное планирование производства и неправильно составленный в начале технологический процесс.</w:t>
      </w:r>
    </w:p>
    <w:p w14:paraId="3805E3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плохое снабжение завода длинномерным ясенем, хромомолибденовыми сталями и др.</w:t>
      </w:r>
    </w:p>
    <w:p w14:paraId="54F770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N 18.</w:t>
      </w:r>
    </w:p>
    <w:p w14:paraId="339D84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Р-Д.</w:t>
      </w:r>
    </w:p>
    <w:p w14:paraId="3CEF67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Запуск в производство заводом N 18 самолета 1-й серии по конструктивным чертежам ЦАГИ, что повлекло большие неувязки в конструкциях и брак.</w:t>
      </w:r>
    </w:p>
    <w:p w14:paraId="4773C1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6. Отказ завода N 22 от изготовления шасси при отсутствии на заводе разработанного техпроцесса.</w:t>
      </w:r>
    </w:p>
    <w:p w14:paraId="3EC984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Недооборудованность завода.</w:t>
      </w:r>
    </w:p>
    <w:p w14:paraId="53E44A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Перечень изменений заказов в течение года</w:t>
      </w:r>
    </w:p>
    <w:p w14:paraId="781CE8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причины этого.</w:t>
      </w:r>
    </w:p>
    <w:p w14:paraId="0806EF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Уменьшено:</w:t>
      </w:r>
    </w:p>
    <w:p w14:paraId="0D1E5B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И-5 на 35 самолетов - Постановление правительства от 15.06.1934 г. N К-82сс.</w:t>
      </w:r>
    </w:p>
    <w:p w14:paraId="609E07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РД - на 10 самолетов, МИ-3 - на 12 самолетов, МДР-4 - на 1 самолет - уменьшение произведено в связи с недостатком лимита.</w:t>
      </w:r>
    </w:p>
    <w:p w14:paraId="298FAE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Снято вовсе:</w:t>
      </w:r>
    </w:p>
    <w:p w14:paraId="0818C1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ТБ-4 - 2 самолета, СКР - 3 самолета, ВС - 3 самолета, ТШ - 3 самолета, МК6-М34 - 3 самолета - Постановление СТО от 13.07.1934 г. N 02757сс.</w:t>
      </w:r>
    </w:p>
    <w:p w14:paraId="38C6C8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постановления СТО от 13.07.1934 г. N 02757сс опытный экземпляр самолета МИ3-2М34 довести до конца и испытать, с серийного производства снять.</w:t>
      </w:r>
    </w:p>
    <w:p w14:paraId="3D0FFE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III. Выполнение сверхплановых заданий по постановлению правительства.</w:t>
      </w:r>
    </w:p>
    <w:p w14:paraId="29A49B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И16 увеличено на 145 самолетов - постановление правительства от 15.06.1934 г. N К-82сс.</w:t>
      </w:r>
    </w:p>
    <w:p w14:paraId="2AF2F2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IV. Важнейшие мероприятия Управления в целях своевременного выполнения плана заказов.</w:t>
      </w:r>
    </w:p>
    <w:p w14:paraId="453C23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Доклад НКО от 26.05.34 г. N УМТС/02534 - О выполнении заказов авиапромышленностью за 4 месяца 1934 г.</w:t>
      </w:r>
    </w:p>
    <w:p w14:paraId="2F3841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Доклад НКО N 003538 - О выполнении заказов авиапромышленностью за первое полугодие 1934 г.</w:t>
      </w:r>
    </w:p>
    <w:p w14:paraId="1C2A4E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Доклад в СТО Базилевичу N 003694 - О выполнении заказов авиапромышленностью за первое полугодие 1934 г.</w:t>
      </w:r>
    </w:p>
    <w:p w14:paraId="1DFFDF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Доклад в Комиссию парт. контроля Куйбышеву за N 003539 - О выполнении заказов авиапромышленностью за первое полугодие 1934 г.</w:t>
      </w:r>
    </w:p>
    <w:p w14:paraId="7C2A0D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Доклад НКО от 19.08.1934 г. за N МТС/004251 - О выполнении заказов авиапромышленностью за 7 месяцев 1934 г.</w:t>
      </w:r>
    </w:p>
    <w:p w14:paraId="745EFD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Доклад зам. НКО Тухачевскому от 14.09.1934 г. за N 00763с - О выполнении заказов авиапромышленностью за 8 месяцев 1934 г.</w:t>
      </w:r>
    </w:p>
    <w:p w14:paraId="7B302D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Доклад НКО N С11/05430 от 28.10.1934 г. - О выполнении заказов авиапромышленностью за 3 квартала.</w:t>
      </w:r>
    </w:p>
    <w:p w14:paraId="025CFF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Доклад НКО от 11.11.1934 г. за N УМТС/05694 - О выполнении заказов авиапромышленностью за 10 месяцев 1934 г.</w:t>
      </w:r>
    </w:p>
    <w:p w14:paraId="44D05C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Доклад НКО от 16.11.1934 г. за N УМТС/005804 - О ходе производства новых истребителей.</w:t>
      </w:r>
    </w:p>
    <w:p w14:paraId="088457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VI. Наименование номенклатур, поставляющихся в 1934 году</w:t>
      </w:r>
    </w:p>
    <w:p w14:paraId="582CEA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некомплектно.</w:t>
      </w:r>
    </w:p>
    <w:p w14:paraId="4E3F12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Самолеты МБР2 завода N 31 поступили в часть без шасси и лыж.</w:t>
      </w:r>
    </w:p>
    <w:p w14:paraId="64C1DD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Самолеты ЗЕТ - не обеспечены пушками.</w:t>
      </w:r>
    </w:p>
    <w:p w14:paraId="7C51CD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Самолеты И16 - не обеспечены вооружением.</w:t>
      </w:r>
    </w:p>
    <w:p w14:paraId="694DF4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XIII. Краткие сравнительные данные с 1933 годом.</w:t>
      </w:r>
    </w:p>
    <w:p w14:paraId="6E9C03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Сравнительные данные по выполнению плана заказов (процент выполнения).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E3599D" w:rsidRPr="00E14102" w14:paraId="0CC0409D" w14:textId="77777777">
        <w:tc>
          <w:tcPr>
            <w:tcW w:w="3757" w:type="dxa"/>
            <w:tcBorders>
              <w:top w:val="single" w:sz="12" w:space="0" w:color="auto"/>
            </w:tcBorders>
          </w:tcPr>
          <w:p w14:paraId="7236EB2C" w14:textId="77777777" w:rsidR="00D4105E" w:rsidRPr="00E14102" w:rsidRDefault="00D4105E" w:rsidP="00E14102">
            <w:pPr>
              <w:autoSpaceDE w:val="0"/>
              <w:autoSpaceDN w:val="0"/>
              <w:adjustRightInd w:val="0"/>
              <w:jc w:val="both"/>
              <w:rPr>
                <w:color w:val="000000" w:themeColor="text1"/>
                <w:sz w:val="16"/>
                <w:szCs w:val="16"/>
              </w:rPr>
            </w:pPr>
          </w:p>
        </w:tc>
        <w:tc>
          <w:tcPr>
            <w:tcW w:w="3757" w:type="dxa"/>
            <w:tcBorders>
              <w:top w:val="single" w:sz="12" w:space="0" w:color="auto"/>
            </w:tcBorders>
          </w:tcPr>
          <w:p w14:paraId="3FE8E7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w:t>
            </w:r>
          </w:p>
        </w:tc>
        <w:tc>
          <w:tcPr>
            <w:tcW w:w="3757" w:type="dxa"/>
            <w:tcBorders>
              <w:top w:val="single" w:sz="12" w:space="0" w:color="auto"/>
            </w:tcBorders>
          </w:tcPr>
          <w:p w14:paraId="64FE59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w:t>
            </w:r>
          </w:p>
        </w:tc>
      </w:tr>
      <w:tr w:rsidR="00E3599D" w:rsidRPr="00E14102" w14:paraId="39914E18" w14:textId="77777777">
        <w:tc>
          <w:tcPr>
            <w:tcW w:w="3757" w:type="dxa"/>
            <w:tcBorders>
              <w:bottom w:val="single" w:sz="12" w:space="0" w:color="auto"/>
            </w:tcBorders>
          </w:tcPr>
          <w:p w14:paraId="467B8E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самолетам</w:t>
            </w:r>
          </w:p>
        </w:tc>
        <w:tc>
          <w:tcPr>
            <w:tcW w:w="3757" w:type="dxa"/>
            <w:tcBorders>
              <w:bottom w:val="single" w:sz="12" w:space="0" w:color="auto"/>
            </w:tcBorders>
          </w:tcPr>
          <w:p w14:paraId="0D1462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88,5%</w:t>
            </w:r>
          </w:p>
        </w:tc>
        <w:tc>
          <w:tcPr>
            <w:tcW w:w="3757" w:type="dxa"/>
            <w:tcBorders>
              <w:bottom w:val="single" w:sz="12" w:space="0" w:color="auto"/>
            </w:tcBorders>
          </w:tcPr>
          <w:p w14:paraId="62217B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84% (3088,2-5).</w:t>
            </w:r>
          </w:p>
        </w:tc>
      </w:tr>
    </w:tbl>
    <w:p w14:paraId="166DD0CE" w14:textId="77777777" w:rsidR="00D4105E" w:rsidRPr="00E14102" w:rsidRDefault="00D4105E" w:rsidP="00E14102">
      <w:pPr>
        <w:autoSpaceDE w:val="0"/>
        <w:autoSpaceDN w:val="0"/>
        <w:adjustRightInd w:val="0"/>
        <w:jc w:val="both"/>
        <w:rPr>
          <w:color w:val="000000" w:themeColor="text1"/>
          <w:sz w:val="16"/>
          <w:szCs w:val="16"/>
        </w:rPr>
      </w:pPr>
    </w:p>
    <w:p w14:paraId="0DF019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 А.Н.Т. во главе делегации из 17 чел., включая А.А.Архангельского - поехал в США для ознакомления с авиапромышленностью. Купили DC-3, ряд технологических лицензий (71,235).</w:t>
      </w:r>
    </w:p>
    <w:p w14:paraId="4F0B18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возвращению из США А.Н.Т. попросил у Серго главного архитектора ВСНХ В.А.Веснина для проектирования и строительства нового ЦАГИ в Жуковском. Тот якобы согласился. По мнению А.Н.Т. проект был частично испорчен и уменьшен по размеру (71,244).</w:t>
      </w:r>
    </w:p>
    <w:p w14:paraId="77A954B2" w14:textId="77777777" w:rsidR="00D4105E" w:rsidRPr="00E14102" w:rsidRDefault="00D4105E" w:rsidP="00E14102">
      <w:pPr>
        <w:autoSpaceDE w:val="0"/>
        <w:autoSpaceDN w:val="0"/>
        <w:adjustRightInd w:val="0"/>
        <w:jc w:val="both"/>
        <w:rPr>
          <w:color w:val="000000" w:themeColor="text1"/>
          <w:sz w:val="16"/>
          <w:szCs w:val="16"/>
        </w:rPr>
      </w:pPr>
    </w:p>
    <w:p w14:paraId="36231F09" w14:textId="77777777" w:rsidR="00154792" w:rsidRPr="00E14102" w:rsidRDefault="00154792" w:rsidP="00E14102">
      <w:pPr>
        <w:pStyle w:val="2f0"/>
        <w:shd w:val="clear" w:color="auto" w:fill="auto"/>
        <w:spacing w:after="0" w:line="240" w:lineRule="auto"/>
        <w:jc w:val="both"/>
        <w:rPr>
          <w:b w:val="0"/>
          <w:color w:val="000000" w:themeColor="text1"/>
          <w:sz w:val="16"/>
          <w:szCs w:val="16"/>
        </w:rPr>
      </w:pPr>
      <w:r w:rsidRPr="00E14102">
        <w:rPr>
          <w:b w:val="0"/>
          <w:color w:val="000000" w:themeColor="text1"/>
          <w:sz w:val="16"/>
          <w:szCs w:val="16"/>
        </w:rPr>
        <w:t>Февраль-Март 1936 г. Проект правительственного решения по обеспечению электросветооборудованием воздушных линий СССР, разработанный комиссией ГВФ с представительством от Управления ВВС РККА</w:t>
      </w:r>
    </w:p>
    <w:p w14:paraId="7C6A652C" w14:textId="77777777" w:rsidR="00154792" w:rsidRPr="00E14102" w:rsidRDefault="00154792" w:rsidP="00E14102">
      <w:pPr>
        <w:jc w:val="both"/>
        <w:rPr>
          <w:color w:val="000000" w:themeColor="text1"/>
          <w:sz w:val="16"/>
          <w:szCs w:val="16"/>
        </w:rPr>
      </w:pPr>
      <w:r w:rsidRPr="00E14102">
        <w:rPr>
          <w:color w:val="000000" w:themeColor="text1"/>
          <w:sz w:val="16"/>
          <w:szCs w:val="16"/>
        </w:rPr>
        <w:t>Совет Народных Комиссаров СССР постановляет:</w:t>
      </w:r>
    </w:p>
    <w:p w14:paraId="18B83F13" w14:textId="77777777" w:rsidR="00154792" w:rsidRPr="00E14102" w:rsidRDefault="00154792" w:rsidP="00E14102">
      <w:pPr>
        <w:tabs>
          <w:tab w:val="left" w:pos="831"/>
        </w:tabs>
        <w:jc w:val="both"/>
        <w:rPr>
          <w:color w:val="000000" w:themeColor="text1"/>
          <w:sz w:val="16"/>
          <w:szCs w:val="16"/>
        </w:rPr>
      </w:pPr>
      <w:r w:rsidRPr="00E14102">
        <w:rPr>
          <w:color w:val="000000" w:themeColor="text1"/>
          <w:sz w:val="16"/>
          <w:szCs w:val="16"/>
        </w:rPr>
        <w:t>1. Существующее положение с обеспечением электросветообо</w:t>
      </w:r>
      <w:r w:rsidRPr="00E14102">
        <w:rPr>
          <w:color w:val="000000" w:themeColor="text1"/>
          <w:sz w:val="16"/>
          <w:szCs w:val="16"/>
        </w:rPr>
        <w:softHyphen/>
        <w:t>рудованием ночных воздушных линий СССР признать исключительно неудовлетворительным. ГВФ СССР на сегодня вовсе не располагает не только современным оборудованием этого назначения, но даже хотя бы сколько-нибудь удовлетворительным оборудованием вообще.</w:t>
      </w:r>
    </w:p>
    <w:p w14:paraId="6F587991" w14:textId="77777777" w:rsidR="00154792" w:rsidRPr="00E14102" w:rsidRDefault="00154792" w:rsidP="00E14102">
      <w:pPr>
        <w:tabs>
          <w:tab w:val="left" w:pos="798"/>
        </w:tabs>
        <w:jc w:val="both"/>
        <w:rPr>
          <w:color w:val="000000" w:themeColor="text1"/>
          <w:sz w:val="16"/>
          <w:szCs w:val="16"/>
        </w:rPr>
      </w:pPr>
      <w:r w:rsidRPr="00E14102">
        <w:rPr>
          <w:color w:val="000000" w:themeColor="text1"/>
          <w:sz w:val="16"/>
          <w:szCs w:val="16"/>
        </w:rPr>
        <w:t>2. Отметить наличие неудовлетворенных нужд в этом роде обору</w:t>
      </w:r>
      <w:r w:rsidRPr="00E14102">
        <w:rPr>
          <w:color w:val="000000" w:themeColor="text1"/>
          <w:sz w:val="16"/>
          <w:szCs w:val="16"/>
        </w:rPr>
        <w:softHyphen/>
        <w:t>дований и других ведомств, а именно — Управления Военно-Воздушных Сил РККА, Гидрографического Управления УВМС РККА и Главсев- морпути.</w:t>
      </w:r>
    </w:p>
    <w:p w14:paraId="303C9C53" w14:textId="77777777" w:rsidR="00154792" w:rsidRPr="00E14102" w:rsidRDefault="00154792" w:rsidP="00E14102">
      <w:pPr>
        <w:tabs>
          <w:tab w:val="left" w:pos="812"/>
        </w:tabs>
        <w:jc w:val="both"/>
        <w:rPr>
          <w:color w:val="000000" w:themeColor="text1"/>
          <w:sz w:val="16"/>
          <w:szCs w:val="16"/>
        </w:rPr>
      </w:pPr>
      <w:r w:rsidRPr="00E14102">
        <w:rPr>
          <w:color w:val="000000" w:themeColor="text1"/>
          <w:sz w:val="16"/>
          <w:szCs w:val="16"/>
        </w:rPr>
        <w:t>3. Констатировать полную неподготовленность нашей промыш</w:t>
      </w:r>
      <w:r w:rsidRPr="00E14102">
        <w:rPr>
          <w:color w:val="000000" w:themeColor="text1"/>
          <w:sz w:val="16"/>
          <w:szCs w:val="16"/>
        </w:rPr>
        <w:softHyphen/>
        <w:t>ленности к удовлетворению нужд авиации СССР в отношении свето- маячного, посадочного, светосигнального и агрегатного оборудования. Начальники соответствующих Главков промышленности и, в первую очередь, Главэнергопром не проявляют никакой инициативы и не ока</w:t>
      </w:r>
      <w:r w:rsidRPr="00E14102">
        <w:rPr>
          <w:color w:val="000000" w:themeColor="text1"/>
          <w:sz w:val="16"/>
          <w:szCs w:val="16"/>
        </w:rPr>
        <w:softHyphen/>
        <w:t>зывают никакого содействия Гражданскому Воздушному Флоту в обе</w:t>
      </w:r>
      <w:r w:rsidRPr="00E14102">
        <w:rPr>
          <w:color w:val="000000" w:themeColor="text1"/>
          <w:sz w:val="16"/>
          <w:szCs w:val="16"/>
        </w:rPr>
        <w:softHyphen/>
        <w:t>спечении этим оборудованием, несмотря на очевидно исключительную государственную важность развития ночных воздушных сообщений.</w:t>
      </w:r>
    </w:p>
    <w:p w14:paraId="2045DE51" w14:textId="77777777" w:rsidR="00154792" w:rsidRPr="00E14102" w:rsidRDefault="00154792" w:rsidP="00E14102">
      <w:pPr>
        <w:tabs>
          <w:tab w:val="left" w:pos="793"/>
        </w:tabs>
        <w:jc w:val="both"/>
        <w:rPr>
          <w:color w:val="000000" w:themeColor="text1"/>
          <w:sz w:val="16"/>
          <w:szCs w:val="16"/>
        </w:rPr>
      </w:pPr>
      <w:r w:rsidRPr="00E14102">
        <w:rPr>
          <w:color w:val="000000" w:themeColor="text1"/>
          <w:sz w:val="16"/>
          <w:szCs w:val="16"/>
        </w:rPr>
        <w:t>4. Отметить в целом по всему кругу соответствующих Главков за</w:t>
      </w:r>
      <w:r w:rsidRPr="00E14102">
        <w:rPr>
          <w:color w:val="000000" w:themeColor="text1"/>
          <w:sz w:val="16"/>
          <w:szCs w:val="16"/>
        </w:rPr>
        <w:softHyphen/>
        <w:t>водов и научно-исследовательских институтов промышленности чрез</w:t>
      </w:r>
      <w:r w:rsidRPr="00E14102">
        <w:rPr>
          <w:color w:val="000000" w:themeColor="text1"/>
          <w:sz w:val="16"/>
          <w:szCs w:val="16"/>
        </w:rPr>
        <w:softHyphen/>
        <w:t>вычайную ограниченность или полное отсутствие опытного строитель</w:t>
      </w:r>
      <w:r w:rsidRPr="00E14102">
        <w:rPr>
          <w:color w:val="000000" w:themeColor="text1"/>
          <w:sz w:val="16"/>
          <w:szCs w:val="16"/>
        </w:rPr>
        <w:softHyphen/>
        <w:t>ства, исследований и изысканий в этой области.</w:t>
      </w:r>
    </w:p>
    <w:p w14:paraId="336E8BD0" w14:textId="77777777" w:rsidR="00154792" w:rsidRPr="00E14102" w:rsidRDefault="00154792" w:rsidP="00E14102">
      <w:pPr>
        <w:tabs>
          <w:tab w:val="left" w:pos="802"/>
        </w:tabs>
        <w:jc w:val="both"/>
        <w:rPr>
          <w:color w:val="000000" w:themeColor="text1"/>
          <w:sz w:val="16"/>
          <w:szCs w:val="16"/>
        </w:rPr>
      </w:pPr>
      <w:r w:rsidRPr="00E14102">
        <w:rPr>
          <w:color w:val="000000" w:themeColor="text1"/>
          <w:sz w:val="16"/>
          <w:szCs w:val="16"/>
        </w:rPr>
        <w:t>5. Считать исправление отмеченного выше положения неотлож</w:t>
      </w:r>
      <w:r w:rsidRPr="00E14102">
        <w:rPr>
          <w:color w:val="000000" w:themeColor="text1"/>
          <w:sz w:val="16"/>
          <w:szCs w:val="16"/>
        </w:rPr>
        <w:softHyphen/>
        <w:t>ным делом общесоюзного оборонного и хозяйственного значения, тре</w:t>
      </w:r>
      <w:r w:rsidRPr="00E14102">
        <w:rPr>
          <w:color w:val="000000" w:themeColor="text1"/>
          <w:sz w:val="16"/>
          <w:szCs w:val="16"/>
        </w:rPr>
        <w:softHyphen/>
        <w:t>бующим немедленных мероприятий, внимания, забот и помощи всех организаций и предприятий Советского Союза, от которых зависит успех этого дела.</w:t>
      </w:r>
    </w:p>
    <w:p w14:paraId="32F681DB" w14:textId="77777777" w:rsidR="00154792" w:rsidRPr="00E14102" w:rsidRDefault="00154792" w:rsidP="00E14102">
      <w:pPr>
        <w:tabs>
          <w:tab w:val="left" w:pos="788"/>
        </w:tabs>
        <w:jc w:val="both"/>
        <w:rPr>
          <w:color w:val="000000" w:themeColor="text1"/>
          <w:sz w:val="16"/>
          <w:szCs w:val="16"/>
        </w:rPr>
      </w:pPr>
      <w:r w:rsidRPr="00E14102">
        <w:rPr>
          <w:color w:val="000000" w:themeColor="text1"/>
          <w:sz w:val="16"/>
          <w:szCs w:val="16"/>
        </w:rPr>
        <w:t>6. Общую ответственность за осуществление необходимых меро</w:t>
      </w:r>
      <w:r w:rsidRPr="00E14102">
        <w:rPr>
          <w:color w:val="000000" w:themeColor="text1"/>
          <w:sz w:val="16"/>
          <w:szCs w:val="16"/>
        </w:rPr>
        <w:softHyphen/>
        <w:t>приятий в промышленности по обеспечению оборудованием воздуш</w:t>
      </w:r>
      <w:r w:rsidRPr="00E14102">
        <w:rPr>
          <w:color w:val="000000" w:themeColor="text1"/>
          <w:sz w:val="16"/>
          <w:szCs w:val="16"/>
        </w:rPr>
        <w:softHyphen/>
        <w:t>ных линий СССР возложить лично на заместителя Народного Комис</w:t>
      </w:r>
      <w:r w:rsidRPr="00E14102">
        <w:rPr>
          <w:color w:val="000000" w:themeColor="text1"/>
          <w:sz w:val="16"/>
          <w:szCs w:val="16"/>
        </w:rPr>
        <w:softHyphen/>
        <w:t>сара тяжелой промышленности СССР тов. Кагановича М.М.</w:t>
      </w:r>
    </w:p>
    <w:p w14:paraId="35E0797D" w14:textId="77777777" w:rsidR="00154792" w:rsidRPr="00E14102" w:rsidRDefault="00154792" w:rsidP="00E14102">
      <w:pPr>
        <w:tabs>
          <w:tab w:val="left" w:pos="788"/>
        </w:tabs>
        <w:jc w:val="both"/>
        <w:rPr>
          <w:color w:val="000000" w:themeColor="text1"/>
          <w:sz w:val="16"/>
          <w:szCs w:val="16"/>
        </w:rPr>
      </w:pPr>
      <w:r w:rsidRPr="00E14102">
        <w:rPr>
          <w:color w:val="000000" w:themeColor="text1"/>
          <w:sz w:val="16"/>
          <w:szCs w:val="16"/>
        </w:rPr>
        <w:t>7. Тов. Кагановичу М.М. с участием начальника ГУГВФ тов. Тка</w:t>
      </w:r>
      <w:r w:rsidRPr="00E14102">
        <w:rPr>
          <w:color w:val="000000" w:themeColor="text1"/>
          <w:sz w:val="16"/>
          <w:szCs w:val="16"/>
        </w:rPr>
        <w:softHyphen/>
        <w:t>чева, с привлечением лучших специалистов НКО, ГВФ и Главсевморпути в месячный срок определить программу неотложных мероприятий в промышленности с тем, чтобы к 1 января 1938 г. наша промышленность располагала базой, полностью обеспечивающей отечественное произ</w:t>
      </w:r>
      <w:r w:rsidRPr="00E14102">
        <w:rPr>
          <w:color w:val="000000" w:themeColor="text1"/>
          <w:sz w:val="16"/>
          <w:szCs w:val="16"/>
        </w:rPr>
        <w:softHyphen/>
        <w:t>водство необходимых авиации светооптических систем, источников света и агрегатов на уровне лучших образцов мировой техники, с пол</w:t>
      </w:r>
      <w:r w:rsidRPr="00E14102">
        <w:rPr>
          <w:color w:val="000000" w:themeColor="text1"/>
          <w:sz w:val="16"/>
          <w:szCs w:val="16"/>
        </w:rPr>
        <w:softHyphen/>
        <w:t>ным покрытием потребности в них НКО, ГВФ и Главсевморпути.</w:t>
      </w:r>
    </w:p>
    <w:p w14:paraId="7FA17C75" w14:textId="77777777" w:rsidR="00154792" w:rsidRPr="00E14102" w:rsidRDefault="00154792" w:rsidP="00E14102">
      <w:pPr>
        <w:jc w:val="both"/>
        <w:rPr>
          <w:color w:val="000000" w:themeColor="text1"/>
          <w:sz w:val="16"/>
          <w:szCs w:val="16"/>
        </w:rPr>
      </w:pPr>
      <w:r w:rsidRPr="00E14102">
        <w:rPr>
          <w:color w:val="000000" w:themeColor="text1"/>
          <w:sz w:val="16"/>
          <w:szCs w:val="16"/>
        </w:rPr>
        <w:t>Проект необходимых для этого правительственных решений вне</w:t>
      </w:r>
      <w:r w:rsidRPr="00E14102">
        <w:rPr>
          <w:color w:val="000000" w:themeColor="text1"/>
          <w:sz w:val="16"/>
          <w:szCs w:val="16"/>
        </w:rPr>
        <w:softHyphen/>
        <w:t>сти на рассмотрение в Совнарком СССР не позже 1 мая с.г.</w:t>
      </w:r>
    </w:p>
    <w:p w14:paraId="7130A2B7" w14:textId="77777777" w:rsidR="00154792" w:rsidRPr="00E14102" w:rsidRDefault="00154792" w:rsidP="00E14102">
      <w:pPr>
        <w:jc w:val="both"/>
        <w:rPr>
          <w:color w:val="000000" w:themeColor="text1"/>
          <w:sz w:val="16"/>
          <w:szCs w:val="16"/>
        </w:rPr>
      </w:pPr>
      <w:r w:rsidRPr="00E14102">
        <w:rPr>
          <w:color w:val="000000" w:themeColor="text1"/>
          <w:sz w:val="16"/>
          <w:szCs w:val="16"/>
        </w:rPr>
        <w:t>Мероприятия, не требующие решения правительства, реализовать немедленно распоряжениями по Наркомату тяжелой промышленности.</w:t>
      </w:r>
    </w:p>
    <w:p w14:paraId="71DF3D64" w14:textId="77777777" w:rsidR="00154792" w:rsidRPr="00E14102" w:rsidRDefault="00154792" w:rsidP="00E14102">
      <w:pPr>
        <w:tabs>
          <w:tab w:val="left" w:pos="778"/>
        </w:tabs>
        <w:jc w:val="both"/>
        <w:rPr>
          <w:color w:val="000000" w:themeColor="text1"/>
          <w:sz w:val="16"/>
          <w:szCs w:val="16"/>
        </w:rPr>
      </w:pPr>
      <w:r w:rsidRPr="00E14102">
        <w:rPr>
          <w:color w:val="000000" w:themeColor="text1"/>
          <w:sz w:val="16"/>
          <w:szCs w:val="16"/>
        </w:rPr>
        <w:t>8. Обязать соответствующие заводы и институты немедленно раз</w:t>
      </w:r>
      <w:r w:rsidRPr="00E14102">
        <w:rPr>
          <w:color w:val="000000" w:themeColor="text1"/>
          <w:sz w:val="16"/>
          <w:szCs w:val="16"/>
        </w:rPr>
        <w:softHyphen/>
        <w:t>вернуть инициативную работу по изучению и освоению авиационного наземного электросветооборудования.</w:t>
      </w:r>
    </w:p>
    <w:p w14:paraId="1C43095C" w14:textId="77777777" w:rsidR="00154792" w:rsidRPr="00E14102" w:rsidRDefault="00154792" w:rsidP="00E14102">
      <w:pPr>
        <w:tabs>
          <w:tab w:val="left" w:pos="817"/>
        </w:tabs>
        <w:jc w:val="both"/>
        <w:rPr>
          <w:color w:val="000000" w:themeColor="text1"/>
          <w:sz w:val="16"/>
          <w:szCs w:val="16"/>
        </w:rPr>
      </w:pPr>
      <w:r w:rsidRPr="00E14102">
        <w:rPr>
          <w:color w:val="000000" w:themeColor="text1"/>
          <w:sz w:val="16"/>
          <w:szCs w:val="16"/>
        </w:rPr>
        <w:t>9. Тов. Кагановичу М.М. к 1 апреля 1936 г. пересмотреть план опытных и исследовательских работ 1936 г. по заводам: Прожекторно</w:t>
      </w:r>
      <w:r w:rsidRPr="00E14102">
        <w:rPr>
          <w:color w:val="000000" w:themeColor="text1"/>
          <w:sz w:val="16"/>
          <w:szCs w:val="16"/>
        </w:rPr>
        <w:softHyphen/>
        <w:t>му им. Кагановича Л.М., Ламповому, «Электросвету» и стекольной про</w:t>
      </w:r>
      <w:r w:rsidRPr="00E14102">
        <w:rPr>
          <w:color w:val="000000" w:themeColor="text1"/>
          <w:sz w:val="16"/>
          <w:szCs w:val="16"/>
        </w:rPr>
        <w:softHyphen/>
        <w:t>мышленности в сторону наиболее полного обеспечения потребностей ГВФ, НКО и Главсевморпути по ночному авиационному электросвето- оборудованию.</w:t>
      </w:r>
    </w:p>
    <w:p w14:paraId="52CAD4C7" w14:textId="77777777" w:rsidR="00154792" w:rsidRPr="00E14102" w:rsidRDefault="00154792" w:rsidP="00E14102">
      <w:pPr>
        <w:jc w:val="both"/>
        <w:rPr>
          <w:color w:val="000000" w:themeColor="text1"/>
          <w:sz w:val="16"/>
          <w:szCs w:val="16"/>
        </w:rPr>
      </w:pPr>
      <w:r w:rsidRPr="00E14102">
        <w:rPr>
          <w:color w:val="000000" w:themeColor="text1"/>
          <w:sz w:val="16"/>
          <w:szCs w:val="16"/>
        </w:rPr>
        <w:t>Опытными и исследовательскими работами 1936 г. на этих заво</w:t>
      </w:r>
      <w:r w:rsidRPr="00E14102">
        <w:rPr>
          <w:color w:val="000000" w:themeColor="text1"/>
          <w:sz w:val="16"/>
          <w:szCs w:val="16"/>
        </w:rPr>
        <w:softHyphen/>
        <w:t>дах обеспечить:</w:t>
      </w:r>
    </w:p>
    <w:p w14:paraId="4A51C5A3" w14:textId="77777777" w:rsidR="00154792" w:rsidRPr="00E14102" w:rsidRDefault="00154792" w:rsidP="00E14102">
      <w:pPr>
        <w:tabs>
          <w:tab w:val="left" w:pos="1657"/>
        </w:tabs>
        <w:jc w:val="both"/>
        <w:rPr>
          <w:color w:val="000000" w:themeColor="text1"/>
          <w:sz w:val="16"/>
          <w:szCs w:val="16"/>
        </w:rPr>
      </w:pPr>
      <w:r w:rsidRPr="00E14102">
        <w:rPr>
          <w:color w:val="000000" w:themeColor="text1"/>
          <w:sz w:val="16"/>
          <w:szCs w:val="16"/>
        </w:rPr>
        <w:t>1) Поставку не позже чем с 1 августа 1936 г. высококачественного белого, мотированного изнутри и цветного, окрашенного в массе стек</w:t>
      </w:r>
      <w:r w:rsidRPr="00E14102">
        <w:rPr>
          <w:color w:val="000000" w:themeColor="text1"/>
          <w:sz w:val="16"/>
          <w:szCs w:val="16"/>
        </w:rPr>
        <w:softHyphen/>
        <w:t>ла для кодовой сигнализации, пограничных, заградительных, стартовых и командных огней.</w:t>
      </w:r>
    </w:p>
    <w:p w14:paraId="3E17D4E8" w14:textId="77777777" w:rsidR="00154792" w:rsidRPr="00E14102" w:rsidRDefault="00154792" w:rsidP="00E14102">
      <w:pPr>
        <w:tabs>
          <w:tab w:val="left" w:pos="822"/>
        </w:tabs>
        <w:jc w:val="both"/>
        <w:rPr>
          <w:color w:val="000000" w:themeColor="text1"/>
          <w:sz w:val="16"/>
          <w:szCs w:val="16"/>
        </w:rPr>
      </w:pPr>
      <w:r w:rsidRPr="00E14102">
        <w:rPr>
          <w:color w:val="000000" w:themeColor="text1"/>
          <w:sz w:val="16"/>
          <w:szCs w:val="16"/>
        </w:rPr>
        <w:t>2) Поставку с начала 1937г. новейших типов авиационных ламп накаливания мощностью 1, 1 '/</w:t>
      </w:r>
      <w:r w:rsidRPr="00E14102">
        <w:rPr>
          <w:color w:val="000000" w:themeColor="text1"/>
          <w:sz w:val="16"/>
          <w:szCs w:val="16"/>
          <w:vertAlign w:val="subscript"/>
        </w:rPr>
        <w:t>2</w:t>
      </w:r>
      <w:r w:rsidRPr="00E14102">
        <w:rPr>
          <w:color w:val="000000" w:themeColor="text1"/>
          <w:sz w:val="16"/>
          <w:szCs w:val="16"/>
        </w:rPr>
        <w:t>, 2, 3 и 5 КВт на напряжение 30-65 вольт и 5-10 КВт на напряжение 110 вольт.</w:t>
      </w:r>
    </w:p>
    <w:p w14:paraId="334FA831" w14:textId="77777777" w:rsidR="00154792" w:rsidRPr="00E14102" w:rsidRDefault="00154792" w:rsidP="00E14102">
      <w:pPr>
        <w:tabs>
          <w:tab w:val="left" w:pos="826"/>
        </w:tabs>
        <w:jc w:val="both"/>
        <w:rPr>
          <w:color w:val="000000" w:themeColor="text1"/>
          <w:sz w:val="16"/>
          <w:szCs w:val="16"/>
        </w:rPr>
      </w:pPr>
      <w:r w:rsidRPr="00E14102">
        <w:rPr>
          <w:color w:val="000000" w:themeColor="text1"/>
          <w:sz w:val="16"/>
          <w:szCs w:val="16"/>
        </w:rPr>
        <w:t>3) Форсированную готовность уже заданных опытных образцов наземного прожекторного электросветооборудования и расширение этого строительства в пределах необходимости.</w:t>
      </w:r>
    </w:p>
    <w:p w14:paraId="11F42676" w14:textId="77777777" w:rsidR="00154792" w:rsidRPr="00E14102" w:rsidRDefault="00154792" w:rsidP="00E14102">
      <w:pPr>
        <w:jc w:val="both"/>
        <w:rPr>
          <w:color w:val="000000" w:themeColor="text1"/>
          <w:sz w:val="16"/>
          <w:szCs w:val="16"/>
        </w:rPr>
      </w:pPr>
      <w:r w:rsidRPr="00E14102">
        <w:rPr>
          <w:color w:val="000000" w:themeColor="text1"/>
          <w:sz w:val="16"/>
          <w:szCs w:val="16"/>
        </w:rPr>
        <w:t>Прожекторному заводу им. Кагановича Л.М. постройку опыт</w:t>
      </w:r>
      <w:r w:rsidRPr="00E14102">
        <w:rPr>
          <w:color w:val="000000" w:themeColor="text1"/>
          <w:sz w:val="16"/>
          <w:szCs w:val="16"/>
        </w:rPr>
        <w:softHyphen/>
        <w:t>ного образца посадочной станции ПС-3 закончить не позже 1 августа 1936г. и еще в 1936г. выпустить не менее 15-ти штук этих установок.</w:t>
      </w:r>
    </w:p>
    <w:p w14:paraId="5E743B5B" w14:textId="77777777" w:rsidR="00154792" w:rsidRPr="00E14102" w:rsidRDefault="00154792" w:rsidP="00E14102">
      <w:pPr>
        <w:tabs>
          <w:tab w:val="left" w:pos="908"/>
        </w:tabs>
        <w:jc w:val="both"/>
        <w:rPr>
          <w:color w:val="000000" w:themeColor="text1"/>
          <w:sz w:val="16"/>
          <w:szCs w:val="16"/>
        </w:rPr>
      </w:pPr>
      <w:r w:rsidRPr="00E14102">
        <w:rPr>
          <w:color w:val="000000" w:themeColor="text1"/>
          <w:sz w:val="16"/>
          <w:szCs w:val="16"/>
        </w:rPr>
        <w:t>10. Разрешить ГУГВФу в 1936 г. срочно импортировать на сумму 70530 руб. валюты из Америки, Англии, Франции, Германии и Швеции лучшие образцы современного электросветооборудования аэропортов и воздушных трасс. Импорт этих образцов обеспечить в 3-х месячный срок, в чем ГУГВФу оказать необходимое содействие со стороны ор</w:t>
      </w:r>
      <w:r w:rsidRPr="00E14102">
        <w:rPr>
          <w:color w:val="000000" w:themeColor="text1"/>
          <w:sz w:val="16"/>
          <w:szCs w:val="16"/>
        </w:rPr>
        <w:softHyphen/>
        <w:t>ганизаций, располагающих за границей своими представительствами.</w:t>
      </w:r>
    </w:p>
    <w:p w14:paraId="2C15FEA2" w14:textId="77777777" w:rsidR="00154792" w:rsidRPr="00E14102" w:rsidRDefault="00154792" w:rsidP="00E14102">
      <w:pPr>
        <w:tabs>
          <w:tab w:val="left" w:pos="927"/>
        </w:tabs>
        <w:jc w:val="both"/>
        <w:rPr>
          <w:color w:val="000000" w:themeColor="text1"/>
          <w:sz w:val="16"/>
          <w:szCs w:val="16"/>
        </w:rPr>
      </w:pPr>
      <w:r w:rsidRPr="00E14102">
        <w:rPr>
          <w:color w:val="000000" w:themeColor="text1"/>
          <w:sz w:val="16"/>
          <w:szCs w:val="16"/>
        </w:rPr>
        <w:t>11. По получению образцов ГУГВФу подвергнуть их срочному испытанию с участием представителей НКО и НКТП и лучшие из них не позже 1 октября 1936 г. предъявить к реализации в нашей промыш</w:t>
      </w:r>
      <w:r w:rsidRPr="00E14102">
        <w:rPr>
          <w:color w:val="000000" w:themeColor="text1"/>
          <w:sz w:val="16"/>
          <w:szCs w:val="16"/>
        </w:rPr>
        <w:softHyphen/>
        <w:t>ленности копированием.</w:t>
      </w:r>
    </w:p>
    <w:p w14:paraId="62D647E5" w14:textId="77777777" w:rsidR="00154792" w:rsidRPr="00E14102" w:rsidRDefault="00154792" w:rsidP="00E14102">
      <w:pPr>
        <w:jc w:val="both"/>
        <w:rPr>
          <w:color w:val="000000" w:themeColor="text1"/>
          <w:sz w:val="16"/>
          <w:szCs w:val="16"/>
        </w:rPr>
      </w:pPr>
      <w:r w:rsidRPr="00E14102">
        <w:rPr>
          <w:color w:val="000000" w:themeColor="text1"/>
          <w:sz w:val="16"/>
          <w:szCs w:val="16"/>
        </w:rPr>
        <w:t>В таком порядке, не дожидаясь разработки оригинальных отече</w:t>
      </w:r>
      <w:r w:rsidRPr="00E14102">
        <w:rPr>
          <w:color w:val="000000" w:themeColor="text1"/>
          <w:sz w:val="16"/>
          <w:szCs w:val="16"/>
        </w:rPr>
        <w:softHyphen/>
        <w:t>ственных образцов, дабы избегнуть потери времени, Наркомтяжпрому обеспечить серийным выпуском для Гражданского Воздушного Флота.</w:t>
      </w:r>
    </w:p>
    <w:p w14:paraId="5190FB20" w14:textId="77777777" w:rsidR="00154792" w:rsidRPr="00E14102" w:rsidRDefault="00154792" w:rsidP="00E14102">
      <w:pPr>
        <w:pStyle w:val="3f"/>
        <w:shd w:val="clear" w:color="auto" w:fill="auto"/>
        <w:spacing w:after="0" w:line="240" w:lineRule="auto"/>
        <w:jc w:val="both"/>
        <w:outlineLvl w:val="9"/>
        <w:rPr>
          <w:color w:val="000000" w:themeColor="text1"/>
          <w:sz w:val="16"/>
          <w:szCs w:val="16"/>
        </w:rPr>
      </w:pPr>
      <w:r w:rsidRPr="00E14102">
        <w:rPr>
          <w:color w:val="000000" w:themeColor="text1"/>
          <w:sz w:val="16"/>
          <w:szCs w:val="16"/>
        </w:rPr>
        <w:t>Не позже 1 октября 1936 г.:</w:t>
      </w:r>
    </w:p>
    <w:p w14:paraId="41FED9C9" w14:textId="77777777" w:rsidR="00154792" w:rsidRPr="00E14102" w:rsidRDefault="00154792" w:rsidP="00E14102">
      <w:pPr>
        <w:tabs>
          <w:tab w:val="left" w:pos="802"/>
        </w:tabs>
        <w:jc w:val="both"/>
        <w:rPr>
          <w:color w:val="000000" w:themeColor="text1"/>
          <w:sz w:val="16"/>
          <w:szCs w:val="16"/>
        </w:rPr>
      </w:pPr>
      <w:r w:rsidRPr="00E14102">
        <w:rPr>
          <w:color w:val="000000" w:themeColor="text1"/>
          <w:sz w:val="16"/>
          <w:szCs w:val="16"/>
        </w:rPr>
        <w:t>1) по 2 типа пограничных и заградительных огней с лампой нака</w:t>
      </w:r>
      <w:r w:rsidRPr="00E14102">
        <w:rPr>
          <w:color w:val="000000" w:themeColor="text1"/>
          <w:sz w:val="16"/>
          <w:szCs w:val="16"/>
        </w:rPr>
        <w:softHyphen/>
        <w:t>ливания и с газосветными трубками;</w:t>
      </w:r>
    </w:p>
    <w:p w14:paraId="68F5C1B8" w14:textId="77777777" w:rsidR="00154792" w:rsidRPr="00E14102" w:rsidRDefault="00154792" w:rsidP="00E14102">
      <w:pPr>
        <w:tabs>
          <w:tab w:val="left" w:pos="815"/>
        </w:tabs>
        <w:jc w:val="both"/>
        <w:rPr>
          <w:color w:val="000000" w:themeColor="text1"/>
          <w:sz w:val="16"/>
          <w:szCs w:val="16"/>
        </w:rPr>
      </w:pPr>
      <w:r w:rsidRPr="00E14102">
        <w:rPr>
          <w:color w:val="000000" w:themeColor="text1"/>
          <w:sz w:val="16"/>
          <w:szCs w:val="16"/>
        </w:rPr>
        <w:lastRenderedPageBreak/>
        <w:t>2) 1 тип Т-образного ветроуказателя;</w:t>
      </w:r>
    </w:p>
    <w:p w14:paraId="3715978C" w14:textId="77777777" w:rsidR="00154792" w:rsidRPr="00E14102" w:rsidRDefault="00154792" w:rsidP="00E14102">
      <w:pPr>
        <w:tabs>
          <w:tab w:val="left" w:pos="791"/>
        </w:tabs>
        <w:jc w:val="both"/>
        <w:rPr>
          <w:color w:val="000000" w:themeColor="text1"/>
          <w:sz w:val="16"/>
          <w:szCs w:val="16"/>
        </w:rPr>
      </w:pPr>
      <w:r w:rsidRPr="00E14102">
        <w:rPr>
          <w:color w:val="000000" w:themeColor="text1"/>
          <w:sz w:val="16"/>
          <w:szCs w:val="16"/>
        </w:rPr>
        <w:t>3) освещенный ветровой конус;</w:t>
      </w:r>
    </w:p>
    <w:p w14:paraId="52639852" w14:textId="77777777" w:rsidR="00154792" w:rsidRPr="00E14102" w:rsidRDefault="00154792" w:rsidP="00E14102">
      <w:pPr>
        <w:tabs>
          <w:tab w:val="left" w:pos="806"/>
        </w:tabs>
        <w:jc w:val="both"/>
        <w:rPr>
          <w:color w:val="000000" w:themeColor="text1"/>
          <w:sz w:val="16"/>
          <w:szCs w:val="16"/>
        </w:rPr>
      </w:pPr>
      <w:r w:rsidRPr="00E14102">
        <w:rPr>
          <w:color w:val="000000" w:themeColor="text1"/>
          <w:sz w:val="16"/>
          <w:szCs w:val="16"/>
        </w:rPr>
        <w:t>4) электрические переносные стартовые огни.</w:t>
      </w:r>
    </w:p>
    <w:p w14:paraId="51D7600C" w14:textId="77777777" w:rsidR="00154792" w:rsidRPr="00E14102" w:rsidRDefault="00154792" w:rsidP="00E14102">
      <w:pPr>
        <w:pStyle w:val="3f"/>
        <w:shd w:val="clear" w:color="auto" w:fill="auto"/>
        <w:spacing w:after="0" w:line="240" w:lineRule="auto"/>
        <w:jc w:val="both"/>
        <w:outlineLvl w:val="9"/>
        <w:rPr>
          <w:color w:val="000000" w:themeColor="text1"/>
          <w:sz w:val="16"/>
          <w:szCs w:val="16"/>
        </w:rPr>
      </w:pPr>
      <w:r w:rsidRPr="00E14102">
        <w:rPr>
          <w:color w:val="000000" w:themeColor="text1"/>
          <w:sz w:val="16"/>
          <w:szCs w:val="16"/>
        </w:rPr>
        <w:t>Не позже 1 марта 1937 г.:</w:t>
      </w:r>
    </w:p>
    <w:p w14:paraId="4E8C9988" w14:textId="77777777" w:rsidR="00154792" w:rsidRPr="00E14102" w:rsidRDefault="00154792" w:rsidP="00E14102">
      <w:pPr>
        <w:tabs>
          <w:tab w:val="left" w:pos="817"/>
        </w:tabs>
        <w:jc w:val="both"/>
        <w:rPr>
          <w:color w:val="000000" w:themeColor="text1"/>
          <w:sz w:val="16"/>
          <w:szCs w:val="16"/>
        </w:rPr>
      </w:pPr>
      <w:r w:rsidRPr="00E14102">
        <w:rPr>
          <w:color w:val="000000" w:themeColor="text1"/>
          <w:sz w:val="16"/>
          <w:szCs w:val="16"/>
        </w:rPr>
        <w:t>5) 2 образца современных авиационных светомаяков (линейный и аэропортовый);</w:t>
      </w:r>
    </w:p>
    <w:p w14:paraId="02EAC2D6" w14:textId="77777777" w:rsidR="00154792" w:rsidRPr="00E14102" w:rsidRDefault="00154792" w:rsidP="00E14102">
      <w:pPr>
        <w:tabs>
          <w:tab w:val="left" w:pos="796"/>
        </w:tabs>
        <w:jc w:val="both"/>
        <w:rPr>
          <w:color w:val="000000" w:themeColor="text1"/>
          <w:sz w:val="16"/>
          <w:szCs w:val="16"/>
        </w:rPr>
      </w:pPr>
      <w:r w:rsidRPr="00E14102">
        <w:rPr>
          <w:color w:val="000000" w:themeColor="text1"/>
          <w:sz w:val="16"/>
          <w:szCs w:val="16"/>
        </w:rPr>
        <w:t>6) кодовый маяк;</w:t>
      </w:r>
    </w:p>
    <w:p w14:paraId="034149B6" w14:textId="77777777" w:rsidR="00154792" w:rsidRPr="00E14102" w:rsidRDefault="00154792" w:rsidP="00E14102">
      <w:pPr>
        <w:tabs>
          <w:tab w:val="left" w:pos="801"/>
        </w:tabs>
        <w:jc w:val="both"/>
        <w:rPr>
          <w:color w:val="000000" w:themeColor="text1"/>
          <w:sz w:val="16"/>
          <w:szCs w:val="16"/>
        </w:rPr>
      </w:pPr>
      <w:r w:rsidRPr="00E14102">
        <w:rPr>
          <w:color w:val="000000" w:themeColor="text1"/>
          <w:sz w:val="16"/>
          <w:szCs w:val="16"/>
        </w:rPr>
        <w:t>7) 2 типа стационарного посадочного прожектора;</w:t>
      </w:r>
    </w:p>
    <w:p w14:paraId="7AB586E9" w14:textId="77777777" w:rsidR="00154792" w:rsidRPr="00E14102" w:rsidRDefault="00154792" w:rsidP="00E14102">
      <w:pPr>
        <w:tabs>
          <w:tab w:val="left" w:pos="810"/>
        </w:tabs>
        <w:jc w:val="both"/>
        <w:rPr>
          <w:color w:val="000000" w:themeColor="text1"/>
          <w:sz w:val="16"/>
          <w:szCs w:val="16"/>
        </w:rPr>
      </w:pPr>
      <w:r w:rsidRPr="00E14102">
        <w:rPr>
          <w:color w:val="000000" w:themeColor="text1"/>
          <w:sz w:val="16"/>
          <w:szCs w:val="16"/>
        </w:rPr>
        <w:t>8) 1 тип передвижной посадочной станции.</w:t>
      </w:r>
    </w:p>
    <w:p w14:paraId="21058789" w14:textId="77777777" w:rsidR="00154792" w:rsidRPr="00E14102" w:rsidRDefault="00154792" w:rsidP="00E14102">
      <w:pPr>
        <w:tabs>
          <w:tab w:val="left" w:pos="889"/>
        </w:tabs>
        <w:jc w:val="both"/>
        <w:rPr>
          <w:color w:val="000000" w:themeColor="text1"/>
          <w:sz w:val="16"/>
          <w:szCs w:val="16"/>
        </w:rPr>
      </w:pPr>
      <w:r w:rsidRPr="00E14102">
        <w:rPr>
          <w:color w:val="000000" w:themeColor="text1"/>
          <w:sz w:val="16"/>
          <w:szCs w:val="16"/>
        </w:rPr>
        <w:t>12. Те оптические системы и источники света к отобранному для выпуска в 1936 г. и 1937 г. оборудованию, которые нельзя будет изгото</w:t>
      </w:r>
      <w:r w:rsidRPr="00E14102">
        <w:rPr>
          <w:color w:val="000000" w:themeColor="text1"/>
          <w:sz w:val="16"/>
          <w:szCs w:val="16"/>
        </w:rPr>
        <w:softHyphen/>
        <w:t>вить в нашей промышленности из-за неготовности своей базы, преду</w:t>
      </w:r>
      <w:r w:rsidRPr="00E14102">
        <w:rPr>
          <w:color w:val="000000" w:themeColor="text1"/>
          <w:sz w:val="16"/>
          <w:szCs w:val="16"/>
        </w:rPr>
        <w:softHyphen/>
        <w:t>смотреть импортом в объеме программы этого выпуска.</w:t>
      </w:r>
    </w:p>
    <w:p w14:paraId="6C2D5E85" w14:textId="77777777" w:rsidR="00154792" w:rsidRPr="00E14102" w:rsidRDefault="00154792" w:rsidP="00E14102">
      <w:pPr>
        <w:tabs>
          <w:tab w:val="left" w:pos="918"/>
        </w:tabs>
        <w:jc w:val="both"/>
        <w:rPr>
          <w:color w:val="000000" w:themeColor="text1"/>
          <w:sz w:val="16"/>
          <w:szCs w:val="16"/>
        </w:rPr>
      </w:pPr>
      <w:r w:rsidRPr="00E14102">
        <w:rPr>
          <w:color w:val="000000" w:themeColor="text1"/>
          <w:sz w:val="16"/>
          <w:szCs w:val="16"/>
        </w:rPr>
        <w:t>13. Народному Комиссариату тяжелой промышленности СССР принять следующие меры к обеспечению воздушных линий агрегатны</w:t>
      </w:r>
      <w:r w:rsidRPr="00E14102">
        <w:rPr>
          <w:color w:val="000000" w:themeColor="text1"/>
          <w:sz w:val="16"/>
          <w:szCs w:val="16"/>
        </w:rPr>
        <w:softHyphen/>
        <w:t>ми установками для питания светомаяков:</w:t>
      </w:r>
    </w:p>
    <w:p w14:paraId="239006A9" w14:textId="77777777" w:rsidR="00154792" w:rsidRPr="00E14102" w:rsidRDefault="00154792" w:rsidP="00E14102">
      <w:pPr>
        <w:tabs>
          <w:tab w:val="left" w:pos="831"/>
        </w:tabs>
        <w:jc w:val="both"/>
        <w:rPr>
          <w:color w:val="000000" w:themeColor="text1"/>
          <w:sz w:val="16"/>
          <w:szCs w:val="16"/>
        </w:rPr>
      </w:pPr>
      <w:r w:rsidRPr="00E14102">
        <w:rPr>
          <w:color w:val="000000" w:themeColor="text1"/>
          <w:sz w:val="16"/>
          <w:szCs w:val="16"/>
        </w:rPr>
        <w:t>1) Не позже 1 октября 1936 г. выпустить серию дизельных агре</w:t>
      </w:r>
      <w:r w:rsidRPr="00E14102">
        <w:rPr>
          <w:color w:val="000000" w:themeColor="text1"/>
          <w:sz w:val="16"/>
          <w:szCs w:val="16"/>
        </w:rPr>
        <w:softHyphen/>
        <w:t>гатов мощностью в 7 и 15 л.с. по образцам Ленинградского научно- исследовательского дизельного института с динамо постоянного типа 120 вольт и типовым распределительным устройством.</w:t>
      </w:r>
    </w:p>
    <w:p w14:paraId="675C3C10" w14:textId="77777777" w:rsidR="00154792" w:rsidRPr="00E14102" w:rsidRDefault="00154792" w:rsidP="00E14102">
      <w:pPr>
        <w:tabs>
          <w:tab w:val="left" w:pos="807"/>
        </w:tabs>
        <w:jc w:val="both"/>
        <w:rPr>
          <w:color w:val="000000" w:themeColor="text1"/>
          <w:sz w:val="16"/>
          <w:szCs w:val="16"/>
        </w:rPr>
      </w:pPr>
      <w:r w:rsidRPr="00E14102">
        <w:rPr>
          <w:color w:val="000000" w:themeColor="text1"/>
          <w:sz w:val="16"/>
          <w:szCs w:val="16"/>
        </w:rPr>
        <w:t>2) Обеспечить по этим же агрегатам переход с 1 июля 1937 г. на ге</w:t>
      </w:r>
      <w:r w:rsidRPr="00E14102">
        <w:rPr>
          <w:color w:val="000000" w:themeColor="text1"/>
          <w:sz w:val="16"/>
          <w:szCs w:val="16"/>
        </w:rPr>
        <w:softHyphen/>
        <w:t>нераторы переменного тока 220 вольт напряжения и полуавтоматиче</w:t>
      </w:r>
      <w:r w:rsidRPr="00E14102">
        <w:rPr>
          <w:color w:val="000000" w:themeColor="text1"/>
          <w:sz w:val="16"/>
          <w:szCs w:val="16"/>
        </w:rPr>
        <w:softHyphen/>
        <w:t>скую и полностью автоматическую работу по техническим условия ГВФ.</w:t>
      </w:r>
    </w:p>
    <w:p w14:paraId="58791444" w14:textId="77777777" w:rsidR="00154792" w:rsidRPr="00E14102" w:rsidRDefault="00154792" w:rsidP="00E14102">
      <w:pPr>
        <w:tabs>
          <w:tab w:val="left" w:pos="822"/>
        </w:tabs>
        <w:jc w:val="both"/>
        <w:rPr>
          <w:color w:val="000000" w:themeColor="text1"/>
          <w:sz w:val="16"/>
          <w:szCs w:val="16"/>
        </w:rPr>
      </w:pPr>
      <w:r w:rsidRPr="00E14102">
        <w:rPr>
          <w:color w:val="000000" w:themeColor="text1"/>
          <w:sz w:val="16"/>
          <w:szCs w:val="16"/>
        </w:rPr>
        <w:t>3) Обязать Ленинградский дизельный институт разработкой воз</w:t>
      </w:r>
      <w:r w:rsidRPr="00E14102">
        <w:rPr>
          <w:color w:val="000000" w:themeColor="text1"/>
          <w:sz w:val="16"/>
          <w:szCs w:val="16"/>
        </w:rPr>
        <w:softHyphen/>
        <w:t>душного охлаждения для 7-ми сильного дизельного агрегата с предъяв</w:t>
      </w:r>
      <w:r w:rsidRPr="00E14102">
        <w:rPr>
          <w:color w:val="000000" w:themeColor="text1"/>
          <w:sz w:val="16"/>
          <w:szCs w:val="16"/>
        </w:rPr>
        <w:softHyphen/>
        <w:t>лением опытного образца не позже 1 июня 1937 г.</w:t>
      </w:r>
    </w:p>
    <w:p w14:paraId="380B6878" w14:textId="77777777" w:rsidR="00154792" w:rsidRPr="00E14102" w:rsidRDefault="00154792" w:rsidP="00E14102">
      <w:pPr>
        <w:tabs>
          <w:tab w:val="left" w:pos="798"/>
        </w:tabs>
        <w:jc w:val="both"/>
        <w:rPr>
          <w:color w:val="000000" w:themeColor="text1"/>
          <w:sz w:val="16"/>
          <w:szCs w:val="16"/>
        </w:rPr>
      </w:pPr>
      <w:r w:rsidRPr="00E14102">
        <w:rPr>
          <w:color w:val="000000" w:themeColor="text1"/>
          <w:sz w:val="16"/>
          <w:szCs w:val="16"/>
        </w:rPr>
        <w:t>4) До выхода из производства дизельных агрегатов удовлетворить потребность в маячных агрегатах для моравио-маяков в количестве не</w:t>
      </w:r>
      <w:r w:rsidRPr="00E14102">
        <w:rPr>
          <w:color w:val="000000" w:themeColor="text1"/>
          <w:sz w:val="16"/>
          <w:szCs w:val="16"/>
        </w:rPr>
        <w:softHyphen/>
        <w:t>обходимом для оборудования побережья Черного моря, комплектными станциями из нефтяного двигателе «Победа» с генератором постоянно</w:t>
      </w:r>
      <w:r w:rsidRPr="00E14102">
        <w:rPr>
          <w:color w:val="000000" w:themeColor="text1"/>
          <w:sz w:val="16"/>
          <w:szCs w:val="16"/>
        </w:rPr>
        <w:softHyphen/>
        <w:t>го тока типа ТП-4,4 КВт.</w:t>
      </w:r>
    </w:p>
    <w:p w14:paraId="28B38F6C" w14:textId="77777777" w:rsidR="00154792" w:rsidRPr="00E14102" w:rsidRDefault="00154792" w:rsidP="00E14102">
      <w:pPr>
        <w:tabs>
          <w:tab w:val="left" w:pos="812"/>
        </w:tabs>
        <w:jc w:val="both"/>
        <w:rPr>
          <w:color w:val="000000" w:themeColor="text1"/>
          <w:sz w:val="16"/>
          <w:szCs w:val="16"/>
        </w:rPr>
      </w:pPr>
      <w:r w:rsidRPr="00E14102">
        <w:rPr>
          <w:color w:val="000000" w:themeColor="text1"/>
          <w:sz w:val="16"/>
          <w:szCs w:val="16"/>
        </w:rPr>
        <w:t>5) Не позже 1 января 1937г. обеспечить выпуск трансформаторов на 2, 3 и 5 КВт с напряжением 220 на 110, 80, 65 и 30 вольт, а также авто</w:t>
      </w:r>
      <w:r w:rsidRPr="00E14102">
        <w:rPr>
          <w:color w:val="000000" w:themeColor="text1"/>
          <w:sz w:val="16"/>
          <w:szCs w:val="16"/>
        </w:rPr>
        <w:softHyphen/>
        <w:t>трансформаторов 220 на 30 вольт по техническим условиям ГВФ.</w:t>
      </w:r>
    </w:p>
    <w:p w14:paraId="0B91F52F" w14:textId="77777777" w:rsidR="00154792" w:rsidRPr="00E14102" w:rsidRDefault="00154792" w:rsidP="00E14102">
      <w:pPr>
        <w:tabs>
          <w:tab w:val="left" w:pos="807"/>
        </w:tabs>
        <w:jc w:val="both"/>
        <w:rPr>
          <w:color w:val="000000" w:themeColor="text1"/>
          <w:sz w:val="16"/>
          <w:szCs w:val="16"/>
        </w:rPr>
      </w:pPr>
      <w:r w:rsidRPr="00E14102">
        <w:rPr>
          <w:color w:val="000000" w:themeColor="text1"/>
          <w:sz w:val="16"/>
          <w:szCs w:val="16"/>
        </w:rPr>
        <w:t>6) Разработать и с 1 января 1937 г. приступить к выпуску стандарт</w:t>
      </w:r>
      <w:r w:rsidRPr="00E14102">
        <w:rPr>
          <w:color w:val="000000" w:themeColor="text1"/>
          <w:sz w:val="16"/>
          <w:szCs w:val="16"/>
        </w:rPr>
        <w:softHyphen/>
        <w:t>ных разборных металлических вышек для авиамаяков по техническим требованиям ГВФ.</w:t>
      </w:r>
    </w:p>
    <w:p w14:paraId="7977C278" w14:textId="77777777" w:rsidR="00154792" w:rsidRPr="00E14102" w:rsidRDefault="00154792" w:rsidP="00E14102">
      <w:pPr>
        <w:jc w:val="both"/>
        <w:rPr>
          <w:color w:val="000000" w:themeColor="text1"/>
          <w:sz w:val="16"/>
          <w:szCs w:val="16"/>
        </w:rPr>
      </w:pPr>
      <w:r w:rsidRPr="00E14102">
        <w:rPr>
          <w:color w:val="000000" w:themeColor="text1"/>
          <w:sz w:val="16"/>
          <w:szCs w:val="16"/>
        </w:rPr>
        <w:t>Без подписи</w:t>
      </w:r>
    </w:p>
    <w:p w14:paraId="026C70DB" w14:textId="77777777" w:rsidR="00154792" w:rsidRPr="00E14102" w:rsidRDefault="00154792" w:rsidP="00E14102">
      <w:pPr>
        <w:jc w:val="both"/>
        <w:rPr>
          <w:color w:val="000000" w:themeColor="text1"/>
          <w:sz w:val="16"/>
          <w:szCs w:val="16"/>
        </w:rPr>
      </w:pPr>
      <w:r w:rsidRPr="00E14102">
        <w:rPr>
          <w:color w:val="000000" w:themeColor="text1"/>
          <w:sz w:val="16"/>
          <w:szCs w:val="16"/>
        </w:rPr>
        <w:t>Филиал РГАНТД. Ф. Р-4. Оп. 2-1. Д. 51. Л. 45-47. Подлинник (15633).</w:t>
      </w:r>
    </w:p>
    <w:p w14:paraId="15322D65" w14:textId="77777777" w:rsidR="00154792" w:rsidRPr="00E14102" w:rsidRDefault="00154792" w:rsidP="00E14102">
      <w:pPr>
        <w:jc w:val="both"/>
        <w:rPr>
          <w:color w:val="000000" w:themeColor="text1"/>
          <w:sz w:val="16"/>
          <w:szCs w:val="16"/>
        </w:rPr>
      </w:pPr>
    </w:p>
    <w:p w14:paraId="410439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феврале 1935 г. ПР-5 участвовал в перелете Москва-Диксон. Приняли решение строить самолет серийно (точнее, делать для него новые фюзеляжи) в авиаремонтных ма</w:t>
      </w:r>
      <w:r w:rsidRPr="00E14102">
        <w:rPr>
          <w:color w:val="000000" w:themeColor="text1"/>
          <w:sz w:val="16"/>
          <w:szCs w:val="16"/>
        </w:rPr>
        <w:softHyphen/>
        <w:t>стерских в подмосковном Быково. Серийные ПР-5 немного отличались от опытного. Для улучшения центровки кабину пилота передвинули вперед на 350 мм, а для улучшения обзора - к левому борту. Справа и ниже находилось сиденье бортмехани</w:t>
      </w:r>
      <w:r w:rsidRPr="00E14102">
        <w:rPr>
          <w:color w:val="000000" w:themeColor="text1"/>
          <w:sz w:val="16"/>
          <w:szCs w:val="16"/>
        </w:rPr>
        <w:softHyphen/>
        <w:t>ка. Были установлены обтекатели на колесах, зализы на стойках, новое бортовое оборудование. Первый серий</w:t>
      </w:r>
      <w:r w:rsidRPr="00E14102">
        <w:rPr>
          <w:color w:val="000000" w:themeColor="text1"/>
          <w:sz w:val="16"/>
          <w:szCs w:val="16"/>
        </w:rPr>
        <w:softHyphen/>
        <w:t>ный ПР-5 изготовили в июле 1936 г. Машины этого ти</w:t>
      </w:r>
      <w:r w:rsidRPr="00E14102">
        <w:rPr>
          <w:color w:val="000000" w:themeColor="text1"/>
          <w:sz w:val="16"/>
          <w:szCs w:val="16"/>
        </w:rPr>
        <w:softHyphen/>
        <w:t>па (около 200 экземпляров) эксплуатировались на авиалиниях страны в довоенное время. На некоторых самолетах верхнее крыло сдвинули вперед на 100 мм и, с учетом опыта эксплуатации, ввели некоторые улучшения в конструкцию. Такие образцы имели обозначение ПР-5бис. В 1938 г. А.Н.Рафаэлянц вместо бипланной коробки установил на ПР-5 монопланное крыло собственной конструкции, обшитое полотном. Машина, обозначав</w:t>
      </w:r>
      <w:r w:rsidRPr="00E14102">
        <w:rPr>
          <w:color w:val="000000" w:themeColor="text1"/>
          <w:sz w:val="16"/>
          <w:szCs w:val="16"/>
        </w:rPr>
        <w:softHyphen/>
        <w:t>шаяся как ПР-12, прошла испытания, затем эксплуати</w:t>
      </w:r>
      <w:r w:rsidRPr="00E14102">
        <w:rPr>
          <w:color w:val="000000" w:themeColor="text1"/>
          <w:sz w:val="16"/>
          <w:szCs w:val="16"/>
        </w:rPr>
        <w:softHyphen/>
        <w:t>ровалась на линии Москва-Харьков, но в серии ее не строили. Мастерские в Быково (завод № 402) кроме выпуска ПР-5 занимались еще капитальным ремонтом Р-5 (П-5) и двигателей к ним (10667).</w:t>
      </w:r>
    </w:p>
    <w:p w14:paraId="5A10BC1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F0CD0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вышло постановление СТО, обязывающее з-д № 8 изготовить 300 АПК-11 (3996, 102).</w:t>
      </w:r>
    </w:p>
    <w:p w14:paraId="39A366D8" w14:textId="77777777" w:rsidR="00D4105E" w:rsidRPr="00E14102" w:rsidRDefault="00D4105E" w:rsidP="00E14102">
      <w:pPr>
        <w:autoSpaceDE w:val="0"/>
        <w:autoSpaceDN w:val="0"/>
        <w:adjustRightInd w:val="0"/>
        <w:jc w:val="both"/>
        <w:rPr>
          <w:color w:val="000000" w:themeColor="text1"/>
          <w:sz w:val="16"/>
          <w:szCs w:val="16"/>
        </w:rPr>
      </w:pPr>
    </w:p>
    <w:p w14:paraId="4CAD30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г. вышло постановление СТО, которым заводу № 8 приказывалось изготовить в 1935 г. 300 штук АПК-11. Автору так и не удалось выяснить, сколько всего было изготовлено пушек АПК-11 в 1934–1935 гг., и устанавливались ли они на другие самолеты И-14. 37-мм пушка АПК-11 была сравнительно маломощной, тем более что за границей и у нас (АКТ-37) появились классические 37-мм автоматические авиапушки. Поэтому в январе 1934 г. Курчевский предложил разработать 45-мм авиапушки АПК-13. За 4 месяца Курчевский обещал разработать проект, рабочие чертежи и изготовить 4 опытных образца АПК-13. За это он получил 100 тысяч рублей, но к 1 января 1935 г. в наличии был только проект. На 1935 г. Курчевский вписал себе в план доработки проекта АПК-13, изготовление рабочих чертежей и двух опытных образцов пушки. Чем закончилась эпопея АПК-13 — установить пока не удалось (12091).</w:t>
      </w:r>
    </w:p>
    <w:p w14:paraId="2B1C3CA7" w14:textId="77777777" w:rsidR="00D4105E" w:rsidRPr="00E14102" w:rsidRDefault="00D4105E" w:rsidP="00E14102">
      <w:pPr>
        <w:autoSpaceDE w:val="0"/>
        <w:autoSpaceDN w:val="0"/>
        <w:adjustRightInd w:val="0"/>
        <w:jc w:val="both"/>
        <w:rPr>
          <w:color w:val="000000" w:themeColor="text1"/>
          <w:sz w:val="16"/>
          <w:szCs w:val="16"/>
        </w:rPr>
      </w:pPr>
    </w:p>
    <w:p w14:paraId="754FA4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феврале 1935 г. провели серию опытов по подбору воспламените</w:t>
      </w:r>
      <w:r w:rsidRPr="00E14102">
        <w:rPr>
          <w:color w:val="000000" w:themeColor="text1"/>
          <w:sz w:val="16"/>
          <w:szCs w:val="16"/>
        </w:rPr>
        <w:softHyphen/>
        <w:t>лей, действию капсюлей при различной длине пусковой трубы и пр. А 14 марта состоялась первая стрельба на Люблинском полигоне. Действие РЗ, воспламенителей и капсюлей было безотказным.</w:t>
      </w:r>
    </w:p>
    <w:p w14:paraId="0B5D97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апреля при стрельбе для предотвращения срыва колпаков передних обтекателей, у трех снарядов их привязали к стакану БЧ стальной прово</w:t>
      </w:r>
      <w:r w:rsidRPr="00E14102">
        <w:rPr>
          <w:color w:val="000000" w:themeColor="text1"/>
          <w:sz w:val="16"/>
          <w:szCs w:val="16"/>
        </w:rPr>
        <w:softHyphen/>
        <w:t>локой, чтобы получить безотказное зажигание сигнального состава. Вос</w:t>
      </w:r>
      <w:r w:rsidRPr="00E14102">
        <w:rPr>
          <w:color w:val="000000" w:themeColor="text1"/>
          <w:sz w:val="16"/>
          <w:szCs w:val="16"/>
        </w:rPr>
        <w:softHyphen/>
        <w:t>пламенители в БЧ крепили стопиновыми нитями. Передача огня от ра</w:t>
      </w:r>
      <w:r w:rsidRPr="00E14102">
        <w:rPr>
          <w:color w:val="000000" w:themeColor="text1"/>
          <w:sz w:val="16"/>
          <w:szCs w:val="16"/>
        </w:rPr>
        <w:softHyphen/>
        <w:t>ботающего двигателя на дистанционное кольцо обеспечивалось порохо</w:t>
      </w:r>
      <w:r w:rsidRPr="00E14102">
        <w:rPr>
          <w:color w:val="000000" w:themeColor="text1"/>
          <w:sz w:val="16"/>
          <w:szCs w:val="16"/>
        </w:rPr>
        <w:softHyphen/>
        <w:t>вой подмазкой «у начала горения дистанционного состава». Стрельба продемонстрировала безотказное действие дистанционного кольца и капсюля-воспламенителя.</w:t>
      </w:r>
    </w:p>
    <w:p w14:paraId="207B78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Однако, от представителя НТО-1 ОБАА АУ РККА Лукашина посту</w:t>
      </w:r>
      <w:r w:rsidRPr="00E14102">
        <w:rPr>
          <w:color w:val="000000" w:themeColor="text1"/>
          <w:sz w:val="16"/>
          <w:szCs w:val="16"/>
        </w:rPr>
        <w:softHyphen/>
        <w:t>пило предложение доработать снаряд под РЗ из штатного пороха ПТП габаритами 24/6-57,5 мм, и в марте в РНИИ приступили к разработке второго варианта этого снаряда. По заданию РНИИ одновременно в ВХНИИ разработали рецептуру состава звездок, а также цветных огней и дымов. На основании опытов создали снаряд модели 140900 и пуско</w:t>
      </w:r>
      <w:r w:rsidRPr="00E14102">
        <w:rPr>
          <w:color w:val="000000" w:themeColor="text1"/>
          <w:sz w:val="16"/>
          <w:szCs w:val="16"/>
        </w:rPr>
        <w:softHyphen/>
        <w:t>вую трубу к нему модели 101700. 15 июля отстреляли четыре новых бое-припаса, снаряженных сигнальными звездками. Три снаряда «дали пра</w:t>
      </w:r>
      <w:r w:rsidRPr="00E14102">
        <w:rPr>
          <w:color w:val="000000" w:themeColor="text1"/>
          <w:sz w:val="16"/>
          <w:szCs w:val="16"/>
        </w:rPr>
        <w:softHyphen/>
        <w:t>вильный полет с высотой подъема 500 м». У одного все же сорвало обте</w:t>
      </w:r>
      <w:r w:rsidRPr="00E14102">
        <w:rPr>
          <w:color w:val="000000" w:themeColor="text1"/>
          <w:sz w:val="16"/>
          <w:szCs w:val="16"/>
        </w:rPr>
        <w:softHyphen/>
        <w:t>катель головной части.</w:t>
      </w:r>
    </w:p>
    <w:p w14:paraId="3BDCB3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сентября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E14102">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E14102">
        <w:rPr>
          <w:color w:val="000000" w:themeColor="text1"/>
          <w:sz w:val="16"/>
          <w:szCs w:val="16"/>
        </w:rPr>
        <w:softHyphen/>
        <w:t>нейшем в чертежи внесли изменения, улучшив крепление алюминиево</w:t>
      </w:r>
      <w:r w:rsidRPr="00E14102">
        <w:rPr>
          <w:color w:val="000000" w:themeColor="text1"/>
          <w:sz w:val="16"/>
          <w:szCs w:val="16"/>
        </w:rPr>
        <w:softHyphen/>
        <w:t>го головного обтекателя с дном. Готовые образцы 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E14102">
        <w:rPr>
          <w:color w:val="000000" w:themeColor="text1"/>
          <w:sz w:val="16"/>
          <w:szCs w:val="16"/>
        </w:rPr>
        <w:softHyphen/>
        <w:t>сов модели 140900 и четыре пусковых трубы модели 101700 для полигон</w:t>
      </w:r>
      <w:r w:rsidRPr="00E14102">
        <w:rPr>
          <w:color w:val="000000" w:themeColor="text1"/>
          <w:sz w:val="16"/>
          <w:szCs w:val="16"/>
        </w:rPr>
        <w:softHyphen/>
        <w:t>ных испытаний (11402).</w:t>
      </w:r>
    </w:p>
    <w:p w14:paraId="1CEBE83E" w14:textId="77777777" w:rsidR="00D4105E" w:rsidRPr="00E14102" w:rsidRDefault="00D4105E" w:rsidP="00E14102">
      <w:pPr>
        <w:autoSpaceDE w:val="0"/>
        <w:autoSpaceDN w:val="0"/>
        <w:adjustRightInd w:val="0"/>
        <w:jc w:val="both"/>
        <w:rPr>
          <w:color w:val="000000" w:themeColor="text1"/>
          <w:sz w:val="16"/>
          <w:szCs w:val="16"/>
        </w:rPr>
      </w:pPr>
    </w:p>
    <w:p w14:paraId="213961A6"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феврале 1935 г. проводили испытания универсального (способного работать и с раство</w:t>
      </w:r>
      <w:r w:rsidRPr="00E14102">
        <w:rPr>
          <w:color w:val="000000" w:themeColor="text1"/>
          <w:sz w:val="16"/>
          <w:szCs w:val="16"/>
        </w:rPr>
        <w:softHyphen/>
        <w:t>рами отравляющих веществ, и с дымовой смесью) химический при</w:t>
      </w:r>
      <w:r w:rsidRPr="00E14102">
        <w:rPr>
          <w:color w:val="000000" w:themeColor="text1"/>
          <w:sz w:val="16"/>
          <w:szCs w:val="16"/>
        </w:rPr>
        <w:softHyphen/>
        <w:t>бор УХАП-3 на распыление горючих жидкостей. Два прибо</w:t>
      </w:r>
      <w:r w:rsidRPr="00E14102">
        <w:rPr>
          <w:color w:val="000000" w:themeColor="text1"/>
          <w:sz w:val="16"/>
          <w:szCs w:val="16"/>
        </w:rPr>
        <w:softHyphen/>
        <w:t>ра подвешивались под нижним кры</w:t>
      </w:r>
      <w:r w:rsidRPr="00E14102">
        <w:rPr>
          <w:color w:val="000000" w:themeColor="text1"/>
          <w:sz w:val="16"/>
          <w:szCs w:val="16"/>
        </w:rPr>
        <w:softHyphen/>
        <w:t>лом биплана Р-5. В баки залили сырую нефть, по 20 л в каждый. Ее вытесняли сжатым воздухом через стальные трубы, шедшие под фюзе</w:t>
      </w:r>
      <w:r w:rsidRPr="00E14102">
        <w:rPr>
          <w:color w:val="000000" w:themeColor="text1"/>
          <w:sz w:val="16"/>
          <w:szCs w:val="16"/>
        </w:rPr>
        <w:softHyphen/>
        <w:t>ляжем до руля направления. Нефть била из выходного насадка диамет</w:t>
      </w:r>
      <w:r w:rsidRPr="00E14102">
        <w:rPr>
          <w:color w:val="000000" w:themeColor="text1"/>
          <w:sz w:val="16"/>
          <w:szCs w:val="16"/>
        </w:rPr>
        <w:softHyphen/>
        <w:t>ром 7 мм (такие применялись при работе в режиме дымопуска) сплош</w:t>
      </w:r>
      <w:r w:rsidRPr="00E14102">
        <w:rPr>
          <w:color w:val="000000" w:themeColor="text1"/>
          <w:sz w:val="16"/>
          <w:szCs w:val="16"/>
        </w:rPr>
        <w:softHyphen/>
        <w:t>ной струей длиной 3-4 м, а потом распылялась. Запаса хватало на 20- 25 с. Слив проводили с бреющего полета, зажигать нефть не пытались. Может быть, это и к лучшему, по</w:t>
      </w:r>
      <w:r w:rsidRPr="00E14102">
        <w:rPr>
          <w:color w:val="000000" w:themeColor="text1"/>
          <w:sz w:val="16"/>
          <w:szCs w:val="16"/>
        </w:rPr>
        <w:softHyphen/>
        <w:t>скольку нижнюю часть руля направ</w:t>
      </w:r>
      <w:r w:rsidRPr="00E14102">
        <w:rPr>
          <w:color w:val="000000" w:themeColor="text1"/>
          <w:sz w:val="16"/>
          <w:szCs w:val="16"/>
        </w:rPr>
        <w:softHyphen/>
        <w:t>ления забрызгали.</w:t>
      </w:r>
    </w:p>
    <w:p w14:paraId="3163EFF4"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Затем насадок заменили на дру</w:t>
      </w:r>
      <w:r w:rsidRPr="00E14102">
        <w:rPr>
          <w:color w:val="000000" w:themeColor="text1"/>
          <w:sz w:val="16"/>
          <w:szCs w:val="16"/>
        </w:rPr>
        <w:softHyphen/>
        <w:t>гой, с отверстием большего разме</w:t>
      </w:r>
      <w:r w:rsidRPr="00E14102">
        <w:rPr>
          <w:color w:val="000000" w:themeColor="text1"/>
          <w:sz w:val="16"/>
          <w:szCs w:val="16"/>
        </w:rPr>
        <w:softHyphen/>
        <w:t>ра, применявшийся при работе в режиме выливного прибора. В баки залили побольше нефти, по 40 л, но слили ее всего за 5-7 с. При этом облили весь низ фюзеляжа, жидкость попала даже в кабину летнаба.</w:t>
      </w:r>
    </w:p>
    <w:p w14:paraId="61F92487"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третий раз взяли всего один прибор, закрепленный под фюзеля</w:t>
      </w:r>
      <w:r w:rsidRPr="00E14102">
        <w:rPr>
          <w:color w:val="000000" w:themeColor="text1"/>
          <w:sz w:val="16"/>
          <w:szCs w:val="16"/>
        </w:rPr>
        <w:softHyphen/>
        <w:t>жем. Сверху от выпускной горлови</w:t>
      </w:r>
      <w:r w:rsidRPr="00E14102">
        <w:rPr>
          <w:color w:val="000000" w:themeColor="text1"/>
          <w:sz w:val="16"/>
          <w:szCs w:val="16"/>
        </w:rPr>
        <w:softHyphen/>
        <w:t>ны закрепили овальной формы вы</w:t>
      </w:r>
      <w:r w:rsidRPr="00E14102">
        <w:rPr>
          <w:color w:val="000000" w:themeColor="text1"/>
          <w:sz w:val="16"/>
          <w:szCs w:val="16"/>
        </w:rPr>
        <w:softHyphen/>
        <w:t>тянутый щит длиной 1,5 м. В бак залили 80 л нефти. Насадок был тот же, что и во второй раз. Слив про</w:t>
      </w:r>
      <w:r w:rsidRPr="00E14102">
        <w:rPr>
          <w:color w:val="000000" w:themeColor="text1"/>
          <w:sz w:val="16"/>
          <w:szCs w:val="16"/>
        </w:rPr>
        <w:softHyphen/>
        <w:t>изводили с высоты 50-80 м, запаса в баке хватило на 8-10 с. Немного забрызгали низ руля направления и растяжки стабилизатора.</w:t>
      </w:r>
    </w:p>
    <w:p w14:paraId="2DFB346C"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четвертом заходе УХАП-3 под</w:t>
      </w:r>
      <w:r w:rsidRPr="00E14102">
        <w:rPr>
          <w:color w:val="000000" w:themeColor="text1"/>
          <w:sz w:val="16"/>
          <w:szCs w:val="16"/>
        </w:rPr>
        <w:softHyphen/>
        <w:t>весили под крылом слева, а справа закрепили противовес в 160 кг. После слива крыло оказалось со</w:t>
      </w:r>
      <w:r w:rsidRPr="00E14102">
        <w:rPr>
          <w:color w:val="000000" w:themeColor="text1"/>
          <w:sz w:val="16"/>
          <w:szCs w:val="16"/>
        </w:rPr>
        <w:softHyphen/>
        <w:t>всем мокрым (12022).</w:t>
      </w:r>
    </w:p>
    <w:p w14:paraId="1916E3DC" w14:textId="77777777" w:rsidR="00D4105E" w:rsidRPr="00E14102" w:rsidRDefault="00D4105E" w:rsidP="00E14102">
      <w:pPr>
        <w:widowControl w:val="0"/>
        <w:autoSpaceDE w:val="0"/>
        <w:autoSpaceDN w:val="0"/>
        <w:adjustRightInd w:val="0"/>
        <w:jc w:val="both"/>
        <w:rPr>
          <w:color w:val="000000" w:themeColor="text1"/>
          <w:sz w:val="16"/>
          <w:szCs w:val="16"/>
        </w:rPr>
      </w:pPr>
    </w:p>
    <w:p w14:paraId="1E3033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г. в НИИ ВВС на Р-5 испытывали “огневую жидкость” или, возможно, это был первый вариант системы. В отчете НИИ ВВС за 1-е полугодие 1934 г. говорится об испытании установки с "огневой жидкостью". Был ли это огнемет или выливное устройство - неизвестно. Универсальные приборы УХАП-3 с насадками для выливания заправлялись сырой нефтью. После открытия заслонок нефть выдавливалась сжатым воздухом; она сначала била струей, которая затем разбрызгивалась. Испытатели варьировали насадки и места подвески приборов, при которых не забрызгивался сам самолет. Вешали два УХАП-3 под крыло, один под фюзеляж, а также асимметрично - только под левой крыло с противовесом справа. При подвеске под крылом облили весь самолет, нефть попала даже в кабину летнаба. Наиболее безопасной выглядела подвеска под фюзеляжем с применением длинных труб, идущих до самого руля направления, или овального щита длиной 1,5 м у выпускных горловин. В этих случаях капли попадали только на самый низ руля и растяжки стабилизатора. Зажигать нефть на этом этапе не пробовали (12034).</w:t>
      </w:r>
    </w:p>
    <w:p w14:paraId="3A33D73E" w14:textId="77777777" w:rsidR="00D4105E" w:rsidRPr="00E14102" w:rsidRDefault="00D4105E" w:rsidP="00E14102">
      <w:pPr>
        <w:autoSpaceDE w:val="0"/>
        <w:autoSpaceDN w:val="0"/>
        <w:adjustRightInd w:val="0"/>
        <w:jc w:val="both"/>
        <w:rPr>
          <w:color w:val="000000" w:themeColor="text1"/>
          <w:sz w:val="16"/>
          <w:szCs w:val="16"/>
        </w:rPr>
      </w:pPr>
    </w:p>
    <w:p w14:paraId="71D52C0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A0705D3" w14:textId="77777777" w:rsidR="00D4105E" w:rsidRPr="00E14102" w:rsidRDefault="00D4105E" w:rsidP="00E14102">
      <w:pPr>
        <w:autoSpaceDE w:val="0"/>
        <w:autoSpaceDN w:val="0"/>
        <w:adjustRightInd w:val="0"/>
        <w:jc w:val="both"/>
        <w:rPr>
          <w:iCs/>
          <w:color w:val="000000" w:themeColor="text1"/>
          <w:sz w:val="16"/>
          <w:szCs w:val="16"/>
        </w:rPr>
      </w:pPr>
    </w:p>
    <w:p w14:paraId="1A773E1B" w14:textId="77777777" w:rsidR="00154792" w:rsidRPr="00E14102" w:rsidRDefault="00154792" w:rsidP="00E14102">
      <w:pPr>
        <w:jc w:val="both"/>
        <w:rPr>
          <w:color w:val="000000" w:themeColor="text1"/>
          <w:sz w:val="16"/>
          <w:szCs w:val="16"/>
        </w:rPr>
      </w:pPr>
      <w:r w:rsidRPr="00E14102">
        <w:rPr>
          <w:color w:val="000000" w:themeColor="text1"/>
          <w:sz w:val="16"/>
          <w:szCs w:val="16"/>
        </w:rPr>
        <w:t xml:space="preserve">В феврале-марте 1935 была проведена модернизация СУ-14, но она коснулась лишь ходовой части и моторо-трансмиссионной группы (в доработанном варианте СУ-14 были применены КПП и главный фрикцион от </w:t>
      </w:r>
      <w:hyperlink r:id="rId52" w:tgtFrame="_blank" w:history="1">
        <w:r w:rsidRPr="00E14102">
          <w:rPr>
            <w:color w:val="000000" w:themeColor="text1"/>
            <w:sz w:val="16"/>
            <w:szCs w:val="16"/>
          </w:rPr>
          <w:t>танк</w:t>
        </w:r>
      </w:hyperlink>
      <w:r w:rsidRPr="00E14102">
        <w:rPr>
          <w:color w:val="000000" w:themeColor="text1"/>
          <w:sz w:val="16"/>
          <w:szCs w:val="16"/>
        </w:rPr>
        <w:t>а Т-35), почти не затронув ее боевой части (15647).</w:t>
      </w:r>
    </w:p>
    <w:p w14:paraId="6B964C1A" w14:textId="77777777" w:rsidR="00154792" w:rsidRPr="00E14102" w:rsidRDefault="00154792" w:rsidP="00E14102">
      <w:pPr>
        <w:jc w:val="both"/>
        <w:rPr>
          <w:color w:val="000000" w:themeColor="text1"/>
          <w:sz w:val="16"/>
          <w:szCs w:val="16"/>
        </w:rPr>
      </w:pPr>
    </w:p>
    <w:p w14:paraId="7FF2676B" w14:textId="77777777" w:rsidR="00154792" w:rsidRPr="00E14102" w:rsidRDefault="00154792"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феврале 1935 проводились работы по подъему танкетки Т-27 (2.7 т) и грузов массой 5 и 6 т на ТБ-4 (АНТ-16) (2072,65).</w:t>
      </w:r>
    </w:p>
    <w:p w14:paraId="11767C52" w14:textId="77777777" w:rsidR="00154792" w:rsidRPr="00E14102" w:rsidRDefault="00154792" w:rsidP="00E14102">
      <w:pPr>
        <w:autoSpaceDE w:val="0"/>
        <w:autoSpaceDN w:val="0"/>
        <w:adjustRightInd w:val="0"/>
        <w:jc w:val="both"/>
        <w:rPr>
          <w:color w:val="000000" w:themeColor="text1"/>
          <w:sz w:val="16"/>
          <w:szCs w:val="16"/>
        </w:rPr>
      </w:pPr>
    </w:p>
    <w:p w14:paraId="098C00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г. для повышения дальности и надежности действия телеграфных связей на линиях большой протяженности на за воде им. Кулакова была начата разработка вилочной регенеративной трансляции, в качестве прототипа для которой был использован аналогичный американский образец. Уже в августе 1935 г. были изготовлены два образца приборов. Однако из-за внесения в них изменений изготовление рабочих чертежей и выпуск первой серийной партии в количестве пятнадцати изделий затянулось до августа 1936 г. Новые трансляции отличались от ранее производившихся тем, что позволяли не только увеличивать дальность телеграфной передачи, но и исправлять искажен ные линиями сигналы (ЦГАИПД СПб., ф. 24, оп. 13, д. 802, л. 25.) (11870).</w:t>
      </w:r>
    </w:p>
    <w:p w14:paraId="5AF916A2" w14:textId="77777777" w:rsidR="00D4105E" w:rsidRPr="00E14102" w:rsidRDefault="00D4105E" w:rsidP="00E14102">
      <w:pPr>
        <w:autoSpaceDE w:val="0"/>
        <w:autoSpaceDN w:val="0"/>
        <w:adjustRightInd w:val="0"/>
        <w:jc w:val="both"/>
        <w:rPr>
          <w:color w:val="000000" w:themeColor="text1"/>
          <w:sz w:val="16"/>
          <w:szCs w:val="16"/>
        </w:rPr>
      </w:pPr>
    </w:p>
    <w:p w14:paraId="20E638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г. на заседании завкома завода Новое Сормово в очередной раз был поднят вопрос о сверхурочных. На нем были приведены данные о том, что за прошедший 1934 г. завод использовал свыше 120 тыс. сверхурочных часов, не считая «неофициальных», скрытых. Руководству предприятия рекомендовали существенно улучшить планирование производства. В первые годы работы предприятия неудовлетворительно функционировал планово-оперативный отдел завода. Отсутствовало межцеховое планирование, в результате чего «завод работал без необходимых заделов и с резким невыполнением программы». Характерным явлением было огромное количество сверхурочных часов (только в апреле 1934 г. — 2800 часов), но в это же время простои только по машиностроительному цеху составили 9000 часов. [21 — ГУ ЦАНО, Ф. 2491, Д. 58, Л. 132.]. Руководство завода попыталось лимитировать сверхурочные работы, но это лишь повлекло за собой их укрытие. Так, в июле того же года в ходе проверки в машиностроительном цехе обнаружилось примерно 1000 сокрытых сверхурочных часов, отраженных только в первичных цеховых документах. В течение 1935 г. в ходе проверок по цехам также постоянно выявлялись превышавшие лимит сверхурочные часы. Например, в апреле в механическом цехе № 1 обнаружились 1295 «неучтенных часов». В 1936 г. разрешения на сверхурочные часы уже выдавались лично директором завода и только по особо важным военным заказам. Так, в ноябре были разрешены сверхурочные на производстве орудий Ф-22 при условии соблюдения закона об использовании сверхурочного времени. Однако это сразу повлекло за собой многочисленные нарушения: перерасход лимита по цехам, почти круглосуточную работу с использованием труда подростков и работу по выходным дням (11741</w:t>
      </w:r>
    </w:p>
    <w:p w14:paraId="3B059201" w14:textId="77777777" w:rsidR="00D4105E" w:rsidRPr="00E14102" w:rsidRDefault="00D4105E" w:rsidP="00E14102">
      <w:pPr>
        <w:autoSpaceDE w:val="0"/>
        <w:autoSpaceDN w:val="0"/>
        <w:adjustRightInd w:val="0"/>
        <w:jc w:val="both"/>
        <w:rPr>
          <w:color w:val="000000" w:themeColor="text1"/>
          <w:sz w:val="16"/>
          <w:szCs w:val="16"/>
        </w:rPr>
      </w:pPr>
    </w:p>
    <w:p w14:paraId="5FBEF5AC" w14:textId="77777777" w:rsidR="00C17A36" w:rsidRPr="00E14102" w:rsidRDefault="00C17A36" w:rsidP="00E14102">
      <w:pPr>
        <w:jc w:val="both"/>
        <w:rPr>
          <w:color w:val="000000" w:themeColor="text1"/>
          <w:sz w:val="16"/>
          <w:szCs w:val="16"/>
        </w:rPr>
      </w:pPr>
      <w:r w:rsidRPr="00E14102">
        <w:rPr>
          <w:color w:val="000000" w:themeColor="text1"/>
          <w:sz w:val="16"/>
          <w:szCs w:val="16"/>
        </w:rPr>
        <w:t>В феврале 1935 г. на за</w:t>
      </w:r>
      <w:r w:rsidRPr="00E14102">
        <w:rPr>
          <w:color w:val="000000" w:themeColor="text1"/>
          <w:sz w:val="16"/>
          <w:szCs w:val="16"/>
        </w:rPr>
        <w:softHyphen/>
        <w:t>воде им. Кулакова была начата разработка вилочной регенеративной трансляции, в качестве прототипа для которой был использован аналогичный американский образец. Уже в августе 1935 г. были изготовлены два образца приборов. Однако из-за внесения в них изменений изготовление рабочих чертежей и выпуск первой серийной партии в количестве пятнадцати изделий затянулось до августа 1936 г. Новые трансляции отличались от ранее производившихся тем, что позволяли не только увеличивать дальность телеграфной передачи, но и исправлять искаженные линиями сигналы (19098).</w:t>
      </w:r>
    </w:p>
    <w:p w14:paraId="3BE3A200" w14:textId="77777777" w:rsidR="00C17A36" w:rsidRPr="00E14102" w:rsidRDefault="00C17A36" w:rsidP="00E14102">
      <w:pPr>
        <w:jc w:val="both"/>
        <w:rPr>
          <w:color w:val="000000" w:themeColor="text1"/>
          <w:sz w:val="16"/>
          <w:szCs w:val="16"/>
        </w:rPr>
      </w:pPr>
    </w:p>
    <w:p w14:paraId="26CA9DA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460F370F" w14:textId="77777777" w:rsidR="00D4105E" w:rsidRPr="00E14102" w:rsidRDefault="00D4105E" w:rsidP="00E14102">
      <w:pPr>
        <w:autoSpaceDE w:val="0"/>
        <w:autoSpaceDN w:val="0"/>
        <w:adjustRightInd w:val="0"/>
        <w:jc w:val="both"/>
        <w:rPr>
          <w:iCs/>
          <w:color w:val="000000" w:themeColor="text1"/>
          <w:sz w:val="16"/>
          <w:szCs w:val="16"/>
        </w:rPr>
      </w:pPr>
    </w:p>
    <w:p w14:paraId="50C00C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г. пилот Жданов из 85-го отдельного отряда, поливая танковый батальон на шоссе, не успел увернуться от телеграфного столба. Р-5 с поломанным шасси и пробитым радиатором приземлился тут же на поле у дороги. Жданов и его летнаб остались целы, но после разбора полетов летчик на трое суток отправился на гауптвахту.</w:t>
      </w:r>
    </w:p>
    <w:p w14:paraId="729AFA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Немало известно случаев ошибочных атак не на те цели. На "счету" 81-й штурмовой бригады таким образом оказались аэродром в Харькове, гражданские объекты в Лебединской и Рогани. Аэродром полили разбавленной дымообразующей смесью. Капли попортили лак и краску но стоявших на поле самолетах, в ремонт отправились 14 машин. Учебный аэродром в Рогани попадал под удары "химиков" неоднократно. 29 июля 1937 г. штурмовики ССС из-за навигационной ошибки ведущего обработали не авиабазу "синих", а линейку самолетов летной школы. В результате в госпиталь попали три десятка курсантов, инструкторов и технарей. Раствор разъел лак и вызвал отслоение полотняной обтяжки учебных машин. Последовала жалоба в штаб округа. Действия летчиков в ней в духе времени характеризовались как "явное вредительство". Был случай, когда вместо мотопехоты под удар попала колонна грузовиков со свеклой (11931).</w:t>
      </w:r>
    </w:p>
    <w:p w14:paraId="3E939D01" w14:textId="77777777" w:rsidR="00D4105E" w:rsidRPr="00E14102" w:rsidRDefault="00D4105E" w:rsidP="00E14102">
      <w:pPr>
        <w:autoSpaceDE w:val="0"/>
        <w:autoSpaceDN w:val="0"/>
        <w:adjustRightInd w:val="0"/>
        <w:jc w:val="both"/>
        <w:rPr>
          <w:color w:val="000000" w:themeColor="text1"/>
          <w:sz w:val="16"/>
          <w:szCs w:val="16"/>
        </w:rPr>
      </w:pPr>
    </w:p>
    <w:p w14:paraId="3FFAFA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мехкорпуса перешли на новую организацию. Большинство корпусных частей обеспечения и обслуживания было упразднено и в управлении оставили только средства связи и разведки. Также включили отдельный танковый батальон в составе двух рот БТ (3879,43).</w:t>
      </w:r>
    </w:p>
    <w:p w14:paraId="1A74FA65" w14:textId="77777777" w:rsidR="00D4105E" w:rsidRPr="00E14102" w:rsidRDefault="00D4105E" w:rsidP="00E14102">
      <w:pPr>
        <w:autoSpaceDE w:val="0"/>
        <w:autoSpaceDN w:val="0"/>
        <w:adjustRightInd w:val="0"/>
        <w:jc w:val="both"/>
        <w:rPr>
          <w:color w:val="000000" w:themeColor="text1"/>
          <w:sz w:val="16"/>
          <w:szCs w:val="16"/>
        </w:rPr>
      </w:pPr>
    </w:p>
    <w:p w14:paraId="14B6BFB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1E4E2AF" w14:textId="77777777" w:rsidR="00D4105E" w:rsidRPr="00E14102" w:rsidRDefault="00D4105E" w:rsidP="00E14102">
      <w:pPr>
        <w:autoSpaceDE w:val="0"/>
        <w:autoSpaceDN w:val="0"/>
        <w:adjustRightInd w:val="0"/>
        <w:jc w:val="both"/>
        <w:rPr>
          <w:iCs/>
          <w:color w:val="000000" w:themeColor="text1"/>
          <w:sz w:val="16"/>
          <w:szCs w:val="16"/>
        </w:rPr>
      </w:pPr>
    </w:p>
    <w:p w14:paraId="04D9374F" w14:textId="77777777" w:rsidR="005C3503" w:rsidRPr="00E14102" w:rsidRDefault="005C3503" w:rsidP="00E14102">
      <w:pPr>
        <w:autoSpaceDE w:val="0"/>
        <w:autoSpaceDN w:val="0"/>
        <w:adjustRightInd w:val="0"/>
        <w:jc w:val="both"/>
        <w:rPr>
          <w:color w:val="000000" w:themeColor="text1"/>
          <w:sz w:val="16"/>
          <w:szCs w:val="16"/>
        </w:rPr>
      </w:pPr>
      <w:r w:rsidRPr="00E14102">
        <w:rPr>
          <w:color w:val="000000" w:themeColor="text1"/>
          <w:sz w:val="16"/>
          <w:szCs w:val="16"/>
        </w:rPr>
        <w:t xml:space="preserve">В феврале </w:t>
      </w:r>
      <w:r w:rsidRPr="00E14102">
        <w:rPr>
          <w:rStyle w:val="highlight"/>
          <w:color w:val="000000" w:themeColor="text1"/>
          <w:sz w:val="16"/>
          <w:szCs w:val="16"/>
        </w:rPr>
        <w:t> 1935 </w:t>
      </w:r>
      <w:r w:rsidRPr="00E14102">
        <w:rPr>
          <w:color w:val="000000" w:themeColor="text1"/>
          <w:sz w:val="16"/>
          <w:szCs w:val="16"/>
        </w:rPr>
        <w:t xml:space="preserve"> г. был введён в действие новый Примерный устав сельхозартели, незадолго до этого принятый 2-м съездом колхозников-ударников. И хотя этот Устав закрепил «остаточный принцип» распределения колхозной продукции по трудодням (после выполнения колхозом обязательных поставок, засыпки семенных, фуражных и страховых фондов, создания фонда государственных закупок и т. д.), тем не менее, колхозники получили известную юридическую гарантию от государства на ведение личного подсобного хозяйства, размеры которого чётко определялись и закреплялись в Уставе. Разрешалась и продажа колхозниками своей продукции на рынке. Были несколько расширены их права в управлении колхозами, при решении вопроса об исключении из колхоза и т.д. (17305)</w:t>
      </w:r>
    </w:p>
    <w:p w14:paraId="1C2B7C1C" w14:textId="77777777" w:rsidR="005C3503" w:rsidRPr="00E14102" w:rsidRDefault="005C3503" w:rsidP="00E14102">
      <w:pPr>
        <w:autoSpaceDE w:val="0"/>
        <w:autoSpaceDN w:val="0"/>
        <w:adjustRightInd w:val="0"/>
        <w:jc w:val="both"/>
        <w:rPr>
          <w:color w:val="000000" w:themeColor="text1"/>
          <w:sz w:val="16"/>
          <w:szCs w:val="16"/>
        </w:rPr>
      </w:pPr>
    </w:p>
    <w:p w14:paraId="4B4510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февраля 1935 г. по ТВ передавались только кинофильмы. Временное прекращение передач из студии объясняется организационно-техническими причинами. Вещание механического ТВ было прекращено в Москве с 1 апреля 1941 г., а в целом по стране - в конце июня того же года (после начала Великой Отечественной войны). 1 августа 1935 г. Начались регулярные передачи из студии МРТУ (после временного прекращения передач из студии с февраля 1935 г.) (11482).</w:t>
      </w:r>
    </w:p>
    <w:p w14:paraId="339D4970" w14:textId="77777777" w:rsidR="00D4105E" w:rsidRPr="00E14102" w:rsidRDefault="00D4105E" w:rsidP="00E14102">
      <w:pPr>
        <w:autoSpaceDE w:val="0"/>
        <w:autoSpaceDN w:val="0"/>
        <w:adjustRightInd w:val="0"/>
        <w:jc w:val="both"/>
        <w:rPr>
          <w:color w:val="000000" w:themeColor="text1"/>
          <w:sz w:val="16"/>
          <w:szCs w:val="16"/>
        </w:rPr>
      </w:pPr>
    </w:p>
    <w:p w14:paraId="341714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февраля 1935 года приказом № 0069 наркома внутренних дел СССР Г. Г. Ягоды была введена в силу инструкция по паспортной системе, в которой существовала масса юридических закавык, внешне (по форме) противоречивых, но включенных в документ сознательно с тем, чтобы дать местным царькам (от председателя колхоза или сельсовета до начальника районного управления милиции) возможность для безграничного произвола в отношении рядового колхозника. Единственным могущим возникнуть “ограничением” их всевластия был тот “высший интерес”, когда индустриальный молох вновь широко отверзал свою ненасытную пасть, требуя новых жертв. Только тогда приходилось отпускать крестьян в город по так называемому “оргнабору”. И они обреченно попадали под следующий зубец машины по штамповке “советского человека” из православных русских людей. Пункт 22-й инструкции по паспортной работе 1935 года перечислял следующие документы, необходимые для получения паспорта: 1) справку домоуправления или сельсовета с места постоянного жительства (по форме № 1); 2) справку предприятия или учреждения о работе или службе с обязательным указанием, “с какого времени и в качестве кого работает на данном предприятии (учреждении)”; 3) документ об отношении к военной службе “для всех обязанных иметь таковой по закону”; 4) любой документ, удостоверяющий место и время рождения (метрическую выпись, свидетельство загса и проч.) 14. Пункт 24-й той же инструкции указывал, что “колхозники, крестьяне-единоличники и некооперированные кустари, проживающие в сельской местности, — никаких справок о работе не представляют”. Казалось бы, этот пункт дает колхознику право не представлять в милицию справку правления колхоза о разрешении уйти в “отход”, иначе зачем включать специальный пункт об этом в инструкцию? Но то была лукавая видимость. В статьях 46, 47 в разной форме, чтобы было понятнее, подчеркивалось, что все крестьяне (колхозники и единоличники) </w:t>
      </w:r>
      <w:r w:rsidRPr="00E14102">
        <w:rPr>
          <w:iCs/>
          <w:color w:val="000000" w:themeColor="text1"/>
          <w:sz w:val="16"/>
          <w:szCs w:val="16"/>
        </w:rPr>
        <w:t>обязаны</w:t>
      </w:r>
      <w:r w:rsidRPr="00E14102">
        <w:rPr>
          <w:color w:val="000000" w:themeColor="text1"/>
          <w:sz w:val="16"/>
          <w:szCs w:val="16"/>
        </w:rPr>
        <w:t xml:space="preserve"> для выезда из деревни на срок более пяти дней иметь справку от местных органов власти, которая практически являлась главным документом для получения паспорта. Ничего этого крестьяне не знали, ведь инструкция по паспортной работе являлась приложением к приказу НКВД СССР, который имел гриф “Сов. секретно”. Поэтому особенно цинично, когда они с ней сталкивались, звучала для людей известная юридическая норма: незнание закона не освобождает от наказания по нему. Согласно инструкции по паспортной работе 1935 года, помимо паспортных книжек сроком на три года и годичных паспортов существовали временные удостоверения сроком до трех месяцев. Они выдавались “в нережимных местностях при отсутствии документов, необходимых для получения паспорта” (пункт 21-й инструкции). Другими словами, речь шла преимущественно о сельских жителях, которые выезжали в “паспортизированную местность” на временные (сезонные) работы. С помощью этой меры государство пыталось регулировать миграционные потоки и удовлетворять нужды народного хозяйства в рабочей силе, одновременно ни на минуту не упуская ни одного человека из поля зрения милиции (9985).</w:t>
      </w:r>
    </w:p>
    <w:p w14:paraId="748B57C9" w14:textId="77777777" w:rsidR="00D4105E" w:rsidRPr="00E14102" w:rsidRDefault="00D4105E" w:rsidP="00E14102">
      <w:pPr>
        <w:autoSpaceDE w:val="0"/>
        <w:autoSpaceDN w:val="0"/>
        <w:adjustRightInd w:val="0"/>
        <w:jc w:val="both"/>
        <w:rPr>
          <w:color w:val="000000" w:themeColor="text1"/>
          <w:sz w:val="16"/>
          <w:szCs w:val="16"/>
        </w:rPr>
      </w:pPr>
    </w:p>
    <w:p w14:paraId="20B3ABF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7D9C707" w14:textId="77777777" w:rsidR="00D4105E" w:rsidRPr="00E14102" w:rsidRDefault="00D4105E" w:rsidP="00E14102">
      <w:pPr>
        <w:autoSpaceDE w:val="0"/>
        <w:autoSpaceDN w:val="0"/>
        <w:adjustRightInd w:val="0"/>
        <w:jc w:val="both"/>
        <w:rPr>
          <w:iCs/>
          <w:color w:val="000000" w:themeColor="text1"/>
          <w:sz w:val="16"/>
          <w:szCs w:val="16"/>
        </w:rPr>
      </w:pPr>
    </w:p>
    <w:p w14:paraId="68B521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из ангара завода в Маризнехе под Ростоком выкатили первый прототип Не-111. Боялись, что ВПП не хватит для посадки и решили лететь в Рехлин, но машина оказалась послушной и села на заводской аэродром. Сразу же строили как машину двойного назначения и в т.ч. под 8х100 кг бомб. Взлетный вес - 7600 кг, скорость - 349 км/час. Через 15 дней выпустили Не-111с и потом Не-111в. Разница была в форме эллиптических крыльев. На Не-111с был пассажирский салон и на месте бомбоотсека - четырехместное купе для курящих. Его первым передали в Люфтганзу под именем Росток и обслуживал линию через Южную Атлантику. Не-111в стал эталоном для первого серийного Не-111А, выпуск которого начался в конце 1935 (4270,20).</w:t>
      </w:r>
    </w:p>
    <w:p w14:paraId="07CA4A15" w14:textId="77777777" w:rsidR="00D4105E" w:rsidRPr="00E14102" w:rsidRDefault="00D4105E" w:rsidP="00E14102">
      <w:pPr>
        <w:autoSpaceDE w:val="0"/>
        <w:autoSpaceDN w:val="0"/>
        <w:adjustRightInd w:val="0"/>
        <w:jc w:val="both"/>
        <w:rPr>
          <w:color w:val="000000" w:themeColor="text1"/>
          <w:sz w:val="16"/>
          <w:szCs w:val="16"/>
        </w:rPr>
      </w:pPr>
    </w:p>
    <w:p w14:paraId="7688BE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года фашистское правительство издало приказ, официально "легализовавший" Люфтваффе. К тому времени "беззащитная Германия с подрезанными крыльями" располагала более чем 2 тыс. самолетов, из которых не менее 600 были боевыми машинами (3861).</w:t>
      </w:r>
    </w:p>
    <w:p w14:paraId="76FA66EB" w14:textId="77777777" w:rsidR="00D4105E" w:rsidRPr="00E14102" w:rsidRDefault="00D4105E" w:rsidP="00E14102">
      <w:pPr>
        <w:autoSpaceDE w:val="0"/>
        <w:autoSpaceDN w:val="0"/>
        <w:adjustRightInd w:val="0"/>
        <w:jc w:val="both"/>
        <w:rPr>
          <w:color w:val="000000" w:themeColor="text1"/>
          <w:sz w:val="16"/>
          <w:szCs w:val="16"/>
        </w:rPr>
      </w:pPr>
    </w:p>
    <w:p w14:paraId="7F4B2D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были легализованы Люфтваффе Германии. 600 боевых из общего числа 2000 (223,48).</w:t>
      </w:r>
    </w:p>
    <w:p w14:paraId="021B53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это произошло в феврале 1933.</w:t>
      </w:r>
    </w:p>
    <w:p w14:paraId="6D6A6371" w14:textId="77777777" w:rsidR="00D4105E" w:rsidRPr="00E14102" w:rsidRDefault="00D4105E" w:rsidP="00E14102">
      <w:pPr>
        <w:autoSpaceDE w:val="0"/>
        <w:autoSpaceDN w:val="0"/>
        <w:adjustRightInd w:val="0"/>
        <w:jc w:val="both"/>
        <w:rPr>
          <w:color w:val="000000" w:themeColor="text1"/>
          <w:sz w:val="16"/>
          <w:szCs w:val="16"/>
        </w:rPr>
      </w:pPr>
    </w:p>
    <w:p w14:paraId="1CAFD7C8" w14:textId="77777777" w:rsidR="0089038A" w:rsidRPr="00E14102" w:rsidRDefault="0089038A" w:rsidP="00E14102">
      <w:pPr>
        <w:jc w:val="both"/>
        <w:rPr>
          <w:color w:val="0070C0"/>
          <w:sz w:val="16"/>
          <w:szCs w:val="16"/>
        </w:rPr>
      </w:pPr>
      <w:r w:rsidRPr="00E14102">
        <w:rPr>
          <w:color w:val="0070C0"/>
          <w:sz w:val="16"/>
          <w:szCs w:val="16"/>
        </w:rPr>
        <w:t xml:space="preserve">Февраль 1935 состоялся первый полет </w:t>
      </w:r>
      <w:r w:rsidRPr="00E14102">
        <w:rPr>
          <w:color w:val="0070C0"/>
          <w:sz w:val="16"/>
          <w:szCs w:val="16"/>
          <w:lang w:val="en-US"/>
        </w:rPr>
        <w:t>Watanabe</w:t>
      </w:r>
      <w:r w:rsidRPr="00E14102">
        <w:rPr>
          <w:color w:val="0070C0"/>
          <w:sz w:val="16"/>
          <w:szCs w:val="16"/>
        </w:rPr>
        <w:t xml:space="preserve"> </w:t>
      </w:r>
      <w:r w:rsidRPr="00E14102">
        <w:rPr>
          <w:color w:val="0070C0"/>
          <w:sz w:val="16"/>
          <w:szCs w:val="16"/>
          <w:lang w:val="en-US"/>
        </w:rPr>
        <w:t>E</w:t>
      </w:r>
      <w:r w:rsidRPr="00E14102">
        <w:rPr>
          <w:color w:val="0070C0"/>
          <w:sz w:val="16"/>
          <w:szCs w:val="16"/>
        </w:rPr>
        <w:t>9</w:t>
      </w:r>
      <w:r w:rsidRPr="00E14102">
        <w:rPr>
          <w:color w:val="0070C0"/>
          <w:sz w:val="16"/>
          <w:szCs w:val="16"/>
          <w:lang w:val="en-US"/>
        </w:rPr>
        <w:t>W</w:t>
      </w:r>
      <w:r w:rsidRPr="00E14102">
        <w:rPr>
          <w:color w:val="0070C0"/>
          <w:sz w:val="16"/>
          <w:szCs w:val="16"/>
        </w:rPr>
        <w:t xml:space="preserve"> (союзное название "</w:t>
      </w:r>
      <w:r w:rsidRPr="00E14102">
        <w:rPr>
          <w:color w:val="0070C0"/>
          <w:sz w:val="16"/>
          <w:szCs w:val="16"/>
          <w:lang w:val="en-US"/>
        </w:rPr>
        <w:t>Slim</w:t>
      </w:r>
      <w:r w:rsidRPr="00E14102">
        <w:rPr>
          <w:color w:val="0070C0"/>
          <w:sz w:val="16"/>
          <w:szCs w:val="16"/>
        </w:rPr>
        <w:t>"), первого японского самолета, разработанного специально для работы с подводной лодки (20800).</w:t>
      </w:r>
    </w:p>
    <w:p w14:paraId="20F5DEBD" w14:textId="77777777" w:rsidR="0089038A" w:rsidRPr="00E14102" w:rsidRDefault="0089038A" w:rsidP="00E14102">
      <w:pPr>
        <w:jc w:val="both"/>
        <w:rPr>
          <w:color w:val="0070C0"/>
          <w:sz w:val="16"/>
          <w:szCs w:val="16"/>
        </w:rPr>
      </w:pPr>
    </w:p>
    <w:p w14:paraId="50DC3FF2" w14:textId="77777777" w:rsidR="0089038A" w:rsidRPr="00E14102" w:rsidRDefault="0089038A" w:rsidP="00E14102">
      <w:pPr>
        <w:jc w:val="both"/>
        <w:rPr>
          <w:color w:val="0070C0"/>
          <w:sz w:val="16"/>
          <w:szCs w:val="16"/>
        </w:rPr>
      </w:pPr>
      <w:r w:rsidRPr="00E14102">
        <w:rPr>
          <w:color w:val="0070C0"/>
          <w:sz w:val="16"/>
          <w:szCs w:val="16"/>
        </w:rPr>
        <w:t>В феврале 1935 г. тер</w:t>
      </w:r>
      <w:r w:rsidRPr="00E14102">
        <w:rPr>
          <w:color w:val="0070C0"/>
          <w:sz w:val="16"/>
          <w:szCs w:val="16"/>
        </w:rPr>
        <w:softHyphen/>
        <w:t>пит катастрофу дирижабль США «Мекон». Дирижабль не развалился в воздухе, а очень медленно опустился на воду. Поэтому из 83 чле</w:t>
      </w:r>
      <w:r w:rsidRPr="00E14102">
        <w:rPr>
          <w:color w:val="0070C0"/>
          <w:sz w:val="16"/>
          <w:szCs w:val="16"/>
        </w:rPr>
        <w:softHyphen/>
        <w:t>нов экипажа удалось спасти 81 человека, даже один из F9 сумел стартовать и успешно сел на сушу. Этот единственный дошедший до нас экземпляр находится сейчас в Музее авиации и космонавтики США. Экипаж уцелел благодаря спасательным жилетам и шлюпкам, отсутство</w:t>
      </w:r>
      <w:r w:rsidRPr="00E14102">
        <w:rPr>
          <w:color w:val="0070C0"/>
          <w:sz w:val="16"/>
          <w:szCs w:val="16"/>
        </w:rPr>
        <w:softHyphen/>
        <w:t>вавшим на «Акроне». Двое погибли из-за собст</w:t>
      </w:r>
      <w:r w:rsidRPr="00E14102">
        <w:rPr>
          <w:color w:val="0070C0"/>
          <w:sz w:val="16"/>
          <w:szCs w:val="16"/>
        </w:rPr>
        <w:softHyphen/>
        <w:t>венной глупости — один запаниковал и спрыг</w:t>
      </w:r>
      <w:r w:rsidRPr="00E14102">
        <w:rPr>
          <w:color w:val="0070C0"/>
          <w:sz w:val="16"/>
          <w:szCs w:val="16"/>
        </w:rPr>
        <w:softHyphen/>
        <w:t>нул в воду с еще падающего судна, а второй пожелал вернуться, чтобы забрать свои вещи (22730).</w:t>
      </w:r>
    </w:p>
    <w:p w14:paraId="2C8E0A58" w14:textId="77777777" w:rsidR="0089038A" w:rsidRPr="00E14102" w:rsidRDefault="0089038A" w:rsidP="00E14102">
      <w:pPr>
        <w:jc w:val="both"/>
        <w:rPr>
          <w:color w:val="0070C0"/>
          <w:sz w:val="16"/>
          <w:szCs w:val="16"/>
        </w:rPr>
      </w:pPr>
    </w:p>
    <w:p w14:paraId="2575D7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в Австрии создан Единый фронт КПА и СПА (7444).</w:t>
      </w:r>
    </w:p>
    <w:p w14:paraId="34EA2D11" w14:textId="77777777" w:rsidR="00D4105E" w:rsidRPr="00E14102" w:rsidRDefault="00D4105E" w:rsidP="00E14102">
      <w:pPr>
        <w:autoSpaceDE w:val="0"/>
        <w:autoSpaceDN w:val="0"/>
        <w:adjustRightInd w:val="0"/>
        <w:jc w:val="both"/>
        <w:rPr>
          <w:color w:val="000000" w:themeColor="text1"/>
          <w:sz w:val="16"/>
          <w:szCs w:val="16"/>
        </w:rPr>
      </w:pPr>
    </w:p>
    <w:p w14:paraId="16CFA9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 1935 в Италии начали готовить офицеров-добровольцнв для вожнениями торпед, управляемых подводными пловцами. Подразделение возгглавил к К.Гонцага и разместились в устье р. Серкио. В связи с окончанием войны в эфиопии потребность отпала и часть расформировали (3961,25).</w:t>
      </w:r>
    </w:p>
    <w:p w14:paraId="37B81277" w14:textId="77777777" w:rsidR="00D4105E" w:rsidRPr="00E14102" w:rsidRDefault="00D4105E" w:rsidP="00E14102">
      <w:pPr>
        <w:autoSpaceDE w:val="0"/>
        <w:autoSpaceDN w:val="0"/>
        <w:adjustRightInd w:val="0"/>
        <w:jc w:val="both"/>
        <w:rPr>
          <w:color w:val="000000" w:themeColor="text1"/>
          <w:sz w:val="16"/>
          <w:szCs w:val="16"/>
        </w:rPr>
      </w:pPr>
    </w:p>
    <w:p w14:paraId="2BA93FB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6FF0DB4" w14:textId="77777777" w:rsidR="00D4105E" w:rsidRPr="00E14102" w:rsidRDefault="00D4105E" w:rsidP="00E14102">
      <w:pPr>
        <w:autoSpaceDE w:val="0"/>
        <w:autoSpaceDN w:val="0"/>
        <w:adjustRightInd w:val="0"/>
        <w:jc w:val="both"/>
        <w:rPr>
          <w:iCs/>
          <w:color w:val="000000" w:themeColor="text1"/>
          <w:sz w:val="16"/>
          <w:szCs w:val="16"/>
        </w:rPr>
      </w:pPr>
    </w:p>
    <w:p w14:paraId="51BD76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февраля по июль 1935 проводились гос. испытания АНТ-40 (СБ) ИС (1076,480).</w:t>
      </w:r>
    </w:p>
    <w:p w14:paraId="6C6F4AFF" w14:textId="77777777" w:rsidR="00D4105E" w:rsidRPr="00E14102" w:rsidRDefault="00D4105E" w:rsidP="00E14102">
      <w:pPr>
        <w:autoSpaceDE w:val="0"/>
        <w:autoSpaceDN w:val="0"/>
        <w:adjustRightInd w:val="0"/>
        <w:jc w:val="both"/>
        <w:rPr>
          <w:color w:val="000000" w:themeColor="text1"/>
          <w:sz w:val="16"/>
          <w:szCs w:val="16"/>
        </w:rPr>
      </w:pPr>
    </w:p>
    <w:p w14:paraId="049D04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февраля по декабрь 1935 проводились работы по ацетилцеллюлозным аэролакам первого и второго покрытия, предназначенным для окраски полотняной обшивки самолетов. В результате проведенной работы ВИАМ'ом были разработаны а заводом 36 изготовлены ааролаки на основе ацетилцеллюлоэы, как бесцветные, так и цветные. Однако цветные аэролаки оказались недоброкачественными и не подвергались испытаниям. Основной их недостаток заключался в "белении" при нанесении на полотно. В виду этого, работа была ограничена испытанием бесцветных ацетилцеллюлозных аэролаков в комбинации с покрытиями из нитроцеллюлозных лаков (цветной второй слой). В отношении бесцветного лака была установлена его полная техническая характеристика, показывающая, что по своим свойствам ацетилцеллюлозный аэролак ни я чем не уступает нитроцеллюлозному марки А1Н, применявшемуся в то время в авиации (2560,13).</w:t>
      </w:r>
    </w:p>
    <w:p w14:paraId="16B84558" w14:textId="77777777" w:rsidR="00D4105E" w:rsidRPr="00E14102" w:rsidRDefault="00D4105E" w:rsidP="00E14102">
      <w:pPr>
        <w:autoSpaceDE w:val="0"/>
        <w:autoSpaceDN w:val="0"/>
        <w:adjustRightInd w:val="0"/>
        <w:jc w:val="both"/>
        <w:rPr>
          <w:color w:val="000000" w:themeColor="text1"/>
          <w:sz w:val="16"/>
          <w:szCs w:val="16"/>
        </w:rPr>
      </w:pPr>
    </w:p>
    <w:p w14:paraId="364908C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AE1880A" w14:textId="77777777" w:rsidR="00D4105E" w:rsidRPr="00E14102" w:rsidRDefault="00D4105E" w:rsidP="00E14102">
      <w:pPr>
        <w:autoSpaceDE w:val="0"/>
        <w:autoSpaceDN w:val="0"/>
        <w:adjustRightInd w:val="0"/>
        <w:jc w:val="both"/>
        <w:rPr>
          <w:iCs/>
          <w:color w:val="000000" w:themeColor="text1"/>
          <w:sz w:val="16"/>
          <w:szCs w:val="16"/>
        </w:rPr>
      </w:pPr>
    </w:p>
    <w:p w14:paraId="292CBC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феврале-марте 1935 были проведены работы по установке на Т-26 и БТ специальных ограждений против собак-подрывников. Состояло из двух кронштейнов, крепящихся к переднему наклонному броневому листу и шарнирно подвешенной вертикальной прямоугольной рамки , сваренной из труб. В трубах закреплялись стальные прутья.. испытывали и электрические заграждения. Нач. испытательного отдела НАИБТП писал: “При проведении испытаний два заезда дали положительный результат. Собаки танк не атаковали, а обходили.” (3880,34).</w:t>
      </w:r>
    </w:p>
    <w:p w14:paraId="3451F8C7" w14:textId="77777777" w:rsidR="00D4105E" w:rsidRPr="00E14102" w:rsidRDefault="00D4105E" w:rsidP="00E14102">
      <w:pPr>
        <w:autoSpaceDE w:val="0"/>
        <w:autoSpaceDN w:val="0"/>
        <w:adjustRightInd w:val="0"/>
        <w:jc w:val="both"/>
        <w:rPr>
          <w:color w:val="000000" w:themeColor="text1"/>
          <w:sz w:val="16"/>
          <w:szCs w:val="16"/>
        </w:rPr>
      </w:pPr>
    </w:p>
    <w:p w14:paraId="47C1BAC4" w14:textId="504969B4"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феврале—марте 1935 были выполнены доработки СУ-14, но они были по</w:t>
      </w:r>
      <w:r w:rsidRPr="00E14102">
        <w:rPr>
          <w:color w:val="000000" w:themeColor="text1"/>
          <w:sz w:val="16"/>
          <w:szCs w:val="16"/>
        </w:rPr>
        <w:softHyphen/>
        <w:t>ловинчатыми, так как коснулась лишь ходовой части и мо-торно-трансмиссионной группы, не затронув боевую часть. Несмотря на то, что в «системе артвооружения» на вто</w:t>
      </w:r>
      <w:r w:rsidRPr="00E14102">
        <w:rPr>
          <w:color w:val="000000" w:themeColor="text1"/>
          <w:sz w:val="16"/>
          <w:szCs w:val="16"/>
        </w:rPr>
        <w:softHyphen/>
        <w:t xml:space="preserve">рую пятилетку не было места для самоходно-артиллерийской Установки типа СУ-14, работы над ней продолжались. Это было вызвано отчасти тем, что САУ этого типа, по мнению АНИИ, можно было вооружить морским 130-мм или 152-мм орудием, что делало возможным их оперативное применение </w:t>
      </w:r>
      <w:r w:rsidR="00A45048" w:rsidRPr="00E14102">
        <w:rPr>
          <w:color w:val="000000" w:themeColor="text1"/>
          <w:sz w:val="16"/>
          <w:szCs w:val="16"/>
        </w:rPr>
        <w:t>д</w:t>
      </w:r>
      <w:r w:rsidRPr="00E14102">
        <w:rPr>
          <w:color w:val="000000" w:themeColor="text1"/>
          <w:sz w:val="16"/>
          <w:szCs w:val="16"/>
        </w:rPr>
        <w:t>ля нужд береговой обороны, особенно в случае отражения вражеских морских десантов. Конструкторским отделом самоходной артиллерии завода № 185 в 1934—1935 гг. для гусе</w:t>
      </w:r>
      <w:r w:rsidRPr="00E14102">
        <w:rPr>
          <w:color w:val="000000" w:themeColor="text1"/>
          <w:sz w:val="16"/>
          <w:szCs w:val="16"/>
        </w:rPr>
        <w:softHyphen/>
        <w:t>ничной САУ типа СУ-14 было разработано возимое поворот</w:t>
      </w:r>
      <w:r w:rsidRPr="00E14102">
        <w:rPr>
          <w:color w:val="000000" w:themeColor="text1"/>
          <w:sz w:val="16"/>
          <w:szCs w:val="16"/>
        </w:rPr>
        <w:softHyphen/>
        <w:t>ное основание на шариковой опоре. Особенность указанной конструкции состояла в том, что для вращения основания предполагалось применять двигатель самой САУ. Кроме то</w:t>
      </w:r>
      <w:r w:rsidRPr="00E14102">
        <w:rPr>
          <w:color w:val="000000" w:themeColor="text1"/>
          <w:sz w:val="16"/>
          <w:szCs w:val="16"/>
        </w:rPr>
        <w:softHyphen/>
        <w:t>го, было высказано предложение о перевооружении СУ-14 152,4-мм дальнобойной пушкой Б-10 в установочных местах 203,2-мм гаубицы Б-4. Но прежде, чем вести испытания ука</w:t>
      </w:r>
      <w:r w:rsidRPr="00E14102">
        <w:rPr>
          <w:color w:val="000000" w:themeColor="text1"/>
          <w:sz w:val="16"/>
          <w:szCs w:val="16"/>
        </w:rPr>
        <w:softHyphen/>
        <w:t>занных береговых систем, требовалось доработать базу САУ, чтобы устранить недостатки, отмеченные в ходе испытаний первого образца (11417).</w:t>
      </w:r>
    </w:p>
    <w:p w14:paraId="6E26CE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43BC8B5" w14:textId="77777777" w:rsidR="00733392" w:rsidRPr="00E14102" w:rsidRDefault="00733392" w:rsidP="00E14102">
      <w:pPr>
        <w:jc w:val="both"/>
        <w:rPr>
          <w:color w:val="0070C0"/>
          <w:sz w:val="16"/>
          <w:szCs w:val="16"/>
        </w:rPr>
      </w:pPr>
      <w:r w:rsidRPr="00E14102">
        <w:rPr>
          <w:color w:val="0070C0"/>
          <w:sz w:val="16"/>
          <w:szCs w:val="16"/>
        </w:rPr>
        <w:t>В феврале - марте 1935 везде</w:t>
      </w:r>
      <w:r w:rsidRPr="00E14102">
        <w:rPr>
          <w:color w:val="0070C0"/>
          <w:sz w:val="16"/>
          <w:szCs w:val="16"/>
        </w:rPr>
        <w:softHyphen/>
        <w:t>ход НАТИ-В участвовал в испыта</w:t>
      </w:r>
      <w:r w:rsidRPr="00E14102">
        <w:rPr>
          <w:color w:val="0070C0"/>
          <w:sz w:val="16"/>
          <w:szCs w:val="16"/>
        </w:rPr>
        <w:softHyphen/>
        <w:t>тельном пробеге по маршруту Мос</w:t>
      </w:r>
      <w:r w:rsidRPr="00E14102">
        <w:rPr>
          <w:color w:val="0070C0"/>
          <w:sz w:val="16"/>
          <w:szCs w:val="16"/>
        </w:rPr>
        <w:softHyphen/>
        <w:t>ква - Архангельск. По итогам про</w:t>
      </w:r>
      <w:r w:rsidRPr="00E14102">
        <w:rPr>
          <w:color w:val="0070C0"/>
          <w:sz w:val="16"/>
          <w:szCs w:val="16"/>
        </w:rPr>
        <w:softHyphen/>
        <w:t>бега техническая комиссия при</w:t>
      </w:r>
      <w:r w:rsidRPr="00E14102">
        <w:rPr>
          <w:color w:val="0070C0"/>
          <w:sz w:val="16"/>
          <w:szCs w:val="16"/>
        </w:rPr>
        <w:softHyphen/>
        <w:t>шла к выводу, что данная машина имеет хорошую проходимость по различным видам снежного бездо</w:t>
      </w:r>
      <w:r w:rsidRPr="00E14102">
        <w:rPr>
          <w:color w:val="0070C0"/>
          <w:sz w:val="16"/>
          <w:szCs w:val="16"/>
        </w:rPr>
        <w:softHyphen/>
        <w:t>рожья (22518).</w:t>
      </w:r>
    </w:p>
    <w:p w14:paraId="348FC7CF" w14:textId="77777777" w:rsidR="00733392" w:rsidRPr="00E14102" w:rsidRDefault="00733392" w:rsidP="00E14102">
      <w:pPr>
        <w:jc w:val="both"/>
        <w:rPr>
          <w:color w:val="0070C0"/>
          <w:sz w:val="16"/>
          <w:szCs w:val="16"/>
        </w:rPr>
      </w:pPr>
    </w:p>
    <w:p w14:paraId="61C0F13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41F376EB" w14:textId="77777777" w:rsidR="00D4105E" w:rsidRPr="00E14102" w:rsidRDefault="00D4105E" w:rsidP="00E14102">
      <w:pPr>
        <w:autoSpaceDE w:val="0"/>
        <w:autoSpaceDN w:val="0"/>
        <w:adjustRightInd w:val="0"/>
        <w:jc w:val="both"/>
        <w:rPr>
          <w:iCs/>
          <w:color w:val="000000" w:themeColor="text1"/>
          <w:sz w:val="16"/>
          <w:szCs w:val="16"/>
        </w:rPr>
      </w:pPr>
    </w:p>
    <w:p w14:paraId="3425F3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феврале-марте 1935 года на полигоне в районе Гороховец-Фролищи прошли большие зимние войсковые учения с широким применением различных химических средств. В его задачи входило использование в зимних условиях и реальной тактической обстановке: 1) химминометов для стрельбы минами с ипритом и фосгеном; 2) ВАПов для поливки СОВ; 3) БХМ и НПЗ для заражения местности ипритными рецептурами и т.д. Степень опасности снега для людей через различное время после заражения местности ипритом определялась путем биоконтроля на людях (9065).</w:t>
      </w:r>
    </w:p>
    <w:p w14:paraId="2EF4D52D" w14:textId="77777777" w:rsidR="00D4105E" w:rsidRPr="00E14102" w:rsidRDefault="00D4105E" w:rsidP="00E14102">
      <w:pPr>
        <w:autoSpaceDE w:val="0"/>
        <w:autoSpaceDN w:val="0"/>
        <w:adjustRightInd w:val="0"/>
        <w:jc w:val="both"/>
        <w:rPr>
          <w:color w:val="000000" w:themeColor="text1"/>
          <w:sz w:val="16"/>
          <w:szCs w:val="16"/>
        </w:rPr>
      </w:pPr>
    </w:p>
    <w:p w14:paraId="01A2FC43" w14:textId="77777777" w:rsidR="00F03A9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4B452CE" w14:textId="77777777" w:rsidR="00F03A9B" w:rsidRPr="00E14102" w:rsidRDefault="00F03A9B" w:rsidP="00E14102">
      <w:pPr>
        <w:autoSpaceDE w:val="0"/>
        <w:autoSpaceDN w:val="0"/>
        <w:adjustRightInd w:val="0"/>
        <w:jc w:val="both"/>
        <w:rPr>
          <w:iCs/>
          <w:color w:val="000000" w:themeColor="text1"/>
          <w:sz w:val="16"/>
          <w:szCs w:val="16"/>
        </w:rPr>
      </w:pPr>
    </w:p>
    <w:p w14:paraId="74D99914" w14:textId="77777777" w:rsidR="00154792" w:rsidRPr="00E14102" w:rsidRDefault="00154792" w:rsidP="00E14102">
      <w:pPr>
        <w:jc w:val="both"/>
        <w:rPr>
          <w:color w:val="000000" w:themeColor="text1"/>
          <w:sz w:val="16"/>
          <w:szCs w:val="16"/>
        </w:rPr>
      </w:pPr>
      <w:r w:rsidRPr="00E14102">
        <w:rPr>
          <w:color w:val="000000" w:themeColor="text1"/>
          <w:sz w:val="16"/>
          <w:szCs w:val="16"/>
        </w:rPr>
        <w:t>К весне 1935 г. Курчевский предложил новую модернизацию пушки — АПК-4М. Изменения в ней коснулись лишь механизмов подачи (15117).</w:t>
      </w:r>
    </w:p>
    <w:p w14:paraId="5AD27D50" w14:textId="77777777" w:rsidR="00154792" w:rsidRPr="00E14102" w:rsidRDefault="00154792" w:rsidP="00E14102">
      <w:pPr>
        <w:jc w:val="both"/>
        <w:rPr>
          <w:color w:val="000000" w:themeColor="text1"/>
          <w:sz w:val="16"/>
          <w:szCs w:val="16"/>
        </w:rPr>
      </w:pPr>
    </w:p>
    <w:p w14:paraId="5B6CCF22" w14:textId="77777777" w:rsidR="00733392" w:rsidRPr="00E14102" w:rsidRDefault="00733392"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8532184" w14:textId="77777777" w:rsidR="00733392" w:rsidRPr="00E14102" w:rsidRDefault="00733392" w:rsidP="00E14102">
      <w:pPr>
        <w:autoSpaceDE w:val="0"/>
        <w:autoSpaceDN w:val="0"/>
        <w:adjustRightInd w:val="0"/>
        <w:jc w:val="both"/>
        <w:rPr>
          <w:iCs/>
          <w:color w:val="000000" w:themeColor="text1"/>
          <w:sz w:val="16"/>
          <w:szCs w:val="16"/>
        </w:rPr>
      </w:pPr>
    </w:p>
    <w:p w14:paraId="63D054DE" w14:textId="77777777" w:rsidR="00733392" w:rsidRPr="00E14102" w:rsidRDefault="00733392" w:rsidP="00E14102">
      <w:pPr>
        <w:jc w:val="both"/>
        <w:rPr>
          <w:color w:val="0070C0"/>
          <w:sz w:val="16"/>
          <w:szCs w:val="16"/>
        </w:rPr>
      </w:pPr>
      <w:r w:rsidRPr="00E14102">
        <w:rPr>
          <w:color w:val="0070C0"/>
          <w:sz w:val="16"/>
          <w:szCs w:val="16"/>
        </w:rPr>
        <w:t>К марту 1935 г. второй экземп</w:t>
      </w:r>
      <w:r w:rsidRPr="00E14102">
        <w:rPr>
          <w:color w:val="0070C0"/>
          <w:sz w:val="16"/>
          <w:szCs w:val="16"/>
        </w:rPr>
        <w:softHyphen/>
        <w:t>ляр ЦКБ-1 восстановили, взвешива</w:t>
      </w:r>
      <w:r w:rsidRPr="00E14102">
        <w:rPr>
          <w:color w:val="0070C0"/>
          <w:sz w:val="16"/>
          <w:szCs w:val="16"/>
        </w:rPr>
        <w:softHyphen/>
        <w:t>ние после ремонта произвели 8 марта 1935 г., вес пусто</w:t>
      </w:r>
      <w:r w:rsidRPr="00E14102">
        <w:rPr>
          <w:color w:val="0070C0"/>
          <w:sz w:val="16"/>
          <w:szCs w:val="16"/>
        </w:rPr>
        <w:softHyphen/>
        <w:t>го самолета составил 1750 кг, на нем кроме прочего пла</w:t>
      </w:r>
      <w:r w:rsidRPr="00E14102">
        <w:rPr>
          <w:color w:val="0070C0"/>
          <w:sz w:val="16"/>
          <w:szCs w:val="16"/>
        </w:rPr>
        <w:softHyphen/>
        <w:t>нировалась установка нагнетателей для повышения высотности. Испытания в НИИ ВВС велись до мая 1935 г. (29362).</w:t>
      </w:r>
    </w:p>
    <w:p w14:paraId="4A54C22F" w14:textId="77777777" w:rsidR="00733392" w:rsidRPr="00E14102" w:rsidRDefault="00733392" w:rsidP="00E14102">
      <w:pPr>
        <w:shd w:val="clear" w:color="auto" w:fill="FFFFFF"/>
        <w:jc w:val="both"/>
        <w:rPr>
          <w:color w:val="0070C0"/>
          <w:sz w:val="16"/>
          <w:szCs w:val="16"/>
        </w:rPr>
      </w:pPr>
    </w:p>
    <w:p w14:paraId="581E596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F57A69F" w14:textId="77777777" w:rsidR="00D4105E" w:rsidRPr="00E14102" w:rsidRDefault="00D4105E" w:rsidP="00E14102">
      <w:pPr>
        <w:autoSpaceDE w:val="0"/>
        <w:autoSpaceDN w:val="0"/>
        <w:adjustRightInd w:val="0"/>
        <w:jc w:val="both"/>
        <w:rPr>
          <w:iCs/>
          <w:color w:val="000000" w:themeColor="text1"/>
          <w:sz w:val="16"/>
          <w:szCs w:val="16"/>
        </w:rPr>
      </w:pPr>
    </w:p>
    <w:p w14:paraId="009FE7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марту 1935 г. Германия имела 584 боевых и 1304 тренировочных. В результате их летчики вступали в бой, имея сотни часов учебно-тренировочного полета. Их ас В.Батц (237 побед) вступил в бой, имея 5240 часов учебного налета. А наш ас Г.У.Дольников (15+1) налетал в летной школе 34,5 часа, из них 11 часов самостоятельно и целых 5 часов на боевой машине (3573).</w:t>
      </w:r>
    </w:p>
    <w:p w14:paraId="1170780E" w14:textId="77777777" w:rsidR="00D4105E" w:rsidRPr="00E14102" w:rsidRDefault="00D4105E" w:rsidP="00E14102">
      <w:pPr>
        <w:autoSpaceDE w:val="0"/>
        <w:autoSpaceDN w:val="0"/>
        <w:adjustRightInd w:val="0"/>
        <w:jc w:val="both"/>
        <w:rPr>
          <w:color w:val="000000" w:themeColor="text1"/>
          <w:sz w:val="16"/>
          <w:szCs w:val="16"/>
        </w:rPr>
      </w:pPr>
    </w:p>
    <w:p w14:paraId="22BA74C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61DA98D" w14:textId="77777777" w:rsidR="00D4105E" w:rsidRPr="00E14102" w:rsidRDefault="00D4105E" w:rsidP="00E14102">
      <w:pPr>
        <w:autoSpaceDE w:val="0"/>
        <w:autoSpaceDN w:val="0"/>
        <w:adjustRightInd w:val="0"/>
        <w:jc w:val="both"/>
        <w:rPr>
          <w:iCs/>
          <w:color w:val="000000" w:themeColor="text1"/>
          <w:sz w:val="16"/>
          <w:szCs w:val="16"/>
        </w:rPr>
      </w:pPr>
    </w:p>
    <w:p w14:paraId="1AFE66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марта по 1 мая 1935 г. чертежи по ЦКБ-26 были сданы 39-му заводу (9501).</w:t>
      </w:r>
    </w:p>
    <w:p w14:paraId="2CADDC77" w14:textId="77777777" w:rsidR="00D4105E" w:rsidRPr="00E14102" w:rsidRDefault="00D4105E" w:rsidP="00E14102">
      <w:pPr>
        <w:autoSpaceDE w:val="0"/>
        <w:autoSpaceDN w:val="0"/>
        <w:adjustRightInd w:val="0"/>
        <w:jc w:val="both"/>
        <w:rPr>
          <w:color w:val="000000" w:themeColor="text1"/>
          <w:sz w:val="16"/>
          <w:szCs w:val="16"/>
        </w:rPr>
      </w:pPr>
    </w:p>
    <w:p w14:paraId="24EF97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1935 на ЛП-5 СССР Н-68 Водопьянов и на ЛП-5 СССР Н-67 летчик Линдель стартовали в перелет из Москвы через Хабаровск, Анадырь к зимовке на мысе Шмидта. Воздушное путешествие, прерываемое ухудшениями погоды, продолжалось более месяца. 7 апреля 1935 г. самолеты благополучно достигли цели. В целом, переделанные Р-5 себя оправдали, впоследствии их передали для эксплуатации в местные воздушные линии в Хабаровске (5016).</w:t>
      </w:r>
    </w:p>
    <w:p w14:paraId="16819A33" w14:textId="77777777" w:rsidR="00D4105E" w:rsidRPr="00E14102" w:rsidRDefault="00D4105E" w:rsidP="00E14102">
      <w:pPr>
        <w:autoSpaceDE w:val="0"/>
        <w:autoSpaceDN w:val="0"/>
        <w:adjustRightInd w:val="0"/>
        <w:jc w:val="both"/>
        <w:rPr>
          <w:color w:val="000000" w:themeColor="text1"/>
          <w:sz w:val="16"/>
          <w:szCs w:val="16"/>
        </w:rPr>
      </w:pPr>
    </w:p>
    <w:p w14:paraId="050541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1935 Водопьянов на Р-5 Н-67 и Линдел на Н-68 стартовали из Москвы через Хабаровск и Анадырь к мысу Шмидта и достигли цели 7 апреля (1638,6).</w:t>
      </w:r>
    </w:p>
    <w:p w14:paraId="35BE6801" w14:textId="77777777" w:rsidR="00D4105E" w:rsidRPr="00E14102" w:rsidRDefault="00D4105E" w:rsidP="00E14102">
      <w:pPr>
        <w:autoSpaceDE w:val="0"/>
        <w:autoSpaceDN w:val="0"/>
        <w:adjustRightInd w:val="0"/>
        <w:jc w:val="both"/>
        <w:rPr>
          <w:color w:val="000000" w:themeColor="text1"/>
          <w:sz w:val="16"/>
          <w:szCs w:val="16"/>
        </w:rPr>
      </w:pPr>
    </w:p>
    <w:p w14:paraId="13CCECB2"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«1 марта 1935, согласно воспоминаниям М.В. Водопьянова, в одиннадцать часов был дан старт двух машин (ПС-5): моей («Н-67») и Линделя («Н-68») для самого дальнего арктического перелета сезона 1935 года.</w:t>
      </w:r>
    </w:p>
    <w:p w14:paraId="37A1237C"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Звено, состоящее из двух самолетов ЛП-5, должно было пролететь через всю страну до Хабаровска, затем вдоль дальневосточного побережья до мыса Шмидта и тем же маршрутом вернуться в Москву. Общая протяженность такого маршрута составляла около 27 тысяч километров, и, хотя главной задачей перелета являлось открытие регулярной воздушной линии до мыса Шмидта, по пройденному пути перелет мог оцениваться как выдающийся.</w:t>
      </w:r>
    </w:p>
    <w:p w14:paraId="3BDB1614"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lastRenderedPageBreak/>
        <w:t>Командиром звена был назначен М.В. Водопьянов. В экипаж его самолета вошел бортмеханик Ф.И. Бассейн и пассажир – «парторг с острова Врангеля». Экипаж второго самолета состоял из летчика М.Я. Линделя, штурмана Н.М. Жукова и бортмеханика Н.Г. Игнатьева.</w:t>
      </w:r>
    </w:p>
    <w:p w14:paraId="5EEAC26C"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Выполнение перелета планировалось на самолетах, прошедших модернизацию в соответствии с требованиями, предъявляемыми Управлением полярной авиации (УПА) ГУСМП. Представления о том, как должен быть оборудован арктический самолет уже были, а вот возможности претворения их в реальные конструкции, к сожалению, у руководителей УПА ГУСМП отсутствовали. Все авиационные заводы были до предела загружены плановыми работами и «напрягаться», выполняя заказ полярных летчиков, никто не хотел. Своевременная подготовка самолетов для дальнего перелета состоялась только благодаря личным связям Водопьянова, который договорился с руководством авиазавода имени А.З. Гольцмана о выполнении сверхпланового заказа. Дело в том, что на заводе работало еще немало людей, которые помнили рабочего моторной мастерской Водопьянова, в ту пору, когда завод в 20-х годах еще был мастерскими «Добролета». Рабочие завода готовы были в сверхурочное время выполнить просьбу своего Героя.</w:t>
      </w:r>
    </w:p>
    <w:p w14:paraId="6F319C2C"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Первоначально, старт перелета был запланирован на 15 февраля, однако самолеты были готовы только к 25 февраля. Кроме того, при выполнении сдаточных испытаний на одном из них вышел из строя двигатель и летчик Г.В. Жиркович произвел вынужденную посадку. Рабочие завода работали на месте вынужденной посадки всю ночь и заменили мотор.</w:t>
      </w:r>
    </w:p>
    <w:p w14:paraId="5D413640"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Интересно, что к модернизации самолетов приложил руку и председатель правительства СССР В.М. Молотов. Он, узнав об отсутствии радиостанции на самолете Водопьянова, настоял на ее установке. Вновь небольшая задержка и изменения в экипаже Водопьянова. Вместо пассажира в перелет отправился радист С.А. Иванов.</w:t>
      </w:r>
    </w:p>
    <w:p w14:paraId="29CB0F3E"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Через 4 часа 10 минут после вылета из Москвы сели в Казани.</w:t>
      </w:r>
    </w:p>
    <w:p w14:paraId="6E1476C4"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Вечером 2 марта опустились в Свердловске.</w:t>
      </w:r>
    </w:p>
    <w:p w14:paraId="221D34B7"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3 марта совершили благополучную посадку в Омске. Вечером опустились в Новосибирске.</w:t>
      </w:r>
    </w:p>
    <w:p w14:paraId="557C1F87"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4 марта. Наш вылет был назначен в восемь утра. На старте я задержался, и Линдель пошел на взлет первым, подняв целое облако снега, помешавшее мне взлететь следом. Снег разошелся. Поднялся и я. Облачность очень низкая, видимость плохая, Линделя не вижу… Я двумя часами позже Линделя прилетел в Красноярск.</w:t>
      </w:r>
    </w:p>
    <w:p w14:paraId="15D27016"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5 марта мы в Иркутске. Мы решили воспользоваться благоприятным прогнозом погоды и задержались здесь на два дня, провели генеральный осмотр самолетов и моторов.</w:t>
      </w:r>
    </w:p>
    <w:p w14:paraId="4522C100"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Утром 7 марта вылетели в Читу. Все время дул сильный попутный ветер. С его помощью мы легко покрыли без посадки около девятисот километров и ровно в три часа дня благополучно сели на читинский аэродром.</w:t>
      </w:r>
    </w:p>
    <w:p w14:paraId="61530200"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Утром 8 марта вылетели дальше, рассчитывая без посадки долететь до Архары. Около Рухлово Линдель неожиданно сообщил: в добавочных баках бензин кончился. Решили сесть в Тыгде.</w:t>
      </w:r>
    </w:p>
    <w:p w14:paraId="4880B482"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9 марта в 6 часов 30 минут наши самолеты опустились в Хабаровске.</w:t>
      </w:r>
    </w:p>
    <w:p w14:paraId="0C99B865"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Первый этап перелета закончен. За 39 летных часов покрыто около 8 тысяч километров.</w:t>
      </w:r>
    </w:p>
    <w:p w14:paraId="0043B404"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11 марта сели в Николаевске. Здесь кончалась воздушная трасса, по которой регулярно летают наши пассажирские самолеты. Дальше пойдет тяжелый, почти неизведанный путь.</w:t>
      </w:r>
    </w:p>
    <w:p w14:paraId="405DAF35"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12 марта. Через 6 часов 30 минут после вылета из Николаевска наш самолет появился над Охотском. Сделав два круга, я внимательно осмотрел аэродром, зашел против ветра и благополучно сел. Нас встречало все население города.</w:t>
      </w:r>
    </w:p>
    <w:p w14:paraId="65174F1B"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Надо признаться, что этот перелет вымотал у меня все силы. Участок Николаевск – Охотск оказался самым трудным из всего пройденного пути. Посадив самолет, я едва вылез из него – голова, казалось, разламывалась на части.</w:t>
      </w:r>
    </w:p>
    <w:p w14:paraId="4A42B8A4"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14 марта прилетели в Магадан. В Магадане просидели четверо суток.</w:t>
      </w:r>
    </w:p>
    <w:p w14:paraId="7CB252C0"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17 марта при посадке в Гижиге произошла авария самолета Линделя.</w:t>
      </w:r>
    </w:p>
    <w:p w14:paraId="601D9485"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Самолет коснулся земли, чуть-чуть не долетая «Т». Потом его сильно взмыло, развернуло, и он правым крылом забороздил снег. У него сломалась стойка шасси.</w:t>
      </w:r>
    </w:p>
    <w:p w14:paraId="69D7AD6C"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С помощью красноармейца, который оказался хорошим кузнецом, бортмеханик Игнатьев изготовил и укрепил на своем самолете новое сварное ушко стойки шасси, сломанное Линделем во время неудачной посадки. Ушко, по нашему общему мнению, получилось не хуже заводского.</w:t>
      </w:r>
    </w:p>
    <w:p w14:paraId="1224F2C9"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22 марта перелетели на культбазу Каменское.</w:t>
      </w:r>
    </w:p>
    <w:p w14:paraId="2E82C7BC"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Пурга на несколько дней задержала нас в культбазе. Вылететь удалось только 26 марта. Поднялись в воздух поздно, до захода солнца оставалось всего пять с половиной часов. Но мы и не особо торопились – по нашему расчету до Анадыря было всего четыре – четыре с половиной часа полета.</w:t>
      </w:r>
    </w:p>
    <w:p w14:paraId="6A355268"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Вдруг видимость резко ухудшилась, а самолеты стало бросать. В ущельях нас поджидал такой встречный ветер, что самолеты почти не двигались с места, расходуя всю свою энергию на борьбу со штормом» . [87]</w:t>
      </w:r>
    </w:p>
    <w:p w14:paraId="1AA75B31"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Этот этап перелета оказался для авиаторов самым богатым на приключения.</w:t>
      </w:r>
    </w:p>
    <w:p w14:paraId="2162207F"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Линдель в условиях надвигающейся ночи, с отказавшей радиостанцией, опасаясь потери ориентировки и вынужденной посадки из-за полной выработки бензина, выбрал место, произвел посадку, как впоследствии оказалось, в ста километрах от Анадыря и стал ожидать улучшения погоды.</w:t>
      </w:r>
    </w:p>
    <w:p w14:paraId="4C857CBB"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В это время Водопьянов на последних каплях горючего в темноте чудом вышел на посадочную площадку в районе Анадыря и произвел посадку. Здесь он узнал, что в чукотских снегах, кроме самолета Линделя, потерялся еще один самолет с летчиком Масленниковым и штурманом Падалко, но пурга надолго приковала самолет Водопьянова к земле и на поиски двух экипажей отправились каюры на собачьих упряжках.</w:t>
      </w:r>
    </w:p>
    <w:p w14:paraId="380EEE8C"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В первых числах апреля Водопьянову удалось подняться в воздух и найти оба затерянных в снегах самолета. Сначала был найден самолет Линделя, передан бензин, доставлен бак с водой (для двигателя М-17 – водяного охлаждения). Вскоре экипаж Линделя прибыл в Анадырь. Вновь непогода заставила ждать. Только 6 апреля (вероятно) Водопьянову вновь удалось вылететь на поиски самолета Масленникова. На этот раз повезло. Чудом нашли самолет, заваленный снегом и нору с двумя авиаторами, обессиленными после двенадцатидневного голодания. Удивительно, но двигатель самолета, простоявшего почти две недели под снегом, через два часа подготовительных работ удалось запустить, и спасенный экипаж на своем самолете перелетел в Анадырь.</w:t>
      </w:r>
    </w:p>
    <w:p w14:paraId="2FE237D1"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7 апреля звено Водопьянова вылетело из Анадыря и напрямик через Анадырский хребет перелетело на мыс Шмидта. Первая половина перелета благополучно завершилась.</w:t>
      </w:r>
    </w:p>
    <w:p w14:paraId="1484274B"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10 апреля авиаторы покинули мыс Шмидта и взяли курс на Уэллен, где через 2 часа 45 минут произвели посадку.</w:t>
      </w:r>
    </w:p>
    <w:p w14:paraId="2CE41DF9"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Главной задачей обратного перелета стало – как можно скорее достичь Хабаровска. Погода портилась, а в весеннюю распутицу летать здесь было невозможно ни на лыжах, ни на колесах. Это могло задержать экспедицию в каком-нибудь приморском селении на пару месяцев, до начала навигации и прибытия парохода.</w:t>
      </w:r>
    </w:p>
    <w:p w14:paraId="465E9600"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Из Анадыря перелетели сразу в Каменское.</w:t>
      </w:r>
    </w:p>
    <w:p w14:paraId="35AD4ED9"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16 апреля из Каменского перелетели в Гижигу. Через два часа, дозаправившись горючим, забрав почту, вылетели дальше. К вечеру были в Ногаево.</w:t>
      </w:r>
    </w:p>
    <w:p w14:paraId="54B6B44C"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18 апреля – посадка в Охотске. Лишь через восемь дней погода предоставила возможность совершить следующий перелет – в Николаевск. В Николаевске сменили лыжи на колеса. 30 апреля прилетели в Хабаровск. Вероятно, Водопьянов планировал продолжать перелет до Москвы, но время было упущено, и на всех аэродромах маршрута уже господствовала весенняя распутица. В Хабаровске им была получена телеграмма: «Сдать самолеты Граждвоздухфлоту, а самим выехать в Москву».</w:t>
      </w:r>
    </w:p>
    <w:p w14:paraId="002F9CCF" w14:textId="77777777" w:rsidR="00A45048" w:rsidRPr="00E14102" w:rsidRDefault="00A45048" w:rsidP="00E14102">
      <w:pPr>
        <w:shd w:val="clear" w:color="auto" w:fill="FFFFFF"/>
        <w:jc w:val="both"/>
        <w:textAlignment w:val="baseline"/>
        <w:rPr>
          <w:color w:val="0070C0"/>
          <w:sz w:val="16"/>
          <w:szCs w:val="16"/>
        </w:rPr>
      </w:pPr>
      <w:r w:rsidRPr="00E14102">
        <w:rPr>
          <w:color w:val="0070C0"/>
          <w:sz w:val="16"/>
          <w:szCs w:val="16"/>
        </w:rPr>
        <w:t>22 мая поезд доставил оба экипажа в Москву (21249).</w:t>
      </w:r>
    </w:p>
    <w:p w14:paraId="3D9F5278" w14:textId="77777777" w:rsidR="00A45048" w:rsidRPr="00E14102" w:rsidRDefault="00A45048" w:rsidP="00E14102">
      <w:pPr>
        <w:jc w:val="both"/>
        <w:rPr>
          <w:color w:val="0070C0"/>
          <w:sz w:val="16"/>
          <w:szCs w:val="16"/>
        </w:rPr>
      </w:pPr>
    </w:p>
    <w:p w14:paraId="64A8B87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7B99FB9" w14:textId="77777777" w:rsidR="00D4105E" w:rsidRPr="00E14102" w:rsidRDefault="00D4105E" w:rsidP="00E14102">
      <w:pPr>
        <w:autoSpaceDE w:val="0"/>
        <w:autoSpaceDN w:val="0"/>
        <w:adjustRightInd w:val="0"/>
        <w:jc w:val="both"/>
        <w:rPr>
          <w:iCs/>
          <w:color w:val="000000" w:themeColor="text1"/>
          <w:sz w:val="16"/>
          <w:szCs w:val="16"/>
        </w:rPr>
      </w:pPr>
    </w:p>
    <w:p w14:paraId="673144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1935 г. завод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преобразован в КМРС им. Коминтерна. В его составе- ОРПУ.</w:t>
      </w:r>
      <w:r w:rsidRPr="00E14102">
        <w:rPr>
          <w:color w:val="000000" w:themeColor="text1"/>
          <w:sz w:val="16"/>
          <w:szCs w:val="16"/>
          <w:vertAlign w:val="superscript"/>
        </w:rPr>
        <w:t>101</w:t>
      </w:r>
      <w:r w:rsidRPr="00E14102">
        <w:rPr>
          <w:color w:val="000000" w:themeColor="text1"/>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E14102">
        <w:rPr>
          <w:color w:val="000000" w:themeColor="text1"/>
          <w:sz w:val="16"/>
          <w:szCs w:val="16"/>
          <w:vertAlign w:val="superscript"/>
        </w:rPr>
        <w:t>39</w:t>
      </w:r>
      <w:r w:rsidRPr="00E14102">
        <w:rPr>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6823FA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кварцевой лаборатории разработаны техпроцессы и аппаратура для изготовления высокоточных пьезо- кварцевых эталонов частоты. Разработаны все антенные мачты-башни для мощных радиостанций (Ю.А. Савицкий).</w:t>
      </w:r>
    </w:p>
    <w:p w14:paraId="473C01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64189A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1EF734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E14102">
        <w:rPr>
          <w:color w:val="000000" w:themeColor="text1"/>
          <w:sz w:val="16"/>
          <w:szCs w:val="16"/>
          <w:lang w:val="en-US"/>
        </w:rPr>
        <w:t>KB</w:t>
      </w:r>
      <w:r w:rsidRPr="00E14102">
        <w:rPr>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0CB4CB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0EFC0B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1937 г. строилась радиостанция им. Косиора ( г. Киев). В 06.1941 г. изготовлен войсковой подвижный РЛ комплекс «Редут» (РУС-2).</w:t>
      </w:r>
    </w:p>
    <w:p w14:paraId="76553A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3EA7C0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449F2A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E14102">
        <w:rPr>
          <w:color w:val="000000" w:themeColor="text1"/>
          <w:sz w:val="16"/>
          <w:szCs w:val="16"/>
          <w:vertAlign w:val="superscript"/>
        </w:rPr>
        <w:t>149</w:t>
      </w:r>
    </w:p>
    <w:p w14:paraId="292730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5F711F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Ленинграде на базе оставшегося оборудования по пр. № 325с от 27.10.1941 г. организован новый завод</w:t>
      </w:r>
    </w:p>
    <w:p w14:paraId="11CD49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№615.</w:t>
      </w:r>
    </w:p>
    <w:p w14:paraId="0B7F9F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соответствии с пост. ГКО № 3686сс от 4.07.1943 г. завод № 208 передан в ведение созданного ГУ </w:t>
      </w:r>
      <w:r w:rsidRPr="00E14102">
        <w:rPr>
          <w:color w:val="000000" w:themeColor="text1"/>
          <w:sz w:val="16"/>
          <w:szCs w:val="16"/>
          <w:lang w:val="en-US"/>
        </w:rPr>
        <w:t>PJI</w:t>
      </w:r>
      <w:r w:rsidRPr="00E14102">
        <w:rPr>
          <w:color w:val="000000" w:themeColor="text1"/>
          <w:sz w:val="16"/>
          <w:szCs w:val="16"/>
        </w:rPr>
        <w:t xml:space="preserve"> промышленности НКЭП. В 1960-е  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3A0A38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1960-е  г. выпускал станции обнаружения и целеуказания.</w:t>
      </w:r>
      <w:r w:rsidRPr="00E14102">
        <w:rPr>
          <w:color w:val="000000" w:themeColor="text1"/>
          <w:sz w:val="16"/>
          <w:szCs w:val="16"/>
          <w:vertAlign w:val="superscript"/>
        </w:rPr>
        <w:t>80</w:t>
      </w:r>
    </w:p>
    <w:p w14:paraId="3514EE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1979 г. создан Тувинский филиал завода (с 1980-х  г. - Тувинский машиностроительный завод).</w:t>
      </w:r>
    </w:p>
    <w:p w14:paraId="7F1896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6D5F94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Численность персонала (1915 г.)- около 300 чел.</w:t>
      </w:r>
    </w:p>
    <w:p w14:paraId="06CE80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(-01-14.07.1937 г.)- М.А. Гущин, (14.07.1937-17.12.1938 г.)- А.И. Васильев, (17.12.1938 г.-)- В.П. Виноградов. И.О. Гендиректора (2007 г.)-  Г.Н. Голубев.</w:t>
      </w:r>
    </w:p>
    <w:p w14:paraId="3B33ED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Зам. директора (01.1937 г.)- </w:t>
      </w:r>
      <w:r w:rsidRPr="00E14102">
        <w:rPr>
          <w:color w:val="000000" w:themeColor="text1"/>
          <w:sz w:val="16"/>
          <w:szCs w:val="16"/>
          <w:lang w:val="en-US"/>
        </w:rPr>
        <w:t>A</w:t>
      </w:r>
      <w:r w:rsidRPr="00E14102">
        <w:rPr>
          <w:color w:val="000000" w:themeColor="text1"/>
          <w:sz w:val="16"/>
          <w:szCs w:val="16"/>
        </w:rPr>
        <w:t>.</w:t>
      </w:r>
      <w:r w:rsidRPr="00E14102">
        <w:rPr>
          <w:color w:val="000000" w:themeColor="text1"/>
          <w:sz w:val="16"/>
          <w:szCs w:val="16"/>
          <w:lang w:val="en-US"/>
        </w:rPr>
        <w:t>JI</w:t>
      </w:r>
      <w:r w:rsidRPr="00E14102">
        <w:rPr>
          <w:color w:val="000000" w:themeColor="text1"/>
          <w:sz w:val="16"/>
          <w:szCs w:val="16"/>
        </w:rPr>
        <w:t xml:space="preserve">. Минц, (-27.03.1937; 16.05.1937 г.-)- </w:t>
      </w:r>
      <w:r w:rsidRPr="00E14102">
        <w:rPr>
          <w:color w:val="000000" w:themeColor="text1"/>
          <w:sz w:val="16"/>
          <w:szCs w:val="16"/>
          <w:lang w:val="en-US"/>
        </w:rPr>
        <w:t>B</w:t>
      </w:r>
      <w:r w:rsidRPr="00E14102">
        <w:rPr>
          <w:color w:val="000000" w:themeColor="text1"/>
          <w:sz w:val="16"/>
          <w:szCs w:val="16"/>
        </w:rPr>
        <w:t>.</w:t>
      </w:r>
      <w:r w:rsidRPr="00E14102">
        <w:rPr>
          <w:color w:val="000000" w:themeColor="text1"/>
          <w:sz w:val="16"/>
          <w:szCs w:val="16"/>
          <w:lang w:val="en-US"/>
        </w:rPr>
        <w:t>C</w:t>
      </w:r>
      <w:r w:rsidRPr="00E14102">
        <w:rPr>
          <w:color w:val="000000" w:themeColor="text1"/>
          <w:sz w:val="16"/>
          <w:szCs w:val="16"/>
        </w:rPr>
        <w:t>. Курков. Помощник директора по найму и увольнению (28.09.1938 г.-)- А.Е. Фомичев.</w:t>
      </w:r>
    </w:p>
    <w:p w14:paraId="522231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(-01-27.03.1937 г.)- А.Л. Минц, (27.03-05.1937 г.-)- А.И. Васильев, (02.1938 г.)- Н.А. Романов, (1948-50 г.)- ЯЛ. Беликов.</w:t>
      </w:r>
    </w:p>
    <w:p w14:paraId="04C865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гл. инженера (1928 г.-)- А.Л. Минц, В.Е. Гайслер.</w:t>
      </w:r>
    </w:p>
    <w:p w14:paraId="16EAC6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Заведующий производством (1930-е)- А. Г. Громов.</w:t>
      </w:r>
    </w:p>
    <w:p w14:paraId="47BADA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Научный руководитель (1936 г.-)- А.Л. Минц.</w:t>
      </w:r>
    </w:p>
    <w:p w14:paraId="665A34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2DA4C4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начальника цеха: (-1945 г.)- А.В. Загорянский.</w:t>
      </w:r>
    </w:p>
    <w:p w14:paraId="2515CD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506999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E14102">
        <w:rPr>
          <w:color w:val="000000" w:themeColor="text1"/>
          <w:sz w:val="16"/>
          <w:szCs w:val="16"/>
          <w:lang w:val="en-US"/>
        </w:rPr>
        <w:t>BOB</w:t>
      </w:r>
      <w:r w:rsidRPr="00E14102">
        <w:rPr>
          <w:color w:val="000000" w:themeColor="text1"/>
          <w:sz w:val="16"/>
          <w:szCs w:val="16"/>
        </w:rPr>
        <w:t>)- А.В. Загорянский, (1950-е; 1981-92 г.)- В.В. Райзберг, (-1941 г.)- И.Л. Эристов.</w:t>
      </w:r>
    </w:p>
    <w:p w14:paraId="7E3BAB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бюро: проектно-монтажного (-1936 г.)- А.А. Пистолькорс.</w:t>
      </w:r>
    </w:p>
    <w:p w14:paraId="523C62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Руководители групп: по проектированию радиостанции им. Косиора (1937 г.)- В.Д. Селивохин.</w:t>
      </w:r>
    </w:p>
    <w:p w14:paraId="719D70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строительства радиостанции им. Косиора (1937 г.)- В.Д. Селивохин.</w:t>
      </w:r>
    </w:p>
    <w:p w14:paraId="3FE058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начальника строительства по техчасти радиостанции им. Косиора (1937 г.)- В.А. Енютин.</w:t>
      </w:r>
    </w:p>
    <w:p w14:paraId="1CAB10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Создано: радиолокатор наведения луча прожектора на самолеты РАП-150 (1948).</w:t>
      </w:r>
    </w:p>
    <w:p w14:paraId="69A2E0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первый отечественный триод ЛЭ-1 (1922-);</w:t>
      </w:r>
      <w:r w:rsidRPr="00E14102">
        <w:rPr>
          <w:color w:val="000000" w:themeColor="text1"/>
          <w:sz w:val="16"/>
          <w:szCs w:val="16"/>
          <w:vertAlign w:val="superscript"/>
        </w:rPr>
        <w:t>103</w:t>
      </w:r>
      <w:r w:rsidRPr="00E14102">
        <w:rPr>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E14102">
        <w:rPr>
          <w:color w:val="000000" w:themeColor="text1"/>
          <w:sz w:val="16"/>
          <w:szCs w:val="16"/>
          <w:vertAlign w:val="superscript"/>
        </w:rPr>
        <w:t xml:space="preserve">130 </w:t>
      </w:r>
      <w:r w:rsidRPr="00E14102">
        <w:rPr>
          <w:color w:val="000000" w:themeColor="text1"/>
          <w:sz w:val="16"/>
          <w:szCs w:val="16"/>
        </w:rPr>
        <w:t>радиодальномер 1РЛ111Д; изделия 1Л23-6, 1Л24, 76Е6 системы опознавания «Пароль»; радиоприемник ФЭБ (11982).</w:t>
      </w:r>
    </w:p>
    <w:p w14:paraId="2894D87A" w14:textId="77777777" w:rsidR="00D4105E" w:rsidRPr="00E14102" w:rsidRDefault="00D4105E" w:rsidP="00E14102">
      <w:pPr>
        <w:autoSpaceDE w:val="0"/>
        <w:autoSpaceDN w:val="0"/>
        <w:adjustRightInd w:val="0"/>
        <w:jc w:val="both"/>
        <w:rPr>
          <w:color w:val="000000" w:themeColor="text1"/>
          <w:sz w:val="16"/>
          <w:szCs w:val="16"/>
        </w:rPr>
      </w:pPr>
    </w:p>
    <w:p w14:paraId="7141990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7C98CA81" w14:textId="77777777" w:rsidR="00D4105E" w:rsidRPr="00E14102" w:rsidRDefault="00D4105E" w:rsidP="00E14102">
      <w:pPr>
        <w:autoSpaceDE w:val="0"/>
        <w:autoSpaceDN w:val="0"/>
        <w:adjustRightInd w:val="0"/>
        <w:jc w:val="both"/>
        <w:rPr>
          <w:iCs/>
          <w:color w:val="000000" w:themeColor="text1"/>
          <w:sz w:val="16"/>
          <w:szCs w:val="16"/>
        </w:rPr>
      </w:pPr>
    </w:p>
    <w:p w14:paraId="0C9DA7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марта 1935 г. эскадрильи, которые стали комплектоваться однородной техникой, получили отражение в их названии. Так, 207-я авиабригада стала 95-й истребительной, 254-я - 102-й штурмовой. Сохранились и смешанные бригады, включавшие части разных родов авиации, например, 97-я смешанная (бывшая 454-я). Трехзначные цифры не свидетельствовали о грандиозной мощи ВВС РККА, похоже, номера давали произвольно, возможно, с целью запутать вражеских шпионов. В бригаду входило от двух до пяти эскадрилий. В истребительные, легкобомбардировочные, штурмовые бригады обычно сводили эскадрильи одного назначения. В тяжелобомбардировочные добавляли одну дальнеразведывательную эскадрилью на Р-5 или Р-6 или крейсерскую на Р-6. По штатам 1932 г. тяжелобомбардировочной бригаде полагалось 48 ТБ-3, 12 Р-6, 11 Р-5 или 36 ТБ-3, 12 ТБ-1, 12 Р-6 и 11 Р-5. В середине 1933 г. в каждую такую бригаду включили еще и одну истребительную эскадрилью. Поскольку в этот период многие бригады формировались заново, не имея какой-либо базовой эскадрильи, то номера всех эскадрилий соединения шли один за другим (например, 25-я, 26-я, 27-я...) (11987).</w:t>
      </w:r>
    </w:p>
    <w:p w14:paraId="173A734F" w14:textId="77777777" w:rsidR="00D4105E" w:rsidRPr="00E14102" w:rsidRDefault="00D4105E" w:rsidP="00E14102">
      <w:pPr>
        <w:autoSpaceDE w:val="0"/>
        <w:autoSpaceDN w:val="0"/>
        <w:adjustRightInd w:val="0"/>
        <w:jc w:val="both"/>
        <w:rPr>
          <w:color w:val="000000" w:themeColor="text1"/>
          <w:sz w:val="16"/>
          <w:szCs w:val="16"/>
        </w:rPr>
      </w:pPr>
    </w:p>
    <w:p w14:paraId="3866546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8C09775" w14:textId="77777777" w:rsidR="00D4105E" w:rsidRPr="00E14102" w:rsidRDefault="00D4105E" w:rsidP="00E14102">
      <w:pPr>
        <w:autoSpaceDE w:val="0"/>
        <w:autoSpaceDN w:val="0"/>
        <w:adjustRightInd w:val="0"/>
        <w:jc w:val="both"/>
        <w:rPr>
          <w:iCs/>
          <w:color w:val="000000" w:themeColor="text1"/>
          <w:sz w:val="16"/>
          <w:szCs w:val="16"/>
        </w:rPr>
      </w:pPr>
    </w:p>
    <w:p w14:paraId="1F7F4B82" w14:textId="77777777" w:rsidR="00135BFC" w:rsidRPr="00E14102" w:rsidRDefault="00135BFC" w:rsidP="00E14102">
      <w:pPr>
        <w:jc w:val="both"/>
        <w:rPr>
          <w:color w:val="000000" w:themeColor="text1"/>
          <w:sz w:val="16"/>
          <w:szCs w:val="16"/>
        </w:rPr>
      </w:pPr>
      <w:r w:rsidRPr="00E14102">
        <w:rPr>
          <w:bCs/>
          <w:color w:val="000000" w:themeColor="text1"/>
          <w:sz w:val="16"/>
          <w:szCs w:val="16"/>
        </w:rPr>
        <w:t>1 марта</w:t>
      </w:r>
      <w:r w:rsidRPr="00E14102">
        <w:rPr>
          <w:color w:val="000000" w:themeColor="text1"/>
          <w:sz w:val="16"/>
          <w:szCs w:val="16"/>
        </w:rPr>
        <w:t xml:space="preserve"> в 1935 году в Германии было официально объявлено о создании новых </w:t>
      </w:r>
      <w:hyperlink r:id="rId53" w:tgtFrame="_blank" w:history="1">
        <w:r w:rsidRPr="00E14102">
          <w:rPr>
            <w:color w:val="000000" w:themeColor="text1"/>
            <w:sz w:val="16"/>
            <w:szCs w:val="16"/>
          </w:rPr>
          <w:t xml:space="preserve">«Люфтваффе» </w:t>
        </w:r>
      </w:hyperlink>
      <w:r w:rsidRPr="00E14102">
        <w:rPr>
          <w:color w:val="000000" w:themeColor="text1"/>
          <w:sz w:val="16"/>
          <w:szCs w:val="16"/>
        </w:rPr>
        <w:t>(Luftwaffe — воздушные силы). К этому моменту в составе «Люфтваффе» имелись только две бомбардировочные авиагруппы (Kampffliergergruppe) - «Тутов» и «Фасберг». Обе они были сформированы еще 1 апреля 1934 г. на аэродроме «Тутов» (Tutow) в 74 км восточнее Ростока и на аэродроме «Фасберг» (Fassberg) в 65 км северо-восточнее Ганновера, из-за чего и получили такие наименования. При этом авиагруппа «Тутов» была оснащена самолетами «Ju-52», а в составе авиагруппы «Фасберг», кроме того, также были «Do-11» и «Do-23» (Авиагруппа «Тутов» получила «Do-23» лишь в августе 1935 г.) (15055).</w:t>
      </w:r>
    </w:p>
    <w:p w14:paraId="71807232" w14:textId="77777777" w:rsidR="00135BFC" w:rsidRPr="00E14102" w:rsidRDefault="00135BFC" w:rsidP="00E14102">
      <w:pPr>
        <w:jc w:val="both"/>
        <w:rPr>
          <w:color w:val="000000" w:themeColor="text1"/>
          <w:sz w:val="16"/>
          <w:szCs w:val="16"/>
        </w:rPr>
      </w:pPr>
    </w:p>
    <w:p w14:paraId="67A9DC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 марта 1935 года Люфтваффе уже располагали 2500 самолетами. Начали формироваться авиационные соединения, создавалась сеть наземных служб. С учетом опыта авиастроения других стран претерпели изменения взгляды руководства Люфтваффе на ведение воздушной войны, а вслед за этим последовали и структурные перемены (3573).</w:t>
      </w:r>
    </w:p>
    <w:p w14:paraId="7A7564CA" w14:textId="77777777" w:rsidR="00D4105E" w:rsidRPr="00E14102" w:rsidRDefault="00D4105E" w:rsidP="00E14102">
      <w:pPr>
        <w:autoSpaceDE w:val="0"/>
        <w:autoSpaceDN w:val="0"/>
        <w:adjustRightInd w:val="0"/>
        <w:jc w:val="both"/>
        <w:rPr>
          <w:color w:val="000000" w:themeColor="text1"/>
          <w:sz w:val="16"/>
          <w:szCs w:val="16"/>
        </w:rPr>
      </w:pPr>
    </w:p>
    <w:p w14:paraId="04A88C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1935 Г.Геринг был назначен Главнокомандующим ВВС и совместно с Уде и Милхом стал отвечать за развитие ВВС (1114) - ВВС Германии стали существовать легально (2814,3).</w:t>
      </w:r>
    </w:p>
    <w:p w14:paraId="511098B9" w14:textId="77777777" w:rsidR="00D4105E" w:rsidRPr="00E14102" w:rsidRDefault="00D4105E" w:rsidP="00E14102">
      <w:pPr>
        <w:autoSpaceDE w:val="0"/>
        <w:autoSpaceDN w:val="0"/>
        <w:adjustRightInd w:val="0"/>
        <w:jc w:val="both"/>
        <w:rPr>
          <w:color w:val="000000" w:themeColor="text1"/>
          <w:sz w:val="16"/>
          <w:szCs w:val="16"/>
        </w:rPr>
      </w:pPr>
    </w:p>
    <w:p w14:paraId="04BFC32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марта 1935 Герман Геринг назначен командующим Люфтваффе (немецких ВВС) (4962).</w:t>
      </w:r>
    </w:p>
    <w:p w14:paraId="4BAF8A9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520EE6C" w14:textId="77777777" w:rsidR="00A45048" w:rsidRPr="00E14102" w:rsidRDefault="00A45048" w:rsidP="00E14102">
      <w:pPr>
        <w:jc w:val="both"/>
        <w:rPr>
          <w:color w:val="0070C0"/>
          <w:sz w:val="16"/>
          <w:szCs w:val="16"/>
        </w:rPr>
      </w:pPr>
      <w:r w:rsidRPr="00E14102">
        <w:rPr>
          <w:color w:val="0070C0"/>
          <w:sz w:val="16"/>
          <w:szCs w:val="16"/>
        </w:rPr>
        <w:t>1 марта 1935 Военное министерство Соединенных Штатов создает в составе армии США Генеральную штаб-квартиру ВВС (20800).</w:t>
      </w:r>
    </w:p>
    <w:p w14:paraId="4B6764D9" w14:textId="77777777" w:rsidR="00A45048" w:rsidRPr="00E14102" w:rsidRDefault="00A45048" w:rsidP="00E14102">
      <w:pPr>
        <w:jc w:val="both"/>
        <w:rPr>
          <w:color w:val="0070C0"/>
          <w:sz w:val="16"/>
          <w:szCs w:val="16"/>
        </w:rPr>
      </w:pPr>
    </w:p>
    <w:p w14:paraId="286566C7" w14:textId="77777777" w:rsidR="00135BFC" w:rsidRPr="00E14102" w:rsidRDefault="00135BFC" w:rsidP="00E14102">
      <w:pPr>
        <w:jc w:val="both"/>
        <w:rPr>
          <w:color w:val="000000" w:themeColor="text1"/>
          <w:sz w:val="16"/>
          <w:szCs w:val="16"/>
        </w:rPr>
      </w:pPr>
      <w:r w:rsidRPr="00E14102">
        <w:rPr>
          <w:bCs/>
          <w:color w:val="000000" w:themeColor="text1"/>
          <w:sz w:val="16"/>
          <w:szCs w:val="16"/>
        </w:rPr>
        <w:t>1 марта</w:t>
      </w:r>
      <w:r w:rsidRPr="00E14102">
        <w:rPr>
          <w:color w:val="000000" w:themeColor="text1"/>
          <w:sz w:val="16"/>
          <w:szCs w:val="16"/>
        </w:rPr>
        <w:t xml:space="preserve"> в 1935 году по результатам плебисцита к Германии отходит Саарская область (15055).</w:t>
      </w:r>
    </w:p>
    <w:p w14:paraId="5524AD8B" w14:textId="77777777" w:rsidR="00135BFC" w:rsidRPr="00E14102" w:rsidRDefault="00135BFC" w:rsidP="00E14102">
      <w:pPr>
        <w:jc w:val="both"/>
        <w:rPr>
          <w:color w:val="000000" w:themeColor="text1"/>
          <w:sz w:val="16"/>
          <w:szCs w:val="16"/>
        </w:rPr>
      </w:pPr>
    </w:p>
    <w:p w14:paraId="7B2291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1935 Германия отпраздновала возврат Саарской области (2100).</w:t>
      </w:r>
    </w:p>
    <w:p w14:paraId="783E4DEF" w14:textId="77777777" w:rsidR="00D4105E" w:rsidRPr="00E14102" w:rsidRDefault="00D4105E" w:rsidP="00E14102">
      <w:pPr>
        <w:autoSpaceDE w:val="0"/>
        <w:autoSpaceDN w:val="0"/>
        <w:adjustRightInd w:val="0"/>
        <w:jc w:val="both"/>
        <w:rPr>
          <w:color w:val="000000" w:themeColor="text1"/>
          <w:sz w:val="16"/>
          <w:szCs w:val="16"/>
        </w:rPr>
      </w:pPr>
    </w:p>
    <w:p w14:paraId="0940CC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до 11 марта 1935 было восстание в Греции и Э.Венизелос принял предложение возглавить его, а после подавления эмигрировал во Францию (3907,191).</w:t>
      </w:r>
    </w:p>
    <w:p w14:paraId="15E97C6A" w14:textId="77777777" w:rsidR="00D4105E" w:rsidRPr="00E14102" w:rsidRDefault="00D4105E" w:rsidP="00E14102">
      <w:pPr>
        <w:autoSpaceDE w:val="0"/>
        <w:autoSpaceDN w:val="0"/>
        <w:adjustRightInd w:val="0"/>
        <w:jc w:val="both"/>
        <w:rPr>
          <w:color w:val="000000" w:themeColor="text1"/>
          <w:sz w:val="16"/>
          <w:szCs w:val="16"/>
        </w:rPr>
      </w:pPr>
    </w:p>
    <w:p w14:paraId="39569FF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B4375B6" w14:textId="77777777" w:rsidR="00D4105E" w:rsidRPr="00E14102" w:rsidRDefault="00D4105E" w:rsidP="00E14102">
      <w:pPr>
        <w:autoSpaceDE w:val="0"/>
        <w:autoSpaceDN w:val="0"/>
        <w:adjustRightInd w:val="0"/>
        <w:jc w:val="both"/>
        <w:rPr>
          <w:iCs/>
          <w:color w:val="000000" w:themeColor="text1"/>
          <w:sz w:val="16"/>
          <w:szCs w:val="16"/>
        </w:rPr>
      </w:pPr>
    </w:p>
    <w:p w14:paraId="76079CA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марта 1935 года Нарком тяжелой промышленности Орджоникидзе писал письмо № 01-1602с в СТО Молотову</w:t>
      </w:r>
    </w:p>
    <w:p w14:paraId="1D12D00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Замечания к проекту постановления СТО о постройке дальнего бомбардировщика</w:t>
      </w:r>
    </w:p>
    <w:p w14:paraId="75C43A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проектом постановления ДБ2-2К14 согласен, за исключением:</w:t>
      </w:r>
    </w:p>
    <w:p w14:paraId="0406CCB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Срока постройки (пункт 1) – в проекте дан 15 июня 1935 года на гос. испытания, но ЦАГИ в этот срок может дать только на совместные испытания.</w:t>
      </w:r>
    </w:p>
    <w:p w14:paraId="13E7BF9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Моторы и винты (пункт 3) можно дать:</w:t>
      </w:r>
    </w:p>
    <w:p w14:paraId="3CAD4E5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 шт. – к 1 апреля 1935 года</w:t>
      </w:r>
    </w:p>
    <w:p w14:paraId="5FA3DEB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 шт. – к 1 мая 1935 года</w:t>
      </w:r>
    </w:p>
    <w:p w14:paraId="2CA4BEC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ибо к 1 марта 1935 года НКВТ не сможет реализовать.</w:t>
      </w:r>
    </w:p>
    <w:p w14:paraId="47384C2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Необходимо добавить в пункт 5. Намеченный к постройке на этом заводе самолет МИ3 на производство не ставить (4256, 15).</w:t>
      </w:r>
    </w:p>
    <w:p w14:paraId="55CF8A2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5F2F2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марта 1935 Зам. Нач. ППО ГУАП направил письмо N 347/950с на завод 39:</w:t>
      </w:r>
    </w:p>
    <w:p w14:paraId="245867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"Настоящим сообщаем, что при рассмотрении представленных Вами контрольных точек по НИР и ОКР на 1935/36 Вам установлен лимит в сумме 13500000 на выполнение следующих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843"/>
        <w:gridCol w:w="1278"/>
        <w:gridCol w:w="1278"/>
        <w:gridCol w:w="1278"/>
      </w:tblGrid>
      <w:tr w:rsidR="00E3599D" w:rsidRPr="00E14102" w14:paraId="5CE56821" w14:textId="77777777">
        <w:tc>
          <w:tcPr>
            <w:tcW w:w="2376" w:type="dxa"/>
            <w:tcBorders>
              <w:top w:val="single" w:sz="12" w:space="0" w:color="auto"/>
            </w:tcBorders>
          </w:tcPr>
          <w:p w14:paraId="6E7A19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N Тип</w:t>
            </w:r>
          </w:p>
        </w:tc>
        <w:tc>
          <w:tcPr>
            <w:tcW w:w="1843" w:type="dxa"/>
            <w:tcBorders>
              <w:top w:val="single" w:sz="12" w:space="0" w:color="auto"/>
            </w:tcBorders>
          </w:tcPr>
          <w:p w14:paraId="5D222E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Шифр</w:t>
            </w:r>
          </w:p>
        </w:tc>
        <w:tc>
          <w:tcPr>
            <w:tcW w:w="1278" w:type="dxa"/>
            <w:tcBorders>
              <w:top w:val="single" w:sz="12" w:space="0" w:color="auto"/>
            </w:tcBorders>
          </w:tcPr>
          <w:p w14:paraId="03504B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w:t>
            </w:r>
          </w:p>
        </w:tc>
        <w:tc>
          <w:tcPr>
            <w:tcW w:w="1278" w:type="dxa"/>
            <w:tcBorders>
              <w:top w:val="single" w:sz="12" w:space="0" w:color="auto"/>
            </w:tcBorders>
          </w:tcPr>
          <w:p w14:paraId="3A64D1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w:t>
            </w:r>
          </w:p>
        </w:tc>
        <w:tc>
          <w:tcPr>
            <w:tcW w:w="1278" w:type="dxa"/>
            <w:tcBorders>
              <w:top w:val="single" w:sz="12" w:space="0" w:color="auto"/>
            </w:tcBorders>
          </w:tcPr>
          <w:p w14:paraId="48D2DF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w:t>
            </w:r>
          </w:p>
        </w:tc>
      </w:tr>
      <w:tr w:rsidR="00E3599D" w:rsidRPr="00E14102" w14:paraId="61748E82" w14:textId="77777777">
        <w:tc>
          <w:tcPr>
            <w:tcW w:w="2376" w:type="dxa"/>
          </w:tcPr>
          <w:p w14:paraId="67D89C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Истребитель 1 экз.</w:t>
            </w:r>
          </w:p>
        </w:tc>
        <w:tc>
          <w:tcPr>
            <w:tcW w:w="1843" w:type="dxa"/>
          </w:tcPr>
          <w:p w14:paraId="7BF68E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И-17</w:t>
            </w:r>
          </w:p>
        </w:tc>
        <w:tc>
          <w:tcPr>
            <w:tcW w:w="1278" w:type="dxa"/>
          </w:tcPr>
          <w:p w14:paraId="3CD1B3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Испано</w:t>
            </w:r>
          </w:p>
        </w:tc>
        <w:tc>
          <w:tcPr>
            <w:tcW w:w="1278" w:type="dxa"/>
          </w:tcPr>
          <w:p w14:paraId="53E9C6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278" w:type="dxa"/>
          </w:tcPr>
          <w:p w14:paraId="4A600A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01.05.35 совм.</w:t>
            </w:r>
          </w:p>
        </w:tc>
      </w:tr>
      <w:tr w:rsidR="00E3599D" w:rsidRPr="00E14102" w14:paraId="0476D45A" w14:textId="77777777">
        <w:tc>
          <w:tcPr>
            <w:tcW w:w="2376" w:type="dxa"/>
          </w:tcPr>
          <w:p w14:paraId="4F8C09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Истребитель 2 экз.</w:t>
            </w:r>
          </w:p>
        </w:tc>
        <w:tc>
          <w:tcPr>
            <w:tcW w:w="1843" w:type="dxa"/>
          </w:tcPr>
          <w:p w14:paraId="4A5D67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И-17</w:t>
            </w:r>
          </w:p>
        </w:tc>
        <w:tc>
          <w:tcPr>
            <w:tcW w:w="1278" w:type="dxa"/>
          </w:tcPr>
          <w:p w14:paraId="7C69D7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Испано</w:t>
            </w:r>
          </w:p>
        </w:tc>
        <w:tc>
          <w:tcPr>
            <w:tcW w:w="1278" w:type="dxa"/>
          </w:tcPr>
          <w:p w14:paraId="037D3D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278" w:type="dxa"/>
          </w:tcPr>
          <w:p w14:paraId="76BB24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01.08.35</w:t>
            </w:r>
          </w:p>
        </w:tc>
      </w:tr>
      <w:tr w:rsidR="00E3599D" w:rsidRPr="00E14102" w14:paraId="0353D77F" w14:textId="77777777">
        <w:tc>
          <w:tcPr>
            <w:tcW w:w="2376" w:type="dxa"/>
          </w:tcPr>
          <w:p w14:paraId="5DBD35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Истребитель</w:t>
            </w:r>
          </w:p>
        </w:tc>
        <w:tc>
          <w:tcPr>
            <w:tcW w:w="1843" w:type="dxa"/>
          </w:tcPr>
          <w:p w14:paraId="3ECC4A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И-18</w:t>
            </w:r>
          </w:p>
        </w:tc>
        <w:tc>
          <w:tcPr>
            <w:tcW w:w="1278" w:type="dxa"/>
          </w:tcPr>
          <w:p w14:paraId="3E54EC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Испано</w:t>
            </w:r>
          </w:p>
        </w:tc>
        <w:tc>
          <w:tcPr>
            <w:tcW w:w="1278" w:type="dxa"/>
          </w:tcPr>
          <w:p w14:paraId="5B0D25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278" w:type="dxa"/>
          </w:tcPr>
          <w:p w14:paraId="225DCB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01.20.35</w:t>
            </w:r>
          </w:p>
        </w:tc>
      </w:tr>
      <w:tr w:rsidR="00E3599D" w:rsidRPr="00E14102" w14:paraId="3B51AF93" w14:textId="77777777">
        <w:tc>
          <w:tcPr>
            <w:tcW w:w="2376" w:type="dxa"/>
          </w:tcPr>
          <w:p w14:paraId="427EE4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ТШ</w:t>
            </w:r>
          </w:p>
        </w:tc>
        <w:tc>
          <w:tcPr>
            <w:tcW w:w="1843" w:type="dxa"/>
          </w:tcPr>
          <w:p w14:paraId="19073F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ТШ-3</w:t>
            </w:r>
          </w:p>
        </w:tc>
        <w:tc>
          <w:tcPr>
            <w:tcW w:w="1278" w:type="dxa"/>
          </w:tcPr>
          <w:p w14:paraId="460F56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w:t>
            </w:r>
          </w:p>
        </w:tc>
        <w:tc>
          <w:tcPr>
            <w:tcW w:w="1278" w:type="dxa"/>
          </w:tcPr>
          <w:p w14:paraId="556C91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278" w:type="dxa"/>
          </w:tcPr>
          <w:p w14:paraId="4124C9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01.05.35</w:t>
            </w:r>
          </w:p>
        </w:tc>
      </w:tr>
      <w:tr w:rsidR="00E3599D" w:rsidRPr="00E14102" w14:paraId="659934BC" w14:textId="77777777">
        <w:tc>
          <w:tcPr>
            <w:tcW w:w="2376" w:type="dxa"/>
          </w:tcPr>
          <w:p w14:paraId="47C96F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ТШ дублер</w:t>
            </w:r>
          </w:p>
        </w:tc>
        <w:tc>
          <w:tcPr>
            <w:tcW w:w="1843" w:type="dxa"/>
          </w:tcPr>
          <w:p w14:paraId="15D967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ТШ-3</w:t>
            </w:r>
          </w:p>
        </w:tc>
        <w:tc>
          <w:tcPr>
            <w:tcW w:w="1278" w:type="dxa"/>
          </w:tcPr>
          <w:p w14:paraId="506703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w:t>
            </w:r>
          </w:p>
        </w:tc>
        <w:tc>
          <w:tcPr>
            <w:tcW w:w="1278" w:type="dxa"/>
          </w:tcPr>
          <w:p w14:paraId="1B0915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278" w:type="dxa"/>
          </w:tcPr>
          <w:p w14:paraId="468133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01.06.35</w:t>
            </w:r>
          </w:p>
        </w:tc>
      </w:tr>
      <w:tr w:rsidR="00E3599D" w:rsidRPr="00E14102" w14:paraId="15BBFF3B" w14:textId="77777777">
        <w:tc>
          <w:tcPr>
            <w:tcW w:w="2376" w:type="dxa"/>
          </w:tcPr>
          <w:p w14:paraId="4188F9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Бом. ближн. дейст.</w:t>
            </w:r>
          </w:p>
        </w:tc>
        <w:tc>
          <w:tcPr>
            <w:tcW w:w="1843" w:type="dxa"/>
          </w:tcPr>
          <w:p w14:paraId="3ED857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СБ-1</w:t>
            </w:r>
          </w:p>
        </w:tc>
        <w:tc>
          <w:tcPr>
            <w:tcW w:w="1278" w:type="dxa"/>
          </w:tcPr>
          <w:p w14:paraId="0CB004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К-14</w:t>
            </w:r>
          </w:p>
        </w:tc>
        <w:tc>
          <w:tcPr>
            <w:tcW w:w="1278" w:type="dxa"/>
          </w:tcPr>
          <w:p w14:paraId="57BA5F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278" w:type="dxa"/>
          </w:tcPr>
          <w:p w14:paraId="23FC00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01.11.35</w:t>
            </w:r>
          </w:p>
        </w:tc>
      </w:tr>
      <w:tr w:rsidR="00E3599D" w:rsidRPr="00E14102" w14:paraId="2EC67173" w14:textId="77777777">
        <w:tc>
          <w:tcPr>
            <w:tcW w:w="2376" w:type="dxa"/>
          </w:tcPr>
          <w:p w14:paraId="683B35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(1-й вар.) дер. фюз.</w:t>
            </w:r>
          </w:p>
        </w:tc>
        <w:tc>
          <w:tcPr>
            <w:tcW w:w="1843" w:type="dxa"/>
          </w:tcPr>
          <w:p w14:paraId="4279A883" w14:textId="77777777" w:rsidR="00D4105E" w:rsidRPr="00E14102" w:rsidRDefault="00D4105E" w:rsidP="00E14102">
            <w:pPr>
              <w:autoSpaceDE w:val="0"/>
              <w:autoSpaceDN w:val="0"/>
              <w:adjustRightInd w:val="0"/>
              <w:jc w:val="both"/>
              <w:rPr>
                <w:color w:val="000000" w:themeColor="text1"/>
                <w:sz w:val="16"/>
                <w:szCs w:val="16"/>
              </w:rPr>
            </w:pPr>
          </w:p>
        </w:tc>
        <w:tc>
          <w:tcPr>
            <w:tcW w:w="1278" w:type="dxa"/>
          </w:tcPr>
          <w:p w14:paraId="504290FD" w14:textId="77777777" w:rsidR="00D4105E" w:rsidRPr="00E14102" w:rsidRDefault="00D4105E" w:rsidP="00E14102">
            <w:pPr>
              <w:autoSpaceDE w:val="0"/>
              <w:autoSpaceDN w:val="0"/>
              <w:adjustRightInd w:val="0"/>
              <w:jc w:val="both"/>
              <w:rPr>
                <w:color w:val="000000" w:themeColor="text1"/>
                <w:sz w:val="16"/>
                <w:szCs w:val="16"/>
              </w:rPr>
            </w:pPr>
          </w:p>
        </w:tc>
        <w:tc>
          <w:tcPr>
            <w:tcW w:w="1278" w:type="dxa"/>
          </w:tcPr>
          <w:p w14:paraId="24C12D3A" w14:textId="77777777" w:rsidR="00D4105E" w:rsidRPr="00E14102" w:rsidRDefault="00D4105E" w:rsidP="00E14102">
            <w:pPr>
              <w:autoSpaceDE w:val="0"/>
              <w:autoSpaceDN w:val="0"/>
              <w:adjustRightInd w:val="0"/>
              <w:jc w:val="both"/>
              <w:rPr>
                <w:color w:val="000000" w:themeColor="text1"/>
                <w:sz w:val="16"/>
                <w:szCs w:val="16"/>
              </w:rPr>
            </w:pPr>
          </w:p>
        </w:tc>
        <w:tc>
          <w:tcPr>
            <w:tcW w:w="1278" w:type="dxa"/>
          </w:tcPr>
          <w:p w14:paraId="21F0D27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9D04E38" w14:textId="77777777">
        <w:tc>
          <w:tcPr>
            <w:tcW w:w="2376" w:type="dxa"/>
          </w:tcPr>
          <w:p w14:paraId="0DFB23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То же (2-й вар.)</w:t>
            </w:r>
          </w:p>
        </w:tc>
        <w:tc>
          <w:tcPr>
            <w:tcW w:w="1843" w:type="dxa"/>
          </w:tcPr>
          <w:p w14:paraId="7685B7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СБ-2</w:t>
            </w:r>
          </w:p>
        </w:tc>
        <w:tc>
          <w:tcPr>
            <w:tcW w:w="1278" w:type="dxa"/>
          </w:tcPr>
          <w:p w14:paraId="02ED19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К-14</w:t>
            </w:r>
          </w:p>
        </w:tc>
        <w:tc>
          <w:tcPr>
            <w:tcW w:w="1278" w:type="dxa"/>
          </w:tcPr>
          <w:p w14:paraId="5D092A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278" w:type="dxa"/>
          </w:tcPr>
          <w:p w14:paraId="43B675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01.01.36</w:t>
            </w:r>
          </w:p>
        </w:tc>
      </w:tr>
      <w:tr w:rsidR="00E3599D" w:rsidRPr="00E14102" w14:paraId="0A710522" w14:textId="77777777">
        <w:tc>
          <w:tcPr>
            <w:tcW w:w="2376" w:type="dxa"/>
          </w:tcPr>
          <w:p w14:paraId="5755A3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То же (дублер)</w:t>
            </w:r>
          </w:p>
        </w:tc>
        <w:tc>
          <w:tcPr>
            <w:tcW w:w="1843" w:type="dxa"/>
          </w:tcPr>
          <w:p w14:paraId="0B7885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СБ-3</w:t>
            </w:r>
          </w:p>
        </w:tc>
        <w:tc>
          <w:tcPr>
            <w:tcW w:w="1278" w:type="dxa"/>
          </w:tcPr>
          <w:p w14:paraId="29B3A2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К-14</w:t>
            </w:r>
          </w:p>
        </w:tc>
        <w:tc>
          <w:tcPr>
            <w:tcW w:w="1278" w:type="dxa"/>
          </w:tcPr>
          <w:p w14:paraId="6B5C02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278" w:type="dxa"/>
          </w:tcPr>
          <w:p w14:paraId="43E02E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01.03.36</w:t>
            </w:r>
          </w:p>
        </w:tc>
      </w:tr>
      <w:tr w:rsidR="00E3599D" w:rsidRPr="00E14102" w14:paraId="515E9D4A" w14:textId="77777777">
        <w:tc>
          <w:tcPr>
            <w:tcW w:w="2376" w:type="dxa"/>
          </w:tcPr>
          <w:p w14:paraId="2CDEB0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Нов. сухоп. развед.</w:t>
            </w:r>
          </w:p>
        </w:tc>
        <w:tc>
          <w:tcPr>
            <w:tcW w:w="1843" w:type="dxa"/>
          </w:tcPr>
          <w:p w14:paraId="7632C0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w:t>
            </w:r>
          </w:p>
        </w:tc>
        <w:tc>
          <w:tcPr>
            <w:tcW w:w="1278" w:type="dxa"/>
          </w:tcPr>
          <w:p w14:paraId="1402A4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К-14</w:t>
            </w:r>
          </w:p>
        </w:tc>
        <w:tc>
          <w:tcPr>
            <w:tcW w:w="1278" w:type="dxa"/>
          </w:tcPr>
          <w:p w14:paraId="445F91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278" w:type="dxa"/>
          </w:tcPr>
          <w:p w14:paraId="216C43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01.09.35</w:t>
            </w:r>
          </w:p>
        </w:tc>
      </w:tr>
      <w:tr w:rsidR="00E3599D" w:rsidRPr="00E14102" w14:paraId="75FC89B3" w14:textId="77777777">
        <w:tc>
          <w:tcPr>
            <w:tcW w:w="2376" w:type="dxa"/>
          </w:tcPr>
          <w:p w14:paraId="35C502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То же (дублер)</w:t>
            </w:r>
          </w:p>
        </w:tc>
        <w:tc>
          <w:tcPr>
            <w:tcW w:w="1843" w:type="dxa"/>
          </w:tcPr>
          <w:p w14:paraId="61F1D1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w:t>
            </w:r>
          </w:p>
        </w:tc>
        <w:tc>
          <w:tcPr>
            <w:tcW w:w="1278" w:type="dxa"/>
          </w:tcPr>
          <w:p w14:paraId="14F5F1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К-14</w:t>
            </w:r>
          </w:p>
        </w:tc>
        <w:tc>
          <w:tcPr>
            <w:tcW w:w="1278" w:type="dxa"/>
          </w:tcPr>
          <w:p w14:paraId="3A490B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278" w:type="dxa"/>
          </w:tcPr>
          <w:p w14:paraId="1F3CAE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01.11.35</w:t>
            </w:r>
          </w:p>
        </w:tc>
      </w:tr>
      <w:tr w:rsidR="00E3599D" w:rsidRPr="00E14102" w14:paraId="7AE2F99E" w14:textId="77777777">
        <w:tc>
          <w:tcPr>
            <w:tcW w:w="2376" w:type="dxa"/>
          </w:tcPr>
          <w:p w14:paraId="743B8C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Истребитель</w:t>
            </w:r>
          </w:p>
        </w:tc>
        <w:tc>
          <w:tcPr>
            <w:tcW w:w="1843" w:type="dxa"/>
          </w:tcPr>
          <w:p w14:paraId="2B9415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И-19</w:t>
            </w:r>
          </w:p>
        </w:tc>
        <w:tc>
          <w:tcPr>
            <w:tcW w:w="1278" w:type="dxa"/>
          </w:tcPr>
          <w:p w14:paraId="6AF818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К-14</w:t>
            </w:r>
          </w:p>
        </w:tc>
        <w:tc>
          <w:tcPr>
            <w:tcW w:w="1278" w:type="dxa"/>
          </w:tcPr>
          <w:p w14:paraId="4ADA11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278" w:type="dxa"/>
          </w:tcPr>
          <w:p w14:paraId="2AD9A6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01.01.35</w:t>
            </w:r>
          </w:p>
        </w:tc>
      </w:tr>
      <w:tr w:rsidR="00E3599D" w:rsidRPr="00E14102" w14:paraId="6BC9AB3D" w14:textId="77777777">
        <w:tc>
          <w:tcPr>
            <w:tcW w:w="2376" w:type="dxa"/>
          </w:tcPr>
          <w:p w14:paraId="708F2F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Истребитель 2-й экз.</w:t>
            </w:r>
          </w:p>
        </w:tc>
        <w:tc>
          <w:tcPr>
            <w:tcW w:w="1843" w:type="dxa"/>
          </w:tcPr>
          <w:p w14:paraId="4017E9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И-19</w:t>
            </w:r>
          </w:p>
        </w:tc>
        <w:tc>
          <w:tcPr>
            <w:tcW w:w="1278" w:type="dxa"/>
          </w:tcPr>
          <w:p w14:paraId="706D9B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К-14</w:t>
            </w:r>
          </w:p>
        </w:tc>
        <w:tc>
          <w:tcPr>
            <w:tcW w:w="1278" w:type="dxa"/>
          </w:tcPr>
          <w:p w14:paraId="37E5C4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278" w:type="dxa"/>
          </w:tcPr>
          <w:p w14:paraId="04BD43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01.05.35</w:t>
            </w:r>
          </w:p>
        </w:tc>
      </w:tr>
      <w:tr w:rsidR="00E3599D" w:rsidRPr="00E14102" w14:paraId="59791E8B" w14:textId="77777777">
        <w:tc>
          <w:tcPr>
            <w:tcW w:w="2376" w:type="dxa"/>
          </w:tcPr>
          <w:p w14:paraId="32BB3D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Двухм. Истребитель</w:t>
            </w:r>
          </w:p>
        </w:tc>
        <w:tc>
          <w:tcPr>
            <w:tcW w:w="1843" w:type="dxa"/>
          </w:tcPr>
          <w:p w14:paraId="543F62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ДИ-6</w:t>
            </w:r>
          </w:p>
        </w:tc>
        <w:tc>
          <w:tcPr>
            <w:tcW w:w="1278" w:type="dxa"/>
          </w:tcPr>
          <w:p w14:paraId="1EA35D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РЦ</w:t>
            </w:r>
          </w:p>
        </w:tc>
        <w:tc>
          <w:tcPr>
            <w:tcW w:w="1278" w:type="dxa"/>
          </w:tcPr>
          <w:p w14:paraId="7C546F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278" w:type="dxa"/>
          </w:tcPr>
          <w:p w14:paraId="4E3EC7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01.05.35</w:t>
            </w:r>
          </w:p>
        </w:tc>
      </w:tr>
      <w:tr w:rsidR="00E3599D" w:rsidRPr="00E14102" w14:paraId="30507EA1" w14:textId="77777777">
        <w:tc>
          <w:tcPr>
            <w:tcW w:w="2376" w:type="dxa"/>
          </w:tcPr>
          <w:p w14:paraId="1695A3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Лет. Крыло</w:t>
            </w:r>
          </w:p>
        </w:tc>
        <w:tc>
          <w:tcPr>
            <w:tcW w:w="1843" w:type="dxa"/>
          </w:tcPr>
          <w:p w14:paraId="05AFFE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ЛК</w:t>
            </w:r>
          </w:p>
        </w:tc>
        <w:tc>
          <w:tcPr>
            <w:tcW w:w="1278" w:type="dxa"/>
          </w:tcPr>
          <w:p w14:paraId="4BC97A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М-11</w:t>
            </w:r>
          </w:p>
        </w:tc>
        <w:tc>
          <w:tcPr>
            <w:tcW w:w="1278" w:type="dxa"/>
          </w:tcPr>
          <w:p w14:paraId="0B61EA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278" w:type="dxa"/>
          </w:tcPr>
          <w:p w14:paraId="466BCA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01.09.36</w:t>
            </w:r>
          </w:p>
        </w:tc>
      </w:tr>
      <w:tr w:rsidR="00E3599D" w:rsidRPr="00E14102" w14:paraId="0F548130" w14:textId="77777777">
        <w:tc>
          <w:tcPr>
            <w:tcW w:w="2376" w:type="dxa"/>
          </w:tcPr>
          <w:p w14:paraId="1B16C4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Истребитель</w:t>
            </w:r>
          </w:p>
        </w:tc>
        <w:tc>
          <w:tcPr>
            <w:tcW w:w="1843" w:type="dxa"/>
          </w:tcPr>
          <w:p w14:paraId="536A01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w:t>
            </w:r>
          </w:p>
        </w:tc>
        <w:tc>
          <w:tcPr>
            <w:tcW w:w="1278" w:type="dxa"/>
          </w:tcPr>
          <w:p w14:paraId="24D5D7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РЦ</w:t>
            </w:r>
          </w:p>
        </w:tc>
        <w:tc>
          <w:tcPr>
            <w:tcW w:w="1278" w:type="dxa"/>
          </w:tcPr>
          <w:p w14:paraId="3AB7F7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278" w:type="dxa"/>
          </w:tcPr>
          <w:p w14:paraId="3E9258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01.05.35</w:t>
            </w:r>
          </w:p>
        </w:tc>
      </w:tr>
      <w:tr w:rsidR="00E3599D" w:rsidRPr="00E14102" w14:paraId="26D66C30" w14:textId="77777777">
        <w:tc>
          <w:tcPr>
            <w:tcW w:w="2376" w:type="dxa"/>
          </w:tcPr>
          <w:p w14:paraId="37ECD8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Истребитель</w:t>
            </w:r>
          </w:p>
        </w:tc>
        <w:tc>
          <w:tcPr>
            <w:tcW w:w="1843" w:type="dxa"/>
          </w:tcPr>
          <w:p w14:paraId="1427F9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w:t>
            </w:r>
          </w:p>
        </w:tc>
        <w:tc>
          <w:tcPr>
            <w:tcW w:w="1278" w:type="dxa"/>
          </w:tcPr>
          <w:p w14:paraId="5C9C95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РЦ</w:t>
            </w:r>
          </w:p>
        </w:tc>
        <w:tc>
          <w:tcPr>
            <w:tcW w:w="1278" w:type="dxa"/>
          </w:tcPr>
          <w:p w14:paraId="7E1A40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278" w:type="dxa"/>
          </w:tcPr>
          <w:p w14:paraId="503BF2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01.04.35</w:t>
            </w:r>
          </w:p>
        </w:tc>
      </w:tr>
      <w:tr w:rsidR="00E3599D" w:rsidRPr="00E14102" w14:paraId="65288D12" w14:textId="77777777">
        <w:tc>
          <w:tcPr>
            <w:tcW w:w="2376" w:type="dxa"/>
          </w:tcPr>
          <w:p w14:paraId="0B014568" w14:textId="77777777" w:rsidR="00D4105E" w:rsidRPr="00E14102" w:rsidRDefault="00D4105E" w:rsidP="00E14102">
            <w:pPr>
              <w:autoSpaceDE w:val="0"/>
              <w:autoSpaceDN w:val="0"/>
              <w:adjustRightInd w:val="0"/>
              <w:jc w:val="both"/>
              <w:rPr>
                <w:color w:val="000000" w:themeColor="text1"/>
                <w:sz w:val="16"/>
                <w:szCs w:val="16"/>
              </w:rPr>
            </w:pPr>
          </w:p>
        </w:tc>
        <w:tc>
          <w:tcPr>
            <w:tcW w:w="1843" w:type="dxa"/>
          </w:tcPr>
          <w:p w14:paraId="4AD063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новым центропл.</w:t>
            </w:r>
          </w:p>
        </w:tc>
        <w:tc>
          <w:tcPr>
            <w:tcW w:w="1278" w:type="dxa"/>
          </w:tcPr>
          <w:p w14:paraId="378D975B" w14:textId="77777777" w:rsidR="00D4105E" w:rsidRPr="00E14102" w:rsidRDefault="00D4105E" w:rsidP="00E14102">
            <w:pPr>
              <w:autoSpaceDE w:val="0"/>
              <w:autoSpaceDN w:val="0"/>
              <w:adjustRightInd w:val="0"/>
              <w:jc w:val="both"/>
              <w:rPr>
                <w:color w:val="000000" w:themeColor="text1"/>
                <w:sz w:val="16"/>
                <w:szCs w:val="16"/>
              </w:rPr>
            </w:pPr>
          </w:p>
        </w:tc>
        <w:tc>
          <w:tcPr>
            <w:tcW w:w="1278" w:type="dxa"/>
          </w:tcPr>
          <w:p w14:paraId="4DF442EB" w14:textId="77777777" w:rsidR="00D4105E" w:rsidRPr="00E14102" w:rsidRDefault="00D4105E" w:rsidP="00E14102">
            <w:pPr>
              <w:autoSpaceDE w:val="0"/>
              <w:autoSpaceDN w:val="0"/>
              <w:adjustRightInd w:val="0"/>
              <w:jc w:val="both"/>
              <w:rPr>
                <w:color w:val="000000" w:themeColor="text1"/>
                <w:sz w:val="16"/>
                <w:szCs w:val="16"/>
              </w:rPr>
            </w:pPr>
          </w:p>
        </w:tc>
        <w:tc>
          <w:tcPr>
            <w:tcW w:w="1278" w:type="dxa"/>
          </w:tcPr>
          <w:p w14:paraId="2EB8087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23DA48D" w14:textId="77777777">
        <w:tc>
          <w:tcPr>
            <w:tcW w:w="2376" w:type="dxa"/>
          </w:tcPr>
          <w:p w14:paraId="5FB8EA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То же</w:t>
            </w:r>
          </w:p>
        </w:tc>
        <w:tc>
          <w:tcPr>
            <w:tcW w:w="1843" w:type="dxa"/>
          </w:tcPr>
          <w:p w14:paraId="54020C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w:t>
            </w:r>
          </w:p>
        </w:tc>
        <w:tc>
          <w:tcPr>
            <w:tcW w:w="1278" w:type="dxa"/>
          </w:tcPr>
          <w:p w14:paraId="6D990F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РЦ</w:t>
            </w:r>
          </w:p>
        </w:tc>
        <w:tc>
          <w:tcPr>
            <w:tcW w:w="1278" w:type="dxa"/>
          </w:tcPr>
          <w:p w14:paraId="23E652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278" w:type="dxa"/>
          </w:tcPr>
          <w:p w14:paraId="55F63A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01.06.35</w:t>
            </w:r>
          </w:p>
        </w:tc>
      </w:tr>
      <w:tr w:rsidR="00E3599D" w:rsidRPr="00E14102" w14:paraId="0EBD1C6A" w14:textId="77777777">
        <w:tc>
          <w:tcPr>
            <w:tcW w:w="2376" w:type="dxa"/>
          </w:tcPr>
          <w:p w14:paraId="71DE94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Эксп. Работы</w:t>
            </w:r>
          </w:p>
        </w:tc>
        <w:tc>
          <w:tcPr>
            <w:tcW w:w="1843" w:type="dxa"/>
          </w:tcPr>
          <w:p w14:paraId="02FDA0A9" w14:textId="77777777" w:rsidR="00D4105E" w:rsidRPr="00E14102" w:rsidRDefault="00D4105E" w:rsidP="00E14102">
            <w:pPr>
              <w:autoSpaceDE w:val="0"/>
              <w:autoSpaceDN w:val="0"/>
              <w:adjustRightInd w:val="0"/>
              <w:jc w:val="both"/>
              <w:rPr>
                <w:color w:val="000000" w:themeColor="text1"/>
                <w:sz w:val="16"/>
                <w:szCs w:val="16"/>
              </w:rPr>
            </w:pPr>
          </w:p>
        </w:tc>
        <w:tc>
          <w:tcPr>
            <w:tcW w:w="1278" w:type="dxa"/>
          </w:tcPr>
          <w:p w14:paraId="57092047" w14:textId="77777777" w:rsidR="00D4105E" w:rsidRPr="00E14102" w:rsidRDefault="00D4105E" w:rsidP="00E14102">
            <w:pPr>
              <w:autoSpaceDE w:val="0"/>
              <w:autoSpaceDN w:val="0"/>
              <w:adjustRightInd w:val="0"/>
              <w:jc w:val="both"/>
              <w:rPr>
                <w:color w:val="000000" w:themeColor="text1"/>
                <w:sz w:val="16"/>
                <w:szCs w:val="16"/>
              </w:rPr>
            </w:pPr>
          </w:p>
        </w:tc>
        <w:tc>
          <w:tcPr>
            <w:tcW w:w="1278" w:type="dxa"/>
          </w:tcPr>
          <w:p w14:paraId="14281612" w14:textId="77777777" w:rsidR="00D4105E" w:rsidRPr="00E14102" w:rsidRDefault="00D4105E" w:rsidP="00E14102">
            <w:pPr>
              <w:autoSpaceDE w:val="0"/>
              <w:autoSpaceDN w:val="0"/>
              <w:adjustRightInd w:val="0"/>
              <w:jc w:val="both"/>
              <w:rPr>
                <w:color w:val="000000" w:themeColor="text1"/>
                <w:sz w:val="16"/>
                <w:szCs w:val="16"/>
              </w:rPr>
            </w:pPr>
          </w:p>
        </w:tc>
        <w:tc>
          <w:tcPr>
            <w:tcW w:w="1278" w:type="dxa"/>
          </w:tcPr>
          <w:p w14:paraId="60E3659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6BDCD45" w14:textId="77777777">
        <w:tc>
          <w:tcPr>
            <w:tcW w:w="2376" w:type="dxa"/>
          </w:tcPr>
          <w:p w14:paraId="07F7B7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истребитель</w:t>
            </w:r>
          </w:p>
        </w:tc>
        <w:tc>
          <w:tcPr>
            <w:tcW w:w="1843" w:type="dxa"/>
          </w:tcPr>
          <w:p w14:paraId="454FE3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w:t>
            </w:r>
          </w:p>
        </w:tc>
        <w:tc>
          <w:tcPr>
            <w:tcW w:w="1278" w:type="dxa"/>
          </w:tcPr>
          <w:p w14:paraId="24E83C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К-9</w:t>
            </w:r>
          </w:p>
        </w:tc>
        <w:tc>
          <w:tcPr>
            <w:tcW w:w="1278" w:type="dxa"/>
          </w:tcPr>
          <w:p w14:paraId="7C6DF9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278" w:type="dxa"/>
          </w:tcPr>
          <w:p w14:paraId="2212CF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01.07.35</w:t>
            </w:r>
          </w:p>
        </w:tc>
      </w:tr>
      <w:tr w:rsidR="00E3599D" w:rsidRPr="00E14102" w14:paraId="1F6588FB" w14:textId="77777777">
        <w:tc>
          <w:tcPr>
            <w:tcW w:w="2376" w:type="dxa"/>
            <w:tcBorders>
              <w:bottom w:val="single" w:sz="12" w:space="0" w:color="auto"/>
            </w:tcBorders>
          </w:tcPr>
          <w:p w14:paraId="7A78A4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Легк. скор. разв.</w:t>
            </w:r>
          </w:p>
        </w:tc>
        <w:tc>
          <w:tcPr>
            <w:tcW w:w="1843" w:type="dxa"/>
            <w:tcBorders>
              <w:bottom w:val="single" w:sz="12" w:space="0" w:color="auto"/>
            </w:tcBorders>
          </w:tcPr>
          <w:p w14:paraId="014924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ЛР</w:t>
            </w:r>
          </w:p>
        </w:tc>
        <w:tc>
          <w:tcPr>
            <w:tcW w:w="1278" w:type="dxa"/>
            <w:tcBorders>
              <w:bottom w:val="single" w:sz="12" w:space="0" w:color="auto"/>
            </w:tcBorders>
          </w:tcPr>
          <w:p w14:paraId="6E060A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М-34Н</w:t>
            </w:r>
          </w:p>
        </w:tc>
        <w:tc>
          <w:tcPr>
            <w:tcW w:w="1278" w:type="dxa"/>
            <w:tcBorders>
              <w:bottom w:val="single" w:sz="12" w:space="0" w:color="auto"/>
            </w:tcBorders>
          </w:tcPr>
          <w:p w14:paraId="78BDCE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278" w:type="dxa"/>
            <w:tcBorders>
              <w:bottom w:val="single" w:sz="12" w:space="0" w:color="auto"/>
            </w:tcBorders>
          </w:tcPr>
          <w:p w14:paraId="249C68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01.03.35 (2336,52)</w:t>
            </w:r>
          </w:p>
        </w:tc>
      </w:tr>
    </w:tbl>
    <w:p w14:paraId="1544BF08" w14:textId="77777777" w:rsidR="00D4105E" w:rsidRPr="00E14102" w:rsidRDefault="00D4105E" w:rsidP="00E14102">
      <w:pPr>
        <w:autoSpaceDE w:val="0"/>
        <w:autoSpaceDN w:val="0"/>
        <w:adjustRightInd w:val="0"/>
        <w:jc w:val="both"/>
        <w:rPr>
          <w:color w:val="000000" w:themeColor="text1"/>
          <w:sz w:val="16"/>
          <w:szCs w:val="16"/>
        </w:rPr>
      </w:pPr>
    </w:p>
    <w:p w14:paraId="096152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марта 1935 в Москве открылось совещание по РД для стратосферных ЛА (438,680).</w:t>
      </w:r>
    </w:p>
    <w:p w14:paraId="75967745" w14:textId="77777777" w:rsidR="00D4105E" w:rsidRPr="00E14102" w:rsidRDefault="00D4105E" w:rsidP="00E14102">
      <w:pPr>
        <w:autoSpaceDE w:val="0"/>
        <w:autoSpaceDN w:val="0"/>
        <w:adjustRightInd w:val="0"/>
        <w:jc w:val="both"/>
        <w:rPr>
          <w:color w:val="000000" w:themeColor="text1"/>
          <w:sz w:val="16"/>
          <w:szCs w:val="16"/>
        </w:rPr>
      </w:pPr>
    </w:p>
    <w:p w14:paraId="286A80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марта 1935 состоялось совещание о рекордных перелетах 1935 года, на котором продолжали обсуждаться дальние "южные маршруты". Указывался первый опытный экземпляр АНТ-25 - РД №1. Вообще, не известно, как сложился бы летный сезон 1935-го, если бы не внезапное обострение язвы у Михаила Громова в самом конце апреля. Вопрос о его болезни обсуждался на самом верху. По указанию Сталина лечением пилота занимались лучшие специалисты, однако, по причине нездоровья Громов на несколько месяцев выбыл из игры. Тем временем параллельно развивались новые события. Еще в начале года о своих притязаниях на использование АНТ-25 неожиданно заявил Сигизмунд Леваневский. Этот уже известный пилот полярной авиации за участие в спасении экипажа парохода "Челюскин" в 1934 г был удостоен звания Героя Советского Союза. Леваневскому не удалось вывезти с места гибели парохода ни одного человека, однако Иосиф Сталин лично внес его кандидатуру в список первых героев. Данное обстоятельство, по личному мнению Леваневского, поставило его в положение должника, поэтому он обратился в правительство с предложением выполнить на АНТ-25 в 1935 году беспосадочный перелет Москва - Сан-Франциско через Северный полюс. Предложение поддержали, 26 января 1935 г. принимается постановление Политбюро ЦК ВКП (б) о подготовке такого перелета в США. В состав экипажа Леваневского вошли второй пилот Г.Ф. Байдуков и штурман В.И. Левченко (11941).</w:t>
      </w:r>
    </w:p>
    <w:p w14:paraId="18C2921D" w14:textId="77777777" w:rsidR="00D4105E" w:rsidRPr="00E14102" w:rsidRDefault="00D4105E" w:rsidP="00E14102">
      <w:pPr>
        <w:autoSpaceDE w:val="0"/>
        <w:autoSpaceDN w:val="0"/>
        <w:adjustRightInd w:val="0"/>
        <w:jc w:val="both"/>
        <w:rPr>
          <w:color w:val="000000" w:themeColor="text1"/>
          <w:sz w:val="16"/>
          <w:szCs w:val="16"/>
        </w:rPr>
      </w:pPr>
    </w:p>
    <w:p w14:paraId="7B6C1C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марта 1935 состоялась 1 Всесоюзная конференция по применению реактивных ЛА в освоении стратосферы. Открыл Я.И.Алкснис и выступили С.П.К., М.К.Тихонравов, В.П.Глушко, В.П.Ветчинкин, Ю.А.Победоносцев (237,172).</w:t>
      </w:r>
    </w:p>
    <w:p w14:paraId="7D8997C4" w14:textId="77777777" w:rsidR="00D4105E" w:rsidRPr="00E14102" w:rsidRDefault="00D4105E" w:rsidP="00E14102">
      <w:pPr>
        <w:autoSpaceDE w:val="0"/>
        <w:autoSpaceDN w:val="0"/>
        <w:adjustRightInd w:val="0"/>
        <w:jc w:val="both"/>
        <w:rPr>
          <w:color w:val="000000" w:themeColor="text1"/>
          <w:sz w:val="16"/>
          <w:szCs w:val="16"/>
        </w:rPr>
      </w:pPr>
    </w:p>
    <w:p w14:paraId="229035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марта 1935 г. на I Всесоюзной конференции по применению реактивных летательных аппаратов к освоению стратосферы (журн. "Техника воздушного флота", июль 1935 г.) (10676).</w:t>
      </w:r>
    </w:p>
    <w:p w14:paraId="114E82D8" w14:textId="77777777" w:rsidR="00D4105E" w:rsidRPr="00E14102" w:rsidRDefault="00D4105E" w:rsidP="00E14102">
      <w:pPr>
        <w:autoSpaceDE w:val="0"/>
        <w:autoSpaceDN w:val="0"/>
        <w:adjustRightInd w:val="0"/>
        <w:jc w:val="both"/>
        <w:rPr>
          <w:color w:val="000000" w:themeColor="text1"/>
          <w:sz w:val="16"/>
          <w:szCs w:val="16"/>
        </w:rPr>
      </w:pPr>
    </w:p>
    <w:p w14:paraId="0BFE4847" w14:textId="77777777" w:rsidR="00135BFC" w:rsidRPr="00E14102" w:rsidRDefault="00135BFC" w:rsidP="00E14102">
      <w:pPr>
        <w:jc w:val="both"/>
        <w:rPr>
          <w:color w:val="000000" w:themeColor="text1"/>
          <w:sz w:val="16"/>
          <w:szCs w:val="16"/>
        </w:rPr>
      </w:pPr>
      <w:r w:rsidRPr="00E14102">
        <w:rPr>
          <w:bCs/>
          <w:color w:val="000000" w:themeColor="text1"/>
          <w:sz w:val="16"/>
          <w:szCs w:val="16"/>
        </w:rPr>
        <w:t>2 марта</w:t>
      </w:r>
      <w:r w:rsidRPr="00E14102">
        <w:rPr>
          <w:color w:val="000000" w:themeColor="text1"/>
          <w:sz w:val="16"/>
          <w:szCs w:val="16"/>
        </w:rPr>
        <w:t xml:space="preserve"> в 1935 году в Москве в Центральном Доме Советской Армии открылась Всесоюзная конференция по применению реактивных летательных аппаратов для освоения стратосферы. На конференции делал доклад С.П.Королев (15056).</w:t>
      </w:r>
    </w:p>
    <w:p w14:paraId="35277AED" w14:textId="77777777" w:rsidR="00135BFC" w:rsidRPr="00E14102" w:rsidRDefault="00135BFC" w:rsidP="00E14102">
      <w:pPr>
        <w:jc w:val="both"/>
        <w:rPr>
          <w:color w:val="000000" w:themeColor="text1"/>
          <w:sz w:val="16"/>
          <w:szCs w:val="16"/>
        </w:rPr>
      </w:pPr>
    </w:p>
    <w:p w14:paraId="46A3933D" w14:textId="77777777" w:rsidR="005C3D9D" w:rsidRPr="00E14102" w:rsidRDefault="005C3D9D" w:rsidP="00E14102">
      <w:pPr>
        <w:jc w:val="both"/>
        <w:rPr>
          <w:color w:val="000000" w:themeColor="text1"/>
          <w:sz w:val="16"/>
          <w:szCs w:val="16"/>
        </w:rPr>
      </w:pPr>
      <w:r w:rsidRPr="00E14102">
        <w:rPr>
          <w:color w:val="000000" w:themeColor="text1"/>
          <w:sz w:val="16"/>
          <w:szCs w:val="16"/>
        </w:rPr>
        <w:t>2–3 марта 1935 г. в докладе на Первой Всесоюзной конференции по применению ракетных аппаратов для исследования стратосферы, проходившей в Москве, Сергей Павлович обрисовал основные черты ракетного самолета: обычная аэродинамическая схема с прочным крылом сравнительно небольшого удлинения и длинным фюзеляжем, занятым в основном двигателем и баками с горючим и окислителем, гермокабина или скафандры для экипажа. Начинать он предложил с чисто экспериментальной машины:</w:t>
      </w:r>
    </w:p>
    <w:p w14:paraId="0C546D65" w14:textId="77777777" w:rsidR="005C3D9D" w:rsidRPr="00E14102" w:rsidRDefault="005C3D9D" w:rsidP="00E14102">
      <w:pPr>
        <w:jc w:val="both"/>
        <w:rPr>
          <w:color w:val="000000" w:themeColor="text1"/>
          <w:sz w:val="16"/>
          <w:szCs w:val="16"/>
        </w:rPr>
      </w:pPr>
      <w:r w:rsidRPr="00E14102">
        <w:rPr>
          <w:color w:val="000000" w:themeColor="text1"/>
          <w:sz w:val="16"/>
          <w:szCs w:val="16"/>
        </w:rPr>
        <w:t>«Если не задаваться установлением каких-либо особых рекордов, то, несомненно, в настоящее время уже представляет смысл постройка аппарата-лаборатории, при посредстве которой можно было бы систематически производить изучение работы различных ракетных агрегатов в воздухе.</w:t>
      </w:r>
    </w:p>
    <w:p w14:paraId="1DF57431" w14:textId="77777777" w:rsidR="005C3D9D" w:rsidRPr="00E14102" w:rsidRDefault="005C3D9D" w:rsidP="00E14102">
      <w:pPr>
        <w:jc w:val="both"/>
        <w:rPr>
          <w:color w:val="000000" w:themeColor="text1"/>
          <w:sz w:val="16"/>
          <w:szCs w:val="16"/>
        </w:rPr>
      </w:pPr>
      <w:r w:rsidRPr="00E14102">
        <w:rPr>
          <w:color w:val="000000" w:themeColor="text1"/>
          <w:sz w:val="16"/>
          <w:szCs w:val="16"/>
        </w:rPr>
        <w:t>На нём можно было бы поставить первые опыты с воздушным ракетным двигателем и целую серию иных опытов, забуксировывая предварительно аппарат на нужную высоту. Потолок такого аппарата может достигнуть 9-10 км.</w:t>
      </w:r>
    </w:p>
    <w:p w14:paraId="6C772DA0" w14:textId="77777777" w:rsidR="005C3D9D" w:rsidRPr="00E14102" w:rsidRDefault="005C3D9D" w:rsidP="00E14102">
      <w:pPr>
        <w:jc w:val="both"/>
        <w:rPr>
          <w:color w:val="000000" w:themeColor="text1"/>
          <w:sz w:val="16"/>
          <w:szCs w:val="16"/>
        </w:rPr>
      </w:pPr>
      <w:r w:rsidRPr="00E14102">
        <w:rPr>
          <w:color w:val="000000" w:themeColor="text1"/>
          <w:sz w:val="16"/>
          <w:szCs w:val="16"/>
        </w:rPr>
        <w:t xml:space="preserve">Осуществление первого ракетоплана-лаборатории для постановки ряда научных исследований в настоящее время хотя и трудная, но возможная и необходимая задача, стоящая перед советскими ракетчиками уже в текущем году» </w:t>
      </w:r>
      <w:hyperlink r:id="rId54" w:history="1">
        <w:r w:rsidRPr="00E14102">
          <w:rPr>
            <w:color w:val="000000" w:themeColor="text1"/>
            <w:sz w:val="16"/>
            <w:szCs w:val="16"/>
          </w:rPr>
          <w:t>[266]</w:t>
        </w:r>
      </w:hyperlink>
      <w:r w:rsidRPr="00E14102">
        <w:rPr>
          <w:color w:val="000000" w:themeColor="text1"/>
          <w:sz w:val="16"/>
          <w:szCs w:val="16"/>
        </w:rPr>
        <w:t xml:space="preserve"> (17489).</w:t>
      </w:r>
    </w:p>
    <w:p w14:paraId="331E4B50" w14:textId="77777777" w:rsidR="005C3D9D" w:rsidRPr="00E14102" w:rsidRDefault="005C3D9D" w:rsidP="00E14102">
      <w:pPr>
        <w:jc w:val="both"/>
        <w:rPr>
          <w:color w:val="000000" w:themeColor="text1"/>
          <w:sz w:val="16"/>
          <w:szCs w:val="16"/>
        </w:rPr>
      </w:pPr>
    </w:p>
    <w:p w14:paraId="2C3BFD0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466BB87" w14:textId="77777777" w:rsidR="00D4105E" w:rsidRPr="00E14102" w:rsidRDefault="00D4105E" w:rsidP="00E14102">
      <w:pPr>
        <w:autoSpaceDE w:val="0"/>
        <w:autoSpaceDN w:val="0"/>
        <w:adjustRightInd w:val="0"/>
        <w:jc w:val="both"/>
        <w:rPr>
          <w:iCs/>
          <w:color w:val="000000" w:themeColor="text1"/>
          <w:sz w:val="16"/>
          <w:szCs w:val="16"/>
        </w:rPr>
      </w:pPr>
    </w:p>
    <w:p w14:paraId="4434F6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марта 1935 года согласно приказу Гл. мобилизационного управления НКТП № 15 КБ СВ ТОЗ было присвоено наименование ЦКБ-14. В 1960 году на основании приказа ГК по оборонной технике № 171сс от 23 апреля 1960 года тематика по разработке образцов стрелкового и авиационно-пушечного вооружения была из ЦКБ-14 изъята и оставлена только тематика по реактивной технике (10290).</w:t>
      </w:r>
    </w:p>
    <w:p w14:paraId="3EE31DCB" w14:textId="77777777" w:rsidR="00D4105E" w:rsidRPr="00E14102" w:rsidRDefault="00D4105E" w:rsidP="00E14102">
      <w:pPr>
        <w:autoSpaceDE w:val="0"/>
        <w:autoSpaceDN w:val="0"/>
        <w:adjustRightInd w:val="0"/>
        <w:jc w:val="both"/>
        <w:rPr>
          <w:color w:val="000000" w:themeColor="text1"/>
          <w:sz w:val="16"/>
          <w:szCs w:val="16"/>
        </w:rPr>
      </w:pPr>
    </w:p>
    <w:p w14:paraId="29FAD2C8" w14:textId="77777777" w:rsidR="00135BFC" w:rsidRPr="00E14102" w:rsidRDefault="00135BFC" w:rsidP="00E14102">
      <w:pPr>
        <w:pStyle w:val="rtejustify"/>
        <w:spacing w:before="0" w:after="0"/>
        <w:rPr>
          <w:color w:val="000000" w:themeColor="text1"/>
          <w:sz w:val="16"/>
          <w:szCs w:val="16"/>
        </w:rPr>
      </w:pPr>
      <w:r w:rsidRPr="00E14102">
        <w:rPr>
          <w:rStyle w:val="a6"/>
          <w:bCs/>
          <w:i w:val="0"/>
          <w:color w:val="000000" w:themeColor="text1"/>
          <w:sz w:val="16"/>
          <w:szCs w:val="16"/>
        </w:rPr>
        <w:t>2 марта</w:t>
      </w:r>
      <w:r w:rsidRPr="00E14102">
        <w:rPr>
          <w:color w:val="000000" w:themeColor="text1"/>
          <w:sz w:val="16"/>
          <w:szCs w:val="16"/>
        </w:rPr>
        <w:t xml:space="preserve"> 1935. Постановление СТО СССР № С</w:t>
      </w:r>
      <w:r w:rsidRPr="00E14102">
        <w:rPr>
          <w:color w:val="000000" w:themeColor="text1"/>
          <w:sz w:val="16"/>
          <w:szCs w:val="16"/>
        </w:rPr>
        <w:noBreakHyphen/>
        <w:t>17с «Об изменении сроков постройки НКВодом 30 деревянных барж для НКО». (ГА РФ. Ф. Р</w:t>
      </w:r>
      <w:r w:rsidRPr="00E14102">
        <w:rPr>
          <w:color w:val="000000" w:themeColor="text1"/>
          <w:sz w:val="16"/>
          <w:szCs w:val="16"/>
        </w:rPr>
        <w:noBreakHyphen/>
        <w:t>8418. Оп. 28. Д. 6. Л. 37) (15460).</w:t>
      </w:r>
    </w:p>
    <w:p w14:paraId="16751AED" w14:textId="77777777" w:rsidR="00135BFC" w:rsidRPr="00E14102" w:rsidRDefault="00135BFC" w:rsidP="00E14102">
      <w:pPr>
        <w:pStyle w:val="rtejustify"/>
        <w:spacing w:before="0" w:after="0"/>
        <w:rPr>
          <w:color w:val="000000" w:themeColor="text1"/>
          <w:sz w:val="16"/>
          <w:szCs w:val="16"/>
        </w:rPr>
      </w:pPr>
    </w:p>
    <w:p w14:paraId="2596A88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FCBFFE3" w14:textId="77777777" w:rsidR="00D4105E" w:rsidRPr="00E14102" w:rsidRDefault="00D4105E" w:rsidP="00E14102">
      <w:pPr>
        <w:autoSpaceDE w:val="0"/>
        <w:autoSpaceDN w:val="0"/>
        <w:adjustRightInd w:val="0"/>
        <w:jc w:val="both"/>
        <w:rPr>
          <w:iCs/>
          <w:color w:val="000000" w:themeColor="text1"/>
          <w:sz w:val="16"/>
          <w:szCs w:val="16"/>
        </w:rPr>
      </w:pPr>
    </w:p>
    <w:p w14:paraId="70246D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марта 1935 Зам. наркома обороны и председатель Комиссии по испытан. самолета СБ Тухачевский утвердил Акт гос. испытаний самолета скоростного бомбардировщика (СБ) с 2 моторами Испано-Сюиза 12У брс конструкции ЦАГИ.</w:t>
      </w:r>
    </w:p>
    <w:p w14:paraId="409600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Считать самолет "скоростной бомбардировщик (СБ)" прошедшим гос. испытания и подлежащим внедрению в серийное производство и принятию на вооружение с устранением недочетов, выявленных на испытаниях. (3104,83-84).</w:t>
      </w:r>
    </w:p>
    <w:p w14:paraId="55A31DB1" w14:textId="77777777" w:rsidR="00D4105E" w:rsidRPr="00E14102" w:rsidRDefault="00D4105E" w:rsidP="00E14102">
      <w:pPr>
        <w:autoSpaceDE w:val="0"/>
        <w:autoSpaceDN w:val="0"/>
        <w:adjustRightInd w:val="0"/>
        <w:jc w:val="both"/>
        <w:rPr>
          <w:color w:val="000000" w:themeColor="text1"/>
          <w:sz w:val="16"/>
          <w:szCs w:val="16"/>
        </w:rPr>
      </w:pPr>
    </w:p>
    <w:p w14:paraId="6DB6FD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марта 1935 закончились гос. испытания СБ 2ИС АНТ-40, которые проходили с 8 февраля 1935. Испытания были прерваны из-за элеронного флаттера. Потом после работ М.В.Келдыша испытания продолжились летом и закончились в апреле 1936 (2233,46).</w:t>
      </w:r>
    </w:p>
    <w:p w14:paraId="201A59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марта 1935 началась передача чертежей СБ 2ИС АНТ-40 на 22 завод, а по другим данным еще 5 декабря 1934. Решение о серии СБ было принято еще в марте 1934 (2233,46).</w:t>
      </w:r>
    </w:p>
    <w:p w14:paraId="2DDD9F06" w14:textId="77777777" w:rsidR="00D4105E" w:rsidRPr="00E14102" w:rsidRDefault="00D4105E" w:rsidP="00E14102">
      <w:pPr>
        <w:autoSpaceDE w:val="0"/>
        <w:autoSpaceDN w:val="0"/>
        <w:adjustRightInd w:val="0"/>
        <w:jc w:val="both"/>
        <w:rPr>
          <w:color w:val="000000" w:themeColor="text1"/>
          <w:sz w:val="16"/>
          <w:szCs w:val="16"/>
        </w:rPr>
      </w:pPr>
    </w:p>
    <w:p w14:paraId="2A2A6F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3 марта 1935 года закончен первый период госиспытаний СБ-2 Испано, который 30 декабря 1934 совершил первый полет (3475,103). После переделок и исследований, для устранения дефектов (устойчивость, элероны, охлаждение моторов, исследования обтекателей, монококов, триммера) самолет сдан на повторные госиспытания 19 июня 1935 года. В первых числах августа самолет поступил в ЦАГИ для новых испытаний. Согласно постановления Правительства от 4 августа (новое оперение, переделка крыльев, капотов, мотооборудование и пр.), после внесенных исправлений, выведен на аэродром – 11 сентября 1935 года (3475,103).</w:t>
      </w:r>
    </w:p>
    <w:p w14:paraId="38FD2A80" w14:textId="77777777" w:rsidR="00D4105E" w:rsidRPr="00E14102" w:rsidRDefault="00D4105E" w:rsidP="00E14102">
      <w:pPr>
        <w:autoSpaceDE w:val="0"/>
        <w:autoSpaceDN w:val="0"/>
        <w:adjustRightInd w:val="0"/>
        <w:jc w:val="both"/>
        <w:rPr>
          <w:color w:val="000000" w:themeColor="text1"/>
          <w:sz w:val="16"/>
          <w:szCs w:val="16"/>
        </w:rPr>
      </w:pPr>
    </w:p>
    <w:p w14:paraId="635453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марта 1935 г. СБ 2ИС неожиданно потерпел аварию. Проводился замер скорости полета на малых высотах. Вдруг при достижении скорости полета 370 км/ч появилась сильная вибрация крыльев, по показаниям летчика ручка управления самолетом вырывалась из рук. Миндер изо всех сил тянул ее на себя и для погашения скорости сделал "горку", затем пошел на посадку. После посадки обнаружили вздутие обшивки крыла, которое произошло вследствие изгибно-крутильно-го элеронного флаттера вследствие неполной весовой компенсации элеронов.</w:t>
      </w:r>
    </w:p>
    <w:p w14:paraId="35164D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Теоретически известное к тому времени явление флаттера до сих пор пока реально не встречалось в отечественной практике. Разработкой способов борьбы с ним занялась группа специалистов ЦАГИ, в состав которой входил ставший впоследствии академиком М.В. Келдыш. Ими было рекомендовано увеличить весовую компенсацию элеронов до 90-93%. Самолет месяц пробыл в ремонте.</w:t>
      </w:r>
    </w:p>
    <w:p w14:paraId="33A306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Прежде чем вновь предъявить самолет на госиспытания, в ЦАГИ решили сначала проверить, насколько эффективны переделанные элероны и не возникнет ли вновь вибрация. Пробный полет был поручен летчику Журову. Осуществлялся он под непосредственным наблюдением Архангельского.</w:t>
      </w:r>
    </w:p>
    <w:p w14:paraId="104630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полете была достигнута скорость 400 км/ч - вибрации не наблюдалось. Выслушав доклад летчика Архангельскому, присутствующий на аэродроме А. Н. Туполев поторопился сообщить Орджоникидзе и Алкснису о том, что "флаттер на СБ побежден..."</w:t>
      </w:r>
    </w:p>
    <w:p w14:paraId="6FB57B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ходе ремонта внесли изменения в хвостовое оперение - увеличили площадь стабилизатора, заменили пластинку - флеттнер на управляемый в полете триммер и уменьшили на 1 ° угол установки стабилизатора. Все эти доработки должны были улучшить устойчивость полета самолета. Но оказалось, что устойчивость улучшилась несущественно. Кроме того, обнаружилась новая "болячка" - перегрев моторов в летних условиях. При температуре окружающего воздуха +20 °С моторы перегревались на рулении настолько, что нормально взлетать стало просто невозможно. Предпринятые меры результата не дали (9501).</w:t>
      </w:r>
    </w:p>
    <w:p w14:paraId="2040D10B" w14:textId="77777777" w:rsidR="00D4105E" w:rsidRPr="00E14102" w:rsidRDefault="00D4105E" w:rsidP="00E14102">
      <w:pPr>
        <w:autoSpaceDE w:val="0"/>
        <w:autoSpaceDN w:val="0"/>
        <w:adjustRightInd w:val="0"/>
        <w:jc w:val="both"/>
        <w:rPr>
          <w:color w:val="000000" w:themeColor="text1"/>
          <w:sz w:val="16"/>
          <w:szCs w:val="16"/>
        </w:rPr>
      </w:pPr>
    </w:p>
    <w:p w14:paraId="71A04D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марта 1935 года при производстве испытаний самолета СБ 2М-100 благодаря исключительному самообладанию и находчивости экипажа: летчика Миндера, летнаба Бряндинского и инженера Нольде удалось избежать катастрофы (3104,125).</w:t>
      </w:r>
    </w:p>
    <w:p w14:paraId="2DD614F5" w14:textId="77777777" w:rsidR="00D4105E" w:rsidRPr="00E14102" w:rsidRDefault="00D4105E" w:rsidP="00E14102">
      <w:pPr>
        <w:autoSpaceDE w:val="0"/>
        <w:autoSpaceDN w:val="0"/>
        <w:adjustRightInd w:val="0"/>
        <w:jc w:val="both"/>
        <w:rPr>
          <w:color w:val="000000" w:themeColor="text1"/>
          <w:sz w:val="16"/>
          <w:szCs w:val="16"/>
        </w:rPr>
      </w:pPr>
    </w:p>
    <w:p w14:paraId="08EEC0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марта 1935 г. СБ-2ИС потерпел аварию. Проводился замер скорости на малых высотах. Вдруг появилась сильная вибрация крыльев. Миндер тут же выключил моторы и сделал “горку”. После посадки обнаружили вздутие обшивки крыла. Впоследствии причину нашли - на самолете возник еще ранее не встречавшийся изгибно-крутильный флаттер. Его удалось победить, увеличив весовую компенсацию элеронов. Самолет же месяц пробыл в ремонте. Прежде, чем вновь предъявить его на государственные испытания, в ЦАГИ решили сначала проверить, насколько эффективны переделанные элероны и возникнет ли вновь вибрация. Кроме того, в ходе ремонта внесли изменения в хвостовое оперение - увеличили площадь стабилизатора, заменили отгибаемую на земле пластинку-флеттнер на управляемый в полете триммер (попутно увеличив его размеры на 40%) и повернули стабилизатор на 1 градус. Все это должно было улучшить устойчивость. В результате серии полетов выяснили, что элероны стали работать эффективнее, вибрация пропала, устойчивость улучшилась, но незначительно. Зато возникла новая “болячка” - перегрев двигателей. Когда температура на земле подошла к 20 градусам тепла, нормально взлетать просто стало невозможно. На рулении моторы нагревались так, что самолет отстаивался у полосы и только потом взлетал. Попробовали поставить на одном двигателе увеличенный радиатор и сделать управляемые щели в верхней части капота. Охлаждение немного улучшилось, но щели вызвали интенсивное вихреобразование и тряску хвостового оперения. Практически до начала второго этапа государственных испытаний справиться с нагревом моторов не удалось (7643).</w:t>
      </w:r>
    </w:p>
    <w:p w14:paraId="4A4ED7D6" w14:textId="77777777" w:rsidR="00D4105E" w:rsidRPr="00E14102" w:rsidRDefault="00D4105E" w:rsidP="00E14102">
      <w:pPr>
        <w:autoSpaceDE w:val="0"/>
        <w:autoSpaceDN w:val="0"/>
        <w:adjustRightInd w:val="0"/>
        <w:jc w:val="both"/>
        <w:rPr>
          <w:color w:val="000000" w:themeColor="text1"/>
          <w:sz w:val="16"/>
          <w:szCs w:val="16"/>
        </w:rPr>
      </w:pPr>
    </w:p>
    <w:p w14:paraId="4DBAF8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марта 1935 Константин Миндер при замере максимальной скорости АНТ-40ИС на малой высоте обнаружил начинающуюся вибрацию крыльев, поэтому немедленно выключил двигатели и, погасив скорость, пошел на посадку. На земле обнаружили заметную деформацию обшивки крыла, поэтому дальнейшие полеты прекратили, и АНТ-40ИС отправили на завод для реализации уже задуманных переделок. Ремонт продолжался более месяца. Увеличили, в частности, жесткость крыла, с целью изменения периода его собственных колебаний, нарастили зализы в районе стыка с фюзеляжем, изменили схему расхода топлива из крыльевых баков. Для устранения эле- ронного флаттера увеличили весовую компенсацию в носках элеронов. Кроме этого была изменена регулировка стабилизатора, а руль высоты оборудовали триммером.</w:t>
      </w:r>
    </w:p>
    <w:p w14:paraId="18E1AB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проведении пробных полетов выяснилось, что осуществленные мероприятия в основном позволили решить проблему флаттера на СБ - тряска с повышением скорости исчезла (12027).</w:t>
      </w:r>
    </w:p>
    <w:p w14:paraId="248AC933" w14:textId="77777777" w:rsidR="00D4105E" w:rsidRPr="00E14102" w:rsidRDefault="00D4105E" w:rsidP="00E14102">
      <w:pPr>
        <w:autoSpaceDE w:val="0"/>
        <w:autoSpaceDN w:val="0"/>
        <w:adjustRightInd w:val="0"/>
        <w:jc w:val="both"/>
        <w:rPr>
          <w:color w:val="000000" w:themeColor="text1"/>
          <w:sz w:val="16"/>
          <w:szCs w:val="16"/>
        </w:rPr>
      </w:pPr>
    </w:p>
    <w:p w14:paraId="7B557E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3 марта 1935 г. на Центральном аэродроме в Москве произошла авария с ИП-1 М-25. В этот день Федрови выполнял полёты с разгоном до максимальной скорости. На одном из скоростных режимов лопнуло крепление левой части капота двигателя, боковую секцию её сорвало, и она врезалась в переднюю кромку стабилизатора. Федрови немедленно пошёл на посадку, однако, от волнения забыл выпустить шасси. Тем не менее, благодаря выступающим гондолам приземление на заснеженное поле произошло вполне благополучно. Повреждённым оказался только металлический воздушный винт, концы которого погнулись. В сводке аварий НИИ ВВС значится ещё одна посадка ИП-1 с убранным шасси. Она произошла 4 марта в Щёлково, пилотировал истребитель А.И. Залевский. После второй аварийной посадки самолёт направили для ремонта повреждённых элементов конструкции и монтажа АПК-4М. Одновременно доработали капот, усилили элементы его крепления и ввели дополнительную поперечную стяжную ленту (как у И-16). Ещё один вариант капота с прорезанными отверстиями для отдельных выхлопных патрубков сделали в июле 1935 г. Однако, скорее всего, данное упоминание переделок капота двигателя, приведённое в деле по испытаниям ИП-1, относилось к другому самолёту - ДГ-53 (12005). </w:t>
      </w:r>
    </w:p>
    <w:p w14:paraId="19EE26B6" w14:textId="77777777" w:rsidR="00D4105E" w:rsidRPr="00E14102" w:rsidRDefault="00D4105E" w:rsidP="00E14102">
      <w:pPr>
        <w:autoSpaceDE w:val="0"/>
        <w:autoSpaceDN w:val="0"/>
        <w:adjustRightInd w:val="0"/>
        <w:jc w:val="both"/>
        <w:rPr>
          <w:color w:val="000000" w:themeColor="text1"/>
          <w:sz w:val="16"/>
          <w:szCs w:val="16"/>
        </w:rPr>
      </w:pPr>
    </w:p>
    <w:p w14:paraId="604FDC6C" w14:textId="77777777" w:rsidR="00135BFC" w:rsidRPr="00E14102" w:rsidRDefault="00135BFC" w:rsidP="00E14102">
      <w:pPr>
        <w:pStyle w:val="a7"/>
        <w:rPr>
          <w:color w:val="000000" w:themeColor="text1"/>
          <w:sz w:val="16"/>
          <w:szCs w:val="16"/>
          <w:lang w:val="ru-RU"/>
        </w:rPr>
      </w:pPr>
      <w:r w:rsidRPr="00E14102">
        <w:rPr>
          <w:color w:val="000000" w:themeColor="text1"/>
          <w:sz w:val="16"/>
          <w:szCs w:val="16"/>
          <w:lang w:val="ru-RU"/>
        </w:rPr>
        <w:t>3 марта 1935 г. на Центральном аэродро</w:t>
      </w:r>
      <w:r w:rsidRPr="00E14102">
        <w:rPr>
          <w:color w:val="000000" w:themeColor="text1"/>
          <w:sz w:val="16"/>
          <w:szCs w:val="16"/>
          <w:lang w:val="ru-RU"/>
        </w:rPr>
        <w:softHyphen/>
        <w:t>ме Москвы произошла авария самолета ИП-1 М-25. В тот день летчик Федрови выпол</w:t>
      </w:r>
      <w:r w:rsidRPr="00E14102">
        <w:rPr>
          <w:color w:val="000000" w:themeColor="text1"/>
          <w:sz w:val="16"/>
          <w:szCs w:val="16"/>
          <w:lang w:val="ru-RU"/>
        </w:rPr>
        <w:softHyphen/>
        <w:t>нял полеты с разгоном до максимальной скорости. Во время проведения одного из скоростных режимов лопнуло крепле</w:t>
      </w:r>
      <w:r w:rsidRPr="00E14102">
        <w:rPr>
          <w:color w:val="000000" w:themeColor="text1"/>
          <w:sz w:val="16"/>
          <w:szCs w:val="16"/>
          <w:lang w:val="ru-RU"/>
        </w:rPr>
        <w:softHyphen/>
        <w:t>ние левой части капота двигателя, фраг</w:t>
      </w:r>
      <w:r w:rsidRPr="00E14102">
        <w:rPr>
          <w:color w:val="000000" w:themeColor="text1"/>
          <w:sz w:val="16"/>
          <w:szCs w:val="16"/>
          <w:lang w:val="ru-RU"/>
        </w:rPr>
        <w:softHyphen/>
        <w:t>мент боковины сорвало, и она врезалась в переднюю кромку стабилизатора хво</w:t>
      </w:r>
      <w:r w:rsidRPr="00E14102">
        <w:rPr>
          <w:color w:val="000000" w:themeColor="text1"/>
          <w:sz w:val="16"/>
          <w:szCs w:val="16"/>
          <w:lang w:val="ru-RU"/>
        </w:rPr>
        <w:softHyphen/>
        <w:t>стового оперения. Федрови немедленно пошел на посадку, однако от волнения забыл произвести выпуск шасси. Тем не менее, приземление на снежную поверх</w:t>
      </w:r>
      <w:r w:rsidRPr="00E14102">
        <w:rPr>
          <w:color w:val="000000" w:themeColor="text1"/>
          <w:sz w:val="16"/>
          <w:szCs w:val="16"/>
          <w:lang w:val="ru-RU"/>
        </w:rPr>
        <w:softHyphen/>
        <w:t>ность благодаря выступающим шассий- ным гондолам произошло вполне благо</w:t>
      </w:r>
      <w:r w:rsidRPr="00E14102">
        <w:rPr>
          <w:color w:val="000000" w:themeColor="text1"/>
          <w:sz w:val="16"/>
          <w:szCs w:val="16"/>
          <w:lang w:val="ru-RU"/>
        </w:rPr>
        <w:softHyphen/>
        <w:t>получно. Поврежденным оказался лишь металлический воздушный винт, концы которого загнулись. После аварийной посадки самолет направили для ремонта поврежденных элементов конструкции и намеченно</w:t>
      </w:r>
      <w:r w:rsidRPr="00E14102">
        <w:rPr>
          <w:color w:val="000000" w:themeColor="text1"/>
          <w:sz w:val="16"/>
          <w:szCs w:val="16"/>
          <w:lang w:val="ru-RU"/>
        </w:rPr>
        <w:softHyphen/>
        <w:t>го монтажа пушек АПК. Одновременно доработали капот, усилили элементы его крепления и ввели дополнительную попе</w:t>
      </w:r>
      <w:r w:rsidRPr="00E14102">
        <w:rPr>
          <w:color w:val="000000" w:themeColor="text1"/>
          <w:sz w:val="16"/>
          <w:szCs w:val="16"/>
          <w:lang w:val="ru-RU"/>
        </w:rPr>
        <w:softHyphen/>
        <w:t>речную стяжную ленту (как у И-16). Еще один вариант капота с прорезанными отверстиями для отдельных выхлопных патрубков сделали в июле 1935 г. Однако, скорее всего, данное упоминание пере</w:t>
      </w:r>
      <w:r w:rsidRPr="00E14102">
        <w:rPr>
          <w:color w:val="000000" w:themeColor="text1"/>
          <w:sz w:val="16"/>
          <w:szCs w:val="16"/>
          <w:lang w:val="ru-RU"/>
        </w:rPr>
        <w:softHyphen/>
        <w:t>делок капота двигателя в деле по испыта</w:t>
      </w:r>
      <w:r w:rsidRPr="00E14102">
        <w:rPr>
          <w:color w:val="000000" w:themeColor="text1"/>
          <w:sz w:val="16"/>
          <w:szCs w:val="16"/>
          <w:lang w:val="ru-RU"/>
        </w:rPr>
        <w:softHyphen/>
        <w:t>ниям ИП-1 относилось к другому самолету -ДГ-6З (15742).</w:t>
      </w:r>
    </w:p>
    <w:p w14:paraId="72C7FFEF" w14:textId="77777777" w:rsidR="00135BFC" w:rsidRPr="00E14102" w:rsidRDefault="00135BFC" w:rsidP="00E14102">
      <w:pPr>
        <w:pStyle w:val="a7"/>
        <w:rPr>
          <w:color w:val="000000" w:themeColor="text1"/>
          <w:sz w:val="16"/>
          <w:szCs w:val="16"/>
          <w:lang w:val="ru-RU"/>
        </w:rPr>
      </w:pPr>
    </w:p>
    <w:p w14:paraId="7DB278D2" w14:textId="77777777" w:rsidR="00135BFC" w:rsidRPr="00E14102" w:rsidRDefault="00135BFC" w:rsidP="00E14102">
      <w:pPr>
        <w:pStyle w:val="6a"/>
        <w:shd w:val="clear" w:color="auto" w:fill="auto"/>
        <w:spacing w:line="240" w:lineRule="auto"/>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3 марта 1935 г. на Центральном аэродроме Москвы была аварийная посадка ИП-1, выполненная летчиком Федрови с невыпущенным шасси (15742).</w:t>
      </w:r>
    </w:p>
    <w:p w14:paraId="42D1FA03" w14:textId="77777777" w:rsidR="00135BFC" w:rsidRPr="00E14102" w:rsidRDefault="00135BFC" w:rsidP="00E14102">
      <w:pPr>
        <w:pStyle w:val="6a"/>
        <w:shd w:val="clear" w:color="auto" w:fill="auto"/>
        <w:spacing w:line="240" w:lineRule="auto"/>
        <w:jc w:val="both"/>
        <w:rPr>
          <w:rFonts w:ascii="Times New Roman" w:hAnsi="Times New Roman" w:cs="Times New Roman"/>
          <w:color w:val="000000" w:themeColor="text1"/>
          <w:sz w:val="16"/>
          <w:szCs w:val="16"/>
        </w:rPr>
      </w:pPr>
    </w:p>
    <w:p w14:paraId="0C712A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марта 1935 года закончились полигонные испытания стрелковой установки, как эталона с крыльевыми пулеметами системы "ШКАС" на серийный самолет И-16 N 2 и N 9, которые шли с 19 февраля 1935 (3071).</w:t>
      </w:r>
    </w:p>
    <w:p w14:paraId="6C714E79" w14:textId="77777777" w:rsidR="00D4105E" w:rsidRPr="00E14102" w:rsidRDefault="00D4105E" w:rsidP="00E14102">
      <w:pPr>
        <w:autoSpaceDE w:val="0"/>
        <w:autoSpaceDN w:val="0"/>
        <w:adjustRightInd w:val="0"/>
        <w:jc w:val="both"/>
        <w:rPr>
          <w:color w:val="000000" w:themeColor="text1"/>
          <w:sz w:val="16"/>
          <w:szCs w:val="16"/>
        </w:rPr>
      </w:pPr>
    </w:p>
    <w:p w14:paraId="51DC6B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марта 1935 была опубликована статья "Ракетные приборы в исследованиях атмосферы", написанная К.Э. Циолковским в связи с подготовкой I Всесоюзной конференции по применению реактивных летательных аппаратов к освоению стратосферы. В статье отмечалось: "Невозможно перечислить множество лиц, которые теперь теоретически и экспериментально занимаются реактивными машинами и приложением их к изучению стратосферы и межпланетных полетов. Таковы: Циолковский (с 1903 г.), Годдард, Оберт, Эсно-Пельтри, Роман, Вебер, Валье (жертва), Лоран, Ладеман, Вольф, Цандер, Рынин, Королев, Шершевский, Клейменов, Тихонравов и др." (газ. "Рабочая Москва", 3 марта 1935 г.) (10676).</w:t>
      </w:r>
    </w:p>
    <w:p w14:paraId="10066526" w14:textId="77777777" w:rsidR="00D4105E" w:rsidRPr="00E14102" w:rsidRDefault="00D4105E" w:rsidP="00E14102">
      <w:pPr>
        <w:autoSpaceDE w:val="0"/>
        <w:autoSpaceDN w:val="0"/>
        <w:adjustRightInd w:val="0"/>
        <w:jc w:val="both"/>
        <w:rPr>
          <w:color w:val="000000" w:themeColor="text1"/>
          <w:sz w:val="16"/>
          <w:szCs w:val="16"/>
        </w:rPr>
      </w:pPr>
    </w:p>
    <w:p w14:paraId="6EB60BE0" w14:textId="77777777" w:rsidR="00A45048" w:rsidRPr="00E14102" w:rsidRDefault="00A45048" w:rsidP="00E14102">
      <w:pPr>
        <w:jc w:val="both"/>
        <w:rPr>
          <w:color w:val="0070C0"/>
          <w:sz w:val="16"/>
          <w:szCs w:val="16"/>
        </w:rPr>
      </w:pPr>
      <w:r w:rsidRPr="00E14102">
        <w:rPr>
          <w:color w:val="0070C0"/>
          <w:sz w:val="16"/>
          <w:szCs w:val="16"/>
        </w:rPr>
        <w:t>3 марта 1935 опросом членов ПБ</w:t>
      </w:r>
    </w:p>
    <w:p w14:paraId="58F28A22" w14:textId="77777777" w:rsidR="00A45048" w:rsidRPr="00E14102" w:rsidRDefault="00A45048" w:rsidP="00E14102">
      <w:pPr>
        <w:jc w:val="both"/>
        <w:rPr>
          <w:color w:val="0070C0"/>
          <w:sz w:val="16"/>
          <w:szCs w:val="16"/>
        </w:rPr>
      </w:pPr>
      <w:r w:rsidRPr="00E14102">
        <w:rPr>
          <w:color w:val="0070C0"/>
          <w:sz w:val="16"/>
          <w:szCs w:val="16"/>
        </w:rPr>
        <w:t>56.- Bопрос К.О.</w:t>
      </w:r>
    </w:p>
    <w:p w14:paraId="6BAA318F" w14:textId="77777777" w:rsidR="00A45048" w:rsidRPr="00E14102" w:rsidRDefault="00A45048" w:rsidP="00E14102">
      <w:pPr>
        <w:jc w:val="both"/>
        <w:rPr>
          <w:color w:val="0070C0"/>
          <w:sz w:val="16"/>
          <w:szCs w:val="16"/>
        </w:rPr>
      </w:pPr>
      <w:r w:rsidRPr="00E14102">
        <w:rPr>
          <w:color w:val="0070C0"/>
          <w:sz w:val="16"/>
          <w:szCs w:val="16"/>
        </w:rPr>
        <w:t>Утвердить решение СТО об отпуске НКОбороны СССР из резервного фоида СНК - 1.500.000 губ. на выполнение под</w:t>
      </w:r>
      <w:r w:rsidRPr="00E14102">
        <w:rPr>
          <w:color w:val="0070C0"/>
          <w:sz w:val="16"/>
          <w:szCs w:val="16"/>
        </w:rPr>
        <w:softHyphen/>
        <w:t>готовительных работ, конструирование и постройку страто</w:t>
      </w:r>
      <w:r w:rsidRPr="00E14102">
        <w:rPr>
          <w:color w:val="0070C0"/>
          <w:sz w:val="16"/>
          <w:szCs w:val="16"/>
        </w:rPr>
        <w:softHyphen/>
        <w:t>статов и на проведение полетов в стратосферу.</w:t>
      </w:r>
    </w:p>
    <w:p w14:paraId="7B3C3AC6" w14:textId="77777777" w:rsidR="00A45048" w:rsidRPr="00E14102" w:rsidRDefault="00A45048" w:rsidP="00E14102">
      <w:pPr>
        <w:jc w:val="both"/>
        <w:rPr>
          <w:color w:val="0070C0"/>
          <w:sz w:val="16"/>
          <w:szCs w:val="16"/>
        </w:rPr>
      </w:pPr>
      <w:r w:rsidRPr="00E14102">
        <w:rPr>
          <w:color w:val="0070C0"/>
          <w:sz w:val="16"/>
          <w:szCs w:val="16"/>
        </w:rPr>
        <w:t>Выписки посланы: т.т. Базнлевпчу, Ворошилову, Мирошникову (22927).</w:t>
      </w:r>
    </w:p>
    <w:p w14:paraId="50A7B9A3" w14:textId="77777777" w:rsidR="00A45048" w:rsidRPr="00E14102" w:rsidRDefault="00A45048" w:rsidP="00E14102">
      <w:pPr>
        <w:jc w:val="both"/>
        <w:rPr>
          <w:color w:val="0070C0"/>
          <w:sz w:val="16"/>
          <w:szCs w:val="16"/>
        </w:rPr>
      </w:pPr>
      <w:r w:rsidRPr="00E14102">
        <w:rPr>
          <w:color w:val="0070C0"/>
          <w:sz w:val="16"/>
          <w:szCs w:val="16"/>
        </w:rPr>
        <w:t>5 марта 1935 состоялось заседание ПБ и подписан протокол № 22 (22927).</w:t>
      </w:r>
    </w:p>
    <w:p w14:paraId="4D8977DB" w14:textId="77777777" w:rsidR="00A45048" w:rsidRPr="00E14102" w:rsidRDefault="00A45048" w:rsidP="00E14102">
      <w:pPr>
        <w:jc w:val="both"/>
        <w:rPr>
          <w:color w:val="0070C0"/>
          <w:sz w:val="16"/>
          <w:szCs w:val="16"/>
        </w:rPr>
      </w:pPr>
    </w:p>
    <w:p w14:paraId="606310F5" w14:textId="77777777" w:rsidR="00135BFC"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38E8302" w14:textId="77777777" w:rsidR="00135BFC" w:rsidRPr="00E14102" w:rsidRDefault="00135BFC" w:rsidP="00E14102">
      <w:pPr>
        <w:autoSpaceDE w:val="0"/>
        <w:autoSpaceDN w:val="0"/>
        <w:adjustRightInd w:val="0"/>
        <w:jc w:val="both"/>
        <w:rPr>
          <w:iCs/>
          <w:color w:val="000000" w:themeColor="text1"/>
          <w:sz w:val="16"/>
          <w:szCs w:val="16"/>
        </w:rPr>
      </w:pPr>
    </w:p>
    <w:p w14:paraId="1D44D52C" w14:textId="77777777" w:rsidR="00C17A36" w:rsidRPr="00E14102" w:rsidRDefault="00C17A36" w:rsidP="00E14102">
      <w:pPr>
        <w:pStyle w:val="ad"/>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lastRenderedPageBreak/>
        <w:t>3 марта 1935 была подписана программа полигонных испытаний опытных образцов СУ-5. Начались они 29 марта, при этом к 10 апреля СУ-5-1 прошла 275 км, а СУ-5-2 — 140. Сопровождал их конструктор завода №185 И.С. Бушнев, для которого это была одна из первых работ в данном качестве. Испытания, можно сказать, не задались. В ходе пробега СУ-5-1 механик-водитель умудрился «уронить» машину в канаву, в результате чего была повреждена подвеска. Имелись проблемы и с СУ-5-2: в ходе пробега она повредила опорные катки, которые не имели смазки и перегревались. Кроме того, из-за неумелой езды сломался фрикцион главного сцепления. В связи с выявленными проблемами испытания временно прекратили, а машины отправили на завод. В НИАП отправилось гневное письмо за подписью зам начальника АБТУ КА Г.К. Бокиса. Он обвинил руководство полигона в безобразном отношении к испытуемой технике и потребовал принять меры. Испытания продолжились уже в июне 1935 года. К сентябрю испытания закончились, но НИАП не торопился составлять отчёт, поскольку инженер, который курировал испытания, уехал с полигона на тесты другой техники (19721).</w:t>
      </w:r>
    </w:p>
    <w:p w14:paraId="74B2AC9B" w14:textId="77777777" w:rsidR="00C17A36" w:rsidRPr="00E14102" w:rsidRDefault="00C17A36" w:rsidP="00E14102">
      <w:pPr>
        <w:pStyle w:val="ad"/>
        <w:spacing w:before="0" w:after="0"/>
        <w:textAlignment w:val="baseline"/>
        <w:rPr>
          <w:rFonts w:ascii="Times New Roman" w:hAnsi="Times New Roman" w:cs="Times New Roman"/>
          <w:color w:val="000000" w:themeColor="text1"/>
          <w:sz w:val="16"/>
          <w:szCs w:val="16"/>
          <w:lang w:val="ru-RU"/>
        </w:rPr>
      </w:pPr>
    </w:p>
    <w:p w14:paraId="0594BC49" w14:textId="77777777" w:rsidR="00135BFC" w:rsidRPr="00E14102" w:rsidRDefault="00135BFC" w:rsidP="00E14102">
      <w:pPr>
        <w:pStyle w:val="rtejustify"/>
        <w:spacing w:before="0" w:after="0"/>
        <w:rPr>
          <w:color w:val="000000" w:themeColor="text1"/>
          <w:sz w:val="16"/>
          <w:szCs w:val="16"/>
        </w:rPr>
      </w:pPr>
      <w:r w:rsidRPr="00E14102">
        <w:rPr>
          <w:rStyle w:val="a6"/>
          <w:bCs/>
          <w:i w:val="0"/>
          <w:color w:val="000000" w:themeColor="text1"/>
          <w:sz w:val="16"/>
          <w:szCs w:val="16"/>
        </w:rPr>
        <w:t>3 марта 1935 вышел приказ НКО №</w:t>
      </w:r>
      <w:r w:rsidRPr="00E14102">
        <w:rPr>
          <w:color w:val="000000" w:themeColor="text1"/>
          <w:sz w:val="16"/>
          <w:szCs w:val="16"/>
        </w:rPr>
        <w:t> 0010. О назначении комиссии для проведения испытаний инженерного, электросилового, противохимического оборудования оборонительных сооружений (15247).</w:t>
      </w:r>
    </w:p>
    <w:p w14:paraId="3607E74E" w14:textId="77777777" w:rsidR="00135BFC" w:rsidRPr="00E14102" w:rsidRDefault="00135BFC" w:rsidP="00E14102">
      <w:pPr>
        <w:pStyle w:val="rtejustify"/>
        <w:spacing w:before="0" w:after="0"/>
        <w:rPr>
          <w:color w:val="000000" w:themeColor="text1"/>
          <w:sz w:val="16"/>
          <w:szCs w:val="16"/>
        </w:rPr>
      </w:pPr>
    </w:p>
    <w:p w14:paraId="68416A4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09843C6" w14:textId="77777777" w:rsidR="00D4105E" w:rsidRPr="00E14102" w:rsidRDefault="00D4105E" w:rsidP="00E14102">
      <w:pPr>
        <w:autoSpaceDE w:val="0"/>
        <w:autoSpaceDN w:val="0"/>
        <w:adjustRightInd w:val="0"/>
        <w:jc w:val="both"/>
        <w:rPr>
          <w:iCs/>
          <w:color w:val="000000" w:themeColor="text1"/>
          <w:sz w:val="16"/>
          <w:szCs w:val="16"/>
        </w:rPr>
      </w:pPr>
    </w:p>
    <w:p w14:paraId="5C6CCC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4 марта 1935 в сводке аварий НИИ ВВС значится ещё одна посадка ИП-1 с убранным шасси. Она произошла в Щёлково, пилотировал истребитель А.И. Залевский. После второй аварийной посадки самолёт направили для ремонта повреждённых элементов конструкции и монтажа АПК-4М. Одновременно доработали капот, усилили элементы его крепления и ввели дополнительную поперечную стяжную ленту (как у И-16). Ещё один вариант капота с прорезанными отверстиями для отдельных выхлопных патрубков сделали в июле 1935 г. Однако, скорее всего, данное упоминание переделок капота двигателя, приведённое в деле по испытаниям ИП-1, относилось к другому самолёту - ДГ-53 (12005). </w:t>
      </w:r>
    </w:p>
    <w:p w14:paraId="54DD4014" w14:textId="77777777" w:rsidR="00D4105E" w:rsidRPr="00E14102" w:rsidRDefault="00D4105E" w:rsidP="00E14102">
      <w:pPr>
        <w:autoSpaceDE w:val="0"/>
        <w:autoSpaceDN w:val="0"/>
        <w:adjustRightInd w:val="0"/>
        <w:jc w:val="both"/>
        <w:rPr>
          <w:color w:val="000000" w:themeColor="text1"/>
          <w:sz w:val="16"/>
          <w:szCs w:val="16"/>
        </w:rPr>
      </w:pPr>
    </w:p>
    <w:p w14:paraId="46F016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марта 1935 состоялось совещание технического комитета по перелетам РД. Обсуждали мероприятия по переделке самолета РД для предстоящего перелета. С.А.Леваневский заявил, что его пожелания полностью исчерпываются 7 пунктами. Протокол подписал Н.М.Харламов (1102).</w:t>
      </w:r>
    </w:p>
    <w:p w14:paraId="03AC963C" w14:textId="77777777" w:rsidR="00D4105E" w:rsidRPr="00E14102" w:rsidRDefault="00D4105E" w:rsidP="00E14102">
      <w:pPr>
        <w:autoSpaceDE w:val="0"/>
        <w:autoSpaceDN w:val="0"/>
        <w:adjustRightInd w:val="0"/>
        <w:jc w:val="both"/>
        <w:rPr>
          <w:color w:val="000000" w:themeColor="text1"/>
          <w:sz w:val="16"/>
          <w:szCs w:val="16"/>
        </w:rPr>
      </w:pPr>
    </w:p>
    <w:p w14:paraId="0F0C33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марта 1935 года была подготовлена Справка по письму Попова</w:t>
      </w:r>
    </w:p>
    <w:p w14:paraId="6216BB3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1. Бюро Попова (15 человек: 7 инженеров и 8 техников) работает по заданиям НКО в течение 3-х лет (при ВВА).</w:t>
      </w:r>
    </w:p>
    <w:p w14:paraId="1D1A45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Бюро спроектировало беспропеллерный самолет с вращающимися крыльями, рассчитанный на вертикальный взлет, посадку и висение на месте. В военном варианте – машина сопровождения мотомехчастей и конницы и ближний разведчик. Не требует аэродрома. В дальнейшем бомбардировщик с большой грузоподъемностью. В гражданском варианте – единственная машина, делающая возможным короткие перелеты (машина связи, наблюдения и личного пользования).</w:t>
      </w:r>
    </w:p>
    <w:p w14:paraId="13D772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 настоящему времени полностью готов техпроект (в рабочих чертежах). Имеется согласие ГУАП на производство этой машины при условии обеспечения денежными средствами как экспериментального образца, так и последующей опытной машины.</w:t>
      </w:r>
    </w:p>
    <w:p w14:paraId="4B58A7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Экспериментальный образец по заявлению Попова может быть построен в течении 3-4 месяцев (4015,39).</w:t>
      </w:r>
    </w:p>
    <w:p w14:paraId="231AFADA" w14:textId="77777777" w:rsidR="00D4105E" w:rsidRPr="00E14102" w:rsidRDefault="00D4105E" w:rsidP="00E14102">
      <w:pPr>
        <w:autoSpaceDE w:val="0"/>
        <w:autoSpaceDN w:val="0"/>
        <w:adjustRightInd w:val="0"/>
        <w:jc w:val="both"/>
        <w:rPr>
          <w:color w:val="000000" w:themeColor="text1"/>
          <w:sz w:val="16"/>
          <w:szCs w:val="16"/>
        </w:rPr>
      </w:pPr>
    </w:p>
    <w:p w14:paraId="5D164E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марта 1935 К.Ф.Кайтанов совершил высотный прыжок с высоты 6800 м и спускался 17 минут (438,680).</w:t>
      </w:r>
    </w:p>
    <w:p w14:paraId="3BC57513" w14:textId="77777777" w:rsidR="00D4105E" w:rsidRPr="00E14102" w:rsidRDefault="00D4105E" w:rsidP="00E14102">
      <w:pPr>
        <w:autoSpaceDE w:val="0"/>
        <w:autoSpaceDN w:val="0"/>
        <w:adjustRightInd w:val="0"/>
        <w:jc w:val="both"/>
        <w:rPr>
          <w:color w:val="000000" w:themeColor="text1"/>
          <w:sz w:val="16"/>
          <w:szCs w:val="16"/>
        </w:rPr>
      </w:pPr>
    </w:p>
    <w:p w14:paraId="212922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марта 1935 года впервые за всю зиму стояла сухая и ясная погода. Щурясь от яркого света, К.Кайтанов пошел в штаб соединения. Доложил, что летчик и К.Кайтанов к полету готовы, метеосводка благополучная, попросил разрешения выполнить прыжок без кислородного прибора с максимальной высоты, какую мы только сможем достичь. Начальник штаба дал добро. И вот мы все на аэродроме. Мотор прогрет, опробован. У борта кабины стоит начальник штаба и, видимо, дает последние указания летчику М. Суханову. Прекрасный летчик-истребитель, сам увлекающийся парашютными прыжками, он с готовностью взялся вывезти меня на этот прыжок. Укладчик Матвеев смотрит на меня взглядом человека, извиняющегося за беспокойство, и подтягивает лямки парашюта, сильно при этом встряхивая меня. Наконец, все готово. Садимся в самолет, каждый в свою кабину. Машина взметнулась в воздух. Снежный вихрь скрыл от меня друзей. Увидел их снова, когда самолет шел по кругу над аэродромом. На высоте, нарастающей с каждым мгновением, чувствую всю теплоту товарищеских проводов. Стрелка высотомера старательно накручивала каждую новую сотню метров. Высоко. Земля уже видна в тумане. Идем под светлыми, будто нарисованными облаками. Мороз сухой и колкий, жжет лицо. Высота 7000 метров. Дышится легко и свободно. Чувствую, что у меня есть еще большой запас «мощности». Летчик двойным кругом проходит на этой высоте и неожиданно для меня дает сигнал «приготовиться». С недоумением смотрю на него: машина, мол, может взять б</w:t>
      </w:r>
      <w:r w:rsidRPr="00E14102">
        <w:rPr>
          <w:bCs/>
          <w:color w:val="000000" w:themeColor="text1"/>
          <w:sz w:val="16"/>
          <w:szCs w:val="16"/>
        </w:rPr>
        <w:t>о</w:t>
      </w:r>
      <w:r w:rsidRPr="00E14102">
        <w:rPr>
          <w:color w:val="000000" w:themeColor="text1"/>
          <w:sz w:val="16"/>
          <w:szCs w:val="16"/>
        </w:rPr>
        <w:t>льшую высоту. Но тут все понимаю: ночью была учебно-боевая тревога с вылетами. Не отдохнув как следует, летчик теперь чувствовал себя неважно. Конечно, будь у него кислородная аппаратура, он легко мог взять ту высоту, на какую способна машина, но, коль скоро, парашютист прыгал без кислородного прибора, члены комиссии сочли, что и летчик должен лететь без него. С глухим ревом самолет шел по курсу. Было обидно за упущенную возможность. Вялым движением руки летчик повторил сигнал. Раздумывать больше нечего. Нужно или прыгать или опускаться вниз. Счел, что целесообразнее совершить прыжок с достигнутой высоты. Решительно встаю. Смотрю на термометр, укрепленный на стойке крыла — минус 41 градус по Цельсию. Став ногами на сиденье, оцениваю обстановку, и в тот момент, когда самолет делает небольшой левый крен, переваливаюсь головой вниз за борт. Колкие струи холодного воздуха мгновенно врываются за ворот, за тугие перехваты фетровых летних сапог. Замечаю, что дважды делаю сальто и, взглянув на землю, выдергиваю кольцо. Сквозь плотно обтянутый летный шлем слышу свист падения. Мороз еще сильнее обжигает лицо. В правой руке держу вытяжное кольцо. Поворачиваю голову, смотрю вверх. Вслед за мной несется измятый, вытянувшийся в колбасу, купол. С тревогой думаю: «Вдруг парашют неисправен». Метров шестьдесят купол несется за мной, едва шевеля сморщенными клиньями, затем медленно расправляется и вдруг раскрывается, выдернув меня. В этот момент по раскрытому куполу парашюта, ярко освещенному солнцем, скользит тень самолета. Это летчик наблюдает за моим спуском. Опускаю тесьму, ставлю поудобнее ноги и смотрю на землю. Подо мной лежат знакомые места. Знаю, что в километрах двадцати от аэродрома. Вот извивы реки, запорошенной снегом, вот лес, клином уходящий на восток. Вижу, как меня несет к нему ветром. Энергично скольжу и мягко приземляюсь в глубокий снег. На аэродроме ожидала комиссия. С барографа сняли пломбы. Высота прыжка — 6800 метров. Начальник штаба — председатель комиссии крепко пожимает мне руку и поздравляет с рекордом высотного прыжка без кислородного прибора (11312).</w:t>
      </w:r>
    </w:p>
    <w:p w14:paraId="42264F0D" w14:textId="77777777" w:rsidR="00D4105E" w:rsidRPr="00E14102" w:rsidRDefault="00D4105E" w:rsidP="00E14102">
      <w:pPr>
        <w:autoSpaceDE w:val="0"/>
        <w:autoSpaceDN w:val="0"/>
        <w:adjustRightInd w:val="0"/>
        <w:jc w:val="both"/>
        <w:rPr>
          <w:color w:val="000000" w:themeColor="text1"/>
          <w:sz w:val="16"/>
          <w:szCs w:val="16"/>
        </w:rPr>
      </w:pPr>
    </w:p>
    <w:p w14:paraId="52B38D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марта 1935 в Ленинграде состоялся первый женский буксировочный полет на планере. Г-9 управляла Л.Чистякова, а буксировщиком - Е.Коротаева. Сцепщик - Н.Корытова (438,680).</w:t>
      </w:r>
    </w:p>
    <w:p w14:paraId="4D569048" w14:textId="77777777" w:rsidR="00D4105E" w:rsidRPr="00E14102" w:rsidRDefault="00D4105E" w:rsidP="00E14102">
      <w:pPr>
        <w:autoSpaceDE w:val="0"/>
        <w:autoSpaceDN w:val="0"/>
        <w:adjustRightInd w:val="0"/>
        <w:jc w:val="both"/>
        <w:rPr>
          <w:color w:val="000000" w:themeColor="text1"/>
          <w:sz w:val="16"/>
          <w:szCs w:val="16"/>
        </w:rPr>
      </w:pPr>
    </w:p>
    <w:p w14:paraId="6B5842C0" w14:textId="77777777" w:rsidR="009F240C" w:rsidRPr="00E14102" w:rsidRDefault="009F240C" w:rsidP="00E14102">
      <w:pPr>
        <w:jc w:val="both"/>
        <w:rPr>
          <w:color w:val="0070C0"/>
          <w:sz w:val="16"/>
          <w:szCs w:val="16"/>
        </w:rPr>
      </w:pPr>
      <w:r w:rsidRPr="00E14102">
        <w:rPr>
          <w:color w:val="0070C0"/>
          <w:sz w:val="16"/>
          <w:szCs w:val="16"/>
        </w:rPr>
        <w:t>4 марта 1935 г., Петренко-Лунев в письме И.Ф. Ткачеву приводит перевод письма от Гвидо Форланини, в котором говорится следующее: «Уваж. Дирижаблестрой командирует к нам двух инженеров, а мы даем им на основе чертежей, под руководством нашего технического директора, все указания и разъяснения, необходимые для того, чтобы инженеры Дирижаблестроя смогли бы составить себе точное представление о дирижаблях типа “Ф” - это делается на протяжении срока не свыше 15 дней. Если на основании этого изучения своими инженерами, уваж. Дирижаблестрой решит в благоприятном смысле вопрос постройки дирижаблей типа “Ф”, то мы обязуемся передать все данные и чертежи, находящиеся в нашем владении, и помогать нашими техническими силами разработке строительного проекта; все это, понятно, за вознаграждение, размеры котор</w:t>
      </w:r>
      <w:r w:rsidRPr="00E14102">
        <w:rPr>
          <w:color w:val="0070C0"/>
          <w:sz w:val="16"/>
          <w:szCs w:val="16"/>
          <w:lang w:val="en-US"/>
        </w:rPr>
        <w:t>j</w:t>
      </w:r>
      <w:r w:rsidRPr="00E14102">
        <w:rPr>
          <w:color w:val="0070C0"/>
          <w:sz w:val="16"/>
          <w:szCs w:val="16"/>
        </w:rPr>
        <w:t>го придется еще согласовать. За это уваж. Дирижаблестрой уплачивает нам ко времени прибытия инженеров, указанных выше, сумму в 75.000 лир. Эта сумма рассматривается как задаток в счет той суммы, которая должна будет быть уплачена в случае, если последует соглашение, указанное выше; эта сумма не подлежит, однако, возврату, в том случае, если не возникает никаких дальнейших соглашений». Сумма, упомянутая в письме, Петренко-Луневу казалась «чрезмерной», однако итальянская фирма была готова вести по ней переговоры с инженерным отделом советского торгпредства в Милане. Впоследствии сумма была уменьшена до 50.000 лир, а срок ознакомления увеличен до месяца (РГАЭ. Ф. 9574. Оп. 1. Д. 94. Л. 54-56.) (21410).</w:t>
      </w:r>
    </w:p>
    <w:p w14:paraId="3405A4C1" w14:textId="77777777" w:rsidR="009F240C" w:rsidRPr="00E14102" w:rsidRDefault="009F240C" w:rsidP="00E14102">
      <w:pPr>
        <w:jc w:val="both"/>
        <w:rPr>
          <w:color w:val="0070C0"/>
          <w:sz w:val="16"/>
          <w:szCs w:val="16"/>
        </w:rPr>
      </w:pPr>
    </w:p>
    <w:p w14:paraId="0CEA060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8F71025" w14:textId="77777777" w:rsidR="00D4105E" w:rsidRPr="00E14102" w:rsidRDefault="00D4105E" w:rsidP="00E14102">
      <w:pPr>
        <w:autoSpaceDE w:val="0"/>
        <w:autoSpaceDN w:val="0"/>
        <w:adjustRightInd w:val="0"/>
        <w:jc w:val="both"/>
        <w:rPr>
          <w:iCs/>
          <w:color w:val="000000" w:themeColor="text1"/>
          <w:sz w:val="16"/>
          <w:szCs w:val="16"/>
        </w:rPr>
      </w:pPr>
    </w:p>
    <w:p w14:paraId="093312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марта 1935 правительство Великобритании приняло широкую программу вооружений (3186).</w:t>
      </w:r>
    </w:p>
    <w:p w14:paraId="0762B873" w14:textId="77777777" w:rsidR="00D4105E" w:rsidRPr="00E14102" w:rsidRDefault="00D4105E" w:rsidP="00E14102">
      <w:pPr>
        <w:autoSpaceDE w:val="0"/>
        <w:autoSpaceDN w:val="0"/>
        <w:adjustRightInd w:val="0"/>
        <w:jc w:val="both"/>
        <w:rPr>
          <w:color w:val="000000" w:themeColor="text1"/>
          <w:sz w:val="16"/>
          <w:szCs w:val="16"/>
        </w:rPr>
      </w:pPr>
    </w:p>
    <w:p w14:paraId="714ADAC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FB91888" w14:textId="77777777" w:rsidR="00D4105E" w:rsidRPr="00E14102" w:rsidRDefault="00D4105E" w:rsidP="00E14102">
      <w:pPr>
        <w:autoSpaceDE w:val="0"/>
        <w:autoSpaceDN w:val="0"/>
        <w:adjustRightInd w:val="0"/>
        <w:jc w:val="both"/>
        <w:rPr>
          <w:iCs/>
          <w:color w:val="000000" w:themeColor="text1"/>
          <w:sz w:val="16"/>
          <w:szCs w:val="16"/>
        </w:rPr>
      </w:pPr>
    </w:p>
    <w:p w14:paraId="5AEEF1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марта 1935 специальная комиссия обследовала все ТБ-3Р, сданные, но еще не отправленные с завода № 22в строевые части. Из 27 осмотренных повреждения вилок хвостового колеса и ВО нашли на 16. УВВС запретило полеты во всех трех бригадах - в Кречевицах, Едрово и Монино. Одновременно приостановили приемку и принятые возвратили на доработку. Привлекли ЦАГИ и В.М.П. признал ошибочным расчет на прочность (9086).</w:t>
      </w:r>
    </w:p>
    <w:p w14:paraId="1BB18CAA" w14:textId="77777777" w:rsidR="00D4105E" w:rsidRPr="00E14102" w:rsidRDefault="00D4105E" w:rsidP="00E14102">
      <w:pPr>
        <w:autoSpaceDE w:val="0"/>
        <w:autoSpaceDN w:val="0"/>
        <w:adjustRightInd w:val="0"/>
        <w:jc w:val="both"/>
        <w:rPr>
          <w:color w:val="000000" w:themeColor="text1"/>
          <w:sz w:val="16"/>
          <w:szCs w:val="16"/>
        </w:rPr>
      </w:pPr>
    </w:p>
    <w:p w14:paraId="056E1E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марта 1935 Врид. Нач. ГУАП Марголин писал письмо N Нач. УВС РККА Алкснису (копия: директору завода 1 Беленковичу) N ? по вопросу "О проектировании фоторазведчика" на вх. В/8 40/0698 от 31 января 1935:</w:t>
      </w:r>
    </w:p>
    <w:p w14:paraId="6CA6AE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"Принять окончательное решение о включении в план строительства самолетов 1935-36 одноместного фоторазведчика, предложенного КБ завода 1, в настоящее время было бы несколько преждевременным, т.к. эскизный проект этого самолета требует доработки о чем также указывает в своем заключении НИИ ВВС.</w:t>
      </w:r>
    </w:p>
    <w:p w14:paraId="51930D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Только по получении доп. данных (продувок, расчетных) можно будет решить вопрос о включении предложения завода 1 в плане опытного строительства." (2343,170).</w:t>
      </w:r>
    </w:p>
    <w:p w14:paraId="117124A7" w14:textId="77777777" w:rsidR="00D4105E" w:rsidRPr="00E14102" w:rsidRDefault="00D4105E" w:rsidP="00E14102">
      <w:pPr>
        <w:autoSpaceDE w:val="0"/>
        <w:autoSpaceDN w:val="0"/>
        <w:adjustRightInd w:val="0"/>
        <w:jc w:val="both"/>
        <w:rPr>
          <w:color w:val="000000" w:themeColor="text1"/>
          <w:sz w:val="16"/>
          <w:szCs w:val="16"/>
        </w:rPr>
      </w:pPr>
    </w:p>
    <w:p w14:paraId="3C97D590" w14:textId="77777777" w:rsidR="00AE0877" w:rsidRPr="00E14102" w:rsidRDefault="00AE0877" w:rsidP="00E14102">
      <w:pPr>
        <w:jc w:val="both"/>
        <w:rPr>
          <w:color w:val="000000" w:themeColor="text1"/>
          <w:sz w:val="16"/>
          <w:szCs w:val="16"/>
        </w:rPr>
      </w:pPr>
      <w:r w:rsidRPr="00E14102">
        <w:rPr>
          <w:color w:val="000000" w:themeColor="text1"/>
          <w:sz w:val="16"/>
          <w:szCs w:val="16"/>
        </w:rPr>
        <w:t>5 марта 1935 г. в своем ответе Алкснису директор завода № 1 Марголин писал, что «принять окончательное решение о включении в план строительства самолётов 1935-36 гг. одноместного фоторазведчика, предложенного конструкторским бюро завода № 1, в настоящее время было бы несколько преждевременным, т.к. эскизный проект этого самолёта требует доработки, о чём указывает в своём заключении и НИИ ВС. Только по получении дополнительных данных (продувок, расчётных) можно будет решить вопрос о включении предложения завода № 1 в план опытного строительства». [РГАЭ Ф. 8328 оп. 1 д. 796 л. 169-170] Сходную позицию занял несколько ранее заместитель начальника ГУАПа Ермолаев. В своём письме № 244/538с от 4 февраля 1935 г., отвечая на письмо директора завода №1 Беленковича № 211 от 29 января 1935 г., он сообщил: Макет истребителя И-220 А.В.Сильванского «Представленный т. ШЕКУНОВЫМ эскизный проект скоростного фото-разведчика не является достаточным материалом для решения вопроса о необходимости его реализации. Считаю обязательным, до включения его в план опытного строительства Вашего завода, иметь всестороннее и окончательное заключение УВС (как заказчика) о полном соответствии проектируемого об”екта тактикотехническим требованиям к нему и о необходимости его постройки». [РГАЭ Ф. 8328 оп. 1 д. 795 л. 166] (Упомянутый в письме Шекунов, видимо, курировал на заводе данный проект Сильванского) По свидетельству В.П.Иванова, НИИ ВВС в своем окончательном заключении по проекту Сильванского отмечал, что автор проекта не представил убедительных обоснований для заявленных ЛТХ, в связи с чем реальность данного проекта представляется сомнительной. Проект встретил также резкую критику со стороны Поликарпова и других конструкторов. Один автор пишет: «Чертежи были представлены на рассмотрение начальника ГУАП Г.Н.Королеву, после чего их передали для всестороннего анализа на завод №39. Совет инженеров, на котором присутствовали Поликарпов и Григорович, пришел к выводу, что проект Сильванского имеет ряд грубых просчётов и явных подгонок под желаемые требования. Истребитель-разведчик, мягко говоря, не соответствовал ни одним нормам летной годности и судьба его решилась довольно быстро. Конструктору посоветовали более ответственно относиться к проектированию самолетов, а проект был единодушно забракован» (19008).</w:t>
      </w:r>
    </w:p>
    <w:p w14:paraId="27E8C650" w14:textId="77777777" w:rsidR="00AE0877" w:rsidRPr="00E14102" w:rsidRDefault="00AE0877" w:rsidP="00E14102">
      <w:pPr>
        <w:jc w:val="both"/>
        <w:rPr>
          <w:color w:val="000000" w:themeColor="text1"/>
          <w:sz w:val="16"/>
          <w:szCs w:val="16"/>
        </w:rPr>
      </w:pPr>
    </w:p>
    <w:p w14:paraId="280CAC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марта 1935 вышло постановление СТО "О полетах в стратосферу на стратостатах" (2161,68).</w:t>
      </w:r>
    </w:p>
    <w:p w14:paraId="09332E66" w14:textId="77777777" w:rsidR="00D4105E" w:rsidRPr="00E14102" w:rsidRDefault="00D4105E" w:rsidP="00E14102">
      <w:pPr>
        <w:autoSpaceDE w:val="0"/>
        <w:autoSpaceDN w:val="0"/>
        <w:adjustRightInd w:val="0"/>
        <w:jc w:val="both"/>
        <w:rPr>
          <w:color w:val="000000" w:themeColor="text1"/>
          <w:sz w:val="16"/>
          <w:szCs w:val="16"/>
        </w:rPr>
      </w:pPr>
    </w:p>
    <w:p w14:paraId="0B87C770" w14:textId="77777777" w:rsidR="00BA750D" w:rsidRPr="00E14102" w:rsidRDefault="00BA750D" w:rsidP="00E14102">
      <w:pPr>
        <w:pStyle w:val="rtejustify"/>
        <w:spacing w:before="0" w:after="0"/>
        <w:rPr>
          <w:color w:val="000000" w:themeColor="text1"/>
          <w:sz w:val="16"/>
          <w:szCs w:val="16"/>
        </w:rPr>
      </w:pPr>
      <w:r w:rsidRPr="00E14102">
        <w:rPr>
          <w:rStyle w:val="a6"/>
          <w:bCs/>
          <w:i w:val="0"/>
          <w:color w:val="000000" w:themeColor="text1"/>
          <w:sz w:val="16"/>
          <w:szCs w:val="16"/>
        </w:rPr>
        <w:t>5 марта</w:t>
      </w:r>
      <w:r w:rsidRPr="00E14102">
        <w:rPr>
          <w:color w:val="000000" w:themeColor="text1"/>
          <w:sz w:val="16"/>
          <w:szCs w:val="16"/>
        </w:rPr>
        <w:t xml:space="preserve"> 1935. Постановление СТО СССР № С</w:t>
      </w:r>
      <w:r w:rsidRPr="00E14102">
        <w:rPr>
          <w:color w:val="000000" w:themeColor="text1"/>
          <w:sz w:val="16"/>
          <w:szCs w:val="16"/>
        </w:rPr>
        <w:noBreakHyphen/>
        <w:t>19сс «О полетах в стратосферу на стратостатах». (ГА РФ. Ф. Р</w:t>
      </w:r>
      <w:r w:rsidRPr="00E14102">
        <w:rPr>
          <w:color w:val="000000" w:themeColor="text1"/>
          <w:sz w:val="16"/>
          <w:szCs w:val="16"/>
        </w:rPr>
        <w:noBreakHyphen/>
        <w:t>8418. Оп. 28. Д. 6. Л. 43) (15460).</w:t>
      </w:r>
    </w:p>
    <w:p w14:paraId="72FAD8FE" w14:textId="77777777" w:rsidR="00BA750D" w:rsidRPr="00E14102" w:rsidRDefault="00BA750D" w:rsidP="00E14102">
      <w:pPr>
        <w:pStyle w:val="rtejustify"/>
        <w:spacing w:before="0" w:after="0"/>
        <w:rPr>
          <w:color w:val="000000" w:themeColor="text1"/>
          <w:sz w:val="16"/>
          <w:szCs w:val="16"/>
        </w:rPr>
      </w:pPr>
    </w:p>
    <w:p w14:paraId="1C6389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марта 1935 года начальник 4 отдела УВС Базенков писал письмо N 001854 в Комиссию партконтроля Федорову.</w:t>
      </w:r>
    </w:p>
    <w:p w14:paraId="319160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 по плану заказов 1934 года на самолеты и моторы УВС.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51"/>
        <w:gridCol w:w="698"/>
        <w:gridCol w:w="698"/>
        <w:gridCol w:w="698"/>
        <w:gridCol w:w="698"/>
        <w:gridCol w:w="698"/>
        <w:gridCol w:w="698"/>
        <w:gridCol w:w="3606"/>
      </w:tblGrid>
      <w:tr w:rsidR="00E3599D" w:rsidRPr="00E14102" w14:paraId="091516D8" w14:textId="77777777">
        <w:tc>
          <w:tcPr>
            <w:tcW w:w="1951" w:type="dxa"/>
            <w:tcBorders>
              <w:top w:val="single" w:sz="12" w:space="0" w:color="auto"/>
            </w:tcBorders>
          </w:tcPr>
          <w:p w14:paraId="313C7F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w:t>
            </w:r>
          </w:p>
        </w:tc>
        <w:tc>
          <w:tcPr>
            <w:tcW w:w="851" w:type="dxa"/>
            <w:tcBorders>
              <w:top w:val="single" w:sz="12" w:space="0" w:color="auto"/>
            </w:tcBorders>
          </w:tcPr>
          <w:p w14:paraId="78FB07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Утвержд.</w:t>
            </w:r>
          </w:p>
        </w:tc>
        <w:tc>
          <w:tcPr>
            <w:tcW w:w="698" w:type="dxa"/>
            <w:tcBorders>
              <w:top w:val="single" w:sz="12" w:space="0" w:color="auto"/>
            </w:tcBorders>
          </w:tcPr>
          <w:p w14:paraId="516762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w:t>
            </w:r>
          </w:p>
        </w:tc>
        <w:tc>
          <w:tcPr>
            <w:tcW w:w="698" w:type="dxa"/>
            <w:tcBorders>
              <w:top w:val="single" w:sz="12" w:space="0" w:color="auto"/>
            </w:tcBorders>
          </w:tcPr>
          <w:p w14:paraId="063F40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Выполнено за 1934 год</w:t>
            </w:r>
          </w:p>
        </w:tc>
        <w:tc>
          <w:tcPr>
            <w:tcW w:w="698" w:type="dxa"/>
            <w:tcBorders>
              <w:top w:val="single" w:sz="12" w:space="0" w:color="auto"/>
            </w:tcBorders>
          </w:tcPr>
          <w:p w14:paraId="438B3D8D"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Borders>
              <w:top w:val="single" w:sz="12" w:space="0" w:color="auto"/>
            </w:tcBorders>
          </w:tcPr>
          <w:p w14:paraId="4FC519B9"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Borders>
              <w:top w:val="single" w:sz="12" w:space="0" w:color="auto"/>
            </w:tcBorders>
          </w:tcPr>
          <w:p w14:paraId="57789D55"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Borders>
              <w:top w:val="single" w:sz="12" w:space="0" w:color="auto"/>
            </w:tcBorders>
          </w:tcPr>
          <w:p w14:paraId="49389886" w14:textId="77777777" w:rsidR="00D4105E" w:rsidRPr="00E14102" w:rsidRDefault="00D4105E" w:rsidP="00E14102">
            <w:pPr>
              <w:autoSpaceDE w:val="0"/>
              <w:autoSpaceDN w:val="0"/>
              <w:adjustRightInd w:val="0"/>
              <w:jc w:val="both"/>
              <w:rPr>
                <w:color w:val="000000" w:themeColor="text1"/>
                <w:sz w:val="16"/>
                <w:szCs w:val="16"/>
              </w:rPr>
            </w:pPr>
          </w:p>
        </w:tc>
        <w:tc>
          <w:tcPr>
            <w:tcW w:w="3606" w:type="dxa"/>
            <w:tcBorders>
              <w:top w:val="single" w:sz="12" w:space="0" w:color="auto"/>
            </w:tcBorders>
          </w:tcPr>
          <w:p w14:paraId="1B4033E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251F5B1" w14:textId="77777777">
        <w:tc>
          <w:tcPr>
            <w:tcW w:w="1951" w:type="dxa"/>
          </w:tcPr>
          <w:p w14:paraId="091A06BB"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4680F8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плане</w:t>
            </w:r>
          </w:p>
        </w:tc>
        <w:tc>
          <w:tcPr>
            <w:tcW w:w="698" w:type="dxa"/>
          </w:tcPr>
          <w:p w14:paraId="5CC9DB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заказов</w:t>
            </w:r>
          </w:p>
        </w:tc>
        <w:tc>
          <w:tcPr>
            <w:tcW w:w="698" w:type="dxa"/>
          </w:tcPr>
          <w:p w14:paraId="46F012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Подл.</w:t>
            </w:r>
          </w:p>
        </w:tc>
        <w:tc>
          <w:tcPr>
            <w:tcW w:w="698" w:type="dxa"/>
          </w:tcPr>
          <w:p w14:paraId="02FE36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Сдано</w:t>
            </w:r>
          </w:p>
        </w:tc>
        <w:tc>
          <w:tcPr>
            <w:tcW w:w="698" w:type="dxa"/>
          </w:tcPr>
          <w:p w14:paraId="6D8C4A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Недодел</w:t>
            </w:r>
          </w:p>
        </w:tc>
        <w:tc>
          <w:tcPr>
            <w:tcW w:w="698" w:type="dxa"/>
          </w:tcPr>
          <w:p w14:paraId="3A14E3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выполнен</w:t>
            </w:r>
          </w:p>
        </w:tc>
        <w:tc>
          <w:tcPr>
            <w:tcW w:w="698" w:type="dxa"/>
          </w:tcPr>
          <w:p w14:paraId="4E772B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w:t>
            </w:r>
          </w:p>
        </w:tc>
        <w:tc>
          <w:tcPr>
            <w:tcW w:w="3606" w:type="dxa"/>
          </w:tcPr>
          <w:p w14:paraId="4CD7EA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7EE806CE" w14:textId="77777777">
        <w:tc>
          <w:tcPr>
            <w:tcW w:w="1951" w:type="dxa"/>
          </w:tcPr>
          <w:p w14:paraId="6D4B45CA"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7BC142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заказов</w:t>
            </w:r>
          </w:p>
        </w:tc>
        <w:tc>
          <w:tcPr>
            <w:tcW w:w="698" w:type="dxa"/>
          </w:tcPr>
          <w:p w14:paraId="40326C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произведен.</w:t>
            </w:r>
          </w:p>
        </w:tc>
        <w:tc>
          <w:tcPr>
            <w:tcW w:w="698" w:type="dxa"/>
          </w:tcPr>
          <w:p w14:paraId="696AC7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сдаче</w:t>
            </w:r>
          </w:p>
        </w:tc>
        <w:tc>
          <w:tcPr>
            <w:tcW w:w="698" w:type="dxa"/>
          </w:tcPr>
          <w:p w14:paraId="406A512B"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49B8A893"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4C27F3F5"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33C6CE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поставщик</w:t>
            </w:r>
          </w:p>
        </w:tc>
        <w:tc>
          <w:tcPr>
            <w:tcW w:w="3606" w:type="dxa"/>
          </w:tcPr>
          <w:p w14:paraId="6CF49AE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CC52080" w14:textId="77777777">
        <w:tc>
          <w:tcPr>
            <w:tcW w:w="1951" w:type="dxa"/>
          </w:tcPr>
          <w:p w14:paraId="2659FA29"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64DEAA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34 г.</w:t>
            </w:r>
          </w:p>
        </w:tc>
        <w:tc>
          <w:tcPr>
            <w:tcW w:w="698" w:type="dxa"/>
          </w:tcPr>
          <w:p w14:paraId="4D51CF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изменениями</w:t>
            </w:r>
          </w:p>
        </w:tc>
        <w:tc>
          <w:tcPr>
            <w:tcW w:w="698" w:type="dxa"/>
          </w:tcPr>
          <w:p w14:paraId="5684C397"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3E504914"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29105A36"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73618A34"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7FFFDCC1" w14:textId="77777777" w:rsidR="00D4105E" w:rsidRPr="00E14102" w:rsidRDefault="00D4105E" w:rsidP="00E14102">
            <w:pPr>
              <w:autoSpaceDE w:val="0"/>
              <w:autoSpaceDN w:val="0"/>
              <w:adjustRightInd w:val="0"/>
              <w:jc w:val="both"/>
              <w:rPr>
                <w:color w:val="000000" w:themeColor="text1"/>
                <w:sz w:val="16"/>
                <w:szCs w:val="16"/>
              </w:rPr>
            </w:pPr>
          </w:p>
        </w:tc>
        <w:tc>
          <w:tcPr>
            <w:tcW w:w="3606" w:type="dxa"/>
          </w:tcPr>
          <w:p w14:paraId="15C4DFA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842D74C" w14:textId="77777777">
        <w:tc>
          <w:tcPr>
            <w:tcW w:w="1951" w:type="dxa"/>
          </w:tcPr>
          <w:p w14:paraId="717C9A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М-34}</w:t>
            </w:r>
          </w:p>
        </w:tc>
        <w:tc>
          <w:tcPr>
            <w:tcW w:w="851" w:type="dxa"/>
          </w:tcPr>
          <w:p w14:paraId="5444DA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98" w:type="dxa"/>
          </w:tcPr>
          <w:p w14:paraId="709042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698" w:type="dxa"/>
          </w:tcPr>
          <w:p w14:paraId="694B08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698" w:type="dxa"/>
          </w:tcPr>
          <w:p w14:paraId="7E8134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w:t>
            </w:r>
          </w:p>
        </w:tc>
        <w:tc>
          <w:tcPr>
            <w:tcW w:w="698" w:type="dxa"/>
          </w:tcPr>
          <w:p w14:paraId="3DBDED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98" w:type="dxa"/>
          </w:tcPr>
          <w:p w14:paraId="3A5177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103</w:t>
            </w:r>
          </w:p>
        </w:tc>
        <w:tc>
          <w:tcPr>
            <w:tcW w:w="698" w:type="dxa"/>
          </w:tcPr>
          <w:p w14:paraId="626CDB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3606" w:type="dxa"/>
          </w:tcPr>
          <w:p w14:paraId="053408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Из них:</w:t>
            </w:r>
          </w:p>
        </w:tc>
      </w:tr>
      <w:tr w:rsidR="00E3599D" w:rsidRPr="00E14102" w14:paraId="3B063B2E" w14:textId="77777777">
        <w:tc>
          <w:tcPr>
            <w:tcW w:w="1951" w:type="dxa"/>
          </w:tcPr>
          <w:p w14:paraId="774A60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М-34Р}</w:t>
            </w:r>
          </w:p>
        </w:tc>
        <w:tc>
          <w:tcPr>
            <w:tcW w:w="851" w:type="dxa"/>
          </w:tcPr>
          <w:p w14:paraId="7B5AF7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w:t>
            </w:r>
          </w:p>
        </w:tc>
        <w:tc>
          <w:tcPr>
            <w:tcW w:w="698" w:type="dxa"/>
          </w:tcPr>
          <w:p w14:paraId="6BE8EA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w:t>
            </w:r>
          </w:p>
        </w:tc>
        <w:tc>
          <w:tcPr>
            <w:tcW w:w="698" w:type="dxa"/>
          </w:tcPr>
          <w:p w14:paraId="618A22C0"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0B63FBB1"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15BB63E9"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50F4945F"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51ECD93A" w14:textId="77777777" w:rsidR="00D4105E" w:rsidRPr="00E14102" w:rsidRDefault="00D4105E" w:rsidP="00E14102">
            <w:pPr>
              <w:autoSpaceDE w:val="0"/>
              <w:autoSpaceDN w:val="0"/>
              <w:adjustRightInd w:val="0"/>
              <w:jc w:val="both"/>
              <w:rPr>
                <w:color w:val="000000" w:themeColor="text1"/>
                <w:sz w:val="16"/>
                <w:szCs w:val="16"/>
              </w:rPr>
            </w:pPr>
          </w:p>
        </w:tc>
        <w:tc>
          <w:tcPr>
            <w:tcW w:w="3606" w:type="dxa"/>
          </w:tcPr>
          <w:p w14:paraId="065662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разведчиков - 960</w:t>
            </w:r>
          </w:p>
        </w:tc>
      </w:tr>
      <w:tr w:rsidR="00E3599D" w:rsidRPr="00E14102" w14:paraId="0ECA9542" w14:textId="77777777">
        <w:tc>
          <w:tcPr>
            <w:tcW w:w="1951" w:type="dxa"/>
          </w:tcPr>
          <w:p w14:paraId="79191C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М-34РН</w:t>
            </w:r>
          </w:p>
        </w:tc>
        <w:tc>
          <w:tcPr>
            <w:tcW w:w="851" w:type="dxa"/>
          </w:tcPr>
          <w:p w14:paraId="536029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98" w:type="dxa"/>
          </w:tcPr>
          <w:p w14:paraId="2B2A46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98" w:type="dxa"/>
          </w:tcPr>
          <w:p w14:paraId="0FE838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155</w:t>
            </w:r>
          </w:p>
        </w:tc>
        <w:tc>
          <w:tcPr>
            <w:tcW w:w="698" w:type="dxa"/>
          </w:tcPr>
          <w:p w14:paraId="5AD4BA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98" w:type="dxa"/>
          </w:tcPr>
          <w:p w14:paraId="2E1490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698" w:type="dxa"/>
          </w:tcPr>
          <w:p w14:paraId="65E767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97</w:t>
            </w:r>
          </w:p>
        </w:tc>
        <w:tc>
          <w:tcPr>
            <w:tcW w:w="698" w:type="dxa"/>
          </w:tcPr>
          <w:p w14:paraId="797A10A8" w14:textId="77777777" w:rsidR="00D4105E" w:rsidRPr="00E14102" w:rsidRDefault="00D4105E" w:rsidP="00E14102">
            <w:pPr>
              <w:autoSpaceDE w:val="0"/>
              <w:autoSpaceDN w:val="0"/>
              <w:adjustRightInd w:val="0"/>
              <w:jc w:val="both"/>
              <w:rPr>
                <w:color w:val="000000" w:themeColor="text1"/>
                <w:sz w:val="16"/>
                <w:szCs w:val="16"/>
              </w:rPr>
            </w:pPr>
          </w:p>
        </w:tc>
        <w:tc>
          <w:tcPr>
            <w:tcW w:w="3606" w:type="dxa"/>
          </w:tcPr>
          <w:p w14:paraId="5ADDEC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штурмовиков - 246</w:t>
            </w:r>
          </w:p>
        </w:tc>
      </w:tr>
      <w:tr w:rsidR="00E3599D" w:rsidRPr="00E14102" w14:paraId="32DC4961" w14:textId="77777777">
        <w:tc>
          <w:tcPr>
            <w:tcW w:w="1951" w:type="dxa"/>
          </w:tcPr>
          <w:p w14:paraId="0CCCB9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w:t>
            </w:r>
          </w:p>
        </w:tc>
        <w:tc>
          <w:tcPr>
            <w:tcW w:w="851" w:type="dxa"/>
          </w:tcPr>
          <w:p w14:paraId="24E6EA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98" w:type="dxa"/>
          </w:tcPr>
          <w:p w14:paraId="49C4BC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98" w:type="dxa"/>
          </w:tcPr>
          <w:p w14:paraId="1B9247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98" w:type="dxa"/>
          </w:tcPr>
          <w:p w14:paraId="55D523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149</w:t>
            </w:r>
          </w:p>
        </w:tc>
        <w:tc>
          <w:tcPr>
            <w:tcW w:w="698" w:type="dxa"/>
          </w:tcPr>
          <w:p w14:paraId="6CC842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698" w:type="dxa"/>
          </w:tcPr>
          <w:p w14:paraId="59AE0C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99</w:t>
            </w:r>
          </w:p>
        </w:tc>
        <w:tc>
          <w:tcPr>
            <w:tcW w:w="698" w:type="dxa"/>
          </w:tcPr>
          <w:p w14:paraId="05342F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3606" w:type="dxa"/>
          </w:tcPr>
          <w:p w14:paraId="3E0A79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Р5Т -1</w:t>
            </w:r>
          </w:p>
        </w:tc>
      </w:tr>
      <w:tr w:rsidR="00E3599D" w:rsidRPr="00E14102" w14:paraId="417F88E2" w14:textId="77777777">
        <w:tc>
          <w:tcPr>
            <w:tcW w:w="1951" w:type="dxa"/>
          </w:tcPr>
          <w:p w14:paraId="47F7CF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КР6-а</w:t>
            </w:r>
          </w:p>
        </w:tc>
        <w:tc>
          <w:tcPr>
            <w:tcW w:w="851" w:type="dxa"/>
          </w:tcPr>
          <w:p w14:paraId="08EEA2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698" w:type="dxa"/>
          </w:tcPr>
          <w:p w14:paraId="45E4ED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698" w:type="dxa"/>
          </w:tcPr>
          <w:p w14:paraId="7A8732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698" w:type="dxa"/>
          </w:tcPr>
          <w:p w14:paraId="2FA916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w:t>
            </w:r>
          </w:p>
        </w:tc>
        <w:tc>
          <w:tcPr>
            <w:tcW w:w="698" w:type="dxa"/>
          </w:tcPr>
          <w:p w14:paraId="04DE14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698" w:type="dxa"/>
          </w:tcPr>
          <w:p w14:paraId="56CE80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w:t>
            </w:r>
          </w:p>
        </w:tc>
        <w:tc>
          <w:tcPr>
            <w:tcW w:w="698" w:type="dxa"/>
          </w:tcPr>
          <w:p w14:paraId="4B1D34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3606" w:type="dxa"/>
          </w:tcPr>
          <w:p w14:paraId="3A82A8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Из них по:</w:t>
            </w:r>
          </w:p>
        </w:tc>
      </w:tr>
      <w:tr w:rsidR="00E3599D" w:rsidRPr="00E14102" w14:paraId="4A8FD988" w14:textId="77777777">
        <w:tc>
          <w:tcPr>
            <w:tcW w:w="1951" w:type="dxa"/>
          </w:tcPr>
          <w:p w14:paraId="54B32A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МИ-3</w:t>
            </w:r>
          </w:p>
        </w:tc>
        <w:tc>
          <w:tcPr>
            <w:tcW w:w="851" w:type="dxa"/>
          </w:tcPr>
          <w:p w14:paraId="786140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698" w:type="dxa"/>
          </w:tcPr>
          <w:p w14:paraId="45FE65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698" w:type="dxa"/>
          </w:tcPr>
          <w:p w14:paraId="4B826E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698" w:type="dxa"/>
          </w:tcPr>
          <w:p w14:paraId="65DCEC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698" w:type="dxa"/>
          </w:tcPr>
          <w:p w14:paraId="6760CB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698" w:type="dxa"/>
          </w:tcPr>
          <w:p w14:paraId="076B4B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698" w:type="dxa"/>
          </w:tcPr>
          <w:p w14:paraId="3A415B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3606" w:type="dxa"/>
          </w:tcPr>
          <w:p w14:paraId="786B61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N 1 - 60</w:t>
            </w:r>
          </w:p>
        </w:tc>
      </w:tr>
      <w:tr w:rsidR="00E3599D" w:rsidRPr="00E14102" w14:paraId="4F7F182E" w14:textId="77777777">
        <w:tc>
          <w:tcPr>
            <w:tcW w:w="1951" w:type="dxa"/>
          </w:tcPr>
          <w:p w14:paraId="0B9917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Р5 - разв.</w:t>
            </w:r>
          </w:p>
        </w:tc>
        <w:tc>
          <w:tcPr>
            <w:tcW w:w="851" w:type="dxa"/>
          </w:tcPr>
          <w:p w14:paraId="0B2AC5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1150</w:t>
            </w:r>
          </w:p>
        </w:tc>
        <w:tc>
          <w:tcPr>
            <w:tcW w:w="698" w:type="dxa"/>
          </w:tcPr>
          <w:p w14:paraId="02F65A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1150}</w:t>
            </w:r>
          </w:p>
        </w:tc>
        <w:tc>
          <w:tcPr>
            <w:tcW w:w="698" w:type="dxa"/>
          </w:tcPr>
          <w:p w14:paraId="3FFF78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1400</w:t>
            </w:r>
          </w:p>
        </w:tc>
        <w:tc>
          <w:tcPr>
            <w:tcW w:w="698" w:type="dxa"/>
          </w:tcPr>
          <w:p w14:paraId="46C65D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1207*</w:t>
            </w:r>
          </w:p>
        </w:tc>
        <w:tc>
          <w:tcPr>
            <w:tcW w:w="698" w:type="dxa"/>
          </w:tcPr>
          <w:p w14:paraId="42F5F7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w:t>
            </w:r>
          </w:p>
        </w:tc>
        <w:tc>
          <w:tcPr>
            <w:tcW w:w="698" w:type="dxa"/>
          </w:tcPr>
          <w:p w14:paraId="7117D5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w:t>
            </w:r>
          </w:p>
        </w:tc>
        <w:tc>
          <w:tcPr>
            <w:tcW w:w="698" w:type="dxa"/>
          </w:tcPr>
          <w:p w14:paraId="3A7322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3606" w:type="dxa"/>
          </w:tcPr>
          <w:p w14:paraId="6DFE4A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N 39 - 34</w:t>
            </w:r>
          </w:p>
        </w:tc>
      </w:tr>
      <w:tr w:rsidR="00E3599D" w:rsidRPr="00E14102" w14:paraId="548CC201" w14:textId="77777777">
        <w:tc>
          <w:tcPr>
            <w:tcW w:w="1951" w:type="dxa"/>
          </w:tcPr>
          <w:p w14:paraId="59CF7A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Р5 - шт.</w:t>
            </w:r>
          </w:p>
        </w:tc>
        <w:tc>
          <w:tcPr>
            <w:tcW w:w="851" w:type="dxa"/>
          </w:tcPr>
          <w:p w14:paraId="07994A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w:t>
            </w:r>
          </w:p>
        </w:tc>
        <w:tc>
          <w:tcPr>
            <w:tcW w:w="698" w:type="dxa"/>
          </w:tcPr>
          <w:p w14:paraId="1EBF3C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w:t>
            </w:r>
          </w:p>
        </w:tc>
        <w:tc>
          <w:tcPr>
            <w:tcW w:w="698" w:type="dxa"/>
          </w:tcPr>
          <w:p w14:paraId="298FFEE6"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14329200"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7317D8AC"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74E0340B"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58398A0C" w14:textId="77777777" w:rsidR="00D4105E" w:rsidRPr="00E14102" w:rsidRDefault="00D4105E" w:rsidP="00E14102">
            <w:pPr>
              <w:autoSpaceDE w:val="0"/>
              <w:autoSpaceDN w:val="0"/>
              <w:adjustRightInd w:val="0"/>
              <w:jc w:val="both"/>
              <w:rPr>
                <w:color w:val="000000" w:themeColor="text1"/>
                <w:sz w:val="16"/>
                <w:szCs w:val="16"/>
              </w:rPr>
            </w:pPr>
          </w:p>
        </w:tc>
        <w:tc>
          <w:tcPr>
            <w:tcW w:w="3606" w:type="dxa"/>
          </w:tcPr>
          <w:p w14:paraId="3271D8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По зав. N 21</w:t>
            </w:r>
          </w:p>
        </w:tc>
      </w:tr>
      <w:tr w:rsidR="00E3599D" w:rsidRPr="00E14102" w14:paraId="72EED779" w14:textId="77777777">
        <w:tc>
          <w:tcPr>
            <w:tcW w:w="1951" w:type="dxa"/>
          </w:tcPr>
          <w:p w14:paraId="36FB90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Р5-а</w:t>
            </w:r>
          </w:p>
        </w:tc>
        <w:tc>
          <w:tcPr>
            <w:tcW w:w="851" w:type="dxa"/>
          </w:tcPr>
          <w:p w14:paraId="6BD348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98" w:type="dxa"/>
          </w:tcPr>
          <w:p w14:paraId="239CAB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98" w:type="dxa"/>
          </w:tcPr>
          <w:p w14:paraId="4C76B9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98" w:type="dxa"/>
          </w:tcPr>
          <w:p w14:paraId="01C686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47</w:t>
            </w:r>
          </w:p>
        </w:tc>
        <w:tc>
          <w:tcPr>
            <w:tcW w:w="698" w:type="dxa"/>
          </w:tcPr>
          <w:p w14:paraId="382D01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698" w:type="dxa"/>
          </w:tcPr>
          <w:p w14:paraId="31A7B4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w:t>
            </w:r>
          </w:p>
        </w:tc>
        <w:tc>
          <w:tcPr>
            <w:tcW w:w="698" w:type="dxa"/>
          </w:tcPr>
          <w:p w14:paraId="09C96B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3606" w:type="dxa"/>
          </w:tcPr>
          <w:p w14:paraId="0F3157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Все с мотор.</w:t>
            </w:r>
          </w:p>
        </w:tc>
      </w:tr>
      <w:tr w:rsidR="00E3599D" w:rsidRPr="00E14102" w14:paraId="0C189BBA" w14:textId="77777777">
        <w:tc>
          <w:tcPr>
            <w:tcW w:w="1951" w:type="dxa"/>
          </w:tcPr>
          <w:p w14:paraId="4FCD27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ЛР</w:t>
            </w:r>
          </w:p>
        </w:tc>
        <w:tc>
          <w:tcPr>
            <w:tcW w:w="851" w:type="dxa"/>
          </w:tcPr>
          <w:p w14:paraId="0C6305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698" w:type="dxa"/>
          </w:tcPr>
          <w:p w14:paraId="4DDD1B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698" w:type="dxa"/>
          </w:tcPr>
          <w:p w14:paraId="3664C3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698" w:type="dxa"/>
          </w:tcPr>
          <w:p w14:paraId="52B3B5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698" w:type="dxa"/>
          </w:tcPr>
          <w:p w14:paraId="5355B0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698" w:type="dxa"/>
          </w:tcPr>
          <w:p w14:paraId="196DE6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698" w:type="dxa"/>
          </w:tcPr>
          <w:p w14:paraId="283A01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3606" w:type="dxa"/>
          </w:tcPr>
          <w:p w14:paraId="545997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с моторами</w:t>
            </w:r>
          </w:p>
        </w:tc>
      </w:tr>
      <w:tr w:rsidR="00E3599D" w:rsidRPr="00E14102" w14:paraId="4BC74962" w14:textId="77777777">
        <w:tc>
          <w:tcPr>
            <w:tcW w:w="1951" w:type="dxa"/>
          </w:tcPr>
          <w:p w14:paraId="271AE0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w:t>
            </w:r>
          </w:p>
        </w:tc>
        <w:tc>
          <w:tcPr>
            <w:tcW w:w="851" w:type="dxa"/>
          </w:tcPr>
          <w:p w14:paraId="4D1C9B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98" w:type="dxa"/>
          </w:tcPr>
          <w:p w14:paraId="5D7360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98" w:type="dxa"/>
          </w:tcPr>
          <w:p w14:paraId="2E55D1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98" w:type="dxa"/>
          </w:tcPr>
          <w:p w14:paraId="2D4655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94**</w:t>
            </w:r>
          </w:p>
        </w:tc>
        <w:tc>
          <w:tcPr>
            <w:tcW w:w="698" w:type="dxa"/>
          </w:tcPr>
          <w:p w14:paraId="7E3807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56</w:t>
            </w:r>
          </w:p>
        </w:tc>
        <w:tc>
          <w:tcPr>
            <w:tcW w:w="698" w:type="dxa"/>
          </w:tcPr>
          <w:p w14:paraId="467B97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w:t>
            </w:r>
          </w:p>
        </w:tc>
        <w:tc>
          <w:tcPr>
            <w:tcW w:w="698" w:type="dxa"/>
          </w:tcPr>
          <w:p w14:paraId="0E7DE3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 39</w:t>
            </w:r>
          </w:p>
        </w:tc>
        <w:tc>
          <w:tcPr>
            <w:tcW w:w="3606" w:type="dxa"/>
          </w:tcPr>
          <w:p w14:paraId="0E8628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М34РН ни одного</w:t>
            </w:r>
          </w:p>
        </w:tc>
      </w:tr>
      <w:tr w:rsidR="00E3599D" w:rsidRPr="00E14102" w14:paraId="22CE66CA" w14:textId="77777777">
        <w:tc>
          <w:tcPr>
            <w:tcW w:w="1951" w:type="dxa"/>
          </w:tcPr>
          <w:p w14:paraId="375707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w:t>
            </w:r>
          </w:p>
        </w:tc>
        <w:tc>
          <w:tcPr>
            <w:tcW w:w="851" w:type="dxa"/>
          </w:tcPr>
          <w:p w14:paraId="20B543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98" w:type="dxa"/>
          </w:tcPr>
          <w:p w14:paraId="64EC5D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98" w:type="dxa"/>
          </w:tcPr>
          <w:p w14:paraId="5AC8C7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98" w:type="dxa"/>
          </w:tcPr>
          <w:p w14:paraId="63A346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98" w:type="dxa"/>
          </w:tcPr>
          <w:p w14:paraId="09D16F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98" w:type="dxa"/>
          </w:tcPr>
          <w:p w14:paraId="42BDF1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98" w:type="dxa"/>
          </w:tcPr>
          <w:p w14:paraId="0BF95C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3606" w:type="dxa"/>
          </w:tcPr>
          <w:p w14:paraId="785653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 не сдано</w:t>
            </w:r>
          </w:p>
        </w:tc>
      </w:tr>
      <w:tr w:rsidR="00E3599D" w:rsidRPr="00E14102" w14:paraId="1B155F9E" w14:textId="77777777">
        <w:tc>
          <w:tcPr>
            <w:tcW w:w="1951" w:type="dxa"/>
          </w:tcPr>
          <w:p w14:paraId="634A0E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w:t>
            </w:r>
          </w:p>
        </w:tc>
        <w:tc>
          <w:tcPr>
            <w:tcW w:w="851" w:type="dxa"/>
          </w:tcPr>
          <w:p w14:paraId="2B20EA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w:t>
            </w:r>
          </w:p>
        </w:tc>
        <w:tc>
          <w:tcPr>
            <w:tcW w:w="698" w:type="dxa"/>
          </w:tcPr>
          <w:p w14:paraId="28C360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225</w:t>
            </w:r>
          </w:p>
        </w:tc>
        <w:tc>
          <w:tcPr>
            <w:tcW w:w="698" w:type="dxa"/>
          </w:tcPr>
          <w:p w14:paraId="6A4FD2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225</w:t>
            </w:r>
          </w:p>
        </w:tc>
        <w:tc>
          <w:tcPr>
            <w:tcW w:w="698" w:type="dxa"/>
          </w:tcPr>
          <w:p w14:paraId="135DEA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w:t>
            </w:r>
          </w:p>
        </w:tc>
        <w:tc>
          <w:tcPr>
            <w:tcW w:w="698" w:type="dxa"/>
          </w:tcPr>
          <w:p w14:paraId="15010C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184</w:t>
            </w:r>
          </w:p>
        </w:tc>
        <w:tc>
          <w:tcPr>
            <w:tcW w:w="698" w:type="dxa"/>
          </w:tcPr>
          <w:p w14:paraId="645A83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698" w:type="dxa"/>
          </w:tcPr>
          <w:p w14:paraId="7F7EE1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3606" w:type="dxa"/>
          </w:tcPr>
          <w:p w14:paraId="419C0FC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62CECFE" w14:textId="77777777">
        <w:tc>
          <w:tcPr>
            <w:tcW w:w="1951" w:type="dxa"/>
          </w:tcPr>
          <w:p w14:paraId="1E01F7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w:t>
            </w:r>
          </w:p>
        </w:tc>
        <w:tc>
          <w:tcPr>
            <w:tcW w:w="851" w:type="dxa"/>
          </w:tcPr>
          <w:p w14:paraId="4C83D8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98" w:type="dxa"/>
          </w:tcPr>
          <w:p w14:paraId="7903A0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698" w:type="dxa"/>
          </w:tcPr>
          <w:p w14:paraId="1B4414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698" w:type="dxa"/>
          </w:tcPr>
          <w:p w14:paraId="1DCBBA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698" w:type="dxa"/>
          </w:tcPr>
          <w:p w14:paraId="2BC607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698" w:type="dxa"/>
          </w:tcPr>
          <w:p w14:paraId="67201B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698" w:type="dxa"/>
          </w:tcPr>
          <w:p w14:paraId="55D0F5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125</w:t>
            </w:r>
          </w:p>
        </w:tc>
        <w:tc>
          <w:tcPr>
            <w:tcW w:w="3606" w:type="dxa"/>
          </w:tcPr>
          <w:p w14:paraId="4C71007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47E2406" w14:textId="77777777">
        <w:tc>
          <w:tcPr>
            <w:tcW w:w="1951" w:type="dxa"/>
          </w:tcPr>
          <w:p w14:paraId="248C92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И-5</w:t>
            </w:r>
          </w:p>
        </w:tc>
        <w:tc>
          <w:tcPr>
            <w:tcW w:w="851" w:type="dxa"/>
          </w:tcPr>
          <w:p w14:paraId="3FDC5A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w:t>
            </w:r>
          </w:p>
        </w:tc>
        <w:tc>
          <w:tcPr>
            <w:tcW w:w="698" w:type="dxa"/>
          </w:tcPr>
          <w:p w14:paraId="037903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325</w:t>
            </w:r>
          </w:p>
        </w:tc>
        <w:tc>
          <w:tcPr>
            <w:tcW w:w="698" w:type="dxa"/>
          </w:tcPr>
          <w:p w14:paraId="54800D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325</w:t>
            </w:r>
          </w:p>
        </w:tc>
        <w:tc>
          <w:tcPr>
            <w:tcW w:w="698" w:type="dxa"/>
          </w:tcPr>
          <w:p w14:paraId="4F812C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330</w:t>
            </w:r>
          </w:p>
        </w:tc>
        <w:tc>
          <w:tcPr>
            <w:tcW w:w="698" w:type="dxa"/>
          </w:tcPr>
          <w:p w14:paraId="299C90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98" w:type="dxa"/>
          </w:tcPr>
          <w:p w14:paraId="765B28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w:t>
            </w:r>
          </w:p>
        </w:tc>
        <w:tc>
          <w:tcPr>
            <w:tcW w:w="698" w:type="dxa"/>
          </w:tcPr>
          <w:p w14:paraId="2231C6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3606" w:type="dxa"/>
          </w:tcPr>
          <w:p w14:paraId="6AA985C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A9CB160" w14:textId="77777777">
        <w:tc>
          <w:tcPr>
            <w:tcW w:w="1951" w:type="dxa"/>
          </w:tcPr>
          <w:p w14:paraId="7638AF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ХАИ-в</w:t>
            </w:r>
          </w:p>
        </w:tc>
        <w:tc>
          <w:tcPr>
            <w:tcW w:w="851" w:type="dxa"/>
          </w:tcPr>
          <w:p w14:paraId="77C113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698" w:type="dxa"/>
          </w:tcPr>
          <w:p w14:paraId="452256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698" w:type="dxa"/>
          </w:tcPr>
          <w:p w14:paraId="515D46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698" w:type="dxa"/>
          </w:tcPr>
          <w:p w14:paraId="0254C9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698" w:type="dxa"/>
          </w:tcPr>
          <w:p w14:paraId="09CE5A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w:t>
            </w:r>
          </w:p>
        </w:tc>
        <w:tc>
          <w:tcPr>
            <w:tcW w:w="698" w:type="dxa"/>
          </w:tcPr>
          <w:p w14:paraId="4C7752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698" w:type="dxa"/>
          </w:tcPr>
          <w:p w14:paraId="18A476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43</w:t>
            </w:r>
          </w:p>
        </w:tc>
        <w:tc>
          <w:tcPr>
            <w:tcW w:w="3606" w:type="dxa"/>
          </w:tcPr>
          <w:p w14:paraId="7859083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42C5FE8" w14:textId="77777777">
        <w:tc>
          <w:tcPr>
            <w:tcW w:w="1951" w:type="dxa"/>
          </w:tcPr>
          <w:p w14:paraId="384D54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ЗЕТ</w:t>
            </w:r>
          </w:p>
        </w:tc>
        <w:tc>
          <w:tcPr>
            <w:tcW w:w="851" w:type="dxa"/>
          </w:tcPr>
          <w:p w14:paraId="09AA5F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98" w:type="dxa"/>
          </w:tcPr>
          <w:p w14:paraId="681446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98" w:type="dxa"/>
          </w:tcPr>
          <w:p w14:paraId="6CDDD3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98" w:type="dxa"/>
          </w:tcPr>
          <w:p w14:paraId="15135F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698" w:type="dxa"/>
          </w:tcPr>
          <w:p w14:paraId="233EC2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98" w:type="dxa"/>
          </w:tcPr>
          <w:p w14:paraId="39A99D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w:t>
            </w:r>
          </w:p>
        </w:tc>
        <w:tc>
          <w:tcPr>
            <w:tcW w:w="698" w:type="dxa"/>
          </w:tcPr>
          <w:p w14:paraId="3AF96B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135</w:t>
            </w:r>
          </w:p>
        </w:tc>
        <w:tc>
          <w:tcPr>
            <w:tcW w:w="3606" w:type="dxa"/>
          </w:tcPr>
          <w:p w14:paraId="0D8CF8A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DD7F053" w14:textId="77777777">
        <w:tc>
          <w:tcPr>
            <w:tcW w:w="1951" w:type="dxa"/>
          </w:tcPr>
          <w:p w14:paraId="656832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w:t>
            </w:r>
          </w:p>
        </w:tc>
        <w:tc>
          <w:tcPr>
            <w:tcW w:w="851" w:type="dxa"/>
          </w:tcPr>
          <w:p w14:paraId="696376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698" w:type="dxa"/>
          </w:tcPr>
          <w:p w14:paraId="27BABD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698" w:type="dxa"/>
          </w:tcPr>
          <w:p w14:paraId="420C4B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698" w:type="dxa"/>
          </w:tcPr>
          <w:p w14:paraId="6CC5C8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w:t>
            </w:r>
          </w:p>
        </w:tc>
        <w:tc>
          <w:tcPr>
            <w:tcW w:w="698" w:type="dxa"/>
          </w:tcPr>
          <w:p w14:paraId="7AAF70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w:t>
            </w:r>
          </w:p>
        </w:tc>
        <w:tc>
          <w:tcPr>
            <w:tcW w:w="698" w:type="dxa"/>
          </w:tcPr>
          <w:p w14:paraId="37885D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94,5</w:t>
            </w:r>
          </w:p>
        </w:tc>
        <w:tc>
          <w:tcPr>
            <w:tcW w:w="698" w:type="dxa"/>
          </w:tcPr>
          <w:p w14:paraId="0584DF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3606" w:type="dxa"/>
          </w:tcPr>
          <w:p w14:paraId="557CBFD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17933A" w14:textId="77777777">
        <w:tc>
          <w:tcPr>
            <w:tcW w:w="1951" w:type="dxa"/>
          </w:tcPr>
          <w:p w14:paraId="502B5E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w:t>
            </w:r>
          </w:p>
        </w:tc>
        <w:tc>
          <w:tcPr>
            <w:tcW w:w="851" w:type="dxa"/>
          </w:tcPr>
          <w:p w14:paraId="2AD4E6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698" w:type="dxa"/>
          </w:tcPr>
          <w:p w14:paraId="44980D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698" w:type="dxa"/>
          </w:tcPr>
          <w:p w14:paraId="184813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698" w:type="dxa"/>
          </w:tcPr>
          <w:p w14:paraId="201358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698" w:type="dxa"/>
          </w:tcPr>
          <w:p w14:paraId="213C82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698" w:type="dxa"/>
          </w:tcPr>
          <w:p w14:paraId="2966D9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698" w:type="dxa"/>
          </w:tcPr>
          <w:p w14:paraId="69ADAA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3606" w:type="dxa"/>
          </w:tcPr>
          <w:p w14:paraId="46715D5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EE59908" w14:textId="77777777">
        <w:tc>
          <w:tcPr>
            <w:tcW w:w="1951" w:type="dxa"/>
          </w:tcPr>
          <w:p w14:paraId="5177D4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А-Ш</w:t>
            </w:r>
          </w:p>
        </w:tc>
        <w:tc>
          <w:tcPr>
            <w:tcW w:w="851" w:type="dxa"/>
          </w:tcPr>
          <w:p w14:paraId="7D2A1B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98" w:type="dxa"/>
          </w:tcPr>
          <w:p w14:paraId="53729A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98" w:type="dxa"/>
          </w:tcPr>
          <w:p w14:paraId="6E981E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98" w:type="dxa"/>
          </w:tcPr>
          <w:p w14:paraId="5CCE4A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98" w:type="dxa"/>
          </w:tcPr>
          <w:p w14:paraId="71085B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98" w:type="dxa"/>
          </w:tcPr>
          <w:p w14:paraId="68A1BB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98" w:type="dxa"/>
          </w:tcPr>
          <w:p w14:paraId="1FA8FD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3606" w:type="dxa"/>
          </w:tcPr>
          <w:p w14:paraId="310CB0C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E05538C" w14:textId="77777777">
        <w:tc>
          <w:tcPr>
            <w:tcW w:w="1951" w:type="dxa"/>
          </w:tcPr>
          <w:p w14:paraId="592C95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w:t>
            </w:r>
          </w:p>
        </w:tc>
        <w:tc>
          <w:tcPr>
            <w:tcW w:w="851" w:type="dxa"/>
          </w:tcPr>
          <w:p w14:paraId="1E65E3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w:t>
            </w:r>
          </w:p>
        </w:tc>
        <w:tc>
          <w:tcPr>
            <w:tcW w:w="698" w:type="dxa"/>
          </w:tcPr>
          <w:p w14:paraId="45DB7B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698" w:type="dxa"/>
          </w:tcPr>
          <w:p w14:paraId="100E4A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698" w:type="dxa"/>
          </w:tcPr>
          <w:p w14:paraId="0F4BB6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698" w:type="dxa"/>
          </w:tcPr>
          <w:p w14:paraId="669251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98" w:type="dxa"/>
          </w:tcPr>
          <w:p w14:paraId="164BAA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98" w:type="dxa"/>
          </w:tcPr>
          <w:p w14:paraId="6FC994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3606" w:type="dxa"/>
          </w:tcPr>
          <w:p w14:paraId="2362BD4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0B731F2" w14:textId="77777777">
        <w:tc>
          <w:tcPr>
            <w:tcW w:w="1951" w:type="dxa"/>
          </w:tcPr>
          <w:p w14:paraId="4D62DF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Р-Д</w:t>
            </w:r>
          </w:p>
        </w:tc>
        <w:tc>
          <w:tcPr>
            <w:tcW w:w="851" w:type="dxa"/>
          </w:tcPr>
          <w:p w14:paraId="6517A4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98" w:type="dxa"/>
          </w:tcPr>
          <w:p w14:paraId="5720BB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98" w:type="dxa"/>
          </w:tcPr>
          <w:p w14:paraId="1DB5A0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98" w:type="dxa"/>
          </w:tcPr>
          <w:p w14:paraId="5BE849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698" w:type="dxa"/>
          </w:tcPr>
          <w:p w14:paraId="794EDA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98" w:type="dxa"/>
          </w:tcPr>
          <w:p w14:paraId="611C11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698" w:type="dxa"/>
          </w:tcPr>
          <w:p w14:paraId="0CE6B4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3606" w:type="dxa"/>
          </w:tcPr>
          <w:p w14:paraId="09A3170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326B1D0" w14:textId="77777777">
        <w:tc>
          <w:tcPr>
            <w:tcW w:w="1951" w:type="dxa"/>
          </w:tcPr>
          <w:p w14:paraId="1F03F8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851" w:type="dxa"/>
          </w:tcPr>
          <w:p w14:paraId="767107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3531</w:t>
            </w:r>
          </w:p>
        </w:tc>
        <w:tc>
          <w:tcPr>
            <w:tcW w:w="698" w:type="dxa"/>
          </w:tcPr>
          <w:p w14:paraId="693388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3587</w:t>
            </w:r>
          </w:p>
        </w:tc>
        <w:tc>
          <w:tcPr>
            <w:tcW w:w="698" w:type="dxa"/>
          </w:tcPr>
          <w:p w14:paraId="7911CF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3587</w:t>
            </w:r>
          </w:p>
        </w:tc>
        <w:tc>
          <w:tcPr>
            <w:tcW w:w="698" w:type="dxa"/>
          </w:tcPr>
          <w:p w14:paraId="3B5F5D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3026</w:t>
            </w:r>
          </w:p>
        </w:tc>
        <w:tc>
          <w:tcPr>
            <w:tcW w:w="698" w:type="dxa"/>
          </w:tcPr>
          <w:p w14:paraId="549C3E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567</w:t>
            </w:r>
          </w:p>
        </w:tc>
        <w:tc>
          <w:tcPr>
            <w:tcW w:w="698" w:type="dxa"/>
          </w:tcPr>
          <w:p w14:paraId="092702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84</w:t>
            </w:r>
          </w:p>
        </w:tc>
        <w:tc>
          <w:tcPr>
            <w:tcW w:w="698" w:type="dxa"/>
          </w:tcPr>
          <w:p w14:paraId="38952B39" w14:textId="77777777" w:rsidR="00D4105E" w:rsidRPr="00E14102" w:rsidRDefault="00D4105E" w:rsidP="00E14102">
            <w:pPr>
              <w:autoSpaceDE w:val="0"/>
              <w:autoSpaceDN w:val="0"/>
              <w:adjustRightInd w:val="0"/>
              <w:jc w:val="both"/>
              <w:rPr>
                <w:color w:val="000000" w:themeColor="text1"/>
                <w:sz w:val="16"/>
                <w:szCs w:val="16"/>
              </w:rPr>
            </w:pPr>
          </w:p>
        </w:tc>
        <w:tc>
          <w:tcPr>
            <w:tcW w:w="3606" w:type="dxa"/>
          </w:tcPr>
          <w:p w14:paraId="4DA80DD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2B8BF0E" w14:textId="77777777">
        <w:tc>
          <w:tcPr>
            <w:tcW w:w="1951" w:type="dxa"/>
          </w:tcPr>
          <w:p w14:paraId="3E805C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Запасные моторы</w:t>
            </w:r>
          </w:p>
        </w:tc>
        <w:tc>
          <w:tcPr>
            <w:tcW w:w="851" w:type="dxa"/>
          </w:tcPr>
          <w:p w14:paraId="5D75991D"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037FC98D"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5863DBCC"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09F3F615"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6F34365A"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411619C6"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07E79D2C" w14:textId="77777777" w:rsidR="00D4105E" w:rsidRPr="00E14102" w:rsidRDefault="00D4105E" w:rsidP="00E14102">
            <w:pPr>
              <w:autoSpaceDE w:val="0"/>
              <w:autoSpaceDN w:val="0"/>
              <w:adjustRightInd w:val="0"/>
              <w:jc w:val="both"/>
              <w:rPr>
                <w:color w:val="000000" w:themeColor="text1"/>
                <w:sz w:val="16"/>
                <w:szCs w:val="16"/>
              </w:rPr>
            </w:pPr>
          </w:p>
        </w:tc>
        <w:tc>
          <w:tcPr>
            <w:tcW w:w="3606" w:type="dxa"/>
          </w:tcPr>
          <w:p w14:paraId="5B85451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A5C0C5E" w14:textId="77777777">
        <w:tc>
          <w:tcPr>
            <w:tcW w:w="1951" w:type="dxa"/>
          </w:tcPr>
          <w:p w14:paraId="24862F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М-17</w:t>
            </w:r>
          </w:p>
        </w:tc>
        <w:tc>
          <w:tcPr>
            <w:tcW w:w="851" w:type="dxa"/>
          </w:tcPr>
          <w:p w14:paraId="4AE9D8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1900</w:t>
            </w:r>
          </w:p>
        </w:tc>
        <w:tc>
          <w:tcPr>
            <w:tcW w:w="698" w:type="dxa"/>
          </w:tcPr>
          <w:p w14:paraId="081D46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2115</w:t>
            </w:r>
          </w:p>
        </w:tc>
        <w:tc>
          <w:tcPr>
            <w:tcW w:w="698" w:type="dxa"/>
          </w:tcPr>
          <w:p w14:paraId="66223A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2115</w:t>
            </w:r>
          </w:p>
        </w:tc>
        <w:tc>
          <w:tcPr>
            <w:tcW w:w="698" w:type="dxa"/>
          </w:tcPr>
          <w:p w14:paraId="4A2848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2500</w:t>
            </w:r>
          </w:p>
        </w:tc>
        <w:tc>
          <w:tcPr>
            <w:tcW w:w="698" w:type="dxa"/>
          </w:tcPr>
          <w:p w14:paraId="06630B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98" w:type="dxa"/>
          </w:tcPr>
          <w:p w14:paraId="20CA6E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w:t>
            </w:r>
          </w:p>
        </w:tc>
        <w:tc>
          <w:tcPr>
            <w:tcW w:w="698" w:type="dxa"/>
          </w:tcPr>
          <w:p w14:paraId="10EDE4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w:t>
            </w:r>
          </w:p>
        </w:tc>
        <w:tc>
          <w:tcPr>
            <w:tcW w:w="3606" w:type="dxa"/>
          </w:tcPr>
          <w:p w14:paraId="1170AAF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89C341A" w14:textId="77777777">
        <w:tc>
          <w:tcPr>
            <w:tcW w:w="1951" w:type="dxa"/>
          </w:tcPr>
          <w:p w14:paraId="285339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М-11</w:t>
            </w:r>
          </w:p>
        </w:tc>
        <w:tc>
          <w:tcPr>
            <w:tcW w:w="851" w:type="dxa"/>
          </w:tcPr>
          <w:p w14:paraId="1BE239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w:t>
            </w:r>
          </w:p>
        </w:tc>
        <w:tc>
          <w:tcPr>
            <w:tcW w:w="698" w:type="dxa"/>
          </w:tcPr>
          <w:p w14:paraId="50CE4F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698" w:type="dxa"/>
          </w:tcPr>
          <w:p w14:paraId="15DADE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698" w:type="dxa"/>
          </w:tcPr>
          <w:p w14:paraId="089D63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782</w:t>
            </w:r>
          </w:p>
        </w:tc>
        <w:tc>
          <w:tcPr>
            <w:tcW w:w="698" w:type="dxa"/>
          </w:tcPr>
          <w:p w14:paraId="18F81D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698" w:type="dxa"/>
          </w:tcPr>
          <w:p w14:paraId="019B1E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98</w:t>
            </w:r>
          </w:p>
        </w:tc>
        <w:tc>
          <w:tcPr>
            <w:tcW w:w="698" w:type="dxa"/>
          </w:tcPr>
          <w:p w14:paraId="36F6B1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w:t>
            </w:r>
          </w:p>
        </w:tc>
        <w:tc>
          <w:tcPr>
            <w:tcW w:w="3606" w:type="dxa"/>
          </w:tcPr>
          <w:p w14:paraId="310BB14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0997019" w14:textId="77777777">
        <w:tc>
          <w:tcPr>
            <w:tcW w:w="1951" w:type="dxa"/>
          </w:tcPr>
          <w:p w14:paraId="0B879E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М-22</w:t>
            </w:r>
          </w:p>
        </w:tc>
        <w:tc>
          <w:tcPr>
            <w:tcW w:w="851" w:type="dxa"/>
          </w:tcPr>
          <w:p w14:paraId="6CD241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292</w:t>
            </w:r>
          </w:p>
        </w:tc>
        <w:tc>
          <w:tcPr>
            <w:tcW w:w="698" w:type="dxa"/>
          </w:tcPr>
          <w:p w14:paraId="593059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698" w:type="dxa"/>
          </w:tcPr>
          <w:p w14:paraId="2EE2C6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698" w:type="dxa"/>
          </w:tcPr>
          <w:p w14:paraId="4CEE55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698" w:type="dxa"/>
          </w:tcPr>
          <w:p w14:paraId="6E5EE5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98" w:type="dxa"/>
          </w:tcPr>
          <w:p w14:paraId="499D10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98" w:type="dxa"/>
          </w:tcPr>
          <w:p w14:paraId="298A5B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w:t>
            </w:r>
          </w:p>
        </w:tc>
        <w:tc>
          <w:tcPr>
            <w:tcW w:w="3606" w:type="dxa"/>
          </w:tcPr>
          <w:p w14:paraId="3BF2119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195132" w14:textId="77777777">
        <w:tc>
          <w:tcPr>
            <w:tcW w:w="1951" w:type="dxa"/>
          </w:tcPr>
          <w:p w14:paraId="296E49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М-34Р}</w:t>
            </w:r>
          </w:p>
        </w:tc>
        <w:tc>
          <w:tcPr>
            <w:tcW w:w="851" w:type="dxa"/>
          </w:tcPr>
          <w:p w14:paraId="06FEB6C3"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74B61B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98" w:type="dxa"/>
          </w:tcPr>
          <w:p w14:paraId="094E99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98" w:type="dxa"/>
          </w:tcPr>
          <w:p w14:paraId="275900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98" w:type="dxa"/>
          </w:tcPr>
          <w:p w14:paraId="1C6CF5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98" w:type="dxa"/>
          </w:tcPr>
          <w:p w14:paraId="1B2211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98" w:type="dxa"/>
          </w:tcPr>
          <w:p w14:paraId="0517AD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w:t>
            </w:r>
          </w:p>
        </w:tc>
        <w:tc>
          <w:tcPr>
            <w:tcW w:w="3606" w:type="dxa"/>
          </w:tcPr>
          <w:p w14:paraId="786B153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3824644" w14:textId="77777777">
        <w:tc>
          <w:tcPr>
            <w:tcW w:w="1951" w:type="dxa"/>
          </w:tcPr>
          <w:p w14:paraId="494CB4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М-34РН}</w:t>
            </w:r>
          </w:p>
        </w:tc>
        <w:tc>
          <w:tcPr>
            <w:tcW w:w="851" w:type="dxa"/>
          </w:tcPr>
          <w:p w14:paraId="1EC1A4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w:t>
            </w:r>
          </w:p>
        </w:tc>
        <w:tc>
          <w:tcPr>
            <w:tcW w:w="698" w:type="dxa"/>
          </w:tcPr>
          <w:p w14:paraId="05E29F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98" w:type="dxa"/>
          </w:tcPr>
          <w:p w14:paraId="620530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98" w:type="dxa"/>
          </w:tcPr>
          <w:p w14:paraId="7C2ED3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98" w:type="dxa"/>
          </w:tcPr>
          <w:p w14:paraId="2B809F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98" w:type="dxa"/>
          </w:tcPr>
          <w:p w14:paraId="0065F4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698" w:type="dxa"/>
          </w:tcPr>
          <w:p w14:paraId="62537D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w:t>
            </w:r>
          </w:p>
        </w:tc>
        <w:tc>
          <w:tcPr>
            <w:tcW w:w="3606" w:type="dxa"/>
          </w:tcPr>
          <w:p w14:paraId="380F718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A1DABE" w14:textId="77777777">
        <w:tc>
          <w:tcPr>
            <w:tcW w:w="1951" w:type="dxa"/>
          </w:tcPr>
          <w:p w14:paraId="77CE87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w:t>
            </w:r>
          </w:p>
        </w:tc>
        <w:tc>
          <w:tcPr>
            <w:tcW w:w="851" w:type="dxa"/>
          </w:tcPr>
          <w:p w14:paraId="493DA3C9"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5CC132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98" w:type="dxa"/>
          </w:tcPr>
          <w:p w14:paraId="7AC8D7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98" w:type="dxa"/>
          </w:tcPr>
          <w:p w14:paraId="05FD18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61</w:t>
            </w:r>
          </w:p>
        </w:tc>
        <w:tc>
          <w:tcPr>
            <w:tcW w:w="698" w:type="dxa"/>
          </w:tcPr>
          <w:p w14:paraId="599793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98" w:type="dxa"/>
          </w:tcPr>
          <w:p w14:paraId="26F26B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98" w:type="dxa"/>
          </w:tcPr>
          <w:p w14:paraId="3D23B1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w:t>
            </w:r>
          </w:p>
        </w:tc>
        <w:tc>
          <w:tcPr>
            <w:tcW w:w="3606" w:type="dxa"/>
          </w:tcPr>
          <w:p w14:paraId="1D69CB1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79A6B5C" w14:textId="77777777">
        <w:tc>
          <w:tcPr>
            <w:tcW w:w="1951" w:type="dxa"/>
          </w:tcPr>
          <w:p w14:paraId="2251A8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851" w:type="dxa"/>
          </w:tcPr>
          <w:p w14:paraId="31BE0645"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6203553D"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34E9EC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3275</w:t>
            </w:r>
          </w:p>
        </w:tc>
        <w:tc>
          <w:tcPr>
            <w:tcW w:w="698" w:type="dxa"/>
          </w:tcPr>
          <w:p w14:paraId="0D27FD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3603</w:t>
            </w:r>
          </w:p>
        </w:tc>
        <w:tc>
          <w:tcPr>
            <w:tcW w:w="698" w:type="dxa"/>
          </w:tcPr>
          <w:p w14:paraId="5226EB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168</w:t>
            </w:r>
          </w:p>
        </w:tc>
        <w:tc>
          <w:tcPr>
            <w:tcW w:w="698" w:type="dxa"/>
          </w:tcPr>
          <w:p w14:paraId="3A379B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698" w:type="dxa"/>
          </w:tcPr>
          <w:p w14:paraId="02557ADC" w14:textId="77777777" w:rsidR="00D4105E" w:rsidRPr="00E14102" w:rsidRDefault="00D4105E" w:rsidP="00E14102">
            <w:pPr>
              <w:autoSpaceDE w:val="0"/>
              <w:autoSpaceDN w:val="0"/>
              <w:adjustRightInd w:val="0"/>
              <w:jc w:val="both"/>
              <w:rPr>
                <w:color w:val="000000" w:themeColor="text1"/>
                <w:sz w:val="16"/>
                <w:szCs w:val="16"/>
              </w:rPr>
            </w:pPr>
          </w:p>
        </w:tc>
        <w:tc>
          <w:tcPr>
            <w:tcW w:w="3606" w:type="dxa"/>
          </w:tcPr>
          <w:p w14:paraId="2456F8F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443E337" w14:textId="77777777">
        <w:tc>
          <w:tcPr>
            <w:tcW w:w="1951" w:type="dxa"/>
          </w:tcPr>
          <w:p w14:paraId="3A157F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Сверх программы сдано:</w:t>
            </w:r>
          </w:p>
        </w:tc>
        <w:tc>
          <w:tcPr>
            <w:tcW w:w="851" w:type="dxa"/>
          </w:tcPr>
          <w:p w14:paraId="65C5DAED"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726C92A2"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4A423734"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694CA486"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3C509254"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7A0A7EB3"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7FAB7F3A" w14:textId="77777777" w:rsidR="00D4105E" w:rsidRPr="00E14102" w:rsidRDefault="00D4105E" w:rsidP="00E14102">
            <w:pPr>
              <w:autoSpaceDE w:val="0"/>
              <w:autoSpaceDN w:val="0"/>
              <w:adjustRightInd w:val="0"/>
              <w:jc w:val="both"/>
              <w:rPr>
                <w:color w:val="000000" w:themeColor="text1"/>
                <w:sz w:val="16"/>
                <w:szCs w:val="16"/>
              </w:rPr>
            </w:pPr>
          </w:p>
        </w:tc>
        <w:tc>
          <w:tcPr>
            <w:tcW w:w="3606" w:type="dxa"/>
          </w:tcPr>
          <w:p w14:paraId="713CCAF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64A6F74" w14:textId="77777777">
        <w:tc>
          <w:tcPr>
            <w:tcW w:w="1951" w:type="dxa"/>
          </w:tcPr>
          <w:p w14:paraId="7B707B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Самолетов</w:t>
            </w:r>
          </w:p>
        </w:tc>
        <w:tc>
          <w:tcPr>
            <w:tcW w:w="851" w:type="dxa"/>
          </w:tcPr>
          <w:p w14:paraId="253881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w:t>
            </w:r>
          </w:p>
        </w:tc>
        <w:tc>
          <w:tcPr>
            <w:tcW w:w="698" w:type="dxa"/>
          </w:tcPr>
          <w:p w14:paraId="03D02E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73*</w:t>
            </w:r>
          </w:p>
        </w:tc>
        <w:tc>
          <w:tcPr>
            <w:tcW w:w="698" w:type="dxa"/>
          </w:tcPr>
          <w:p w14:paraId="648E60B9"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45217DFC"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30EB1227"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45242155"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161F9871" w14:textId="77777777" w:rsidR="00D4105E" w:rsidRPr="00E14102" w:rsidRDefault="00D4105E" w:rsidP="00E14102">
            <w:pPr>
              <w:autoSpaceDE w:val="0"/>
              <w:autoSpaceDN w:val="0"/>
              <w:adjustRightInd w:val="0"/>
              <w:jc w:val="both"/>
              <w:rPr>
                <w:color w:val="000000" w:themeColor="text1"/>
                <w:sz w:val="16"/>
                <w:szCs w:val="16"/>
              </w:rPr>
            </w:pPr>
          </w:p>
        </w:tc>
        <w:tc>
          <w:tcPr>
            <w:tcW w:w="3606" w:type="dxa"/>
          </w:tcPr>
          <w:p w14:paraId="5527E3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Из низ заводом N 23 50 шт. Самолетов сданы Осоавиахиму и в УВС не поступили.</w:t>
            </w:r>
          </w:p>
        </w:tc>
      </w:tr>
      <w:tr w:rsidR="00E3599D" w:rsidRPr="00E14102" w14:paraId="308F2201" w14:textId="77777777">
        <w:tc>
          <w:tcPr>
            <w:tcW w:w="1951" w:type="dxa"/>
          </w:tcPr>
          <w:p w14:paraId="20A29AF8"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191FF0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И-7</w:t>
            </w:r>
          </w:p>
        </w:tc>
        <w:tc>
          <w:tcPr>
            <w:tcW w:w="698" w:type="dxa"/>
          </w:tcPr>
          <w:p w14:paraId="79502D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64</w:t>
            </w:r>
          </w:p>
        </w:tc>
        <w:tc>
          <w:tcPr>
            <w:tcW w:w="698" w:type="dxa"/>
          </w:tcPr>
          <w:p w14:paraId="13E7A8D7"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3944F1EF"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25022FA6"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5FEAB444"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4A12810D" w14:textId="77777777" w:rsidR="00D4105E" w:rsidRPr="00E14102" w:rsidRDefault="00D4105E" w:rsidP="00E14102">
            <w:pPr>
              <w:autoSpaceDE w:val="0"/>
              <w:autoSpaceDN w:val="0"/>
              <w:adjustRightInd w:val="0"/>
              <w:jc w:val="both"/>
              <w:rPr>
                <w:color w:val="000000" w:themeColor="text1"/>
                <w:sz w:val="16"/>
                <w:szCs w:val="16"/>
              </w:rPr>
            </w:pPr>
          </w:p>
        </w:tc>
        <w:tc>
          <w:tcPr>
            <w:tcW w:w="3606" w:type="dxa"/>
          </w:tcPr>
          <w:p w14:paraId="42ED9C3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015489" w14:textId="77777777">
        <w:tc>
          <w:tcPr>
            <w:tcW w:w="1951" w:type="dxa"/>
          </w:tcPr>
          <w:p w14:paraId="7E185E65"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07EA47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М-17</w:t>
            </w:r>
          </w:p>
        </w:tc>
        <w:tc>
          <w:tcPr>
            <w:tcW w:w="698" w:type="dxa"/>
          </w:tcPr>
          <w:p w14:paraId="41BEED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698" w:type="dxa"/>
          </w:tcPr>
          <w:p w14:paraId="54B2E9B6"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6EBCCF98"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5C74EA4F"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0C4DCEB7"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1FFFF92E" w14:textId="77777777" w:rsidR="00D4105E" w:rsidRPr="00E14102" w:rsidRDefault="00D4105E" w:rsidP="00E14102">
            <w:pPr>
              <w:autoSpaceDE w:val="0"/>
              <w:autoSpaceDN w:val="0"/>
              <w:adjustRightInd w:val="0"/>
              <w:jc w:val="both"/>
              <w:rPr>
                <w:color w:val="000000" w:themeColor="text1"/>
                <w:sz w:val="16"/>
                <w:szCs w:val="16"/>
              </w:rPr>
            </w:pPr>
          </w:p>
        </w:tc>
        <w:tc>
          <w:tcPr>
            <w:tcW w:w="3606" w:type="dxa"/>
          </w:tcPr>
          <w:p w14:paraId="3A07241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74164B7" w14:textId="77777777">
        <w:tc>
          <w:tcPr>
            <w:tcW w:w="1951" w:type="dxa"/>
          </w:tcPr>
          <w:p w14:paraId="3114EA1B"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0A65DB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Р6 М-17</w:t>
            </w:r>
          </w:p>
        </w:tc>
        <w:tc>
          <w:tcPr>
            <w:tcW w:w="698" w:type="dxa"/>
          </w:tcPr>
          <w:p w14:paraId="00A5D1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698" w:type="dxa"/>
          </w:tcPr>
          <w:p w14:paraId="746E63CF"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49F80133"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4A52D06D"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6612C9B3"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Pr>
          <w:p w14:paraId="79D0CBA3" w14:textId="77777777" w:rsidR="00D4105E" w:rsidRPr="00E14102" w:rsidRDefault="00D4105E" w:rsidP="00E14102">
            <w:pPr>
              <w:autoSpaceDE w:val="0"/>
              <w:autoSpaceDN w:val="0"/>
              <w:adjustRightInd w:val="0"/>
              <w:jc w:val="both"/>
              <w:rPr>
                <w:color w:val="000000" w:themeColor="text1"/>
                <w:sz w:val="16"/>
                <w:szCs w:val="16"/>
              </w:rPr>
            </w:pPr>
          </w:p>
        </w:tc>
        <w:tc>
          <w:tcPr>
            <w:tcW w:w="3606" w:type="dxa"/>
          </w:tcPr>
          <w:p w14:paraId="5A2136D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14C5BD5" w14:textId="77777777">
        <w:tc>
          <w:tcPr>
            <w:tcW w:w="1951" w:type="dxa"/>
            <w:tcBorders>
              <w:bottom w:val="single" w:sz="12" w:space="0" w:color="auto"/>
            </w:tcBorders>
          </w:tcPr>
          <w:p w14:paraId="32C1AA6E"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Borders>
              <w:bottom w:val="single" w:sz="12" w:space="0" w:color="auto"/>
            </w:tcBorders>
          </w:tcPr>
          <w:p w14:paraId="4AB411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 шт. со Шкас</w:t>
            </w:r>
          </w:p>
        </w:tc>
        <w:tc>
          <w:tcPr>
            <w:tcW w:w="698" w:type="dxa"/>
            <w:tcBorders>
              <w:bottom w:val="single" w:sz="12" w:space="0" w:color="auto"/>
            </w:tcBorders>
          </w:tcPr>
          <w:p w14:paraId="79162FBF"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Borders>
              <w:bottom w:val="single" w:sz="12" w:space="0" w:color="auto"/>
            </w:tcBorders>
          </w:tcPr>
          <w:p w14:paraId="6332AACB"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Borders>
              <w:bottom w:val="single" w:sz="12" w:space="0" w:color="auto"/>
            </w:tcBorders>
          </w:tcPr>
          <w:p w14:paraId="29CF2A0E"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Borders>
              <w:bottom w:val="single" w:sz="12" w:space="0" w:color="auto"/>
            </w:tcBorders>
          </w:tcPr>
          <w:p w14:paraId="0B8D1BAD"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Borders>
              <w:bottom w:val="single" w:sz="12" w:space="0" w:color="auto"/>
            </w:tcBorders>
          </w:tcPr>
          <w:p w14:paraId="3F6B855A" w14:textId="77777777" w:rsidR="00D4105E" w:rsidRPr="00E14102" w:rsidRDefault="00D4105E" w:rsidP="00E14102">
            <w:pPr>
              <w:autoSpaceDE w:val="0"/>
              <w:autoSpaceDN w:val="0"/>
              <w:adjustRightInd w:val="0"/>
              <w:jc w:val="both"/>
              <w:rPr>
                <w:color w:val="000000" w:themeColor="text1"/>
                <w:sz w:val="16"/>
                <w:szCs w:val="16"/>
              </w:rPr>
            </w:pPr>
          </w:p>
        </w:tc>
        <w:tc>
          <w:tcPr>
            <w:tcW w:w="698" w:type="dxa"/>
            <w:tcBorders>
              <w:bottom w:val="single" w:sz="12" w:space="0" w:color="auto"/>
            </w:tcBorders>
          </w:tcPr>
          <w:p w14:paraId="1AE7AECE" w14:textId="77777777" w:rsidR="00D4105E" w:rsidRPr="00E14102" w:rsidRDefault="00D4105E" w:rsidP="00E14102">
            <w:pPr>
              <w:autoSpaceDE w:val="0"/>
              <w:autoSpaceDN w:val="0"/>
              <w:adjustRightInd w:val="0"/>
              <w:jc w:val="both"/>
              <w:rPr>
                <w:color w:val="000000" w:themeColor="text1"/>
                <w:sz w:val="16"/>
                <w:szCs w:val="16"/>
              </w:rPr>
            </w:pPr>
          </w:p>
        </w:tc>
        <w:tc>
          <w:tcPr>
            <w:tcW w:w="3606" w:type="dxa"/>
            <w:tcBorders>
              <w:bottom w:val="single" w:sz="12" w:space="0" w:color="auto"/>
            </w:tcBorders>
          </w:tcPr>
          <w:p w14:paraId="4529D7E6" w14:textId="77777777" w:rsidR="00D4105E" w:rsidRPr="00E14102" w:rsidRDefault="00D4105E" w:rsidP="00E14102">
            <w:pPr>
              <w:autoSpaceDE w:val="0"/>
              <w:autoSpaceDN w:val="0"/>
              <w:adjustRightInd w:val="0"/>
              <w:jc w:val="both"/>
              <w:rPr>
                <w:color w:val="000000" w:themeColor="text1"/>
                <w:sz w:val="16"/>
                <w:szCs w:val="16"/>
              </w:rPr>
            </w:pPr>
          </w:p>
        </w:tc>
      </w:tr>
    </w:tbl>
    <w:p w14:paraId="196BECF2" w14:textId="77777777" w:rsidR="00D4105E" w:rsidRPr="00E14102" w:rsidRDefault="00D4105E" w:rsidP="00E14102">
      <w:pPr>
        <w:autoSpaceDE w:val="0"/>
        <w:autoSpaceDN w:val="0"/>
        <w:adjustRightInd w:val="0"/>
        <w:jc w:val="both"/>
        <w:rPr>
          <w:color w:val="000000" w:themeColor="text1"/>
          <w:sz w:val="16"/>
          <w:szCs w:val="16"/>
        </w:rPr>
      </w:pPr>
    </w:p>
    <w:p w14:paraId="5C6DCF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марта 1935 Тухачевский утвердил ТТТ на четыре типа авиамин - “самоходных мин” и Майзеля. Самой маленькой была ЗАМ-осколочная весом 115 кг, в т.ч. 11 кг тротила и 2400 шрапнельных элемента. Дальность полета - 2000 м. Затем шла ЗАМ-УСП весом 125 кг. При том же роторе дальность - 1.5 км. Затем - ЗАМ-П с 100 кг ротором для стрельбы по строю самолетов или дирижаблям. При общем весе 175-200 кг - 20 кг врывчатки. Поражение - осколками ротора. Носитель - Р-5. Новый ПБП - 500-550 кг для атаки на крыпные объекты. Носитель - ТБ-3. Сначала выливалось 200 кг ОВ, а затем 20 кг подрывалли роторы (8908,37).</w:t>
      </w:r>
    </w:p>
    <w:p w14:paraId="7BBAE4A1" w14:textId="77777777" w:rsidR="00D4105E" w:rsidRPr="00E14102" w:rsidRDefault="00D4105E" w:rsidP="00E14102">
      <w:pPr>
        <w:autoSpaceDE w:val="0"/>
        <w:autoSpaceDN w:val="0"/>
        <w:adjustRightInd w:val="0"/>
        <w:jc w:val="both"/>
        <w:rPr>
          <w:color w:val="000000" w:themeColor="text1"/>
          <w:sz w:val="16"/>
          <w:szCs w:val="16"/>
        </w:rPr>
      </w:pPr>
    </w:p>
    <w:p w14:paraId="4BE1ED7F" w14:textId="77777777" w:rsidR="00BA750D" w:rsidRPr="00E14102" w:rsidRDefault="00BA750D" w:rsidP="00E14102">
      <w:pPr>
        <w:pStyle w:val="rtejustify"/>
        <w:spacing w:before="0" w:after="0"/>
        <w:rPr>
          <w:color w:val="000000" w:themeColor="text1"/>
          <w:sz w:val="16"/>
          <w:szCs w:val="16"/>
        </w:rPr>
      </w:pPr>
      <w:r w:rsidRPr="00E14102">
        <w:rPr>
          <w:rStyle w:val="a6"/>
          <w:bCs/>
          <w:i w:val="0"/>
          <w:color w:val="000000" w:themeColor="text1"/>
          <w:sz w:val="16"/>
          <w:szCs w:val="16"/>
        </w:rPr>
        <w:t>5 марта</w:t>
      </w:r>
      <w:r w:rsidRPr="00E14102">
        <w:rPr>
          <w:color w:val="000000" w:themeColor="text1"/>
          <w:sz w:val="16"/>
          <w:szCs w:val="16"/>
        </w:rPr>
        <w:t xml:space="preserve">1935 Решение Политбюро № 22. 20. О подготовке и проведении перелета Леваневского (ПБ от 26 января 1935 г., пр. № 20, п. 133). — ОП. 56. Вопрос КО (о финансировании строительства стратостатов) (ПБ от 3 марта 1935 г.). — ОП. </w:t>
      </w:r>
      <w:r w:rsidRPr="00E14102">
        <w:rPr>
          <w:rStyle w:val="a6"/>
          <w:i w:val="0"/>
          <w:color w:val="000000" w:themeColor="text1"/>
          <w:sz w:val="16"/>
          <w:szCs w:val="16"/>
        </w:rPr>
        <w:t>Постановили</w:t>
      </w:r>
      <w:r w:rsidRPr="00E14102">
        <w:rPr>
          <w:color w:val="000000" w:themeColor="text1"/>
          <w:sz w:val="16"/>
          <w:szCs w:val="16"/>
        </w:rPr>
        <w:t>: утвердить решение СТО об отпуске НКОбороны СССР из резервного фонда СНК 1 500 000 руб. на выполнение подготовительных работ, конструирование и постройку стратостатов и на проведение полетов в стратосферу. (Политбюро ЦК РКП(б)-ВКП(Б). Повестки дня заседаний. 1919</w:t>
      </w:r>
      <w:r w:rsidRPr="00E14102">
        <w:rPr>
          <w:color w:val="000000" w:themeColor="text1"/>
          <w:sz w:val="16"/>
          <w:szCs w:val="16"/>
        </w:rPr>
        <w:noBreakHyphen/>
        <w:t>1952: Каталог / Т. 2. С. 627, 628; РГАСПИ. Ф. 17. Оп. 162. Д. 17. Л. 135, 136, 138</w:t>
      </w:r>
      <w:r w:rsidRPr="00E14102">
        <w:rPr>
          <w:color w:val="000000" w:themeColor="text1"/>
          <w:sz w:val="16"/>
          <w:szCs w:val="16"/>
        </w:rPr>
        <w:noBreakHyphen/>
        <w:t>140) (15462).</w:t>
      </w:r>
    </w:p>
    <w:p w14:paraId="35610877" w14:textId="77777777" w:rsidR="00BA750D" w:rsidRPr="00E14102" w:rsidRDefault="00BA750D" w:rsidP="00E14102">
      <w:pPr>
        <w:pStyle w:val="rtejustify"/>
        <w:spacing w:before="0" w:after="0"/>
        <w:rPr>
          <w:color w:val="000000" w:themeColor="text1"/>
          <w:sz w:val="16"/>
          <w:szCs w:val="16"/>
        </w:rPr>
      </w:pPr>
    </w:p>
    <w:p w14:paraId="60CAD999" w14:textId="77777777" w:rsidR="002615C2" w:rsidRPr="00E14102" w:rsidRDefault="002615C2" w:rsidP="00E14102">
      <w:pPr>
        <w:jc w:val="both"/>
        <w:rPr>
          <w:color w:val="0070C0"/>
          <w:sz w:val="16"/>
          <w:szCs w:val="16"/>
        </w:rPr>
      </w:pPr>
      <w:r w:rsidRPr="00E14102">
        <w:rPr>
          <w:color w:val="0070C0"/>
          <w:sz w:val="16"/>
          <w:szCs w:val="16"/>
        </w:rPr>
        <w:t>5 марта 1935 состоялось заседание ПБ и подписан протокол № 22</w:t>
      </w:r>
    </w:p>
    <w:p w14:paraId="610A9E25" w14:textId="77777777" w:rsidR="002615C2" w:rsidRPr="00E14102" w:rsidRDefault="002615C2" w:rsidP="00E14102">
      <w:pPr>
        <w:jc w:val="both"/>
        <w:rPr>
          <w:color w:val="0070C0"/>
          <w:sz w:val="16"/>
          <w:szCs w:val="16"/>
        </w:rPr>
      </w:pPr>
      <w:r w:rsidRPr="00E14102">
        <w:rPr>
          <w:color w:val="0070C0"/>
          <w:sz w:val="16"/>
          <w:szCs w:val="16"/>
        </w:rPr>
        <w:t>27 февраля 1935 опросом членов ПБ</w:t>
      </w:r>
    </w:p>
    <w:p w14:paraId="6F61C9EE" w14:textId="77777777" w:rsidR="002615C2" w:rsidRPr="00E14102" w:rsidRDefault="002615C2" w:rsidP="00E14102">
      <w:pPr>
        <w:jc w:val="both"/>
        <w:rPr>
          <w:color w:val="0070C0"/>
          <w:sz w:val="16"/>
          <w:szCs w:val="16"/>
        </w:rPr>
      </w:pPr>
      <w:r w:rsidRPr="00E14102">
        <w:rPr>
          <w:color w:val="0070C0"/>
          <w:sz w:val="16"/>
          <w:szCs w:val="16"/>
        </w:rPr>
        <w:t>20.- О подготовке и проведении перелета т. Леваневского,</w:t>
      </w:r>
    </w:p>
    <w:p w14:paraId="158C9D29" w14:textId="77777777" w:rsidR="002615C2" w:rsidRPr="00E14102" w:rsidRDefault="002615C2" w:rsidP="00E14102">
      <w:pPr>
        <w:jc w:val="both"/>
        <w:rPr>
          <w:color w:val="0070C0"/>
          <w:sz w:val="16"/>
          <w:szCs w:val="16"/>
        </w:rPr>
      </w:pPr>
      <w:r w:rsidRPr="00E14102">
        <w:rPr>
          <w:color w:val="0070C0"/>
          <w:sz w:val="16"/>
          <w:szCs w:val="16"/>
        </w:rPr>
        <w:t>(ПБ от 26.1.1935 г ., Пр. № 20, п. 133).</w:t>
      </w:r>
    </w:p>
    <w:p w14:paraId="4E75DE5F" w14:textId="77777777" w:rsidR="002615C2" w:rsidRPr="00E14102" w:rsidRDefault="002615C2" w:rsidP="00E14102">
      <w:pPr>
        <w:jc w:val="both"/>
        <w:rPr>
          <w:color w:val="0070C0"/>
          <w:sz w:val="16"/>
          <w:szCs w:val="16"/>
        </w:rPr>
      </w:pPr>
      <w:r w:rsidRPr="00E14102">
        <w:rPr>
          <w:color w:val="0070C0"/>
          <w:sz w:val="16"/>
          <w:szCs w:val="16"/>
        </w:rPr>
        <w:t>Утвердить проект постановления СТО (см. приложение).</w:t>
      </w:r>
    </w:p>
    <w:p w14:paraId="1AE0D05C" w14:textId="77777777" w:rsidR="002615C2" w:rsidRPr="00E14102" w:rsidRDefault="002615C2" w:rsidP="00E14102">
      <w:pPr>
        <w:jc w:val="both"/>
        <w:rPr>
          <w:color w:val="0070C0"/>
          <w:sz w:val="16"/>
          <w:szCs w:val="16"/>
        </w:rPr>
      </w:pPr>
      <w:r w:rsidRPr="00E14102">
        <w:rPr>
          <w:color w:val="0070C0"/>
          <w:sz w:val="16"/>
          <w:szCs w:val="16"/>
        </w:rPr>
        <w:t>ПРИЛОЖЕНИЕ</w:t>
      </w:r>
    </w:p>
    <w:p w14:paraId="3DA617D6" w14:textId="77777777" w:rsidR="002615C2" w:rsidRPr="00E14102" w:rsidRDefault="002615C2" w:rsidP="00E14102">
      <w:pPr>
        <w:jc w:val="both"/>
        <w:rPr>
          <w:color w:val="0070C0"/>
          <w:sz w:val="16"/>
          <w:szCs w:val="16"/>
        </w:rPr>
      </w:pPr>
      <w:r w:rsidRPr="00E14102">
        <w:rPr>
          <w:color w:val="0070C0"/>
          <w:sz w:val="16"/>
          <w:szCs w:val="16"/>
        </w:rPr>
        <w:t>к п. 20 (о.п.) пр. ПБ 22.</w:t>
      </w:r>
    </w:p>
    <w:p w14:paraId="27ED5259" w14:textId="77777777" w:rsidR="002615C2" w:rsidRPr="00E14102" w:rsidRDefault="002615C2" w:rsidP="00E14102">
      <w:pPr>
        <w:jc w:val="both"/>
        <w:rPr>
          <w:color w:val="0070C0"/>
          <w:sz w:val="16"/>
          <w:szCs w:val="16"/>
        </w:rPr>
      </w:pPr>
      <w:r w:rsidRPr="00E14102">
        <w:rPr>
          <w:color w:val="0070C0"/>
          <w:sz w:val="16"/>
          <w:szCs w:val="16"/>
        </w:rPr>
        <w:t>Постановление Совета Труда и Обороны</w:t>
      </w:r>
      <w:r w:rsidRPr="00E14102">
        <w:rPr>
          <w:color w:val="0070C0"/>
          <w:sz w:val="16"/>
          <w:szCs w:val="16"/>
        </w:rPr>
        <w:tab/>
        <w:t>СССР</w:t>
      </w:r>
    </w:p>
    <w:p w14:paraId="567CDF7F" w14:textId="77777777" w:rsidR="002615C2" w:rsidRPr="00E14102" w:rsidRDefault="002615C2" w:rsidP="00E14102">
      <w:pPr>
        <w:jc w:val="both"/>
        <w:rPr>
          <w:color w:val="0070C0"/>
          <w:sz w:val="16"/>
          <w:szCs w:val="16"/>
        </w:rPr>
      </w:pPr>
      <w:r w:rsidRPr="00E14102">
        <w:rPr>
          <w:color w:val="0070C0"/>
          <w:sz w:val="16"/>
          <w:szCs w:val="16"/>
        </w:rPr>
        <w:t>(Утверждено Политбюро ЦК ВКП(б) 27 февраля 1935 года).</w:t>
      </w:r>
    </w:p>
    <w:p w14:paraId="0F96E9B3" w14:textId="77777777" w:rsidR="002615C2" w:rsidRPr="00E14102" w:rsidRDefault="002615C2" w:rsidP="00E14102">
      <w:pPr>
        <w:jc w:val="both"/>
        <w:rPr>
          <w:color w:val="0070C0"/>
          <w:sz w:val="16"/>
          <w:szCs w:val="16"/>
        </w:rPr>
      </w:pPr>
      <w:r w:rsidRPr="00E14102">
        <w:rPr>
          <w:color w:val="0070C0"/>
          <w:sz w:val="16"/>
          <w:szCs w:val="16"/>
        </w:rPr>
        <w:t>Совет Торда и Обороны постановляет:</w:t>
      </w:r>
    </w:p>
    <w:p w14:paraId="2B903459" w14:textId="77777777" w:rsidR="002615C2" w:rsidRPr="00E14102" w:rsidRDefault="002615C2" w:rsidP="00E14102">
      <w:pPr>
        <w:jc w:val="both"/>
        <w:rPr>
          <w:color w:val="0070C0"/>
          <w:sz w:val="16"/>
          <w:szCs w:val="16"/>
        </w:rPr>
      </w:pPr>
      <w:r w:rsidRPr="00E14102">
        <w:rPr>
          <w:color w:val="0070C0"/>
          <w:sz w:val="16"/>
          <w:szCs w:val="16"/>
        </w:rPr>
        <w:t>1. Принять предложение т.Леваневского о перелете летом (июль) 1935 года без посадки по маршруту Москва-Сан-Францпско, через Северный Полюс, па самолете Р.Д.</w:t>
      </w:r>
    </w:p>
    <w:p w14:paraId="5634F646" w14:textId="77777777" w:rsidR="002615C2" w:rsidRPr="00E14102" w:rsidRDefault="002615C2" w:rsidP="00E14102">
      <w:pPr>
        <w:jc w:val="both"/>
        <w:rPr>
          <w:color w:val="0070C0"/>
          <w:sz w:val="16"/>
          <w:szCs w:val="16"/>
        </w:rPr>
      </w:pPr>
      <w:r w:rsidRPr="00E14102">
        <w:rPr>
          <w:color w:val="0070C0"/>
          <w:sz w:val="16"/>
          <w:szCs w:val="16"/>
        </w:rPr>
        <w:t>2. 0бязать Наркомтяжпрои, под ответственность т. Орджони</w:t>
      </w:r>
      <w:r w:rsidRPr="00E14102">
        <w:rPr>
          <w:color w:val="0070C0"/>
          <w:sz w:val="16"/>
          <w:szCs w:val="16"/>
        </w:rPr>
        <w:softHyphen/>
        <w:t>кидзе, произвести необходимые переделки в самолете Р.Д. для указанного перелета и обеспечить самолет моторами М34 для испы</w:t>
      </w:r>
      <w:r w:rsidRPr="00E14102">
        <w:rPr>
          <w:color w:val="0070C0"/>
          <w:sz w:val="16"/>
          <w:szCs w:val="16"/>
        </w:rPr>
        <w:softHyphen/>
        <w:t>тания и перелета.</w:t>
      </w:r>
    </w:p>
    <w:p w14:paraId="48D8C142" w14:textId="77777777" w:rsidR="002615C2" w:rsidRPr="00E14102" w:rsidRDefault="002615C2" w:rsidP="00E14102">
      <w:pPr>
        <w:jc w:val="both"/>
        <w:rPr>
          <w:color w:val="0070C0"/>
          <w:sz w:val="16"/>
          <w:szCs w:val="16"/>
        </w:rPr>
      </w:pPr>
      <w:r w:rsidRPr="00E14102">
        <w:rPr>
          <w:color w:val="0070C0"/>
          <w:sz w:val="16"/>
          <w:szCs w:val="16"/>
        </w:rPr>
        <w:t>3. Обязат НКОбороны, под ответственность т. Ворошилова, организовать тренировку и подготовку экипажа для перелета и обес</w:t>
      </w:r>
      <w:r w:rsidRPr="00E14102">
        <w:rPr>
          <w:color w:val="0070C0"/>
          <w:sz w:val="16"/>
          <w:szCs w:val="16"/>
        </w:rPr>
        <w:softHyphen/>
        <w:t>печение самого перелета радиосвязью и метеорологическим обслу</w:t>
      </w:r>
      <w:r w:rsidRPr="00E14102">
        <w:rPr>
          <w:color w:val="0070C0"/>
          <w:sz w:val="16"/>
          <w:szCs w:val="16"/>
        </w:rPr>
        <w:softHyphen/>
        <w:t>живанием.</w:t>
      </w:r>
    </w:p>
    <w:p w14:paraId="3E7AD50C" w14:textId="77777777" w:rsidR="002615C2" w:rsidRPr="00E14102" w:rsidRDefault="002615C2" w:rsidP="00E14102">
      <w:pPr>
        <w:jc w:val="both"/>
        <w:rPr>
          <w:color w:val="0070C0"/>
          <w:sz w:val="16"/>
          <w:szCs w:val="16"/>
        </w:rPr>
      </w:pPr>
      <w:r w:rsidRPr="00E14102">
        <w:rPr>
          <w:color w:val="0070C0"/>
          <w:sz w:val="16"/>
          <w:szCs w:val="16"/>
        </w:rPr>
        <w:t>4. Возложить общее руководство подготовкой перелета и осущсствлением его на т. Ворошилова и т. Орджоникидзе, а непосред</w:t>
      </w:r>
      <w:r w:rsidRPr="00E14102">
        <w:rPr>
          <w:color w:val="0070C0"/>
          <w:sz w:val="16"/>
          <w:szCs w:val="16"/>
        </w:rPr>
        <w:softHyphen/>
        <w:t>ственное руководство подготовкой и перелетом на начальника ВВС т. Алкснис.</w:t>
      </w:r>
    </w:p>
    <w:p w14:paraId="094BFF8F" w14:textId="77777777" w:rsidR="002615C2" w:rsidRPr="00E14102" w:rsidRDefault="002615C2" w:rsidP="00E14102">
      <w:pPr>
        <w:jc w:val="both"/>
        <w:rPr>
          <w:color w:val="0070C0"/>
          <w:sz w:val="16"/>
          <w:szCs w:val="16"/>
        </w:rPr>
      </w:pPr>
      <w:r w:rsidRPr="00E14102">
        <w:rPr>
          <w:color w:val="0070C0"/>
          <w:sz w:val="16"/>
          <w:szCs w:val="16"/>
        </w:rPr>
        <w:t>Подчинить командира самолета т. Леваневского на весь период подготовки и проведения перелета т. Алкснис.</w:t>
      </w:r>
    </w:p>
    <w:p w14:paraId="4397CE64" w14:textId="77777777" w:rsidR="002615C2" w:rsidRPr="00E14102" w:rsidRDefault="002615C2" w:rsidP="00E14102">
      <w:pPr>
        <w:jc w:val="both"/>
        <w:rPr>
          <w:color w:val="0070C0"/>
          <w:sz w:val="16"/>
          <w:szCs w:val="16"/>
        </w:rPr>
      </w:pPr>
      <w:r w:rsidRPr="00E14102">
        <w:rPr>
          <w:color w:val="0070C0"/>
          <w:sz w:val="16"/>
          <w:szCs w:val="16"/>
        </w:rPr>
        <w:t>5. Утвердить экипаж для перелета в следующем составе: Командиром экипажа и первым летчиком - т.Леваневского;</w:t>
      </w:r>
    </w:p>
    <w:p w14:paraId="31D5AA12" w14:textId="77777777" w:rsidR="002615C2" w:rsidRPr="00E14102" w:rsidRDefault="002615C2" w:rsidP="00E14102">
      <w:pPr>
        <w:jc w:val="both"/>
        <w:rPr>
          <w:color w:val="0070C0"/>
          <w:sz w:val="16"/>
          <w:szCs w:val="16"/>
        </w:rPr>
      </w:pPr>
      <w:r w:rsidRPr="00E14102">
        <w:rPr>
          <w:color w:val="0070C0"/>
          <w:sz w:val="16"/>
          <w:szCs w:val="16"/>
        </w:rPr>
        <w:t>штурманом - флаг-штурмана Черного моря - т. Левченко;</w:t>
      </w:r>
    </w:p>
    <w:p w14:paraId="6CEA42E9" w14:textId="77777777" w:rsidR="002615C2" w:rsidRPr="00E14102" w:rsidRDefault="002615C2" w:rsidP="00E14102">
      <w:pPr>
        <w:jc w:val="both"/>
        <w:rPr>
          <w:color w:val="0070C0"/>
          <w:sz w:val="16"/>
          <w:szCs w:val="16"/>
        </w:rPr>
      </w:pPr>
      <w:r w:rsidRPr="00E14102">
        <w:rPr>
          <w:color w:val="0070C0"/>
          <w:sz w:val="16"/>
          <w:szCs w:val="16"/>
        </w:rPr>
        <w:t>Вторым» летчиком - слушателя военно-воздушной Академии - т. Байдукова;</w:t>
      </w:r>
    </w:p>
    <w:p w14:paraId="7215E4B2" w14:textId="77777777" w:rsidR="002615C2" w:rsidRPr="00E14102" w:rsidRDefault="002615C2" w:rsidP="00E14102">
      <w:pPr>
        <w:jc w:val="both"/>
        <w:rPr>
          <w:color w:val="0070C0"/>
          <w:sz w:val="16"/>
          <w:szCs w:val="16"/>
        </w:rPr>
      </w:pPr>
      <w:r w:rsidRPr="00E14102">
        <w:rPr>
          <w:color w:val="0070C0"/>
          <w:sz w:val="16"/>
          <w:szCs w:val="16"/>
        </w:rPr>
        <w:t>Запасным штурманом - зав. штурманской кафедры Военно-Воз</w:t>
      </w:r>
      <w:r w:rsidRPr="00E14102">
        <w:rPr>
          <w:color w:val="0070C0"/>
          <w:sz w:val="16"/>
          <w:szCs w:val="16"/>
        </w:rPr>
        <w:softHyphen/>
        <w:t>душной Академии - т. Белякова;</w:t>
      </w:r>
    </w:p>
    <w:p w14:paraId="4CF36AD6" w14:textId="77777777" w:rsidR="002615C2" w:rsidRPr="00E14102" w:rsidRDefault="002615C2" w:rsidP="00E14102">
      <w:pPr>
        <w:jc w:val="both"/>
        <w:rPr>
          <w:color w:val="0070C0"/>
          <w:sz w:val="16"/>
          <w:szCs w:val="16"/>
        </w:rPr>
      </w:pPr>
      <w:r w:rsidRPr="00E14102">
        <w:rPr>
          <w:color w:val="0070C0"/>
          <w:sz w:val="16"/>
          <w:szCs w:val="16"/>
        </w:rPr>
        <w:t>Запасным летчиком - командира Отдельного отряда Балтморя - т. Гуревич.</w:t>
      </w:r>
    </w:p>
    <w:p w14:paraId="31567C6B" w14:textId="77777777" w:rsidR="002615C2" w:rsidRPr="00E14102" w:rsidRDefault="002615C2" w:rsidP="00E14102">
      <w:pPr>
        <w:jc w:val="both"/>
        <w:rPr>
          <w:color w:val="0070C0"/>
          <w:sz w:val="16"/>
          <w:szCs w:val="16"/>
        </w:rPr>
      </w:pPr>
      <w:r w:rsidRPr="00E14102">
        <w:rPr>
          <w:color w:val="0070C0"/>
          <w:sz w:val="16"/>
          <w:szCs w:val="16"/>
        </w:rPr>
        <w:t>Техническое обслуживание, подготовку и оборудование само</w:t>
      </w:r>
      <w:r w:rsidRPr="00E14102">
        <w:rPr>
          <w:color w:val="0070C0"/>
          <w:sz w:val="16"/>
          <w:szCs w:val="16"/>
        </w:rPr>
        <w:softHyphen/>
        <w:t>лета перелета возложить. на инженера Испытательной Станции ЦАГН т. Стеган, авиатехника той же станции т. Бердник, авиатехни</w:t>
      </w:r>
      <w:r w:rsidRPr="00E14102">
        <w:rPr>
          <w:color w:val="0070C0"/>
          <w:sz w:val="16"/>
          <w:szCs w:val="16"/>
        </w:rPr>
        <w:softHyphen/>
        <w:t>ка Полтавской Школы Осоавнахима - т. Шабота.</w:t>
      </w:r>
    </w:p>
    <w:p w14:paraId="5DEFE531" w14:textId="77777777" w:rsidR="002615C2" w:rsidRPr="00E14102" w:rsidRDefault="002615C2" w:rsidP="00E14102">
      <w:pPr>
        <w:jc w:val="both"/>
        <w:rPr>
          <w:color w:val="0070C0"/>
          <w:sz w:val="16"/>
          <w:szCs w:val="16"/>
        </w:rPr>
      </w:pPr>
      <w:r w:rsidRPr="00E14102">
        <w:rPr>
          <w:color w:val="0070C0"/>
          <w:sz w:val="16"/>
          <w:szCs w:val="16"/>
        </w:rPr>
        <w:t>6. Экипаж и технический состав, перечисленный выше, немед</w:t>
      </w:r>
      <w:r w:rsidRPr="00E14102">
        <w:rPr>
          <w:color w:val="0070C0"/>
          <w:sz w:val="16"/>
          <w:szCs w:val="16"/>
        </w:rPr>
        <w:softHyphen/>
        <w:t>ленно освободить от всех других обязанностей и использовать только для подготовки к перелету.</w:t>
      </w:r>
    </w:p>
    <w:p w14:paraId="57387E36" w14:textId="77777777" w:rsidR="002615C2" w:rsidRPr="00E14102" w:rsidRDefault="002615C2" w:rsidP="00E14102">
      <w:pPr>
        <w:jc w:val="both"/>
        <w:rPr>
          <w:color w:val="0070C0"/>
          <w:sz w:val="16"/>
          <w:szCs w:val="16"/>
        </w:rPr>
      </w:pPr>
      <w:r w:rsidRPr="00E14102">
        <w:rPr>
          <w:color w:val="0070C0"/>
          <w:sz w:val="16"/>
          <w:szCs w:val="16"/>
        </w:rPr>
        <w:t>7. На командира самолета т. Леваневского н подчиненный ему экипаж и техническнй состав, перечисленный выше, возложить всю полноту ответственности за техническую подготовку и фактическую готовность самолета ко всем полетам (предварительные, испытательные, рекордный), за грамотную эксплоатацию самолета в полете и за подготовку самого полета и самолета в отношениях: штурман</w:t>
      </w:r>
      <w:r w:rsidRPr="00E14102">
        <w:rPr>
          <w:color w:val="0070C0"/>
          <w:sz w:val="16"/>
          <w:szCs w:val="16"/>
        </w:rPr>
        <w:softHyphen/>
        <w:t>ском, связи и аэрометеорологичсском.</w:t>
      </w:r>
    </w:p>
    <w:p w14:paraId="2D4ECFA9" w14:textId="77777777" w:rsidR="002615C2" w:rsidRPr="00E14102" w:rsidRDefault="002615C2" w:rsidP="00E14102">
      <w:pPr>
        <w:jc w:val="both"/>
        <w:rPr>
          <w:color w:val="0070C0"/>
          <w:sz w:val="16"/>
          <w:szCs w:val="16"/>
        </w:rPr>
      </w:pPr>
      <w:r w:rsidRPr="00E14102">
        <w:rPr>
          <w:color w:val="0070C0"/>
          <w:sz w:val="16"/>
          <w:szCs w:val="16"/>
        </w:rPr>
        <w:t>8. Административно-хозяйственную и техническую подготовку к перелету на Центральном аэродроме возложить на ЦАГИ, на аэро</w:t>
      </w:r>
      <w:r w:rsidRPr="00E14102">
        <w:rPr>
          <w:color w:val="0070C0"/>
          <w:sz w:val="16"/>
          <w:szCs w:val="16"/>
        </w:rPr>
        <w:softHyphen/>
        <w:t>дроме Щелково - на Научпо-Испытательны институт ВС РККА.</w:t>
      </w:r>
    </w:p>
    <w:p w14:paraId="43814B67" w14:textId="77777777" w:rsidR="002615C2" w:rsidRPr="00E14102" w:rsidRDefault="002615C2" w:rsidP="00E14102">
      <w:pPr>
        <w:jc w:val="both"/>
        <w:rPr>
          <w:color w:val="0070C0"/>
          <w:sz w:val="16"/>
          <w:szCs w:val="16"/>
        </w:rPr>
      </w:pPr>
      <w:r w:rsidRPr="00E14102">
        <w:rPr>
          <w:color w:val="0070C0"/>
          <w:sz w:val="16"/>
          <w:szCs w:val="16"/>
        </w:rPr>
        <w:t>9. Отпустить на подготовку и проведепие перелета из резерв</w:t>
      </w:r>
      <w:r w:rsidRPr="00E14102">
        <w:rPr>
          <w:color w:val="0070C0"/>
          <w:sz w:val="16"/>
          <w:szCs w:val="16"/>
        </w:rPr>
        <w:softHyphen/>
        <w:t>ного флнда Совнаркома Союза 1.600.000 рублей в совзнаках и 55.000 в инвалюте, согласно прилагаемой сметы.</w:t>
      </w:r>
    </w:p>
    <w:p w14:paraId="5236936C" w14:textId="77777777" w:rsidR="002615C2" w:rsidRPr="00E14102" w:rsidRDefault="002615C2" w:rsidP="00E14102">
      <w:pPr>
        <w:jc w:val="both"/>
        <w:rPr>
          <w:color w:val="0070C0"/>
          <w:sz w:val="16"/>
          <w:szCs w:val="16"/>
        </w:rPr>
      </w:pPr>
      <w:r w:rsidRPr="00E14102">
        <w:rPr>
          <w:color w:val="0070C0"/>
          <w:sz w:val="16"/>
          <w:szCs w:val="16"/>
        </w:rPr>
        <w:t>Списки посланы: т.т. Ворошилову, Орджоникидзе, Болотову, Алкснису.</w:t>
      </w:r>
    </w:p>
    <w:p w14:paraId="12C26A62" w14:textId="77777777" w:rsidR="002615C2" w:rsidRPr="00E14102" w:rsidRDefault="002615C2" w:rsidP="00E14102">
      <w:pPr>
        <w:jc w:val="both"/>
        <w:rPr>
          <w:color w:val="0070C0"/>
          <w:sz w:val="16"/>
          <w:szCs w:val="16"/>
        </w:rPr>
      </w:pPr>
      <w:r w:rsidRPr="00E14102">
        <w:rPr>
          <w:color w:val="0070C0"/>
          <w:sz w:val="16"/>
          <w:szCs w:val="16"/>
        </w:rPr>
        <w:t>3 марта 1935 опросом членов ПБ</w:t>
      </w:r>
    </w:p>
    <w:p w14:paraId="4777E467" w14:textId="77777777" w:rsidR="002615C2" w:rsidRPr="00E14102" w:rsidRDefault="002615C2" w:rsidP="00E14102">
      <w:pPr>
        <w:jc w:val="both"/>
        <w:rPr>
          <w:color w:val="0070C0"/>
          <w:sz w:val="16"/>
          <w:szCs w:val="16"/>
        </w:rPr>
      </w:pPr>
      <w:r w:rsidRPr="00E14102">
        <w:rPr>
          <w:color w:val="0070C0"/>
          <w:sz w:val="16"/>
          <w:szCs w:val="16"/>
        </w:rPr>
        <w:t>56.- Bопрос К.О.</w:t>
      </w:r>
    </w:p>
    <w:p w14:paraId="5D82231A" w14:textId="77777777" w:rsidR="002615C2" w:rsidRPr="00E14102" w:rsidRDefault="002615C2" w:rsidP="00E14102">
      <w:pPr>
        <w:jc w:val="both"/>
        <w:rPr>
          <w:color w:val="0070C0"/>
          <w:sz w:val="16"/>
          <w:szCs w:val="16"/>
        </w:rPr>
      </w:pPr>
      <w:r w:rsidRPr="00E14102">
        <w:rPr>
          <w:color w:val="0070C0"/>
          <w:sz w:val="16"/>
          <w:szCs w:val="16"/>
        </w:rPr>
        <w:t>Утвердить решение СТО об отпуске НКОбороны СССР из резервного фоида СНК - 1.500.000 губ. на выполнение под</w:t>
      </w:r>
      <w:r w:rsidRPr="00E14102">
        <w:rPr>
          <w:color w:val="0070C0"/>
          <w:sz w:val="16"/>
          <w:szCs w:val="16"/>
        </w:rPr>
        <w:softHyphen/>
        <w:t>готовительных работ, конструирование и постройку страто</w:t>
      </w:r>
      <w:r w:rsidRPr="00E14102">
        <w:rPr>
          <w:color w:val="0070C0"/>
          <w:sz w:val="16"/>
          <w:szCs w:val="16"/>
        </w:rPr>
        <w:softHyphen/>
        <w:t>статов и на проведение полетов в стратосферу.</w:t>
      </w:r>
    </w:p>
    <w:p w14:paraId="6489748F" w14:textId="77777777" w:rsidR="002615C2" w:rsidRPr="00E14102" w:rsidRDefault="002615C2" w:rsidP="00E14102">
      <w:pPr>
        <w:jc w:val="both"/>
        <w:rPr>
          <w:color w:val="0070C0"/>
          <w:sz w:val="16"/>
          <w:szCs w:val="16"/>
        </w:rPr>
      </w:pPr>
      <w:r w:rsidRPr="00E14102">
        <w:rPr>
          <w:color w:val="0070C0"/>
          <w:sz w:val="16"/>
          <w:szCs w:val="16"/>
        </w:rPr>
        <w:t>Выписки посланы: т.т. Базнлевпчу, Ворошилову, Мирошникову (22927).</w:t>
      </w:r>
    </w:p>
    <w:p w14:paraId="0849832B" w14:textId="77777777" w:rsidR="002615C2" w:rsidRPr="00E14102" w:rsidRDefault="002615C2" w:rsidP="00E14102">
      <w:pPr>
        <w:jc w:val="both"/>
        <w:rPr>
          <w:color w:val="0070C0"/>
          <w:sz w:val="16"/>
          <w:szCs w:val="16"/>
        </w:rPr>
      </w:pPr>
    </w:p>
    <w:p w14:paraId="668E833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44CA17C" w14:textId="77777777" w:rsidR="00D4105E" w:rsidRPr="00E14102" w:rsidRDefault="00D4105E" w:rsidP="00E14102">
      <w:pPr>
        <w:autoSpaceDE w:val="0"/>
        <w:autoSpaceDN w:val="0"/>
        <w:adjustRightInd w:val="0"/>
        <w:jc w:val="both"/>
        <w:rPr>
          <w:iCs/>
          <w:color w:val="000000" w:themeColor="text1"/>
          <w:sz w:val="16"/>
          <w:szCs w:val="16"/>
        </w:rPr>
      </w:pPr>
    </w:p>
    <w:p w14:paraId="0ADBD6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марта 1935 Начальник ЦУНХУ Госплана старый большевик Н.Осинский в записке ЦК предупреждал, что "отсутствие в ЦУНХУ отчетных данных по военной промышленности лишит оборонно-оперативное планирование в системе Госплана необходимой базы" (1566,44).</w:t>
      </w:r>
    </w:p>
    <w:p w14:paraId="2ED33938" w14:textId="77777777" w:rsidR="00D4105E" w:rsidRPr="00E14102" w:rsidRDefault="00D4105E" w:rsidP="00E14102">
      <w:pPr>
        <w:autoSpaceDE w:val="0"/>
        <w:autoSpaceDN w:val="0"/>
        <w:adjustRightInd w:val="0"/>
        <w:jc w:val="both"/>
        <w:rPr>
          <w:color w:val="000000" w:themeColor="text1"/>
          <w:sz w:val="16"/>
          <w:szCs w:val="16"/>
        </w:rPr>
      </w:pPr>
    </w:p>
    <w:p w14:paraId="7846F19B" w14:textId="77777777" w:rsidR="00AE0877" w:rsidRPr="00E14102" w:rsidRDefault="00AE0877" w:rsidP="00E14102">
      <w:pPr>
        <w:jc w:val="both"/>
        <w:rPr>
          <w:color w:val="000000" w:themeColor="text1"/>
          <w:sz w:val="16"/>
          <w:szCs w:val="16"/>
        </w:rPr>
      </w:pPr>
      <w:r w:rsidRPr="00E14102">
        <w:rPr>
          <w:color w:val="000000" w:themeColor="text1"/>
          <w:sz w:val="16"/>
          <w:szCs w:val="16"/>
        </w:rPr>
        <w:t>5 марта 1935 г. Начальник ЦУНХУ Госплана СССР старый большевик Николай  Осинский в своей записке в ЦК ВКП (б)предупреждал: "Отсутствие в ЦУНХУ отчетных данных по военной промышленности лишит оборонно-оперативное планирование в системе Госплана необходимой базы".  Соглашаясь с его доводами, 27 марта 1935 г. СНК СССР принял постановление "О порядке представления годовых    отчетов военной промышленности Наркомата Тяжелой Промышленности".  В соответствии с этим нормативным документом в  ЦУНХУ Госплана СССР годовые отчеты по основной (производственной) деятельности и капитальному строительству предприятия и тресты военной промышленности предоставляли в полном объеме. В Наркомат Финансов - с исключением сведений о производстве военной продукции в натуральных показателях; в областные и краевые УНХУ - только по мирной продукции.     Таким образом, лишь с 1935 года   статистической базой обобщения итогов работы военной промышленности и составления текущих и перспективных планов ее развития стали годовые отчеты предприятий, т.е.  непосредственных субъектов хозяйственной деятельности. Что касается сведений об экономических итогах работы военной промышленности  в предыдущие годы, то даже сами работники плановых органов выражали большие сомнения по поводу их адекватности реальному положению дел.  Сектор Обороны Госплана СССР в докладе правительству  26 ноября 1932 г., например,  откровенно признавал: "Следует со всей решительностью подчеркнуть, что данные, относящиеся к первым годам пятилетки, настолько малодостоверны, что основываться на них почти невозможно" (18389).</w:t>
      </w:r>
    </w:p>
    <w:p w14:paraId="54AFC676" w14:textId="77777777" w:rsidR="00AE0877" w:rsidRPr="00E14102" w:rsidRDefault="00AE0877" w:rsidP="00E14102">
      <w:pPr>
        <w:jc w:val="both"/>
        <w:rPr>
          <w:color w:val="000000" w:themeColor="text1"/>
          <w:sz w:val="16"/>
          <w:szCs w:val="16"/>
        </w:rPr>
      </w:pPr>
    </w:p>
    <w:p w14:paraId="765D8025" w14:textId="77777777" w:rsidR="00BA750D" w:rsidRPr="00E14102" w:rsidRDefault="00BA750D" w:rsidP="00E14102">
      <w:pPr>
        <w:pStyle w:val="rtejustify"/>
        <w:spacing w:before="0" w:after="0"/>
        <w:rPr>
          <w:color w:val="000000" w:themeColor="text1"/>
          <w:sz w:val="16"/>
          <w:szCs w:val="16"/>
        </w:rPr>
      </w:pPr>
      <w:r w:rsidRPr="00E14102">
        <w:rPr>
          <w:rStyle w:val="a6"/>
          <w:bCs/>
          <w:i w:val="0"/>
          <w:color w:val="000000" w:themeColor="text1"/>
          <w:sz w:val="16"/>
          <w:szCs w:val="16"/>
        </w:rPr>
        <w:t>5 марта 1935 вышел приказ НКО №</w:t>
      </w:r>
      <w:r w:rsidRPr="00E14102">
        <w:rPr>
          <w:color w:val="000000" w:themeColor="text1"/>
          <w:sz w:val="16"/>
          <w:szCs w:val="16"/>
        </w:rPr>
        <w:t> 037. Об исследовании качества снаряжения и металла фугасных снарядов, снаряженных на заводах ВХТ (15247).</w:t>
      </w:r>
    </w:p>
    <w:p w14:paraId="7C09FF21" w14:textId="77777777" w:rsidR="00BA750D" w:rsidRPr="00E14102" w:rsidRDefault="00BA750D" w:rsidP="00E14102">
      <w:pPr>
        <w:pStyle w:val="rtejustify"/>
        <w:spacing w:before="0" w:after="0"/>
        <w:rPr>
          <w:color w:val="000000" w:themeColor="text1"/>
          <w:sz w:val="16"/>
          <w:szCs w:val="16"/>
        </w:rPr>
      </w:pPr>
    </w:p>
    <w:p w14:paraId="268D8036" w14:textId="77777777" w:rsidR="00BA750D" w:rsidRPr="00E14102" w:rsidRDefault="00BA750D" w:rsidP="00E14102">
      <w:pPr>
        <w:pStyle w:val="rtejustify"/>
        <w:spacing w:before="0" w:after="0"/>
        <w:rPr>
          <w:color w:val="000000" w:themeColor="text1"/>
          <w:sz w:val="16"/>
          <w:szCs w:val="16"/>
        </w:rPr>
      </w:pPr>
      <w:r w:rsidRPr="00E14102">
        <w:rPr>
          <w:rStyle w:val="a6"/>
          <w:bCs/>
          <w:i w:val="0"/>
          <w:color w:val="000000" w:themeColor="text1"/>
          <w:sz w:val="16"/>
          <w:szCs w:val="16"/>
        </w:rPr>
        <w:t>5 марта 1935 вышел приказ НКО №</w:t>
      </w:r>
      <w:r w:rsidRPr="00E14102">
        <w:rPr>
          <w:color w:val="000000" w:themeColor="text1"/>
          <w:sz w:val="16"/>
          <w:szCs w:val="16"/>
        </w:rPr>
        <w:t> 0012. О вступлении в строй батарей береговой обороны (15247).</w:t>
      </w:r>
    </w:p>
    <w:p w14:paraId="1D7C6EC3" w14:textId="77777777" w:rsidR="00BA750D" w:rsidRPr="00E14102" w:rsidRDefault="00BA750D" w:rsidP="00E14102">
      <w:pPr>
        <w:pStyle w:val="rtejustify"/>
        <w:spacing w:before="0" w:after="0"/>
        <w:rPr>
          <w:color w:val="000000" w:themeColor="text1"/>
          <w:sz w:val="16"/>
          <w:szCs w:val="16"/>
        </w:rPr>
      </w:pPr>
    </w:p>
    <w:p w14:paraId="49B1EBD5" w14:textId="77777777" w:rsidR="00BA750D" w:rsidRPr="00E14102" w:rsidRDefault="00BA750D" w:rsidP="00E14102">
      <w:pPr>
        <w:pStyle w:val="rtejustify"/>
        <w:spacing w:before="0" w:after="0"/>
        <w:rPr>
          <w:color w:val="000000" w:themeColor="text1"/>
          <w:sz w:val="16"/>
          <w:szCs w:val="16"/>
        </w:rPr>
      </w:pPr>
      <w:r w:rsidRPr="00E14102">
        <w:rPr>
          <w:rStyle w:val="a6"/>
          <w:bCs/>
          <w:i w:val="0"/>
          <w:color w:val="000000" w:themeColor="text1"/>
          <w:sz w:val="16"/>
          <w:szCs w:val="16"/>
        </w:rPr>
        <w:t>5 марта 1935 вышел приказ НКО №</w:t>
      </w:r>
      <w:r w:rsidRPr="00E14102">
        <w:rPr>
          <w:color w:val="000000" w:themeColor="text1"/>
          <w:sz w:val="16"/>
          <w:szCs w:val="16"/>
        </w:rPr>
        <w:t>° 0011. О введении на вооружение МС РККА подводных лодок типа «М» и «Щ», сторожевых кораблей «Метель» и «Вьюга» и плавучей базы «Эльбрус» (15247).</w:t>
      </w:r>
    </w:p>
    <w:p w14:paraId="49B11EAC" w14:textId="77777777" w:rsidR="00BA750D" w:rsidRPr="00E14102" w:rsidRDefault="00BA750D" w:rsidP="00E14102">
      <w:pPr>
        <w:pStyle w:val="rtejustify"/>
        <w:spacing w:before="0" w:after="0"/>
        <w:rPr>
          <w:color w:val="000000" w:themeColor="text1"/>
          <w:sz w:val="16"/>
          <w:szCs w:val="16"/>
        </w:rPr>
      </w:pPr>
    </w:p>
    <w:p w14:paraId="2AF293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марта 1935 г. была подготовлена записка № 55542</w:t>
      </w:r>
    </w:p>
    <w:p w14:paraId="3714B8EF" w14:textId="77777777" w:rsidR="00D4105E" w:rsidRPr="00E14102" w:rsidRDefault="00D4105E" w:rsidP="00E14102">
      <w:pPr>
        <w:autoSpaceDE w:val="0"/>
        <w:autoSpaceDN w:val="0"/>
        <w:adjustRightInd w:val="0"/>
        <w:jc w:val="both"/>
        <w:rPr>
          <w:bCs/>
          <w:color w:val="000000" w:themeColor="text1"/>
          <w:sz w:val="16"/>
          <w:szCs w:val="16"/>
        </w:rPr>
      </w:pPr>
      <w:r w:rsidRPr="00E14102">
        <w:rPr>
          <w:color w:val="000000" w:themeColor="text1"/>
          <w:sz w:val="16"/>
          <w:szCs w:val="16"/>
        </w:rPr>
        <w:t>СЕКРЕТАРЮ ЦК ВКП(б) т. СТАЛИНУ</w:t>
      </w:r>
    </w:p>
    <w:p w14:paraId="310781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Управление НКИД Ленинградской области ведет следствие по делу окружной шпионской организации, систематически проводившей по заданию германской военной разведки сбор и передачу секретных сведений о работе специальных цехов по ряду предприятий ленинградской промышленности.</w:t>
      </w:r>
    </w:p>
    <w:p w14:paraId="080727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Шпионская организация возглавлялась чехословацкими подданными братьями Ведрих Генрихом и Брониславом, непосредственно и лично связанными с сотрудником германского консульства в Ленинграде германским подданным Саломэ, которому и передавались похищенные и собранные секретные сведения.</w:t>
      </w:r>
    </w:p>
    <w:p w14:paraId="157445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следственному делу арестованы и привлечены к ответственности:</w:t>
      </w:r>
    </w:p>
    <w:p w14:paraId="28A586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 Ведрих Генрих Иосифович, 1897 г. рождения, беспартийный, до империалистической войны состоял в австро-венгерском подданстве, с 1914 по 1917 год был в русском, а после Октябрьской революции перешел в чехословацкое подданство. С 1930 г. работает в системе Главэнерго и в последнее время уполномоченным Главэнерго и Уральского Энергоуправления по ленинградским заводам.</w:t>
      </w:r>
    </w:p>
    <w:p w14:paraId="711D71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Ведрих Бронислав Иосифович, 1891 г. рождения, беспартийный, также как и брат до империалистической войны был в австро-венгерском подданстве, с 1914 по 1917 год в русском, а после Октябрьской революции перешел в чехословацкое подданство. Перед арестом был без определенных занятий.</w:t>
      </w:r>
    </w:p>
    <w:p w14:paraId="119F5E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числа служащих ленинградских промышленных предприятий арестованы и привлечены к ответственности 21 человек:</w:t>
      </w:r>
    </w:p>
    <w:p w14:paraId="29FD28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Кильпиэ Эдуард Андреевич, 1896 г. рождения, беспартийный, работавший до ареста заведующим группой снабжения специального отдела Ленинградского металлического завода им. Сталина.</w:t>
      </w:r>
    </w:p>
    <w:p w14:paraId="701773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Владимиров Анатолий Владимирович, 1892 г. рождения, беспартийный, бывший заведующий отделом сбыта того же завода.</w:t>
      </w:r>
    </w:p>
    <w:p w14:paraId="4EAC1F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Тихонов Федор Константинович, 1872 г. рождения, беспартийный, работавший помощником начальника производств котельного отдела того же завода.</w:t>
      </w:r>
    </w:p>
    <w:p w14:paraId="3C4EFF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Шаварский Александр Михайлович, 1896 г. рождения, беспартийный. Перед арестом работал уполномоченным конторы Главэнерго по снабжению государственных районных электрических станций материалами и оборудованием (Снабгрэс).</w:t>
      </w:r>
    </w:p>
    <w:p w14:paraId="3DB772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Воробьев Александр Николаевич, 1914 г. рождения, член ВЛКСМ с 1934 года, экономист планово-экономического бюро завода “Севкабель”.</w:t>
      </w:r>
    </w:p>
    <w:p w14:paraId="41B8FF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Баранова Людмила Георгиевна, 1914 г. рождения, беспартийная, машинистка штаба Ленинградского военного округа.</w:t>
      </w:r>
    </w:p>
    <w:p w14:paraId="713242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Шидловский Станислав Феликсович, 189 г. рождения, беспартийный, механик мастерских Автодора - и ряд других.</w:t>
      </w:r>
    </w:p>
    <w:p w14:paraId="303327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в Москве арестованы и также привлечены к ответственности:</w:t>
      </w:r>
    </w:p>
    <w:p w14:paraId="358233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Марков Иван Александрович, 1897 г. рождения, беспартийный, уполномоченный в Москве по снабжению Уральского Энергоуправления Главэнерго.</w:t>
      </w:r>
    </w:p>
    <w:p w14:paraId="5F0A33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Крестмейн Ефрем Самуилович, 1897 г. рождения, беспартийный, уполномоченный в Москве конторы Главэнерго по снабжению государственных районных электрических станций материалами и оборудованием (Снаабгрэс).</w:t>
      </w:r>
    </w:p>
    <w:p w14:paraId="257655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Арестованный Ведрих Г.И. признал себя виновным в проведении им шпионской работы и показал, что в 1927 году, работая заместителем коммерческого директора Северо-Кавказского Энергоуправления в Ростове н/Дону, он был завербован для работы в пользу германской военной разведки германским подданным инженером Штро (находится в Германии), находившимся в СССР как представитель фирмы “Сименс-Баунион”.</w:t>
      </w:r>
    </w:p>
    <w:p w14:paraId="47C753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1928 года, после отъезда Штро заграницу, Ведрих Г.И. по указанию Штро связался с германским подданным Карнагелем Эмилем (находится в Германии), для чего был вызван последним в Москву, где и получил о Карнагеля задание по сбору сведений о работе ленинградских заводов, главным образом, их специальных цехов, выпускающих оборонную продукцию, а также по сбору сведения мобилизационной готовности этих заводов.</w:t>
      </w:r>
    </w:p>
    <w:p w14:paraId="44E972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Ведрих Г.И. показал, что для проведения шпионской работы по заводам им были завербованы: 1. Шаварский А.М., 2. Кильпиэ Э.А., 3. Владимиров А.Р., 4. Тихонов Ф.К., 5. Воробьев А.Н., 6. Марков И.А., 7. Крестмейн Е.С. и другие.</w:t>
      </w:r>
    </w:p>
    <w:p w14:paraId="4ACCD1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показаний арестованных видно, что Ведрих Г.И. за короткий срок работы в системе Главэнерго получил от завербованных им служащих ленинградских заводов целый ряд сведений секретного характера.</w:t>
      </w:r>
    </w:p>
    <w:p w14:paraId="2E7AEB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 по Ленинградскому металлическому заводу им. Сталина Ведрих Г.И. получил от Владимирова в конце 1933 года портфель заказов на теплосиловое оборудование (турбины, котлы, турбонасосы, электронасосы и части к ним) по состоянию на 1-е декабря 1933 г. На основе этого материала Ведрих Г.И. установил загруженность завода.</w:t>
      </w:r>
    </w:p>
    <w:p w14:paraId="3CB6F7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1934 года Ведрих получил от того же Владимирова материал, отображающий работу специального отдела завода на 1934 год, а также совершенно секретный материал о запроектированной заводом и подлежащей выпуску турбине нового типа для изменения на самолетах; в этом материале была пояснительная записка и технические данные турбины.</w:t>
      </w:r>
    </w:p>
    <w:p w14:paraId="5250BC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Невскому заводу им. Ленина Владимиров передал Ведриху Г.И. летом 1934 года сведения о количестве станков и другого оборудования, с указанием типов, а также количества рабочей силы, занятой в спеццехах, изготавливающих оборудование по специальным заказам.</w:t>
      </w:r>
    </w:p>
    <w:p w14:paraId="7E62D9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Такие же сведения осенью 1934 года Эдрих Г.И. получил от Владимирова по Кировскому заводу (быв. “Красный путиловец”).</w:t>
      </w:r>
    </w:p>
    <w:p w14:paraId="3150BD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 завербованного Тихонова - Ведрих Г.И. летом 1934 г. получил материал по Ленинградскому металлическом у заводу им. Сталина, содержащий данные о наличии оборудования котельного цеха, о загрузке его всеми заказами и их состоянии, с указанием заказчиков. Сведения охватывали данные по котельной продукции и производству специальных участков цеха, в частности изготовление заказов оборонного значения.</w:t>
      </w:r>
    </w:p>
    <w:p w14:paraId="018309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это же время Тихонов передал Ведриху Г.И. данные о заказах на детали для мин.</w:t>
      </w:r>
    </w:p>
    <w:p w14:paraId="1B1FCF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Ленинградскому металлургическому заводу (“ЛМЗ”) Ведрих В.И. дал задание Кильпиэ достать секретные сведения о выпуске специальной продукции за 1934 год и план выпуска специальной продукции на 1935 год, за что Ведрих В.И. уплатил Кильпиэ 850 рублей и обещал при получении сведений пополнить эту сумму.</w:t>
      </w:r>
    </w:p>
    <w:p w14:paraId="2E64EF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Кильпиэ эти материалы с завода вынес для передачи их Ведриху Б.И., но не передал, так как в этот же день был арестован, а документы изъяты при обыске.</w:t>
      </w:r>
    </w:p>
    <w:p w14:paraId="715605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аресте Владимирова были изъяты у него на квартире документы, не подлежащие оглашению:</w:t>
      </w:r>
    </w:p>
    <w:p w14:paraId="0C1CBA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Протокол совещания работников Главного управления энергетической промышленности (Главэнергопром) с работниками ленинградских заводов, в котором отражалось состояние всех заказов Главэнергопрома. Один экземпляр этого протокола Владимиров передал Ведриху Г.И.</w:t>
      </w:r>
    </w:p>
    <w:p w14:paraId="451970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Инструкция Кировского завода по уходу за одноцилиндровой турбиной мощностью в 30.000 лошадиных сил, установленной на Севастопольской ГРЭС.</w:t>
      </w:r>
    </w:p>
    <w:p w14:paraId="7BF5A7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Документы предъявлены экспертизе, которая полностью подтверждает их секретный характер.</w:t>
      </w:r>
    </w:p>
    <w:p w14:paraId="1A1DBF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Следствие продолжается.</w:t>
      </w:r>
    </w:p>
    <w:p w14:paraId="024D4F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наркома внутренних дел СССР Прокофьев</w:t>
      </w:r>
    </w:p>
    <w:p w14:paraId="6AF708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АП РФ Ф.3, Оп.58. Д.246. л.159-163 (11462).</w:t>
      </w:r>
    </w:p>
    <w:p w14:paraId="22168FBB" w14:textId="77777777" w:rsidR="00D4105E" w:rsidRPr="00E14102" w:rsidRDefault="00D4105E" w:rsidP="00E14102">
      <w:pPr>
        <w:autoSpaceDE w:val="0"/>
        <w:autoSpaceDN w:val="0"/>
        <w:adjustRightInd w:val="0"/>
        <w:jc w:val="both"/>
        <w:rPr>
          <w:color w:val="000000" w:themeColor="text1"/>
          <w:sz w:val="16"/>
          <w:szCs w:val="16"/>
        </w:rPr>
      </w:pPr>
    </w:p>
    <w:p w14:paraId="5694C05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3A3A76B" w14:textId="77777777" w:rsidR="00D4105E" w:rsidRPr="00E14102" w:rsidRDefault="00D4105E" w:rsidP="00E14102">
      <w:pPr>
        <w:autoSpaceDE w:val="0"/>
        <w:autoSpaceDN w:val="0"/>
        <w:adjustRightInd w:val="0"/>
        <w:jc w:val="both"/>
        <w:rPr>
          <w:iCs/>
          <w:color w:val="000000" w:themeColor="text1"/>
          <w:sz w:val="16"/>
          <w:szCs w:val="16"/>
        </w:rPr>
      </w:pPr>
    </w:p>
    <w:p w14:paraId="585A77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марта 1935 г. НКВД за №55542 была подготовлена записка СЕКРЕТАРЮ ЦК ВКП (б) т. СТАЛИНУ</w:t>
      </w:r>
    </w:p>
    <w:p w14:paraId="219CF7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Управление НКВД Ленинградской области ведет следствие по делу окружной шпионской организации, систематически проводившей по заданию германской военной разведки сбор и передачу секретных сведений о работе специальных цехов по ряду предприятий ленинградской промышленности.</w:t>
      </w:r>
    </w:p>
    <w:p w14:paraId="1DD317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Шпионская организация возглавлялась чехословацкими подданными братьями Ведрих Генрихом и Брониславом, непосредственно и лично связанными с сотрудником германского консульства в Ленинграде германским подданным Саломэ, которому и передавались похищенные и собранные секретные сведения.</w:t>
      </w:r>
    </w:p>
    <w:p w14:paraId="463C33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следственному делу арестованы и привлечены к ответственности:</w:t>
      </w:r>
    </w:p>
    <w:p w14:paraId="0E89D7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Ведрих Генрих Иосифович, 1897 г. рождения, беспартийный, до империалистической войны состоял в австро-венгерском подданстве, с 1914 по 1917 год был в русском, а после Октябрьской революции перешел в чехословацкое подданство. С 1930 г. работает в системе Главэнерго и в последнее время уполномоченным Главэнерго и Уральского Энергоуправления по ленинградским заводам.</w:t>
      </w:r>
    </w:p>
    <w:p w14:paraId="592066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Ведрих Бронислав Иосифович, 1891 г. рождения, беспартийный, так же как и брат, до империалистической войны был в австро-венгерском подданстве, с 1914 по 1917 год в русском, а после Октябрьской революции перешел в чехословацкое подданство. Перед арестом был без определенных занятий.</w:t>
      </w:r>
    </w:p>
    <w:p w14:paraId="4B0B90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числа служащих ленинградских промышленных предприятий арестованы и привлечены к ответственности 21 человек:</w:t>
      </w:r>
    </w:p>
    <w:p w14:paraId="15BA52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Кильпиэ Эдуард Андреевич, 1896 г. рождения, беспартийный, работавший до ареста заведующим группой снабжения специального отдела Ленинградского металлического завода им. Сталина.</w:t>
      </w:r>
    </w:p>
    <w:p w14:paraId="27F828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Владимиров Анатолий Владимирович, 1892 г. рождения, беспартийный, бывший заведующий отделом сбыта того же завода.</w:t>
      </w:r>
    </w:p>
    <w:p w14:paraId="7637F7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Тихонов Федор Константинович, 1872 г. рождения, беспартийный, работавший помощником начальника производств котельного отдела того же завода.</w:t>
      </w:r>
    </w:p>
    <w:p w14:paraId="5C2EDE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Шаварский Александр Михайлович, 1896 г. рождения, беспартийный. Перед арестом работал уполномоченным конторы Главзнерго по снабжению государственных районных электрических станций материалами и оборудованием (Снабгрэс).</w:t>
      </w:r>
    </w:p>
    <w:p w14:paraId="0D2025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Воробьев Александр Николаевич, 1914 г. рождения, член ВЛКСМ с 1934 года, экономист планово-экономического бюро завода «Севкабель».</w:t>
      </w:r>
    </w:p>
    <w:p w14:paraId="254D62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Баранова Людмила Георгиевна, 1914 г. рождения, беспартийная, машинистка штаба Ленинградского военного округа.</w:t>
      </w:r>
    </w:p>
    <w:p w14:paraId="24BEE4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Шидловский Станислав Феликсович, беспартийный, механик мастерских Автодора — и ряд других.</w:t>
      </w:r>
    </w:p>
    <w:p w14:paraId="4A4E05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в Москве арестованы и также привлечены к ответственности:</w:t>
      </w:r>
    </w:p>
    <w:p w14:paraId="2E3FCD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Марков Иван Александрович, 1897 г. рождения, беспартийный, уполномоченный в Москве по снабжению Уральского Энергоуправления Главэнерго.</w:t>
      </w:r>
    </w:p>
    <w:p w14:paraId="60B5C2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Крестмейн Ефрем Самуилович, 1897 г. рождения, беспартийный, уполномоченный в Москве конторы Главэнерго по снабжению государственных районных электрических станций материалами и оборудованием (Снаабгрэс).</w:t>
      </w:r>
    </w:p>
    <w:p w14:paraId="37F083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Арестованный Ведрих Г.И. признал себя виновным в проведении им шпионской работы и показал, что в 1927 году, работая заместителем коммерческого директора Северо-Кавказского Энергоуправления в Ростове н/Дону, он был завербован для работы в пользу германской военной разведки германским подданным инженером Штро (находится в Германии), находившимся в СССР как представитель фирмы «Сименс-Баунион».</w:t>
      </w:r>
    </w:p>
    <w:p w14:paraId="20E141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 1928 года, после отъезда Штро за границу, Ведрих Г.И. по указанию Штро связался с германским подданным Карнагелем Эмилем (находится в Германии), для чего был вызван последним в Москву, где и получил от Карнагеля задание по сбору сведений о работе ленинградских заводов, главным образом, их специальных цехов, выпускающих оборонную продукцию, а также по сбору сведений мобилизационной готовности этих заводов.</w:t>
      </w:r>
    </w:p>
    <w:p w14:paraId="7C9D7D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Ведрих Г.И. показал, что для проведения шпионской работы по заводам им были завербованы: 1. Шаварский А.М. 2. Кильпиэ Э.А. 3. Владимиров А.Р. 4. Тихонов Ф.К. 5. Воробьев А.Н. 6. Марков И.А. 7. Крестмейн Е.С. и другие.</w:t>
      </w:r>
    </w:p>
    <w:p w14:paraId="40EFA2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показаний арестованных видно, что Ведрих Г.И. за короткий срок работы в системе Главэнерго получил от завербованных им служащих ленинградских заводов целый ряд сведений секретного характера.</w:t>
      </w:r>
    </w:p>
    <w:p w14:paraId="444BF6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 по Ленинградскому металлическому заводу им. Сталина Ведрих Г.И. получил от Владимирова в конце 1933 года портфель заказов на теплосиловое оборудование (турбины, котлы, турбонасосы, электронасосы и части к ним) по состоянию на 1-е декабря 1933 г. На основе этого материала Ведрих Г.И. установил загруженность завода.</w:t>
      </w:r>
    </w:p>
    <w:p w14:paraId="313141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1934 года Ведрих получил от того же Владимирова материал, отображающий работу специального отдела завода на 1934 год, а также совершенно секретный материал о запроектированной заводом и подлежащей выпуску турбине нового типа для изменения на самолетах; в этом материале была пояснительная записка и технические данные турбины.</w:t>
      </w:r>
    </w:p>
    <w:p w14:paraId="49AE45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Невскому заводу им. Ленина Владимиров передал Ведриху Г.И. летом 1934 года сведения о количестве станков и другого оборудования с указанием типов, а также количества рабочей силы, занятой в спеццехах, изготавливающих оборудование по специальным заказам.</w:t>
      </w:r>
    </w:p>
    <w:p w14:paraId="3D9DCA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Такие же сведения осенью 1934 года Эдрих Г.И. получил от Владимирова по Кировскому заводу (быв. «Красный путиловец»).</w:t>
      </w:r>
    </w:p>
    <w:p w14:paraId="69803B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 завербованного Тихонова Ведрих Г.И. летом 1934 г. получил материал по Ленинградскому металлическому заводу им. Сталина, содержащий данные о наличии оборудования котельного цеха, о загрузке его всеми заказами и их состоянии, с указанием заказчиков. Сведения охватывали данные по котельной продукции и производству специальных участков цеха, в частности изготовление заказов оборонного значения.</w:t>
      </w:r>
    </w:p>
    <w:p w14:paraId="77729C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это же время Тихонов передал Ведриху Г.И. данные о заказах на детали для мин.</w:t>
      </w:r>
    </w:p>
    <w:p w14:paraId="02FC16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Ленинградскому металлургическому заводу («ЛМЗ») Ведрих Г.И. дал задание Кильпиэ достать секретные сведения о выпуске специальной продукции за 1934 год и план выпуска специальной продукции на 1935 год, за что Ведрих В.И. уплатил Кильпиэ 850 рублей и обещал при получении сведений пополнить эту сумму.</w:t>
      </w:r>
    </w:p>
    <w:p w14:paraId="1BFCFE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Кильпиэ эти материалы с завода вынес для передачи их Ведриху Г.И., но не передал, так как в этот же день был арестован, а документы изъяты при обыске.</w:t>
      </w:r>
    </w:p>
    <w:p w14:paraId="53AFB6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аресте Владимирова были изъяты у него на квартире документы, не подлежащие оглашению:</w:t>
      </w:r>
    </w:p>
    <w:p w14:paraId="16E9E5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Протокол совещания работников Главного управления энергетической промышленности (Главзнергопром) с работниками ленинградских заводов, в котором отражалось состояние всех заказов Главэнергопрома. Один экземпляр этого протокола Владимиров передал Ведриху Г.И.</w:t>
      </w:r>
    </w:p>
    <w:p w14:paraId="260E9D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Инструкция Кировского завода по уходу за одноцилиндровой турбиной мощностью в 30 000 лошадиных сил, установленной на Севастопольской ГРЭС.</w:t>
      </w:r>
    </w:p>
    <w:p w14:paraId="19B772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Документы предъявлены экспертизе, которая полностью подтверждает их секретный характер.</w:t>
      </w:r>
    </w:p>
    <w:p w14:paraId="2DB01B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Следствие продолжается.</w:t>
      </w:r>
    </w:p>
    <w:p w14:paraId="58245A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наркома внутренних дел СССР Прокофьев (10787).</w:t>
      </w:r>
    </w:p>
    <w:p w14:paraId="05BB6494" w14:textId="77777777" w:rsidR="00D4105E" w:rsidRPr="00E14102" w:rsidRDefault="00D4105E" w:rsidP="00E14102">
      <w:pPr>
        <w:autoSpaceDE w:val="0"/>
        <w:autoSpaceDN w:val="0"/>
        <w:adjustRightInd w:val="0"/>
        <w:jc w:val="both"/>
        <w:rPr>
          <w:color w:val="000000" w:themeColor="text1"/>
          <w:sz w:val="16"/>
          <w:szCs w:val="16"/>
        </w:rPr>
      </w:pPr>
    </w:p>
    <w:p w14:paraId="010E44E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B76222B" w14:textId="77777777" w:rsidR="00D4105E" w:rsidRPr="00E14102" w:rsidRDefault="00D4105E" w:rsidP="00E14102">
      <w:pPr>
        <w:autoSpaceDE w:val="0"/>
        <w:autoSpaceDN w:val="0"/>
        <w:adjustRightInd w:val="0"/>
        <w:jc w:val="both"/>
        <w:rPr>
          <w:iCs/>
          <w:color w:val="000000" w:themeColor="text1"/>
          <w:sz w:val="16"/>
          <w:szCs w:val="16"/>
        </w:rPr>
      </w:pPr>
    </w:p>
    <w:p w14:paraId="1E0993B5" w14:textId="77777777" w:rsidR="00BA750D" w:rsidRPr="00E14102" w:rsidRDefault="00BA750D" w:rsidP="00E14102">
      <w:pPr>
        <w:pStyle w:val="rtejustify"/>
        <w:spacing w:before="0" w:after="0"/>
        <w:rPr>
          <w:color w:val="000000" w:themeColor="text1"/>
          <w:sz w:val="16"/>
          <w:szCs w:val="16"/>
        </w:rPr>
      </w:pPr>
      <w:r w:rsidRPr="00E14102">
        <w:rPr>
          <w:rStyle w:val="a6"/>
          <w:bCs/>
          <w:i w:val="0"/>
          <w:color w:val="000000" w:themeColor="text1"/>
          <w:sz w:val="16"/>
          <w:szCs w:val="16"/>
        </w:rPr>
        <w:t>6/7 марта 1935 вышел приказ НКТП № 31сс.</w:t>
      </w:r>
      <w:r w:rsidRPr="00E14102">
        <w:rPr>
          <w:color w:val="000000" w:themeColor="text1"/>
          <w:sz w:val="16"/>
          <w:szCs w:val="16"/>
        </w:rPr>
        <w:t xml:space="preserve"> О перестройке работы заводов ГУАП на условиях мобилизации для выполнения правительственных заданий. (РГАЭ. Ф. 7297. Оп. 38. Д. 171. Л. 46</w:t>
      </w:r>
      <w:r w:rsidRPr="00E14102">
        <w:rPr>
          <w:color w:val="000000" w:themeColor="text1"/>
          <w:sz w:val="16"/>
          <w:szCs w:val="16"/>
        </w:rPr>
        <w:noBreakHyphen/>
        <w:t>41) (15246).</w:t>
      </w:r>
    </w:p>
    <w:p w14:paraId="70743BB0" w14:textId="77777777" w:rsidR="00BA750D" w:rsidRPr="00E14102" w:rsidRDefault="00BA750D" w:rsidP="00E14102">
      <w:pPr>
        <w:pStyle w:val="rtejustify"/>
        <w:spacing w:before="0" w:after="0"/>
        <w:rPr>
          <w:color w:val="000000" w:themeColor="text1"/>
          <w:sz w:val="16"/>
          <w:szCs w:val="16"/>
        </w:rPr>
      </w:pPr>
    </w:p>
    <w:p w14:paraId="3622C8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марта 1935 публикуется информация о состоявшейся в Москве 2-3 марта 1 Всесоюзной конференции по применению реактивных летательных аппаратов к освоению стратосферы и отмечается доклад СПК о крылатой ракете для полета человека (газ. "Техника", 6 марта 1935 г.) (10676).</w:t>
      </w:r>
    </w:p>
    <w:p w14:paraId="6F75E51A" w14:textId="36B2E595" w:rsidR="00D4105E" w:rsidRPr="00E14102" w:rsidRDefault="00D4105E" w:rsidP="00E14102">
      <w:pPr>
        <w:autoSpaceDE w:val="0"/>
        <w:autoSpaceDN w:val="0"/>
        <w:adjustRightInd w:val="0"/>
        <w:jc w:val="both"/>
        <w:rPr>
          <w:color w:val="000000" w:themeColor="text1"/>
          <w:sz w:val="16"/>
          <w:szCs w:val="16"/>
        </w:rPr>
      </w:pPr>
    </w:p>
    <w:p w14:paraId="081E4A71" w14:textId="5905F59D" w:rsidR="00AB0478" w:rsidRPr="00E14102" w:rsidRDefault="00AB0478" w:rsidP="00E14102">
      <w:pPr>
        <w:autoSpaceDE w:val="0"/>
        <w:autoSpaceDN w:val="0"/>
        <w:adjustRightInd w:val="0"/>
        <w:jc w:val="both"/>
        <w:rPr>
          <w:i/>
          <w:iCs/>
          <w:color w:val="000000" w:themeColor="text1"/>
          <w:sz w:val="16"/>
          <w:szCs w:val="16"/>
        </w:rPr>
      </w:pPr>
      <w:r w:rsidRPr="00E14102">
        <w:rPr>
          <w:i/>
          <w:iCs/>
          <w:color w:val="000000" w:themeColor="text1"/>
          <w:sz w:val="16"/>
          <w:szCs w:val="16"/>
        </w:rPr>
        <w:t>За рубежом:</w:t>
      </w:r>
    </w:p>
    <w:p w14:paraId="4D74DF8D" w14:textId="77777777" w:rsidR="00AB0478" w:rsidRPr="00E14102" w:rsidRDefault="00AB0478" w:rsidP="00E14102">
      <w:pPr>
        <w:autoSpaceDE w:val="0"/>
        <w:autoSpaceDN w:val="0"/>
        <w:adjustRightInd w:val="0"/>
        <w:jc w:val="both"/>
        <w:rPr>
          <w:i/>
          <w:iCs/>
          <w:color w:val="000000" w:themeColor="text1"/>
          <w:sz w:val="16"/>
          <w:szCs w:val="16"/>
        </w:rPr>
      </w:pPr>
    </w:p>
    <w:p w14:paraId="23D14FA5" w14:textId="77777777" w:rsidR="00AB0478" w:rsidRPr="00E14102" w:rsidRDefault="00AB0478" w:rsidP="00E14102">
      <w:pPr>
        <w:jc w:val="both"/>
        <w:rPr>
          <w:color w:val="0070C0"/>
          <w:sz w:val="16"/>
          <w:szCs w:val="16"/>
        </w:rPr>
      </w:pPr>
      <w:r w:rsidRPr="00E14102">
        <w:rPr>
          <w:color w:val="0070C0"/>
          <w:sz w:val="16"/>
          <w:szCs w:val="16"/>
        </w:rPr>
        <w:t xml:space="preserve">6 марта 1935 состоялся первый полет </w:t>
      </w:r>
      <w:r w:rsidRPr="00E14102">
        <w:rPr>
          <w:color w:val="0070C0"/>
          <w:sz w:val="16"/>
          <w:szCs w:val="16"/>
          <w:lang w:val="en-US"/>
        </w:rPr>
        <w:t>ANF</w:t>
      </w:r>
      <w:r w:rsidRPr="00E14102">
        <w:rPr>
          <w:color w:val="0070C0"/>
          <w:sz w:val="16"/>
          <w:szCs w:val="16"/>
        </w:rPr>
        <w:t xml:space="preserve"> </w:t>
      </w:r>
      <w:r w:rsidRPr="00E14102">
        <w:rPr>
          <w:color w:val="0070C0"/>
          <w:sz w:val="16"/>
          <w:szCs w:val="16"/>
          <w:lang w:val="en-US"/>
        </w:rPr>
        <w:t>Les</w:t>
      </w:r>
      <w:r w:rsidRPr="00E14102">
        <w:rPr>
          <w:color w:val="0070C0"/>
          <w:sz w:val="16"/>
          <w:szCs w:val="16"/>
        </w:rPr>
        <w:t xml:space="preserve"> </w:t>
      </w:r>
      <w:r w:rsidRPr="00E14102">
        <w:rPr>
          <w:color w:val="0070C0"/>
          <w:sz w:val="16"/>
          <w:szCs w:val="16"/>
          <w:lang w:val="en-US"/>
        </w:rPr>
        <w:t>Mureaux</w:t>
      </w:r>
      <w:r w:rsidRPr="00E14102">
        <w:rPr>
          <w:color w:val="0070C0"/>
          <w:sz w:val="16"/>
          <w:szCs w:val="16"/>
        </w:rPr>
        <w:t xml:space="preserve"> 115</w:t>
      </w:r>
      <w:r w:rsidRPr="00E14102">
        <w:rPr>
          <w:color w:val="0070C0"/>
          <w:sz w:val="16"/>
          <w:szCs w:val="16"/>
          <w:lang w:val="en-US"/>
        </w:rPr>
        <w:t>R</w:t>
      </w:r>
      <w:r w:rsidRPr="00E14102">
        <w:rPr>
          <w:color w:val="0070C0"/>
          <w:sz w:val="16"/>
          <w:szCs w:val="16"/>
        </w:rPr>
        <w:t>.2 (20800).</w:t>
      </w:r>
    </w:p>
    <w:p w14:paraId="2FE93DF1" w14:textId="77777777" w:rsidR="00AB0478" w:rsidRPr="00E14102" w:rsidRDefault="00AB0478" w:rsidP="00E14102">
      <w:pPr>
        <w:jc w:val="both"/>
        <w:rPr>
          <w:color w:val="0070C0"/>
          <w:sz w:val="16"/>
          <w:szCs w:val="16"/>
        </w:rPr>
      </w:pPr>
    </w:p>
    <w:p w14:paraId="21FA0797" w14:textId="77777777" w:rsidR="00AB0478" w:rsidRPr="00E14102" w:rsidRDefault="00AB0478" w:rsidP="00E14102">
      <w:pPr>
        <w:jc w:val="both"/>
        <w:rPr>
          <w:color w:val="0070C0"/>
          <w:sz w:val="16"/>
          <w:szCs w:val="16"/>
        </w:rPr>
      </w:pPr>
      <w:r w:rsidRPr="00E14102">
        <w:rPr>
          <w:color w:val="0070C0"/>
          <w:sz w:val="16"/>
          <w:szCs w:val="16"/>
        </w:rPr>
        <w:t>6 марта 1935 - Первый полет легкого разведывательно-бомбардировочного двухместного самолета ANF Les Mureaux 115R.2.  Этот самолет, оснащенный двигателем Hispano-Suiza 12Ycrs с 20-мм пушкой HS-9 в ступице винта, был выбран французскими ВВС для оснащения тактических подразделений разведки и наблюдения (22578).</w:t>
      </w:r>
    </w:p>
    <w:p w14:paraId="1001F8CF" w14:textId="77777777" w:rsidR="00AB0478" w:rsidRPr="00E14102" w:rsidRDefault="00AB0478" w:rsidP="00E14102">
      <w:pPr>
        <w:jc w:val="both"/>
        <w:rPr>
          <w:color w:val="0070C0"/>
          <w:sz w:val="16"/>
          <w:szCs w:val="16"/>
        </w:rPr>
      </w:pPr>
    </w:p>
    <w:p w14:paraId="18E302A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7E93281" w14:textId="77777777" w:rsidR="00D4105E" w:rsidRPr="00E14102" w:rsidRDefault="00D4105E" w:rsidP="00E14102">
      <w:pPr>
        <w:autoSpaceDE w:val="0"/>
        <w:autoSpaceDN w:val="0"/>
        <w:adjustRightInd w:val="0"/>
        <w:jc w:val="both"/>
        <w:rPr>
          <w:iCs/>
          <w:color w:val="000000" w:themeColor="text1"/>
          <w:sz w:val="16"/>
          <w:szCs w:val="16"/>
        </w:rPr>
      </w:pPr>
    </w:p>
    <w:p w14:paraId="284372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марта 1935 вышло постановление СТО N С-21сс "Об изменении срока сдачи скоростных истребителей И-14, И-15 И-16 (продлили установленные СТО постановлением N К-188сс от 20 декабря 1934 с 1 марта по 1 мая 1935) (2161,149).</w:t>
      </w:r>
    </w:p>
    <w:p w14:paraId="3E88B6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Продлить установленный решением СТО N К-188сс от 20 декабря 1934 срок сдачи с 1 марта на 1 мая 1935." (2398,19).</w:t>
      </w:r>
    </w:p>
    <w:p w14:paraId="1DD5F6B4" w14:textId="77777777" w:rsidR="00D4105E" w:rsidRPr="00E14102" w:rsidRDefault="00D4105E" w:rsidP="00E14102">
      <w:pPr>
        <w:autoSpaceDE w:val="0"/>
        <w:autoSpaceDN w:val="0"/>
        <w:adjustRightInd w:val="0"/>
        <w:jc w:val="both"/>
        <w:rPr>
          <w:color w:val="000000" w:themeColor="text1"/>
          <w:sz w:val="16"/>
          <w:szCs w:val="16"/>
        </w:rPr>
      </w:pPr>
    </w:p>
    <w:p w14:paraId="34660C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марта 1935 года постановление № С-21сс СТО</w:t>
      </w:r>
    </w:p>
    <w:p w14:paraId="4A00B5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 изменении срока сдачи скоростных истребителей И-14, И-15, И-16</w:t>
      </w:r>
    </w:p>
    <w:p w14:paraId="1834E8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тем, что:</w:t>
      </w:r>
    </w:p>
    <w:p w14:paraId="40CA66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разработка конструкции новой установки пулемета "ШКАС" на самолеты И-16 по системе ОКБ-2 (Шпитального);</w:t>
      </w:r>
    </w:p>
    <w:p w14:paraId="2FD6B0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установка пулемета "ШКАС" на самолеты И-14, взамен пушки АПК-13 и</w:t>
      </w:r>
    </w:p>
    <w:p w14:paraId="5A4952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доводка синхронизаторов на самолеты И-15</w:t>
      </w:r>
    </w:p>
    <w:p w14:paraId="49E67B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задержались в силу сложности всех этих конструкций, СТО постановляет:</w:t>
      </w:r>
    </w:p>
    <w:p w14:paraId="2A21C9C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Продлить установленный решением СТО № К-188сс от 20 декабря 1934 года срок сдачи самолетов 1 марта – до 1 мая 1935 года.</w:t>
      </w:r>
    </w:p>
    <w:p w14:paraId="6D4675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…………………………..(7516, 14).</w:t>
      </w:r>
    </w:p>
    <w:p w14:paraId="430A9E7C" w14:textId="77777777" w:rsidR="00D4105E" w:rsidRPr="00E14102" w:rsidRDefault="00D4105E" w:rsidP="00E14102">
      <w:pPr>
        <w:autoSpaceDE w:val="0"/>
        <w:autoSpaceDN w:val="0"/>
        <w:adjustRightInd w:val="0"/>
        <w:jc w:val="both"/>
        <w:rPr>
          <w:color w:val="000000" w:themeColor="text1"/>
          <w:sz w:val="16"/>
          <w:szCs w:val="16"/>
        </w:rPr>
      </w:pPr>
    </w:p>
    <w:p w14:paraId="096ED231" w14:textId="77777777" w:rsidR="00BA750D" w:rsidRPr="00E14102" w:rsidRDefault="00BA750D" w:rsidP="00E14102">
      <w:pPr>
        <w:pStyle w:val="rtejustify"/>
        <w:spacing w:before="0" w:after="0"/>
        <w:rPr>
          <w:color w:val="000000" w:themeColor="text1"/>
          <w:sz w:val="16"/>
          <w:szCs w:val="16"/>
        </w:rPr>
      </w:pPr>
      <w:r w:rsidRPr="00E14102">
        <w:rPr>
          <w:rStyle w:val="a6"/>
          <w:bCs/>
          <w:i w:val="0"/>
          <w:color w:val="000000" w:themeColor="text1"/>
          <w:sz w:val="16"/>
          <w:szCs w:val="16"/>
        </w:rPr>
        <w:t>7 марта</w:t>
      </w:r>
      <w:r w:rsidRPr="00E14102">
        <w:rPr>
          <w:color w:val="000000" w:themeColor="text1"/>
          <w:sz w:val="16"/>
          <w:szCs w:val="16"/>
        </w:rPr>
        <w:t xml:space="preserve"> 1935. Постановление СТО СССР № С</w:t>
      </w:r>
      <w:r w:rsidRPr="00E14102">
        <w:rPr>
          <w:color w:val="000000" w:themeColor="text1"/>
          <w:sz w:val="16"/>
          <w:szCs w:val="16"/>
        </w:rPr>
        <w:noBreakHyphen/>
        <w:t>21сс «Об изменении срока сдачи скоростных истребителей И</w:t>
      </w:r>
      <w:r w:rsidRPr="00E14102">
        <w:rPr>
          <w:color w:val="000000" w:themeColor="text1"/>
          <w:sz w:val="16"/>
          <w:szCs w:val="16"/>
        </w:rPr>
        <w:noBreakHyphen/>
        <w:t>14, И</w:t>
      </w:r>
      <w:r w:rsidRPr="00E14102">
        <w:rPr>
          <w:color w:val="000000" w:themeColor="text1"/>
          <w:sz w:val="16"/>
          <w:szCs w:val="16"/>
        </w:rPr>
        <w:noBreakHyphen/>
        <w:t>15, И</w:t>
      </w:r>
      <w:r w:rsidRPr="00E14102">
        <w:rPr>
          <w:color w:val="000000" w:themeColor="text1"/>
          <w:sz w:val="16"/>
          <w:szCs w:val="16"/>
        </w:rPr>
        <w:noBreakHyphen/>
        <w:t>16». (ГА РФ. Ф. Р</w:t>
      </w:r>
      <w:r w:rsidRPr="00E14102">
        <w:rPr>
          <w:color w:val="000000" w:themeColor="text1"/>
          <w:sz w:val="16"/>
          <w:szCs w:val="16"/>
        </w:rPr>
        <w:noBreakHyphen/>
        <w:t>8418. Оп. 28. Д. 6. Л. 46) (15460).</w:t>
      </w:r>
    </w:p>
    <w:p w14:paraId="7B825ECA" w14:textId="77777777" w:rsidR="00BA750D" w:rsidRPr="00E14102" w:rsidRDefault="00BA750D" w:rsidP="00E14102">
      <w:pPr>
        <w:pStyle w:val="rtejustify"/>
        <w:spacing w:before="0" w:after="0"/>
        <w:rPr>
          <w:color w:val="000000" w:themeColor="text1"/>
          <w:sz w:val="16"/>
          <w:szCs w:val="16"/>
        </w:rPr>
      </w:pPr>
    </w:p>
    <w:p w14:paraId="537B66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марта 1935 года Начальник НИИ ВВС Лавров утвердил Отчет о полигонных испытаниях стрелковой установки, как эталона с крыльевыми пулеметами системы "ШКАС" на серийный самолет И-16 N 2 и N 9</w:t>
      </w:r>
    </w:p>
    <w:p w14:paraId="400674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w:t>
      </w:r>
    </w:p>
    <w:p w14:paraId="52BC07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Начато 19.02.35 г.</w:t>
      </w:r>
    </w:p>
    <w:p w14:paraId="127CC0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Окончено 2.03.35 г.</w:t>
      </w:r>
    </w:p>
    <w:p w14:paraId="56EE8D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18A637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Предъявленная заводом N 39 стрелковая установка, как эталон на серийном самолете И-16 N 2 с крыльевыми пулеметами системы ШКАС, полигонные испытания выдержала и может быть рекомендована, как эталон для вооружения самолетов И-16, производства первой половины 1935 года с устранением всех недочетов, указанных в выводах настоящего отчета.</w:t>
      </w:r>
    </w:p>
    <w:p w14:paraId="3B9F21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Стрелковая установка, как эталон, смонтированная на серийном самолете И-16 N 9, полигонные испытания не выдержала. (3071,45-53).</w:t>
      </w:r>
    </w:p>
    <w:p w14:paraId="62D00E8E" w14:textId="77777777" w:rsidR="00D4105E" w:rsidRPr="00E14102" w:rsidRDefault="00D4105E" w:rsidP="00E14102">
      <w:pPr>
        <w:autoSpaceDE w:val="0"/>
        <w:autoSpaceDN w:val="0"/>
        <w:adjustRightInd w:val="0"/>
        <w:jc w:val="both"/>
        <w:rPr>
          <w:color w:val="000000" w:themeColor="text1"/>
          <w:sz w:val="16"/>
          <w:szCs w:val="16"/>
        </w:rPr>
      </w:pPr>
    </w:p>
    <w:p w14:paraId="62CB3D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марта 1935 г. СТО издал постановление, согласно которому вместо АПК на И-14 надлежало уста</w:t>
      </w:r>
      <w:r w:rsidRPr="00E14102">
        <w:rPr>
          <w:color w:val="000000" w:themeColor="text1"/>
          <w:sz w:val="16"/>
          <w:szCs w:val="16"/>
        </w:rPr>
        <w:softHyphen/>
        <w:t>новить пулеметы. Вообще внедрение в серию истреби</w:t>
      </w:r>
      <w:r w:rsidRPr="00E14102">
        <w:rPr>
          <w:color w:val="000000" w:themeColor="text1"/>
          <w:sz w:val="16"/>
          <w:szCs w:val="16"/>
        </w:rPr>
        <w:softHyphen/>
        <w:t>теля И-14 проходило тяжело: и серийный завод был новым, не имевшим опыта в постройке машин, и конст-рукторско-технологическая документация в КБ еще не была отработана в должной степени. В итоге до 1936 г. завод не выпустил ни одной серийной машины (10667).</w:t>
      </w:r>
    </w:p>
    <w:p w14:paraId="2A08B78A" w14:textId="77777777" w:rsidR="00D4105E" w:rsidRPr="00E14102" w:rsidRDefault="00D4105E" w:rsidP="00E14102">
      <w:pPr>
        <w:autoSpaceDE w:val="0"/>
        <w:autoSpaceDN w:val="0"/>
        <w:adjustRightInd w:val="0"/>
        <w:jc w:val="both"/>
        <w:rPr>
          <w:color w:val="000000" w:themeColor="text1"/>
          <w:sz w:val="16"/>
          <w:szCs w:val="16"/>
        </w:rPr>
      </w:pPr>
    </w:p>
    <w:p w14:paraId="2B75DF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марта 1935 Зам. Нач. ГУАП Ермолаев писал письмо N 242/1049с Нач. 4 Отд. УВС РККА на N 40/01611 о том, что срок выпуска КОР-1 вызван переводом бригады 3 с завода 39 на завод 31 и ГУАП выходит с ходатайством в правительство с переносе срока с 1 августа на 1 ноября 1935 (2336,50).</w:t>
      </w:r>
    </w:p>
    <w:p w14:paraId="6407798F" w14:textId="77777777" w:rsidR="00D4105E" w:rsidRPr="00E14102" w:rsidRDefault="00D4105E" w:rsidP="00E14102">
      <w:pPr>
        <w:autoSpaceDE w:val="0"/>
        <w:autoSpaceDN w:val="0"/>
        <w:adjustRightInd w:val="0"/>
        <w:jc w:val="both"/>
        <w:rPr>
          <w:color w:val="000000" w:themeColor="text1"/>
          <w:sz w:val="16"/>
          <w:szCs w:val="16"/>
        </w:rPr>
      </w:pPr>
    </w:p>
    <w:p w14:paraId="0FB60395" w14:textId="77777777" w:rsidR="00AB0478" w:rsidRPr="00E14102" w:rsidRDefault="00AB0478" w:rsidP="00E14102">
      <w:pPr>
        <w:tabs>
          <w:tab w:val="left" w:pos="5378"/>
        </w:tabs>
        <w:jc w:val="both"/>
        <w:rPr>
          <w:color w:val="0070C0"/>
          <w:sz w:val="16"/>
          <w:szCs w:val="16"/>
          <w:lang w:bidi="ru-RU"/>
        </w:rPr>
      </w:pPr>
      <w:r w:rsidRPr="00E14102">
        <w:rPr>
          <w:color w:val="0070C0"/>
          <w:sz w:val="16"/>
          <w:szCs w:val="16"/>
          <w:lang w:bidi="ru-RU"/>
        </w:rPr>
        <w:t xml:space="preserve">7 марта 1935 – решение опросом членов ПБ </w:t>
      </w:r>
    </w:p>
    <w:p w14:paraId="54B42306" w14:textId="77777777" w:rsidR="00AB0478" w:rsidRPr="00E14102" w:rsidRDefault="00AB0478" w:rsidP="00E14102">
      <w:pPr>
        <w:jc w:val="both"/>
        <w:rPr>
          <w:color w:val="0070C0"/>
          <w:sz w:val="16"/>
          <w:szCs w:val="16"/>
        </w:rPr>
      </w:pPr>
      <w:r w:rsidRPr="00E14102">
        <w:rPr>
          <w:color w:val="0070C0"/>
          <w:sz w:val="16"/>
          <w:szCs w:val="16"/>
          <w:lang w:bidi="ru-RU"/>
        </w:rPr>
        <w:lastRenderedPageBreak/>
        <w:t>2. О</w:t>
      </w:r>
      <w:r w:rsidRPr="00E14102">
        <w:rPr>
          <w:color w:val="0070C0"/>
          <w:sz w:val="16"/>
          <w:szCs w:val="16"/>
          <w:u w:val="single"/>
          <w:lang w:bidi="ru-RU"/>
        </w:rPr>
        <w:t xml:space="preserve"> </w:t>
      </w:r>
      <w:r w:rsidRPr="00E14102">
        <w:rPr>
          <w:color w:val="0070C0"/>
          <w:sz w:val="16"/>
          <w:szCs w:val="16"/>
          <w:lang w:bidi="ru-RU"/>
        </w:rPr>
        <w:t>заказе в Италии</w:t>
      </w:r>
      <w:r w:rsidRPr="00E14102">
        <w:rPr>
          <w:color w:val="0070C0"/>
          <w:sz w:val="16"/>
          <w:szCs w:val="16"/>
          <w:u w:val="single"/>
          <w:lang w:bidi="ru-RU"/>
        </w:rPr>
        <w:t>,</w:t>
      </w:r>
    </w:p>
    <w:p w14:paraId="1DB08A5A" w14:textId="77777777" w:rsidR="00AB0478" w:rsidRPr="00E14102" w:rsidRDefault="00AB0478" w:rsidP="00E14102">
      <w:pPr>
        <w:jc w:val="both"/>
        <w:rPr>
          <w:color w:val="0070C0"/>
          <w:sz w:val="16"/>
          <w:szCs w:val="16"/>
        </w:rPr>
      </w:pPr>
      <w:r w:rsidRPr="00E14102">
        <w:rPr>
          <w:color w:val="0070C0"/>
          <w:sz w:val="16"/>
          <w:szCs w:val="16"/>
          <w:lang w:bidi="ru-RU"/>
        </w:rPr>
        <w:t>Принять предложение т.Туполева о заказе фирме Двуатин- бад-самолет: одного самолета с установленной пушкой, стреляю</w:t>
      </w:r>
      <w:r w:rsidRPr="00E14102">
        <w:rPr>
          <w:color w:val="0070C0"/>
          <w:sz w:val="16"/>
          <w:szCs w:val="16"/>
          <w:lang w:bidi="ru-RU"/>
        </w:rPr>
        <w:softHyphen/>
        <w:t>щей через винт и одного самолета с двумя пушками, установлен</w:t>
      </w:r>
      <w:r w:rsidRPr="00E14102">
        <w:rPr>
          <w:color w:val="0070C0"/>
          <w:sz w:val="16"/>
          <w:szCs w:val="16"/>
          <w:lang w:bidi="ru-RU"/>
        </w:rPr>
        <w:softHyphen/>
        <w:t>ными на крыле, с ориентировочной стоимостью каждого самоле</w:t>
      </w:r>
      <w:r w:rsidRPr="00E14102">
        <w:rPr>
          <w:color w:val="0070C0"/>
          <w:sz w:val="16"/>
          <w:szCs w:val="16"/>
          <w:lang w:bidi="ru-RU"/>
        </w:rPr>
        <w:softHyphen/>
        <w:t>та 600.000 франков.</w:t>
      </w:r>
    </w:p>
    <w:p w14:paraId="18B86B20" w14:textId="77777777" w:rsidR="00AB0478" w:rsidRPr="00E14102" w:rsidRDefault="00AB0478" w:rsidP="00E14102">
      <w:pPr>
        <w:jc w:val="both"/>
        <w:rPr>
          <w:color w:val="0070C0"/>
          <w:sz w:val="16"/>
          <w:szCs w:val="16"/>
        </w:rPr>
      </w:pPr>
      <w:r w:rsidRPr="00E14102">
        <w:rPr>
          <w:color w:val="0070C0"/>
          <w:sz w:val="16"/>
          <w:szCs w:val="16"/>
          <w:lang w:bidi="ru-RU"/>
        </w:rPr>
        <w:t>Выписки Посланы: т.т;Розепгольцу,Ворошилову.Орджоникидзе.</w:t>
      </w:r>
    </w:p>
    <w:p w14:paraId="75F26896" w14:textId="77777777" w:rsidR="00AB0478" w:rsidRPr="00E14102" w:rsidRDefault="00AB0478" w:rsidP="00E14102">
      <w:pPr>
        <w:jc w:val="both"/>
        <w:rPr>
          <w:color w:val="0070C0"/>
          <w:sz w:val="16"/>
          <w:szCs w:val="16"/>
        </w:rPr>
      </w:pPr>
      <w:r w:rsidRPr="00E14102">
        <w:rPr>
          <w:color w:val="0070C0"/>
          <w:sz w:val="16"/>
          <w:szCs w:val="16"/>
        </w:rPr>
        <w:t>3. О прилете в Москву итальянской воздушной эскадрильи.</w:t>
      </w:r>
    </w:p>
    <w:p w14:paraId="6FA34B02" w14:textId="77777777" w:rsidR="00AB0478" w:rsidRPr="00E14102" w:rsidRDefault="00AB0478" w:rsidP="00E14102">
      <w:pPr>
        <w:jc w:val="both"/>
        <w:rPr>
          <w:color w:val="0070C0"/>
          <w:sz w:val="16"/>
          <w:szCs w:val="16"/>
        </w:rPr>
      </w:pPr>
      <w:r w:rsidRPr="00E14102">
        <w:rPr>
          <w:color w:val="0070C0"/>
          <w:sz w:val="16"/>
          <w:szCs w:val="16"/>
        </w:rPr>
        <w:t>Разрешить прилет в Москву в мае с.г. итальянской воздуш</w:t>
      </w:r>
      <w:r w:rsidRPr="00E14102">
        <w:rPr>
          <w:color w:val="0070C0"/>
          <w:sz w:val="16"/>
          <w:szCs w:val="16"/>
        </w:rPr>
        <w:softHyphen/>
        <w:t>ной эскадрильи во главе с ген. Валло (товарищ министра авиа</w:t>
      </w:r>
      <w:r w:rsidRPr="00E14102">
        <w:rPr>
          <w:color w:val="0070C0"/>
          <w:sz w:val="16"/>
          <w:szCs w:val="16"/>
        </w:rPr>
        <w:softHyphen/>
        <w:t>ции Италии).</w:t>
      </w:r>
    </w:p>
    <w:p w14:paraId="66818A21" w14:textId="77777777" w:rsidR="00AB0478" w:rsidRPr="00E14102" w:rsidRDefault="00AB0478" w:rsidP="00E14102">
      <w:pPr>
        <w:jc w:val="both"/>
        <w:rPr>
          <w:color w:val="0070C0"/>
          <w:sz w:val="16"/>
          <w:szCs w:val="16"/>
        </w:rPr>
      </w:pPr>
      <w:r w:rsidRPr="00E14102">
        <w:rPr>
          <w:color w:val="0070C0"/>
          <w:sz w:val="16"/>
          <w:szCs w:val="16"/>
        </w:rPr>
        <w:t>Выписки посланы: т.т. Ворошилову, Литвинову, Крестинскому, Артузову</w:t>
      </w:r>
    </w:p>
    <w:p w14:paraId="129CFE51" w14:textId="77777777" w:rsidR="00AB0478" w:rsidRPr="00E14102" w:rsidRDefault="00AB0478" w:rsidP="00E14102">
      <w:pPr>
        <w:jc w:val="both"/>
        <w:rPr>
          <w:color w:val="0070C0"/>
          <w:sz w:val="16"/>
          <w:szCs w:val="16"/>
        </w:rPr>
      </w:pPr>
      <w:r w:rsidRPr="00E14102">
        <w:rPr>
          <w:color w:val="0070C0"/>
          <w:sz w:val="16"/>
          <w:szCs w:val="16"/>
        </w:rPr>
        <w:t>4. Об Афганистане.</w:t>
      </w:r>
    </w:p>
    <w:p w14:paraId="2BD5133D" w14:textId="77777777" w:rsidR="00AB0478" w:rsidRPr="00E14102" w:rsidRDefault="00AB0478" w:rsidP="00E14102">
      <w:pPr>
        <w:jc w:val="both"/>
        <w:rPr>
          <w:color w:val="0070C0"/>
          <w:sz w:val="16"/>
          <w:szCs w:val="16"/>
        </w:rPr>
      </w:pPr>
      <w:r w:rsidRPr="00E14102">
        <w:rPr>
          <w:color w:val="0070C0"/>
          <w:sz w:val="16"/>
          <w:szCs w:val="16"/>
        </w:rPr>
        <w:t>1. Разрешить НКВТ установить окончательные цены на все продаваемое имущество, в соответствии с цепами инокопкуренции на аналогичные предметы.</w:t>
      </w:r>
    </w:p>
    <w:p w14:paraId="284FCC46" w14:textId="77777777" w:rsidR="00AB0478" w:rsidRPr="00E14102" w:rsidRDefault="00AB0478" w:rsidP="00E14102">
      <w:pPr>
        <w:jc w:val="both"/>
        <w:rPr>
          <w:color w:val="0070C0"/>
          <w:sz w:val="16"/>
          <w:szCs w:val="16"/>
        </w:rPr>
      </w:pPr>
      <w:r w:rsidRPr="00E14102">
        <w:rPr>
          <w:color w:val="0070C0"/>
          <w:sz w:val="16"/>
          <w:szCs w:val="16"/>
        </w:rPr>
        <w:t>2. Разрешить НКВТ продать афганпра некоторое количество самолетов го и 1-2 батареи зенитных пушек со снарядами.</w:t>
      </w:r>
    </w:p>
    <w:p w14:paraId="185C6D5A" w14:textId="77777777" w:rsidR="00AB0478" w:rsidRPr="00E14102" w:rsidRDefault="00AB0478" w:rsidP="00E14102">
      <w:pPr>
        <w:jc w:val="both"/>
        <w:rPr>
          <w:color w:val="0070C0"/>
          <w:sz w:val="16"/>
          <w:szCs w:val="16"/>
        </w:rPr>
      </w:pPr>
      <w:r w:rsidRPr="00E14102">
        <w:rPr>
          <w:color w:val="0070C0"/>
          <w:sz w:val="16"/>
          <w:szCs w:val="16"/>
        </w:rPr>
        <w:t>3. Разрешить приезд в Москву для переговоров о покупке оружия и для участия в испытаниях предлагаемых образцов ору</w:t>
      </w:r>
      <w:r w:rsidRPr="00E14102">
        <w:rPr>
          <w:color w:val="0070C0"/>
          <w:sz w:val="16"/>
          <w:szCs w:val="16"/>
        </w:rPr>
        <w:softHyphen/>
        <w:t>жия представителей афганской армии.</w:t>
      </w:r>
    </w:p>
    <w:p w14:paraId="2CDBD9F5" w14:textId="77777777" w:rsidR="00AB0478" w:rsidRPr="00E14102" w:rsidRDefault="00AB0478" w:rsidP="00E14102">
      <w:pPr>
        <w:jc w:val="both"/>
        <w:rPr>
          <w:color w:val="0070C0"/>
          <w:sz w:val="16"/>
          <w:szCs w:val="16"/>
        </w:rPr>
      </w:pPr>
      <w:r w:rsidRPr="00E14102">
        <w:rPr>
          <w:color w:val="0070C0"/>
          <w:sz w:val="16"/>
          <w:szCs w:val="16"/>
        </w:rPr>
        <w:t>Утверждено 3 апреля 1935 протокольным решение ПБ</w:t>
      </w:r>
    </w:p>
    <w:p w14:paraId="094551B1" w14:textId="77777777" w:rsidR="00AB0478" w:rsidRPr="00E14102" w:rsidRDefault="00AB0478" w:rsidP="00E14102">
      <w:pPr>
        <w:tabs>
          <w:tab w:val="left" w:pos="5378"/>
        </w:tabs>
        <w:jc w:val="both"/>
        <w:rPr>
          <w:color w:val="0070C0"/>
          <w:sz w:val="16"/>
          <w:szCs w:val="16"/>
        </w:rPr>
      </w:pPr>
      <w:r w:rsidRPr="00E14102">
        <w:rPr>
          <w:color w:val="0070C0"/>
          <w:sz w:val="16"/>
          <w:szCs w:val="16"/>
          <w:lang w:bidi="ru-RU"/>
        </w:rPr>
        <w:t>(ПРОТОКОЛ № 23 ЗАСЕДАНИЯ ПОЛИТБЮРО ЦК ВКП(б) от 3 АПРЕЛЯ 1935 года. (Особый №) (22928).</w:t>
      </w:r>
    </w:p>
    <w:p w14:paraId="435BA3EE" w14:textId="77777777" w:rsidR="00AB0478" w:rsidRPr="00E14102" w:rsidRDefault="00AB0478" w:rsidP="00E14102">
      <w:pPr>
        <w:jc w:val="both"/>
        <w:rPr>
          <w:color w:val="0070C0"/>
          <w:sz w:val="16"/>
          <w:szCs w:val="16"/>
        </w:rPr>
      </w:pPr>
    </w:p>
    <w:p w14:paraId="0DCF3D5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2700226" w14:textId="77777777" w:rsidR="00D4105E" w:rsidRPr="00E14102" w:rsidRDefault="00D4105E" w:rsidP="00E14102">
      <w:pPr>
        <w:autoSpaceDE w:val="0"/>
        <w:autoSpaceDN w:val="0"/>
        <w:adjustRightInd w:val="0"/>
        <w:jc w:val="both"/>
        <w:rPr>
          <w:iCs/>
          <w:color w:val="000000" w:themeColor="text1"/>
          <w:sz w:val="16"/>
          <w:szCs w:val="16"/>
        </w:rPr>
      </w:pPr>
    </w:p>
    <w:p w14:paraId="7E0F4E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марта 1935 года Особым постановлением Совнарком поручил Наркомзему и находившемуся в его подчинении Всесоюзному институту механизации в кратчайшие сроки создать широкозахватный плуг, чтобы уже осенью отправить его на испытания. Ученые ВИМа совместно с конструкторами завода имени Октябрьской революции разработали восьми- и десятикорпусные плуги на жесткой раме и изготовили их в Одессе. Испытания в Армавире (одновременно с моделями, присланными из Челябинска и Омска) показали, что ввиду значительной длины (10 м) десятикорпусный плуг плохо копирует рельеф местности — не дает нужную глубину пахоты на блюдцеобразных впадинах и зарывается в буграх, перегружая трактор. Восьмикорпусный плуг длиной 8,6 м в этом смысле имел преимущество, поэтому на 1936 год заводы Омска и Одессы получили заказ на изготовление партии таких плугов в 5000 штук.</w:t>
      </w:r>
    </w:p>
    <w:p w14:paraId="2C4B6C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окончанию испытаний события приобрели новый поворот. Постановлением правительства Сталинградский и Харьковский тракторные заводы переводились на выпуск гусеничного трактора средней мощности СТЗ-НАТИ. По предварительным подсчетам, для его загрузки на пахоте требовался пятикорпусный плуг. И тогда конструкторы решили убить сразу двух зайцев — разработать для СТЗ-НАТИ такой плуг, который в двойной сцепке удовлетворил бы и С-60. Проектирование шло параллельно на заводах и в ВИМе зимой 1935/36 года.</w:t>
      </w:r>
    </w:p>
    <w:p w14:paraId="64A019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Конструкторы стремились создать плуг, максимально отвечавший агротехническим требованиям того времени. Поэтому перед корпусами они установили предплужники, которые сбрасывают на дно борозды верхний распыленный слой почвы, тогда как главный корпус выворачивает на поверхность пашни нижний структурный слой. К тому же предплужники лучше заделывали в почву растительные остатки и сорняки. Для надежной работы плуга очень важно выбрать оптимальное расстояние между корпусом и предплужником. При малых расстояниях это пространство может забиваться стерней, а при больших — увеличивается длина плуга. Максимальную глубину вспашки — 27 см — конструкторы выбрали с той целью, чтобы плуг годился для пахоты под все главные полевые культуры.</w:t>
      </w:r>
    </w:p>
    <w:p w14:paraId="6CF648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сентябре—ноябре 1936 года межведомственная комиссия испытывала на опытной станции ВИМа в Армавире пятикорпусные плуги и сцепки, представленные конструкторами Одессы, Челябинска, Ростова, а также ВИМа. Агротехническим требованиям больше соответствовали вимовский плуг В-535У и одесский 5К-35, основные параметры и форма рабочей поверхности которого были взяты с плуга В-430, разработанного в ВИСХОМе. По два корпуса у них были съемными, что позволяло посредством несложных операций получать плуги или сцепки от трех до десяти корпусов с шириной захвата от 105 до 350 см.</w:t>
      </w:r>
    </w:p>
    <w:p w14:paraId="3F3DC2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базе 5К-35 конструкторы одесского завода разработали для тяжелых почв Армении и Узбекистана трехкорпусный усиленный плуг 5К-35У, а для пахоты под технические культуры на глубину 40—45 см — 5К-35УП с почвоуглубителями. В одно время с одесским заводом пятикорпусные плуги выпускали также «Ростсельмаш» — ТПУ-5 № 2 и «Сибсельмаш» — ТСБ-35, между собой они отличались незначительно. К концу второй пятилетки пятикорпусные плуги заняли ведущее положение.</w:t>
      </w:r>
    </w:p>
    <w:p w14:paraId="3F6C8A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базе этих трех плугов еще до войны был разработан унифицированный по всем узлам плуг П-5-35. Выпуск его начался в 1940 году, но вошел он в историю как главный плуг в послевоенном восстановлении сельского хозяйства страны (11777).</w:t>
      </w:r>
    </w:p>
    <w:p w14:paraId="42126F4A" w14:textId="77777777" w:rsidR="00D4105E" w:rsidRPr="00E14102" w:rsidRDefault="00D4105E" w:rsidP="00E14102">
      <w:pPr>
        <w:autoSpaceDE w:val="0"/>
        <w:autoSpaceDN w:val="0"/>
        <w:adjustRightInd w:val="0"/>
        <w:jc w:val="both"/>
        <w:rPr>
          <w:color w:val="000000" w:themeColor="text1"/>
          <w:sz w:val="16"/>
          <w:szCs w:val="16"/>
        </w:rPr>
      </w:pPr>
    </w:p>
    <w:p w14:paraId="584437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марта 1935 из библиотек начали изымать работы Л.Д.Троцкого, Г.Е.Зиновьева, Л.Б.Каменева, а потом и Преображенского, Шапошникова, Луначарского и др. (1348,270).</w:t>
      </w:r>
    </w:p>
    <w:p w14:paraId="4C0F7717" w14:textId="77777777" w:rsidR="00D4105E" w:rsidRPr="00E14102" w:rsidRDefault="00D4105E" w:rsidP="00E14102">
      <w:pPr>
        <w:autoSpaceDE w:val="0"/>
        <w:autoSpaceDN w:val="0"/>
        <w:adjustRightInd w:val="0"/>
        <w:jc w:val="both"/>
        <w:rPr>
          <w:color w:val="000000" w:themeColor="text1"/>
          <w:sz w:val="16"/>
          <w:szCs w:val="16"/>
        </w:rPr>
      </w:pPr>
    </w:p>
    <w:p w14:paraId="085878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 марта 1935 в СССР издан циркуляр об изъятии из библиотек сочинений Троцкого, Зиновьева и Каменева (4962).</w:t>
      </w:r>
    </w:p>
    <w:p w14:paraId="4502B4F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3E50F3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585A69E" w14:textId="77777777" w:rsidR="00D4105E" w:rsidRPr="00E14102" w:rsidRDefault="00D4105E" w:rsidP="00E14102">
      <w:pPr>
        <w:autoSpaceDE w:val="0"/>
        <w:autoSpaceDN w:val="0"/>
        <w:adjustRightInd w:val="0"/>
        <w:jc w:val="both"/>
        <w:rPr>
          <w:iCs/>
          <w:color w:val="000000" w:themeColor="text1"/>
          <w:sz w:val="16"/>
          <w:szCs w:val="16"/>
        </w:rPr>
      </w:pPr>
    </w:p>
    <w:p w14:paraId="0355DB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марта 1935 вступив в демилитаризованную Рейнскую область Германия аннулировала Локарнский пакт (3186).</w:t>
      </w:r>
    </w:p>
    <w:p w14:paraId="0FE50B32" w14:textId="77777777" w:rsidR="00D4105E" w:rsidRPr="00E14102" w:rsidRDefault="00D4105E" w:rsidP="00E14102">
      <w:pPr>
        <w:autoSpaceDE w:val="0"/>
        <w:autoSpaceDN w:val="0"/>
        <w:adjustRightInd w:val="0"/>
        <w:jc w:val="both"/>
        <w:rPr>
          <w:color w:val="000000" w:themeColor="text1"/>
          <w:sz w:val="16"/>
          <w:szCs w:val="16"/>
        </w:rPr>
      </w:pPr>
    </w:p>
    <w:p w14:paraId="60EB3CE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B8D400B" w14:textId="77777777" w:rsidR="00D4105E" w:rsidRPr="00E14102" w:rsidRDefault="00D4105E" w:rsidP="00E14102">
      <w:pPr>
        <w:autoSpaceDE w:val="0"/>
        <w:autoSpaceDN w:val="0"/>
        <w:adjustRightInd w:val="0"/>
        <w:jc w:val="both"/>
        <w:rPr>
          <w:iCs/>
          <w:color w:val="000000" w:themeColor="text1"/>
          <w:sz w:val="16"/>
          <w:szCs w:val="16"/>
        </w:rPr>
      </w:pPr>
    </w:p>
    <w:p w14:paraId="34DEA7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марта 1935 Нач. Н-О сектора Самолетного отд. Машкевич писал дир. завода 24 Марьямову письмо N 244/1050с по вопросу "О расчете СБ-12":</w:t>
      </w:r>
    </w:p>
    <w:p w14:paraId="5CD4B0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в/N 308с от 16 февраля по вопросу сравнительного расчета СБ-12 YBRS и М-34. По указанию Зам. Нач. ГУАП Ермолаева при сем предлагаю сравнительную характеристику самолета СБ по расчетам завода 18 (бюро и К.А.К.). СБ 2М-34ФРН был лучше (2343,9).</w:t>
      </w:r>
    </w:p>
    <w:p w14:paraId="6672F91A" w14:textId="77777777" w:rsidR="00D4105E" w:rsidRPr="00E14102" w:rsidRDefault="00D4105E" w:rsidP="00E14102">
      <w:pPr>
        <w:autoSpaceDE w:val="0"/>
        <w:autoSpaceDN w:val="0"/>
        <w:adjustRightInd w:val="0"/>
        <w:jc w:val="both"/>
        <w:rPr>
          <w:color w:val="000000" w:themeColor="text1"/>
          <w:sz w:val="16"/>
          <w:szCs w:val="16"/>
        </w:rPr>
      </w:pPr>
    </w:p>
    <w:p w14:paraId="63CB49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марта 1935 в Севастополе закончились заводские испытания АНТ-27 бис, которые проходили с 29 октября 1934. Летал Т.В.Рябенко. Моторы - М-34Р и данные - ниже, чем расчетные с М-34РН. В отчете записали: “обладает хорошими гидродинамическими качествами, высокими качествами, простотой управления в полете, простотой взлета и посадки” (6472, 33).</w:t>
      </w:r>
    </w:p>
    <w:p w14:paraId="08CF2199" w14:textId="77777777" w:rsidR="00D4105E" w:rsidRPr="00E14102" w:rsidRDefault="00D4105E" w:rsidP="00E14102">
      <w:pPr>
        <w:autoSpaceDE w:val="0"/>
        <w:autoSpaceDN w:val="0"/>
        <w:adjustRightInd w:val="0"/>
        <w:jc w:val="both"/>
        <w:rPr>
          <w:color w:val="000000" w:themeColor="text1"/>
          <w:sz w:val="16"/>
          <w:szCs w:val="16"/>
        </w:rPr>
      </w:pPr>
    </w:p>
    <w:p w14:paraId="0D488E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марта 1935 п/п Нач. ГУАП и Зам. Нач. ГУАП Кореньков направили письмо N 347/1084с Дир. завода 35:</w:t>
      </w:r>
    </w:p>
    <w:p w14:paraId="3385F2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"Настоящим сообщаю, что при рассмотрении представленных Вам контрольных точек по НИОКР на 1935-36 гг. Вам установлен лимит в сумме 500 тыс. руб. на выполнение следующих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1435"/>
        <w:gridCol w:w="1683"/>
        <w:gridCol w:w="1341"/>
        <w:gridCol w:w="2204"/>
      </w:tblGrid>
      <w:tr w:rsidR="00E3599D" w:rsidRPr="00E14102" w14:paraId="6A431EBB" w14:textId="77777777">
        <w:tc>
          <w:tcPr>
            <w:tcW w:w="3936" w:type="dxa"/>
            <w:tcBorders>
              <w:top w:val="single" w:sz="12" w:space="0" w:color="auto"/>
            </w:tcBorders>
          </w:tcPr>
          <w:p w14:paraId="34B172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N п/п Наименование</w:t>
            </w:r>
          </w:p>
        </w:tc>
        <w:tc>
          <w:tcPr>
            <w:tcW w:w="1435" w:type="dxa"/>
            <w:tcBorders>
              <w:top w:val="single" w:sz="12" w:space="0" w:color="auto"/>
            </w:tcBorders>
          </w:tcPr>
          <w:p w14:paraId="168AEF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Шифр</w:t>
            </w:r>
          </w:p>
        </w:tc>
        <w:tc>
          <w:tcPr>
            <w:tcW w:w="1683" w:type="dxa"/>
            <w:tcBorders>
              <w:top w:val="single" w:sz="12" w:space="0" w:color="auto"/>
            </w:tcBorders>
          </w:tcPr>
          <w:p w14:paraId="6B03DF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w:t>
            </w:r>
          </w:p>
        </w:tc>
        <w:tc>
          <w:tcPr>
            <w:tcW w:w="1341" w:type="dxa"/>
            <w:tcBorders>
              <w:top w:val="single" w:sz="12" w:space="0" w:color="auto"/>
            </w:tcBorders>
          </w:tcPr>
          <w:p w14:paraId="0E9227A3" w14:textId="77777777" w:rsidR="00D4105E" w:rsidRPr="00E14102" w:rsidRDefault="00D4105E" w:rsidP="00E14102">
            <w:pPr>
              <w:autoSpaceDE w:val="0"/>
              <w:autoSpaceDN w:val="0"/>
              <w:adjustRightInd w:val="0"/>
              <w:jc w:val="both"/>
              <w:rPr>
                <w:color w:val="000000" w:themeColor="text1"/>
                <w:sz w:val="16"/>
                <w:szCs w:val="16"/>
              </w:rPr>
            </w:pPr>
          </w:p>
        </w:tc>
        <w:tc>
          <w:tcPr>
            <w:tcW w:w="2204" w:type="dxa"/>
            <w:tcBorders>
              <w:top w:val="single" w:sz="12" w:space="0" w:color="auto"/>
            </w:tcBorders>
          </w:tcPr>
          <w:p w14:paraId="180747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w:t>
            </w:r>
          </w:p>
        </w:tc>
      </w:tr>
      <w:tr w:rsidR="00E3599D" w:rsidRPr="00E14102" w14:paraId="2CB87A8A" w14:textId="77777777">
        <w:tc>
          <w:tcPr>
            <w:tcW w:w="3936" w:type="dxa"/>
          </w:tcPr>
          <w:p w14:paraId="2BFED6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Стратосферный самолет</w:t>
            </w:r>
          </w:p>
        </w:tc>
        <w:tc>
          <w:tcPr>
            <w:tcW w:w="1435" w:type="dxa"/>
          </w:tcPr>
          <w:p w14:paraId="6A7431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БОК-1/СС</w:t>
            </w:r>
          </w:p>
        </w:tc>
        <w:tc>
          <w:tcPr>
            <w:tcW w:w="1683" w:type="dxa"/>
          </w:tcPr>
          <w:p w14:paraId="06AAD7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1хМ-34РН</w:t>
            </w:r>
          </w:p>
        </w:tc>
        <w:tc>
          <w:tcPr>
            <w:tcW w:w="1341" w:type="dxa"/>
          </w:tcPr>
          <w:p w14:paraId="6309557B" w14:textId="77777777" w:rsidR="00D4105E" w:rsidRPr="00E14102" w:rsidRDefault="00D4105E" w:rsidP="00E14102">
            <w:pPr>
              <w:autoSpaceDE w:val="0"/>
              <w:autoSpaceDN w:val="0"/>
              <w:adjustRightInd w:val="0"/>
              <w:jc w:val="both"/>
              <w:rPr>
                <w:color w:val="000000" w:themeColor="text1"/>
                <w:sz w:val="16"/>
                <w:szCs w:val="16"/>
              </w:rPr>
            </w:pPr>
          </w:p>
        </w:tc>
        <w:tc>
          <w:tcPr>
            <w:tcW w:w="2204" w:type="dxa"/>
          </w:tcPr>
          <w:p w14:paraId="782133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01.07.35</w:t>
            </w:r>
          </w:p>
        </w:tc>
      </w:tr>
      <w:tr w:rsidR="00E3599D" w:rsidRPr="00E14102" w14:paraId="476EBF7A" w14:textId="77777777">
        <w:tc>
          <w:tcPr>
            <w:tcW w:w="3936" w:type="dxa"/>
          </w:tcPr>
          <w:p w14:paraId="3C41DA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Летающее крыло</w:t>
            </w:r>
          </w:p>
        </w:tc>
        <w:tc>
          <w:tcPr>
            <w:tcW w:w="1435" w:type="dxa"/>
          </w:tcPr>
          <w:p w14:paraId="457675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БОК-5/ЛК</w:t>
            </w:r>
          </w:p>
        </w:tc>
        <w:tc>
          <w:tcPr>
            <w:tcW w:w="1683" w:type="dxa"/>
          </w:tcPr>
          <w:p w14:paraId="6C897D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1хМ-11</w:t>
            </w:r>
          </w:p>
        </w:tc>
        <w:tc>
          <w:tcPr>
            <w:tcW w:w="1341" w:type="dxa"/>
          </w:tcPr>
          <w:p w14:paraId="718FC7E5" w14:textId="77777777" w:rsidR="00D4105E" w:rsidRPr="00E14102" w:rsidRDefault="00D4105E" w:rsidP="00E14102">
            <w:pPr>
              <w:autoSpaceDE w:val="0"/>
              <w:autoSpaceDN w:val="0"/>
              <w:adjustRightInd w:val="0"/>
              <w:jc w:val="both"/>
              <w:rPr>
                <w:color w:val="000000" w:themeColor="text1"/>
                <w:sz w:val="16"/>
                <w:szCs w:val="16"/>
              </w:rPr>
            </w:pPr>
          </w:p>
        </w:tc>
        <w:tc>
          <w:tcPr>
            <w:tcW w:w="2204" w:type="dxa"/>
          </w:tcPr>
          <w:p w14:paraId="33F48A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01.03.35</w:t>
            </w:r>
          </w:p>
        </w:tc>
      </w:tr>
      <w:tr w:rsidR="00E3599D" w:rsidRPr="00E14102" w14:paraId="06BC6945" w14:textId="77777777">
        <w:tc>
          <w:tcPr>
            <w:tcW w:w="3936" w:type="dxa"/>
          </w:tcPr>
          <w:p w14:paraId="7EB483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Разрезное крыло</w:t>
            </w:r>
          </w:p>
        </w:tc>
        <w:tc>
          <w:tcPr>
            <w:tcW w:w="1435" w:type="dxa"/>
          </w:tcPr>
          <w:p w14:paraId="6E1D6A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БОК-2/РК</w:t>
            </w:r>
          </w:p>
        </w:tc>
        <w:tc>
          <w:tcPr>
            <w:tcW w:w="1683" w:type="dxa"/>
          </w:tcPr>
          <w:p w14:paraId="799707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1хМ-11</w:t>
            </w:r>
          </w:p>
        </w:tc>
        <w:tc>
          <w:tcPr>
            <w:tcW w:w="1341" w:type="dxa"/>
          </w:tcPr>
          <w:p w14:paraId="3215E847" w14:textId="77777777" w:rsidR="00D4105E" w:rsidRPr="00E14102" w:rsidRDefault="00D4105E" w:rsidP="00E14102">
            <w:pPr>
              <w:autoSpaceDE w:val="0"/>
              <w:autoSpaceDN w:val="0"/>
              <w:adjustRightInd w:val="0"/>
              <w:jc w:val="both"/>
              <w:rPr>
                <w:color w:val="000000" w:themeColor="text1"/>
                <w:sz w:val="16"/>
                <w:szCs w:val="16"/>
              </w:rPr>
            </w:pPr>
          </w:p>
        </w:tc>
        <w:tc>
          <w:tcPr>
            <w:tcW w:w="2204" w:type="dxa"/>
          </w:tcPr>
          <w:p w14:paraId="0D7CC5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01705.35...(2343,26)</w:t>
            </w:r>
          </w:p>
        </w:tc>
      </w:tr>
      <w:tr w:rsidR="00E3599D" w:rsidRPr="00E14102" w14:paraId="4F48BB8B" w14:textId="77777777">
        <w:tc>
          <w:tcPr>
            <w:tcW w:w="3936" w:type="dxa"/>
          </w:tcPr>
          <w:p w14:paraId="051F26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марта 1935 ГУАП письмом N 347/1079с сообщил заводу 1 лимит по опытному строительству на 1935/36 в 2360000:</w:t>
            </w:r>
          </w:p>
        </w:tc>
        <w:tc>
          <w:tcPr>
            <w:tcW w:w="1435" w:type="dxa"/>
          </w:tcPr>
          <w:p w14:paraId="1722482C" w14:textId="77777777" w:rsidR="00D4105E" w:rsidRPr="00E14102" w:rsidRDefault="00D4105E" w:rsidP="00E14102">
            <w:pPr>
              <w:autoSpaceDE w:val="0"/>
              <w:autoSpaceDN w:val="0"/>
              <w:adjustRightInd w:val="0"/>
              <w:jc w:val="both"/>
              <w:rPr>
                <w:color w:val="000000" w:themeColor="text1"/>
                <w:sz w:val="16"/>
                <w:szCs w:val="16"/>
              </w:rPr>
            </w:pPr>
          </w:p>
        </w:tc>
        <w:tc>
          <w:tcPr>
            <w:tcW w:w="1683" w:type="dxa"/>
          </w:tcPr>
          <w:p w14:paraId="193784B2" w14:textId="77777777" w:rsidR="00D4105E" w:rsidRPr="00E14102" w:rsidRDefault="00D4105E" w:rsidP="00E14102">
            <w:pPr>
              <w:autoSpaceDE w:val="0"/>
              <w:autoSpaceDN w:val="0"/>
              <w:adjustRightInd w:val="0"/>
              <w:jc w:val="both"/>
              <w:rPr>
                <w:color w:val="000000" w:themeColor="text1"/>
                <w:sz w:val="16"/>
                <w:szCs w:val="16"/>
              </w:rPr>
            </w:pPr>
          </w:p>
        </w:tc>
        <w:tc>
          <w:tcPr>
            <w:tcW w:w="1341" w:type="dxa"/>
          </w:tcPr>
          <w:p w14:paraId="01EA69CC" w14:textId="77777777" w:rsidR="00D4105E" w:rsidRPr="00E14102" w:rsidRDefault="00D4105E" w:rsidP="00E14102">
            <w:pPr>
              <w:autoSpaceDE w:val="0"/>
              <w:autoSpaceDN w:val="0"/>
              <w:adjustRightInd w:val="0"/>
              <w:jc w:val="both"/>
              <w:rPr>
                <w:color w:val="000000" w:themeColor="text1"/>
                <w:sz w:val="16"/>
                <w:szCs w:val="16"/>
              </w:rPr>
            </w:pPr>
          </w:p>
        </w:tc>
        <w:tc>
          <w:tcPr>
            <w:tcW w:w="2204" w:type="dxa"/>
          </w:tcPr>
          <w:p w14:paraId="18E9756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5FA8AB3" w14:textId="77777777">
        <w:tc>
          <w:tcPr>
            <w:tcW w:w="3936" w:type="dxa"/>
          </w:tcPr>
          <w:p w14:paraId="344FA1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СР</w:t>
            </w:r>
          </w:p>
        </w:tc>
        <w:tc>
          <w:tcPr>
            <w:tcW w:w="1435" w:type="dxa"/>
          </w:tcPr>
          <w:p w14:paraId="6E0316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Р-9</w:t>
            </w:r>
          </w:p>
        </w:tc>
        <w:tc>
          <w:tcPr>
            <w:tcW w:w="1683" w:type="dxa"/>
          </w:tcPr>
          <w:p w14:paraId="0770CE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или Испано</w:t>
            </w:r>
          </w:p>
        </w:tc>
        <w:tc>
          <w:tcPr>
            <w:tcW w:w="1341" w:type="dxa"/>
          </w:tcPr>
          <w:p w14:paraId="0DB79A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2204" w:type="dxa"/>
          </w:tcPr>
          <w:p w14:paraId="57BA6D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01.11.35</w:t>
            </w:r>
          </w:p>
        </w:tc>
      </w:tr>
      <w:tr w:rsidR="00E3599D" w:rsidRPr="00E14102" w14:paraId="7928DE99" w14:textId="77777777">
        <w:tc>
          <w:tcPr>
            <w:tcW w:w="3936" w:type="dxa"/>
          </w:tcPr>
          <w:p w14:paraId="17A7AF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СР полутороплан</w:t>
            </w:r>
          </w:p>
        </w:tc>
        <w:tc>
          <w:tcPr>
            <w:tcW w:w="1435" w:type="dxa"/>
          </w:tcPr>
          <w:p w14:paraId="170382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Рзет</w:t>
            </w:r>
          </w:p>
        </w:tc>
        <w:tc>
          <w:tcPr>
            <w:tcW w:w="1683" w:type="dxa"/>
          </w:tcPr>
          <w:p w14:paraId="7CB28E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М-34Н</w:t>
            </w:r>
          </w:p>
        </w:tc>
        <w:tc>
          <w:tcPr>
            <w:tcW w:w="1341" w:type="dxa"/>
          </w:tcPr>
          <w:p w14:paraId="692470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2204" w:type="dxa"/>
          </w:tcPr>
          <w:p w14:paraId="360F04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01.04.35</w:t>
            </w:r>
          </w:p>
        </w:tc>
      </w:tr>
      <w:tr w:rsidR="00E3599D" w:rsidRPr="00E14102" w14:paraId="7F8FFFCA" w14:textId="77777777">
        <w:tc>
          <w:tcPr>
            <w:tcW w:w="3936" w:type="dxa"/>
          </w:tcPr>
          <w:p w14:paraId="2FF085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ООО штурмовой с</w:t>
            </w:r>
          </w:p>
        </w:tc>
        <w:tc>
          <w:tcPr>
            <w:tcW w:w="1435" w:type="dxa"/>
          </w:tcPr>
          <w:p w14:paraId="392EF1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3СС1</w:t>
            </w:r>
          </w:p>
        </w:tc>
        <w:tc>
          <w:tcPr>
            <w:tcW w:w="1683" w:type="dxa"/>
          </w:tcPr>
          <w:p w14:paraId="58E4C7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М-17Ф</w:t>
            </w:r>
          </w:p>
        </w:tc>
        <w:tc>
          <w:tcPr>
            <w:tcW w:w="1341" w:type="dxa"/>
          </w:tcPr>
          <w:p w14:paraId="5BD928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2204" w:type="dxa"/>
          </w:tcPr>
          <w:p w14:paraId="34FA40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01.10.35</w:t>
            </w:r>
          </w:p>
        </w:tc>
      </w:tr>
      <w:tr w:rsidR="00E3599D" w:rsidRPr="00E14102" w14:paraId="31922FD5" w14:textId="77777777">
        <w:tc>
          <w:tcPr>
            <w:tcW w:w="3936" w:type="dxa"/>
          </w:tcPr>
          <w:p w14:paraId="5254EB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Скор. техпомощь</w:t>
            </w:r>
          </w:p>
        </w:tc>
        <w:tc>
          <w:tcPr>
            <w:tcW w:w="1435" w:type="dxa"/>
          </w:tcPr>
          <w:p w14:paraId="1EDBAF46" w14:textId="77777777" w:rsidR="00D4105E" w:rsidRPr="00E14102" w:rsidRDefault="00D4105E" w:rsidP="00E14102">
            <w:pPr>
              <w:autoSpaceDE w:val="0"/>
              <w:autoSpaceDN w:val="0"/>
              <w:adjustRightInd w:val="0"/>
              <w:jc w:val="both"/>
              <w:rPr>
                <w:color w:val="000000" w:themeColor="text1"/>
                <w:sz w:val="16"/>
                <w:szCs w:val="16"/>
              </w:rPr>
            </w:pPr>
          </w:p>
        </w:tc>
        <w:tc>
          <w:tcPr>
            <w:tcW w:w="1683" w:type="dxa"/>
          </w:tcPr>
          <w:p w14:paraId="6CDFCA1F" w14:textId="77777777" w:rsidR="00D4105E" w:rsidRPr="00E14102" w:rsidRDefault="00D4105E" w:rsidP="00E14102">
            <w:pPr>
              <w:autoSpaceDE w:val="0"/>
              <w:autoSpaceDN w:val="0"/>
              <w:adjustRightInd w:val="0"/>
              <w:jc w:val="both"/>
              <w:rPr>
                <w:color w:val="000000" w:themeColor="text1"/>
                <w:sz w:val="16"/>
                <w:szCs w:val="16"/>
              </w:rPr>
            </w:pPr>
          </w:p>
        </w:tc>
        <w:tc>
          <w:tcPr>
            <w:tcW w:w="1341" w:type="dxa"/>
          </w:tcPr>
          <w:p w14:paraId="605A0238" w14:textId="77777777" w:rsidR="00D4105E" w:rsidRPr="00E14102" w:rsidRDefault="00D4105E" w:rsidP="00E14102">
            <w:pPr>
              <w:autoSpaceDE w:val="0"/>
              <w:autoSpaceDN w:val="0"/>
              <w:adjustRightInd w:val="0"/>
              <w:jc w:val="both"/>
              <w:rPr>
                <w:color w:val="000000" w:themeColor="text1"/>
                <w:sz w:val="16"/>
                <w:szCs w:val="16"/>
              </w:rPr>
            </w:pPr>
          </w:p>
        </w:tc>
        <w:tc>
          <w:tcPr>
            <w:tcW w:w="2204" w:type="dxa"/>
          </w:tcPr>
          <w:p w14:paraId="7813FB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01.08.35</w:t>
            </w:r>
          </w:p>
        </w:tc>
      </w:tr>
      <w:tr w:rsidR="00E3599D" w:rsidRPr="00E14102" w14:paraId="1FFDB557" w14:textId="77777777">
        <w:tc>
          <w:tcPr>
            <w:tcW w:w="3936" w:type="dxa"/>
            <w:tcBorders>
              <w:bottom w:val="single" w:sz="12" w:space="0" w:color="auto"/>
            </w:tcBorders>
          </w:tcPr>
          <w:p w14:paraId="5041D4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Мет. пустот. Винт...(2336,53)</w:t>
            </w:r>
          </w:p>
        </w:tc>
        <w:tc>
          <w:tcPr>
            <w:tcW w:w="1435" w:type="dxa"/>
            <w:tcBorders>
              <w:bottom w:val="single" w:sz="12" w:space="0" w:color="auto"/>
            </w:tcBorders>
          </w:tcPr>
          <w:p w14:paraId="0886B43A" w14:textId="77777777" w:rsidR="00D4105E" w:rsidRPr="00E14102" w:rsidRDefault="00D4105E" w:rsidP="00E14102">
            <w:pPr>
              <w:autoSpaceDE w:val="0"/>
              <w:autoSpaceDN w:val="0"/>
              <w:adjustRightInd w:val="0"/>
              <w:jc w:val="both"/>
              <w:rPr>
                <w:color w:val="000000" w:themeColor="text1"/>
                <w:sz w:val="16"/>
                <w:szCs w:val="16"/>
              </w:rPr>
            </w:pPr>
          </w:p>
        </w:tc>
        <w:tc>
          <w:tcPr>
            <w:tcW w:w="1683" w:type="dxa"/>
            <w:tcBorders>
              <w:bottom w:val="single" w:sz="12" w:space="0" w:color="auto"/>
            </w:tcBorders>
          </w:tcPr>
          <w:p w14:paraId="32BCCE18" w14:textId="77777777" w:rsidR="00D4105E" w:rsidRPr="00E14102" w:rsidRDefault="00D4105E" w:rsidP="00E14102">
            <w:pPr>
              <w:autoSpaceDE w:val="0"/>
              <w:autoSpaceDN w:val="0"/>
              <w:adjustRightInd w:val="0"/>
              <w:jc w:val="both"/>
              <w:rPr>
                <w:color w:val="000000" w:themeColor="text1"/>
                <w:sz w:val="16"/>
                <w:szCs w:val="16"/>
              </w:rPr>
            </w:pPr>
          </w:p>
        </w:tc>
        <w:tc>
          <w:tcPr>
            <w:tcW w:w="1341" w:type="dxa"/>
            <w:tcBorders>
              <w:bottom w:val="single" w:sz="12" w:space="0" w:color="auto"/>
            </w:tcBorders>
          </w:tcPr>
          <w:p w14:paraId="103B2AF7" w14:textId="77777777" w:rsidR="00D4105E" w:rsidRPr="00E14102" w:rsidRDefault="00D4105E" w:rsidP="00E14102">
            <w:pPr>
              <w:autoSpaceDE w:val="0"/>
              <w:autoSpaceDN w:val="0"/>
              <w:adjustRightInd w:val="0"/>
              <w:jc w:val="both"/>
              <w:rPr>
                <w:color w:val="000000" w:themeColor="text1"/>
                <w:sz w:val="16"/>
                <w:szCs w:val="16"/>
              </w:rPr>
            </w:pPr>
          </w:p>
        </w:tc>
        <w:tc>
          <w:tcPr>
            <w:tcW w:w="2204" w:type="dxa"/>
            <w:tcBorders>
              <w:bottom w:val="single" w:sz="12" w:space="0" w:color="auto"/>
            </w:tcBorders>
          </w:tcPr>
          <w:p w14:paraId="48EBFAB4" w14:textId="77777777" w:rsidR="00D4105E" w:rsidRPr="00E14102" w:rsidRDefault="00D4105E" w:rsidP="00E14102">
            <w:pPr>
              <w:autoSpaceDE w:val="0"/>
              <w:autoSpaceDN w:val="0"/>
              <w:adjustRightInd w:val="0"/>
              <w:jc w:val="both"/>
              <w:rPr>
                <w:color w:val="000000" w:themeColor="text1"/>
                <w:sz w:val="16"/>
                <w:szCs w:val="16"/>
              </w:rPr>
            </w:pPr>
          </w:p>
        </w:tc>
      </w:tr>
    </w:tbl>
    <w:p w14:paraId="63229E4C" w14:textId="77777777" w:rsidR="00D4105E" w:rsidRPr="00E14102" w:rsidRDefault="00D4105E" w:rsidP="00E14102">
      <w:pPr>
        <w:autoSpaceDE w:val="0"/>
        <w:autoSpaceDN w:val="0"/>
        <w:adjustRightInd w:val="0"/>
        <w:jc w:val="both"/>
        <w:rPr>
          <w:color w:val="000000" w:themeColor="text1"/>
          <w:sz w:val="16"/>
          <w:szCs w:val="16"/>
        </w:rPr>
      </w:pPr>
    </w:p>
    <w:p w14:paraId="43E236F4" w14:textId="77777777" w:rsidR="00CF0558" w:rsidRPr="00E14102" w:rsidRDefault="00CF0558" w:rsidP="00E14102">
      <w:pPr>
        <w:jc w:val="both"/>
        <w:rPr>
          <w:color w:val="0070C0"/>
          <w:sz w:val="16"/>
          <w:szCs w:val="16"/>
        </w:rPr>
      </w:pPr>
      <w:r w:rsidRPr="00E14102">
        <w:rPr>
          <w:color w:val="0070C0"/>
          <w:sz w:val="16"/>
          <w:szCs w:val="16"/>
        </w:rPr>
        <w:t>8 марта 1935 г. произвели взвешива</w:t>
      </w:r>
      <w:r w:rsidRPr="00E14102">
        <w:rPr>
          <w:color w:val="0070C0"/>
          <w:sz w:val="16"/>
          <w:szCs w:val="16"/>
        </w:rPr>
        <w:softHyphen/>
        <w:t>ние второго экземп</w:t>
      </w:r>
      <w:r w:rsidRPr="00E14102">
        <w:rPr>
          <w:color w:val="0070C0"/>
          <w:sz w:val="16"/>
          <w:szCs w:val="16"/>
        </w:rPr>
        <w:softHyphen/>
        <w:t>ляра ЦКБ-1 после ремонта, вес пусто</w:t>
      </w:r>
      <w:r w:rsidRPr="00E14102">
        <w:rPr>
          <w:color w:val="0070C0"/>
          <w:sz w:val="16"/>
          <w:szCs w:val="16"/>
        </w:rPr>
        <w:softHyphen/>
        <w:t>го самолета составил 1750 кг, на нем кроме прочего пла</w:t>
      </w:r>
      <w:r w:rsidRPr="00E14102">
        <w:rPr>
          <w:color w:val="0070C0"/>
          <w:sz w:val="16"/>
          <w:szCs w:val="16"/>
        </w:rPr>
        <w:softHyphen/>
        <w:t>нировалась установка нагнетателей для повышения высотности. Испытания в НИИ ВВС велись до мая 1935 г. (29362).</w:t>
      </w:r>
    </w:p>
    <w:p w14:paraId="5863009C" w14:textId="77777777" w:rsidR="00CF0558" w:rsidRPr="00E14102" w:rsidRDefault="00CF0558" w:rsidP="00E14102">
      <w:pPr>
        <w:shd w:val="clear" w:color="auto" w:fill="FFFFFF"/>
        <w:jc w:val="both"/>
        <w:rPr>
          <w:color w:val="0070C0"/>
          <w:sz w:val="16"/>
          <w:szCs w:val="16"/>
        </w:rPr>
      </w:pPr>
    </w:p>
    <w:p w14:paraId="3E7F625F" w14:textId="77777777" w:rsidR="00CF0558" w:rsidRPr="00E14102" w:rsidRDefault="00CF0558" w:rsidP="00E14102">
      <w:pPr>
        <w:jc w:val="both"/>
        <w:rPr>
          <w:color w:val="0070C0"/>
          <w:sz w:val="16"/>
          <w:szCs w:val="16"/>
        </w:rPr>
      </w:pPr>
      <w:r w:rsidRPr="00E14102">
        <w:rPr>
          <w:color w:val="0070C0"/>
          <w:sz w:val="16"/>
          <w:szCs w:val="16"/>
        </w:rPr>
        <w:t>До 8 марта 1935 г. продолжались летные испыта</w:t>
      </w:r>
      <w:r w:rsidRPr="00E14102">
        <w:rPr>
          <w:color w:val="0070C0"/>
          <w:sz w:val="16"/>
          <w:szCs w:val="16"/>
        </w:rPr>
        <w:softHyphen/>
        <w:t>ния А-8. Всего было вы</w:t>
      </w:r>
      <w:r w:rsidRPr="00E14102">
        <w:rPr>
          <w:color w:val="0070C0"/>
          <w:sz w:val="16"/>
          <w:szCs w:val="16"/>
        </w:rPr>
        <w:softHyphen/>
        <w:t>полнено 55 полетов с общей продолжительностью 26 ча</w:t>
      </w:r>
      <w:r w:rsidRPr="00E14102">
        <w:rPr>
          <w:color w:val="0070C0"/>
          <w:sz w:val="16"/>
          <w:szCs w:val="16"/>
        </w:rPr>
        <w:softHyphen/>
        <w:t>сов 25 минут.</w:t>
      </w:r>
    </w:p>
    <w:p w14:paraId="37EDB1B3" w14:textId="77777777" w:rsidR="00CF0558" w:rsidRPr="00E14102" w:rsidRDefault="00CF0558" w:rsidP="00E14102">
      <w:pPr>
        <w:jc w:val="both"/>
        <w:rPr>
          <w:color w:val="0070C0"/>
          <w:sz w:val="16"/>
          <w:szCs w:val="16"/>
        </w:rPr>
      </w:pPr>
      <w:r w:rsidRPr="00E14102">
        <w:rPr>
          <w:color w:val="0070C0"/>
          <w:sz w:val="16"/>
          <w:szCs w:val="16"/>
        </w:rPr>
        <w:t>15 марта 1935 г. первый экземпляр А-8 перелетел на аэ</w:t>
      </w:r>
      <w:r w:rsidRPr="00E14102">
        <w:rPr>
          <w:color w:val="0070C0"/>
          <w:sz w:val="16"/>
          <w:szCs w:val="16"/>
        </w:rPr>
        <w:softHyphen/>
        <w:t>родром Ухтомский под Москвой, где использовался для тренировочных полетов и исследования тряски ротора (20361).</w:t>
      </w:r>
    </w:p>
    <w:p w14:paraId="34C6FC0A" w14:textId="77777777" w:rsidR="00CF0558" w:rsidRPr="00E14102" w:rsidRDefault="00CF0558" w:rsidP="00E14102">
      <w:pPr>
        <w:shd w:val="clear" w:color="auto" w:fill="FFFFFF"/>
        <w:jc w:val="both"/>
        <w:rPr>
          <w:color w:val="0070C0"/>
          <w:sz w:val="16"/>
          <w:szCs w:val="16"/>
        </w:rPr>
      </w:pPr>
    </w:p>
    <w:p w14:paraId="421FC5B1" w14:textId="77777777" w:rsidR="0063005B" w:rsidRPr="00E14102" w:rsidRDefault="0063005B" w:rsidP="00E14102">
      <w:pPr>
        <w:pStyle w:val="61"/>
        <w:shd w:val="clear" w:color="auto" w:fill="auto"/>
        <w:spacing w:before="0" w:line="240" w:lineRule="auto"/>
        <w:rPr>
          <w:color w:val="000000" w:themeColor="text1"/>
          <w:sz w:val="16"/>
          <w:szCs w:val="16"/>
        </w:rPr>
      </w:pPr>
      <w:r w:rsidRPr="00E14102">
        <w:rPr>
          <w:rStyle w:val="66"/>
          <w:rFonts w:ascii="Times New Roman" w:hAnsi="Times New Roman" w:cs="Times New Roman"/>
          <w:iCs/>
          <w:color w:val="000000" w:themeColor="text1"/>
          <w:sz w:val="16"/>
          <w:szCs w:val="16"/>
        </w:rPr>
        <w:lastRenderedPageBreak/>
        <w:t>8 марта 1935 был готов акт с выводами комиссии:</w:t>
      </w:r>
      <w:r w:rsidRPr="00E14102">
        <w:rPr>
          <w:color w:val="000000" w:themeColor="text1"/>
          <w:sz w:val="16"/>
          <w:szCs w:val="16"/>
        </w:rPr>
        <w:t xml:space="preserve"> «...Бывшие руко</w:t>
      </w:r>
      <w:r w:rsidRPr="00E14102">
        <w:rPr>
          <w:color w:val="000000" w:themeColor="text1"/>
          <w:sz w:val="16"/>
          <w:szCs w:val="16"/>
        </w:rPr>
        <w:softHyphen/>
        <w:t>водители «Дирижаблестроя» не справились с возложенными на предприятие задачами и способствовали растранжириванию государственных средств. Затраты на административно-хозяйственные и экс</w:t>
      </w:r>
      <w:r w:rsidRPr="00E14102">
        <w:rPr>
          <w:color w:val="000000" w:themeColor="text1"/>
          <w:sz w:val="16"/>
          <w:szCs w:val="16"/>
        </w:rPr>
        <w:softHyphen/>
        <w:t>плуатационные нужды при годовом плане в 3,0 млн. руб. составили 1,973 млн. И это при выполнении летной программы всего лишь на 19,0%! Никаких затрат на укрепление материально-технической базы. Расходование средств - преступное и бесхозяйственное, без необходимого экономического эффекта. Полное игно</w:t>
      </w:r>
      <w:r w:rsidRPr="00E14102">
        <w:rPr>
          <w:color w:val="000000" w:themeColor="text1"/>
          <w:sz w:val="16"/>
          <w:szCs w:val="16"/>
        </w:rPr>
        <w:softHyphen/>
        <w:t>рирование бухучета и отчетности. Как итог - развал финансовой дисциплины, летной и хозяйственной деятельности...»</w:t>
      </w:r>
      <w:r w:rsidRPr="00E14102">
        <w:rPr>
          <w:rStyle w:val="66"/>
          <w:rFonts w:ascii="Times New Roman" w:hAnsi="Times New Roman" w:cs="Times New Roman"/>
          <w:iCs/>
          <w:color w:val="000000" w:themeColor="text1"/>
          <w:sz w:val="16"/>
          <w:szCs w:val="16"/>
        </w:rPr>
        <w:t xml:space="preserve"> (РГАЭ Ф. 9574, оп. 2, д. 6, л. 23-38).</w:t>
      </w:r>
    </w:p>
    <w:p w14:paraId="57EFE959" w14:textId="77777777" w:rsidR="0063005B" w:rsidRPr="00E14102" w:rsidRDefault="0063005B" w:rsidP="00E14102">
      <w:pPr>
        <w:pStyle w:val="61"/>
        <w:shd w:val="clear" w:color="auto" w:fill="auto"/>
        <w:spacing w:before="0" w:line="240" w:lineRule="auto"/>
        <w:rPr>
          <w:color w:val="000000" w:themeColor="text1"/>
          <w:sz w:val="16"/>
          <w:szCs w:val="16"/>
        </w:rPr>
      </w:pPr>
      <w:r w:rsidRPr="00E14102">
        <w:rPr>
          <w:rStyle w:val="66"/>
          <w:rFonts w:ascii="Times New Roman" w:hAnsi="Times New Roman" w:cs="Times New Roman"/>
          <w:iCs/>
          <w:color w:val="000000" w:themeColor="text1"/>
          <w:sz w:val="16"/>
          <w:szCs w:val="16"/>
        </w:rPr>
        <w:t xml:space="preserve">Не успел Ткачев освоиться в кабинете И.С. Уншлихта, как и к нему на стол легла жалоба-резолюция общего собрания парторганизации «Дирижаблестрой»: </w:t>
      </w:r>
      <w:r w:rsidRPr="00E14102">
        <w:rPr>
          <w:color w:val="000000" w:themeColor="text1"/>
          <w:sz w:val="16"/>
          <w:szCs w:val="16"/>
        </w:rPr>
        <w:t>«...Несмотря на 5-летнее существование предприятия рядом с Москвой, в поселке нет не только аптеки, больницы, зубной амбулатории, киноклуба, но и книжного магазина, газетного киоска... Вокруггрязь, кучи мусора, запущенные уборные... Нам нужны: Дом культуры (на 500 мест), баня, своя типография, капитальная школа, водопровод...».</w:t>
      </w:r>
    </w:p>
    <w:p w14:paraId="29D7D134" w14:textId="77777777" w:rsidR="0063005B" w:rsidRPr="00E14102" w:rsidRDefault="0063005B" w:rsidP="00E14102">
      <w:pPr>
        <w:pStyle w:val="a7"/>
        <w:rPr>
          <w:color w:val="000000" w:themeColor="text1"/>
          <w:sz w:val="16"/>
          <w:szCs w:val="16"/>
          <w:lang w:val="ru-RU"/>
        </w:rPr>
      </w:pPr>
      <w:r w:rsidRPr="00E14102">
        <w:rPr>
          <w:color w:val="000000" w:themeColor="text1"/>
          <w:sz w:val="16"/>
          <w:szCs w:val="16"/>
          <w:lang w:val="ru-RU"/>
        </w:rPr>
        <w:t>Деятельность руководства «Дири</w:t>
      </w:r>
      <w:r w:rsidRPr="00E14102">
        <w:rPr>
          <w:color w:val="000000" w:themeColor="text1"/>
          <w:sz w:val="16"/>
          <w:szCs w:val="16"/>
          <w:lang w:val="ru-RU"/>
        </w:rPr>
        <w:softHyphen/>
        <w:t>жаблестроя» в 1935 г., судя по архивным документам, имела характер растерянности и метаний в поисках перспектив развития вверенной им отрасли. С этой целью через военного атташе Торгпредства СССР в Ита</w:t>
      </w:r>
      <w:r w:rsidRPr="00E14102">
        <w:rPr>
          <w:color w:val="000000" w:themeColor="text1"/>
          <w:sz w:val="16"/>
          <w:szCs w:val="16"/>
          <w:lang w:val="ru-RU"/>
        </w:rPr>
        <w:softHyphen/>
        <w:t>лии П. Перенко-Лунева предпринимались определенные шаги.</w:t>
      </w:r>
    </w:p>
    <w:p w14:paraId="57817182" w14:textId="77777777" w:rsidR="0063005B" w:rsidRPr="00E14102" w:rsidRDefault="0063005B" w:rsidP="00E14102">
      <w:pPr>
        <w:pStyle w:val="a7"/>
        <w:rPr>
          <w:color w:val="000000" w:themeColor="text1"/>
          <w:sz w:val="16"/>
          <w:szCs w:val="16"/>
          <w:lang w:val="ru-RU"/>
        </w:rPr>
      </w:pPr>
      <w:r w:rsidRPr="00E14102">
        <w:rPr>
          <w:color w:val="000000" w:themeColor="text1"/>
          <w:sz w:val="16"/>
          <w:szCs w:val="16"/>
          <w:lang w:val="ru-RU"/>
        </w:rPr>
        <w:t>Пытались оценить возможность и стоимость приобретения нереализованных в Италии</w:t>
      </w:r>
      <w:r w:rsidRPr="00E14102">
        <w:rPr>
          <w:rStyle w:val="41"/>
          <w:rFonts w:ascii="Times New Roman" w:hAnsi="Times New Roman" w:cs="Times New Roman"/>
          <w:i w:val="0"/>
          <w:color w:val="000000" w:themeColor="text1"/>
          <w:sz w:val="16"/>
          <w:szCs w:val="16"/>
          <w:lang w:val="ru-RU"/>
        </w:rPr>
        <w:t xml:space="preserve"> (явно устаревших</w:t>
      </w:r>
      <w:r w:rsidRPr="00E14102">
        <w:rPr>
          <w:color w:val="000000" w:themeColor="text1"/>
          <w:sz w:val="16"/>
          <w:szCs w:val="16"/>
          <w:lang w:val="ru-RU"/>
        </w:rPr>
        <w:t>) проектов дирижаблей конструктора Форланини объ</w:t>
      </w:r>
      <w:r w:rsidRPr="00E14102">
        <w:rPr>
          <w:color w:val="000000" w:themeColor="text1"/>
          <w:sz w:val="16"/>
          <w:szCs w:val="16"/>
          <w:lang w:val="ru-RU"/>
        </w:rPr>
        <w:softHyphen/>
        <w:t>емом в 30000 и 50000 м</w:t>
      </w:r>
      <w:r w:rsidRPr="00E14102">
        <w:rPr>
          <w:color w:val="000000" w:themeColor="text1"/>
          <w:sz w:val="16"/>
          <w:szCs w:val="16"/>
          <w:vertAlign w:val="superscript"/>
          <w:lang w:val="ru-RU"/>
        </w:rPr>
        <w:t>3</w:t>
      </w:r>
      <w:r w:rsidRPr="00E14102">
        <w:rPr>
          <w:color w:val="000000" w:themeColor="text1"/>
          <w:sz w:val="16"/>
          <w:szCs w:val="16"/>
          <w:lang w:val="ru-RU"/>
        </w:rPr>
        <w:t xml:space="preserve"> (потолок высоты полета - 5000 и 8000 м); допустить совет</w:t>
      </w:r>
      <w:r w:rsidRPr="00E14102">
        <w:rPr>
          <w:color w:val="000000" w:themeColor="text1"/>
          <w:sz w:val="16"/>
          <w:szCs w:val="16"/>
          <w:lang w:val="ru-RU"/>
        </w:rPr>
        <w:softHyphen/>
        <w:t>ских инженеров к переговорам с фирмой в Милане; привлечь к контактам и оказанию возможной техпомощи фирму «Анонимное общество Леонардо да Винчи».</w:t>
      </w:r>
    </w:p>
    <w:p w14:paraId="1BEC7C38" w14:textId="77777777" w:rsidR="0063005B" w:rsidRPr="00E14102" w:rsidRDefault="0063005B" w:rsidP="00E14102">
      <w:pPr>
        <w:jc w:val="both"/>
        <w:rPr>
          <w:color w:val="000000" w:themeColor="text1"/>
          <w:sz w:val="16"/>
          <w:szCs w:val="16"/>
        </w:rPr>
      </w:pPr>
      <w:r w:rsidRPr="00E14102">
        <w:rPr>
          <w:color w:val="000000" w:themeColor="text1"/>
          <w:sz w:val="16"/>
          <w:szCs w:val="16"/>
        </w:rPr>
        <w:t>Одновременно, через Полпредство СССР в Лондоне запрашивалась возмож</w:t>
      </w:r>
      <w:r w:rsidRPr="00E14102">
        <w:rPr>
          <w:color w:val="000000" w:themeColor="text1"/>
          <w:sz w:val="16"/>
          <w:szCs w:val="16"/>
        </w:rPr>
        <w:softHyphen/>
        <w:t>ность оказания услуг «Дирижаблестрою» со стороны конструктора корабля В 101 и других отдельных лиц.</w:t>
      </w:r>
    </w:p>
    <w:p w14:paraId="5A662AB6" w14:textId="77777777" w:rsidR="0063005B" w:rsidRPr="00E14102" w:rsidRDefault="0063005B" w:rsidP="00E14102">
      <w:pPr>
        <w:pStyle w:val="a7"/>
        <w:rPr>
          <w:color w:val="000000" w:themeColor="text1"/>
          <w:sz w:val="16"/>
          <w:szCs w:val="16"/>
          <w:lang w:val="ru-RU"/>
        </w:rPr>
      </w:pPr>
      <w:r w:rsidRPr="00E14102">
        <w:rPr>
          <w:color w:val="000000" w:themeColor="text1"/>
          <w:sz w:val="16"/>
          <w:szCs w:val="16"/>
          <w:lang w:val="ru-RU"/>
        </w:rPr>
        <w:t>То же по США: «Крайне желательны посещения группой советских инженеров- дирижаблистов воздухоплавательных баз и эллингов в Калифорнии, Лейкхерсте, Ил</w:t>
      </w:r>
      <w:r w:rsidRPr="00E14102">
        <w:rPr>
          <w:color w:val="000000" w:themeColor="text1"/>
          <w:sz w:val="16"/>
          <w:szCs w:val="16"/>
          <w:lang w:val="ru-RU"/>
        </w:rPr>
        <w:softHyphen/>
        <w:t>линойсе по линии Морского министерства, исследовательских центров и фирм вАкроне, Гаммондепорте, Нью-Йорке, Нью-Хевене (Коннектикут), специализированных инсти</w:t>
      </w:r>
      <w:r w:rsidRPr="00E14102">
        <w:rPr>
          <w:color w:val="000000" w:themeColor="text1"/>
          <w:sz w:val="16"/>
          <w:szCs w:val="16"/>
          <w:lang w:val="ru-RU"/>
        </w:rPr>
        <w:softHyphen/>
        <w:t>тутов и университетов, гелиевых заводов (Техас)» (12732).</w:t>
      </w:r>
    </w:p>
    <w:p w14:paraId="1C817511" w14:textId="77777777" w:rsidR="0063005B" w:rsidRPr="00E14102" w:rsidRDefault="0063005B" w:rsidP="00E14102">
      <w:pPr>
        <w:pStyle w:val="61"/>
        <w:shd w:val="clear" w:color="auto" w:fill="auto"/>
        <w:spacing w:before="0" w:line="240" w:lineRule="auto"/>
        <w:rPr>
          <w:color w:val="000000" w:themeColor="text1"/>
          <w:sz w:val="16"/>
          <w:szCs w:val="16"/>
        </w:rPr>
      </w:pPr>
    </w:p>
    <w:p w14:paraId="2D74C4B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3AAD15A" w14:textId="77777777" w:rsidR="00D4105E" w:rsidRPr="00E14102" w:rsidRDefault="00D4105E" w:rsidP="00E14102">
      <w:pPr>
        <w:autoSpaceDE w:val="0"/>
        <w:autoSpaceDN w:val="0"/>
        <w:adjustRightInd w:val="0"/>
        <w:jc w:val="both"/>
        <w:rPr>
          <w:iCs/>
          <w:color w:val="000000" w:themeColor="text1"/>
          <w:sz w:val="16"/>
          <w:szCs w:val="16"/>
        </w:rPr>
      </w:pPr>
    </w:p>
    <w:p w14:paraId="7B2E71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марта 1935 года Начальник НИИ ВС комбриг Бажанов утвердил Отчет по определению усилий в лонжеронах крыла самолета ДБ-2 4М-34 РН в полете</w:t>
      </w:r>
    </w:p>
    <w:p w14:paraId="3FB561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2C7915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 1 отдела Рудинцев П.В.</w:t>
      </w:r>
    </w:p>
    <w:p w14:paraId="3C4A5A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w:t>
      </w:r>
    </w:p>
    <w:p w14:paraId="0B77CAF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Освоить и изучить методику замера усилий в стержнях конструкции самолета в полете при помощи прибора “тензограф”.</w:t>
      </w:r>
    </w:p>
    <w:p w14:paraId="0DB3258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усилия в поясах и раскосах лонжеронов крыла самолета ДБ-2 в полете применительно к нагружению самолета в случаях “А” и “В”.</w:t>
      </w:r>
    </w:p>
    <w:p w14:paraId="2CB368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9C8B2F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Считать, что та цель, которая ставилась НИО 1 отдела для первой работы по полетным исследованиям прочности в НИИ ВВС достигнута.</w:t>
      </w:r>
    </w:p>
    <w:p w14:paraId="238607B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Провести более подробные исследования самолета на прочность конструкции самолета ДБ-2 в полете в период прохождения самолетом гос. испытаний (3979).</w:t>
      </w:r>
    </w:p>
    <w:p w14:paraId="67E3DA6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Это ДБА</w:t>
      </w:r>
    </w:p>
    <w:p w14:paraId="2B3EFEE8" w14:textId="77777777" w:rsidR="00D4105E" w:rsidRPr="00E14102" w:rsidRDefault="00D4105E" w:rsidP="00E14102">
      <w:pPr>
        <w:autoSpaceDE w:val="0"/>
        <w:autoSpaceDN w:val="0"/>
        <w:adjustRightInd w:val="0"/>
        <w:jc w:val="both"/>
        <w:rPr>
          <w:color w:val="000000" w:themeColor="text1"/>
          <w:sz w:val="16"/>
          <w:szCs w:val="16"/>
        </w:rPr>
      </w:pPr>
    </w:p>
    <w:p w14:paraId="2AC5E1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марта 1935 года Курчевский писал письмо Орджоникидзе.</w:t>
      </w:r>
    </w:p>
    <w:p w14:paraId="0465CF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закончил гос. испытание пушечный истребитель ИП-1 с мотором Райт-Циклон, вооруженный двумя 76 мм пушками АПК-4 и пулеметом ШКАС. Этот самолет конструкции инженера Григоровича, построенный на филиале завода N 38, показал следующие данные:</w:t>
      </w:r>
    </w:p>
    <w:p w14:paraId="50D9A8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4000 м 410 км/час (в зимних условиях на лыжах, на колесах скорость ожидается 420 км/час).</w:t>
      </w:r>
    </w:p>
    <w:p w14:paraId="4914A0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- 8000 м</w:t>
      </w:r>
    </w:p>
    <w:p w14:paraId="376DBB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Скороподъемность - 8 мин. - 5000 м</w:t>
      </w:r>
    </w:p>
    <w:p w14:paraId="07C781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полета около 800-900 км</w:t>
      </w:r>
    </w:p>
    <w:p w14:paraId="0BAF79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Маневренность и летные данные и качества лучшие, чем самолет И-16 с тем же мотором Райт-Циклон (пулеметный).</w:t>
      </w:r>
    </w:p>
    <w:p w14:paraId="65DD23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ИП-1 является первым в мире самолетом, убирающим лыжи в полете, что и дало ему скорость зимою 410 км/час.</w:t>
      </w:r>
    </w:p>
    <w:p w14:paraId="6FB013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И-16 (пулеметный) в зимних условиях на лыжах с мотором Райт-Циклон дает скорость 385 км/час.</w:t>
      </w:r>
    </w:p>
    <w:p w14:paraId="50DD5E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самолета ИП-1 доказали полную возможность получения при тех же моторах одинаковых с пулеметными самолетами и даже лучших скоростей, маневренности и дальности полета, при неизмеримо более сильном вооружении.</w:t>
      </w:r>
    </w:p>
    <w:p w14:paraId="5786C4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совершенно реально и своевременно ставить вопрос о расширении опытного м валового изготовления пушечных самолетов за счет устаревших и маломощных пулеметных.</w:t>
      </w:r>
    </w:p>
    <w:p w14:paraId="682C79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несомненной важности и злободневности вопроса прошу Вас поставить этот вопрос перед КО (3478,3).</w:t>
      </w:r>
    </w:p>
    <w:p w14:paraId="0D3098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Тактическая оценка самолета</w:t>
      </w:r>
    </w:p>
    <w:p w14:paraId="1C4AA3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ИП-1 РП-3 обладает:</w:t>
      </w:r>
    </w:p>
    <w:p w14:paraId="765C41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Хорошей горизонтальной скоростью (410 км/час).</w:t>
      </w:r>
    </w:p>
    <w:p w14:paraId="4C3A06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Средней скороподъемностью (на 5000 м 8,6 мин.).</w:t>
      </w:r>
    </w:p>
    <w:p w14:paraId="6917E2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Большим диапазоном скоростей (230-260 км).</w:t>
      </w:r>
    </w:p>
    <w:p w14:paraId="54560A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Сильным огневым вооружением (2 АПК 76 и 1 ШКАС).</w:t>
      </w:r>
    </w:p>
    <w:p w14:paraId="03CF2C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Выше чем удовлетворительным для моноплана маневренностью и устойчивостью.</w:t>
      </w:r>
    </w:p>
    <w:p w14:paraId="3DF060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Устойчивым пикированием.</w:t>
      </w:r>
    </w:p>
    <w:p w14:paraId="49A76F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Хорошим обзором и видимостью.</w:t>
      </w:r>
    </w:p>
    <w:p w14:paraId="376B70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Хорошей наводкой на цель.</w:t>
      </w:r>
    </w:p>
    <w:p w14:paraId="2FC159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Простым управлением и нормальным освоением техники пилотирования.</w:t>
      </w:r>
    </w:p>
    <w:p w14:paraId="279CF1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ИП-1 по сравнению с И-14 имеет преимущество как по скоростям, так и по управляемости и вооружению. Незначительно уступает в потолке.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E3599D" w:rsidRPr="00E14102" w14:paraId="6818D4A4" w14:textId="77777777">
        <w:tc>
          <w:tcPr>
            <w:tcW w:w="1610" w:type="dxa"/>
            <w:tcBorders>
              <w:top w:val="single" w:sz="12" w:space="0" w:color="auto"/>
            </w:tcBorders>
          </w:tcPr>
          <w:p w14:paraId="4AEFFB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w:t>
            </w:r>
          </w:p>
        </w:tc>
        <w:tc>
          <w:tcPr>
            <w:tcW w:w="1610" w:type="dxa"/>
            <w:tcBorders>
              <w:top w:val="single" w:sz="12" w:space="0" w:color="auto"/>
            </w:tcBorders>
          </w:tcPr>
          <w:p w14:paraId="7392F0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w:t>
            </w:r>
          </w:p>
        </w:tc>
        <w:tc>
          <w:tcPr>
            <w:tcW w:w="1610" w:type="dxa"/>
            <w:tcBorders>
              <w:top w:val="single" w:sz="12" w:space="0" w:color="auto"/>
            </w:tcBorders>
          </w:tcPr>
          <w:p w14:paraId="6728C2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Скорости</w:t>
            </w:r>
          </w:p>
        </w:tc>
        <w:tc>
          <w:tcPr>
            <w:tcW w:w="1610" w:type="dxa"/>
            <w:tcBorders>
              <w:top w:val="single" w:sz="12" w:space="0" w:color="auto"/>
            </w:tcBorders>
          </w:tcPr>
          <w:p w14:paraId="21BFEFA9"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Borders>
              <w:top w:val="single" w:sz="12" w:space="0" w:color="auto"/>
            </w:tcBorders>
          </w:tcPr>
          <w:p w14:paraId="5B59F751"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Borders>
              <w:top w:val="single" w:sz="12" w:space="0" w:color="auto"/>
            </w:tcBorders>
          </w:tcPr>
          <w:p w14:paraId="2571BE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Скоропод.</w:t>
            </w:r>
          </w:p>
        </w:tc>
        <w:tc>
          <w:tcPr>
            <w:tcW w:w="1610" w:type="dxa"/>
            <w:tcBorders>
              <w:top w:val="single" w:sz="12" w:space="0" w:color="auto"/>
            </w:tcBorders>
          </w:tcPr>
          <w:p w14:paraId="17B3CE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w:t>
            </w:r>
          </w:p>
        </w:tc>
      </w:tr>
      <w:tr w:rsidR="00E3599D" w:rsidRPr="00E14102" w14:paraId="19C9BD5D" w14:textId="77777777">
        <w:tc>
          <w:tcPr>
            <w:tcW w:w="1610" w:type="dxa"/>
          </w:tcPr>
          <w:p w14:paraId="1BA286C6"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451922AF"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70547B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земли</w:t>
            </w:r>
          </w:p>
        </w:tc>
        <w:tc>
          <w:tcPr>
            <w:tcW w:w="1610" w:type="dxa"/>
          </w:tcPr>
          <w:p w14:paraId="741B54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3000 м</w:t>
            </w:r>
          </w:p>
        </w:tc>
        <w:tc>
          <w:tcPr>
            <w:tcW w:w="1610" w:type="dxa"/>
          </w:tcPr>
          <w:p w14:paraId="5784B8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5000 м</w:t>
            </w:r>
          </w:p>
        </w:tc>
        <w:tc>
          <w:tcPr>
            <w:tcW w:w="1610" w:type="dxa"/>
          </w:tcPr>
          <w:p w14:paraId="199EE5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5000 м</w:t>
            </w:r>
          </w:p>
        </w:tc>
        <w:tc>
          <w:tcPr>
            <w:tcW w:w="1610" w:type="dxa"/>
          </w:tcPr>
          <w:p w14:paraId="7FD1417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E9E3CCC" w14:textId="77777777">
        <w:tc>
          <w:tcPr>
            <w:tcW w:w="1610" w:type="dxa"/>
          </w:tcPr>
          <w:p w14:paraId="6B725C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ИП-1</w:t>
            </w:r>
          </w:p>
        </w:tc>
        <w:tc>
          <w:tcPr>
            <w:tcW w:w="1610" w:type="dxa"/>
          </w:tcPr>
          <w:p w14:paraId="1D5CDB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АПК 76 мм</w:t>
            </w:r>
          </w:p>
        </w:tc>
        <w:tc>
          <w:tcPr>
            <w:tcW w:w="1610" w:type="dxa"/>
          </w:tcPr>
          <w:p w14:paraId="0E5FE4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369</w:t>
            </w:r>
          </w:p>
        </w:tc>
        <w:tc>
          <w:tcPr>
            <w:tcW w:w="1610" w:type="dxa"/>
          </w:tcPr>
          <w:p w14:paraId="0FD0BD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410</w:t>
            </w:r>
          </w:p>
        </w:tc>
        <w:tc>
          <w:tcPr>
            <w:tcW w:w="1610" w:type="dxa"/>
          </w:tcPr>
          <w:p w14:paraId="55F96F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390</w:t>
            </w:r>
          </w:p>
        </w:tc>
        <w:tc>
          <w:tcPr>
            <w:tcW w:w="1610" w:type="dxa"/>
          </w:tcPr>
          <w:p w14:paraId="5D31E2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w:t>
            </w:r>
          </w:p>
        </w:tc>
        <w:tc>
          <w:tcPr>
            <w:tcW w:w="1610" w:type="dxa"/>
          </w:tcPr>
          <w:p w14:paraId="5DD8BB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w:t>
            </w:r>
          </w:p>
        </w:tc>
      </w:tr>
      <w:tr w:rsidR="00E3599D" w:rsidRPr="00E14102" w14:paraId="7D507921" w14:textId="77777777">
        <w:tc>
          <w:tcPr>
            <w:tcW w:w="1610" w:type="dxa"/>
          </w:tcPr>
          <w:p w14:paraId="778F3E64"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4D596B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Шкас*</w:t>
            </w:r>
          </w:p>
        </w:tc>
        <w:tc>
          <w:tcPr>
            <w:tcW w:w="1610" w:type="dxa"/>
          </w:tcPr>
          <w:p w14:paraId="7A8A7443"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2C9B1CC9"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55AC1AF8"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46936EAA"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2109500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79B6D5E" w14:textId="77777777">
        <w:tc>
          <w:tcPr>
            <w:tcW w:w="1610" w:type="dxa"/>
          </w:tcPr>
          <w:p w14:paraId="1343DD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w:t>
            </w:r>
          </w:p>
        </w:tc>
        <w:tc>
          <w:tcPr>
            <w:tcW w:w="1610" w:type="dxa"/>
          </w:tcPr>
          <w:p w14:paraId="2D9925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АПК 37 мм</w:t>
            </w:r>
          </w:p>
        </w:tc>
        <w:tc>
          <w:tcPr>
            <w:tcW w:w="1610" w:type="dxa"/>
          </w:tcPr>
          <w:p w14:paraId="67312D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352</w:t>
            </w:r>
          </w:p>
        </w:tc>
        <w:tc>
          <w:tcPr>
            <w:tcW w:w="1610" w:type="dxa"/>
          </w:tcPr>
          <w:p w14:paraId="64A057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402</w:t>
            </w:r>
          </w:p>
        </w:tc>
        <w:tc>
          <w:tcPr>
            <w:tcW w:w="1610" w:type="dxa"/>
          </w:tcPr>
          <w:p w14:paraId="764965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378</w:t>
            </w:r>
          </w:p>
        </w:tc>
        <w:tc>
          <w:tcPr>
            <w:tcW w:w="1610" w:type="dxa"/>
          </w:tcPr>
          <w:p w14:paraId="78CE5C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8,7</w:t>
            </w:r>
          </w:p>
        </w:tc>
        <w:tc>
          <w:tcPr>
            <w:tcW w:w="1610" w:type="dxa"/>
          </w:tcPr>
          <w:p w14:paraId="1FC79B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8500</w:t>
            </w:r>
          </w:p>
        </w:tc>
      </w:tr>
      <w:tr w:rsidR="00E3599D" w:rsidRPr="00E14102" w14:paraId="6171FA16" w14:textId="77777777">
        <w:tc>
          <w:tcPr>
            <w:tcW w:w="1610" w:type="dxa"/>
            <w:tcBorders>
              <w:bottom w:val="single" w:sz="12" w:space="0" w:color="auto"/>
            </w:tcBorders>
          </w:tcPr>
          <w:p w14:paraId="30BF92CE"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Borders>
              <w:bottom w:val="single" w:sz="12" w:space="0" w:color="auto"/>
            </w:tcBorders>
          </w:tcPr>
          <w:p w14:paraId="406FB2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Шкас</w:t>
            </w:r>
          </w:p>
        </w:tc>
        <w:tc>
          <w:tcPr>
            <w:tcW w:w="1610" w:type="dxa"/>
            <w:tcBorders>
              <w:bottom w:val="single" w:sz="12" w:space="0" w:color="auto"/>
            </w:tcBorders>
          </w:tcPr>
          <w:p w14:paraId="18251433"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Borders>
              <w:bottom w:val="single" w:sz="12" w:space="0" w:color="auto"/>
            </w:tcBorders>
          </w:tcPr>
          <w:p w14:paraId="61849B1A"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Borders>
              <w:bottom w:val="single" w:sz="12" w:space="0" w:color="auto"/>
            </w:tcBorders>
          </w:tcPr>
          <w:p w14:paraId="373F2597"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Borders>
              <w:bottom w:val="single" w:sz="12" w:space="0" w:color="auto"/>
            </w:tcBorders>
          </w:tcPr>
          <w:p w14:paraId="0C91CFF9"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Borders>
              <w:bottom w:val="single" w:sz="12" w:space="0" w:color="auto"/>
            </w:tcBorders>
          </w:tcPr>
          <w:p w14:paraId="50E44D30" w14:textId="77777777" w:rsidR="00D4105E" w:rsidRPr="00E14102" w:rsidRDefault="00D4105E" w:rsidP="00E14102">
            <w:pPr>
              <w:autoSpaceDE w:val="0"/>
              <w:autoSpaceDN w:val="0"/>
              <w:adjustRightInd w:val="0"/>
              <w:jc w:val="both"/>
              <w:rPr>
                <w:color w:val="000000" w:themeColor="text1"/>
                <w:sz w:val="16"/>
                <w:szCs w:val="16"/>
              </w:rPr>
            </w:pPr>
          </w:p>
        </w:tc>
      </w:tr>
    </w:tbl>
    <w:p w14:paraId="6C93FB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2-й пулемет можно установить в счет перегрузки. особенно устойчивы у самолета ИП-1 режимы пикирования, что обеспечивает меткость стрельбы при атаке противника.</w:t>
      </w:r>
    </w:p>
    <w:p w14:paraId="041312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Расположение кабины под крылом и высокая посадка летчика улучшает обзор, благодаря чему можно лучше использовать дальнобойность орудий.</w:t>
      </w:r>
    </w:p>
    <w:p w14:paraId="6AB92D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Имея 150 кг горючего самолет ИП-1 на высоте 5000 м при крейсерской скорости 330 км/час имеет технический радиус в 250 км.</w:t>
      </w:r>
    </w:p>
    <w:p w14:paraId="5D12D3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Полная емкость баков в 280 кг обеспечивает радиус в 450 км.</w:t>
      </w:r>
    </w:p>
    <w:p w14:paraId="3642ED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Обладая посадочной скоростью в 100-105 км/час разбегом в 80-90 м и пробегом в 150-200 м (по снегу) самолет ИП-1 может работать с полевого аэродрома размером 400х400 м.</w:t>
      </w:r>
    </w:p>
    <w:p w14:paraId="40985E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Материальная часть самолета не требует особого ухода и хранения, мало чувствительна к климатическим и атмосферным переменам.</w:t>
      </w:r>
    </w:p>
    <w:p w14:paraId="30696A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Основными объектами нападения ИП-1 являются тяжелые бомбардировщики со скоростями по 350 км/час, а также земные цели требующие для своего поражения снарядов калибра 76 мм.</w:t>
      </w:r>
    </w:p>
    <w:p w14:paraId="57168B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ИП-1 в бою должны действовать в составе звеньев и отрядов, атакуя противника на встречных и преследующих курсах сочетаемых с пикированием, используя максимальную дальность огня пушек (3478,5-6).</w:t>
      </w:r>
    </w:p>
    <w:p w14:paraId="16F1B2D8" w14:textId="77777777" w:rsidR="00D4105E" w:rsidRPr="00E14102" w:rsidRDefault="00D4105E" w:rsidP="00E14102">
      <w:pPr>
        <w:autoSpaceDE w:val="0"/>
        <w:autoSpaceDN w:val="0"/>
        <w:adjustRightInd w:val="0"/>
        <w:jc w:val="both"/>
        <w:rPr>
          <w:color w:val="000000" w:themeColor="text1"/>
          <w:sz w:val="16"/>
          <w:szCs w:val="16"/>
        </w:rPr>
      </w:pPr>
    </w:p>
    <w:p w14:paraId="5166D5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марта 1935 Нач. НТО 4 отд. УВВС Горощенко и Пом. нач. НТО Апанасевич подписали Заключение по эскизному проекту УТИ завода 23 под М-49 (2343,82).</w:t>
      </w:r>
    </w:p>
    <w:p w14:paraId="7107F942" w14:textId="77777777" w:rsidR="00D4105E" w:rsidRPr="00E14102" w:rsidRDefault="00D4105E" w:rsidP="00E14102">
      <w:pPr>
        <w:autoSpaceDE w:val="0"/>
        <w:autoSpaceDN w:val="0"/>
        <w:adjustRightInd w:val="0"/>
        <w:jc w:val="both"/>
        <w:rPr>
          <w:color w:val="000000" w:themeColor="text1"/>
          <w:sz w:val="16"/>
          <w:szCs w:val="16"/>
        </w:rPr>
      </w:pPr>
    </w:p>
    <w:p w14:paraId="59F25941" w14:textId="77777777" w:rsidR="00BA750D" w:rsidRPr="00E14102" w:rsidRDefault="00BA750D" w:rsidP="00E14102">
      <w:pPr>
        <w:pStyle w:val="rtejustify"/>
        <w:spacing w:before="0" w:after="0"/>
        <w:rPr>
          <w:color w:val="000000" w:themeColor="text1"/>
          <w:sz w:val="16"/>
          <w:szCs w:val="16"/>
        </w:rPr>
      </w:pPr>
      <w:r w:rsidRPr="00E14102">
        <w:rPr>
          <w:rStyle w:val="a6"/>
          <w:bCs/>
          <w:i w:val="0"/>
          <w:color w:val="000000" w:themeColor="text1"/>
          <w:sz w:val="16"/>
          <w:szCs w:val="16"/>
        </w:rPr>
        <w:t>9 марта 1935 вышел приказ НКО №</w:t>
      </w:r>
      <w:r w:rsidRPr="00E14102">
        <w:rPr>
          <w:color w:val="000000" w:themeColor="text1"/>
          <w:sz w:val="16"/>
          <w:szCs w:val="16"/>
        </w:rPr>
        <w:t> 041. О производстве опытов, испытаний действия пуль и артснарядов по самолетам и их отдельным частям (15247).</w:t>
      </w:r>
    </w:p>
    <w:p w14:paraId="4156EB41" w14:textId="77777777" w:rsidR="00BA750D" w:rsidRPr="00E14102" w:rsidRDefault="00BA750D" w:rsidP="00E14102">
      <w:pPr>
        <w:pStyle w:val="rtejustify"/>
        <w:spacing w:before="0" w:after="0"/>
        <w:rPr>
          <w:color w:val="000000" w:themeColor="text1"/>
          <w:sz w:val="16"/>
          <w:szCs w:val="16"/>
        </w:rPr>
      </w:pPr>
    </w:p>
    <w:p w14:paraId="3E8BF1E2" w14:textId="77777777" w:rsidR="00BA750D" w:rsidRPr="00E14102" w:rsidRDefault="00BA750D" w:rsidP="00E14102">
      <w:pPr>
        <w:pStyle w:val="rtejustify"/>
        <w:spacing w:before="0" w:after="0"/>
        <w:rPr>
          <w:color w:val="000000" w:themeColor="text1"/>
          <w:sz w:val="16"/>
          <w:szCs w:val="16"/>
        </w:rPr>
      </w:pPr>
      <w:r w:rsidRPr="00E14102">
        <w:rPr>
          <w:rStyle w:val="a6"/>
          <w:bCs/>
          <w:i w:val="0"/>
          <w:color w:val="000000" w:themeColor="text1"/>
          <w:sz w:val="16"/>
          <w:szCs w:val="16"/>
        </w:rPr>
        <w:lastRenderedPageBreak/>
        <w:t>9 марта 1935 вышел приказ НКО №</w:t>
      </w:r>
      <w:r w:rsidRPr="00E14102">
        <w:rPr>
          <w:color w:val="000000" w:themeColor="text1"/>
          <w:sz w:val="16"/>
          <w:szCs w:val="16"/>
        </w:rPr>
        <w:t> 039. 1) Об организации обучения летно-технического состава полетам на автожирах А</w:t>
      </w:r>
      <w:r w:rsidRPr="00E14102">
        <w:rPr>
          <w:color w:val="000000" w:themeColor="text1"/>
          <w:sz w:val="16"/>
          <w:szCs w:val="16"/>
        </w:rPr>
        <w:noBreakHyphen/>
        <w:t>4; 2) О производстве испытаний автожиров А</w:t>
      </w:r>
      <w:r w:rsidRPr="00E14102">
        <w:rPr>
          <w:color w:val="000000" w:themeColor="text1"/>
          <w:sz w:val="16"/>
          <w:szCs w:val="16"/>
        </w:rPr>
        <w:noBreakHyphen/>
        <w:t>4 (15247).</w:t>
      </w:r>
    </w:p>
    <w:p w14:paraId="19CB39B4" w14:textId="77777777" w:rsidR="00BA750D" w:rsidRPr="00E14102" w:rsidRDefault="00BA750D" w:rsidP="00E14102">
      <w:pPr>
        <w:pStyle w:val="rtejustify"/>
        <w:spacing w:before="0" w:after="0"/>
        <w:rPr>
          <w:color w:val="000000" w:themeColor="text1"/>
          <w:sz w:val="16"/>
          <w:szCs w:val="16"/>
        </w:rPr>
      </w:pPr>
    </w:p>
    <w:p w14:paraId="247176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марта 1935 Б.А.Романов и нс Хвостиков на субстратостате поднялись на 9800 м (271,149).</w:t>
      </w:r>
    </w:p>
    <w:p w14:paraId="2FE08F80" w14:textId="77777777" w:rsidR="00D4105E" w:rsidRPr="00E14102" w:rsidRDefault="00D4105E" w:rsidP="00E14102">
      <w:pPr>
        <w:autoSpaceDE w:val="0"/>
        <w:autoSpaceDN w:val="0"/>
        <w:adjustRightInd w:val="0"/>
        <w:jc w:val="both"/>
        <w:rPr>
          <w:color w:val="000000" w:themeColor="text1"/>
          <w:sz w:val="16"/>
          <w:szCs w:val="16"/>
        </w:rPr>
      </w:pPr>
    </w:p>
    <w:p w14:paraId="54EDDD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марта 1935 совместное совещание представителей ОКБ-2, НКТП, НКО и УВВС рассмотрело новые проекты и Майзеля. Решили подготовить три типа авиамин к гос. войсковым испытаниям. НКТП обязазали подготовить снаряды и системы подвески на самолет и раскрытки ротора для шести самолетов Р-5, каждый из которых д.б. нести по две ЗАМ (8908,37).</w:t>
      </w:r>
    </w:p>
    <w:p w14:paraId="44665D1A" w14:textId="77777777" w:rsidR="00D4105E" w:rsidRPr="00E14102" w:rsidRDefault="00D4105E" w:rsidP="00E14102">
      <w:pPr>
        <w:autoSpaceDE w:val="0"/>
        <w:autoSpaceDN w:val="0"/>
        <w:adjustRightInd w:val="0"/>
        <w:jc w:val="both"/>
        <w:rPr>
          <w:color w:val="000000" w:themeColor="text1"/>
          <w:sz w:val="16"/>
          <w:szCs w:val="16"/>
        </w:rPr>
      </w:pPr>
    </w:p>
    <w:p w14:paraId="260E90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марта 1935 начальник УВС РККА командармом 2 ранга Я.И.Алкспис утвердил составленные начальником НИИ ВС РККА В.К.Лавроввм ТТТ для РНИИ на установку РС-82 на истребителях И-16. Основное ее назначение было определено, как «обстрел авиасоединений и отдельных групп тяжелых бомбардировщи</w:t>
      </w:r>
      <w:r w:rsidRPr="00E14102">
        <w:rPr>
          <w:color w:val="000000" w:themeColor="text1"/>
          <w:sz w:val="16"/>
          <w:szCs w:val="16"/>
        </w:rPr>
        <w:softHyphen/>
        <w:t>ков противника». Вспомогательное — «уничтожение живой силы, матчасти противника и пр., не проходя над целью». Вне сомнения, формули</w:t>
      </w:r>
      <w:r w:rsidRPr="00E14102">
        <w:rPr>
          <w:color w:val="000000" w:themeColor="text1"/>
          <w:sz w:val="16"/>
          <w:szCs w:val="16"/>
        </w:rPr>
        <w:softHyphen/>
        <w:t>ровки Лаврова корректнее считать требованиями ко всей ракетной сис</w:t>
      </w:r>
      <w:r w:rsidRPr="00E14102">
        <w:rPr>
          <w:color w:val="000000" w:themeColor="text1"/>
          <w:sz w:val="16"/>
          <w:szCs w:val="16"/>
        </w:rPr>
        <w:softHyphen/>
        <w:t>теме истребителя, однако в то время ее основой считан и именно ракет</w:t>
      </w:r>
      <w:r w:rsidRPr="00E14102">
        <w:rPr>
          <w:color w:val="000000" w:themeColor="text1"/>
          <w:sz w:val="16"/>
          <w:szCs w:val="16"/>
        </w:rPr>
        <w:softHyphen/>
        <w:t>ное орудие.</w:t>
      </w:r>
    </w:p>
    <w:p w14:paraId="17BCFC9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Стрелковая установка должна была состоять из двух агрегатов, закре</w:t>
      </w:r>
      <w:r w:rsidRPr="00E14102">
        <w:rPr>
          <w:color w:val="000000" w:themeColor="text1"/>
          <w:sz w:val="16"/>
          <w:szCs w:val="16"/>
        </w:rPr>
        <w:softHyphen/>
        <w:t>пленных под нижними плоскостями самолета. Каждый агрегат - из трех орудий (трех пар направляющих, соединенных между собой). Ресурс на</w:t>
      </w:r>
      <w:r w:rsidRPr="00E14102">
        <w:rPr>
          <w:color w:val="000000" w:themeColor="text1"/>
          <w:sz w:val="16"/>
          <w:szCs w:val="16"/>
        </w:rPr>
        <w:softHyphen/>
        <w:t>правляющих - до 500 выстрелов без ремонта. Поскольку машина была более маневренная, требовалось исключить возможность выпадения снаряда вперед или назад при взлете, посадке «или выполнении фигур, допускаемых на данном самолете». Конструкция агрегатов должна была «исключить возможность ожога обшивки плоскости самолета и рядом лежащего снаряда при стрельбе». Воспламенять РЗ снарядов требовалось «электрическим путем, с управлением из кабины летчика», в электроце</w:t>
      </w:r>
      <w:r w:rsidRPr="00E14102">
        <w:rPr>
          <w:color w:val="000000" w:themeColor="text1"/>
          <w:sz w:val="16"/>
          <w:szCs w:val="16"/>
        </w:rPr>
        <w:softHyphen/>
        <w:t>пи необходимо было предусмотреть предохранитель.</w:t>
      </w:r>
    </w:p>
    <w:p w14:paraId="4833E1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Прибор управления огнем (в документе - сбрасыватель) должен был обеспечить возможность одиночной стрельбы, залпом и любым количе</w:t>
      </w:r>
      <w:r w:rsidRPr="00E14102">
        <w:rPr>
          <w:color w:val="000000" w:themeColor="text1"/>
          <w:sz w:val="16"/>
          <w:szCs w:val="16"/>
        </w:rPr>
        <w:softHyphen/>
        <w:t>ством снарядов вплоть до шести с интервалом от 0,1 до 1.0 с. Масса агре</w:t>
      </w:r>
      <w:r w:rsidRPr="00E14102">
        <w:rPr>
          <w:color w:val="000000" w:themeColor="text1"/>
          <w:sz w:val="16"/>
          <w:szCs w:val="16"/>
        </w:rPr>
        <w:softHyphen/>
        <w:t>гата без боезапаса - не более 15 кг. Требовалось также максимально улуч</w:t>
      </w:r>
      <w:r w:rsidRPr="00E14102">
        <w:rPr>
          <w:color w:val="000000" w:themeColor="text1"/>
          <w:sz w:val="16"/>
          <w:szCs w:val="16"/>
        </w:rPr>
        <w:softHyphen/>
        <w:t>шить его аэродинамику и предусмотреть легкий монтаж на любом само</w:t>
      </w:r>
      <w:r w:rsidRPr="00E14102">
        <w:rPr>
          <w:color w:val="000000" w:themeColor="text1"/>
          <w:sz w:val="16"/>
          <w:szCs w:val="16"/>
        </w:rPr>
        <w:softHyphen/>
        <w:t>лете И-16 без его заводских переделок. При стрельбе из нес на 4000 м Рассеивание по дальности и боковому направлению не должно было Превышать 1/150 дистанции. На 2000 м - не более 1/130 дистанции.</w:t>
      </w:r>
    </w:p>
    <w:p w14:paraId="0966D2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Забегая вперед, отметим, что конструктивно пусковые истреби геля И-15 будто занимали промежуточное положение - ранние модели его пусковых станков были незначительно модернизированными аналогами использованных на И-5. Поздние модели — «аэродинамически необла</w:t>
      </w:r>
      <w:r w:rsidRPr="00E14102">
        <w:rPr>
          <w:color w:val="000000" w:themeColor="text1"/>
          <w:sz w:val="16"/>
          <w:szCs w:val="16"/>
        </w:rPr>
        <w:softHyphen/>
        <w:t>гороженными» аналогами пусковых станков истребителя И-16. Но, по</w:t>
      </w:r>
      <w:r w:rsidRPr="00E14102">
        <w:rPr>
          <w:color w:val="000000" w:themeColor="text1"/>
          <w:sz w:val="16"/>
          <w:szCs w:val="16"/>
        </w:rPr>
        <w:softHyphen/>
        <w:t>жалуй, наиболее любопытными были два варианта вооружения истреби</w:t>
      </w:r>
      <w:r w:rsidRPr="00E14102">
        <w:rPr>
          <w:color w:val="000000" w:themeColor="text1"/>
          <w:sz w:val="16"/>
          <w:szCs w:val="16"/>
        </w:rPr>
        <w:softHyphen/>
        <w:t>телей И-14 со сбрасываемыми пусковыми агрегатами. ТТТ на их разработку составил также начальник НИИ ВС РККА В.К.Лавров. Утвердил их начальник УВС РККА Я.И.Алкснис также 9 марта 1935 г.</w:t>
      </w:r>
    </w:p>
    <w:p w14:paraId="489F47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первом случае установка состояла из двух агрегатов, подвешенных под плоскостями самолета в замки бомбодержателей Дер-32, а каждый агрегат - из трех орудий. Во втором - она состояла из четырех агрегатов, подвешенных под плоскостями в замки Дер-32. Но каждый агрегат со</w:t>
      </w:r>
      <w:r w:rsidRPr="00E14102">
        <w:rPr>
          <w:color w:val="000000" w:themeColor="text1"/>
          <w:sz w:val="16"/>
          <w:szCs w:val="16"/>
        </w:rPr>
        <w:softHyphen/>
        <w:t>стоял из одного орудия. Основное и вспомогательное назначение сбра</w:t>
      </w:r>
      <w:r w:rsidRPr="00E14102">
        <w:rPr>
          <w:color w:val="000000" w:themeColor="text1"/>
          <w:sz w:val="16"/>
          <w:szCs w:val="16"/>
        </w:rPr>
        <w:softHyphen/>
        <w:t>сываемых орудийных установок, а также требования по меткости стрель</w:t>
      </w:r>
      <w:r w:rsidRPr="00E14102">
        <w:rPr>
          <w:color w:val="000000" w:themeColor="text1"/>
          <w:sz w:val="16"/>
          <w:szCs w:val="16"/>
        </w:rPr>
        <w:softHyphen/>
        <w:t>бы соответствовали изложенным в ТТТ к реактивной системе на истребителе И-16.</w:t>
      </w:r>
    </w:p>
    <w:p w14:paraId="21752DC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Поскольку конструктивно агрегаты должны были исключать при стрельбе возможность ожога обшивки плоскости самолета и рядом лежа</w:t>
      </w:r>
      <w:r w:rsidRPr="00E14102">
        <w:rPr>
          <w:color w:val="000000" w:themeColor="text1"/>
          <w:sz w:val="16"/>
          <w:szCs w:val="16"/>
        </w:rPr>
        <w:softHyphen/>
        <w:t>щего снаряда, можно с уверенностью говорить о пусковых станках имен</w:t>
      </w:r>
      <w:r w:rsidRPr="00E14102">
        <w:rPr>
          <w:color w:val="000000" w:themeColor="text1"/>
          <w:sz w:val="16"/>
          <w:szCs w:val="16"/>
        </w:rPr>
        <w:softHyphen/>
        <w:t>но коробчатого типа с «несущим корпусом», а не рамного. А вот что от</w:t>
      </w:r>
      <w:r w:rsidRPr="00E14102">
        <w:rPr>
          <w:color w:val="000000" w:themeColor="text1"/>
          <w:sz w:val="16"/>
          <w:szCs w:val="16"/>
        </w:rPr>
        <w:softHyphen/>
        <w:t>личало их от жестко закрепленного пакета направляющих для И-16. га к это возможность юстировки на земле в вертикальной и в горизонтальной плоскостях в пределах 3 гр. в каждую сторону. Для воспламенения РЗ сна</w:t>
      </w:r>
      <w:r w:rsidRPr="00E14102">
        <w:rPr>
          <w:color w:val="000000" w:themeColor="text1"/>
          <w:sz w:val="16"/>
          <w:szCs w:val="16"/>
        </w:rPr>
        <w:softHyphen/>
        <w:t>рядов требовалось использовать штатный электробомбосбрасыватель. имеющийся на самолете, а также предусмотреть возможность ведения одиночною огня и залпом.</w:t>
      </w:r>
    </w:p>
    <w:p w14:paraId="2769779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Масса трехорудийного агрегата — не более 15 кг, одноорудийного - не более 6 кг. К обоим вариантам установок предъявляли общие требова</w:t>
      </w:r>
      <w:r w:rsidRPr="00E14102">
        <w:rPr>
          <w:color w:val="000000" w:themeColor="text1"/>
          <w:sz w:val="16"/>
          <w:szCs w:val="16"/>
        </w:rPr>
        <w:softHyphen/>
        <w:t>ния по «максимально обтекаемой форме и несложному монтажу на лю</w:t>
      </w:r>
      <w:r w:rsidRPr="00E14102">
        <w:rPr>
          <w:color w:val="000000" w:themeColor="text1"/>
          <w:sz w:val="16"/>
          <w:szCs w:val="16"/>
        </w:rPr>
        <w:softHyphen/>
        <w:t>бом самолете И-14 без его заводских переделок». Специальным требова</w:t>
      </w:r>
      <w:r w:rsidRPr="00E14102">
        <w:rPr>
          <w:color w:val="000000" w:themeColor="text1"/>
          <w:sz w:val="16"/>
          <w:szCs w:val="16"/>
        </w:rPr>
        <w:softHyphen/>
        <w:t>нием стала гарантия от возможных зависаний установок и от поврежде</w:t>
      </w:r>
      <w:r w:rsidRPr="00E14102">
        <w:rPr>
          <w:color w:val="000000" w:themeColor="text1"/>
          <w:sz w:val="16"/>
          <w:szCs w:val="16"/>
        </w:rPr>
        <w:softHyphen/>
        <w:t>ния плоскости самолета при сбрасывании.</w:t>
      </w:r>
    </w:p>
    <w:p w14:paraId="141DCF5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Кстати, подобная концепция установки пусковых вполне могла бы решить проблемы истребительной авиации, возникшие в ВВС КА в 1942 г. Тогда из-за потерь в скоростях самолетов ракетные орудия при</w:t>
      </w:r>
      <w:r w:rsidRPr="00E14102">
        <w:rPr>
          <w:color w:val="000000" w:themeColor="text1"/>
          <w:sz w:val="16"/>
          <w:szCs w:val="16"/>
        </w:rPr>
        <w:softHyphen/>
        <w:t>казано было снять, и до окончания войны их использовали только в штурмовой авиации. Более подробно к анализу данной ситуации мы вернемся в соответствующем разделе пятой главы (11402).</w:t>
      </w:r>
    </w:p>
    <w:p w14:paraId="56A753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C2C163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и 15 марта 1935 г. начальник У ВС РККАЯ.И.Алкснис утвердил ТТТ на два варианта установок для стрельбы РС-132 с самолета ТБ-3, составленные начальником НИИ ВС РККА В.К.Лавровым, Одна из них - под консоли плоскостей — мало чем отличалась от используемых на истребителях. Вторая была более оригинальной конструкции — она размещалась в бомбоотсеке и выдвигалась из него только для выстрела. Основное на</w:t>
      </w:r>
      <w:r w:rsidRPr="00E14102">
        <w:rPr>
          <w:color w:val="000000" w:themeColor="text1"/>
          <w:sz w:val="16"/>
          <w:szCs w:val="16"/>
        </w:rPr>
        <w:softHyphen/>
        <w:t>значение обеих орудийных установок — ведение заградительного огня для отражения лобовых атак истребителей. Вспомогательное - действие по наземным целям, не проходя над ними.</w:t>
      </w:r>
    </w:p>
    <w:p w14:paraId="725DFD6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Ракетная установка под крылом должна была состоять из двух четырехорудийных агрегатов (соединенных между собой четырех пар напра</w:t>
      </w:r>
      <w:r w:rsidRPr="00E14102">
        <w:rPr>
          <w:color w:val="000000" w:themeColor="text1"/>
          <w:sz w:val="16"/>
          <w:szCs w:val="16"/>
        </w:rPr>
        <w:softHyphen/>
        <w:t>вляющих). Как и на истребителях И-16, конструктивно пусковые исклю</w:t>
      </w:r>
      <w:r w:rsidRPr="00E14102">
        <w:rPr>
          <w:color w:val="000000" w:themeColor="text1"/>
          <w:sz w:val="16"/>
          <w:szCs w:val="16"/>
        </w:rPr>
        <w:softHyphen/>
        <w:t>чали при стрельбе возможность ожога обшивки плоскости самолета и рядом лежащего снаряда. И хотя пакет направляющих жестко крепил</w:t>
      </w:r>
      <w:r w:rsidRPr="00E14102">
        <w:rPr>
          <w:color w:val="000000" w:themeColor="text1"/>
          <w:sz w:val="16"/>
          <w:szCs w:val="16"/>
        </w:rPr>
        <w:softHyphen/>
        <w:t>ся к крылу, требования по юстировке были как для сбрасываемых сган-ков и орудий на истребителях И-14. Оборудовать ими серийные машины ТБ-3 требовалось в условиях строевых частей без участия заводских спе</w:t>
      </w:r>
      <w:r w:rsidRPr="00E14102">
        <w:rPr>
          <w:color w:val="000000" w:themeColor="text1"/>
          <w:sz w:val="16"/>
          <w:szCs w:val="16"/>
        </w:rPr>
        <w:softHyphen/>
        <w:t>циалистов и без заводских переделок.</w:t>
      </w:r>
    </w:p>
    <w:p w14:paraId="1ACFFB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Боевую кнопку для стрельбы планировали разместить в кабине штурмана и обязательно оснастить ее предохранителем. Прибор управления . огнем должен был позволять вести огонь одиночный, залпами и любым количеством снарядов вплоть до восьми с временным интервалом от 0,13" до 1,0 с автоматически. Массу одного агрегата без боеприпасов ограничили 25 кг. Требования к точности стрельбы обеих установок практически не отличались от аналогичных к 82-мм ракетных систем на истреби</w:t>
      </w:r>
      <w:r w:rsidRPr="00E14102">
        <w:rPr>
          <w:color w:val="000000" w:themeColor="text1"/>
          <w:sz w:val="16"/>
          <w:szCs w:val="16"/>
        </w:rPr>
        <w:softHyphen/>
        <w:t>телях - на 4000 м рассеивание по дальности и боковому направлению не более 1/150 дистанции. На 2000 м - не более 1/120 дистанции.</w:t>
      </w:r>
    </w:p>
    <w:p w14:paraId="37EB049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Внутри фюзеляжная установка должна была состоять из двух орудий, также направляющих для их вывода на линию огня (лифтовых уст</w:t>
      </w:r>
      <w:r w:rsidRPr="00E14102">
        <w:rPr>
          <w:color w:val="000000" w:themeColor="text1"/>
          <w:sz w:val="16"/>
          <w:szCs w:val="16"/>
        </w:rPr>
        <w:softHyphen/>
        <w:t>ройств) и двух кассет для боепитания ракетными снарядами (но шесть штук в каждой кассете). Каждое из орудий требовалось расположить в бомбоотсеках фюзеляжа и выдвигать только для стрельбы. Конструк</w:t>
      </w:r>
      <w:r w:rsidRPr="00E14102">
        <w:rPr>
          <w:color w:val="000000" w:themeColor="text1"/>
          <w:sz w:val="16"/>
          <w:szCs w:val="16"/>
        </w:rPr>
        <w:softHyphen/>
        <w:t>ция должна была обеспечивать механическую или автоматическую пода-Чу очередного снаряда из кассеты в орудие, а усилие при подаче снарядов и подъеме орудия - не превышать 8-10 кг.</w:t>
      </w:r>
    </w:p>
    <w:p w14:paraId="4E1CCF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Масса установки для шести снарядов без боеприпасов - не более 75 кг- Она должна была быть съемной и легко монтируемой в условиях строевых частей в бомбоотсеки, «не вызывая разъема частей самолета». Упра</w:t>
      </w:r>
      <w:r w:rsidRPr="00E14102">
        <w:rPr>
          <w:color w:val="000000" w:themeColor="text1"/>
          <w:sz w:val="16"/>
          <w:szCs w:val="16"/>
        </w:rPr>
        <w:softHyphen/>
        <w:t>вление огнем - от электросбрасывателя с возможностью стрельбы одиочной и залпом (очевидно, из двух орудий, одновременно выпущенных из обеих секций бомбоотсека). Поскольку каждое из орудий в полете обслуживает отдельный член экипажа, конструкция пусковой должна была отвечать требованиям зашиты личного состава и обшивки самолета от воздействия струи стартующего боеприпаса.</w:t>
      </w:r>
    </w:p>
    <w:p w14:paraId="424211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Авиаторов не удовлетворила банальная стрельба с бомбардировщика прямо по курсу, и они потребовали предусмотреть возможность изменять в полете установочные углы орудий в вертикальной и горизонтальной плоскостях в пределах 5° в каждую сторону «при помощи простого и легкого механизма с управлением из кабины штурмана». Любопытно было бы взглянуть хотя бы на проект такого механизма при отсутствии тогда еще синхронно-следящих приводов. А кроме того, при монтаже в наем</w:t>
      </w:r>
      <w:r w:rsidRPr="00E14102">
        <w:rPr>
          <w:color w:val="000000" w:themeColor="text1"/>
          <w:sz w:val="16"/>
          <w:szCs w:val="16"/>
        </w:rPr>
        <w:softHyphen/>
        <w:t>ных условиях возможности ее юстировки в вертикальной и горизонталь</w:t>
      </w:r>
      <w:r w:rsidRPr="00E14102">
        <w:rPr>
          <w:color w:val="000000" w:themeColor="text1"/>
          <w:sz w:val="16"/>
          <w:szCs w:val="16"/>
        </w:rPr>
        <w:softHyphen/>
        <w:t>ной плоскостях должны были сохраняться - в пределах 3° в каждую сто</w:t>
      </w:r>
      <w:r w:rsidRPr="00E14102">
        <w:rPr>
          <w:color w:val="000000" w:themeColor="text1"/>
          <w:sz w:val="16"/>
          <w:szCs w:val="16"/>
        </w:rPr>
        <w:softHyphen/>
        <w:t>рону (11402).</w:t>
      </w:r>
    </w:p>
    <w:p w14:paraId="7B9337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9B8445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марта 1935 г. начальник УВС РККА Алкснисом утвердил ТТТ на установку РС-245 на самолете ТБ-3 (в бомбовых отсекам), которые бы</w:t>
      </w:r>
      <w:r w:rsidRPr="00E14102">
        <w:rPr>
          <w:color w:val="000000" w:themeColor="text1"/>
          <w:sz w:val="16"/>
          <w:szCs w:val="16"/>
        </w:rPr>
        <w:softHyphen/>
        <w:t>ли составлены начальником НИИ ВС РККА В.К.Лавровым. Установка и ос</w:t>
      </w:r>
      <w:r w:rsidRPr="00E14102">
        <w:rPr>
          <w:color w:val="000000" w:themeColor="text1"/>
          <w:sz w:val="16"/>
          <w:szCs w:val="16"/>
        </w:rPr>
        <w:softHyphen/>
        <w:t>новном была предназначена «иметь возможность вести обстрел земных объектов снарядами крупных калибров, не проходя над целью». Вспомо</w:t>
      </w:r>
      <w:r w:rsidRPr="00E14102">
        <w:rPr>
          <w:color w:val="000000" w:themeColor="text1"/>
          <w:sz w:val="16"/>
          <w:szCs w:val="16"/>
        </w:rPr>
        <w:softHyphen/>
        <w:t>гательное назначение - «расстройство крупных соединений тяжелых самолетов противника и прорыв баллонных заграждений обороняемых объектов». Она должна была состоять из двух орудий и двух кассет для РС, допускать ведение одиночного и залпового огня. Место установки орудий - под бомбовыми отсеками фюзеляжа, а кассеты, каждая из которых рассчитана на пять боеприпасов, - по одной в бомбоотсеках. Установка должна была обеспечивать механическую или автоматическую подачу очередного снаряда в орудие с усилием, не превышающим 200 кг. Обшая ее масса без боеприпасов не должна была превышать 200 кг. Выполнить се требовалось съемной и легко монтируемой на самолете, не требующей разъема деталей крылатой машины. Оборудовать такими установками предусматривалось серийные машины ТБ-3 в условиях «строевых частей без участия заводских специалистов”. В качестве приборов управления огнем планировали использовать электробомбосбрасываель ЭСБР-3. От конструкторов требовалось предусмотреть мероприя</w:t>
      </w:r>
      <w:r w:rsidRPr="00E14102">
        <w:rPr>
          <w:color w:val="000000" w:themeColor="text1"/>
          <w:sz w:val="16"/>
          <w:szCs w:val="16"/>
        </w:rPr>
        <w:softHyphen/>
        <w:t>тии по защите экипажа, обшивки планера, а также соседних боеприпасов от струи продуктов сгорания РЗ стартующего снаряда.</w:t>
      </w:r>
    </w:p>
    <w:p w14:paraId="0D2372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Положение установки на самолете должно было регулироваться в горизонтальной и вертикальной плоскостях в пределах трех градусов в каждую сторону. Пожалуй, наиболее странным требованием можно считать категоричное «орудийная установка не должна понижать меткости, сдаваемой реактивными снарядами согласно ТТТ к ним» (11402).</w:t>
      </w:r>
    </w:p>
    <w:p w14:paraId="23E2487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B02701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679410E7" w14:textId="77777777" w:rsidR="00D4105E" w:rsidRPr="00E14102" w:rsidRDefault="00D4105E" w:rsidP="00E14102">
      <w:pPr>
        <w:autoSpaceDE w:val="0"/>
        <w:autoSpaceDN w:val="0"/>
        <w:adjustRightInd w:val="0"/>
        <w:jc w:val="both"/>
        <w:rPr>
          <w:iCs/>
          <w:color w:val="000000" w:themeColor="text1"/>
          <w:sz w:val="16"/>
          <w:szCs w:val="16"/>
        </w:rPr>
      </w:pPr>
    </w:p>
    <w:p w14:paraId="36595E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марта 1935 была утверждена Инструкция по глубокому наступательному бою - часть глубокой наступательной операции (3398,106).</w:t>
      </w:r>
    </w:p>
    <w:p w14:paraId="1D81085A" w14:textId="77777777" w:rsidR="00D4105E" w:rsidRPr="00E14102" w:rsidRDefault="00D4105E" w:rsidP="00E14102">
      <w:pPr>
        <w:autoSpaceDE w:val="0"/>
        <w:autoSpaceDN w:val="0"/>
        <w:adjustRightInd w:val="0"/>
        <w:jc w:val="both"/>
        <w:rPr>
          <w:color w:val="000000" w:themeColor="text1"/>
          <w:sz w:val="16"/>
          <w:szCs w:val="16"/>
        </w:rPr>
      </w:pPr>
    </w:p>
    <w:p w14:paraId="7A2A356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lastRenderedPageBreak/>
        <w:t>Жизнь и внутренняя политика:</w:t>
      </w:r>
    </w:p>
    <w:p w14:paraId="404F2F38" w14:textId="77777777" w:rsidR="00D4105E" w:rsidRPr="00E14102" w:rsidRDefault="00D4105E" w:rsidP="00E14102">
      <w:pPr>
        <w:autoSpaceDE w:val="0"/>
        <w:autoSpaceDN w:val="0"/>
        <w:adjustRightInd w:val="0"/>
        <w:jc w:val="both"/>
        <w:rPr>
          <w:iCs/>
          <w:color w:val="000000" w:themeColor="text1"/>
          <w:sz w:val="16"/>
          <w:szCs w:val="16"/>
        </w:rPr>
      </w:pPr>
    </w:p>
    <w:p w14:paraId="38D354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марта 1935 Н.С.Хрущев стал секретарем МК ВКП(б) (1348,120) по сообщению Правды (3908,347).</w:t>
      </w:r>
    </w:p>
    <w:p w14:paraId="1E68438A" w14:textId="77777777" w:rsidR="00D4105E" w:rsidRPr="00E14102" w:rsidRDefault="00D4105E" w:rsidP="00E14102">
      <w:pPr>
        <w:autoSpaceDE w:val="0"/>
        <w:autoSpaceDN w:val="0"/>
        <w:adjustRightInd w:val="0"/>
        <w:jc w:val="both"/>
        <w:rPr>
          <w:color w:val="000000" w:themeColor="text1"/>
          <w:sz w:val="16"/>
          <w:szCs w:val="16"/>
        </w:rPr>
      </w:pPr>
    </w:p>
    <w:p w14:paraId="20F3D888" w14:textId="77777777" w:rsidR="00BA750D" w:rsidRPr="00E14102" w:rsidRDefault="00BA750D" w:rsidP="00E14102">
      <w:pPr>
        <w:jc w:val="both"/>
        <w:rPr>
          <w:color w:val="000000" w:themeColor="text1"/>
          <w:sz w:val="16"/>
          <w:szCs w:val="16"/>
        </w:rPr>
      </w:pPr>
      <w:r w:rsidRPr="00E14102">
        <w:rPr>
          <w:bCs/>
          <w:color w:val="000000" w:themeColor="text1"/>
          <w:sz w:val="16"/>
          <w:szCs w:val="16"/>
        </w:rPr>
        <w:t>9 марта</w:t>
      </w:r>
      <w:r w:rsidRPr="00E14102">
        <w:rPr>
          <w:color w:val="000000" w:themeColor="text1"/>
          <w:sz w:val="16"/>
          <w:szCs w:val="16"/>
        </w:rPr>
        <w:t xml:space="preserve"> в 1935 году первым секретарем Московской городской партийной организации избран Н.С.Хрущёв (15063).</w:t>
      </w:r>
    </w:p>
    <w:p w14:paraId="45C69340" w14:textId="77777777" w:rsidR="00BA750D" w:rsidRPr="00E14102" w:rsidRDefault="00BA750D" w:rsidP="00E14102">
      <w:pPr>
        <w:jc w:val="both"/>
        <w:rPr>
          <w:color w:val="000000" w:themeColor="text1"/>
          <w:sz w:val="16"/>
          <w:szCs w:val="16"/>
        </w:rPr>
      </w:pPr>
    </w:p>
    <w:p w14:paraId="6E0BE0C7" w14:textId="77777777" w:rsidR="00D4105E" w:rsidRPr="00E14102" w:rsidRDefault="004B7965" w:rsidP="00E14102">
      <w:pPr>
        <w:autoSpaceDE w:val="0"/>
        <w:autoSpaceDN w:val="0"/>
        <w:adjustRightInd w:val="0"/>
        <w:jc w:val="both"/>
        <w:rPr>
          <w:iCs/>
          <w:color w:val="000000" w:themeColor="text1"/>
          <w:sz w:val="16"/>
          <w:szCs w:val="16"/>
          <w:lang w:val="en-US"/>
        </w:rPr>
      </w:pPr>
      <w:r w:rsidRPr="00E14102">
        <w:rPr>
          <w:i/>
          <w:iCs/>
          <w:color w:val="000000" w:themeColor="text1"/>
          <w:sz w:val="16"/>
          <w:szCs w:val="16"/>
        </w:rPr>
        <w:t>За</w:t>
      </w:r>
      <w:r w:rsidRPr="00E14102">
        <w:rPr>
          <w:i/>
          <w:iCs/>
          <w:color w:val="000000" w:themeColor="text1"/>
          <w:sz w:val="16"/>
          <w:szCs w:val="16"/>
          <w:lang w:val="en-US"/>
        </w:rPr>
        <w:t xml:space="preserve"> </w:t>
      </w:r>
      <w:r w:rsidRPr="00E14102">
        <w:rPr>
          <w:i/>
          <w:iCs/>
          <w:color w:val="000000" w:themeColor="text1"/>
          <w:sz w:val="16"/>
          <w:szCs w:val="16"/>
        </w:rPr>
        <w:t>рубежом</w:t>
      </w:r>
      <w:r w:rsidRPr="00E14102">
        <w:rPr>
          <w:i/>
          <w:iCs/>
          <w:color w:val="000000" w:themeColor="text1"/>
          <w:sz w:val="16"/>
          <w:szCs w:val="16"/>
          <w:lang w:val="en-US"/>
        </w:rPr>
        <w:t>:</w:t>
      </w:r>
    </w:p>
    <w:p w14:paraId="58BB2D06" w14:textId="77777777" w:rsidR="00D4105E" w:rsidRPr="00E14102" w:rsidRDefault="00D4105E" w:rsidP="00E14102">
      <w:pPr>
        <w:autoSpaceDE w:val="0"/>
        <w:autoSpaceDN w:val="0"/>
        <w:adjustRightInd w:val="0"/>
        <w:jc w:val="both"/>
        <w:rPr>
          <w:iCs/>
          <w:color w:val="000000" w:themeColor="text1"/>
          <w:sz w:val="16"/>
          <w:szCs w:val="16"/>
          <w:lang w:val="en-US"/>
        </w:rPr>
      </w:pPr>
    </w:p>
    <w:p w14:paraId="1FBB2D67" w14:textId="77777777" w:rsidR="00D4105E" w:rsidRPr="00E14102" w:rsidRDefault="00D4105E" w:rsidP="00E14102">
      <w:pPr>
        <w:autoSpaceDE w:val="0"/>
        <w:autoSpaceDN w:val="0"/>
        <w:adjustRightInd w:val="0"/>
        <w:jc w:val="both"/>
        <w:rPr>
          <w:color w:val="000000" w:themeColor="text1"/>
          <w:sz w:val="16"/>
          <w:szCs w:val="16"/>
          <w:lang w:val="en-US"/>
        </w:rPr>
      </w:pPr>
      <w:r w:rsidRPr="00E14102">
        <w:rPr>
          <w:color w:val="000000" w:themeColor="text1"/>
          <w:sz w:val="16"/>
          <w:szCs w:val="16"/>
          <w:lang w:val="en-US"/>
        </w:rPr>
        <w:t>March 9 1935 Hermann Goering announced the existence of the German Air Force to Ward Price, correspondent of the Daily Mail (London), an event of considerable importance in international power politics for it implied unilateral breaking of the Treaty of Versailles prohibiting Germany possession of an air force (1038).</w:t>
      </w:r>
    </w:p>
    <w:p w14:paraId="6AC9834F" w14:textId="77777777" w:rsidR="00D4105E" w:rsidRPr="00E14102" w:rsidRDefault="00D4105E" w:rsidP="00E14102">
      <w:pPr>
        <w:autoSpaceDE w:val="0"/>
        <w:autoSpaceDN w:val="0"/>
        <w:adjustRightInd w:val="0"/>
        <w:jc w:val="both"/>
        <w:rPr>
          <w:color w:val="000000" w:themeColor="text1"/>
          <w:sz w:val="16"/>
          <w:szCs w:val="16"/>
          <w:lang w:val="en-US"/>
        </w:rPr>
      </w:pPr>
    </w:p>
    <w:p w14:paraId="4FBF65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марта 1935 Г.Геринг объявил через английского корреспондента о существовании ВВС Германии. Это означало нарушение Версальского соглашения (1038).</w:t>
      </w:r>
    </w:p>
    <w:p w14:paraId="7C94D7EC" w14:textId="77777777" w:rsidR="00D4105E" w:rsidRPr="00E14102" w:rsidRDefault="00D4105E" w:rsidP="00E14102">
      <w:pPr>
        <w:autoSpaceDE w:val="0"/>
        <w:autoSpaceDN w:val="0"/>
        <w:adjustRightInd w:val="0"/>
        <w:jc w:val="both"/>
        <w:rPr>
          <w:color w:val="000000" w:themeColor="text1"/>
          <w:sz w:val="16"/>
          <w:szCs w:val="16"/>
        </w:rPr>
      </w:pPr>
    </w:p>
    <w:p w14:paraId="4F8E85FA" w14:textId="77777777" w:rsidR="00CF0558" w:rsidRPr="00E14102" w:rsidRDefault="00CF0558" w:rsidP="00E14102">
      <w:pPr>
        <w:jc w:val="both"/>
        <w:rPr>
          <w:color w:val="0070C0"/>
          <w:sz w:val="16"/>
          <w:szCs w:val="16"/>
        </w:rPr>
      </w:pPr>
      <w:r w:rsidRPr="00E14102">
        <w:rPr>
          <w:color w:val="0070C0"/>
          <w:sz w:val="16"/>
          <w:szCs w:val="16"/>
        </w:rPr>
        <w:t>9 марта 1935 нацистское правительство в Германии публично объявляет о формировании люфтваффе в нарушение Версальского договора 1919 года. Герман Геринг производится его главнокомандующий, должность , которую он не держит почти до конца из Второй мировой войны в 1945 году (20800).</w:t>
      </w:r>
    </w:p>
    <w:p w14:paraId="29B6AEA0" w14:textId="77777777" w:rsidR="00CF0558" w:rsidRPr="00E14102" w:rsidRDefault="00CF0558" w:rsidP="00E14102">
      <w:pPr>
        <w:jc w:val="both"/>
        <w:rPr>
          <w:color w:val="0070C0"/>
          <w:sz w:val="16"/>
          <w:szCs w:val="16"/>
        </w:rPr>
      </w:pPr>
    </w:p>
    <w:p w14:paraId="752C730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5454B13" w14:textId="77777777" w:rsidR="00D4105E" w:rsidRPr="00E14102" w:rsidRDefault="00D4105E" w:rsidP="00E14102">
      <w:pPr>
        <w:autoSpaceDE w:val="0"/>
        <w:autoSpaceDN w:val="0"/>
        <w:adjustRightInd w:val="0"/>
        <w:jc w:val="both"/>
        <w:rPr>
          <w:iCs/>
          <w:color w:val="000000" w:themeColor="text1"/>
          <w:sz w:val="16"/>
          <w:szCs w:val="16"/>
        </w:rPr>
      </w:pPr>
    </w:p>
    <w:p w14:paraId="0E5E04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10 марта 1935 по 10 февраля 1936 в НИИ ВВС проходили испытания СБ 2ИС-12.</w:t>
      </w:r>
    </w:p>
    <w:p w14:paraId="47CD38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 Нач. ЛИС НИИ Петров, л Минлер, ви Подлесецкий.</w:t>
      </w:r>
    </w:p>
    <w:p w14:paraId="26EF8E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 Определение летно-тактических и боевых данных СБ в зимних условиях (на лыжах) (2917).</w:t>
      </w:r>
    </w:p>
    <w:p w14:paraId="4F35D5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календарю испытаний они шли с 5 по 19 февраля 1935 (2919).</w:t>
      </w:r>
    </w:p>
    <w:p w14:paraId="5F5762D9" w14:textId="77777777" w:rsidR="00D4105E" w:rsidRPr="00E14102" w:rsidRDefault="00D4105E" w:rsidP="00E14102">
      <w:pPr>
        <w:autoSpaceDE w:val="0"/>
        <w:autoSpaceDN w:val="0"/>
        <w:adjustRightInd w:val="0"/>
        <w:jc w:val="both"/>
        <w:rPr>
          <w:color w:val="000000" w:themeColor="text1"/>
          <w:sz w:val="16"/>
          <w:szCs w:val="16"/>
        </w:rPr>
      </w:pPr>
    </w:p>
    <w:p w14:paraId="36780F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марта 1935 по приказу Г.К.Орджоникидзе по НКТП N 34 по организации работ по подготовке РД к перелету. Н.М.Харламова назначили уполномоченным НКТП (1025,118) В.М.Петлякову было поручено общее техническое руководство по подготовке РД к перелету (538).</w:t>
      </w:r>
    </w:p>
    <w:p w14:paraId="36E7297D" w14:textId="77777777" w:rsidR="00D4105E" w:rsidRPr="00E14102" w:rsidRDefault="00D4105E" w:rsidP="00E14102">
      <w:pPr>
        <w:autoSpaceDE w:val="0"/>
        <w:autoSpaceDN w:val="0"/>
        <w:adjustRightInd w:val="0"/>
        <w:jc w:val="both"/>
        <w:rPr>
          <w:color w:val="000000" w:themeColor="text1"/>
          <w:sz w:val="16"/>
          <w:szCs w:val="16"/>
        </w:rPr>
      </w:pPr>
    </w:p>
    <w:p w14:paraId="5D2F75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марта 1935 вышел приказ Наркомтяжпрома N 34с, которым П.О.С. был назначен ответственным "по конструкторской работе" (в связи с подготовкой самолета РД к перелету в США (1102).</w:t>
      </w:r>
    </w:p>
    <w:p w14:paraId="00B12397" w14:textId="77777777" w:rsidR="00D4105E" w:rsidRPr="00E14102" w:rsidRDefault="00D4105E" w:rsidP="00E14102">
      <w:pPr>
        <w:autoSpaceDE w:val="0"/>
        <w:autoSpaceDN w:val="0"/>
        <w:adjustRightInd w:val="0"/>
        <w:jc w:val="both"/>
        <w:rPr>
          <w:color w:val="000000" w:themeColor="text1"/>
          <w:sz w:val="16"/>
          <w:szCs w:val="16"/>
        </w:rPr>
      </w:pPr>
    </w:p>
    <w:p w14:paraId="26AF12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марта 1935 п/п зам. нач. ГУАП Ермолаев писал Нач. отдела изобретений НКО СССР Русанову письмо N 44/1157с на N 189126с по вопросу "О постройке ИП-3":</w:t>
      </w:r>
    </w:p>
    <w:p w14:paraId="2563A1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"Основными причинами задержки производства самолета ИП-3 на заводе 22 были отсутствие полного комплекта чертежей, отсутствие на заводе 22 отечественного конструктора от ОКБ-2, нехватка средств и незаключение договора.</w:t>
      </w:r>
    </w:p>
    <w:p w14:paraId="7A2E8A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доводим до в/сведения, что ввиду новых производственных заданий исключительной трудности, возложенных на завод 22 последними постановлениями Правительства, ГУАП вынужден снять с завода 22 задание на изготовление ИП-3 и сейчас подыскивает базу для изготовления этого самолета.</w:t>
      </w:r>
    </w:p>
    <w:p w14:paraId="668CDB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разрешении этого вопроса, подробности будут Вам сообщены дополнительно." (2343,15).</w:t>
      </w:r>
    </w:p>
    <w:p w14:paraId="44D42C7A" w14:textId="77777777" w:rsidR="00D4105E" w:rsidRPr="00E14102" w:rsidRDefault="00D4105E" w:rsidP="00E14102">
      <w:pPr>
        <w:autoSpaceDE w:val="0"/>
        <w:autoSpaceDN w:val="0"/>
        <w:adjustRightInd w:val="0"/>
        <w:jc w:val="both"/>
        <w:rPr>
          <w:color w:val="000000" w:themeColor="text1"/>
          <w:sz w:val="16"/>
          <w:szCs w:val="16"/>
        </w:rPr>
      </w:pPr>
    </w:p>
    <w:p w14:paraId="1ABB19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марта 1935 Бородачем была подготовлена справка N 1196/1156с о состоянии на 25 февраля 1935 самолета ИП-3 (ОКБ-2 - завод 22):</w:t>
      </w:r>
    </w:p>
    <w:p w14:paraId="16D744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Завод 22 получил от ОКБ-2 60% всех чертежей.</w:t>
      </w:r>
    </w:p>
    <w:p w14:paraId="5B6018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Материалом ИП-3 обеспечен на 90%. Полностью есть нержавеющая сталь (Энерж 6).</w:t>
      </w:r>
    </w:p>
    <w:p w14:paraId="10995E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По производству</w:t>
      </w:r>
    </w:p>
    <w:p w14:paraId="66C8CA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Общий процент технической готовности - 15.</w:t>
      </w:r>
    </w:p>
    <w:p w14:paraId="400991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отдельным агрегатам:</w:t>
      </w:r>
    </w:p>
    <w:p w14:paraId="4A1F01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Крылья для стат. испытаний - 50%</w:t>
      </w:r>
    </w:p>
    <w:p w14:paraId="227B73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Мотоустановка - 70</w:t>
      </w:r>
    </w:p>
    <w:p w14:paraId="75035E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Центроплан - 50</w:t>
      </w:r>
    </w:p>
    <w:p w14:paraId="1D3F46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4.Хвостовая балка - 75</w:t>
      </w:r>
    </w:p>
    <w:p w14:paraId="1F8611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остальным агрегатам в производстве нет ни одной детали.</w:t>
      </w:r>
    </w:p>
    <w:p w14:paraId="75550C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условии получения чертежей радиаторов и баков к 1 марта, завод 22 сможет предъявить самолет на гос. испытания к 1 января 1936.</w:t>
      </w:r>
    </w:p>
    <w:p w14:paraId="5ACAA4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Договора по существу между УВС и заводом 22 нет.</w:t>
      </w:r>
    </w:p>
    <w:p w14:paraId="2B08AE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Вопрос о дальнейшем финансировании самолета для завода 22 остается открытым...</w:t>
      </w:r>
    </w:p>
    <w:p w14:paraId="072517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Необходимо либо утвердить самолет и внести его в план опытного строительства ГУАП, либо снять с производства.</w:t>
      </w:r>
    </w:p>
    <w:p w14:paraId="350741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Последнее лично считал бы нецелесообразным." (2343,13).</w:t>
      </w:r>
    </w:p>
    <w:p w14:paraId="726C251B" w14:textId="77777777" w:rsidR="00D4105E" w:rsidRPr="00E14102" w:rsidRDefault="00D4105E" w:rsidP="00E14102">
      <w:pPr>
        <w:autoSpaceDE w:val="0"/>
        <w:autoSpaceDN w:val="0"/>
        <w:adjustRightInd w:val="0"/>
        <w:jc w:val="both"/>
        <w:rPr>
          <w:color w:val="000000" w:themeColor="text1"/>
          <w:sz w:val="16"/>
          <w:szCs w:val="16"/>
        </w:rPr>
      </w:pPr>
    </w:p>
    <w:p w14:paraId="39D862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марта 1935 С.П.К. на собрании II отдела РНИИ настаивал на включении в план работы сектора № 8, которым он руководил, научных исследований о полете человека на реактивных аппаратах (ААН, р. 4, оп. 14, № 171, л. 11) (10676).</w:t>
      </w:r>
    </w:p>
    <w:p w14:paraId="3D3B9C23" w14:textId="77777777" w:rsidR="00D4105E" w:rsidRPr="00E14102" w:rsidRDefault="00D4105E" w:rsidP="00E14102">
      <w:pPr>
        <w:autoSpaceDE w:val="0"/>
        <w:autoSpaceDN w:val="0"/>
        <w:adjustRightInd w:val="0"/>
        <w:jc w:val="both"/>
        <w:rPr>
          <w:color w:val="000000" w:themeColor="text1"/>
          <w:sz w:val="16"/>
          <w:szCs w:val="16"/>
        </w:rPr>
      </w:pPr>
    </w:p>
    <w:p w14:paraId="32E1B63E" w14:textId="77777777" w:rsidR="00CF20B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81945F6" w14:textId="77777777" w:rsidR="00CF20BB" w:rsidRPr="00E14102" w:rsidRDefault="00CF20BB" w:rsidP="00E14102">
      <w:pPr>
        <w:autoSpaceDE w:val="0"/>
        <w:autoSpaceDN w:val="0"/>
        <w:adjustRightInd w:val="0"/>
        <w:jc w:val="both"/>
        <w:rPr>
          <w:iCs/>
          <w:color w:val="000000" w:themeColor="text1"/>
          <w:sz w:val="16"/>
          <w:szCs w:val="16"/>
        </w:rPr>
      </w:pPr>
    </w:p>
    <w:p w14:paraId="1C9DB540" w14:textId="77777777" w:rsidR="00CF20BB" w:rsidRPr="00E14102" w:rsidRDefault="00CF20BB" w:rsidP="00E14102">
      <w:pPr>
        <w:pStyle w:val="rtejustify"/>
        <w:spacing w:before="0" w:after="0"/>
        <w:rPr>
          <w:color w:val="000000" w:themeColor="text1"/>
          <w:sz w:val="16"/>
          <w:szCs w:val="16"/>
        </w:rPr>
      </w:pPr>
      <w:r w:rsidRPr="00E14102">
        <w:rPr>
          <w:rStyle w:val="a6"/>
          <w:bCs/>
          <w:i w:val="0"/>
          <w:color w:val="000000" w:themeColor="text1"/>
          <w:sz w:val="16"/>
          <w:szCs w:val="16"/>
        </w:rPr>
        <w:t>10 марта 1935 вышел приказ НКТП № 35сс.</w:t>
      </w:r>
      <w:r w:rsidRPr="00E14102">
        <w:rPr>
          <w:color w:val="000000" w:themeColor="text1"/>
          <w:sz w:val="16"/>
          <w:szCs w:val="16"/>
        </w:rPr>
        <w:t xml:space="preserve"> О заданиях заводам по обеспечению производственной программы по выпуску брони. (РГАЭ. Ф. 7297. Оп. 38. Д. 171. Л. 53</w:t>
      </w:r>
      <w:r w:rsidRPr="00E14102">
        <w:rPr>
          <w:color w:val="000000" w:themeColor="text1"/>
          <w:sz w:val="16"/>
          <w:szCs w:val="16"/>
        </w:rPr>
        <w:noBreakHyphen/>
        <w:t>50) (15246).</w:t>
      </w:r>
    </w:p>
    <w:p w14:paraId="693F2BA5" w14:textId="77777777" w:rsidR="00CF20BB" w:rsidRPr="00E14102" w:rsidRDefault="00CF20BB" w:rsidP="00E14102">
      <w:pPr>
        <w:pStyle w:val="rtejustify"/>
        <w:spacing w:before="0" w:after="0"/>
        <w:rPr>
          <w:color w:val="000000" w:themeColor="text1"/>
          <w:sz w:val="16"/>
          <w:szCs w:val="16"/>
        </w:rPr>
      </w:pPr>
    </w:p>
    <w:p w14:paraId="377A392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6EF4955" w14:textId="77777777" w:rsidR="00D4105E" w:rsidRPr="00E14102" w:rsidRDefault="00D4105E" w:rsidP="00E14102">
      <w:pPr>
        <w:autoSpaceDE w:val="0"/>
        <w:autoSpaceDN w:val="0"/>
        <w:adjustRightInd w:val="0"/>
        <w:jc w:val="both"/>
        <w:rPr>
          <w:iCs/>
          <w:color w:val="000000" w:themeColor="text1"/>
          <w:sz w:val="16"/>
          <w:szCs w:val="16"/>
        </w:rPr>
      </w:pPr>
    </w:p>
    <w:p w14:paraId="04DD3C9E" w14:textId="77777777" w:rsidR="00F53FE5" w:rsidRPr="00E14102" w:rsidRDefault="00F53FE5" w:rsidP="00E14102">
      <w:pPr>
        <w:shd w:val="clear" w:color="auto" w:fill="FFFFFF"/>
        <w:jc w:val="both"/>
        <w:rPr>
          <w:color w:val="000000" w:themeColor="text1"/>
          <w:sz w:val="16"/>
          <w:szCs w:val="16"/>
        </w:rPr>
      </w:pPr>
      <w:r w:rsidRPr="00E14102">
        <w:rPr>
          <w:color w:val="000000" w:themeColor="text1"/>
          <w:sz w:val="16"/>
          <w:szCs w:val="16"/>
        </w:rPr>
        <w:t>10 марта 1935 г. Политбюро утвердило постановление "О распределении обязанностей между секретарями ЦК", кото</w:t>
      </w:r>
      <w:r w:rsidRPr="00E14102">
        <w:rPr>
          <w:color w:val="000000" w:themeColor="text1"/>
          <w:sz w:val="16"/>
          <w:szCs w:val="16"/>
        </w:rPr>
        <w:softHyphen/>
        <w:t>рое развивало и во многом объясняло истинный смысл поста</w:t>
      </w:r>
      <w:r w:rsidRPr="00E14102">
        <w:rPr>
          <w:color w:val="000000" w:themeColor="text1"/>
          <w:sz w:val="16"/>
          <w:szCs w:val="16"/>
        </w:rPr>
        <w:softHyphen/>
        <w:t>новления от 27 февраля. Новый секретарь ЦК Андреев был введен в состав Оргбюро ЦК и фактически стал руководите</w:t>
      </w:r>
      <w:r w:rsidRPr="00E14102">
        <w:rPr>
          <w:color w:val="000000" w:themeColor="text1"/>
          <w:sz w:val="16"/>
          <w:szCs w:val="16"/>
        </w:rPr>
        <w:softHyphen/>
        <w:t>лем этого органа — должен был вести заседания Оргбюро. Однако при этом в постановлении была сделана существенная оговорка — подготовка повестки Оргбюро возлагалась на двух секретарей ЦК — Андреева и Ежова. Андрееву было поручено также заведование промышленным отделом ЦК, которым до этого руководил Ежов, а также наблюдение за работой транс</w:t>
      </w:r>
      <w:r w:rsidRPr="00E14102">
        <w:rPr>
          <w:color w:val="000000" w:themeColor="text1"/>
          <w:sz w:val="16"/>
          <w:szCs w:val="16"/>
        </w:rPr>
        <w:softHyphen/>
        <w:t>портного отдела и Управления делами ЦК ВКП(б). Ежов, ос</w:t>
      </w:r>
      <w:r w:rsidRPr="00E14102">
        <w:rPr>
          <w:color w:val="000000" w:themeColor="text1"/>
          <w:sz w:val="16"/>
          <w:szCs w:val="16"/>
        </w:rPr>
        <w:softHyphen/>
        <w:t>вобожденный этим же постановлением от заведования про</w:t>
      </w:r>
      <w:r w:rsidRPr="00E14102">
        <w:rPr>
          <w:color w:val="000000" w:themeColor="text1"/>
          <w:sz w:val="16"/>
          <w:szCs w:val="16"/>
        </w:rPr>
        <w:softHyphen/>
        <w:t>мышленным отделом, получил под свое начало важнейший отдел руководящих парторганов. Наблюдение за работой ос</w:t>
      </w:r>
      <w:r w:rsidRPr="00E14102">
        <w:rPr>
          <w:color w:val="000000" w:themeColor="text1"/>
          <w:sz w:val="16"/>
          <w:szCs w:val="16"/>
        </w:rPr>
        <w:softHyphen/>
        <w:t>тальных отделов ЦК, "особенно за отделом культуры и пропа</w:t>
      </w:r>
      <w:r w:rsidRPr="00E14102">
        <w:rPr>
          <w:color w:val="000000" w:themeColor="text1"/>
          <w:sz w:val="16"/>
          <w:szCs w:val="16"/>
        </w:rPr>
        <w:softHyphen/>
        <w:t>ганды", поручалось Сталину. Л.М.Каганович, оставшийся секретарем ЦК, также получил (дополнительно к своей новой должности наркома путей сообщения) "партийное поручение" — наблюдение за работой Московской областной и городской парторганизаций. Однако, в постановлении всячески подчер</w:t>
      </w:r>
      <w:r w:rsidRPr="00E14102">
        <w:rPr>
          <w:color w:val="000000" w:themeColor="text1"/>
          <w:sz w:val="16"/>
          <w:szCs w:val="16"/>
        </w:rPr>
        <w:softHyphen/>
        <w:t>кивалось, что пост наркома путей сообщения для Кагановича отныне является основной обязанностью. Наблюдение за Мос</w:t>
      </w:r>
      <w:r w:rsidRPr="00E14102">
        <w:rPr>
          <w:color w:val="000000" w:themeColor="text1"/>
          <w:sz w:val="16"/>
          <w:szCs w:val="16"/>
        </w:rPr>
        <w:softHyphen/>
        <w:t>квой, оговаривало Политбюро, не должно проходить "в ущерб работе в НКПС". Последний пункт постановления от 10 марта гласил: "Разрешить т. Кагановичу обращаться как секретарю ЦК к обкомам и крайкомам за помощью и поддержкой по вопросам железнодорожного транспорта каждый раз, когда этого будет требовать обстановка".</w:t>
      </w:r>
    </w:p>
    <w:p w14:paraId="366B1ABE" w14:textId="77777777" w:rsidR="00F53FE5" w:rsidRPr="00E14102" w:rsidRDefault="00F53FE5" w:rsidP="00E14102">
      <w:pPr>
        <w:shd w:val="clear" w:color="auto" w:fill="FFFFFF"/>
        <w:jc w:val="both"/>
        <w:rPr>
          <w:color w:val="000000" w:themeColor="text1"/>
          <w:sz w:val="16"/>
          <w:szCs w:val="16"/>
        </w:rPr>
      </w:pPr>
      <w:r w:rsidRPr="00E14102">
        <w:rPr>
          <w:color w:val="000000" w:themeColor="text1"/>
          <w:sz w:val="16"/>
          <w:szCs w:val="16"/>
        </w:rPr>
        <w:t>Кадровые перемещения в начале 1935 г. можно назвать рассредоточением влияния ближайших сталинских соратни</w:t>
      </w:r>
      <w:r w:rsidRPr="00E14102">
        <w:rPr>
          <w:color w:val="000000" w:themeColor="text1"/>
          <w:sz w:val="16"/>
          <w:szCs w:val="16"/>
        </w:rPr>
        <w:softHyphen/>
        <w:t>ков. Л.М. Каганович, который в течение нескольких лет был первым заместителем Сталина в партии, в значительной мере утратил это положение. Формально на его место попал А.А.Андреев, назначенный секретарем ЦК, руководившим работой Оргбюро. Однако влияние Андреева на деятельность Оргбюро было изначально ограничено оговоркой о равной от</w:t>
      </w:r>
      <w:r w:rsidRPr="00E14102">
        <w:rPr>
          <w:color w:val="000000" w:themeColor="text1"/>
          <w:sz w:val="16"/>
          <w:szCs w:val="16"/>
        </w:rPr>
        <w:softHyphen/>
        <w:t>ветственности Андреева и Ежова за составление повесток Ор</w:t>
      </w:r>
      <w:r w:rsidRPr="00E14102">
        <w:rPr>
          <w:color w:val="000000" w:themeColor="text1"/>
          <w:sz w:val="16"/>
          <w:szCs w:val="16"/>
        </w:rPr>
        <w:softHyphen/>
        <w:t>гбюро, а также тем обстоятельством, что Каганович оставался как секретарем ЦК, так и членом Оргбюро. Роли Андреева и Ежова как бы уравновешивались в результате перестановок в руководстве отделами ЦК. Андреев — руководитель Оргбюро и член Политбюро, но заведующий относительно второсте</w:t>
      </w:r>
      <w:r w:rsidRPr="00E14102">
        <w:rPr>
          <w:color w:val="000000" w:themeColor="text1"/>
          <w:sz w:val="16"/>
          <w:szCs w:val="16"/>
        </w:rPr>
        <w:softHyphen/>
        <w:t>пенным промышленным отделом. Ежов — ответственный за составление повесток заседаний Оргбюро, не был членом По</w:t>
      </w:r>
      <w:r w:rsidRPr="00E14102">
        <w:rPr>
          <w:color w:val="000000" w:themeColor="text1"/>
          <w:sz w:val="16"/>
          <w:szCs w:val="16"/>
        </w:rPr>
        <w:softHyphen/>
        <w:t>литбюро, но заведовал ключевым отделом руководящих пар</w:t>
      </w:r>
      <w:r w:rsidRPr="00E14102">
        <w:rPr>
          <w:color w:val="000000" w:themeColor="text1"/>
          <w:sz w:val="16"/>
          <w:szCs w:val="16"/>
        </w:rPr>
        <w:softHyphen/>
        <w:t>тийных органов, а, значит, курировал кадровую политику партии и проведение важнейших политических кампаний.</w:t>
      </w:r>
    </w:p>
    <w:p w14:paraId="45EDBE58" w14:textId="77777777" w:rsidR="00F53FE5" w:rsidRPr="00E14102" w:rsidRDefault="00F53FE5" w:rsidP="00E14102">
      <w:pPr>
        <w:shd w:val="clear" w:color="auto" w:fill="FFFFFF"/>
        <w:jc w:val="both"/>
        <w:rPr>
          <w:color w:val="000000" w:themeColor="text1"/>
          <w:sz w:val="16"/>
          <w:szCs w:val="16"/>
        </w:rPr>
      </w:pPr>
      <w:r w:rsidRPr="00E14102">
        <w:rPr>
          <w:color w:val="000000" w:themeColor="text1"/>
          <w:sz w:val="16"/>
          <w:szCs w:val="16"/>
        </w:rPr>
        <w:t>Не входя формально даже в состав Политбюро, Ежов при</w:t>
      </w:r>
      <w:r w:rsidRPr="00E14102">
        <w:rPr>
          <w:color w:val="000000" w:themeColor="text1"/>
          <w:sz w:val="16"/>
          <w:szCs w:val="16"/>
        </w:rPr>
        <w:softHyphen/>
        <w:t>нимал активное участие в его работе. Именно ему Сталин поручал наиболее существенные задания, связанные с дея</w:t>
      </w:r>
      <w:r w:rsidRPr="00E14102">
        <w:rPr>
          <w:color w:val="000000" w:themeColor="text1"/>
          <w:sz w:val="16"/>
          <w:szCs w:val="16"/>
        </w:rPr>
        <w:softHyphen/>
        <w:t>тельностью НКВД, организацией политических чисток и ре</w:t>
      </w:r>
      <w:r w:rsidRPr="00E14102">
        <w:rPr>
          <w:color w:val="000000" w:themeColor="text1"/>
          <w:sz w:val="16"/>
          <w:szCs w:val="16"/>
        </w:rPr>
        <w:softHyphen/>
        <w:t>шением кадровых вопросов. После успешного выполнения приказа Сталина об организации судов над зиновьевцами, об</w:t>
      </w:r>
      <w:r w:rsidRPr="00E14102">
        <w:rPr>
          <w:color w:val="000000" w:themeColor="text1"/>
          <w:sz w:val="16"/>
          <w:szCs w:val="16"/>
        </w:rPr>
        <w:softHyphen/>
        <w:t>виненными в убийстве Кирова, Ежов фактически был назна</w:t>
      </w:r>
      <w:r w:rsidRPr="00E14102">
        <w:rPr>
          <w:color w:val="000000" w:themeColor="text1"/>
          <w:sz w:val="16"/>
          <w:szCs w:val="16"/>
        </w:rPr>
        <w:softHyphen/>
        <w:t>чен партийным надзирателем над НКВД. Уже 31 марта 1935 г. Политбюро передало на рассмотрение Ежова Положения об НКВД и Главном управлении государственной безопасности НКВД</w:t>
      </w:r>
      <w:r w:rsidRPr="00E14102">
        <w:rPr>
          <w:color w:val="000000" w:themeColor="text1"/>
          <w:sz w:val="16"/>
          <w:szCs w:val="16"/>
          <w:vertAlign w:val="superscript"/>
        </w:rPr>
        <w:t>50</w:t>
      </w:r>
      <w:r w:rsidRPr="00E14102">
        <w:rPr>
          <w:color w:val="000000" w:themeColor="text1"/>
          <w:sz w:val="16"/>
          <w:szCs w:val="16"/>
        </w:rPr>
        <w:t xml:space="preserve">. Контролируя в течение полутора лет </w:t>
      </w:r>
      <w:r w:rsidRPr="00E14102">
        <w:rPr>
          <w:color w:val="000000" w:themeColor="text1"/>
          <w:sz w:val="16"/>
          <w:szCs w:val="16"/>
        </w:rPr>
        <w:lastRenderedPageBreak/>
        <w:t xml:space="preserve">деятельность НКВД, Ежов в конце концов был назначен руководителем этого наркомата. Одной из первых акций Ежова после его назначения на пост председателя КПК была также подготовка и проведение кампании "по упорядочению учета, выдачи и хранения партбилетов". Внесенный Ежовым проект закрытого письма ЦК по этому поводу Политбюро одобрило 13 мая 1935 г. </w:t>
      </w:r>
      <w:r w:rsidRPr="00E14102">
        <w:rPr>
          <w:iCs/>
          <w:color w:val="000000" w:themeColor="text1"/>
          <w:sz w:val="16"/>
          <w:szCs w:val="16"/>
        </w:rPr>
        <w:t xml:space="preserve">С </w:t>
      </w:r>
      <w:r w:rsidRPr="00E14102">
        <w:rPr>
          <w:color w:val="000000" w:themeColor="text1"/>
          <w:sz w:val="16"/>
          <w:szCs w:val="16"/>
        </w:rPr>
        <w:t>этого времени на протяжении почти полутора лет Ежов занимался организацией чисток в партии.</w:t>
      </w:r>
    </w:p>
    <w:p w14:paraId="4CAC0F35" w14:textId="77777777" w:rsidR="00F53FE5" w:rsidRPr="00E14102" w:rsidRDefault="00F53FE5" w:rsidP="00E14102">
      <w:pPr>
        <w:shd w:val="clear" w:color="auto" w:fill="FFFFFF"/>
        <w:jc w:val="both"/>
        <w:rPr>
          <w:color w:val="000000" w:themeColor="text1"/>
          <w:sz w:val="16"/>
          <w:szCs w:val="16"/>
        </w:rPr>
      </w:pPr>
      <w:r w:rsidRPr="00E14102">
        <w:rPr>
          <w:color w:val="000000" w:themeColor="text1"/>
          <w:sz w:val="16"/>
          <w:szCs w:val="16"/>
        </w:rPr>
        <w:t>Секретарем ЦК остался также назначенный в Ленинград Жданов. Причем в отличие от Кирова, который, секретарст</w:t>
      </w:r>
      <w:r w:rsidRPr="00E14102">
        <w:rPr>
          <w:color w:val="000000" w:themeColor="text1"/>
          <w:sz w:val="16"/>
          <w:szCs w:val="16"/>
        </w:rPr>
        <w:softHyphen/>
        <w:t>вуя в Ленинграде, почти не принимал участия в московских делах, Жданов выполнял многочисленные обязанности секре</w:t>
      </w:r>
      <w:r w:rsidRPr="00E14102">
        <w:rPr>
          <w:color w:val="000000" w:themeColor="text1"/>
          <w:sz w:val="16"/>
          <w:szCs w:val="16"/>
        </w:rPr>
        <w:softHyphen/>
        <w:t xml:space="preserve">таря ЦК в Москве. В связи с этим 20 апреля </w:t>
      </w:r>
      <w:bookmarkStart w:id="7" w:name="YANDEX_47"/>
      <w:bookmarkEnd w:id="7"/>
      <w:r w:rsidRPr="00E14102">
        <w:rPr>
          <w:color w:val="000000" w:themeColor="text1"/>
          <w:sz w:val="16"/>
          <w:szCs w:val="16"/>
        </w:rPr>
        <w:t> 1935  г. Политбюро приняло специальное постановление: "Для облегчения работы Секретариата ЦК обязать т. Жданова из трех десятидневок месяца одну десятидневку проводить в Москве для работы в Секретариате ЦК" (17307).</w:t>
      </w:r>
    </w:p>
    <w:p w14:paraId="7FD04AE7" w14:textId="77777777" w:rsidR="00F53FE5" w:rsidRPr="00E14102" w:rsidRDefault="00F53FE5" w:rsidP="00E14102">
      <w:pPr>
        <w:tabs>
          <w:tab w:val="left" w:pos="11199"/>
        </w:tabs>
        <w:autoSpaceDE w:val="0"/>
        <w:autoSpaceDN w:val="0"/>
        <w:adjustRightInd w:val="0"/>
        <w:jc w:val="both"/>
        <w:rPr>
          <w:color w:val="000000" w:themeColor="text1"/>
          <w:sz w:val="16"/>
          <w:szCs w:val="16"/>
        </w:rPr>
      </w:pPr>
    </w:p>
    <w:p w14:paraId="74D67A4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марта 1935 в СССР расстреляны жена Л. Николаева, убийцы Кирова, Милда Драуле и ее сестра (4962).</w:t>
      </w:r>
    </w:p>
    <w:p w14:paraId="631DC11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785A4B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D0BCE27" w14:textId="77777777" w:rsidR="00D4105E" w:rsidRPr="00E14102" w:rsidRDefault="00D4105E" w:rsidP="00E14102">
      <w:pPr>
        <w:autoSpaceDE w:val="0"/>
        <w:autoSpaceDN w:val="0"/>
        <w:adjustRightInd w:val="0"/>
        <w:jc w:val="both"/>
        <w:rPr>
          <w:iCs/>
          <w:color w:val="000000" w:themeColor="text1"/>
          <w:sz w:val="16"/>
          <w:szCs w:val="16"/>
        </w:rPr>
      </w:pPr>
    </w:p>
    <w:p w14:paraId="38F07C5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марта 1935 года вышел Приказ НИИ ВС № 0195 О проведении летного исследования самолетов У-2, И-5 и ТБ-3 в целях разработки методики определения посадочной скорости (6813, 1).</w:t>
      </w:r>
    </w:p>
    <w:p w14:paraId="7CDE1A9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FAE49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марта 1935 был направлен проект Постановления Главного управления авиационной промышленности по годовому отчету Центрального аэрогидродинамического института "ЦАГИ" за 1934 год.</w:t>
      </w:r>
    </w:p>
    <w:p w14:paraId="0C4694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Заслушав доклад начальника ЦАГИ Харламова Н.М. об итогах годовой работы за 1934 год ГУАП констатирует, что:</w:t>
      </w:r>
    </w:p>
    <w:p w14:paraId="0AABC8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ЦАГИ добился целого ряда крупнейших достижений, имеющих мировое значение в области авиационной техники, чем содействовал на ряду с укреплением обороноспособности страны так же превращению нашей авиации в лучшую авиацию в мире.</w:t>
      </w:r>
    </w:p>
    <w:p w14:paraId="7B3FDB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 линии опытного строительства.</w:t>
      </w:r>
    </w:p>
    <w:p w14:paraId="5BC992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p w14:paraId="5F03BB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Разрешил проблему скоростных самолетов бомбардировщиков;</w:t>
      </w:r>
    </w:p>
    <w:p w14:paraId="2D31EF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Дал в 1934 году первые морские самолеты советской конструкции;</w:t>
      </w:r>
    </w:p>
    <w:p w14:paraId="6FB8C0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Разрешил проблему дальних полетов;4. Постройкой самолета "МГ" дал лучший образец тяжелого самолета.</w:t>
      </w:r>
    </w:p>
    <w:p w14:paraId="1DBB79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Освоил конструкции самолетов из новых, повышенной крепости материалов (супер-дюраля).</w:t>
      </w:r>
    </w:p>
    <w:p w14:paraId="3C435E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Применяя гладкую обшивку, зализы, капотирование, убирающееся шасси, твердо пошел по пути облагораживания аэродинамики самолета.</w:t>
      </w:r>
    </w:p>
    <w:p w14:paraId="7F830B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частности, ЦАГИ выполнил следующие правительственные задания:</w:t>
      </w:r>
    </w:p>
    <w:p w14:paraId="6162AF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И14 с РЦ, самолет истребитель - давший при своем испытании скорость 403 км/час на рабочей высоте, построен с применением гладкой обшивки.</w:t>
      </w:r>
    </w:p>
    <w:p w14:paraId="21FB62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МИ3 и М34Н дубл., многоместный истребитель с нагнетательным мотором М34 был во время испытаний значительно улучшен в аэродинамическом отношении, благодаря чему дал скорость выше расчетной, достигающую 350 км/час.</w:t>
      </w:r>
    </w:p>
    <w:p w14:paraId="43FDFD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"МГ" - АМ34Р самолет-гигант им. "Максим Горький". По своим летным качествам может считаться первым в мире сухопутным тяжелым самолетом. С перегрузкой самолет имеет 53 тонны полетного веса, имеет скорость 244-260 км/час и потолок 4500 м.</w:t>
      </w:r>
    </w:p>
    <w:p w14:paraId="01F5B1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МК1-6М34Р. 2-х лодочной морской крейсер и бомбовоз. При 24 тоннах полетного веса скорость его достигает 228 км/час. Самолет вышел в назначенный по плану срок и в настоящее время проходит заводские испытания.</w:t>
      </w:r>
    </w:p>
    <w:p w14:paraId="49ADA8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МДР4-4М34Р. Однолодочный морской самолет дальний разведчик и бомбовоз.</w:t>
      </w:r>
    </w:p>
    <w:p w14:paraId="262A71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Выпущен в 2-х экземплярах (1-й экз. потерпел катастрофу, 2-й исполнен сверх плана на замену первого).</w:t>
      </w:r>
    </w:p>
    <w:p w14:paraId="454DF3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по своим первоначальным испытаниям обнаружил хорошие летные качества и дал скорость выше расчетной до 233 км/час.</w:t>
      </w:r>
    </w:p>
    <w:p w14:paraId="5A7BE4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СБ-2РЦ. Самолет скоростной бомбардировщик. Изготовлен из супердюраля с гладкой обшивкой крыла и фюзеляжа. На первых предварительных испытаниях показал, что он вполне удовлетворяет техническим и расчетным данным. На 9-ом полете потерпел аварию; взамен его изготовлен дублер, который находится на заводских испытаниях.</w:t>
      </w:r>
    </w:p>
    <w:p w14:paraId="5DFCFB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СБ с 2 моторами Испано. Скоростной бомбардировщик. Спроектирован и построен по той же схеме, как и СБ с РЦ, но с несколько другой аэродинамикой. На заводских испытаниях показал очень высокие летные качества. Скорость его 433 км/час, выше многих самых лучших в мире истребителей. Этот самолет построен из супердюраля с применением новой технологии (гладкая обшивка, клепка впотай) создает громадный перелом в советской авиации и авиапромышленности.</w:t>
      </w:r>
    </w:p>
    <w:p w14:paraId="4D4A23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В порядке доводки существующих самолетов ЦАГИ выпустил:</w:t>
      </w:r>
    </w:p>
    <w:p w14:paraId="304F9D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Самолет ТБ3 с моторами М34РН, давший весьма хорошие летные качества, показавшие скорость этого бомбовоза не ниже только что бывших на снабжении истребителей и потолок его, значительно превышающий потолок всех существующих в мире тяжелых бомбовозов.</w:t>
      </w:r>
    </w:p>
    <w:p w14:paraId="796D14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РД - рекордный самолет на дальность полета, поставивший мировой рекорд дальности полета без посадки и без пополнения горючим, пролетев 12411 км по замкнутой кривой в 75 часов полета.</w:t>
      </w:r>
    </w:p>
    <w:p w14:paraId="68A558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По внедрению самолетов в серийное производство ЦАГИ за 1934 год был связан с авиационной промышленностью по нижеследующим заводам: 18, 22, 31, 32, 34, 125.</w:t>
      </w:r>
    </w:p>
    <w:p w14:paraId="2A3E6D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ЦАГИ изготовил и сдал конструктивные чертежи для серийного выпуска самолетов: И14, ДВ1, МК1, МДР4, СВ и всех улучшений по самолетам ТБ3 и Р6.</w:t>
      </w:r>
    </w:p>
    <w:p w14:paraId="38040C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 имел на перечисленных выше заводах своих инженеров для оказания технической помощи при постройке первых головных серий.</w:t>
      </w:r>
    </w:p>
    <w:p w14:paraId="0E4F31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Кроме основных объектов опытного строительства ЦАГИ произвел большие работы в области проектирования и изготовления новых образцов вооружения самолетов. Из таких образцов следует отметить: турель 9 на СБ, носовые установки СБ, бомбодержатели (из пикирующего полета) варианты свободных подвесок, торпедодержатели, ВАП, ДАП - химич. баки и проч.</w:t>
      </w:r>
    </w:p>
    <w:p w14:paraId="0F215E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По оборудованию самолетов проведено 25 работ по электро, радио и аэронавигации.</w:t>
      </w:r>
    </w:p>
    <w:p w14:paraId="0E45B1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Спроектированы, изготовлены и переданы в серию колеса 1800х700, 750х125, 800х150; по лыжам - спроектирована и поставлена внутренняя амортизация для самоустановки лыж в полете, непримерзающая лыжа для ТБ3 и т.д.; по винтам - металлические винты для МГ, 4-х лопастные деревянные винты (позволившие уничтожить вибрацию в ТБ3) и т.д.; по шасси - усовершенствованная конструкция, убирающаяся в полете.</w:t>
      </w:r>
    </w:p>
    <w:p w14:paraId="22ADDD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 линии научно-исследовательских работ.</w:t>
      </w:r>
    </w:p>
    <w:p w14:paraId="0327F3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Проведены специальные исследования и испытания, обеспечившие высокие летные качества по опытным самолетам, выпущенным ЦАГИ в 1934 году.</w:t>
      </w:r>
    </w:p>
    <w:p w14:paraId="2EA493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Разработана новая серия профилей БС, рассчитанная на скоростные самолеты. Результаты исследований по профилям требуют дальнейшей проработки и проверки этих профилей в натуре.</w:t>
      </w:r>
    </w:p>
    <w:p w14:paraId="7ABA10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Последнее является задачей 1935 года.</w:t>
      </w:r>
    </w:p>
    <w:p w14:paraId="4F0D63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Спроектирована, построена и осваивается труба высоких скоростей. В этой трубе получен поток со скоростью 500 м в секунду. К этой трубе спроектирован и построен трехкомпонентный динамометр, позволяющий одновременный отсчет подъемной силы, лобового сопротивления и момента.</w:t>
      </w:r>
    </w:p>
    <w:p w14:paraId="4FA75F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Проведено исследование по размещению радиаторов в туннеле в крыле или в фюзеляже. На основе этой работы построен радиатор в крыле самолета Р6. Предварительные испытания радиатора в крыле самолета Р6 показали вполне удовлетворительные результаты.</w:t>
      </w:r>
    </w:p>
    <w:p w14:paraId="631726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Проведена большая экспериментальная работа по подбору наилучшей формы обтекателей для колес. Дан оптимальный вариант обтекателя.</w:t>
      </w:r>
    </w:p>
    <w:p w14:paraId="0A2A8A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Исследован вопрос и дан график наивыгоднейшего выноса винта в зависимости от размера винта и крыла.</w:t>
      </w:r>
    </w:p>
    <w:p w14:paraId="1D19CF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На основе исследований по штопору дана новая конструктивная схема расположения органов управления, обеспечивающая надежный выход из штопора машин: N 17 - завода N 39 и новых проектируемых машин ЦАГИ. В исследованиях штопора разработан и углублен метод неустановившегося движения самолета в штопоре.</w:t>
      </w:r>
    </w:p>
    <w:p w14:paraId="023857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Проведена работа по вопросу о потере устойчивости крыла в полете. В этой работе освещены следующие вопросы:</w:t>
      </w:r>
    </w:p>
    <w:p w14:paraId="46858D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условия, обеспечивающие устойчивость крыла в полете;</w:t>
      </w:r>
    </w:p>
    <w:p w14:paraId="0C86F1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разработан метод определения критической скорости;</w:t>
      </w:r>
    </w:p>
    <w:p w14:paraId="2FDAD6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сделан анализ ряда положений по вопросам вибрации крыла по работам, имеющимся в иностранной литературе.</w:t>
      </w:r>
    </w:p>
    <w:p w14:paraId="7959E3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Дана обзорная статья, освещающая современное состояние вопросов вибрации винта.</w:t>
      </w:r>
    </w:p>
    <w:p w14:paraId="088479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Дана статья, освещающая некоторые случаи определения собственных частот колебания лопастей. выработаны формулы определения собственных частот колебаний.</w:t>
      </w:r>
    </w:p>
    <w:p w14:paraId="5D22CC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Проведена работа по подбору серво-рулей к самолету ТБ-3. Эта работа доведена до летных испытаний. поставленные на ТБ-3 серво-рули значительно повысили маневренность самолета.</w:t>
      </w:r>
    </w:p>
    <w:p w14:paraId="1B1B23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Проведено исследование скоса потока за крылом, снабженным закрылком, на больших углах атаки. Получены данные для сравнения скоса потока за крылом со щитком и без щитков.</w:t>
      </w:r>
    </w:p>
    <w:p w14:paraId="7B1FED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Проведена работа по исследованию боковой устойчивости и влиянию близости земли на аэродинамические характеристики гидросамолета. Дан метод расчета боковой устойчивости гидросамолета.</w:t>
      </w:r>
    </w:p>
    <w:p w14:paraId="12E818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13. Проведена работа по исследованию концевых плавающих элеронов.</w:t>
      </w:r>
    </w:p>
    <w:p w14:paraId="6D01CD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Получен материал для подбора плавающих элеронов, выбора профиля и формы элеронов и подбора положения оси вращения.</w:t>
      </w:r>
    </w:p>
    <w:p w14:paraId="79404A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Получен материал по влиянию профиля на характеристику крыла со щитком.</w:t>
      </w:r>
    </w:p>
    <w:p w14:paraId="326C3B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Получен материал по шарнирным моментам щитков с компенсацией и без компенсации.</w:t>
      </w:r>
    </w:p>
    <w:p w14:paraId="7D264E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Проведена большая работа по исследованиям в трубе и в полете, в связи с подготовкой рекордного полета самолета РД.</w:t>
      </w:r>
    </w:p>
    <w:p w14:paraId="41954D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этой работой спректирована и изготовлена специальная месскамера для замера траектории взлета и посадки самолета.</w:t>
      </w:r>
    </w:p>
    <w:p w14:paraId="17C2C7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Проведен анализ и расчет по вопросу о применении профиля Р2 самолета, РД, показавший преимущества этого профиля перед профилем, примененным на самолете РД.</w:t>
      </w:r>
    </w:p>
    <w:p w14:paraId="266E6A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Проведено исследование об особенностях самолета с разрезным крылом, осуществляющим полет на поляре по сгибающей. В этой работе показана возможность значительного увеличения дальности за счет применения нежесткого крыла с большим удлинением и с большой нагрузкой на кв. метр при условии осуществления полета на поляре по сгибающей.</w:t>
      </w:r>
    </w:p>
    <w:p w14:paraId="750605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По вопросу прочности винтов проведено предварительное исследование о совместном действии изгиба и кручения. Разработаны формулы для определения центра изгиба для несимметричного профиля. вычислены координаты центра жесткости.</w:t>
      </w:r>
    </w:p>
    <w:p w14:paraId="032077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Проведена работа по выработке рациональной схемы расчета винта на прочность. Написана статья, в коей дается стандартная схема расчета винта на прочность.</w:t>
      </w:r>
    </w:p>
    <w:p w14:paraId="0F9EED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Проведена работа по исследованию взаимного влияния винта и самолета. В сданной в печать статье дается метод учета взаимного влияния винта и тела вращения, основанной на теории Локка. Даны формулы для расчета поляры крыла с учетом влияния винта и рассмотрен вопрос о наивыгоднейшем выносе винта перед крылом.</w:t>
      </w:r>
    </w:p>
    <w:p w14:paraId="5F0903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Проведено исследование экономичности полета самолета с винтом с измененным в полете шагом. Разработан метод расчета и дана оценка винта с изменяемым шагом с точки зрения экономичности полета.</w:t>
      </w:r>
    </w:p>
    <w:p w14:paraId="77E8FB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Выпущен ряд новых оригинальных приборов, обеспечивающих дальнейшее развертывание и углубление испытаний в трубе и в полете. К ним относятся:</w:t>
      </w:r>
    </w:p>
    <w:p w14:paraId="4013E3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Точный барограф.</w:t>
      </w:r>
    </w:p>
    <w:p w14:paraId="561C82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Жирограф 3-х компонентный.</w:t>
      </w:r>
    </w:p>
    <w:p w14:paraId="1EC621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Акселерограф 3-х компонентный.</w:t>
      </w:r>
    </w:p>
    <w:p w14:paraId="31F9E8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3-х компонентный аргоновый самописец.</w:t>
      </w:r>
    </w:p>
    <w:p w14:paraId="5B4979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Месскамера.</w:t>
      </w:r>
    </w:p>
    <w:p w14:paraId="2CD621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Электрический динамометр для измерения усилий по тросам.</w:t>
      </w:r>
    </w:p>
    <w:p w14:paraId="2DC5A2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Электрический указатель отклонения рулей.</w:t>
      </w:r>
    </w:p>
    <w:p w14:paraId="11F839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Винтовой прибор.</w:t>
      </w:r>
    </w:p>
    <w:p w14:paraId="7ABF1E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Фотосамописец пульсаций давления7</w:t>
      </w:r>
    </w:p>
    <w:p w14:paraId="111523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Указатель малых скоростей.</w:t>
      </w:r>
    </w:p>
    <w:p w14:paraId="72F1AA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Баровакууметр.</w:t>
      </w:r>
    </w:p>
    <w:p w14:paraId="3C398B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Впервые осуществлены летные исследования. Проведено 59 подъемов на самолетах ТБ-3 и Р-5, давшие обильный материал по исследованию деформаций крыла и оперения а полете. проведена работа по исследованию и уничтожению вибраций фюзеляжа ТБ-3.</w:t>
      </w:r>
    </w:p>
    <w:p w14:paraId="06A47E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Результатом работы по выработке методики расчета крыла с несущей обшивкой явилось:</w:t>
      </w:r>
    </w:p>
    <w:p w14:paraId="6FA416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Экспериментальная проверка степени точности расчета по различным методам, давшая определенные преимущества методу контуров;</w:t>
      </w:r>
    </w:p>
    <w:p w14:paraId="04F32B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Выработанный вновь метод учета влияния жесткости заделки корневого сечения;</w:t>
      </w:r>
    </w:p>
    <w:p w14:paraId="7FD279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Создание базы для дальнейшего уточнения и обобщения метода контуров;</w:t>
      </w:r>
    </w:p>
    <w:p w14:paraId="488FF0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Математическое упрощение в применении метода контуров, сокращающее затраты на расчет почти в два раза.</w:t>
      </w:r>
    </w:p>
    <w:p w14:paraId="550453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Практически разработанный метод расчета крыла с гладкой обшивкой.</w:t>
      </w:r>
    </w:p>
    <w:p w14:paraId="21FBDF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Ряд разрабатываемых тем, охватывающих исследование работы отдельных элементов конструкции фюзеляжа МОНОКОК с целью наиболее рационального выбора размера этих элементов, дает уже возможность взять на себя руководство проектированием опытного рационального конструирования фюзеляжа КОК.</w:t>
      </w:r>
    </w:p>
    <w:p w14:paraId="56C966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Разработан полностью и внедрен в производство весь технологический процесс изготовления тензометров Хугганбергера. В результате прецизионная мастерская освоила производство этих тензометров, ранее получавшихся из-за границы. В 1934 году выпущено мастерской 21 экз. тензометров, качественно не уступающих импортным. Каждый из выпущенных тензометров дал экономию валюты более 100 руб. золотом.</w:t>
      </w:r>
    </w:p>
    <w:p w14:paraId="076399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Выпущена серия манометров, тензометров и перегрузочных приборов, обеспечивающих высококачественную работу при испытании самолетов в натуру.</w:t>
      </w:r>
    </w:p>
    <w:p w14:paraId="1307D3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Разработана методика и аппаратура, дающая возможность устранения вибрации самолета, путем определения и изменения колебания системы в условиях резонанса. На машине МДР-4 эта методика полностью себя оправдала.</w:t>
      </w:r>
    </w:p>
    <w:p w14:paraId="2E3C59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Создана методика и закончены первые самоходные испытания глиссеров, которые открывают широкую перспективу изучения взаимного влияния корпуса глиссера и винта и тем самым дают средства улучшения ходовых качеств глиссера.</w:t>
      </w:r>
    </w:p>
    <w:p w14:paraId="5C4F11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 Сконструирован пеленгатор-отметчик, являющийся единственным прибором позволяющим заснять маневрирование быстроходных судов и гидросамолетов.</w:t>
      </w:r>
    </w:p>
    <w:p w14:paraId="607176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 Изготовлен волномер, позволяющий записывать волновую морскую характеристику.</w:t>
      </w:r>
    </w:p>
    <w:p w14:paraId="7BD1FA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 Разрешен ряд вопросов расширяющих теоретико-экспериментальную базу методов гидродинамических расчетов глиссеров и гидросамолетов.</w:t>
      </w:r>
    </w:p>
    <w:p w14:paraId="419208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 Проведен значительный объем экспериментальных работ по торпедам и водоизмещающим судам.</w:t>
      </w:r>
    </w:p>
    <w:p w14:paraId="1A58B3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w:t>
      </w:r>
    </w:p>
    <w:p w14:paraId="57FD5A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Главное управление авиационной промышленности постановляет: научно-исследовательскую и производственную деятельность ЦАГИ признать вполне удовлетворительной, отметив, что неудовлетворительная работа по линии финансово-хозяйственной деятельности имевшая место в 1933 году не выправлена и постановления Совета по отчетности НКТП в этой части не выполнены.</w:t>
      </w:r>
    </w:p>
    <w:p w14:paraId="2D945A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III.</w:t>
      </w:r>
    </w:p>
    <w:p w14:paraId="2F60EE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Предложить начальнику ЦАГИ:</w:t>
      </w:r>
    </w:p>
    <w:p w14:paraId="34B872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Принять все меры для полного устранения отставания в распространении научных трудов ЦАГИ и ускорения внедрения имеющихся достижений.</w:t>
      </w:r>
    </w:p>
    <w:p w14:paraId="23120B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Прекратить всякое расходование средств сверх установленных лимитов (2336,90).</w:t>
      </w:r>
    </w:p>
    <w:p w14:paraId="06517571" w14:textId="77777777" w:rsidR="00D4105E" w:rsidRPr="00E14102" w:rsidRDefault="00D4105E" w:rsidP="00E14102">
      <w:pPr>
        <w:autoSpaceDE w:val="0"/>
        <w:autoSpaceDN w:val="0"/>
        <w:adjustRightInd w:val="0"/>
        <w:jc w:val="both"/>
        <w:rPr>
          <w:color w:val="000000" w:themeColor="text1"/>
          <w:sz w:val="16"/>
          <w:szCs w:val="16"/>
        </w:rPr>
      </w:pPr>
    </w:p>
    <w:p w14:paraId="7E132E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марта 1935 ГУАП принял постановление по годовому отчету ЦАГИ за 1934, направленное письмом У-ФО N 552/1219 (1024,69).</w:t>
      </w:r>
    </w:p>
    <w:p w14:paraId="40E790F6" w14:textId="77777777" w:rsidR="00D4105E" w:rsidRPr="00E14102" w:rsidRDefault="00D4105E" w:rsidP="00E14102">
      <w:pPr>
        <w:autoSpaceDE w:val="0"/>
        <w:autoSpaceDN w:val="0"/>
        <w:adjustRightInd w:val="0"/>
        <w:jc w:val="both"/>
        <w:rPr>
          <w:color w:val="000000" w:themeColor="text1"/>
          <w:sz w:val="16"/>
          <w:szCs w:val="16"/>
        </w:rPr>
      </w:pPr>
    </w:p>
    <w:p w14:paraId="0EB117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марта 1935 года начальник НТУ Зоншайн писал письмо начальнику ГУ ГВФ Ткачеву И.Ф.</w:t>
      </w:r>
    </w:p>
    <w:p w14:paraId="3ACFB2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Краткий доклад о работе НТУ</w:t>
      </w:r>
    </w:p>
    <w:p w14:paraId="4D0007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Самолетный НИИ занят в настоящее время намеченными планом на 1935 год работами по опытному самолетостроению и обеспечению тематики 1935 года по эксплуатационным работам. Основным для ГВФ объектом по опытному самолетостроению является самолет Сталь-7 – 2-моторный, ночной транспортный самолет. По линии эксплуатации главными работами являются государственные и эксплуатационные испытания и введение в строй той материальной части, которая модернизируется или вновь идет на снабжение ГВФ.</w:t>
      </w:r>
    </w:p>
    <w:p w14:paraId="152532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 авиадвигателей продолжает в 1935 году работы по опытным моторам, из которых основными является семья моторов МГ (31, 21, 11).</w:t>
      </w:r>
    </w:p>
    <w:p w14:paraId="4F13DE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Эксплуатационному отделу проводится работа по усовершенствованию технической эксплуатации моторов в части создания новых агрегатов, обеспечивающих бесперебойную работу моторов в холодных и жарких условиях, по введению в эксплуатацию новых топлив и масел и по разработке всех необходимых инструктивных материалов для технической эксплуатации.</w:t>
      </w:r>
    </w:p>
    <w:p w14:paraId="483FF5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 спецслужб в 1935 году в основном занят эксплуатационной доработкой объектов, которые были созданы в 1934 году. К ним относится аппаратура по слепой посадке по радио, коротковолновая пеленгация, устройство единого радиоцентра, передвижная посадочная автомобильная станция, автоматическая светомаячная установка и т.п.</w:t>
      </w:r>
    </w:p>
    <w:p w14:paraId="58AFED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Украинский НИИ УНИАДИ проводит работу по созданию авиационных дизелей. Основной работой является АД-1 (самолетный дизель с проектной мощностью 600 л.с.), который в настоящее время проходит успешно испытания на станке и примерно в середине апреля, это испытание должно быть в первом приближении закончено. Вторая работа – создание двухтактного дирижабельного дизеля начата проектированием.</w:t>
      </w:r>
    </w:p>
    <w:p w14:paraId="702A53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Технологическая лаборатория ГВФ – изыскание новых методов создания высокосортных материалов. Занимается практическим обеспечением ГВФ в области электросварки путем создания соответствующей сварочной и контрольной аппаратуры (7728, 189-192).</w:t>
      </w:r>
    </w:p>
    <w:p w14:paraId="22D051E6" w14:textId="77777777" w:rsidR="00D4105E" w:rsidRPr="00E14102" w:rsidRDefault="00D4105E" w:rsidP="00E14102">
      <w:pPr>
        <w:autoSpaceDE w:val="0"/>
        <w:autoSpaceDN w:val="0"/>
        <w:adjustRightInd w:val="0"/>
        <w:jc w:val="both"/>
        <w:rPr>
          <w:color w:val="000000" w:themeColor="text1"/>
          <w:sz w:val="16"/>
          <w:szCs w:val="16"/>
        </w:rPr>
      </w:pPr>
    </w:p>
    <w:p w14:paraId="2CE2A6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марта 1935 вышло постановление СТО N С-22с "О создании комиссии для установления цен на самолетно-моторное имущество по заказам 1935." (2398,20).</w:t>
      </w:r>
    </w:p>
    <w:p w14:paraId="0E1723C0" w14:textId="77777777" w:rsidR="00D4105E" w:rsidRPr="00E14102" w:rsidRDefault="00D4105E" w:rsidP="00E14102">
      <w:pPr>
        <w:autoSpaceDE w:val="0"/>
        <w:autoSpaceDN w:val="0"/>
        <w:adjustRightInd w:val="0"/>
        <w:jc w:val="both"/>
        <w:rPr>
          <w:color w:val="000000" w:themeColor="text1"/>
          <w:sz w:val="16"/>
          <w:szCs w:val="16"/>
        </w:rPr>
      </w:pPr>
    </w:p>
    <w:p w14:paraId="28C33E2A" w14:textId="77777777" w:rsidR="00765C54" w:rsidRPr="00E14102" w:rsidRDefault="00765C54" w:rsidP="00E14102">
      <w:pPr>
        <w:pStyle w:val="rtejustify"/>
        <w:spacing w:before="0" w:after="0"/>
        <w:rPr>
          <w:color w:val="000000" w:themeColor="text1"/>
          <w:sz w:val="16"/>
          <w:szCs w:val="16"/>
        </w:rPr>
      </w:pPr>
      <w:r w:rsidRPr="00E14102">
        <w:rPr>
          <w:rStyle w:val="a6"/>
          <w:bCs/>
          <w:i w:val="0"/>
          <w:color w:val="000000" w:themeColor="text1"/>
          <w:sz w:val="16"/>
          <w:szCs w:val="16"/>
        </w:rPr>
        <w:lastRenderedPageBreak/>
        <w:t>11 марта</w:t>
      </w:r>
      <w:r w:rsidRPr="00E14102">
        <w:rPr>
          <w:color w:val="000000" w:themeColor="text1"/>
          <w:sz w:val="16"/>
          <w:szCs w:val="16"/>
        </w:rPr>
        <w:t xml:space="preserve"> 1935. Постановление СТО СССР № С</w:t>
      </w:r>
      <w:r w:rsidRPr="00E14102">
        <w:rPr>
          <w:color w:val="000000" w:themeColor="text1"/>
          <w:sz w:val="16"/>
          <w:szCs w:val="16"/>
        </w:rPr>
        <w:noBreakHyphen/>
        <w:t>22с «О создании комиссии для установления цен на самолето-моторное имущество по заказам 1935 г.». (ГА РФ. Ф. Р</w:t>
      </w:r>
      <w:r w:rsidRPr="00E14102">
        <w:rPr>
          <w:color w:val="000000" w:themeColor="text1"/>
          <w:sz w:val="16"/>
          <w:szCs w:val="16"/>
        </w:rPr>
        <w:noBreakHyphen/>
        <w:t>8418. Оп. 28. Д. 6. Л. 49) (15460).</w:t>
      </w:r>
    </w:p>
    <w:p w14:paraId="65349AB0" w14:textId="77777777" w:rsidR="00765C54" w:rsidRPr="00E14102" w:rsidRDefault="00765C54" w:rsidP="00E14102">
      <w:pPr>
        <w:pStyle w:val="rtejustify"/>
        <w:spacing w:before="0" w:after="0"/>
        <w:rPr>
          <w:color w:val="000000" w:themeColor="text1"/>
          <w:sz w:val="16"/>
          <w:szCs w:val="16"/>
        </w:rPr>
      </w:pPr>
    </w:p>
    <w:p w14:paraId="2E1F2C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марта 1935 в Тушино организовали ЦАК им А.В.Косырева (2628,5).</w:t>
      </w:r>
    </w:p>
    <w:p w14:paraId="7CEAC272" w14:textId="77777777" w:rsidR="00D4105E" w:rsidRPr="00E14102" w:rsidRDefault="00D4105E" w:rsidP="00E14102">
      <w:pPr>
        <w:autoSpaceDE w:val="0"/>
        <w:autoSpaceDN w:val="0"/>
        <w:adjustRightInd w:val="0"/>
        <w:jc w:val="both"/>
        <w:rPr>
          <w:color w:val="000000" w:themeColor="text1"/>
          <w:sz w:val="16"/>
          <w:szCs w:val="16"/>
        </w:rPr>
      </w:pPr>
    </w:p>
    <w:p w14:paraId="55327E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- 11 (62,691) 1935 на Тушинском был основан Центральный аэроклуб им. А.В.Косарева (74,74) им. В.П.Чкалова (237,173).</w:t>
      </w:r>
    </w:p>
    <w:p w14:paraId="0D32CF60" w14:textId="77777777" w:rsidR="00D4105E" w:rsidRPr="00E14102" w:rsidRDefault="00D4105E" w:rsidP="00E14102">
      <w:pPr>
        <w:autoSpaceDE w:val="0"/>
        <w:autoSpaceDN w:val="0"/>
        <w:adjustRightInd w:val="0"/>
        <w:jc w:val="both"/>
        <w:rPr>
          <w:color w:val="000000" w:themeColor="text1"/>
          <w:sz w:val="16"/>
          <w:szCs w:val="16"/>
        </w:rPr>
      </w:pPr>
    </w:p>
    <w:p w14:paraId="714A5A82" w14:textId="77777777" w:rsidR="00765C54" w:rsidRPr="00E14102" w:rsidRDefault="00765C54" w:rsidP="00E14102">
      <w:pPr>
        <w:jc w:val="both"/>
        <w:rPr>
          <w:color w:val="000000" w:themeColor="text1"/>
          <w:sz w:val="16"/>
          <w:szCs w:val="16"/>
        </w:rPr>
      </w:pPr>
      <w:r w:rsidRPr="00E14102">
        <w:rPr>
          <w:bCs/>
          <w:color w:val="000000" w:themeColor="text1"/>
          <w:sz w:val="16"/>
          <w:szCs w:val="16"/>
        </w:rPr>
        <w:t>11 марта</w:t>
      </w:r>
      <w:r w:rsidRPr="00E14102">
        <w:rPr>
          <w:color w:val="000000" w:themeColor="text1"/>
          <w:sz w:val="16"/>
          <w:szCs w:val="16"/>
        </w:rPr>
        <w:t xml:space="preserve"> в 1935 году был создан Центральный аэроклуб СССР (позже ЦАК имени В.П.Чкалова; с 1991 г. - Национальный аэроклуб России). С 1935 г. действительный член Международной авиационной федерации. с 1991 г. - Национальный аэроклуб России (в сентябре принят в члены ФАИ). Берёт начало с марта 1908 г., когда указом Его императорского Величества был учрежден Всероссийский императорский аэроклуб (15065).</w:t>
      </w:r>
    </w:p>
    <w:p w14:paraId="4C7F15C0" w14:textId="77777777" w:rsidR="00765C54" w:rsidRPr="00E14102" w:rsidRDefault="00765C54" w:rsidP="00E14102">
      <w:pPr>
        <w:jc w:val="both"/>
        <w:rPr>
          <w:color w:val="000000" w:themeColor="text1"/>
          <w:sz w:val="16"/>
          <w:szCs w:val="16"/>
        </w:rPr>
      </w:pPr>
    </w:p>
    <w:p w14:paraId="09D6AA51" w14:textId="77777777" w:rsidR="00CF0558" w:rsidRPr="00E14102" w:rsidRDefault="00CF0558" w:rsidP="00E14102">
      <w:pPr>
        <w:jc w:val="both"/>
        <w:rPr>
          <w:color w:val="0070C0"/>
          <w:sz w:val="16"/>
          <w:szCs w:val="16"/>
        </w:rPr>
      </w:pPr>
      <w:r w:rsidRPr="00E14102">
        <w:rPr>
          <w:color w:val="0070C0"/>
          <w:sz w:val="16"/>
          <w:szCs w:val="16"/>
        </w:rPr>
        <w:t>11 марта 1935 г. на Тушинском аэродроме был создан Центральный аэроклу</w:t>
      </w:r>
      <w:r w:rsidRPr="00E14102">
        <w:rPr>
          <w:color w:val="0070C0"/>
          <w:sz w:val="16"/>
          <w:szCs w:val="16"/>
        </w:rPr>
        <w:softHyphen/>
        <w:t>б (ЦАК) СССР. В июне 1935 г. ЦАК СССР при</w:t>
      </w:r>
      <w:r w:rsidRPr="00E14102">
        <w:rPr>
          <w:color w:val="0070C0"/>
          <w:sz w:val="16"/>
          <w:szCs w:val="16"/>
        </w:rPr>
        <w:softHyphen/>
        <w:t>своили имя Александра Васильевича Косарева, генерального секретаря ЦК ВЛКСМ, что отрази</w:t>
      </w:r>
      <w:r w:rsidRPr="00E14102">
        <w:rPr>
          <w:color w:val="0070C0"/>
          <w:sz w:val="16"/>
          <w:szCs w:val="16"/>
        </w:rPr>
        <w:softHyphen/>
        <w:t>ло заслуги комсомола в развитии авиационного и воздухоплавательного дела в стране. 28 декабря 1938 г., когда А.В. Косарев стал жертвой репрес</w:t>
      </w:r>
      <w:r w:rsidRPr="00E14102">
        <w:rPr>
          <w:color w:val="0070C0"/>
          <w:sz w:val="16"/>
          <w:szCs w:val="16"/>
        </w:rPr>
        <w:softHyphen/>
        <w:t>сий, аэроклуб получил имя выдающегося совет</w:t>
      </w:r>
      <w:r w:rsidRPr="00E14102">
        <w:rPr>
          <w:color w:val="0070C0"/>
          <w:sz w:val="16"/>
          <w:szCs w:val="16"/>
        </w:rPr>
        <w:softHyphen/>
        <w:t>ского лётчика В.П. Чкалова (20120).</w:t>
      </w:r>
    </w:p>
    <w:p w14:paraId="0B50941C" w14:textId="77777777" w:rsidR="00CF0558" w:rsidRPr="00E14102" w:rsidRDefault="00CF0558" w:rsidP="00E14102">
      <w:pPr>
        <w:jc w:val="both"/>
        <w:rPr>
          <w:color w:val="0070C0"/>
          <w:sz w:val="16"/>
          <w:szCs w:val="16"/>
        </w:rPr>
      </w:pPr>
    </w:p>
    <w:p w14:paraId="2D4EAFDE" w14:textId="77777777" w:rsidR="00CF0558" w:rsidRPr="00E14102" w:rsidRDefault="00CF0558" w:rsidP="00E14102">
      <w:pPr>
        <w:shd w:val="clear" w:color="auto" w:fill="FFFFFF"/>
        <w:jc w:val="both"/>
        <w:textAlignment w:val="baseline"/>
        <w:rPr>
          <w:color w:val="0070C0"/>
          <w:sz w:val="16"/>
          <w:szCs w:val="16"/>
        </w:rPr>
      </w:pPr>
      <w:r w:rsidRPr="00E14102">
        <w:rPr>
          <w:color w:val="0070C0"/>
          <w:sz w:val="16"/>
          <w:szCs w:val="16"/>
        </w:rPr>
        <w:t>11 марта 1935 года Центрального аэроклуба (ЦАК) СССР. В июне 1935 года аэроклубу было присвоено имя руководителя советских комсомольцев А.В. Косарева. В сентябре 1935 года ЦАК был принят членом FAI (21249).</w:t>
      </w:r>
    </w:p>
    <w:p w14:paraId="3EBDAC3E" w14:textId="77777777" w:rsidR="00CF0558" w:rsidRPr="00E14102" w:rsidRDefault="00CF0558" w:rsidP="00E14102">
      <w:pPr>
        <w:jc w:val="both"/>
        <w:rPr>
          <w:color w:val="0070C0"/>
          <w:sz w:val="16"/>
          <w:szCs w:val="16"/>
        </w:rPr>
      </w:pPr>
    </w:p>
    <w:p w14:paraId="0D85A323" w14:textId="77777777" w:rsidR="00CF0558" w:rsidRPr="00E14102" w:rsidRDefault="00CF0558" w:rsidP="00E14102">
      <w:pPr>
        <w:jc w:val="both"/>
        <w:rPr>
          <w:color w:val="0070C0"/>
          <w:sz w:val="16"/>
          <w:szCs w:val="16"/>
        </w:rPr>
      </w:pPr>
      <w:r w:rsidRPr="00E14102">
        <w:rPr>
          <w:color w:val="0070C0"/>
          <w:sz w:val="16"/>
          <w:szCs w:val="16"/>
        </w:rPr>
        <w:t>11 марта 1935 года Конференция авиационного актива и представителей Московских организаций учредила ЦАК СССР, утвердив его устав, обсудила ближайшие задачи ЦАК и избрала руководящие органы – правление и совет клуба. Его первым начальником стал комбриг М. Дейч (Центр авиационного спорта/ Сост. Н.Г. Балакин, А.Д. Винокуров, Н.Я. Гладков. М.: Издат-во ДОСААФ СССР, 1989. С. 4-5, 6).</w:t>
      </w:r>
    </w:p>
    <w:p w14:paraId="5AD03CAC" w14:textId="77777777" w:rsidR="00CF0558" w:rsidRPr="00E14102" w:rsidRDefault="00CF0558" w:rsidP="00E14102">
      <w:pPr>
        <w:jc w:val="both"/>
        <w:rPr>
          <w:color w:val="0070C0"/>
          <w:sz w:val="16"/>
          <w:szCs w:val="16"/>
        </w:rPr>
      </w:pPr>
      <w:r w:rsidRPr="00E14102">
        <w:rPr>
          <w:color w:val="0070C0"/>
          <w:sz w:val="16"/>
          <w:szCs w:val="16"/>
        </w:rPr>
        <w:t>Учредителями ЦАК стали ЦК ВЛКСМ, ЦС Осоавиахима и президиум ВЦСПС. В клуб входили 69 предприятий и учреждений Москвы в качестве юридических членов, которые объединили 3.500 индивидуальных членов. Центральный аэроклуб (ЦАК), созданный по постановлению ЦС Осоавиахима и ЦК ВЛКСМ на базе Центральной летно-технической школы и ВПШ. Для этого были построены здания, расширен аэродром.</w:t>
      </w:r>
    </w:p>
    <w:p w14:paraId="01B46CDA" w14:textId="77777777" w:rsidR="00CF0558" w:rsidRPr="00E14102" w:rsidRDefault="00CF0558" w:rsidP="00E14102">
      <w:pPr>
        <w:jc w:val="both"/>
        <w:rPr>
          <w:color w:val="0070C0"/>
          <w:sz w:val="16"/>
          <w:szCs w:val="16"/>
        </w:rPr>
      </w:pPr>
      <w:r w:rsidRPr="00E14102">
        <w:rPr>
          <w:color w:val="0070C0"/>
          <w:sz w:val="16"/>
          <w:szCs w:val="16"/>
        </w:rPr>
        <w:t>За 7 месяцев 1935 года в ЦАК было совершено около 2.000 полетов, произведено более 2.000 парашютных прыжков с самолетов, подготовлено свыше 400 парашютистов и обучалось 752 парашютиста. В клубе был сформирован экспериментально-тренировочный парашютный отряд, в задачу которого входили экспериментальные парашютные прыжки и систематическая углубленная тренировочная работа. В главном здании аэроклуба были оборудованы кабинеты по направлениям деятельности, в том числе парашютный. За короткий срок ЦАК организовал и провел ряд авиапраздников и массовок, в которых участвовало около 200.000 трудящихся. Знаменательным событием стало посещение ЦАК 12 июля 1935 года членами Политбюро ЦК ВКП(б) во главе с И.В. Сталиным, а 6 августа клуб посетили делегаты конгресса Коминтерна. Полеты летчиков и прыжки парашютистов получили высокую оценку и одобрение руководителей страны (Из отчета о работе Центрального аэроклуба им. Косарева за январь-август 1935 г. // РГАСПИ. Ф.М – 1. Оп. 23. Д. 1137. Л. 30.). Председатель Исполкома Коминтерна Г. Димитров сказал: «Крылатая страна воспитывает крылатых храбрецов» (Гости о слете // Красная Звезда. 1935. 8 августа. С. 4). (21402).</w:t>
      </w:r>
    </w:p>
    <w:p w14:paraId="01C09CEC" w14:textId="77777777" w:rsidR="00CF0558" w:rsidRPr="00E14102" w:rsidRDefault="00CF0558" w:rsidP="00E14102">
      <w:pPr>
        <w:jc w:val="both"/>
        <w:rPr>
          <w:color w:val="0070C0"/>
          <w:sz w:val="16"/>
          <w:szCs w:val="16"/>
        </w:rPr>
      </w:pPr>
    </w:p>
    <w:p w14:paraId="42724F9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66398AA" w14:textId="77777777" w:rsidR="00D4105E" w:rsidRPr="00E14102" w:rsidRDefault="00D4105E" w:rsidP="00E14102">
      <w:pPr>
        <w:autoSpaceDE w:val="0"/>
        <w:autoSpaceDN w:val="0"/>
        <w:adjustRightInd w:val="0"/>
        <w:jc w:val="both"/>
        <w:rPr>
          <w:iCs/>
          <w:color w:val="000000" w:themeColor="text1"/>
          <w:sz w:val="16"/>
          <w:szCs w:val="16"/>
        </w:rPr>
      </w:pPr>
    </w:p>
    <w:p w14:paraId="25E47891" w14:textId="77777777" w:rsidR="00765C54" w:rsidRPr="00E14102" w:rsidRDefault="00765C54" w:rsidP="00E14102">
      <w:pPr>
        <w:pStyle w:val="rtejustify"/>
        <w:spacing w:before="0" w:after="0"/>
        <w:rPr>
          <w:color w:val="000000" w:themeColor="text1"/>
          <w:sz w:val="16"/>
          <w:szCs w:val="16"/>
        </w:rPr>
      </w:pPr>
      <w:r w:rsidRPr="00E14102">
        <w:rPr>
          <w:rStyle w:val="a6"/>
          <w:bCs/>
          <w:i w:val="0"/>
          <w:color w:val="000000" w:themeColor="text1"/>
          <w:sz w:val="16"/>
          <w:szCs w:val="16"/>
        </w:rPr>
        <w:t>11 марта</w:t>
      </w:r>
      <w:r w:rsidRPr="00E14102">
        <w:rPr>
          <w:color w:val="000000" w:themeColor="text1"/>
          <w:sz w:val="16"/>
          <w:szCs w:val="16"/>
        </w:rPr>
        <w:t xml:space="preserve"> 1935. Постановление СТО СССР № С</w:t>
      </w:r>
      <w:r w:rsidRPr="00E14102">
        <w:rPr>
          <w:color w:val="000000" w:themeColor="text1"/>
          <w:sz w:val="16"/>
          <w:szCs w:val="16"/>
        </w:rPr>
        <w:noBreakHyphen/>
        <w:t>25сс «О лейнировании артиллерийских систем». (ГА РФ. Ф. Р</w:t>
      </w:r>
      <w:r w:rsidRPr="00E14102">
        <w:rPr>
          <w:color w:val="000000" w:themeColor="text1"/>
          <w:sz w:val="16"/>
          <w:szCs w:val="16"/>
        </w:rPr>
        <w:noBreakHyphen/>
        <w:t>8418. Оп. 28. Д. 6. Л. 54) (15460).</w:t>
      </w:r>
    </w:p>
    <w:p w14:paraId="48F21F1A" w14:textId="77777777" w:rsidR="00765C54" w:rsidRPr="00E14102" w:rsidRDefault="00765C54" w:rsidP="00E14102">
      <w:pPr>
        <w:pStyle w:val="rtejustify"/>
        <w:spacing w:before="0" w:after="0"/>
        <w:rPr>
          <w:color w:val="000000" w:themeColor="text1"/>
          <w:sz w:val="16"/>
          <w:szCs w:val="16"/>
        </w:rPr>
      </w:pPr>
    </w:p>
    <w:p w14:paraId="0BA00CC7" w14:textId="77777777" w:rsidR="00765C54" w:rsidRPr="00E14102" w:rsidRDefault="00765C54" w:rsidP="00E14102">
      <w:pPr>
        <w:pStyle w:val="rtejustify"/>
        <w:spacing w:before="0" w:after="0"/>
        <w:rPr>
          <w:color w:val="000000" w:themeColor="text1"/>
          <w:sz w:val="16"/>
          <w:szCs w:val="16"/>
        </w:rPr>
      </w:pPr>
      <w:r w:rsidRPr="00E14102">
        <w:rPr>
          <w:rStyle w:val="a6"/>
          <w:bCs/>
          <w:i w:val="0"/>
          <w:color w:val="000000" w:themeColor="text1"/>
          <w:sz w:val="16"/>
          <w:szCs w:val="16"/>
        </w:rPr>
        <w:t>11 марта 1935 вышел приказ НКТП № 37с.</w:t>
      </w:r>
      <w:r w:rsidRPr="00E14102">
        <w:rPr>
          <w:color w:val="000000" w:themeColor="text1"/>
          <w:sz w:val="16"/>
          <w:szCs w:val="16"/>
        </w:rPr>
        <w:t xml:space="preserve"> О мероприятиях по выполнению заказов НКО на предметы вооружения и боевого снаряжения в 1935 г. (РГАЭ. Ф. 7297. Оп. 38. Д. 171. Л. 62</w:t>
      </w:r>
      <w:r w:rsidRPr="00E14102">
        <w:rPr>
          <w:color w:val="000000" w:themeColor="text1"/>
          <w:sz w:val="16"/>
          <w:szCs w:val="16"/>
        </w:rPr>
        <w:noBreakHyphen/>
        <w:t>60) (15246).</w:t>
      </w:r>
    </w:p>
    <w:p w14:paraId="1616EA17" w14:textId="77777777" w:rsidR="00765C54" w:rsidRPr="00E14102" w:rsidRDefault="00765C54" w:rsidP="00E14102">
      <w:pPr>
        <w:pStyle w:val="rtejustify"/>
        <w:spacing w:before="0" w:after="0"/>
        <w:rPr>
          <w:color w:val="000000" w:themeColor="text1"/>
          <w:sz w:val="16"/>
          <w:szCs w:val="16"/>
        </w:rPr>
      </w:pPr>
    </w:p>
    <w:p w14:paraId="081F25E3" w14:textId="77777777" w:rsidR="00765C54" w:rsidRPr="00E14102" w:rsidRDefault="00765C54" w:rsidP="00E14102">
      <w:pPr>
        <w:pStyle w:val="rtejustify"/>
        <w:spacing w:before="0" w:after="0"/>
        <w:rPr>
          <w:color w:val="000000" w:themeColor="text1"/>
          <w:sz w:val="16"/>
          <w:szCs w:val="16"/>
        </w:rPr>
      </w:pPr>
      <w:r w:rsidRPr="00E14102">
        <w:rPr>
          <w:rStyle w:val="a6"/>
          <w:bCs/>
          <w:i w:val="0"/>
          <w:color w:val="000000" w:themeColor="text1"/>
          <w:sz w:val="16"/>
          <w:szCs w:val="16"/>
        </w:rPr>
        <w:t>11 марта 1935 вышел приказ НКТП № 38с.</w:t>
      </w:r>
      <w:r w:rsidRPr="00E14102">
        <w:rPr>
          <w:color w:val="000000" w:themeColor="text1"/>
          <w:sz w:val="16"/>
          <w:szCs w:val="16"/>
        </w:rPr>
        <w:t xml:space="preserve"> О порядке подачи отчетности о выполнении заказов НКО СССР и НКВД СССР начальниками главных управлений НКТП СССР. (РГАЭ. Ф. 7297. Оп. 38. Д. 171. Л. 63) (15246).</w:t>
      </w:r>
    </w:p>
    <w:p w14:paraId="2DFD2B6A" w14:textId="77777777" w:rsidR="00765C54" w:rsidRPr="00E14102" w:rsidRDefault="00765C54" w:rsidP="00E14102">
      <w:pPr>
        <w:pStyle w:val="rtejustify"/>
        <w:spacing w:before="0" w:after="0"/>
        <w:rPr>
          <w:color w:val="000000" w:themeColor="text1"/>
          <w:sz w:val="16"/>
          <w:szCs w:val="16"/>
        </w:rPr>
      </w:pPr>
    </w:p>
    <w:p w14:paraId="647752F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 марта 1935 г. были утверждены и развернутые 111 на про</w:t>
      </w:r>
      <w:r w:rsidRPr="00E14102">
        <w:rPr>
          <w:color w:val="000000" w:themeColor="text1"/>
          <w:sz w:val="16"/>
          <w:szCs w:val="16"/>
        </w:rPr>
        <w:softHyphen/>
        <w:t>ект «легкой самоходно-артиллерийской установки с 45-мм противотанковой пушкой на шасси Т-37А».</w:t>
      </w:r>
    </w:p>
    <w:p w14:paraId="50B6457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Предусматривалось выполнение проекта в двух вариан</w:t>
      </w:r>
      <w:r w:rsidRPr="00E14102">
        <w:rPr>
          <w:color w:val="000000" w:themeColor="text1"/>
          <w:sz w:val="16"/>
          <w:szCs w:val="16"/>
        </w:rPr>
        <w:softHyphen/>
        <w:t>тах, с использованием шасси танка Т-37А без переделок и разработка спецшасси на базе узлов шасси танка Т-37А. В развернутых ТТТ на САУ, имевшую индекс СУ-Т-37, или СУ-37, в частности, говорилось:</w:t>
      </w:r>
    </w:p>
    <w:p w14:paraId="7B94A6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iCs/>
          <w:color w:val="000000" w:themeColor="text1"/>
          <w:sz w:val="16"/>
          <w:szCs w:val="16"/>
        </w:rPr>
        <w:t>«Вес установки в боевом положении не должен превы</w:t>
      </w:r>
      <w:r w:rsidRPr="00E14102">
        <w:rPr>
          <w:iCs/>
          <w:color w:val="000000" w:themeColor="text1"/>
          <w:sz w:val="16"/>
          <w:szCs w:val="16"/>
        </w:rPr>
        <w:softHyphen/>
        <w:t>шать 3000 кг. Тактико-технические свойства СУ должны быть не ниже, чем у Т-37...</w:t>
      </w:r>
    </w:p>
    <w:p w14:paraId="10D775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iCs/>
          <w:color w:val="000000" w:themeColor="text1"/>
          <w:sz w:val="16"/>
          <w:szCs w:val="16"/>
        </w:rPr>
        <w:t>Для самоходной установки использовать 45-мм проти</w:t>
      </w:r>
      <w:r w:rsidRPr="00E14102">
        <w:rPr>
          <w:iCs/>
          <w:color w:val="000000" w:themeColor="text1"/>
          <w:sz w:val="16"/>
          <w:szCs w:val="16"/>
        </w:rPr>
        <w:softHyphen/>
        <w:t>вотанковое орудие вместе с верхним станком, прицелом и механизмами его наведения... Высота линии огня должна быть не свыше 1200мм, углы обстрела: по вертикали -8 +25 град., по горизонтали — 30 градусов в каждую из сторон.</w:t>
      </w:r>
    </w:p>
    <w:p w14:paraId="34C878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iCs/>
          <w:color w:val="000000" w:themeColor="text1"/>
          <w:sz w:val="16"/>
          <w:szCs w:val="16"/>
        </w:rPr>
        <w:t>Самоходная установка должна иметь щит, не препятст</w:t>
      </w:r>
      <w:r w:rsidRPr="00E14102">
        <w:rPr>
          <w:iCs/>
          <w:color w:val="000000" w:themeColor="text1"/>
          <w:sz w:val="16"/>
          <w:szCs w:val="16"/>
        </w:rPr>
        <w:softHyphen/>
        <w:t>вующий производить прямую наводку и прикрывать орудий</w:t>
      </w:r>
      <w:r w:rsidRPr="00E14102">
        <w:rPr>
          <w:iCs/>
          <w:color w:val="000000" w:themeColor="text1"/>
          <w:sz w:val="16"/>
          <w:szCs w:val="16"/>
        </w:rPr>
        <w:softHyphen/>
        <w:t>ный расчет спереди от пуль. С бортов расчет должен быть прикрыт до пояса 5-мм броней. В походном положении расчет должен быть прикрыт полностью, за исключением крыши.</w:t>
      </w:r>
    </w:p>
    <w:p w14:paraId="09B19CE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iCs/>
          <w:color w:val="000000" w:themeColor="text1"/>
          <w:sz w:val="16"/>
          <w:szCs w:val="16"/>
        </w:rPr>
        <w:t>Самоходная установка должна допускать стрельбу как с места, так и с хода под всеми углами и быть устойчивой при стрельбе. Экипаж установки — 3 человека.</w:t>
      </w:r>
    </w:p>
    <w:p w14:paraId="7DDC32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iCs/>
          <w:color w:val="000000" w:themeColor="text1"/>
          <w:sz w:val="16"/>
          <w:szCs w:val="16"/>
        </w:rPr>
        <w:t>Для самообороны предусмотреть укладку ручного пулеме</w:t>
      </w:r>
      <w:r w:rsidRPr="00E14102">
        <w:rPr>
          <w:iCs/>
          <w:color w:val="000000" w:themeColor="text1"/>
          <w:sz w:val="16"/>
          <w:szCs w:val="16"/>
        </w:rPr>
        <w:softHyphen/>
        <w:t>та ДП. Боекомплект не менее 50 снарядов и 1000 патронов».</w:t>
      </w:r>
    </w:p>
    <w:p w14:paraId="038F7B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проектные работы затянулись, и к окончанию перво</w:t>
      </w:r>
      <w:r w:rsidRPr="00E14102">
        <w:rPr>
          <w:color w:val="000000" w:themeColor="text1"/>
          <w:sz w:val="16"/>
          <w:szCs w:val="16"/>
        </w:rPr>
        <w:softHyphen/>
        <w:t>го этапа проектных работ выяснилось, что проект неприго</w:t>
      </w:r>
      <w:r w:rsidRPr="00E14102">
        <w:rPr>
          <w:color w:val="000000" w:themeColor="text1"/>
          <w:sz w:val="16"/>
          <w:szCs w:val="16"/>
        </w:rPr>
        <w:softHyphen/>
        <w:t>ден к серийному производству, так как шасси и трансмиссия Т-37 снимается с производства. Переработку проекта САУ вел конструктор И. Архаров. Он столкнулся с тем, что масса САУ получается чрезмерной, что требовало отказаться от ее плавучести. Согласование этого изменения еще отодвинуло срок исполнения, и только 10 ноября 1935 г. он был рассмо</w:t>
      </w:r>
      <w:r w:rsidRPr="00E14102">
        <w:rPr>
          <w:color w:val="000000" w:themeColor="text1"/>
          <w:sz w:val="16"/>
          <w:szCs w:val="16"/>
        </w:rPr>
        <w:softHyphen/>
        <w:t>трен на заседании макетной комиссии АБТУ РККА.</w:t>
      </w:r>
    </w:p>
    <w:p w14:paraId="327AC60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Понятно, что проект сильно отличался от задания. Во-первых, базой. САУ теперь базировалась на ходовой части танка Т-38, от которого также заимствовались двигатель, бортовые фрикционы, приводы управления, электрообору</w:t>
      </w:r>
      <w:r w:rsidRPr="00E14102">
        <w:rPr>
          <w:color w:val="000000" w:themeColor="text1"/>
          <w:sz w:val="16"/>
          <w:szCs w:val="16"/>
        </w:rPr>
        <w:softHyphen/>
        <w:t>дование и ряд иных узлов. В качестве вооружения использо</w:t>
      </w:r>
      <w:r w:rsidRPr="00E14102">
        <w:rPr>
          <w:color w:val="000000" w:themeColor="text1"/>
          <w:sz w:val="16"/>
          <w:szCs w:val="16"/>
        </w:rPr>
        <w:softHyphen/>
        <w:t>валась 45-мм противотанковая пушка обр. 1932 г. с верхним станком, прицельными приспособлениями и механизмом наводки практически без изменений. Орудие было установ</w:t>
      </w:r>
      <w:r w:rsidRPr="00E14102">
        <w:rPr>
          <w:color w:val="000000" w:themeColor="text1"/>
          <w:sz w:val="16"/>
          <w:szCs w:val="16"/>
        </w:rPr>
        <w:softHyphen/>
        <w:t>лено в передней части машины, а двигатель размещался по</w:t>
      </w:r>
      <w:r w:rsidRPr="00E14102">
        <w:rPr>
          <w:color w:val="000000" w:themeColor="text1"/>
          <w:sz w:val="16"/>
          <w:szCs w:val="16"/>
        </w:rPr>
        <w:softHyphen/>
        <w:t>перек корпуса машины в ее кормовой части. Боекомплект к пушке в количестве 50 выстрелов помещался вдоль бортов корпуса САУ. Механик-водитель (бывший также наводчи</w:t>
      </w:r>
      <w:r w:rsidRPr="00E14102">
        <w:rPr>
          <w:color w:val="000000" w:themeColor="text1"/>
          <w:sz w:val="16"/>
          <w:szCs w:val="16"/>
        </w:rPr>
        <w:softHyphen/>
        <w:t>ком орудия) размещался слева по ходу машины. В ходе об</w:t>
      </w:r>
      <w:r w:rsidRPr="00E14102">
        <w:rPr>
          <w:color w:val="000000" w:themeColor="text1"/>
          <w:sz w:val="16"/>
          <w:szCs w:val="16"/>
        </w:rPr>
        <w:softHyphen/>
        <w:t>суждения проекта главным требованием было освободить по возможности механика-водителя от функций наводчика, для чего пересадить его с левой стороны на правую.</w:t>
      </w:r>
    </w:p>
    <w:p w14:paraId="2B0C51E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Тут же были оговорены и вопросы изготовления опытно</w:t>
      </w:r>
      <w:r w:rsidRPr="00E14102">
        <w:rPr>
          <w:color w:val="000000" w:themeColor="text1"/>
          <w:sz w:val="16"/>
          <w:szCs w:val="16"/>
        </w:rPr>
        <w:softHyphen/>
        <w:t>го образца для проведения испытаний, но главное — маши</w:t>
      </w:r>
      <w:r w:rsidRPr="00E14102">
        <w:rPr>
          <w:color w:val="000000" w:themeColor="text1"/>
          <w:sz w:val="16"/>
          <w:szCs w:val="16"/>
        </w:rPr>
        <w:softHyphen/>
        <w:t>на поменяла свое имя. Теперь в документах АБТУ она име</w:t>
      </w:r>
      <w:r w:rsidRPr="00E14102">
        <w:rPr>
          <w:color w:val="000000" w:themeColor="text1"/>
          <w:sz w:val="16"/>
          <w:szCs w:val="16"/>
        </w:rPr>
        <w:softHyphen/>
        <w:t>новалась СУ-45. Также в заключении оговаривался крайний срок изготовления опытного образца - 1 января 1936 г.</w:t>
      </w:r>
    </w:p>
    <w:p w14:paraId="12AE4C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 и этот срок не был выдержан. Лишь весной 1936 г. СУ-45 был передан на испытания, причем изготовленная машина значительно отличалась от одобренного макета.</w:t>
      </w:r>
    </w:p>
    <w:p w14:paraId="43BF7E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Несмотря на решение комиссии, механик-водитель был размещен все-таки слева от оси машины, а на правой стороне появилась шаровая установка пулемета ДТ. Из-за пожелания использовать штатные укладки 45-мм выстре</w:t>
      </w:r>
      <w:r w:rsidRPr="00E14102">
        <w:rPr>
          <w:color w:val="000000" w:themeColor="text1"/>
          <w:sz w:val="16"/>
          <w:szCs w:val="16"/>
        </w:rPr>
        <w:softHyphen/>
        <w:t>лов танка Т-26 и увеличения высоты бортов масса СУ-45 значительно превысила заданную и достигла 4300 кг. Это привело к необходимости усиления ходовой части. Умень</w:t>
      </w:r>
      <w:r w:rsidRPr="00E14102">
        <w:rPr>
          <w:color w:val="000000" w:themeColor="text1"/>
          <w:sz w:val="16"/>
          <w:szCs w:val="16"/>
        </w:rPr>
        <w:softHyphen/>
        <w:t>шилось расстояние между тележками подвески, и было до</w:t>
      </w:r>
      <w:r w:rsidRPr="00E14102">
        <w:rPr>
          <w:color w:val="000000" w:themeColor="text1"/>
          <w:sz w:val="16"/>
          <w:szCs w:val="16"/>
        </w:rPr>
        <w:softHyphen/>
        <w:t>бавлено по одному опорному катку с каждого борта (11417).</w:t>
      </w:r>
    </w:p>
    <w:p w14:paraId="246BB52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31147C6" w14:textId="77777777" w:rsidR="00765C54" w:rsidRPr="00E14102" w:rsidRDefault="00765C54" w:rsidP="00E14102">
      <w:pPr>
        <w:pStyle w:val="rtejustify"/>
        <w:spacing w:before="0" w:after="0"/>
        <w:rPr>
          <w:color w:val="000000" w:themeColor="text1"/>
          <w:sz w:val="16"/>
          <w:szCs w:val="16"/>
        </w:rPr>
      </w:pPr>
      <w:r w:rsidRPr="00E14102">
        <w:rPr>
          <w:rStyle w:val="a6"/>
          <w:bCs/>
          <w:i w:val="0"/>
          <w:color w:val="000000" w:themeColor="text1"/>
          <w:sz w:val="16"/>
          <w:szCs w:val="16"/>
        </w:rPr>
        <w:t>11 марта 1935 вышел приказ НКТП № 39с.</w:t>
      </w:r>
      <w:r w:rsidRPr="00E14102">
        <w:rPr>
          <w:color w:val="000000" w:themeColor="text1"/>
          <w:sz w:val="16"/>
          <w:szCs w:val="16"/>
        </w:rPr>
        <w:t xml:space="preserve"> О мероприятиях по обеспечению опытного производства Д</w:t>
      </w:r>
      <w:r w:rsidRPr="00E14102">
        <w:rPr>
          <w:color w:val="000000" w:themeColor="text1"/>
          <w:sz w:val="16"/>
          <w:szCs w:val="16"/>
        </w:rPr>
        <w:noBreakHyphen/>
        <w:t>4 по заводам «Двигатель» и «Двигательстрой». (РГАЭ. Ф. 7297. Оп. 38. Д. 171. Л. 66</w:t>
      </w:r>
      <w:r w:rsidRPr="00E14102">
        <w:rPr>
          <w:color w:val="000000" w:themeColor="text1"/>
          <w:sz w:val="16"/>
          <w:szCs w:val="16"/>
        </w:rPr>
        <w:noBreakHyphen/>
        <w:t>65) (15246).</w:t>
      </w:r>
    </w:p>
    <w:p w14:paraId="58FB5005" w14:textId="77777777" w:rsidR="00765C54" w:rsidRPr="00E14102" w:rsidRDefault="00765C54" w:rsidP="00E14102">
      <w:pPr>
        <w:pStyle w:val="rtejustify"/>
        <w:spacing w:before="0" w:after="0"/>
        <w:rPr>
          <w:color w:val="000000" w:themeColor="text1"/>
          <w:sz w:val="16"/>
          <w:szCs w:val="16"/>
        </w:rPr>
      </w:pPr>
    </w:p>
    <w:p w14:paraId="3C39A888" w14:textId="77777777" w:rsidR="00765C54" w:rsidRPr="00E14102" w:rsidRDefault="00765C54" w:rsidP="00E14102">
      <w:pPr>
        <w:pStyle w:val="rtejustify"/>
        <w:spacing w:before="0" w:after="0"/>
        <w:rPr>
          <w:color w:val="000000" w:themeColor="text1"/>
          <w:sz w:val="16"/>
          <w:szCs w:val="16"/>
        </w:rPr>
      </w:pPr>
      <w:r w:rsidRPr="00E14102">
        <w:rPr>
          <w:rStyle w:val="a6"/>
          <w:bCs/>
          <w:i w:val="0"/>
          <w:color w:val="000000" w:themeColor="text1"/>
          <w:sz w:val="16"/>
          <w:szCs w:val="16"/>
        </w:rPr>
        <w:t>11 марта</w:t>
      </w:r>
      <w:r w:rsidRPr="00E14102">
        <w:rPr>
          <w:color w:val="000000" w:themeColor="text1"/>
          <w:sz w:val="16"/>
          <w:szCs w:val="16"/>
        </w:rPr>
        <w:t xml:space="preserve"> 1935. Постановление СТО СССР № С</w:t>
      </w:r>
      <w:r w:rsidRPr="00E14102">
        <w:rPr>
          <w:color w:val="000000" w:themeColor="text1"/>
          <w:sz w:val="16"/>
          <w:szCs w:val="16"/>
        </w:rPr>
        <w:noBreakHyphen/>
        <w:t>24сс «Об изменении плана заказов НКО по судостроению на 1935 г.». (ГА РФ. Ф. Р</w:t>
      </w:r>
      <w:r w:rsidRPr="00E14102">
        <w:rPr>
          <w:color w:val="000000" w:themeColor="text1"/>
          <w:sz w:val="16"/>
          <w:szCs w:val="16"/>
        </w:rPr>
        <w:noBreakHyphen/>
        <w:t>8418. Оп. 28. Д. 6. Л. 53) (15460).</w:t>
      </w:r>
    </w:p>
    <w:p w14:paraId="0B0345A6" w14:textId="77777777" w:rsidR="00765C54" w:rsidRPr="00E14102" w:rsidRDefault="00765C54" w:rsidP="00E14102">
      <w:pPr>
        <w:pStyle w:val="rtejustify"/>
        <w:spacing w:before="0" w:after="0"/>
        <w:rPr>
          <w:color w:val="000000" w:themeColor="text1"/>
          <w:sz w:val="16"/>
          <w:szCs w:val="16"/>
        </w:rPr>
      </w:pPr>
    </w:p>
    <w:p w14:paraId="1793956C" w14:textId="77777777" w:rsidR="00765C54" w:rsidRPr="00E14102" w:rsidRDefault="00765C54" w:rsidP="00E14102">
      <w:pPr>
        <w:pStyle w:val="rtejustify"/>
        <w:spacing w:before="0" w:after="0"/>
        <w:rPr>
          <w:color w:val="000000" w:themeColor="text1"/>
          <w:sz w:val="16"/>
          <w:szCs w:val="16"/>
        </w:rPr>
      </w:pPr>
      <w:r w:rsidRPr="00E14102">
        <w:rPr>
          <w:rStyle w:val="a6"/>
          <w:bCs/>
          <w:i w:val="0"/>
          <w:color w:val="000000" w:themeColor="text1"/>
          <w:sz w:val="16"/>
          <w:szCs w:val="16"/>
        </w:rPr>
        <w:t>11 марта 1935 вышел приказ НКО №</w:t>
      </w:r>
      <w:r w:rsidRPr="00E14102">
        <w:rPr>
          <w:color w:val="000000" w:themeColor="text1"/>
          <w:sz w:val="16"/>
          <w:szCs w:val="16"/>
        </w:rPr>
        <w:t> 042. Об исключении из состава MC РККА подводных лодок Б</w:t>
      </w:r>
      <w:r w:rsidRPr="00E14102">
        <w:rPr>
          <w:color w:val="000000" w:themeColor="text1"/>
          <w:sz w:val="16"/>
          <w:szCs w:val="16"/>
        </w:rPr>
        <w:noBreakHyphen/>
        <w:t>1, Б</w:t>
      </w:r>
      <w:r w:rsidRPr="00E14102">
        <w:rPr>
          <w:color w:val="000000" w:themeColor="text1"/>
          <w:sz w:val="16"/>
          <w:szCs w:val="16"/>
        </w:rPr>
        <w:noBreakHyphen/>
        <w:t>5, Б</w:t>
      </w:r>
      <w:r w:rsidRPr="00E14102">
        <w:rPr>
          <w:color w:val="000000" w:themeColor="text1"/>
          <w:sz w:val="16"/>
          <w:szCs w:val="16"/>
        </w:rPr>
        <w:noBreakHyphen/>
        <w:t>6 (15247).</w:t>
      </w:r>
    </w:p>
    <w:p w14:paraId="13D818D8" w14:textId="060C7E72" w:rsidR="00765C54" w:rsidRPr="00E14102" w:rsidRDefault="00765C54" w:rsidP="00E14102">
      <w:pPr>
        <w:pStyle w:val="rtejustify"/>
        <w:spacing w:before="0" w:after="0"/>
        <w:rPr>
          <w:color w:val="000000" w:themeColor="text1"/>
          <w:sz w:val="16"/>
          <w:szCs w:val="16"/>
        </w:rPr>
      </w:pPr>
    </w:p>
    <w:p w14:paraId="285B92B7" w14:textId="3FFB84DC" w:rsidR="00CF0558" w:rsidRPr="00E14102" w:rsidRDefault="00CF0558" w:rsidP="00E14102">
      <w:pPr>
        <w:pStyle w:val="rtejustify"/>
        <w:spacing w:before="0" w:after="0"/>
        <w:rPr>
          <w:i/>
          <w:iCs/>
          <w:color w:val="000000" w:themeColor="text1"/>
          <w:sz w:val="16"/>
          <w:szCs w:val="16"/>
        </w:rPr>
      </w:pPr>
      <w:r w:rsidRPr="00E14102">
        <w:rPr>
          <w:i/>
          <w:iCs/>
          <w:color w:val="000000" w:themeColor="text1"/>
          <w:sz w:val="16"/>
          <w:szCs w:val="16"/>
        </w:rPr>
        <w:t>Внешняя политика:</w:t>
      </w:r>
    </w:p>
    <w:p w14:paraId="26592A51" w14:textId="77777777" w:rsidR="00CF0558" w:rsidRPr="00E14102" w:rsidRDefault="00CF0558" w:rsidP="00E14102">
      <w:pPr>
        <w:pStyle w:val="rtejustify"/>
        <w:spacing w:before="0" w:after="0"/>
        <w:rPr>
          <w:i/>
          <w:iCs/>
          <w:color w:val="000000" w:themeColor="text1"/>
          <w:sz w:val="16"/>
          <w:szCs w:val="16"/>
        </w:rPr>
      </w:pPr>
    </w:p>
    <w:p w14:paraId="3D296D3B" w14:textId="77777777" w:rsidR="00CF0558" w:rsidRPr="00E14102" w:rsidRDefault="00CF0558" w:rsidP="00E14102">
      <w:pPr>
        <w:jc w:val="both"/>
        <w:rPr>
          <w:color w:val="0070C0"/>
          <w:sz w:val="16"/>
          <w:szCs w:val="16"/>
        </w:rPr>
      </w:pPr>
      <w:r w:rsidRPr="00E14102">
        <w:rPr>
          <w:color w:val="0070C0"/>
          <w:sz w:val="16"/>
          <w:szCs w:val="16"/>
        </w:rPr>
        <w:t>11 марта 1935 г.</w:t>
      </w:r>
    </w:p>
    <w:p w14:paraId="79503E0E" w14:textId="77777777" w:rsidR="00CF0558" w:rsidRPr="00E14102" w:rsidRDefault="00CF0558" w:rsidP="00E14102">
      <w:pPr>
        <w:jc w:val="both"/>
        <w:rPr>
          <w:color w:val="0070C0"/>
          <w:sz w:val="16"/>
          <w:szCs w:val="16"/>
        </w:rPr>
      </w:pPr>
      <w:r w:rsidRPr="00E14102">
        <w:rPr>
          <w:color w:val="0070C0"/>
          <w:sz w:val="16"/>
          <w:szCs w:val="16"/>
        </w:rPr>
        <w:t>Записка А.П. Розенголъца в Политбюро ЦК ВКП(б) И.В. Сталину о торговых переговорах с Италией</w:t>
      </w:r>
    </w:p>
    <w:p w14:paraId="1669A62F" w14:textId="77777777" w:rsidR="00CF0558" w:rsidRPr="00E14102" w:rsidRDefault="00CF0558" w:rsidP="00E14102">
      <w:pPr>
        <w:jc w:val="both"/>
        <w:rPr>
          <w:color w:val="0070C0"/>
          <w:sz w:val="16"/>
          <w:szCs w:val="16"/>
        </w:rPr>
      </w:pPr>
      <w:r w:rsidRPr="00E14102">
        <w:rPr>
          <w:color w:val="0070C0"/>
          <w:sz w:val="16"/>
          <w:szCs w:val="16"/>
        </w:rPr>
        <w:t>11 марта 1935 г.</w:t>
      </w:r>
    </w:p>
    <w:p w14:paraId="6E191FBB" w14:textId="77777777" w:rsidR="00CF0558" w:rsidRPr="00E14102" w:rsidRDefault="00CF0558" w:rsidP="00E14102">
      <w:pPr>
        <w:jc w:val="both"/>
        <w:rPr>
          <w:color w:val="0070C0"/>
          <w:sz w:val="16"/>
          <w:szCs w:val="16"/>
        </w:rPr>
      </w:pPr>
      <w:r w:rsidRPr="00E14102">
        <w:rPr>
          <w:color w:val="0070C0"/>
          <w:sz w:val="16"/>
          <w:szCs w:val="16"/>
        </w:rPr>
        <w:t>Сов. секретно</w:t>
      </w:r>
    </w:p>
    <w:p w14:paraId="54E32DC9" w14:textId="77777777" w:rsidR="00CF0558" w:rsidRPr="00E14102" w:rsidRDefault="00CF0558" w:rsidP="00E14102">
      <w:pPr>
        <w:jc w:val="both"/>
        <w:rPr>
          <w:color w:val="0070C0"/>
          <w:sz w:val="16"/>
          <w:szCs w:val="16"/>
        </w:rPr>
      </w:pPr>
      <w:r w:rsidRPr="00E14102">
        <w:rPr>
          <w:color w:val="0070C0"/>
          <w:sz w:val="16"/>
          <w:szCs w:val="16"/>
        </w:rPr>
        <w:lastRenderedPageBreak/>
        <w:t>Экз. № 1</w:t>
      </w:r>
    </w:p>
    <w:p w14:paraId="2A6064BE" w14:textId="77777777" w:rsidR="00CF0558" w:rsidRPr="00E14102" w:rsidRDefault="00CF0558" w:rsidP="00E14102">
      <w:pPr>
        <w:jc w:val="both"/>
        <w:rPr>
          <w:color w:val="0070C0"/>
          <w:sz w:val="16"/>
          <w:szCs w:val="16"/>
        </w:rPr>
      </w:pPr>
      <w:r w:rsidRPr="00E14102">
        <w:rPr>
          <w:color w:val="0070C0"/>
          <w:sz w:val="16"/>
          <w:szCs w:val="16"/>
        </w:rPr>
        <w:t>В Политбюро ЦК ВКП(б)</w:t>
      </w:r>
    </w:p>
    <w:p w14:paraId="4F059601" w14:textId="77777777" w:rsidR="00CF0558" w:rsidRPr="00E14102" w:rsidRDefault="00CF0558" w:rsidP="00E14102">
      <w:pPr>
        <w:jc w:val="both"/>
        <w:rPr>
          <w:color w:val="0070C0"/>
          <w:sz w:val="16"/>
          <w:szCs w:val="16"/>
        </w:rPr>
      </w:pPr>
      <w:r w:rsidRPr="00E14102">
        <w:rPr>
          <w:color w:val="0070C0"/>
          <w:sz w:val="16"/>
          <w:szCs w:val="16"/>
        </w:rPr>
        <w:t>тов. Сталину</w:t>
      </w:r>
    </w:p>
    <w:p w14:paraId="24587B0F" w14:textId="77777777" w:rsidR="00CF0558" w:rsidRPr="00E14102" w:rsidRDefault="00CF0558" w:rsidP="00E14102">
      <w:pPr>
        <w:jc w:val="both"/>
        <w:rPr>
          <w:color w:val="0070C0"/>
          <w:sz w:val="16"/>
          <w:szCs w:val="16"/>
        </w:rPr>
      </w:pPr>
      <w:r w:rsidRPr="00E14102">
        <w:rPr>
          <w:color w:val="0070C0"/>
          <w:sz w:val="16"/>
          <w:szCs w:val="16"/>
        </w:rPr>
        <w:t>О торговом соглашении с Италией</w:t>
      </w:r>
    </w:p>
    <w:p w14:paraId="7175A7FE" w14:textId="77777777" w:rsidR="00CF0558" w:rsidRPr="00E14102" w:rsidRDefault="00CF0558" w:rsidP="00E14102">
      <w:pPr>
        <w:jc w:val="both"/>
        <w:rPr>
          <w:color w:val="0070C0"/>
          <w:sz w:val="16"/>
          <w:szCs w:val="16"/>
        </w:rPr>
      </w:pPr>
      <w:r w:rsidRPr="00E14102">
        <w:rPr>
          <w:color w:val="0070C0"/>
          <w:sz w:val="16"/>
          <w:szCs w:val="16"/>
        </w:rPr>
        <w:t>Итальянцы не хотят и (по соображениям своей торговой политики), по-видимому. не могут дать открыто необходимое нам превышение экспорта над импортом.</w:t>
      </w:r>
    </w:p>
    <w:p w14:paraId="49BAA84B" w14:textId="77777777" w:rsidR="00CF0558" w:rsidRPr="00E14102" w:rsidRDefault="00CF0558" w:rsidP="00E14102">
      <w:pPr>
        <w:jc w:val="both"/>
        <w:rPr>
          <w:color w:val="0070C0"/>
          <w:sz w:val="16"/>
          <w:szCs w:val="16"/>
        </w:rPr>
      </w:pPr>
      <w:r w:rsidRPr="00E14102">
        <w:rPr>
          <w:color w:val="0070C0"/>
          <w:sz w:val="16"/>
          <w:szCs w:val="16"/>
        </w:rPr>
        <w:t>Но если мы в принципе согласимся на нетто-баланс (в чем они по соображениям общей своей торговой политики на ближайшее время особо заинтересованы), они могут пойти на предоставление нам скрытого толеранса.</w:t>
      </w:r>
    </w:p>
    <w:p w14:paraId="18D72A2D" w14:textId="77777777" w:rsidR="00CF0558" w:rsidRPr="00E14102" w:rsidRDefault="00CF0558" w:rsidP="00E14102">
      <w:pPr>
        <w:jc w:val="both"/>
        <w:rPr>
          <w:color w:val="0070C0"/>
          <w:sz w:val="16"/>
          <w:szCs w:val="16"/>
        </w:rPr>
      </w:pPr>
      <w:r w:rsidRPr="00E14102">
        <w:rPr>
          <w:color w:val="0070C0"/>
          <w:sz w:val="16"/>
          <w:szCs w:val="16"/>
        </w:rPr>
        <w:t>Завтра, 12 марта, предстоят переговоры о торговом соглашении.</w:t>
      </w:r>
    </w:p>
    <w:p w14:paraId="1179CD87" w14:textId="77777777" w:rsidR="00CF0558" w:rsidRPr="00E14102" w:rsidRDefault="00CF0558" w:rsidP="00E14102">
      <w:pPr>
        <w:jc w:val="both"/>
        <w:rPr>
          <w:color w:val="0070C0"/>
          <w:sz w:val="16"/>
          <w:szCs w:val="16"/>
        </w:rPr>
      </w:pPr>
      <w:r w:rsidRPr="00E14102">
        <w:rPr>
          <w:color w:val="0070C0"/>
          <w:sz w:val="16"/>
          <w:szCs w:val="16"/>
        </w:rPr>
        <w:t>Прошу дать согласие на отправление прилагаемой телеграммы</w:t>
      </w:r>
    </w:p>
    <w:p w14:paraId="08CE6AF8" w14:textId="77777777" w:rsidR="00CF0558" w:rsidRPr="00E14102" w:rsidRDefault="00CF0558" w:rsidP="00E14102">
      <w:pPr>
        <w:jc w:val="both"/>
        <w:rPr>
          <w:color w:val="0070C0"/>
          <w:sz w:val="16"/>
          <w:szCs w:val="16"/>
        </w:rPr>
      </w:pPr>
      <w:r w:rsidRPr="00E14102">
        <w:rPr>
          <w:color w:val="0070C0"/>
          <w:sz w:val="16"/>
          <w:szCs w:val="16"/>
        </w:rPr>
        <w:t>А. Розенгольц</w:t>
      </w:r>
    </w:p>
    <w:p w14:paraId="71EA6509" w14:textId="77777777" w:rsidR="00CF0558" w:rsidRPr="00E14102" w:rsidRDefault="00CF0558" w:rsidP="00E14102">
      <w:pPr>
        <w:jc w:val="both"/>
        <w:rPr>
          <w:color w:val="0070C0"/>
          <w:sz w:val="16"/>
          <w:szCs w:val="16"/>
        </w:rPr>
      </w:pPr>
      <w:r w:rsidRPr="00E14102">
        <w:rPr>
          <w:color w:val="0070C0"/>
          <w:sz w:val="16"/>
          <w:szCs w:val="16"/>
        </w:rPr>
        <w:t>АП РФ. Ф. 3. On. 65. Д. 245. Л. 7. Подлинник. Экз. И В. Сталина.</w:t>
      </w:r>
    </w:p>
    <w:p w14:paraId="48330C45" w14:textId="77777777" w:rsidR="00CF0558" w:rsidRPr="00E14102" w:rsidRDefault="00CF0558" w:rsidP="00E14102">
      <w:pPr>
        <w:jc w:val="both"/>
        <w:rPr>
          <w:color w:val="0070C0"/>
          <w:sz w:val="16"/>
          <w:szCs w:val="16"/>
        </w:rPr>
      </w:pPr>
      <w:r w:rsidRPr="00E14102">
        <w:rPr>
          <w:color w:val="0070C0"/>
          <w:sz w:val="16"/>
          <w:szCs w:val="16"/>
        </w:rPr>
        <w:t>Приложение</w:t>
      </w:r>
    </w:p>
    <w:p w14:paraId="696A9299" w14:textId="77777777" w:rsidR="00CF0558" w:rsidRPr="00E14102" w:rsidRDefault="00CF0558" w:rsidP="00E14102">
      <w:pPr>
        <w:jc w:val="both"/>
        <w:rPr>
          <w:color w:val="0070C0"/>
          <w:sz w:val="16"/>
          <w:szCs w:val="16"/>
        </w:rPr>
      </w:pPr>
      <w:r w:rsidRPr="00E14102">
        <w:rPr>
          <w:color w:val="0070C0"/>
          <w:sz w:val="16"/>
          <w:szCs w:val="16"/>
        </w:rPr>
        <w:t>Проект телеграммы НКВТ СССР торговому представителю СССР в Италии Б.С. Беленькому об условиях подписания торгового соглашения</w:t>
      </w:r>
    </w:p>
    <w:p w14:paraId="3886E820" w14:textId="77777777" w:rsidR="00CF0558" w:rsidRPr="00E14102" w:rsidRDefault="00CF0558" w:rsidP="00E14102">
      <w:pPr>
        <w:jc w:val="both"/>
        <w:rPr>
          <w:color w:val="0070C0"/>
          <w:sz w:val="16"/>
          <w:szCs w:val="16"/>
        </w:rPr>
      </w:pPr>
      <w:r w:rsidRPr="00E14102">
        <w:rPr>
          <w:color w:val="0070C0"/>
          <w:sz w:val="16"/>
          <w:szCs w:val="16"/>
        </w:rPr>
        <w:t>11 марта 1935 г.</w:t>
      </w:r>
    </w:p>
    <w:p w14:paraId="2A83E6B9" w14:textId="77777777" w:rsidR="00CF0558" w:rsidRPr="00E14102" w:rsidRDefault="00CF0558" w:rsidP="00E14102">
      <w:pPr>
        <w:jc w:val="both"/>
        <w:rPr>
          <w:color w:val="0070C0"/>
          <w:sz w:val="16"/>
          <w:szCs w:val="16"/>
        </w:rPr>
      </w:pPr>
      <w:r w:rsidRPr="00E14102">
        <w:rPr>
          <w:color w:val="0070C0"/>
          <w:sz w:val="16"/>
          <w:szCs w:val="16"/>
        </w:rPr>
        <w:t>Сов. секретно</w:t>
      </w:r>
    </w:p>
    <w:p w14:paraId="21370B8B" w14:textId="77777777" w:rsidR="00CF0558" w:rsidRPr="00E14102" w:rsidRDefault="00CF0558" w:rsidP="00E14102">
      <w:pPr>
        <w:jc w:val="both"/>
        <w:rPr>
          <w:color w:val="0070C0"/>
          <w:sz w:val="16"/>
          <w:szCs w:val="16"/>
        </w:rPr>
      </w:pPr>
      <w:r w:rsidRPr="00E14102">
        <w:rPr>
          <w:color w:val="0070C0"/>
          <w:sz w:val="16"/>
          <w:szCs w:val="16"/>
        </w:rPr>
        <w:t>Снятие копий воспрещается</w:t>
      </w:r>
    </w:p>
    <w:p w14:paraId="57C2A026" w14:textId="77777777" w:rsidR="00CF0558" w:rsidRPr="00E14102" w:rsidRDefault="00CF0558" w:rsidP="00E14102">
      <w:pPr>
        <w:jc w:val="both"/>
        <w:rPr>
          <w:color w:val="0070C0"/>
          <w:sz w:val="16"/>
          <w:szCs w:val="16"/>
        </w:rPr>
      </w:pPr>
      <w:r w:rsidRPr="00E14102">
        <w:rPr>
          <w:color w:val="0070C0"/>
          <w:sz w:val="16"/>
          <w:szCs w:val="16"/>
        </w:rPr>
        <w:t>Рим, Беленькому</w:t>
      </w:r>
    </w:p>
    <w:p w14:paraId="6086A4AC" w14:textId="77777777" w:rsidR="00CF0558" w:rsidRPr="00E14102" w:rsidRDefault="00CF0558" w:rsidP="00E14102">
      <w:pPr>
        <w:jc w:val="both"/>
        <w:rPr>
          <w:color w:val="0070C0"/>
          <w:sz w:val="16"/>
          <w:szCs w:val="16"/>
        </w:rPr>
      </w:pPr>
      <w:r w:rsidRPr="00E14102">
        <w:rPr>
          <w:color w:val="0070C0"/>
          <w:sz w:val="16"/>
          <w:szCs w:val="16"/>
        </w:rPr>
        <w:t>Копия Штейну</w:t>
      </w:r>
    </w:p>
    <w:p w14:paraId="286856A4" w14:textId="77777777" w:rsidR="00CF0558" w:rsidRPr="00E14102" w:rsidRDefault="00CF0558" w:rsidP="00E14102">
      <w:pPr>
        <w:jc w:val="both"/>
        <w:rPr>
          <w:color w:val="0070C0"/>
          <w:sz w:val="16"/>
          <w:szCs w:val="16"/>
        </w:rPr>
      </w:pPr>
      <w:r w:rsidRPr="00E14102">
        <w:rPr>
          <w:color w:val="0070C0"/>
          <w:sz w:val="16"/>
          <w:szCs w:val="16"/>
        </w:rPr>
        <w:t>Первое - Если нам будет обеспечен на срок с первого апреля 1935 г. по первое апреля 1936 г. скрытый толеранс в размере 9,5-10 миллионов рублей, согласны на установление в открытом соглашении соотношения один к одному.</w:t>
      </w:r>
    </w:p>
    <w:p w14:paraId="45D0AA98" w14:textId="77777777" w:rsidR="00CF0558" w:rsidRPr="00E14102" w:rsidRDefault="00CF0558" w:rsidP="00E14102">
      <w:pPr>
        <w:jc w:val="both"/>
        <w:rPr>
          <w:color w:val="0070C0"/>
          <w:sz w:val="16"/>
          <w:szCs w:val="16"/>
        </w:rPr>
      </w:pPr>
      <w:r w:rsidRPr="00E14102">
        <w:rPr>
          <w:color w:val="0070C0"/>
          <w:sz w:val="16"/>
          <w:szCs w:val="16"/>
        </w:rPr>
        <w:t>Второе - Надо использовать заинтересованность итальянцев в заключении соглашения на принципе нетто-баланса и постараться в переговорах 12 марта добиться фиксации всех основных элементов нужного нам скрытого толеранса.</w:t>
      </w:r>
    </w:p>
    <w:p w14:paraId="712D5AF6" w14:textId="77777777" w:rsidR="00CF0558" w:rsidRPr="00E14102" w:rsidRDefault="00CF0558" w:rsidP="00E14102">
      <w:pPr>
        <w:jc w:val="both"/>
        <w:rPr>
          <w:color w:val="0070C0"/>
          <w:sz w:val="16"/>
          <w:szCs w:val="16"/>
        </w:rPr>
      </w:pPr>
      <w:r w:rsidRPr="00E14102">
        <w:rPr>
          <w:color w:val="0070C0"/>
          <w:sz w:val="16"/>
          <w:szCs w:val="16"/>
        </w:rPr>
        <w:t>А. Розенгольц</w:t>
      </w:r>
    </w:p>
    <w:p w14:paraId="74079616" w14:textId="77777777" w:rsidR="00CF0558" w:rsidRPr="00E14102" w:rsidRDefault="00CF0558" w:rsidP="00E14102">
      <w:pPr>
        <w:jc w:val="both"/>
        <w:rPr>
          <w:color w:val="0070C0"/>
          <w:sz w:val="16"/>
          <w:szCs w:val="16"/>
        </w:rPr>
      </w:pPr>
      <w:r w:rsidRPr="00E14102">
        <w:rPr>
          <w:color w:val="0070C0"/>
          <w:sz w:val="16"/>
          <w:szCs w:val="16"/>
        </w:rPr>
        <w:t>Документ завизировал А.П. Розенгольц</w:t>
      </w:r>
    </w:p>
    <w:p w14:paraId="6215BA9C" w14:textId="77777777" w:rsidR="00CF0558" w:rsidRPr="00E14102" w:rsidRDefault="00CF0558" w:rsidP="00E14102">
      <w:pPr>
        <w:jc w:val="both"/>
        <w:rPr>
          <w:color w:val="0070C0"/>
          <w:sz w:val="16"/>
          <w:szCs w:val="16"/>
        </w:rPr>
      </w:pPr>
      <w:r w:rsidRPr="00E14102">
        <w:rPr>
          <w:color w:val="0070C0"/>
          <w:sz w:val="16"/>
          <w:szCs w:val="16"/>
        </w:rPr>
        <w:t>АП РФ. Ф. 3. On. 65. Д. 245. Л. 8. Заверенная копия.</w:t>
      </w:r>
    </w:p>
    <w:p w14:paraId="76A4CCCF" w14:textId="77777777" w:rsidR="00CF0558" w:rsidRPr="00E14102" w:rsidRDefault="00CF0558" w:rsidP="00E14102">
      <w:pPr>
        <w:jc w:val="both"/>
        <w:rPr>
          <w:color w:val="0070C0"/>
          <w:sz w:val="16"/>
          <w:szCs w:val="16"/>
        </w:rPr>
      </w:pPr>
      <w:r w:rsidRPr="00E14102">
        <w:rPr>
          <w:color w:val="0070C0"/>
          <w:sz w:val="16"/>
          <w:szCs w:val="16"/>
        </w:rPr>
        <w:t>Постаиовлеиие принято опросом. Заседание состоялось не ранее 3 января и не позднее J2 февраля 1935 г. (См.: Сталинское Политбюро в 30-5 годы. С.238). Выписки из протокола направлены Г.Д. Базилевичу, К.Е. Ворошилову, И.И. Мирошникову, А.Х. Артузову, И.Г. Брауну (21054).</w:t>
      </w:r>
    </w:p>
    <w:p w14:paraId="2B520EBF" w14:textId="77777777" w:rsidR="00CF0558" w:rsidRPr="00E14102" w:rsidRDefault="00CF0558" w:rsidP="00E14102">
      <w:pPr>
        <w:jc w:val="both"/>
        <w:rPr>
          <w:color w:val="0070C0"/>
          <w:sz w:val="16"/>
          <w:szCs w:val="16"/>
        </w:rPr>
      </w:pPr>
    </w:p>
    <w:p w14:paraId="643DCA5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18779F1" w14:textId="77777777" w:rsidR="00D4105E" w:rsidRPr="00E14102" w:rsidRDefault="00D4105E" w:rsidP="00E14102">
      <w:pPr>
        <w:autoSpaceDE w:val="0"/>
        <w:autoSpaceDN w:val="0"/>
        <w:adjustRightInd w:val="0"/>
        <w:jc w:val="both"/>
        <w:rPr>
          <w:iCs/>
          <w:color w:val="000000" w:themeColor="text1"/>
          <w:sz w:val="16"/>
          <w:szCs w:val="16"/>
        </w:rPr>
      </w:pPr>
    </w:p>
    <w:p w14:paraId="355DD756" w14:textId="77777777" w:rsidR="00845016" w:rsidRPr="00E14102" w:rsidRDefault="00845016" w:rsidP="00E14102">
      <w:pPr>
        <w:jc w:val="both"/>
        <w:rPr>
          <w:color w:val="000000" w:themeColor="text1"/>
          <w:sz w:val="16"/>
          <w:szCs w:val="16"/>
        </w:rPr>
      </w:pPr>
      <w:r w:rsidRPr="00E14102">
        <w:rPr>
          <w:bCs/>
          <w:color w:val="000000" w:themeColor="text1"/>
          <w:sz w:val="16"/>
          <w:szCs w:val="16"/>
        </w:rPr>
        <w:t>11 марта</w:t>
      </w:r>
      <w:r w:rsidRPr="00E14102">
        <w:rPr>
          <w:color w:val="000000" w:themeColor="text1"/>
          <w:sz w:val="16"/>
          <w:szCs w:val="16"/>
        </w:rPr>
        <w:t xml:space="preserve"> в 1935 году состоялся первый полет итальянского легкого многоцелевого самолета </w:t>
      </w:r>
      <w:hyperlink r:id="rId55" w:tgtFrame="_blank" w:history="1">
        <w:r w:rsidRPr="00E14102">
          <w:rPr>
            <w:color w:val="000000" w:themeColor="text1"/>
            <w:sz w:val="16"/>
            <w:szCs w:val="16"/>
          </w:rPr>
          <w:t xml:space="preserve">«P.M.3», </w:t>
        </w:r>
      </w:hyperlink>
      <w:r w:rsidRPr="00E14102">
        <w:rPr>
          <w:color w:val="000000" w:themeColor="text1"/>
          <w:sz w:val="16"/>
          <w:szCs w:val="16"/>
        </w:rPr>
        <w:t>оборудованного 5-ти цилиндровым двигателем «Farina» «T.58» мощностью 130 л.с (15065).</w:t>
      </w:r>
    </w:p>
    <w:p w14:paraId="6C1ACE57" w14:textId="77777777" w:rsidR="00845016" w:rsidRPr="00E14102" w:rsidRDefault="00845016" w:rsidP="00E14102">
      <w:pPr>
        <w:jc w:val="both"/>
        <w:rPr>
          <w:color w:val="000000" w:themeColor="text1"/>
          <w:sz w:val="16"/>
          <w:szCs w:val="16"/>
        </w:rPr>
      </w:pPr>
    </w:p>
    <w:p w14:paraId="5B6AC01D" w14:textId="77777777" w:rsidR="00845016" w:rsidRPr="00E14102" w:rsidRDefault="00845016" w:rsidP="00E14102">
      <w:pPr>
        <w:jc w:val="both"/>
        <w:rPr>
          <w:color w:val="000000" w:themeColor="text1"/>
          <w:sz w:val="16"/>
          <w:szCs w:val="16"/>
        </w:rPr>
      </w:pPr>
      <w:r w:rsidRPr="00E14102">
        <w:rPr>
          <w:bCs/>
          <w:color w:val="000000" w:themeColor="text1"/>
          <w:sz w:val="16"/>
          <w:szCs w:val="16"/>
        </w:rPr>
        <w:t>11 марта</w:t>
      </w:r>
      <w:r w:rsidRPr="00E14102">
        <w:rPr>
          <w:color w:val="000000" w:themeColor="text1"/>
          <w:sz w:val="16"/>
          <w:szCs w:val="16"/>
        </w:rPr>
        <w:t xml:space="preserve"> в 1935 году два первых опытных патрульных самолётов «Авро» «652А» (разработчик: «Avro», Великобритания), имевших собственные обозначения и имена: первый имел обозначение «G-ACRM» и собственное имя "Авалон" ("Avalon"), второй – «G-ACRN» «Аватар» («Avatar») (впоследствии просто «Ава») официально сдали "Империэл Эйруэйз", которая выпустила их на линию Кройдон-Бриндизи, где они летали до 1939 г. Потом "Авалон" и "Аву" продали компании "Эйр сервис трэйнинг" как учебные для подготовки пилотов гражданской авиации. В феврале 1941 г., уже в ходе войны, их реквизировали ВВС. Машины послужили в нескольких летных школах и даже некоторое время находились в боевой части - 811-й эскадрилье Берегового командования. На базе «Авро» «652А» в этом же году собрали его военный вариант – патрульный самолёт </w:t>
      </w:r>
      <w:hyperlink r:id="rId56" w:tgtFrame="_blank" w:history="1">
        <w:r w:rsidRPr="00E14102">
          <w:rPr>
            <w:color w:val="000000" w:themeColor="text1"/>
            <w:sz w:val="16"/>
            <w:szCs w:val="16"/>
          </w:rPr>
          <w:t xml:space="preserve">«Anson» </w:t>
        </w:r>
      </w:hyperlink>
      <w:r w:rsidRPr="00E14102">
        <w:rPr>
          <w:color w:val="000000" w:themeColor="text1"/>
          <w:sz w:val="16"/>
          <w:szCs w:val="16"/>
        </w:rPr>
        <w:t>с войсковым номером «К4771», отличавшийся громоздкой верхней турелью "Армстронг-Уитворт" ("Armstrong Whitwort") под пулемет "Льюис" ("Lewis") (oт бомбардировщика "Уитли"), круглыми иллюминаторами (вместо прямоугольных окон) и характерными "ребристыми" капотами моторов (вместо старых круглых) (15065).</w:t>
      </w:r>
    </w:p>
    <w:p w14:paraId="2958F094" w14:textId="77777777" w:rsidR="00845016" w:rsidRPr="00E14102" w:rsidRDefault="00845016" w:rsidP="00E14102">
      <w:pPr>
        <w:jc w:val="both"/>
        <w:rPr>
          <w:color w:val="000000" w:themeColor="text1"/>
          <w:sz w:val="16"/>
          <w:szCs w:val="16"/>
        </w:rPr>
      </w:pPr>
    </w:p>
    <w:p w14:paraId="541221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марта 1935 немецкие ВВС стали официальным органом Рейха (2100).</w:t>
      </w:r>
    </w:p>
    <w:p w14:paraId="56A1CCDF" w14:textId="77777777" w:rsidR="00D4105E" w:rsidRPr="00E14102" w:rsidRDefault="00D4105E" w:rsidP="00E14102">
      <w:pPr>
        <w:autoSpaceDE w:val="0"/>
        <w:autoSpaceDN w:val="0"/>
        <w:adjustRightInd w:val="0"/>
        <w:jc w:val="both"/>
        <w:rPr>
          <w:color w:val="000000" w:themeColor="text1"/>
          <w:sz w:val="16"/>
          <w:szCs w:val="16"/>
        </w:rPr>
      </w:pPr>
    </w:p>
    <w:p w14:paraId="183D72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марта 1935 Германия провозгласила о создании своих военно-воздушных сил (“Люфтваффе”) (4962).</w:t>
      </w:r>
    </w:p>
    <w:p w14:paraId="08629E3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A5C922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марта 1935 начал операции Банк Канады (4962).</w:t>
      </w:r>
    </w:p>
    <w:p w14:paraId="5C5EAFE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78F7921" w14:textId="77777777" w:rsidR="00BE6557" w:rsidRPr="00E14102" w:rsidRDefault="00BE6557"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626A7A7" w14:textId="77777777" w:rsidR="00BE6557" w:rsidRPr="00E14102" w:rsidRDefault="00BE6557" w:rsidP="00E14102">
      <w:pPr>
        <w:autoSpaceDE w:val="0"/>
        <w:autoSpaceDN w:val="0"/>
        <w:adjustRightInd w:val="0"/>
        <w:jc w:val="both"/>
        <w:rPr>
          <w:iCs/>
          <w:color w:val="000000" w:themeColor="text1"/>
          <w:sz w:val="16"/>
          <w:szCs w:val="16"/>
        </w:rPr>
      </w:pPr>
    </w:p>
    <w:p w14:paraId="63FA8224" w14:textId="77777777" w:rsidR="00BE6557" w:rsidRPr="00E14102" w:rsidRDefault="00BE6557" w:rsidP="00E14102">
      <w:pPr>
        <w:jc w:val="both"/>
        <w:rPr>
          <w:color w:val="000000" w:themeColor="text1"/>
          <w:sz w:val="16"/>
          <w:szCs w:val="16"/>
        </w:rPr>
      </w:pPr>
      <w:r w:rsidRPr="00E14102">
        <w:rPr>
          <w:color w:val="000000" w:themeColor="text1"/>
          <w:sz w:val="16"/>
          <w:szCs w:val="16"/>
        </w:rPr>
        <w:t xml:space="preserve">12 марта 1935 г. был предложен проект «стратопланопоезда» инженера авиазавода № 18 в Воронеже Алексея Яковлевича Щербакова. Идея основывалась на хорошо освоенном в нашей стране опыте полётов на планерах за самолётом-буксировщиком </w:t>
      </w:r>
      <w:hyperlink r:id="rId57" w:history="1">
        <w:r w:rsidRPr="00E14102">
          <w:rPr>
            <w:color w:val="000000" w:themeColor="text1"/>
            <w:sz w:val="16"/>
            <w:szCs w:val="16"/>
          </w:rPr>
          <w:t>[183]</w:t>
        </w:r>
      </w:hyperlink>
      <w:r w:rsidRPr="00E14102">
        <w:rPr>
          <w:color w:val="000000" w:themeColor="text1"/>
          <w:sz w:val="16"/>
          <w:szCs w:val="16"/>
        </w:rPr>
        <w:t xml:space="preserve"> .</w:t>
      </w:r>
    </w:p>
    <w:p w14:paraId="1C5F7C11" w14:textId="77777777" w:rsidR="00BE6557" w:rsidRPr="00E14102" w:rsidRDefault="00BE6557" w:rsidP="00E14102">
      <w:pPr>
        <w:jc w:val="both"/>
        <w:rPr>
          <w:color w:val="000000" w:themeColor="text1"/>
          <w:sz w:val="16"/>
          <w:szCs w:val="16"/>
        </w:rPr>
      </w:pPr>
      <w:r w:rsidRPr="00E14102">
        <w:rPr>
          <w:color w:val="000000" w:themeColor="text1"/>
          <w:sz w:val="16"/>
          <w:szCs w:val="16"/>
        </w:rPr>
        <w:t>«Если длину буксировочной гибкой связи между планером и самолётом в полёте увеличивать, — писал позднее Щербаков, — то планер не только будет удаляться от самолёта, но и по желанию лётчика сможет подниматься выше самолёта-буксировщика.</w:t>
      </w:r>
    </w:p>
    <w:p w14:paraId="16275B9D" w14:textId="77777777" w:rsidR="00BE6557" w:rsidRPr="00E14102" w:rsidRDefault="00BE6557" w:rsidP="00E14102">
      <w:pPr>
        <w:jc w:val="both"/>
        <w:rPr>
          <w:color w:val="000000" w:themeColor="text1"/>
          <w:sz w:val="16"/>
          <w:szCs w:val="16"/>
        </w:rPr>
      </w:pPr>
      <w:r w:rsidRPr="00E14102">
        <w:rPr>
          <w:color w:val="000000" w:themeColor="text1"/>
          <w:sz w:val="16"/>
          <w:szCs w:val="16"/>
        </w:rPr>
        <w:t>Как известно, каждый самолёт имеет свой практический потолок, который ограничивается мощностью мотора. Мощность мотора на большой высоте, где количество кислорода уменьшается, падает, для полёта планера кислород не требуется. Ему необходимо для поддержания полёта на большой высоте сообщать лишь определенную скорость.</w:t>
      </w:r>
    </w:p>
    <w:p w14:paraId="7EF25BCA" w14:textId="77777777" w:rsidR="00BE6557" w:rsidRPr="00E14102" w:rsidRDefault="00BE6557" w:rsidP="00E14102">
      <w:pPr>
        <w:jc w:val="both"/>
        <w:rPr>
          <w:color w:val="000000" w:themeColor="text1"/>
          <w:sz w:val="16"/>
          <w:szCs w:val="16"/>
        </w:rPr>
      </w:pPr>
      <w:r w:rsidRPr="00E14102">
        <w:rPr>
          <w:color w:val="000000" w:themeColor="text1"/>
          <w:sz w:val="16"/>
          <w:szCs w:val="16"/>
        </w:rPr>
        <w:t xml:space="preserve">Расчёты показали, что превышение планера над самолётом в полёте может достичь нескольких километров. По существующим в то время характеристикам самолётов и планеров можно было планер с пилотом поднять таким способом на высоту до 30 км, что значительно превышало максимальную высоту, достигнутую на стратостатах. Кроме того, этот способ обеспечивал повышенную, по сравнению с полётом на стратостатах, безопасность и позволял летать в стратосферу регулярно и осуществлять посадку планера на заданный аэродром. Однако реальные буксировочные связи имели невысокую прочность и большое аэродинамическое сопротивление. По этой причине осуществить полёт одним звеном планера на очень большую высоту не представлялось возможным. Пришлось в этот метод вводить промежуточные планеры, с которыми заданная высота полёта согласно расчёту могла быть достигнута» </w:t>
      </w:r>
      <w:hyperlink r:id="rId58" w:history="1">
        <w:r w:rsidRPr="00E14102">
          <w:rPr>
            <w:color w:val="000000" w:themeColor="text1"/>
            <w:sz w:val="16"/>
            <w:szCs w:val="16"/>
          </w:rPr>
          <w:t>[184]</w:t>
        </w:r>
      </w:hyperlink>
      <w:r w:rsidRPr="00E14102">
        <w:rPr>
          <w:color w:val="000000" w:themeColor="text1"/>
          <w:sz w:val="16"/>
          <w:szCs w:val="16"/>
        </w:rPr>
        <w:t xml:space="preserve"> (17489).</w:t>
      </w:r>
    </w:p>
    <w:p w14:paraId="32B858B5" w14:textId="77777777" w:rsidR="00BE6557" w:rsidRPr="00E14102" w:rsidRDefault="00BE6557" w:rsidP="00E14102">
      <w:pPr>
        <w:jc w:val="both"/>
        <w:rPr>
          <w:color w:val="000000" w:themeColor="text1"/>
          <w:sz w:val="16"/>
          <w:szCs w:val="16"/>
        </w:rPr>
      </w:pPr>
    </w:p>
    <w:p w14:paraId="652FE93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A12345F" w14:textId="77777777" w:rsidR="00D4105E" w:rsidRPr="00E14102" w:rsidRDefault="00D4105E" w:rsidP="00E14102">
      <w:pPr>
        <w:autoSpaceDE w:val="0"/>
        <w:autoSpaceDN w:val="0"/>
        <w:adjustRightInd w:val="0"/>
        <w:jc w:val="both"/>
        <w:rPr>
          <w:iCs/>
          <w:color w:val="000000" w:themeColor="text1"/>
          <w:sz w:val="16"/>
          <w:szCs w:val="16"/>
        </w:rPr>
      </w:pPr>
    </w:p>
    <w:p w14:paraId="2E3465DA" w14:textId="77777777" w:rsidR="00CF0558" w:rsidRPr="00E14102" w:rsidRDefault="00CF0558" w:rsidP="00E14102">
      <w:pPr>
        <w:jc w:val="both"/>
        <w:rPr>
          <w:color w:val="0070C0"/>
          <w:sz w:val="16"/>
          <w:szCs w:val="16"/>
        </w:rPr>
      </w:pPr>
      <w:r w:rsidRPr="00E14102">
        <w:rPr>
          <w:color w:val="0070C0"/>
          <w:sz w:val="16"/>
          <w:szCs w:val="16"/>
        </w:rPr>
        <w:t>12 марта 1935 - Первый полёт первого прототипа пикирующего бомбардировщика Ni 140 (разработчик: Nieuport, Франция) (22570).</w:t>
      </w:r>
    </w:p>
    <w:p w14:paraId="2B3419A3" w14:textId="77777777" w:rsidR="00CF0558" w:rsidRPr="00E14102" w:rsidRDefault="00CF0558" w:rsidP="00E14102">
      <w:pPr>
        <w:jc w:val="both"/>
        <w:rPr>
          <w:color w:val="0070C0"/>
          <w:sz w:val="16"/>
          <w:szCs w:val="16"/>
        </w:rPr>
      </w:pPr>
    </w:p>
    <w:p w14:paraId="081989CD" w14:textId="77777777" w:rsidR="00CF0558" w:rsidRPr="00E14102" w:rsidRDefault="00CF0558" w:rsidP="00E14102">
      <w:pPr>
        <w:jc w:val="both"/>
        <w:rPr>
          <w:color w:val="000000" w:themeColor="text1"/>
          <w:sz w:val="16"/>
          <w:szCs w:val="16"/>
        </w:rPr>
      </w:pPr>
      <w:r w:rsidRPr="00E14102">
        <w:rPr>
          <w:bCs/>
          <w:color w:val="000000" w:themeColor="text1"/>
          <w:sz w:val="16"/>
          <w:szCs w:val="16"/>
        </w:rPr>
        <w:t>12 марта</w:t>
      </w:r>
      <w:r w:rsidRPr="00E14102">
        <w:rPr>
          <w:color w:val="000000" w:themeColor="text1"/>
          <w:sz w:val="16"/>
          <w:szCs w:val="16"/>
        </w:rPr>
        <w:t xml:space="preserve"> в 1935 году первый полёт первого прототипа пикирующего бомбардировщика </w:t>
      </w:r>
      <w:hyperlink r:id="rId59" w:tgtFrame="_blank" w:history="1">
        <w:r w:rsidRPr="00E14102">
          <w:rPr>
            <w:color w:val="000000" w:themeColor="text1"/>
            <w:sz w:val="16"/>
            <w:szCs w:val="16"/>
          </w:rPr>
          <w:t xml:space="preserve">«Ni 140» </w:t>
        </w:r>
      </w:hyperlink>
      <w:r w:rsidRPr="00E14102">
        <w:rPr>
          <w:color w:val="000000" w:themeColor="text1"/>
          <w:sz w:val="16"/>
          <w:szCs w:val="16"/>
        </w:rPr>
        <w:t>(разработчик: «Nieuport», Франция) (15066).</w:t>
      </w:r>
    </w:p>
    <w:p w14:paraId="56C82496" w14:textId="77777777" w:rsidR="00CF0558" w:rsidRPr="00E14102" w:rsidRDefault="00CF0558" w:rsidP="00E14102">
      <w:pPr>
        <w:jc w:val="both"/>
        <w:rPr>
          <w:color w:val="000000" w:themeColor="text1"/>
          <w:sz w:val="16"/>
          <w:szCs w:val="16"/>
        </w:rPr>
      </w:pPr>
    </w:p>
    <w:p w14:paraId="08C859F6" w14:textId="77777777" w:rsidR="00CF0558" w:rsidRPr="00E14102" w:rsidRDefault="00CF0558" w:rsidP="00E14102">
      <w:pPr>
        <w:jc w:val="both"/>
        <w:rPr>
          <w:color w:val="0070C0"/>
          <w:sz w:val="16"/>
          <w:szCs w:val="16"/>
        </w:rPr>
      </w:pPr>
      <w:r w:rsidRPr="00E14102">
        <w:rPr>
          <w:color w:val="0070C0"/>
          <w:sz w:val="16"/>
          <w:szCs w:val="16"/>
        </w:rPr>
        <w:t>12 марта 1935 - Впервые поднялся в воздух пассажирский вариант самолёта Heinkel He 111 V2. В бомбовом отсеке были размещены четыре кресла для курящих, а сзади, в фюзеляже, — ещё шесть кресел. В 1936 году был принят на службу в авиакомпанию Lufthansa наряду с пятью вновь построенными машинами под индексом He 111 C-0. Однако в качестве десятиместного скоростного авиалайнера он летал недолго. Германия начала перевооружение и производственные линии фирмы Heinkel отдали под бомбардировочный вариант этого самолёта (22570).</w:t>
      </w:r>
    </w:p>
    <w:p w14:paraId="092FDA62" w14:textId="77777777" w:rsidR="00CF0558" w:rsidRPr="00E14102" w:rsidRDefault="00CF0558" w:rsidP="00E14102">
      <w:pPr>
        <w:jc w:val="both"/>
        <w:rPr>
          <w:color w:val="0070C0"/>
          <w:sz w:val="16"/>
          <w:szCs w:val="16"/>
        </w:rPr>
      </w:pPr>
    </w:p>
    <w:p w14:paraId="4FFD5EF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марта 1935 Персия переименована в Иран (4962).</w:t>
      </w:r>
    </w:p>
    <w:p w14:paraId="463216D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AA3AE9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46CD6CE" w14:textId="77777777" w:rsidR="00D4105E" w:rsidRPr="00E14102" w:rsidRDefault="00D4105E" w:rsidP="00E14102">
      <w:pPr>
        <w:autoSpaceDE w:val="0"/>
        <w:autoSpaceDN w:val="0"/>
        <w:adjustRightInd w:val="0"/>
        <w:jc w:val="both"/>
        <w:rPr>
          <w:iCs/>
          <w:color w:val="000000" w:themeColor="text1"/>
          <w:sz w:val="16"/>
          <w:szCs w:val="16"/>
        </w:rPr>
      </w:pPr>
    </w:p>
    <w:p w14:paraId="1E79666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марта 1935 года вышел Приказ НИИ ВВС № 0116 Об испытании самолета ТБ3 4М34Р (доведенного) на предельную дальность (6814, 103).</w:t>
      </w:r>
    </w:p>
    <w:p w14:paraId="325AD89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233B1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марта 1935 ТБ-3 М-34 с открытым парообразованием был передан из ЦИАМ на завод 22 (2343,91).</w:t>
      </w:r>
    </w:p>
    <w:p w14:paraId="742AB8FA" w14:textId="77777777" w:rsidR="00D4105E" w:rsidRPr="00E14102" w:rsidRDefault="00D4105E" w:rsidP="00E14102">
      <w:pPr>
        <w:autoSpaceDE w:val="0"/>
        <w:autoSpaceDN w:val="0"/>
        <w:adjustRightInd w:val="0"/>
        <w:jc w:val="both"/>
        <w:rPr>
          <w:color w:val="000000" w:themeColor="text1"/>
          <w:sz w:val="16"/>
          <w:szCs w:val="16"/>
        </w:rPr>
      </w:pPr>
    </w:p>
    <w:p w14:paraId="26073D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марта 1935 п/п Нач. ГУАП Ермолаев писал письмо N 347/1234с Дир. завода 23 по лимиту для разработки контрольных точек по НИР и ОР на 1935-36: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2011"/>
        <w:gridCol w:w="2011"/>
        <w:gridCol w:w="2011"/>
        <w:gridCol w:w="2011"/>
      </w:tblGrid>
      <w:tr w:rsidR="00E3599D" w:rsidRPr="00E14102" w14:paraId="26B1E2AE" w14:textId="77777777">
        <w:tc>
          <w:tcPr>
            <w:tcW w:w="3227" w:type="dxa"/>
            <w:tcBorders>
              <w:top w:val="single" w:sz="12" w:space="0" w:color="auto"/>
            </w:tcBorders>
          </w:tcPr>
          <w:p w14:paraId="7EDD28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Сельскохозяйственный самолет</w:t>
            </w:r>
          </w:p>
        </w:tc>
        <w:tc>
          <w:tcPr>
            <w:tcW w:w="2011" w:type="dxa"/>
            <w:tcBorders>
              <w:top w:val="single" w:sz="12" w:space="0" w:color="auto"/>
            </w:tcBorders>
          </w:tcPr>
          <w:p w14:paraId="056C0D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У-3</w:t>
            </w:r>
          </w:p>
        </w:tc>
        <w:tc>
          <w:tcPr>
            <w:tcW w:w="2011" w:type="dxa"/>
            <w:tcBorders>
              <w:top w:val="single" w:sz="12" w:space="0" w:color="auto"/>
            </w:tcBorders>
          </w:tcPr>
          <w:p w14:paraId="1D498C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М-48</w:t>
            </w:r>
          </w:p>
        </w:tc>
        <w:tc>
          <w:tcPr>
            <w:tcW w:w="2011" w:type="dxa"/>
            <w:tcBorders>
              <w:top w:val="single" w:sz="12" w:space="0" w:color="auto"/>
            </w:tcBorders>
          </w:tcPr>
          <w:p w14:paraId="2994F5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2011" w:type="dxa"/>
            <w:tcBorders>
              <w:top w:val="single" w:sz="12" w:space="0" w:color="auto"/>
            </w:tcBorders>
          </w:tcPr>
          <w:p w14:paraId="52912E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01.04.35</w:t>
            </w:r>
          </w:p>
        </w:tc>
      </w:tr>
      <w:tr w:rsidR="00E3599D" w:rsidRPr="00E14102" w14:paraId="435859A7" w14:textId="77777777">
        <w:tc>
          <w:tcPr>
            <w:tcW w:w="3227" w:type="dxa"/>
          </w:tcPr>
          <w:p w14:paraId="115202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2. Санитарно-пассажирский самолет</w:t>
            </w:r>
          </w:p>
        </w:tc>
        <w:tc>
          <w:tcPr>
            <w:tcW w:w="2011" w:type="dxa"/>
          </w:tcPr>
          <w:p w14:paraId="1238D7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У-3</w:t>
            </w:r>
          </w:p>
        </w:tc>
        <w:tc>
          <w:tcPr>
            <w:tcW w:w="2011" w:type="dxa"/>
          </w:tcPr>
          <w:p w14:paraId="29A2DD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М-48</w:t>
            </w:r>
          </w:p>
        </w:tc>
        <w:tc>
          <w:tcPr>
            <w:tcW w:w="2011" w:type="dxa"/>
          </w:tcPr>
          <w:p w14:paraId="681DBA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2011" w:type="dxa"/>
          </w:tcPr>
          <w:p w14:paraId="578FD1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01.02.35</w:t>
            </w:r>
          </w:p>
        </w:tc>
      </w:tr>
      <w:tr w:rsidR="00E3599D" w:rsidRPr="00E14102" w14:paraId="4786F045" w14:textId="77777777">
        <w:tc>
          <w:tcPr>
            <w:tcW w:w="3227" w:type="dxa"/>
            <w:tcBorders>
              <w:bottom w:val="single" w:sz="12" w:space="0" w:color="auto"/>
            </w:tcBorders>
          </w:tcPr>
          <w:p w14:paraId="2F743F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Учебно-тренировочный истребитель</w:t>
            </w:r>
          </w:p>
        </w:tc>
        <w:tc>
          <w:tcPr>
            <w:tcW w:w="2011" w:type="dxa"/>
            <w:tcBorders>
              <w:bottom w:val="single" w:sz="12" w:space="0" w:color="auto"/>
            </w:tcBorders>
          </w:tcPr>
          <w:p w14:paraId="19AB3D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УТМ-1</w:t>
            </w:r>
          </w:p>
        </w:tc>
        <w:tc>
          <w:tcPr>
            <w:tcW w:w="2011" w:type="dxa"/>
            <w:tcBorders>
              <w:bottom w:val="single" w:sz="12" w:space="0" w:color="auto"/>
            </w:tcBorders>
          </w:tcPr>
          <w:p w14:paraId="59534F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М-48/49</w:t>
            </w:r>
          </w:p>
        </w:tc>
        <w:tc>
          <w:tcPr>
            <w:tcW w:w="2011" w:type="dxa"/>
            <w:tcBorders>
              <w:bottom w:val="single" w:sz="12" w:space="0" w:color="auto"/>
            </w:tcBorders>
          </w:tcPr>
          <w:p w14:paraId="6C2691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2011" w:type="dxa"/>
            <w:tcBorders>
              <w:bottom w:val="single" w:sz="12" w:space="0" w:color="auto"/>
            </w:tcBorders>
          </w:tcPr>
          <w:p w14:paraId="1EA8A9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01.09.35 (2336)</w:t>
            </w:r>
          </w:p>
        </w:tc>
      </w:tr>
    </w:tbl>
    <w:p w14:paraId="1EBC55E5" w14:textId="77777777" w:rsidR="00D4105E" w:rsidRPr="00E14102" w:rsidRDefault="00D4105E" w:rsidP="00E14102">
      <w:pPr>
        <w:autoSpaceDE w:val="0"/>
        <w:autoSpaceDN w:val="0"/>
        <w:adjustRightInd w:val="0"/>
        <w:jc w:val="both"/>
        <w:rPr>
          <w:iCs/>
          <w:color w:val="000000" w:themeColor="text1"/>
          <w:sz w:val="16"/>
          <w:szCs w:val="16"/>
        </w:rPr>
      </w:pPr>
    </w:p>
    <w:p w14:paraId="3A37E8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марта 1935 Врид Директора Фельдман писал Зам. Нач. ГУАП Ермолаеву письмо N 42/708с по материалам, необходимым для выполнения работ по испарительному охлаждению (2336,69).</w:t>
      </w:r>
    </w:p>
    <w:p w14:paraId="0DF11D1B" w14:textId="77777777" w:rsidR="00D4105E" w:rsidRPr="00E14102" w:rsidRDefault="00D4105E" w:rsidP="00E14102">
      <w:pPr>
        <w:autoSpaceDE w:val="0"/>
        <w:autoSpaceDN w:val="0"/>
        <w:adjustRightInd w:val="0"/>
        <w:jc w:val="both"/>
        <w:rPr>
          <w:color w:val="000000" w:themeColor="text1"/>
          <w:sz w:val="16"/>
          <w:szCs w:val="16"/>
        </w:rPr>
      </w:pPr>
    </w:p>
    <w:p w14:paraId="75F6525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марта 1935 года вышел Приказ НИИ ВВС № 0135 О гос. испытании мотора М-58Н (с полным наддувом).</w:t>
      </w:r>
    </w:p>
    <w:p w14:paraId="05C118D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на станке начать 15 марта и закончить 25 марта 1935 года (6814, 144).</w:t>
      </w:r>
    </w:p>
    <w:p w14:paraId="5BE3A08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692A83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13 марта 1935 г. встречается первое упоминание о проблемах создания ракетных орудии для стрельбы РС-245 с самолетов в письме Г.Э.Лангемака началь</w:t>
      </w:r>
      <w:r w:rsidRPr="00E14102">
        <w:rPr>
          <w:color w:val="000000" w:themeColor="text1"/>
          <w:sz w:val="16"/>
          <w:szCs w:val="16"/>
        </w:rPr>
        <w:softHyphen/>
        <w:t>нику 5 отдела УВС РККА М.П.Пономареву и начальнику ОБАА АУ РККА Молодцову: «Присланный нами с инженером Калининым проект договора между УВС РККА и РНИИ на разработку орудийной установки на самолет ТБ-3 для стрельбы РС-245 содержит требование о том. чтобы изготовление орудийного агрегата было выполнено Реактивным институтом. В ходе предварительных пе</w:t>
      </w:r>
      <w:r w:rsidRPr="00E14102">
        <w:rPr>
          <w:color w:val="000000" w:themeColor="text1"/>
          <w:sz w:val="16"/>
          <w:szCs w:val="16"/>
        </w:rPr>
        <w:softHyphen/>
        <w:t>реговоров с вами по этому вопросу в январе сего года я сообщал, что сво</w:t>
      </w:r>
      <w:r w:rsidRPr="00E14102">
        <w:rPr>
          <w:color w:val="000000" w:themeColor="text1"/>
          <w:sz w:val="16"/>
          <w:szCs w:val="16"/>
        </w:rPr>
        <w:softHyphen/>
        <w:t>ими средствами мы не можем выполнить эту работу. Передавать же заказ посторонним заводам от имени РНИИ нецелесообразно, так как практика предыдущих лет показала, что авиазаводы, перегруженные прави</w:t>
      </w:r>
      <w:r w:rsidRPr="00E14102">
        <w:rPr>
          <w:color w:val="000000" w:themeColor="text1"/>
          <w:sz w:val="16"/>
          <w:szCs w:val="16"/>
        </w:rPr>
        <w:softHyphen/>
        <w:t>тельственными заданиями, попросту отказываются вести с нами перего</w:t>
      </w:r>
      <w:r w:rsidRPr="00E14102">
        <w:rPr>
          <w:color w:val="000000" w:themeColor="text1"/>
          <w:sz w:val="16"/>
          <w:szCs w:val="16"/>
        </w:rPr>
        <w:softHyphen/>
        <w:t>воры.</w:t>
      </w:r>
    </w:p>
    <w:p w14:paraId="034B6C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Ввиду этого, сообщаю, что РНИИ может взять на себя только разра</w:t>
      </w:r>
      <w:r w:rsidRPr="00E14102">
        <w:rPr>
          <w:color w:val="000000" w:themeColor="text1"/>
          <w:sz w:val="16"/>
          <w:szCs w:val="16"/>
        </w:rPr>
        <w:softHyphen/>
        <w:t>ботку проекта чертежей и ТУ на установку для стрельбы РС-245 с бом</w:t>
      </w:r>
      <w:r w:rsidRPr="00E14102">
        <w:rPr>
          <w:color w:val="000000" w:themeColor="text1"/>
          <w:sz w:val="16"/>
          <w:szCs w:val="16"/>
        </w:rPr>
        <w:softHyphen/>
        <w:t>бардировщиков ТБ-3, изготовление и снаряжение 10-15 опытных образ</w:t>
      </w:r>
      <w:r w:rsidRPr="00E14102">
        <w:rPr>
          <w:color w:val="000000" w:themeColor="text1"/>
          <w:sz w:val="16"/>
          <w:szCs w:val="16"/>
        </w:rPr>
        <w:softHyphen/>
        <w:t>цов РС-245 для заводских испытаний опытной орудийной установки, а также проведение ее заводских испытаний.</w:t>
      </w:r>
    </w:p>
    <w:p w14:paraId="7F9782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Что касается сроков, то проект может быть выполнен в течение трех месяцев, начиная с 1 апреля. Рабочие чертежи будут готовы, еще спустя два-три месяца. Таким образом, заказ на установку может быть выслан к 1 октября. Снаряды также могут быть готовы к этому же сроку. При этом, насколько мне известно, в плане АУ РККА заказ снарядов для испыта</w:t>
      </w:r>
      <w:r w:rsidRPr="00E14102">
        <w:rPr>
          <w:color w:val="000000" w:themeColor="text1"/>
          <w:sz w:val="16"/>
          <w:szCs w:val="16"/>
        </w:rPr>
        <w:softHyphen/>
        <w:t>ний ТБ-3 не предусмотрен и, по-видимому, финансирование этих работ пойдет за счет УВС РККА» (11402).</w:t>
      </w:r>
    </w:p>
    <w:p w14:paraId="7264FC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7273D1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75F939E" w14:textId="77777777" w:rsidR="00D4105E" w:rsidRPr="00E14102" w:rsidRDefault="00D4105E" w:rsidP="00E14102">
      <w:pPr>
        <w:autoSpaceDE w:val="0"/>
        <w:autoSpaceDN w:val="0"/>
        <w:adjustRightInd w:val="0"/>
        <w:jc w:val="both"/>
        <w:rPr>
          <w:iCs/>
          <w:color w:val="000000" w:themeColor="text1"/>
          <w:sz w:val="16"/>
          <w:szCs w:val="16"/>
        </w:rPr>
      </w:pPr>
    </w:p>
    <w:p w14:paraId="18AEDC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марта 1935 Германия открыто заявилась о создании ВВС во главе с Г.Герингом (66,144).</w:t>
      </w:r>
    </w:p>
    <w:p w14:paraId="07476ABF" w14:textId="77777777" w:rsidR="00D4105E" w:rsidRPr="00E14102" w:rsidRDefault="00D4105E" w:rsidP="00E14102">
      <w:pPr>
        <w:autoSpaceDE w:val="0"/>
        <w:autoSpaceDN w:val="0"/>
        <w:adjustRightInd w:val="0"/>
        <w:jc w:val="both"/>
        <w:rPr>
          <w:color w:val="000000" w:themeColor="text1"/>
          <w:sz w:val="16"/>
          <w:szCs w:val="16"/>
        </w:rPr>
      </w:pPr>
    </w:p>
    <w:p w14:paraId="59D6C7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марта 1935 в Иерусалиме нашли архивы возрастом 3 тыс. лет, заложив тем самым отправную точку в библиотечном деле (2100).</w:t>
      </w:r>
    </w:p>
    <w:p w14:paraId="1FBFAA55" w14:textId="77777777" w:rsidR="00D4105E" w:rsidRPr="00E14102" w:rsidRDefault="00D4105E" w:rsidP="00E14102">
      <w:pPr>
        <w:autoSpaceDE w:val="0"/>
        <w:autoSpaceDN w:val="0"/>
        <w:adjustRightInd w:val="0"/>
        <w:jc w:val="both"/>
        <w:rPr>
          <w:color w:val="000000" w:themeColor="text1"/>
          <w:sz w:val="16"/>
          <w:szCs w:val="16"/>
        </w:rPr>
      </w:pPr>
    </w:p>
    <w:p w14:paraId="16F6485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140D8D8" w14:textId="77777777" w:rsidR="00D4105E" w:rsidRPr="00E14102" w:rsidRDefault="00D4105E" w:rsidP="00E14102">
      <w:pPr>
        <w:autoSpaceDE w:val="0"/>
        <w:autoSpaceDN w:val="0"/>
        <w:adjustRightInd w:val="0"/>
        <w:jc w:val="both"/>
        <w:rPr>
          <w:iCs/>
          <w:color w:val="000000" w:themeColor="text1"/>
          <w:sz w:val="16"/>
          <w:szCs w:val="16"/>
        </w:rPr>
      </w:pPr>
    </w:p>
    <w:p w14:paraId="2FCB774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14 марта по 21 мая 1936 года проходили гос. испытания опытного самолета ДБ-2(А)-4М34РН (6831).</w:t>
      </w:r>
    </w:p>
    <w:p w14:paraId="2BAC1AC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048C92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 – в/инженер 2 ранга Лосюков</w:t>
      </w:r>
    </w:p>
    <w:p w14:paraId="1FE136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летчик – с т. лейтенант Нюхтиков</w:t>
      </w:r>
    </w:p>
    <w:p w14:paraId="1E074E9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195F657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Проверка летно-тактических данных самолета.</w:t>
      </w:r>
    </w:p>
    <w:p w14:paraId="7BC45D8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Оценка вооружения и оборудования самолета.</w:t>
      </w:r>
    </w:p>
    <w:p w14:paraId="3746188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Эксплуатационные испытания самолета, вооружения и оборудования.</w:t>
      </w:r>
    </w:p>
    <w:p w14:paraId="172869C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Выявление соответствия тактико-техническим требованиям.</w:t>
      </w:r>
    </w:p>
    <w:p w14:paraId="046EFCF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мая 1936 года гос. испытания прерваны, т.к. при испытании задания на износ конструкции на нормальной посадке (7 по счету в этот день, 35 за время гос. испытаний и 67 за все время службы самолета) левая нога шасси самолета сложилась во внешнюю сторону. Самолет развернуло при этом на 180 градусов.</w:t>
      </w:r>
    </w:p>
    <w:p w14:paraId="30EB6B5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282D49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Считать необходимым обязать ГУАП:</w:t>
      </w:r>
    </w:p>
    <w:p w14:paraId="002327E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5FBDE0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 Одновременно с ремонтом установить на самолете моторы М34 ФРН, новое оперение и новые винты.</w:t>
      </w:r>
    </w:p>
    <w:p w14:paraId="12536DC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25A63D5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Календарь испытания</w:t>
      </w:r>
    </w:p>
    <w:p w14:paraId="758AE26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принят на испытание 14 марта 1936 года.</w:t>
      </w:r>
    </w:p>
    <w:p w14:paraId="6C1B85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 время испытаний выполнено 35 полетов, налетано 25 часов 33 минуты (6831).</w:t>
      </w:r>
    </w:p>
    <w:p w14:paraId="76DF0B5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5C243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марта 1935 у Марголина было совещание "О паровом охлаждении авиадвигателей" и решили установить один на ТБ-3 (АНТ-6) и 1 мая начать испытания (1025,123).</w:t>
      </w:r>
    </w:p>
    <w:p w14:paraId="689C93D9" w14:textId="77777777" w:rsidR="00D4105E" w:rsidRPr="00E14102" w:rsidRDefault="00D4105E" w:rsidP="00E14102">
      <w:pPr>
        <w:autoSpaceDE w:val="0"/>
        <w:autoSpaceDN w:val="0"/>
        <w:adjustRightInd w:val="0"/>
        <w:jc w:val="both"/>
        <w:rPr>
          <w:color w:val="000000" w:themeColor="text1"/>
          <w:sz w:val="16"/>
          <w:szCs w:val="16"/>
        </w:rPr>
      </w:pPr>
    </w:p>
    <w:p w14:paraId="59E0D2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марта 1935 Дир. завода 31 Мурашев и Нач. ЦКБ МС Г.М.Бериев писали письмо N 720с Нач. самолетного отдела ГУАП Воронину (вход. 4039 от 27 марта 1935):</w:t>
      </w:r>
    </w:p>
    <w:p w14:paraId="20F7B3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Ваше отношение о включении завода 31 в конкурс, проводимый ЦК ВЛКСМ на лучший самолет, сообщаем, что нами выдвигаются на конкурс следующие машины: МБР-5 РЦ с выходом на гос. испытание 1 августа 1935, МБР-2 М-34 - 1 августа 1935, КОР-1 РЦ - 1 ноября 1935." (2343,75).</w:t>
      </w:r>
    </w:p>
    <w:p w14:paraId="599C7839" w14:textId="77777777" w:rsidR="00D4105E" w:rsidRPr="00E14102" w:rsidRDefault="00D4105E" w:rsidP="00E14102">
      <w:pPr>
        <w:autoSpaceDE w:val="0"/>
        <w:autoSpaceDN w:val="0"/>
        <w:adjustRightInd w:val="0"/>
        <w:jc w:val="both"/>
        <w:rPr>
          <w:color w:val="000000" w:themeColor="text1"/>
          <w:sz w:val="16"/>
          <w:szCs w:val="16"/>
        </w:rPr>
      </w:pPr>
    </w:p>
    <w:p w14:paraId="62BD0A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 марта 1935 состоялась первая стрельба ТРС-40С модели 140400 на Люблинском полигоне. Действие РЗ, воспламенителей и капсюлей было безотказным.</w:t>
      </w:r>
    </w:p>
    <w:p w14:paraId="094DC03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апреля при стрельбе для предотвращения срыва колпаков передних обтекателей, у трех снарядов их привязали к стакану БЧ стальной прово</w:t>
      </w:r>
      <w:r w:rsidRPr="00E14102">
        <w:rPr>
          <w:color w:val="000000" w:themeColor="text1"/>
          <w:sz w:val="16"/>
          <w:szCs w:val="16"/>
        </w:rPr>
        <w:softHyphen/>
        <w:t>локой, чтобы получить безотказное зажигание сигнального состава. Вос</w:t>
      </w:r>
      <w:r w:rsidRPr="00E14102">
        <w:rPr>
          <w:color w:val="000000" w:themeColor="text1"/>
          <w:sz w:val="16"/>
          <w:szCs w:val="16"/>
        </w:rPr>
        <w:softHyphen/>
        <w:t>пламенители в БЧ крепили стопиновыми нитями. Передача огня от ра</w:t>
      </w:r>
      <w:r w:rsidRPr="00E14102">
        <w:rPr>
          <w:color w:val="000000" w:themeColor="text1"/>
          <w:sz w:val="16"/>
          <w:szCs w:val="16"/>
        </w:rPr>
        <w:softHyphen/>
        <w:t>ботающего двигателя на дистанционное кольцо обеспечивалось порохо</w:t>
      </w:r>
      <w:r w:rsidRPr="00E14102">
        <w:rPr>
          <w:color w:val="000000" w:themeColor="text1"/>
          <w:sz w:val="16"/>
          <w:szCs w:val="16"/>
        </w:rPr>
        <w:softHyphen/>
        <w:t>вой подмазкой «у начала горения дистанционного состава». Стрельба продемонстрировала безотказное действие дистанционного кольца и капсюля-воспламенителя.</w:t>
      </w:r>
    </w:p>
    <w:p w14:paraId="06D3F6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Однако, от представителя НТО-1 ОБАА АУ РККА Лукашина посту</w:t>
      </w:r>
      <w:r w:rsidRPr="00E14102">
        <w:rPr>
          <w:color w:val="000000" w:themeColor="text1"/>
          <w:sz w:val="16"/>
          <w:szCs w:val="16"/>
        </w:rPr>
        <w:softHyphen/>
        <w:t>пило предложение доработать снаряд под РЗ из штатного пороха ПТП габаритами 24/6-57,5 мм, и в марте в РНИИ приступили к разработке второго варианта этого снаряда. По заданию РНИИ одновременно в ВХНИИ разработали рецептуру состава звездок, а также цветных огней и дымов. На основании опытов создали снаряд модели 140900 и пуско</w:t>
      </w:r>
      <w:r w:rsidRPr="00E14102">
        <w:rPr>
          <w:color w:val="000000" w:themeColor="text1"/>
          <w:sz w:val="16"/>
          <w:szCs w:val="16"/>
        </w:rPr>
        <w:softHyphen/>
        <w:t>вую трубу к нему модели 101700. 15 июля отстреляли четыре новых бое-припаса, снаряженных сигнальными звездками. Три снаряда «дали пра</w:t>
      </w:r>
      <w:r w:rsidRPr="00E14102">
        <w:rPr>
          <w:color w:val="000000" w:themeColor="text1"/>
          <w:sz w:val="16"/>
          <w:szCs w:val="16"/>
        </w:rPr>
        <w:softHyphen/>
        <w:t>вильный полет с высотой подъема 500 м». У одного все же сорвало обте</w:t>
      </w:r>
      <w:r w:rsidRPr="00E14102">
        <w:rPr>
          <w:color w:val="000000" w:themeColor="text1"/>
          <w:sz w:val="16"/>
          <w:szCs w:val="16"/>
        </w:rPr>
        <w:softHyphen/>
        <w:t>катель головной части.</w:t>
      </w:r>
    </w:p>
    <w:p w14:paraId="0C9A70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сентября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E14102">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E14102">
        <w:rPr>
          <w:color w:val="000000" w:themeColor="text1"/>
          <w:sz w:val="16"/>
          <w:szCs w:val="16"/>
        </w:rPr>
        <w:softHyphen/>
        <w:t>нейшем в чертежи внесли изменения, улучшив крепление алюминиево</w:t>
      </w:r>
      <w:r w:rsidRPr="00E14102">
        <w:rPr>
          <w:color w:val="000000" w:themeColor="text1"/>
          <w:sz w:val="16"/>
          <w:szCs w:val="16"/>
        </w:rPr>
        <w:softHyphen/>
        <w:t>го головного обтекателя с дном. Готовые образцы 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E14102">
        <w:rPr>
          <w:color w:val="000000" w:themeColor="text1"/>
          <w:sz w:val="16"/>
          <w:szCs w:val="16"/>
        </w:rPr>
        <w:softHyphen/>
        <w:t>сов модели 140900 и четыре пусковых трубы модели 101700 для полигон</w:t>
      </w:r>
      <w:r w:rsidRPr="00E14102">
        <w:rPr>
          <w:color w:val="000000" w:themeColor="text1"/>
          <w:sz w:val="16"/>
          <w:szCs w:val="16"/>
        </w:rPr>
        <w:softHyphen/>
        <w:t>ных испытаний (11402).</w:t>
      </w:r>
    </w:p>
    <w:p w14:paraId="1BD8FA5E" w14:textId="77777777" w:rsidR="00D4105E" w:rsidRPr="00E14102" w:rsidRDefault="00D4105E" w:rsidP="00E14102">
      <w:pPr>
        <w:autoSpaceDE w:val="0"/>
        <w:autoSpaceDN w:val="0"/>
        <w:adjustRightInd w:val="0"/>
        <w:jc w:val="both"/>
        <w:rPr>
          <w:color w:val="000000" w:themeColor="text1"/>
          <w:sz w:val="16"/>
          <w:szCs w:val="16"/>
        </w:rPr>
      </w:pPr>
    </w:p>
    <w:p w14:paraId="6E09B50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5728EF6" w14:textId="77777777" w:rsidR="00D4105E" w:rsidRPr="00E14102" w:rsidRDefault="00D4105E" w:rsidP="00E14102">
      <w:pPr>
        <w:autoSpaceDE w:val="0"/>
        <w:autoSpaceDN w:val="0"/>
        <w:adjustRightInd w:val="0"/>
        <w:jc w:val="both"/>
        <w:rPr>
          <w:iCs/>
          <w:color w:val="000000" w:themeColor="text1"/>
          <w:sz w:val="16"/>
          <w:szCs w:val="16"/>
        </w:rPr>
      </w:pPr>
    </w:p>
    <w:p w14:paraId="16E316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14 по 28 марта 1935 были проведены заводские испытания установки СУ-14 с 203-мм гаубицей Б-4, в ходе которых было отмечено, что при стрельбе без сошников под углами возвышения 45-60 гр. система неустойчива. Сошник опускался лишь вручную, а гидравлика вообще не работала. Время загрузки боекомплекта 14 минут. Согласно заключению комиссии "полигонные испытания стрельбой СУ-14 выдержала и может быть допущена к войсковым испытаниям, а ходовая часть вообще не испытывалась, так как была неисправна" (3861).</w:t>
      </w:r>
    </w:p>
    <w:p w14:paraId="20E35A56" w14:textId="77777777" w:rsidR="00D4105E" w:rsidRPr="00E14102" w:rsidRDefault="00D4105E" w:rsidP="00E14102">
      <w:pPr>
        <w:autoSpaceDE w:val="0"/>
        <w:autoSpaceDN w:val="0"/>
        <w:adjustRightInd w:val="0"/>
        <w:jc w:val="both"/>
        <w:rPr>
          <w:color w:val="000000" w:themeColor="text1"/>
          <w:sz w:val="16"/>
          <w:szCs w:val="16"/>
        </w:rPr>
      </w:pPr>
    </w:p>
    <w:p w14:paraId="4D0D584D" w14:textId="77777777" w:rsidR="00845016" w:rsidRPr="00E14102" w:rsidRDefault="00845016" w:rsidP="00E14102">
      <w:pPr>
        <w:pStyle w:val="rtejustify"/>
        <w:spacing w:before="0" w:after="0"/>
        <w:rPr>
          <w:color w:val="000000" w:themeColor="text1"/>
          <w:sz w:val="16"/>
          <w:szCs w:val="16"/>
        </w:rPr>
      </w:pPr>
      <w:r w:rsidRPr="00E14102">
        <w:rPr>
          <w:rStyle w:val="a6"/>
          <w:bCs/>
          <w:i w:val="0"/>
          <w:color w:val="000000" w:themeColor="text1"/>
          <w:sz w:val="16"/>
          <w:szCs w:val="16"/>
        </w:rPr>
        <w:t>14 марта 1935 вышел приказ НКТП № 40сс.</w:t>
      </w:r>
      <w:r w:rsidRPr="00E14102">
        <w:rPr>
          <w:color w:val="000000" w:themeColor="text1"/>
          <w:sz w:val="16"/>
          <w:szCs w:val="16"/>
        </w:rPr>
        <w:t xml:space="preserve"> О мероприятиях по освоению и организации производства специального прибора РУГ на заводе «САМ» ВОТИ. (РГАЭ. Ф. 7297. Оп. 38. Д. 171. Л. 67) (15246).</w:t>
      </w:r>
    </w:p>
    <w:p w14:paraId="1401719E" w14:textId="77777777" w:rsidR="00845016" w:rsidRPr="00E14102" w:rsidRDefault="00845016" w:rsidP="00E14102">
      <w:pPr>
        <w:pStyle w:val="rtejustify"/>
        <w:spacing w:before="0" w:after="0"/>
        <w:rPr>
          <w:color w:val="000000" w:themeColor="text1"/>
          <w:sz w:val="16"/>
          <w:szCs w:val="16"/>
        </w:rPr>
      </w:pPr>
    </w:p>
    <w:p w14:paraId="1670869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5E8915E" w14:textId="77777777" w:rsidR="00D4105E" w:rsidRPr="00E14102" w:rsidRDefault="00D4105E" w:rsidP="00E14102">
      <w:pPr>
        <w:autoSpaceDE w:val="0"/>
        <w:autoSpaceDN w:val="0"/>
        <w:adjustRightInd w:val="0"/>
        <w:jc w:val="both"/>
        <w:rPr>
          <w:iCs/>
          <w:color w:val="000000" w:themeColor="text1"/>
          <w:sz w:val="16"/>
          <w:szCs w:val="16"/>
        </w:rPr>
      </w:pPr>
    </w:p>
    <w:p w14:paraId="761DB1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15 марта 1935 МАИ изготовил проект центрального нагнетателя для ТБ-7 А.Н.Т. в рабочих чертежах октября (3569).</w:t>
      </w:r>
    </w:p>
    <w:p w14:paraId="6C35C3F6" w14:textId="77777777" w:rsidR="00D4105E" w:rsidRPr="00E14102" w:rsidRDefault="00D4105E" w:rsidP="00E14102">
      <w:pPr>
        <w:autoSpaceDE w:val="0"/>
        <w:autoSpaceDN w:val="0"/>
        <w:adjustRightInd w:val="0"/>
        <w:jc w:val="both"/>
        <w:rPr>
          <w:color w:val="000000" w:themeColor="text1"/>
          <w:sz w:val="16"/>
          <w:szCs w:val="16"/>
        </w:rPr>
      </w:pPr>
    </w:p>
    <w:p w14:paraId="65ABA2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15 по 29 марта 1935 проходили испытания Звена-5 (З-5) из ТБ-3 + подцепка И-зет в воздухе. И-зет пилотировался В.А.Степанчонком, а ТБ-3 - П.М.Стефановским. Степанченок подходил сзади на скорости 140 км/час и обрывал перкалевую ленту. До 21 марта выполнили 25 полетов и подцепку выполнили 23 марта (2692,8).</w:t>
      </w:r>
    </w:p>
    <w:p w14:paraId="047DB658" w14:textId="77777777" w:rsidR="00D4105E" w:rsidRPr="00E14102" w:rsidRDefault="00D4105E" w:rsidP="00E14102">
      <w:pPr>
        <w:autoSpaceDE w:val="0"/>
        <w:autoSpaceDN w:val="0"/>
        <w:adjustRightInd w:val="0"/>
        <w:jc w:val="both"/>
        <w:rPr>
          <w:color w:val="000000" w:themeColor="text1"/>
          <w:sz w:val="16"/>
          <w:szCs w:val="16"/>
        </w:rPr>
      </w:pPr>
    </w:p>
    <w:p w14:paraId="65C9100E" w14:textId="77777777" w:rsidR="0063005B" w:rsidRPr="00E14102" w:rsidRDefault="0063005B" w:rsidP="00E14102">
      <w:pPr>
        <w:pStyle w:val="42"/>
        <w:shd w:val="clear" w:color="auto" w:fill="auto"/>
        <w:spacing w:line="240" w:lineRule="auto"/>
        <w:ind w:firstLine="0"/>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15 марта 1935 г. начались Испытания системы Звено-5 (3-5), предусматривавшая под</w:t>
      </w:r>
      <w:r w:rsidRPr="00E14102">
        <w:rPr>
          <w:rFonts w:ascii="Times New Roman" w:hAnsi="Times New Roman" w:cs="Times New Roman"/>
          <w:color w:val="000000" w:themeColor="text1"/>
          <w:sz w:val="16"/>
          <w:szCs w:val="16"/>
        </w:rPr>
        <w:softHyphen/>
        <w:t>цепку одного И-2 под ТБ-3 в воздухе.</w:t>
      </w:r>
    </w:p>
    <w:p w14:paraId="6D79CADD" w14:textId="77777777" w:rsidR="0063005B" w:rsidRPr="00E14102" w:rsidRDefault="0063005B" w:rsidP="00E14102">
      <w:pPr>
        <w:jc w:val="both"/>
        <w:rPr>
          <w:color w:val="000000" w:themeColor="text1"/>
          <w:sz w:val="16"/>
          <w:szCs w:val="16"/>
        </w:rPr>
      </w:pPr>
      <w:r w:rsidRPr="00E14102">
        <w:rPr>
          <w:color w:val="000000" w:themeColor="text1"/>
          <w:sz w:val="16"/>
          <w:szCs w:val="16"/>
        </w:rPr>
        <w:t>Для приема истребителя под фюзеляжем четырехмоторного носителя оборудовали специальную опускаемую ферму, которую закрепили на задних замках наружных бомбодержателей ДЕР-15. Опускание и подъем фермы осуществлялись из кабины бортмеханика при помощи ручной лебедки с червячной самотормозящей передачей. На И-2 также произвели дополнительные усовершенствования. В верхней части фюзеляжа смонтировали ферму подцепки с особым крюком, которым истребитель цеплялся за ферму, опущенную с ТБ-3. Крюк имел фиксирующий замок и ограни</w:t>
      </w:r>
      <w:r w:rsidRPr="00E14102">
        <w:rPr>
          <w:color w:val="000000" w:themeColor="text1"/>
          <w:sz w:val="16"/>
          <w:szCs w:val="16"/>
        </w:rPr>
        <w:softHyphen/>
        <w:t>чительную штангу, которая предохраняла воздушный винт «ЗЕТа» от повреждений. Конструкцию крыла истребителя в районе 12-14 нервюр усилили - на этих участках крыло после подтягивания упиралось в колеса ТБ-3. Дополнительным фиксатором И-2 являлась верхняя часть фюзеляжа за заголовником пилота - ее также дополни</w:t>
      </w:r>
      <w:r w:rsidRPr="00E14102">
        <w:rPr>
          <w:color w:val="000000" w:themeColor="text1"/>
          <w:sz w:val="16"/>
          <w:szCs w:val="16"/>
        </w:rPr>
        <w:softHyphen/>
        <w:t>тельно усилили.</w:t>
      </w:r>
    </w:p>
    <w:p w14:paraId="7468820F" w14:textId="77777777" w:rsidR="0063005B" w:rsidRPr="00E14102" w:rsidRDefault="0063005B" w:rsidP="00E14102">
      <w:pPr>
        <w:pStyle w:val="42"/>
        <w:shd w:val="clear" w:color="auto" w:fill="auto"/>
        <w:spacing w:line="240" w:lineRule="auto"/>
        <w:ind w:firstLine="0"/>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«ЗЕТ» пилотировал летчик В.А. Степанчонок, самолет-носитель - Стефановский. Поначалу провели особые тренировки: Степанчонок подходил сзади к летящему со скоростью 140 км/ч ТБ-3, выравнивал скорости, а затем, прибавляя газ, зацеплял и обрывал поперечную перкалевую ленту. До 21 марта провели 25 таких тренировок. Первая в мире подцепка в воздухе самолета под самолет состоялась 23 марта 1935 г. После зацепления под ТБ-3 истребитель Григоровича был подтянут и зафиксирован на замках, далее «Звено-5» снизилось до 500 м и пролетело над аэро</w:t>
      </w:r>
      <w:r w:rsidRPr="00E14102">
        <w:rPr>
          <w:rFonts w:ascii="Times New Roman" w:hAnsi="Times New Roman" w:cs="Times New Roman"/>
          <w:color w:val="000000" w:themeColor="text1"/>
          <w:sz w:val="16"/>
          <w:szCs w:val="16"/>
        </w:rPr>
        <w:softHyphen/>
        <w:t>дромом, где находилась комиссия ВВС. Отцепка состоялась на высоте 1200 м. В последующие дни до 29 марта 1935 г. было произведено еще 5 удачных воздушных подцепок И-2.</w:t>
      </w:r>
    </w:p>
    <w:p w14:paraId="68526A5D" w14:textId="77777777" w:rsidR="0063005B" w:rsidRPr="00E14102" w:rsidRDefault="0063005B" w:rsidP="00E14102">
      <w:pPr>
        <w:pStyle w:val="42"/>
        <w:shd w:val="clear" w:color="auto" w:fill="auto"/>
        <w:spacing w:line="240" w:lineRule="auto"/>
        <w:ind w:firstLine="0"/>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По результатам этих полетов сделали следующие заключения:</w:t>
      </w:r>
    </w:p>
    <w:p w14:paraId="3CC767CC" w14:textId="77777777" w:rsidR="0063005B" w:rsidRPr="00E14102" w:rsidRDefault="0063005B" w:rsidP="00E14102">
      <w:pPr>
        <w:jc w:val="both"/>
        <w:rPr>
          <w:color w:val="000000" w:themeColor="text1"/>
          <w:sz w:val="16"/>
          <w:szCs w:val="16"/>
        </w:rPr>
      </w:pPr>
      <w:r w:rsidRPr="00E14102">
        <w:rPr>
          <w:color w:val="000000" w:themeColor="text1"/>
          <w:sz w:val="16"/>
          <w:szCs w:val="16"/>
        </w:rPr>
        <w:t>«1. Проведенные испытания показали полную возможность подцепки и отцепки самолета И-1 к самолету ТБ-3 в полете. Наличие незначительных колебаний в горизонтальной плоскости на процесс подцепки и отцепки не влияет.</w:t>
      </w:r>
    </w:p>
    <w:p w14:paraId="48E5DA2C" w14:textId="77777777" w:rsidR="0063005B" w:rsidRPr="00E14102" w:rsidRDefault="0063005B" w:rsidP="00E14102">
      <w:pPr>
        <w:tabs>
          <w:tab w:val="left" w:pos="490"/>
        </w:tabs>
        <w:jc w:val="both"/>
        <w:rPr>
          <w:color w:val="000000" w:themeColor="text1"/>
          <w:sz w:val="16"/>
          <w:szCs w:val="16"/>
        </w:rPr>
      </w:pPr>
      <w:r w:rsidRPr="00E14102">
        <w:rPr>
          <w:color w:val="000000" w:themeColor="text1"/>
          <w:sz w:val="16"/>
          <w:szCs w:val="16"/>
        </w:rPr>
        <w:t>2. Подвешенный и притянутый самолет И-1 тенденций к срыву и колебаний вокруг всех трех осей на скоростях 125-155 км/ч не имеет. Вибраций не наблюдалось. На других режимах испытания не проводились из-за невозможности плотно прижать крыло И-1 к колесам тележки самолета ТБ-3.</w:t>
      </w:r>
    </w:p>
    <w:p w14:paraId="34EF9464" w14:textId="77777777" w:rsidR="0063005B" w:rsidRPr="00E14102" w:rsidRDefault="0063005B" w:rsidP="00E14102">
      <w:pPr>
        <w:tabs>
          <w:tab w:val="left" w:pos="510"/>
        </w:tabs>
        <w:jc w:val="both"/>
        <w:rPr>
          <w:color w:val="000000" w:themeColor="text1"/>
          <w:sz w:val="16"/>
          <w:szCs w:val="16"/>
        </w:rPr>
      </w:pPr>
      <w:r w:rsidRPr="00E14102">
        <w:rPr>
          <w:color w:val="000000" w:themeColor="text1"/>
          <w:sz w:val="16"/>
          <w:szCs w:val="16"/>
        </w:rPr>
        <w:t>3. Прицепленный и подтянутый само</w:t>
      </w:r>
      <w:r w:rsidRPr="00E14102">
        <w:rPr>
          <w:color w:val="000000" w:themeColor="text1"/>
          <w:sz w:val="16"/>
          <w:szCs w:val="16"/>
        </w:rPr>
        <w:softHyphen/>
        <w:t>лет И-1. позволяет осуществлять полет с брошенной ручкой.</w:t>
      </w:r>
    </w:p>
    <w:p w14:paraId="661C81F7" w14:textId="77777777" w:rsidR="0063005B" w:rsidRPr="00E14102" w:rsidRDefault="0063005B" w:rsidP="00E14102">
      <w:pPr>
        <w:tabs>
          <w:tab w:val="left" w:pos="524"/>
        </w:tabs>
        <w:jc w:val="both"/>
        <w:rPr>
          <w:color w:val="000000" w:themeColor="text1"/>
          <w:sz w:val="16"/>
          <w:szCs w:val="16"/>
        </w:rPr>
      </w:pPr>
      <w:r w:rsidRPr="00E14102">
        <w:rPr>
          <w:color w:val="000000" w:themeColor="text1"/>
          <w:sz w:val="16"/>
          <w:szCs w:val="16"/>
        </w:rPr>
        <w:t>4. Связь в полете при осуществле</w:t>
      </w:r>
      <w:r w:rsidRPr="00E14102">
        <w:rPr>
          <w:color w:val="000000" w:themeColor="text1"/>
          <w:sz w:val="16"/>
          <w:szCs w:val="16"/>
        </w:rPr>
        <w:softHyphen/>
        <w:t>нии подцепки зрительная и при помощи записок.</w:t>
      </w:r>
    </w:p>
    <w:p w14:paraId="6EB2BF10" w14:textId="77777777" w:rsidR="0063005B" w:rsidRPr="00E14102" w:rsidRDefault="0063005B" w:rsidP="00E14102">
      <w:pPr>
        <w:tabs>
          <w:tab w:val="left" w:pos="505"/>
        </w:tabs>
        <w:jc w:val="both"/>
        <w:rPr>
          <w:color w:val="000000" w:themeColor="text1"/>
          <w:sz w:val="16"/>
          <w:szCs w:val="16"/>
        </w:rPr>
      </w:pPr>
      <w:r w:rsidRPr="00E14102">
        <w:rPr>
          <w:color w:val="000000" w:themeColor="text1"/>
          <w:sz w:val="16"/>
          <w:szCs w:val="16"/>
        </w:rPr>
        <w:t>5. Бомбовая подвеска ТБ-3 в данном варианте возможна только под консоль</w:t>
      </w:r>
      <w:r w:rsidRPr="00E14102">
        <w:rPr>
          <w:color w:val="000000" w:themeColor="text1"/>
          <w:sz w:val="16"/>
          <w:szCs w:val="16"/>
        </w:rPr>
        <w:softHyphen/>
        <w:t>ными держателями ДЕР-13 или ДЕР-23.</w:t>
      </w:r>
    </w:p>
    <w:p w14:paraId="5A58BCF3" w14:textId="77777777" w:rsidR="0063005B" w:rsidRPr="00E14102" w:rsidRDefault="0063005B" w:rsidP="00E14102">
      <w:pPr>
        <w:jc w:val="both"/>
        <w:rPr>
          <w:color w:val="000000" w:themeColor="text1"/>
          <w:sz w:val="16"/>
          <w:szCs w:val="16"/>
        </w:rPr>
      </w:pPr>
      <w:r w:rsidRPr="00E14102">
        <w:rPr>
          <w:color w:val="000000" w:themeColor="text1"/>
          <w:sz w:val="16"/>
          <w:szCs w:val="16"/>
        </w:rPr>
        <w:t>Считать систему 3-5 прошедшей испы</w:t>
      </w:r>
      <w:r w:rsidRPr="00E14102">
        <w:rPr>
          <w:color w:val="000000" w:themeColor="text1"/>
          <w:sz w:val="16"/>
          <w:szCs w:val="16"/>
        </w:rPr>
        <w:softHyphen/>
        <w:t>тания, продолжать ее совершенствовать...» (12736).</w:t>
      </w:r>
    </w:p>
    <w:p w14:paraId="1955A519" w14:textId="77777777" w:rsidR="0063005B" w:rsidRPr="00E14102" w:rsidRDefault="0063005B" w:rsidP="00E14102">
      <w:pPr>
        <w:jc w:val="both"/>
        <w:rPr>
          <w:color w:val="000000" w:themeColor="text1"/>
          <w:sz w:val="16"/>
          <w:szCs w:val="16"/>
        </w:rPr>
      </w:pPr>
    </w:p>
    <w:p w14:paraId="05AB7C5D" w14:textId="77777777" w:rsidR="00845016" w:rsidRPr="00E14102" w:rsidRDefault="00845016" w:rsidP="00E14102">
      <w:pPr>
        <w:jc w:val="both"/>
        <w:rPr>
          <w:color w:val="000000" w:themeColor="text1"/>
          <w:sz w:val="16"/>
          <w:szCs w:val="16"/>
        </w:rPr>
      </w:pPr>
      <w:r w:rsidRPr="00E14102">
        <w:rPr>
          <w:bCs/>
          <w:color w:val="000000" w:themeColor="text1"/>
          <w:sz w:val="16"/>
          <w:szCs w:val="16"/>
        </w:rPr>
        <w:t>15 марта</w:t>
      </w:r>
      <w:r w:rsidRPr="00E14102">
        <w:rPr>
          <w:color w:val="000000" w:themeColor="text1"/>
          <w:sz w:val="16"/>
          <w:szCs w:val="16"/>
        </w:rPr>
        <w:t xml:space="preserve"> в 1935 году начались испытания самолета-звено в составе носителя «ТБ-3» и истребителя «И-Z». "ЗЕТ" пилотировал В.А.Степанчонок, самолет-носитель - П.М.Стефановский. Поначалу провели тренировки: Степанчонок подводил «И-Z» сзади под летящий на 140 км/ч ТБ-3, выравнивал скорости, а затем, давая помалу газ, зацеплял и обрывал поперечную перкалевую ленту. До 21 марта провели 25 таких тренировок. Первая в мире подцепка в воздухе самолета под самолет состоялась 23 марта 1935 г. После зацепления «И-Z» был подтянут, "Звено" снизилось до 500 м и пролетело над аэродромом, где находилась комиссия ВВС. Затем на высоте 1200 м благополучно произошла отцепка. До 29 марта было совершено 5 удачных подцепок-отцепок «И-Z» (15069).</w:t>
      </w:r>
    </w:p>
    <w:p w14:paraId="1ECEABD1" w14:textId="77777777" w:rsidR="00845016" w:rsidRPr="00E14102" w:rsidRDefault="00845016" w:rsidP="00E14102">
      <w:pPr>
        <w:jc w:val="both"/>
        <w:rPr>
          <w:color w:val="000000" w:themeColor="text1"/>
          <w:sz w:val="16"/>
          <w:szCs w:val="16"/>
        </w:rPr>
      </w:pPr>
    </w:p>
    <w:p w14:paraId="468EC7DA" w14:textId="77777777" w:rsidR="006D1FAA" w:rsidRPr="00E14102" w:rsidRDefault="006D1FAA" w:rsidP="00E14102">
      <w:pPr>
        <w:jc w:val="both"/>
        <w:rPr>
          <w:color w:val="0070C0"/>
          <w:sz w:val="16"/>
          <w:szCs w:val="16"/>
        </w:rPr>
      </w:pPr>
      <w:r w:rsidRPr="00E14102">
        <w:rPr>
          <w:color w:val="0070C0"/>
          <w:sz w:val="16"/>
          <w:szCs w:val="16"/>
        </w:rPr>
        <w:t xml:space="preserve">15 марта 1935 г. начались испытания «Самолет-Звено» З-5. </w:t>
      </w:r>
    </w:p>
    <w:p w14:paraId="6E95C0D2" w14:textId="77777777" w:rsidR="006D1FAA" w:rsidRPr="00E14102" w:rsidRDefault="006D1FAA" w:rsidP="00E14102">
      <w:pPr>
        <w:jc w:val="both"/>
        <w:rPr>
          <w:color w:val="0070C0"/>
          <w:sz w:val="16"/>
          <w:szCs w:val="16"/>
        </w:rPr>
      </w:pPr>
      <w:r w:rsidRPr="00E14102">
        <w:rPr>
          <w:color w:val="0070C0"/>
          <w:sz w:val="16"/>
          <w:szCs w:val="16"/>
        </w:rPr>
        <w:t>Задумка соединять самолеты в воз</w:t>
      </w:r>
      <w:r w:rsidRPr="00E14102">
        <w:rPr>
          <w:color w:val="0070C0"/>
          <w:sz w:val="16"/>
          <w:szCs w:val="16"/>
        </w:rPr>
        <w:softHyphen/>
        <w:t>духе претерпела несколько вариантов. Первоначально разрабатывался способ посадки истребителя И-5 на «спи</w:t>
      </w:r>
      <w:r w:rsidRPr="00E14102">
        <w:rPr>
          <w:color w:val="0070C0"/>
          <w:sz w:val="16"/>
          <w:szCs w:val="16"/>
        </w:rPr>
        <w:softHyphen/>
        <w:t>ну» бомбардировщика ТБ-3. Предполагалось, что оснащен</w:t>
      </w:r>
      <w:r w:rsidRPr="00E14102">
        <w:rPr>
          <w:color w:val="0070C0"/>
          <w:sz w:val="16"/>
          <w:szCs w:val="16"/>
        </w:rPr>
        <w:softHyphen/>
        <w:t>ный специальным крюком истребитель в полете сблизит</w:t>
      </w:r>
      <w:r w:rsidRPr="00E14102">
        <w:rPr>
          <w:color w:val="0070C0"/>
          <w:sz w:val="16"/>
          <w:szCs w:val="16"/>
        </w:rPr>
        <w:softHyphen/>
        <w:t>ся с носителем сверху, уравняет скорости, а затем этим крюком зацепит за легкую рампу, которую поднимет команда бомбардировщика. После зацепления истребитель подтянут вниз, установят и закрепят в специальных ложе</w:t>
      </w:r>
      <w:r w:rsidRPr="00E14102">
        <w:rPr>
          <w:color w:val="0070C0"/>
          <w:sz w:val="16"/>
          <w:szCs w:val="16"/>
        </w:rPr>
        <w:softHyphen/>
        <w:t>ментах, смонтированных на фюзеляже бомбардировщика. Впрочем, очень скоро стало понятно, что таким образом осуществить на практике воздушное соединение двух са</w:t>
      </w:r>
      <w:r w:rsidRPr="00E14102">
        <w:rPr>
          <w:color w:val="0070C0"/>
          <w:sz w:val="16"/>
          <w:szCs w:val="16"/>
        </w:rPr>
        <w:softHyphen/>
        <w:t>молетов будет очень сложно и опасно. В 1934 году в ра</w:t>
      </w:r>
      <w:r w:rsidRPr="00E14102">
        <w:rPr>
          <w:color w:val="0070C0"/>
          <w:sz w:val="16"/>
          <w:szCs w:val="16"/>
        </w:rPr>
        <w:softHyphen/>
        <w:t>боту пошел другой вариант, в котором истребитель под</w:t>
      </w:r>
      <w:r w:rsidRPr="00E14102">
        <w:rPr>
          <w:color w:val="0070C0"/>
          <w:sz w:val="16"/>
          <w:szCs w:val="16"/>
        </w:rPr>
        <w:softHyphen/>
        <w:t>ходил к бомбардировщику снизу. Эта система с исполь</w:t>
      </w:r>
      <w:r w:rsidRPr="00E14102">
        <w:rPr>
          <w:color w:val="0070C0"/>
          <w:sz w:val="16"/>
          <w:szCs w:val="16"/>
        </w:rPr>
        <w:softHyphen/>
        <w:t>зованием моноплана И-ЗЕТ после многочисленных консультаций с опытными летчиками пошла в конструктив</w:t>
      </w:r>
      <w:r w:rsidRPr="00E14102">
        <w:rPr>
          <w:color w:val="0070C0"/>
          <w:sz w:val="16"/>
          <w:szCs w:val="16"/>
        </w:rPr>
        <w:softHyphen/>
        <w:t>ную разработку.</w:t>
      </w:r>
    </w:p>
    <w:p w14:paraId="02133533" w14:textId="77777777" w:rsidR="006D1FAA" w:rsidRPr="00E14102" w:rsidRDefault="006D1FAA" w:rsidP="00E14102">
      <w:pPr>
        <w:jc w:val="both"/>
        <w:rPr>
          <w:color w:val="0070C0"/>
          <w:sz w:val="16"/>
          <w:szCs w:val="16"/>
        </w:rPr>
      </w:pPr>
      <w:r w:rsidRPr="00E14102">
        <w:rPr>
          <w:color w:val="0070C0"/>
          <w:sz w:val="16"/>
          <w:szCs w:val="16"/>
        </w:rPr>
        <w:t>Для приема истребителя под фюзеляжем четырехмотор</w:t>
      </w:r>
      <w:r w:rsidRPr="00E14102">
        <w:rPr>
          <w:color w:val="0070C0"/>
          <w:sz w:val="16"/>
          <w:szCs w:val="16"/>
        </w:rPr>
        <w:softHyphen/>
        <w:t>ного носителя оборудовали специальную пространствен</w:t>
      </w:r>
      <w:r w:rsidRPr="00E14102">
        <w:rPr>
          <w:color w:val="0070C0"/>
          <w:sz w:val="16"/>
          <w:szCs w:val="16"/>
        </w:rPr>
        <w:softHyphen/>
        <w:t>ную опускаемую ферму, которую закрепили на задних замках наружных бомбодержателей ДЕР-15. Опускание и подъем фермы осуществлялись из кабины бортмеханика при помощи ручной лебедки с червячной самотормозящей- ся передачей. На И-ЗЕТ также произвели дополнительные усовершенствования. В верхней части фюзеляжа истреби</w:t>
      </w:r>
      <w:r w:rsidRPr="00E14102">
        <w:rPr>
          <w:color w:val="0070C0"/>
          <w:sz w:val="16"/>
          <w:szCs w:val="16"/>
        </w:rPr>
        <w:softHyphen/>
        <w:t>теля смонтировали ферму с особым крюком, которым ис</w:t>
      </w:r>
      <w:r w:rsidRPr="00E14102">
        <w:rPr>
          <w:color w:val="0070C0"/>
          <w:sz w:val="16"/>
          <w:szCs w:val="16"/>
        </w:rPr>
        <w:softHyphen/>
        <w:t>требитель цеплялся за ферму, опущенную с ТБ-3. Крюк имел фиксирующий замок и ограничительную штангу, ко</w:t>
      </w:r>
      <w:r w:rsidRPr="00E14102">
        <w:rPr>
          <w:color w:val="0070C0"/>
          <w:sz w:val="16"/>
          <w:szCs w:val="16"/>
        </w:rPr>
        <w:softHyphen/>
        <w:t>торая предохраняла воздушный винт И-ЗЕТ от поврежде</w:t>
      </w:r>
      <w:r w:rsidRPr="00E14102">
        <w:rPr>
          <w:color w:val="0070C0"/>
          <w:sz w:val="16"/>
          <w:szCs w:val="16"/>
        </w:rPr>
        <w:softHyphen/>
        <w:t>ний. Конструкцию крыла истребителя в районе 12-14 нер</w:t>
      </w:r>
      <w:r w:rsidRPr="00E14102">
        <w:rPr>
          <w:color w:val="0070C0"/>
          <w:sz w:val="16"/>
          <w:szCs w:val="16"/>
        </w:rPr>
        <w:softHyphen/>
        <w:t>вюр усилили — на этих участках крыло после подтягивания упиралось в колеса ТБ-3. Дополнительным фиксатором И-ЗЕТ после соединения с бомбардировщиком являлась верхняя часть фюзеляжа за заголовником пилота - ее также дополнительно усилили.</w:t>
      </w:r>
    </w:p>
    <w:p w14:paraId="35EC9136" w14:textId="77777777" w:rsidR="006D1FAA" w:rsidRPr="00E14102" w:rsidRDefault="006D1FAA" w:rsidP="00E14102">
      <w:pPr>
        <w:jc w:val="both"/>
        <w:rPr>
          <w:color w:val="0070C0"/>
          <w:sz w:val="16"/>
          <w:szCs w:val="16"/>
        </w:rPr>
      </w:pPr>
      <w:r w:rsidRPr="00E14102">
        <w:rPr>
          <w:color w:val="0070C0"/>
          <w:sz w:val="16"/>
          <w:szCs w:val="16"/>
        </w:rPr>
        <w:t>Истребитель И-ЗЕТ пи</w:t>
      </w:r>
      <w:r w:rsidRPr="00E14102">
        <w:rPr>
          <w:color w:val="0070C0"/>
          <w:sz w:val="16"/>
          <w:szCs w:val="16"/>
        </w:rPr>
        <w:softHyphen/>
        <w:t>лотировал летчик Степанчонок, самолет-носитель - Стефа- новский. Поначалу провели особые тренировки: Степанчо</w:t>
      </w:r>
      <w:r w:rsidRPr="00E14102">
        <w:rPr>
          <w:color w:val="0070C0"/>
          <w:sz w:val="16"/>
          <w:szCs w:val="16"/>
        </w:rPr>
        <w:softHyphen/>
        <w:t>нок подходил сзади к ТБ-3, летящему со скоростью 140 км/ч, уравнивал скорости, а затем, давая помалу газ, зацеплял и обрывал поперечную перка</w:t>
      </w:r>
      <w:r w:rsidRPr="00E14102">
        <w:rPr>
          <w:color w:val="0070C0"/>
          <w:sz w:val="16"/>
          <w:szCs w:val="16"/>
        </w:rPr>
        <w:softHyphen/>
        <w:t>левую ленту, натянутую на трапеции вместо поперечной штанги. До 21 марта 1935 го</w:t>
      </w:r>
      <w:r w:rsidRPr="00E14102">
        <w:rPr>
          <w:color w:val="0070C0"/>
          <w:sz w:val="16"/>
          <w:szCs w:val="16"/>
        </w:rPr>
        <w:softHyphen/>
        <w:t>да провели 25 таких воздуш</w:t>
      </w:r>
      <w:r w:rsidRPr="00E14102">
        <w:rPr>
          <w:color w:val="0070C0"/>
          <w:sz w:val="16"/>
          <w:szCs w:val="16"/>
        </w:rPr>
        <w:softHyphen/>
        <w:t>ных тренировок (20345).</w:t>
      </w:r>
    </w:p>
    <w:p w14:paraId="4F8B9A7D" w14:textId="77777777" w:rsidR="006D1FAA" w:rsidRPr="00E14102" w:rsidRDefault="006D1FAA" w:rsidP="00E14102">
      <w:pPr>
        <w:jc w:val="both"/>
        <w:rPr>
          <w:color w:val="0070C0"/>
          <w:sz w:val="16"/>
          <w:szCs w:val="16"/>
        </w:rPr>
      </w:pPr>
    </w:p>
    <w:p w14:paraId="79A234F5" w14:textId="77777777" w:rsidR="00D35271" w:rsidRPr="00E14102" w:rsidRDefault="00D35271" w:rsidP="00E14102">
      <w:pPr>
        <w:jc w:val="both"/>
        <w:rPr>
          <w:color w:val="000000" w:themeColor="text1"/>
          <w:sz w:val="16"/>
          <w:szCs w:val="16"/>
        </w:rPr>
      </w:pPr>
      <w:r w:rsidRPr="00E14102">
        <w:rPr>
          <w:color w:val="000000" w:themeColor="text1"/>
          <w:sz w:val="16"/>
          <w:szCs w:val="16"/>
        </w:rPr>
        <w:t>15 марта 1935 г. прошла неудачно первая тренировка по подцепке И-Зет к ТБ-3. Дважды лётчик пытался сорвать ленты, но не сумел. При третьей попытке он, не рассчитав, ударился трубой кабана о металлическую трапецию и погнул трубу. Зато следующую тренировку, 20 марта, Степанчёнок провёл на «отлично». В каждом из трёх полётов он срывал все пять лент, то есть все 15 опытов прошли успешно.</w:t>
      </w:r>
    </w:p>
    <w:p w14:paraId="5ED69882" w14:textId="77777777" w:rsidR="00D35271" w:rsidRPr="00E14102" w:rsidRDefault="00D35271" w:rsidP="00E14102">
      <w:pPr>
        <w:jc w:val="both"/>
        <w:rPr>
          <w:color w:val="000000" w:themeColor="text1"/>
          <w:sz w:val="16"/>
          <w:szCs w:val="16"/>
        </w:rPr>
      </w:pPr>
      <w:r w:rsidRPr="00E14102">
        <w:rPr>
          <w:color w:val="000000" w:themeColor="text1"/>
          <w:sz w:val="16"/>
          <w:szCs w:val="16"/>
        </w:rPr>
        <w:t xml:space="preserve">23 марта впервые в истории авиации была выполнена подцепка одного самолёта к другому в полёте. Произошло это на высоте 1700 м при скорости 140 км/ч. «Самолёт „ЗЕТ“ после вполне нормальных подходов к штанге на третьем зацепился. Никаких колебаний и вибраций у самолёта „ЗЕТ“ не наблюдалось. После подцепки самолёт „ЗЕТ“ подтянули. Всё „звено“ снизилось в таком положении до 500 м для демонстрации начальнику Управления ВВС РККА, находившемуся на аэродроме. После была набрана высота 1200 м, ферма с самолётом „ЗЕТ“ опущена на 20 оборотов и самолёт „ЗЕТ“ отцепился вполне нормально», — сказано в отчёте </w:t>
      </w:r>
      <w:hyperlink r:id="rId60" w:history="1">
        <w:r w:rsidRPr="00E14102">
          <w:rPr>
            <w:color w:val="000000" w:themeColor="text1"/>
            <w:sz w:val="16"/>
            <w:szCs w:val="16"/>
          </w:rPr>
          <w:t>[90]</w:t>
        </w:r>
      </w:hyperlink>
      <w:r w:rsidRPr="00E14102">
        <w:rPr>
          <w:color w:val="000000" w:themeColor="text1"/>
          <w:sz w:val="16"/>
          <w:szCs w:val="16"/>
        </w:rPr>
        <w:t xml:space="preserve"> .</w:t>
      </w:r>
    </w:p>
    <w:p w14:paraId="69A596A7" w14:textId="77777777" w:rsidR="00D35271" w:rsidRPr="00E14102" w:rsidRDefault="00D35271" w:rsidP="00E14102">
      <w:pPr>
        <w:jc w:val="both"/>
        <w:rPr>
          <w:color w:val="000000" w:themeColor="text1"/>
          <w:sz w:val="16"/>
          <w:szCs w:val="16"/>
        </w:rPr>
      </w:pPr>
      <w:r w:rsidRPr="00E14102">
        <w:rPr>
          <w:color w:val="000000" w:themeColor="text1"/>
          <w:sz w:val="16"/>
          <w:szCs w:val="16"/>
        </w:rPr>
        <w:t>29 марта Степанчёнок, несмотря на болтанку в воздухе, осуществил ещё четыре подцепки и отцепки. Последняя, четвёртая, была сделана с подтягом И-Z к ТБ-3. Сама подцепка занимала 15–20 секунд, а вот на подтягивание самолёта в походное положение (крылья прижаты к колесам бомбардировщика) уходило намного больше времени — до 2,5 минут.</w:t>
      </w:r>
    </w:p>
    <w:p w14:paraId="1091864C" w14:textId="77777777" w:rsidR="00D35271" w:rsidRPr="00E14102" w:rsidRDefault="00D35271" w:rsidP="00E14102">
      <w:pPr>
        <w:jc w:val="both"/>
        <w:rPr>
          <w:color w:val="000000" w:themeColor="text1"/>
          <w:sz w:val="16"/>
          <w:szCs w:val="16"/>
        </w:rPr>
      </w:pPr>
      <w:r w:rsidRPr="00E14102">
        <w:rPr>
          <w:color w:val="000000" w:themeColor="text1"/>
          <w:sz w:val="16"/>
          <w:szCs w:val="16"/>
        </w:rPr>
        <w:t>По результатам полётов было рекомендовано разработать конструкцию захвата типа вертикальной вилки, упрощающую технику зацепления, а также спроектировать питание горючим и маслом от бомбардировщика и техническую связь с подвешенным самолётом (при испытаниях общение между экипажами осуществлялось зрительно — через бомболюк, или передачей записок) (17489).</w:t>
      </w:r>
    </w:p>
    <w:p w14:paraId="39D9CE3A" w14:textId="77777777" w:rsidR="00D35271" w:rsidRPr="00E14102" w:rsidRDefault="00D35271" w:rsidP="00E14102">
      <w:pPr>
        <w:jc w:val="both"/>
        <w:rPr>
          <w:color w:val="000000" w:themeColor="text1"/>
          <w:sz w:val="16"/>
          <w:szCs w:val="16"/>
        </w:rPr>
      </w:pPr>
    </w:p>
    <w:p w14:paraId="025AFBCC" w14:textId="77777777" w:rsidR="006D1FAA" w:rsidRPr="00E14102" w:rsidRDefault="006D1FAA" w:rsidP="00E14102">
      <w:pPr>
        <w:jc w:val="both"/>
        <w:rPr>
          <w:color w:val="0070C0"/>
          <w:sz w:val="16"/>
          <w:szCs w:val="16"/>
        </w:rPr>
      </w:pPr>
      <w:r w:rsidRPr="00E14102">
        <w:rPr>
          <w:color w:val="0070C0"/>
          <w:sz w:val="16"/>
          <w:szCs w:val="16"/>
        </w:rPr>
        <w:t>15 марта 1935 г. первый экземпляр А-8 перелетел на аэ</w:t>
      </w:r>
      <w:r w:rsidRPr="00E14102">
        <w:rPr>
          <w:color w:val="0070C0"/>
          <w:sz w:val="16"/>
          <w:szCs w:val="16"/>
        </w:rPr>
        <w:softHyphen/>
        <w:t>родром Ухтомский под Москвой, где использовался для тренировочных полетов и исследования тряски ротора.</w:t>
      </w:r>
    </w:p>
    <w:p w14:paraId="777A69A4" w14:textId="77777777" w:rsidR="006D1FAA" w:rsidRPr="00E14102" w:rsidRDefault="006D1FAA" w:rsidP="00E14102">
      <w:pPr>
        <w:jc w:val="both"/>
        <w:rPr>
          <w:color w:val="0070C0"/>
          <w:sz w:val="16"/>
          <w:szCs w:val="16"/>
        </w:rPr>
      </w:pPr>
      <w:r w:rsidRPr="00E14102">
        <w:rPr>
          <w:color w:val="0070C0"/>
          <w:sz w:val="16"/>
          <w:szCs w:val="16"/>
        </w:rPr>
        <w:t>В 1936 г. первый экземпляр А-8 предполагалось ис</w:t>
      </w:r>
      <w:r w:rsidRPr="00E14102">
        <w:rPr>
          <w:color w:val="0070C0"/>
          <w:sz w:val="16"/>
          <w:szCs w:val="16"/>
        </w:rPr>
        <w:softHyphen/>
        <w:t>пользовать в перелете Москва-Ленинград. Для осуществ</w:t>
      </w:r>
      <w:r w:rsidRPr="00E14102">
        <w:rPr>
          <w:color w:val="0070C0"/>
          <w:sz w:val="16"/>
          <w:szCs w:val="16"/>
        </w:rPr>
        <w:softHyphen/>
        <w:t>ления перелета без посадки на расстояние более 500 км автожир оборудовали добавочными топливными баками.</w:t>
      </w:r>
    </w:p>
    <w:p w14:paraId="2E33C30D" w14:textId="77777777" w:rsidR="006D1FAA" w:rsidRPr="00E14102" w:rsidRDefault="006D1FAA" w:rsidP="00E14102">
      <w:pPr>
        <w:jc w:val="both"/>
        <w:rPr>
          <w:color w:val="0070C0"/>
          <w:sz w:val="16"/>
          <w:szCs w:val="16"/>
        </w:rPr>
      </w:pPr>
      <w:r w:rsidRPr="00E14102">
        <w:rPr>
          <w:color w:val="0070C0"/>
          <w:sz w:val="16"/>
          <w:szCs w:val="16"/>
        </w:rPr>
        <w:t>К сожалению, на этапе подготовки, при осуществлении тре</w:t>
      </w:r>
      <w:r w:rsidRPr="00E14102">
        <w:rPr>
          <w:color w:val="0070C0"/>
          <w:sz w:val="16"/>
          <w:szCs w:val="16"/>
        </w:rPr>
        <w:softHyphen/>
        <w:t>нировочного полета летчиками Кошицем и Козыревым автожир потерпел аварию и оказался значительно по</w:t>
      </w:r>
      <w:r w:rsidRPr="00E14102">
        <w:rPr>
          <w:color w:val="0070C0"/>
          <w:sz w:val="16"/>
          <w:szCs w:val="16"/>
        </w:rPr>
        <w:softHyphen/>
        <w:t>врежден (20361).</w:t>
      </w:r>
    </w:p>
    <w:p w14:paraId="12CE87B1" w14:textId="77777777" w:rsidR="006D1FAA" w:rsidRPr="00E14102" w:rsidRDefault="006D1FAA" w:rsidP="00E14102">
      <w:pPr>
        <w:shd w:val="clear" w:color="auto" w:fill="FFFFFF"/>
        <w:jc w:val="both"/>
        <w:rPr>
          <w:color w:val="0070C0"/>
          <w:sz w:val="16"/>
          <w:szCs w:val="16"/>
        </w:rPr>
      </w:pPr>
    </w:p>
    <w:p w14:paraId="73C95E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марта 1935 года начальник ЦАГИ Харламов писал письмо N 708/с зам. нач. ГУАП С.Л. Марголину.</w:t>
      </w:r>
    </w:p>
    <w:p w14:paraId="0F49FF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протокола совещания в ГУАП"е от 10/II-35 г. N 5с по паровому охлаждению мотора М-34 довожу до Вашего сведения, что все работы по изготовлению и монтажу экспериментального агрегата парового охлаждения М-34 на сам. ТБ-3 будут закончены 5 мая с/г., с какового срока предполагается начало летных испытаний агрегата, согласно прилагаемой программы.</w:t>
      </w:r>
    </w:p>
    <w:p w14:paraId="24E77D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обеспечения моторным ресурсом экспериментального самолета необходимо Ваше распоряжение зав. N 24 о переборке в срок с 15 марта по 15 апреля 4-х моторов М-34 этого самолета, ввиду того, что эти моторы 1-ой серии и силами ОЭЛИД перебраны и отремонтированы быть не могут.</w:t>
      </w:r>
    </w:p>
    <w:p w14:paraId="5FD392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Продолжительность испытания агрегата парового охлаждения определяется с 5/V по 1/VIII-с.г. Такой срок летных испытаний устанавливается из соображений, что возможно в процессе испытаний выявится необходимость коренной переделки схемы и всех деталей агрегата.</w:t>
      </w:r>
    </w:p>
    <w:p w14:paraId="52A9DE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обеспечение всех работ по паровому охлаждению необходимо дополнительное ассигнование на работы ЦАГИ, согласно прилагаемой схемы в размере 200000 руб.</w:t>
      </w:r>
    </w:p>
    <w:p w14:paraId="59D70A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w:t>
      </w:r>
    </w:p>
    <w:p w14:paraId="29B862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Смета на дополнительное денежное ассигнование.</w:t>
      </w:r>
    </w:p>
    <w:p w14:paraId="219C0D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Программа летных испытаний первого этапа работы.</w:t>
      </w:r>
    </w:p>
    <w:p w14:paraId="7ABED2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Программа</w:t>
      </w:r>
    </w:p>
    <w:p w14:paraId="05A11A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летных испытаний первого этапа экспериментальных работ</w:t>
      </w:r>
    </w:p>
    <w:p w14:paraId="1083B8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переводу мотора М-34 на паровое охлаждение. Проводится</w:t>
      </w:r>
    </w:p>
    <w:p w14:paraId="283808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на самолете ТБ-3.</w:t>
      </w:r>
    </w:p>
    <w:p w14:paraId="08BBA6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Утверждаю Номенклатуру работ и срок</w:t>
      </w:r>
    </w:p>
    <w:p w14:paraId="21F2F3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испытаний. Начало 5/V, конец 1/VIII-35 г.</w:t>
      </w:r>
    </w:p>
    <w:p w14:paraId="00623D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Нач-к ЦАГИ Харламов</w:t>
      </w:r>
    </w:p>
    <w:p w14:paraId="53D53E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25/II-35 г.</w:t>
      </w:r>
    </w:p>
    <w:p w14:paraId="36D939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Предварительная проба на стоянке при работе мотора на малом газу, допуская давление монтажа на входе в конденсаторы до 0,1, с 5/V по 10/V доводка силами цеха ДД.</w:t>
      </w:r>
    </w:p>
    <w:p w14:paraId="468527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Проба системы на стоянке на нескольких режимах винтовой характеристики (4 точки) в переделе до давления на входе в конденсатор 0,1.</w:t>
      </w:r>
    </w:p>
    <w:p w14:paraId="7D580B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То же при положении самолета в горизонтальном полете. Необходимая доводка.</w:t>
      </w:r>
    </w:p>
    <w:p w14:paraId="35AEC3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Проба работы системы на рулежке (при 1000 - 1500 об/м) с замером потери воды в системе при трех продолжительностях (ориентировочно 10 м, 20 м, 30 м) и подготовка к полету.</w:t>
      </w:r>
    </w:p>
    <w:p w14:paraId="0C9E5E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Пробный полет и возможная доводка после первого вылета.</w:t>
      </w:r>
    </w:p>
    <w:p w14:paraId="32A19E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в горизонтальном полете на различных высотах:</w:t>
      </w:r>
    </w:p>
    <w:p w14:paraId="7D534E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на 1000 м, на 1300 и 1450 об/м и на полном газу всех моторов.</w:t>
      </w:r>
    </w:p>
    <w:p w14:paraId="7FE4C0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То же на высотах 2000, 3000 и 4000 м.</w:t>
      </w:r>
    </w:p>
    <w:p w14:paraId="05B503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Подъем на потолок (возможный) и длительное планирование (производится по заданной программе). Планирование должно быть ограничено понижением температуры конденсата, которая не должна опускаться ниже + 20 град. С.</w:t>
      </w:r>
    </w:p>
    <w:p w14:paraId="0C4CBE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системы при возможно максимальных положительных и отрицательных углах и кренах.</w:t>
      </w:r>
    </w:p>
    <w:p w14:paraId="774259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Дополнительные летные испытания, необходимость в коих определяется в период выполнения вышеприведенной программы и переделки.</w:t>
      </w:r>
    </w:p>
    <w:p w14:paraId="477C1E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p w14:paraId="7FBA99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выполнении вышеприведенной программы на основании соответствующих выводов составляется программа летных испытаний следующего этапа работы и имеющих окончательной целью определение расчетных коэффициентов и методики расчета пароконденсаторов для самолетов других типов и классов.</w:t>
      </w:r>
    </w:p>
    <w:p w14:paraId="34AD05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выполнения приведенной программы с 5/V по 1/VIII-с.г.</w:t>
      </w:r>
    </w:p>
    <w:p w14:paraId="6CB620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(Фельдман).</w:t>
      </w:r>
    </w:p>
    <w:p w14:paraId="2209E3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(Шереметьев).</w:t>
      </w:r>
    </w:p>
    <w:p w14:paraId="70569E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бригада (Животовский).</w:t>
      </w:r>
    </w:p>
    <w:p w14:paraId="45FE94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(Руцкий).</w:t>
      </w:r>
    </w:p>
    <w:p w14:paraId="528C9F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 8 бриг. КОСОС (Погосский).</w:t>
      </w:r>
    </w:p>
    <w:p w14:paraId="77E2D8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программой согласен. Указанные сроки с разбивкой заданий по числам не реальны. Предлагаю указанный общий срок испытания один месяц увеличить до трех месяцев, ввиду полной новизны и возможности коренных переделок (2336,109).</w:t>
      </w:r>
    </w:p>
    <w:p w14:paraId="54A3D7CF" w14:textId="77777777" w:rsidR="00D4105E" w:rsidRPr="00E14102" w:rsidRDefault="00D4105E" w:rsidP="00E14102">
      <w:pPr>
        <w:autoSpaceDE w:val="0"/>
        <w:autoSpaceDN w:val="0"/>
        <w:adjustRightInd w:val="0"/>
        <w:jc w:val="both"/>
        <w:rPr>
          <w:color w:val="000000" w:themeColor="text1"/>
          <w:sz w:val="16"/>
          <w:szCs w:val="16"/>
        </w:rPr>
      </w:pPr>
    </w:p>
    <w:p w14:paraId="2C9B07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15 марта 1935 по 15 января 1936 проходили испытание красок для наземной маскировки самолета У-2 (6686).</w:t>
      </w:r>
    </w:p>
    <w:p w14:paraId="528DCB4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24BB306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лакокрасочной лаборатории 6-го отдела Краснопольский</w:t>
      </w:r>
    </w:p>
    <w:p w14:paraId="3C3C33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6C90F17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красок, предназначенных для наземной маскировки самолетов, производилось с целью установления маскирующих свойств и проверки их качества в условиях эксплуатационной службы.</w:t>
      </w:r>
    </w:p>
    <w:p w14:paraId="0F8D64D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Из 20 разработанных образцов маскировочных красок для наземной маскировки самолетов под фон Щелковского аэродрома, после лабораторных исследований были приняты для испытания на самолете 5 красок: белая № 1, белая № 2, желтовато-коричневая, темно-коричневая и зеленая. Для проверки свойств этих красок проведена окраска самолета У-2 методом одноцветного и камуфляжного окрашивания.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E3599D" w:rsidRPr="00E14102" w14:paraId="5ACCE1F3" w14:textId="77777777">
        <w:tc>
          <w:tcPr>
            <w:tcW w:w="2214" w:type="dxa"/>
          </w:tcPr>
          <w:p w14:paraId="3E632FF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вида окраски</w:t>
            </w:r>
          </w:p>
        </w:tc>
        <w:tc>
          <w:tcPr>
            <w:tcW w:w="2214" w:type="dxa"/>
          </w:tcPr>
          <w:p w14:paraId="7E3369E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краски</w:t>
            </w:r>
          </w:p>
        </w:tc>
        <w:tc>
          <w:tcPr>
            <w:tcW w:w="2214" w:type="dxa"/>
          </w:tcPr>
          <w:p w14:paraId="15736B1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Для какого времени года</w:t>
            </w:r>
          </w:p>
        </w:tc>
        <w:tc>
          <w:tcPr>
            <w:tcW w:w="2214" w:type="dxa"/>
          </w:tcPr>
          <w:p w14:paraId="07E0EC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Дата окраски самолета</w:t>
            </w:r>
          </w:p>
        </w:tc>
      </w:tr>
      <w:tr w:rsidR="00E3599D" w:rsidRPr="00E14102" w14:paraId="6925B9E9" w14:textId="77777777">
        <w:tc>
          <w:tcPr>
            <w:tcW w:w="2214" w:type="dxa"/>
          </w:tcPr>
          <w:p w14:paraId="010513B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Одноцветное</w:t>
            </w:r>
          </w:p>
        </w:tc>
        <w:tc>
          <w:tcPr>
            <w:tcW w:w="2214" w:type="dxa"/>
          </w:tcPr>
          <w:p w14:paraId="3AD18D8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Белая № 1</w:t>
            </w:r>
          </w:p>
        </w:tc>
        <w:tc>
          <w:tcPr>
            <w:tcW w:w="2214" w:type="dxa"/>
          </w:tcPr>
          <w:p w14:paraId="142E28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Зима</w:t>
            </w:r>
          </w:p>
        </w:tc>
        <w:tc>
          <w:tcPr>
            <w:tcW w:w="2214" w:type="dxa"/>
          </w:tcPr>
          <w:p w14:paraId="49CD6EF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17 марта 1935 года</w:t>
            </w:r>
          </w:p>
        </w:tc>
      </w:tr>
      <w:tr w:rsidR="00E3599D" w:rsidRPr="00E14102" w14:paraId="03589DDD" w14:textId="77777777">
        <w:tc>
          <w:tcPr>
            <w:tcW w:w="2214" w:type="dxa"/>
          </w:tcPr>
          <w:p w14:paraId="675A1FD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Одноцветное</w:t>
            </w:r>
          </w:p>
        </w:tc>
        <w:tc>
          <w:tcPr>
            <w:tcW w:w="2214" w:type="dxa"/>
          </w:tcPr>
          <w:p w14:paraId="0784998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Зеленая</w:t>
            </w:r>
          </w:p>
        </w:tc>
        <w:tc>
          <w:tcPr>
            <w:tcW w:w="2214" w:type="dxa"/>
          </w:tcPr>
          <w:p w14:paraId="0501C34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Весна</w:t>
            </w:r>
          </w:p>
        </w:tc>
        <w:tc>
          <w:tcPr>
            <w:tcW w:w="2214" w:type="dxa"/>
          </w:tcPr>
          <w:p w14:paraId="2FAC62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мая 1935 года</w:t>
            </w:r>
          </w:p>
        </w:tc>
      </w:tr>
      <w:tr w:rsidR="00E3599D" w:rsidRPr="00E14102" w14:paraId="28650365" w14:textId="77777777">
        <w:tc>
          <w:tcPr>
            <w:tcW w:w="2214" w:type="dxa"/>
          </w:tcPr>
          <w:p w14:paraId="79ACCCE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Одноцветное</w:t>
            </w:r>
          </w:p>
        </w:tc>
        <w:tc>
          <w:tcPr>
            <w:tcW w:w="2214" w:type="dxa"/>
          </w:tcPr>
          <w:p w14:paraId="753D746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Желтозеленая</w:t>
            </w:r>
          </w:p>
        </w:tc>
        <w:tc>
          <w:tcPr>
            <w:tcW w:w="2214" w:type="dxa"/>
          </w:tcPr>
          <w:p w14:paraId="51A8C14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Осень</w:t>
            </w:r>
          </w:p>
        </w:tc>
        <w:tc>
          <w:tcPr>
            <w:tcW w:w="2214" w:type="dxa"/>
          </w:tcPr>
          <w:p w14:paraId="520BC3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октября 1935 года</w:t>
            </w:r>
          </w:p>
        </w:tc>
      </w:tr>
      <w:tr w:rsidR="00E3599D" w:rsidRPr="00E14102" w14:paraId="79579704" w14:textId="77777777">
        <w:tc>
          <w:tcPr>
            <w:tcW w:w="2214" w:type="dxa"/>
          </w:tcPr>
          <w:p w14:paraId="46400FE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Камуфляж</w:t>
            </w:r>
          </w:p>
        </w:tc>
        <w:tc>
          <w:tcPr>
            <w:tcW w:w="2214" w:type="dxa"/>
          </w:tcPr>
          <w:p w14:paraId="22B0204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Желтозеленая и Темнокоричневая</w:t>
            </w:r>
          </w:p>
        </w:tc>
        <w:tc>
          <w:tcPr>
            <w:tcW w:w="2214" w:type="dxa"/>
          </w:tcPr>
          <w:p w14:paraId="59D36FE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Осень</w:t>
            </w:r>
          </w:p>
        </w:tc>
        <w:tc>
          <w:tcPr>
            <w:tcW w:w="2214" w:type="dxa"/>
          </w:tcPr>
          <w:p w14:paraId="1F78D38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октября 1935 года</w:t>
            </w:r>
          </w:p>
        </w:tc>
      </w:tr>
      <w:tr w:rsidR="00E3599D" w:rsidRPr="00E14102" w14:paraId="193AE7AC" w14:textId="77777777">
        <w:tc>
          <w:tcPr>
            <w:tcW w:w="2214" w:type="dxa"/>
          </w:tcPr>
          <w:p w14:paraId="30495E6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Камуфляж</w:t>
            </w:r>
          </w:p>
        </w:tc>
        <w:tc>
          <w:tcPr>
            <w:tcW w:w="2214" w:type="dxa"/>
          </w:tcPr>
          <w:p w14:paraId="09B7694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Белая № 2 и Темнокоричневая</w:t>
            </w:r>
          </w:p>
        </w:tc>
        <w:tc>
          <w:tcPr>
            <w:tcW w:w="2214" w:type="dxa"/>
          </w:tcPr>
          <w:p w14:paraId="5C4E12F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Зима</w:t>
            </w:r>
          </w:p>
        </w:tc>
        <w:tc>
          <w:tcPr>
            <w:tcW w:w="2214" w:type="dxa"/>
          </w:tcPr>
          <w:p w14:paraId="3A3B8A7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22 декабря 1935 года</w:t>
            </w:r>
          </w:p>
        </w:tc>
      </w:tr>
    </w:tbl>
    <w:p w14:paraId="03D6641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Примечание:</w:t>
      </w:r>
    </w:p>
    <w:p w14:paraId="52C9849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Окраска самолетов производилась в условиях аэродромной службы.</w:t>
      </w:r>
    </w:p>
    <w:p w14:paraId="17F0795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Камуфляжное окрашивание самолета производилось по разработанному проекту.</w:t>
      </w:r>
    </w:p>
    <w:p w14:paraId="7F6BA1F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процессе работы установлено, что на маскировочную окраску самолетов в аэродромных условиях при температурах от минус 6 до плюс 18 градусов С требуется 2,3-2,7 чел/час при наличии 2-3 ведер, термоса (бочки) с горячей водой, одной кисти и заранее отвешенных порций краски.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333"/>
        <w:gridCol w:w="1134"/>
        <w:gridCol w:w="1276"/>
        <w:gridCol w:w="1276"/>
        <w:gridCol w:w="1276"/>
        <w:gridCol w:w="1275"/>
      </w:tblGrid>
      <w:tr w:rsidR="00E3599D" w:rsidRPr="00E14102" w14:paraId="6BB08D74" w14:textId="77777777">
        <w:tc>
          <w:tcPr>
            <w:tcW w:w="1610" w:type="dxa"/>
            <w:tcBorders>
              <w:top w:val="single" w:sz="12" w:space="0" w:color="auto"/>
            </w:tcBorders>
          </w:tcPr>
          <w:p w14:paraId="5F319D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краски</w:t>
            </w:r>
          </w:p>
        </w:tc>
        <w:tc>
          <w:tcPr>
            <w:tcW w:w="1333" w:type="dxa"/>
            <w:tcBorders>
              <w:top w:val="single" w:sz="12" w:space="0" w:color="auto"/>
            </w:tcBorders>
          </w:tcPr>
          <w:p w14:paraId="0D64F1F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Расход краски в кг для окрашивания без учета воды</w:t>
            </w:r>
          </w:p>
        </w:tc>
        <w:tc>
          <w:tcPr>
            <w:tcW w:w="1134" w:type="dxa"/>
            <w:tcBorders>
              <w:top w:val="single" w:sz="12" w:space="0" w:color="auto"/>
            </w:tcBorders>
          </w:tcPr>
          <w:p w14:paraId="74A2A24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1E38AE6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Высыхание в минутах</w:t>
            </w:r>
          </w:p>
        </w:tc>
        <w:tc>
          <w:tcPr>
            <w:tcW w:w="1276" w:type="dxa"/>
            <w:tcBorders>
              <w:top w:val="single" w:sz="12" w:space="0" w:color="auto"/>
            </w:tcBorders>
          </w:tcPr>
          <w:p w14:paraId="7F875DD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0727D2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Метеоусловия</w:t>
            </w:r>
          </w:p>
        </w:tc>
        <w:tc>
          <w:tcPr>
            <w:tcW w:w="1275" w:type="dxa"/>
            <w:tcBorders>
              <w:top w:val="single" w:sz="12" w:space="0" w:color="auto"/>
            </w:tcBorders>
          </w:tcPr>
          <w:p w14:paraId="1DBCB67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r>
      <w:tr w:rsidR="00E3599D" w:rsidRPr="00E14102" w14:paraId="34303F57" w14:textId="77777777">
        <w:tc>
          <w:tcPr>
            <w:tcW w:w="1610" w:type="dxa"/>
          </w:tcPr>
          <w:p w14:paraId="6F2F8B0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333" w:type="dxa"/>
          </w:tcPr>
          <w:p w14:paraId="0DF4ACE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Одноцветн.</w:t>
            </w:r>
          </w:p>
        </w:tc>
        <w:tc>
          <w:tcPr>
            <w:tcW w:w="1134" w:type="dxa"/>
          </w:tcPr>
          <w:p w14:paraId="7E9A30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Камуфляжн</w:t>
            </w:r>
          </w:p>
        </w:tc>
        <w:tc>
          <w:tcPr>
            <w:tcW w:w="1276" w:type="dxa"/>
          </w:tcPr>
          <w:p w14:paraId="7C4D01E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Неполное</w:t>
            </w:r>
          </w:p>
        </w:tc>
        <w:tc>
          <w:tcPr>
            <w:tcW w:w="1276" w:type="dxa"/>
          </w:tcPr>
          <w:p w14:paraId="314DDD3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Полное</w:t>
            </w:r>
          </w:p>
        </w:tc>
        <w:tc>
          <w:tcPr>
            <w:tcW w:w="1276" w:type="dxa"/>
          </w:tcPr>
          <w:p w14:paraId="132B93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Температура в градусах С</w:t>
            </w:r>
          </w:p>
        </w:tc>
        <w:tc>
          <w:tcPr>
            <w:tcW w:w="1275" w:type="dxa"/>
          </w:tcPr>
          <w:p w14:paraId="09C70C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Относит. влажность %</w:t>
            </w:r>
          </w:p>
        </w:tc>
      </w:tr>
      <w:tr w:rsidR="00E3599D" w:rsidRPr="00E14102" w14:paraId="66260258" w14:textId="77777777">
        <w:tc>
          <w:tcPr>
            <w:tcW w:w="1610" w:type="dxa"/>
          </w:tcPr>
          <w:p w14:paraId="39FAC41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Белая № 1</w:t>
            </w:r>
          </w:p>
        </w:tc>
        <w:tc>
          <w:tcPr>
            <w:tcW w:w="1333" w:type="dxa"/>
          </w:tcPr>
          <w:p w14:paraId="6442B91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5,04</w:t>
            </w:r>
          </w:p>
        </w:tc>
        <w:tc>
          <w:tcPr>
            <w:tcW w:w="1134" w:type="dxa"/>
          </w:tcPr>
          <w:p w14:paraId="6EC3B3C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64D4758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Мерзнет</w:t>
            </w:r>
          </w:p>
        </w:tc>
        <w:tc>
          <w:tcPr>
            <w:tcW w:w="1276" w:type="dxa"/>
          </w:tcPr>
          <w:p w14:paraId="45AE1B6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w:t>
            </w:r>
          </w:p>
        </w:tc>
        <w:tc>
          <w:tcPr>
            <w:tcW w:w="1276" w:type="dxa"/>
          </w:tcPr>
          <w:p w14:paraId="435E2A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- 6</w:t>
            </w:r>
          </w:p>
        </w:tc>
        <w:tc>
          <w:tcPr>
            <w:tcW w:w="1275" w:type="dxa"/>
          </w:tcPr>
          <w:p w14:paraId="0E8A2E7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60</w:t>
            </w:r>
          </w:p>
        </w:tc>
      </w:tr>
      <w:tr w:rsidR="00E3599D" w:rsidRPr="00E14102" w14:paraId="4BC8AE63" w14:textId="77777777">
        <w:tc>
          <w:tcPr>
            <w:tcW w:w="1610" w:type="dxa"/>
          </w:tcPr>
          <w:p w14:paraId="5B34C5C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Зеленая</w:t>
            </w:r>
          </w:p>
        </w:tc>
        <w:tc>
          <w:tcPr>
            <w:tcW w:w="1333" w:type="dxa"/>
          </w:tcPr>
          <w:p w14:paraId="12936A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2,32</w:t>
            </w:r>
          </w:p>
        </w:tc>
        <w:tc>
          <w:tcPr>
            <w:tcW w:w="1134" w:type="dxa"/>
          </w:tcPr>
          <w:p w14:paraId="3C69DE8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448BEB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12-15</w:t>
            </w:r>
          </w:p>
        </w:tc>
        <w:tc>
          <w:tcPr>
            <w:tcW w:w="1276" w:type="dxa"/>
          </w:tcPr>
          <w:p w14:paraId="46E6534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20-25</w:t>
            </w:r>
          </w:p>
        </w:tc>
        <w:tc>
          <w:tcPr>
            <w:tcW w:w="1276" w:type="dxa"/>
          </w:tcPr>
          <w:p w14:paraId="0D160B3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+ 18,5</w:t>
            </w:r>
          </w:p>
        </w:tc>
        <w:tc>
          <w:tcPr>
            <w:tcW w:w="1275" w:type="dxa"/>
          </w:tcPr>
          <w:p w14:paraId="21B8DB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71</w:t>
            </w:r>
          </w:p>
        </w:tc>
      </w:tr>
      <w:tr w:rsidR="00E3599D" w:rsidRPr="00E14102" w14:paraId="759090B0" w14:textId="77777777">
        <w:tc>
          <w:tcPr>
            <w:tcW w:w="1610" w:type="dxa"/>
          </w:tcPr>
          <w:p w14:paraId="6CD6E8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Желтозеленая</w:t>
            </w:r>
          </w:p>
        </w:tc>
        <w:tc>
          <w:tcPr>
            <w:tcW w:w="1333" w:type="dxa"/>
          </w:tcPr>
          <w:p w14:paraId="0B9C9D1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w:t>
            </w:r>
          </w:p>
        </w:tc>
        <w:tc>
          <w:tcPr>
            <w:tcW w:w="1134" w:type="dxa"/>
          </w:tcPr>
          <w:p w14:paraId="124421E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0,6</w:t>
            </w:r>
          </w:p>
        </w:tc>
        <w:tc>
          <w:tcPr>
            <w:tcW w:w="1276" w:type="dxa"/>
          </w:tcPr>
          <w:p w14:paraId="5AD54F8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w:t>
            </w:r>
          </w:p>
        </w:tc>
        <w:tc>
          <w:tcPr>
            <w:tcW w:w="1276" w:type="dxa"/>
          </w:tcPr>
          <w:p w14:paraId="445868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40</w:t>
            </w:r>
          </w:p>
        </w:tc>
        <w:tc>
          <w:tcPr>
            <w:tcW w:w="1276" w:type="dxa"/>
          </w:tcPr>
          <w:p w14:paraId="0EAADF8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+ 8,5</w:t>
            </w:r>
          </w:p>
        </w:tc>
        <w:tc>
          <w:tcPr>
            <w:tcW w:w="1275" w:type="dxa"/>
          </w:tcPr>
          <w:p w14:paraId="4C4E5E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57-91</w:t>
            </w:r>
          </w:p>
        </w:tc>
      </w:tr>
      <w:tr w:rsidR="00E3599D" w:rsidRPr="00E14102" w14:paraId="463DCED7" w14:textId="77777777">
        <w:tc>
          <w:tcPr>
            <w:tcW w:w="1610" w:type="dxa"/>
          </w:tcPr>
          <w:p w14:paraId="460BA0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Темнокоричневая</w:t>
            </w:r>
          </w:p>
        </w:tc>
        <w:tc>
          <w:tcPr>
            <w:tcW w:w="1333" w:type="dxa"/>
          </w:tcPr>
          <w:p w14:paraId="470A028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1134" w:type="dxa"/>
          </w:tcPr>
          <w:p w14:paraId="660EC86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w:t>
            </w:r>
          </w:p>
        </w:tc>
        <w:tc>
          <w:tcPr>
            <w:tcW w:w="1276" w:type="dxa"/>
          </w:tcPr>
          <w:p w14:paraId="602B2AC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w:t>
            </w:r>
          </w:p>
        </w:tc>
        <w:tc>
          <w:tcPr>
            <w:tcW w:w="1276" w:type="dxa"/>
          </w:tcPr>
          <w:p w14:paraId="7315DF5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40</w:t>
            </w:r>
          </w:p>
        </w:tc>
        <w:tc>
          <w:tcPr>
            <w:tcW w:w="1276" w:type="dxa"/>
          </w:tcPr>
          <w:p w14:paraId="29255FB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+ 6</w:t>
            </w:r>
          </w:p>
        </w:tc>
        <w:tc>
          <w:tcPr>
            <w:tcW w:w="1275" w:type="dxa"/>
          </w:tcPr>
          <w:p w14:paraId="19D61DB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91</w:t>
            </w:r>
          </w:p>
        </w:tc>
      </w:tr>
      <w:tr w:rsidR="00E3599D" w:rsidRPr="00E14102" w14:paraId="59D5B107" w14:textId="77777777">
        <w:tc>
          <w:tcPr>
            <w:tcW w:w="1610" w:type="dxa"/>
            <w:tcBorders>
              <w:bottom w:val="single" w:sz="12" w:space="0" w:color="auto"/>
            </w:tcBorders>
          </w:tcPr>
          <w:p w14:paraId="4C34E92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Белая</w:t>
            </w:r>
          </w:p>
        </w:tc>
        <w:tc>
          <w:tcPr>
            <w:tcW w:w="1333" w:type="dxa"/>
            <w:tcBorders>
              <w:bottom w:val="single" w:sz="12" w:space="0" w:color="auto"/>
            </w:tcBorders>
          </w:tcPr>
          <w:p w14:paraId="24E0FE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1134" w:type="dxa"/>
            <w:tcBorders>
              <w:bottom w:val="single" w:sz="12" w:space="0" w:color="auto"/>
            </w:tcBorders>
          </w:tcPr>
          <w:p w14:paraId="6690F22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1,57</w:t>
            </w:r>
          </w:p>
        </w:tc>
        <w:tc>
          <w:tcPr>
            <w:tcW w:w="1276" w:type="dxa"/>
            <w:tcBorders>
              <w:bottom w:val="single" w:sz="12" w:space="0" w:color="auto"/>
            </w:tcBorders>
          </w:tcPr>
          <w:p w14:paraId="61A5D69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Мерзнет</w:t>
            </w:r>
          </w:p>
        </w:tc>
        <w:tc>
          <w:tcPr>
            <w:tcW w:w="1276" w:type="dxa"/>
            <w:tcBorders>
              <w:bottom w:val="single" w:sz="12" w:space="0" w:color="auto"/>
            </w:tcBorders>
          </w:tcPr>
          <w:p w14:paraId="32257F2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18</w:t>
            </w:r>
          </w:p>
        </w:tc>
        <w:tc>
          <w:tcPr>
            <w:tcW w:w="1276" w:type="dxa"/>
            <w:tcBorders>
              <w:bottom w:val="single" w:sz="12" w:space="0" w:color="auto"/>
            </w:tcBorders>
          </w:tcPr>
          <w:p w14:paraId="638C96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- 2</w:t>
            </w:r>
          </w:p>
        </w:tc>
        <w:tc>
          <w:tcPr>
            <w:tcW w:w="1275" w:type="dxa"/>
            <w:tcBorders>
              <w:bottom w:val="single" w:sz="12" w:space="0" w:color="auto"/>
            </w:tcBorders>
          </w:tcPr>
          <w:p w14:paraId="2378515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89</w:t>
            </w:r>
          </w:p>
        </w:tc>
      </w:tr>
    </w:tbl>
    <w:p w14:paraId="75F530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Для определения стойкости красочных покрытий к атмосферным влияниям, замаскированный самолет находился от 7 до 15 дней на аэродроме (вне ангара), где подвергался действию дождя, ветра, солнца, мороза и т.п. В результате этого установлена хорошая стойкость маскировочных красок к атмосферным явлениям, за исключением зеленой, которая от действия солнца через 1-2 дня постепенно изменила свой цвет в сторону посветления.</w:t>
      </w:r>
    </w:p>
    <w:p w14:paraId="5A4E0D7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p w14:paraId="7F66B35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1FB042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Испытанные краски: зеленая для весеннего и желто-зеленая для осеннего времени, как для одноцветного, так и для камуфляжного окрашивания самолета, являются непригодными и тактико-техническим требованиям не удовлетворяют.</w:t>
      </w:r>
    </w:p>
    <w:p w14:paraId="35DADCE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Камуфляжная окраска самолета в два цвета (белая и темно-коричневая) для зимнего времени создает больший эффект наземной маскировки самолета, чем одноцветное окрашивание только в белый цвет и тактико-техническим требованиям удовлетворяет.</w:t>
      </w:r>
    </w:p>
    <w:p w14:paraId="28586A9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Рецептура красок и способ ее приготовления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76"/>
        <w:gridCol w:w="1476"/>
        <w:gridCol w:w="1476"/>
        <w:gridCol w:w="1476"/>
        <w:gridCol w:w="1476"/>
        <w:gridCol w:w="1476"/>
      </w:tblGrid>
      <w:tr w:rsidR="00E3599D" w:rsidRPr="00E14102" w14:paraId="390ADAF7" w14:textId="77777777">
        <w:tc>
          <w:tcPr>
            <w:tcW w:w="1476" w:type="dxa"/>
          </w:tcPr>
          <w:p w14:paraId="62FF292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Состав краски</w:t>
            </w:r>
          </w:p>
        </w:tc>
        <w:tc>
          <w:tcPr>
            <w:tcW w:w="1476" w:type="dxa"/>
          </w:tcPr>
          <w:p w14:paraId="71DAC3B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Зеленая</w:t>
            </w:r>
          </w:p>
        </w:tc>
        <w:tc>
          <w:tcPr>
            <w:tcW w:w="1476" w:type="dxa"/>
          </w:tcPr>
          <w:p w14:paraId="70940C3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Желтозеленая</w:t>
            </w:r>
          </w:p>
        </w:tc>
        <w:tc>
          <w:tcPr>
            <w:tcW w:w="1476" w:type="dxa"/>
          </w:tcPr>
          <w:p w14:paraId="7AA4883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Темнокоричневая</w:t>
            </w:r>
          </w:p>
        </w:tc>
        <w:tc>
          <w:tcPr>
            <w:tcW w:w="1476" w:type="dxa"/>
          </w:tcPr>
          <w:p w14:paraId="150BA7A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Белая № 1</w:t>
            </w:r>
          </w:p>
        </w:tc>
        <w:tc>
          <w:tcPr>
            <w:tcW w:w="1476" w:type="dxa"/>
          </w:tcPr>
          <w:p w14:paraId="7B2AEE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Белая № 2</w:t>
            </w:r>
          </w:p>
        </w:tc>
      </w:tr>
      <w:tr w:rsidR="00E3599D" w:rsidRPr="00E14102" w14:paraId="6B29C7D9" w14:textId="77777777">
        <w:tc>
          <w:tcPr>
            <w:tcW w:w="1476" w:type="dxa"/>
          </w:tcPr>
          <w:p w14:paraId="707F15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Казеин с бурой</w:t>
            </w:r>
          </w:p>
        </w:tc>
        <w:tc>
          <w:tcPr>
            <w:tcW w:w="1476" w:type="dxa"/>
          </w:tcPr>
          <w:p w14:paraId="565F9B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4,4</w:t>
            </w:r>
          </w:p>
        </w:tc>
        <w:tc>
          <w:tcPr>
            <w:tcW w:w="1476" w:type="dxa"/>
          </w:tcPr>
          <w:p w14:paraId="2CEC00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5,3</w:t>
            </w:r>
          </w:p>
        </w:tc>
        <w:tc>
          <w:tcPr>
            <w:tcW w:w="1476" w:type="dxa"/>
          </w:tcPr>
          <w:p w14:paraId="74D6289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5,3</w:t>
            </w:r>
          </w:p>
        </w:tc>
        <w:tc>
          <w:tcPr>
            <w:tcW w:w="1476" w:type="dxa"/>
          </w:tcPr>
          <w:p w14:paraId="56E086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4,5</w:t>
            </w:r>
          </w:p>
        </w:tc>
        <w:tc>
          <w:tcPr>
            <w:tcW w:w="1476" w:type="dxa"/>
          </w:tcPr>
          <w:p w14:paraId="7E9D148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5,3</w:t>
            </w:r>
          </w:p>
        </w:tc>
      </w:tr>
      <w:tr w:rsidR="00E3599D" w:rsidRPr="00E14102" w14:paraId="0FD7DBF8" w14:textId="77777777">
        <w:tc>
          <w:tcPr>
            <w:tcW w:w="1476" w:type="dxa"/>
          </w:tcPr>
          <w:p w14:paraId="3CE4C83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Пигмент</w:t>
            </w:r>
          </w:p>
        </w:tc>
        <w:tc>
          <w:tcPr>
            <w:tcW w:w="1476" w:type="dxa"/>
          </w:tcPr>
          <w:p w14:paraId="2FE2C87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38,3</w:t>
            </w:r>
          </w:p>
        </w:tc>
        <w:tc>
          <w:tcPr>
            <w:tcW w:w="1476" w:type="dxa"/>
          </w:tcPr>
          <w:p w14:paraId="2A31642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44,0</w:t>
            </w:r>
          </w:p>
        </w:tc>
        <w:tc>
          <w:tcPr>
            <w:tcW w:w="1476" w:type="dxa"/>
          </w:tcPr>
          <w:p w14:paraId="43DD289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44,0</w:t>
            </w:r>
          </w:p>
        </w:tc>
        <w:tc>
          <w:tcPr>
            <w:tcW w:w="1476" w:type="dxa"/>
          </w:tcPr>
          <w:p w14:paraId="166A96E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43,5</w:t>
            </w:r>
          </w:p>
        </w:tc>
        <w:tc>
          <w:tcPr>
            <w:tcW w:w="1476" w:type="dxa"/>
          </w:tcPr>
          <w:p w14:paraId="122AD27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44,2</w:t>
            </w:r>
          </w:p>
        </w:tc>
      </w:tr>
      <w:tr w:rsidR="00E3599D" w:rsidRPr="00E14102" w14:paraId="5E9BF579" w14:textId="77777777">
        <w:tc>
          <w:tcPr>
            <w:tcW w:w="1476" w:type="dxa"/>
          </w:tcPr>
          <w:p w14:paraId="671E854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Спецлак</w:t>
            </w:r>
          </w:p>
        </w:tc>
        <w:tc>
          <w:tcPr>
            <w:tcW w:w="1476" w:type="dxa"/>
          </w:tcPr>
          <w:p w14:paraId="18EC840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w:t>
            </w:r>
          </w:p>
        </w:tc>
        <w:tc>
          <w:tcPr>
            <w:tcW w:w="1476" w:type="dxa"/>
          </w:tcPr>
          <w:p w14:paraId="4492156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w:t>
            </w:r>
          </w:p>
        </w:tc>
        <w:tc>
          <w:tcPr>
            <w:tcW w:w="1476" w:type="dxa"/>
          </w:tcPr>
          <w:p w14:paraId="334CCD5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w:t>
            </w:r>
          </w:p>
        </w:tc>
        <w:tc>
          <w:tcPr>
            <w:tcW w:w="1476" w:type="dxa"/>
          </w:tcPr>
          <w:p w14:paraId="246F4F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w:t>
            </w:r>
          </w:p>
        </w:tc>
        <w:tc>
          <w:tcPr>
            <w:tcW w:w="1476" w:type="dxa"/>
          </w:tcPr>
          <w:p w14:paraId="5D4FEF4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w:t>
            </w:r>
          </w:p>
        </w:tc>
      </w:tr>
      <w:tr w:rsidR="00E3599D" w:rsidRPr="00E14102" w14:paraId="4A8C416A" w14:textId="77777777">
        <w:tc>
          <w:tcPr>
            <w:tcW w:w="1476" w:type="dxa"/>
          </w:tcPr>
          <w:p w14:paraId="20250C0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Вода</w:t>
            </w:r>
          </w:p>
        </w:tc>
        <w:tc>
          <w:tcPr>
            <w:tcW w:w="1476" w:type="dxa"/>
          </w:tcPr>
          <w:p w14:paraId="484A758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54,8</w:t>
            </w:r>
          </w:p>
        </w:tc>
        <w:tc>
          <w:tcPr>
            <w:tcW w:w="1476" w:type="dxa"/>
          </w:tcPr>
          <w:p w14:paraId="6B8B9C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47,7</w:t>
            </w:r>
          </w:p>
        </w:tc>
        <w:tc>
          <w:tcPr>
            <w:tcW w:w="1476" w:type="dxa"/>
          </w:tcPr>
          <w:p w14:paraId="660D24B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47,7</w:t>
            </w:r>
          </w:p>
        </w:tc>
        <w:tc>
          <w:tcPr>
            <w:tcW w:w="1476" w:type="dxa"/>
          </w:tcPr>
          <w:p w14:paraId="21478D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47,0</w:t>
            </w:r>
          </w:p>
        </w:tc>
        <w:tc>
          <w:tcPr>
            <w:tcW w:w="1476" w:type="dxa"/>
          </w:tcPr>
          <w:p w14:paraId="5101BBB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47,5</w:t>
            </w:r>
          </w:p>
        </w:tc>
      </w:tr>
      <w:tr w:rsidR="00E3599D" w:rsidRPr="00E14102" w14:paraId="456AE83F" w14:textId="77777777">
        <w:tc>
          <w:tcPr>
            <w:tcW w:w="1476" w:type="dxa"/>
          </w:tcPr>
          <w:p w14:paraId="01B64DB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Всего</w:t>
            </w:r>
          </w:p>
        </w:tc>
        <w:tc>
          <w:tcPr>
            <w:tcW w:w="1476" w:type="dxa"/>
          </w:tcPr>
          <w:p w14:paraId="49D0F10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100,0%</w:t>
            </w:r>
          </w:p>
        </w:tc>
        <w:tc>
          <w:tcPr>
            <w:tcW w:w="1476" w:type="dxa"/>
          </w:tcPr>
          <w:p w14:paraId="6FBC4BB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100,0%</w:t>
            </w:r>
          </w:p>
        </w:tc>
        <w:tc>
          <w:tcPr>
            <w:tcW w:w="1476" w:type="dxa"/>
          </w:tcPr>
          <w:p w14:paraId="25B109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100,0%</w:t>
            </w:r>
          </w:p>
        </w:tc>
        <w:tc>
          <w:tcPr>
            <w:tcW w:w="1476" w:type="dxa"/>
          </w:tcPr>
          <w:p w14:paraId="13D6217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100,0%</w:t>
            </w:r>
          </w:p>
        </w:tc>
        <w:tc>
          <w:tcPr>
            <w:tcW w:w="1476" w:type="dxa"/>
          </w:tcPr>
          <w:p w14:paraId="18CE825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100,0%</w:t>
            </w:r>
          </w:p>
        </w:tc>
      </w:tr>
    </w:tbl>
    <w:p w14:paraId="315C8BE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зависимости от цвета и оттенка в качестве пигментов применялись разные минеральные краски, кроме зеленой, где был применен органический краситель в количестве 1,3%, а остальные 37,0% составлял мел, как наполнитель.</w:t>
      </w:r>
    </w:p>
    <w:p w14:paraId="4670270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 испытании в зеленую краску вводился спецлак от 2,5 до 3%, а в белую № 1 от 5 до 15% за счет понижения % состава воды.</w:t>
      </w:r>
    </w:p>
    <w:p w14:paraId="57956ED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Пигмент краски белой № 2 отличался от белой № 1 содержанием 0,2% синьки (6686).</w:t>
      </w:r>
    </w:p>
    <w:p w14:paraId="1ACAE6C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5045F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марта 1935 в ЦАГИ состоялось отчетное совещание по 1934 (1024,69).</w:t>
      </w:r>
    </w:p>
    <w:p w14:paraId="43E29AB7" w14:textId="77777777" w:rsidR="00D4105E" w:rsidRPr="00E14102" w:rsidRDefault="00D4105E" w:rsidP="00E14102">
      <w:pPr>
        <w:autoSpaceDE w:val="0"/>
        <w:autoSpaceDN w:val="0"/>
        <w:adjustRightInd w:val="0"/>
        <w:jc w:val="both"/>
        <w:rPr>
          <w:color w:val="000000" w:themeColor="text1"/>
          <w:sz w:val="16"/>
          <w:szCs w:val="16"/>
        </w:rPr>
      </w:pPr>
    </w:p>
    <w:p w14:paraId="67562E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15 марта 1935 в Евпатории бездействовали в ожидании пушек АПК-4М три И-Зет. В июне прибыло еще 6 И-Зет. Стреляли по конусу, который тянул Р-5. На ТБ-1 в задней турели вместо пулемета поставили 37 мм ружье Курчевского - 32 кг, снаряд 0.6 кг, заряд 0.19 кг, скорость - 534 м/с с ручной подачей. Темп 0- 5-6 выстрелов в минуту (3996, 95).</w:t>
      </w:r>
    </w:p>
    <w:p w14:paraId="70400487" w14:textId="77777777" w:rsidR="00D4105E" w:rsidRPr="00E14102" w:rsidRDefault="00D4105E" w:rsidP="00E14102">
      <w:pPr>
        <w:autoSpaceDE w:val="0"/>
        <w:autoSpaceDN w:val="0"/>
        <w:adjustRightInd w:val="0"/>
        <w:jc w:val="both"/>
        <w:rPr>
          <w:color w:val="000000" w:themeColor="text1"/>
          <w:sz w:val="16"/>
          <w:szCs w:val="16"/>
        </w:rPr>
      </w:pPr>
    </w:p>
    <w:p w14:paraId="62FAB5B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и 9 марта 1935 г. начальник У ВС РККАЯ.И.Алкснис утвердил ТТТ на два варианта установок для стрельбы РС-132 с самолета ТБ-3, составленные начальником НИИ ВС РККА В.К.Лавровым, Одна из них - под консоли плоскостей — мало чем отличалась от используемых на истребителях. Вторая была более оригинальной конструкции — она размещалась в бомбоотсеке и выдвигалась из него только для выстрела. Основное на</w:t>
      </w:r>
      <w:r w:rsidRPr="00E14102">
        <w:rPr>
          <w:color w:val="000000" w:themeColor="text1"/>
          <w:sz w:val="16"/>
          <w:szCs w:val="16"/>
        </w:rPr>
        <w:softHyphen/>
        <w:t>значение обеих орудийных установок — ведение заградительного огня для отражения лобовых атак истребителей. Вспомогательное - действие по наземным целям, не проходя над ними.</w:t>
      </w:r>
    </w:p>
    <w:p w14:paraId="47190A8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Ракетная установка под крылом должна была состоять из двух четырехорудийных агрегатов (соединенных между собой четырех пар напра</w:t>
      </w:r>
      <w:r w:rsidRPr="00E14102">
        <w:rPr>
          <w:color w:val="000000" w:themeColor="text1"/>
          <w:sz w:val="16"/>
          <w:szCs w:val="16"/>
        </w:rPr>
        <w:softHyphen/>
        <w:t>вляющих). Как и на истребителях И-16, конструктивно пусковые исклю</w:t>
      </w:r>
      <w:r w:rsidRPr="00E14102">
        <w:rPr>
          <w:color w:val="000000" w:themeColor="text1"/>
          <w:sz w:val="16"/>
          <w:szCs w:val="16"/>
        </w:rPr>
        <w:softHyphen/>
        <w:t>чали при стрельбе возможность ожога обшивки плоскости самолета и рядом лежащего снаряда. И хотя пакет направляющих жестко крепил</w:t>
      </w:r>
      <w:r w:rsidRPr="00E14102">
        <w:rPr>
          <w:color w:val="000000" w:themeColor="text1"/>
          <w:sz w:val="16"/>
          <w:szCs w:val="16"/>
        </w:rPr>
        <w:softHyphen/>
        <w:t>ся к крылу, требования по юстировке были как для сбрасываемых сган-ков и орудий на истребителях И-14. Оборудовать ими серийные машины ТБ-3 требовалось в условиях строевых частей без участия заводских спе</w:t>
      </w:r>
      <w:r w:rsidRPr="00E14102">
        <w:rPr>
          <w:color w:val="000000" w:themeColor="text1"/>
          <w:sz w:val="16"/>
          <w:szCs w:val="16"/>
        </w:rPr>
        <w:softHyphen/>
        <w:t>циалистов и без заводских переделок.</w:t>
      </w:r>
    </w:p>
    <w:p w14:paraId="26B51A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Боевую кнопку для стрельбы планировали разместить в кабине штурмана и обязательно оснастить ее предохранителем. Прибор управления . огнем должен был позволять вести огонь одиночный, залпами и любым количеством снарядов вплоть до восьми с временным интервалом от 0,13" до 1,0 с автоматически. Массу одного агрегата без боеприпасов ограничили 25 кг. Требования к точности стрельбы обеих установок практически не отличались от аналогичных к 82-мм ракетных систем на истреби</w:t>
      </w:r>
      <w:r w:rsidRPr="00E14102">
        <w:rPr>
          <w:color w:val="000000" w:themeColor="text1"/>
          <w:sz w:val="16"/>
          <w:szCs w:val="16"/>
        </w:rPr>
        <w:softHyphen/>
        <w:t>телях - на 4000 м рассеивание по дальности и боковому направлению не более 1/150 дистанции. На 2000 м - не более 1/120 дистанции.</w:t>
      </w:r>
    </w:p>
    <w:p w14:paraId="0CD23B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Внутри фюзеляжная установка должна была состоять из двух орудий, также направляющих для их вывода на линию огня (лифтовых уст</w:t>
      </w:r>
      <w:r w:rsidRPr="00E14102">
        <w:rPr>
          <w:color w:val="000000" w:themeColor="text1"/>
          <w:sz w:val="16"/>
          <w:szCs w:val="16"/>
        </w:rPr>
        <w:softHyphen/>
        <w:t>ройств) и двух кассет для боепитания ракетными снарядами (но шесть штук в каждой кассете). Каждое из орудий требовалось расположить в бомбоотсеках фюзеляжа и выдвигать только для стрельбы. Конструк</w:t>
      </w:r>
      <w:r w:rsidRPr="00E14102">
        <w:rPr>
          <w:color w:val="000000" w:themeColor="text1"/>
          <w:sz w:val="16"/>
          <w:szCs w:val="16"/>
        </w:rPr>
        <w:softHyphen/>
        <w:t>ция должна была обеспечивать механическую или автоматическую пода-Чу очередного снаряда из кассеты в орудие, а усилие при подаче снарядов и подъеме орудия - не превышать 8-10 кг.</w:t>
      </w:r>
    </w:p>
    <w:p w14:paraId="783464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Масса установки для шести снарядов без боеприпасов - не более 75 кг- Она должна была быть съемной и легко монтируемой в условиях строевых частей в бомбоотсеки, «не вызывая разъема частей самолета». Упра</w:t>
      </w:r>
      <w:r w:rsidRPr="00E14102">
        <w:rPr>
          <w:color w:val="000000" w:themeColor="text1"/>
          <w:sz w:val="16"/>
          <w:szCs w:val="16"/>
        </w:rPr>
        <w:softHyphen/>
        <w:t>вление огнем - от электросбрасывателя с возможностью стрельбы одиочной и залпом (очевидно, из двух орудий, одновременно выпущенных из обеих секций бомбоотсека). Поскольку каждое из орудий в полете обслуживает отдельный член экипажа, конструкция пусковой должна была отвечать требованиям зашиты личного состава и обшивки самолета от воздействия струи стартующего боеприпаса.</w:t>
      </w:r>
    </w:p>
    <w:p w14:paraId="0CEFC7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Авиаторов не удовлетворила банальная стрельба с бомбардировщика прямо по курсу, и они потребовали предусмотреть возможность изменять в полете установочные углы орудий в вертикальной и горизонтальной плоскостях в пределах 5° в каждую сторону «при помощи простого и легкого механизма с управлением из кабины штурмана». Любопытно было бы взглянуть хотя бы на проект такого механизма при отсутствии тогда еще синхронно-следящих приводов. А кроме того, при монтаже в наем</w:t>
      </w:r>
      <w:r w:rsidRPr="00E14102">
        <w:rPr>
          <w:color w:val="000000" w:themeColor="text1"/>
          <w:sz w:val="16"/>
          <w:szCs w:val="16"/>
        </w:rPr>
        <w:softHyphen/>
        <w:t>ных условиях возможности ее юстировки в вертикальной и горизонталь</w:t>
      </w:r>
      <w:r w:rsidRPr="00E14102">
        <w:rPr>
          <w:color w:val="000000" w:themeColor="text1"/>
          <w:sz w:val="16"/>
          <w:szCs w:val="16"/>
        </w:rPr>
        <w:softHyphen/>
        <w:t>ной плоскостях должны были сохраняться - в пределах 3° в каждую сто</w:t>
      </w:r>
      <w:r w:rsidRPr="00E14102">
        <w:rPr>
          <w:color w:val="000000" w:themeColor="text1"/>
          <w:sz w:val="16"/>
          <w:szCs w:val="16"/>
        </w:rPr>
        <w:softHyphen/>
        <w:t>рону (11402).</w:t>
      </w:r>
    </w:p>
    <w:p w14:paraId="65CB25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D70B5F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8026C79" w14:textId="77777777" w:rsidR="00D4105E" w:rsidRPr="00E14102" w:rsidRDefault="00D4105E" w:rsidP="00E14102">
      <w:pPr>
        <w:autoSpaceDE w:val="0"/>
        <w:autoSpaceDN w:val="0"/>
        <w:adjustRightInd w:val="0"/>
        <w:jc w:val="both"/>
        <w:rPr>
          <w:iCs/>
          <w:color w:val="000000" w:themeColor="text1"/>
          <w:sz w:val="16"/>
          <w:szCs w:val="16"/>
        </w:rPr>
      </w:pPr>
    </w:p>
    <w:p w14:paraId="000835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марта 1935 нач. ВМАкадемии получил из ЦКБ-2 пакет: “Посылаем Вам в порядке тактического предложения эскизы подводного крейсера, линкора и авианосца.</w:t>
      </w:r>
    </w:p>
    <w:p w14:paraId="55F283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Просим дать ваш отзыв с точки зрения целелсообразности дальнейшей работы в указанных направлениях”.</w:t>
      </w:r>
    </w:p>
    <w:p w14:paraId="539A51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Водоизмещение - 7500/10125 т, длина 195 м, диаметр прочного корпуса - 7.8 м.</w:t>
      </w:r>
    </w:p>
    <w:p w14:paraId="623B69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Высказались отрицательно по линкору и авианосцу, но поддержали идею крейсера (3861, 115).</w:t>
      </w:r>
    </w:p>
    <w:p w14:paraId="1C4C5588" w14:textId="77777777" w:rsidR="00D4105E" w:rsidRPr="00E14102" w:rsidRDefault="00D4105E" w:rsidP="00E14102">
      <w:pPr>
        <w:autoSpaceDE w:val="0"/>
        <w:autoSpaceDN w:val="0"/>
        <w:adjustRightInd w:val="0"/>
        <w:jc w:val="both"/>
        <w:rPr>
          <w:color w:val="000000" w:themeColor="text1"/>
          <w:sz w:val="16"/>
          <w:szCs w:val="16"/>
        </w:rPr>
      </w:pPr>
    </w:p>
    <w:p w14:paraId="377A150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1867AF9" w14:textId="77777777" w:rsidR="00D4105E" w:rsidRPr="00E14102" w:rsidRDefault="00D4105E" w:rsidP="00E14102">
      <w:pPr>
        <w:autoSpaceDE w:val="0"/>
        <w:autoSpaceDN w:val="0"/>
        <w:adjustRightInd w:val="0"/>
        <w:jc w:val="both"/>
        <w:rPr>
          <w:iCs/>
          <w:color w:val="000000" w:themeColor="text1"/>
          <w:sz w:val="16"/>
          <w:szCs w:val="16"/>
        </w:rPr>
      </w:pPr>
    </w:p>
    <w:p w14:paraId="7F2887D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марта 1935 в СССР принято постановление о депортации антисоветских элементов из приграничных районов Ленинградской области и Карелии (4962).</w:t>
      </w:r>
    </w:p>
    <w:p w14:paraId="50EFED5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F71F3B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марта 1935 года приняло решение депортировать "антисоветские семьи", находящимся на границе с Ленинградом и в автономной республике Карелия, которые и были отселены в Казахстан и Западную Сибирь. Речь шла в основном о финнах, которые стали первыми жертвами этнической "чистки", достигшей во время войны своего апогея. За этой первой большой депортацией 10 тысяч человек по национальному признаку последовала вторая, в 1936 году, коснувшаяся 15.000 семей поляков и украинских немцев, которые были переселены в Казахстан, в район Караганды, и размещены в колхозах (6804).</w:t>
      </w:r>
    </w:p>
    <w:p w14:paraId="719F484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6A5EB9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264B1708" w14:textId="77777777" w:rsidR="00D4105E" w:rsidRPr="00E14102" w:rsidRDefault="00D4105E" w:rsidP="00E14102">
      <w:pPr>
        <w:autoSpaceDE w:val="0"/>
        <w:autoSpaceDN w:val="0"/>
        <w:adjustRightInd w:val="0"/>
        <w:jc w:val="both"/>
        <w:rPr>
          <w:iCs/>
          <w:color w:val="000000" w:themeColor="text1"/>
          <w:sz w:val="16"/>
          <w:szCs w:val="16"/>
        </w:rPr>
      </w:pPr>
    </w:p>
    <w:p w14:paraId="29BF63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марта 1935 г. ЗАПИСКА ВРИД. НАЧАЛЬНИКА РАЗВЕДУПРАВЛЕНИЯ РККА НАРКОМУ ОБОРОНЫ СССР К.Е. ВОРОШИЛОВУ № 240752сс</w:t>
      </w:r>
    </w:p>
    <w:p w14:paraId="2E5243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Совершенно секретно </w:t>
      </w:r>
    </w:p>
    <w:p w14:paraId="24FB9D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При сем представляю краткое содержание записки о подготовке фашистской Германии к войне. </w:t>
      </w:r>
    </w:p>
    <w:p w14:paraId="63CDFE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ПРИЛОЖЕНИЕ: вышеупомянутое на 4 листах. </w:t>
      </w:r>
    </w:p>
    <w:p w14:paraId="70A437DC"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Врид. начальника Разведывательного управления РККА Артузов</w:t>
      </w:r>
    </w:p>
    <w:p w14:paraId="66FFD9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Краткое содержание записки о подготовке фашистской Германии к войне </w:t>
      </w:r>
    </w:p>
    <w:p w14:paraId="004210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начале 1933 г. командование рейхсвера предоставило Гитлеру план развертывания вооруженных сил Германии, рассчитанный на 4 года. Фактически довооружение идет гораздо быстрее. </w:t>
      </w:r>
    </w:p>
    <w:p w14:paraId="018DA6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Подготовка к войне выражается в следующем: \518\ </w:t>
      </w:r>
    </w:p>
    <w:p w14:paraId="32389F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Организация высшего военного управления перестроена применительно к требованиям военного времени (см. схему). </w:t>
      </w:r>
    </w:p>
    <w:p w14:paraId="4146A3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Количество пехотных дивизий к 1.04.35 г. должно быть доведено до 42 (из них 21 дивизия второочередных), т.е. увеличение в 6 раз. </w:t>
      </w:r>
    </w:p>
    <w:p w14:paraId="4DF9E1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Количество кав.полков увеличивается в 2,5 раза (42 вместо прежн. 18к.п.). </w:t>
      </w:r>
    </w:p>
    <w:p w14:paraId="065B19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Артиллерия увеличивается в 6,5 раз (ок.560 батарей вместо 84), причем вновь создается тяжелая и береговая артиллерия (ок.20 д-нов). </w:t>
      </w:r>
    </w:p>
    <w:p w14:paraId="6FEC51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Вновь создаются мотомех. Войска. К 1.04.35 г. предположено было закончить формирование 7 - 9 танковых батальонов, 1 мотокорпуса в составе 1 мех.бригады, 2 противотанковых бригад, 1 полка ПТО, 1 мотобригады, 1 мотодивизии. </w:t>
      </w:r>
    </w:p>
    <w:p w14:paraId="57F13E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Увеличиваются кадры комсостава путем призыва из запаса 8000 офицеров, путем сокращения срока обучения в офицерских школах (1,5 года вместо 2) и большого увеличения количества школ (существует 110 школ) по подготовке младшего и среднего комсостава. </w:t>
      </w:r>
    </w:p>
    <w:p w14:paraId="5CFB44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мае 1934 г. впервые призвано 36.000 студентов на 6 месяцев в летние лагеря для подготовки их в офицеры запаса. </w:t>
      </w:r>
    </w:p>
    <w:p w14:paraId="2E8888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Такими же темпами ведется подготовка обученного запаса военнообязанных через разные военизированные организации и рейхсвер. </w:t>
      </w:r>
    </w:p>
    <w:p w14:paraId="46F917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Подсчеты показывают, что наличие подготовленных кадров позволяет германскому командованию развернуть весной 1935 г. до 40 пех.дивизий в 1-м эшелоне мобилизуемой армии, через 2-3 месяца войны довести количество дивизий до 60. В случае реализации мероприятий по подготовке резервов, намеченных в 1935 г., командование рейхсвера к весне 1936 г. сможет выставить в первом эшелоне мобилизуемой армии 60 пехотных дивизий, а в течение 1 года войны не менее 100 пех.дивизий. </w:t>
      </w:r>
    </w:p>
    <w:p w14:paraId="5D01C7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рейхсвере в настоящее время ведется лихорадочная работа как в области перевооружения армии новыми образцами оружия, так и в особенности в области разработок и конструирования новых образцов оружия и современных технических средств борьбы. Между прочим, к данному времени рейхсвер располагает не менее 1000 танков (разных образцов). </w:t>
      </w:r>
    </w:p>
    <w:p w14:paraId="284361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Военно-экономическая подготовка ведется по линии: </w:t>
      </w:r>
    </w:p>
    <w:p w14:paraId="3BEFA0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расширения и укрепления сырьевой военно-производственной базы; </w:t>
      </w:r>
    </w:p>
    <w:p w14:paraId="72FA45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 развертывания сети кадровой военной промышленности и подготовки промышленности к войне; </w:t>
      </w:r>
    </w:p>
    <w:p w14:paraId="065780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3. организационного построения аппарата для мобилизации народного хозяйства и промышленности. </w:t>
      </w:r>
    </w:p>
    <w:p w14:paraId="65DD74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частности к настоящему времени созданы запасы важнейших видов сырья в количестве 6 - 8-месячной потребности 1-го года войны. Построен цинковый завод мощностью в 60 тыс. тонн в год. Накоплен запас жидкого горючего в размере ок. 1 млн. тонн. </w:t>
      </w:r>
    </w:p>
    <w:p w14:paraId="7BD69B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Развертывание военной промышленности и интенсивная работа ее дали возможность довести к настоящему времени запасы материальной части вооружения до пределов, достаточных для развертывания 40 дивизий. </w:t>
      </w:r>
    </w:p>
    <w:p w14:paraId="730F3B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 xml:space="preserve">Воздушный флот. Почти за 1,5 года фашисты создали воздушный флот в 600 боевых самолетов, из коих 60% бомбардировщиков. </w:t>
      </w:r>
    </w:p>
    <w:p w14:paraId="2A676F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Приняты энергичные меры к быстрой подготовке личного состава авиации, через многочисленные военные школы и спортивную авиацию. В данный период \519\ подготовляется ок. 2000 лиц летного состава. Школа техников выпустила в 1934 г. ок. 2500 чел. тех. состава. </w:t>
      </w:r>
    </w:p>
    <w:p w14:paraId="5D2311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Создано воздушное министерство в 1933 г. С 1934 г. создана "воздушная дивизия", объединяющая бомбардировочную и истребительную авиацию. </w:t>
      </w:r>
    </w:p>
    <w:p w14:paraId="2572EB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Организована инспекция резервов ВВС, задача которой - подготовить ок. 20000 резервистов ВВС. </w:t>
      </w:r>
    </w:p>
    <w:p w14:paraId="44C3DD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Производственная мощь авиапромышленности доведена до 500 самолетов в месяц. </w:t>
      </w:r>
    </w:p>
    <w:p w14:paraId="292605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настоящее время в стране имеется ок. 2800 самолетов. </w:t>
      </w:r>
    </w:p>
    <w:p w14:paraId="32BC13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Общий итог. Германская армия за период с фашистского переворота имеет по всем линиям громадный рост. Имеются значительные успехи по перевооружению армии новейшими техническими средствами борьбы. </w:t>
      </w:r>
    </w:p>
    <w:p w14:paraId="7431E2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Несмотря на лихорадочную подготовку материальных ресурсов к войне, Германия, вследствие тяжелого экономического положения и относительной краткости сроков (1,5-2 года), не смогла еще довести экономическую подготовку до уровня полного использования ее потенциальных возможностей. Для того, чтобы стать на уровень готовности других стран (Франция, Англия, Польша), ей необходимо еще минимум 1 год. </w:t>
      </w:r>
    </w:p>
    <w:p w14:paraId="38D5EF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Само германское командование считает, что для борьбы одновременно на два фронта - против Франции и СССР, и даже для войны с одним СССР, германская армия в 1935 г. еще не готова. </w:t>
      </w:r>
    </w:p>
    <w:p w14:paraId="024611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Однако, по имеющимся у нас серьезным агентурным данным, Бломберг, Фриче, Рейхенау и Геринг допускают возможность участия Германии в войне уже в 1935 г. при условии одновременного нападения на СССР Японии и выступления Польши и Финляндии на стороне Германии. </w:t>
      </w:r>
    </w:p>
    <w:p w14:paraId="550FC386"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С подлинным верно:</w:t>
      </w:r>
    </w:p>
    <w:p w14:paraId="58CCC346"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лом. нач. Разведуправления РККА Штейнбрюк</w:t>
      </w:r>
    </w:p>
    <w:p w14:paraId="426C2B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РГВА. Ф.33987. Оп.Зс. Д.774. Л.234. Машинопись на бланке: "НКО СССР. Разведывательное управление Рабоче-Крестьянской Красной Армии". Подлинник, автограф (11690).</w:t>
      </w:r>
    </w:p>
    <w:p w14:paraId="4ADBE2E0" w14:textId="77777777" w:rsidR="00D4105E" w:rsidRPr="00E14102" w:rsidRDefault="00D4105E" w:rsidP="00E14102">
      <w:pPr>
        <w:autoSpaceDE w:val="0"/>
        <w:autoSpaceDN w:val="0"/>
        <w:adjustRightInd w:val="0"/>
        <w:jc w:val="both"/>
        <w:rPr>
          <w:color w:val="000000" w:themeColor="text1"/>
          <w:sz w:val="16"/>
          <w:szCs w:val="16"/>
        </w:rPr>
      </w:pPr>
    </w:p>
    <w:p w14:paraId="709B958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BC50476" w14:textId="77777777" w:rsidR="00D4105E" w:rsidRPr="00E14102" w:rsidRDefault="00D4105E" w:rsidP="00E14102">
      <w:pPr>
        <w:autoSpaceDE w:val="0"/>
        <w:autoSpaceDN w:val="0"/>
        <w:adjustRightInd w:val="0"/>
        <w:jc w:val="both"/>
        <w:rPr>
          <w:iCs/>
          <w:color w:val="000000" w:themeColor="text1"/>
          <w:sz w:val="16"/>
          <w:szCs w:val="16"/>
        </w:rPr>
      </w:pPr>
    </w:p>
    <w:p w14:paraId="7048EC38" w14:textId="77777777" w:rsidR="00A06CF0" w:rsidRPr="00E14102" w:rsidRDefault="00A06CF0" w:rsidP="00E14102">
      <w:pPr>
        <w:jc w:val="both"/>
        <w:rPr>
          <w:color w:val="000000" w:themeColor="text1"/>
          <w:sz w:val="16"/>
          <w:szCs w:val="16"/>
        </w:rPr>
      </w:pPr>
      <w:r w:rsidRPr="00E14102">
        <w:rPr>
          <w:bCs/>
          <w:color w:val="000000" w:themeColor="text1"/>
          <w:sz w:val="16"/>
          <w:szCs w:val="16"/>
        </w:rPr>
        <w:t>15 марта</w:t>
      </w:r>
      <w:r w:rsidRPr="00E14102">
        <w:rPr>
          <w:color w:val="000000" w:themeColor="text1"/>
          <w:sz w:val="16"/>
          <w:szCs w:val="16"/>
        </w:rPr>
        <w:t xml:space="preserve"> в 1935 году первый полет опытного гидросамолета </w:t>
      </w:r>
      <w:hyperlink r:id="rId61" w:tgtFrame="_blank" w:history="1">
        <w:r w:rsidRPr="00E14102">
          <w:rPr>
            <w:color w:val="000000" w:themeColor="text1"/>
            <w:sz w:val="16"/>
            <w:szCs w:val="16"/>
          </w:rPr>
          <w:t xml:space="preserve">«Do.18а» («D-AHIS») </w:t>
        </w:r>
      </w:hyperlink>
      <w:r w:rsidRPr="00E14102">
        <w:rPr>
          <w:color w:val="000000" w:themeColor="text1"/>
          <w:sz w:val="16"/>
          <w:szCs w:val="16"/>
        </w:rPr>
        <w:t>c двумя дизельными двигателями «Junkers» «Jumo 5» мощностью 540л.с. Радиаторы располагались в пилоне крыла. Планируемые двигатели «Jumo-205» были еще не готовы (15069).</w:t>
      </w:r>
    </w:p>
    <w:p w14:paraId="389B19E1" w14:textId="77777777" w:rsidR="00A06CF0" w:rsidRPr="00E14102" w:rsidRDefault="00A06CF0" w:rsidP="00E14102">
      <w:pPr>
        <w:jc w:val="both"/>
        <w:rPr>
          <w:color w:val="000000" w:themeColor="text1"/>
          <w:sz w:val="16"/>
          <w:szCs w:val="16"/>
        </w:rPr>
      </w:pPr>
    </w:p>
    <w:p w14:paraId="6A0D6A9D" w14:textId="77777777" w:rsidR="00C55468" w:rsidRPr="00E14102" w:rsidRDefault="00C55468" w:rsidP="00E14102">
      <w:pPr>
        <w:jc w:val="both"/>
        <w:rPr>
          <w:color w:val="0070C0"/>
          <w:sz w:val="16"/>
          <w:szCs w:val="16"/>
        </w:rPr>
      </w:pPr>
      <w:r w:rsidRPr="00E14102">
        <w:rPr>
          <w:color w:val="0070C0"/>
          <w:sz w:val="16"/>
          <w:szCs w:val="16"/>
        </w:rPr>
        <w:t>15 марта 1935 состоялся первый полет Дорнье До 18  (20800).</w:t>
      </w:r>
    </w:p>
    <w:p w14:paraId="1FC00066" w14:textId="77777777" w:rsidR="00C55468" w:rsidRPr="00E14102" w:rsidRDefault="00C55468" w:rsidP="00E14102">
      <w:pPr>
        <w:jc w:val="both"/>
        <w:rPr>
          <w:color w:val="0070C0"/>
          <w:sz w:val="16"/>
          <w:szCs w:val="16"/>
        </w:rPr>
      </w:pPr>
    </w:p>
    <w:p w14:paraId="23DC0A18" w14:textId="77777777" w:rsidR="00C55468" w:rsidRPr="00E14102" w:rsidRDefault="00C55468" w:rsidP="00E14102">
      <w:pPr>
        <w:jc w:val="both"/>
        <w:rPr>
          <w:color w:val="0070C0"/>
          <w:sz w:val="16"/>
          <w:szCs w:val="16"/>
        </w:rPr>
      </w:pPr>
      <w:r w:rsidRPr="00E14102">
        <w:rPr>
          <w:color w:val="0070C0"/>
          <w:sz w:val="16"/>
          <w:szCs w:val="16"/>
        </w:rPr>
        <w:t>15 марта 1935 - Первый полет опытного гидросамолета, дальнего морского разведчика Do.18а (D-AHIS) c двумя дизельными двигателями Junkers Jumo 5 мощностью 540 л.с. Радиаторы располагались в пилоне крыла. Планируемые двигатели Jumo-205 были еще не готовы, но на серийные самолеты устанавливались (22567).</w:t>
      </w:r>
    </w:p>
    <w:p w14:paraId="4B7C07AB" w14:textId="77777777" w:rsidR="00C55468" w:rsidRPr="00E14102" w:rsidRDefault="00C55468" w:rsidP="00E14102">
      <w:pPr>
        <w:jc w:val="both"/>
        <w:rPr>
          <w:color w:val="0070C0"/>
          <w:sz w:val="16"/>
          <w:szCs w:val="16"/>
        </w:rPr>
      </w:pPr>
    </w:p>
    <w:p w14:paraId="313C9831" w14:textId="77777777" w:rsidR="00A06CF0" w:rsidRPr="00E14102" w:rsidRDefault="00A06CF0"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марта 1935 Рейхсвер стал Вермахтом (4963).</w:t>
      </w:r>
    </w:p>
    <w:p w14:paraId="7CA76644" w14:textId="77777777" w:rsidR="00A06CF0" w:rsidRPr="00E14102" w:rsidRDefault="00A06CF0" w:rsidP="00E14102">
      <w:pPr>
        <w:tabs>
          <w:tab w:val="left" w:pos="11199"/>
        </w:tabs>
        <w:autoSpaceDE w:val="0"/>
        <w:autoSpaceDN w:val="0"/>
        <w:adjustRightInd w:val="0"/>
        <w:jc w:val="both"/>
        <w:rPr>
          <w:color w:val="000000" w:themeColor="text1"/>
          <w:sz w:val="16"/>
          <w:szCs w:val="16"/>
        </w:rPr>
      </w:pPr>
    </w:p>
    <w:p w14:paraId="3D0B30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марта 1935 Й.Гебельс запретил 4 берлинских газеты (2100).</w:t>
      </w:r>
    </w:p>
    <w:p w14:paraId="713FF5A2" w14:textId="77777777" w:rsidR="00D4105E" w:rsidRPr="00E14102" w:rsidRDefault="00D4105E" w:rsidP="00E14102">
      <w:pPr>
        <w:autoSpaceDE w:val="0"/>
        <w:autoSpaceDN w:val="0"/>
        <w:adjustRightInd w:val="0"/>
        <w:jc w:val="both"/>
        <w:rPr>
          <w:color w:val="000000" w:themeColor="text1"/>
          <w:sz w:val="16"/>
          <w:szCs w:val="16"/>
        </w:rPr>
      </w:pPr>
    </w:p>
    <w:p w14:paraId="3DBF328D" w14:textId="77777777" w:rsidR="00A06CF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B0317DF" w14:textId="77777777" w:rsidR="00A06CF0" w:rsidRPr="00E14102" w:rsidRDefault="00A06CF0" w:rsidP="00E14102">
      <w:pPr>
        <w:autoSpaceDE w:val="0"/>
        <w:autoSpaceDN w:val="0"/>
        <w:adjustRightInd w:val="0"/>
        <w:jc w:val="both"/>
        <w:rPr>
          <w:iCs/>
          <w:color w:val="000000" w:themeColor="text1"/>
          <w:sz w:val="16"/>
          <w:szCs w:val="16"/>
        </w:rPr>
      </w:pPr>
    </w:p>
    <w:p w14:paraId="70B7BF3E" w14:textId="77777777" w:rsidR="00A06CF0" w:rsidRPr="00E14102" w:rsidRDefault="00A06CF0" w:rsidP="00E14102">
      <w:pPr>
        <w:jc w:val="both"/>
        <w:rPr>
          <w:color w:val="000000" w:themeColor="text1"/>
          <w:sz w:val="16"/>
          <w:szCs w:val="16"/>
        </w:rPr>
      </w:pPr>
      <w:r w:rsidRPr="00E14102">
        <w:rPr>
          <w:color w:val="000000" w:themeColor="text1"/>
          <w:sz w:val="16"/>
          <w:szCs w:val="16"/>
        </w:rPr>
        <w:t>До середины марта 1935 выполнили ещё три полёта, после чего с самолёта сняли моторы для установки на самолёт 40-И</w:t>
      </w:r>
      <w:r w:rsidRPr="00E14102">
        <w:rPr>
          <w:color w:val="000000" w:themeColor="text1"/>
          <w:sz w:val="16"/>
          <w:szCs w:val="16"/>
          <w:vertAlign w:val="superscript"/>
        </w:rPr>
        <w:t>5</w:t>
      </w:r>
      <w:r w:rsidRPr="00E14102">
        <w:rPr>
          <w:color w:val="000000" w:themeColor="text1"/>
          <w:sz w:val="16"/>
          <w:szCs w:val="16"/>
        </w:rPr>
        <w:t>, а ДИП перевезли в ЗОК для доработок (15823).</w:t>
      </w:r>
    </w:p>
    <w:p w14:paraId="5430A9D4" w14:textId="77777777" w:rsidR="00A06CF0" w:rsidRPr="00E14102" w:rsidRDefault="00A06CF0" w:rsidP="00E14102">
      <w:pPr>
        <w:jc w:val="both"/>
        <w:rPr>
          <w:color w:val="000000" w:themeColor="text1"/>
          <w:sz w:val="16"/>
          <w:szCs w:val="16"/>
        </w:rPr>
      </w:pPr>
    </w:p>
    <w:p w14:paraId="69F0110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9CAA378" w14:textId="77777777" w:rsidR="00D4105E" w:rsidRPr="00E14102" w:rsidRDefault="00D4105E" w:rsidP="00E14102">
      <w:pPr>
        <w:autoSpaceDE w:val="0"/>
        <w:autoSpaceDN w:val="0"/>
        <w:adjustRightInd w:val="0"/>
        <w:jc w:val="both"/>
        <w:rPr>
          <w:iCs/>
          <w:color w:val="000000" w:themeColor="text1"/>
          <w:sz w:val="16"/>
          <w:szCs w:val="16"/>
        </w:rPr>
      </w:pPr>
    </w:p>
    <w:p w14:paraId="2DEE0F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марта 1935 года Базилевич писал письмо № 447/ко в НКО Ворошилову</w:t>
      </w:r>
    </w:p>
    <w:p w14:paraId="20D88A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указанию Молотова препровождаю для голосования опросом проект постановления СТО по системам “К”, внесенный Тухачевским согласно протокола КО № 1 от 13 января 1935 года и завизированный Павлуновским.</w:t>
      </w:r>
    </w:p>
    <w:p w14:paraId="2E48A2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 на 5 листах (2426,50).</w:t>
      </w:r>
    </w:p>
    <w:p w14:paraId="338C5A49" w14:textId="77777777" w:rsidR="00D4105E" w:rsidRPr="00E14102" w:rsidRDefault="00D4105E" w:rsidP="00E14102">
      <w:pPr>
        <w:autoSpaceDE w:val="0"/>
        <w:autoSpaceDN w:val="0"/>
        <w:adjustRightInd w:val="0"/>
        <w:jc w:val="both"/>
        <w:rPr>
          <w:color w:val="000000" w:themeColor="text1"/>
          <w:sz w:val="16"/>
          <w:szCs w:val="16"/>
        </w:rPr>
      </w:pPr>
    </w:p>
    <w:p w14:paraId="2A7073D2" w14:textId="77777777" w:rsidR="0070053A" w:rsidRPr="00E14102" w:rsidRDefault="0070053A" w:rsidP="00E14102">
      <w:pPr>
        <w:jc w:val="both"/>
        <w:rPr>
          <w:color w:val="000000" w:themeColor="text1"/>
          <w:sz w:val="16"/>
          <w:szCs w:val="16"/>
        </w:rPr>
      </w:pPr>
      <w:r w:rsidRPr="00E14102">
        <w:rPr>
          <w:bCs/>
          <w:color w:val="000000" w:themeColor="text1"/>
          <w:sz w:val="16"/>
          <w:szCs w:val="16"/>
        </w:rPr>
        <w:t>16 марта</w:t>
      </w:r>
      <w:r w:rsidRPr="00E14102">
        <w:rPr>
          <w:color w:val="000000" w:themeColor="text1"/>
          <w:sz w:val="16"/>
          <w:szCs w:val="16"/>
        </w:rPr>
        <w:t xml:space="preserve"> в 1935 году завершился зимний перелёт на самолёте “СССР-42” (начало 31января) по маршруту Москва – бухта Тикси с общим расстоянием 10500 км, В.Л.Галышев (15070).</w:t>
      </w:r>
    </w:p>
    <w:p w14:paraId="3717F5D6" w14:textId="77777777" w:rsidR="0070053A" w:rsidRPr="00E14102" w:rsidRDefault="0070053A" w:rsidP="00E14102">
      <w:pPr>
        <w:jc w:val="both"/>
        <w:rPr>
          <w:color w:val="000000" w:themeColor="text1"/>
          <w:sz w:val="16"/>
          <w:szCs w:val="16"/>
        </w:rPr>
      </w:pPr>
    </w:p>
    <w:p w14:paraId="2D3EF593" w14:textId="77777777" w:rsidR="0070053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35FD248" w14:textId="77777777" w:rsidR="0070053A" w:rsidRPr="00E14102" w:rsidRDefault="0070053A" w:rsidP="00E14102">
      <w:pPr>
        <w:autoSpaceDE w:val="0"/>
        <w:autoSpaceDN w:val="0"/>
        <w:adjustRightInd w:val="0"/>
        <w:jc w:val="both"/>
        <w:rPr>
          <w:iCs/>
          <w:color w:val="000000" w:themeColor="text1"/>
          <w:sz w:val="16"/>
          <w:szCs w:val="16"/>
        </w:rPr>
      </w:pPr>
    </w:p>
    <w:p w14:paraId="6E12F1BD" w14:textId="77777777" w:rsidR="0070053A" w:rsidRPr="00E14102" w:rsidRDefault="0070053A" w:rsidP="00E14102">
      <w:pPr>
        <w:jc w:val="both"/>
        <w:rPr>
          <w:bCs/>
          <w:color w:val="000000" w:themeColor="text1"/>
          <w:sz w:val="16"/>
          <w:szCs w:val="16"/>
        </w:rPr>
      </w:pPr>
      <w:r w:rsidRPr="00E14102">
        <w:rPr>
          <w:bCs/>
          <w:color w:val="000000" w:themeColor="text1"/>
          <w:sz w:val="16"/>
          <w:szCs w:val="16"/>
        </w:rPr>
        <w:t>16 марта</w:t>
      </w:r>
      <w:r w:rsidRPr="00E14102">
        <w:rPr>
          <w:color w:val="000000" w:themeColor="text1"/>
          <w:sz w:val="16"/>
          <w:szCs w:val="16"/>
        </w:rPr>
        <w:t xml:space="preserve"> в 1935 году на Кузнецком металлургическом комбинате в Новокузнецке был построен самый крупный в Европе цех по производству горячекатаного листового проката</w:t>
      </w:r>
    </w:p>
    <w:p w14:paraId="67D0DAD7" w14:textId="77777777" w:rsidR="0070053A" w:rsidRPr="00E14102" w:rsidRDefault="0070053A" w:rsidP="00E14102">
      <w:pPr>
        <w:jc w:val="both"/>
        <w:rPr>
          <w:bCs/>
          <w:color w:val="000000" w:themeColor="text1"/>
          <w:sz w:val="16"/>
          <w:szCs w:val="16"/>
        </w:rPr>
      </w:pPr>
    </w:p>
    <w:p w14:paraId="52685B9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88FC3B9" w14:textId="77777777" w:rsidR="00D4105E" w:rsidRPr="00E14102" w:rsidRDefault="00D4105E" w:rsidP="00E14102">
      <w:pPr>
        <w:autoSpaceDE w:val="0"/>
        <w:autoSpaceDN w:val="0"/>
        <w:adjustRightInd w:val="0"/>
        <w:jc w:val="both"/>
        <w:rPr>
          <w:iCs/>
          <w:color w:val="000000" w:themeColor="text1"/>
          <w:sz w:val="16"/>
          <w:szCs w:val="16"/>
        </w:rPr>
      </w:pPr>
    </w:p>
    <w:p w14:paraId="0E5445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марта 1935 года вышел Циркуляр Главного управления милиции НКВД СССР № 37, принятый в соответствии с постановлением Совнаркома СССР № 302 от 27 февраля 1935 года, который предписывал: “Лица, проживающие в сельской непаспортизированной местности, вне зависимости от того, куда они едут (даже если едут в непаспортизированную сельскую местность), — обязаны получать паспорта до выезда, по месту своего жительства сроком на один год”. До марта 1935 года переезд на постоянное жительство из одной сельской местности в другую являлся как бы “легальным” способом бегства, не запрещенным законом. После принятия вышеупомянутого циркуляра местные органы власти обязаны были удалять переселенцев, не имеющих паспортов, из деревни. Циркуляр не разъяснял, куда именно следовало отправлять беспаспортных беглецов, то есть предоставлял полную свободу действий для произвола местных властей. Правительство не опубликовало новое постановление в печати. Милицейский циркуляр предлагал “широко объявить сельскому населению” изменения в паспортном законе “через местную печать, путем объявлений, через сельсоветы, участковых инспекторов и т. д.” (9985).</w:t>
      </w:r>
    </w:p>
    <w:p w14:paraId="51F49F66" w14:textId="77777777" w:rsidR="00D4105E" w:rsidRPr="00E14102" w:rsidRDefault="00D4105E" w:rsidP="00E14102">
      <w:pPr>
        <w:autoSpaceDE w:val="0"/>
        <w:autoSpaceDN w:val="0"/>
        <w:adjustRightInd w:val="0"/>
        <w:jc w:val="both"/>
        <w:rPr>
          <w:color w:val="000000" w:themeColor="text1"/>
          <w:sz w:val="16"/>
          <w:szCs w:val="16"/>
        </w:rPr>
      </w:pPr>
    </w:p>
    <w:p w14:paraId="3093FDD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87F2A7B" w14:textId="77777777" w:rsidR="00D4105E" w:rsidRPr="00E14102" w:rsidRDefault="00D4105E" w:rsidP="00E14102">
      <w:pPr>
        <w:autoSpaceDE w:val="0"/>
        <w:autoSpaceDN w:val="0"/>
        <w:adjustRightInd w:val="0"/>
        <w:jc w:val="both"/>
        <w:rPr>
          <w:iCs/>
          <w:color w:val="000000" w:themeColor="text1"/>
          <w:sz w:val="16"/>
          <w:szCs w:val="16"/>
        </w:rPr>
      </w:pPr>
    </w:p>
    <w:p w14:paraId="13D392A1" w14:textId="77777777" w:rsidR="00C75F32" w:rsidRPr="00E14102" w:rsidRDefault="00C75F32" w:rsidP="00E14102">
      <w:pPr>
        <w:jc w:val="both"/>
        <w:rPr>
          <w:color w:val="000000" w:themeColor="text1"/>
          <w:sz w:val="16"/>
          <w:szCs w:val="16"/>
        </w:rPr>
      </w:pPr>
      <w:r w:rsidRPr="00E14102">
        <w:rPr>
          <w:bCs/>
          <w:color w:val="000000" w:themeColor="text1"/>
          <w:sz w:val="16"/>
          <w:szCs w:val="16"/>
        </w:rPr>
        <w:t>16 марта</w:t>
      </w:r>
      <w:r w:rsidRPr="00E14102">
        <w:rPr>
          <w:color w:val="000000" w:themeColor="text1"/>
          <w:sz w:val="16"/>
          <w:szCs w:val="16"/>
        </w:rPr>
        <w:t xml:space="preserve"> в 1935 году Германия аннулировала военные статьи Версальского договора подписанного 22 июня 1919 года германскими генералами в Версале (Франция), официально завершившего Первую Мировую войну. По условиям договора Германия теряла свои колонии и ряд территорий в Европе. Также она обязывалась в течении 66 лет возместить в форме репараций убытки понесенные странами Антанты в результате военных действий. Германии было запрещено иметь армию более 100 000 человек, и запрещалось производить многие виды вооружений, включая самолеты. По иронии судьбы, ракеты в перечень запрещенного оружия не были включены, что и способствовало впоследствии развитию ракетной технике в Германии (15070).</w:t>
      </w:r>
    </w:p>
    <w:p w14:paraId="36ACE29C" w14:textId="77777777" w:rsidR="00C75F32" w:rsidRPr="00E14102" w:rsidRDefault="00C75F32" w:rsidP="00E14102">
      <w:pPr>
        <w:jc w:val="both"/>
        <w:rPr>
          <w:color w:val="000000" w:themeColor="text1"/>
          <w:sz w:val="16"/>
          <w:szCs w:val="16"/>
        </w:rPr>
      </w:pPr>
    </w:p>
    <w:p w14:paraId="217E5663" w14:textId="77777777" w:rsidR="00C75F32" w:rsidRPr="00E14102" w:rsidRDefault="00C75F32" w:rsidP="00E14102">
      <w:pPr>
        <w:autoSpaceDE w:val="0"/>
        <w:autoSpaceDN w:val="0"/>
        <w:adjustRightInd w:val="0"/>
        <w:jc w:val="both"/>
        <w:rPr>
          <w:color w:val="000000" w:themeColor="text1"/>
          <w:sz w:val="16"/>
          <w:szCs w:val="16"/>
        </w:rPr>
      </w:pPr>
      <w:r w:rsidRPr="00E14102">
        <w:rPr>
          <w:color w:val="000000" w:themeColor="text1"/>
          <w:sz w:val="16"/>
          <w:szCs w:val="16"/>
        </w:rPr>
        <w:t>16 марта 1935 Германия аннулировала военные статьи Версальского договора и ввела всеобщую воинскую повинность. Началось развертывание на базе рейхсвера вооруженных сил Третьего рейха – многомиллионного вермахта (11688).</w:t>
      </w:r>
    </w:p>
    <w:p w14:paraId="06C4D408" w14:textId="77777777" w:rsidR="00C75F32" w:rsidRPr="00E14102" w:rsidRDefault="00C75F32" w:rsidP="00E14102">
      <w:pPr>
        <w:autoSpaceDE w:val="0"/>
        <w:autoSpaceDN w:val="0"/>
        <w:adjustRightInd w:val="0"/>
        <w:jc w:val="both"/>
        <w:rPr>
          <w:color w:val="000000" w:themeColor="text1"/>
          <w:sz w:val="16"/>
          <w:szCs w:val="16"/>
        </w:rPr>
      </w:pPr>
    </w:p>
    <w:p w14:paraId="4E1DD51E" w14:textId="77777777" w:rsidR="00C75F32" w:rsidRPr="00E14102" w:rsidRDefault="00C75F32" w:rsidP="00E14102">
      <w:pPr>
        <w:jc w:val="both"/>
        <w:rPr>
          <w:color w:val="0070C0"/>
          <w:sz w:val="16"/>
          <w:szCs w:val="16"/>
        </w:rPr>
      </w:pPr>
      <w:r w:rsidRPr="00E14102">
        <w:rPr>
          <w:color w:val="0070C0"/>
          <w:sz w:val="16"/>
          <w:szCs w:val="16"/>
        </w:rPr>
        <w:t>16 марта 1935 года в конференц-зал Министерства пропаган</w:t>
      </w:r>
      <w:r w:rsidRPr="00E14102">
        <w:rPr>
          <w:color w:val="0070C0"/>
          <w:sz w:val="16"/>
          <w:szCs w:val="16"/>
        </w:rPr>
        <w:softHyphen/>
        <w:t>ды Германии были приглашены-иностранные журналисты. К ним вышел Геббельс и заявил, что с этого дня Германия не признает воен</w:t>
      </w:r>
      <w:r w:rsidRPr="00E14102">
        <w:rPr>
          <w:color w:val="0070C0"/>
          <w:sz w:val="16"/>
          <w:szCs w:val="16"/>
        </w:rPr>
        <w:softHyphen/>
        <w:t>ных постановлений Версальского договора. Затем зачитал текст закона о введении в Германии всеобщей воинской повинности и о создании вместо 100-тысячного рейхсвера (Reichswehr) 36-дивизионного вермахта (Wehrmacht) (22798).</w:t>
      </w:r>
    </w:p>
    <w:p w14:paraId="6985AF2C" w14:textId="77777777" w:rsidR="00C75F32" w:rsidRPr="00E14102" w:rsidRDefault="00C75F32" w:rsidP="00E14102">
      <w:pPr>
        <w:jc w:val="both"/>
        <w:rPr>
          <w:color w:val="0070C0"/>
          <w:sz w:val="16"/>
          <w:szCs w:val="16"/>
        </w:rPr>
      </w:pPr>
    </w:p>
    <w:p w14:paraId="018D7B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марта 1935 г. в Германии была восстановлена всеобщая воинская обязанность. Одновременно было принято решение о создании германских военно-воздушных сил. В прессе началась открытая пропаганда идеи присоединения (аншлюса) Австрии к Германии. Эти шаги открыто противоречили условиям Версальского договора. Франция, Великобритания, а затем и Италия направили Германии официальные ноты протеста по поводу нарушения Версальского договора (3871).</w:t>
      </w:r>
    </w:p>
    <w:p w14:paraId="2BCEE1F6" w14:textId="77777777" w:rsidR="00D4105E" w:rsidRPr="00E14102" w:rsidRDefault="00D4105E" w:rsidP="00E14102">
      <w:pPr>
        <w:autoSpaceDE w:val="0"/>
        <w:autoSpaceDN w:val="0"/>
        <w:adjustRightInd w:val="0"/>
        <w:jc w:val="both"/>
        <w:rPr>
          <w:color w:val="000000" w:themeColor="text1"/>
          <w:sz w:val="16"/>
          <w:szCs w:val="16"/>
        </w:rPr>
      </w:pPr>
    </w:p>
    <w:p w14:paraId="3ABF57BC" w14:textId="77777777" w:rsidR="0070053A" w:rsidRPr="00E14102" w:rsidRDefault="0070053A"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16 марта 1935 введение в Германии всеобщей воинской повинности и преобразование Министерства Рейхсвера в Военное Министерство (4963 ).</w:t>
      </w:r>
    </w:p>
    <w:p w14:paraId="5995A392" w14:textId="77777777" w:rsidR="0070053A" w:rsidRPr="00E14102" w:rsidRDefault="0070053A" w:rsidP="00E14102">
      <w:pPr>
        <w:tabs>
          <w:tab w:val="left" w:pos="11199"/>
        </w:tabs>
        <w:autoSpaceDE w:val="0"/>
        <w:autoSpaceDN w:val="0"/>
        <w:adjustRightInd w:val="0"/>
        <w:jc w:val="both"/>
        <w:rPr>
          <w:color w:val="000000" w:themeColor="text1"/>
          <w:sz w:val="16"/>
          <w:szCs w:val="16"/>
        </w:rPr>
      </w:pPr>
    </w:p>
    <w:p w14:paraId="5CB0F925" w14:textId="77777777" w:rsidR="00AE0877" w:rsidRPr="00E14102" w:rsidRDefault="00AE0877" w:rsidP="00E14102">
      <w:pPr>
        <w:jc w:val="both"/>
        <w:rPr>
          <w:color w:val="000000" w:themeColor="text1"/>
          <w:sz w:val="16"/>
          <w:szCs w:val="16"/>
        </w:rPr>
      </w:pPr>
      <w:r w:rsidRPr="00E14102">
        <w:rPr>
          <w:color w:val="000000" w:themeColor="text1"/>
          <w:sz w:val="16"/>
          <w:szCs w:val="16"/>
        </w:rPr>
        <w:t>16 марта 1935 г. рейхсканцлер Гитлер в нарушение Версальского мирного договора заявил о введении всеобщей воинской обязанности, создании армии в составе 36 дивизий численностью 550 тыс. человек (18280).</w:t>
      </w:r>
    </w:p>
    <w:p w14:paraId="0C52E9DE" w14:textId="77777777" w:rsidR="00AE0877" w:rsidRPr="00E14102" w:rsidRDefault="00AE0877" w:rsidP="00E14102">
      <w:pPr>
        <w:jc w:val="both"/>
        <w:rPr>
          <w:color w:val="000000" w:themeColor="text1"/>
          <w:sz w:val="16"/>
          <w:szCs w:val="16"/>
        </w:rPr>
      </w:pPr>
    </w:p>
    <w:p w14:paraId="63E2B2ED" w14:textId="77777777" w:rsidR="00AE0877" w:rsidRPr="00E14102" w:rsidRDefault="00AE0877" w:rsidP="00E14102">
      <w:pPr>
        <w:jc w:val="both"/>
        <w:rPr>
          <w:color w:val="000000" w:themeColor="text1"/>
          <w:sz w:val="16"/>
          <w:szCs w:val="16"/>
          <w:lang w:val="en-US"/>
        </w:rPr>
      </w:pPr>
      <w:r w:rsidRPr="00E14102">
        <w:rPr>
          <w:color w:val="000000" w:themeColor="text1"/>
          <w:sz w:val="16"/>
          <w:szCs w:val="16"/>
        </w:rPr>
        <w:t>16 марта 1935 года нацисты преобразовали рейхсвер в вермахт и ввели в Германии всеобщую воинскую обязанность. Немцы перестали скрывать производство для своей армии новых видов вооружения и военной техники, окончательно порвав с </w:t>
      </w:r>
      <w:hyperlink r:id="rId62" w:history="1">
        <w:r w:rsidRPr="00E14102">
          <w:rPr>
            <w:rStyle w:val="a4"/>
            <w:rFonts w:eastAsiaTheme="majorEastAsia"/>
            <w:color w:val="000000" w:themeColor="text1"/>
            <w:sz w:val="16"/>
            <w:szCs w:val="16"/>
          </w:rPr>
          <w:t>Версальским договором</w:t>
        </w:r>
      </w:hyperlink>
      <w:r w:rsidRPr="00E14102">
        <w:rPr>
          <w:color w:val="000000" w:themeColor="text1"/>
          <w:sz w:val="16"/>
          <w:szCs w:val="16"/>
        </w:rPr>
        <w:t xml:space="preserve">. Руководство Чехословакии прекрасно понимало, к чему всё идёт, поэтому договор о взаимной помощи с таким могучим государством, как Советский Союз, был для небольшой страны насущной необходимостью </w:t>
      </w:r>
      <w:r w:rsidRPr="00E14102">
        <w:rPr>
          <w:color w:val="000000" w:themeColor="text1"/>
          <w:sz w:val="16"/>
          <w:szCs w:val="16"/>
          <w:lang w:val="en-US"/>
        </w:rPr>
        <w:t>(18156).</w:t>
      </w:r>
    </w:p>
    <w:p w14:paraId="0AF720AB" w14:textId="77777777" w:rsidR="00AE0877" w:rsidRPr="00E14102" w:rsidRDefault="00AE0877" w:rsidP="00E14102">
      <w:pPr>
        <w:jc w:val="both"/>
        <w:rPr>
          <w:color w:val="000000" w:themeColor="text1"/>
          <w:sz w:val="16"/>
          <w:szCs w:val="16"/>
          <w:lang w:val="en-US"/>
        </w:rPr>
      </w:pPr>
    </w:p>
    <w:p w14:paraId="45ACE92F" w14:textId="77777777" w:rsidR="00D4105E" w:rsidRPr="00E14102" w:rsidRDefault="00D4105E" w:rsidP="00E14102">
      <w:pPr>
        <w:autoSpaceDE w:val="0"/>
        <w:autoSpaceDN w:val="0"/>
        <w:adjustRightInd w:val="0"/>
        <w:jc w:val="both"/>
        <w:rPr>
          <w:color w:val="000000" w:themeColor="text1"/>
          <w:sz w:val="16"/>
          <w:szCs w:val="16"/>
          <w:lang w:val="en-US"/>
        </w:rPr>
      </w:pPr>
      <w:r w:rsidRPr="00E14102">
        <w:rPr>
          <w:color w:val="000000" w:themeColor="text1"/>
          <w:sz w:val="16"/>
          <w:szCs w:val="16"/>
          <w:lang w:val="en-US"/>
        </w:rPr>
        <w:t>March 16 1935 Hitler violates Treaty of Versailles and reintroduces compulsory military service (1037).</w:t>
      </w:r>
    </w:p>
    <w:p w14:paraId="157A783C" w14:textId="77777777" w:rsidR="00D4105E" w:rsidRPr="00E14102" w:rsidRDefault="00D4105E" w:rsidP="00E14102">
      <w:pPr>
        <w:autoSpaceDE w:val="0"/>
        <w:autoSpaceDN w:val="0"/>
        <w:adjustRightInd w:val="0"/>
        <w:jc w:val="both"/>
        <w:rPr>
          <w:color w:val="000000" w:themeColor="text1"/>
          <w:sz w:val="16"/>
          <w:szCs w:val="16"/>
          <w:lang w:val="en-US"/>
        </w:rPr>
      </w:pPr>
    </w:p>
    <w:p w14:paraId="16634634" w14:textId="77777777" w:rsidR="00D4105E" w:rsidRPr="00E14102" w:rsidRDefault="00D4105E" w:rsidP="00E14102">
      <w:pPr>
        <w:autoSpaceDE w:val="0"/>
        <w:autoSpaceDN w:val="0"/>
        <w:adjustRightInd w:val="0"/>
        <w:jc w:val="both"/>
        <w:rPr>
          <w:color w:val="000000" w:themeColor="text1"/>
          <w:sz w:val="16"/>
          <w:szCs w:val="16"/>
          <w:lang w:val="en-US"/>
        </w:rPr>
      </w:pPr>
      <w:r w:rsidRPr="00E14102">
        <w:rPr>
          <w:color w:val="000000" w:themeColor="text1"/>
          <w:sz w:val="16"/>
          <w:szCs w:val="16"/>
          <w:lang w:val="en-US"/>
        </w:rPr>
        <w:t>March 16 1935 Germany breaks away from the bindings of the Treaty of Versailles, begins active rearmament, and renames the Reichewehr. The Wehrmacht becomes the official military organization of the Third Reich (1242).</w:t>
      </w:r>
    </w:p>
    <w:p w14:paraId="7988F967" w14:textId="77777777" w:rsidR="00D4105E" w:rsidRPr="00E14102" w:rsidRDefault="00D4105E" w:rsidP="00E14102">
      <w:pPr>
        <w:autoSpaceDE w:val="0"/>
        <w:autoSpaceDN w:val="0"/>
        <w:adjustRightInd w:val="0"/>
        <w:jc w:val="both"/>
        <w:rPr>
          <w:color w:val="000000" w:themeColor="text1"/>
          <w:sz w:val="16"/>
          <w:szCs w:val="16"/>
          <w:lang w:val="en-US"/>
        </w:rPr>
      </w:pPr>
    </w:p>
    <w:p w14:paraId="16D4CD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марта 1935 Германия нарушила Версальское соглашение, начав активное перевооружение, введя воинскую повинность и переименовав армию из Рейхсвер в Вермахт - официальную военную организацию 3 Рейха (1242).</w:t>
      </w:r>
    </w:p>
    <w:p w14:paraId="7CD581A7" w14:textId="77777777" w:rsidR="00D4105E" w:rsidRPr="00E14102" w:rsidRDefault="00D4105E" w:rsidP="00E14102">
      <w:pPr>
        <w:autoSpaceDE w:val="0"/>
        <w:autoSpaceDN w:val="0"/>
        <w:adjustRightInd w:val="0"/>
        <w:jc w:val="both"/>
        <w:rPr>
          <w:color w:val="000000" w:themeColor="text1"/>
          <w:sz w:val="16"/>
          <w:szCs w:val="16"/>
        </w:rPr>
      </w:pPr>
    </w:p>
    <w:p w14:paraId="5B627B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марта 1935 немецкий рейхсвер преобразован в вермахт (4962).</w:t>
      </w:r>
    </w:p>
    <w:p w14:paraId="6C376EE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5A5AF8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04B2581" w14:textId="77777777" w:rsidR="00D4105E" w:rsidRPr="00E14102" w:rsidRDefault="00D4105E" w:rsidP="00E14102">
      <w:pPr>
        <w:autoSpaceDE w:val="0"/>
        <w:autoSpaceDN w:val="0"/>
        <w:adjustRightInd w:val="0"/>
        <w:jc w:val="both"/>
        <w:rPr>
          <w:iCs/>
          <w:color w:val="000000" w:themeColor="text1"/>
          <w:sz w:val="16"/>
          <w:szCs w:val="16"/>
        </w:rPr>
      </w:pPr>
    </w:p>
    <w:p w14:paraId="3DEABB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марта 1935 Уполн. по НКТП Харламов докладывал специальной запиской НКТП Г.К.О. и НКО К.Е.В. о ходе работ по РД для полета Леваневского в США (2343,90).</w:t>
      </w:r>
    </w:p>
    <w:p w14:paraId="71337D90" w14:textId="77777777" w:rsidR="00D4105E" w:rsidRPr="00E14102" w:rsidRDefault="00D4105E" w:rsidP="00E14102">
      <w:pPr>
        <w:autoSpaceDE w:val="0"/>
        <w:autoSpaceDN w:val="0"/>
        <w:adjustRightInd w:val="0"/>
        <w:jc w:val="both"/>
        <w:rPr>
          <w:color w:val="000000" w:themeColor="text1"/>
          <w:sz w:val="16"/>
          <w:szCs w:val="16"/>
        </w:rPr>
      </w:pPr>
    </w:p>
    <w:p w14:paraId="5F64F2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марта 1935 года Начальник НИИ ВВС Зильберт утвердил Отчет по испытанию самолета И7 N 4449 с мотором М17 N 262646 Е=7,3 винт N 32250 Д=3,112 Н=2,77</w:t>
      </w:r>
    </w:p>
    <w:p w14:paraId="3EAC76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793D98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Летные и эксплуатационные испытания самолета И7 N 4449 эталон 1933 г. с новым клепаным дюралевым хвостовым оперением.</w:t>
      </w:r>
    </w:p>
    <w:p w14:paraId="4AFE00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D685AD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 И7 М17 с новым дюралевым оперением может быть допущен к эксплуатации после устранения (зав. N 1) дефектов.</w:t>
      </w:r>
    </w:p>
    <w:p w14:paraId="777101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45481C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 Петухов</w:t>
      </w:r>
    </w:p>
    <w:p w14:paraId="7A8206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 Савинов</w:t>
      </w:r>
    </w:p>
    <w:p w14:paraId="6931C0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Календарь</w:t>
      </w:r>
    </w:p>
    <w:p w14:paraId="34A78F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Прохождения испытаний самолета И7 N 4449</w:t>
      </w:r>
    </w:p>
    <w:p w14:paraId="1B30E2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получен с завода N 1 – 8 января 1935 года</w:t>
      </w:r>
    </w:p>
    <w:p w14:paraId="3D60A4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Перелет в Щелково - 8 января 1935 года</w:t>
      </w:r>
    </w:p>
    <w:p w14:paraId="3F973E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Окончание испытаний – 22 февраля 1935 года</w:t>
      </w:r>
    </w:p>
    <w:p w14:paraId="2842A1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Затрачено на испытание 45 календарных дней</w:t>
      </w:r>
    </w:p>
    <w:p w14:paraId="1F4BFC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самолета было проведено в 16 дней</w:t>
      </w:r>
    </w:p>
    <w:p w14:paraId="413526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время нахождения самолета в НИИ ВВС налетано 22 часа 25 минут</w:t>
      </w:r>
    </w:p>
    <w:p w14:paraId="2F08D2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Произведено фигур высшего пилотажа – 500</w:t>
      </w:r>
    </w:p>
    <w:p w14:paraId="006FC3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Сделано посадок – 47 (3984).</w:t>
      </w:r>
    </w:p>
    <w:p w14:paraId="5AA03A04" w14:textId="77777777" w:rsidR="00D4105E" w:rsidRPr="00E14102" w:rsidRDefault="00D4105E" w:rsidP="00E14102">
      <w:pPr>
        <w:autoSpaceDE w:val="0"/>
        <w:autoSpaceDN w:val="0"/>
        <w:adjustRightInd w:val="0"/>
        <w:jc w:val="both"/>
        <w:rPr>
          <w:color w:val="000000" w:themeColor="text1"/>
          <w:sz w:val="16"/>
          <w:szCs w:val="16"/>
        </w:rPr>
      </w:pPr>
    </w:p>
    <w:p w14:paraId="4FDE98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марта 1935 года второй МДР4-3М34Р морской дальний разведчик был сдан на госиспытания, которые были закончены 1 июля. После чего произведена была установка новых моторов М-34. Заводские испытания с М34РН начались 14 сентября 1935 года и 23 сентября самолет потерпел аварию (3475,103).</w:t>
      </w:r>
    </w:p>
    <w:p w14:paraId="297B0B0D" w14:textId="77777777" w:rsidR="00D4105E" w:rsidRPr="00E14102" w:rsidRDefault="00D4105E" w:rsidP="00E14102">
      <w:pPr>
        <w:autoSpaceDE w:val="0"/>
        <w:autoSpaceDN w:val="0"/>
        <w:adjustRightInd w:val="0"/>
        <w:jc w:val="both"/>
        <w:rPr>
          <w:color w:val="000000" w:themeColor="text1"/>
          <w:sz w:val="16"/>
          <w:szCs w:val="16"/>
        </w:rPr>
      </w:pPr>
    </w:p>
    <w:p w14:paraId="7063C8A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17 марта 1935 года вышел Приказ НИИ ВВС № 0138 О проведении испытаний маскировочной краски</w:t>
      </w:r>
    </w:p>
    <w:p w14:paraId="3F150A0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Краска предназначена для маскировки самолетов на земле в зимних условиях.</w:t>
      </w:r>
    </w:p>
    <w:p w14:paraId="252E8F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Работу провести на Щелковском аэродроме в период времени с 19 по 30 марта 1935 года (6814, 156).</w:t>
      </w:r>
    </w:p>
    <w:p w14:paraId="063B5D6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E7A09C3" w14:textId="77777777" w:rsidR="0070053A" w:rsidRPr="00E14102" w:rsidRDefault="0070053A" w:rsidP="00E14102">
      <w:pPr>
        <w:pStyle w:val="rtejustify"/>
        <w:spacing w:before="0" w:after="0"/>
        <w:rPr>
          <w:color w:val="000000" w:themeColor="text1"/>
          <w:sz w:val="16"/>
          <w:szCs w:val="16"/>
        </w:rPr>
      </w:pPr>
      <w:r w:rsidRPr="00E14102">
        <w:rPr>
          <w:rStyle w:val="a6"/>
          <w:bCs/>
          <w:i w:val="0"/>
          <w:color w:val="000000" w:themeColor="text1"/>
          <w:sz w:val="16"/>
          <w:szCs w:val="16"/>
        </w:rPr>
        <w:t>17 марта 1935 вышел приказ НКО №</w:t>
      </w:r>
      <w:r w:rsidRPr="00E14102">
        <w:rPr>
          <w:color w:val="000000" w:themeColor="text1"/>
          <w:sz w:val="16"/>
          <w:szCs w:val="16"/>
        </w:rPr>
        <w:t> 0018. О производстве испытаний головного образца телемеханического самолета ВОТИ (15247).</w:t>
      </w:r>
    </w:p>
    <w:p w14:paraId="1AD5482C" w14:textId="77777777" w:rsidR="0070053A" w:rsidRPr="00E14102" w:rsidRDefault="0070053A" w:rsidP="00E14102">
      <w:pPr>
        <w:pStyle w:val="rtejustify"/>
        <w:spacing w:before="0" w:after="0"/>
        <w:rPr>
          <w:color w:val="000000" w:themeColor="text1"/>
          <w:sz w:val="16"/>
          <w:szCs w:val="16"/>
        </w:rPr>
      </w:pPr>
    </w:p>
    <w:p w14:paraId="033E7AA8" w14:textId="77777777" w:rsidR="0070053A" w:rsidRPr="00E14102" w:rsidRDefault="0070053A" w:rsidP="00E14102">
      <w:pPr>
        <w:pStyle w:val="rtejustify"/>
        <w:spacing w:before="0" w:after="0"/>
        <w:rPr>
          <w:color w:val="000000" w:themeColor="text1"/>
          <w:sz w:val="16"/>
          <w:szCs w:val="16"/>
        </w:rPr>
      </w:pPr>
      <w:r w:rsidRPr="00E14102">
        <w:rPr>
          <w:rStyle w:val="a6"/>
          <w:bCs/>
          <w:i w:val="0"/>
          <w:color w:val="000000" w:themeColor="text1"/>
          <w:sz w:val="16"/>
          <w:szCs w:val="16"/>
        </w:rPr>
        <w:t>17 марта 1935 вышел приказ НКО №</w:t>
      </w:r>
      <w:r w:rsidRPr="00E14102">
        <w:rPr>
          <w:color w:val="000000" w:themeColor="text1"/>
          <w:sz w:val="16"/>
          <w:szCs w:val="16"/>
        </w:rPr>
        <w:t> 046. О заводских и государственных испытаниях торпедодержателей конструкций ЦАГИ и Остехбюро (15247).</w:t>
      </w:r>
    </w:p>
    <w:p w14:paraId="0EF43B21" w14:textId="77777777" w:rsidR="0070053A" w:rsidRPr="00E14102" w:rsidRDefault="0070053A" w:rsidP="00E14102">
      <w:pPr>
        <w:pStyle w:val="rtejustify"/>
        <w:spacing w:before="0" w:after="0"/>
        <w:rPr>
          <w:color w:val="000000" w:themeColor="text1"/>
          <w:sz w:val="16"/>
          <w:szCs w:val="16"/>
        </w:rPr>
      </w:pPr>
    </w:p>
    <w:p w14:paraId="4A8D0807" w14:textId="77777777" w:rsidR="0070053A" w:rsidRPr="00E14102" w:rsidRDefault="0070053A" w:rsidP="00E14102">
      <w:pPr>
        <w:pStyle w:val="rtejustify"/>
        <w:spacing w:before="0" w:after="0"/>
        <w:rPr>
          <w:color w:val="000000" w:themeColor="text1"/>
          <w:sz w:val="16"/>
          <w:szCs w:val="16"/>
        </w:rPr>
      </w:pPr>
      <w:r w:rsidRPr="00E14102">
        <w:rPr>
          <w:rStyle w:val="a6"/>
          <w:bCs/>
          <w:i w:val="0"/>
          <w:color w:val="000000" w:themeColor="text1"/>
          <w:sz w:val="16"/>
          <w:szCs w:val="16"/>
        </w:rPr>
        <w:t>17 марта 1935 вышел приказ НКО №</w:t>
      </w:r>
      <w:r w:rsidRPr="00E14102">
        <w:rPr>
          <w:color w:val="000000" w:themeColor="text1"/>
          <w:sz w:val="16"/>
          <w:szCs w:val="16"/>
        </w:rPr>
        <w:t> 047. О назначении войск[овых] испытаний насадок к ДАПам на самолете Р</w:t>
      </w:r>
      <w:r w:rsidRPr="00E14102">
        <w:rPr>
          <w:color w:val="000000" w:themeColor="text1"/>
          <w:sz w:val="16"/>
          <w:szCs w:val="16"/>
        </w:rPr>
        <w:noBreakHyphen/>
        <w:t>5 (15247).</w:t>
      </w:r>
    </w:p>
    <w:p w14:paraId="1F79D760" w14:textId="77777777" w:rsidR="0070053A" w:rsidRPr="00E14102" w:rsidRDefault="0070053A" w:rsidP="00E14102">
      <w:pPr>
        <w:pStyle w:val="rtejustify"/>
        <w:spacing w:before="0" w:after="0"/>
        <w:rPr>
          <w:color w:val="000000" w:themeColor="text1"/>
          <w:sz w:val="16"/>
          <w:szCs w:val="16"/>
        </w:rPr>
      </w:pPr>
    </w:p>
    <w:p w14:paraId="204847C2" w14:textId="77777777" w:rsidR="0070053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FF594B4" w14:textId="77777777" w:rsidR="0070053A" w:rsidRPr="00E14102" w:rsidRDefault="0070053A" w:rsidP="00E14102">
      <w:pPr>
        <w:autoSpaceDE w:val="0"/>
        <w:autoSpaceDN w:val="0"/>
        <w:adjustRightInd w:val="0"/>
        <w:jc w:val="both"/>
        <w:rPr>
          <w:iCs/>
          <w:color w:val="000000" w:themeColor="text1"/>
          <w:sz w:val="16"/>
          <w:szCs w:val="16"/>
        </w:rPr>
      </w:pPr>
    </w:p>
    <w:p w14:paraId="5B566BD8" w14:textId="77777777" w:rsidR="0070053A" w:rsidRPr="00E14102" w:rsidRDefault="0070053A" w:rsidP="00E14102">
      <w:pPr>
        <w:jc w:val="both"/>
        <w:rPr>
          <w:rStyle w:val="a6"/>
          <w:i w:val="0"/>
          <w:color w:val="000000" w:themeColor="text1"/>
          <w:sz w:val="16"/>
          <w:szCs w:val="16"/>
        </w:rPr>
      </w:pPr>
      <w:r w:rsidRPr="00E14102">
        <w:rPr>
          <w:rStyle w:val="a6"/>
          <w:i w:val="0"/>
          <w:color w:val="000000" w:themeColor="text1"/>
          <w:sz w:val="16"/>
          <w:szCs w:val="16"/>
        </w:rPr>
        <w:t xml:space="preserve">17 марта 1935 г. </w:t>
      </w:r>
      <w:r w:rsidRPr="00E14102">
        <w:rPr>
          <w:color w:val="000000" w:themeColor="text1"/>
          <w:sz w:val="16"/>
          <w:szCs w:val="16"/>
        </w:rPr>
        <w:t>Докладная записка руководителя военно-морской группы Комиссии партийного контроля Н. В. Куйбышева в ЦК ВКП(б) и СТО СССР о неудовлетворительном положении с производством морских крупнокалиберных снарядов</w:t>
      </w:r>
    </w:p>
    <w:p w14:paraId="1D742EFD" w14:textId="77777777" w:rsidR="0070053A" w:rsidRPr="00E14102" w:rsidRDefault="0070053A"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0D3B5A82" w14:textId="77777777" w:rsidR="0070053A" w:rsidRPr="00E14102" w:rsidRDefault="0070053A" w:rsidP="00E14102">
      <w:pPr>
        <w:pStyle w:val="rtejustify"/>
        <w:spacing w:before="0" w:after="0"/>
        <w:rPr>
          <w:color w:val="000000" w:themeColor="text1"/>
          <w:sz w:val="16"/>
          <w:szCs w:val="16"/>
        </w:rPr>
      </w:pPr>
      <w:r w:rsidRPr="00E14102">
        <w:rPr>
          <w:color w:val="000000" w:themeColor="text1"/>
          <w:sz w:val="16"/>
          <w:szCs w:val="16"/>
        </w:rPr>
        <w:t>Современное положение с опытным и валовым производством морских крупнокалиберных снарядов (356 мм, 305 мм и 180 мм) и обеспечение их взрывателями совершенно неудовлетворительно.</w:t>
      </w:r>
    </w:p>
    <w:p w14:paraId="390BE25A" w14:textId="77777777" w:rsidR="0070053A" w:rsidRPr="00E14102" w:rsidRDefault="0070053A" w:rsidP="00E14102">
      <w:pPr>
        <w:pStyle w:val="rtejustify"/>
        <w:spacing w:before="0" w:after="0"/>
        <w:rPr>
          <w:color w:val="000000" w:themeColor="text1"/>
          <w:sz w:val="16"/>
          <w:szCs w:val="16"/>
        </w:rPr>
      </w:pPr>
      <w:r w:rsidRPr="00E14102">
        <w:rPr>
          <w:color w:val="000000" w:themeColor="text1"/>
          <w:sz w:val="16"/>
          <w:szCs w:val="16"/>
        </w:rPr>
        <w:t>До революции промышленность изготовляла только 305</w:t>
      </w:r>
      <w:r w:rsidRPr="00E14102">
        <w:rPr>
          <w:color w:val="000000" w:themeColor="text1"/>
          <w:sz w:val="16"/>
          <w:szCs w:val="16"/>
        </w:rPr>
        <w:noBreakHyphen/>
        <w:t>мм бронебойные и фугасные снаряды, так называемые образца 1911 г., и 356</w:t>
      </w:r>
      <w:r w:rsidRPr="00E14102">
        <w:rPr>
          <w:color w:val="000000" w:themeColor="text1"/>
          <w:sz w:val="16"/>
          <w:szCs w:val="16"/>
        </w:rPr>
        <w:noBreakHyphen/>
        <w:t>мм снаряды. Последние, т. е. 356</w:t>
      </w:r>
      <w:r w:rsidRPr="00E14102">
        <w:rPr>
          <w:color w:val="000000" w:themeColor="text1"/>
          <w:sz w:val="16"/>
          <w:szCs w:val="16"/>
        </w:rPr>
        <w:noBreakHyphen/>
        <w:t>мм, не вполне отвечали требованиям Наркомвоенмора. В производстве этих снарядов широко использовались импортные (шведские) особо хорошие чугуны и импортные ферросплавы. 180</w:t>
      </w:r>
      <w:r w:rsidRPr="00E14102">
        <w:rPr>
          <w:color w:val="000000" w:themeColor="text1"/>
          <w:sz w:val="16"/>
          <w:szCs w:val="16"/>
        </w:rPr>
        <w:noBreakHyphen/>
        <w:t>мм снаряды вообще не изготовлялись. С 1917 по 1927 г. валового и опытного производства крупнокалиберных морских снарядов в Союзе не было вовсе, и ограниченный опыт дореволюционного времени оказался почти утерянным. С 1927 г. началось изготовление опытных партий 180</w:t>
      </w:r>
      <w:r w:rsidRPr="00E14102">
        <w:rPr>
          <w:color w:val="000000" w:themeColor="text1"/>
          <w:sz w:val="16"/>
          <w:szCs w:val="16"/>
        </w:rPr>
        <w:noBreakHyphen/>
        <w:t>мм и 305</w:t>
      </w:r>
      <w:r w:rsidRPr="00E14102">
        <w:rPr>
          <w:color w:val="000000" w:themeColor="text1"/>
          <w:sz w:val="16"/>
          <w:szCs w:val="16"/>
        </w:rPr>
        <w:noBreakHyphen/>
        <w:t>мм снарядов, а с 1931 г. и 356</w:t>
      </w:r>
      <w:r w:rsidRPr="00E14102">
        <w:rPr>
          <w:color w:val="000000" w:themeColor="text1"/>
          <w:sz w:val="16"/>
          <w:szCs w:val="16"/>
        </w:rPr>
        <w:noBreakHyphen/>
        <w:t>мм снарядов. Однако до 1933 г. промышленность не сумела освоить производство этих калибров снарядов, и обеспечение ими морской артиллерии продолжало базироваться на старых запасах, неудовлетворительных по качеству и недостаточных по количеству.</w:t>
      </w:r>
    </w:p>
    <w:p w14:paraId="17F76838" w14:textId="77777777" w:rsidR="0070053A" w:rsidRPr="00E14102" w:rsidRDefault="0070053A" w:rsidP="00E14102">
      <w:pPr>
        <w:pStyle w:val="rtejustify"/>
        <w:spacing w:before="0" w:after="0"/>
        <w:rPr>
          <w:color w:val="000000" w:themeColor="text1"/>
          <w:sz w:val="16"/>
          <w:szCs w:val="16"/>
        </w:rPr>
      </w:pPr>
      <w:r w:rsidRPr="00E14102">
        <w:rPr>
          <w:color w:val="000000" w:themeColor="text1"/>
          <w:sz w:val="16"/>
          <w:szCs w:val="16"/>
        </w:rPr>
        <w:t>Для устранения данного ненормального положения объединенным приказом Наркомвоенмора и Наркомтяжпрома 27 февраля 1933 г. было создано специальное Снарядное бюро ГВМУ, с возложением на него следующих основных задач: 1) восстановление на заводах производства крупнокалиберных морских снарядов, изготовлявшихся до революции (305 мм), и 2) разработка и пуск в производство снарядов к вновь появившимся на вооружении артиллерийским системам (356 мм и 180 мм).</w:t>
      </w:r>
    </w:p>
    <w:p w14:paraId="0965F7CD" w14:textId="77777777" w:rsidR="0070053A" w:rsidRPr="00E14102" w:rsidRDefault="0070053A" w:rsidP="00E14102">
      <w:pPr>
        <w:pStyle w:val="rtejustify"/>
        <w:spacing w:before="0" w:after="0"/>
        <w:rPr>
          <w:color w:val="000000" w:themeColor="text1"/>
          <w:sz w:val="16"/>
          <w:szCs w:val="16"/>
        </w:rPr>
      </w:pPr>
      <w:r w:rsidRPr="00E14102">
        <w:rPr>
          <w:color w:val="000000" w:themeColor="text1"/>
          <w:sz w:val="16"/>
          <w:szCs w:val="16"/>
        </w:rPr>
        <w:t>5 ноября 1933 г. постановлением СТО было предложено промышленности изготовить и сдать морским силам РККА в 1933 г.: 356</w:t>
      </w:r>
      <w:r w:rsidRPr="00E14102">
        <w:rPr>
          <w:color w:val="000000" w:themeColor="text1"/>
          <w:sz w:val="16"/>
          <w:szCs w:val="16"/>
        </w:rPr>
        <w:noBreakHyphen/>
        <w:t>мм бронебойных с пониженными техническими условиями — 200 шт.; 305</w:t>
      </w:r>
      <w:r w:rsidRPr="00E14102">
        <w:rPr>
          <w:color w:val="000000" w:themeColor="text1"/>
          <w:sz w:val="16"/>
          <w:szCs w:val="16"/>
        </w:rPr>
        <w:noBreakHyphen/>
        <w:t>мм бронебойных — 100 шт.; 305</w:t>
      </w:r>
      <w:r w:rsidRPr="00E14102">
        <w:rPr>
          <w:color w:val="000000" w:themeColor="text1"/>
          <w:sz w:val="16"/>
          <w:szCs w:val="16"/>
        </w:rPr>
        <w:noBreakHyphen/>
        <w:t>мм фугасных, пробн[ая] парт[ия] — 33 шт.; 180</w:t>
      </w:r>
      <w:r w:rsidRPr="00E14102">
        <w:rPr>
          <w:color w:val="000000" w:themeColor="text1"/>
          <w:sz w:val="16"/>
          <w:szCs w:val="16"/>
        </w:rPr>
        <w:noBreakHyphen/>
        <w:t>мм бронебойных — 800 шт.; 180</w:t>
      </w:r>
      <w:r w:rsidRPr="00E14102">
        <w:rPr>
          <w:color w:val="000000" w:themeColor="text1"/>
          <w:sz w:val="16"/>
          <w:szCs w:val="16"/>
        </w:rPr>
        <w:noBreakHyphen/>
        <w:t>мм фугасных — 2 тыс. шт.¹* Однако это задание правительства промышленностью в 1933 г. не было выполнено и полностью было перенесено на 1934 г. со следующим распределением по зародам и срокам: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53"/>
        <w:gridCol w:w="2790"/>
        <w:gridCol w:w="1308"/>
        <w:gridCol w:w="1415"/>
        <w:gridCol w:w="1522"/>
        <w:gridCol w:w="1835"/>
      </w:tblGrid>
      <w:tr w:rsidR="00E3599D" w:rsidRPr="00E14102" w14:paraId="56AAB52E"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7E02394" w14:textId="77777777" w:rsidR="0070053A" w:rsidRPr="00E14102" w:rsidRDefault="0070053A" w:rsidP="00E14102">
            <w:pPr>
              <w:jc w:val="both"/>
              <w:rPr>
                <w:color w:val="000000" w:themeColor="text1"/>
                <w:sz w:val="16"/>
                <w:szCs w:val="16"/>
              </w:rPr>
            </w:pPr>
            <w:r w:rsidRPr="00E14102">
              <w:rPr>
                <w:color w:val="000000" w:themeColor="text1"/>
                <w:sz w:val="16"/>
                <w:szCs w:val="16"/>
              </w:rPr>
              <w:t>Род снаряда</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CC1AFC4" w14:textId="77777777" w:rsidR="0070053A" w:rsidRPr="00E14102" w:rsidRDefault="0070053A" w:rsidP="00E14102">
            <w:pPr>
              <w:jc w:val="both"/>
              <w:rPr>
                <w:color w:val="000000" w:themeColor="text1"/>
                <w:sz w:val="16"/>
                <w:szCs w:val="16"/>
              </w:rPr>
            </w:pPr>
            <w:r w:rsidRPr="00E14102">
              <w:rPr>
                <w:color w:val="000000" w:themeColor="text1"/>
                <w:sz w:val="16"/>
                <w:szCs w:val="16"/>
              </w:rPr>
              <w:t>Изготовление корпусов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80EB97" w14:textId="77777777" w:rsidR="0070053A" w:rsidRPr="00E14102" w:rsidRDefault="0070053A" w:rsidP="00E14102">
            <w:pPr>
              <w:jc w:val="both"/>
              <w:rPr>
                <w:color w:val="000000" w:themeColor="text1"/>
                <w:sz w:val="16"/>
                <w:szCs w:val="16"/>
              </w:rPr>
            </w:pPr>
            <w:r w:rsidRPr="00E14102">
              <w:rPr>
                <w:color w:val="000000" w:themeColor="text1"/>
                <w:sz w:val="16"/>
                <w:szCs w:val="16"/>
              </w:rPr>
              <w:t>Фактически</w:t>
            </w:r>
          </w:p>
          <w:p w14:paraId="25DABD39" w14:textId="77777777" w:rsidR="0070053A" w:rsidRPr="00E14102" w:rsidRDefault="0070053A" w:rsidP="00E14102">
            <w:pPr>
              <w:jc w:val="both"/>
              <w:rPr>
                <w:color w:val="000000" w:themeColor="text1"/>
                <w:sz w:val="16"/>
                <w:szCs w:val="16"/>
              </w:rPr>
            </w:pPr>
            <w:r w:rsidRPr="00E14102">
              <w:rPr>
                <w:color w:val="000000" w:themeColor="text1"/>
                <w:sz w:val="16"/>
                <w:szCs w:val="16"/>
              </w:rPr>
              <w:t>выполнено к</w:t>
            </w:r>
          </w:p>
          <w:p w14:paraId="539A047B" w14:textId="77777777" w:rsidR="0070053A" w:rsidRPr="00E14102" w:rsidRDefault="0070053A" w:rsidP="00E14102">
            <w:pPr>
              <w:jc w:val="both"/>
              <w:rPr>
                <w:color w:val="000000" w:themeColor="text1"/>
                <w:sz w:val="16"/>
                <w:szCs w:val="16"/>
              </w:rPr>
            </w:pPr>
            <w:r w:rsidRPr="00E14102">
              <w:rPr>
                <w:color w:val="000000" w:themeColor="text1"/>
                <w:sz w:val="16"/>
                <w:szCs w:val="16"/>
              </w:rPr>
              <w:t>1 января 1935 г.</w:t>
            </w:r>
          </w:p>
        </w:tc>
      </w:tr>
      <w:tr w:rsidR="00E3599D" w:rsidRPr="00E14102" w14:paraId="5C1691FD"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DF57F06" w14:textId="77777777" w:rsidR="0070053A" w:rsidRPr="00E14102" w:rsidRDefault="0070053A" w:rsidP="00E14102">
            <w:pPr>
              <w:jc w:val="both"/>
              <w:rPr>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E16F6CC" w14:textId="77777777" w:rsidR="0070053A" w:rsidRPr="00E14102" w:rsidRDefault="0070053A" w:rsidP="00E14102">
            <w:pPr>
              <w:jc w:val="both"/>
              <w:rPr>
                <w:color w:val="000000" w:themeColor="text1"/>
                <w:sz w:val="16"/>
                <w:szCs w:val="16"/>
              </w:rPr>
            </w:pPr>
            <w:r w:rsidRPr="00E14102">
              <w:rPr>
                <w:color w:val="000000" w:themeColor="text1"/>
                <w:sz w:val="16"/>
                <w:szCs w:val="16"/>
              </w:rPr>
              <w:t>Заводы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206E66C" w14:textId="77777777" w:rsidR="0070053A" w:rsidRPr="00E14102" w:rsidRDefault="0070053A" w:rsidP="00E14102">
            <w:pPr>
              <w:jc w:val="both"/>
              <w:rPr>
                <w:color w:val="000000" w:themeColor="text1"/>
                <w:sz w:val="16"/>
                <w:szCs w:val="16"/>
              </w:rPr>
            </w:pPr>
            <w:r w:rsidRPr="00E14102">
              <w:rPr>
                <w:color w:val="000000" w:themeColor="text1"/>
                <w:sz w:val="16"/>
                <w:szCs w:val="16"/>
              </w:rPr>
              <w:t>Сроки подачи и количество снарядов</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DC28FE1" w14:textId="77777777" w:rsidR="0070053A" w:rsidRPr="00E14102" w:rsidRDefault="0070053A" w:rsidP="00E14102">
            <w:pPr>
              <w:jc w:val="both"/>
              <w:rPr>
                <w:color w:val="000000" w:themeColor="text1"/>
                <w:sz w:val="16"/>
                <w:szCs w:val="16"/>
              </w:rPr>
            </w:pPr>
          </w:p>
        </w:tc>
      </w:tr>
      <w:tr w:rsidR="00E3599D" w:rsidRPr="00E14102" w14:paraId="4AD22317"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8EB7C70" w14:textId="77777777" w:rsidR="0070053A" w:rsidRPr="00E14102" w:rsidRDefault="0070053A" w:rsidP="00E14102">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D11B340" w14:textId="77777777" w:rsidR="0070053A" w:rsidRPr="00E14102" w:rsidRDefault="0070053A"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165A92" w14:textId="77777777" w:rsidR="0070053A" w:rsidRPr="00E14102" w:rsidRDefault="0070053A" w:rsidP="00E14102">
            <w:pPr>
              <w:jc w:val="both"/>
              <w:rPr>
                <w:color w:val="000000" w:themeColor="text1"/>
                <w:sz w:val="16"/>
                <w:szCs w:val="16"/>
              </w:rPr>
            </w:pPr>
            <w:r w:rsidRPr="00E14102">
              <w:rPr>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D4EFB" w14:textId="77777777" w:rsidR="0070053A" w:rsidRPr="00E14102" w:rsidRDefault="0070053A" w:rsidP="00E14102">
            <w:pPr>
              <w:jc w:val="both"/>
              <w:rPr>
                <w:color w:val="000000" w:themeColor="text1"/>
                <w:sz w:val="16"/>
                <w:szCs w:val="16"/>
              </w:rPr>
            </w:pPr>
            <w:r w:rsidRPr="00E14102">
              <w:rPr>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BD904" w14:textId="77777777" w:rsidR="0070053A" w:rsidRPr="00E14102" w:rsidRDefault="0070053A" w:rsidP="00E14102">
            <w:pPr>
              <w:jc w:val="both"/>
              <w:rPr>
                <w:color w:val="000000" w:themeColor="text1"/>
                <w:sz w:val="16"/>
                <w:szCs w:val="16"/>
              </w:rPr>
            </w:pPr>
            <w:r w:rsidRPr="00E14102">
              <w:rPr>
                <w:color w:val="000000" w:themeColor="text1"/>
                <w:sz w:val="16"/>
                <w:szCs w:val="16"/>
              </w:rPr>
              <w:t>III квартал</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F11C28" w14:textId="77777777" w:rsidR="0070053A" w:rsidRPr="00E14102" w:rsidRDefault="0070053A" w:rsidP="00E14102">
            <w:pPr>
              <w:jc w:val="both"/>
              <w:rPr>
                <w:color w:val="000000" w:themeColor="text1"/>
                <w:sz w:val="16"/>
                <w:szCs w:val="16"/>
              </w:rPr>
            </w:pPr>
          </w:p>
        </w:tc>
      </w:tr>
      <w:tr w:rsidR="00E3599D" w:rsidRPr="00E14102" w14:paraId="73FE6A6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90D28" w14:textId="77777777" w:rsidR="0070053A" w:rsidRPr="00E14102" w:rsidRDefault="0070053A" w:rsidP="00E14102">
            <w:pPr>
              <w:jc w:val="both"/>
              <w:rPr>
                <w:color w:val="000000" w:themeColor="text1"/>
                <w:sz w:val="16"/>
                <w:szCs w:val="16"/>
              </w:rPr>
            </w:pPr>
            <w:r w:rsidRPr="00E14102">
              <w:rPr>
                <w:color w:val="000000" w:themeColor="text1"/>
                <w:sz w:val="16"/>
                <w:szCs w:val="16"/>
              </w:rPr>
              <w:t>356</w:t>
            </w:r>
            <w:r w:rsidRPr="00E14102">
              <w:rPr>
                <w:color w:val="000000" w:themeColor="text1"/>
                <w:sz w:val="16"/>
                <w:szCs w:val="16"/>
              </w:rPr>
              <w:noBreakHyphen/>
              <w:t>мм 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AB5A2" w14:textId="77777777" w:rsidR="0070053A" w:rsidRPr="00E14102" w:rsidRDefault="0070053A" w:rsidP="00E14102">
            <w:pPr>
              <w:jc w:val="both"/>
              <w:rPr>
                <w:color w:val="000000" w:themeColor="text1"/>
                <w:sz w:val="16"/>
                <w:szCs w:val="16"/>
              </w:rPr>
            </w:pPr>
            <w:r w:rsidRPr="00E14102">
              <w:rPr>
                <w:color w:val="000000" w:themeColor="text1"/>
                <w:sz w:val="16"/>
                <w:szCs w:val="16"/>
              </w:rPr>
              <w:t>«Красный Профинтерн»</w:t>
            </w:r>
          </w:p>
          <w:p w14:paraId="3636FCAA" w14:textId="77777777" w:rsidR="0070053A" w:rsidRPr="00E14102" w:rsidRDefault="0070053A" w:rsidP="00E14102">
            <w:pPr>
              <w:jc w:val="both"/>
              <w:rPr>
                <w:color w:val="000000" w:themeColor="text1"/>
                <w:sz w:val="16"/>
                <w:szCs w:val="16"/>
              </w:rPr>
            </w:pPr>
            <w:r w:rsidRPr="00E14102">
              <w:rPr>
                <w:color w:val="000000" w:themeColor="text1"/>
                <w:sz w:val="16"/>
                <w:szCs w:val="16"/>
              </w:rPr>
              <w:t>«Большевик»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7E66A" w14:textId="77777777" w:rsidR="0070053A" w:rsidRPr="00E14102" w:rsidRDefault="0070053A"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F567C" w14:textId="77777777" w:rsidR="0070053A" w:rsidRPr="00E14102" w:rsidRDefault="0070053A" w:rsidP="00E14102">
            <w:pPr>
              <w:jc w:val="both"/>
              <w:rPr>
                <w:color w:val="000000" w:themeColor="text1"/>
                <w:sz w:val="16"/>
                <w:szCs w:val="16"/>
              </w:rPr>
            </w:pPr>
            <w:r w:rsidRPr="00E14102">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5B521" w14:textId="77777777" w:rsidR="0070053A" w:rsidRPr="00E14102" w:rsidRDefault="0070053A" w:rsidP="00E14102">
            <w:pPr>
              <w:jc w:val="both"/>
              <w:rPr>
                <w:color w:val="000000" w:themeColor="text1"/>
                <w:sz w:val="16"/>
                <w:szCs w:val="16"/>
              </w:rPr>
            </w:pPr>
            <w:r w:rsidRPr="00E14102">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283E8" w14:textId="77777777" w:rsidR="0070053A" w:rsidRPr="00E14102" w:rsidRDefault="0070053A" w:rsidP="00E14102">
            <w:pPr>
              <w:jc w:val="both"/>
              <w:rPr>
                <w:color w:val="000000" w:themeColor="text1"/>
                <w:sz w:val="16"/>
                <w:szCs w:val="16"/>
              </w:rPr>
            </w:pPr>
            <w:r w:rsidRPr="00E14102">
              <w:rPr>
                <w:color w:val="000000" w:themeColor="text1"/>
                <w:sz w:val="16"/>
                <w:szCs w:val="16"/>
              </w:rPr>
              <w:t>0</w:t>
            </w:r>
          </w:p>
          <w:p w14:paraId="714B6213" w14:textId="77777777" w:rsidR="0070053A" w:rsidRPr="00E14102" w:rsidRDefault="0070053A" w:rsidP="00E14102">
            <w:pPr>
              <w:jc w:val="both"/>
              <w:rPr>
                <w:color w:val="000000" w:themeColor="text1"/>
                <w:sz w:val="16"/>
                <w:szCs w:val="16"/>
              </w:rPr>
            </w:pPr>
            <w:r w:rsidRPr="00E14102">
              <w:rPr>
                <w:color w:val="000000" w:themeColor="text1"/>
                <w:sz w:val="16"/>
                <w:szCs w:val="16"/>
              </w:rPr>
              <w:t>100²*</w:t>
            </w:r>
          </w:p>
        </w:tc>
      </w:tr>
      <w:tr w:rsidR="00E3599D" w:rsidRPr="00E14102" w14:paraId="78B9C9F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453390" w14:textId="77777777" w:rsidR="0070053A" w:rsidRPr="00E14102" w:rsidRDefault="0070053A" w:rsidP="00E14102">
            <w:pPr>
              <w:jc w:val="both"/>
              <w:rPr>
                <w:color w:val="000000" w:themeColor="text1"/>
                <w:sz w:val="16"/>
                <w:szCs w:val="16"/>
              </w:rPr>
            </w:pPr>
            <w:r w:rsidRPr="00E14102">
              <w:rPr>
                <w:color w:val="000000" w:themeColor="text1"/>
                <w:sz w:val="16"/>
                <w:szCs w:val="16"/>
              </w:rPr>
              <w:t>356</w:t>
            </w:r>
            <w:r w:rsidRPr="00E14102">
              <w:rPr>
                <w:color w:val="000000" w:themeColor="text1"/>
                <w:sz w:val="16"/>
                <w:szCs w:val="16"/>
              </w:rPr>
              <w:noBreakHyphen/>
              <w:t>мм бронебойный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7C0B4" w14:textId="77777777" w:rsidR="0070053A" w:rsidRPr="00E14102" w:rsidRDefault="0070053A" w:rsidP="00E14102">
            <w:pPr>
              <w:jc w:val="both"/>
              <w:rPr>
                <w:color w:val="000000" w:themeColor="text1"/>
                <w:sz w:val="16"/>
                <w:szCs w:val="16"/>
              </w:rPr>
            </w:pPr>
            <w:r w:rsidRPr="00E14102">
              <w:rPr>
                <w:color w:val="000000" w:themeColor="text1"/>
                <w:sz w:val="16"/>
                <w:szCs w:val="16"/>
              </w:rPr>
              <w:t>«Большевик»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8855E" w14:textId="77777777" w:rsidR="0070053A" w:rsidRPr="00E14102" w:rsidRDefault="0070053A"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15F09" w14:textId="77777777" w:rsidR="0070053A" w:rsidRPr="00E14102" w:rsidRDefault="0070053A"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7A7B8" w14:textId="77777777" w:rsidR="0070053A" w:rsidRPr="00E14102" w:rsidRDefault="0070053A" w:rsidP="00E14102">
            <w:pPr>
              <w:jc w:val="both"/>
              <w:rPr>
                <w:color w:val="000000" w:themeColor="text1"/>
                <w:sz w:val="16"/>
                <w:szCs w:val="16"/>
              </w:rPr>
            </w:pPr>
            <w:r w:rsidRPr="00E14102">
              <w:rPr>
                <w:color w:val="000000" w:themeColor="text1"/>
                <w:sz w:val="16"/>
                <w:szCs w:val="16"/>
              </w:rPr>
              <w:t>200³*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A3AAC" w14:textId="77777777" w:rsidR="0070053A" w:rsidRPr="00E14102" w:rsidRDefault="0070053A" w:rsidP="00E14102">
            <w:pPr>
              <w:jc w:val="both"/>
              <w:rPr>
                <w:color w:val="000000" w:themeColor="text1"/>
                <w:sz w:val="16"/>
                <w:szCs w:val="16"/>
              </w:rPr>
            </w:pPr>
            <w:r w:rsidRPr="00E14102">
              <w:rPr>
                <w:color w:val="000000" w:themeColor="text1"/>
                <w:sz w:val="16"/>
                <w:szCs w:val="16"/>
              </w:rPr>
              <w:t>0</w:t>
            </w:r>
          </w:p>
        </w:tc>
      </w:tr>
      <w:tr w:rsidR="00E3599D" w:rsidRPr="00E14102" w14:paraId="7A4A612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8742F6" w14:textId="77777777" w:rsidR="0070053A" w:rsidRPr="00E14102" w:rsidRDefault="0070053A" w:rsidP="00E14102">
            <w:pPr>
              <w:jc w:val="both"/>
              <w:rPr>
                <w:color w:val="000000" w:themeColor="text1"/>
                <w:sz w:val="16"/>
                <w:szCs w:val="16"/>
              </w:rPr>
            </w:pPr>
            <w:r w:rsidRPr="00E14102">
              <w:rPr>
                <w:color w:val="000000" w:themeColor="text1"/>
                <w:sz w:val="16"/>
                <w:szCs w:val="16"/>
              </w:rPr>
              <w:t>305</w:t>
            </w:r>
            <w:r w:rsidRPr="00E14102">
              <w:rPr>
                <w:color w:val="000000" w:themeColor="text1"/>
                <w:sz w:val="16"/>
                <w:szCs w:val="16"/>
              </w:rPr>
              <w:noBreakHyphen/>
              <w:t>мм 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08CA5" w14:textId="77777777" w:rsidR="0070053A" w:rsidRPr="00E14102" w:rsidRDefault="0070053A" w:rsidP="00E14102">
            <w:pPr>
              <w:jc w:val="both"/>
              <w:rPr>
                <w:color w:val="000000" w:themeColor="text1"/>
                <w:sz w:val="16"/>
                <w:szCs w:val="16"/>
              </w:rPr>
            </w:pPr>
            <w:r w:rsidRPr="00E14102">
              <w:rPr>
                <w:color w:val="000000" w:themeColor="text1"/>
                <w:sz w:val="16"/>
                <w:szCs w:val="16"/>
              </w:rPr>
              <w:t>«Красный Профинтерн»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04F0A" w14:textId="77777777" w:rsidR="0070053A" w:rsidRPr="00E14102" w:rsidRDefault="0070053A"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4F5D9" w14:textId="77777777" w:rsidR="0070053A" w:rsidRPr="00E14102" w:rsidRDefault="0070053A"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84DB1" w14:textId="77777777" w:rsidR="0070053A" w:rsidRPr="00E14102" w:rsidRDefault="0070053A"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93A32" w14:textId="77777777" w:rsidR="0070053A" w:rsidRPr="00E14102" w:rsidRDefault="0070053A" w:rsidP="00E14102">
            <w:pPr>
              <w:jc w:val="both"/>
              <w:rPr>
                <w:color w:val="000000" w:themeColor="text1"/>
                <w:sz w:val="16"/>
                <w:szCs w:val="16"/>
              </w:rPr>
            </w:pPr>
            <w:r w:rsidRPr="00E14102">
              <w:rPr>
                <w:color w:val="000000" w:themeColor="text1"/>
                <w:sz w:val="16"/>
                <w:szCs w:val="16"/>
              </w:rPr>
              <w:t>0</w:t>
            </w:r>
          </w:p>
        </w:tc>
      </w:tr>
      <w:tr w:rsidR="00E3599D" w:rsidRPr="00E14102" w14:paraId="6907798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7E494C" w14:textId="77777777" w:rsidR="0070053A" w:rsidRPr="00E14102" w:rsidRDefault="0070053A" w:rsidP="00E14102">
            <w:pPr>
              <w:jc w:val="both"/>
              <w:rPr>
                <w:color w:val="000000" w:themeColor="text1"/>
                <w:sz w:val="16"/>
                <w:szCs w:val="16"/>
              </w:rPr>
            </w:pPr>
            <w:r w:rsidRPr="00E14102">
              <w:rPr>
                <w:color w:val="000000" w:themeColor="text1"/>
                <w:sz w:val="16"/>
                <w:szCs w:val="16"/>
              </w:rPr>
              <w:t>305</w:t>
            </w:r>
            <w:r w:rsidRPr="00E14102">
              <w:rPr>
                <w:color w:val="000000" w:themeColor="text1"/>
                <w:sz w:val="16"/>
                <w:szCs w:val="16"/>
              </w:rPr>
              <w:noBreakHyphen/>
              <w:t>мм бронебойный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EB590" w14:textId="77777777" w:rsidR="0070053A" w:rsidRPr="00E14102" w:rsidRDefault="0070053A" w:rsidP="00E14102">
            <w:pPr>
              <w:jc w:val="both"/>
              <w:rPr>
                <w:color w:val="000000" w:themeColor="text1"/>
                <w:sz w:val="16"/>
                <w:szCs w:val="16"/>
              </w:rPr>
            </w:pPr>
            <w:r w:rsidRPr="00E14102">
              <w:rPr>
                <w:color w:val="000000" w:themeColor="text1"/>
                <w:sz w:val="16"/>
                <w:szCs w:val="16"/>
              </w:rPr>
              <w:t>[им.] Молотова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81DB2" w14:textId="77777777" w:rsidR="0070053A" w:rsidRPr="00E14102" w:rsidRDefault="0070053A"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7FAF9" w14:textId="77777777" w:rsidR="0070053A" w:rsidRPr="00E14102" w:rsidRDefault="0070053A" w:rsidP="00E14102">
            <w:pPr>
              <w:jc w:val="both"/>
              <w:rPr>
                <w:color w:val="000000" w:themeColor="text1"/>
                <w:sz w:val="16"/>
                <w:szCs w:val="16"/>
              </w:rPr>
            </w:pPr>
            <w:r w:rsidRPr="00E1410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3FCF9" w14:textId="77777777" w:rsidR="0070053A" w:rsidRPr="00E14102" w:rsidRDefault="0070053A"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CA01E" w14:textId="77777777" w:rsidR="0070053A" w:rsidRPr="00E14102" w:rsidRDefault="0070053A" w:rsidP="00E14102">
            <w:pPr>
              <w:jc w:val="both"/>
              <w:rPr>
                <w:color w:val="000000" w:themeColor="text1"/>
                <w:sz w:val="16"/>
                <w:szCs w:val="16"/>
              </w:rPr>
            </w:pPr>
            <w:r w:rsidRPr="00E14102">
              <w:rPr>
                <w:color w:val="000000" w:themeColor="text1"/>
                <w:sz w:val="16"/>
                <w:szCs w:val="16"/>
              </w:rPr>
              <w:t>100</w:t>
            </w:r>
          </w:p>
        </w:tc>
      </w:tr>
      <w:tr w:rsidR="00E3599D" w:rsidRPr="00E14102" w14:paraId="35872C1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CF5AE8" w14:textId="77777777" w:rsidR="0070053A" w:rsidRPr="00E14102" w:rsidRDefault="0070053A" w:rsidP="00E14102">
            <w:pPr>
              <w:jc w:val="both"/>
              <w:rPr>
                <w:color w:val="000000" w:themeColor="text1"/>
                <w:sz w:val="16"/>
                <w:szCs w:val="16"/>
              </w:rPr>
            </w:pPr>
            <w:r w:rsidRPr="00E14102">
              <w:rPr>
                <w:color w:val="000000" w:themeColor="text1"/>
                <w:sz w:val="16"/>
                <w:szCs w:val="16"/>
              </w:rPr>
              <w:lastRenderedPageBreak/>
              <w:t>180</w:t>
            </w:r>
            <w:r w:rsidRPr="00E14102">
              <w:rPr>
                <w:color w:val="000000" w:themeColor="text1"/>
                <w:sz w:val="16"/>
                <w:szCs w:val="16"/>
              </w:rPr>
              <w:noBreakHyphen/>
              <w:t>мм 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F6F11" w14:textId="77777777" w:rsidR="0070053A" w:rsidRPr="00E14102" w:rsidRDefault="0070053A" w:rsidP="00E14102">
            <w:pPr>
              <w:jc w:val="both"/>
              <w:rPr>
                <w:color w:val="000000" w:themeColor="text1"/>
                <w:sz w:val="16"/>
                <w:szCs w:val="16"/>
              </w:rPr>
            </w:pPr>
            <w:r w:rsidRPr="00E14102">
              <w:rPr>
                <w:color w:val="000000" w:themeColor="text1"/>
                <w:sz w:val="16"/>
                <w:szCs w:val="16"/>
              </w:rPr>
              <w:t>[им.] Молотова</w:t>
            </w:r>
          </w:p>
          <w:p w14:paraId="3DB4B186" w14:textId="77777777" w:rsidR="0070053A" w:rsidRPr="00E14102" w:rsidRDefault="0070053A" w:rsidP="00E14102">
            <w:pPr>
              <w:jc w:val="both"/>
              <w:rPr>
                <w:color w:val="000000" w:themeColor="text1"/>
                <w:sz w:val="16"/>
                <w:szCs w:val="16"/>
              </w:rPr>
            </w:pPr>
            <w:r w:rsidRPr="00E14102">
              <w:rPr>
                <w:color w:val="000000" w:themeColor="text1"/>
                <w:sz w:val="16"/>
                <w:szCs w:val="16"/>
              </w:rPr>
              <w:t>Н. Тагильский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B2D0E" w14:textId="77777777" w:rsidR="0070053A" w:rsidRPr="00E14102" w:rsidRDefault="0070053A" w:rsidP="00E14102">
            <w:pPr>
              <w:jc w:val="both"/>
              <w:rPr>
                <w:color w:val="000000" w:themeColor="text1"/>
                <w:sz w:val="16"/>
                <w:szCs w:val="16"/>
              </w:rPr>
            </w:pPr>
            <w:r w:rsidRPr="00E14102">
              <w:rPr>
                <w:color w:val="000000" w:themeColor="text1"/>
                <w:sz w:val="16"/>
                <w:szCs w:val="16"/>
              </w:rPr>
              <w:t>1000</w:t>
            </w:r>
          </w:p>
          <w:p w14:paraId="3FCC67F3" w14:textId="77777777" w:rsidR="0070053A" w:rsidRPr="00E14102" w:rsidRDefault="0070053A" w:rsidP="00E14102">
            <w:pPr>
              <w:jc w:val="both"/>
              <w:rPr>
                <w:color w:val="000000" w:themeColor="text1"/>
                <w:sz w:val="16"/>
                <w:szCs w:val="16"/>
              </w:rPr>
            </w:pPr>
            <w:r w:rsidRPr="00E14102">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CA467" w14:textId="77777777" w:rsidR="0070053A" w:rsidRPr="00E14102" w:rsidRDefault="0070053A" w:rsidP="00E14102">
            <w:pPr>
              <w:jc w:val="both"/>
              <w:rPr>
                <w:color w:val="000000" w:themeColor="text1"/>
                <w:sz w:val="16"/>
                <w:szCs w:val="16"/>
              </w:rPr>
            </w:pPr>
            <w:r w:rsidRPr="00E14102">
              <w:rPr>
                <w:color w:val="000000" w:themeColor="text1"/>
                <w:sz w:val="16"/>
                <w:szCs w:val="16"/>
              </w:rPr>
              <w:t>1500</w:t>
            </w:r>
          </w:p>
          <w:p w14:paraId="22FBD611" w14:textId="77777777" w:rsidR="0070053A" w:rsidRPr="00E14102" w:rsidRDefault="0070053A" w:rsidP="00E14102">
            <w:pPr>
              <w:jc w:val="both"/>
              <w:rPr>
                <w:color w:val="000000" w:themeColor="text1"/>
                <w:sz w:val="16"/>
                <w:szCs w:val="16"/>
              </w:rPr>
            </w:pPr>
            <w:r w:rsidRPr="00E14102">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00B11" w14:textId="77777777" w:rsidR="0070053A" w:rsidRPr="00E14102" w:rsidRDefault="0070053A" w:rsidP="00E14102">
            <w:pPr>
              <w:jc w:val="both"/>
              <w:rPr>
                <w:color w:val="000000" w:themeColor="text1"/>
                <w:sz w:val="16"/>
                <w:szCs w:val="16"/>
              </w:rPr>
            </w:pPr>
            <w:r w:rsidRPr="00E14102">
              <w:rPr>
                <w:color w:val="000000" w:themeColor="text1"/>
                <w:sz w:val="16"/>
                <w:szCs w:val="16"/>
              </w:rPr>
              <w:t>1500</w:t>
            </w:r>
          </w:p>
          <w:p w14:paraId="43C54A31" w14:textId="77777777" w:rsidR="0070053A" w:rsidRPr="00E14102" w:rsidRDefault="0070053A" w:rsidP="00E14102">
            <w:pPr>
              <w:jc w:val="both"/>
              <w:rPr>
                <w:color w:val="000000" w:themeColor="text1"/>
                <w:sz w:val="16"/>
                <w:szCs w:val="16"/>
              </w:rPr>
            </w:pPr>
            <w:r w:rsidRPr="00E14102">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C0A6D" w14:textId="77777777" w:rsidR="0070053A" w:rsidRPr="00E14102" w:rsidRDefault="0070053A" w:rsidP="00E14102">
            <w:pPr>
              <w:jc w:val="both"/>
              <w:rPr>
                <w:color w:val="000000" w:themeColor="text1"/>
                <w:sz w:val="16"/>
                <w:szCs w:val="16"/>
              </w:rPr>
            </w:pPr>
            <w:r w:rsidRPr="00E14102">
              <w:rPr>
                <w:color w:val="000000" w:themeColor="text1"/>
                <w:sz w:val="16"/>
                <w:szCs w:val="16"/>
              </w:rPr>
              <w:t>1802</w:t>
            </w:r>
          </w:p>
          <w:p w14:paraId="02E8BC29" w14:textId="77777777" w:rsidR="0070053A" w:rsidRPr="00E14102" w:rsidRDefault="0070053A" w:rsidP="00E14102">
            <w:pPr>
              <w:jc w:val="both"/>
              <w:rPr>
                <w:color w:val="000000" w:themeColor="text1"/>
                <w:sz w:val="16"/>
                <w:szCs w:val="16"/>
              </w:rPr>
            </w:pPr>
            <w:r w:rsidRPr="00E14102">
              <w:rPr>
                <w:color w:val="000000" w:themeColor="text1"/>
                <w:sz w:val="16"/>
                <w:szCs w:val="16"/>
              </w:rPr>
              <w:t>1200</w:t>
            </w:r>
          </w:p>
        </w:tc>
      </w:tr>
      <w:tr w:rsidR="00E3599D" w:rsidRPr="00E14102" w14:paraId="3F1FE07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34BDD" w14:textId="77777777" w:rsidR="0070053A" w:rsidRPr="00E14102" w:rsidRDefault="0070053A" w:rsidP="00E14102">
            <w:pPr>
              <w:jc w:val="both"/>
              <w:rPr>
                <w:color w:val="000000" w:themeColor="text1"/>
                <w:sz w:val="16"/>
                <w:szCs w:val="16"/>
              </w:rPr>
            </w:pPr>
            <w:r w:rsidRPr="00E14102">
              <w:rPr>
                <w:color w:val="000000" w:themeColor="text1"/>
                <w:sz w:val="16"/>
                <w:szCs w:val="16"/>
              </w:rPr>
              <w:t>180</w:t>
            </w:r>
            <w:r w:rsidRPr="00E14102">
              <w:rPr>
                <w:color w:val="000000" w:themeColor="text1"/>
                <w:sz w:val="16"/>
                <w:szCs w:val="16"/>
              </w:rPr>
              <w:noBreakHyphen/>
              <w:t>мм бронебойный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2237F" w14:textId="77777777" w:rsidR="0070053A" w:rsidRPr="00E14102" w:rsidRDefault="0070053A" w:rsidP="00E14102">
            <w:pPr>
              <w:jc w:val="both"/>
              <w:rPr>
                <w:color w:val="000000" w:themeColor="text1"/>
                <w:sz w:val="16"/>
                <w:szCs w:val="16"/>
              </w:rPr>
            </w:pPr>
            <w:r w:rsidRPr="00E14102">
              <w:rPr>
                <w:color w:val="000000" w:themeColor="text1"/>
                <w:sz w:val="16"/>
                <w:szCs w:val="16"/>
              </w:rPr>
              <w:t>«Большевик»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87A2D" w14:textId="77777777" w:rsidR="0070053A" w:rsidRPr="00E14102" w:rsidRDefault="0070053A" w:rsidP="00E14102">
            <w:pPr>
              <w:jc w:val="both"/>
              <w:rPr>
                <w:color w:val="000000" w:themeColor="text1"/>
                <w:sz w:val="16"/>
                <w:szCs w:val="16"/>
              </w:rPr>
            </w:pP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415A5" w14:textId="77777777" w:rsidR="0070053A" w:rsidRPr="00E14102" w:rsidRDefault="0070053A" w:rsidP="00E14102">
            <w:pPr>
              <w:jc w:val="both"/>
              <w:rPr>
                <w:color w:val="000000" w:themeColor="text1"/>
                <w:sz w:val="16"/>
                <w:szCs w:val="16"/>
              </w:rPr>
            </w:pPr>
            <w:r w:rsidRPr="00E14102">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F511B" w14:textId="77777777" w:rsidR="0070053A" w:rsidRPr="00E14102" w:rsidRDefault="0070053A" w:rsidP="00E14102">
            <w:pPr>
              <w:jc w:val="both"/>
              <w:rPr>
                <w:color w:val="000000" w:themeColor="text1"/>
                <w:sz w:val="16"/>
                <w:szCs w:val="16"/>
              </w:rPr>
            </w:pPr>
            <w:r w:rsidRPr="00E14102">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73D85" w14:textId="77777777" w:rsidR="0070053A" w:rsidRPr="00E14102" w:rsidRDefault="0070053A" w:rsidP="00E14102">
            <w:pPr>
              <w:jc w:val="both"/>
              <w:rPr>
                <w:color w:val="000000" w:themeColor="text1"/>
                <w:sz w:val="16"/>
                <w:szCs w:val="16"/>
              </w:rPr>
            </w:pPr>
            <w:r w:rsidRPr="00E14102">
              <w:rPr>
                <w:color w:val="000000" w:themeColor="text1"/>
                <w:sz w:val="16"/>
                <w:szCs w:val="16"/>
              </w:rPr>
              <w:t>0</w:t>
            </w:r>
          </w:p>
        </w:tc>
      </w:tr>
    </w:tbl>
    <w:p w14:paraId="44F25A0B" w14:textId="77777777" w:rsidR="0070053A" w:rsidRPr="00E14102" w:rsidRDefault="0070053A" w:rsidP="00E14102">
      <w:pPr>
        <w:pStyle w:val="rtejustify"/>
        <w:spacing w:before="0" w:after="0"/>
        <w:rPr>
          <w:color w:val="000000" w:themeColor="text1"/>
          <w:sz w:val="16"/>
          <w:szCs w:val="16"/>
        </w:rPr>
      </w:pPr>
      <w:r w:rsidRPr="00E14102">
        <w:rPr>
          <w:color w:val="000000" w:themeColor="text1"/>
          <w:sz w:val="16"/>
          <w:szCs w:val="16"/>
        </w:rPr>
        <w:t>Из данной таблицы видно, что за 1934 г. промышленностью выполнено только лишь 35</w:t>
      </w:r>
      <w:r w:rsidRPr="00E14102">
        <w:rPr>
          <w:color w:val="000000" w:themeColor="text1"/>
          <w:sz w:val="16"/>
          <w:szCs w:val="16"/>
        </w:rPr>
        <w:noBreakHyphen/>
        <w:t>36% программы по крупнокалиберным снарядам.</w:t>
      </w:r>
    </w:p>
    <w:p w14:paraId="20752FAA" w14:textId="77777777" w:rsidR="0070053A" w:rsidRPr="00E14102" w:rsidRDefault="0070053A" w:rsidP="00E14102">
      <w:pPr>
        <w:pStyle w:val="rtejustify"/>
        <w:spacing w:before="0" w:after="0"/>
        <w:rPr>
          <w:color w:val="000000" w:themeColor="text1"/>
          <w:sz w:val="16"/>
          <w:szCs w:val="16"/>
        </w:rPr>
      </w:pPr>
      <w:r w:rsidRPr="00E14102">
        <w:rPr>
          <w:color w:val="000000" w:themeColor="text1"/>
          <w:sz w:val="16"/>
          <w:szCs w:val="16"/>
        </w:rPr>
        <w:t>Положение с производством взрывателей для крупнокалиберных морских снарядов находится также в совершенно неудовлетворительном состоянии. Так, в 1934 г. промышленностью заказ НКО на взрыватели нового образца вовсе не выполнен, и даже заказ на взрыватели старого образца выполнен лишь на 45%. Причина невыполнения программы объясняется следующим положением в промышленности по производству крупнокалиберных снарядов:</w:t>
      </w:r>
    </w:p>
    <w:p w14:paraId="4AB2542A" w14:textId="77777777" w:rsidR="0070053A" w:rsidRPr="00E14102" w:rsidRDefault="0070053A" w:rsidP="00E14102">
      <w:pPr>
        <w:pStyle w:val="rtejustify"/>
        <w:spacing w:before="0" w:after="0"/>
        <w:rPr>
          <w:color w:val="000000" w:themeColor="text1"/>
          <w:sz w:val="16"/>
          <w:szCs w:val="16"/>
        </w:rPr>
      </w:pPr>
      <w:r w:rsidRPr="00E14102">
        <w:rPr>
          <w:color w:val="000000" w:themeColor="text1"/>
          <w:sz w:val="16"/>
          <w:szCs w:val="16"/>
        </w:rPr>
        <w:t>1) Неналаженностью научно-исследовательской и конструкторской работы ГВМУ Наркомтяжпрома и НКО по крупнокалиберным снарядам, что не всегда обеспечивало заводы технической помощью в разработке технологических процессов производства снарядов и получения надежных конструкций снарядов. Научно-исследовательской и конструкторской работой по снарядам данного калибра по заданиям ГВМУ занимаются ССБ (Специальное снарядное бюро ГВМУ), АНИМИ (Артиллерийский научно-исследовательский морской институт), Снарядный институт ГВМУ и ряд других организаций и отдельных лиц, без учета и обмена опытом, часто мешая друг другу и заводам, без какого-либо объединяющего руководства. Кроме того, частые реорганизации этих учреждений не дают благоприятной обстановки для плодотворной работы. Так например, ССБ в течение двухлетнего своего существования реорганизовывался 7 раз с неоднократными переездами из Ленинграда в Москву и обратно.</w:t>
      </w:r>
    </w:p>
    <w:p w14:paraId="3653AD12" w14:textId="77777777" w:rsidR="0070053A" w:rsidRPr="00E14102" w:rsidRDefault="0070053A" w:rsidP="00E14102">
      <w:pPr>
        <w:pStyle w:val="rtejustify"/>
        <w:spacing w:before="0" w:after="0"/>
        <w:rPr>
          <w:color w:val="000000" w:themeColor="text1"/>
          <w:sz w:val="16"/>
          <w:szCs w:val="16"/>
        </w:rPr>
      </w:pPr>
      <w:r w:rsidRPr="00E14102">
        <w:rPr>
          <w:color w:val="000000" w:themeColor="text1"/>
          <w:sz w:val="16"/>
          <w:szCs w:val="16"/>
        </w:rPr>
        <w:t>2) Неналаженностью системы работы в ГВМУ НКТП в вопросах организации, планирования, руководства и контроля по производству крупнокалиберных снарядов заводами, ставящее заводы в значительной степени в безответственное положение перед фактами невозможности выполнения плановых заказов. Планирование ГВМУ заказов по заводам идет без учета сырьевой обеспеченности, технической возможности заводов и без учета сроков перебросок полуфабрикатов через целую серию заводов, кооперированных по производству указанных снарядов. Помимо загрузки производственной программой на пушки, снаряды и др. предметы военного производства, заводы загружаются сверхплановыми заданиями, срывающими утвержденный производственный план данного завода.</w:t>
      </w:r>
    </w:p>
    <w:p w14:paraId="43234EE6" w14:textId="77777777" w:rsidR="0070053A" w:rsidRPr="00E14102" w:rsidRDefault="0070053A" w:rsidP="00E14102">
      <w:pPr>
        <w:pStyle w:val="rtejustify"/>
        <w:spacing w:before="0" w:after="0"/>
        <w:rPr>
          <w:color w:val="000000" w:themeColor="text1"/>
          <w:sz w:val="16"/>
          <w:szCs w:val="16"/>
        </w:rPr>
      </w:pPr>
      <w:r w:rsidRPr="00E14102">
        <w:rPr>
          <w:color w:val="000000" w:themeColor="text1"/>
          <w:sz w:val="16"/>
          <w:szCs w:val="16"/>
        </w:rPr>
        <w:t>3) Неудовлетворительным снабжением производства крупнокалиберных снарядов сырьем, срывающим работу по месяцам, а иногда и приостанавливающим выполнение плана. Особо резко сказывается данное положение в разрыве между утвержденной плановой потребностью в сырье для производства снарядов и фактическим обеспечением — это в ферросплавах, идущих из-за границы. Для производства по программе на 1934 г. по всем заказам (пушки, снаряды и т. п.) заводу «Большевик» требовалось ванадия 106 т, молибдена 380 т и т. д., фактически же было занаряжено ванадия — 32 т, молибдена — 52 т и т. д.</w:t>
      </w:r>
    </w:p>
    <w:p w14:paraId="3C96B2B5" w14:textId="77777777" w:rsidR="0070053A" w:rsidRPr="00E14102" w:rsidRDefault="0070053A" w:rsidP="00E14102">
      <w:pPr>
        <w:pStyle w:val="rtejustify"/>
        <w:spacing w:before="0" w:after="0"/>
        <w:rPr>
          <w:color w:val="000000" w:themeColor="text1"/>
          <w:sz w:val="16"/>
          <w:szCs w:val="16"/>
        </w:rPr>
      </w:pPr>
      <w:r w:rsidRPr="00E14102">
        <w:rPr>
          <w:color w:val="000000" w:themeColor="text1"/>
          <w:sz w:val="16"/>
          <w:szCs w:val="16"/>
        </w:rPr>
        <w:t>4) Запоздания и изменения тактических заданий УМС РККА⁴* промышленности по производству снарядов также часто срывало работу заводов. Так например, на заводе «Большевик» по производству 180</w:t>
      </w:r>
      <w:r w:rsidRPr="00E14102">
        <w:rPr>
          <w:color w:val="000000" w:themeColor="text1"/>
          <w:sz w:val="16"/>
          <w:szCs w:val="16"/>
        </w:rPr>
        <w:noBreakHyphen/>
        <w:t>мм бронебойных снарядов в начале 1934 г. работы были развернуты по чертежу № 257</w:t>
      </w:r>
      <w:r w:rsidRPr="00E14102">
        <w:rPr>
          <w:color w:val="000000" w:themeColor="text1"/>
          <w:sz w:val="16"/>
          <w:szCs w:val="16"/>
        </w:rPr>
        <w:noBreakHyphen/>
        <w:t>б, в июле пришлось перестраиваться к производству снарядов по чертежу № 1000 и, наконец, в августе — по чертежу № 140.</w:t>
      </w:r>
    </w:p>
    <w:p w14:paraId="7C52ABD5" w14:textId="77777777" w:rsidR="0070053A" w:rsidRPr="00E14102" w:rsidRDefault="0070053A" w:rsidP="00E14102">
      <w:pPr>
        <w:pStyle w:val="rtejustify"/>
        <w:spacing w:before="0" w:after="0"/>
        <w:rPr>
          <w:color w:val="000000" w:themeColor="text1"/>
          <w:sz w:val="16"/>
          <w:szCs w:val="16"/>
        </w:rPr>
      </w:pPr>
      <w:r w:rsidRPr="00E14102">
        <w:rPr>
          <w:color w:val="000000" w:themeColor="text1"/>
          <w:sz w:val="16"/>
          <w:szCs w:val="16"/>
        </w:rPr>
        <w:t>5) Недопустимым отношением директоров заводов к производству снарядов, ставящих их на задний план перед остальными заказами, как невыгодных для заводов с коммерческой точки зрения.</w:t>
      </w:r>
    </w:p>
    <w:p w14:paraId="0A9701AB" w14:textId="77777777" w:rsidR="0070053A" w:rsidRPr="00E14102" w:rsidRDefault="0070053A" w:rsidP="00E14102">
      <w:pPr>
        <w:pStyle w:val="rtejustify"/>
        <w:spacing w:before="0" w:after="0"/>
        <w:rPr>
          <w:color w:val="000000" w:themeColor="text1"/>
          <w:sz w:val="16"/>
          <w:szCs w:val="16"/>
        </w:rPr>
      </w:pPr>
      <w:r w:rsidRPr="00E14102">
        <w:rPr>
          <w:color w:val="000000" w:themeColor="text1"/>
          <w:sz w:val="16"/>
          <w:szCs w:val="16"/>
        </w:rPr>
        <w:t>На основании изложенного считаю необходимым поставить на обсуждение Комиссии обороны доклад НКТП о состоянии производства крупнокалиберных морских снарядов.</w:t>
      </w:r>
    </w:p>
    <w:p w14:paraId="5E27B730" w14:textId="77777777" w:rsidR="0070053A" w:rsidRPr="00E14102" w:rsidRDefault="0070053A"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Член Комиссии партконтроля, руководитель военно-морской группы Н.</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Куйбышев</w:t>
      </w:r>
    </w:p>
    <w:p w14:paraId="34ABA3E0" w14:textId="77777777" w:rsidR="0070053A" w:rsidRPr="00E14102" w:rsidRDefault="0070053A"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37BA9062" w14:textId="77777777" w:rsidR="0070053A" w:rsidRPr="00E14102" w:rsidRDefault="0070053A" w:rsidP="00E14102">
      <w:pPr>
        <w:pStyle w:val="rtejustify"/>
        <w:spacing w:before="0" w:after="0"/>
        <w:rPr>
          <w:color w:val="000000" w:themeColor="text1"/>
          <w:sz w:val="16"/>
          <w:szCs w:val="16"/>
        </w:rPr>
      </w:pPr>
      <w:r w:rsidRPr="00E14102">
        <w:rPr>
          <w:color w:val="000000" w:themeColor="text1"/>
          <w:sz w:val="16"/>
          <w:szCs w:val="16"/>
        </w:rPr>
        <w:t>¹* ГА РФ. Ф. Р-8418. Оп. 28. Д. 3. Л. 19-21.</w:t>
      </w:r>
    </w:p>
    <w:p w14:paraId="0B41C86F" w14:textId="77777777" w:rsidR="0070053A" w:rsidRPr="00E14102" w:rsidRDefault="0070053A" w:rsidP="00E14102">
      <w:pPr>
        <w:pStyle w:val="rtejustify"/>
        <w:spacing w:before="0" w:after="0"/>
        <w:rPr>
          <w:color w:val="000000" w:themeColor="text1"/>
          <w:sz w:val="16"/>
          <w:szCs w:val="16"/>
        </w:rPr>
      </w:pPr>
      <w:r w:rsidRPr="00E14102">
        <w:rPr>
          <w:color w:val="000000" w:themeColor="text1"/>
          <w:sz w:val="16"/>
          <w:szCs w:val="16"/>
        </w:rPr>
        <w:t>²* Завод «Большевик» выполнил 100 фугасных 356</w:t>
      </w:r>
      <w:r w:rsidRPr="00E14102">
        <w:rPr>
          <w:color w:val="000000" w:themeColor="text1"/>
          <w:sz w:val="16"/>
          <w:szCs w:val="16"/>
        </w:rPr>
        <w:noBreakHyphen/>
        <w:t>мм снарядов за счет завода «Красный Профинтерн». (</w:t>
      </w:r>
      <w:r w:rsidRPr="00E14102">
        <w:rPr>
          <w:rStyle w:val="a6"/>
          <w:i w:val="0"/>
          <w:color w:val="000000" w:themeColor="text1"/>
          <w:sz w:val="16"/>
          <w:szCs w:val="16"/>
        </w:rPr>
        <w:t>Прим. док</w:t>
      </w:r>
      <w:r w:rsidRPr="00E14102">
        <w:rPr>
          <w:color w:val="000000" w:themeColor="text1"/>
          <w:sz w:val="16"/>
          <w:szCs w:val="16"/>
        </w:rPr>
        <w:t>.).</w:t>
      </w:r>
    </w:p>
    <w:p w14:paraId="75B31314" w14:textId="77777777" w:rsidR="0070053A" w:rsidRPr="00E14102" w:rsidRDefault="0070053A" w:rsidP="00E14102">
      <w:pPr>
        <w:pStyle w:val="rtejustify"/>
        <w:spacing w:before="0" w:after="0"/>
        <w:rPr>
          <w:color w:val="000000" w:themeColor="text1"/>
          <w:sz w:val="16"/>
          <w:szCs w:val="16"/>
        </w:rPr>
      </w:pPr>
      <w:r w:rsidRPr="00E14102">
        <w:rPr>
          <w:color w:val="000000" w:themeColor="text1"/>
          <w:sz w:val="16"/>
          <w:szCs w:val="16"/>
        </w:rPr>
        <w:t>³* Помимо данных снарядов завод «Большевик» должен был доделать 200 шт. старого заказа с пониженными тактическими данными. Эту партию завод закончил в 1934 г. (</w:t>
      </w:r>
      <w:r w:rsidRPr="00E14102">
        <w:rPr>
          <w:rStyle w:val="a6"/>
          <w:i w:val="0"/>
          <w:color w:val="000000" w:themeColor="text1"/>
          <w:sz w:val="16"/>
          <w:szCs w:val="16"/>
        </w:rPr>
        <w:t>Прим док</w:t>
      </w:r>
      <w:r w:rsidRPr="00E14102">
        <w:rPr>
          <w:color w:val="000000" w:themeColor="text1"/>
          <w:sz w:val="16"/>
          <w:szCs w:val="16"/>
        </w:rPr>
        <w:t>.)</w:t>
      </w:r>
    </w:p>
    <w:p w14:paraId="71EFCE6A" w14:textId="77777777" w:rsidR="0070053A" w:rsidRPr="00E14102" w:rsidRDefault="0070053A" w:rsidP="00E14102">
      <w:pPr>
        <w:pStyle w:val="rtejustify"/>
        <w:spacing w:before="0" w:after="0"/>
        <w:rPr>
          <w:color w:val="000000" w:themeColor="text1"/>
          <w:sz w:val="16"/>
          <w:szCs w:val="16"/>
        </w:rPr>
      </w:pPr>
      <w:r w:rsidRPr="00E14102">
        <w:rPr>
          <w:color w:val="000000" w:themeColor="text1"/>
          <w:sz w:val="16"/>
          <w:szCs w:val="16"/>
        </w:rPr>
        <w:t xml:space="preserve">⁴* При образовании Наркомата обороны СССР функции Управления военно-морских сил были переданы </w:t>
      </w:r>
      <w:r w:rsidRPr="00E14102">
        <w:rPr>
          <w:rStyle w:val="a6"/>
          <w:bCs/>
          <w:i w:val="0"/>
          <w:color w:val="000000" w:themeColor="text1"/>
          <w:sz w:val="16"/>
          <w:szCs w:val="16"/>
        </w:rPr>
        <w:t>Управлению морских сил (УМС) РККА</w:t>
      </w:r>
      <w:r w:rsidRPr="00E14102">
        <w:rPr>
          <w:color w:val="000000" w:themeColor="text1"/>
          <w:sz w:val="16"/>
          <w:szCs w:val="16"/>
        </w:rPr>
        <w:t>. Согласно постановлению ЦИК и СНК СССР № 112</w:t>
      </w:r>
      <w:r w:rsidRPr="00E14102">
        <w:rPr>
          <w:color w:val="000000" w:themeColor="text1"/>
          <w:sz w:val="16"/>
          <w:szCs w:val="16"/>
        </w:rPr>
        <w:noBreakHyphen/>
        <w:t>2618</w:t>
      </w:r>
      <w:r w:rsidRPr="00E14102">
        <w:rPr>
          <w:color w:val="000000" w:themeColor="text1"/>
          <w:sz w:val="16"/>
          <w:szCs w:val="16"/>
        </w:rPr>
        <w:noBreakHyphen/>
        <w:t>450с от 22 ноября 1934 г. управление являлось центральным органом НКО СССР по руководству морскими силами РККА. Во главе его стоял начальник. На управление возлагались следующие функции: разработка в соответствии с решениями НКО СССР планов судостроения, вооружения, береговой обороны и морских баз; размещение в промышленности утвержденных Наркоматом обороны заказов по кораблестроению и вооружению и специальному морскому снабжению, а также приемка этих заказов; составление на основе указаний начальника Штаба РККА тактико-технических заданий на строительство и вооружение кораблей и морской авиации, на строительство береговых батарей и морских баз; руководство совершенствованием техники морских сил и морской авиации; обобщение опыта эксплуатации и испытаний материальной части; материально-техническое обеспечение морских сил РККА всеми видами техники и вооружения; руководство службой эксплуатации ремонта материальной части флотов, баз, портов, и береговой обороны; разработка по заданиям Штаба РККА вопросов организации морских сил, руководство мобилизационной и боевой подготовкой, кадровые вопросы, комплектование военно-морских учебных заведений и др. УМС РККА состояло из 9 отделов: боевой подготовки, организационного, кадров, военно-морских учебных заведений; кораблестроения с отделением по гидроавиации; вооружения, гидрографического, портов и специального снабжения, финансового. 30 декабря 1937 г. постановлением ЦИК и СНК СССР на базе Управления Морских сил РККА был образован Народный комиссариат Военно-морского флота СССР. (ГАРФ. Ф. Р</w:t>
      </w:r>
      <w:r w:rsidRPr="00E14102">
        <w:rPr>
          <w:color w:val="000000" w:themeColor="text1"/>
          <w:sz w:val="16"/>
          <w:szCs w:val="16"/>
        </w:rPr>
        <w:noBreakHyphen/>
        <w:t>5446. Оп. 1в. Д. 478. Л. 133</w:t>
      </w:r>
      <w:r w:rsidRPr="00E14102">
        <w:rPr>
          <w:color w:val="000000" w:themeColor="text1"/>
          <w:sz w:val="16"/>
          <w:szCs w:val="16"/>
        </w:rPr>
        <w:noBreakHyphen/>
        <w:t>177).</w:t>
      </w:r>
    </w:p>
    <w:p w14:paraId="17CEA4EF" w14:textId="77777777" w:rsidR="0070053A" w:rsidRPr="00E14102" w:rsidRDefault="0070053A"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АП РФ. Ф. 3. Оп. 46. Д. 336. Л. 63а-66. Подлинник (15338).</w:t>
      </w:r>
    </w:p>
    <w:p w14:paraId="6D9A1201" w14:textId="77777777" w:rsidR="0070053A" w:rsidRPr="00E14102" w:rsidRDefault="0070053A" w:rsidP="00E14102">
      <w:pPr>
        <w:pStyle w:val="rtejustify"/>
        <w:spacing w:before="0" w:after="0"/>
        <w:rPr>
          <w:rStyle w:val="a6"/>
          <w:bCs/>
          <w:i w:val="0"/>
          <w:color w:val="000000" w:themeColor="text1"/>
          <w:sz w:val="16"/>
          <w:szCs w:val="16"/>
        </w:rPr>
      </w:pPr>
    </w:p>
    <w:p w14:paraId="4AB19E82" w14:textId="77777777" w:rsidR="0070053A" w:rsidRPr="00E14102" w:rsidRDefault="0070053A" w:rsidP="00E14102">
      <w:pPr>
        <w:pStyle w:val="rtejustify"/>
        <w:spacing w:before="0" w:after="0"/>
        <w:rPr>
          <w:color w:val="000000" w:themeColor="text1"/>
          <w:sz w:val="16"/>
          <w:szCs w:val="16"/>
        </w:rPr>
      </w:pPr>
      <w:r w:rsidRPr="00E14102">
        <w:rPr>
          <w:rStyle w:val="a6"/>
          <w:bCs/>
          <w:i w:val="0"/>
          <w:color w:val="000000" w:themeColor="text1"/>
          <w:sz w:val="16"/>
          <w:szCs w:val="16"/>
        </w:rPr>
        <w:t>17 марта 1935 вышел приказ НКО №</w:t>
      </w:r>
      <w:r w:rsidRPr="00E14102">
        <w:rPr>
          <w:color w:val="000000" w:themeColor="text1"/>
          <w:sz w:val="16"/>
          <w:szCs w:val="16"/>
        </w:rPr>
        <w:t> 045. Об изменении грифов на образцы вооружения ВС РККА (15247).</w:t>
      </w:r>
    </w:p>
    <w:p w14:paraId="1B1ABBAB" w14:textId="77777777" w:rsidR="0070053A" w:rsidRPr="00E14102" w:rsidRDefault="0070053A" w:rsidP="00E14102">
      <w:pPr>
        <w:pStyle w:val="rtejustify"/>
        <w:spacing w:before="0" w:after="0"/>
        <w:rPr>
          <w:color w:val="000000" w:themeColor="text1"/>
          <w:sz w:val="16"/>
          <w:szCs w:val="16"/>
        </w:rPr>
      </w:pPr>
    </w:p>
    <w:p w14:paraId="6B9E4BD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2CF4959" w14:textId="77777777" w:rsidR="00D4105E" w:rsidRPr="00E14102" w:rsidRDefault="00D4105E" w:rsidP="00E14102">
      <w:pPr>
        <w:autoSpaceDE w:val="0"/>
        <w:autoSpaceDN w:val="0"/>
        <w:adjustRightInd w:val="0"/>
        <w:jc w:val="both"/>
        <w:rPr>
          <w:iCs/>
          <w:color w:val="000000" w:themeColor="text1"/>
          <w:sz w:val="16"/>
          <w:szCs w:val="16"/>
        </w:rPr>
      </w:pPr>
    </w:p>
    <w:p w14:paraId="553DAC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марта 1935 в Берлине состоялся военный парад, в котором принял участие А.Гитлер (2100).</w:t>
      </w:r>
    </w:p>
    <w:p w14:paraId="3A147966" w14:textId="77777777" w:rsidR="00D4105E" w:rsidRPr="00E14102" w:rsidRDefault="00D4105E" w:rsidP="00E14102">
      <w:pPr>
        <w:autoSpaceDE w:val="0"/>
        <w:autoSpaceDN w:val="0"/>
        <w:adjustRightInd w:val="0"/>
        <w:jc w:val="both"/>
        <w:rPr>
          <w:color w:val="000000" w:themeColor="text1"/>
          <w:sz w:val="16"/>
          <w:szCs w:val="16"/>
        </w:rPr>
      </w:pPr>
    </w:p>
    <w:p w14:paraId="3E8220E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17 марта 1935 Гитлер устроил в Берлине грандиозный военный парад с 500 тысячами зрителей (4962).</w:t>
      </w:r>
    </w:p>
    <w:p w14:paraId="21346E5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37A038D" w14:textId="77777777" w:rsidR="00356A2F" w:rsidRPr="00E14102" w:rsidRDefault="00356A2F"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17 – 18 марта 1935 г. </w:t>
      </w:r>
      <w:r w:rsidRPr="00E14102">
        <w:rPr>
          <w:iCs/>
          <w:color w:val="000000" w:themeColor="text1"/>
          <w:sz w:val="16"/>
          <w:szCs w:val="16"/>
        </w:rPr>
        <w:t>фашистский праздник в Берлине</w:t>
      </w:r>
      <w:r w:rsidRPr="00E14102">
        <w:rPr>
          <w:color w:val="000000" w:themeColor="text1"/>
          <w:sz w:val="16"/>
          <w:szCs w:val="16"/>
        </w:rPr>
        <w:t xml:space="preserve"> – нацисты проводят «день почестей» и зомбируют нацию своими мундирами, знаменами, театральными эффектами и гимнами, бомбардировщики Геринга впервые летят над Берлином (17328).</w:t>
      </w:r>
    </w:p>
    <w:p w14:paraId="2AE73368" w14:textId="77777777" w:rsidR="00356A2F" w:rsidRPr="00E14102" w:rsidRDefault="00356A2F" w:rsidP="00E14102">
      <w:pPr>
        <w:tabs>
          <w:tab w:val="left" w:pos="11199"/>
        </w:tabs>
        <w:autoSpaceDE w:val="0"/>
        <w:autoSpaceDN w:val="0"/>
        <w:adjustRightInd w:val="0"/>
        <w:jc w:val="both"/>
        <w:rPr>
          <w:color w:val="000000" w:themeColor="text1"/>
          <w:sz w:val="16"/>
          <w:szCs w:val="16"/>
        </w:rPr>
      </w:pPr>
    </w:p>
    <w:p w14:paraId="02ABE7F0" w14:textId="77777777" w:rsidR="0070053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7ED9CC9" w14:textId="77777777" w:rsidR="0070053A" w:rsidRPr="00E14102" w:rsidRDefault="0070053A" w:rsidP="00E14102">
      <w:pPr>
        <w:autoSpaceDE w:val="0"/>
        <w:autoSpaceDN w:val="0"/>
        <w:adjustRightInd w:val="0"/>
        <w:jc w:val="both"/>
        <w:rPr>
          <w:iCs/>
          <w:color w:val="000000" w:themeColor="text1"/>
          <w:sz w:val="16"/>
          <w:szCs w:val="16"/>
        </w:rPr>
      </w:pPr>
    </w:p>
    <w:p w14:paraId="11A48026" w14:textId="77777777" w:rsidR="0070053A" w:rsidRPr="00E14102" w:rsidRDefault="0070053A" w:rsidP="00E14102">
      <w:pPr>
        <w:jc w:val="both"/>
        <w:rPr>
          <w:color w:val="000000" w:themeColor="text1"/>
          <w:sz w:val="16"/>
          <w:szCs w:val="16"/>
        </w:rPr>
      </w:pPr>
      <w:r w:rsidRPr="00E14102">
        <w:rPr>
          <w:bCs/>
          <w:color w:val="000000" w:themeColor="text1"/>
          <w:sz w:val="16"/>
          <w:szCs w:val="16"/>
        </w:rPr>
        <w:t xml:space="preserve">18 марта </w:t>
      </w:r>
      <w:r w:rsidRPr="00E14102">
        <w:rPr>
          <w:color w:val="000000" w:themeColor="text1"/>
          <w:sz w:val="16"/>
          <w:szCs w:val="16"/>
        </w:rPr>
        <w:t xml:space="preserve">в 1935 году первый полёт итальянского авиалайнера </w:t>
      </w:r>
      <w:hyperlink r:id="rId63" w:tgtFrame="_blank" w:history="1">
        <w:r w:rsidRPr="00E14102">
          <w:rPr>
            <w:color w:val="000000" w:themeColor="text1"/>
            <w:sz w:val="16"/>
            <w:szCs w:val="16"/>
          </w:rPr>
          <w:t>«Fiat G18» «Veloce».</w:t>
        </w:r>
      </w:hyperlink>
    </w:p>
    <w:p w14:paraId="6ED4F3F7" w14:textId="77777777" w:rsidR="0070053A" w:rsidRPr="00E14102" w:rsidRDefault="0070053A" w:rsidP="00E14102">
      <w:pPr>
        <w:jc w:val="both"/>
        <w:rPr>
          <w:color w:val="000000" w:themeColor="text1"/>
          <w:sz w:val="16"/>
          <w:szCs w:val="16"/>
        </w:rPr>
      </w:pPr>
    </w:p>
    <w:p w14:paraId="65B572F4" w14:textId="77777777" w:rsidR="00DF3110" w:rsidRPr="00E14102" w:rsidRDefault="00DF3110" w:rsidP="00E14102">
      <w:pPr>
        <w:jc w:val="both"/>
        <w:rPr>
          <w:color w:val="0070C0"/>
          <w:sz w:val="16"/>
          <w:szCs w:val="16"/>
        </w:rPr>
      </w:pPr>
      <w:r w:rsidRPr="00E14102">
        <w:rPr>
          <w:color w:val="0070C0"/>
          <w:sz w:val="16"/>
          <w:szCs w:val="16"/>
        </w:rPr>
        <w:t>18 марта 1935 года — первый полёт поршневого авиалайнера Fiat G.18.</w:t>
      </w:r>
    </w:p>
    <w:p w14:paraId="7D07DCCB" w14:textId="77777777" w:rsidR="00DF3110" w:rsidRPr="00E14102" w:rsidRDefault="00DF3110" w:rsidP="00E14102">
      <w:pPr>
        <w:jc w:val="both"/>
        <w:rPr>
          <w:color w:val="0070C0"/>
          <w:sz w:val="16"/>
          <w:szCs w:val="16"/>
        </w:rPr>
      </w:pPr>
      <w:r w:rsidRPr="00E14102">
        <w:rPr>
          <w:color w:val="0070C0"/>
          <w:sz w:val="16"/>
          <w:szCs w:val="16"/>
        </w:rPr>
        <w:t>К середине 1930-х годов лучшим выбором для гражданской авиации становится американский Douglas DC-2 (а чуть позже и DC-3). Но Италия, обладавшая мощной авиапромышленностью, предпочла разработать собственный аналог. В 1934 году авиаконструктор компании Fiat Джузеппе Габриелли начал работу над проектом G.18.</w:t>
      </w:r>
    </w:p>
    <w:p w14:paraId="31AE5600" w14:textId="77777777" w:rsidR="00DF3110" w:rsidRPr="00E14102" w:rsidRDefault="00DF3110" w:rsidP="00E14102">
      <w:pPr>
        <w:jc w:val="both"/>
        <w:rPr>
          <w:color w:val="0070C0"/>
          <w:sz w:val="16"/>
          <w:szCs w:val="16"/>
        </w:rPr>
      </w:pPr>
      <w:r w:rsidRPr="00E14102">
        <w:rPr>
          <w:color w:val="0070C0"/>
          <w:sz w:val="16"/>
          <w:szCs w:val="16"/>
        </w:rPr>
        <w:t>Самолёт представлял собой цельнометаллический моноплан с дюралевой обшивкой. Силовая установка из 2 двигателей Fiat A.80 позволяла развивать максимальную скорость в 402 км/ч. В салоне могло разместиться 18 пассажиров. В целом, авиалайнер от Fiat весьма смахивал на DC-2/DC-3. Разве что обводы фюзеляжа были не такие плавные.</w:t>
      </w:r>
    </w:p>
    <w:p w14:paraId="08261A64" w14:textId="77777777" w:rsidR="00DF3110" w:rsidRPr="00E14102" w:rsidRDefault="00DF3110" w:rsidP="00E14102">
      <w:pPr>
        <w:jc w:val="both"/>
        <w:rPr>
          <w:color w:val="0070C0"/>
          <w:sz w:val="16"/>
          <w:szCs w:val="16"/>
        </w:rPr>
      </w:pPr>
      <w:r w:rsidRPr="00E14102">
        <w:rPr>
          <w:color w:val="0070C0"/>
          <w:sz w:val="16"/>
          <w:szCs w:val="16"/>
        </w:rPr>
        <w:t>Всего построили 9 единиц Fiat G.18, которые эксплуатировались собственной авиакомпанией производителя — Avio Linee Italiane. С началом Второй мировой войны самолёты пополнили флот итальянских ВВС. Все G.18 были потеряны уже к 1944 году (22300).</w:t>
      </w:r>
    </w:p>
    <w:p w14:paraId="38CF2062" w14:textId="77777777" w:rsidR="00DF3110" w:rsidRPr="00E14102" w:rsidRDefault="00DF3110" w:rsidP="00E14102">
      <w:pPr>
        <w:jc w:val="both"/>
        <w:rPr>
          <w:color w:val="0070C0"/>
          <w:sz w:val="16"/>
          <w:szCs w:val="16"/>
        </w:rPr>
      </w:pPr>
    </w:p>
    <w:p w14:paraId="7AA0337A" w14:textId="77777777" w:rsidR="0070053A" w:rsidRPr="00E14102" w:rsidRDefault="0070053A" w:rsidP="00E14102">
      <w:pPr>
        <w:jc w:val="both"/>
        <w:rPr>
          <w:color w:val="000000" w:themeColor="text1"/>
          <w:sz w:val="16"/>
          <w:szCs w:val="16"/>
        </w:rPr>
      </w:pPr>
      <w:r w:rsidRPr="00E14102">
        <w:rPr>
          <w:bCs/>
          <w:color w:val="000000" w:themeColor="text1"/>
          <w:sz w:val="16"/>
          <w:szCs w:val="16"/>
        </w:rPr>
        <w:t xml:space="preserve">18 марта </w:t>
      </w:r>
      <w:r w:rsidRPr="00E14102">
        <w:rPr>
          <w:color w:val="000000" w:themeColor="text1"/>
          <w:sz w:val="16"/>
          <w:szCs w:val="16"/>
        </w:rPr>
        <w:t>в 1935 году в полночь в населенных пунктах Великобритании введено ограничение скорости движения автомобилей - 30 миль/час (50 км/час). Эта норма действует по сей день, так как, несмотря на весь технический прогресс, безопасность пешеходов все равно тем выше, чем ниже скорость движения транспорта по улицам городов и поселков (15072).</w:t>
      </w:r>
    </w:p>
    <w:p w14:paraId="6EE3CD1F" w14:textId="77777777" w:rsidR="0070053A" w:rsidRPr="00E14102" w:rsidRDefault="0070053A" w:rsidP="00E14102">
      <w:pPr>
        <w:jc w:val="both"/>
        <w:rPr>
          <w:color w:val="000000" w:themeColor="text1"/>
          <w:sz w:val="16"/>
          <w:szCs w:val="16"/>
        </w:rPr>
      </w:pPr>
    </w:p>
    <w:p w14:paraId="34411D9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1180E88" w14:textId="77777777" w:rsidR="00D4105E" w:rsidRPr="00E14102" w:rsidRDefault="00D4105E" w:rsidP="00E14102">
      <w:pPr>
        <w:autoSpaceDE w:val="0"/>
        <w:autoSpaceDN w:val="0"/>
        <w:adjustRightInd w:val="0"/>
        <w:jc w:val="both"/>
        <w:rPr>
          <w:iCs/>
          <w:color w:val="000000" w:themeColor="text1"/>
          <w:sz w:val="16"/>
          <w:szCs w:val="16"/>
        </w:rPr>
      </w:pPr>
    </w:p>
    <w:p w14:paraId="52F23C7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марта 1935 года выписка из протокола постановления № С-27с СТО</w:t>
      </w:r>
    </w:p>
    <w:p w14:paraId="320773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 постройке дальнего бомбардировщика</w:t>
      </w:r>
    </w:p>
    <w:p w14:paraId="62E246A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3. Обязать НКВнешторг купить за границей 6 моторов Гном и Рон К-14 редукторных со степенью редукции 1:2 и 6 металлических винтов с переменным шагом в полете со сроком доставки в Москву к 1 апреля 1935 года – 3 моторов и к 1 мая 1935 года – 3 моторов, для чего отпустить НКТП из резерва СНК для закупки моторов и винтов 155 тыс. рублей золотом (4256, 4).</w:t>
      </w:r>
    </w:p>
    <w:p w14:paraId="1DBC41A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A2FF2E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марта 1935 года выписка из протокола постановления № С-27с СТО</w:t>
      </w:r>
    </w:p>
    <w:p w14:paraId="7C870B3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 постройке дальнего бомбардировщика</w:t>
      </w:r>
    </w:p>
    <w:p w14:paraId="63C73C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целях обеспечения выхода новых самолетов в обусловленные сроки разрешить ЦАГИ производить работы в сверхурочное время и применять аккордную и премиальную системы оплаты труда (4256, 5).</w:t>
      </w:r>
    </w:p>
    <w:p w14:paraId="6D6D2CD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05F5F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марта 1935 СТО принял постановление N 27 "О постройке ДБ" (создании на базе РД ДБ-1) (66,153).</w:t>
      </w:r>
    </w:p>
    <w:p w14:paraId="35CE28E6" w14:textId="77777777" w:rsidR="00D4105E" w:rsidRPr="00E14102" w:rsidRDefault="00D4105E" w:rsidP="00E14102">
      <w:pPr>
        <w:autoSpaceDE w:val="0"/>
        <w:autoSpaceDN w:val="0"/>
        <w:adjustRightInd w:val="0"/>
        <w:jc w:val="both"/>
        <w:rPr>
          <w:color w:val="000000" w:themeColor="text1"/>
          <w:sz w:val="16"/>
          <w:szCs w:val="16"/>
        </w:rPr>
      </w:pPr>
    </w:p>
    <w:p w14:paraId="4103DBB7" w14:textId="77777777" w:rsidR="0070053A" w:rsidRPr="00E14102" w:rsidRDefault="0070053A" w:rsidP="00E14102">
      <w:pPr>
        <w:jc w:val="both"/>
        <w:rPr>
          <w:color w:val="000000" w:themeColor="text1"/>
          <w:sz w:val="16"/>
          <w:szCs w:val="16"/>
        </w:rPr>
      </w:pPr>
      <w:r w:rsidRPr="00E14102">
        <w:rPr>
          <w:color w:val="000000" w:themeColor="text1"/>
          <w:sz w:val="16"/>
          <w:szCs w:val="16"/>
        </w:rPr>
        <w:t>19 марта 1935 г. Совет Труда и Обороны (СТО) постановил: «...Включить в план опытного строительства ЦАГИ перепроектирование и постройку самолёта «Рекордная дальность» (РД) в опытный двухмоторный дальний бомбарди</w:t>
      </w:r>
      <w:r w:rsidRPr="00E14102">
        <w:rPr>
          <w:color w:val="000000" w:themeColor="text1"/>
          <w:sz w:val="16"/>
          <w:szCs w:val="16"/>
        </w:rPr>
        <w:softHyphen/>
        <w:t>ровщик под два мотора К-14 с присвоением ему наименования ДБ2 — 2К14...»</w:t>
      </w:r>
    </w:p>
    <w:p w14:paraId="4C10E55B" w14:textId="77777777" w:rsidR="0070053A" w:rsidRPr="00E14102" w:rsidRDefault="0070053A" w:rsidP="00E14102">
      <w:pPr>
        <w:jc w:val="both"/>
        <w:rPr>
          <w:color w:val="000000" w:themeColor="text1"/>
          <w:sz w:val="16"/>
          <w:szCs w:val="16"/>
        </w:rPr>
      </w:pPr>
      <w:r w:rsidRPr="00E14102">
        <w:rPr>
          <w:color w:val="000000" w:themeColor="text1"/>
          <w:sz w:val="16"/>
          <w:szCs w:val="16"/>
        </w:rPr>
        <w:t>15 июля 1935 г. самолёт построили и передали на заводские летные испытания. 20 ию</w:t>
      </w:r>
      <w:r w:rsidRPr="00E14102">
        <w:rPr>
          <w:color w:val="000000" w:themeColor="text1"/>
          <w:sz w:val="16"/>
          <w:szCs w:val="16"/>
        </w:rPr>
        <w:softHyphen/>
        <w:t>ля опытный экземпляр ДБ-2 потерпел катастрофу, причиной стали вибрации хвостово</w:t>
      </w:r>
      <w:r w:rsidRPr="00E14102">
        <w:rPr>
          <w:color w:val="000000" w:themeColor="text1"/>
          <w:sz w:val="16"/>
          <w:szCs w:val="16"/>
        </w:rPr>
        <w:softHyphen/>
        <w:t>го оперения, приведшие к его разрушению (15812).</w:t>
      </w:r>
    </w:p>
    <w:p w14:paraId="3F3BA0C9" w14:textId="77777777" w:rsidR="0070053A" w:rsidRPr="00E14102" w:rsidRDefault="0070053A" w:rsidP="00E14102">
      <w:pPr>
        <w:jc w:val="both"/>
        <w:rPr>
          <w:color w:val="000000" w:themeColor="text1"/>
          <w:sz w:val="16"/>
          <w:szCs w:val="16"/>
        </w:rPr>
      </w:pPr>
    </w:p>
    <w:p w14:paraId="6D9418DB" w14:textId="77777777" w:rsidR="0070053A" w:rsidRPr="00E14102" w:rsidRDefault="0070053A" w:rsidP="00E14102">
      <w:pPr>
        <w:pStyle w:val="rtejustify"/>
        <w:spacing w:before="0" w:after="0"/>
        <w:rPr>
          <w:color w:val="000000" w:themeColor="text1"/>
          <w:sz w:val="16"/>
          <w:szCs w:val="16"/>
        </w:rPr>
      </w:pPr>
      <w:r w:rsidRPr="00E14102">
        <w:rPr>
          <w:rStyle w:val="a6"/>
          <w:bCs/>
          <w:i w:val="0"/>
          <w:color w:val="000000" w:themeColor="text1"/>
          <w:sz w:val="16"/>
          <w:szCs w:val="16"/>
        </w:rPr>
        <w:t>19 марта</w:t>
      </w:r>
      <w:r w:rsidRPr="00E14102">
        <w:rPr>
          <w:color w:val="000000" w:themeColor="text1"/>
          <w:sz w:val="16"/>
          <w:szCs w:val="16"/>
        </w:rPr>
        <w:t xml:space="preserve"> 1935. Постановление СТО СССР № С</w:t>
      </w:r>
      <w:r w:rsidRPr="00E14102">
        <w:rPr>
          <w:color w:val="000000" w:themeColor="text1"/>
          <w:sz w:val="16"/>
          <w:szCs w:val="16"/>
        </w:rPr>
        <w:noBreakHyphen/>
        <w:t>27сс «О постройке дальнего бомбардировщика». (ГА РФ. Ф. Р</w:t>
      </w:r>
      <w:r w:rsidRPr="00E14102">
        <w:rPr>
          <w:color w:val="000000" w:themeColor="text1"/>
          <w:sz w:val="16"/>
          <w:szCs w:val="16"/>
        </w:rPr>
        <w:noBreakHyphen/>
        <w:t>8418. Оп. 28. Д. 6. Л. 56</w:t>
      </w:r>
      <w:r w:rsidRPr="00E14102">
        <w:rPr>
          <w:color w:val="000000" w:themeColor="text1"/>
          <w:sz w:val="16"/>
          <w:szCs w:val="16"/>
        </w:rPr>
        <w:noBreakHyphen/>
        <w:t>57) (15460).</w:t>
      </w:r>
    </w:p>
    <w:p w14:paraId="658A8197" w14:textId="77777777" w:rsidR="0070053A" w:rsidRPr="00E14102" w:rsidRDefault="0070053A" w:rsidP="00E14102">
      <w:pPr>
        <w:pStyle w:val="rtejustify"/>
        <w:spacing w:before="0" w:after="0"/>
        <w:rPr>
          <w:color w:val="000000" w:themeColor="text1"/>
          <w:sz w:val="16"/>
          <w:szCs w:val="16"/>
        </w:rPr>
      </w:pPr>
    </w:p>
    <w:p w14:paraId="0D9A7D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марта 1935 года постановление № С-27сс СТО</w:t>
      </w:r>
    </w:p>
    <w:p w14:paraId="7AD757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постройке дальнего бомбардировщика</w:t>
      </w:r>
    </w:p>
    <w:p w14:paraId="3249F2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59D9292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Включить в план опытного строительства ЦАГИ перепроектирование и постройку самолета "Рекордная дальность" (РД) в опытный двухмоторный дальний бомбардировщик под два мотора К-14 с присвоением ему наименования ДБ2-2К14 со следующими тактико-техническими данными:</w:t>
      </w:r>
    </w:p>
    <w:p w14:paraId="7B0CC4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 5000 км</w:t>
      </w:r>
    </w:p>
    <w:p w14:paraId="33D50B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на высоте 4500 м – 300-320 км</w:t>
      </w:r>
    </w:p>
    <w:p w14:paraId="0F19D7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над целью – 7000-7500 м</w:t>
      </w:r>
    </w:p>
    <w:p w14:paraId="6D6829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w:t>
      </w:r>
    </w:p>
    <w:p w14:paraId="5000C9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пулемета ШКАС – 1 вперед, 1 – на спине и 1 – под хвост</w:t>
      </w:r>
    </w:p>
    <w:p w14:paraId="493DA8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 – 10 бомб по 100 кг в фюзеляже</w:t>
      </w:r>
    </w:p>
    <w:p w14:paraId="5D773C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НКТП изготовить и сдать на заводские испытания эталоны и закончить всю подготовку по чертежам и техусловиям к 15 июня 1935 года, а на госиспытание к 15 июля 1935 года.</w:t>
      </w:r>
    </w:p>
    <w:p w14:paraId="424A85D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Срок выхода самолета ЛК2 с 2М34 ФРН на госиспытания отдалить на 4 месяца против плана, утвержденного СТО от 14 июля 1934 года.</w:t>
      </w:r>
    </w:p>
    <w:p w14:paraId="3FFD90B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Производство самолета ДБ-2 развернуть на заводе № 18. Намеченный к постройке на этом заводе самолет МИ3 на производство не ставить (7516, 21).</w:t>
      </w:r>
    </w:p>
    <w:p w14:paraId="7DA60090"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6470A2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марта 1935 СТО принял постановление N С-27сс "О постройке дальнего бомбардировщика" (ДБ-2) В.М.М. (2161,150):</w:t>
      </w:r>
    </w:p>
    <w:p w14:paraId="5006A6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Включить в план опытного строительства ЦАГИ перепроектирования и постройку самолета РД в высотный 2-х моторный ДБ под 2 К-14 с присвоением ему индекса ДБ-2 2К-14 со следующими ТТД:</w:t>
      </w:r>
    </w:p>
    <w:p w14:paraId="2A237A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дальность - 5000 км</w:t>
      </w:r>
    </w:p>
    <w:p w14:paraId="2E27F6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макс. скорость на 4500 м - 300-320 км/час</w:t>
      </w:r>
    </w:p>
    <w:p w14:paraId="4E36F0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w:t>
      </w:r>
    </w:p>
    <w:p w14:paraId="2CABB1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3хШКАС - 1 - вперед, 1 - на спине, 1 - под хвост</w:t>
      </w:r>
    </w:p>
    <w:p w14:paraId="51BCA5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бомбовая нагрузка - 10х100 в фюзеляже</w:t>
      </w:r>
    </w:p>
    <w:p w14:paraId="4D165B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НКТП изготовить и сдать на заводские испытания эталоны и закончить всю подготовительную работу по чертежам и ТУ к 15 июня 1935, а на гос. испытания - 15 августа 1935.</w:t>
      </w:r>
    </w:p>
    <w:p w14:paraId="6DBA04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Срок выхода самолета МК-2 2М-34ФРН на гос. испытания отдалить на 4 месяца против плана, утвержденного СТЬ 14 июля 1934.</w:t>
      </w:r>
    </w:p>
    <w:p w14:paraId="1458CB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2D776F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Производство ДБ-2 развернуть на заводе 18. Намеченный к постройке на этом заводе Ми-3 на производство не ставить." (2398,26).</w:t>
      </w:r>
    </w:p>
    <w:p w14:paraId="59F074B9" w14:textId="77777777" w:rsidR="00D4105E" w:rsidRPr="00E14102" w:rsidRDefault="00D4105E" w:rsidP="00E14102">
      <w:pPr>
        <w:autoSpaceDE w:val="0"/>
        <w:autoSpaceDN w:val="0"/>
        <w:adjustRightInd w:val="0"/>
        <w:jc w:val="both"/>
        <w:rPr>
          <w:color w:val="000000" w:themeColor="text1"/>
          <w:sz w:val="16"/>
          <w:szCs w:val="16"/>
        </w:rPr>
      </w:pPr>
    </w:p>
    <w:p w14:paraId="78BACE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марта 1935 года был утвержден эскизный проект самолета И-21 (С-8). Помимо эскизного проекта и предварительного подбора элементов конструкции был построен макет данного самолета и утвержден ВВС в той части, которая не зависит от пушки. Дальнейшая разработка предварительного проекта самолета и необходимые экспериментальные работы хотя и проводились, но сильно задержались (опоздание на 6 месяцев) по следующим причинам, не зависящим от СНИИ ГВФ и гл. конструктора СТ-8 Бартини.</w:t>
      </w:r>
    </w:p>
    <w:p w14:paraId="3193B06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 был получен Институтом импортный пушечный мотор Испано-Сюиза ……………………..</w:t>
      </w:r>
    </w:p>
    <w:p w14:paraId="09E402F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процессе работы ВВС дважды менял требования к спецоборудованию самолета и по сей день задания по последнему варианту к установке пушка в СНИИ не доставлена, так как не закончена испытаниями и доводкой в ОКБ2. Намеченная к установке рация РИ забракована НИИ ВВС ………………….</w:t>
      </w:r>
    </w:p>
    <w:p w14:paraId="0B528E8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ЦИАМ, на который была возложена проработка вопроса по поводу мотора Испано-Сюиза на испарительное охлаждение, с этой работой опоздал ………………</w:t>
      </w:r>
    </w:p>
    <w:p w14:paraId="7931BD5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 запроектирован из нового материала альтмага, производившегося на заводе № 34 ГУАПа.</w:t>
      </w:r>
    </w:p>
    <w:p w14:paraId="043A4B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ГУАП, не предупреждая ГВФ прекратил производство альтмага на заводе № 34 и после больших настояний со стороны ГУГВФ весной 1935 года передал заказ на завод № 95. Заказ этот до настоящего времени не выполняется, так как завод № 95 этого производства не освоил ……………………</w:t>
      </w:r>
    </w:p>
    <w:p w14:paraId="4B7858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 срок 1 ноября 1935 года окончания задания по И-21 выполнен быть не может.</w:t>
      </w:r>
    </w:p>
    <w:p w14:paraId="62F7FF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может быть закончен и выпущен на испытания через 7 месяцев после получения перечисленных объектов (7727, 72).</w:t>
      </w:r>
    </w:p>
    <w:p w14:paraId="5F07DF7D" w14:textId="77777777" w:rsidR="00D4105E" w:rsidRPr="00E14102" w:rsidRDefault="00D4105E" w:rsidP="00E14102">
      <w:pPr>
        <w:autoSpaceDE w:val="0"/>
        <w:autoSpaceDN w:val="0"/>
        <w:adjustRightInd w:val="0"/>
        <w:jc w:val="both"/>
        <w:rPr>
          <w:color w:val="000000" w:themeColor="text1"/>
          <w:sz w:val="16"/>
          <w:szCs w:val="16"/>
        </w:rPr>
      </w:pPr>
    </w:p>
    <w:p w14:paraId="4C15A2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марта 1935 вышел приказ ГУАП N 82:</w:t>
      </w:r>
    </w:p>
    <w:p w14:paraId="7513EE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Ввиду окончания постройки самолета УБП 2М-11 (типа КАИ-1) нач. КАИ разрешить приступить к заводским испытаниям, только на основании (решения) спец. созданной комиссии.</w:t>
      </w:r>
    </w:p>
    <w:p w14:paraId="18B8A9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Комиссии выехать не позднее 2 марта к месту производства летных испытаний. Зам. нач. ГУАП Ермолаев." (2171,73).</w:t>
      </w:r>
    </w:p>
    <w:p w14:paraId="7F536196" w14:textId="77777777" w:rsidR="00D4105E" w:rsidRPr="00E14102" w:rsidRDefault="00D4105E" w:rsidP="00E14102">
      <w:pPr>
        <w:autoSpaceDE w:val="0"/>
        <w:autoSpaceDN w:val="0"/>
        <w:adjustRightInd w:val="0"/>
        <w:jc w:val="both"/>
        <w:rPr>
          <w:color w:val="000000" w:themeColor="text1"/>
          <w:sz w:val="16"/>
          <w:szCs w:val="16"/>
        </w:rPr>
      </w:pPr>
    </w:p>
    <w:p w14:paraId="3CD3B9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марта 1935 года вышел Приказ НИИ ВС № 0196 О проведении летного исследования самолетов У-2 в целях получения поляры из планирований (6813, 1).</w:t>
      </w:r>
    </w:p>
    <w:p w14:paraId="218895F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FEF1C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марта 1935 Нач. УВВС Алкснис утвердил Заключение по эскизному проекту УТИ завода 23 под М-49 (2343,82).</w:t>
      </w:r>
    </w:p>
    <w:p w14:paraId="63222B55" w14:textId="77777777" w:rsidR="00D4105E" w:rsidRPr="00E14102" w:rsidRDefault="00D4105E" w:rsidP="00E14102">
      <w:pPr>
        <w:autoSpaceDE w:val="0"/>
        <w:autoSpaceDN w:val="0"/>
        <w:adjustRightInd w:val="0"/>
        <w:jc w:val="both"/>
        <w:rPr>
          <w:color w:val="000000" w:themeColor="text1"/>
          <w:sz w:val="16"/>
          <w:szCs w:val="16"/>
        </w:rPr>
      </w:pPr>
    </w:p>
    <w:p w14:paraId="4320A28F" w14:textId="77777777" w:rsidR="00DF3110" w:rsidRPr="00E14102" w:rsidRDefault="00DF3110" w:rsidP="00E14102">
      <w:pPr>
        <w:jc w:val="both"/>
        <w:rPr>
          <w:color w:val="0070C0"/>
          <w:sz w:val="16"/>
          <w:szCs w:val="16"/>
        </w:rPr>
      </w:pPr>
      <w:r w:rsidRPr="00E14102">
        <w:rPr>
          <w:color w:val="0070C0"/>
          <w:sz w:val="16"/>
          <w:szCs w:val="16"/>
        </w:rPr>
        <w:t>19 марта 1935 опросом членов ПБ</w:t>
      </w:r>
    </w:p>
    <w:p w14:paraId="560930B3" w14:textId="77777777" w:rsidR="00DF3110" w:rsidRPr="00E14102" w:rsidRDefault="00DF3110" w:rsidP="00E14102">
      <w:pPr>
        <w:jc w:val="both"/>
        <w:rPr>
          <w:color w:val="0070C0"/>
          <w:sz w:val="16"/>
          <w:szCs w:val="16"/>
        </w:rPr>
      </w:pPr>
      <w:r w:rsidRPr="00E14102">
        <w:rPr>
          <w:color w:val="0070C0"/>
          <w:sz w:val="16"/>
          <w:szCs w:val="16"/>
        </w:rPr>
        <w:t>143.- Вопрос К.О.</w:t>
      </w:r>
    </w:p>
    <w:p w14:paraId="399E1A52" w14:textId="77777777" w:rsidR="00DF3110" w:rsidRPr="00E14102" w:rsidRDefault="00DF3110" w:rsidP="00E14102">
      <w:pPr>
        <w:jc w:val="both"/>
        <w:rPr>
          <w:color w:val="0070C0"/>
          <w:sz w:val="16"/>
          <w:szCs w:val="16"/>
        </w:rPr>
      </w:pPr>
      <w:r w:rsidRPr="00E14102">
        <w:rPr>
          <w:color w:val="0070C0"/>
          <w:sz w:val="16"/>
          <w:szCs w:val="16"/>
        </w:rPr>
        <w:t>Утвердить решение СТС об отпуске Наркомтяжпрому в счет контингентов НКТП 155 тыс.руб.золотом на покупку заграницей б моторов "Гном и Рон" (К-14) и 6 металли</w:t>
      </w:r>
      <w:r w:rsidRPr="00E14102">
        <w:rPr>
          <w:color w:val="0070C0"/>
          <w:sz w:val="16"/>
          <w:szCs w:val="16"/>
        </w:rPr>
        <w:softHyphen/>
        <w:t>ческих винтов с переменным шагом для постройки дальнего бомбардировщика.</w:t>
      </w:r>
    </w:p>
    <w:p w14:paraId="016486B9" w14:textId="77777777" w:rsidR="00DF3110" w:rsidRPr="00E14102" w:rsidRDefault="00DF3110" w:rsidP="00E14102">
      <w:pPr>
        <w:jc w:val="both"/>
        <w:rPr>
          <w:color w:val="0070C0"/>
          <w:sz w:val="16"/>
          <w:szCs w:val="16"/>
        </w:rPr>
      </w:pPr>
      <w:r w:rsidRPr="00E14102">
        <w:rPr>
          <w:color w:val="0070C0"/>
          <w:sz w:val="16"/>
          <w:szCs w:val="16"/>
        </w:rPr>
        <w:t>Выписки посланы:</w:t>
      </w:r>
    </w:p>
    <w:p w14:paraId="08910CE6" w14:textId="77777777" w:rsidR="00DF3110" w:rsidRPr="00E14102" w:rsidRDefault="00DF3110" w:rsidP="00E14102">
      <w:pPr>
        <w:jc w:val="both"/>
        <w:rPr>
          <w:color w:val="0070C0"/>
          <w:sz w:val="16"/>
          <w:szCs w:val="16"/>
        </w:rPr>
      </w:pPr>
      <w:r w:rsidRPr="00E14102">
        <w:rPr>
          <w:color w:val="0070C0"/>
          <w:sz w:val="16"/>
          <w:szCs w:val="16"/>
        </w:rPr>
        <w:t>т.т.Орджоникидзе.Розонгольцу, Базилевичу.Мирошникову.</w:t>
      </w:r>
    </w:p>
    <w:p w14:paraId="3FA8950B" w14:textId="77777777" w:rsidR="00DF3110" w:rsidRPr="00E14102" w:rsidRDefault="00DF3110" w:rsidP="00E14102">
      <w:pPr>
        <w:tabs>
          <w:tab w:val="left" w:pos="5378"/>
        </w:tabs>
        <w:jc w:val="both"/>
        <w:rPr>
          <w:color w:val="0070C0"/>
          <w:sz w:val="16"/>
          <w:szCs w:val="16"/>
        </w:rPr>
      </w:pPr>
      <w:r w:rsidRPr="00E14102">
        <w:rPr>
          <w:color w:val="0070C0"/>
          <w:sz w:val="16"/>
          <w:szCs w:val="16"/>
          <w:lang w:bidi="ru-RU"/>
        </w:rPr>
        <w:t>(ПРОТОКОЛ № 23 ЗАСЕДАНИЯ ПОЛИТБЮРО ЦК ВКП(б) от 3 АПРЕЛЯ 1935 года. (Особый №) (22928).</w:t>
      </w:r>
    </w:p>
    <w:p w14:paraId="416AA2E5" w14:textId="77777777" w:rsidR="00DF3110" w:rsidRPr="00E14102" w:rsidRDefault="00DF3110" w:rsidP="00E14102">
      <w:pPr>
        <w:jc w:val="both"/>
        <w:rPr>
          <w:color w:val="0070C0"/>
          <w:sz w:val="16"/>
          <w:szCs w:val="16"/>
        </w:rPr>
      </w:pPr>
    </w:p>
    <w:p w14:paraId="30E53C63" w14:textId="77777777" w:rsidR="0070053A" w:rsidRPr="00E14102" w:rsidRDefault="0070053A" w:rsidP="00E14102">
      <w:pPr>
        <w:shd w:val="clear" w:color="auto" w:fill="FFFFFF"/>
        <w:jc w:val="both"/>
        <w:rPr>
          <w:color w:val="000000" w:themeColor="text1"/>
          <w:sz w:val="16"/>
          <w:szCs w:val="16"/>
        </w:rPr>
      </w:pPr>
      <w:r w:rsidRPr="00E14102">
        <w:rPr>
          <w:bCs/>
          <w:iCs/>
          <w:color w:val="000000" w:themeColor="text1"/>
          <w:sz w:val="16"/>
          <w:szCs w:val="16"/>
        </w:rPr>
        <w:t>19 марта 1935 г.</w:t>
      </w:r>
      <w:r w:rsidRPr="00E14102">
        <w:rPr>
          <w:color w:val="000000" w:themeColor="text1"/>
          <w:sz w:val="16"/>
          <w:szCs w:val="16"/>
        </w:rPr>
        <w:t xml:space="preserve"> Отправка в Москву годового отчета полигона Шиханы (Саратовская область) за 1934 год. Отмечено, что отнесенные по ветру мелкие капли иприта, вылитого с больших высот (порядка 3000 метров), могут вызывать поражения незащищенных частей тела «</w:t>
      </w:r>
      <w:r w:rsidRPr="00E14102">
        <w:rPr>
          <w:iCs/>
          <w:color w:val="000000" w:themeColor="text1"/>
          <w:sz w:val="16"/>
          <w:szCs w:val="16"/>
        </w:rPr>
        <w:t>в легкой степени, не выводящие бойцов из строя</w:t>
      </w:r>
      <w:r w:rsidRPr="00E14102">
        <w:rPr>
          <w:color w:val="000000" w:themeColor="text1"/>
          <w:sz w:val="16"/>
          <w:szCs w:val="16"/>
        </w:rPr>
        <w:t>». В подтверждения приведены фотографии не бойцов Красной Армии, а детей села Ключи, расположенного в 11 км от места предполагаемого заражения участка с самолетов (см. 16 октября 1934 г.). Сообщено об отсутствии полностью доработанной методики биоконтроля полноты дегазации (применение для биоконтроля животных не дает положительных результатов). Сделан вывод: «</w:t>
      </w:r>
      <w:r w:rsidRPr="00E14102">
        <w:rPr>
          <w:bCs/>
          <w:iCs/>
          <w:color w:val="000000" w:themeColor="text1"/>
          <w:sz w:val="16"/>
          <w:szCs w:val="16"/>
        </w:rPr>
        <w:t>От применения животных в качестве основного вида контроля необходимо отказаться и перейти на людей как на новый вид контроля полноты дегазации, оставив животных лишь для предварительной работы</w:t>
      </w:r>
      <w:r w:rsidRPr="00E14102">
        <w:rPr>
          <w:color w:val="000000" w:themeColor="text1"/>
          <w:sz w:val="16"/>
          <w:szCs w:val="16"/>
        </w:rPr>
        <w:t>». Сообщено, что дегазация земли «</w:t>
      </w:r>
      <w:r w:rsidRPr="00E14102">
        <w:rPr>
          <w:iCs/>
          <w:color w:val="000000" w:themeColor="text1"/>
          <w:sz w:val="16"/>
          <w:szCs w:val="16"/>
        </w:rPr>
        <w:t xml:space="preserve">термическим путем </w:t>
      </w:r>
      <w:r w:rsidRPr="00E14102">
        <w:rPr>
          <w:iCs/>
          <w:color w:val="000000" w:themeColor="text1"/>
          <w:sz w:val="16"/>
          <w:szCs w:val="16"/>
        </w:rPr>
        <w:lastRenderedPageBreak/>
        <w:t>(при помощи разливания и последующего зажигания огнесмесей) дала чрезвычайно положительные результаты</w:t>
      </w:r>
      <w:r w:rsidRPr="00E14102">
        <w:rPr>
          <w:color w:val="000000" w:themeColor="text1"/>
          <w:sz w:val="16"/>
          <w:szCs w:val="16"/>
        </w:rPr>
        <w:t>» (на самом деле — это путь заражения территории на годы высоко токсичными химическими веществами класса полихлорированных диоксинов). В отчете упоминалось также, что в 1934 г. при испытаниях химического оружия имело место много случаев выхода ОВ за пределы полигона (села Ключи и Куриловка, села за Волгой). Эта констатация сопровождалась сетованиями, что это «</w:t>
      </w:r>
      <w:r w:rsidRPr="00E14102">
        <w:rPr>
          <w:iCs/>
          <w:color w:val="000000" w:themeColor="text1"/>
          <w:sz w:val="16"/>
          <w:szCs w:val="16"/>
        </w:rPr>
        <w:t>обстоятельство ведет к рассекречиванию работ</w:t>
      </w:r>
      <w:r w:rsidRPr="00E14102">
        <w:rPr>
          <w:color w:val="000000" w:themeColor="text1"/>
          <w:sz w:val="16"/>
          <w:szCs w:val="16"/>
        </w:rPr>
        <w:t>» (17133).</w:t>
      </w:r>
    </w:p>
    <w:p w14:paraId="654A7A01" w14:textId="77777777" w:rsidR="0070053A" w:rsidRPr="00E14102" w:rsidRDefault="0070053A" w:rsidP="00E14102">
      <w:pPr>
        <w:shd w:val="clear" w:color="auto" w:fill="FFFFFF"/>
        <w:jc w:val="both"/>
        <w:rPr>
          <w:color w:val="000000" w:themeColor="text1"/>
          <w:sz w:val="16"/>
          <w:szCs w:val="16"/>
        </w:rPr>
      </w:pPr>
    </w:p>
    <w:p w14:paraId="7537629C" w14:textId="77777777" w:rsidR="0070053A" w:rsidRPr="00E14102" w:rsidRDefault="0070053A" w:rsidP="00E14102">
      <w:pPr>
        <w:jc w:val="both"/>
        <w:rPr>
          <w:color w:val="000000" w:themeColor="text1"/>
          <w:sz w:val="16"/>
          <w:szCs w:val="16"/>
        </w:rPr>
      </w:pPr>
      <w:r w:rsidRPr="00E14102">
        <w:rPr>
          <w:bCs/>
          <w:color w:val="000000" w:themeColor="text1"/>
          <w:sz w:val="16"/>
          <w:szCs w:val="16"/>
        </w:rPr>
        <w:t>19 марта</w:t>
      </w:r>
      <w:r w:rsidRPr="00E14102">
        <w:rPr>
          <w:color w:val="000000" w:themeColor="text1"/>
          <w:sz w:val="16"/>
          <w:szCs w:val="16"/>
        </w:rPr>
        <w:t xml:space="preserve"> в 1935 году завершился перелёт по маршруту Москва – остров Диксон (начало 11 марта) общим расстоянием 13000 км, В.С.Молоков на самолёте “СРСР-Н2” (15073).</w:t>
      </w:r>
    </w:p>
    <w:p w14:paraId="68CEEA3D" w14:textId="77777777" w:rsidR="0070053A" w:rsidRPr="00E14102" w:rsidRDefault="0070053A" w:rsidP="00E14102">
      <w:pPr>
        <w:jc w:val="both"/>
        <w:rPr>
          <w:color w:val="000000" w:themeColor="text1"/>
          <w:sz w:val="16"/>
          <w:szCs w:val="16"/>
        </w:rPr>
      </w:pPr>
    </w:p>
    <w:p w14:paraId="64FD11D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BA1F2E4" w14:textId="77777777" w:rsidR="00D4105E" w:rsidRPr="00E14102" w:rsidRDefault="00D4105E" w:rsidP="00E14102">
      <w:pPr>
        <w:autoSpaceDE w:val="0"/>
        <w:autoSpaceDN w:val="0"/>
        <w:adjustRightInd w:val="0"/>
        <w:jc w:val="both"/>
        <w:rPr>
          <w:iCs/>
          <w:color w:val="000000" w:themeColor="text1"/>
          <w:sz w:val="16"/>
          <w:szCs w:val="16"/>
        </w:rPr>
      </w:pPr>
    </w:p>
    <w:p w14:paraId="6EEFFE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марта 1935 в ВОХИМУ был направлен годовой отчет ЦВХП (Шиханы) за 1934. Там констатировалось, что отнесенные по ветру мелкие капли иприта, вылитого с больших высот (1000 м) могут вызвать поражение незащищенных честей тела “в легкой степени, не выаодящей бойцов из строя”. Сделан вывод: “От применения животных в качестве основного вида биоконтроля, необходимо отказаться и перейти на людей, как новый вид контроля полноты дегазации, оставив животных лишь для предварительной работы.” (6246).</w:t>
      </w:r>
    </w:p>
    <w:p w14:paraId="0810CBD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76988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марта 1935 г. выполнение плана ЛЭФИ по исследованиям в области радиообнаружения самолетов было оформлено договором. План включал следующие работы:</w:t>
      </w:r>
    </w:p>
    <w:p w14:paraId="76ACE8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Определение предельной дальности возможного обнаружения самолета на данной высоте па основе теоретических, лабораторных и экспериментальных исследований, а также исследование возможности определения числа и типов самолетов по силе принимаемого сигнала; какова должна быть система и мощность передающего устройства и система приемных устройств на различных волнах.</w:t>
      </w:r>
    </w:p>
    <w:p w14:paraId="625F80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Пеленгация на УКВ для определения направления на самолет, расстояний до него и его скорости.</w:t>
      </w:r>
    </w:p>
    <w:p w14:paraId="04DC91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Результаты исследований должны были дать ответ на следующие вопросы:</w:t>
      </w:r>
    </w:p>
    <w:p w14:paraId="1CC9F6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каких расстояниях и с какой точностью можно определить координаты самолета?</w:t>
      </w:r>
    </w:p>
    <w:p w14:paraId="0B125D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Можно ли измерять скорость и азимут самолета на больших расстояниях (200–300 км)?</w:t>
      </w:r>
    </w:p>
    <w:p w14:paraId="5A9ADA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Какова должна быть система приемников для пеленгации самолетов на больших расстояниях? (11026).</w:t>
      </w:r>
    </w:p>
    <w:p w14:paraId="01C91E14" w14:textId="77777777" w:rsidR="00D4105E" w:rsidRPr="00E14102" w:rsidRDefault="00D4105E" w:rsidP="00E14102">
      <w:pPr>
        <w:autoSpaceDE w:val="0"/>
        <w:autoSpaceDN w:val="0"/>
        <w:adjustRightInd w:val="0"/>
        <w:jc w:val="both"/>
        <w:rPr>
          <w:color w:val="000000" w:themeColor="text1"/>
          <w:sz w:val="16"/>
          <w:szCs w:val="16"/>
        </w:rPr>
      </w:pPr>
    </w:p>
    <w:p w14:paraId="0AC1E0ED" w14:textId="77777777" w:rsidR="00DF3110" w:rsidRPr="00E14102" w:rsidRDefault="00DF3110" w:rsidP="00E14102">
      <w:pPr>
        <w:jc w:val="both"/>
        <w:rPr>
          <w:color w:val="0070C0"/>
          <w:sz w:val="16"/>
          <w:szCs w:val="16"/>
        </w:rPr>
      </w:pPr>
      <w:r w:rsidRPr="00E14102">
        <w:rPr>
          <w:color w:val="0070C0"/>
          <w:sz w:val="16"/>
          <w:szCs w:val="16"/>
        </w:rPr>
        <w:t>19 марта 1935 года был оформлен Договор заказчика – советских военных – с Ленинградским физико-техническим институтом по теме радиолокации, после чего на протяжении более чем года советские специалисты под руководством профессора Дмитрия Аполлинариевича Рожанского (после его смерти работами в этой области руководил Юрий Борисович Кобзарев) выполняли расчеты и исследования по плану и договору, в результате чего было установлено: на базе имеющегося научно-технического задела уже в 1936 году возможно создание импульсного генератора, мощность которого позволила бы обнаруживать самолет на дальности до 100 километров (22709).</w:t>
      </w:r>
    </w:p>
    <w:p w14:paraId="4ADE8DAF" w14:textId="77777777" w:rsidR="00DF3110" w:rsidRPr="00E14102" w:rsidRDefault="00DF3110" w:rsidP="00E14102">
      <w:pPr>
        <w:jc w:val="both"/>
        <w:rPr>
          <w:color w:val="0070C0"/>
          <w:sz w:val="16"/>
          <w:szCs w:val="16"/>
        </w:rPr>
      </w:pPr>
    </w:p>
    <w:p w14:paraId="1B93A7C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A9948B5" w14:textId="77777777" w:rsidR="00D4105E" w:rsidRPr="00E14102" w:rsidRDefault="00D4105E" w:rsidP="00E14102">
      <w:pPr>
        <w:autoSpaceDE w:val="0"/>
        <w:autoSpaceDN w:val="0"/>
        <w:adjustRightInd w:val="0"/>
        <w:jc w:val="both"/>
        <w:rPr>
          <w:iCs/>
          <w:color w:val="000000" w:themeColor="text1"/>
          <w:sz w:val="16"/>
          <w:szCs w:val="16"/>
        </w:rPr>
      </w:pPr>
    </w:p>
    <w:p w14:paraId="3586FB1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марта 1935 в СССР арестована жена Каменева (4962).</w:t>
      </w:r>
    </w:p>
    <w:p w14:paraId="165B185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FC2896B" w14:textId="77777777" w:rsidR="00D35271" w:rsidRPr="00E14102" w:rsidRDefault="00D35271"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51E9B59" w14:textId="77777777" w:rsidR="00D35271" w:rsidRPr="00E14102" w:rsidRDefault="00D35271" w:rsidP="00E14102">
      <w:pPr>
        <w:autoSpaceDE w:val="0"/>
        <w:autoSpaceDN w:val="0"/>
        <w:adjustRightInd w:val="0"/>
        <w:jc w:val="both"/>
        <w:rPr>
          <w:iCs/>
          <w:color w:val="000000" w:themeColor="text1"/>
          <w:sz w:val="16"/>
          <w:szCs w:val="16"/>
        </w:rPr>
      </w:pPr>
    </w:p>
    <w:p w14:paraId="7F563919" w14:textId="77777777" w:rsidR="00207CC4" w:rsidRPr="00E14102" w:rsidRDefault="00207CC4" w:rsidP="00E14102">
      <w:pPr>
        <w:jc w:val="both"/>
        <w:rPr>
          <w:color w:val="0070C0"/>
          <w:sz w:val="16"/>
          <w:szCs w:val="16"/>
        </w:rPr>
      </w:pPr>
      <w:r w:rsidRPr="00E14102">
        <w:rPr>
          <w:color w:val="0070C0"/>
          <w:sz w:val="16"/>
          <w:szCs w:val="16"/>
        </w:rPr>
        <w:t>20 марта 1935 по существующему тогда порядку, Началь</w:t>
      </w:r>
      <w:r w:rsidRPr="00E14102">
        <w:rPr>
          <w:color w:val="0070C0"/>
          <w:sz w:val="16"/>
          <w:szCs w:val="16"/>
        </w:rPr>
        <w:softHyphen/>
        <w:t>ник Управления Воздушных Сил РККААлкснис подписал «Акт об утверждении отче</w:t>
      </w:r>
      <w:r w:rsidRPr="00E14102">
        <w:rPr>
          <w:color w:val="0070C0"/>
          <w:sz w:val="16"/>
          <w:szCs w:val="16"/>
        </w:rPr>
        <w:softHyphen/>
        <w:t>та государственных испытаний самолета ИП-1 с мотором Райт-Циклон ФЗ». Несмотря на имеющиеся у ДГ-52 недостатки, этот документ был составлен в превосходных тонах. Отмеча</w:t>
      </w:r>
      <w:r w:rsidRPr="00E14102">
        <w:rPr>
          <w:color w:val="0070C0"/>
          <w:sz w:val="16"/>
          <w:szCs w:val="16"/>
        </w:rPr>
        <w:softHyphen/>
        <w:t>лось, что самолет стоит в ряду современным истребителей, но имеет более мощное воору</w:t>
      </w:r>
      <w:r w:rsidRPr="00E14102">
        <w:rPr>
          <w:color w:val="0070C0"/>
          <w:sz w:val="16"/>
          <w:szCs w:val="16"/>
        </w:rPr>
        <w:softHyphen/>
        <w:t>жение. Начальнику 4-го отдела УВС Базенкову совместно с начальником 1-го отдела Алексеевским, предписывалось в трехдневный срок доложить соображения поувеличению заказа ИП-1 за счет выпуска других типов истребите</w:t>
      </w:r>
      <w:r w:rsidRPr="00E14102">
        <w:rPr>
          <w:color w:val="0070C0"/>
          <w:sz w:val="16"/>
          <w:szCs w:val="16"/>
        </w:rPr>
        <w:softHyphen/>
        <w:t>лей по плану 1935-го года.</w:t>
      </w:r>
    </w:p>
    <w:p w14:paraId="29D96EBE" w14:textId="77777777" w:rsidR="00207CC4" w:rsidRPr="00E14102" w:rsidRDefault="00207CC4" w:rsidP="00E14102">
      <w:pPr>
        <w:jc w:val="both"/>
        <w:rPr>
          <w:color w:val="0070C0"/>
          <w:sz w:val="16"/>
          <w:szCs w:val="16"/>
        </w:rPr>
      </w:pPr>
      <w:r w:rsidRPr="00E14102">
        <w:rPr>
          <w:color w:val="0070C0"/>
          <w:sz w:val="16"/>
          <w:szCs w:val="16"/>
        </w:rPr>
        <w:t>Нельзя исключить, что текст этого заключения стал одним из мотивов разрыва Курчевского и Григоровича. Дмитрий Павло</w:t>
      </w:r>
      <w:r w:rsidRPr="00E14102">
        <w:rPr>
          <w:color w:val="0070C0"/>
          <w:sz w:val="16"/>
          <w:szCs w:val="16"/>
        </w:rPr>
        <w:softHyphen/>
        <w:t>вич, как создатель ИП-1, в нем даже неупоминался, а разработка самолета была названа успехом УСР. Самолюбие Григоровича без</w:t>
      </w:r>
      <w:r w:rsidRPr="00E14102">
        <w:rPr>
          <w:color w:val="0070C0"/>
          <w:sz w:val="16"/>
          <w:szCs w:val="16"/>
        </w:rPr>
        <w:softHyphen/>
        <w:t>условно было задето. Наверное, были и дру</w:t>
      </w:r>
      <w:r w:rsidRPr="00E14102">
        <w:rPr>
          <w:color w:val="0070C0"/>
          <w:sz w:val="16"/>
          <w:szCs w:val="16"/>
        </w:rPr>
        <w:softHyphen/>
        <w:t>гие веские причины (19933).</w:t>
      </w:r>
    </w:p>
    <w:p w14:paraId="157A2FD7" w14:textId="77777777" w:rsidR="00207CC4" w:rsidRPr="00E14102" w:rsidRDefault="00207CC4" w:rsidP="00E14102">
      <w:pPr>
        <w:jc w:val="both"/>
        <w:rPr>
          <w:color w:val="0070C0"/>
          <w:sz w:val="16"/>
          <w:szCs w:val="16"/>
        </w:rPr>
      </w:pPr>
    </w:p>
    <w:p w14:paraId="0B8A0328" w14:textId="77777777" w:rsidR="00207CC4" w:rsidRPr="00E14102" w:rsidRDefault="00207CC4" w:rsidP="00E14102">
      <w:pPr>
        <w:jc w:val="both"/>
        <w:rPr>
          <w:color w:val="0070C0"/>
          <w:sz w:val="16"/>
          <w:szCs w:val="16"/>
        </w:rPr>
      </w:pPr>
      <w:r w:rsidRPr="00E14102">
        <w:rPr>
          <w:color w:val="0070C0"/>
          <w:sz w:val="16"/>
          <w:szCs w:val="16"/>
        </w:rPr>
        <w:t>20 марта 1935 Начальник ВВС РККА Командарм 2 ранга Алкснис, который был ярым сторонником вооружения истребителей крупнокалиберной артиллери</w:t>
      </w:r>
      <w:r w:rsidRPr="00E14102">
        <w:rPr>
          <w:color w:val="0070C0"/>
          <w:sz w:val="16"/>
          <w:szCs w:val="16"/>
        </w:rPr>
        <w:softHyphen/>
        <w:t>ей, уже после первого этапа испы</w:t>
      </w:r>
      <w:r w:rsidRPr="00E14102">
        <w:rPr>
          <w:color w:val="0070C0"/>
          <w:sz w:val="16"/>
          <w:szCs w:val="16"/>
        </w:rPr>
        <w:softHyphen/>
        <w:t>таний потребовал «...доложить в трехднев</w:t>
      </w:r>
      <w:r w:rsidRPr="00E14102">
        <w:rPr>
          <w:color w:val="0070C0"/>
          <w:sz w:val="16"/>
          <w:szCs w:val="16"/>
        </w:rPr>
        <w:softHyphen/>
        <w:t>ный срок...предложения об увеличении заказа ИП-1 за счет соответствующего заказа на другие типы истребителей по плану 1935 года». Короче, в серию самолет пошел на штопор не испытанным.</w:t>
      </w:r>
    </w:p>
    <w:p w14:paraId="48A7C3E9" w14:textId="77777777" w:rsidR="00207CC4" w:rsidRPr="00E14102" w:rsidRDefault="00207CC4" w:rsidP="00E14102">
      <w:pPr>
        <w:jc w:val="both"/>
        <w:rPr>
          <w:color w:val="0070C0"/>
          <w:sz w:val="16"/>
          <w:szCs w:val="16"/>
        </w:rPr>
      </w:pPr>
      <w:r w:rsidRPr="00E14102">
        <w:rPr>
          <w:color w:val="0070C0"/>
          <w:sz w:val="16"/>
          <w:szCs w:val="16"/>
        </w:rPr>
        <w:t>Как известно, с пушками Курчевского дело не заладилось, но на 135-м заводе махо</w:t>
      </w:r>
      <w:r w:rsidRPr="00E14102">
        <w:rPr>
          <w:color w:val="0070C0"/>
          <w:sz w:val="16"/>
          <w:szCs w:val="16"/>
        </w:rPr>
        <w:softHyphen/>
        <w:t>вик производства раскрутился уже во всю. Пришлось искать выход из положения. Вме</w:t>
      </w:r>
      <w:r w:rsidRPr="00E14102">
        <w:rPr>
          <w:color w:val="0070C0"/>
          <w:sz w:val="16"/>
          <w:szCs w:val="16"/>
        </w:rPr>
        <w:softHyphen/>
        <w:t>сто двух АПК-4М добавили второй ШКАС, затем поставили под крыло еще две двухпулеметные установки, и самолет пошел в вой</w:t>
      </w:r>
      <w:r w:rsidRPr="00E14102">
        <w:rPr>
          <w:color w:val="0070C0"/>
          <w:sz w:val="16"/>
          <w:szCs w:val="16"/>
        </w:rPr>
        <w:softHyphen/>
        <w:t>ска. Откуда вскоре начали поступать, мягко говоря, тревожные сигналы (19863).</w:t>
      </w:r>
    </w:p>
    <w:p w14:paraId="6713AC31" w14:textId="77777777" w:rsidR="00207CC4" w:rsidRPr="00E14102" w:rsidRDefault="00207CC4" w:rsidP="00E14102">
      <w:pPr>
        <w:jc w:val="both"/>
        <w:rPr>
          <w:color w:val="0070C0"/>
          <w:sz w:val="16"/>
          <w:szCs w:val="16"/>
        </w:rPr>
      </w:pPr>
    </w:p>
    <w:p w14:paraId="223A7821" w14:textId="77777777" w:rsidR="00D35271" w:rsidRPr="00E14102" w:rsidRDefault="00D35271" w:rsidP="00E14102">
      <w:pPr>
        <w:jc w:val="both"/>
        <w:rPr>
          <w:color w:val="000000" w:themeColor="text1"/>
          <w:sz w:val="16"/>
          <w:szCs w:val="16"/>
        </w:rPr>
      </w:pPr>
      <w:r w:rsidRPr="00E14102">
        <w:rPr>
          <w:color w:val="000000" w:themeColor="text1"/>
          <w:sz w:val="16"/>
          <w:szCs w:val="16"/>
        </w:rPr>
        <w:t>20 марта 1935 г. Степанчёнок провёл тренировку по подцепке И-Зет на «отлично». В каждом из трёх полётов он срывал все пять лент, то есть все 15 опытов прошли успешно.</w:t>
      </w:r>
    </w:p>
    <w:p w14:paraId="381F58D0" w14:textId="77777777" w:rsidR="00D35271" w:rsidRPr="00E14102" w:rsidRDefault="00D35271" w:rsidP="00E14102">
      <w:pPr>
        <w:jc w:val="both"/>
        <w:rPr>
          <w:color w:val="000000" w:themeColor="text1"/>
          <w:sz w:val="16"/>
          <w:szCs w:val="16"/>
        </w:rPr>
      </w:pPr>
      <w:r w:rsidRPr="00E14102">
        <w:rPr>
          <w:color w:val="000000" w:themeColor="text1"/>
          <w:sz w:val="16"/>
          <w:szCs w:val="16"/>
        </w:rPr>
        <w:t xml:space="preserve">23 марта впервые в истории авиации была выполнена подцепка одного самолёта к другому в полёте. Произошло это на высоте 1700 м при скорости 140 км/ч. «Самолёт „ЗЕТ“ после вполне нормальных подходов к штанге на третьем зацепился. Никаких колебаний и вибраций у самолёта „ЗЕТ“ не наблюдалось. После подцепки самолёт „ЗЕТ“ подтянули. Всё „звено“ снизилось в таком положении до 500 м для демонстрации начальнику Управления ВВС РККА, находившемуся на аэродроме. После была набрана высота 1200 м, ферма с самолётом „ЗЕТ“ опущена на 20 оборотов и самолёт „ЗЕТ“ отцепился вполне нормально», — сказано в отчёте </w:t>
      </w:r>
      <w:hyperlink r:id="rId64" w:history="1">
        <w:r w:rsidRPr="00E14102">
          <w:rPr>
            <w:color w:val="000000" w:themeColor="text1"/>
            <w:sz w:val="16"/>
            <w:szCs w:val="16"/>
          </w:rPr>
          <w:t>[90]</w:t>
        </w:r>
      </w:hyperlink>
      <w:r w:rsidRPr="00E14102">
        <w:rPr>
          <w:color w:val="000000" w:themeColor="text1"/>
          <w:sz w:val="16"/>
          <w:szCs w:val="16"/>
        </w:rPr>
        <w:t xml:space="preserve"> .</w:t>
      </w:r>
    </w:p>
    <w:p w14:paraId="259F00B3" w14:textId="77777777" w:rsidR="00D35271" w:rsidRPr="00E14102" w:rsidRDefault="00D35271" w:rsidP="00E14102">
      <w:pPr>
        <w:jc w:val="both"/>
        <w:rPr>
          <w:color w:val="000000" w:themeColor="text1"/>
          <w:sz w:val="16"/>
          <w:szCs w:val="16"/>
        </w:rPr>
      </w:pPr>
      <w:r w:rsidRPr="00E14102">
        <w:rPr>
          <w:color w:val="000000" w:themeColor="text1"/>
          <w:sz w:val="16"/>
          <w:szCs w:val="16"/>
        </w:rPr>
        <w:t>29 марта Степанчёнок, несмотря на болтанку в воздухе, осуществил ещё четыре подцепки и отцепки. Последняя, четвёртая, была сделана с подтягом И-Z к ТБ-3. Сама подцепка занимала 15–20 секунд, а вот на подтягивание самолёта в походное положение (крылья прижаты к колесам бомбардировщика) уходило намного больше времени — до 2,5 минут.</w:t>
      </w:r>
    </w:p>
    <w:p w14:paraId="5FEAA466" w14:textId="77777777" w:rsidR="00D35271" w:rsidRPr="00E14102" w:rsidRDefault="00D35271" w:rsidP="00E14102">
      <w:pPr>
        <w:jc w:val="both"/>
        <w:rPr>
          <w:color w:val="000000" w:themeColor="text1"/>
          <w:sz w:val="16"/>
          <w:szCs w:val="16"/>
        </w:rPr>
      </w:pPr>
      <w:r w:rsidRPr="00E14102">
        <w:rPr>
          <w:color w:val="000000" w:themeColor="text1"/>
          <w:sz w:val="16"/>
          <w:szCs w:val="16"/>
        </w:rPr>
        <w:t>По результатам полётов было рекомендовано разработать конструкцию захвата типа вертикальной вилки, упрощающую технику зацепления, а также спроектировать питание горючим и маслом от бомбардировщика и техническую связь с подвешенным самолётом (при испытаниях общение между экипажами осуществлялось зрительно — через бомболюк, или передачей записок) (17489).</w:t>
      </w:r>
    </w:p>
    <w:p w14:paraId="47B1C0EF" w14:textId="77777777" w:rsidR="00D35271" w:rsidRPr="00E14102" w:rsidRDefault="00D35271" w:rsidP="00E14102">
      <w:pPr>
        <w:jc w:val="both"/>
        <w:rPr>
          <w:color w:val="000000" w:themeColor="text1"/>
          <w:sz w:val="16"/>
          <w:szCs w:val="16"/>
        </w:rPr>
      </w:pPr>
    </w:p>
    <w:p w14:paraId="6B54F640" w14:textId="77777777" w:rsidR="00207CC4" w:rsidRPr="00E14102" w:rsidRDefault="00207CC4" w:rsidP="00E14102">
      <w:pPr>
        <w:jc w:val="both"/>
        <w:rPr>
          <w:color w:val="0070C0"/>
          <w:sz w:val="16"/>
          <w:szCs w:val="16"/>
        </w:rPr>
      </w:pPr>
      <w:r w:rsidRPr="00E14102">
        <w:rPr>
          <w:color w:val="0070C0"/>
          <w:sz w:val="16"/>
          <w:szCs w:val="16"/>
        </w:rPr>
        <w:t>20 марта 1935 опросом членов ПБ</w:t>
      </w:r>
    </w:p>
    <w:p w14:paraId="3577E857" w14:textId="77777777" w:rsidR="00207CC4" w:rsidRPr="00E14102" w:rsidRDefault="00207CC4" w:rsidP="00E14102">
      <w:pPr>
        <w:jc w:val="both"/>
        <w:rPr>
          <w:color w:val="0070C0"/>
          <w:sz w:val="16"/>
          <w:szCs w:val="16"/>
        </w:rPr>
      </w:pPr>
      <w:r w:rsidRPr="00E14102">
        <w:rPr>
          <w:color w:val="0070C0"/>
          <w:sz w:val="16"/>
          <w:szCs w:val="16"/>
        </w:rPr>
        <w:t>158. Предложение чехословацких авиафирм.</w:t>
      </w:r>
    </w:p>
    <w:p w14:paraId="54192B72" w14:textId="77777777" w:rsidR="00207CC4" w:rsidRPr="00E14102" w:rsidRDefault="00207CC4" w:rsidP="00E14102">
      <w:pPr>
        <w:jc w:val="both"/>
        <w:rPr>
          <w:color w:val="0070C0"/>
          <w:sz w:val="16"/>
          <w:szCs w:val="16"/>
        </w:rPr>
      </w:pPr>
      <w:r w:rsidRPr="00E14102">
        <w:rPr>
          <w:color w:val="0070C0"/>
          <w:sz w:val="16"/>
          <w:szCs w:val="16"/>
        </w:rPr>
        <w:t>Командировать в Чехословакию для ознакомления с чехословацкой авиапромышленностью совместную комиссию от УВС РККА и ГУАП, в следующем составе:</w:t>
      </w:r>
    </w:p>
    <w:p w14:paraId="64A48616" w14:textId="77777777" w:rsidR="00207CC4" w:rsidRPr="00E14102" w:rsidRDefault="00207CC4" w:rsidP="00E14102">
      <w:pPr>
        <w:jc w:val="both"/>
        <w:rPr>
          <w:color w:val="0070C0"/>
          <w:sz w:val="16"/>
          <w:szCs w:val="16"/>
        </w:rPr>
      </w:pPr>
      <w:r w:rsidRPr="00E14102">
        <w:rPr>
          <w:color w:val="0070C0"/>
          <w:sz w:val="16"/>
          <w:szCs w:val="16"/>
        </w:rPr>
        <w:t>1. ЛАВРОВА В.К. - Начальника Научно-Испытательного Ин</w:t>
      </w:r>
      <w:r w:rsidRPr="00E14102">
        <w:rPr>
          <w:color w:val="0070C0"/>
          <w:sz w:val="16"/>
          <w:szCs w:val="16"/>
        </w:rPr>
        <w:softHyphen/>
        <w:t>ститута ВС РККА (председатель группы).</w:t>
      </w:r>
    </w:p>
    <w:p w14:paraId="16B8D362" w14:textId="77777777" w:rsidR="00207CC4" w:rsidRPr="00E14102" w:rsidRDefault="00207CC4" w:rsidP="00E14102">
      <w:pPr>
        <w:jc w:val="both"/>
        <w:rPr>
          <w:color w:val="0070C0"/>
          <w:sz w:val="16"/>
          <w:szCs w:val="16"/>
        </w:rPr>
      </w:pPr>
      <w:r w:rsidRPr="00E14102">
        <w:rPr>
          <w:color w:val="0070C0"/>
          <w:sz w:val="16"/>
          <w:szCs w:val="16"/>
        </w:rPr>
        <w:t>2. СОЛДАТОВА Л.В. - Начальника Стрелкового Отделения Отдела ВOOI-ужения ВС РККА.</w:t>
      </w:r>
    </w:p>
    <w:p w14:paraId="4B9224D4" w14:textId="77777777" w:rsidR="00207CC4" w:rsidRPr="00E14102" w:rsidRDefault="00207CC4" w:rsidP="00E14102">
      <w:pPr>
        <w:jc w:val="both"/>
        <w:rPr>
          <w:color w:val="0070C0"/>
          <w:sz w:val="16"/>
          <w:szCs w:val="16"/>
        </w:rPr>
      </w:pPr>
      <w:r w:rsidRPr="00E14102">
        <w:rPr>
          <w:color w:val="0070C0"/>
          <w:sz w:val="16"/>
          <w:szCs w:val="16"/>
        </w:rPr>
        <w:t>3. МАЛЬЦЕВА Я. И. - Помощника Начальника Конструкторской бригады по вооружению завода № 29.</w:t>
      </w:r>
    </w:p>
    <w:p w14:paraId="409BA4C5" w14:textId="77777777" w:rsidR="00207CC4" w:rsidRPr="00E14102" w:rsidRDefault="00207CC4" w:rsidP="00E14102">
      <w:pPr>
        <w:jc w:val="both"/>
        <w:rPr>
          <w:color w:val="0070C0"/>
          <w:sz w:val="16"/>
          <w:szCs w:val="16"/>
        </w:rPr>
      </w:pPr>
      <w:r w:rsidRPr="00E14102">
        <w:rPr>
          <w:color w:val="0070C0"/>
          <w:sz w:val="16"/>
          <w:szCs w:val="16"/>
        </w:rPr>
        <w:t>4. TЫPИЧEBA Б.М, - Начальника литейного цеха завода № 26.</w:t>
      </w:r>
    </w:p>
    <w:p w14:paraId="2E0CE58C" w14:textId="77777777" w:rsidR="00207CC4" w:rsidRPr="00E14102" w:rsidRDefault="00207CC4" w:rsidP="00E14102">
      <w:pPr>
        <w:jc w:val="both"/>
        <w:rPr>
          <w:color w:val="0070C0"/>
          <w:sz w:val="16"/>
          <w:szCs w:val="16"/>
        </w:rPr>
      </w:pPr>
      <w:r w:rsidRPr="00E14102">
        <w:rPr>
          <w:color w:val="0070C0"/>
          <w:sz w:val="16"/>
          <w:szCs w:val="16"/>
        </w:rPr>
        <w:t>5. ДУБРОНИНА А.А. - Главного конструктора завода 39 им.т.Монжинекого.</w:t>
      </w:r>
    </w:p>
    <w:p w14:paraId="3FCEE661" w14:textId="77777777" w:rsidR="00207CC4" w:rsidRPr="00E14102" w:rsidRDefault="00207CC4" w:rsidP="00E14102">
      <w:pPr>
        <w:jc w:val="both"/>
        <w:rPr>
          <w:color w:val="0070C0"/>
          <w:sz w:val="16"/>
          <w:szCs w:val="16"/>
        </w:rPr>
      </w:pPr>
      <w:r w:rsidRPr="00E14102">
        <w:rPr>
          <w:color w:val="0070C0"/>
          <w:sz w:val="16"/>
          <w:szCs w:val="16"/>
        </w:rPr>
        <w:t>Выписки посланы: т.т. Ворошилову, Литвинову, Орджоникидзе, Броуну, Ягода.</w:t>
      </w:r>
    </w:p>
    <w:p w14:paraId="7F68EBC1" w14:textId="77777777" w:rsidR="00207CC4" w:rsidRPr="00E14102" w:rsidRDefault="00207CC4" w:rsidP="00E14102">
      <w:pPr>
        <w:jc w:val="both"/>
        <w:rPr>
          <w:color w:val="0070C0"/>
          <w:sz w:val="16"/>
          <w:szCs w:val="16"/>
        </w:rPr>
      </w:pPr>
      <w:r w:rsidRPr="00E14102">
        <w:rPr>
          <w:color w:val="0070C0"/>
          <w:sz w:val="16"/>
          <w:szCs w:val="16"/>
        </w:rPr>
        <w:t>161. О покупке автомотрисе Литторин".</w:t>
      </w:r>
    </w:p>
    <w:p w14:paraId="7729471E" w14:textId="77777777" w:rsidR="00207CC4" w:rsidRPr="00E14102" w:rsidRDefault="00207CC4" w:rsidP="00E14102">
      <w:pPr>
        <w:jc w:val="both"/>
        <w:rPr>
          <w:color w:val="0070C0"/>
          <w:sz w:val="16"/>
          <w:szCs w:val="16"/>
        </w:rPr>
      </w:pPr>
      <w:r w:rsidRPr="00E14102">
        <w:rPr>
          <w:color w:val="0070C0"/>
          <w:sz w:val="16"/>
          <w:szCs w:val="16"/>
        </w:rPr>
        <w:t>а) Не возражать против покупки "Литторин” за налич</w:t>
      </w:r>
      <w:r w:rsidRPr="00E14102">
        <w:rPr>
          <w:color w:val="0070C0"/>
          <w:sz w:val="16"/>
          <w:szCs w:val="16"/>
        </w:rPr>
        <w:softHyphen/>
        <w:t>ный расчет.</w:t>
      </w:r>
    </w:p>
    <w:p w14:paraId="059A3B6B" w14:textId="77777777" w:rsidR="00207CC4" w:rsidRPr="00E14102" w:rsidRDefault="00207CC4" w:rsidP="00E14102">
      <w:pPr>
        <w:jc w:val="both"/>
        <w:rPr>
          <w:color w:val="0070C0"/>
          <w:sz w:val="16"/>
          <w:szCs w:val="16"/>
        </w:rPr>
      </w:pPr>
      <w:r w:rsidRPr="00E14102">
        <w:rPr>
          <w:color w:val="0070C0"/>
          <w:sz w:val="16"/>
          <w:szCs w:val="16"/>
        </w:rPr>
        <w:t>б) Расходи в сумме 94.260 зол.рублей произвести за счет контингентов НКО.</w:t>
      </w:r>
    </w:p>
    <w:p w14:paraId="08E6328B" w14:textId="77777777" w:rsidR="00207CC4" w:rsidRPr="00E14102" w:rsidRDefault="00207CC4" w:rsidP="00E14102">
      <w:pPr>
        <w:jc w:val="both"/>
        <w:rPr>
          <w:color w:val="0070C0"/>
          <w:sz w:val="16"/>
          <w:szCs w:val="16"/>
        </w:rPr>
      </w:pPr>
      <w:r w:rsidRPr="00E14102">
        <w:rPr>
          <w:color w:val="0070C0"/>
          <w:sz w:val="16"/>
          <w:szCs w:val="16"/>
        </w:rPr>
        <w:t>в) Срок изготовления "Литторин" ’остановить 6 меся</w:t>
      </w:r>
      <w:r w:rsidRPr="00E14102">
        <w:rPr>
          <w:color w:val="0070C0"/>
          <w:sz w:val="16"/>
          <w:szCs w:val="16"/>
        </w:rPr>
        <w:softHyphen/>
        <w:t>цев .</w:t>
      </w:r>
    </w:p>
    <w:p w14:paraId="022DBA98" w14:textId="77777777" w:rsidR="00207CC4" w:rsidRPr="00E14102" w:rsidRDefault="00207CC4" w:rsidP="00E14102">
      <w:pPr>
        <w:jc w:val="both"/>
        <w:rPr>
          <w:color w:val="0070C0"/>
          <w:sz w:val="16"/>
          <w:szCs w:val="16"/>
        </w:rPr>
      </w:pPr>
      <w:r w:rsidRPr="00E14102">
        <w:rPr>
          <w:color w:val="0070C0"/>
          <w:sz w:val="16"/>
          <w:szCs w:val="16"/>
        </w:rPr>
        <w:t>Выписки посланы: т.т. Ворошилову, Розенгольцу, Мирошникову.</w:t>
      </w:r>
    </w:p>
    <w:p w14:paraId="2F5C0042" w14:textId="77777777" w:rsidR="00207CC4" w:rsidRPr="00E14102" w:rsidRDefault="00207CC4" w:rsidP="00E14102">
      <w:pPr>
        <w:tabs>
          <w:tab w:val="left" w:pos="5378"/>
        </w:tabs>
        <w:jc w:val="both"/>
        <w:rPr>
          <w:color w:val="0070C0"/>
          <w:sz w:val="16"/>
          <w:szCs w:val="16"/>
        </w:rPr>
      </w:pPr>
      <w:r w:rsidRPr="00E14102">
        <w:rPr>
          <w:color w:val="0070C0"/>
          <w:sz w:val="16"/>
          <w:szCs w:val="16"/>
          <w:lang w:bidi="ru-RU"/>
        </w:rPr>
        <w:t>(ПРОТОКОЛ № 23 ЗАСЕДАНИЯ ПОЛИТБЮРО ЦК ВКП(б) от 3 АПРЕЛЯ 1935 года. (Особый №) (22928).</w:t>
      </w:r>
    </w:p>
    <w:p w14:paraId="7782AFCE" w14:textId="77777777" w:rsidR="00207CC4" w:rsidRPr="00E14102" w:rsidRDefault="00207CC4" w:rsidP="00E14102">
      <w:pPr>
        <w:jc w:val="both"/>
        <w:rPr>
          <w:color w:val="0070C0"/>
          <w:sz w:val="16"/>
          <w:szCs w:val="16"/>
        </w:rPr>
      </w:pPr>
    </w:p>
    <w:p w14:paraId="09436F8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7B1AA505" w14:textId="77777777" w:rsidR="00D4105E" w:rsidRPr="00E14102" w:rsidRDefault="00D4105E" w:rsidP="00E14102">
      <w:pPr>
        <w:autoSpaceDE w:val="0"/>
        <w:autoSpaceDN w:val="0"/>
        <w:adjustRightInd w:val="0"/>
        <w:jc w:val="both"/>
        <w:rPr>
          <w:iCs/>
          <w:color w:val="000000" w:themeColor="text1"/>
          <w:sz w:val="16"/>
          <w:szCs w:val="16"/>
        </w:rPr>
      </w:pPr>
    </w:p>
    <w:p w14:paraId="4839B1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20 марта 1935 года на Кузьминском полигоне были выполнены опытные стрельбы 122 мм снарядами из гаубицы образца 1910-1930 гг. В тот день два снаряда упали вне полигона, что не было редкостью, однако попали они на территорию рабочего поселка Люберецкого завода и ранили двух человек. При расследовании высшие </w:t>
      </w:r>
      <w:r w:rsidRPr="00E14102">
        <w:rPr>
          <w:color w:val="000000" w:themeColor="text1"/>
          <w:sz w:val="16"/>
          <w:szCs w:val="16"/>
        </w:rPr>
        <w:lastRenderedPageBreak/>
        <w:t>военные власти выявили для себя удивительное - оказывается, полигон в принципе не допускал действовавшими правилами проведения стрельб из 122 мм гаубицы (9065).</w:t>
      </w:r>
    </w:p>
    <w:p w14:paraId="68517E3F" w14:textId="77777777" w:rsidR="00D4105E" w:rsidRPr="00E14102" w:rsidRDefault="00D4105E" w:rsidP="00E14102">
      <w:pPr>
        <w:autoSpaceDE w:val="0"/>
        <w:autoSpaceDN w:val="0"/>
        <w:adjustRightInd w:val="0"/>
        <w:jc w:val="both"/>
        <w:rPr>
          <w:color w:val="000000" w:themeColor="text1"/>
          <w:sz w:val="16"/>
          <w:szCs w:val="16"/>
        </w:rPr>
      </w:pPr>
    </w:p>
    <w:p w14:paraId="1965383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B2A5D16" w14:textId="77777777" w:rsidR="00D4105E" w:rsidRPr="00E14102" w:rsidRDefault="00D4105E" w:rsidP="00E14102">
      <w:pPr>
        <w:autoSpaceDE w:val="0"/>
        <w:autoSpaceDN w:val="0"/>
        <w:adjustRightInd w:val="0"/>
        <w:jc w:val="both"/>
        <w:rPr>
          <w:iCs/>
          <w:color w:val="000000" w:themeColor="text1"/>
          <w:sz w:val="16"/>
          <w:szCs w:val="16"/>
        </w:rPr>
      </w:pPr>
    </w:p>
    <w:p w14:paraId="2C4EFF78" w14:textId="77777777" w:rsidR="00207CC4" w:rsidRPr="00E14102" w:rsidRDefault="00207CC4" w:rsidP="00E14102">
      <w:pPr>
        <w:jc w:val="both"/>
        <w:rPr>
          <w:color w:val="0070C0"/>
          <w:sz w:val="16"/>
          <w:szCs w:val="16"/>
        </w:rPr>
      </w:pPr>
      <w:r w:rsidRPr="00E14102">
        <w:rPr>
          <w:color w:val="0070C0"/>
          <w:sz w:val="16"/>
          <w:szCs w:val="16"/>
        </w:rPr>
        <w:t xml:space="preserve">20 марта 1935 состоялся первый полет </w:t>
      </w:r>
      <w:r w:rsidRPr="00E14102">
        <w:rPr>
          <w:color w:val="0070C0"/>
          <w:sz w:val="16"/>
          <w:szCs w:val="16"/>
          <w:lang w:val="en-US"/>
        </w:rPr>
        <w:t>Grumman</w:t>
      </w:r>
      <w:r w:rsidRPr="00E14102">
        <w:rPr>
          <w:color w:val="0070C0"/>
          <w:sz w:val="16"/>
          <w:szCs w:val="16"/>
        </w:rPr>
        <w:t xml:space="preserve"> </w:t>
      </w:r>
      <w:r w:rsidRPr="00E14102">
        <w:rPr>
          <w:color w:val="0070C0"/>
          <w:sz w:val="16"/>
          <w:szCs w:val="16"/>
          <w:lang w:val="en-US"/>
        </w:rPr>
        <w:t>XF</w:t>
      </w:r>
      <w:r w:rsidRPr="00E14102">
        <w:rPr>
          <w:color w:val="0070C0"/>
          <w:sz w:val="16"/>
          <w:szCs w:val="16"/>
        </w:rPr>
        <w:t>3</w:t>
      </w:r>
      <w:r w:rsidRPr="00E14102">
        <w:rPr>
          <w:color w:val="0070C0"/>
          <w:sz w:val="16"/>
          <w:szCs w:val="16"/>
          <w:lang w:val="en-US"/>
        </w:rPr>
        <w:t>F</w:t>
      </w:r>
      <w:r w:rsidRPr="00E14102">
        <w:rPr>
          <w:color w:val="0070C0"/>
          <w:sz w:val="16"/>
          <w:szCs w:val="16"/>
        </w:rPr>
        <w:t xml:space="preserve">-1, прототип </w:t>
      </w:r>
      <w:r w:rsidRPr="00E14102">
        <w:rPr>
          <w:color w:val="0070C0"/>
          <w:sz w:val="16"/>
          <w:szCs w:val="16"/>
          <w:lang w:val="en-US"/>
        </w:rPr>
        <w:t>Grumman</w:t>
      </w:r>
      <w:r w:rsidRPr="00E14102">
        <w:rPr>
          <w:color w:val="0070C0"/>
          <w:sz w:val="16"/>
          <w:szCs w:val="16"/>
        </w:rPr>
        <w:t xml:space="preserve"> </w:t>
      </w:r>
      <w:r w:rsidRPr="00E14102">
        <w:rPr>
          <w:color w:val="0070C0"/>
          <w:sz w:val="16"/>
          <w:szCs w:val="16"/>
          <w:lang w:val="en-US"/>
        </w:rPr>
        <w:t>F</w:t>
      </w:r>
      <w:r w:rsidRPr="00E14102">
        <w:rPr>
          <w:color w:val="0070C0"/>
          <w:sz w:val="16"/>
          <w:szCs w:val="16"/>
        </w:rPr>
        <w:t>3</w:t>
      </w:r>
      <w:r w:rsidRPr="00E14102">
        <w:rPr>
          <w:color w:val="0070C0"/>
          <w:sz w:val="16"/>
          <w:szCs w:val="16"/>
          <w:lang w:val="en-US"/>
        </w:rPr>
        <w:t>F</w:t>
      </w:r>
      <w:r w:rsidRPr="00E14102">
        <w:rPr>
          <w:color w:val="0070C0"/>
          <w:sz w:val="16"/>
          <w:szCs w:val="16"/>
        </w:rPr>
        <w:t xml:space="preserve"> (20800).</w:t>
      </w:r>
    </w:p>
    <w:p w14:paraId="6DAB5AE9" w14:textId="77777777" w:rsidR="00207CC4" w:rsidRPr="00E14102" w:rsidRDefault="00207CC4" w:rsidP="00E14102">
      <w:pPr>
        <w:jc w:val="both"/>
        <w:rPr>
          <w:color w:val="0070C0"/>
          <w:sz w:val="16"/>
          <w:szCs w:val="16"/>
        </w:rPr>
      </w:pPr>
    </w:p>
    <w:p w14:paraId="61CB7EF3" w14:textId="77777777" w:rsidR="00207CC4" w:rsidRPr="00E14102" w:rsidRDefault="00207CC4" w:rsidP="00E14102">
      <w:pPr>
        <w:jc w:val="both"/>
        <w:rPr>
          <w:color w:val="0070C0"/>
          <w:sz w:val="16"/>
          <w:szCs w:val="16"/>
        </w:rPr>
      </w:pPr>
      <w:r w:rsidRPr="00E14102">
        <w:rPr>
          <w:color w:val="0070C0"/>
          <w:sz w:val="16"/>
          <w:szCs w:val="16"/>
        </w:rPr>
        <w:t>20 марта 1935 года — первый полёт палубного истребителя Grumman F3F</w:t>
      </w:r>
    </w:p>
    <w:p w14:paraId="56D2161B" w14:textId="77777777" w:rsidR="00207CC4" w:rsidRPr="00E14102" w:rsidRDefault="00207CC4" w:rsidP="00E14102">
      <w:pPr>
        <w:jc w:val="both"/>
        <w:rPr>
          <w:color w:val="0070C0"/>
          <w:sz w:val="16"/>
          <w:szCs w:val="16"/>
        </w:rPr>
      </w:pPr>
      <w:r w:rsidRPr="00E14102">
        <w:rPr>
          <w:color w:val="0070C0"/>
          <w:sz w:val="16"/>
          <w:szCs w:val="16"/>
        </w:rPr>
        <w:t>Ведущим производителем палубной авиации для ВМФ США в 1930-х годах безусловно была компания Grumman. Осенью 1934 года её конструкторы начали работу над проектом F3F, который должен был стать самым передовым палубником своего времени. А заодно постарались исправить недостатки F2F: плохие посадочные характеристики и недостаточную устойчивость.</w:t>
      </w:r>
    </w:p>
    <w:p w14:paraId="54A6DDE1" w14:textId="77777777" w:rsidR="00207CC4" w:rsidRPr="00E14102" w:rsidRDefault="00207CC4" w:rsidP="00E14102">
      <w:pPr>
        <w:jc w:val="both"/>
        <w:rPr>
          <w:color w:val="0070C0"/>
          <w:sz w:val="16"/>
          <w:szCs w:val="16"/>
        </w:rPr>
      </w:pPr>
      <w:r w:rsidRPr="00E14102">
        <w:rPr>
          <w:color w:val="0070C0"/>
          <w:sz w:val="16"/>
          <w:szCs w:val="16"/>
        </w:rPr>
        <w:t>Самолёт представлял собой биплан смешанной конструкции (стальной каркас, дюралевая обшивка фюзеляжа, деревянное крыло с полотняной обшивкой) с убираемым шасси. Кабина лётчика оборудована прозрачным фонарём, также установлено радиооборудование. Вооружение: 1 × 7,62-мм пулемёт M1919 или 1 × 12,7-мм пулемёт M2 Browning</w:t>
      </w:r>
    </w:p>
    <w:p w14:paraId="209AD2F0" w14:textId="77777777" w:rsidR="00207CC4" w:rsidRPr="00E14102" w:rsidRDefault="00207CC4" w:rsidP="00E14102">
      <w:pPr>
        <w:jc w:val="both"/>
        <w:rPr>
          <w:color w:val="0070C0"/>
          <w:sz w:val="16"/>
          <w:szCs w:val="16"/>
        </w:rPr>
      </w:pPr>
      <w:r w:rsidRPr="00E14102">
        <w:rPr>
          <w:color w:val="0070C0"/>
          <w:sz w:val="16"/>
          <w:szCs w:val="16"/>
        </w:rPr>
        <w:t>Испытания и начало эксплуатации показали, что истребитель имеет проблемы как с прочностью конструкции, так и с двигателем. Доработки шли медленно. А после принятия на вооружение моноплана Brewster F2A Buffalo, F3F и вовсе начали списывать в учебные части. С 1936 по 1939 год построили 147 самолётов, которые эксплуатировались до 1943 года. Grumman F3F стал последним бипланом в военной авиации США (22300).</w:t>
      </w:r>
    </w:p>
    <w:p w14:paraId="6E9AFEA0" w14:textId="77777777" w:rsidR="00207CC4" w:rsidRPr="00E14102" w:rsidRDefault="00207CC4" w:rsidP="00E14102">
      <w:pPr>
        <w:jc w:val="both"/>
        <w:rPr>
          <w:color w:val="0070C0"/>
          <w:sz w:val="16"/>
          <w:szCs w:val="16"/>
        </w:rPr>
      </w:pPr>
    </w:p>
    <w:p w14:paraId="0341FD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марта 1935 в Норвегии правительство ушло в отставку и было сформировано новое, лейбористское (3907,191).</w:t>
      </w:r>
    </w:p>
    <w:p w14:paraId="159EFA18" w14:textId="77777777" w:rsidR="00D4105E" w:rsidRPr="00E14102" w:rsidRDefault="00D4105E" w:rsidP="00E14102">
      <w:pPr>
        <w:autoSpaceDE w:val="0"/>
        <w:autoSpaceDN w:val="0"/>
        <w:adjustRightInd w:val="0"/>
        <w:jc w:val="both"/>
        <w:rPr>
          <w:color w:val="000000" w:themeColor="text1"/>
          <w:sz w:val="16"/>
          <w:szCs w:val="16"/>
        </w:rPr>
      </w:pPr>
    </w:p>
    <w:p w14:paraId="0EED280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B24DBE6" w14:textId="77777777" w:rsidR="00D4105E" w:rsidRPr="00E14102" w:rsidRDefault="00D4105E" w:rsidP="00E14102">
      <w:pPr>
        <w:autoSpaceDE w:val="0"/>
        <w:autoSpaceDN w:val="0"/>
        <w:adjustRightInd w:val="0"/>
        <w:jc w:val="both"/>
        <w:rPr>
          <w:iCs/>
          <w:color w:val="000000" w:themeColor="text1"/>
          <w:sz w:val="16"/>
          <w:szCs w:val="16"/>
        </w:rPr>
      </w:pPr>
    </w:p>
    <w:p w14:paraId="14B1CF09" w14:textId="77777777" w:rsidR="001E7F5B" w:rsidRPr="00E14102" w:rsidRDefault="001E7F5B" w:rsidP="00E14102">
      <w:pPr>
        <w:jc w:val="both"/>
        <w:rPr>
          <w:color w:val="0070C0"/>
          <w:sz w:val="16"/>
          <w:szCs w:val="16"/>
        </w:rPr>
      </w:pPr>
      <w:r w:rsidRPr="00E14102">
        <w:rPr>
          <w:color w:val="0070C0"/>
          <w:sz w:val="16"/>
          <w:szCs w:val="16"/>
        </w:rPr>
        <w:t>До 21 марта 1935 го</w:t>
      </w:r>
      <w:r w:rsidRPr="00E14102">
        <w:rPr>
          <w:color w:val="0070C0"/>
          <w:sz w:val="16"/>
          <w:szCs w:val="16"/>
        </w:rPr>
        <w:softHyphen/>
        <w:t>да провели 25 таких воздуш</w:t>
      </w:r>
      <w:r w:rsidRPr="00E14102">
        <w:rPr>
          <w:color w:val="0070C0"/>
          <w:sz w:val="16"/>
          <w:szCs w:val="16"/>
        </w:rPr>
        <w:softHyphen/>
        <w:t>ных тренировок. Степанчо</w:t>
      </w:r>
      <w:r w:rsidRPr="00E14102">
        <w:rPr>
          <w:color w:val="0070C0"/>
          <w:sz w:val="16"/>
          <w:szCs w:val="16"/>
        </w:rPr>
        <w:softHyphen/>
        <w:t>нок подходил сзади к ТБ-3, летящему со скоростью 140 км/ч, уравнивал скорости, а затем, давая помалу газ, зацеплял и обрывал поперечную перка</w:t>
      </w:r>
      <w:r w:rsidRPr="00E14102">
        <w:rPr>
          <w:color w:val="0070C0"/>
          <w:sz w:val="16"/>
          <w:szCs w:val="16"/>
        </w:rPr>
        <w:softHyphen/>
        <w:t>левую ленту, натянутую на трапеции вместо поперечной штанги (20345).</w:t>
      </w:r>
    </w:p>
    <w:p w14:paraId="046036C2" w14:textId="77777777" w:rsidR="001E7F5B" w:rsidRPr="00E14102" w:rsidRDefault="001E7F5B" w:rsidP="00E14102">
      <w:pPr>
        <w:jc w:val="both"/>
        <w:rPr>
          <w:color w:val="0070C0"/>
          <w:sz w:val="16"/>
          <w:szCs w:val="16"/>
        </w:rPr>
      </w:pPr>
    </w:p>
    <w:p w14:paraId="1014D4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марта 1935 года Начальник управления ВВС Алкснис утвердил Тактико-технические требования к скоростному автожиру с мотором Райт-Циклон (А-12).</w:t>
      </w:r>
    </w:p>
    <w:p w14:paraId="0A19E9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 – ЦАГИ.</w:t>
      </w:r>
    </w:p>
    <w:p w14:paraId="1F2277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Назначение:</w:t>
      </w:r>
    </w:p>
    <w:p w14:paraId="084024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Войсковой разведчик, действующий непосредственно в интересах войск.</w:t>
      </w:r>
    </w:p>
    <w:p w14:paraId="1FBE2B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Основные задачи:</w:t>
      </w:r>
    </w:p>
    <w:p w14:paraId="5D9D01D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Рекогносцировка рубежей, дорог, переправ, аэродромов.</w:t>
      </w:r>
    </w:p>
    <w:p w14:paraId="6B5CE8C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Сопровождение стрелковых, мотомеханизированных, кавалерийских и артиллерийских частей на маршах и рейдах с целью охранительной разведки в пределах 100-150 км.</w:t>
      </w:r>
    </w:p>
    <w:p w14:paraId="665AF94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Проверка расположения и маскировки своих частей.</w:t>
      </w:r>
    </w:p>
    <w:p w14:paraId="4B1AE51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Наблюдение за полем боя.</w:t>
      </w:r>
    </w:p>
    <w:p w14:paraId="61D3E00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Корректировка артиллерийского огня.</w:t>
      </w:r>
    </w:p>
    <w:p w14:paraId="18462E4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Служба связи: с посадкой в расположении войск, донесение вымпелом и связь с агентурой путем взятия донесения.</w:t>
      </w:r>
    </w:p>
    <w:p w14:paraId="576958E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Аэрофотосъемка переднего края оборонительных рубежей.</w:t>
      </w:r>
    </w:p>
    <w:p w14:paraId="7F84F9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Условия работы:</w:t>
      </w:r>
    </w:p>
    <w:p w14:paraId="2B524A3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полет днем и ночью и в плохих метеорологических условиях.</w:t>
      </w:r>
    </w:p>
    <w:p w14:paraId="0EF64E0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Действует одиночками в интересах решения тактических задач.</w:t>
      </w:r>
    </w:p>
    <w:p w14:paraId="1A1CAD9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Используя скорость действует на поле боя в зоне огня.</w:t>
      </w:r>
    </w:p>
    <w:p w14:paraId="593CA9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Летно-тактические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3599D" w:rsidRPr="00E14102" w14:paraId="5A443742" w14:textId="77777777">
        <w:tc>
          <w:tcPr>
            <w:tcW w:w="5636" w:type="dxa"/>
            <w:tcBorders>
              <w:top w:val="single" w:sz="12" w:space="0" w:color="auto"/>
            </w:tcBorders>
          </w:tcPr>
          <w:p w14:paraId="074D50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у земли</w:t>
            </w:r>
          </w:p>
        </w:tc>
        <w:tc>
          <w:tcPr>
            <w:tcW w:w="5636" w:type="dxa"/>
            <w:tcBorders>
              <w:top w:val="single" w:sz="12" w:space="0" w:color="auto"/>
            </w:tcBorders>
          </w:tcPr>
          <w:p w14:paraId="3C1A5B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320 км/час</w:t>
            </w:r>
          </w:p>
        </w:tc>
      </w:tr>
      <w:tr w:rsidR="00E3599D" w:rsidRPr="00E14102" w14:paraId="21690642" w14:textId="77777777">
        <w:tc>
          <w:tcPr>
            <w:tcW w:w="5636" w:type="dxa"/>
          </w:tcPr>
          <w:p w14:paraId="0608BB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на высоте 3000 м</w:t>
            </w:r>
          </w:p>
        </w:tc>
        <w:tc>
          <w:tcPr>
            <w:tcW w:w="5636" w:type="dxa"/>
          </w:tcPr>
          <w:p w14:paraId="1808B7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 км/час</w:t>
            </w:r>
          </w:p>
        </w:tc>
      </w:tr>
      <w:tr w:rsidR="00E3599D" w:rsidRPr="00E14102" w14:paraId="27CB6D50" w14:textId="77777777">
        <w:tc>
          <w:tcPr>
            <w:tcW w:w="5636" w:type="dxa"/>
          </w:tcPr>
          <w:p w14:paraId="5521C6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минимальная</w:t>
            </w:r>
          </w:p>
        </w:tc>
        <w:tc>
          <w:tcPr>
            <w:tcW w:w="5636" w:type="dxa"/>
          </w:tcPr>
          <w:p w14:paraId="0BCBE2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 км/час</w:t>
            </w:r>
          </w:p>
        </w:tc>
      </w:tr>
      <w:tr w:rsidR="00E3599D" w:rsidRPr="00E14102" w14:paraId="6176DCFD" w14:textId="77777777">
        <w:tc>
          <w:tcPr>
            <w:tcW w:w="5636" w:type="dxa"/>
          </w:tcPr>
          <w:p w14:paraId="422D69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разбега</w:t>
            </w:r>
          </w:p>
        </w:tc>
        <w:tc>
          <w:tcPr>
            <w:tcW w:w="5636" w:type="dxa"/>
          </w:tcPr>
          <w:p w14:paraId="6344CC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15-25 м</w:t>
            </w:r>
          </w:p>
        </w:tc>
      </w:tr>
      <w:tr w:rsidR="00E3599D" w:rsidRPr="00E14102" w14:paraId="15A74959" w14:textId="77777777">
        <w:tc>
          <w:tcPr>
            <w:tcW w:w="5636" w:type="dxa"/>
          </w:tcPr>
          <w:p w14:paraId="2808D2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пробега</w:t>
            </w:r>
          </w:p>
        </w:tc>
        <w:tc>
          <w:tcPr>
            <w:tcW w:w="5636" w:type="dxa"/>
          </w:tcPr>
          <w:p w14:paraId="758F4D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0-5 м</w:t>
            </w:r>
          </w:p>
        </w:tc>
      </w:tr>
      <w:tr w:rsidR="00E3599D" w:rsidRPr="00E14102" w14:paraId="02DD10A9" w14:textId="77777777">
        <w:tc>
          <w:tcPr>
            <w:tcW w:w="5636" w:type="dxa"/>
          </w:tcPr>
          <w:p w14:paraId="4DB599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Скороподъемность на 3000 м</w:t>
            </w:r>
          </w:p>
        </w:tc>
        <w:tc>
          <w:tcPr>
            <w:tcW w:w="5636" w:type="dxa"/>
          </w:tcPr>
          <w:p w14:paraId="4AD25A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 мин.</w:t>
            </w:r>
          </w:p>
        </w:tc>
      </w:tr>
      <w:tr w:rsidR="00E3599D" w:rsidRPr="00E14102" w14:paraId="7C88E82B" w14:textId="77777777">
        <w:tc>
          <w:tcPr>
            <w:tcW w:w="5636" w:type="dxa"/>
          </w:tcPr>
          <w:p w14:paraId="75D4DA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Угол подъема до 3000 м</w:t>
            </w:r>
          </w:p>
        </w:tc>
        <w:tc>
          <w:tcPr>
            <w:tcW w:w="5636" w:type="dxa"/>
          </w:tcPr>
          <w:p w14:paraId="01DC53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20 градусов</w:t>
            </w:r>
          </w:p>
        </w:tc>
      </w:tr>
      <w:tr w:rsidR="00E3599D" w:rsidRPr="00E14102" w14:paraId="60EA05E9" w14:textId="77777777">
        <w:tc>
          <w:tcPr>
            <w:tcW w:w="5636" w:type="dxa"/>
            <w:tcBorders>
              <w:bottom w:val="single" w:sz="12" w:space="0" w:color="auto"/>
            </w:tcBorders>
          </w:tcPr>
          <w:p w14:paraId="2B3FB9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w:t>
            </w:r>
          </w:p>
        </w:tc>
        <w:tc>
          <w:tcPr>
            <w:tcW w:w="5636" w:type="dxa"/>
            <w:tcBorders>
              <w:bottom w:val="single" w:sz="12" w:space="0" w:color="auto"/>
            </w:tcBorders>
          </w:tcPr>
          <w:p w14:paraId="46A91D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 м</w:t>
            </w:r>
          </w:p>
        </w:tc>
      </w:tr>
    </w:tbl>
    <w:p w14:paraId="0CF1A8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w:t>
      </w:r>
    </w:p>
    <w:p w14:paraId="2DE6265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Пулемет ШКАС, стреляющий вперед. Запас патрон 500 шт. (3980).</w:t>
      </w:r>
    </w:p>
    <w:p w14:paraId="715A2F06"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2BCADB56" w14:textId="77777777" w:rsidR="0070053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04D4A49" w14:textId="77777777" w:rsidR="0070053A" w:rsidRPr="00E14102" w:rsidRDefault="0070053A" w:rsidP="00E14102">
      <w:pPr>
        <w:autoSpaceDE w:val="0"/>
        <w:autoSpaceDN w:val="0"/>
        <w:adjustRightInd w:val="0"/>
        <w:jc w:val="both"/>
        <w:rPr>
          <w:iCs/>
          <w:color w:val="000000" w:themeColor="text1"/>
          <w:sz w:val="16"/>
          <w:szCs w:val="16"/>
        </w:rPr>
      </w:pPr>
    </w:p>
    <w:p w14:paraId="50279667" w14:textId="77777777" w:rsidR="0070053A" w:rsidRPr="00E14102" w:rsidRDefault="0070053A" w:rsidP="00E14102">
      <w:pPr>
        <w:jc w:val="both"/>
        <w:rPr>
          <w:color w:val="000000" w:themeColor="text1"/>
          <w:sz w:val="16"/>
          <w:szCs w:val="16"/>
        </w:rPr>
      </w:pPr>
      <w:r w:rsidRPr="00E14102">
        <w:rPr>
          <w:bCs/>
          <w:color w:val="000000" w:themeColor="text1"/>
          <w:sz w:val="16"/>
          <w:szCs w:val="16"/>
        </w:rPr>
        <w:t>20 марта</w:t>
      </w:r>
      <w:r w:rsidRPr="00E14102">
        <w:rPr>
          <w:color w:val="000000" w:themeColor="text1"/>
          <w:sz w:val="16"/>
          <w:szCs w:val="16"/>
        </w:rPr>
        <w:t xml:space="preserve"> в 1935 году летчик-испытатель Джим Коллинз поднял первый опытный образец американского палубного истребителя </w:t>
      </w:r>
      <w:hyperlink r:id="rId65" w:tgtFrame="_blank" w:history="1">
        <w:r w:rsidRPr="00E14102">
          <w:rPr>
            <w:color w:val="000000" w:themeColor="text1"/>
            <w:sz w:val="16"/>
            <w:szCs w:val="16"/>
          </w:rPr>
          <w:t xml:space="preserve">«XF3F-1» </w:t>
        </w:r>
      </w:hyperlink>
      <w:r w:rsidRPr="00E14102">
        <w:rPr>
          <w:color w:val="000000" w:themeColor="text1"/>
          <w:sz w:val="16"/>
          <w:szCs w:val="16"/>
        </w:rPr>
        <w:t>с заводским номером 9727 в воздух. Первый полет прошел успешно, но через два дня самолет разбился при проверке поведения машины во время вывода из пикирования. Начав пикирование с высоты 2438 м, Коллинз при выводе создал 9-кратную перегрузку, и конструкция истребителя не выдержала: у самолета оторвались двигатель и крылья. Фюзеляж упал в четырех километрах восточнее завода фирмы «Grumman» в Фармингдейле (15074).</w:t>
      </w:r>
    </w:p>
    <w:p w14:paraId="19C1DCFD" w14:textId="77777777" w:rsidR="0070053A" w:rsidRPr="00E14102" w:rsidRDefault="0070053A" w:rsidP="00E14102">
      <w:pPr>
        <w:jc w:val="both"/>
        <w:rPr>
          <w:color w:val="000000" w:themeColor="text1"/>
          <w:sz w:val="16"/>
          <w:szCs w:val="16"/>
        </w:rPr>
      </w:pPr>
    </w:p>
    <w:p w14:paraId="3D479B2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F17ADFC" w14:textId="77777777" w:rsidR="00D4105E" w:rsidRPr="00E14102" w:rsidRDefault="00D4105E" w:rsidP="00E14102">
      <w:pPr>
        <w:autoSpaceDE w:val="0"/>
        <w:autoSpaceDN w:val="0"/>
        <w:adjustRightInd w:val="0"/>
        <w:jc w:val="both"/>
        <w:rPr>
          <w:iCs/>
          <w:color w:val="000000" w:themeColor="text1"/>
          <w:sz w:val="16"/>
          <w:szCs w:val="16"/>
        </w:rPr>
      </w:pPr>
    </w:p>
    <w:p w14:paraId="4A7A8AB1" w14:textId="77777777" w:rsidR="0070053A" w:rsidRPr="00E14102" w:rsidRDefault="0070053A" w:rsidP="00E14102">
      <w:pPr>
        <w:jc w:val="both"/>
        <w:rPr>
          <w:color w:val="000000" w:themeColor="text1"/>
          <w:sz w:val="16"/>
          <w:szCs w:val="16"/>
        </w:rPr>
      </w:pPr>
      <w:r w:rsidRPr="00E14102">
        <w:rPr>
          <w:bCs/>
          <w:color w:val="000000" w:themeColor="text1"/>
          <w:sz w:val="16"/>
          <w:szCs w:val="16"/>
        </w:rPr>
        <w:t>21 марта</w:t>
      </w:r>
      <w:r w:rsidRPr="00E14102">
        <w:rPr>
          <w:color w:val="000000" w:themeColor="text1"/>
          <w:sz w:val="16"/>
          <w:szCs w:val="16"/>
        </w:rPr>
        <w:t xml:space="preserve"> в 1935 году совершил первый полет опытный образец французского поплавкового истребителя «LN 210». Всего изготовлен 21 экземпляр. «LN 210» состоял на вооружении французского флота с конца 1938 года (15075).</w:t>
      </w:r>
    </w:p>
    <w:p w14:paraId="5A2782BD" w14:textId="77777777" w:rsidR="0070053A" w:rsidRPr="00E14102" w:rsidRDefault="0070053A" w:rsidP="00E14102">
      <w:pPr>
        <w:jc w:val="both"/>
        <w:rPr>
          <w:color w:val="000000" w:themeColor="text1"/>
          <w:sz w:val="16"/>
          <w:szCs w:val="16"/>
        </w:rPr>
      </w:pPr>
    </w:p>
    <w:p w14:paraId="2573B1C6" w14:textId="77777777" w:rsidR="004C5AA2" w:rsidRPr="00E14102" w:rsidRDefault="004C5AA2" w:rsidP="00E14102">
      <w:pPr>
        <w:jc w:val="both"/>
        <w:rPr>
          <w:color w:val="0070C0"/>
          <w:sz w:val="16"/>
          <w:szCs w:val="16"/>
        </w:rPr>
      </w:pPr>
      <w:r w:rsidRPr="00E14102">
        <w:rPr>
          <w:color w:val="0070C0"/>
          <w:sz w:val="16"/>
          <w:szCs w:val="16"/>
        </w:rPr>
        <w:t>21 марта 1935 года — первый полёт гидроистребителя Loire-Nieuport LN.210. /Франция/</w:t>
      </w:r>
    </w:p>
    <w:p w14:paraId="6277BA6A" w14:textId="77777777" w:rsidR="004C5AA2" w:rsidRPr="00E14102" w:rsidRDefault="004C5AA2" w:rsidP="00E14102">
      <w:pPr>
        <w:jc w:val="both"/>
        <w:rPr>
          <w:color w:val="0070C0"/>
          <w:sz w:val="16"/>
          <w:szCs w:val="16"/>
        </w:rPr>
      </w:pPr>
      <w:r w:rsidRPr="00E14102">
        <w:rPr>
          <w:color w:val="0070C0"/>
          <w:sz w:val="16"/>
          <w:szCs w:val="16"/>
        </w:rPr>
        <w:t>ВМФ Франции в 1933 году сформировало требования к одноместному поплавковому истребителю для использования с корабельных катапульт. В конкурсе участвовали 4 проекта от разных компаний. В том числе и LN.210 от Société Anonyme Loire-Nieuport.</w:t>
      </w:r>
    </w:p>
    <w:p w14:paraId="26376B45" w14:textId="77777777" w:rsidR="004C5AA2" w:rsidRPr="00E14102" w:rsidRDefault="004C5AA2" w:rsidP="00E14102">
      <w:pPr>
        <w:jc w:val="both"/>
        <w:rPr>
          <w:color w:val="0070C0"/>
          <w:sz w:val="16"/>
          <w:szCs w:val="16"/>
        </w:rPr>
      </w:pPr>
      <w:r w:rsidRPr="00E14102">
        <w:rPr>
          <w:color w:val="0070C0"/>
          <w:sz w:val="16"/>
          <w:szCs w:val="16"/>
        </w:rPr>
        <w:t>Инженеры Loire-Nieuport спроектировали цельнометаллический низкоплан с 3 поплавками (большой центральный + 2 маленьких подкрыльевых). LN.210 оснащался двигателем Hispano-Suiza 9Vbs мощностью 720 л.с. Максимальная скорость — 299 км/ч, дальность полёта — 750 км. Вооружение состояло из 4 × 7,5-мм пулемётов Darne.</w:t>
      </w:r>
    </w:p>
    <w:p w14:paraId="371B0C16" w14:textId="77777777" w:rsidR="004C5AA2" w:rsidRPr="00E14102" w:rsidRDefault="004C5AA2" w:rsidP="00E14102">
      <w:pPr>
        <w:jc w:val="both"/>
        <w:rPr>
          <w:color w:val="0070C0"/>
          <w:sz w:val="16"/>
          <w:szCs w:val="16"/>
        </w:rPr>
      </w:pPr>
      <w:r w:rsidRPr="00E14102">
        <w:rPr>
          <w:color w:val="0070C0"/>
          <w:sz w:val="16"/>
          <w:szCs w:val="16"/>
        </w:rPr>
        <w:t>На испытаниях LN.210 показал себя лучше конкурентов и Loire-Nieuport получили заказ на постройку 20 самолётов. Но во время эксплуатации произошло несколько аварий из-за недостаточной прочности крыла. В 1939 году все LN.210 были списаны из французских ВМФ (22300).</w:t>
      </w:r>
    </w:p>
    <w:p w14:paraId="23AB6F8D" w14:textId="77777777" w:rsidR="004C5AA2" w:rsidRPr="00E14102" w:rsidRDefault="004C5AA2" w:rsidP="00E14102">
      <w:pPr>
        <w:jc w:val="both"/>
        <w:rPr>
          <w:color w:val="0070C0"/>
          <w:sz w:val="16"/>
          <w:szCs w:val="16"/>
        </w:rPr>
      </w:pPr>
    </w:p>
    <w:p w14:paraId="38CF6F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марта 1935 состоялся первый взлет XP3Y - будущей Каталины (1049,109).</w:t>
      </w:r>
    </w:p>
    <w:p w14:paraId="08FD9E45" w14:textId="77777777" w:rsidR="00D4105E" w:rsidRPr="00E14102" w:rsidRDefault="00D4105E" w:rsidP="00E14102">
      <w:pPr>
        <w:autoSpaceDE w:val="0"/>
        <w:autoSpaceDN w:val="0"/>
        <w:adjustRightInd w:val="0"/>
        <w:jc w:val="both"/>
        <w:rPr>
          <w:color w:val="000000" w:themeColor="text1"/>
          <w:sz w:val="16"/>
          <w:szCs w:val="16"/>
        </w:rPr>
      </w:pPr>
    </w:p>
    <w:p w14:paraId="04AD67EE" w14:textId="77777777" w:rsidR="0070053A" w:rsidRPr="00E14102" w:rsidRDefault="0070053A" w:rsidP="00E14102">
      <w:pPr>
        <w:jc w:val="both"/>
        <w:rPr>
          <w:color w:val="000000" w:themeColor="text1"/>
          <w:sz w:val="16"/>
          <w:szCs w:val="16"/>
        </w:rPr>
      </w:pPr>
      <w:r w:rsidRPr="00E14102">
        <w:rPr>
          <w:bCs/>
          <w:color w:val="000000" w:themeColor="text1"/>
          <w:sz w:val="16"/>
          <w:szCs w:val="16"/>
        </w:rPr>
        <w:t>21 марта</w:t>
      </w:r>
      <w:r w:rsidRPr="00E14102">
        <w:rPr>
          <w:color w:val="000000" w:themeColor="text1"/>
          <w:sz w:val="16"/>
          <w:szCs w:val="16"/>
        </w:rPr>
        <w:t xml:space="preserve"> в 1935 году, летчик-испытатель фирмы «Консолидейтед» Билл Уитли в Норфолке поднял прототип «XP3Y» американской летающей лодки «Каталина» - «Consolidated PBY» Catalina» в первый полет, который завершился без происшествий. В ходе последовавших испытательных полетов проблем не было и уже 28 марта XP3Y доставили в испытательный центр флота на базе Анакоста для проведения предварительных войсковых испытаний. В их ходе возникали незначительные проблемы, но они не оказали существенного влияния на ход тестирования. В апреле провели отстрел оружия, а в мае машину вернули в Норфолк. При посадке 13 мая самолет получил незначительные повреждения, которые удалось быстро исправить, и испытания продолжались (15075).</w:t>
      </w:r>
    </w:p>
    <w:p w14:paraId="0B78C50B" w14:textId="77777777" w:rsidR="0070053A" w:rsidRPr="00E14102" w:rsidRDefault="0070053A" w:rsidP="00E14102">
      <w:pPr>
        <w:jc w:val="both"/>
        <w:rPr>
          <w:color w:val="000000" w:themeColor="text1"/>
          <w:sz w:val="16"/>
          <w:szCs w:val="16"/>
        </w:rPr>
      </w:pPr>
    </w:p>
    <w:p w14:paraId="332BF796" w14:textId="77777777" w:rsidR="0070053A" w:rsidRPr="00E14102" w:rsidRDefault="0070053A" w:rsidP="00E14102">
      <w:pPr>
        <w:jc w:val="both"/>
        <w:rPr>
          <w:color w:val="000000" w:themeColor="text1"/>
          <w:sz w:val="16"/>
          <w:szCs w:val="16"/>
        </w:rPr>
      </w:pPr>
      <w:r w:rsidRPr="00E14102">
        <w:rPr>
          <w:bCs/>
          <w:color w:val="000000" w:themeColor="text1"/>
          <w:sz w:val="16"/>
          <w:szCs w:val="16"/>
        </w:rPr>
        <w:lastRenderedPageBreak/>
        <w:t>21 марта</w:t>
      </w:r>
      <w:r w:rsidRPr="00E14102">
        <w:rPr>
          <w:color w:val="000000" w:themeColor="text1"/>
          <w:sz w:val="16"/>
          <w:szCs w:val="16"/>
        </w:rPr>
        <w:t xml:space="preserve"> в 1935 году официальным правительственным декретом Персия была переименована в Иран. Этот шаг был предпринят в русле проводившегося шахом Резой Пехлеви, основателем новой шахской династии Пехлеви, курса на преодоление иностранного доминирования и подъем национального духа. Название страны, полученное от древних греков, заменялось названием, данным еще в незапамятные времена ее собственным населением (15075).</w:t>
      </w:r>
    </w:p>
    <w:p w14:paraId="38C5FEFF" w14:textId="77777777" w:rsidR="0070053A" w:rsidRPr="00E14102" w:rsidRDefault="0070053A" w:rsidP="00E14102">
      <w:pPr>
        <w:jc w:val="both"/>
        <w:rPr>
          <w:color w:val="000000" w:themeColor="text1"/>
          <w:sz w:val="16"/>
          <w:szCs w:val="16"/>
        </w:rPr>
      </w:pPr>
    </w:p>
    <w:p w14:paraId="1ED45DB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41D2B72" w14:textId="77777777" w:rsidR="00D4105E" w:rsidRPr="00E14102" w:rsidRDefault="00D4105E" w:rsidP="00E14102">
      <w:pPr>
        <w:autoSpaceDE w:val="0"/>
        <w:autoSpaceDN w:val="0"/>
        <w:adjustRightInd w:val="0"/>
        <w:jc w:val="both"/>
        <w:rPr>
          <w:iCs/>
          <w:color w:val="000000" w:themeColor="text1"/>
          <w:sz w:val="16"/>
          <w:szCs w:val="16"/>
        </w:rPr>
      </w:pPr>
    </w:p>
    <w:p w14:paraId="7E18A4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марта 1935 Нач. 4 отдела УВС РККА писал Нач. ГУАП, Нач. НИИ ВВС, Директору завода 23, ст. военпреду завода 23 письмо N 44/025114:</w:t>
      </w:r>
    </w:p>
    <w:p w14:paraId="125A9F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сем препровождается заключение и разбор предварительного эскизного проекта одноместного УТИ завода 23.</w:t>
      </w:r>
    </w:p>
    <w:p w14:paraId="39AB99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 военному представителю завода 23 сообщить мне заблаговременно о готовности к испытанию самолета У-2 М-11 с симметричным профилем крыла , а также о готовности макета УТИ М-48." (2343,83).</w:t>
      </w:r>
    </w:p>
    <w:p w14:paraId="071FD5C0" w14:textId="77777777" w:rsidR="00D4105E" w:rsidRPr="00E14102" w:rsidRDefault="00D4105E" w:rsidP="00E14102">
      <w:pPr>
        <w:autoSpaceDE w:val="0"/>
        <w:autoSpaceDN w:val="0"/>
        <w:adjustRightInd w:val="0"/>
        <w:jc w:val="both"/>
        <w:rPr>
          <w:color w:val="000000" w:themeColor="text1"/>
          <w:sz w:val="16"/>
          <w:szCs w:val="16"/>
        </w:rPr>
      </w:pPr>
    </w:p>
    <w:p w14:paraId="6B57D3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марта 1935 состоялось совещание у начальника ВВС Я.И.Алксниса по вопросу перелета С.А.Леваневского (1077,265). Поручили комиссии ознакомиться со всеми имеющимися автопилотами (1102).</w:t>
      </w:r>
    </w:p>
    <w:p w14:paraId="2347C129" w14:textId="77777777" w:rsidR="00D4105E" w:rsidRPr="00E14102" w:rsidRDefault="00D4105E" w:rsidP="00E14102">
      <w:pPr>
        <w:autoSpaceDE w:val="0"/>
        <w:autoSpaceDN w:val="0"/>
        <w:adjustRightInd w:val="0"/>
        <w:jc w:val="both"/>
        <w:rPr>
          <w:color w:val="000000" w:themeColor="text1"/>
          <w:sz w:val="16"/>
          <w:szCs w:val="16"/>
        </w:rPr>
      </w:pPr>
    </w:p>
    <w:p w14:paraId="12CA011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A977B02" w14:textId="77777777" w:rsidR="00D4105E" w:rsidRPr="00E14102" w:rsidRDefault="00D4105E" w:rsidP="00E14102">
      <w:pPr>
        <w:autoSpaceDE w:val="0"/>
        <w:autoSpaceDN w:val="0"/>
        <w:adjustRightInd w:val="0"/>
        <w:jc w:val="both"/>
        <w:rPr>
          <w:iCs/>
          <w:color w:val="000000" w:themeColor="text1"/>
          <w:sz w:val="16"/>
          <w:szCs w:val="16"/>
        </w:rPr>
      </w:pPr>
    </w:p>
    <w:p w14:paraId="5056DE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22 марта 1935 г. директор завода № 37 получил распоря</w:t>
      </w:r>
      <w:r w:rsidRPr="00E14102">
        <w:rPr>
          <w:color w:val="000000" w:themeColor="text1"/>
          <w:sz w:val="16"/>
          <w:szCs w:val="16"/>
        </w:rPr>
        <w:softHyphen/>
        <w:t>жение начальника НТО АБТУ РККА о необходимости раз</w:t>
      </w:r>
      <w:r w:rsidRPr="00E14102">
        <w:rPr>
          <w:color w:val="000000" w:themeColor="text1"/>
          <w:sz w:val="16"/>
          <w:szCs w:val="16"/>
        </w:rPr>
        <w:softHyphen/>
        <w:t>работки к 15 апреля эскизного проекта самоходной установ</w:t>
      </w:r>
      <w:r w:rsidRPr="00E14102">
        <w:rPr>
          <w:color w:val="000000" w:themeColor="text1"/>
          <w:sz w:val="16"/>
          <w:szCs w:val="16"/>
        </w:rPr>
        <w:softHyphen/>
        <w:t>ки батальонной пушки на шасси плавающего танка Т-37. А 11 марта 1935 г. были утверждены и развернутые 111 на про</w:t>
      </w:r>
      <w:r w:rsidRPr="00E14102">
        <w:rPr>
          <w:color w:val="000000" w:themeColor="text1"/>
          <w:sz w:val="16"/>
          <w:szCs w:val="16"/>
        </w:rPr>
        <w:softHyphen/>
        <w:t>ект «легкой самоходно-артиллерийской установки с 45-мм противотанковой пушкой на шасси Т-37А».</w:t>
      </w:r>
    </w:p>
    <w:p w14:paraId="2F9F1E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Предусматривалось выполнение проекта в двух вариан</w:t>
      </w:r>
      <w:r w:rsidRPr="00E14102">
        <w:rPr>
          <w:color w:val="000000" w:themeColor="text1"/>
          <w:sz w:val="16"/>
          <w:szCs w:val="16"/>
        </w:rPr>
        <w:softHyphen/>
        <w:t>тах, с использованием шасси танка Т-37А без переделок и разработка спецшасси на базе узлов шасси танка Т-37А. В развернутых ТТТ на САУ, имевшую индекс СУ-Т-37, или СУ-37, в частности, говорилось:</w:t>
      </w:r>
    </w:p>
    <w:p w14:paraId="065217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iCs/>
          <w:color w:val="000000" w:themeColor="text1"/>
          <w:sz w:val="16"/>
          <w:szCs w:val="16"/>
        </w:rPr>
        <w:t>«Вес установки в боевом положении не должен превы</w:t>
      </w:r>
      <w:r w:rsidRPr="00E14102">
        <w:rPr>
          <w:iCs/>
          <w:color w:val="000000" w:themeColor="text1"/>
          <w:sz w:val="16"/>
          <w:szCs w:val="16"/>
        </w:rPr>
        <w:softHyphen/>
        <w:t>шать 3000 кг. Тактико-технические свойства СУ должны быть не ниже, чем у Т-37...</w:t>
      </w:r>
    </w:p>
    <w:p w14:paraId="1668A75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iCs/>
          <w:color w:val="000000" w:themeColor="text1"/>
          <w:sz w:val="16"/>
          <w:szCs w:val="16"/>
        </w:rPr>
        <w:t>Для самоходной установки использовать 45-мм проти</w:t>
      </w:r>
      <w:r w:rsidRPr="00E14102">
        <w:rPr>
          <w:iCs/>
          <w:color w:val="000000" w:themeColor="text1"/>
          <w:sz w:val="16"/>
          <w:szCs w:val="16"/>
        </w:rPr>
        <w:softHyphen/>
        <w:t>вотанковое орудие вместе с верхним станком, прицелом и механизмами его наведения... Высота линии огня должна быть не свыше 1200мм, углы обстрела: по вертикали -8 +25 град., по горизонтали — 30 градусов в каждую из сторон.</w:t>
      </w:r>
    </w:p>
    <w:p w14:paraId="47E946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iCs/>
          <w:color w:val="000000" w:themeColor="text1"/>
          <w:sz w:val="16"/>
          <w:szCs w:val="16"/>
        </w:rPr>
        <w:t>Самоходная установка должна иметь щит, не препятст</w:t>
      </w:r>
      <w:r w:rsidRPr="00E14102">
        <w:rPr>
          <w:iCs/>
          <w:color w:val="000000" w:themeColor="text1"/>
          <w:sz w:val="16"/>
          <w:szCs w:val="16"/>
        </w:rPr>
        <w:softHyphen/>
        <w:t>вующий производить прямую наводку и прикрывать орудий</w:t>
      </w:r>
      <w:r w:rsidRPr="00E14102">
        <w:rPr>
          <w:iCs/>
          <w:color w:val="000000" w:themeColor="text1"/>
          <w:sz w:val="16"/>
          <w:szCs w:val="16"/>
        </w:rPr>
        <w:softHyphen/>
        <w:t>ный расчет спереди от пуль. С бортов расчет должен быть прикрыт до пояса 5-мм броней. В походном положении расчет должен быть прикрыт полностью, за исключением крыши.</w:t>
      </w:r>
    </w:p>
    <w:p w14:paraId="5B46FF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iCs/>
          <w:color w:val="000000" w:themeColor="text1"/>
          <w:sz w:val="16"/>
          <w:szCs w:val="16"/>
        </w:rPr>
        <w:t>Самоходная установка должна допускать стрельбу как с места, так и с хода под всеми углами и быть устойчивой при стрельбе. Экипаж установки — 3 человека.</w:t>
      </w:r>
    </w:p>
    <w:p w14:paraId="4DB945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iCs/>
          <w:color w:val="000000" w:themeColor="text1"/>
          <w:sz w:val="16"/>
          <w:szCs w:val="16"/>
        </w:rPr>
        <w:t>Для самообороны предусмотреть укладку ручного пулеме</w:t>
      </w:r>
      <w:r w:rsidRPr="00E14102">
        <w:rPr>
          <w:iCs/>
          <w:color w:val="000000" w:themeColor="text1"/>
          <w:sz w:val="16"/>
          <w:szCs w:val="16"/>
        </w:rPr>
        <w:softHyphen/>
        <w:t>та ДП. Боекомплект не менее 50 снарядов и 1000 патронов».</w:t>
      </w:r>
    </w:p>
    <w:p w14:paraId="57B126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проектные работы затянулись, и к окончанию перво</w:t>
      </w:r>
      <w:r w:rsidRPr="00E14102">
        <w:rPr>
          <w:color w:val="000000" w:themeColor="text1"/>
          <w:sz w:val="16"/>
          <w:szCs w:val="16"/>
        </w:rPr>
        <w:softHyphen/>
        <w:t>го этапа проектных работ выяснилось, что проект неприго</w:t>
      </w:r>
      <w:r w:rsidRPr="00E14102">
        <w:rPr>
          <w:color w:val="000000" w:themeColor="text1"/>
          <w:sz w:val="16"/>
          <w:szCs w:val="16"/>
        </w:rPr>
        <w:softHyphen/>
        <w:t>ден к серийному производству, так как шасси и трансмиссия Т-37 снимается с производства. Переработку проекта САУ вел конструктор И. Архаров. Он столкнулся с тем, что масса САУ получается чрезмерной, что требовало отказаться от ее плавучести. Согласование этого изменения еще отодвинуло срок исполнения, и только 10 ноября 1935 г. он был рассмо</w:t>
      </w:r>
      <w:r w:rsidRPr="00E14102">
        <w:rPr>
          <w:color w:val="000000" w:themeColor="text1"/>
          <w:sz w:val="16"/>
          <w:szCs w:val="16"/>
        </w:rPr>
        <w:softHyphen/>
        <w:t>трен на заседании макетной комиссии АБТУ РККА.</w:t>
      </w:r>
    </w:p>
    <w:p w14:paraId="421458C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Понятно, что проект сильно отличался от задания. Во-первых, базой. САУ теперь базировалась на ходовой части танка Т-38, от которого также заимствовались двигатель, бортовые фрикционы, приводы управления, электрообору</w:t>
      </w:r>
      <w:r w:rsidRPr="00E14102">
        <w:rPr>
          <w:color w:val="000000" w:themeColor="text1"/>
          <w:sz w:val="16"/>
          <w:szCs w:val="16"/>
        </w:rPr>
        <w:softHyphen/>
        <w:t>дование и ряд иных узлов. В качестве вооружения использо</w:t>
      </w:r>
      <w:r w:rsidRPr="00E14102">
        <w:rPr>
          <w:color w:val="000000" w:themeColor="text1"/>
          <w:sz w:val="16"/>
          <w:szCs w:val="16"/>
        </w:rPr>
        <w:softHyphen/>
        <w:t>валась 45-мм противотанковая пушка обр. 1932 г. с верхним станком, прицельными приспособлениями и механизмом наводки практически без изменений. Орудие было установ</w:t>
      </w:r>
      <w:r w:rsidRPr="00E14102">
        <w:rPr>
          <w:color w:val="000000" w:themeColor="text1"/>
          <w:sz w:val="16"/>
          <w:szCs w:val="16"/>
        </w:rPr>
        <w:softHyphen/>
        <w:t>лено в передней части машины, а двигатель размещался по</w:t>
      </w:r>
      <w:r w:rsidRPr="00E14102">
        <w:rPr>
          <w:color w:val="000000" w:themeColor="text1"/>
          <w:sz w:val="16"/>
          <w:szCs w:val="16"/>
        </w:rPr>
        <w:softHyphen/>
        <w:t>перек корпуса машины в ее кормовой части. Боекомплект к пушке в количестве 50 выстрелов помещался вдоль бортов корпуса САУ. Механик-водитель (бывший также наводчи</w:t>
      </w:r>
      <w:r w:rsidRPr="00E14102">
        <w:rPr>
          <w:color w:val="000000" w:themeColor="text1"/>
          <w:sz w:val="16"/>
          <w:szCs w:val="16"/>
        </w:rPr>
        <w:softHyphen/>
        <w:t>ком орудия) размещался слева по ходу машины. В ходе об</w:t>
      </w:r>
      <w:r w:rsidRPr="00E14102">
        <w:rPr>
          <w:color w:val="000000" w:themeColor="text1"/>
          <w:sz w:val="16"/>
          <w:szCs w:val="16"/>
        </w:rPr>
        <w:softHyphen/>
        <w:t>суждения проекта главным требованием было освободить по возможности механика-водителя от функций наводчика, для чего пересадить его с левой стороны на правую.</w:t>
      </w:r>
    </w:p>
    <w:p w14:paraId="219DF4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Тут же были оговорены и вопросы изготовления опытно</w:t>
      </w:r>
      <w:r w:rsidRPr="00E14102">
        <w:rPr>
          <w:color w:val="000000" w:themeColor="text1"/>
          <w:sz w:val="16"/>
          <w:szCs w:val="16"/>
        </w:rPr>
        <w:softHyphen/>
        <w:t>го образца для проведения испытаний, но главное — маши</w:t>
      </w:r>
      <w:r w:rsidRPr="00E14102">
        <w:rPr>
          <w:color w:val="000000" w:themeColor="text1"/>
          <w:sz w:val="16"/>
          <w:szCs w:val="16"/>
        </w:rPr>
        <w:softHyphen/>
        <w:t>на поменяла свое имя. Теперь в документах АБТУ она име</w:t>
      </w:r>
      <w:r w:rsidRPr="00E14102">
        <w:rPr>
          <w:color w:val="000000" w:themeColor="text1"/>
          <w:sz w:val="16"/>
          <w:szCs w:val="16"/>
        </w:rPr>
        <w:softHyphen/>
        <w:t>новалась СУ-45. Также в заключении оговаривался крайний срок изготовления опытного образца - 1 января 1936 г.</w:t>
      </w:r>
    </w:p>
    <w:p w14:paraId="43BC8D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 и этот срок не был выдержан. Лишь весной 1936 г. СУ-45 был передан на испытания, причем изготовленная машина значительно отличалась от одобренного макета.</w:t>
      </w:r>
    </w:p>
    <w:p w14:paraId="337B5F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Несмотря на решение комиссии, механик-водитель был размещен все-таки слева от оси машины, а на правой стороне появилась шаровая установка пулемета ДТ. Из-за пожелания использовать штатные укладки 45-мм выстре</w:t>
      </w:r>
      <w:r w:rsidRPr="00E14102">
        <w:rPr>
          <w:color w:val="000000" w:themeColor="text1"/>
          <w:sz w:val="16"/>
          <w:szCs w:val="16"/>
        </w:rPr>
        <w:softHyphen/>
        <w:t>лов танка Т-26 и увеличения высоты бортов масса СУ-45 значительно превысила заданную и достигла 4300 кг. Это привело к необходимости усиления ходовой части. Умень</w:t>
      </w:r>
      <w:r w:rsidRPr="00E14102">
        <w:rPr>
          <w:color w:val="000000" w:themeColor="text1"/>
          <w:sz w:val="16"/>
          <w:szCs w:val="16"/>
        </w:rPr>
        <w:softHyphen/>
        <w:t>шилось расстояние между тележками подвески, и было до</w:t>
      </w:r>
      <w:r w:rsidRPr="00E14102">
        <w:rPr>
          <w:color w:val="000000" w:themeColor="text1"/>
          <w:sz w:val="16"/>
          <w:szCs w:val="16"/>
        </w:rPr>
        <w:softHyphen/>
        <w:t>бавлено по одному опорному катку с каждого борта (11417).</w:t>
      </w:r>
    </w:p>
    <w:p w14:paraId="1F14F5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20EDAE7" w14:textId="77777777" w:rsidR="00DD2250" w:rsidRPr="00E14102" w:rsidRDefault="00DD2250" w:rsidP="00E14102">
      <w:pPr>
        <w:pStyle w:val="rtejustify"/>
        <w:spacing w:before="0" w:after="0"/>
        <w:rPr>
          <w:color w:val="000000" w:themeColor="text1"/>
          <w:sz w:val="16"/>
          <w:szCs w:val="16"/>
        </w:rPr>
      </w:pPr>
      <w:r w:rsidRPr="00E14102">
        <w:rPr>
          <w:rStyle w:val="a6"/>
          <w:bCs/>
          <w:i w:val="0"/>
          <w:color w:val="000000" w:themeColor="text1"/>
          <w:sz w:val="16"/>
          <w:szCs w:val="16"/>
        </w:rPr>
        <w:t>22 марта</w:t>
      </w:r>
      <w:r w:rsidRPr="00E14102">
        <w:rPr>
          <w:color w:val="000000" w:themeColor="text1"/>
          <w:sz w:val="16"/>
          <w:szCs w:val="16"/>
        </w:rPr>
        <w:t xml:space="preserve"> 1935. Постановление СТО СССР № 498 «О списке строительств, генеральные планы и сметы которых подлежат утверждению СТО». (СЗ. 1935 № 18. Ст. 152) (15460).</w:t>
      </w:r>
    </w:p>
    <w:p w14:paraId="0EF086B2" w14:textId="21967428" w:rsidR="00DD2250" w:rsidRPr="00E14102" w:rsidRDefault="00DD2250" w:rsidP="00E14102">
      <w:pPr>
        <w:pStyle w:val="rtejustify"/>
        <w:spacing w:before="0" w:after="0"/>
        <w:rPr>
          <w:color w:val="000000" w:themeColor="text1"/>
          <w:sz w:val="16"/>
          <w:szCs w:val="16"/>
        </w:rPr>
      </w:pPr>
    </w:p>
    <w:p w14:paraId="23F2F28F" w14:textId="438F76B2" w:rsidR="004C5AA2" w:rsidRPr="00E14102" w:rsidRDefault="004C5AA2" w:rsidP="00E14102">
      <w:pPr>
        <w:pStyle w:val="rtejustify"/>
        <w:spacing w:before="0" w:after="0"/>
        <w:rPr>
          <w:i/>
          <w:iCs/>
          <w:color w:val="000000" w:themeColor="text1"/>
          <w:sz w:val="16"/>
          <w:szCs w:val="16"/>
        </w:rPr>
      </w:pPr>
      <w:r w:rsidRPr="00E14102">
        <w:rPr>
          <w:i/>
          <w:iCs/>
          <w:color w:val="000000" w:themeColor="text1"/>
          <w:sz w:val="16"/>
          <w:szCs w:val="16"/>
        </w:rPr>
        <w:t>Армия:</w:t>
      </w:r>
    </w:p>
    <w:p w14:paraId="2BC7A6CA" w14:textId="77777777" w:rsidR="004C5AA2" w:rsidRPr="00E14102" w:rsidRDefault="004C5AA2" w:rsidP="00E14102">
      <w:pPr>
        <w:pStyle w:val="rtejustify"/>
        <w:spacing w:before="0" w:after="0"/>
        <w:rPr>
          <w:i/>
          <w:iCs/>
          <w:color w:val="000000" w:themeColor="text1"/>
          <w:sz w:val="16"/>
          <w:szCs w:val="16"/>
        </w:rPr>
      </w:pPr>
    </w:p>
    <w:p w14:paraId="2525EBE4" w14:textId="77777777" w:rsidR="004C5AA2" w:rsidRPr="00E14102" w:rsidRDefault="004C5AA2" w:rsidP="00E14102">
      <w:pPr>
        <w:shd w:val="clear" w:color="auto" w:fill="FFFFFF"/>
        <w:jc w:val="both"/>
        <w:rPr>
          <w:color w:val="0070C0"/>
          <w:sz w:val="16"/>
          <w:szCs w:val="16"/>
        </w:rPr>
      </w:pPr>
      <w:r w:rsidRPr="00E14102">
        <w:rPr>
          <w:color w:val="0070C0"/>
          <w:sz w:val="16"/>
          <w:szCs w:val="16"/>
        </w:rPr>
        <w:t>22 марта 1935 Постановлением Политбюро утвердило "проект мероприятий по ycилению обороны западных и восточных гpaниц Союза в части расширения вооруженных сил по коннице, мотомеханизированным и стрелковым войскам".</w:t>
      </w:r>
    </w:p>
    <w:p w14:paraId="3AD762FE" w14:textId="77777777" w:rsidR="004C5AA2" w:rsidRPr="00E14102" w:rsidRDefault="004C5AA2" w:rsidP="00E14102">
      <w:pPr>
        <w:shd w:val="clear" w:color="auto" w:fill="FFFFFF"/>
        <w:jc w:val="both"/>
        <w:rPr>
          <w:color w:val="0070C0"/>
          <w:sz w:val="16"/>
          <w:szCs w:val="16"/>
        </w:rPr>
      </w:pPr>
      <w:r w:rsidRPr="00E14102">
        <w:rPr>
          <w:color w:val="0070C0"/>
          <w:sz w:val="16"/>
          <w:szCs w:val="16"/>
        </w:rPr>
        <w:t>К середине 1936 г. количество развертываемых по мобилизации стрелковых дивизий увеличивалось до 170 (включая, по всей вероятности, и второочередные соединения, формируемые в первый месяц войны). Это число являлось неким компромиссом между предусмотренными ранее 150 дивизиями и "минимально" намеченными Тухачевским 190 дивизиями. В мирное время число "открытых стрелковых дивизий" (кадровых и территориальных) устанавливалось равным 88 (вместо 86), остальные 82 дивизии должны были содержаться в кадре (по 300 человек на дивизию военного времени)162. Количество кавдивизий возрастало с двадцати двух до тридцати одной, мехбригад - с четырнадцати до двадцати пяти (См.: Доклад Начальника Штаба РККА Егорова "Развитие РККА на 1936-1938 гг.", 14.04.1935 (экз. № 1) // РГВА. Ф. 40442. On. 1. Д 1569- Л. 1.). Общая численность РККА мирного времени вырастала до 1 094 000. Менялось и их распределение по военным округам (В ОКДВА создавались 1 стрелковая дивизия и 1 стрелковая бригада. В ЛВО, где к лету 1935 г. не было ни одного кадрового соединения, на кадровое положение переводилась одна из пяти территориальных дивизий (см.: Доклад Наркома Обороны СССР Ворошилова [в КО СССР(?)] "О состоянии РККА с учетом утвержденных Правительством организационных мероприятий на 1935-1936 гг."//Там же. Д 1481.Л. 1.).</w:t>
      </w:r>
    </w:p>
    <w:p w14:paraId="73FD89F4" w14:textId="77777777" w:rsidR="004C5AA2" w:rsidRPr="00E14102" w:rsidRDefault="004C5AA2" w:rsidP="00E14102">
      <w:pPr>
        <w:shd w:val="clear" w:color="auto" w:fill="FFFFFF"/>
        <w:jc w:val="both"/>
        <w:rPr>
          <w:color w:val="0070C0"/>
          <w:sz w:val="16"/>
          <w:szCs w:val="16"/>
        </w:rPr>
      </w:pPr>
      <w:r w:rsidRPr="00E14102">
        <w:rPr>
          <w:color w:val="0070C0"/>
          <w:sz w:val="16"/>
          <w:szCs w:val="16"/>
        </w:rPr>
        <w:t>В связи с этим, во-первых, военному ведомству было поручено развернуть новое казарменное и иное строительство за счет дополнительных ассигнований (315 млн руб.), стройматериалов и организации 20 строительных батальонов в западной части страны за счет призыва 20 000 "переменников". Новое строительство требовалось полностью закончить к 1 октября 1936 г.</w:t>
      </w:r>
    </w:p>
    <w:p w14:paraId="60A2541E" w14:textId="77777777" w:rsidR="004C5AA2" w:rsidRPr="00E14102" w:rsidRDefault="004C5AA2" w:rsidP="00E14102">
      <w:pPr>
        <w:shd w:val="clear" w:color="auto" w:fill="FFFFFF"/>
        <w:jc w:val="both"/>
        <w:rPr>
          <w:color w:val="0070C0"/>
          <w:sz w:val="16"/>
          <w:szCs w:val="16"/>
        </w:rPr>
      </w:pPr>
      <w:r w:rsidRPr="00E14102">
        <w:rPr>
          <w:color w:val="0070C0"/>
          <w:sz w:val="16"/>
          <w:szCs w:val="16"/>
        </w:rPr>
        <w:t>Во-вторых, Политбюро создало комиссию (Чубарь, Ворошилов, Орджоникидзе, Егоров и Павлуновский) для рассмотрения "дополнительного заказа НКОбороны на вооружение, предметы военно-технического и хозяйственного снабжения, дополнительную потребность НКОбороны по продфуражным пайкам и денежным ассигнованиям по текущему довольствию 1935 г. для обеспечения формирований, указанных в п. 1" (Протокол № 23 заседания Политбюро ЦК ВКП(б) от 03-04-1935 г. (особый №), п. 183 // РГА СПИ. Ф. 17. Оп. 162. Д. 17. Л. 156-157. 3 апреля Политбюро опросом утвердило решения КО об отпуске средств (в том числе валютных) из резерва CНK в НКТП и Остехбюро НКО (протокол № 23 заседания Политбюро ЦК ВКП(б) от 3 апреля 1935 года (особый №), п. 15 //Там же. Д 18. Л. 2). Эго было только начало. 22 мая Политбюро санкционировало повышение плана заказов НКО на текущий год с 2662 млн до 3158 млн руб., а 28 июня - до 3450 млн руб. В результате увеличение плана военных закупок на 1935 г. по сравнению с фактическим уровнем 1934 г. составило 78% (вместо 37%, как предусматривал утвержденный в начале 1935 г. государственный бюджет) (см.: II AKKISON М. DAVIES R W. Op. cit. P. 389,400). Расходы на строительство НКО СССР и инвестиции в военную промышленность, в 1934 г. составлявшие 6,5% общих капиталовложений, в 1935 г. достигли 8,1% (Ibid. Р. 390)).</w:t>
      </w:r>
    </w:p>
    <w:p w14:paraId="4E81F41D" w14:textId="77777777" w:rsidR="004C5AA2" w:rsidRPr="00E14102" w:rsidRDefault="004C5AA2" w:rsidP="00E14102">
      <w:pPr>
        <w:shd w:val="clear" w:color="auto" w:fill="FFFFFF"/>
        <w:jc w:val="both"/>
        <w:rPr>
          <w:color w:val="0070C0"/>
          <w:sz w:val="16"/>
          <w:szCs w:val="16"/>
        </w:rPr>
      </w:pPr>
      <w:r w:rsidRPr="00E14102">
        <w:rPr>
          <w:color w:val="0070C0"/>
          <w:sz w:val="16"/>
          <w:szCs w:val="16"/>
        </w:rPr>
        <w:t>Постановление Политбюро было направлено четырем высшим руководителям, в том числе - Генеральному секретарю ЦК Учитывая делопроизводственные нормы Политбюро (направление выписок исполнителям) такая беспрецедентная адресация оборонного решения знаменовала тот факт, что контроль за его реализацией от Комиссии обороны переходит в руки Сталина (22725).</w:t>
      </w:r>
    </w:p>
    <w:p w14:paraId="6A7EE7FB" w14:textId="77777777" w:rsidR="004C5AA2" w:rsidRPr="00E14102" w:rsidRDefault="004C5AA2" w:rsidP="00E14102">
      <w:pPr>
        <w:jc w:val="both"/>
        <w:rPr>
          <w:color w:val="0070C0"/>
          <w:sz w:val="16"/>
          <w:szCs w:val="16"/>
        </w:rPr>
      </w:pPr>
    </w:p>
    <w:p w14:paraId="3C6C05A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1722925F" w14:textId="77777777" w:rsidR="00D4105E" w:rsidRPr="00E14102" w:rsidRDefault="00D4105E" w:rsidP="00E14102">
      <w:pPr>
        <w:autoSpaceDE w:val="0"/>
        <w:autoSpaceDN w:val="0"/>
        <w:adjustRightInd w:val="0"/>
        <w:jc w:val="both"/>
        <w:rPr>
          <w:iCs/>
          <w:color w:val="000000" w:themeColor="text1"/>
          <w:sz w:val="16"/>
          <w:szCs w:val="16"/>
        </w:rPr>
      </w:pPr>
    </w:p>
    <w:p w14:paraId="2455F5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марта 1935 Россия передала КВЖД Японии (2100) - продала свою долю (3907,191).</w:t>
      </w:r>
    </w:p>
    <w:p w14:paraId="10C337D4" w14:textId="77777777" w:rsidR="00D4105E" w:rsidRPr="00E14102" w:rsidRDefault="00D4105E" w:rsidP="00E14102">
      <w:pPr>
        <w:autoSpaceDE w:val="0"/>
        <w:autoSpaceDN w:val="0"/>
        <w:adjustRightInd w:val="0"/>
        <w:jc w:val="both"/>
        <w:rPr>
          <w:color w:val="000000" w:themeColor="text1"/>
          <w:sz w:val="16"/>
          <w:szCs w:val="16"/>
        </w:rPr>
      </w:pPr>
    </w:p>
    <w:p w14:paraId="2C4173A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5FE3A2F" w14:textId="77777777" w:rsidR="00D4105E" w:rsidRPr="00E14102" w:rsidRDefault="00D4105E" w:rsidP="00E14102">
      <w:pPr>
        <w:autoSpaceDE w:val="0"/>
        <w:autoSpaceDN w:val="0"/>
        <w:adjustRightInd w:val="0"/>
        <w:jc w:val="both"/>
        <w:rPr>
          <w:iCs/>
          <w:color w:val="000000" w:themeColor="text1"/>
          <w:sz w:val="16"/>
          <w:szCs w:val="16"/>
        </w:rPr>
      </w:pPr>
    </w:p>
    <w:p w14:paraId="650B14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22 марта 1935 Персия была переименована в Иран (2100).</w:t>
      </w:r>
    </w:p>
    <w:p w14:paraId="75218D77" w14:textId="77777777" w:rsidR="00D4105E" w:rsidRPr="00E14102" w:rsidRDefault="00D4105E" w:rsidP="00E14102">
      <w:pPr>
        <w:autoSpaceDE w:val="0"/>
        <w:autoSpaceDN w:val="0"/>
        <w:adjustRightInd w:val="0"/>
        <w:jc w:val="both"/>
        <w:rPr>
          <w:color w:val="000000" w:themeColor="text1"/>
          <w:sz w:val="16"/>
          <w:szCs w:val="16"/>
        </w:rPr>
      </w:pPr>
    </w:p>
    <w:p w14:paraId="233CF94E" w14:textId="77777777" w:rsidR="00DD2250" w:rsidRPr="00E14102" w:rsidRDefault="00DD2250" w:rsidP="00E14102">
      <w:pPr>
        <w:jc w:val="both"/>
        <w:rPr>
          <w:color w:val="000000" w:themeColor="text1"/>
          <w:sz w:val="16"/>
          <w:szCs w:val="16"/>
        </w:rPr>
      </w:pPr>
      <w:r w:rsidRPr="00E14102">
        <w:rPr>
          <w:bCs/>
          <w:color w:val="000000" w:themeColor="text1"/>
          <w:sz w:val="16"/>
          <w:szCs w:val="16"/>
        </w:rPr>
        <w:t>22 марта</w:t>
      </w:r>
      <w:r w:rsidRPr="00E14102">
        <w:rPr>
          <w:color w:val="000000" w:themeColor="text1"/>
          <w:sz w:val="16"/>
          <w:szCs w:val="16"/>
        </w:rPr>
        <w:t xml:space="preserve"> в 1935 году анализ крови объявлен свидетельством, которое может быть использовано в суде. Первым такое нововведение появилось в штате Нью-Йорк (США) (15076).</w:t>
      </w:r>
    </w:p>
    <w:p w14:paraId="7534EE8A" w14:textId="77777777" w:rsidR="00DD2250" w:rsidRPr="00E14102" w:rsidRDefault="00DD2250" w:rsidP="00E14102">
      <w:pPr>
        <w:jc w:val="both"/>
        <w:rPr>
          <w:color w:val="000000" w:themeColor="text1"/>
          <w:sz w:val="16"/>
          <w:szCs w:val="16"/>
        </w:rPr>
      </w:pPr>
    </w:p>
    <w:p w14:paraId="0AB00FB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F584C7B" w14:textId="77777777" w:rsidR="00D4105E" w:rsidRPr="00E14102" w:rsidRDefault="00D4105E" w:rsidP="00E14102">
      <w:pPr>
        <w:autoSpaceDE w:val="0"/>
        <w:autoSpaceDN w:val="0"/>
        <w:adjustRightInd w:val="0"/>
        <w:jc w:val="both"/>
        <w:rPr>
          <w:iCs/>
          <w:color w:val="000000" w:themeColor="text1"/>
          <w:sz w:val="16"/>
          <w:szCs w:val="16"/>
        </w:rPr>
      </w:pPr>
    </w:p>
    <w:p w14:paraId="197AD2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(22 - 172,62) марта 1935 летало Звено-5 - ТБ-3 (АНТ-6) + 1 Z под фюзеляжем с подцеплением и отцеплением в воздухе (92,476). Подцепление - впервые в мире (172,62). Летчик В.А.Степанченок (438,681). После зацепления И-зет подтянули, Звено снизилось до 500 м, пролетело над аэродромом, где была комиссия ВВС, набрало высоту и на 1200 м И-зет отцепился. До 29 марта выполнили 5 удачных подцепок-отцепок И-зет (2692,8).</w:t>
      </w:r>
    </w:p>
    <w:p w14:paraId="17E8F986" w14:textId="77777777" w:rsidR="00D4105E" w:rsidRPr="00E14102" w:rsidRDefault="00D4105E" w:rsidP="00E14102">
      <w:pPr>
        <w:autoSpaceDE w:val="0"/>
        <w:autoSpaceDN w:val="0"/>
        <w:adjustRightInd w:val="0"/>
        <w:jc w:val="both"/>
        <w:rPr>
          <w:color w:val="000000" w:themeColor="text1"/>
          <w:sz w:val="16"/>
          <w:szCs w:val="16"/>
        </w:rPr>
      </w:pPr>
    </w:p>
    <w:p w14:paraId="5FB938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марта 1935 был выполнен первый полет с подцепкой самолета в воздухе (И-Z и ТБ-3, л В.А.Степанчонок) (2668).</w:t>
      </w:r>
    </w:p>
    <w:p w14:paraId="5FB6E159" w14:textId="77777777" w:rsidR="00D4105E" w:rsidRPr="00E14102" w:rsidRDefault="00D4105E" w:rsidP="00E14102">
      <w:pPr>
        <w:autoSpaceDE w:val="0"/>
        <w:autoSpaceDN w:val="0"/>
        <w:adjustRightInd w:val="0"/>
        <w:jc w:val="both"/>
        <w:rPr>
          <w:color w:val="000000" w:themeColor="text1"/>
          <w:sz w:val="16"/>
          <w:szCs w:val="16"/>
        </w:rPr>
      </w:pPr>
    </w:p>
    <w:p w14:paraId="05F00A2C" w14:textId="77777777" w:rsidR="00DD2250" w:rsidRPr="00E14102" w:rsidRDefault="00DD2250" w:rsidP="00E14102">
      <w:pPr>
        <w:jc w:val="both"/>
        <w:rPr>
          <w:color w:val="000000" w:themeColor="text1"/>
          <w:sz w:val="16"/>
          <w:szCs w:val="16"/>
        </w:rPr>
      </w:pPr>
      <w:r w:rsidRPr="00E14102">
        <w:rPr>
          <w:bCs/>
          <w:color w:val="000000" w:themeColor="text1"/>
          <w:sz w:val="16"/>
          <w:szCs w:val="16"/>
        </w:rPr>
        <w:t>23 марта</w:t>
      </w:r>
      <w:r w:rsidRPr="00E14102">
        <w:rPr>
          <w:color w:val="000000" w:themeColor="text1"/>
          <w:sz w:val="16"/>
          <w:szCs w:val="16"/>
        </w:rPr>
        <w:t xml:space="preserve"> в 1935 году к летящему самолету </w:t>
      </w:r>
      <w:hyperlink r:id="rId66" w:tgtFrame="_blank" w:history="1">
        <w:r w:rsidRPr="00E14102">
          <w:rPr>
            <w:color w:val="000000" w:themeColor="text1"/>
            <w:sz w:val="16"/>
            <w:szCs w:val="16"/>
          </w:rPr>
          <w:t xml:space="preserve">«ТБ-3») </w:t>
        </w:r>
      </w:hyperlink>
      <w:r w:rsidRPr="00E14102">
        <w:rPr>
          <w:color w:val="000000" w:themeColor="text1"/>
          <w:sz w:val="16"/>
          <w:szCs w:val="16"/>
        </w:rPr>
        <w:t>впервые осуществил подцепку самолет "И-Z", подцепку осуществил летчик В.А.Степанчук (15077).</w:t>
      </w:r>
    </w:p>
    <w:p w14:paraId="64C2F09B" w14:textId="77777777" w:rsidR="00DD2250" w:rsidRPr="00E14102" w:rsidRDefault="00DD2250" w:rsidP="00E14102">
      <w:pPr>
        <w:jc w:val="both"/>
        <w:rPr>
          <w:color w:val="000000" w:themeColor="text1"/>
          <w:sz w:val="16"/>
          <w:szCs w:val="16"/>
        </w:rPr>
      </w:pPr>
    </w:p>
    <w:p w14:paraId="2595541C" w14:textId="77777777" w:rsidR="004D4862" w:rsidRPr="00E14102" w:rsidRDefault="004D4862" w:rsidP="00E14102">
      <w:pPr>
        <w:jc w:val="both"/>
        <w:rPr>
          <w:color w:val="000000" w:themeColor="text1"/>
          <w:sz w:val="16"/>
          <w:szCs w:val="16"/>
        </w:rPr>
      </w:pPr>
      <w:r w:rsidRPr="00E14102">
        <w:rPr>
          <w:color w:val="000000" w:themeColor="text1"/>
          <w:sz w:val="16"/>
          <w:szCs w:val="16"/>
        </w:rPr>
        <w:t xml:space="preserve">23 марта 1935 впервые в истории авиации была выполнена подцепка одного самолёта к другому в полёте. Произошло это на высоте 1700 м при скорости 140 км/ч. «Самолёт „ЗЕТ“ после вполне нормальных подходов к штанге на третьем зацепился. Никаких колебаний и вибраций у самолёта „ЗЕТ“ не наблюдалось. После подцепки самолёт „ЗЕТ“ подтянули. Всё „звено“ снизилось в таком положении до 500 м для демонстрации начальнику Управления ВВС РККА, находившемуся на аэродроме. После была набрана высота 1200 м, ферма с самолётом „ЗЕТ“ опущена на 20 оборотов и самолёт „ЗЕТ“ отцепился вполне нормально», — сказано в отчёте </w:t>
      </w:r>
      <w:hyperlink r:id="rId67" w:history="1">
        <w:r w:rsidRPr="00E14102">
          <w:rPr>
            <w:color w:val="000000" w:themeColor="text1"/>
            <w:sz w:val="16"/>
            <w:szCs w:val="16"/>
          </w:rPr>
          <w:t>[90]</w:t>
        </w:r>
      </w:hyperlink>
      <w:r w:rsidRPr="00E14102">
        <w:rPr>
          <w:color w:val="000000" w:themeColor="text1"/>
          <w:sz w:val="16"/>
          <w:szCs w:val="16"/>
        </w:rPr>
        <w:t xml:space="preserve"> .</w:t>
      </w:r>
    </w:p>
    <w:p w14:paraId="6CC87BED" w14:textId="77777777" w:rsidR="004D4862" w:rsidRPr="00E14102" w:rsidRDefault="004D4862" w:rsidP="00E14102">
      <w:pPr>
        <w:jc w:val="both"/>
        <w:rPr>
          <w:color w:val="000000" w:themeColor="text1"/>
          <w:sz w:val="16"/>
          <w:szCs w:val="16"/>
        </w:rPr>
      </w:pPr>
      <w:r w:rsidRPr="00E14102">
        <w:rPr>
          <w:color w:val="000000" w:themeColor="text1"/>
          <w:sz w:val="16"/>
          <w:szCs w:val="16"/>
        </w:rPr>
        <w:t>29 марта Степанчёнок, несмотря на болтанку в воздухе, осуществил ещё четыре подцепки и отцепки. Последняя, четвёртая, была сделана с подтягом И-Z к ТБ-3. Сама подцепка занимала 15–20 секунд, а вот на подтягивание самолёта в походное положение (крылья прижаты к колесам бомбардировщика) уходило намного больше времени — до 2,5 минут.</w:t>
      </w:r>
    </w:p>
    <w:p w14:paraId="6247376B" w14:textId="77777777" w:rsidR="004D4862" w:rsidRPr="00E14102" w:rsidRDefault="004D4862" w:rsidP="00E14102">
      <w:pPr>
        <w:jc w:val="both"/>
        <w:rPr>
          <w:color w:val="000000" w:themeColor="text1"/>
          <w:sz w:val="16"/>
          <w:szCs w:val="16"/>
        </w:rPr>
      </w:pPr>
      <w:r w:rsidRPr="00E14102">
        <w:rPr>
          <w:color w:val="000000" w:themeColor="text1"/>
          <w:sz w:val="16"/>
          <w:szCs w:val="16"/>
        </w:rPr>
        <w:t>По результатам полётов было рекомендовано разработать конструкцию захвата типа вертикальной вилки, упрощающую технику зацепления, а также спроектировать питание горючим и маслом от бомбардировщика и техническую связь с подвешенным самолётом (при испытаниях общение между экипажами осуществлялось зрительно — через бомболюк, или передачей записок) (17489).</w:t>
      </w:r>
    </w:p>
    <w:p w14:paraId="6125FBAE" w14:textId="77777777" w:rsidR="004D4862" w:rsidRPr="00E14102" w:rsidRDefault="004D4862" w:rsidP="00E14102">
      <w:pPr>
        <w:jc w:val="both"/>
        <w:rPr>
          <w:color w:val="000000" w:themeColor="text1"/>
          <w:sz w:val="16"/>
          <w:szCs w:val="16"/>
        </w:rPr>
      </w:pPr>
    </w:p>
    <w:p w14:paraId="3FB60C25" w14:textId="77777777" w:rsidR="004C5AA2" w:rsidRPr="00E14102" w:rsidRDefault="004C5AA2" w:rsidP="00E14102">
      <w:pPr>
        <w:jc w:val="both"/>
        <w:rPr>
          <w:color w:val="0070C0"/>
          <w:sz w:val="16"/>
          <w:szCs w:val="16"/>
        </w:rPr>
      </w:pPr>
      <w:r w:rsidRPr="00E14102">
        <w:rPr>
          <w:color w:val="0070C0"/>
          <w:sz w:val="16"/>
          <w:szCs w:val="16"/>
        </w:rPr>
        <w:t>23 марта 1935 г. состоялась первая в мире подцепка в воздухе самолета под само</w:t>
      </w:r>
      <w:r w:rsidRPr="00E14102">
        <w:rPr>
          <w:color w:val="0070C0"/>
          <w:sz w:val="16"/>
          <w:szCs w:val="16"/>
        </w:rPr>
        <w:softHyphen/>
        <w:t>лет. После зацепления за поперечину трапеции, опу</w:t>
      </w:r>
      <w:r w:rsidRPr="00E14102">
        <w:rPr>
          <w:color w:val="0070C0"/>
          <w:sz w:val="16"/>
          <w:szCs w:val="16"/>
        </w:rPr>
        <w:softHyphen/>
        <w:t>щенной из-под фюзеляжа ТБ-3, истребитель И-ЗЕТ был подтянут и зафиксирован на замках, далее «Звено-5» сни</w:t>
      </w:r>
      <w:r w:rsidRPr="00E14102">
        <w:rPr>
          <w:color w:val="0070C0"/>
          <w:sz w:val="16"/>
          <w:szCs w:val="16"/>
        </w:rPr>
        <w:softHyphen/>
        <w:t>зилось до 500 м и пролетело над аэродромом, где нахо</w:t>
      </w:r>
      <w:r w:rsidRPr="00E14102">
        <w:rPr>
          <w:color w:val="0070C0"/>
          <w:sz w:val="16"/>
          <w:szCs w:val="16"/>
        </w:rPr>
        <w:softHyphen/>
        <w:t>дилась комиссия ВВС. От</w:t>
      </w:r>
      <w:r w:rsidRPr="00E14102">
        <w:rPr>
          <w:color w:val="0070C0"/>
          <w:sz w:val="16"/>
          <w:szCs w:val="16"/>
        </w:rPr>
        <w:softHyphen/>
        <w:t>цепка И-ЗЕТ состоялась на высоте 1200 метров. В по</w:t>
      </w:r>
      <w:r w:rsidRPr="00E14102">
        <w:rPr>
          <w:color w:val="0070C0"/>
          <w:sz w:val="16"/>
          <w:szCs w:val="16"/>
        </w:rPr>
        <w:softHyphen/>
        <w:t>следующие дни, вплоть до 29 марта 1935 г. было произведено еще 5 удачных воздуш</w:t>
      </w:r>
      <w:r w:rsidRPr="00E14102">
        <w:rPr>
          <w:color w:val="0070C0"/>
          <w:sz w:val="16"/>
          <w:szCs w:val="16"/>
        </w:rPr>
        <w:softHyphen/>
        <w:t>ных подцепок, осуществленных Владимиром Андрееви</w:t>
      </w:r>
      <w:r w:rsidRPr="00E14102">
        <w:rPr>
          <w:color w:val="0070C0"/>
          <w:sz w:val="16"/>
          <w:szCs w:val="16"/>
        </w:rPr>
        <w:softHyphen/>
        <w:t>чем Степанчонком.</w:t>
      </w:r>
    </w:p>
    <w:p w14:paraId="45FCB465" w14:textId="77777777" w:rsidR="004C5AA2" w:rsidRPr="00E14102" w:rsidRDefault="004C5AA2" w:rsidP="00E14102">
      <w:pPr>
        <w:jc w:val="both"/>
        <w:rPr>
          <w:color w:val="0070C0"/>
          <w:sz w:val="16"/>
          <w:szCs w:val="16"/>
        </w:rPr>
      </w:pPr>
      <w:r w:rsidRPr="00E14102">
        <w:rPr>
          <w:color w:val="0070C0"/>
          <w:sz w:val="16"/>
          <w:szCs w:val="16"/>
        </w:rPr>
        <w:t>По результатам этих полетов были сделаны следующие заключения:</w:t>
      </w:r>
    </w:p>
    <w:p w14:paraId="0AA14F13" w14:textId="77777777" w:rsidR="004C5AA2" w:rsidRPr="00E14102" w:rsidRDefault="004C5AA2" w:rsidP="00E14102">
      <w:pPr>
        <w:jc w:val="both"/>
        <w:rPr>
          <w:color w:val="0070C0"/>
          <w:sz w:val="16"/>
          <w:szCs w:val="16"/>
        </w:rPr>
      </w:pPr>
      <w:r w:rsidRPr="00E14102">
        <w:rPr>
          <w:color w:val="0070C0"/>
          <w:sz w:val="16"/>
          <w:szCs w:val="16"/>
        </w:rPr>
        <w:t>«1. Проведенные испытания показали полную возмож</w:t>
      </w:r>
      <w:r w:rsidRPr="00E14102">
        <w:rPr>
          <w:color w:val="0070C0"/>
          <w:sz w:val="16"/>
          <w:szCs w:val="16"/>
        </w:rPr>
        <w:softHyphen/>
        <w:t>ность подцепки и отцепки самолета И-ЗЕТ к самолету ТБ-3 в полете. Наличие незначительных колебаний в го</w:t>
      </w:r>
      <w:r w:rsidRPr="00E14102">
        <w:rPr>
          <w:color w:val="0070C0"/>
          <w:sz w:val="16"/>
          <w:szCs w:val="16"/>
        </w:rPr>
        <w:softHyphen/>
        <w:t>ризонтальной плоскости на процесс подцепки и отцепки не влияет.</w:t>
      </w:r>
    </w:p>
    <w:p w14:paraId="69635135" w14:textId="77777777" w:rsidR="004C5AA2" w:rsidRPr="00E14102" w:rsidRDefault="004C5AA2" w:rsidP="00E14102">
      <w:pPr>
        <w:jc w:val="both"/>
        <w:rPr>
          <w:color w:val="0070C0"/>
          <w:sz w:val="16"/>
          <w:szCs w:val="16"/>
        </w:rPr>
      </w:pPr>
      <w:r w:rsidRPr="00E14102">
        <w:rPr>
          <w:color w:val="0070C0"/>
          <w:sz w:val="16"/>
          <w:szCs w:val="16"/>
        </w:rPr>
        <w:t>Подвешенный и притянутый самолет И-ЗЕТ тенденций к срыву и колебаний вокруг всех трех осей на скоростях 125-155 км/ч не имеет. Вибраций не наблюдалось. На дру</w:t>
      </w:r>
      <w:r w:rsidRPr="00E14102">
        <w:rPr>
          <w:color w:val="0070C0"/>
          <w:sz w:val="16"/>
          <w:szCs w:val="16"/>
        </w:rPr>
        <w:softHyphen/>
        <w:t>гих режимах испытания не проводились из-за невозмож</w:t>
      </w:r>
      <w:r w:rsidRPr="00E14102">
        <w:rPr>
          <w:color w:val="0070C0"/>
          <w:sz w:val="16"/>
          <w:szCs w:val="16"/>
        </w:rPr>
        <w:softHyphen/>
        <w:t>ности плотно прижать крыло И-ЗЕТ к колесам тележки шас</w:t>
      </w:r>
      <w:r w:rsidRPr="00E14102">
        <w:rPr>
          <w:color w:val="0070C0"/>
          <w:sz w:val="16"/>
          <w:szCs w:val="16"/>
        </w:rPr>
        <w:softHyphen/>
        <w:t>си самолета ТБ-3.</w:t>
      </w:r>
    </w:p>
    <w:p w14:paraId="222F5F22" w14:textId="77777777" w:rsidR="004C5AA2" w:rsidRPr="00E14102" w:rsidRDefault="004C5AA2" w:rsidP="00E14102">
      <w:pPr>
        <w:jc w:val="both"/>
        <w:rPr>
          <w:color w:val="0070C0"/>
          <w:sz w:val="16"/>
          <w:szCs w:val="16"/>
        </w:rPr>
      </w:pPr>
      <w:r w:rsidRPr="00E14102">
        <w:rPr>
          <w:color w:val="0070C0"/>
          <w:sz w:val="16"/>
          <w:szCs w:val="16"/>
        </w:rPr>
        <w:t>Прицепленный и подтянутый самолет И-ЗЕТ позволя</w:t>
      </w:r>
      <w:r w:rsidRPr="00E14102">
        <w:rPr>
          <w:color w:val="0070C0"/>
          <w:sz w:val="16"/>
          <w:szCs w:val="16"/>
        </w:rPr>
        <w:softHyphen/>
        <w:t>ет осуществлять полет с брошенной ручкой.</w:t>
      </w:r>
    </w:p>
    <w:p w14:paraId="0E615F04" w14:textId="77777777" w:rsidR="004C5AA2" w:rsidRPr="00E14102" w:rsidRDefault="004C5AA2" w:rsidP="00E14102">
      <w:pPr>
        <w:jc w:val="both"/>
        <w:rPr>
          <w:color w:val="0070C0"/>
          <w:sz w:val="16"/>
          <w:szCs w:val="16"/>
        </w:rPr>
      </w:pPr>
      <w:r w:rsidRPr="00E14102">
        <w:rPr>
          <w:color w:val="0070C0"/>
          <w:sz w:val="16"/>
          <w:szCs w:val="16"/>
        </w:rPr>
        <w:t>Связь в полете при осуществлении подцепки зритель</w:t>
      </w:r>
      <w:r w:rsidRPr="00E14102">
        <w:rPr>
          <w:color w:val="0070C0"/>
          <w:sz w:val="16"/>
          <w:szCs w:val="16"/>
        </w:rPr>
        <w:softHyphen/>
        <w:t>ная и при помощи записок.</w:t>
      </w:r>
    </w:p>
    <w:p w14:paraId="4886D0C1" w14:textId="77777777" w:rsidR="004C5AA2" w:rsidRPr="00E14102" w:rsidRDefault="004C5AA2" w:rsidP="00E14102">
      <w:pPr>
        <w:jc w:val="both"/>
        <w:rPr>
          <w:color w:val="0070C0"/>
          <w:sz w:val="16"/>
          <w:szCs w:val="16"/>
        </w:rPr>
      </w:pPr>
      <w:r w:rsidRPr="00E14102">
        <w:rPr>
          <w:color w:val="0070C0"/>
          <w:sz w:val="16"/>
          <w:szCs w:val="16"/>
        </w:rPr>
        <w:t>Считать систему 3-5 прошедшей испытания, продолжать ее совершенствовать...» (20345).</w:t>
      </w:r>
    </w:p>
    <w:p w14:paraId="77034DB5" w14:textId="77777777" w:rsidR="004C5AA2" w:rsidRPr="00E14102" w:rsidRDefault="004C5AA2" w:rsidP="00E14102">
      <w:pPr>
        <w:jc w:val="both"/>
        <w:rPr>
          <w:color w:val="0070C0"/>
          <w:sz w:val="16"/>
          <w:szCs w:val="16"/>
        </w:rPr>
      </w:pPr>
    </w:p>
    <w:p w14:paraId="27DCFCB3" w14:textId="77777777" w:rsidR="004C5AA2" w:rsidRPr="00E14102" w:rsidRDefault="004C5AA2" w:rsidP="00E14102">
      <w:pPr>
        <w:jc w:val="both"/>
        <w:rPr>
          <w:color w:val="0070C0"/>
          <w:sz w:val="16"/>
          <w:szCs w:val="16"/>
        </w:rPr>
      </w:pPr>
      <w:r w:rsidRPr="00E14102">
        <w:rPr>
          <w:color w:val="0070C0"/>
          <w:sz w:val="16"/>
          <w:szCs w:val="16"/>
        </w:rPr>
        <w:t>23 марта 1935 директор завода № 21 информировал старшего военпреда П.С. Сладкова, что заводом № 21 на 1935 год помимо разработки двух эталонов намечены опытные работы по созданию четырехпулеметного варианта самолета И-16 по заданию М.Н. Тухачевского со сроком выхода его 25 апреля 1935 года, разработка учебно-тренировочного варианта машины И 16 (тип № 8) с выпуском ее к 1 мая и экспериментальные работы по установке мотора М-58 на самолет И-16 учебно-тренировочного варианта. Срок выпуска машины – 1 июля текущего года (23033).</w:t>
      </w:r>
    </w:p>
    <w:p w14:paraId="63D718A5" w14:textId="77777777" w:rsidR="004C5AA2" w:rsidRPr="00E14102" w:rsidRDefault="004C5AA2" w:rsidP="00E14102">
      <w:pPr>
        <w:jc w:val="both"/>
        <w:rPr>
          <w:color w:val="0070C0"/>
          <w:sz w:val="16"/>
          <w:szCs w:val="16"/>
        </w:rPr>
      </w:pPr>
    </w:p>
    <w:p w14:paraId="4DD965EE" w14:textId="77777777" w:rsidR="004C5AA2" w:rsidRPr="00E14102" w:rsidRDefault="004C5AA2" w:rsidP="00E14102">
      <w:pPr>
        <w:jc w:val="both"/>
        <w:rPr>
          <w:color w:val="0070C0"/>
          <w:sz w:val="16"/>
          <w:szCs w:val="16"/>
        </w:rPr>
      </w:pPr>
      <w:r w:rsidRPr="00E14102">
        <w:rPr>
          <w:color w:val="0070C0"/>
          <w:sz w:val="16"/>
          <w:szCs w:val="16"/>
        </w:rPr>
        <w:t>23 марта 1935</w:t>
      </w:r>
    </w:p>
    <w:p w14:paraId="28283C32" w14:textId="77777777" w:rsidR="004C5AA2" w:rsidRPr="00E14102" w:rsidRDefault="004C5AA2" w:rsidP="00E14102">
      <w:pPr>
        <w:jc w:val="both"/>
        <w:rPr>
          <w:color w:val="0070C0"/>
          <w:sz w:val="16"/>
          <w:szCs w:val="16"/>
        </w:rPr>
      </w:pPr>
      <w:r w:rsidRPr="00E14102">
        <w:rPr>
          <w:color w:val="0070C0"/>
          <w:sz w:val="16"/>
          <w:szCs w:val="16"/>
        </w:rPr>
        <w:t>СТАРШЕМУ ВОЕННОМУ ПРЕДСТАВИТЕЛЮ НА ЗАВОДЕ № 21 ТОВ. СЛАДКОВУ</w:t>
      </w:r>
    </w:p>
    <w:p w14:paraId="2A9A10C0" w14:textId="77777777" w:rsidR="004C5AA2" w:rsidRPr="00E14102" w:rsidRDefault="004C5AA2" w:rsidP="00E14102">
      <w:pPr>
        <w:jc w:val="both"/>
        <w:rPr>
          <w:color w:val="0070C0"/>
          <w:sz w:val="16"/>
          <w:szCs w:val="16"/>
        </w:rPr>
      </w:pPr>
      <w:r w:rsidRPr="00E14102">
        <w:rPr>
          <w:color w:val="0070C0"/>
          <w:sz w:val="16"/>
          <w:szCs w:val="16"/>
        </w:rPr>
        <w:t xml:space="preserve">Заводом № 21 на 1935 год намечены проведением следующие опытные </w:t>
      </w:r>
    </w:p>
    <w:p w14:paraId="73814D45" w14:textId="77777777" w:rsidR="004C5AA2" w:rsidRPr="00E14102" w:rsidRDefault="004C5AA2" w:rsidP="00E14102">
      <w:pPr>
        <w:jc w:val="both"/>
        <w:rPr>
          <w:color w:val="0070C0"/>
          <w:sz w:val="16"/>
          <w:szCs w:val="16"/>
        </w:rPr>
      </w:pPr>
      <w:r w:rsidRPr="00E14102">
        <w:rPr>
          <w:color w:val="0070C0"/>
          <w:sz w:val="16"/>
          <w:szCs w:val="16"/>
        </w:rPr>
        <w:t>работы:</w:t>
      </w:r>
    </w:p>
    <w:p w14:paraId="427E40C2" w14:textId="77777777" w:rsidR="004C5AA2" w:rsidRPr="00E14102" w:rsidRDefault="004C5AA2" w:rsidP="00E14102">
      <w:pPr>
        <w:jc w:val="both"/>
        <w:rPr>
          <w:color w:val="0070C0"/>
          <w:sz w:val="16"/>
          <w:szCs w:val="16"/>
        </w:rPr>
      </w:pPr>
      <w:r w:rsidRPr="00E14102">
        <w:rPr>
          <w:color w:val="0070C0"/>
          <w:sz w:val="16"/>
          <w:szCs w:val="16"/>
        </w:rPr>
        <w:t>1. Создание эталона сам[олета] № 1116с мотором М-22 на 1935 год с проведением на нем мелкой модификации. Срок выхода эталона 1/VI-35 г.</w:t>
      </w:r>
    </w:p>
    <w:p w14:paraId="00873383" w14:textId="77777777" w:rsidR="004C5AA2" w:rsidRPr="00E14102" w:rsidRDefault="004C5AA2" w:rsidP="00E14102">
      <w:pPr>
        <w:jc w:val="both"/>
        <w:rPr>
          <w:color w:val="0070C0"/>
          <w:sz w:val="16"/>
          <w:szCs w:val="16"/>
        </w:rPr>
      </w:pPr>
      <w:r w:rsidRPr="00E14102">
        <w:rPr>
          <w:color w:val="0070C0"/>
          <w:sz w:val="16"/>
          <w:szCs w:val="16"/>
        </w:rPr>
        <w:t>2. Модификация самолета И-16 под мотор Р.Ц. с использованием проведенной заводом № 39 работы. Срок выхода эталона l/VIII-с.г.</w:t>
      </w:r>
    </w:p>
    <w:p w14:paraId="5DCFE4AE" w14:textId="77777777" w:rsidR="004C5AA2" w:rsidRPr="00E14102" w:rsidRDefault="004C5AA2" w:rsidP="00E14102">
      <w:pPr>
        <w:jc w:val="both"/>
        <w:rPr>
          <w:color w:val="0070C0"/>
          <w:sz w:val="16"/>
          <w:szCs w:val="16"/>
        </w:rPr>
      </w:pPr>
      <w:r w:rsidRPr="00E14102">
        <w:rPr>
          <w:color w:val="0070C0"/>
          <w:sz w:val="16"/>
          <w:szCs w:val="16"/>
        </w:rPr>
        <w:t>3. Создание 4-пулеметного варианта самолета И-16 по заданию зам. Наркома обороны тов. Тухачевского. Срок выхода его 25/IV-35 года.</w:t>
      </w:r>
    </w:p>
    <w:p w14:paraId="0B84DAFB" w14:textId="77777777" w:rsidR="004C5AA2" w:rsidRPr="00E14102" w:rsidRDefault="004C5AA2" w:rsidP="00E14102">
      <w:pPr>
        <w:jc w:val="both"/>
        <w:rPr>
          <w:color w:val="0070C0"/>
          <w:sz w:val="16"/>
          <w:szCs w:val="16"/>
        </w:rPr>
      </w:pPr>
      <w:r w:rsidRPr="00E14102">
        <w:rPr>
          <w:color w:val="0070C0"/>
          <w:sz w:val="16"/>
          <w:szCs w:val="16"/>
        </w:rPr>
        <w:t>4. Создание учебно-тренировочного варианта машины И-16 (тип № 8). Срок выпуска машины 1/V-35 года.</w:t>
      </w:r>
    </w:p>
    <w:p w14:paraId="02D1801E" w14:textId="77777777" w:rsidR="004C5AA2" w:rsidRPr="00E14102" w:rsidRDefault="004C5AA2" w:rsidP="00E14102">
      <w:pPr>
        <w:jc w:val="both"/>
        <w:rPr>
          <w:color w:val="0070C0"/>
          <w:sz w:val="16"/>
          <w:szCs w:val="16"/>
        </w:rPr>
      </w:pPr>
      <w:r w:rsidRPr="00E14102">
        <w:rPr>
          <w:color w:val="0070C0"/>
          <w:sz w:val="16"/>
          <w:szCs w:val="16"/>
        </w:rPr>
        <w:t>5. Экспериментальные работы по установке мотора М-58 на самолет И-16 учебно-тренировочного варианта (тип 8). Срок выпуска машины 1/VII-35 года.</w:t>
      </w:r>
    </w:p>
    <w:p w14:paraId="3A2CA377" w14:textId="77777777" w:rsidR="004C5AA2" w:rsidRPr="00E14102" w:rsidRDefault="004C5AA2" w:rsidP="00E14102">
      <w:pPr>
        <w:jc w:val="both"/>
        <w:rPr>
          <w:color w:val="0070C0"/>
          <w:sz w:val="16"/>
          <w:szCs w:val="16"/>
        </w:rPr>
      </w:pPr>
      <w:r w:rsidRPr="00E14102">
        <w:rPr>
          <w:color w:val="0070C0"/>
          <w:sz w:val="16"/>
          <w:szCs w:val="16"/>
        </w:rPr>
        <w:t>Директор завода № 21</w:t>
      </w:r>
    </w:p>
    <w:p w14:paraId="5D87D849" w14:textId="77777777" w:rsidR="004C5AA2" w:rsidRPr="00E14102" w:rsidRDefault="004C5AA2" w:rsidP="00E14102">
      <w:pPr>
        <w:jc w:val="both"/>
        <w:rPr>
          <w:color w:val="0070C0"/>
          <w:sz w:val="16"/>
          <w:szCs w:val="16"/>
        </w:rPr>
      </w:pPr>
      <w:r w:rsidRPr="00E14102">
        <w:rPr>
          <w:color w:val="0070C0"/>
          <w:sz w:val="16"/>
          <w:szCs w:val="16"/>
        </w:rPr>
        <w:t>им. Енукидзе</w:t>
      </w:r>
      <w:r w:rsidRPr="00E14102">
        <w:rPr>
          <w:color w:val="0070C0"/>
          <w:sz w:val="16"/>
          <w:szCs w:val="16"/>
        </w:rPr>
        <w:tab/>
        <w:t>Е. МИРОШНИКОВ</w:t>
      </w:r>
    </w:p>
    <w:p w14:paraId="3F814103" w14:textId="77777777" w:rsidR="004C5AA2" w:rsidRPr="00E14102" w:rsidRDefault="004C5AA2" w:rsidP="00E14102">
      <w:pPr>
        <w:jc w:val="both"/>
        <w:rPr>
          <w:color w:val="0070C0"/>
          <w:sz w:val="16"/>
          <w:szCs w:val="16"/>
        </w:rPr>
      </w:pPr>
      <w:r w:rsidRPr="00E14102">
        <w:rPr>
          <w:color w:val="0070C0"/>
          <w:sz w:val="16"/>
          <w:szCs w:val="16"/>
        </w:rPr>
        <w:t>23/Ш- 35 г.</w:t>
      </w:r>
    </w:p>
    <w:p w14:paraId="5CA7D76C" w14:textId="77777777" w:rsidR="004C5AA2" w:rsidRPr="00E14102" w:rsidRDefault="004C5AA2" w:rsidP="00E14102">
      <w:pPr>
        <w:jc w:val="both"/>
        <w:rPr>
          <w:color w:val="0070C0"/>
          <w:sz w:val="16"/>
          <w:szCs w:val="16"/>
        </w:rPr>
      </w:pPr>
      <w:r w:rsidRPr="00E14102">
        <w:rPr>
          <w:color w:val="0070C0"/>
          <w:sz w:val="16"/>
          <w:szCs w:val="16"/>
        </w:rPr>
        <w:t>ЦАНО. Ф. 2066. Оп. 6. Д. 89. Л. 6. Копия. Машинопись (20959).</w:t>
      </w:r>
    </w:p>
    <w:p w14:paraId="2E002114" w14:textId="77777777" w:rsidR="004C5AA2" w:rsidRPr="00E14102" w:rsidRDefault="004C5AA2" w:rsidP="00E14102">
      <w:pPr>
        <w:jc w:val="both"/>
        <w:rPr>
          <w:color w:val="0070C0"/>
          <w:sz w:val="16"/>
          <w:szCs w:val="16"/>
        </w:rPr>
      </w:pPr>
    </w:p>
    <w:p w14:paraId="09352D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23-24 марта 1935 в Москве прошла первая Всесоюзная конференция АВИАВНИТО (438,681).</w:t>
      </w:r>
    </w:p>
    <w:p w14:paraId="580E7309" w14:textId="77777777" w:rsidR="00D4105E" w:rsidRPr="00E14102" w:rsidRDefault="00D4105E" w:rsidP="00E14102">
      <w:pPr>
        <w:autoSpaceDE w:val="0"/>
        <w:autoSpaceDN w:val="0"/>
        <w:adjustRightInd w:val="0"/>
        <w:jc w:val="both"/>
        <w:rPr>
          <w:color w:val="000000" w:themeColor="text1"/>
          <w:sz w:val="16"/>
          <w:szCs w:val="16"/>
        </w:rPr>
      </w:pPr>
    </w:p>
    <w:p w14:paraId="3D601143" w14:textId="77777777" w:rsidR="00AE0877" w:rsidRPr="00E14102" w:rsidRDefault="00AE0877"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9830DE2" w14:textId="77777777" w:rsidR="00AE0877" w:rsidRPr="00E14102" w:rsidRDefault="00AE0877" w:rsidP="00E14102">
      <w:pPr>
        <w:autoSpaceDE w:val="0"/>
        <w:autoSpaceDN w:val="0"/>
        <w:adjustRightInd w:val="0"/>
        <w:jc w:val="both"/>
        <w:rPr>
          <w:iCs/>
          <w:color w:val="000000" w:themeColor="text1"/>
          <w:sz w:val="16"/>
          <w:szCs w:val="16"/>
        </w:rPr>
      </w:pPr>
    </w:p>
    <w:p w14:paraId="23B86913" w14:textId="77777777" w:rsidR="00AE0877" w:rsidRPr="00E14102" w:rsidRDefault="00AE0877" w:rsidP="00E14102">
      <w:pPr>
        <w:jc w:val="both"/>
        <w:rPr>
          <w:color w:val="000000" w:themeColor="text1"/>
          <w:sz w:val="16"/>
          <w:szCs w:val="16"/>
        </w:rPr>
      </w:pPr>
      <w:r w:rsidRPr="00E14102">
        <w:rPr>
          <w:color w:val="000000" w:themeColor="text1"/>
          <w:sz w:val="16"/>
          <w:szCs w:val="16"/>
        </w:rPr>
        <w:t xml:space="preserve">23 марта 1935 г. пунктом 7 Протокольного решения СТО «О мотоциклостроении в 1935 году» постановили: «Предложить НКТяжпрому в месячный срок разработать вопрос об организации в 1936 г. производства не менее 5 тыс. штук мотоциклов с подготовкой в 1935 году к этому производству. Тип мотоциклов поручить рассмотреть НКТП и НКОбороны». На практике это решение было реализовано, в дополнение к выпуску на ПМЗ, поручением Таганрогскому инструментальному заводу им. т. Сталина (ТИЗ, позднее завод № 65 Наркомата боеприпасов) организовать производство мощных мотоциклов преимущественно военного назначения. Первоначально на ТИЗе планировали выпускать мотоциклы отечественной конструкции разработки Харьковского завода. Однако эти мотоциклы не очень подходили для военных нужд, поэтому выбор остановили на английском мотоцикле BSA образца 1931 года. Эта модель была достаточно совершенна для своего времени и имела четырехтактный, одноцилиндровый, нижнеклапанный двигатель со съемной головкой цилиндра объемом около 600 см3 . КПП на четыре передачи с постоянным зацеплением косозубых шестерен. Рама была сварена из цельнотянутых труб. Мотоцикл как одиночка мог использоваться в тяжелых условиях, но с коляской — только на хорошей европейской дороге. Альтернативой BSA мог стать изготовленный в Ленинграде на заводе «Красный Октябрь» экспериментальный мотоцикл Л-500. Машина была испытана военными, показав с одной стороны перспективность, а с другой — необходимость доводки и совершенствования конструкции. Поэтому в руководстве промышленности вернулись к идеям зимы 1929–30 гг. по освоению на предприятиях Велостроя отечественной копии английского мотоцикла, но более мощной модели. Хоть бы и не в полной мере отвечавшей предъявляемым требованиям. Для оказания технической помощи на ТИЗ были командированы Б. М. Фиттерман, Я. В. Коган, Н. А. Гуткин и др., уже имевшие опыт в мотоциклостроении. Участник работ по проектированию А-750 Я. В. Коган через некоторое время был назначен главным конструктором мотоциклов на ТИЗе. В связи с изменением требований секретности к публикациям в открытой печати, освещавшим оборонные или мобилизационные возможности страны, 11 ноября 1935 г. вышло Постановление СНК СССР № 2470 «О порядке опубликования сводок о валовой продукции промышленности. Этот документ запрещал опубликование сводок всем наркоматам и центральным учреждениям, кроме Центрального управления народного хозяйства Госплана. ЦУ НХ Госплана в свою очередь не публиковал сведения, относящиеся к оборонной тематике. Поэтому, в отличие от первых опытных работ, проводившихся в Ижевске и Харькове, в открытой печати сведения о конструкции перспективных тяжелых мотоциклов, объемах их выпуска либо не публиковались вовсе, либо содержали лишь самую общую и не всегда точную информацию. Принятый к производству отечественный вариант мотоцикла был назван АМ-600 — армейский мотоцикл с мотором объемом около 600 см3 . В ряде случаев он именовался ТИЗ-1, ТИЗ-АМ-600 или просто ТИЗ. По своей конструкции ТИЗ первоначально представлял собой практически точную копию английского прототипа, однако практика использования военными показала, что мотоцикл требует усиления, поэтому ТИЗ выпускался небольшими партиями, в которых по мере возможности внедряли более или менее значительные усовершенствования. Так, </w:t>
      </w:r>
      <w:r w:rsidRPr="00E14102">
        <w:rPr>
          <w:color w:val="000000" w:themeColor="text1"/>
          <w:sz w:val="16"/>
          <w:szCs w:val="16"/>
        </w:rPr>
        <w:lastRenderedPageBreak/>
        <w:t>верхний треугольник рамы цельнокованный на BSA, на ТИЗе изготавливался из двух труб и литых соединительных узлов, Бензобак сваривался из нескольких вручную изготовленных частей. В целом по удобству эксплуатации и надежности ТИЗ превосходил А-750, но был недостаточно мощным. Мотоциклы ТИЗ выпускались как с колясками, так и в варианте одиночек с пулеметным вооружением. Оба варианта поступали на снабжение войск НКВД и Красной Армии, и очень ограниченно — в народное хозяйство. В Красной Армии ТИЗы использовались в том числе и частями Химического управления. Был разработан специальный вариант разведчика с необходимым оборудованием, позволяющим диагностировать наличие и состав отравляющих веществ. Такие мотоциклы в годы войны были готовы к применению, однако, к счастью, использовать их в боевой обстановке не пришлось, поскольку Германия и Япония не решились на применение оружия массового поражения. Поступали ТИЗы и в Воздушно-десантные войска. В Экспериментальном институте Павла Гроховского еще в начале 1930-х гг. была разработана система парашютного десантирования мотоциклов-одиночек «Харлей-Дэвидсон». На основании полученного опыта под общим руководством конструктора Привалова в ОКБ-464 (преемник института Гроховского) была разработана и принята на вооружение система парашютного десантирования мотоцикла с коляской. В годы войны такие системы использовались для выполнения специальных задач. С конца 1935 г. ТИЗы стали поступать заказчикам, и до начала войны заводским военпредом было принято 12 392 мотоцикла. Еще 22 машины были учтены военпредом после начала войны и до эвакуации завода (19776).</w:t>
      </w:r>
    </w:p>
    <w:p w14:paraId="74A3CCCD" w14:textId="77777777" w:rsidR="00AE0877" w:rsidRPr="00E14102" w:rsidRDefault="00AE0877" w:rsidP="00E14102">
      <w:pPr>
        <w:jc w:val="both"/>
        <w:rPr>
          <w:color w:val="000000" w:themeColor="text1"/>
          <w:sz w:val="16"/>
          <w:szCs w:val="16"/>
        </w:rPr>
      </w:pPr>
    </w:p>
    <w:p w14:paraId="4AF4B89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2959D305" w14:textId="77777777" w:rsidR="00D4105E" w:rsidRPr="00E14102" w:rsidRDefault="00D4105E" w:rsidP="00E14102">
      <w:pPr>
        <w:autoSpaceDE w:val="0"/>
        <w:autoSpaceDN w:val="0"/>
        <w:adjustRightInd w:val="0"/>
        <w:jc w:val="both"/>
        <w:rPr>
          <w:iCs/>
          <w:color w:val="000000" w:themeColor="text1"/>
          <w:sz w:val="16"/>
          <w:szCs w:val="16"/>
        </w:rPr>
      </w:pPr>
    </w:p>
    <w:p w14:paraId="61BA4421" w14:textId="77777777" w:rsidR="004C5AA2" w:rsidRPr="00E14102" w:rsidRDefault="004C5AA2" w:rsidP="00E14102">
      <w:pPr>
        <w:jc w:val="both"/>
        <w:rPr>
          <w:color w:val="0070C0"/>
          <w:sz w:val="16"/>
          <w:szCs w:val="16"/>
        </w:rPr>
      </w:pPr>
      <w:r w:rsidRPr="00E14102">
        <w:rPr>
          <w:color w:val="0070C0"/>
          <w:sz w:val="16"/>
          <w:szCs w:val="16"/>
        </w:rPr>
        <w:t>23 марта 1935 опросом членов ПБ</w:t>
      </w:r>
    </w:p>
    <w:p w14:paraId="41D48F0A" w14:textId="77777777" w:rsidR="004C5AA2" w:rsidRPr="00E14102" w:rsidRDefault="004C5AA2" w:rsidP="00E14102">
      <w:pPr>
        <w:jc w:val="both"/>
        <w:rPr>
          <w:color w:val="0070C0"/>
          <w:sz w:val="16"/>
          <w:szCs w:val="16"/>
        </w:rPr>
      </w:pPr>
      <w:r w:rsidRPr="00E14102">
        <w:rPr>
          <w:color w:val="0070C0"/>
          <w:sz w:val="16"/>
          <w:szCs w:val="16"/>
        </w:rPr>
        <w:t>187. О посылке в Турцию парашютистов.</w:t>
      </w:r>
    </w:p>
    <w:p w14:paraId="12803F70" w14:textId="77777777" w:rsidR="004C5AA2" w:rsidRPr="00E14102" w:rsidRDefault="004C5AA2" w:rsidP="00E14102">
      <w:pPr>
        <w:jc w:val="both"/>
        <w:rPr>
          <w:color w:val="0070C0"/>
          <w:sz w:val="16"/>
          <w:szCs w:val="16"/>
        </w:rPr>
      </w:pPr>
      <w:r w:rsidRPr="00E14102">
        <w:rPr>
          <w:color w:val="0070C0"/>
          <w:sz w:val="16"/>
          <w:szCs w:val="16"/>
        </w:rPr>
        <w:t>(ПБ от 11.Ш.35 г., пр. № 25, п. 80).</w:t>
      </w:r>
    </w:p>
    <w:p w14:paraId="5D0E6621" w14:textId="77777777" w:rsidR="004C5AA2" w:rsidRPr="00E14102" w:rsidRDefault="004C5AA2" w:rsidP="00E14102">
      <w:pPr>
        <w:jc w:val="both"/>
        <w:rPr>
          <w:color w:val="0070C0"/>
          <w:sz w:val="16"/>
          <w:szCs w:val="16"/>
        </w:rPr>
      </w:pPr>
      <w:r w:rsidRPr="00E14102">
        <w:rPr>
          <w:color w:val="0070C0"/>
          <w:sz w:val="16"/>
          <w:szCs w:val="16"/>
        </w:rPr>
        <w:t>Утвердить кандидатуры инструкторов по планерному и парашютному делу для посылки в Турцию:</w:t>
      </w:r>
    </w:p>
    <w:p w14:paraId="0C70F3E8" w14:textId="77777777" w:rsidR="004C5AA2" w:rsidRPr="00E14102" w:rsidRDefault="004C5AA2" w:rsidP="00E14102">
      <w:pPr>
        <w:jc w:val="both"/>
        <w:rPr>
          <w:color w:val="0070C0"/>
          <w:sz w:val="16"/>
          <w:szCs w:val="16"/>
        </w:rPr>
      </w:pPr>
      <w:r w:rsidRPr="00E14102">
        <w:rPr>
          <w:color w:val="0070C0"/>
          <w:sz w:val="16"/>
          <w:szCs w:val="16"/>
        </w:rPr>
        <w:t>1) Тов. Анохина О.И. - инструктора высшей планерной школы Осоавиахима в Коктебеле и</w:t>
      </w:r>
    </w:p>
    <w:p w14:paraId="6449BEAE" w14:textId="77777777" w:rsidR="004C5AA2" w:rsidRPr="00E14102" w:rsidRDefault="004C5AA2" w:rsidP="00E14102">
      <w:pPr>
        <w:jc w:val="both"/>
        <w:rPr>
          <w:color w:val="0070C0"/>
          <w:sz w:val="16"/>
          <w:szCs w:val="16"/>
        </w:rPr>
      </w:pPr>
      <w:r w:rsidRPr="00E14102">
        <w:rPr>
          <w:color w:val="0070C0"/>
          <w:sz w:val="16"/>
          <w:szCs w:val="16"/>
        </w:rPr>
        <w:t>2) Тов.Романова М.Ф. - инструктора Московской пла</w:t>
      </w:r>
      <w:r w:rsidRPr="00E14102">
        <w:rPr>
          <w:color w:val="0070C0"/>
          <w:sz w:val="16"/>
          <w:szCs w:val="16"/>
        </w:rPr>
        <w:softHyphen/>
        <w:t>нерной школы Осоавиахима.</w:t>
      </w:r>
    </w:p>
    <w:p w14:paraId="7C250A46" w14:textId="77777777" w:rsidR="004C5AA2" w:rsidRPr="00E14102" w:rsidRDefault="004C5AA2" w:rsidP="00E14102">
      <w:pPr>
        <w:jc w:val="both"/>
        <w:rPr>
          <w:color w:val="0070C0"/>
          <w:sz w:val="16"/>
          <w:szCs w:val="16"/>
        </w:rPr>
      </w:pPr>
      <w:r w:rsidRPr="00E14102">
        <w:rPr>
          <w:color w:val="0070C0"/>
          <w:sz w:val="16"/>
          <w:szCs w:val="16"/>
        </w:rPr>
        <w:t>Выписки посланы: т.т. Ворошилову, Литвинову, Броуну, Ягода.</w:t>
      </w:r>
    </w:p>
    <w:p w14:paraId="3408234E" w14:textId="77777777" w:rsidR="004C5AA2" w:rsidRPr="00E14102" w:rsidRDefault="004C5AA2" w:rsidP="00E14102">
      <w:pPr>
        <w:jc w:val="both"/>
        <w:rPr>
          <w:color w:val="0070C0"/>
          <w:sz w:val="16"/>
          <w:szCs w:val="16"/>
        </w:rPr>
      </w:pPr>
      <w:r w:rsidRPr="00E14102">
        <w:rPr>
          <w:color w:val="0070C0"/>
          <w:sz w:val="16"/>
          <w:szCs w:val="16"/>
        </w:rPr>
        <w:t>189.  Об оборудовании для.автозавода им.Сталина.</w:t>
      </w:r>
    </w:p>
    <w:p w14:paraId="373F3530" w14:textId="77777777" w:rsidR="004C5AA2" w:rsidRPr="00E14102" w:rsidRDefault="004C5AA2" w:rsidP="00E14102">
      <w:pPr>
        <w:jc w:val="both"/>
        <w:rPr>
          <w:color w:val="0070C0"/>
          <w:sz w:val="16"/>
          <w:szCs w:val="16"/>
        </w:rPr>
      </w:pPr>
      <w:r w:rsidRPr="00E14102">
        <w:rPr>
          <w:color w:val="0070C0"/>
          <w:sz w:val="16"/>
          <w:szCs w:val="16"/>
        </w:rPr>
        <w:t>1) Первый взнос за КВЖД в размере 23.360 мил.иен обратить целиком на закупку оборудования для завода ЗИС, переведя эти деньги в распоряжение Госбанка.</w:t>
      </w:r>
    </w:p>
    <w:p w14:paraId="0EE841B7" w14:textId="77777777" w:rsidR="004C5AA2" w:rsidRPr="00E14102" w:rsidRDefault="004C5AA2" w:rsidP="00E14102">
      <w:pPr>
        <w:jc w:val="both"/>
        <w:rPr>
          <w:color w:val="0070C0"/>
          <w:sz w:val="16"/>
          <w:szCs w:val="16"/>
        </w:rPr>
      </w:pPr>
      <w:r w:rsidRPr="00E14102">
        <w:rPr>
          <w:color w:val="0070C0"/>
          <w:sz w:val="16"/>
          <w:szCs w:val="16"/>
        </w:rPr>
        <w:t>2) Приобретение ооопудования осуществить в Амери</w:t>
      </w:r>
      <w:r w:rsidRPr="00E14102">
        <w:rPr>
          <w:color w:val="0070C0"/>
          <w:sz w:val="16"/>
          <w:szCs w:val="16"/>
        </w:rPr>
        <w:softHyphen/>
        <w:t>ке и в Англии за наличный расчет, а в Германии в кредит в счет полученного от Германии кредита.</w:t>
      </w:r>
    </w:p>
    <w:p w14:paraId="7F2DC3B2" w14:textId="77777777" w:rsidR="004C5AA2" w:rsidRPr="00E14102" w:rsidRDefault="004C5AA2" w:rsidP="00E14102">
      <w:pPr>
        <w:jc w:val="both"/>
        <w:rPr>
          <w:color w:val="0070C0"/>
          <w:sz w:val="16"/>
          <w:szCs w:val="16"/>
        </w:rPr>
      </w:pPr>
      <w:r w:rsidRPr="00E14102">
        <w:rPr>
          <w:color w:val="0070C0"/>
          <w:sz w:val="16"/>
          <w:szCs w:val="16"/>
        </w:rPr>
        <w:t>3) Оплату заказов производить банку немедленно рас</w:t>
      </w:r>
      <w:r w:rsidRPr="00E14102">
        <w:rPr>
          <w:color w:val="0070C0"/>
          <w:sz w:val="16"/>
          <w:szCs w:val="16"/>
        </w:rPr>
        <w:softHyphen/>
        <w:t>поряжением Наркомвнешторга по согласованию с. т. Орджо</w:t>
      </w:r>
      <w:r w:rsidRPr="00E14102">
        <w:rPr>
          <w:color w:val="0070C0"/>
          <w:sz w:val="16"/>
          <w:szCs w:val="16"/>
        </w:rPr>
        <w:softHyphen/>
        <w:t>никидзе.</w:t>
      </w:r>
    </w:p>
    <w:p w14:paraId="19B9890A" w14:textId="77777777" w:rsidR="004C5AA2" w:rsidRPr="00E14102" w:rsidRDefault="004C5AA2" w:rsidP="00E14102">
      <w:pPr>
        <w:jc w:val="both"/>
        <w:rPr>
          <w:color w:val="0070C0"/>
          <w:sz w:val="16"/>
          <w:szCs w:val="16"/>
        </w:rPr>
      </w:pPr>
      <w:r w:rsidRPr="00E14102">
        <w:rPr>
          <w:color w:val="0070C0"/>
          <w:sz w:val="16"/>
          <w:szCs w:val="16"/>
        </w:rPr>
        <w:t>4) Предложить Наркомтяжу дать.Наркомвнешторгу не</w:t>
      </w:r>
      <w:r w:rsidRPr="00E14102">
        <w:rPr>
          <w:color w:val="0070C0"/>
          <w:sz w:val="16"/>
          <w:szCs w:val="16"/>
        </w:rPr>
        <w:softHyphen/>
        <w:t>медленно перечень и спецификации заказов для оформления.</w:t>
      </w:r>
    </w:p>
    <w:p w14:paraId="7DCB0465" w14:textId="77777777" w:rsidR="004C5AA2" w:rsidRPr="00E14102" w:rsidRDefault="004C5AA2" w:rsidP="00E14102">
      <w:pPr>
        <w:jc w:val="both"/>
        <w:rPr>
          <w:color w:val="0070C0"/>
          <w:sz w:val="16"/>
          <w:szCs w:val="16"/>
        </w:rPr>
      </w:pPr>
      <w:r w:rsidRPr="00E14102">
        <w:rPr>
          <w:color w:val="0070C0"/>
          <w:sz w:val="16"/>
          <w:szCs w:val="16"/>
        </w:rPr>
        <w:t>5) Закупку производить в срочном порядке и безо всякой волокиты.</w:t>
      </w:r>
    </w:p>
    <w:p w14:paraId="707486A2" w14:textId="77777777" w:rsidR="004C5AA2" w:rsidRPr="00E14102" w:rsidRDefault="004C5AA2" w:rsidP="00E14102">
      <w:pPr>
        <w:jc w:val="both"/>
        <w:rPr>
          <w:color w:val="0070C0"/>
          <w:sz w:val="16"/>
          <w:szCs w:val="16"/>
        </w:rPr>
      </w:pPr>
      <w:r w:rsidRPr="00E14102">
        <w:rPr>
          <w:color w:val="0070C0"/>
          <w:sz w:val="16"/>
          <w:szCs w:val="16"/>
        </w:rPr>
        <w:t>6) Предоставить право т. Лихачеву на месте заграни</w:t>
      </w:r>
      <w:r w:rsidRPr="00E14102">
        <w:rPr>
          <w:color w:val="0070C0"/>
          <w:sz w:val="16"/>
          <w:szCs w:val="16"/>
        </w:rPr>
        <w:softHyphen/>
        <w:t>цей заменять одни марки другими по соглашению с соответствующими торгпредами в пределах отпущенных сумм.</w:t>
      </w:r>
    </w:p>
    <w:p w14:paraId="415DDD14" w14:textId="77777777" w:rsidR="004C5AA2" w:rsidRPr="00E14102" w:rsidRDefault="004C5AA2" w:rsidP="00E14102">
      <w:pPr>
        <w:jc w:val="both"/>
        <w:rPr>
          <w:color w:val="0070C0"/>
          <w:sz w:val="16"/>
          <w:szCs w:val="16"/>
        </w:rPr>
      </w:pPr>
      <w:r w:rsidRPr="00E14102">
        <w:rPr>
          <w:color w:val="0070C0"/>
          <w:sz w:val="16"/>
          <w:szCs w:val="16"/>
        </w:rPr>
        <w:t>7) Подавляющую часть оборудования закупить в Аме</w:t>
      </w:r>
      <w:r w:rsidRPr="00E14102">
        <w:rPr>
          <w:color w:val="0070C0"/>
          <w:sz w:val="16"/>
          <w:szCs w:val="16"/>
        </w:rPr>
        <w:softHyphen/>
        <w:t>рике.</w:t>
      </w:r>
    </w:p>
    <w:p w14:paraId="48F71537" w14:textId="77777777" w:rsidR="004C5AA2" w:rsidRPr="00E14102" w:rsidRDefault="004C5AA2" w:rsidP="00E14102">
      <w:pPr>
        <w:jc w:val="both"/>
        <w:rPr>
          <w:color w:val="0070C0"/>
          <w:sz w:val="16"/>
          <w:szCs w:val="16"/>
        </w:rPr>
      </w:pPr>
      <w:r w:rsidRPr="00E14102">
        <w:rPr>
          <w:color w:val="0070C0"/>
          <w:sz w:val="16"/>
          <w:szCs w:val="16"/>
        </w:rPr>
        <w:t>8) Этим постановлением считать аннулированном пре</w:t>
      </w:r>
      <w:r w:rsidRPr="00E14102">
        <w:rPr>
          <w:color w:val="0070C0"/>
          <w:sz w:val="16"/>
          <w:szCs w:val="16"/>
        </w:rPr>
        <w:softHyphen/>
        <w:t>дыдущее постановление Политбюро от-11.Ш.35г. о 10 млн. золотых рублей.</w:t>
      </w:r>
    </w:p>
    <w:p w14:paraId="49F5CDB9" w14:textId="77777777" w:rsidR="004C5AA2" w:rsidRPr="00E14102" w:rsidRDefault="004C5AA2" w:rsidP="00E14102">
      <w:pPr>
        <w:jc w:val="both"/>
        <w:rPr>
          <w:color w:val="0070C0"/>
          <w:sz w:val="16"/>
          <w:szCs w:val="16"/>
        </w:rPr>
      </w:pPr>
      <w:r w:rsidRPr="00E14102">
        <w:rPr>
          <w:color w:val="0070C0"/>
          <w:sz w:val="16"/>
          <w:szCs w:val="16"/>
        </w:rPr>
        <w:t>Выписки посланы: т.т.Орджоникидзе, Розенгольцу, Лихачеву.</w:t>
      </w:r>
    </w:p>
    <w:p w14:paraId="75E21DE0" w14:textId="77777777" w:rsidR="004C5AA2" w:rsidRPr="00E14102" w:rsidRDefault="004C5AA2" w:rsidP="00E14102">
      <w:pPr>
        <w:tabs>
          <w:tab w:val="left" w:pos="5378"/>
        </w:tabs>
        <w:jc w:val="both"/>
        <w:rPr>
          <w:color w:val="0070C0"/>
          <w:sz w:val="16"/>
          <w:szCs w:val="16"/>
        </w:rPr>
      </w:pPr>
      <w:r w:rsidRPr="00E14102">
        <w:rPr>
          <w:color w:val="0070C0"/>
          <w:sz w:val="16"/>
          <w:szCs w:val="16"/>
          <w:lang w:bidi="ru-RU"/>
        </w:rPr>
        <w:t>(ПРОТОКОЛ № 23 ЗАСЕДАНИЯ ПОЛИТБЮРО ЦК ВКП(б) от 3 АПРЕЛЯ 1935 года. (Особый №) (22928).</w:t>
      </w:r>
    </w:p>
    <w:p w14:paraId="7EA11B40" w14:textId="77777777" w:rsidR="004C5AA2" w:rsidRPr="00E14102" w:rsidRDefault="004C5AA2" w:rsidP="00E14102">
      <w:pPr>
        <w:jc w:val="both"/>
        <w:rPr>
          <w:color w:val="0070C0"/>
          <w:sz w:val="16"/>
          <w:szCs w:val="16"/>
        </w:rPr>
      </w:pPr>
    </w:p>
    <w:p w14:paraId="760124B4" w14:textId="77777777" w:rsidR="00DD2250" w:rsidRPr="00E14102" w:rsidRDefault="00DD2250" w:rsidP="00E14102">
      <w:pPr>
        <w:jc w:val="both"/>
        <w:rPr>
          <w:color w:val="000000" w:themeColor="text1"/>
          <w:sz w:val="16"/>
          <w:szCs w:val="16"/>
        </w:rPr>
      </w:pPr>
      <w:r w:rsidRPr="00E14102">
        <w:rPr>
          <w:bCs/>
          <w:color w:val="000000" w:themeColor="text1"/>
          <w:sz w:val="16"/>
          <w:szCs w:val="16"/>
        </w:rPr>
        <w:t>23 марта</w:t>
      </w:r>
      <w:r w:rsidRPr="00E14102">
        <w:rPr>
          <w:color w:val="000000" w:themeColor="text1"/>
          <w:sz w:val="16"/>
          <w:szCs w:val="16"/>
        </w:rPr>
        <w:t xml:space="preserve"> в 1935 году подписано соглашение между Советским Союзом и марионеточным государством Маньчжоу-го, созданным японцами на северовостоке Китая. По этому соглашению Маньчжоу-го выкупила у Советского Союза, как наследника Российской империи, Китайско-восточную железную дорогу - КВЖД (15077).</w:t>
      </w:r>
    </w:p>
    <w:p w14:paraId="24EA0EF2" w14:textId="77777777" w:rsidR="00DD2250" w:rsidRPr="00E14102" w:rsidRDefault="00DD2250" w:rsidP="00E14102">
      <w:pPr>
        <w:jc w:val="both"/>
        <w:rPr>
          <w:color w:val="000000" w:themeColor="text1"/>
          <w:sz w:val="16"/>
          <w:szCs w:val="16"/>
        </w:rPr>
      </w:pPr>
    </w:p>
    <w:p w14:paraId="424C0FA3" w14:textId="77777777" w:rsidR="001D4E5C" w:rsidRPr="00E14102" w:rsidRDefault="001D4E5C" w:rsidP="00E14102">
      <w:pPr>
        <w:jc w:val="both"/>
        <w:rPr>
          <w:color w:val="000000" w:themeColor="text1"/>
          <w:sz w:val="16"/>
          <w:szCs w:val="16"/>
        </w:rPr>
      </w:pPr>
      <w:r w:rsidRPr="00E14102">
        <w:rPr>
          <w:color w:val="000000" w:themeColor="text1"/>
          <w:sz w:val="16"/>
          <w:szCs w:val="16"/>
        </w:rPr>
        <w:t>23 марта 1935 года было подписано «Соглашение между СССР и Маньчжоу-Го об уступке Маньчжоу-Го прав Союза Советских Социалистических Республик в отношении Китайско-Восточной железной дороги» (Северо-Маньчжурской железной дороги). Кроме этого был произведен еще ряд менее значительных уступок в пользу Японии. Однако, несмотря на то, что Москва удовлетворяла практически все требования Токио, Япония так и не пошла на заключение советско-японского пакта о ненападении и отношения между странами носили характер полной неопределенности (18275).</w:t>
      </w:r>
    </w:p>
    <w:p w14:paraId="7B00C31E" w14:textId="77777777" w:rsidR="001D4E5C" w:rsidRPr="00E14102" w:rsidRDefault="001D4E5C" w:rsidP="00E14102">
      <w:pPr>
        <w:jc w:val="both"/>
        <w:rPr>
          <w:color w:val="000000" w:themeColor="text1"/>
          <w:sz w:val="16"/>
          <w:szCs w:val="16"/>
        </w:rPr>
      </w:pPr>
    </w:p>
    <w:p w14:paraId="674A4D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марта 1935 был подписан договор с Японией о продаже прав на КВЖД (1348,242), а по другим данным не с Японией, а с Манчжлу-Го (2443,409).</w:t>
      </w:r>
    </w:p>
    <w:p w14:paraId="287D04B7" w14:textId="77777777" w:rsidR="00D4105E" w:rsidRPr="00E14102" w:rsidRDefault="00D4105E" w:rsidP="00E14102">
      <w:pPr>
        <w:autoSpaceDE w:val="0"/>
        <w:autoSpaceDN w:val="0"/>
        <w:adjustRightInd w:val="0"/>
        <w:jc w:val="both"/>
        <w:rPr>
          <w:color w:val="000000" w:themeColor="text1"/>
          <w:sz w:val="16"/>
          <w:szCs w:val="16"/>
        </w:rPr>
      </w:pPr>
    </w:p>
    <w:p w14:paraId="5F2A96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марта 1935 СССР продает Японии свою долю в Китайской дальневосточной железной дороге (на территории Маньчжурии) (4962).</w:t>
      </w:r>
    </w:p>
    <w:p w14:paraId="7FD40BA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4D06BD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марта 1935 СССР продал Манчжурии Китайско-Восточную железную дорогу (4962).</w:t>
      </w:r>
    </w:p>
    <w:p w14:paraId="4AC63DA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238C12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656F4EC" w14:textId="77777777" w:rsidR="00D4105E" w:rsidRPr="00E14102" w:rsidRDefault="00D4105E" w:rsidP="00E14102">
      <w:pPr>
        <w:autoSpaceDE w:val="0"/>
        <w:autoSpaceDN w:val="0"/>
        <w:adjustRightInd w:val="0"/>
        <w:jc w:val="both"/>
        <w:rPr>
          <w:iCs/>
          <w:color w:val="000000" w:themeColor="text1"/>
          <w:sz w:val="16"/>
          <w:szCs w:val="16"/>
        </w:rPr>
      </w:pPr>
    </w:p>
    <w:p w14:paraId="10FECF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марта 1935 Франция, Италия и Британия пришли к соглашению образовать фронт в противовес Германии (2100).</w:t>
      </w:r>
    </w:p>
    <w:p w14:paraId="1A7CDC1F" w14:textId="77777777" w:rsidR="00D4105E" w:rsidRPr="00E14102" w:rsidRDefault="00D4105E" w:rsidP="00E14102">
      <w:pPr>
        <w:autoSpaceDE w:val="0"/>
        <w:autoSpaceDN w:val="0"/>
        <w:adjustRightInd w:val="0"/>
        <w:jc w:val="both"/>
        <w:rPr>
          <w:color w:val="000000" w:themeColor="text1"/>
          <w:sz w:val="16"/>
          <w:szCs w:val="16"/>
        </w:rPr>
      </w:pPr>
    </w:p>
    <w:p w14:paraId="43155D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марта 1935 Франция, Великобритания и Италия назначили проведение в г. Стрезе (Италия) специальной конференции трех держав для обсуждения создавшегося положения в Германии в связи с нарушением Версальского договора (3871).</w:t>
      </w:r>
    </w:p>
    <w:p w14:paraId="25A6CE0B" w14:textId="77777777" w:rsidR="00D4105E" w:rsidRPr="00E14102" w:rsidRDefault="00D4105E" w:rsidP="00E14102">
      <w:pPr>
        <w:autoSpaceDE w:val="0"/>
        <w:autoSpaceDN w:val="0"/>
        <w:adjustRightInd w:val="0"/>
        <w:jc w:val="both"/>
        <w:rPr>
          <w:color w:val="000000" w:themeColor="text1"/>
          <w:sz w:val="16"/>
          <w:szCs w:val="16"/>
        </w:rPr>
      </w:pPr>
    </w:p>
    <w:p w14:paraId="0B3B508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D8CAD98" w14:textId="77777777" w:rsidR="00D4105E" w:rsidRPr="00E14102" w:rsidRDefault="00D4105E" w:rsidP="00E14102">
      <w:pPr>
        <w:autoSpaceDE w:val="0"/>
        <w:autoSpaceDN w:val="0"/>
        <w:adjustRightInd w:val="0"/>
        <w:jc w:val="both"/>
        <w:rPr>
          <w:iCs/>
          <w:color w:val="000000" w:themeColor="text1"/>
          <w:sz w:val="16"/>
          <w:szCs w:val="16"/>
        </w:rPr>
      </w:pPr>
    </w:p>
    <w:p w14:paraId="18EC91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марта 1935 М.К.Раценская установила всесоюзный женский рекорд продолжительности работы на планере, продержавшись в Крыму 7:55 (438,681).</w:t>
      </w:r>
    </w:p>
    <w:p w14:paraId="469CDA88" w14:textId="77777777" w:rsidR="00D4105E" w:rsidRPr="00E14102" w:rsidRDefault="00D4105E" w:rsidP="00E14102">
      <w:pPr>
        <w:autoSpaceDE w:val="0"/>
        <w:autoSpaceDN w:val="0"/>
        <w:adjustRightInd w:val="0"/>
        <w:jc w:val="both"/>
        <w:rPr>
          <w:color w:val="000000" w:themeColor="text1"/>
          <w:sz w:val="16"/>
          <w:szCs w:val="16"/>
        </w:rPr>
      </w:pPr>
    </w:p>
    <w:p w14:paraId="0A7880F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BF7D98C" w14:textId="77777777" w:rsidR="00D4105E" w:rsidRPr="00E14102" w:rsidRDefault="00D4105E" w:rsidP="00E14102">
      <w:pPr>
        <w:autoSpaceDE w:val="0"/>
        <w:autoSpaceDN w:val="0"/>
        <w:adjustRightInd w:val="0"/>
        <w:jc w:val="both"/>
        <w:rPr>
          <w:iCs/>
          <w:color w:val="000000" w:themeColor="text1"/>
          <w:sz w:val="16"/>
          <w:szCs w:val="16"/>
        </w:rPr>
      </w:pPr>
    </w:p>
    <w:p w14:paraId="7E619F9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24 марта 1935 в Харькове открыт памятник Тарасу Шевченко (4962).</w:t>
      </w:r>
    </w:p>
    <w:p w14:paraId="0233FB2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F371A4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FF6F899" w14:textId="77777777" w:rsidR="00D4105E" w:rsidRPr="00E14102" w:rsidRDefault="00D4105E" w:rsidP="00E14102">
      <w:pPr>
        <w:autoSpaceDE w:val="0"/>
        <w:autoSpaceDN w:val="0"/>
        <w:adjustRightInd w:val="0"/>
        <w:jc w:val="both"/>
        <w:rPr>
          <w:iCs/>
          <w:color w:val="000000" w:themeColor="text1"/>
          <w:sz w:val="16"/>
          <w:szCs w:val="16"/>
        </w:rPr>
      </w:pPr>
    </w:p>
    <w:p w14:paraId="60ABCCE9" w14:textId="77777777" w:rsidR="00DD2250" w:rsidRPr="00E14102" w:rsidRDefault="00DD2250" w:rsidP="00E14102">
      <w:pPr>
        <w:jc w:val="both"/>
        <w:rPr>
          <w:bCs/>
          <w:color w:val="000000" w:themeColor="text1"/>
          <w:sz w:val="16"/>
          <w:szCs w:val="16"/>
        </w:rPr>
      </w:pPr>
      <w:r w:rsidRPr="00E14102">
        <w:rPr>
          <w:bCs/>
          <w:color w:val="000000" w:themeColor="text1"/>
          <w:sz w:val="16"/>
          <w:szCs w:val="16"/>
        </w:rPr>
        <w:t>24 марта</w:t>
      </w:r>
      <w:r w:rsidRPr="00E14102">
        <w:rPr>
          <w:color w:val="000000" w:themeColor="text1"/>
          <w:sz w:val="16"/>
          <w:szCs w:val="16"/>
        </w:rPr>
        <w:t xml:space="preserve"> в 1935 году совершил первый полет прототип </w:t>
      </w:r>
      <w:hyperlink r:id="rId68" w:tgtFrame="_blank" w:history="1">
        <w:r w:rsidRPr="00E14102">
          <w:rPr>
            <w:color w:val="000000" w:themeColor="text1"/>
            <w:sz w:val="16"/>
            <w:szCs w:val="16"/>
          </w:rPr>
          <w:t xml:space="preserve">«М.4» «Merlin» </w:t>
        </w:r>
      </w:hyperlink>
      <w:r w:rsidRPr="00E14102">
        <w:rPr>
          <w:color w:val="000000" w:themeColor="text1"/>
          <w:sz w:val="16"/>
          <w:szCs w:val="16"/>
        </w:rPr>
        <w:t>конструкции «Miles M.3» «Falcon». и был принят для постройки ограниченной серией. Всего выпустили четыре машины этой модификации</w:t>
      </w:r>
    </w:p>
    <w:p w14:paraId="39E103DA" w14:textId="77777777" w:rsidR="00DD2250" w:rsidRPr="00E14102" w:rsidRDefault="00DD2250" w:rsidP="00E14102">
      <w:pPr>
        <w:jc w:val="both"/>
        <w:rPr>
          <w:bCs/>
          <w:color w:val="000000" w:themeColor="text1"/>
          <w:sz w:val="16"/>
          <w:szCs w:val="16"/>
        </w:rPr>
      </w:pPr>
    </w:p>
    <w:p w14:paraId="2DCD6BA1" w14:textId="77777777" w:rsidR="00B56105" w:rsidRPr="00E14102" w:rsidRDefault="00B56105" w:rsidP="00E14102">
      <w:pPr>
        <w:jc w:val="both"/>
        <w:rPr>
          <w:color w:val="0070C0"/>
          <w:sz w:val="16"/>
          <w:szCs w:val="16"/>
        </w:rPr>
      </w:pPr>
      <w:r w:rsidRPr="00E14102">
        <w:rPr>
          <w:color w:val="0070C0"/>
          <w:sz w:val="16"/>
          <w:szCs w:val="16"/>
        </w:rPr>
        <w:t xml:space="preserve">24 марта 1935 состоялся первый полет военного прототипа </w:t>
      </w:r>
      <w:r w:rsidRPr="00E14102">
        <w:rPr>
          <w:color w:val="0070C0"/>
          <w:sz w:val="16"/>
          <w:szCs w:val="16"/>
          <w:lang w:val="en-US"/>
        </w:rPr>
        <w:t>Avro</w:t>
      </w:r>
      <w:r w:rsidRPr="00E14102">
        <w:rPr>
          <w:color w:val="0070C0"/>
          <w:sz w:val="16"/>
          <w:szCs w:val="16"/>
        </w:rPr>
        <w:t xml:space="preserve"> </w:t>
      </w:r>
      <w:r w:rsidRPr="00E14102">
        <w:rPr>
          <w:color w:val="0070C0"/>
          <w:sz w:val="16"/>
          <w:szCs w:val="16"/>
          <w:lang w:val="en-US"/>
        </w:rPr>
        <w:t>Anson</w:t>
      </w:r>
      <w:r w:rsidRPr="00E14102">
        <w:rPr>
          <w:color w:val="0070C0"/>
          <w:sz w:val="16"/>
          <w:szCs w:val="16"/>
        </w:rPr>
        <w:t xml:space="preserve"> </w:t>
      </w:r>
      <w:r w:rsidRPr="00E14102">
        <w:rPr>
          <w:color w:val="0070C0"/>
          <w:sz w:val="16"/>
          <w:szCs w:val="16"/>
          <w:lang w:val="en-US"/>
        </w:rPr>
        <w:t>K</w:t>
      </w:r>
      <w:r w:rsidRPr="00E14102">
        <w:rPr>
          <w:color w:val="0070C0"/>
          <w:sz w:val="16"/>
          <w:szCs w:val="16"/>
        </w:rPr>
        <w:t>4771  (20800).</w:t>
      </w:r>
    </w:p>
    <w:p w14:paraId="3CA6D9DA" w14:textId="77777777" w:rsidR="00B56105" w:rsidRPr="00E14102" w:rsidRDefault="00B56105" w:rsidP="00E14102">
      <w:pPr>
        <w:jc w:val="both"/>
        <w:rPr>
          <w:color w:val="0070C0"/>
          <w:sz w:val="16"/>
          <w:szCs w:val="16"/>
        </w:rPr>
      </w:pPr>
    </w:p>
    <w:p w14:paraId="68005C48" w14:textId="77777777" w:rsidR="00B56105" w:rsidRPr="00E14102" w:rsidRDefault="00B56105" w:rsidP="00E14102">
      <w:pPr>
        <w:jc w:val="both"/>
        <w:rPr>
          <w:color w:val="0070C0"/>
          <w:sz w:val="16"/>
          <w:szCs w:val="16"/>
        </w:rPr>
      </w:pPr>
      <w:r w:rsidRPr="00E14102">
        <w:rPr>
          <w:color w:val="0070C0"/>
          <w:sz w:val="16"/>
          <w:szCs w:val="16"/>
        </w:rPr>
        <w:t>24 марта 1935 года — первый полёт многоцелевого самолёта Avro Anson. /Великобритания/</w:t>
      </w:r>
    </w:p>
    <w:p w14:paraId="70E1190F" w14:textId="77777777" w:rsidR="00B56105" w:rsidRPr="00E14102" w:rsidRDefault="00B56105" w:rsidP="00E14102">
      <w:pPr>
        <w:jc w:val="both"/>
        <w:rPr>
          <w:color w:val="0070C0"/>
          <w:sz w:val="16"/>
          <w:szCs w:val="16"/>
        </w:rPr>
      </w:pPr>
      <w:r w:rsidRPr="00E14102">
        <w:rPr>
          <w:color w:val="0070C0"/>
          <w:sz w:val="16"/>
          <w:szCs w:val="16"/>
        </w:rPr>
        <w:t>Авиакомпания Imperial Airways в 1933 году заказала компании Avro постройку самолёта для чартерных рейсов. Так появился Avro 652, рассчитанный на 4 пассажиров. Позднее британское авиационное министерство объявило конкурс на патрульный самолёт для Королевских ВВС. Avro предложила свой проект Anson, разработанный на базе Avro 652.</w:t>
      </w:r>
    </w:p>
    <w:p w14:paraId="068B4BAA" w14:textId="77777777" w:rsidR="00B56105" w:rsidRPr="00E14102" w:rsidRDefault="00B56105" w:rsidP="00E14102">
      <w:pPr>
        <w:jc w:val="both"/>
        <w:rPr>
          <w:color w:val="0070C0"/>
          <w:sz w:val="16"/>
          <w:szCs w:val="16"/>
        </w:rPr>
      </w:pPr>
      <w:r w:rsidRPr="00E14102">
        <w:rPr>
          <w:color w:val="0070C0"/>
          <w:sz w:val="16"/>
          <w:szCs w:val="16"/>
        </w:rPr>
        <w:t>Это был низкоплан смешанной конструкции с убирающимся шасси — крыло и горизонтальное оперение сделано из дерева, а каркас фюзеляжа выполнен из стальных труб. Устанавливались 2 × двигателя Armstrong Siddeley Cheetah IX (335 л.с). Крейсерская скорость — 254 км/ч, дальность полёта — 1060 км. Вооружение — 2 × 7,7-мм пулемёта + до 160 кг бомб.</w:t>
      </w:r>
    </w:p>
    <w:p w14:paraId="28E26BF0" w14:textId="77777777" w:rsidR="00B56105" w:rsidRPr="00E14102" w:rsidRDefault="00B56105" w:rsidP="00E14102">
      <w:pPr>
        <w:jc w:val="both"/>
        <w:rPr>
          <w:color w:val="0070C0"/>
          <w:sz w:val="16"/>
          <w:szCs w:val="16"/>
        </w:rPr>
      </w:pPr>
      <w:r w:rsidRPr="00E14102">
        <w:rPr>
          <w:color w:val="0070C0"/>
          <w:sz w:val="16"/>
          <w:szCs w:val="16"/>
        </w:rPr>
        <w:t>Avro Anson приняли на вооружение в 1936 году. Использовался во Второй мировой войне как патрульный, учебный и транспортный самолёт. Выпустили свыше 11 000 единиц Anson, эксплуатировавшихся в 36 странах мира (22300).</w:t>
      </w:r>
    </w:p>
    <w:p w14:paraId="11538BFD" w14:textId="77777777" w:rsidR="00B56105" w:rsidRPr="00E14102" w:rsidRDefault="00B56105" w:rsidP="00E14102">
      <w:pPr>
        <w:jc w:val="both"/>
        <w:rPr>
          <w:color w:val="0070C0"/>
          <w:sz w:val="16"/>
          <w:szCs w:val="16"/>
        </w:rPr>
      </w:pPr>
    </w:p>
    <w:p w14:paraId="085D89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24-26 марта 1935 прошли переговоры А.Г. с анлийскими министрами Саймоном и Иденом (3186).</w:t>
      </w:r>
    </w:p>
    <w:p w14:paraId="077796A1" w14:textId="77777777" w:rsidR="00D4105E" w:rsidRPr="00E14102" w:rsidRDefault="00D4105E" w:rsidP="00E14102">
      <w:pPr>
        <w:autoSpaceDE w:val="0"/>
        <w:autoSpaceDN w:val="0"/>
        <w:adjustRightInd w:val="0"/>
        <w:jc w:val="both"/>
        <w:rPr>
          <w:color w:val="000000" w:themeColor="text1"/>
          <w:sz w:val="16"/>
          <w:szCs w:val="16"/>
        </w:rPr>
      </w:pPr>
    </w:p>
    <w:p w14:paraId="11DA5DB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14A8E1A" w14:textId="77777777" w:rsidR="00D4105E" w:rsidRPr="00E14102" w:rsidRDefault="00D4105E" w:rsidP="00E14102">
      <w:pPr>
        <w:autoSpaceDE w:val="0"/>
        <w:autoSpaceDN w:val="0"/>
        <w:adjustRightInd w:val="0"/>
        <w:jc w:val="both"/>
        <w:rPr>
          <w:iCs/>
          <w:color w:val="000000" w:themeColor="text1"/>
          <w:sz w:val="16"/>
          <w:szCs w:val="16"/>
        </w:rPr>
      </w:pPr>
    </w:p>
    <w:p w14:paraId="243A33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марта 1935 года зам. главного арбитра при СНК Гамбург</w:t>
      </w:r>
    </w:p>
    <w:p w14:paraId="67DBFD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Протокол заседания Госарбитража при СНК в составе зам. гл. арбитра Гамбурга и представителей сторон:</w:t>
      </w:r>
    </w:p>
    <w:p w14:paraId="7D8FBA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p w14:paraId="0DFD7F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Смирнов (зам. директора)</w:t>
      </w:r>
    </w:p>
    <w:p w14:paraId="5101A0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Руденчик (технический директор)</w:t>
      </w:r>
    </w:p>
    <w:p w14:paraId="4665CE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Данатов (начальник Фин. сбыт. отдела</w:t>
      </w:r>
    </w:p>
    <w:p w14:paraId="4AB075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УВС</w:t>
      </w:r>
    </w:p>
    <w:p w14:paraId="6EA5BB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Базенков (начальник Самолетного отдела)</w:t>
      </w:r>
    </w:p>
    <w:p w14:paraId="6721B9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Галдин (начальник отдела)</w:t>
      </w:r>
    </w:p>
    <w:p w14:paraId="13C705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Обижаев (инженер кальк.)</w:t>
      </w:r>
    </w:p>
    <w:p w14:paraId="5525C8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Рублев (юрисконсульт)</w:t>
      </w:r>
    </w:p>
    <w:p w14:paraId="25918E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ГУАП</w:t>
      </w:r>
    </w:p>
    <w:p w14:paraId="5C0B77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Марголин (зам. начальника ГУАПа)</w:t>
      </w:r>
    </w:p>
    <w:p w14:paraId="3EEAED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иску завода № 39 к УВС в сумме 1371400 рублей</w:t>
      </w:r>
    </w:p>
    <w:p w14:paraId="55A34F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Сущность дела:</w:t>
      </w:r>
    </w:p>
    <w:p w14:paraId="752456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постановления СТО от 28 ноября 1933 года завод № 39 обязан был изготовить в 1934 году самолеты типа И-15 и И-16, на что был заключен с УВВС договор. Цена самолета была ориентировочно определена для И-15 в 85000 рублей без мотора и И-16 – 104720 рублей с мотором +(-) 20% при определении твердой цены.</w:t>
      </w:r>
    </w:p>
    <w:p w14:paraId="0E1AC0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УВС предложило заводу начать серийную постройку самолетов не ожидая окончания госиспытаний и завод вынужден был приступить к серийному изготовлению самолетов, несмотря на то, что эталонов на эти самолеты не было и это послужило причиной того, что несмотря на категорическое запрещение ст. 1 договора, прим. 2, эти изменения чертежей и технических условий были допущены.</w:t>
      </w:r>
    </w:p>
    <w:p w14:paraId="3365A8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устранял своими средствами и силами обнаружившиеся при испытаниях недостатки на протяжении всего года и в результате этой работы И-15 были сданы более высокого качества чем это предусматривалось первоначальным заданием, поэтому завод просит Госарбитраж взыскать с УВС 1371400 рублей затрат, понесенных заводом на конструктивные переделки по заданиям УВС и для приведения машины в боеспособное состояние.</w:t>
      </w:r>
    </w:p>
    <w:p w14:paraId="5DF410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завод № 39 просит Госарбитраж пересмотреть вопрос о цене самолета И-16, так как имеющиеся на заводе отчетные калькуляции по затратам на производстве этого самолета, свидетельствуют о том, что установленная договором цена значительно ниже понесенных затрат, а именно при договорной цене в 104720 рублей с мотором +(-) 20%, заводу самолет И-16 обошелся в 146968 рублей без мотора. Поэтому завод просит установить ориентировочную цену на этот самолет в 120000 рублей без мотора +(-) 20% по представлении дополнительной калькуляции.</w:t>
      </w:r>
    </w:p>
    <w:p w14:paraId="77320D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заседании Госарбитража представители УВС возражали против оплаты произведенных заводом расходов, так как:</w:t>
      </w:r>
    </w:p>
    <w:p w14:paraId="5630693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Договором установлена цена на И-15 в 85000 рублей +(-) 20%. Поскольку не было эталона на эту машину, то ни завод, ни УВС не могли определить стоимость самолета. Как основание для расчетов было установлено +(-) к договорной стоимости и завод должен был уложиться в эту сумму.</w:t>
      </w:r>
    </w:p>
    <w:p w14:paraId="1A42269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Переделки, на оплату которых претендует завод, являются результатом работы самого завода. УВС, подтвердив результаты госиспытаний, действительно предъявило новые требования, но все эти требования являются обычными требованиями УВС в результате испытания каждой испытуемой машины.</w:t>
      </w:r>
    </w:p>
    <w:p w14:paraId="76CF827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Что касается И-16, то говорить о проверке отчетной калькуляции и установлении цены, предлагаемой заводом, сейчас преждевременно, поскольку в течение 1934 года завод не сдал ни одной машины И-16 и даже в настоящее время, согласно решения Правительства, сдача И-16 отсрочена до 1 мая.</w:t>
      </w:r>
    </w:p>
    <w:p w14:paraId="11CCE2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Представители ГУАПа и завода возражают против таких заявлений УВС, так как:</w:t>
      </w:r>
    </w:p>
    <w:p w14:paraId="7C1EF46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1 января 1934 года Алкснисом утверждены результаты испытаний И-15 и, как видно из акта от 1 января, НИИ предложено продолжать госиспытания для более подробного снятия летной характеристики.</w:t>
      </w:r>
    </w:p>
    <w:p w14:paraId="4A93234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9 мая 1934 года за № 2/0605 НИИ направил заводу № 39 сводки испытаний, из которых видно, что значительное количество дефектов, обнаруженных на испытаниях, являются следствием конструктивной недоработки и поэтому, в точном соответствии с ст. 4 договора УВС с заводом № 39, все расходы, связанные с изменениями конструктивного характера, вносимым УВС во время испытаний, должно нести УВС.</w:t>
      </w:r>
    </w:p>
    <w:p w14:paraId="09BD516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 3 октября за № 2/01492 НИИ снова представил акт госиспытаний самолета И-15 с новым рядом дефектов, вызванных конструктивными изменениями, вносимыми УВС в машину.</w:t>
      </w:r>
    </w:p>
    <w:p w14:paraId="3EE8CA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Что касается до И-16, то завод поставлен перед фактом увеличения себестоимости всех серий (в количестве 50 машин) около 2,5 млн. рублей, между тем от заказчика, он, согласно договора, эту сумму получить не может. Поэтому завод настаивает на рассмотрении этой претензии по пересмотру цены, независимо от заключенного договора.</w:t>
      </w:r>
    </w:p>
    <w:p w14:paraId="03BB50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распоряжением НКО и НКТП предложено начальнику УВС оформить и оплатить в декабре на заводах №№ 21 и 39 все изготовленные самолеты И-16 без вооружения и работы, связанные с установкой вооружения на И-16. В исполнение этого распоряжения УВС оплатило заводу № 39 договорную стоимость, не оплачивая в настоящее время не только понесенных заводом фактических затрат и предусмотренного договором колебания 20% ориентировочно от стоимости самолета.</w:t>
      </w:r>
    </w:p>
    <w:p w14:paraId="43FC20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 же распоряжением НКО и НКТП предложено Глававиапрому и УВС согласовать сроки на переделки вооружения и заключить дополнительное соглашение на оплату стоимости этих переделок. Этого также до сих пор не сделано.</w:t>
      </w:r>
    </w:p>
    <w:p w14:paraId="3A7C82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Решение:</w:t>
      </w:r>
    </w:p>
    <w:p w14:paraId="55AD030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Считать установленным, что после заключения договора вносились изменения, как в технические условия, так и в конструкцию самого самолета при серийном изготовлении как И-15, так и И-16.</w:t>
      </w:r>
    </w:p>
    <w:p w14:paraId="695B076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Ввиду того, что работы эти носили срочный характер, согласно задания Правительства, сторонами не была оформлена дополнительным соглашением оплата всех переделок, потребовавших значительных расходов завода, что в конечном результате привело к повышению качества машин.</w:t>
      </w:r>
    </w:p>
    <w:p w14:paraId="6436DF2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Признать, что завод № 39 не может нести убытков по затратам, понесенным им для улучшения качества машин и придания им боеспособности.</w:t>
      </w:r>
    </w:p>
    <w:p w14:paraId="281C40A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Так как требования УВС по конструктивным переделкам машин являлись результатом обнаруженных дефектов при последующих госиспытаниях, а переделки завода, потребовавшие дополнительных затрат, являлись следствием того, что машины не имели эталона, прошедшего соответствующее госиспытание, вместе с тем учитывая, что между сторонами был заключен договор, предусматривающий ориентировочную стоимость самолетов в 85000 рублей с колебанием +(-) 20% - признать невозможным покрытие расходов завода по постройке указанных самолетов за счет УВС.</w:t>
      </w:r>
    </w:p>
    <w:p w14:paraId="5EE9EE5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Предложить сторонам в 15 дневный срок проверить отчетную калькуляцию и затраты, понесенные заводом № 39 по машине И-16 и согласовать ее. При недостижении соглашения представить в Госарбитраж протокол разногласий за совместными подписями.</w:t>
      </w:r>
    </w:p>
    <w:p w14:paraId="4F6929A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Предложить УВС и заводу № 39 в 5 дневный срок оформить дополнительное соглашение на постановку вооружения в соответствии с приказом НКО и НКТП (4170, 108-110).</w:t>
      </w:r>
    </w:p>
    <w:p w14:paraId="106F4E99"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19270B24" w14:textId="77777777" w:rsidR="005F44A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9E32977" w14:textId="77777777" w:rsidR="005F44AE" w:rsidRPr="00E14102" w:rsidRDefault="005F44AE" w:rsidP="00E14102">
      <w:pPr>
        <w:autoSpaceDE w:val="0"/>
        <w:autoSpaceDN w:val="0"/>
        <w:adjustRightInd w:val="0"/>
        <w:jc w:val="both"/>
        <w:rPr>
          <w:iCs/>
          <w:color w:val="000000" w:themeColor="text1"/>
          <w:sz w:val="16"/>
          <w:szCs w:val="16"/>
        </w:rPr>
      </w:pPr>
    </w:p>
    <w:p w14:paraId="6ABA7559" w14:textId="77777777" w:rsidR="005F44AE" w:rsidRPr="00E14102" w:rsidRDefault="005F44AE" w:rsidP="00E14102">
      <w:pPr>
        <w:jc w:val="both"/>
        <w:rPr>
          <w:color w:val="000000" w:themeColor="text1"/>
          <w:sz w:val="16"/>
          <w:szCs w:val="16"/>
        </w:rPr>
      </w:pPr>
      <w:r w:rsidRPr="00E14102">
        <w:rPr>
          <w:color w:val="000000" w:themeColor="text1"/>
          <w:sz w:val="16"/>
          <w:szCs w:val="16"/>
        </w:rPr>
        <w:t>25-26 марта 1935 г. совместным постановлением СТО и ЦК ВКП(б) было решено на ХПЗ им. Коминтерна создать мощности по выпуску танковых дизелей. Итогом стала постановка в 1939 г. на заводе №75 (г. Харьков) на производство танкового дизеля типа В-2 (12137).</w:t>
      </w:r>
    </w:p>
    <w:p w14:paraId="0E34BD3D" w14:textId="77777777" w:rsidR="005F44AE" w:rsidRPr="00E14102" w:rsidRDefault="005F44AE" w:rsidP="00E14102">
      <w:pPr>
        <w:pStyle w:val="8"/>
        <w:shd w:val="clear" w:color="auto" w:fill="auto"/>
        <w:spacing w:after="0" w:line="240" w:lineRule="auto"/>
        <w:ind w:firstLine="0"/>
        <w:jc w:val="both"/>
        <w:rPr>
          <w:rFonts w:ascii="Times New Roman" w:hAnsi="Times New Roman"/>
          <w:color w:val="000000" w:themeColor="text1"/>
          <w:sz w:val="16"/>
          <w:szCs w:val="16"/>
        </w:rPr>
      </w:pPr>
    </w:p>
    <w:p w14:paraId="184C81D6" w14:textId="77777777" w:rsidR="004D4862" w:rsidRPr="00E14102" w:rsidRDefault="004D4862" w:rsidP="00E14102">
      <w:pPr>
        <w:jc w:val="both"/>
        <w:rPr>
          <w:color w:val="000000" w:themeColor="text1"/>
          <w:sz w:val="16"/>
          <w:szCs w:val="16"/>
        </w:rPr>
      </w:pPr>
      <w:r w:rsidRPr="00E14102">
        <w:rPr>
          <w:color w:val="000000" w:themeColor="text1"/>
          <w:sz w:val="16"/>
          <w:szCs w:val="16"/>
        </w:rPr>
        <w:t>25 марта 1935 г. Приказом Наркомата тяжелой промышленности СССР после объединения с  Государственным институтом проектирования заводов автотракторной  промышленности (Гипровато) институт стал называться Научно-экспериментальный и проектный институт автотракторной промышленности (НАТИ). Затем по приказу Наркомата среднего машиностроения СССР от 14 июля 1939 г. его переименовали в Государственный союзный научно-исследовательский и экспериментальный автотракторный институт (НАТИ).  Институт находился в ведении сначала Наркомата машиностроения СССР (1937</w:t>
      </w:r>
      <w:r w:rsidRPr="00E14102">
        <w:rPr>
          <w:color w:val="000000" w:themeColor="text1"/>
          <w:sz w:val="16"/>
          <w:szCs w:val="16"/>
        </w:rPr>
        <w:noBreakHyphen/>
        <w:t>1939), а потом Наркомата среднего машиностроения СССР (1939</w:t>
      </w:r>
      <w:r w:rsidRPr="00E14102">
        <w:rPr>
          <w:color w:val="000000" w:themeColor="text1"/>
          <w:sz w:val="16"/>
          <w:szCs w:val="16"/>
        </w:rPr>
        <w:noBreakHyphen/>
        <w:t>1946). В его задачи входили разработка и усовершенствование проектов автомобилей различных моделей и назначений, агрегатов и деталей, автомобильных материалов, топлив и масел, а также технологических процессов автомобильного производства. Постановлением Комитета обороны при СНК СССР от 26 апреля 1940 г. при НАТИ с 1 января 1941 г. был организован специальный танковый отдел с экспериментально-производственной базой (см. документ № 169). В феврале 1946 г. НАТИ преобразован в Государственный научно-исследовательский автомобильный и автомоторный институт (НАМИ). (Филиал РГА НТД. Ф. Р</w:t>
      </w:r>
      <w:r w:rsidRPr="00E14102">
        <w:rPr>
          <w:color w:val="000000" w:themeColor="text1"/>
          <w:sz w:val="16"/>
          <w:szCs w:val="16"/>
        </w:rPr>
        <w:noBreakHyphen/>
        <w:t>351.) (17903).</w:t>
      </w:r>
    </w:p>
    <w:p w14:paraId="4A1DBCD1" w14:textId="77777777" w:rsidR="004D4862" w:rsidRPr="00E14102" w:rsidRDefault="004D4862" w:rsidP="00E14102">
      <w:pPr>
        <w:jc w:val="both"/>
        <w:rPr>
          <w:color w:val="000000" w:themeColor="text1"/>
          <w:sz w:val="16"/>
          <w:szCs w:val="16"/>
        </w:rPr>
      </w:pPr>
    </w:p>
    <w:p w14:paraId="29A52D01" w14:textId="77777777" w:rsidR="00B56105" w:rsidRPr="00E14102" w:rsidRDefault="00B56105" w:rsidP="00E14102">
      <w:pPr>
        <w:jc w:val="both"/>
        <w:rPr>
          <w:color w:val="0070C0"/>
          <w:sz w:val="16"/>
          <w:szCs w:val="16"/>
        </w:rPr>
      </w:pPr>
      <w:r w:rsidRPr="00E14102">
        <w:rPr>
          <w:color w:val="0070C0"/>
          <w:sz w:val="16"/>
          <w:szCs w:val="16"/>
        </w:rPr>
        <w:t>25 марта 1935 г. Приказом Наркомата тяже</w:t>
      </w:r>
      <w:r w:rsidRPr="00E14102">
        <w:rPr>
          <w:color w:val="0070C0"/>
          <w:sz w:val="16"/>
          <w:szCs w:val="16"/>
        </w:rPr>
        <w:softHyphen/>
        <w:t>лой промышленности СССР после объединения с Государственным институтом проектирования заво</w:t>
      </w:r>
      <w:r w:rsidRPr="00E14102">
        <w:rPr>
          <w:color w:val="0070C0"/>
          <w:sz w:val="16"/>
          <w:szCs w:val="16"/>
        </w:rPr>
        <w:softHyphen/>
        <w:t>дов автотракторной промышленности (Гипроавто) институт стал называться «Научно-эксперименталь</w:t>
      </w:r>
      <w:r w:rsidRPr="00E14102">
        <w:rPr>
          <w:color w:val="0070C0"/>
          <w:sz w:val="16"/>
          <w:szCs w:val="16"/>
        </w:rPr>
        <w:softHyphen/>
        <w:t>ный и проектный институт автотракторной промыш</w:t>
      </w:r>
      <w:r w:rsidRPr="00E14102">
        <w:rPr>
          <w:color w:val="0070C0"/>
          <w:sz w:val="16"/>
          <w:szCs w:val="16"/>
        </w:rPr>
        <w:softHyphen/>
        <w:t>ленности» (НАТИ).</w:t>
      </w:r>
    </w:p>
    <w:p w14:paraId="40BC395C" w14:textId="77777777" w:rsidR="00B56105" w:rsidRPr="00E14102" w:rsidRDefault="00B56105" w:rsidP="00E14102">
      <w:pPr>
        <w:jc w:val="both"/>
        <w:rPr>
          <w:color w:val="0070C0"/>
          <w:sz w:val="16"/>
          <w:szCs w:val="16"/>
        </w:rPr>
      </w:pPr>
      <w:r w:rsidRPr="00E14102">
        <w:rPr>
          <w:color w:val="0070C0"/>
          <w:sz w:val="16"/>
          <w:szCs w:val="16"/>
        </w:rPr>
        <w:t>В институте организован проектно</w:t>
      </w:r>
      <w:r w:rsidRPr="00E14102">
        <w:rPr>
          <w:color w:val="0070C0"/>
          <w:sz w:val="16"/>
          <w:szCs w:val="16"/>
        </w:rPr>
        <w:softHyphen/>
        <w:t>монтажный отдел, который приступил к разрабатке вопросов по реконструкции Горьковского и Ярослав</w:t>
      </w:r>
      <w:r w:rsidRPr="00E14102">
        <w:rPr>
          <w:color w:val="0070C0"/>
          <w:sz w:val="16"/>
          <w:szCs w:val="16"/>
        </w:rPr>
        <w:softHyphen/>
        <w:t>ского автозаводов, принял участие в проектирова</w:t>
      </w:r>
      <w:r w:rsidRPr="00E14102">
        <w:rPr>
          <w:color w:val="0070C0"/>
          <w:sz w:val="16"/>
          <w:szCs w:val="16"/>
        </w:rPr>
        <w:softHyphen/>
        <w:t>нии Уфимского моторного завода и других промыш</w:t>
      </w:r>
      <w:r w:rsidRPr="00E14102">
        <w:rPr>
          <w:color w:val="0070C0"/>
          <w:sz w:val="16"/>
          <w:szCs w:val="16"/>
        </w:rPr>
        <w:softHyphen/>
        <w:t>ленных объектов (22518).</w:t>
      </w:r>
    </w:p>
    <w:p w14:paraId="0FF14887" w14:textId="77777777" w:rsidR="00B56105" w:rsidRPr="00E14102" w:rsidRDefault="00B56105" w:rsidP="00E14102">
      <w:pPr>
        <w:jc w:val="both"/>
        <w:rPr>
          <w:color w:val="0070C0"/>
          <w:sz w:val="16"/>
          <w:szCs w:val="16"/>
        </w:rPr>
      </w:pPr>
    </w:p>
    <w:p w14:paraId="71E1821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lastRenderedPageBreak/>
        <w:t>За рубежом:</w:t>
      </w:r>
    </w:p>
    <w:p w14:paraId="73491A06" w14:textId="77777777" w:rsidR="00D4105E" w:rsidRPr="00E14102" w:rsidRDefault="00D4105E" w:rsidP="00E14102">
      <w:pPr>
        <w:autoSpaceDE w:val="0"/>
        <w:autoSpaceDN w:val="0"/>
        <w:adjustRightInd w:val="0"/>
        <w:jc w:val="both"/>
        <w:rPr>
          <w:iCs/>
          <w:color w:val="000000" w:themeColor="text1"/>
          <w:sz w:val="16"/>
          <w:szCs w:val="16"/>
        </w:rPr>
      </w:pPr>
    </w:p>
    <w:p w14:paraId="5D9347B6" w14:textId="77777777" w:rsidR="00B56105" w:rsidRPr="00E14102" w:rsidRDefault="00B56105" w:rsidP="00E14102">
      <w:pPr>
        <w:jc w:val="both"/>
        <w:rPr>
          <w:color w:val="0070C0"/>
          <w:sz w:val="16"/>
          <w:szCs w:val="16"/>
        </w:rPr>
      </w:pPr>
      <w:r w:rsidRPr="00E14102">
        <w:rPr>
          <w:color w:val="0070C0"/>
          <w:sz w:val="16"/>
          <w:szCs w:val="16"/>
        </w:rPr>
        <w:t>25 марта 1935 опросом членов ПБ</w:t>
      </w:r>
    </w:p>
    <w:p w14:paraId="7632FB96" w14:textId="77777777" w:rsidR="00B56105" w:rsidRPr="00E14102" w:rsidRDefault="00B56105" w:rsidP="00E14102">
      <w:pPr>
        <w:jc w:val="both"/>
        <w:rPr>
          <w:color w:val="0070C0"/>
          <w:sz w:val="16"/>
          <w:szCs w:val="16"/>
        </w:rPr>
      </w:pPr>
      <w:r w:rsidRPr="00E14102">
        <w:rPr>
          <w:color w:val="0070C0"/>
          <w:sz w:val="16"/>
          <w:szCs w:val="16"/>
        </w:rPr>
        <w:t>208. Проект конвенции о гласности военных расходов.</w:t>
      </w:r>
    </w:p>
    <w:p w14:paraId="1CEAADF8" w14:textId="77777777" w:rsidR="00B56105" w:rsidRPr="00E14102" w:rsidRDefault="00B56105" w:rsidP="00E14102">
      <w:pPr>
        <w:jc w:val="both"/>
        <w:rPr>
          <w:color w:val="0070C0"/>
          <w:sz w:val="16"/>
          <w:szCs w:val="16"/>
        </w:rPr>
      </w:pPr>
      <w:r w:rsidRPr="00E14102">
        <w:rPr>
          <w:color w:val="0070C0"/>
          <w:sz w:val="16"/>
          <w:szCs w:val="16"/>
        </w:rPr>
        <w:t>1. Проект конвенции о гласности военных расходов принять под условием принятия его другими государствами, в том числе наиболее крупными и всеми соседями СССР.</w:t>
      </w:r>
    </w:p>
    <w:p w14:paraId="7220BBF6" w14:textId="77777777" w:rsidR="00B56105" w:rsidRPr="00E14102" w:rsidRDefault="00B56105" w:rsidP="00E14102">
      <w:pPr>
        <w:jc w:val="both"/>
        <w:rPr>
          <w:color w:val="0070C0"/>
          <w:sz w:val="16"/>
          <w:szCs w:val="16"/>
        </w:rPr>
      </w:pPr>
      <w:r w:rsidRPr="00E14102">
        <w:rPr>
          <w:color w:val="0070C0"/>
          <w:sz w:val="16"/>
          <w:szCs w:val="16"/>
        </w:rPr>
        <w:t>2. Предложить к проекту поправки, выдвинутые НКОбороны с оговоркой о право дополнительного внесения по</w:t>
      </w:r>
      <w:r w:rsidRPr="00E14102">
        <w:rPr>
          <w:color w:val="0070C0"/>
          <w:sz w:val="16"/>
          <w:szCs w:val="16"/>
        </w:rPr>
        <w:softHyphen/>
        <w:t>статейных технических поправок.</w:t>
      </w:r>
    </w:p>
    <w:p w14:paraId="6CD7C766" w14:textId="77777777" w:rsidR="00B56105" w:rsidRPr="00E14102" w:rsidRDefault="00B56105" w:rsidP="00E14102">
      <w:pPr>
        <w:jc w:val="both"/>
        <w:rPr>
          <w:color w:val="0070C0"/>
          <w:sz w:val="16"/>
          <w:szCs w:val="16"/>
        </w:rPr>
      </w:pPr>
      <w:r w:rsidRPr="00E14102">
        <w:rPr>
          <w:color w:val="0070C0"/>
          <w:sz w:val="16"/>
          <w:szCs w:val="16"/>
        </w:rPr>
        <w:t>3. Отказаться сообщать сведения о капиталовложе</w:t>
      </w:r>
      <w:r w:rsidRPr="00E14102">
        <w:rPr>
          <w:color w:val="0070C0"/>
          <w:sz w:val="16"/>
          <w:szCs w:val="16"/>
        </w:rPr>
        <w:softHyphen/>
        <w:t>ниях СССР в государственную военную промышленность, ра- ботаюшую на оборону, кроме субсидирования военных заво</w:t>
      </w:r>
      <w:r w:rsidRPr="00E14102">
        <w:rPr>
          <w:color w:val="0070C0"/>
          <w:sz w:val="16"/>
          <w:szCs w:val="16"/>
        </w:rPr>
        <w:softHyphen/>
        <w:t>дов и мастерских в узком смысле (соответствующих арсе</w:t>
      </w:r>
      <w:r w:rsidRPr="00E14102">
        <w:rPr>
          <w:color w:val="0070C0"/>
          <w:sz w:val="16"/>
          <w:szCs w:val="16"/>
        </w:rPr>
        <w:softHyphen/>
        <w:t>налам капиталистических государств), поскольку в военные расходы капиталистических стран не включена инвестиция частных капиталов в частную военную промышленность.</w:t>
      </w:r>
    </w:p>
    <w:p w14:paraId="2D0977C9" w14:textId="77777777" w:rsidR="00B56105" w:rsidRPr="00E14102" w:rsidRDefault="00B56105" w:rsidP="00E14102">
      <w:pPr>
        <w:jc w:val="both"/>
        <w:rPr>
          <w:color w:val="0070C0"/>
          <w:sz w:val="16"/>
          <w:szCs w:val="16"/>
        </w:rPr>
      </w:pPr>
      <w:r w:rsidRPr="00E14102">
        <w:rPr>
          <w:color w:val="0070C0"/>
          <w:sz w:val="16"/>
          <w:szCs w:val="16"/>
        </w:rPr>
        <w:t>4. Сообщить Лиге Наций сведения о военных расходах СССР за 1934 г., согласно проекта конвенции о гласности военных расходов с изменениями, вытекающими из поправок НКОбороны.</w:t>
      </w:r>
    </w:p>
    <w:p w14:paraId="5F452ADE" w14:textId="77777777" w:rsidR="00B56105" w:rsidRPr="00E14102" w:rsidRDefault="00B56105" w:rsidP="00E14102">
      <w:pPr>
        <w:jc w:val="both"/>
        <w:rPr>
          <w:color w:val="0070C0"/>
          <w:sz w:val="16"/>
          <w:szCs w:val="16"/>
        </w:rPr>
      </w:pPr>
      <w:r w:rsidRPr="00E14102">
        <w:rPr>
          <w:color w:val="0070C0"/>
          <w:sz w:val="16"/>
          <w:szCs w:val="16"/>
        </w:rPr>
        <w:t>5. Поручить НКОбороны составить не позже 1 апре</w:t>
      </w:r>
      <w:r w:rsidRPr="00E14102">
        <w:rPr>
          <w:color w:val="0070C0"/>
          <w:sz w:val="16"/>
          <w:szCs w:val="16"/>
        </w:rPr>
        <w:softHyphen/>
        <w:t>ля с.г. сведения о вооруженных силах СССР и о расходах на национальную оборону за 1934 г., указанных в п.4.</w:t>
      </w:r>
    </w:p>
    <w:p w14:paraId="7B8A601C" w14:textId="77777777" w:rsidR="00B56105" w:rsidRPr="00E14102" w:rsidRDefault="00B56105" w:rsidP="00E14102">
      <w:pPr>
        <w:jc w:val="both"/>
        <w:rPr>
          <w:color w:val="0070C0"/>
          <w:sz w:val="16"/>
          <w:szCs w:val="16"/>
        </w:rPr>
      </w:pPr>
      <w:r w:rsidRPr="00E14102">
        <w:rPr>
          <w:color w:val="0070C0"/>
          <w:sz w:val="16"/>
          <w:szCs w:val="16"/>
        </w:rPr>
        <w:t>Включить в число этих расходов, помимо цифр бюдже</w:t>
      </w:r>
      <w:r w:rsidRPr="00E14102">
        <w:rPr>
          <w:color w:val="0070C0"/>
          <w:sz w:val="16"/>
          <w:szCs w:val="16"/>
        </w:rPr>
        <w:softHyphen/>
        <w:t>та ПКОбороны, прочие военные расходы гражданских наркома</w:t>
      </w:r>
      <w:r w:rsidRPr="00E14102">
        <w:rPr>
          <w:color w:val="0070C0"/>
          <w:sz w:val="16"/>
          <w:szCs w:val="16"/>
        </w:rPr>
        <w:softHyphen/>
        <w:t>тов, местных органов, шевских и добровольных обществ. Обязать соответствующие Наркоматы и общества представить в НКОбороны указанные сведения.</w:t>
      </w:r>
    </w:p>
    <w:p w14:paraId="06960DBC" w14:textId="77777777" w:rsidR="00B56105" w:rsidRPr="00E14102" w:rsidRDefault="00B56105" w:rsidP="00E14102">
      <w:pPr>
        <w:jc w:val="both"/>
        <w:rPr>
          <w:color w:val="0070C0"/>
          <w:sz w:val="16"/>
          <w:szCs w:val="16"/>
        </w:rPr>
      </w:pPr>
      <w:r w:rsidRPr="00E14102">
        <w:rPr>
          <w:color w:val="0070C0"/>
          <w:sz w:val="16"/>
          <w:szCs w:val="16"/>
        </w:rPr>
        <w:t>6. Поручить НКОбороны составить к 1 апреля с.г. постатейные поправки к проекту конвенции о гласности, необ</w:t>
      </w:r>
      <w:r w:rsidRPr="00E14102">
        <w:rPr>
          <w:color w:val="0070C0"/>
          <w:sz w:val="16"/>
          <w:szCs w:val="16"/>
        </w:rPr>
        <w:softHyphen/>
        <w:t>ходимость которых обнаружится при саставлении конкретных цифр расходов на национальную оборону.</w:t>
      </w:r>
    </w:p>
    <w:p w14:paraId="459986A4" w14:textId="77777777" w:rsidR="00B56105" w:rsidRPr="00E14102" w:rsidRDefault="00B56105" w:rsidP="00E14102">
      <w:pPr>
        <w:jc w:val="both"/>
        <w:rPr>
          <w:color w:val="0070C0"/>
          <w:sz w:val="16"/>
          <w:szCs w:val="16"/>
        </w:rPr>
      </w:pPr>
      <w:r w:rsidRPr="00E14102">
        <w:rPr>
          <w:color w:val="0070C0"/>
          <w:sz w:val="16"/>
          <w:szCs w:val="16"/>
        </w:rPr>
        <w:t>7. Поручить НКОбороны по соглашению с НКФ и НКИД составить проект правил опубликования бюджета НКОбороны и других расходов СССР на национальную оборону, не про</w:t>
      </w:r>
      <w:r w:rsidRPr="00E14102">
        <w:rPr>
          <w:color w:val="0070C0"/>
          <w:sz w:val="16"/>
          <w:szCs w:val="16"/>
        </w:rPr>
        <w:softHyphen/>
        <w:t>ходящих по бюджету НКОбороны, применительно к требованию конвенции о гласности военных расходов.</w:t>
      </w:r>
    </w:p>
    <w:p w14:paraId="2DCF14E6" w14:textId="77777777" w:rsidR="00B56105" w:rsidRPr="00E14102" w:rsidRDefault="00B56105" w:rsidP="00E14102">
      <w:pPr>
        <w:jc w:val="both"/>
        <w:rPr>
          <w:color w:val="0070C0"/>
          <w:sz w:val="16"/>
          <w:szCs w:val="16"/>
        </w:rPr>
      </w:pPr>
      <w:r w:rsidRPr="00E14102">
        <w:rPr>
          <w:color w:val="0070C0"/>
          <w:sz w:val="16"/>
          <w:szCs w:val="16"/>
        </w:rPr>
        <w:t>8. Поручить НКОбороны, по соглашению с НКИД и НКФ и другими заинтересованными наркоматами, организовать специальный учет и разработку сведений о Красной Армии и войсках Наркомвнудела и прочих военизированных формированиях и о расходах СССР на национальную оборону, которые будут предаваться гласности и сообщаться Лиге Наций.</w:t>
      </w:r>
    </w:p>
    <w:p w14:paraId="7C6194CA" w14:textId="77777777" w:rsidR="00B56105" w:rsidRPr="00E14102" w:rsidRDefault="00B56105" w:rsidP="00E14102">
      <w:pPr>
        <w:jc w:val="both"/>
        <w:rPr>
          <w:color w:val="0070C0"/>
          <w:sz w:val="16"/>
          <w:szCs w:val="16"/>
        </w:rPr>
      </w:pPr>
      <w:r w:rsidRPr="00E14102">
        <w:rPr>
          <w:color w:val="0070C0"/>
          <w:sz w:val="16"/>
          <w:szCs w:val="16"/>
        </w:rPr>
        <w:t>9. Поручить НКОбороны проведение других мероприятий, вытекающих из проекта конвенции о гласности военных рас</w:t>
      </w:r>
      <w:r w:rsidRPr="00E14102">
        <w:rPr>
          <w:color w:val="0070C0"/>
          <w:sz w:val="16"/>
          <w:szCs w:val="16"/>
        </w:rPr>
        <w:softHyphen/>
        <w:t>ходов, а до того возложить засвидительствоваие сведений о военных расходах СССР, сообщаемых в Лигу Наций, на Председателя Бюджетной Комиссии ЦИК СССР.</w:t>
      </w:r>
    </w:p>
    <w:p w14:paraId="46961666" w14:textId="77777777" w:rsidR="00B56105" w:rsidRPr="00E14102" w:rsidRDefault="00B56105" w:rsidP="00E14102">
      <w:pPr>
        <w:jc w:val="both"/>
        <w:rPr>
          <w:color w:val="0070C0"/>
          <w:sz w:val="16"/>
          <w:szCs w:val="16"/>
        </w:rPr>
      </w:pPr>
      <w:r w:rsidRPr="00E14102">
        <w:rPr>
          <w:color w:val="0070C0"/>
          <w:sz w:val="16"/>
          <w:szCs w:val="16"/>
        </w:rPr>
        <w:t>Выписки посланы: т.т. Литвинову Ворошилову,Гринько - п.п.5,7,8.</w:t>
      </w:r>
    </w:p>
    <w:p w14:paraId="06E61B34" w14:textId="77777777" w:rsidR="00B56105" w:rsidRPr="00E14102" w:rsidRDefault="00B56105" w:rsidP="00E14102">
      <w:pPr>
        <w:tabs>
          <w:tab w:val="left" w:pos="5378"/>
        </w:tabs>
        <w:jc w:val="both"/>
        <w:rPr>
          <w:color w:val="0070C0"/>
          <w:sz w:val="16"/>
          <w:szCs w:val="16"/>
        </w:rPr>
      </w:pPr>
      <w:r w:rsidRPr="00E14102">
        <w:rPr>
          <w:color w:val="0070C0"/>
          <w:sz w:val="16"/>
          <w:szCs w:val="16"/>
          <w:lang w:bidi="ru-RU"/>
        </w:rPr>
        <w:t>(ПРОТОКОЛ № 23 ЗАСЕДАНИЯ ПОЛИТБЮРО ЦК ВКП(б) от 3 АПРЕЛЯ 1935 года. (Особый №) (22928).</w:t>
      </w:r>
    </w:p>
    <w:p w14:paraId="44AE4CB1" w14:textId="77777777" w:rsidR="00B56105" w:rsidRPr="00E14102" w:rsidRDefault="00B56105" w:rsidP="00E14102">
      <w:pPr>
        <w:jc w:val="both"/>
        <w:rPr>
          <w:color w:val="0070C0"/>
          <w:sz w:val="16"/>
          <w:szCs w:val="16"/>
        </w:rPr>
      </w:pPr>
    </w:p>
    <w:p w14:paraId="6DC101FB" w14:textId="77777777" w:rsidR="00B56105" w:rsidRPr="00E14102" w:rsidRDefault="00B56105" w:rsidP="00E14102">
      <w:pPr>
        <w:jc w:val="both"/>
        <w:rPr>
          <w:color w:val="0070C0"/>
          <w:sz w:val="16"/>
          <w:szCs w:val="16"/>
        </w:rPr>
      </w:pPr>
      <w:r w:rsidRPr="00E14102">
        <w:rPr>
          <w:color w:val="0070C0"/>
          <w:sz w:val="16"/>
          <w:szCs w:val="16"/>
        </w:rPr>
        <w:t>25 марта 1935 Политбюро приняло решение о "гласности военных расходов", в соответствии с которым в секретариат Лиги наций отныне надлежало сообщать о размерах военных расходов по гражданским наркоматам и местным органам и о прямых субсидиях промышленности на выпуск вооружений. В декабре 1935 г. Политбюро постановило более не преуменьшать в официальных материалах бюджета НКО СССР и представило Лиге наций действительные данные об ассигнованиях по Наркомату обороны на 1936 г. (HARRISON М., DAVIES R. W. Op. cit. P. 370) (22725).</w:t>
      </w:r>
    </w:p>
    <w:p w14:paraId="2075F8AA" w14:textId="77777777" w:rsidR="00B56105" w:rsidRPr="00E14102" w:rsidRDefault="00B56105" w:rsidP="00E14102">
      <w:pPr>
        <w:jc w:val="both"/>
        <w:rPr>
          <w:color w:val="0070C0"/>
          <w:sz w:val="16"/>
          <w:szCs w:val="16"/>
        </w:rPr>
      </w:pPr>
    </w:p>
    <w:p w14:paraId="56785E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марта 1935 А.Гитлер заявил, что СССР представляет собой угрозу миру в Европе (2100).</w:t>
      </w:r>
    </w:p>
    <w:p w14:paraId="62D4EE7C" w14:textId="77777777" w:rsidR="00D4105E" w:rsidRPr="00E14102" w:rsidRDefault="00D4105E" w:rsidP="00E14102">
      <w:pPr>
        <w:autoSpaceDE w:val="0"/>
        <w:autoSpaceDN w:val="0"/>
        <w:adjustRightInd w:val="0"/>
        <w:jc w:val="both"/>
        <w:rPr>
          <w:color w:val="000000" w:themeColor="text1"/>
          <w:sz w:val="16"/>
          <w:szCs w:val="16"/>
        </w:rPr>
      </w:pPr>
    </w:p>
    <w:p w14:paraId="1DCDEA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марта 1935 в Бельгии было сформировано правительство национального единства и девальвирован бельгийский франк (3907,191).</w:t>
      </w:r>
    </w:p>
    <w:p w14:paraId="7FAA406F" w14:textId="77777777" w:rsidR="00D4105E" w:rsidRPr="00E14102" w:rsidRDefault="00D4105E" w:rsidP="00E14102">
      <w:pPr>
        <w:autoSpaceDE w:val="0"/>
        <w:autoSpaceDN w:val="0"/>
        <w:adjustRightInd w:val="0"/>
        <w:jc w:val="both"/>
        <w:rPr>
          <w:color w:val="000000" w:themeColor="text1"/>
          <w:sz w:val="16"/>
          <w:szCs w:val="16"/>
        </w:rPr>
      </w:pPr>
    </w:p>
    <w:p w14:paraId="4176DFE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8788B3F" w14:textId="77777777" w:rsidR="00D4105E" w:rsidRPr="00E14102" w:rsidRDefault="00D4105E" w:rsidP="00E14102">
      <w:pPr>
        <w:autoSpaceDE w:val="0"/>
        <w:autoSpaceDN w:val="0"/>
        <w:adjustRightInd w:val="0"/>
        <w:jc w:val="both"/>
        <w:rPr>
          <w:iCs/>
          <w:color w:val="000000" w:themeColor="text1"/>
          <w:sz w:val="16"/>
          <w:szCs w:val="16"/>
        </w:rPr>
      </w:pPr>
    </w:p>
    <w:p w14:paraId="138299B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26 марта 1935 года зам. наркома внешней торговли М. Логиновский писал письмо № 17/40 в СНК Базилевичу</w:t>
      </w:r>
    </w:p>
    <w:p w14:paraId="144F292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 завозе 6 моторов Гном и Рон К-14</w:t>
      </w:r>
    </w:p>
    <w:p w14:paraId="3BEA1E0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Постановлением СТО за № С-27 от 19 марта 1935 года предложено купить 6 моторов Гном и Рон К-14 редукторных со степенью редукции 1:2, с доставкой в Москву: 3-х моторов к 1 апреля 1935 года и 3-х моторов к 1 мая 1935 года. Указанные сроки завоза ни в коем случае не могут быть по совершенно не зависимым от нас причинам выдержаны, так как по сообщению Инженерного отдела торгпредства во Франции – фирма Гном и Рон первую партию из 3-х моторов с редукцией 1:2 может поставить только лишь в июле 1935 года с завозом в Союз не раньше августа 1935 года и остальные три мотора с поставкой в августе и завозом в Союз в сентябре 1935 года.</w:t>
      </w:r>
    </w:p>
    <w:p w14:paraId="1F8DAA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связи с этим, Наркомвнешторг ходатайствует об установлении новых сроков завоза по данным моторам.</w:t>
      </w:r>
    </w:p>
    <w:p w14:paraId="18C9920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Кроме того, прошу Вас во избежание в дальнейшем такого рода недоразумений при разрешении вопросов импорта предварительно иметь наше заключение (4256, 21).</w:t>
      </w:r>
    </w:p>
    <w:p w14:paraId="07F3C7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ПРОЕКТ ПОСТАНОВЛЕНИЯ СТО</w:t>
      </w:r>
    </w:p>
    <w:p w14:paraId="2E2CB8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 изменении срока поставки моторов К-14</w:t>
      </w:r>
    </w:p>
    <w:p w14:paraId="04AB23F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 иизменение постановления Совета Труда и Обороны СССР № С-27 от 19.Ш.-с.г., установить следующие сроки завоза:</w:t>
      </w:r>
    </w:p>
    <w:p w14:paraId="348F2DFE"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r w:rsidRPr="00E14102">
        <w:rPr>
          <w:color w:val="000000" w:themeColor="text1"/>
          <w:sz w:val="16"/>
          <w:szCs w:val="16"/>
        </w:rPr>
        <w:t>3 мотора -в августе 1935 г. и</w:t>
      </w:r>
    </w:p>
    <w:p w14:paraId="73E447C1"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r w:rsidRPr="00E14102">
        <w:rPr>
          <w:color w:val="000000" w:themeColor="text1"/>
          <w:sz w:val="16"/>
          <w:szCs w:val="16"/>
        </w:rPr>
        <w:t>3 мотора -в сентябре 1935 г. (4256,22).</w:t>
      </w:r>
    </w:p>
    <w:p w14:paraId="17A1B93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24A4C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марта 1935 начальник самолетного отдела ГУАП"а Железняков писал письмо N 242/1582с директору завода N 22 Миткевичу и директору завода N 24 Марьямову.</w:t>
      </w:r>
    </w:p>
    <w:p w14:paraId="67739F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 дано задание разработать вариант установки форсированного мотора М34ФН на сам. СБ, с таким расчетом, чтобы на одно из выходящих первых образцов самолета СБ на зав. N 22 поставить этот мотор.</w:t>
      </w:r>
    </w:p>
    <w:p w14:paraId="59C3ED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указанным прошу увязать срок получения мотора М34ФН и его установки на сам. СБ, сообщив это в Самол. отд. ГУАП"а.</w:t>
      </w:r>
    </w:p>
    <w:p w14:paraId="4C7197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Основание: Протокол N 29 заседания у нач. ГУАП"а Королева от 20/III-с.г. - параграф 12 (2336,91).</w:t>
      </w:r>
    </w:p>
    <w:p w14:paraId="3CBCAFA8" w14:textId="77777777" w:rsidR="00D4105E" w:rsidRPr="00E14102" w:rsidRDefault="00D4105E" w:rsidP="00E14102">
      <w:pPr>
        <w:autoSpaceDE w:val="0"/>
        <w:autoSpaceDN w:val="0"/>
        <w:adjustRightInd w:val="0"/>
        <w:jc w:val="both"/>
        <w:rPr>
          <w:color w:val="000000" w:themeColor="text1"/>
          <w:sz w:val="16"/>
          <w:szCs w:val="16"/>
        </w:rPr>
      </w:pPr>
    </w:p>
    <w:p w14:paraId="2DAB8305" w14:textId="77777777" w:rsidR="00222455"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7CE1921" w14:textId="77777777" w:rsidR="00222455" w:rsidRPr="00E14102" w:rsidRDefault="00222455" w:rsidP="00E14102">
      <w:pPr>
        <w:autoSpaceDE w:val="0"/>
        <w:autoSpaceDN w:val="0"/>
        <w:adjustRightInd w:val="0"/>
        <w:jc w:val="both"/>
        <w:rPr>
          <w:iCs/>
          <w:color w:val="000000" w:themeColor="text1"/>
          <w:sz w:val="16"/>
          <w:szCs w:val="16"/>
        </w:rPr>
      </w:pPr>
    </w:p>
    <w:p w14:paraId="28A6D750" w14:textId="77777777" w:rsidR="00222455" w:rsidRPr="00E14102" w:rsidRDefault="00222455" w:rsidP="00E14102">
      <w:pPr>
        <w:pStyle w:val="rtejustify"/>
        <w:spacing w:before="0" w:after="0"/>
        <w:rPr>
          <w:color w:val="000000" w:themeColor="text1"/>
          <w:sz w:val="16"/>
          <w:szCs w:val="16"/>
        </w:rPr>
      </w:pPr>
      <w:r w:rsidRPr="00E14102">
        <w:rPr>
          <w:rStyle w:val="a6"/>
          <w:bCs/>
          <w:i w:val="0"/>
          <w:color w:val="000000" w:themeColor="text1"/>
          <w:sz w:val="16"/>
          <w:szCs w:val="16"/>
        </w:rPr>
        <w:t>26 марта 1935 вышел приказ НКТП № 48с.</w:t>
      </w:r>
      <w:r w:rsidRPr="00E14102">
        <w:rPr>
          <w:color w:val="000000" w:themeColor="text1"/>
          <w:sz w:val="16"/>
          <w:szCs w:val="16"/>
        </w:rPr>
        <w:t xml:space="preserve"> О заданиях директорам заводов по обеспечению снарядного производства. (РГАЭ. Ф. 7297. Оп. 38. Д. 171. Л. 73</w:t>
      </w:r>
      <w:r w:rsidRPr="00E14102">
        <w:rPr>
          <w:color w:val="000000" w:themeColor="text1"/>
          <w:sz w:val="16"/>
          <w:szCs w:val="16"/>
        </w:rPr>
        <w:noBreakHyphen/>
        <w:t>71) (15246).</w:t>
      </w:r>
    </w:p>
    <w:p w14:paraId="239EE71D" w14:textId="77777777" w:rsidR="00222455" w:rsidRPr="00E14102" w:rsidRDefault="00222455" w:rsidP="00E14102">
      <w:pPr>
        <w:pStyle w:val="rtejustify"/>
        <w:spacing w:before="0" w:after="0"/>
        <w:rPr>
          <w:color w:val="000000" w:themeColor="text1"/>
          <w:sz w:val="16"/>
          <w:szCs w:val="16"/>
        </w:rPr>
      </w:pPr>
    </w:p>
    <w:p w14:paraId="22150F37" w14:textId="77777777" w:rsidR="00222455" w:rsidRPr="00E14102" w:rsidRDefault="00222455" w:rsidP="00E14102">
      <w:pPr>
        <w:pStyle w:val="rtejustify"/>
        <w:spacing w:before="0" w:after="0"/>
        <w:rPr>
          <w:color w:val="000000" w:themeColor="text1"/>
          <w:sz w:val="16"/>
          <w:szCs w:val="16"/>
        </w:rPr>
      </w:pPr>
      <w:r w:rsidRPr="00E14102">
        <w:rPr>
          <w:color w:val="000000" w:themeColor="text1"/>
          <w:sz w:val="16"/>
          <w:szCs w:val="16"/>
        </w:rPr>
        <w:t>27 марта 1935 г. Артуправление НКО получило разрешение наркома обороны т. Ворошилова на заказ промышленности полуваловых партий суррогатированных пуль всех образцов для испытания их в войсках. Замена свинцового сердечника железным, в тонкой свинцовой рубашке, снизит расход свинца в первый год войны, ориентировочно, на 30 тыс. т и может дать значительную экономию расхода свинца уже в 1935 г. (15341).</w:t>
      </w:r>
    </w:p>
    <w:p w14:paraId="1CF575FE" w14:textId="77777777" w:rsidR="00222455" w:rsidRPr="00E14102" w:rsidRDefault="00222455" w:rsidP="00E14102">
      <w:pPr>
        <w:jc w:val="both"/>
        <w:rPr>
          <w:bCs/>
          <w:color w:val="000000" w:themeColor="text1"/>
          <w:sz w:val="16"/>
          <w:szCs w:val="16"/>
        </w:rPr>
      </w:pPr>
    </w:p>
    <w:p w14:paraId="0FBC4FEB" w14:textId="77777777" w:rsidR="00E07CC6" w:rsidRPr="00E14102" w:rsidRDefault="00E07CC6"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26 марта 1935 года вышел приказ №51 по Наркомату тяжёлого машиностроения (НКТП) о производстве трёх образцов Т-29-5 в 1935 году. Фактически это можно считать началом подготовки к серийному производству. Дополнительной задачей для завода №185 стала подготовка кооперации с другими предприятиями. Эти работы легли на плечи Кошкина (17708).</w:t>
      </w:r>
    </w:p>
    <w:p w14:paraId="46529827" w14:textId="77777777" w:rsidR="00E07CC6" w:rsidRPr="00E14102" w:rsidRDefault="00E07CC6" w:rsidP="00E14102">
      <w:pPr>
        <w:jc w:val="both"/>
        <w:rPr>
          <w:color w:val="000000" w:themeColor="text1"/>
          <w:sz w:val="16"/>
          <w:szCs w:val="16"/>
        </w:rPr>
      </w:pPr>
    </w:p>
    <w:p w14:paraId="69A3E955" w14:textId="77777777" w:rsidR="00222455" w:rsidRPr="00E14102" w:rsidRDefault="00222455" w:rsidP="00E14102">
      <w:pPr>
        <w:pStyle w:val="rtejustify"/>
        <w:spacing w:before="0" w:after="0"/>
        <w:rPr>
          <w:color w:val="000000" w:themeColor="text1"/>
          <w:sz w:val="16"/>
          <w:szCs w:val="16"/>
        </w:rPr>
      </w:pPr>
      <w:r w:rsidRPr="00E14102">
        <w:rPr>
          <w:rStyle w:val="a6"/>
          <w:bCs/>
          <w:i w:val="0"/>
          <w:color w:val="000000" w:themeColor="text1"/>
          <w:sz w:val="16"/>
          <w:szCs w:val="16"/>
        </w:rPr>
        <w:t>26 марта 1935 вышел приказ НКТП № 51сс.</w:t>
      </w:r>
      <w:r w:rsidRPr="00E14102">
        <w:rPr>
          <w:color w:val="000000" w:themeColor="text1"/>
          <w:sz w:val="16"/>
          <w:szCs w:val="16"/>
        </w:rPr>
        <w:t xml:space="preserve"> О мероприятиях по выполнению правительственного задания по производству трех машин Т</w:t>
      </w:r>
      <w:r w:rsidRPr="00E14102">
        <w:rPr>
          <w:color w:val="000000" w:themeColor="text1"/>
          <w:sz w:val="16"/>
          <w:szCs w:val="16"/>
        </w:rPr>
        <w:noBreakHyphen/>
        <w:t>29/5 в 1935 г. (РГАЭ. Ф. 7297. Оп. 38. Д. 171. Л. 80</w:t>
      </w:r>
      <w:r w:rsidRPr="00E14102">
        <w:rPr>
          <w:color w:val="000000" w:themeColor="text1"/>
          <w:sz w:val="16"/>
          <w:szCs w:val="16"/>
        </w:rPr>
        <w:noBreakHyphen/>
        <w:t>76) (15246).</w:t>
      </w:r>
    </w:p>
    <w:p w14:paraId="503B4190" w14:textId="77777777" w:rsidR="00222455" w:rsidRPr="00E14102" w:rsidRDefault="00222455" w:rsidP="00E14102">
      <w:pPr>
        <w:pStyle w:val="rtejustify"/>
        <w:spacing w:before="0" w:after="0"/>
        <w:rPr>
          <w:color w:val="000000" w:themeColor="text1"/>
          <w:sz w:val="16"/>
          <w:szCs w:val="16"/>
        </w:rPr>
      </w:pPr>
    </w:p>
    <w:p w14:paraId="0C4F096F" w14:textId="77777777" w:rsidR="00222455" w:rsidRPr="00E14102" w:rsidRDefault="00222455" w:rsidP="00E14102">
      <w:pPr>
        <w:pStyle w:val="rtejustify"/>
        <w:spacing w:before="0" w:after="0"/>
        <w:rPr>
          <w:color w:val="000000" w:themeColor="text1"/>
          <w:sz w:val="16"/>
          <w:szCs w:val="16"/>
        </w:rPr>
      </w:pPr>
      <w:r w:rsidRPr="00E14102">
        <w:rPr>
          <w:rStyle w:val="a6"/>
          <w:bCs/>
          <w:i w:val="0"/>
          <w:color w:val="000000" w:themeColor="text1"/>
          <w:sz w:val="16"/>
          <w:szCs w:val="16"/>
        </w:rPr>
        <w:t>26 марта 1935 вышел приказ НКО №</w:t>
      </w:r>
      <w:r w:rsidRPr="00E14102">
        <w:rPr>
          <w:color w:val="000000" w:themeColor="text1"/>
          <w:sz w:val="16"/>
          <w:szCs w:val="16"/>
        </w:rPr>
        <w:t> 0021. О назначении комиссии для производства испытаний головных образцов телемеханических катеров ВУ</w:t>
      </w:r>
      <w:r w:rsidRPr="00E14102">
        <w:rPr>
          <w:color w:val="000000" w:themeColor="text1"/>
          <w:sz w:val="16"/>
          <w:szCs w:val="16"/>
        </w:rPr>
        <w:noBreakHyphen/>
        <w:t>5Г, управляемых с гидросамолета МБР</w:t>
      </w:r>
      <w:r w:rsidRPr="00E14102">
        <w:rPr>
          <w:color w:val="000000" w:themeColor="text1"/>
          <w:sz w:val="16"/>
          <w:szCs w:val="16"/>
        </w:rPr>
        <w:noBreakHyphen/>
        <w:t>2</w:t>
      </w:r>
      <w:r w:rsidRPr="00E14102">
        <w:rPr>
          <w:color w:val="000000" w:themeColor="text1"/>
          <w:sz w:val="16"/>
          <w:szCs w:val="16"/>
        </w:rPr>
        <w:noBreakHyphen/>
        <w:t>М</w:t>
      </w:r>
      <w:r w:rsidRPr="00E14102">
        <w:rPr>
          <w:color w:val="000000" w:themeColor="text1"/>
          <w:sz w:val="16"/>
          <w:szCs w:val="16"/>
        </w:rPr>
        <w:noBreakHyphen/>
        <w:t>17 (15247).</w:t>
      </w:r>
    </w:p>
    <w:p w14:paraId="4F298BD0" w14:textId="77777777" w:rsidR="00222455" w:rsidRPr="00E14102" w:rsidRDefault="00222455" w:rsidP="00E14102">
      <w:pPr>
        <w:pStyle w:val="rtejustify"/>
        <w:spacing w:before="0" w:after="0"/>
        <w:rPr>
          <w:color w:val="000000" w:themeColor="text1"/>
          <w:sz w:val="16"/>
          <w:szCs w:val="16"/>
        </w:rPr>
      </w:pPr>
    </w:p>
    <w:p w14:paraId="07E5960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DB8B6B4" w14:textId="77777777" w:rsidR="00D4105E" w:rsidRPr="00E14102" w:rsidRDefault="00D4105E" w:rsidP="00E14102">
      <w:pPr>
        <w:autoSpaceDE w:val="0"/>
        <w:autoSpaceDN w:val="0"/>
        <w:adjustRightInd w:val="0"/>
        <w:jc w:val="both"/>
        <w:rPr>
          <w:iCs/>
          <w:color w:val="000000" w:themeColor="text1"/>
          <w:sz w:val="16"/>
          <w:szCs w:val="16"/>
        </w:rPr>
      </w:pPr>
    </w:p>
    <w:p w14:paraId="0245C1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26 марта 1935 бывший лидер троцкистов И. Смилга секретно приговорен к содержанию в Верхне-Уральском изоляторе (4962).</w:t>
      </w:r>
    </w:p>
    <w:p w14:paraId="490BE94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9008B80" w14:textId="77777777" w:rsidR="00222455"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4F4AE60" w14:textId="77777777" w:rsidR="00222455" w:rsidRPr="00E14102" w:rsidRDefault="00222455" w:rsidP="00E14102">
      <w:pPr>
        <w:autoSpaceDE w:val="0"/>
        <w:autoSpaceDN w:val="0"/>
        <w:adjustRightInd w:val="0"/>
        <w:jc w:val="both"/>
        <w:rPr>
          <w:iCs/>
          <w:color w:val="000000" w:themeColor="text1"/>
          <w:sz w:val="16"/>
          <w:szCs w:val="16"/>
        </w:rPr>
      </w:pPr>
    </w:p>
    <w:p w14:paraId="49D282E6" w14:textId="77777777" w:rsidR="00222455" w:rsidRPr="00E14102" w:rsidRDefault="00222455" w:rsidP="00E14102">
      <w:pPr>
        <w:jc w:val="both"/>
        <w:rPr>
          <w:color w:val="000000" w:themeColor="text1"/>
          <w:sz w:val="16"/>
          <w:szCs w:val="16"/>
        </w:rPr>
      </w:pPr>
      <w:r w:rsidRPr="00E14102">
        <w:rPr>
          <w:bCs/>
          <w:color w:val="000000" w:themeColor="text1"/>
          <w:sz w:val="16"/>
          <w:szCs w:val="16"/>
        </w:rPr>
        <w:lastRenderedPageBreak/>
        <w:t>26 марта</w:t>
      </w:r>
      <w:r w:rsidRPr="00E14102">
        <w:rPr>
          <w:color w:val="000000" w:themeColor="text1"/>
          <w:sz w:val="16"/>
          <w:szCs w:val="16"/>
        </w:rPr>
        <w:t xml:space="preserve"> в 1935 году первый полёт транспортно-пассажирского самолёта </w:t>
      </w:r>
      <w:hyperlink r:id="rId69" w:tgtFrame="_blank" w:history="1">
        <w:r w:rsidRPr="00E14102">
          <w:rPr>
            <w:color w:val="000000" w:themeColor="text1"/>
            <w:sz w:val="16"/>
            <w:szCs w:val="16"/>
          </w:rPr>
          <w:t xml:space="preserve">«SM.74» «Millepiedi» </w:t>
        </w:r>
      </w:hyperlink>
      <w:r w:rsidRPr="00E14102">
        <w:rPr>
          <w:color w:val="000000" w:themeColor="text1"/>
          <w:sz w:val="16"/>
          <w:szCs w:val="16"/>
        </w:rPr>
        <w:t>(разработчик: «Savoia-Marchetti», Италия). Испытания самолёта (код I-URBE, серийный номер 21001) не выявили каких-либо серьёзных недостатков и фирме оставалось ждать только подписания контракта на серийный выпуск, однако этого не случилось. Итальянский «SM.74» опоздал. С 1933 года начались поставки знаменитого лайнера «DC-2», а позже и «DC-3», которые могли перевозить такое же количество пассажиров с большей скоростью на большую дальность. Единственным преимуществом самолётов старой схемы оставалась возможность транспортировки крупногабаритных грузов. Единственным заказчиком «SM.74» стала авиакомпания «Ala Littoria» (собственно, по её заказу он и создавался). Было построено ещё два самолёта, получивших регистрационные коды I-APLE (с\н 21002) и I-ROMA (с\н 21003). Второй «SM.74» поступил на испытания 31 мая, а третий - 13 декабря 1935 г. Последний самолёт оснащался британскими двигателями «Bristol» "Pegasus"III (845 л.с.) (15080).</w:t>
      </w:r>
    </w:p>
    <w:p w14:paraId="2BF48C38" w14:textId="77777777" w:rsidR="00222455" w:rsidRPr="00E14102" w:rsidRDefault="00222455" w:rsidP="00E14102">
      <w:pPr>
        <w:jc w:val="both"/>
        <w:rPr>
          <w:color w:val="000000" w:themeColor="text1"/>
          <w:sz w:val="16"/>
          <w:szCs w:val="16"/>
        </w:rPr>
      </w:pPr>
    </w:p>
    <w:p w14:paraId="5FB411F0" w14:textId="77777777" w:rsidR="00222455" w:rsidRPr="00E14102" w:rsidRDefault="00222455" w:rsidP="00E14102">
      <w:pPr>
        <w:jc w:val="both"/>
        <w:rPr>
          <w:color w:val="000000" w:themeColor="text1"/>
          <w:sz w:val="16"/>
          <w:szCs w:val="16"/>
        </w:rPr>
      </w:pPr>
      <w:r w:rsidRPr="00E14102">
        <w:rPr>
          <w:bCs/>
          <w:color w:val="000000" w:themeColor="text1"/>
          <w:sz w:val="16"/>
          <w:szCs w:val="16"/>
        </w:rPr>
        <w:t>26 марта</w:t>
      </w:r>
      <w:r w:rsidRPr="00E14102">
        <w:rPr>
          <w:color w:val="000000" w:themeColor="text1"/>
          <w:sz w:val="16"/>
          <w:szCs w:val="16"/>
        </w:rPr>
        <w:t xml:space="preserve"> в 1935 году в Германии учреждена военная авиация («Люфтваффе») под командованием Германа Геринга (15080).</w:t>
      </w:r>
    </w:p>
    <w:p w14:paraId="1A211CF9" w14:textId="77777777" w:rsidR="00222455" w:rsidRPr="00E14102" w:rsidRDefault="00222455" w:rsidP="00E14102">
      <w:pPr>
        <w:jc w:val="both"/>
        <w:rPr>
          <w:color w:val="000000" w:themeColor="text1"/>
          <w:sz w:val="16"/>
          <w:szCs w:val="16"/>
        </w:rPr>
      </w:pPr>
    </w:p>
    <w:p w14:paraId="03614EC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7190037" w14:textId="77777777" w:rsidR="00D4105E" w:rsidRPr="00E14102" w:rsidRDefault="00D4105E" w:rsidP="00E14102">
      <w:pPr>
        <w:autoSpaceDE w:val="0"/>
        <w:autoSpaceDN w:val="0"/>
        <w:adjustRightInd w:val="0"/>
        <w:jc w:val="both"/>
        <w:rPr>
          <w:iCs/>
          <w:color w:val="000000" w:themeColor="text1"/>
          <w:sz w:val="16"/>
          <w:szCs w:val="16"/>
        </w:rPr>
      </w:pPr>
    </w:p>
    <w:p w14:paraId="0C4933D6" w14:textId="77777777" w:rsidR="008E1D5A" w:rsidRPr="00E14102" w:rsidRDefault="008E1D5A" w:rsidP="00E14102">
      <w:pPr>
        <w:jc w:val="both"/>
        <w:rPr>
          <w:color w:val="0070C0"/>
          <w:sz w:val="16"/>
          <w:szCs w:val="16"/>
        </w:rPr>
      </w:pPr>
      <w:r w:rsidRPr="00E14102">
        <w:rPr>
          <w:color w:val="0070C0"/>
          <w:sz w:val="16"/>
          <w:szCs w:val="16"/>
        </w:rPr>
        <w:t>27 марта 1935 г. на заседании Президиума ЦК было принято решение об участии в Международной авиационной выставке (Salone internazionale aeronautico) в Милане. В повестке дня заседания было указано: «Принять участие в Миланской выставке, ограничившись экспонатами нашей авиапромышленности и гражданской авиации и при условии минимальных затрат на это дело». Организация отправки экспонатов и советской делегации были возложены на начальника Главного управления ГВФ И.Ф.Ткачева (21410).</w:t>
      </w:r>
    </w:p>
    <w:p w14:paraId="6F565FCF" w14:textId="77777777" w:rsidR="008E1D5A" w:rsidRPr="00E14102" w:rsidRDefault="008E1D5A" w:rsidP="00E14102">
      <w:pPr>
        <w:jc w:val="both"/>
        <w:rPr>
          <w:color w:val="0070C0"/>
          <w:sz w:val="16"/>
          <w:szCs w:val="16"/>
        </w:rPr>
      </w:pPr>
    </w:p>
    <w:p w14:paraId="053035D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58E86B9" w14:textId="77777777" w:rsidR="00D4105E" w:rsidRPr="00E14102" w:rsidRDefault="00D4105E" w:rsidP="00E14102">
      <w:pPr>
        <w:autoSpaceDE w:val="0"/>
        <w:autoSpaceDN w:val="0"/>
        <w:adjustRightInd w:val="0"/>
        <w:jc w:val="both"/>
        <w:rPr>
          <w:iCs/>
          <w:color w:val="000000" w:themeColor="text1"/>
          <w:sz w:val="16"/>
          <w:szCs w:val="16"/>
        </w:rPr>
      </w:pPr>
    </w:p>
    <w:p w14:paraId="7F05D5A6" w14:textId="77777777" w:rsidR="008E1D5A" w:rsidRPr="00E14102" w:rsidRDefault="008E1D5A" w:rsidP="00E14102">
      <w:pPr>
        <w:autoSpaceDE w:val="0"/>
        <w:autoSpaceDN w:val="0"/>
        <w:adjustRightInd w:val="0"/>
        <w:jc w:val="both"/>
        <w:rPr>
          <w:color w:val="000000" w:themeColor="text1"/>
          <w:sz w:val="16"/>
          <w:szCs w:val="16"/>
        </w:rPr>
      </w:pPr>
      <w:r w:rsidRPr="00E14102">
        <w:rPr>
          <w:color w:val="000000" w:themeColor="text1"/>
          <w:sz w:val="16"/>
          <w:szCs w:val="16"/>
        </w:rPr>
        <w:t>27 марта 1935 СНК принял постановление "О порядке представления годовых отчетов военной промышленности НКТП" и отчеты должны были поступать в ЦУНХУ Госплана (1566,44).</w:t>
      </w:r>
    </w:p>
    <w:p w14:paraId="1DE2445B" w14:textId="77777777" w:rsidR="008E1D5A" w:rsidRPr="00E14102" w:rsidRDefault="008E1D5A" w:rsidP="00E14102">
      <w:pPr>
        <w:autoSpaceDE w:val="0"/>
        <w:autoSpaceDN w:val="0"/>
        <w:adjustRightInd w:val="0"/>
        <w:jc w:val="both"/>
        <w:rPr>
          <w:color w:val="000000" w:themeColor="text1"/>
          <w:sz w:val="16"/>
          <w:szCs w:val="16"/>
        </w:rPr>
      </w:pPr>
    </w:p>
    <w:p w14:paraId="67D32638" w14:textId="77777777" w:rsidR="001D4E5C" w:rsidRPr="00E14102" w:rsidRDefault="001D4E5C" w:rsidP="00E14102">
      <w:pPr>
        <w:jc w:val="both"/>
        <w:rPr>
          <w:color w:val="000000" w:themeColor="text1"/>
          <w:sz w:val="16"/>
          <w:szCs w:val="16"/>
        </w:rPr>
      </w:pPr>
      <w:r w:rsidRPr="00E14102">
        <w:rPr>
          <w:color w:val="000000" w:themeColor="text1"/>
          <w:sz w:val="16"/>
          <w:szCs w:val="16"/>
        </w:rPr>
        <w:t>27 марта 1935 г. СНК СССР принял постановление "О порядке представления годовых    отчетов военной промышленности Наркомата Тяжелой Промышленности".  В соответствии с этим нормативным документом в  ЦУНХУ Госплана СССР годовые отчеты по основной (производственной) деятельности и капитальному строительству предприятия и тресты военной промышленности предоставляли в полном объеме. В Наркомат Финансов - с исключением сведений о производстве военной продукции в натуральных показателях; в областные и краевые УНХУ - только по мирной продукции.     Таким образом, лишь с 1935 года   статистической базой обобщения итогов работы военной промышленности и составления текущих и перспективных планов ее развития стали годовые отчеты предприятий, т.е.  непосредственных субъектов хозяйственной деятельности. Что касается сведений об экономических итогах работы военной промышленности  в предыдущие годы, то даже сами работники плановых органов выражали большие сомнения по поводу их адекватности реальному положению дел.  Сектор Обороны Госплана СССР в докладе правительству  26 ноября 1932 г., например,  откровенно признавал: "Следует со всей решительностью подчеркнуть, что данные, относящиеся к первым годам пятилетки, настолько малодостоверны, что основываться на них почти невозможно" (18389).</w:t>
      </w:r>
    </w:p>
    <w:p w14:paraId="2A6E2955" w14:textId="77777777" w:rsidR="001D4E5C" w:rsidRPr="00E14102" w:rsidRDefault="001D4E5C" w:rsidP="00E14102">
      <w:pPr>
        <w:jc w:val="both"/>
        <w:rPr>
          <w:color w:val="000000" w:themeColor="text1"/>
          <w:sz w:val="16"/>
          <w:szCs w:val="16"/>
        </w:rPr>
      </w:pPr>
    </w:p>
    <w:p w14:paraId="5F34667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27 марта 1935 года в трех центральных газетах: «Правда», «Известия» и «Красная звезда» было опубликовано постановление ЦИК Союза СССР о награждении ХПЗ орденом Ленина, а также о награждении орденами и Почетными грамотами ЦИК ряда работников этого завода.</w:t>
      </w:r>
    </w:p>
    <w:p w14:paraId="784AB83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Среди награжденных орденом Ленина были директор завода И.П. Бондаренко, начальник дизельного отдела К.Ф.Челпан, инженер-конст</w:t>
      </w:r>
      <w:r w:rsidRPr="00E14102">
        <w:rPr>
          <w:color w:val="000000" w:themeColor="text1"/>
          <w:sz w:val="16"/>
          <w:szCs w:val="16"/>
        </w:rPr>
        <w:softHyphen/>
        <w:t>руктор дизельного отдела Я.Е.Вихман.</w:t>
      </w:r>
    </w:p>
    <w:p w14:paraId="658B0F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Седьмым по списку среди награжденных Почетной грамотой ЦИК СССР значится начальник конструкторского бюро танкового отдела ХПЗ А.О.Фирсов (11504).</w:t>
      </w:r>
    </w:p>
    <w:p w14:paraId="22DA6C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0884AF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77B1CECF" w14:textId="77777777" w:rsidR="00D4105E" w:rsidRPr="00E14102" w:rsidRDefault="00D4105E" w:rsidP="00E14102">
      <w:pPr>
        <w:autoSpaceDE w:val="0"/>
        <w:autoSpaceDN w:val="0"/>
        <w:adjustRightInd w:val="0"/>
        <w:jc w:val="both"/>
        <w:rPr>
          <w:iCs/>
          <w:color w:val="000000" w:themeColor="text1"/>
          <w:sz w:val="16"/>
          <w:szCs w:val="16"/>
        </w:rPr>
      </w:pPr>
    </w:p>
    <w:p w14:paraId="7B57C18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 марта 1935 в СССР установлены чрезвычайные “тройки” НКВД для судов над “врагами народа” (4962).</w:t>
      </w:r>
    </w:p>
    <w:p w14:paraId="70A91CD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2C4E74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 марта 1935 суд в Киеве приговорил лидеров украинских “боротьбистов” к 7-10 годам тюрьмы (4962).</w:t>
      </w:r>
    </w:p>
    <w:p w14:paraId="76E99A6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AD48AA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6D7F59F" w14:textId="77777777" w:rsidR="00D4105E" w:rsidRPr="00E14102" w:rsidRDefault="00D4105E" w:rsidP="00E14102">
      <w:pPr>
        <w:autoSpaceDE w:val="0"/>
        <w:autoSpaceDN w:val="0"/>
        <w:adjustRightInd w:val="0"/>
        <w:jc w:val="both"/>
        <w:rPr>
          <w:iCs/>
          <w:color w:val="000000" w:themeColor="text1"/>
          <w:sz w:val="16"/>
          <w:szCs w:val="16"/>
        </w:rPr>
      </w:pPr>
    </w:p>
    <w:p w14:paraId="65F69D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марта 1935 закончились полеты ДИП (АНТ-29) с М-100 (237,172), которые шли с 14 февраля 1935, когда состоялся первый полет и летал С.А.Корзинщиков. 5 апреля 1935 отправили на доработки (2072,76).</w:t>
      </w:r>
    </w:p>
    <w:p w14:paraId="40FA399F" w14:textId="77777777" w:rsidR="00D4105E" w:rsidRPr="00E14102" w:rsidRDefault="00D4105E" w:rsidP="00E14102">
      <w:pPr>
        <w:autoSpaceDE w:val="0"/>
        <w:autoSpaceDN w:val="0"/>
        <w:adjustRightInd w:val="0"/>
        <w:jc w:val="both"/>
        <w:rPr>
          <w:color w:val="000000" w:themeColor="text1"/>
          <w:sz w:val="16"/>
          <w:szCs w:val="16"/>
        </w:rPr>
      </w:pPr>
    </w:p>
    <w:p w14:paraId="5A815F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марта 1935 К.К.В. писал Г.К.О. в отношении синхронного ШКАС: “...в 1936 все самолеты серийного пр-ва будут выпущены с этими с-пулеметами...” (3996, 72).</w:t>
      </w:r>
    </w:p>
    <w:p w14:paraId="302C4591" w14:textId="77777777" w:rsidR="00D4105E" w:rsidRPr="00E14102" w:rsidRDefault="00D4105E" w:rsidP="00E14102">
      <w:pPr>
        <w:autoSpaceDE w:val="0"/>
        <w:autoSpaceDN w:val="0"/>
        <w:adjustRightInd w:val="0"/>
        <w:jc w:val="both"/>
        <w:rPr>
          <w:color w:val="000000" w:themeColor="text1"/>
          <w:sz w:val="16"/>
          <w:szCs w:val="16"/>
        </w:rPr>
      </w:pPr>
    </w:p>
    <w:p w14:paraId="2D75A2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мар</w:t>
      </w:r>
      <w:r w:rsidRPr="00E14102">
        <w:rPr>
          <w:color w:val="000000" w:themeColor="text1"/>
          <w:sz w:val="16"/>
          <w:szCs w:val="16"/>
        </w:rPr>
        <w:softHyphen/>
        <w:t>та 1935 г. К.Е. Ворошилов писал наркому тяжелой промышленности Г.К. Орджоникидзе: “Опытное са</w:t>
      </w:r>
      <w:r w:rsidRPr="00E14102">
        <w:rPr>
          <w:color w:val="000000" w:themeColor="text1"/>
          <w:sz w:val="16"/>
          <w:szCs w:val="16"/>
        </w:rPr>
        <w:softHyphen/>
        <w:t>молетное строительство и серийное производство мы переводим на пулеметы ШКАС, а в 1936 г. все самолеты серийного производства будут выпускаться только с этими пулеметами” (10695).</w:t>
      </w:r>
    </w:p>
    <w:p w14:paraId="14F40F49" w14:textId="77777777" w:rsidR="00D4105E" w:rsidRPr="00E14102" w:rsidRDefault="00D4105E" w:rsidP="00E14102">
      <w:pPr>
        <w:autoSpaceDE w:val="0"/>
        <w:autoSpaceDN w:val="0"/>
        <w:adjustRightInd w:val="0"/>
        <w:jc w:val="both"/>
        <w:rPr>
          <w:color w:val="000000" w:themeColor="text1"/>
          <w:sz w:val="16"/>
          <w:szCs w:val="16"/>
        </w:rPr>
      </w:pPr>
    </w:p>
    <w:p w14:paraId="71FB11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28 марта 1935 г. К. Е. Ворошилов писал народному комиссару тяжелой промышленности Г. К. Орджоникидзе . </w:t>
      </w:r>
      <w:r w:rsidRPr="00E14102">
        <w:rPr>
          <w:iCs/>
          <w:color w:val="000000" w:themeColor="text1"/>
          <w:sz w:val="16"/>
          <w:szCs w:val="16"/>
        </w:rPr>
        <w:t>«Опытное самолетное строительство и серийное производствомы переводим на пулеметы ШКАС, а в 1936 г. все самолеты серийного производства будут выпускаться только с этими пулеметами»</w:t>
      </w:r>
      <w:r w:rsidRPr="00E14102">
        <w:rPr>
          <w:color w:val="000000" w:themeColor="text1"/>
          <w:sz w:val="16"/>
          <w:szCs w:val="16"/>
        </w:rPr>
        <w:t>.</w:t>
      </w:r>
    </w:p>
    <w:p w14:paraId="47D94F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мере развертывания производства пулеметов конструкторы совместно с технологами проводят большую работу по повышению их живучести. Особенность проектирования автоматического оружия заключается в том, что любая незначительная деталь может проявить себя самым неожиданным образом и заставить переделать уже готовую систему. Много неприятностей доставила конструкторам возвратно-боевая пружина. Несмотря на все принятые меры, она часто выходила из строя, не выдерживая более 2500- 2800 выстрелов. Пробовали различные сорта стали, меняли диаметр пружин и толщину проволоки, но ничего не помо-тало, и после определенного количества выстрелов стрельбу приходилось останавливать для замены пружины. Оригинальное решение было найдено Шпитальным, который предложил делать пружину многожильной, витой. Такая пружина, как показали испытания, выдерживала во много раз больше циклов нагрузки, чем обыкновенная, обеспечив живучесть пружины на уровне остальных деталей. «24 декабря 1934 г. закончено испытание пулемета ШКАС с витой трехжильной возвратно-боевой пружиной, - говорилось и протоколе полигона, - на котором установлено, что живучесть испытанной витой трехжильной возвратно-боевой пружины равна 14 000 выстрелам, в то время как живучесть обыкновенной одножильной пружины пулемета ШКАС, испытанной в аналогичных условиях с витой, равна в среднем 2500-2800 выстрелам. Таким образом, живучесть витой трехжильной возвратно-боевой пружины в 4,5- 5,5 раза выше по сравнению с обыкновенной одножильной пружиной. Данная живучесть витой трехжильной пружины показывает, что при условии сохранения качества пружины, равного испытанной, и введения к пулемету двух запасных пружин можно полностью обеспечить настоящую живучесть пулемета» (ВИМАИВС, ф. 6р, оп. 1, д. 620, л. 208.) (11316).</w:t>
      </w:r>
    </w:p>
    <w:p w14:paraId="76DA422D" w14:textId="77777777" w:rsidR="00D4105E" w:rsidRPr="00E14102" w:rsidRDefault="00D4105E" w:rsidP="00E14102">
      <w:pPr>
        <w:autoSpaceDE w:val="0"/>
        <w:autoSpaceDN w:val="0"/>
        <w:adjustRightInd w:val="0"/>
        <w:jc w:val="both"/>
        <w:rPr>
          <w:color w:val="000000" w:themeColor="text1"/>
          <w:sz w:val="16"/>
          <w:szCs w:val="16"/>
        </w:rPr>
      </w:pPr>
    </w:p>
    <w:p w14:paraId="2E29B794" w14:textId="77777777" w:rsidR="007049F3"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1746CBB" w14:textId="77777777" w:rsidR="007049F3" w:rsidRPr="00E14102" w:rsidRDefault="007049F3" w:rsidP="00E14102">
      <w:pPr>
        <w:autoSpaceDE w:val="0"/>
        <w:autoSpaceDN w:val="0"/>
        <w:adjustRightInd w:val="0"/>
        <w:jc w:val="both"/>
        <w:rPr>
          <w:iCs/>
          <w:color w:val="000000" w:themeColor="text1"/>
          <w:sz w:val="16"/>
          <w:szCs w:val="16"/>
        </w:rPr>
      </w:pPr>
    </w:p>
    <w:p w14:paraId="3A7BEBBF" w14:textId="77777777" w:rsidR="00745D68" w:rsidRPr="00E14102" w:rsidRDefault="00745D68" w:rsidP="00E14102">
      <w:pPr>
        <w:pStyle w:val="rtejustify"/>
        <w:spacing w:before="0" w:after="0"/>
        <w:rPr>
          <w:color w:val="000000" w:themeColor="text1"/>
          <w:sz w:val="16"/>
          <w:szCs w:val="16"/>
        </w:rPr>
      </w:pPr>
      <w:r w:rsidRPr="00E14102">
        <w:rPr>
          <w:rStyle w:val="a6"/>
          <w:bCs/>
          <w:i w:val="0"/>
          <w:color w:val="000000" w:themeColor="text1"/>
          <w:sz w:val="16"/>
          <w:szCs w:val="16"/>
        </w:rPr>
        <w:t>28 марта 1935 вышел приказ НКТП № 54с.</w:t>
      </w:r>
      <w:r w:rsidRPr="00E14102">
        <w:rPr>
          <w:color w:val="000000" w:themeColor="text1"/>
          <w:sz w:val="16"/>
          <w:szCs w:val="16"/>
        </w:rPr>
        <w:t xml:space="preserve"> Об обеспечении ВИВ и Вохимтреста укупоркой. (РГАЭ. Ф. 7297. Оп. 38. Д. 171. Л. 91</w:t>
      </w:r>
      <w:r w:rsidRPr="00E14102">
        <w:rPr>
          <w:color w:val="000000" w:themeColor="text1"/>
          <w:sz w:val="16"/>
          <w:szCs w:val="16"/>
        </w:rPr>
        <w:noBreakHyphen/>
        <w:t>89) (15246).</w:t>
      </w:r>
    </w:p>
    <w:p w14:paraId="3F0FBF80" w14:textId="77777777" w:rsidR="00745D68" w:rsidRPr="00E14102" w:rsidRDefault="00745D68" w:rsidP="00E14102">
      <w:pPr>
        <w:pStyle w:val="rtejustify"/>
        <w:spacing w:before="0" w:after="0"/>
        <w:rPr>
          <w:color w:val="000000" w:themeColor="text1"/>
          <w:sz w:val="16"/>
          <w:szCs w:val="16"/>
        </w:rPr>
      </w:pPr>
    </w:p>
    <w:p w14:paraId="5A32656B" w14:textId="77777777" w:rsidR="00745D68" w:rsidRPr="00E14102" w:rsidRDefault="00745D68" w:rsidP="00E14102">
      <w:pPr>
        <w:pStyle w:val="rtejustify"/>
        <w:spacing w:before="0" w:after="0"/>
        <w:rPr>
          <w:color w:val="000000" w:themeColor="text1"/>
          <w:sz w:val="16"/>
          <w:szCs w:val="16"/>
        </w:rPr>
      </w:pPr>
      <w:r w:rsidRPr="00E14102">
        <w:rPr>
          <w:rStyle w:val="a6"/>
          <w:bCs/>
          <w:i w:val="0"/>
          <w:color w:val="000000" w:themeColor="text1"/>
          <w:sz w:val="16"/>
          <w:szCs w:val="16"/>
        </w:rPr>
        <w:t>28 марта 1935 вышел приказ НКТП № 53сс.</w:t>
      </w:r>
      <w:r w:rsidRPr="00E14102">
        <w:rPr>
          <w:color w:val="000000" w:themeColor="text1"/>
          <w:sz w:val="16"/>
          <w:szCs w:val="16"/>
        </w:rPr>
        <w:t xml:space="preserve"> О заданиях руководителям объединений и директорам заводов НКТП СССР по обеспечению строительства боевых судов. (РГАЭ. Ф.</w:t>
      </w:r>
      <w:r w:rsidRPr="00E14102">
        <w:rPr>
          <w:color w:val="000000" w:themeColor="text1"/>
          <w:sz w:val="16"/>
          <w:szCs w:val="16"/>
          <w:lang w:val="en-US"/>
        </w:rPr>
        <w:t> </w:t>
      </w:r>
      <w:r w:rsidRPr="00E14102">
        <w:rPr>
          <w:color w:val="000000" w:themeColor="text1"/>
          <w:sz w:val="16"/>
          <w:szCs w:val="16"/>
        </w:rPr>
        <w:t>7297. Оп.</w:t>
      </w:r>
      <w:r w:rsidRPr="00E14102">
        <w:rPr>
          <w:color w:val="000000" w:themeColor="text1"/>
          <w:sz w:val="16"/>
          <w:szCs w:val="16"/>
          <w:lang w:val="en-US"/>
        </w:rPr>
        <w:t> </w:t>
      </w:r>
      <w:r w:rsidRPr="00E14102">
        <w:rPr>
          <w:color w:val="000000" w:themeColor="text1"/>
          <w:sz w:val="16"/>
          <w:szCs w:val="16"/>
        </w:rPr>
        <w:t>38. Д.</w:t>
      </w:r>
      <w:r w:rsidRPr="00E14102">
        <w:rPr>
          <w:color w:val="000000" w:themeColor="text1"/>
          <w:sz w:val="16"/>
          <w:szCs w:val="16"/>
          <w:lang w:val="en-US"/>
        </w:rPr>
        <w:t> </w:t>
      </w:r>
      <w:r w:rsidRPr="00E14102">
        <w:rPr>
          <w:color w:val="000000" w:themeColor="text1"/>
          <w:sz w:val="16"/>
          <w:szCs w:val="16"/>
        </w:rPr>
        <w:t>171. Л.</w:t>
      </w:r>
      <w:r w:rsidRPr="00E14102">
        <w:rPr>
          <w:color w:val="000000" w:themeColor="text1"/>
          <w:sz w:val="16"/>
          <w:szCs w:val="16"/>
          <w:lang w:val="en-US"/>
        </w:rPr>
        <w:t> </w:t>
      </w:r>
      <w:r w:rsidRPr="00E14102">
        <w:rPr>
          <w:color w:val="000000" w:themeColor="text1"/>
          <w:sz w:val="16"/>
          <w:szCs w:val="16"/>
        </w:rPr>
        <w:t>86</w:t>
      </w:r>
      <w:r w:rsidRPr="00E14102">
        <w:rPr>
          <w:color w:val="000000" w:themeColor="text1"/>
          <w:sz w:val="16"/>
          <w:szCs w:val="16"/>
        </w:rPr>
        <w:noBreakHyphen/>
        <w:t>82) (15246).</w:t>
      </w:r>
    </w:p>
    <w:p w14:paraId="5A69A47E" w14:textId="77777777" w:rsidR="00745D68" w:rsidRPr="00E14102" w:rsidRDefault="00745D68" w:rsidP="00E14102">
      <w:pPr>
        <w:pStyle w:val="rtejustify"/>
        <w:spacing w:before="0" w:after="0"/>
        <w:rPr>
          <w:color w:val="000000" w:themeColor="text1"/>
          <w:sz w:val="16"/>
          <w:szCs w:val="16"/>
        </w:rPr>
      </w:pPr>
    </w:p>
    <w:p w14:paraId="21D861D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52D8C49" w14:textId="77777777" w:rsidR="00D4105E" w:rsidRPr="00E14102" w:rsidRDefault="00D4105E" w:rsidP="00E14102">
      <w:pPr>
        <w:autoSpaceDE w:val="0"/>
        <w:autoSpaceDN w:val="0"/>
        <w:adjustRightInd w:val="0"/>
        <w:jc w:val="both"/>
        <w:rPr>
          <w:iCs/>
          <w:color w:val="000000" w:themeColor="text1"/>
          <w:sz w:val="16"/>
          <w:szCs w:val="16"/>
        </w:rPr>
      </w:pPr>
    </w:p>
    <w:p w14:paraId="2B4991DE" w14:textId="77777777" w:rsidR="008E1D5A" w:rsidRPr="00E14102" w:rsidRDefault="008E1D5A" w:rsidP="00E14102">
      <w:pPr>
        <w:jc w:val="both"/>
        <w:rPr>
          <w:color w:val="0070C0"/>
          <w:sz w:val="16"/>
          <w:szCs w:val="16"/>
        </w:rPr>
      </w:pPr>
      <w:r w:rsidRPr="00E14102">
        <w:rPr>
          <w:color w:val="0070C0"/>
          <w:sz w:val="16"/>
          <w:szCs w:val="16"/>
        </w:rPr>
        <w:t>28 марта 1935 -</w:t>
      </w:r>
      <w:r w:rsidRPr="00E14102">
        <w:rPr>
          <w:color w:val="0070C0"/>
          <w:sz w:val="16"/>
          <w:szCs w:val="16"/>
          <w:lang w:val="en-US"/>
        </w:rPr>
        <w:t> </w:t>
      </w:r>
      <w:r w:rsidRPr="00E14102">
        <w:rPr>
          <w:color w:val="0070C0"/>
          <w:sz w:val="16"/>
          <w:szCs w:val="16"/>
        </w:rPr>
        <w:t xml:space="preserve">Первый полёт самолёта-амфибии </w:t>
      </w:r>
      <w:r w:rsidRPr="00E14102">
        <w:rPr>
          <w:color w:val="0070C0"/>
          <w:sz w:val="16"/>
          <w:szCs w:val="16"/>
          <w:lang w:val="en-US"/>
        </w:rPr>
        <w:t>Consolidated</w:t>
      </w:r>
      <w:r w:rsidRPr="00E14102">
        <w:rPr>
          <w:color w:val="0070C0"/>
          <w:sz w:val="16"/>
          <w:szCs w:val="16"/>
        </w:rPr>
        <w:t xml:space="preserve"> </w:t>
      </w:r>
      <w:r w:rsidRPr="00E14102">
        <w:rPr>
          <w:color w:val="0070C0"/>
          <w:sz w:val="16"/>
          <w:szCs w:val="16"/>
          <w:lang w:val="en-US"/>
        </w:rPr>
        <w:t>PBY</w:t>
      </w:r>
      <w:r w:rsidRPr="00E14102">
        <w:rPr>
          <w:color w:val="0070C0"/>
          <w:sz w:val="16"/>
          <w:szCs w:val="16"/>
        </w:rPr>
        <w:t xml:space="preserve"> </w:t>
      </w:r>
      <w:r w:rsidRPr="00E14102">
        <w:rPr>
          <w:color w:val="0070C0"/>
          <w:sz w:val="16"/>
          <w:szCs w:val="16"/>
          <w:lang w:val="en-US"/>
        </w:rPr>
        <w:t>Catalina</w:t>
      </w:r>
      <w:r w:rsidRPr="00E14102">
        <w:rPr>
          <w:color w:val="0070C0"/>
          <w:sz w:val="16"/>
          <w:szCs w:val="16"/>
        </w:rPr>
        <w:t>, США. Выпускавшаяся непрерывно на протяжении десяти лет, она стала самым массовым в мире гидросамолетом - фактически было построено столько этих машин, сколько всех остальных вместе взятых.</w:t>
      </w:r>
    </w:p>
    <w:p w14:paraId="406DBC34" w14:textId="77777777" w:rsidR="008E1D5A" w:rsidRPr="00E14102" w:rsidRDefault="008E1D5A" w:rsidP="00E14102">
      <w:pPr>
        <w:jc w:val="both"/>
        <w:rPr>
          <w:color w:val="0070C0"/>
          <w:sz w:val="16"/>
          <w:szCs w:val="16"/>
        </w:rPr>
      </w:pPr>
      <w:r w:rsidRPr="00E14102">
        <w:rPr>
          <w:color w:val="0070C0"/>
          <w:sz w:val="16"/>
          <w:szCs w:val="16"/>
        </w:rPr>
        <w:t>«Каталины» производились всю Вторую мировую и активно использовались союзниками на тихоокеанском и европейском ТВД. Строились в США и Канаде в 1930-х и 1940-х годах. В СССР строились по лицензии под названием ГСТ. В послевоенное время на некоторые "Каталины", в связи с невозможностью закупки родных американских двигателей, устанавливали отечественные АШ-82 (22554).</w:t>
      </w:r>
    </w:p>
    <w:p w14:paraId="4CD9E677" w14:textId="77777777" w:rsidR="008E1D5A" w:rsidRPr="00E14102" w:rsidRDefault="008E1D5A" w:rsidP="00E14102">
      <w:pPr>
        <w:jc w:val="both"/>
        <w:rPr>
          <w:color w:val="0070C0"/>
          <w:sz w:val="16"/>
          <w:szCs w:val="16"/>
        </w:rPr>
      </w:pPr>
    </w:p>
    <w:p w14:paraId="5E6B3952" w14:textId="77777777" w:rsidR="008E1D5A" w:rsidRPr="00E14102" w:rsidRDefault="008E1D5A" w:rsidP="00E14102">
      <w:pPr>
        <w:jc w:val="both"/>
        <w:rPr>
          <w:color w:val="0070C0"/>
          <w:sz w:val="16"/>
          <w:szCs w:val="16"/>
        </w:rPr>
      </w:pPr>
      <w:r w:rsidRPr="00E14102">
        <w:rPr>
          <w:color w:val="0070C0"/>
          <w:sz w:val="16"/>
          <w:szCs w:val="16"/>
        </w:rPr>
        <w:t>28 марта 1935 состоялся первый полет Кассель 12А (20800).</w:t>
      </w:r>
    </w:p>
    <w:p w14:paraId="5282F3AD" w14:textId="77777777" w:rsidR="008E1D5A" w:rsidRPr="00E14102" w:rsidRDefault="008E1D5A" w:rsidP="00E14102">
      <w:pPr>
        <w:jc w:val="both"/>
        <w:rPr>
          <w:color w:val="0070C0"/>
          <w:sz w:val="16"/>
          <w:szCs w:val="16"/>
        </w:rPr>
      </w:pPr>
    </w:p>
    <w:p w14:paraId="04CB1B7A" w14:textId="77777777" w:rsidR="008E1D5A" w:rsidRPr="00E14102" w:rsidRDefault="008E1D5A" w:rsidP="00E14102">
      <w:pPr>
        <w:jc w:val="both"/>
        <w:rPr>
          <w:color w:val="0070C0"/>
          <w:sz w:val="16"/>
          <w:szCs w:val="16"/>
        </w:rPr>
      </w:pPr>
      <w:r w:rsidRPr="00E14102">
        <w:rPr>
          <w:color w:val="0070C0"/>
          <w:sz w:val="16"/>
          <w:szCs w:val="16"/>
        </w:rPr>
        <w:t>28 марта 1935 Роберт Годдард запускает первую в мире успешную ракету на жидком топливе (20800).</w:t>
      </w:r>
    </w:p>
    <w:p w14:paraId="7EE9D2CF" w14:textId="77777777" w:rsidR="008E1D5A" w:rsidRPr="00E14102" w:rsidRDefault="008E1D5A" w:rsidP="00E14102">
      <w:pPr>
        <w:jc w:val="both"/>
        <w:rPr>
          <w:color w:val="0070C0"/>
          <w:sz w:val="16"/>
          <w:szCs w:val="16"/>
        </w:rPr>
      </w:pPr>
    </w:p>
    <w:p w14:paraId="6B4957F1" w14:textId="77777777" w:rsidR="008E1D5A" w:rsidRPr="00E14102" w:rsidRDefault="008E1D5A" w:rsidP="00E14102">
      <w:pPr>
        <w:jc w:val="both"/>
        <w:rPr>
          <w:color w:val="0070C0"/>
          <w:sz w:val="16"/>
          <w:szCs w:val="16"/>
          <w:lang w:val="en-US"/>
        </w:rPr>
      </w:pPr>
      <w:r w:rsidRPr="00E14102">
        <w:rPr>
          <w:color w:val="0070C0"/>
          <w:sz w:val="16"/>
          <w:szCs w:val="16"/>
        </w:rPr>
        <w:t>28 марта 1935 - Роберт Годдард (Robert Hutchings Goddard, 5.10.1882 - 10.08.1945) осуществил близ города Роквелл (штат Нью-Мексика, США) пуск ракеты с гироскопической системой стабилизации. Ракета весом 60 кг достигла высоты 1600 метров и упала в 4,5 километрах от места старта. В</w:t>
      </w:r>
      <w:r w:rsidRPr="00E14102">
        <w:rPr>
          <w:color w:val="0070C0"/>
          <w:sz w:val="16"/>
          <w:szCs w:val="16"/>
          <w:lang w:val="en-US"/>
        </w:rPr>
        <w:t xml:space="preserve"> </w:t>
      </w:r>
      <w:r w:rsidRPr="00E14102">
        <w:rPr>
          <w:color w:val="0070C0"/>
          <w:sz w:val="16"/>
          <w:szCs w:val="16"/>
        </w:rPr>
        <w:t>полете</w:t>
      </w:r>
      <w:r w:rsidRPr="00E14102">
        <w:rPr>
          <w:color w:val="0070C0"/>
          <w:sz w:val="16"/>
          <w:szCs w:val="16"/>
          <w:lang w:val="en-US"/>
        </w:rPr>
        <w:t xml:space="preserve"> </w:t>
      </w:r>
      <w:r w:rsidRPr="00E14102">
        <w:rPr>
          <w:color w:val="0070C0"/>
          <w:sz w:val="16"/>
          <w:szCs w:val="16"/>
        </w:rPr>
        <w:t>достигнута</w:t>
      </w:r>
      <w:r w:rsidRPr="00E14102">
        <w:rPr>
          <w:color w:val="0070C0"/>
          <w:sz w:val="16"/>
          <w:szCs w:val="16"/>
          <w:lang w:val="en-US"/>
        </w:rPr>
        <w:t xml:space="preserve"> </w:t>
      </w:r>
      <w:r w:rsidRPr="00E14102">
        <w:rPr>
          <w:color w:val="0070C0"/>
          <w:sz w:val="16"/>
          <w:szCs w:val="16"/>
        </w:rPr>
        <w:t>скорость</w:t>
      </w:r>
      <w:r w:rsidRPr="00E14102">
        <w:rPr>
          <w:color w:val="0070C0"/>
          <w:sz w:val="16"/>
          <w:szCs w:val="16"/>
          <w:lang w:val="en-US"/>
        </w:rPr>
        <w:t xml:space="preserve"> 880 </w:t>
      </w:r>
      <w:r w:rsidRPr="00E14102">
        <w:rPr>
          <w:color w:val="0070C0"/>
          <w:sz w:val="16"/>
          <w:szCs w:val="16"/>
        </w:rPr>
        <w:t>километров</w:t>
      </w:r>
      <w:r w:rsidRPr="00E14102">
        <w:rPr>
          <w:color w:val="0070C0"/>
          <w:sz w:val="16"/>
          <w:szCs w:val="16"/>
          <w:lang w:val="en-US"/>
        </w:rPr>
        <w:t xml:space="preserve"> </w:t>
      </w:r>
      <w:r w:rsidRPr="00E14102">
        <w:rPr>
          <w:color w:val="0070C0"/>
          <w:sz w:val="16"/>
          <w:szCs w:val="16"/>
        </w:rPr>
        <w:t>в</w:t>
      </w:r>
      <w:r w:rsidRPr="00E14102">
        <w:rPr>
          <w:color w:val="0070C0"/>
          <w:sz w:val="16"/>
          <w:szCs w:val="16"/>
          <w:lang w:val="en-US"/>
        </w:rPr>
        <w:t xml:space="preserve"> </w:t>
      </w:r>
      <w:r w:rsidRPr="00E14102">
        <w:rPr>
          <w:color w:val="0070C0"/>
          <w:sz w:val="16"/>
          <w:szCs w:val="16"/>
        </w:rPr>
        <w:t>час</w:t>
      </w:r>
      <w:r w:rsidRPr="00E14102">
        <w:rPr>
          <w:color w:val="0070C0"/>
          <w:sz w:val="16"/>
          <w:szCs w:val="16"/>
          <w:lang w:val="en-US"/>
        </w:rPr>
        <w:t xml:space="preserve"> (22554).</w:t>
      </w:r>
    </w:p>
    <w:p w14:paraId="77BFA56B" w14:textId="77777777" w:rsidR="008E1D5A" w:rsidRPr="00E14102" w:rsidRDefault="008E1D5A" w:rsidP="00E14102">
      <w:pPr>
        <w:jc w:val="both"/>
        <w:rPr>
          <w:color w:val="0070C0"/>
          <w:sz w:val="16"/>
          <w:szCs w:val="16"/>
          <w:lang w:val="en-US"/>
        </w:rPr>
      </w:pPr>
    </w:p>
    <w:p w14:paraId="3F6B7B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lang w:val="en-US"/>
        </w:rPr>
        <w:t xml:space="preserve">March 28 1935 Robert Goddard launched the first rocket equipped with gyroscopic controls, which attained a height of 4,800 feet, a horizontal distance of 13,000 feet, and a speed of 550 mph, near Roswell, N. Mex. </w:t>
      </w:r>
      <w:r w:rsidRPr="00E14102">
        <w:rPr>
          <w:color w:val="000000" w:themeColor="text1"/>
          <w:sz w:val="16"/>
          <w:szCs w:val="16"/>
        </w:rPr>
        <w:t>(1038).</w:t>
      </w:r>
    </w:p>
    <w:p w14:paraId="197092F1" w14:textId="77777777" w:rsidR="00D4105E" w:rsidRPr="00E14102" w:rsidRDefault="00D4105E" w:rsidP="00E14102">
      <w:pPr>
        <w:autoSpaceDE w:val="0"/>
        <w:autoSpaceDN w:val="0"/>
        <w:adjustRightInd w:val="0"/>
        <w:jc w:val="both"/>
        <w:rPr>
          <w:color w:val="000000" w:themeColor="text1"/>
          <w:sz w:val="16"/>
          <w:szCs w:val="16"/>
        </w:rPr>
      </w:pPr>
    </w:p>
    <w:p w14:paraId="0EC1E7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марта 1935 Р.Годдард запустил первую ракету, снабженную гироскопическими приборами управления. Ракета поднялась на 4800 футов и по горизонтали пролетела 13 тыс. футов на скорости 550 миль в час (1038).</w:t>
      </w:r>
    </w:p>
    <w:p w14:paraId="3FDC779E" w14:textId="77777777" w:rsidR="00D4105E" w:rsidRPr="00E14102" w:rsidRDefault="00D4105E" w:rsidP="00E14102">
      <w:pPr>
        <w:autoSpaceDE w:val="0"/>
        <w:autoSpaceDN w:val="0"/>
        <w:adjustRightInd w:val="0"/>
        <w:jc w:val="both"/>
        <w:rPr>
          <w:color w:val="000000" w:themeColor="text1"/>
          <w:sz w:val="16"/>
          <w:szCs w:val="16"/>
        </w:rPr>
      </w:pPr>
    </w:p>
    <w:p w14:paraId="07E5C41D" w14:textId="77777777" w:rsidR="007049F3" w:rsidRPr="00E14102" w:rsidRDefault="007049F3" w:rsidP="00E14102">
      <w:pPr>
        <w:jc w:val="both"/>
        <w:rPr>
          <w:color w:val="000000" w:themeColor="text1"/>
          <w:sz w:val="16"/>
          <w:szCs w:val="16"/>
        </w:rPr>
      </w:pPr>
      <w:r w:rsidRPr="00E14102">
        <w:rPr>
          <w:bCs/>
          <w:color w:val="000000" w:themeColor="text1"/>
          <w:sz w:val="16"/>
          <w:szCs w:val="16"/>
        </w:rPr>
        <w:t>28 марта</w:t>
      </w:r>
      <w:r w:rsidRPr="00E14102">
        <w:rPr>
          <w:color w:val="000000" w:themeColor="text1"/>
          <w:sz w:val="16"/>
          <w:szCs w:val="16"/>
        </w:rPr>
        <w:t xml:space="preserve"> в 1935 году Robert Goddart осуществил близ города Роквелл (штат Нью-Мексика, США) пуск ракеты с гироскопической системой стабилизации. Ракета весом 60 кг достигла высоты 1600 метров и упала в 4,5 километрах от места старта. В полете достигнута скорость 880 километров в час. Первое использование гироскопа (15082).</w:t>
      </w:r>
    </w:p>
    <w:p w14:paraId="14A14C9A" w14:textId="77777777" w:rsidR="007049F3" w:rsidRPr="00E14102" w:rsidRDefault="007049F3" w:rsidP="00E14102">
      <w:pPr>
        <w:jc w:val="both"/>
        <w:rPr>
          <w:color w:val="000000" w:themeColor="text1"/>
          <w:sz w:val="16"/>
          <w:szCs w:val="16"/>
        </w:rPr>
      </w:pPr>
    </w:p>
    <w:p w14:paraId="0B046F0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марта 1935 в Канаде запрещена радиореклама по воскресеньям (4962).</w:t>
      </w:r>
    </w:p>
    <w:p w14:paraId="442483D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7E375B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C281C23" w14:textId="77777777" w:rsidR="00D4105E" w:rsidRPr="00E14102" w:rsidRDefault="00D4105E" w:rsidP="00E14102">
      <w:pPr>
        <w:autoSpaceDE w:val="0"/>
        <w:autoSpaceDN w:val="0"/>
        <w:adjustRightInd w:val="0"/>
        <w:jc w:val="both"/>
        <w:rPr>
          <w:iCs/>
          <w:color w:val="000000" w:themeColor="text1"/>
          <w:sz w:val="16"/>
          <w:szCs w:val="16"/>
        </w:rPr>
      </w:pPr>
    </w:p>
    <w:p w14:paraId="29CC54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марта 1935 состоялось совещание у врид завода п/я 747 по укреплению хвостовой части ТБ-3 (АНТ-6) (1077,130).</w:t>
      </w:r>
    </w:p>
    <w:p w14:paraId="1EC1D2A4" w14:textId="77777777" w:rsidR="00D4105E" w:rsidRPr="00E14102" w:rsidRDefault="00D4105E" w:rsidP="00E14102">
      <w:pPr>
        <w:autoSpaceDE w:val="0"/>
        <w:autoSpaceDN w:val="0"/>
        <w:adjustRightInd w:val="0"/>
        <w:jc w:val="both"/>
        <w:rPr>
          <w:color w:val="000000" w:themeColor="text1"/>
          <w:sz w:val="16"/>
          <w:szCs w:val="16"/>
        </w:rPr>
      </w:pPr>
    </w:p>
    <w:p w14:paraId="0CBA95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марта 1935 состоялось совместное заседание ГУАП и ЦАГИ и П.О.С. сообщил, что И-14 прошел испытания по синхронным и крыльевым пулеметам (1102).</w:t>
      </w:r>
    </w:p>
    <w:p w14:paraId="6D053020" w14:textId="77777777" w:rsidR="00D4105E" w:rsidRPr="00E14102" w:rsidRDefault="00D4105E" w:rsidP="00E14102">
      <w:pPr>
        <w:autoSpaceDE w:val="0"/>
        <w:autoSpaceDN w:val="0"/>
        <w:adjustRightInd w:val="0"/>
        <w:jc w:val="both"/>
        <w:rPr>
          <w:color w:val="000000" w:themeColor="text1"/>
          <w:sz w:val="16"/>
          <w:szCs w:val="16"/>
        </w:rPr>
      </w:pPr>
    </w:p>
    <w:p w14:paraId="49C645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марта 1935 в газете Известии была статья Кривицкого "Стратоплан" о СБ-1 (2343,226).</w:t>
      </w:r>
    </w:p>
    <w:p w14:paraId="565FA74C" w14:textId="77777777" w:rsidR="00D4105E" w:rsidRPr="00E14102" w:rsidRDefault="00D4105E" w:rsidP="00E14102">
      <w:pPr>
        <w:autoSpaceDE w:val="0"/>
        <w:autoSpaceDN w:val="0"/>
        <w:adjustRightInd w:val="0"/>
        <w:jc w:val="both"/>
        <w:rPr>
          <w:color w:val="000000" w:themeColor="text1"/>
          <w:sz w:val="16"/>
          <w:szCs w:val="16"/>
        </w:rPr>
      </w:pPr>
    </w:p>
    <w:p w14:paraId="2EA1F6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марта 1935 закончились испытания Звена-5 (З-5) из ТБ-3 + подцепка И-зет в воздухе, которые шли с 15 марта 1935. И-зет пилотировался В.А.Степанчонком, а ТБ-3 - П.М.Стефановским. Сначала Степанченок подходил сзади на скорости 140 км/час и обрывал перкалевую ленту. До 21 марта выполнили 25 таких полетов и подцепку выполнили 23 марта. После этого выполнили еще 5 подцепок-отцепок. заключение: (2692,8).</w:t>
      </w:r>
    </w:p>
    <w:p w14:paraId="1675FD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Проведенные испытания показали полную возможность прицепки и отцепки И-зет к ТБ-3 в полете. Наличие незначительных колебаний в гор. плоскости на процесс не влияет</w:t>
      </w:r>
    </w:p>
    <w:p w14:paraId="4786E5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Подвешенный и притянутый И-зет тенденций к срыву и колебаний вокруг всех трех осей на скоростях 125-155 км/час не имеет. Вибраций не наблюдалось. На других режимах испытания не проводились из-за невозможности плотно прижать крыло самолета И-зет к колесам тележки ТБ-3</w:t>
      </w:r>
    </w:p>
    <w:p w14:paraId="1D2BE3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Прицепленный и подтянутый самолет И-зет позволяет лететь с брошенной ручкой</w:t>
      </w:r>
    </w:p>
    <w:p w14:paraId="37C5D4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Связь в полете при осуществлении подцепки зрительная и при помощи записок</w:t>
      </w:r>
    </w:p>
    <w:p w14:paraId="3B6B38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Бомбовая подвеска ТБ-3 в данном варианте только под консольным держателем ДЕР-13 или ДЕР-23 (2692,8).</w:t>
      </w:r>
    </w:p>
    <w:p w14:paraId="1B52C835" w14:textId="77777777" w:rsidR="00D4105E" w:rsidRPr="00E14102" w:rsidRDefault="00D4105E" w:rsidP="00E14102">
      <w:pPr>
        <w:autoSpaceDE w:val="0"/>
        <w:autoSpaceDN w:val="0"/>
        <w:adjustRightInd w:val="0"/>
        <w:jc w:val="both"/>
        <w:rPr>
          <w:color w:val="000000" w:themeColor="text1"/>
          <w:sz w:val="16"/>
          <w:szCs w:val="16"/>
        </w:rPr>
      </w:pPr>
    </w:p>
    <w:p w14:paraId="51D75F89" w14:textId="77777777" w:rsidR="00353B7D" w:rsidRPr="00E14102" w:rsidRDefault="00353B7D" w:rsidP="00E14102">
      <w:pPr>
        <w:jc w:val="both"/>
        <w:rPr>
          <w:color w:val="000000" w:themeColor="text1"/>
          <w:sz w:val="16"/>
          <w:szCs w:val="16"/>
        </w:rPr>
      </w:pPr>
      <w:r w:rsidRPr="00E14102">
        <w:rPr>
          <w:color w:val="000000" w:themeColor="text1"/>
          <w:sz w:val="16"/>
          <w:szCs w:val="16"/>
        </w:rPr>
        <w:t>29 марта 1935 Степанчёнок, несмотря на болтанку в воздухе, осуществил ещё четыре подцепки и отцепки. Последняя, четвёртая, была сделана с подтягом И-Z к ТБ-3. Сама подцепка занимала 15–20 секунд, а вот на подтягивание самолёта в походное положение (крылья прижаты к колесам бомбардировщика) уходило намного больше времени — до 2,5 минут.</w:t>
      </w:r>
    </w:p>
    <w:p w14:paraId="4E78F325" w14:textId="77777777" w:rsidR="00353B7D" w:rsidRPr="00E14102" w:rsidRDefault="00353B7D" w:rsidP="00E14102">
      <w:pPr>
        <w:jc w:val="both"/>
        <w:rPr>
          <w:color w:val="000000" w:themeColor="text1"/>
          <w:sz w:val="16"/>
          <w:szCs w:val="16"/>
        </w:rPr>
      </w:pPr>
      <w:r w:rsidRPr="00E14102">
        <w:rPr>
          <w:color w:val="000000" w:themeColor="text1"/>
          <w:sz w:val="16"/>
          <w:szCs w:val="16"/>
        </w:rPr>
        <w:t>По результатам полётов было рекомендовано разработать конструкцию захвата типа вертикальной вилки, упрощающую технику зацепления, а также спроектировать питание горючим и маслом от бомбардировщика и техническую связь с подвешенным самолётом (при испытаниях общение между экипажами осуществлялось зрительно — через бомболюк, или передачей записок) (17489).</w:t>
      </w:r>
    </w:p>
    <w:p w14:paraId="1114AD42" w14:textId="77777777" w:rsidR="00353B7D" w:rsidRPr="00E14102" w:rsidRDefault="00353B7D" w:rsidP="00E14102">
      <w:pPr>
        <w:jc w:val="both"/>
        <w:rPr>
          <w:color w:val="000000" w:themeColor="text1"/>
          <w:sz w:val="16"/>
          <w:szCs w:val="16"/>
        </w:rPr>
      </w:pPr>
    </w:p>
    <w:p w14:paraId="614776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марта 1935 был утвержден на объединенном заседании Президиумов ЦС ОХА СССР и РСФСР членом совета содействия планеризму при Управлении авиации ЦС ОХА (10676).</w:t>
      </w:r>
    </w:p>
    <w:p w14:paraId="0D8C59FD" w14:textId="77777777" w:rsidR="00D4105E" w:rsidRPr="00E14102" w:rsidRDefault="00D4105E" w:rsidP="00E14102">
      <w:pPr>
        <w:autoSpaceDE w:val="0"/>
        <w:autoSpaceDN w:val="0"/>
        <w:adjustRightInd w:val="0"/>
        <w:jc w:val="both"/>
        <w:rPr>
          <w:color w:val="000000" w:themeColor="text1"/>
          <w:sz w:val="16"/>
          <w:szCs w:val="16"/>
        </w:rPr>
      </w:pPr>
    </w:p>
    <w:p w14:paraId="5C64EBA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6B0DD47" w14:textId="77777777" w:rsidR="00D4105E" w:rsidRPr="00E14102" w:rsidRDefault="00D4105E" w:rsidP="00E14102">
      <w:pPr>
        <w:autoSpaceDE w:val="0"/>
        <w:autoSpaceDN w:val="0"/>
        <w:adjustRightInd w:val="0"/>
        <w:jc w:val="both"/>
        <w:rPr>
          <w:iCs/>
          <w:color w:val="000000" w:themeColor="text1"/>
          <w:sz w:val="16"/>
          <w:szCs w:val="16"/>
        </w:rPr>
      </w:pPr>
    </w:p>
    <w:p w14:paraId="6A25B9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29 марта по 13 октября 1935 года были проведены войсковые испытания первой 152-мм пушка Б-30 совместно с Б-10. На войсковых испытаниях у Б-30 опять оказалось большое рассеивание снарядов при стрельбе. Доворот обеих систем (Б-30 и Б-10) на угол больший, чем позволял механизм ГН, занимал не менее 25 минут. Б-10 возили в раздельном виде, а Б-30 решили провезти на дистанцию 153 км в нераздельном виде (вес системы 18,2 т) по проселочной дороге. Везти ее пришлось двумя тракторами (цугом). Б-30 была возвращена с пробега, так как на первых же двух километрах она сломала 3 моста и вязла на мокром грунте. В заключении комиссии было сказано: "Б-30 может быть принята на вооружение при устранении замечаний", Б-10 полигонных испытаний не выдержала (3861).</w:t>
      </w:r>
    </w:p>
    <w:p w14:paraId="44481D49" w14:textId="77777777" w:rsidR="00D4105E" w:rsidRPr="00E14102" w:rsidRDefault="00D4105E" w:rsidP="00E14102">
      <w:pPr>
        <w:autoSpaceDE w:val="0"/>
        <w:autoSpaceDN w:val="0"/>
        <w:adjustRightInd w:val="0"/>
        <w:jc w:val="both"/>
        <w:rPr>
          <w:color w:val="000000" w:themeColor="text1"/>
          <w:sz w:val="16"/>
          <w:szCs w:val="16"/>
        </w:rPr>
      </w:pPr>
    </w:p>
    <w:p w14:paraId="1D984F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марта Уполномоченный НКТП по спецработам Л.В. Курчевский подписал:</w:t>
      </w:r>
    </w:p>
    <w:p w14:paraId="772789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w:t>
      </w:r>
    </w:p>
    <w:p w14:paraId="42C296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достройку 1-й очереди завода № 38 и пуска его в эксплуатацию потребно на 1935 год по нашим заявкам 7303 тысяч рублей, из коих:</w:t>
      </w:r>
    </w:p>
    <w:p w14:paraId="3E01D18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основные производственные цеха – 2210 тысяч рублей.</w:t>
      </w:r>
    </w:p>
    <w:p w14:paraId="66CFD2C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заводской полигон и вспомогательные цеха – 1629 тысяч рублей.</w:t>
      </w:r>
    </w:p>
    <w:p w14:paraId="4DD4FE1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теплосиловые установки – 340 тысяч рублей.</w:t>
      </w:r>
    </w:p>
    <w:p w14:paraId="7F25B41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склады – 198 тысяч рублей.</w:t>
      </w:r>
    </w:p>
    <w:p w14:paraId="647AC57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транспортное устройство – 259 тысяч рублей.</w:t>
      </w:r>
    </w:p>
    <w:p w14:paraId="54F69B2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водопроводно-канализационные и прочие работы – 1072 тысяч рублей.</w:t>
      </w:r>
    </w:p>
    <w:p w14:paraId="13AC26F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жилищное и коммунальное строительство – 1595 тысяч рублей.</w:t>
      </w:r>
    </w:p>
    <w:p w14:paraId="4E5F20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 по заводу № 38 – 7303 тысяч рублей.</w:t>
      </w:r>
    </w:p>
    <w:p w14:paraId="325D82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 При рассмотрении этой заявки в Комиссии Тухачевского потребная на 1935 год сумма была определена в 6800 тысяч рублей.</w:t>
      </w:r>
    </w:p>
    <w:p w14:paraId="4864DC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на оборудование и строительство Переяславского полигона (для обслуживания артиллерийской авиации) необходимо 3000 тысяч рублей, из коих:</w:t>
      </w:r>
    </w:p>
    <w:p w14:paraId="605C4BE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строительство ангаров и аэродромных устройств – 1300 тысяч рублей.</w:t>
      </w:r>
    </w:p>
    <w:p w14:paraId="4FD8A5D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устройство гидростанции и гидроангара – 900 тысяч рублей.</w:t>
      </w:r>
    </w:p>
    <w:p w14:paraId="455E5F6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Оборудование полигона блиндажами, мишенной обстановкой и обслуживающими помещения – 600.</w:t>
      </w:r>
    </w:p>
    <w:p w14:paraId="507DC9E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Жилищное строительство и коммунальное обслуживание – 200.</w:t>
      </w:r>
    </w:p>
    <w:p w14:paraId="04B78F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Испрашиваемые Наркоматом обороны 3000 тысяч рублей на оборудование Ногинского полигона предназначаются для работ по бомбометанию и отношения к артиллерийской авиации не имеют.</w:t>
      </w:r>
    </w:p>
    <w:p w14:paraId="110B6F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с этим необходимо постановление об отчуждении территории в районе расположения эскадрильи (в Переяславле, Ивановской области) для нужд полигона (2426,19).</w:t>
      </w:r>
    </w:p>
    <w:p w14:paraId="7EC88DBF" w14:textId="77777777" w:rsidR="00D4105E" w:rsidRPr="00E14102" w:rsidRDefault="00D4105E" w:rsidP="00E14102">
      <w:pPr>
        <w:autoSpaceDE w:val="0"/>
        <w:autoSpaceDN w:val="0"/>
        <w:adjustRightInd w:val="0"/>
        <w:jc w:val="both"/>
        <w:rPr>
          <w:color w:val="000000" w:themeColor="text1"/>
          <w:sz w:val="16"/>
          <w:szCs w:val="16"/>
        </w:rPr>
      </w:pPr>
    </w:p>
    <w:p w14:paraId="6EF2DE48" w14:textId="77777777" w:rsidR="001D4E5C" w:rsidRPr="00E14102" w:rsidRDefault="001D4E5C" w:rsidP="00E14102">
      <w:pPr>
        <w:pStyle w:val="ad"/>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29 марта 1935 начались полигонные испытани\ опытных образцов СУ-5, при этом к 10 апреля СУ-5-1 прошла 275 км, а СУ-5-2 — 140. Сопровождал их конструктор завода №185 И.С. Бушнев, для которого это была одна из первых работ в данном качестве. Испытания, можно сказать, не задались. В ходе пробега СУ-5-1 механик-водитель умудрился «уронить» машину в канаву, в результате чего была повреждена подвеска. Имелись проблемы и с СУ-5-2: в ходе пробега она повредила опорные катки, которые не имели смазки и перегревались. Кроме того, из-за неумелой езды сломался фрикцион главного сцепления. В связи с выявленными проблемами испытания временно прекратили, а машины отправили на завод. В НИАП отправилось гневное письмо за подписью зам начальника АБТУ КА Г.К. Бокиса. Он обвинил руководство полигона в безобразном отношении к испытуемой технике и потребовал принять меры. Испытания продолжились уже в июне 1935 года. К сентябрю испытания закончились, но НИАП не торопился составлять отчёт, поскольку инженер, который курировал испытания, уехал с полигона на тесты другой техники.</w:t>
      </w:r>
    </w:p>
    <w:p w14:paraId="764660C5" w14:textId="77777777" w:rsidR="001D4E5C" w:rsidRPr="00E14102" w:rsidRDefault="001D4E5C" w:rsidP="00E14102">
      <w:pPr>
        <w:pStyle w:val="ad"/>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lastRenderedPageBreak/>
        <w:t>Несмотря на то, что в программе полигонных испытаний указывались тесты всех трёх машин, уже 11 числа говорилось о том, что испытываться будут всего две машины — СУ-5-1 и СУ-5-2. Что же касается СУ-5-3, то уже с весны 1935 года она начинает «мигать». Больше того, 5 июня 1935 года стало известно, что Завод № 172 им. Молотова отказывается от выполнения заказа на поставку орудий и возвращает чертежи СУ-5-3. В это же самое время аналогичные действия произвели завод №92 и Кировский завод. И если в случае с 76-мм пушкой образца 1902/30 годов, а также со 122-мм гаубицей образца 1910/30 годов ситуация развивалась и далее, то летом 1935 года работы по СУ-5-3 замерли. Иначе и быть не могло: 1935 год стал последним, когда выпускалась НМ (произвели их за это время 15 штук). В результате вместо триплекса остался дуплекс. Кировский завод должен был поставлять 76-мм орудия, завод №172 поставлял 122-мм гаубицы, также в кооперации оставался завод №92 (фактически сами 76-мм пушки поставляли из Горького) (19721).</w:t>
      </w:r>
    </w:p>
    <w:p w14:paraId="04FB6613" w14:textId="77777777" w:rsidR="001D4E5C" w:rsidRPr="00E14102" w:rsidRDefault="001D4E5C" w:rsidP="00E14102">
      <w:pPr>
        <w:pStyle w:val="ad"/>
        <w:spacing w:before="0" w:after="0"/>
        <w:textAlignment w:val="baseline"/>
        <w:rPr>
          <w:rFonts w:ascii="Times New Roman" w:hAnsi="Times New Roman" w:cs="Times New Roman"/>
          <w:color w:val="000000" w:themeColor="text1"/>
          <w:sz w:val="16"/>
          <w:szCs w:val="16"/>
          <w:lang w:val="ru-RU"/>
        </w:rPr>
      </w:pPr>
    </w:p>
    <w:p w14:paraId="3B8787CC" w14:textId="77777777" w:rsidR="00D4105E" w:rsidRPr="00E14102" w:rsidRDefault="004B7965" w:rsidP="00E14102">
      <w:pPr>
        <w:autoSpaceDE w:val="0"/>
        <w:autoSpaceDN w:val="0"/>
        <w:adjustRightInd w:val="0"/>
        <w:jc w:val="both"/>
        <w:rPr>
          <w:iCs/>
          <w:color w:val="000000" w:themeColor="text1"/>
          <w:sz w:val="16"/>
          <w:szCs w:val="16"/>
          <w:lang w:val="en-US"/>
        </w:rPr>
      </w:pPr>
      <w:r w:rsidRPr="00E14102">
        <w:rPr>
          <w:i/>
          <w:iCs/>
          <w:color w:val="000000" w:themeColor="text1"/>
          <w:sz w:val="16"/>
          <w:szCs w:val="16"/>
        </w:rPr>
        <w:t>Жизнь</w:t>
      </w:r>
      <w:r w:rsidRPr="00E14102">
        <w:rPr>
          <w:i/>
          <w:iCs/>
          <w:color w:val="000000" w:themeColor="text1"/>
          <w:sz w:val="16"/>
          <w:szCs w:val="16"/>
          <w:lang w:val="en-US"/>
        </w:rPr>
        <w:t xml:space="preserve"> </w:t>
      </w:r>
      <w:r w:rsidRPr="00E14102">
        <w:rPr>
          <w:i/>
          <w:iCs/>
          <w:color w:val="000000" w:themeColor="text1"/>
          <w:sz w:val="16"/>
          <w:szCs w:val="16"/>
        </w:rPr>
        <w:t>и</w:t>
      </w:r>
      <w:r w:rsidRPr="00E14102">
        <w:rPr>
          <w:i/>
          <w:iCs/>
          <w:color w:val="000000" w:themeColor="text1"/>
          <w:sz w:val="16"/>
          <w:szCs w:val="16"/>
          <w:lang w:val="en-US"/>
        </w:rPr>
        <w:t xml:space="preserve"> </w:t>
      </w:r>
      <w:r w:rsidRPr="00E14102">
        <w:rPr>
          <w:i/>
          <w:iCs/>
          <w:color w:val="000000" w:themeColor="text1"/>
          <w:sz w:val="16"/>
          <w:szCs w:val="16"/>
        </w:rPr>
        <w:t>внутренняя</w:t>
      </w:r>
      <w:r w:rsidRPr="00E14102">
        <w:rPr>
          <w:i/>
          <w:iCs/>
          <w:color w:val="000000" w:themeColor="text1"/>
          <w:sz w:val="16"/>
          <w:szCs w:val="16"/>
          <w:lang w:val="en-US"/>
        </w:rPr>
        <w:t xml:space="preserve"> </w:t>
      </w:r>
      <w:r w:rsidRPr="00E14102">
        <w:rPr>
          <w:i/>
          <w:iCs/>
          <w:color w:val="000000" w:themeColor="text1"/>
          <w:sz w:val="16"/>
          <w:szCs w:val="16"/>
        </w:rPr>
        <w:t>политика</w:t>
      </w:r>
      <w:r w:rsidRPr="00E14102">
        <w:rPr>
          <w:i/>
          <w:iCs/>
          <w:color w:val="000000" w:themeColor="text1"/>
          <w:sz w:val="16"/>
          <w:szCs w:val="16"/>
          <w:lang w:val="en-US"/>
        </w:rPr>
        <w:t>:</w:t>
      </w:r>
    </w:p>
    <w:p w14:paraId="59716CFB" w14:textId="77777777" w:rsidR="00D4105E" w:rsidRPr="00E14102" w:rsidRDefault="00D4105E" w:rsidP="00E14102">
      <w:pPr>
        <w:autoSpaceDE w:val="0"/>
        <w:autoSpaceDN w:val="0"/>
        <w:adjustRightInd w:val="0"/>
        <w:jc w:val="both"/>
        <w:rPr>
          <w:iCs/>
          <w:color w:val="000000" w:themeColor="text1"/>
          <w:sz w:val="16"/>
          <w:szCs w:val="16"/>
          <w:lang w:val="en-US"/>
        </w:rPr>
      </w:pPr>
    </w:p>
    <w:p w14:paraId="6F6ECB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lang w:val="en-US"/>
        </w:rPr>
        <w:t xml:space="preserve">On March 29, 1935, Zhdanov passed a resolution in Leningrad, criticizing certain leaders for neglecting education work and only doing economic tasks. </w:t>
      </w:r>
      <w:r w:rsidRPr="00E14102">
        <w:rPr>
          <w:color w:val="000000" w:themeColor="text1"/>
          <w:sz w:val="16"/>
          <w:szCs w:val="16"/>
        </w:rPr>
        <w:t>Ideological tasks disappeared in paper work and bureaucracy (1065).</w:t>
      </w:r>
    </w:p>
    <w:p w14:paraId="08745536" w14:textId="77777777" w:rsidR="00D4105E" w:rsidRPr="00E14102" w:rsidRDefault="00D4105E" w:rsidP="00E14102">
      <w:pPr>
        <w:autoSpaceDE w:val="0"/>
        <w:autoSpaceDN w:val="0"/>
        <w:adjustRightInd w:val="0"/>
        <w:jc w:val="both"/>
        <w:rPr>
          <w:color w:val="000000" w:themeColor="text1"/>
          <w:sz w:val="16"/>
          <w:szCs w:val="16"/>
        </w:rPr>
      </w:pPr>
    </w:p>
    <w:p w14:paraId="71F5BB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марта 1935 Жданов выпустил резолюцию с критикой некоторых ленинградских руководителей, пренебрегающих идеологической учебой и занимающихся только экономикой (1065).</w:t>
      </w:r>
    </w:p>
    <w:p w14:paraId="7B224C01" w14:textId="77777777" w:rsidR="00D4105E" w:rsidRPr="00E14102" w:rsidRDefault="00D4105E" w:rsidP="00E14102">
      <w:pPr>
        <w:autoSpaceDE w:val="0"/>
        <w:autoSpaceDN w:val="0"/>
        <w:adjustRightInd w:val="0"/>
        <w:jc w:val="both"/>
        <w:rPr>
          <w:color w:val="000000" w:themeColor="text1"/>
          <w:sz w:val="16"/>
          <w:szCs w:val="16"/>
        </w:rPr>
      </w:pPr>
    </w:p>
    <w:p w14:paraId="6DCAC5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марта 1935 Перервинский участок канала Москва - Волга посетили Горький, Ягода, начальник “Дальстроя” Э. П. Берзин и члены Союза писателей СССР Вс. Иванов и А. С. Щербаков (7560).</w:t>
      </w:r>
    </w:p>
    <w:p w14:paraId="170A0141" w14:textId="77777777" w:rsidR="00D4105E" w:rsidRPr="00E14102" w:rsidRDefault="00D4105E" w:rsidP="00E14102">
      <w:pPr>
        <w:autoSpaceDE w:val="0"/>
        <w:autoSpaceDN w:val="0"/>
        <w:adjustRightInd w:val="0"/>
        <w:jc w:val="both"/>
        <w:rPr>
          <w:color w:val="000000" w:themeColor="text1"/>
          <w:sz w:val="16"/>
          <w:szCs w:val="16"/>
        </w:rPr>
      </w:pPr>
    </w:p>
    <w:p w14:paraId="75DEC9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марта 1935 г. ЦИК и СНК СССР приняли специальное постановление “О мерах по борьбе с хулиганством”, которым предусматривалось упорядочение изготовления и сбыта холодного оружия. Во исполнение этого постановления ГУМ НКВД СССР издает инструкцию “О порядке регистрации, выдаче разрешений на изготовление, приобретение, хранение, сбыт и ношение холодного оружия”. Инструкция определила, что ношение холодного оружия разрешается лишь лицам, которым оно необходимо по роду занятий. Продажа такого оружия осуществлялась под наблюдением милиции и только через магазины государственной и кооперативной торговли (10303).</w:t>
      </w:r>
    </w:p>
    <w:p w14:paraId="7EDD224D" w14:textId="77777777" w:rsidR="00D4105E" w:rsidRPr="00E14102" w:rsidRDefault="00D4105E" w:rsidP="00E14102">
      <w:pPr>
        <w:autoSpaceDE w:val="0"/>
        <w:autoSpaceDN w:val="0"/>
        <w:adjustRightInd w:val="0"/>
        <w:jc w:val="both"/>
        <w:rPr>
          <w:color w:val="000000" w:themeColor="text1"/>
          <w:sz w:val="16"/>
          <w:szCs w:val="16"/>
        </w:rPr>
      </w:pPr>
    </w:p>
    <w:p w14:paraId="0479DF15" w14:textId="77777777" w:rsidR="001D4E5C" w:rsidRPr="00E14102" w:rsidRDefault="001D4E5C" w:rsidP="00E14102">
      <w:pPr>
        <w:jc w:val="both"/>
        <w:rPr>
          <w:color w:val="000000" w:themeColor="text1"/>
          <w:sz w:val="16"/>
          <w:szCs w:val="16"/>
        </w:rPr>
      </w:pPr>
      <w:r w:rsidRPr="00E14102">
        <w:rPr>
          <w:color w:val="000000" w:themeColor="text1"/>
          <w:sz w:val="16"/>
          <w:szCs w:val="16"/>
        </w:rPr>
        <w:t>29 марта 1935 г. в целях предупреждения хулиганства, совершавшегося с использованием холодного оружия, постановлением ЦИК и СНК СССР «О мерах борьбы с хулиганством» запрещались изготовление, приобретение, хранение, сбыт, ношение холодного оружия без предварительного разрешения органов НКВД. Но определенным категориям граждан, проживающим в местностях, где холодное оружие необходимо по условиям промысла и быта, а также являлось принадлежностью национального костюма, разрешалось его ношение без разрешения милиции</w:t>
      </w:r>
      <w:bookmarkStart w:id="8" w:name="annot_23"/>
      <w:r w:rsidR="00B64C5C" w:rsidRPr="00E14102">
        <w:rPr>
          <w:color w:val="000000" w:themeColor="text1"/>
          <w:sz w:val="16"/>
          <w:szCs w:val="16"/>
        </w:rPr>
        <w:fldChar w:fldCharType="begin"/>
      </w:r>
      <w:r w:rsidRPr="00E14102">
        <w:rPr>
          <w:color w:val="000000" w:themeColor="text1"/>
          <w:sz w:val="16"/>
          <w:szCs w:val="16"/>
        </w:rPr>
        <w:instrText xml:space="preserve"> HYPERLINK "https://bstudy.net/621217/pravo/pravovoe_regulirovanie_oborota_oruzhiya_sovetskom_gosudarstve" \l "gads_btm" </w:instrText>
      </w:r>
      <w:r w:rsidR="00B64C5C" w:rsidRPr="00E14102">
        <w:rPr>
          <w:color w:val="000000" w:themeColor="text1"/>
          <w:sz w:val="16"/>
          <w:szCs w:val="16"/>
        </w:rPr>
        <w:fldChar w:fldCharType="separate"/>
      </w:r>
      <w:r w:rsidRPr="00E14102">
        <w:rPr>
          <w:rStyle w:val="a4"/>
          <w:rFonts w:eastAsiaTheme="majorEastAsia"/>
          <w:color w:val="000000" w:themeColor="text1"/>
          <w:sz w:val="16"/>
          <w:szCs w:val="16"/>
        </w:rPr>
        <w:t>[23]</w:t>
      </w:r>
      <w:r w:rsidR="00B64C5C" w:rsidRPr="00E14102">
        <w:rPr>
          <w:color w:val="000000" w:themeColor="text1"/>
          <w:sz w:val="16"/>
          <w:szCs w:val="16"/>
        </w:rPr>
        <w:fldChar w:fldCharType="end"/>
      </w:r>
      <w:bookmarkEnd w:id="8"/>
      <w:r w:rsidRPr="00E14102">
        <w:rPr>
          <w:color w:val="000000" w:themeColor="text1"/>
          <w:sz w:val="16"/>
          <w:szCs w:val="16"/>
        </w:rPr>
        <w:t>.</w:t>
      </w:r>
    </w:p>
    <w:p w14:paraId="526FECE3" w14:textId="77777777" w:rsidR="001D4E5C" w:rsidRPr="00E14102" w:rsidRDefault="001D4E5C" w:rsidP="00E14102">
      <w:pPr>
        <w:jc w:val="both"/>
        <w:rPr>
          <w:color w:val="000000" w:themeColor="text1"/>
          <w:sz w:val="16"/>
          <w:szCs w:val="16"/>
        </w:rPr>
      </w:pPr>
      <w:r w:rsidRPr="00E14102">
        <w:rPr>
          <w:color w:val="000000" w:themeColor="text1"/>
          <w:sz w:val="16"/>
          <w:szCs w:val="16"/>
        </w:rPr>
        <w:t>В соответствии с указанным постановлением Главное управление милиции НКВД СССР издало инструкцию «О порядке регистрации, выдачи разрешений на изготовление, приобретение, хранение, сбыт и ношение холодного оружия», в соответствии с которой лица, имеющие холодное оружие должны были представить его в органы милиции для регистрации и получения соответствующего разрешения на право ношения и хранения, которое выдавалось лишь охотникам и лицам, нуждавшимся в нем по роду занятий. Лица, получившие разрешение на право ношения и хранения оружия, не могли передавать оружие никому другому. Продажа холодного оружия осуществлялась только в магазинах государственной или кооперативной торговли под наблюдением милиции</w:t>
      </w:r>
      <w:bookmarkStart w:id="9" w:name="annot_24"/>
      <w:r w:rsidRPr="00E14102">
        <w:rPr>
          <w:color w:val="000000" w:themeColor="text1"/>
          <w:sz w:val="16"/>
          <w:szCs w:val="16"/>
        </w:rPr>
        <w:t xml:space="preserve"> (18514)</w:t>
      </w:r>
      <w:bookmarkEnd w:id="9"/>
      <w:r w:rsidRPr="00E14102">
        <w:rPr>
          <w:color w:val="000000" w:themeColor="text1"/>
          <w:sz w:val="16"/>
          <w:szCs w:val="16"/>
        </w:rPr>
        <w:t>.</w:t>
      </w:r>
    </w:p>
    <w:p w14:paraId="2ADFAC83" w14:textId="77777777" w:rsidR="001D4E5C" w:rsidRPr="00E14102" w:rsidRDefault="001D4E5C" w:rsidP="00E14102">
      <w:pPr>
        <w:jc w:val="both"/>
        <w:rPr>
          <w:color w:val="000000" w:themeColor="text1"/>
          <w:sz w:val="16"/>
          <w:szCs w:val="16"/>
        </w:rPr>
      </w:pPr>
    </w:p>
    <w:p w14:paraId="4FA26138" w14:textId="77777777" w:rsidR="008E1D5A" w:rsidRPr="00E14102" w:rsidRDefault="008E1D5A"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37884DA" w14:textId="77777777" w:rsidR="008E1D5A" w:rsidRPr="00E14102" w:rsidRDefault="008E1D5A" w:rsidP="00E14102">
      <w:pPr>
        <w:autoSpaceDE w:val="0"/>
        <w:autoSpaceDN w:val="0"/>
        <w:adjustRightInd w:val="0"/>
        <w:jc w:val="both"/>
        <w:rPr>
          <w:iCs/>
          <w:color w:val="000000" w:themeColor="text1"/>
          <w:sz w:val="16"/>
          <w:szCs w:val="16"/>
        </w:rPr>
      </w:pPr>
    </w:p>
    <w:p w14:paraId="75263656" w14:textId="77777777" w:rsidR="008E1D5A" w:rsidRPr="00E14102" w:rsidRDefault="008E1D5A" w:rsidP="00E14102">
      <w:pPr>
        <w:autoSpaceDE w:val="0"/>
        <w:autoSpaceDN w:val="0"/>
        <w:adjustRightInd w:val="0"/>
        <w:jc w:val="both"/>
        <w:rPr>
          <w:color w:val="000000" w:themeColor="text1"/>
          <w:sz w:val="16"/>
          <w:szCs w:val="16"/>
        </w:rPr>
      </w:pPr>
      <w:r w:rsidRPr="00E14102">
        <w:rPr>
          <w:color w:val="000000" w:themeColor="text1"/>
          <w:sz w:val="16"/>
          <w:szCs w:val="16"/>
        </w:rPr>
        <w:t>30 марта 1935 был подготовлен проект:</w:t>
      </w:r>
    </w:p>
    <w:p w14:paraId="55FF70A9" w14:textId="77777777" w:rsidR="008E1D5A" w:rsidRPr="00E14102" w:rsidRDefault="008E1D5A"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 СТО</w:t>
      </w:r>
    </w:p>
    <w:p w14:paraId="4391E121" w14:textId="77777777" w:rsidR="008E1D5A" w:rsidRPr="00E14102" w:rsidRDefault="008E1D5A"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гор. Москва, март 1935 г.</w:t>
      </w:r>
    </w:p>
    <w:p w14:paraId="4E7691BE" w14:textId="77777777" w:rsidR="008E1D5A" w:rsidRPr="00E14102" w:rsidRDefault="008E1D5A"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виду того,что все истребители с моторами водяного охлаждения проектируются и строятся под моторы М-100 (Испано).а не под мотор М-34 РН, С.Т.О. ПОСТАНОВЛЯЕТ:</w:t>
      </w:r>
    </w:p>
    <w:p w14:paraId="35C20F4C" w14:textId="77777777" w:rsidR="008E1D5A" w:rsidRPr="00E14102" w:rsidRDefault="008E1D5A"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НКТП форсировать работы по приспособлению пушек 20 и 37 м/м.на мотор М-100 для установки их на истребительские самолеты.</w:t>
      </w:r>
    </w:p>
    <w:p w14:paraId="70D1B850" w14:textId="77777777" w:rsidR="008E1D5A" w:rsidRPr="00E14102" w:rsidRDefault="008E1D5A"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2.Пункт 1-й (вторая очередь - опытные моторы) из приложения к постановлению СТО от 14/УП-34 г. за № К-91-сс и пункт 11-й постановления СТО от 29/ХП-34 г. № К-205-сс - об установке пушек на мотор М-34 - отменить (3419,40).</w:t>
      </w:r>
    </w:p>
    <w:p w14:paraId="3898CFDF" w14:textId="77777777" w:rsidR="008E1D5A" w:rsidRPr="00E14102" w:rsidRDefault="008E1D5A" w:rsidP="00E14102">
      <w:pPr>
        <w:shd w:val="clear" w:color="auto" w:fill="FFFFFF"/>
        <w:autoSpaceDE w:val="0"/>
        <w:autoSpaceDN w:val="0"/>
        <w:adjustRightInd w:val="0"/>
        <w:jc w:val="both"/>
        <w:rPr>
          <w:color w:val="000000" w:themeColor="text1"/>
          <w:sz w:val="16"/>
          <w:szCs w:val="16"/>
        </w:rPr>
      </w:pPr>
    </w:p>
    <w:p w14:paraId="61E9F49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758CD8C" w14:textId="77777777" w:rsidR="00D4105E" w:rsidRPr="00E14102" w:rsidRDefault="00D4105E" w:rsidP="00E14102">
      <w:pPr>
        <w:autoSpaceDE w:val="0"/>
        <w:autoSpaceDN w:val="0"/>
        <w:adjustRightInd w:val="0"/>
        <w:jc w:val="both"/>
        <w:rPr>
          <w:iCs/>
          <w:color w:val="000000" w:themeColor="text1"/>
          <w:sz w:val="16"/>
          <w:szCs w:val="16"/>
        </w:rPr>
      </w:pPr>
    </w:p>
    <w:p w14:paraId="54D2506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 марта 1935 в СССР объявлено, что незаконное ношение ножа будет наказываться пятью годами тюрьмы (4962).</w:t>
      </w:r>
    </w:p>
    <w:p w14:paraId="2363190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BC4997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3040DF66" w14:textId="77777777" w:rsidR="00D4105E" w:rsidRPr="00E14102" w:rsidRDefault="00D4105E" w:rsidP="00E14102">
      <w:pPr>
        <w:autoSpaceDE w:val="0"/>
        <w:autoSpaceDN w:val="0"/>
        <w:adjustRightInd w:val="0"/>
        <w:jc w:val="both"/>
        <w:rPr>
          <w:iCs/>
          <w:color w:val="000000" w:themeColor="text1"/>
          <w:sz w:val="16"/>
          <w:szCs w:val="16"/>
        </w:rPr>
      </w:pPr>
    </w:p>
    <w:p w14:paraId="43C70C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марта 1935 СССР и Британия договорились об объединении сил против Рейха (2100).</w:t>
      </w:r>
    </w:p>
    <w:p w14:paraId="4628C05A" w14:textId="77777777" w:rsidR="00D4105E" w:rsidRPr="00E14102" w:rsidRDefault="00D4105E" w:rsidP="00E14102">
      <w:pPr>
        <w:autoSpaceDE w:val="0"/>
        <w:autoSpaceDN w:val="0"/>
        <w:adjustRightInd w:val="0"/>
        <w:jc w:val="both"/>
        <w:rPr>
          <w:color w:val="000000" w:themeColor="text1"/>
          <w:sz w:val="16"/>
          <w:szCs w:val="16"/>
        </w:rPr>
      </w:pPr>
    </w:p>
    <w:p w14:paraId="2468144A" w14:textId="77777777" w:rsidR="007049F3"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7DF1B52" w14:textId="77777777" w:rsidR="007049F3" w:rsidRPr="00E14102" w:rsidRDefault="007049F3" w:rsidP="00E14102">
      <w:pPr>
        <w:autoSpaceDE w:val="0"/>
        <w:autoSpaceDN w:val="0"/>
        <w:adjustRightInd w:val="0"/>
        <w:jc w:val="both"/>
        <w:rPr>
          <w:iCs/>
          <w:color w:val="000000" w:themeColor="text1"/>
          <w:sz w:val="16"/>
          <w:szCs w:val="16"/>
        </w:rPr>
      </w:pPr>
    </w:p>
    <w:p w14:paraId="5527FAB8" w14:textId="77777777" w:rsidR="007049F3" w:rsidRPr="00E14102" w:rsidRDefault="007049F3" w:rsidP="00E14102">
      <w:pPr>
        <w:jc w:val="both"/>
        <w:rPr>
          <w:color w:val="000000" w:themeColor="text1"/>
          <w:sz w:val="16"/>
          <w:szCs w:val="16"/>
        </w:rPr>
      </w:pPr>
      <w:r w:rsidRPr="00E14102">
        <w:rPr>
          <w:bCs/>
          <w:color w:val="000000" w:themeColor="text1"/>
          <w:sz w:val="16"/>
          <w:szCs w:val="16"/>
        </w:rPr>
        <w:t>30 марта</w:t>
      </w:r>
      <w:r w:rsidRPr="00E14102">
        <w:rPr>
          <w:color w:val="000000" w:themeColor="text1"/>
          <w:sz w:val="16"/>
          <w:szCs w:val="16"/>
        </w:rPr>
        <w:t xml:space="preserve"> в 1935 году в воздух поднялся итальянский истребитель </w:t>
      </w:r>
      <w:hyperlink r:id="rId70" w:tgtFrame="_blank" w:history="1">
        <w:r w:rsidRPr="00E14102">
          <w:rPr>
            <w:color w:val="000000" w:themeColor="text1"/>
            <w:sz w:val="16"/>
            <w:szCs w:val="16"/>
          </w:rPr>
          <w:t xml:space="preserve">«Fiat» «CR.41». </w:t>
        </w:r>
      </w:hyperlink>
      <w:r w:rsidRPr="00E14102">
        <w:rPr>
          <w:color w:val="000000" w:themeColor="text1"/>
          <w:sz w:val="16"/>
          <w:szCs w:val="16"/>
        </w:rPr>
        <w:t>Хотя в его конструкции сохранился изгиб в основании верхних плоскостей, самолёт сильно выделялся из ряда прототипов увеличенной площадью крыльев и оперения и габаритами двухрядного 14-цилиндрового двигателя воздушного охлаждения «Гном-Рон» 14Kfz "Мистраль Мажор" в 730 л.с. Опытная машина летала как с двухлопастным, так и с трёхлопастным винтом изменяемого шага. Калибр вооружения увеличивали в ходе испытаний. Вместо двух пар пулемётов по 12,7 мм и 7,7 мм устанавливали четыре 12,7мм или две синхронизированные пушки калибра 20 мм. Наибольшая скорость истребителя «CR.41» равнялась 405 км/ч, но она уже не удовлетворяла требования военных (15084).</w:t>
      </w:r>
    </w:p>
    <w:p w14:paraId="79CA4E31" w14:textId="77777777" w:rsidR="007049F3" w:rsidRPr="00E14102" w:rsidRDefault="007049F3" w:rsidP="00E14102">
      <w:pPr>
        <w:jc w:val="both"/>
        <w:rPr>
          <w:color w:val="000000" w:themeColor="text1"/>
          <w:sz w:val="16"/>
          <w:szCs w:val="16"/>
        </w:rPr>
      </w:pPr>
    </w:p>
    <w:p w14:paraId="6126967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06796B8" w14:textId="77777777" w:rsidR="00D4105E" w:rsidRPr="00E14102" w:rsidRDefault="00D4105E" w:rsidP="00E14102">
      <w:pPr>
        <w:autoSpaceDE w:val="0"/>
        <w:autoSpaceDN w:val="0"/>
        <w:adjustRightInd w:val="0"/>
        <w:jc w:val="both"/>
        <w:rPr>
          <w:iCs/>
          <w:color w:val="000000" w:themeColor="text1"/>
          <w:sz w:val="16"/>
          <w:szCs w:val="16"/>
        </w:rPr>
      </w:pPr>
    </w:p>
    <w:p w14:paraId="410DE6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марта 1935 года начальник Самолетного отдела ГУАП"а Железняков писал письмо N 242/1584с директору завода N 22 Миткевичу и директору завода N 124 Мухину.</w:t>
      </w:r>
    </w:p>
    <w:p w14:paraId="4D5E73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необходимостью заменить на серийных самолетах ТБ-3 моторы М-17 и М-34 на моторы М34 РНФ прошу включить в план работы 1935 г. разработку чертежей на постройку одного самолета ТБ-3 с моторами М34РНФ.</w:t>
      </w:r>
    </w:p>
    <w:p w14:paraId="3B8EEA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Календарный план этой работы должен быть построен так, что бы все работы закончить не позднее 1/VIII-35 г., что обеспечит выпуск ТБ-3 М34НРФ в 1936 году на заводе N 124.</w:t>
      </w:r>
    </w:p>
    <w:p w14:paraId="74D48E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Смету и календарный план согласованный с заводом N 124, представить в Самолетный отдел ГУАП"а не позднее 10/IV с.г.</w:t>
      </w:r>
    </w:p>
    <w:p w14:paraId="197268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Основание: Протокол N 29 совещания у нач. ГУАП"а Королева от 20/III-1935 г. (2336,93).</w:t>
      </w:r>
    </w:p>
    <w:p w14:paraId="552968C9" w14:textId="77777777" w:rsidR="00D4105E" w:rsidRPr="00E14102" w:rsidRDefault="00D4105E" w:rsidP="00E14102">
      <w:pPr>
        <w:autoSpaceDE w:val="0"/>
        <w:autoSpaceDN w:val="0"/>
        <w:adjustRightInd w:val="0"/>
        <w:jc w:val="both"/>
        <w:rPr>
          <w:color w:val="000000" w:themeColor="text1"/>
          <w:sz w:val="16"/>
          <w:szCs w:val="16"/>
        </w:rPr>
      </w:pPr>
    </w:p>
    <w:p w14:paraId="30A5DB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марта 1935 года начальник самолетного отдела ГУАП"а Железняков писал письмо N 242/1583с начальнику ЦАГИ Харламову и директору завода N 22 Миткевичу.</w:t>
      </w:r>
    </w:p>
    <w:p w14:paraId="65E0FB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Настоящим прошу проработать вариант постановки форсирования мотора М34ФН на СБ с таким расчетом, чтобы на один из выходящих первых образцов самолета на зав. N 22 поставить этот мотор.</w:t>
      </w:r>
    </w:p>
    <w:p w14:paraId="03243C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Основание: Протокол заседания у начальника ГУАП"а Королева от 20/III с.г. (2336,92).</w:t>
      </w:r>
    </w:p>
    <w:p w14:paraId="203D17E2" w14:textId="77777777" w:rsidR="00D4105E" w:rsidRPr="00E14102" w:rsidRDefault="00D4105E" w:rsidP="00E14102">
      <w:pPr>
        <w:autoSpaceDE w:val="0"/>
        <w:autoSpaceDN w:val="0"/>
        <w:adjustRightInd w:val="0"/>
        <w:jc w:val="both"/>
        <w:rPr>
          <w:color w:val="000000" w:themeColor="text1"/>
          <w:sz w:val="16"/>
          <w:szCs w:val="16"/>
        </w:rPr>
      </w:pPr>
    </w:p>
    <w:p w14:paraId="62C9EE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марта 1935 Зам. Дир. ХАИ Фредин и Нач. НИС Мирошниченко просили ГУАП Машкевича согласно договоренности с Неманом срочно выслать ТУ на ХАИ-5 с К-9 (2343,197).</w:t>
      </w:r>
    </w:p>
    <w:p w14:paraId="77C7EF76" w14:textId="77777777" w:rsidR="00D4105E" w:rsidRPr="00E14102" w:rsidRDefault="00D4105E" w:rsidP="00E14102">
      <w:pPr>
        <w:autoSpaceDE w:val="0"/>
        <w:autoSpaceDN w:val="0"/>
        <w:adjustRightInd w:val="0"/>
        <w:jc w:val="both"/>
        <w:rPr>
          <w:color w:val="000000" w:themeColor="text1"/>
          <w:sz w:val="16"/>
          <w:szCs w:val="16"/>
        </w:rPr>
      </w:pPr>
    </w:p>
    <w:p w14:paraId="6FB4097D" w14:textId="77777777" w:rsidR="008E1D5A" w:rsidRPr="00E14102" w:rsidRDefault="008E1D5A" w:rsidP="00E14102">
      <w:pPr>
        <w:shd w:val="clear" w:color="auto" w:fill="FFFFFF"/>
        <w:jc w:val="both"/>
        <w:rPr>
          <w:color w:val="0070C0"/>
          <w:sz w:val="16"/>
          <w:szCs w:val="16"/>
        </w:rPr>
      </w:pPr>
      <w:r w:rsidRPr="00E14102">
        <w:rPr>
          <w:rStyle w:val="38ArialUnicodeMS65pt"/>
          <w:rFonts w:ascii="Times New Roman" w:hAnsi="Times New Roman" w:cs="Times New Roman"/>
          <w:i w:val="0"/>
          <w:iCs w:val="0"/>
          <w:color w:val="0070C0"/>
          <w:sz w:val="16"/>
          <w:szCs w:val="16"/>
        </w:rPr>
        <w:t>31 марта</w:t>
      </w:r>
      <w:r w:rsidRPr="00E14102">
        <w:rPr>
          <w:rStyle w:val="38ArialUnicodeMS65pt"/>
          <w:rFonts w:ascii="Times New Roman" w:hAnsi="Times New Roman" w:cs="Times New Roman"/>
          <w:i w:val="0"/>
          <w:iCs w:val="0"/>
          <w:color w:val="0070C0"/>
          <w:sz w:val="16"/>
          <w:szCs w:val="16"/>
          <w:lang w:val="ru"/>
        </w:rPr>
        <w:t xml:space="preserve"> </w:t>
      </w:r>
      <w:r w:rsidRPr="00E14102">
        <w:rPr>
          <w:rStyle w:val="38ArialUnicodeMS65pt"/>
          <w:rFonts w:ascii="Times New Roman" w:hAnsi="Times New Roman" w:cs="Times New Roman"/>
          <w:i w:val="0"/>
          <w:iCs w:val="0"/>
          <w:color w:val="0070C0"/>
          <w:sz w:val="16"/>
          <w:szCs w:val="16"/>
        </w:rPr>
        <w:t>1935 года заместитель директора ХАИ Фрейдин и начальник НИСа ХАИ Мирошниченко</w:t>
      </w:r>
      <w:r w:rsidRPr="00E14102">
        <w:rPr>
          <w:rStyle w:val="38ArialUnicodeMS65pt"/>
          <w:rFonts w:ascii="Times New Roman" w:hAnsi="Times New Roman" w:cs="Times New Roman"/>
          <w:i w:val="0"/>
          <w:iCs w:val="0"/>
          <w:color w:val="0070C0"/>
          <w:sz w:val="16"/>
          <w:szCs w:val="16"/>
          <w:lang w:val="ru"/>
        </w:rPr>
        <w:t xml:space="preserve"> </w:t>
      </w:r>
      <w:r w:rsidRPr="00E14102">
        <w:rPr>
          <w:rStyle w:val="38ArialUnicodeMS65pt"/>
          <w:rFonts w:ascii="Times New Roman" w:hAnsi="Times New Roman" w:cs="Times New Roman"/>
          <w:i w:val="0"/>
          <w:iCs w:val="0"/>
          <w:color w:val="0070C0"/>
          <w:sz w:val="16"/>
          <w:szCs w:val="16"/>
        </w:rPr>
        <w:t>подготовили письмо №281с в Самолетный</w:t>
      </w:r>
      <w:r w:rsidRPr="00E14102">
        <w:rPr>
          <w:rStyle w:val="38ArialUnicodeMS65pt"/>
          <w:rFonts w:ascii="Times New Roman" w:hAnsi="Times New Roman" w:cs="Times New Roman"/>
          <w:i w:val="0"/>
          <w:iCs w:val="0"/>
          <w:color w:val="0070C0"/>
          <w:sz w:val="16"/>
          <w:szCs w:val="16"/>
          <w:lang w:val="ru"/>
        </w:rPr>
        <w:t xml:space="preserve"> </w:t>
      </w:r>
      <w:r w:rsidRPr="00E14102">
        <w:rPr>
          <w:rStyle w:val="38ArialUnicodeMS65pt"/>
          <w:rFonts w:ascii="Times New Roman" w:hAnsi="Times New Roman" w:cs="Times New Roman"/>
          <w:i w:val="0"/>
          <w:iCs w:val="0"/>
          <w:color w:val="0070C0"/>
          <w:sz w:val="16"/>
          <w:szCs w:val="16"/>
        </w:rPr>
        <w:t>отдел ГУАП О.О. Машкевичу:</w:t>
      </w:r>
      <w:r w:rsidRPr="00E14102">
        <w:rPr>
          <w:rStyle w:val="381"/>
          <w:rFonts w:ascii="Times New Roman" w:hAnsi="Times New Roman" w:cs="Times New Roman"/>
          <w:color w:val="0070C0"/>
          <w:sz w:val="16"/>
          <w:szCs w:val="16"/>
        </w:rPr>
        <w:t xml:space="preserve"> «Согласно дого</w:t>
      </w:r>
      <w:r w:rsidRPr="00E14102">
        <w:rPr>
          <w:rStyle w:val="381"/>
          <w:rFonts w:ascii="Times New Roman" w:hAnsi="Times New Roman" w:cs="Times New Roman"/>
          <w:color w:val="0070C0"/>
          <w:sz w:val="16"/>
          <w:szCs w:val="16"/>
        </w:rPr>
        <w:softHyphen/>
        <w:t>воренности с Иосифом Григорьевичем Нема</w:t>
      </w:r>
      <w:r w:rsidRPr="00E14102">
        <w:rPr>
          <w:rStyle w:val="381"/>
          <w:rFonts w:ascii="Times New Roman" w:hAnsi="Times New Roman" w:cs="Times New Roman"/>
          <w:color w:val="0070C0"/>
          <w:sz w:val="16"/>
          <w:szCs w:val="16"/>
        </w:rPr>
        <w:softHyphen/>
        <w:t>ном и Вами, самолет ХАИ-5 строится под М-</w:t>
      </w:r>
      <w:r w:rsidRPr="00E14102">
        <w:rPr>
          <w:rStyle w:val="381"/>
          <w:rFonts w:ascii="Times New Roman" w:hAnsi="Times New Roman" w:cs="Times New Roman"/>
          <w:color w:val="0070C0"/>
          <w:sz w:val="16"/>
          <w:szCs w:val="16"/>
          <w:lang w:val="ru"/>
        </w:rPr>
        <w:t xml:space="preserve"> </w:t>
      </w:r>
      <w:r w:rsidRPr="00E14102">
        <w:rPr>
          <w:rStyle w:val="381"/>
          <w:rFonts w:ascii="Times New Roman" w:hAnsi="Times New Roman" w:cs="Times New Roman"/>
          <w:color w:val="0070C0"/>
          <w:sz w:val="16"/>
          <w:szCs w:val="16"/>
        </w:rPr>
        <w:t>22 и К-9. Прошу Вас срочно прислать нам ТУ</w:t>
      </w:r>
      <w:r w:rsidRPr="00E14102">
        <w:rPr>
          <w:rStyle w:val="381"/>
          <w:rFonts w:ascii="Times New Roman" w:hAnsi="Times New Roman" w:cs="Times New Roman"/>
          <w:color w:val="0070C0"/>
          <w:sz w:val="16"/>
          <w:szCs w:val="16"/>
          <w:lang w:val="ru"/>
        </w:rPr>
        <w:t xml:space="preserve"> </w:t>
      </w:r>
      <w:r w:rsidRPr="00E14102">
        <w:rPr>
          <w:rStyle w:val="381"/>
          <w:rFonts w:ascii="Times New Roman" w:hAnsi="Times New Roman" w:cs="Times New Roman"/>
          <w:color w:val="0070C0"/>
          <w:sz w:val="16"/>
          <w:szCs w:val="16"/>
        </w:rPr>
        <w:t>для ХАИ-5 с К-9».</w:t>
      </w:r>
      <w:r w:rsidRPr="00E14102">
        <w:rPr>
          <w:rStyle w:val="38ArialUnicodeMS65pt"/>
          <w:rFonts w:ascii="Times New Roman" w:hAnsi="Times New Roman" w:cs="Times New Roman"/>
          <w:i w:val="0"/>
          <w:iCs w:val="0"/>
          <w:color w:val="0070C0"/>
          <w:sz w:val="16"/>
          <w:szCs w:val="16"/>
        </w:rPr>
        <w:t xml:space="preserve"> На что 23 апреля получили</w:t>
      </w:r>
      <w:r w:rsidRPr="00E14102">
        <w:rPr>
          <w:rStyle w:val="38ArialUnicodeMS65pt"/>
          <w:rFonts w:ascii="Times New Roman" w:hAnsi="Times New Roman" w:cs="Times New Roman"/>
          <w:i w:val="0"/>
          <w:iCs w:val="0"/>
          <w:color w:val="0070C0"/>
          <w:sz w:val="16"/>
          <w:szCs w:val="16"/>
          <w:lang w:val="ru"/>
        </w:rPr>
        <w:t xml:space="preserve"> </w:t>
      </w:r>
      <w:r w:rsidRPr="00E14102">
        <w:rPr>
          <w:rStyle w:val="38ArialUnicodeMS65pt"/>
          <w:rFonts w:ascii="Times New Roman" w:hAnsi="Times New Roman" w:cs="Times New Roman"/>
          <w:i w:val="0"/>
          <w:iCs w:val="0"/>
          <w:color w:val="0070C0"/>
          <w:sz w:val="16"/>
          <w:szCs w:val="16"/>
        </w:rPr>
        <w:t>ответ:</w:t>
      </w:r>
      <w:r w:rsidRPr="00E14102">
        <w:rPr>
          <w:rStyle w:val="381"/>
          <w:rFonts w:ascii="Times New Roman" w:hAnsi="Times New Roman" w:cs="Times New Roman"/>
          <w:color w:val="0070C0"/>
          <w:sz w:val="16"/>
          <w:szCs w:val="16"/>
        </w:rPr>
        <w:t xml:space="preserve"> «ТУ на проектирование самолетаХАИ-</w:t>
      </w:r>
      <w:r w:rsidRPr="00E14102">
        <w:rPr>
          <w:rStyle w:val="381"/>
          <w:rFonts w:ascii="Times New Roman" w:hAnsi="Times New Roman" w:cs="Times New Roman"/>
          <w:color w:val="0070C0"/>
          <w:sz w:val="16"/>
          <w:szCs w:val="16"/>
          <w:lang w:val="ru"/>
        </w:rPr>
        <w:t xml:space="preserve"> </w:t>
      </w:r>
      <w:r w:rsidRPr="00E14102">
        <w:rPr>
          <w:rStyle w:val="381"/>
          <w:rFonts w:ascii="Times New Roman" w:hAnsi="Times New Roman" w:cs="Times New Roman"/>
          <w:color w:val="0070C0"/>
          <w:sz w:val="16"/>
          <w:szCs w:val="16"/>
        </w:rPr>
        <w:t>5 с К-9 Вам посланы не будут (19898).</w:t>
      </w:r>
    </w:p>
    <w:p w14:paraId="68DCFD3D" w14:textId="77777777" w:rsidR="008E1D5A" w:rsidRPr="00E14102" w:rsidRDefault="008E1D5A" w:rsidP="00E14102">
      <w:pPr>
        <w:shd w:val="clear" w:color="auto" w:fill="FFFFFF"/>
        <w:jc w:val="both"/>
        <w:rPr>
          <w:color w:val="0070C0"/>
          <w:sz w:val="16"/>
          <w:szCs w:val="16"/>
        </w:rPr>
      </w:pPr>
    </w:p>
    <w:p w14:paraId="4C3A8CD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31 марта 1935 НКОП Г.К.Орджоникидзе писал письмо ПРЕДСЕДАТЕЛЮ С.Т.О. тов. МОЛОТОВУ.</w:t>
      </w:r>
    </w:p>
    <w:p w14:paraId="7D3AAB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вопросу: Проектирования М34 РН под пушку 20-37 мм.</w:t>
      </w:r>
    </w:p>
    <w:p w14:paraId="4ED867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постановлению Правительства от 14.УП.34 г. в план опыт</w:t>
      </w:r>
      <w:r w:rsidRPr="00E14102">
        <w:rPr>
          <w:color w:val="000000" w:themeColor="text1"/>
          <w:sz w:val="16"/>
          <w:szCs w:val="16"/>
        </w:rPr>
        <w:softHyphen/>
        <w:t>ного моторостроения ГУАП"а было включено задание по проектиро</w:t>
      </w:r>
      <w:r w:rsidRPr="00E14102">
        <w:rPr>
          <w:color w:val="000000" w:themeColor="text1"/>
          <w:sz w:val="16"/>
          <w:szCs w:val="16"/>
        </w:rPr>
        <w:softHyphen/>
        <w:t>ванию мотора М34 РН под пупку 20 м.м.</w:t>
      </w:r>
    </w:p>
    <w:p w14:paraId="5EF95D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Постановлением СТО от 29 декабря 1934 ГУАП"у предложено представить план работ по установке на М34 пушки в 37 мм. Изучение этого вопроса показало:</w:t>
      </w:r>
    </w:p>
    <w:p w14:paraId="1F78F27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Мотор пушка предназначен исключительно для установки на быстроходшкл одномоторных истребителях, каковые в </w:t>
      </w:r>
      <w:r w:rsidRPr="00E14102">
        <w:rPr>
          <w:smallCaps/>
          <w:color w:val="000000" w:themeColor="text1"/>
          <w:sz w:val="16"/>
          <w:szCs w:val="16"/>
        </w:rPr>
        <w:t xml:space="preserve">сбою </w:t>
      </w:r>
      <w:r w:rsidRPr="00E14102">
        <w:rPr>
          <w:color w:val="000000" w:themeColor="text1"/>
          <w:sz w:val="16"/>
          <w:szCs w:val="16"/>
        </w:rPr>
        <w:t>очередь предназначаются для атак по воздушным кораблям противника.</w:t>
      </w:r>
    </w:p>
    <w:p w14:paraId="7DFAE5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одномоторшй самолет типа разведчика мотор-пушка не ставится, т.к. разведчик, не обладая такой маневренностью, как одноместный быстроходный истребитель не сможет активно вести воздушный бой, а основное назначение мотора - пушки - дать возможностъ самолету вести активно воздушный бой с большой силой огня. К тому же и тактическое назначение разведчика совершенно иное - сформулированное в самом названии и для принятия оборонительного боя он вооружен пулеметами.</w:t>
      </w:r>
    </w:p>
    <w:p w14:paraId="1D3D55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многомоторный самолет мотор-пушка не потребуется, так каб пушка может быть установлена в специальной боевой башне, расположенной в фюзеляже или в крыле самолета.</w:t>
      </w:r>
    </w:p>
    <w:p w14:paraId="55081AB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Исследования, проведенные заводами №№ 24 и 39 в этом на</w:t>
      </w:r>
      <w:r w:rsidRPr="00E14102">
        <w:rPr>
          <w:color w:val="000000" w:themeColor="text1"/>
          <w:sz w:val="16"/>
          <w:szCs w:val="16"/>
        </w:rPr>
        <w:softHyphen/>
        <w:t>правлении выявили полную нецелесообразность продолжения этих работ на моторе М34 и наоборот, важность этих работ по мотору М-100 (Испано) по следующим соображениям:</w:t>
      </w:r>
    </w:p>
    <w:p w14:paraId="32F537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w:t>
      </w:r>
    </w:p>
    <w:p w14:paraId="0459F2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Истребитель, построенный под .мотор М34 РН с пушкой не будет.иметь тактического значения и потеряет свои летно-боевые качества как истребитель, так как мотор М34 РН предназначен для установки на тяжелые многомоторные самолеты, в виду своего боль</w:t>
      </w:r>
      <w:r w:rsidRPr="00E14102">
        <w:rPr>
          <w:color w:val="000000" w:themeColor="text1"/>
          <w:sz w:val="16"/>
          <w:szCs w:val="16"/>
        </w:rPr>
        <w:softHyphen/>
        <w:t>шого веса и габаритов в сравнении с мотором Испано-Сюиза, к тому же М34 РН с пушкой будет иметь весьма большой вес -  около 1100 кгр.</w:t>
      </w:r>
    </w:p>
    <w:p w14:paraId="09A6F16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Длина мотора М34 РН с установленной пушкой значительно возрастает - до 3-х мтр.</w:t>
      </w:r>
    </w:p>
    <w:p w14:paraId="6488B8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Редуктор на мотор М34 РН требует установки винта большого диаметра, что для истребителя невозможно.</w:t>
      </w:r>
    </w:p>
    <w:p w14:paraId="6C10ED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На истребители будет устанавливаться мотор Испано-Сюиза, который и по весу и по габаритам значительно эффектней мотора 'М34 РН и последний не сможет конкурировать с Испано-Сюиза, как истребительный мотор с водяным охлаждением, поэтому именно на Испано и нужны пушки 20 и 37 м.м.</w:t>
      </w:r>
    </w:p>
    <w:p w14:paraId="607806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виду изложенного работу по проектированию мотора М34 РН под пушку 20 - 37 мм. надо остановить, форсируя работу в ОКБ2 по приспособлению пушки под Пспано. Проект постановления прилагается (3419,39).</w:t>
      </w:r>
    </w:p>
    <w:p w14:paraId="77AEDE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марта 1935 был подготовлен проект:</w:t>
      </w:r>
    </w:p>
    <w:p w14:paraId="0A9AF9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 СТО</w:t>
      </w:r>
    </w:p>
    <w:p w14:paraId="765C6FD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гор. Москва, март 1935 г.</w:t>
      </w:r>
    </w:p>
    <w:p w14:paraId="533AB6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виду того,что все истребители с моторами водяного охлаждения проектируются и строятся под моторы М-100 (Испано).а не под мотор М-34 РН, С.Т.О. ПОСТАНОВЛЯЕТ:</w:t>
      </w:r>
    </w:p>
    <w:p w14:paraId="0E81366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НКТП форсировать работы по приспособлению пушек 20 и 37 м/м.на мотор М-100 для установки их на истребительские самолеты.</w:t>
      </w:r>
    </w:p>
    <w:p w14:paraId="0E1184D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2.Пункт 1-й (вторая очередь - опытные моторы) из приложения к постановлению СТО от 14/УП-34 г. за № К-91-сс и пункт 11-й постановления СТО от 29/ХП-34 г. № К-205-сс - об установке пушек на мотор М-34 - отменить (3419,40).</w:t>
      </w:r>
    </w:p>
    <w:p w14:paraId="5121B0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483B9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31 марта 1935 г. в сво</w:t>
      </w:r>
      <w:r w:rsidRPr="00E14102">
        <w:rPr>
          <w:color w:val="000000" w:themeColor="text1"/>
          <w:sz w:val="16"/>
          <w:szCs w:val="16"/>
        </w:rPr>
        <w:softHyphen/>
        <w:t>ем письме, адресованном наркому обороны СССР К.Е.Ворошилову, наркому тяжелой промышленности СССР Г.К.Орджоникидзе и замести</w:t>
      </w:r>
      <w:r w:rsidRPr="00E14102">
        <w:rPr>
          <w:color w:val="000000" w:themeColor="text1"/>
          <w:sz w:val="16"/>
          <w:szCs w:val="16"/>
        </w:rPr>
        <w:softHyphen/>
        <w:t>телю наркома обороны СССР М.Н.Тухачевскому он упоминал: «В 1932 г. Артуправление РККА приступило к опытным работам по проектирова</w:t>
      </w:r>
      <w:r w:rsidRPr="00E14102">
        <w:rPr>
          <w:color w:val="000000" w:themeColor="text1"/>
          <w:sz w:val="16"/>
          <w:szCs w:val="16"/>
        </w:rPr>
        <w:softHyphen/>
        <w:t>нию 82- и 132-мм реактивных снарядов для вооружения самолетов. Опы</w:t>
      </w:r>
      <w:r w:rsidRPr="00E14102">
        <w:rPr>
          <w:color w:val="000000" w:themeColor="text1"/>
          <w:sz w:val="16"/>
          <w:szCs w:val="16"/>
        </w:rPr>
        <w:softHyphen/>
        <w:t>ты производились в ГДЛ начальника вооружений РККА, реорганизован</w:t>
      </w:r>
      <w:r w:rsidRPr="00E14102">
        <w:rPr>
          <w:color w:val="000000" w:themeColor="text1"/>
          <w:sz w:val="16"/>
          <w:szCs w:val="16"/>
        </w:rPr>
        <w:softHyphen/>
        <w:t>ной в 1933 г. в РНИИ НКТП.</w:t>
      </w:r>
    </w:p>
    <w:p w14:paraId="1C7A2A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“...Перспективы и выгоды применения реактивных снарядов на самоле</w:t>
      </w:r>
      <w:r w:rsidRPr="00E14102">
        <w:rPr>
          <w:color w:val="000000" w:themeColor="text1"/>
          <w:sz w:val="16"/>
          <w:szCs w:val="16"/>
        </w:rPr>
        <w:softHyphen/>
        <w:t>тах огромны: они позволяют обеспечить нашу авиацию мощными даль</w:t>
      </w:r>
      <w:r w:rsidRPr="00E14102">
        <w:rPr>
          <w:color w:val="000000" w:themeColor="text1"/>
          <w:sz w:val="16"/>
          <w:szCs w:val="16"/>
        </w:rPr>
        <w:softHyphen/>
        <w:t>нобойными огневыми средствами без тяжелых и сложных установок, от</w:t>
      </w:r>
      <w:r w:rsidRPr="00E14102">
        <w:rPr>
          <w:color w:val="000000" w:themeColor="text1"/>
          <w:sz w:val="16"/>
          <w:szCs w:val="16"/>
        </w:rPr>
        <w:softHyphen/>
        <w:t>нимающих значительную часть полезной нагрузки, увеличивающих со</w:t>
      </w:r>
      <w:r w:rsidRPr="00E14102">
        <w:rPr>
          <w:color w:val="000000" w:themeColor="text1"/>
          <w:sz w:val="16"/>
          <w:szCs w:val="16"/>
        </w:rPr>
        <w:softHyphen/>
        <w:t>противление и уменьшающих скорость...» (11402).</w:t>
      </w:r>
    </w:p>
    <w:p w14:paraId="15B5E2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DC2255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31 марта 1935 г. в письме начальника УВВС РККАЯ.И.Алксниса, адресованном наркомам оборо</w:t>
      </w:r>
      <w:r w:rsidRPr="00E14102">
        <w:rPr>
          <w:color w:val="000000" w:themeColor="text1"/>
          <w:sz w:val="16"/>
          <w:szCs w:val="16"/>
        </w:rPr>
        <w:softHyphen/>
        <w:t>ны СССР К.Е.Ворошилову, тяжелой промышленности СССР Г.К.Орд</w:t>
      </w:r>
      <w:r w:rsidRPr="00E14102">
        <w:rPr>
          <w:color w:val="000000" w:themeColor="text1"/>
          <w:sz w:val="16"/>
          <w:szCs w:val="16"/>
        </w:rPr>
        <w:softHyphen/>
        <w:t>жоникидзе и заместителю наркома обороны СССР М.Н.Тухачевскому говорилось: «...Проведенный в течение 1933-34 гг. отстрел реактивных снарядов дал относительно удовлетворительные результаты по меткости и надежности действия. На основании этого, ГАУ (имеется ввиду АУ РККА. - С.Р.) был выдан заказ заводу №75 изготовить к 1 января 1935 г. по 500 штук снаря</w:t>
      </w:r>
      <w:r w:rsidRPr="00E14102">
        <w:rPr>
          <w:color w:val="000000" w:themeColor="text1"/>
          <w:sz w:val="16"/>
          <w:szCs w:val="16"/>
        </w:rPr>
        <w:softHyphen/>
        <w:t>дов каждого калибра для отстрела их с самолета в воздухе. Но этот заказ в 1934 г. не выполнен - снаряды не получены. Работы по отстрелу прекра</w:t>
      </w:r>
      <w:r w:rsidRPr="00E14102">
        <w:rPr>
          <w:color w:val="000000" w:themeColor="text1"/>
          <w:sz w:val="16"/>
          <w:szCs w:val="16"/>
        </w:rPr>
        <w:softHyphen/>
        <w:t>тились.</w:t>
      </w:r>
    </w:p>
    <w:p w14:paraId="1C1FC28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договорам с АУ РККА на 1935 г., заводы №70 и 75 обязаны подать Наркомату Обороны в течение года по 5000 реактивных снарядов 82-и 132-мм калибров для полигонных и войсковых испытаний и оконча</w:t>
      </w:r>
      <w:r w:rsidRPr="00E14102">
        <w:rPr>
          <w:color w:val="000000" w:themeColor="text1"/>
          <w:sz w:val="16"/>
          <w:szCs w:val="16"/>
        </w:rPr>
        <w:softHyphen/>
        <w:t>тельной отработки техники и тактики их применения с самолета. Пер</w:t>
      </w:r>
      <w:r w:rsidRPr="00E14102">
        <w:rPr>
          <w:color w:val="000000" w:themeColor="text1"/>
          <w:sz w:val="16"/>
          <w:szCs w:val="16"/>
        </w:rPr>
        <w:softHyphen/>
        <w:t>вый квартал уже прошел, а снарядов снова нет, и нет реальной перспек</w:t>
      </w:r>
      <w:r w:rsidRPr="00E14102">
        <w:rPr>
          <w:color w:val="000000" w:themeColor="text1"/>
          <w:sz w:val="16"/>
          <w:szCs w:val="16"/>
        </w:rPr>
        <w:softHyphen/>
        <w:t>тивы на их получение в установленные сроки. Таким образом, решение вопроса вооружения нашей авиации реактивными снарядами продолжа</w:t>
      </w:r>
      <w:r w:rsidRPr="00E14102">
        <w:rPr>
          <w:color w:val="000000" w:themeColor="text1"/>
          <w:sz w:val="16"/>
          <w:szCs w:val="16"/>
        </w:rPr>
        <w:softHyphen/>
        <w:t>ет оставаться на месте без всякого продвижения вот уже свыше года.</w:t>
      </w:r>
    </w:p>
    <w:p w14:paraId="09760D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Если не будет Вашего и тов. Орджоникидзе личного вмешательства, это дело исключительной важности и значения и этот наиболее простой и дешевый способ резкого усиления огневой мощи нашей авиации или совсем не будет продвигаться, или пойдет вперед черепашьими темпами. За этой помощью и нажимом я к Вам и обращаюсь...». 6 апреля 1935 г. за подписью Ворошилова на обращение Алксниса от 31 марта 1935 г. красными чернилами была наложена резолюция следующего содержания (пунктуация документа сохранена): «Т.Орджоникидзе! Один раз в прошлом году, я видел на артполигоне стрельбу с самолетов реак</w:t>
      </w:r>
      <w:r w:rsidRPr="00E14102">
        <w:rPr>
          <w:color w:val="000000" w:themeColor="text1"/>
          <w:sz w:val="16"/>
          <w:szCs w:val="16"/>
        </w:rPr>
        <w:softHyphen/>
        <w:t>тивными снарядами - дело это действительно сугубой важности и сроч</w:t>
      </w:r>
      <w:r w:rsidRPr="00E14102">
        <w:rPr>
          <w:color w:val="000000" w:themeColor="text1"/>
          <w:sz w:val="16"/>
          <w:szCs w:val="16"/>
        </w:rPr>
        <w:softHyphen/>
        <w:t>ности - нужно полагать, что наши соседи эту задачу у себя уже разреши-ти поэтому очень прошу уделить и этому делу пару минут и потребовать от кого следует отчета, приказав выполнить заказ. Хорошо принять пред</w:t>
      </w:r>
      <w:r w:rsidRPr="00E14102">
        <w:rPr>
          <w:color w:val="000000" w:themeColor="text1"/>
          <w:sz w:val="16"/>
          <w:szCs w:val="16"/>
        </w:rPr>
        <w:softHyphen/>
        <w:t>ложение Алксниса».</w:t>
      </w:r>
    </w:p>
    <w:p w14:paraId="10E1A5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Между тем, планам начальника вооружений РККА и начальника Уп</w:t>
      </w:r>
      <w:r w:rsidRPr="00E14102">
        <w:rPr>
          <w:color w:val="000000" w:themeColor="text1"/>
          <w:sz w:val="16"/>
          <w:szCs w:val="16"/>
        </w:rPr>
        <w:softHyphen/>
        <w:t>равления Воздушных Сил РККА по завершению программы испытаний РС в 1934 г. и «скорейшего ввода их на вооружение ВВС» препятствова</w:t>
      </w:r>
      <w:r w:rsidRPr="00E14102">
        <w:rPr>
          <w:color w:val="000000" w:themeColor="text1"/>
          <w:sz w:val="16"/>
          <w:szCs w:val="16"/>
        </w:rPr>
        <w:softHyphen/>
        <w:t>ли многие другие обстоятельства объективного, да и субъективного хара</w:t>
      </w:r>
      <w:r w:rsidRPr="00E14102">
        <w:rPr>
          <w:color w:val="000000" w:themeColor="text1"/>
          <w:sz w:val="16"/>
          <w:szCs w:val="16"/>
        </w:rPr>
        <w:softHyphen/>
        <w:t>ктера. Иной раз казалось, что перевод ГДЛ в Москву был совершенно напрасным, поскольку отведенный институту полигон в Софрино необ</w:t>
      </w:r>
      <w:r w:rsidRPr="00E14102">
        <w:rPr>
          <w:color w:val="000000" w:themeColor="text1"/>
          <w:sz w:val="16"/>
          <w:szCs w:val="16"/>
        </w:rPr>
        <w:softHyphen/>
        <w:t>ходимо было строить «с нуля», а прежний артполигон на Ржевке нахо</w:t>
      </w:r>
      <w:r w:rsidRPr="00E14102">
        <w:rPr>
          <w:color w:val="000000" w:themeColor="text1"/>
          <w:sz w:val="16"/>
          <w:szCs w:val="16"/>
        </w:rPr>
        <w:softHyphen/>
        <w:t>дился теперь очень далеко. Начальнику РНИИ НКТП от начальника ОБАА АУ РККА Молодцова и начальника НТО ОБАА АУ РККА Бекке-ра 9 октября 1934 г.: «Ввиду неподготовленности Софринского полигона для отстрела реактивных снарядов на меткость, ОБАА ГАУ предлагает отстрел 82-, 132- и 245-мм ракетных снарядов, изготовленных в РНИИ, производить на НИАП. В соответствии с этим, РНИИ потребуется оформить заявку на ноябрь-декабрь для включения данных отстрелов в план работ НИАП».</w:t>
      </w:r>
    </w:p>
    <w:p w14:paraId="3BA12B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Далее события развивались как в недорогом триллере. На протяже</w:t>
      </w:r>
      <w:r w:rsidRPr="00E14102">
        <w:rPr>
          <w:color w:val="000000" w:themeColor="text1"/>
          <w:sz w:val="16"/>
          <w:szCs w:val="16"/>
        </w:rPr>
        <w:softHyphen/>
        <w:t>нии последующих десятилетий подобная история будет повторяться многократно (при сдаче заказов на изготовление РС практически всех моделей и калибров). Работники советского оборонно-промышленного комплекса постоянно задерживали оплаченные военными плановые за</w:t>
      </w:r>
      <w:r w:rsidRPr="00E14102">
        <w:rPr>
          <w:color w:val="000000" w:themeColor="text1"/>
          <w:sz w:val="16"/>
          <w:szCs w:val="16"/>
        </w:rPr>
        <w:softHyphen/>
        <w:t>казы, зачастую даже не утруждая себя изобретением более убедительных причин подобной волокиты. Между тем время вносило свои коррективы и требовало усовершенствования конструкции авиационных РС. Вот один из примеров того, как с опозданием в два (!) года производственни</w:t>
      </w:r>
      <w:r w:rsidRPr="00E14102">
        <w:rPr>
          <w:color w:val="000000" w:themeColor="text1"/>
          <w:sz w:val="16"/>
          <w:szCs w:val="16"/>
        </w:rPr>
        <w:softHyphen/>
        <w:t>ки пытались отстоять свои интересы (11402).</w:t>
      </w:r>
    </w:p>
    <w:p w14:paraId="3115F6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2AAC8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марта 1935 В.Федорова установила первый в СССР женский рекорд высоты парашютного прыжка и прыгнула с 6350 м со спуском в 22 мин без кислородного прибора (438,682).</w:t>
      </w:r>
    </w:p>
    <w:p w14:paraId="5CCB8A46" w14:textId="77777777" w:rsidR="00D4105E" w:rsidRPr="00E14102" w:rsidRDefault="00D4105E" w:rsidP="00E14102">
      <w:pPr>
        <w:autoSpaceDE w:val="0"/>
        <w:autoSpaceDN w:val="0"/>
        <w:adjustRightInd w:val="0"/>
        <w:jc w:val="both"/>
        <w:rPr>
          <w:color w:val="000000" w:themeColor="text1"/>
          <w:sz w:val="16"/>
          <w:szCs w:val="16"/>
        </w:rPr>
      </w:pPr>
    </w:p>
    <w:p w14:paraId="078490CD" w14:textId="77777777" w:rsidR="007049F3" w:rsidRPr="00E14102" w:rsidRDefault="007049F3" w:rsidP="00E14102">
      <w:pPr>
        <w:jc w:val="both"/>
        <w:rPr>
          <w:color w:val="000000" w:themeColor="text1"/>
          <w:sz w:val="16"/>
          <w:szCs w:val="16"/>
        </w:rPr>
      </w:pPr>
      <w:r w:rsidRPr="00E14102">
        <w:rPr>
          <w:bCs/>
          <w:color w:val="000000" w:themeColor="text1"/>
          <w:sz w:val="16"/>
          <w:szCs w:val="16"/>
        </w:rPr>
        <w:t>31 марта</w:t>
      </w:r>
      <w:r w:rsidRPr="00E14102">
        <w:rPr>
          <w:color w:val="000000" w:themeColor="text1"/>
          <w:sz w:val="16"/>
          <w:szCs w:val="16"/>
        </w:rPr>
        <w:t xml:space="preserve"> в 1935 году Вера Федорова, студентка Ленинградского института имени П.Ф.Лесгафта, выдающаяся парашютистка, установила мировой рекорд высотного прыжка без кислородного прибора (15085).</w:t>
      </w:r>
    </w:p>
    <w:p w14:paraId="03B3B522" w14:textId="77777777" w:rsidR="007049F3" w:rsidRPr="00E14102" w:rsidRDefault="007049F3" w:rsidP="00E14102">
      <w:pPr>
        <w:jc w:val="both"/>
        <w:rPr>
          <w:color w:val="000000" w:themeColor="text1"/>
          <w:sz w:val="16"/>
          <w:szCs w:val="16"/>
        </w:rPr>
      </w:pPr>
    </w:p>
    <w:p w14:paraId="6A16DE85" w14:textId="77777777" w:rsidR="008E1D5A" w:rsidRPr="00E14102" w:rsidRDefault="008E1D5A" w:rsidP="00E14102">
      <w:pPr>
        <w:tabs>
          <w:tab w:val="left" w:pos="5378"/>
        </w:tabs>
        <w:jc w:val="both"/>
        <w:rPr>
          <w:color w:val="0070C0"/>
          <w:sz w:val="16"/>
          <w:szCs w:val="16"/>
          <w:lang w:bidi="ru-RU"/>
        </w:rPr>
      </w:pPr>
      <w:r w:rsidRPr="00E14102">
        <w:rPr>
          <w:color w:val="0070C0"/>
          <w:sz w:val="16"/>
          <w:szCs w:val="16"/>
          <w:lang w:bidi="ru-RU"/>
        </w:rPr>
        <w:t>31 марта 1935</w:t>
      </w:r>
      <w:r w:rsidRPr="00E14102">
        <w:rPr>
          <w:color w:val="0070C0"/>
          <w:sz w:val="16"/>
          <w:szCs w:val="16"/>
        </w:rPr>
        <w:t xml:space="preserve"> опросом членов ПБ</w:t>
      </w:r>
    </w:p>
    <w:p w14:paraId="0A637FC4" w14:textId="77777777" w:rsidR="008E1D5A" w:rsidRPr="00E14102" w:rsidRDefault="008E1D5A" w:rsidP="00E14102">
      <w:pPr>
        <w:jc w:val="both"/>
        <w:rPr>
          <w:color w:val="0070C0"/>
          <w:sz w:val="16"/>
          <w:szCs w:val="16"/>
        </w:rPr>
      </w:pPr>
      <w:r w:rsidRPr="00E14102">
        <w:rPr>
          <w:color w:val="0070C0"/>
          <w:sz w:val="16"/>
          <w:szCs w:val="16"/>
        </w:rPr>
        <w:t>239. О полете стратостата СССР № 1.</w:t>
      </w:r>
    </w:p>
    <w:p w14:paraId="262947D0" w14:textId="77777777" w:rsidR="008E1D5A" w:rsidRPr="00E14102" w:rsidRDefault="008E1D5A" w:rsidP="00E14102">
      <w:pPr>
        <w:jc w:val="both"/>
        <w:rPr>
          <w:color w:val="0070C0"/>
          <w:sz w:val="16"/>
          <w:szCs w:val="16"/>
        </w:rPr>
      </w:pPr>
      <w:r w:rsidRPr="00E14102">
        <w:rPr>
          <w:color w:val="0070C0"/>
          <w:sz w:val="16"/>
          <w:szCs w:val="16"/>
        </w:rPr>
        <w:t>а) Разрешить ИКО в период 1-5 апреля с.г., при на</w:t>
      </w:r>
      <w:r w:rsidRPr="00E14102">
        <w:rPr>
          <w:color w:val="0070C0"/>
          <w:sz w:val="16"/>
          <w:szCs w:val="16"/>
        </w:rPr>
        <w:softHyphen/>
        <w:t>личии хорошей погоды, произвести полот стратостата СССР № 1 в чисто научных целях.</w:t>
      </w:r>
    </w:p>
    <w:p w14:paraId="18B4C697" w14:textId="77777777" w:rsidR="008E1D5A" w:rsidRPr="00E14102" w:rsidRDefault="008E1D5A" w:rsidP="00E14102">
      <w:pPr>
        <w:jc w:val="both"/>
        <w:rPr>
          <w:color w:val="0070C0"/>
          <w:sz w:val="16"/>
          <w:szCs w:val="16"/>
        </w:rPr>
      </w:pPr>
      <w:r w:rsidRPr="00E14102">
        <w:rPr>
          <w:color w:val="0070C0"/>
          <w:sz w:val="16"/>
          <w:szCs w:val="16"/>
        </w:rPr>
        <w:t>б) Экипаж стратостата наметить в следующем составе: Командир стратостата - нач.штаба воздухоплавательн. дивизиона т. Зилло.</w:t>
      </w:r>
    </w:p>
    <w:p w14:paraId="6A334207" w14:textId="77777777" w:rsidR="008E1D5A" w:rsidRPr="00E14102" w:rsidRDefault="008E1D5A" w:rsidP="00E14102">
      <w:pPr>
        <w:jc w:val="both"/>
        <w:rPr>
          <w:color w:val="0070C0"/>
          <w:sz w:val="16"/>
          <w:szCs w:val="16"/>
        </w:rPr>
      </w:pPr>
      <w:r w:rsidRPr="00E14102">
        <w:rPr>
          <w:color w:val="0070C0"/>
          <w:sz w:val="16"/>
          <w:szCs w:val="16"/>
        </w:rPr>
        <w:t>Научный наблюдатель - нач. опытного отдела дивизиона т. Прилуцкий.</w:t>
      </w:r>
    </w:p>
    <w:p w14:paraId="4B790911" w14:textId="77777777" w:rsidR="008E1D5A" w:rsidRPr="00E14102" w:rsidRDefault="008E1D5A" w:rsidP="00E14102">
      <w:pPr>
        <w:jc w:val="both"/>
        <w:rPr>
          <w:color w:val="0070C0"/>
          <w:sz w:val="16"/>
          <w:szCs w:val="16"/>
        </w:rPr>
      </w:pPr>
      <w:r w:rsidRPr="00E14102">
        <w:rPr>
          <w:color w:val="0070C0"/>
          <w:sz w:val="16"/>
          <w:szCs w:val="16"/>
        </w:rPr>
        <w:t>Научный наблюдатель - проф. Вориго.</w:t>
      </w:r>
    </w:p>
    <w:p w14:paraId="7D5DBB0C" w14:textId="77777777" w:rsidR="008E1D5A" w:rsidRPr="00E14102" w:rsidRDefault="008E1D5A" w:rsidP="00E14102">
      <w:pPr>
        <w:jc w:val="both"/>
        <w:rPr>
          <w:color w:val="0070C0"/>
          <w:sz w:val="16"/>
          <w:szCs w:val="16"/>
        </w:rPr>
      </w:pPr>
      <w:r w:rsidRPr="00E14102">
        <w:rPr>
          <w:color w:val="0070C0"/>
          <w:sz w:val="16"/>
          <w:szCs w:val="16"/>
        </w:rPr>
        <w:t>Выписка послана: тов. Ворошилову.</w:t>
      </w:r>
    </w:p>
    <w:p w14:paraId="0FDDAE74" w14:textId="77777777" w:rsidR="008E1D5A" w:rsidRPr="00E14102" w:rsidRDefault="008E1D5A" w:rsidP="00E14102">
      <w:pPr>
        <w:tabs>
          <w:tab w:val="left" w:pos="5378"/>
        </w:tabs>
        <w:jc w:val="both"/>
        <w:rPr>
          <w:color w:val="0070C0"/>
          <w:sz w:val="16"/>
          <w:szCs w:val="16"/>
        </w:rPr>
      </w:pPr>
      <w:r w:rsidRPr="00E14102">
        <w:rPr>
          <w:color w:val="0070C0"/>
          <w:sz w:val="16"/>
          <w:szCs w:val="16"/>
          <w:lang w:bidi="ru-RU"/>
        </w:rPr>
        <w:t>(ПРОТОКОЛ № 23 ЗАСЕДАНИЯ ПОЛИТБЮРО ЦК ВКП(б) от 3 АПРЕЛЯ 1935 года. (Особый №) (22928).</w:t>
      </w:r>
    </w:p>
    <w:p w14:paraId="467A4B9E" w14:textId="77777777" w:rsidR="008E1D5A" w:rsidRPr="00E14102" w:rsidRDefault="008E1D5A" w:rsidP="00E14102">
      <w:pPr>
        <w:jc w:val="both"/>
        <w:rPr>
          <w:color w:val="0070C0"/>
          <w:sz w:val="16"/>
          <w:szCs w:val="16"/>
        </w:rPr>
      </w:pPr>
    </w:p>
    <w:p w14:paraId="203896B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5FAE19E" w14:textId="77777777" w:rsidR="00D4105E" w:rsidRPr="00E14102" w:rsidRDefault="00D4105E" w:rsidP="00E14102">
      <w:pPr>
        <w:autoSpaceDE w:val="0"/>
        <w:autoSpaceDN w:val="0"/>
        <w:adjustRightInd w:val="0"/>
        <w:jc w:val="both"/>
        <w:rPr>
          <w:iCs/>
          <w:color w:val="000000" w:themeColor="text1"/>
          <w:sz w:val="16"/>
          <w:szCs w:val="16"/>
        </w:rPr>
      </w:pPr>
    </w:p>
    <w:p w14:paraId="74AE3C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марта 1935 г. из «Грознефти» был выделен трест «Грознефтезаводы». Однако в мае 1937 г. на базе трестов «Грознефть» и «Грознефтезаводы» был организован единый Грознефтекомбинат. Реорганизации происходили и в других регионах. В январе 1934 г. из треста «Майнефть» выделены Черноморские и Ильские нефтеразведки, разведочная контора и организованы в самостоятельный трест «Кубчернефть» (11232).</w:t>
      </w:r>
    </w:p>
    <w:p w14:paraId="5B62F681" w14:textId="5E5E577B" w:rsidR="00D4105E" w:rsidRPr="00E14102" w:rsidRDefault="00D4105E" w:rsidP="00E14102">
      <w:pPr>
        <w:autoSpaceDE w:val="0"/>
        <w:autoSpaceDN w:val="0"/>
        <w:adjustRightInd w:val="0"/>
        <w:jc w:val="both"/>
        <w:rPr>
          <w:color w:val="000000" w:themeColor="text1"/>
          <w:sz w:val="16"/>
          <w:szCs w:val="16"/>
        </w:rPr>
      </w:pPr>
    </w:p>
    <w:p w14:paraId="644EFA4D" w14:textId="5587CE3D" w:rsidR="008E1D5A" w:rsidRPr="00E14102" w:rsidRDefault="008E1D5A" w:rsidP="00E14102">
      <w:pPr>
        <w:autoSpaceDE w:val="0"/>
        <w:autoSpaceDN w:val="0"/>
        <w:adjustRightInd w:val="0"/>
        <w:jc w:val="both"/>
        <w:rPr>
          <w:i/>
          <w:iCs/>
          <w:color w:val="000000" w:themeColor="text1"/>
          <w:sz w:val="16"/>
          <w:szCs w:val="16"/>
        </w:rPr>
      </w:pPr>
      <w:r w:rsidRPr="00E14102">
        <w:rPr>
          <w:i/>
          <w:iCs/>
          <w:color w:val="000000" w:themeColor="text1"/>
          <w:sz w:val="16"/>
          <w:szCs w:val="16"/>
        </w:rPr>
        <w:t>Армия:</w:t>
      </w:r>
    </w:p>
    <w:p w14:paraId="2856DDD9" w14:textId="77777777" w:rsidR="008E1D5A" w:rsidRPr="00E14102" w:rsidRDefault="008E1D5A" w:rsidP="00E14102">
      <w:pPr>
        <w:autoSpaceDE w:val="0"/>
        <w:autoSpaceDN w:val="0"/>
        <w:adjustRightInd w:val="0"/>
        <w:jc w:val="both"/>
        <w:rPr>
          <w:i/>
          <w:iCs/>
          <w:color w:val="000000" w:themeColor="text1"/>
          <w:sz w:val="16"/>
          <w:szCs w:val="16"/>
        </w:rPr>
      </w:pPr>
    </w:p>
    <w:p w14:paraId="1E73CA4A" w14:textId="77777777" w:rsidR="008E1D5A" w:rsidRPr="00E14102" w:rsidRDefault="008E1D5A" w:rsidP="00E14102">
      <w:pPr>
        <w:shd w:val="clear" w:color="auto" w:fill="FFFFFF"/>
        <w:jc w:val="both"/>
        <w:rPr>
          <w:color w:val="0070C0"/>
          <w:sz w:val="16"/>
          <w:szCs w:val="16"/>
        </w:rPr>
      </w:pPr>
      <w:r w:rsidRPr="00E14102">
        <w:rPr>
          <w:color w:val="0070C0"/>
          <w:sz w:val="16"/>
          <w:szCs w:val="16"/>
        </w:rPr>
        <w:t xml:space="preserve">31 марта 1935 "Правда" опубликовала статью за подписью Тухачевского о "военных планах" Германии, предварительно изученную и измененную Сталиным. Он полностью и без оговорок утвердил основной тезис Тухачевского о якобы свершившемся полном восстановлении германской военной мощи. Отметив (как это сделал Уборевич в докладной записке от 19 февраля), что "возможная продукция мобилизованной германской промышленности общеизвестна", т. е. громадна ("в один-два года она может вооружить армию, какая была у кайзера к концу империалистической войны"), заместитель наркома обороны решительно заявлял: "Таким образом, уже на третий год власти Гитлера вооруженные силы Германии, только сухопутные, достигают мощности довоенной Германии, если учесть, что мобилизационное развертывание в Германии теперь производят утроением, а не удвоением (из семи дивизий развернуты 21)"( Рукопись статьи М. 11. Тухачевского "Военные планы Гитлера" с правкой И. В. Сталина, 2903.1935 // Известия ЦК КПСС. 1990. № 1. С. 162). Для того чтобы получить число пехотных дивизий, близкое развернутым рейхом в 1914 г. (96, из них 52 дивизии первой очереди), Тухачевскому пришлось, во-первых, объявить 36 дивизий, создание которых предусматривалось законом от 16 марта, уже реально сформированными (На деле к концу 1935 г. в сухопутных силах было сформировано 10 из 12 корпусов, предусмотренных мартовским законом "О восстановлении сил национальной обороны", в составе 24 дивизий пехоты, 4 бронетанковых дивизий, 2 дивизий кавалерии, 1 отдельной кавалерийской бригады, 1 горной бригады. Эти данные польской разведки в целом совпадают со сведениями, приводимыми в известной работе Б. Мюллсра-Гиллебрапда (LECZYK М. Op. cit. </w:t>
      </w:r>
      <w:r w:rsidRPr="00E14102">
        <w:rPr>
          <w:color w:val="0070C0"/>
          <w:sz w:val="16"/>
          <w:szCs w:val="16"/>
          <w:lang w:val="en-US"/>
        </w:rPr>
        <w:t>S</w:t>
      </w:r>
      <w:r w:rsidRPr="00E14102">
        <w:rPr>
          <w:color w:val="0070C0"/>
          <w:sz w:val="16"/>
          <w:szCs w:val="16"/>
        </w:rPr>
        <w:t>. 308).). Во-вторых, он нуждался в множителе (коэффициенте мобразвертывания) не меньше трех, и он извлек его из сведений о том, что в 1933-1934 гг. число дивизий рейхсвера якобы увеличилось с 7 до 21.</w:t>
      </w:r>
    </w:p>
    <w:p w14:paraId="5B244A41" w14:textId="77777777" w:rsidR="008E1D5A" w:rsidRPr="00E14102" w:rsidRDefault="008E1D5A" w:rsidP="00E14102">
      <w:pPr>
        <w:shd w:val="clear" w:color="auto" w:fill="FFFFFF"/>
        <w:jc w:val="both"/>
        <w:rPr>
          <w:color w:val="0070C0"/>
          <w:sz w:val="16"/>
          <w:szCs w:val="16"/>
        </w:rPr>
      </w:pPr>
      <w:r w:rsidRPr="00E14102">
        <w:rPr>
          <w:color w:val="0070C0"/>
          <w:sz w:val="16"/>
          <w:szCs w:val="16"/>
        </w:rPr>
        <w:t>Правдоподобность приведенных цифр с точки зрения предположений рейхсвера 1925 г. или развертывания вермахта в 1940 г. лишь оттеняет их нелепость применительно к весне 1935 г. Возможно, в этом сказалось общее пренебрежение Тухачевского проблемами подготовки кадров и отработки мобилизационного запаса, которые немецкие военные, напротив, считали основополагающими. Анализируя в 1925 г. возможность развертывания "большой армии" (68 дивизий полевой армии и 36 дивизий охраны границ), руководители рейхсвера полагали, что недостаток - отсутствие обученных резервов - сделает быстрый переход к ней после 1931 г. невозможным (</w:t>
      </w:r>
      <w:r w:rsidRPr="00E14102">
        <w:rPr>
          <w:color w:val="0070C0"/>
          <w:sz w:val="16"/>
          <w:szCs w:val="16"/>
          <w:lang w:val="en-US"/>
        </w:rPr>
        <w:t>STROH</w:t>
      </w:r>
      <w:r w:rsidRPr="00E14102">
        <w:rPr>
          <w:color w:val="0070C0"/>
          <w:sz w:val="16"/>
          <w:szCs w:val="16"/>
        </w:rPr>
        <w:t xml:space="preserve"> </w:t>
      </w:r>
      <w:r w:rsidRPr="00E14102">
        <w:rPr>
          <w:color w:val="0070C0"/>
          <w:sz w:val="16"/>
          <w:szCs w:val="16"/>
          <w:lang w:val="en-US"/>
        </w:rPr>
        <w:t>N</w:t>
      </w:r>
      <w:r w:rsidRPr="00E14102">
        <w:rPr>
          <w:color w:val="0070C0"/>
          <w:sz w:val="16"/>
          <w:szCs w:val="16"/>
        </w:rPr>
        <w:t xml:space="preserve"> М. </w:t>
      </w:r>
      <w:r w:rsidRPr="00E14102">
        <w:rPr>
          <w:color w:val="0070C0"/>
          <w:sz w:val="16"/>
          <w:szCs w:val="16"/>
          <w:lang w:val="en-US"/>
        </w:rPr>
        <w:t>Hans</w:t>
      </w:r>
      <w:r w:rsidRPr="00E14102">
        <w:rPr>
          <w:color w:val="0070C0"/>
          <w:sz w:val="16"/>
          <w:szCs w:val="16"/>
        </w:rPr>
        <w:t xml:space="preserve"> </w:t>
      </w:r>
      <w:r w:rsidRPr="00E14102">
        <w:rPr>
          <w:color w:val="0070C0"/>
          <w:sz w:val="16"/>
          <w:szCs w:val="16"/>
          <w:lang w:val="en-US"/>
        </w:rPr>
        <w:t>von</w:t>
      </w:r>
      <w:r w:rsidRPr="00E14102">
        <w:rPr>
          <w:color w:val="0070C0"/>
          <w:sz w:val="16"/>
          <w:szCs w:val="16"/>
        </w:rPr>
        <w:t xml:space="preserve"> </w:t>
      </w:r>
      <w:r w:rsidRPr="00E14102">
        <w:rPr>
          <w:color w:val="0070C0"/>
          <w:sz w:val="16"/>
          <w:szCs w:val="16"/>
          <w:lang w:val="en-US"/>
        </w:rPr>
        <w:t>Seeckt</w:t>
      </w:r>
      <w:r w:rsidRPr="00E14102">
        <w:rPr>
          <w:color w:val="0070C0"/>
          <w:sz w:val="16"/>
          <w:szCs w:val="16"/>
        </w:rPr>
        <w:t xml:space="preserve"> </w:t>
      </w:r>
      <w:r w:rsidRPr="00E14102">
        <w:rPr>
          <w:color w:val="0070C0"/>
          <w:sz w:val="16"/>
          <w:szCs w:val="16"/>
          <w:lang w:val="en-US"/>
        </w:rPr>
        <w:t>and</w:t>
      </w:r>
      <w:r w:rsidRPr="00E14102">
        <w:rPr>
          <w:color w:val="0070C0"/>
          <w:sz w:val="16"/>
          <w:szCs w:val="16"/>
        </w:rPr>
        <w:t xml:space="preserve"> </w:t>
      </w:r>
      <w:r w:rsidRPr="00E14102">
        <w:rPr>
          <w:color w:val="0070C0"/>
          <w:sz w:val="16"/>
          <w:szCs w:val="16"/>
          <w:lang w:val="en-US"/>
        </w:rPr>
        <w:t>His</w:t>
      </w:r>
      <w:r w:rsidRPr="00E14102">
        <w:rPr>
          <w:color w:val="0070C0"/>
          <w:sz w:val="16"/>
          <w:szCs w:val="16"/>
        </w:rPr>
        <w:t xml:space="preserve"> </w:t>
      </w:r>
      <w:r w:rsidRPr="00E14102">
        <w:rPr>
          <w:color w:val="0070C0"/>
          <w:sz w:val="16"/>
          <w:szCs w:val="16"/>
          <w:lang w:val="en-US"/>
        </w:rPr>
        <w:t>Vision</w:t>
      </w:r>
      <w:r w:rsidRPr="00E14102">
        <w:rPr>
          <w:color w:val="0070C0"/>
          <w:sz w:val="16"/>
          <w:szCs w:val="16"/>
        </w:rPr>
        <w:t xml:space="preserve"> </w:t>
      </w:r>
      <w:r w:rsidRPr="00E14102">
        <w:rPr>
          <w:color w:val="0070C0"/>
          <w:sz w:val="16"/>
          <w:szCs w:val="16"/>
          <w:lang w:val="en-US"/>
        </w:rPr>
        <w:t>of</w:t>
      </w:r>
      <w:r w:rsidRPr="00E14102">
        <w:rPr>
          <w:color w:val="0070C0"/>
          <w:sz w:val="16"/>
          <w:szCs w:val="16"/>
        </w:rPr>
        <w:t xml:space="preserve"> </w:t>
      </w:r>
      <w:r w:rsidRPr="00E14102">
        <w:rPr>
          <w:color w:val="0070C0"/>
          <w:sz w:val="16"/>
          <w:szCs w:val="16"/>
          <w:lang w:val="en-US"/>
        </w:rPr>
        <w:t>a</w:t>
      </w:r>
      <w:r w:rsidRPr="00E14102">
        <w:rPr>
          <w:color w:val="0070C0"/>
          <w:sz w:val="16"/>
          <w:szCs w:val="16"/>
        </w:rPr>
        <w:t xml:space="preserve"> "</w:t>
      </w:r>
      <w:r w:rsidRPr="00E14102">
        <w:rPr>
          <w:color w:val="0070C0"/>
          <w:sz w:val="16"/>
          <w:szCs w:val="16"/>
          <w:lang w:val="en-US"/>
        </w:rPr>
        <w:t>Modcrn</w:t>
      </w:r>
      <w:r w:rsidRPr="00E14102">
        <w:rPr>
          <w:color w:val="0070C0"/>
          <w:sz w:val="16"/>
          <w:szCs w:val="16"/>
        </w:rPr>
        <w:t xml:space="preserve"> </w:t>
      </w:r>
      <w:r w:rsidRPr="00E14102">
        <w:rPr>
          <w:color w:val="0070C0"/>
          <w:sz w:val="16"/>
          <w:szCs w:val="16"/>
          <w:lang w:val="en-US"/>
        </w:rPr>
        <w:t>Army</w:t>
      </w:r>
      <w:r w:rsidRPr="00E14102">
        <w:rPr>
          <w:color w:val="0070C0"/>
          <w:sz w:val="16"/>
          <w:szCs w:val="16"/>
        </w:rPr>
        <w:t xml:space="preserve">" // </w:t>
      </w:r>
      <w:r w:rsidRPr="00E14102">
        <w:rPr>
          <w:color w:val="0070C0"/>
          <w:sz w:val="16"/>
          <w:szCs w:val="16"/>
          <w:lang w:val="en-US"/>
        </w:rPr>
        <w:t>War</w:t>
      </w:r>
      <w:r w:rsidRPr="00E14102">
        <w:rPr>
          <w:color w:val="0070C0"/>
          <w:sz w:val="16"/>
          <w:szCs w:val="16"/>
        </w:rPr>
        <w:t xml:space="preserve"> </w:t>
      </w:r>
      <w:r w:rsidRPr="00E14102">
        <w:rPr>
          <w:color w:val="0070C0"/>
          <w:sz w:val="16"/>
          <w:szCs w:val="16"/>
          <w:lang w:val="en-US"/>
        </w:rPr>
        <w:t>in</w:t>
      </w:r>
      <w:r w:rsidRPr="00E14102">
        <w:rPr>
          <w:color w:val="0070C0"/>
          <w:sz w:val="16"/>
          <w:szCs w:val="16"/>
        </w:rPr>
        <w:t xml:space="preserve"> </w:t>
      </w:r>
      <w:r w:rsidRPr="00E14102">
        <w:rPr>
          <w:color w:val="0070C0"/>
          <w:sz w:val="16"/>
          <w:szCs w:val="16"/>
          <w:lang w:val="en-US"/>
        </w:rPr>
        <w:t>History</w:t>
      </w:r>
      <w:r w:rsidRPr="00E14102">
        <w:rPr>
          <w:color w:val="0070C0"/>
          <w:sz w:val="16"/>
          <w:szCs w:val="16"/>
        </w:rPr>
        <w:t xml:space="preserve">. 2005- </w:t>
      </w:r>
      <w:r w:rsidRPr="00E14102">
        <w:rPr>
          <w:color w:val="0070C0"/>
          <w:sz w:val="16"/>
          <w:szCs w:val="16"/>
          <w:lang w:val="en-US"/>
        </w:rPr>
        <w:t>Vol</w:t>
      </w:r>
      <w:r w:rsidRPr="00E14102">
        <w:rPr>
          <w:color w:val="0070C0"/>
          <w:sz w:val="16"/>
          <w:szCs w:val="16"/>
        </w:rPr>
        <w:t xml:space="preserve">. 12. № 3- </w:t>
      </w:r>
      <w:r w:rsidRPr="00E14102">
        <w:rPr>
          <w:color w:val="0070C0"/>
          <w:sz w:val="16"/>
          <w:szCs w:val="16"/>
          <w:lang w:val="en-US"/>
        </w:rPr>
        <w:t>P</w:t>
      </w:r>
      <w:r w:rsidRPr="00E14102">
        <w:rPr>
          <w:color w:val="0070C0"/>
          <w:sz w:val="16"/>
          <w:szCs w:val="16"/>
        </w:rPr>
        <w:t>. 323-324). Десятью годами позже задача ускоренной подготовки офицерского и рядового состава для новых формирований вермахта сопровождалась необходимостью обучения шестнадцати возрастов (1900-1916), никогда не призывавшихся на военную службу, для последующего использования в качестве эрзац-резерва (</w:t>
      </w:r>
      <w:r w:rsidRPr="00E14102">
        <w:rPr>
          <w:color w:val="0070C0"/>
          <w:sz w:val="16"/>
          <w:szCs w:val="16"/>
          <w:lang w:val="en-US"/>
        </w:rPr>
        <w:t>JACKSON</w:t>
      </w:r>
      <w:r w:rsidRPr="00E14102">
        <w:rPr>
          <w:color w:val="0070C0"/>
          <w:sz w:val="16"/>
          <w:szCs w:val="16"/>
        </w:rPr>
        <w:t xml:space="preserve"> </w:t>
      </w:r>
      <w:r w:rsidRPr="00E14102">
        <w:rPr>
          <w:color w:val="0070C0"/>
          <w:sz w:val="16"/>
          <w:szCs w:val="16"/>
          <w:lang w:val="en-US"/>
        </w:rPr>
        <w:t>P</w:t>
      </w:r>
      <w:r w:rsidRPr="00E14102">
        <w:rPr>
          <w:color w:val="0070C0"/>
          <w:sz w:val="16"/>
          <w:szCs w:val="16"/>
        </w:rPr>
        <w:t xml:space="preserve">. </w:t>
      </w:r>
      <w:r w:rsidRPr="00E14102">
        <w:rPr>
          <w:color w:val="0070C0"/>
          <w:sz w:val="16"/>
          <w:szCs w:val="16"/>
          <w:lang w:val="en-US"/>
        </w:rPr>
        <w:t>France</w:t>
      </w:r>
      <w:r w:rsidRPr="00E14102">
        <w:rPr>
          <w:color w:val="0070C0"/>
          <w:sz w:val="16"/>
          <w:szCs w:val="16"/>
        </w:rPr>
        <w:t xml:space="preserve"> </w:t>
      </w:r>
      <w:r w:rsidRPr="00E14102">
        <w:rPr>
          <w:color w:val="0070C0"/>
          <w:sz w:val="16"/>
          <w:szCs w:val="16"/>
          <w:lang w:val="en-US"/>
        </w:rPr>
        <w:t>and</w:t>
      </w:r>
      <w:r w:rsidRPr="00E14102">
        <w:rPr>
          <w:color w:val="0070C0"/>
          <w:sz w:val="16"/>
          <w:szCs w:val="16"/>
        </w:rPr>
        <w:t xml:space="preserve"> </w:t>
      </w:r>
      <w:r w:rsidRPr="00E14102">
        <w:rPr>
          <w:color w:val="0070C0"/>
          <w:sz w:val="16"/>
          <w:szCs w:val="16"/>
          <w:lang w:val="en-US"/>
        </w:rPr>
        <w:t>the</w:t>
      </w:r>
      <w:r w:rsidRPr="00E14102">
        <w:rPr>
          <w:color w:val="0070C0"/>
          <w:sz w:val="16"/>
          <w:szCs w:val="16"/>
        </w:rPr>
        <w:t xml:space="preserve"> </w:t>
      </w:r>
      <w:r w:rsidRPr="00E14102">
        <w:rPr>
          <w:color w:val="0070C0"/>
          <w:sz w:val="16"/>
          <w:szCs w:val="16"/>
          <w:lang w:val="en-US"/>
        </w:rPr>
        <w:t>Nazi</w:t>
      </w:r>
      <w:r w:rsidRPr="00E14102">
        <w:rPr>
          <w:color w:val="0070C0"/>
          <w:sz w:val="16"/>
          <w:szCs w:val="16"/>
        </w:rPr>
        <w:t xml:space="preserve"> </w:t>
      </w:r>
      <w:r w:rsidRPr="00E14102">
        <w:rPr>
          <w:color w:val="0070C0"/>
          <w:sz w:val="16"/>
          <w:szCs w:val="16"/>
          <w:lang w:val="en-US"/>
        </w:rPr>
        <w:t>Menace</w:t>
      </w:r>
      <w:r w:rsidRPr="00E14102">
        <w:rPr>
          <w:color w:val="0070C0"/>
          <w:sz w:val="16"/>
          <w:szCs w:val="16"/>
        </w:rPr>
        <w:t xml:space="preserve">: </w:t>
      </w:r>
      <w:r w:rsidRPr="00E14102">
        <w:rPr>
          <w:color w:val="0070C0"/>
          <w:sz w:val="16"/>
          <w:szCs w:val="16"/>
          <w:lang w:val="en-US"/>
        </w:rPr>
        <w:t>Intelligence</w:t>
      </w:r>
      <w:r w:rsidRPr="00E14102">
        <w:rPr>
          <w:color w:val="0070C0"/>
          <w:sz w:val="16"/>
          <w:szCs w:val="16"/>
        </w:rPr>
        <w:t xml:space="preserve"> </w:t>
      </w:r>
      <w:r w:rsidRPr="00E14102">
        <w:rPr>
          <w:color w:val="0070C0"/>
          <w:sz w:val="16"/>
          <w:szCs w:val="16"/>
          <w:lang w:val="en-US"/>
        </w:rPr>
        <w:t>and</w:t>
      </w:r>
      <w:r w:rsidRPr="00E14102">
        <w:rPr>
          <w:color w:val="0070C0"/>
          <w:sz w:val="16"/>
          <w:szCs w:val="16"/>
        </w:rPr>
        <w:t xml:space="preserve"> </w:t>
      </w:r>
      <w:r w:rsidRPr="00E14102">
        <w:rPr>
          <w:color w:val="0070C0"/>
          <w:sz w:val="16"/>
          <w:szCs w:val="16"/>
          <w:lang w:val="en-US"/>
        </w:rPr>
        <w:t>Policy</w:t>
      </w:r>
      <w:r w:rsidRPr="00E14102">
        <w:rPr>
          <w:color w:val="0070C0"/>
          <w:sz w:val="16"/>
          <w:szCs w:val="16"/>
        </w:rPr>
        <w:t xml:space="preserve"> </w:t>
      </w:r>
      <w:r w:rsidRPr="00E14102">
        <w:rPr>
          <w:color w:val="0070C0"/>
          <w:sz w:val="16"/>
          <w:szCs w:val="16"/>
          <w:lang w:val="en-US"/>
        </w:rPr>
        <w:t>Making</w:t>
      </w:r>
      <w:r w:rsidRPr="00E14102">
        <w:rPr>
          <w:color w:val="0070C0"/>
          <w:sz w:val="16"/>
          <w:szCs w:val="16"/>
        </w:rPr>
        <w:t>, 1933-1939. Oxford, 2000. P. 121 -122) (22725).</w:t>
      </w:r>
    </w:p>
    <w:p w14:paraId="1A41837F" w14:textId="77777777" w:rsidR="008E1D5A" w:rsidRPr="00E14102" w:rsidRDefault="008E1D5A" w:rsidP="00E14102">
      <w:pPr>
        <w:jc w:val="both"/>
        <w:rPr>
          <w:color w:val="0070C0"/>
          <w:sz w:val="16"/>
          <w:szCs w:val="16"/>
        </w:rPr>
      </w:pPr>
    </w:p>
    <w:p w14:paraId="7E97A07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9F484EC" w14:textId="77777777" w:rsidR="00D4105E" w:rsidRPr="00E14102" w:rsidRDefault="00D4105E" w:rsidP="00E14102">
      <w:pPr>
        <w:autoSpaceDE w:val="0"/>
        <w:autoSpaceDN w:val="0"/>
        <w:adjustRightInd w:val="0"/>
        <w:jc w:val="both"/>
        <w:rPr>
          <w:iCs/>
          <w:color w:val="000000" w:themeColor="text1"/>
          <w:sz w:val="16"/>
          <w:szCs w:val="16"/>
        </w:rPr>
      </w:pPr>
    </w:p>
    <w:p w14:paraId="549C1D7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31 марта 1935 Сталин поручил Ягоде и Вышинскому подготовить процесс над членами “Троцкистско-зиновьевского центра” (4962).</w:t>
      </w:r>
    </w:p>
    <w:p w14:paraId="04241064"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69586D8" w14:textId="77777777" w:rsidR="00F52344" w:rsidRPr="00E14102" w:rsidRDefault="00F52344"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61630759" w14:textId="77777777" w:rsidR="00F52344" w:rsidRPr="00E14102" w:rsidRDefault="00F52344" w:rsidP="00E14102">
      <w:pPr>
        <w:autoSpaceDE w:val="0"/>
        <w:autoSpaceDN w:val="0"/>
        <w:adjustRightInd w:val="0"/>
        <w:jc w:val="both"/>
        <w:rPr>
          <w:iCs/>
          <w:color w:val="000000" w:themeColor="text1"/>
          <w:sz w:val="16"/>
          <w:szCs w:val="16"/>
        </w:rPr>
      </w:pPr>
    </w:p>
    <w:p w14:paraId="2F1DDD57" w14:textId="77777777" w:rsidR="00F52344" w:rsidRPr="00E14102" w:rsidRDefault="00F52344" w:rsidP="00E14102">
      <w:pPr>
        <w:jc w:val="both"/>
        <w:rPr>
          <w:color w:val="000000" w:themeColor="text1"/>
          <w:sz w:val="16"/>
          <w:szCs w:val="16"/>
        </w:rPr>
      </w:pPr>
      <w:r w:rsidRPr="00E14102">
        <w:rPr>
          <w:color w:val="000000" w:themeColor="text1"/>
          <w:sz w:val="16"/>
          <w:szCs w:val="16"/>
        </w:rPr>
        <w:t>31 марта 1935 в газете "Правда" была опубликована статья заместителя наркома обороны М.Н. Тухачевского о военных планах Германии. Предварительно с ней ознакомился Сталин и внес свои поправки. В ней указывалось, что введение закона о всеобщей воинской обязанности в Германии являлось нарушением Версальского мирного договора 1919 г., запрещавшего ей иметь тяжелую артиллерию, танки, военную авиацию, подводные лодки. Ее вооруженные силы по договору ограничивались 100-тысячной сухопутной армией. Теперь же заявлялось о намерении сформировать 12 корпусов, 36 пехотных дивизий мирного времени численностью до 546 тыс. человек. На вооружении сухопутной и морской авиации планировалось иметь до 8700 самолетов. Общая численность германских вооруженных сил должна была достигнуть 849 тыс. человек. Германская армия, таким образом, превосходила по численности на 40% французскую, которая располагала всего 20 дивизиями и была не способна быстро предпринять активные действия против рейхсвера. В течение 1935 г. Германия произведет свыше четырех с половиной тысяч самолетов. Громадные вооруженные силы составят могучую армию вторжения. Кроме того, Польша насчитывала 30 дивизий, число которых могло быть быстро удвоено по мобилизации (18280).</w:t>
      </w:r>
    </w:p>
    <w:p w14:paraId="27C11DAF" w14:textId="77777777" w:rsidR="00F52344" w:rsidRPr="00E14102" w:rsidRDefault="00F52344" w:rsidP="00E14102">
      <w:pPr>
        <w:jc w:val="both"/>
        <w:rPr>
          <w:color w:val="000000" w:themeColor="text1"/>
          <w:sz w:val="16"/>
          <w:szCs w:val="16"/>
        </w:rPr>
      </w:pPr>
    </w:p>
    <w:p w14:paraId="369C9C9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12F1FEC" w14:textId="77777777" w:rsidR="00D4105E" w:rsidRPr="00E14102" w:rsidRDefault="00D4105E" w:rsidP="00E14102">
      <w:pPr>
        <w:autoSpaceDE w:val="0"/>
        <w:autoSpaceDN w:val="0"/>
        <w:adjustRightInd w:val="0"/>
        <w:jc w:val="both"/>
        <w:rPr>
          <w:iCs/>
          <w:color w:val="000000" w:themeColor="text1"/>
          <w:sz w:val="16"/>
          <w:szCs w:val="16"/>
        </w:rPr>
      </w:pPr>
    </w:p>
    <w:p w14:paraId="77E871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марта 1935 была подготовлена записка Молотову В.М.</w:t>
      </w:r>
    </w:p>
    <w:p w14:paraId="2B65BA1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 Сталина вернулись проголосованные им три проекта постановлений СТО, посланные на голосование по Вашему указанию.</w:t>
      </w:r>
    </w:p>
    <w:p w14:paraId="78A056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подписать.</w:t>
      </w:r>
    </w:p>
    <w:p w14:paraId="3A14E0B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Докладываю представленный комиссией Тухачевского проект постановления по системам Курчевского с визой Павлуновского. Проект предусматривает мероприятия по всем пунктам постановления КО 13 января 1935 года (АПК4 и АПК11, достройка завода № 38 и необходимые ассигнования, оборудование специального полигона, 305 мм пушка, “Зет”). Предусматривается выпуск из резервного фонда СНК 6000 рублей на полигоны и 6800 тысяч рублей для завода № 38.</w:t>
      </w:r>
    </w:p>
    <w:p w14:paraId="4DFCC2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 1 записано заводу № 8 изготовить 300 систем АПК-11 – это количество уже утверждено Правительством по заказам – а п. 3 предлагается к 1 сентября 1935 года войти в СТО об установлении сроков изготовления этой пушки.</w:t>
      </w:r>
    </w:p>
    <w:p w14:paraId="74CB72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П.п. 11 и 12 (на странице 4) НКО предлагается войти с докладом плана и технического проекта полигонов – едва ли это нужно; нужно ли также докладывать СТО о плане организационных мероприятий по отработке техники авиационной артиллерии, тогда как в том же пункте поручается к 1 сентября 1935 года доложить СТО о результатах.</w:t>
      </w:r>
    </w:p>
    <w:p w14:paraId="3BE4E1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Карандашом внесены соответствующие поправки и другие редакционные исправления.</w:t>
      </w:r>
    </w:p>
    <w:p w14:paraId="56A063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указать – ставить ли на КО или голосовать опросом; в последнем случае прошу утвердить поправки (2426,10).</w:t>
      </w:r>
    </w:p>
    <w:p w14:paraId="621CD13E" w14:textId="77777777" w:rsidR="00D4105E" w:rsidRPr="00E14102" w:rsidRDefault="00D4105E" w:rsidP="00E14102">
      <w:pPr>
        <w:autoSpaceDE w:val="0"/>
        <w:autoSpaceDN w:val="0"/>
        <w:adjustRightInd w:val="0"/>
        <w:jc w:val="both"/>
        <w:rPr>
          <w:color w:val="000000" w:themeColor="text1"/>
          <w:sz w:val="16"/>
          <w:szCs w:val="16"/>
        </w:rPr>
      </w:pPr>
    </w:p>
    <w:p w14:paraId="069418D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A8A6185" w14:textId="77777777" w:rsidR="00D4105E" w:rsidRPr="00E14102" w:rsidRDefault="00D4105E" w:rsidP="00E14102">
      <w:pPr>
        <w:autoSpaceDE w:val="0"/>
        <w:autoSpaceDN w:val="0"/>
        <w:adjustRightInd w:val="0"/>
        <w:jc w:val="both"/>
        <w:rPr>
          <w:iCs/>
          <w:color w:val="000000" w:themeColor="text1"/>
          <w:sz w:val="16"/>
          <w:szCs w:val="16"/>
        </w:rPr>
      </w:pPr>
    </w:p>
    <w:p w14:paraId="29CC34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П.М.Стефановский выполнил на ТБ-3 24 полета продолжительностью 16:15 для отработки слепой посадки и испытания РПК (2921,95).</w:t>
      </w:r>
    </w:p>
    <w:p w14:paraId="1A188EC5" w14:textId="77777777" w:rsidR="00D4105E" w:rsidRPr="00E14102" w:rsidRDefault="00D4105E" w:rsidP="00E14102">
      <w:pPr>
        <w:autoSpaceDE w:val="0"/>
        <w:autoSpaceDN w:val="0"/>
        <w:adjustRightInd w:val="0"/>
        <w:jc w:val="both"/>
        <w:rPr>
          <w:color w:val="000000" w:themeColor="text1"/>
          <w:sz w:val="16"/>
          <w:szCs w:val="16"/>
        </w:rPr>
      </w:pPr>
    </w:p>
    <w:p w14:paraId="3B29E7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были проведены испытания ТБ-3 N 22566 (2932).</w:t>
      </w:r>
    </w:p>
    <w:p w14:paraId="519EE0A3" w14:textId="77777777" w:rsidR="00D4105E" w:rsidRPr="00E14102" w:rsidRDefault="00D4105E" w:rsidP="00E14102">
      <w:pPr>
        <w:autoSpaceDE w:val="0"/>
        <w:autoSpaceDN w:val="0"/>
        <w:adjustRightInd w:val="0"/>
        <w:jc w:val="both"/>
        <w:rPr>
          <w:color w:val="000000" w:themeColor="text1"/>
          <w:sz w:val="16"/>
          <w:szCs w:val="16"/>
        </w:rPr>
      </w:pPr>
    </w:p>
    <w:p w14:paraId="571CA9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 завер</w:t>
      </w:r>
      <w:r w:rsidRPr="00E14102">
        <w:rPr>
          <w:color w:val="000000" w:themeColor="text1"/>
          <w:sz w:val="16"/>
          <w:szCs w:val="16"/>
        </w:rPr>
        <w:softHyphen/>
        <w:t>шилась Постройка самолетов “Сталинского задания” - красной пятерки. Машины были окрашены в крас</w:t>
      </w:r>
      <w:r w:rsidRPr="00E14102">
        <w:rPr>
          <w:color w:val="000000" w:themeColor="text1"/>
          <w:sz w:val="16"/>
          <w:szCs w:val="16"/>
        </w:rPr>
        <w:softHyphen/>
        <w:t>ный цвет, капоты - в черный. В пилотажную группу входили известные летчики Евсеев, Коккинаки, Преман, Супрун, Шевченко. Старшим группы являлся В.К.Коккинаки. Возникло решение подготовить отточенный групповой пилотаж к первомайскому параду, и летчики немедленно приступили к тренировкам (10667).</w:t>
      </w:r>
    </w:p>
    <w:p w14:paraId="01B1B0B8" w14:textId="77777777" w:rsidR="00D4105E" w:rsidRPr="00E14102" w:rsidRDefault="00D4105E" w:rsidP="00E14102">
      <w:pPr>
        <w:autoSpaceDE w:val="0"/>
        <w:autoSpaceDN w:val="0"/>
        <w:adjustRightInd w:val="0"/>
        <w:jc w:val="both"/>
        <w:rPr>
          <w:color w:val="000000" w:themeColor="text1"/>
          <w:sz w:val="16"/>
          <w:szCs w:val="16"/>
        </w:rPr>
      </w:pPr>
    </w:p>
    <w:p w14:paraId="18D52E9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марте 1935 вышел Приказ НИИ ВС № 0123 Об испытании самолета СБ с мотором 100 и создание инструкции по эксплуатации самолета и мотора (6813, 19-20).</w:t>
      </w:r>
    </w:p>
    <w:p w14:paraId="4569A6C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13039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года Алкснис писал письмо N 41/01811 наркому обороны.</w:t>
      </w:r>
    </w:p>
    <w:p w14:paraId="321B8E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Сего числа в 13 час. 05 мин. самолет ЦАГИ СБ 2М-100 вылетел с Центрального аэродрома для определения скоростей и скороподъемности с убранными колесами, так как при гос. испытаниях самолета его летная характеристика была снята на лыжах без уборки шасси.</w:t>
      </w:r>
    </w:p>
    <w:p w14:paraId="663AFB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Пилотировал самолет летчик Летно-испытательной станции Миндер.</w:t>
      </w:r>
    </w:p>
    <w:p w14:paraId="7FBEC5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воздухе самолет пробыл всего 53 мин.</w:t>
      </w:r>
    </w:p>
    <w:p w14:paraId="54A428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наружного осмотра конструкции самолета обнаружена деформация обшивки крыла и др. дефекты. Можно считать установленным, что в данном случае имела место вибрация крыльев самолета. (3104,81).</w:t>
      </w:r>
    </w:p>
    <w:p w14:paraId="38BBA79D" w14:textId="77777777" w:rsidR="00D4105E" w:rsidRPr="00E14102" w:rsidRDefault="00D4105E" w:rsidP="00E14102">
      <w:pPr>
        <w:autoSpaceDE w:val="0"/>
        <w:autoSpaceDN w:val="0"/>
        <w:adjustRightInd w:val="0"/>
        <w:jc w:val="both"/>
        <w:rPr>
          <w:color w:val="000000" w:themeColor="text1"/>
          <w:sz w:val="16"/>
          <w:szCs w:val="16"/>
        </w:rPr>
      </w:pPr>
    </w:p>
    <w:p w14:paraId="1219FA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начальник самолетного отдела ГУАП О.О.Машкевич дал согласие на замену двигателя ХАИ-5 И.Г.Немана - М-22 на ГР ММ krds (М-85), но мотор получить не удалось - все купленные ушли в ЦИАМ и на завод 29 для разборки. Все затянулось на год (1335,29).</w:t>
      </w:r>
    </w:p>
    <w:p w14:paraId="09A8A02F" w14:textId="77777777" w:rsidR="00D4105E" w:rsidRPr="00E14102" w:rsidRDefault="00D4105E" w:rsidP="00E14102">
      <w:pPr>
        <w:autoSpaceDE w:val="0"/>
        <w:autoSpaceDN w:val="0"/>
        <w:adjustRightInd w:val="0"/>
        <w:jc w:val="both"/>
        <w:rPr>
          <w:color w:val="000000" w:themeColor="text1"/>
          <w:sz w:val="16"/>
          <w:szCs w:val="16"/>
        </w:rPr>
      </w:pPr>
    </w:p>
    <w:p w14:paraId="2515DF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марте 1935 года начальник самолетного отдела ГУАП О.О.Машкевич дал согласие на замену двигателя ХАИ-5. Мотор М-22 сменили на только что закупленный во Франции Гном-Рон «Мистраль-Мажор» krsd. ХАИ выделили один из трех, закупленных как образцы, моторов. Но получить его не удалось - моторы ушли в ЦИАМ и на завод № 29, где планировалось их производство под маркой М-75. В ожидании нового двигателя затянулись статиспытания фюзеляжа ХАИ-5 (11456).</w:t>
      </w:r>
    </w:p>
    <w:p w14:paraId="532177BB" w14:textId="77777777" w:rsidR="00D4105E" w:rsidRPr="00E14102" w:rsidRDefault="00D4105E" w:rsidP="00E14102">
      <w:pPr>
        <w:autoSpaceDE w:val="0"/>
        <w:autoSpaceDN w:val="0"/>
        <w:adjustRightInd w:val="0"/>
        <w:jc w:val="both"/>
        <w:rPr>
          <w:color w:val="000000" w:themeColor="text1"/>
          <w:sz w:val="16"/>
          <w:szCs w:val="16"/>
        </w:rPr>
      </w:pPr>
    </w:p>
    <w:p w14:paraId="45FB1B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марта 1935 по ноябрь проходили испытания ДИ-6 (ЦКБ-11) (80,129).</w:t>
      </w:r>
    </w:p>
    <w:p w14:paraId="4D5E8E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испытания ДИ-6 велись с мая 1935</w:t>
      </w:r>
    </w:p>
    <w:p w14:paraId="3F814D22" w14:textId="77777777" w:rsidR="00D4105E" w:rsidRPr="00E14102" w:rsidRDefault="00D4105E" w:rsidP="00E14102">
      <w:pPr>
        <w:autoSpaceDE w:val="0"/>
        <w:autoSpaceDN w:val="0"/>
        <w:adjustRightInd w:val="0"/>
        <w:jc w:val="both"/>
        <w:rPr>
          <w:color w:val="000000" w:themeColor="text1"/>
          <w:sz w:val="16"/>
          <w:szCs w:val="16"/>
        </w:rPr>
      </w:pPr>
    </w:p>
    <w:p w14:paraId="5E78E3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 впервые провели испытания временной зимней окраски. Машины покрыли белой краской с бесцветным лаком. Краска хорошо держалась, но смывать ее было трудно. Этот вариант забраковали. Ровно через год испытания повторили на Ногинском полигоне. Несколько Р-5 и ТБ-1 покрасили сплошняком и пятнами (учитывая весенние проталины). Самолеты наблюдали и фотографировали с воздуха.</w:t>
      </w:r>
    </w:p>
    <w:p w14:paraId="5EC415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Позже разработали легкосмывающуюся белую краску из смеси протертого мела и казеинового клея. Она была гораздо дешевле, при необходимости ее легко было удалить водой. Кроме того, самолеты, покрашенные свинцовыми или цинковыми белилами, могли быть малозаметны для человеческого глаза, но четко выявлялись на фотоснимках, сделанных через светофильтры. Мел же имел спектр отражения, более близкий к снегу. Но и держалась меловая краска значительно хуже, впитывала влагу, постепенно сползая под воздействием снега и ветра. Шероховатость поверхности возрастала, увеличивая аэродинамическое сопротивление (11987).</w:t>
      </w:r>
    </w:p>
    <w:p w14:paraId="23760648" w14:textId="77777777" w:rsidR="00D4105E" w:rsidRPr="00E14102" w:rsidRDefault="00D4105E" w:rsidP="00E14102">
      <w:pPr>
        <w:autoSpaceDE w:val="0"/>
        <w:autoSpaceDN w:val="0"/>
        <w:adjustRightInd w:val="0"/>
        <w:jc w:val="both"/>
        <w:rPr>
          <w:color w:val="000000" w:themeColor="text1"/>
          <w:sz w:val="16"/>
          <w:szCs w:val="16"/>
        </w:rPr>
      </w:pPr>
    </w:p>
    <w:p w14:paraId="01DBC7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 начались заводские испытания ЦКБ-3 №7. Летали Чкалов. Кок- кинаки, Николаев. Летные характеристики самолета в основном остались на прежнем уровне. Несколько снизилась скороподъемность, максимальная скорость составила 367 км/ч на высоте 3000 м, что соответствовало максимальной скорости самолета с "чайкой". Время виража на высоте I000 м увеличилось и составило 9,36 с. Однако главная цель считалась достигнутой, о чем свидетельствовали заключения летчиков-испытателей: “На основании проведенного испытания можно утверждать, что самолет ЦКБ-3 с нормальным центропланом во многом превосходит самолет с "чайкой" - В.П. Чкалов. "Устойчивость пути самолета можно считать полностью достигнутой. При определении устойчивости замечено, что вертикальное оперение самолета имеется с большим запасом, чего не было на самолете с "чайкой". Обзор вперед и вверх значительно улучшились. Несколько изменилось зрительное впечатление о маневренности благодаря тому, что капоты ог кабины летчика до мотора имеют прямую линию и поэтому нос кажется удлиненным. При полученных данных скорости, скороподъемности, маневренности и хорошей устойчивости пути, которой добились, применив нормальный центроплан, считаю необходимым в дальнейшем прекратить постройку самолетов с "чайкой" - В.К.Коккинаки (12014).</w:t>
      </w:r>
    </w:p>
    <w:p w14:paraId="6778E7CD" w14:textId="77777777" w:rsidR="00D4105E" w:rsidRPr="00E14102" w:rsidRDefault="00D4105E" w:rsidP="00E14102">
      <w:pPr>
        <w:autoSpaceDE w:val="0"/>
        <w:autoSpaceDN w:val="0"/>
        <w:adjustRightInd w:val="0"/>
        <w:jc w:val="both"/>
        <w:rPr>
          <w:color w:val="000000" w:themeColor="text1"/>
          <w:sz w:val="16"/>
          <w:szCs w:val="16"/>
        </w:rPr>
      </w:pPr>
    </w:p>
    <w:p w14:paraId="24618ABA" w14:textId="77777777" w:rsidR="00F52344" w:rsidRPr="00E14102" w:rsidRDefault="00F52344" w:rsidP="00E14102">
      <w:pPr>
        <w:pStyle w:val="85"/>
        <w:shd w:val="clear" w:color="auto" w:fill="auto"/>
        <w:spacing w:after="0" w:line="240" w:lineRule="auto"/>
        <w:jc w:val="both"/>
        <w:rPr>
          <w:color w:val="000000" w:themeColor="text1"/>
          <w:sz w:val="16"/>
          <w:szCs w:val="16"/>
        </w:rPr>
      </w:pPr>
      <w:r w:rsidRPr="00E14102">
        <w:rPr>
          <w:rStyle w:val="8a"/>
          <w:rFonts w:ascii="Times New Roman" w:hAnsi="Times New Roman" w:cs="Times New Roman"/>
          <w:i w:val="0"/>
          <w:color w:val="000000" w:themeColor="text1"/>
        </w:rPr>
        <w:t>В марте 1935 г. начались заводские испытания ЦКБ-3 № 7 - с крылом без чайки. Летали Чкалов, Коккинаки, Николаев. Летные характеристики самолета в основном остались на прежнем уровне. Несколько снизилась скороподъемность, максимальная скорость соста</w:t>
      </w:r>
      <w:r w:rsidRPr="00E14102">
        <w:rPr>
          <w:rStyle w:val="8a"/>
          <w:rFonts w:ascii="Times New Roman" w:hAnsi="Times New Roman" w:cs="Times New Roman"/>
          <w:i w:val="0"/>
          <w:color w:val="000000" w:themeColor="text1"/>
        </w:rPr>
        <w:softHyphen/>
        <w:t>вила 367 км/ч на высоте 3000 м, что соответствовало макси</w:t>
      </w:r>
      <w:r w:rsidRPr="00E14102">
        <w:rPr>
          <w:rStyle w:val="8a"/>
          <w:rFonts w:ascii="Times New Roman" w:hAnsi="Times New Roman" w:cs="Times New Roman"/>
          <w:i w:val="0"/>
          <w:color w:val="000000" w:themeColor="text1"/>
        </w:rPr>
        <w:softHyphen/>
        <w:t>мальной скорости самолета с «чайкой». Время виража на высо</w:t>
      </w:r>
      <w:r w:rsidRPr="00E14102">
        <w:rPr>
          <w:rStyle w:val="8a"/>
          <w:rFonts w:ascii="Times New Roman" w:hAnsi="Times New Roman" w:cs="Times New Roman"/>
          <w:i w:val="0"/>
          <w:color w:val="000000" w:themeColor="text1"/>
        </w:rPr>
        <w:softHyphen/>
        <w:t>те 1000 м увеличилось и составило 9,36 с. Однако главная цель считалась достигнутой, о чем свидетельствовали заключения летчиков-испытателей. Так, В.П. Чкалов отмечал, что</w:t>
      </w:r>
      <w:r w:rsidRPr="00E14102">
        <w:rPr>
          <w:color w:val="000000" w:themeColor="text1"/>
          <w:sz w:val="16"/>
          <w:szCs w:val="16"/>
        </w:rPr>
        <w:t xml:space="preserve"> «самолет ЦКБ-3 с нормальным центропланом во многом превосходит са</w:t>
      </w:r>
      <w:r w:rsidRPr="00E14102">
        <w:rPr>
          <w:color w:val="000000" w:themeColor="text1"/>
          <w:sz w:val="16"/>
          <w:szCs w:val="16"/>
        </w:rPr>
        <w:softHyphen/>
        <w:t>молете «чайкой».</w:t>
      </w:r>
      <w:r w:rsidRPr="00E14102">
        <w:rPr>
          <w:rStyle w:val="8a"/>
          <w:rFonts w:ascii="Times New Roman" w:hAnsi="Times New Roman" w:cs="Times New Roman"/>
          <w:i w:val="0"/>
          <w:color w:val="000000" w:themeColor="text1"/>
        </w:rPr>
        <w:t xml:space="preserve"> В.К. Коккинаки писал:</w:t>
      </w:r>
      <w:r w:rsidRPr="00E14102">
        <w:rPr>
          <w:color w:val="000000" w:themeColor="text1"/>
          <w:sz w:val="16"/>
          <w:szCs w:val="16"/>
        </w:rPr>
        <w:t xml:space="preserve"> «Устойчивость пути са</w:t>
      </w:r>
      <w:r w:rsidRPr="00E14102">
        <w:rPr>
          <w:color w:val="000000" w:themeColor="text1"/>
          <w:sz w:val="16"/>
          <w:szCs w:val="16"/>
        </w:rPr>
        <w:softHyphen/>
        <w:t>молета можно считать полностью достигнутой. При определе</w:t>
      </w:r>
      <w:r w:rsidRPr="00E14102">
        <w:rPr>
          <w:color w:val="000000" w:themeColor="text1"/>
          <w:sz w:val="16"/>
          <w:szCs w:val="16"/>
        </w:rPr>
        <w:softHyphen/>
        <w:t>нии устойчивости замечено, что вертикальное оперение само</w:t>
      </w:r>
      <w:r w:rsidRPr="00E14102">
        <w:rPr>
          <w:color w:val="000000" w:themeColor="text1"/>
          <w:sz w:val="16"/>
          <w:szCs w:val="16"/>
        </w:rPr>
        <w:softHyphen/>
        <w:t>лета имеется с большим запасом, чего не было на самолете с «чайкой»... Несколько изменилось зрительное впечатление о маневренности благодаря тому, что капоты от кабины летчика до мотора имеют прямую линию и поэтому нос кажется удли</w:t>
      </w:r>
      <w:r w:rsidRPr="00E14102">
        <w:rPr>
          <w:color w:val="000000" w:themeColor="text1"/>
          <w:sz w:val="16"/>
          <w:szCs w:val="16"/>
        </w:rPr>
        <w:softHyphen/>
        <w:t>ненным. При полученных данных скорости, скороподъемности, маневренности и хорошей устойчивости пути, которой доби</w:t>
      </w:r>
      <w:r w:rsidRPr="00E14102">
        <w:rPr>
          <w:color w:val="000000" w:themeColor="text1"/>
          <w:sz w:val="16"/>
          <w:szCs w:val="16"/>
        </w:rPr>
        <w:softHyphen/>
        <w:t>лись, применив нормальный центроплан, считаю необходимым в дальнейшем прекратить постройку самолетов с «чайкой» (19107).</w:t>
      </w:r>
    </w:p>
    <w:p w14:paraId="4D13D796" w14:textId="77777777" w:rsidR="00F52344" w:rsidRPr="00E14102" w:rsidRDefault="00F52344" w:rsidP="00E14102">
      <w:pPr>
        <w:pStyle w:val="85"/>
        <w:shd w:val="clear" w:color="auto" w:fill="auto"/>
        <w:spacing w:after="0" w:line="240" w:lineRule="auto"/>
        <w:jc w:val="both"/>
        <w:rPr>
          <w:color w:val="000000" w:themeColor="text1"/>
          <w:sz w:val="16"/>
          <w:szCs w:val="16"/>
        </w:rPr>
      </w:pPr>
    </w:p>
    <w:p w14:paraId="0D4283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были построены пять облегченных И-16. Заказ получил название СЗ. Их оснастили РЦ. В момент вручения этих машин для замены И-5 в пятерке были В.К.К. - ведущий, Шевченко, Супрун, Евсеев, Преман. Цвет - красный с черными капотами (1808,7).</w:t>
      </w:r>
    </w:p>
    <w:p w14:paraId="4BB83EE4" w14:textId="77777777" w:rsidR="00D4105E" w:rsidRPr="00E14102" w:rsidRDefault="00D4105E" w:rsidP="00E14102">
      <w:pPr>
        <w:autoSpaceDE w:val="0"/>
        <w:autoSpaceDN w:val="0"/>
        <w:adjustRightInd w:val="0"/>
        <w:jc w:val="both"/>
        <w:rPr>
          <w:color w:val="000000" w:themeColor="text1"/>
          <w:sz w:val="16"/>
          <w:szCs w:val="16"/>
        </w:rPr>
      </w:pPr>
    </w:p>
    <w:p w14:paraId="765192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года, в момент получения с завода новеньких И-16, красная пятерка состояла из летчиков В.К.Коккинакн. В.В.Шевченко. С.П.Супруна. В.Н.Евсеева. Э.И.Премана. Ведущим этого состава являлся Владимир Коккинаки. Машины окрасили в ярко красный цвет, лишь капоты в соответствии с исписанными традициями завода №39 были черными.</w:t>
      </w:r>
    </w:p>
    <w:p w14:paraId="3266C6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Заказ на изготовление пятерки спсциапь- ных И-16, которые требовалось построить к первомайской демонстрации 1935 г.,передали на завод №39. Спустя короткое время, в январе 1935 г. временно исполняющим должность начальника ГУАП назначили директора завода №39 Марголина. С этого момента выполнение заказа, получившего неофициальное название "Сталинское задание", велось наиболее тщательно и проходило под особым наблюдением.</w:t>
      </w:r>
    </w:p>
    <w:p w14:paraId="2BDDDC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Заказ на изготовление пятерки спсциальных И-16, которые требовалось построить к первомайской демонстрации 1935 г.,передали на завод №39. Спустя короткое время, в январе 1935 г. временно исполняющим должность начальника ГУАП назначили директора завода №39 Марголина. С этого момента выполнение заказа, получившего неофициальное название "Сталинское задание", велось наиболее тщательно и проходило под особым наблюдением.</w:t>
      </w:r>
    </w:p>
    <w:p w14:paraId="79737D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пять самолетов оснастили американскими "Райт-Циклонами" F-3. В основном они повторяли ЦКБ-12бис, однако в конструкцию и оборудование внесли все необходимые изменения и улучшения.</w:t>
      </w:r>
    </w:p>
    <w:p w14:paraId="5EA720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Практически сразу с получением самолетов начались тренировки. С утра все участники пятерки, являющиеся летчиками-испытателями НИИ ВВС. вылетали по своим служебным заданиям и лишь во второй половине дня собирались для отработки группового пилотажа. Отметим, что для участия в пилотажной группе требовалось не только филигранное умение владения самолетом. Необходима была абсолютная вера в лидера группы и способность без задержек и сомнения повторять все его маневры. Тем более, что элементы пилотирования со временем усложнялись, а расстояние в полете между концами крыльев участников не превышало порою 1-2 метра.</w:t>
      </w:r>
    </w:p>
    <w:p w14:paraId="4CA791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Самой эффектной фигурой была, конечно же. замедленная восходящая бочка всей группой, когда пять самолетов, вращаясь как одно целое, устремлялись в небо. Для первомайской демонстрации на Красной площади по согласованию с начальником ВВС Я.Алкснисом придумали весьма сложный и опасный трюк. Было решено влететь на площадь в проезд между ГУМом и Историческим музеем ниже высоты зданий, то есть появиться оттуда, откуда выезжали на парадах танковые колонны. Ныне этого проезда уже не существует, в нем восстановили стоявшую здесь исстари Иверскую часовню.</w:t>
      </w:r>
    </w:p>
    <w:p w14:paraId="5392F2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Понятно, что летчики задумали решить крайне сложную задачу. Поэтому на аэродроме установили две мачты и в течение нескольких дней вся пятерка, раз за разом пролетала между ними. Расстояние между мачтами постепенно уменьшали, до тех пор. пока оно не стало равняться ширине проезда на Красную площадь. 30 апреля I935 г. летчики группы всем составом поехали на место предстоящего события. По просьбе Коккинаки посредине проезда, на брусчатке нанесли жирную белую полосу, которой предстояло стать ориентиром.</w:t>
      </w:r>
    </w:p>
    <w:p w14:paraId="4770A2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следующий, праздничный день I мая. пятерка ярко красных И-16. снизившись ниже крыш зданий, ворвалась на Красную площадь и с оглушительным ревом, вращаясь всей фуппой. ввинтилась в небо. Эффект был потрясающий!</w:t>
      </w:r>
    </w:p>
    <w:p w14:paraId="471621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Вернувшись на аэродром, летчики уже собрались разъехаться к праздничным столам, когда появился порученец от маршала Ворошилова. Он привез каждому пилоту петлицы с прикрепленными знаками внеочередных воинских званий и денежную премию - каждому по пять тысяч рублей. Одновременно Ворошилов позвонил и. вызвав к телефону Коккинаки. сказал: "Товарищ Сталин восхищен мастерством летчиков и просит их еще раз пролететь над Москвой”.</w:t>
      </w:r>
    </w:p>
    <w:p w14:paraId="3711E2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Посте этого пятерка еще и еще летала над московскими улицами. Самолеты видели в разных районах города, и позднее даже родилась легенда. будто I мая I935 г. над Москвой летаю несколько "красных пятерок".</w:t>
      </w:r>
    </w:p>
    <w:p w14:paraId="441935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Вечером участники пилотажной фуппы. втом числе и Валерий Чкалов, были приглашены на торжественный обед в Кремль, где И.В.Сталин провозгласил тост за здоровье советских летчиков. Самим триумфаторам довелось лишь едва пригубить бокалы с вином. ибо на следующий день предполагалось повторить полеты (12015).</w:t>
      </w:r>
    </w:p>
    <w:p w14:paraId="16268596" w14:textId="77777777" w:rsidR="00D4105E" w:rsidRPr="00E14102" w:rsidRDefault="00D4105E" w:rsidP="00E14102">
      <w:pPr>
        <w:autoSpaceDE w:val="0"/>
        <w:autoSpaceDN w:val="0"/>
        <w:adjustRightInd w:val="0"/>
        <w:jc w:val="both"/>
        <w:rPr>
          <w:color w:val="000000" w:themeColor="text1"/>
          <w:sz w:val="16"/>
          <w:szCs w:val="16"/>
        </w:rPr>
      </w:pPr>
    </w:p>
    <w:p w14:paraId="5EDF784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марте 1935 г. в плане бригады № 2 ЦКБ мы видим довод</w:t>
      </w:r>
      <w:r w:rsidRPr="00E14102">
        <w:rPr>
          <w:color w:val="000000" w:themeColor="text1"/>
          <w:sz w:val="16"/>
          <w:szCs w:val="16"/>
        </w:rPr>
        <w:softHyphen/>
        <w:t>ку истребителя И-16 с моторами М-22 и Райт “Циклон” Р-3, проектирование его модификации с мотором М-58. Но там же присутствуют и первые новые разработки, пока еще ведущиеся под видом модернизации И-16: ЦКБ-29 с двигателем Гном-Рон К-9, ЦКБ-25 с более мощным Гном-Рон К-14krsd. Последний проект представлял собой уже совершенно новую машину, с иными параметрами, геометрическими размерами. Первоначально ЦКБ-25 имел обозначение И-19, затем И-20. Эскизный проект этого истребителя-моноплана закончили в феврале 1935 г. Мотор Гном-Рон К-14 раз</w:t>
      </w:r>
      <w:r w:rsidRPr="00E14102">
        <w:rPr>
          <w:color w:val="000000" w:themeColor="text1"/>
          <w:sz w:val="16"/>
          <w:szCs w:val="16"/>
        </w:rPr>
        <w:softHyphen/>
        <w:t>вивал у земли максимальную мощность 670 л.с., на вы</w:t>
      </w:r>
      <w:r w:rsidRPr="00E14102">
        <w:rPr>
          <w:color w:val="000000" w:themeColor="text1"/>
          <w:sz w:val="16"/>
          <w:szCs w:val="16"/>
        </w:rPr>
        <w:softHyphen/>
        <w:t>соте 3740 м - 770 л.с. Длина самолета равнялась 6,6 м, размах -Юм. Вес пустого истребителя составлял 1280 кг, полетный вес - 1740 кг. Вооружение: два пулемета ШКАС в крыле. Предусматривалась установка четырех пулеметов ШКАС в крыле и подвеска 100 кг бомб. Пото</w:t>
      </w:r>
      <w:r w:rsidRPr="00E14102">
        <w:rPr>
          <w:color w:val="000000" w:themeColor="text1"/>
          <w:sz w:val="16"/>
          <w:szCs w:val="16"/>
        </w:rPr>
        <w:softHyphen/>
        <w:t>лок-10000 м (10667).</w:t>
      </w:r>
    </w:p>
    <w:p w14:paraId="3E16ED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099855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марта 1935 г. для того, чтобы помочь летному составу в освоении самолета, Н.Н.Поликарпов работал над созданием учебно-тренировочной модификации маши</w:t>
      </w:r>
      <w:r w:rsidRPr="00E14102">
        <w:rPr>
          <w:color w:val="000000" w:themeColor="text1"/>
          <w:sz w:val="16"/>
          <w:szCs w:val="16"/>
        </w:rPr>
        <w:softHyphen/>
        <w:t>ны. Мысль о необходимости ее постройки высказал ин</w:t>
      </w:r>
      <w:r w:rsidRPr="00E14102">
        <w:rPr>
          <w:color w:val="000000" w:themeColor="text1"/>
          <w:sz w:val="16"/>
          <w:szCs w:val="16"/>
        </w:rPr>
        <w:softHyphen/>
        <w:t>женер НИИ ВВС Воеводин еще в 1934 г. Удалось, не меняя основных габаритов, разместить вторую кабину. Постройка самолета проводилась на заводе №21. В ноя</w:t>
      </w:r>
      <w:r w:rsidRPr="00E14102">
        <w:rPr>
          <w:color w:val="000000" w:themeColor="text1"/>
          <w:sz w:val="16"/>
          <w:szCs w:val="16"/>
        </w:rPr>
        <w:softHyphen/>
        <w:t>бре 1935 г. на заводские испытания вышли УТИ-2 и УТИ-3, оснащенные моторами М-22. УТИ-3, в отличие от УТИ-2, имел неубираемое шасси, что должно было упростить производство. На государственные испыта</w:t>
      </w:r>
      <w:r w:rsidRPr="00E14102">
        <w:rPr>
          <w:color w:val="000000" w:themeColor="text1"/>
          <w:sz w:val="16"/>
          <w:szCs w:val="16"/>
        </w:rPr>
        <w:softHyphen/>
        <w:t>ния передали УТИ-2, так как был признан более жела</w:t>
      </w:r>
      <w:r w:rsidRPr="00E14102">
        <w:rPr>
          <w:color w:val="000000" w:themeColor="text1"/>
          <w:sz w:val="16"/>
          <w:szCs w:val="16"/>
        </w:rPr>
        <w:softHyphen/>
        <w:t>тельным вариант с убираемым шасси для обучения летчиков навыкам пилотажа и операциям по уборке шасси, пилотированию в условиях изменения динами</w:t>
      </w:r>
      <w:r w:rsidRPr="00E14102">
        <w:rPr>
          <w:color w:val="000000" w:themeColor="text1"/>
          <w:sz w:val="16"/>
          <w:szCs w:val="16"/>
        </w:rPr>
        <w:softHyphen/>
        <w:t xml:space="preserve">ческих </w:t>
      </w:r>
      <w:r w:rsidRPr="00E14102">
        <w:rPr>
          <w:color w:val="000000" w:themeColor="text1"/>
          <w:sz w:val="16"/>
          <w:szCs w:val="16"/>
        </w:rPr>
        <w:lastRenderedPageBreak/>
        <w:t>характеристик машины. Государственные испытания УТИ-2 проходил в 1936 г. (ведущий летчик - Федрови). В отчете об испытаниях за</w:t>
      </w:r>
      <w:r w:rsidRPr="00E14102">
        <w:rPr>
          <w:color w:val="000000" w:themeColor="text1"/>
          <w:sz w:val="16"/>
          <w:szCs w:val="16"/>
        </w:rPr>
        <w:softHyphen/>
        <w:t>писано: “Самолет без труда выходит из штопора с отдан</w:t>
      </w:r>
      <w:r w:rsidRPr="00E14102">
        <w:rPr>
          <w:color w:val="000000" w:themeColor="text1"/>
          <w:sz w:val="16"/>
          <w:szCs w:val="16"/>
        </w:rPr>
        <w:softHyphen/>
        <w:t>ной от себя ручкой”. Там же отмечалось, что передняя кабина тесная, что самолет годится в качестве вывозного и для тренировки летчиков строевых частей, но не для обучения курсантов, так как сохраняет все особенности пилотирования, присущие И-16. Были зафиксированы максимальная скорость полета 364 км/ч у земли и 342 км/ч на высоте 5000 м, практический потолок 6950 м, раз</w:t>
      </w:r>
      <w:r w:rsidRPr="00E14102">
        <w:rPr>
          <w:color w:val="000000" w:themeColor="text1"/>
          <w:sz w:val="16"/>
          <w:szCs w:val="16"/>
        </w:rPr>
        <w:softHyphen/>
        <w:t>бег 180 м (12 с), пробег - 200 м (16 с). Еще до начала государственных испытаний заводу № 21 выдали заказ на постройку первой серии из 20 эк</w:t>
      </w:r>
      <w:r w:rsidRPr="00E14102">
        <w:rPr>
          <w:color w:val="000000" w:themeColor="text1"/>
          <w:sz w:val="16"/>
          <w:szCs w:val="16"/>
        </w:rPr>
        <w:softHyphen/>
        <w:t>земпляров УТИ-2 с М-22 с последующим увеличением ее до 35 единиц для переучивания летчиков с истребите</w:t>
      </w:r>
      <w:r w:rsidRPr="00E14102">
        <w:rPr>
          <w:color w:val="000000" w:themeColor="text1"/>
          <w:sz w:val="16"/>
          <w:szCs w:val="16"/>
        </w:rPr>
        <w:softHyphen/>
        <w:t>лей И-3, И-5 и И-4 на И-16 с М-22. Самолет получил заводское обозначение “тип 14”. Он использовался в строевых частях в качестве учебно-тренировочной машины. Позже УТИ-2 стали переда</w:t>
      </w:r>
      <w:r w:rsidRPr="00E14102">
        <w:rPr>
          <w:color w:val="000000" w:themeColor="text1"/>
          <w:sz w:val="16"/>
          <w:szCs w:val="16"/>
        </w:rPr>
        <w:softHyphen/>
        <w:t>вать в летные школы для подготовки будущих летчиков к полетам на И-16. В отдельных училищах УТИ-2 при</w:t>
      </w:r>
      <w:r w:rsidRPr="00E14102">
        <w:rPr>
          <w:color w:val="000000" w:themeColor="text1"/>
          <w:sz w:val="16"/>
          <w:szCs w:val="16"/>
        </w:rPr>
        <w:softHyphen/>
        <w:t>менялись вплоть до начала 1941 г. Следует отметить, что еще до внедрения в производ</w:t>
      </w:r>
      <w:r w:rsidRPr="00E14102">
        <w:rPr>
          <w:color w:val="000000" w:themeColor="text1"/>
          <w:sz w:val="16"/>
          <w:szCs w:val="16"/>
        </w:rPr>
        <w:softHyphen/>
        <w:t>ство УТИ-2 серийное конструкторское бюро завода №21 спроектировало самолет УТ-2 с мотором М-22 -двухместный учебно-тренировочный вариант И-16 с за</w:t>
      </w:r>
      <w:r w:rsidRPr="00E14102">
        <w:rPr>
          <w:color w:val="000000" w:themeColor="text1"/>
          <w:sz w:val="16"/>
          <w:szCs w:val="16"/>
        </w:rPr>
        <w:softHyphen/>
        <w:t>крытой кабиной экипажа. В мае 1935 г. УТ-2 (заводской номер 8211, т.е. тип 8 завода №21, экземпляр № 1) выве</w:t>
      </w:r>
      <w:r w:rsidRPr="00E14102">
        <w:rPr>
          <w:color w:val="000000" w:themeColor="text1"/>
          <w:sz w:val="16"/>
          <w:szCs w:val="16"/>
        </w:rPr>
        <w:softHyphen/>
        <w:t>ли на испытания. Вскоре построили еще один экземп</w:t>
      </w:r>
      <w:r w:rsidRPr="00E14102">
        <w:rPr>
          <w:color w:val="000000" w:themeColor="text1"/>
          <w:sz w:val="16"/>
          <w:szCs w:val="16"/>
        </w:rPr>
        <w:softHyphen/>
        <w:t>ляр. Машина имела ряд дефектов: заднюю центровку, тесные кабины, плохо открывающиеся крышки фонаря и др. Было признано, что он уступает УТИ-2, поэтому в серии УТ-2 не строился. В том же 1935 г. по просьбе ВВС серийное КБ спро</w:t>
      </w:r>
      <w:r w:rsidRPr="00E14102">
        <w:rPr>
          <w:color w:val="000000" w:themeColor="text1"/>
          <w:sz w:val="16"/>
          <w:szCs w:val="16"/>
        </w:rPr>
        <w:softHyphen/>
        <w:t>ектировало на базе И-16 тип 4 истребитель с четырьмя пулеметами ШКАС в крыле - И-161, в известном смыс</w:t>
      </w:r>
      <w:r w:rsidRPr="00E14102">
        <w:rPr>
          <w:color w:val="000000" w:themeColor="text1"/>
          <w:sz w:val="16"/>
          <w:szCs w:val="16"/>
        </w:rPr>
        <w:softHyphen/>
        <w:t>ле повторявший более ранний аналогичный проект ЦКБ-18. Возмущению Поликарпова не было границ, и не из-за того, что КБ серийного завода самостоятельно проектировало новые машины, а потому, что оно вы</w:t>
      </w:r>
      <w:r w:rsidRPr="00E14102">
        <w:rPr>
          <w:color w:val="000000" w:themeColor="text1"/>
          <w:sz w:val="16"/>
          <w:szCs w:val="16"/>
        </w:rPr>
        <w:softHyphen/>
        <w:t>полняло проекты, пренебрегая своими прямыми обя</w:t>
      </w:r>
      <w:r w:rsidRPr="00E14102">
        <w:rPr>
          <w:color w:val="000000" w:themeColor="text1"/>
          <w:sz w:val="16"/>
          <w:szCs w:val="16"/>
        </w:rPr>
        <w:softHyphen/>
        <w:t>занностям — разработками конструкторско-техно-логической документации для производства серийных машин, в первую очередь И-16 тип 4 и тип 5. Дирекция завода №21, заявляя, что не может обеспечить внедре</w:t>
      </w:r>
      <w:r w:rsidRPr="00E14102">
        <w:rPr>
          <w:color w:val="000000" w:themeColor="text1"/>
          <w:sz w:val="16"/>
          <w:szCs w:val="16"/>
        </w:rPr>
        <w:softHyphen/>
        <w:t>ние в серию И-16, ввиду слабости своего КБ и, требуя привлечения для этой цели конструкторов бригады № 2 ЦКБ, пыталась создать благоприятные условия для де</w:t>
      </w:r>
      <w:r w:rsidRPr="00E14102">
        <w:rPr>
          <w:color w:val="000000" w:themeColor="text1"/>
          <w:sz w:val="16"/>
          <w:szCs w:val="16"/>
        </w:rPr>
        <w:softHyphen/>
        <w:t>ятельности серийного КБ по созданию “своих” конст</w:t>
      </w:r>
      <w:r w:rsidRPr="00E14102">
        <w:rPr>
          <w:color w:val="000000" w:themeColor="text1"/>
          <w:sz w:val="16"/>
          <w:szCs w:val="16"/>
        </w:rPr>
        <w:softHyphen/>
        <w:t>рукций. Николай Николаевич жестко поставил об этом вопрос перед директором завода № 39 Марголиным, писал руководству главка, наркому тяжелой промыш</w:t>
      </w:r>
      <w:r w:rsidRPr="00E14102">
        <w:rPr>
          <w:color w:val="000000" w:themeColor="text1"/>
          <w:sz w:val="16"/>
          <w:szCs w:val="16"/>
        </w:rPr>
        <w:softHyphen/>
        <w:t>ленности С.Орджоникидзе. Он указывал: “...Целиком разделяя установку на раз</w:t>
      </w:r>
      <w:r w:rsidRPr="00E14102">
        <w:rPr>
          <w:color w:val="000000" w:themeColor="text1"/>
          <w:sz w:val="16"/>
          <w:szCs w:val="16"/>
        </w:rPr>
        <w:softHyphen/>
        <w:t>вертывание опытных работ на серийных заводах, мы все же полагаем, что [их] опытные работы должны быть тесно связаны с основной задачей - улучшения идущего в производстве типа, а не производиться за счет этой ра</w:t>
      </w:r>
      <w:r w:rsidRPr="00E14102">
        <w:rPr>
          <w:color w:val="000000" w:themeColor="text1"/>
          <w:sz w:val="16"/>
          <w:szCs w:val="16"/>
        </w:rPr>
        <w:softHyphen/>
        <w:t>боты или основных опытных баз, спихивая на них эту доводочную работу. Поэтому получается, например, что в то время, как мы делали доводочную работу для завода №21, он делал двухместную машину и штурмо</w:t>
      </w:r>
      <w:r w:rsidRPr="00E14102">
        <w:rPr>
          <w:color w:val="000000" w:themeColor="text1"/>
          <w:sz w:val="16"/>
          <w:szCs w:val="16"/>
        </w:rPr>
        <w:softHyphen/>
        <w:t>вик, который (штурмовик) еще в начале 1934 г. был проработан у нас и в конце года спущен в производство, но приостановлен из-за отсутствия производственных мощностей”. И вносил предложение: “Решительно прекратить су</w:t>
      </w:r>
      <w:r w:rsidRPr="00E14102">
        <w:rPr>
          <w:color w:val="000000" w:themeColor="text1"/>
          <w:sz w:val="16"/>
          <w:szCs w:val="16"/>
        </w:rPr>
        <w:softHyphen/>
        <w:t>ществующую систему наших взаимоотношений с се</w:t>
      </w:r>
      <w:r w:rsidRPr="00E14102">
        <w:rPr>
          <w:color w:val="000000" w:themeColor="text1"/>
          <w:sz w:val="16"/>
          <w:szCs w:val="16"/>
        </w:rPr>
        <w:softHyphen/>
        <w:t>рийными заводами, разгрузив нас от работы, которую они должны делать” (10667).</w:t>
      </w:r>
    </w:p>
    <w:p w14:paraId="6C9C946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DF5DF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 начались заводские испытания ЦКБ-3 №7. Летали Чкалов, Коккинаки, Николаев. Летные характеристики самолета в основном остались на прежнем уровне. Несколько снизилась скороподъемность, максимальная скорость составила 367 км/час на высоте 3000 м, что соответствовало максимальной скорости самолета с “чайкой”. Время виража на высоте 1000 м увеличилось и составило 9,36 с. Главная цель, однако, считалась достигнутой, о чем свидетельствовали заключения летчиков-испытателей: “На основании проведенного испытания, есть все данные, которые говорят, что самолет ЦКБ-3 с нормальным центропланом во многом превосходит самолет с “чайкой” - В.П. Чкалов. “Устойчивость пути самолета можно считать полностью достигнутой. При определении устойчивости замечено, что вертикальное оперение самолета имеется с большим запасом, чего не было на самолете с “чайкой”. Обзор вперед и вверх значительно улучшились. Несколько изменилось зрительное впечатление о маневренности благодаря тому, что капоты от кабины летчика до мотора имеют прямую линию и поэтому нос кажется удлиненным. При полученных данных скорости, скороподъемности, маневренности и хорошей устойчивости пути, которой добились применив нормальный центровой, считаю необходимым в дальнейшем прекратить постройку самолетов с “чайкой” - В.К.Коккинаки (6593).</w:t>
      </w:r>
    </w:p>
    <w:p w14:paraId="6C855E13" w14:textId="77777777" w:rsidR="00D4105E" w:rsidRPr="00E14102" w:rsidRDefault="00D4105E" w:rsidP="00E14102">
      <w:pPr>
        <w:autoSpaceDE w:val="0"/>
        <w:autoSpaceDN w:val="0"/>
        <w:adjustRightInd w:val="0"/>
        <w:jc w:val="both"/>
        <w:rPr>
          <w:color w:val="000000" w:themeColor="text1"/>
          <w:sz w:val="16"/>
          <w:szCs w:val="16"/>
        </w:rPr>
      </w:pPr>
    </w:p>
    <w:p w14:paraId="5376E0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закончились гос. испытания ПИ-1 (ДГ-52) и он сразу же был запущен в производство в Харькове получив обозначение ИП-1. Летом серийные пошли на аэродром, но пушек - не было и первые 30 решили сделать шестипулеметными, а Д.П.Г. поручили переделать ИП-1 под ШВАК 20 мм (97,23).</w:t>
      </w:r>
    </w:p>
    <w:p w14:paraId="128DD587" w14:textId="77777777" w:rsidR="00D4105E" w:rsidRPr="00E14102" w:rsidRDefault="00D4105E" w:rsidP="00E14102">
      <w:pPr>
        <w:autoSpaceDE w:val="0"/>
        <w:autoSpaceDN w:val="0"/>
        <w:adjustRightInd w:val="0"/>
        <w:jc w:val="both"/>
        <w:rPr>
          <w:color w:val="000000" w:themeColor="text1"/>
          <w:sz w:val="16"/>
          <w:szCs w:val="16"/>
        </w:rPr>
      </w:pPr>
    </w:p>
    <w:p w14:paraId="66455A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года впервые испытывался ИП-1. Был одобрен, особенно скорость 410 км/час и убирающиеся лыжи. На штопор не испытывался как и И-14 из-за пушек Курчевского. По предложению НИИ уже выпущенные машины д.б. использоваться как штурмовики (3538).</w:t>
      </w:r>
    </w:p>
    <w:p w14:paraId="0DAEFFFB" w14:textId="77777777" w:rsidR="00D4105E" w:rsidRPr="00E14102" w:rsidRDefault="00D4105E" w:rsidP="00E14102">
      <w:pPr>
        <w:autoSpaceDE w:val="0"/>
        <w:autoSpaceDN w:val="0"/>
        <w:adjustRightInd w:val="0"/>
        <w:jc w:val="both"/>
        <w:rPr>
          <w:color w:val="000000" w:themeColor="text1"/>
          <w:sz w:val="16"/>
          <w:szCs w:val="16"/>
        </w:rPr>
      </w:pPr>
    </w:p>
    <w:p w14:paraId="0D9EFB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года ИП-1 прошел испытания и был рекомендован к серийному производству. Отношение высшего руководства СССР к пушечным бомбардировщикам было очевидным: авиазаводу № 135 предложили разработать генеральный план реконструкции на 1935-1939 год. Руководство не упустило возможности расширить производственные мощности, территорию, оснастить цехи новым оборудованием, усилить энергетическую базу, заложить несколько лабораторий. ИП-1 запустили в серию, аэродром стал заполняться готовыми самолетами, а серийное производство пушек, которыми предполагалось оборудовать ИП-1, все никак не налаживалось. Поступило распоряжение срочно переоборудовать самолеты под пулеметные варианты. Повторялась история с И-Z, причем сходство усиливалось тем, что и первый неудачный истребитель, и ИП-1 на испытаниях сваливались в плоский штопор по своему желанию и никак не желали из него выходить. Серийный конструкторский отдел срочно взялся за доработку и исправление недостатков конструкции. Заводское производство было остановлено до момента решения проблемы, годовой план оказался под угрозой, а последствия для всего завода могли быть очень драматичными. Выход искал и Григорович, и Неман, снова переведенный на ХАЗ для освоения производства ХАИ-5. Чертежи шли в производство, конструкторские идеи не подтверждались, летчики были вынуждены покидать самолет на парашюте. И все же опытным путем выход был найден, и в 1936 году ИП-1, отлетав заводскую программу, не вызвал никаких нареканий и стал легко выходить из штопора (10674).</w:t>
      </w:r>
    </w:p>
    <w:p w14:paraId="2718BF02" w14:textId="77777777" w:rsidR="00D4105E" w:rsidRPr="00E14102" w:rsidRDefault="00D4105E" w:rsidP="00E14102">
      <w:pPr>
        <w:autoSpaceDE w:val="0"/>
        <w:autoSpaceDN w:val="0"/>
        <w:adjustRightInd w:val="0"/>
        <w:jc w:val="both"/>
        <w:rPr>
          <w:color w:val="000000" w:themeColor="text1"/>
          <w:sz w:val="16"/>
          <w:szCs w:val="16"/>
        </w:rPr>
      </w:pPr>
    </w:p>
    <w:p w14:paraId="7B6468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успешно завершились испытания опытного ИП-1, построенного в 1934 г. и испытывавшегося с января 1935. Самолет продемонстрировал высокую скорость и хорошую маневренность, что в сочетании с мощным вооружением делало его весьма перспективной боевой машиной. Особой похвалы военных удостоилась прекрасная устойчивость самолета на пикировании. Хотя тогда еще не рассматривались специальные ударные самолеты, атакующие именно в режиме пикирования, было очевидно, что ИП-1 имеет большие резервы. Его собирались применять как в составе звеньев и эскадрилий для борьбы с крупными соединениями бомбардировщиков, так и для поражения укрепленных наземных целей.</w:t>
      </w:r>
    </w:p>
    <w:p w14:paraId="560AAA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настолько понравился начальнику ВВС Я.Алкснису, что он потребовал от авиапромышленности сократить производство уже заказанных истребителей в пользу ИП-1. Поскольку истребитель Григоровича уже был запущен в серийное производство на заводе №21 в Нижнем Новгороде, то увеличить объем выпуска можно было только путем привлечения новых мощностей. ГУАП предложил развернуть серийное производство ИП-1 на 125-м заводе, не дожидаясь окончания государственных испытаний. Военная приемка в Иркутске даже завела в своей переписке дело за №6, но ему не суждено было заполниться листами переписки.</w:t>
      </w:r>
    </w:p>
    <w:p w14:paraId="723733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первой половине 1936 г. на заводе разрабатывали маршрутную технологию, готовили чертежи оснастки и специальных инструментов. Когда в Иркутске уже были готовы приступить непосредственно к изготовлению машины, выяснилось, что самолету присущ весьма опасный недостаток.</w:t>
      </w:r>
    </w:p>
    <w:p w14:paraId="4AACE9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Летчик-испытатель НИИ ВВС П.М.Стефановский выявил неудовлетворительные штопорные характеристики, улучшить которые пытались установкой форкиля на вертикальном оперении. Однако это не помогло и во время контрольных полетов летчик-испытатель НИИ ВВС А.И.Никашин, так и не сумев вывести серийный ИП-1 №28 из плоского штопора, вынужден был покинуть машину с парашютом.</w:t>
      </w:r>
    </w:p>
    <w:p w14:paraId="66955D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этого серийное производство истребителя прекратили, а на 125-м заводе уничтожили весь задел - плазы, шаблоны и ряд деталей (12037).</w:t>
      </w:r>
    </w:p>
    <w:p w14:paraId="0B26DAB5" w14:textId="77777777" w:rsidR="00D4105E" w:rsidRPr="00E14102" w:rsidRDefault="00D4105E" w:rsidP="00E14102">
      <w:pPr>
        <w:autoSpaceDE w:val="0"/>
        <w:autoSpaceDN w:val="0"/>
        <w:adjustRightInd w:val="0"/>
        <w:jc w:val="both"/>
        <w:rPr>
          <w:color w:val="000000" w:themeColor="text1"/>
          <w:sz w:val="16"/>
          <w:szCs w:val="16"/>
        </w:rPr>
      </w:pPr>
    </w:p>
    <w:p w14:paraId="6CA11A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была подготовлена записка Чубарю В.Я.</w:t>
      </w:r>
    </w:p>
    <w:p w14:paraId="7B8895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Вашего указания докладываю проект постановления СТО по системам Курчевского с поправками.</w:t>
      </w:r>
    </w:p>
    <w:p w14:paraId="41CD83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Поправки согласованы с начальником АУ Ефимовым.</w:t>
      </w:r>
    </w:p>
    <w:p w14:paraId="044B07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по справке Ефимова, самолеты “ЗЕТ” будут …….. изготовляемыми, как опытная серия с пушками АПК-11.</w:t>
      </w:r>
    </w:p>
    <w:p w14:paraId="4D77CC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капитальное строительство завода по справке Павлуновского, отпущено в 1935 году 2 млн. рублей.</w:t>
      </w:r>
    </w:p>
    <w:p w14:paraId="07E449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Ваших указаний о ……. п. 11 (раздел 1-й) и ……… (источник финансирования) (2426,20).</w:t>
      </w:r>
    </w:p>
    <w:p w14:paraId="5BEE7762" w14:textId="77777777" w:rsidR="00D4105E" w:rsidRPr="00E14102" w:rsidRDefault="00D4105E" w:rsidP="00E14102">
      <w:pPr>
        <w:autoSpaceDE w:val="0"/>
        <w:autoSpaceDN w:val="0"/>
        <w:adjustRightInd w:val="0"/>
        <w:jc w:val="both"/>
        <w:rPr>
          <w:color w:val="000000" w:themeColor="text1"/>
          <w:sz w:val="16"/>
          <w:szCs w:val="16"/>
        </w:rPr>
      </w:pPr>
    </w:p>
    <w:p w14:paraId="6666D7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года начались госиспытания са</w:t>
      </w:r>
      <w:r w:rsidRPr="00E14102">
        <w:rPr>
          <w:color w:val="000000" w:themeColor="text1"/>
          <w:sz w:val="16"/>
          <w:szCs w:val="16"/>
        </w:rPr>
        <w:softHyphen/>
        <w:t>молета И-14 дублер (И-14бис). Их проводил летчик А.И.Филин. Эта машина отличалась от предыдущей мо</w:t>
      </w:r>
      <w:r w:rsidRPr="00E14102">
        <w:rPr>
          <w:color w:val="000000" w:themeColor="text1"/>
          <w:sz w:val="16"/>
          <w:szCs w:val="16"/>
        </w:rPr>
        <w:softHyphen/>
        <w:t>дификации двигателем Райт “Циклон” Р-2, гладкой ме</w:t>
      </w:r>
      <w:r w:rsidRPr="00E14102">
        <w:rPr>
          <w:color w:val="000000" w:themeColor="text1"/>
          <w:sz w:val="16"/>
          <w:szCs w:val="16"/>
        </w:rPr>
        <w:softHyphen/>
        <w:t>таллической обшивкой крыла, конструкцией шасси (с узкой колеей). Козырек кабины сдвигался вперед, как на И-16. С мотором Райт “Циклон” Р-2 самолет развивал у земли скорость 358 км/ч и 372 км/ч на высоте 1000 м. В мае произошла авария и самолет возвратили на завод для ремонта и доработки. Тем не менее, 19 мая 1934 г. начальник ВВС Я.И.Алкснис подписал Акт по результа</w:t>
      </w:r>
      <w:r w:rsidRPr="00E14102">
        <w:rPr>
          <w:color w:val="000000" w:themeColor="text1"/>
          <w:sz w:val="16"/>
          <w:szCs w:val="16"/>
        </w:rPr>
        <w:softHyphen/>
        <w:t>там госиспытаний истребителя И-14бис. Он был реко</w:t>
      </w:r>
      <w:r w:rsidRPr="00E14102">
        <w:rPr>
          <w:color w:val="000000" w:themeColor="text1"/>
          <w:sz w:val="16"/>
          <w:szCs w:val="16"/>
        </w:rPr>
        <w:softHyphen/>
        <w:t>мендован к серийному производству с мотором Райт “Циклон” Р-3 (10667).</w:t>
      </w:r>
    </w:p>
    <w:p w14:paraId="126AD39E" w14:textId="77777777" w:rsidR="00D4105E" w:rsidRPr="00E14102" w:rsidRDefault="00D4105E" w:rsidP="00E14102">
      <w:pPr>
        <w:autoSpaceDE w:val="0"/>
        <w:autoSpaceDN w:val="0"/>
        <w:adjustRightInd w:val="0"/>
        <w:jc w:val="both"/>
        <w:rPr>
          <w:color w:val="000000" w:themeColor="text1"/>
          <w:sz w:val="16"/>
          <w:szCs w:val="16"/>
        </w:rPr>
      </w:pPr>
    </w:p>
    <w:p w14:paraId="27451A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ГУАП утвердил в составе техтребований три варианта вооружения И-14: 2хШКАСс; 2хАПК-11; 2хАПК-11 + 2хШКАС (4020,14).</w:t>
      </w:r>
    </w:p>
    <w:p w14:paraId="211A8DB8" w14:textId="77777777" w:rsidR="00D4105E" w:rsidRPr="00E14102" w:rsidRDefault="00D4105E" w:rsidP="00E14102">
      <w:pPr>
        <w:autoSpaceDE w:val="0"/>
        <w:autoSpaceDN w:val="0"/>
        <w:adjustRightInd w:val="0"/>
        <w:jc w:val="both"/>
        <w:rPr>
          <w:color w:val="000000" w:themeColor="text1"/>
          <w:sz w:val="16"/>
          <w:szCs w:val="16"/>
        </w:rPr>
      </w:pPr>
    </w:p>
    <w:p w14:paraId="12BB84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прошли полигонные испытания новой пушки ЛП.К. АПК-4 М с измененным механизмом подачи. Испытывали и стержневую шрапнель. В лотчете сказано, что пушка “представляет бесспорную боевую ценность”, но стрельюа производит “тяжелый физиологический эффект на пилота”. Техник Моргунов после 182 выстрелов отправлен в большицу с сотрясением мозга. Тоже наблюдалось у нач. Группы Мельниковой после 104 выстрелов (3996, 94).</w:t>
      </w:r>
    </w:p>
    <w:p w14:paraId="3ED3B5AB" w14:textId="77777777" w:rsidR="00D4105E" w:rsidRPr="00E14102" w:rsidRDefault="00D4105E" w:rsidP="00E14102">
      <w:pPr>
        <w:autoSpaceDE w:val="0"/>
        <w:autoSpaceDN w:val="0"/>
        <w:adjustRightInd w:val="0"/>
        <w:jc w:val="both"/>
        <w:rPr>
          <w:color w:val="000000" w:themeColor="text1"/>
          <w:sz w:val="16"/>
          <w:szCs w:val="16"/>
        </w:rPr>
      </w:pPr>
    </w:p>
    <w:p w14:paraId="5AED2E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 были проведены полигонные испытания АПК-4М. К весне 1935 г. Курчевский предложил новую модернизацию пушки — АПК-4М. Изменения в ней коснулись лишь механизмов подачи.Вместе с пушкой испытывались различные типы стержневой шрапнели. В отчете по испытаниям сказано, что пушка «представляет бесспорную боевую ценность», но стрельба из нее производит «тяжелый физиологический эффект» на пилота. Так, техник Моргунов после 182 выстрелов контужен и направлен в больницу с сотрясением мозга. То же самое, только в более слабой форме, у начальника группы Мельникова после 104 выстрелов (12091).</w:t>
      </w:r>
    </w:p>
    <w:p w14:paraId="582A15FD" w14:textId="77777777" w:rsidR="00D4105E" w:rsidRPr="00E14102" w:rsidRDefault="00D4105E" w:rsidP="00E14102">
      <w:pPr>
        <w:autoSpaceDE w:val="0"/>
        <w:autoSpaceDN w:val="0"/>
        <w:adjustRightInd w:val="0"/>
        <w:jc w:val="both"/>
        <w:rPr>
          <w:color w:val="000000" w:themeColor="text1"/>
          <w:sz w:val="16"/>
          <w:szCs w:val="16"/>
        </w:rPr>
      </w:pPr>
    </w:p>
    <w:p w14:paraId="619A73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были проведены полигонные испытания эталонной АПК-4 и в ходе испытаний выявились нежелательные явления. Участник испытаний Моргунов после 182 выстрелов слег с воспалением мозга. Ночью вспышка ослепляла на 200 м. Но признали и запустили массовое производство на заводе 8 в Москве и 7 в Ленинграде. заказ на 1935 был 200 экз. (2693,18).</w:t>
      </w:r>
    </w:p>
    <w:p w14:paraId="7D56D18E" w14:textId="77777777" w:rsidR="00D4105E" w:rsidRPr="00E14102" w:rsidRDefault="00D4105E" w:rsidP="00E14102">
      <w:pPr>
        <w:autoSpaceDE w:val="0"/>
        <w:autoSpaceDN w:val="0"/>
        <w:adjustRightInd w:val="0"/>
        <w:jc w:val="both"/>
        <w:rPr>
          <w:color w:val="000000" w:themeColor="text1"/>
          <w:sz w:val="16"/>
          <w:szCs w:val="16"/>
        </w:rPr>
      </w:pPr>
    </w:p>
    <w:p w14:paraId="06B221C3" w14:textId="77777777" w:rsidR="007049F3" w:rsidRPr="00E14102" w:rsidRDefault="007049F3" w:rsidP="00E14102">
      <w:pPr>
        <w:pStyle w:val="a7"/>
        <w:rPr>
          <w:color w:val="000000" w:themeColor="text1"/>
          <w:sz w:val="16"/>
          <w:szCs w:val="16"/>
          <w:lang w:val="ru-RU"/>
        </w:rPr>
      </w:pPr>
      <w:r w:rsidRPr="00E14102">
        <w:rPr>
          <w:color w:val="000000" w:themeColor="text1"/>
          <w:sz w:val="16"/>
          <w:szCs w:val="16"/>
          <w:lang w:val="ru-RU"/>
        </w:rPr>
        <w:t>В марте 1935 г. были проведены полигонные испытания эталонной АПК-4. В ходе их проведения отмечались некоторые отрицательные явления. Так, после 182 выстрелов техник Моргунов «слег с сотрясением головного мозга», остальные участники испыта</w:t>
      </w:r>
      <w:r w:rsidRPr="00E14102">
        <w:rPr>
          <w:color w:val="000000" w:themeColor="text1"/>
          <w:sz w:val="16"/>
          <w:szCs w:val="16"/>
          <w:lang w:val="ru-RU"/>
        </w:rPr>
        <w:softHyphen/>
        <w:t>ний получили легкие контузии. Суще</w:t>
      </w:r>
      <w:r w:rsidRPr="00E14102">
        <w:rPr>
          <w:color w:val="000000" w:themeColor="text1"/>
          <w:sz w:val="16"/>
          <w:szCs w:val="16"/>
          <w:lang w:val="ru-RU"/>
        </w:rPr>
        <w:softHyphen/>
        <w:t>ственным недостатком считалось то, что во время ночной стрельбы вспышка от выстрела ослепляла участников испыта</w:t>
      </w:r>
      <w:r w:rsidRPr="00E14102">
        <w:rPr>
          <w:color w:val="000000" w:themeColor="text1"/>
          <w:sz w:val="16"/>
          <w:szCs w:val="16"/>
          <w:lang w:val="ru-RU"/>
        </w:rPr>
        <w:softHyphen/>
        <w:t>ний на расстоянии до 200 м. Тем не менее, последовал вывод о «бесспорной боевой ценности» предъявленной пушки. В мае 1935 г. на артиллерийских заводах №7 в Ленинграде и №8 в Подлипках началось валовое производство АПК-4. Заказ на 1935 г. составлял 200 экземпляров (15742).</w:t>
      </w:r>
    </w:p>
    <w:p w14:paraId="7AC5DBFA" w14:textId="77777777" w:rsidR="007049F3" w:rsidRPr="00E14102" w:rsidRDefault="007049F3" w:rsidP="00E14102">
      <w:pPr>
        <w:pStyle w:val="a7"/>
        <w:rPr>
          <w:color w:val="000000" w:themeColor="text1"/>
          <w:sz w:val="16"/>
          <w:szCs w:val="16"/>
          <w:lang w:val="ru-RU"/>
        </w:rPr>
      </w:pPr>
    </w:p>
    <w:p w14:paraId="1394F11F" w14:textId="77777777" w:rsidR="007049F3" w:rsidRPr="00E14102" w:rsidRDefault="007049F3" w:rsidP="00E14102">
      <w:pPr>
        <w:pStyle w:val="a7"/>
        <w:rPr>
          <w:color w:val="000000" w:themeColor="text1"/>
          <w:sz w:val="16"/>
          <w:szCs w:val="16"/>
          <w:lang w:val="ru-RU"/>
        </w:rPr>
      </w:pPr>
      <w:r w:rsidRPr="00E14102">
        <w:rPr>
          <w:color w:val="000000" w:themeColor="text1"/>
          <w:sz w:val="16"/>
          <w:szCs w:val="16"/>
          <w:lang w:val="ru-RU"/>
        </w:rPr>
        <w:t>В марте 1935 г. были проведены полигонные испытания эталонной АПК-4. В ходе их проведения отмечались некоторые отрицательные явления. Так, после 182 выстрелов техник Моргунов «слег с сотрясением головного мозга», остальные участники испыта</w:t>
      </w:r>
      <w:r w:rsidRPr="00E14102">
        <w:rPr>
          <w:color w:val="000000" w:themeColor="text1"/>
          <w:sz w:val="16"/>
          <w:szCs w:val="16"/>
          <w:lang w:val="ru-RU"/>
        </w:rPr>
        <w:softHyphen/>
        <w:t>ний получили легкие контузии. Суще</w:t>
      </w:r>
      <w:r w:rsidRPr="00E14102">
        <w:rPr>
          <w:color w:val="000000" w:themeColor="text1"/>
          <w:sz w:val="16"/>
          <w:szCs w:val="16"/>
          <w:lang w:val="ru-RU"/>
        </w:rPr>
        <w:softHyphen/>
        <w:t>ственным недостатком считалось то, что во время ночной стрельбы вспышка от выстрела ослепляла участников испыта</w:t>
      </w:r>
      <w:r w:rsidRPr="00E14102">
        <w:rPr>
          <w:color w:val="000000" w:themeColor="text1"/>
          <w:sz w:val="16"/>
          <w:szCs w:val="16"/>
          <w:lang w:val="ru-RU"/>
        </w:rPr>
        <w:softHyphen/>
        <w:t>ний на расстоянии до 200 м. Тем не менее, последовал вывод о «бесспорной боевой ценности» предъявленной пушки. В мае 1935 г. на артиллерийских заводах №7 в Ленинграде и №8 в Подлипках началось валовое производство АПК-4. Заказ на 1935 г. составлял 200 экземпляров (15742).</w:t>
      </w:r>
    </w:p>
    <w:p w14:paraId="53F2E9EF" w14:textId="77777777" w:rsidR="007049F3" w:rsidRPr="00E14102" w:rsidRDefault="007049F3" w:rsidP="00E14102">
      <w:pPr>
        <w:pStyle w:val="a7"/>
        <w:rPr>
          <w:color w:val="000000" w:themeColor="text1"/>
          <w:sz w:val="16"/>
          <w:szCs w:val="16"/>
          <w:lang w:val="ru-RU"/>
        </w:rPr>
      </w:pPr>
    </w:p>
    <w:p w14:paraId="29054E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в Евпаторию прибыли три И-Z, а в июне — еще шесть. Самолеты И-Z вели стрельбу по конусам, которые буксировались Р-5. В бомбардировщике ТБ-1 в задней кабине на турели ТУР-6 было установлено 37-мм противотанковое ружье (пушка) Курчевского — РК большой мощности. Вес ружья — 32 кг, вес снаряда — 0,6 кг, заряда — 0,19 кг пороха МСК, начальная скорость снаряда 524 м/с. Внешне и по устройству РК было одинаково с АПК-4 и другими авиапушками Курчевского. Основная разница в том, что подача выстрелов из цилиндрического надствольного барабана происходила не энергией сжатого воздуха, а мускульной силой стрелка. Расчетный темп стрельбы 10–12 выстр/мин, фактический 5–6 выстр/мин.</w:t>
      </w:r>
    </w:p>
    <w:p w14:paraId="4B91A1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Вообще говоря, использование ДРП для защиты кормовой полусферы самолета было заведомо безнадежной затеей. Угол обстрела РК был очень мал, поскольку струя газов из сопла могла повредить обшивку самолета. Естественно, что больше попыток применения ДРП в качестве оборонительного вооружения бомбардировщиков не было. Что же касается И-Z, то они в Евпатории вели стрельбы с пикирования, кабрирования и в горизонтальном полете. В среднем на один самолет пришлось по 240 выстрелов. В конструкции самолетов после этого наблюдались значительные повреждения: расходились заклепочные швы, трещали кронштейны хвостового оперения, лопалась полотняная обшивка. Были отдельные самолеты, например № 13 534, которые выдерживали до 340–360 выстрелов из АПК-4М.</w:t>
      </w:r>
    </w:p>
    <w:p w14:paraId="2CDFEB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июня 1935 г. Алкснис направил Курчевскому письмо: «Во исполнение постановления СТО СССР от 7.04.1935 г. для определения тактики и боевого применения пушечной авиации и для отработки правил стрельбы приказом НКО СССР № 065 создана особая группа: звено „ЗЕТ“, звено Р-5 и один ТБ-1, которая была направлена в Евпаторию. С 15.03.1935 г. группа бездействует в Евпатории в ожидании пушек. Требуется 6 АПК-4М и одно 37-мм ружье Курчевского».</w:t>
      </w:r>
    </w:p>
    <w:p w14:paraId="256005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любом случае признавалось, что даже при соответствующих усилениях конструкции срок службы И-Z при стрельбе из ДРП составляет не более 400 выстрелов. Пока проводили всевозможные испытания, большую часть серийных ЗЕТов довели до нелетного состояния (12091). </w:t>
      </w:r>
    </w:p>
    <w:p w14:paraId="6FC613BC" w14:textId="77777777" w:rsidR="00D4105E" w:rsidRPr="00E14102" w:rsidRDefault="00D4105E" w:rsidP="00E14102">
      <w:pPr>
        <w:autoSpaceDE w:val="0"/>
        <w:autoSpaceDN w:val="0"/>
        <w:adjustRightInd w:val="0"/>
        <w:jc w:val="both"/>
        <w:rPr>
          <w:color w:val="000000" w:themeColor="text1"/>
          <w:sz w:val="16"/>
          <w:szCs w:val="16"/>
        </w:rPr>
      </w:pPr>
    </w:p>
    <w:p w14:paraId="1CF0105B" w14:textId="77777777" w:rsidR="007049F3" w:rsidRPr="00E14102" w:rsidRDefault="007049F3" w:rsidP="00E14102">
      <w:pPr>
        <w:jc w:val="both"/>
        <w:rPr>
          <w:color w:val="000000" w:themeColor="text1"/>
          <w:sz w:val="16"/>
          <w:szCs w:val="16"/>
        </w:rPr>
      </w:pPr>
      <w:r w:rsidRPr="00E14102">
        <w:rPr>
          <w:color w:val="000000" w:themeColor="text1"/>
          <w:sz w:val="16"/>
          <w:szCs w:val="16"/>
        </w:rPr>
        <w:t>В марте 1935 в Евпаторию прибыли три И-Z, а в июне — еще шесть. Самолеты И-Z вели стрельбу по конусам, которые буксировались Р-5. В бомбардировщике ТБ-1 в задней кабине на турели ТУР-6 было установлено 37-мм противотанковое ружье (пушка) Курчевского — РК большой мощности. Вес ружья 32 кг, вес снаряда 0,6 кг, заряда 0,19 кг пороха МСК, начальная скорость снаряда 524 м/с. Внешне и по устройству РК было одинаково с АПК-4 и другими авиапушками Курчевского. Основная разница в том, что подача выстрелов из цилиндрического надствольного барабана, происходила не энергией сжатого воздуха, а мускульной силой стрелка. Расчетный темп стрельбы — 10—12 выстр/мин., фактический — 5—6 выстр./мин.</w:t>
      </w:r>
    </w:p>
    <w:p w14:paraId="40B02CAE" w14:textId="77777777" w:rsidR="007049F3" w:rsidRPr="00E14102" w:rsidRDefault="007049F3" w:rsidP="00E14102">
      <w:pPr>
        <w:jc w:val="both"/>
        <w:rPr>
          <w:color w:val="000000" w:themeColor="text1"/>
          <w:sz w:val="16"/>
          <w:szCs w:val="16"/>
        </w:rPr>
      </w:pPr>
      <w:r w:rsidRPr="00E14102">
        <w:rPr>
          <w:color w:val="000000" w:themeColor="text1"/>
          <w:sz w:val="16"/>
          <w:szCs w:val="16"/>
        </w:rPr>
        <w:t>Вообще говоря, использование ДРП для защиты кормовой полусферы самолета было заведомо безнадежной затеей. Угол обстрела РК был очень мал, поскольку струя газов из сопла могла повредить обшивку самолета. Естественно, что больше попыток применения ДРП в качестве оборонительного вооружения бомбардировщиков не было. Что же касается И-Z, то они в Евпатории вели стрельбы с пикирования, кабрирования и в горизонтальном полете. В среднем на один самолет пришлось по 240 выстрелов. В конструкции самолетов после этого наблюдались значительные повреждения: расходились заклепочные швы, трещали кронштейны хвостового оперения, лопалась полотняная обшивка. Были отдельные самолеты, например № 13534, которые выдерживали до 340—360 выстрелов из АПК-4М (15117).</w:t>
      </w:r>
    </w:p>
    <w:p w14:paraId="41AEDCD6" w14:textId="77777777" w:rsidR="007049F3" w:rsidRPr="00E14102" w:rsidRDefault="007049F3" w:rsidP="00E14102">
      <w:pPr>
        <w:jc w:val="both"/>
        <w:rPr>
          <w:color w:val="000000" w:themeColor="text1"/>
          <w:sz w:val="16"/>
          <w:szCs w:val="16"/>
        </w:rPr>
      </w:pPr>
    </w:p>
    <w:p w14:paraId="6C5ADE79" w14:textId="77777777" w:rsidR="00353B7D" w:rsidRPr="00E14102" w:rsidRDefault="00353B7D" w:rsidP="00E14102">
      <w:pPr>
        <w:pStyle w:val="a7"/>
        <w:rPr>
          <w:color w:val="000000" w:themeColor="text1"/>
          <w:sz w:val="16"/>
          <w:szCs w:val="16"/>
          <w:lang w:val="ru-RU"/>
        </w:rPr>
      </w:pPr>
      <w:r w:rsidRPr="00E14102">
        <w:rPr>
          <w:color w:val="000000" w:themeColor="text1"/>
          <w:sz w:val="16"/>
          <w:szCs w:val="16"/>
          <w:lang w:val="ru-RU"/>
        </w:rPr>
        <w:t xml:space="preserve">До марта </w:t>
      </w:r>
      <w:r w:rsidRPr="00E14102">
        <w:rPr>
          <w:rStyle w:val="9pt4"/>
          <w:b w:val="0"/>
          <w:color w:val="000000" w:themeColor="text1"/>
          <w:sz w:val="16"/>
          <w:szCs w:val="16"/>
          <w:lang w:val="ru-RU"/>
        </w:rPr>
        <w:t>1935 г.,</w:t>
      </w:r>
      <w:r w:rsidRPr="00E14102">
        <w:rPr>
          <w:color w:val="000000" w:themeColor="text1"/>
          <w:sz w:val="16"/>
          <w:szCs w:val="16"/>
          <w:lang w:val="ru-RU"/>
        </w:rPr>
        <w:t xml:space="preserve"> когда официально закончились </w:t>
      </w:r>
      <w:r w:rsidRPr="00E14102">
        <w:rPr>
          <w:rStyle w:val="9pt4"/>
          <w:b w:val="0"/>
          <w:color w:val="000000" w:themeColor="text1"/>
          <w:sz w:val="16"/>
          <w:szCs w:val="16"/>
          <w:lang w:val="ru-RU"/>
        </w:rPr>
        <w:t>войсковые</w:t>
      </w:r>
      <w:r w:rsidRPr="00E14102">
        <w:rPr>
          <w:color w:val="000000" w:themeColor="text1"/>
          <w:sz w:val="16"/>
          <w:szCs w:val="16"/>
          <w:lang w:val="ru-RU"/>
        </w:rPr>
        <w:t xml:space="preserve"> испытания, комплекты «Звено-</w:t>
      </w:r>
      <w:r w:rsidRPr="00E14102">
        <w:rPr>
          <w:color w:val="000000" w:themeColor="text1"/>
          <w:sz w:val="16"/>
          <w:szCs w:val="16"/>
        </w:rPr>
        <w:t>la</w:t>
      </w:r>
      <w:r w:rsidRPr="00E14102">
        <w:rPr>
          <w:color w:val="000000" w:themeColor="text1"/>
          <w:sz w:val="16"/>
          <w:szCs w:val="16"/>
          <w:lang w:val="ru-RU"/>
        </w:rPr>
        <w:t>» эксплуати</w:t>
      </w:r>
      <w:r w:rsidRPr="00E14102">
        <w:rPr>
          <w:color w:val="000000" w:themeColor="text1"/>
          <w:sz w:val="16"/>
          <w:szCs w:val="16"/>
          <w:lang w:val="ru-RU"/>
        </w:rPr>
        <w:softHyphen/>
      </w:r>
      <w:r w:rsidRPr="00E14102">
        <w:rPr>
          <w:rStyle w:val="9pt4"/>
          <w:b w:val="0"/>
          <w:color w:val="000000" w:themeColor="text1"/>
          <w:sz w:val="16"/>
          <w:szCs w:val="16"/>
          <w:lang w:val="ru-RU"/>
        </w:rPr>
        <w:t>ровались</w:t>
      </w:r>
      <w:r w:rsidRPr="00E14102">
        <w:rPr>
          <w:color w:val="000000" w:themeColor="text1"/>
          <w:sz w:val="16"/>
          <w:szCs w:val="16"/>
          <w:lang w:val="ru-RU"/>
        </w:rPr>
        <w:t xml:space="preserve"> в 1-й авиабригаде.</w:t>
      </w:r>
    </w:p>
    <w:p w14:paraId="7515B4E6" w14:textId="77777777" w:rsidR="00353B7D" w:rsidRPr="00E14102" w:rsidRDefault="00353B7D" w:rsidP="00E14102">
      <w:pPr>
        <w:pStyle w:val="a7"/>
        <w:rPr>
          <w:color w:val="000000" w:themeColor="text1"/>
          <w:sz w:val="16"/>
          <w:szCs w:val="16"/>
          <w:lang w:val="ru-RU"/>
        </w:rPr>
      </w:pPr>
      <w:r w:rsidRPr="00E14102">
        <w:rPr>
          <w:rStyle w:val="9pt4"/>
          <w:b w:val="0"/>
          <w:color w:val="000000" w:themeColor="text1"/>
          <w:sz w:val="16"/>
          <w:szCs w:val="16"/>
          <w:lang w:val="ru-RU"/>
        </w:rPr>
        <w:t>Вахмистров</w:t>
      </w:r>
      <w:r w:rsidRPr="00E14102">
        <w:rPr>
          <w:color w:val="000000" w:themeColor="text1"/>
          <w:sz w:val="16"/>
          <w:szCs w:val="16"/>
          <w:lang w:val="ru-RU"/>
        </w:rPr>
        <w:t xml:space="preserve"> изобретал все новые мо</w:t>
      </w:r>
      <w:r w:rsidRPr="00E14102">
        <w:rPr>
          <w:color w:val="000000" w:themeColor="text1"/>
          <w:sz w:val="16"/>
          <w:szCs w:val="16"/>
          <w:lang w:val="ru-RU"/>
        </w:rPr>
        <w:softHyphen/>
      </w:r>
      <w:r w:rsidRPr="00E14102">
        <w:rPr>
          <w:rStyle w:val="9pt4"/>
          <w:b w:val="0"/>
          <w:color w:val="000000" w:themeColor="text1"/>
          <w:sz w:val="16"/>
          <w:szCs w:val="16"/>
          <w:lang w:val="ru-RU"/>
        </w:rPr>
        <w:t>дификации</w:t>
      </w:r>
      <w:r w:rsidRPr="00E14102">
        <w:rPr>
          <w:color w:val="000000" w:themeColor="text1"/>
          <w:sz w:val="16"/>
          <w:szCs w:val="16"/>
          <w:lang w:val="ru-RU"/>
        </w:rPr>
        <w:t xml:space="preserve"> «звеньев». Один из первых </w:t>
      </w:r>
      <w:r w:rsidRPr="00E14102">
        <w:rPr>
          <w:rStyle w:val="9pt4"/>
          <w:b w:val="0"/>
          <w:color w:val="000000" w:themeColor="text1"/>
          <w:sz w:val="16"/>
          <w:szCs w:val="16"/>
          <w:lang w:val="ru-RU"/>
        </w:rPr>
        <w:t>проектов</w:t>
      </w:r>
      <w:r w:rsidRPr="00E14102">
        <w:rPr>
          <w:color w:val="000000" w:themeColor="text1"/>
          <w:sz w:val="16"/>
          <w:szCs w:val="16"/>
          <w:lang w:val="ru-RU"/>
        </w:rPr>
        <w:t xml:space="preserve"> предусматривал размещение </w:t>
      </w:r>
      <w:r w:rsidRPr="00E14102">
        <w:rPr>
          <w:rStyle w:val="9pt4"/>
          <w:b w:val="0"/>
          <w:color w:val="000000" w:themeColor="text1"/>
          <w:sz w:val="16"/>
          <w:szCs w:val="16"/>
          <w:lang w:val="ru-RU"/>
        </w:rPr>
        <w:t>на ТБ-1 не</w:t>
      </w:r>
      <w:r w:rsidRPr="00E14102">
        <w:rPr>
          <w:color w:val="000000" w:themeColor="text1"/>
          <w:sz w:val="16"/>
          <w:szCs w:val="16"/>
          <w:lang w:val="ru-RU"/>
        </w:rPr>
        <w:t xml:space="preserve"> И-4, а немецких двухместных </w:t>
      </w:r>
      <w:r w:rsidRPr="00E14102">
        <w:rPr>
          <w:rStyle w:val="9pt4"/>
          <w:b w:val="0"/>
          <w:color w:val="000000" w:themeColor="text1"/>
          <w:sz w:val="16"/>
          <w:szCs w:val="16"/>
          <w:lang w:val="ru-RU"/>
        </w:rPr>
        <w:t>многоцелевых</w:t>
      </w:r>
      <w:r w:rsidRPr="00E14102">
        <w:rPr>
          <w:color w:val="000000" w:themeColor="text1"/>
          <w:sz w:val="16"/>
          <w:szCs w:val="16"/>
          <w:lang w:val="ru-RU"/>
        </w:rPr>
        <w:t xml:space="preserve"> самолетов Юнкере К.47. </w:t>
      </w:r>
      <w:r w:rsidRPr="00E14102">
        <w:rPr>
          <w:rStyle w:val="9pt4"/>
          <w:b w:val="0"/>
          <w:color w:val="000000" w:themeColor="text1"/>
          <w:sz w:val="16"/>
          <w:szCs w:val="16"/>
          <w:lang w:val="ru-RU"/>
        </w:rPr>
        <w:t>Как и И-4,</w:t>
      </w:r>
      <w:r w:rsidRPr="00E14102">
        <w:rPr>
          <w:color w:val="000000" w:themeColor="text1"/>
          <w:sz w:val="16"/>
          <w:szCs w:val="16"/>
          <w:lang w:val="ru-RU"/>
        </w:rPr>
        <w:t xml:space="preserve"> они имели цельнометалличе</w:t>
      </w:r>
      <w:r w:rsidRPr="00E14102">
        <w:rPr>
          <w:color w:val="000000" w:themeColor="text1"/>
          <w:sz w:val="16"/>
          <w:szCs w:val="16"/>
          <w:lang w:val="ru-RU"/>
        </w:rPr>
        <w:softHyphen/>
      </w:r>
      <w:r w:rsidRPr="00E14102">
        <w:rPr>
          <w:rStyle w:val="9pt4"/>
          <w:b w:val="0"/>
          <w:color w:val="000000" w:themeColor="text1"/>
          <w:sz w:val="16"/>
          <w:szCs w:val="16"/>
          <w:lang w:val="ru-RU"/>
        </w:rPr>
        <w:t>скую конструкцию</w:t>
      </w:r>
      <w:r w:rsidRPr="00E14102">
        <w:rPr>
          <w:color w:val="000000" w:themeColor="text1"/>
          <w:sz w:val="16"/>
          <w:szCs w:val="16"/>
          <w:lang w:val="ru-RU"/>
        </w:rPr>
        <w:t xml:space="preserve"> и могли использовать</w:t>
      </w:r>
      <w:r w:rsidRPr="00E14102">
        <w:rPr>
          <w:color w:val="000000" w:themeColor="text1"/>
          <w:sz w:val="16"/>
          <w:szCs w:val="16"/>
          <w:lang w:val="ru-RU"/>
        </w:rPr>
        <w:softHyphen/>
      </w:r>
      <w:r w:rsidRPr="00E14102">
        <w:rPr>
          <w:rStyle w:val="9pt4"/>
          <w:b w:val="0"/>
          <w:color w:val="000000" w:themeColor="text1"/>
          <w:sz w:val="16"/>
          <w:szCs w:val="16"/>
          <w:lang w:val="ru-RU"/>
        </w:rPr>
        <w:t>ся как тяжелые</w:t>
      </w:r>
      <w:r w:rsidRPr="00E14102">
        <w:rPr>
          <w:color w:val="000000" w:themeColor="text1"/>
          <w:sz w:val="16"/>
          <w:szCs w:val="16"/>
          <w:lang w:val="ru-RU"/>
        </w:rPr>
        <w:t xml:space="preserve"> истребители, разведчики </w:t>
      </w:r>
      <w:r w:rsidRPr="00E14102">
        <w:rPr>
          <w:rStyle w:val="9pt4"/>
          <w:b w:val="0"/>
          <w:color w:val="000000" w:themeColor="text1"/>
          <w:sz w:val="16"/>
          <w:szCs w:val="16"/>
          <w:lang w:val="ru-RU"/>
        </w:rPr>
        <w:t>и штурмовики.</w:t>
      </w:r>
      <w:r w:rsidRPr="00E14102">
        <w:rPr>
          <w:color w:val="000000" w:themeColor="text1"/>
          <w:sz w:val="16"/>
          <w:szCs w:val="16"/>
          <w:lang w:val="ru-RU"/>
        </w:rPr>
        <w:t xml:space="preserve"> В НИИ ВВС имелась такая </w:t>
      </w:r>
      <w:r w:rsidRPr="00E14102">
        <w:rPr>
          <w:rStyle w:val="9pt4"/>
          <w:b w:val="0"/>
          <w:color w:val="000000" w:themeColor="text1"/>
          <w:sz w:val="16"/>
          <w:szCs w:val="16"/>
          <w:lang w:val="ru-RU"/>
        </w:rPr>
        <w:t>машина,</w:t>
      </w:r>
      <w:r w:rsidRPr="00E14102">
        <w:rPr>
          <w:color w:val="000000" w:themeColor="text1"/>
          <w:sz w:val="16"/>
          <w:szCs w:val="16"/>
          <w:lang w:val="ru-RU"/>
        </w:rPr>
        <w:t xml:space="preserve"> переданная немцами после ис</w:t>
      </w:r>
      <w:r w:rsidRPr="00E14102">
        <w:rPr>
          <w:color w:val="000000" w:themeColor="text1"/>
          <w:sz w:val="16"/>
          <w:szCs w:val="16"/>
          <w:lang w:val="ru-RU"/>
        </w:rPr>
        <w:softHyphen/>
      </w:r>
      <w:r w:rsidRPr="00E14102">
        <w:rPr>
          <w:rStyle w:val="9pt4"/>
          <w:b w:val="0"/>
          <w:color w:val="000000" w:themeColor="text1"/>
          <w:sz w:val="16"/>
          <w:szCs w:val="16"/>
          <w:lang w:val="ru-RU"/>
        </w:rPr>
        <w:t>пытаний в</w:t>
      </w:r>
      <w:r w:rsidRPr="00E14102">
        <w:rPr>
          <w:color w:val="000000" w:themeColor="text1"/>
          <w:sz w:val="16"/>
          <w:szCs w:val="16"/>
          <w:lang w:val="ru-RU"/>
        </w:rPr>
        <w:t xml:space="preserve"> Липецке. Преимуществами в </w:t>
      </w:r>
      <w:r w:rsidRPr="00E14102">
        <w:rPr>
          <w:rStyle w:val="9pt4"/>
          <w:b w:val="0"/>
          <w:color w:val="000000" w:themeColor="text1"/>
          <w:sz w:val="16"/>
          <w:szCs w:val="16"/>
          <w:lang w:val="ru-RU"/>
        </w:rPr>
        <w:t>этом случае</w:t>
      </w:r>
      <w:r w:rsidRPr="00E14102">
        <w:rPr>
          <w:color w:val="000000" w:themeColor="text1"/>
          <w:sz w:val="16"/>
          <w:szCs w:val="16"/>
          <w:lang w:val="ru-RU"/>
        </w:rPr>
        <w:t xml:space="preserve"> являлись усиление оборо</w:t>
      </w:r>
      <w:r w:rsidRPr="00E14102">
        <w:rPr>
          <w:color w:val="000000" w:themeColor="text1"/>
          <w:sz w:val="16"/>
          <w:szCs w:val="16"/>
          <w:lang w:val="ru-RU"/>
        </w:rPr>
        <w:softHyphen/>
      </w:r>
      <w:r w:rsidRPr="00E14102">
        <w:rPr>
          <w:rStyle w:val="9pt4"/>
          <w:b w:val="0"/>
          <w:color w:val="000000" w:themeColor="text1"/>
          <w:sz w:val="16"/>
          <w:szCs w:val="16"/>
          <w:lang w:val="ru-RU"/>
        </w:rPr>
        <w:t>носпособности</w:t>
      </w:r>
      <w:r w:rsidRPr="00E14102">
        <w:rPr>
          <w:color w:val="000000" w:themeColor="text1"/>
          <w:sz w:val="16"/>
          <w:szCs w:val="16"/>
          <w:lang w:val="ru-RU"/>
        </w:rPr>
        <w:t xml:space="preserve"> носителя за счет задних </w:t>
      </w:r>
      <w:r w:rsidRPr="00E14102">
        <w:rPr>
          <w:rStyle w:val="9pt4"/>
          <w:b w:val="0"/>
          <w:color w:val="000000" w:themeColor="text1"/>
          <w:sz w:val="16"/>
          <w:szCs w:val="16"/>
          <w:lang w:val="ru-RU"/>
        </w:rPr>
        <w:t>опквых точек</w:t>
      </w:r>
      <w:r w:rsidRPr="00E14102">
        <w:rPr>
          <w:color w:val="000000" w:themeColor="text1"/>
          <w:sz w:val="16"/>
          <w:szCs w:val="16"/>
          <w:lang w:val="ru-RU"/>
        </w:rPr>
        <w:t xml:space="preserve"> «юнкерса» и большая эф</w:t>
      </w:r>
      <w:r w:rsidRPr="00E14102">
        <w:rPr>
          <w:color w:val="000000" w:themeColor="text1"/>
          <w:sz w:val="16"/>
          <w:szCs w:val="16"/>
          <w:lang w:val="ru-RU"/>
        </w:rPr>
        <w:softHyphen/>
      </w:r>
      <w:r w:rsidRPr="00E14102">
        <w:rPr>
          <w:rStyle w:val="9pt4"/>
          <w:b w:val="0"/>
          <w:color w:val="000000" w:themeColor="text1"/>
          <w:sz w:val="16"/>
          <w:szCs w:val="16"/>
          <w:lang w:val="ru-RU"/>
        </w:rPr>
        <w:t>фективность</w:t>
      </w:r>
      <w:r w:rsidRPr="00E14102">
        <w:rPr>
          <w:color w:val="000000" w:themeColor="text1"/>
          <w:sz w:val="16"/>
          <w:szCs w:val="16"/>
          <w:lang w:val="ru-RU"/>
        </w:rPr>
        <w:t xml:space="preserve"> при подавлении зенитных </w:t>
      </w:r>
      <w:r w:rsidRPr="00E14102">
        <w:rPr>
          <w:rStyle w:val="9pt4"/>
          <w:b w:val="0"/>
          <w:color w:val="000000" w:themeColor="text1"/>
          <w:sz w:val="16"/>
          <w:szCs w:val="16"/>
          <w:lang w:val="ru-RU"/>
        </w:rPr>
        <w:t>батарей</w:t>
      </w:r>
      <w:r w:rsidRPr="00E14102">
        <w:rPr>
          <w:color w:val="000000" w:themeColor="text1"/>
          <w:sz w:val="16"/>
          <w:szCs w:val="16"/>
          <w:lang w:val="ru-RU"/>
        </w:rPr>
        <w:t xml:space="preserve"> (мог работать бомбами). Но ве</w:t>
      </w:r>
      <w:r w:rsidRPr="00E14102">
        <w:rPr>
          <w:color w:val="000000" w:themeColor="text1"/>
          <w:sz w:val="16"/>
          <w:szCs w:val="16"/>
          <w:lang w:val="ru-RU"/>
        </w:rPr>
        <w:softHyphen/>
        <w:t>сил К.47 слишком много и до реализации этот вариант не довели.</w:t>
      </w:r>
    </w:p>
    <w:p w14:paraId="5CC9DFF4" w14:textId="77777777" w:rsidR="00353B7D" w:rsidRPr="00E14102" w:rsidRDefault="00353B7D" w:rsidP="00E14102">
      <w:pPr>
        <w:pStyle w:val="a7"/>
        <w:rPr>
          <w:color w:val="000000" w:themeColor="text1"/>
          <w:sz w:val="16"/>
          <w:szCs w:val="16"/>
          <w:lang w:val="ru-RU"/>
        </w:rPr>
      </w:pPr>
      <w:r w:rsidRPr="00E14102">
        <w:rPr>
          <w:color w:val="000000" w:themeColor="text1"/>
          <w:sz w:val="16"/>
          <w:szCs w:val="16"/>
          <w:lang w:val="ru-RU"/>
        </w:rPr>
        <w:t>Проигнорировали и предложение конструктора организовать рекордный полет истребителя с применением СЗВ.</w:t>
      </w:r>
    </w:p>
    <w:p w14:paraId="47A16BFB" w14:textId="77777777" w:rsidR="00353B7D" w:rsidRPr="00E14102" w:rsidRDefault="00353B7D" w:rsidP="00E14102">
      <w:pPr>
        <w:pStyle w:val="a7"/>
        <w:rPr>
          <w:color w:val="000000" w:themeColor="text1"/>
          <w:sz w:val="16"/>
          <w:szCs w:val="16"/>
          <w:lang w:val="ru-RU"/>
        </w:rPr>
      </w:pPr>
      <w:r w:rsidRPr="00E14102">
        <w:rPr>
          <w:color w:val="000000" w:themeColor="text1"/>
          <w:sz w:val="16"/>
          <w:szCs w:val="16"/>
          <w:lang w:val="ru-RU"/>
        </w:rPr>
        <w:t>Гораздо более плодотворной оказа</w:t>
      </w:r>
      <w:r w:rsidRPr="00E14102">
        <w:rPr>
          <w:color w:val="000000" w:themeColor="text1"/>
          <w:sz w:val="16"/>
          <w:szCs w:val="16"/>
          <w:lang w:val="ru-RU"/>
        </w:rPr>
        <w:softHyphen/>
        <w:t>лась идея заменить носитель. На воору</w:t>
      </w:r>
      <w:r w:rsidRPr="00E14102">
        <w:rPr>
          <w:color w:val="000000" w:themeColor="text1"/>
          <w:sz w:val="16"/>
          <w:szCs w:val="16"/>
          <w:lang w:val="ru-RU"/>
        </w:rPr>
        <w:softHyphen/>
        <w:t>жение ВВС РККА к этому времени посту</w:t>
      </w:r>
      <w:r w:rsidRPr="00E14102">
        <w:rPr>
          <w:color w:val="000000" w:themeColor="text1"/>
          <w:sz w:val="16"/>
          <w:szCs w:val="16"/>
          <w:lang w:val="ru-RU"/>
        </w:rPr>
        <w:softHyphen/>
        <w:t>пил четырехмоторный бомбардировщик ТБ-3, значительно превосходивший ТБ-1 по грузоподъемности и летным данным (17741).</w:t>
      </w:r>
    </w:p>
    <w:p w14:paraId="16B85BF2" w14:textId="77777777" w:rsidR="00353B7D" w:rsidRPr="00E14102" w:rsidRDefault="00353B7D" w:rsidP="00E14102">
      <w:pPr>
        <w:jc w:val="both"/>
        <w:rPr>
          <w:color w:val="000000" w:themeColor="text1"/>
          <w:sz w:val="16"/>
          <w:szCs w:val="16"/>
        </w:rPr>
      </w:pPr>
    </w:p>
    <w:p w14:paraId="39AC0BA3" w14:textId="77777777" w:rsidR="00353B7D" w:rsidRPr="00E14102" w:rsidRDefault="00353B7D" w:rsidP="00E14102">
      <w:pPr>
        <w:jc w:val="both"/>
        <w:rPr>
          <w:color w:val="000000" w:themeColor="text1"/>
          <w:sz w:val="16"/>
          <w:szCs w:val="16"/>
        </w:rPr>
      </w:pPr>
      <w:r w:rsidRPr="00E14102">
        <w:rPr>
          <w:color w:val="000000" w:themeColor="text1"/>
          <w:sz w:val="16"/>
          <w:szCs w:val="16"/>
        </w:rPr>
        <w:t xml:space="preserve">В марте 1935 года ВВС одобрило проект, а затем и макет самолёта И-21 или Сталь-8 — можно было приступать к изготовлению первого образца. Он должен был быть готов к 1 ноября 1935 г. По заданию самолёт должен был иметь максимальную скорость 500 км/ч, потолок — 10 тыс. метров </w:t>
      </w:r>
      <w:hyperlink r:id="rId71" w:history="1">
        <w:r w:rsidRPr="00E14102">
          <w:rPr>
            <w:color w:val="000000" w:themeColor="text1"/>
            <w:sz w:val="16"/>
            <w:szCs w:val="16"/>
          </w:rPr>
          <w:t>[127]</w:t>
        </w:r>
      </w:hyperlink>
      <w:r w:rsidRPr="00E14102">
        <w:rPr>
          <w:color w:val="000000" w:themeColor="text1"/>
          <w:sz w:val="16"/>
          <w:szCs w:val="16"/>
        </w:rPr>
        <w:t xml:space="preserve"> .</w:t>
      </w:r>
    </w:p>
    <w:p w14:paraId="184732F3" w14:textId="77777777" w:rsidR="00353B7D" w:rsidRPr="00E14102" w:rsidRDefault="00353B7D" w:rsidP="00E14102">
      <w:pPr>
        <w:jc w:val="both"/>
        <w:rPr>
          <w:color w:val="000000" w:themeColor="text1"/>
          <w:sz w:val="16"/>
          <w:szCs w:val="16"/>
        </w:rPr>
      </w:pPr>
      <w:r w:rsidRPr="00E14102">
        <w:rPr>
          <w:color w:val="000000" w:themeColor="text1"/>
          <w:sz w:val="16"/>
          <w:szCs w:val="16"/>
        </w:rPr>
        <w:t xml:space="preserve">Усилия Бартини были направлены на разработку скоростного истребителя «Сталь-8» по типу самолёта «Сталь-6». Его конструкторская группа была расширена. Вспоминает сослуживец Роберта Людвиговича по НИИ ГВФ В.П. Казневский: «В 1934 г. КБ Р.Л. Бартини пополнилось рядовыми иностранными специалистами, приглашенными в Советский Союз. Некоторая часть из них была шуцбундовцами, членами организации „Шуцбунд“, входившей в социал-демократическую партию Австрии. В 1934 г. шуцбундовцы вместе с коммунистами участвовали в вооружённом выступлении против австрийской реакции. После подавления выступления многие из них вышли из социал-демократической партии и вступили в компартию. У нас, в КБ Р.Л. Бартини, появились сотрудники со следующими фамилиями: Штруб, инженер-конструктор, австриец; Гайслер — производственный мастер, чех по национальности, за хорошую работу был награжден орденом Трудового Красного Знамени; Зацгер — мастер-жестянщик; Берштрейхер — технолог; Винтер — инженер по расчётам самолётных конструкций на прочность и другие. Это были неплохие специалисты, и у некоторых из них было чему поучиться» </w:t>
      </w:r>
      <w:hyperlink r:id="rId72" w:history="1">
        <w:r w:rsidRPr="00E14102">
          <w:rPr>
            <w:color w:val="000000" w:themeColor="text1"/>
            <w:sz w:val="16"/>
            <w:szCs w:val="16"/>
          </w:rPr>
          <w:t>[126]</w:t>
        </w:r>
      </w:hyperlink>
      <w:r w:rsidRPr="00E14102">
        <w:rPr>
          <w:color w:val="000000" w:themeColor="text1"/>
          <w:sz w:val="16"/>
          <w:szCs w:val="16"/>
        </w:rPr>
        <w:t xml:space="preserve"> .</w:t>
      </w:r>
    </w:p>
    <w:p w14:paraId="7E7A59BB" w14:textId="77777777" w:rsidR="00353B7D" w:rsidRPr="00E14102" w:rsidRDefault="00353B7D" w:rsidP="00E14102">
      <w:pPr>
        <w:jc w:val="both"/>
        <w:rPr>
          <w:color w:val="000000" w:themeColor="text1"/>
          <w:sz w:val="16"/>
          <w:szCs w:val="16"/>
        </w:rPr>
      </w:pPr>
      <w:r w:rsidRPr="00E14102">
        <w:rPr>
          <w:color w:val="000000" w:themeColor="text1"/>
          <w:sz w:val="16"/>
          <w:szCs w:val="16"/>
        </w:rPr>
        <w:t>В 1934 г. в СССР готовилось лицензионное производство французского V-образного двигателя Испано-Сюиза-12Ybrs мощностью 860 л. с., конструкция которого позволяла установить в развале цилиндров пушку. Этот двигатель решили поставить на истребитель Бартини, снабдив его стреляющей через втулку винта пушкой. Самолёт должен был иметь металлическую конструкцию с широким использованием легкого сплава электрон. В остальном И-21, как обозначили военные этот самолёт, не имел принципиальных отличий от «Сталь-6» (17489).</w:t>
      </w:r>
    </w:p>
    <w:p w14:paraId="36D169BF" w14:textId="77777777" w:rsidR="00353B7D" w:rsidRPr="00E14102" w:rsidRDefault="00353B7D" w:rsidP="00E14102">
      <w:pPr>
        <w:jc w:val="both"/>
        <w:rPr>
          <w:color w:val="000000" w:themeColor="text1"/>
          <w:sz w:val="16"/>
          <w:szCs w:val="16"/>
        </w:rPr>
      </w:pPr>
    </w:p>
    <w:p w14:paraId="1AD2A6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 приказом Главного управления авиационной промышленности предлагалось “...срочно проработать вопрос о применении испарительного охлаждения на самолетах, на которых можно получить наибольший эффект от такого типа охлаждения”. Испарительная система охлаждения позволяла отказаться от громоздких, выступающих в воздушный поток и создающих большое лобовое сопротивление радиаторов. На И-21 она представляла собой двойную обшивку центроплана крыла из тонких листов нержавеющей стали. В пространство между листами обшивки поступала использованная в системе охлаждения вода, превратившаяся в пар. Охлаждаясь воздухом, обтекавшим крыло, пар конденсировался, вода при циркуляции в крыле дополнительно охлаждалась и вновь поступала в двигатель. Для охлаждения на режимах руления и набора высоты предусматривалась установка небольшого выдвижного водорадиатора (9528).</w:t>
      </w:r>
    </w:p>
    <w:p w14:paraId="1E435AC7" w14:textId="77777777" w:rsidR="00D4105E" w:rsidRPr="00E14102" w:rsidRDefault="00D4105E" w:rsidP="00E14102">
      <w:pPr>
        <w:autoSpaceDE w:val="0"/>
        <w:autoSpaceDN w:val="0"/>
        <w:adjustRightInd w:val="0"/>
        <w:jc w:val="both"/>
        <w:rPr>
          <w:color w:val="000000" w:themeColor="text1"/>
          <w:sz w:val="16"/>
          <w:szCs w:val="16"/>
        </w:rPr>
      </w:pPr>
    </w:p>
    <w:p w14:paraId="18FE469B" w14:textId="77777777" w:rsidR="007049F3" w:rsidRPr="00E14102" w:rsidRDefault="007049F3" w:rsidP="00E14102">
      <w:pPr>
        <w:jc w:val="both"/>
        <w:rPr>
          <w:color w:val="000000" w:themeColor="text1"/>
          <w:sz w:val="16"/>
          <w:szCs w:val="16"/>
        </w:rPr>
      </w:pPr>
      <w:r w:rsidRPr="00E14102">
        <w:rPr>
          <w:color w:val="000000" w:themeColor="text1"/>
          <w:sz w:val="16"/>
          <w:szCs w:val="16"/>
        </w:rPr>
        <w:t>В марте 1935-го ГУАП обязал все заводы Глававиапрома, разрабатывавшие новые опытные самолеты под М-34, в обязательном порядке предусмотреть вариант испарительного охлаждения. Пять месяцев спустя в приказе начальника ГУАП Королева уже сообщалось об удовлетворительном завершении работ по переводу мотора на испарительное охлаждение и об успешном заграничном опыте по использованию этой системы на последних типах военных самолетов.</w:t>
      </w:r>
    </w:p>
    <w:p w14:paraId="6DE778A1" w14:textId="77777777" w:rsidR="007049F3" w:rsidRPr="00E14102" w:rsidRDefault="007049F3" w:rsidP="00E14102">
      <w:pPr>
        <w:jc w:val="both"/>
        <w:rPr>
          <w:color w:val="000000" w:themeColor="text1"/>
          <w:sz w:val="16"/>
          <w:szCs w:val="16"/>
        </w:rPr>
      </w:pPr>
      <w:r w:rsidRPr="00E14102">
        <w:rPr>
          <w:color w:val="000000" w:themeColor="text1"/>
          <w:sz w:val="16"/>
          <w:szCs w:val="16"/>
        </w:rPr>
        <w:lastRenderedPageBreak/>
        <w:t>В этом же приказе директорам заводов и ЦАГИ предлагалось</w:t>
      </w:r>
    </w:p>
    <w:p w14:paraId="640BADE6" w14:textId="77777777" w:rsidR="007049F3" w:rsidRPr="00E14102" w:rsidRDefault="007049F3" w:rsidP="00E14102">
      <w:pPr>
        <w:jc w:val="both"/>
        <w:rPr>
          <w:color w:val="000000" w:themeColor="text1"/>
          <w:sz w:val="16"/>
          <w:szCs w:val="16"/>
        </w:rPr>
      </w:pPr>
      <w:r w:rsidRPr="00E14102">
        <w:rPr>
          <w:color w:val="000000" w:themeColor="text1"/>
          <w:sz w:val="16"/>
          <w:szCs w:val="16"/>
        </w:rPr>
        <w:t>"в целях выявления преимуществ М-34 с испарительным охлаждением" перед обычным водяным, еще раз срочно проработать вопрос</w:t>
      </w:r>
    </w:p>
    <w:p w14:paraId="2F1B42AC" w14:textId="77777777" w:rsidR="007049F3" w:rsidRPr="00E14102" w:rsidRDefault="007049F3" w:rsidP="00E14102">
      <w:pPr>
        <w:jc w:val="both"/>
        <w:rPr>
          <w:color w:val="000000" w:themeColor="text1"/>
          <w:sz w:val="16"/>
          <w:szCs w:val="16"/>
        </w:rPr>
      </w:pPr>
      <w:r w:rsidRPr="00E14102">
        <w:rPr>
          <w:color w:val="000000" w:themeColor="text1"/>
          <w:sz w:val="16"/>
          <w:szCs w:val="16"/>
        </w:rPr>
        <w:t>"о его применении на самолетах, на которых можно получить наибольший эффект от такого типа охлаждения".</w:t>
      </w:r>
    </w:p>
    <w:p w14:paraId="43D98C76" w14:textId="77777777" w:rsidR="007049F3" w:rsidRPr="00E14102" w:rsidRDefault="007049F3" w:rsidP="00E14102">
      <w:pPr>
        <w:jc w:val="both"/>
        <w:rPr>
          <w:color w:val="000000" w:themeColor="text1"/>
          <w:sz w:val="16"/>
          <w:szCs w:val="16"/>
        </w:rPr>
      </w:pPr>
      <w:r w:rsidRPr="00E14102">
        <w:rPr>
          <w:color w:val="000000" w:themeColor="text1"/>
          <w:sz w:val="16"/>
          <w:szCs w:val="16"/>
        </w:rPr>
        <w:t>Однако уже летом следующего года постановлением правительства авиапрому решительно предложили переходить на этиленгликолевое охлаждение авиационных двигателей (15554).</w:t>
      </w:r>
    </w:p>
    <w:p w14:paraId="0BEE6BC1" w14:textId="77777777" w:rsidR="007049F3" w:rsidRPr="00E14102" w:rsidRDefault="007049F3" w:rsidP="00E14102">
      <w:pPr>
        <w:jc w:val="both"/>
        <w:rPr>
          <w:color w:val="000000" w:themeColor="text1"/>
          <w:sz w:val="16"/>
          <w:szCs w:val="16"/>
        </w:rPr>
      </w:pPr>
    </w:p>
    <w:p w14:paraId="5C2B1D9A" w14:textId="77777777" w:rsidR="006C1F1A" w:rsidRPr="00E14102" w:rsidRDefault="006C1F1A" w:rsidP="00E14102">
      <w:pPr>
        <w:shd w:val="clear" w:color="auto" w:fill="FFFFFF"/>
        <w:jc w:val="both"/>
        <w:rPr>
          <w:i/>
          <w:iCs/>
          <w:color w:val="0070C0"/>
          <w:sz w:val="16"/>
          <w:szCs w:val="16"/>
        </w:rPr>
      </w:pPr>
      <w:r w:rsidRPr="00E14102">
        <w:rPr>
          <w:color w:val="0070C0"/>
          <w:sz w:val="16"/>
          <w:szCs w:val="16"/>
        </w:rPr>
        <w:t>В марте 1935 макет крейсера Г-38 Ивенсона собрали в ангаре на Ходынке. Ознакомились с машиной Орджоникидзе, Тухачевский, Алкснис и другие военные, а также летчики-испытатели, в том числе Чкалов. Он заявил Гроховскому: «Отличная модель! Поскорее оживляйте ее. Забиваю первый полет» (22292)</w:t>
      </w:r>
      <w:r w:rsidRPr="00E14102">
        <w:rPr>
          <w:i/>
          <w:iCs/>
          <w:color w:val="0070C0"/>
          <w:sz w:val="16"/>
          <w:szCs w:val="16"/>
        </w:rPr>
        <w:t>.</w:t>
      </w:r>
    </w:p>
    <w:p w14:paraId="7D1B7E33" w14:textId="77777777" w:rsidR="006C1F1A" w:rsidRPr="00E14102" w:rsidRDefault="006C1F1A" w:rsidP="00E14102">
      <w:pPr>
        <w:jc w:val="both"/>
        <w:rPr>
          <w:color w:val="0070C0"/>
          <w:sz w:val="16"/>
          <w:szCs w:val="16"/>
        </w:rPr>
      </w:pPr>
    </w:p>
    <w:p w14:paraId="54A879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коллектив А.Н.Т. начал разработку АНТ-44 (577,9).</w:t>
      </w:r>
    </w:p>
    <w:p w14:paraId="5E4121B5" w14:textId="77777777" w:rsidR="00D4105E" w:rsidRPr="00E14102" w:rsidRDefault="00D4105E" w:rsidP="00E14102">
      <w:pPr>
        <w:autoSpaceDE w:val="0"/>
        <w:autoSpaceDN w:val="0"/>
        <w:adjustRightInd w:val="0"/>
        <w:jc w:val="both"/>
        <w:rPr>
          <w:color w:val="000000" w:themeColor="text1"/>
          <w:sz w:val="16"/>
          <w:szCs w:val="16"/>
        </w:rPr>
      </w:pPr>
    </w:p>
    <w:p w14:paraId="03B70E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ГУАП обязал все заводу ГУАП, разрабатывающие новые самолеты под М-34, в обязательном порядке предусматривать вариант испарительного охлаждения (4734,15).</w:t>
      </w:r>
    </w:p>
    <w:p w14:paraId="20A86E28" w14:textId="77777777" w:rsidR="00D4105E" w:rsidRPr="00E14102" w:rsidRDefault="00D4105E" w:rsidP="00E14102">
      <w:pPr>
        <w:autoSpaceDE w:val="0"/>
        <w:autoSpaceDN w:val="0"/>
        <w:adjustRightInd w:val="0"/>
        <w:jc w:val="both"/>
        <w:rPr>
          <w:color w:val="000000" w:themeColor="text1"/>
          <w:sz w:val="16"/>
          <w:szCs w:val="16"/>
        </w:rPr>
      </w:pPr>
    </w:p>
    <w:p w14:paraId="7896AD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в НИИ ВВС для испытания маскировочных и эксплуатационных свойств поступила, разработанная в начале 1935 г. в ВИАМе белая маскировочная краска для самолетов с полотняной обшивкой, не имевшая, на первый взгляд, никакого отношения к камуфляжу. Она состояла из казеина, буры, мела и закрепляющего спецлака, состав которого считался секретным. Главной особенностью этой краски было то, что она наносилась поверх основного (аэролакового) покрытия самолета и могла быть смыта без его повреждения. Удаление краски после того, как надобность в ней отпадала, осуществлялось с помощью горячей воды и тряпок, трудоемкость этой операции сильно зависела от процента содержания спецлака, Этот принцип, используемый в дальнейшем для создания таких же временных красок других цветов, сыграл огромную роль во всех исследованиях камуфляжных окрасок самолетов в СССР вплоть до 1941 г. Для окраски выбрали У-2 N 4316, находящийся в эксплуатации с 1933 и имевший омеление всех поверхностей. На различные части нанесли окраску с различным содержанием спецлака. Результаты испытаний показали, что для изготовления краски независимо от ее количества требуемся всего 15 - 17 мин, малярные свойства (розлив и укрывистость) обеспечивали равномерное покрытие самолета, тон краски хорошо сливался с фоном снега, при самых неблагоприятных условиях, покрытие надежно сохранялось на самолете, не оказывая при этом вредного действия на состояние основного нитропокрытия и самой обшивки. Минусом новой краски были проблемы с ее смывкой: для ее удаления с самолета У-2 требовалось около - 11 человеко-часов и это время еще возрастало с увеличением срока службы. По мнению испытателей это затрудняло применение краски в полевых условиях. Несмотря на то. что цвет краски сливался со снегом, самолет был заметен с высоты 2500 м - его выдавали незамаскированные части - мотор и кабина: с высоты 1000 - 2000 м из-за отбрасываемой тени был хорошо виден контур самолета. При этом следует заметить что, стоящий рядом Р-5 со стандартной окраской был хорошо виден е высоты 4000 м. (2560,17).</w:t>
      </w:r>
    </w:p>
    <w:p w14:paraId="47957C71" w14:textId="77777777" w:rsidR="00D4105E" w:rsidRPr="00E14102" w:rsidRDefault="00D4105E" w:rsidP="00E14102">
      <w:pPr>
        <w:autoSpaceDE w:val="0"/>
        <w:autoSpaceDN w:val="0"/>
        <w:adjustRightInd w:val="0"/>
        <w:jc w:val="both"/>
        <w:rPr>
          <w:color w:val="000000" w:themeColor="text1"/>
          <w:sz w:val="16"/>
          <w:szCs w:val="16"/>
        </w:rPr>
      </w:pPr>
    </w:p>
    <w:p w14:paraId="4CD3CA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С.П.К. подготовил ТЗ на СК-9 (105,65).</w:t>
      </w:r>
    </w:p>
    <w:p w14:paraId="73FD131F" w14:textId="77777777" w:rsidR="00D4105E" w:rsidRPr="00E14102" w:rsidRDefault="00D4105E" w:rsidP="00E14102">
      <w:pPr>
        <w:autoSpaceDE w:val="0"/>
        <w:autoSpaceDN w:val="0"/>
        <w:adjustRightInd w:val="0"/>
        <w:jc w:val="both"/>
        <w:rPr>
          <w:color w:val="000000" w:themeColor="text1"/>
          <w:sz w:val="16"/>
          <w:szCs w:val="16"/>
        </w:rPr>
      </w:pPr>
    </w:p>
    <w:p w14:paraId="4ED377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 провели полигонные испытания эталонного образца АПК-4. В ходе их проведения отмечались некоторые отрицательные явления. После 182 выстрелов техник Моргунов "слёг с сотрясением головного мозга", а остальные участники испытаний получили лёгкие контузии. Существенным недостатком считалось то, что во время ночной стрельбы вспышка от выстрела ослепляла участников испытаний на расстоянии до 200 м. Тем не менее последовал вывод о "бесспорной боевой ценности" предъявленной пушки. В мае 1935 г. на артиллерийских заводах № 7 в Ленинграде и № 8 в Подлипках началось производство АПК-4. Заказ на 1935 г. составлял 200 экземпляров (12005).</w:t>
      </w:r>
    </w:p>
    <w:p w14:paraId="21A166EF" w14:textId="77777777" w:rsidR="00D4105E" w:rsidRPr="00E14102" w:rsidRDefault="00D4105E" w:rsidP="00E14102">
      <w:pPr>
        <w:autoSpaceDE w:val="0"/>
        <w:autoSpaceDN w:val="0"/>
        <w:adjustRightInd w:val="0"/>
        <w:jc w:val="both"/>
        <w:rPr>
          <w:color w:val="000000" w:themeColor="text1"/>
          <w:sz w:val="16"/>
          <w:szCs w:val="16"/>
        </w:rPr>
      </w:pPr>
    </w:p>
    <w:p w14:paraId="47F693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марте 1935 г. во время испытания воздушных мин ЗАМ, на которых присутствовал НКО т. Ворошилов, бало дано приказани сделать 50 боевых мин к 1-му мая 1935 года и произвести войсковые испытания.</w:t>
      </w:r>
    </w:p>
    <w:p w14:paraId="598843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Однако, испытания фактически произведена не были. К 1 мая было сделано 60 мин. К испытаниям приступить не дал НЕМОВ (Нач. ВОТИ), который 3 м-ца торговался с ВВС о том, кто будет платить за бомбодераатели. Лишь после моего письма т. Ворошилову в августе его указаний преступлено к подготовке испытаний. Боло выделено 30 штук холостых мин для обучения вновь выделенных экипажей 6 самолетов Р-5, обращению с миной. Эти учебные пуски холостых мин, пускавшихся впервые увидевшими их летчиками и засчитаны в акте, как испытания на меткость (3872,42).</w:t>
      </w:r>
    </w:p>
    <w:p w14:paraId="5B904C79" w14:textId="77777777" w:rsidR="00D4105E" w:rsidRPr="00E14102" w:rsidRDefault="00D4105E" w:rsidP="00E14102">
      <w:pPr>
        <w:autoSpaceDE w:val="0"/>
        <w:autoSpaceDN w:val="0"/>
        <w:adjustRightInd w:val="0"/>
        <w:jc w:val="both"/>
        <w:rPr>
          <w:color w:val="000000" w:themeColor="text1"/>
          <w:sz w:val="16"/>
          <w:szCs w:val="16"/>
        </w:rPr>
      </w:pPr>
    </w:p>
    <w:p w14:paraId="49D292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 мастерская по разработке заградительных авиационных мин (ЗАМ) АУ РККА, НКТП передана из АУ РККА в ведение НКТП.</w:t>
      </w:r>
    </w:p>
    <w:p w14:paraId="2E4D07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Была разработана ЗАМ. В результате испытаний мина была признана опасной в применении, их изготовление в 1936 г. (на заводе «Авиаприбор») прекращено. Конструкторский коллектив (Тарасов, Ирд, Никифоров) переведен на завод «Авиаприбор».</w:t>
      </w:r>
    </w:p>
    <w:p w14:paraId="5C3263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Далее действовало ОКБ-3 ВОТИ под руководством А.Е. Майзеля.</w:t>
      </w:r>
    </w:p>
    <w:p w14:paraId="1427A4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(-1935 г.)- А.Е. Майзель, (1935 г.-)- Рыслов.</w:t>
      </w:r>
      <w:r w:rsidRPr="00E14102">
        <w:rPr>
          <w:color w:val="000000" w:themeColor="text1"/>
          <w:sz w:val="16"/>
          <w:szCs w:val="16"/>
          <w:vertAlign w:val="superscript"/>
        </w:rPr>
        <w:t>139</w:t>
      </w:r>
    </w:p>
    <w:p w14:paraId="4FDA6C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ОКБ-3 А. Е. Майзеля ВОТИ</w:t>
      </w:r>
    </w:p>
    <w:p w14:paraId="097E01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ОКБ-3 А.Е. Майзеля действовало в ведении ВОТИ. Продолжены работы по заградительным авиационным минам ЗАММ и ПБМ.</w:t>
      </w:r>
    </w:p>
    <w:p w14:paraId="420910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 НКОП № 00244 от 16.11.1937 г. оборудование бывшего ОКБ-3 передано заводу «Парострой», а бывшие работники собраны в новое КБ, организованное под руководством Майзеля при заводе «Парострой» для продолжения работ по минам заграждения.</w:t>
      </w:r>
    </w:p>
    <w:p w14:paraId="70C54C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минно-сборочного цеха (1930-е)- Шмытинский (11982) (11982).</w:t>
      </w:r>
    </w:p>
    <w:p w14:paraId="5C1585DF" w14:textId="77777777" w:rsidR="00D4105E" w:rsidRPr="00E14102" w:rsidRDefault="00D4105E" w:rsidP="00E14102">
      <w:pPr>
        <w:autoSpaceDE w:val="0"/>
        <w:autoSpaceDN w:val="0"/>
        <w:adjustRightInd w:val="0"/>
        <w:jc w:val="both"/>
        <w:rPr>
          <w:color w:val="000000" w:themeColor="text1"/>
          <w:sz w:val="16"/>
          <w:szCs w:val="16"/>
        </w:rPr>
      </w:pPr>
    </w:p>
    <w:p w14:paraId="40BDAA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была подготовлена справка:</w:t>
      </w:r>
    </w:p>
    <w:p w14:paraId="4732BA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Основные данные авиамоторов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tblGrid>
      <w:tr w:rsidR="00E3599D" w:rsidRPr="00E14102" w14:paraId="0A9ED693" w14:textId="77777777">
        <w:tc>
          <w:tcPr>
            <w:tcW w:w="1127" w:type="dxa"/>
            <w:tcBorders>
              <w:top w:val="single" w:sz="12" w:space="0" w:color="auto"/>
            </w:tcBorders>
          </w:tcPr>
          <w:p w14:paraId="003AD5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 мотора</w:t>
            </w:r>
          </w:p>
        </w:tc>
        <w:tc>
          <w:tcPr>
            <w:tcW w:w="1127" w:type="dxa"/>
            <w:tcBorders>
              <w:top w:val="single" w:sz="12" w:space="0" w:color="auto"/>
            </w:tcBorders>
          </w:tcPr>
          <w:p w14:paraId="6C1E0F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Охлаждение</w:t>
            </w:r>
          </w:p>
        </w:tc>
        <w:tc>
          <w:tcPr>
            <w:tcW w:w="1127" w:type="dxa"/>
            <w:tcBorders>
              <w:top w:val="single" w:sz="12" w:space="0" w:color="auto"/>
            </w:tcBorders>
          </w:tcPr>
          <w:p w14:paraId="584981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 Мощность у земли/ обороты в минутах</w:t>
            </w:r>
          </w:p>
        </w:tc>
        <w:tc>
          <w:tcPr>
            <w:tcW w:w="1127" w:type="dxa"/>
            <w:tcBorders>
              <w:top w:val="single" w:sz="12" w:space="0" w:color="auto"/>
            </w:tcBorders>
          </w:tcPr>
          <w:p w14:paraId="16F267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Номинальн. мощность/ обороты</w:t>
            </w:r>
          </w:p>
        </w:tc>
        <w:tc>
          <w:tcPr>
            <w:tcW w:w="1127" w:type="dxa"/>
            <w:tcBorders>
              <w:top w:val="single" w:sz="12" w:space="0" w:color="auto"/>
            </w:tcBorders>
          </w:tcPr>
          <w:p w14:paraId="6C673B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на высоте 5000 м</w:t>
            </w:r>
          </w:p>
        </w:tc>
        <w:tc>
          <w:tcPr>
            <w:tcW w:w="1127" w:type="dxa"/>
            <w:tcBorders>
              <w:top w:val="single" w:sz="12" w:space="0" w:color="auto"/>
            </w:tcBorders>
          </w:tcPr>
          <w:p w14:paraId="4F59F4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мотора</w:t>
            </w:r>
          </w:p>
        </w:tc>
        <w:tc>
          <w:tcPr>
            <w:tcW w:w="1127" w:type="dxa"/>
            <w:tcBorders>
              <w:top w:val="single" w:sz="12" w:space="0" w:color="auto"/>
            </w:tcBorders>
          </w:tcPr>
          <w:p w14:paraId="4902C7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 горючего на 1 л.с./час.</w:t>
            </w:r>
          </w:p>
        </w:tc>
      </w:tr>
      <w:tr w:rsidR="00E3599D" w:rsidRPr="00E14102" w14:paraId="230B1466" w14:textId="77777777">
        <w:tc>
          <w:tcPr>
            <w:tcW w:w="1127" w:type="dxa"/>
          </w:tcPr>
          <w:p w14:paraId="0A9A69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М34-Р</w:t>
            </w:r>
          </w:p>
        </w:tc>
        <w:tc>
          <w:tcPr>
            <w:tcW w:w="1127" w:type="dxa"/>
          </w:tcPr>
          <w:p w14:paraId="60D77B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Водяное</w:t>
            </w:r>
          </w:p>
        </w:tc>
        <w:tc>
          <w:tcPr>
            <w:tcW w:w="1127" w:type="dxa"/>
          </w:tcPr>
          <w:p w14:paraId="45AB04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825-850 л.с./ 1850 об/мин.</w:t>
            </w:r>
          </w:p>
        </w:tc>
        <w:tc>
          <w:tcPr>
            <w:tcW w:w="1127" w:type="dxa"/>
          </w:tcPr>
          <w:p w14:paraId="4CDD17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750 л.с. / 1790 об/мин.</w:t>
            </w:r>
          </w:p>
        </w:tc>
        <w:tc>
          <w:tcPr>
            <w:tcW w:w="1127" w:type="dxa"/>
          </w:tcPr>
          <w:p w14:paraId="58C994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440 л.с.</w:t>
            </w:r>
          </w:p>
        </w:tc>
        <w:tc>
          <w:tcPr>
            <w:tcW w:w="1127" w:type="dxa"/>
          </w:tcPr>
          <w:p w14:paraId="48604E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690 кг</w:t>
            </w:r>
          </w:p>
        </w:tc>
        <w:tc>
          <w:tcPr>
            <w:tcW w:w="1127" w:type="dxa"/>
          </w:tcPr>
          <w:p w14:paraId="31A507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215 гр.</w:t>
            </w:r>
          </w:p>
        </w:tc>
      </w:tr>
      <w:tr w:rsidR="00E3599D" w:rsidRPr="00E14102" w14:paraId="4EA3C7F3" w14:textId="77777777">
        <w:tc>
          <w:tcPr>
            <w:tcW w:w="1127" w:type="dxa"/>
          </w:tcPr>
          <w:p w14:paraId="7B1A4E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М34-Н</w:t>
            </w:r>
          </w:p>
        </w:tc>
        <w:tc>
          <w:tcPr>
            <w:tcW w:w="1127" w:type="dxa"/>
          </w:tcPr>
          <w:p w14:paraId="3B4C9A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Водяное</w:t>
            </w:r>
          </w:p>
        </w:tc>
        <w:tc>
          <w:tcPr>
            <w:tcW w:w="1127" w:type="dxa"/>
          </w:tcPr>
          <w:p w14:paraId="04D036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840 л.с./ 1760 об/мин.</w:t>
            </w:r>
          </w:p>
        </w:tc>
        <w:tc>
          <w:tcPr>
            <w:tcW w:w="1127" w:type="dxa"/>
          </w:tcPr>
          <w:p w14:paraId="42D644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750 л.с. (1850 об/мин.)/ 4000 м</w:t>
            </w:r>
          </w:p>
        </w:tc>
        <w:tc>
          <w:tcPr>
            <w:tcW w:w="1127" w:type="dxa"/>
          </w:tcPr>
          <w:p w14:paraId="31198D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715 л.с.</w:t>
            </w:r>
          </w:p>
        </w:tc>
        <w:tc>
          <w:tcPr>
            <w:tcW w:w="1127" w:type="dxa"/>
          </w:tcPr>
          <w:p w14:paraId="3C633B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640 кг</w:t>
            </w:r>
          </w:p>
        </w:tc>
        <w:tc>
          <w:tcPr>
            <w:tcW w:w="1127" w:type="dxa"/>
          </w:tcPr>
          <w:p w14:paraId="45E072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255 гр.</w:t>
            </w:r>
          </w:p>
        </w:tc>
      </w:tr>
      <w:tr w:rsidR="00E3599D" w:rsidRPr="00E14102" w14:paraId="167F392C" w14:textId="77777777">
        <w:tc>
          <w:tcPr>
            <w:tcW w:w="1127" w:type="dxa"/>
          </w:tcPr>
          <w:p w14:paraId="7C3AA7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М34-РН</w:t>
            </w:r>
          </w:p>
        </w:tc>
        <w:tc>
          <w:tcPr>
            <w:tcW w:w="1127" w:type="dxa"/>
          </w:tcPr>
          <w:p w14:paraId="713A59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Водяное</w:t>
            </w:r>
          </w:p>
        </w:tc>
        <w:tc>
          <w:tcPr>
            <w:tcW w:w="1127" w:type="dxa"/>
          </w:tcPr>
          <w:p w14:paraId="6684E9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840 л.с./ 1760 об/мин.</w:t>
            </w:r>
          </w:p>
        </w:tc>
        <w:tc>
          <w:tcPr>
            <w:tcW w:w="1127" w:type="dxa"/>
          </w:tcPr>
          <w:p w14:paraId="140999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750 л.с. (1850 об/мин.)/ 4000 м</w:t>
            </w:r>
          </w:p>
        </w:tc>
        <w:tc>
          <w:tcPr>
            <w:tcW w:w="1127" w:type="dxa"/>
          </w:tcPr>
          <w:p w14:paraId="4F4D5A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715 л.с.</w:t>
            </w:r>
          </w:p>
        </w:tc>
        <w:tc>
          <w:tcPr>
            <w:tcW w:w="1127" w:type="dxa"/>
          </w:tcPr>
          <w:p w14:paraId="659019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730 кг</w:t>
            </w:r>
          </w:p>
        </w:tc>
        <w:tc>
          <w:tcPr>
            <w:tcW w:w="1127" w:type="dxa"/>
          </w:tcPr>
          <w:p w14:paraId="642264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255 гр.</w:t>
            </w:r>
          </w:p>
        </w:tc>
      </w:tr>
      <w:tr w:rsidR="00E3599D" w:rsidRPr="00E14102" w14:paraId="183FB90C" w14:textId="77777777">
        <w:tc>
          <w:tcPr>
            <w:tcW w:w="1127" w:type="dxa"/>
          </w:tcPr>
          <w:p w14:paraId="29C0FB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М34-ФРН</w:t>
            </w:r>
          </w:p>
        </w:tc>
        <w:tc>
          <w:tcPr>
            <w:tcW w:w="1127" w:type="dxa"/>
          </w:tcPr>
          <w:p w14:paraId="6B7529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Водяное</w:t>
            </w:r>
          </w:p>
        </w:tc>
        <w:tc>
          <w:tcPr>
            <w:tcW w:w="1127" w:type="dxa"/>
          </w:tcPr>
          <w:p w14:paraId="08C47D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950 л.с./1700 об./мин</w:t>
            </w:r>
          </w:p>
        </w:tc>
        <w:tc>
          <w:tcPr>
            <w:tcW w:w="1127" w:type="dxa"/>
          </w:tcPr>
          <w:p w14:paraId="74FECF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 л.с.</w:t>
            </w:r>
          </w:p>
        </w:tc>
        <w:tc>
          <w:tcPr>
            <w:tcW w:w="1127" w:type="dxa"/>
          </w:tcPr>
          <w:p w14:paraId="6E7B1C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 л.с./ 4000 м</w:t>
            </w:r>
          </w:p>
        </w:tc>
        <w:tc>
          <w:tcPr>
            <w:tcW w:w="1127" w:type="dxa"/>
          </w:tcPr>
          <w:p w14:paraId="040401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710 кг</w:t>
            </w:r>
          </w:p>
        </w:tc>
        <w:tc>
          <w:tcPr>
            <w:tcW w:w="1127" w:type="dxa"/>
          </w:tcPr>
          <w:p w14:paraId="28C7E8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255 гр.</w:t>
            </w:r>
          </w:p>
        </w:tc>
      </w:tr>
      <w:tr w:rsidR="00E3599D" w:rsidRPr="00E14102" w14:paraId="670D86CE" w14:textId="77777777">
        <w:tc>
          <w:tcPr>
            <w:tcW w:w="1127" w:type="dxa"/>
          </w:tcPr>
          <w:p w14:paraId="5FAAB8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М-17, з-д № 26, Рыбинск</w:t>
            </w:r>
          </w:p>
        </w:tc>
        <w:tc>
          <w:tcPr>
            <w:tcW w:w="1127" w:type="dxa"/>
          </w:tcPr>
          <w:p w14:paraId="338380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Водяное</w:t>
            </w:r>
          </w:p>
        </w:tc>
        <w:tc>
          <w:tcPr>
            <w:tcW w:w="1127" w:type="dxa"/>
          </w:tcPr>
          <w:p w14:paraId="56E2DC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715 л.с./ 1650 об/мин.</w:t>
            </w:r>
          </w:p>
        </w:tc>
        <w:tc>
          <w:tcPr>
            <w:tcW w:w="1127" w:type="dxa"/>
          </w:tcPr>
          <w:p w14:paraId="5844DE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 л.с. (1650 об/мин.)/ 3050 м</w:t>
            </w:r>
          </w:p>
        </w:tc>
        <w:tc>
          <w:tcPr>
            <w:tcW w:w="1127" w:type="dxa"/>
          </w:tcPr>
          <w:p w14:paraId="652179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27" w:type="dxa"/>
          </w:tcPr>
          <w:p w14:paraId="5038A4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550 кг</w:t>
            </w:r>
          </w:p>
        </w:tc>
        <w:tc>
          <w:tcPr>
            <w:tcW w:w="1127" w:type="dxa"/>
          </w:tcPr>
          <w:p w14:paraId="27FB19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230 гр.</w:t>
            </w:r>
          </w:p>
        </w:tc>
      </w:tr>
      <w:tr w:rsidR="00E3599D" w:rsidRPr="00E14102" w14:paraId="202AB5A9" w14:textId="77777777">
        <w:tc>
          <w:tcPr>
            <w:tcW w:w="1127" w:type="dxa"/>
          </w:tcPr>
          <w:p w14:paraId="0CF988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Испано-Сюиза 12 УБРС</w:t>
            </w:r>
          </w:p>
        </w:tc>
        <w:tc>
          <w:tcPr>
            <w:tcW w:w="1127" w:type="dxa"/>
          </w:tcPr>
          <w:p w14:paraId="5BE6D2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Водяное</w:t>
            </w:r>
          </w:p>
        </w:tc>
        <w:tc>
          <w:tcPr>
            <w:tcW w:w="1127" w:type="dxa"/>
          </w:tcPr>
          <w:p w14:paraId="41335E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860 л.с./ 2400 об/мин.</w:t>
            </w:r>
          </w:p>
        </w:tc>
        <w:tc>
          <w:tcPr>
            <w:tcW w:w="1127" w:type="dxa"/>
          </w:tcPr>
          <w:p w14:paraId="6ACE1F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780 л.с. (2200 об/мин.)/ 3100 м</w:t>
            </w:r>
          </w:p>
        </w:tc>
        <w:tc>
          <w:tcPr>
            <w:tcW w:w="1127" w:type="dxa"/>
          </w:tcPr>
          <w:p w14:paraId="0097F3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 л.с.</w:t>
            </w:r>
          </w:p>
        </w:tc>
        <w:tc>
          <w:tcPr>
            <w:tcW w:w="1127" w:type="dxa"/>
          </w:tcPr>
          <w:p w14:paraId="60659F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445 кг</w:t>
            </w:r>
          </w:p>
        </w:tc>
        <w:tc>
          <w:tcPr>
            <w:tcW w:w="1127" w:type="dxa"/>
          </w:tcPr>
          <w:p w14:paraId="35A543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260 гр.</w:t>
            </w:r>
          </w:p>
        </w:tc>
      </w:tr>
      <w:tr w:rsidR="00E3599D" w:rsidRPr="00E14102" w14:paraId="4BEC9DAE" w14:textId="77777777">
        <w:tc>
          <w:tcPr>
            <w:tcW w:w="1127" w:type="dxa"/>
          </w:tcPr>
          <w:p w14:paraId="2187C5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Райт-Циклон М-25 РЦ (Ф3), з-д № 19 Пермь</w:t>
            </w:r>
          </w:p>
        </w:tc>
        <w:tc>
          <w:tcPr>
            <w:tcW w:w="1127" w:type="dxa"/>
          </w:tcPr>
          <w:p w14:paraId="70AF8B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Воздушное</w:t>
            </w:r>
          </w:p>
        </w:tc>
        <w:tc>
          <w:tcPr>
            <w:tcW w:w="1127" w:type="dxa"/>
          </w:tcPr>
          <w:p w14:paraId="1993E1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 л.с.</w:t>
            </w:r>
          </w:p>
        </w:tc>
        <w:tc>
          <w:tcPr>
            <w:tcW w:w="1127" w:type="dxa"/>
          </w:tcPr>
          <w:p w14:paraId="593D54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 л.с.</w:t>
            </w:r>
          </w:p>
        </w:tc>
        <w:tc>
          <w:tcPr>
            <w:tcW w:w="1127" w:type="dxa"/>
          </w:tcPr>
          <w:p w14:paraId="20E128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465 л.с.</w:t>
            </w:r>
          </w:p>
        </w:tc>
        <w:tc>
          <w:tcPr>
            <w:tcW w:w="1127" w:type="dxa"/>
          </w:tcPr>
          <w:p w14:paraId="78E7CF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425 кг</w:t>
            </w:r>
          </w:p>
        </w:tc>
        <w:tc>
          <w:tcPr>
            <w:tcW w:w="1127" w:type="dxa"/>
          </w:tcPr>
          <w:p w14:paraId="700A08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 272 гр.</w:t>
            </w:r>
          </w:p>
        </w:tc>
      </w:tr>
      <w:tr w:rsidR="00E3599D" w:rsidRPr="00E14102" w14:paraId="11487D16" w14:textId="77777777">
        <w:tc>
          <w:tcPr>
            <w:tcW w:w="1127" w:type="dxa"/>
          </w:tcPr>
          <w:p w14:paraId="4F69E8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М-22, з-д № 29 Запорожье</w:t>
            </w:r>
          </w:p>
        </w:tc>
        <w:tc>
          <w:tcPr>
            <w:tcW w:w="1127" w:type="dxa"/>
          </w:tcPr>
          <w:p w14:paraId="2D1739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Воздушное</w:t>
            </w:r>
          </w:p>
        </w:tc>
        <w:tc>
          <w:tcPr>
            <w:tcW w:w="1127" w:type="dxa"/>
          </w:tcPr>
          <w:p w14:paraId="6EF889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585 л.с./ 2100 об/мин.</w:t>
            </w:r>
          </w:p>
        </w:tc>
        <w:tc>
          <w:tcPr>
            <w:tcW w:w="1127" w:type="dxa"/>
          </w:tcPr>
          <w:p w14:paraId="4FB90E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480 л.с.</w:t>
            </w:r>
          </w:p>
        </w:tc>
        <w:tc>
          <w:tcPr>
            <w:tcW w:w="1127" w:type="dxa"/>
          </w:tcPr>
          <w:p w14:paraId="096159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27" w:type="dxa"/>
          </w:tcPr>
          <w:p w14:paraId="76AE4B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378 кг</w:t>
            </w:r>
          </w:p>
        </w:tc>
        <w:tc>
          <w:tcPr>
            <w:tcW w:w="1127" w:type="dxa"/>
          </w:tcPr>
          <w:p w14:paraId="179384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235 гр.</w:t>
            </w:r>
          </w:p>
        </w:tc>
      </w:tr>
      <w:tr w:rsidR="00E3599D" w:rsidRPr="00E14102" w14:paraId="34EE3338" w14:textId="77777777">
        <w:tc>
          <w:tcPr>
            <w:tcW w:w="1127" w:type="dxa"/>
          </w:tcPr>
          <w:p w14:paraId="24F35E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М-11, з-д № 16 Воронеж</w:t>
            </w:r>
          </w:p>
        </w:tc>
        <w:tc>
          <w:tcPr>
            <w:tcW w:w="1127" w:type="dxa"/>
          </w:tcPr>
          <w:p w14:paraId="276C07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Воздушное</w:t>
            </w:r>
          </w:p>
        </w:tc>
        <w:tc>
          <w:tcPr>
            <w:tcW w:w="1127" w:type="dxa"/>
          </w:tcPr>
          <w:p w14:paraId="765EAC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 л.с./ 1680 об/мин.</w:t>
            </w:r>
          </w:p>
        </w:tc>
        <w:tc>
          <w:tcPr>
            <w:tcW w:w="1127" w:type="dxa"/>
          </w:tcPr>
          <w:p w14:paraId="290479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 л.с./ 1580 об/мин.</w:t>
            </w:r>
          </w:p>
        </w:tc>
        <w:tc>
          <w:tcPr>
            <w:tcW w:w="1127" w:type="dxa"/>
          </w:tcPr>
          <w:p w14:paraId="2BBFF0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27" w:type="dxa"/>
          </w:tcPr>
          <w:p w14:paraId="7D7857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165 кг</w:t>
            </w:r>
          </w:p>
        </w:tc>
        <w:tc>
          <w:tcPr>
            <w:tcW w:w="1127" w:type="dxa"/>
          </w:tcPr>
          <w:p w14:paraId="0CD3D0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244 гр.</w:t>
            </w:r>
          </w:p>
        </w:tc>
      </w:tr>
      <w:tr w:rsidR="00E3599D" w:rsidRPr="00E14102" w14:paraId="6160C6E3" w14:textId="77777777">
        <w:tc>
          <w:tcPr>
            <w:tcW w:w="1127" w:type="dxa"/>
          </w:tcPr>
          <w:p w14:paraId="312FA9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М-48 (М-49 - 300)</w:t>
            </w:r>
          </w:p>
        </w:tc>
        <w:tc>
          <w:tcPr>
            <w:tcW w:w="1127" w:type="dxa"/>
          </w:tcPr>
          <w:p w14:paraId="0C7C3D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Воздушное</w:t>
            </w:r>
          </w:p>
        </w:tc>
        <w:tc>
          <w:tcPr>
            <w:tcW w:w="1127" w:type="dxa"/>
          </w:tcPr>
          <w:p w14:paraId="1562C8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220 л.с.</w:t>
            </w:r>
          </w:p>
        </w:tc>
        <w:tc>
          <w:tcPr>
            <w:tcW w:w="1127" w:type="dxa"/>
          </w:tcPr>
          <w:p w14:paraId="09B4F1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 л.с.</w:t>
            </w:r>
          </w:p>
        </w:tc>
        <w:tc>
          <w:tcPr>
            <w:tcW w:w="1127" w:type="dxa"/>
          </w:tcPr>
          <w:p w14:paraId="7DB066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27" w:type="dxa"/>
          </w:tcPr>
          <w:p w14:paraId="735689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220 кг</w:t>
            </w:r>
          </w:p>
        </w:tc>
        <w:tc>
          <w:tcPr>
            <w:tcW w:w="1127" w:type="dxa"/>
          </w:tcPr>
          <w:p w14:paraId="59E280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501C65F" w14:textId="77777777">
        <w:tc>
          <w:tcPr>
            <w:tcW w:w="1127" w:type="dxa"/>
          </w:tcPr>
          <w:p w14:paraId="58BAE6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М-58-Н = РЦ</w:t>
            </w:r>
          </w:p>
        </w:tc>
        <w:tc>
          <w:tcPr>
            <w:tcW w:w="1127" w:type="dxa"/>
          </w:tcPr>
          <w:p w14:paraId="151C51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Воздушное</w:t>
            </w:r>
          </w:p>
        </w:tc>
        <w:tc>
          <w:tcPr>
            <w:tcW w:w="1127" w:type="dxa"/>
          </w:tcPr>
          <w:p w14:paraId="7A6B40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690 л.с.</w:t>
            </w:r>
          </w:p>
        </w:tc>
        <w:tc>
          <w:tcPr>
            <w:tcW w:w="1127" w:type="dxa"/>
          </w:tcPr>
          <w:p w14:paraId="7F923F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630 л.с.</w:t>
            </w:r>
          </w:p>
        </w:tc>
        <w:tc>
          <w:tcPr>
            <w:tcW w:w="1127" w:type="dxa"/>
          </w:tcPr>
          <w:p w14:paraId="288ABA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630/4000</w:t>
            </w:r>
          </w:p>
        </w:tc>
        <w:tc>
          <w:tcPr>
            <w:tcW w:w="1127" w:type="dxa"/>
          </w:tcPr>
          <w:p w14:paraId="6D2B6B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 кг</w:t>
            </w:r>
          </w:p>
        </w:tc>
        <w:tc>
          <w:tcPr>
            <w:tcW w:w="1127" w:type="dxa"/>
          </w:tcPr>
          <w:p w14:paraId="35D69A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270 гр.</w:t>
            </w:r>
          </w:p>
        </w:tc>
      </w:tr>
      <w:tr w:rsidR="00E3599D" w:rsidRPr="00E14102" w14:paraId="2821758D" w14:textId="77777777">
        <w:tc>
          <w:tcPr>
            <w:tcW w:w="1127" w:type="dxa"/>
          </w:tcPr>
          <w:p w14:paraId="3023E9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М-75 (К-9) , з-д № 29 Запорожье</w:t>
            </w:r>
          </w:p>
        </w:tc>
        <w:tc>
          <w:tcPr>
            <w:tcW w:w="1127" w:type="dxa"/>
          </w:tcPr>
          <w:p w14:paraId="6CBA11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Воздушное</w:t>
            </w:r>
          </w:p>
        </w:tc>
        <w:tc>
          <w:tcPr>
            <w:tcW w:w="1127" w:type="dxa"/>
          </w:tcPr>
          <w:p w14:paraId="392D17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 л.с.</w:t>
            </w:r>
          </w:p>
        </w:tc>
        <w:tc>
          <w:tcPr>
            <w:tcW w:w="1127" w:type="dxa"/>
          </w:tcPr>
          <w:p w14:paraId="11D888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 л.с.</w:t>
            </w:r>
          </w:p>
        </w:tc>
        <w:tc>
          <w:tcPr>
            <w:tcW w:w="1127" w:type="dxa"/>
          </w:tcPr>
          <w:p w14:paraId="3AEC5D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600/4000</w:t>
            </w:r>
          </w:p>
        </w:tc>
        <w:tc>
          <w:tcPr>
            <w:tcW w:w="1127" w:type="dxa"/>
          </w:tcPr>
          <w:p w14:paraId="18DDBB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430</w:t>
            </w:r>
          </w:p>
        </w:tc>
        <w:tc>
          <w:tcPr>
            <w:tcW w:w="1127" w:type="dxa"/>
          </w:tcPr>
          <w:p w14:paraId="0D5F9D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319AC69B" w14:textId="77777777">
        <w:tc>
          <w:tcPr>
            <w:tcW w:w="1127" w:type="dxa"/>
            <w:tcBorders>
              <w:bottom w:val="single" w:sz="12" w:space="0" w:color="auto"/>
            </w:tcBorders>
          </w:tcPr>
          <w:p w14:paraId="26A764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М85 (К-14), з-д № 29 Запорожье</w:t>
            </w:r>
          </w:p>
        </w:tc>
        <w:tc>
          <w:tcPr>
            <w:tcW w:w="1127" w:type="dxa"/>
            <w:tcBorders>
              <w:bottom w:val="single" w:sz="12" w:space="0" w:color="auto"/>
            </w:tcBorders>
          </w:tcPr>
          <w:p w14:paraId="7EB48C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Воздушное</w:t>
            </w:r>
          </w:p>
        </w:tc>
        <w:tc>
          <w:tcPr>
            <w:tcW w:w="1127" w:type="dxa"/>
            <w:tcBorders>
              <w:bottom w:val="single" w:sz="12" w:space="0" w:color="auto"/>
            </w:tcBorders>
          </w:tcPr>
          <w:p w14:paraId="6F91FE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 л.с.</w:t>
            </w:r>
          </w:p>
        </w:tc>
        <w:tc>
          <w:tcPr>
            <w:tcW w:w="1127" w:type="dxa"/>
            <w:tcBorders>
              <w:bottom w:val="single" w:sz="12" w:space="0" w:color="auto"/>
            </w:tcBorders>
          </w:tcPr>
          <w:p w14:paraId="4EDE96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750 л.с.</w:t>
            </w:r>
          </w:p>
        </w:tc>
        <w:tc>
          <w:tcPr>
            <w:tcW w:w="1127" w:type="dxa"/>
            <w:tcBorders>
              <w:bottom w:val="single" w:sz="12" w:space="0" w:color="auto"/>
            </w:tcBorders>
          </w:tcPr>
          <w:p w14:paraId="4C4CFA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800/3850</w:t>
            </w:r>
          </w:p>
        </w:tc>
        <w:tc>
          <w:tcPr>
            <w:tcW w:w="1127" w:type="dxa"/>
            <w:tcBorders>
              <w:bottom w:val="single" w:sz="12" w:space="0" w:color="auto"/>
            </w:tcBorders>
          </w:tcPr>
          <w:p w14:paraId="402E8A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550</w:t>
            </w:r>
          </w:p>
        </w:tc>
        <w:tc>
          <w:tcPr>
            <w:tcW w:w="1127" w:type="dxa"/>
            <w:tcBorders>
              <w:bottom w:val="single" w:sz="12" w:space="0" w:color="auto"/>
            </w:tcBorders>
          </w:tcPr>
          <w:p w14:paraId="548C9E1E" w14:textId="77777777" w:rsidR="00D4105E" w:rsidRPr="00E14102" w:rsidRDefault="00D4105E" w:rsidP="00E14102">
            <w:pPr>
              <w:autoSpaceDE w:val="0"/>
              <w:autoSpaceDN w:val="0"/>
              <w:adjustRightInd w:val="0"/>
              <w:jc w:val="both"/>
              <w:rPr>
                <w:color w:val="000000" w:themeColor="text1"/>
                <w:sz w:val="16"/>
                <w:szCs w:val="16"/>
              </w:rPr>
            </w:pPr>
          </w:p>
        </w:tc>
      </w:tr>
    </w:tbl>
    <w:p w14:paraId="19C1FC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(3517,3).</w:t>
      </w:r>
    </w:p>
    <w:p w14:paraId="420A46CA" w14:textId="77777777" w:rsidR="00D4105E" w:rsidRPr="00E14102" w:rsidRDefault="00D4105E" w:rsidP="00E14102">
      <w:pPr>
        <w:autoSpaceDE w:val="0"/>
        <w:autoSpaceDN w:val="0"/>
        <w:adjustRightInd w:val="0"/>
        <w:jc w:val="both"/>
        <w:rPr>
          <w:color w:val="000000" w:themeColor="text1"/>
          <w:sz w:val="16"/>
          <w:szCs w:val="16"/>
        </w:rPr>
      </w:pPr>
    </w:p>
    <w:p w14:paraId="1F4A82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была подготовлена справка:</w:t>
      </w:r>
    </w:p>
    <w:p w14:paraId="088067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Основные данные по самолетам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8"/>
        <w:gridCol w:w="1077"/>
        <w:gridCol w:w="851"/>
        <w:gridCol w:w="873"/>
        <w:gridCol w:w="873"/>
      </w:tblGrid>
      <w:tr w:rsidR="00E3599D" w:rsidRPr="00E14102" w14:paraId="02AB8630" w14:textId="77777777">
        <w:tc>
          <w:tcPr>
            <w:tcW w:w="1127" w:type="dxa"/>
            <w:tcBorders>
              <w:top w:val="single" w:sz="12" w:space="0" w:color="auto"/>
            </w:tcBorders>
          </w:tcPr>
          <w:p w14:paraId="4118C7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 самолета, конструкция</w:t>
            </w:r>
          </w:p>
        </w:tc>
        <w:tc>
          <w:tcPr>
            <w:tcW w:w="1128" w:type="dxa"/>
            <w:tcBorders>
              <w:top w:val="single" w:sz="12" w:space="0" w:color="auto"/>
            </w:tcBorders>
          </w:tcPr>
          <w:p w14:paraId="6E9D08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 скорость на высоте м</w:t>
            </w:r>
          </w:p>
        </w:tc>
        <w:tc>
          <w:tcPr>
            <w:tcW w:w="1077" w:type="dxa"/>
            <w:tcBorders>
              <w:top w:val="single" w:sz="12" w:space="0" w:color="auto"/>
            </w:tcBorders>
          </w:tcPr>
          <w:p w14:paraId="196C12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подъема на 5000 м</w:t>
            </w:r>
          </w:p>
        </w:tc>
        <w:tc>
          <w:tcPr>
            <w:tcW w:w="851" w:type="dxa"/>
            <w:tcBorders>
              <w:top w:val="single" w:sz="12" w:space="0" w:color="auto"/>
            </w:tcBorders>
          </w:tcPr>
          <w:p w14:paraId="621B72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Потолок </w:t>
            </w:r>
          </w:p>
        </w:tc>
        <w:tc>
          <w:tcPr>
            <w:tcW w:w="873" w:type="dxa"/>
            <w:tcBorders>
              <w:top w:val="single" w:sz="12" w:space="0" w:color="auto"/>
            </w:tcBorders>
          </w:tcPr>
          <w:p w14:paraId="51F66C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w:t>
            </w:r>
          </w:p>
        </w:tc>
        <w:tc>
          <w:tcPr>
            <w:tcW w:w="873" w:type="dxa"/>
            <w:tcBorders>
              <w:top w:val="single" w:sz="12" w:space="0" w:color="auto"/>
            </w:tcBorders>
          </w:tcPr>
          <w:p w14:paraId="75B6D8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Радиус действия</w:t>
            </w:r>
          </w:p>
        </w:tc>
      </w:tr>
      <w:tr w:rsidR="00E3599D" w:rsidRPr="00E14102" w14:paraId="2AC997DF" w14:textId="77777777">
        <w:tc>
          <w:tcPr>
            <w:tcW w:w="1127" w:type="dxa"/>
          </w:tcPr>
          <w:p w14:paraId="09478D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ТБ-3-М34-РН</w:t>
            </w:r>
          </w:p>
        </w:tc>
        <w:tc>
          <w:tcPr>
            <w:tcW w:w="1128" w:type="dxa"/>
          </w:tcPr>
          <w:p w14:paraId="190CF5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 км/час/5000</w:t>
            </w:r>
          </w:p>
        </w:tc>
        <w:tc>
          <w:tcPr>
            <w:tcW w:w="1077" w:type="dxa"/>
          </w:tcPr>
          <w:p w14:paraId="2145F7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25,2 мин.</w:t>
            </w:r>
          </w:p>
        </w:tc>
        <w:tc>
          <w:tcPr>
            <w:tcW w:w="851" w:type="dxa"/>
          </w:tcPr>
          <w:p w14:paraId="143377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6800 м</w:t>
            </w:r>
          </w:p>
        </w:tc>
        <w:tc>
          <w:tcPr>
            <w:tcW w:w="873" w:type="dxa"/>
          </w:tcPr>
          <w:p w14:paraId="158B5E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пул. Спаренные</w:t>
            </w:r>
          </w:p>
          <w:p w14:paraId="1EAF6F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ШКАС турельные</w:t>
            </w:r>
          </w:p>
          <w:p w14:paraId="4B622B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 кг бом</w:t>
            </w:r>
          </w:p>
        </w:tc>
        <w:tc>
          <w:tcPr>
            <w:tcW w:w="873" w:type="dxa"/>
          </w:tcPr>
          <w:p w14:paraId="10265C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1400-1500</w:t>
            </w:r>
          </w:p>
        </w:tc>
      </w:tr>
      <w:tr w:rsidR="00E3599D" w:rsidRPr="00E14102" w14:paraId="684E1B58" w14:textId="77777777">
        <w:tc>
          <w:tcPr>
            <w:tcW w:w="1127" w:type="dxa"/>
          </w:tcPr>
          <w:p w14:paraId="12D410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М-100</w:t>
            </w:r>
          </w:p>
        </w:tc>
        <w:tc>
          <w:tcPr>
            <w:tcW w:w="1128" w:type="dxa"/>
          </w:tcPr>
          <w:p w14:paraId="6C8C5A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400-410 км/час/4000</w:t>
            </w:r>
          </w:p>
        </w:tc>
        <w:tc>
          <w:tcPr>
            <w:tcW w:w="1077" w:type="dxa"/>
          </w:tcPr>
          <w:p w14:paraId="5F6F1F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8,1 мин.</w:t>
            </w:r>
          </w:p>
        </w:tc>
        <w:tc>
          <w:tcPr>
            <w:tcW w:w="851" w:type="dxa"/>
          </w:tcPr>
          <w:p w14:paraId="451241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 м</w:t>
            </w:r>
          </w:p>
        </w:tc>
        <w:tc>
          <w:tcPr>
            <w:tcW w:w="873" w:type="dxa"/>
          </w:tcPr>
          <w:p w14:paraId="686A46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ШКАС</w:t>
            </w:r>
          </w:p>
          <w:p w14:paraId="5016A2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 кг бомб</w:t>
            </w:r>
          </w:p>
        </w:tc>
        <w:tc>
          <w:tcPr>
            <w:tcW w:w="873" w:type="dxa"/>
          </w:tcPr>
          <w:p w14:paraId="0F7075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r>
      <w:tr w:rsidR="00E3599D" w:rsidRPr="00E14102" w14:paraId="20EE0762" w14:textId="77777777">
        <w:tc>
          <w:tcPr>
            <w:tcW w:w="1127" w:type="dxa"/>
          </w:tcPr>
          <w:p w14:paraId="177BE0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РД-М34-Р</w:t>
            </w:r>
          </w:p>
        </w:tc>
        <w:tc>
          <w:tcPr>
            <w:tcW w:w="1128" w:type="dxa"/>
          </w:tcPr>
          <w:p w14:paraId="066721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235 км/час/3000</w:t>
            </w:r>
          </w:p>
        </w:tc>
        <w:tc>
          <w:tcPr>
            <w:tcW w:w="1077" w:type="dxa"/>
          </w:tcPr>
          <w:p w14:paraId="3D7508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851" w:type="dxa"/>
          </w:tcPr>
          <w:p w14:paraId="4DE414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 м</w:t>
            </w:r>
          </w:p>
        </w:tc>
        <w:tc>
          <w:tcPr>
            <w:tcW w:w="873" w:type="dxa"/>
          </w:tcPr>
          <w:p w14:paraId="4203EE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аул.</w:t>
            </w:r>
          </w:p>
          <w:p w14:paraId="2BDF21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автом. Ружье</w:t>
            </w:r>
          </w:p>
          <w:p w14:paraId="2A2134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 кг бомб</w:t>
            </w:r>
          </w:p>
        </w:tc>
        <w:tc>
          <w:tcPr>
            <w:tcW w:w="873" w:type="dxa"/>
          </w:tcPr>
          <w:p w14:paraId="56EEC4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 км</w:t>
            </w:r>
          </w:p>
        </w:tc>
      </w:tr>
      <w:tr w:rsidR="00E3599D" w:rsidRPr="00E14102" w14:paraId="2D739C1F" w14:textId="77777777">
        <w:tc>
          <w:tcPr>
            <w:tcW w:w="1127" w:type="dxa"/>
          </w:tcPr>
          <w:p w14:paraId="669DF7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МИ-3-2М34-н</w:t>
            </w:r>
          </w:p>
        </w:tc>
        <w:tc>
          <w:tcPr>
            <w:tcW w:w="1128" w:type="dxa"/>
          </w:tcPr>
          <w:p w14:paraId="553336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 км/час/5000</w:t>
            </w:r>
          </w:p>
        </w:tc>
        <w:tc>
          <w:tcPr>
            <w:tcW w:w="1077" w:type="dxa"/>
          </w:tcPr>
          <w:p w14:paraId="28BA30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851" w:type="dxa"/>
          </w:tcPr>
          <w:p w14:paraId="09E69B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873" w:type="dxa"/>
          </w:tcPr>
          <w:p w14:paraId="6EF968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873" w:type="dxa"/>
          </w:tcPr>
          <w:p w14:paraId="712181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59828497" w14:textId="77777777">
        <w:tc>
          <w:tcPr>
            <w:tcW w:w="1127" w:type="dxa"/>
          </w:tcPr>
          <w:p w14:paraId="473917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ЛР-М-34 Н</w:t>
            </w:r>
          </w:p>
        </w:tc>
        <w:tc>
          <w:tcPr>
            <w:tcW w:w="1128" w:type="dxa"/>
          </w:tcPr>
          <w:p w14:paraId="7434F8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314 км/час/5000 м</w:t>
            </w:r>
          </w:p>
        </w:tc>
        <w:tc>
          <w:tcPr>
            <w:tcW w:w="1077" w:type="dxa"/>
          </w:tcPr>
          <w:p w14:paraId="2F38BB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10,7 м</w:t>
            </w:r>
          </w:p>
        </w:tc>
        <w:tc>
          <w:tcPr>
            <w:tcW w:w="851" w:type="dxa"/>
          </w:tcPr>
          <w:p w14:paraId="2E816C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9100 м</w:t>
            </w:r>
          </w:p>
        </w:tc>
        <w:tc>
          <w:tcPr>
            <w:tcW w:w="873" w:type="dxa"/>
          </w:tcPr>
          <w:p w14:paraId="36395D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873" w:type="dxa"/>
          </w:tcPr>
          <w:p w14:paraId="51D453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340 км</w:t>
            </w:r>
          </w:p>
        </w:tc>
      </w:tr>
      <w:tr w:rsidR="00E3599D" w:rsidRPr="00E14102" w14:paraId="628A0767" w14:textId="77777777">
        <w:tc>
          <w:tcPr>
            <w:tcW w:w="1127" w:type="dxa"/>
          </w:tcPr>
          <w:p w14:paraId="7F258C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Р5-ЛШ (штурмов.) М-17</w:t>
            </w:r>
          </w:p>
        </w:tc>
        <w:tc>
          <w:tcPr>
            <w:tcW w:w="1128" w:type="dxa"/>
          </w:tcPr>
          <w:p w14:paraId="5E8C80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199,5 км/час/3000</w:t>
            </w:r>
          </w:p>
        </w:tc>
        <w:tc>
          <w:tcPr>
            <w:tcW w:w="1077" w:type="dxa"/>
          </w:tcPr>
          <w:p w14:paraId="4F3881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27,5 мин./ 4000 м</w:t>
            </w:r>
          </w:p>
        </w:tc>
        <w:tc>
          <w:tcPr>
            <w:tcW w:w="851" w:type="dxa"/>
          </w:tcPr>
          <w:p w14:paraId="45BE25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5300 м </w:t>
            </w:r>
          </w:p>
        </w:tc>
        <w:tc>
          <w:tcPr>
            <w:tcW w:w="873" w:type="dxa"/>
          </w:tcPr>
          <w:p w14:paraId="2ABC20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ПВ-1, 2 ДА</w:t>
            </w:r>
          </w:p>
          <w:p w14:paraId="0E462C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320 кг бомб</w:t>
            </w:r>
          </w:p>
        </w:tc>
        <w:tc>
          <w:tcPr>
            <w:tcW w:w="873" w:type="dxa"/>
          </w:tcPr>
          <w:p w14:paraId="352835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460 км</w:t>
            </w:r>
          </w:p>
        </w:tc>
      </w:tr>
      <w:tr w:rsidR="00E3599D" w:rsidRPr="00E14102" w14:paraId="58857188" w14:textId="77777777">
        <w:tc>
          <w:tcPr>
            <w:tcW w:w="1127" w:type="dxa"/>
          </w:tcPr>
          <w:p w14:paraId="644AD5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И-14-М-25</w:t>
            </w:r>
          </w:p>
        </w:tc>
        <w:tc>
          <w:tcPr>
            <w:tcW w:w="1128" w:type="dxa"/>
          </w:tcPr>
          <w:p w14:paraId="25FCF6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353,5 км/час/5000</w:t>
            </w:r>
          </w:p>
        </w:tc>
        <w:tc>
          <w:tcPr>
            <w:tcW w:w="1077" w:type="dxa"/>
          </w:tcPr>
          <w:p w14:paraId="749508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 мин.</w:t>
            </w:r>
          </w:p>
        </w:tc>
        <w:tc>
          <w:tcPr>
            <w:tcW w:w="851" w:type="dxa"/>
          </w:tcPr>
          <w:p w14:paraId="146BD5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8400 м </w:t>
            </w:r>
          </w:p>
        </w:tc>
        <w:tc>
          <w:tcPr>
            <w:tcW w:w="873" w:type="dxa"/>
          </w:tcPr>
          <w:p w14:paraId="07E4A8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АПК-11</w:t>
            </w:r>
          </w:p>
          <w:p w14:paraId="6A2E6D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ШКАС с</w:t>
            </w:r>
          </w:p>
        </w:tc>
        <w:tc>
          <w:tcPr>
            <w:tcW w:w="873" w:type="dxa"/>
          </w:tcPr>
          <w:p w14:paraId="1236B9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 км</w:t>
            </w:r>
          </w:p>
        </w:tc>
      </w:tr>
      <w:tr w:rsidR="00E3599D" w:rsidRPr="00E14102" w14:paraId="6B4EB30A" w14:textId="77777777">
        <w:tc>
          <w:tcPr>
            <w:tcW w:w="1127" w:type="dxa"/>
          </w:tcPr>
          <w:p w14:paraId="126160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 смешанная</w:t>
            </w:r>
          </w:p>
        </w:tc>
        <w:tc>
          <w:tcPr>
            <w:tcW w:w="1128" w:type="dxa"/>
          </w:tcPr>
          <w:p w14:paraId="3CB541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350-370 км/час/5000</w:t>
            </w:r>
          </w:p>
        </w:tc>
        <w:tc>
          <w:tcPr>
            <w:tcW w:w="1077" w:type="dxa"/>
          </w:tcPr>
          <w:p w14:paraId="109226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6,1 мин.</w:t>
            </w:r>
          </w:p>
        </w:tc>
        <w:tc>
          <w:tcPr>
            <w:tcW w:w="851" w:type="dxa"/>
          </w:tcPr>
          <w:p w14:paraId="51D61D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9800 м</w:t>
            </w:r>
          </w:p>
        </w:tc>
        <w:tc>
          <w:tcPr>
            <w:tcW w:w="873" w:type="dxa"/>
          </w:tcPr>
          <w:p w14:paraId="1E3ED9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ПВ-1</w:t>
            </w:r>
          </w:p>
          <w:p w14:paraId="6C1FBD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ШКАС</w:t>
            </w:r>
          </w:p>
        </w:tc>
        <w:tc>
          <w:tcPr>
            <w:tcW w:w="873" w:type="dxa"/>
          </w:tcPr>
          <w:p w14:paraId="18B177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 км</w:t>
            </w:r>
          </w:p>
        </w:tc>
      </w:tr>
      <w:tr w:rsidR="00E3599D" w:rsidRPr="00E14102" w14:paraId="22035B9C" w14:textId="77777777">
        <w:tc>
          <w:tcPr>
            <w:tcW w:w="1127" w:type="dxa"/>
          </w:tcPr>
          <w:p w14:paraId="45377B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И-16-М-25 или М-22</w:t>
            </w:r>
          </w:p>
        </w:tc>
        <w:tc>
          <w:tcPr>
            <w:tcW w:w="1128" w:type="dxa"/>
          </w:tcPr>
          <w:p w14:paraId="7C7F05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437-450 км/час/5000</w:t>
            </w:r>
          </w:p>
        </w:tc>
        <w:tc>
          <w:tcPr>
            <w:tcW w:w="1077" w:type="dxa"/>
          </w:tcPr>
          <w:p w14:paraId="30014B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6,2 мин.</w:t>
            </w:r>
          </w:p>
        </w:tc>
        <w:tc>
          <w:tcPr>
            <w:tcW w:w="851" w:type="dxa"/>
          </w:tcPr>
          <w:p w14:paraId="3CC77E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8800 м</w:t>
            </w:r>
          </w:p>
        </w:tc>
        <w:tc>
          <w:tcPr>
            <w:tcW w:w="873" w:type="dxa"/>
          </w:tcPr>
          <w:p w14:paraId="4C4CD6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ШКАС</w:t>
            </w:r>
          </w:p>
        </w:tc>
        <w:tc>
          <w:tcPr>
            <w:tcW w:w="873" w:type="dxa"/>
          </w:tcPr>
          <w:p w14:paraId="3ADF42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7186031D" w14:textId="77777777">
        <w:tc>
          <w:tcPr>
            <w:tcW w:w="1127" w:type="dxa"/>
          </w:tcPr>
          <w:p w14:paraId="75DE42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 2М17</w:t>
            </w:r>
          </w:p>
        </w:tc>
        <w:tc>
          <w:tcPr>
            <w:tcW w:w="1128" w:type="dxa"/>
          </w:tcPr>
          <w:p w14:paraId="6AAE84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210,5 км/час/5000</w:t>
            </w:r>
          </w:p>
        </w:tc>
        <w:tc>
          <w:tcPr>
            <w:tcW w:w="1077" w:type="dxa"/>
          </w:tcPr>
          <w:p w14:paraId="4410ED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30,2 м</w:t>
            </w:r>
          </w:p>
        </w:tc>
        <w:tc>
          <w:tcPr>
            <w:tcW w:w="851" w:type="dxa"/>
          </w:tcPr>
          <w:p w14:paraId="5884F0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5950 м</w:t>
            </w:r>
          </w:p>
        </w:tc>
        <w:tc>
          <w:tcPr>
            <w:tcW w:w="873" w:type="dxa"/>
          </w:tcPr>
          <w:p w14:paraId="7F0175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спар. ДА</w:t>
            </w:r>
          </w:p>
          <w:p w14:paraId="7604CC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 кг бомб</w:t>
            </w:r>
          </w:p>
        </w:tc>
        <w:tc>
          <w:tcPr>
            <w:tcW w:w="873" w:type="dxa"/>
          </w:tcPr>
          <w:p w14:paraId="311E46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1300 км</w:t>
            </w:r>
          </w:p>
        </w:tc>
      </w:tr>
      <w:tr w:rsidR="00E3599D" w:rsidRPr="00E14102" w14:paraId="7A666821" w14:textId="77777777">
        <w:tc>
          <w:tcPr>
            <w:tcW w:w="1127" w:type="dxa"/>
          </w:tcPr>
          <w:p w14:paraId="3D3252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КР-6а</w:t>
            </w:r>
          </w:p>
        </w:tc>
        <w:tc>
          <w:tcPr>
            <w:tcW w:w="1128" w:type="dxa"/>
          </w:tcPr>
          <w:p w14:paraId="4E9749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231 км/час/ 2000 м</w:t>
            </w:r>
          </w:p>
        </w:tc>
        <w:tc>
          <w:tcPr>
            <w:tcW w:w="1077" w:type="dxa"/>
          </w:tcPr>
          <w:p w14:paraId="1CF6A9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мин./ 4000 м</w:t>
            </w:r>
          </w:p>
        </w:tc>
        <w:tc>
          <w:tcPr>
            <w:tcW w:w="851" w:type="dxa"/>
          </w:tcPr>
          <w:p w14:paraId="3DD307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 м</w:t>
            </w:r>
          </w:p>
        </w:tc>
        <w:tc>
          <w:tcPr>
            <w:tcW w:w="873" w:type="dxa"/>
          </w:tcPr>
          <w:p w14:paraId="63C7F0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спар. ДА</w:t>
            </w:r>
          </w:p>
          <w:p w14:paraId="087037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 кг бомб</w:t>
            </w:r>
          </w:p>
        </w:tc>
        <w:tc>
          <w:tcPr>
            <w:tcW w:w="873" w:type="dxa"/>
          </w:tcPr>
          <w:p w14:paraId="53FF0B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 км</w:t>
            </w:r>
          </w:p>
        </w:tc>
      </w:tr>
      <w:tr w:rsidR="00E3599D" w:rsidRPr="00E14102" w14:paraId="50A9F411" w14:textId="77777777">
        <w:tc>
          <w:tcPr>
            <w:tcW w:w="1127" w:type="dxa"/>
          </w:tcPr>
          <w:p w14:paraId="45B5AC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 3М34-Р</w:t>
            </w:r>
          </w:p>
        </w:tc>
        <w:tc>
          <w:tcPr>
            <w:tcW w:w="1128" w:type="dxa"/>
          </w:tcPr>
          <w:p w14:paraId="65B232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171,2 км/час/4000</w:t>
            </w:r>
          </w:p>
        </w:tc>
        <w:tc>
          <w:tcPr>
            <w:tcW w:w="1077" w:type="dxa"/>
          </w:tcPr>
          <w:p w14:paraId="004CDF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38 мин.</w:t>
            </w:r>
          </w:p>
        </w:tc>
        <w:tc>
          <w:tcPr>
            <w:tcW w:w="851" w:type="dxa"/>
          </w:tcPr>
          <w:p w14:paraId="203712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4300 м</w:t>
            </w:r>
          </w:p>
        </w:tc>
        <w:tc>
          <w:tcPr>
            <w:tcW w:w="873" w:type="dxa"/>
          </w:tcPr>
          <w:p w14:paraId="7BC470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ШКАС</w:t>
            </w:r>
          </w:p>
          <w:p w14:paraId="3A2296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ШВАК</w:t>
            </w:r>
          </w:p>
        </w:tc>
        <w:tc>
          <w:tcPr>
            <w:tcW w:w="873" w:type="dxa"/>
          </w:tcPr>
          <w:p w14:paraId="5BF492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497BB3C4" w14:textId="77777777">
        <w:tc>
          <w:tcPr>
            <w:tcW w:w="1127" w:type="dxa"/>
          </w:tcPr>
          <w:p w14:paraId="230518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 3М34-Н</w:t>
            </w:r>
          </w:p>
        </w:tc>
        <w:tc>
          <w:tcPr>
            <w:tcW w:w="1128" w:type="dxa"/>
          </w:tcPr>
          <w:p w14:paraId="158034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223 км/час/4000</w:t>
            </w:r>
          </w:p>
        </w:tc>
        <w:tc>
          <w:tcPr>
            <w:tcW w:w="1077" w:type="dxa"/>
          </w:tcPr>
          <w:p w14:paraId="726CF5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13,2 мин.</w:t>
            </w:r>
          </w:p>
        </w:tc>
        <w:tc>
          <w:tcPr>
            <w:tcW w:w="851" w:type="dxa"/>
          </w:tcPr>
          <w:p w14:paraId="590914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6800 м</w:t>
            </w:r>
          </w:p>
        </w:tc>
        <w:tc>
          <w:tcPr>
            <w:tcW w:w="873" w:type="dxa"/>
          </w:tcPr>
          <w:p w14:paraId="4C58F0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873" w:type="dxa"/>
          </w:tcPr>
          <w:p w14:paraId="0B0492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3E1B0526" w14:textId="77777777">
        <w:tc>
          <w:tcPr>
            <w:tcW w:w="1127" w:type="dxa"/>
          </w:tcPr>
          <w:p w14:paraId="29AC33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 М-17</w:t>
            </w:r>
          </w:p>
        </w:tc>
        <w:tc>
          <w:tcPr>
            <w:tcW w:w="1128" w:type="dxa"/>
          </w:tcPr>
          <w:p w14:paraId="4E41AD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198 км/час/4000</w:t>
            </w:r>
          </w:p>
        </w:tc>
        <w:tc>
          <w:tcPr>
            <w:tcW w:w="1077" w:type="dxa"/>
          </w:tcPr>
          <w:p w14:paraId="48A0E0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22,3 мин./ 3000 м</w:t>
            </w:r>
          </w:p>
        </w:tc>
        <w:tc>
          <w:tcPr>
            <w:tcW w:w="851" w:type="dxa"/>
          </w:tcPr>
          <w:p w14:paraId="5EDBC1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5100 м</w:t>
            </w:r>
          </w:p>
        </w:tc>
        <w:tc>
          <w:tcPr>
            <w:tcW w:w="873" w:type="dxa"/>
          </w:tcPr>
          <w:p w14:paraId="2FAC86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ШКАС</w:t>
            </w:r>
          </w:p>
          <w:p w14:paraId="089FAD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 кг бомб</w:t>
            </w:r>
          </w:p>
        </w:tc>
        <w:tc>
          <w:tcPr>
            <w:tcW w:w="873" w:type="dxa"/>
          </w:tcPr>
          <w:p w14:paraId="70DBDF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1F4DC253" w14:textId="77777777">
        <w:tc>
          <w:tcPr>
            <w:tcW w:w="1127" w:type="dxa"/>
          </w:tcPr>
          <w:p w14:paraId="2DA16B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У-2-М-11</w:t>
            </w:r>
          </w:p>
        </w:tc>
        <w:tc>
          <w:tcPr>
            <w:tcW w:w="1128" w:type="dxa"/>
          </w:tcPr>
          <w:p w14:paraId="24999E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138,5</w:t>
            </w:r>
          </w:p>
        </w:tc>
        <w:tc>
          <w:tcPr>
            <w:tcW w:w="1077" w:type="dxa"/>
          </w:tcPr>
          <w:p w14:paraId="34635A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мин.</w:t>
            </w:r>
          </w:p>
        </w:tc>
        <w:tc>
          <w:tcPr>
            <w:tcW w:w="851" w:type="dxa"/>
          </w:tcPr>
          <w:p w14:paraId="6288BA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4450 м</w:t>
            </w:r>
          </w:p>
        </w:tc>
        <w:tc>
          <w:tcPr>
            <w:tcW w:w="873" w:type="dxa"/>
          </w:tcPr>
          <w:p w14:paraId="325A89FE" w14:textId="77777777" w:rsidR="00D4105E" w:rsidRPr="00E14102" w:rsidRDefault="00D4105E" w:rsidP="00E14102">
            <w:pPr>
              <w:autoSpaceDE w:val="0"/>
              <w:autoSpaceDN w:val="0"/>
              <w:adjustRightInd w:val="0"/>
              <w:jc w:val="both"/>
              <w:rPr>
                <w:color w:val="000000" w:themeColor="text1"/>
                <w:sz w:val="16"/>
                <w:szCs w:val="16"/>
              </w:rPr>
            </w:pPr>
          </w:p>
        </w:tc>
        <w:tc>
          <w:tcPr>
            <w:tcW w:w="873" w:type="dxa"/>
          </w:tcPr>
          <w:p w14:paraId="566C99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186 км</w:t>
            </w:r>
          </w:p>
        </w:tc>
      </w:tr>
      <w:tr w:rsidR="00E3599D" w:rsidRPr="00E14102" w14:paraId="06BDD166" w14:textId="77777777">
        <w:tc>
          <w:tcPr>
            <w:tcW w:w="1127" w:type="dxa"/>
            <w:tcBorders>
              <w:bottom w:val="single" w:sz="12" w:space="0" w:color="auto"/>
            </w:tcBorders>
          </w:tcPr>
          <w:p w14:paraId="0524BD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ДБ-2К-14 (М-85)</w:t>
            </w:r>
          </w:p>
        </w:tc>
        <w:tc>
          <w:tcPr>
            <w:tcW w:w="1128" w:type="dxa"/>
            <w:tcBorders>
              <w:bottom w:val="single" w:sz="12" w:space="0" w:color="auto"/>
            </w:tcBorders>
          </w:tcPr>
          <w:p w14:paraId="6D7464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300-320 км/час/4500</w:t>
            </w:r>
          </w:p>
        </w:tc>
        <w:tc>
          <w:tcPr>
            <w:tcW w:w="1077" w:type="dxa"/>
            <w:tcBorders>
              <w:bottom w:val="single" w:sz="12" w:space="0" w:color="auto"/>
            </w:tcBorders>
          </w:tcPr>
          <w:p w14:paraId="25527D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851" w:type="dxa"/>
            <w:tcBorders>
              <w:bottom w:val="single" w:sz="12" w:space="0" w:color="auto"/>
            </w:tcBorders>
          </w:tcPr>
          <w:p w14:paraId="68A45C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7000-7500 м</w:t>
            </w:r>
          </w:p>
        </w:tc>
        <w:tc>
          <w:tcPr>
            <w:tcW w:w="873" w:type="dxa"/>
            <w:tcBorders>
              <w:bottom w:val="single" w:sz="12" w:space="0" w:color="auto"/>
            </w:tcBorders>
          </w:tcPr>
          <w:p w14:paraId="048545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3ШКАС</w:t>
            </w:r>
          </w:p>
          <w:p w14:paraId="07D1A0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 кг бомб</w:t>
            </w:r>
          </w:p>
        </w:tc>
        <w:tc>
          <w:tcPr>
            <w:tcW w:w="873" w:type="dxa"/>
            <w:tcBorders>
              <w:bottom w:val="single" w:sz="12" w:space="0" w:color="auto"/>
            </w:tcBorders>
          </w:tcPr>
          <w:p w14:paraId="1014BD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2500 (5000)</w:t>
            </w:r>
          </w:p>
        </w:tc>
      </w:tr>
    </w:tbl>
    <w:p w14:paraId="3B16DB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(3517,4).</w:t>
      </w:r>
    </w:p>
    <w:p w14:paraId="77018F7C" w14:textId="77777777" w:rsidR="00D4105E" w:rsidRPr="00E14102" w:rsidRDefault="00D4105E" w:rsidP="00E14102">
      <w:pPr>
        <w:autoSpaceDE w:val="0"/>
        <w:autoSpaceDN w:val="0"/>
        <w:adjustRightInd w:val="0"/>
        <w:jc w:val="both"/>
        <w:rPr>
          <w:color w:val="000000" w:themeColor="text1"/>
          <w:sz w:val="16"/>
          <w:szCs w:val="16"/>
        </w:rPr>
      </w:pPr>
    </w:p>
    <w:p w14:paraId="11EA7273"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марте 1935 г. на испытания поступил зажигательный прибор на базе ВАП-4м, сконструированный в По</w:t>
      </w:r>
      <w:r w:rsidRPr="00E14102">
        <w:rPr>
          <w:color w:val="000000" w:themeColor="text1"/>
          <w:sz w:val="16"/>
          <w:szCs w:val="16"/>
        </w:rPr>
        <w:softHyphen/>
        <w:t>левом отделе НИХИ.</w:t>
      </w:r>
    </w:p>
    <w:p w14:paraId="6A35568E"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Зажигательные приборы долж</w:t>
      </w:r>
      <w:r w:rsidRPr="00E14102">
        <w:rPr>
          <w:color w:val="000000" w:themeColor="text1"/>
          <w:sz w:val="16"/>
          <w:szCs w:val="16"/>
        </w:rPr>
        <w:softHyphen/>
        <w:t>ны были являться прямой передел</w:t>
      </w:r>
      <w:r w:rsidRPr="00E14102">
        <w:rPr>
          <w:color w:val="000000" w:themeColor="text1"/>
          <w:sz w:val="16"/>
          <w:szCs w:val="16"/>
        </w:rPr>
        <w:softHyphen/>
        <w:t>кой выливных разных типов. Исполь</w:t>
      </w:r>
      <w:r w:rsidRPr="00E14102">
        <w:rPr>
          <w:color w:val="000000" w:themeColor="text1"/>
          <w:sz w:val="16"/>
          <w:szCs w:val="16"/>
        </w:rPr>
        <w:softHyphen/>
        <w:t>зовался тот же бак, те же механиз</w:t>
      </w:r>
      <w:r w:rsidRPr="00E14102">
        <w:rPr>
          <w:color w:val="000000" w:themeColor="text1"/>
          <w:sz w:val="16"/>
          <w:szCs w:val="16"/>
        </w:rPr>
        <w:softHyphen/>
        <w:t>мы открывания и разбрызгивания. Так же как выливной прибор, зажи</w:t>
      </w:r>
      <w:r w:rsidRPr="00E14102">
        <w:rPr>
          <w:color w:val="000000" w:themeColor="text1"/>
          <w:sz w:val="16"/>
          <w:szCs w:val="16"/>
        </w:rPr>
        <w:softHyphen/>
        <w:t>гательный при отказе сбрасывал</w:t>
      </w:r>
      <w:r w:rsidRPr="00E14102">
        <w:rPr>
          <w:color w:val="000000" w:themeColor="text1"/>
          <w:sz w:val="16"/>
          <w:szCs w:val="16"/>
        </w:rPr>
        <w:softHyphen/>
        <w:t>ся, как бомба. Добавили только воспламенительный прибор снизу, по конструкции примерно такой же, как основной, но меньшего размера.</w:t>
      </w:r>
    </w:p>
    <w:p w14:paraId="1B4668F2"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Так родился проект, получивший название «Огненный дождь». Над ним работали в Научно-исследовательском химическом институте (НИХИ) Химического управления РККА. В документах 1935 г. речь уже точно шло об «Огненном дожде». Параллельно разрабатывались два зажигательных прибора - на базе ВАП-4м (с рабочим объемом 72 л) и меньшего по размерам ВАП-6. Первый предназначался для основ</w:t>
      </w:r>
      <w:r w:rsidRPr="00E14102">
        <w:rPr>
          <w:color w:val="000000" w:themeColor="text1"/>
          <w:sz w:val="16"/>
          <w:szCs w:val="16"/>
        </w:rPr>
        <w:softHyphen/>
        <w:t>ного тогда легкого бомбардиров</w:t>
      </w:r>
      <w:r w:rsidRPr="00E14102">
        <w:rPr>
          <w:color w:val="000000" w:themeColor="text1"/>
          <w:sz w:val="16"/>
          <w:szCs w:val="16"/>
        </w:rPr>
        <w:softHyphen/>
        <w:t>щика Р-5. Этот большой одномо</w:t>
      </w:r>
      <w:r w:rsidRPr="00E14102">
        <w:rPr>
          <w:color w:val="000000" w:themeColor="text1"/>
          <w:sz w:val="16"/>
          <w:szCs w:val="16"/>
        </w:rPr>
        <w:softHyphen/>
        <w:t xml:space="preserve">торный биплан мог нести четыре зажигательных прибора под нижним крылом. Они подвешивались на ближних к фюзеляжу балках Дер-7. В баке находилось около 30 кг </w:t>
      </w:r>
      <w:r w:rsidRPr="00E14102">
        <w:rPr>
          <w:color w:val="000000" w:themeColor="text1"/>
          <w:sz w:val="16"/>
          <w:szCs w:val="16"/>
        </w:rPr>
        <w:lastRenderedPageBreak/>
        <w:t>чи</w:t>
      </w:r>
      <w:r w:rsidRPr="00E14102">
        <w:rPr>
          <w:color w:val="000000" w:themeColor="text1"/>
          <w:sz w:val="16"/>
          <w:szCs w:val="16"/>
        </w:rPr>
        <w:softHyphen/>
        <w:t>стого фосфора. Выливание раство</w:t>
      </w:r>
      <w:r w:rsidRPr="00E14102">
        <w:rPr>
          <w:color w:val="000000" w:themeColor="text1"/>
          <w:sz w:val="16"/>
          <w:szCs w:val="16"/>
        </w:rPr>
        <w:softHyphen/>
        <w:t>ра с гранулами происходило, ког</w:t>
      </w:r>
      <w:r w:rsidRPr="00E14102">
        <w:rPr>
          <w:color w:val="000000" w:themeColor="text1"/>
          <w:sz w:val="16"/>
          <w:szCs w:val="16"/>
        </w:rPr>
        <w:softHyphen/>
        <w:t>да летчик-наблюдатель в задней кабине дергал за ручку механичес</w:t>
      </w:r>
      <w:r w:rsidRPr="00E14102">
        <w:rPr>
          <w:color w:val="000000" w:themeColor="text1"/>
          <w:sz w:val="16"/>
          <w:szCs w:val="16"/>
        </w:rPr>
        <w:softHyphen/>
        <w:t>кого бомбосбрасывателя Сбр-8. Им же осуществлялся при необходимо</w:t>
      </w:r>
      <w:r w:rsidRPr="00E14102">
        <w:rPr>
          <w:color w:val="000000" w:themeColor="text1"/>
          <w:sz w:val="16"/>
          <w:szCs w:val="16"/>
        </w:rPr>
        <w:softHyphen/>
        <w:t>сти и сброс прибора.</w:t>
      </w:r>
    </w:p>
    <w:p w14:paraId="7734B9D8"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Зажигательный прибор ЗАП-6 на базе ВАП-6 конструктивно был очень похожим, но вмещал только 10 кг фосфорных гранул. В допол</w:t>
      </w:r>
      <w:r w:rsidRPr="00E14102">
        <w:rPr>
          <w:color w:val="000000" w:themeColor="text1"/>
          <w:sz w:val="16"/>
          <w:szCs w:val="16"/>
        </w:rPr>
        <w:softHyphen/>
        <w:t>нительном блоке находилось око</w:t>
      </w:r>
      <w:r w:rsidRPr="00E14102">
        <w:rPr>
          <w:color w:val="000000" w:themeColor="text1"/>
          <w:sz w:val="16"/>
          <w:szCs w:val="16"/>
        </w:rPr>
        <w:softHyphen/>
        <w:t>ло 3 л дымовой смеси. Вес заправ</w:t>
      </w:r>
      <w:r w:rsidRPr="00E14102">
        <w:rPr>
          <w:color w:val="000000" w:themeColor="text1"/>
          <w:sz w:val="16"/>
          <w:szCs w:val="16"/>
        </w:rPr>
        <w:softHyphen/>
        <w:t>ленного прибора - 26,83 кг. Им собирались вооружать истребите</w:t>
      </w:r>
      <w:r w:rsidRPr="00E14102">
        <w:rPr>
          <w:color w:val="000000" w:themeColor="text1"/>
          <w:sz w:val="16"/>
          <w:szCs w:val="16"/>
        </w:rPr>
        <w:softHyphen/>
        <w:t>ли И-5 - по два прибора на каж</w:t>
      </w:r>
      <w:r w:rsidRPr="00E14102">
        <w:rPr>
          <w:color w:val="000000" w:themeColor="text1"/>
          <w:sz w:val="16"/>
          <w:szCs w:val="16"/>
        </w:rPr>
        <w:softHyphen/>
        <w:t>дый. Они размещались на бомбо</w:t>
      </w:r>
      <w:r w:rsidRPr="00E14102">
        <w:rPr>
          <w:color w:val="000000" w:themeColor="text1"/>
          <w:sz w:val="16"/>
          <w:szCs w:val="16"/>
        </w:rPr>
        <w:softHyphen/>
        <w:t>держателях под нижним крылом. На заправку двух ЗАП-6 два техника тратили полчаса (12022).</w:t>
      </w:r>
    </w:p>
    <w:p w14:paraId="3CCA7A92"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Приборы подве</w:t>
      </w:r>
      <w:r w:rsidRPr="00E14102">
        <w:rPr>
          <w:color w:val="000000" w:themeColor="text1"/>
          <w:sz w:val="16"/>
          <w:szCs w:val="16"/>
        </w:rPr>
        <w:softHyphen/>
        <w:t>сили на обычном Р-5. Сначала по</w:t>
      </w:r>
      <w:r w:rsidRPr="00E14102">
        <w:rPr>
          <w:color w:val="000000" w:themeColor="text1"/>
          <w:sz w:val="16"/>
          <w:szCs w:val="16"/>
        </w:rPr>
        <w:softHyphen/>
        <w:t>смотрели, как изменятся характери</w:t>
      </w:r>
      <w:r w:rsidRPr="00E14102">
        <w:rPr>
          <w:color w:val="000000" w:themeColor="text1"/>
          <w:sz w:val="16"/>
          <w:szCs w:val="16"/>
        </w:rPr>
        <w:softHyphen/>
        <w:t>стики пилотирования. Баки при этом заливали водой. Взлетные характе</w:t>
      </w:r>
      <w:r w:rsidRPr="00E14102">
        <w:rPr>
          <w:color w:val="000000" w:themeColor="text1"/>
          <w:sz w:val="16"/>
          <w:szCs w:val="16"/>
        </w:rPr>
        <w:softHyphen/>
        <w:t>ристики и маневренность машины несколько ухудшились, но оказа</w:t>
      </w:r>
      <w:r w:rsidRPr="00E14102">
        <w:rPr>
          <w:color w:val="000000" w:themeColor="text1"/>
          <w:sz w:val="16"/>
          <w:szCs w:val="16"/>
        </w:rPr>
        <w:softHyphen/>
        <w:t xml:space="preserve">лось, что самолет вполне может выполнять виражи с креном до 55 </w:t>
      </w:r>
      <w:r w:rsidRPr="00E14102">
        <w:rPr>
          <w:color w:val="000000" w:themeColor="text1"/>
          <w:sz w:val="16"/>
          <w:szCs w:val="16"/>
          <w:vertAlign w:val="superscript"/>
        </w:rPr>
        <w:t xml:space="preserve">0 </w:t>
      </w:r>
      <w:r w:rsidRPr="00E14102">
        <w:rPr>
          <w:color w:val="000000" w:themeColor="text1"/>
          <w:sz w:val="16"/>
          <w:szCs w:val="16"/>
        </w:rPr>
        <w:t>и пикировать под углом 20-25 Пос</w:t>
      </w:r>
      <w:r w:rsidRPr="00E14102">
        <w:rPr>
          <w:color w:val="000000" w:themeColor="text1"/>
          <w:sz w:val="16"/>
          <w:szCs w:val="16"/>
        </w:rPr>
        <w:softHyphen/>
        <w:t>ле этого начали эксперименты на полигоне.</w:t>
      </w:r>
    </w:p>
    <w:p w14:paraId="3ECD0A7B"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отличие от выливных прибо</w:t>
      </w:r>
      <w:r w:rsidRPr="00E14102">
        <w:rPr>
          <w:color w:val="000000" w:themeColor="text1"/>
          <w:sz w:val="16"/>
          <w:szCs w:val="16"/>
        </w:rPr>
        <w:softHyphen/>
        <w:t>ров, которые можно было заправ</w:t>
      </w:r>
      <w:r w:rsidRPr="00E14102">
        <w:rPr>
          <w:color w:val="000000" w:themeColor="text1"/>
          <w:sz w:val="16"/>
          <w:szCs w:val="16"/>
        </w:rPr>
        <w:softHyphen/>
        <w:t>лять уже подвешенными на самоле</w:t>
      </w:r>
      <w:r w:rsidRPr="00E14102">
        <w:rPr>
          <w:color w:val="000000" w:themeColor="text1"/>
          <w:sz w:val="16"/>
          <w:szCs w:val="16"/>
        </w:rPr>
        <w:softHyphen/>
        <w:t>ты с помощью разливочных стан</w:t>
      </w:r>
      <w:r w:rsidRPr="00E14102">
        <w:rPr>
          <w:color w:val="000000" w:themeColor="text1"/>
          <w:sz w:val="16"/>
          <w:szCs w:val="16"/>
        </w:rPr>
        <w:softHyphen/>
        <w:t>ций на автомобильном шасси, за</w:t>
      </w:r>
      <w:r w:rsidRPr="00E14102">
        <w:rPr>
          <w:color w:val="000000" w:themeColor="text1"/>
          <w:sz w:val="16"/>
          <w:szCs w:val="16"/>
        </w:rPr>
        <w:softHyphen/>
        <w:t>жигательные приходилось загружать отдельно, а уже потом крепить к бомбодержателям.</w:t>
      </w:r>
    </w:p>
    <w:p w14:paraId="5B17E98C"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Выливание раствора с гранула</w:t>
      </w:r>
      <w:r w:rsidRPr="00E14102">
        <w:rPr>
          <w:color w:val="000000" w:themeColor="text1"/>
          <w:sz w:val="16"/>
          <w:szCs w:val="16"/>
        </w:rPr>
        <w:softHyphen/>
        <w:t>ми производилось с высоты 30-50 м на скорости 190-200 км/ч. После открытия баков за самолетом воз</w:t>
      </w:r>
      <w:r w:rsidRPr="00E14102">
        <w:rPr>
          <w:color w:val="000000" w:themeColor="text1"/>
          <w:sz w:val="16"/>
          <w:szCs w:val="16"/>
        </w:rPr>
        <w:softHyphen/>
        <w:t>никал длинный огненный «хвост». После падения на грунт гранулы продолжали гореть 3-4 мин. Запа</w:t>
      </w:r>
      <w:r w:rsidRPr="00E14102">
        <w:rPr>
          <w:color w:val="000000" w:themeColor="text1"/>
          <w:sz w:val="16"/>
          <w:szCs w:val="16"/>
        </w:rPr>
        <w:softHyphen/>
        <w:t>са хватало примерно на 5 с. После этого оставалась полоса выжжен</w:t>
      </w:r>
      <w:r w:rsidRPr="00E14102">
        <w:rPr>
          <w:color w:val="000000" w:themeColor="text1"/>
          <w:sz w:val="16"/>
          <w:szCs w:val="16"/>
        </w:rPr>
        <w:softHyphen/>
        <w:t>ной земли шириной около 18 м и длиной 170-250 м. Над этой поло</w:t>
      </w:r>
      <w:r w:rsidRPr="00E14102">
        <w:rPr>
          <w:color w:val="000000" w:themeColor="text1"/>
          <w:sz w:val="16"/>
          <w:szCs w:val="16"/>
        </w:rPr>
        <w:softHyphen/>
        <w:t>сой поднималась сплошная дымо</w:t>
      </w:r>
      <w:r w:rsidRPr="00E14102">
        <w:rPr>
          <w:color w:val="000000" w:themeColor="text1"/>
          <w:sz w:val="16"/>
          <w:szCs w:val="16"/>
        </w:rPr>
        <w:softHyphen/>
        <w:t>вая завеса высотой до 40 м.</w:t>
      </w:r>
    </w:p>
    <w:p w14:paraId="3F678A08"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Приборы были еще несовершен</w:t>
      </w:r>
      <w:r w:rsidRPr="00E14102">
        <w:rPr>
          <w:color w:val="000000" w:themeColor="text1"/>
          <w:sz w:val="16"/>
          <w:szCs w:val="16"/>
        </w:rPr>
        <w:softHyphen/>
        <w:t>ны: в основном претензии предъяв</w:t>
      </w:r>
      <w:r w:rsidRPr="00E14102">
        <w:rPr>
          <w:color w:val="000000" w:themeColor="text1"/>
          <w:sz w:val="16"/>
          <w:szCs w:val="16"/>
        </w:rPr>
        <w:softHyphen/>
        <w:t>ляли к надежности срабатывания механизма открывания. Месяцем позже конструкторы предъявили на испытания второй, доработанный, вариант на базе ВАП-4м. Опробо</w:t>
      </w:r>
      <w:r w:rsidRPr="00E14102">
        <w:rPr>
          <w:color w:val="000000" w:themeColor="text1"/>
          <w:sz w:val="16"/>
          <w:szCs w:val="16"/>
        </w:rPr>
        <w:softHyphen/>
        <w:t>вав, его также сочли неудовлетво</w:t>
      </w:r>
      <w:r w:rsidRPr="00E14102">
        <w:rPr>
          <w:color w:val="000000" w:themeColor="text1"/>
          <w:sz w:val="16"/>
          <w:szCs w:val="16"/>
        </w:rPr>
        <w:softHyphen/>
        <w:t>рительным. Последовали новые пе</w:t>
      </w:r>
      <w:r w:rsidRPr="00E14102">
        <w:rPr>
          <w:color w:val="000000" w:themeColor="text1"/>
          <w:sz w:val="16"/>
          <w:szCs w:val="16"/>
        </w:rPr>
        <w:softHyphen/>
        <w:t>ределки. Третий вариант выпусти</w:t>
      </w:r>
      <w:r w:rsidRPr="00E14102">
        <w:rPr>
          <w:color w:val="000000" w:themeColor="text1"/>
          <w:sz w:val="16"/>
          <w:szCs w:val="16"/>
        </w:rPr>
        <w:softHyphen/>
        <w:t>ли на испытания в июне 1936 г., после чего разрешили выпустить малую серию и начать войсковые испытания (12022).</w:t>
      </w:r>
    </w:p>
    <w:p w14:paraId="02273D83" w14:textId="77777777" w:rsidR="00D4105E" w:rsidRPr="00E14102" w:rsidRDefault="00D4105E" w:rsidP="00E14102">
      <w:pPr>
        <w:widowControl w:val="0"/>
        <w:autoSpaceDE w:val="0"/>
        <w:autoSpaceDN w:val="0"/>
        <w:adjustRightInd w:val="0"/>
        <w:jc w:val="both"/>
        <w:rPr>
          <w:color w:val="000000" w:themeColor="text1"/>
          <w:sz w:val="16"/>
          <w:szCs w:val="16"/>
        </w:rPr>
      </w:pPr>
    </w:p>
    <w:p w14:paraId="366F6D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марте 1935 г. в машинописном виде была подготовлена неизвестная до сих пор работе Г.Э.Лангемака «К вопросу о повышении скорости и дальности ракетных снарядов»., Она так и осталась в архиве, не по</w:t>
      </w:r>
      <w:r w:rsidRPr="00E14102">
        <w:rPr>
          <w:color w:val="000000" w:themeColor="text1"/>
          <w:sz w:val="16"/>
          <w:szCs w:val="16"/>
        </w:rPr>
        <w:softHyphen/>
        <w:t>лучив огласки. Начальник секретной части РНИИ Ананьев выслал одну ее копию помощнику начальника НТО-3 ОБАА АУ РККА М.М.Зандеру 7 мая 1935 г. Вот лишь некоторые выдержки из нее.</w:t>
      </w:r>
    </w:p>
    <w:p w14:paraId="6BCBC04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настоящее время можно считать бесспорно установленным, что ракетные снаряды являются одним из наиболее мощных средств воору</w:t>
      </w:r>
      <w:r w:rsidRPr="00E14102">
        <w:rPr>
          <w:color w:val="000000" w:themeColor="text1"/>
          <w:sz w:val="16"/>
          <w:szCs w:val="16"/>
        </w:rPr>
        <w:softHyphen/>
        <w:t>жения авиации как истребительной, так и штурмовой для борьбы с воз</w:t>
      </w:r>
      <w:r w:rsidRPr="00E14102">
        <w:rPr>
          <w:color w:val="000000" w:themeColor="text1"/>
          <w:sz w:val="16"/>
          <w:szCs w:val="16"/>
        </w:rPr>
        <w:softHyphen/>
        <w:t>душным противником на близких дистанциях. Так же и в бомбардиро</w:t>
      </w:r>
      <w:r w:rsidRPr="00E14102">
        <w:rPr>
          <w:color w:val="000000" w:themeColor="text1"/>
          <w:sz w:val="16"/>
          <w:szCs w:val="16"/>
        </w:rPr>
        <w:softHyphen/>
        <w:t>вочной авиации для стрельбы на близкие и дальние дистанции по воз</w:t>
      </w:r>
      <w:r w:rsidRPr="00E14102">
        <w:rPr>
          <w:color w:val="000000" w:themeColor="text1"/>
          <w:sz w:val="16"/>
          <w:szCs w:val="16"/>
        </w:rPr>
        <w:softHyphen/>
        <w:t>душным и наземным целям.</w:t>
      </w:r>
    </w:p>
    <w:p w14:paraId="029D2C4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 всех случаях применения РС единственно целесообразным явля</w:t>
      </w:r>
      <w:r w:rsidRPr="00E14102">
        <w:rPr>
          <w:color w:val="000000" w:themeColor="text1"/>
          <w:sz w:val="16"/>
          <w:szCs w:val="16"/>
        </w:rPr>
        <w:softHyphen/>
        <w:t>ется использование снарядов среднего и крупного калибра, так как именно при этих калибрах особенно ярко проявляется основное досто</w:t>
      </w:r>
      <w:r w:rsidRPr="00E14102">
        <w:rPr>
          <w:color w:val="000000" w:themeColor="text1"/>
          <w:sz w:val="16"/>
          <w:szCs w:val="16"/>
        </w:rPr>
        <w:softHyphen/>
        <w:t>инство ракетных систем: легкость направляющей установки РО и отсут</w:t>
      </w:r>
      <w:r w:rsidRPr="00E14102">
        <w:rPr>
          <w:color w:val="000000" w:themeColor="text1"/>
          <w:sz w:val="16"/>
          <w:szCs w:val="16"/>
        </w:rPr>
        <w:softHyphen/>
        <w:t>ствие вредного действия выстрела на стреляющий самолет.</w:t>
      </w:r>
    </w:p>
    <w:p w14:paraId="62B885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Нет надобности доказывать, что при воздушной стрельбе скорость снаряда имеет первостепенное значение. Потому повышение скорости </w:t>
      </w:r>
      <w:r w:rsidRPr="00E14102">
        <w:rPr>
          <w:color w:val="000000" w:themeColor="text1"/>
          <w:sz w:val="16"/>
          <w:szCs w:val="16"/>
          <w:vertAlign w:val="superscript"/>
        </w:rPr>
        <w:t>П</w:t>
      </w:r>
      <w:r w:rsidRPr="00E14102">
        <w:rPr>
          <w:color w:val="000000" w:themeColor="text1"/>
          <w:sz w:val="16"/>
          <w:szCs w:val="16"/>
        </w:rPr>
        <w:t>РИ сохранении действительного действия снаряда у цели является глав</w:t>
      </w:r>
      <w:r w:rsidRPr="00E14102">
        <w:rPr>
          <w:color w:val="000000" w:themeColor="text1"/>
          <w:sz w:val="16"/>
          <w:szCs w:val="16"/>
        </w:rPr>
        <w:softHyphen/>
        <w:t xml:space="preserve">ной задачей при разработке ракетного вооружения. Задачей настоящей </w:t>
      </w:r>
      <w:r w:rsidRPr="00E14102">
        <w:rPr>
          <w:color w:val="000000" w:themeColor="text1"/>
          <w:sz w:val="16"/>
          <w:szCs w:val="16"/>
          <w:vertAlign w:val="superscript"/>
        </w:rPr>
        <w:t>Ста</w:t>
      </w:r>
      <w:r w:rsidRPr="00E14102">
        <w:rPr>
          <w:color w:val="000000" w:themeColor="text1"/>
          <w:sz w:val="16"/>
          <w:szCs w:val="16"/>
        </w:rPr>
        <w:t>тьи является выяснение того, какими путями может быть достигнуто овыщение скорости и дальности ракетных снарядов с пороховым зарядом и насколько действительными являются в этом отношении те или иные способы.</w:t>
      </w:r>
    </w:p>
    <w:p w14:paraId="5BEAF8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Опытные и теоретические исследования, проведенные за последние годы, показывают, что наилучших результатов можно достичь в том слу</w:t>
      </w:r>
      <w:r w:rsidRPr="00E14102">
        <w:rPr>
          <w:color w:val="000000" w:themeColor="text1"/>
          <w:sz w:val="16"/>
          <w:szCs w:val="16"/>
        </w:rPr>
        <w:softHyphen/>
        <w:t>чае, когда РС снабжен зарядом бездымного пороха. Причем, РЗ должен быть помешен в камере не в виде сплошной запрессовки, как это дела</w:t>
      </w:r>
      <w:r w:rsidRPr="00E14102">
        <w:rPr>
          <w:color w:val="000000" w:themeColor="text1"/>
          <w:sz w:val="16"/>
          <w:szCs w:val="16"/>
        </w:rPr>
        <w:softHyphen/>
        <w:t>лось в прежних ракетах на черном порохе, но в виде свободно уложенных зерен. При такой укладке РЗ горит по всей открытой поверхности зерен подобно обыкновенному орудийному заряду.</w:t>
      </w:r>
    </w:p>
    <w:p w14:paraId="6058EC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 в отличие от последнего, горение РЗ, вследствие небольшого ;кг-вления в камере и большой толщины пороха, заканчивается уже посте вылета снаряда, хотя и на сравнительно небольшом расстоянии от ору</w:t>
      </w:r>
      <w:r w:rsidRPr="00E14102">
        <w:rPr>
          <w:color w:val="000000" w:themeColor="text1"/>
          <w:sz w:val="16"/>
          <w:szCs w:val="16"/>
        </w:rPr>
        <w:softHyphen/>
        <w:t>дия — порядка 100-200 м. Для увеличения наибольшей скорости возмож</w:t>
      </w:r>
      <w:r w:rsidRPr="00E14102">
        <w:rPr>
          <w:color w:val="000000" w:themeColor="text1"/>
          <w:sz w:val="16"/>
          <w:szCs w:val="16"/>
        </w:rPr>
        <w:softHyphen/>
        <w:t xml:space="preserve">ны следующие способы: увеличение скорости истечения пороховых </w:t>
      </w:r>
      <w:r w:rsidRPr="00E14102">
        <w:rPr>
          <w:iCs/>
          <w:color w:val="000000" w:themeColor="text1"/>
          <w:sz w:val="16"/>
          <w:szCs w:val="16"/>
        </w:rPr>
        <w:t>\я-</w:t>
      </w:r>
      <w:r w:rsidRPr="00E14102">
        <w:rPr>
          <w:color w:val="000000" w:themeColor="text1"/>
          <w:sz w:val="16"/>
          <w:szCs w:val="16"/>
        </w:rPr>
        <w:t>зов; увеличение веса ракетного заряда; уменьшение пассивного веса снаряда. Рассмотрим последовательно все эти способы, а также их комбина</w:t>
      </w:r>
      <w:r w:rsidRPr="00E14102">
        <w:rPr>
          <w:color w:val="000000" w:themeColor="text1"/>
          <w:sz w:val="16"/>
          <w:szCs w:val="16"/>
        </w:rPr>
        <w:softHyphen/>
        <w:t>ции. Причем, будем все время считать, что БЧ снаряда сохраняет неиз</w:t>
      </w:r>
      <w:r w:rsidRPr="00E14102">
        <w:rPr>
          <w:color w:val="000000" w:themeColor="text1"/>
          <w:sz w:val="16"/>
          <w:szCs w:val="16"/>
        </w:rPr>
        <w:softHyphen/>
        <w:t>менный вес. Будем также иметь в виду, что для подобных между собой снарядов скорость их не зависит от калибра.</w:t>
      </w:r>
    </w:p>
    <w:p w14:paraId="4E78C48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камерах двигателей РС среднее давление составляет примерно 100 кг/см</w:t>
      </w:r>
      <w:r w:rsidRPr="00E14102">
        <w:rPr>
          <w:color w:val="000000" w:themeColor="text1"/>
          <w:sz w:val="16"/>
          <w:szCs w:val="16"/>
          <w:vertAlign w:val="superscript"/>
        </w:rPr>
        <w:t>:</w:t>
      </w:r>
      <w:r w:rsidRPr="00E14102">
        <w:rPr>
          <w:color w:val="000000" w:themeColor="text1"/>
          <w:sz w:val="16"/>
          <w:szCs w:val="16"/>
        </w:rPr>
        <w:t xml:space="preserve"> для пороха ПТП. Применение более низких давлений не Могло быть существенным вследствие того, что при малых значениях Давления этот порох не дает нормального взрывчатого разложения. последнее время были предложены составы пороха, устраняющие это давление.</w:t>
      </w:r>
    </w:p>
    <w:p w14:paraId="0A1761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Ометим. что при увеличении давления от 100 до 200 кг/см- скорость </w:t>
      </w:r>
      <w:r w:rsidRPr="00E14102">
        <w:rPr>
          <w:color w:val="000000" w:themeColor="text1"/>
          <w:sz w:val="16"/>
          <w:szCs w:val="16"/>
          <w:vertAlign w:val="superscript"/>
        </w:rPr>
        <w:t>е</w:t>
      </w:r>
      <w:r w:rsidRPr="00E14102">
        <w:rPr>
          <w:color w:val="000000" w:themeColor="text1"/>
          <w:sz w:val="16"/>
          <w:szCs w:val="16"/>
        </w:rPr>
        <w:t xml:space="preserve">чения повышается всего на </w:t>
      </w:r>
      <w:r w:rsidRPr="00E14102">
        <w:rPr>
          <w:iCs/>
          <w:color w:val="000000" w:themeColor="text1"/>
          <w:sz w:val="16"/>
          <w:szCs w:val="16"/>
        </w:rPr>
        <w:t xml:space="preserve">4-4.5%. </w:t>
      </w:r>
      <w:r w:rsidRPr="00E14102">
        <w:rPr>
          <w:color w:val="000000" w:themeColor="text1"/>
          <w:sz w:val="16"/>
          <w:szCs w:val="16"/>
        </w:rPr>
        <w:t>в то время как вес камеры двигате-Должен увеличиться почти вдвое, а длина сопла — возрасти на треть. Так .скорость с наряд а пропорциональна скорости истечения пороховых га-'</w:t>
      </w:r>
      <w:r w:rsidRPr="00E14102">
        <w:rPr>
          <w:color w:val="000000" w:themeColor="text1"/>
          <w:sz w:val="16"/>
          <w:szCs w:val="16"/>
          <w:vertAlign w:val="superscript"/>
        </w:rPr>
        <w:t>т</w:t>
      </w:r>
      <w:r w:rsidRPr="00E14102">
        <w:rPr>
          <w:color w:val="000000" w:themeColor="text1"/>
          <w:sz w:val="16"/>
          <w:szCs w:val="16"/>
        </w:rPr>
        <w:t>° в дальнейшем мы будем рассматривать один лишь порох ПТП, имея в виду, что при переходе к более мощному пороху достаточно соответству</w:t>
      </w:r>
      <w:r w:rsidRPr="00E14102">
        <w:rPr>
          <w:color w:val="000000" w:themeColor="text1"/>
          <w:sz w:val="16"/>
          <w:szCs w:val="16"/>
        </w:rPr>
        <w:softHyphen/>
        <w:t>ющее значение скорости умножить на переходный коэффициент.</w:t>
      </w:r>
    </w:p>
    <w:p w14:paraId="3E0187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Увеличения веса РЗ можно достичь двумя путями: при заданном объе</w:t>
      </w:r>
      <w:r w:rsidRPr="00E14102">
        <w:rPr>
          <w:color w:val="000000" w:themeColor="text1"/>
          <w:sz w:val="16"/>
          <w:szCs w:val="16"/>
        </w:rPr>
        <w:softHyphen/>
        <w:t>ме камеры двигателя увеличить плотность заряжания или при сохранении заданной плотности заряжания увеличить объем ракетной камеры. В на</w:t>
      </w:r>
      <w:r w:rsidRPr="00E14102">
        <w:rPr>
          <w:color w:val="000000" w:themeColor="text1"/>
          <w:sz w:val="16"/>
          <w:szCs w:val="16"/>
        </w:rPr>
        <w:softHyphen/>
        <w:t>стоящее время предельная плотность заряжания, возможная при свобод</w:t>
      </w:r>
      <w:r w:rsidRPr="00E14102">
        <w:rPr>
          <w:color w:val="000000" w:themeColor="text1"/>
          <w:sz w:val="16"/>
          <w:szCs w:val="16"/>
        </w:rPr>
        <w:softHyphen/>
        <w:t>ной укладке РЗ и цилиндрической форме пороха, уже достигнута. В суще</w:t>
      </w:r>
      <w:r w:rsidRPr="00E14102">
        <w:rPr>
          <w:color w:val="000000" w:themeColor="text1"/>
          <w:sz w:val="16"/>
          <w:szCs w:val="16"/>
        </w:rPr>
        <w:softHyphen/>
        <w:t>ствующих РЗ с укладкой зерен плотность заряжания доходит до 1,00-1,05.</w:t>
      </w:r>
    </w:p>
    <w:p w14:paraId="5BAEE8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Таким образом, первый путь оказывается уже исчерпанным. Что ка</w:t>
      </w:r>
      <w:r w:rsidRPr="00E14102">
        <w:rPr>
          <w:color w:val="000000" w:themeColor="text1"/>
          <w:sz w:val="16"/>
          <w:szCs w:val="16"/>
        </w:rPr>
        <w:softHyphen/>
        <w:t>сается второго пути, то есть увеличения объема камеры при сохранении плотности укладки, то здесь возможности еще не исчерпаны. Однако этот путь связан с увеличением веса камеры, а потому надлежит выяс</w:t>
      </w:r>
      <w:r w:rsidRPr="00E14102">
        <w:rPr>
          <w:color w:val="000000" w:themeColor="text1"/>
          <w:sz w:val="16"/>
          <w:szCs w:val="16"/>
        </w:rPr>
        <w:softHyphen/>
        <w:t>нить, до каких пор и в какой мере увеличение веса РЗ дает приращение скорости снаряда.</w:t>
      </w:r>
    </w:p>
    <w:p w14:paraId="600975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наибольшей возможности плотности заряжания (около 1) и при максимальной достигнутой до сих пор относительной длине РЗ можно получать скорость порядка 573 м/с. Поставленные с самого начала огра</w:t>
      </w:r>
      <w:r w:rsidRPr="00E14102">
        <w:rPr>
          <w:color w:val="000000" w:themeColor="text1"/>
          <w:sz w:val="16"/>
          <w:szCs w:val="16"/>
        </w:rPr>
        <w:softHyphen/>
        <w:t>ничения, а именно определенная величина полезного груза не нарушает общности этого факта, так как вес полезного груза довольно точно опре</w:t>
      </w:r>
      <w:r w:rsidRPr="00E14102">
        <w:rPr>
          <w:color w:val="000000" w:themeColor="text1"/>
          <w:sz w:val="16"/>
          <w:szCs w:val="16"/>
        </w:rPr>
        <w:softHyphen/>
        <w:t>деляет калибр снаряда, а следовательно, и абсолютную длину снаряда (впоследствии это было опровергнуто).</w:t>
      </w:r>
    </w:p>
    <w:p w14:paraId="65F402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Уменьшение пассивного веса снаряда при заданном полезном грузе может быть достигнуто только облегчением ракетной камеры, сопда и стабилизатора. Вследствие сравнительно небольших ускорений, на</w:t>
      </w:r>
      <w:r w:rsidRPr="00E14102">
        <w:rPr>
          <w:color w:val="000000" w:themeColor="text1"/>
          <w:sz w:val="16"/>
          <w:szCs w:val="16"/>
        </w:rPr>
        <w:softHyphen/>
        <w:t>пряжения, испытываемые стабилизатором, невелики. Поэтому размеры стабилизатора определяются главным образом соображениями служеб</w:t>
      </w:r>
      <w:r w:rsidRPr="00E14102">
        <w:rPr>
          <w:color w:val="000000" w:themeColor="text1"/>
          <w:sz w:val="16"/>
          <w:szCs w:val="16"/>
        </w:rPr>
        <w:softHyphen/>
        <w:t>ного характера — прочность при перевозке, ударах и пр. Из этих же сооб</w:t>
      </w:r>
      <w:r w:rsidRPr="00E14102">
        <w:rPr>
          <w:color w:val="000000" w:themeColor="text1"/>
          <w:sz w:val="16"/>
          <w:szCs w:val="16"/>
        </w:rPr>
        <w:softHyphen/>
        <w:t>ражений следует исходить при выборе материалов для стабилизаторов.</w:t>
      </w:r>
    </w:p>
    <w:p w14:paraId="5D0C143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Вес стабилизатора будем считать величиной заданной и не завися</w:t>
      </w:r>
      <w:r w:rsidRPr="00E14102">
        <w:rPr>
          <w:color w:val="000000" w:themeColor="text1"/>
          <w:sz w:val="16"/>
          <w:szCs w:val="16"/>
        </w:rPr>
        <w:softHyphen/>
        <w:t>щей от того, какую скорость имеет снаряд. Вес сопла зависит от величи</w:t>
      </w:r>
      <w:r w:rsidRPr="00E14102">
        <w:rPr>
          <w:color w:val="000000" w:themeColor="text1"/>
          <w:sz w:val="16"/>
          <w:szCs w:val="16"/>
        </w:rPr>
        <w:softHyphen/>
        <w:t>ны РЗ, так как ею определяется диаметр критического сечения сопла, а затем от величины давления в ракетной камере выбирают наивыгодное соотношение диаметров критического и выходного сечения, а также длины сопла.</w:t>
      </w:r>
    </w:p>
    <w:p w14:paraId="337129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Способов уменьшения веса ракетной камеры и ее деталей можно ука</w:t>
      </w:r>
      <w:r w:rsidRPr="00E14102">
        <w:rPr>
          <w:color w:val="000000" w:themeColor="text1"/>
          <w:sz w:val="16"/>
          <w:szCs w:val="16"/>
        </w:rPr>
        <w:softHyphen/>
        <w:t>зать три: применение металлов высокой прочности, применение металлов или других материалов с меньшим удельным весом; принятие, малых дав</w:t>
      </w:r>
      <w:r w:rsidRPr="00E14102">
        <w:rPr>
          <w:color w:val="000000" w:themeColor="text1"/>
          <w:sz w:val="16"/>
          <w:szCs w:val="16"/>
        </w:rPr>
        <w:softHyphen/>
        <w:t>лений в камере. В самом деле оказывается, что при данном металле суще</w:t>
      </w:r>
      <w:r w:rsidRPr="00E14102">
        <w:rPr>
          <w:color w:val="000000" w:themeColor="text1"/>
          <w:sz w:val="16"/>
          <w:szCs w:val="16"/>
        </w:rPr>
        <w:softHyphen/>
        <w:t>ствует наивыгоднейшее давление, при котором скорость снаряда имеет ма</w:t>
      </w:r>
      <w:r w:rsidRPr="00E14102">
        <w:rPr>
          <w:color w:val="000000" w:themeColor="text1"/>
          <w:sz w:val="16"/>
          <w:szCs w:val="16"/>
        </w:rPr>
        <w:softHyphen/>
        <w:t>ксимум. При давлениях 70-80 кг/см</w:t>
      </w:r>
      <w:r w:rsidRPr="00E14102">
        <w:rPr>
          <w:color w:val="000000" w:themeColor="text1"/>
          <w:sz w:val="16"/>
          <w:szCs w:val="16"/>
          <w:vertAlign w:val="superscript"/>
        </w:rPr>
        <w:t>2</w:t>
      </w:r>
      <w:r w:rsidRPr="00E14102">
        <w:rPr>
          <w:color w:val="000000" w:themeColor="text1"/>
          <w:sz w:val="16"/>
          <w:szCs w:val="16"/>
        </w:rPr>
        <w:t xml:space="preserve"> положение максимума давления пра</w:t>
      </w:r>
      <w:r w:rsidRPr="00E14102">
        <w:rPr>
          <w:color w:val="000000" w:themeColor="text1"/>
          <w:sz w:val="16"/>
          <w:szCs w:val="16"/>
        </w:rPr>
        <w:softHyphen/>
        <w:t>ктически не зависит от относительной длины РЗ. Давление в интервале 50-100 кг/см</w:t>
      </w:r>
      <w:r w:rsidRPr="00E14102">
        <w:rPr>
          <w:color w:val="000000" w:themeColor="text1"/>
          <w:sz w:val="16"/>
          <w:szCs w:val="16"/>
          <w:vertAlign w:val="superscript"/>
        </w:rPr>
        <w:t>2</w:t>
      </w:r>
      <w:r w:rsidRPr="00E14102">
        <w:rPr>
          <w:color w:val="000000" w:themeColor="text1"/>
          <w:sz w:val="16"/>
          <w:szCs w:val="16"/>
        </w:rPr>
        <w:t xml:space="preserve"> практически не влияет на скорость истечения пороховых газон.</w:t>
      </w:r>
    </w:p>
    <w:p w14:paraId="174656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Имея же ввиду то, что при увеличении давления уменьшается время горения РЗ, а значит, и потери от диссоциации и нагрева стенок камеры двигателя, наконец, тем больше дульная скорость, приходим к заключению, что наивыгоднейшим должно быть давление, близкое к верхнему пределу. То есть, 100 кг/см</w:t>
      </w:r>
      <w:r w:rsidRPr="00E14102">
        <w:rPr>
          <w:color w:val="000000" w:themeColor="text1"/>
          <w:sz w:val="16"/>
          <w:szCs w:val="16"/>
          <w:vertAlign w:val="superscript"/>
        </w:rPr>
        <w:t>2</w:t>
      </w:r>
      <w:r w:rsidRPr="00E14102">
        <w:rPr>
          <w:color w:val="000000" w:themeColor="text1"/>
          <w:sz w:val="16"/>
          <w:szCs w:val="16"/>
        </w:rPr>
        <w:t>, а возможно даже и выше. Разработку новых порохов, способных гореть в полузамкнутом объеме при весьма малых влениях (порядка несколько атмосфер) отнюдь не следует связывать вопросом повышения скорости снаряда. Эти пороха должны предна</w:t>
      </w:r>
      <w:r w:rsidRPr="00E14102">
        <w:rPr>
          <w:color w:val="000000" w:themeColor="text1"/>
          <w:sz w:val="16"/>
          <w:szCs w:val="16"/>
        </w:rPr>
        <w:softHyphen/>
        <w:t>значаться исключительно для снарядов облегченного типа, от которых тгоежде всего требуются малый вес (например, для устранения убойно</w:t>
      </w:r>
      <w:r w:rsidRPr="00E14102">
        <w:rPr>
          <w:color w:val="000000" w:themeColor="text1"/>
          <w:sz w:val="16"/>
          <w:szCs w:val="16"/>
        </w:rPr>
        <w:softHyphen/>
        <w:t>сти). При наивыгоднейшем давлении и наибольшем возможном РЗ ско</w:t>
      </w:r>
      <w:r w:rsidRPr="00E14102">
        <w:rPr>
          <w:color w:val="000000" w:themeColor="text1"/>
          <w:sz w:val="16"/>
          <w:szCs w:val="16"/>
        </w:rPr>
        <w:softHyphen/>
        <w:t>рость снаряда может быть доведена до величины порядка 650 м/с.</w:t>
      </w:r>
    </w:p>
    <w:p w14:paraId="007075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Из легких металлов, пригодных по своим механическим качествам, является дюралюминий. Что касается повышения механических ка</w:t>
      </w:r>
      <w:r w:rsidRPr="00E14102">
        <w:rPr>
          <w:color w:val="000000" w:themeColor="text1"/>
          <w:sz w:val="16"/>
          <w:szCs w:val="16"/>
        </w:rPr>
        <w:softHyphen/>
        <w:t>честв, то в настоящее время вряд ли можно рассчитывать на получение в больших количествах снарядной стали прочностью более 6000 кг/см</w:t>
      </w:r>
      <w:r w:rsidRPr="00E14102">
        <w:rPr>
          <w:color w:val="000000" w:themeColor="text1"/>
          <w:sz w:val="16"/>
          <w:szCs w:val="16"/>
          <w:vertAlign w:val="superscript"/>
        </w:rPr>
        <w:t>2</w:t>
      </w:r>
      <w:r w:rsidRPr="00E14102">
        <w:rPr>
          <w:color w:val="000000" w:themeColor="text1"/>
          <w:sz w:val="16"/>
          <w:szCs w:val="16"/>
        </w:rPr>
        <w:t>. Дюралюминий дает незначительный выигрыш, по сравнению с высоко</w:t>
      </w:r>
      <w:r w:rsidRPr="00E14102">
        <w:rPr>
          <w:color w:val="000000" w:themeColor="text1"/>
          <w:sz w:val="16"/>
          <w:szCs w:val="16"/>
        </w:rPr>
        <w:softHyphen/>
        <w:t>качественной сталью. Так как он при этом весьма чувствителен к корро</w:t>
      </w:r>
      <w:r w:rsidRPr="00E14102">
        <w:rPr>
          <w:color w:val="000000" w:themeColor="text1"/>
          <w:sz w:val="16"/>
          <w:szCs w:val="16"/>
        </w:rPr>
        <w:softHyphen/>
        <w:t>зии, а кроме того, весьма сильно изменяет свои механические качества под влиянием высоких температур, то его применение для изготовления камер РС не может быть признано целесообразным (впоследствии это также опровергли).</w:t>
      </w:r>
    </w:p>
    <w:p w14:paraId="7547D2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Таким образом, действительными средствами для повышения скоро</w:t>
      </w:r>
      <w:r w:rsidRPr="00E14102">
        <w:rPr>
          <w:color w:val="000000" w:themeColor="text1"/>
          <w:sz w:val="16"/>
          <w:szCs w:val="16"/>
        </w:rPr>
        <w:softHyphen/>
        <w:t>сти РС является применение высококачественной стали для камер и принятие наивыгоднейшего давления порядка 100 кг/см</w:t>
      </w:r>
      <w:r w:rsidRPr="00E14102">
        <w:rPr>
          <w:color w:val="000000" w:themeColor="text1"/>
          <w:sz w:val="16"/>
          <w:szCs w:val="16"/>
          <w:vertAlign w:val="superscript"/>
        </w:rPr>
        <w:t>2</w:t>
      </w:r>
      <w:r w:rsidRPr="00E14102">
        <w:rPr>
          <w:color w:val="000000" w:themeColor="text1"/>
          <w:sz w:val="16"/>
          <w:szCs w:val="16"/>
        </w:rPr>
        <w:t>. Повышение дальности полета РС при данном угле бросания зависит от начальной скорости и от баллистического коэффициента. Если во всех случаях у снарядов калибр и коэффициент формы один и тот же, то баллистиче</w:t>
      </w:r>
      <w:r w:rsidRPr="00E14102">
        <w:rPr>
          <w:color w:val="000000" w:themeColor="text1"/>
          <w:sz w:val="16"/>
          <w:szCs w:val="16"/>
        </w:rPr>
        <w:softHyphen/>
        <w:t>ский коэффициент зависит только от пассивного веса. В смысле влия</w:t>
      </w:r>
      <w:r w:rsidRPr="00E14102">
        <w:rPr>
          <w:color w:val="000000" w:themeColor="text1"/>
          <w:sz w:val="16"/>
          <w:szCs w:val="16"/>
        </w:rPr>
        <w:softHyphen/>
        <w:t>ния на дальность стрельбы применение высококачественных сталей да</w:t>
      </w:r>
      <w:r w:rsidRPr="00E14102">
        <w:rPr>
          <w:color w:val="000000" w:themeColor="text1"/>
          <w:sz w:val="16"/>
          <w:szCs w:val="16"/>
        </w:rPr>
        <w:softHyphen/>
        <w:t>ет преимущества, и те совершенно ничтожные лишь при малых зарядах.</w:t>
      </w:r>
    </w:p>
    <w:p w14:paraId="5F62B9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Применяемые в настоящее время давления порядка 200 кг/см</w:t>
      </w:r>
      <w:r w:rsidRPr="00E14102">
        <w:rPr>
          <w:color w:val="000000" w:themeColor="text1"/>
          <w:sz w:val="16"/>
          <w:szCs w:val="16"/>
          <w:vertAlign w:val="superscript"/>
        </w:rPr>
        <w:t>2</w:t>
      </w:r>
      <w:r w:rsidRPr="00E14102">
        <w:rPr>
          <w:color w:val="000000" w:themeColor="text1"/>
          <w:sz w:val="16"/>
          <w:szCs w:val="16"/>
        </w:rPr>
        <w:t xml:space="preserve"> весь</w:t>
      </w:r>
      <w:r w:rsidRPr="00E14102">
        <w:rPr>
          <w:color w:val="000000" w:themeColor="text1"/>
          <w:sz w:val="16"/>
          <w:szCs w:val="16"/>
        </w:rPr>
        <w:softHyphen/>
        <w:t>ма близки к наивыгоднейшим. Максимальная скорость, которую можно ожидать от РЗ при наибольшей достигнутой пока длине и при существу</w:t>
      </w:r>
      <w:r w:rsidRPr="00E14102">
        <w:rPr>
          <w:color w:val="000000" w:themeColor="text1"/>
          <w:sz w:val="16"/>
          <w:szCs w:val="16"/>
        </w:rPr>
        <w:softHyphen/>
        <w:t>ющем порохе составляет 550-650 м/с. Длина снаряда при этом будет по</w:t>
      </w:r>
      <w:r w:rsidRPr="00E14102">
        <w:rPr>
          <w:color w:val="000000" w:themeColor="text1"/>
          <w:sz w:val="16"/>
          <w:szCs w:val="16"/>
        </w:rPr>
        <w:softHyphen/>
        <w:t>рядка 10 калибров (впоследствии это подтвердилось. — С.Р.). Во всех случаях следует стремиться к тому, чтобы сопло имело полную расчетную Длину. То есть, чтобы было обеспечено расширение газов до давления на</w:t>
      </w:r>
      <w:r w:rsidRPr="00E14102">
        <w:rPr>
          <w:color w:val="000000" w:themeColor="text1"/>
          <w:sz w:val="16"/>
          <w:szCs w:val="16"/>
        </w:rPr>
        <w:softHyphen/>
        <w:t>ружной среды.</w:t>
      </w:r>
    </w:p>
    <w:p w14:paraId="697598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Применение специальных сталей с целью облегчения камеры не оправ</w:t>
      </w:r>
      <w:r w:rsidRPr="00E14102">
        <w:rPr>
          <w:color w:val="000000" w:themeColor="text1"/>
          <w:sz w:val="16"/>
          <w:szCs w:val="16"/>
        </w:rPr>
        <w:softHyphen/>
        <w:t>дывается получаемыми результатами. Применение дюраля явно нецелесо</w:t>
      </w:r>
      <w:r w:rsidRPr="00E14102">
        <w:rPr>
          <w:color w:val="000000" w:themeColor="text1"/>
          <w:sz w:val="16"/>
          <w:szCs w:val="16"/>
        </w:rPr>
        <w:softHyphen/>
        <w:t>образно. Применение пороха, способного гореть при низких давлениях, имеет смысл только в том случае, если сила его не ниже существующего по-Роха, но и то лишь при давлениях порядка 100 кг/см</w:t>
      </w:r>
      <w:r w:rsidRPr="00E14102">
        <w:rPr>
          <w:color w:val="000000" w:themeColor="text1"/>
          <w:sz w:val="16"/>
          <w:szCs w:val="16"/>
          <w:vertAlign w:val="superscript"/>
        </w:rPr>
        <w:t>2</w:t>
      </w:r>
      <w:r w:rsidRPr="00E14102">
        <w:rPr>
          <w:color w:val="000000" w:themeColor="text1"/>
          <w:sz w:val="16"/>
          <w:szCs w:val="16"/>
        </w:rPr>
        <w:t xml:space="preserve"> и выше. Использование указанного пороха должно связываться с решением задачи безубойных и воообще облегченных снарядов. Все сделанные выводы в равной мере могут быть распространены и на другие случаи применения пороховых ракет, воздушных торпед, для тяговых и тормозных приборов» (11402).</w:t>
      </w:r>
    </w:p>
    <w:p w14:paraId="5F68B3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EAFB50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марте 1935 г. начальник ГВМУ НКТП И.П.Павлуновский утвердил заказ заводу №67 на изготовление опытной партии из 500 световых сиг</w:t>
      </w:r>
      <w:r w:rsidRPr="00E14102">
        <w:rPr>
          <w:color w:val="000000" w:themeColor="text1"/>
          <w:sz w:val="16"/>
          <w:szCs w:val="16"/>
        </w:rPr>
        <w:softHyphen/>
        <w:t>нальных ракетных снарядов ТРС-68С модели 2-01306 для полигонных испытаний. Получив всю производственную документацию, НИО заво</w:t>
      </w:r>
      <w:r w:rsidRPr="00E14102">
        <w:rPr>
          <w:color w:val="000000" w:themeColor="text1"/>
          <w:sz w:val="16"/>
          <w:szCs w:val="16"/>
        </w:rPr>
        <w:softHyphen/>
        <w:t>да №67 заключил договор с заводом №5 «Краснознаменец» на поставку 500 этих снарядов. Там до проверки продукции гидравлическим давле</w:t>
      </w:r>
      <w:r w:rsidRPr="00E14102">
        <w:rPr>
          <w:color w:val="000000" w:themeColor="text1"/>
          <w:sz w:val="16"/>
          <w:szCs w:val="16"/>
        </w:rPr>
        <w:softHyphen/>
        <w:t>нием в 300 атм. камеры двигателей и сопловые крышки изготовили из более прочной снарядной стали, нежели требовалась. Однако на тести</w:t>
      </w:r>
      <w:r w:rsidRPr="00E14102">
        <w:rPr>
          <w:color w:val="000000" w:themeColor="text1"/>
          <w:sz w:val="16"/>
          <w:szCs w:val="16"/>
        </w:rPr>
        <w:softHyphen/>
        <w:t>ровании оказалось, что уже при давлении в 150 атм. все камеры дефор</w:t>
      </w:r>
      <w:r w:rsidRPr="00E14102">
        <w:rPr>
          <w:color w:val="000000" w:themeColor="text1"/>
          <w:sz w:val="16"/>
          <w:szCs w:val="16"/>
        </w:rPr>
        <w:softHyphen/>
        <w:t>мируются на 0,5 мм. В итоге весь заказ пришлось забраковать.</w:t>
      </w:r>
    </w:p>
    <w:p w14:paraId="45C066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Между тем В.ААртемьев до этого уже отстрелял около 200 снарядов этой модели, материалом ракетных камер к которым служили корпуса штатных трехдюймовых артснарядов. Внутреннее давление они держали нормально (правда, их сопловые крышки изготавливали из сырой стали марки ст.5). По заявлению Е.С.Петрова, проекты снарядов рассчитывали на давление в 240 атм., а значение в 300 атм. было «незаконно проставлено в процессе работы». Для исправления создавшегося положения в РНИИ предложили испытать боеприпасы на месте с пороховыми РЗ (с уменьшен</w:t>
      </w:r>
      <w:r w:rsidRPr="00E14102">
        <w:rPr>
          <w:color w:val="000000" w:themeColor="text1"/>
          <w:sz w:val="16"/>
          <w:szCs w:val="16"/>
        </w:rPr>
        <w:softHyphen/>
        <w:t>ными и с полным), а до этого производство РС приостановить.</w:t>
      </w:r>
    </w:p>
    <w:p w14:paraId="012BBC2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Окончательные варианты чертежей сигнальных световых снарядов модели 140600 и дымовых модели 141200, а также модели 140700 посту</w:t>
      </w:r>
      <w:r w:rsidRPr="00E14102">
        <w:rPr>
          <w:color w:val="000000" w:themeColor="text1"/>
          <w:sz w:val="16"/>
          <w:szCs w:val="16"/>
        </w:rPr>
        <w:softHyphen/>
        <w:t>пили в НТО-1 ОБАА АУ РККА 13 июля 1935 г. Неудивительно, что пос</w:t>
      </w:r>
      <w:r w:rsidRPr="00E14102">
        <w:rPr>
          <w:color w:val="000000" w:themeColor="text1"/>
          <w:sz w:val="16"/>
          <w:szCs w:val="16"/>
        </w:rPr>
        <w:softHyphen/>
        <w:t>ле такого конфуза их не утвердили. Более того, заказчик отказался фи</w:t>
      </w:r>
      <w:r w:rsidRPr="00E14102">
        <w:rPr>
          <w:color w:val="000000" w:themeColor="text1"/>
          <w:sz w:val="16"/>
          <w:szCs w:val="16"/>
        </w:rPr>
        <w:softHyphen/>
        <w:t>нансировать дальнейшую разработку и испытание данных боеприпасов. В итоге их войсковые испытания не проводили, и на вооружение сухо</w:t>
      </w:r>
      <w:r w:rsidRPr="00E14102">
        <w:rPr>
          <w:color w:val="000000" w:themeColor="text1"/>
          <w:sz w:val="16"/>
          <w:szCs w:val="16"/>
        </w:rPr>
        <w:softHyphen/>
        <w:t>путных войск эти снаряды не поступили. Впрочем, применительно к начальному этапу деятельности РНИИ, подобное встречается довольно ча</w:t>
      </w:r>
      <w:r w:rsidRPr="00E14102">
        <w:rPr>
          <w:color w:val="000000" w:themeColor="text1"/>
          <w:sz w:val="16"/>
          <w:szCs w:val="16"/>
        </w:rPr>
        <w:softHyphen/>
        <w:t>сто. В дальнейшем наработки по ТРС-68 использовали для создания трассирующих ракетных снарядов по заказам военных топографов (11402).</w:t>
      </w:r>
    </w:p>
    <w:p w14:paraId="05DD876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EA011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марте 1935 в РНИИ приступили к разработке второго варианта снаряда ТРС-40С модели 140400. По заданию РНИИ одновременно в ВХНИИ разработали рецептуру состава звездок, а также цветных огней и дымов. На основании опытов создали снаряд модели 140900 и пуско</w:t>
      </w:r>
      <w:r w:rsidRPr="00E14102">
        <w:rPr>
          <w:color w:val="000000" w:themeColor="text1"/>
          <w:sz w:val="16"/>
          <w:szCs w:val="16"/>
        </w:rPr>
        <w:softHyphen/>
        <w:t>вую трубу к нему модели 101700. 15 июля отстреляли четыре новых бое-припаса, снаряженных сигнальными звездками. Три снаряда «дали пра</w:t>
      </w:r>
      <w:r w:rsidRPr="00E14102">
        <w:rPr>
          <w:color w:val="000000" w:themeColor="text1"/>
          <w:sz w:val="16"/>
          <w:szCs w:val="16"/>
        </w:rPr>
        <w:softHyphen/>
        <w:t>вильный полет с высотой подъема 500 м». У одного все же сорвало обте</w:t>
      </w:r>
      <w:r w:rsidRPr="00E14102">
        <w:rPr>
          <w:color w:val="000000" w:themeColor="text1"/>
          <w:sz w:val="16"/>
          <w:szCs w:val="16"/>
        </w:rPr>
        <w:softHyphen/>
        <w:t>катель головной части.</w:t>
      </w:r>
    </w:p>
    <w:p w14:paraId="7DBDB9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сентября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E14102">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E14102">
        <w:rPr>
          <w:color w:val="000000" w:themeColor="text1"/>
          <w:sz w:val="16"/>
          <w:szCs w:val="16"/>
        </w:rPr>
        <w:softHyphen/>
        <w:t>нейшем в чертежи внесли изменения, улучшив крепление алюминиево</w:t>
      </w:r>
      <w:r w:rsidRPr="00E14102">
        <w:rPr>
          <w:color w:val="000000" w:themeColor="text1"/>
          <w:sz w:val="16"/>
          <w:szCs w:val="16"/>
        </w:rPr>
        <w:softHyphen/>
        <w:t>го головного обтекателя с дном. Готовые образцы 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E14102">
        <w:rPr>
          <w:color w:val="000000" w:themeColor="text1"/>
          <w:sz w:val="16"/>
          <w:szCs w:val="16"/>
        </w:rPr>
        <w:softHyphen/>
        <w:t>сов модели 140900 и четыре пусковых трубы модели 101700 для полигон</w:t>
      </w:r>
      <w:r w:rsidRPr="00E14102">
        <w:rPr>
          <w:color w:val="000000" w:themeColor="text1"/>
          <w:sz w:val="16"/>
          <w:szCs w:val="16"/>
        </w:rPr>
        <w:softHyphen/>
        <w:t>ных испытаний (11402).</w:t>
      </w:r>
    </w:p>
    <w:p w14:paraId="726FDECD" w14:textId="77777777" w:rsidR="00D4105E" w:rsidRPr="00E14102" w:rsidRDefault="00D4105E" w:rsidP="00E14102">
      <w:pPr>
        <w:autoSpaceDE w:val="0"/>
        <w:autoSpaceDN w:val="0"/>
        <w:adjustRightInd w:val="0"/>
        <w:jc w:val="both"/>
        <w:rPr>
          <w:color w:val="000000" w:themeColor="text1"/>
          <w:sz w:val="16"/>
          <w:szCs w:val="16"/>
        </w:rPr>
      </w:pPr>
    </w:p>
    <w:p w14:paraId="78FEA6F0" w14:textId="77777777" w:rsidR="006C1F1A" w:rsidRPr="00E14102" w:rsidRDefault="006C1F1A" w:rsidP="00E14102">
      <w:pPr>
        <w:jc w:val="both"/>
        <w:rPr>
          <w:color w:val="0070C0"/>
          <w:sz w:val="16"/>
          <w:szCs w:val="16"/>
        </w:rPr>
      </w:pPr>
      <w:r w:rsidRPr="00E14102">
        <w:rPr>
          <w:color w:val="0070C0"/>
          <w:sz w:val="16"/>
          <w:szCs w:val="16"/>
        </w:rPr>
        <w:t>В марте 1935 г. схе</w:t>
      </w:r>
      <w:r w:rsidRPr="00E14102">
        <w:rPr>
          <w:color w:val="0070C0"/>
          <w:sz w:val="16"/>
          <w:szCs w:val="16"/>
        </w:rPr>
        <w:softHyphen/>
        <w:t>ма и приспособления для подъёма на борт корабля горючего и других грузов, разработанная специа</w:t>
      </w:r>
      <w:r w:rsidRPr="00E14102">
        <w:rPr>
          <w:color w:val="0070C0"/>
          <w:sz w:val="16"/>
          <w:szCs w:val="16"/>
        </w:rPr>
        <w:softHyphen/>
        <w:t>листами эскадры вместе с инженером Цаценко, по</w:t>
      </w:r>
      <w:r w:rsidRPr="00E14102">
        <w:rPr>
          <w:color w:val="0070C0"/>
          <w:sz w:val="16"/>
          <w:szCs w:val="16"/>
        </w:rPr>
        <w:softHyphen/>
        <w:t>зволили «СССР В-1» совершить экспериментальный полёт про</w:t>
      </w:r>
      <w:r w:rsidRPr="00E14102">
        <w:rPr>
          <w:color w:val="0070C0"/>
          <w:sz w:val="16"/>
          <w:szCs w:val="16"/>
        </w:rPr>
        <w:softHyphen/>
        <w:t>должительностью 13 часов и при посадке иметь почти первоначальный запас горючего. (Экипаж также принимал с земли горячую пищу в сте</w:t>
      </w:r>
      <w:r w:rsidRPr="00E14102">
        <w:rPr>
          <w:color w:val="0070C0"/>
          <w:sz w:val="16"/>
          <w:szCs w:val="16"/>
        </w:rPr>
        <w:softHyphen/>
        <w:t xml:space="preserve">клянных термосах) (20120). </w:t>
      </w:r>
    </w:p>
    <w:p w14:paraId="5C5749A9" w14:textId="77777777" w:rsidR="006C1F1A" w:rsidRPr="00E14102" w:rsidRDefault="006C1F1A" w:rsidP="00E14102">
      <w:pPr>
        <w:jc w:val="both"/>
        <w:rPr>
          <w:color w:val="0070C0"/>
          <w:sz w:val="16"/>
          <w:szCs w:val="16"/>
        </w:rPr>
      </w:pPr>
    </w:p>
    <w:p w14:paraId="1BB1B7A2" w14:textId="77777777" w:rsidR="006C1F1A" w:rsidRPr="00E14102" w:rsidRDefault="006C1F1A" w:rsidP="00E14102">
      <w:pPr>
        <w:jc w:val="both"/>
        <w:rPr>
          <w:color w:val="0070C0"/>
          <w:sz w:val="16"/>
          <w:szCs w:val="16"/>
        </w:rPr>
      </w:pPr>
      <w:r w:rsidRPr="00E14102">
        <w:rPr>
          <w:color w:val="0070C0"/>
          <w:sz w:val="16"/>
          <w:szCs w:val="16"/>
          <w:lang w:bidi="ru-RU"/>
        </w:rPr>
        <w:t>В марте 1935 года Паньков жаловался Хорькову и командиру Эскадры дирижаблей Эрнсту Бирнбауму:</w:t>
      </w:r>
    </w:p>
    <w:p w14:paraId="0BDE7029" w14:textId="77777777" w:rsidR="006C1F1A" w:rsidRPr="00E14102" w:rsidRDefault="006C1F1A" w:rsidP="00E14102">
      <w:pPr>
        <w:jc w:val="both"/>
        <w:rPr>
          <w:color w:val="0070C0"/>
          <w:sz w:val="16"/>
          <w:szCs w:val="16"/>
        </w:rPr>
      </w:pPr>
      <w:r w:rsidRPr="00E14102">
        <w:rPr>
          <w:color w:val="0070C0"/>
          <w:sz w:val="16"/>
          <w:szCs w:val="16"/>
          <w:lang w:bidi="ru-RU"/>
        </w:rPr>
        <w:t>Нобиле с обязанностями шеф-командира не справляется. Положительного в пилотаже и в кораблевождении от него нечего взять, в полёте его как шеф-командира не чувствуется. В полёте распоряжений нет - всё делает сам. Мне, как командиру, ничего не доверяет, поэтому прошу Вашего распоряжения снять Нобиле с шеф-командира и дать мне, соответственно занимаемой должности и ответственности, права.</w:t>
      </w:r>
    </w:p>
    <w:p w14:paraId="6F81921C" w14:textId="77777777" w:rsidR="006C1F1A" w:rsidRPr="00E14102" w:rsidRDefault="006C1F1A" w:rsidP="00E14102">
      <w:pPr>
        <w:jc w:val="both"/>
        <w:rPr>
          <w:color w:val="0070C0"/>
          <w:sz w:val="16"/>
          <w:szCs w:val="16"/>
        </w:rPr>
      </w:pPr>
      <w:r w:rsidRPr="00E14102">
        <w:rPr>
          <w:color w:val="0070C0"/>
          <w:sz w:val="16"/>
          <w:szCs w:val="16"/>
          <w:lang w:bidi="ru-RU"/>
        </w:rPr>
        <w:t>Паньков приводил примеры действий Нобиле, которые он считал неадекватными и ошибочными, и утверждал, что последствия для корабля могли быть самыми печальными. Хорьков отреагировал, предложив техническому руководителю ускорить подготовку Панькова и одновременно с завершением заводских испытаний выпустить его для самостоятельных полётов на корабле.</w:t>
      </w:r>
    </w:p>
    <w:p w14:paraId="58CF255F" w14:textId="77777777" w:rsidR="006C1F1A" w:rsidRPr="00E14102" w:rsidRDefault="006C1F1A" w:rsidP="00E14102">
      <w:pPr>
        <w:jc w:val="both"/>
        <w:rPr>
          <w:color w:val="0070C0"/>
          <w:sz w:val="16"/>
          <w:szCs w:val="16"/>
        </w:rPr>
      </w:pPr>
      <w:r w:rsidRPr="00E14102">
        <w:rPr>
          <w:color w:val="0070C0"/>
          <w:sz w:val="16"/>
          <w:szCs w:val="16"/>
          <w:lang w:bidi="ru-RU"/>
        </w:rPr>
        <w:t>Не всё нравилось и пилоту Алексею Померанцеву - однажды он даже пошёл на конфликт и отказался от полёта с итальянским шеф-пилотом. Было ли это проявлением той самой тенденции игнорирования иностранцев, с которой упорно боролось аэрофлотовское начальство, или простым желанием поскорее вырваться из-под опеки и летать самим?</w:t>
      </w:r>
    </w:p>
    <w:p w14:paraId="1DD98841" w14:textId="77777777" w:rsidR="006C1F1A" w:rsidRPr="00E14102" w:rsidRDefault="006C1F1A" w:rsidP="00E14102">
      <w:pPr>
        <w:jc w:val="both"/>
        <w:rPr>
          <w:color w:val="0070C0"/>
          <w:sz w:val="16"/>
          <w:szCs w:val="16"/>
        </w:rPr>
      </w:pPr>
      <w:r w:rsidRPr="00E14102">
        <w:rPr>
          <w:color w:val="0070C0"/>
          <w:sz w:val="16"/>
          <w:szCs w:val="16"/>
          <w:lang w:bidi="ru-RU"/>
        </w:rPr>
        <w:t>При всех недостатках Нобиле, действительных или мнимых, у молодых дирижаблистов Эскадры не было других наставников. Большую пользу принесла бы стажировка наших пилотов, штурманов, бортмехаников на каком-нибудь действующем крупном дирижабле. Таким образом можно было освоить не только искусство управления и обслуживания корабля, но и всю систему организации полётов и наземной службы. Однако если о загранкомандировках для конструкторов на Дирижаблестрое время от времени задумывались, то пилотам предоставлялось дойти до всего самим. К тому же после гибели американского «Акрона», вслед за которым в феврале 1935 года отправился его двойник «Мэкон», единственным в мире большим дирижаблем остался «Граф Цеппелин», а отношения с немцами уже не позволяли заводить разговор о техническом сотрудничестве (23192).</w:t>
      </w:r>
    </w:p>
    <w:p w14:paraId="3D4CD7D1" w14:textId="77777777" w:rsidR="006C1F1A" w:rsidRPr="00E14102" w:rsidRDefault="006C1F1A" w:rsidP="00E14102">
      <w:pPr>
        <w:jc w:val="both"/>
        <w:rPr>
          <w:color w:val="0070C0"/>
          <w:sz w:val="16"/>
          <w:szCs w:val="16"/>
        </w:rPr>
      </w:pPr>
    </w:p>
    <w:p w14:paraId="48C348F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6D24A1A" w14:textId="77777777" w:rsidR="00D4105E" w:rsidRPr="00E14102" w:rsidRDefault="00D4105E" w:rsidP="00E14102">
      <w:pPr>
        <w:autoSpaceDE w:val="0"/>
        <w:autoSpaceDN w:val="0"/>
        <w:adjustRightInd w:val="0"/>
        <w:jc w:val="both"/>
        <w:rPr>
          <w:iCs/>
          <w:color w:val="000000" w:themeColor="text1"/>
          <w:sz w:val="16"/>
          <w:szCs w:val="16"/>
        </w:rPr>
      </w:pPr>
    </w:p>
    <w:p w14:paraId="4C7187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года СУ-14 с 203-мм гаубицей Б-4 оказалась на НИАПе второй раз (3861).</w:t>
      </w:r>
    </w:p>
    <w:p w14:paraId="3A5FCC11" w14:textId="77777777" w:rsidR="00D4105E" w:rsidRPr="00E14102" w:rsidRDefault="00D4105E" w:rsidP="00E14102">
      <w:pPr>
        <w:autoSpaceDE w:val="0"/>
        <w:autoSpaceDN w:val="0"/>
        <w:adjustRightInd w:val="0"/>
        <w:jc w:val="both"/>
        <w:rPr>
          <w:color w:val="000000" w:themeColor="text1"/>
          <w:sz w:val="16"/>
          <w:szCs w:val="16"/>
        </w:rPr>
      </w:pPr>
    </w:p>
    <w:p w14:paraId="08248C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года была сдана первая опытная серия в 3 122-мм пушки, которая была заказана заводу "Баррикады" в 1933 году. Кроме того, завод "Баррикады" в 1935 году изготовил установочную серию из 30 пушек, из которых в 1935 году заказчик принял 27. До 1936 года стволы А-19 изготавливались только скрепленные, а с 1936 года только со свободной трубой. До 1937 года затворы А-19 изготавливались по чертежам КБ-38, то есть затворы брались без всяких изменений от 152-мм гаубицы обр. 1909/30 г. В 1937 году КБ завода "Баррикады" внесло ряд изменений в конструкцию затвора.</w:t>
      </w:r>
    </w:p>
    <w:p w14:paraId="7D20B3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Ствол пушки состоял из трубы, кожуха и навинтного казенника. Серийные пушки дульного тормоза не имели. Стволы были двух типов скрепленные и со свободной трубой. Затвор поршневой.</w:t>
      </w:r>
    </w:p>
    <w:p w14:paraId="6A996D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Тормоз отката гидравлический, накатник гидропневматический. Противооткатные устройства были расположены в корытообразной люльке под стволом. Откат переменный. При откате противооткатные устройства неподвижны.</w:t>
      </w:r>
    </w:p>
    <w:p w14:paraId="1B0131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"Главным украшением" системы явилось совмещение подъемного механизма с пружинным уравновешивающим механизмом.</w:t>
      </w:r>
    </w:p>
    <w:p w14:paraId="17C3A2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Этот механизм оказался "ахиллесовой пятой" лафета. Механизм часто заедало, время подъема или спуска орудия на полный угол возвышения занимало иногда 23 минуты.</w:t>
      </w:r>
    </w:p>
    <w:p w14:paraId="47488B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Поворотный механизм винтового типа.</w:t>
      </w:r>
    </w:p>
    <w:p w14:paraId="450C4F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Станины раздвижные. Колеса металлические с грузошиной и 10-ю спицами. Рессоры пластинчатые. Отсутствовало автоматическое выключение подрессоривания при разведении станин (3861).</w:t>
      </w:r>
    </w:p>
    <w:p w14:paraId="0452445B" w14:textId="77777777" w:rsidR="00D4105E" w:rsidRPr="00E14102" w:rsidRDefault="00D4105E" w:rsidP="00E14102">
      <w:pPr>
        <w:autoSpaceDE w:val="0"/>
        <w:autoSpaceDN w:val="0"/>
        <w:adjustRightInd w:val="0"/>
        <w:jc w:val="both"/>
        <w:rPr>
          <w:color w:val="000000" w:themeColor="text1"/>
          <w:sz w:val="16"/>
          <w:szCs w:val="16"/>
        </w:rPr>
      </w:pPr>
    </w:p>
    <w:p w14:paraId="631517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к испытаниям были готовы три пушки Ф-22 з-да 92ю Две со складными станинами немецкого типа и идна - с цельными (5161, 43).</w:t>
      </w:r>
    </w:p>
    <w:p w14:paraId="3B3904CF" w14:textId="77777777" w:rsidR="00D4105E" w:rsidRPr="00E14102" w:rsidRDefault="00D4105E" w:rsidP="00E14102">
      <w:pPr>
        <w:autoSpaceDE w:val="0"/>
        <w:autoSpaceDN w:val="0"/>
        <w:adjustRightInd w:val="0"/>
        <w:jc w:val="both"/>
        <w:rPr>
          <w:color w:val="000000" w:themeColor="text1"/>
          <w:sz w:val="16"/>
          <w:szCs w:val="16"/>
        </w:rPr>
      </w:pPr>
    </w:p>
    <w:p w14:paraId="157A5A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два БТ-5 с дизелями БД-2 были продемонстрированы высшему руководству в Кремле (4403).</w:t>
      </w:r>
    </w:p>
    <w:p w14:paraId="11E74BC3" w14:textId="77777777" w:rsidR="00D4105E" w:rsidRPr="00E14102" w:rsidRDefault="00D4105E" w:rsidP="00E14102">
      <w:pPr>
        <w:autoSpaceDE w:val="0"/>
        <w:autoSpaceDN w:val="0"/>
        <w:adjustRightInd w:val="0"/>
        <w:jc w:val="both"/>
        <w:rPr>
          <w:color w:val="000000" w:themeColor="text1"/>
          <w:sz w:val="16"/>
          <w:szCs w:val="16"/>
        </w:rPr>
      </w:pPr>
    </w:p>
    <w:p w14:paraId="7152411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марте 1935 года вслед за демонстрацией БД-2А в самолете два БТ-5 с дизелями БД-2 были показаны в Кремле. Затем, после успешных поли</w:t>
      </w:r>
      <w:r w:rsidRPr="00E14102">
        <w:rPr>
          <w:color w:val="000000" w:themeColor="text1"/>
          <w:sz w:val="16"/>
          <w:szCs w:val="16"/>
        </w:rPr>
        <w:softHyphen/>
        <w:t>гонных испытаний этих танков ХПЗ был окончательно ориентирован на производство танковых дизельмоторов.</w:t>
      </w:r>
    </w:p>
    <w:p w14:paraId="7B990E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Принятию такого решения правительством способствовало и то, что при испытаниях одноцилиндровый отсек дизеля Д-300 и сам отсек, изготовлен</w:t>
      </w:r>
      <w:r w:rsidRPr="00E14102">
        <w:rPr>
          <w:color w:val="000000" w:themeColor="text1"/>
          <w:sz w:val="16"/>
          <w:szCs w:val="16"/>
        </w:rPr>
        <w:softHyphen/>
        <w:t>ные в ОКМО завода «Большевик» и ОКМЗ в 1933 и 1934 годах, не дали про</w:t>
      </w:r>
      <w:r w:rsidRPr="00E14102">
        <w:rPr>
          <w:color w:val="000000" w:themeColor="text1"/>
          <w:sz w:val="16"/>
          <w:szCs w:val="16"/>
        </w:rPr>
        <w:softHyphen/>
        <w:t>ектных показателей. «Ряд деталей и узлов требовали доводки и переделок. По мощности (даже проектной) и массогабаритным показателям дизель Д-300 уступал бензиновому авиадвигателю М-5, который первоначально уста</w:t>
      </w:r>
      <w:r w:rsidRPr="00E14102">
        <w:rPr>
          <w:color w:val="000000" w:themeColor="text1"/>
          <w:sz w:val="16"/>
          <w:szCs w:val="16"/>
        </w:rPr>
        <w:softHyphen/>
        <w:t>навливался на танки БТ... Поэтому с 1936 года работы по танковым дизелям в НАТИ были прекращены и сконцентрированы на ХПЗ», — пишет замести</w:t>
      </w:r>
      <w:r w:rsidRPr="00E14102">
        <w:rPr>
          <w:color w:val="000000" w:themeColor="text1"/>
          <w:sz w:val="16"/>
          <w:szCs w:val="16"/>
        </w:rPr>
        <w:softHyphen/>
        <w:t>тель директора НАМИ по научной работе Е.В. Шатров.</w:t>
      </w:r>
    </w:p>
    <w:p w14:paraId="39CCBA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Трашутин утешал себя еще и тем, что БД-2 в танке БТ-5 вел себя зна</w:t>
      </w:r>
      <w:r w:rsidRPr="00E14102">
        <w:rPr>
          <w:color w:val="000000" w:themeColor="text1"/>
          <w:sz w:val="16"/>
          <w:szCs w:val="16"/>
        </w:rPr>
        <w:softHyphen/>
        <w:t>чительно лучше, чем в самолете, несмотря на то, что условия его работы в нем были легче, чем в танке: не было запыленного воздуха, был лучшим его обдув, а следовательно и охлаждение. Но мощность танкового была на 100 л.с. меньше самолетного.</w:t>
      </w:r>
    </w:p>
    <w:p w14:paraId="7E2467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После возвращения в Харьков, Челпан собрал конструкторов и инжене</w:t>
      </w:r>
      <w:r w:rsidRPr="00E14102">
        <w:rPr>
          <w:color w:val="000000" w:themeColor="text1"/>
          <w:sz w:val="16"/>
          <w:szCs w:val="16"/>
        </w:rPr>
        <w:softHyphen/>
        <w:t>ров отдела. Доложили о результатах испытаний БД-2 на самолете Р-5, при</w:t>
      </w:r>
      <w:r w:rsidRPr="00E14102">
        <w:rPr>
          <w:color w:val="000000" w:themeColor="text1"/>
          <w:sz w:val="16"/>
          <w:szCs w:val="16"/>
        </w:rPr>
        <w:softHyphen/>
        <w:t>чинах аварии.</w:t>
      </w:r>
    </w:p>
    <w:p w14:paraId="55955CF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Решили оставить в покое самолеты и все силы сосредоточить на довод</w:t>
      </w:r>
      <w:r w:rsidRPr="00E14102">
        <w:rPr>
          <w:color w:val="000000" w:themeColor="text1"/>
          <w:sz w:val="16"/>
          <w:szCs w:val="16"/>
        </w:rPr>
        <w:softHyphen/>
        <w:t>ке танкового двигателя.</w:t>
      </w:r>
    </w:p>
    <w:p w14:paraId="5E1C52D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 пожалуй основной причиной того, что оставили в покое дизель для самолета было то, что стала нарастать и становиться резко отличной спенифика авиационного моторостроения: был введен редуктор винта, (двигатель М-17 его не имел), удельный вес теперь для авиационных моторов должен был составлять примерно 0,5 кг на лошадиную силу мощности, который на дизеле уже получить было невозможно. Пришлось начинать все сначала — расчеты, чертежи, изготовление опытных образцов, испытания.</w:t>
      </w:r>
    </w:p>
    <w:p w14:paraId="7FA3A7A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В марте 1935 года в Кремле обсуждался вопрос о производстве дизеля для танков. Советское правительство, не ожидая результатов испытаний дизеля БД-2, приняло решение о постройке на ХПЗ специального дизельмоторного цеха (11504).</w:t>
      </w:r>
    </w:p>
    <w:p w14:paraId="446464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A8194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марте 1935 начальник Треста специального машиностроения в отчете по танку Т-37 за 1934 г. писал: “Абсолютно неудов</w:t>
      </w:r>
      <w:r w:rsidRPr="00E14102">
        <w:rPr>
          <w:color w:val="000000" w:themeColor="text1"/>
          <w:sz w:val="16"/>
          <w:szCs w:val="16"/>
        </w:rPr>
        <w:softHyphen/>
        <w:t>летворительное как техническое, так и общее руководство заводом в конце 1933 и начале 1934 года создали серьезный прорыв в 1-м полугодии 1934 года...</w:t>
      </w:r>
    </w:p>
    <w:p w14:paraId="38314E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Смена руководства заводом и руководства отдельных участков при напряженной и упорной работе всего коллекти</w:t>
      </w:r>
      <w:r w:rsidRPr="00E14102">
        <w:rPr>
          <w:color w:val="000000" w:themeColor="text1"/>
          <w:sz w:val="16"/>
          <w:szCs w:val="16"/>
        </w:rPr>
        <w:softHyphen/>
        <w:t>ва, создали в начале второго полугодия перелом в работе, ко</w:t>
      </w:r>
      <w:r w:rsidRPr="00E14102">
        <w:rPr>
          <w:color w:val="000000" w:themeColor="text1"/>
          <w:sz w:val="16"/>
          <w:szCs w:val="16"/>
        </w:rPr>
        <w:softHyphen/>
        <w:t>торый и послужил основным фактором выполнения програм</w:t>
      </w:r>
      <w:r w:rsidRPr="00E14102">
        <w:rPr>
          <w:color w:val="000000" w:themeColor="text1"/>
          <w:sz w:val="16"/>
          <w:szCs w:val="16"/>
        </w:rPr>
        <w:softHyphen/>
        <w:t>мы по главным изделиям.</w:t>
      </w:r>
    </w:p>
    <w:p w14:paraId="569E1B7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течение года завод испытывал большие затруднения в снабжении стальным литьем, ковким чугуном (для изготов</w:t>
      </w:r>
      <w:r w:rsidRPr="00E14102">
        <w:rPr>
          <w:color w:val="000000" w:themeColor="text1"/>
          <w:sz w:val="16"/>
          <w:szCs w:val="16"/>
        </w:rPr>
        <w:softHyphen/>
        <w:t>ления траков гусениц), корпусами, моторами, задними мос</w:t>
      </w:r>
      <w:r w:rsidRPr="00E14102">
        <w:rPr>
          <w:color w:val="000000" w:themeColor="text1"/>
          <w:sz w:val="16"/>
          <w:szCs w:val="16"/>
        </w:rPr>
        <w:softHyphen/>
        <w:t>тами и т.п.</w:t>
      </w:r>
    </w:p>
    <w:p w14:paraId="0A903AD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Несмотря на довольно неблагоприятные условия работы завода, отсутствие плановости и наличие штурмовщины, последним все же проделана большая работа по освоению новейшей техники.” (10733,159).</w:t>
      </w:r>
    </w:p>
    <w:p w14:paraId="5A2EDE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30FCB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марте 1935 на ХПЗ были разработаны и одобрены улучшенные бортовые передачи, к июню отработана новая КПП, изме</w:t>
      </w:r>
      <w:r w:rsidRPr="00E14102">
        <w:rPr>
          <w:color w:val="000000" w:themeColor="text1"/>
          <w:sz w:val="16"/>
          <w:szCs w:val="16"/>
        </w:rPr>
        <w:softHyphen/>
        <w:t>нены радиаторы. Но двигатель М-17 оставался ахиллесовой пятой новой тяжелой машины. Неоднократно в течение го</w:t>
      </w:r>
      <w:r w:rsidRPr="00E14102">
        <w:rPr>
          <w:color w:val="000000" w:themeColor="text1"/>
          <w:sz w:val="16"/>
          <w:szCs w:val="16"/>
        </w:rPr>
        <w:softHyphen/>
        <w:t>да поднимался вопрос об изготовлении сначала одного, за</w:t>
      </w:r>
      <w:r w:rsidRPr="00E14102">
        <w:rPr>
          <w:color w:val="000000" w:themeColor="text1"/>
          <w:sz w:val="16"/>
          <w:szCs w:val="16"/>
        </w:rPr>
        <w:softHyphen/>
        <w:t>тем двух Т-35Б с двигателем М-34, однако с июля месяца бо</w:t>
      </w:r>
      <w:r w:rsidRPr="00E14102">
        <w:rPr>
          <w:color w:val="000000" w:themeColor="text1"/>
          <w:sz w:val="16"/>
          <w:szCs w:val="16"/>
        </w:rPr>
        <w:softHyphen/>
        <w:t>лее предпочтительной уже считается установка на Т-35 и Т-28 специального дизельного двигателя мощностью не ме</w:t>
      </w:r>
      <w:r w:rsidRPr="00E14102">
        <w:rPr>
          <w:color w:val="000000" w:themeColor="text1"/>
          <w:sz w:val="16"/>
          <w:szCs w:val="16"/>
        </w:rPr>
        <w:softHyphen/>
        <w:t>нее 600 л.с. На танке № 3 в опытном порядке был установлен дизель БД-1 мощностью 400 л.с., который показал на испы</w:t>
      </w:r>
      <w:r w:rsidRPr="00E14102">
        <w:rPr>
          <w:color w:val="000000" w:themeColor="text1"/>
          <w:sz w:val="16"/>
          <w:szCs w:val="16"/>
        </w:rPr>
        <w:softHyphen/>
        <w:t>таниях неплохие результаты. Но недостаточная мощность не позволила принять его на вооружение. Тем не менее искомое решение казалось найденным, и двигательный отдел КБ ХПЗ получил спешное задание на проектирование быстроходного дизеля БД-2 мощностью 700 л.с. Макет двигателя был одобрен в январе 1936 г., а в апреле 1936 г. его опытный образец поступил на испыта</w:t>
      </w:r>
      <w:r w:rsidRPr="00E14102">
        <w:rPr>
          <w:color w:val="000000" w:themeColor="text1"/>
          <w:sz w:val="16"/>
          <w:szCs w:val="16"/>
        </w:rPr>
        <w:softHyphen/>
        <w:t>ния, которые завершились через полгода. До кондиции до</w:t>
      </w:r>
      <w:r w:rsidRPr="00E14102">
        <w:rPr>
          <w:color w:val="000000" w:themeColor="text1"/>
          <w:sz w:val="16"/>
          <w:szCs w:val="16"/>
        </w:rPr>
        <w:softHyphen/>
        <w:t>вести этот дизельный двигатель так и не удалось. Его топ</w:t>
      </w:r>
      <w:r w:rsidRPr="00E14102">
        <w:rPr>
          <w:color w:val="000000" w:themeColor="text1"/>
          <w:sz w:val="16"/>
          <w:szCs w:val="16"/>
        </w:rPr>
        <w:softHyphen/>
        <w:t>ливный насос отказывался нормально работать, равно как топливные насосы предыдущих дизель-моторов (10733,362).</w:t>
      </w:r>
    </w:p>
    <w:p w14:paraId="1FEEBC1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4B1D768" w14:textId="77777777" w:rsidR="00E07CC6" w:rsidRPr="00E14102" w:rsidRDefault="00E07CC6"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марте 1935 года военные сделали выбор, отдав предпочтение Т-29-5. Разница между Т-29-4 и Т-29-5 оказалась небольшой. Габаритные размеры танков (6530×3055×2850 мм) были одинаковыми. В процессе проектирования и изготовления боевая масса обеих машин выросла. Для Т-29-4 она составляла 21 тонну, Т-29-5 весил 24 тонны. Такой была плата за более толстую броню. Внешне Т-29-5 можно легко отличить по другому ленивцу, а также по поручневой антенне на башне (у Т-29-4 антенну разместили на бортах корпуса). Кроме того, на Т-29-4 использовались траки от Т-28, а Т-29-5 имел траки Т-35. После этого работы по Т-29-4 продолжались, что называется, в фоновом режиме. 26 марта 1935 года вышел приказ №51 по Наркомату тяжёлого машиностроения (НКТП) о производстве трёх образцов Т-29-5 в 1935 году. Фактически это можно считать началом подготовки к серийному производству. Дополнительной задачей для завода №185 стала подготовка кооперации с другими предприятиями. Эти работы легли на плечи Кошкина (17708).</w:t>
      </w:r>
    </w:p>
    <w:p w14:paraId="55A17497" w14:textId="77777777" w:rsidR="00E07CC6" w:rsidRPr="00E14102" w:rsidRDefault="00E07CC6" w:rsidP="00E14102">
      <w:pPr>
        <w:jc w:val="both"/>
        <w:rPr>
          <w:color w:val="000000" w:themeColor="text1"/>
          <w:sz w:val="16"/>
          <w:szCs w:val="16"/>
        </w:rPr>
      </w:pPr>
    </w:p>
    <w:p w14:paraId="2E02AD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по приказу НКТП были начаты проектирование, изготовление опытных образцов и подготовка к серийному выпуску вооружения для кораблей (5484,162).</w:t>
      </w:r>
    </w:p>
    <w:p w14:paraId="37C52ADC" w14:textId="77777777" w:rsidR="00D4105E" w:rsidRPr="00E14102" w:rsidRDefault="00D4105E" w:rsidP="00E14102">
      <w:pPr>
        <w:autoSpaceDE w:val="0"/>
        <w:autoSpaceDN w:val="0"/>
        <w:adjustRightInd w:val="0"/>
        <w:jc w:val="both"/>
        <w:rPr>
          <w:color w:val="000000" w:themeColor="text1"/>
          <w:sz w:val="16"/>
          <w:szCs w:val="16"/>
        </w:rPr>
      </w:pPr>
    </w:p>
    <w:p w14:paraId="220A0D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 нача</w:t>
      </w:r>
      <w:r w:rsidRPr="00E14102">
        <w:rPr>
          <w:color w:val="000000" w:themeColor="text1"/>
          <w:sz w:val="16"/>
          <w:szCs w:val="16"/>
        </w:rPr>
        <w:softHyphen/>
        <w:t>лось строительство жилого городка для судостроителей Комсомольска-на-Амуре (3898).</w:t>
      </w:r>
    </w:p>
    <w:p w14:paraId="76A51D05" w14:textId="77777777" w:rsidR="00D4105E" w:rsidRPr="00E14102" w:rsidRDefault="00D4105E" w:rsidP="00E14102">
      <w:pPr>
        <w:autoSpaceDE w:val="0"/>
        <w:autoSpaceDN w:val="0"/>
        <w:adjustRightInd w:val="0"/>
        <w:jc w:val="both"/>
        <w:rPr>
          <w:color w:val="000000" w:themeColor="text1"/>
          <w:sz w:val="16"/>
          <w:szCs w:val="16"/>
        </w:rPr>
      </w:pPr>
    </w:p>
    <w:p w14:paraId="375737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марта 1935 г. в состав Морских сил Дальнего Востока по</w:t>
      </w:r>
      <w:r w:rsidRPr="00E14102">
        <w:rPr>
          <w:color w:val="000000" w:themeColor="text1"/>
          <w:sz w:val="16"/>
          <w:szCs w:val="16"/>
        </w:rPr>
        <w:softHyphen/>
        <w:t>ступили восемь подводных лодок Убис серии, которые довели об</w:t>
      </w:r>
      <w:r w:rsidRPr="00E14102">
        <w:rPr>
          <w:color w:val="000000" w:themeColor="text1"/>
          <w:sz w:val="16"/>
          <w:szCs w:val="16"/>
        </w:rPr>
        <w:softHyphen/>
        <w:t>щее количество лодок типа "Щука" на этом театре до 20 (3898).</w:t>
      </w:r>
    </w:p>
    <w:p w14:paraId="2801145D" w14:textId="77777777" w:rsidR="00D4105E" w:rsidRPr="00E14102" w:rsidRDefault="00D4105E" w:rsidP="00E14102">
      <w:pPr>
        <w:autoSpaceDE w:val="0"/>
        <w:autoSpaceDN w:val="0"/>
        <w:adjustRightInd w:val="0"/>
        <w:jc w:val="both"/>
        <w:rPr>
          <w:color w:val="000000" w:themeColor="text1"/>
          <w:sz w:val="16"/>
          <w:szCs w:val="16"/>
        </w:rPr>
      </w:pPr>
    </w:p>
    <w:p w14:paraId="4C77060E" w14:textId="77777777" w:rsidR="007049F3" w:rsidRPr="00E14102" w:rsidRDefault="007049F3" w:rsidP="00E14102">
      <w:pPr>
        <w:pStyle w:val="rtejustify"/>
        <w:spacing w:before="0" w:after="0"/>
        <w:rPr>
          <w:color w:val="000000" w:themeColor="text1"/>
          <w:sz w:val="16"/>
          <w:szCs w:val="16"/>
        </w:rPr>
      </w:pPr>
      <w:r w:rsidRPr="00E14102">
        <w:rPr>
          <w:color w:val="000000" w:themeColor="text1"/>
          <w:sz w:val="16"/>
          <w:szCs w:val="16"/>
        </w:rPr>
        <w:t>До марта 1935 г. в состав морских сил Дальнего Востока поступили восемь подводных лодок V</w:t>
      </w:r>
      <w:r w:rsidRPr="00E14102">
        <w:rPr>
          <w:color w:val="000000" w:themeColor="text1"/>
          <w:sz w:val="16"/>
          <w:szCs w:val="16"/>
        </w:rPr>
        <w:noBreakHyphen/>
        <w:t>бис серии. Четыре лодки V</w:t>
      </w:r>
      <w:r w:rsidRPr="00E14102">
        <w:rPr>
          <w:color w:val="000000" w:themeColor="text1"/>
          <w:sz w:val="16"/>
          <w:szCs w:val="16"/>
        </w:rPr>
        <w:noBreakHyphen/>
        <w:t>бис серии были построены для морских сил Черного моря на заводе им. Марти в Ленинграде со сборкой на заводе им. «61 коммунара» (г. Николаев). Последняя лодка этой серии вступила в строй в декабре 1935 г. Одновременно с разработкой общего проекта V</w:t>
      </w:r>
      <w:r w:rsidRPr="00E14102">
        <w:rPr>
          <w:color w:val="000000" w:themeColor="text1"/>
          <w:sz w:val="16"/>
          <w:szCs w:val="16"/>
        </w:rPr>
        <w:noBreakHyphen/>
        <w:t>бис серии ЦКБС</w:t>
      </w:r>
      <w:r w:rsidRPr="00E14102">
        <w:rPr>
          <w:color w:val="000000" w:themeColor="text1"/>
          <w:sz w:val="16"/>
          <w:szCs w:val="16"/>
        </w:rPr>
        <w:noBreakHyphen/>
        <w:t>2 разработало улучшенный проект средней лодки VIII серии (позже V</w:t>
      </w:r>
      <w:r w:rsidRPr="00E14102">
        <w:rPr>
          <w:color w:val="000000" w:themeColor="text1"/>
          <w:sz w:val="16"/>
          <w:szCs w:val="16"/>
        </w:rPr>
        <w:noBreakHyphen/>
        <w:t>бис II серии) по заданию на «Щуку</w:t>
      </w:r>
      <w:r w:rsidRPr="00E14102">
        <w:rPr>
          <w:color w:val="000000" w:themeColor="text1"/>
          <w:sz w:val="16"/>
          <w:szCs w:val="16"/>
        </w:rPr>
        <w:noBreakHyphen/>
        <w:t>Б». Головная лодка этой серии «Треска» была заложена на Балтийском заводе 6 ноября 1933 г., спущена на воду 1 августа 1934 г. Строительство велось также на заводе «Красное Сормово». Последняя лодка, предназначенная для тихоокеанского флота, вступила в строй в ноябре 1935 г., а последняя черноморская — в декабре 1936 г. В ходе эксплуатации подводные лодки типа «Щука» всех серий (43 лодки) показали себя достаточно надежными кораблями (15280).</w:t>
      </w:r>
    </w:p>
    <w:p w14:paraId="0D3031DD" w14:textId="77777777" w:rsidR="007049F3" w:rsidRPr="00E14102" w:rsidRDefault="007049F3" w:rsidP="00E14102">
      <w:pPr>
        <w:pStyle w:val="rtejustify"/>
        <w:spacing w:before="0" w:after="0"/>
        <w:rPr>
          <w:color w:val="000000" w:themeColor="text1"/>
          <w:sz w:val="16"/>
          <w:szCs w:val="16"/>
        </w:rPr>
      </w:pPr>
    </w:p>
    <w:p w14:paraId="0CF5988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44E9DB3F" w14:textId="77777777" w:rsidR="00D4105E" w:rsidRPr="00E14102" w:rsidRDefault="00D4105E" w:rsidP="00E14102">
      <w:pPr>
        <w:autoSpaceDE w:val="0"/>
        <w:autoSpaceDN w:val="0"/>
        <w:adjustRightInd w:val="0"/>
        <w:jc w:val="both"/>
        <w:rPr>
          <w:iCs/>
          <w:color w:val="000000" w:themeColor="text1"/>
          <w:sz w:val="16"/>
          <w:szCs w:val="16"/>
        </w:rPr>
      </w:pPr>
    </w:p>
    <w:p w14:paraId="5A8CD60E" w14:textId="77777777" w:rsidR="00734028" w:rsidRPr="00E14102" w:rsidRDefault="00734028"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В марте 1935 г., во время получения пять новых И-16, красная пятерка состояла из летчиков: В.К. Коккинаки (ведущий), В.В. Шевченко, С.П. Супруна, В.Н. Евсеева и Э.И. Премана. И-16, которые оснастили американскими «Циклонами» </w:t>
      </w:r>
      <w:r w:rsidRPr="00E14102">
        <w:rPr>
          <w:rFonts w:ascii="Times New Roman" w:hAnsi="Times New Roman" w:cs="Times New Roman"/>
          <w:color w:val="000000" w:themeColor="text1"/>
          <w:sz w:val="16"/>
          <w:szCs w:val="16"/>
        </w:rPr>
        <w:t>F</w:t>
      </w:r>
      <w:r w:rsidRPr="00E14102">
        <w:rPr>
          <w:rFonts w:ascii="Times New Roman" w:hAnsi="Times New Roman" w:cs="Times New Roman"/>
          <w:color w:val="000000" w:themeColor="text1"/>
          <w:sz w:val="16"/>
          <w:szCs w:val="16"/>
          <w:lang w:val="ru-RU"/>
        </w:rPr>
        <w:t>-3 окрасили в ярко-красный цвет, лишь капоты в соответствии с неписаными традициями завода № 39 были черными.</w:t>
      </w:r>
    </w:p>
    <w:p w14:paraId="67FCAC94" w14:textId="77777777" w:rsidR="00734028" w:rsidRPr="00E14102" w:rsidRDefault="00734028"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Начиная с 1935 г., «красные пятерки» стали непременным атрибутом всех советских авиационных праздников и парадов. Позднее такие группы на И-16 стали организовывать во всех военных округах. Считалось, что показательный пилотаж не только является эффектным зрелищем, но и помогает развеять недоверие рядовых летчиков к истребителю. «Красные пятерки» просуществовали до 1941 г., летавшие в их составах летчики считали участие в этом деле высшей оценкой своего профессионального мастерства (19109).</w:t>
      </w:r>
    </w:p>
    <w:p w14:paraId="63758D45" w14:textId="77777777" w:rsidR="00734028" w:rsidRPr="00E14102" w:rsidRDefault="00734028" w:rsidP="00E14102">
      <w:pPr>
        <w:pStyle w:val="aa"/>
        <w:jc w:val="both"/>
        <w:rPr>
          <w:rFonts w:ascii="Times New Roman" w:hAnsi="Times New Roman" w:cs="Times New Roman"/>
          <w:color w:val="000000" w:themeColor="text1"/>
          <w:sz w:val="16"/>
          <w:szCs w:val="16"/>
          <w:lang w:val="ru-RU"/>
        </w:rPr>
      </w:pPr>
    </w:p>
    <w:p w14:paraId="2FB972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 командир звена 5-й эскадрильи Степаненко сорвался в штопор при выполнении бочки на малой (около 100 м) высоте. Машина врезалась в лес и была полностью разрушена, лётчик получил тяжёлые ранения. Для выработки рекомендаций по мерам безопасности в 1935 г. в НИИ ВВС сформировали группу испытателей, в которую вошли А.И. Филин, В.А. Степанчёнок и П.М. Стефановский. В июне эта тройка выполнила 13 перевёрнутых штопоров, чтобы определить характерные ошибки строевых лётчиков, вызывающие срыв. В итоге выяснилось, что причиной является неправильное выполнение переворота или иммельмана. Выйти из штопора оказалось вполне возможно, но резкая дача педали и ручки могла перевести самолёт в обратный штопор, выведение же одной ручкой приводило к ещё более опасному плоскому штопору. В последний попал Степанчёнок, и ему пришлось покинуть машину с парашютом. Это оказалось нелегко, поскольку заело замок привязных ремней. К счастью для пилота, всё закончилось благополучно. Рекомендации были выработаны, но полностью недостатки истребителя они, конечно, не исправили (11997).</w:t>
      </w:r>
    </w:p>
    <w:p w14:paraId="7862AC77" w14:textId="77777777" w:rsidR="00D4105E" w:rsidRPr="00E14102" w:rsidRDefault="00D4105E" w:rsidP="00E14102">
      <w:pPr>
        <w:autoSpaceDE w:val="0"/>
        <w:autoSpaceDN w:val="0"/>
        <w:adjustRightInd w:val="0"/>
        <w:jc w:val="both"/>
        <w:rPr>
          <w:color w:val="000000" w:themeColor="text1"/>
          <w:sz w:val="16"/>
          <w:szCs w:val="16"/>
        </w:rPr>
      </w:pPr>
    </w:p>
    <w:p w14:paraId="7C7F4FC8" w14:textId="77777777" w:rsidR="007049F3" w:rsidRPr="00E14102" w:rsidRDefault="007049F3" w:rsidP="00E14102">
      <w:pPr>
        <w:jc w:val="both"/>
        <w:rPr>
          <w:color w:val="000000" w:themeColor="text1"/>
          <w:sz w:val="16"/>
          <w:szCs w:val="16"/>
        </w:rPr>
      </w:pPr>
      <w:r w:rsidRPr="00E14102">
        <w:rPr>
          <w:color w:val="000000" w:themeColor="text1"/>
          <w:sz w:val="16"/>
          <w:szCs w:val="16"/>
        </w:rPr>
        <w:t>В марте 1935 г., проверив считавшуюся лучшей в округе Витебскую авиабрига</w:t>
      </w:r>
      <w:r w:rsidRPr="00E14102">
        <w:rPr>
          <w:color w:val="000000" w:themeColor="text1"/>
          <w:sz w:val="16"/>
          <w:szCs w:val="16"/>
        </w:rPr>
        <w:softHyphen/>
        <w:t>ду, московские инспектирующие обнаружили не только плохое владение техникой штаб</w:t>
      </w:r>
      <w:r w:rsidRPr="00E14102">
        <w:rPr>
          <w:color w:val="000000" w:themeColor="text1"/>
          <w:sz w:val="16"/>
          <w:szCs w:val="16"/>
        </w:rPr>
        <w:softHyphen/>
        <w:t>ной службы (из-за чего штабы «не являются действительными органами управления боем»), но и «слабую тактическую подготовку руководящего состава»: «командиры час</w:t>
      </w:r>
      <w:r w:rsidRPr="00E14102">
        <w:rPr>
          <w:color w:val="000000" w:themeColor="text1"/>
          <w:sz w:val="16"/>
          <w:szCs w:val="16"/>
        </w:rPr>
        <w:softHyphen/>
        <w:t>тей слабо разбираются в вопросах применения воздушных сил, плохо знают тактику на</w:t>
      </w:r>
      <w:r w:rsidRPr="00E14102">
        <w:rPr>
          <w:color w:val="000000" w:themeColor="text1"/>
          <w:sz w:val="16"/>
          <w:szCs w:val="16"/>
        </w:rPr>
        <w:softHyphen/>
        <w:t>земных войск, не изу</w:t>
      </w:r>
      <w:r w:rsidRPr="00E14102">
        <w:rPr>
          <w:color w:val="000000" w:themeColor="text1"/>
          <w:sz w:val="16"/>
          <w:szCs w:val="16"/>
        </w:rPr>
        <w:softHyphen/>
        <w:t>чают вероятных про</w:t>
      </w:r>
      <w:r w:rsidRPr="00E14102">
        <w:rPr>
          <w:color w:val="000000" w:themeColor="text1"/>
          <w:sz w:val="16"/>
          <w:szCs w:val="16"/>
        </w:rPr>
        <w:softHyphen/>
        <w:t>тивников (в том числе и воздушного)... и в особенно не изуча</w:t>
      </w:r>
      <w:r w:rsidRPr="00E14102">
        <w:rPr>
          <w:color w:val="000000" w:themeColor="text1"/>
          <w:sz w:val="16"/>
          <w:szCs w:val="16"/>
        </w:rPr>
        <w:softHyphen/>
        <w:t>ется Германия» (15803).</w:t>
      </w:r>
    </w:p>
    <w:p w14:paraId="3B24A3EB" w14:textId="77777777" w:rsidR="007049F3" w:rsidRPr="00E14102" w:rsidRDefault="007049F3" w:rsidP="00E14102">
      <w:pPr>
        <w:jc w:val="both"/>
        <w:rPr>
          <w:color w:val="000000" w:themeColor="text1"/>
          <w:sz w:val="16"/>
          <w:szCs w:val="16"/>
        </w:rPr>
      </w:pPr>
    </w:p>
    <w:p w14:paraId="07B13662" w14:textId="77777777" w:rsidR="007049F3" w:rsidRPr="00E14102" w:rsidRDefault="007049F3" w:rsidP="00E14102">
      <w:pPr>
        <w:jc w:val="both"/>
        <w:rPr>
          <w:color w:val="000000" w:themeColor="text1"/>
          <w:sz w:val="16"/>
          <w:szCs w:val="16"/>
        </w:rPr>
      </w:pPr>
      <w:r w:rsidRPr="00E14102">
        <w:rPr>
          <w:color w:val="000000" w:themeColor="text1"/>
          <w:sz w:val="16"/>
          <w:szCs w:val="16"/>
        </w:rPr>
        <w:t>В марте 1935 г., побывав в Ржевской, Сещинской, Витебской, Оршанской и Бобруйской абр БВО, инспектирующие из Москвы установили, что «в оперативно-тактической подго</w:t>
      </w:r>
      <w:r w:rsidRPr="00E14102">
        <w:rPr>
          <w:color w:val="000000" w:themeColor="text1"/>
          <w:sz w:val="16"/>
          <w:szCs w:val="16"/>
        </w:rPr>
        <w:softHyphen/>
        <w:t>товке достижений нет», что «воспитание тактического мышления подменяется привычкой работать по шаблону» (кстати, этот вывод относился и к проверенной в апреле Житомир</w:t>
      </w:r>
      <w:r w:rsidRPr="00E14102">
        <w:rPr>
          <w:color w:val="000000" w:themeColor="text1"/>
          <w:sz w:val="16"/>
          <w:szCs w:val="16"/>
        </w:rPr>
        <w:softHyphen/>
        <w:t>ской авиабригаде будущего Киевского, а тогда ещё Украинского округа — УВО). А о том, что истребители БВО не получили в 1935 г. «должной практики в воздушном бое», Москве вынуждены были доложить даже составители годового отчёта политуправления БВО (от 21 октября 1935 г.) —хотя политработники тоже отвечали за боевую подготов</w:t>
      </w:r>
      <w:r w:rsidRPr="00E14102">
        <w:rPr>
          <w:color w:val="000000" w:themeColor="text1"/>
          <w:sz w:val="16"/>
          <w:szCs w:val="16"/>
        </w:rPr>
        <w:softHyphen/>
        <w:t>ку. Ничего не изменилось здесь и в 1936. г. — когда лётно-тактические учения в ВВС РККА часто проводились так, что «приобретали характер больше технических лётных упражне</w:t>
      </w:r>
      <w:r w:rsidRPr="00E14102">
        <w:rPr>
          <w:color w:val="000000" w:themeColor="text1"/>
          <w:sz w:val="16"/>
          <w:szCs w:val="16"/>
        </w:rPr>
        <w:softHyphen/>
        <w:t>ний», чем тактических занятий: на них не отрабатывали ни разведку цели, ни достиже</w:t>
      </w:r>
      <w:r w:rsidRPr="00E14102">
        <w:rPr>
          <w:color w:val="000000" w:themeColor="text1"/>
          <w:sz w:val="16"/>
          <w:szCs w:val="16"/>
        </w:rPr>
        <w:softHyphen/>
        <w:t>ние внезапности удара, ни нанесение ударов на незнакомых полигонах, ни выполнение заданий в условиях противодействия противника... Ещё и в марте и июле 1937 г., про</w:t>
      </w:r>
      <w:r w:rsidRPr="00E14102">
        <w:rPr>
          <w:color w:val="000000" w:themeColor="text1"/>
          <w:sz w:val="16"/>
          <w:szCs w:val="16"/>
        </w:rPr>
        <w:softHyphen/>
        <w:t>веряя Витебскую авиабригаду, сначала Я.И. Алкснис, а затем комиссия УВВС РККА стал</w:t>
      </w:r>
      <w:r w:rsidRPr="00E14102">
        <w:rPr>
          <w:color w:val="000000" w:themeColor="text1"/>
          <w:sz w:val="16"/>
          <w:szCs w:val="16"/>
        </w:rPr>
        <w:softHyphen/>
        <w:t>кивались с тем, что тактике экипажи практически не учили («организация лётно-тактичес- ких учений исключительно безобразная и, по сути, приводит к бесцельному «утюжению» воздуха, всё тактическое из учений выхолащивается») и, как следствие, с низкой такти</w:t>
      </w:r>
      <w:r w:rsidRPr="00E14102">
        <w:rPr>
          <w:color w:val="000000" w:themeColor="text1"/>
          <w:sz w:val="16"/>
          <w:szCs w:val="16"/>
        </w:rPr>
        <w:softHyphen/>
        <w:t>ческой выучкой. По существу, то же самое обнаружили Алкснис (в марте 1937 г.) и инспе</w:t>
      </w:r>
      <w:r w:rsidRPr="00E14102">
        <w:rPr>
          <w:color w:val="000000" w:themeColor="text1"/>
          <w:sz w:val="16"/>
          <w:szCs w:val="16"/>
        </w:rPr>
        <w:softHyphen/>
        <w:t>кторы УВВС РККА (в июне) и в Брянской иабр: «воздушным боем... почти не занимаются» (15803).</w:t>
      </w:r>
    </w:p>
    <w:p w14:paraId="347FF012" w14:textId="77777777" w:rsidR="007049F3" w:rsidRPr="00E14102" w:rsidRDefault="007049F3" w:rsidP="00E14102">
      <w:pPr>
        <w:jc w:val="both"/>
        <w:rPr>
          <w:color w:val="000000" w:themeColor="text1"/>
          <w:sz w:val="16"/>
          <w:szCs w:val="16"/>
        </w:rPr>
      </w:pPr>
    </w:p>
    <w:p w14:paraId="2B29AB4C" w14:textId="77777777" w:rsidR="007049F3" w:rsidRPr="00E14102" w:rsidRDefault="007049F3" w:rsidP="00E14102">
      <w:pPr>
        <w:jc w:val="both"/>
        <w:rPr>
          <w:color w:val="000000" w:themeColor="text1"/>
          <w:sz w:val="16"/>
          <w:szCs w:val="16"/>
        </w:rPr>
      </w:pPr>
      <w:r w:rsidRPr="00E14102">
        <w:rPr>
          <w:color w:val="000000" w:themeColor="text1"/>
          <w:sz w:val="16"/>
          <w:szCs w:val="16"/>
        </w:rPr>
        <w:t>В марте 1935 г. посетив 33-ю иаэ Бобруйской абр БВО, московская инспекция обнаружила, что ог</w:t>
      </w:r>
      <w:r w:rsidRPr="00E14102">
        <w:rPr>
          <w:color w:val="000000" w:themeColor="text1"/>
          <w:sz w:val="16"/>
          <w:szCs w:val="16"/>
        </w:rPr>
        <w:softHyphen/>
        <w:t>невой подготовкой там вообще не занимаются и «лётчики-истребители по 3-4 меся</w:t>
      </w:r>
      <w:r w:rsidRPr="00E14102">
        <w:rPr>
          <w:color w:val="000000" w:themeColor="text1"/>
          <w:sz w:val="16"/>
          <w:szCs w:val="16"/>
        </w:rPr>
        <w:softHyphen/>
        <w:t>ца ни разу не стреляли» — а в апреле почти то же самое нашла и в Житомирской абр УВО. (Вообще, как признал 9 декабря 1935 г. на Военном совете при Наркоме обороны инспектор ВВС РККА комкор В.К. Лавров, истребители в том году мало тренировались в стрельбе повсюду.) (15803).</w:t>
      </w:r>
    </w:p>
    <w:p w14:paraId="789D4465" w14:textId="77777777" w:rsidR="007049F3" w:rsidRPr="00E14102" w:rsidRDefault="007049F3" w:rsidP="00E14102">
      <w:pPr>
        <w:jc w:val="both"/>
        <w:rPr>
          <w:color w:val="000000" w:themeColor="text1"/>
          <w:sz w:val="16"/>
          <w:szCs w:val="16"/>
        </w:rPr>
      </w:pPr>
    </w:p>
    <w:p w14:paraId="4455C2F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В марте 1935 года руководство автобронетанкового управления РККА обратилось к нарко</w:t>
      </w:r>
      <w:r w:rsidRPr="00E14102">
        <w:rPr>
          <w:color w:val="000000" w:themeColor="text1"/>
          <w:sz w:val="16"/>
          <w:szCs w:val="16"/>
        </w:rPr>
        <w:softHyphen/>
        <w:t>му обороны СССР с предложением перевооружить 20-ю отдельную легкую механизированную бригаду, включив в нее два батальона средних бронемашин и баталь</w:t>
      </w:r>
      <w:r w:rsidRPr="00E14102">
        <w:rPr>
          <w:color w:val="000000" w:themeColor="text1"/>
          <w:sz w:val="16"/>
          <w:szCs w:val="16"/>
        </w:rPr>
        <w:softHyphen/>
        <w:t>он танков Т-37. Получив «добро», 20-я отдельная легкая мех-бригада перешла на новый штат: управление, танковый, тан-кетный, автоброневой и стрелково-пулеметный батальоны, артиллерийская батарея и техническая база. К 1 января 1936 года в бригаде было 58 пушечных бронеавтомобилей, вхо</w:t>
      </w:r>
      <w:r w:rsidRPr="00E14102">
        <w:rPr>
          <w:color w:val="000000" w:themeColor="text1"/>
          <w:sz w:val="16"/>
          <w:szCs w:val="16"/>
        </w:rPr>
        <w:softHyphen/>
        <w:t>дивших в состав следующих подразделений: 3 машины в комендантском взводе управления бригады, из них 1 радийная, 45 (из них 15 радийных) в автоброневом батальоне и 10 (из них 4 радийных) в школе младшего командного состава (11284).</w:t>
      </w:r>
    </w:p>
    <w:p w14:paraId="292543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59530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марте 1935 г. в рамках ре</w:t>
      </w:r>
      <w:r w:rsidRPr="00E14102">
        <w:rPr>
          <w:color w:val="000000" w:themeColor="text1"/>
          <w:sz w:val="16"/>
          <w:szCs w:val="16"/>
        </w:rPr>
        <w:softHyphen/>
        <w:t>ализации новой организации мотомеханизированных войск Красной Армии Как и планировалось, самоходная артиллерия была введена в штаты частей РККА. Согласно штату № 010/616 в со</w:t>
      </w:r>
      <w:r w:rsidRPr="00E14102">
        <w:rPr>
          <w:color w:val="000000" w:themeColor="text1"/>
          <w:sz w:val="16"/>
          <w:szCs w:val="16"/>
        </w:rPr>
        <w:softHyphen/>
        <w:t>став танковых батальонов механизированных бригад тан</w:t>
      </w:r>
      <w:r w:rsidRPr="00E14102">
        <w:rPr>
          <w:color w:val="000000" w:themeColor="text1"/>
          <w:sz w:val="16"/>
          <w:szCs w:val="16"/>
        </w:rPr>
        <w:softHyphen/>
        <w:t>ков БТ вместо буксируемых пушек артиллерии сопровож</w:t>
      </w:r>
      <w:r w:rsidRPr="00E14102">
        <w:rPr>
          <w:color w:val="000000" w:themeColor="text1"/>
          <w:sz w:val="16"/>
          <w:szCs w:val="16"/>
        </w:rPr>
        <w:softHyphen/>
        <w:t>дения вводились батареи танков БТ-7А по 4 машины на батальон. Причем до поступления на вооружение артил</w:t>
      </w:r>
      <w:r w:rsidRPr="00E14102">
        <w:rPr>
          <w:color w:val="000000" w:themeColor="text1"/>
          <w:sz w:val="16"/>
          <w:szCs w:val="16"/>
        </w:rPr>
        <w:softHyphen/>
        <w:t>лерийских танков предлагалось оставить в их составе уже имеющиеся самоходные батареи СУ-1-12. Однако ввиду недостаточных возможностей промышленности вводить САУ в состав стрелковых войск и кавалерии было призна</w:t>
      </w:r>
      <w:r w:rsidRPr="00E14102">
        <w:rPr>
          <w:color w:val="000000" w:themeColor="text1"/>
          <w:sz w:val="16"/>
          <w:szCs w:val="16"/>
        </w:rPr>
        <w:softHyphen/>
        <w:t>но преждевременным (11417).</w:t>
      </w:r>
    </w:p>
    <w:p w14:paraId="17776A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B2B6A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года военно-химический полигон в Шиханах отправил на склад № 70 (Медвежий Стан, Ленинградская обл.) вагон с ипритом. По получении была обнаружена "обильная течь" в области пробок у 8 бочек, причем у двух из них были вздуты днища. А у всех 48 бочек "оказалось давление газов, что говорит о том, что указание ХИМУПРа о необходимости спуска давления в бочках перед отправкой не было выполнено" (9065).</w:t>
      </w:r>
    </w:p>
    <w:p w14:paraId="2BA96544" w14:textId="77777777" w:rsidR="00D4105E" w:rsidRPr="00E14102" w:rsidRDefault="00D4105E" w:rsidP="00E14102">
      <w:pPr>
        <w:autoSpaceDE w:val="0"/>
        <w:autoSpaceDN w:val="0"/>
        <w:adjustRightInd w:val="0"/>
        <w:jc w:val="both"/>
        <w:rPr>
          <w:color w:val="000000" w:themeColor="text1"/>
          <w:sz w:val="16"/>
          <w:szCs w:val="16"/>
        </w:rPr>
      </w:pPr>
    </w:p>
    <w:p w14:paraId="1C9EAE6F" w14:textId="77777777" w:rsidR="00734028" w:rsidRPr="00E14102" w:rsidRDefault="00734028"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E968BCE" w14:textId="77777777" w:rsidR="00734028" w:rsidRPr="00E14102" w:rsidRDefault="00734028" w:rsidP="00E14102">
      <w:pPr>
        <w:autoSpaceDE w:val="0"/>
        <w:autoSpaceDN w:val="0"/>
        <w:adjustRightInd w:val="0"/>
        <w:jc w:val="both"/>
        <w:rPr>
          <w:iCs/>
          <w:color w:val="000000" w:themeColor="text1"/>
          <w:sz w:val="16"/>
          <w:szCs w:val="16"/>
        </w:rPr>
      </w:pPr>
    </w:p>
    <w:p w14:paraId="407E0925" w14:textId="77777777" w:rsidR="00734028" w:rsidRPr="00E14102" w:rsidRDefault="00734028" w:rsidP="00E14102">
      <w:pPr>
        <w:jc w:val="both"/>
        <w:rPr>
          <w:color w:val="000000" w:themeColor="text1"/>
          <w:sz w:val="16"/>
          <w:szCs w:val="16"/>
        </w:rPr>
      </w:pPr>
      <w:r w:rsidRPr="00E14102">
        <w:rPr>
          <w:color w:val="000000" w:themeColor="text1"/>
          <w:sz w:val="16"/>
          <w:szCs w:val="16"/>
        </w:rPr>
        <w:t>В марте 1935 г. промежуточный доклад комиссии по приемке Метро вскрыл ряд недостатков: в нарушение технического проекта на конечных станциях «Сокольники» и «Парк культуры», как теперь стала называться станция «Крымская пл.», не были сооружены поворотные пути, на большинстве станций не был построен второй выход. Отсутствие поворотных путей резко снижало пропускную способность метрополитена[52].Тоннельные работы в целом были выполнены удовлетворительно. Железобетонная муфта на стенках тоннеля, правда, не всегда имела проектную толщину 18 см, в ряде мест она достигала всего 7-10 см, что, впрочем, компенсировалось использованием более прочного бетона. Качество бетона было высоким. Правда, на Арбатском радиусе появились трещины, но по отзыву экспертов они не представляли опасности. Гидроизоляция в ряде мест оказалась недостаточно герметичной, поскольку укладывалась слишком поспешно или была повреждена при монтаже электрооборудования. В районе речек Неглинки и Ольховки вода прорвалась в тоннель. На некоторых перегонах поезда задевали тоннельные своды и перроны и проходили всего в 3 см от линии электрокабеля, поскольку при бетонировании стен тоннелей не всегда выдерживались точные параметры. Рельсы были не сварными, как обычно практиковалось в Европе, но уложены со стыками, что ускоряло их износ. Имелись недоработки и в санитарно-техническом плане: на некоторых станциях отсутствовали туалеты, не было предусмотрено снабжение служебного персонала на станциях чистой питьевой водой. Вентиляционное оборудование не было готово, значительная часть шахт замусорена строительными отходами. Оформление станций в художественном отношении местами оказалось на невысоком уровне. Давая характеристику произведенным в Советском Союзе вагонам, комиссия подвергла критике примитивную конструкцию колесных пар, рассчитанных на пробег в 50 тыс. км, тогда как зарубежные аналоги выдерживали пробег вдесятеро больший. Автоматические двери полностью закрывались, когда поезд уже находился в движении, что не соответствовало международным нормам безопасности{549}.</w:t>
      </w:r>
    </w:p>
    <w:p w14:paraId="3E31A9D5" w14:textId="77777777" w:rsidR="00734028" w:rsidRPr="00E14102" w:rsidRDefault="00734028" w:rsidP="00E14102">
      <w:pPr>
        <w:jc w:val="both"/>
        <w:rPr>
          <w:color w:val="000000" w:themeColor="text1"/>
          <w:sz w:val="16"/>
          <w:szCs w:val="16"/>
        </w:rPr>
      </w:pPr>
      <w:r w:rsidRPr="00E14102">
        <w:rPr>
          <w:color w:val="000000" w:themeColor="text1"/>
          <w:sz w:val="16"/>
          <w:szCs w:val="16"/>
        </w:rPr>
        <w:t>После того, как Метрострой предпринял ряд улучшений, комиссия пришла к заключению, что пассажирское движение можно открыть в начале мая. Недостатки гидроизоляции на большой глубине нельзя было полностью устранить, однако просочившуюся воду отводили с помощью дренажа. Оставшиеся недочеты не влияли на оценку общей готовностии могли быть исправлены позднее. Комиссия оценила качество тоннельных сооружений, рельсовых путей, эскалаторов, системы вентиляции, сигнальных устройств и техники безопасности, а также подвижного состава как в целом удовлетворительное и стоящее на уровне современной техники{550}.</w:t>
      </w:r>
    </w:p>
    <w:p w14:paraId="124D1E9B" w14:textId="77777777" w:rsidR="00734028" w:rsidRPr="00E14102" w:rsidRDefault="00734028" w:rsidP="00E14102">
      <w:pPr>
        <w:jc w:val="both"/>
        <w:rPr>
          <w:color w:val="000000" w:themeColor="text1"/>
          <w:sz w:val="16"/>
          <w:szCs w:val="16"/>
        </w:rPr>
      </w:pPr>
      <w:r w:rsidRPr="00E14102">
        <w:rPr>
          <w:color w:val="000000" w:themeColor="text1"/>
          <w:sz w:val="16"/>
          <w:szCs w:val="16"/>
        </w:rPr>
        <w:t>26 апреля 1935 г. Политбюро своим решением постановило открыть нормальное движение поездов метрополитена 15 мая и дало указание Метрострою устранить все выявленные правительственной комиссией недоделки, проложить поворотные пути на конечных станциях «Сокольники» и «Парк культуры» и обеспечить доступ ко второму эскалатору на станции «Кировская» (бывшая станция «Мясницкие ворота»). Плату за проезд на метро Политбюро установило в размере 50 копеек. Метрополитену было присвоено имя Кагановича{551}.[53] 15 мая 1935 г. в 7 часов утра в праздничной обстановке Московский метрополитен был торжественно открыт{552} (18299).</w:t>
      </w:r>
    </w:p>
    <w:p w14:paraId="339BEC10" w14:textId="77777777" w:rsidR="00734028" w:rsidRPr="00E14102" w:rsidRDefault="00734028" w:rsidP="00E14102">
      <w:pPr>
        <w:jc w:val="both"/>
        <w:rPr>
          <w:color w:val="000000" w:themeColor="text1"/>
          <w:sz w:val="16"/>
          <w:szCs w:val="16"/>
        </w:rPr>
      </w:pPr>
    </w:p>
    <w:p w14:paraId="7FBBEDC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679E3F43" w14:textId="77777777" w:rsidR="00D4105E" w:rsidRPr="00E14102" w:rsidRDefault="00D4105E" w:rsidP="00E14102">
      <w:pPr>
        <w:autoSpaceDE w:val="0"/>
        <w:autoSpaceDN w:val="0"/>
        <w:adjustRightInd w:val="0"/>
        <w:jc w:val="both"/>
        <w:rPr>
          <w:iCs/>
          <w:color w:val="000000" w:themeColor="text1"/>
          <w:sz w:val="16"/>
          <w:szCs w:val="16"/>
        </w:rPr>
      </w:pPr>
    </w:p>
    <w:p w14:paraId="3CEDE8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года под давлением немецких промышленников, не желавших терять рынок сбыта своей продукции, правительство Германии предложило Советскому Союзу новый кредит. Причём его условия были более выгодными, чем у прежних: 5% годовых вместо 6%, а также более длительный срок — 5 лет (германский кредит 1926 года — 150 млн марок на 2 года и 150 млн марок на 4 года, кредит 1931 года — на 21 месяц) (11208).</w:t>
      </w:r>
    </w:p>
    <w:p w14:paraId="0DF58839" w14:textId="77777777" w:rsidR="00D4105E" w:rsidRPr="00E14102" w:rsidRDefault="00D4105E" w:rsidP="00E14102">
      <w:pPr>
        <w:autoSpaceDE w:val="0"/>
        <w:autoSpaceDN w:val="0"/>
        <w:adjustRightInd w:val="0"/>
        <w:jc w:val="both"/>
        <w:rPr>
          <w:color w:val="000000" w:themeColor="text1"/>
          <w:sz w:val="16"/>
          <w:szCs w:val="16"/>
        </w:rPr>
      </w:pPr>
    </w:p>
    <w:p w14:paraId="1F77B9AB" w14:textId="77777777" w:rsidR="00734028" w:rsidRPr="00E14102" w:rsidRDefault="00734028" w:rsidP="00E14102">
      <w:pPr>
        <w:jc w:val="both"/>
        <w:rPr>
          <w:color w:val="000000" w:themeColor="text1"/>
          <w:sz w:val="16"/>
          <w:szCs w:val="16"/>
        </w:rPr>
      </w:pPr>
      <w:r w:rsidRPr="00E14102">
        <w:rPr>
          <w:color w:val="000000" w:themeColor="text1"/>
          <w:sz w:val="16"/>
          <w:szCs w:val="16"/>
        </w:rPr>
        <w:t>В марте 1935 года под давлением немецких промышленников, не желавших терять рынок сбыта своей продукции, правительство Германии предложило Советскому Союзу новый кредит. Причём его условия были более выгодными, чем у прежних: 5% годовых вместо 6%, а также более длительный срок -- 5 лет (германский кредит 1926 года -- 150 млн марок на 2 года и 150 млн марок на 4 года, кредит 1931 года -- на 21 месяц) [541].</w:t>
      </w:r>
    </w:p>
    <w:p w14:paraId="4F1A891F" w14:textId="77777777" w:rsidR="00734028" w:rsidRPr="00E14102" w:rsidRDefault="00734028" w:rsidP="00E14102">
      <w:pPr>
        <w:jc w:val="both"/>
        <w:rPr>
          <w:color w:val="000000" w:themeColor="text1"/>
          <w:sz w:val="16"/>
          <w:szCs w:val="16"/>
        </w:rPr>
      </w:pPr>
      <w:r w:rsidRPr="00E14102">
        <w:rPr>
          <w:color w:val="000000" w:themeColor="text1"/>
          <w:sz w:val="16"/>
          <w:szCs w:val="16"/>
        </w:rPr>
        <w:t>В результате 9 апреля 1935 года было подписано «Соглашение между правительством СССР и правительством Германии о дополнительных заказах СССР в Германии и финансировании этих заказов Германией». В соответствии с ним советское правительство получило право разместить под гарантию правительства рейха заказы германским фирмам на 200 млн марок. Эти заказы должны были представлять собой оборудование для фабрик, машины, аппараты, изделия электропромышленности, оборудование нефтяной и химической индустрии, транспортные средства, оборудование лабораторий и т.д. Сюда же входила и техническая помощь. Реально по этому кредиту СССР получил из Германии заводского оборудования и других товаров на 151,2 млн марок [542]. Поставки советских товаров в покрытие кредита должны были начаться с конца 1940 года, а закончиться в 1943 году [543]. Однако СССР так и не приступил к его погашению, а после 22 июня 1941 года вопрос о советских поставках отпал сам собой. Таким образом, полученный в 1935 году от Гитлера кредит можно рассматривать как безвозмездную финансово-техническую помощь (18279).</w:t>
      </w:r>
    </w:p>
    <w:p w14:paraId="480B4659" w14:textId="77777777" w:rsidR="00734028" w:rsidRPr="00E14102" w:rsidRDefault="00734028" w:rsidP="00E14102">
      <w:pPr>
        <w:jc w:val="both"/>
        <w:rPr>
          <w:color w:val="000000" w:themeColor="text1"/>
          <w:sz w:val="16"/>
          <w:szCs w:val="16"/>
        </w:rPr>
      </w:pPr>
    </w:p>
    <w:p w14:paraId="7396A73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59AA001" w14:textId="77777777" w:rsidR="00D4105E" w:rsidRPr="00E14102" w:rsidRDefault="00D4105E" w:rsidP="00E14102">
      <w:pPr>
        <w:autoSpaceDE w:val="0"/>
        <w:autoSpaceDN w:val="0"/>
        <w:adjustRightInd w:val="0"/>
        <w:jc w:val="both"/>
        <w:rPr>
          <w:iCs/>
          <w:color w:val="000000" w:themeColor="text1"/>
          <w:sz w:val="16"/>
          <w:szCs w:val="16"/>
        </w:rPr>
      </w:pPr>
    </w:p>
    <w:p w14:paraId="47F946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года опытный образец л/л Консолидейтед модель 28, разработанный под руководством А.Мак-Лэддена, вышел на летные испытания. XP3Y-1 существенно отличался от других летающих лодок того времени прекрасной аэродинамикой - даже подкрыльные поплавки поднимались после взлета. Вся конструкция была цельнометаллической, лишь руль поворота обтягивался полотном. Самолет оснастили двумя новыми но тому времени моторами Пратт-Уитии R-1830-58 в 825 л.с. Хотя в ходе испытаний выявили ряд недостатков, новый гидросамолет значительно превысил требования задания и, опередив XP3D-1 фирмы "Дуглас", был принят к серийному производству под маркой PBY-1 (3457,44).</w:t>
      </w:r>
    </w:p>
    <w:p w14:paraId="41097AF1" w14:textId="77777777" w:rsidR="00D4105E" w:rsidRPr="00E14102" w:rsidRDefault="00D4105E" w:rsidP="00E14102">
      <w:pPr>
        <w:autoSpaceDE w:val="0"/>
        <w:autoSpaceDN w:val="0"/>
        <w:adjustRightInd w:val="0"/>
        <w:jc w:val="both"/>
        <w:rPr>
          <w:color w:val="000000" w:themeColor="text1"/>
          <w:sz w:val="16"/>
          <w:szCs w:val="16"/>
        </w:rPr>
      </w:pPr>
    </w:p>
    <w:p w14:paraId="23BE3A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1935 г. в Берлин отправились два члена британского кабинета - министр иностранных дел Джон Саймон и Иден. В их задачи входило прозондировать возможности компромисса с Германией в вопросах ревизии версальских установлений. Нацистское руководство использовало пребывание британских политиков в Берлине, чтобы продемонстрировать им возможности германской авиации (3871).</w:t>
      </w:r>
    </w:p>
    <w:p w14:paraId="53C50D83" w14:textId="77777777" w:rsidR="00D4105E" w:rsidRPr="00E14102" w:rsidRDefault="00D4105E" w:rsidP="00E14102">
      <w:pPr>
        <w:autoSpaceDE w:val="0"/>
        <w:autoSpaceDN w:val="0"/>
        <w:adjustRightInd w:val="0"/>
        <w:jc w:val="both"/>
        <w:rPr>
          <w:color w:val="000000" w:themeColor="text1"/>
          <w:sz w:val="16"/>
          <w:szCs w:val="16"/>
        </w:rPr>
      </w:pPr>
    </w:p>
    <w:p w14:paraId="49A434C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B8A90FD" w14:textId="77777777" w:rsidR="00D4105E" w:rsidRPr="00E14102" w:rsidRDefault="00D4105E" w:rsidP="00E14102">
      <w:pPr>
        <w:autoSpaceDE w:val="0"/>
        <w:autoSpaceDN w:val="0"/>
        <w:adjustRightInd w:val="0"/>
        <w:jc w:val="both"/>
        <w:rPr>
          <w:iCs/>
          <w:color w:val="000000" w:themeColor="text1"/>
          <w:sz w:val="16"/>
          <w:szCs w:val="16"/>
        </w:rPr>
      </w:pPr>
    </w:p>
    <w:p w14:paraId="4DE8FE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марте-апреле 1935 в НИИ ВВС на И-5 испытывался прибор для постановки дымовых завес - ДАП-Х-1, спроектированный НИХИ РККА. Не пошел (191,28).</w:t>
      </w:r>
    </w:p>
    <w:p w14:paraId="7E7FC2C2" w14:textId="77777777" w:rsidR="00D4105E" w:rsidRPr="00E14102" w:rsidRDefault="00D4105E" w:rsidP="00E14102">
      <w:pPr>
        <w:autoSpaceDE w:val="0"/>
        <w:autoSpaceDN w:val="0"/>
        <w:adjustRightInd w:val="0"/>
        <w:jc w:val="both"/>
        <w:rPr>
          <w:color w:val="000000" w:themeColor="text1"/>
          <w:sz w:val="16"/>
          <w:szCs w:val="16"/>
        </w:rPr>
      </w:pPr>
    </w:p>
    <w:p w14:paraId="065F93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 апреле 1935 г. в НИИ ВВС испытывался дымовой прибор ДАП-Х-1, разработанный в НИХИ, но испытаний он не выдержал. А в октябре - ноябре того же года на И-5 опробовали английский прибор для выполнения надписей в небе. Он заряжался смесями, дававшими след белого, оранжевого, красного или зелёного цветов. Прибор ставился над нижним крылом слева. В полёте в его бак ёмкостью 50 л помпа-ветрянка нагнетала воздух. Добавочное давление создавалось при нагревании смеси. Эту штуковину собирались использовать на парадах и воздушных праздниках, рисуя буквы. След держался в воздухе несколько минут. Но сочли, что прибор громоздок и неудобен, сложен в обращении и имеет много других недостатков (11997).</w:t>
      </w:r>
    </w:p>
    <w:p w14:paraId="1BA49560" w14:textId="77777777" w:rsidR="00D4105E" w:rsidRPr="00E14102" w:rsidRDefault="00D4105E" w:rsidP="00E14102">
      <w:pPr>
        <w:autoSpaceDE w:val="0"/>
        <w:autoSpaceDN w:val="0"/>
        <w:adjustRightInd w:val="0"/>
        <w:jc w:val="both"/>
        <w:rPr>
          <w:color w:val="000000" w:themeColor="text1"/>
          <w:sz w:val="16"/>
          <w:szCs w:val="16"/>
        </w:rPr>
      </w:pPr>
    </w:p>
    <w:p w14:paraId="140347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марте-июне 1935 г. М-34РН испытывали на самолетах ТБ-3 и ДВА. В целом моторы работали прилич</w:t>
      </w:r>
      <w:r w:rsidRPr="00E14102">
        <w:rPr>
          <w:color w:val="000000" w:themeColor="text1"/>
          <w:sz w:val="16"/>
          <w:szCs w:val="16"/>
        </w:rPr>
        <w:softHyphen/>
        <w:t>но, а претензии были связаны толь</w:t>
      </w:r>
      <w:r w:rsidRPr="00E14102">
        <w:rPr>
          <w:color w:val="000000" w:themeColor="text1"/>
          <w:sz w:val="16"/>
          <w:szCs w:val="16"/>
        </w:rPr>
        <w:softHyphen/>
        <w:t>ко с нагнетателями. На высоте при отрицательной температуре в нагне</w:t>
      </w:r>
      <w:r w:rsidRPr="00E14102">
        <w:rPr>
          <w:color w:val="000000" w:themeColor="text1"/>
          <w:sz w:val="16"/>
          <w:szCs w:val="16"/>
        </w:rPr>
        <w:softHyphen/>
        <w:t>тателе появлялся конденсат. Из-за этого на полный газ переходили с тряской и дымом. Потом еще обна</w:t>
      </w:r>
      <w:r w:rsidRPr="00E14102">
        <w:rPr>
          <w:color w:val="000000" w:themeColor="text1"/>
          <w:sz w:val="16"/>
          <w:szCs w:val="16"/>
        </w:rPr>
        <w:softHyphen/>
        <w:t>ружили подсос масла в нагнетатель через некачественное уплотнение (11848).</w:t>
      </w:r>
    </w:p>
    <w:p w14:paraId="5CE4CD0B" w14:textId="77777777" w:rsidR="00D4105E" w:rsidRPr="00E14102" w:rsidRDefault="00D4105E" w:rsidP="00E14102">
      <w:pPr>
        <w:autoSpaceDE w:val="0"/>
        <w:autoSpaceDN w:val="0"/>
        <w:adjustRightInd w:val="0"/>
        <w:jc w:val="both"/>
        <w:rPr>
          <w:color w:val="000000" w:themeColor="text1"/>
          <w:sz w:val="16"/>
          <w:szCs w:val="16"/>
        </w:rPr>
      </w:pPr>
    </w:p>
    <w:p w14:paraId="509B0A9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6F23CC3" w14:textId="77777777" w:rsidR="00D4105E" w:rsidRPr="00E14102" w:rsidRDefault="00D4105E" w:rsidP="00E14102">
      <w:pPr>
        <w:autoSpaceDE w:val="0"/>
        <w:autoSpaceDN w:val="0"/>
        <w:adjustRightInd w:val="0"/>
        <w:jc w:val="both"/>
        <w:rPr>
          <w:iCs/>
          <w:color w:val="000000" w:themeColor="text1"/>
          <w:sz w:val="16"/>
          <w:szCs w:val="16"/>
        </w:rPr>
      </w:pPr>
    </w:p>
    <w:p w14:paraId="7611F2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марте-апреле 1935 прошел полигонные испытания на БТ-5 деревянный 7-метровый танковый мост НИИИТ РККА и Александрова весом 1050 кг. Ставился без выхода экипажа. Мог использоваться до 5 раз (3881,29).</w:t>
      </w:r>
    </w:p>
    <w:p w14:paraId="29A387D6" w14:textId="77777777" w:rsidR="00D4105E" w:rsidRPr="00E14102" w:rsidRDefault="00D4105E" w:rsidP="00E14102">
      <w:pPr>
        <w:autoSpaceDE w:val="0"/>
        <w:autoSpaceDN w:val="0"/>
        <w:adjustRightInd w:val="0"/>
        <w:jc w:val="both"/>
        <w:rPr>
          <w:color w:val="000000" w:themeColor="text1"/>
          <w:sz w:val="16"/>
          <w:szCs w:val="16"/>
        </w:rPr>
      </w:pPr>
    </w:p>
    <w:p w14:paraId="019EF1F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9B44BD2" w14:textId="77777777" w:rsidR="00D4105E" w:rsidRPr="00E14102" w:rsidRDefault="00D4105E" w:rsidP="00E14102">
      <w:pPr>
        <w:autoSpaceDE w:val="0"/>
        <w:autoSpaceDN w:val="0"/>
        <w:adjustRightInd w:val="0"/>
        <w:jc w:val="both"/>
        <w:rPr>
          <w:iCs/>
          <w:color w:val="000000" w:themeColor="text1"/>
          <w:sz w:val="16"/>
          <w:szCs w:val="16"/>
        </w:rPr>
      </w:pPr>
    </w:p>
    <w:p w14:paraId="24CD83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марте и апреле 1935 проходило учебное движение поездов Московского Метрополитена. В это время в метро допускались только экскурсанты, но вскоре по предприятиям Москвы стали выдавать билеты - пропуски на разовую поездку. Поезда шли переполненными, люди восторгались увиденным (11614).</w:t>
      </w:r>
    </w:p>
    <w:p w14:paraId="7B401366" w14:textId="77777777" w:rsidR="00D4105E" w:rsidRPr="00E14102" w:rsidRDefault="00D4105E" w:rsidP="00E14102">
      <w:pPr>
        <w:autoSpaceDE w:val="0"/>
        <w:autoSpaceDN w:val="0"/>
        <w:adjustRightInd w:val="0"/>
        <w:jc w:val="both"/>
        <w:rPr>
          <w:color w:val="000000" w:themeColor="text1"/>
          <w:sz w:val="16"/>
          <w:szCs w:val="16"/>
        </w:rPr>
      </w:pPr>
    </w:p>
    <w:p w14:paraId="643534AD" w14:textId="77777777" w:rsidR="007049F3"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832BE2A" w14:textId="77777777" w:rsidR="007049F3" w:rsidRPr="00E14102" w:rsidRDefault="007049F3" w:rsidP="00E14102">
      <w:pPr>
        <w:autoSpaceDE w:val="0"/>
        <w:autoSpaceDN w:val="0"/>
        <w:adjustRightInd w:val="0"/>
        <w:jc w:val="both"/>
        <w:rPr>
          <w:iCs/>
          <w:color w:val="000000" w:themeColor="text1"/>
          <w:sz w:val="16"/>
          <w:szCs w:val="16"/>
        </w:rPr>
      </w:pPr>
    </w:p>
    <w:p w14:paraId="7DB651FB" w14:textId="77777777" w:rsidR="007049F3" w:rsidRPr="00E14102" w:rsidRDefault="007049F3" w:rsidP="00E14102">
      <w:pPr>
        <w:shd w:val="clear" w:color="auto" w:fill="FFFFFF"/>
        <w:jc w:val="both"/>
        <w:rPr>
          <w:color w:val="000000" w:themeColor="text1"/>
          <w:sz w:val="16"/>
          <w:szCs w:val="16"/>
        </w:rPr>
      </w:pPr>
      <w:r w:rsidRPr="00E14102">
        <w:rPr>
          <w:color w:val="000000" w:themeColor="text1"/>
          <w:sz w:val="16"/>
          <w:szCs w:val="16"/>
        </w:rPr>
        <w:t>К апрелю 1935 года был изготовлен истребитель И-18. В нем, для снижения аэродинамического сопротивления, отказались от обычных радиаторов. Маслобак с поверхностным охлаждением закрепили снизу моторамы, а для охлаждения двигателя применили пароиспарительную систему с использованием поверхности крыла за лонжероном под паросекции, выполненные из нержавеющей стали. Элементы конструкции И-18 были аналогичны истребителю И-17 (ЦКБ-19), однако механизм уборки шасси был масляно-пневматический, а кабина пилота сдвинута на 300 мм назад. Вооружение состояло из ШКАС-2 (так первоначально обозначался 12,7-мм пулемет, затем пушка ШВАК), стреляющего через полую ось редуктора и двух пулеметов ШКАС в крыле (15223).</w:t>
      </w:r>
    </w:p>
    <w:p w14:paraId="56740CA2" w14:textId="77777777" w:rsidR="007049F3" w:rsidRPr="00E14102" w:rsidRDefault="007049F3" w:rsidP="00E14102">
      <w:pPr>
        <w:shd w:val="clear" w:color="auto" w:fill="FFFFFF"/>
        <w:jc w:val="both"/>
        <w:rPr>
          <w:color w:val="000000" w:themeColor="text1"/>
          <w:sz w:val="16"/>
          <w:szCs w:val="16"/>
        </w:rPr>
      </w:pPr>
    </w:p>
    <w:p w14:paraId="3D1585D5" w14:textId="77777777" w:rsidR="00734028" w:rsidRPr="00E14102" w:rsidRDefault="00734028"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DBC1431" w14:textId="77777777" w:rsidR="00734028" w:rsidRPr="00E14102" w:rsidRDefault="00734028" w:rsidP="00E14102">
      <w:pPr>
        <w:autoSpaceDE w:val="0"/>
        <w:autoSpaceDN w:val="0"/>
        <w:adjustRightInd w:val="0"/>
        <w:jc w:val="both"/>
        <w:rPr>
          <w:iCs/>
          <w:color w:val="000000" w:themeColor="text1"/>
          <w:sz w:val="16"/>
          <w:szCs w:val="16"/>
        </w:rPr>
      </w:pPr>
    </w:p>
    <w:p w14:paraId="335F9782" w14:textId="77777777" w:rsidR="00734028" w:rsidRPr="00E14102" w:rsidRDefault="00734028" w:rsidP="00E14102">
      <w:pPr>
        <w:jc w:val="both"/>
        <w:rPr>
          <w:color w:val="000000" w:themeColor="text1"/>
          <w:sz w:val="16"/>
          <w:szCs w:val="16"/>
        </w:rPr>
      </w:pPr>
      <w:r w:rsidRPr="00E14102">
        <w:rPr>
          <w:color w:val="000000" w:themeColor="text1"/>
          <w:sz w:val="16"/>
          <w:szCs w:val="16"/>
        </w:rPr>
        <w:t>К апрелю 1935 г. новая система радиовооружения флота была представлена заместителю наркома обороны М.Н. Тухачевскому и одобрена им. Однако принятие программы строительства «большого флота» потребовало внесения корректив и в систему радиовооружения, что и было сделано к концу 1936 г. специалистами НИМИС во главе с А.И. Бергом (18297).</w:t>
      </w:r>
    </w:p>
    <w:p w14:paraId="75442BDE" w14:textId="77777777" w:rsidR="00734028" w:rsidRPr="00E14102" w:rsidRDefault="00734028" w:rsidP="00E14102">
      <w:pPr>
        <w:jc w:val="both"/>
        <w:rPr>
          <w:color w:val="000000" w:themeColor="text1"/>
          <w:sz w:val="16"/>
          <w:szCs w:val="16"/>
        </w:rPr>
      </w:pPr>
    </w:p>
    <w:p w14:paraId="5353D51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222AD7E" w14:textId="77777777" w:rsidR="00D4105E" w:rsidRPr="00E14102" w:rsidRDefault="00D4105E" w:rsidP="00E14102">
      <w:pPr>
        <w:autoSpaceDE w:val="0"/>
        <w:autoSpaceDN w:val="0"/>
        <w:adjustRightInd w:val="0"/>
        <w:jc w:val="both"/>
        <w:rPr>
          <w:iCs/>
          <w:color w:val="000000" w:themeColor="text1"/>
          <w:sz w:val="16"/>
          <w:szCs w:val="16"/>
        </w:rPr>
      </w:pPr>
    </w:p>
    <w:p w14:paraId="1766A8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1935 постановлением Правительства были прекращены работы над АНТ-33, как устаревшей машиной (514).</w:t>
      </w:r>
    </w:p>
    <w:p w14:paraId="58541AB1" w14:textId="77777777" w:rsidR="00D4105E" w:rsidRPr="00E14102" w:rsidRDefault="00D4105E" w:rsidP="00E14102">
      <w:pPr>
        <w:autoSpaceDE w:val="0"/>
        <w:autoSpaceDN w:val="0"/>
        <w:adjustRightInd w:val="0"/>
        <w:jc w:val="both"/>
        <w:rPr>
          <w:color w:val="000000" w:themeColor="text1"/>
          <w:sz w:val="16"/>
          <w:szCs w:val="16"/>
        </w:rPr>
      </w:pPr>
    </w:p>
    <w:p w14:paraId="2D90EE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1935 Нач. самолетного отдела ГУАП Зорин писал письмо N 244/1589с Нач. отдела Инотехпомощи Соловьеву (копия: Нач. бюро внешних заказов):</w:t>
      </w:r>
    </w:p>
    <w:p w14:paraId="2C162F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составленной Вами разнарядке моторов К-9 (СЗ от 5 февраля 1935), первые три К-9 предназначены заводу 29 - 2 шт. и 1 - ЦИАМу.</w:t>
      </w:r>
    </w:p>
    <w:p w14:paraId="6A3C0F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необходимостью обеспечить выпуск СР конструкции ХАИ в правительством установленный срок, прошу один из моторов первой партии К-9, предназначенный заводу 29, перераспределить ХАИ." (2343,76).</w:t>
      </w:r>
    </w:p>
    <w:p w14:paraId="1D3B92C0" w14:textId="77777777" w:rsidR="00D4105E" w:rsidRPr="00E14102" w:rsidRDefault="00D4105E" w:rsidP="00E14102">
      <w:pPr>
        <w:autoSpaceDE w:val="0"/>
        <w:autoSpaceDN w:val="0"/>
        <w:adjustRightInd w:val="0"/>
        <w:jc w:val="both"/>
        <w:rPr>
          <w:color w:val="000000" w:themeColor="text1"/>
          <w:sz w:val="16"/>
          <w:szCs w:val="16"/>
        </w:rPr>
      </w:pPr>
    </w:p>
    <w:p w14:paraId="7BCF152F" w14:textId="77777777" w:rsidR="00B364A4" w:rsidRPr="00E14102" w:rsidRDefault="00B364A4" w:rsidP="00E14102">
      <w:pPr>
        <w:pStyle w:val="2540"/>
        <w:shd w:val="clear" w:color="auto" w:fill="auto"/>
        <w:spacing w:line="240" w:lineRule="auto"/>
        <w:ind w:firstLine="0"/>
        <w:jc w:val="both"/>
        <w:rPr>
          <w:rStyle w:val="381"/>
          <w:rFonts w:ascii="Times New Roman" w:hAnsi="Times New Roman" w:cs="Times New Roman"/>
          <w:color w:val="0070C0"/>
          <w:sz w:val="16"/>
          <w:szCs w:val="16"/>
          <w:lang w:val="ru-RU"/>
        </w:rPr>
      </w:pPr>
      <w:r w:rsidRPr="00E14102">
        <w:rPr>
          <w:rStyle w:val="174"/>
          <w:rFonts w:ascii="Times New Roman" w:hAnsi="Times New Roman" w:cs="Times New Roman"/>
          <w:color w:val="0070C0"/>
          <w:sz w:val="16"/>
          <w:szCs w:val="16"/>
        </w:rPr>
        <w:t>1 апреля 1935 г. Началь</w:t>
      </w:r>
      <w:r w:rsidRPr="00E14102">
        <w:rPr>
          <w:rStyle w:val="174"/>
          <w:rFonts w:ascii="Times New Roman" w:hAnsi="Times New Roman" w:cs="Times New Roman"/>
          <w:color w:val="0070C0"/>
          <w:sz w:val="16"/>
          <w:szCs w:val="16"/>
        </w:rPr>
        <w:softHyphen/>
        <w:t>ник самолетного отдела ГУАП Зорин напра</w:t>
      </w:r>
      <w:r w:rsidRPr="00E14102">
        <w:rPr>
          <w:rStyle w:val="174"/>
          <w:rFonts w:ascii="Times New Roman" w:hAnsi="Times New Roman" w:cs="Times New Roman"/>
          <w:color w:val="0070C0"/>
          <w:sz w:val="16"/>
          <w:szCs w:val="16"/>
        </w:rPr>
        <w:softHyphen/>
        <w:t>вил Начальнику отдела Инотехпомощи</w:t>
      </w:r>
      <w:r w:rsidRPr="00E14102">
        <w:rPr>
          <w:rStyle w:val="175"/>
          <w:rFonts w:ascii="Times New Roman" w:hAnsi="Times New Roman" w:cs="Times New Roman"/>
          <w:color w:val="0070C0"/>
          <w:sz w:val="16"/>
          <w:szCs w:val="16"/>
        </w:rPr>
        <w:t xml:space="preserve"> </w:t>
      </w:r>
      <w:r w:rsidRPr="00E14102">
        <w:rPr>
          <w:rStyle w:val="174"/>
          <w:rFonts w:ascii="Times New Roman" w:hAnsi="Times New Roman" w:cs="Times New Roman"/>
          <w:color w:val="0070C0"/>
          <w:sz w:val="16"/>
          <w:szCs w:val="16"/>
        </w:rPr>
        <w:t>Соловьеву письмо № 244/1589с:</w:t>
      </w:r>
      <w:r w:rsidRPr="00E14102">
        <w:rPr>
          <w:rStyle w:val="SegoeUI7pt"/>
          <w:rFonts w:ascii="Times New Roman" w:hAnsi="Times New Roman" w:cs="Times New Roman"/>
          <w:color w:val="0070C0"/>
          <w:sz w:val="16"/>
          <w:szCs w:val="16"/>
        </w:rPr>
        <w:t xml:space="preserve"> </w:t>
      </w:r>
      <w:r w:rsidRPr="00E14102">
        <w:rPr>
          <w:rStyle w:val="SegoeUI7pt"/>
          <w:rFonts w:ascii="Times New Roman" w:hAnsi="Times New Roman" w:cs="Times New Roman"/>
          <w:i w:val="0"/>
          <w:iCs w:val="0"/>
          <w:color w:val="0070C0"/>
          <w:sz w:val="16"/>
          <w:szCs w:val="16"/>
        </w:rPr>
        <w:t>«В состав</w:t>
      </w:r>
      <w:r w:rsidRPr="00E14102">
        <w:rPr>
          <w:rStyle w:val="SegoeUI7pt"/>
          <w:rFonts w:ascii="Times New Roman" w:hAnsi="Times New Roman" w:cs="Times New Roman"/>
          <w:i w:val="0"/>
          <w:iCs w:val="0"/>
          <w:color w:val="0070C0"/>
          <w:sz w:val="16"/>
          <w:szCs w:val="16"/>
        </w:rPr>
        <w:softHyphen/>
        <w:t>ленной Вами разнарядке моторов К-9 (СЗ от 5 февраля 1935), первые три К-9 предна</w:t>
      </w:r>
      <w:r w:rsidRPr="00E14102">
        <w:rPr>
          <w:rStyle w:val="SegoeUI7pt"/>
          <w:rFonts w:ascii="Times New Roman" w:hAnsi="Times New Roman" w:cs="Times New Roman"/>
          <w:i w:val="0"/>
          <w:iCs w:val="0"/>
          <w:color w:val="0070C0"/>
          <w:sz w:val="16"/>
          <w:szCs w:val="16"/>
        </w:rPr>
        <w:softHyphen/>
        <w:t>значены: заводу 29 - 2 шт. и 1 - ЦИАМу. В связи с необходимостью обеспечить выпуск</w:t>
      </w:r>
      <w:r w:rsidRPr="00E14102">
        <w:rPr>
          <w:rStyle w:val="SegoeUI7pt"/>
          <w:rFonts w:ascii="Times New Roman" w:hAnsi="Times New Roman" w:cs="Times New Roman"/>
          <w:color w:val="0070C0"/>
          <w:sz w:val="16"/>
          <w:szCs w:val="16"/>
          <w:lang w:val="ru-RU"/>
        </w:rPr>
        <w:t xml:space="preserve"> </w:t>
      </w:r>
      <w:r w:rsidRPr="00E14102">
        <w:rPr>
          <w:rStyle w:val="381"/>
          <w:rFonts w:ascii="Times New Roman" w:hAnsi="Times New Roman" w:cs="Times New Roman"/>
          <w:color w:val="0070C0"/>
          <w:sz w:val="16"/>
          <w:szCs w:val="16"/>
        </w:rPr>
        <w:t>СР конструкции ХАИ в правительством установленный срок, прошу один из моторов К-9 первой партии, предназначенной заводу 29, перераспределить ХАИ.»</w:t>
      </w:r>
      <w:r w:rsidRPr="00E14102">
        <w:rPr>
          <w:rStyle w:val="381"/>
          <w:rFonts w:ascii="Times New Roman" w:hAnsi="Times New Roman" w:cs="Times New Roman"/>
          <w:color w:val="0070C0"/>
          <w:sz w:val="16"/>
          <w:szCs w:val="16"/>
          <w:lang w:val="ru-RU"/>
        </w:rPr>
        <w:t xml:space="preserve"> (19898).</w:t>
      </w:r>
    </w:p>
    <w:p w14:paraId="526CAEF9" w14:textId="77777777" w:rsidR="00B364A4" w:rsidRPr="00E14102" w:rsidRDefault="00B364A4" w:rsidP="00E14102">
      <w:pPr>
        <w:pStyle w:val="2540"/>
        <w:shd w:val="clear" w:color="auto" w:fill="auto"/>
        <w:spacing w:line="240" w:lineRule="auto"/>
        <w:ind w:firstLine="0"/>
        <w:jc w:val="both"/>
        <w:rPr>
          <w:rFonts w:ascii="Times New Roman" w:hAnsi="Times New Roman" w:cs="Times New Roman"/>
          <w:color w:val="0070C0"/>
          <w:sz w:val="16"/>
          <w:szCs w:val="16"/>
        </w:rPr>
      </w:pPr>
    </w:p>
    <w:p w14:paraId="1179843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1 апреля по 20 декабря 1935 проводились изыскания прозрачных материалов для козырьков и кабин самолетов (6687).</w:t>
      </w:r>
    </w:p>
    <w:p w14:paraId="7DD1780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67F7C7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лакокрасочной лаборатории 6-го отдела Краснопольский</w:t>
      </w:r>
    </w:p>
    <w:p w14:paraId="27C02E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работы</w:t>
      </w:r>
    </w:p>
    <w:p w14:paraId="12C5769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Изучение и обследование исследовательских работ, проводимых в разных организациях Союза по изысканию новых материалов для козырьков и кабин самолетов и усовершенствованию применяемого в настоящее время целлулоида, который не отвечает техническим требованиям вследствие горючести, нестойкости к свету и низким температурам.</w:t>
      </w:r>
    </w:p>
    <w:p w14:paraId="3C63434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7185B5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Считать возможным принять кристалит на гос. испытания по получении такового на полузаводской установке.</w:t>
      </w:r>
    </w:p>
    <w:p w14:paraId="0C744DE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Провести в 1936 году в лаборатории пластмасс МХТИ им. Менделеева работу по получению прозрачных материалов из хлорвиниловых смол, форсируя одновременно работу по изысканию более высокого качества целлона (6687).</w:t>
      </w:r>
    </w:p>
    <w:p w14:paraId="64DD6D1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2E32B485" w14:textId="77777777" w:rsidR="00B364A4" w:rsidRPr="00E14102" w:rsidRDefault="00B364A4" w:rsidP="00E14102">
      <w:pPr>
        <w:jc w:val="both"/>
        <w:rPr>
          <w:color w:val="0070C0"/>
          <w:sz w:val="16"/>
          <w:szCs w:val="16"/>
        </w:rPr>
      </w:pPr>
      <w:r w:rsidRPr="00E14102">
        <w:rPr>
          <w:color w:val="0070C0"/>
          <w:sz w:val="16"/>
          <w:szCs w:val="16"/>
        </w:rPr>
        <w:t>1 апреля 1935 г. в 19.00 автоматический стра</w:t>
      </w:r>
      <w:r w:rsidRPr="00E14102">
        <w:rPr>
          <w:color w:val="0070C0"/>
          <w:sz w:val="16"/>
          <w:szCs w:val="16"/>
        </w:rPr>
        <w:softHyphen/>
        <w:t>тостат (автостратостат) впервые поднялся в небо. В течение 55 минут за ним следили в теодолиты, и час два приёмника принимали его сигналы. Вся аппаратура автостратостата, за исключе</w:t>
      </w:r>
      <w:r w:rsidRPr="00E14102">
        <w:rPr>
          <w:color w:val="0070C0"/>
          <w:sz w:val="16"/>
          <w:szCs w:val="16"/>
        </w:rPr>
        <w:softHyphen/>
        <w:t>нием часового механизма, остановившегося на высоте 4 км, работала бесперебойно. На высоте 13600 м один из шаров лопнул, и автостратостат стал спускаться. 2 апреля станцию вместе с че</w:t>
      </w:r>
      <w:r w:rsidRPr="00E14102">
        <w:rPr>
          <w:color w:val="0070C0"/>
          <w:sz w:val="16"/>
          <w:szCs w:val="16"/>
        </w:rPr>
        <w:softHyphen/>
        <w:t>тырьмя шарами нашли целой в Волховском рай</w:t>
      </w:r>
      <w:r w:rsidRPr="00E14102">
        <w:rPr>
          <w:color w:val="0070C0"/>
          <w:sz w:val="16"/>
          <w:szCs w:val="16"/>
        </w:rPr>
        <w:softHyphen/>
        <w:t>оне в 2 км от ст. Пупышево Кировской ж.д. и на следующий день привезли в Аэрологический ин</w:t>
      </w:r>
      <w:r w:rsidRPr="00E14102">
        <w:rPr>
          <w:color w:val="0070C0"/>
          <w:sz w:val="16"/>
          <w:szCs w:val="16"/>
        </w:rPr>
        <w:softHyphen/>
        <w:t>ститут (20120).</w:t>
      </w:r>
    </w:p>
    <w:p w14:paraId="6A442363" w14:textId="77777777" w:rsidR="00B364A4" w:rsidRPr="00E14102" w:rsidRDefault="00B364A4" w:rsidP="00E14102">
      <w:pPr>
        <w:jc w:val="both"/>
        <w:rPr>
          <w:color w:val="0070C0"/>
          <w:sz w:val="16"/>
          <w:szCs w:val="16"/>
        </w:rPr>
      </w:pPr>
    </w:p>
    <w:p w14:paraId="530E7B55" w14:textId="77777777" w:rsidR="00B364A4" w:rsidRPr="00E14102" w:rsidRDefault="00B364A4" w:rsidP="00E14102">
      <w:pPr>
        <w:jc w:val="both"/>
        <w:rPr>
          <w:color w:val="0070C0"/>
          <w:sz w:val="16"/>
          <w:szCs w:val="16"/>
        </w:rPr>
      </w:pPr>
      <w:r w:rsidRPr="00E14102">
        <w:rPr>
          <w:color w:val="0070C0"/>
          <w:sz w:val="16"/>
          <w:szCs w:val="16"/>
        </w:rPr>
        <w:t>1 апреля 1935 г. подготовили приказ о полёте на стратостате «СССР-1 бис». Предстоящий по</w:t>
      </w:r>
      <w:r w:rsidRPr="00E14102">
        <w:rPr>
          <w:color w:val="0070C0"/>
          <w:sz w:val="16"/>
          <w:szCs w:val="16"/>
        </w:rPr>
        <w:softHyphen/>
        <w:t>лёт не преследовал достижения рекордных высот, а предназначался для продолжения программы исследований космических лучей, начатой полё</w:t>
      </w:r>
      <w:r w:rsidRPr="00E14102">
        <w:rPr>
          <w:color w:val="0070C0"/>
          <w:sz w:val="16"/>
          <w:szCs w:val="16"/>
        </w:rPr>
        <w:softHyphen/>
        <w:t>тами «СССР-1» и «Осоавиахим-1», поэтому пото</w:t>
      </w:r>
      <w:r w:rsidRPr="00E14102">
        <w:rPr>
          <w:color w:val="0070C0"/>
          <w:sz w:val="16"/>
          <w:szCs w:val="16"/>
        </w:rPr>
        <w:softHyphen/>
        <w:t>лок подъёма ограничивался высотой 17 000 м.</w:t>
      </w:r>
    </w:p>
    <w:p w14:paraId="6D9E5B12" w14:textId="77777777" w:rsidR="00B364A4" w:rsidRPr="00E14102" w:rsidRDefault="00B364A4" w:rsidP="00E14102">
      <w:pPr>
        <w:jc w:val="both"/>
        <w:rPr>
          <w:color w:val="0070C0"/>
          <w:sz w:val="16"/>
          <w:szCs w:val="16"/>
        </w:rPr>
      </w:pPr>
      <w:r w:rsidRPr="00E14102">
        <w:rPr>
          <w:color w:val="0070C0"/>
          <w:sz w:val="16"/>
          <w:szCs w:val="16"/>
        </w:rPr>
        <w:t>Своё название стратостат получил потому, что он использовал оболочку и гондолу «СССР-1». Вместе с тем, его оборудовали гон</w:t>
      </w:r>
      <w:r w:rsidRPr="00E14102">
        <w:rPr>
          <w:color w:val="0070C0"/>
          <w:sz w:val="16"/>
          <w:szCs w:val="16"/>
        </w:rPr>
        <w:softHyphen/>
        <w:t>дольным (забортным) парашютом диаметром 34 м и площадью до 1000 м2, разработанным ин</w:t>
      </w:r>
      <w:r w:rsidRPr="00E14102">
        <w:rPr>
          <w:color w:val="0070C0"/>
          <w:sz w:val="16"/>
          <w:szCs w:val="16"/>
        </w:rPr>
        <w:softHyphen/>
        <w:t>женерами М.А. Савицким и И.Л. Глушковым. Та</w:t>
      </w:r>
      <w:r w:rsidRPr="00E14102">
        <w:rPr>
          <w:color w:val="0070C0"/>
          <w:sz w:val="16"/>
          <w:szCs w:val="16"/>
        </w:rPr>
        <w:softHyphen/>
        <w:t>кой парашют включался в комплект стратостата впервые в мировой практики. С помощью него гондола могла в аварийной ситуации спуститься, отделившись от оболочки стратостата, тогда как гондольный парашют на «FRNS» Пиккара лишь давал стратонавтам время, чтобы выброситься с индивидуальными парашютами.</w:t>
      </w:r>
    </w:p>
    <w:p w14:paraId="6F18B0A8" w14:textId="77777777" w:rsidR="00B364A4" w:rsidRPr="00E14102" w:rsidRDefault="00B364A4" w:rsidP="00E14102">
      <w:pPr>
        <w:jc w:val="both"/>
        <w:rPr>
          <w:color w:val="0070C0"/>
          <w:sz w:val="16"/>
          <w:szCs w:val="16"/>
        </w:rPr>
      </w:pPr>
      <w:r w:rsidRPr="00E14102">
        <w:rPr>
          <w:color w:val="0070C0"/>
          <w:sz w:val="16"/>
          <w:szCs w:val="16"/>
        </w:rPr>
        <w:t>Программа работ физика А.Б. Вериго преду</w:t>
      </w:r>
      <w:r w:rsidRPr="00E14102">
        <w:rPr>
          <w:color w:val="0070C0"/>
          <w:sz w:val="16"/>
          <w:szCs w:val="16"/>
        </w:rPr>
        <w:softHyphen/>
        <w:t>сматривала: 1) определение величины интенсив</w:t>
      </w:r>
      <w:r w:rsidRPr="00E14102">
        <w:rPr>
          <w:color w:val="0070C0"/>
          <w:sz w:val="16"/>
          <w:szCs w:val="16"/>
        </w:rPr>
        <w:softHyphen/>
        <w:t>ности космических лучей последовательно на ряде высот во время подъёма, пребывания на по</w:t>
      </w:r>
      <w:r w:rsidRPr="00E14102">
        <w:rPr>
          <w:color w:val="0070C0"/>
          <w:sz w:val="16"/>
          <w:szCs w:val="16"/>
        </w:rPr>
        <w:softHyphen/>
        <w:t>толке и при спуске; 2) определение поглощатель- ной способности космических лучей как в атмос</w:t>
      </w:r>
      <w:r w:rsidRPr="00E14102">
        <w:rPr>
          <w:color w:val="0070C0"/>
          <w:sz w:val="16"/>
          <w:szCs w:val="16"/>
        </w:rPr>
        <w:softHyphen/>
        <w:t>ферном воздухе, так и в специальной свинцовой броне, внутри которой помещался измеритель</w:t>
      </w:r>
      <w:r w:rsidRPr="00E14102">
        <w:rPr>
          <w:color w:val="0070C0"/>
          <w:sz w:val="16"/>
          <w:szCs w:val="16"/>
        </w:rPr>
        <w:softHyphen/>
        <w:t>ный прибор; 3) определение возможности влия</w:t>
      </w:r>
      <w:r w:rsidRPr="00E14102">
        <w:rPr>
          <w:color w:val="0070C0"/>
          <w:sz w:val="16"/>
          <w:szCs w:val="16"/>
        </w:rPr>
        <w:softHyphen/>
        <w:t>ния на ионизацию воздуха в приборе вторичных лучей, способных образовываться в его металли</w:t>
      </w:r>
      <w:r w:rsidRPr="00E14102">
        <w:rPr>
          <w:color w:val="0070C0"/>
          <w:sz w:val="16"/>
          <w:szCs w:val="16"/>
        </w:rPr>
        <w:softHyphen/>
        <w:t>ческих стенках; 4) исследование природы косми</w:t>
      </w:r>
      <w:r w:rsidRPr="00E14102">
        <w:rPr>
          <w:color w:val="0070C0"/>
          <w:sz w:val="16"/>
          <w:szCs w:val="16"/>
        </w:rPr>
        <w:softHyphen/>
        <w:t>ческих лучей при помощи камеры Вильсона.</w:t>
      </w:r>
    </w:p>
    <w:p w14:paraId="213E0542" w14:textId="77777777" w:rsidR="00B364A4" w:rsidRPr="00E14102" w:rsidRDefault="00B364A4" w:rsidP="00E14102">
      <w:pPr>
        <w:jc w:val="both"/>
        <w:rPr>
          <w:color w:val="0070C0"/>
          <w:sz w:val="16"/>
          <w:szCs w:val="16"/>
        </w:rPr>
      </w:pPr>
      <w:r w:rsidRPr="00E14102">
        <w:rPr>
          <w:color w:val="0070C0"/>
          <w:sz w:val="16"/>
          <w:szCs w:val="16"/>
        </w:rPr>
        <w:t>Для реализации этой программы в полёт взя</w:t>
      </w:r>
      <w:r w:rsidRPr="00E14102">
        <w:rPr>
          <w:color w:val="0070C0"/>
          <w:sz w:val="16"/>
          <w:szCs w:val="16"/>
        </w:rPr>
        <w:softHyphen/>
        <w:t>ли пять электрометров советского и иностранно</w:t>
      </w:r>
      <w:r w:rsidRPr="00E14102">
        <w:rPr>
          <w:color w:val="0070C0"/>
          <w:sz w:val="16"/>
          <w:szCs w:val="16"/>
        </w:rPr>
        <w:softHyphen/>
        <w:t>го производства, а также две автоматические ка</w:t>
      </w:r>
      <w:r w:rsidRPr="00E14102">
        <w:rPr>
          <w:color w:val="0070C0"/>
          <w:sz w:val="16"/>
          <w:szCs w:val="16"/>
        </w:rPr>
        <w:softHyphen/>
        <w:t>меры Вильсона конструкции А.Б. Вериго. Поми</w:t>
      </w:r>
      <w:r w:rsidRPr="00E14102">
        <w:rPr>
          <w:color w:val="0070C0"/>
          <w:sz w:val="16"/>
          <w:szCs w:val="16"/>
        </w:rPr>
        <w:softHyphen/>
        <w:t>мо исследования космических лучей предусма</w:t>
      </w:r>
      <w:r w:rsidRPr="00E14102">
        <w:rPr>
          <w:color w:val="0070C0"/>
          <w:sz w:val="16"/>
          <w:szCs w:val="16"/>
        </w:rPr>
        <w:softHyphen/>
        <w:t>тривалось измерение температуры, взятие проб воздуха и проведение аэрофотосъемки.</w:t>
      </w:r>
    </w:p>
    <w:p w14:paraId="635C81ED" w14:textId="77777777" w:rsidR="00B364A4" w:rsidRPr="00E14102" w:rsidRDefault="00B364A4" w:rsidP="00E14102">
      <w:pPr>
        <w:jc w:val="both"/>
        <w:rPr>
          <w:color w:val="0070C0"/>
          <w:sz w:val="16"/>
          <w:szCs w:val="16"/>
        </w:rPr>
      </w:pPr>
      <w:r w:rsidRPr="00E14102">
        <w:rPr>
          <w:color w:val="0070C0"/>
          <w:sz w:val="16"/>
          <w:szCs w:val="16"/>
        </w:rPr>
        <w:t>Гондола стратостата разделялась на восемь отсеков. В первом отсеке находилась радиостан</w:t>
      </w:r>
      <w:r w:rsidRPr="00E14102">
        <w:rPr>
          <w:color w:val="0070C0"/>
          <w:sz w:val="16"/>
          <w:szCs w:val="16"/>
        </w:rPr>
        <w:softHyphen/>
        <w:t>ция, во втором — оптическая аппаратура: спек</w:t>
      </w:r>
      <w:r w:rsidRPr="00E14102">
        <w:rPr>
          <w:color w:val="0070C0"/>
          <w:sz w:val="16"/>
          <w:szCs w:val="16"/>
        </w:rPr>
        <w:softHyphen/>
        <w:t>трограф для изучения спектра неба, приборы для измерения яркости неба под различными углами к горизонту. В третьем и четвёртом — баллон с кислородом, патрон для поглощения углекис</w:t>
      </w:r>
      <w:r w:rsidRPr="00E14102">
        <w:rPr>
          <w:color w:val="0070C0"/>
          <w:sz w:val="16"/>
          <w:szCs w:val="16"/>
        </w:rPr>
        <w:softHyphen/>
        <w:t>лоты, инструменты для отбора проб воздуха и фотоаппаратура. В пятом — два электрометра Гесса, один из них — под свинцовым кожухом толщиной 60 мм, две камеры Вильсона и баро</w:t>
      </w:r>
      <w:r w:rsidRPr="00E14102">
        <w:rPr>
          <w:color w:val="0070C0"/>
          <w:sz w:val="16"/>
          <w:szCs w:val="16"/>
        </w:rPr>
        <w:softHyphen/>
        <w:t>граф. В шестом и седьмом — термометр для реги</w:t>
      </w:r>
      <w:r w:rsidRPr="00E14102">
        <w:rPr>
          <w:color w:val="0070C0"/>
          <w:sz w:val="16"/>
          <w:szCs w:val="16"/>
        </w:rPr>
        <w:softHyphen/>
        <w:t>страции наружной температуры с точностью до 0,3°C, ртутный сифонный барометр и два альти</w:t>
      </w:r>
      <w:r w:rsidRPr="00E14102">
        <w:rPr>
          <w:color w:val="0070C0"/>
          <w:sz w:val="16"/>
          <w:szCs w:val="16"/>
        </w:rPr>
        <w:softHyphen/>
        <w:t>метра. В восьмом отсеке находился входной люк. Вне гондолы подвесили пятнадцать сосудов для отбора проб воздуха, вариометр, спиртовой тер</w:t>
      </w:r>
      <w:r w:rsidRPr="00E14102">
        <w:rPr>
          <w:color w:val="0070C0"/>
          <w:sz w:val="16"/>
          <w:szCs w:val="16"/>
        </w:rPr>
        <w:softHyphen/>
        <w:t>мометр, две антенны приёмника и передатчика радиостанции, метеорограф конструкции Мол</w:t>
      </w:r>
      <w:r w:rsidRPr="00E14102">
        <w:rPr>
          <w:color w:val="0070C0"/>
          <w:sz w:val="16"/>
          <w:szCs w:val="16"/>
        </w:rPr>
        <w:softHyphen/>
        <w:t>чанова и другие приборы.</w:t>
      </w:r>
    </w:p>
    <w:p w14:paraId="6EF14FD7" w14:textId="77777777" w:rsidR="00B364A4" w:rsidRPr="00E14102" w:rsidRDefault="00B364A4" w:rsidP="00E14102">
      <w:pPr>
        <w:jc w:val="both"/>
        <w:rPr>
          <w:color w:val="0070C0"/>
          <w:sz w:val="16"/>
          <w:szCs w:val="16"/>
        </w:rPr>
      </w:pPr>
      <w:r w:rsidRPr="00E14102">
        <w:rPr>
          <w:color w:val="0070C0"/>
          <w:sz w:val="16"/>
          <w:szCs w:val="16"/>
        </w:rPr>
        <w:t>В состав экипажа стратостата вошли: коман</w:t>
      </w:r>
      <w:r w:rsidRPr="00E14102">
        <w:rPr>
          <w:color w:val="0070C0"/>
          <w:sz w:val="16"/>
          <w:szCs w:val="16"/>
        </w:rPr>
        <w:softHyphen/>
        <w:t>дир — военный пилот-воздухоплаватель Х.Я. Зил- ле, второй пилот — военный инженер Ю.Г. При- луцкий, научный наблюдатель — исследователь космических лучей профессор А.Б. Вериго.</w:t>
      </w:r>
    </w:p>
    <w:p w14:paraId="3A90D6C7" w14:textId="77777777" w:rsidR="00B364A4" w:rsidRPr="00E14102" w:rsidRDefault="00B364A4" w:rsidP="00E14102">
      <w:pPr>
        <w:jc w:val="both"/>
        <w:rPr>
          <w:color w:val="0070C0"/>
          <w:sz w:val="16"/>
          <w:szCs w:val="16"/>
        </w:rPr>
      </w:pPr>
      <w:r w:rsidRPr="00E14102">
        <w:rPr>
          <w:color w:val="0070C0"/>
          <w:sz w:val="16"/>
          <w:szCs w:val="16"/>
        </w:rPr>
        <w:t>Готовясь к полёту, Х. Я. Зилле и Ю.Г. Прилуцкий 16 и 19 июня 1935 г. поднимались на аэро</w:t>
      </w:r>
      <w:r w:rsidRPr="00E14102">
        <w:rPr>
          <w:color w:val="0070C0"/>
          <w:sz w:val="16"/>
          <w:szCs w:val="16"/>
        </w:rPr>
        <w:softHyphen/>
        <w:t>статах с открытой гондолой соответственно на 8500 и 10 500 м (20120).</w:t>
      </w:r>
    </w:p>
    <w:p w14:paraId="618C6AE1" w14:textId="77777777" w:rsidR="00B364A4" w:rsidRPr="00E14102" w:rsidRDefault="00B364A4" w:rsidP="00E14102">
      <w:pPr>
        <w:jc w:val="both"/>
        <w:rPr>
          <w:color w:val="0070C0"/>
          <w:sz w:val="16"/>
          <w:szCs w:val="16"/>
        </w:rPr>
      </w:pPr>
    </w:p>
    <w:p w14:paraId="1DAEBA7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3350A8D" w14:textId="77777777" w:rsidR="00D4105E" w:rsidRPr="00E14102" w:rsidRDefault="00D4105E" w:rsidP="00E14102">
      <w:pPr>
        <w:autoSpaceDE w:val="0"/>
        <w:autoSpaceDN w:val="0"/>
        <w:adjustRightInd w:val="0"/>
        <w:jc w:val="both"/>
        <w:rPr>
          <w:iCs/>
          <w:color w:val="000000" w:themeColor="text1"/>
          <w:sz w:val="16"/>
          <w:szCs w:val="16"/>
        </w:rPr>
      </w:pPr>
    </w:p>
    <w:p w14:paraId="34E2A5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1935 по личному поручению Халепского на ХПЗ с Ижорского завода была отправлена одна башня Т-26-4 с 76-мм пушкой (3881,6).</w:t>
      </w:r>
    </w:p>
    <w:p w14:paraId="75F231FF" w14:textId="77777777" w:rsidR="00D4105E" w:rsidRPr="00E14102" w:rsidRDefault="00D4105E" w:rsidP="00E14102">
      <w:pPr>
        <w:autoSpaceDE w:val="0"/>
        <w:autoSpaceDN w:val="0"/>
        <w:adjustRightInd w:val="0"/>
        <w:jc w:val="both"/>
        <w:rPr>
          <w:color w:val="000000" w:themeColor="text1"/>
          <w:sz w:val="16"/>
          <w:szCs w:val="16"/>
        </w:rPr>
      </w:pPr>
    </w:p>
    <w:p w14:paraId="677502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 апреля 1935 г. заводу (Государственный чугуно-литейный и механический завод «Знамя труда» № 4 ВСНХ, Ленинградский государственный карбюраторно-арматурный завод им. В.В. Куйбышева («Ленкарз») НКТП, НКСМ, ММ, ПО «Ленинградский карбюраторный завод им. В.В. Куйбышева», АООТ «Карбюраторный завод им. В.В. Куйбышева», ОАО «Карбюраторный завод «Пекар» /г. Ленинград,  г. Санкт-Петербург/) присвоено имя В.В. Куйбышева, в 1939 г. завод передан в НКСМ.</w:t>
      </w:r>
    </w:p>
    <w:p w14:paraId="0EE1E3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карбюраторов (1932 г.).</w:t>
      </w:r>
    </w:p>
    <w:p w14:paraId="0AE911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пост. ГКО № 99сс от 11.07.1941 г. завод «Ленкарз» НКСМ подлежал эвакуации в Куйбышев на площадку Карбюраторного завода. Действовал в Ленинграде в 1942 г., в 12.1944 г. - в ведении НКСМ. Производство боеприпасов.</w:t>
      </w:r>
      <w:r w:rsidRPr="00E14102">
        <w:rPr>
          <w:color w:val="000000" w:themeColor="text1"/>
          <w:sz w:val="16"/>
          <w:szCs w:val="16"/>
          <w:vertAlign w:val="superscript"/>
        </w:rPr>
        <w:t>65</w:t>
      </w:r>
    </w:p>
    <w:p w14:paraId="2A62CC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1.12.1944 г. вышло постановление ГКО № 7055 о переводе оборудования и рабочих с омского завода «Красный Профинтерн» на Ленинградский карбюраторный завод.</w:t>
      </w:r>
    </w:p>
    <w:p w14:paraId="2B41C0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1946 г. завод - в ведении Министерства автомобильной промышленности (а также до 1953 г. и в 1954-57 г.), затем - Министерства автмобильной и тракторной промышленности (1947-48 г.), ММ (1953-54 г.), Управления приборостроительной промышленности ЛенСНХ (1957-59 г.), Управления машиностроения ЛенСНХ (1959-65 г.). С конца 1965 г. — в ведении ВПО «Союзавтоагрегат» Министерства автомобильной промышленности. В 1969 г. в состав ПО «Ленинградский карбюраторный завод им. В.В. Куйбышева» вошел завод «Автоарматура».</w:t>
      </w:r>
    </w:p>
    <w:p w14:paraId="147B7E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1993 г. завод преобразован в АООТ «Карбюраторный завод им. В.В. Куйбышева», в 1996 г. преобразован в ОАО «Карбюраторный завод «Пекар», был в 2004 г. (11982).</w:t>
      </w:r>
    </w:p>
    <w:p w14:paraId="60AFD7C0" w14:textId="77777777" w:rsidR="00D4105E" w:rsidRPr="00E14102" w:rsidRDefault="00D4105E" w:rsidP="00E14102">
      <w:pPr>
        <w:autoSpaceDE w:val="0"/>
        <w:autoSpaceDN w:val="0"/>
        <w:adjustRightInd w:val="0"/>
        <w:jc w:val="both"/>
        <w:rPr>
          <w:color w:val="000000" w:themeColor="text1"/>
          <w:sz w:val="16"/>
          <w:szCs w:val="16"/>
        </w:rPr>
      </w:pPr>
    </w:p>
    <w:p w14:paraId="54F4BA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1935 года в Ленинградском физико-техническом институте (ЛФТИ) была создана Лаборатория по разработке аппаратуры радиообнаружения самолетов с использованием импульсного метода. В состав лаборатории вошли Дмитрий Рожанский, Павел Погорелко, Николай Чернецов (10109).</w:t>
      </w:r>
    </w:p>
    <w:p w14:paraId="4BB28402" w14:textId="77777777" w:rsidR="00D4105E" w:rsidRPr="00E14102" w:rsidRDefault="00D4105E" w:rsidP="00E14102">
      <w:pPr>
        <w:autoSpaceDE w:val="0"/>
        <w:autoSpaceDN w:val="0"/>
        <w:adjustRightInd w:val="0"/>
        <w:jc w:val="both"/>
        <w:rPr>
          <w:color w:val="000000" w:themeColor="text1"/>
          <w:sz w:val="16"/>
          <w:szCs w:val="16"/>
        </w:rPr>
      </w:pPr>
    </w:p>
    <w:p w14:paraId="1A7F2F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апреля 1935 г. в соответствии с пост. СНК Башкирской АССР № 392 начато строительство нефтеперегонного завода в Уфе (Завод № 417 НК нефти, Уфимский крекинг-завод, Уфимский нефтеперерабатывающий завод (НПЗ) им. </w:t>
      </w:r>
      <w:r w:rsidRPr="00E14102">
        <w:rPr>
          <w:color w:val="000000" w:themeColor="text1"/>
          <w:sz w:val="16"/>
          <w:szCs w:val="16"/>
          <w:lang w:val="en-US"/>
        </w:rPr>
        <w:t>XXII</w:t>
      </w:r>
      <w:r w:rsidRPr="00E14102">
        <w:rPr>
          <w:color w:val="000000" w:themeColor="text1"/>
          <w:sz w:val="16"/>
          <w:szCs w:val="16"/>
        </w:rPr>
        <w:t>-го съезда КПСС, Уфимский НПЗ им. Ленина, ОАО «Уфимский НПЗ» /Башкирия 450029 Уфа ул. Ульяновых, 74/). Под него был отведен участок площадью 812 га в 30 км севернее старой части Уфы. В 05.1935 г. строительная контора треста «Башнефть» под руководством В.Н. Михайлова начала сооружение 1-й очереди завода: атмосферно-вакуумной установки (АВТ-1), установки риформинга и каталитического крекинга. В 1936 г. начато строительство битумного завода для выпуска битума спецназначения. К концу 1936 г. планировалось завершить строительство 2-й очереди: комбинированной установки американской фирмы «Луммус» (мощностью 1 млн. т нефти в год), установки вторичной перегонки, сернокислотной и газоочистки. В 01.1937 г. пущена в опытную эксплуатацию АВТ-1, 20.06.1938 г. были получены первые 117 т бензина, в 07.1938 г. пущена риформинг-установка. В 1939 г. строился комплекс цехов высокооктанового бензина, водородный завод, ТЭЦ. Полностью строительство завода планировалось завершить в 1939 г.; к концу 1940 г. полностью построены АВТ-1, установка термического крекинга, риформинга, сернокислотной очистки и вторичной перегонки; фактически строительство завода было завершено в середине 1942 г. Летом 1943 г. на нескольких установках был проведен капремонт.</w:t>
      </w:r>
    </w:p>
    <w:p w14:paraId="1C6119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приказу НКТП ог 9.01.1939 г. из строительства Уфимского крекинг-завода выделено самостоятельное строительство Уфимского сернокислотного завода (далее- завод № 751 НКХП). Вероятно, также часть крекинг- завода выделена в самостоятельный завод № 505 НКХП. В 12.1941 г. НКБ ходатайствовало перед СНК о передаче химического цеха Уфимского-крекинг завода в НКБ для организации производства пикриновой кислоты к 1.04.1942 г.</w:t>
      </w:r>
      <w:r w:rsidRPr="00E14102">
        <w:rPr>
          <w:color w:val="000000" w:themeColor="text1"/>
          <w:sz w:val="16"/>
          <w:szCs w:val="16"/>
          <w:vertAlign w:val="superscript"/>
        </w:rPr>
        <w:t>ш</w:t>
      </w:r>
    </w:p>
    <w:p w14:paraId="5416C2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1948-52 г. построены (впервые на востоке страны) два блока каталитического крекинга 43-102 на шариковом алюмосиликатном катализаторе.</w:t>
      </w:r>
    </w:p>
    <w:p w14:paraId="082EA2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1977 г. - Уфимский НПЗ им. </w:t>
      </w:r>
      <w:r w:rsidRPr="00E14102">
        <w:rPr>
          <w:color w:val="000000" w:themeColor="text1"/>
          <w:sz w:val="16"/>
          <w:szCs w:val="16"/>
          <w:lang w:val="en-US"/>
        </w:rPr>
        <w:t>XXII</w:t>
      </w:r>
      <w:r w:rsidRPr="00E14102">
        <w:rPr>
          <w:color w:val="000000" w:themeColor="text1"/>
          <w:sz w:val="16"/>
          <w:szCs w:val="16"/>
        </w:rPr>
        <w:t>-го съезда КПСС.</w:t>
      </w:r>
    </w:p>
    <w:p w14:paraId="0019F1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заводе имелись: в составе технологических цехов - три установки первичной переработки нефти (в т.ч. ЭЛОУ-АВТ-6), гидроочистка дизельного топлива и бензина, каталитический риформинг, висбрекинг, битумная, Клаус-процесс; строился флюид каталитического крекинга; комплекс каталитического крекинга Г-43-107; катализаторное производство - микросферические катализаторы крекинга, фосфорно-кислотные катализаторы для полимеризации олефинов, никелевый катализатор для пищевой промышленности.</w:t>
      </w:r>
    </w:p>
    <w:p w14:paraId="7E56C8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(2000-е  г.): автомобильный бензин, дизельное топливо, мазут.</w:t>
      </w:r>
    </w:p>
    <w:p w14:paraId="62561C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(1939-45 г.)- В.Р. Рябчиков, (1977-78 г.)- Т.З. Хурамшин. Гендиректор (2000-06 г.-)- В.А. Ганцев (11982).</w:t>
      </w:r>
    </w:p>
    <w:p w14:paraId="1C935806" w14:textId="77777777" w:rsidR="00D4105E" w:rsidRPr="00E14102" w:rsidRDefault="00D4105E" w:rsidP="00E14102">
      <w:pPr>
        <w:autoSpaceDE w:val="0"/>
        <w:autoSpaceDN w:val="0"/>
        <w:adjustRightInd w:val="0"/>
        <w:jc w:val="both"/>
        <w:rPr>
          <w:color w:val="000000" w:themeColor="text1"/>
          <w:sz w:val="16"/>
          <w:szCs w:val="16"/>
        </w:rPr>
      </w:pPr>
    </w:p>
    <w:p w14:paraId="5BA49420" w14:textId="77777777" w:rsidR="007049F3"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3D3876F" w14:textId="77777777" w:rsidR="007049F3" w:rsidRPr="00E14102" w:rsidRDefault="007049F3" w:rsidP="00E14102">
      <w:pPr>
        <w:autoSpaceDE w:val="0"/>
        <w:autoSpaceDN w:val="0"/>
        <w:adjustRightInd w:val="0"/>
        <w:jc w:val="both"/>
        <w:rPr>
          <w:iCs/>
          <w:color w:val="000000" w:themeColor="text1"/>
          <w:sz w:val="16"/>
          <w:szCs w:val="16"/>
        </w:rPr>
      </w:pPr>
    </w:p>
    <w:p w14:paraId="499A8D79" w14:textId="77777777" w:rsidR="00B364A4" w:rsidRPr="00E14102" w:rsidRDefault="00B364A4" w:rsidP="00E14102">
      <w:pPr>
        <w:jc w:val="both"/>
        <w:rPr>
          <w:color w:val="0070C0"/>
          <w:sz w:val="16"/>
          <w:szCs w:val="16"/>
        </w:rPr>
      </w:pPr>
      <w:r w:rsidRPr="00E14102">
        <w:rPr>
          <w:color w:val="0070C0"/>
          <w:sz w:val="16"/>
          <w:szCs w:val="16"/>
        </w:rPr>
        <w:t>1 апреля 1935 Swissair открывает рейсы между Цюрихом и Лондоном (20800).</w:t>
      </w:r>
    </w:p>
    <w:p w14:paraId="49322E34" w14:textId="77777777" w:rsidR="00B364A4" w:rsidRPr="00E14102" w:rsidRDefault="00B364A4" w:rsidP="00E14102">
      <w:pPr>
        <w:jc w:val="both"/>
        <w:rPr>
          <w:color w:val="0070C0"/>
          <w:sz w:val="16"/>
          <w:szCs w:val="16"/>
        </w:rPr>
      </w:pPr>
    </w:p>
    <w:p w14:paraId="01228E1B" w14:textId="77777777" w:rsidR="00B364A4" w:rsidRPr="00E14102" w:rsidRDefault="00B364A4" w:rsidP="00E14102">
      <w:pPr>
        <w:jc w:val="both"/>
        <w:rPr>
          <w:color w:val="000000" w:themeColor="text1"/>
          <w:sz w:val="16"/>
          <w:szCs w:val="16"/>
        </w:rPr>
      </w:pPr>
      <w:r w:rsidRPr="00E14102">
        <w:rPr>
          <w:color w:val="000000" w:themeColor="text1"/>
          <w:sz w:val="16"/>
          <w:szCs w:val="16"/>
        </w:rPr>
        <w:t xml:space="preserve">1 апреля в 1935 году совершил первый полет итальянский средний бомбардировщик </w:t>
      </w:r>
      <w:hyperlink r:id="rId73" w:tgtFrame="_blank" w:history="1">
        <w:r w:rsidRPr="00E14102">
          <w:rPr>
            <w:color w:val="000000" w:themeColor="text1"/>
            <w:sz w:val="16"/>
            <w:szCs w:val="16"/>
          </w:rPr>
          <w:t xml:space="preserve">«Caproni Bergamaschi» «Са.135». </w:t>
        </w:r>
      </w:hyperlink>
    </w:p>
    <w:p w14:paraId="25B24913" w14:textId="77777777" w:rsidR="00B364A4" w:rsidRPr="00E14102" w:rsidRDefault="00B364A4" w:rsidP="00E14102">
      <w:pPr>
        <w:jc w:val="both"/>
        <w:rPr>
          <w:color w:val="000000" w:themeColor="text1"/>
          <w:sz w:val="16"/>
          <w:szCs w:val="16"/>
        </w:rPr>
      </w:pPr>
    </w:p>
    <w:p w14:paraId="6F5011BD" w14:textId="77777777" w:rsidR="00B364A4" w:rsidRPr="00E14102" w:rsidRDefault="00B364A4" w:rsidP="00E14102">
      <w:pPr>
        <w:jc w:val="both"/>
        <w:rPr>
          <w:color w:val="0070C0"/>
          <w:sz w:val="16"/>
          <w:szCs w:val="16"/>
        </w:rPr>
      </w:pPr>
      <w:r w:rsidRPr="00E14102">
        <w:rPr>
          <w:color w:val="0070C0"/>
          <w:sz w:val="16"/>
          <w:szCs w:val="16"/>
        </w:rPr>
        <w:t>1 апреля 1935 года оторвался от земли Са. 135, созданный главным конструктором фирмы «Капрони» Чезаре Паллависино.</w:t>
      </w:r>
    </w:p>
    <w:p w14:paraId="6DC574C5" w14:textId="77777777" w:rsidR="00B364A4" w:rsidRPr="00E14102" w:rsidRDefault="00B364A4" w:rsidP="00E14102">
      <w:pPr>
        <w:jc w:val="both"/>
        <w:rPr>
          <w:color w:val="0070C0"/>
          <w:sz w:val="16"/>
          <w:szCs w:val="16"/>
        </w:rPr>
      </w:pPr>
      <w:r w:rsidRPr="00E14102">
        <w:rPr>
          <w:color w:val="0070C0"/>
          <w:sz w:val="16"/>
          <w:szCs w:val="16"/>
        </w:rPr>
        <w:t>Вооружение полностью соответствовало заданию — 1860 кг бомб в десяти вариантах подвески и рационально задуманная оборона из трех 12,7-мм пулеметов, но конструкция машины, внешне современной, разочаровала заказчика — в ней преобладало дерево и полотно, а моторы Изотта-Фраскини «Ассо» XIRC по 800 л.с. были слабоваты. Испытания машины шли очень тяжело, но руководство «Капрони» все же добилось заказа на 32 самолета с форсированными до 836 л.с. «Ассо» XIRC.40.</w:t>
      </w:r>
    </w:p>
    <w:p w14:paraId="4B1DA62C" w14:textId="77777777" w:rsidR="00B364A4" w:rsidRPr="00E14102" w:rsidRDefault="00B364A4" w:rsidP="00E14102">
      <w:pPr>
        <w:jc w:val="both"/>
        <w:rPr>
          <w:color w:val="0070C0"/>
          <w:sz w:val="16"/>
          <w:szCs w:val="16"/>
        </w:rPr>
      </w:pPr>
      <w:r w:rsidRPr="00E14102">
        <w:rPr>
          <w:color w:val="0070C0"/>
          <w:sz w:val="16"/>
          <w:szCs w:val="16"/>
        </w:rPr>
        <w:t>Перевооружаемый 11-й бомбардировочный авиаполк (110 Stormo BT) готовился отбыть в Испанию на помощь мятежникам Франко, и серийным самолетам было присвоено официальное наименование Са. 135 Tipo Spagna (испанский тип). Но первые семь машин были переданы строевым летчикам только в начале 1938 года, причем одна из них была разбита еще на заводском аэродроме.</w:t>
      </w:r>
    </w:p>
    <w:p w14:paraId="4B7CC285" w14:textId="77777777" w:rsidR="00B364A4" w:rsidRPr="00E14102" w:rsidRDefault="00B364A4" w:rsidP="00E14102">
      <w:pPr>
        <w:jc w:val="both"/>
        <w:rPr>
          <w:color w:val="0070C0"/>
          <w:sz w:val="16"/>
          <w:szCs w:val="16"/>
        </w:rPr>
      </w:pPr>
      <w:r w:rsidRPr="00E14102">
        <w:rPr>
          <w:color w:val="0070C0"/>
          <w:sz w:val="16"/>
          <w:szCs w:val="16"/>
        </w:rPr>
        <w:t>Фирма не обращала внимания на многочисленные жалобы летчиков и лишь когда два из шести Са. 135 второй партии погибли на посадке при перегоне с завода на аэродром 11-го полка Чампино, начала принимать меры. На устранение дефектов ушел еще год, освоение «новой», а фактически уже устаревшей машины 11-й полк завершил только в конце 1938-го, а подготовился к перебазированию в Испанию в начале 1939 года. Но при перелете на остров Майорка группа Са. 135 попала в зону обледенения, и большинство экипажей предпочли вернуться. Два из них упали в море, недотянув до родного берега, а в пункт назначения прибыли лишь два Са. 135. Но в войне и они не приняли участия.</w:t>
      </w:r>
    </w:p>
    <w:p w14:paraId="0C3F4EAC" w14:textId="77777777" w:rsidR="00B364A4" w:rsidRPr="00E14102" w:rsidRDefault="00B364A4" w:rsidP="00E14102">
      <w:pPr>
        <w:jc w:val="both"/>
        <w:rPr>
          <w:color w:val="0070C0"/>
          <w:sz w:val="16"/>
          <w:szCs w:val="16"/>
        </w:rPr>
      </w:pPr>
      <w:r w:rsidRPr="00E14102">
        <w:rPr>
          <w:color w:val="0070C0"/>
          <w:sz w:val="16"/>
          <w:szCs w:val="16"/>
        </w:rPr>
        <w:t>Оставшись после победы Франко в составе его ВВС, они быстро пришли в негодность и были списаны. Последние 24 самолета первого заказа были поставлены с более мощными моторами Fiat A.80RC.41 (1000 л.с.), которые оказались ненадежны. Только в 1938 году появился Ca. 135bis с более-менее приемлемой силовой установкой с 1000-сильными моторами Пьяджио P. XIRC.40. Он стал самой «массовой» модификацией самолета — 50 было выпущено для ВВС Италии и 100 — для Венгрии (впрочем, там итальянские двигатели меняли на «гном-рооны-14» собственного производства). 32 самолета в исходном варианте было также продано Перу, там они участвовали в войне с Эквадором за область Гран-Чако, где надеялись найти нефть (22812).</w:t>
      </w:r>
    </w:p>
    <w:p w14:paraId="73B9D49A" w14:textId="77777777" w:rsidR="00B364A4" w:rsidRPr="00E14102" w:rsidRDefault="00B364A4" w:rsidP="00E14102">
      <w:pPr>
        <w:jc w:val="both"/>
        <w:rPr>
          <w:color w:val="0070C0"/>
          <w:sz w:val="16"/>
          <w:szCs w:val="16"/>
        </w:rPr>
      </w:pPr>
    </w:p>
    <w:p w14:paraId="3B1E1A05" w14:textId="77777777" w:rsidR="00B364A4" w:rsidRPr="00E14102" w:rsidRDefault="00B364A4" w:rsidP="00E14102">
      <w:pPr>
        <w:jc w:val="both"/>
        <w:rPr>
          <w:color w:val="0070C0"/>
          <w:sz w:val="16"/>
          <w:szCs w:val="16"/>
        </w:rPr>
      </w:pPr>
      <w:r w:rsidRPr="00E14102">
        <w:rPr>
          <w:color w:val="0070C0"/>
          <w:sz w:val="16"/>
          <w:szCs w:val="16"/>
        </w:rPr>
        <w:t xml:space="preserve">1 апреля 1935 состоялся первый полет </w:t>
      </w:r>
      <w:r w:rsidRPr="00E14102">
        <w:rPr>
          <w:color w:val="0070C0"/>
          <w:sz w:val="16"/>
          <w:szCs w:val="16"/>
          <w:lang w:val="en-US"/>
        </w:rPr>
        <w:t>NA</w:t>
      </w:r>
      <w:r w:rsidRPr="00E14102">
        <w:rPr>
          <w:color w:val="0070C0"/>
          <w:sz w:val="16"/>
          <w:szCs w:val="16"/>
        </w:rPr>
        <w:t xml:space="preserve">-16 прототипа Т-6 </w:t>
      </w:r>
      <w:r w:rsidRPr="00E14102">
        <w:rPr>
          <w:color w:val="0070C0"/>
          <w:sz w:val="16"/>
          <w:szCs w:val="16"/>
          <w:lang w:val="en-US"/>
        </w:rPr>
        <w:t>Texan</w:t>
      </w:r>
      <w:r w:rsidRPr="00E14102">
        <w:rPr>
          <w:color w:val="0070C0"/>
          <w:sz w:val="16"/>
          <w:szCs w:val="16"/>
        </w:rPr>
        <w:t xml:space="preserve"> / </w:t>
      </w:r>
      <w:r w:rsidRPr="00E14102">
        <w:rPr>
          <w:color w:val="0070C0"/>
          <w:sz w:val="16"/>
          <w:szCs w:val="16"/>
          <w:lang w:val="en-US"/>
        </w:rPr>
        <w:t>Harvard</w:t>
      </w:r>
      <w:r w:rsidRPr="00E14102">
        <w:rPr>
          <w:color w:val="0070C0"/>
          <w:sz w:val="16"/>
          <w:szCs w:val="16"/>
        </w:rPr>
        <w:t xml:space="preserve">  (20800).</w:t>
      </w:r>
    </w:p>
    <w:p w14:paraId="0CD9183F" w14:textId="77777777" w:rsidR="00B364A4" w:rsidRPr="00E14102" w:rsidRDefault="00B364A4" w:rsidP="00E14102">
      <w:pPr>
        <w:jc w:val="both"/>
        <w:rPr>
          <w:color w:val="0070C0"/>
          <w:sz w:val="16"/>
          <w:szCs w:val="16"/>
        </w:rPr>
      </w:pPr>
    </w:p>
    <w:p w14:paraId="7F83E7F9" w14:textId="77777777" w:rsidR="00B364A4" w:rsidRPr="00E14102" w:rsidRDefault="00B364A4" w:rsidP="00E14102">
      <w:pPr>
        <w:jc w:val="both"/>
        <w:rPr>
          <w:color w:val="0070C0"/>
          <w:sz w:val="16"/>
          <w:szCs w:val="16"/>
        </w:rPr>
      </w:pPr>
      <w:r w:rsidRPr="00E14102">
        <w:rPr>
          <w:color w:val="0070C0"/>
          <w:sz w:val="16"/>
          <w:szCs w:val="16"/>
        </w:rPr>
        <w:t>1 апреля 1935 - Первый полет North American АТ-6 (NA-59) Texan (с 1948 года  - Т-6).   Использовался для обучения лётчиков-истребителей в армии США, ВМС США, Королевских военно-воздушных сил и других воздушных сил Британского Содружества во время Второй мировой войны и в послевоенное время - вплоть до 1950-х гг.</w:t>
      </w:r>
    </w:p>
    <w:p w14:paraId="0267396A" w14:textId="77777777" w:rsidR="00B364A4" w:rsidRPr="00E14102" w:rsidRDefault="00B364A4" w:rsidP="00E14102">
      <w:pPr>
        <w:jc w:val="both"/>
        <w:rPr>
          <w:color w:val="0070C0"/>
          <w:sz w:val="16"/>
          <w:szCs w:val="16"/>
        </w:rPr>
      </w:pPr>
      <w:r w:rsidRPr="00E14102">
        <w:rPr>
          <w:color w:val="0070C0"/>
          <w:sz w:val="16"/>
          <w:szCs w:val="16"/>
        </w:rPr>
        <w:t>АТ-6 по своей конструкции был куда ближе к современным боевым самолетам, чем отечественный УТ-2. Он имел убирающееся шасси, винт изменяемого шага, закрытую кабину, более совершенное оборудование (22550).</w:t>
      </w:r>
    </w:p>
    <w:p w14:paraId="4D125805" w14:textId="77777777" w:rsidR="00B364A4" w:rsidRPr="00E14102" w:rsidRDefault="00B364A4" w:rsidP="00E14102">
      <w:pPr>
        <w:jc w:val="both"/>
        <w:rPr>
          <w:color w:val="0070C0"/>
          <w:sz w:val="16"/>
          <w:szCs w:val="16"/>
        </w:rPr>
      </w:pPr>
    </w:p>
    <w:p w14:paraId="74FF982B" w14:textId="77777777" w:rsidR="007049F3" w:rsidRPr="00E14102" w:rsidRDefault="007049F3" w:rsidP="00E14102">
      <w:pPr>
        <w:jc w:val="both"/>
        <w:rPr>
          <w:color w:val="000000" w:themeColor="text1"/>
          <w:sz w:val="16"/>
          <w:szCs w:val="16"/>
        </w:rPr>
      </w:pPr>
      <w:r w:rsidRPr="00E14102">
        <w:rPr>
          <w:color w:val="000000" w:themeColor="text1"/>
          <w:sz w:val="16"/>
          <w:szCs w:val="16"/>
        </w:rPr>
        <w:t xml:space="preserve">1 апреля в 1935 году завершился первый трансатлантический перелет протяженностью 3500 километров на летающей лодке </w:t>
      </w:r>
      <w:hyperlink r:id="rId74" w:tgtFrame="_blank" w:history="1">
        <w:r w:rsidRPr="00E14102">
          <w:rPr>
            <w:color w:val="000000" w:themeColor="text1"/>
            <w:sz w:val="16"/>
            <w:szCs w:val="16"/>
          </w:rPr>
          <w:t xml:space="preserve">«Bleriot 5190» «Santos Dumont», </w:t>
        </w:r>
      </w:hyperlink>
      <w:r w:rsidRPr="00E14102">
        <w:rPr>
          <w:color w:val="000000" w:themeColor="text1"/>
          <w:sz w:val="16"/>
          <w:szCs w:val="16"/>
        </w:rPr>
        <w:t>начавшийся 4 февраля 1935 года (15086).</w:t>
      </w:r>
    </w:p>
    <w:p w14:paraId="0C7DAA93" w14:textId="77777777" w:rsidR="007049F3" w:rsidRPr="00E14102" w:rsidRDefault="007049F3" w:rsidP="00E14102">
      <w:pPr>
        <w:jc w:val="both"/>
        <w:rPr>
          <w:color w:val="000000" w:themeColor="text1"/>
          <w:sz w:val="16"/>
          <w:szCs w:val="16"/>
        </w:rPr>
      </w:pPr>
    </w:p>
    <w:p w14:paraId="2D78F0A4" w14:textId="77777777" w:rsidR="007049F3" w:rsidRPr="00E14102" w:rsidRDefault="007049F3" w:rsidP="00E14102">
      <w:pPr>
        <w:jc w:val="both"/>
        <w:rPr>
          <w:color w:val="000000" w:themeColor="text1"/>
          <w:sz w:val="16"/>
          <w:szCs w:val="16"/>
        </w:rPr>
      </w:pPr>
      <w:r w:rsidRPr="00E14102">
        <w:rPr>
          <w:color w:val="000000" w:themeColor="text1"/>
          <w:sz w:val="16"/>
          <w:szCs w:val="16"/>
        </w:rPr>
        <w:t xml:space="preserve">1 апреля в 1935 году опытный экземпляр летающей лодки-дальнего разведчика </w:t>
      </w:r>
      <w:hyperlink r:id="rId75" w:tgtFrame="_blank" w:history="1">
        <w:r w:rsidRPr="00E14102">
          <w:rPr>
            <w:color w:val="000000" w:themeColor="text1"/>
            <w:sz w:val="16"/>
            <w:szCs w:val="16"/>
          </w:rPr>
          <w:t xml:space="preserve">«Вr.521» «Bizerte» </w:t>
        </w:r>
      </w:hyperlink>
      <w:r w:rsidRPr="00E14102">
        <w:rPr>
          <w:color w:val="000000" w:themeColor="text1"/>
          <w:sz w:val="16"/>
          <w:szCs w:val="16"/>
        </w:rPr>
        <w:t>перегнали в Шербур для войсковых испытаний в эскадрилье 1Е2. "Бизерта" имела цельнометаллическую конструкцию. Все горючее содержалось в баках в нижнем крыле, общий объем которых равнялся 5250 л. Вооружение состояло из двух стрелковых точек по обоим бортам в передней части лодки (каждая с 7,5-мм пулеметом "Дарн"), еще двух таких же сразу за крыльями и пятой в хвостовой оконечности фюзеляжа. С самого начала боевых действий "Бизерты" патрулировали Атлантический океан и Средиземное море. С 1 августа 1940 года эскадрильи Е1, Е2, ЕЗ, Е5 и Е9 переименовали соответственно в IE, 2E, ЗЕ, 5Е и 9Е. На 15 августа в строю авиации французского флота еще находились 20 "Бизерт". Десять из них находились на техническом обслуживании или в ремонте, а одна готовилась пойти на слом. Из пяти эскадрилий, вооруженных «Вr.521», при правительстве Виши осталось только две: IE и 9Е. Остальные после перемирия с немцами расформировали (15086).</w:t>
      </w:r>
    </w:p>
    <w:p w14:paraId="13B492DB" w14:textId="77777777" w:rsidR="007049F3" w:rsidRPr="00E14102" w:rsidRDefault="007049F3" w:rsidP="00E14102">
      <w:pPr>
        <w:jc w:val="both"/>
        <w:rPr>
          <w:color w:val="000000" w:themeColor="text1"/>
          <w:sz w:val="16"/>
          <w:szCs w:val="16"/>
        </w:rPr>
      </w:pPr>
    </w:p>
    <w:p w14:paraId="117295C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lastRenderedPageBreak/>
        <w:t>Авиапромышленность:</w:t>
      </w:r>
    </w:p>
    <w:p w14:paraId="73E8D24D" w14:textId="77777777" w:rsidR="00D4105E" w:rsidRPr="00E14102" w:rsidRDefault="00D4105E" w:rsidP="00E14102">
      <w:pPr>
        <w:autoSpaceDE w:val="0"/>
        <w:autoSpaceDN w:val="0"/>
        <w:adjustRightInd w:val="0"/>
        <w:jc w:val="both"/>
        <w:rPr>
          <w:iCs/>
          <w:color w:val="000000" w:themeColor="text1"/>
          <w:sz w:val="16"/>
          <w:szCs w:val="16"/>
        </w:rPr>
      </w:pPr>
    </w:p>
    <w:p w14:paraId="45D8BA1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апреля 1935 года Начальник управления ВС Алкснис утвердил Тактико-технические требования к броневому покрытию бензобаков на самолете ТБ3-4М34РН по предложению Стежинского (6691).</w:t>
      </w:r>
    </w:p>
    <w:p w14:paraId="2668411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На самолете ТБ3-4М34РН бронируются непротекаемой оболочкой все шесть бензобаков и заливной бензобачек.</w:t>
      </w:r>
    </w:p>
    <w:p w14:paraId="08964B2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Каждый бак в отдельности обтягивается оболочкой со всех сторон.</w:t>
      </w:r>
    </w:p>
    <w:p w14:paraId="08CCEBD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Броня должна иметь толщину в натянутом состоянии не более 10 мм.</w:t>
      </w:r>
    </w:p>
    <w:p w14:paraId="387F2E3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Вес броневой оболочки не должен превышать веса пустого небронированного бака.</w:t>
      </w:r>
    </w:p>
    <w:p w14:paraId="021D52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……………….(6691).</w:t>
      </w:r>
    </w:p>
    <w:p w14:paraId="39F65DC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B7927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апреля 1935 Уполн. по подготовке РД направил в самолетный отдел ГУАП О.О.Машкевичу в дополнение к данным, присланным 29 марта, сведения, направленные НКТП (2343,89).</w:t>
      </w:r>
    </w:p>
    <w:p w14:paraId="31DA8F02" w14:textId="77777777" w:rsidR="00D4105E" w:rsidRPr="00E14102" w:rsidRDefault="00D4105E" w:rsidP="00E14102">
      <w:pPr>
        <w:autoSpaceDE w:val="0"/>
        <w:autoSpaceDN w:val="0"/>
        <w:adjustRightInd w:val="0"/>
        <w:jc w:val="both"/>
        <w:rPr>
          <w:color w:val="000000" w:themeColor="text1"/>
          <w:sz w:val="16"/>
          <w:szCs w:val="16"/>
        </w:rPr>
      </w:pPr>
    </w:p>
    <w:p w14:paraId="28AD0F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апреля 1935 Зам. дир. ХАИ Фрейдин и Нач. НИСа ХАИ Мирошниченко писали письмо N 281с в Сам. отдел ГУАП О.О.Машкевичу:</w:t>
      </w:r>
    </w:p>
    <w:p w14:paraId="1230D3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договоренности и И.Г.Н. с Вами, самолет ХАИ-5 строится под М-22 и К-9.</w:t>
      </w:r>
    </w:p>
    <w:p w14:paraId="761E01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Вас срочно прислать нам ТУ для ХАИ-5 с К-9." (2343,198).</w:t>
      </w:r>
    </w:p>
    <w:p w14:paraId="783417A6" w14:textId="77777777" w:rsidR="00D4105E" w:rsidRPr="00E14102" w:rsidRDefault="00D4105E" w:rsidP="00E14102">
      <w:pPr>
        <w:autoSpaceDE w:val="0"/>
        <w:autoSpaceDN w:val="0"/>
        <w:adjustRightInd w:val="0"/>
        <w:jc w:val="both"/>
        <w:rPr>
          <w:color w:val="000000" w:themeColor="text1"/>
          <w:sz w:val="16"/>
          <w:szCs w:val="16"/>
        </w:rPr>
      </w:pPr>
    </w:p>
    <w:p w14:paraId="017C43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апреля 1935 вышло постановление СТО N С-30сс "О производстве авиавинтов и лыж" Зам. СТО Чубарь (2161,150).</w:t>
      </w:r>
    </w:p>
    <w:p w14:paraId="173A2E02" w14:textId="77777777" w:rsidR="00D4105E" w:rsidRPr="00E14102" w:rsidRDefault="00D4105E" w:rsidP="00E14102">
      <w:pPr>
        <w:autoSpaceDE w:val="0"/>
        <w:autoSpaceDN w:val="0"/>
        <w:adjustRightInd w:val="0"/>
        <w:jc w:val="both"/>
        <w:rPr>
          <w:color w:val="000000" w:themeColor="text1"/>
          <w:sz w:val="16"/>
          <w:szCs w:val="16"/>
        </w:rPr>
      </w:pPr>
    </w:p>
    <w:p w14:paraId="2E03CC02" w14:textId="77777777" w:rsidR="007E0DE7" w:rsidRPr="00E14102" w:rsidRDefault="007E0DE7" w:rsidP="00E14102">
      <w:pPr>
        <w:pStyle w:val="rtejustify"/>
        <w:spacing w:before="0" w:after="0"/>
        <w:rPr>
          <w:color w:val="000000" w:themeColor="text1"/>
          <w:sz w:val="16"/>
          <w:szCs w:val="16"/>
        </w:rPr>
      </w:pPr>
      <w:r w:rsidRPr="00E14102">
        <w:rPr>
          <w:rStyle w:val="a6"/>
          <w:bCs/>
          <w:i w:val="0"/>
          <w:color w:val="000000" w:themeColor="text1"/>
          <w:sz w:val="16"/>
          <w:szCs w:val="16"/>
        </w:rPr>
        <w:t>2 апреля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30сс «О производстве авиационных винтов и лыж». (ГА РФ. Ф. Р</w:t>
      </w:r>
      <w:r w:rsidRPr="00E14102">
        <w:rPr>
          <w:color w:val="000000" w:themeColor="text1"/>
          <w:sz w:val="16"/>
          <w:szCs w:val="16"/>
        </w:rPr>
        <w:noBreakHyphen/>
        <w:t>8418. Оп. 28. Д. 6. Л. 63</w:t>
      </w:r>
      <w:r w:rsidRPr="00E14102">
        <w:rPr>
          <w:color w:val="000000" w:themeColor="text1"/>
          <w:sz w:val="16"/>
          <w:szCs w:val="16"/>
        </w:rPr>
        <w:noBreakHyphen/>
        <w:t>64). (15460).</w:t>
      </w:r>
    </w:p>
    <w:p w14:paraId="62B6406E" w14:textId="77777777" w:rsidR="007E0DE7" w:rsidRPr="00E14102" w:rsidRDefault="007E0DE7" w:rsidP="00E14102">
      <w:pPr>
        <w:pStyle w:val="rtejustify"/>
        <w:spacing w:before="0" w:after="0"/>
        <w:rPr>
          <w:color w:val="000000" w:themeColor="text1"/>
          <w:sz w:val="16"/>
          <w:szCs w:val="16"/>
        </w:rPr>
      </w:pPr>
    </w:p>
    <w:p w14:paraId="04D29A0A" w14:textId="77777777" w:rsidR="007E0DE7" w:rsidRPr="00E14102" w:rsidRDefault="007E0DE7" w:rsidP="00E14102">
      <w:pPr>
        <w:pStyle w:val="rtejustify"/>
        <w:spacing w:before="0" w:after="0"/>
        <w:rPr>
          <w:color w:val="000000" w:themeColor="text1"/>
          <w:sz w:val="16"/>
          <w:szCs w:val="16"/>
        </w:rPr>
      </w:pPr>
      <w:r w:rsidRPr="00E14102">
        <w:rPr>
          <w:rStyle w:val="a6"/>
          <w:bCs/>
          <w:i w:val="0"/>
          <w:color w:val="000000" w:themeColor="text1"/>
          <w:sz w:val="16"/>
          <w:szCs w:val="16"/>
        </w:rPr>
        <w:t>2 апреля 1935 вышел приказ НКТП № 59с.</w:t>
      </w:r>
      <w:r w:rsidRPr="00E14102">
        <w:rPr>
          <w:color w:val="000000" w:themeColor="text1"/>
          <w:sz w:val="16"/>
          <w:szCs w:val="16"/>
        </w:rPr>
        <w:t xml:space="preserve"> О мероприятиях по заводам НКТП СССР по обеспечению выпуска систем АПК</w:t>
      </w:r>
      <w:r w:rsidRPr="00E14102">
        <w:rPr>
          <w:color w:val="000000" w:themeColor="text1"/>
          <w:sz w:val="16"/>
          <w:szCs w:val="16"/>
        </w:rPr>
        <w:noBreakHyphen/>
        <w:t>4 на заводе № 8 им. Калинина. (РГАЭ. Ф. 7297. Оп. 38. Д. 171. Л. 94) (15246).</w:t>
      </w:r>
    </w:p>
    <w:p w14:paraId="1E6C13CD" w14:textId="77777777" w:rsidR="007E0DE7" w:rsidRPr="00E14102" w:rsidRDefault="007E0DE7" w:rsidP="00E14102">
      <w:pPr>
        <w:pStyle w:val="rtejustify"/>
        <w:spacing w:before="0" w:after="0"/>
        <w:rPr>
          <w:color w:val="000000" w:themeColor="text1"/>
          <w:sz w:val="16"/>
          <w:szCs w:val="16"/>
        </w:rPr>
      </w:pPr>
    </w:p>
    <w:p w14:paraId="334072B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A7DCF1D" w14:textId="77777777" w:rsidR="00D4105E" w:rsidRPr="00E14102" w:rsidRDefault="00D4105E" w:rsidP="00E14102">
      <w:pPr>
        <w:autoSpaceDE w:val="0"/>
        <w:autoSpaceDN w:val="0"/>
        <w:adjustRightInd w:val="0"/>
        <w:jc w:val="both"/>
        <w:rPr>
          <w:iCs/>
          <w:color w:val="000000" w:themeColor="text1"/>
          <w:sz w:val="16"/>
          <w:szCs w:val="16"/>
        </w:rPr>
      </w:pPr>
    </w:p>
    <w:p w14:paraId="577F764F" w14:textId="77777777" w:rsidR="007E0DE7" w:rsidRPr="00E14102" w:rsidRDefault="007E0DE7" w:rsidP="00E14102">
      <w:pPr>
        <w:jc w:val="both"/>
        <w:rPr>
          <w:rStyle w:val="a6"/>
          <w:i w:val="0"/>
          <w:color w:val="000000" w:themeColor="text1"/>
          <w:sz w:val="16"/>
          <w:szCs w:val="16"/>
        </w:rPr>
      </w:pPr>
      <w:r w:rsidRPr="00E14102">
        <w:rPr>
          <w:rStyle w:val="a6"/>
          <w:i w:val="0"/>
          <w:color w:val="000000" w:themeColor="text1"/>
          <w:sz w:val="16"/>
          <w:szCs w:val="16"/>
        </w:rPr>
        <w:t xml:space="preserve">2 апреля 1935 г. </w:t>
      </w:r>
      <w:r w:rsidRPr="00E14102">
        <w:rPr>
          <w:color w:val="000000" w:themeColor="text1"/>
          <w:sz w:val="16"/>
          <w:szCs w:val="16"/>
        </w:rPr>
        <w:t>Постановление СНК СССР № С</w:t>
      </w:r>
      <w:r w:rsidRPr="00E14102">
        <w:rPr>
          <w:color w:val="000000" w:themeColor="text1"/>
          <w:sz w:val="16"/>
          <w:szCs w:val="16"/>
        </w:rPr>
        <w:noBreakHyphen/>
        <w:t>16сс «Об ассигнованиях из общесоюзного бюджета 1935 г. на оборонные расходы»</w:t>
      </w:r>
    </w:p>
    <w:p w14:paraId="4FEA8852" w14:textId="77777777" w:rsidR="007E0DE7" w:rsidRPr="00E14102" w:rsidRDefault="007E0DE7"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737C8089"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Совет народных комиссаров Союза ССР постановляет: утвердить в составе общесоюзного бюджета на 1935 г. ассигнования на оборонные расходы в следующих размерах:</w:t>
      </w:r>
    </w:p>
    <w:p w14:paraId="0A5C044E"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I. По смете НКО — 7 492 000 тыс. руб. при общем объеме капитального строительства в 600 000 тыс. руб.</w:t>
      </w:r>
    </w:p>
    <w:p w14:paraId="071DD39F"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II. По военной промышленности — 1 133 300 тыс. руб., в том числе а) на капитальное строительство — 493,5 млн. руб.; б) на увеличение оборотных средств — 203,2 млн. руб.; в) на освоение производств — 301,6 млн. руб.; г) на операционные расходы — 135,0 млн. руб.</w:t>
      </w:r>
    </w:p>
    <w:p w14:paraId="1E4C1F7B"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III. Утвердить размеры ассигнований по оборонному капитальному строительству в составе финансовых планов и смет гражданских наркоматов; а) НКПС — 145 000 тыс. руб.; б) Цудортранс — 95 000 тыс. руб.; в) НКВод — 51 000 тыс. руб.; г) НКСвязь — 26 211 тыс. руб.; д) НКЛес — 115 550 тыс. руб.; НКЛегпром — 9700 тыс. руб.; ж) НКППром — 60 143 тыс. руб.; НКТПром — 322 610 тыс. руб. На прочие узко оборонные расходы НКТП (научно-исследовательские и опытные) утвердить 65 000 тыс. руб.</w:t>
      </w:r>
    </w:p>
    <w:p w14:paraId="6960654F"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IV. На образование мобзапасов материально-технического снабжения, топлива, продовольственных запасов, промтоварных резервных фондов, на строительство зерноскладов и мельниц, на ремонт складов мобзапасов промышленности и на хранение хлебофуражных фондов ассигновать Комитету резервов при СТО по бюджету СССР 700 млн. руб.</w:t>
      </w:r>
    </w:p>
    <w:p w14:paraId="321B674F"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V. Освежение и расходы по освежению мобзапасов отнести за счет тех организаций, которые выполняют задание по накоплению мобзапасов. Расходы же по хранению в пунктах концентрации мобфондов отнести за счет хранящих организаций.</w:t>
      </w:r>
    </w:p>
    <w:p w14:paraId="605712D8"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VI. Расходы по перевозкам и хранению создаваемого на железных дорогах и предприятиях промышленности топлива отнести за счет НКПС и соответствующих наркоматов.</w:t>
      </w:r>
    </w:p>
    <w:p w14:paraId="077ADDCF"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VII. Предложить НКОбороны не позднее 15 апреля 1935 г. представить НКФ СССР исполнительную смету на 1935 г.</w:t>
      </w:r>
    </w:p>
    <w:p w14:paraId="0F9C12E9"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Председатель Совета народных комиссаров Союза ССР В.</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Молотов</w:t>
      </w:r>
    </w:p>
    <w:p w14:paraId="718E3DC6"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Управляющий делами Совета народных комиссаров Союза ССР И.</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Мирошников</w:t>
      </w:r>
    </w:p>
    <w:p w14:paraId="78E4B98E"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ГА РФ. Ф. Р-8418. Оп. 28. Д. 17. Л. 32-33. Подлинник (15339).</w:t>
      </w:r>
    </w:p>
    <w:p w14:paraId="79AF7AB0" w14:textId="77777777" w:rsidR="007E0DE7" w:rsidRPr="00E14102" w:rsidRDefault="007E0DE7" w:rsidP="00E14102">
      <w:pPr>
        <w:pStyle w:val="rtejustify"/>
        <w:spacing w:before="0" w:after="0"/>
        <w:rPr>
          <w:rStyle w:val="a6"/>
          <w:bCs/>
          <w:i w:val="0"/>
          <w:color w:val="000000" w:themeColor="text1"/>
          <w:sz w:val="16"/>
          <w:szCs w:val="16"/>
        </w:rPr>
      </w:pPr>
    </w:p>
    <w:p w14:paraId="5C02A6C0" w14:textId="77777777" w:rsidR="007E0DE7" w:rsidRPr="00E14102" w:rsidRDefault="007E0DE7" w:rsidP="00E14102">
      <w:pPr>
        <w:pStyle w:val="rtejustify"/>
        <w:spacing w:before="0" w:after="0"/>
        <w:rPr>
          <w:color w:val="000000" w:themeColor="text1"/>
          <w:sz w:val="16"/>
          <w:szCs w:val="16"/>
        </w:rPr>
      </w:pPr>
      <w:r w:rsidRPr="00E14102">
        <w:rPr>
          <w:rStyle w:val="a6"/>
          <w:bCs/>
          <w:i w:val="0"/>
          <w:color w:val="000000" w:themeColor="text1"/>
          <w:sz w:val="16"/>
          <w:szCs w:val="16"/>
        </w:rPr>
        <w:t>2 апреля</w:t>
      </w:r>
      <w:r w:rsidRPr="00E14102">
        <w:rPr>
          <w:color w:val="000000" w:themeColor="text1"/>
          <w:sz w:val="16"/>
          <w:szCs w:val="16"/>
        </w:rPr>
        <w:t xml:space="preserve">. </w:t>
      </w:r>
      <w:hyperlink r:id="rId76" w:history="1">
        <w:r w:rsidRPr="00E14102">
          <w:rPr>
            <w:rStyle w:val="a4"/>
            <w:color w:val="000000" w:themeColor="text1"/>
            <w:sz w:val="16"/>
            <w:szCs w:val="16"/>
            <w:u w:val="none"/>
          </w:rPr>
          <w:t>Постановление СНК СССР № С</w:t>
        </w:r>
        <w:r w:rsidRPr="00E14102">
          <w:rPr>
            <w:rStyle w:val="a4"/>
            <w:color w:val="000000" w:themeColor="text1"/>
            <w:sz w:val="16"/>
            <w:szCs w:val="16"/>
            <w:u w:val="none"/>
          </w:rPr>
          <w:noBreakHyphen/>
          <w:t>16сс «Об ассигнованиях из общесоюзного бюджета 1935 г. на оборонные расходы»</w:t>
        </w:r>
      </w:hyperlink>
      <w:r w:rsidRPr="00E14102">
        <w:rPr>
          <w:color w:val="000000" w:themeColor="text1"/>
          <w:sz w:val="16"/>
          <w:szCs w:val="16"/>
        </w:rPr>
        <w:t>. (ГА РФ. Ф. Р</w:t>
      </w:r>
      <w:r w:rsidRPr="00E14102">
        <w:rPr>
          <w:color w:val="000000" w:themeColor="text1"/>
          <w:sz w:val="16"/>
          <w:szCs w:val="16"/>
        </w:rPr>
        <w:noBreakHyphen/>
        <w:t>8418. Оп. 28. Д. 17. Л. 32</w:t>
      </w:r>
      <w:r w:rsidRPr="00E14102">
        <w:rPr>
          <w:color w:val="000000" w:themeColor="text1"/>
          <w:sz w:val="16"/>
          <w:szCs w:val="16"/>
        </w:rPr>
        <w:noBreakHyphen/>
        <w:t>33) (15460).</w:t>
      </w:r>
    </w:p>
    <w:p w14:paraId="6CC3F47B" w14:textId="77777777" w:rsidR="007E0DE7" w:rsidRPr="00E14102" w:rsidRDefault="007E0DE7" w:rsidP="00E14102">
      <w:pPr>
        <w:pStyle w:val="rtejustify"/>
        <w:spacing w:before="0" w:after="0"/>
        <w:rPr>
          <w:color w:val="000000" w:themeColor="text1"/>
          <w:sz w:val="16"/>
          <w:szCs w:val="16"/>
        </w:rPr>
      </w:pPr>
    </w:p>
    <w:p w14:paraId="3486FFA1" w14:textId="77777777" w:rsidR="007E0DE7" w:rsidRPr="00E14102" w:rsidRDefault="007E0DE7" w:rsidP="00E14102">
      <w:pPr>
        <w:pStyle w:val="rtejustify"/>
        <w:spacing w:before="0" w:after="0"/>
        <w:rPr>
          <w:color w:val="000000" w:themeColor="text1"/>
          <w:sz w:val="16"/>
          <w:szCs w:val="16"/>
        </w:rPr>
      </w:pPr>
      <w:r w:rsidRPr="00E14102">
        <w:rPr>
          <w:rStyle w:val="a6"/>
          <w:bCs/>
          <w:i w:val="0"/>
          <w:color w:val="000000" w:themeColor="text1"/>
          <w:sz w:val="16"/>
          <w:szCs w:val="16"/>
        </w:rPr>
        <w:t>2 апреля 1935 вышел приказ НКТП № 58сс.</w:t>
      </w:r>
      <w:r w:rsidRPr="00E14102">
        <w:rPr>
          <w:color w:val="000000" w:themeColor="text1"/>
          <w:sz w:val="16"/>
          <w:szCs w:val="16"/>
        </w:rPr>
        <w:t xml:space="preserve"> О производстве торпед ФТ</w:t>
      </w:r>
      <w:r w:rsidRPr="00E14102">
        <w:rPr>
          <w:color w:val="000000" w:themeColor="text1"/>
          <w:sz w:val="16"/>
          <w:szCs w:val="16"/>
        </w:rPr>
        <w:noBreakHyphen/>
        <w:t>450 на заводах Южного куста. (РГАЭ. Ф. 7297. Оп. 38. Д. 171. Л. 93) (15246).</w:t>
      </w:r>
    </w:p>
    <w:p w14:paraId="3A09A186" w14:textId="77777777" w:rsidR="007E0DE7" w:rsidRPr="00E14102" w:rsidRDefault="007E0DE7" w:rsidP="00E14102">
      <w:pPr>
        <w:pStyle w:val="rtejustify"/>
        <w:spacing w:before="0" w:after="0"/>
        <w:rPr>
          <w:color w:val="000000" w:themeColor="text1"/>
          <w:sz w:val="16"/>
          <w:szCs w:val="16"/>
        </w:rPr>
      </w:pPr>
    </w:p>
    <w:p w14:paraId="1E8669F3"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2</w:t>
      </w:r>
      <w:r w:rsidRPr="00E14102">
        <w:rPr>
          <w:color w:val="000000" w:themeColor="text1"/>
          <w:sz w:val="16"/>
          <w:szCs w:val="16"/>
        </w:rPr>
        <w:t xml:space="preserve"> апреля 1935 г. было подготовлено донесение № 55794</w:t>
      </w:r>
    </w:p>
    <w:p w14:paraId="259B41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СЕКРЕТАРЮ ЦК ВКП (Б) тов. Сталину</w:t>
      </w:r>
    </w:p>
    <w:p w14:paraId="503479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делу гражданина США – Джонсона Альберта, ведшего шпионскую работу в СССР (наша докладная записка № 55556 от 8 марта 1935 г.) нами были арестованы Соломатин П.Н. – бывш. сотрудник НКПС, Кунов А.С. – ответственный исполнитель по импорту НКПС и Шифрин Б.И. – руководитель кафедрой иностранных языков авиационного института.</w:t>
      </w:r>
    </w:p>
    <w:p w14:paraId="0829A8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Показаниями арестованного Соломатина и обнаруженными у него при обыске документами (ведомость заказанного оборудования для Верхне-Удинского завода оборонного значения) установлено, что он был завербован для разведывательной деятельности Джонсоном и передал ему шпионские сведения о необходимом импортном оборудовании для НКПС, валютных ассигнованиях для Мобилизационного Управления НКПС, а также сведения о состоянии транспорта в части дорог и подвижного состава.</w:t>
      </w:r>
    </w:p>
    <w:p w14:paraId="4142EE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Арестованные Кунов А.С. и Шифрин Б.И. подтвердили имеющиеся у нас данные об их шпионской деятельности для Джонсона.</w:t>
      </w:r>
    </w:p>
    <w:p w14:paraId="3FC5AE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этому делу нами также был арестован гражданин СССР – Кашинцев Алексей Александрович, 1876 года рождения, из дворян, о котором были данные о его связи с английской разведкой.</w:t>
      </w:r>
    </w:p>
    <w:p w14:paraId="1DB4D4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Показаниями Кашинцева было установлено:</w:t>
      </w:r>
    </w:p>
    <w:p w14:paraId="3D5BDA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Начиная с 1902 года Кашинцев работал в английском журнале “Русско-Британский журнал торговли и промышленности”. Этот журнал продолжает существовать по сие время, частично субсидируемая нашим торгпредством в Англии и используется английской “Интеллидженс Сервис”, для разведывательной работы против СССР.</w:t>
      </w:r>
    </w:p>
    <w:p w14:paraId="07EAC1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Редактор этого журнала Тальбот Стефорт С. является крупным английским резидентом, периодически приезжающим в СССР для получения шпионских материалов и инструктажа своих агентов.</w:t>
      </w:r>
    </w:p>
    <w:p w14:paraId="540706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Кашинцев был завербован английской разведкой в 1917 г. и активно работал год руководством резидентов: майора Вордвела – председателя Американского Красного Креста в СССР; капитана Хилла – быв. члена английской военной миссии в Москве в 1918 г. и Гольдсмита – быв. начальника английской миссии во Владикавказе.</w:t>
      </w:r>
    </w:p>
    <w:p w14:paraId="2C9656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Кашинцев принимал непосредственное участие в организации контрреволюционного заговора Локарта.</w:t>
      </w:r>
    </w:p>
    <w:p w14:paraId="1E7800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вскрытия заговора Локарта и отъезда иностранных миссий из РСФСР, Кашинцев получил явки от английской разведки и остался в Союзе.</w:t>
      </w:r>
    </w:p>
    <w:p w14:paraId="7CC7C9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1923 г. английская разведка возобновила свои с Кашинцевым, который к этому времени закрепил свое положение, работая в Красной армии (при 2-й Отдельной Авиаразведывательной эскадрильи).</w:t>
      </w:r>
    </w:p>
    <w:p w14:paraId="1795B1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Дальнейшая разведывательная деятельность Кашинцева проходит под руководством резидентов английской разведки Тальбота Стефорта и Грея Фредерика представитель американского банка “Националь-Сити Банк”. Грею нами в январе месяцев 1935 г. закрыт въезд в СССР.</w:t>
      </w:r>
    </w:p>
    <w:p w14:paraId="64C8BC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выполнения английской разведки по сбору шпионских сведений, Кашинцевым была создана сеть из советских граждан.</w:t>
      </w:r>
    </w:p>
    <w:p w14:paraId="03F610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Грейсеров Сергей Николаевич – работал в отделении Амторга, беспартийный, имел собственные дачи. Ранее работал в 1-й Истребительной авиаэскадрильи (арестовывается);</w:t>
      </w:r>
    </w:p>
    <w:p w14:paraId="11DBC1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Соловьев Александр Максимович – беспартийный, работает заведующим хозяйством при Московском ипподроме (арестовывается);</w:t>
      </w:r>
    </w:p>
    <w:p w14:paraId="3688CA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Каждан Григорий Иванович – заведующий аптекарской базой Санупра Кремля, беспартийный, бывш. вольноопределяющийся царской армии (арестован);</w:t>
      </w:r>
    </w:p>
    <w:p w14:paraId="38C81A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Рудник Александр – беспартийный (арестовывается).</w:t>
      </w:r>
    </w:p>
    <w:p w14:paraId="6FB4C8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Кроме этих лиц, завербованных непосредственно Кашинцевым. последний указал, что английской разведки Грей, в порядке дружеских отношений с Кравченко Еленой Константиновской – член ВКП (б) с 1903 г., ратующей в Политуправлении Наркомзема (родственница Грея), использовал ее для своего знакомства с рядом ответственных работников.</w:t>
      </w:r>
    </w:p>
    <w:p w14:paraId="056A72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Кашинцев в продолжении долгих лет передавал английской разведке сведения по линии Наркомдела, Наркомтяжпрома, оборонного строительства НКПС, о Красной армии и о финансово-экономическом положении СССР. Эти сведения пересылались в Англию через английскую и шведскую дипломатическую почту.</w:t>
      </w:r>
    </w:p>
    <w:p w14:paraId="5FAC47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Прилагаю при этом протоколы допросов Кашинцева и Соломатина П.Н.</w:t>
      </w:r>
    </w:p>
    <w:p w14:paraId="6F520A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Народный Комиссар Внутренних Дел Союза ССР Ягода</w:t>
      </w:r>
    </w:p>
    <w:p w14:paraId="397531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АП РФ, ф.3, оп.58, д.247, л.1-3 (11462).</w:t>
      </w:r>
    </w:p>
    <w:p w14:paraId="5FEBF83D" w14:textId="77777777" w:rsidR="00D4105E" w:rsidRPr="00E14102" w:rsidRDefault="00D4105E" w:rsidP="00E14102">
      <w:pPr>
        <w:autoSpaceDE w:val="0"/>
        <w:autoSpaceDN w:val="0"/>
        <w:adjustRightInd w:val="0"/>
        <w:jc w:val="both"/>
        <w:rPr>
          <w:color w:val="000000" w:themeColor="text1"/>
          <w:sz w:val="16"/>
          <w:szCs w:val="16"/>
        </w:rPr>
      </w:pPr>
    </w:p>
    <w:p w14:paraId="7A9F302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48070289" w14:textId="77777777" w:rsidR="00D4105E" w:rsidRPr="00E14102" w:rsidRDefault="00D4105E" w:rsidP="00E14102">
      <w:pPr>
        <w:autoSpaceDE w:val="0"/>
        <w:autoSpaceDN w:val="0"/>
        <w:adjustRightInd w:val="0"/>
        <w:jc w:val="both"/>
        <w:rPr>
          <w:iCs/>
          <w:color w:val="000000" w:themeColor="text1"/>
          <w:sz w:val="16"/>
          <w:szCs w:val="16"/>
        </w:rPr>
      </w:pPr>
    </w:p>
    <w:p w14:paraId="4FF92E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апреля 1935 года в приказе № 051 нарком К.Е.Ворошилов велел "Командующим войсками округов, армий, групп и флотов организовать во всех частях, полигонах, складах, институтах и учреждениях РККА поверку фактического наличия, состояния и хранения боевых химических веществ". Было определено, что передача БХВ из армии в гражданские учреждения будет происходить только с его личного разрешения. Не забыл нарком и о несбыточном - чтобы ему представили "доклад о фактическом расходе и наличии всех боевых химических веществ, отпущенных из складов РККА в гражданские НИИ, учебные заведения и учреждения, начиная с 1932 года" (9065).</w:t>
      </w:r>
    </w:p>
    <w:p w14:paraId="2584E03D" w14:textId="77777777" w:rsidR="00D4105E" w:rsidRPr="00E14102" w:rsidRDefault="00D4105E" w:rsidP="00E14102">
      <w:pPr>
        <w:autoSpaceDE w:val="0"/>
        <w:autoSpaceDN w:val="0"/>
        <w:adjustRightInd w:val="0"/>
        <w:jc w:val="both"/>
        <w:rPr>
          <w:color w:val="000000" w:themeColor="text1"/>
          <w:sz w:val="16"/>
          <w:szCs w:val="16"/>
        </w:rPr>
      </w:pPr>
    </w:p>
    <w:p w14:paraId="759B4A5D" w14:textId="77777777" w:rsidR="00D4105E" w:rsidRPr="00E14102" w:rsidRDefault="004B7965" w:rsidP="00E14102">
      <w:pPr>
        <w:autoSpaceDE w:val="0"/>
        <w:autoSpaceDN w:val="0"/>
        <w:adjustRightInd w:val="0"/>
        <w:jc w:val="both"/>
        <w:rPr>
          <w:iCs/>
          <w:color w:val="000000" w:themeColor="text1"/>
          <w:sz w:val="16"/>
          <w:szCs w:val="16"/>
          <w:lang w:val="en-US"/>
        </w:rPr>
      </w:pPr>
      <w:r w:rsidRPr="00E14102">
        <w:rPr>
          <w:i/>
          <w:iCs/>
          <w:color w:val="000000" w:themeColor="text1"/>
          <w:sz w:val="16"/>
          <w:szCs w:val="16"/>
        </w:rPr>
        <w:t>За</w:t>
      </w:r>
      <w:r w:rsidRPr="00E14102">
        <w:rPr>
          <w:i/>
          <w:iCs/>
          <w:color w:val="000000" w:themeColor="text1"/>
          <w:sz w:val="16"/>
          <w:szCs w:val="16"/>
          <w:lang w:val="en-US"/>
        </w:rPr>
        <w:t xml:space="preserve"> </w:t>
      </w:r>
      <w:r w:rsidRPr="00E14102">
        <w:rPr>
          <w:i/>
          <w:iCs/>
          <w:color w:val="000000" w:themeColor="text1"/>
          <w:sz w:val="16"/>
          <w:szCs w:val="16"/>
        </w:rPr>
        <w:t>рубежом</w:t>
      </w:r>
      <w:r w:rsidRPr="00E14102">
        <w:rPr>
          <w:i/>
          <w:iCs/>
          <w:color w:val="000000" w:themeColor="text1"/>
          <w:sz w:val="16"/>
          <w:szCs w:val="16"/>
          <w:lang w:val="en-US"/>
        </w:rPr>
        <w:t>:</w:t>
      </w:r>
    </w:p>
    <w:p w14:paraId="6180D98E" w14:textId="77777777" w:rsidR="00D4105E" w:rsidRPr="00E14102" w:rsidRDefault="00D4105E" w:rsidP="00E14102">
      <w:pPr>
        <w:autoSpaceDE w:val="0"/>
        <w:autoSpaceDN w:val="0"/>
        <w:adjustRightInd w:val="0"/>
        <w:jc w:val="both"/>
        <w:rPr>
          <w:iCs/>
          <w:color w:val="000000" w:themeColor="text1"/>
          <w:sz w:val="16"/>
          <w:szCs w:val="16"/>
          <w:lang w:val="en-US"/>
        </w:rPr>
      </w:pPr>
    </w:p>
    <w:p w14:paraId="2726FB86" w14:textId="77777777" w:rsidR="00D4105E" w:rsidRPr="00E14102" w:rsidRDefault="00D4105E" w:rsidP="00E14102">
      <w:pPr>
        <w:autoSpaceDE w:val="0"/>
        <w:autoSpaceDN w:val="0"/>
        <w:adjustRightInd w:val="0"/>
        <w:jc w:val="both"/>
        <w:rPr>
          <w:color w:val="000000" w:themeColor="text1"/>
          <w:sz w:val="16"/>
          <w:szCs w:val="16"/>
          <w:lang w:val="en-US"/>
        </w:rPr>
      </w:pPr>
      <w:r w:rsidRPr="00E14102">
        <w:rPr>
          <w:color w:val="000000" w:themeColor="text1"/>
          <w:sz w:val="16"/>
          <w:szCs w:val="16"/>
          <w:lang w:val="en-US"/>
        </w:rPr>
        <w:t>April 2 1935 British Government disclosed that Adolf Hitler of Germany had declared that the German Air Force had reached parity with the Royal Air Force at a recent conference with British representatives in Germany. While untrue, Hitler's statement had a profound impact upon British aeronautical and defense efforts (1038).</w:t>
      </w:r>
    </w:p>
    <w:p w14:paraId="1D8BFC7A" w14:textId="77777777" w:rsidR="00D4105E" w:rsidRPr="00E14102" w:rsidRDefault="00D4105E" w:rsidP="00E14102">
      <w:pPr>
        <w:autoSpaceDE w:val="0"/>
        <w:autoSpaceDN w:val="0"/>
        <w:adjustRightInd w:val="0"/>
        <w:jc w:val="both"/>
        <w:rPr>
          <w:color w:val="000000" w:themeColor="text1"/>
          <w:sz w:val="16"/>
          <w:szCs w:val="16"/>
          <w:lang w:val="en-US"/>
        </w:rPr>
      </w:pPr>
    </w:p>
    <w:p w14:paraId="1E61A2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апреля 1935 Английское правительство сообщило, что А.Гитлер объявил о достижении немецкими ВВС паритета с английскими. Несмотря на то, что это была неправда развитие английской авиапромышленности получило мощный толчок (1038).</w:t>
      </w:r>
    </w:p>
    <w:p w14:paraId="22918185" w14:textId="77777777" w:rsidR="00D4105E" w:rsidRPr="00E14102" w:rsidRDefault="00D4105E" w:rsidP="00E14102">
      <w:pPr>
        <w:autoSpaceDE w:val="0"/>
        <w:autoSpaceDN w:val="0"/>
        <w:adjustRightInd w:val="0"/>
        <w:jc w:val="both"/>
        <w:rPr>
          <w:color w:val="000000" w:themeColor="text1"/>
          <w:sz w:val="16"/>
          <w:szCs w:val="16"/>
        </w:rPr>
      </w:pPr>
    </w:p>
    <w:p w14:paraId="43228DC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FA5E98E" w14:textId="77777777" w:rsidR="00D4105E" w:rsidRPr="00E14102" w:rsidRDefault="00D4105E" w:rsidP="00E14102">
      <w:pPr>
        <w:autoSpaceDE w:val="0"/>
        <w:autoSpaceDN w:val="0"/>
        <w:adjustRightInd w:val="0"/>
        <w:jc w:val="both"/>
        <w:rPr>
          <w:iCs/>
          <w:color w:val="000000" w:themeColor="text1"/>
          <w:sz w:val="16"/>
          <w:szCs w:val="16"/>
        </w:rPr>
      </w:pPr>
    </w:p>
    <w:p w14:paraId="3AFDB3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апреля 1935 Нач. УВВС Алкснис писал Врид. Нач. ГУАП Марголину и Врид. директора 22 завода Фельдману письмо ?/020:</w:t>
      </w:r>
    </w:p>
    <w:p w14:paraId="31D7F6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"Несмотря на определенные заверения директора завода 22 о том, что самолет ДБ 4М-34РН выйдет на заводские испытания к 1 мая 1935, постройка самолета идет недостаточно энергичными темпами и уже в настоящее время налицо определенная угроза, что заявленный заводом срок выдержан им не будет.</w:t>
      </w:r>
    </w:p>
    <w:p w14:paraId="4509C1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дать указания заводу о всемерном форсировании постройки самолета." (2343,303).</w:t>
      </w:r>
    </w:p>
    <w:p w14:paraId="2246B03A" w14:textId="77777777" w:rsidR="00D4105E" w:rsidRPr="00E14102" w:rsidRDefault="00D4105E" w:rsidP="00E14102">
      <w:pPr>
        <w:autoSpaceDE w:val="0"/>
        <w:autoSpaceDN w:val="0"/>
        <w:adjustRightInd w:val="0"/>
        <w:jc w:val="both"/>
        <w:rPr>
          <w:color w:val="000000" w:themeColor="text1"/>
          <w:sz w:val="16"/>
          <w:szCs w:val="16"/>
        </w:rPr>
      </w:pPr>
    </w:p>
    <w:p w14:paraId="0CE378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апреля 1935 состоялось техническое совещание по вопросам подготовки к перелетам РД-1 и РД-2 (1077,265).</w:t>
      </w:r>
    </w:p>
    <w:p w14:paraId="0DA451AF" w14:textId="77777777" w:rsidR="00D4105E" w:rsidRPr="00E14102" w:rsidRDefault="00D4105E" w:rsidP="00E14102">
      <w:pPr>
        <w:autoSpaceDE w:val="0"/>
        <w:autoSpaceDN w:val="0"/>
        <w:adjustRightInd w:val="0"/>
        <w:jc w:val="both"/>
        <w:rPr>
          <w:color w:val="000000" w:themeColor="text1"/>
          <w:sz w:val="16"/>
          <w:szCs w:val="16"/>
        </w:rPr>
      </w:pPr>
    </w:p>
    <w:p w14:paraId="73DE51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апреля 1935 состоялось техническое совещание по РД и П.О.С. поручили ускорить работу по обшивке кабины (1102).</w:t>
      </w:r>
    </w:p>
    <w:p w14:paraId="32EF84E1" w14:textId="77777777" w:rsidR="00D4105E" w:rsidRPr="00E14102" w:rsidRDefault="00D4105E" w:rsidP="00E14102">
      <w:pPr>
        <w:autoSpaceDE w:val="0"/>
        <w:autoSpaceDN w:val="0"/>
        <w:adjustRightInd w:val="0"/>
        <w:jc w:val="both"/>
        <w:rPr>
          <w:color w:val="000000" w:themeColor="text1"/>
          <w:sz w:val="16"/>
          <w:szCs w:val="16"/>
        </w:rPr>
      </w:pPr>
    </w:p>
    <w:p w14:paraId="29C986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апреля 1935 на аэродром вывезли АНТ-29 ДИП, постройка которого была закончена в январе 1935. В ходе первых полетов выявили дефекты моторов и недостаточность площади рулей и элеронов и вернули в ЗОК (1076,474).</w:t>
      </w:r>
    </w:p>
    <w:p w14:paraId="3338CEE3" w14:textId="77777777" w:rsidR="00D4105E" w:rsidRPr="00E14102" w:rsidRDefault="00D4105E" w:rsidP="00E14102">
      <w:pPr>
        <w:autoSpaceDE w:val="0"/>
        <w:autoSpaceDN w:val="0"/>
        <w:adjustRightInd w:val="0"/>
        <w:jc w:val="both"/>
        <w:rPr>
          <w:color w:val="000000" w:themeColor="text1"/>
          <w:sz w:val="16"/>
          <w:szCs w:val="16"/>
        </w:rPr>
      </w:pPr>
    </w:p>
    <w:p w14:paraId="2565A8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апреля 1935 НИИ ВВС в лице Коробова и дир. завода 22 Фельдман, а т. Нач. ВВС Алкснис утвердили Отчет по экспериментальному приему в полете Изет на ТБ-3 4М-17. Отв. исполнителями были: Нач. 5 бриг. - конструктор 22 завода Вахмистров, Нач. ЛВС завода Фролов, и ЛИС 1 отд. НИИ ВВС Лосюков, ли ЛИС 1 отд. Степанченок и Стефановский</w:t>
      </w:r>
    </w:p>
    <w:p w14:paraId="480839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7EA300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Проверить на практике возможность прицепки и отцепки в воздухе Изет к ТБ-3 4М-17</w:t>
      </w:r>
    </w:p>
    <w:p w14:paraId="4E6871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Оттренировать в прицепке 2 экипажа Изет и ТБ-3 (один ВВС, второй завода 22).</w:t>
      </w:r>
    </w:p>
    <w:p w14:paraId="17E655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A72A9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Экспериментальную установку 3-5 (приспособление для подцепки Изет к ТБ-3 в воздухе) считать прошедшей испытания</w:t>
      </w:r>
    </w:p>
    <w:p w14:paraId="1BD83F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Для выявления возможности принятия установки на вооружение частей ВВС считать необходимым:</w:t>
      </w:r>
    </w:p>
    <w:p w14:paraId="5216A4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конструктивной переделкой обеспечить возможность установки на ТБ-3 кассет ДЕР-9, возможность подвески на них бомб и сбрасывание их в полете с отцеплением Изет (2916).</w:t>
      </w:r>
    </w:p>
    <w:p w14:paraId="49A34B39" w14:textId="77777777" w:rsidR="00D4105E" w:rsidRPr="00E14102" w:rsidRDefault="00D4105E" w:rsidP="00E14102">
      <w:pPr>
        <w:autoSpaceDE w:val="0"/>
        <w:autoSpaceDN w:val="0"/>
        <w:adjustRightInd w:val="0"/>
        <w:jc w:val="both"/>
        <w:rPr>
          <w:color w:val="000000" w:themeColor="text1"/>
          <w:sz w:val="16"/>
          <w:szCs w:val="16"/>
        </w:rPr>
      </w:pPr>
    </w:p>
    <w:p w14:paraId="18899D4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 апреля 1935 года Начальник НИИ ВС Лавров утвердил Отчет по экспериментальному испытанию приема в полете самолета “ЗЕТ” на самолет ТБ3-4М17 (6706).</w:t>
      </w:r>
    </w:p>
    <w:p w14:paraId="72628E6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49FD92F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V бригады Костр завода № 22 инженер Вахмистров</w:t>
      </w:r>
    </w:p>
    <w:p w14:paraId="1FFC7C6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ЛЭС завода № 22 инженер Фролов</w:t>
      </w:r>
    </w:p>
    <w:p w14:paraId="343C5C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 ЛИС 1 отдела НИИ ВС П. Лосюков</w:t>
      </w:r>
    </w:p>
    <w:p w14:paraId="0AC3A35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Летчики-испытатели ЛИС 1 Отдела НИИ ВС Степанченок, Стефановский</w:t>
      </w:r>
    </w:p>
    <w:p w14:paraId="0E5F042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6E2EE5B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Проверить на практике возможность прицепки и отцепки в полете самолета “ЗЕТ” к самолету ТБ3-4М17.</w:t>
      </w:r>
    </w:p>
    <w:p w14:paraId="182F9B5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Оттренировать в прицепке два экипажа самолетов “ЗЕТ” и ТБ3 (один НИИ ВС и второй завода № 22).</w:t>
      </w:r>
    </w:p>
    <w:p w14:paraId="7567F84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0ABBBA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Экспериментальную установку “З-5” (приспособление д/подвески самолета “ЗЕТ” к самолету ТБ3 в воздухе) считать прошедшей испытания (6706).</w:t>
      </w:r>
    </w:p>
    <w:p w14:paraId="474B51E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2F911E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апреля 1935 на заседании рабочей части Оргбюро ВС НИТО (прот. 17) по сообщению Пред. Стратосферного комитета Авиавнито т. Кривицкого о работе комитета, было принято решение по самолету СБ-1 обратиться на имя НКТП от имени ВС НИТО с просьбой принять окончательное решение о постройке машины (2343,230).</w:t>
      </w:r>
    </w:p>
    <w:p w14:paraId="6D5A2DB2" w14:textId="77777777" w:rsidR="00D4105E" w:rsidRPr="00E14102" w:rsidRDefault="00D4105E" w:rsidP="00E14102">
      <w:pPr>
        <w:autoSpaceDE w:val="0"/>
        <w:autoSpaceDN w:val="0"/>
        <w:adjustRightInd w:val="0"/>
        <w:jc w:val="both"/>
        <w:rPr>
          <w:color w:val="000000" w:themeColor="text1"/>
          <w:sz w:val="16"/>
          <w:szCs w:val="16"/>
        </w:rPr>
      </w:pPr>
    </w:p>
    <w:p w14:paraId="3797F9F4" w14:textId="77777777" w:rsidR="008F6B49" w:rsidRPr="00E14102" w:rsidRDefault="008F6B49" w:rsidP="00E14102">
      <w:pPr>
        <w:shd w:val="clear" w:color="auto" w:fill="FFFFFF"/>
        <w:jc w:val="both"/>
        <w:rPr>
          <w:color w:val="000000" w:themeColor="text1"/>
          <w:sz w:val="16"/>
          <w:szCs w:val="16"/>
        </w:rPr>
      </w:pPr>
      <w:r w:rsidRPr="00E14102">
        <w:rPr>
          <w:color w:val="000000" w:themeColor="text1"/>
          <w:sz w:val="16"/>
          <w:szCs w:val="16"/>
        </w:rPr>
        <w:t>3 апреля 1935 г. на заседании рабочей части Оргбюро ВС НИТО, где рассматривалось сообщение председателя стратосферного Комитета Авиавнито Кривицкого о работе комитета, было принято следующее  решение по самолёту СБ-1.</w:t>
      </w:r>
    </w:p>
    <w:p w14:paraId="5C5CDBE2" w14:textId="77777777" w:rsidR="008F6B49" w:rsidRPr="00E14102" w:rsidRDefault="008F6B49" w:rsidP="00E14102">
      <w:pPr>
        <w:shd w:val="clear" w:color="auto" w:fill="FFFFFF"/>
        <w:jc w:val="both"/>
        <w:rPr>
          <w:color w:val="000000" w:themeColor="text1"/>
          <w:sz w:val="16"/>
          <w:szCs w:val="16"/>
        </w:rPr>
      </w:pPr>
      <w:r w:rsidRPr="00E14102">
        <w:rPr>
          <w:color w:val="000000" w:themeColor="text1"/>
          <w:sz w:val="16"/>
          <w:szCs w:val="16"/>
        </w:rPr>
        <w:t>«</w:t>
      </w:r>
      <w:r w:rsidRPr="00E14102">
        <w:rPr>
          <w:iCs/>
          <w:color w:val="000000" w:themeColor="text1"/>
          <w:sz w:val="16"/>
          <w:szCs w:val="16"/>
        </w:rPr>
        <w:t>2. Придавая со своей стороны исключительную важность  быстрейшей реализации проекта рекордного высотного самолёта обратиться на имя Наркома Тяжелой Промышленности от имени председателя ВС НИТО, с просьбой принять окончательное решение о постройке этого самолёта на Н-ском заводе</w:t>
      </w:r>
      <w:r w:rsidRPr="00E14102">
        <w:rPr>
          <w:color w:val="000000" w:themeColor="text1"/>
          <w:sz w:val="16"/>
          <w:szCs w:val="16"/>
        </w:rPr>
        <w:t>». (</w:t>
      </w:r>
      <w:r w:rsidRPr="00E14102">
        <w:rPr>
          <w:iCs/>
          <w:color w:val="000000" w:themeColor="text1"/>
          <w:sz w:val="16"/>
          <w:szCs w:val="16"/>
        </w:rPr>
        <w:t>РГАЭ Ф. 3823 оп. 1 д. 796 л. 230</w:t>
      </w:r>
      <w:r w:rsidRPr="00E14102">
        <w:rPr>
          <w:color w:val="000000" w:themeColor="text1"/>
          <w:sz w:val="16"/>
          <w:szCs w:val="16"/>
        </w:rPr>
        <w:t>) (19528).</w:t>
      </w:r>
    </w:p>
    <w:p w14:paraId="716C498F" w14:textId="77777777" w:rsidR="008F6B49" w:rsidRPr="00E14102" w:rsidRDefault="008F6B49" w:rsidP="00E14102">
      <w:pPr>
        <w:shd w:val="clear" w:color="auto" w:fill="FFFFFF"/>
        <w:jc w:val="both"/>
        <w:rPr>
          <w:color w:val="000000" w:themeColor="text1"/>
          <w:sz w:val="16"/>
          <w:szCs w:val="16"/>
        </w:rPr>
      </w:pPr>
    </w:p>
    <w:p w14:paraId="624EF8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апреля 1935 года на заседании рабочей части Оргбюро НИТО по сообщению председателя Стратосферного комитета Авиавнито Кривицкого о работе к-та, было принято следующее решение по самолету СБ-1.</w:t>
      </w:r>
    </w:p>
    <w:p w14:paraId="0AA7A7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Придавая со своей стороны исключительную важность быстрейшей реализации проекта рекордного высотного самолета обратиться на имя наркома тяжелой промышленности от имени председателя ВС НИТО с просьбой принять окончательное решение о постройке этого самолета на Н-ском заводе.</w:t>
      </w:r>
    </w:p>
    <w:p w14:paraId="5CCBBD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(см. Протокол заседания Оргбюро ВСНИТО N 17 от 3 апреля 1935 года) (3810).</w:t>
      </w:r>
    </w:p>
    <w:p w14:paraId="0F290C43" w14:textId="77777777" w:rsidR="00D4105E" w:rsidRPr="00E14102" w:rsidRDefault="00D4105E" w:rsidP="00E14102">
      <w:pPr>
        <w:autoSpaceDE w:val="0"/>
        <w:autoSpaceDN w:val="0"/>
        <w:adjustRightInd w:val="0"/>
        <w:jc w:val="both"/>
        <w:rPr>
          <w:color w:val="000000" w:themeColor="text1"/>
          <w:sz w:val="16"/>
          <w:szCs w:val="16"/>
        </w:rPr>
      </w:pPr>
    </w:p>
    <w:p w14:paraId="34C814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апреля 1935 года приказом ГУАП № 28/173 Гипроавиа было предложено запроектировать самолетное и моторное производство на площади гл. корпуса самолетного производства в соответствии с расширением и заводу № 124 было присвоено название Комбинат № 124/27 (9233).</w:t>
      </w:r>
    </w:p>
    <w:p w14:paraId="7AB5E28D" w14:textId="77777777" w:rsidR="00D4105E" w:rsidRPr="00E14102" w:rsidRDefault="00D4105E" w:rsidP="00E14102">
      <w:pPr>
        <w:autoSpaceDE w:val="0"/>
        <w:autoSpaceDN w:val="0"/>
        <w:adjustRightInd w:val="0"/>
        <w:jc w:val="both"/>
        <w:rPr>
          <w:color w:val="000000" w:themeColor="text1"/>
          <w:sz w:val="16"/>
          <w:szCs w:val="16"/>
        </w:rPr>
      </w:pPr>
    </w:p>
    <w:p w14:paraId="429854FA" w14:textId="77777777" w:rsidR="009733A9" w:rsidRPr="00E14102" w:rsidRDefault="009733A9" w:rsidP="00E14102">
      <w:pPr>
        <w:jc w:val="both"/>
        <w:rPr>
          <w:color w:val="0070C0"/>
          <w:sz w:val="16"/>
          <w:szCs w:val="16"/>
        </w:rPr>
      </w:pPr>
      <w:r w:rsidRPr="00E14102">
        <w:rPr>
          <w:color w:val="0070C0"/>
          <w:sz w:val="16"/>
          <w:szCs w:val="16"/>
        </w:rPr>
        <w:t>3 апреля 1935 вышло решение ПБ</w:t>
      </w:r>
    </w:p>
    <w:p w14:paraId="6900E31E" w14:textId="77777777" w:rsidR="009733A9" w:rsidRPr="00E14102" w:rsidRDefault="009733A9" w:rsidP="00E14102">
      <w:pPr>
        <w:tabs>
          <w:tab w:val="left" w:pos="5378"/>
        </w:tabs>
        <w:jc w:val="both"/>
        <w:rPr>
          <w:color w:val="0070C0"/>
          <w:sz w:val="16"/>
          <w:szCs w:val="16"/>
          <w:lang w:bidi="ru-RU"/>
        </w:rPr>
      </w:pPr>
      <w:r w:rsidRPr="00E14102">
        <w:rPr>
          <w:color w:val="0070C0"/>
          <w:sz w:val="16"/>
          <w:szCs w:val="16"/>
          <w:lang w:bidi="ru-RU"/>
        </w:rPr>
        <w:t>Опросом членов ПБ 7 марта 1935</w:t>
      </w:r>
    </w:p>
    <w:p w14:paraId="6215F01B" w14:textId="77777777" w:rsidR="009733A9" w:rsidRPr="00E14102" w:rsidRDefault="009733A9" w:rsidP="00E14102">
      <w:pPr>
        <w:jc w:val="both"/>
        <w:rPr>
          <w:color w:val="0070C0"/>
          <w:sz w:val="16"/>
          <w:szCs w:val="16"/>
        </w:rPr>
      </w:pPr>
      <w:r w:rsidRPr="00E14102">
        <w:rPr>
          <w:color w:val="0070C0"/>
          <w:sz w:val="16"/>
          <w:szCs w:val="16"/>
          <w:lang w:bidi="ru-RU"/>
        </w:rPr>
        <w:t>2. О заказе в Италии</w:t>
      </w:r>
      <w:r w:rsidRPr="00E14102">
        <w:rPr>
          <w:color w:val="0070C0"/>
          <w:sz w:val="16"/>
          <w:szCs w:val="16"/>
          <w:u w:val="single"/>
          <w:lang w:bidi="ru-RU"/>
        </w:rPr>
        <w:t>,</w:t>
      </w:r>
    </w:p>
    <w:p w14:paraId="7EA91F76" w14:textId="77777777" w:rsidR="009733A9" w:rsidRPr="00E14102" w:rsidRDefault="009733A9" w:rsidP="00E14102">
      <w:pPr>
        <w:jc w:val="both"/>
        <w:rPr>
          <w:color w:val="0070C0"/>
          <w:sz w:val="16"/>
          <w:szCs w:val="16"/>
        </w:rPr>
      </w:pPr>
      <w:r w:rsidRPr="00E14102">
        <w:rPr>
          <w:color w:val="0070C0"/>
          <w:sz w:val="16"/>
          <w:szCs w:val="16"/>
          <w:lang w:bidi="ru-RU"/>
        </w:rPr>
        <w:lastRenderedPageBreak/>
        <w:t>Принять предложение т.Туполева о заказе фирме Двуатин- бад-самолет: одного самолета с установленной пушкой, стреляю</w:t>
      </w:r>
      <w:r w:rsidRPr="00E14102">
        <w:rPr>
          <w:color w:val="0070C0"/>
          <w:sz w:val="16"/>
          <w:szCs w:val="16"/>
          <w:lang w:bidi="ru-RU"/>
        </w:rPr>
        <w:softHyphen/>
        <w:t>щей через винт и одного самолета с двумя пушками, установлен</w:t>
      </w:r>
      <w:r w:rsidRPr="00E14102">
        <w:rPr>
          <w:color w:val="0070C0"/>
          <w:sz w:val="16"/>
          <w:szCs w:val="16"/>
          <w:lang w:bidi="ru-RU"/>
        </w:rPr>
        <w:softHyphen/>
        <w:t>ными на крыле, с ориентировочной стоимостью каждого самоле</w:t>
      </w:r>
      <w:r w:rsidRPr="00E14102">
        <w:rPr>
          <w:color w:val="0070C0"/>
          <w:sz w:val="16"/>
          <w:szCs w:val="16"/>
          <w:lang w:bidi="ru-RU"/>
        </w:rPr>
        <w:softHyphen/>
        <w:t>та 600.000 франков.</w:t>
      </w:r>
    </w:p>
    <w:p w14:paraId="3928E209" w14:textId="77777777" w:rsidR="009733A9" w:rsidRPr="00E14102" w:rsidRDefault="009733A9" w:rsidP="00E14102">
      <w:pPr>
        <w:jc w:val="both"/>
        <w:rPr>
          <w:color w:val="0070C0"/>
          <w:sz w:val="16"/>
          <w:szCs w:val="16"/>
          <w:lang w:bidi="ru-RU"/>
        </w:rPr>
      </w:pPr>
      <w:r w:rsidRPr="00E14102">
        <w:rPr>
          <w:color w:val="0070C0"/>
          <w:sz w:val="16"/>
          <w:szCs w:val="16"/>
          <w:lang w:bidi="ru-RU"/>
        </w:rPr>
        <w:t>Выписки Посланы: т.т;Розепгольцу,Ворошилову.Орджоникидзе.</w:t>
      </w:r>
    </w:p>
    <w:p w14:paraId="707449F5" w14:textId="77777777" w:rsidR="009733A9" w:rsidRPr="00E14102" w:rsidRDefault="009733A9" w:rsidP="00E14102">
      <w:pPr>
        <w:jc w:val="both"/>
        <w:rPr>
          <w:color w:val="0070C0"/>
          <w:sz w:val="16"/>
          <w:szCs w:val="16"/>
        </w:rPr>
      </w:pPr>
      <w:r w:rsidRPr="00E14102">
        <w:rPr>
          <w:color w:val="0070C0"/>
          <w:sz w:val="16"/>
          <w:szCs w:val="16"/>
        </w:rPr>
        <w:t>3. О прилете в Москву итальянской воздушной эскадрильи.</w:t>
      </w:r>
    </w:p>
    <w:p w14:paraId="38464247" w14:textId="77777777" w:rsidR="009733A9" w:rsidRPr="00E14102" w:rsidRDefault="009733A9" w:rsidP="00E14102">
      <w:pPr>
        <w:jc w:val="both"/>
        <w:rPr>
          <w:color w:val="0070C0"/>
          <w:sz w:val="16"/>
          <w:szCs w:val="16"/>
        </w:rPr>
      </w:pPr>
      <w:r w:rsidRPr="00E14102">
        <w:rPr>
          <w:color w:val="0070C0"/>
          <w:sz w:val="16"/>
          <w:szCs w:val="16"/>
        </w:rPr>
        <w:t>Разрешить прилет в Москву в мае с.г. итальянской воздуш</w:t>
      </w:r>
      <w:r w:rsidRPr="00E14102">
        <w:rPr>
          <w:color w:val="0070C0"/>
          <w:sz w:val="16"/>
          <w:szCs w:val="16"/>
        </w:rPr>
        <w:softHyphen/>
        <w:t>ной эскадрильи во главе с ген. Валло (товарищ министра авиа</w:t>
      </w:r>
      <w:r w:rsidRPr="00E14102">
        <w:rPr>
          <w:color w:val="0070C0"/>
          <w:sz w:val="16"/>
          <w:szCs w:val="16"/>
        </w:rPr>
        <w:softHyphen/>
        <w:t>ции Италии).</w:t>
      </w:r>
    </w:p>
    <w:p w14:paraId="7A696472" w14:textId="77777777" w:rsidR="009733A9" w:rsidRPr="00E14102" w:rsidRDefault="009733A9" w:rsidP="00E14102">
      <w:pPr>
        <w:jc w:val="both"/>
        <w:rPr>
          <w:color w:val="0070C0"/>
          <w:sz w:val="16"/>
          <w:szCs w:val="16"/>
        </w:rPr>
      </w:pPr>
      <w:r w:rsidRPr="00E14102">
        <w:rPr>
          <w:color w:val="0070C0"/>
          <w:sz w:val="16"/>
          <w:szCs w:val="16"/>
        </w:rPr>
        <w:t>Выписки посланы: т.т. Ворошилову, Литвинову, Крестинскому, Артузову</w:t>
      </w:r>
    </w:p>
    <w:p w14:paraId="383F74A2" w14:textId="77777777" w:rsidR="009733A9" w:rsidRPr="00E14102" w:rsidRDefault="009733A9" w:rsidP="00E14102">
      <w:pPr>
        <w:jc w:val="both"/>
        <w:rPr>
          <w:color w:val="0070C0"/>
          <w:sz w:val="16"/>
          <w:szCs w:val="16"/>
        </w:rPr>
      </w:pPr>
      <w:r w:rsidRPr="00E14102">
        <w:rPr>
          <w:color w:val="0070C0"/>
          <w:sz w:val="16"/>
          <w:szCs w:val="16"/>
        </w:rPr>
        <w:t>4. Об Афганистане.</w:t>
      </w:r>
    </w:p>
    <w:p w14:paraId="756A3135" w14:textId="77777777" w:rsidR="009733A9" w:rsidRPr="00E14102" w:rsidRDefault="009733A9" w:rsidP="00E14102">
      <w:pPr>
        <w:jc w:val="both"/>
        <w:rPr>
          <w:color w:val="0070C0"/>
          <w:sz w:val="16"/>
          <w:szCs w:val="16"/>
        </w:rPr>
      </w:pPr>
      <w:r w:rsidRPr="00E14102">
        <w:rPr>
          <w:color w:val="0070C0"/>
          <w:sz w:val="16"/>
          <w:szCs w:val="16"/>
        </w:rPr>
        <w:t>1. Разрешить НКВТ установить окончательные цены на все продаваемое имущество, в соответствии с цепами инокопкуренции на аналогичные предметы.</w:t>
      </w:r>
    </w:p>
    <w:p w14:paraId="05EEAD9A" w14:textId="77777777" w:rsidR="009733A9" w:rsidRPr="00E14102" w:rsidRDefault="009733A9" w:rsidP="00E14102">
      <w:pPr>
        <w:jc w:val="both"/>
        <w:rPr>
          <w:color w:val="0070C0"/>
          <w:sz w:val="16"/>
          <w:szCs w:val="16"/>
        </w:rPr>
      </w:pPr>
      <w:r w:rsidRPr="00E14102">
        <w:rPr>
          <w:color w:val="0070C0"/>
          <w:sz w:val="16"/>
          <w:szCs w:val="16"/>
        </w:rPr>
        <w:t>2. Разрешить НКВТ продать афганпра некоторое количество самолетов го и 1-2 батареи зенитных пушек со снарядами.</w:t>
      </w:r>
    </w:p>
    <w:p w14:paraId="30869D6D" w14:textId="77777777" w:rsidR="009733A9" w:rsidRPr="00E14102" w:rsidRDefault="009733A9" w:rsidP="00E14102">
      <w:pPr>
        <w:jc w:val="both"/>
        <w:rPr>
          <w:color w:val="0070C0"/>
          <w:sz w:val="16"/>
          <w:szCs w:val="16"/>
        </w:rPr>
      </w:pPr>
      <w:r w:rsidRPr="00E14102">
        <w:rPr>
          <w:color w:val="0070C0"/>
          <w:sz w:val="16"/>
          <w:szCs w:val="16"/>
        </w:rPr>
        <w:t>3. Разрешить приезд в Москву для переговоров о покупке оружия и для участия в испытаниях предлагаемых образцов ору</w:t>
      </w:r>
      <w:r w:rsidRPr="00E14102">
        <w:rPr>
          <w:color w:val="0070C0"/>
          <w:sz w:val="16"/>
          <w:szCs w:val="16"/>
        </w:rPr>
        <w:softHyphen/>
        <w:t>жия представителей афганской армии.</w:t>
      </w:r>
    </w:p>
    <w:p w14:paraId="37522615" w14:textId="77777777" w:rsidR="009733A9" w:rsidRPr="00E14102" w:rsidRDefault="009733A9" w:rsidP="00E14102">
      <w:pPr>
        <w:jc w:val="both"/>
        <w:rPr>
          <w:color w:val="0070C0"/>
          <w:sz w:val="16"/>
          <w:szCs w:val="16"/>
        </w:rPr>
      </w:pPr>
      <w:r w:rsidRPr="00E14102">
        <w:rPr>
          <w:color w:val="0070C0"/>
          <w:sz w:val="16"/>
          <w:szCs w:val="16"/>
        </w:rPr>
        <w:t>Выписки посланы: т. т.Розенгольцу, Кретинскому, Ворошилову</w:t>
      </w:r>
    </w:p>
    <w:p w14:paraId="658BB20B" w14:textId="77777777" w:rsidR="009733A9" w:rsidRPr="00E14102" w:rsidRDefault="009733A9" w:rsidP="00E14102">
      <w:pPr>
        <w:jc w:val="both"/>
        <w:rPr>
          <w:color w:val="0070C0"/>
          <w:sz w:val="16"/>
          <w:szCs w:val="16"/>
        </w:rPr>
      </w:pPr>
      <w:bookmarkStart w:id="10" w:name="_Hlk93685542"/>
      <w:r w:rsidRPr="00E14102">
        <w:rPr>
          <w:color w:val="0070C0"/>
          <w:sz w:val="16"/>
          <w:szCs w:val="16"/>
        </w:rPr>
        <w:t>От 19 марта 1935</w:t>
      </w:r>
    </w:p>
    <w:p w14:paraId="3B3A3599" w14:textId="77777777" w:rsidR="009733A9" w:rsidRPr="00E14102" w:rsidRDefault="009733A9" w:rsidP="00E14102">
      <w:pPr>
        <w:jc w:val="both"/>
        <w:rPr>
          <w:color w:val="0070C0"/>
          <w:sz w:val="16"/>
          <w:szCs w:val="16"/>
        </w:rPr>
      </w:pPr>
      <w:r w:rsidRPr="00E14102">
        <w:rPr>
          <w:color w:val="0070C0"/>
          <w:sz w:val="16"/>
          <w:szCs w:val="16"/>
        </w:rPr>
        <w:t>143.- Вопрос К.О.</w:t>
      </w:r>
    </w:p>
    <w:p w14:paraId="4327141C" w14:textId="77777777" w:rsidR="009733A9" w:rsidRPr="00E14102" w:rsidRDefault="009733A9" w:rsidP="00E14102">
      <w:pPr>
        <w:jc w:val="both"/>
        <w:rPr>
          <w:color w:val="0070C0"/>
          <w:sz w:val="16"/>
          <w:szCs w:val="16"/>
        </w:rPr>
      </w:pPr>
      <w:r w:rsidRPr="00E14102">
        <w:rPr>
          <w:color w:val="0070C0"/>
          <w:sz w:val="16"/>
          <w:szCs w:val="16"/>
        </w:rPr>
        <w:t>Утвердить решение СТС об отпуске Наркомтяжпрому в счет контингентов НКТП 155 тыс.руб.золотом на покупку заграницей б моторов "Гном и Рон" (К-14) и 6 металли</w:t>
      </w:r>
      <w:r w:rsidRPr="00E14102">
        <w:rPr>
          <w:color w:val="0070C0"/>
          <w:sz w:val="16"/>
          <w:szCs w:val="16"/>
        </w:rPr>
        <w:softHyphen/>
        <w:t>ческих винтов с переменным шагом для постройки дальнего бомбардировщика.</w:t>
      </w:r>
    </w:p>
    <w:p w14:paraId="4D3B54BB" w14:textId="77777777" w:rsidR="009733A9" w:rsidRPr="00E14102" w:rsidRDefault="009733A9" w:rsidP="00E14102">
      <w:pPr>
        <w:jc w:val="both"/>
        <w:rPr>
          <w:color w:val="0070C0"/>
          <w:sz w:val="16"/>
          <w:szCs w:val="16"/>
        </w:rPr>
      </w:pPr>
      <w:r w:rsidRPr="00E14102">
        <w:rPr>
          <w:color w:val="0070C0"/>
          <w:sz w:val="16"/>
          <w:szCs w:val="16"/>
        </w:rPr>
        <w:t>Выписки посланы:</w:t>
      </w:r>
    </w:p>
    <w:p w14:paraId="782E6C9C" w14:textId="77777777" w:rsidR="009733A9" w:rsidRPr="00E14102" w:rsidRDefault="009733A9" w:rsidP="00E14102">
      <w:pPr>
        <w:jc w:val="both"/>
        <w:rPr>
          <w:color w:val="0070C0"/>
          <w:sz w:val="16"/>
          <w:szCs w:val="16"/>
        </w:rPr>
      </w:pPr>
      <w:r w:rsidRPr="00E14102">
        <w:rPr>
          <w:color w:val="0070C0"/>
          <w:sz w:val="16"/>
          <w:szCs w:val="16"/>
        </w:rPr>
        <w:t>т.т.Орджоникидзе.Розонгольцу, Базилевичу.Мирошникову.</w:t>
      </w:r>
    </w:p>
    <w:p w14:paraId="2809A558" w14:textId="77777777" w:rsidR="009733A9" w:rsidRPr="00E14102" w:rsidRDefault="009733A9" w:rsidP="00E14102">
      <w:pPr>
        <w:jc w:val="both"/>
        <w:rPr>
          <w:color w:val="0070C0"/>
          <w:sz w:val="16"/>
          <w:szCs w:val="16"/>
        </w:rPr>
      </w:pPr>
      <w:r w:rsidRPr="00E14102">
        <w:rPr>
          <w:color w:val="0070C0"/>
          <w:sz w:val="16"/>
          <w:szCs w:val="16"/>
        </w:rPr>
        <w:t>От 20 марта 1935</w:t>
      </w:r>
    </w:p>
    <w:p w14:paraId="1518E070" w14:textId="77777777" w:rsidR="009733A9" w:rsidRPr="00E14102" w:rsidRDefault="009733A9" w:rsidP="00E14102">
      <w:pPr>
        <w:jc w:val="both"/>
        <w:rPr>
          <w:color w:val="0070C0"/>
          <w:sz w:val="16"/>
          <w:szCs w:val="16"/>
        </w:rPr>
      </w:pPr>
      <w:r w:rsidRPr="00E14102">
        <w:rPr>
          <w:color w:val="0070C0"/>
          <w:sz w:val="16"/>
          <w:szCs w:val="16"/>
        </w:rPr>
        <w:t>158. Предложение чехословацких авиафирм.</w:t>
      </w:r>
    </w:p>
    <w:p w14:paraId="7666D664" w14:textId="77777777" w:rsidR="009733A9" w:rsidRPr="00E14102" w:rsidRDefault="009733A9" w:rsidP="00E14102">
      <w:pPr>
        <w:jc w:val="both"/>
        <w:rPr>
          <w:color w:val="0070C0"/>
          <w:sz w:val="16"/>
          <w:szCs w:val="16"/>
        </w:rPr>
      </w:pPr>
      <w:r w:rsidRPr="00E14102">
        <w:rPr>
          <w:color w:val="0070C0"/>
          <w:sz w:val="16"/>
          <w:szCs w:val="16"/>
        </w:rPr>
        <w:t>Командировать в Чехословакию для ознакомления с чехословацкой авиапромышленностью совместную комиссию от УВС РККА и ГУАП, в следующем составе:</w:t>
      </w:r>
    </w:p>
    <w:p w14:paraId="623BB2E3" w14:textId="77777777" w:rsidR="009733A9" w:rsidRPr="00E14102" w:rsidRDefault="009733A9" w:rsidP="00E14102">
      <w:pPr>
        <w:jc w:val="both"/>
        <w:rPr>
          <w:color w:val="0070C0"/>
          <w:sz w:val="16"/>
          <w:szCs w:val="16"/>
        </w:rPr>
      </w:pPr>
      <w:r w:rsidRPr="00E14102">
        <w:rPr>
          <w:color w:val="0070C0"/>
          <w:sz w:val="16"/>
          <w:szCs w:val="16"/>
        </w:rPr>
        <w:t>1. ЛАВРОВА В.К. - Начальника Научно-Испытательного Ин</w:t>
      </w:r>
      <w:r w:rsidRPr="00E14102">
        <w:rPr>
          <w:color w:val="0070C0"/>
          <w:sz w:val="16"/>
          <w:szCs w:val="16"/>
        </w:rPr>
        <w:softHyphen/>
        <w:t>ститута ВС РККА (председатель группы).</w:t>
      </w:r>
    </w:p>
    <w:p w14:paraId="274A9259" w14:textId="77777777" w:rsidR="009733A9" w:rsidRPr="00E14102" w:rsidRDefault="009733A9" w:rsidP="00E14102">
      <w:pPr>
        <w:jc w:val="both"/>
        <w:rPr>
          <w:color w:val="0070C0"/>
          <w:sz w:val="16"/>
          <w:szCs w:val="16"/>
        </w:rPr>
      </w:pPr>
      <w:r w:rsidRPr="00E14102">
        <w:rPr>
          <w:color w:val="0070C0"/>
          <w:sz w:val="16"/>
          <w:szCs w:val="16"/>
        </w:rPr>
        <w:t>2. СОЛДАТОВА Л.В. - Начальника Стрелкового Отделения Отдела ВOOI-ужения ВС РККА.</w:t>
      </w:r>
    </w:p>
    <w:p w14:paraId="72DD18AD" w14:textId="77777777" w:rsidR="009733A9" w:rsidRPr="00E14102" w:rsidRDefault="009733A9" w:rsidP="00E14102">
      <w:pPr>
        <w:jc w:val="both"/>
        <w:rPr>
          <w:color w:val="0070C0"/>
          <w:sz w:val="16"/>
          <w:szCs w:val="16"/>
        </w:rPr>
      </w:pPr>
      <w:r w:rsidRPr="00E14102">
        <w:rPr>
          <w:color w:val="0070C0"/>
          <w:sz w:val="16"/>
          <w:szCs w:val="16"/>
        </w:rPr>
        <w:t>3. МАЛЬЦЕВА Я. И. - Помощника Начальника Конструкторской бригады по вооружению завода № 29.</w:t>
      </w:r>
    </w:p>
    <w:p w14:paraId="27089577" w14:textId="77777777" w:rsidR="009733A9" w:rsidRPr="00E14102" w:rsidRDefault="009733A9" w:rsidP="00E14102">
      <w:pPr>
        <w:jc w:val="both"/>
        <w:rPr>
          <w:color w:val="0070C0"/>
          <w:sz w:val="16"/>
          <w:szCs w:val="16"/>
        </w:rPr>
      </w:pPr>
      <w:r w:rsidRPr="00E14102">
        <w:rPr>
          <w:color w:val="0070C0"/>
          <w:sz w:val="16"/>
          <w:szCs w:val="16"/>
        </w:rPr>
        <w:t>4. TЫPИЧEBA Б.М, - Начальника литейного цеха завода № 26.</w:t>
      </w:r>
    </w:p>
    <w:p w14:paraId="0F5AD05F" w14:textId="77777777" w:rsidR="009733A9" w:rsidRPr="00E14102" w:rsidRDefault="009733A9" w:rsidP="00E14102">
      <w:pPr>
        <w:jc w:val="both"/>
        <w:rPr>
          <w:color w:val="0070C0"/>
          <w:sz w:val="16"/>
          <w:szCs w:val="16"/>
        </w:rPr>
      </w:pPr>
      <w:r w:rsidRPr="00E14102">
        <w:rPr>
          <w:color w:val="0070C0"/>
          <w:sz w:val="16"/>
          <w:szCs w:val="16"/>
        </w:rPr>
        <w:t>5. ДУБРОНИНА А.А. - Главного конструктора завода 39 им.т.Монжинекого.</w:t>
      </w:r>
    </w:p>
    <w:p w14:paraId="29F893B2" w14:textId="77777777" w:rsidR="009733A9" w:rsidRPr="00E14102" w:rsidRDefault="009733A9" w:rsidP="00E14102">
      <w:pPr>
        <w:jc w:val="both"/>
        <w:rPr>
          <w:color w:val="0070C0"/>
          <w:sz w:val="16"/>
          <w:szCs w:val="16"/>
        </w:rPr>
      </w:pPr>
      <w:r w:rsidRPr="00E14102">
        <w:rPr>
          <w:color w:val="0070C0"/>
          <w:sz w:val="16"/>
          <w:szCs w:val="16"/>
        </w:rPr>
        <w:t>Выписки посланы: т.т. Ворошилову, Литвинову, Орджоникидзе, Броуну, Ягода.</w:t>
      </w:r>
    </w:p>
    <w:p w14:paraId="4046DC92" w14:textId="77777777" w:rsidR="009733A9" w:rsidRPr="00E14102" w:rsidRDefault="009733A9" w:rsidP="00E14102">
      <w:pPr>
        <w:jc w:val="both"/>
        <w:rPr>
          <w:color w:val="0070C0"/>
          <w:sz w:val="16"/>
          <w:szCs w:val="16"/>
        </w:rPr>
      </w:pPr>
      <w:r w:rsidRPr="00E14102">
        <w:rPr>
          <w:color w:val="0070C0"/>
          <w:sz w:val="16"/>
          <w:szCs w:val="16"/>
        </w:rPr>
        <w:t>161. О покупке автомотрисе Литторин".</w:t>
      </w:r>
    </w:p>
    <w:p w14:paraId="79889CC2" w14:textId="77777777" w:rsidR="009733A9" w:rsidRPr="00E14102" w:rsidRDefault="009733A9" w:rsidP="00E14102">
      <w:pPr>
        <w:jc w:val="both"/>
        <w:rPr>
          <w:color w:val="0070C0"/>
          <w:sz w:val="16"/>
          <w:szCs w:val="16"/>
        </w:rPr>
      </w:pPr>
      <w:r w:rsidRPr="00E14102">
        <w:rPr>
          <w:color w:val="0070C0"/>
          <w:sz w:val="16"/>
          <w:szCs w:val="16"/>
        </w:rPr>
        <w:t>а) Не возражать против покупки "Литторин” за налич</w:t>
      </w:r>
      <w:r w:rsidRPr="00E14102">
        <w:rPr>
          <w:color w:val="0070C0"/>
          <w:sz w:val="16"/>
          <w:szCs w:val="16"/>
        </w:rPr>
        <w:softHyphen/>
        <w:t>ный расчет.</w:t>
      </w:r>
    </w:p>
    <w:p w14:paraId="08F2C8DF" w14:textId="77777777" w:rsidR="009733A9" w:rsidRPr="00E14102" w:rsidRDefault="009733A9" w:rsidP="00E14102">
      <w:pPr>
        <w:jc w:val="both"/>
        <w:rPr>
          <w:color w:val="0070C0"/>
          <w:sz w:val="16"/>
          <w:szCs w:val="16"/>
        </w:rPr>
      </w:pPr>
      <w:r w:rsidRPr="00E14102">
        <w:rPr>
          <w:color w:val="0070C0"/>
          <w:sz w:val="16"/>
          <w:szCs w:val="16"/>
        </w:rPr>
        <w:t>б) Расходи в сумме 94.260 зол.рублей произвести за счет контингентов НКО.</w:t>
      </w:r>
    </w:p>
    <w:p w14:paraId="6510D95E" w14:textId="77777777" w:rsidR="009733A9" w:rsidRPr="00E14102" w:rsidRDefault="009733A9" w:rsidP="00E14102">
      <w:pPr>
        <w:jc w:val="both"/>
        <w:rPr>
          <w:color w:val="0070C0"/>
          <w:sz w:val="16"/>
          <w:szCs w:val="16"/>
        </w:rPr>
      </w:pPr>
      <w:r w:rsidRPr="00E14102">
        <w:rPr>
          <w:color w:val="0070C0"/>
          <w:sz w:val="16"/>
          <w:szCs w:val="16"/>
        </w:rPr>
        <w:t>в) Срок изготовления "Литторин" ’остановить 6 меся</w:t>
      </w:r>
      <w:r w:rsidRPr="00E14102">
        <w:rPr>
          <w:color w:val="0070C0"/>
          <w:sz w:val="16"/>
          <w:szCs w:val="16"/>
        </w:rPr>
        <w:softHyphen/>
        <w:t>цев .</w:t>
      </w:r>
    </w:p>
    <w:p w14:paraId="526FDA7E" w14:textId="77777777" w:rsidR="009733A9" w:rsidRPr="00E14102" w:rsidRDefault="009733A9" w:rsidP="00E14102">
      <w:pPr>
        <w:jc w:val="both"/>
        <w:rPr>
          <w:color w:val="0070C0"/>
          <w:sz w:val="16"/>
          <w:szCs w:val="16"/>
        </w:rPr>
      </w:pPr>
      <w:r w:rsidRPr="00E14102">
        <w:rPr>
          <w:color w:val="0070C0"/>
          <w:sz w:val="16"/>
          <w:szCs w:val="16"/>
        </w:rPr>
        <w:t>Выписки посланы: т.т. Ворошилову, Розенгольцу, Мирошникову.</w:t>
      </w:r>
    </w:p>
    <w:p w14:paraId="281DEA78" w14:textId="77777777" w:rsidR="009733A9" w:rsidRPr="00E14102" w:rsidRDefault="009733A9" w:rsidP="00E14102">
      <w:pPr>
        <w:jc w:val="both"/>
        <w:rPr>
          <w:color w:val="0070C0"/>
          <w:sz w:val="16"/>
          <w:szCs w:val="16"/>
        </w:rPr>
      </w:pPr>
      <w:r w:rsidRPr="00E14102">
        <w:rPr>
          <w:color w:val="0070C0"/>
          <w:sz w:val="16"/>
          <w:szCs w:val="16"/>
        </w:rPr>
        <w:t>От 23 марта 1935</w:t>
      </w:r>
    </w:p>
    <w:p w14:paraId="1EB8B724" w14:textId="77777777" w:rsidR="009733A9" w:rsidRPr="00E14102" w:rsidRDefault="009733A9" w:rsidP="00E14102">
      <w:pPr>
        <w:jc w:val="both"/>
        <w:rPr>
          <w:color w:val="0070C0"/>
          <w:sz w:val="16"/>
          <w:szCs w:val="16"/>
        </w:rPr>
      </w:pPr>
      <w:r w:rsidRPr="00E14102">
        <w:rPr>
          <w:color w:val="0070C0"/>
          <w:sz w:val="16"/>
          <w:szCs w:val="16"/>
        </w:rPr>
        <w:t>187. О посылке в Турцию парашютистов.</w:t>
      </w:r>
    </w:p>
    <w:p w14:paraId="2F56A6BD" w14:textId="77777777" w:rsidR="009733A9" w:rsidRPr="00E14102" w:rsidRDefault="009733A9" w:rsidP="00E14102">
      <w:pPr>
        <w:jc w:val="both"/>
        <w:rPr>
          <w:color w:val="0070C0"/>
          <w:sz w:val="16"/>
          <w:szCs w:val="16"/>
        </w:rPr>
      </w:pPr>
      <w:r w:rsidRPr="00E14102">
        <w:rPr>
          <w:color w:val="0070C0"/>
          <w:sz w:val="16"/>
          <w:szCs w:val="16"/>
        </w:rPr>
        <w:t>(ПБ от 11.Ш.35 г., пр. № 25, п. 80).</w:t>
      </w:r>
    </w:p>
    <w:p w14:paraId="2A475F27" w14:textId="77777777" w:rsidR="009733A9" w:rsidRPr="00E14102" w:rsidRDefault="009733A9" w:rsidP="00E14102">
      <w:pPr>
        <w:jc w:val="both"/>
        <w:rPr>
          <w:color w:val="0070C0"/>
          <w:sz w:val="16"/>
          <w:szCs w:val="16"/>
        </w:rPr>
      </w:pPr>
      <w:r w:rsidRPr="00E14102">
        <w:rPr>
          <w:color w:val="0070C0"/>
          <w:sz w:val="16"/>
          <w:szCs w:val="16"/>
        </w:rPr>
        <w:t>Утвердить кандидатуры инструкторов по планерному и парашютному делу для посылки в Турцию:</w:t>
      </w:r>
    </w:p>
    <w:p w14:paraId="0F1A2161" w14:textId="77777777" w:rsidR="009733A9" w:rsidRPr="00E14102" w:rsidRDefault="009733A9" w:rsidP="00E14102">
      <w:pPr>
        <w:jc w:val="both"/>
        <w:rPr>
          <w:color w:val="0070C0"/>
          <w:sz w:val="16"/>
          <w:szCs w:val="16"/>
        </w:rPr>
      </w:pPr>
      <w:r w:rsidRPr="00E14102">
        <w:rPr>
          <w:color w:val="0070C0"/>
          <w:sz w:val="16"/>
          <w:szCs w:val="16"/>
        </w:rPr>
        <w:t>1) Тов. Анохина О.И. - инструктора высшей планерной школы Осоавиахима в Коктебеле и</w:t>
      </w:r>
    </w:p>
    <w:p w14:paraId="787F4147" w14:textId="77777777" w:rsidR="009733A9" w:rsidRPr="00E14102" w:rsidRDefault="009733A9" w:rsidP="00E14102">
      <w:pPr>
        <w:jc w:val="both"/>
        <w:rPr>
          <w:color w:val="0070C0"/>
          <w:sz w:val="16"/>
          <w:szCs w:val="16"/>
        </w:rPr>
      </w:pPr>
      <w:r w:rsidRPr="00E14102">
        <w:rPr>
          <w:color w:val="0070C0"/>
          <w:sz w:val="16"/>
          <w:szCs w:val="16"/>
        </w:rPr>
        <w:t>2) Тов.Романова М.Ф. - инструктора Московской пла</w:t>
      </w:r>
      <w:r w:rsidRPr="00E14102">
        <w:rPr>
          <w:color w:val="0070C0"/>
          <w:sz w:val="16"/>
          <w:szCs w:val="16"/>
        </w:rPr>
        <w:softHyphen/>
        <w:t>нерной школы Осоавиахима.</w:t>
      </w:r>
    </w:p>
    <w:p w14:paraId="44F84617" w14:textId="77777777" w:rsidR="009733A9" w:rsidRPr="00E14102" w:rsidRDefault="009733A9" w:rsidP="00E14102">
      <w:pPr>
        <w:jc w:val="both"/>
        <w:rPr>
          <w:color w:val="0070C0"/>
          <w:sz w:val="16"/>
          <w:szCs w:val="16"/>
        </w:rPr>
      </w:pPr>
      <w:r w:rsidRPr="00E14102">
        <w:rPr>
          <w:color w:val="0070C0"/>
          <w:sz w:val="16"/>
          <w:szCs w:val="16"/>
        </w:rPr>
        <w:t>Выписки посланы: т.т. Ворошилову, Литвинову, Броуну, Ягода.</w:t>
      </w:r>
    </w:p>
    <w:p w14:paraId="03A5BF98" w14:textId="77777777" w:rsidR="009733A9" w:rsidRPr="00E14102" w:rsidRDefault="009733A9" w:rsidP="00E14102">
      <w:pPr>
        <w:jc w:val="both"/>
        <w:rPr>
          <w:color w:val="0070C0"/>
          <w:sz w:val="16"/>
          <w:szCs w:val="16"/>
        </w:rPr>
      </w:pPr>
      <w:r w:rsidRPr="00E14102">
        <w:rPr>
          <w:color w:val="0070C0"/>
          <w:sz w:val="16"/>
          <w:szCs w:val="16"/>
        </w:rPr>
        <w:t>189.  Об оборудовании для.автозавода им.Сталина.</w:t>
      </w:r>
    </w:p>
    <w:p w14:paraId="08B3D887" w14:textId="77777777" w:rsidR="009733A9" w:rsidRPr="00E14102" w:rsidRDefault="009733A9" w:rsidP="00E14102">
      <w:pPr>
        <w:jc w:val="both"/>
        <w:rPr>
          <w:color w:val="0070C0"/>
          <w:sz w:val="16"/>
          <w:szCs w:val="16"/>
        </w:rPr>
      </w:pPr>
      <w:r w:rsidRPr="00E14102">
        <w:rPr>
          <w:color w:val="0070C0"/>
          <w:sz w:val="16"/>
          <w:szCs w:val="16"/>
        </w:rPr>
        <w:t>1) Первый взнос за КВЖД в размере 23.360 мил.иен обратить целиком на закупку оборудования для завода ЗИС, переведя эти деньги в распоряжение Госбанка.</w:t>
      </w:r>
    </w:p>
    <w:p w14:paraId="76867042" w14:textId="77777777" w:rsidR="009733A9" w:rsidRPr="00E14102" w:rsidRDefault="009733A9" w:rsidP="00E14102">
      <w:pPr>
        <w:jc w:val="both"/>
        <w:rPr>
          <w:color w:val="0070C0"/>
          <w:sz w:val="16"/>
          <w:szCs w:val="16"/>
        </w:rPr>
      </w:pPr>
      <w:r w:rsidRPr="00E14102">
        <w:rPr>
          <w:color w:val="0070C0"/>
          <w:sz w:val="16"/>
          <w:szCs w:val="16"/>
        </w:rPr>
        <w:t>2) Приобретение ооопудования осуществить в Амери</w:t>
      </w:r>
      <w:r w:rsidRPr="00E14102">
        <w:rPr>
          <w:color w:val="0070C0"/>
          <w:sz w:val="16"/>
          <w:szCs w:val="16"/>
        </w:rPr>
        <w:softHyphen/>
        <w:t>ке и в Англии за наличный расчет, а в Германии в кредит в счет полученного от Германии кредита.</w:t>
      </w:r>
    </w:p>
    <w:p w14:paraId="1E8D7D2E" w14:textId="77777777" w:rsidR="009733A9" w:rsidRPr="00E14102" w:rsidRDefault="009733A9" w:rsidP="00E14102">
      <w:pPr>
        <w:jc w:val="both"/>
        <w:rPr>
          <w:color w:val="0070C0"/>
          <w:sz w:val="16"/>
          <w:szCs w:val="16"/>
        </w:rPr>
      </w:pPr>
      <w:r w:rsidRPr="00E14102">
        <w:rPr>
          <w:color w:val="0070C0"/>
          <w:sz w:val="16"/>
          <w:szCs w:val="16"/>
        </w:rPr>
        <w:t>3) Оплату заказов производить банку немедленно рас</w:t>
      </w:r>
      <w:r w:rsidRPr="00E14102">
        <w:rPr>
          <w:color w:val="0070C0"/>
          <w:sz w:val="16"/>
          <w:szCs w:val="16"/>
        </w:rPr>
        <w:softHyphen/>
        <w:t>поряжением Наркомвнешторга по согласованию с. т. Орджо</w:t>
      </w:r>
      <w:r w:rsidRPr="00E14102">
        <w:rPr>
          <w:color w:val="0070C0"/>
          <w:sz w:val="16"/>
          <w:szCs w:val="16"/>
        </w:rPr>
        <w:softHyphen/>
        <w:t>никидзе.</w:t>
      </w:r>
    </w:p>
    <w:p w14:paraId="35080216" w14:textId="77777777" w:rsidR="009733A9" w:rsidRPr="00E14102" w:rsidRDefault="009733A9" w:rsidP="00E14102">
      <w:pPr>
        <w:jc w:val="both"/>
        <w:rPr>
          <w:color w:val="0070C0"/>
          <w:sz w:val="16"/>
          <w:szCs w:val="16"/>
        </w:rPr>
      </w:pPr>
      <w:r w:rsidRPr="00E14102">
        <w:rPr>
          <w:color w:val="0070C0"/>
          <w:sz w:val="16"/>
          <w:szCs w:val="16"/>
        </w:rPr>
        <w:t>4) Предложить Наркомтяжу дать.Наркомвнешторгу не</w:t>
      </w:r>
      <w:r w:rsidRPr="00E14102">
        <w:rPr>
          <w:color w:val="0070C0"/>
          <w:sz w:val="16"/>
          <w:szCs w:val="16"/>
        </w:rPr>
        <w:softHyphen/>
        <w:t>медленно перечень и спецификации заказов для оформления.</w:t>
      </w:r>
    </w:p>
    <w:p w14:paraId="0F44DE90" w14:textId="77777777" w:rsidR="009733A9" w:rsidRPr="00E14102" w:rsidRDefault="009733A9" w:rsidP="00E14102">
      <w:pPr>
        <w:jc w:val="both"/>
        <w:rPr>
          <w:color w:val="0070C0"/>
          <w:sz w:val="16"/>
          <w:szCs w:val="16"/>
        </w:rPr>
      </w:pPr>
      <w:r w:rsidRPr="00E14102">
        <w:rPr>
          <w:color w:val="0070C0"/>
          <w:sz w:val="16"/>
          <w:szCs w:val="16"/>
        </w:rPr>
        <w:t>5) Закупку производить в срочном порядке и безо всякой волокиты.</w:t>
      </w:r>
    </w:p>
    <w:p w14:paraId="601AE23F" w14:textId="77777777" w:rsidR="009733A9" w:rsidRPr="00E14102" w:rsidRDefault="009733A9" w:rsidP="00E14102">
      <w:pPr>
        <w:jc w:val="both"/>
        <w:rPr>
          <w:color w:val="0070C0"/>
          <w:sz w:val="16"/>
          <w:szCs w:val="16"/>
        </w:rPr>
      </w:pPr>
      <w:r w:rsidRPr="00E14102">
        <w:rPr>
          <w:color w:val="0070C0"/>
          <w:sz w:val="16"/>
          <w:szCs w:val="16"/>
        </w:rPr>
        <w:t>6) Предоставить право т. Лихачеву на месте заграни</w:t>
      </w:r>
      <w:r w:rsidRPr="00E14102">
        <w:rPr>
          <w:color w:val="0070C0"/>
          <w:sz w:val="16"/>
          <w:szCs w:val="16"/>
        </w:rPr>
        <w:softHyphen/>
        <w:t>цей заменять одни марки другими по соглашению с соответствующими торгпредами в пределах отпущенных сумм.</w:t>
      </w:r>
    </w:p>
    <w:p w14:paraId="026683FA" w14:textId="77777777" w:rsidR="009733A9" w:rsidRPr="00E14102" w:rsidRDefault="009733A9" w:rsidP="00E14102">
      <w:pPr>
        <w:jc w:val="both"/>
        <w:rPr>
          <w:color w:val="0070C0"/>
          <w:sz w:val="16"/>
          <w:szCs w:val="16"/>
        </w:rPr>
      </w:pPr>
      <w:r w:rsidRPr="00E14102">
        <w:rPr>
          <w:color w:val="0070C0"/>
          <w:sz w:val="16"/>
          <w:szCs w:val="16"/>
        </w:rPr>
        <w:t>7) Подавляющую часть оборудования закупить в Аме</w:t>
      </w:r>
      <w:r w:rsidRPr="00E14102">
        <w:rPr>
          <w:color w:val="0070C0"/>
          <w:sz w:val="16"/>
          <w:szCs w:val="16"/>
        </w:rPr>
        <w:softHyphen/>
        <w:t>рике.</w:t>
      </w:r>
    </w:p>
    <w:p w14:paraId="31E1AF50" w14:textId="77777777" w:rsidR="009733A9" w:rsidRPr="00E14102" w:rsidRDefault="009733A9" w:rsidP="00E14102">
      <w:pPr>
        <w:jc w:val="both"/>
        <w:rPr>
          <w:color w:val="0070C0"/>
          <w:sz w:val="16"/>
          <w:szCs w:val="16"/>
        </w:rPr>
      </w:pPr>
      <w:r w:rsidRPr="00E14102">
        <w:rPr>
          <w:color w:val="0070C0"/>
          <w:sz w:val="16"/>
          <w:szCs w:val="16"/>
        </w:rPr>
        <w:t>8) Этим постановлением считать аннулированном пре</w:t>
      </w:r>
      <w:r w:rsidRPr="00E14102">
        <w:rPr>
          <w:color w:val="0070C0"/>
          <w:sz w:val="16"/>
          <w:szCs w:val="16"/>
        </w:rPr>
        <w:softHyphen/>
        <w:t>дыдущее постановление Политбюро от-11.Ш.35г. о 10 млн. золотых рублей.</w:t>
      </w:r>
    </w:p>
    <w:p w14:paraId="3A0F7153" w14:textId="77777777" w:rsidR="009733A9" w:rsidRPr="00E14102" w:rsidRDefault="009733A9" w:rsidP="00E14102">
      <w:pPr>
        <w:jc w:val="both"/>
        <w:rPr>
          <w:color w:val="0070C0"/>
          <w:sz w:val="16"/>
          <w:szCs w:val="16"/>
        </w:rPr>
      </w:pPr>
      <w:r w:rsidRPr="00E14102">
        <w:rPr>
          <w:color w:val="0070C0"/>
          <w:sz w:val="16"/>
          <w:szCs w:val="16"/>
        </w:rPr>
        <w:t>Выписки посланы: т.т.Орджоникидзе, Розенгольцу, Лихачеву.</w:t>
      </w:r>
    </w:p>
    <w:p w14:paraId="7D7B3EC9" w14:textId="77777777" w:rsidR="009733A9" w:rsidRPr="00E14102" w:rsidRDefault="009733A9" w:rsidP="00E14102">
      <w:pPr>
        <w:jc w:val="both"/>
        <w:rPr>
          <w:color w:val="0070C0"/>
          <w:sz w:val="16"/>
          <w:szCs w:val="16"/>
        </w:rPr>
      </w:pPr>
      <w:r w:rsidRPr="00E14102">
        <w:rPr>
          <w:color w:val="0070C0"/>
          <w:sz w:val="16"/>
          <w:szCs w:val="16"/>
        </w:rPr>
        <w:t>От 25 марта 1935</w:t>
      </w:r>
    </w:p>
    <w:p w14:paraId="7C24A9B7" w14:textId="77777777" w:rsidR="009733A9" w:rsidRPr="00E14102" w:rsidRDefault="009733A9" w:rsidP="00E14102">
      <w:pPr>
        <w:jc w:val="both"/>
        <w:rPr>
          <w:color w:val="0070C0"/>
          <w:sz w:val="16"/>
          <w:szCs w:val="16"/>
        </w:rPr>
      </w:pPr>
      <w:r w:rsidRPr="00E14102">
        <w:rPr>
          <w:color w:val="0070C0"/>
          <w:sz w:val="16"/>
          <w:szCs w:val="16"/>
        </w:rPr>
        <w:t>208. Проект конвенции р гласности военных расходов.</w:t>
      </w:r>
    </w:p>
    <w:p w14:paraId="258FC5B2" w14:textId="77777777" w:rsidR="009733A9" w:rsidRPr="00E14102" w:rsidRDefault="009733A9" w:rsidP="00E14102">
      <w:pPr>
        <w:jc w:val="both"/>
        <w:rPr>
          <w:color w:val="0070C0"/>
          <w:sz w:val="16"/>
          <w:szCs w:val="16"/>
        </w:rPr>
      </w:pPr>
      <w:r w:rsidRPr="00E14102">
        <w:rPr>
          <w:color w:val="0070C0"/>
          <w:sz w:val="16"/>
          <w:szCs w:val="16"/>
        </w:rPr>
        <w:t>1. Проект конвенции о гласности военных расходов принять под условием принятия его другими государствами, в том числе наиболее крупными и всеми соседями СССР.</w:t>
      </w:r>
    </w:p>
    <w:p w14:paraId="17A00D04" w14:textId="77777777" w:rsidR="009733A9" w:rsidRPr="00E14102" w:rsidRDefault="009733A9" w:rsidP="00E14102">
      <w:pPr>
        <w:jc w:val="both"/>
        <w:rPr>
          <w:color w:val="0070C0"/>
          <w:sz w:val="16"/>
          <w:szCs w:val="16"/>
        </w:rPr>
      </w:pPr>
      <w:r w:rsidRPr="00E14102">
        <w:rPr>
          <w:color w:val="0070C0"/>
          <w:sz w:val="16"/>
          <w:szCs w:val="16"/>
        </w:rPr>
        <w:t>2. Предложить к проекту поправки, выдвинутые НКОбороны с оговоркой о право дополнительного внесения по</w:t>
      </w:r>
      <w:r w:rsidRPr="00E14102">
        <w:rPr>
          <w:color w:val="0070C0"/>
          <w:sz w:val="16"/>
          <w:szCs w:val="16"/>
        </w:rPr>
        <w:softHyphen/>
        <w:t>статейных технических поправок.</w:t>
      </w:r>
    </w:p>
    <w:p w14:paraId="722013A3" w14:textId="77777777" w:rsidR="009733A9" w:rsidRPr="00E14102" w:rsidRDefault="009733A9" w:rsidP="00E14102">
      <w:pPr>
        <w:jc w:val="both"/>
        <w:rPr>
          <w:color w:val="0070C0"/>
          <w:sz w:val="16"/>
          <w:szCs w:val="16"/>
        </w:rPr>
      </w:pPr>
      <w:r w:rsidRPr="00E14102">
        <w:rPr>
          <w:color w:val="0070C0"/>
          <w:sz w:val="16"/>
          <w:szCs w:val="16"/>
        </w:rPr>
        <w:t>3. Отказаться сообщать сведения о капиталовложе</w:t>
      </w:r>
      <w:r w:rsidRPr="00E14102">
        <w:rPr>
          <w:color w:val="0070C0"/>
          <w:sz w:val="16"/>
          <w:szCs w:val="16"/>
        </w:rPr>
        <w:softHyphen/>
        <w:t>ниях СССР в государственную военную промышленность, ра- ботаюшую на оборону, кроме субсидирования военных заво</w:t>
      </w:r>
      <w:r w:rsidRPr="00E14102">
        <w:rPr>
          <w:color w:val="0070C0"/>
          <w:sz w:val="16"/>
          <w:szCs w:val="16"/>
        </w:rPr>
        <w:softHyphen/>
        <w:t>дов и мастерских в узком смысле (соответствующих арсе</w:t>
      </w:r>
      <w:r w:rsidRPr="00E14102">
        <w:rPr>
          <w:color w:val="0070C0"/>
          <w:sz w:val="16"/>
          <w:szCs w:val="16"/>
        </w:rPr>
        <w:softHyphen/>
        <w:t>налам капиталистических государств), поскольку в военные расходы капиталистических стран не включена инвестиция частных капиталов в частную военную промышленность.</w:t>
      </w:r>
    </w:p>
    <w:p w14:paraId="539E5577" w14:textId="77777777" w:rsidR="009733A9" w:rsidRPr="00E14102" w:rsidRDefault="009733A9" w:rsidP="00E14102">
      <w:pPr>
        <w:jc w:val="both"/>
        <w:rPr>
          <w:color w:val="0070C0"/>
          <w:sz w:val="16"/>
          <w:szCs w:val="16"/>
        </w:rPr>
      </w:pPr>
      <w:r w:rsidRPr="00E14102">
        <w:rPr>
          <w:color w:val="0070C0"/>
          <w:sz w:val="16"/>
          <w:szCs w:val="16"/>
        </w:rPr>
        <w:t>4. Сообщить Лиге Наций сведения о военных расходах СССР за 1934 г., согласно проекта конвенции о гласности военных расходов с изменениями, вытекающими из поправок НКОбороны.</w:t>
      </w:r>
    </w:p>
    <w:p w14:paraId="7C419CCE" w14:textId="77777777" w:rsidR="009733A9" w:rsidRPr="00E14102" w:rsidRDefault="009733A9" w:rsidP="00E14102">
      <w:pPr>
        <w:jc w:val="both"/>
        <w:rPr>
          <w:color w:val="0070C0"/>
          <w:sz w:val="16"/>
          <w:szCs w:val="16"/>
        </w:rPr>
      </w:pPr>
      <w:r w:rsidRPr="00E14102">
        <w:rPr>
          <w:color w:val="0070C0"/>
          <w:sz w:val="16"/>
          <w:szCs w:val="16"/>
        </w:rPr>
        <w:t>5. Поручить НКОбороны составить не позже 1 апре</w:t>
      </w:r>
      <w:r w:rsidRPr="00E14102">
        <w:rPr>
          <w:color w:val="0070C0"/>
          <w:sz w:val="16"/>
          <w:szCs w:val="16"/>
        </w:rPr>
        <w:softHyphen/>
        <w:t>ля с.г. сведения о вооруженных силах СССР и о расходах на национальную оборону за 1934 г., указанных в п.4.</w:t>
      </w:r>
    </w:p>
    <w:p w14:paraId="7C297E39" w14:textId="77777777" w:rsidR="009733A9" w:rsidRPr="00E14102" w:rsidRDefault="009733A9" w:rsidP="00E14102">
      <w:pPr>
        <w:jc w:val="both"/>
        <w:rPr>
          <w:color w:val="0070C0"/>
          <w:sz w:val="16"/>
          <w:szCs w:val="16"/>
        </w:rPr>
      </w:pPr>
      <w:r w:rsidRPr="00E14102">
        <w:rPr>
          <w:color w:val="0070C0"/>
          <w:sz w:val="16"/>
          <w:szCs w:val="16"/>
        </w:rPr>
        <w:t>Включить в число этих расходов, помимо цифр бюдже</w:t>
      </w:r>
      <w:r w:rsidRPr="00E14102">
        <w:rPr>
          <w:color w:val="0070C0"/>
          <w:sz w:val="16"/>
          <w:szCs w:val="16"/>
        </w:rPr>
        <w:softHyphen/>
        <w:t>та ПКОбороны, прочие военные расходы гражданских наркома</w:t>
      </w:r>
      <w:r w:rsidRPr="00E14102">
        <w:rPr>
          <w:color w:val="0070C0"/>
          <w:sz w:val="16"/>
          <w:szCs w:val="16"/>
        </w:rPr>
        <w:softHyphen/>
        <w:t>тов, местных органов, шевских и добровольных обществ. Обязать соответствующие Наркоматы и общества представить в НКОбороны указанные сведения.</w:t>
      </w:r>
    </w:p>
    <w:p w14:paraId="5EDC466B" w14:textId="77777777" w:rsidR="009733A9" w:rsidRPr="00E14102" w:rsidRDefault="009733A9" w:rsidP="00E14102">
      <w:pPr>
        <w:jc w:val="both"/>
        <w:rPr>
          <w:color w:val="0070C0"/>
          <w:sz w:val="16"/>
          <w:szCs w:val="16"/>
        </w:rPr>
      </w:pPr>
      <w:r w:rsidRPr="00E14102">
        <w:rPr>
          <w:color w:val="0070C0"/>
          <w:sz w:val="16"/>
          <w:szCs w:val="16"/>
        </w:rPr>
        <w:t>6. Поручить НКОбороны составить к 1 апреля с.г. постатейнные поправки к проекту конвенции о гласности, необ</w:t>
      </w:r>
      <w:r w:rsidRPr="00E14102">
        <w:rPr>
          <w:color w:val="0070C0"/>
          <w:sz w:val="16"/>
          <w:szCs w:val="16"/>
        </w:rPr>
        <w:softHyphen/>
        <w:t>ходимость которых обнаружится при саставлении конкретных цифр расходов на национальную оборону.</w:t>
      </w:r>
    </w:p>
    <w:p w14:paraId="43865E7F" w14:textId="77777777" w:rsidR="009733A9" w:rsidRPr="00E14102" w:rsidRDefault="009733A9" w:rsidP="00E14102">
      <w:pPr>
        <w:jc w:val="both"/>
        <w:rPr>
          <w:color w:val="0070C0"/>
          <w:sz w:val="16"/>
          <w:szCs w:val="16"/>
        </w:rPr>
      </w:pPr>
      <w:r w:rsidRPr="00E14102">
        <w:rPr>
          <w:color w:val="0070C0"/>
          <w:sz w:val="16"/>
          <w:szCs w:val="16"/>
        </w:rPr>
        <w:t>7. Поручить НКОбороны по соглашению с НКФ и НКИД составить проект правил опубликования бюджета НКОбороны и других расходов СССР на национальную оборону, не про</w:t>
      </w:r>
      <w:r w:rsidRPr="00E14102">
        <w:rPr>
          <w:color w:val="0070C0"/>
          <w:sz w:val="16"/>
          <w:szCs w:val="16"/>
        </w:rPr>
        <w:softHyphen/>
        <w:t>ходящих по бюджету НКОбороны, применительно к требованию конвенции о гласности военных расходов.</w:t>
      </w:r>
    </w:p>
    <w:p w14:paraId="14E40FFF" w14:textId="77777777" w:rsidR="009733A9" w:rsidRPr="00E14102" w:rsidRDefault="009733A9" w:rsidP="00E14102">
      <w:pPr>
        <w:jc w:val="both"/>
        <w:rPr>
          <w:color w:val="0070C0"/>
          <w:sz w:val="16"/>
          <w:szCs w:val="16"/>
        </w:rPr>
      </w:pPr>
      <w:r w:rsidRPr="00E14102">
        <w:rPr>
          <w:color w:val="0070C0"/>
          <w:sz w:val="16"/>
          <w:szCs w:val="16"/>
        </w:rPr>
        <w:t>8. Поручить НКОбороны, по соглашению с НКИД и НКФ и другими заинтересованными наркоматами, организовать специальный учет и разработку сведений о Красной Армии и войсках Наркомвпудела и прочих военизированных форми рованиях и о расходах СССР на национальную оборону, которые будут предаваться гласности и сообщаться Лиге Наций.</w:t>
      </w:r>
    </w:p>
    <w:p w14:paraId="0C4665A8" w14:textId="77777777" w:rsidR="009733A9" w:rsidRPr="00E14102" w:rsidRDefault="009733A9" w:rsidP="00E14102">
      <w:pPr>
        <w:jc w:val="both"/>
        <w:rPr>
          <w:color w:val="0070C0"/>
          <w:sz w:val="16"/>
          <w:szCs w:val="16"/>
        </w:rPr>
      </w:pPr>
      <w:r w:rsidRPr="00E14102">
        <w:rPr>
          <w:color w:val="0070C0"/>
          <w:sz w:val="16"/>
          <w:szCs w:val="16"/>
        </w:rPr>
        <w:t>9. Поручить НКОбороны проведение других мероприятий, вытекающих из проекта конвенции о гласности военных рас</w:t>
      </w:r>
      <w:r w:rsidRPr="00E14102">
        <w:rPr>
          <w:color w:val="0070C0"/>
          <w:sz w:val="16"/>
          <w:szCs w:val="16"/>
        </w:rPr>
        <w:softHyphen/>
        <w:t>ходов, а до того возложить засвидительствоваие сведений о военных расходах СССР, сообщаемых в Лигу Наций, на Председателя Бюджетной Комиссии ЦИК СССР.</w:t>
      </w:r>
    </w:p>
    <w:p w14:paraId="03B6A478" w14:textId="77777777" w:rsidR="009733A9" w:rsidRPr="00E14102" w:rsidRDefault="009733A9" w:rsidP="00E14102">
      <w:pPr>
        <w:jc w:val="both"/>
        <w:rPr>
          <w:color w:val="0070C0"/>
          <w:sz w:val="16"/>
          <w:szCs w:val="16"/>
        </w:rPr>
      </w:pPr>
      <w:r w:rsidRPr="00E14102">
        <w:rPr>
          <w:color w:val="0070C0"/>
          <w:sz w:val="16"/>
          <w:szCs w:val="16"/>
        </w:rPr>
        <w:t>Выписки посланы: т.т. Литвинову Ворошилову,Гринько - п.п.5,7,8.</w:t>
      </w:r>
    </w:p>
    <w:p w14:paraId="10D0392F" w14:textId="77777777" w:rsidR="009733A9" w:rsidRPr="00E14102" w:rsidRDefault="009733A9" w:rsidP="00E14102">
      <w:pPr>
        <w:tabs>
          <w:tab w:val="left" w:pos="5378"/>
        </w:tabs>
        <w:jc w:val="both"/>
        <w:rPr>
          <w:color w:val="0070C0"/>
          <w:sz w:val="16"/>
          <w:szCs w:val="16"/>
          <w:lang w:bidi="ru-RU"/>
        </w:rPr>
      </w:pPr>
      <w:r w:rsidRPr="00E14102">
        <w:rPr>
          <w:color w:val="0070C0"/>
          <w:sz w:val="16"/>
          <w:szCs w:val="16"/>
          <w:lang w:bidi="ru-RU"/>
        </w:rPr>
        <w:t>От 31 марта 1935</w:t>
      </w:r>
    </w:p>
    <w:p w14:paraId="1F2E6C49" w14:textId="77777777" w:rsidR="009733A9" w:rsidRPr="00E14102" w:rsidRDefault="009733A9" w:rsidP="00E14102">
      <w:pPr>
        <w:jc w:val="both"/>
        <w:rPr>
          <w:color w:val="0070C0"/>
          <w:sz w:val="16"/>
          <w:szCs w:val="16"/>
        </w:rPr>
      </w:pPr>
      <w:r w:rsidRPr="00E14102">
        <w:rPr>
          <w:color w:val="0070C0"/>
          <w:sz w:val="16"/>
          <w:szCs w:val="16"/>
        </w:rPr>
        <w:t>239. О полете стратостата СССР № 1.</w:t>
      </w:r>
    </w:p>
    <w:p w14:paraId="52FCE670" w14:textId="77777777" w:rsidR="009733A9" w:rsidRPr="00E14102" w:rsidRDefault="009733A9" w:rsidP="00E14102">
      <w:pPr>
        <w:jc w:val="both"/>
        <w:rPr>
          <w:color w:val="0070C0"/>
          <w:sz w:val="16"/>
          <w:szCs w:val="16"/>
        </w:rPr>
      </w:pPr>
      <w:r w:rsidRPr="00E14102">
        <w:rPr>
          <w:color w:val="0070C0"/>
          <w:sz w:val="16"/>
          <w:szCs w:val="16"/>
        </w:rPr>
        <w:t>а) Разрешить ИКО в период 1-5 апреля с.г., при на</w:t>
      </w:r>
      <w:r w:rsidRPr="00E14102">
        <w:rPr>
          <w:color w:val="0070C0"/>
          <w:sz w:val="16"/>
          <w:szCs w:val="16"/>
        </w:rPr>
        <w:softHyphen/>
        <w:t>личии хорошей погоды, произвести полот стратостата СССР № 1 в чисто научных целях.</w:t>
      </w:r>
    </w:p>
    <w:p w14:paraId="4B214030" w14:textId="77777777" w:rsidR="009733A9" w:rsidRPr="00E14102" w:rsidRDefault="009733A9" w:rsidP="00E14102">
      <w:pPr>
        <w:jc w:val="both"/>
        <w:rPr>
          <w:color w:val="0070C0"/>
          <w:sz w:val="16"/>
          <w:szCs w:val="16"/>
        </w:rPr>
      </w:pPr>
      <w:r w:rsidRPr="00E14102">
        <w:rPr>
          <w:color w:val="0070C0"/>
          <w:sz w:val="16"/>
          <w:szCs w:val="16"/>
        </w:rPr>
        <w:t>б) Экипаж стратостата наметить в следующем составе: Командир стратостата - нач.штаба воздухоплавательн. дивизиона т. Зилло.</w:t>
      </w:r>
    </w:p>
    <w:p w14:paraId="55A841AF" w14:textId="77777777" w:rsidR="009733A9" w:rsidRPr="00E14102" w:rsidRDefault="009733A9" w:rsidP="00E14102">
      <w:pPr>
        <w:jc w:val="both"/>
        <w:rPr>
          <w:color w:val="0070C0"/>
          <w:sz w:val="16"/>
          <w:szCs w:val="16"/>
        </w:rPr>
      </w:pPr>
      <w:r w:rsidRPr="00E14102">
        <w:rPr>
          <w:color w:val="0070C0"/>
          <w:sz w:val="16"/>
          <w:szCs w:val="16"/>
        </w:rPr>
        <w:t>Научный наблюдатель - нач. опытного отдела дивизиона т. Прилуцкий.</w:t>
      </w:r>
    </w:p>
    <w:p w14:paraId="32ECC505" w14:textId="77777777" w:rsidR="009733A9" w:rsidRPr="00E14102" w:rsidRDefault="009733A9" w:rsidP="00E14102">
      <w:pPr>
        <w:jc w:val="both"/>
        <w:rPr>
          <w:color w:val="0070C0"/>
          <w:sz w:val="16"/>
          <w:szCs w:val="16"/>
        </w:rPr>
      </w:pPr>
      <w:r w:rsidRPr="00E14102">
        <w:rPr>
          <w:color w:val="0070C0"/>
          <w:sz w:val="16"/>
          <w:szCs w:val="16"/>
        </w:rPr>
        <w:t>Научный наблюдатель - проф. Вориго.</w:t>
      </w:r>
    </w:p>
    <w:p w14:paraId="404F209E" w14:textId="77777777" w:rsidR="009733A9" w:rsidRPr="00E14102" w:rsidRDefault="009733A9" w:rsidP="00E14102">
      <w:pPr>
        <w:jc w:val="both"/>
        <w:rPr>
          <w:color w:val="0070C0"/>
          <w:sz w:val="16"/>
          <w:szCs w:val="16"/>
        </w:rPr>
      </w:pPr>
      <w:r w:rsidRPr="00E14102">
        <w:rPr>
          <w:color w:val="0070C0"/>
          <w:sz w:val="16"/>
          <w:szCs w:val="16"/>
        </w:rPr>
        <w:t>Выписка послана: тов. Ворошилову.</w:t>
      </w:r>
    </w:p>
    <w:p w14:paraId="36A31209" w14:textId="77777777" w:rsidR="009733A9" w:rsidRPr="00E14102" w:rsidRDefault="009733A9" w:rsidP="00E14102">
      <w:pPr>
        <w:tabs>
          <w:tab w:val="left" w:pos="5378"/>
        </w:tabs>
        <w:jc w:val="both"/>
        <w:rPr>
          <w:color w:val="0070C0"/>
          <w:sz w:val="16"/>
          <w:szCs w:val="16"/>
        </w:rPr>
      </w:pPr>
      <w:bookmarkStart w:id="11" w:name="_Hlk93685652"/>
      <w:r w:rsidRPr="00E14102">
        <w:rPr>
          <w:color w:val="0070C0"/>
          <w:sz w:val="16"/>
          <w:szCs w:val="16"/>
          <w:lang w:bidi="ru-RU"/>
        </w:rPr>
        <w:t>(ПРОТОКОЛ № 23 ЗАСЕДАНИЯ ПОЛИТБЮРО ЦК ВКП(б) от 3 АПРЕЛЯ 1935 года. (Особый №) (22928).</w:t>
      </w:r>
    </w:p>
    <w:bookmarkEnd w:id="11"/>
    <w:p w14:paraId="28F7A56F" w14:textId="77777777" w:rsidR="009733A9" w:rsidRPr="00E14102" w:rsidRDefault="009733A9" w:rsidP="00E14102">
      <w:pPr>
        <w:jc w:val="both"/>
        <w:rPr>
          <w:color w:val="0070C0"/>
          <w:sz w:val="16"/>
          <w:szCs w:val="16"/>
        </w:rPr>
      </w:pPr>
    </w:p>
    <w:bookmarkEnd w:id="10"/>
    <w:p w14:paraId="2EC14564" w14:textId="77777777" w:rsidR="00D52635"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78FE512" w14:textId="77777777" w:rsidR="00D52635" w:rsidRPr="00E14102" w:rsidRDefault="00D52635" w:rsidP="00E14102">
      <w:pPr>
        <w:autoSpaceDE w:val="0"/>
        <w:autoSpaceDN w:val="0"/>
        <w:adjustRightInd w:val="0"/>
        <w:jc w:val="both"/>
        <w:rPr>
          <w:iCs/>
          <w:color w:val="000000" w:themeColor="text1"/>
          <w:sz w:val="16"/>
          <w:szCs w:val="16"/>
        </w:rPr>
      </w:pPr>
    </w:p>
    <w:p w14:paraId="7653B1E9" w14:textId="77777777" w:rsidR="007E0DE7" w:rsidRPr="00E14102" w:rsidRDefault="007E0DE7" w:rsidP="00E14102">
      <w:pPr>
        <w:pStyle w:val="rtejustify"/>
        <w:spacing w:before="0" w:after="0"/>
        <w:rPr>
          <w:color w:val="000000" w:themeColor="text1"/>
          <w:sz w:val="16"/>
          <w:szCs w:val="16"/>
        </w:rPr>
      </w:pPr>
      <w:r w:rsidRPr="00E14102">
        <w:rPr>
          <w:rStyle w:val="a6"/>
          <w:bCs/>
          <w:i w:val="0"/>
          <w:color w:val="000000" w:themeColor="text1"/>
          <w:sz w:val="16"/>
          <w:szCs w:val="16"/>
        </w:rPr>
        <w:t>3 апреля</w:t>
      </w:r>
      <w:r w:rsidRPr="00E14102">
        <w:rPr>
          <w:color w:val="000000" w:themeColor="text1"/>
          <w:sz w:val="16"/>
          <w:szCs w:val="16"/>
        </w:rPr>
        <w:t xml:space="preserve">1935 Решение Политбюро № 23. IV. О вывозе из Москвы взрывоопасных химических заводов (Ежов, Орджоникидзе, Хрущев, Хворостовский). — ОП. XI. О реорганизации Госплана СССР (Молотов, В. Межлаук). 2. О заказе в Италии (самолеты) (ПБ от 7 марта 1935 г.). — ОП. 53. О работе института во Власихе (ПБ от </w:t>
      </w:r>
      <w:r w:rsidRPr="00E14102">
        <w:rPr>
          <w:color w:val="000000" w:themeColor="text1"/>
          <w:sz w:val="16"/>
          <w:szCs w:val="16"/>
        </w:rPr>
        <w:lastRenderedPageBreak/>
        <w:t xml:space="preserve">10 марта 1935 г.). — ОП. 58. О торговых переговорах с Италией (ПБ от 11 марта 1935 г.). — ОП. 60. О техпомощи по кораблестроению (ПБ от 11 марта 1935 г.). — ОП. </w:t>
      </w:r>
      <w:r w:rsidRPr="00E14102">
        <w:rPr>
          <w:rStyle w:val="a6"/>
          <w:i w:val="0"/>
          <w:color w:val="000000" w:themeColor="text1"/>
          <w:sz w:val="16"/>
          <w:szCs w:val="16"/>
        </w:rPr>
        <w:t>Постановили</w:t>
      </w:r>
      <w:r w:rsidRPr="00E14102">
        <w:rPr>
          <w:color w:val="000000" w:themeColor="text1"/>
          <w:sz w:val="16"/>
          <w:szCs w:val="16"/>
        </w:rPr>
        <w:t xml:space="preserve">: принять предложение Муклевича об отклонении повышения цены за поставки и техническую помощь по постройке лидера свыше 49,5 млн. французских франков и предложить НКВТ начать переговоры о технической помощи в Италии. 142. О техпомощи по производству алюминия (ПБ от 19 марта 1935 г.). — ОП. 143. Вопрос КО (ПБ от 19 марта 1935 г.). </w:t>
      </w:r>
      <w:r w:rsidRPr="00E14102">
        <w:rPr>
          <w:rStyle w:val="a6"/>
          <w:i w:val="0"/>
          <w:color w:val="000000" w:themeColor="text1"/>
          <w:sz w:val="16"/>
          <w:szCs w:val="16"/>
        </w:rPr>
        <w:t>Постановили</w:t>
      </w:r>
      <w:r w:rsidRPr="00E14102">
        <w:rPr>
          <w:color w:val="000000" w:themeColor="text1"/>
          <w:sz w:val="16"/>
          <w:szCs w:val="16"/>
        </w:rPr>
        <w:t>: утвердить решение СТО об отпуске НКТП в счет контингентов НКТП 155 тыс. руб. золотом на покупку за границей 6 моторов «Гном-Рон» (К</w:t>
      </w:r>
      <w:r w:rsidRPr="00E14102">
        <w:rPr>
          <w:color w:val="000000" w:themeColor="text1"/>
          <w:sz w:val="16"/>
          <w:szCs w:val="16"/>
        </w:rPr>
        <w:noBreakHyphen/>
        <w:t>14) и 6 металлических винтов с переменным шагом для постройки дальнего бомбардировщика. 158. Предложение чехословацких авиафирм (ПБ от 20 марта 1935 г.). — ОП. 183. Вопрос НКОбороны (ПБ от 22 марта 1935 г.). — ОП. 189. Об оборудовании для автозавода им. Сталина (ПБ от 23 марта 1935 г.). — ОП. 206. О дизельном цехе ХПЗ (ПБ от 25 марта 1935 г.). 207. Об авиадизеле в 800 л. с. (ПБ от 25 марта 1935 г.). 208. Проект конвенции о гласности военных расходов (ПБ от 25 марта 1935 г.). — ОП. (Политбюро ЦК РКП(б)-ВКП(Б). Повестки дня заседаний. 1919</w:t>
      </w:r>
      <w:r w:rsidRPr="00E14102">
        <w:rPr>
          <w:color w:val="000000" w:themeColor="text1"/>
          <w:sz w:val="16"/>
          <w:szCs w:val="16"/>
        </w:rPr>
        <w:noBreakHyphen/>
        <w:t>1952: Каталог / Т. 2. С. 629, 631, 634, 635; РГАСПИ. Ф. 17. Оп. 162. Д. 17. Л. 141, 144, 145, 152, 154, 156</w:t>
      </w:r>
      <w:r w:rsidRPr="00E14102">
        <w:rPr>
          <w:color w:val="000000" w:themeColor="text1"/>
          <w:sz w:val="16"/>
          <w:szCs w:val="16"/>
        </w:rPr>
        <w:noBreakHyphen/>
        <w:t>160) (15462).</w:t>
      </w:r>
    </w:p>
    <w:p w14:paraId="03DD37B3" w14:textId="77777777" w:rsidR="007E0DE7" w:rsidRPr="00E14102" w:rsidRDefault="007E0DE7" w:rsidP="00E14102">
      <w:pPr>
        <w:pStyle w:val="rtejustify"/>
        <w:spacing w:before="0" w:after="0"/>
        <w:rPr>
          <w:color w:val="000000" w:themeColor="text1"/>
          <w:sz w:val="16"/>
          <w:szCs w:val="16"/>
        </w:rPr>
      </w:pPr>
    </w:p>
    <w:p w14:paraId="58AE91D6" w14:textId="77777777" w:rsidR="007E0DE7" w:rsidRPr="00E14102" w:rsidRDefault="007E0DE7" w:rsidP="00E14102">
      <w:pPr>
        <w:pStyle w:val="rtejustify"/>
        <w:spacing w:before="0" w:after="0"/>
        <w:rPr>
          <w:color w:val="000000" w:themeColor="text1"/>
          <w:sz w:val="16"/>
          <w:szCs w:val="16"/>
        </w:rPr>
      </w:pPr>
      <w:r w:rsidRPr="00E14102">
        <w:rPr>
          <w:rStyle w:val="a6"/>
          <w:bCs/>
          <w:i w:val="0"/>
          <w:color w:val="000000" w:themeColor="text1"/>
          <w:sz w:val="16"/>
          <w:szCs w:val="16"/>
        </w:rPr>
        <w:t>3 апреля 1935 вышел приказ НКТП № 61сс.</w:t>
      </w:r>
      <w:r w:rsidRPr="00E14102">
        <w:rPr>
          <w:color w:val="000000" w:themeColor="text1"/>
          <w:sz w:val="16"/>
          <w:szCs w:val="16"/>
        </w:rPr>
        <w:t xml:space="preserve"> О премировании рабочих и служащих завода № 51 ВХТОП за ударный труд. (РГАЭ. Ф. 7297. Оп. 38. Д. 171. Л. 95) (15246).</w:t>
      </w:r>
    </w:p>
    <w:p w14:paraId="3C1DA758" w14:textId="77777777" w:rsidR="007E0DE7" w:rsidRPr="00E14102" w:rsidRDefault="007E0DE7" w:rsidP="00E14102">
      <w:pPr>
        <w:pStyle w:val="rtejustify"/>
        <w:spacing w:before="0" w:after="0"/>
        <w:rPr>
          <w:color w:val="000000" w:themeColor="text1"/>
          <w:sz w:val="16"/>
          <w:szCs w:val="16"/>
        </w:rPr>
      </w:pPr>
    </w:p>
    <w:p w14:paraId="58A9A453"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3 апреля 1935 г. — Информация начальника ИНО НКТП СССР Биренцвейга наркому тяжелой промышленности Г. К. Орджоникидзе о численности и составе инокадров</w:t>
      </w:r>
    </w:p>
    <w:p w14:paraId="7F11D752" w14:textId="77777777" w:rsidR="00D52635" w:rsidRPr="00E14102" w:rsidRDefault="00D52635" w:rsidP="00E14102">
      <w:pPr>
        <w:pStyle w:val="rtejustify"/>
        <w:spacing w:before="0" w:after="0"/>
        <w:rPr>
          <w:color w:val="000000" w:themeColor="text1"/>
          <w:sz w:val="16"/>
          <w:szCs w:val="16"/>
        </w:rPr>
      </w:pPr>
      <w:r w:rsidRPr="00E14102">
        <w:rPr>
          <w:color w:val="000000" w:themeColor="text1"/>
          <w:sz w:val="16"/>
          <w:szCs w:val="16"/>
        </w:rPr>
        <w:t>По имеющимся на 1.I.1935 г. данным, в тяжелой промышленности работало 4810 иноработников, в том числе инженеров — 744 чел., техников и мастеров — 891 чел. и рабочих — 3175 чел.</w:t>
      </w:r>
    </w:p>
    <w:p w14:paraId="6A7E5674" w14:textId="77777777" w:rsidR="00D52635" w:rsidRPr="00E14102" w:rsidRDefault="00D52635" w:rsidP="00E14102">
      <w:pPr>
        <w:pStyle w:val="rtejustify"/>
        <w:spacing w:before="0" w:after="0"/>
        <w:rPr>
          <w:color w:val="000000" w:themeColor="text1"/>
          <w:sz w:val="16"/>
          <w:szCs w:val="16"/>
        </w:rPr>
      </w:pPr>
      <w:r w:rsidRPr="00E14102">
        <w:rPr>
          <w:color w:val="000000" w:themeColor="text1"/>
          <w:sz w:val="16"/>
          <w:szCs w:val="16"/>
        </w:rPr>
        <w:t>Все это количество иноработников распределено между следующими отраслями промышленности: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46"/>
        <w:gridCol w:w="3108"/>
        <w:gridCol w:w="3144"/>
        <w:gridCol w:w="1225"/>
      </w:tblGrid>
      <w:tr w:rsidR="00E3599D" w:rsidRPr="00E14102" w14:paraId="125036AE"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C78F1D" w14:textId="77777777" w:rsidR="00D52635" w:rsidRPr="00E14102" w:rsidRDefault="00D52635" w:rsidP="00E14102">
            <w:pPr>
              <w:jc w:val="both"/>
              <w:rPr>
                <w:color w:val="000000" w:themeColor="text1"/>
                <w:sz w:val="16"/>
                <w:szCs w:val="16"/>
              </w:rPr>
            </w:pPr>
            <w:r w:rsidRPr="00E14102">
              <w:rPr>
                <w:color w:val="000000" w:themeColor="text1"/>
                <w:sz w:val="16"/>
                <w:szCs w:val="16"/>
              </w:rPr>
              <w:t>Отрасли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9FF64" w14:textId="77777777" w:rsidR="00D52635" w:rsidRPr="00E14102" w:rsidRDefault="00D52635" w:rsidP="00E14102">
            <w:pPr>
              <w:jc w:val="both"/>
              <w:rPr>
                <w:color w:val="000000" w:themeColor="text1"/>
                <w:sz w:val="16"/>
                <w:szCs w:val="16"/>
              </w:rPr>
            </w:pPr>
            <w:r w:rsidRPr="00E14102">
              <w:rPr>
                <w:color w:val="000000" w:themeColor="text1"/>
                <w:sz w:val="16"/>
                <w:szCs w:val="16"/>
              </w:rPr>
              <w:t>Высший техперсонал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7471E" w14:textId="77777777" w:rsidR="00D52635" w:rsidRPr="00E14102" w:rsidRDefault="00D52635" w:rsidP="00E14102">
            <w:pPr>
              <w:jc w:val="both"/>
              <w:rPr>
                <w:color w:val="000000" w:themeColor="text1"/>
                <w:sz w:val="16"/>
                <w:szCs w:val="16"/>
              </w:rPr>
            </w:pPr>
            <w:r w:rsidRPr="00E14102">
              <w:rPr>
                <w:color w:val="000000" w:themeColor="text1"/>
                <w:sz w:val="16"/>
                <w:szCs w:val="16"/>
              </w:rPr>
              <w:t>Средний техперсонал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00EAF" w14:textId="77777777" w:rsidR="00D52635" w:rsidRPr="00E14102" w:rsidRDefault="00D52635" w:rsidP="00E14102">
            <w:pPr>
              <w:jc w:val="both"/>
              <w:rPr>
                <w:color w:val="000000" w:themeColor="text1"/>
                <w:sz w:val="16"/>
                <w:szCs w:val="16"/>
              </w:rPr>
            </w:pPr>
            <w:r w:rsidRPr="00E14102">
              <w:rPr>
                <w:color w:val="000000" w:themeColor="text1"/>
                <w:sz w:val="16"/>
                <w:szCs w:val="16"/>
              </w:rPr>
              <w:t>Рабочие</w:t>
            </w:r>
          </w:p>
        </w:tc>
      </w:tr>
      <w:tr w:rsidR="00E3599D" w:rsidRPr="00E14102" w14:paraId="4EBC6694"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4E624A" w14:textId="77777777" w:rsidR="00D52635" w:rsidRPr="00E14102" w:rsidRDefault="00D52635"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D89C0" w14:textId="77777777" w:rsidR="00D52635" w:rsidRPr="00E14102" w:rsidRDefault="00D52635"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A4E90" w14:textId="77777777" w:rsidR="00D52635" w:rsidRPr="00E14102" w:rsidRDefault="00D52635"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4AC8D" w14:textId="77777777" w:rsidR="00D52635" w:rsidRPr="00E14102" w:rsidRDefault="00D52635" w:rsidP="00E14102">
            <w:pPr>
              <w:jc w:val="both"/>
              <w:rPr>
                <w:color w:val="000000" w:themeColor="text1"/>
                <w:sz w:val="16"/>
                <w:szCs w:val="16"/>
              </w:rPr>
            </w:pPr>
            <w:r w:rsidRPr="00E14102">
              <w:rPr>
                <w:color w:val="000000" w:themeColor="text1"/>
                <w:sz w:val="16"/>
                <w:szCs w:val="16"/>
              </w:rPr>
              <w:t>4</w:t>
            </w:r>
          </w:p>
        </w:tc>
      </w:tr>
      <w:tr w:rsidR="00E3599D" w:rsidRPr="00E14102" w14:paraId="6E446F66"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B80EF0" w14:textId="77777777" w:rsidR="00D52635" w:rsidRPr="00E14102" w:rsidRDefault="00D52635" w:rsidP="00E14102">
            <w:pPr>
              <w:jc w:val="both"/>
              <w:rPr>
                <w:color w:val="000000" w:themeColor="text1"/>
                <w:sz w:val="16"/>
                <w:szCs w:val="16"/>
              </w:rPr>
            </w:pPr>
            <w:r w:rsidRPr="00E14102">
              <w:rPr>
                <w:rStyle w:val="a6"/>
                <w:i w:val="0"/>
                <w:color w:val="000000" w:themeColor="text1"/>
                <w:sz w:val="16"/>
                <w:szCs w:val="16"/>
              </w:rPr>
              <w:t xml:space="preserve">Металлообработка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1D87E" w14:textId="77777777" w:rsidR="00D52635" w:rsidRPr="00E14102" w:rsidRDefault="00D52635" w:rsidP="00E14102">
            <w:pPr>
              <w:jc w:val="both"/>
              <w:rPr>
                <w:color w:val="000000" w:themeColor="text1"/>
                <w:sz w:val="16"/>
                <w:szCs w:val="16"/>
              </w:rPr>
            </w:pPr>
            <w:r w:rsidRPr="00E14102">
              <w:rPr>
                <w:color w:val="000000" w:themeColor="text1"/>
                <w:sz w:val="16"/>
                <w:szCs w:val="16"/>
              </w:rPr>
              <w:t>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B224E" w14:textId="77777777" w:rsidR="00D52635" w:rsidRPr="00E14102" w:rsidRDefault="00D52635" w:rsidP="00E14102">
            <w:pPr>
              <w:jc w:val="both"/>
              <w:rPr>
                <w:color w:val="000000" w:themeColor="text1"/>
                <w:sz w:val="16"/>
                <w:szCs w:val="16"/>
              </w:rPr>
            </w:pPr>
            <w:r w:rsidRPr="00E14102">
              <w:rPr>
                <w:color w:val="000000" w:themeColor="text1"/>
                <w:sz w:val="16"/>
                <w:szCs w:val="16"/>
              </w:rPr>
              <w:t>584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FDD94" w14:textId="77777777" w:rsidR="00D52635" w:rsidRPr="00E14102" w:rsidRDefault="00D52635" w:rsidP="00E14102">
            <w:pPr>
              <w:jc w:val="both"/>
              <w:rPr>
                <w:color w:val="000000" w:themeColor="text1"/>
                <w:sz w:val="16"/>
                <w:szCs w:val="16"/>
              </w:rPr>
            </w:pPr>
            <w:r w:rsidRPr="00E14102">
              <w:rPr>
                <w:color w:val="000000" w:themeColor="text1"/>
                <w:sz w:val="16"/>
                <w:szCs w:val="16"/>
              </w:rPr>
              <w:t>1654</w:t>
            </w:r>
          </w:p>
        </w:tc>
      </w:tr>
      <w:tr w:rsidR="00E3599D" w:rsidRPr="00E14102" w14:paraId="0EE1D1FE"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7286FA" w14:textId="77777777" w:rsidR="00D52635" w:rsidRPr="00E14102" w:rsidRDefault="00D52635" w:rsidP="00E14102">
            <w:pPr>
              <w:jc w:val="both"/>
              <w:rPr>
                <w:color w:val="000000" w:themeColor="text1"/>
                <w:sz w:val="16"/>
                <w:szCs w:val="16"/>
              </w:rPr>
            </w:pPr>
            <w:r w:rsidRPr="00E14102">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10675" w14:textId="77777777" w:rsidR="00D52635" w:rsidRPr="00E14102" w:rsidRDefault="00D52635"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15D9E" w14:textId="77777777" w:rsidR="00D52635" w:rsidRPr="00E14102" w:rsidRDefault="00D52635"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14932" w14:textId="77777777" w:rsidR="00D52635" w:rsidRPr="00E14102" w:rsidRDefault="00D52635" w:rsidP="00E14102">
            <w:pPr>
              <w:jc w:val="both"/>
              <w:rPr>
                <w:color w:val="000000" w:themeColor="text1"/>
                <w:sz w:val="16"/>
                <w:szCs w:val="16"/>
              </w:rPr>
            </w:pPr>
            <w:r w:rsidRPr="00E14102">
              <w:rPr>
                <w:color w:val="000000" w:themeColor="text1"/>
                <w:sz w:val="16"/>
                <w:szCs w:val="16"/>
              </w:rPr>
              <w:t> </w:t>
            </w:r>
          </w:p>
        </w:tc>
      </w:tr>
      <w:tr w:rsidR="00E3599D" w:rsidRPr="00E14102" w14:paraId="67B7DFAE"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41B40D" w14:textId="77777777" w:rsidR="00D52635" w:rsidRPr="00E14102" w:rsidRDefault="00D52635" w:rsidP="00E14102">
            <w:pPr>
              <w:jc w:val="both"/>
              <w:rPr>
                <w:color w:val="000000" w:themeColor="text1"/>
                <w:sz w:val="16"/>
                <w:szCs w:val="16"/>
              </w:rPr>
            </w:pPr>
            <w:r w:rsidRPr="00E14102">
              <w:rPr>
                <w:color w:val="000000" w:themeColor="text1"/>
                <w:sz w:val="16"/>
                <w:szCs w:val="16"/>
              </w:rPr>
              <w:t>автотракторная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501BB" w14:textId="77777777" w:rsidR="00D52635" w:rsidRPr="00E14102" w:rsidRDefault="00D52635" w:rsidP="00E14102">
            <w:pPr>
              <w:jc w:val="both"/>
              <w:rPr>
                <w:color w:val="000000" w:themeColor="text1"/>
                <w:sz w:val="16"/>
                <w:szCs w:val="16"/>
              </w:rPr>
            </w:pPr>
            <w:r w:rsidRPr="00E14102">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046D0" w14:textId="77777777" w:rsidR="00D52635" w:rsidRPr="00E14102" w:rsidRDefault="00D52635" w:rsidP="00E14102">
            <w:pPr>
              <w:jc w:val="both"/>
              <w:rPr>
                <w:color w:val="000000" w:themeColor="text1"/>
                <w:sz w:val="16"/>
                <w:szCs w:val="16"/>
              </w:rPr>
            </w:pPr>
            <w:r w:rsidRPr="00E14102">
              <w:rPr>
                <w:color w:val="000000" w:themeColor="text1"/>
                <w:sz w:val="16"/>
                <w:szCs w:val="16"/>
              </w:rPr>
              <w:t>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97846" w14:textId="77777777" w:rsidR="00D52635" w:rsidRPr="00E14102" w:rsidRDefault="00D52635" w:rsidP="00E14102">
            <w:pPr>
              <w:jc w:val="both"/>
              <w:rPr>
                <w:color w:val="000000" w:themeColor="text1"/>
                <w:sz w:val="16"/>
                <w:szCs w:val="16"/>
              </w:rPr>
            </w:pPr>
            <w:r w:rsidRPr="00E14102">
              <w:rPr>
                <w:color w:val="000000" w:themeColor="text1"/>
                <w:sz w:val="16"/>
                <w:szCs w:val="16"/>
              </w:rPr>
              <w:t>573</w:t>
            </w:r>
          </w:p>
        </w:tc>
      </w:tr>
      <w:tr w:rsidR="00E3599D" w:rsidRPr="00E14102" w14:paraId="492AC758"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0D16A4" w14:textId="77777777" w:rsidR="00D52635" w:rsidRPr="00E14102" w:rsidRDefault="00D52635" w:rsidP="00E14102">
            <w:pPr>
              <w:jc w:val="both"/>
              <w:rPr>
                <w:color w:val="000000" w:themeColor="text1"/>
                <w:sz w:val="16"/>
                <w:szCs w:val="16"/>
              </w:rPr>
            </w:pPr>
            <w:r w:rsidRPr="00E14102">
              <w:rPr>
                <w:color w:val="000000" w:themeColor="text1"/>
                <w:sz w:val="16"/>
                <w:szCs w:val="16"/>
              </w:rPr>
              <w:t>электротехническая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A51CA" w14:textId="77777777" w:rsidR="00D52635" w:rsidRPr="00E14102" w:rsidRDefault="00D52635" w:rsidP="00E14102">
            <w:pPr>
              <w:jc w:val="both"/>
              <w:rPr>
                <w:color w:val="000000" w:themeColor="text1"/>
                <w:sz w:val="16"/>
                <w:szCs w:val="16"/>
              </w:rPr>
            </w:pPr>
            <w:r w:rsidRPr="00E14102">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0A5C6" w14:textId="77777777" w:rsidR="00D52635" w:rsidRPr="00E14102" w:rsidRDefault="00D52635" w:rsidP="00E14102">
            <w:pPr>
              <w:jc w:val="both"/>
              <w:rPr>
                <w:color w:val="000000" w:themeColor="text1"/>
                <w:sz w:val="16"/>
                <w:szCs w:val="16"/>
              </w:rPr>
            </w:pPr>
            <w:r w:rsidRPr="00E14102">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46C47" w14:textId="77777777" w:rsidR="00D52635" w:rsidRPr="00E14102" w:rsidRDefault="00D52635" w:rsidP="00E14102">
            <w:pPr>
              <w:jc w:val="both"/>
              <w:rPr>
                <w:color w:val="000000" w:themeColor="text1"/>
                <w:sz w:val="16"/>
                <w:szCs w:val="16"/>
              </w:rPr>
            </w:pPr>
            <w:r w:rsidRPr="00E14102">
              <w:rPr>
                <w:color w:val="000000" w:themeColor="text1"/>
                <w:sz w:val="16"/>
                <w:szCs w:val="16"/>
              </w:rPr>
              <w:t>318</w:t>
            </w:r>
          </w:p>
        </w:tc>
      </w:tr>
      <w:tr w:rsidR="00E3599D" w:rsidRPr="00E14102" w14:paraId="16B44A9A"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2E5603" w14:textId="77777777" w:rsidR="00D52635" w:rsidRPr="00E14102" w:rsidRDefault="00D52635" w:rsidP="00E14102">
            <w:pPr>
              <w:jc w:val="both"/>
              <w:rPr>
                <w:color w:val="000000" w:themeColor="text1"/>
                <w:sz w:val="16"/>
                <w:szCs w:val="16"/>
              </w:rPr>
            </w:pPr>
            <w:r w:rsidRPr="00E14102">
              <w:rPr>
                <w:rStyle w:val="a6"/>
                <w:i w:val="0"/>
                <w:color w:val="000000" w:themeColor="text1"/>
                <w:sz w:val="16"/>
                <w:szCs w:val="16"/>
              </w:rPr>
              <w:t>металлургия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658CD" w14:textId="77777777" w:rsidR="00D52635" w:rsidRPr="00E14102" w:rsidRDefault="00D52635" w:rsidP="00E14102">
            <w:pPr>
              <w:jc w:val="both"/>
              <w:rPr>
                <w:color w:val="000000" w:themeColor="text1"/>
                <w:sz w:val="16"/>
                <w:szCs w:val="16"/>
              </w:rPr>
            </w:pPr>
            <w:r w:rsidRPr="00E14102">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994A6" w14:textId="77777777" w:rsidR="00D52635" w:rsidRPr="00E14102" w:rsidRDefault="00D52635" w:rsidP="00E14102">
            <w:pPr>
              <w:jc w:val="both"/>
              <w:rPr>
                <w:color w:val="000000" w:themeColor="text1"/>
                <w:sz w:val="16"/>
                <w:szCs w:val="16"/>
              </w:rPr>
            </w:pPr>
            <w:r w:rsidRPr="00E14102">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89EE4" w14:textId="77777777" w:rsidR="00D52635" w:rsidRPr="00E14102" w:rsidRDefault="00D52635" w:rsidP="00E14102">
            <w:pPr>
              <w:jc w:val="both"/>
              <w:rPr>
                <w:color w:val="000000" w:themeColor="text1"/>
                <w:sz w:val="16"/>
                <w:szCs w:val="16"/>
              </w:rPr>
            </w:pPr>
            <w:r w:rsidRPr="00E14102">
              <w:rPr>
                <w:color w:val="000000" w:themeColor="text1"/>
                <w:sz w:val="16"/>
                <w:szCs w:val="16"/>
              </w:rPr>
              <w:t>407</w:t>
            </w:r>
          </w:p>
        </w:tc>
      </w:tr>
      <w:tr w:rsidR="00E3599D" w:rsidRPr="00E14102" w14:paraId="40FA6D5B"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9EAB26" w14:textId="77777777" w:rsidR="00D52635" w:rsidRPr="00E14102" w:rsidRDefault="00D52635" w:rsidP="00E14102">
            <w:pPr>
              <w:jc w:val="both"/>
              <w:rPr>
                <w:color w:val="000000" w:themeColor="text1"/>
                <w:sz w:val="16"/>
                <w:szCs w:val="16"/>
              </w:rPr>
            </w:pPr>
            <w:r w:rsidRPr="00E14102">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882EE" w14:textId="77777777" w:rsidR="00D52635" w:rsidRPr="00E14102" w:rsidRDefault="00D52635"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3D228" w14:textId="77777777" w:rsidR="00D52635" w:rsidRPr="00E14102" w:rsidRDefault="00D52635"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21F5F" w14:textId="77777777" w:rsidR="00D52635" w:rsidRPr="00E14102" w:rsidRDefault="00D52635" w:rsidP="00E14102">
            <w:pPr>
              <w:jc w:val="both"/>
              <w:rPr>
                <w:color w:val="000000" w:themeColor="text1"/>
                <w:sz w:val="16"/>
                <w:szCs w:val="16"/>
              </w:rPr>
            </w:pPr>
            <w:r w:rsidRPr="00E14102">
              <w:rPr>
                <w:color w:val="000000" w:themeColor="text1"/>
                <w:sz w:val="16"/>
                <w:szCs w:val="16"/>
              </w:rPr>
              <w:t> </w:t>
            </w:r>
          </w:p>
        </w:tc>
      </w:tr>
      <w:tr w:rsidR="00E3599D" w:rsidRPr="00E14102" w14:paraId="76928D7E"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4220D6" w14:textId="77777777" w:rsidR="00D52635" w:rsidRPr="00E14102" w:rsidRDefault="00D52635" w:rsidP="00E14102">
            <w:pPr>
              <w:jc w:val="both"/>
              <w:rPr>
                <w:color w:val="000000" w:themeColor="text1"/>
                <w:sz w:val="16"/>
                <w:szCs w:val="16"/>
              </w:rPr>
            </w:pPr>
            <w:r w:rsidRPr="00E14102">
              <w:rPr>
                <w:color w:val="000000" w:themeColor="text1"/>
                <w:sz w:val="16"/>
                <w:szCs w:val="16"/>
              </w:rPr>
              <w:t>черная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29759" w14:textId="77777777" w:rsidR="00D52635" w:rsidRPr="00E14102" w:rsidRDefault="00D52635" w:rsidP="00E14102">
            <w:pPr>
              <w:jc w:val="both"/>
              <w:rPr>
                <w:color w:val="000000" w:themeColor="text1"/>
                <w:sz w:val="16"/>
                <w:szCs w:val="16"/>
              </w:rPr>
            </w:pPr>
            <w:r w:rsidRPr="00E14102">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4F07E" w14:textId="77777777" w:rsidR="00D52635" w:rsidRPr="00E14102" w:rsidRDefault="00D52635" w:rsidP="00E14102">
            <w:pPr>
              <w:jc w:val="both"/>
              <w:rPr>
                <w:color w:val="000000" w:themeColor="text1"/>
                <w:sz w:val="16"/>
                <w:szCs w:val="16"/>
              </w:rPr>
            </w:pPr>
            <w:r w:rsidRPr="00E14102">
              <w:rPr>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B16B3" w14:textId="77777777" w:rsidR="00D52635" w:rsidRPr="00E14102" w:rsidRDefault="00D52635" w:rsidP="00E14102">
            <w:pPr>
              <w:jc w:val="both"/>
              <w:rPr>
                <w:color w:val="000000" w:themeColor="text1"/>
                <w:sz w:val="16"/>
                <w:szCs w:val="16"/>
              </w:rPr>
            </w:pPr>
            <w:r w:rsidRPr="00E14102">
              <w:rPr>
                <w:color w:val="000000" w:themeColor="text1"/>
                <w:sz w:val="16"/>
                <w:szCs w:val="16"/>
              </w:rPr>
              <w:t>342</w:t>
            </w:r>
          </w:p>
        </w:tc>
      </w:tr>
      <w:tr w:rsidR="00E3599D" w:rsidRPr="00E14102" w14:paraId="71CBC3A6"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4B0B03" w14:textId="77777777" w:rsidR="00D52635" w:rsidRPr="00E14102" w:rsidRDefault="00D52635" w:rsidP="00E14102">
            <w:pPr>
              <w:jc w:val="both"/>
              <w:rPr>
                <w:color w:val="000000" w:themeColor="text1"/>
                <w:sz w:val="16"/>
                <w:szCs w:val="16"/>
              </w:rPr>
            </w:pPr>
            <w:r w:rsidRPr="00E14102">
              <w:rPr>
                <w:color w:val="000000" w:themeColor="text1"/>
                <w:sz w:val="16"/>
                <w:szCs w:val="16"/>
              </w:rPr>
              <w:t>цветная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27631" w14:textId="77777777" w:rsidR="00D52635" w:rsidRPr="00E14102" w:rsidRDefault="00D52635" w:rsidP="00E14102">
            <w:pPr>
              <w:jc w:val="both"/>
              <w:rPr>
                <w:color w:val="000000" w:themeColor="text1"/>
                <w:sz w:val="16"/>
                <w:szCs w:val="16"/>
              </w:rPr>
            </w:pPr>
            <w:r w:rsidRPr="00E14102">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CF244" w14:textId="77777777" w:rsidR="00D52635" w:rsidRPr="00E14102" w:rsidRDefault="00D52635" w:rsidP="00E14102">
            <w:pPr>
              <w:jc w:val="both"/>
              <w:rPr>
                <w:color w:val="000000" w:themeColor="text1"/>
                <w:sz w:val="16"/>
                <w:szCs w:val="16"/>
              </w:rPr>
            </w:pPr>
            <w:r w:rsidRPr="00E14102">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70AF2" w14:textId="77777777" w:rsidR="00D52635" w:rsidRPr="00E14102" w:rsidRDefault="00D52635" w:rsidP="00E14102">
            <w:pPr>
              <w:jc w:val="both"/>
              <w:rPr>
                <w:color w:val="000000" w:themeColor="text1"/>
                <w:sz w:val="16"/>
                <w:szCs w:val="16"/>
              </w:rPr>
            </w:pPr>
            <w:r w:rsidRPr="00E14102">
              <w:rPr>
                <w:color w:val="000000" w:themeColor="text1"/>
                <w:sz w:val="16"/>
                <w:szCs w:val="16"/>
              </w:rPr>
              <w:t>65</w:t>
            </w:r>
          </w:p>
        </w:tc>
      </w:tr>
      <w:tr w:rsidR="00E3599D" w:rsidRPr="00E14102" w14:paraId="695A6E38"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1D9A10" w14:textId="77777777" w:rsidR="00D52635" w:rsidRPr="00E14102" w:rsidRDefault="00D52635" w:rsidP="00E14102">
            <w:pPr>
              <w:jc w:val="both"/>
              <w:rPr>
                <w:color w:val="000000" w:themeColor="text1"/>
                <w:sz w:val="16"/>
                <w:szCs w:val="16"/>
              </w:rPr>
            </w:pPr>
            <w:r w:rsidRPr="00E14102">
              <w:rPr>
                <w:rStyle w:val="a6"/>
                <w:i w:val="0"/>
                <w:color w:val="000000" w:themeColor="text1"/>
                <w:sz w:val="16"/>
                <w:szCs w:val="16"/>
              </w:rPr>
              <w:t>топливная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C1ADF" w14:textId="77777777" w:rsidR="00D52635" w:rsidRPr="00E14102" w:rsidRDefault="00D52635" w:rsidP="00E14102">
            <w:pPr>
              <w:jc w:val="both"/>
              <w:rPr>
                <w:color w:val="000000" w:themeColor="text1"/>
                <w:sz w:val="16"/>
                <w:szCs w:val="16"/>
              </w:rPr>
            </w:pPr>
            <w:r w:rsidRPr="00E1410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FCCA9" w14:textId="77777777" w:rsidR="00D52635" w:rsidRPr="00E14102" w:rsidRDefault="00D52635" w:rsidP="00E14102">
            <w:pPr>
              <w:jc w:val="both"/>
              <w:rPr>
                <w:color w:val="000000" w:themeColor="text1"/>
                <w:sz w:val="16"/>
                <w:szCs w:val="16"/>
              </w:rPr>
            </w:pPr>
            <w:r w:rsidRPr="00E14102">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B153C" w14:textId="77777777" w:rsidR="00D52635" w:rsidRPr="00E14102" w:rsidRDefault="00D52635" w:rsidP="00E14102">
            <w:pPr>
              <w:jc w:val="both"/>
              <w:rPr>
                <w:color w:val="000000" w:themeColor="text1"/>
                <w:sz w:val="16"/>
                <w:szCs w:val="16"/>
              </w:rPr>
            </w:pPr>
            <w:r w:rsidRPr="00E14102">
              <w:rPr>
                <w:color w:val="000000" w:themeColor="text1"/>
                <w:sz w:val="16"/>
                <w:szCs w:val="16"/>
              </w:rPr>
              <w:t>865</w:t>
            </w:r>
          </w:p>
        </w:tc>
      </w:tr>
      <w:tr w:rsidR="00E3599D" w:rsidRPr="00E14102" w14:paraId="24104F28"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43545D" w14:textId="77777777" w:rsidR="00D52635" w:rsidRPr="00E14102" w:rsidRDefault="00D52635" w:rsidP="00E14102">
            <w:pPr>
              <w:jc w:val="both"/>
              <w:rPr>
                <w:color w:val="000000" w:themeColor="text1"/>
                <w:sz w:val="16"/>
                <w:szCs w:val="16"/>
              </w:rPr>
            </w:pPr>
            <w:r w:rsidRPr="00E14102">
              <w:rPr>
                <w:rStyle w:val="a6"/>
                <w:i w:val="0"/>
                <w:color w:val="000000" w:themeColor="text1"/>
                <w:sz w:val="16"/>
                <w:szCs w:val="16"/>
              </w:rPr>
              <w:t>химическая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8593D" w14:textId="77777777" w:rsidR="00D52635" w:rsidRPr="00E14102" w:rsidRDefault="00D52635" w:rsidP="00E14102">
            <w:pPr>
              <w:jc w:val="both"/>
              <w:rPr>
                <w:color w:val="000000" w:themeColor="text1"/>
                <w:sz w:val="16"/>
                <w:szCs w:val="16"/>
              </w:rPr>
            </w:pPr>
            <w:r w:rsidRPr="00E14102">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450C0" w14:textId="77777777" w:rsidR="00D52635" w:rsidRPr="00E14102" w:rsidRDefault="00D52635" w:rsidP="00E14102">
            <w:pPr>
              <w:jc w:val="both"/>
              <w:rPr>
                <w:color w:val="000000" w:themeColor="text1"/>
                <w:sz w:val="16"/>
                <w:szCs w:val="16"/>
              </w:rPr>
            </w:pPr>
            <w:r w:rsidRPr="00E14102">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ABC8E" w14:textId="77777777" w:rsidR="00D52635" w:rsidRPr="00E14102" w:rsidRDefault="00D52635" w:rsidP="00E14102">
            <w:pPr>
              <w:jc w:val="both"/>
              <w:rPr>
                <w:color w:val="000000" w:themeColor="text1"/>
                <w:sz w:val="16"/>
                <w:szCs w:val="16"/>
              </w:rPr>
            </w:pPr>
            <w:r w:rsidRPr="00E14102">
              <w:rPr>
                <w:color w:val="000000" w:themeColor="text1"/>
                <w:sz w:val="16"/>
                <w:szCs w:val="16"/>
              </w:rPr>
              <w:t>55</w:t>
            </w:r>
          </w:p>
        </w:tc>
      </w:tr>
      <w:tr w:rsidR="00E3599D" w:rsidRPr="00E14102" w14:paraId="1CA1B8CA"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B97485" w14:textId="77777777" w:rsidR="00D52635" w:rsidRPr="00E14102" w:rsidRDefault="00D52635" w:rsidP="00E14102">
            <w:pPr>
              <w:jc w:val="both"/>
              <w:rPr>
                <w:color w:val="000000" w:themeColor="text1"/>
                <w:sz w:val="16"/>
                <w:szCs w:val="16"/>
              </w:rPr>
            </w:pPr>
            <w:r w:rsidRPr="00E14102">
              <w:rPr>
                <w:rStyle w:val="a6"/>
                <w:i w:val="0"/>
                <w:color w:val="000000" w:themeColor="text1"/>
                <w:sz w:val="16"/>
                <w:szCs w:val="16"/>
              </w:rPr>
              <w:t>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7D4A2" w14:textId="77777777" w:rsidR="00D52635" w:rsidRPr="00E14102" w:rsidRDefault="00D52635" w:rsidP="00E14102">
            <w:pPr>
              <w:jc w:val="both"/>
              <w:rPr>
                <w:color w:val="000000" w:themeColor="text1"/>
                <w:sz w:val="16"/>
                <w:szCs w:val="16"/>
              </w:rPr>
            </w:pPr>
            <w:r w:rsidRPr="00E14102">
              <w:rPr>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4F4CF" w14:textId="77777777" w:rsidR="00D52635" w:rsidRPr="00E14102" w:rsidRDefault="00D52635" w:rsidP="00E14102">
            <w:pPr>
              <w:jc w:val="both"/>
              <w:rPr>
                <w:color w:val="000000" w:themeColor="text1"/>
                <w:sz w:val="16"/>
                <w:szCs w:val="16"/>
              </w:rPr>
            </w:pPr>
            <w:r w:rsidRPr="00E14102">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09E9C" w14:textId="77777777" w:rsidR="00D52635" w:rsidRPr="00E14102" w:rsidRDefault="00D52635" w:rsidP="00E14102">
            <w:pPr>
              <w:jc w:val="both"/>
              <w:rPr>
                <w:color w:val="000000" w:themeColor="text1"/>
                <w:sz w:val="16"/>
                <w:szCs w:val="16"/>
              </w:rPr>
            </w:pPr>
            <w:r w:rsidRPr="00E14102">
              <w:rPr>
                <w:color w:val="000000" w:themeColor="text1"/>
                <w:sz w:val="16"/>
                <w:szCs w:val="16"/>
              </w:rPr>
              <w:t>194</w:t>
            </w:r>
          </w:p>
        </w:tc>
      </w:tr>
      <w:tr w:rsidR="00E3599D" w:rsidRPr="00E14102" w14:paraId="11C68C42"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3AE95D" w14:textId="77777777" w:rsidR="00D52635" w:rsidRPr="00E14102" w:rsidRDefault="00D52635" w:rsidP="00E14102">
            <w:pPr>
              <w:jc w:val="both"/>
              <w:rPr>
                <w:color w:val="000000" w:themeColor="text1"/>
                <w:sz w:val="16"/>
                <w:szCs w:val="16"/>
              </w:rPr>
            </w:pPr>
            <w:r w:rsidRPr="00E14102">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74F4F" w14:textId="77777777" w:rsidR="00D52635" w:rsidRPr="00E14102" w:rsidRDefault="00D52635" w:rsidP="00E14102">
            <w:pPr>
              <w:jc w:val="both"/>
              <w:rPr>
                <w:color w:val="000000" w:themeColor="text1"/>
                <w:sz w:val="16"/>
                <w:szCs w:val="16"/>
              </w:rPr>
            </w:pPr>
            <w:r w:rsidRPr="00E14102">
              <w:rPr>
                <w:color w:val="000000" w:themeColor="text1"/>
                <w:sz w:val="16"/>
                <w:szCs w:val="16"/>
              </w:rPr>
              <w:t>744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A37DB" w14:textId="77777777" w:rsidR="00D52635" w:rsidRPr="00E14102" w:rsidRDefault="00D52635" w:rsidP="00E14102">
            <w:pPr>
              <w:jc w:val="both"/>
              <w:rPr>
                <w:color w:val="000000" w:themeColor="text1"/>
                <w:sz w:val="16"/>
                <w:szCs w:val="16"/>
              </w:rPr>
            </w:pPr>
            <w:r w:rsidRPr="00E14102">
              <w:rPr>
                <w:color w:val="000000" w:themeColor="text1"/>
                <w:sz w:val="16"/>
                <w:szCs w:val="16"/>
              </w:rPr>
              <w:t>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DB933" w14:textId="77777777" w:rsidR="00D52635" w:rsidRPr="00E14102" w:rsidRDefault="00D52635" w:rsidP="00E14102">
            <w:pPr>
              <w:jc w:val="both"/>
              <w:rPr>
                <w:color w:val="000000" w:themeColor="text1"/>
                <w:sz w:val="16"/>
                <w:szCs w:val="16"/>
              </w:rPr>
            </w:pPr>
            <w:r w:rsidRPr="00E14102">
              <w:rPr>
                <w:color w:val="000000" w:themeColor="text1"/>
                <w:sz w:val="16"/>
                <w:szCs w:val="16"/>
              </w:rPr>
              <w:t>3175</w:t>
            </w:r>
          </w:p>
        </w:tc>
      </w:tr>
    </w:tbl>
    <w:p w14:paraId="08FF7255" w14:textId="77777777" w:rsidR="00D52635" w:rsidRPr="00E14102" w:rsidRDefault="00D52635" w:rsidP="00E14102">
      <w:pPr>
        <w:pStyle w:val="rtejustify"/>
        <w:spacing w:before="0" w:after="0"/>
        <w:rPr>
          <w:color w:val="000000" w:themeColor="text1"/>
          <w:sz w:val="16"/>
          <w:szCs w:val="16"/>
        </w:rPr>
      </w:pPr>
      <w:r w:rsidRPr="00E14102">
        <w:rPr>
          <w:color w:val="000000" w:themeColor="text1"/>
          <w:sz w:val="16"/>
          <w:szCs w:val="16"/>
        </w:rPr>
        <w:t>Среди этого количества иноработников имеется:</w:t>
      </w:r>
    </w:p>
    <w:p w14:paraId="4AD1DCC1" w14:textId="77777777" w:rsidR="00D52635" w:rsidRPr="00E14102" w:rsidRDefault="00D52635" w:rsidP="00E14102">
      <w:pPr>
        <w:pStyle w:val="rtejustify"/>
        <w:spacing w:before="0" w:after="0"/>
        <w:rPr>
          <w:color w:val="000000" w:themeColor="text1"/>
          <w:sz w:val="16"/>
          <w:szCs w:val="16"/>
        </w:rPr>
      </w:pPr>
      <w:r w:rsidRPr="00E14102">
        <w:rPr>
          <w:color w:val="000000" w:themeColor="text1"/>
          <w:sz w:val="16"/>
          <w:szCs w:val="16"/>
        </w:rPr>
        <w:t>немцев 1719 чел. (инженеров — 304, техников и мастеров — 341, рабочих — 1074);</w:t>
      </w:r>
    </w:p>
    <w:p w14:paraId="700EA297" w14:textId="77777777" w:rsidR="00D52635" w:rsidRPr="00E14102" w:rsidRDefault="00D52635" w:rsidP="00E14102">
      <w:pPr>
        <w:pStyle w:val="rtejustify"/>
        <w:spacing w:before="0" w:after="0"/>
        <w:rPr>
          <w:color w:val="000000" w:themeColor="text1"/>
          <w:sz w:val="16"/>
          <w:szCs w:val="16"/>
        </w:rPr>
      </w:pPr>
      <w:r w:rsidRPr="00E14102">
        <w:rPr>
          <w:color w:val="000000" w:themeColor="text1"/>
          <w:sz w:val="16"/>
          <w:szCs w:val="16"/>
        </w:rPr>
        <w:t>американцев — 308 чел. (инженеров — 96, техников и мастеров — 66, рабочих — 146);</w:t>
      </w:r>
    </w:p>
    <w:p w14:paraId="7C8069D2" w14:textId="77777777" w:rsidR="00D52635" w:rsidRPr="00E14102" w:rsidRDefault="00D52635" w:rsidP="00E14102">
      <w:pPr>
        <w:pStyle w:val="rtejustify"/>
        <w:spacing w:before="0" w:after="0"/>
        <w:rPr>
          <w:color w:val="000000" w:themeColor="text1"/>
          <w:sz w:val="16"/>
          <w:szCs w:val="16"/>
        </w:rPr>
      </w:pPr>
      <w:r w:rsidRPr="00E14102">
        <w:rPr>
          <w:color w:val="000000" w:themeColor="text1"/>
          <w:sz w:val="16"/>
          <w:szCs w:val="16"/>
        </w:rPr>
        <w:t>австрийцев — 871 чел. (инженеров — 97, техников и мастеров — 148, рабочих — 626);</w:t>
      </w:r>
    </w:p>
    <w:p w14:paraId="65689DF0" w14:textId="77777777" w:rsidR="00D52635" w:rsidRPr="00E14102" w:rsidRDefault="00D52635" w:rsidP="00E14102">
      <w:pPr>
        <w:pStyle w:val="rtejustify"/>
        <w:spacing w:before="0" w:after="0"/>
        <w:rPr>
          <w:color w:val="000000" w:themeColor="text1"/>
          <w:sz w:val="16"/>
          <w:szCs w:val="16"/>
        </w:rPr>
      </w:pPr>
      <w:r w:rsidRPr="00E14102">
        <w:rPr>
          <w:color w:val="000000" w:themeColor="text1"/>
          <w:sz w:val="16"/>
          <w:szCs w:val="16"/>
        </w:rPr>
        <w:t>чехословаков — 542 чел. (инженеров — 47, техников и мастеров — 97, рабочих — 398).</w:t>
      </w:r>
    </w:p>
    <w:p w14:paraId="797FFBBE" w14:textId="77777777" w:rsidR="00D52635" w:rsidRPr="00E14102" w:rsidRDefault="00D52635" w:rsidP="00E14102">
      <w:pPr>
        <w:pStyle w:val="rtejustify"/>
        <w:spacing w:before="0" w:after="0"/>
        <w:rPr>
          <w:color w:val="000000" w:themeColor="text1"/>
          <w:sz w:val="16"/>
          <w:szCs w:val="16"/>
        </w:rPr>
      </w:pPr>
      <w:r w:rsidRPr="00E14102">
        <w:rPr>
          <w:color w:val="000000" w:themeColor="text1"/>
          <w:sz w:val="16"/>
          <w:szCs w:val="16"/>
        </w:rPr>
        <w:t>ИНО НКТП считает, что в настоящее время необходимо приступить к проведению следующих мероприятий:</w:t>
      </w:r>
    </w:p>
    <w:p w14:paraId="3DE99605" w14:textId="77777777" w:rsidR="00D52635" w:rsidRPr="00E14102" w:rsidRDefault="00D52635"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rPr>
        <w:t>I</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Снять всех иностранцев с: а)</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предприятий азотной промышленности (Бобрики, Березники, Горловка),</w:t>
      </w:r>
    </w:p>
    <w:p w14:paraId="452D0A2B" w14:textId="77777777" w:rsidR="00D52635" w:rsidRPr="00E14102" w:rsidRDefault="00D52635"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б)</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электростанций,</w:t>
      </w:r>
    </w:p>
    <w:p w14:paraId="6BEBF0FB" w14:textId="77777777" w:rsidR="00D52635" w:rsidRPr="00E14102" w:rsidRDefault="00D52635" w:rsidP="00E14102">
      <w:pPr>
        <w:jc w:val="both"/>
        <w:rPr>
          <w:color w:val="000000" w:themeColor="text1"/>
          <w:sz w:val="16"/>
          <w:szCs w:val="16"/>
        </w:rPr>
      </w:pPr>
      <w:r w:rsidRPr="00E14102">
        <w:rPr>
          <w:color w:val="000000" w:themeColor="text1"/>
          <w:sz w:val="16"/>
          <w:szCs w:val="16"/>
        </w:rPr>
        <w:t>в) заводов — Ижорского,</w:t>
      </w:r>
    </w:p>
    <w:p w14:paraId="5588B376" w14:textId="77777777" w:rsidR="00D52635" w:rsidRPr="00E14102" w:rsidRDefault="00D52635" w:rsidP="00E14102">
      <w:pPr>
        <w:jc w:val="both"/>
        <w:rPr>
          <w:color w:val="000000" w:themeColor="text1"/>
          <w:sz w:val="16"/>
          <w:szCs w:val="16"/>
        </w:rPr>
      </w:pPr>
      <w:r w:rsidRPr="00E14102">
        <w:rPr>
          <w:color w:val="000000" w:themeColor="text1"/>
          <w:sz w:val="16"/>
          <w:szCs w:val="16"/>
        </w:rPr>
        <w:t>Кировского (бывший «Красный Путиловец»)</w:t>
      </w:r>
    </w:p>
    <w:p w14:paraId="78598D75" w14:textId="77777777" w:rsidR="00D52635" w:rsidRPr="00E14102" w:rsidRDefault="00D52635" w:rsidP="00E14102">
      <w:pPr>
        <w:jc w:val="both"/>
        <w:rPr>
          <w:color w:val="000000" w:themeColor="text1"/>
          <w:sz w:val="16"/>
          <w:szCs w:val="16"/>
        </w:rPr>
      </w:pPr>
      <w:r w:rsidRPr="00E14102">
        <w:rPr>
          <w:color w:val="000000" w:themeColor="text1"/>
          <w:sz w:val="16"/>
          <w:szCs w:val="16"/>
        </w:rPr>
        <w:t>Морского судостроения</w:t>
      </w:r>
    </w:p>
    <w:p w14:paraId="1E94A84F" w14:textId="77777777" w:rsidR="00D52635" w:rsidRPr="00E14102" w:rsidRDefault="00D52635" w:rsidP="00E14102">
      <w:pPr>
        <w:jc w:val="both"/>
        <w:rPr>
          <w:color w:val="000000" w:themeColor="text1"/>
          <w:sz w:val="16"/>
          <w:szCs w:val="16"/>
        </w:rPr>
      </w:pPr>
      <w:r w:rsidRPr="00E14102">
        <w:rPr>
          <w:color w:val="000000" w:themeColor="text1"/>
          <w:sz w:val="16"/>
          <w:szCs w:val="16"/>
        </w:rPr>
        <w:t>Красное Сормово</w:t>
      </w:r>
    </w:p>
    <w:p w14:paraId="48099A44" w14:textId="77777777" w:rsidR="00D52635" w:rsidRPr="00E14102" w:rsidRDefault="00D52635" w:rsidP="00E14102">
      <w:pPr>
        <w:jc w:val="both"/>
        <w:rPr>
          <w:color w:val="000000" w:themeColor="text1"/>
          <w:sz w:val="16"/>
          <w:szCs w:val="16"/>
        </w:rPr>
      </w:pPr>
      <w:r w:rsidRPr="00E14102">
        <w:rPr>
          <w:color w:val="000000" w:themeColor="text1"/>
          <w:sz w:val="16"/>
          <w:szCs w:val="16"/>
        </w:rPr>
        <w:t>АТЭ и Прожекторного электрокомбината</w:t>
      </w:r>
    </w:p>
    <w:p w14:paraId="33700C0E" w14:textId="77777777" w:rsidR="00D52635" w:rsidRPr="00E14102" w:rsidRDefault="00D52635" w:rsidP="00E14102">
      <w:pPr>
        <w:jc w:val="both"/>
        <w:rPr>
          <w:color w:val="000000" w:themeColor="text1"/>
          <w:sz w:val="16"/>
          <w:szCs w:val="16"/>
        </w:rPr>
      </w:pPr>
      <w:r w:rsidRPr="00E14102">
        <w:rPr>
          <w:color w:val="000000" w:themeColor="text1"/>
          <w:sz w:val="16"/>
          <w:szCs w:val="16"/>
        </w:rPr>
        <w:t>Электроприбора</w:t>
      </w:r>
    </w:p>
    <w:p w14:paraId="6C8B3765" w14:textId="77777777" w:rsidR="00D52635" w:rsidRPr="00E14102" w:rsidRDefault="00D52635" w:rsidP="00E14102">
      <w:pPr>
        <w:jc w:val="both"/>
        <w:rPr>
          <w:color w:val="000000" w:themeColor="text1"/>
          <w:sz w:val="16"/>
          <w:szCs w:val="16"/>
        </w:rPr>
      </w:pPr>
      <w:r w:rsidRPr="00E14102">
        <w:rPr>
          <w:color w:val="000000" w:themeColor="text1"/>
          <w:sz w:val="16"/>
          <w:szCs w:val="16"/>
        </w:rPr>
        <w:t>ЗАТЭМ.</w:t>
      </w:r>
    </w:p>
    <w:p w14:paraId="33D91461" w14:textId="77777777" w:rsidR="00D52635" w:rsidRPr="00E14102" w:rsidRDefault="00D52635" w:rsidP="00E14102">
      <w:pPr>
        <w:pStyle w:val="rtejustify"/>
        <w:spacing w:before="0" w:after="0"/>
        <w:rPr>
          <w:color w:val="000000" w:themeColor="text1"/>
          <w:sz w:val="16"/>
          <w:szCs w:val="16"/>
        </w:rPr>
      </w:pPr>
      <w:r w:rsidRPr="00E14102">
        <w:rPr>
          <w:color w:val="000000" w:themeColor="text1"/>
          <w:sz w:val="16"/>
          <w:szCs w:val="16"/>
        </w:rPr>
        <w:t>II. Проверить совместно с директорами предприятий персональный состав работающих в остальных отраслях иностранцев (на предприятиях, проектных и монтажных организациях и научно-исследовательских учреждениях) и снять с работы тех из иноработников, которые не представляют производственной ценности (по своей квалификации) и политически нелояльны к нам.</w:t>
      </w:r>
    </w:p>
    <w:p w14:paraId="29EF9C4A" w14:textId="77777777" w:rsidR="00D52635" w:rsidRPr="00E14102" w:rsidRDefault="00D52635" w:rsidP="00E14102">
      <w:pPr>
        <w:pStyle w:val="rtejustify"/>
        <w:spacing w:before="0" w:after="0"/>
        <w:rPr>
          <w:color w:val="000000" w:themeColor="text1"/>
          <w:sz w:val="16"/>
          <w:szCs w:val="16"/>
        </w:rPr>
      </w:pPr>
      <w:r w:rsidRPr="00E14102">
        <w:rPr>
          <w:color w:val="000000" w:themeColor="text1"/>
          <w:sz w:val="16"/>
          <w:szCs w:val="16"/>
        </w:rPr>
        <w:t>III. Проводить практически эти мероприятия чрезвычайно осторожно, постепенно и не в порядке кампаний, чтобы не вызывать нежелательных разговоров и шума вокруг связанных с проведением этих мероприятий увольнений значительного количества иноработников.</w:t>
      </w:r>
    </w:p>
    <w:p w14:paraId="684B8E8F" w14:textId="77777777" w:rsidR="00D52635" w:rsidRPr="00E14102" w:rsidRDefault="00D52635" w:rsidP="00E14102">
      <w:pPr>
        <w:pStyle w:val="rtejustify"/>
        <w:spacing w:before="0" w:after="0"/>
        <w:rPr>
          <w:color w:val="000000" w:themeColor="text1"/>
          <w:sz w:val="16"/>
          <w:szCs w:val="16"/>
        </w:rPr>
      </w:pPr>
      <w:r w:rsidRPr="00E14102">
        <w:rPr>
          <w:color w:val="000000" w:themeColor="text1"/>
          <w:sz w:val="16"/>
          <w:szCs w:val="16"/>
        </w:rPr>
        <w:t>В случае Вашего принципиального согласия на перечисленные мероприятия ИНО НКТП представит Вам список предприятий и правительственных указаний начальникам главков и директорам предприятий по этому вопросу.</w:t>
      </w:r>
    </w:p>
    <w:p w14:paraId="35A8EF53" w14:textId="77777777" w:rsidR="00D52635" w:rsidRPr="00E14102" w:rsidRDefault="00D52635" w:rsidP="00E14102">
      <w:pPr>
        <w:pStyle w:val="rtejustify"/>
        <w:spacing w:before="0" w:after="0"/>
        <w:rPr>
          <w:color w:val="000000" w:themeColor="text1"/>
          <w:sz w:val="16"/>
          <w:szCs w:val="16"/>
        </w:rPr>
      </w:pPr>
      <w:r w:rsidRPr="00E14102">
        <w:rPr>
          <w:color w:val="000000" w:themeColor="text1"/>
          <w:sz w:val="16"/>
          <w:szCs w:val="16"/>
        </w:rPr>
        <w:t>Прошу Ваших указаний.</w:t>
      </w:r>
    </w:p>
    <w:p w14:paraId="2CF201CB" w14:textId="77777777" w:rsidR="00D52635" w:rsidRPr="00E14102" w:rsidRDefault="00D52635"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Начальник ИНО </w:t>
      </w:r>
      <w:r w:rsidRPr="00E14102">
        <w:rPr>
          <w:rStyle w:val="a6"/>
          <w:rFonts w:ascii="Times New Roman" w:hAnsi="Times New Roman" w:cs="Times New Roman"/>
          <w:i w:val="0"/>
          <w:color w:val="000000" w:themeColor="text1"/>
          <w:sz w:val="16"/>
          <w:szCs w:val="16"/>
          <w:lang w:val="ru-RU"/>
        </w:rPr>
        <w:t>Биренцвейг</w:t>
      </w:r>
    </w:p>
    <w:p w14:paraId="5B3B9CE4" w14:textId="77777777" w:rsidR="00D52635" w:rsidRPr="00E14102" w:rsidRDefault="00D52635" w:rsidP="00E14102">
      <w:pPr>
        <w:pStyle w:val="rteindent1"/>
        <w:spacing w:before="0" w:after="0"/>
        <w:ind w:left="0"/>
        <w:jc w:val="both"/>
        <w:rPr>
          <w:color w:val="000000" w:themeColor="text1"/>
          <w:sz w:val="16"/>
          <w:szCs w:val="16"/>
        </w:rPr>
      </w:pPr>
      <w:r w:rsidRPr="00E14102">
        <w:rPr>
          <w:color w:val="000000" w:themeColor="text1"/>
          <w:sz w:val="16"/>
          <w:szCs w:val="16"/>
        </w:rPr>
        <w:t>РГАЭ. Ф. 7297. Оп. 38. Д. 223. Л. 12 и об. Подлинник. Подпись — автограф.</w:t>
      </w:r>
    </w:p>
    <w:p w14:paraId="18FEAFFF" w14:textId="77777777" w:rsidR="00D52635" w:rsidRPr="00E14102" w:rsidRDefault="00D52635" w:rsidP="00E14102">
      <w:pPr>
        <w:jc w:val="both"/>
        <w:rPr>
          <w:color w:val="000000" w:themeColor="text1"/>
          <w:sz w:val="16"/>
          <w:szCs w:val="16"/>
        </w:rPr>
      </w:pPr>
      <w:r w:rsidRPr="00E14102">
        <w:rPr>
          <w:color w:val="000000" w:themeColor="text1"/>
          <w:sz w:val="16"/>
          <w:szCs w:val="16"/>
        </w:rPr>
        <w:t>Источник: Индустриализация Советского Союза. Новые документы. Новые факты. Новые подходы. Институт российской истории РАН, М. 1999. Ч. II. стр. 304-306.</w:t>
      </w:r>
    </w:p>
    <w:p w14:paraId="7DB282F4" w14:textId="77777777" w:rsidR="00D52635" w:rsidRPr="00E14102" w:rsidRDefault="00D52635" w:rsidP="00E14102">
      <w:pPr>
        <w:jc w:val="both"/>
        <w:rPr>
          <w:color w:val="000000" w:themeColor="text1"/>
          <w:sz w:val="16"/>
          <w:szCs w:val="16"/>
        </w:rPr>
      </w:pPr>
      <w:r w:rsidRPr="00E14102">
        <w:rPr>
          <w:color w:val="000000" w:themeColor="text1"/>
          <w:sz w:val="16"/>
          <w:szCs w:val="16"/>
        </w:rPr>
        <w:t>Архив: РГАЭ. Ф. 7297. Оп. 38. Д. 223. Л. 12 и об. Подлинник (12178)</w:t>
      </w:r>
    </w:p>
    <w:p w14:paraId="4456C91F" w14:textId="77777777" w:rsidR="00D52635" w:rsidRPr="00E14102" w:rsidRDefault="00D52635" w:rsidP="00E14102">
      <w:pPr>
        <w:jc w:val="both"/>
        <w:rPr>
          <w:color w:val="000000" w:themeColor="text1"/>
          <w:sz w:val="16"/>
          <w:szCs w:val="16"/>
        </w:rPr>
      </w:pPr>
    </w:p>
    <w:p w14:paraId="506E751D" w14:textId="77777777" w:rsidR="008F6B49" w:rsidRPr="00E14102" w:rsidRDefault="008F6B49" w:rsidP="00E14102">
      <w:pPr>
        <w:jc w:val="both"/>
        <w:rPr>
          <w:color w:val="000000" w:themeColor="text1"/>
          <w:sz w:val="16"/>
          <w:szCs w:val="16"/>
        </w:rPr>
      </w:pPr>
      <w:r w:rsidRPr="00E14102">
        <w:rPr>
          <w:color w:val="000000" w:themeColor="text1"/>
          <w:sz w:val="16"/>
          <w:szCs w:val="16"/>
        </w:rPr>
        <w:t>3 апреля 1935 был доклад начальника Остехбюро В.И.Бекаури в НИИ ВВС РККА и НИМТИ УВМС РККА о трудности разработки высокоскоростной торпеды. В докладе, в частности, говорилось:</w:t>
      </w:r>
    </w:p>
    <w:p w14:paraId="388FC4FC" w14:textId="77777777" w:rsidR="008F6B49" w:rsidRPr="00E14102" w:rsidRDefault="008F6B49" w:rsidP="00E14102">
      <w:pPr>
        <w:jc w:val="both"/>
        <w:rPr>
          <w:color w:val="000000" w:themeColor="text1"/>
          <w:sz w:val="16"/>
          <w:szCs w:val="16"/>
        </w:rPr>
      </w:pPr>
      <w:r w:rsidRPr="00E14102">
        <w:rPr>
          <w:color w:val="000000" w:themeColor="text1"/>
          <w:sz w:val="16"/>
          <w:szCs w:val="16"/>
        </w:rPr>
        <w:t>Для разработки торпеды с использованием кислорода и кислородообразующих веществ необходимо привлечение к работе химических институтов. Остехбюро завершает проектирование экспериментальной 21-дюймовой торпеды с тысячесильным четырехцилиндровым горизонтальным паровоздушным двигателем, который должен обеспечить скорость хода 70 узлов при дальности 2750 м (18667).</w:t>
      </w:r>
    </w:p>
    <w:p w14:paraId="7E84BD27" w14:textId="77777777" w:rsidR="008F6B49" w:rsidRPr="00E14102" w:rsidRDefault="008F6B49" w:rsidP="00E14102">
      <w:pPr>
        <w:jc w:val="both"/>
        <w:rPr>
          <w:color w:val="000000" w:themeColor="text1"/>
          <w:sz w:val="16"/>
          <w:szCs w:val="16"/>
        </w:rPr>
      </w:pPr>
    </w:p>
    <w:p w14:paraId="4559778E" w14:textId="77777777" w:rsidR="007E0DE7"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44C5C21" w14:textId="77777777" w:rsidR="007E0DE7" w:rsidRPr="00E14102" w:rsidRDefault="007E0DE7" w:rsidP="00E14102">
      <w:pPr>
        <w:autoSpaceDE w:val="0"/>
        <w:autoSpaceDN w:val="0"/>
        <w:adjustRightInd w:val="0"/>
        <w:jc w:val="both"/>
        <w:rPr>
          <w:iCs/>
          <w:color w:val="000000" w:themeColor="text1"/>
          <w:sz w:val="16"/>
          <w:szCs w:val="16"/>
        </w:rPr>
      </w:pPr>
    </w:p>
    <w:p w14:paraId="507713C9" w14:textId="77777777" w:rsidR="007E0DE7" w:rsidRPr="00E14102" w:rsidRDefault="007E0DE7" w:rsidP="00E14102">
      <w:pPr>
        <w:jc w:val="both"/>
        <w:rPr>
          <w:color w:val="000000" w:themeColor="text1"/>
          <w:sz w:val="16"/>
          <w:szCs w:val="16"/>
        </w:rPr>
      </w:pPr>
      <w:r w:rsidRPr="00E14102">
        <w:rPr>
          <w:bCs/>
          <w:color w:val="000000" w:themeColor="text1"/>
          <w:sz w:val="16"/>
          <w:szCs w:val="16"/>
        </w:rPr>
        <w:t>3 апреля</w:t>
      </w:r>
      <w:r w:rsidRPr="00E14102">
        <w:rPr>
          <w:color w:val="000000" w:themeColor="text1"/>
          <w:sz w:val="16"/>
          <w:szCs w:val="16"/>
        </w:rPr>
        <w:t xml:space="preserve"> в 1935 году два одесских жигана, Свибильский и Мейстер ограбили кустаря Лейтмана. После революции бандиты широко практиковали так называемые «самочинки» - насильственную реквизиция имущества граждан по видом обыска. Этот способ им так понравился, что в слегка усовершенствованном виде он существовал еще десятки лет. Например, таким способом два одесских жигана, Свибильский и Мейстер, 3 апреля 1935 года ограбили кустаря Лейтмана. Сначала в его мастерскую в доме № 4 по 9-й Черкизовской улице под видом заказчика зашел Свибильский. А пока он беседовал с хозяином в мастерскую ввалился Мейстер в милицейской форме и с наганом за поясом. Физиономия у него была красная и от него несло перегаром, так что Лейтман сначала действительно принял его за милиционера. Мейстер назвался работником уголовного розыска, после чего стал производить обыск. Имущество Лейтмана на сумму 2230 рублей было им конфисковано, у Свибильского он отобрал револьвер «маузер». Оставив Лейтману расписку об изъятии конфискованного имущества и арестовав Свибильского, Мейстер отправился конвоировать его в участок. Но в Одессе были ушлыми не только жулики, но и простые граждане. Лейтман уже раскусил, что его «развели» и при помощи соседей задержал налетчиков. Сначала их приговорили к расстрелу, но Верховный суд заменил высшую меру десятью годами лишения свободы. Повезло налетчикам!</w:t>
      </w:r>
    </w:p>
    <w:p w14:paraId="033EEFE6" w14:textId="77777777" w:rsidR="007E0DE7" w:rsidRPr="00E14102" w:rsidRDefault="007E0DE7" w:rsidP="00E14102">
      <w:pPr>
        <w:jc w:val="both"/>
        <w:rPr>
          <w:color w:val="000000" w:themeColor="text1"/>
          <w:sz w:val="16"/>
          <w:szCs w:val="16"/>
        </w:rPr>
      </w:pPr>
    </w:p>
    <w:p w14:paraId="2085F0E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D784136" w14:textId="77777777" w:rsidR="00D4105E" w:rsidRPr="00E14102" w:rsidRDefault="00D4105E" w:rsidP="00E14102">
      <w:pPr>
        <w:autoSpaceDE w:val="0"/>
        <w:autoSpaceDN w:val="0"/>
        <w:adjustRightInd w:val="0"/>
        <w:jc w:val="both"/>
        <w:rPr>
          <w:iCs/>
          <w:color w:val="000000" w:themeColor="text1"/>
          <w:sz w:val="16"/>
          <w:szCs w:val="16"/>
        </w:rPr>
      </w:pPr>
    </w:p>
    <w:p w14:paraId="22F4D3BA" w14:textId="77777777" w:rsidR="003E561B" w:rsidRPr="00E14102" w:rsidRDefault="003E561B" w:rsidP="00E14102">
      <w:pPr>
        <w:jc w:val="both"/>
        <w:rPr>
          <w:color w:val="0070C0"/>
          <w:sz w:val="16"/>
          <w:szCs w:val="16"/>
        </w:rPr>
      </w:pPr>
      <w:r w:rsidRPr="00E14102">
        <w:rPr>
          <w:color w:val="0070C0"/>
          <w:sz w:val="16"/>
          <w:szCs w:val="16"/>
        </w:rPr>
        <w:t xml:space="preserve">4 апреля 1935 года для дальнейшего развертывания крупносерийного производства самолетов И-16 на заводе № 21 приказом по заводу № 66 от была проведена реорганизация производства, в том числе цех№ 50 снова преобразован в аэродромную мастерскую, подчиненную начальнику цеха № 40 А.П. Ефремову. Старшим </w:t>
      </w:r>
      <w:r w:rsidRPr="00E14102">
        <w:rPr>
          <w:color w:val="0070C0"/>
          <w:sz w:val="16"/>
          <w:szCs w:val="16"/>
        </w:rPr>
        <w:lastRenderedPageBreak/>
        <w:t>механиком аэродромной мастерской утвержден М.И. Крылов, а контрольные функции поручены ЛИС, организованному в составе ОТК. Начальником ЛИС первоначально был назначен В.Х. Скритул, а буквально через месяц им стал летчик- сдатчик Т.С. Жуков с подчинением начальнику ОТК завода К.А. Белоусову. Скритул стал старшим контролером аэродрома (21100).</w:t>
      </w:r>
    </w:p>
    <w:p w14:paraId="256B5266" w14:textId="77777777" w:rsidR="003E561B" w:rsidRPr="00E14102" w:rsidRDefault="003E561B" w:rsidP="00E14102">
      <w:pPr>
        <w:jc w:val="both"/>
        <w:rPr>
          <w:color w:val="0070C0"/>
          <w:sz w:val="16"/>
          <w:szCs w:val="16"/>
        </w:rPr>
      </w:pPr>
    </w:p>
    <w:p w14:paraId="196A9D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апреля 1935 на аэродром вышел СБ с ИС после ремонта (2343,173).</w:t>
      </w:r>
    </w:p>
    <w:p w14:paraId="2A211692" w14:textId="77777777" w:rsidR="00D4105E" w:rsidRPr="00E14102" w:rsidRDefault="00D4105E" w:rsidP="00E14102">
      <w:pPr>
        <w:autoSpaceDE w:val="0"/>
        <w:autoSpaceDN w:val="0"/>
        <w:adjustRightInd w:val="0"/>
        <w:jc w:val="both"/>
        <w:rPr>
          <w:color w:val="000000" w:themeColor="text1"/>
          <w:sz w:val="16"/>
          <w:szCs w:val="16"/>
        </w:rPr>
      </w:pPr>
    </w:p>
    <w:p w14:paraId="526BAE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апреля 1935 была подготовлена сводка аэродинамических данных (по эскизным расчетам) самолета ЦКБ-27 с К-14 с удлиненным валом (2343,172).</w:t>
      </w:r>
    </w:p>
    <w:p w14:paraId="08027409" w14:textId="77777777" w:rsidR="00D4105E" w:rsidRPr="00E14102" w:rsidRDefault="00D4105E" w:rsidP="00E14102">
      <w:pPr>
        <w:autoSpaceDE w:val="0"/>
        <w:autoSpaceDN w:val="0"/>
        <w:adjustRightInd w:val="0"/>
        <w:jc w:val="both"/>
        <w:rPr>
          <w:color w:val="000000" w:themeColor="text1"/>
          <w:sz w:val="16"/>
          <w:szCs w:val="16"/>
        </w:rPr>
      </w:pPr>
    </w:p>
    <w:p w14:paraId="612A42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апреля 1935 года постановление Балансовой комиссии ГУГВФ по отчету завода № 86 за 1934 год</w:t>
      </w:r>
    </w:p>
    <w:p w14:paraId="2D3D82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передачей завода с 1 января 1935 года 1-й авиашколе К-баланс завода на 1 января 1935 года объединить с К-балансом 1-й авиашколы (7730, 1-9).</w:t>
      </w:r>
    </w:p>
    <w:p w14:paraId="2BCFA041" w14:textId="77777777" w:rsidR="00D4105E" w:rsidRPr="00E14102" w:rsidRDefault="00D4105E" w:rsidP="00E14102">
      <w:pPr>
        <w:autoSpaceDE w:val="0"/>
        <w:autoSpaceDN w:val="0"/>
        <w:adjustRightInd w:val="0"/>
        <w:jc w:val="both"/>
        <w:rPr>
          <w:color w:val="000000" w:themeColor="text1"/>
          <w:sz w:val="16"/>
          <w:szCs w:val="16"/>
        </w:rPr>
      </w:pPr>
    </w:p>
    <w:p w14:paraId="5743B6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апреля 1935 С.П.К. сделал доклад на совещании инженеров II отдела РНИИ о выполнении плана работ (ААН, р. 4, оп. 14, № 171, л. 18) (10676).</w:t>
      </w:r>
    </w:p>
    <w:p w14:paraId="5BC7CFFA" w14:textId="77777777" w:rsidR="00D4105E" w:rsidRPr="00E14102" w:rsidRDefault="00D4105E" w:rsidP="00E14102">
      <w:pPr>
        <w:autoSpaceDE w:val="0"/>
        <w:autoSpaceDN w:val="0"/>
        <w:adjustRightInd w:val="0"/>
        <w:jc w:val="both"/>
        <w:rPr>
          <w:color w:val="000000" w:themeColor="text1"/>
          <w:sz w:val="16"/>
          <w:szCs w:val="16"/>
        </w:rPr>
      </w:pPr>
    </w:p>
    <w:p w14:paraId="1B8281F0" w14:textId="77777777" w:rsidR="007E0DE7"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8BF9F0A" w14:textId="77777777" w:rsidR="007E0DE7" w:rsidRPr="00E14102" w:rsidRDefault="007E0DE7" w:rsidP="00E14102">
      <w:pPr>
        <w:autoSpaceDE w:val="0"/>
        <w:autoSpaceDN w:val="0"/>
        <w:adjustRightInd w:val="0"/>
        <w:jc w:val="both"/>
        <w:rPr>
          <w:iCs/>
          <w:color w:val="000000" w:themeColor="text1"/>
          <w:sz w:val="16"/>
          <w:szCs w:val="16"/>
        </w:rPr>
      </w:pPr>
    </w:p>
    <w:p w14:paraId="6A452E14" w14:textId="77777777" w:rsidR="007E0DE7" w:rsidRPr="00E14102" w:rsidRDefault="007E0DE7" w:rsidP="00E14102">
      <w:pPr>
        <w:shd w:val="clear" w:color="auto" w:fill="FFFFFF"/>
        <w:jc w:val="both"/>
        <w:rPr>
          <w:color w:val="000000" w:themeColor="text1"/>
          <w:sz w:val="16"/>
          <w:szCs w:val="16"/>
        </w:rPr>
      </w:pPr>
      <w:r w:rsidRPr="00E14102">
        <w:rPr>
          <w:bCs/>
          <w:iCs/>
          <w:color w:val="000000" w:themeColor="text1"/>
          <w:sz w:val="16"/>
          <w:szCs w:val="16"/>
        </w:rPr>
        <w:t>4 апреля 1935 г.</w:t>
      </w:r>
      <w:r w:rsidRPr="00E14102">
        <w:rPr>
          <w:color w:val="000000" w:themeColor="text1"/>
          <w:sz w:val="16"/>
          <w:szCs w:val="16"/>
        </w:rPr>
        <w:t xml:space="preserve"> Постановление СТО СССР о подготовке к химической войне. Решено оснастить химическим оружием </w:t>
      </w:r>
      <w:r w:rsidRPr="00E14102">
        <w:rPr>
          <w:bCs/>
          <w:iCs/>
          <w:color w:val="000000" w:themeColor="text1"/>
          <w:sz w:val="16"/>
          <w:szCs w:val="16"/>
        </w:rPr>
        <w:t>все</w:t>
      </w:r>
      <w:r w:rsidRPr="00E14102">
        <w:rPr>
          <w:color w:val="000000" w:themeColor="text1"/>
          <w:sz w:val="16"/>
          <w:szCs w:val="16"/>
        </w:rPr>
        <w:t xml:space="preserve"> виды советских самолетов (17133).</w:t>
      </w:r>
    </w:p>
    <w:p w14:paraId="7B05A162" w14:textId="77777777" w:rsidR="007E0DE7" w:rsidRPr="00E14102" w:rsidRDefault="007E0DE7" w:rsidP="00E14102">
      <w:pPr>
        <w:shd w:val="clear" w:color="auto" w:fill="FFFFFF"/>
        <w:jc w:val="both"/>
        <w:rPr>
          <w:color w:val="000000" w:themeColor="text1"/>
          <w:sz w:val="16"/>
          <w:szCs w:val="16"/>
        </w:rPr>
      </w:pPr>
    </w:p>
    <w:p w14:paraId="220D30ED" w14:textId="77777777" w:rsidR="007E0DE7" w:rsidRPr="00E14102" w:rsidRDefault="007E0DE7" w:rsidP="00E14102">
      <w:pPr>
        <w:pStyle w:val="rtejustify"/>
        <w:spacing w:before="0" w:after="0"/>
        <w:rPr>
          <w:color w:val="000000" w:themeColor="text1"/>
          <w:sz w:val="16"/>
          <w:szCs w:val="16"/>
        </w:rPr>
      </w:pPr>
      <w:r w:rsidRPr="00E14102">
        <w:rPr>
          <w:rStyle w:val="a6"/>
          <w:bCs/>
          <w:i w:val="0"/>
          <w:color w:val="000000" w:themeColor="text1"/>
          <w:sz w:val="16"/>
          <w:szCs w:val="16"/>
        </w:rPr>
        <w:t>4 апреля 1935 вышел приказ НКТП № 62сс.</w:t>
      </w:r>
      <w:r w:rsidRPr="00E14102">
        <w:rPr>
          <w:color w:val="000000" w:themeColor="text1"/>
          <w:sz w:val="16"/>
          <w:szCs w:val="16"/>
        </w:rPr>
        <w:t xml:space="preserve"> О заданиях руководителям объединений и предприятий НКВТ по обеспечению выполнения программы специального судостроения Главречпрома в 1935 г. (РГАЭ. Ф. 7297. Оп. 38. Д. 171. Л. 106</w:t>
      </w:r>
      <w:r w:rsidRPr="00E14102">
        <w:rPr>
          <w:color w:val="000000" w:themeColor="text1"/>
          <w:sz w:val="16"/>
          <w:szCs w:val="16"/>
        </w:rPr>
        <w:noBreakHyphen/>
        <w:t>105) (15246).</w:t>
      </w:r>
    </w:p>
    <w:p w14:paraId="6F1AC58B" w14:textId="2A3F52A8" w:rsidR="007E0DE7" w:rsidRPr="00E14102" w:rsidRDefault="007E0DE7" w:rsidP="00E14102">
      <w:pPr>
        <w:pStyle w:val="rtejustify"/>
        <w:spacing w:before="0" w:after="0"/>
        <w:rPr>
          <w:color w:val="000000" w:themeColor="text1"/>
          <w:sz w:val="16"/>
          <w:szCs w:val="16"/>
        </w:rPr>
      </w:pPr>
    </w:p>
    <w:p w14:paraId="5A52AF60" w14:textId="205F824E" w:rsidR="003E561B" w:rsidRPr="00E14102" w:rsidRDefault="003E561B" w:rsidP="00E14102">
      <w:pPr>
        <w:pStyle w:val="rtejustify"/>
        <w:spacing w:before="0" w:after="0"/>
        <w:rPr>
          <w:i/>
          <w:iCs/>
          <w:color w:val="000000" w:themeColor="text1"/>
          <w:sz w:val="16"/>
          <w:szCs w:val="16"/>
        </w:rPr>
      </w:pPr>
      <w:r w:rsidRPr="00E14102">
        <w:rPr>
          <w:i/>
          <w:iCs/>
          <w:color w:val="000000" w:themeColor="text1"/>
          <w:sz w:val="16"/>
          <w:szCs w:val="16"/>
        </w:rPr>
        <w:t>За рубежом:</w:t>
      </w:r>
    </w:p>
    <w:p w14:paraId="097D49D7" w14:textId="77777777" w:rsidR="003E561B" w:rsidRPr="00E14102" w:rsidRDefault="003E561B" w:rsidP="00E14102">
      <w:pPr>
        <w:pStyle w:val="rtejustify"/>
        <w:spacing w:before="0" w:after="0"/>
        <w:rPr>
          <w:i/>
          <w:iCs/>
          <w:color w:val="000000" w:themeColor="text1"/>
          <w:sz w:val="16"/>
          <w:szCs w:val="16"/>
        </w:rPr>
      </w:pPr>
    </w:p>
    <w:p w14:paraId="6E648FBB" w14:textId="77777777" w:rsidR="003E561B" w:rsidRPr="00E14102" w:rsidRDefault="003E561B" w:rsidP="00E14102">
      <w:pPr>
        <w:jc w:val="both"/>
        <w:rPr>
          <w:color w:val="0070C0"/>
          <w:sz w:val="16"/>
          <w:szCs w:val="16"/>
        </w:rPr>
      </w:pPr>
      <w:r w:rsidRPr="00E14102">
        <w:rPr>
          <w:color w:val="0070C0"/>
          <w:sz w:val="16"/>
          <w:szCs w:val="16"/>
        </w:rPr>
        <w:t>4 апреля 1935 создана United Airways Ltd для обслуживания рейсов между Англией и островом Мэн (20800).</w:t>
      </w:r>
    </w:p>
    <w:p w14:paraId="22EAF17F" w14:textId="77777777" w:rsidR="003E561B" w:rsidRPr="00E14102" w:rsidRDefault="003E561B" w:rsidP="00E14102">
      <w:pPr>
        <w:jc w:val="both"/>
        <w:rPr>
          <w:color w:val="0070C0"/>
          <w:sz w:val="16"/>
          <w:szCs w:val="16"/>
        </w:rPr>
      </w:pPr>
    </w:p>
    <w:p w14:paraId="7119505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32C1AB4" w14:textId="77777777" w:rsidR="00D4105E" w:rsidRPr="00E14102" w:rsidRDefault="00D4105E" w:rsidP="00E14102">
      <w:pPr>
        <w:autoSpaceDE w:val="0"/>
        <w:autoSpaceDN w:val="0"/>
        <w:adjustRightInd w:val="0"/>
        <w:jc w:val="both"/>
        <w:rPr>
          <w:iCs/>
          <w:color w:val="000000" w:themeColor="text1"/>
          <w:sz w:val="16"/>
          <w:szCs w:val="16"/>
        </w:rPr>
      </w:pPr>
    </w:p>
    <w:p w14:paraId="7E096A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апреля 1935 В.М.П. направил в ВВС РККА замечания и возражения ЦАГИ по ТТТ к ТБ-7 (АНТ-42) (1077,281).</w:t>
      </w:r>
    </w:p>
    <w:p w14:paraId="4A437A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Видно хотели понизить. Интересно, как это соотносилось с октябрьскими 1934 и январскими 1935 ТТТ.</w:t>
      </w:r>
    </w:p>
    <w:p w14:paraId="19AD80EA" w14:textId="77777777" w:rsidR="00D4105E" w:rsidRPr="00E14102" w:rsidRDefault="00D4105E" w:rsidP="00E14102">
      <w:pPr>
        <w:autoSpaceDE w:val="0"/>
        <w:autoSpaceDN w:val="0"/>
        <w:adjustRightInd w:val="0"/>
        <w:jc w:val="both"/>
        <w:rPr>
          <w:color w:val="000000" w:themeColor="text1"/>
          <w:sz w:val="16"/>
          <w:szCs w:val="16"/>
        </w:rPr>
      </w:pPr>
    </w:p>
    <w:p w14:paraId="30375C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апреля 1935 вышло постановление СТО N С-32сс "О производстве самолетов СБ" В.М.М. (2161,113).</w:t>
      </w:r>
    </w:p>
    <w:p w14:paraId="56D491FB" w14:textId="77777777" w:rsidR="00D4105E" w:rsidRPr="00E14102" w:rsidRDefault="00D4105E" w:rsidP="00E14102">
      <w:pPr>
        <w:autoSpaceDE w:val="0"/>
        <w:autoSpaceDN w:val="0"/>
        <w:adjustRightInd w:val="0"/>
        <w:jc w:val="both"/>
        <w:rPr>
          <w:color w:val="000000" w:themeColor="text1"/>
          <w:sz w:val="16"/>
          <w:szCs w:val="16"/>
        </w:rPr>
      </w:pPr>
    </w:p>
    <w:p w14:paraId="33F129CB" w14:textId="77777777" w:rsidR="007E0DE7" w:rsidRPr="00E14102" w:rsidRDefault="007E0DE7" w:rsidP="00E14102">
      <w:pPr>
        <w:pStyle w:val="rtejustify"/>
        <w:spacing w:before="0" w:after="0"/>
        <w:rPr>
          <w:color w:val="000000" w:themeColor="text1"/>
          <w:sz w:val="16"/>
          <w:szCs w:val="16"/>
        </w:rPr>
      </w:pPr>
      <w:r w:rsidRPr="00E14102">
        <w:rPr>
          <w:rStyle w:val="a6"/>
          <w:bCs/>
          <w:i w:val="0"/>
          <w:color w:val="000000" w:themeColor="text1"/>
          <w:sz w:val="16"/>
          <w:szCs w:val="16"/>
        </w:rPr>
        <w:t>5 апреля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32сс «О производстве самолетов СБ». (ГА РФ. Ф. Р</w:t>
      </w:r>
      <w:r w:rsidRPr="00E14102">
        <w:rPr>
          <w:color w:val="000000" w:themeColor="text1"/>
          <w:sz w:val="16"/>
          <w:szCs w:val="16"/>
        </w:rPr>
        <w:noBreakHyphen/>
        <w:t>8418. Оп. 28. Д. 6. Л. 68) (15460).</w:t>
      </w:r>
    </w:p>
    <w:p w14:paraId="45DD21E5" w14:textId="77777777" w:rsidR="007E0DE7" w:rsidRPr="00E14102" w:rsidRDefault="007E0DE7" w:rsidP="00E14102">
      <w:pPr>
        <w:pStyle w:val="rtejustify"/>
        <w:spacing w:before="0" w:after="0"/>
        <w:rPr>
          <w:color w:val="000000" w:themeColor="text1"/>
          <w:sz w:val="16"/>
          <w:szCs w:val="16"/>
        </w:rPr>
      </w:pPr>
    </w:p>
    <w:p w14:paraId="4F6A1D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апреля 1935 года постановление № С-32сс СТО</w:t>
      </w:r>
    </w:p>
    <w:p w14:paraId="34EDBF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производстве самолетов СБ</w:t>
      </w:r>
    </w:p>
    <w:p w14:paraId="1FD1E9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увеличением задания по выпуску в 1935 году самолетов типа СБ (скоростной бомбардировщик) с моторами М-100 до четырехсот единиц – СТО постановляет:</w:t>
      </w:r>
    </w:p>
    <w:p w14:paraId="52E4D65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Установить для завода № 22 Глававиапрома, являющегося непосредственным исполнителем задания по названному самолету, нижеследующую программу на 1935 год:</w:t>
      </w:r>
    </w:p>
    <w:p w14:paraId="300038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КР6-2М17 (сухопутный) – 20 штук – первоначальная программа – 20 штук</w:t>
      </w:r>
    </w:p>
    <w:p w14:paraId="138CFE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 А-2М17 (морской) – 25 штук – первоначальная программа – 25 штук</w:t>
      </w:r>
    </w:p>
    <w:p w14:paraId="231E9A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ТБ3-4М34Р – 23 штуки – первоначальная программа – 50 штук</w:t>
      </w:r>
    </w:p>
    <w:p w14:paraId="681EFC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ТБ3-4М34РН – 130 штук – первоначальная программа – 130 штук</w:t>
      </w:r>
    </w:p>
    <w:p w14:paraId="07BE88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СБ-2М100 – 500 штук – первоначальная программа – 200 штук</w:t>
      </w:r>
    </w:p>
    <w:p w14:paraId="3391CF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…………………………….(7516, 30-31).</w:t>
      </w:r>
    </w:p>
    <w:p w14:paraId="7BD7E439" w14:textId="77777777" w:rsidR="00D4105E" w:rsidRPr="00E14102" w:rsidRDefault="00D4105E" w:rsidP="00E14102">
      <w:pPr>
        <w:autoSpaceDE w:val="0"/>
        <w:autoSpaceDN w:val="0"/>
        <w:adjustRightInd w:val="0"/>
        <w:jc w:val="both"/>
        <w:rPr>
          <w:color w:val="000000" w:themeColor="text1"/>
          <w:sz w:val="16"/>
          <w:szCs w:val="16"/>
        </w:rPr>
      </w:pPr>
    </w:p>
    <w:p w14:paraId="245B65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апреля 1935 ДИП (АНТ-29) с М-100 после полетов, которые кончились 28 марта 1935, отправили на доработку (2072,76).</w:t>
      </w:r>
    </w:p>
    <w:p w14:paraId="6151D702" w14:textId="77777777" w:rsidR="00D4105E" w:rsidRPr="00E14102" w:rsidRDefault="00D4105E" w:rsidP="00E14102">
      <w:pPr>
        <w:autoSpaceDE w:val="0"/>
        <w:autoSpaceDN w:val="0"/>
        <w:adjustRightInd w:val="0"/>
        <w:jc w:val="both"/>
        <w:rPr>
          <w:color w:val="000000" w:themeColor="text1"/>
          <w:sz w:val="16"/>
          <w:szCs w:val="16"/>
        </w:rPr>
      </w:pPr>
    </w:p>
    <w:p w14:paraId="1BB25D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апреля 1935 НКАП и НКОП утвердили протокол согласительного совещания на заводе 1 по устранению дефектов Р-Зет (3989).</w:t>
      </w:r>
    </w:p>
    <w:p w14:paraId="24A919E3" w14:textId="77777777" w:rsidR="00D4105E" w:rsidRPr="00E14102" w:rsidRDefault="00D4105E" w:rsidP="00E14102">
      <w:pPr>
        <w:autoSpaceDE w:val="0"/>
        <w:autoSpaceDN w:val="0"/>
        <w:adjustRightInd w:val="0"/>
        <w:jc w:val="both"/>
        <w:rPr>
          <w:color w:val="000000" w:themeColor="text1"/>
          <w:sz w:val="16"/>
          <w:szCs w:val="16"/>
        </w:rPr>
      </w:pPr>
    </w:p>
    <w:p w14:paraId="0652E299"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5 апреля 1935</w:t>
      </w:r>
    </w:p>
    <w:p w14:paraId="34CBC5D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ВЫПИСКА</w:t>
      </w:r>
    </w:p>
    <w:p w14:paraId="0871ED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из протокола № 2 КО СССР</w:t>
      </w:r>
    </w:p>
    <w:p w14:paraId="15B10EE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СЛУШАЛИ —ПОСТАНОВИЛИ</w:t>
      </w:r>
    </w:p>
    <w:p w14:paraId="4495B817"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Х. О Плане опытного самолето-моторостроения</w:t>
      </w:r>
    </w:p>
    <w:p w14:paraId="3EC43414"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1. НКТП и НКО к заседанию КО 15.4.35 года представить план опытного строительства самолетов к моторов на 1935-1936 г.</w:t>
      </w:r>
    </w:p>
    <w:p w14:paraId="080EC86C"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2. НКТП на том же заседании доложить исчерпывающие данные о мощностях самолетных и авиамоторных заводов и о нвобзодимых мероприятиях по их увеличению (3419,20).</w:t>
      </w:r>
    </w:p>
    <w:p w14:paraId="3A2B92F4"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p>
    <w:p w14:paraId="34B16B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апреля 1935 вышло постановление СТО N С-31сс "О покупке 2-х моторных бомбардировщиков в Америке (Мартин с РЦ F-53 или GZ)" (2161,113).</w:t>
      </w:r>
    </w:p>
    <w:p w14:paraId="157853C0" w14:textId="77777777" w:rsidR="00D4105E" w:rsidRPr="00E14102" w:rsidRDefault="00D4105E" w:rsidP="00E14102">
      <w:pPr>
        <w:autoSpaceDE w:val="0"/>
        <w:autoSpaceDN w:val="0"/>
        <w:adjustRightInd w:val="0"/>
        <w:jc w:val="both"/>
        <w:rPr>
          <w:color w:val="000000" w:themeColor="text1"/>
          <w:sz w:val="16"/>
          <w:szCs w:val="16"/>
        </w:rPr>
      </w:pPr>
    </w:p>
    <w:p w14:paraId="44319776" w14:textId="77777777" w:rsidR="007E0DE7" w:rsidRPr="00E14102" w:rsidRDefault="007E0DE7" w:rsidP="00E14102">
      <w:pPr>
        <w:pStyle w:val="rtejustify"/>
        <w:spacing w:before="0" w:after="0"/>
        <w:rPr>
          <w:color w:val="000000" w:themeColor="text1"/>
          <w:sz w:val="16"/>
          <w:szCs w:val="16"/>
        </w:rPr>
      </w:pPr>
      <w:r w:rsidRPr="00E14102">
        <w:rPr>
          <w:rStyle w:val="a6"/>
          <w:bCs/>
          <w:i w:val="0"/>
          <w:color w:val="000000" w:themeColor="text1"/>
          <w:sz w:val="16"/>
          <w:szCs w:val="16"/>
        </w:rPr>
        <w:t>5 апреля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31сс «О покупке двухмоторного бомбардировщика в Америке». (ГА РФ. Ф. Р</w:t>
      </w:r>
      <w:r w:rsidRPr="00E14102">
        <w:rPr>
          <w:color w:val="000000" w:themeColor="text1"/>
          <w:sz w:val="16"/>
          <w:szCs w:val="16"/>
        </w:rPr>
        <w:noBreakHyphen/>
        <w:t>8418. Оп. 28. Д. 6. Л. 67) (15460).</w:t>
      </w:r>
    </w:p>
    <w:p w14:paraId="3D8C51E0" w14:textId="77777777" w:rsidR="007E0DE7" w:rsidRPr="00E14102" w:rsidRDefault="007E0DE7" w:rsidP="00E14102">
      <w:pPr>
        <w:pStyle w:val="rtejustify"/>
        <w:spacing w:before="0" w:after="0"/>
        <w:rPr>
          <w:color w:val="000000" w:themeColor="text1"/>
          <w:sz w:val="16"/>
          <w:szCs w:val="16"/>
        </w:rPr>
      </w:pPr>
    </w:p>
    <w:p w14:paraId="4B2DC7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апреля 1935 года постановление № С-31сс СТО</w:t>
      </w:r>
    </w:p>
    <w:p w14:paraId="364005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покупке двухмоторного бомбардировщика в Америке</w:t>
      </w:r>
    </w:p>
    <w:p w14:paraId="510D05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7BA74EA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Разрешить Туполеву покупку двухмоторного бомбардировщика "Мартин" последней серии с новейшими моторами "Райт-Циклон" F-53 или qr с винтами переменного в полете шага общей стоимостью (с моторами) в 100 тыс. рублей.</w:t>
      </w:r>
    </w:p>
    <w:p w14:paraId="5C80FB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…………………………(7516, 29).</w:t>
      </w:r>
    </w:p>
    <w:p w14:paraId="5B4A3029" w14:textId="77777777" w:rsidR="00D4105E" w:rsidRPr="00E14102" w:rsidRDefault="00D4105E" w:rsidP="00E14102">
      <w:pPr>
        <w:autoSpaceDE w:val="0"/>
        <w:autoSpaceDN w:val="0"/>
        <w:adjustRightInd w:val="0"/>
        <w:jc w:val="both"/>
        <w:rPr>
          <w:color w:val="000000" w:themeColor="text1"/>
          <w:sz w:val="16"/>
          <w:szCs w:val="16"/>
        </w:rPr>
      </w:pPr>
    </w:p>
    <w:p w14:paraId="482672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апреля 1935 п/п ВС НИТО Г.М.Кржижановский отправил письмо НКТП Г.К.О. о постройке высотного рекордного самолета Авиавнито (СБ-1, РВ):</w:t>
      </w:r>
    </w:p>
    <w:p w14:paraId="06058D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"...Несмотря на то, что для постройки самолета имеется хорошая производственная база (завод 1, директор Беленкович) ГУАП в течение длительного промежутка времени не принял решения о срочной постройке самолета, мотивируя эту задержку невыясненностью вопроса о средствах..." (2343,229).</w:t>
      </w:r>
    </w:p>
    <w:p w14:paraId="1E0D62E9" w14:textId="77777777" w:rsidR="00D4105E" w:rsidRPr="00E14102" w:rsidRDefault="00D4105E" w:rsidP="00E14102">
      <w:pPr>
        <w:autoSpaceDE w:val="0"/>
        <w:autoSpaceDN w:val="0"/>
        <w:adjustRightInd w:val="0"/>
        <w:jc w:val="both"/>
        <w:rPr>
          <w:color w:val="000000" w:themeColor="text1"/>
          <w:sz w:val="16"/>
          <w:szCs w:val="16"/>
        </w:rPr>
      </w:pPr>
    </w:p>
    <w:p w14:paraId="02983F9E" w14:textId="77777777" w:rsidR="00722E26" w:rsidRPr="00E14102" w:rsidRDefault="00722E26" w:rsidP="00E14102">
      <w:pPr>
        <w:shd w:val="clear" w:color="auto" w:fill="FFFFFF"/>
        <w:jc w:val="both"/>
        <w:rPr>
          <w:color w:val="000000" w:themeColor="text1"/>
          <w:sz w:val="16"/>
          <w:szCs w:val="16"/>
        </w:rPr>
      </w:pPr>
      <w:r w:rsidRPr="00E14102">
        <w:rPr>
          <w:color w:val="000000" w:themeColor="text1"/>
          <w:sz w:val="16"/>
          <w:szCs w:val="16"/>
        </w:rPr>
        <w:t>5 апреля 1935 г. в письме, которое было направлено советом НИТО на имя наркома тяжёлой промышленности Орджоникидзе Г.К., содержалась жалоба на то, что, невзирая на наличие положительного заключения НИИ ВВС и наличие хорошей производственной базы (завод № 1), «</w:t>
      </w:r>
      <w:r w:rsidRPr="00E14102">
        <w:rPr>
          <w:iCs/>
          <w:color w:val="000000" w:themeColor="text1"/>
          <w:sz w:val="16"/>
          <w:szCs w:val="16"/>
        </w:rPr>
        <w:t>ГУАП в течение длительного промежутка времени не принял решения о срочной постройке самолёта (</w:t>
      </w:r>
      <w:r w:rsidRPr="00E14102">
        <w:rPr>
          <w:color w:val="000000" w:themeColor="text1"/>
          <w:sz w:val="16"/>
          <w:szCs w:val="16"/>
        </w:rPr>
        <w:t>СБ-1 – СК</w:t>
      </w:r>
      <w:r w:rsidRPr="00E14102">
        <w:rPr>
          <w:iCs/>
          <w:color w:val="000000" w:themeColor="text1"/>
          <w:sz w:val="16"/>
          <w:szCs w:val="16"/>
        </w:rPr>
        <w:t>), мотивируя эту задержку невыясненностью вопроса о средствах</w:t>
      </w:r>
      <w:r w:rsidRPr="00E14102">
        <w:rPr>
          <w:color w:val="000000" w:themeColor="text1"/>
          <w:sz w:val="16"/>
          <w:szCs w:val="16"/>
        </w:rPr>
        <w:t>». Президиум ВС НИТО просил Г.К.Орджоникидзе «</w:t>
      </w:r>
      <w:r w:rsidRPr="00E14102">
        <w:rPr>
          <w:iCs/>
          <w:color w:val="000000" w:themeColor="text1"/>
          <w:sz w:val="16"/>
          <w:szCs w:val="16"/>
        </w:rPr>
        <w:t>принять окончательное решение о целесообразности постройки  самолёта и о проведении его испытаний в 1935 г</w:t>
      </w:r>
      <w:r w:rsidRPr="00E14102">
        <w:rPr>
          <w:color w:val="000000" w:themeColor="text1"/>
          <w:sz w:val="16"/>
          <w:szCs w:val="16"/>
        </w:rPr>
        <w:t>.».  (</w:t>
      </w:r>
      <w:r w:rsidRPr="00E14102">
        <w:rPr>
          <w:iCs/>
          <w:color w:val="000000" w:themeColor="text1"/>
          <w:sz w:val="16"/>
          <w:szCs w:val="16"/>
        </w:rPr>
        <w:t>РГАЭ Ф. 3823 оп. 1 д. 796 л. 229</w:t>
      </w:r>
      <w:r w:rsidRPr="00E14102">
        <w:rPr>
          <w:color w:val="000000" w:themeColor="text1"/>
          <w:sz w:val="16"/>
          <w:szCs w:val="16"/>
        </w:rPr>
        <w:t>) (19528).</w:t>
      </w:r>
    </w:p>
    <w:p w14:paraId="25CD4201" w14:textId="77777777" w:rsidR="00722E26" w:rsidRPr="00E14102" w:rsidRDefault="00722E26" w:rsidP="00E14102">
      <w:pPr>
        <w:shd w:val="clear" w:color="auto" w:fill="FFFFFF"/>
        <w:jc w:val="both"/>
        <w:rPr>
          <w:color w:val="000000" w:themeColor="text1"/>
          <w:sz w:val="16"/>
          <w:szCs w:val="16"/>
        </w:rPr>
      </w:pPr>
    </w:p>
    <w:p w14:paraId="4E69DD4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ап</w:t>
      </w:r>
      <w:r w:rsidRPr="00E14102">
        <w:rPr>
          <w:color w:val="000000" w:themeColor="text1"/>
          <w:sz w:val="16"/>
          <w:szCs w:val="16"/>
        </w:rPr>
        <w:softHyphen/>
        <w:t>реля 1935 г. из-за того, что достройка самолета КСМ затягивалась было заключено дополнительное соглашение к договору №6 с установлением срока сдачи 15 мая. Впрочем, учитывая, что конструктор самолета Смолин не имел выс</w:t>
      </w:r>
      <w:r w:rsidRPr="00E14102">
        <w:rPr>
          <w:color w:val="000000" w:themeColor="text1"/>
          <w:sz w:val="16"/>
          <w:szCs w:val="16"/>
        </w:rPr>
        <w:softHyphen/>
        <w:t>шего образования, по-иному и быть не могло, поскольку в период работы над КСМ он учился на заочном отделении Горьковского Политехнического института, а его диплом</w:t>
      </w:r>
      <w:r w:rsidRPr="00E14102">
        <w:rPr>
          <w:color w:val="000000" w:themeColor="text1"/>
          <w:sz w:val="16"/>
          <w:szCs w:val="16"/>
        </w:rPr>
        <w:softHyphen/>
        <w:t>ным проектом и стал собственно КСМ (10715).</w:t>
      </w:r>
    </w:p>
    <w:p w14:paraId="4E5AF77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2D53235" w14:textId="77777777" w:rsidR="008042DC" w:rsidRPr="00E14102" w:rsidRDefault="008042D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lastRenderedPageBreak/>
        <w:t>5 апреля 1935 г. было заключено дополнительное соглашение к договору №6 мажду ГГАТ и ГАЗ с установлением срока сдачи 15 мая. Впрочем, учитывая, что конструктор самолета Смолин не имел высшего образования, по-иному и быть не могло, поскольку в период работы над КСМ он учился на заочном отделении Горьковского Политехнического института, а его дипломным проектом и стал собственно КСМ. Защита состоялась 15 июня прямо около строящегося самолета. К тому времени название Колхозный Самолет (Маломощный) — КСМ — стали расшифровывать как Коммунистический Союз Молодежи, что придало всему проекту мощную идеологическую поддержку. Однако руководство ГВФ также не дремало, решив не мытьём, так катаньем избавиться от конкурентов. В результате в недрах этого ведомства появилось решение о закрытии техникума — срок аренды учебным заведением занимаемых помещений подходил к концу, а продлевать договора или подыскивать новые площади начальство ГВФ не желало.</w:t>
      </w:r>
    </w:p>
    <w:p w14:paraId="17F3CCC9" w14:textId="77777777" w:rsidR="008042DC" w:rsidRPr="00E14102" w:rsidRDefault="008042D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Это был самый радикальный способ разгрома конкурентов, и 23 июля из недр ГУ ГВФ появился приказ расформировать техникум, чем и занялись с 1 августа. Курсанты были переведены в Саратов, а имущество распределили между Авиаотрядом Спецприменения (был такой в Горьком) и другими авиатехникумами. Документы техникума были изъяты уполномоченным НКВД и поступили в Крайархив. Однако постройка самолета благодаря поддержке ВВС, ОАХ и Комсомола остановлена не была. В соответствии с договором между ГАЗом, в лице замдиректора АМРубина, и мастерскими техникума, в лице их начальника М.В.Веселовского, подписанным 15 июля, проведение испытаний самолета надлежало завершить к 15 сентября. Специально для КСМ в районе села Борисовское (дер. Борисово), что недалеко от Горького, был устроен ангар. Основную программу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профессии, особыми приметами самолетостроителям не запомнился...</w:t>
      </w:r>
    </w:p>
    <w:p w14:paraId="7F03F0F7" w14:textId="77777777" w:rsidR="008042DC" w:rsidRPr="00E14102" w:rsidRDefault="008042D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 результатам испытаний самолет доработали — появилась закрытая кабина, подогнанная по размерам под чекиста-испытателя. 5 сентября доработка самолета закончилась, а 17 сентября был подведен бухгалтерский баланс. После чего процедура ликвидации техникума была успешно завершена, и к ноябрю М.В.Веселовский с ближайшими помощниками перешел на завод «Красный Металлист», где был организован аэросанный цех. Самолет же сдали заказчику — ГАЗ-у (12683).</w:t>
      </w:r>
    </w:p>
    <w:p w14:paraId="55402B8A" w14:textId="77777777" w:rsidR="008042DC" w:rsidRPr="00E14102" w:rsidRDefault="008042DC" w:rsidP="00E14102">
      <w:pPr>
        <w:shd w:val="clear" w:color="auto" w:fill="FFFFFF"/>
        <w:jc w:val="both"/>
        <w:rPr>
          <w:color w:val="000000" w:themeColor="text1"/>
          <w:sz w:val="16"/>
          <w:szCs w:val="16"/>
        </w:rPr>
      </w:pPr>
    </w:p>
    <w:p w14:paraId="19D338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апреля 1935 года во исполнение решения рабочей части Президиума Оргбюро ВСНИТО от 3 апреля 1935 года председателем Всесоюзного совета Научн. Инженерно-техн. Обществ Кржижановским Г.М. было послано письмо на имя Орджоникидзе.</w:t>
      </w:r>
    </w:p>
    <w:p w14:paraId="571A52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27E14A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Несмотря на то, что для постройки высотного самолета имеется хорошая производственная база (завод N 1, директор Беленкович) ГУАП в течение длительного промежутка времени не принял решения о срочной постройке самолета, мотивируя эту задержку невыясненностью вопроса о средствах.</w:t>
      </w:r>
    </w:p>
    <w:p w14:paraId="08F1F4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Придавая со своей стороны исключительное значение быстрейшей реализации проекта, Президиум ВС НИТО просит Вас принять окончательное решение о целесообразности постройки самолета и о проведении его испытаний в 1935 году (3810).</w:t>
      </w:r>
    </w:p>
    <w:p w14:paraId="45451F1D" w14:textId="77777777" w:rsidR="00D4105E" w:rsidRPr="00E14102" w:rsidRDefault="00D4105E" w:rsidP="00E14102">
      <w:pPr>
        <w:autoSpaceDE w:val="0"/>
        <w:autoSpaceDN w:val="0"/>
        <w:adjustRightInd w:val="0"/>
        <w:jc w:val="both"/>
        <w:rPr>
          <w:color w:val="000000" w:themeColor="text1"/>
          <w:sz w:val="16"/>
          <w:szCs w:val="16"/>
        </w:rPr>
      </w:pPr>
    </w:p>
    <w:p w14:paraId="07C77C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апреля 1935 года - № 040-с протокол заседания у начальника ГУГВФ по вопросу составления трехлетнего плана развития ГВФ по вопросам завода № 84</w:t>
      </w:r>
    </w:p>
    <w:p w14:paraId="0AF449C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Спецкомиссии не позже 11 апреля 1935 года дать заключение о возможности развития на базе завода № 84 легкого моторостроения с учетом обеспечения выполнения заводом № 84 заданий по ремонту самолетов и моторов.</w:t>
      </w:r>
    </w:p>
    <w:p w14:paraId="58BF394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Считать необходимым в связи со снятием с производства самолетов ТБ-4, на которые ориентировался завод № 84, уточнить профиль завода под углом зрения возможности ремонта на нем многомоторных металлических машин типа ТБ-3. В связи с этим рассмотреть вопрос об изменении профиля завода № 89, приспособив его под ремонт самолетов типа Р-6 и транспортных самолетов типа АНТ-9.</w:t>
      </w:r>
    </w:p>
    <w:p w14:paraId="3B0608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………………………….(7729, 13).</w:t>
      </w:r>
    </w:p>
    <w:p w14:paraId="719150A6" w14:textId="77777777" w:rsidR="00D4105E" w:rsidRPr="00E14102" w:rsidRDefault="00D4105E" w:rsidP="00E14102">
      <w:pPr>
        <w:autoSpaceDE w:val="0"/>
        <w:autoSpaceDN w:val="0"/>
        <w:adjustRightInd w:val="0"/>
        <w:jc w:val="both"/>
        <w:rPr>
          <w:color w:val="000000" w:themeColor="text1"/>
          <w:sz w:val="16"/>
          <w:szCs w:val="16"/>
        </w:rPr>
      </w:pPr>
    </w:p>
    <w:p w14:paraId="6ECFE7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апреля 1935 вышло постановление СТО N С-30сс "О производстве авиавинтов и лыж" (2398,30).</w:t>
      </w:r>
    </w:p>
    <w:p w14:paraId="38EBCCC0" w14:textId="77777777" w:rsidR="00D4105E" w:rsidRPr="00E14102" w:rsidRDefault="00D4105E" w:rsidP="00E14102">
      <w:pPr>
        <w:autoSpaceDE w:val="0"/>
        <w:autoSpaceDN w:val="0"/>
        <w:adjustRightInd w:val="0"/>
        <w:jc w:val="both"/>
        <w:rPr>
          <w:color w:val="000000" w:themeColor="text1"/>
          <w:sz w:val="16"/>
          <w:szCs w:val="16"/>
        </w:rPr>
      </w:pPr>
    </w:p>
    <w:p w14:paraId="491AC6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5-6 апреля 1935 М.Г.Забелин в Челябинске установил первый в СССР рекорд ночного затяжного прыжка. Оставил самолет на 4500 м и падал 3600 66 сек. (438,682).</w:t>
      </w:r>
    </w:p>
    <w:p w14:paraId="23338F2A" w14:textId="77777777" w:rsidR="00D4105E" w:rsidRPr="00E14102" w:rsidRDefault="00D4105E" w:rsidP="00E14102">
      <w:pPr>
        <w:autoSpaceDE w:val="0"/>
        <w:autoSpaceDN w:val="0"/>
        <w:adjustRightInd w:val="0"/>
        <w:jc w:val="both"/>
        <w:rPr>
          <w:color w:val="000000" w:themeColor="text1"/>
          <w:sz w:val="16"/>
          <w:szCs w:val="16"/>
        </w:rPr>
      </w:pPr>
    </w:p>
    <w:p w14:paraId="0C080DE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C0A5A58" w14:textId="77777777" w:rsidR="00D4105E" w:rsidRPr="00E14102" w:rsidRDefault="00D4105E" w:rsidP="00E14102">
      <w:pPr>
        <w:autoSpaceDE w:val="0"/>
        <w:autoSpaceDN w:val="0"/>
        <w:adjustRightInd w:val="0"/>
        <w:jc w:val="both"/>
        <w:rPr>
          <w:iCs/>
          <w:color w:val="000000" w:themeColor="text1"/>
          <w:sz w:val="16"/>
          <w:szCs w:val="16"/>
        </w:rPr>
      </w:pPr>
    </w:p>
    <w:p w14:paraId="2438AC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5 апреля по 24 августа 1935 г. испытательно-сбороч</w:t>
      </w:r>
      <w:r w:rsidRPr="00E14102">
        <w:rPr>
          <w:color w:val="000000" w:themeColor="text1"/>
          <w:sz w:val="16"/>
          <w:szCs w:val="16"/>
        </w:rPr>
        <w:softHyphen/>
        <w:t>ным цехом Опытного завода № 185 имени Кирова проводи</w:t>
      </w:r>
      <w:r w:rsidRPr="00E14102">
        <w:rPr>
          <w:color w:val="000000" w:themeColor="text1"/>
          <w:sz w:val="16"/>
          <w:szCs w:val="16"/>
        </w:rPr>
        <w:softHyphen/>
        <w:t>лись специальные заводские испытания доработанного образца СУ-14. Машина прошла более 500 км в различных условиях, продемонстрировав возросшие боевые и ходовые качества. Однако вновь отмечались множественные недо</w:t>
      </w:r>
      <w:r w:rsidRPr="00E14102">
        <w:rPr>
          <w:color w:val="000000" w:themeColor="text1"/>
          <w:sz w:val="16"/>
          <w:szCs w:val="16"/>
        </w:rPr>
        <w:softHyphen/>
        <w:t>статки. В частности, выяснилось, что через шаровые амбра</w:t>
      </w:r>
      <w:r w:rsidRPr="00E14102">
        <w:rPr>
          <w:color w:val="000000" w:themeColor="text1"/>
          <w:sz w:val="16"/>
          <w:szCs w:val="16"/>
        </w:rPr>
        <w:softHyphen/>
        <w:t>зуры, предназначенные для пулеметов ДТ, практически не</w:t>
      </w:r>
      <w:r w:rsidRPr="00E14102">
        <w:rPr>
          <w:color w:val="000000" w:themeColor="text1"/>
          <w:sz w:val="16"/>
          <w:szCs w:val="16"/>
        </w:rPr>
        <w:softHyphen/>
        <w:t>возможно вести прицельный огонь, так же как невозможно быстро использовать возимый боекомплект (8 выстрелов), который находился под съемными крышками палубы, бло</w:t>
      </w:r>
      <w:r w:rsidRPr="00E14102">
        <w:rPr>
          <w:color w:val="000000" w:themeColor="text1"/>
          <w:sz w:val="16"/>
          <w:szCs w:val="16"/>
        </w:rPr>
        <w:softHyphen/>
        <w:t>кированными в походном положении телом орудия. Используя опыт, полученный при работе над СУ-14, конструкторский отдел самоходной артиллерии спешно разработал чертежи для постройки эталонного образца са</w:t>
      </w:r>
      <w:r w:rsidRPr="00E14102">
        <w:rPr>
          <w:color w:val="000000" w:themeColor="text1"/>
          <w:sz w:val="16"/>
          <w:szCs w:val="16"/>
        </w:rPr>
        <w:softHyphen/>
        <w:t>моходной установки СУ-14-1, который был изготовлен в начале 1936 г. Он имел улучшенную конструкцию коробки передач, главного фрикциона, тормозов и бортовых пере</w:t>
      </w:r>
      <w:r w:rsidRPr="00E14102">
        <w:rPr>
          <w:color w:val="000000" w:themeColor="text1"/>
          <w:sz w:val="16"/>
          <w:szCs w:val="16"/>
        </w:rPr>
        <w:softHyphen/>
        <w:t>дач. Также на СУ-14-1 были перенесены в стороны от каби</w:t>
      </w:r>
      <w:r w:rsidRPr="00E14102">
        <w:rPr>
          <w:color w:val="000000" w:themeColor="text1"/>
          <w:sz w:val="16"/>
          <w:szCs w:val="16"/>
        </w:rPr>
        <w:softHyphen/>
        <w:t>ны водителя выхлопные трубы, усовершенствованы опор</w:t>
      </w:r>
      <w:r w:rsidRPr="00E14102">
        <w:rPr>
          <w:color w:val="000000" w:themeColor="text1"/>
          <w:sz w:val="16"/>
          <w:szCs w:val="16"/>
        </w:rPr>
        <w:softHyphen/>
        <w:t>ные сошники. Машина получила форсированный до 680 л.с. двигатель М-17-1, который позволял самоходу массой 48 т развивать скорость 31,5 км/ч. В ходовой части применили более толстые листы коренной рессоры и изъяли механизм выключения подвески во время стрельбы, как бесполезный (11417).</w:t>
      </w:r>
    </w:p>
    <w:p w14:paraId="2D39A08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6CF9F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 5 апреля по 24 августа 1935 года испытательно-сборочным цехом Опытного завода проводились специальные заводские испытания модернизированного образца СУ-14. Машина прошла более 500 км в различных условиях, продемонстрировав неплохие боевые и ходовые качества (11638). </w:t>
      </w:r>
    </w:p>
    <w:p w14:paraId="363714E0" w14:textId="77777777" w:rsidR="00D4105E" w:rsidRPr="00E14102" w:rsidRDefault="00D4105E" w:rsidP="00E14102">
      <w:pPr>
        <w:autoSpaceDE w:val="0"/>
        <w:autoSpaceDN w:val="0"/>
        <w:adjustRightInd w:val="0"/>
        <w:jc w:val="both"/>
        <w:rPr>
          <w:color w:val="000000" w:themeColor="text1"/>
          <w:sz w:val="16"/>
          <w:szCs w:val="16"/>
        </w:rPr>
      </w:pPr>
    </w:p>
    <w:p w14:paraId="7A289DAD" w14:textId="77777777" w:rsidR="007E0DE7" w:rsidRPr="00E14102" w:rsidRDefault="007E0DE7" w:rsidP="00E14102">
      <w:pPr>
        <w:jc w:val="both"/>
        <w:rPr>
          <w:color w:val="000000" w:themeColor="text1"/>
          <w:sz w:val="16"/>
          <w:szCs w:val="16"/>
        </w:rPr>
      </w:pPr>
      <w:r w:rsidRPr="00E14102">
        <w:rPr>
          <w:color w:val="000000" w:themeColor="text1"/>
          <w:sz w:val="16"/>
          <w:szCs w:val="16"/>
        </w:rPr>
        <w:t>С 5 апреля по 24 августа 1935 г. во время заводских испытаний модернизированный образец СУ-14 преодолел более 500 км в различных условиях, продемонстрировав неплохие ходовые качества. Однако вновь отмечались многочисленные недостатки. В частности, выяснилось, что через шаровые амбразуры, предназначенные для пулеметов ДТ, вести огонь невозможно, так же как невозможно быстро воспользоваться возимым боекомплектом (8 выстрелов), который находился под съемными крышками палубы, блокированными в походном положении телом орудия (15647).</w:t>
      </w:r>
    </w:p>
    <w:p w14:paraId="033600EB" w14:textId="77777777" w:rsidR="007E0DE7" w:rsidRPr="00E14102" w:rsidRDefault="007E0DE7" w:rsidP="00E14102">
      <w:pPr>
        <w:jc w:val="both"/>
        <w:rPr>
          <w:color w:val="000000" w:themeColor="text1"/>
          <w:sz w:val="16"/>
          <w:szCs w:val="16"/>
        </w:rPr>
      </w:pPr>
    </w:p>
    <w:p w14:paraId="49CDEFA4" w14:textId="77777777" w:rsidR="007E0DE7" w:rsidRPr="00E14102" w:rsidRDefault="007E0DE7" w:rsidP="00E14102">
      <w:pPr>
        <w:pStyle w:val="rtejustify"/>
        <w:spacing w:before="0" w:after="0"/>
        <w:rPr>
          <w:color w:val="000000" w:themeColor="text1"/>
          <w:sz w:val="16"/>
          <w:szCs w:val="16"/>
        </w:rPr>
      </w:pPr>
      <w:r w:rsidRPr="00E14102">
        <w:rPr>
          <w:rStyle w:val="a6"/>
          <w:bCs/>
          <w:i w:val="0"/>
          <w:color w:val="000000" w:themeColor="text1"/>
          <w:sz w:val="16"/>
          <w:szCs w:val="16"/>
        </w:rPr>
        <w:t>5 апреля</w:t>
      </w:r>
      <w:r w:rsidRPr="00E14102">
        <w:rPr>
          <w:color w:val="000000" w:themeColor="text1"/>
          <w:sz w:val="16"/>
          <w:szCs w:val="16"/>
        </w:rPr>
        <w:t xml:space="preserve"> 1935. Постановление ЦИК и СНК СССР № 3/590 «О реорганизации Государственной плановой комиссии СССР». (СЗ. 1935 № 19. Ст. 154.) (15460).</w:t>
      </w:r>
    </w:p>
    <w:p w14:paraId="7C6F503A" w14:textId="77777777" w:rsidR="007E0DE7" w:rsidRPr="00E14102" w:rsidRDefault="007E0DE7" w:rsidP="00E14102">
      <w:pPr>
        <w:pStyle w:val="rtejustify"/>
        <w:spacing w:before="0" w:after="0"/>
        <w:rPr>
          <w:color w:val="000000" w:themeColor="text1"/>
          <w:sz w:val="16"/>
          <w:szCs w:val="16"/>
        </w:rPr>
      </w:pPr>
    </w:p>
    <w:p w14:paraId="5565B642" w14:textId="77777777" w:rsidR="007E0DE7"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A0DDF1D" w14:textId="77777777" w:rsidR="007E0DE7" w:rsidRPr="00E14102" w:rsidRDefault="007E0DE7" w:rsidP="00E14102">
      <w:pPr>
        <w:autoSpaceDE w:val="0"/>
        <w:autoSpaceDN w:val="0"/>
        <w:adjustRightInd w:val="0"/>
        <w:jc w:val="both"/>
        <w:rPr>
          <w:iCs/>
          <w:color w:val="000000" w:themeColor="text1"/>
          <w:sz w:val="16"/>
          <w:szCs w:val="16"/>
        </w:rPr>
      </w:pPr>
    </w:p>
    <w:p w14:paraId="568E979A" w14:textId="77777777" w:rsidR="007E0DE7" w:rsidRPr="00E14102" w:rsidRDefault="007E0DE7" w:rsidP="00E14102">
      <w:pPr>
        <w:jc w:val="both"/>
        <w:rPr>
          <w:color w:val="000000" w:themeColor="text1"/>
          <w:sz w:val="16"/>
          <w:szCs w:val="16"/>
        </w:rPr>
      </w:pPr>
      <w:r w:rsidRPr="00E14102">
        <w:rPr>
          <w:bCs/>
          <w:color w:val="000000" w:themeColor="text1"/>
          <w:sz w:val="16"/>
          <w:szCs w:val="16"/>
        </w:rPr>
        <w:t>5 апреля</w:t>
      </w:r>
      <w:r w:rsidRPr="00E14102">
        <w:rPr>
          <w:color w:val="000000" w:themeColor="text1"/>
          <w:sz w:val="16"/>
          <w:szCs w:val="16"/>
        </w:rPr>
        <w:t xml:space="preserve"> в 1935 году состоялся первый полет итальянского скоростного бомбардировщика торпедоносца </w:t>
      </w:r>
      <w:hyperlink r:id="rId77" w:tgtFrame="_blank" w:history="1">
        <w:r w:rsidRPr="00E14102">
          <w:rPr>
            <w:color w:val="000000" w:themeColor="text1"/>
            <w:sz w:val="16"/>
            <w:szCs w:val="16"/>
          </w:rPr>
          <w:t xml:space="preserve">«S.79P» </w:t>
        </w:r>
      </w:hyperlink>
      <w:r w:rsidRPr="00E14102">
        <w:rPr>
          <w:color w:val="000000" w:themeColor="text1"/>
          <w:sz w:val="16"/>
          <w:szCs w:val="16"/>
        </w:rPr>
        <w:t>(индекс Р ввели, чтобы отличить этот самолет от уже проектировавшегося военного варианта «S.79B») с двигателями «Альфа-Ромео» («Alfa Romeo») «125RC35» в 680 л.с., являвшимися усовершенствованным вариантом мотора «Бристоль» "Пегасус"(«Bristol Pegasus»). Почти одновременно пришлось поменять первоначальные узкие капоты с выштамповками, на гладкие, большего диаметра, обеспечивавшие лучшее охлаждение. С этими двигателями «S.79P» в первом полете, достиг скорости 355 км/час, а позже - 410 км/час (15090).</w:t>
      </w:r>
    </w:p>
    <w:p w14:paraId="375ADF90" w14:textId="77777777" w:rsidR="007E0DE7" w:rsidRPr="00E14102" w:rsidRDefault="007E0DE7" w:rsidP="00E14102">
      <w:pPr>
        <w:jc w:val="both"/>
        <w:rPr>
          <w:color w:val="000000" w:themeColor="text1"/>
          <w:sz w:val="16"/>
          <w:szCs w:val="16"/>
        </w:rPr>
      </w:pPr>
    </w:p>
    <w:p w14:paraId="5165206E" w14:textId="77777777" w:rsidR="003E561B" w:rsidRPr="00E14102" w:rsidRDefault="003E561B" w:rsidP="00E14102">
      <w:pPr>
        <w:jc w:val="both"/>
        <w:rPr>
          <w:color w:val="0070C0"/>
          <w:sz w:val="16"/>
          <w:szCs w:val="16"/>
        </w:rPr>
      </w:pPr>
      <w:r w:rsidRPr="00E14102">
        <w:rPr>
          <w:color w:val="0070C0"/>
          <w:sz w:val="16"/>
          <w:szCs w:val="16"/>
        </w:rPr>
        <w:t xml:space="preserve">5 апреля 1935 состоялся первый полет </w:t>
      </w:r>
      <w:r w:rsidRPr="00E14102">
        <w:rPr>
          <w:color w:val="0070C0"/>
          <w:sz w:val="16"/>
          <w:szCs w:val="16"/>
          <w:lang w:val="en-US"/>
        </w:rPr>
        <w:t>Fairchild</w:t>
      </w:r>
      <w:r w:rsidRPr="00E14102">
        <w:rPr>
          <w:color w:val="0070C0"/>
          <w:sz w:val="16"/>
          <w:szCs w:val="16"/>
        </w:rPr>
        <w:t xml:space="preserve"> 91  (20800).</w:t>
      </w:r>
    </w:p>
    <w:p w14:paraId="2F99ED86" w14:textId="77777777" w:rsidR="003E561B" w:rsidRPr="00E14102" w:rsidRDefault="003E561B" w:rsidP="00E14102">
      <w:pPr>
        <w:jc w:val="both"/>
        <w:rPr>
          <w:color w:val="0070C0"/>
          <w:sz w:val="16"/>
          <w:szCs w:val="16"/>
        </w:rPr>
      </w:pPr>
    </w:p>
    <w:p w14:paraId="343F716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0ED5675" w14:textId="77777777" w:rsidR="00D4105E" w:rsidRPr="00E14102" w:rsidRDefault="00D4105E" w:rsidP="00E14102">
      <w:pPr>
        <w:autoSpaceDE w:val="0"/>
        <w:autoSpaceDN w:val="0"/>
        <w:adjustRightInd w:val="0"/>
        <w:jc w:val="both"/>
        <w:rPr>
          <w:iCs/>
          <w:color w:val="000000" w:themeColor="text1"/>
          <w:sz w:val="16"/>
          <w:szCs w:val="16"/>
        </w:rPr>
      </w:pPr>
    </w:p>
    <w:p w14:paraId="2C1A6D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апреля 1935 закончились заводские испытания самолета У-3 М-48 200 нр в военном варианте, которые шли с 23 февраля 1935. Летал л 23 завода Я.М.Садовский (2343,192).</w:t>
      </w:r>
    </w:p>
    <w:p w14:paraId="0CDAD9FA" w14:textId="77777777" w:rsidR="00D4105E" w:rsidRPr="00E14102" w:rsidRDefault="00D4105E" w:rsidP="00E14102">
      <w:pPr>
        <w:autoSpaceDE w:val="0"/>
        <w:autoSpaceDN w:val="0"/>
        <w:adjustRightInd w:val="0"/>
        <w:jc w:val="both"/>
        <w:rPr>
          <w:color w:val="000000" w:themeColor="text1"/>
          <w:sz w:val="16"/>
          <w:szCs w:val="16"/>
        </w:rPr>
      </w:pPr>
    </w:p>
    <w:p w14:paraId="42E8F2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апреля 1935 состоялся первый старт ракеты АвиаВНИТО (1136,266).</w:t>
      </w:r>
    </w:p>
    <w:p w14:paraId="7D9E5EF9" w14:textId="77777777" w:rsidR="00D4105E" w:rsidRPr="00E14102" w:rsidRDefault="00D4105E" w:rsidP="00E14102">
      <w:pPr>
        <w:autoSpaceDE w:val="0"/>
        <w:autoSpaceDN w:val="0"/>
        <w:adjustRightInd w:val="0"/>
        <w:jc w:val="both"/>
        <w:rPr>
          <w:color w:val="000000" w:themeColor="text1"/>
          <w:sz w:val="16"/>
          <w:szCs w:val="16"/>
        </w:rPr>
      </w:pPr>
    </w:p>
    <w:p w14:paraId="3FAE83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апреля 1935 г. за подписью Ворошилова на обращение Алксниса от 31 марта 1935 г. красными чернилами была наложена резолюция следующего содержания (пунктуация документа сохранена): «Т. Орджоникидзе! Один раз в прошлом году, я видел на артполигоне стрельбу с самолетов реак</w:t>
      </w:r>
      <w:r w:rsidRPr="00E14102">
        <w:rPr>
          <w:color w:val="000000" w:themeColor="text1"/>
          <w:sz w:val="16"/>
          <w:szCs w:val="16"/>
        </w:rPr>
        <w:softHyphen/>
        <w:t>тивными снарядами - дело это действительно сугубой важности и сроч</w:t>
      </w:r>
      <w:r w:rsidRPr="00E14102">
        <w:rPr>
          <w:color w:val="000000" w:themeColor="text1"/>
          <w:sz w:val="16"/>
          <w:szCs w:val="16"/>
        </w:rPr>
        <w:softHyphen/>
        <w:t>ности - нужно полагать, что наши соседи эту задачу у себя уже разреши-ти поэтому очень прошу уделить и этому делу пару минут и потребовать от кого следует отчета, приказав выполнить заказ. Хорошо принять пред</w:t>
      </w:r>
      <w:r w:rsidRPr="00E14102">
        <w:rPr>
          <w:color w:val="000000" w:themeColor="text1"/>
          <w:sz w:val="16"/>
          <w:szCs w:val="16"/>
        </w:rPr>
        <w:softHyphen/>
        <w:t>ложение Алксниса».</w:t>
      </w:r>
    </w:p>
    <w:p w14:paraId="25020C9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Между тем, планам начальника вооружений РККА и начальника Уп</w:t>
      </w:r>
      <w:r w:rsidRPr="00E14102">
        <w:rPr>
          <w:color w:val="000000" w:themeColor="text1"/>
          <w:sz w:val="16"/>
          <w:szCs w:val="16"/>
        </w:rPr>
        <w:softHyphen/>
        <w:t>равления Воздушных Сил РККА по завершению программы испытаний РС в 1934 г. и «скорейшего ввода их на вооружение ВВС» препятствова</w:t>
      </w:r>
      <w:r w:rsidRPr="00E14102">
        <w:rPr>
          <w:color w:val="000000" w:themeColor="text1"/>
          <w:sz w:val="16"/>
          <w:szCs w:val="16"/>
        </w:rPr>
        <w:softHyphen/>
        <w:t>ли многие другие обстоятельства объективного, да и субъективного хара</w:t>
      </w:r>
      <w:r w:rsidRPr="00E14102">
        <w:rPr>
          <w:color w:val="000000" w:themeColor="text1"/>
          <w:sz w:val="16"/>
          <w:szCs w:val="16"/>
        </w:rPr>
        <w:softHyphen/>
        <w:t>ктера. Иной раз казалось, что перевод ГДЛ в Москву был совершенно напрасным, поскольку отведенный институту полигон в Софрино необ</w:t>
      </w:r>
      <w:r w:rsidRPr="00E14102">
        <w:rPr>
          <w:color w:val="000000" w:themeColor="text1"/>
          <w:sz w:val="16"/>
          <w:szCs w:val="16"/>
        </w:rPr>
        <w:softHyphen/>
        <w:t>ходимо было строить «с нуля», а прежний артполигон на Ржевке нахо</w:t>
      </w:r>
      <w:r w:rsidRPr="00E14102">
        <w:rPr>
          <w:color w:val="000000" w:themeColor="text1"/>
          <w:sz w:val="16"/>
          <w:szCs w:val="16"/>
        </w:rPr>
        <w:softHyphen/>
        <w:t xml:space="preserve">дился теперь очень далеко. Начальнику РНИИ НКТП от начальника ОБАА АУ РККА Молодцова и начальника НТО ОБАА АУ РККА Бекке-ра 9 октября 1934 </w:t>
      </w:r>
      <w:r w:rsidRPr="00E14102">
        <w:rPr>
          <w:color w:val="000000" w:themeColor="text1"/>
          <w:sz w:val="16"/>
          <w:szCs w:val="16"/>
        </w:rPr>
        <w:lastRenderedPageBreak/>
        <w:t>г.: «Ввиду неподготовленности Софринского полигона для отстрела реактивных снарядов на меткость, ОБАА ГАУ предлагает отстрел 82-, 132- и 245-мм ракетных снарядов, изготовленных в РНИИ, производить на НИАП. В соответствии с этим, РНИИ потребуется оформить заявку на ноябрь-декабрь для включения данных отстрелов в план работ НИАП».</w:t>
      </w:r>
    </w:p>
    <w:p w14:paraId="5AA99F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Далее события развивались как в недорогом триллере. На протяже</w:t>
      </w:r>
      <w:r w:rsidRPr="00E14102">
        <w:rPr>
          <w:color w:val="000000" w:themeColor="text1"/>
          <w:sz w:val="16"/>
          <w:szCs w:val="16"/>
        </w:rPr>
        <w:softHyphen/>
        <w:t>нии последующих десятилетий подобная история будет повторяться многократно (при сдаче заказов на изготовление РС практически всех моделей и калибров). Работники советского оборонно-промышленного комплекса постоянно задерживали оплаченные военными плановые за</w:t>
      </w:r>
      <w:r w:rsidRPr="00E14102">
        <w:rPr>
          <w:color w:val="000000" w:themeColor="text1"/>
          <w:sz w:val="16"/>
          <w:szCs w:val="16"/>
        </w:rPr>
        <w:softHyphen/>
        <w:t>казы, зачастую даже не утруждая себя изобретением более убедительных причин подобной волокиты. Между тем время вносило свои коррективы и требовало усовершенствования конструкции авиационных РС. Вот один из примеров того, как с опозданием в два (!) года производственни</w:t>
      </w:r>
      <w:r w:rsidRPr="00E14102">
        <w:rPr>
          <w:color w:val="000000" w:themeColor="text1"/>
          <w:sz w:val="16"/>
          <w:szCs w:val="16"/>
        </w:rPr>
        <w:softHyphen/>
        <w:t>ки пытались отстоять свои интересы (11402).</w:t>
      </w:r>
    </w:p>
    <w:p w14:paraId="384C3C2B" w14:textId="77777777" w:rsidR="00D4105E" w:rsidRPr="00E14102" w:rsidRDefault="00D4105E" w:rsidP="00E14102">
      <w:pPr>
        <w:autoSpaceDE w:val="0"/>
        <w:autoSpaceDN w:val="0"/>
        <w:adjustRightInd w:val="0"/>
        <w:jc w:val="both"/>
        <w:rPr>
          <w:color w:val="000000" w:themeColor="text1"/>
          <w:sz w:val="16"/>
          <w:szCs w:val="16"/>
        </w:rPr>
      </w:pPr>
    </w:p>
    <w:p w14:paraId="5FAD07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апреля 1935 года состоялось техническое совещание, посвященное дизельной проблеме на ЧТЗ. Было принято решение о создании специальной дизельной комиссии, а затем и дизельного производства. По предложению Брускина, поддержанному Орджоникидзе, дизельное производство (позже преобразованное в дизельное управление) возглавил Элиазар Ильич Гуревич. Работу было решено вести в двух главных направлениях: разработка оптимальной конструкции дизеля для трактора ЧТЗ и подготовка к реконструкции завода для выпуска дизельных тракторов (11627).</w:t>
      </w:r>
    </w:p>
    <w:p w14:paraId="0C0B56D5" w14:textId="77777777" w:rsidR="00D4105E" w:rsidRPr="00E14102" w:rsidRDefault="00D4105E" w:rsidP="00E14102">
      <w:pPr>
        <w:autoSpaceDE w:val="0"/>
        <w:autoSpaceDN w:val="0"/>
        <w:adjustRightInd w:val="0"/>
        <w:jc w:val="both"/>
        <w:rPr>
          <w:color w:val="000000" w:themeColor="text1"/>
          <w:sz w:val="16"/>
          <w:szCs w:val="16"/>
        </w:rPr>
      </w:pPr>
    </w:p>
    <w:p w14:paraId="2A0ECF9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53EC620" w14:textId="77777777" w:rsidR="00D4105E" w:rsidRPr="00E14102" w:rsidRDefault="00D4105E" w:rsidP="00E14102">
      <w:pPr>
        <w:autoSpaceDE w:val="0"/>
        <w:autoSpaceDN w:val="0"/>
        <w:adjustRightInd w:val="0"/>
        <w:jc w:val="both"/>
        <w:rPr>
          <w:iCs/>
          <w:color w:val="000000" w:themeColor="text1"/>
          <w:sz w:val="16"/>
          <w:szCs w:val="16"/>
        </w:rPr>
      </w:pPr>
    </w:p>
    <w:p w14:paraId="24436D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апреля 1935 года состоялось техническое совещание по дизельной проблеме на ЧТЗ. Было принято решение о создании специальной дизельной комиссии, а затем и дизельного производства. По предложению Брускина, поддержанному Орджоникидзе, дизельное производство (позже преобразованное в дизельное управление) возглавил Элиазар Ильич Гуревич. Работу было решено вести в двух главных направлениях: разработка оптимальной конструкции дизеля для трактора ЧТЗ и подготовка к реконструкции завода для выпуска дизельных тракторов (11811).</w:t>
      </w:r>
    </w:p>
    <w:p w14:paraId="49C02FFD" w14:textId="77777777" w:rsidR="00D4105E" w:rsidRPr="00E14102" w:rsidRDefault="00D4105E" w:rsidP="00E14102">
      <w:pPr>
        <w:autoSpaceDE w:val="0"/>
        <w:autoSpaceDN w:val="0"/>
        <w:adjustRightInd w:val="0"/>
        <w:jc w:val="both"/>
        <w:rPr>
          <w:color w:val="000000" w:themeColor="text1"/>
          <w:sz w:val="16"/>
          <w:szCs w:val="16"/>
        </w:rPr>
      </w:pPr>
    </w:p>
    <w:p w14:paraId="6CFDD22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074FD4F" w14:textId="77777777" w:rsidR="00D4105E" w:rsidRPr="00E14102" w:rsidRDefault="00D4105E" w:rsidP="00E14102">
      <w:pPr>
        <w:autoSpaceDE w:val="0"/>
        <w:autoSpaceDN w:val="0"/>
        <w:adjustRightInd w:val="0"/>
        <w:jc w:val="both"/>
        <w:rPr>
          <w:iCs/>
          <w:color w:val="000000" w:themeColor="text1"/>
          <w:sz w:val="16"/>
          <w:szCs w:val="16"/>
        </w:rPr>
      </w:pPr>
    </w:p>
    <w:p w14:paraId="0326AE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апреля 1935 г. ЦАГИ направило в УВВС свои замечания к новым требованиям ВВС к ТБ-7, утвержденным Алснисом 31 января 1935. Далее шёл непрерывный процесс корректировки задания. В июне немного изменили цифры по лётным данным, в июле УВВС потребовало протектирования бензобаков. В середине ноября уточнили комплектацию вооружения, оборудования и винтомоторной группы. К маю 1935 г. некоторые бригады были уже близки к завершению рабочих чертежей (11996).</w:t>
      </w:r>
    </w:p>
    <w:p w14:paraId="7DFC30D9" w14:textId="77777777" w:rsidR="00D4105E" w:rsidRPr="00E14102" w:rsidRDefault="00D4105E" w:rsidP="00E14102">
      <w:pPr>
        <w:autoSpaceDE w:val="0"/>
        <w:autoSpaceDN w:val="0"/>
        <w:adjustRightInd w:val="0"/>
        <w:jc w:val="both"/>
        <w:rPr>
          <w:color w:val="000000" w:themeColor="text1"/>
          <w:sz w:val="16"/>
          <w:szCs w:val="16"/>
        </w:rPr>
      </w:pPr>
    </w:p>
    <w:p w14:paraId="4EEAF9D5" w14:textId="77777777" w:rsidR="0063005B" w:rsidRPr="00E14102" w:rsidRDefault="0063005B" w:rsidP="00E14102">
      <w:pPr>
        <w:jc w:val="both"/>
        <w:rPr>
          <w:color w:val="000000" w:themeColor="text1"/>
          <w:sz w:val="16"/>
          <w:szCs w:val="16"/>
        </w:rPr>
      </w:pPr>
      <w:r w:rsidRPr="00E14102">
        <w:rPr>
          <w:color w:val="000000" w:themeColor="text1"/>
          <w:sz w:val="16"/>
          <w:szCs w:val="16"/>
        </w:rPr>
        <w:t>В начале апреля 1935 ЦАГИ направил свои замечания и возражения в ВВС по представленным ТТТ на ТБ-7. В июне 1935 года от ВВС приходят новые уточненные требования к самолету, в июле ВВС требуют установки на самолет протектированных топливных баков. В конце августа ЦАГИ и завод №4 вырабатывают и согласовывают технические данные двигателя АМ-34ФРН, завод обязывают предоставить к 1 марта 1935 года 5 двигателей (12726).</w:t>
      </w:r>
    </w:p>
    <w:p w14:paraId="277F3AAB" w14:textId="77777777" w:rsidR="0063005B" w:rsidRPr="00E14102" w:rsidRDefault="0063005B" w:rsidP="00E14102">
      <w:pPr>
        <w:jc w:val="both"/>
        <w:rPr>
          <w:color w:val="000000" w:themeColor="text1"/>
          <w:sz w:val="16"/>
          <w:szCs w:val="16"/>
        </w:rPr>
      </w:pPr>
    </w:p>
    <w:p w14:paraId="56FA873D" w14:textId="77777777" w:rsidR="00D52635" w:rsidRPr="00E14102" w:rsidRDefault="00D52635" w:rsidP="00E14102">
      <w:pPr>
        <w:jc w:val="both"/>
        <w:rPr>
          <w:color w:val="000000" w:themeColor="text1"/>
          <w:sz w:val="16"/>
          <w:szCs w:val="16"/>
        </w:rPr>
      </w:pPr>
      <w:r w:rsidRPr="00E14102">
        <w:rPr>
          <w:color w:val="000000" w:themeColor="text1"/>
          <w:sz w:val="16"/>
          <w:szCs w:val="16"/>
        </w:rPr>
        <w:t>К началу апреля 1935 с завода для участия в первомайском параде передали всего пять машин. Через месяц их набрали 33 (эскадрилья тогда состояла из 31 самолёта), однако в ходе подготовки к празднику 25 из них вышли из строя! Ценой огром-ных усилий группу И-15 всё-таки провели над Красной площадью (12261).</w:t>
      </w:r>
    </w:p>
    <w:p w14:paraId="6423162F" w14:textId="77777777" w:rsidR="00D52635" w:rsidRPr="00E14102" w:rsidRDefault="00D52635" w:rsidP="00E14102">
      <w:pPr>
        <w:jc w:val="both"/>
        <w:rPr>
          <w:color w:val="000000" w:themeColor="text1"/>
          <w:sz w:val="16"/>
          <w:szCs w:val="16"/>
        </w:rPr>
      </w:pPr>
    </w:p>
    <w:p w14:paraId="3116FF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апреля 1935 Зам. Нач. ГУАП писал директору завода 22 Миткевич по вопросу Парового охлаждения самолета А и ТБ-3 - предложил разработать вариант самолета с паровым охлаждением М-34ФРН (2343,164).</w:t>
      </w:r>
    </w:p>
    <w:p w14:paraId="5A646AA1" w14:textId="77777777" w:rsidR="00D4105E" w:rsidRPr="00E14102" w:rsidRDefault="00D4105E" w:rsidP="00E14102">
      <w:pPr>
        <w:autoSpaceDE w:val="0"/>
        <w:autoSpaceDN w:val="0"/>
        <w:adjustRightInd w:val="0"/>
        <w:jc w:val="both"/>
        <w:rPr>
          <w:color w:val="000000" w:themeColor="text1"/>
          <w:sz w:val="16"/>
          <w:szCs w:val="16"/>
        </w:rPr>
      </w:pPr>
    </w:p>
    <w:p w14:paraId="595B8C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апреля 1935 ЦАГИ направил свои замечания и возражения в ВВС по представленным 20 января ТТТ на АНТ-42 (7685).</w:t>
      </w:r>
    </w:p>
    <w:p w14:paraId="2821B8A5" w14:textId="77777777" w:rsidR="00D4105E" w:rsidRPr="00E14102" w:rsidRDefault="00D4105E" w:rsidP="00E14102">
      <w:pPr>
        <w:autoSpaceDE w:val="0"/>
        <w:autoSpaceDN w:val="0"/>
        <w:adjustRightInd w:val="0"/>
        <w:jc w:val="both"/>
        <w:rPr>
          <w:color w:val="000000" w:themeColor="text1"/>
          <w:sz w:val="16"/>
          <w:szCs w:val="16"/>
        </w:rPr>
      </w:pPr>
    </w:p>
    <w:p w14:paraId="1B0B59B0" w14:textId="77777777" w:rsidR="003E561B" w:rsidRPr="00E14102" w:rsidRDefault="003E561B" w:rsidP="00E14102">
      <w:pPr>
        <w:jc w:val="both"/>
        <w:rPr>
          <w:color w:val="0070C0"/>
          <w:sz w:val="16"/>
          <w:szCs w:val="16"/>
        </w:rPr>
      </w:pPr>
      <w:r w:rsidRPr="00E14102">
        <w:rPr>
          <w:color w:val="0070C0"/>
          <w:sz w:val="16"/>
          <w:szCs w:val="16"/>
        </w:rPr>
        <w:t>В начале апреля 1935 г. Управление авиации ЦС Осоавиахима разослало по всем аэроклубам (их было свыше 100) письменное предложение выявить наличие газа (водородного или светиль</w:t>
      </w:r>
      <w:r w:rsidRPr="00E14102">
        <w:rPr>
          <w:color w:val="0070C0"/>
          <w:sz w:val="16"/>
          <w:szCs w:val="16"/>
        </w:rPr>
        <w:softHyphen/>
        <w:t>ного) в районе аэроклубов для организации воз</w:t>
      </w:r>
      <w:r w:rsidRPr="00E14102">
        <w:rPr>
          <w:color w:val="0070C0"/>
          <w:sz w:val="16"/>
          <w:szCs w:val="16"/>
        </w:rPr>
        <w:softHyphen/>
        <w:t>духоплавательного спорта. При наличии таково</w:t>
      </w:r>
      <w:r w:rsidRPr="00E14102">
        <w:rPr>
          <w:color w:val="0070C0"/>
          <w:sz w:val="16"/>
          <w:szCs w:val="16"/>
        </w:rPr>
        <w:softHyphen/>
        <w:t>го аэроклубам предлагалось принять немедленно меры к организации «воздухстанции» и заказать для неё всё потребное имущество — сферические аэростаты, газгольдеры, шланги и проч. К пись</w:t>
      </w:r>
      <w:r w:rsidRPr="00E14102">
        <w:rPr>
          <w:color w:val="0070C0"/>
          <w:sz w:val="16"/>
          <w:szCs w:val="16"/>
        </w:rPr>
        <w:softHyphen/>
        <w:t>му прилагались расценки «Дирижаблестроя». Из полученных ответов имелся только один отрица</w:t>
      </w:r>
      <w:r w:rsidRPr="00E14102">
        <w:rPr>
          <w:color w:val="0070C0"/>
          <w:sz w:val="16"/>
          <w:szCs w:val="16"/>
        </w:rPr>
        <w:softHyphen/>
        <w:t>тельный (с Урала), вызванный отсутствием газа и инструктора. Всего было заказано шесть-семь сферических аэростатов в 600, 900 и 1600 м3 со стороны местных аэроклубов и от Центрального парка культуры и отдыха в Москве — один при</w:t>
      </w:r>
      <w:r w:rsidRPr="00E14102">
        <w:rPr>
          <w:color w:val="0070C0"/>
          <w:sz w:val="16"/>
          <w:szCs w:val="16"/>
        </w:rPr>
        <w:softHyphen/>
        <w:t>вязной аэростат (600 м3). В «Дирижаблестрое» для аэроклубов разработали стандартный сфери</w:t>
      </w:r>
      <w:r w:rsidRPr="00E14102">
        <w:rPr>
          <w:color w:val="0070C0"/>
          <w:sz w:val="16"/>
          <w:szCs w:val="16"/>
        </w:rPr>
        <w:softHyphen/>
        <w:t>ческий аэростат на 900 м3. Остро стояла проблема подготовки инструкторов по «сферикам». Так как выпуск Воздухшколы Дирижаблестроительного учебного комбината (ДУК) должен был состоять</w:t>
      </w:r>
      <w:r w:rsidRPr="00E14102">
        <w:rPr>
          <w:color w:val="0070C0"/>
          <w:sz w:val="16"/>
          <w:szCs w:val="16"/>
        </w:rPr>
        <w:softHyphen/>
        <w:t>ся только в 1936 г., то предлагалось послать в ка</w:t>
      </w:r>
      <w:r w:rsidRPr="00E14102">
        <w:rPr>
          <w:color w:val="0070C0"/>
          <w:sz w:val="16"/>
          <w:szCs w:val="16"/>
        </w:rPr>
        <w:softHyphen/>
        <w:t>честве стажировки пять-шесть курсантов в аэро</w:t>
      </w:r>
      <w:r w:rsidRPr="00E14102">
        <w:rPr>
          <w:color w:val="0070C0"/>
          <w:sz w:val="16"/>
          <w:szCs w:val="16"/>
        </w:rPr>
        <w:softHyphen/>
        <w:t>клубы для руководства работой «сферостанций», или произвести небольшой досрочный выпуск из Воздухшколы таких инструкторов (20120).</w:t>
      </w:r>
    </w:p>
    <w:p w14:paraId="1D7C85F0" w14:textId="77777777" w:rsidR="003E561B" w:rsidRPr="00E14102" w:rsidRDefault="003E561B" w:rsidP="00E14102">
      <w:pPr>
        <w:jc w:val="both"/>
        <w:rPr>
          <w:color w:val="0070C0"/>
          <w:sz w:val="16"/>
          <w:szCs w:val="16"/>
        </w:rPr>
      </w:pPr>
    </w:p>
    <w:p w14:paraId="30B5498A" w14:textId="77777777" w:rsidR="00722E26" w:rsidRPr="00E14102" w:rsidRDefault="00722E26"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5D3046E" w14:textId="77777777" w:rsidR="00722E26" w:rsidRPr="00E14102" w:rsidRDefault="00722E26" w:rsidP="00E14102">
      <w:pPr>
        <w:autoSpaceDE w:val="0"/>
        <w:autoSpaceDN w:val="0"/>
        <w:adjustRightInd w:val="0"/>
        <w:jc w:val="both"/>
        <w:rPr>
          <w:iCs/>
          <w:color w:val="000000" w:themeColor="text1"/>
          <w:sz w:val="16"/>
          <w:szCs w:val="16"/>
        </w:rPr>
      </w:pPr>
    </w:p>
    <w:p w14:paraId="7B5DCCDE" w14:textId="77777777" w:rsidR="00722E26" w:rsidRPr="00E14102" w:rsidRDefault="00722E26" w:rsidP="00E14102">
      <w:pPr>
        <w:jc w:val="both"/>
        <w:rPr>
          <w:color w:val="000000" w:themeColor="text1"/>
          <w:sz w:val="16"/>
          <w:szCs w:val="16"/>
        </w:rPr>
      </w:pPr>
      <w:r w:rsidRPr="00E14102">
        <w:rPr>
          <w:color w:val="000000" w:themeColor="text1"/>
          <w:sz w:val="16"/>
          <w:szCs w:val="16"/>
        </w:rPr>
        <w:t>В начале апреля 1935 г. Сталин вместе с высшими партийными и государственными чинами предпринял пробную поездку на метро. Прямо посреди тоннеля поезд остановился, вероятно, из-за неисправности автоматических тормозов. Когда два часа спустя Сталин наконец смог выбраться из вагона, он прошествовал сразу к автомобилю мимо ожидавших его инженеров и членов правительственной комиссии, не проронив ни слова. После этого уже никто не торопил комиссию по приемке метрополитена{548} (18299).</w:t>
      </w:r>
    </w:p>
    <w:p w14:paraId="588969D7" w14:textId="77777777" w:rsidR="00722E26" w:rsidRPr="00E14102" w:rsidRDefault="00722E26" w:rsidP="00E14102">
      <w:pPr>
        <w:autoSpaceDE w:val="0"/>
        <w:autoSpaceDN w:val="0"/>
        <w:adjustRightInd w:val="0"/>
        <w:jc w:val="both"/>
        <w:rPr>
          <w:i/>
          <w:iCs/>
          <w:color w:val="000000" w:themeColor="text1"/>
          <w:sz w:val="16"/>
          <w:szCs w:val="16"/>
        </w:rPr>
      </w:pPr>
    </w:p>
    <w:p w14:paraId="2AAE4D6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BDD0CC9" w14:textId="77777777" w:rsidR="00D4105E" w:rsidRPr="00E14102" w:rsidRDefault="00D4105E" w:rsidP="00E14102">
      <w:pPr>
        <w:autoSpaceDE w:val="0"/>
        <w:autoSpaceDN w:val="0"/>
        <w:adjustRightInd w:val="0"/>
        <w:jc w:val="both"/>
        <w:rPr>
          <w:iCs/>
          <w:color w:val="000000" w:themeColor="text1"/>
          <w:sz w:val="16"/>
          <w:szCs w:val="16"/>
        </w:rPr>
      </w:pPr>
    </w:p>
    <w:p w14:paraId="6A4072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апреля 1935 уполн. НКТП Харламовым была подготовлена Докладная записка для Нач. ГУАП Королева о состоянии подготовки РД к перелету Леваневского в США (2343,175).</w:t>
      </w:r>
    </w:p>
    <w:p w14:paraId="45655B3B" w14:textId="77777777" w:rsidR="00D4105E" w:rsidRPr="00E14102" w:rsidRDefault="00D4105E" w:rsidP="00E14102">
      <w:pPr>
        <w:autoSpaceDE w:val="0"/>
        <w:autoSpaceDN w:val="0"/>
        <w:adjustRightInd w:val="0"/>
        <w:jc w:val="both"/>
        <w:rPr>
          <w:color w:val="000000" w:themeColor="text1"/>
          <w:sz w:val="16"/>
          <w:szCs w:val="16"/>
        </w:rPr>
      </w:pPr>
    </w:p>
    <w:p w14:paraId="5C69CA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апреля 1935 решением СТО ВВС приняли Z, произведенные в Харькове, на вооружение с условием замены АПК-4 на АПК-11. В 1935 на трех Z проводили испытания разрушающего действия пушек АПК-4М на горизонтали, пикировании и кабрировании. При минимальной скорости 180 км/час - отлетали части. За первое полугодие было выпущено еще 20 Z (97,23).</w:t>
      </w:r>
    </w:p>
    <w:p w14:paraId="61975CDD" w14:textId="77777777" w:rsidR="00D4105E" w:rsidRPr="00E14102" w:rsidRDefault="00D4105E" w:rsidP="00E14102">
      <w:pPr>
        <w:autoSpaceDE w:val="0"/>
        <w:autoSpaceDN w:val="0"/>
        <w:adjustRightInd w:val="0"/>
        <w:jc w:val="both"/>
        <w:rPr>
          <w:color w:val="000000" w:themeColor="text1"/>
          <w:sz w:val="16"/>
          <w:szCs w:val="16"/>
        </w:rPr>
      </w:pPr>
    </w:p>
    <w:p w14:paraId="06D284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апреля 1935 вышло постановление СТО об определении тактики боевого применения пушечной авиации и отработки правил стрельбы. Потом НКО издал приказ о создании особой авиагруппы в составе звена И-зет, звена р-5 для буксировки конусов и одного ТБ-1 для испытания турельной 37-мм ДРП. Отправили в Евпаторию и начали полеты 15 мая 1935 (2692,7).</w:t>
      </w:r>
    </w:p>
    <w:p w14:paraId="552ED98E" w14:textId="77777777" w:rsidR="00D4105E" w:rsidRPr="00E14102" w:rsidRDefault="00D4105E" w:rsidP="00E14102">
      <w:pPr>
        <w:autoSpaceDE w:val="0"/>
        <w:autoSpaceDN w:val="0"/>
        <w:adjustRightInd w:val="0"/>
        <w:jc w:val="both"/>
        <w:rPr>
          <w:color w:val="000000" w:themeColor="text1"/>
          <w:sz w:val="16"/>
          <w:szCs w:val="16"/>
        </w:rPr>
      </w:pPr>
    </w:p>
    <w:p w14:paraId="015D10E1" w14:textId="77777777" w:rsidR="0063005B" w:rsidRPr="00E14102" w:rsidRDefault="0063005B" w:rsidP="00E14102">
      <w:pPr>
        <w:pStyle w:val="a7"/>
        <w:rPr>
          <w:color w:val="000000" w:themeColor="text1"/>
          <w:sz w:val="16"/>
          <w:szCs w:val="16"/>
          <w:lang w:val="ru-RU"/>
        </w:rPr>
      </w:pPr>
      <w:r w:rsidRPr="00E14102">
        <w:rPr>
          <w:color w:val="000000" w:themeColor="text1"/>
          <w:sz w:val="16"/>
          <w:szCs w:val="16"/>
          <w:lang w:val="ru-RU"/>
        </w:rPr>
        <w:t>7 апреля 1935 г. вышло постановление Совета Труда и Обороны об определении тактики боевого применения пушечной авиации, отработке правил и методов стрельбы. В соответствии с постановле</w:t>
      </w:r>
      <w:r w:rsidRPr="00E14102">
        <w:rPr>
          <w:color w:val="000000" w:themeColor="text1"/>
          <w:sz w:val="16"/>
          <w:szCs w:val="16"/>
          <w:lang w:val="ru-RU"/>
        </w:rPr>
        <w:softHyphen/>
        <w:t>нием Нарком обороны издал приказ о соз</w:t>
      </w:r>
      <w:r w:rsidRPr="00E14102">
        <w:rPr>
          <w:color w:val="000000" w:themeColor="text1"/>
          <w:sz w:val="16"/>
          <w:szCs w:val="16"/>
          <w:lang w:val="ru-RU"/>
        </w:rPr>
        <w:softHyphen/>
        <w:t>дании особой авиагруппы в составе звена истребителей И-зет, звена разведчиков Р-5 для буксировки конусов и одного бомбар</w:t>
      </w:r>
      <w:r w:rsidRPr="00E14102">
        <w:rPr>
          <w:color w:val="000000" w:themeColor="text1"/>
          <w:sz w:val="16"/>
          <w:szCs w:val="16"/>
          <w:lang w:val="ru-RU"/>
        </w:rPr>
        <w:softHyphen/>
        <w:t>дировщика ТБ-1, предназначенного для испытаний 37-мм турельной ДРП. Особая авиагруппа была направлена в Евпаторию, где с 15 мая 1935 г. начала полеты. В июне состав группы расширили - к трем истреби</w:t>
      </w:r>
      <w:r w:rsidRPr="00E14102">
        <w:rPr>
          <w:color w:val="000000" w:themeColor="text1"/>
          <w:sz w:val="16"/>
          <w:szCs w:val="16"/>
          <w:lang w:val="ru-RU"/>
        </w:rPr>
        <w:softHyphen/>
        <w:t>телям (№№13533,13534 и 13535) добавили еще шесть машин: №№13532, 13536, 13539, 13540, 13541 и 13544. Основной целью испытаний являлось определение живучести планера И-2, и возможных мер продления срока их службы.</w:t>
      </w:r>
    </w:p>
    <w:p w14:paraId="6A5D379D" w14:textId="77777777" w:rsidR="0063005B" w:rsidRPr="00E14102" w:rsidRDefault="0063005B" w:rsidP="00E14102">
      <w:pPr>
        <w:pStyle w:val="a7"/>
        <w:rPr>
          <w:color w:val="000000" w:themeColor="text1"/>
          <w:sz w:val="16"/>
          <w:szCs w:val="16"/>
          <w:lang w:val="ru-RU"/>
        </w:rPr>
      </w:pPr>
      <w:r w:rsidRPr="00E14102">
        <w:rPr>
          <w:color w:val="000000" w:themeColor="text1"/>
          <w:sz w:val="16"/>
          <w:szCs w:val="16"/>
          <w:lang w:val="ru-RU"/>
        </w:rPr>
        <w:t>АПК-4 устанавливались на самоле</w:t>
      </w:r>
      <w:r w:rsidRPr="00E14102">
        <w:rPr>
          <w:color w:val="000000" w:themeColor="text1"/>
          <w:sz w:val="16"/>
          <w:szCs w:val="16"/>
          <w:lang w:val="ru-RU"/>
        </w:rPr>
        <w:softHyphen/>
        <w:t>тах под углами 2°30'-3°10'. Стрельбы велись с пикирования, кабрирования, в горизонтальном полете, одиночными выстрелами и сериями. После 100-150 выстрелов проводился тщательный осмотр конструкции истребителей с заменой, по возможности, отдельных частей. В среднем из каждой пушки выполнили 240 выстрелов. В конструкциях самолетов наблюдались значительные повреждения: расходились заклепочные швы, тре</w:t>
      </w:r>
      <w:r w:rsidRPr="00E14102">
        <w:rPr>
          <w:color w:val="000000" w:themeColor="text1"/>
          <w:sz w:val="16"/>
          <w:szCs w:val="16"/>
          <w:lang w:val="ru-RU"/>
        </w:rPr>
        <w:softHyphen/>
        <w:t>щали кронштейны хвостового оперения, лопалась полотняная обшивка. Лишь отдельные экземпляры, например, машина с заводским №13534, смогли выдержать до 340-360 выстрелов. Был сделан вывод, что даже при соответствующих усилениях конструкции срок службы И-2 при стрельбе из динамореактивных пушек составляет не более 400 выстрелов.</w:t>
      </w:r>
    </w:p>
    <w:p w14:paraId="152B84DD" w14:textId="77777777" w:rsidR="0063005B" w:rsidRPr="00E14102" w:rsidRDefault="0063005B" w:rsidP="00E14102">
      <w:pPr>
        <w:jc w:val="both"/>
        <w:rPr>
          <w:color w:val="000000" w:themeColor="text1"/>
          <w:sz w:val="16"/>
          <w:szCs w:val="16"/>
        </w:rPr>
      </w:pPr>
      <w:r w:rsidRPr="00E14102">
        <w:rPr>
          <w:color w:val="000000" w:themeColor="text1"/>
          <w:sz w:val="16"/>
          <w:szCs w:val="16"/>
        </w:rPr>
        <w:t>В ходе всевозможных испытаний и проведения стрельб большую часть серийных «ЗЕТов» постепенно довели до нелетного состояния (12731).</w:t>
      </w:r>
    </w:p>
    <w:p w14:paraId="4194D6C5" w14:textId="77777777" w:rsidR="0063005B" w:rsidRPr="00E14102" w:rsidRDefault="0063005B" w:rsidP="00E14102">
      <w:pPr>
        <w:jc w:val="both"/>
        <w:rPr>
          <w:color w:val="000000" w:themeColor="text1"/>
          <w:sz w:val="16"/>
          <w:szCs w:val="16"/>
        </w:rPr>
      </w:pPr>
    </w:p>
    <w:p w14:paraId="06001E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апреля 1935 года вышло постановление № С-34сс СТО по системам “К”</w:t>
      </w:r>
    </w:p>
    <w:p w14:paraId="4D91AF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68F98E6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lastRenderedPageBreak/>
        <w:t>По авиационным системам.</w:t>
      </w:r>
    </w:p>
    <w:p w14:paraId="48DA30A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1. Обязать НКТП (Павлуновского) программу 1935 года по АПК-4 выполнить на заводах №№ 7 и 8.</w:t>
      </w:r>
    </w:p>
    <w:p w14:paraId="758992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заводе № 7, под персональную ответственность директора Сухомлинова, изготовить 150 систем АПК-4; на заводе № 8 изготовить, под персональную ответственность директора Мирзаханова, 100 систем АПК-4.</w:t>
      </w:r>
    </w:p>
    <w:p w14:paraId="39BE2B5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Курчевского к 15 апреля 1935 года передать заводу № 8 лекальный образец АПК-4 и чертежи, соответствующие лекальному образцу.</w:t>
      </w:r>
    </w:p>
    <w:p w14:paraId="4F91E8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НКО (Ефимова) испытать представленный образец АПК-4 к 1 мая 1935 года на полигоне завода № 38.</w:t>
      </w:r>
    </w:p>
    <w:p w14:paraId="2BA270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Заводу № 7 (Сухомлинову) и заводу № 8 (Мирзаханову) к 1 июля 1935 года сдать НКО поверочные партии по 10 системам АПК-4, изготовленным по проверенным чертежам.</w:t>
      </w:r>
    </w:p>
    <w:p w14:paraId="11B5FC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НКО (Алкснису, Ефимову) к 1 августа 1935 года: закончить испытание этих партий.</w:t>
      </w:r>
    </w:p>
    <w:p w14:paraId="0DB06D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Заводу № 8 и заводу № 7 с 1 сентября начать сдачу валового заказа на системы АПК-4 в сроки по договору с АУ РККА.</w:t>
      </w:r>
    </w:p>
    <w:p w14:paraId="445A8C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директоров заводов Сухомлинова, Мирзаханова к 1 октября 1935 года производство АПК-4 перевести на чертежи литер “Б”.</w:t>
      </w:r>
    </w:p>
    <w:p w14:paraId="60CEF8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АПК-11.</w:t>
      </w:r>
    </w:p>
    <w:p w14:paraId="7F2238A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Курчевского к 1 мая 1935 года сдать заводу № 8 утвержденные НКО и НКТП чертежи и лекальные образцы (2 экз.) 37 мм систем АПК-11.</w:t>
      </w:r>
    </w:p>
    <w:p w14:paraId="5EE51D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Заводу № 8 (Мирзаханову) к 1 сентября 1935 года сдать НКО поверочную партию в 10 систем АПК-11.</w:t>
      </w:r>
    </w:p>
    <w:p w14:paraId="16ABF9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НКО (Алкснису, Ефимову) закончить испытание поверочных партий и утвердить чертежи к 1 октября 1935 года, после чего НКО и НКТП войти в СТО с предложением о сроках изготовления систем АПК-11, исходя из утвержденной СТО программы 1935 года – 300 АПК-11.</w:t>
      </w:r>
    </w:p>
    <w:p w14:paraId="5E9160B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целях скорейшего выпуска поверочной партии АПК-4 и систем АПК-11, предложить заводу № 8 (Мирзаханову) включиться теперь же в работу завода № 38 по отладке чертежей, обеспечив эту работу соответствующим количеством конструкторов.</w:t>
      </w:r>
    </w:p>
    <w:p w14:paraId="0A37A2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самолетам “ЗЕТ”.</w:t>
      </w:r>
    </w:p>
    <w:p w14:paraId="134E8DD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НКО (Алксниса) принять 30 самолетов “ЗЕТ”, изготовленных на заводе № 135 и вооружить ими одну из эскадрилий.</w:t>
      </w:r>
    </w:p>
    <w:p w14:paraId="47A4B2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Приемку осуществить путем опробования постановкой пушек АПК-4.</w:t>
      </w:r>
    </w:p>
    <w:p w14:paraId="145AC5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завод № 135 (Буздалина) совместно с заводом № 38 установить пушки АПК-11 на самолетах “ЗЕТ” путем высылки бригад для монтажа пушек непосредственно в эскадрильи.</w:t>
      </w:r>
    </w:p>
    <w:p w14:paraId="7948DF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305 мм гаубице “К”.</w:t>
      </w:r>
    </w:p>
    <w:p w14:paraId="7BC61A2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АУ РККА (Ефимова) по смете 1935 года произвести оплату 305 мм гаубицы “К” на самоходе.</w:t>
      </w:r>
    </w:p>
    <w:p w14:paraId="79E5D5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выстрелам.</w:t>
      </w:r>
    </w:p>
    <w:p w14:paraId="013BBA0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персонально Ратайчака обеспечить производство и с 1 мая 1935 года сдачу НКО скомплектованных выстрелов со сгорающей или металлической гильзой для артсистем Курчевского. Патронирование выстрелов со сгорающей гильзой производить по 37 мм РК и по АПК-11 на заводе № 12, по АПК-4 на заводе № 14.</w:t>
      </w:r>
    </w:p>
    <w:p w14:paraId="6B5BAEF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Ввиду полной неудовлетворительности выстрелов, изготовляемых к системам Курчевского, обязать Курчевского представить к 15 апреля 1935 года чертежи и технические условия на боеприпасы к своим системам Ефимову, Павлуновскому, Ратайчаку – к 10 апреля 1935 года утвердить эти чертежи и технические условия с учетом результатов испытания опытных образцов боеприпасов к системам Курчевского и с тем, чтобы утвержденные чертежи и технические условия полностью обеспечили предъявляемые к ним тактические требования.</w:t>
      </w:r>
    </w:p>
    <w:p w14:paraId="375474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Утвержденные чертежи и технические условия должны обеспечить наличие оболочки заряда, гарантирующей исправные действия механизмов заряжения, пластмастичного поддона и безотказного воспламенения (капсюль).</w:t>
      </w:r>
    </w:p>
    <w:p w14:paraId="3E159D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НКТП (Павлуновского и Ратайчака) с мая 1935 года начать сдачу выстрелов по программе 1935 года, изготовленных валовым порядком, согласно новым техническим условиям, в количестве, установленном постановлением СТО от 20 декабря 1934 года и в сроки по договору с АУ РККА.</w:t>
      </w:r>
    </w:p>
    <w:p w14:paraId="5E3EB0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для обеспечения испытаний систем Курчевского обязать НКТП (Павлуновского и Ратайчака) сдать АУ РККА:</w:t>
      </w:r>
    </w:p>
    <w:p w14:paraId="260858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до 1 июня 1935 года 10 тысяч выстрелов для систем АПК-4 по техническим условиям 1934 года в герметической укупорке, из них: к 1 мая 1935 года – 1 тысячу выстрелов;</w:t>
      </w:r>
    </w:p>
    <w:p w14:paraId="29251A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к 15 апреля 1935 года 500 элементов выстрелов (отдельные заряды с гильзой и отдельно снаряд. корпуса) и к 1 мая 1935 года 1500 скомплектованных выстрелов к системе АПК-11 в герметической укупорке;</w:t>
      </w:r>
    </w:p>
    <w:p w14:paraId="0F7459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все подаваемые выстрелы АПК-11 должны быть снабжены холостыми втулками, в соответствии с габаритом взрывателя.</w:t>
      </w:r>
    </w:p>
    <w:p w14:paraId="7D98D9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прицелам.</w:t>
      </w:r>
    </w:p>
    <w:p w14:paraId="6BE5E14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НКО (Алксниса) к 1 мая 1935 года закончить испытание опытных образцов прицелов к системам АПК и установить тип прицела для серийного заказа.</w:t>
      </w:r>
    </w:p>
    <w:p w14:paraId="6D0054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ВООМП (Трофимова) по принятому образцу изготовить в 1935 году опытную партию прицелов в 30 штук, подготовившись к валовому производству их в 1936 году.</w:t>
      </w:r>
    </w:p>
    <w:p w14:paraId="40C43D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организации испытаний и производства.</w:t>
      </w:r>
    </w:p>
    <w:p w14:paraId="4371D5B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Поручить Павлуновскому и Королеву организовать полигоны для отстрела авиационного вооружения при соответствующих заводах.</w:t>
      </w:r>
    </w:p>
    <w:p w14:paraId="0121E17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НКО (Алксниса) технически дооборудовать 1935 году Ногинский полигон.</w:t>
      </w:r>
    </w:p>
    <w:p w14:paraId="0BD488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НКТП и НКО технически дооборудовать в 1935 году Переяславский полигон.</w:t>
      </w:r>
    </w:p>
    <w:p w14:paraId="7379D5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Отпустить из резервного фонда СНК на эти работы 6000 рублей.</w:t>
      </w:r>
    </w:p>
    <w:p w14:paraId="240C3DE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Поручить НКО (Алкснису) отработать тактику, организационное построение и правила стрельбы авиационной артиллерии в 1935 году.</w:t>
      </w:r>
    </w:p>
    <w:p w14:paraId="04AFA5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сентября 1935 года закончить всестороннее испытание (стрельба по воздушным и земным целям) АПК-4 на самолетах “ЗЕТ” и определить их боевое применение.</w:t>
      </w:r>
    </w:p>
    <w:p w14:paraId="615DBC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сентября 1935 года доложить СТО результаты проработки тактического использования авиационной артиллерии.</w:t>
      </w:r>
    </w:p>
    <w:p w14:paraId="641AFCD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НКО и НКТП укомплектовать в 1935 году Ногинский и Переяславский полигоны квалифицированными специалистами для испытания стрелкового, пушечного и бомбардировочного вооружения авиации.</w:t>
      </w:r>
    </w:p>
    <w:p w14:paraId="7A631B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По морским системам.</w:t>
      </w:r>
    </w:p>
    <w:p w14:paraId="4715667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НКТП вооружить эсминец “Карл Маркс” 305 мм парными системами “К” (орудие со станком и всеми механизмами для наводки, ПУАО, система подачи, заряжания и погреба по проекту Курчевского). Вооруженный эсминец сдать к 15 августа 1936 года.</w:t>
      </w:r>
    </w:p>
    <w:p w14:paraId="1B09694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Установить для 305 мм системы “К” на эсминце:</w:t>
      </w:r>
    </w:p>
    <w:p w14:paraId="5317C4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скорострельность 2 выстрела в минуту (на каждый ствол);</w:t>
      </w:r>
    </w:p>
    <w:p w14:paraId="51C7D2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дальность около 100 кабельтовых;</w:t>
      </w:r>
    </w:p>
    <w:p w14:paraId="79ECEE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вес снаряда – 320-330 кг.</w:t>
      </w:r>
    </w:p>
    <w:p w14:paraId="11962E5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Надзор и руководство всеми работами по осуществлению установок в целом возложить на Курчевского.</w:t>
      </w:r>
    </w:p>
    <w:p w14:paraId="497CCDB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Главморпром и Главэнергопром ЛМЗ (Пенкина и Бжезинского) к 15 апреля 1936 года изготовить эскизный проект подачи, заряжания, размещения боекомплектов на эсминцах и необходимых переделок по кораблестроительной части.</w:t>
      </w:r>
    </w:p>
    <w:p w14:paraId="53EDE1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15 мая 1935 года закончить эскизные проекты парной 305 мм установки в целом и представить в УМС РККА на утверждение. Начальнику УМС РККА проект утвердить не позже 1 июня 1935 года.</w:t>
      </w:r>
    </w:p>
    <w:p w14:paraId="67FCE91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Разработку рабочих чертежей и окончательных проектов по 305 мм установкам возложить:</w:t>
      </w:r>
    </w:p>
    <w:p w14:paraId="6C85F8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 кораблестроительной части – на Главморпром под личную ответственность Бжезинского;</w:t>
      </w:r>
    </w:p>
    <w:p w14:paraId="6A95AA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 станку с подачей и заряжанием – на металлический завод под личную ответственность Пенкина; помимо этого предложить Курчевскому разработать рабочие чертежи и окончательные проекты на заводе № 38;</w:t>
      </w:r>
    </w:p>
    <w:p w14:paraId="0AB428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 приборам управления артиллерийским огнем и центральной наводке – на Главэспром под личную ответственность Лютова.</w:t>
      </w:r>
    </w:p>
    <w:p w14:paraId="3C7B70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Тактико-технические задания по ПУАО и ЦН дает УМС РККА.</w:t>
      </w:r>
    </w:p>
    <w:p w14:paraId="6686D7F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Изготовление 305 мм установок и приборов возложить:</w:t>
      </w:r>
    </w:p>
    <w:p w14:paraId="5E1854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 стволам (4 штуки) фугасным и бронебойным снарядам (по 50 штук), лафето-пробным снарядам (60 штук) – на завод “Большевик”, под личную ответственность Руды.</w:t>
      </w:r>
    </w:p>
    <w:p w14:paraId="66634C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Курчевского представить к 1 мая 1935 года чертежи и технические условия на стволы и снаряды к 305 мм системам “К”.</w:t>
      </w:r>
    </w:p>
    <w:p w14:paraId="0A7C61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 конструкции подачи, заряжания и станкам – на металлический завод под личную ответственность Пенкина.</w:t>
      </w:r>
    </w:p>
    <w:p w14:paraId="60C04E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 кораблестроительным работам (переделка корпуса и крепления) – на Главморпром, под личную ответственность Муклевича; по монтажу механизмов, подачи и заряжания, а также станкам – на ЛМЗ под личную ответственность Пенкина.</w:t>
      </w:r>
    </w:p>
    <w:p w14:paraId="4C8DE0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По ПУАО и ЦН – на завод “Электроприбор” под личную ответственность Красикова.</w:t>
      </w:r>
    </w:p>
    <w:p w14:paraId="79DDEEB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Головным заводом по выполнению всей установки в целом и ответственным за своевременный монтаж 305 мм парных установок к 15 августа 1936 года на эсминце “Карл Маркс” назначить Ленинградский металлический завод им. Сталина, под личную ответственность Пенкина.</w:t>
      </w:r>
    </w:p>
    <w:p w14:paraId="521CEB6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Все работы по изготовлению 305 мм парных установок (2 комплекта) вышеперечисленным заводам закончить к 1 января 1936 года.</w:t>
      </w:r>
    </w:p>
    <w:p w14:paraId="3A7FBC5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lastRenderedPageBreak/>
        <w:t>Считая необходимым использование 305 мм систем “К” в береговой обороне, поручить Курчевскому разработать проект и изготовить образец установки 305 мм системы “К” на ж/д транспорте и самоходе.</w:t>
      </w:r>
    </w:p>
    <w:p w14:paraId="51691AF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НКТПрому теперь же принять все необходимые меры по подготовке к производству 12 – 305 мм установок и доложить СТО к 1 июня 1935 года.</w:t>
      </w:r>
    </w:p>
    <w:p w14:paraId="483D3D6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Ратайчака (Главхимпром) доложить СТО 1 мая 1935 года порядок комплектования всего боезапаса для системы “К” (305 мм – 152 мм).</w:t>
      </w:r>
    </w:p>
    <w:p w14:paraId="70690B3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Все работы по 305 мм системам “К” вести по смете НКО.</w:t>
      </w:r>
    </w:p>
    <w:p w14:paraId="08E0B1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III. По строительству завода № 38.</w:t>
      </w:r>
    </w:p>
    <w:p w14:paraId="2F053D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Отпустить из резервного фонда СНК в распоряжение НКТП на капитальное строительство завода № 38 в 1935 году 6800 тысяч рублей (из них на промстроительство – 5260 тысяч рублей и на жилстроительство 1540 тысяч рублей).</w:t>
      </w:r>
    </w:p>
    <w:p w14:paraId="77061F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IV.</w:t>
      </w:r>
    </w:p>
    <w:p w14:paraId="4104CA1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Ответственность за выполнение данного постановления возложить на Павлуновского.</w:t>
      </w:r>
    </w:p>
    <w:p w14:paraId="6FCA280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Контроль по выполнению данного постановления возложить на Хаханьяна (2426,1-5).</w:t>
      </w:r>
    </w:p>
    <w:p w14:paraId="396E738E"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5D53CE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7 апреля 1935 г. вышло постановление Совета Труда и Обороны об определении тактики боевого применения пушечной авиации, отработке правил и методов стрельбы. В соответствии с этим документом нарком обороны издал приказ о формировании особой авиагруппы в составе звена истребителей И-ЗЕТ, звена разведчиков Р-5 (для буксировки конусов) и одного бомбардировщика ТБ-1, предназначенного для испытаний 37-мм турельной ДРП. Особая группа была направлена в Евпаторию, где с 15 мая начала полёты. В июне состав группы расширили - к трём истребителям (№№ 13533, 13534 и 13535) добавили ещё шесть машин: №№ 13532, 13536, 13539, 13540, 13541 и 13544. Основной целью испытаний являлось определение живучести планёра И-ЗЕТ и возможных мер продления срока их службы. </w:t>
      </w:r>
    </w:p>
    <w:p w14:paraId="73201C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АПК-4 устанавливались на самолётах под углами 2°30'-3°10'. Стрельбы велись с пикирования,кабрирования,в горизонтальном полёте, одиночными выстрелами и сериями. После 100-150 выстрелов проводился тщательный осмотр конструкции истребителей с заменой, по возможности, их отдельных частей. В среднем из каждой пушки выполнили 240 выстрелов. На машинах наблюдались значительные повреждения: расходились заклёпочные швы, трещали кронштейны хвостового оперения, лопалась полотняная обшивка. Лишь отдельные экземпляры, например, истребитель с заводским №13534, смогли выдержать до 340 - 360 выстрелов. Был сделан вывод, что даже при соответствующих усилениях конструкции срок службы И-ЗЕТ при стрельбе из динамо- реактивных пушек составляет не более 400 выстрелов.</w:t>
      </w:r>
    </w:p>
    <w:p w14:paraId="31E991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ходе всевозможных испытаний и проведения стрельб большую часть серийных "ЗЕТов" постепенно довели до экземпляры. К тому времени работы по нелётного состояния. В начале 1936 г. ДРП практически свернули, и использование этих истребителей прекратилось (12005).</w:t>
      </w:r>
    </w:p>
    <w:p w14:paraId="687FE73D" w14:textId="77777777" w:rsidR="00D4105E" w:rsidRPr="00E14102" w:rsidRDefault="00D4105E" w:rsidP="00E14102">
      <w:pPr>
        <w:autoSpaceDE w:val="0"/>
        <w:autoSpaceDN w:val="0"/>
        <w:adjustRightInd w:val="0"/>
        <w:jc w:val="both"/>
        <w:rPr>
          <w:color w:val="000000" w:themeColor="text1"/>
          <w:sz w:val="16"/>
          <w:szCs w:val="16"/>
        </w:rPr>
      </w:pPr>
    </w:p>
    <w:p w14:paraId="0DD706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апреля 1935 г. вышло постановления СТО СССР, согласно которому для определения тактики и боевого применения пушечной авиации и для отработки правил стрельбы приказом НКО СССР № 065 создана особая группа: звено „ЗЕТ“, звено Р-5 и один ТБ-1, которая была направлена в Евпаторию. С 15.03.1935 г. группа бездействует в Евпатории в ожидании пушек. Требуется 6 АПК-4М и одно 37-мм ружье Курчевского».</w:t>
      </w:r>
    </w:p>
    <w:p w14:paraId="0D13A4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любом случае признавалось, что даже при соответствующих усилениях конструкции срок службы И-Z при стрельбе из ДРП составляет не более 400 выстрелов. Пока проводили всевозможные испытания, большую часть серийных ЗЕТов довели до нелетного состояния (12091). </w:t>
      </w:r>
    </w:p>
    <w:p w14:paraId="45956557" w14:textId="77777777" w:rsidR="00D4105E" w:rsidRPr="00E14102" w:rsidRDefault="00D4105E" w:rsidP="00E14102">
      <w:pPr>
        <w:autoSpaceDE w:val="0"/>
        <w:autoSpaceDN w:val="0"/>
        <w:adjustRightInd w:val="0"/>
        <w:jc w:val="both"/>
        <w:rPr>
          <w:color w:val="000000" w:themeColor="text1"/>
          <w:sz w:val="16"/>
          <w:szCs w:val="16"/>
        </w:rPr>
      </w:pPr>
    </w:p>
    <w:p w14:paraId="0F5DA7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апреля 1935 вышло постановление СТО по телемеханическим самолетам и утвердили систему вооружения ТОС (3281).</w:t>
      </w:r>
    </w:p>
    <w:p w14:paraId="16EECA3D" w14:textId="77777777" w:rsidR="00D4105E" w:rsidRPr="00E14102" w:rsidRDefault="00D4105E" w:rsidP="00E14102">
      <w:pPr>
        <w:autoSpaceDE w:val="0"/>
        <w:autoSpaceDN w:val="0"/>
        <w:adjustRightInd w:val="0"/>
        <w:jc w:val="both"/>
        <w:rPr>
          <w:color w:val="000000" w:themeColor="text1"/>
          <w:sz w:val="16"/>
          <w:szCs w:val="16"/>
        </w:rPr>
      </w:pPr>
    </w:p>
    <w:p w14:paraId="61D1549C" w14:textId="77777777" w:rsidR="008507A2" w:rsidRPr="00E14102" w:rsidRDefault="008507A2" w:rsidP="00E14102">
      <w:pPr>
        <w:jc w:val="both"/>
        <w:rPr>
          <w:color w:val="000000" w:themeColor="text1"/>
          <w:sz w:val="16"/>
          <w:szCs w:val="16"/>
        </w:rPr>
      </w:pPr>
      <w:r w:rsidRPr="00E14102">
        <w:rPr>
          <w:color w:val="000000" w:themeColor="text1"/>
          <w:sz w:val="16"/>
          <w:szCs w:val="16"/>
        </w:rPr>
        <w:t>7 апреля 1935 г. вышло постановлением Совета Труда и Обороны, в соответствии с которым велись дальнейшие работы по телемеханическим самолётам (17489).</w:t>
      </w:r>
    </w:p>
    <w:p w14:paraId="36A7C555" w14:textId="77777777" w:rsidR="008507A2" w:rsidRPr="00E14102" w:rsidRDefault="008507A2" w:rsidP="00E14102">
      <w:pPr>
        <w:jc w:val="both"/>
        <w:rPr>
          <w:color w:val="000000" w:themeColor="text1"/>
          <w:sz w:val="16"/>
          <w:szCs w:val="16"/>
        </w:rPr>
      </w:pPr>
    </w:p>
    <w:p w14:paraId="5D4A0D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7 апреля по 1 июня 1935 в Севастополе прошли гос. испытания АНТ-27бис и проводились по двум вариантам использования: дальний разведчик (ДР-4) и морской тяжелый бомбардировщик (МТБ-1) с большим летным весом. Во втором варианте ЛД снизились. Отметили почти те же дефекты, что были выявлены на заводских испытаниях. На фоне мировой техники - смотрелся блекло. Ревомендовали принять на вооружение, т.к. других - не было (6472, 33).</w:t>
      </w:r>
    </w:p>
    <w:p w14:paraId="7CF47CC7" w14:textId="77777777" w:rsidR="00D4105E" w:rsidRPr="00E14102" w:rsidRDefault="00D4105E" w:rsidP="00E14102">
      <w:pPr>
        <w:autoSpaceDE w:val="0"/>
        <w:autoSpaceDN w:val="0"/>
        <w:adjustRightInd w:val="0"/>
        <w:jc w:val="both"/>
        <w:rPr>
          <w:color w:val="000000" w:themeColor="text1"/>
          <w:sz w:val="16"/>
          <w:szCs w:val="16"/>
        </w:rPr>
      </w:pPr>
    </w:p>
    <w:p w14:paraId="4A63CE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апреля 1935 г. самолеты ЛП-5 СССР Н-68 л Водопьянова и ЛП-5 СССР Н-67 летчика Линделя, который стартовали в перелет из Москвы через Хабаровск, Анадырь к зимовке на мысе Шмидта 1 марта 1935, благополучно достигли цели. В целом, переделанные Р-5 себя оправдали, впоследствии их передали для эксплуатации в местные воздушные линии в Хабаровске (5016).</w:t>
      </w:r>
    </w:p>
    <w:p w14:paraId="71FA1B4C" w14:textId="77777777" w:rsidR="00D4105E" w:rsidRPr="00E14102" w:rsidRDefault="00D4105E" w:rsidP="00E14102">
      <w:pPr>
        <w:autoSpaceDE w:val="0"/>
        <w:autoSpaceDN w:val="0"/>
        <w:adjustRightInd w:val="0"/>
        <w:jc w:val="both"/>
        <w:rPr>
          <w:color w:val="000000" w:themeColor="text1"/>
          <w:sz w:val="16"/>
          <w:szCs w:val="16"/>
        </w:rPr>
      </w:pPr>
    </w:p>
    <w:p w14:paraId="22F630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апреля 1935 Водопьянов на Р-5 Н-67 и Линдел на Н-68, стартовавшие из Москвы 1 марта 1935, через Хабаровск и Анадырь добрались до мыса Шмидта (1638,6).</w:t>
      </w:r>
    </w:p>
    <w:p w14:paraId="59B4CB22" w14:textId="77777777" w:rsidR="00D4105E" w:rsidRPr="00E14102" w:rsidRDefault="00D4105E" w:rsidP="00E14102">
      <w:pPr>
        <w:autoSpaceDE w:val="0"/>
        <w:autoSpaceDN w:val="0"/>
        <w:adjustRightInd w:val="0"/>
        <w:jc w:val="both"/>
        <w:rPr>
          <w:color w:val="000000" w:themeColor="text1"/>
          <w:sz w:val="16"/>
          <w:szCs w:val="16"/>
        </w:rPr>
      </w:pPr>
    </w:p>
    <w:p w14:paraId="07E1C3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апреля 1935 состоялось заседание бюро комиссии совконтроля (протокол N 2) Об обеспечении самолетных заводов пулеметами ШКАС. (3104,156).</w:t>
      </w:r>
    </w:p>
    <w:p w14:paraId="7B06778F" w14:textId="77777777" w:rsidR="00D4105E" w:rsidRPr="00E14102" w:rsidRDefault="00D4105E" w:rsidP="00E14102">
      <w:pPr>
        <w:autoSpaceDE w:val="0"/>
        <w:autoSpaceDN w:val="0"/>
        <w:adjustRightInd w:val="0"/>
        <w:jc w:val="both"/>
        <w:rPr>
          <w:color w:val="000000" w:themeColor="text1"/>
          <w:sz w:val="16"/>
          <w:szCs w:val="16"/>
        </w:rPr>
      </w:pPr>
    </w:p>
    <w:p w14:paraId="4225B53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BA5DA05" w14:textId="77777777" w:rsidR="00D4105E" w:rsidRPr="00E14102" w:rsidRDefault="00D4105E" w:rsidP="00E14102">
      <w:pPr>
        <w:autoSpaceDE w:val="0"/>
        <w:autoSpaceDN w:val="0"/>
        <w:adjustRightInd w:val="0"/>
        <w:jc w:val="both"/>
        <w:rPr>
          <w:iCs/>
          <w:color w:val="000000" w:themeColor="text1"/>
          <w:sz w:val="16"/>
          <w:szCs w:val="16"/>
        </w:rPr>
      </w:pPr>
    </w:p>
    <w:p w14:paraId="64A9BF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апреля 1935 года выписка из постановления № С-34сс СТО по системам “К”</w:t>
      </w:r>
    </w:p>
    <w:p w14:paraId="5F3372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По морским системам.</w:t>
      </w:r>
    </w:p>
    <w:p w14:paraId="53A98A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Изготовление305 мм установок и приборов возложить:</w:t>
      </w:r>
    </w:p>
    <w:p w14:paraId="2A4446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 стволам (4 штуки), фугасным и бронебойным снарядам (по 50 штук), лафето-пробным снарядам (60 штук) на завод “Большевик”, под личную ответственность Руды.</w:t>
      </w:r>
    </w:p>
    <w:p w14:paraId="184015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Курчевского представить к 1 мая 1935 года чертежи и технические условия на стволы и снаряды к 305 мм системам “К” (2426,6).</w:t>
      </w:r>
    </w:p>
    <w:p w14:paraId="6D95D739" w14:textId="77777777" w:rsidR="00D4105E" w:rsidRPr="00E14102" w:rsidRDefault="00D4105E" w:rsidP="00E14102">
      <w:pPr>
        <w:autoSpaceDE w:val="0"/>
        <w:autoSpaceDN w:val="0"/>
        <w:adjustRightInd w:val="0"/>
        <w:jc w:val="both"/>
        <w:rPr>
          <w:color w:val="000000" w:themeColor="text1"/>
          <w:sz w:val="16"/>
          <w:szCs w:val="16"/>
        </w:rPr>
      </w:pPr>
    </w:p>
    <w:p w14:paraId="286E9367" w14:textId="77777777" w:rsidR="007E0DE7" w:rsidRPr="00E14102" w:rsidRDefault="007E0DE7" w:rsidP="00E14102">
      <w:pPr>
        <w:pStyle w:val="rtejustify"/>
        <w:spacing w:before="0" w:after="0"/>
        <w:rPr>
          <w:color w:val="000000" w:themeColor="text1"/>
          <w:sz w:val="16"/>
          <w:szCs w:val="16"/>
        </w:rPr>
      </w:pPr>
      <w:r w:rsidRPr="00E14102">
        <w:rPr>
          <w:rStyle w:val="a6"/>
          <w:bCs/>
          <w:i w:val="0"/>
          <w:color w:val="000000" w:themeColor="text1"/>
          <w:sz w:val="16"/>
          <w:szCs w:val="16"/>
        </w:rPr>
        <w:t>7 апреля</w:t>
      </w:r>
      <w:r w:rsidRPr="00E14102">
        <w:rPr>
          <w:color w:val="000000" w:themeColor="text1"/>
          <w:sz w:val="16"/>
          <w:szCs w:val="16"/>
        </w:rPr>
        <w:t xml:space="preserve"> 1935. Постановление СТО СССР №С</w:t>
      </w:r>
      <w:r w:rsidRPr="00E14102">
        <w:rPr>
          <w:color w:val="000000" w:themeColor="text1"/>
          <w:sz w:val="16"/>
          <w:szCs w:val="16"/>
        </w:rPr>
        <w:noBreakHyphen/>
        <w:t>34сс «По системам “К”». (ГА РФ. Ф. Р</w:t>
      </w:r>
      <w:r w:rsidRPr="00E14102">
        <w:rPr>
          <w:color w:val="000000" w:themeColor="text1"/>
          <w:sz w:val="16"/>
          <w:szCs w:val="16"/>
        </w:rPr>
        <w:noBreakHyphen/>
        <w:t>8418. Оп. 28. Д. 6. Л. 75</w:t>
      </w:r>
      <w:r w:rsidRPr="00E14102">
        <w:rPr>
          <w:color w:val="000000" w:themeColor="text1"/>
          <w:sz w:val="16"/>
          <w:szCs w:val="16"/>
        </w:rPr>
        <w:noBreakHyphen/>
        <w:t>79) (15460).</w:t>
      </w:r>
    </w:p>
    <w:p w14:paraId="3519AD43" w14:textId="77777777" w:rsidR="007E0DE7" w:rsidRPr="00E14102" w:rsidRDefault="007E0DE7" w:rsidP="00E14102">
      <w:pPr>
        <w:pStyle w:val="rtejustify"/>
        <w:spacing w:before="0" w:after="0"/>
        <w:rPr>
          <w:color w:val="000000" w:themeColor="text1"/>
          <w:sz w:val="16"/>
          <w:szCs w:val="16"/>
        </w:rPr>
      </w:pPr>
    </w:p>
    <w:p w14:paraId="3518AAD3" w14:textId="77777777" w:rsidR="007E0DE7" w:rsidRPr="00E14102" w:rsidRDefault="007E0DE7" w:rsidP="00E14102">
      <w:pPr>
        <w:pStyle w:val="rtejustify"/>
        <w:spacing w:before="0" w:after="0"/>
        <w:rPr>
          <w:color w:val="000000" w:themeColor="text1"/>
          <w:sz w:val="16"/>
          <w:szCs w:val="16"/>
        </w:rPr>
      </w:pPr>
      <w:r w:rsidRPr="00E14102">
        <w:rPr>
          <w:rStyle w:val="a6"/>
          <w:bCs/>
          <w:i w:val="0"/>
          <w:color w:val="000000" w:themeColor="text1"/>
          <w:sz w:val="16"/>
          <w:szCs w:val="16"/>
        </w:rPr>
        <w:t>7 апреля</w:t>
      </w:r>
      <w:r w:rsidRPr="00E14102">
        <w:rPr>
          <w:color w:val="000000" w:themeColor="text1"/>
          <w:sz w:val="16"/>
          <w:szCs w:val="16"/>
        </w:rPr>
        <w:t xml:space="preserve">. </w:t>
      </w:r>
      <w:hyperlink r:id="rId78" w:history="1">
        <w:r w:rsidRPr="00E14102">
          <w:rPr>
            <w:rStyle w:val="a4"/>
            <w:color w:val="000000" w:themeColor="text1"/>
            <w:sz w:val="16"/>
            <w:szCs w:val="16"/>
            <w:u w:val="none"/>
          </w:rPr>
          <w:t>Постановление СТО СССР № С</w:t>
        </w:r>
        <w:r w:rsidRPr="00E14102">
          <w:rPr>
            <w:rStyle w:val="a4"/>
            <w:color w:val="000000" w:themeColor="text1"/>
            <w:sz w:val="16"/>
            <w:szCs w:val="16"/>
            <w:u w:val="none"/>
          </w:rPr>
          <w:noBreakHyphen/>
          <w:t>35сс «О внедрении и развитии производства средств ОСТ»</w:t>
        </w:r>
      </w:hyperlink>
      <w:r w:rsidRPr="00E14102">
        <w:rPr>
          <w:color w:val="000000" w:themeColor="text1"/>
          <w:sz w:val="16"/>
          <w:szCs w:val="16"/>
        </w:rPr>
        <w:t>. (ГА РФ. Ф. Р</w:t>
      </w:r>
      <w:r w:rsidRPr="00E14102">
        <w:rPr>
          <w:color w:val="000000" w:themeColor="text1"/>
          <w:sz w:val="16"/>
          <w:szCs w:val="16"/>
        </w:rPr>
        <w:noBreakHyphen/>
        <w:t>8418. Оп. 28. Д. 6. Л. 80</w:t>
      </w:r>
      <w:r w:rsidRPr="00E14102">
        <w:rPr>
          <w:color w:val="000000" w:themeColor="text1"/>
          <w:sz w:val="16"/>
          <w:szCs w:val="16"/>
        </w:rPr>
        <w:noBreakHyphen/>
        <w:t>112а) (15460).</w:t>
      </w:r>
    </w:p>
    <w:p w14:paraId="0E5E1F12"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p>
    <w:p w14:paraId="4BDAB4C7"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7 апреля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вышло Постановление СТО СССР № С-35сс «</w:t>
      </w:r>
      <w:r w:rsidRPr="00E14102">
        <w:rPr>
          <w:rFonts w:ascii="Times New Roman" w:hAnsi="Times New Roman" w:cs="Times New Roman"/>
          <w:color w:val="000000" w:themeColor="text1"/>
          <w:sz w:val="16"/>
          <w:szCs w:val="16"/>
        </w:rPr>
        <w:t>O</w:t>
      </w:r>
      <w:r w:rsidRPr="00E14102">
        <w:rPr>
          <w:rFonts w:ascii="Times New Roman" w:hAnsi="Times New Roman" w:cs="Times New Roman"/>
          <w:color w:val="000000" w:themeColor="text1"/>
          <w:sz w:val="16"/>
          <w:szCs w:val="16"/>
          <w:lang w:val="ru-RU"/>
        </w:rPr>
        <w:t xml:space="preserve"> внедрении и развитии производства средств особой секретной техники»</w:t>
      </w:r>
    </w:p>
    <w:p w14:paraId="20561BD3"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Совершенно секретно</w:t>
      </w:r>
    </w:p>
    <w:p w14:paraId="227625DA"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Совет труда и обороны постановляет:</w:t>
      </w:r>
    </w:p>
    <w:p w14:paraId="2996D884"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Утвердить: а) представленную НКОбороны систему вооружения РККА по телемеханике и телевидению (см. приложение №</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2.1 )43; б) представленный НКОбороны и НКТП план опытных и научно-исследовательских работ по ОСТ с разбивкой этих работ на две очереди (см. приложение №</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2.2); в) представленный НКОбороны и НКТП дополнительный план заказов НКОбороны по ОСТ на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в</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размере 8800</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тыс. руб. (приложение №</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2.3).</w:t>
      </w:r>
    </w:p>
    <w:p w14:paraId="1AFCFBE6"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Утвердить представленную НКТП программу внедрения средств особой техники в народное хозяйство в части первоочередных объектов (см. приложение №</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2.4). Обязать НКТП выпустить в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сверх утвержденного плана указанную в программе гражданскую продукцию на сумму 12</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млн 353</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тыс. руб. Обязать наркоматы и организации, указанные в приложении №</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2.4, не позднее 1 мая с. г. заказать НКТП перечисленную в программе продукцию, подлежащую изготовлению и внедрению в соответствующие отрасли народного хозяйства в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за счет средств, отпущенных по их сметам на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w:t>
      </w:r>
    </w:p>
    <w:p w14:paraId="76586604"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3.</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Для обеспечения утвержденной программы по ОСТ, в соответствии с пп. 1</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и 2 настоящего постановления, обязать НКТП выпустить в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сверх основного плана:</w:t>
      </w:r>
    </w:p>
    <w:p w14:paraId="384EA1E3"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4.</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Главэспрому НКТП: а) с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приступить к внедрению в производство новых видов приемных многоэлектродных ламп, обеспечив выпуск их в течение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в</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количестве 75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тыс. шт.; б) в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выпустить 350 генераторных ламп мощностью в 100 кВт со сроком службы 2000–2500</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час.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200 ламп УКВ мощностью от 5 до 50 кВт.</w:t>
      </w:r>
    </w:p>
    <w:p w14:paraId="3BA553D0"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НКТП в кратчайший срок заключить договор на иностранную техническую помощь по производству электровакуумных приборов (генераторных ламп, приемных ламп, фотоэлементов и трубок для телевидения у фирмы «Радиокорпорейшен» и «Филипс») с покупкой образцов изделий и образцов необходимого оборудования. Предложить НКТП в месячный срок сообщить в СТО о результатах выполнения настоящего задания.</w:t>
      </w:r>
    </w:p>
    <w:p w14:paraId="508D1DF1"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6.</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Для финансирования научно-исследовательских и опытных работ для НК Обороны по утвержденному п. 1-б настоящего постановления плану отпустить в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из резервного фонда СНК СССР 9</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млн руб., из них НКТП– 7</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млн руб.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Остехбюро НК Обороны – 2</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млн руб.</w:t>
      </w:r>
    </w:p>
    <w:p w14:paraId="50C2760D"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7.</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Для развертывания производства ОСТ, а также для развития серийного производства новых типов и видов продукции ОСТ утвердить дополнительные капиталовложения по НКТП на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в</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размере 64</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млн руб.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валюты – 2</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млн руб. Указанные средства распределить следующим образом:</w:t>
      </w:r>
    </w:p>
    <w:p w14:paraId="4F379FD9"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Предложить НКТПиз своего фонда станочного оборудования обеспечить в первую очередь потребности вышеуказанных заводов.</w:t>
      </w:r>
    </w:p>
    <w:p w14:paraId="23FC1A7B"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lastRenderedPageBreak/>
        <w:t>8.</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Во изменение постановления СНКСССР №№ К-18сс от 9 мая 1934</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К-56с от 22 ноября 1934</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обязать НКТП построить к 1 октября 1936</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в</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Черемхове элементный завод мощностью 2</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млн анодных батарей. Отпустить НКТП сверх установленных лимитов (800</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тыс. руб.) на строительство этого завода 2</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млн руб. (т.</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е. всего 2</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млн 800</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тыс. руб.). Сборочные мастерские в Хабаровске не строить.</w:t>
      </w:r>
    </w:p>
    <w:p w14:paraId="1990A193"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9.</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Отпуститъ НКТП дополнительно в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из резервного фонда СНК СССР 64</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млн руб. Расход валюты в размере 2</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млн руб. покрыть: 1</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млн руб.</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за счет резервного фонда СНК СССР и 1</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млн руб.</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за счет контингентов НКТП, включая и контингенты военной промышленности.</w:t>
      </w:r>
    </w:p>
    <w:p w14:paraId="5C93436A"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10.</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Обязать НКЛегпром в месячный срок передать заводу им. Козицкого принадлежащий заводу «Марксист» корпус фабрики им. Синицына в Ленинграде для расширения производственной площади завода.</w:t>
      </w:r>
    </w:p>
    <w:p w14:paraId="188E307F"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11.</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Разрешить НКТП, в виде исключения, до 1 августа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финансирование и производство подготовительно-строительных мероприятий по осуществлению строительства по объектам, перечисленным в данном постановлении и не имеющим технических проектов и смет; обязать НКТП не позднее 1 августа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утвердить сметы.</w:t>
      </w:r>
    </w:p>
    <w:p w14:paraId="21E73CB3"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12.</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Обязать председателя Московского совета т. Булганина и председателя Ленинградского совета т. Кодацкого под их личную ответственность обеспечить в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все вышеуказанные строительства местными стройматериалами.</w:t>
      </w:r>
    </w:p>
    <w:p w14:paraId="3F105A39"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13.</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Обязать НКБТ (т. Розенгольц) реализовать заказы на импорт Глав-эспрома и БОТИ по данному постановлению, с завозом в СССР в течение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(15736).</w:t>
      </w:r>
    </w:p>
    <w:p w14:paraId="71620336"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p>
    <w:p w14:paraId="58222BE5" w14:textId="77777777" w:rsidR="007E0DE7" w:rsidRPr="00E14102" w:rsidRDefault="007E0DE7" w:rsidP="00E14102">
      <w:pPr>
        <w:jc w:val="both"/>
        <w:rPr>
          <w:rStyle w:val="a6"/>
          <w:i w:val="0"/>
          <w:color w:val="000000" w:themeColor="text1"/>
          <w:sz w:val="16"/>
          <w:szCs w:val="16"/>
        </w:rPr>
      </w:pPr>
      <w:r w:rsidRPr="00E14102">
        <w:rPr>
          <w:rStyle w:val="a6"/>
          <w:i w:val="0"/>
          <w:color w:val="000000" w:themeColor="text1"/>
          <w:sz w:val="16"/>
          <w:szCs w:val="16"/>
        </w:rPr>
        <w:t xml:space="preserve">7 апреля 1935 г. </w:t>
      </w:r>
      <w:r w:rsidRPr="00E14102">
        <w:rPr>
          <w:color w:val="000000" w:themeColor="text1"/>
          <w:sz w:val="16"/>
          <w:szCs w:val="16"/>
        </w:rPr>
        <w:t>Постановление СТО СССР № С-35сс «О внедрении и развитии производства средств особой секретной техники»</w:t>
      </w:r>
    </w:p>
    <w:p w14:paraId="31FAE501" w14:textId="77777777" w:rsidR="007E0DE7" w:rsidRPr="00E14102" w:rsidRDefault="007E0DE7"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01303806"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Совет труда и обороны постановляет:</w:t>
      </w:r>
    </w:p>
    <w:p w14:paraId="31E1FDCC"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rPr>
        <w:t>I</w:t>
      </w:r>
    </w:p>
    <w:p w14:paraId="45D236C1"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1. Утвердить: а) представленную НКОбороны систему вооружения РККА по телемеханике и телевидению (см. приложение № 1)¹*; б) представленный НКОбороны и НКТП план опытных и научно-исследовательских работ по ОСТ с разбивкой этих работ на две очереди (см. приложение № 2); в) представленный НКОбороны и НКТП дополнительный план заказов НКОбороны по ОСТ на 1935 г. в размере 8800 тыс. руб. (приложение № 3).</w:t>
      </w:r>
    </w:p>
    <w:p w14:paraId="2C8B5F92"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2. Утвердить представленную НКТП программу внедрения средств особой техники в народное хозяйство в части первоочередных объектов (см. приложение № 4). Обязать НКТП выпустить в 1935 г. сверх утвержденного плана указанную в программе гражданскую продукцию на сумму 12 млн. 353 тыс. руб. Обязать наркоматы и организации, указанные в приложении № 4, не позднее 1 мая с. г. заказать НКТП перечисленную в программе продукцию, подлежащую изготовлению и внедрению в соответствующие отрасли народного хозяйства в 1935 г. за счет средств, отпущенных по их сметам на 1935 г.</w:t>
      </w:r>
    </w:p>
    <w:p w14:paraId="79DE30EA"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3. Для обеспечения утвержденной программы по ОСТ, в соответствии с пп. 1 и 2 настоящего постановления, обязать НКТП выпустить в 1935 г. сверх основного плана: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324"/>
        <w:gridCol w:w="1712"/>
        <w:gridCol w:w="1712"/>
        <w:gridCol w:w="1575"/>
      </w:tblGrid>
      <w:tr w:rsidR="00E3599D" w:rsidRPr="00E14102" w14:paraId="41DF3972"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0768C8"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34BB087" w14:textId="77777777" w:rsidR="007E0DE7" w:rsidRPr="00E14102" w:rsidRDefault="007E0DE7" w:rsidP="00E14102">
            <w:pPr>
              <w:jc w:val="both"/>
              <w:rPr>
                <w:color w:val="000000" w:themeColor="text1"/>
                <w:sz w:val="16"/>
                <w:szCs w:val="16"/>
              </w:rPr>
            </w:pPr>
            <w:r w:rsidRPr="00E14102">
              <w:rPr>
                <w:color w:val="000000" w:themeColor="text1"/>
                <w:sz w:val="16"/>
                <w:szCs w:val="16"/>
              </w:rPr>
              <w:t>Всего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9BFE5CA" w14:textId="77777777" w:rsidR="007E0DE7" w:rsidRPr="00E14102" w:rsidRDefault="007E0DE7" w:rsidP="00E14102">
            <w:pPr>
              <w:jc w:val="both"/>
              <w:rPr>
                <w:color w:val="000000" w:themeColor="text1"/>
                <w:sz w:val="16"/>
                <w:szCs w:val="16"/>
              </w:rPr>
            </w:pPr>
            <w:r w:rsidRPr="00E14102">
              <w:rPr>
                <w:color w:val="000000" w:themeColor="text1"/>
                <w:sz w:val="16"/>
                <w:szCs w:val="16"/>
              </w:rPr>
              <w:t>Из них для:</w:t>
            </w:r>
          </w:p>
        </w:tc>
      </w:tr>
      <w:tr w:rsidR="00E3599D" w:rsidRPr="00E14102" w14:paraId="5E51A24A"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BAB93B2" w14:textId="77777777" w:rsidR="007E0DE7" w:rsidRPr="00E14102" w:rsidRDefault="007E0DE7" w:rsidP="00E14102">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4DDFDD" w14:textId="77777777" w:rsidR="007E0DE7" w:rsidRPr="00E14102" w:rsidRDefault="007E0DE7"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21712" w14:textId="77777777" w:rsidR="007E0DE7" w:rsidRPr="00E14102" w:rsidRDefault="007E0DE7" w:rsidP="00E14102">
            <w:pPr>
              <w:jc w:val="both"/>
              <w:rPr>
                <w:color w:val="000000" w:themeColor="text1"/>
                <w:sz w:val="16"/>
                <w:szCs w:val="16"/>
              </w:rPr>
            </w:pPr>
            <w:r w:rsidRPr="00E14102">
              <w:rPr>
                <w:color w:val="000000" w:themeColor="text1"/>
                <w:sz w:val="16"/>
                <w:szCs w:val="16"/>
              </w:rPr>
              <w:t>НКТП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BFC0F" w14:textId="77777777" w:rsidR="007E0DE7" w:rsidRPr="00E14102" w:rsidRDefault="007E0DE7" w:rsidP="00E14102">
            <w:pPr>
              <w:jc w:val="both"/>
              <w:rPr>
                <w:color w:val="000000" w:themeColor="text1"/>
                <w:sz w:val="16"/>
                <w:szCs w:val="16"/>
              </w:rPr>
            </w:pPr>
            <w:r w:rsidRPr="00E14102">
              <w:rPr>
                <w:color w:val="000000" w:themeColor="text1"/>
                <w:sz w:val="16"/>
                <w:szCs w:val="16"/>
              </w:rPr>
              <w:t>НКО</w:t>
            </w:r>
          </w:p>
        </w:tc>
      </w:tr>
      <w:tr w:rsidR="00E3599D" w:rsidRPr="00E14102" w14:paraId="64EC482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CBDEB9" w14:textId="77777777" w:rsidR="007E0DE7" w:rsidRPr="00E14102" w:rsidRDefault="007E0DE7" w:rsidP="00E14102">
            <w:pPr>
              <w:jc w:val="both"/>
              <w:rPr>
                <w:color w:val="000000" w:themeColor="text1"/>
                <w:sz w:val="16"/>
                <w:szCs w:val="16"/>
              </w:rPr>
            </w:pPr>
            <w:r w:rsidRPr="00E14102">
              <w:rPr>
                <w:color w:val="000000" w:themeColor="text1"/>
                <w:sz w:val="16"/>
                <w:szCs w:val="16"/>
              </w:rPr>
              <w:t>Фотоэлементов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C6A5A" w14:textId="77777777" w:rsidR="007E0DE7" w:rsidRPr="00E14102" w:rsidRDefault="007E0DE7" w:rsidP="00E14102">
            <w:pPr>
              <w:jc w:val="both"/>
              <w:rPr>
                <w:color w:val="000000" w:themeColor="text1"/>
                <w:sz w:val="16"/>
                <w:szCs w:val="16"/>
              </w:rPr>
            </w:pPr>
            <w:r w:rsidRPr="00E14102">
              <w:rPr>
                <w:color w:val="000000" w:themeColor="text1"/>
                <w:sz w:val="16"/>
                <w:szCs w:val="16"/>
              </w:rPr>
              <w:t>4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8BE03" w14:textId="77777777" w:rsidR="007E0DE7" w:rsidRPr="00E14102" w:rsidRDefault="007E0DE7" w:rsidP="00E14102">
            <w:pPr>
              <w:jc w:val="both"/>
              <w:rPr>
                <w:color w:val="000000" w:themeColor="text1"/>
                <w:sz w:val="16"/>
                <w:szCs w:val="16"/>
              </w:rPr>
            </w:pPr>
            <w:r w:rsidRPr="00E14102">
              <w:rPr>
                <w:color w:val="000000" w:themeColor="text1"/>
                <w:sz w:val="16"/>
                <w:szCs w:val="16"/>
              </w:rPr>
              <w:t>3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E3F39" w14:textId="77777777" w:rsidR="007E0DE7" w:rsidRPr="00E14102" w:rsidRDefault="007E0DE7" w:rsidP="00E14102">
            <w:pPr>
              <w:jc w:val="both"/>
              <w:rPr>
                <w:color w:val="000000" w:themeColor="text1"/>
                <w:sz w:val="16"/>
                <w:szCs w:val="16"/>
              </w:rPr>
            </w:pPr>
            <w:r w:rsidRPr="00E14102">
              <w:rPr>
                <w:color w:val="000000" w:themeColor="text1"/>
                <w:sz w:val="16"/>
                <w:szCs w:val="16"/>
              </w:rPr>
              <w:t>1 тыс.</w:t>
            </w:r>
          </w:p>
        </w:tc>
      </w:tr>
      <w:tr w:rsidR="00E3599D" w:rsidRPr="00E14102" w14:paraId="40FF18D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98967F" w14:textId="77777777" w:rsidR="007E0DE7" w:rsidRPr="00E14102" w:rsidRDefault="007E0DE7" w:rsidP="00E14102">
            <w:pPr>
              <w:jc w:val="both"/>
              <w:rPr>
                <w:color w:val="000000" w:themeColor="text1"/>
                <w:sz w:val="16"/>
                <w:szCs w:val="16"/>
              </w:rPr>
            </w:pPr>
            <w:r w:rsidRPr="00E14102">
              <w:rPr>
                <w:color w:val="000000" w:themeColor="text1"/>
                <w:sz w:val="16"/>
                <w:szCs w:val="16"/>
              </w:rPr>
              <w:t>Гетинакса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264ED" w14:textId="77777777" w:rsidR="007E0DE7" w:rsidRPr="00E14102" w:rsidRDefault="007E0DE7" w:rsidP="00E14102">
            <w:pPr>
              <w:jc w:val="both"/>
              <w:rPr>
                <w:color w:val="000000" w:themeColor="text1"/>
                <w:sz w:val="16"/>
                <w:szCs w:val="16"/>
              </w:rPr>
            </w:pPr>
            <w:r w:rsidRPr="00E14102">
              <w:rPr>
                <w:color w:val="000000" w:themeColor="text1"/>
                <w:sz w:val="16"/>
                <w:szCs w:val="16"/>
              </w:rPr>
              <w:t>75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682F6" w14:textId="77777777" w:rsidR="007E0DE7" w:rsidRPr="00E14102" w:rsidRDefault="007E0DE7" w:rsidP="00E14102">
            <w:pPr>
              <w:jc w:val="both"/>
              <w:rPr>
                <w:color w:val="000000" w:themeColor="text1"/>
                <w:sz w:val="16"/>
                <w:szCs w:val="16"/>
              </w:rPr>
            </w:pPr>
            <w:r w:rsidRPr="00E14102">
              <w:rPr>
                <w:color w:val="000000" w:themeColor="text1"/>
                <w:sz w:val="16"/>
                <w:szCs w:val="16"/>
              </w:rPr>
              <w:t>75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AC6F3"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52314F4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69C628" w14:textId="77777777" w:rsidR="007E0DE7" w:rsidRPr="00E14102" w:rsidRDefault="007E0DE7" w:rsidP="00E14102">
            <w:pPr>
              <w:jc w:val="both"/>
              <w:rPr>
                <w:color w:val="000000" w:themeColor="text1"/>
                <w:sz w:val="16"/>
                <w:szCs w:val="16"/>
              </w:rPr>
            </w:pPr>
            <w:r w:rsidRPr="00E14102">
              <w:rPr>
                <w:color w:val="000000" w:themeColor="text1"/>
                <w:sz w:val="16"/>
                <w:szCs w:val="16"/>
              </w:rPr>
              <w:t>Разных изоляционных материалов и Электроуглей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3A747" w14:textId="77777777" w:rsidR="007E0DE7" w:rsidRPr="00E14102" w:rsidRDefault="007E0DE7" w:rsidP="00E14102">
            <w:pPr>
              <w:jc w:val="both"/>
              <w:rPr>
                <w:color w:val="000000" w:themeColor="text1"/>
                <w:sz w:val="16"/>
                <w:szCs w:val="16"/>
              </w:rPr>
            </w:pPr>
            <w:r w:rsidRPr="00E14102">
              <w:rPr>
                <w:color w:val="000000" w:themeColor="text1"/>
                <w:sz w:val="16"/>
                <w:szCs w:val="16"/>
              </w:rPr>
              <w:t>1500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511DA" w14:textId="77777777" w:rsidR="007E0DE7" w:rsidRPr="00E14102" w:rsidRDefault="007E0DE7" w:rsidP="00E14102">
            <w:pPr>
              <w:jc w:val="both"/>
              <w:rPr>
                <w:color w:val="000000" w:themeColor="text1"/>
                <w:sz w:val="16"/>
                <w:szCs w:val="16"/>
              </w:rPr>
            </w:pPr>
            <w:r w:rsidRPr="00E14102">
              <w:rPr>
                <w:color w:val="000000" w:themeColor="text1"/>
                <w:sz w:val="16"/>
                <w:szCs w:val="16"/>
              </w:rPr>
              <w:t>1200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AC7D7" w14:textId="77777777" w:rsidR="007E0DE7" w:rsidRPr="00E14102" w:rsidRDefault="007E0DE7" w:rsidP="00E14102">
            <w:pPr>
              <w:jc w:val="both"/>
              <w:rPr>
                <w:color w:val="000000" w:themeColor="text1"/>
                <w:sz w:val="16"/>
                <w:szCs w:val="16"/>
              </w:rPr>
            </w:pPr>
            <w:r w:rsidRPr="00E14102">
              <w:rPr>
                <w:color w:val="000000" w:themeColor="text1"/>
                <w:sz w:val="16"/>
                <w:szCs w:val="16"/>
              </w:rPr>
              <w:t>300 тыс. руб.</w:t>
            </w:r>
          </w:p>
        </w:tc>
      </w:tr>
      <w:tr w:rsidR="00E3599D" w:rsidRPr="00E14102" w14:paraId="5B1EE7D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BC591F" w14:textId="77777777" w:rsidR="007E0DE7" w:rsidRPr="00E14102" w:rsidRDefault="007E0DE7" w:rsidP="00E14102">
            <w:pPr>
              <w:jc w:val="both"/>
              <w:rPr>
                <w:color w:val="000000" w:themeColor="text1"/>
                <w:sz w:val="16"/>
                <w:szCs w:val="16"/>
              </w:rPr>
            </w:pPr>
            <w:r w:rsidRPr="00E14102">
              <w:rPr>
                <w:color w:val="000000" w:themeColor="text1"/>
                <w:sz w:val="16"/>
                <w:szCs w:val="16"/>
              </w:rPr>
              <w:t>Радиомашинок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3E8C7" w14:textId="77777777" w:rsidR="007E0DE7" w:rsidRPr="00E14102" w:rsidRDefault="007E0DE7" w:rsidP="00E14102">
            <w:pPr>
              <w:jc w:val="both"/>
              <w:rPr>
                <w:color w:val="000000" w:themeColor="text1"/>
                <w:sz w:val="16"/>
                <w:szCs w:val="16"/>
              </w:rPr>
            </w:pPr>
            <w:r w:rsidRPr="00E14102">
              <w:rPr>
                <w:color w:val="000000" w:themeColor="text1"/>
                <w:sz w:val="16"/>
                <w:szCs w:val="16"/>
              </w:rPr>
              <w:t>2700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6176D" w14:textId="77777777" w:rsidR="007E0DE7" w:rsidRPr="00E14102" w:rsidRDefault="007E0DE7" w:rsidP="00E14102">
            <w:pPr>
              <w:jc w:val="both"/>
              <w:rPr>
                <w:color w:val="000000" w:themeColor="text1"/>
                <w:sz w:val="16"/>
                <w:szCs w:val="16"/>
              </w:rPr>
            </w:pPr>
            <w:r w:rsidRPr="00E14102">
              <w:rPr>
                <w:color w:val="000000" w:themeColor="text1"/>
                <w:sz w:val="16"/>
                <w:szCs w:val="16"/>
              </w:rPr>
              <w:t>1350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D7143" w14:textId="77777777" w:rsidR="007E0DE7" w:rsidRPr="00E14102" w:rsidRDefault="007E0DE7" w:rsidP="00E14102">
            <w:pPr>
              <w:jc w:val="both"/>
              <w:rPr>
                <w:color w:val="000000" w:themeColor="text1"/>
                <w:sz w:val="16"/>
                <w:szCs w:val="16"/>
              </w:rPr>
            </w:pPr>
            <w:r w:rsidRPr="00E14102">
              <w:rPr>
                <w:color w:val="000000" w:themeColor="text1"/>
                <w:sz w:val="16"/>
                <w:szCs w:val="16"/>
              </w:rPr>
              <w:t>1350 шт.</w:t>
            </w:r>
          </w:p>
        </w:tc>
      </w:tr>
      <w:tr w:rsidR="00E3599D" w:rsidRPr="00E14102" w14:paraId="3374594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AFF38C" w14:textId="77777777" w:rsidR="007E0DE7" w:rsidRPr="00E14102" w:rsidRDefault="007E0DE7" w:rsidP="00E14102">
            <w:pPr>
              <w:jc w:val="both"/>
              <w:rPr>
                <w:color w:val="000000" w:themeColor="text1"/>
                <w:sz w:val="16"/>
                <w:szCs w:val="16"/>
              </w:rPr>
            </w:pPr>
            <w:r w:rsidRPr="00E14102">
              <w:rPr>
                <w:color w:val="000000" w:themeColor="text1"/>
                <w:sz w:val="16"/>
                <w:szCs w:val="16"/>
              </w:rPr>
              <w:t>Свинцовых аккумуляторов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F2BA9" w14:textId="77777777" w:rsidR="007E0DE7" w:rsidRPr="00E14102" w:rsidRDefault="007E0DE7" w:rsidP="00E14102">
            <w:pPr>
              <w:jc w:val="both"/>
              <w:rPr>
                <w:color w:val="000000" w:themeColor="text1"/>
                <w:sz w:val="16"/>
                <w:szCs w:val="16"/>
              </w:rPr>
            </w:pPr>
            <w:r w:rsidRPr="00E14102">
              <w:rPr>
                <w:color w:val="000000" w:themeColor="text1"/>
                <w:sz w:val="16"/>
                <w:szCs w:val="16"/>
              </w:rPr>
              <w:t>30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AB828" w14:textId="77777777" w:rsidR="007E0DE7" w:rsidRPr="00E14102" w:rsidRDefault="007E0DE7" w:rsidP="00E14102">
            <w:pPr>
              <w:jc w:val="both"/>
              <w:rPr>
                <w:color w:val="000000" w:themeColor="text1"/>
                <w:sz w:val="16"/>
                <w:szCs w:val="16"/>
              </w:rPr>
            </w:pPr>
            <w:r w:rsidRPr="00E14102">
              <w:rPr>
                <w:color w:val="000000" w:themeColor="text1"/>
                <w:sz w:val="16"/>
                <w:szCs w:val="16"/>
              </w:rPr>
              <w:t>20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78E21" w14:textId="77777777" w:rsidR="007E0DE7" w:rsidRPr="00E14102" w:rsidRDefault="007E0DE7" w:rsidP="00E14102">
            <w:pPr>
              <w:jc w:val="both"/>
              <w:rPr>
                <w:color w:val="000000" w:themeColor="text1"/>
                <w:sz w:val="16"/>
                <w:szCs w:val="16"/>
              </w:rPr>
            </w:pPr>
            <w:r w:rsidRPr="00E14102">
              <w:rPr>
                <w:color w:val="000000" w:themeColor="text1"/>
                <w:sz w:val="16"/>
                <w:szCs w:val="16"/>
              </w:rPr>
              <w:t>10 тыс. шт.</w:t>
            </w:r>
          </w:p>
        </w:tc>
      </w:tr>
      <w:tr w:rsidR="00E3599D" w:rsidRPr="00E14102" w14:paraId="0C806AF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92226F" w14:textId="77777777" w:rsidR="007E0DE7" w:rsidRPr="00E14102" w:rsidRDefault="007E0DE7" w:rsidP="00E14102">
            <w:pPr>
              <w:jc w:val="both"/>
              <w:rPr>
                <w:color w:val="000000" w:themeColor="text1"/>
                <w:sz w:val="16"/>
                <w:szCs w:val="16"/>
              </w:rPr>
            </w:pPr>
            <w:r w:rsidRPr="00E14102">
              <w:rPr>
                <w:color w:val="000000" w:themeColor="text1"/>
                <w:sz w:val="16"/>
                <w:szCs w:val="16"/>
              </w:rPr>
              <w:t>Анодных 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FB8CB" w14:textId="77777777" w:rsidR="007E0DE7" w:rsidRPr="00E14102" w:rsidRDefault="007E0DE7" w:rsidP="00E14102">
            <w:pPr>
              <w:jc w:val="both"/>
              <w:rPr>
                <w:color w:val="000000" w:themeColor="text1"/>
                <w:sz w:val="16"/>
                <w:szCs w:val="16"/>
              </w:rPr>
            </w:pPr>
            <w:r w:rsidRPr="00E14102">
              <w:rPr>
                <w:color w:val="000000" w:themeColor="text1"/>
                <w:sz w:val="16"/>
                <w:szCs w:val="16"/>
              </w:rPr>
              <w:t>50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10DA0" w14:textId="77777777" w:rsidR="007E0DE7" w:rsidRPr="00E14102" w:rsidRDefault="007E0DE7" w:rsidP="00E14102">
            <w:pPr>
              <w:jc w:val="both"/>
              <w:rPr>
                <w:color w:val="000000" w:themeColor="text1"/>
                <w:sz w:val="16"/>
                <w:szCs w:val="16"/>
              </w:rPr>
            </w:pPr>
            <w:r w:rsidRPr="00E14102">
              <w:rPr>
                <w:color w:val="000000" w:themeColor="text1"/>
                <w:sz w:val="16"/>
                <w:szCs w:val="16"/>
              </w:rPr>
              <w:t>10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490B7" w14:textId="77777777" w:rsidR="007E0DE7" w:rsidRPr="00E14102" w:rsidRDefault="007E0DE7" w:rsidP="00E14102">
            <w:pPr>
              <w:jc w:val="both"/>
              <w:rPr>
                <w:color w:val="000000" w:themeColor="text1"/>
                <w:sz w:val="16"/>
                <w:szCs w:val="16"/>
              </w:rPr>
            </w:pPr>
            <w:r w:rsidRPr="00E14102">
              <w:rPr>
                <w:color w:val="000000" w:themeColor="text1"/>
                <w:sz w:val="16"/>
                <w:szCs w:val="16"/>
              </w:rPr>
              <w:t>40 тыс. шт.</w:t>
            </w:r>
          </w:p>
        </w:tc>
      </w:tr>
    </w:tbl>
    <w:p w14:paraId="35934457"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4. Главэспрому НКТП: а) с 1935 г. приступить к внедрению в производство новых видов приемных многоэлектродных ламп, обеспечив выпуск их в течение 1935 г. в количестве 75 тыс. шт.; б) в 1935 г. выпустить 350 генераторных ламп мощностью в 100 кВт со сроком службы 2000</w:t>
      </w:r>
      <w:r w:rsidRPr="00E14102">
        <w:rPr>
          <w:color w:val="000000" w:themeColor="text1"/>
          <w:sz w:val="16"/>
          <w:szCs w:val="16"/>
        </w:rPr>
        <w:noBreakHyphen/>
        <w:t>2500 час. и 200 ламп УКВ мощностью от 5 до 50 кВт.</w:t>
      </w:r>
    </w:p>
    <w:p w14:paraId="6DB19E8F"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5. НКТП в кратчайший срок заключить договор на иностранную техническую помощь по производству электровакуумных приборов (генераторных ламп, приемных ламп, фотоэлементов и трубок для телевидения у фирмы «Радиокорпорейшен» и «Филипс») с покупкой образцов изделий и образцов необходимого оборудования. Предложить НКТП в месячный срок сообщить в СТО о результатах выполнения настоящего задания.</w:t>
      </w:r>
    </w:p>
    <w:p w14:paraId="521CD5CD"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6. Для финансирования научно-исследовательских и опытных работ для НКОбороны по утвержденному п. 1</w:t>
      </w:r>
      <w:r w:rsidRPr="00E14102">
        <w:rPr>
          <w:color w:val="000000" w:themeColor="text1"/>
          <w:sz w:val="16"/>
          <w:szCs w:val="16"/>
        </w:rPr>
        <w:noBreakHyphen/>
        <w:t>6 настоящего постановления плану отпустить в 1935 г. из резервного фонда СНК СССР 9 млн. руб., из них НКТП — 7 млн. руб. и Остехбюро НКОбороны — 2 млн. руб.</w:t>
      </w:r>
    </w:p>
    <w:p w14:paraId="3742EB12"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7. Для развертывания производства ОСТ, а также для развития серийного производства новых типов и видов продукции ОСТ утвердить дополнительные капиталовложения по НКТП на 1935 г. в размере 64 млн. руб. и валюты — 2 млн. руб. Указанные средства распределить следующим образом: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6"/>
        <w:gridCol w:w="5362"/>
        <w:gridCol w:w="4545"/>
        <w:gridCol w:w="1080"/>
      </w:tblGrid>
      <w:tr w:rsidR="00E3599D" w:rsidRPr="00E14102" w14:paraId="4575365C"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D40E3F6" w14:textId="77777777" w:rsidR="007E0DE7" w:rsidRPr="00E14102" w:rsidRDefault="007E0DE7" w:rsidP="00E14102">
            <w:pPr>
              <w:jc w:val="both"/>
              <w:rPr>
                <w:color w:val="000000" w:themeColor="text1"/>
                <w:sz w:val="16"/>
                <w:szCs w:val="16"/>
              </w:rPr>
            </w:pPr>
            <w:r w:rsidRPr="00E14102">
              <w:rPr>
                <w:color w:val="000000" w:themeColor="text1"/>
                <w:sz w:val="16"/>
                <w:szCs w:val="16"/>
              </w:rPr>
              <w:t>№№</w:t>
            </w:r>
          </w:p>
          <w:p w14:paraId="5D7626B6" w14:textId="77777777" w:rsidR="007E0DE7" w:rsidRPr="00E14102" w:rsidRDefault="007E0DE7" w:rsidP="00E14102">
            <w:pPr>
              <w:jc w:val="both"/>
              <w:rPr>
                <w:color w:val="000000" w:themeColor="text1"/>
                <w:sz w:val="16"/>
                <w:szCs w:val="16"/>
              </w:rPr>
            </w:pPr>
            <w:r w:rsidRPr="00E14102">
              <w:rPr>
                <w:color w:val="000000" w:themeColor="text1"/>
                <w:sz w:val="16"/>
                <w:szCs w:val="16"/>
              </w:rPr>
              <w:t>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8B805DC" w14:textId="77777777" w:rsidR="007E0DE7" w:rsidRPr="00E14102" w:rsidRDefault="007E0DE7" w:rsidP="00E14102">
            <w:pPr>
              <w:jc w:val="both"/>
              <w:rPr>
                <w:color w:val="000000" w:themeColor="text1"/>
                <w:sz w:val="16"/>
                <w:szCs w:val="16"/>
              </w:rPr>
            </w:pPr>
            <w:r w:rsidRPr="00E14102">
              <w:rPr>
                <w:color w:val="000000" w:themeColor="text1"/>
                <w:sz w:val="16"/>
                <w:szCs w:val="16"/>
              </w:rPr>
              <w:t>Предприятия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C5986B" w14:textId="77777777" w:rsidR="007E0DE7" w:rsidRPr="00E14102" w:rsidRDefault="007E0DE7" w:rsidP="00E14102">
            <w:pPr>
              <w:jc w:val="both"/>
              <w:rPr>
                <w:color w:val="000000" w:themeColor="text1"/>
                <w:sz w:val="16"/>
                <w:szCs w:val="16"/>
              </w:rPr>
            </w:pPr>
            <w:r w:rsidRPr="00E14102">
              <w:rPr>
                <w:color w:val="000000" w:themeColor="text1"/>
                <w:sz w:val="16"/>
                <w:szCs w:val="16"/>
              </w:rPr>
              <w:t>Ассигнования</w:t>
            </w:r>
          </w:p>
        </w:tc>
      </w:tr>
      <w:tr w:rsidR="00E3599D" w:rsidRPr="00E14102" w14:paraId="637DC7F9"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CB33A11" w14:textId="77777777" w:rsidR="007E0DE7" w:rsidRPr="00E14102" w:rsidRDefault="007E0DE7" w:rsidP="00E14102">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C7856D" w14:textId="77777777" w:rsidR="007E0DE7" w:rsidRPr="00E14102" w:rsidRDefault="007E0DE7"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568BF9" w14:textId="77777777" w:rsidR="007E0DE7" w:rsidRPr="00E14102" w:rsidRDefault="007E0DE7" w:rsidP="00E14102">
            <w:pPr>
              <w:jc w:val="both"/>
              <w:rPr>
                <w:color w:val="000000" w:themeColor="text1"/>
                <w:sz w:val="16"/>
                <w:szCs w:val="16"/>
              </w:rPr>
            </w:pPr>
            <w:r w:rsidRPr="00E14102">
              <w:rPr>
                <w:color w:val="000000" w:themeColor="text1"/>
                <w:sz w:val="16"/>
                <w:szCs w:val="16"/>
              </w:rPr>
              <w:t>в сов. знаках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4C671" w14:textId="77777777" w:rsidR="007E0DE7" w:rsidRPr="00E14102" w:rsidRDefault="007E0DE7" w:rsidP="00E14102">
            <w:pPr>
              <w:jc w:val="both"/>
              <w:rPr>
                <w:color w:val="000000" w:themeColor="text1"/>
                <w:sz w:val="16"/>
                <w:szCs w:val="16"/>
              </w:rPr>
            </w:pPr>
            <w:r w:rsidRPr="00E14102">
              <w:rPr>
                <w:color w:val="000000" w:themeColor="text1"/>
                <w:sz w:val="16"/>
                <w:szCs w:val="16"/>
              </w:rPr>
              <w:t>в валюте</w:t>
            </w:r>
          </w:p>
        </w:tc>
      </w:tr>
      <w:tr w:rsidR="00E3599D" w:rsidRPr="00E14102" w14:paraId="6261C8F5" w14:textId="77777777" w:rsidTr="005F3FE6">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B6D7D03" w14:textId="77777777" w:rsidR="007E0DE7" w:rsidRPr="00E14102" w:rsidRDefault="007E0DE7" w:rsidP="00E14102">
            <w:pPr>
              <w:jc w:val="both"/>
              <w:rPr>
                <w:color w:val="000000" w:themeColor="text1"/>
                <w:sz w:val="16"/>
                <w:szCs w:val="16"/>
              </w:rPr>
            </w:pPr>
            <w:r w:rsidRPr="00E14102">
              <w:rPr>
                <w:color w:val="000000" w:themeColor="text1"/>
                <w:sz w:val="16"/>
                <w:szCs w:val="16"/>
              </w:rPr>
              <w:t>По Главэспрому</w:t>
            </w:r>
          </w:p>
        </w:tc>
      </w:tr>
      <w:tr w:rsidR="00E3599D" w:rsidRPr="00E14102" w14:paraId="254763F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675C5C" w14:textId="77777777" w:rsidR="007E0DE7" w:rsidRPr="00E14102" w:rsidRDefault="007E0DE7"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F0AD8" w14:textId="77777777" w:rsidR="007E0DE7" w:rsidRPr="00E14102" w:rsidRDefault="007E0DE7" w:rsidP="00E14102">
            <w:pPr>
              <w:jc w:val="both"/>
              <w:rPr>
                <w:color w:val="000000" w:themeColor="text1"/>
                <w:sz w:val="16"/>
                <w:szCs w:val="16"/>
              </w:rPr>
            </w:pPr>
            <w:r w:rsidRPr="00E14102">
              <w:rPr>
                <w:color w:val="000000" w:themeColor="text1"/>
                <w:sz w:val="16"/>
                <w:szCs w:val="16"/>
              </w:rPr>
              <w:t>«Радиоприбор» и «ЗАТЭМ»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FB6A4" w14:textId="77777777" w:rsidR="007E0DE7" w:rsidRPr="00E14102" w:rsidRDefault="007E0DE7" w:rsidP="00E14102">
            <w:pPr>
              <w:jc w:val="both"/>
              <w:rPr>
                <w:color w:val="000000" w:themeColor="text1"/>
                <w:sz w:val="16"/>
                <w:szCs w:val="16"/>
              </w:rPr>
            </w:pPr>
            <w:r w:rsidRPr="00E14102">
              <w:rPr>
                <w:color w:val="000000" w:themeColor="text1"/>
                <w:sz w:val="16"/>
                <w:szCs w:val="16"/>
              </w:rPr>
              <w:t>4300²*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E97EE" w14:textId="77777777" w:rsidR="007E0DE7" w:rsidRPr="00E14102" w:rsidRDefault="007E0DE7" w:rsidP="00E14102">
            <w:pPr>
              <w:jc w:val="both"/>
              <w:rPr>
                <w:color w:val="000000" w:themeColor="text1"/>
                <w:sz w:val="16"/>
                <w:szCs w:val="16"/>
              </w:rPr>
            </w:pPr>
            <w:r w:rsidRPr="00E14102">
              <w:rPr>
                <w:color w:val="000000" w:themeColor="text1"/>
                <w:sz w:val="16"/>
                <w:szCs w:val="16"/>
              </w:rPr>
              <w:t>210²* тыс. руб.</w:t>
            </w:r>
          </w:p>
        </w:tc>
      </w:tr>
      <w:tr w:rsidR="00E3599D" w:rsidRPr="00E14102" w14:paraId="2685EF7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D216A0" w14:textId="77777777" w:rsidR="007E0DE7" w:rsidRPr="00E14102" w:rsidRDefault="007E0DE7"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ADE8E" w14:textId="77777777" w:rsidR="007E0DE7" w:rsidRPr="00E14102" w:rsidRDefault="007E0DE7" w:rsidP="00E14102">
            <w:pPr>
              <w:jc w:val="both"/>
              <w:rPr>
                <w:color w:val="000000" w:themeColor="text1"/>
                <w:sz w:val="16"/>
                <w:szCs w:val="16"/>
              </w:rPr>
            </w:pPr>
            <w:r w:rsidRPr="00E14102">
              <w:rPr>
                <w:color w:val="000000" w:themeColor="text1"/>
                <w:sz w:val="16"/>
                <w:szCs w:val="16"/>
              </w:rPr>
              <w:t>Завод им. Козицкого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8ACAD" w14:textId="77777777" w:rsidR="007E0DE7" w:rsidRPr="00E14102" w:rsidRDefault="007E0DE7" w:rsidP="00E14102">
            <w:pPr>
              <w:jc w:val="both"/>
              <w:rPr>
                <w:color w:val="000000" w:themeColor="text1"/>
                <w:sz w:val="16"/>
                <w:szCs w:val="16"/>
              </w:rPr>
            </w:pPr>
            <w:r w:rsidRPr="00E14102">
              <w:rPr>
                <w:color w:val="000000" w:themeColor="text1"/>
                <w:sz w:val="16"/>
                <w:szCs w:val="16"/>
              </w:rPr>
              <w:t>1600²*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54071" w14:textId="77777777" w:rsidR="007E0DE7" w:rsidRPr="00E14102" w:rsidRDefault="007E0DE7" w:rsidP="00E14102">
            <w:pPr>
              <w:jc w:val="both"/>
              <w:rPr>
                <w:color w:val="000000" w:themeColor="text1"/>
                <w:sz w:val="16"/>
                <w:szCs w:val="16"/>
              </w:rPr>
            </w:pPr>
            <w:r w:rsidRPr="00E14102">
              <w:rPr>
                <w:color w:val="000000" w:themeColor="text1"/>
                <w:sz w:val="16"/>
                <w:szCs w:val="16"/>
              </w:rPr>
              <w:t>50 тыс. руб.</w:t>
            </w:r>
          </w:p>
        </w:tc>
      </w:tr>
      <w:tr w:rsidR="00E3599D" w:rsidRPr="00E14102" w14:paraId="6213DAB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417057" w14:textId="77777777" w:rsidR="007E0DE7" w:rsidRPr="00E14102" w:rsidRDefault="007E0DE7"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FA2F5" w14:textId="77777777" w:rsidR="007E0DE7" w:rsidRPr="00E14102" w:rsidRDefault="007E0DE7" w:rsidP="00E14102">
            <w:pPr>
              <w:jc w:val="both"/>
              <w:rPr>
                <w:color w:val="000000" w:themeColor="text1"/>
                <w:sz w:val="16"/>
                <w:szCs w:val="16"/>
              </w:rPr>
            </w:pPr>
            <w:r w:rsidRPr="00E14102">
              <w:rPr>
                <w:color w:val="000000" w:themeColor="text1"/>
                <w:sz w:val="16"/>
                <w:szCs w:val="16"/>
              </w:rPr>
              <w:t>Завод им. Ленина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B5376" w14:textId="77777777" w:rsidR="007E0DE7" w:rsidRPr="00E14102" w:rsidRDefault="007E0DE7" w:rsidP="00E14102">
            <w:pPr>
              <w:jc w:val="both"/>
              <w:rPr>
                <w:color w:val="000000" w:themeColor="text1"/>
                <w:sz w:val="16"/>
                <w:szCs w:val="16"/>
              </w:rPr>
            </w:pPr>
            <w:r w:rsidRPr="00E14102">
              <w:rPr>
                <w:color w:val="000000" w:themeColor="text1"/>
                <w:sz w:val="16"/>
                <w:szCs w:val="16"/>
              </w:rPr>
              <w:t>2400²*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DDA7E"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655A5EE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BB124C" w14:textId="77777777" w:rsidR="007E0DE7" w:rsidRPr="00E14102" w:rsidRDefault="007E0DE7"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9C9B2" w14:textId="77777777" w:rsidR="007E0DE7" w:rsidRPr="00E14102" w:rsidRDefault="007E0DE7" w:rsidP="00E14102">
            <w:pPr>
              <w:jc w:val="both"/>
              <w:rPr>
                <w:color w:val="000000" w:themeColor="text1"/>
                <w:sz w:val="16"/>
                <w:szCs w:val="16"/>
              </w:rPr>
            </w:pPr>
            <w:r w:rsidRPr="00E14102">
              <w:rPr>
                <w:color w:val="000000" w:themeColor="text1"/>
                <w:sz w:val="16"/>
                <w:szCs w:val="16"/>
              </w:rPr>
              <w:t>Завод им. 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B9492" w14:textId="77777777" w:rsidR="007E0DE7" w:rsidRPr="00E14102" w:rsidRDefault="007E0DE7" w:rsidP="00E14102">
            <w:pPr>
              <w:jc w:val="both"/>
              <w:rPr>
                <w:color w:val="000000" w:themeColor="text1"/>
                <w:sz w:val="16"/>
                <w:szCs w:val="16"/>
              </w:rPr>
            </w:pPr>
            <w:r w:rsidRPr="00E14102">
              <w:rPr>
                <w:color w:val="000000" w:themeColor="text1"/>
                <w:sz w:val="16"/>
                <w:szCs w:val="16"/>
              </w:rPr>
              <w:t>1450²*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F75E2"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4849D86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F8A5CE" w14:textId="77777777" w:rsidR="007E0DE7" w:rsidRPr="00E14102" w:rsidRDefault="007E0DE7"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DA568" w14:textId="77777777" w:rsidR="007E0DE7" w:rsidRPr="00E14102" w:rsidRDefault="007E0DE7" w:rsidP="00E14102">
            <w:pPr>
              <w:jc w:val="both"/>
              <w:rPr>
                <w:color w:val="000000" w:themeColor="text1"/>
                <w:sz w:val="16"/>
                <w:szCs w:val="16"/>
              </w:rPr>
            </w:pPr>
            <w:r w:rsidRPr="00E14102">
              <w:rPr>
                <w:color w:val="000000" w:themeColor="text1"/>
                <w:sz w:val="16"/>
                <w:szCs w:val="16"/>
              </w:rPr>
              <w:t>«Электроприбор»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F4AE3" w14:textId="77777777" w:rsidR="007E0DE7" w:rsidRPr="00E14102" w:rsidRDefault="007E0DE7" w:rsidP="00E14102">
            <w:pPr>
              <w:jc w:val="both"/>
              <w:rPr>
                <w:color w:val="000000" w:themeColor="text1"/>
                <w:sz w:val="16"/>
                <w:szCs w:val="16"/>
              </w:rPr>
            </w:pPr>
            <w:r w:rsidRPr="00E14102">
              <w:rPr>
                <w:color w:val="000000" w:themeColor="text1"/>
                <w:sz w:val="16"/>
                <w:szCs w:val="16"/>
              </w:rPr>
              <w:t>1650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8EAF1" w14:textId="77777777" w:rsidR="007E0DE7" w:rsidRPr="00E14102" w:rsidRDefault="007E0DE7" w:rsidP="00E14102">
            <w:pPr>
              <w:jc w:val="both"/>
              <w:rPr>
                <w:color w:val="000000" w:themeColor="text1"/>
                <w:sz w:val="16"/>
                <w:szCs w:val="16"/>
              </w:rPr>
            </w:pPr>
            <w:r w:rsidRPr="00E14102">
              <w:rPr>
                <w:color w:val="000000" w:themeColor="text1"/>
                <w:sz w:val="16"/>
                <w:szCs w:val="16"/>
              </w:rPr>
              <w:t>125²* тыс. руб.</w:t>
            </w:r>
          </w:p>
        </w:tc>
      </w:tr>
      <w:tr w:rsidR="00E3599D" w:rsidRPr="00E14102" w14:paraId="0BCE36C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007BE7" w14:textId="77777777" w:rsidR="007E0DE7" w:rsidRPr="00E14102" w:rsidRDefault="007E0DE7" w:rsidP="00E14102">
            <w:pPr>
              <w:jc w:val="both"/>
              <w:rPr>
                <w:color w:val="000000" w:themeColor="text1"/>
                <w:sz w:val="16"/>
                <w:szCs w:val="16"/>
              </w:rPr>
            </w:pPr>
            <w:r w:rsidRPr="00E1410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E3BF7" w14:textId="77777777" w:rsidR="007E0DE7" w:rsidRPr="00E14102" w:rsidRDefault="007E0DE7" w:rsidP="00E14102">
            <w:pPr>
              <w:jc w:val="both"/>
              <w:rPr>
                <w:color w:val="000000" w:themeColor="text1"/>
                <w:sz w:val="16"/>
                <w:szCs w:val="16"/>
              </w:rPr>
            </w:pPr>
            <w:r w:rsidRPr="00E14102">
              <w:rPr>
                <w:color w:val="000000" w:themeColor="text1"/>
                <w:sz w:val="16"/>
                <w:szCs w:val="16"/>
              </w:rPr>
              <w:t>«Электросигнал»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F2D8D" w14:textId="77777777" w:rsidR="007E0DE7" w:rsidRPr="00E14102" w:rsidRDefault="007E0DE7" w:rsidP="00E14102">
            <w:pPr>
              <w:jc w:val="both"/>
              <w:rPr>
                <w:color w:val="000000" w:themeColor="text1"/>
                <w:sz w:val="16"/>
                <w:szCs w:val="16"/>
              </w:rPr>
            </w:pPr>
            <w:r w:rsidRPr="00E14102">
              <w:rPr>
                <w:color w:val="000000" w:themeColor="text1"/>
                <w:sz w:val="16"/>
                <w:szCs w:val="16"/>
              </w:rPr>
              <w:t>1300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34441"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7B12196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181683" w14:textId="77777777" w:rsidR="007E0DE7" w:rsidRPr="00E14102" w:rsidRDefault="007E0DE7" w:rsidP="00E14102">
            <w:pPr>
              <w:jc w:val="both"/>
              <w:rPr>
                <w:color w:val="000000" w:themeColor="text1"/>
                <w:sz w:val="16"/>
                <w:szCs w:val="16"/>
              </w:rPr>
            </w:pPr>
            <w:r w:rsidRPr="00E1410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44522" w14:textId="77777777" w:rsidR="007E0DE7" w:rsidRPr="00E14102" w:rsidRDefault="007E0DE7" w:rsidP="00E14102">
            <w:pPr>
              <w:jc w:val="both"/>
              <w:rPr>
                <w:color w:val="000000" w:themeColor="text1"/>
                <w:sz w:val="16"/>
                <w:szCs w:val="16"/>
              </w:rPr>
            </w:pPr>
            <w:r w:rsidRPr="00E14102">
              <w:rPr>
                <w:color w:val="000000" w:themeColor="text1"/>
                <w:sz w:val="16"/>
                <w:szCs w:val="16"/>
              </w:rPr>
              <w:t>Завод им. Коминтерна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CDCE7" w14:textId="77777777" w:rsidR="007E0DE7" w:rsidRPr="00E14102" w:rsidRDefault="007E0DE7" w:rsidP="00E14102">
            <w:pPr>
              <w:jc w:val="both"/>
              <w:rPr>
                <w:color w:val="000000" w:themeColor="text1"/>
                <w:sz w:val="16"/>
                <w:szCs w:val="16"/>
              </w:rPr>
            </w:pPr>
            <w:r w:rsidRPr="00E14102">
              <w:rPr>
                <w:color w:val="000000" w:themeColor="text1"/>
                <w:sz w:val="16"/>
                <w:szCs w:val="16"/>
              </w:rPr>
              <w:t>1000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36E10" w14:textId="77777777" w:rsidR="007E0DE7" w:rsidRPr="00E14102" w:rsidRDefault="007E0DE7" w:rsidP="00E14102">
            <w:pPr>
              <w:jc w:val="both"/>
              <w:rPr>
                <w:color w:val="000000" w:themeColor="text1"/>
                <w:sz w:val="16"/>
                <w:szCs w:val="16"/>
              </w:rPr>
            </w:pPr>
            <w:r w:rsidRPr="00E14102">
              <w:rPr>
                <w:color w:val="000000" w:themeColor="text1"/>
                <w:sz w:val="16"/>
                <w:szCs w:val="16"/>
              </w:rPr>
              <w:t>25 тыс. руб.</w:t>
            </w:r>
          </w:p>
        </w:tc>
      </w:tr>
      <w:tr w:rsidR="00E3599D" w:rsidRPr="00E14102" w14:paraId="71FBF44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656A1A" w14:textId="77777777" w:rsidR="007E0DE7" w:rsidRPr="00E14102" w:rsidRDefault="007E0DE7" w:rsidP="00E14102">
            <w:pPr>
              <w:jc w:val="both"/>
              <w:rPr>
                <w:color w:val="000000" w:themeColor="text1"/>
                <w:sz w:val="16"/>
                <w:szCs w:val="16"/>
              </w:rPr>
            </w:pPr>
            <w:r w:rsidRPr="00E14102">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4074A" w14:textId="77777777" w:rsidR="007E0DE7" w:rsidRPr="00E14102" w:rsidRDefault="007E0DE7" w:rsidP="00E14102">
            <w:pPr>
              <w:jc w:val="both"/>
              <w:rPr>
                <w:color w:val="000000" w:themeColor="text1"/>
                <w:sz w:val="16"/>
                <w:szCs w:val="16"/>
              </w:rPr>
            </w:pPr>
            <w:r w:rsidRPr="00E14102">
              <w:rPr>
                <w:color w:val="000000" w:themeColor="text1"/>
                <w:sz w:val="16"/>
                <w:szCs w:val="16"/>
              </w:rPr>
              <w:t>ЦВИРЛ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8834B" w14:textId="77777777" w:rsidR="007E0DE7" w:rsidRPr="00E14102" w:rsidRDefault="007E0DE7" w:rsidP="00E14102">
            <w:pPr>
              <w:jc w:val="both"/>
              <w:rPr>
                <w:color w:val="000000" w:themeColor="text1"/>
                <w:sz w:val="16"/>
                <w:szCs w:val="16"/>
              </w:rPr>
            </w:pPr>
            <w:r w:rsidRPr="00E14102">
              <w:rPr>
                <w:color w:val="000000" w:themeColor="text1"/>
                <w:sz w:val="16"/>
                <w:szCs w:val="16"/>
              </w:rPr>
              <w:t>1000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19B34"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0CCC11A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D63DB3" w14:textId="77777777" w:rsidR="007E0DE7" w:rsidRPr="00E14102" w:rsidRDefault="007E0DE7" w:rsidP="00E14102">
            <w:pPr>
              <w:jc w:val="both"/>
              <w:rPr>
                <w:color w:val="000000" w:themeColor="text1"/>
                <w:sz w:val="16"/>
                <w:szCs w:val="16"/>
              </w:rPr>
            </w:pPr>
            <w:r w:rsidRPr="00E14102">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9DF02" w14:textId="77777777" w:rsidR="007E0DE7" w:rsidRPr="00E14102" w:rsidRDefault="007E0DE7" w:rsidP="00E14102">
            <w:pPr>
              <w:jc w:val="both"/>
              <w:rPr>
                <w:color w:val="000000" w:themeColor="text1"/>
                <w:sz w:val="16"/>
                <w:szCs w:val="16"/>
              </w:rPr>
            </w:pPr>
            <w:r w:rsidRPr="00E14102">
              <w:rPr>
                <w:color w:val="000000" w:themeColor="text1"/>
                <w:sz w:val="16"/>
                <w:szCs w:val="16"/>
              </w:rPr>
              <w:t>Центральная радиолаборатория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D278B" w14:textId="77777777" w:rsidR="007E0DE7" w:rsidRPr="00E14102" w:rsidRDefault="007E0DE7" w:rsidP="00E14102">
            <w:pPr>
              <w:jc w:val="both"/>
              <w:rPr>
                <w:color w:val="000000" w:themeColor="text1"/>
                <w:sz w:val="16"/>
                <w:szCs w:val="16"/>
              </w:rPr>
            </w:pPr>
            <w:r w:rsidRPr="00E14102">
              <w:rPr>
                <w:color w:val="000000" w:themeColor="text1"/>
                <w:sz w:val="16"/>
                <w:szCs w:val="16"/>
              </w:rPr>
              <w:t>600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2D4D8"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5421186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CEDDF6" w14:textId="77777777" w:rsidR="007E0DE7" w:rsidRPr="00E14102" w:rsidRDefault="007E0DE7" w:rsidP="00E14102">
            <w:pPr>
              <w:jc w:val="both"/>
              <w:rPr>
                <w:color w:val="000000" w:themeColor="text1"/>
                <w:sz w:val="16"/>
                <w:szCs w:val="16"/>
              </w:rPr>
            </w:pPr>
            <w:r w:rsidRPr="00E1410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5DE1E" w14:textId="77777777" w:rsidR="007E0DE7" w:rsidRPr="00E14102" w:rsidRDefault="007E0DE7" w:rsidP="00E14102">
            <w:pPr>
              <w:jc w:val="both"/>
              <w:rPr>
                <w:color w:val="000000" w:themeColor="text1"/>
                <w:sz w:val="16"/>
                <w:szCs w:val="16"/>
              </w:rPr>
            </w:pPr>
            <w:r w:rsidRPr="00E14102">
              <w:rPr>
                <w:color w:val="000000" w:themeColor="text1"/>
                <w:sz w:val="16"/>
                <w:szCs w:val="16"/>
              </w:rPr>
              <w:t>Саратовский аккумуляторный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6DDC5" w14:textId="77777777" w:rsidR="007E0DE7" w:rsidRPr="00E14102" w:rsidRDefault="007E0DE7" w:rsidP="00E14102">
            <w:pPr>
              <w:jc w:val="both"/>
              <w:rPr>
                <w:color w:val="000000" w:themeColor="text1"/>
                <w:sz w:val="16"/>
                <w:szCs w:val="16"/>
              </w:rPr>
            </w:pPr>
            <w:r w:rsidRPr="00E14102">
              <w:rPr>
                <w:color w:val="000000" w:themeColor="text1"/>
                <w:sz w:val="16"/>
                <w:szCs w:val="16"/>
              </w:rPr>
              <w:t>2350²*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6A33D"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206E2FB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B10414" w14:textId="77777777" w:rsidR="007E0DE7" w:rsidRPr="00E14102" w:rsidRDefault="007E0DE7" w:rsidP="00E14102">
            <w:pPr>
              <w:jc w:val="both"/>
              <w:rPr>
                <w:color w:val="000000" w:themeColor="text1"/>
                <w:sz w:val="16"/>
                <w:szCs w:val="16"/>
              </w:rPr>
            </w:pPr>
            <w:r w:rsidRPr="00E14102">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627A3" w14:textId="77777777" w:rsidR="007E0DE7" w:rsidRPr="00E14102" w:rsidRDefault="007E0DE7" w:rsidP="00E14102">
            <w:pPr>
              <w:jc w:val="both"/>
              <w:rPr>
                <w:color w:val="000000" w:themeColor="text1"/>
                <w:sz w:val="16"/>
                <w:szCs w:val="16"/>
              </w:rPr>
            </w:pPr>
            <w:r w:rsidRPr="00E14102">
              <w:rPr>
                <w:color w:val="000000" w:themeColor="text1"/>
                <w:sz w:val="16"/>
                <w:szCs w:val="16"/>
              </w:rPr>
              <w:t>Завод «Светлана»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B9725" w14:textId="77777777" w:rsidR="007E0DE7" w:rsidRPr="00E14102" w:rsidRDefault="007E0DE7" w:rsidP="00E14102">
            <w:pPr>
              <w:jc w:val="both"/>
              <w:rPr>
                <w:color w:val="000000" w:themeColor="text1"/>
                <w:sz w:val="16"/>
                <w:szCs w:val="16"/>
              </w:rPr>
            </w:pPr>
            <w:r w:rsidRPr="00E14102">
              <w:rPr>
                <w:color w:val="000000" w:themeColor="text1"/>
                <w:sz w:val="16"/>
                <w:szCs w:val="16"/>
              </w:rPr>
              <w:t>5050²* тыс. руб. (в том числе 1000 тыс. руб. на техпомощь и образцы)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234BD" w14:textId="77777777" w:rsidR="007E0DE7" w:rsidRPr="00E14102" w:rsidRDefault="007E0DE7" w:rsidP="00E14102">
            <w:pPr>
              <w:jc w:val="both"/>
              <w:rPr>
                <w:color w:val="000000" w:themeColor="text1"/>
                <w:sz w:val="16"/>
                <w:szCs w:val="16"/>
              </w:rPr>
            </w:pPr>
            <w:r w:rsidRPr="00E14102">
              <w:rPr>
                <w:color w:val="000000" w:themeColor="text1"/>
                <w:sz w:val="16"/>
                <w:szCs w:val="16"/>
              </w:rPr>
              <w:t>800²* тыс. руб.</w:t>
            </w:r>
          </w:p>
        </w:tc>
      </w:tr>
      <w:tr w:rsidR="00E3599D" w:rsidRPr="00E14102" w14:paraId="5CF5176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2A7A3E" w14:textId="77777777" w:rsidR="007E0DE7" w:rsidRPr="00E14102" w:rsidRDefault="007E0DE7" w:rsidP="00E14102">
            <w:pPr>
              <w:jc w:val="both"/>
              <w:rPr>
                <w:color w:val="000000" w:themeColor="text1"/>
                <w:sz w:val="16"/>
                <w:szCs w:val="16"/>
              </w:rPr>
            </w:pPr>
            <w:r w:rsidRPr="00E1410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07DC7" w14:textId="77777777" w:rsidR="007E0DE7" w:rsidRPr="00E14102" w:rsidRDefault="007E0DE7" w:rsidP="00E14102">
            <w:pPr>
              <w:jc w:val="both"/>
              <w:rPr>
                <w:color w:val="000000" w:themeColor="text1"/>
                <w:sz w:val="16"/>
                <w:szCs w:val="16"/>
              </w:rPr>
            </w:pPr>
            <w:r w:rsidRPr="00E14102">
              <w:rPr>
                <w:color w:val="000000" w:themeColor="text1"/>
                <w:sz w:val="16"/>
                <w:szCs w:val="16"/>
              </w:rPr>
              <w:t>Завод «Радиолампа» с постройкой цеха фото</w:t>
            </w:r>
            <w:r w:rsidRPr="00E14102">
              <w:rPr>
                <w:color w:val="000000" w:themeColor="text1"/>
                <w:sz w:val="16"/>
                <w:szCs w:val="16"/>
              </w:rPr>
              <w:softHyphen/>
              <w:t>элементов стоимостью 300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632A7" w14:textId="77777777" w:rsidR="007E0DE7" w:rsidRPr="00E14102" w:rsidRDefault="007E0DE7" w:rsidP="00E14102">
            <w:pPr>
              <w:jc w:val="both"/>
              <w:rPr>
                <w:color w:val="000000" w:themeColor="text1"/>
                <w:sz w:val="16"/>
                <w:szCs w:val="16"/>
              </w:rPr>
            </w:pPr>
            <w:r w:rsidRPr="00E14102">
              <w:rPr>
                <w:color w:val="000000" w:themeColor="text1"/>
                <w:sz w:val="16"/>
                <w:szCs w:val="16"/>
              </w:rPr>
              <w:t>5100²*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21824"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1434453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90EEFE" w14:textId="77777777" w:rsidR="007E0DE7" w:rsidRPr="00E14102" w:rsidRDefault="007E0DE7" w:rsidP="00E14102">
            <w:pPr>
              <w:jc w:val="both"/>
              <w:rPr>
                <w:color w:val="000000" w:themeColor="text1"/>
                <w:sz w:val="16"/>
                <w:szCs w:val="16"/>
              </w:rPr>
            </w:pPr>
            <w:r w:rsidRPr="00E14102">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D4ECD" w14:textId="77777777" w:rsidR="007E0DE7" w:rsidRPr="00E14102" w:rsidRDefault="007E0DE7" w:rsidP="00E14102">
            <w:pPr>
              <w:jc w:val="both"/>
              <w:rPr>
                <w:color w:val="000000" w:themeColor="text1"/>
                <w:sz w:val="16"/>
                <w:szCs w:val="16"/>
              </w:rPr>
            </w:pPr>
            <w:r w:rsidRPr="00E14102">
              <w:rPr>
                <w:color w:val="000000" w:themeColor="text1"/>
                <w:sz w:val="16"/>
                <w:szCs w:val="16"/>
              </w:rPr>
              <w:t>Институт телемеханики и связи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50816" w14:textId="77777777" w:rsidR="007E0DE7" w:rsidRPr="00E14102" w:rsidRDefault="007E0DE7" w:rsidP="00E14102">
            <w:pPr>
              <w:jc w:val="both"/>
              <w:rPr>
                <w:color w:val="000000" w:themeColor="text1"/>
                <w:sz w:val="16"/>
                <w:szCs w:val="16"/>
              </w:rPr>
            </w:pPr>
            <w:r w:rsidRPr="00E14102">
              <w:rPr>
                <w:color w:val="000000" w:themeColor="text1"/>
                <w:sz w:val="16"/>
                <w:szCs w:val="16"/>
              </w:rPr>
              <w:t>3850²*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3DFFA" w14:textId="77777777" w:rsidR="007E0DE7" w:rsidRPr="00E14102" w:rsidRDefault="007E0DE7" w:rsidP="00E14102">
            <w:pPr>
              <w:jc w:val="both"/>
              <w:rPr>
                <w:color w:val="000000" w:themeColor="text1"/>
                <w:sz w:val="16"/>
                <w:szCs w:val="16"/>
              </w:rPr>
            </w:pPr>
            <w:r w:rsidRPr="00E14102">
              <w:rPr>
                <w:color w:val="000000" w:themeColor="text1"/>
                <w:sz w:val="16"/>
                <w:szCs w:val="16"/>
              </w:rPr>
              <w:t>75²* тыс. руб.</w:t>
            </w:r>
          </w:p>
        </w:tc>
      </w:tr>
      <w:tr w:rsidR="00E3599D" w:rsidRPr="00E14102" w14:paraId="3003138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4F8507" w14:textId="77777777" w:rsidR="007E0DE7" w:rsidRPr="00E14102" w:rsidRDefault="007E0DE7" w:rsidP="00E14102">
            <w:pPr>
              <w:jc w:val="both"/>
              <w:rPr>
                <w:color w:val="000000" w:themeColor="text1"/>
                <w:sz w:val="16"/>
                <w:szCs w:val="16"/>
              </w:rPr>
            </w:pPr>
            <w:r w:rsidRPr="00E14102">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F2CAA" w14:textId="77777777" w:rsidR="007E0DE7" w:rsidRPr="00E14102" w:rsidRDefault="007E0DE7" w:rsidP="00E14102">
            <w:pPr>
              <w:jc w:val="both"/>
              <w:rPr>
                <w:color w:val="000000" w:themeColor="text1"/>
                <w:sz w:val="16"/>
                <w:szCs w:val="16"/>
              </w:rPr>
            </w:pPr>
            <w:r w:rsidRPr="00E14102">
              <w:rPr>
                <w:color w:val="000000" w:themeColor="text1"/>
                <w:sz w:val="16"/>
                <w:szCs w:val="16"/>
              </w:rPr>
              <w:t>Завод «Красная Заря»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16EC5" w14:textId="77777777" w:rsidR="007E0DE7" w:rsidRPr="00E14102" w:rsidRDefault="007E0DE7" w:rsidP="00E14102">
            <w:pPr>
              <w:jc w:val="both"/>
              <w:rPr>
                <w:color w:val="000000" w:themeColor="text1"/>
                <w:sz w:val="16"/>
                <w:szCs w:val="16"/>
              </w:rPr>
            </w:pPr>
            <w:r w:rsidRPr="00E14102">
              <w:rPr>
                <w:color w:val="000000" w:themeColor="text1"/>
                <w:sz w:val="16"/>
                <w:szCs w:val="16"/>
              </w:rPr>
              <w:t>3400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33C74" w14:textId="77777777" w:rsidR="007E0DE7" w:rsidRPr="00E14102" w:rsidRDefault="007E0DE7" w:rsidP="00E14102">
            <w:pPr>
              <w:jc w:val="both"/>
              <w:rPr>
                <w:color w:val="000000" w:themeColor="text1"/>
                <w:sz w:val="16"/>
                <w:szCs w:val="16"/>
              </w:rPr>
            </w:pPr>
            <w:r w:rsidRPr="00E14102">
              <w:rPr>
                <w:color w:val="000000" w:themeColor="text1"/>
                <w:sz w:val="16"/>
                <w:szCs w:val="16"/>
              </w:rPr>
              <w:t>65²* тыс. руб.</w:t>
            </w:r>
          </w:p>
        </w:tc>
      </w:tr>
      <w:tr w:rsidR="00E3599D" w:rsidRPr="00E14102" w14:paraId="39811EE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10B454"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2BA47" w14:textId="77777777" w:rsidR="007E0DE7" w:rsidRPr="00E14102" w:rsidRDefault="007E0DE7" w:rsidP="00E14102">
            <w:pPr>
              <w:jc w:val="both"/>
              <w:rPr>
                <w:color w:val="000000" w:themeColor="text1"/>
                <w:sz w:val="16"/>
                <w:szCs w:val="16"/>
              </w:rPr>
            </w:pPr>
            <w:r w:rsidRPr="00E14102">
              <w:rPr>
                <w:rStyle w:val="a6"/>
                <w:i w:val="0"/>
                <w:color w:val="000000" w:themeColor="text1"/>
                <w:sz w:val="16"/>
                <w:szCs w:val="16"/>
              </w:rPr>
              <w:t>Итого</w:t>
            </w: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125BD" w14:textId="77777777" w:rsidR="007E0DE7" w:rsidRPr="00E14102" w:rsidRDefault="007E0DE7" w:rsidP="00E14102">
            <w:pPr>
              <w:jc w:val="both"/>
              <w:rPr>
                <w:color w:val="000000" w:themeColor="text1"/>
                <w:sz w:val="16"/>
                <w:szCs w:val="16"/>
              </w:rPr>
            </w:pPr>
            <w:r w:rsidRPr="00E14102">
              <w:rPr>
                <w:color w:val="000000" w:themeColor="text1"/>
                <w:sz w:val="16"/>
                <w:szCs w:val="16"/>
              </w:rPr>
              <w:t>35 050²*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190EA" w14:textId="77777777" w:rsidR="007E0DE7" w:rsidRPr="00E14102" w:rsidRDefault="007E0DE7" w:rsidP="00E14102">
            <w:pPr>
              <w:jc w:val="both"/>
              <w:rPr>
                <w:color w:val="000000" w:themeColor="text1"/>
                <w:sz w:val="16"/>
                <w:szCs w:val="16"/>
              </w:rPr>
            </w:pPr>
            <w:r w:rsidRPr="00E14102">
              <w:rPr>
                <w:color w:val="000000" w:themeColor="text1"/>
                <w:sz w:val="16"/>
                <w:szCs w:val="16"/>
              </w:rPr>
              <w:t>1350* тыс. руб.</w:t>
            </w:r>
          </w:p>
        </w:tc>
      </w:tr>
      <w:tr w:rsidR="00E3599D" w:rsidRPr="00E14102" w14:paraId="5D0CAD09" w14:textId="77777777" w:rsidTr="005F3FE6">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98B38BE" w14:textId="77777777" w:rsidR="007E0DE7" w:rsidRPr="00E14102" w:rsidRDefault="007E0DE7" w:rsidP="00E14102">
            <w:pPr>
              <w:jc w:val="both"/>
              <w:rPr>
                <w:color w:val="000000" w:themeColor="text1"/>
                <w:sz w:val="16"/>
                <w:szCs w:val="16"/>
              </w:rPr>
            </w:pPr>
            <w:r w:rsidRPr="00E14102">
              <w:rPr>
                <w:color w:val="000000" w:themeColor="text1"/>
                <w:sz w:val="16"/>
                <w:szCs w:val="16"/>
              </w:rPr>
              <w:t>По ВОТИ</w:t>
            </w:r>
          </w:p>
        </w:tc>
      </w:tr>
      <w:tr w:rsidR="00E3599D" w:rsidRPr="00E14102" w14:paraId="425C03E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570E35" w14:textId="77777777" w:rsidR="007E0DE7" w:rsidRPr="00E14102" w:rsidRDefault="007E0DE7"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8DC3A" w14:textId="77777777" w:rsidR="007E0DE7" w:rsidRPr="00E14102" w:rsidRDefault="007E0DE7" w:rsidP="00E14102">
            <w:pPr>
              <w:jc w:val="both"/>
              <w:rPr>
                <w:color w:val="000000" w:themeColor="text1"/>
                <w:sz w:val="16"/>
                <w:szCs w:val="16"/>
              </w:rPr>
            </w:pPr>
            <w:r w:rsidRPr="00E14102">
              <w:rPr>
                <w:color w:val="000000" w:themeColor="text1"/>
                <w:sz w:val="16"/>
                <w:szCs w:val="16"/>
              </w:rPr>
              <w:t>«Авиаприбор»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54FCD" w14:textId="77777777" w:rsidR="007E0DE7" w:rsidRPr="00E14102" w:rsidRDefault="007E0DE7" w:rsidP="00E14102">
            <w:pPr>
              <w:jc w:val="both"/>
              <w:rPr>
                <w:color w:val="000000" w:themeColor="text1"/>
                <w:sz w:val="16"/>
                <w:szCs w:val="16"/>
              </w:rPr>
            </w:pPr>
            <w:r w:rsidRPr="00E14102">
              <w:rPr>
                <w:color w:val="000000" w:themeColor="text1"/>
                <w:sz w:val="16"/>
                <w:szCs w:val="16"/>
              </w:rPr>
              <w:t>6030²*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31DD2" w14:textId="77777777" w:rsidR="007E0DE7" w:rsidRPr="00E14102" w:rsidRDefault="007E0DE7" w:rsidP="00E14102">
            <w:pPr>
              <w:jc w:val="both"/>
              <w:rPr>
                <w:color w:val="000000" w:themeColor="text1"/>
                <w:sz w:val="16"/>
                <w:szCs w:val="16"/>
              </w:rPr>
            </w:pPr>
            <w:r w:rsidRPr="00E14102">
              <w:rPr>
                <w:color w:val="000000" w:themeColor="text1"/>
                <w:sz w:val="16"/>
                <w:szCs w:val="16"/>
              </w:rPr>
              <w:t>115 тыс. руб.</w:t>
            </w:r>
          </w:p>
        </w:tc>
      </w:tr>
      <w:tr w:rsidR="00E3599D" w:rsidRPr="00E14102" w14:paraId="72AF130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0E0C61" w14:textId="77777777" w:rsidR="007E0DE7" w:rsidRPr="00E14102" w:rsidRDefault="007E0DE7"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DDB2D" w14:textId="77777777" w:rsidR="007E0DE7" w:rsidRPr="00E14102" w:rsidRDefault="007E0DE7" w:rsidP="00E14102">
            <w:pPr>
              <w:jc w:val="both"/>
              <w:rPr>
                <w:color w:val="000000" w:themeColor="text1"/>
                <w:sz w:val="16"/>
                <w:szCs w:val="16"/>
              </w:rPr>
            </w:pPr>
            <w:r w:rsidRPr="00E14102">
              <w:rPr>
                <w:color w:val="000000" w:themeColor="text1"/>
                <w:sz w:val="16"/>
                <w:szCs w:val="16"/>
              </w:rPr>
              <w:t>«Метрон»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E2370" w14:textId="77777777" w:rsidR="007E0DE7" w:rsidRPr="00E14102" w:rsidRDefault="007E0DE7" w:rsidP="00E14102">
            <w:pPr>
              <w:jc w:val="both"/>
              <w:rPr>
                <w:color w:val="000000" w:themeColor="text1"/>
                <w:sz w:val="16"/>
                <w:szCs w:val="16"/>
              </w:rPr>
            </w:pPr>
            <w:r w:rsidRPr="00E14102">
              <w:rPr>
                <w:color w:val="000000" w:themeColor="text1"/>
                <w:sz w:val="16"/>
                <w:szCs w:val="16"/>
              </w:rPr>
              <w:t>1310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27493" w14:textId="77777777" w:rsidR="007E0DE7" w:rsidRPr="00E14102" w:rsidRDefault="007E0DE7" w:rsidP="00E14102">
            <w:pPr>
              <w:jc w:val="both"/>
              <w:rPr>
                <w:color w:val="000000" w:themeColor="text1"/>
                <w:sz w:val="16"/>
                <w:szCs w:val="16"/>
              </w:rPr>
            </w:pPr>
            <w:r w:rsidRPr="00E14102">
              <w:rPr>
                <w:color w:val="000000" w:themeColor="text1"/>
                <w:sz w:val="16"/>
                <w:szCs w:val="16"/>
              </w:rPr>
              <w:t>55²* тыс. руб.</w:t>
            </w:r>
          </w:p>
        </w:tc>
      </w:tr>
      <w:tr w:rsidR="00E3599D" w:rsidRPr="00E14102" w14:paraId="6F7FCE5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79D566" w14:textId="77777777" w:rsidR="007E0DE7" w:rsidRPr="00E14102" w:rsidRDefault="007E0DE7"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C8C95" w14:textId="77777777" w:rsidR="007E0DE7" w:rsidRPr="00E14102" w:rsidRDefault="007E0DE7" w:rsidP="00E14102">
            <w:pPr>
              <w:jc w:val="both"/>
              <w:rPr>
                <w:color w:val="000000" w:themeColor="text1"/>
                <w:sz w:val="16"/>
                <w:szCs w:val="16"/>
              </w:rPr>
            </w:pPr>
            <w:r w:rsidRPr="00E14102">
              <w:rPr>
                <w:color w:val="000000" w:themeColor="text1"/>
                <w:sz w:val="16"/>
                <w:szCs w:val="16"/>
              </w:rPr>
              <w:t>«Пирометр»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A2ADC" w14:textId="77777777" w:rsidR="007E0DE7" w:rsidRPr="00E14102" w:rsidRDefault="007E0DE7" w:rsidP="00E14102">
            <w:pPr>
              <w:jc w:val="both"/>
              <w:rPr>
                <w:color w:val="000000" w:themeColor="text1"/>
                <w:sz w:val="16"/>
                <w:szCs w:val="16"/>
              </w:rPr>
            </w:pPr>
            <w:r w:rsidRPr="00E14102">
              <w:rPr>
                <w:color w:val="000000" w:themeColor="text1"/>
                <w:sz w:val="16"/>
                <w:szCs w:val="16"/>
              </w:rPr>
              <w:t>1750²*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B2824" w14:textId="77777777" w:rsidR="007E0DE7" w:rsidRPr="00E14102" w:rsidRDefault="007E0DE7" w:rsidP="00E14102">
            <w:pPr>
              <w:jc w:val="both"/>
              <w:rPr>
                <w:color w:val="000000" w:themeColor="text1"/>
                <w:sz w:val="16"/>
                <w:szCs w:val="16"/>
              </w:rPr>
            </w:pPr>
            <w:r w:rsidRPr="00E14102">
              <w:rPr>
                <w:color w:val="000000" w:themeColor="text1"/>
                <w:sz w:val="16"/>
                <w:szCs w:val="16"/>
              </w:rPr>
              <w:t>150²* тыс. руб.</w:t>
            </w:r>
          </w:p>
        </w:tc>
      </w:tr>
      <w:tr w:rsidR="00E3599D" w:rsidRPr="00E14102" w14:paraId="4E4DE08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1B8A3E" w14:textId="77777777" w:rsidR="007E0DE7" w:rsidRPr="00E14102" w:rsidRDefault="007E0DE7"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32DA2" w14:textId="77777777" w:rsidR="007E0DE7" w:rsidRPr="00E14102" w:rsidRDefault="007E0DE7" w:rsidP="00E14102">
            <w:pPr>
              <w:jc w:val="both"/>
              <w:rPr>
                <w:color w:val="000000" w:themeColor="text1"/>
                <w:sz w:val="16"/>
                <w:szCs w:val="16"/>
              </w:rPr>
            </w:pPr>
            <w:r w:rsidRPr="00E14102">
              <w:rPr>
                <w:color w:val="000000" w:themeColor="text1"/>
                <w:sz w:val="16"/>
                <w:szCs w:val="16"/>
              </w:rPr>
              <w:t>«Точприбор»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A9A23" w14:textId="77777777" w:rsidR="007E0DE7" w:rsidRPr="00E14102" w:rsidRDefault="007E0DE7" w:rsidP="00E14102">
            <w:pPr>
              <w:jc w:val="both"/>
              <w:rPr>
                <w:color w:val="000000" w:themeColor="text1"/>
                <w:sz w:val="16"/>
                <w:szCs w:val="16"/>
              </w:rPr>
            </w:pPr>
            <w:r w:rsidRPr="00E14102">
              <w:rPr>
                <w:color w:val="000000" w:themeColor="text1"/>
                <w:sz w:val="16"/>
                <w:szCs w:val="16"/>
              </w:rPr>
              <w:t>1870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7F4F9" w14:textId="77777777" w:rsidR="007E0DE7" w:rsidRPr="00E14102" w:rsidRDefault="007E0DE7" w:rsidP="00E14102">
            <w:pPr>
              <w:jc w:val="both"/>
              <w:rPr>
                <w:color w:val="000000" w:themeColor="text1"/>
                <w:sz w:val="16"/>
                <w:szCs w:val="16"/>
              </w:rPr>
            </w:pPr>
            <w:r w:rsidRPr="00E14102">
              <w:rPr>
                <w:color w:val="000000" w:themeColor="text1"/>
                <w:sz w:val="16"/>
                <w:szCs w:val="16"/>
              </w:rPr>
              <w:t>50²* тыс. руб.</w:t>
            </w:r>
          </w:p>
        </w:tc>
      </w:tr>
      <w:tr w:rsidR="00E3599D" w:rsidRPr="00E14102" w14:paraId="3B9D43A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AA8BDC" w14:textId="77777777" w:rsidR="007E0DE7" w:rsidRPr="00E14102" w:rsidRDefault="007E0DE7"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425FA" w14:textId="77777777" w:rsidR="007E0DE7" w:rsidRPr="00E14102" w:rsidRDefault="007E0DE7" w:rsidP="00E14102">
            <w:pPr>
              <w:jc w:val="both"/>
              <w:rPr>
                <w:color w:val="000000" w:themeColor="text1"/>
                <w:sz w:val="16"/>
                <w:szCs w:val="16"/>
              </w:rPr>
            </w:pPr>
            <w:r w:rsidRPr="00E14102">
              <w:rPr>
                <w:color w:val="000000" w:themeColor="text1"/>
                <w:sz w:val="16"/>
                <w:szCs w:val="16"/>
              </w:rPr>
              <w:t>«Тизприбор»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1C45B" w14:textId="77777777" w:rsidR="007E0DE7" w:rsidRPr="00E14102" w:rsidRDefault="007E0DE7" w:rsidP="00E14102">
            <w:pPr>
              <w:jc w:val="both"/>
              <w:rPr>
                <w:color w:val="000000" w:themeColor="text1"/>
                <w:sz w:val="16"/>
                <w:szCs w:val="16"/>
              </w:rPr>
            </w:pPr>
            <w:r w:rsidRPr="00E14102">
              <w:rPr>
                <w:color w:val="000000" w:themeColor="text1"/>
                <w:sz w:val="16"/>
                <w:szCs w:val="16"/>
              </w:rPr>
              <w:t>2100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6BD69" w14:textId="77777777" w:rsidR="007E0DE7" w:rsidRPr="00E14102" w:rsidRDefault="007E0DE7" w:rsidP="00E14102">
            <w:pPr>
              <w:jc w:val="both"/>
              <w:rPr>
                <w:color w:val="000000" w:themeColor="text1"/>
                <w:sz w:val="16"/>
                <w:szCs w:val="16"/>
              </w:rPr>
            </w:pPr>
            <w:r w:rsidRPr="00E14102">
              <w:rPr>
                <w:color w:val="000000" w:themeColor="text1"/>
                <w:sz w:val="16"/>
                <w:szCs w:val="16"/>
              </w:rPr>
              <w:t>100²* тыс. руб.</w:t>
            </w:r>
          </w:p>
        </w:tc>
      </w:tr>
      <w:tr w:rsidR="00E3599D" w:rsidRPr="00E14102" w14:paraId="5C3C888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385334" w14:textId="77777777" w:rsidR="007E0DE7" w:rsidRPr="00E14102" w:rsidRDefault="007E0DE7" w:rsidP="00E14102">
            <w:pPr>
              <w:jc w:val="both"/>
              <w:rPr>
                <w:color w:val="000000" w:themeColor="text1"/>
                <w:sz w:val="16"/>
                <w:szCs w:val="16"/>
              </w:rPr>
            </w:pPr>
            <w:r w:rsidRPr="00E1410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CB1F4" w14:textId="77777777" w:rsidR="007E0DE7" w:rsidRPr="00E14102" w:rsidRDefault="007E0DE7" w:rsidP="00E14102">
            <w:pPr>
              <w:jc w:val="both"/>
              <w:rPr>
                <w:color w:val="000000" w:themeColor="text1"/>
                <w:sz w:val="16"/>
                <w:szCs w:val="16"/>
              </w:rPr>
            </w:pPr>
            <w:r w:rsidRPr="00E14102">
              <w:rPr>
                <w:color w:val="000000" w:themeColor="text1"/>
                <w:sz w:val="16"/>
                <w:szCs w:val="16"/>
              </w:rPr>
              <w:t>Осконбюро № 1 и 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3C318" w14:textId="77777777" w:rsidR="007E0DE7" w:rsidRPr="00E14102" w:rsidRDefault="007E0DE7" w:rsidP="00E14102">
            <w:pPr>
              <w:jc w:val="both"/>
              <w:rPr>
                <w:color w:val="000000" w:themeColor="text1"/>
                <w:sz w:val="16"/>
                <w:szCs w:val="16"/>
              </w:rPr>
            </w:pPr>
            <w:r w:rsidRPr="00E14102">
              <w:rPr>
                <w:color w:val="000000" w:themeColor="text1"/>
                <w:sz w:val="16"/>
                <w:szCs w:val="16"/>
              </w:rPr>
              <w:t>2440²*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04750" w14:textId="77777777" w:rsidR="007E0DE7" w:rsidRPr="00E14102" w:rsidRDefault="007E0DE7" w:rsidP="00E14102">
            <w:pPr>
              <w:jc w:val="both"/>
              <w:rPr>
                <w:color w:val="000000" w:themeColor="text1"/>
                <w:sz w:val="16"/>
                <w:szCs w:val="16"/>
              </w:rPr>
            </w:pPr>
            <w:r w:rsidRPr="00E14102">
              <w:rPr>
                <w:color w:val="000000" w:themeColor="text1"/>
                <w:sz w:val="16"/>
                <w:szCs w:val="16"/>
              </w:rPr>
              <w:t>180²*тыс. руб.</w:t>
            </w:r>
          </w:p>
        </w:tc>
      </w:tr>
      <w:tr w:rsidR="00E3599D" w:rsidRPr="00E14102" w14:paraId="1AFAE29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4D786F" w14:textId="77777777" w:rsidR="007E0DE7" w:rsidRPr="00E14102" w:rsidRDefault="007E0DE7" w:rsidP="00E14102">
            <w:pPr>
              <w:jc w:val="both"/>
              <w:rPr>
                <w:color w:val="000000" w:themeColor="text1"/>
                <w:sz w:val="16"/>
                <w:szCs w:val="16"/>
              </w:rPr>
            </w:pPr>
            <w:r w:rsidRPr="00E1410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1FD4F" w14:textId="77777777" w:rsidR="007E0DE7" w:rsidRPr="00E14102" w:rsidRDefault="007E0DE7" w:rsidP="00E14102">
            <w:pPr>
              <w:jc w:val="both"/>
              <w:rPr>
                <w:color w:val="000000" w:themeColor="text1"/>
                <w:sz w:val="16"/>
                <w:szCs w:val="16"/>
              </w:rPr>
            </w:pPr>
            <w:r w:rsidRPr="00E14102">
              <w:rPr>
                <w:color w:val="000000" w:themeColor="text1"/>
                <w:sz w:val="16"/>
                <w:szCs w:val="16"/>
              </w:rPr>
              <w:t>«Метприбор»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FA85F" w14:textId="77777777" w:rsidR="007E0DE7" w:rsidRPr="00E14102" w:rsidRDefault="007E0DE7" w:rsidP="00E14102">
            <w:pPr>
              <w:jc w:val="both"/>
              <w:rPr>
                <w:color w:val="000000" w:themeColor="text1"/>
                <w:sz w:val="16"/>
                <w:szCs w:val="16"/>
              </w:rPr>
            </w:pPr>
            <w:r w:rsidRPr="00E14102">
              <w:rPr>
                <w:color w:val="000000" w:themeColor="text1"/>
                <w:sz w:val="16"/>
                <w:szCs w:val="16"/>
              </w:rPr>
              <w:t>600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B3B32"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18591A8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D31372"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DC16D" w14:textId="77777777" w:rsidR="007E0DE7" w:rsidRPr="00E14102" w:rsidRDefault="007E0DE7" w:rsidP="00E14102">
            <w:pPr>
              <w:jc w:val="both"/>
              <w:rPr>
                <w:color w:val="000000" w:themeColor="text1"/>
                <w:sz w:val="16"/>
                <w:szCs w:val="16"/>
              </w:rPr>
            </w:pPr>
            <w:r w:rsidRPr="00E14102">
              <w:rPr>
                <w:rStyle w:val="a6"/>
                <w:i w:val="0"/>
                <w:color w:val="000000" w:themeColor="text1"/>
                <w:sz w:val="16"/>
                <w:szCs w:val="16"/>
              </w:rPr>
              <w:t>Итого</w:t>
            </w:r>
            <w:r w:rsidRPr="00E1410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2313E" w14:textId="77777777" w:rsidR="007E0DE7" w:rsidRPr="00E14102" w:rsidRDefault="007E0DE7" w:rsidP="00E14102">
            <w:pPr>
              <w:jc w:val="both"/>
              <w:rPr>
                <w:color w:val="000000" w:themeColor="text1"/>
                <w:sz w:val="16"/>
                <w:szCs w:val="16"/>
              </w:rPr>
            </w:pPr>
            <w:r w:rsidRPr="00E14102">
              <w:rPr>
                <w:color w:val="000000" w:themeColor="text1"/>
                <w:sz w:val="16"/>
                <w:szCs w:val="16"/>
              </w:rPr>
              <w:t>16 100²*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7C54F" w14:textId="77777777" w:rsidR="007E0DE7" w:rsidRPr="00E14102" w:rsidRDefault="007E0DE7" w:rsidP="00E14102">
            <w:pPr>
              <w:jc w:val="both"/>
              <w:rPr>
                <w:color w:val="000000" w:themeColor="text1"/>
                <w:sz w:val="16"/>
                <w:szCs w:val="16"/>
              </w:rPr>
            </w:pPr>
            <w:r w:rsidRPr="00E14102">
              <w:rPr>
                <w:color w:val="000000" w:themeColor="text1"/>
                <w:sz w:val="16"/>
                <w:szCs w:val="16"/>
              </w:rPr>
              <w:t>650²* тыс. руб.</w:t>
            </w:r>
          </w:p>
        </w:tc>
      </w:tr>
      <w:tr w:rsidR="00E3599D" w:rsidRPr="00E14102" w14:paraId="03F46332" w14:textId="77777777" w:rsidTr="005F3FE6">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D5A802F" w14:textId="77777777" w:rsidR="007E0DE7" w:rsidRPr="00E14102" w:rsidRDefault="007E0DE7" w:rsidP="00E14102">
            <w:pPr>
              <w:jc w:val="both"/>
              <w:rPr>
                <w:color w:val="000000" w:themeColor="text1"/>
                <w:sz w:val="16"/>
                <w:szCs w:val="16"/>
              </w:rPr>
            </w:pPr>
            <w:r w:rsidRPr="00E14102">
              <w:rPr>
                <w:color w:val="000000" w:themeColor="text1"/>
                <w:sz w:val="16"/>
                <w:szCs w:val="16"/>
              </w:rPr>
              <w:t>По Главэнергопрому</w:t>
            </w:r>
          </w:p>
        </w:tc>
      </w:tr>
      <w:tr w:rsidR="00E3599D" w:rsidRPr="00E14102" w14:paraId="009536C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8E19A7" w14:textId="77777777" w:rsidR="007E0DE7" w:rsidRPr="00E14102" w:rsidRDefault="007E0DE7"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B071D" w14:textId="77777777" w:rsidR="007E0DE7" w:rsidRPr="00E14102" w:rsidRDefault="007E0DE7" w:rsidP="00E14102">
            <w:pPr>
              <w:jc w:val="both"/>
              <w:rPr>
                <w:color w:val="000000" w:themeColor="text1"/>
                <w:sz w:val="16"/>
                <w:szCs w:val="16"/>
              </w:rPr>
            </w:pPr>
            <w:r w:rsidRPr="00E14102">
              <w:rPr>
                <w:color w:val="000000" w:themeColor="text1"/>
                <w:sz w:val="16"/>
                <w:szCs w:val="16"/>
              </w:rPr>
              <w:t>Завод «Изолит»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CCF82" w14:textId="77777777" w:rsidR="007E0DE7" w:rsidRPr="00E14102" w:rsidRDefault="007E0DE7" w:rsidP="00E14102">
            <w:pPr>
              <w:jc w:val="both"/>
              <w:rPr>
                <w:color w:val="000000" w:themeColor="text1"/>
                <w:sz w:val="16"/>
                <w:szCs w:val="16"/>
              </w:rPr>
            </w:pPr>
            <w:r w:rsidRPr="00E14102">
              <w:rPr>
                <w:color w:val="000000" w:themeColor="text1"/>
                <w:sz w:val="16"/>
                <w:szCs w:val="16"/>
              </w:rPr>
              <w:t>2000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17E41"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679FEAB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63BF8B" w14:textId="77777777" w:rsidR="007E0DE7" w:rsidRPr="00E14102" w:rsidRDefault="007E0DE7"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8215F" w14:textId="77777777" w:rsidR="007E0DE7" w:rsidRPr="00E14102" w:rsidRDefault="007E0DE7" w:rsidP="00E14102">
            <w:pPr>
              <w:jc w:val="both"/>
              <w:rPr>
                <w:color w:val="000000" w:themeColor="text1"/>
                <w:sz w:val="16"/>
                <w:szCs w:val="16"/>
              </w:rPr>
            </w:pPr>
            <w:r w:rsidRPr="00E14102">
              <w:rPr>
                <w:color w:val="000000" w:themeColor="text1"/>
                <w:sz w:val="16"/>
                <w:szCs w:val="16"/>
              </w:rPr>
              <w:t>Завод «Электроугли» в Кудинове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511DA" w14:textId="77777777" w:rsidR="007E0DE7" w:rsidRPr="00E14102" w:rsidRDefault="007E0DE7" w:rsidP="00E14102">
            <w:pPr>
              <w:jc w:val="both"/>
              <w:rPr>
                <w:color w:val="000000" w:themeColor="text1"/>
                <w:sz w:val="16"/>
                <w:szCs w:val="16"/>
              </w:rPr>
            </w:pPr>
            <w:r w:rsidRPr="00E14102">
              <w:rPr>
                <w:color w:val="000000" w:themeColor="text1"/>
                <w:sz w:val="16"/>
                <w:szCs w:val="16"/>
              </w:rPr>
              <w:t>1850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AB7F5"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27C0713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FCA84D" w14:textId="77777777" w:rsidR="007E0DE7" w:rsidRPr="00E14102" w:rsidRDefault="007E0DE7"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17DCC" w14:textId="77777777" w:rsidR="007E0DE7" w:rsidRPr="00E14102" w:rsidRDefault="007E0DE7" w:rsidP="00E14102">
            <w:pPr>
              <w:jc w:val="both"/>
              <w:rPr>
                <w:color w:val="000000" w:themeColor="text1"/>
                <w:sz w:val="16"/>
                <w:szCs w:val="16"/>
              </w:rPr>
            </w:pPr>
            <w:r w:rsidRPr="00E14102">
              <w:rPr>
                <w:color w:val="000000" w:themeColor="text1"/>
                <w:sz w:val="16"/>
                <w:szCs w:val="16"/>
              </w:rPr>
              <w:t>Завод «МЭИЗ»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3BD46" w14:textId="77777777" w:rsidR="007E0DE7" w:rsidRPr="00E14102" w:rsidRDefault="007E0DE7" w:rsidP="00E14102">
            <w:pPr>
              <w:jc w:val="both"/>
              <w:rPr>
                <w:color w:val="000000" w:themeColor="text1"/>
                <w:sz w:val="16"/>
                <w:szCs w:val="16"/>
              </w:rPr>
            </w:pPr>
            <w:r w:rsidRPr="00E14102">
              <w:rPr>
                <w:color w:val="000000" w:themeColor="text1"/>
                <w:sz w:val="16"/>
                <w:szCs w:val="16"/>
              </w:rPr>
              <w:t>200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0E8D1"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552E2EA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C43C46" w14:textId="77777777" w:rsidR="007E0DE7" w:rsidRPr="00E14102" w:rsidRDefault="007E0DE7" w:rsidP="00E14102">
            <w:pPr>
              <w:jc w:val="both"/>
              <w:rPr>
                <w:color w:val="000000" w:themeColor="text1"/>
                <w:sz w:val="16"/>
                <w:szCs w:val="16"/>
              </w:rPr>
            </w:pPr>
            <w:r w:rsidRPr="00E14102">
              <w:rPr>
                <w:color w:val="000000" w:themeColor="text1"/>
                <w:sz w:val="16"/>
                <w:szCs w:val="16"/>
              </w:rPr>
              <w:lastRenderedPageBreak/>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9157C" w14:textId="77777777" w:rsidR="007E0DE7" w:rsidRPr="00E14102" w:rsidRDefault="007E0DE7" w:rsidP="00E14102">
            <w:pPr>
              <w:jc w:val="both"/>
              <w:rPr>
                <w:color w:val="000000" w:themeColor="text1"/>
                <w:sz w:val="16"/>
                <w:szCs w:val="16"/>
              </w:rPr>
            </w:pPr>
            <w:r w:rsidRPr="00E14102">
              <w:rPr>
                <w:color w:val="000000" w:themeColor="text1"/>
                <w:sz w:val="16"/>
                <w:szCs w:val="16"/>
              </w:rPr>
              <w:t>Завод им. Лепсе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9F789" w14:textId="77777777" w:rsidR="007E0DE7" w:rsidRPr="00E14102" w:rsidRDefault="007E0DE7" w:rsidP="00E14102">
            <w:pPr>
              <w:jc w:val="both"/>
              <w:rPr>
                <w:color w:val="000000" w:themeColor="text1"/>
                <w:sz w:val="16"/>
                <w:szCs w:val="16"/>
              </w:rPr>
            </w:pPr>
            <w:r w:rsidRPr="00E14102">
              <w:rPr>
                <w:color w:val="000000" w:themeColor="text1"/>
                <w:sz w:val="16"/>
                <w:szCs w:val="16"/>
              </w:rPr>
              <w:t>2150²*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A132B"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7C04000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C01122" w14:textId="77777777" w:rsidR="007E0DE7" w:rsidRPr="00E14102" w:rsidRDefault="007E0DE7"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E3119" w14:textId="77777777" w:rsidR="007E0DE7" w:rsidRPr="00E14102" w:rsidRDefault="007E0DE7" w:rsidP="00E14102">
            <w:pPr>
              <w:jc w:val="both"/>
              <w:rPr>
                <w:color w:val="000000" w:themeColor="text1"/>
                <w:sz w:val="16"/>
                <w:szCs w:val="16"/>
              </w:rPr>
            </w:pPr>
            <w:r w:rsidRPr="00E14102">
              <w:rPr>
                <w:color w:val="000000" w:themeColor="text1"/>
                <w:sz w:val="16"/>
                <w:szCs w:val="16"/>
              </w:rPr>
              <w:t>«Мосэлемент»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E6D91" w14:textId="77777777" w:rsidR="007E0DE7" w:rsidRPr="00E14102" w:rsidRDefault="007E0DE7" w:rsidP="00E14102">
            <w:pPr>
              <w:jc w:val="both"/>
              <w:rPr>
                <w:color w:val="000000" w:themeColor="text1"/>
                <w:sz w:val="16"/>
                <w:szCs w:val="16"/>
              </w:rPr>
            </w:pPr>
            <w:r w:rsidRPr="00E14102">
              <w:rPr>
                <w:color w:val="000000" w:themeColor="text1"/>
                <w:sz w:val="16"/>
                <w:szCs w:val="16"/>
              </w:rPr>
              <w:t>2000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E1338"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2DE9E46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18DE4" w14:textId="77777777" w:rsidR="007E0DE7" w:rsidRPr="00E14102" w:rsidRDefault="007E0DE7" w:rsidP="00E14102">
            <w:pPr>
              <w:jc w:val="both"/>
              <w:rPr>
                <w:color w:val="000000" w:themeColor="text1"/>
                <w:sz w:val="16"/>
                <w:szCs w:val="16"/>
              </w:rPr>
            </w:pPr>
            <w:r w:rsidRPr="00E1410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D4828" w14:textId="77777777" w:rsidR="007E0DE7" w:rsidRPr="00E14102" w:rsidRDefault="007E0DE7" w:rsidP="00E14102">
            <w:pPr>
              <w:jc w:val="both"/>
              <w:rPr>
                <w:color w:val="000000" w:themeColor="text1"/>
                <w:sz w:val="16"/>
                <w:szCs w:val="16"/>
              </w:rPr>
            </w:pPr>
            <w:r w:rsidRPr="00E14102">
              <w:rPr>
                <w:color w:val="000000" w:themeColor="text1"/>
                <w:sz w:val="16"/>
                <w:szCs w:val="16"/>
              </w:rPr>
              <w:t>«Востсибэлемент»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608AF" w14:textId="77777777" w:rsidR="007E0DE7" w:rsidRPr="00E14102" w:rsidRDefault="007E0DE7" w:rsidP="00E14102">
            <w:pPr>
              <w:jc w:val="both"/>
              <w:rPr>
                <w:color w:val="000000" w:themeColor="text1"/>
                <w:sz w:val="16"/>
                <w:szCs w:val="16"/>
              </w:rPr>
            </w:pPr>
            <w:r w:rsidRPr="00E14102">
              <w:rPr>
                <w:color w:val="000000" w:themeColor="text1"/>
                <w:sz w:val="16"/>
                <w:szCs w:val="16"/>
              </w:rPr>
              <w:t>1000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81FD4"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5DE86FA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EC1BD6" w14:textId="77777777" w:rsidR="007E0DE7" w:rsidRPr="00E14102" w:rsidRDefault="007E0DE7" w:rsidP="00E14102">
            <w:pPr>
              <w:jc w:val="both"/>
              <w:rPr>
                <w:color w:val="000000" w:themeColor="text1"/>
                <w:sz w:val="16"/>
                <w:szCs w:val="16"/>
              </w:rPr>
            </w:pPr>
            <w:r w:rsidRPr="00E1410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4A11A" w14:textId="77777777" w:rsidR="007E0DE7" w:rsidRPr="00E14102" w:rsidRDefault="007E0DE7" w:rsidP="00E14102">
            <w:pPr>
              <w:jc w:val="both"/>
              <w:rPr>
                <w:color w:val="000000" w:themeColor="text1"/>
                <w:sz w:val="16"/>
                <w:szCs w:val="16"/>
              </w:rPr>
            </w:pPr>
            <w:r w:rsidRPr="00E14102">
              <w:rPr>
                <w:color w:val="000000" w:themeColor="text1"/>
                <w:sz w:val="16"/>
                <w:szCs w:val="16"/>
              </w:rPr>
              <w:t>«Ленинская искра»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563C6" w14:textId="77777777" w:rsidR="007E0DE7" w:rsidRPr="00E14102" w:rsidRDefault="007E0DE7" w:rsidP="00E14102">
            <w:pPr>
              <w:jc w:val="both"/>
              <w:rPr>
                <w:color w:val="000000" w:themeColor="text1"/>
                <w:sz w:val="16"/>
                <w:szCs w:val="16"/>
              </w:rPr>
            </w:pPr>
            <w:r w:rsidRPr="00E14102">
              <w:rPr>
                <w:color w:val="000000" w:themeColor="text1"/>
                <w:sz w:val="16"/>
                <w:szCs w:val="16"/>
              </w:rPr>
              <w:t>550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17593"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194938A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103F0C" w14:textId="77777777" w:rsidR="007E0DE7" w:rsidRPr="00E14102" w:rsidRDefault="007E0DE7" w:rsidP="00E14102">
            <w:pPr>
              <w:jc w:val="both"/>
              <w:rPr>
                <w:color w:val="000000" w:themeColor="text1"/>
                <w:sz w:val="16"/>
                <w:szCs w:val="16"/>
              </w:rPr>
            </w:pPr>
            <w:r w:rsidRPr="00E14102">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F7FFC" w14:textId="77777777" w:rsidR="007E0DE7" w:rsidRPr="00E14102" w:rsidRDefault="007E0DE7" w:rsidP="00E14102">
            <w:pPr>
              <w:jc w:val="both"/>
              <w:rPr>
                <w:color w:val="000000" w:themeColor="text1"/>
                <w:sz w:val="16"/>
                <w:szCs w:val="16"/>
              </w:rPr>
            </w:pPr>
            <w:r w:rsidRPr="00E14102">
              <w:rPr>
                <w:color w:val="000000" w:themeColor="text1"/>
                <w:sz w:val="16"/>
                <w:szCs w:val="16"/>
              </w:rPr>
              <w:t>Электрокомбинат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DAB1B" w14:textId="77777777" w:rsidR="007E0DE7" w:rsidRPr="00E14102" w:rsidRDefault="007E0DE7" w:rsidP="00E14102">
            <w:pPr>
              <w:jc w:val="both"/>
              <w:rPr>
                <w:color w:val="000000" w:themeColor="text1"/>
                <w:sz w:val="16"/>
                <w:szCs w:val="16"/>
              </w:rPr>
            </w:pPr>
            <w:r w:rsidRPr="00E14102">
              <w:rPr>
                <w:color w:val="000000" w:themeColor="text1"/>
                <w:sz w:val="16"/>
                <w:szCs w:val="16"/>
              </w:rPr>
              <w:t>1100²*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A0C5E"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05EBAC5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0F5BF3"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747BA" w14:textId="77777777" w:rsidR="007E0DE7" w:rsidRPr="00E14102" w:rsidRDefault="007E0DE7" w:rsidP="00E14102">
            <w:pPr>
              <w:jc w:val="both"/>
              <w:rPr>
                <w:color w:val="000000" w:themeColor="text1"/>
                <w:sz w:val="16"/>
                <w:szCs w:val="16"/>
              </w:rPr>
            </w:pPr>
            <w:r w:rsidRPr="00E14102">
              <w:rPr>
                <w:rStyle w:val="a6"/>
                <w:i w:val="0"/>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78B3A" w14:textId="77777777" w:rsidR="007E0DE7" w:rsidRPr="00E14102" w:rsidRDefault="007E0DE7" w:rsidP="00E14102">
            <w:pPr>
              <w:jc w:val="both"/>
              <w:rPr>
                <w:color w:val="000000" w:themeColor="text1"/>
                <w:sz w:val="16"/>
                <w:szCs w:val="16"/>
              </w:rPr>
            </w:pPr>
            <w:r w:rsidRPr="00E14102">
              <w:rPr>
                <w:color w:val="000000" w:themeColor="text1"/>
                <w:sz w:val="16"/>
                <w:szCs w:val="16"/>
              </w:rPr>
              <w:t>10 850²*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5160C"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r>
      <w:tr w:rsidR="00E3599D" w:rsidRPr="00E14102" w14:paraId="464CE90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405C1A" w14:textId="77777777" w:rsidR="007E0DE7" w:rsidRPr="00E14102" w:rsidRDefault="007E0DE7"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A35FF" w14:textId="77777777" w:rsidR="007E0DE7" w:rsidRPr="00E14102" w:rsidRDefault="007E0DE7" w:rsidP="00E14102">
            <w:pPr>
              <w:jc w:val="both"/>
              <w:rPr>
                <w:color w:val="000000" w:themeColor="text1"/>
                <w:sz w:val="16"/>
                <w:szCs w:val="16"/>
              </w:rPr>
            </w:pPr>
            <w:r w:rsidRPr="00E14102">
              <w:rPr>
                <w:rStyle w:val="a3"/>
                <w:b w:val="0"/>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66EB3" w14:textId="77777777" w:rsidR="007E0DE7" w:rsidRPr="00E14102" w:rsidRDefault="007E0DE7" w:rsidP="00E14102">
            <w:pPr>
              <w:jc w:val="both"/>
              <w:rPr>
                <w:color w:val="000000" w:themeColor="text1"/>
                <w:sz w:val="16"/>
                <w:szCs w:val="16"/>
              </w:rPr>
            </w:pPr>
            <w:r w:rsidRPr="00E14102">
              <w:rPr>
                <w:color w:val="000000" w:themeColor="text1"/>
                <w:sz w:val="16"/>
                <w:szCs w:val="16"/>
              </w:rPr>
              <w:t>62 000²*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1948D" w14:textId="77777777" w:rsidR="007E0DE7" w:rsidRPr="00E14102" w:rsidRDefault="007E0DE7" w:rsidP="00E14102">
            <w:pPr>
              <w:jc w:val="both"/>
              <w:rPr>
                <w:color w:val="000000" w:themeColor="text1"/>
                <w:sz w:val="16"/>
                <w:szCs w:val="16"/>
              </w:rPr>
            </w:pPr>
            <w:r w:rsidRPr="00E14102">
              <w:rPr>
                <w:color w:val="000000" w:themeColor="text1"/>
                <w:sz w:val="16"/>
                <w:szCs w:val="16"/>
              </w:rPr>
              <w:t>2000 тыс. руб.</w:t>
            </w:r>
          </w:p>
        </w:tc>
      </w:tr>
    </w:tbl>
    <w:p w14:paraId="0F945224"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Предложить НКТП из своего фонда станочного оборудования обеспечить в первую очередь потребности вышеуказанных заводов.</w:t>
      </w:r>
    </w:p>
    <w:p w14:paraId="481FE314"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8. Во изменение постановления СНК СССР № К</w:t>
      </w:r>
      <w:r w:rsidRPr="00E14102">
        <w:rPr>
          <w:color w:val="000000" w:themeColor="text1"/>
          <w:sz w:val="16"/>
          <w:szCs w:val="16"/>
        </w:rPr>
        <w:noBreakHyphen/>
        <w:t>18сс от 9 мая 1934 г. и К</w:t>
      </w:r>
      <w:r w:rsidRPr="00E14102">
        <w:rPr>
          <w:color w:val="000000" w:themeColor="text1"/>
          <w:sz w:val="16"/>
          <w:szCs w:val="16"/>
        </w:rPr>
        <w:noBreakHyphen/>
        <w:t>56с от 22 ноября 1934 г.³*, обязать НКТП построить к 1 октября 1936 г. в Черемхове элементный завод мощностью 2 млн. анодных батарей. Отпустить НКТП сверх установленных лимитов (800 тыс. руб.)⁴* на строительство этого завода 2 млн. руб. (т. е. всего 2 млн. 800 тыс. руб.)⁵*. Сборочные мастерские в Хабаровске не строить.</w:t>
      </w:r>
    </w:p>
    <w:p w14:paraId="0A57525B"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9. Отпустить НК</w:t>
      </w:r>
      <w:r w:rsidRPr="00E14102">
        <w:rPr>
          <w:rStyle w:val="a3"/>
          <w:rFonts w:eastAsiaTheme="majorEastAsia"/>
          <w:b w:val="0"/>
          <w:color w:val="000000" w:themeColor="text1"/>
          <w:sz w:val="16"/>
          <w:szCs w:val="16"/>
        </w:rPr>
        <w:t>Т</w:t>
      </w:r>
      <w:r w:rsidRPr="00E14102">
        <w:rPr>
          <w:color w:val="000000" w:themeColor="text1"/>
          <w:sz w:val="16"/>
          <w:szCs w:val="16"/>
        </w:rPr>
        <w:t>П дополнительно в 1935 г. из резервного фонда СНК СССР 64 млн. руб. Расход валюты в размере 2 млн. руб. покрыть: 1 млн. руб. — за счет резервного фонда СНК СССР и 1 млн. руб. — за счет контингентов НКТП, включая и контингенты военной промышленности.</w:t>
      </w:r>
    </w:p>
    <w:p w14:paraId="52FF299A"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10. Обязать НКЛегпром в месячный срок передать заводу им. Козицкого принадлежащий заводу «Марксист» корпус фабрики им. Синицына в Ленинграде для расширения производственной площади завода.</w:t>
      </w:r>
    </w:p>
    <w:p w14:paraId="21EBC9CC"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11. Разрешить НКТП, в виде исключения, до 1 августа 1935 г. финансирование и производство подготовительно-строительных мероприятий по осуществлению строительства по объектам, перечисленным в данном постановлении и не имеющим технических проектов и смет; обязать НКТП не позднее 1 августа 1935 г. утвердить сметы.</w:t>
      </w:r>
    </w:p>
    <w:p w14:paraId="6DA94A35"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12. Обязать председателя Московского совета т. Булганина и председателя Ленинградского совета т. Кодацкого под их личную ответственность обеспечить в 1935 г. все вышеуказанные строительства местными стройматериалами.</w:t>
      </w:r>
    </w:p>
    <w:p w14:paraId="1290CED0"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13. Обязать НКВТ (т. Розенгольц) реализовать заказы на импорт Главэспрома и ВОТИ по данному постановлению, с завозом в СССР в течение 1935 г.</w:t>
      </w:r>
    </w:p>
    <w:p w14:paraId="585AC945"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rPr>
        <w:t>II</w:t>
      </w:r>
    </w:p>
    <w:p w14:paraId="2DE82F63"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14. Поручить НКТП, НКОбороны и НКВД, с участием Ленинградского, Московского, Горьковского и Харьковского обкомов ВКП(б), организовать до 15 мая с. г. жесткую проверку всего личного состава заводов, цехов, институтов, лабораторий и организаций, имеющих отношение к производству особой секретной техники. В первую очередь произвести проверку по Остехбюро НКОбороны, Украинскому физико-техническому институту, Ленинградскому электрофизическому институту, Государственному физико-техническому институту, Научно-исследовательскому институту телемеханики, Центральной лаборатории проводной связи и по заводам «Радиоприбор» и им. Козицкого.</w:t>
      </w:r>
    </w:p>
    <w:p w14:paraId="3F6EC234"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15. Обязать НКТП (т. Орджоникидзе) совместно с Ленинградским и Московским комитетами ВКП(б) не позднее 15 мая с. г. укомплектовать заводы «Радиоприбор», «ЗАТЭМ», «Авиаприбор», «Метрон», цех телемеханики завода им. Козицкого, военно-морскую часть завода «Электроприбор», цеха мощных генераторных ламп завода «Светлана» и «Радиолампа», а также лаборатории этих заводов и особенно сборочные цеха, выпускающие готовую продукцию, тщательно проверенным составом квалифицированных рабочих и ИТР, обеспечив в производственных и сборочных цехах действительно крепкую партийно-комсомольскую прослойку путем отбора и переброски наиболее надежных людей с других заводов НКТП.</w:t>
      </w:r>
    </w:p>
    <w:p w14:paraId="171D2B8C"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16. Распространить на перечисленные в п. 15 заводы и цеха инструкцию НКТП и НКВД о порядке найма и охраны заводов военной промышленности.</w:t>
      </w:r>
    </w:p>
    <w:p w14:paraId="551C477D"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17. Посещение Остехбюро НКОбороны, НИТИ РККА, НИМИС РККА, ОКБ УВИ РККА, отдела УКВ ВМА, НИИТ НКТП, Института телемеханики и связи НКТП, МИ ВОТИ, ОКБ ВОТИ НКТП, ОСН ВИЭМ, специальных лабораторий ВЭИ НКТП, ЦЛПС, ЦРЛ, ЦВИРЛ Главэспрома НКТП, высоковольтных установок ГФТИ, ЛЭФИ и УФТИ, заводов, перечисленных в п. 2, иностранцами допускать только с разрешения соответствующего народного комиссара.</w:t>
      </w:r>
    </w:p>
    <w:p w14:paraId="38EF7801"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18. Обратить особое внимание директоров указанных в п. 17 институтов и лабораторий, а также указанных в п. 15 заводов на обеспечение полной секретности при проведении заводских и полигонных испытаний, а также при перевозках средств ОСТ. Запретить практику приглашения лиц, не имеющих прямого отношения к работе по ОСТ, на демонстрации и испытания средств ОСТ. Обязать директоров институтов и заводов утверждать список лиц, присутствующих на демонстрациях и испытаниях средств ОСТ, и прилагать его к соответствующим актам.</w:t>
      </w:r>
    </w:p>
    <w:p w14:paraId="55DB7FED"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19. Обязать Главлит в месячный срок издать инструкцию о порядке печатания статей и работ по вопросам, имеющим отношение к ОСТ, после утверждения комиссией в составе тт. Хаханьяна (председатель), Волина, Синявского, Бордовского, Лютова и Немова.</w:t>
      </w:r>
    </w:p>
    <w:p w14:paraId="60C77E76"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20. Поручить комиссии в составе тт. Кагановича М. (председатель), Куйбышева (ЦК ВКП(б)), Хаханьяна (КСК) и Гая (НКВД) организовать и проследить за проведением мероприятий по обеспечению секретности работ по ОСТ.</w:t>
      </w:r>
    </w:p>
    <w:p w14:paraId="604B6D20"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С целью сосредоточения основных усилий, средств и квалифицированных сил на ведущих институтах и заводах, работающих по телемеханике и телевидению:</w:t>
      </w:r>
    </w:p>
    <w:p w14:paraId="48A652EB"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21. Работы по военной телемеханике в системе НКТП вести в основном в ЦЛПС, кооперируя ее работы в механической части с ОКБ и московским институтом ВОТИ. Предрешить перевод ЦЛПС в 1936 г., за исключением отделов, работающих по гражданской телемеханике, в Москву, в строящийся Институт телемеханики. В этом же институте сосредоточить лаборатории других научно-исследовательских учреждений НКТП, работающих по военной телемеханике; в Ленинграде иметь морское отделение этого института. Тов. Орджоникидзе представить в СТО в месячный срок план организации указанного института, состав его основных работников и директората, а также директоров других ведущих институтов.</w:t>
      </w:r>
    </w:p>
    <w:p w14:paraId="2FC7E999"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22. Основными базами по производству военной телемеханической аппаратуры считать заводы «Радиоприбор» и им. Козицкого сосредоточением производства радиоаппаратуры для военной телемеханики в 1936 г. на заводе им. Орджоникидзе в Москве.</w:t>
      </w:r>
    </w:p>
    <w:p w14:paraId="23595F76"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23. Ведущим институтом по гражданской телемеханике считать ЦЛПС⁶*, создав для этого отдельный институт из остающихся в Ленинграде отделов ЦЛПС по ее переводе в Москву. Работы института в механической части кооперировать с ОКБ и Московским институтом ВОТИ.</w:t>
      </w:r>
    </w:p>
    <w:p w14:paraId="36AFF348"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24. Ведущим институтом по телевидению считать НИИТ⁷* с передачей его в систему Главэспрома НКТП. Тов. Орджоникидзе представить в месячный срок в СТО план сосредоточения работ по телевидению в НИИТе с максимальной ликвидацией распыленности групп, работающих по телевидению в ряде институтов НКТП.</w:t>
      </w:r>
    </w:p>
    <w:p w14:paraId="1714DA97"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25. Организовать специальный ламповый институт в Москве при заводе «Радиолампа» для научно-исследовательских и конструкторских работ по электронным лампам. Предложить т. Орджоникидзе представить в СТО в двухмесячный срок план организации института с использованием в первую очередь основных кадров лаборатории «Светланы» — по радиолампам, ЛЭФИ и НИИТ — по фотоэлементам. В 1936 г. на заводе «Радиолампа» создать специальный цех по производству фотоэлементов.</w:t>
      </w:r>
    </w:p>
    <w:p w14:paraId="161286A2"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26. Предложить тт. Ворошилову и Орджоникидзе ежемесячно докладывать СТО о ходе выполнения настоящего постановления⁸*.</w:t>
      </w:r>
    </w:p>
    <w:p w14:paraId="5FC3BC08"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Председатель Совета труда и обороны В.</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Молотов</w:t>
      </w:r>
    </w:p>
    <w:p w14:paraId="73116E2C"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7EBC8411"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21238A92"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¹* Приложения не публикуются (см. там же, л. 88-112).</w:t>
      </w:r>
    </w:p>
    <w:p w14:paraId="6B87C965"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²* Цифры, отмеченные звездочками, исправлены от руки.</w:t>
      </w:r>
    </w:p>
    <w:p w14:paraId="53461709"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³* ГА РФ. Ф. Р</w:t>
      </w:r>
      <w:r w:rsidRPr="00E14102">
        <w:rPr>
          <w:color w:val="000000" w:themeColor="text1"/>
          <w:sz w:val="16"/>
          <w:szCs w:val="16"/>
        </w:rPr>
        <w:noBreakHyphen/>
        <w:t>8418. Оп. 28. Д. 16. Л. 101.</w:t>
      </w:r>
    </w:p>
    <w:p w14:paraId="42EE8B1D"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⁴* Начало предложения вписано от руки вместо вычеркнутого: «Предложить НКТП выделить в 1935 г.».</w:t>
      </w:r>
    </w:p>
    <w:p w14:paraId="545B9F04"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⁵* Слова в скобках вписаны от руки.</w:t>
      </w:r>
    </w:p>
    <w:p w14:paraId="59F0413B"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⁶* Далее зачеркнуто: «(Шорин)».</w:t>
      </w:r>
    </w:p>
    <w:p w14:paraId="71035A09"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⁷* Далее зачеркнуто: «(Рыфтин)».</w:t>
      </w:r>
    </w:p>
    <w:p w14:paraId="28A1F0CD" w14:textId="77777777" w:rsidR="007E0DE7" w:rsidRPr="00E14102" w:rsidRDefault="007E0DE7" w:rsidP="00E14102">
      <w:pPr>
        <w:pStyle w:val="rtejustify"/>
        <w:spacing w:before="0" w:after="0"/>
        <w:rPr>
          <w:color w:val="000000" w:themeColor="text1"/>
          <w:sz w:val="16"/>
          <w:szCs w:val="16"/>
        </w:rPr>
      </w:pPr>
      <w:r w:rsidRPr="00E14102">
        <w:rPr>
          <w:color w:val="000000" w:themeColor="text1"/>
          <w:sz w:val="16"/>
          <w:szCs w:val="16"/>
        </w:rPr>
        <w:t>⁸* 15 июля 1936 г. СТО СССР принял постановление № ОК</w:t>
      </w:r>
      <w:r w:rsidRPr="00E14102">
        <w:rPr>
          <w:color w:val="000000" w:themeColor="text1"/>
          <w:sz w:val="16"/>
          <w:szCs w:val="16"/>
        </w:rPr>
        <w:noBreakHyphen/>
        <w:t xml:space="preserve">166сс «О производстве средств ТОС», где отметил неудовлетворительное </w:t>
      </w:r>
      <w:r w:rsidRPr="00E14102">
        <w:rPr>
          <w:rStyle w:val="a6"/>
          <w:bCs/>
          <w:i w:val="0"/>
          <w:color w:val="000000" w:themeColor="text1"/>
          <w:sz w:val="16"/>
          <w:szCs w:val="16"/>
        </w:rPr>
        <w:t>выполнение в 1935 г. заданий по особо секретной технике</w:t>
      </w:r>
      <w:r w:rsidRPr="00E14102">
        <w:rPr>
          <w:color w:val="000000" w:themeColor="text1"/>
          <w:sz w:val="16"/>
          <w:szCs w:val="16"/>
        </w:rPr>
        <w:t>, как в части опытных работ, так и в части серийного производства телемеханических объектов. СТО СССР постановил утвердить план опытных работ по технике особой секретности на 1936 г.; определить общую стоимость опытных работ по Наркомату тяжелой промышленности СССР в сумме 27 555 тыс. руб., а также выделить дополнительные суммы в 22,5 млн. руб. НКТП СССР и Наркомату оборонной промышленности СССР из средств СТО и 6055 тыс. руб. из резервного фонда СНК СССР для заключения договоров на опытные работы. Также из резервного фонда СНК СССР было выделено 1,5 млн. руб. Научно-исследовательскому институту телевидения (НИИТ). Объем капитального строительства Электрофизического института в 1936 г. был определен в сумме 12 млн. руб. Также были намечены мероприятия по опытным работам и внедрению в производство новых образцов ТОС, определены задачи для руководителей ведомств и предприятий в этой области. (ГАРФ. Ф. Р</w:t>
      </w:r>
      <w:r w:rsidRPr="00E14102">
        <w:rPr>
          <w:color w:val="000000" w:themeColor="text1"/>
          <w:sz w:val="16"/>
          <w:szCs w:val="16"/>
        </w:rPr>
        <w:noBreakHyphen/>
        <w:t>8418. Оп. 28. Д. 9. Л. 364</w:t>
      </w:r>
      <w:r w:rsidRPr="00E14102">
        <w:rPr>
          <w:color w:val="000000" w:themeColor="text1"/>
          <w:sz w:val="16"/>
          <w:szCs w:val="16"/>
        </w:rPr>
        <w:noBreakHyphen/>
        <w:t>367).</w:t>
      </w:r>
    </w:p>
    <w:p w14:paraId="679FA0BE" w14:textId="77777777" w:rsidR="007E0DE7" w:rsidRPr="00E14102" w:rsidRDefault="007E0DE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ГА РФ. Ф. Р-8418. Оп. 28. Д. 6. Л. 80-87. Подлинник (15340).</w:t>
      </w:r>
    </w:p>
    <w:p w14:paraId="71E682AB" w14:textId="77777777" w:rsidR="007E0DE7" w:rsidRPr="00E14102" w:rsidRDefault="007E0DE7" w:rsidP="00E14102">
      <w:pPr>
        <w:jc w:val="both"/>
        <w:rPr>
          <w:bCs/>
          <w:color w:val="000000" w:themeColor="text1"/>
          <w:sz w:val="16"/>
          <w:szCs w:val="16"/>
        </w:rPr>
      </w:pPr>
    </w:p>
    <w:p w14:paraId="332FDEA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E7E2C66" w14:textId="77777777" w:rsidR="00D4105E" w:rsidRPr="00E14102" w:rsidRDefault="00D4105E" w:rsidP="00E14102">
      <w:pPr>
        <w:autoSpaceDE w:val="0"/>
        <w:autoSpaceDN w:val="0"/>
        <w:adjustRightInd w:val="0"/>
        <w:jc w:val="both"/>
        <w:rPr>
          <w:iCs/>
          <w:color w:val="000000" w:themeColor="text1"/>
          <w:sz w:val="16"/>
          <w:szCs w:val="16"/>
        </w:rPr>
      </w:pPr>
    </w:p>
    <w:p w14:paraId="597A1C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7 апреля 1935 года вышло постановление ЦИК и СНК, которое предписывало "несовершеннолетних, начиная с 12-летнего возраста, уличённых в совершении краж, в причинении насилия, телесных повреждений, в убийстве или попытках к убийству, привлекать к уголовному суду с применением всех мер уголовного наказания". Одним из назначений этого закона, как стало ясно в дальнейшем, было вымогательство ложных показаний у жертв будущих процессов, стремившихся, естественно, уберечь своих детей от "всех мер уголовного наказания", включая смертную казнь (9492).</w:t>
      </w:r>
    </w:p>
    <w:p w14:paraId="3CA6ECDF" w14:textId="77777777" w:rsidR="00D4105E" w:rsidRPr="00E14102" w:rsidRDefault="00D4105E" w:rsidP="00E14102">
      <w:pPr>
        <w:autoSpaceDE w:val="0"/>
        <w:autoSpaceDN w:val="0"/>
        <w:adjustRightInd w:val="0"/>
        <w:jc w:val="both"/>
        <w:rPr>
          <w:color w:val="000000" w:themeColor="text1"/>
          <w:sz w:val="16"/>
          <w:szCs w:val="16"/>
        </w:rPr>
      </w:pPr>
    </w:p>
    <w:p w14:paraId="6ADA0D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апреля 1935 г. ЦИК и СНК СССР приняли постановление “О мерах борьбы с преступностью среди несовершеннолетних”, согласно которому дети, начиная с двенадцатилетнего возраста, за ряд преступлений подлежали расстрелу (10303).</w:t>
      </w:r>
    </w:p>
    <w:p w14:paraId="4A3407C9" w14:textId="77777777" w:rsidR="00D4105E" w:rsidRPr="00E14102" w:rsidRDefault="00D4105E" w:rsidP="00E14102">
      <w:pPr>
        <w:autoSpaceDE w:val="0"/>
        <w:autoSpaceDN w:val="0"/>
        <w:adjustRightInd w:val="0"/>
        <w:jc w:val="both"/>
        <w:rPr>
          <w:color w:val="000000" w:themeColor="text1"/>
          <w:sz w:val="16"/>
          <w:szCs w:val="16"/>
        </w:rPr>
      </w:pPr>
    </w:p>
    <w:p w14:paraId="491B964A" w14:textId="77777777" w:rsidR="00722E26" w:rsidRPr="00E14102" w:rsidRDefault="00722E26" w:rsidP="00E14102">
      <w:pPr>
        <w:jc w:val="both"/>
        <w:rPr>
          <w:color w:val="000000" w:themeColor="text1"/>
          <w:sz w:val="16"/>
          <w:szCs w:val="16"/>
        </w:rPr>
      </w:pPr>
      <w:r w:rsidRPr="00E14102">
        <w:rPr>
          <w:color w:val="000000" w:themeColor="text1"/>
          <w:sz w:val="16"/>
          <w:szCs w:val="16"/>
        </w:rPr>
        <w:t>7 апреля 1935. Постановление ЦИК и СНК СССР, в котором предписывалось "несовершеннолетних, начиная с 12-летнего возраста, уличенных в совершении краж, в причинении насилия, телесных повреждений, в убийстве или попытках к убийству, привлекать к уголовному суду с применением всех мер уголовного наказания" (18720).</w:t>
      </w:r>
    </w:p>
    <w:p w14:paraId="426180C8" w14:textId="77777777" w:rsidR="00722E26" w:rsidRPr="00E14102" w:rsidRDefault="00722E26" w:rsidP="00E14102">
      <w:pPr>
        <w:jc w:val="both"/>
        <w:rPr>
          <w:color w:val="000000" w:themeColor="text1"/>
          <w:sz w:val="16"/>
          <w:szCs w:val="16"/>
        </w:rPr>
      </w:pPr>
    </w:p>
    <w:p w14:paraId="319641B6" w14:textId="77777777" w:rsidR="007E0DE7" w:rsidRPr="00E14102" w:rsidRDefault="007E0DE7" w:rsidP="00E14102">
      <w:pPr>
        <w:jc w:val="both"/>
        <w:rPr>
          <w:color w:val="000000" w:themeColor="text1"/>
          <w:sz w:val="16"/>
          <w:szCs w:val="16"/>
        </w:rPr>
      </w:pPr>
      <w:r w:rsidRPr="00E14102">
        <w:rPr>
          <w:bCs/>
          <w:color w:val="000000" w:themeColor="text1"/>
          <w:sz w:val="16"/>
          <w:szCs w:val="16"/>
        </w:rPr>
        <w:t>7 апреля</w:t>
      </w:r>
      <w:r w:rsidRPr="00E14102">
        <w:rPr>
          <w:color w:val="000000" w:themeColor="text1"/>
          <w:sz w:val="16"/>
          <w:szCs w:val="16"/>
        </w:rPr>
        <w:t xml:space="preserve"> в 1935 году ЦИК под руководством Михаила Калинина и СНК было разработано и издано постановление "О мерах борьбы с преступностью среди несовершеннолетних". По этому постановлению «несовершеннолетних, начиная с 12-летнего возраста, уличенных в совершении краж, в причинении насилия, телесных повреждений, увечий, в убийстве или в попытках к убийству, привлекать к уголовному суду с применением всех мер уголовного наказания". Это постановление положило начало ряду указов о привлечении несовершеннолетних к суду за разные преступления. 10 декабря 1935 года опубликован указ Президиума Верховного Совета "О привлечении несовершеннолетних с 12 лет за развинчивание рельс и подкладывание на рельсы разных предметов". Затем последовал указ Президиума Верховного Совета СССР от 28 декабря 1940 года об ответственности за самовольный уход учеников из ремесленных училищ и за нарушение трудовой дисциплины. И, наконец, 31 мая 1941 года был издан указ, завершивший указы о привлечении несовершеннолетних к судебной ответственности, по которому несовершеннолетние с 14-летнего возраста привлекаются к ответственности за все преступления наравне со взрослыми (15092).</w:t>
      </w:r>
    </w:p>
    <w:p w14:paraId="6C63C0C6" w14:textId="77777777" w:rsidR="007E0DE7" w:rsidRPr="00E14102" w:rsidRDefault="007E0DE7" w:rsidP="00E14102">
      <w:pPr>
        <w:jc w:val="both"/>
        <w:rPr>
          <w:color w:val="000000" w:themeColor="text1"/>
          <w:sz w:val="16"/>
          <w:szCs w:val="16"/>
        </w:rPr>
      </w:pPr>
    </w:p>
    <w:p w14:paraId="49E76E14" w14:textId="77777777" w:rsidR="005F3FE6" w:rsidRPr="00E14102" w:rsidRDefault="005F3FE6" w:rsidP="00E14102">
      <w:pPr>
        <w:jc w:val="both"/>
        <w:rPr>
          <w:color w:val="000000" w:themeColor="text1"/>
          <w:sz w:val="16"/>
          <w:szCs w:val="16"/>
        </w:rPr>
      </w:pPr>
      <w:r w:rsidRPr="00E14102">
        <w:rPr>
          <w:bCs/>
          <w:color w:val="000000" w:themeColor="text1"/>
          <w:sz w:val="16"/>
          <w:szCs w:val="16"/>
        </w:rPr>
        <w:t xml:space="preserve">7 апреля 1935 года постановление ЦИК и Совнаркома СССР «О мерах борьбы с преступностью среди несовершеннолетних»: </w:t>
      </w:r>
    </w:p>
    <w:p w14:paraId="4E76E2BC" w14:textId="77777777" w:rsidR="005F3FE6" w:rsidRPr="00E14102" w:rsidRDefault="005F3FE6" w:rsidP="00E14102">
      <w:pPr>
        <w:jc w:val="both"/>
        <w:rPr>
          <w:color w:val="000000" w:themeColor="text1"/>
          <w:sz w:val="16"/>
          <w:szCs w:val="16"/>
        </w:rPr>
      </w:pPr>
      <w:r w:rsidRPr="00E14102">
        <w:rPr>
          <w:color w:val="000000" w:themeColor="text1"/>
          <w:sz w:val="16"/>
          <w:szCs w:val="16"/>
        </w:rPr>
        <w:t>«В целях быстрейшей ликвидации преступности среди несовершеннолетних, ЦИК и Совнарком СССР постановляют:</w:t>
      </w:r>
    </w:p>
    <w:p w14:paraId="41E52E99" w14:textId="77777777" w:rsidR="005F3FE6" w:rsidRPr="00E14102" w:rsidRDefault="005F3FE6" w:rsidP="00E14102">
      <w:pPr>
        <w:jc w:val="both"/>
        <w:rPr>
          <w:color w:val="000000" w:themeColor="text1"/>
          <w:sz w:val="16"/>
          <w:szCs w:val="16"/>
        </w:rPr>
      </w:pPr>
      <w:r w:rsidRPr="00E14102">
        <w:rPr>
          <w:color w:val="000000" w:themeColor="text1"/>
          <w:sz w:val="16"/>
          <w:szCs w:val="16"/>
        </w:rPr>
        <w:t>1. Несовершеннолетних, начиная с 12-летнего возраста, уличённых в совершении краж, в причинении насилия, телесных повреждений, увечий, в убийстве или в попытках к убийству, привлекать к уголовному суду с применением всех мер уголовного наказания.</w:t>
      </w:r>
    </w:p>
    <w:p w14:paraId="1039776E" w14:textId="77777777" w:rsidR="005F3FE6" w:rsidRPr="00E14102" w:rsidRDefault="005F3FE6" w:rsidP="00E14102">
      <w:pPr>
        <w:jc w:val="both"/>
        <w:rPr>
          <w:color w:val="000000" w:themeColor="text1"/>
          <w:sz w:val="16"/>
          <w:szCs w:val="16"/>
        </w:rPr>
      </w:pPr>
      <w:r w:rsidRPr="00E14102">
        <w:rPr>
          <w:color w:val="000000" w:themeColor="text1"/>
          <w:sz w:val="16"/>
          <w:szCs w:val="16"/>
        </w:rPr>
        <w:t>2. Лиц, уличённых в подстрекательстве или в привлечении несовершеннолетних к участию в различных преступлениях, а также в понуждении несовершеннолетних к занятию спекуляцией, проституцией, нищенством и т.п., — карать тюремным заключением не ниже 5 лет.</w:t>
      </w:r>
    </w:p>
    <w:p w14:paraId="07A77442" w14:textId="77777777" w:rsidR="005F3FE6" w:rsidRPr="00E14102" w:rsidRDefault="005F3FE6" w:rsidP="00E14102">
      <w:pPr>
        <w:jc w:val="both"/>
        <w:rPr>
          <w:color w:val="000000" w:themeColor="text1"/>
          <w:sz w:val="16"/>
          <w:szCs w:val="16"/>
        </w:rPr>
      </w:pPr>
      <w:r w:rsidRPr="00E14102">
        <w:rPr>
          <w:color w:val="000000" w:themeColor="text1"/>
          <w:sz w:val="16"/>
          <w:szCs w:val="16"/>
        </w:rPr>
        <w:t>3. Отменить ст.8 “Основных начал Уголовного законодательства Союза ССР и союзных республик”.</w:t>
      </w:r>
    </w:p>
    <w:p w14:paraId="3E23AB6B" w14:textId="77777777" w:rsidR="005F3FE6" w:rsidRPr="00E14102" w:rsidRDefault="005F3FE6" w:rsidP="00E14102">
      <w:pPr>
        <w:jc w:val="both"/>
        <w:rPr>
          <w:color w:val="000000" w:themeColor="text1"/>
          <w:sz w:val="16"/>
          <w:szCs w:val="16"/>
        </w:rPr>
      </w:pPr>
      <w:r w:rsidRPr="00E14102">
        <w:rPr>
          <w:color w:val="000000" w:themeColor="text1"/>
          <w:sz w:val="16"/>
          <w:szCs w:val="16"/>
        </w:rPr>
        <w:t>4. Предложить правительствам союзных республик привести уголовное законодательство республик в соответствие с настоящим постановлением» (О мерах борьбы с преступностью среди несовершеннолетних. Постановление Центрального Исполнительного Комитета и Совета Народных Комиссаров Союза ССР // Правда. 8 апреля 1935. №97(6343). С.1) (17298).</w:t>
      </w:r>
    </w:p>
    <w:p w14:paraId="7973FE7C" w14:textId="77777777" w:rsidR="005F3FE6" w:rsidRPr="00E14102" w:rsidRDefault="005F3FE6" w:rsidP="00E14102">
      <w:pPr>
        <w:jc w:val="both"/>
        <w:rPr>
          <w:color w:val="000000" w:themeColor="text1"/>
          <w:sz w:val="16"/>
          <w:szCs w:val="16"/>
        </w:rPr>
      </w:pPr>
    </w:p>
    <w:p w14:paraId="71F6DA5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623798D" w14:textId="77777777" w:rsidR="00D4105E" w:rsidRPr="00E14102" w:rsidRDefault="00D4105E" w:rsidP="00E14102">
      <w:pPr>
        <w:autoSpaceDE w:val="0"/>
        <w:autoSpaceDN w:val="0"/>
        <w:adjustRightInd w:val="0"/>
        <w:jc w:val="both"/>
        <w:rPr>
          <w:iCs/>
          <w:color w:val="000000" w:themeColor="text1"/>
          <w:sz w:val="16"/>
          <w:szCs w:val="16"/>
        </w:rPr>
      </w:pPr>
    </w:p>
    <w:p w14:paraId="39FADB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 апреля 1935 года вышел Приказ НИИ ВС № 0197 О гос. испытании мотора АН-1.</w:t>
      </w:r>
    </w:p>
    <w:p w14:paraId="67BF0B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 приемке и испытаниям приступить 7 апреля и закончить 20 апреля 1935 года (6813, 2).</w:t>
      </w:r>
    </w:p>
    <w:p w14:paraId="271CAF9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289F3F4" w14:textId="77777777" w:rsidR="00F6686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16089EB" w14:textId="77777777" w:rsidR="00F66860" w:rsidRPr="00E14102" w:rsidRDefault="00F66860" w:rsidP="00E14102">
      <w:pPr>
        <w:autoSpaceDE w:val="0"/>
        <w:autoSpaceDN w:val="0"/>
        <w:adjustRightInd w:val="0"/>
        <w:jc w:val="both"/>
        <w:rPr>
          <w:iCs/>
          <w:color w:val="000000" w:themeColor="text1"/>
          <w:sz w:val="16"/>
          <w:szCs w:val="16"/>
        </w:rPr>
      </w:pPr>
    </w:p>
    <w:p w14:paraId="7F97D1A3" w14:textId="77777777" w:rsidR="00F66860" w:rsidRPr="00E14102" w:rsidRDefault="00F66860" w:rsidP="00E14102">
      <w:pPr>
        <w:pStyle w:val="rtejustify"/>
        <w:spacing w:before="0" w:after="0"/>
        <w:rPr>
          <w:color w:val="000000" w:themeColor="text1"/>
          <w:sz w:val="16"/>
          <w:szCs w:val="16"/>
        </w:rPr>
      </w:pPr>
      <w:r w:rsidRPr="00E14102">
        <w:rPr>
          <w:rStyle w:val="a6"/>
          <w:bCs/>
          <w:i w:val="0"/>
          <w:color w:val="000000" w:themeColor="text1"/>
          <w:sz w:val="16"/>
          <w:szCs w:val="16"/>
        </w:rPr>
        <w:t>8 апреля</w:t>
      </w:r>
      <w:r w:rsidRPr="00E14102">
        <w:rPr>
          <w:color w:val="000000" w:themeColor="text1"/>
          <w:sz w:val="16"/>
          <w:szCs w:val="16"/>
        </w:rPr>
        <w:t xml:space="preserve"> 1935. Постановление СНК СССР № С</w:t>
      </w:r>
      <w:r w:rsidRPr="00E14102">
        <w:rPr>
          <w:color w:val="000000" w:themeColor="text1"/>
          <w:sz w:val="16"/>
          <w:szCs w:val="16"/>
        </w:rPr>
        <w:noBreakHyphen/>
        <w:t>18с «Об обеспечении двигателями строительства по оргмероприятиям 1935 г.». (ГА РФ. Ф. Р</w:t>
      </w:r>
      <w:r w:rsidRPr="00E14102">
        <w:rPr>
          <w:color w:val="000000" w:themeColor="text1"/>
          <w:sz w:val="16"/>
          <w:szCs w:val="16"/>
        </w:rPr>
        <w:noBreakHyphen/>
        <w:t>8418. Оп. 28. Д. 17. Л. 37</w:t>
      </w:r>
      <w:r w:rsidRPr="00E14102">
        <w:rPr>
          <w:color w:val="000000" w:themeColor="text1"/>
          <w:sz w:val="16"/>
          <w:szCs w:val="16"/>
        </w:rPr>
        <w:noBreakHyphen/>
        <w:t>38) (15460).</w:t>
      </w:r>
    </w:p>
    <w:p w14:paraId="7E524F2D" w14:textId="77777777" w:rsidR="00F66860" w:rsidRPr="00E14102" w:rsidRDefault="00F66860" w:rsidP="00E14102">
      <w:pPr>
        <w:pStyle w:val="rtejustify"/>
        <w:spacing w:before="0" w:after="0"/>
        <w:rPr>
          <w:color w:val="000000" w:themeColor="text1"/>
          <w:sz w:val="16"/>
          <w:szCs w:val="16"/>
        </w:rPr>
      </w:pPr>
    </w:p>
    <w:p w14:paraId="36B4600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0D45E3B" w14:textId="77777777" w:rsidR="00D4105E" w:rsidRPr="00E14102" w:rsidRDefault="00D4105E" w:rsidP="00E14102">
      <w:pPr>
        <w:autoSpaceDE w:val="0"/>
        <w:autoSpaceDN w:val="0"/>
        <w:adjustRightInd w:val="0"/>
        <w:jc w:val="both"/>
        <w:rPr>
          <w:iCs/>
          <w:color w:val="000000" w:themeColor="text1"/>
          <w:sz w:val="16"/>
          <w:szCs w:val="16"/>
        </w:rPr>
      </w:pPr>
    </w:p>
    <w:p w14:paraId="2E2FE3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апреля 1935 приняли дополнения к законодательству, по которым уголовная ответственность (вплоть до смертной казни) распространялась на детей старше 12 (1348,120).</w:t>
      </w:r>
    </w:p>
    <w:p w14:paraId="7E25B5CB" w14:textId="77777777" w:rsidR="00D4105E" w:rsidRPr="00E14102" w:rsidRDefault="00D4105E" w:rsidP="00E14102">
      <w:pPr>
        <w:autoSpaceDE w:val="0"/>
        <w:autoSpaceDN w:val="0"/>
        <w:adjustRightInd w:val="0"/>
        <w:jc w:val="both"/>
        <w:rPr>
          <w:color w:val="000000" w:themeColor="text1"/>
          <w:sz w:val="16"/>
          <w:szCs w:val="16"/>
        </w:rPr>
      </w:pPr>
    </w:p>
    <w:p w14:paraId="07BC31A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 апреля 1935 Уголовная ответственность была распространена на детей старше 12 лет, которые могут быть приговорены и к смертной казни (4962).</w:t>
      </w:r>
    </w:p>
    <w:p w14:paraId="59CA4FF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16A0D85" w14:textId="77777777" w:rsidR="00F6686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C9584E8" w14:textId="77777777" w:rsidR="00F66860" w:rsidRPr="00E14102" w:rsidRDefault="00F66860" w:rsidP="00E14102">
      <w:pPr>
        <w:autoSpaceDE w:val="0"/>
        <w:autoSpaceDN w:val="0"/>
        <w:adjustRightInd w:val="0"/>
        <w:jc w:val="both"/>
        <w:rPr>
          <w:iCs/>
          <w:color w:val="000000" w:themeColor="text1"/>
          <w:sz w:val="16"/>
          <w:szCs w:val="16"/>
        </w:rPr>
      </w:pPr>
    </w:p>
    <w:p w14:paraId="2F1866BD" w14:textId="77777777" w:rsidR="00F66860" w:rsidRPr="00E14102" w:rsidRDefault="00F66860" w:rsidP="00E14102">
      <w:pPr>
        <w:jc w:val="both"/>
        <w:rPr>
          <w:color w:val="000000" w:themeColor="text1"/>
          <w:sz w:val="16"/>
          <w:szCs w:val="16"/>
        </w:rPr>
      </w:pPr>
      <w:r w:rsidRPr="00E14102">
        <w:rPr>
          <w:color w:val="000000" w:themeColor="text1"/>
          <w:sz w:val="16"/>
          <w:szCs w:val="16"/>
        </w:rPr>
        <w:t xml:space="preserve">8 апреля 1935 в письме секретарю ЦК ВКП (б) А.Андрееву Б.Волин советовался, нужно ли изымать из библиотек литературу, изданную до 1931 г, в которой упоминались враги народа. Ответ, вероятно, был отрицательным, так как уже в Циркуляре 10 апреля Волин писал: «1. Никаких общих чисток библиотек на основании приказа №40 </w:t>
      </w:r>
      <w:r w:rsidRPr="00E14102">
        <w:rPr>
          <w:color w:val="000000" w:themeColor="text1"/>
          <w:sz w:val="16"/>
          <w:szCs w:val="16"/>
          <w:u w:val="single"/>
        </w:rPr>
        <w:t>не</w:t>
      </w:r>
      <w:r w:rsidRPr="00E14102">
        <w:rPr>
          <w:color w:val="000000" w:themeColor="text1"/>
          <w:sz w:val="16"/>
          <w:szCs w:val="16"/>
        </w:rPr>
        <w:t xml:space="preserve"> производить. 2. Никакого расширительного толкования приказа №40 не допускать». А 13 апреля он успокаивал местных цензоров: «В ближайшие дни будет дан подробный список литературы, подлежащей изъятию». И действительно, 26 мая в циркуляре № 1119 был дан список 7 книг, подлежащих изъятию (17273).</w:t>
      </w:r>
    </w:p>
    <w:p w14:paraId="562A2BD0" w14:textId="77777777" w:rsidR="00F66860" w:rsidRPr="00E14102" w:rsidRDefault="00F66860" w:rsidP="00E14102">
      <w:pPr>
        <w:autoSpaceDE w:val="0"/>
        <w:autoSpaceDN w:val="0"/>
        <w:adjustRightInd w:val="0"/>
        <w:jc w:val="both"/>
        <w:rPr>
          <w:iCs/>
          <w:color w:val="000000" w:themeColor="text1"/>
          <w:sz w:val="16"/>
          <w:szCs w:val="16"/>
        </w:rPr>
      </w:pPr>
    </w:p>
    <w:p w14:paraId="2ADFAB8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1C3E8CD" w14:textId="77777777" w:rsidR="00D4105E" w:rsidRPr="00E14102" w:rsidRDefault="00D4105E" w:rsidP="00E14102">
      <w:pPr>
        <w:autoSpaceDE w:val="0"/>
        <w:autoSpaceDN w:val="0"/>
        <w:adjustRightInd w:val="0"/>
        <w:jc w:val="both"/>
        <w:rPr>
          <w:iCs/>
          <w:color w:val="000000" w:themeColor="text1"/>
          <w:sz w:val="16"/>
          <w:szCs w:val="16"/>
        </w:rPr>
      </w:pPr>
    </w:p>
    <w:p w14:paraId="33C6F8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апреля 1935 Тех. директор утвердил акт о заводских испытаниях 1-го опытного У-3 М-44, изготовленного 23 заводом (2343,192).</w:t>
      </w:r>
    </w:p>
    <w:p w14:paraId="7332ACDF" w14:textId="77777777" w:rsidR="00D4105E" w:rsidRPr="00E14102" w:rsidRDefault="00D4105E" w:rsidP="00E14102">
      <w:pPr>
        <w:autoSpaceDE w:val="0"/>
        <w:autoSpaceDN w:val="0"/>
        <w:adjustRightInd w:val="0"/>
        <w:jc w:val="both"/>
        <w:rPr>
          <w:color w:val="000000" w:themeColor="text1"/>
          <w:sz w:val="16"/>
          <w:szCs w:val="16"/>
        </w:rPr>
      </w:pPr>
    </w:p>
    <w:p w14:paraId="7A1EE3D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E17A0A0" w14:textId="77777777" w:rsidR="00D4105E" w:rsidRPr="00E14102" w:rsidRDefault="00D4105E" w:rsidP="00E14102">
      <w:pPr>
        <w:autoSpaceDE w:val="0"/>
        <w:autoSpaceDN w:val="0"/>
        <w:adjustRightInd w:val="0"/>
        <w:jc w:val="both"/>
        <w:rPr>
          <w:iCs/>
          <w:color w:val="000000" w:themeColor="text1"/>
          <w:sz w:val="16"/>
          <w:szCs w:val="16"/>
        </w:rPr>
      </w:pPr>
    </w:p>
    <w:p w14:paraId="3B79D4CB" w14:textId="77777777" w:rsidR="003C567D" w:rsidRPr="00E14102" w:rsidRDefault="003C567D" w:rsidP="00E14102">
      <w:pPr>
        <w:pStyle w:val="rtejustify"/>
        <w:spacing w:before="0" w:after="0"/>
        <w:rPr>
          <w:color w:val="000000" w:themeColor="text1"/>
          <w:sz w:val="16"/>
          <w:szCs w:val="16"/>
        </w:rPr>
      </w:pPr>
      <w:r w:rsidRPr="00E14102">
        <w:rPr>
          <w:color w:val="000000" w:themeColor="text1"/>
          <w:sz w:val="16"/>
          <w:szCs w:val="16"/>
        </w:rPr>
        <w:t xml:space="preserve">9 апреля 1935 г. Артиллерийское управление утвердило тактико-технические требования к </w:t>
      </w:r>
      <w:r w:rsidRPr="00E14102">
        <w:rPr>
          <w:rStyle w:val="a6"/>
          <w:bCs/>
          <w:i w:val="0"/>
          <w:color w:val="000000" w:themeColor="text1"/>
          <w:sz w:val="16"/>
          <w:szCs w:val="16"/>
        </w:rPr>
        <w:t>100</w:t>
      </w:r>
      <w:r w:rsidRPr="00E14102">
        <w:rPr>
          <w:rStyle w:val="a6"/>
          <w:bCs/>
          <w:i w:val="0"/>
          <w:color w:val="000000" w:themeColor="text1"/>
          <w:sz w:val="16"/>
          <w:szCs w:val="16"/>
        </w:rPr>
        <w:noBreakHyphen/>
        <w:t>мм «стратосферной» пушке Л</w:t>
      </w:r>
      <w:r w:rsidRPr="00E14102">
        <w:rPr>
          <w:rStyle w:val="a6"/>
          <w:bCs/>
          <w:i w:val="0"/>
          <w:color w:val="000000" w:themeColor="text1"/>
          <w:sz w:val="16"/>
          <w:szCs w:val="16"/>
        </w:rPr>
        <w:noBreakHyphen/>
        <w:t>6</w:t>
      </w:r>
      <w:r w:rsidRPr="00E14102">
        <w:rPr>
          <w:color w:val="000000" w:themeColor="text1"/>
          <w:sz w:val="16"/>
          <w:szCs w:val="16"/>
        </w:rPr>
        <w:t>. Опытный образец пушки Л</w:t>
      </w:r>
      <w:r w:rsidRPr="00E14102">
        <w:rPr>
          <w:color w:val="000000" w:themeColor="text1"/>
          <w:sz w:val="16"/>
          <w:szCs w:val="16"/>
        </w:rPr>
        <w:noBreakHyphen/>
        <w:t>6 был изготовлен Кировским заводом и передан на Научно-исследовательский артиллерийский полигон в октябре 1937 г. Испытания прошли неудачно. После повторных стрельб в июне 1938 г. система была отправлена на завод для доработки. Последующие испытания проходили с августа по ноябрь 1938 г. на Научно-исследовательском зенитно-артиллерийском полигоне. Согласно отчету от 21 декабря 1938 г. Л</w:t>
      </w:r>
      <w:r w:rsidRPr="00E14102">
        <w:rPr>
          <w:color w:val="000000" w:themeColor="text1"/>
          <w:sz w:val="16"/>
          <w:szCs w:val="16"/>
        </w:rPr>
        <w:noBreakHyphen/>
        <w:t>6 полигонные испытания не выдержала по причине множественных технологических недоработок (15421).</w:t>
      </w:r>
    </w:p>
    <w:p w14:paraId="4BE55234" w14:textId="77777777" w:rsidR="003C567D" w:rsidRPr="00E14102" w:rsidRDefault="003C567D" w:rsidP="00E14102">
      <w:pPr>
        <w:pStyle w:val="rtejustify"/>
        <w:spacing w:before="0" w:after="0"/>
        <w:rPr>
          <w:rStyle w:val="a6"/>
          <w:bCs/>
          <w:i w:val="0"/>
          <w:color w:val="000000" w:themeColor="text1"/>
          <w:sz w:val="16"/>
          <w:szCs w:val="16"/>
        </w:rPr>
      </w:pPr>
    </w:p>
    <w:p w14:paraId="378F62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апреля 1935 года Артуправление утвердило тактико-технические требования на 100-мм пушку Кировского завода с весом снаряда 15,6 кг, начальной скоростью 820 м/с и потолком 15 км (3861).</w:t>
      </w:r>
    </w:p>
    <w:p w14:paraId="12BAA314" w14:textId="77777777" w:rsidR="00D4105E" w:rsidRPr="00E14102" w:rsidRDefault="00D4105E" w:rsidP="00E14102">
      <w:pPr>
        <w:autoSpaceDE w:val="0"/>
        <w:autoSpaceDN w:val="0"/>
        <w:adjustRightInd w:val="0"/>
        <w:jc w:val="both"/>
        <w:rPr>
          <w:color w:val="000000" w:themeColor="text1"/>
          <w:sz w:val="16"/>
          <w:szCs w:val="16"/>
        </w:rPr>
      </w:pPr>
    </w:p>
    <w:p w14:paraId="1D0EE2D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5F217B97" w14:textId="77777777" w:rsidR="00D4105E" w:rsidRPr="00E14102" w:rsidRDefault="00D4105E" w:rsidP="00E14102">
      <w:pPr>
        <w:autoSpaceDE w:val="0"/>
        <w:autoSpaceDN w:val="0"/>
        <w:adjustRightInd w:val="0"/>
        <w:jc w:val="both"/>
        <w:rPr>
          <w:iCs/>
          <w:color w:val="000000" w:themeColor="text1"/>
          <w:sz w:val="16"/>
          <w:szCs w:val="16"/>
        </w:rPr>
      </w:pPr>
    </w:p>
    <w:p w14:paraId="228F4B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апреля 1935 года было подписано «Соглашение между правительством СССР и правительством Германии о дополнительных заказах СССР в Германии и финансировании этих заказов Германией». В соответствии с ним советское правительство получило право разместить под гарантию правительства рейха заказы германским фирмам на 200 млн марок. Эти заказы должны были представлять собой оборудование для фабрик, машины, аппараты, изделия электропромышленности, оборудование нефтяной и химической индустрии, транспортные средства, оборудование лабораторий и т.д. Сюда же входила и техническая помощь. Реально по этому кредиту СССР получил из Германии заводского оборудования и других товаров на 151,2 млн марок. Поставки советских товаров в покрытие кредита должны были начаться с конца 1940 года, а закончиться в 1943 году. Однако СССР так и не приступил к его погашению, а после 22 июня 1941 года вопрос о советских поставках отпал сам собой. Таким образом, полученный в 1935 году от Гитлера кредит можно рассматривать как безвозмездную финансово-техническую помощь (11208).</w:t>
      </w:r>
    </w:p>
    <w:p w14:paraId="6E4169A7" w14:textId="77777777" w:rsidR="00D4105E" w:rsidRPr="00E14102" w:rsidRDefault="00D4105E" w:rsidP="00E14102">
      <w:pPr>
        <w:autoSpaceDE w:val="0"/>
        <w:autoSpaceDN w:val="0"/>
        <w:adjustRightInd w:val="0"/>
        <w:jc w:val="both"/>
        <w:rPr>
          <w:color w:val="000000" w:themeColor="text1"/>
          <w:sz w:val="16"/>
          <w:szCs w:val="16"/>
        </w:rPr>
      </w:pPr>
    </w:p>
    <w:p w14:paraId="5E7F2EDE" w14:textId="77777777" w:rsidR="00722E26" w:rsidRPr="00E14102" w:rsidRDefault="00722E26" w:rsidP="00E14102">
      <w:pPr>
        <w:jc w:val="both"/>
        <w:rPr>
          <w:color w:val="000000" w:themeColor="text1"/>
          <w:sz w:val="16"/>
          <w:szCs w:val="16"/>
        </w:rPr>
      </w:pPr>
      <w:r w:rsidRPr="00E14102">
        <w:rPr>
          <w:color w:val="000000" w:themeColor="text1"/>
          <w:sz w:val="16"/>
          <w:szCs w:val="16"/>
        </w:rPr>
        <w:t xml:space="preserve">9 апреля 1935 года было подписано «Соглашение между правительством СССР и правительством Германии о дополнительных заказах СССР в Германии и финансировании этих заказов Германией». В соответствии с ним советское правительство получило право разместить под гарантию правительства рейха заказы </w:t>
      </w:r>
      <w:r w:rsidRPr="00E14102">
        <w:rPr>
          <w:color w:val="000000" w:themeColor="text1"/>
          <w:sz w:val="16"/>
          <w:szCs w:val="16"/>
        </w:rPr>
        <w:lastRenderedPageBreak/>
        <w:t>германским фирмам на 200 млн марок. Эти заказы должны были представлять собой оборудование для фабрик, машины, аппараты, изделия электропромышленности, оборудование нефтяной и химической индустрии, транспортные средства, оборудование лабораторий и т.д. Сюда же входила и техническая помощь. Реально по этому кредиту СССР получил из Германии заводского оборудования и других товаров на 151,2 млн марок [542]. Поставки советских товаров в покрытие кредита должны были начаться с конца 1940 года, а закончиться в 1943 году [543]. Однако СССР так и не приступил к его погашению, а после 22 июня 1941 года вопрос о советских поставках отпал сам собой. Таким образом, полученный в 1935 году от Гитлера кредит можно рассматривать как безвозмездную финансово-техническую помощь (18279).</w:t>
      </w:r>
    </w:p>
    <w:p w14:paraId="5035D696" w14:textId="77777777" w:rsidR="00722E26" w:rsidRPr="00E14102" w:rsidRDefault="00722E26" w:rsidP="00E14102">
      <w:pPr>
        <w:jc w:val="both"/>
        <w:rPr>
          <w:color w:val="000000" w:themeColor="text1"/>
          <w:sz w:val="16"/>
          <w:szCs w:val="16"/>
        </w:rPr>
      </w:pPr>
    </w:p>
    <w:p w14:paraId="3C760D7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7EF40F6" w14:textId="77777777" w:rsidR="00D4105E" w:rsidRPr="00E14102" w:rsidRDefault="00D4105E" w:rsidP="00E14102">
      <w:pPr>
        <w:autoSpaceDE w:val="0"/>
        <w:autoSpaceDN w:val="0"/>
        <w:adjustRightInd w:val="0"/>
        <w:jc w:val="both"/>
        <w:rPr>
          <w:iCs/>
          <w:color w:val="000000" w:themeColor="text1"/>
          <w:sz w:val="16"/>
          <w:szCs w:val="16"/>
        </w:rPr>
      </w:pPr>
    </w:p>
    <w:p w14:paraId="509BCF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апреля 1935 года врид начальника ГУАПа Марголин писал письмо в секретариат СТО Бакулову</w:t>
      </w:r>
    </w:p>
    <w:p w14:paraId="047CA21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Справка</w:t>
      </w:r>
    </w:p>
    <w:p w14:paraId="3C62CA1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Правительственным заданием срок выпуска самолета ДБ-2 на заводские испытания определен 15 июня 1935 года. Для обеспечения выпуска самолета к указанному сроку необходимо подать моторы минимум за 15 дней, т. е. К 1 июня 1935 года.... Для выполнения решения ГУАП считает возможным согласиться на установку на первый самолет моторов с редукцией 2/3, что даст возможность выпустить самолет в назначенный Правительством срок, но вызовет некоторое снижение летных данных первого самолета. Эти моторы будут выделены ГУАПом за счет ранее выданного заказа и закупке не подлежат.</w:t>
      </w:r>
    </w:p>
    <w:p w14:paraId="34F05C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(Пометка: Логановский сообщил (в телефонном разговоре), что им будут приняты меры к возможному сокращению сроков завоза моторов.</w:t>
      </w:r>
    </w:p>
    <w:p w14:paraId="042418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ГУАП (Марголин) не возражает против новых сроков, так как на первую машину намечает поставить моторы с редукцией 2/3. Эти моторы будут выделены ГУАПом из общего заказа по К-14.) (4256, 25).</w:t>
      </w:r>
    </w:p>
    <w:p w14:paraId="77CD016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EBAAB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апреля 1935 п/п Зам. нач. ГУАП Метло писал директору завода 22 письмо N 44/1830с по вопросу "Парового охлаждения самолета А и ТБ-3":</w:t>
      </w:r>
    </w:p>
    <w:p w14:paraId="2A3FD5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"Настоящим предлагаю разработать вариант самолета с паровым охлаждением М-34ФРН.</w:t>
      </w:r>
    </w:p>
    <w:p w14:paraId="6DEBA5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Вам необходимо приступить к испытанию ТБ-3 М-34 с открытым парообразованием. Этот самолет Вам передан из ЦИАМ 13 марта с.г." (2343,91).</w:t>
      </w:r>
    </w:p>
    <w:p w14:paraId="042766CC" w14:textId="77777777" w:rsidR="00D4105E" w:rsidRPr="00E14102" w:rsidRDefault="00D4105E" w:rsidP="00E14102">
      <w:pPr>
        <w:autoSpaceDE w:val="0"/>
        <w:autoSpaceDN w:val="0"/>
        <w:adjustRightInd w:val="0"/>
        <w:jc w:val="both"/>
        <w:rPr>
          <w:color w:val="000000" w:themeColor="text1"/>
          <w:sz w:val="16"/>
          <w:szCs w:val="16"/>
        </w:rPr>
      </w:pPr>
    </w:p>
    <w:p w14:paraId="769F64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апреля 1935 НКТП Г.К.О. издал приказ:</w:t>
      </w:r>
    </w:p>
    <w:p w14:paraId="5BEB95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“...Головным з-м по авиационным системам (авиапушкам) считать з-д № 8.... В 1935 изготовить 500 систем АПК-4, в т.ч. 300 на з-де № 8 и 200 на з-де № 7. Пр-во АПК-4 на з-де № 7 вести под техническим руководством з-да № 8. Директору з-да № 7 Сухомлинову приступить к подготовке валового пр-ва АПК-4, начав задел с мая, чтобы в с сентября начать ваоловое пр-во. В противном случае Сухомлинов будет снят с работы.” (3969, 90).</w:t>
      </w:r>
    </w:p>
    <w:p w14:paraId="77D00E7F" w14:textId="77777777" w:rsidR="00D4105E" w:rsidRPr="00E14102" w:rsidRDefault="00D4105E" w:rsidP="00E14102">
      <w:pPr>
        <w:autoSpaceDE w:val="0"/>
        <w:autoSpaceDN w:val="0"/>
        <w:adjustRightInd w:val="0"/>
        <w:jc w:val="both"/>
        <w:rPr>
          <w:color w:val="000000" w:themeColor="text1"/>
          <w:sz w:val="16"/>
          <w:szCs w:val="16"/>
        </w:rPr>
      </w:pPr>
    </w:p>
    <w:p w14:paraId="03C91C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апреля 1935 г. нарком тяжелой промышленности Орджоникидзе издает грозный приказ: «Головным заводом по авиационным системам (авиапушкам) считать завод № 8… В 1935 г. изготовить 500 систем АПК-4, в том числе 300 на заводе № 8 и 200 на заводе № 7. Производство АПК-4 заводу № 7 вести под техническим руководством завода № 8. Директору завода № 7 Сухомлинову приступить к подготовке валового производства АПК-4, начав задел с мая, чтобы с сентября начать валовое производство. В противном случае Сухомлинов будет снят с работы».</w:t>
      </w:r>
    </w:p>
    <w:p w14:paraId="554A65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завод № 8 в 1935 г. сдал заказчику только 13 пушек. А 11 декабря 1935 г. директор завода потребовал у ГУВП (Главное управление военной промышленности) снять с завода заказ по АПК-4, мотивируя это крупными конструктивными дефектами системы. Начальство пошло навстречу заводу, тем более что в 1930-х годах завод № 8 был единственным в СССР, производящим противотанковые, танковые и зенитные пушки, а также морские орудия калибра 45–76 мм. Завод № 7 из 212 заказанных на 1935 г. пушек изготовил только 13, но к 1 декабря 1935 г. ни одна из них не была принята заказчиком (12091).</w:t>
      </w:r>
    </w:p>
    <w:p w14:paraId="22185B19" w14:textId="77777777" w:rsidR="00D4105E" w:rsidRPr="00E14102" w:rsidRDefault="00D4105E" w:rsidP="00E14102">
      <w:pPr>
        <w:autoSpaceDE w:val="0"/>
        <w:autoSpaceDN w:val="0"/>
        <w:adjustRightInd w:val="0"/>
        <w:jc w:val="both"/>
        <w:rPr>
          <w:color w:val="000000" w:themeColor="text1"/>
          <w:sz w:val="16"/>
          <w:szCs w:val="16"/>
        </w:rPr>
      </w:pPr>
    </w:p>
    <w:p w14:paraId="1B6B8934" w14:textId="77777777" w:rsidR="003C567D" w:rsidRPr="00E14102" w:rsidRDefault="003C567D" w:rsidP="00E14102">
      <w:pPr>
        <w:jc w:val="both"/>
        <w:rPr>
          <w:color w:val="000000" w:themeColor="text1"/>
          <w:sz w:val="16"/>
          <w:szCs w:val="16"/>
        </w:rPr>
      </w:pPr>
      <w:r w:rsidRPr="00E14102">
        <w:rPr>
          <w:color w:val="000000" w:themeColor="text1"/>
          <w:sz w:val="16"/>
          <w:szCs w:val="16"/>
        </w:rPr>
        <w:t>10 апреля 1935 г. нарком тяжелой промышленности Орджоникидзе издает грозный приказ: «Головным заводом по авиационным системам (авиапушкам) считать завод № 8… В 1935 г. изготовить 500 систем АПК-4, в том числе 300 на заводе № 8 и 200 на заводе № 7. Производство АПК-4 заводу № 7 вести под техническим руководством завода № 8. Директору завода № 7 Сухомлинову приступить к подготовке валового производства АПК-4, начав задел с мая, чтобы с сентября начать валовое производство. В противном случае Сухомлинов будет снят с работы».</w:t>
      </w:r>
    </w:p>
    <w:p w14:paraId="077B4F6F" w14:textId="77777777" w:rsidR="003C567D" w:rsidRPr="00E14102" w:rsidRDefault="003C567D" w:rsidP="00E14102">
      <w:pPr>
        <w:jc w:val="both"/>
        <w:rPr>
          <w:color w:val="000000" w:themeColor="text1"/>
          <w:sz w:val="16"/>
          <w:szCs w:val="16"/>
        </w:rPr>
      </w:pPr>
      <w:r w:rsidRPr="00E14102">
        <w:rPr>
          <w:color w:val="000000" w:themeColor="text1"/>
          <w:sz w:val="16"/>
          <w:szCs w:val="16"/>
        </w:rPr>
        <w:t>Однако завод № 8 в 1935 г. сдал заказчику только 13 пушек. А 11 декабря 1935 г. директор завода потребовал у ГУВП (Главное управление военной промышленности) снять с завода заказ по АПК-4, мотивируя это крупными конструктивными дефектами системы. Начальство пошло навстречу заводу, тем более что в 1930-х гг. завод № 8 был единственным в СССР, производящим противотанковые, танковые и зенитные пушки, а также морские орудия калибра 45-76 мм. Завод № 7 из 212 заказанных на 1935 г. пушек изготовил только 13, но к 1 декабря 1935 г. ни одна из них не была принята заказчиком.</w:t>
      </w:r>
    </w:p>
    <w:p w14:paraId="20A30A00" w14:textId="77777777" w:rsidR="003C567D" w:rsidRPr="00E14102" w:rsidRDefault="003C567D" w:rsidP="00E14102">
      <w:pPr>
        <w:jc w:val="both"/>
        <w:rPr>
          <w:color w:val="000000" w:themeColor="text1"/>
          <w:sz w:val="16"/>
          <w:szCs w:val="16"/>
        </w:rPr>
      </w:pPr>
      <w:r w:rsidRPr="00E14102">
        <w:rPr>
          <w:color w:val="000000" w:themeColor="text1"/>
          <w:sz w:val="16"/>
          <w:szCs w:val="16"/>
        </w:rPr>
        <w:t>«Основное назначение пушки — борьба с авиацией противника, и только второстепенной задачей ставится поражение наземных целей». Так было определено назначение АПК-4 в протоколе заседания НТК Артуправления от 25 ноября 1935 г. Руководству ВВС особенно импонировала идея расстрела на больших дистанциях тяжелых бомбардировщиков противника. Кстати, идея вполне здравая. Не то что самолеты 1930-х гг., но и летающие крепости типа Б-17 и Б-29 могли бы безнаказанно расстреливаться из 76-мм безоткатных орудий. Разумеется, такие орудия должны были быть не системы Курчевского, а, скажем, системы Кондакова.</w:t>
      </w:r>
    </w:p>
    <w:p w14:paraId="29C37014" w14:textId="77777777" w:rsidR="003C567D" w:rsidRPr="00E14102" w:rsidRDefault="003C567D" w:rsidP="00E14102">
      <w:pPr>
        <w:jc w:val="both"/>
        <w:rPr>
          <w:color w:val="000000" w:themeColor="text1"/>
          <w:sz w:val="16"/>
          <w:szCs w:val="16"/>
        </w:rPr>
      </w:pPr>
      <w:r w:rsidRPr="00E14102">
        <w:rPr>
          <w:color w:val="000000" w:themeColor="text1"/>
          <w:sz w:val="16"/>
          <w:szCs w:val="16"/>
        </w:rPr>
        <w:t>Вернемся вновь к судьбе самолета Z (И-7). 2 марта 1932 г. на совещании на авиазаводе № 39 начальник ВВС Яков Алкснис задал вопрос о сроках готовности самолета: «Самолет Z (И-7) построен уже около года, 39-й завод предъявил его правительству и в июне—июле 1931 г. обещал доработать, где результат?» Пауфлер ему в свою очередь ответил, что самолет давно готов, произведено 74 выстрела из пушек на земле, 10—12 выстрелов в воздухе, во время которых оторвало выхлопное сопло одной из пушек, однако все хорошо, чертежи на самолет готовы, завод готов к выпуску серии.</w:t>
      </w:r>
    </w:p>
    <w:p w14:paraId="49AF6D15" w14:textId="77777777" w:rsidR="003C567D" w:rsidRPr="00E14102" w:rsidRDefault="003C567D" w:rsidP="00E14102">
      <w:pPr>
        <w:jc w:val="both"/>
        <w:rPr>
          <w:color w:val="000000" w:themeColor="text1"/>
          <w:sz w:val="16"/>
          <w:szCs w:val="16"/>
        </w:rPr>
      </w:pPr>
      <w:r w:rsidRPr="00E14102">
        <w:rPr>
          <w:color w:val="000000" w:themeColor="text1"/>
          <w:sz w:val="16"/>
          <w:szCs w:val="16"/>
        </w:rPr>
        <w:t>Присутствующий на совещании Курчевский в свою очередь сказал, что его совершенно не допускают к самолету (налицо явный конфликт с Григоровичем, да и при чем здесь самолет — пушки давай!), работать не дают.</w:t>
      </w:r>
    </w:p>
    <w:p w14:paraId="69F892D9" w14:textId="77777777" w:rsidR="003C567D" w:rsidRPr="00E14102" w:rsidRDefault="003C567D" w:rsidP="00E14102">
      <w:pPr>
        <w:jc w:val="both"/>
        <w:rPr>
          <w:color w:val="000000" w:themeColor="text1"/>
          <w:sz w:val="16"/>
          <w:szCs w:val="16"/>
        </w:rPr>
      </w:pPr>
      <w:r w:rsidRPr="00E14102">
        <w:rPr>
          <w:color w:val="000000" w:themeColor="text1"/>
          <w:sz w:val="16"/>
          <w:szCs w:val="16"/>
        </w:rPr>
        <w:t>Окончательно на совещаний 2 марта было решено самолет Z (И-7) подготовить и предъявить к испытаниям 12 марта. Проводились ли такие испытания, неизвестно, но уже 27 апреля 1932 г. руководство авиазавода № 39, теперь уже в лице директора С. Марголина, подписывает договор с Управлением ВВС на поставку 20 истребителей Z с установкой спецвооружения.</w:t>
      </w:r>
    </w:p>
    <w:p w14:paraId="00266EF8" w14:textId="77777777" w:rsidR="003C567D" w:rsidRPr="00E14102" w:rsidRDefault="003C567D" w:rsidP="00E14102">
      <w:pPr>
        <w:jc w:val="both"/>
        <w:rPr>
          <w:color w:val="000000" w:themeColor="text1"/>
          <w:sz w:val="16"/>
          <w:szCs w:val="16"/>
        </w:rPr>
      </w:pPr>
      <w:r w:rsidRPr="00E14102">
        <w:rPr>
          <w:color w:val="000000" w:themeColor="text1"/>
          <w:sz w:val="16"/>
          <w:szCs w:val="16"/>
        </w:rPr>
        <w:t>Один из первых серийных самолетов И-7 № 39009 испытывался в феврале—марте 1933 г. на полигоне УВВВС в Монино. Самолет имел одну действующую пушку, под левым крылом справа разместили габаритно-весовой макет. Для проведения наземных стрельб был сооружен помост высотой несколько метров. Несколько выстрелов было совершено и в воздухе. Летал летчик-испытатель Пионтковский (15117).</w:t>
      </w:r>
    </w:p>
    <w:p w14:paraId="5D7BD54B" w14:textId="77777777" w:rsidR="003C567D" w:rsidRPr="00E14102" w:rsidRDefault="003C567D" w:rsidP="00E14102">
      <w:pPr>
        <w:jc w:val="both"/>
        <w:rPr>
          <w:color w:val="000000" w:themeColor="text1"/>
          <w:sz w:val="16"/>
          <w:szCs w:val="16"/>
        </w:rPr>
      </w:pPr>
    </w:p>
    <w:p w14:paraId="72B276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10 апреля 1935г. по пр. НКТП завод № 8 (Завод № 8 им. М.И. Калинина ВСНХ, НКТП, НКОП, НКВ, </w:t>
      </w:r>
      <w:r w:rsidRPr="00E14102">
        <w:rPr>
          <w:color w:val="000000" w:themeColor="text1"/>
          <w:sz w:val="16"/>
          <w:szCs w:val="16"/>
          <w:lang w:val="en-US"/>
        </w:rPr>
        <w:t>MB</w:t>
      </w:r>
      <w:r w:rsidRPr="00E14102">
        <w:rPr>
          <w:color w:val="000000" w:themeColor="text1"/>
          <w:sz w:val="16"/>
          <w:szCs w:val="16"/>
        </w:rPr>
        <w:t>,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(1927г.); г. Москва п/я 924 «Московский ЗИК» (1937-38г.); г. Свердловск/ /620017 г. Екатеринбург пр. Космонавтов, 18 тел. (3432) 39-55-75, 35-74-01/) был определен головным по производству авиационных пушек (11982).</w:t>
      </w:r>
    </w:p>
    <w:p w14:paraId="43820661" w14:textId="77777777" w:rsidR="00D4105E" w:rsidRPr="00E14102" w:rsidRDefault="00D4105E" w:rsidP="00E14102">
      <w:pPr>
        <w:autoSpaceDE w:val="0"/>
        <w:autoSpaceDN w:val="0"/>
        <w:adjustRightInd w:val="0"/>
        <w:jc w:val="both"/>
        <w:rPr>
          <w:color w:val="000000" w:themeColor="text1"/>
          <w:sz w:val="16"/>
          <w:szCs w:val="16"/>
        </w:rPr>
      </w:pPr>
    </w:p>
    <w:p w14:paraId="6E3B89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апреля 1935 завод 23 направил в НИИ ВВС РККА (копия: ГУАП) письмо N 376с:</w:t>
      </w:r>
    </w:p>
    <w:p w14:paraId="7D0E8B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сем препровождается акт заводских испытаний 1-го опытного У-3 М-44, изготовленного 23 заводом." (2343,194).</w:t>
      </w:r>
    </w:p>
    <w:p w14:paraId="32063519" w14:textId="77777777" w:rsidR="00D4105E" w:rsidRPr="00E14102" w:rsidRDefault="00D4105E" w:rsidP="00E14102">
      <w:pPr>
        <w:autoSpaceDE w:val="0"/>
        <w:autoSpaceDN w:val="0"/>
        <w:adjustRightInd w:val="0"/>
        <w:jc w:val="both"/>
        <w:rPr>
          <w:color w:val="000000" w:themeColor="text1"/>
          <w:sz w:val="16"/>
          <w:szCs w:val="16"/>
        </w:rPr>
      </w:pPr>
    </w:p>
    <w:p w14:paraId="332FDB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10 апреля 1935 г. По пр. НКТП заводу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E14102">
        <w:rPr>
          <w:color w:val="000000" w:themeColor="text1"/>
          <w:sz w:val="16"/>
          <w:szCs w:val="16"/>
          <w:lang w:val="en-US"/>
        </w:rPr>
        <w:t>MB</w:t>
      </w:r>
      <w:r w:rsidRPr="00E14102">
        <w:rPr>
          <w:color w:val="000000" w:themeColor="text1"/>
          <w:sz w:val="16"/>
          <w:szCs w:val="16"/>
        </w:rPr>
        <w:t xml:space="preserve">, МОП, ГКОТ, Ленинградский завод им. М.В. Фрунзе (ЗИФ), ПО «Арсенал» им. М.В. Фрунзе </w:t>
      </w:r>
      <w:r w:rsidRPr="00E14102">
        <w:rPr>
          <w:color w:val="000000" w:themeColor="text1"/>
          <w:sz w:val="16"/>
          <w:szCs w:val="16"/>
          <w:lang w:val="en-US"/>
        </w:rPr>
        <w:t>MOM</w:t>
      </w:r>
      <w:r w:rsidRPr="00E14102">
        <w:rPr>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требовалось в текущем году изготовить 212 пушек АПК-4 (сделано 13) (11982).</w:t>
      </w:r>
    </w:p>
    <w:p w14:paraId="4E0D014D" w14:textId="77777777" w:rsidR="00D4105E" w:rsidRPr="00E14102" w:rsidRDefault="00D4105E" w:rsidP="00E14102">
      <w:pPr>
        <w:autoSpaceDE w:val="0"/>
        <w:autoSpaceDN w:val="0"/>
        <w:adjustRightInd w:val="0"/>
        <w:jc w:val="both"/>
        <w:rPr>
          <w:color w:val="000000" w:themeColor="text1"/>
          <w:sz w:val="16"/>
          <w:szCs w:val="16"/>
        </w:rPr>
      </w:pPr>
    </w:p>
    <w:p w14:paraId="63F7D08B" w14:textId="77777777" w:rsidR="003A53E2" w:rsidRPr="00E14102" w:rsidRDefault="003A53E2" w:rsidP="00E14102">
      <w:pPr>
        <w:pStyle w:val="rtejustify"/>
        <w:spacing w:before="0" w:after="0"/>
        <w:rPr>
          <w:color w:val="000000" w:themeColor="text1"/>
          <w:sz w:val="16"/>
          <w:szCs w:val="16"/>
        </w:rPr>
      </w:pPr>
      <w:r w:rsidRPr="00E14102">
        <w:rPr>
          <w:rStyle w:val="a6"/>
          <w:bCs/>
          <w:i w:val="0"/>
          <w:color w:val="000000" w:themeColor="text1"/>
          <w:sz w:val="16"/>
          <w:szCs w:val="16"/>
        </w:rPr>
        <w:t>10 апреля 1935 вышел приказ НКО №</w:t>
      </w:r>
      <w:r w:rsidRPr="00E14102">
        <w:rPr>
          <w:color w:val="000000" w:themeColor="text1"/>
          <w:sz w:val="16"/>
          <w:szCs w:val="16"/>
        </w:rPr>
        <w:t> 057. С объявлением положения о выплате добавочного вознаграждения за производство полетных испытаний материальной части и ВС РККА (15247).</w:t>
      </w:r>
    </w:p>
    <w:p w14:paraId="35086214" w14:textId="77777777" w:rsidR="003A53E2" w:rsidRPr="00E14102" w:rsidRDefault="003A53E2" w:rsidP="00E14102">
      <w:pPr>
        <w:pStyle w:val="rtejustify"/>
        <w:spacing w:before="0" w:after="0"/>
        <w:rPr>
          <w:color w:val="000000" w:themeColor="text1"/>
          <w:sz w:val="16"/>
          <w:szCs w:val="16"/>
        </w:rPr>
      </w:pPr>
    </w:p>
    <w:p w14:paraId="1DA75D3A" w14:textId="77777777" w:rsidR="00D52635"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8B04A3F" w14:textId="77777777" w:rsidR="00D52635" w:rsidRPr="00E14102" w:rsidRDefault="00D52635" w:rsidP="00E14102">
      <w:pPr>
        <w:autoSpaceDE w:val="0"/>
        <w:autoSpaceDN w:val="0"/>
        <w:adjustRightInd w:val="0"/>
        <w:jc w:val="both"/>
        <w:rPr>
          <w:iCs/>
          <w:color w:val="000000" w:themeColor="text1"/>
          <w:sz w:val="16"/>
          <w:szCs w:val="16"/>
        </w:rPr>
      </w:pPr>
    </w:p>
    <w:p w14:paraId="5E1D13FF" w14:textId="77777777" w:rsidR="003C567D" w:rsidRPr="00E14102" w:rsidRDefault="003C567D" w:rsidP="00E14102">
      <w:pPr>
        <w:jc w:val="both"/>
        <w:rPr>
          <w:rStyle w:val="a6"/>
          <w:i w:val="0"/>
          <w:color w:val="000000" w:themeColor="text1"/>
          <w:sz w:val="16"/>
          <w:szCs w:val="16"/>
        </w:rPr>
      </w:pPr>
      <w:r w:rsidRPr="00E14102">
        <w:rPr>
          <w:rStyle w:val="a6"/>
          <w:i w:val="0"/>
          <w:color w:val="000000" w:themeColor="text1"/>
          <w:sz w:val="16"/>
          <w:szCs w:val="16"/>
        </w:rPr>
        <w:t xml:space="preserve">Не позднее 10 апреля 1935 г.¹* </w:t>
      </w:r>
      <w:r w:rsidRPr="00E14102">
        <w:rPr>
          <w:color w:val="000000" w:themeColor="text1"/>
          <w:sz w:val="16"/>
          <w:szCs w:val="16"/>
        </w:rPr>
        <w:t>Докладная записка секретаря Комитета резервов при СТО СССР Э. А. Зибрака председателю СТО и СНК СССР В. М. Молотову о подготовке промышленности к переходу на изготовление суррогатированных пуль</w:t>
      </w:r>
    </w:p>
    <w:p w14:paraId="1C9517EC" w14:textId="77777777" w:rsidR="003C567D" w:rsidRPr="00E14102" w:rsidRDefault="003C567D" w:rsidP="00E14102">
      <w:pPr>
        <w:jc w:val="both"/>
        <w:rPr>
          <w:color w:val="000000" w:themeColor="text1"/>
          <w:sz w:val="16"/>
          <w:szCs w:val="16"/>
        </w:rPr>
      </w:pPr>
      <w:r w:rsidRPr="00E14102">
        <w:rPr>
          <w:rStyle w:val="a6"/>
          <w:i w:val="0"/>
          <w:color w:val="000000" w:themeColor="text1"/>
          <w:sz w:val="16"/>
          <w:szCs w:val="16"/>
        </w:rPr>
        <w:lastRenderedPageBreak/>
        <w:t>Совершенно секретно.</w:t>
      </w:r>
    </w:p>
    <w:p w14:paraId="1EC37CFF" w14:textId="77777777" w:rsidR="003C567D" w:rsidRPr="00E14102" w:rsidRDefault="003C567D" w:rsidP="00E14102">
      <w:pPr>
        <w:pStyle w:val="rtejustify"/>
        <w:spacing w:before="0" w:after="0"/>
        <w:rPr>
          <w:color w:val="000000" w:themeColor="text1"/>
          <w:sz w:val="16"/>
          <w:szCs w:val="16"/>
        </w:rPr>
      </w:pPr>
      <w:r w:rsidRPr="00E14102">
        <w:rPr>
          <w:color w:val="000000" w:themeColor="text1"/>
          <w:sz w:val="16"/>
          <w:szCs w:val="16"/>
        </w:rPr>
        <w:t>Отечественная добыча свинца не покрывает потребности народного хозяйства и в 1935 г. в СССР завозился по импорту 22 тыс. т свинца. Потребность в свинце для производства пуль в военное время возрастает с 7 тыс. т (по программе 1935 г.) до 47 тыс. т (по заявке НКО на год войны), в связи с чем возрастает и общая необеспеченность СССР по свинцу в течение первого года ведения войны.</w:t>
      </w:r>
    </w:p>
    <w:p w14:paraId="4C9F0852" w14:textId="77777777" w:rsidR="003C567D" w:rsidRPr="00E14102" w:rsidRDefault="003C567D" w:rsidP="00E14102">
      <w:pPr>
        <w:pStyle w:val="rtejustify"/>
        <w:spacing w:before="0" w:after="0"/>
        <w:rPr>
          <w:color w:val="000000" w:themeColor="text1"/>
          <w:sz w:val="16"/>
          <w:szCs w:val="16"/>
        </w:rPr>
      </w:pPr>
      <w:r w:rsidRPr="00E14102">
        <w:rPr>
          <w:color w:val="000000" w:themeColor="text1"/>
          <w:sz w:val="16"/>
          <w:szCs w:val="16"/>
        </w:rPr>
        <w:t>В целях сокращения расхода свинца и обеспечения производства пуль Комитетом резервов в январе 1934 г., с привлечением органов НКТП и НКО, был объявлен конкурс на замену свинцового сердечника в винтовочных и револьверных пулях железным. На конкурс поступило 20 предложений от заводских коллективов и отдельных изобретателей.</w:t>
      </w:r>
    </w:p>
    <w:p w14:paraId="0C0F08C9" w14:textId="77777777" w:rsidR="003C567D" w:rsidRPr="00E14102" w:rsidRDefault="003C567D" w:rsidP="00E14102">
      <w:pPr>
        <w:pStyle w:val="rtejustify"/>
        <w:spacing w:before="0" w:after="0"/>
        <w:rPr>
          <w:color w:val="000000" w:themeColor="text1"/>
          <w:sz w:val="16"/>
          <w:szCs w:val="16"/>
        </w:rPr>
      </w:pPr>
      <w:r w:rsidRPr="00E14102">
        <w:rPr>
          <w:color w:val="000000" w:themeColor="text1"/>
          <w:sz w:val="16"/>
          <w:szCs w:val="16"/>
        </w:rPr>
        <w:t>В течение 1934</w:t>
      </w:r>
      <w:r w:rsidRPr="00E14102">
        <w:rPr>
          <w:color w:val="000000" w:themeColor="text1"/>
          <w:sz w:val="16"/>
          <w:szCs w:val="16"/>
        </w:rPr>
        <w:noBreakHyphen/>
        <w:t>1935 гг. под наблюдением Комитета резервов на заводах Патронно-гильзового треста и полигонах Артуправления НКО совместно с авторами предложений производились разработка, исправление и испытание следующих поступивших на конкурс суррогатированных пуль: легкой и тяжелой трехлинейной пули, трассирующей трехлинейной пули и пуль к нагану, маузеру и браунингу.</w:t>
      </w:r>
    </w:p>
    <w:p w14:paraId="37D0B613" w14:textId="77777777" w:rsidR="003C567D" w:rsidRPr="00E14102" w:rsidRDefault="003C567D" w:rsidP="00E14102">
      <w:pPr>
        <w:pStyle w:val="rtejustify"/>
        <w:spacing w:before="0" w:after="0"/>
        <w:rPr>
          <w:color w:val="000000" w:themeColor="text1"/>
          <w:sz w:val="16"/>
          <w:szCs w:val="16"/>
        </w:rPr>
      </w:pPr>
      <w:r w:rsidRPr="00E14102">
        <w:rPr>
          <w:color w:val="000000" w:themeColor="text1"/>
          <w:sz w:val="16"/>
          <w:szCs w:val="16"/>
        </w:rPr>
        <w:t>В суррогатированных пулях свинцовый сердечник заменен железным в тонкой свинцовой рубашке, что сокращает расход свинца, ориентировочно, на 65%; вес пули сохранен прежний, для чего длина пули несколько увеличена. По заключению Научно-исследовательского полигона Артуправления НКО, производившего отстрел, последние образцы всех пуль удовлетворяют требованиям военного стандарта, а суррогатированные трехлинейные пули превосходят существующие пули штатного образца по дальности и кучности боя. Не закончены до сих пор только испытания легкой и тяжелой трехлинейных пуль на износ канала ствола, не могущие, однако, значительно повлиять на возможность применения суррогатированной пули.</w:t>
      </w:r>
    </w:p>
    <w:p w14:paraId="5CE5D370" w14:textId="77777777" w:rsidR="003C567D" w:rsidRPr="00E14102" w:rsidRDefault="003C567D" w:rsidP="00E14102">
      <w:pPr>
        <w:pStyle w:val="rtejustify"/>
        <w:spacing w:before="0" w:after="0"/>
        <w:rPr>
          <w:color w:val="000000" w:themeColor="text1"/>
          <w:sz w:val="16"/>
          <w:szCs w:val="16"/>
        </w:rPr>
      </w:pPr>
      <w:r w:rsidRPr="00E14102">
        <w:rPr>
          <w:color w:val="000000" w:themeColor="text1"/>
          <w:sz w:val="16"/>
          <w:szCs w:val="16"/>
        </w:rPr>
        <w:t>На основе изложенного Артуправление НКО 27 марта 1935 г. получило разрешение наркома обороны т. Ворошилова на заказ промышленности полуваловых партий суррогатированных пуль всех образцов для испытания их в войсках. Замена свинцового сердечника железным, в тонкой свинцовой рубашке, снизит расход свинца в первый год войны, ориентировочно, на 30 тыс. т и может дать значительную экономию расхода свинца уже в 1935 г.</w:t>
      </w:r>
    </w:p>
    <w:p w14:paraId="77ED5609" w14:textId="77777777" w:rsidR="003C567D" w:rsidRPr="00E14102" w:rsidRDefault="003C567D" w:rsidP="00E14102">
      <w:pPr>
        <w:pStyle w:val="rtejustify"/>
        <w:spacing w:before="0" w:after="0"/>
        <w:rPr>
          <w:color w:val="000000" w:themeColor="text1"/>
          <w:sz w:val="16"/>
          <w:szCs w:val="16"/>
        </w:rPr>
      </w:pPr>
      <w:r w:rsidRPr="00E14102">
        <w:rPr>
          <w:color w:val="000000" w:themeColor="text1"/>
          <w:sz w:val="16"/>
          <w:szCs w:val="16"/>
        </w:rPr>
        <w:t>Учитывая достигнутые результаты, в целях скорейшего сокращения расхода свинца и подготовки промышленности к переходу на суррогатированные пули, прошу обязать:</w:t>
      </w:r>
    </w:p>
    <w:p w14:paraId="670A9C1E" w14:textId="77777777" w:rsidR="003C567D" w:rsidRPr="00E14102" w:rsidRDefault="003C567D" w:rsidP="00E14102">
      <w:pPr>
        <w:pStyle w:val="rtejustify"/>
        <w:spacing w:before="0" w:after="0"/>
        <w:rPr>
          <w:color w:val="000000" w:themeColor="text1"/>
          <w:sz w:val="16"/>
          <w:szCs w:val="16"/>
        </w:rPr>
      </w:pPr>
      <w:r w:rsidRPr="00E14102">
        <w:rPr>
          <w:color w:val="000000" w:themeColor="text1"/>
          <w:sz w:val="16"/>
          <w:szCs w:val="16"/>
        </w:rPr>
        <w:t>1. Наркомтяжпром — к 1 июня 1935 г. изготовить и сдать Наркомату обороны полуваловую партию суррогатированных пуль и не позже 15 августа 1935 г., с учетом результатов отстрела пуль в войсках, представить Совету труда и обороны план и мероприятия по внедрению суррогатированных пуль в валовое производство во 2</w:t>
      </w:r>
      <w:r w:rsidRPr="00E14102">
        <w:rPr>
          <w:color w:val="000000" w:themeColor="text1"/>
          <w:sz w:val="16"/>
          <w:szCs w:val="16"/>
        </w:rPr>
        <w:noBreakHyphen/>
        <w:t>м полугодии 1935 г.</w:t>
      </w:r>
    </w:p>
    <w:p w14:paraId="1D1406B0" w14:textId="77777777" w:rsidR="003C567D" w:rsidRPr="00E14102" w:rsidRDefault="003C567D" w:rsidP="00E14102">
      <w:pPr>
        <w:pStyle w:val="rtejustify"/>
        <w:spacing w:before="0" w:after="0"/>
        <w:rPr>
          <w:color w:val="000000" w:themeColor="text1"/>
          <w:sz w:val="16"/>
          <w:szCs w:val="16"/>
        </w:rPr>
      </w:pPr>
      <w:r w:rsidRPr="00E14102">
        <w:rPr>
          <w:color w:val="000000" w:themeColor="text1"/>
          <w:sz w:val="16"/>
          <w:szCs w:val="16"/>
        </w:rPr>
        <w:t>2. Наркомат обороны — в кратчайший срок закончить полигонные испытания легкой и тяжелой трехлинейных пуль на износ канала ствола и не позже 1 августа закончить испытания полуваловых партий суррогатированных пуль в войсках.</w:t>
      </w:r>
    </w:p>
    <w:p w14:paraId="245154F9" w14:textId="77777777" w:rsidR="003C567D" w:rsidRPr="00E14102" w:rsidRDefault="003C567D" w:rsidP="00E14102">
      <w:pPr>
        <w:pStyle w:val="rtejustify"/>
        <w:spacing w:before="0" w:after="0"/>
        <w:rPr>
          <w:color w:val="000000" w:themeColor="text1"/>
          <w:sz w:val="16"/>
          <w:szCs w:val="16"/>
        </w:rPr>
      </w:pPr>
      <w:r w:rsidRPr="00E14102">
        <w:rPr>
          <w:color w:val="000000" w:themeColor="text1"/>
          <w:sz w:val="16"/>
          <w:szCs w:val="16"/>
        </w:rPr>
        <w:t>Проект постановления Совета труда и обороны прилагаю²*.</w:t>
      </w:r>
    </w:p>
    <w:p w14:paraId="5F358F6D" w14:textId="77777777" w:rsidR="003C567D" w:rsidRPr="00E14102" w:rsidRDefault="003C567D"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Секретарь Комитета резервов при СТО Зибрак</w:t>
      </w:r>
    </w:p>
    <w:p w14:paraId="24CC2091" w14:textId="77777777" w:rsidR="003C567D" w:rsidRPr="00E14102" w:rsidRDefault="003C567D"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460A1798" w14:textId="77777777" w:rsidR="003C567D" w:rsidRPr="00E14102" w:rsidRDefault="003C567D" w:rsidP="00E14102">
      <w:pPr>
        <w:pStyle w:val="rtejustify"/>
        <w:spacing w:before="0" w:after="0"/>
        <w:rPr>
          <w:color w:val="000000" w:themeColor="text1"/>
          <w:sz w:val="16"/>
          <w:szCs w:val="16"/>
        </w:rPr>
      </w:pPr>
      <w:r w:rsidRPr="00E14102">
        <w:rPr>
          <w:color w:val="000000" w:themeColor="text1"/>
          <w:sz w:val="16"/>
          <w:szCs w:val="16"/>
        </w:rPr>
        <w:t>¹* Датируется по сопроводительному письму.</w:t>
      </w:r>
    </w:p>
    <w:p w14:paraId="0C37EF8C" w14:textId="77777777" w:rsidR="003C567D" w:rsidRPr="00E14102" w:rsidRDefault="003C567D" w:rsidP="00E14102">
      <w:pPr>
        <w:pStyle w:val="rtejustify"/>
        <w:spacing w:before="0" w:after="0"/>
        <w:rPr>
          <w:color w:val="000000" w:themeColor="text1"/>
          <w:sz w:val="16"/>
          <w:szCs w:val="16"/>
        </w:rPr>
      </w:pPr>
      <w:r w:rsidRPr="00E14102">
        <w:rPr>
          <w:color w:val="000000" w:themeColor="text1"/>
          <w:sz w:val="16"/>
          <w:szCs w:val="16"/>
        </w:rPr>
        <w:t>²* Приложение не публикуется (см. там же, л. 16).</w:t>
      </w:r>
    </w:p>
    <w:p w14:paraId="58ED92B8" w14:textId="77777777" w:rsidR="003C567D" w:rsidRPr="00E14102" w:rsidRDefault="003C567D"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РГВА. Ф. 4. Оп. 14. Д. 1237. Л. 14-15. Копия (15341).</w:t>
      </w:r>
    </w:p>
    <w:p w14:paraId="2D2273E9" w14:textId="77777777" w:rsidR="003C567D" w:rsidRPr="00E14102" w:rsidRDefault="003C567D" w:rsidP="00E14102">
      <w:pPr>
        <w:pStyle w:val="rtejustify"/>
        <w:spacing w:before="0" w:after="0"/>
        <w:rPr>
          <w:rStyle w:val="a6"/>
          <w:bCs/>
          <w:i w:val="0"/>
          <w:color w:val="000000" w:themeColor="text1"/>
          <w:sz w:val="16"/>
          <w:szCs w:val="16"/>
        </w:rPr>
      </w:pPr>
    </w:p>
    <w:p w14:paraId="1DC58E09" w14:textId="77777777" w:rsidR="003A53E2" w:rsidRPr="00E14102" w:rsidRDefault="003A53E2" w:rsidP="00E14102">
      <w:pPr>
        <w:pStyle w:val="rtejustify"/>
        <w:spacing w:before="0" w:after="0"/>
        <w:rPr>
          <w:color w:val="000000" w:themeColor="text1"/>
          <w:sz w:val="16"/>
          <w:szCs w:val="16"/>
        </w:rPr>
      </w:pPr>
      <w:r w:rsidRPr="00E14102">
        <w:rPr>
          <w:rStyle w:val="a6"/>
          <w:bCs/>
          <w:i w:val="0"/>
          <w:color w:val="000000" w:themeColor="text1"/>
          <w:sz w:val="16"/>
          <w:szCs w:val="16"/>
        </w:rPr>
        <w:t>10 апреля 1935 вышел приказ НКТП № 66с.</w:t>
      </w:r>
      <w:r w:rsidRPr="00E14102">
        <w:rPr>
          <w:color w:val="000000" w:themeColor="text1"/>
          <w:sz w:val="16"/>
          <w:szCs w:val="16"/>
        </w:rPr>
        <w:t xml:space="preserve"> О производстве открытой спаренной (двухорудийной) установки 305</w:t>
      </w:r>
      <w:r w:rsidRPr="00E14102">
        <w:rPr>
          <w:color w:val="000000" w:themeColor="text1"/>
          <w:sz w:val="16"/>
          <w:szCs w:val="16"/>
        </w:rPr>
        <w:noBreakHyphen/>
        <w:t>мм пушек системы «К» на эсминце «Карл Маркс». (РГАЭ. Ф. 7297. Оп. 38. Д. 171. Л. 112—112 об.) (15246).</w:t>
      </w:r>
    </w:p>
    <w:p w14:paraId="3EE6A152" w14:textId="77777777" w:rsidR="003A53E2" w:rsidRPr="00E14102" w:rsidRDefault="003A53E2" w:rsidP="00E14102">
      <w:pPr>
        <w:pStyle w:val="rtejustify"/>
        <w:spacing w:before="0" w:after="0"/>
        <w:rPr>
          <w:color w:val="000000" w:themeColor="text1"/>
          <w:sz w:val="16"/>
          <w:szCs w:val="16"/>
        </w:rPr>
      </w:pPr>
    </w:p>
    <w:p w14:paraId="30C7AD84" w14:textId="77777777" w:rsidR="003A53E2" w:rsidRPr="00E14102" w:rsidRDefault="003A53E2" w:rsidP="00E14102">
      <w:pPr>
        <w:pStyle w:val="rtejustify"/>
        <w:spacing w:before="0" w:after="0"/>
        <w:rPr>
          <w:color w:val="000000" w:themeColor="text1"/>
          <w:sz w:val="16"/>
          <w:szCs w:val="16"/>
        </w:rPr>
      </w:pPr>
      <w:r w:rsidRPr="00E14102">
        <w:rPr>
          <w:rStyle w:val="a6"/>
          <w:bCs/>
          <w:i w:val="0"/>
          <w:color w:val="000000" w:themeColor="text1"/>
          <w:sz w:val="16"/>
          <w:szCs w:val="16"/>
        </w:rPr>
        <w:t>10 апреля 1935 вышел приказ НКТП № 67с.</w:t>
      </w:r>
      <w:r w:rsidRPr="00E14102">
        <w:rPr>
          <w:color w:val="000000" w:themeColor="text1"/>
          <w:sz w:val="16"/>
          <w:szCs w:val="16"/>
        </w:rPr>
        <w:t xml:space="preserve"> Об обеспечении выполнения программы 1935 г. по системам Курчевского. (РГАЭ. Ф. 7297. Оп. 38. Д. 171. Л. 116</w:t>
      </w:r>
      <w:r w:rsidRPr="00E14102">
        <w:rPr>
          <w:color w:val="000000" w:themeColor="text1"/>
          <w:sz w:val="16"/>
          <w:szCs w:val="16"/>
        </w:rPr>
        <w:noBreakHyphen/>
        <w:t>113) (15246).</w:t>
      </w:r>
    </w:p>
    <w:p w14:paraId="77587BEA" w14:textId="77777777" w:rsidR="003A53E2" w:rsidRPr="00E14102" w:rsidRDefault="003A53E2" w:rsidP="00E14102">
      <w:pPr>
        <w:pStyle w:val="rtejustify"/>
        <w:spacing w:before="0" w:after="0"/>
        <w:rPr>
          <w:color w:val="000000" w:themeColor="text1"/>
          <w:sz w:val="16"/>
          <w:szCs w:val="16"/>
        </w:rPr>
      </w:pPr>
    </w:p>
    <w:p w14:paraId="1896AD7B" w14:textId="77777777" w:rsidR="003A53E2" w:rsidRPr="00E14102" w:rsidRDefault="003A53E2" w:rsidP="00E14102">
      <w:pPr>
        <w:pStyle w:val="rtejustify"/>
        <w:spacing w:before="0" w:after="0"/>
        <w:rPr>
          <w:color w:val="000000" w:themeColor="text1"/>
          <w:sz w:val="16"/>
          <w:szCs w:val="16"/>
        </w:rPr>
      </w:pPr>
      <w:r w:rsidRPr="00E14102">
        <w:rPr>
          <w:rStyle w:val="a6"/>
          <w:bCs/>
          <w:i w:val="0"/>
          <w:color w:val="000000" w:themeColor="text1"/>
          <w:sz w:val="16"/>
          <w:szCs w:val="16"/>
        </w:rPr>
        <w:t>10 апреля 1935 вышел приказ НКТП № 70сс.</w:t>
      </w:r>
      <w:r w:rsidRPr="00E14102">
        <w:rPr>
          <w:color w:val="000000" w:themeColor="text1"/>
          <w:sz w:val="16"/>
          <w:szCs w:val="16"/>
        </w:rPr>
        <w:t xml:space="preserve"> О форсировании строительства Харьковского паровозостроительного завода. (РГАЭ. Ф. 7297. Оп. 38. Д. 171. Л. 125) (15246).</w:t>
      </w:r>
    </w:p>
    <w:p w14:paraId="678A09B1" w14:textId="77777777" w:rsidR="003A53E2" w:rsidRPr="00E14102" w:rsidRDefault="003A53E2" w:rsidP="00E14102">
      <w:pPr>
        <w:pStyle w:val="rtejustify"/>
        <w:spacing w:before="0" w:after="0"/>
        <w:rPr>
          <w:color w:val="000000" w:themeColor="text1"/>
          <w:sz w:val="16"/>
          <w:szCs w:val="16"/>
        </w:rPr>
      </w:pPr>
    </w:p>
    <w:p w14:paraId="35A2CC7A" w14:textId="77777777" w:rsidR="00D52635" w:rsidRPr="00E14102" w:rsidRDefault="00D52635"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10 апреля 1935 года</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были спущены на воду две других подводных лодки и серии Сормовского завода, заложенных 6 ноября 1933. Вот как об этом рассказывает М. И. Лернер в своих воспоминаниях: «… паводок оказался низким. При его уровне суда с кильблоков всплыть не могли». Были рассмотрены три варианта их снятия с кильблоков: подъем с помощью дополнительной плавучести эпроновских понтонов; с помощью конструктивных приспособлений в виде консолей укрепленных к плавучему доку (В. М. Коричев, С. Н. Якимовский и А. П. Овчинников); или за счет подъема уровня воды в судояме с помощью накачки ее из Волги насосами. Но ничего этого не потребовалось. На рассвете одного из дней вода прибыла, и лодки всплыли».</w:t>
      </w:r>
    </w:p>
    <w:p w14:paraId="418B43DB" w14:textId="77777777" w:rsidR="00D52635" w:rsidRPr="00E14102" w:rsidRDefault="00D52635"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затоне завода лодки продолжали достраиваться еще целый год. Весной 1936 года они были отправлены в доках в Кронштадт, где и были сданы флоту в августе 1936 года. Командирами этих лодок на момент сдачи были Д. Ф. Блок («Щ-310») и А. Г. Лопухин («Щ-311») (12191).</w:t>
      </w:r>
    </w:p>
    <w:p w14:paraId="16B6F2BE" w14:textId="77777777" w:rsidR="00D52635" w:rsidRPr="00E14102" w:rsidRDefault="00D52635" w:rsidP="00E14102">
      <w:pPr>
        <w:pStyle w:val="ad"/>
        <w:shd w:val="clear" w:color="auto" w:fill="FFFFFF"/>
        <w:spacing w:before="0" w:after="0"/>
        <w:rPr>
          <w:rFonts w:ascii="Times New Roman" w:hAnsi="Times New Roman" w:cs="Times New Roman"/>
          <w:color w:val="000000" w:themeColor="text1"/>
          <w:sz w:val="16"/>
          <w:szCs w:val="16"/>
          <w:lang w:val="ru-RU"/>
        </w:rPr>
      </w:pPr>
    </w:p>
    <w:p w14:paraId="038B0FC2" w14:textId="77777777" w:rsidR="00C559C8" w:rsidRPr="00E14102" w:rsidRDefault="00C559C8" w:rsidP="00E14102">
      <w:pPr>
        <w:autoSpaceDE w:val="0"/>
        <w:autoSpaceDN w:val="0"/>
        <w:adjustRightInd w:val="0"/>
        <w:jc w:val="both"/>
        <w:rPr>
          <w:iCs/>
          <w:color w:val="000000" w:themeColor="text1"/>
          <w:sz w:val="16"/>
          <w:szCs w:val="16"/>
        </w:rPr>
      </w:pPr>
      <w:r w:rsidRPr="00E14102">
        <w:rPr>
          <w:iCs/>
          <w:color w:val="000000" w:themeColor="text1"/>
          <w:sz w:val="16"/>
          <w:szCs w:val="16"/>
        </w:rPr>
        <w:t>Жизнь и внутреннняя политика:</w:t>
      </w:r>
    </w:p>
    <w:p w14:paraId="08E849D1" w14:textId="77777777" w:rsidR="00C559C8" w:rsidRPr="00E14102" w:rsidRDefault="00C559C8" w:rsidP="00E14102">
      <w:pPr>
        <w:autoSpaceDE w:val="0"/>
        <w:autoSpaceDN w:val="0"/>
        <w:adjustRightInd w:val="0"/>
        <w:jc w:val="both"/>
        <w:rPr>
          <w:iCs/>
          <w:color w:val="000000" w:themeColor="text1"/>
          <w:sz w:val="16"/>
          <w:szCs w:val="16"/>
        </w:rPr>
      </w:pPr>
    </w:p>
    <w:p w14:paraId="52647D37" w14:textId="77777777" w:rsidR="00C559C8" w:rsidRPr="00E14102" w:rsidRDefault="00C559C8" w:rsidP="00E14102">
      <w:pPr>
        <w:jc w:val="both"/>
        <w:rPr>
          <w:color w:val="000000" w:themeColor="text1"/>
          <w:sz w:val="16"/>
          <w:szCs w:val="16"/>
        </w:rPr>
      </w:pPr>
      <w:r w:rsidRPr="00E14102">
        <w:rPr>
          <w:color w:val="000000" w:themeColor="text1"/>
          <w:sz w:val="16"/>
          <w:szCs w:val="16"/>
        </w:rPr>
        <w:t xml:space="preserve">10 апреля 1935 руководитель Главлита Волин писал: «1. Никаких общих чисток библиотек на основании приказа №40 </w:t>
      </w:r>
      <w:r w:rsidRPr="00E14102">
        <w:rPr>
          <w:color w:val="000000" w:themeColor="text1"/>
          <w:sz w:val="16"/>
          <w:szCs w:val="16"/>
          <w:u w:val="single"/>
        </w:rPr>
        <w:t>не</w:t>
      </w:r>
      <w:r w:rsidRPr="00E14102">
        <w:rPr>
          <w:color w:val="000000" w:themeColor="text1"/>
          <w:sz w:val="16"/>
          <w:szCs w:val="16"/>
        </w:rPr>
        <w:t xml:space="preserve"> производить. 2. Никакого расширительного толкования приказа №40 не допускать». А 13 апреля он успокаивал местных цензоров: «В ближайшие дни будет дан подробный список литературы, подлежащей изъятию». И действительно, 26 мая в циркуляре № 1119 был дан список 7 книг, подлежащих изъятию.</w:t>
      </w:r>
    </w:p>
    <w:p w14:paraId="742479D9" w14:textId="77777777" w:rsidR="00C559C8" w:rsidRPr="00E14102" w:rsidRDefault="00C559C8" w:rsidP="00E14102">
      <w:pPr>
        <w:autoSpaceDE w:val="0"/>
        <w:autoSpaceDN w:val="0"/>
        <w:adjustRightInd w:val="0"/>
        <w:jc w:val="both"/>
        <w:rPr>
          <w:color w:val="000000" w:themeColor="text1"/>
          <w:sz w:val="16"/>
          <w:szCs w:val="16"/>
        </w:rPr>
      </w:pPr>
      <w:r w:rsidRPr="00E14102">
        <w:rPr>
          <w:color w:val="000000" w:themeColor="text1"/>
          <w:sz w:val="16"/>
          <w:szCs w:val="16"/>
        </w:rPr>
        <w:t>Кроме организационной подготовки "Кремлевского дела" (июль 1935 г.), по которому проходили многие лидеры большевистского руководства, была проведена и идеологическая подготовка (17273).</w:t>
      </w:r>
    </w:p>
    <w:p w14:paraId="366375FD" w14:textId="77777777" w:rsidR="00C559C8" w:rsidRPr="00E14102" w:rsidRDefault="00C559C8" w:rsidP="00E14102">
      <w:pPr>
        <w:autoSpaceDE w:val="0"/>
        <w:autoSpaceDN w:val="0"/>
        <w:adjustRightInd w:val="0"/>
        <w:jc w:val="both"/>
        <w:rPr>
          <w:color w:val="000000" w:themeColor="text1"/>
          <w:sz w:val="16"/>
          <w:szCs w:val="16"/>
        </w:rPr>
      </w:pPr>
    </w:p>
    <w:p w14:paraId="20B2440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1E78CB6" w14:textId="77777777" w:rsidR="00D4105E" w:rsidRPr="00E14102" w:rsidRDefault="00D4105E" w:rsidP="00E14102">
      <w:pPr>
        <w:autoSpaceDE w:val="0"/>
        <w:autoSpaceDN w:val="0"/>
        <w:adjustRightInd w:val="0"/>
        <w:jc w:val="both"/>
        <w:rPr>
          <w:iCs/>
          <w:color w:val="000000" w:themeColor="text1"/>
          <w:sz w:val="16"/>
          <w:szCs w:val="16"/>
        </w:rPr>
      </w:pPr>
    </w:p>
    <w:p w14:paraId="5B0E24B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апреля 1935 Герман Геринг женился на актрисе Эмме Зоннеман (4962).</w:t>
      </w:r>
    </w:p>
    <w:p w14:paraId="48A3716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14225A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1AA6795" w14:textId="77777777" w:rsidR="00D4105E" w:rsidRPr="00E14102" w:rsidRDefault="00D4105E" w:rsidP="00E14102">
      <w:pPr>
        <w:autoSpaceDE w:val="0"/>
        <w:autoSpaceDN w:val="0"/>
        <w:adjustRightInd w:val="0"/>
        <w:jc w:val="both"/>
        <w:rPr>
          <w:iCs/>
          <w:color w:val="000000" w:themeColor="text1"/>
          <w:sz w:val="16"/>
          <w:szCs w:val="16"/>
        </w:rPr>
      </w:pPr>
    </w:p>
    <w:p w14:paraId="21548D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апреля 1935 года нарком тяжелой промышленности Орджоникидзе писал письмо № 01/2847 в СТО Молотову</w:t>
      </w:r>
    </w:p>
    <w:p w14:paraId="43CB27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СТО от 28 ноября 1933 года на завод № 39 было возложено срочное задание поставить в 1934 году производство двух новых самолетов: И-15, И-16 М-22, опытные экземпляры которых показали исключительно хорошие результаты.</w:t>
      </w:r>
    </w:p>
    <w:p w14:paraId="63AF4A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заключил договор с УВВС, которым цены были определены с отклонением в 20%.Изменения в технических данных подлежали оплате УВВС при условии оформления их особыми соглашениями. Решением СТО, ввиду хороших результатов испытания образцов резко улучшивших данные наших истребителей и в виду особой срочности дела, завод обязан был начать серийную постройку самолетов до окончания эксплуатационных испытаний.</w:t>
      </w:r>
    </w:p>
    <w:p w14:paraId="56BAA9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результате трехкратных испытаний в ВВС последний потребовал целый ряд изменений конструкций, что вызвало громадную работу по переделкам и даже замене деталей.</w:t>
      </w:r>
    </w:p>
    <w:p w14:paraId="5211F0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 завод успешно справился с заданием и сдал УВВС в окончательном виде 34 самолета И-15. Сданы также и 50 самолетов И-16, но на них переделывается вооружение, причем сданные самолеты И-15 дали более высокие качества, чем было предусмотрено заданием.</w:t>
      </w:r>
    </w:p>
    <w:p w14:paraId="15423B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Изменение конструкции самолетов и технических условий в процессе серийного производства вызвало значительное удорожание себестоимости, не предусмотренное сторонами при заключении договора.</w:t>
      </w:r>
    </w:p>
    <w:p w14:paraId="28FA21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отчету на 1 января 1935 года убыток 39 завода по этим машинам выразился в сумме 3996 тысяч рублей.</w:t>
      </w:r>
    </w:p>
    <w:p w14:paraId="1ED642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Госарбитраж при СНК решением от 25 марта 1935 года по делу № 385с установил:</w:t>
      </w:r>
    </w:p>
    <w:p w14:paraId="1CBCACE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Что после заключения договора действительно вносились изменения в технические условия и в конструкцию самолета при серийном производстве;</w:t>
      </w:r>
    </w:p>
    <w:p w14:paraId="0D42A9F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Что ввиду того, что работы носили срочный характер согласно заданий Правительства, сторонами не была оформлена дополнительная оплата всех переделок, повысивших качество машин и вызвавших значительные расходы;</w:t>
      </w:r>
    </w:p>
    <w:p w14:paraId="517FF0A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Что 39 завод не может нести убытков по затратам, понесенным им для улучшения качества машин и придания им боеспособности.</w:t>
      </w:r>
    </w:p>
    <w:p w14:paraId="343F20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 не менее, Госарбитраж не нашел возможным возложить уплату убытков на УВВС, кредиты которого исчерпаны.</w:t>
      </w:r>
    </w:p>
    <w:p w14:paraId="74C67B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изложенного, прошу СТО об ассигновании 39 заводу на покрытие убытков по изготовлению вышеуказанных самолетов 3996 тысяч рублей (4170, 107).</w:t>
      </w:r>
    </w:p>
    <w:p w14:paraId="7D7D5F7A" w14:textId="77777777" w:rsidR="00D4105E" w:rsidRPr="00E14102" w:rsidRDefault="00D4105E" w:rsidP="00E14102">
      <w:pPr>
        <w:autoSpaceDE w:val="0"/>
        <w:autoSpaceDN w:val="0"/>
        <w:adjustRightInd w:val="0"/>
        <w:jc w:val="both"/>
        <w:rPr>
          <w:color w:val="000000" w:themeColor="text1"/>
          <w:sz w:val="16"/>
          <w:szCs w:val="16"/>
        </w:rPr>
      </w:pPr>
    </w:p>
    <w:p w14:paraId="4DC4B425" w14:textId="77777777" w:rsidR="003A53E2" w:rsidRPr="00E14102" w:rsidRDefault="003A53E2" w:rsidP="00E14102">
      <w:pPr>
        <w:jc w:val="both"/>
        <w:rPr>
          <w:color w:val="000000" w:themeColor="text1"/>
          <w:sz w:val="16"/>
          <w:szCs w:val="16"/>
        </w:rPr>
      </w:pPr>
      <w:r w:rsidRPr="00E14102">
        <w:rPr>
          <w:color w:val="000000" w:themeColor="text1"/>
          <w:sz w:val="16"/>
          <w:szCs w:val="16"/>
        </w:rPr>
        <w:lastRenderedPageBreak/>
        <w:t>11 апреля в 1935 году авария самолёта «И-153» №6008, из числа самолётов войсковой серии. Самолёт разрушился в воздухе при достижении скорости пикирования 500 км/ч. Причиной считали недостаточную прочность крыльев, поэтому в число доработок вошло и усиление конструкции. В частности, начиная с 4-й серии, зашивка передней кромки крыльев фанерой стала делаться по всему размаху (15096).</w:t>
      </w:r>
    </w:p>
    <w:p w14:paraId="0E3FCDC8" w14:textId="77777777" w:rsidR="003A53E2" w:rsidRPr="00E14102" w:rsidRDefault="003A53E2" w:rsidP="00E14102">
      <w:pPr>
        <w:jc w:val="both"/>
        <w:rPr>
          <w:color w:val="000000" w:themeColor="text1"/>
          <w:sz w:val="16"/>
          <w:szCs w:val="16"/>
        </w:rPr>
      </w:pPr>
    </w:p>
    <w:p w14:paraId="40C6191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апреля 1935 С.Н.Анохин в качестве инструктора ВЛПШ отбыл в Турцию из Одессы для помощи в организации общества Турецкая птица по просьбе Аттатюрка. Обучал полетам на самолетах и планерах и вернулся только в январе 1940 (5490, 28).</w:t>
      </w:r>
    </w:p>
    <w:p w14:paraId="0ABC8FD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EE7362B" w14:textId="77777777" w:rsidR="003A53E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716149F" w14:textId="77777777" w:rsidR="003A53E2" w:rsidRPr="00E14102" w:rsidRDefault="003A53E2" w:rsidP="00E14102">
      <w:pPr>
        <w:autoSpaceDE w:val="0"/>
        <w:autoSpaceDN w:val="0"/>
        <w:adjustRightInd w:val="0"/>
        <w:jc w:val="both"/>
        <w:rPr>
          <w:iCs/>
          <w:color w:val="000000" w:themeColor="text1"/>
          <w:sz w:val="16"/>
          <w:szCs w:val="16"/>
        </w:rPr>
      </w:pPr>
    </w:p>
    <w:p w14:paraId="7521DB1F" w14:textId="77777777" w:rsidR="003A53E2" w:rsidRPr="00E14102" w:rsidRDefault="003A53E2" w:rsidP="00E14102">
      <w:pPr>
        <w:pStyle w:val="rtejustify"/>
        <w:spacing w:before="0" w:after="0"/>
        <w:rPr>
          <w:color w:val="000000" w:themeColor="text1"/>
          <w:sz w:val="16"/>
          <w:szCs w:val="16"/>
        </w:rPr>
      </w:pPr>
      <w:r w:rsidRPr="00E14102">
        <w:rPr>
          <w:rStyle w:val="a6"/>
          <w:bCs/>
          <w:i w:val="0"/>
          <w:color w:val="000000" w:themeColor="text1"/>
          <w:sz w:val="16"/>
          <w:szCs w:val="16"/>
        </w:rPr>
        <w:t>11 апреля 1935 вышел приказ НКТП № 69с.</w:t>
      </w:r>
      <w:r w:rsidRPr="00E14102">
        <w:rPr>
          <w:color w:val="000000" w:themeColor="text1"/>
          <w:sz w:val="16"/>
          <w:szCs w:val="16"/>
        </w:rPr>
        <w:t xml:space="preserve"> Об обеспечении материалами, сырьем, оборудованием предприятий Военно-химического треста органических производств (ВХТОП) и строительств заводов № 96 и 97. (РГАЭ. Ф. 7297. Оп. 38. Д. 171. Л. 123) (15246).</w:t>
      </w:r>
    </w:p>
    <w:p w14:paraId="2EE0196B" w14:textId="77777777" w:rsidR="003A53E2" w:rsidRPr="00E14102" w:rsidRDefault="003A53E2" w:rsidP="00E14102">
      <w:pPr>
        <w:pStyle w:val="rtejustify"/>
        <w:spacing w:before="0" w:after="0"/>
        <w:rPr>
          <w:color w:val="000000" w:themeColor="text1"/>
          <w:sz w:val="16"/>
          <w:szCs w:val="16"/>
        </w:rPr>
      </w:pPr>
    </w:p>
    <w:p w14:paraId="663BD9B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11D0686" w14:textId="77777777" w:rsidR="00D4105E" w:rsidRPr="00E14102" w:rsidRDefault="00D4105E" w:rsidP="00E14102">
      <w:pPr>
        <w:autoSpaceDE w:val="0"/>
        <w:autoSpaceDN w:val="0"/>
        <w:adjustRightInd w:val="0"/>
        <w:jc w:val="both"/>
        <w:rPr>
          <w:iCs/>
          <w:color w:val="000000" w:themeColor="text1"/>
          <w:sz w:val="16"/>
          <w:szCs w:val="16"/>
        </w:rPr>
      </w:pPr>
    </w:p>
    <w:p w14:paraId="718FF481" w14:textId="77777777" w:rsidR="003A53E2" w:rsidRPr="00E14102" w:rsidRDefault="003A53E2" w:rsidP="00E14102">
      <w:pPr>
        <w:jc w:val="both"/>
        <w:rPr>
          <w:color w:val="000000" w:themeColor="text1"/>
          <w:sz w:val="16"/>
          <w:szCs w:val="16"/>
        </w:rPr>
      </w:pPr>
      <w:r w:rsidRPr="00E14102">
        <w:rPr>
          <w:color w:val="000000" w:themeColor="text1"/>
          <w:sz w:val="16"/>
          <w:szCs w:val="16"/>
        </w:rPr>
        <w:t>11 апреля в 1935 году в Италии, в Стрезе открывается англо-франко-итальянская конференция по вопросу о нарушении Германией Версальского договора - недавнее введение закона о всеобщей воинской повинности. Стороны осуждают этот факт, но не принимают никаких практических действий для борьбы с нарушениями международных договоров в дальнейшем (15096).</w:t>
      </w:r>
    </w:p>
    <w:p w14:paraId="3AA3F10D" w14:textId="77777777" w:rsidR="003A53E2" w:rsidRPr="00E14102" w:rsidRDefault="003A53E2" w:rsidP="00E14102">
      <w:pPr>
        <w:jc w:val="both"/>
        <w:rPr>
          <w:color w:val="000000" w:themeColor="text1"/>
          <w:sz w:val="16"/>
          <w:szCs w:val="16"/>
        </w:rPr>
      </w:pPr>
    </w:p>
    <w:p w14:paraId="3E6340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11-14 апреля 1935 прошла конференция Стреза, где представители Франции, Великобритании и Италии обсуждали вопрос о нарушении Германией Версальских договоров. Мер не приняли (2443,156).</w:t>
      </w:r>
    </w:p>
    <w:p w14:paraId="00B565ED" w14:textId="77777777" w:rsidR="00D4105E" w:rsidRPr="00E14102" w:rsidRDefault="00D4105E" w:rsidP="00E14102">
      <w:pPr>
        <w:autoSpaceDE w:val="0"/>
        <w:autoSpaceDN w:val="0"/>
        <w:adjustRightInd w:val="0"/>
        <w:jc w:val="both"/>
        <w:rPr>
          <w:color w:val="000000" w:themeColor="text1"/>
          <w:sz w:val="16"/>
          <w:szCs w:val="16"/>
        </w:rPr>
      </w:pPr>
    </w:p>
    <w:p w14:paraId="4A13DB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11-14 апреля 1935 г. в Стрезе собралась Конференция представителей Франции, Великобритании и Италии для обсуждения германских дел. Накануне ее открытия Париж демонстративно заявил о готовности в ближайшем будущем подписать пакт о взаимопомощи с СССР. Британская делегация отстаивала необходимость уступок Германии и указывала на неприемлемости жесткого давления на нее. Лондон отклонил требование Парижа о применении к Германии санкций в случае, если нарушения Версальского договора повторятся. Британское правительство считало, что разумнее было предоставить Берлину требуемые им права и одновременно попробовать вовлечь его в конструктивные отношения с соседними государствами. Информация о положении дел в германской авиации убедила Лондон в невозможности помешать Германии вооружиться, если она сделала на это ставку. Попытки Франции сдержать Германию политико-правовыми методами казались не убедительными, а подкреплять декларации решительными мерами Великобритания не собиралась. Италия на конференции занимала настороженно выжидательную позицию. Муссолини было важно сохранить ровные отношения и с Парижем, и с Лондоном. Он опасался, что евроатлантические державы могут использовать встречу в Стрезе для давления на Италию в вопросе об Эфиопии. Ни французская, ни британская делегации, однако, не настаивали на подробном обсуждении этой проблемы, перенеся его с пленарных заседаний на уровень комиссий экспертов. Муссолини опасался их провоцировать. В итоге итальянская делегация поддержала общую декларацию конференции, как этого требовала Франция, но выступила против применения к Германии санкций, как на этом настаивала Великобритания. По вопросу о санкциях Франция оказалась в изоляции (3871).</w:t>
      </w:r>
    </w:p>
    <w:p w14:paraId="76CE7818" w14:textId="77777777" w:rsidR="00D4105E" w:rsidRPr="00E14102" w:rsidRDefault="00D4105E" w:rsidP="00E14102">
      <w:pPr>
        <w:autoSpaceDE w:val="0"/>
        <w:autoSpaceDN w:val="0"/>
        <w:adjustRightInd w:val="0"/>
        <w:jc w:val="both"/>
        <w:rPr>
          <w:color w:val="000000" w:themeColor="text1"/>
          <w:sz w:val="16"/>
          <w:szCs w:val="16"/>
        </w:rPr>
      </w:pPr>
    </w:p>
    <w:p w14:paraId="69E21A3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214A698" w14:textId="77777777" w:rsidR="00D4105E" w:rsidRPr="00E14102" w:rsidRDefault="00D4105E" w:rsidP="00E14102">
      <w:pPr>
        <w:autoSpaceDE w:val="0"/>
        <w:autoSpaceDN w:val="0"/>
        <w:adjustRightInd w:val="0"/>
        <w:jc w:val="both"/>
        <w:rPr>
          <w:iCs/>
          <w:color w:val="000000" w:themeColor="text1"/>
          <w:sz w:val="16"/>
          <w:szCs w:val="16"/>
        </w:rPr>
      </w:pPr>
    </w:p>
    <w:p w14:paraId="0D47DD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12 апреля по 28 мая 1935 проходили серийные испытания КР-6 N 22330 (эталон на 1935). Исполнители: ви ЛЭС Рязанов и вл Юнгмейстер. Цель испытаний:</w:t>
      </w:r>
    </w:p>
    <w:p w14:paraId="1901A2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Проверить летные качества серийного КР-6 и соответствие их тех. условиям ВС</w:t>
      </w:r>
    </w:p>
    <w:p w14:paraId="6ECE4A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Проверить весовые данные и центровку</w:t>
      </w:r>
    </w:p>
    <w:p w14:paraId="7B0F5E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Проверить усиленные стойки шасси</w:t>
      </w:r>
    </w:p>
    <w:p w14:paraId="17B620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Проверить пригодность аварийного слива</w:t>
      </w:r>
    </w:p>
    <w:p w14:paraId="410C39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Проверить емкость баков и их тарировку</w:t>
      </w:r>
    </w:p>
    <w:p w14:paraId="0CF3F5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Выявить конструктивные и производственные дефекты (2936;2949).</w:t>
      </w:r>
    </w:p>
    <w:p w14:paraId="062C0DF5" w14:textId="77777777" w:rsidR="00D4105E" w:rsidRPr="00E14102" w:rsidRDefault="00D4105E" w:rsidP="00E14102">
      <w:pPr>
        <w:autoSpaceDE w:val="0"/>
        <w:autoSpaceDN w:val="0"/>
        <w:adjustRightInd w:val="0"/>
        <w:jc w:val="both"/>
        <w:rPr>
          <w:color w:val="000000" w:themeColor="text1"/>
          <w:sz w:val="16"/>
          <w:szCs w:val="16"/>
        </w:rPr>
      </w:pPr>
    </w:p>
    <w:p w14:paraId="63202E58" w14:textId="77777777" w:rsidR="008507A2" w:rsidRPr="00E14102" w:rsidRDefault="008507A2" w:rsidP="00E14102">
      <w:pPr>
        <w:jc w:val="both"/>
        <w:rPr>
          <w:color w:val="000000" w:themeColor="text1"/>
          <w:sz w:val="16"/>
          <w:szCs w:val="16"/>
        </w:rPr>
      </w:pPr>
      <w:r w:rsidRPr="00E14102">
        <w:rPr>
          <w:color w:val="000000" w:themeColor="text1"/>
          <w:sz w:val="16"/>
          <w:szCs w:val="16"/>
        </w:rPr>
        <w:t>12 апреля 1935 г. Савин и Норов, которые до 1935 г. работа</w:t>
      </w:r>
      <w:r w:rsidRPr="00E14102">
        <w:rPr>
          <w:color w:val="000000" w:themeColor="text1"/>
          <w:sz w:val="16"/>
          <w:szCs w:val="16"/>
        </w:rPr>
        <w:softHyphen/>
        <w:t>ли в ОКБ-15, много сделали для отработки пуле</w:t>
      </w:r>
      <w:r w:rsidRPr="00E14102">
        <w:rPr>
          <w:color w:val="000000" w:themeColor="text1"/>
          <w:sz w:val="16"/>
          <w:szCs w:val="16"/>
        </w:rPr>
        <w:softHyphen/>
        <w:t>мета ШКАС, после того, как вышли с инициативой построить пулемет собственной оригинальной конструкции с темпом стрельбы свыше 3000 выстр./мин «и этот пулемет стал известен целому ряду работников оружей- но-пулеметной промышленности», Шпитальный не замедлил объявить, что это его предложение. Об этом Шпитальный «написал в Правительство и дал задание на проектирование пулемета Ультра-ШКАС инженеру Бортновскому, применив для повышения скорострельности пулемета принцип, разработан</w:t>
      </w:r>
      <w:r w:rsidRPr="00E14102">
        <w:rPr>
          <w:color w:val="000000" w:themeColor="text1"/>
          <w:sz w:val="16"/>
          <w:szCs w:val="16"/>
        </w:rPr>
        <w:softHyphen/>
        <w:t>ный Савиным и Норовым». В этих условиях Савин и Норов вынуждены были уволиться из ОКБ-15.</w:t>
      </w:r>
    </w:p>
    <w:p w14:paraId="649EC49A" w14:textId="77777777" w:rsidR="008507A2" w:rsidRPr="00E14102" w:rsidRDefault="008507A2" w:rsidP="00E14102">
      <w:pPr>
        <w:jc w:val="both"/>
        <w:rPr>
          <w:color w:val="000000" w:themeColor="text1"/>
          <w:sz w:val="16"/>
          <w:szCs w:val="16"/>
        </w:rPr>
      </w:pPr>
      <w:r w:rsidRPr="00E14102">
        <w:rPr>
          <w:color w:val="000000" w:themeColor="text1"/>
          <w:sz w:val="16"/>
          <w:szCs w:val="16"/>
        </w:rPr>
        <w:t>По утверждению начальника 1-го отдела 3-го Управ</w:t>
      </w:r>
      <w:r w:rsidRPr="00E14102">
        <w:rPr>
          <w:color w:val="000000" w:themeColor="text1"/>
          <w:sz w:val="16"/>
          <w:szCs w:val="16"/>
        </w:rPr>
        <w:softHyphen/>
        <w:t>ления ГУАС КА бригинженера М. П. Пономарева, Савин и Норов после ухода на протяжении «почти 5 лет систематически преследовались Шпиталь</w:t>
      </w:r>
      <w:r w:rsidRPr="00E14102">
        <w:rPr>
          <w:color w:val="000000" w:themeColor="text1"/>
          <w:sz w:val="16"/>
          <w:szCs w:val="16"/>
        </w:rPr>
        <w:softHyphen/>
        <w:t>ным», который все это время «занимался клеветой по адресу этих конструкторов, обвиняя их в плаги</w:t>
      </w:r>
      <w:r w:rsidRPr="00E14102">
        <w:rPr>
          <w:color w:val="000000" w:themeColor="text1"/>
          <w:sz w:val="16"/>
          <w:szCs w:val="16"/>
        </w:rPr>
        <w:softHyphen/>
        <w:t>ате, и этим самым мешал окончательной доводке пулемета СН». За это время Савин и Норов успели поработать в Ижевске, Туле, Коврове и на неко</w:t>
      </w:r>
      <w:r w:rsidRPr="00E14102">
        <w:rPr>
          <w:color w:val="000000" w:themeColor="text1"/>
          <w:sz w:val="16"/>
          <w:szCs w:val="16"/>
        </w:rPr>
        <w:softHyphen/>
        <w:t>торых предприятиях г. Москвы. Позже И. В. Савин и А. К. Норов оказались в ОКБ-16 в должности руко</w:t>
      </w:r>
      <w:r w:rsidRPr="00E14102">
        <w:rPr>
          <w:color w:val="000000" w:themeColor="text1"/>
          <w:sz w:val="16"/>
          <w:szCs w:val="16"/>
        </w:rPr>
        <w:softHyphen/>
        <w:t>водителей конструкторских групп (17500).</w:t>
      </w:r>
    </w:p>
    <w:p w14:paraId="39E93198" w14:textId="77777777" w:rsidR="008507A2" w:rsidRPr="00E14102" w:rsidRDefault="008507A2" w:rsidP="00E14102">
      <w:pPr>
        <w:jc w:val="both"/>
        <w:rPr>
          <w:color w:val="000000" w:themeColor="text1"/>
          <w:sz w:val="16"/>
          <w:szCs w:val="16"/>
        </w:rPr>
      </w:pPr>
    </w:p>
    <w:p w14:paraId="42207267" w14:textId="77777777" w:rsidR="003A53E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1D1BF9E" w14:textId="77777777" w:rsidR="003A53E2" w:rsidRPr="00E14102" w:rsidRDefault="003A53E2" w:rsidP="00E14102">
      <w:pPr>
        <w:autoSpaceDE w:val="0"/>
        <w:autoSpaceDN w:val="0"/>
        <w:adjustRightInd w:val="0"/>
        <w:jc w:val="both"/>
        <w:rPr>
          <w:iCs/>
          <w:color w:val="000000" w:themeColor="text1"/>
          <w:sz w:val="16"/>
          <w:szCs w:val="16"/>
        </w:rPr>
      </w:pPr>
    </w:p>
    <w:p w14:paraId="16B10750" w14:textId="77777777" w:rsidR="003A53E2" w:rsidRPr="00E14102" w:rsidRDefault="003A53E2" w:rsidP="00E14102">
      <w:pPr>
        <w:pStyle w:val="rtejustify"/>
        <w:spacing w:before="0" w:after="0"/>
        <w:rPr>
          <w:color w:val="000000" w:themeColor="text1"/>
          <w:sz w:val="16"/>
          <w:szCs w:val="16"/>
        </w:rPr>
      </w:pPr>
      <w:r w:rsidRPr="00E14102">
        <w:rPr>
          <w:rStyle w:val="a6"/>
          <w:bCs/>
          <w:i w:val="0"/>
          <w:color w:val="000000" w:themeColor="text1"/>
          <w:sz w:val="16"/>
          <w:szCs w:val="16"/>
        </w:rPr>
        <w:t>12 апреля 1935 вышел приказ НКО №</w:t>
      </w:r>
      <w:r w:rsidRPr="00E14102">
        <w:rPr>
          <w:color w:val="000000" w:themeColor="text1"/>
          <w:sz w:val="16"/>
          <w:szCs w:val="16"/>
        </w:rPr>
        <w:t> 060. О переименовании минного заградителя «Эривань» в «Сергей Киров» (15247).</w:t>
      </w:r>
    </w:p>
    <w:p w14:paraId="207245BB" w14:textId="77777777" w:rsidR="003A53E2" w:rsidRPr="00E14102" w:rsidRDefault="003A53E2" w:rsidP="00E14102">
      <w:pPr>
        <w:pStyle w:val="rtejustify"/>
        <w:spacing w:before="0" w:after="0"/>
        <w:rPr>
          <w:color w:val="000000" w:themeColor="text1"/>
          <w:sz w:val="16"/>
          <w:szCs w:val="16"/>
        </w:rPr>
      </w:pPr>
    </w:p>
    <w:p w14:paraId="5AE9DD37" w14:textId="77777777" w:rsidR="003A53E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8D86F5B" w14:textId="77777777" w:rsidR="003A53E2" w:rsidRPr="00E14102" w:rsidRDefault="003A53E2" w:rsidP="00E14102">
      <w:pPr>
        <w:autoSpaceDE w:val="0"/>
        <w:autoSpaceDN w:val="0"/>
        <w:adjustRightInd w:val="0"/>
        <w:jc w:val="both"/>
        <w:rPr>
          <w:iCs/>
          <w:color w:val="000000" w:themeColor="text1"/>
          <w:sz w:val="16"/>
          <w:szCs w:val="16"/>
        </w:rPr>
      </w:pPr>
    </w:p>
    <w:p w14:paraId="0234D0E0" w14:textId="77777777" w:rsidR="003A53E2" w:rsidRPr="00E14102" w:rsidRDefault="003A53E2" w:rsidP="00E14102">
      <w:pPr>
        <w:jc w:val="both"/>
        <w:rPr>
          <w:color w:val="000000" w:themeColor="text1"/>
          <w:sz w:val="16"/>
          <w:szCs w:val="16"/>
        </w:rPr>
      </w:pPr>
      <w:r w:rsidRPr="00E14102">
        <w:rPr>
          <w:color w:val="000000" w:themeColor="text1"/>
          <w:sz w:val="16"/>
          <w:szCs w:val="16"/>
        </w:rPr>
        <w:t>12 апреля в 1935 году неизвестный шутник из Денвера (штат Колорадо, США) придумал "письма счастья" и даже разослал их по 5 адресам (15097).</w:t>
      </w:r>
    </w:p>
    <w:p w14:paraId="3F3DDA8C" w14:textId="77777777" w:rsidR="003A53E2" w:rsidRPr="00E14102" w:rsidRDefault="003A53E2" w:rsidP="00E14102">
      <w:pPr>
        <w:jc w:val="both"/>
        <w:rPr>
          <w:color w:val="000000" w:themeColor="text1"/>
          <w:sz w:val="16"/>
          <w:szCs w:val="16"/>
        </w:rPr>
      </w:pPr>
    </w:p>
    <w:p w14:paraId="42F5F70A" w14:textId="77777777" w:rsidR="003A53E2" w:rsidRPr="00E14102" w:rsidRDefault="003A53E2" w:rsidP="00E14102">
      <w:pPr>
        <w:jc w:val="both"/>
        <w:rPr>
          <w:color w:val="000000" w:themeColor="text1"/>
          <w:sz w:val="16"/>
          <w:szCs w:val="16"/>
        </w:rPr>
      </w:pPr>
      <w:r w:rsidRPr="00E14102">
        <w:rPr>
          <w:color w:val="000000" w:themeColor="text1"/>
          <w:sz w:val="16"/>
          <w:szCs w:val="16"/>
        </w:rPr>
        <w:t>12 апреля в 1935 году поднялся в воздух прототип транспортного самолёта «Bristol 142» (разработчик: «Bristol», Великобритания). Прототип "Тип 142", оснащенный двумя моторами воздушного охлаждения Меркьюри" VI мощностью 640 л.с., вращавшими четырехлопастные винты неизменяемого шага. Основные стойки шасси убирались назад по полету в мотогондолы и прикрывались установленными на них спереди створками. Клинообразная носовая часть с панелями из плексигласа обеспечивала пилоту великолепный обзор вперед-вниз. Низкорасположенное крыло было оснащено большими посадочными щитками, сокращавшими взлетную и посадочную дистанции. Лётные характеристики самолёта оказались гораздо выше расчетных - максимальная скорость составляла 482 км/час. Считается, что именно эта характеристика заставила Министерство Авиации обратиться к лорду Роузермиру с просьбой "одолжить" прототип "Тип 142" для испытаний ВВС. В ответ лорд подарил машину армейским авиаторам. Машине присвоили гражданский регистрационный код G-ADCZ, который, правда, на борт самолета никогда не наносили, но большую известность получило имя, данное лордом Роузермиром - "Britain First" (15097).</w:t>
      </w:r>
    </w:p>
    <w:p w14:paraId="711324BB" w14:textId="77777777" w:rsidR="003A53E2" w:rsidRPr="00E14102" w:rsidRDefault="003A53E2" w:rsidP="00E14102">
      <w:pPr>
        <w:jc w:val="both"/>
        <w:rPr>
          <w:color w:val="000000" w:themeColor="text1"/>
          <w:sz w:val="16"/>
          <w:szCs w:val="16"/>
        </w:rPr>
      </w:pPr>
    </w:p>
    <w:p w14:paraId="087FEF5A" w14:textId="77777777" w:rsidR="003E561B" w:rsidRPr="00E14102" w:rsidRDefault="003E561B" w:rsidP="00E14102">
      <w:pPr>
        <w:jc w:val="both"/>
        <w:rPr>
          <w:color w:val="0070C0"/>
          <w:sz w:val="16"/>
          <w:szCs w:val="16"/>
        </w:rPr>
      </w:pPr>
      <w:r w:rsidRPr="00E14102">
        <w:rPr>
          <w:color w:val="0070C0"/>
          <w:sz w:val="16"/>
          <w:szCs w:val="16"/>
        </w:rPr>
        <w:t xml:space="preserve">12 апреля 1935 состоялся первый полет </w:t>
      </w:r>
      <w:r w:rsidRPr="00E14102">
        <w:rPr>
          <w:color w:val="0070C0"/>
          <w:sz w:val="16"/>
          <w:szCs w:val="16"/>
          <w:lang w:val="en-US"/>
        </w:rPr>
        <w:t>Bristol</w:t>
      </w:r>
      <w:r w:rsidRPr="00E14102">
        <w:rPr>
          <w:color w:val="0070C0"/>
          <w:sz w:val="16"/>
          <w:szCs w:val="16"/>
        </w:rPr>
        <w:t xml:space="preserve"> </w:t>
      </w:r>
      <w:r w:rsidRPr="00E14102">
        <w:rPr>
          <w:color w:val="0070C0"/>
          <w:sz w:val="16"/>
          <w:szCs w:val="16"/>
          <w:lang w:val="en-US"/>
        </w:rPr>
        <w:t>Type</w:t>
      </w:r>
      <w:r w:rsidRPr="00E14102">
        <w:rPr>
          <w:color w:val="0070C0"/>
          <w:sz w:val="16"/>
          <w:szCs w:val="16"/>
        </w:rPr>
        <w:t xml:space="preserve"> 142, британский первый , прототипа </w:t>
      </w:r>
      <w:r w:rsidRPr="00E14102">
        <w:rPr>
          <w:color w:val="0070C0"/>
          <w:sz w:val="16"/>
          <w:szCs w:val="16"/>
          <w:lang w:val="en-US"/>
        </w:rPr>
        <w:t>Bristol</w:t>
      </w:r>
      <w:r w:rsidRPr="00E14102">
        <w:rPr>
          <w:color w:val="0070C0"/>
          <w:sz w:val="16"/>
          <w:szCs w:val="16"/>
        </w:rPr>
        <w:t xml:space="preserve"> </w:t>
      </w:r>
      <w:r w:rsidRPr="00E14102">
        <w:rPr>
          <w:color w:val="0070C0"/>
          <w:sz w:val="16"/>
          <w:szCs w:val="16"/>
          <w:lang w:val="en-US"/>
        </w:rPr>
        <w:t>Blenheim</w:t>
      </w:r>
      <w:r w:rsidRPr="00E14102">
        <w:rPr>
          <w:color w:val="0070C0"/>
          <w:sz w:val="16"/>
          <w:szCs w:val="16"/>
        </w:rPr>
        <w:t xml:space="preserve"> (20800).</w:t>
      </w:r>
    </w:p>
    <w:p w14:paraId="2F0DF888" w14:textId="77777777" w:rsidR="003E561B" w:rsidRPr="00E14102" w:rsidRDefault="003E561B" w:rsidP="00E14102">
      <w:pPr>
        <w:jc w:val="both"/>
        <w:rPr>
          <w:color w:val="0070C0"/>
          <w:sz w:val="16"/>
          <w:szCs w:val="16"/>
        </w:rPr>
      </w:pPr>
    </w:p>
    <w:p w14:paraId="46045305" w14:textId="77777777" w:rsidR="003E561B" w:rsidRPr="00E14102" w:rsidRDefault="003E561B" w:rsidP="00E14102">
      <w:pPr>
        <w:jc w:val="both"/>
        <w:rPr>
          <w:color w:val="0070C0"/>
          <w:sz w:val="16"/>
          <w:szCs w:val="16"/>
        </w:rPr>
      </w:pPr>
      <w:r w:rsidRPr="00E14102">
        <w:rPr>
          <w:color w:val="0070C0"/>
          <w:sz w:val="16"/>
          <w:szCs w:val="16"/>
        </w:rPr>
        <w:t>12 апреля 1935 года — первый полёт лёгкого бомбардировщика Bristol Blenheim. /Великобритания/</w:t>
      </w:r>
    </w:p>
    <w:p w14:paraId="2EF1C9F3" w14:textId="77777777" w:rsidR="003E561B" w:rsidRPr="00E14102" w:rsidRDefault="003E561B" w:rsidP="00E14102">
      <w:pPr>
        <w:jc w:val="both"/>
        <w:rPr>
          <w:color w:val="0070C0"/>
          <w:sz w:val="16"/>
          <w:szCs w:val="16"/>
        </w:rPr>
      </w:pPr>
      <w:r w:rsidRPr="00E14102">
        <w:rPr>
          <w:color w:val="0070C0"/>
          <w:sz w:val="16"/>
          <w:szCs w:val="16"/>
        </w:rPr>
        <w:t>В 1934 году владелец нескольких крупных британских газет Гарольд Сидни Хармсворт (Harold Sidney Harmsworth) заказал компании Bristol Aeroplane разработку самого быстрого в Европе авиалайнера. Самолёт получил обозначение Type 142. Характеристики авиалайнера впечатлили авиационное министерство и оно заказало постройку на его базе бомбардировщика, названного Blenheim.</w:t>
      </w:r>
    </w:p>
    <w:p w14:paraId="0CDD2EAC" w14:textId="77777777" w:rsidR="003E561B" w:rsidRPr="00E14102" w:rsidRDefault="003E561B" w:rsidP="00E14102">
      <w:pPr>
        <w:jc w:val="both"/>
        <w:rPr>
          <w:color w:val="0070C0"/>
          <w:sz w:val="16"/>
          <w:szCs w:val="16"/>
        </w:rPr>
      </w:pPr>
      <w:r w:rsidRPr="00E14102">
        <w:rPr>
          <w:color w:val="0070C0"/>
          <w:sz w:val="16"/>
          <w:szCs w:val="16"/>
        </w:rPr>
        <w:t>Это был цельнометаллический среднеплан с убирающимся шасси. Оснащался 2 × двигателями Bristol Mercury VIII мощностью 840 л.с. (позже — Mercury ХV, 995 л.с.) Максимальная скорость — до 428 км/ч, дальность полёта — до 2350 км. Вооружался 4-5 × 7,7-мм пулемётами Browning + до 540 кг бомб.</w:t>
      </w:r>
    </w:p>
    <w:p w14:paraId="1C54233A" w14:textId="77777777" w:rsidR="003E561B" w:rsidRPr="00E14102" w:rsidRDefault="003E561B" w:rsidP="00E14102">
      <w:pPr>
        <w:jc w:val="both"/>
        <w:rPr>
          <w:color w:val="0070C0"/>
          <w:sz w:val="16"/>
          <w:szCs w:val="16"/>
        </w:rPr>
      </w:pPr>
      <w:r w:rsidRPr="00E14102">
        <w:rPr>
          <w:color w:val="0070C0"/>
          <w:sz w:val="16"/>
          <w:szCs w:val="16"/>
        </w:rPr>
        <w:t>На вооружение Королевских ВВС Blenheim поступил в 1937 году. Всего будет выпущено 4422 самолёта всех модификаций, которые примут активное участие во Второй мировой войне. На сегодня в мире сохранился 1 летающий Bristol Blenheim (22300).</w:t>
      </w:r>
    </w:p>
    <w:p w14:paraId="62D81806" w14:textId="77777777" w:rsidR="003E561B" w:rsidRPr="00E14102" w:rsidRDefault="003E561B" w:rsidP="00E14102">
      <w:pPr>
        <w:jc w:val="both"/>
        <w:rPr>
          <w:color w:val="0070C0"/>
          <w:sz w:val="16"/>
          <w:szCs w:val="16"/>
        </w:rPr>
      </w:pPr>
    </w:p>
    <w:p w14:paraId="0674FB9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0E3B73A" w14:textId="77777777" w:rsidR="00D4105E" w:rsidRPr="00E14102" w:rsidRDefault="00D4105E" w:rsidP="00E14102">
      <w:pPr>
        <w:autoSpaceDE w:val="0"/>
        <w:autoSpaceDN w:val="0"/>
        <w:adjustRightInd w:val="0"/>
        <w:jc w:val="both"/>
        <w:rPr>
          <w:iCs/>
          <w:color w:val="000000" w:themeColor="text1"/>
          <w:sz w:val="16"/>
          <w:szCs w:val="16"/>
        </w:rPr>
      </w:pPr>
    </w:p>
    <w:p w14:paraId="4AF905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апреля 1935 Вр. нач. бригады 2 ЦКБ Завода 39 В.К.Таиров писал Зам. нач. ГУАП Марголину Докладную записку N 428с:</w:t>
      </w:r>
    </w:p>
    <w:p w14:paraId="4E61AD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дополнение к сообщенным Вам устно данным о машинах, стоящих в плане 2 бригады на 1935, считаю необходимым довести до Вашего сведения нижеследующее:</w:t>
      </w:r>
    </w:p>
    <w:p w14:paraId="1447CB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И-17 Испано 12YBRS - по уточненному аэродинамическому расчету можем ожидать:</w:t>
      </w:r>
    </w:p>
    <w:p w14:paraId="216710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 скорость у земли - 390 км/час</w:t>
      </w:r>
    </w:p>
    <w:p w14:paraId="0A0209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 скорость на 3380 м - 455 и время подъема 3-3.5 м</w:t>
      </w:r>
    </w:p>
    <w:p w14:paraId="0B3546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 скорость на 5000 м - 450 и время подъема 4.9-5.3 м</w:t>
      </w:r>
    </w:p>
    <w:p w14:paraId="15EA2B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Примечания: вышеуказанные данные возможны при характеристике мотора, соответствующей данным фирмы</w:t>
      </w:r>
    </w:p>
    <w:p w14:paraId="53A0E3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И-18 Испано 12YBRS (с паровым охлаждением) по уточненному расчету можно ожидать:</w:t>
      </w:r>
    </w:p>
    <w:p w14:paraId="5E482E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 скорость у земли - 420 км/час</w:t>
      </w:r>
    </w:p>
    <w:p w14:paraId="121FC2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 скорость на 3380 м - 475 и время подъема 3.2-3.7 м</w:t>
      </w:r>
    </w:p>
    <w:p w14:paraId="678789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 скорость на 5000 м - 470 и время подъема 5-5.5 м</w:t>
      </w:r>
    </w:p>
    <w:p w14:paraId="55AED7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Примечания: указанные данные зависят:</w:t>
      </w:r>
    </w:p>
    <w:p w14:paraId="2F9629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от соответствия действительной характеристики мотора данным фирмы</w:t>
      </w:r>
    </w:p>
    <w:p w14:paraId="2ECE58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от успешности разрешения задачи с паровым охлаждением, разрабатываемого заводом 39 совместно с ЦИАМ, т.к. по предварительным данным эта задача является сложной ввиду напряженности мотора.</w:t>
      </w:r>
    </w:p>
    <w:p w14:paraId="3D1DFF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сроки выпуска машины зависят гл. образом от сроков разработки ЦИАМом парового охлаждения и сроков установки ОКБ-2 специального вооружения (пушки). Ориентировочно работы м.б. закончены к 1 июля, к этому сроку б. готовы все чертежи по самолету.</w:t>
      </w:r>
    </w:p>
    <w:p w14:paraId="42D70B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И-19 К-14</w:t>
      </w:r>
    </w:p>
    <w:p w14:paraId="4EF25C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уточненному расчету машины можно ожидать сл. данные:</w:t>
      </w:r>
    </w:p>
    <w:p w14:paraId="42C89C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 скорость у земли - 368 км/час</w:t>
      </w:r>
    </w:p>
    <w:p w14:paraId="251EF6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 скорость на 3380 м - 425 и время подъема 3.8-4 м</w:t>
      </w:r>
    </w:p>
    <w:p w14:paraId="2FEEEF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 скорость на 5000 м - 447 и время подъема 6.5-7 м</w:t>
      </w:r>
    </w:p>
    <w:p w14:paraId="7C5800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случае возможности повышения посад. скорости до 105-110 км/час. макс. скорость на 5000 м м.б. 480 км/час.</w:t>
      </w:r>
    </w:p>
    <w:p w14:paraId="5723AD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Примечания: срок выпуска чертежей с 1 по 20 сентября 1935. Бригада 2 настоятельно просит уже теперь дать ТТ для проектирования новой машины, т.к. в связи с усложнением этих требований необходимо уже теперь начать подготовку и экспериментальные работы по машине и конструктивные исследования, которые д. значительно опережать раб. проектирование машины и которые нельзя совместить, ввиду коротких сроков рабочего проектирования.</w:t>
      </w:r>
    </w:p>
    <w:p w14:paraId="0EC169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 своей стороны, бригада ориентировочно просчитав и цифры, возможные для маневренного истребителя при условии получения для него РЦ форсированного до 700 нр на 4900 и и ВИШ.</w:t>
      </w:r>
    </w:p>
    <w:p w14:paraId="2D0C19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сугубо ориентировочной прикидке данные можно ожидать:</w:t>
      </w:r>
    </w:p>
    <w:p w14:paraId="444D6A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 скорость на 3000 м - 400 и время подъема 3 м</w:t>
      </w:r>
    </w:p>
    <w:p w14:paraId="68F9CD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 скорость на 5000 м - 435 и время подъема 4.5-5 м</w:t>
      </w:r>
    </w:p>
    <w:p w14:paraId="52589C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Причем маневренные данные самолета будут равными или лучше, чем И-15</w:t>
      </w:r>
    </w:p>
    <w:p w14:paraId="2C7B4C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 окончательные данные по машине возможно выявить только по получении уточненной официальной характеристики мотора." (2343,197).</w:t>
      </w:r>
    </w:p>
    <w:p w14:paraId="1141244A" w14:textId="77777777" w:rsidR="00D4105E" w:rsidRPr="00E14102" w:rsidRDefault="00D4105E" w:rsidP="00E14102">
      <w:pPr>
        <w:autoSpaceDE w:val="0"/>
        <w:autoSpaceDN w:val="0"/>
        <w:adjustRightInd w:val="0"/>
        <w:jc w:val="both"/>
        <w:rPr>
          <w:color w:val="000000" w:themeColor="text1"/>
          <w:sz w:val="16"/>
          <w:szCs w:val="16"/>
        </w:rPr>
      </w:pPr>
    </w:p>
    <w:p w14:paraId="0B19E8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апреля 1935 года зав. кафедрой Конструкции авиадвигателей МАИ, гл. Конструктор ЦН-ТБ инженер Трескин писал письмо N 646с начальнику управления ВВС Алкснису.</w:t>
      </w:r>
    </w:p>
    <w:p w14:paraId="7BF84F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Докладная записка</w:t>
      </w:r>
    </w:p>
    <w:p w14:paraId="0013E6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вопросу создания самолета-рекорда высоты и скорости</w:t>
      </w:r>
    </w:p>
    <w:p w14:paraId="1678BE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Представляю Вашему рассмотрению мое предложение о создании рекордного самолета по достижению рекорда высоты и скорости горизонтального полета.</w:t>
      </w:r>
    </w:p>
    <w:p w14:paraId="313B6E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Техническая сущность проекта заключается в следующем:</w:t>
      </w:r>
    </w:p>
    <w:p w14:paraId="500FB6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Предлагается схема винтомоторной группы 2-х моторного самолета, при котором номинальная мощность двигателей будет сохраняться до высоты 11000 метров.</w:t>
      </w:r>
    </w:p>
    <w:p w14:paraId="05CDB4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3F922A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мыслится 2-х моторный, с двойным управлением, двухмоторный моноплан, облизано-обтекаемой формы и убирающимися шасси, с герметичной кабиной, питаемой сжатым воздухом из ресивера, в котором необходимое давление поддерживается специальным поршневым компрессором, установленным на двигателе Испано 12 ybrs, кроме того для перестраховки кабина должна быть снабжена дополнительно баллоном кислорода и возможно для еще большей безопасности двумя комплектами скафандров для двух летчиков.</w:t>
      </w:r>
    </w:p>
    <w:p w14:paraId="6568E9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Произведенный предварительный прикидочный аэродинамический расчет показал. Что можно ожидать потолок самолета порядка 17000 м и максимальных скоростей горизонтального полета порядка 750-800 км/час.</w:t>
      </w:r>
    </w:p>
    <w:p w14:paraId="04D19A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7829AE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Постановка мною вопроса в виде создания рекордного самолета для достижения максимальной высоты и скорости горизонтального полета с выполнением в пределах норм прочности современного истребителя считаю правильным, т.к. предлагаемый самолет с полученными рекордными данными по высоте и скорости будет сейчас же использован как прототип двухместного истребителя и сверх скоростного бомбардировщика.</w:t>
      </w:r>
    </w:p>
    <w:p w14:paraId="720EE7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Постановка вопроса о создании именно двухместного рекордного самолета считаю так же правильной, т.к. сейчас же будет решена проблема о двухместном истребителе с рекордными данными (3810,29-31).</w:t>
      </w:r>
    </w:p>
    <w:p w14:paraId="40E35F29" w14:textId="77777777" w:rsidR="00D4105E" w:rsidRPr="00E14102" w:rsidRDefault="00D4105E" w:rsidP="00E14102">
      <w:pPr>
        <w:autoSpaceDE w:val="0"/>
        <w:autoSpaceDN w:val="0"/>
        <w:adjustRightInd w:val="0"/>
        <w:jc w:val="both"/>
        <w:rPr>
          <w:color w:val="000000" w:themeColor="text1"/>
          <w:sz w:val="16"/>
          <w:szCs w:val="16"/>
        </w:rPr>
      </w:pPr>
    </w:p>
    <w:p w14:paraId="6DC6846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апреля 1935 года напечатан проект Постановления СТО.</w:t>
      </w:r>
    </w:p>
    <w:p w14:paraId="73D3564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 изменении срока поставки 6-ти моторов К-14</w:t>
      </w:r>
    </w:p>
    <w:p w14:paraId="0DA319B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 изменение постановления СТО № С-27сс от 19 марта 1935 года, установить следующие сроки завоза:</w:t>
      </w:r>
    </w:p>
    <w:p w14:paraId="451DAB6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 мотора – в августе 1935 года</w:t>
      </w:r>
    </w:p>
    <w:p w14:paraId="1E44DA1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 мотора – в сентябре 1935 года</w:t>
      </w:r>
    </w:p>
    <w:p w14:paraId="527092F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(Председатель СТО, зам. секретаря СТО Базилевич) (4256, 26).</w:t>
      </w:r>
    </w:p>
    <w:p w14:paraId="43C3781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CE3843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F550F98" w14:textId="77777777" w:rsidR="00D4105E" w:rsidRPr="00E14102" w:rsidRDefault="00D4105E" w:rsidP="00E14102">
      <w:pPr>
        <w:autoSpaceDE w:val="0"/>
        <w:autoSpaceDN w:val="0"/>
        <w:adjustRightInd w:val="0"/>
        <w:jc w:val="both"/>
        <w:rPr>
          <w:iCs/>
          <w:color w:val="000000" w:themeColor="text1"/>
          <w:sz w:val="16"/>
          <w:szCs w:val="16"/>
        </w:rPr>
      </w:pPr>
    </w:p>
    <w:p w14:paraId="7D4428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апреля 1935 года при стрельбе у опытного образца универсальной 76-мм пушки А-51 ГКБ-38 сильно деформировались диски и ободы колес. Полигонные испытания он не выдержал (3861).</w:t>
      </w:r>
    </w:p>
    <w:p w14:paraId="3AD5F1C3" w14:textId="77777777" w:rsidR="00D4105E" w:rsidRPr="00E14102" w:rsidRDefault="00D4105E" w:rsidP="00E14102">
      <w:pPr>
        <w:autoSpaceDE w:val="0"/>
        <w:autoSpaceDN w:val="0"/>
        <w:adjustRightInd w:val="0"/>
        <w:jc w:val="both"/>
        <w:rPr>
          <w:color w:val="000000" w:themeColor="text1"/>
          <w:sz w:val="16"/>
          <w:szCs w:val="16"/>
        </w:rPr>
      </w:pPr>
    </w:p>
    <w:p w14:paraId="3CA895A4" w14:textId="77777777" w:rsidR="003A53E2" w:rsidRPr="00E14102" w:rsidRDefault="003A53E2" w:rsidP="00E14102">
      <w:pPr>
        <w:jc w:val="both"/>
        <w:rPr>
          <w:color w:val="000000" w:themeColor="text1"/>
          <w:sz w:val="16"/>
          <w:szCs w:val="16"/>
        </w:rPr>
      </w:pPr>
      <w:r w:rsidRPr="00E14102">
        <w:rPr>
          <w:color w:val="000000" w:themeColor="text1"/>
          <w:sz w:val="16"/>
          <w:szCs w:val="16"/>
        </w:rPr>
        <w:t>13 апреля 1935 г. при стрельбе у А-51 ГКБ-38  сильно деформировались диски и ободы колес (15117).</w:t>
      </w:r>
    </w:p>
    <w:p w14:paraId="2A817937" w14:textId="77777777" w:rsidR="003A53E2" w:rsidRPr="00E14102" w:rsidRDefault="003A53E2" w:rsidP="00E14102">
      <w:pPr>
        <w:jc w:val="both"/>
        <w:rPr>
          <w:color w:val="000000" w:themeColor="text1"/>
          <w:sz w:val="16"/>
          <w:szCs w:val="16"/>
        </w:rPr>
      </w:pPr>
    </w:p>
    <w:p w14:paraId="4413F52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CB04ED4" w14:textId="77777777" w:rsidR="00D4105E" w:rsidRPr="00E14102" w:rsidRDefault="00D4105E" w:rsidP="00E14102">
      <w:pPr>
        <w:autoSpaceDE w:val="0"/>
        <w:autoSpaceDN w:val="0"/>
        <w:adjustRightInd w:val="0"/>
        <w:jc w:val="both"/>
        <w:rPr>
          <w:iCs/>
          <w:color w:val="000000" w:themeColor="text1"/>
          <w:sz w:val="16"/>
          <w:szCs w:val="16"/>
        </w:rPr>
      </w:pPr>
    </w:p>
    <w:p w14:paraId="22CCF2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апреля 1935 года вышел Приказ НКВД СССР №039 "О мероприятиях по борьбе с побегами заключенных" (8983).</w:t>
      </w:r>
    </w:p>
    <w:p w14:paraId="2B788BA1" w14:textId="77777777" w:rsidR="00D4105E" w:rsidRPr="00E14102" w:rsidRDefault="00D4105E" w:rsidP="00E14102">
      <w:pPr>
        <w:autoSpaceDE w:val="0"/>
        <w:autoSpaceDN w:val="0"/>
        <w:adjustRightInd w:val="0"/>
        <w:jc w:val="both"/>
        <w:rPr>
          <w:color w:val="000000" w:themeColor="text1"/>
          <w:sz w:val="16"/>
          <w:szCs w:val="16"/>
        </w:rPr>
      </w:pPr>
    </w:p>
    <w:p w14:paraId="4A916B8A" w14:textId="77777777" w:rsidR="003A53E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7D774FC" w14:textId="77777777" w:rsidR="003A53E2" w:rsidRPr="00E14102" w:rsidRDefault="003A53E2" w:rsidP="00E14102">
      <w:pPr>
        <w:autoSpaceDE w:val="0"/>
        <w:autoSpaceDN w:val="0"/>
        <w:adjustRightInd w:val="0"/>
        <w:jc w:val="both"/>
        <w:rPr>
          <w:iCs/>
          <w:color w:val="000000" w:themeColor="text1"/>
          <w:sz w:val="16"/>
          <w:szCs w:val="16"/>
        </w:rPr>
      </w:pPr>
    </w:p>
    <w:p w14:paraId="2FAFB7F2" w14:textId="77777777" w:rsidR="003A53E2" w:rsidRPr="00E14102" w:rsidRDefault="003A53E2" w:rsidP="00E14102">
      <w:pPr>
        <w:jc w:val="both"/>
        <w:rPr>
          <w:color w:val="000000" w:themeColor="text1"/>
          <w:sz w:val="16"/>
          <w:szCs w:val="16"/>
        </w:rPr>
      </w:pPr>
      <w:r w:rsidRPr="00E14102">
        <w:rPr>
          <w:color w:val="000000" w:themeColor="text1"/>
          <w:sz w:val="16"/>
          <w:szCs w:val="16"/>
        </w:rPr>
        <w:t>13 апреля в 1935 году поднялся в воздух опытный патрульно-разведывательный самолет берегового базирования «DH.89M» (разработчик: «de Havilland», Великобритания). От первого «DH.89» остался практически весь планер и мотоустановка. Правда, по сравнению с вариантом 1933 года, состав вооружения слегка изменился. В носу стоял один пулемет Виккерс (по правому борту), а на крыше фюзеляжа - турельный Льюис. Бомбовая нагрузка располагалась внутри фюзеляжа. Она состояла из двух бомб по 55 кг и четырех одиннадцатикилограммовых. Для образования бомбоотсека пришлось немного увеличить высоту фюзеляжа. От гражданского "Рэпида" «DH.89M» внешне отличался также увеличенным остеклением кабины (по каждому борту было пять окон). Экипаж состоял из трех человек: пилота, штурмана-бомбардира и стрелка-радиста. Борьбу за серийное производство самолёт проиграл и опытный «DH.89M» разоружили и стали использовать для различных экспериментов (15098).</w:t>
      </w:r>
    </w:p>
    <w:p w14:paraId="033094F0" w14:textId="77777777" w:rsidR="003A53E2" w:rsidRPr="00E14102" w:rsidRDefault="003A53E2" w:rsidP="00E14102">
      <w:pPr>
        <w:jc w:val="both"/>
        <w:rPr>
          <w:color w:val="000000" w:themeColor="text1"/>
          <w:sz w:val="16"/>
          <w:szCs w:val="16"/>
        </w:rPr>
      </w:pPr>
    </w:p>
    <w:p w14:paraId="79CE5C6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CBAE0FC" w14:textId="77777777" w:rsidR="00D4105E" w:rsidRPr="00E14102" w:rsidRDefault="00D4105E" w:rsidP="00E14102">
      <w:pPr>
        <w:autoSpaceDE w:val="0"/>
        <w:autoSpaceDN w:val="0"/>
        <w:adjustRightInd w:val="0"/>
        <w:jc w:val="both"/>
        <w:rPr>
          <w:iCs/>
          <w:color w:val="000000" w:themeColor="text1"/>
          <w:sz w:val="16"/>
          <w:szCs w:val="16"/>
        </w:rPr>
      </w:pPr>
    </w:p>
    <w:p w14:paraId="28561C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 апреля 1935 года С. Орджоникидзе в докладе Совету Труда и Обороны отмечал:</w:t>
      </w:r>
    </w:p>
    <w:p w14:paraId="0A811B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«На сегодняшний день мы имеем годовую мощность 19 600 моторов. К началу 1936 г. эта мощность имеющих</w:t>
      </w:r>
      <w:r w:rsidRPr="00E14102">
        <w:rPr>
          <w:color w:val="000000" w:themeColor="text1"/>
          <w:sz w:val="16"/>
          <w:szCs w:val="16"/>
        </w:rPr>
        <w:softHyphen/>
        <w:t>ся капиталовложений будет доведена до 25—27 тыс. мото</w:t>
      </w:r>
      <w:r w:rsidRPr="00E14102">
        <w:rPr>
          <w:color w:val="000000" w:themeColor="text1"/>
          <w:sz w:val="16"/>
          <w:szCs w:val="16"/>
        </w:rPr>
        <w:softHyphen/>
        <w:t>ров в старых типах, а в новых типах существующая мощ</w:t>
      </w:r>
      <w:r w:rsidRPr="00E14102">
        <w:rPr>
          <w:color w:val="000000" w:themeColor="text1"/>
          <w:sz w:val="16"/>
          <w:szCs w:val="16"/>
        </w:rPr>
        <w:softHyphen/>
        <w:t>ность составляет 13,5 тыс. моторов и к началу 1936 года — 15,5—16 тыс. моторов.</w:t>
      </w:r>
    </w:p>
    <w:p w14:paraId="16100DA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Достройка всех моторных заводов до полной их мощно</w:t>
      </w:r>
      <w:r w:rsidRPr="00E14102">
        <w:rPr>
          <w:color w:val="000000" w:themeColor="text1"/>
          <w:sz w:val="16"/>
          <w:szCs w:val="16"/>
        </w:rPr>
        <w:softHyphen/>
        <w:t>сти 57/пыс. моторов возможна в течение 1935 и 1936 гг. при дополнительных капитальных вложениях в 1936 г. — 200 млн рублей.</w:t>
      </w:r>
    </w:p>
    <w:p w14:paraId="00E863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самолетным заводам расширены, вновь построены и строятся следующие заводы: М 1 на мощность 5000 Р-5, № 22 — на 1500—1600 СБ или 1000 ТБ-3, М 31 на мощность 600— 800 морских машин МБР-2 или 300 машин МДР-4, № 21 на мощность 2500—3000 машин И-16, завод № 18 — на 500 ма</w:t>
      </w:r>
      <w:r w:rsidRPr="00E14102">
        <w:rPr>
          <w:color w:val="000000" w:themeColor="text1"/>
          <w:sz w:val="16"/>
          <w:szCs w:val="16"/>
        </w:rPr>
        <w:softHyphen/>
        <w:t>шин ТБ-3, №125 — на 500 машин И-14, № 126 — на 200 ма</w:t>
      </w:r>
      <w:r w:rsidRPr="00E14102">
        <w:rPr>
          <w:color w:val="000000" w:themeColor="text1"/>
          <w:sz w:val="16"/>
          <w:szCs w:val="16"/>
        </w:rPr>
        <w:softHyphen/>
        <w:t>шин ТБ-3, завод № 124 — на 750 машин ТБ-3 и № 39 — опытный с серийным производством 600 машин И-15...</w:t>
      </w:r>
    </w:p>
    <w:p w14:paraId="6E403F0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полную мощность 17 тыс. машин эти заводы могут быть доведены в течение 1935 и 1936 гг.»... (10745,14).</w:t>
      </w:r>
    </w:p>
    <w:p w14:paraId="31BE3C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A2A44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апреля 1935 Королевым была подготовлена:</w:t>
      </w:r>
    </w:p>
    <w:p w14:paraId="729CC2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Объяснительная записка</w:t>
      </w:r>
    </w:p>
    <w:p w14:paraId="02CF7A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плану опытного самолето- и моторостроения</w:t>
      </w:r>
    </w:p>
    <w:p w14:paraId="6CA5C6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p w14:paraId="2EB2D0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опытного самолето- и моторостроения от 14 июля 1934 года на сегодня устарел, причины этого:</w:t>
      </w:r>
    </w:p>
    <w:p w14:paraId="1CF5B4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 результате приобретения лицензий на 4 лучших мотора за границей и успешного форсирования отечественного М34 для нас открылись новые возможности в моторостроении, дающие основание решительно повысить технические требования к моторам.</w:t>
      </w:r>
    </w:p>
    <w:p w14:paraId="190F63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Постройка первого авиадизеля АН1 дала нам технический опыт для расширения работ над двигателями тяжелого топлива.</w:t>
      </w:r>
    </w:p>
    <w:p w14:paraId="7E5C43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Последние достижения в моторостроении за границей требуют от нас скорейшего разрешения ряда совершенно новых принципиальных проблем моторостроения.</w:t>
      </w:r>
    </w:p>
    <w:p w14:paraId="3496B8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Летные данные самолетов плана 1934 года устарели и отстают от наших возможностей сегодня на 50-100 км/час.</w:t>
      </w:r>
    </w:p>
    <w:p w14:paraId="1539A3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Накопившийся опыт дает основание к пересмотру тактического назначения ряда самолетов и созданию плана более четко отражающего определенное направление в тактических требованиях к самолетам.</w:t>
      </w:r>
    </w:p>
    <w:p w14:paraId="5F551A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На опыте подтверждена полезность децентрализации опытных работ путем создания КБ на заводах и возможность возложения на заводы сложных конструкторских проблем.</w:t>
      </w:r>
    </w:p>
    <w:p w14:paraId="5EEFD2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 План 1934 года с чрезмерно большим количеством типов и образцов самолетов показал вред этого и трудность осуществления его в намечаемые сроки, не предусматривавшие сложных и длительных работ по доводкам самолетов.</w:t>
      </w:r>
    </w:p>
    <w:p w14:paraId="315FCC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p w14:paraId="4345E7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Новый план предусматривает:</w:t>
      </w:r>
    </w:p>
    <w:p w14:paraId="6BDF80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немедленную и широкую работу по модификации только что приобретенных лицензионных моторов (Райт-Циклон, Испано-Сюиза, Гном и Рон) без чего через 1-2 года они устареют и мы снова отстанем. То же и по мотору М34 - в части его форсажа.</w:t>
      </w:r>
    </w:p>
    <w:p w14:paraId="783EB1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Расширение фронта работ по дизелям главным образом по линии приближения их к требованиям современного самолетостроения.</w:t>
      </w:r>
    </w:p>
    <w:p w14:paraId="183807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Повышение высотности моторов с 3-4000 м до 5-6000 м и больше путем создания двухступенчатых и двухскоростных нагнетателей турбокомпрессора и центрального наддува.</w:t>
      </w:r>
    </w:p>
    <w:p w14:paraId="38724D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Повышение мощности мотора, надежности его работы и увеличения коэффициента использования его мощности за счет непосредственного впрыска, бесклапанного двигателя и винтов с переменным в полете шагом.</w:t>
      </w:r>
    </w:p>
    <w:p w14:paraId="140B0C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Продолжение работ по паро- и газотурбинам.</w:t>
      </w:r>
    </w:p>
    <w:p w14:paraId="06EF8D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Решительное увеличение скоростей самолетов: по бомбардировщикам - с 350 до 450 км, разведчикам - с 350-400 до 450 км, истребителям - с 450 до 500-550 км, морским тяжелым машинам - с 225 до 350 км и легким морским - с 270 до 375 км.</w:t>
      </w:r>
    </w:p>
    <w:p w14:paraId="2F1500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 Увеличение высотности и дальности самолетов.</w:t>
      </w:r>
    </w:p>
    <w:p w14:paraId="53CBCD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 Усиление вооружения самолетов как за счет количества единиц предметов вооружения, так и за счет типов оружия (пушки, крупнокалиберные пулеметы) и более широкого использования химических средств борьбы.</w:t>
      </w:r>
    </w:p>
    <w:p w14:paraId="4CA4EB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Сокращение количества опытных самолетов с 36 по плану 1934 года до 24 по новому плану, при одновременном создании более четкого тактического их назначения и повышения требования к качеству.</w:t>
      </w:r>
    </w:p>
    <w:p w14:paraId="6DF7F0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p w14:paraId="5BCD23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итоге в плане мы имеем:</w:t>
      </w:r>
    </w:p>
    <w:p w14:paraId="67D818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 моторам только один новый бензиновый двигатель и переключение всех сил на решение основных принципиально новых проблем (бесклапанный двигатель, двухтактный дизель, непосредственный впрыск и т.д.), единственно могущих обеспечить задачу опережения заграничных моторов.</w:t>
      </w:r>
    </w:p>
    <w:p w14:paraId="6836A4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 самолетам резкое улучшение всех летно-тактических данных.</w:t>
      </w:r>
    </w:p>
    <w:p w14:paraId="134310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Постановку задач по работе над обеспечением большей надежности работы мотора и прочности самолета, т.е. безопасности полета.</w:t>
      </w:r>
    </w:p>
    <w:p w14:paraId="0EEA62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Как перспективу - включение в борьбу за рекорды высоты и скорости.</w:t>
      </w:r>
    </w:p>
    <w:p w14:paraId="50BE55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p w14:paraId="30E5850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Разрешение поставленных в новом плане крупнейших теоретиче</w:t>
      </w:r>
      <w:r w:rsidRPr="00E14102">
        <w:rPr>
          <w:color w:val="000000" w:themeColor="text1"/>
          <w:sz w:val="16"/>
          <w:szCs w:val="16"/>
        </w:rPr>
        <w:softHyphen/>
        <w:t>ских проблем моторостроения и задачи улучшения летно-тактических данных самолетов в таких размерах потребует громадного напряжения конструкторской мысли, решительного усиления научно-исследозательской работы и высокое технической культур в производства авиационной промышленности.</w:t>
      </w:r>
    </w:p>
    <w:p w14:paraId="702D1F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Осуществление этого плана резко поднимет уровень технической вооруженности Военно-воздушных сил РККА (3419,25).</w:t>
      </w:r>
    </w:p>
    <w:p w14:paraId="0E2BE4E3" w14:textId="77777777" w:rsidR="00D4105E" w:rsidRPr="00E14102" w:rsidRDefault="00D4105E" w:rsidP="00E14102">
      <w:pPr>
        <w:autoSpaceDE w:val="0"/>
        <w:autoSpaceDN w:val="0"/>
        <w:adjustRightInd w:val="0"/>
        <w:jc w:val="both"/>
        <w:rPr>
          <w:color w:val="000000" w:themeColor="text1"/>
          <w:sz w:val="16"/>
          <w:szCs w:val="16"/>
        </w:rPr>
      </w:pPr>
    </w:p>
    <w:p w14:paraId="44F8812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C7F80D9" w14:textId="77777777" w:rsidR="00D4105E" w:rsidRPr="00E14102" w:rsidRDefault="00D4105E" w:rsidP="00E14102">
      <w:pPr>
        <w:autoSpaceDE w:val="0"/>
        <w:autoSpaceDN w:val="0"/>
        <w:adjustRightInd w:val="0"/>
        <w:jc w:val="both"/>
        <w:rPr>
          <w:iCs/>
          <w:color w:val="000000" w:themeColor="text1"/>
          <w:sz w:val="16"/>
          <w:szCs w:val="16"/>
        </w:rPr>
      </w:pPr>
    </w:p>
    <w:p w14:paraId="127EC9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 апреля 1935 года был издан совместный циркуляр НКВД и НКТП СССР № 62 «Об очист</w:t>
      </w:r>
      <w:r w:rsidRPr="00E14102">
        <w:rPr>
          <w:color w:val="000000" w:themeColor="text1"/>
          <w:sz w:val="16"/>
          <w:szCs w:val="16"/>
        </w:rPr>
        <w:softHyphen/>
        <w:t>ке 68 военных заводов особого списка от опасных для производства лиц».</w:t>
      </w:r>
    </w:p>
    <w:p w14:paraId="251222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циркуляре говорится: «Несмотря на то, что с момента постановле</w:t>
      </w:r>
      <w:r w:rsidRPr="00E14102">
        <w:rPr>
          <w:color w:val="000000" w:themeColor="text1"/>
          <w:sz w:val="16"/>
          <w:szCs w:val="16"/>
        </w:rPr>
        <w:softHyphen/>
        <w:t>ния ЦК ВКП(б) и издания на основе его приказов НКТП и НКВД № 004 Прошло более 9-ти месяцев, работа по выявлению опасных для производ</w:t>
      </w:r>
      <w:r w:rsidRPr="00E14102">
        <w:rPr>
          <w:color w:val="000000" w:themeColor="text1"/>
          <w:sz w:val="16"/>
          <w:szCs w:val="16"/>
        </w:rPr>
        <w:softHyphen/>
        <w:t>ства лиц, подходящих под категории, объявленные в указанных прика</w:t>
      </w:r>
      <w:r w:rsidRPr="00E14102">
        <w:rPr>
          <w:color w:val="000000" w:themeColor="text1"/>
          <w:sz w:val="16"/>
          <w:szCs w:val="16"/>
        </w:rPr>
        <w:softHyphen/>
        <w:t>зах, а также удаление с заводов протекает крайне неудовлетворительно».</w:t>
      </w:r>
    </w:p>
    <w:p w14:paraId="43B360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опасными «для производства» были все лица социально-чуждые ра</w:t>
      </w:r>
      <w:r w:rsidRPr="00E14102">
        <w:rPr>
          <w:color w:val="000000" w:themeColor="text1"/>
          <w:sz w:val="16"/>
          <w:szCs w:val="16"/>
        </w:rPr>
        <w:softHyphen/>
        <w:t>боче-крестьянскому сословию. Поэтому их, согласно Циркуляру № 62 ни в коем случае нельзя было терпеть в «опытных цехах, конструкторских отделах, сборочных цехах, цехах с наличием легковоспламеняющихся и взрывоопасных веществ, электростанциях и т.д».</w:t>
      </w:r>
    </w:p>
    <w:p w14:paraId="5382DC9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Циркуляр предписывал удалить этих лиц не только из этих цехов и КБ, но даже из режимных городов, то есть городов, в которых имелись заводы, выпускающие оборонную продукцию.</w:t>
      </w:r>
    </w:p>
    <w:p w14:paraId="5E556C8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Приказ подписали два наркома: Орджоникидзе и Ягода (ЦГАИХ СССР, ф. 7297, с.г. оп.43, д.11, л. 7-8) (11504).</w:t>
      </w:r>
    </w:p>
    <w:p w14:paraId="0E31C24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5F5DC1B" w14:textId="77777777" w:rsidR="003A53E2" w:rsidRPr="00E14102" w:rsidRDefault="003A53E2" w:rsidP="00E14102">
      <w:pPr>
        <w:pStyle w:val="rtejustify"/>
        <w:spacing w:before="0" w:after="0"/>
        <w:rPr>
          <w:color w:val="000000" w:themeColor="text1"/>
          <w:sz w:val="16"/>
          <w:szCs w:val="16"/>
        </w:rPr>
      </w:pPr>
      <w:r w:rsidRPr="00E14102">
        <w:rPr>
          <w:rStyle w:val="a6"/>
          <w:bCs/>
          <w:i w:val="0"/>
          <w:color w:val="000000" w:themeColor="text1"/>
          <w:sz w:val="16"/>
          <w:szCs w:val="16"/>
        </w:rPr>
        <w:t>14 апреля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36сс «О финансировании работ по ОСТ во II квартале 1935 г.». (ГА РФ. Ф. Р</w:t>
      </w:r>
      <w:r w:rsidRPr="00E14102">
        <w:rPr>
          <w:color w:val="000000" w:themeColor="text1"/>
          <w:sz w:val="16"/>
          <w:szCs w:val="16"/>
        </w:rPr>
        <w:noBreakHyphen/>
        <w:t>8418. Оп. 28. Д. 6. Л. 113</w:t>
      </w:r>
      <w:r w:rsidRPr="00E14102">
        <w:rPr>
          <w:color w:val="000000" w:themeColor="text1"/>
          <w:sz w:val="16"/>
          <w:szCs w:val="16"/>
        </w:rPr>
        <w:noBreakHyphen/>
        <w:t>114) (15460).</w:t>
      </w:r>
    </w:p>
    <w:p w14:paraId="6409BCE4" w14:textId="77777777" w:rsidR="003A53E2" w:rsidRPr="00E14102" w:rsidRDefault="003A53E2" w:rsidP="00E14102">
      <w:pPr>
        <w:pStyle w:val="rtejustify"/>
        <w:spacing w:before="0" w:after="0"/>
        <w:rPr>
          <w:color w:val="000000" w:themeColor="text1"/>
          <w:sz w:val="16"/>
          <w:szCs w:val="16"/>
        </w:rPr>
      </w:pPr>
    </w:p>
    <w:p w14:paraId="1C130637" w14:textId="5F68E015" w:rsidR="003E561B" w:rsidRPr="00E14102" w:rsidRDefault="003E561B" w:rsidP="00E14102">
      <w:pPr>
        <w:autoSpaceDE w:val="0"/>
        <w:autoSpaceDN w:val="0"/>
        <w:adjustRightInd w:val="0"/>
        <w:jc w:val="both"/>
        <w:rPr>
          <w:i/>
          <w:iCs/>
          <w:color w:val="000000" w:themeColor="text1"/>
          <w:sz w:val="16"/>
          <w:szCs w:val="16"/>
        </w:rPr>
      </w:pPr>
      <w:r w:rsidRPr="00E14102">
        <w:rPr>
          <w:i/>
          <w:iCs/>
          <w:color w:val="000000" w:themeColor="text1"/>
          <w:sz w:val="16"/>
          <w:szCs w:val="16"/>
        </w:rPr>
        <w:t>Армия:</w:t>
      </w:r>
    </w:p>
    <w:p w14:paraId="1EBAF338" w14:textId="77777777" w:rsidR="003E561B" w:rsidRPr="00E14102" w:rsidRDefault="003E561B" w:rsidP="00E14102">
      <w:pPr>
        <w:autoSpaceDE w:val="0"/>
        <w:autoSpaceDN w:val="0"/>
        <w:adjustRightInd w:val="0"/>
        <w:jc w:val="both"/>
        <w:rPr>
          <w:i/>
          <w:iCs/>
          <w:color w:val="000000" w:themeColor="text1"/>
          <w:sz w:val="16"/>
          <w:szCs w:val="16"/>
        </w:rPr>
      </w:pPr>
    </w:p>
    <w:p w14:paraId="55696370" w14:textId="77777777" w:rsidR="003E561B" w:rsidRPr="00E14102" w:rsidRDefault="003E561B" w:rsidP="00E14102">
      <w:pPr>
        <w:shd w:val="clear" w:color="auto" w:fill="FFFFFF"/>
        <w:jc w:val="both"/>
        <w:rPr>
          <w:color w:val="0070C0"/>
          <w:sz w:val="16"/>
          <w:szCs w:val="16"/>
        </w:rPr>
      </w:pPr>
      <w:r w:rsidRPr="00E14102">
        <w:rPr>
          <w:color w:val="0070C0"/>
          <w:sz w:val="16"/>
          <w:szCs w:val="16"/>
        </w:rPr>
        <w:t>14 апреля 1935 г. Штаб РККА представил новую программу подготовки вооруженных сил к войне на 1935-1938 гг. Она открывалась утверждением: "Явно выявившийся немецко-польский блок, направленный в первую очередь против нас, и большой рост вооружений во всем буржуазном лагере делают западный театр вновь в качестве актуального фронта" (Доклад Начальника Штаба РККА Егорова "Развитие РККА на 1936-1938 гг.", 14.04.1935 // Там же. Л. 1. Жанр этого документа как "доклада" указан в делопроизводственных пометах 1937 г. (Там же. Л. 12). В отличие от обычных докладов и записок начальника Штаба и заместителей наркома, представлявшихся на соответствующих служебных бланках, этот документ отпечатан на обычной бумаге, не имеет исходящего номера и грифа секретности (что в делопроизводстве Политбюро ЦК ВКП(б) означало его высший уровень). Экземпляр, остававшийся у его автора, был "возвращен им 22.6.35" (впоследствии уничтожен). В нижней части одной из страниц документа (таблицы) заделана подпись наркома обороны СССР. Совокупность этих признаков позволяет утверждать, что цитируемый документ представляет собой доклад Штаба РККА в Комиссию обороны или Совет Труда и Обороны СССР. Основные</w:t>
      </w:r>
      <w:r w:rsidRPr="00E14102">
        <w:rPr>
          <w:color w:val="0070C0"/>
          <w:sz w:val="16"/>
          <w:szCs w:val="16"/>
          <w:lang w:val="en-US"/>
        </w:rPr>
        <w:t xml:space="preserve"> </w:t>
      </w:r>
      <w:r w:rsidRPr="00E14102">
        <w:rPr>
          <w:color w:val="0070C0"/>
          <w:sz w:val="16"/>
          <w:szCs w:val="16"/>
        </w:rPr>
        <w:t>положения</w:t>
      </w:r>
      <w:r w:rsidRPr="00E14102">
        <w:rPr>
          <w:color w:val="0070C0"/>
          <w:sz w:val="16"/>
          <w:szCs w:val="16"/>
          <w:lang w:val="en-US"/>
        </w:rPr>
        <w:t xml:space="preserve"> </w:t>
      </w:r>
      <w:r w:rsidRPr="00E14102">
        <w:rPr>
          <w:color w:val="0070C0"/>
          <w:sz w:val="16"/>
          <w:szCs w:val="16"/>
        </w:rPr>
        <w:t>доклада</w:t>
      </w:r>
      <w:r w:rsidRPr="00E14102">
        <w:rPr>
          <w:color w:val="0070C0"/>
          <w:sz w:val="16"/>
          <w:szCs w:val="16"/>
          <w:lang w:val="en-US"/>
        </w:rPr>
        <w:t xml:space="preserve"> </w:t>
      </w:r>
      <w:r w:rsidRPr="00E14102">
        <w:rPr>
          <w:color w:val="0070C0"/>
          <w:sz w:val="16"/>
          <w:szCs w:val="16"/>
        </w:rPr>
        <w:t>Егорова</w:t>
      </w:r>
      <w:r w:rsidRPr="00E14102">
        <w:rPr>
          <w:color w:val="0070C0"/>
          <w:sz w:val="16"/>
          <w:szCs w:val="16"/>
          <w:lang w:val="en-US"/>
        </w:rPr>
        <w:t xml:space="preserve"> </w:t>
      </w:r>
      <w:r w:rsidRPr="00E14102">
        <w:rPr>
          <w:color w:val="0070C0"/>
          <w:sz w:val="16"/>
          <w:szCs w:val="16"/>
        </w:rPr>
        <w:t>изложены</w:t>
      </w:r>
      <w:r w:rsidRPr="00E14102">
        <w:rPr>
          <w:color w:val="0070C0"/>
          <w:sz w:val="16"/>
          <w:szCs w:val="16"/>
          <w:lang w:val="en-US"/>
        </w:rPr>
        <w:t xml:space="preserve"> </w:t>
      </w:r>
      <w:r w:rsidRPr="00E14102">
        <w:rPr>
          <w:color w:val="0070C0"/>
          <w:sz w:val="16"/>
          <w:szCs w:val="16"/>
        </w:rPr>
        <w:t>в</w:t>
      </w:r>
      <w:r w:rsidRPr="00E14102">
        <w:rPr>
          <w:color w:val="0070C0"/>
          <w:sz w:val="16"/>
          <w:szCs w:val="16"/>
          <w:lang w:val="en-US"/>
        </w:rPr>
        <w:t xml:space="preserve"> </w:t>
      </w:r>
      <w:r w:rsidRPr="00E14102">
        <w:rPr>
          <w:color w:val="0070C0"/>
          <w:sz w:val="16"/>
          <w:szCs w:val="16"/>
        </w:rPr>
        <w:t>статье</w:t>
      </w:r>
      <w:r w:rsidRPr="00E14102">
        <w:rPr>
          <w:color w:val="0070C0"/>
          <w:sz w:val="16"/>
          <w:szCs w:val="16"/>
          <w:lang w:val="en-US"/>
        </w:rPr>
        <w:t xml:space="preserve">: ELISEEVA N. </w:t>
      </w:r>
      <w:r w:rsidRPr="00E14102">
        <w:rPr>
          <w:color w:val="0070C0"/>
          <w:sz w:val="16"/>
          <w:szCs w:val="16"/>
        </w:rPr>
        <w:t>Е</w:t>
      </w:r>
      <w:r w:rsidRPr="00E14102">
        <w:rPr>
          <w:color w:val="0070C0"/>
          <w:sz w:val="16"/>
          <w:szCs w:val="16"/>
          <w:lang w:val="en-US"/>
        </w:rPr>
        <w:t xml:space="preserve">. Plans for the Development of the Workers' and Peasants' Red Army (RKKA) on the Eve of War //Journal of Slavic Military Studies. </w:t>
      </w:r>
      <w:r w:rsidRPr="00E14102">
        <w:rPr>
          <w:color w:val="0070C0"/>
          <w:sz w:val="16"/>
          <w:szCs w:val="16"/>
        </w:rPr>
        <w:t xml:space="preserve">1995. Vol. 8. № 2. P. 356-357, 359 (в цифровых данных имеются опечатки)). </w:t>
      </w:r>
    </w:p>
    <w:p w14:paraId="4718A969" w14:textId="77777777" w:rsidR="003E561B" w:rsidRPr="00E14102" w:rsidRDefault="003E561B" w:rsidP="00E14102">
      <w:pPr>
        <w:shd w:val="clear" w:color="auto" w:fill="FFFFFF"/>
        <w:jc w:val="both"/>
        <w:rPr>
          <w:color w:val="0070C0"/>
          <w:sz w:val="16"/>
          <w:szCs w:val="16"/>
        </w:rPr>
      </w:pPr>
      <w:r w:rsidRPr="00E14102">
        <w:rPr>
          <w:color w:val="0070C0"/>
          <w:sz w:val="16"/>
          <w:szCs w:val="16"/>
        </w:rPr>
        <w:t xml:space="preserve">В отличие от февральского меморандума Тухачевского, предлагавшего анализ военно-политической расстановки сил в Центрально-Восточной Европе (включая "натянутость" отношений между Польшей и ЧСР, возможность оказания Германией военного давления на Латвию для получения авиабаз), доклад Егорова содержал лишь цифровой подсчет сил, которые могут быть выставлены против СССР "со стороны германо-польского блока (включая и Финляндию)". Неясно, учитывалась ли </w:t>
      </w:r>
      <w:r w:rsidRPr="00E14102">
        <w:rPr>
          <w:color w:val="0070C0"/>
          <w:sz w:val="16"/>
          <w:szCs w:val="16"/>
        </w:rPr>
        <w:lastRenderedPageBreak/>
        <w:t>в этих расчетах необходимость прикрытия франко-германской и польско-чехословацкой границ и другие факторы либо же речь шла об общем количестве сил и средств, которые были способны мобилизовать Германия, Польша и Финляндия. По заверению Штаба, "уже в 1936 г." "мы можем иметь против себя" до 120 стрелковых дивизий, 21 кавалерийской дивизии и бригады, 5 тыс. танков и 3,5 тыс. самолетов (благодаря включению Финляндии эти цифры оказались более высокими, чем приведенные в записке Тухачевского, хотя и не шли в сравнение с заявленными в его статье). "Рост мобилизационных возможностей Германии и несомненный рост технических войск в Японии" побуждал ожидать развертывания на западном и восточном театрах войны в 1938-1939 гг. следующих сил: 250 стрелковых дивизий и 20 стрелковых бригад, 9 кавдивизий и 30 кавбригад, до 10-12 тыс. самолетов, 10-15 тыс. танков, до 25 тыс. орудий (калибра среднего и выше). Исходя из вероятности одновременной войны на обоих театрах, -каялся Егоров, - приходится признать, что западный театр нуждается дополнительно в значительном усилении, особенно но стрелковым войскам, развертывание которых в установленной численности РККА покоится на малочисленных кадрах".</w:t>
      </w:r>
    </w:p>
    <w:p w14:paraId="1828064D" w14:textId="77777777" w:rsidR="003E561B" w:rsidRPr="00E14102" w:rsidRDefault="003E561B" w:rsidP="00E14102">
      <w:pPr>
        <w:shd w:val="clear" w:color="auto" w:fill="FFFFFF"/>
        <w:jc w:val="both"/>
        <w:rPr>
          <w:color w:val="0070C0"/>
          <w:sz w:val="16"/>
          <w:szCs w:val="16"/>
        </w:rPr>
      </w:pPr>
      <w:r w:rsidRPr="00E14102">
        <w:rPr>
          <w:color w:val="0070C0"/>
          <w:sz w:val="16"/>
          <w:szCs w:val="16"/>
        </w:rPr>
        <w:t>Новая программа поэтому предусматривала общее перераспределив сил между Западом (140 дивизий), Дальним Востоком (25 дивизий) и Ближним Востоком (10 дивизий). Это приводило к армии военного времени в 175 стрелковых дивизий (вместо намеченных в марте 170 дивизий). По всей вероятности, директива предусмотреть "радикальное усиление западного театра с задачей обеспечить развертывание 140 дивизий" быта дана высшим политическим руководством еще в марте 1935 г. Теперь же для ее осуществления Штаб предлагал следующие действия в отношении стрелковых войск:</w:t>
      </w:r>
    </w:p>
    <w:p w14:paraId="528673B1" w14:textId="77777777" w:rsidR="003E561B" w:rsidRPr="00E14102" w:rsidRDefault="003E561B" w:rsidP="00E14102">
      <w:pPr>
        <w:shd w:val="clear" w:color="auto" w:fill="FFFFFF"/>
        <w:jc w:val="both"/>
        <w:rPr>
          <w:color w:val="0070C0"/>
          <w:sz w:val="16"/>
          <w:szCs w:val="16"/>
        </w:rPr>
      </w:pPr>
      <w:r w:rsidRPr="00E14102">
        <w:rPr>
          <w:color w:val="0070C0"/>
          <w:sz w:val="16"/>
          <w:szCs w:val="16"/>
        </w:rPr>
        <w:t>1) формирование 12 кадровых дивизий (по 7000 человек) с дислокацией в семи укрепрайонах;</w:t>
      </w:r>
    </w:p>
    <w:p w14:paraId="0B111E3A" w14:textId="77777777" w:rsidR="003E561B" w:rsidRPr="00E14102" w:rsidRDefault="003E561B" w:rsidP="00E14102">
      <w:pPr>
        <w:shd w:val="clear" w:color="auto" w:fill="FFFFFF"/>
        <w:jc w:val="both"/>
        <w:rPr>
          <w:color w:val="0070C0"/>
          <w:sz w:val="16"/>
          <w:szCs w:val="16"/>
        </w:rPr>
      </w:pPr>
      <w:r w:rsidRPr="00E14102">
        <w:rPr>
          <w:color w:val="0070C0"/>
          <w:sz w:val="16"/>
          <w:szCs w:val="16"/>
        </w:rPr>
        <w:t>2) перевод 29 существующих дивизий на кадровое положение (по 7000 человек), при этом необходимо предусмотреть для 16 из них двойное, а для 4 - тройное развертывание;</w:t>
      </w:r>
    </w:p>
    <w:p w14:paraId="2AC15124" w14:textId="77777777" w:rsidR="003E561B" w:rsidRPr="00E14102" w:rsidRDefault="003E561B" w:rsidP="00E14102">
      <w:pPr>
        <w:shd w:val="clear" w:color="auto" w:fill="FFFFFF"/>
        <w:jc w:val="both"/>
        <w:rPr>
          <w:color w:val="0070C0"/>
          <w:sz w:val="16"/>
          <w:szCs w:val="16"/>
        </w:rPr>
      </w:pPr>
      <w:r w:rsidRPr="00E14102">
        <w:rPr>
          <w:color w:val="0070C0"/>
          <w:sz w:val="16"/>
          <w:szCs w:val="16"/>
        </w:rPr>
        <w:t>3) усиление кадров всех 38 территориальных дивизий (до 3500 вместо 2100) с обеспечением двойного развертывания каждой из них.</w:t>
      </w:r>
    </w:p>
    <w:p w14:paraId="5552A326" w14:textId="77777777" w:rsidR="003E561B" w:rsidRPr="00E14102" w:rsidRDefault="003E561B" w:rsidP="00E14102">
      <w:pPr>
        <w:shd w:val="clear" w:color="auto" w:fill="FFFFFF"/>
        <w:jc w:val="both"/>
        <w:rPr>
          <w:color w:val="0070C0"/>
          <w:sz w:val="16"/>
          <w:szCs w:val="16"/>
        </w:rPr>
      </w:pPr>
      <w:r w:rsidRPr="00E14102">
        <w:rPr>
          <w:color w:val="0070C0"/>
          <w:sz w:val="16"/>
          <w:szCs w:val="16"/>
        </w:rPr>
        <w:t>Таким образом, в РККА должно было быть 100 открытых стрелковых дивизий, из которых 18 предназначались для Дальнего Востока, 8 - для Ближнего Востока. На западном театре войны дислоцировались 74 дивизии (41 кадровая и 33 территориальных), причем непосредственно на западной границе - 42 дивизии, из которых 34 являлись кадровыми дивизиями со сроком мобилизационной готовности от 2 до 5 дней. Кроме того, в течение последующих 5-10 дней вблизи западной границы предусматривалось развертывание (в том числе под видом учебных сборов) дополнительно 21 стрелковой дивизии. Вместе с переводом на кадровое положение всех корпусных частей (12 артполков и 19 инженерных батальонов) численность стрелковых войск мирного времени поднималась с 394 тыс. до 604 тыс. человек В докладе предлагалось вслед за кавалерийскими соединениями Запада перевести на новые штаты (6600 человек вместо 5380) все остальные дивизии, "что требует дополнительного увеличения численности конницы на 17 тысяч человек".</w:t>
      </w:r>
    </w:p>
    <w:p w14:paraId="5E49D72C" w14:textId="77777777" w:rsidR="003E561B" w:rsidRPr="00E14102" w:rsidRDefault="003E561B" w:rsidP="00E14102">
      <w:pPr>
        <w:shd w:val="clear" w:color="auto" w:fill="FFFFFF"/>
        <w:jc w:val="both"/>
        <w:rPr>
          <w:color w:val="0070C0"/>
          <w:sz w:val="16"/>
          <w:szCs w:val="16"/>
        </w:rPr>
      </w:pPr>
      <w:r w:rsidRPr="00E14102">
        <w:rPr>
          <w:color w:val="0070C0"/>
          <w:sz w:val="16"/>
          <w:szCs w:val="16"/>
        </w:rPr>
        <w:t>Вторая группа мероприятий была направлена на доведение состава ВВС РККА до 10 тыс. боевых самолетов в строю (при общем парке авиации в 15 тыс. машин) к началу 1939 г. Составленный Штабом график развития военно-воздушных сил предусматривал наличие к 1 мая 1936 г. 6150 боевых самолетов в строю. Наряду с пополнением авиачастей самолетами до установленного штата п формирования четвертых эскадрилий в существующих авиабригадах Штаб РККА предлагал в течение 1936-1938 гг. добиться давно желаемого решительного сдвига к усилению наступательного потенциала советских ВВС. Планировалось заново сформировать 3 бригады тяжелых бомбардировщиков и 16 бригад скоростных бомбардировщиков ближнего действия, а также 5 истребительных и 1 минно-торпедную бригаду. К сожалению, число имевшихся весной 1935 г. авиабригад и их распределение по типам самолетов и решаемым задачам не поддается определению. Сравнение анализируемого доклада с выкладками Штаба РККА двухлетней давности косвенно свидетельствует о наметившейся (или проявившейся) весной 1935 г. тенденции преимущественного развития тех видов бомбардировочной авиации, которые были предназначены для непосредственной поддержки сухопутных сил, а не для решения самостоятельных оперативно-стратегических задач (Еще в январе 1935 г. начальник Штаба ВВС комкор Хрипни (год спустя он возглавил первую авиационную Армию особого назначения) ставил "совместные действия с земными войсками и флотом в рамках общей операции для достижения единой цели" лишь на четвертое место в перечне задач воздушных сил (ХРИПИН В. О характере боевых действий авиации // Война и революция. 1935. № 1. С. 69-71). См. также КУТАХОВ П. Проведение воздушных операций // ВИЖ. 1972. № 6. С. 20.</w:t>
      </w:r>
    </w:p>
    <w:p w14:paraId="51D0A22D" w14:textId="77777777" w:rsidR="003E561B" w:rsidRPr="00E14102" w:rsidRDefault="003E561B" w:rsidP="00E14102">
      <w:pPr>
        <w:shd w:val="clear" w:color="auto" w:fill="FFFFFF"/>
        <w:jc w:val="both"/>
        <w:rPr>
          <w:color w:val="0070C0"/>
          <w:sz w:val="16"/>
          <w:szCs w:val="16"/>
        </w:rPr>
      </w:pPr>
      <w:r w:rsidRPr="00E14102">
        <w:rPr>
          <w:color w:val="0070C0"/>
          <w:sz w:val="16"/>
          <w:szCs w:val="16"/>
        </w:rPr>
        <w:t>В феврале 1936 г. - июне 1938 г. было сформировано три AOН (по 340-360 самолетов в каждой), являвшихся авиационным резервом Главного командования (ВИЖ 1983. № 5. С 92-93)). Не исключено, что изменение ранее планировавшегося распределения по типам самолетов отражало производственные трудности. По расчетам Штаба, бомбардировочная авиация в целом должна была к 1939 г. составить 43% общего числа боевых самолетов. Личный состав ВВС увеличивался со 114 тыс. до 183 тыс. человек (Доклад Начальника Штаба РККА Егорова "Развитие РККА на 1936-938 гг.", 14.04.1935 //Там же. Л. 2-5).</w:t>
      </w:r>
    </w:p>
    <w:p w14:paraId="4BEA8777" w14:textId="77777777" w:rsidR="003E561B" w:rsidRPr="00E14102" w:rsidRDefault="003E561B" w:rsidP="00E14102">
      <w:pPr>
        <w:shd w:val="clear" w:color="auto" w:fill="FFFFFF"/>
        <w:jc w:val="both"/>
        <w:rPr>
          <w:color w:val="0070C0"/>
          <w:sz w:val="16"/>
          <w:szCs w:val="16"/>
        </w:rPr>
      </w:pPr>
      <w:r w:rsidRPr="00E14102">
        <w:rPr>
          <w:color w:val="0070C0"/>
          <w:sz w:val="16"/>
          <w:szCs w:val="16"/>
        </w:rPr>
        <w:t>В апрельском докладе подтверждались планы развития флота в соответствии с правительственной программой, включая внесенные в нее с июля 1933 г. изменения: уменьшение планируемого числа подводных лодок в строю с 376 до 318 единиц и увеличение количества торпедных катеров с 312 до 323183, а также возрастание "состава морских сил по людям" на 35 тыс. (до 114 тыс. человек) к 1S&gt;39 г. В общей форме предусматривалось также увеличение личного состава АРГК, ПВО, инженерных войск и тыловых служб и расширение сети военно-учебных заведений на 15 тыс. человек В итоге проведения всех мероприятий численность РККА должна была составить 1475 тыс. человек (увеличение на 381 тыс.)184.</w:t>
      </w:r>
    </w:p>
    <w:p w14:paraId="7F5BC861" w14:textId="77777777" w:rsidR="003E561B" w:rsidRPr="00E14102" w:rsidRDefault="003E561B" w:rsidP="00E14102">
      <w:pPr>
        <w:shd w:val="clear" w:color="auto" w:fill="FFFFFF"/>
        <w:jc w:val="both"/>
        <w:rPr>
          <w:color w:val="0070C0"/>
          <w:sz w:val="16"/>
          <w:szCs w:val="16"/>
        </w:rPr>
      </w:pPr>
      <w:r w:rsidRPr="00E14102">
        <w:rPr>
          <w:color w:val="0070C0"/>
          <w:sz w:val="16"/>
          <w:szCs w:val="16"/>
        </w:rPr>
        <w:t>Состав развертываемых вооруженных сил на 1 января 1939 г. с распределением их по театрам, согласно плану Штаба РККА, приобретал следующий вид (см. табл. 13).</w:t>
      </w:r>
    </w:p>
    <w:p w14:paraId="7F231D82" w14:textId="77777777" w:rsidR="003E561B" w:rsidRPr="00E14102" w:rsidRDefault="003E561B" w:rsidP="00E14102">
      <w:pPr>
        <w:shd w:val="clear" w:color="auto" w:fill="FFFFFF"/>
        <w:jc w:val="both"/>
        <w:rPr>
          <w:color w:val="0070C0"/>
          <w:sz w:val="16"/>
          <w:szCs w:val="16"/>
        </w:rPr>
      </w:pPr>
      <w:bookmarkStart w:id="12" w:name="_Hlk96161505"/>
      <w:r w:rsidRPr="00E14102">
        <w:rPr>
          <w:color w:val="0070C0"/>
          <w:sz w:val="16"/>
          <w:szCs w:val="16"/>
        </w:rPr>
        <w:t>ТАБЛИЦА 13</w:t>
      </w:r>
    </w:p>
    <w:p w14:paraId="012FF034" w14:textId="77777777" w:rsidR="003E561B" w:rsidRPr="00E14102" w:rsidRDefault="003E561B" w:rsidP="00E14102">
      <w:pPr>
        <w:shd w:val="clear" w:color="auto" w:fill="FFFFFF"/>
        <w:jc w:val="both"/>
        <w:rPr>
          <w:color w:val="0070C0"/>
          <w:sz w:val="16"/>
          <w:szCs w:val="16"/>
        </w:rPr>
      </w:pPr>
      <w:r w:rsidRPr="00E14102">
        <w:rPr>
          <w:color w:val="0070C0"/>
          <w:sz w:val="16"/>
          <w:szCs w:val="16"/>
        </w:rPr>
        <w:t>План мобилизационного развертывания на 1939 г.</w:t>
      </w:r>
    </w:p>
    <w:p w14:paraId="271EA4A1" w14:textId="77777777" w:rsidR="003E561B" w:rsidRPr="00E14102" w:rsidRDefault="003E561B" w:rsidP="00E14102">
      <w:pPr>
        <w:shd w:val="clear" w:color="auto" w:fill="FFFFFF"/>
        <w:jc w:val="both"/>
        <w:rPr>
          <w:color w:val="0070C0"/>
          <w:sz w:val="16"/>
          <w:szCs w:val="16"/>
        </w:rPr>
      </w:pPr>
      <w:r w:rsidRPr="00E14102">
        <w:rPr>
          <w:color w:val="0070C0"/>
          <w:sz w:val="16"/>
          <w:szCs w:val="16"/>
        </w:rPr>
        <w:t>Театр военных действий Стрелковые дивизии Кавалерийские бригады Механизированные РГК Артиллерийские полки встрою Боевые самолеты</w:t>
      </w:r>
    </w:p>
    <w:p w14:paraId="5D9E6EA2" w14:textId="77777777" w:rsidR="003E561B" w:rsidRPr="00E14102" w:rsidRDefault="003E561B" w:rsidP="00E14102">
      <w:pPr>
        <w:shd w:val="clear" w:color="auto" w:fill="FFFFFF"/>
        <w:jc w:val="both"/>
        <w:rPr>
          <w:color w:val="0070C0"/>
          <w:sz w:val="16"/>
          <w:szCs w:val="16"/>
        </w:rPr>
      </w:pPr>
      <w:r w:rsidRPr="00E14102">
        <w:rPr>
          <w:color w:val="0070C0"/>
          <w:sz w:val="16"/>
          <w:szCs w:val="16"/>
        </w:rPr>
        <w:t>Запад (без флота) 139 22 20 35 6370</w:t>
      </w:r>
    </w:p>
    <w:p w14:paraId="22072065" w14:textId="77777777" w:rsidR="003E561B" w:rsidRPr="00E14102" w:rsidRDefault="003E561B" w:rsidP="00E14102">
      <w:pPr>
        <w:shd w:val="clear" w:color="auto" w:fill="FFFFFF"/>
        <w:jc w:val="both"/>
        <w:rPr>
          <w:color w:val="0070C0"/>
          <w:sz w:val="16"/>
          <w:szCs w:val="16"/>
        </w:rPr>
      </w:pPr>
      <w:r w:rsidRPr="00E14102">
        <w:rPr>
          <w:color w:val="0070C0"/>
          <w:sz w:val="16"/>
          <w:szCs w:val="16"/>
        </w:rPr>
        <w:t>ОКДВА (без флота) 25 4 5 6 1800</w:t>
      </w:r>
    </w:p>
    <w:p w14:paraId="06729544" w14:textId="77777777" w:rsidR="003E561B" w:rsidRPr="00E14102" w:rsidRDefault="003E561B" w:rsidP="00E14102">
      <w:pPr>
        <w:shd w:val="clear" w:color="auto" w:fill="FFFFFF"/>
        <w:jc w:val="both"/>
        <w:rPr>
          <w:color w:val="0070C0"/>
          <w:sz w:val="16"/>
          <w:szCs w:val="16"/>
        </w:rPr>
      </w:pPr>
      <w:r w:rsidRPr="00E14102">
        <w:rPr>
          <w:color w:val="0070C0"/>
          <w:sz w:val="16"/>
          <w:szCs w:val="16"/>
        </w:rPr>
        <w:t>Среднеазиатский поенный округ 2 4 - - 30</w:t>
      </w:r>
    </w:p>
    <w:p w14:paraId="74D50B9F" w14:textId="77777777" w:rsidR="003E561B" w:rsidRPr="00E14102" w:rsidRDefault="003E561B" w:rsidP="00E14102">
      <w:pPr>
        <w:shd w:val="clear" w:color="auto" w:fill="FFFFFF"/>
        <w:jc w:val="both"/>
        <w:rPr>
          <w:color w:val="0070C0"/>
          <w:sz w:val="16"/>
          <w:szCs w:val="16"/>
        </w:rPr>
      </w:pPr>
      <w:r w:rsidRPr="00E14102">
        <w:rPr>
          <w:color w:val="0070C0"/>
          <w:sz w:val="16"/>
          <w:szCs w:val="16"/>
        </w:rPr>
        <w:t>Краснознаменная Кавказская армия 6 1 - - 200</w:t>
      </w:r>
    </w:p>
    <w:p w14:paraId="2C2BBC43" w14:textId="77777777" w:rsidR="003E561B" w:rsidRPr="00E14102" w:rsidRDefault="003E561B" w:rsidP="00E14102">
      <w:pPr>
        <w:shd w:val="clear" w:color="auto" w:fill="FFFFFF"/>
        <w:jc w:val="both"/>
        <w:rPr>
          <w:color w:val="0070C0"/>
          <w:sz w:val="16"/>
          <w:szCs w:val="16"/>
        </w:rPr>
      </w:pPr>
      <w:r w:rsidRPr="00E14102">
        <w:rPr>
          <w:color w:val="0070C0"/>
          <w:sz w:val="16"/>
          <w:szCs w:val="16"/>
        </w:rPr>
        <w:t>Северо-Кавказский военный округ 2 - - - -</w:t>
      </w:r>
    </w:p>
    <w:p w14:paraId="24E22697" w14:textId="77777777" w:rsidR="003E561B" w:rsidRPr="00E14102" w:rsidRDefault="003E561B" w:rsidP="00E14102">
      <w:pPr>
        <w:shd w:val="clear" w:color="auto" w:fill="FFFFFF"/>
        <w:jc w:val="both"/>
        <w:rPr>
          <w:color w:val="0070C0"/>
          <w:sz w:val="16"/>
          <w:szCs w:val="16"/>
        </w:rPr>
      </w:pPr>
      <w:r w:rsidRPr="00E14102">
        <w:rPr>
          <w:color w:val="0070C0"/>
          <w:sz w:val="16"/>
          <w:szCs w:val="16"/>
        </w:rPr>
        <w:t>Крым 1 - - - -</w:t>
      </w:r>
    </w:p>
    <w:p w14:paraId="12EF36F1" w14:textId="77777777" w:rsidR="003E561B" w:rsidRPr="00E14102" w:rsidRDefault="003E561B" w:rsidP="00E14102">
      <w:pPr>
        <w:shd w:val="clear" w:color="auto" w:fill="FFFFFF"/>
        <w:jc w:val="both"/>
        <w:rPr>
          <w:color w:val="0070C0"/>
          <w:sz w:val="16"/>
          <w:szCs w:val="16"/>
        </w:rPr>
      </w:pPr>
      <w:r w:rsidRPr="00E14102">
        <w:rPr>
          <w:color w:val="0070C0"/>
          <w:sz w:val="16"/>
          <w:szCs w:val="16"/>
        </w:rPr>
        <w:t>Итого 175 31 25 41 8400</w:t>
      </w:r>
    </w:p>
    <w:p w14:paraId="7E1B64FC" w14:textId="77777777" w:rsidR="003E561B" w:rsidRPr="00E14102" w:rsidRDefault="003E561B" w:rsidP="00E14102">
      <w:pPr>
        <w:shd w:val="clear" w:color="auto" w:fill="FFFFFF"/>
        <w:jc w:val="both"/>
        <w:rPr>
          <w:color w:val="0070C0"/>
          <w:sz w:val="16"/>
          <w:szCs w:val="16"/>
        </w:rPr>
      </w:pPr>
      <w:r w:rsidRPr="00E14102">
        <w:rPr>
          <w:color w:val="0070C0"/>
          <w:sz w:val="16"/>
          <w:szCs w:val="16"/>
        </w:rPr>
        <w:t>Кроме того, предусматривалось наличие шести тяжелых танковых бригад (вероятно, намечавшихся в составе РГК), 1300 самолетов на ТОФ, КБФ, ЧФ, СФ и 300 - на обороне Москвы и Ленинграда. Количество авиационных бригад определялось как "58/7" (вероятно, имелись в виду 58 бригад ВВС и 7 бригад морской авиации). План формирований первого года войны в рассматриваемом документе отсутствовал, в нем указывалось лишь на необходимость подготовки 15 стрелковых дивизий третьей очереди в первом полугодии войны (Доклад Начальника Штаба РККА Егорова "Развитие РККА па 1936-1938 гг.", 14.04.1935 // Там же. Л. 7).</w:t>
      </w:r>
    </w:p>
    <w:p w14:paraId="7BFE028B" w14:textId="77777777" w:rsidR="003E561B" w:rsidRPr="00E14102" w:rsidRDefault="003E561B" w:rsidP="00E14102">
      <w:pPr>
        <w:shd w:val="clear" w:color="auto" w:fill="FFFFFF"/>
        <w:jc w:val="both"/>
        <w:rPr>
          <w:color w:val="0070C0"/>
          <w:sz w:val="16"/>
          <w:szCs w:val="16"/>
        </w:rPr>
      </w:pPr>
      <w:r w:rsidRPr="00E14102">
        <w:rPr>
          <w:color w:val="0070C0"/>
          <w:sz w:val="16"/>
          <w:szCs w:val="16"/>
        </w:rPr>
        <w:t>Составной частью нового плана развертывания являлся анализ материальных ресурсов, необходимых как для осуществления предлагаемых оргмероприятий (ассигнования на казарменное строительство и др.), так и для снабжения вооруженного фронта (см. табл. 14) (Составлено по: То же. Л. 9, 11-12).</w:t>
      </w:r>
    </w:p>
    <w:p w14:paraId="5AB47705" w14:textId="77777777" w:rsidR="003E561B" w:rsidRPr="00E14102" w:rsidRDefault="003E561B" w:rsidP="00E14102">
      <w:pPr>
        <w:shd w:val="clear" w:color="auto" w:fill="FFFFFF"/>
        <w:jc w:val="both"/>
        <w:rPr>
          <w:color w:val="0070C0"/>
          <w:sz w:val="16"/>
          <w:szCs w:val="16"/>
        </w:rPr>
      </w:pPr>
      <w:r w:rsidRPr="00E14102">
        <w:rPr>
          <w:color w:val="0070C0"/>
          <w:sz w:val="16"/>
          <w:szCs w:val="16"/>
        </w:rPr>
        <w:t>ТАБЛИЦА 14</w:t>
      </w:r>
    </w:p>
    <w:p w14:paraId="5846E3A4" w14:textId="77777777" w:rsidR="003E561B" w:rsidRPr="00E14102" w:rsidRDefault="003E561B" w:rsidP="00E14102">
      <w:pPr>
        <w:shd w:val="clear" w:color="auto" w:fill="FFFFFF"/>
        <w:jc w:val="both"/>
        <w:rPr>
          <w:color w:val="0070C0"/>
          <w:sz w:val="16"/>
          <w:szCs w:val="16"/>
        </w:rPr>
      </w:pPr>
      <w:r w:rsidRPr="00E14102">
        <w:rPr>
          <w:color w:val="0070C0"/>
          <w:sz w:val="16"/>
          <w:szCs w:val="16"/>
        </w:rPr>
        <w:t>Расчет потребности в вооружениях и военных материалах на военное время на 1935 и 1939 гг.</w:t>
      </w:r>
    </w:p>
    <w:p w14:paraId="3297E8D7" w14:textId="77777777" w:rsidR="003E561B" w:rsidRPr="00E14102" w:rsidRDefault="003E561B" w:rsidP="00E14102">
      <w:pPr>
        <w:shd w:val="clear" w:color="auto" w:fill="FFFFFF"/>
        <w:jc w:val="both"/>
        <w:rPr>
          <w:color w:val="0070C0"/>
          <w:sz w:val="16"/>
          <w:szCs w:val="16"/>
        </w:rPr>
      </w:pPr>
      <w:r w:rsidRPr="00E14102">
        <w:rPr>
          <w:color w:val="0070C0"/>
          <w:sz w:val="16"/>
          <w:szCs w:val="16"/>
        </w:rPr>
        <w:t>Виды снабжения 1935 г. 1939 г.</w:t>
      </w:r>
    </w:p>
    <w:p w14:paraId="08CC46EB" w14:textId="77777777" w:rsidR="003E561B" w:rsidRPr="00E14102" w:rsidRDefault="003E561B" w:rsidP="00E14102">
      <w:pPr>
        <w:shd w:val="clear" w:color="auto" w:fill="FFFFFF"/>
        <w:jc w:val="both"/>
        <w:rPr>
          <w:color w:val="0070C0"/>
          <w:sz w:val="16"/>
          <w:szCs w:val="16"/>
        </w:rPr>
      </w:pPr>
      <w:r w:rsidRPr="00E14102">
        <w:rPr>
          <w:color w:val="0070C0"/>
          <w:sz w:val="16"/>
          <w:szCs w:val="16"/>
        </w:rPr>
        <w:t>Потребность года войны Утверждено правительством к подаче Потребность года войны Утверждено правительством к подаче</w:t>
      </w:r>
    </w:p>
    <w:p w14:paraId="1FC94B70" w14:textId="77777777" w:rsidR="003E561B" w:rsidRPr="00E14102" w:rsidRDefault="003E561B" w:rsidP="00E14102">
      <w:pPr>
        <w:shd w:val="clear" w:color="auto" w:fill="FFFFFF"/>
        <w:jc w:val="both"/>
        <w:rPr>
          <w:color w:val="0070C0"/>
          <w:sz w:val="16"/>
          <w:szCs w:val="16"/>
        </w:rPr>
      </w:pPr>
      <w:r w:rsidRPr="00E14102">
        <w:rPr>
          <w:color w:val="0070C0"/>
          <w:sz w:val="16"/>
          <w:szCs w:val="16"/>
        </w:rPr>
        <w:t>Самолеты 14 500 11 700 45 000 Мощность на 1938 г.-26 650</w:t>
      </w:r>
    </w:p>
    <w:p w14:paraId="085FC5A8" w14:textId="77777777" w:rsidR="003E561B" w:rsidRPr="00E14102" w:rsidRDefault="003E561B" w:rsidP="00E14102">
      <w:pPr>
        <w:shd w:val="clear" w:color="auto" w:fill="FFFFFF"/>
        <w:jc w:val="both"/>
        <w:rPr>
          <w:color w:val="0070C0"/>
          <w:sz w:val="16"/>
          <w:szCs w:val="16"/>
        </w:rPr>
      </w:pPr>
      <w:r w:rsidRPr="00E14102">
        <w:rPr>
          <w:color w:val="0070C0"/>
          <w:sz w:val="16"/>
          <w:szCs w:val="16"/>
        </w:rPr>
        <w:t>Танки 40 000 38 400 50 000 -</w:t>
      </w:r>
    </w:p>
    <w:p w14:paraId="5D2E79D3" w14:textId="77777777" w:rsidR="003E561B" w:rsidRPr="00E14102" w:rsidRDefault="003E561B" w:rsidP="00E14102">
      <w:pPr>
        <w:shd w:val="clear" w:color="auto" w:fill="FFFFFF"/>
        <w:jc w:val="both"/>
        <w:rPr>
          <w:color w:val="0070C0"/>
          <w:sz w:val="16"/>
          <w:szCs w:val="16"/>
        </w:rPr>
      </w:pPr>
      <w:r w:rsidRPr="00E14102">
        <w:rPr>
          <w:color w:val="0070C0"/>
          <w:sz w:val="16"/>
          <w:szCs w:val="16"/>
        </w:rPr>
        <w:t>Моторы Нет данных Нет данных 85 000 Мощность на 1938 г. - 23 500</w:t>
      </w:r>
    </w:p>
    <w:p w14:paraId="5B046B8B" w14:textId="77777777" w:rsidR="003E561B" w:rsidRPr="00E14102" w:rsidRDefault="003E561B" w:rsidP="00E14102">
      <w:pPr>
        <w:shd w:val="clear" w:color="auto" w:fill="FFFFFF"/>
        <w:jc w:val="both"/>
        <w:rPr>
          <w:color w:val="0070C0"/>
          <w:sz w:val="16"/>
          <w:szCs w:val="16"/>
        </w:rPr>
      </w:pPr>
      <w:r w:rsidRPr="00E14102">
        <w:rPr>
          <w:color w:val="0070C0"/>
          <w:sz w:val="16"/>
          <w:szCs w:val="16"/>
        </w:rPr>
        <w:t>Орудия, 48 500 1934 г.-24 410 53 000 -</w:t>
      </w:r>
    </w:p>
    <w:p w14:paraId="539E8FCF" w14:textId="77777777" w:rsidR="003E561B" w:rsidRPr="00E14102" w:rsidRDefault="003E561B" w:rsidP="00E14102">
      <w:pPr>
        <w:shd w:val="clear" w:color="auto" w:fill="FFFFFF"/>
        <w:jc w:val="both"/>
        <w:rPr>
          <w:color w:val="0070C0"/>
          <w:sz w:val="16"/>
          <w:szCs w:val="16"/>
        </w:rPr>
      </w:pPr>
      <w:r w:rsidRPr="00E14102">
        <w:rPr>
          <w:color w:val="0070C0"/>
          <w:sz w:val="16"/>
          <w:szCs w:val="16"/>
        </w:rPr>
        <w:t>ИЗ НИХ:</w:t>
      </w:r>
    </w:p>
    <w:p w14:paraId="04FFC9A6" w14:textId="77777777" w:rsidR="003E561B" w:rsidRPr="00E14102" w:rsidRDefault="003E561B" w:rsidP="00E14102">
      <w:pPr>
        <w:shd w:val="clear" w:color="auto" w:fill="FFFFFF"/>
        <w:jc w:val="both"/>
        <w:rPr>
          <w:color w:val="0070C0"/>
          <w:sz w:val="16"/>
          <w:szCs w:val="16"/>
        </w:rPr>
      </w:pPr>
      <w:r w:rsidRPr="00E14102">
        <w:rPr>
          <w:color w:val="0070C0"/>
          <w:sz w:val="16"/>
          <w:szCs w:val="16"/>
        </w:rPr>
        <w:t>мелкокалиберные 30 200 15 180 34 500 -</w:t>
      </w:r>
    </w:p>
    <w:p w14:paraId="63E7A9CA" w14:textId="77777777" w:rsidR="003E561B" w:rsidRPr="00E14102" w:rsidRDefault="003E561B" w:rsidP="00E14102">
      <w:pPr>
        <w:shd w:val="clear" w:color="auto" w:fill="FFFFFF"/>
        <w:jc w:val="both"/>
        <w:rPr>
          <w:color w:val="0070C0"/>
          <w:sz w:val="16"/>
          <w:szCs w:val="16"/>
        </w:rPr>
      </w:pPr>
      <w:r w:rsidRPr="00E14102">
        <w:rPr>
          <w:color w:val="0070C0"/>
          <w:sz w:val="16"/>
          <w:szCs w:val="16"/>
        </w:rPr>
        <w:t>среднего и крупной) калибра 18 300 8230 18600 -</w:t>
      </w:r>
    </w:p>
    <w:p w14:paraId="496984F9" w14:textId="77777777" w:rsidR="003E561B" w:rsidRPr="00E14102" w:rsidRDefault="003E561B" w:rsidP="00E14102">
      <w:pPr>
        <w:shd w:val="clear" w:color="auto" w:fill="FFFFFF"/>
        <w:jc w:val="both"/>
        <w:rPr>
          <w:color w:val="0070C0"/>
          <w:sz w:val="16"/>
          <w:szCs w:val="16"/>
        </w:rPr>
      </w:pPr>
      <w:r w:rsidRPr="00E14102">
        <w:rPr>
          <w:color w:val="0070C0"/>
          <w:sz w:val="16"/>
          <w:szCs w:val="16"/>
        </w:rPr>
        <w:t>Винтпатроны (млрд) 10,5 6 13,5 На 1936 г. - 8</w:t>
      </w:r>
    </w:p>
    <w:p w14:paraId="701F0F15" w14:textId="77777777" w:rsidR="003E561B" w:rsidRPr="00E14102" w:rsidRDefault="003E561B" w:rsidP="00E14102">
      <w:pPr>
        <w:shd w:val="clear" w:color="auto" w:fill="FFFFFF"/>
        <w:jc w:val="both"/>
        <w:rPr>
          <w:color w:val="0070C0"/>
          <w:sz w:val="16"/>
          <w:szCs w:val="16"/>
        </w:rPr>
      </w:pPr>
      <w:r w:rsidRPr="00E14102">
        <w:rPr>
          <w:color w:val="0070C0"/>
          <w:sz w:val="16"/>
          <w:szCs w:val="16"/>
        </w:rPr>
        <w:t>Авиабомбы (тыс. т) 280 250 620 На 1936 г.-300</w:t>
      </w:r>
    </w:p>
    <w:p w14:paraId="72929588" w14:textId="77777777" w:rsidR="003E561B" w:rsidRPr="00E14102" w:rsidRDefault="003E561B" w:rsidP="00E14102">
      <w:pPr>
        <w:shd w:val="clear" w:color="auto" w:fill="FFFFFF"/>
        <w:jc w:val="both"/>
        <w:rPr>
          <w:color w:val="0070C0"/>
          <w:sz w:val="16"/>
          <w:szCs w:val="16"/>
        </w:rPr>
      </w:pPr>
      <w:r w:rsidRPr="00E14102">
        <w:rPr>
          <w:color w:val="0070C0"/>
          <w:sz w:val="16"/>
          <w:szCs w:val="16"/>
        </w:rPr>
        <w:t>Выстрелы (млн) 124,2 76 225 На 1936 г.- 100</w:t>
      </w:r>
    </w:p>
    <w:p w14:paraId="7C7F7AD0" w14:textId="77777777" w:rsidR="003E561B" w:rsidRPr="00E14102" w:rsidRDefault="003E561B" w:rsidP="00E14102">
      <w:pPr>
        <w:shd w:val="clear" w:color="auto" w:fill="FFFFFF"/>
        <w:jc w:val="both"/>
        <w:rPr>
          <w:color w:val="0070C0"/>
          <w:sz w:val="16"/>
          <w:szCs w:val="16"/>
        </w:rPr>
      </w:pPr>
      <w:r w:rsidRPr="00E14102">
        <w:rPr>
          <w:color w:val="0070C0"/>
          <w:sz w:val="16"/>
          <w:szCs w:val="16"/>
        </w:rPr>
        <w:t>(в т. ч. морские),</w:t>
      </w:r>
    </w:p>
    <w:p w14:paraId="419779DE" w14:textId="77777777" w:rsidR="003E561B" w:rsidRPr="00E14102" w:rsidRDefault="003E561B" w:rsidP="00E14102">
      <w:pPr>
        <w:shd w:val="clear" w:color="auto" w:fill="FFFFFF"/>
        <w:jc w:val="both"/>
        <w:rPr>
          <w:color w:val="0070C0"/>
          <w:sz w:val="16"/>
          <w:szCs w:val="16"/>
        </w:rPr>
      </w:pPr>
      <w:r w:rsidRPr="00E14102">
        <w:rPr>
          <w:color w:val="0070C0"/>
          <w:sz w:val="16"/>
          <w:szCs w:val="16"/>
        </w:rPr>
        <w:t>ИЗ НИХ:</w:t>
      </w:r>
    </w:p>
    <w:p w14:paraId="6B2B20AC" w14:textId="77777777" w:rsidR="003E561B" w:rsidRPr="00E14102" w:rsidRDefault="003E561B" w:rsidP="00E14102">
      <w:pPr>
        <w:shd w:val="clear" w:color="auto" w:fill="FFFFFF"/>
        <w:jc w:val="both"/>
        <w:rPr>
          <w:color w:val="0070C0"/>
          <w:sz w:val="16"/>
          <w:szCs w:val="16"/>
        </w:rPr>
      </w:pPr>
      <w:r w:rsidRPr="00E14102">
        <w:rPr>
          <w:color w:val="0070C0"/>
          <w:sz w:val="16"/>
          <w:szCs w:val="16"/>
        </w:rPr>
        <w:t>мелкокалиберные 48 29 125 -</w:t>
      </w:r>
    </w:p>
    <w:p w14:paraId="70915D51" w14:textId="77777777" w:rsidR="003E561B" w:rsidRPr="00E14102" w:rsidRDefault="003E561B" w:rsidP="00E14102">
      <w:pPr>
        <w:shd w:val="clear" w:color="auto" w:fill="FFFFFF"/>
        <w:jc w:val="both"/>
        <w:rPr>
          <w:color w:val="0070C0"/>
          <w:sz w:val="16"/>
          <w:szCs w:val="16"/>
        </w:rPr>
      </w:pPr>
      <w:r w:rsidRPr="00E14102">
        <w:rPr>
          <w:color w:val="0070C0"/>
          <w:sz w:val="16"/>
          <w:szCs w:val="16"/>
        </w:rPr>
        <w:t>среднего и 76.2</w:t>
      </w:r>
    </w:p>
    <w:p w14:paraId="13B5EFEE" w14:textId="77777777" w:rsidR="003E561B" w:rsidRPr="00E14102" w:rsidRDefault="003E561B" w:rsidP="00E14102">
      <w:pPr>
        <w:shd w:val="clear" w:color="auto" w:fill="FFFFFF"/>
        <w:jc w:val="both"/>
        <w:rPr>
          <w:color w:val="0070C0"/>
          <w:sz w:val="16"/>
          <w:szCs w:val="16"/>
        </w:rPr>
      </w:pPr>
      <w:r w:rsidRPr="00E14102">
        <w:rPr>
          <w:color w:val="0070C0"/>
          <w:sz w:val="16"/>
          <w:szCs w:val="16"/>
        </w:rPr>
        <w:t>крупного калибра</w:t>
      </w:r>
    </w:p>
    <w:p w14:paraId="45C2288B" w14:textId="77777777" w:rsidR="003E561B" w:rsidRPr="00E14102" w:rsidRDefault="003E561B" w:rsidP="00E14102">
      <w:pPr>
        <w:shd w:val="clear" w:color="auto" w:fill="FFFFFF"/>
        <w:jc w:val="both"/>
        <w:rPr>
          <w:color w:val="0070C0"/>
          <w:sz w:val="16"/>
          <w:szCs w:val="16"/>
        </w:rPr>
      </w:pPr>
      <w:r w:rsidRPr="00E14102">
        <w:rPr>
          <w:color w:val="0070C0"/>
          <w:sz w:val="16"/>
          <w:szCs w:val="16"/>
        </w:rPr>
        <w:t>47,2 100 -</w:t>
      </w:r>
    </w:p>
    <w:p w14:paraId="449A4758" w14:textId="77777777" w:rsidR="003E561B" w:rsidRPr="00E14102" w:rsidRDefault="003E561B" w:rsidP="00E14102">
      <w:pPr>
        <w:shd w:val="clear" w:color="auto" w:fill="FFFFFF"/>
        <w:jc w:val="both"/>
        <w:rPr>
          <w:color w:val="0070C0"/>
          <w:sz w:val="16"/>
          <w:szCs w:val="16"/>
        </w:rPr>
      </w:pPr>
      <w:r w:rsidRPr="00E14102">
        <w:rPr>
          <w:color w:val="0070C0"/>
          <w:sz w:val="16"/>
          <w:szCs w:val="16"/>
        </w:rPr>
        <w:t>Горючее (жидкое) 4000 1934 г. - 4000 8000 -</w:t>
      </w:r>
    </w:p>
    <w:p w14:paraId="6DAFD58E" w14:textId="77777777" w:rsidR="003E561B" w:rsidRPr="00E14102" w:rsidRDefault="003E561B" w:rsidP="00E14102">
      <w:pPr>
        <w:shd w:val="clear" w:color="auto" w:fill="FFFFFF"/>
        <w:jc w:val="both"/>
        <w:rPr>
          <w:color w:val="0070C0"/>
          <w:sz w:val="16"/>
          <w:szCs w:val="16"/>
        </w:rPr>
      </w:pPr>
      <w:r w:rsidRPr="00E14102">
        <w:rPr>
          <w:color w:val="0070C0"/>
          <w:sz w:val="16"/>
          <w:szCs w:val="16"/>
        </w:rPr>
        <w:t>и масла (тыс. т),</w:t>
      </w:r>
    </w:p>
    <w:p w14:paraId="0DA09995" w14:textId="77777777" w:rsidR="003E561B" w:rsidRPr="00E14102" w:rsidRDefault="003E561B" w:rsidP="00E14102">
      <w:pPr>
        <w:shd w:val="clear" w:color="auto" w:fill="FFFFFF"/>
        <w:jc w:val="both"/>
        <w:rPr>
          <w:color w:val="0070C0"/>
          <w:sz w:val="16"/>
          <w:szCs w:val="16"/>
        </w:rPr>
      </w:pPr>
      <w:r w:rsidRPr="00E14102">
        <w:rPr>
          <w:color w:val="0070C0"/>
          <w:sz w:val="16"/>
          <w:szCs w:val="16"/>
        </w:rPr>
        <w:t>из них:</w:t>
      </w:r>
    </w:p>
    <w:p w14:paraId="6530994E" w14:textId="77777777" w:rsidR="003E561B" w:rsidRPr="00E14102" w:rsidRDefault="003E561B" w:rsidP="00E14102">
      <w:pPr>
        <w:shd w:val="clear" w:color="auto" w:fill="FFFFFF"/>
        <w:jc w:val="both"/>
        <w:rPr>
          <w:color w:val="0070C0"/>
          <w:sz w:val="16"/>
          <w:szCs w:val="16"/>
        </w:rPr>
      </w:pPr>
      <w:r w:rsidRPr="00E14102">
        <w:rPr>
          <w:color w:val="0070C0"/>
          <w:sz w:val="16"/>
          <w:szCs w:val="16"/>
        </w:rPr>
        <w:lastRenderedPageBreak/>
        <w:t>авиабензина 380 1934 г. - 4000 1600 -</w:t>
      </w:r>
    </w:p>
    <w:p w14:paraId="14763DAC" w14:textId="77777777" w:rsidR="003E561B" w:rsidRPr="00E14102" w:rsidRDefault="003E561B" w:rsidP="00E14102">
      <w:pPr>
        <w:shd w:val="clear" w:color="auto" w:fill="FFFFFF"/>
        <w:jc w:val="both"/>
        <w:rPr>
          <w:color w:val="0070C0"/>
          <w:sz w:val="16"/>
          <w:szCs w:val="16"/>
        </w:rPr>
      </w:pPr>
      <w:r w:rsidRPr="00E14102">
        <w:rPr>
          <w:color w:val="0070C0"/>
          <w:sz w:val="16"/>
          <w:szCs w:val="16"/>
        </w:rPr>
        <w:t>прочего бензина 1390 1934 г. - 1390 1900 -</w:t>
      </w:r>
    </w:p>
    <w:bookmarkEnd w:id="12"/>
    <w:p w14:paraId="1728BE63" w14:textId="77777777" w:rsidR="003E561B" w:rsidRPr="00E14102" w:rsidRDefault="003E561B" w:rsidP="00E14102">
      <w:pPr>
        <w:shd w:val="clear" w:color="auto" w:fill="FFFFFF"/>
        <w:jc w:val="both"/>
        <w:rPr>
          <w:color w:val="0070C0"/>
          <w:sz w:val="16"/>
          <w:szCs w:val="16"/>
        </w:rPr>
      </w:pPr>
      <w:r w:rsidRPr="00E14102">
        <w:rPr>
          <w:color w:val="0070C0"/>
          <w:sz w:val="16"/>
          <w:szCs w:val="16"/>
        </w:rPr>
        <w:t>Эти сведения указывают, что под влиянием утвержденных правительством размеров подачи военное ведомство вынуждено было формулировать потребность года войны на 1935 г. в иных объемах и структурных пропорциях, нежели представлялось Штабу в 1933 г. на развертывание 1935 г. были перенесены цифры прежней мобзаявки на 1933 г. по танкам и самолетам, однако потребность в артиллерийских орудиях указывалась по старому проекту MP-18, а в выстрелах - на промежуточном уровне между вариантами 1935 и 1938 гг. По сравнению с мобзаявкой НКВМ (1933 г.) на 1938 г. (30 тыс. машин) программа Штаба резко акцентировала потребность военного времени по самолетам (45 тыс. на 1939 г.), в отношении иной номенклатуры увеличение было небольшим, соответствующим "естественному приросту" за 1938-1939 гг. Программа Штаба требовала "крупных капиталовложений, которые необходимо осуществить в 1936-1938 гг.", и в особенности расширения производственной базы по самолетам и моторам, выстрелам (пороху), горючему ("авиационному в первую очередь") (Тоже. Л. 12. Применительно к авиационной промышленности это проблемы в апреле рассматривались комиссией Молотова. Если производство самолетов и моторов в 1936 и 1937 гг. предполагалось с небольшим увеличением (1936 г. - 4987 самолетов и 3400 запасных моторов, 1937 г. - 5556 самолетов и 3915 запасных моторов), то подача на год войны определялась в динамике на 1936 г. - 17 тыс. самолетов, на 1937 г. - 27 тыс. самолетов (Протокол № 24 заседания Политбюро ЦК ВКП(б), 26 апреля 1935 г. (особый), приложение № 1 к п. 172 // РГА СПИ. Ф. 17. Оп. 162. Д 18. Л. 11)).</w:t>
      </w:r>
    </w:p>
    <w:p w14:paraId="111C99B5" w14:textId="77777777" w:rsidR="003E561B" w:rsidRPr="00E14102" w:rsidRDefault="003E561B" w:rsidP="00E14102">
      <w:pPr>
        <w:shd w:val="clear" w:color="auto" w:fill="FFFFFF"/>
        <w:jc w:val="both"/>
        <w:rPr>
          <w:color w:val="0070C0"/>
          <w:sz w:val="16"/>
          <w:szCs w:val="16"/>
        </w:rPr>
      </w:pPr>
      <w:r w:rsidRPr="00E14102">
        <w:rPr>
          <w:color w:val="0070C0"/>
          <w:sz w:val="16"/>
          <w:szCs w:val="16"/>
        </w:rPr>
        <w:t>Представленная в докладе материальная обеспеченность мобразвертывания на 1935 г. обнаруживала ее существенное несовпадение как с приоритетами увеличения мощностей и подачи на военное время, так и с пересматриваемым планом текущих заказов Наркомата обороны. Наиболее узким местом обеспеченности развертывания назывался мобзапас патронов, мелкокалиберных и зенитных выстрелов, орудий малого калибра, приборов, средств обслуживания авиации и механизированных частей, обмундирование, по которым некомплект составлял свыше 50%. Лишь 40 батальонов стрелковых дивизий обеспечивались танками (Т-26 и Т-37) (Доклад Начальника Штаба РККА Егорова "Развитие РККА на 1936-1938 IT.*, 14-04.1935 //Там же. Л.8.). При этом, однако, заказы промышленности на винтпатроны, танки и орудия предлагалось сократить по сравнению с уровнем 1935 г., а на аэродромное и танкодромное имущество, связь и обмундирование - оставить "в среднем на уровне текущих военных заказов" (Там же. Л. 10-11. Годовые поставки мелкокалиберных выстрелов Штаб предлагал поднять до 7 млн в год (заказ 1935 г. - 4 млн снарядов)). Подтверждалась необходимость поставок в 1936-1938 гг. судов и вооружений ВМФ (4,1 млрд руб.) и оснащения ВВС (3,7 млрд руб.). Примирить неотложные и среднесрочные потребности, нужды мобилизационного развертывания и устойчивого снабжения фронта, распределить ресурсы между родами войск в соответствии с их значимостью в войне Штаб РККА как будто и не пытался.</w:t>
      </w:r>
    </w:p>
    <w:p w14:paraId="11418202" w14:textId="77777777" w:rsidR="003E561B" w:rsidRPr="00E14102" w:rsidRDefault="003E561B" w:rsidP="00E14102">
      <w:pPr>
        <w:jc w:val="both"/>
        <w:rPr>
          <w:color w:val="0070C0"/>
          <w:sz w:val="16"/>
          <w:szCs w:val="16"/>
        </w:rPr>
      </w:pPr>
      <w:r w:rsidRPr="00E14102">
        <w:rPr>
          <w:color w:val="0070C0"/>
          <w:sz w:val="16"/>
          <w:szCs w:val="16"/>
        </w:rPr>
        <w:t>Дальнейший ход выработки плана строительства, мобразвертывания и материального снабжения РККА на 1936-1939 гг. известен лишь в самых общих чертах (22725).</w:t>
      </w:r>
    </w:p>
    <w:p w14:paraId="1925449F" w14:textId="77777777" w:rsidR="003E561B" w:rsidRPr="00E14102" w:rsidRDefault="003E561B" w:rsidP="00E14102">
      <w:pPr>
        <w:jc w:val="both"/>
        <w:rPr>
          <w:color w:val="0070C0"/>
          <w:sz w:val="16"/>
          <w:szCs w:val="16"/>
        </w:rPr>
      </w:pPr>
    </w:p>
    <w:p w14:paraId="64A062CC" w14:textId="20E2253A"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7FB227E" w14:textId="77777777" w:rsidR="00D4105E" w:rsidRPr="00E14102" w:rsidRDefault="00D4105E" w:rsidP="00E14102">
      <w:pPr>
        <w:autoSpaceDE w:val="0"/>
        <w:autoSpaceDN w:val="0"/>
        <w:adjustRightInd w:val="0"/>
        <w:jc w:val="both"/>
        <w:rPr>
          <w:color w:val="000000" w:themeColor="text1"/>
          <w:sz w:val="16"/>
          <w:szCs w:val="16"/>
        </w:rPr>
      </w:pPr>
    </w:p>
    <w:p w14:paraId="78673B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апреля 1935 в г.Стреза (Италия) завершила работу конференция Великобритании, Франции и Италии по вопросам нарушения Германией условий Версальского договора от 28.06.1919. Принята совместная декларация о неприкосновенности независимости Австрии (7444).</w:t>
      </w:r>
    </w:p>
    <w:p w14:paraId="2B693816" w14:textId="77777777" w:rsidR="00D4105E" w:rsidRPr="00E14102" w:rsidRDefault="00D4105E" w:rsidP="00E14102">
      <w:pPr>
        <w:autoSpaceDE w:val="0"/>
        <w:autoSpaceDN w:val="0"/>
        <w:adjustRightInd w:val="0"/>
        <w:jc w:val="both"/>
        <w:rPr>
          <w:color w:val="000000" w:themeColor="text1"/>
          <w:sz w:val="16"/>
          <w:szCs w:val="16"/>
        </w:rPr>
      </w:pPr>
    </w:p>
    <w:p w14:paraId="7E996E8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F32C06F" w14:textId="77777777" w:rsidR="00D4105E" w:rsidRPr="00E14102" w:rsidRDefault="00D4105E" w:rsidP="00E14102">
      <w:pPr>
        <w:autoSpaceDE w:val="0"/>
        <w:autoSpaceDN w:val="0"/>
        <w:adjustRightInd w:val="0"/>
        <w:jc w:val="both"/>
        <w:rPr>
          <w:iCs/>
          <w:color w:val="000000" w:themeColor="text1"/>
          <w:sz w:val="16"/>
          <w:szCs w:val="16"/>
        </w:rPr>
      </w:pPr>
    </w:p>
    <w:p w14:paraId="390D38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апреля 1935 состоялось техническое совещание по РД (1102).</w:t>
      </w:r>
    </w:p>
    <w:p w14:paraId="4B3FEF23" w14:textId="77777777" w:rsidR="00D4105E" w:rsidRPr="00E14102" w:rsidRDefault="00D4105E" w:rsidP="00E14102">
      <w:pPr>
        <w:autoSpaceDE w:val="0"/>
        <w:autoSpaceDN w:val="0"/>
        <w:adjustRightInd w:val="0"/>
        <w:jc w:val="both"/>
        <w:rPr>
          <w:color w:val="000000" w:themeColor="text1"/>
          <w:sz w:val="16"/>
          <w:szCs w:val="16"/>
        </w:rPr>
      </w:pPr>
    </w:p>
    <w:p w14:paraId="6EC5F119"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15 апреля 1935</w:t>
      </w:r>
    </w:p>
    <w:p w14:paraId="3ABF2EB0"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Выписка из Протокола № 3 КО от 15 апреля 1935</w:t>
      </w:r>
    </w:p>
    <w:p w14:paraId="536EF146"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Слушали/Постановили:</w:t>
      </w:r>
    </w:p>
    <w:p w14:paraId="622AF460"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1. О Плане опытного строительства самолетов и моторов на 1935-36 гг.</w:t>
      </w:r>
    </w:p>
    <w:p w14:paraId="24EE00EF"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План опытного самолето-моторостроения утвердить</w:t>
      </w:r>
    </w:p>
    <w:p w14:paraId="59A6A68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Т.т. ОРДЖОНИКИДЗЕ, ВОРОШИЛОВУ и ТКАЧЕВУ дополнительно рассмотреть план опытного самолетостроения ГУГВФ и предложения пред</w:t>
      </w:r>
      <w:r w:rsidRPr="00E14102">
        <w:rPr>
          <w:color w:val="000000" w:themeColor="text1"/>
          <w:sz w:val="16"/>
          <w:szCs w:val="16"/>
        </w:rPr>
        <w:softHyphen/>
        <w:t>ставить КО.</w:t>
      </w:r>
    </w:p>
    <w:p w14:paraId="694FF48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Созыв за т. ОРДЖОНИКИДЗЕ. Срок - декада.</w:t>
      </w:r>
    </w:p>
    <w:p w14:paraId="3B654E5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О МОШОСТЯХ САМОЛЕТНЫХ И АВИАМОТОРНЫХ ЗАВОДОВ И О НЕОБХОДИМЫХ МЕРОПРИЯТИЯХ ПО ИХ УВЕЛИЧЕНИЮ.</w:t>
      </w:r>
    </w:p>
    <w:p w14:paraId="387C25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Признать необходимым довести мощность заводов авиапромыш</w:t>
      </w:r>
      <w:r w:rsidRPr="00E14102">
        <w:rPr>
          <w:color w:val="000000" w:themeColor="text1"/>
          <w:sz w:val="16"/>
          <w:szCs w:val="16"/>
        </w:rPr>
        <w:softHyphen/>
        <w:t>ленности на 1937 г. до выпуска по военному времени 24 000 самолетов и 72.000 моторов в год.</w:t>
      </w:r>
    </w:p>
    <w:p w14:paraId="0DC1C43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Создать комиссию в составе т.т. МОЛОТОВА (председатель), СТАЛИНА, ВОРОШИЛОВА, ОРДЖОНИКИДЗЕ, ЕГОРОВА, АЛКСНИСА, КОРОЛЕВА и МАРГОЛИНА для рассмотрения предложений:</w:t>
      </w:r>
    </w:p>
    <w:p w14:paraId="5D906C8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по плану развития Военных Воздушных Сил РККА и Граж</w:t>
      </w:r>
      <w:r w:rsidRPr="00E14102">
        <w:rPr>
          <w:color w:val="000000" w:themeColor="text1"/>
          <w:sz w:val="16"/>
          <w:szCs w:val="16"/>
        </w:rPr>
        <w:softHyphen/>
        <w:t>данского Воздушного Флота по годам до 1938 г. включительно;</w:t>
      </w:r>
    </w:p>
    <w:p w14:paraId="08A08A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по плану развития мощностей заводов авиационной промышленности по годам с тем, чтобы в 1937г. иметь общую мощность по выпуску 24.000 самолетов и 72.000 моторов;</w:t>
      </w:r>
    </w:p>
    <w:p w14:paraId="11E87C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по плану подачи самолетов и моторов для Военных Воздуш</w:t>
      </w:r>
      <w:r w:rsidRPr="00E14102">
        <w:rPr>
          <w:color w:val="000000" w:themeColor="text1"/>
          <w:sz w:val="16"/>
          <w:szCs w:val="16"/>
        </w:rPr>
        <w:softHyphen/>
        <w:t>ных Сил РККА и Гражданского Воздушного Флота по годам и по типам на мирное и военное время до 1937г. включительно;</w:t>
      </w:r>
    </w:p>
    <w:p w14:paraId="1F002A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по плану развития ремонтной сети для ВВС и гразданской авиации.</w:t>
      </w:r>
    </w:p>
    <w:p w14:paraId="6469AB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О ПОСТРОЙКЕ КРЕЙСЕРОВ НА ДВ.</w:t>
      </w:r>
    </w:p>
    <w:p w14:paraId="44E689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Крейсеров на Дальзаводе не строить.</w:t>
      </w:r>
    </w:p>
    <w:p w14:paraId="5B2B43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Построить на Дальзаводе 4 серийных эсминца со сдачей их в мае 1937г.</w:t>
      </w:r>
    </w:p>
    <w:p w14:paraId="25C844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целях обеспечения срока сдачи этих эсминцев, обязать НКТП начать постройку их на НГЗ, с использованием всех заготовок, материалов и механизмов, предназначенных для 4-х серийных эсмин</w:t>
      </w:r>
      <w:r w:rsidRPr="00E14102">
        <w:rPr>
          <w:color w:val="000000" w:themeColor="text1"/>
          <w:sz w:val="16"/>
          <w:szCs w:val="16"/>
        </w:rPr>
        <w:softHyphen/>
        <w:t>цев Черноморского флота. Для окончания достройки - эсминцы в ра</w:t>
      </w:r>
      <w:r w:rsidRPr="00E14102">
        <w:rPr>
          <w:color w:val="000000" w:themeColor="text1"/>
          <w:sz w:val="16"/>
          <w:szCs w:val="16"/>
        </w:rPr>
        <w:softHyphen/>
        <w:t>зобранном виде доставить на Дальзавод.</w:t>
      </w:r>
    </w:p>
    <w:p w14:paraId="0F03A5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Взамен указанных 4-х эсминцев заложить для Черноморского флота в конце 1935г. 4 новых серийных эсминца со сдачей в 1937 г.</w:t>
      </w:r>
    </w:p>
    <w:p w14:paraId="1A02D1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5.ОБ УТВЕРЖДЕНИИ ЭСКИЗНОГО ПРОЕКТА БОЛЬШОЙ ПОДВОДНОЙ ЛОДКИ КЭ-9 и БЫСТРОХОДНОГО КАТЕРА.</w:t>
      </w:r>
    </w:p>
    <w:p w14:paraId="792BA3A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1.Принять предложение НКО по подлодке КЭ-9.</w:t>
      </w:r>
    </w:p>
    <w:p w14:paraId="1A32A9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Конструктора подлодки КЭ-9 т. РУДНИЦКОГО откомандировать в распоряжение НКТП сроком на 1 год (период проек</w:t>
      </w:r>
      <w:r w:rsidRPr="00E14102">
        <w:rPr>
          <w:color w:val="000000" w:themeColor="text1"/>
          <w:sz w:val="16"/>
          <w:szCs w:val="16"/>
        </w:rPr>
        <w:softHyphen/>
        <w:t>тирования подлодки).</w:t>
      </w:r>
    </w:p>
    <w:p w14:paraId="24938C5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Инженера ПЕРЕГУДОВА из Главморпрома вернуть немед</w:t>
      </w:r>
      <w:r w:rsidRPr="00E14102">
        <w:rPr>
          <w:color w:val="000000" w:themeColor="text1"/>
          <w:sz w:val="16"/>
          <w:szCs w:val="16"/>
        </w:rPr>
        <w:softHyphen/>
        <w:t>ленно в НКО.</w:t>
      </w:r>
    </w:p>
    <w:p w14:paraId="4B7C814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Принять предложения НКО по спецкатеру НИВКа.</w:t>
      </w:r>
    </w:p>
    <w:p w14:paraId="02789B8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Все сроки по проекту - т.т. ВОРОШИЛОВУ и ОРДЖОНИКИДЗЕ уточнить и представить КО в 10-ти дневный срок.</w:t>
      </w:r>
    </w:p>
    <w:p w14:paraId="67F31A8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О СОСТОЯНИИ ПРОМЫШЛЕННОСТИ ОТРАВЛЯШИХ ВЕЩЕСТВ.</w:t>
      </w:r>
    </w:p>
    <w:p w14:paraId="744D85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О СНАБЖЕНИИ РККА ДЫМООБРАЗУЮЩИМИ ВЕЩЕСТВАМИ.</w:t>
      </w:r>
    </w:p>
    <w:p w14:paraId="5D02F75D"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Отложить (3419,18</w:t>
      </w:r>
    </w:p>
    <w:p w14:paraId="55D880E0"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p>
    <w:p w14:paraId="6DD506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апреля 1935 года гл. инженер механик НИИ ВС Аузан писал письмо N с/ч 01007 военпреду завода N 1, директору завода N 36.</w:t>
      </w:r>
    </w:p>
    <w:p w14:paraId="205E1F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Ваше письмо по вопросу о замене сероголубого покрытия для деревянных самолетов алюминиевым аэролаком сообщаю, что НИИ ВС против подобной замены не возражает.</w:t>
      </w:r>
    </w:p>
    <w:p w14:paraId="55FD28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Присланный Вами образец полотна, покрашенного алюминиевым аэролаком (серебряном) уступая по внешнему виду образцу, с покрытием на заграничном алюминиевом порошке, тем не менее имеет вполне удовлетворительный цвет.</w:t>
      </w:r>
    </w:p>
    <w:p w14:paraId="6C0DC4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Поэтому учитывая результаты специальных испытаний (большая стойкость к атмосферным влияниям и усадка, уменьшение расхода и т.д.), а также и опыт эксплуатации целого ряда самолетов даже морских НИИ ВС считает введение алюминиевого аэролака для серийной покраски деревянных самолетов взамен серо-голубого вполне целесообразным и своевременным.</w:t>
      </w:r>
    </w:p>
    <w:p w14:paraId="674195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того, что производство алюминиевого порошка налажено на заводе ГУАП N 95, но еще не вполне освоено, НИИ считает необходимым выработать ТУ на алюминиевый порошок и поставить их перед заводом N 45 для скорейшего выпуска вполне стандартного и качественного порошка. (3121,126).</w:t>
      </w:r>
    </w:p>
    <w:p w14:paraId="5A18C46D" w14:textId="77777777" w:rsidR="00D4105E" w:rsidRPr="00E14102" w:rsidRDefault="00D4105E" w:rsidP="00E14102">
      <w:pPr>
        <w:autoSpaceDE w:val="0"/>
        <w:autoSpaceDN w:val="0"/>
        <w:adjustRightInd w:val="0"/>
        <w:jc w:val="both"/>
        <w:rPr>
          <w:color w:val="000000" w:themeColor="text1"/>
          <w:sz w:val="16"/>
          <w:szCs w:val="16"/>
        </w:rPr>
      </w:pPr>
    </w:p>
    <w:p w14:paraId="03345F9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B44F7F5" w14:textId="77777777" w:rsidR="00D4105E" w:rsidRPr="00E14102" w:rsidRDefault="00D4105E" w:rsidP="00E14102">
      <w:pPr>
        <w:autoSpaceDE w:val="0"/>
        <w:autoSpaceDN w:val="0"/>
        <w:adjustRightInd w:val="0"/>
        <w:jc w:val="both"/>
        <w:rPr>
          <w:iCs/>
          <w:color w:val="000000" w:themeColor="text1"/>
          <w:sz w:val="16"/>
          <w:szCs w:val="16"/>
        </w:rPr>
      </w:pPr>
    </w:p>
    <w:p w14:paraId="6FE937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апреля 1935 г. По пр. ГВМУ НКТП и пр. ВООМП № 54 от 28.05.1935 г. Конструкторско-исследовательское бюро (КИБ) объединено с Опытным заводом в ЦОЗ ВООМП. 5.12.1935 г. вышел новый приказ ВООМП № 124, согласно которому КИБ с 1.01.1936 г. объединялся с Опытным заводом в единый Специально-экспериментальный завод. В 1936 г. КИБ преобразовано в Отдел оптического приборостроения ГОИ.</w:t>
      </w:r>
    </w:p>
    <w:p w14:paraId="60FEC9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1934 г. разработан оптический прицел «ЗТ-а». В 1935 г. созданы прицелы ПАН-3 (ПАН-6) и РГ, принятые в серийное производство. В 1935 г. изготовлена узкопленочная немая кинопередвижка.</w:t>
      </w:r>
    </w:p>
    <w:p w14:paraId="2982C1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составе КИБ (1934 г.) - Научно-производственная лаборатория ВООМП. По расп. НКТП № 86 от 7.04.1934 г. и пр. Главточмаша № 38 от 23.04.1934 г. Научно-производственная лаборатория выделена из состава КИБ в самостоятельную хозяйственную единицу.</w:t>
      </w:r>
    </w:p>
    <w:p w14:paraId="184FCA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Директор (-04.1934-1.09.1935 г.)- </w:t>
      </w:r>
      <w:r w:rsidRPr="00E14102">
        <w:rPr>
          <w:color w:val="000000" w:themeColor="text1"/>
          <w:sz w:val="16"/>
          <w:szCs w:val="16"/>
          <w:lang w:val="en-US"/>
        </w:rPr>
        <w:t>B</w:t>
      </w:r>
      <w:r w:rsidRPr="00E14102">
        <w:rPr>
          <w:color w:val="000000" w:themeColor="text1"/>
          <w:sz w:val="16"/>
          <w:szCs w:val="16"/>
        </w:rPr>
        <w:t>.</w:t>
      </w:r>
      <w:r w:rsidRPr="00E14102">
        <w:rPr>
          <w:color w:val="000000" w:themeColor="text1"/>
          <w:sz w:val="16"/>
          <w:szCs w:val="16"/>
          <w:lang w:val="en-US"/>
        </w:rPr>
        <w:t>C</w:t>
      </w:r>
      <w:r w:rsidRPr="00E14102">
        <w:rPr>
          <w:color w:val="000000" w:themeColor="text1"/>
          <w:sz w:val="16"/>
          <w:szCs w:val="16"/>
        </w:rPr>
        <w:t>. Балабанович, (12.1935 г.)- А.В. Бахшинов.</w:t>
      </w:r>
    </w:p>
    <w:p w14:paraId="481686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Технический директор (12.1935 г.)- С.Т. Цуккерман.</w:t>
      </w:r>
    </w:p>
    <w:p w14:paraId="2336A0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конструктор (03.1936 г.)- С.Т. Цуккерман.</w:t>
      </w:r>
    </w:p>
    <w:p w14:paraId="01ACD8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1-го отделения (03.1936 г.)- М.А. Резунов. Начальник ППО (04.1934 г.)- К.А. Любов.</w:t>
      </w:r>
    </w:p>
    <w:p w14:paraId="5EE9AA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начальника ОКО (03.1936 г.)- И.А. Турагин.</w:t>
      </w:r>
    </w:p>
    <w:p w14:paraId="4534CA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Руководители групп: (03.1936 г.)- Вишневский, (03.1936 г.)- А.Ф. Иванов, (03.1936 г.)- И.Н. Караев.</w:t>
      </w:r>
    </w:p>
    <w:p w14:paraId="154916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Опытный завод ВООМП НКТП, Центральный опытный завод (ЦОЗ) ВООМП НКТП, Специально-экспериментальный завод ВООМП НКТП</w:t>
      </w:r>
    </w:p>
    <w:p w14:paraId="2FF3AD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02.1934-35 г. Опытный завод - в ведении ВООМП, ВТОМП НКТП. По пр. ГВМУ НКТП от 15.04.1935 г. и ВООМП № 54 от 28.05.1935 г. Опытный завод объединен с КИБ в ЦОЗ ВООМП, при нем организовано КБ. 5.12.1935 г. вышел новый приказ ВООМП № 124, согласно которому Опытный завод с 1.01.1936 г. объединялся с КИБ в единый Специально-экспериментальный завод, за которым сохранялось проектирование и изготовление опытных образцов приборов.</w:t>
      </w:r>
    </w:p>
    <w:p w14:paraId="3261D4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 ВТОМП № 29 от 20.02.1935 г. на заводе организована группа опытно-экспериментальных работ по заданию КИБа. По пр. № 253с от 14.02.1936 г. требовалось в 10-дневный срок передать на завод «Прогресс» оборудование, незавершенное производство и кадры во главе с мастером Владимировым по производству биологического микроскопа.</w:t>
      </w:r>
    </w:p>
    <w:p w14:paraId="6E1F04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Численность персонала (1935 г.)- 278 чел.</w:t>
      </w:r>
    </w:p>
    <w:p w14:paraId="370092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Директор (-09.1934-05.1935; 02.1936 г.)- Н.С. Козик, (28.05.1935 г.-)- </w:t>
      </w:r>
      <w:r w:rsidRPr="00E14102">
        <w:rPr>
          <w:color w:val="000000" w:themeColor="text1"/>
          <w:sz w:val="16"/>
          <w:szCs w:val="16"/>
          <w:lang w:val="en-US"/>
        </w:rPr>
        <w:t>B</w:t>
      </w:r>
      <w:r w:rsidRPr="00E14102">
        <w:rPr>
          <w:color w:val="000000" w:themeColor="text1"/>
          <w:sz w:val="16"/>
          <w:szCs w:val="16"/>
        </w:rPr>
        <w:t>.</w:t>
      </w:r>
      <w:r w:rsidRPr="00E14102">
        <w:rPr>
          <w:color w:val="000000" w:themeColor="text1"/>
          <w:sz w:val="16"/>
          <w:szCs w:val="16"/>
          <w:lang w:val="en-US"/>
        </w:rPr>
        <w:t>C</w:t>
      </w:r>
      <w:r w:rsidRPr="00E14102">
        <w:rPr>
          <w:color w:val="000000" w:themeColor="text1"/>
          <w:sz w:val="16"/>
          <w:szCs w:val="16"/>
        </w:rPr>
        <w:t>. Балабанович.</w:t>
      </w:r>
    </w:p>
    <w:p w14:paraId="2BF51A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директора (28.05.1935 г.-)- Н.С. Козик.</w:t>
      </w:r>
    </w:p>
    <w:p w14:paraId="74FBCD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Технический директор (-07.1934-05.1935 г.)- В.В. Петров, (28.05.1935 г.-&gt; С.Т. Цуккерман.</w:t>
      </w:r>
    </w:p>
    <w:p w14:paraId="7B17F9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(28.05.1935 г.-)- В.В. Петров.</w:t>
      </w:r>
    </w:p>
    <w:p w14:paraId="61C7CB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КБ (28.05.1935 г.-)- С.Т. Цуккерман, (1.06.1935 г.-)- И.Х. Лулов.</w:t>
      </w:r>
    </w:p>
    <w:p w14:paraId="48D4A4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Заведующие отделами: ППО (12.1934 г.)- Базанов.</w:t>
      </w:r>
    </w:p>
    <w:p w14:paraId="20C955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фотоаппарат «Пионер» (1934) (11982).</w:t>
      </w:r>
    </w:p>
    <w:p w14:paraId="66DB1077" w14:textId="77777777" w:rsidR="00D4105E" w:rsidRPr="00E14102" w:rsidRDefault="00D4105E" w:rsidP="00E14102">
      <w:pPr>
        <w:autoSpaceDE w:val="0"/>
        <w:autoSpaceDN w:val="0"/>
        <w:adjustRightInd w:val="0"/>
        <w:jc w:val="both"/>
        <w:rPr>
          <w:color w:val="000000" w:themeColor="text1"/>
          <w:sz w:val="16"/>
          <w:szCs w:val="16"/>
        </w:rPr>
      </w:pPr>
    </w:p>
    <w:p w14:paraId="7D1391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апреля 1935 г. СТО одобрил оригинальный вари</w:t>
      </w:r>
      <w:r w:rsidRPr="00E14102">
        <w:rPr>
          <w:color w:val="000000" w:themeColor="text1"/>
          <w:sz w:val="16"/>
          <w:szCs w:val="16"/>
        </w:rPr>
        <w:softHyphen/>
        <w:t>ант подводной лодки, разработанный в 1934 г. начальником отдела подводного кораблестроения НИВК М. А. Рудницкии, который опирался на опыт создания лодок типа "Правда" и был рассчитан на перспективные разработки проектов новых легких и мощных дизельных двигателей завода "Русский дизель" (руководи</w:t>
      </w:r>
      <w:r w:rsidRPr="00E14102">
        <w:rPr>
          <w:color w:val="000000" w:themeColor="text1"/>
          <w:sz w:val="16"/>
          <w:szCs w:val="16"/>
        </w:rPr>
        <w:softHyphen/>
        <w:t>тель работ В. А. Вайншейдт) и он вскоре был включен в программу 1936 г. 25 января 1936 г. бьш утвержден эскизный проект "крейсерской эскадренной подводной лодки" КЭ-9 XIV серии (пр. 41). Главным конструктором и строи</w:t>
      </w:r>
      <w:r w:rsidRPr="00E14102">
        <w:rPr>
          <w:color w:val="000000" w:themeColor="text1"/>
          <w:sz w:val="16"/>
          <w:szCs w:val="16"/>
        </w:rPr>
        <w:softHyphen/>
        <w:t>телем первых подводных лодок этого типа бьш назначен М. А. Руд</w:t>
      </w:r>
      <w:r w:rsidRPr="00E14102">
        <w:rPr>
          <w:color w:val="000000" w:themeColor="text1"/>
          <w:sz w:val="16"/>
          <w:szCs w:val="16"/>
        </w:rPr>
        <w:softHyphen/>
        <w:t>ницкий. Общий (технический) проект разрабатывался под его ру</w:t>
      </w:r>
      <w:r w:rsidRPr="00E14102">
        <w:rPr>
          <w:color w:val="000000" w:themeColor="text1"/>
          <w:sz w:val="16"/>
          <w:szCs w:val="16"/>
        </w:rPr>
        <w:softHyphen/>
        <w:t>ководством в ЦКБС-2 (ЦКБ-18) (3898).</w:t>
      </w:r>
    </w:p>
    <w:p w14:paraId="72CA6702" w14:textId="77777777" w:rsidR="00D4105E" w:rsidRPr="00E14102" w:rsidRDefault="00D4105E" w:rsidP="00E14102">
      <w:pPr>
        <w:autoSpaceDE w:val="0"/>
        <w:autoSpaceDN w:val="0"/>
        <w:adjustRightInd w:val="0"/>
        <w:jc w:val="both"/>
        <w:rPr>
          <w:color w:val="000000" w:themeColor="text1"/>
          <w:sz w:val="16"/>
          <w:szCs w:val="16"/>
        </w:rPr>
      </w:pPr>
    </w:p>
    <w:p w14:paraId="59DE9A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апреля 1935 г., с отставанием от графика на полгода, подводная лодка «Дельфин» в недоделанном виде все же приступила к заводским сдаточным испытаниям. При этом уже в ходе последних доделочных работ был получен еще целый ряд новых технических требований по повышению скорости лодки за счет улучшения обтекаемости (всего 18 конструктивных изменений). Это привело к новому витку авральных работ, которые велись уже на территории заводского затона с нарушением элементарных правил техники безопасности. В результате на лодке возник пожар, который был геройски потушен рабочими. [173 — ГУ ЦАНО, Ф. 15, Оп. 3, Д. 177, Л. 62.]. Тем временем подлодка «Семга», отправленная в Ленинград еще осенью 1934 г., так и не была сдана Балтфлоту. Потребовалось еще большое количество переделок и мелкого ремонта. В итоге в Кронштадт она отправилась почти одновременно с «Дельфином» — в августе 1935 г. Вот так, через пень колоду, шли «по дороге к морю» советские подводные лодки. Завод № 112 еле-еле справлялся со строительством спецсудов Х серии, а руководство не знало, как и чем заткнуть очередные дыры в производстве, и вдруг как гром среди ясного неба новый приказ! А именно: начать строить еще и лодки серии «Н». Их производство предстояло начать в 1936 г., а сдать — в 1937 г. Лодки этой серии («Немки») являлись почти точной копией немецких подлодок VII серии, сыгравших главную роль в будущей битве за Атлантику в 1939–1945 гг. Чертежи субмарины были проданы СССР германской фирмой «ДЕМАГ». В отличие от лодок отечественной разработки подлодка IX серии, как ее вскоре стали именовать, отличалась более простой и надежной системой всплытия, эффективной системой кингстонов, рациональным размещением постов управления, хорошей доступностью механизмов и узлов и др. Время срочного погружения составляло всего 60–70 секунд. [174 — ГУ ЦАНО, Ф. 15, Оп. 3, Д. 177, Л. 137.] Длина ее корпуса составляла 77,7 метра, ширина — 6,4 метра, водоизмещение — 828 тонн. Вооружение включало четыре носовых и два кормовых торпедных аппарата калибром 533 мм. Субмарина приводилась в движение двумя дизелями по 2000 л. с. либо двумя электромоторами по 550 л. с. и могла развивать скорость до 20 узлов. Дальность плавания по техпаспорту составляла 2500 морских миль, то есть лодка являлась океанской. Однако это у немцев. А надо было еще воссоздать «немку» на советской судоверфи. Первое, что бросилось в глаза инженерам завода № 112, это длина судна. При заказе никто не учел, что она составляла 7770 см, а это превосходило размеры всех доков, имевшихся в распоряжении завода «Красное Сормово». Чтобы «впихнуть» лодку в док, были нужны серьезные конструктивные изменения. Некоторые даже предлагали размещать субмарины не вдоль продольной оси дока, а по диагонали. Дела, которые на заводе и так шли туго, осложнились еще и тем, что док, с многочисленными трудностями и приключениями перевезший в Ленинград спецсудно зав. № 550/4, вернуться назад не успел из-за окончания навигации. Подлодка 550/5 «Кумжа» так и не успела отправиться на север и осталась зимовать в Сормовском затоне. Тем временем развернулись авральные работы на судах 550/6,7,8 Х серии. Всем хотелось побыстрее от них избавиться, ведь в перспективе завод имел уже план на постройку 12 лодок IX серии (впоследствии их прозвали «эсками») и других спецсудов (11741).</w:t>
      </w:r>
    </w:p>
    <w:p w14:paraId="4BE7A96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15A0F0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6FF9E77" w14:textId="77777777" w:rsidR="00D4105E" w:rsidRPr="00E14102" w:rsidRDefault="00D4105E" w:rsidP="00E14102">
      <w:pPr>
        <w:autoSpaceDE w:val="0"/>
        <w:autoSpaceDN w:val="0"/>
        <w:adjustRightInd w:val="0"/>
        <w:jc w:val="both"/>
        <w:rPr>
          <w:iCs/>
          <w:color w:val="000000" w:themeColor="text1"/>
          <w:sz w:val="16"/>
          <w:szCs w:val="16"/>
        </w:rPr>
      </w:pPr>
    </w:p>
    <w:p w14:paraId="5B9D6577" w14:textId="77777777" w:rsidR="003A53E2" w:rsidRPr="00E14102" w:rsidRDefault="003A53E2" w:rsidP="00E14102">
      <w:pPr>
        <w:jc w:val="both"/>
        <w:rPr>
          <w:color w:val="000000" w:themeColor="text1"/>
          <w:sz w:val="16"/>
          <w:szCs w:val="16"/>
        </w:rPr>
      </w:pPr>
      <w:r w:rsidRPr="00E14102">
        <w:rPr>
          <w:color w:val="000000" w:themeColor="text1"/>
          <w:sz w:val="16"/>
          <w:szCs w:val="16"/>
        </w:rPr>
        <w:t>15 апреля в 1935 году поднялся в воздух «D.503» - истребитель, разработанный французской фирмой «Dewoitine». Самолет стал дальнейшим развитием истребителей «Dewoitine» D.500/501. Главным отличием самолета стало наличие лобового радиатора и укороченных крыльев. Эта машина проходила испытания, но сочли, что она уже запоздала и уступает по своим данным истребителям нового поколения, созданным по заданию 1934 г (15100).</w:t>
      </w:r>
    </w:p>
    <w:p w14:paraId="404A5FEC" w14:textId="77777777" w:rsidR="003A53E2" w:rsidRPr="00E14102" w:rsidRDefault="003A53E2" w:rsidP="00E14102">
      <w:pPr>
        <w:jc w:val="both"/>
        <w:rPr>
          <w:color w:val="000000" w:themeColor="text1"/>
          <w:sz w:val="16"/>
          <w:szCs w:val="16"/>
        </w:rPr>
      </w:pPr>
    </w:p>
    <w:p w14:paraId="0280DCEA" w14:textId="77777777" w:rsidR="003E561B" w:rsidRPr="00E14102" w:rsidRDefault="003E561B" w:rsidP="00E14102">
      <w:pPr>
        <w:jc w:val="both"/>
        <w:rPr>
          <w:color w:val="0070C0"/>
          <w:sz w:val="16"/>
          <w:szCs w:val="16"/>
        </w:rPr>
      </w:pPr>
      <w:r w:rsidRPr="00E14102">
        <w:rPr>
          <w:color w:val="0070C0"/>
          <w:sz w:val="16"/>
          <w:szCs w:val="16"/>
        </w:rPr>
        <w:t>15 апреля 1935 - поднялся в воздух D.503 - истребитель, разработанный французской фирмой Dewoitine.</w:t>
      </w:r>
    </w:p>
    <w:p w14:paraId="24A7C145" w14:textId="77777777" w:rsidR="003E561B" w:rsidRPr="00E14102" w:rsidRDefault="003E561B" w:rsidP="00E14102">
      <w:pPr>
        <w:jc w:val="both"/>
        <w:rPr>
          <w:color w:val="0070C0"/>
          <w:sz w:val="16"/>
          <w:szCs w:val="16"/>
        </w:rPr>
      </w:pPr>
      <w:r w:rsidRPr="00E14102">
        <w:rPr>
          <w:color w:val="0070C0"/>
          <w:sz w:val="16"/>
          <w:szCs w:val="16"/>
        </w:rPr>
        <w:t>Самолет стал дальнейшим развитием истребителей Dewoitine D.500/501. Главным отличием самолета стало наличие лобового радиатора и укороченных крыльев. Эта машина проходила испытания, но сочли, что она уже запоздала и уступает по своим данным истребителям нового поколения, созданным по заданию 1934 г. (22534).</w:t>
      </w:r>
    </w:p>
    <w:p w14:paraId="52AE39C0" w14:textId="77777777" w:rsidR="003E561B" w:rsidRPr="00E14102" w:rsidRDefault="003E561B" w:rsidP="00E14102">
      <w:pPr>
        <w:jc w:val="both"/>
        <w:rPr>
          <w:color w:val="0070C0"/>
          <w:sz w:val="16"/>
          <w:szCs w:val="16"/>
        </w:rPr>
      </w:pPr>
    </w:p>
    <w:p w14:paraId="46BAF65A" w14:textId="77777777" w:rsidR="003E561B" w:rsidRPr="00E14102" w:rsidRDefault="003E561B" w:rsidP="00E14102">
      <w:pPr>
        <w:jc w:val="both"/>
        <w:rPr>
          <w:color w:val="0070C0"/>
          <w:sz w:val="16"/>
          <w:szCs w:val="16"/>
        </w:rPr>
      </w:pPr>
      <w:r w:rsidRPr="00E14102">
        <w:rPr>
          <w:color w:val="0070C0"/>
          <w:sz w:val="16"/>
          <w:szCs w:val="16"/>
        </w:rPr>
        <w:t>15 апреля 1935 года — первый полёт бомбардировщика-торпедоносца Douglas TBD-1 Devastator. /США/</w:t>
      </w:r>
    </w:p>
    <w:p w14:paraId="0D89B164" w14:textId="77777777" w:rsidR="003E561B" w:rsidRPr="00E14102" w:rsidRDefault="003E561B" w:rsidP="00E14102">
      <w:pPr>
        <w:jc w:val="both"/>
        <w:rPr>
          <w:color w:val="0070C0"/>
          <w:sz w:val="16"/>
          <w:szCs w:val="16"/>
        </w:rPr>
      </w:pPr>
      <w:r w:rsidRPr="00E14102">
        <w:rPr>
          <w:color w:val="0070C0"/>
          <w:sz w:val="16"/>
          <w:szCs w:val="16"/>
        </w:rPr>
        <w:t>ВМФ США в 1934 году провело конкурс на разработку новых бомбардировщиков для использования с авианосцев. Среди участников был и проект XTBD-1 от Douglas Aircraft — будущий TBD-1 Devastator. Он и стал победителем конкурса и 30 июня 1934 года компания получила заказ на постройку прототипа.</w:t>
      </w:r>
    </w:p>
    <w:p w14:paraId="766702DF" w14:textId="77777777" w:rsidR="003E561B" w:rsidRPr="00E14102" w:rsidRDefault="003E561B" w:rsidP="00E14102">
      <w:pPr>
        <w:jc w:val="both"/>
        <w:rPr>
          <w:color w:val="0070C0"/>
          <w:sz w:val="16"/>
          <w:szCs w:val="16"/>
        </w:rPr>
      </w:pPr>
      <w:r w:rsidRPr="00E14102">
        <w:rPr>
          <w:color w:val="0070C0"/>
          <w:sz w:val="16"/>
          <w:szCs w:val="16"/>
        </w:rPr>
        <w:t>Это был цельнометаллический низкоплан с убирающимся шасси и складывающимся крылом. Оснащался двигателем Pratt &amp; Whitney R-1830-64 Twin Wasp мощностью 900 л.с. Экипаж состоял из 3 человек. Максимальная скорость — 332 км/ч, дальность полёта — 700 км с торпедой и 1152 км с бомбами. Вооружение — 2 × 7,62-мм пулемёта Browning + 1 торпеда или до 450 кг бомб.</w:t>
      </w:r>
    </w:p>
    <w:p w14:paraId="68E61208" w14:textId="77777777" w:rsidR="003E561B" w:rsidRPr="00E14102" w:rsidRDefault="003E561B" w:rsidP="00E14102">
      <w:pPr>
        <w:jc w:val="both"/>
        <w:rPr>
          <w:color w:val="0070C0"/>
          <w:sz w:val="16"/>
          <w:szCs w:val="16"/>
        </w:rPr>
      </w:pPr>
      <w:r w:rsidRPr="00E14102">
        <w:rPr>
          <w:color w:val="0070C0"/>
          <w:sz w:val="16"/>
          <w:szCs w:val="16"/>
        </w:rPr>
        <w:t>TBD-1 Devastator получился успешным и с отличными лётными характеристиками. Он стал первым монопланом ВМФ США и в 1939-42 годах был основным торпедоносцем флота. Активно участвовали в боевых действиях на Тихом океане. Было выпущено 130 самолётов TBD-1 (22300).</w:t>
      </w:r>
    </w:p>
    <w:p w14:paraId="5D4EA1D5" w14:textId="77777777" w:rsidR="003E561B" w:rsidRPr="00E14102" w:rsidRDefault="003E561B" w:rsidP="00E14102">
      <w:pPr>
        <w:jc w:val="both"/>
        <w:rPr>
          <w:color w:val="0070C0"/>
          <w:sz w:val="16"/>
          <w:szCs w:val="16"/>
        </w:rPr>
      </w:pPr>
    </w:p>
    <w:p w14:paraId="004EA479" w14:textId="77777777" w:rsidR="003A53E2" w:rsidRPr="00E14102" w:rsidRDefault="003A53E2" w:rsidP="00E14102">
      <w:pPr>
        <w:jc w:val="both"/>
        <w:rPr>
          <w:color w:val="000000" w:themeColor="text1"/>
          <w:sz w:val="16"/>
          <w:szCs w:val="16"/>
        </w:rPr>
      </w:pPr>
      <w:r w:rsidRPr="00E14102">
        <w:rPr>
          <w:color w:val="000000" w:themeColor="text1"/>
          <w:sz w:val="16"/>
          <w:szCs w:val="16"/>
        </w:rPr>
        <w:t>15 апреля в 1935 году первый прототип «XTBD-1» американского торпедоносца «TBD» «Devastator» впервые поднялся в воздух с аэродрома Кловер Филд. Впервые в мире палубный самолет-торпедоносец строился по схеме свободнонесущего моноплана с закрытой кабиной. Конструкция была цельнометаллической с фюзеляжем типа полумонокок. Экипаж, состоявший из летчика, штурмана-бомбардира и стрелка-радиста, сидел друг за другом в общей кабине, закрытой длинным фонарем со сдвижными секциями. Основные стойки шасси убирались назад по полету, но колеса не разворачивались и в убранном положении наполовину выступали. В качестве силовой установки выбрали 900-сильный двигатель воздушного охлаждения "Пратт Уитни" 2ХР-1830-60», вращающий трехлопастный винт изменяемого шага «Гамильтон Стандарт» диаметром 3,12 м. Из стрелкового вооружения запланировали сначала установку двух 7,92-мм пулеметов "Кольт Браунинг" М2. Одним пулеметом в кольцевой турели управлял стрелок-радист, обороняя заднюю полусферу. В обычном полете этот пулемет был утоплен в фюзеляж, а при необходимости стрелок открывал сверху специальные створки, отодвигал свою секцию фонаря вперед и занимал оборону. Второй пулемет, огонь из которого вел пилот (пользуясь телескопическим прицелом Мк.III), стоял в фюзеляже перед кабиной справа и имел синхронизатор для стрельбы через винт. В дальнейшем с началом боевой эксплуатации стрелковое вооружение усилили и на некоторых машинах сзади ставили спарку "Браунингов", а часть самолетов имела спереди два крупнокалиберных ствола по 12,7 мм. Кроме специальной авиационной торпеды "Блисс Леавитт" «Мк.ХII» (908 кг) длиной 4,6 м и диаметром 46 см, можно было подвесить снизу фюзеляжа и устаревшую «Mk.VIII». По бокам от узлов навески торпеды имелось два держателя для пары бомб по 500 фунтов (227 кг) (15100).</w:t>
      </w:r>
    </w:p>
    <w:p w14:paraId="64087139" w14:textId="77777777" w:rsidR="003A53E2" w:rsidRPr="00E14102" w:rsidRDefault="003A53E2" w:rsidP="00E14102">
      <w:pPr>
        <w:jc w:val="both"/>
        <w:rPr>
          <w:color w:val="000000" w:themeColor="text1"/>
          <w:sz w:val="16"/>
          <w:szCs w:val="16"/>
        </w:rPr>
      </w:pPr>
    </w:p>
    <w:p w14:paraId="32EC8B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15 апреля 1935 в Вашингтоне в Белом доме F.D.R. и еще 21 страна подписали Пакт Рериха (3481).</w:t>
      </w:r>
    </w:p>
    <w:p w14:paraId="37B25B0B" w14:textId="77777777" w:rsidR="00D4105E" w:rsidRPr="00E14102" w:rsidRDefault="00D4105E" w:rsidP="00E14102">
      <w:pPr>
        <w:autoSpaceDE w:val="0"/>
        <w:autoSpaceDN w:val="0"/>
        <w:adjustRightInd w:val="0"/>
        <w:jc w:val="both"/>
        <w:rPr>
          <w:color w:val="000000" w:themeColor="text1"/>
          <w:sz w:val="16"/>
          <w:szCs w:val="16"/>
        </w:rPr>
      </w:pPr>
    </w:p>
    <w:p w14:paraId="503507C2" w14:textId="77777777" w:rsidR="003E561B" w:rsidRPr="00E14102" w:rsidRDefault="003E561B" w:rsidP="00E14102">
      <w:pPr>
        <w:jc w:val="both"/>
        <w:rPr>
          <w:color w:val="000000" w:themeColor="text1"/>
          <w:sz w:val="16"/>
          <w:szCs w:val="16"/>
        </w:rPr>
      </w:pPr>
      <w:r w:rsidRPr="00E14102">
        <w:rPr>
          <w:color w:val="000000" w:themeColor="text1"/>
          <w:sz w:val="16"/>
          <w:szCs w:val="16"/>
        </w:rPr>
        <w:t>15 апреля в 1935 году в Вашингтоне в Белом Доме при участии президента США Франклина Рузвельта 21 страной мира подписывается Пакт Рериха – «Договор об охране художественных и научных учреждений и исторических памятников» – первый в истории международный договор, провозгласивший защиту художественных и научных учреждений и исторических памятников. С 1999 г. по инициативе общественных организаций мира этот день отмечается как День культуры. (15100).</w:t>
      </w:r>
    </w:p>
    <w:p w14:paraId="1D7774B2" w14:textId="77777777" w:rsidR="003E561B" w:rsidRPr="00E14102" w:rsidRDefault="003E561B" w:rsidP="00E14102">
      <w:pPr>
        <w:jc w:val="both"/>
        <w:rPr>
          <w:color w:val="000000" w:themeColor="text1"/>
          <w:sz w:val="16"/>
          <w:szCs w:val="16"/>
        </w:rPr>
      </w:pPr>
    </w:p>
    <w:p w14:paraId="505B7F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апреля 1935 в Вашингтоне в Белом доме при участии Ф.Д.Р. 21 страной мира был подписан Пакт Рериха о защите художественных и научных учреждений и исторических памятников (3263,179).</w:t>
      </w:r>
    </w:p>
    <w:p w14:paraId="6124F4B3" w14:textId="77777777" w:rsidR="00D4105E" w:rsidRPr="00E14102" w:rsidRDefault="00D4105E" w:rsidP="00E14102">
      <w:pPr>
        <w:autoSpaceDE w:val="0"/>
        <w:autoSpaceDN w:val="0"/>
        <w:adjustRightInd w:val="0"/>
        <w:jc w:val="both"/>
        <w:rPr>
          <w:color w:val="000000" w:themeColor="text1"/>
          <w:sz w:val="16"/>
          <w:szCs w:val="16"/>
        </w:rPr>
      </w:pPr>
    </w:p>
    <w:p w14:paraId="61CC69F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A0A1AFE" w14:textId="77777777" w:rsidR="00D4105E" w:rsidRPr="00E14102" w:rsidRDefault="00D4105E" w:rsidP="00E14102">
      <w:pPr>
        <w:autoSpaceDE w:val="0"/>
        <w:autoSpaceDN w:val="0"/>
        <w:adjustRightInd w:val="0"/>
        <w:jc w:val="both"/>
        <w:rPr>
          <w:iCs/>
          <w:color w:val="000000" w:themeColor="text1"/>
          <w:sz w:val="16"/>
          <w:szCs w:val="16"/>
        </w:rPr>
      </w:pPr>
    </w:p>
    <w:p w14:paraId="70BA82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апреля 1935 Нач. УВВС Алкснис писал, что ЦАГИ работает из рук вон плохо в области стат. испытаний машин и что на заводе 22 прекращена приемка ТБ-3 М-34Р из-за слабости крепления хвостового колеса (2343,202).</w:t>
      </w:r>
    </w:p>
    <w:p w14:paraId="3E2F33DD" w14:textId="77777777" w:rsidR="00D4105E" w:rsidRPr="00E14102" w:rsidRDefault="00D4105E" w:rsidP="00E14102">
      <w:pPr>
        <w:autoSpaceDE w:val="0"/>
        <w:autoSpaceDN w:val="0"/>
        <w:adjustRightInd w:val="0"/>
        <w:jc w:val="both"/>
        <w:rPr>
          <w:color w:val="000000" w:themeColor="text1"/>
          <w:sz w:val="16"/>
          <w:szCs w:val="16"/>
        </w:rPr>
      </w:pPr>
    </w:p>
    <w:p w14:paraId="33E57A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апреля 1935 опытный образец ССС № 8188 повторно предъявили в НИИ ВВС на гос. испытания. С металлическим винтом и тормозными колесами. 17 апреля начались гос. испытания (7456, 5).</w:t>
      </w:r>
    </w:p>
    <w:p w14:paraId="059E480F" w14:textId="77777777" w:rsidR="00D4105E" w:rsidRPr="00E14102" w:rsidRDefault="00D4105E" w:rsidP="00E14102">
      <w:pPr>
        <w:autoSpaceDE w:val="0"/>
        <w:autoSpaceDN w:val="0"/>
        <w:adjustRightInd w:val="0"/>
        <w:jc w:val="both"/>
        <w:rPr>
          <w:color w:val="000000" w:themeColor="text1"/>
          <w:sz w:val="16"/>
          <w:szCs w:val="16"/>
        </w:rPr>
      </w:pPr>
    </w:p>
    <w:p w14:paraId="243F2B9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16 апреля 1935 года Приказ НИИ ВС № 0190 от </w:t>
      </w:r>
    </w:p>
    <w:p w14:paraId="2676EB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 проведении гос. испытаний самолета Р5 с установкой пулеметов Шкас в крыльях и кассетных держателей в фюзеляже (Триэс).</w:t>
      </w:r>
    </w:p>
    <w:p w14:paraId="3B247DA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начать 17 апреля 1935 года на аэродроме НИИ ВС (ст. Томская) и закончить в 20 летных дней (6816, 59-60).</w:t>
      </w:r>
    </w:p>
    <w:p w14:paraId="01F6773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749691A" w14:textId="7E13EAE6"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апреля 1935 г. фактически же повторно ССС предъявили на государственные испытания</w:t>
      </w:r>
      <w:r w:rsidR="001C4F95" w:rsidRPr="00E14102">
        <w:rPr>
          <w:color w:val="000000" w:themeColor="text1"/>
          <w:sz w:val="16"/>
          <w:szCs w:val="16"/>
        </w:rPr>
        <w:t>. Л</w:t>
      </w:r>
      <w:r w:rsidRPr="00E14102">
        <w:rPr>
          <w:color w:val="000000" w:themeColor="text1"/>
          <w:sz w:val="16"/>
          <w:szCs w:val="16"/>
        </w:rPr>
        <w:t xml:space="preserve">ишь </w:t>
      </w:r>
      <w:r w:rsidR="001C4F95" w:rsidRPr="00E14102">
        <w:rPr>
          <w:color w:val="000000" w:themeColor="text1"/>
          <w:sz w:val="16"/>
          <w:szCs w:val="16"/>
        </w:rPr>
        <w:t>т</w:t>
      </w:r>
      <w:r w:rsidRPr="00E14102">
        <w:rPr>
          <w:color w:val="000000" w:themeColor="text1"/>
          <w:sz w:val="16"/>
          <w:szCs w:val="16"/>
        </w:rPr>
        <w:t>еперь на самолете появились металлический винт (такого же диаметра, как деревянный - 3,5 м) и тормоза на колесах. На следующий день состоялся первый полет в НИИ. Летал пилот Шитц. с ним попеременно работали летнабы Никитин и Черкасов. По характеристикам пилотирования ССС, несмотря на несколько больший вес, ничем не отличался от обычного Р-5. Скорость довольно прилично возросла (примерно на 45 км/ч), улучшилась скороподъемность. Правда, при наборе высоты на полном газу проявлялась тряска хвостового оперения (12034).</w:t>
      </w:r>
    </w:p>
    <w:p w14:paraId="0651F3A7" w14:textId="77777777" w:rsidR="00D4105E" w:rsidRPr="00E14102" w:rsidRDefault="00D4105E" w:rsidP="00E14102">
      <w:pPr>
        <w:autoSpaceDE w:val="0"/>
        <w:autoSpaceDN w:val="0"/>
        <w:adjustRightInd w:val="0"/>
        <w:jc w:val="both"/>
        <w:rPr>
          <w:color w:val="000000" w:themeColor="text1"/>
          <w:sz w:val="16"/>
          <w:szCs w:val="16"/>
        </w:rPr>
      </w:pPr>
    </w:p>
    <w:p w14:paraId="10FCF2B0" w14:textId="77777777" w:rsidR="003A53E2" w:rsidRPr="00E14102" w:rsidRDefault="003A53E2" w:rsidP="00E14102">
      <w:pPr>
        <w:jc w:val="both"/>
        <w:rPr>
          <w:color w:val="000000" w:themeColor="text1"/>
          <w:sz w:val="16"/>
          <w:szCs w:val="16"/>
        </w:rPr>
      </w:pPr>
      <w:r w:rsidRPr="00E14102">
        <w:rPr>
          <w:color w:val="000000" w:themeColor="text1"/>
          <w:sz w:val="16"/>
          <w:szCs w:val="16"/>
        </w:rPr>
        <w:t>16 апреля в 1935 году самолет «ССС» (скоростной, скороподъёмный, скорострельный) повторно предъявили на Госиспытания, теперь на нем появились металлический винт и тормоза на колесах. Летную программу проводили пилот Шитц, а также летнабы Никитин и Черкасов. Испытания показали, что в пилотировании ССС, несмотря на несколько больший вес, ничем не отличается от обычного «Р-5». Скорость довольно прилично возросла (примерно на 45 км/ч), улучшилась и скороподъемность. Правда, при наборе высоты на полном газу проявилась тряска хвостового оперения (15101).</w:t>
      </w:r>
    </w:p>
    <w:p w14:paraId="52F6F313" w14:textId="77777777" w:rsidR="003A53E2" w:rsidRPr="00E14102" w:rsidRDefault="003A53E2" w:rsidP="00E14102">
      <w:pPr>
        <w:jc w:val="both"/>
        <w:rPr>
          <w:color w:val="000000" w:themeColor="text1"/>
          <w:sz w:val="16"/>
          <w:szCs w:val="16"/>
        </w:rPr>
      </w:pPr>
    </w:p>
    <w:p w14:paraId="66D7EF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апреля 1935 вышло постановление СТО N С-39сс "О плане опытного строительства самолетов и моторов на 1936-1936 гг. (приложен) В.М.М. (2161,158).</w:t>
      </w:r>
    </w:p>
    <w:p w14:paraId="04F9B2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опытного моторо и самолетостроения ВВС РККА на 1935-36 гг.</w:t>
      </w:r>
    </w:p>
    <w:p w14:paraId="7A35C2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Моторостроение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1013"/>
        <w:gridCol w:w="1013"/>
        <w:gridCol w:w="1013"/>
        <w:gridCol w:w="1013"/>
        <w:gridCol w:w="1013"/>
        <w:gridCol w:w="1013"/>
      </w:tblGrid>
      <w:tr w:rsidR="00E3599D" w:rsidRPr="00E14102" w14:paraId="05E45EF4" w14:textId="77777777">
        <w:tc>
          <w:tcPr>
            <w:tcW w:w="1809" w:type="dxa"/>
            <w:tcBorders>
              <w:top w:val="single" w:sz="12" w:space="0" w:color="auto"/>
            </w:tcBorders>
          </w:tcPr>
          <w:p w14:paraId="7B7ABF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N Тип мотора</w:t>
            </w:r>
          </w:p>
        </w:tc>
        <w:tc>
          <w:tcPr>
            <w:tcW w:w="1013" w:type="dxa"/>
            <w:tcBorders>
              <w:top w:val="single" w:sz="12" w:space="0" w:color="auto"/>
            </w:tcBorders>
          </w:tcPr>
          <w:p w14:paraId="2F0A57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каких</w:t>
            </w:r>
          </w:p>
        </w:tc>
        <w:tc>
          <w:tcPr>
            <w:tcW w:w="1013" w:type="dxa"/>
            <w:tcBorders>
              <w:top w:val="single" w:sz="12" w:space="0" w:color="auto"/>
            </w:tcBorders>
          </w:tcPr>
          <w:p w14:paraId="3ABD32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Ном. мощность</w:t>
            </w:r>
          </w:p>
        </w:tc>
        <w:tc>
          <w:tcPr>
            <w:tcW w:w="1013" w:type="dxa"/>
            <w:tcBorders>
              <w:top w:val="single" w:sz="12" w:space="0" w:color="auto"/>
            </w:tcBorders>
          </w:tcPr>
          <w:p w14:paraId="073CBF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w:t>
            </w:r>
          </w:p>
        </w:tc>
        <w:tc>
          <w:tcPr>
            <w:tcW w:w="1013" w:type="dxa"/>
            <w:tcBorders>
              <w:top w:val="single" w:sz="12" w:space="0" w:color="auto"/>
            </w:tcBorders>
          </w:tcPr>
          <w:p w14:paraId="408A6E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w:t>
            </w:r>
          </w:p>
        </w:tc>
        <w:tc>
          <w:tcPr>
            <w:tcW w:w="1013" w:type="dxa"/>
            <w:tcBorders>
              <w:top w:val="single" w:sz="12" w:space="0" w:color="auto"/>
            </w:tcBorders>
          </w:tcPr>
          <w:p w14:paraId="19ADEF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w:t>
            </w:r>
          </w:p>
        </w:tc>
        <w:tc>
          <w:tcPr>
            <w:tcW w:w="1013" w:type="dxa"/>
            <w:tcBorders>
              <w:top w:val="single" w:sz="12" w:space="0" w:color="auto"/>
            </w:tcBorders>
          </w:tcPr>
          <w:p w14:paraId="40C5F8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w:t>
            </w:r>
          </w:p>
        </w:tc>
      </w:tr>
      <w:tr w:rsidR="00E3599D" w:rsidRPr="00E14102" w14:paraId="24FEB78F" w14:textId="77777777">
        <w:tc>
          <w:tcPr>
            <w:tcW w:w="1809" w:type="dxa"/>
          </w:tcPr>
          <w:p w14:paraId="251B6686"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738D8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предназнач.</w:t>
            </w:r>
          </w:p>
        </w:tc>
        <w:tc>
          <w:tcPr>
            <w:tcW w:w="1013" w:type="dxa"/>
          </w:tcPr>
          <w:p w14:paraId="4AE129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высоте</w:t>
            </w:r>
          </w:p>
        </w:tc>
        <w:tc>
          <w:tcPr>
            <w:tcW w:w="1013" w:type="dxa"/>
          </w:tcPr>
          <w:p w14:paraId="3B08B474"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57FFA1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г/нр/ч</w:t>
            </w:r>
          </w:p>
        </w:tc>
        <w:tc>
          <w:tcPr>
            <w:tcW w:w="1013" w:type="dxa"/>
          </w:tcPr>
          <w:p w14:paraId="04E2AF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w:t>
            </w:r>
          </w:p>
        </w:tc>
        <w:tc>
          <w:tcPr>
            <w:tcW w:w="1013" w:type="dxa"/>
          </w:tcPr>
          <w:p w14:paraId="076ABDC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994B645" w14:textId="77777777">
        <w:tc>
          <w:tcPr>
            <w:tcW w:w="1809" w:type="dxa"/>
          </w:tcPr>
          <w:p w14:paraId="5AD4BA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Новые моторы</w:t>
            </w:r>
          </w:p>
        </w:tc>
        <w:tc>
          <w:tcPr>
            <w:tcW w:w="1013" w:type="dxa"/>
          </w:tcPr>
          <w:p w14:paraId="2E169E82"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34CB9AD9"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02004476"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5F4F1D3C"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792173BE"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136234E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C928536" w14:textId="77777777">
        <w:tc>
          <w:tcPr>
            <w:tcW w:w="1809" w:type="dxa"/>
          </w:tcPr>
          <w:p w14:paraId="192156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Бесклапанный</w:t>
            </w:r>
          </w:p>
        </w:tc>
        <w:tc>
          <w:tcPr>
            <w:tcW w:w="1013" w:type="dxa"/>
          </w:tcPr>
          <w:p w14:paraId="2F107E1E"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6C30B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650-700/4000</w:t>
            </w:r>
          </w:p>
        </w:tc>
        <w:tc>
          <w:tcPr>
            <w:tcW w:w="1013" w:type="dxa"/>
          </w:tcPr>
          <w:p w14:paraId="23968B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13" w:type="dxa"/>
          </w:tcPr>
          <w:p w14:paraId="617F16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13" w:type="dxa"/>
          </w:tcPr>
          <w:p w14:paraId="639258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013" w:type="dxa"/>
          </w:tcPr>
          <w:p w14:paraId="00648D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01.01.37</w:t>
            </w:r>
          </w:p>
        </w:tc>
      </w:tr>
      <w:tr w:rsidR="00E3599D" w:rsidRPr="00E14102" w14:paraId="3815C2E2" w14:textId="77777777">
        <w:tc>
          <w:tcPr>
            <w:tcW w:w="1809" w:type="dxa"/>
          </w:tcPr>
          <w:p w14:paraId="0C0D30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(бензин)</w:t>
            </w:r>
          </w:p>
        </w:tc>
        <w:tc>
          <w:tcPr>
            <w:tcW w:w="1013" w:type="dxa"/>
          </w:tcPr>
          <w:p w14:paraId="71122136"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5F90FAD1"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57F31AD6"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45967B3"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14EBFD58"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3C62DF1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4EFBAB8" w14:textId="77777777">
        <w:tc>
          <w:tcPr>
            <w:tcW w:w="1809" w:type="dxa"/>
          </w:tcPr>
          <w:p w14:paraId="35E23B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тяж. Топливе</w:t>
            </w:r>
          </w:p>
        </w:tc>
        <w:tc>
          <w:tcPr>
            <w:tcW w:w="1013" w:type="dxa"/>
          </w:tcPr>
          <w:p w14:paraId="43044C51"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16F090A7"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5EA0640"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1DFE85D7"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4861529C"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58AB0BC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1DD0DAA" w14:textId="77777777">
        <w:tc>
          <w:tcPr>
            <w:tcW w:w="1809" w:type="dxa"/>
          </w:tcPr>
          <w:p w14:paraId="6BDAEE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Развитие опыт.</w:t>
            </w:r>
          </w:p>
        </w:tc>
        <w:tc>
          <w:tcPr>
            <w:tcW w:w="1013" w:type="dxa"/>
          </w:tcPr>
          <w:p w14:paraId="48EE0D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ДБ</w:t>
            </w:r>
          </w:p>
        </w:tc>
        <w:tc>
          <w:tcPr>
            <w:tcW w:w="1013" w:type="dxa"/>
          </w:tcPr>
          <w:p w14:paraId="6F954D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850/3000</w:t>
            </w:r>
          </w:p>
        </w:tc>
        <w:tc>
          <w:tcPr>
            <w:tcW w:w="1013" w:type="dxa"/>
          </w:tcPr>
          <w:p w14:paraId="4DCB90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950-975</w:t>
            </w:r>
          </w:p>
        </w:tc>
        <w:tc>
          <w:tcPr>
            <w:tcW w:w="1013" w:type="dxa"/>
          </w:tcPr>
          <w:p w14:paraId="156321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170-180</w:t>
            </w:r>
          </w:p>
        </w:tc>
        <w:tc>
          <w:tcPr>
            <w:tcW w:w="1013" w:type="dxa"/>
          </w:tcPr>
          <w:p w14:paraId="1718CE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013" w:type="dxa"/>
          </w:tcPr>
          <w:p w14:paraId="2DC60C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01.01.36</w:t>
            </w:r>
          </w:p>
        </w:tc>
      </w:tr>
      <w:tr w:rsidR="00E3599D" w:rsidRPr="00E14102" w14:paraId="3243E08F" w14:textId="77777777">
        <w:tc>
          <w:tcPr>
            <w:tcW w:w="1809" w:type="dxa"/>
          </w:tcPr>
          <w:p w14:paraId="3861F7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дизеля Н-1</w:t>
            </w:r>
          </w:p>
        </w:tc>
        <w:tc>
          <w:tcPr>
            <w:tcW w:w="1013" w:type="dxa"/>
          </w:tcPr>
          <w:p w14:paraId="2159BF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МДР</w:t>
            </w:r>
          </w:p>
        </w:tc>
        <w:tc>
          <w:tcPr>
            <w:tcW w:w="1013" w:type="dxa"/>
          </w:tcPr>
          <w:p w14:paraId="0B26ED0F"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6F610900"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78A339CF"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8EDC14C"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441D474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68C4D1F" w14:textId="77777777">
        <w:tc>
          <w:tcPr>
            <w:tcW w:w="1809" w:type="dxa"/>
          </w:tcPr>
          <w:p w14:paraId="710A9428"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3DE2A3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ДР</w:t>
            </w:r>
          </w:p>
        </w:tc>
        <w:tc>
          <w:tcPr>
            <w:tcW w:w="1013" w:type="dxa"/>
          </w:tcPr>
          <w:p w14:paraId="3AB80D1F"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41DC3D6C"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392D25F0"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14152987"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0AE6E28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99953B2" w14:textId="77777777">
        <w:tc>
          <w:tcPr>
            <w:tcW w:w="1809" w:type="dxa"/>
          </w:tcPr>
          <w:p w14:paraId="5F778B6E"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082CED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Тр.</w:t>
            </w:r>
          </w:p>
        </w:tc>
        <w:tc>
          <w:tcPr>
            <w:tcW w:w="1013" w:type="dxa"/>
          </w:tcPr>
          <w:p w14:paraId="3EA9C314"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11ADB86D"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5088DF20"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DE4AAF0"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387E8AA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09BD1D9" w14:textId="77777777">
        <w:tc>
          <w:tcPr>
            <w:tcW w:w="1809" w:type="dxa"/>
          </w:tcPr>
          <w:p w14:paraId="3A2CD4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Диз. двухрядн.</w:t>
            </w:r>
          </w:p>
        </w:tc>
        <w:tc>
          <w:tcPr>
            <w:tcW w:w="1013" w:type="dxa"/>
          </w:tcPr>
          <w:p w14:paraId="64E57C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ДР</w:t>
            </w:r>
          </w:p>
        </w:tc>
        <w:tc>
          <w:tcPr>
            <w:tcW w:w="1013" w:type="dxa"/>
          </w:tcPr>
          <w:p w14:paraId="52D3EF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600/3-5000</w:t>
            </w:r>
          </w:p>
        </w:tc>
        <w:tc>
          <w:tcPr>
            <w:tcW w:w="1013" w:type="dxa"/>
          </w:tcPr>
          <w:p w14:paraId="2787F0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w:t>
            </w:r>
          </w:p>
        </w:tc>
        <w:tc>
          <w:tcPr>
            <w:tcW w:w="1013" w:type="dxa"/>
          </w:tcPr>
          <w:p w14:paraId="253402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w:t>
            </w:r>
          </w:p>
        </w:tc>
        <w:tc>
          <w:tcPr>
            <w:tcW w:w="1013" w:type="dxa"/>
          </w:tcPr>
          <w:p w14:paraId="5755BE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013" w:type="dxa"/>
          </w:tcPr>
          <w:p w14:paraId="0F7D9A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r>
      <w:tr w:rsidR="00E3599D" w:rsidRPr="00E14102" w14:paraId="21509F22" w14:textId="77777777">
        <w:tc>
          <w:tcPr>
            <w:tcW w:w="1809" w:type="dxa"/>
          </w:tcPr>
          <w:p w14:paraId="54CE4D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звезда АН-3</w:t>
            </w:r>
          </w:p>
        </w:tc>
        <w:tc>
          <w:tcPr>
            <w:tcW w:w="1013" w:type="dxa"/>
          </w:tcPr>
          <w:p w14:paraId="096D94D5"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4BF364F4"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5374B99C"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40016EC3"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1203078F"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1945AED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E6CCD2F" w14:textId="77777777">
        <w:tc>
          <w:tcPr>
            <w:tcW w:w="1809" w:type="dxa"/>
          </w:tcPr>
          <w:p w14:paraId="2CF5A3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Двухтакт. диз.</w:t>
            </w:r>
          </w:p>
        </w:tc>
        <w:tc>
          <w:tcPr>
            <w:tcW w:w="1013" w:type="dxa"/>
          </w:tcPr>
          <w:p w14:paraId="669FC8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ДР</w:t>
            </w:r>
          </w:p>
        </w:tc>
        <w:tc>
          <w:tcPr>
            <w:tcW w:w="1013" w:type="dxa"/>
          </w:tcPr>
          <w:p w14:paraId="1AD0DA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600/3-5000</w:t>
            </w:r>
          </w:p>
        </w:tc>
        <w:tc>
          <w:tcPr>
            <w:tcW w:w="1013" w:type="dxa"/>
          </w:tcPr>
          <w:p w14:paraId="595AFE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w:t>
            </w:r>
          </w:p>
        </w:tc>
        <w:tc>
          <w:tcPr>
            <w:tcW w:w="1013" w:type="dxa"/>
          </w:tcPr>
          <w:p w14:paraId="12F273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w:t>
            </w:r>
          </w:p>
        </w:tc>
        <w:tc>
          <w:tcPr>
            <w:tcW w:w="1013" w:type="dxa"/>
          </w:tcPr>
          <w:p w14:paraId="7A5292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1013" w:type="dxa"/>
          </w:tcPr>
          <w:p w14:paraId="4CD9E6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01.06.36</w:t>
            </w:r>
          </w:p>
        </w:tc>
      </w:tr>
      <w:tr w:rsidR="00E3599D" w:rsidRPr="00E14102" w14:paraId="57A18764" w14:textId="77777777">
        <w:tc>
          <w:tcPr>
            <w:tcW w:w="1809" w:type="dxa"/>
          </w:tcPr>
          <w:p w14:paraId="0F087A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Н-4</w:t>
            </w:r>
          </w:p>
        </w:tc>
        <w:tc>
          <w:tcPr>
            <w:tcW w:w="1013" w:type="dxa"/>
          </w:tcPr>
          <w:p w14:paraId="53549A26"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6FAA77B9"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79BFDED4"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50D45723"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7D1FB7BF"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44D9190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0BF40EC" w14:textId="77777777">
        <w:tc>
          <w:tcPr>
            <w:tcW w:w="1809" w:type="dxa"/>
          </w:tcPr>
          <w:p w14:paraId="6AD3F8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Дизель Н-3</w:t>
            </w:r>
          </w:p>
        </w:tc>
        <w:tc>
          <w:tcPr>
            <w:tcW w:w="1013" w:type="dxa"/>
          </w:tcPr>
          <w:p w14:paraId="60EFF8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ДР</w:t>
            </w:r>
          </w:p>
        </w:tc>
        <w:tc>
          <w:tcPr>
            <w:tcW w:w="1013" w:type="dxa"/>
          </w:tcPr>
          <w:p w14:paraId="710CBA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600/4-5000</w:t>
            </w:r>
          </w:p>
        </w:tc>
        <w:tc>
          <w:tcPr>
            <w:tcW w:w="1013" w:type="dxa"/>
          </w:tcPr>
          <w:p w14:paraId="106388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w:t>
            </w:r>
          </w:p>
        </w:tc>
        <w:tc>
          <w:tcPr>
            <w:tcW w:w="1013" w:type="dxa"/>
          </w:tcPr>
          <w:p w14:paraId="55737D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w:t>
            </w:r>
          </w:p>
        </w:tc>
        <w:tc>
          <w:tcPr>
            <w:tcW w:w="1013" w:type="dxa"/>
          </w:tcPr>
          <w:p w14:paraId="4AA095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УНИД</w:t>
            </w:r>
          </w:p>
        </w:tc>
        <w:tc>
          <w:tcPr>
            <w:tcW w:w="1013" w:type="dxa"/>
          </w:tcPr>
          <w:p w14:paraId="0DA43C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01.11.35</w:t>
            </w:r>
          </w:p>
        </w:tc>
      </w:tr>
      <w:tr w:rsidR="00E3599D" w:rsidRPr="00E14102" w14:paraId="5BA3C43B" w14:textId="77777777">
        <w:tc>
          <w:tcPr>
            <w:tcW w:w="1809" w:type="dxa"/>
          </w:tcPr>
          <w:p w14:paraId="742A93BE"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072E386"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728F5D20"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00F47F7A"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3ECB1FB2"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118BC8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ГУГВФ</w:t>
            </w:r>
          </w:p>
        </w:tc>
        <w:tc>
          <w:tcPr>
            <w:tcW w:w="1013" w:type="dxa"/>
          </w:tcPr>
          <w:p w14:paraId="3A8D593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ECAAF61" w14:textId="77777777">
        <w:tc>
          <w:tcPr>
            <w:tcW w:w="1809" w:type="dxa"/>
          </w:tcPr>
          <w:p w14:paraId="34ABE8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Турбины</w:t>
            </w:r>
          </w:p>
        </w:tc>
        <w:tc>
          <w:tcPr>
            <w:tcW w:w="1013" w:type="dxa"/>
          </w:tcPr>
          <w:p w14:paraId="421459C4"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1C4837B"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0AF4BFE8"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6A72DFED"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54056D39"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6F3C13A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7CB9244" w14:textId="77777777">
        <w:tc>
          <w:tcPr>
            <w:tcW w:w="1809" w:type="dxa"/>
          </w:tcPr>
          <w:p w14:paraId="70B701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Пар. турб. ПТ-3</w:t>
            </w:r>
          </w:p>
        </w:tc>
        <w:tc>
          <w:tcPr>
            <w:tcW w:w="1013" w:type="dxa"/>
          </w:tcPr>
          <w:p w14:paraId="37C5DB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ДБ</w:t>
            </w:r>
          </w:p>
        </w:tc>
        <w:tc>
          <w:tcPr>
            <w:tcW w:w="1013" w:type="dxa"/>
          </w:tcPr>
          <w:p w14:paraId="3C7319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3000/5000</w:t>
            </w:r>
          </w:p>
        </w:tc>
        <w:tc>
          <w:tcPr>
            <w:tcW w:w="1013" w:type="dxa"/>
          </w:tcPr>
          <w:p w14:paraId="26AD32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1013" w:type="dxa"/>
          </w:tcPr>
          <w:p w14:paraId="5D8989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13" w:type="dxa"/>
          </w:tcPr>
          <w:p w14:paraId="007DDC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ГУГВФ</w:t>
            </w:r>
          </w:p>
        </w:tc>
        <w:tc>
          <w:tcPr>
            <w:tcW w:w="1013" w:type="dxa"/>
          </w:tcPr>
          <w:p w14:paraId="778802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01.09.35</w:t>
            </w:r>
          </w:p>
        </w:tc>
      </w:tr>
      <w:tr w:rsidR="00E3599D" w:rsidRPr="00E14102" w14:paraId="68495BA8" w14:textId="77777777">
        <w:tc>
          <w:tcPr>
            <w:tcW w:w="1809" w:type="dxa"/>
          </w:tcPr>
          <w:p w14:paraId="17B71C7D"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66CC9C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МДР</w:t>
            </w:r>
          </w:p>
        </w:tc>
        <w:tc>
          <w:tcPr>
            <w:tcW w:w="1013" w:type="dxa"/>
          </w:tcPr>
          <w:p w14:paraId="529B256C"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4F76FCF"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43892E4B"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00C1C1C6"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4338A3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1035AC9" w14:textId="77777777">
        <w:tc>
          <w:tcPr>
            <w:tcW w:w="1809" w:type="dxa"/>
          </w:tcPr>
          <w:p w14:paraId="614E29E9"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0EAACB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Крейсер</w:t>
            </w:r>
          </w:p>
        </w:tc>
        <w:tc>
          <w:tcPr>
            <w:tcW w:w="1013" w:type="dxa"/>
          </w:tcPr>
          <w:p w14:paraId="493F71A7"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1F7E425"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3DF81611"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71734D9C"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6F7545C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18563D8" w14:textId="77777777">
        <w:tc>
          <w:tcPr>
            <w:tcW w:w="1809" w:type="dxa"/>
          </w:tcPr>
          <w:p w14:paraId="78BE82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Пар. турб. ПТ-6</w:t>
            </w:r>
          </w:p>
        </w:tc>
        <w:tc>
          <w:tcPr>
            <w:tcW w:w="1013" w:type="dxa"/>
          </w:tcPr>
          <w:p w14:paraId="3FB450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ДБ</w:t>
            </w:r>
          </w:p>
        </w:tc>
        <w:tc>
          <w:tcPr>
            <w:tcW w:w="1013" w:type="dxa"/>
          </w:tcPr>
          <w:p w14:paraId="037D1D52"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71DA721B"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64587329"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3046E7C1"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B35944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80BB1BC" w14:textId="77777777">
        <w:tc>
          <w:tcPr>
            <w:tcW w:w="1809" w:type="dxa"/>
          </w:tcPr>
          <w:p w14:paraId="35543454"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7A6852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Крейсер</w:t>
            </w:r>
          </w:p>
        </w:tc>
        <w:tc>
          <w:tcPr>
            <w:tcW w:w="1013" w:type="dxa"/>
          </w:tcPr>
          <w:p w14:paraId="0F39BB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6000/5000</w:t>
            </w:r>
          </w:p>
        </w:tc>
        <w:tc>
          <w:tcPr>
            <w:tcW w:w="1013" w:type="dxa"/>
          </w:tcPr>
          <w:p w14:paraId="34DDDD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9000</w:t>
            </w:r>
          </w:p>
        </w:tc>
        <w:tc>
          <w:tcPr>
            <w:tcW w:w="1013" w:type="dxa"/>
          </w:tcPr>
          <w:p w14:paraId="3E9014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13" w:type="dxa"/>
          </w:tcPr>
          <w:p w14:paraId="387F47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1013" w:type="dxa"/>
          </w:tcPr>
          <w:p w14:paraId="05F521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01.05.36</w:t>
            </w:r>
          </w:p>
        </w:tc>
      </w:tr>
      <w:tr w:rsidR="00E3599D" w:rsidRPr="00E14102" w14:paraId="5A67ED18" w14:textId="77777777">
        <w:tc>
          <w:tcPr>
            <w:tcW w:w="1809" w:type="dxa"/>
          </w:tcPr>
          <w:p w14:paraId="63AE51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Газ. турб.</w:t>
            </w:r>
          </w:p>
        </w:tc>
        <w:tc>
          <w:tcPr>
            <w:tcW w:w="1013" w:type="dxa"/>
          </w:tcPr>
          <w:p w14:paraId="317BDA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 же</w:t>
            </w:r>
          </w:p>
        </w:tc>
        <w:tc>
          <w:tcPr>
            <w:tcW w:w="1013" w:type="dxa"/>
          </w:tcPr>
          <w:p w14:paraId="776AFA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1000/3000</w:t>
            </w:r>
          </w:p>
        </w:tc>
        <w:tc>
          <w:tcPr>
            <w:tcW w:w="1013" w:type="dxa"/>
          </w:tcPr>
          <w:p w14:paraId="5E1E9F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13" w:type="dxa"/>
          </w:tcPr>
          <w:p w14:paraId="57C798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13" w:type="dxa"/>
          </w:tcPr>
          <w:p w14:paraId="1F3603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ИТТ</w:t>
            </w:r>
          </w:p>
        </w:tc>
        <w:tc>
          <w:tcPr>
            <w:tcW w:w="1013" w:type="dxa"/>
          </w:tcPr>
          <w:p w14:paraId="76273D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01.05.36</w:t>
            </w:r>
          </w:p>
        </w:tc>
      </w:tr>
      <w:tr w:rsidR="00E3599D" w:rsidRPr="00E14102" w14:paraId="16974D73" w14:textId="77777777">
        <w:tc>
          <w:tcPr>
            <w:tcW w:w="1809" w:type="dxa"/>
          </w:tcPr>
          <w:p w14:paraId="5FFF93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Модификация серийных моторов</w:t>
            </w:r>
          </w:p>
        </w:tc>
        <w:tc>
          <w:tcPr>
            <w:tcW w:w="1013" w:type="dxa"/>
          </w:tcPr>
          <w:p w14:paraId="6AB931B0"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5DB41037"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5FDF01AB"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094FE859"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59914F09"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3691E8A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B617882" w14:textId="77777777">
        <w:tc>
          <w:tcPr>
            <w:tcW w:w="1809" w:type="dxa"/>
          </w:tcPr>
          <w:p w14:paraId="4582F5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М-34ФРН и ФН</w:t>
            </w:r>
          </w:p>
        </w:tc>
        <w:tc>
          <w:tcPr>
            <w:tcW w:w="1013" w:type="dxa"/>
          </w:tcPr>
          <w:p w14:paraId="4C03410A"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33E30A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1150/0</w:t>
            </w:r>
          </w:p>
        </w:tc>
        <w:tc>
          <w:tcPr>
            <w:tcW w:w="1013" w:type="dxa"/>
          </w:tcPr>
          <w:p w14:paraId="28076F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630-710</w:t>
            </w:r>
          </w:p>
        </w:tc>
        <w:tc>
          <w:tcPr>
            <w:tcW w:w="1013" w:type="dxa"/>
          </w:tcPr>
          <w:p w14:paraId="4056C6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255-265</w:t>
            </w:r>
          </w:p>
        </w:tc>
        <w:tc>
          <w:tcPr>
            <w:tcW w:w="1013" w:type="dxa"/>
          </w:tcPr>
          <w:p w14:paraId="5BFFA9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w:t>
            </w:r>
          </w:p>
        </w:tc>
        <w:tc>
          <w:tcPr>
            <w:tcW w:w="1013" w:type="dxa"/>
          </w:tcPr>
          <w:p w14:paraId="7A06A1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01.09.35</w:t>
            </w:r>
          </w:p>
        </w:tc>
      </w:tr>
      <w:tr w:rsidR="00E3599D" w:rsidRPr="00E14102" w14:paraId="62965C81" w14:textId="77777777">
        <w:tc>
          <w:tcPr>
            <w:tcW w:w="1809" w:type="dxa"/>
          </w:tcPr>
          <w:p w14:paraId="15591288"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1528B643"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55E4ED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850/4500</w:t>
            </w:r>
          </w:p>
        </w:tc>
        <w:tc>
          <w:tcPr>
            <w:tcW w:w="1013" w:type="dxa"/>
          </w:tcPr>
          <w:p w14:paraId="4A7534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б/р-р</w:t>
            </w:r>
          </w:p>
        </w:tc>
        <w:tc>
          <w:tcPr>
            <w:tcW w:w="1013" w:type="dxa"/>
          </w:tcPr>
          <w:p w14:paraId="0D60A548"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4FB16E55"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64E28F0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9D00D68" w14:textId="77777777">
        <w:tc>
          <w:tcPr>
            <w:tcW w:w="1809" w:type="dxa"/>
          </w:tcPr>
          <w:p w14:paraId="3D67B3F4"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4E6F717B"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4614D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1000/5000</w:t>
            </w:r>
          </w:p>
        </w:tc>
        <w:tc>
          <w:tcPr>
            <w:tcW w:w="1013" w:type="dxa"/>
          </w:tcPr>
          <w:p w14:paraId="43E175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600-680</w:t>
            </w:r>
          </w:p>
        </w:tc>
        <w:tc>
          <w:tcPr>
            <w:tcW w:w="1013" w:type="dxa"/>
          </w:tcPr>
          <w:p w14:paraId="3B638B01"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74D8711D"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E7857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01.06.36</w:t>
            </w:r>
          </w:p>
        </w:tc>
      </w:tr>
      <w:tr w:rsidR="00E3599D" w:rsidRPr="00E14102" w14:paraId="6412419B" w14:textId="77777777">
        <w:tc>
          <w:tcPr>
            <w:tcW w:w="1809" w:type="dxa"/>
          </w:tcPr>
          <w:p w14:paraId="1D9F313D"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7F30BE8F"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0C0B6625"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C5A46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б/р-р</w:t>
            </w:r>
          </w:p>
        </w:tc>
        <w:tc>
          <w:tcPr>
            <w:tcW w:w="1013" w:type="dxa"/>
          </w:tcPr>
          <w:p w14:paraId="1E3D30F1"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C8B6272"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7A4C818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26DC342" w14:textId="77777777">
        <w:tc>
          <w:tcPr>
            <w:tcW w:w="1809" w:type="dxa"/>
          </w:tcPr>
          <w:p w14:paraId="2B6BB3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М-86 (раз. К-14)</w:t>
            </w:r>
          </w:p>
        </w:tc>
        <w:tc>
          <w:tcPr>
            <w:tcW w:w="1013" w:type="dxa"/>
          </w:tcPr>
          <w:p w14:paraId="5DC84CDB"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683946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1030/3850</w:t>
            </w:r>
          </w:p>
        </w:tc>
        <w:tc>
          <w:tcPr>
            <w:tcW w:w="1013" w:type="dxa"/>
          </w:tcPr>
          <w:p w14:paraId="78582704"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68DDC70D"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1F2A2E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w:t>
            </w:r>
          </w:p>
        </w:tc>
        <w:tc>
          <w:tcPr>
            <w:tcW w:w="1013" w:type="dxa"/>
          </w:tcPr>
          <w:p w14:paraId="304C19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01.05.36</w:t>
            </w:r>
          </w:p>
        </w:tc>
      </w:tr>
      <w:tr w:rsidR="00E3599D" w:rsidRPr="00E14102" w14:paraId="673B4788" w14:textId="77777777">
        <w:tc>
          <w:tcPr>
            <w:tcW w:w="1809" w:type="dxa"/>
          </w:tcPr>
          <w:p w14:paraId="77E8AF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Развитие М-100</w:t>
            </w:r>
          </w:p>
        </w:tc>
        <w:tc>
          <w:tcPr>
            <w:tcW w:w="1013" w:type="dxa"/>
          </w:tcPr>
          <w:p w14:paraId="34AF98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отд. план НКОП</w:t>
            </w:r>
          </w:p>
        </w:tc>
        <w:tc>
          <w:tcPr>
            <w:tcW w:w="1013" w:type="dxa"/>
          </w:tcPr>
          <w:p w14:paraId="4F8A0493"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7CDE64C0"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7ACC026C"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7F85DFFE"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4DEF0FB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2983D46" w14:textId="77777777">
        <w:tc>
          <w:tcPr>
            <w:tcW w:w="1809" w:type="dxa"/>
          </w:tcPr>
          <w:p w14:paraId="68341B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Развитие М-25</w:t>
            </w:r>
          </w:p>
        </w:tc>
        <w:tc>
          <w:tcPr>
            <w:tcW w:w="1013" w:type="dxa"/>
          </w:tcPr>
          <w:p w14:paraId="31FCAC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отд. план НКОП</w:t>
            </w:r>
          </w:p>
        </w:tc>
        <w:tc>
          <w:tcPr>
            <w:tcW w:w="1013" w:type="dxa"/>
          </w:tcPr>
          <w:p w14:paraId="457B8B0D"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F925B00"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1CB9CA58"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1E94666A"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3E29BF2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4FF74C" w14:textId="77777777">
        <w:tc>
          <w:tcPr>
            <w:tcW w:w="1809" w:type="dxa"/>
          </w:tcPr>
          <w:p w14:paraId="057380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Сдваивание М-25</w:t>
            </w:r>
          </w:p>
        </w:tc>
        <w:tc>
          <w:tcPr>
            <w:tcW w:w="1013" w:type="dxa"/>
          </w:tcPr>
          <w:p w14:paraId="3B040920"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24DEF661"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189EB458"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1B7943ED"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Pr>
          <w:p w14:paraId="162F98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w:t>
            </w:r>
          </w:p>
        </w:tc>
        <w:tc>
          <w:tcPr>
            <w:tcW w:w="1013" w:type="dxa"/>
          </w:tcPr>
          <w:p w14:paraId="3AED5E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01.10.36 (2385)</w:t>
            </w:r>
          </w:p>
        </w:tc>
      </w:tr>
      <w:tr w:rsidR="00E3599D" w:rsidRPr="00E14102" w14:paraId="38D511D3" w14:textId="77777777">
        <w:tc>
          <w:tcPr>
            <w:tcW w:w="1809" w:type="dxa"/>
            <w:tcBorders>
              <w:bottom w:val="single" w:sz="12" w:space="0" w:color="auto"/>
            </w:tcBorders>
          </w:tcPr>
          <w:p w14:paraId="79CEF6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Новые агрегаты</w:t>
            </w:r>
          </w:p>
        </w:tc>
        <w:tc>
          <w:tcPr>
            <w:tcW w:w="1013" w:type="dxa"/>
            <w:tcBorders>
              <w:bottom w:val="single" w:sz="12" w:space="0" w:color="auto"/>
            </w:tcBorders>
          </w:tcPr>
          <w:p w14:paraId="13D088F2"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Borders>
              <w:bottom w:val="single" w:sz="12" w:space="0" w:color="auto"/>
            </w:tcBorders>
          </w:tcPr>
          <w:p w14:paraId="42225B32"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Borders>
              <w:bottom w:val="single" w:sz="12" w:space="0" w:color="auto"/>
            </w:tcBorders>
          </w:tcPr>
          <w:p w14:paraId="3B11583E"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Borders>
              <w:bottom w:val="single" w:sz="12" w:space="0" w:color="auto"/>
            </w:tcBorders>
          </w:tcPr>
          <w:p w14:paraId="23731C84"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Borders>
              <w:bottom w:val="single" w:sz="12" w:space="0" w:color="auto"/>
            </w:tcBorders>
          </w:tcPr>
          <w:p w14:paraId="1219AD34" w14:textId="77777777" w:rsidR="00D4105E" w:rsidRPr="00E14102" w:rsidRDefault="00D4105E" w:rsidP="00E14102">
            <w:pPr>
              <w:autoSpaceDE w:val="0"/>
              <w:autoSpaceDN w:val="0"/>
              <w:adjustRightInd w:val="0"/>
              <w:jc w:val="both"/>
              <w:rPr>
                <w:color w:val="000000" w:themeColor="text1"/>
                <w:sz w:val="16"/>
                <w:szCs w:val="16"/>
              </w:rPr>
            </w:pPr>
          </w:p>
        </w:tc>
        <w:tc>
          <w:tcPr>
            <w:tcW w:w="1013" w:type="dxa"/>
            <w:tcBorders>
              <w:bottom w:val="single" w:sz="12" w:space="0" w:color="auto"/>
            </w:tcBorders>
          </w:tcPr>
          <w:p w14:paraId="7E164EAC" w14:textId="77777777" w:rsidR="00D4105E" w:rsidRPr="00E14102" w:rsidRDefault="00D4105E" w:rsidP="00E14102">
            <w:pPr>
              <w:autoSpaceDE w:val="0"/>
              <w:autoSpaceDN w:val="0"/>
              <w:adjustRightInd w:val="0"/>
              <w:jc w:val="both"/>
              <w:rPr>
                <w:color w:val="000000" w:themeColor="text1"/>
                <w:sz w:val="16"/>
                <w:szCs w:val="16"/>
              </w:rPr>
            </w:pPr>
          </w:p>
        </w:tc>
      </w:tr>
    </w:tbl>
    <w:p w14:paraId="611990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Самолетостроение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713"/>
        <w:gridCol w:w="713"/>
        <w:gridCol w:w="713"/>
        <w:gridCol w:w="713"/>
        <w:gridCol w:w="713"/>
        <w:gridCol w:w="713"/>
        <w:gridCol w:w="713"/>
        <w:gridCol w:w="713"/>
        <w:gridCol w:w="713"/>
        <w:gridCol w:w="713"/>
        <w:gridCol w:w="713"/>
      </w:tblGrid>
      <w:tr w:rsidR="00E3599D" w:rsidRPr="00E14102" w14:paraId="7287E92A" w14:textId="77777777">
        <w:tc>
          <w:tcPr>
            <w:tcW w:w="1809" w:type="dxa"/>
            <w:tcBorders>
              <w:top w:val="single" w:sz="12" w:space="0" w:color="auto"/>
            </w:tcBorders>
          </w:tcPr>
          <w:p w14:paraId="2CC9C8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w:t>
            </w:r>
          </w:p>
        </w:tc>
        <w:tc>
          <w:tcPr>
            <w:tcW w:w="713" w:type="dxa"/>
            <w:tcBorders>
              <w:top w:val="single" w:sz="12" w:space="0" w:color="auto"/>
            </w:tcBorders>
          </w:tcPr>
          <w:p w14:paraId="5423B1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w:t>
            </w:r>
          </w:p>
        </w:tc>
        <w:tc>
          <w:tcPr>
            <w:tcW w:w="713" w:type="dxa"/>
            <w:tcBorders>
              <w:top w:val="single" w:sz="12" w:space="0" w:color="auto"/>
            </w:tcBorders>
          </w:tcPr>
          <w:p w14:paraId="785A2E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w:t>
            </w:r>
          </w:p>
        </w:tc>
        <w:tc>
          <w:tcPr>
            <w:tcW w:w="713" w:type="dxa"/>
            <w:tcBorders>
              <w:top w:val="single" w:sz="12" w:space="0" w:color="auto"/>
            </w:tcBorders>
          </w:tcPr>
          <w:p w14:paraId="36AE8D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w:t>
            </w:r>
          </w:p>
        </w:tc>
        <w:tc>
          <w:tcPr>
            <w:tcW w:w="713" w:type="dxa"/>
            <w:tcBorders>
              <w:top w:val="single" w:sz="12" w:space="0" w:color="auto"/>
            </w:tcBorders>
          </w:tcPr>
          <w:p w14:paraId="616D84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w:t>
            </w:r>
          </w:p>
        </w:tc>
        <w:tc>
          <w:tcPr>
            <w:tcW w:w="713" w:type="dxa"/>
            <w:tcBorders>
              <w:top w:val="single" w:sz="12" w:space="0" w:color="auto"/>
            </w:tcBorders>
          </w:tcPr>
          <w:p w14:paraId="419146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w:t>
            </w:r>
          </w:p>
        </w:tc>
        <w:tc>
          <w:tcPr>
            <w:tcW w:w="713" w:type="dxa"/>
            <w:tcBorders>
              <w:top w:val="single" w:sz="12" w:space="0" w:color="auto"/>
            </w:tcBorders>
          </w:tcPr>
          <w:p w14:paraId="7D3DEA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w:t>
            </w:r>
          </w:p>
        </w:tc>
        <w:tc>
          <w:tcPr>
            <w:tcW w:w="713" w:type="dxa"/>
            <w:tcBorders>
              <w:top w:val="single" w:sz="12" w:space="0" w:color="auto"/>
            </w:tcBorders>
          </w:tcPr>
          <w:p w14:paraId="4B4D21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w:t>
            </w:r>
          </w:p>
        </w:tc>
        <w:tc>
          <w:tcPr>
            <w:tcW w:w="713" w:type="dxa"/>
            <w:tcBorders>
              <w:top w:val="single" w:sz="12" w:space="0" w:color="auto"/>
            </w:tcBorders>
          </w:tcPr>
          <w:p w14:paraId="690A25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w:t>
            </w:r>
          </w:p>
        </w:tc>
        <w:tc>
          <w:tcPr>
            <w:tcW w:w="713" w:type="dxa"/>
            <w:tcBorders>
              <w:top w:val="single" w:sz="12" w:space="0" w:color="auto"/>
            </w:tcBorders>
          </w:tcPr>
          <w:p w14:paraId="454BAE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w:t>
            </w:r>
          </w:p>
        </w:tc>
        <w:tc>
          <w:tcPr>
            <w:tcW w:w="713" w:type="dxa"/>
            <w:tcBorders>
              <w:top w:val="single" w:sz="12" w:space="0" w:color="auto"/>
            </w:tcBorders>
          </w:tcPr>
          <w:p w14:paraId="037A07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w:t>
            </w:r>
          </w:p>
        </w:tc>
        <w:tc>
          <w:tcPr>
            <w:tcW w:w="713" w:type="dxa"/>
            <w:tcBorders>
              <w:top w:val="single" w:sz="12" w:space="0" w:color="auto"/>
            </w:tcBorders>
          </w:tcPr>
          <w:p w14:paraId="7B8D30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w:t>
            </w:r>
          </w:p>
        </w:tc>
      </w:tr>
      <w:tr w:rsidR="00E3599D" w:rsidRPr="00E14102" w14:paraId="74969C6E" w14:textId="77777777">
        <w:tc>
          <w:tcPr>
            <w:tcW w:w="1809" w:type="dxa"/>
          </w:tcPr>
          <w:p w14:paraId="6308DE2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640502B"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C506A1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40216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w:t>
            </w:r>
          </w:p>
        </w:tc>
        <w:tc>
          <w:tcPr>
            <w:tcW w:w="713" w:type="dxa"/>
          </w:tcPr>
          <w:p w14:paraId="1F1F233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8964C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нагр.</w:t>
            </w:r>
          </w:p>
        </w:tc>
        <w:tc>
          <w:tcPr>
            <w:tcW w:w="713" w:type="dxa"/>
          </w:tcPr>
          <w:p w14:paraId="08FF80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w:t>
            </w:r>
          </w:p>
        </w:tc>
        <w:tc>
          <w:tcPr>
            <w:tcW w:w="713" w:type="dxa"/>
          </w:tcPr>
          <w:p w14:paraId="4D0440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w:t>
            </w:r>
          </w:p>
        </w:tc>
        <w:tc>
          <w:tcPr>
            <w:tcW w:w="713" w:type="dxa"/>
          </w:tcPr>
          <w:p w14:paraId="371834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w:t>
            </w:r>
          </w:p>
        </w:tc>
        <w:tc>
          <w:tcPr>
            <w:tcW w:w="713" w:type="dxa"/>
          </w:tcPr>
          <w:p w14:paraId="36B1D0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w:t>
            </w:r>
          </w:p>
        </w:tc>
        <w:tc>
          <w:tcPr>
            <w:tcW w:w="713" w:type="dxa"/>
          </w:tcPr>
          <w:p w14:paraId="5E88E4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w:t>
            </w:r>
          </w:p>
        </w:tc>
        <w:tc>
          <w:tcPr>
            <w:tcW w:w="713" w:type="dxa"/>
          </w:tcPr>
          <w:p w14:paraId="44A7CE0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A8CF736" w14:textId="77777777">
        <w:tc>
          <w:tcPr>
            <w:tcW w:w="1809" w:type="dxa"/>
          </w:tcPr>
          <w:p w14:paraId="50FC1E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Боевые сухопутные самолеты</w:t>
            </w:r>
          </w:p>
        </w:tc>
        <w:tc>
          <w:tcPr>
            <w:tcW w:w="713" w:type="dxa"/>
          </w:tcPr>
          <w:p w14:paraId="73223613"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2815E28"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805E3B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4FD023A"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94B3E6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6A55B9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0B6B05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B975A8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8781ED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3431FDA"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129C58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A50C75B" w14:textId="77777777">
        <w:tc>
          <w:tcPr>
            <w:tcW w:w="1809" w:type="dxa"/>
          </w:tcPr>
          <w:p w14:paraId="2CF49A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 БДД</w:t>
            </w:r>
          </w:p>
        </w:tc>
        <w:tc>
          <w:tcPr>
            <w:tcW w:w="713" w:type="dxa"/>
          </w:tcPr>
          <w:p w14:paraId="3ED9D5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8-9000</w:t>
            </w:r>
          </w:p>
        </w:tc>
        <w:tc>
          <w:tcPr>
            <w:tcW w:w="713" w:type="dxa"/>
          </w:tcPr>
          <w:p w14:paraId="45D079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713" w:type="dxa"/>
          </w:tcPr>
          <w:p w14:paraId="69E021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566F1C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713" w:type="dxa"/>
          </w:tcPr>
          <w:p w14:paraId="7F9312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713" w:type="dxa"/>
          </w:tcPr>
          <w:p w14:paraId="48408A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2-3хпул</w:t>
            </w:r>
          </w:p>
        </w:tc>
        <w:tc>
          <w:tcPr>
            <w:tcW w:w="713" w:type="dxa"/>
          </w:tcPr>
          <w:p w14:paraId="6F17FD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100,250,</w:t>
            </w:r>
          </w:p>
        </w:tc>
        <w:tc>
          <w:tcPr>
            <w:tcW w:w="713" w:type="dxa"/>
          </w:tcPr>
          <w:p w14:paraId="066628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2-4хбака</w:t>
            </w:r>
          </w:p>
        </w:tc>
        <w:tc>
          <w:tcPr>
            <w:tcW w:w="713" w:type="dxa"/>
          </w:tcPr>
          <w:p w14:paraId="181BF0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713" w:type="dxa"/>
          </w:tcPr>
          <w:p w14:paraId="02D75D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713" w:type="dxa"/>
          </w:tcPr>
          <w:p w14:paraId="1B2AF6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ТБ-7</w:t>
            </w:r>
          </w:p>
        </w:tc>
      </w:tr>
      <w:tr w:rsidR="00E3599D" w:rsidRPr="00E14102" w14:paraId="4BC4F0AB" w14:textId="77777777">
        <w:tc>
          <w:tcPr>
            <w:tcW w:w="1809" w:type="dxa"/>
          </w:tcPr>
          <w:p w14:paraId="67FCE14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B5C086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4BA876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2E907D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0DE3D9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8EC8637"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4E5E2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2хпушк</w:t>
            </w:r>
          </w:p>
        </w:tc>
        <w:tc>
          <w:tcPr>
            <w:tcW w:w="713" w:type="dxa"/>
          </w:tcPr>
          <w:p w14:paraId="121E95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500,1000</w:t>
            </w:r>
          </w:p>
        </w:tc>
        <w:tc>
          <w:tcPr>
            <w:tcW w:w="713" w:type="dxa"/>
          </w:tcPr>
          <w:p w14:paraId="3A60A5C0"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8C38E6B"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13B664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ECF8F9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2A99539" w14:textId="77777777">
        <w:tc>
          <w:tcPr>
            <w:tcW w:w="1809" w:type="dxa"/>
          </w:tcPr>
          <w:p w14:paraId="5D51B5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Он же присп. в крейсер</w:t>
            </w:r>
          </w:p>
        </w:tc>
        <w:tc>
          <w:tcPr>
            <w:tcW w:w="713" w:type="dxa"/>
          </w:tcPr>
          <w:p w14:paraId="22A420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8-9000</w:t>
            </w:r>
          </w:p>
        </w:tc>
        <w:tc>
          <w:tcPr>
            <w:tcW w:w="713" w:type="dxa"/>
          </w:tcPr>
          <w:p w14:paraId="0D8012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713" w:type="dxa"/>
          </w:tcPr>
          <w:p w14:paraId="05530C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5E0113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713" w:type="dxa"/>
          </w:tcPr>
          <w:p w14:paraId="6A4C6C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10EFD8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3хпул.</w:t>
            </w:r>
          </w:p>
        </w:tc>
        <w:tc>
          <w:tcPr>
            <w:tcW w:w="713" w:type="dxa"/>
          </w:tcPr>
          <w:p w14:paraId="5C5507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713" w:type="dxa"/>
          </w:tcPr>
          <w:p w14:paraId="451FC3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1-2ДАП</w:t>
            </w:r>
          </w:p>
        </w:tc>
        <w:tc>
          <w:tcPr>
            <w:tcW w:w="713" w:type="dxa"/>
          </w:tcPr>
          <w:p w14:paraId="6E9FFD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713" w:type="dxa"/>
          </w:tcPr>
          <w:p w14:paraId="0AD002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713" w:type="dxa"/>
          </w:tcPr>
          <w:p w14:paraId="6902FCD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BB9095F" w14:textId="77777777">
        <w:tc>
          <w:tcPr>
            <w:tcW w:w="1809" w:type="dxa"/>
          </w:tcPr>
          <w:p w14:paraId="2ECE877F"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430DA2B"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12E84F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0AF5C9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2808997"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82B332F"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C5756E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DAEE5E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9B638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3хпушк</w:t>
            </w:r>
          </w:p>
        </w:tc>
        <w:tc>
          <w:tcPr>
            <w:tcW w:w="713" w:type="dxa"/>
          </w:tcPr>
          <w:p w14:paraId="5E9D2E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10-50</w:t>
            </w:r>
          </w:p>
        </w:tc>
        <w:tc>
          <w:tcPr>
            <w:tcW w:w="713" w:type="dxa"/>
          </w:tcPr>
          <w:p w14:paraId="4EFFD3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250-500</w:t>
            </w:r>
          </w:p>
        </w:tc>
        <w:tc>
          <w:tcPr>
            <w:tcW w:w="713" w:type="dxa"/>
          </w:tcPr>
          <w:p w14:paraId="475BE6F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86C03E5" w14:textId="77777777">
        <w:tc>
          <w:tcPr>
            <w:tcW w:w="1809" w:type="dxa"/>
          </w:tcPr>
          <w:p w14:paraId="74A9415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C3CEA3F"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7F3308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79A7DD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CDB960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F173F1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9DB55C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E759A2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0A726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2хАПК/</w:t>
            </w:r>
          </w:p>
        </w:tc>
        <w:tc>
          <w:tcPr>
            <w:tcW w:w="713" w:type="dxa"/>
          </w:tcPr>
          <w:p w14:paraId="677A0B2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00A8BB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F9DEBC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7BC267F" w14:textId="77777777">
        <w:tc>
          <w:tcPr>
            <w:tcW w:w="1809" w:type="dxa"/>
          </w:tcPr>
          <w:p w14:paraId="52DE3BA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2A3A99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BAD2473"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C5C248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5F1ECD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D18BF5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9722DE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C57A59A"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978BE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РС</w:t>
            </w:r>
          </w:p>
        </w:tc>
        <w:tc>
          <w:tcPr>
            <w:tcW w:w="713" w:type="dxa"/>
          </w:tcPr>
          <w:p w14:paraId="58366E2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B2D6A9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85F368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39140FA" w14:textId="77777777">
        <w:tc>
          <w:tcPr>
            <w:tcW w:w="1809" w:type="dxa"/>
          </w:tcPr>
          <w:p w14:paraId="681DB2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Скоростной бомбард.</w:t>
            </w:r>
          </w:p>
        </w:tc>
        <w:tc>
          <w:tcPr>
            <w:tcW w:w="713" w:type="dxa"/>
          </w:tcPr>
          <w:p w14:paraId="564B17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4500/</w:t>
            </w:r>
          </w:p>
        </w:tc>
        <w:tc>
          <w:tcPr>
            <w:tcW w:w="713" w:type="dxa"/>
          </w:tcPr>
          <w:p w14:paraId="19D5B2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713" w:type="dxa"/>
          </w:tcPr>
          <w:p w14:paraId="363C61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4577CC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tc>
        <w:tc>
          <w:tcPr>
            <w:tcW w:w="713" w:type="dxa"/>
          </w:tcPr>
          <w:p w14:paraId="1FFB4E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713" w:type="dxa"/>
          </w:tcPr>
          <w:p w14:paraId="0704DC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2хпул.</w:t>
            </w:r>
          </w:p>
        </w:tc>
        <w:tc>
          <w:tcPr>
            <w:tcW w:w="713" w:type="dxa"/>
          </w:tcPr>
          <w:p w14:paraId="608406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по</w:t>
            </w:r>
          </w:p>
        </w:tc>
        <w:tc>
          <w:tcPr>
            <w:tcW w:w="713" w:type="dxa"/>
          </w:tcPr>
          <w:p w14:paraId="43FE4E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бака</w:t>
            </w:r>
          </w:p>
        </w:tc>
        <w:tc>
          <w:tcPr>
            <w:tcW w:w="713" w:type="dxa"/>
          </w:tcPr>
          <w:p w14:paraId="0E19A8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39/18</w:t>
            </w:r>
          </w:p>
        </w:tc>
        <w:tc>
          <w:tcPr>
            <w:tcW w:w="713" w:type="dxa"/>
          </w:tcPr>
          <w:p w14:paraId="094F34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01.02.36</w:t>
            </w:r>
          </w:p>
        </w:tc>
        <w:tc>
          <w:tcPr>
            <w:tcW w:w="713" w:type="dxa"/>
          </w:tcPr>
          <w:p w14:paraId="3EA0380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A25742B" w14:textId="77777777">
        <w:tc>
          <w:tcPr>
            <w:tcW w:w="1809" w:type="dxa"/>
          </w:tcPr>
          <w:p w14:paraId="16767C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ближнего действия</w:t>
            </w:r>
          </w:p>
        </w:tc>
        <w:tc>
          <w:tcPr>
            <w:tcW w:w="713" w:type="dxa"/>
          </w:tcPr>
          <w:p w14:paraId="5A98F7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713" w:type="dxa"/>
          </w:tcPr>
          <w:p w14:paraId="395F75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713" w:type="dxa"/>
          </w:tcPr>
          <w:p w14:paraId="1E3570C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333C827"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4923570"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8190F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1хпуш.</w:t>
            </w:r>
          </w:p>
        </w:tc>
        <w:tc>
          <w:tcPr>
            <w:tcW w:w="713" w:type="dxa"/>
          </w:tcPr>
          <w:p w14:paraId="6474EE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713" w:type="dxa"/>
          </w:tcPr>
          <w:p w14:paraId="74FD02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250</w:t>
            </w:r>
          </w:p>
        </w:tc>
        <w:tc>
          <w:tcPr>
            <w:tcW w:w="713" w:type="dxa"/>
          </w:tcPr>
          <w:p w14:paraId="2963729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72FB50A"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C41249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1758A5C" w14:textId="77777777">
        <w:tc>
          <w:tcPr>
            <w:tcW w:w="1809" w:type="dxa"/>
          </w:tcPr>
          <w:p w14:paraId="69E6821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B1A935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5932D4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A3D9B6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87F42E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536E0F3"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560B14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97ECDCF"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0AA5B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или</w:t>
            </w:r>
          </w:p>
        </w:tc>
        <w:tc>
          <w:tcPr>
            <w:tcW w:w="713" w:type="dxa"/>
          </w:tcPr>
          <w:p w14:paraId="427903E0"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7966E2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10BEC5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84FB53" w14:textId="77777777">
        <w:tc>
          <w:tcPr>
            <w:tcW w:w="1809" w:type="dxa"/>
          </w:tcPr>
          <w:p w14:paraId="7549C85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A9747B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8A6DB13"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42F261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FD5376B"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1BBCF6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D10597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745FDA7"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320E9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2х500</w:t>
            </w:r>
          </w:p>
        </w:tc>
        <w:tc>
          <w:tcPr>
            <w:tcW w:w="713" w:type="dxa"/>
          </w:tcPr>
          <w:p w14:paraId="20A7DACF"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281F35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E62488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CBDBFD9" w14:textId="77777777">
        <w:tc>
          <w:tcPr>
            <w:tcW w:w="1809" w:type="dxa"/>
          </w:tcPr>
          <w:p w14:paraId="07AA4C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Он же приспособл.</w:t>
            </w:r>
          </w:p>
        </w:tc>
        <w:tc>
          <w:tcPr>
            <w:tcW w:w="713" w:type="dxa"/>
          </w:tcPr>
          <w:p w14:paraId="2B5645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4500/</w:t>
            </w:r>
          </w:p>
        </w:tc>
        <w:tc>
          <w:tcPr>
            <w:tcW w:w="713" w:type="dxa"/>
          </w:tcPr>
          <w:p w14:paraId="27C7DA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713" w:type="dxa"/>
          </w:tcPr>
          <w:p w14:paraId="3919D1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2E809B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713" w:type="dxa"/>
          </w:tcPr>
          <w:p w14:paraId="16CAD3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7E13DE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2хпул.</w:t>
            </w:r>
          </w:p>
        </w:tc>
        <w:tc>
          <w:tcPr>
            <w:tcW w:w="713" w:type="dxa"/>
          </w:tcPr>
          <w:p w14:paraId="5B414D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w:t>
            </w:r>
          </w:p>
        </w:tc>
        <w:tc>
          <w:tcPr>
            <w:tcW w:w="713" w:type="dxa"/>
          </w:tcPr>
          <w:p w14:paraId="73455B0A"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6C291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39/18</w:t>
            </w:r>
          </w:p>
        </w:tc>
        <w:tc>
          <w:tcPr>
            <w:tcW w:w="713" w:type="dxa"/>
          </w:tcPr>
          <w:p w14:paraId="314795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01.09.35</w:t>
            </w:r>
          </w:p>
        </w:tc>
        <w:tc>
          <w:tcPr>
            <w:tcW w:w="713" w:type="dxa"/>
          </w:tcPr>
          <w:p w14:paraId="2241434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768C614" w14:textId="77777777">
        <w:tc>
          <w:tcPr>
            <w:tcW w:w="1809" w:type="dxa"/>
          </w:tcPr>
          <w:p w14:paraId="5675BA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варианту Д развед.</w:t>
            </w:r>
          </w:p>
        </w:tc>
        <w:tc>
          <w:tcPr>
            <w:tcW w:w="713" w:type="dxa"/>
          </w:tcPr>
          <w:p w14:paraId="7D7721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713" w:type="dxa"/>
          </w:tcPr>
          <w:p w14:paraId="5E5EA5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713" w:type="dxa"/>
          </w:tcPr>
          <w:p w14:paraId="70096008"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2B6165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E838570"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6A2C2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1хпуш.</w:t>
            </w:r>
          </w:p>
        </w:tc>
        <w:tc>
          <w:tcPr>
            <w:tcW w:w="713" w:type="dxa"/>
          </w:tcPr>
          <w:p w14:paraId="0D1BC7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713" w:type="dxa"/>
          </w:tcPr>
          <w:p w14:paraId="7DC6F9D3"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56B21A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9F67283"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E93CE9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FEE5465" w14:textId="77777777">
        <w:tc>
          <w:tcPr>
            <w:tcW w:w="1809" w:type="dxa"/>
          </w:tcPr>
          <w:p w14:paraId="2983BD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пассаж. на 12 пас.</w:t>
            </w:r>
          </w:p>
        </w:tc>
        <w:tc>
          <w:tcPr>
            <w:tcW w:w="713" w:type="dxa"/>
          </w:tcPr>
          <w:p w14:paraId="3E0D18E8"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78147F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5B26D60"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91AE0E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731EBE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133164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FEA0E6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136C41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D0D247B"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C3D6E2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BB6D3F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E8A2B90" w14:textId="77777777">
        <w:tc>
          <w:tcPr>
            <w:tcW w:w="1809" w:type="dxa"/>
          </w:tcPr>
          <w:p w14:paraId="152859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ПБ</w:t>
            </w:r>
          </w:p>
        </w:tc>
        <w:tc>
          <w:tcPr>
            <w:tcW w:w="713" w:type="dxa"/>
          </w:tcPr>
          <w:p w14:paraId="480C75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4.5-5000</w:t>
            </w:r>
          </w:p>
        </w:tc>
        <w:tc>
          <w:tcPr>
            <w:tcW w:w="713" w:type="dxa"/>
          </w:tcPr>
          <w:p w14:paraId="211070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713" w:type="dxa"/>
          </w:tcPr>
          <w:p w14:paraId="0EA855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6AE9DB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713" w:type="dxa"/>
          </w:tcPr>
          <w:p w14:paraId="288FF7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200-250</w:t>
            </w:r>
          </w:p>
        </w:tc>
        <w:tc>
          <w:tcPr>
            <w:tcW w:w="713" w:type="dxa"/>
          </w:tcPr>
          <w:p w14:paraId="360AC5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2-3хпул.</w:t>
            </w:r>
          </w:p>
        </w:tc>
        <w:tc>
          <w:tcPr>
            <w:tcW w:w="713" w:type="dxa"/>
          </w:tcPr>
          <w:p w14:paraId="5659E3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100-250</w:t>
            </w:r>
          </w:p>
        </w:tc>
        <w:tc>
          <w:tcPr>
            <w:tcW w:w="713" w:type="dxa"/>
          </w:tcPr>
          <w:p w14:paraId="518BFE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029E52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13" w:type="dxa"/>
          </w:tcPr>
          <w:p w14:paraId="0EC362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01.03.36</w:t>
            </w:r>
          </w:p>
        </w:tc>
        <w:tc>
          <w:tcPr>
            <w:tcW w:w="713" w:type="dxa"/>
          </w:tcPr>
          <w:p w14:paraId="789A9D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Д.П.Г.</w:t>
            </w:r>
          </w:p>
        </w:tc>
      </w:tr>
      <w:tr w:rsidR="00E3599D" w:rsidRPr="00E14102" w14:paraId="5D6E4F9A" w14:textId="77777777">
        <w:tc>
          <w:tcPr>
            <w:tcW w:w="1809" w:type="dxa"/>
          </w:tcPr>
          <w:p w14:paraId="75B61E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Он же приспособл. к ЛБ</w:t>
            </w:r>
          </w:p>
        </w:tc>
        <w:tc>
          <w:tcPr>
            <w:tcW w:w="713" w:type="dxa"/>
          </w:tcPr>
          <w:p w14:paraId="66C9C4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4.5-5000</w:t>
            </w:r>
          </w:p>
        </w:tc>
        <w:tc>
          <w:tcPr>
            <w:tcW w:w="713" w:type="dxa"/>
          </w:tcPr>
          <w:p w14:paraId="657D49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713" w:type="dxa"/>
          </w:tcPr>
          <w:p w14:paraId="1286A4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52731B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713" w:type="dxa"/>
          </w:tcPr>
          <w:p w14:paraId="24EF14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713" w:type="dxa"/>
          </w:tcPr>
          <w:p w14:paraId="02EFD4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2-3хпул.</w:t>
            </w:r>
          </w:p>
        </w:tc>
        <w:tc>
          <w:tcPr>
            <w:tcW w:w="713" w:type="dxa"/>
          </w:tcPr>
          <w:p w14:paraId="45AE3A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713" w:type="dxa"/>
          </w:tcPr>
          <w:p w14:paraId="47FE4A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бака</w:t>
            </w:r>
          </w:p>
        </w:tc>
        <w:tc>
          <w:tcPr>
            <w:tcW w:w="713" w:type="dxa"/>
          </w:tcPr>
          <w:p w14:paraId="017ED9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713" w:type="dxa"/>
          </w:tcPr>
          <w:p w14:paraId="7A7506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01.03.36</w:t>
            </w:r>
          </w:p>
        </w:tc>
        <w:tc>
          <w:tcPr>
            <w:tcW w:w="713" w:type="dxa"/>
          </w:tcPr>
          <w:p w14:paraId="767ABB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Д.П.Г.</w:t>
            </w:r>
          </w:p>
        </w:tc>
      </w:tr>
      <w:tr w:rsidR="00E3599D" w:rsidRPr="00E14102" w14:paraId="2AA55C47" w14:textId="77777777">
        <w:tc>
          <w:tcPr>
            <w:tcW w:w="1809" w:type="dxa"/>
          </w:tcPr>
          <w:p w14:paraId="6BF0C08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E17D9D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40D917B"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792FD3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D09FA08"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2C9DBD3"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502FC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тяж.п</w:t>
            </w:r>
          </w:p>
        </w:tc>
        <w:tc>
          <w:tcPr>
            <w:tcW w:w="713" w:type="dxa"/>
          </w:tcPr>
          <w:p w14:paraId="6E8E52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50-100</w:t>
            </w:r>
          </w:p>
        </w:tc>
        <w:tc>
          <w:tcPr>
            <w:tcW w:w="713" w:type="dxa"/>
          </w:tcPr>
          <w:p w14:paraId="64F095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250</w:t>
            </w:r>
          </w:p>
        </w:tc>
        <w:tc>
          <w:tcPr>
            <w:tcW w:w="713" w:type="dxa"/>
          </w:tcPr>
          <w:p w14:paraId="7CA13250"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F141E5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1DD1CC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B53F4E5" w14:textId="77777777">
        <w:tc>
          <w:tcPr>
            <w:tcW w:w="1809" w:type="dxa"/>
          </w:tcPr>
          <w:p w14:paraId="24D1D7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Войсковой сам. общ.</w:t>
            </w:r>
          </w:p>
        </w:tc>
        <w:tc>
          <w:tcPr>
            <w:tcW w:w="713" w:type="dxa"/>
          </w:tcPr>
          <w:p w14:paraId="21509C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3-5000</w:t>
            </w:r>
          </w:p>
        </w:tc>
        <w:tc>
          <w:tcPr>
            <w:tcW w:w="713" w:type="dxa"/>
          </w:tcPr>
          <w:p w14:paraId="2C8925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350-400</w:t>
            </w:r>
          </w:p>
        </w:tc>
        <w:tc>
          <w:tcPr>
            <w:tcW w:w="713" w:type="dxa"/>
          </w:tcPr>
          <w:p w14:paraId="2460CB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80-90</w:t>
            </w:r>
          </w:p>
        </w:tc>
        <w:tc>
          <w:tcPr>
            <w:tcW w:w="713" w:type="dxa"/>
          </w:tcPr>
          <w:p w14:paraId="306C00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713" w:type="dxa"/>
          </w:tcPr>
          <w:p w14:paraId="3A4E04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713" w:type="dxa"/>
          </w:tcPr>
          <w:p w14:paraId="5E05D4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2-3хпул.</w:t>
            </w:r>
          </w:p>
        </w:tc>
        <w:tc>
          <w:tcPr>
            <w:tcW w:w="713" w:type="dxa"/>
          </w:tcPr>
          <w:p w14:paraId="20AE92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713" w:type="dxa"/>
          </w:tcPr>
          <w:p w14:paraId="6423BF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бака</w:t>
            </w:r>
          </w:p>
        </w:tc>
        <w:tc>
          <w:tcPr>
            <w:tcW w:w="713" w:type="dxa"/>
          </w:tcPr>
          <w:p w14:paraId="4A737F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713" w:type="dxa"/>
          </w:tcPr>
          <w:p w14:paraId="4BF424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01.05.36</w:t>
            </w:r>
          </w:p>
        </w:tc>
        <w:tc>
          <w:tcPr>
            <w:tcW w:w="713" w:type="dxa"/>
          </w:tcPr>
          <w:p w14:paraId="7035644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6728EC8" w14:textId="77777777">
        <w:tc>
          <w:tcPr>
            <w:tcW w:w="1809" w:type="dxa"/>
          </w:tcPr>
          <w:p w14:paraId="6EE6C2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назнач. (Р, Ш, Кор.)</w:t>
            </w:r>
          </w:p>
        </w:tc>
        <w:tc>
          <w:tcPr>
            <w:tcW w:w="713" w:type="dxa"/>
          </w:tcPr>
          <w:p w14:paraId="25C40D0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D35584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289851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0C3E520"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639DCAF"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4D3FA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пулбат</w:t>
            </w:r>
          </w:p>
        </w:tc>
        <w:tc>
          <w:tcPr>
            <w:tcW w:w="713" w:type="dxa"/>
          </w:tcPr>
          <w:p w14:paraId="533120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250</w:t>
            </w:r>
          </w:p>
        </w:tc>
        <w:tc>
          <w:tcPr>
            <w:tcW w:w="713" w:type="dxa"/>
          </w:tcPr>
          <w:p w14:paraId="1EAE64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100</w:t>
            </w:r>
          </w:p>
        </w:tc>
        <w:tc>
          <w:tcPr>
            <w:tcW w:w="713" w:type="dxa"/>
          </w:tcPr>
          <w:p w14:paraId="235C1A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13" w:type="dxa"/>
          </w:tcPr>
          <w:p w14:paraId="1F7096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01.05.36</w:t>
            </w:r>
          </w:p>
        </w:tc>
        <w:tc>
          <w:tcPr>
            <w:tcW w:w="713" w:type="dxa"/>
          </w:tcPr>
          <w:p w14:paraId="3D46F6B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04E9FF8" w14:textId="77777777">
        <w:tc>
          <w:tcPr>
            <w:tcW w:w="1809" w:type="dxa"/>
          </w:tcPr>
          <w:p w14:paraId="53DC8E7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F53003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E3D1228"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7EE54E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D3B3F77"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4FE782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153FAF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DCF68D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8F5BF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огн.</w:t>
            </w:r>
          </w:p>
        </w:tc>
        <w:tc>
          <w:tcPr>
            <w:tcW w:w="713" w:type="dxa"/>
          </w:tcPr>
          <w:p w14:paraId="26CBB7DF"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059B9C7"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D390A5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D6D2A40" w14:textId="77777777">
        <w:tc>
          <w:tcPr>
            <w:tcW w:w="1809" w:type="dxa"/>
          </w:tcPr>
          <w:p w14:paraId="735BCA4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36CEAA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473CEAF"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9CCCF4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138265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222B743"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8DD43E7"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B82E87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81CAD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100</w:t>
            </w:r>
          </w:p>
        </w:tc>
        <w:tc>
          <w:tcPr>
            <w:tcW w:w="713" w:type="dxa"/>
          </w:tcPr>
          <w:p w14:paraId="0F49BD70"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AF51EB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8A8590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AD24490" w14:textId="77777777">
        <w:tc>
          <w:tcPr>
            <w:tcW w:w="1809" w:type="dxa"/>
          </w:tcPr>
          <w:p w14:paraId="5FFAD3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Разв. скор. (РС)</w:t>
            </w:r>
          </w:p>
        </w:tc>
        <w:tc>
          <w:tcPr>
            <w:tcW w:w="713" w:type="dxa"/>
          </w:tcPr>
          <w:p w14:paraId="34A332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4.5-5000</w:t>
            </w:r>
          </w:p>
        </w:tc>
        <w:tc>
          <w:tcPr>
            <w:tcW w:w="713" w:type="dxa"/>
          </w:tcPr>
          <w:p w14:paraId="73D17A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713" w:type="dxa"/>
          </w:tcPr>
          <w:p w14:paraId="465C0F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54D8B8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713" w:type="dxa"/>
          </w:tcPr>
          <w:p w14:paraId="193BEF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2B6CA9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2-3хпул.</w:t>
            </w:r>
          </w:p>
        </w:tc>
        <w:tc>
          <w:tcPr>
            <w:tcW w:w="713" w:type="dxa"/>
          </w:tcPr>
          <w:p w14:paraId="029C51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w:t>
            </w:r>
          </w:p>
        </w:tc>
        <w:tc>
          <w:tcPr>
            <w:tcW w:w="713" w:type="dxa"/>
          </w:tcPr>
          <w:p w14:paraId="41DE10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7F2622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713" w:type="dxa"/>
          </w:tcPr>
          <w:p w14:paraId="74F7A6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01.09.35</w:t>
            </w:r>
          </w:p>
        </w:tc>
        <w:tc>
          <w:tcPr>
            <w:tcW w:w="713" w:type="dxa"/>
          </w:tcPr>
          <w:p w14:paraId="5BAB045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2B0A34D" w14:textId="77777777">
        <w:tc>
          <w:tcPr>
            <w:tcW w:w="1809" w:type="dxa"/>
          </w:tcPr>
          <w:p w14:paraId="7F9D22A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A4822EF"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C710DC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82B6FA7"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5672F03"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2835BA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460268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7B200F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2DC46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10-25</w:t>
            </w:r>
          </w:p>
        </w:tc>
        <w:tc>
          <w:tcPr>
            <w:tcW w:w="713" w:type="dxa"/>
          </w:tcPr>
          <w:p w14:paraId="57908A67"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F1A81A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6ED24F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E4B8684" w14:textId="77777777">
        <w:tc>
          <w:tcPr>
            <w:tcW w:w="1809" w:type="dxa"/>
          </w:tcPr>
          <w:p w14:paraId="6D758C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Он же присп. к 2-х</w:t>
            </w:r>
          </w:p>
        </w:tc>
        <w:tc>
          <w:tcPr>
            <w:tcW w:w="713" w:type="dxa"/>
          </w:tcPr>
          <w:p w14:paraId="51AD27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4.5-5000</w:t>
            </w:r>
          </w:p>
        </w:tc>
        <w:tc>
          <w:tcPr>
            <w:tcW w:w="713" w:type="dxa"/>
          </w:tcPr>
          <w:p w14:paraId="7AC424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713" w:type="dxa"/>
          </w:tcPr>
          <w:p w14:paraId="51B8AC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34AC29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713" w:type="dxa"/>
          </w:tcPr>
          <w:p w14:paraId="4BB2FE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2CCA21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3хпул.</w:t>
            </w:r>
          </w:p>
        </w:tc>
        <w:tc>
          <w:tcPr>
            <w:tcW w:w="713" w:type="dxa"/>
          </w:tcPr>
          <w:p w14:paraId="616E5C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713" w:type="dxa"/>
          </w:tcPr>
          <w:p w14:paraId="61E350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огн.</w:t>
            </w:r>
          </w:p>
        </w:tc>
        <w:tc>
          <w:tcPr>
            <w:tcW w:w="713" w:type="dxa"/>
          </w:tcPr>
          <w:p w14:paraId="689F55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13" w:type="dxa"/>
          </w:tcPr>
          <w:p w14:paraId="4394CD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01.12.35</w:t>
            </w:r>
          </w:p>
        </w:tc>
        <w:tc>
          <w:tcPr>
            <w:tcW w:w="713" w:type="dxa"/>
          </w:tcPr>
          <w:p w14:paraId="3EA86C3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26DE61C" w14:textId="77777777">
        <w:tc>
          <w:tcPr>
            <w:tcW w:w="1809" w:type="dxa"/>
          </w:tcPr>
          <w:p w14:paraId="127453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местн. Истребитель</w:t>
            </w:r>
          </w:p>
        </w:tc>
        <w:tc>
          <w:tcPr>
            <w:tcW w:w="713" w:type="dxa"/>
          </w:tcPr>
          <w:p w14:paraId="13AD0A58"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072831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41D1C18"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BCBAAD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F66107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99354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10-25</w:t>
            </w:r>
          </w:p>
        </w:tc>
        <w:tc>
          <w:tcPr>
            <w:tcW w:w="713" w:type="dxa"/>
          </w:tcPr>
          <w:p w14:paraId="640DD7AF"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21852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50</w:t>
            </w:r>
          </w:p>
        </w:tc>
        <w:tc>
          <w:tcPr>
            <w:tcW w:w="713" w:type="dxa"/>
          </w:tcPr>
          <w:p w14:paraId="7A314B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713" w:type="dxa"/>
          </w:tcPr>
          <w:p w14:paraId="501EB0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01.12.35</w:t>
            </w:r>
          </w:p>
        </w:tc>
        <w:tc>
          <w:tcPr>
            <w:tcW w:w="713" w:type="dxa"/>
          </w:tcPr>
          <w:p w14:paraId="44739D7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255FCA" w14:textId="77777777">
        <w:tc>
          <w:tcPr>
            <w:tcW w:w="1809" w:type="dxa"/>
          </w:tcPr>
          <w:p w14:paraId="6D2172E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741BA4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F93C54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3050BD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3A319A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31D105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D0985B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15AC333"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1FF44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хим.</w:t>
            </w:r>
          </w:p>
        </w:tc>
        <w:tc>
          <w:tcPr>
            <w:tcW w:w="713" w:type="dxa"/>
          </w:tcPr>
          <w:p w14:paraId="28F6E5CA"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2DA522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C8F290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4483E92" w14:textId="77777777">
        <w:tc>
          <w:tcPr>
            <w:tcW w:w="1809" w:type="dxa"/>
          </w:tcPr>
          <w:p w14:paraId="33D879F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2CC9BD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E82E157"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E0BB1D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1B1E91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147A70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4DF1CF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E66373F"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26242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50</w:t>
            </w:r>
          </w:p>
        </w:tc>
        <w:tc>
          <w:tcPr>
            <w:tcW w:w="713" w:type="dxa"/>
          </w:tcPr>
          <w:p w14:paraId="3EA6C76A"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F3D1270"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4F91FD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2196C59" w14:textId="77777777">
        <w:tc>
          <w:tcPr>
            <w:tcW w:w="1809" w:type="dxa"/>
          </w:tcPr>
          <w:p w14:paraId="429546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Многом. истреб. (МИ)</w:t>
            </w:r>
          </w:p>
        </w:tc>
        <w:tc>
          <w:tcPr>
            <w:tcW w:w="713" w:type="dxa"/>
          </w:tcPr>
          <w:p w14:paraId="73B89F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4.5-5000</w:t>
            </w:r>
          </w:p>
        </w:tc>
        <w:tc>
          <w:tcPr>
            <w:tcW w:w="713" w:type="dxa"/>
          </w:tcPr>
          <w:p w14:paraId="0CDDCC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713" w:type="dxa"/>
          </w:tcPr>
          <w:p w14:paraId="33FD26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11CBF7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tc>
        <w:tc>
          <w:tcPr>
            <w:tcW w:w="713" w:type="dxa"/>
          </w:tcPr>
          <w:p w14:paraId="58D229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118599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1хпуш.</w:t>
            </w:r>
          </w:p>
        </w:tc>
        <w:tc>
          <w:tcPr>
            <w:tcW w:w="713" w:type="dxa"/>
          </w:tcPr>
          <w:p w14:paraId="4D6DEC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713" w:type="dxa"/>
          </w:tcPr>
          <w:p w14:paraId="0D2976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2хДАП</w:t>
            </w:r>
          </w:p>
        </w:tc>
        <w:tc>
          <w:tcPr>
            <w:tcW w:w="713" w:type="dxa"/>
          </w:tcPr>
          <w:p w14:paraId="0AC669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13" w:type="dxa"/>
          </w:tcPr>
          <w:p w14:paraId="78CC35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01.06.36</w:t>
            </w:r>
          </w:p>
        </w:tc>
        <w:tc>
          <w:tcPr>
            <w:tcW w:w="713" w:type="dxa"/>
          </w:tcPr>
          <w:p w14:paraId="4D2A12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Д.П.Г.</w:t>
            </w:r>
          </w:p>
        </w:tc>
      </w:tr>
      <w:tr w:rsidR="00E3599D" w:rsidRPr="00E14102" w14:paraId="4B00C2E2" w14:textId="77777777">
        <w:tc>
          <w:tcPr>
            <w:tcW w:w="1809" w:type="dxa"/>
          </w:tcPr>
          <w:p w14:paraId="045E85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(легкий крейсер)</w:t>
            </w:r>
          </w:p>
        </w:tc>
        <w:tc>
          <w:tcPr>
            <w:tcW w:w="713" w:type="dxa"/>
          </w:tcPr>
          <w:p w14:paraId="393719D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1E6305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6D9ED3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16D84B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189030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045CC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2хАПК</w:t>
            </w:r>
          </w:p>
        </w:tc>
        <w:tc>
          <w:tcPr>
            <w:tcW w:w="713" w:type="dxa"/>
          </w:tcPr>
          <w:p w14:paraId="60D29D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10-50</w:t>
            </w:r>
          </w:p>
        </w:tc>
        <w:tc>
          <w:tcPr>
            <w:tcW w:w="713" w:type="dxa"/>
          </w:tcPr>
          <w:p w14:paraId="0B0239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50</w:t>
            </w:r>
          </w:p>
        </w:tc>
        <w:tc>
          <w:tcPr>
            <w:tcW w:w="713" w:type="dxa"/>
          </w:tcPr>
          <w:p w14:paraId="6F670B5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F2A49F7"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464684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C72529A" w14:textId="77777777">
        <w:tc>
          <w:tcPr>
            <w:tcW w:w="1809" w:type="dxa"/>
          </w:tcPr>
          <w:p w14:paraId="77412B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Одноместн. Истребит.</w:t>
            </w:r>
          </w:p>
        </w:tc>
        <w:tc>
          <w:tcPr>
            <w:tcW w:w="713" w:type="dxa"/>
          </w:tcPr>
          <w:p w14:paraId="1A28C7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4.5-5000</w:t>
            </w:r>
          </w:p>
        </w:tc>
        <w:tc>
          <w:tcPr>
            <w:tcW w:w="713" w:type="dxa"/>
          </w:tcPr>
          <w:p w14:paraId="297E49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500-550</w:t>
            </w:r>
          </w:p>
        </w:tc>
        <w:tc>
          <w:tcPr>
            <w:tcW w:w="713" w:type="dxa"/>
          </w:tcPr>
          <w:p w14:paraId="6CE4AB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713" w:type="dxa"/>
          </w:tcPr>
          <w:p w14:paraId="1B88D6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713" w:type="dxa"/>
          </w:tcPr>
          <w:p w14:paraId="6BA3CD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061C39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4хпул.</w:t>
            </w:r>
          </w:p>
        </w:tc>
        <w:tc>
          <w:tcPr>
            <w:tcW w:w="713" w:type="dxa"/>
          </w:tcPr>
          <w:p w14:paraId="03E223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713" w:type="dxa"/>
          </w:tcPr>
          <w:p w14:paraId="157E57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2AE7B6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713" w:type="dxa"/>
          </w:tcPr>
          <w:p w14:paraId="1659FF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01.04.36</w:t>
            </w:r>
          </w:p>
        </w:tc>
        <w:tc>
          <w:tcPr>
            <w:tcW w:w="713" w:type="dxa"/>
          </w:tcPr>
          <w:p w14:paraId="15B143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(И-19)</w:t>
            </w:r>
          </w:p>
        </w:tc>
      </w:tr>
      <w:tr w:rsidR="00E3599D" w:rsidRPr="00E14102" w14:paraId="528CAA07" w14:textId="77777777">
        <w:tc>
          <w:tcPr>
            <w:tcW w:w="1809" w:type="dxa"/>
          </w:tcPr>
          <w:p w14:paraId="58D7B58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65C2F9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999D5F8"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DB2747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229FBE0"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FB09EA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5C29A0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59BA4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10</w:t>
            </w:r>
          </w:p>
        </w:tc>
        <w:tc>
          <w:tcPr>
            <w:tcW w:w="713" w:type="dxa"/>
          </w:tcPr>
          <w:p w14:paraId="3F09928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D4663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713" w:type="dxa"/>
          </w:tcPr>
          <w:p w14:paraId="405AD9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01.01.36</w:t>
            </w:r>
          </w:p>
        </w:tc>
        <w:tc>
          <w:tcPr>
            <w:tcW w:w="713" w:type="dxa"/>
          </w:tcPr>
          <w:p w14:paraId="785AE8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(ин.звезда)</w:t>
            </w:r>
          </w:p>
        </w:tc>
      </w:tr>
      <w:tr w:rsidR="00E3599D" w:rsidRPr="00E14102" w14:paraId="257055BA" w14:textId="77777777">
        <w:tc>
          <w:tcPr>
            <w:tcW w:w="1809" w:type="dxa"/>
          </w:tcPr>
          <w:p w14:paraId="7963B32B"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0DD76A8"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B1DAC3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C64F27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7B6391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4B8DEE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34B281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54CF53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467D4B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E58178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48B152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6B6FF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r>
      <w:tr w:rsidR="00E3599D" w:rsidRPr="00E14102" w14:paraId="20B65133" w14:textId="77777777">
        <w:tc>
          <w:tcPr>
            <w:tcW w:w="1809" w:type="dxa"/>
          </w:tcPr>
          <w:p w14:paraId="619595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Одн. истр. пушечный</w:t>
            </w:r>
          </w:p>
        </w:tc>
        <w:tc>
          <w:tcPr>
            <w:tcW w:w="713" w:type="dxa"/>
          </w:tcPr>
          <w:p w14:paraId="4293C8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713" w:type="dxa"/>
          </w:tcPr>
          <w:p w14:paraId="3A7A01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500-550</w:t>
            </w:r>
          </w:p>
        </w:tc>
        <w:tc>
          <w:tcPr>
            <w:tcW w:w="713" w:type="dxa"/>
          </w:tcPr>
          <w:p w14:paraId="75999A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713" w:type="dxa"/>
          </w:tcPr>
          <w:p w14:paraId="20C017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713" w:type="dxa"/>
          </w:tcPr>
          <w:p w14:paraId="0441C4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6A1AC2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1хпуш.</w:t>
            </w:r>
          </w:p>
        </w:tc>
        <w:tc>
          <w:tcPr>
            <w:tcW w:w="713" w:type="dxa"/>
          </w:tcPr>
          <w:p w14:paraId="1F9813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713" w:type="dxa"/>
          </w:tcPr>
          <w:p w14:paraId="28438A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421231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13" w:type="dxa"/>
          </w:tcPr>
          <w:p w14:paraId="4F129B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01.05.36</w:t>
            </w:r>
          </w:p>
        </w:tc>
        <w:tc>
          <w:tcPr>
            <w:tcW w:w="713" w:type="dxa"/>
          </w:tcPr>
          <w:p w14:paraId="17E0A8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Д.П.Г.</w:t>
            </w:r>
          </w:p>
        </w:tc>
      </w:tr>
      <w:tr w:rsidR="00E3599D" w:rsidRPr="00E14102" w14:paraId="03440EF5" w14:textId="77777777">
        <w:tc>
          <w:tcPr>
            <w:tcW w:w="1809" w:type="dxa"/>
          </w:tcPr>
          <w:p w14:paraId="0D55D2A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07EB180"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76C3FC3"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ED6E18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496A8AB"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2D1A3E7"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F89B1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2хАПК</w:t>
            </w:r>
          </w:p>
        </w:tc>
        <w:tc>
          <w:tcPr>
            <w:tcW w:w="713" w:type="dxa"/>
          </w:tcPr>
          <w:p w14:paraId="706995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10</w:t>
            </w:r>
          </w:p>
        </w:tc>
        <w:tc>
          <w:tcPr>
            <w:tcW w:w="713" w:type="dxa"/>
          </w:tcPr>
          <w:p w14:paraId="1D98E143"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D067CC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CED323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2AD092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B65FE7F" w14:textId="77777777">
        <w:tc>
          <w:tcPr>
            <w:tcW w:w="1809" w:type="dxa"/>
          </w:tcPr>
          <w:p w14:paraId="64FE89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Боевые морские самолеты</w:t>
            </w:r>
          </w:p>
        </w:tc>
        <w:tc>
          <w:tcPr>
            <w:tcW w:w="713" w:type="dxa"/>
          </w:tcPr>
          <w:p w14:paraId="13FDF01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FEF71A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FE8C7D8"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047AD0B"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8C6575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C115E0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150051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5DFE3B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9301C08"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5B020FF"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0EE920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4A8D844" w14:textId="77777777">
        <w:tc>
          <w:tcPr>
            <w:tcW w:w="1809" w:type="dxa"/>
          </w:tcPr>
          <w:p w14:paraId="12E13F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МТБ, он же в гр. вар.</w:t>
            </w:r>
          </w:p>
        </w:tc>
        <w:tc>
          <w:tcPr>
            <w:tcW w:w="713" w:type="dxa"/>
          </w:tcPr>
          <w:p w14:paraId="663CCB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713" w:type="dxa"/>
          </w:tcPr>
          <w:p w14:paraId="4560C8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300-350</w:t>
            </w:r>
          </w:p>
        </w:tc>
        <w:tc>
          <w:tcPr>
            <w:tcW w:w="713" w:type="dxa"/>
          </w:tcPr>
          <w:p w14:paraId="2CF33B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0A4AF5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713" w:type="dxa"/>
          </w:tcPr>
          <w:p w14:paraId="78BEE6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2500</w:t>
            </w:r>
          </w:p>
        </w:tc>
        <w:tc>
          <w:tcPr>
            <w:tcW w:w="713" w:type="dxa"/>
          </w:tcPr>
          <w:p w14:paraId="4E8A82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пушк.</w:t>
            </w:r>
          </w:p>
        </w:tc>
        <w:tc>
          <w:tcPr>
            <w:tcW w:w="713" w:type="dxa"/>
          </w:tcPr>
          <w:p w14:paraId="32AF678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E23BF0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C6505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713" w:type="dxa"/>
          </w:tcPr>
          <w:p w14:paraId="1A9A81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01.08.36</w:t>
            </w:r>
          </w:p>
        </w:tc>
        <w:tc>
          <w:tcPr>
            <w:tcW w:w="713" w:type="dxa"/>
          </w:tcPr>
          <w:p w14:paraId="345965F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11F0D3E" w14:textId="77777777">
        <w:tc>
          <w:tcPr>
            <w:tcW w:w="1809" w:type="dxa"/>
          </w:tcPr>
          <w:p w14:paraId="3C7DA35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AF0E78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6EED71F"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3BF9920"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8624AC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DDC5CB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9DD7B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пул.</w:t>
            </w:r>
          </w:p>
        </w:tc>
        <w:tc>
          <w:tcPr>
            <w:tcW w:w="713" w:type="dxa"/>
          </w:tcPr>
          <w:p w14:paraId="00D6A43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566312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C78DCAA"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3B66B3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83B971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1FF05BD" w14:textId="77777777">
        <w:tc>
          <w:tcPr>
            <w:tcW w:w="1809" w:type="dxa"/>
          </w:tcPr>
          <w:p w14:paraId="0F4BC1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МДР, он же в гр. вар.</w:t>
            </w:r>
          </w:p>
        </w:tc>
        <w:tc>
          <w:tcPr>
            <w:tcW w:w="713" w:type="dxa"/>
          </w:tcPr>
          <w:p w14:paraId="684ABA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713" w:type="dxa"/>
          </w:tcPr>
          <w:p w14:paraId="15E424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300-350</w:t>
            </w:r>
          </w:p>
        </w:tc>
        <w:tc>
          <w:tcPr>
            <w:tcW w:w="713" w:type="dxa"/>
          </w:tcPr>
          <w:p w14:paraId="6C5BAA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713" w:type="dxa"/>
          </w:tcPr>
          <w:p w14:paraId="13BB7D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3-4000</w:t>
            </w:r>
          </w:p>
        </w:tc>
        <w:tc>
          <w:tcPr>
            <w:tcW w:w="713" w:type="dxa"/>
          </w:tcPr>
          <w:p w14:paraId="1AC4F6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1143DC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3хпул.</w:t>
            </w:r>
          </w:p>
        </w:tc>
        <w:tc>
          <w:tcPr>
            <w:tcW w:w="713" w:type="dxa"/>
          </w:tcPr>
          <w:p w14:paraId="73782B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713" w:type="dxa"/>
          </w:tcPr>
          <w:p w14:paraId="642AD7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5A9359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713" w:type="dxa"/>
          </w:tcPr>
          <w:p w14:paraId="61E149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01.08.36</w:t>
            </w:r>
          </w:p>
        </w:tc>
        <w:tc>
          <w:tcPr>
            <w:tcW w:w="713" w:type="dxa"/>
          </w:tcPr>
          <w:p w14:paraId="1AD17EE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A516EFC" w14:textId="77777777">
        <w:tc>
          <w:tcPr>
            <w:tcW w:w="1809" w:type="dxa"/>
          </w:tcPr>
          <w:p w14:paraId="5F8C13FA"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BE7427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1ED0D7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E2995D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C65771A"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B96E3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1800</w:t>
            </w:r>
          </w:p>
        </w:tc>
        <w:tc>
          <w:tcPr>
            <w:tcW w:w="713" w:type="dxa"/>
          </w:tcPr>
          <w:p w14:paraId="76AE3A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1-2хпуш.</w:t>
            </w:r>
          </w:p>
        </w:tc>
        <w:tc>
          <w:tcPr>
            <w:tcW w:w="713" w:type="dxa"/>
          </w:tcPr>
          <w:p w14:paraId="1519DD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100,250</w:t>
            </w:r>
          </w:p>
        </w:tc>
        <w:tc>
          <w:tcPr>
            <w:tcW w:w="713" w:type="dxa"/>
          </w:tcPr>
          <w:p w14:paraId="1C662A4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67080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713" w:type="dxa"/>
          </w:tcPr>
          <w:p w14:paraId="74FD48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01.01.36</w:t>
            </w:r>
          </w:p>
        </w:tc>
        <w:tc>
          <w:tcPr>
            <w:tcW w:w="713" w:type="dxa"/>
          </w:tcPr>
          <w:p w14:paraId="33D4EB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Четверик.</w:t>
            </w:r>
          </w:p>
        </w:tc>
      </w:tr>
      <w:tr w:rsidR="00E3599D" w:rsidRPr="00E14102" w14:paraId="20835DC4" w14:textId="77777777">
        <w:tc>
          <w:tcPr>
            <w:tcW w:w="1809" w:type="dxa"/>
          </w:tcPr>
          <w:p w14:paraId="711B7BA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662D7A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8F73D5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FF9042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F20317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115928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3A2C3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РС</w:t>
            </w:r>
          </w:p>
        </w:tc>
        <w:tc>
          <w:tcPr>
            <w:tcW w:w="713" w:type="dxa"/>
          </w:tcPr>
          <w:p w14:paraId="062BF3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713" w:type="dxa"/>
          </w:tcPr>
          <w:p w14:paraId="5F353B6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835CA63"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2A1E478"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7C6CBB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836526D" w14:textId="77777777">
        <w:tc>
          <w:tcPr>
            <w:tcW w:w="1809" w:type="dxa"/>
          </w:tcPr>
          <w:p w14:paraId="6AB0F9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МБР</w:t>
            </w:r>
          </w:p>
        </w:tc>
        <w:tc>
          <w:tcPr>
            <w:tcW w:w="713" w:type="dxa"/>
          </w:tcPr>
          <w:p w14:paraId="2271BF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4.5-5000</w:t>
            </w:r>
          </w:p>
        </w:tc>
        <w:tc>
          <w:tcPr>
            <w:tcW w:w="713" w:type="dxa"/>
          </w:tcPr>
          <w:p w14:paraId="00D19A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325-375</w:t>
            </w:r>
          </w:p>
        </w:tc>
        <w:tc>
          <w:tcPr>
            <w:tcW w:w="713" w:type="dxa"/>
          </w:tcPr>
          <w:p w14:paraId="041A07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713" w:type="dxa"/>
          </w:tcPr>
          <w:p w14:paraId="75AE8A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713" w:type="dxa"/>
          </w:tcPr>
          <w:p w14:paraId="4410BE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517428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2-3хпул.</w:t>
            </w:r>
          </w:p>
        </w:tc>
        <w:tc>
          <w:tcPr>
            <w:tcW w:w="713" w:type="dxa"/>
          </w:tcPr>
          <w:p w14:paraId="704EC7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713" w:type="dxa"/>
          </w:tcPr>
          <w:p w14:paraId="193BB6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бака</w:t>
            </w:r>
          </w:p>
        </w:tc>
        <w:tc>
          <w:tcPr>
            <w:tcW w:w="713" w:type="dxa"/>
          </w:tcPr>
          <w:p w14:paraId="22D087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713" w:type="dxa"/>
          </w:tcPr>
          <w:p w14:paraId="34EBE2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01.09.36</w:t>
            </w:r>
          </w:p>
        </w:tc>
        <w:tc>
          <w:tcPr>
            <w:tcW w:w="713" w:type="dxa"/>
          </w:tcPr>
          <w:p w14:paraId="58693C2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73EA021" w14:textId="77777777">
        <w:tc>
          <w:tcPr>
            <w:tcW w:w="1809" w:type="dxa"/>
          </w:tcPr>
          <w:p w14:paraId="370515C3"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9209E7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36C707B"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2240770"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B3E049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543EC5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9CE3593"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6EA00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100, 250</w:t>
            </w:r>
          </w:p>
        </w:tc>
        <w:tc>
          <w:tcPr>
            <w:tcW w:w="713" w:type="dxa"/>
          </w:tcPr>
          <w:p w14:paraId="3A2E6F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250</w:t>
            </w:r>
          </w:p>
        </w:tc>
        <w:tc>
          <w:tcPr>
            <w:tcW w:w="713" w:type="dxa"/>
          </w:tcPr>
          <w:p w14:paraId="2286BA5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5A69C6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3C9FEB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4F3E1E6" w14:textId="77777777">
        <w:tc>
          <w:tcPr>
            <w:tcW w:w="1809" w:type="dxa"/>
          </w:tcPr>
          <w:p w14:paraId="3891FB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Торпедоносец (Т)</w:t>
            </w:r>
          </w:p>
        </w:tc>
        <w:tc>
          <w:tcPr>
            <w:tcW w:w="713" w:type="dxa"/>
          </w:tcPr>
          <w:p w14:paraId="5366DA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713" w:type="dxa"/>
          </w:tcPr>
          <w:p w14:paraId="2BE723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330-350</w:t>
            </w:r>
          </w:p>
        </w:tc>
        <w:tc>
          <w:tcPr>
            <w:tcW w:w="713" w:type="dxa"/>
          </w:tcPr>
          <w:p w14:paraId="5D480A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90-100</w:t>
            </w:r>
          </w:p>
        </w:tc>
        <w:tc>
          <w:tcPr>
            <w:tcW w:w="713" w:type="dxa"/>
          </w:tcPr>
          <w:p w14:paraId="2FD36F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713" w:type="dxa"/>
          </w:tcPr>
          <w:p w14:paraId="5D722C2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015B2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2-3хпул.</w:t>
            </w:r>
          </w:p>
        </w:tc>
        <w:tc>
          <w:tcPr>
            <w:tcW w:w="713" w:type="dxa"/>
          </w:tcPr>
          <w:p w14:paraId="5B8031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торп.</w:t>
            </w:r>
          </w:p>
          <w:p w14:paraId="600957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фиумская</w:t>
            </w:r>
          </w:p>
        </w:tc>
        <w:tc>
          <w:tcPr>
            <w:tcW w:w="713" w:type="dxa"/>
          </w:tcPr>
          <w:p w14:paraId="617371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24D687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713" w:type="dxa"/>
          </w:tcPr>
          <w:p w14:paraId="550618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01.01.36</w:t>
            </w:r>
          </w:p>
        </w:tc>
        <w:tc>
          <w:tcPr>
            <w:tcW w:w="713" w:type="dxa"/>
          </w:tcPr>
          <w:p w14:paraId="65D7055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F82DA76" w14:textId="77777777">
        <w:tc>
          <w:tcPr>
            <w:tcW w:w="1809" w:type="dxa"/>
          </w:tcPr>
          <w:p w14:paraId="1B2DF6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Сам. кор. сл. (КОР)</w:t>
            </w:r>
          </w:p>
        </w:tc>
        <w:tc>
          <w:tcPr>
            <w:tcW w:w="713" w:type="dxa"/>
          </w:tcPr>
          <w:p w14:paraId="4D5613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713" w:type="dxa"/>
          </w:tcPr>
          <w:p w14:paraId="7A3B78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713" w:type="dxa"/>
          </w:tcPr>
          <w:p w14:paraId="56797A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w:t>
            </w:r>
          </w:p>
        </w:tc>
        <w:tc>
          <w:tcPr>
            <w:tcW w:w="713" w:type="dxa"/>
          </w:tcPr>
          <w:p w14:paraId="0D6C53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713" w:type="dxa"/>
          </w:tcPr>
          <w:p w14:paraId="0FCCF5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44E878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2хпул.</w:t>
            </w:r>
          </w:p>
        </w:tc>
        <w:tc>
          <w:tcPr>
            <w:tcW w:w="713" w:type="dxa"/>
          </w:tcPr>
          <w:p w14:paraId="256C5C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492287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бак 250</w:t>
            </w:r>
          </w:p>
        </w:tc>
        <w:tc>
          <w:tcPr>
            <w:tcW w:w="713" w:type="dxa"/>
          </w:tcPr>
          <w:p w14:paraId="4CC0CB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713" w:type="dxa"/>
          </w:tcPr>
          <w:p w14:paraId="1B41E8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01.11.35</w:t>
            </w:r>
          </w:p>
        </w:tc>
        <w:tc>
          <w:tcPr>
            <w:tcW w:w="713" w:type="dxa"/>
          </w:tcPr>
          <w:p w14:paraId="4A7FAFA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7B20251" w14:textId="77777777">
        <w:tc>
          <w:tcPr>
            <w:tcW w:w="1809" w:type="dxa"/>
          </w:tcPr>
          <w:p w14:paraId="7A03A2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Вспомогательные самолеты</w:t>
            </w:r>
          </w:p>
        </w:tc>
        <w:tc>
          <w:tcPr>
            <w:tcW w:w="713" w:type="dxa"/>
          </w:tcPr>
          <w:p w14:paraId="78728DB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DB383D0"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AD4B6C7"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D74BF9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2E5FE4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C5808F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85D91A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8AA636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BB534A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1B28FCB"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A43020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4FD11B6" w14:textId="77777777">
        <w:tc>
          <w:tcPr>
            <w:tcW w:w="1809" w:type="dxa"/>
          </w:tcPr>
          <w:p w14:paraId="430FAF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Перех. самолет</w:t>
            </w:r>
          </w:p>
        </w:tc>
        <w:tc>
          <w:tcPr>
            <w:tcW w:w="713" w:type="dxa"/>
          </w:tcPr>
          <w:p w14:paraId="4BC2EB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0FC662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250-300</w:t>
            </w:r>
          </w:p>
        </w:tc>
        <w:tc>
          <w:tcPr>
            <w:tcW w:w="713" w:type="dxa"/>
          </w:tcPr>
          <w:p w14:paraId="48CF6A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w:t>
            </w:r>
          </w:p>
        </w:tc>
        <w:tc>
          <w:tcPr>
            <w:tcW w:w="713" w:type="dxa"/>
          </w:tcPr>
          <w:p w14:paraId="582B44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713" w:type="dxa"/>
          </w:tcPr>
          <w:p w14:paraId="0EF897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71EADD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1-2хпул.</w:t>
            </w:r>
          </w:p>
        </w:tc>
        <w:tc>
          <w:tcPr>
            <w:tcW w:w="713" w:type="dxa"/>
          </w:tcPr>
          <w:p w14:paraId="5A3AEB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215E59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3BAB99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713" w:type="dxa"/>
          </w:tcPr>
          <w:p w14:paraId="413B37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01.10.35</w:t>
            </w:r>
          </w:p>
        </w:tc>
        <w:tc>
          <w:tcPr>
            <w:tcW w:w="713" w:type="dxa"/>
          </w:tcPr>
          <w:p w14:paraId="17DEAF7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FA42A92" w14:textId="77777777">
        <w:tc>
          <w:tcPr>
            <w:tcW w:w="1809" w:type="dxa"/>
          </w:tcPr>
          <w:p w14:paraId="0B9D4B8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C67872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AB7FE5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FA4308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8E6B9B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66F289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1755950"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DF022D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0753E3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CE183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КАИ</w:t>
            </w:r>
          </w:p>
        </w:tc>
        <w:tc>
          <w:tcPr>
            <w:tcW w:w="713" w:type="dxa"/>
          </w:tcPr>
          <w:p w14:paraId="628086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01.10.35</w:t>
            </w:r>
          </w:p>
        </w:tc>
        <w:tc>
          <w:tcPr>
            <w:tcW w:w="713" w:type="dxa"/>
          </w:tcPr>
          <w:p w14:paraId="77B2C10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D66F43D" w14:textId="77777777">
        <w:tc>
          <w:tcPr>
            <w:tcW w:w="1809" w:type="dxa"/>
          </w:tcPr>
          <w:p w14:paraId="7801F4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Трансп./санитарный</w:t>
            </w:r>
          </w:p>
        </w:tc>
        <w:tc>
          <w:tcPr>
            <w:tcW w:w="713" w:type="dxa"/>
          </w:tcPr>
          <w:p w14:paraId="7E18A3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12408A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250-300</w:t>
            </w:r>
          </w:p>
        </w:tc>
        <w:tc>
          <w:tcPr>
            <w:tcW w:w="713" w:type="dxa"/>
          </w:tcPr>
          <w:p w14:paraId="510DDD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70-80</w:t>
            </w:r>
          </w:p>
        </w:tc>
        <w:tc>
          <w:tcPr>
            <w:tcW w:w="713" w:type="dxa"/>
          </w:tcPr>
          <w:p w14:paraId="1C0721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tc>
        <w:tc>
          <w:tcPr>
            <w:tcW w:w="713" w:type="dxa"/>
          </w:tcPr>
          <w:p w14:paraId="58911D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713" w:type="dxa"/>
          </w:tcPr>
          <w:p w14:paraId="522D78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пул.</w:t>
            </w:r>
          </w:p>
        </w:tc>
        <w:tc>
          <w:tcPr>
            <w:tcW w:w="713" w:type="dxa"/>
          </w:tcPr>
          <w:p w14:paraId="3573C4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354076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13" w:type="dxa"/>
          </w:tcPr>
          <w:p w14:paraId="05213D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713" w:type="dxa"/>
          </w:tcPr>
          <w:p w14:paraId="673581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01.11.36</w:t>
            </w:r>
          </w:p>
        </w:tc>
        <w:tc>
          <w:tcPr>
            <w:tcW w:w="713" w:type="dxa"/>
          </w:tcPr>
          <w:p w14:paraId="0AC8335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79402FA" w14:textId="77777777">
        <w:tc>
          <w:tcPr>
            <w:tcW w:w="1809" w:type="dxa"/>
          </w:tcPr>
          <w:p w14:paraId="31B49B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Экспериментальные самолеты</w:t>
            </w:r>
          </w:p>
        </w:tc>
        <w:tc>
          <w:tcPr>
            <w:tcW w:w="713" w:type="dxa"/>
          </w:tcPr>
          <w:p w14:paraId="78B4F74F"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18084B7"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A70336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D71B95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EE0D35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2179C8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EDD83B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3121F87"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9504C0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8821F3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2F40C9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519768F" w14:textId="77777777">
        <w:tc>
          <w:tcPr>
            <w:tcW w:w="1809" w:type="dxa"/>
          </w:tcPr>
          <w:p w14:paraId="14430F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Самолет рек. Скорости</w:t>
            </w:r>
          </w:p>
        </w:tc>
        <w:tc>
          <w:tcPr>
            <w:tcW w:w="713" w:type="dxa"/>
          </w:tcPr>
          <w:p w14:paraId="6BC5FE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600/0</w:t>
            </w:r>
          </w:p>
        </w:tc>
        <w:tc>
          <w:tcPr>
            <w:tcW w:w="713" w:type="dxa"/>
          </w:tcPr>
          <w:p w14:paraId="25AEA4EA"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7F9672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5F7C55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D5BA4C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FCE3DD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627342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907935B"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2ACDAD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C53EFDF"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B263DB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86C8DF3" w14:textId="77777777">
        <w:tc>
          <w:tcPr>
            <w:tcW w:w="1809" w:type="dxa"/>
          </w:tcPr>
          <w:p w14:paraId="7CE61BD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22C639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750-800/0</w:t>
            </w:r>
          </w:p>
        </w:tc>
        <w:tc>
          <w:tcPr>
            <w:tcW w:w="713" w:type="dxa"/>
          </w:tcPr>
          <w:p w14:paraId="298F5718"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B0CFD72"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C63F46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1A4D6BB"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BCEBBA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5027301"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A02A5B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729C015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5ED7393"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177B52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1CD790E" w14:textId="77777777">
        <w:tc>
          <w:tcPr>
            <w:tcW w:w="1809" w:type="dxa"/>
          </w:tcPr>
          <w:p w14:paraId="078E90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Самолет РВ</w:t>
            </w:r>
          </w:p>
        </w:tc>
        <w:tc>
          <w:tcPr>
            <w:tcW w:w="713" w:type="dxa"/>
          </w:tcPr>
          <w:p w14:paraId="0353D7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16-20000</w:t>
            </w:r>
          </w:p>
        </w:tc>
        <w:tc>
          <w:tcPr>
            <w:tcW w:w="713" w:type="dxa"/>
          </w:tcPr>
          <w:p w14:paraId="42864EC8"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5893250"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B5C07D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4A6C390"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4CA94527"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14CEBAD8"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59E2A37E"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66A70D5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31B8748A"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Pr>
          <w:p w14:paraId="0C5B9E1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FE32714" w14:textId="77777777">
        <w:tc>
          <w:tcPr>
            <w:tcW w:w="1809" w:type="dxa"/>
            <w:tcBorders>
              <w:bottom w:val="single" w:sz="12" w:space="0" w:color="auto"/>
            </w:tcBorders>
          </w:tcPr>
          <w:p w14:paraId="32A9E2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Катап. сухоп. самол.</w:t>
            </w:r>
          </w:p>
        </w:tc>
        <w:tc>
          <w:tcPr>
            <w:tcW w:w="713" w:type="dxa"/>
            <w:tcBorders>
              <w:bottom w:val="single" w:sz="12" w:space="0" w:color="auto"/>
            </w:tcBorders>
          </w:tcPr>
          <w:p w14:paraId="3A6729F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Borders>
              <w:bottom w:val="single" w:sz="12" w:space="0" w:color="auto"/>
            </w:tcBorders>
          </w:tcPr>
          <w:p w14:paraId="22C140B9"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Borders>
              <w:bottom w:val="single" w:sz="12" w:space="0" w:color="auto"/>
            </w:tcBorders>
          </w:tcPr>
          <w:p w14:paraId="6ADCACD5"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Borders>
              <w:bottom w:val="single" w:sz="12" w:space="0" w:color="auto"/>
            </w:tcBorders>
          </w:tcPr>
          <w:p w14:paraId="2EDF46FD"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Borders>
              <w:bottom w:val="single" w:sz="12" w:space="0" w:color="auto"/>
            </w:tcBorders>
          </w:tcPr>
          <w:p w14:paraId="46B3290F"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Borders>
              <w:bottom w:val="single" w:sz="12" w:space="0" w:color="auto"/>
            </w:tcBorders>
          </w:tcPr>
          <w:p w14:paraId="623AF36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Borders>
              <w:bottom w:val="single" w:sz="12" w:space="0" w:color="auto"/>
            </w:tcBorders>
          </w:tcPr>
          <w:p w14:paraId="0A99614F"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Borders>
              <w:bottom w:val="single" w:sz="12" w:space="0" w:color="auto"/>
            </w:tcBorders>
          </w:tcPr>
          <w:p w14:paraId="3936DCD4"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Borders>
              <w:bottom w:val="single" w:sz="12" w:space="0" w:color="auto"/>
            </w:tcBorders>
          </w:tcPr>
          <w:p w14:paraId="08C295A6"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Borders>
              <w:bottom w:val="single" w:sz="12" w:space="0" w:color="auto"/>
            </w:tcBorders>
          </w:tcPr>
          <w:p w14:paraId="2BF3B29C" w14:textId="77777777" w:rsidR="00D4105E" w:rsidRPr="00E14102" w:rsidRDefault="00D4105E" w:rsidP="00E14102">
            <w:pPr>
              <w:autoSpaceDE w:val="0"/>
              <w:autoSpaceDN w:val="0"/>
              <w:adjustRightInd w:val="0"/>
              <w:jc w:val="both"/>
              <w:rPr>
                <w:color w:val="000000" w:themeColor="text1"/>
                <w:sz w:val="16"/>
                <w:szCs w:val="16"/>
              </w:rPr>
            </w:pPr>
          </w:p>
        </w:tc>
        <w:tc>
          <w:tcPr>
            <w:tcW w:w="713" w:type="dxa"/>
            <w:tcBorders>
              <w:bottom w:val="single" w:sz="12" w:space="0" w:color="auto"/>
            </w:tcBorders>
          </w:tcPr>
          <w:p w14:paraId="3F17D214" w14:textId="77777777" w:rsidR="00D4105E" w:rsidRPr="00E14102" w:rsidRDefault="00D4105E" w:rsidP="00E14102">
            <w:pPr>
              <w:autoSpaceDE w:val="0"/>
              <w:autoSpaceDN w:val="0"/>
              <w:adjustRightInd w:val="0"/>
              <w:jc w:val="both"/>
              <w:rPr>
                <w:color w:val="000000" w:themeColor="text1"/>
                <w:sz w:val="16"/>
                <w:szCs w:val="16"/>
              </w:rPr>
            </w:pPr>
          </w:p>
        </w:tc>
      </w:tr>
    </w:tbl>
    <w:p w14:paraId="185EED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всех самолетов обязательными являются следующие требования:</w:t>
      </w:r>
    </w:p>
    <w:p w14:paraId="0CCEF8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Подбор материала и типа констр., обеспечивающих неуменьшение прочности до -60</w:t>
      </w:r>
    </w:p>
    <w:p w14:paraId="7B179D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Безотказначяработа мотора при температуре +45 - -60</w:t>
      </w:r>
    </w:p>
    <w:p w14:paraId="54106B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Обогрев экипажа от мотора</w:t>
      </w:r>
    </w:p>
    <w:p w14:paraId="14F123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Удобство работы экипажа до высоты 6-9000 м до -60</w:t>
      </w:r>
    </w:p>
    <w:p w14:paraId="01DA2E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Безотказная работа ВМГ (гибкие шлангои, над. радиаторы).</w:t>
      </w:r>
    </w:p>
    <w:p w14:paraId="2A2630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Снабж. моторов самопусками, обеспеч. автономность</w:t>
      </w:r>
    </w:p>
    <w:p w14:paraId="162133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Снабжение баков протекторами</w:t>
      </w:r>
    </w:p>
    <w:p w14:paraId="12C8ED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Безотказность работы стрелк. установок до -60 и высоты 6-9000 м</w:t>
      </w:r>
    </w:p>
    <w:p w14:paraId="413B37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Свободная подвеска бомб и механизация подъема</w:t>
      </w:r>
    </w:p>
    <w:p w14:paraId="17CE49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высокая культура отделки как в целом, так и деталей</w:t>
      </w:r>
    </w:p>
    <w:p w14:paraId="5FE69F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p w14:paraId="2D7AF5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Все самолеты плана опытного строительства д. обладать запасом прочности, треб. действующими нормами. запас прочности опред. по основному, стоящему в плане первым варианту</w:t>
      </w:r>
    </w:p>
    <w:p w14:paraId="611F06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Приведенные в плане требования не относятся к самолетам, взятым из плана, утв. СТО 14 июля 1934, если ээск. проект и макет утверждены УВС</w:t>
      </w:r>
    </w:p>
    <w:p w14:paraId="7E5A26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Макс. скорость полета, стоящая в плане, д опред. без подвеш. хим вооружения и РС (2385).</w:t>
      </w:r>
    </w:p>
    <w:p w14:paraId="63959C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Достройка самолетов из плана, утвержденного СТО 14 июля 1934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454"/>
        <w:gridCol w:w="1454"/>
        <w:gridCol w:w="1454"/>
        <w:gridCol w:w="1454"/>
      </w:tblGrid>
      <w:tr w:rsidR="00E3599D" w:rsidRPr="00E14102" w14:paraId="3999A59B" w14:textId="77777777">
        <w:tc>
          <w:tcPr>
            <w:tcW w:w="2235" w:type="dxa"/>
            <w:tcBorders>
              <w:top w:val="single" w:sz="12" w:space="0" w:color="auto"/>
            </w:tcBorders>
          </w:tcPr>
          <w:p w14:paraId="7D996C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N и Наименование</w:t>
            </w:r>
          </w:p>
        </w:tc>
        <w:tc>
          <w:tcPr>
            <w:tcW w:w="1454" w:type="dxa"/>
            <w:tcBorders>
              <w:top w:val="single" w:sz="12" w:space="0" w:color="auto"/>
            </w:tcBorders>
          </w:tcPr>
          <w:p w14:paraId="01D78A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1454" w:type="dxa"/>
            <w:tcBorders>
              <w:top w:val="single" w:sz="12" w:space="0" w:color="auto"/>
            </w:tcBorders>
          </w:tcPr>
          <w:p w14:paraId="44F02621"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Borders>
              <w:top w:val="single" w:sz="12" w:space="0" w:color="auto"/>
            </w:tcBorders>
          </w:tcPr>
          <w:p w14:paraId="4BF38F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w:t>
            </w:r>
          </w:p>
        </w:tc>
        <w:tc>
          <w:tcPr>
            <w:tcW w:w="1454" w:type="dxa"/>
            <w:tcBorders>
              <w:top w:val="single" w:sz="12" w:space="0" w:color="auto"/>
            </w:tcBorders>
          </w:tcPr>
          <w:p w14:paraId="59D774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5CD2C7D7" w14:textId="77777777">
        <w:tc>
          <w:tcPr>
            <w:tcW w:w="2235" w:type="dxa"/>
          </w:tcPr>
          <w:p w14:paraId="5672ED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Опытные самолеты</w:t>
            </w:r>
          </w:p>
        </w:tc>
        <w:tc>
          <w:tcPr>
            <w:tcW w:w="1454" w:type="dxa"/>
          </w:tcPr>
          <w:p w14:paraId="120A1D7A"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2919865F"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5344B511"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0DE31CC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1391246" w14:textId="77777777">
        <w:tc>
          <w:tcPr>
            <w:tcW w:w="2235" w:type="dxa"/>
          </w:tcPr>
          <w:p w14:paraId="1D4977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И-17 М-100</w:t>
            </w:r>
          </w:p>
        </w:tc>
        <w:tc>
          <w:tcPr>
            <w:tcW w:w="1454" w:type="dxa"/>
          </w:tcPr>
          <w:p w14:paraId="268D32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1454" w:type="dxa"/>
          </w:tcPr>
          <w:p w14:paraId="11E6836A"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534C35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01.09.35</w:t>
            </w:r>
          </w:p>
        </w:tc>
        <w:tc>
          <w:tcPr>
            <w:tcW w:w="1454" w:type="dxa"/>
          </w:tcPr>
          <w:p w14:paraId="2DAE42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вар.: пул. и пуш.</w:t>
            </w:r>
          </w:p>
        </w:tc>
      </w:tr>
      <w:tr w:rsidR="00E3599D" w:rsidRPr="00E14102" w14:paraId="17E203DD" w14:textId="77777777">
        <w:tc>
          <w:tcPr>
            <w:tcW w:w="2235" w:type="dxa"/>
          </w:tcPr>
          <w:p w14:paraId="557EB3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ИП-3 М-25</w:t>
            </w:r>
          </w:p>
        </w:tc>
        <w:tc>
          <w:tcPr>
            <w:tcW w:w="1454" w:type="dxa"/>
          </w:tcPr>
          <w:p w14:paraId="78BE54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454" w:type="dxa"/>
          </w:tcPr>
          <w:p w14:paraId="38BC75A3"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30F9BE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01.08.35</w:t>
            </w:r>
          </w:p>
        </w:tc>
        <w:tc>
          <w:tcPr>
            <w:tcW w:w="1454" w:type="dxa"/>
          </w:tcPr>
          <w:p w14:paraId="780CA34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4BEC216" w14:textId="77777777">
        <w:tc>
          <w:tcPr>
            <w:tcW w:w="2235" w:type="dxa"/>
          </w:tcPr>
          <w:p w14:paraId="54BAF9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ДБ-2 2М-85</w:t>
            </w:r>
          </w:p>
        </w:tc>
        <w:tc>
          <w:tcPr>
            <w:tcW w:w="1454" w:type="dxa"/>
          </w:tcPr>
          <w:p w14:paraId="241574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454" w:type="dxa"/>
          </w:tcPr>
          <w:p w14:paraId="662D67D4"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76F52E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15.06.35</w:t>
            </w:r>
          </w:p>
        </w:tc>
        <w:tc>
          <w:tcPr>
            <w:tcW w:w="1454" w:type="dxa"/>
          </w:tcPr>
          <w:p w14:paraId="36F449C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80E371" w14:textId="77777777">
        <w:tc>
          <w:tcPr>
            <w:tcW w:w="2235" w:type="dxa"/>
          </w:tcPr>
          <w:p w14:paraId="3528B6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ДБ 4М-34</w:t>
            </w:r>
          </w:p>
        </w:tc>
        <w:tc>
          <w:tcPr>
            <w:tcW w:w="1454" w:type="dxa"/>
          </w:tcPr>
          <w:p w14:paraId="75F538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1454" w:type="dxa"/>
          </w:tcPr>
          <w:p w14:paraId="5B8974C3"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435150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01.09.35</w:t>
            </w:r>
          </w:p>
        </w:tc>
        <w:tc>
          <w:tcPr>
            <w:tcW w:w="1454" w:type="dxa"/>
          </w:tcPr>
          <w:p w14:paraId="2193D5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он же в гр. варианте</w:t>
            </w:r>
          </w:p>
        </w:tc>
      </w:tr>
      <w:tr w:rsidR="00E3599D" w:rsidRPr="00E14102" w14:paraId="7D07597F" w14:textId="77777777">
        <w:tc>
          <w:tcPr>
            <w:tcW w:w="2235" w:type="dxa"/>
          </w:tcPr>
          <w:p w14:paraId="4EA243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ФР М-25</w:t>
            </w:r>
          </w:p>
        </w:tc>
        <w:tc>
          <w:tcPr>
            <w:tcW w:w="1454" w:type="dxa"/>
          </w:tcPr>
          <w:p w14:paraId="4206B9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1454" w:type="dxa"/>
          </w:tcPr>
          <w:p w14:paraId="16FA4F89"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1BC9F4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01.06.35</w:t>
            </w:r>
          </w:p>
        </w:tc>
        <w:tc>
          <w:tcPr>
            <w:tcW w:w="1454" w:type="dxa"/>
          </w:tcPr>
          <w:p w14:paraId="2DC86CE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BE03A96" w14:textId="77777777">
        <w:tc>
          <w:tcPr>
            <w:tcW w:w="2235" w:type="dxa"/>
          </w:tcPr>
          <w:p w14:paraId="1E014D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И-21 М-100</w:t>
            </w:r>
          </w:p>
        </w:tc>
        <w:tc>
          <w:tcPr>
            <w:tcW w:w="1454" w:type="dxa"/>
          </w:tcPr>
          <w:p w14:paraId="32F6E0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СНИИ ГУГВФ</w:t>
            </w:r>
          </w:p>
        </w:tc>
        <w:tc>
          <w:tcPr>
            <w:tcW w:w="1454" w:type="dxa"/>
          </w:tcPr>
          <w:p w14:paraId="440F0EA6"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10B1DE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01.11.35</w:t>
            </w:r>
          </w:p>
        </w:tc>
        <w:tc>
          <w:tcPr>
            <w:tcW w:w="1454" w:type="dxa"/>
          </w:tcPr>
          <w:p w14:paraId="12A1951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0D9DA18" w14:textId="77777777">
        <w:tc>
          <w:tcPr>
            <w:tcW w:w="2235" w:type="dxa"/>
          </w:tcPr>
          <w:p w14:paraId="44347A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ДИ-8 2М-85</w:t>
            </w:r>
          </w:p>
        </w:tc>
        <w:tc>
          <w:tcPr>
            <w:tcW w:w="1454" w:type="dxa"/>
          </w:tcPr>
          <w:p w14:paraId="2C3A9A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454" w:type="dxa"/>
          </w:tcPr>
          <w:p w14:paraId="5F476FDB"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529B08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01.08.35</w:t>
            </w:r>
          </w:p>
        </w:tc>
        <w:tc>
          <w:tcPr>
            <w:tcW w:w="1454" w:type="dxa"/>
          </w:tcPr>
          <w:p w14:paraId="20A54F2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10C2E44" w14:textId="77777777">
        <w:tc>
          <w:tcPr>
            <w:tcW w:w="2235" w:type="dxa"/>
          </w:tcPr>
          <w:p w14:paraId="40907F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МБР-5 М-25</w:t>
            </w:r>
          </w:p>
        </w:tc>
        <w:tc>
          <w:tcPr>
            <w:tcW w:w="1454" w:type="dxa"/>
          </w:tcPr>
          <w:p w14:paraId="026B74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1454" w:type="dxa"/>
          </w:tcPr>
          <w:p w14:paraId="6F53F82C"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0364A1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01.08.35</w:t>
            </w:r>
          </w:p>
        </w:tc>
        <w:tc>
          <w:tcPr>
            <w:tcW w:w="1454" w:type="dxa"/>
          </w:tcPr>
          <w:p w14:paraId="4691C3A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51548D5" w14:textId="77777777">
        <w:tc>
          <w:tcPr>
            <w:tcW w:w="2235" w:type="dxa"/>
          </w:tcPr>
          <w:p w14:paraId="2B57DA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Экспериментальные самолеты и моторы</w:t>
            </w:r>
          </w:p>
        </w:tc>
        <w:tc>
          <w:tcPr>
            <w:tcW w:w="1454" w:type="dxa"/>
          </w:tcPr>
          <w:p w14:paraId="647638A5"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2667F287"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7CCFDDAF"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4D788F1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8CDEF47" w14:textId="77777777">
        <w:tc>
          <w:tcPr>
            <w:tcW w:w="2235" w:type="dxa"/>
          </w:tcPr>
          <w:p w14:paraId="3C97DC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ВС-2 2М-22</w:t>
            </w:r>
          </w:p>
        </w:tc>
        <w:tc>
          <w:tcPr>
            <w:tcW w:w="1454" w:type="dxa"/>
          </w:tcPr>
          <w:p w14:paraId="28E20C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1454" w:type="dxa"/>
          </w:tcPr>
          <w:p w14:paraId="030B6CE2"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685CDF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01.10.35</w:t>
            </w:r>
          </w:p>
        </w:tc>
        <w:tc>
          <w:tcPr>
            <w:tcW w:w="1454" w:type="dxa"/>
          </w:tcPr>
          <w:p w14:paraId="4DEDD9E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1D73648" w14:textId="77777777">
        <w:tc>
          <w:tcPr>
            <w:tcW w:w="2235" w:type="dxa"/>
          </w:tcPr>
          <w:p w14:paraId="4F6147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Стратосферный самолет</w:t>
            </w:r>
          </w:p>
        </w:tc>
        <w:tc>
          <w:tcPr>
            <w:tcW w:w="1454" w:type="dxa"/>
          </w:tcPr>
          <w:p w14:paraId="620638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w:t>
            </w:r>
          </w:p>
        </w:tc>
        <w:tc>
          <w:tcPr>
            <w:tcW w:w="1454" w:type="dxa"/>
          </w:tcPr>
          <w:p w14:paraId="23A0D331"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6BD2C6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01.08.35</w:t>
            </w:r>
          </w:p>
        </w:tc>
        <w:tc>
          <w:tcPr>
            <w:tcW w:w="1454" w:type="dxa"/>
          </w:tcPr>
          <w:p w14:paraId="10135CA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C5A0300" w14:textId="77777777">
        <w:tc>
          <w:tcPr>
            <w:tcW w:w="2235" w:type="dxa"/>
          </w:tcPr>
          <w:p w14:paraId="484A55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Истребит. лет. крыло</w:t>
            </w:r>
          </w:p>
        </w:tc>
        <w:tc>
          <w:tcPr>
            <w:tcW w:w="1454" w:type="dxa"/>
          </w:tcPr>
          <w:p w14:paraId="66BB23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454" w:type="dxa"/>
          </w:tcPr>
          <w:p w14:paraId="3459C2C5"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7291E2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01.11.35</w:t>
            </w:r>
          </w:p>
        </w:tc>
        <w:tc>
          <w:tcPr>
            <w:tcW w:w="1454" w:type="dxa"/>
          </w:tcPr>
          <w:p w14:paraId="619BAD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Черановский</w:t>
            </w:r>
          </w:p>
        </w:tc>
      </w:tr>
      <w:tr w:rsidR="00E3599D" w:rsidRPr="00E14102" w14:paraId="389DDFB1" w14:textId="77777777">
        <w:tc>
          <w:tcPr>
            <w:tcW w:w="2235" w:type="dxa"/>
          </w:tcPr>
          <w:p w14:paraId="1431D1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Скоростной автожир</w:t>
            </w:r>
          </w:p>
        </w:tc>
        <w:tc>
          <w:tcPr>
            <w:tcW w:w="1454" w:type="dxa"/>
          </w:tcPr>
          <w:p w14:paraId="564E0F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454" w:type="dxa"/>
          </w:tcPr>
          <w:p w14:paraId="0BA98BD8"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026684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01.12.35</w:t>
            </w:r>
          </w:p>
        </w:tc>
        <w:tc>
          <w:tcPr>
            <w:tcW w:w="1454" w:type="dxa"/>
          </w:tcPr>
          <w:p w14:paraId="31E4FBD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131F3AC" w14:textId="77777777">
        <w:tc>
          <w:tcPr>
            <w:tcW w:w="2235" w:type="dxa"/>
          </w:tcPr>
          <w:p w14:paraId="1B9B54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Геликоптер</w:t>
            </w:r>
          </w:p>
        </w:tc>
        <w:tc>
          <w:tcPr>
            <w:tcW w:w="1454" w:type="dxa"/>
          </w:tcPr>
          <w:p w14:paraId="3103C7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454" w:type="dxa"/>
          </w:tcPr>
          <w:p w14:paraId="78F9E591"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25E8E3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01.07.35</w:t>
            </w:r>
          </w:p>
        </w:tc>
        <w:tc>
          <w:tcPr>
            <w:tcW w:w="1454" w:type="dxa"/>
          </w:tcPr>
          <w:p w14:paraId="726ED6C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B9420F1" w14:textId="77777777">
        <w:tc>
          <w:tcPr>
            <w:tcW w:w="2235" w:type="dxa"/>
          </w:tcPr>
          <w:p w14:paraId="145DD8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Работа по взл. и посадке</w:t>
            </w:r>
          </w:p>
        </w:tc>
        <w:tc>
          <w:tcPr>
            <w:tcW w:w="1454" w:type="dxa"/>
          </w:tcPr>
          <w:p w14:paraId="6F4CC6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1454" w:type="dxa"/>
          </w:tcPr>
          <w:p w14:paraId="6F5B6178"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Pr>
          <w:p w14:paraId="1FB730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1935-1936 (2385)</w:t>
            </w:r>
          </w:p>
        </w:tc>
        <w:tc>
          <w:tcPr>
            <w:tcW w:w="1454" w:type="dxa"/>
          </w:tcPr>
          <w:p w14:paraId="51CE8A1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82FB374" w14:textId="77777777">
        <w:tc>
          <w:tcPr>
            <w:tcW w:w="2235" w:type="dxa"/>
            <w:tcBorders>
              <w:bottom w:val="single" w:sz="12" w:space="0" w:color="auto"/>
            </w:tcBorders>
          </w:tcPr>
          <w:p w14:paraId="7CC0AB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истребителей с ТБ</w:t>
            </w:r>
          </w:p>
        </w:tc>
        <w:tc>
          <w:tcPr>
            <w:tcW w:w="1454" w:type="dxa"/>
            <w:tcBorders>
              <w:bottom w:val="single" w:sz="12" w:space="0" w:color="auto"/>
            </w:tcBorders>
          </w:tcPr>
          <w:p w14:paraId="067386F0"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Borders>
              <w:bottom w:val="single" w:sz="12" w:space="0" w:color="auto"/>
            </w:tcBorders>
          </w:tcPr>
          <w:p w14:paraId="190C5179"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Borders>
              <w:bottom w:val="single" w:sz="12" w:space="0" w:color="auto"/>
            </w:tcBorders>
          </w:tcPr>
          <w:p w14:paraId="089E4FD9" w14:textId="77777777" w:rsidR="00D4105E" w:rsidRPr="00E14102" w:rsidRDefault="00D4105E" w:rsidP="00E14102">
            <w:pPr>
              <w:autoSpaceDE w:val="0"/>
              <w:autoSpaceDN w:val="0"/>
              <w:adjustRightInd w:val="0"/>
              <w:jc w:val="both"/>
              <w:rPr>
                <w:color w:val="000000" w:themeColor="text1"/>
                <w:sz w:val="16"/>
                <w:szCs w:val="16"/>
              </w:rPr>
            </w:pPr>
          </w:p>
        </w:tc>
        <w:tc>
          <w:tcPr>
            <w:tcW w:w="1454" w:type="dxa"/>
            <w:tcBorders>
              <w:bottom w:val="single" w:sz="12" w:space="0" w:color="auto"/>
            </w:tcBorders>
          </w:tcPr>
          <w:p w14:paraId="3C69F6D9" w14:textId="77777777" w:rsidR="00D4105E" w:rsidRPr="00E14102" w:rsidRDefault="00D4105E" w:rsidP="00E14102">
            <w:pPr>
              <w:autoSpaceDE w:val="0"/>
              <w:autoSpaceDN w:val="0"/>
              <w:adjustRightInd w:val="0"/>
              <w:jc w:val="both"/>
              <w:rPr>
                <w:color w:val="000000" w:themeColor="text1"/>
                <w:sz w:val="16"/>
                <w:szCs w:val="16"/>
              </w:rPr>
            </w:pPr>
          </w:p>
        </w:tc>
      </w:tr>
    </w:tbl>
    <w:p w14:paraId="690454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Объяснительная записка к плану опытного самолето и моторостроению на 1935-36 гг.</w:t>
      </w:r>
    </w:p>
    <w:p w14:paraId="6619CB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План опытного самолето-моторостроения от 14.7.34 г. на сегодня устарел, причины этого:</w:t>
      </w:r>
    </w:p>
    <w:p w14:paraId="069BC2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 результате приобретения лицензий на 4 лучших мотора заграницей и успешного форсирования отечественного М34 для нас открылись новые возможности в моторостроении, дающие основные решительно повысить технические требования к моторам.</w:t>
      </w:r>
    </w:p>
    <w:p w14:paraId="206F10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Постройка первого авиадизеля АН1 дала нам технический опыт для расширения работ над двигателями тяжелого топлива.</w:t>
      </w:r>
    </w:p>
    <w:p w14:paraId="5FE1CA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Последние достижения в моторостроении заграницей требуют от нас скорейшего разрешения ряда совершенно новых принципиальных проблем моторостроения.</w:t>
      </w:r>
    </w:p>
    <w:p w14:paraId="742BE2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Летные данные самолетов плана 1934 г. устарели и отстают от наших возможностей сегодня на 50-100 километров в час.</w:t>
      </w:r>
    </w:p>
    <w:p w14:paraId="528BA5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Накопившийся опыт дает основание к пересмотру тактического назначения ряда самолетов и созданию плана более четко отражающего определенное направление в тактических требованиях к самолетам.</w:t>
      </w:r>
    </w:p>
    <w:p w14:paraId="526B23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На опыте подтверждена полезность децентрализации опытных работ путем создания конструкторских бюро на заводах и возможность возложения на заводы сложных конструкторских проблем.</w:t>
      </w:r>
    </w:p>
    <w:p w14:paraId="733F36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 План 1934 г. чрезмерно большим количеством типов и образцов самолетов показал вред этого и трудность осуществления его в намечаемые сроки, не предусматривавшие сложных и длительных работ по доводкам самолетов.</w:t>
      </w:r>
    </w:p>
    <w:p w14:paraId="5B0997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Новый план предусматривает:</w:t>
      </w:r>
    </w:p>
    <w:p w14:paraId="1A069A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Немедленную и широкую работу по модификации только что приобретенных лицензионных моторов (Райт-Циклон, Испано-Сюиза, Гном и Рон) без чего через 1-2 года они устареют и мы снова отстанем. Тоже и по мотору М34 - в части его форсажа.</w:t>
      </w:r>
    </w:p>
    <w:p w14:paraId="0A6096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Расширение фронта работ по дизелям главным образом по линии приближения их к требованиям современного самолетостроения.</w:t>
      </w:r>
    </w:p>
    <w:p w14:paraId="366F33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Повышение высотности моторов с 3-4000 м до 5-6000 м и больше путем создания двухскоростных нагнетателей турбокомпрессора и центрального наддува.</w:t>
      </w:r>
    </w:p>
    <w:p w14:paraId="632953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Повышение мощности мотора, надежности его работы и увеличения коэффициента использования его мощности за счет непосредственного впрыска, бесклапанного двигателя и винтов с переменным в полете шагом.</w:t>
      </w:r>
    </w:p>
    <w:p w14:paraId="438303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Продолжение работ по паро и газотурбинам.</w:t>
      </w:r>
    </w:p>
    <w:p w14:paraId="142C0F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Решительное увеличение скоростей самолетов: по бомбардировщикам с 350 до 450 км, разведчикам с 350-400 до 450-500 км, истребителям с 450 до 500-550 км, морским тяжелым машинам с 225 до 350 км и легким морским с 270 до 375 км.</w:t>
      </w:r>
    </w:p>
    <w:p w14:paraId="796A65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 Увеличение высотности и дальности самолетов.</w:t>
      </w:r>
    </w:p>
    <w:p w14:paraId="01BA8C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 Усиление вооружения самолетов, как за счет количества единиц предметов вооружения, так и за счет типов оружия (пушки, крупнокалиберные пулеметы) и более широкого использования химических средств борьбы.</w:t>
      </w:r>
    </w:p>
    <w:p w14:paraId="6CB100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Сокращение количества опытных самолетов с 36 по плану 1934 г. до 24 по новому плану, при одновременном создании более четкого тактического их назначения и повышения требования к их качеству.</w:t>
      </w:r>
    </w:p>
    <w:p w14:paraId="5D5B18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В итоге в плане мы имеем:</w:t>
      </w:r>
    </w:p>
    <w:p w14:paraId="0AB6F0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 моторам только один новый бензиновый двигатель и переключение всех сил на решение основных принципиально новых проблем (бесклапанный двигатель, двухтактный двигатель, непосредственный впрыск и т.д.), единственно могущих обеспечить задачу опережения заграничных моторов.</w:t>
      </w:r>
    </w:p>
    <w:p w14:paraId="27395F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 самолетам резкое улучшение всех летно-тактических данных.</w:t>
      </w:r>
    </w:p>
    <w:p w14:paraId="5F1168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Постановку задач по работе над обеспечением большей надежности работы мотора и прочности самолета, т.е. безопасности полета.</w:t>
      </w:r>
    </w:p>
    <w:p w14:paraId="39DA16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Как перспективу - включение в борьбу за рекорды высоты и скорости.</w:t>
      </w:r>
    </w:p>
    <w:p w14:paraId="7EA99A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Разрешение поставленных в новом плане крупнейших теоретических проблем моторостроения и задачи улучшения летно-тактических данных самолетов в таких размерах потребует громадного напряжения конструкторской мысли, решительного усиления научно-исследовательской работы и высокой культуры в производстве авиационной промышленности.</w:t>
      </w:r>
    </w:p>
    <w:p w14:paraId="4B934D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Осуществление этого плана резко поднимает уровень технической вооруженности Военно-Воздушных Сил РККА (2385).</w:t>
      </w:r>
    </w:p>
    <w:p w14:paraId="6D0D5908" w14:textId="77777777" w:rsidR="00D4105E" w:rsidRPr="00E14102" w:rsidRDefault="00D4105E" w:rsidP="00E14102">
      <w:pPr>
        <w:autoSpaceDE w:val="0"/>
        <w:autoSpaceDN w:val="0"/>
        <w:adjustRightInd w:val="0"/>
        <w:jc w:val="both"/>
        <w:rPr>
          <w:color w:val="000000" w:themeColor="text1"/>
          <w:sz w:val="16"/>
          <w:szCs w:val="16"/>
        </w:rPr>
      </w:pPr>
    </w:p>
    <w:p w14:paraId="341D88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апреля 1935 года вышло Постановление N С-39сс СТО О плане опытного строительства самолетов и моторов на 1935-36 г.г.</w:t>
      </w:r>
    </w:p>
    <w:p w14:paraId="6C040B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723E14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Утвердить план опытного строительства самолетов и моторов на 1935-1936 г.г. (приложение).</w:t>
      </w:r>
    </w:p>
    <w:p w14:paraId="529C88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Опытного моторо- и самолетостроения ВС РККА на 1935-1936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3827"/>
        <w:gridCol w:w="1754"/>
        <w:gridCol w:w="1754"/>
      </w:tblGrid>
      <w:tr w:rsidR="00E3599D" w:rsidRPr="00E14102" w14:paraId="4BD46674" w14:textId="77777777">
        <w:tc>
          <w:tcPr>
            <w:tcW w:w="3936" w:type="dxa"/>
            <w:tcBorders>
              <w:top w:val="single" w:sz="12" w:space="0" w:color="auto"/>
            </w:tcBorders>
          </w:tcPr>
          <w:p w14:paraId="5A3497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Моторостроение</w:t>
            </w:r>
          </w:p>
        </w:tc>
        <w:tc>
          <w:tcPr>
            <w:tcW w:w="3827" w:type="dxa"/>
            <w:tcBorders>
              <w:top w:val="single" w:sz="12" w:space="0" w:color="auto"/>
            </w:tcBorders>
          </w:tcPr>
          <w:p w14:paraId="2EB3B20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Borders>
              <w:top w:val="single" w:sz="12" w:space="0" w:color="auto"/>
            </w:tcBorders>
          </w:tcPr>
          <w:p w14:paraId="3EC1E38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Borders>
              <w:top w:val="single" w:sz="12" w:space="0" w:color="auto"/>
            </w:tcBorders>
          </w:tcPr>
          <w:p w14:paraId="2F4381B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4570C18" w14:textId="77777777">
        <w:tc>
          <w:tcPr>
            <w:tcW w:w="3936" w:type="dxa"/>
          </w:tcPr>
          <w:p w14:paraId="2E6B5E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Новые моторы</w:t>
            </w:r>
          </w:p>
        </w:tc>
        <w:tc>
          <w:tcPr>
            <w:tcW w:w="3827" w:type="dxa"/>
          </w:tcPr>
          <w:p w14:paraId="6818704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C98B1E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8ECED4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E9422FA" w14:textId="77777777">
        <w:tc>
          <w:tcPr>
            <w:tcW w:w="3936" w:type="dxa"/>
          </w:tcPr>
          <w:p w14:paraId="6A77A5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мотора</w:t>
            </w:r>
          </w:p>
        </w:tc>
        <w:tc>
          <w:tcPr>
            <w:tcW w:w="3827" w:type="dxa"/>
          </w:tcPr>
          <w:p w14:paraId="0B1A9C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бесклапанный мотор (бензиновый).</w:t>
            </w:r>
          </w:p>
        </w:tc>
        <w:tc>
          <w:tcPr>
            <w:tcW w:w="1754" w:type="dxa"/>
          </w:tcPr>
          <w:p w14:paraId="16E875D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EFDEDA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B7ED44B" w14:textId="77777777">
        <w:tc>
          <w:tcPr>
            <w:tcW w:w="3936" w:type="dxa"/>
          </w:tcPr>
          <w:p w14:paraId="340E80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каких самолетов предназначается</w:t>
            </w:r>
          </w:p>
        </w:tc>
        <w:tc>
          <w:tcPr>
            <w:tcW w:w="3827" w:type="dxa"/>
          </w:tcPr>
          <w:p w14:paraId="2B666FC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3D9DA0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78D86F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181E05" w14:textId="77777777">
        <w:tc>
          <w:tcPr>
            <w:tcW w:w="3936" w:type="dxa"/>
          </w:tcPr>
          <w:p w14:paraId="4BA32E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Номинальная мощность на высоте</w:t>
            </w:r>
          </w:p>
        </w:tc>
        <w:tc>
          <w:tcPr>
            <w:tcW w:w="3827" w:type="dxa"/>
          </w:tcPr>
          <w:p w14:paraId="4E2A2B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650-700 л.с./4000</w:t>
            </w:r>
          </w:p>
        </w:tc>
        <w:tc>
          <w:tcPr>
            <w:tcW w:w="1754" w:type="dxa"/>
          </w:tcPr>
          <w:p w14:paraId="42E4B57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B13365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582B2B2" w14:textId="77777777">
        <w:tc>
          <w:tcPr>
            <w:tcW w:w="3936" w:type="dxa"/>
          </w:tcPr>
          <w:p w14:paraId="37444F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мотора</w:t>
            </w:r>
          </w:p>
        </w:tc>
        <w:tc>
          <w:tcPr>
            <w:tcW w:w="3827" w:type="dxa"/>
          </w:tcPr>
          <w:p w14:paraId="52B2747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32B15C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6EE781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3153972" w14:textId="77777777">
        <w:tc>
          <w:tcPr>
            <w:tcW w:w="3936" w:type="dxa"/>
          </w:tcPr>
          <w:p w14:paraId="420E3F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 на л.с.ч.</w:t>
            </w:r>
          </w:p>
        </w:tc>
        <w:tc>
          <w:tcPr>
            <w:tcW w:w="3827" w:type="dxa"/>
          </w:tcPr>
          <w:p w14:paraId="37A39CC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AC32F6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CFE4E7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AFF8E45" w14:textId="77777777">
        <w:tc>
          <w:tcPr>
            <w:tcW w:w="3936" w:type="dxa"/>
          </w:tcPr>
          <w:p w14:paraId="70499A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52C4F3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54" w:type="dxa"/>
          </w:tcPr>
          <w:p w14:paraId="68C162A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DF3BF5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DF67C83" w14:textId="77777777">
        <w:tc>
          <w:tcPr>
            <w:tcW w:w="3936" w:type="dxa"/>
          </w:tcPr>
          <w:p w14:paraId="6901D2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06074F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года</w:t>
            </w:r>
          </w:p>
        </w:tc>
        <w:tc>
          <w:tcPr>
            <w:tcW w:w="1754" w:type="dxa"/>
          </w:tcPr>
          <w:p w14:paraId="6173996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AD1CEC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14CAC5E" w14:textId="77777777">
        <w:tc>
          <w:tcPr>
            <w:tcW w:w="3936" w:type="dxa"/>
          </w:tcPr>
          <w:p w14:paraId="04138D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тяжелом топливе</w:t>
            </w:r>
          </w:p>
        </w:tc>
        <w:tc>
          <w:tcPr>
            <w:tcW w:w="3827" w:type="dxa"/>
          </w:tcPr>
          <w:p w14:paraId="7D30CDC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452D70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91121D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8CAEDAD" w14:textId="77777777">
        <w:tc>
          <w:tcPr>
            <w:tcW w:w="3936" w:type="dxa"/>
          </w:tcPr>
          <w:p w14:paraId="257D7B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мотора</w:t>
            </w:r>
          </w:p>
        </w:tc>
        <w:tc>
          <w:tcPr>
            <w:tcW w:w="3827" w:type="dxa"/>
          </w:tcPr>
          <w:p w14:paraId="5A05FF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развитие опытного дизеля Н-1</w:t>
            </w:r>
          </w:p>
        </w:tc>
        <w:tc>
          <w:tcPr>
            <w:tcW w:w="1754" w:type="dxa"/>
          </w:tcPr>
          <w:p w14:paraId="331DB03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4FDD46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57B81CC" w14:textId="77777777">
        <w:tc>
          <w:tcPr>
            <w:tcW w:w="3936" w:type="dxa"/>
          </w:tcPr>
          <w:p w14:paraId="4C0CF9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каких самолетов предназначается</w:t>
            </w:r>
          </w:p>
        </w:tc>
        <w:tc>
          <w:tcPr>
            <w:tcW w:w="3827" w:type="dxa"/>
          </w:tcPr>
          <w:p w14:paraId="28D687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Дальний бомбардировщик</w:t>
            </w:r>
          </w:p>
        </w:tc>
        <w:tc>
          <w:tcPr>
            <w:tcW w:w="1754" w:type="dxa"/>
          </w:tcPr>
          <w:p w14:paraId="491D100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AFC209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B32DA6D" w14:textId="77777777">
        <w:tc>
          <w:tcPr>
            <w:tcW w:w="3936" w:type="dxa"/>
          </w:tcPr>
          <w:p w14:paraId="5E2F3E75"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557BF6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Морской дальний разведчик</w:t>
            </w:r>
          </w:p>
        </w:tc>
        <w:tc>
          <w:tcPr>
            <w:tcW w:w="1754" w:type="dxa"/>
          </w:tcPr>
          <w:p w14:paraId="0F9B51F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4A4A3F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448D2AB" w14:textId="77777777">
        <w:tc>
          <w:tcPr>
            <w:tcW w:w="3936" w:type="dxa"/>
          </w:tcPr>
          <w:p w14:paraId="78F25B11"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049C82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Дальний разведчик</w:t>
            </w:r>
          </w:p>
        </w:tc>
        <w:tc>
          <w:tcPr>
            <w:tcW w:w="1754" w:type="dxa"/>
          </w:tcPr>
          <w:p w14:paraId="0341952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604E16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B57733C" w14:textId="77777777">
        <w:tc>
          <w:tcPr>
            <w:tcW w:w="3936" w:type="dxa"/>
          </w:tcPr>
          <w:p w14:paraId="78C699D7"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7608B2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Транспортный</w:t>
            </w:r>
          </w:p>
        </w:tc>
        <w:tc>
          <w:tcPr>
            <w:tcW w:w="1754" w:type="dxa"/>
          </w:tcPr>
          <w:p w14:paraId="46BDC35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8FADF5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1EA9C44" w14:textId="77777777">
        <w:tc>
          <w:tcPr>
            <w:tcW w:w="3936" w:type="dxa"/>
          </w:tcPr>
          <w:p w14:paraId="74ECA2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Номинальная мощность на высоте</w:t>
            </w:r>
          </w:p>
        </w:tc>
        <w:tc>
          <w:tcPr>
            <w:tcW w:w="3827" w:type="dxa"/>
          </w:tcPr>
          <w:p w14:paraId="35189E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 л.с./3000</w:t>
            </w:r>
          </w:p>
        </w:tc>
        <w:tc>
          <w:tcPr>
            <w:tcW w:w="1754" w:type="dxa"/>
          </w:tcPr>
          <w:p w14:paraId="0C8C4CC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D69764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0101A74" w14:textId="77777777">
        <w:tc>
          <w:tcPr>
            <w:tcW w:w="3936" w:type="dxa"/>
          </w:tcPr>
          <w:p w14:paraId="3079B1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мотора</w:t>
            </w:r>
          </w:p>
        </w:tc>
        <w:tc>
          <w:tcPr>
            <w:tcW w:w="3827" w:type="dxa"/>
          </w:tcPr>
          <w:p w14:paraId="47AA8C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950-975</w:t>
            </w:r>
          </w:p>
        </w:tc>
        <w:tc>
          <w:tcPr>
            <w:tcW w:w="1754" w:type="dxa"/>
          </w:tcPr>
          <w:p w14:paraId="74D0D9C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B3FF7B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10248A6" w14:textId="77777777">
        <w:tc>
          <w:tcPr>
            <w:tcW w:w="3936" w:type="dxa"/>
          </w:tcPr>
          <w:p w14:paraId="74D393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 на л.с.ч.</w:t>
            </w:r>
          </w:p>
        </w:tc>
        <w:tc>
          <w:tcPr>
            <w:tcW w:w="3827" w:type="dxa"/>
          </w:tcPr>
          <w:p w14:paraId="73C416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170-180</w:t>
            </w:r>
          </w:p>
        </w:tc>
        <w:tc>
          <w:tcPr>
            <w:tcW w:w="1754" w:type="dxa"/>
          </w:tcPr>
          <w:p w14:paraId="448DCB0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EB3C11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2FD6B5F" w14:textId="77777777">
        <w:tc>
          <w:tcPr>
            <w:tcW w:w="3936" w:type="dxa"/>
          </w:tcPr>
          <w:p w14:paraId="6FA9C6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5F3F26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54" w:type="dxa"/>
          </w:tcPr>
          <w:p w14:paraId="14A8DCE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D2E444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C47558A" w14:textId="77777777">
        <w:tc>
          <w:tcPr>
            <w:tcW w:w="3936" w:type="dxa"/>
          </w:tcPr>
          <w:p w14:paraId="2F0CFB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2021A4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1754" w:type="dxa"/>
          </w:tcPr>
          <w:p w14:paraId="45ABCB3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AA0F79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9787608" w14:textId="77777777">
        <w:tc>
          <w:tcPr>
            <w:tcW w:w="3936" w:type="dxa"/>
          </w:tcPr>
          <w:p w14:paraId="17A968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мотора</w:t>
            </w:r>
          </w:p>
        </w:tc>
        <w:tc>
          <w:tcPr>
            <w:tcW w:w="3827" w:type="dxa"/>
          </w:tcPr>
          <w:p w14:paraId="5915EB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дизель двухрядная звезда АН-3</w:t>
            </w:r>
          </w:p>
        </w:tc>
        <w:tc>
          <w:tcPr>
            <w:tcW w:w="1754" w:type="dxa"/>
          </w:tcPr>
          <w:p w14:paraId="38EB7E4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D574ED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0057458" w14:textId="77777777">
        <w:tc>
          <w:tcPr>
            <w:tcW w:w="3936" w:type="dxa"/>
          </w:tcPr>
          <w:p w14:paraId="7D54E8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каких самолетов предназначается</w:t>
            </w:r>
          </w:p>
        </w:tc>
        <w:tc>
          <w:tcPr>
            <w:tcW w:w="3827" w:type="dxa"/>
          </w:tcPr>
          <w:p w14:paraId="3D5F97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дальние разведчики</w:t>
            </w:r>
          </w:p>
        </w:tc>
        <w:tc>
          <w:tcPr>
            <w:tcW w:w="1754" w:type="dxa"/>
          </w:tcPr>
          <w:p w14:paraId="173D398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2D4928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26C1711" w14:textId="77777777">
        <w:tc>
          <w:tcPr>
            <w:tcW w:w="3936" w:type="dxa"/>
          </w:tcPr>
          <w:p w14:paraId="7C4D3C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Номинальная мощность на высоте</w:t>
            </w:r>
          </w:p>
        </w:tc>
        <w:tc>
          <w:tcPr>
            <w:tcW w:w="3827" w:type="dxa"/>
          </w:tcPr>
          <w:p w14:paraId="3A0837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 л.с./3000-5000</w:t>
            </w:r>
          </w:p>
        </w:tc>
        <w:tc>
          <w:tcPr>
            <w:tcW w:w="1754" w:type="dxa"/>
          </w:tcPr>
          <w:p w14:paraId="6839589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B088F3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FD3ADD9" w14:textId="77777777">
        <w:tc>
          <w:tcPr>
            <w:tcW w:w="3936" w:type="dxa"/>
          </w:tcPr>
          <w:p w14:paraId="57BD9D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мотора</w:t>
            </w:r>
          </w:p>
        </w:tc>
        <w:tc>
          <w:tcPr>
            <w:tcW w:w="3827" w:type="dxa"/>
          </w:tcPr>
          <w:p w14:paraId="203EC6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w:t>
            </w:r>
          </w:p>
        </w:tc>
        <w:tc>
          <w:tcPr>
            <w:tcW w:w="1754" w:type="dxa"/>
          </w:tcPr>
          <w:p w14:paraId="2346818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2E2BF5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66C8F6E" w14:textId="77777777">
        <w:tc>
          <w:tcPr>
            <w:tcW w:w="3936" w:type="dxa"/>
          </w:tcPr>
          <w:p w14:paraId="66C122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 на л.с.ч.</w:t>
            </w:r>
          </w:p>
        </w:tc>
        <w:tc>
          <w:tcPr>
            <w:tcW w:w="3827" w:type="dxa"/>
          </w:tcPr>
          <w:p w14:paraId="1A59D7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w:t>
            </w:r>
          </w:p>
        </w:tc>
        <w:tc>
          <w:tcPr>
            <w:tcW w:w="1754" w:type="dxa"/>
          </w:tcPr>
          <w:p w14:paraId="03AD03A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F71A8F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8A53212" w14:textId="77777777">
        <w:tc>
          <w:tcPr>
            <w:tcW w:w="3936" w:type="dxa"/>
          </w:tcPr>
          <w:p w14:paraId="6DC75E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14824C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54" w:type="dxa"/>
          </w:tcPr>
          <w:p w14:paraId="65C3031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55BAA6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A38FA63" w14:textId="77777777">
        <w:tc>
          <w:tcPr>
            <w:tcW w:w="3936" w:type="dxa"/>
          </w:tcPr>
          <w:p w14:paraId="647EB1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6B7261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года</w:t>
            </w:r>
          </w:p>
        </w:tc>
        <w:tc>
          <w:tcPr>
            <w:tcW w:w="1754" w:type="dxa"/>
          </w:tcPr>
          <w:p w14:paraId="1E024CE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94DD6D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7442866" w14:textId="77777777">
        <w:tc>
          <w:tcPr>
            <w:tcW w:w="3936" w:type="dxa"/>
          </w:tcPr>
          <w:p w14:paraId="16EA65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мотора</w:t>
            </w:r>
          </w:p>
        </w:tc>
        <w:tc>
          <w:tcPr>
            <w:tcW w:w="3827" w:type="dxa"/>
          </w:tcPr>
          <w:p w14:paraId="3943FE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двухтактный дизель Н-4</w:t>
            </w:r>
          </w:p>
        </w:tc>
        <w:tc>
          <w:tcPr>
            <w:tcW w:w="1754" w:type="dxa"/>
          </w:tcPr>
          <w:p w14:paraId="008332F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44647F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BA0D203" w14:textId="77777777">
        <w:tc>
          <w:tcPr>
            <w:tcW w:w="3936" w:type="dxa"/>
          </w:tcPr>
          <w:p w14:paraId="6CCEA9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каких самолетов предназначается</w:t>
            </w:r>
          </w:p>
        </w:tc>
        <w:tc>
          <w:tcPr>
            <w:tcW w:w="3827" w:type="dxa"/>
          </w:tcPr>
          <w:p w14:paraId="4F4B27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дальние разведчики</w:t>
            </w:r>
          </w:p>
        </w:tc>
        <w:tc>
          <w:tcPr>
            <w:tcW w:w="1754" w:type="dxa"/>
          </w:tcPr>
          <w:p w14:paraId="112B59A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71AD66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FA25DEE" w14:textId="77777777">
        <w:tc>
          <w:tcPr>
            <w:tcW w:w="3936" w:type="dxa"/>
          </w:tcPr>
          <w:p w14:paraId="13A5A2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Номинальная мощность на высоте</w:t>
            </w:r>
          </w:p>
        </w:tc>
        <w:tc>
          <w:tcPr>
            <w:tcW w:w="3827" w:type="dxa"/>
          </w:tcPr>
          <w:p w14:paraId="545F45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 л.с./3000-5000</w:t>
            </w:r>
          </w:p>
        </w:tc>
        <w:tc>
          <w:tcPr>
            <w:tcW w:w="1754" w:type="dxa"/>
          </w:tcPr>
          <w:p w14:paraId="6606B49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A4A4E1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5690DBB" w14:textId="77777777">
        <w:tc>
          <w:tcPr>
            <w:tcW w:w="3936" w:type="dxa"/>
          </w:tcPr>
          <w:p w14:paraId="12FA7F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мотора</w:t>
            </w:r>
          </w:p>
        </w:tc>
        <w:tc>
          <w:tcPr>
            <w:tcW w:w="3827" w:type="dxa"/>
          </w:tcPr>
          <w:p w14:paraId="2EFFFD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w:t>
            </w:r>
          </w:p>
        </w:tc>
        <w:tc>
          <w:tcPr>
            <w:tcW w:w="1754" w:type="dxa"/>
          </w:tcPr>
          <w:p w14:paraId="2DB8EDB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A84D84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AA0708C" w14:textId="77777777">
        <w:tc>
          <w:tcPr>
            <w:tcW w:w="3936" w:type="dxa"/>
          </w:tcPr>
          <w:p w14:paraId="6A4089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 на л.с.ч.</w:t>
            </w:r>
          </w:p>
        </w:tc>
        <w:tc>
          <w:tcPr>
            <w:tcW w:w="3827" w:type="dxa"/>
          </w:tcPr>
          <w:p w14:paraId="48F2CF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w:t>
            </w:r>
          </w:p>
        </w:tc>
        <w:tc>
          <w:tcPr>
            <w:tcW w:w="1754" w:type="dxa"/>
          </w:tcPr>
          <w:p w14:paraId="260DF43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05E3EE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AE4E548" w14:textId="77777777">
        <w:tc>
          <w:tcPr>
            <w:tcW w:w="3936" w:type="dxa"/>
          </w:tcPr>
          <w:p w14:paraId="380A87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06EAC3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1754" w:type="dxa"/>
          </w:tcPr>
          <w:p w14:paraId="774A9E3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4A3CC6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4ACC6E8" w14:textId="77777777">
        <w:tc>
          <w:tcPr>
            <w:tcW w:w="3936" w:type="dxa"/>
          </w:tcPr>
          <w:p w14:paraId="5A3CC3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68264A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года</w:t>
            </w:r>
          </w:p>
        </w:tc>
        <w:tc>
          <w:tcPr>
            <w:tcW w:w="1754" w:type="dxa"/>
          </w:tcPr>
          <w:p w14:paraId="2002AB9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17C9D5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671A26A" w14:textId="77777777">
        <w:tc>
          <w:tcPr>
            <w:tcW w:w="3936" w:type="dxa"/>
          </w:tcPr>
          <w:p w14:paraId="335783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мотора</w:t>
            </w:r>
          </w:p>
        </w:tc>
        <w:tc>
          <w:tcPr>
            <w:tcW w:w="3827" w:type="dxa"/>
          </w:tcPr>
          <w:p w14:paraId="3F6B21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Дизель Н-3</w:t>
            </w:r>
          </w:p>
        </w:tc>
        <w:tc>
          <w:tcPr>
            <w:tcW w:w="1754" w:type="dxa"/>
          </w:tcPr>
          <w:p w14:paraId="0BE3F43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31DB9E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6390B42" w14:textId="77777777">
        <w:tc>
          <w:tcPr>
            <w:tcW w:w="3936" w:type="dxa"/>
          </w:tcPr>
          <w:p w14:paraId="3070B1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каких самолетов предназначается</w:t>
            </w:r>
          </w:p>
        </w:tc>
        <w:tc>
          <w:tcPr>
            <w:tcW w:w="3827" w:type="dxa"/>
          </w:tcPr>
          <w:p w14:paraId="6E6956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дальние разведчики</w:t>
            </w:r>
          </w:p>
        </w:tc>
        <w:tc>
          <w:tcPr>
            <w:tcW w:w="1754" w:type="dxa"/>
          </w:tcPr>
          <w:p w14:paraId="5A1FEF6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6304E5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DEAD1DE" w14:textId="77777777">
        <w:tc>
          <w:tcPr>
            <w:tcW w:w="3936" w:type="dxa"/>
          </w:tcPr>
          <w:p w14:paraId="6571C5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Номинальная мощность на высоте</w:t>
            </w:r>
          </w:p>
        </w:tc>
        <w:tc>
          <w:tcPr>
            <w:tcW w:w="3827" w:type="dxa"/>
          </w:tcPr>
          <w:p w14:paraId="58B8A0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 л.с./4000-5000</w:t>
            </w:r>
          </w:p>
        </w:tc>
        <w:tc>
          <w:tcPr>
            <w:tcW w:w="1754" w:type="dxa"/>
          </w:tcPr>
          <w:p w14:paraId="3DEBE91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E592B9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8CEDED4" w14:textId="77777777">
        <w:tc>
          <w:tcPr>
            <w:tcW w:w="3936" w:type="dxa"/>
          </w:tcPr>
          <w:p w14:paraId="148215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мотора</w:t>
            </w:r>
          </w:p>
        </w:tc>
        <w:tc>
          <w:tcPr>
            <w:tcW w:w="3827" w:type="dxa"/>
          </w:tcPr>
          <w:p w14:paraId="5D7DDA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w:t>
            </w:r>
          </w:p>
        </w:tc>
        <w:tc>
          <w:tcPr>
            <w:tcW w:w="1754" w:type="dxa"/>
          </w:tcPr>
          <w:p w14:paraId="4042DE7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05DC80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32DC4F" w14:textId="77777777">
        <w:tc>
          <w:tcPr>
            <w:tcW w:w="3936" w:type="dxa"/>
          </w:tcPr>
          <w:p w14:paraId="034726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 на л.с.ч.</w:t>
            </w:r>
          </w:p>
        </w:tc>
        <w:tc>
          <w:tcPr>
            <w:tcW w:w="3827" w:type="dxa"/>
          </w:tcPr>
          <w:p w14:paraId="5B948B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w:t>
            </w:r>
          </w:p>
        </w:tc>
        <w:tc>
          <w:tcPr>
            <w:tcW w:w="1754" w:type="dxa"/>
          </w:tcPr>
          <w:p w14:paraId="6CCB886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73DF02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A31539E" w14:textId="77777777">
        <w:tc>
          <w:tcPr>
            <w:tcW w:w="3936" w:type="dxa"/>
          </w:tcPr>
          <w:p w14:paraId="003AC2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693A0A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УНИДИ ГУГВФ</w:t>
            </w:r>
          </w:p>
        </w:tc>
        <w:tc>
          <w:tcPr>
            <w:tcW w:w="1754" w:type="dxa"/>
          </w:tcPr>
          <w:p w14:paraId="72C125F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6DA927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74C7AB8" w14:textId="77777777">
        <w:tc>
          <w:tcPr>
            <w:tcW w:w="3936" w:type="dxa"/>
          </w:tcPr>
          <w:p w14:paraId="1161A8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6A85F5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года</w:t>
            </w:r>
          </w:p>
        </w:tc>
        <w:tc>
          <w:tcPr>
            <w:tcW w:w="1754" w:type="dxa"/>
          </w:tcPr>
          <w:p w14:paraId="3038204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43BDAF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34C2AC1" w14:textId="77777777">
        <w:tc>
          <w:tcPr>
            <w:tcW w:w="3936" w:type="dxa"/>
          </w:tcPr>
          <w:p w14:paraId="0C0CAC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Турбины</w:t>
            </w:r>
          </w:p>
        </w:tc>
        <w:tc>
          <w:tcPr>
            <w:tcW w:w="3827" w:type="dxa"/>
          </w:tcPr>
          <w:p w14:paraId="5D4FF00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EB8054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4B01CC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56D3B69" w14:textId="77777777">
        <w:tc>
          <w:tcPr>
            <w:tcW w:w="3936" w:type="dxa"/>
          </w:tcPr>
          <w:p w14:paraId="1C10CD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мотора</w:t>
            </w:r>
          </w:p>
        </w:tc>
        <w:tc>
          <w:tcPr>
            <w:tcW w:w="3827" w:type="dxa"/>
          </w:tcPr>
          <w:p w14:paraId="4BA032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паровая турбина ПТ-3</w:t>
            </w:r>
          </w:p>
        </w:tc>
        <w:tc>
          <w:tcPr>
            <w:tcW w:w="1754" w:type="dxa"/>
          </w:tcPr>
          <w:p w14:paraId="5BC1261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BDE2CE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82A0DF6" w14:textId="77777777">
        <w:tc>
          <w:tcPr>
            <w:tcW w:w="3936" w:type="dxa"/>
          </w:tcPr>
          <w:p w14:paraId="3A8D0C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каких самолетов предназначается</w:t>
            </w:r>
          </w:p>
        </w:tc>
        <w:tc>
          <w:tcPr>
            <w:tcW w:w="3827" w:type="dxa"/>
          </w:tcPr>
          <w:p w14:paraId="50219C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Дальний бомбардировщик</w:t>
            </w:r>
          </w:p>
        </w:tc>
        <w:tc>
          <w:tcPr>
            <w:tcW w:w="1754" w:type="dxa"/>
          </w:tcPr>
          <w:p w14:paraId="347A75E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90A389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337AE28" w14:textId="77777777">
        <w:tc>
          <w:tcPr>
            <w:tcW w:w="3936" w:type="dxa"/>
          </w:tcPr>
          <w:p w14:paraId="0066820B"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779794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Морской дальний разведчик</w:t>
            </w:r>
          </w:p>
        </w:tc>
        <w:tc>
          <w:tcPr>
            <w:tcW w:w="1754" w:type="dxa"/>
          </w:tcPr>
          <w:p w14:paraId="0D1E195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6BEDD2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B5B035C" w14:textId="77777777">
        <w:tc>
          <w:tcPr>
            <w:tcW w:w="3936" w:type="dxa"/>
          </w:tcPr>
          <w:p w14:paraId="3A21382E"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27751C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Крейсер</w:t>
            </w:r>
          </w:p>
        </w:tc>
        <w:tc>
          <w:tcPr>
            <w:tcW w:w="1754" w:type="dxa"/>
          </w:tcPr>
          <w:p w14:paraId="52C3A75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6F6F67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973802" w14:textId="77777777">
        <w:tc>
          <w:tcPr>
            <w:tcW w:w="3936" w:type="dxa"/>
          </w:tcPr>
          <w:p w14:paraId="2D9CB4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Номинальная мощность на высоте</w:t>
            </w:r>
          </w:p>
        </w:tc>
        <w:tc>
          <w:tcPr>
            <w:tcW w:w="3827" w:type="dxa"/>
          </w:tcPr>
          <w:p w14:paraId="6FB6B8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 л.с./5000</w:t>
            </w:r>
          </w:p>
        </w:tc>
        <w:tc>
          <w:tcPr>
            <w:tcW w:w="1754" w:type="dxa"/>
          </w:tcPr>
          <w:p w14:paraId="4FD5577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688865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257A0C4" w14:textId="77777777">
        <w:tc>
          <w:tcPr>
            <w:tcW w:w="3936" w:type="dxa"/>
          </w:tcPr>
          <w:p w14:paraId="0A4C94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мотора</w:t>
            </w:r>
          </w:p>
        </w:tc>
        <w:tc>
          <w:tcPr>
            <w:tcW w:w="3827" w:type="dxa"/>
          </w:tcPr>
          <w:p w14:paraId="36ED6C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 кг</w:t>
            </w:r>
          </w:p>
        </w:tc>
        <w:tc>
          <w:tcPr>
            <w:tcW w:w="1754" w:type="dxa"/>
          </w:tcPr>
          <w:p w14:paraId="4D64757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1FA81F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D62F333" w14:textId="77777777">
        <w:tc>
          <w:tcPr>
            <w:tcW w:w="3936" w:type="dxa"/>
          </w:tcPr>
          <w:p w14:paraId="16BF4B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 на л.с.ч.</w:t>
            </w:r>
          </w:p>
        </w:tc>
        <w:tc>
          <w:tcPr>
            <w:tcW w:w="3827" w:type="dxa"/>
          </w:tcPr>
          <w:p w14:paraId="43B124B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DDAA5D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8194B1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83E4C6E" w14:textId="77777777">
        <w:tc>
          <w:tcPr>
            <w:tcW w:w="3936" w:type="dxa"/>
          </w:tcPr>
          <w:p w14:paraId="28189B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530BE1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ГУГВФ</w:t>
            </w:r>
          </w:p>
        </w:tc>
        <w:tc>
          <w:tcPr>
            <w:tcW w:w="1754" w:type="dxa"/>
          </w:tcPr>
          <w:p w14:paraId="09D1DD0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318C4A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591BD12" w14:textId="77777777">
        <w:tc>
          <w:tcPr>
            <w:tcW w:w="3936" w:type="dxa"/>
          </w:tcPr>
          <w:p w14:paraId="090716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6FF797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1754" w:type="dxa"/>
          </w:tcPr>
          <w:p w14:paraId="08894E2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68709D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3B56486" w14:textId="77777777">
        <w:tc>
          <w:tcPr>
            <w:tcW w:w="3936" w:type="dxa"/>
          </w:tcPr>
          <w:p w14:paraId="530F43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мотора</w:t>
            </w:r>
          </w:p>
        </w:tc>
        <w:tc>
          <w:tcPr>
            <w:tcW w:w="3827" w:type="dxa"/>
          </w:tcPr>
          <w:p w14:paraId="0B9643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паровая турбина ПТ-6</w:t>
            </w:r>
          </w:p>
        </w:tc>
        <w:tc>
          <w:tcPr>
            <w:tcW w:w="1754" w:type="dxa"/>
          </w:tcPr>
          <w:p w14:paraId="1EB602B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792543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D20F75C" w14:textId="77777777">
        <w:tc>
          <w:tcPr>
            <w:tcW w:w="3936" w:type="dxa"/>
          </w:tcPr>
          <w:p w14:paraId="70DE38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каких самолетов предназначается</w:t>
            </w:r>
          </w:p>
        </w:tc>
        <w:tc>
          <w:tcPr>
            <w:tcW w:w="3827" w:type="dxa"/>
          </w:tcPr>
          <w:p w14:paraId="1826AB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Дальний бомбардировщик</w:t>
            </w:r>
          </w:p>
        </w:tc>
        <w:tc>
          <w:tcPr>
            <w:tcW w:w="1754" w:type="dxa"/>
          </w:tcPr>
          <w:p w14:paraId="1E8C212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0E004B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22CAC3E" w14:textId="77777777">
        <w:tc>
          <w:tcPr>
            <w:tcW w:w="3936" w:type="dxa"/>
          </w:tcPr>
          <w:p w14:paraId="64BE3DF7"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715C25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Крейсер</w:t>
            </w:r>
          </w:p>
        </w:tc>
        <w:tc>
          <w:tcPr>
            <w:tcW w:w="1754" w:type="dxa"/>
          </w:tcPr>
          <w:p w14:paraId="770DFBC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E8151D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BD66DB3" w14:textId="77777777">
        <w:tc>
          <w:tcPr>
            <w:tcW w:w="3936" w:type="dxa"/>
          </w:tcPr>
          <w:p w14:paraId="36D8C7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Номинальная мощность на высоте</w:t>
            </w:r>
          </w:p>
        </w:tc>
        <w:tc>
          <w:tcPr>
            <w:tcW w:w="3827" w:type="dxa"/>
          </w:tcPr>
          <w:p w14:paraId="35639E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6000 л.с./5000</w:t>
            </w:r>
          </w:p>
        </w:tc>
        <w:tc>
          <w:tcPr>
            <w:tcW w:w="1754" w:type="dxa"/>
          </w:tcPr>
          <w:p w14:paraId="49BC15E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FA158B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441D131" w14:textId="77777777">
        <w:tc>
          <w:tcPr>
            <w:tcW w:w="3936" w:type="dxa"/>
          </w:tcPr>
          <w:p w14:paraId="6C3B75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мотора</w:t>
            </w:r>
          </w:p>
        </w:tc>
        <w:tc>
          <w:tcPr>
            <w:tcW w:w="3827" w:type="dxa"/>
          </w:tcPr>
          <w:p w14:paraId="4023D4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9000</w:t>
            </w:r>
          </w:p>
        </w:tc>
        <w:tc>
          <w:tcPr>
            <w:tcW w:w="1754" w:type="dxa"/>
          </w:tcPr>
          <w:p w14:paraId="39A0E82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CF6D47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D21DC6E" w14:textId="77777777">
        <w:tc>
          <w:tcPr>
            <w:tcW w:w="3936" w:type="dxa"/>
          </w:tcPr>
          <w:p w14:paraId="7C0317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 на л.с.ч.</w:t>
            </w:r>
          </w:p>
        </w:tc>
        <w:tc>
          <w:tcPr>
            <w:tcW w:w="3827" w:type="dxa"/>
          </w:tcPr>
          <w:p w14:paraId="1DA197E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B4E265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02240E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BBD642A" w14:textId="77777777">
        <w:tc>
          <w:tcPr>
            <w:tcW w:w="3936" w:type="dxa"/>
          </w:tcPr>
          <w:p w14:paraId="371226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4E48B7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1754" w:type="dxa"/>
          </w:tcPr>
          <w:p w14:paraId="56A61A6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D4F716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41FD965" w14:textId="77777777">
        <w:tc>
          <w:tcPr>
            <w:tcW w:w="3936" w:type="dxa"/>
          </w:tcPr>
          <w:p w14:paraId="1BB875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0E808B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w:t>
            </w:r>
          </w:p>
        </w:tc>
        <w:tc>
          <w:tcPr>
            <w:tcW w:w="1754" w:type="dxa"/>
          </w:tcPr>
          <w:p w14:paraId="74863BB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CAF175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DB4F711" w14:textId="77777777">
        <w:tc>
          <w:tcPr>
            <w:tcW w:w="3936" w:type="dxa"/>
          </w:tcPr>
          <w:p w14:paraId="14E3E1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мотора</w:t>
            </w:r>
          </w:p>
        </w:tc>
        <w:tc>
          <w:tcPr>
            <w:tcW w:w="3827" w:type="dxa"/>
          </w:tcPr>
          <w:p w14:paraId="055424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газовая турбина</w:t>
            </w:r>
          </w:p>
        </w:tc>
        <w:tc>
          <w:tcPr>
            <w:tcW w:w="1754" w:type="dxa"/>
          </w:tcPr>
          <w:p w14:paraId="0800672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281EED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2351E72" w14:textId="77777777">
        <w:tc>
          <w:tcPr>
            <w:tcW w:w="3936" w:type="dxa"/>
          </w:tcPr>
          <w:p w14:paraId="427700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каких самолетов предназначается</w:t>
            </w:r>
          </w:p>
        </w:tc>
        <w:tc>
          <w:tcPr>
            <w:tcW w:w="3827" w:type="dxa"/>
          </w:tcPr>
          <w:p w14:paraId="6A665F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Дальний бомбардировщик</w:t>
            </w:r>
          </w:p>
        </w:tc>
        <w:tc>
          <w:tcPr>
            <w:tcW w:w="1754" w:type="dxa"/>
          </w:tcPr>
          <w:p w14:paraId="7473900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069497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5AAE504" w14:textId="77777777">
        <w:tc>
          <w:tcPr>
            <w:tcW w:w="3936" w:type="dxa"/>
          </w:tcPr>
          <w:p w14:paraId="3ADDD3AE"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6B0E93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Крейсер</w:t>
            </w:r>
          </w:p>
        </w:tc>
        <w:tc>
          <w:tcPr>
            <w:tcW w:w="1754" w:type="dxa"/>
          </w:tcPr>
          <w:p w14:paraId="292A4A3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66D999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591476E" w14:textId="77777777">
        <w:tc>
          <w:tcPr>
            <w:tcW w:w="3936" w:type="dxa"/>
          </w:tcPr>
          <w:p w14:paraId="4820A1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Номинальная мощность на высоте</w:t>
            </w:r>
          </w:p>
        </w:tc>
        <w:tc>
          <w:tcPr>
            <w:tcW w:w="3827" w:type="dxa"/>
          </w:tcPr>
          <w:p w14:paraId="26D2E8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6000 л.с./5000</w:t>
            </w:r>
          </w:p>
        </w:tc>
        <w:tc>
          <w:tcPr>
            <w:tcW w:w="1754" w:type="dxa"/>
          </w:tcPr>
          <w:p w14:paraId="04288B5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276E08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E4AF338" w14:textId="77777777">
        <w:tc>
          <w:tcPr>
            <w:tcW w:w="3936" w:type="dxa"/>
          </w:tcPr>
          <w:p w14:paraId="716E28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мотора</w:t>
            </w:r>
          </w:p>
        </w:tc>
        <w:tc>
          <w:tcPr>
            <w:tcW w:w="3827" w:type="dxa"/>
          </w:tcPr>
          <w:p w14:paraId="2A0F7D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754" w:type="dxa"/>
          </w:tcPr>
          <w:p w14:paraId="2F3E6DD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9098BF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CB469B7" w14:textId="77777777">
        <w:tc>
          <w:tcPr>
            <w:tcW w:w="3936" w:type="dxa"/>
          </w:tcPr>
          <w:p w14:paraId="2C6194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 на л.с.ч.</w:t>
            </w:r>
          </w:p>
        </w:tc>
        <w:tc>
          <w:tcPr>
            <w:tcW w:w="3827" w:type="dxa"/>
          </w:tcPr>
          <w:p w14:paraId="368C733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52D9D5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1FAC71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15DC955" w14:textId="77777777">
        <w:tc>
          <w:tcPr>
            <w:tcW w:w="3936" w:type="dxa"/>
          </w:tcPr>
          <w:p w14:paraId="004859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729830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Теплотехнический институт</w:t>
            </w:r>
          </w:p>
        </w:tc>
        <w:tc>
          <w:tcPr>
            <w:tcW w:w="1754" w:type="dxa"/>
          </w:tcPr>
          <w:p w14:paraId="538930D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122713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D8D26A8" w14:textId="77777777">
        <w:tc>
          <w:tcPr>
            <w:tcW w:w="3936" w:type="dxa"/>
          </w:tcPr>
          <w:p w14:paraId="76019B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36C573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w:t>
            </w:r>
          </w:p>
        </w:tc>
        <w:tc>
          <w:tcPr>
            <w:tcW w:w="1754" w:type="dxa"/>
          </w:tcPr>
          <w:p w14:paraId="4FE37C2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51DA69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A45804E" w14:textId="77777777">
        <w:tc>
          <w:tcPr>
            <w:tcW w:w="3936" w:type="dxa"/>
          </w:tcPr>
          <w:p w14:paraId="6B10C4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Модификации серийных моторов</w:t>
            </w:r>
          </w:p>
        </w:tc>
        <w:tc>
          <w:tcPr>
            <w:tcW w:w="3827" w:type="dxa"/>
          </w:tcPr>
          <w:p w14:paraId="7D423D8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13F156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C259EB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9A33F88" w14:textId="77777777">
        <w:tc>
          <w:tcPr>
            <w:tcW w:w="3936" w:type="dxa"/>
          </w:tcPr>
          <w:p w14:paraId="07581D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мотора</w:t>
            </w:r>
          </w:p>
        </w:tc>
        <w:tc>
          <w:tcPr>
            <w:tcW w:w="3827" w:type="dxa"/>
          </w:tcPr>
          <w:p w14:paraId="5A6831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М34ФРН и ФН первый этап</w:t>
            </w:r>
          </w:p>
        </w:tc>
        <w:tc>
          <w:tcPr>
            <w:tcW w:w="1754" w:type="dxa"/>
          </w:tcPr>
          <w:p w14:paraId="6A2E3D5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AF37A3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8C5B1E0" w14:textId="77777777">
        <w:tc>
          <w:tcPr>
            <w:tcW w:w="3936" w:type="dxa"/>
          </w:tcPr>
          <w:p w14:paraId="46C911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по высотам</w:t>
            </w:r>
          </w:p>
        </w:tc>
        <w:tc>
          <w:tcPr>
            <w:tcW w:w="3827" w:type="dxa"/>
          </w:tcPr>
          <w:p w14:paraId="2ABCFE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1150/0</w:t>
            </w:r>
          </w:p>
        </w:tc>
        <w:tc>
          <w:tcPr>
            <w:tcW w:w="1754" w:type="dxa"/>
          </w:tcPr>
          <w:p w14:paraId="2F6A25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1050/3000</w:t>
            </w:r>
          </w:p>
        </w:tc>
        <w:tc>
          <w:tcPr>
            <w:tcW w:w="1754" w:type="dxa"/>
          </w:tcPr>
          <w:p w14:paraId="162D09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850/4500</w:t>
            </w:r>
          </w:p>
        </w:tc>
      </w:tr>
      <w:tr w:rsidR="00E3599D" w:rsidRPr="00E14102" w14:paraId="6AB5EA84" w14:textId="77777777">
        <w:tc>
          <w:tcPr>
            <w:tcW w:w="3936" w:type="dxa"/>
          </w:tcPr>
          <w:p w14:paraId="3345D6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мотора</w:t>
            </w:r>
          </w:p>
        </w:tc>
        <w:tc>
          <w:tcPr>
            <w:tcW w:w="3827" w:type="dxa"/>
          </w:tcPr>
          <w:p w14:paraId="195092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710*</w:t>
            </w:r>
          </w:p>
        </w:tc>
        <w:tc>
          <w:tcPr>
            <w:tcW w:w="1754" w:type="dxa"/>
          </w:tcPr>
          <w:p w14:paraId="431AF8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630</w:t>
            </w:r>
          </w:p>
        </w:tc>
        <w:tc>
          <w:tcPr>
            <w:tcW w:w="1754" w:type="dxa"/>
          </w:tcPr>
          <w:p w14:paraId="7CB5EF9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950AB9D" w14:textId="77777777">
        <w:tc>
          <w:tcPr>
            <w:tcW w:w="3936" w:type="dxa"/>
          </w:tcPr>
          <w:p w14:paraId="5FF2C8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w:t>
            </w:r>
          </w:p>
        </w:tc>
        <w:tc>
          <w:tcPr>
            <w:tcW w:w="3827" w:type="dxa"/>
          </w:tcPr>
          <w:p w14:paraId="0008B4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255-265</w:t>
            </w:r>
          </w:p>
        </w:tc>
        <w:tc>
          <w:tcPr>
            <w:tcW w:w="1754" w:type="dxa"/>
          </w:tcPr>
          <w:p w14:paraId="690C887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0DC2A5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0F8216A" w14:textId="77777777">
        <w:tc>
          <w:tcPr>
            <w:tcW w:w="3936" w:type="dxa"/>
          </w:tcPr>
          <w:p w14:paraId="66D46A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3827" w:type="dxa"/>
          </w:tcPr>
          <w:p w14:paraId="7E018B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N24</w:t>
            </w:r>
          </w:p>
        </w:tc>
        <w:tc>
          <w:tcPr>
            <w:tcW w:w="1754" w:type="dxa"/>
          </w:tcPr>
          <w:p w14:paraId="1C449D2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F4CD0E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92D08EB" w14:textId="77777777">
        <w:tc>
          <w:tcPr>
            <w:tcW w:w="3936" w:type="dxa"/>
          </w:tcPr>
          <w:p w14:paraId="1A26A9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Срок предъявления на гос. испытания</w:t>
            </w:r>
          </w:p>
        </w:tc>
        <w:tc>
          <w:tcPr>
            <w:tcW w:w="3827" w:type="dxa"/>
          </w:tcPr>
          <w:p w14:paraId="582EB9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1754" w:type="dxa"/>
          </w:tcPr>
          <w:p w14:paraId="13839C9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B1B162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0C0F789" w14:textId="77777777">
        <w:tc>
          <w:tcPr>
            <w:tcW w:w="3936" w:type="dxa"/>
          </w:tcPr>
          <w:p w14:paraId="6FBBEE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*710 с редуктором</w:t>
            </w:r>
          </w:p>
        </w:tc>
        <w:tc>
          <w:tcPr>
            <w:tcW w:w="3827" w:type="dxa"/>
          </w:tcPr>
          <w:p w14:paraId="17C4D04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476978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4A09D5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03540B2" w14:textId="77777777">
        <w:tc>
          <w:tcPr>
            <w:tcW w:w="3936" w:type="dxa"/>
          </w:tcPr>
          <w:p w14:paraId="25E50F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мотора</w:t>
            </w:r>
          </w:p>
        </w:tc>
        <w:tc>
          <w:tcPr>
            <w:tcW w:w="3827" w:type="dxa"/>
          </w:tcPr>
          <w:p w14:paraId="5FA194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М34ФРН и ФН второй этап</w:t>
            </w:r>
          </w:p>
        </w:tc>
        <w:tc>
          <w:tcPr>
            <w:tcW w:w="1754" w:type="dxa"/>
          </w:tcPr>
          <w:p w14:paraId="54BF47D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933B86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796D05F" w14:textId="77777777">
        <w:tc>
          <w:tcPr>
            <w:tcW w:w="3936" w:type="dxa"/>
          </w:tcPr>
          <w:p w14:paraId="75FFD6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по высотам</w:t>
            </w:r>
          </w:p>
        </w:tc>
        <w:tc>
          <w:tcPr>
            <w:tcW w:w="3827" w:type="dxa"/>
          </w:tcPr>
          <w:p w14:paraId="72CAB9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1150/0</w:t>
            </w:r>
          </w:p>
        </w:tc>
        <w:tc>
          <w:tcPr>
            <w:tcW w:w="1754" w:type="dxa"/>
          </w:tcPr>
          <w:p w14:paraId="663682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1000/5000</w:t>
            </w:r>
          </w:p>
        </w:tc>
        <w:tc>
          <w:tcPr>
            <w:tcW w:w="1754" w:type="dxa"/>
          </w:tcPr>
          <w:p w14:paraId="542DAEC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21F0FC0" w14:textId="77777777">
        <w:tc>
          <w:tcPr>
            <w:tcW w:w="3936" w:type="dxa"/>
          </w:tcPr>
          <w:p w14:paraId="6FC4C2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мотора</w:t>
            </w:r>
          </w:p>
        </w:tc>
        <w:tc>
          <w:tcPr>
            <w:tcW w:w="3827" w:type="dxa"/>
          </w:tcPr>
          <w:p w14:paraId="6A6D2B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680*</w:t>
            </w:r>
          </w:p>
        </w:tc>
        <w:tc>
          <w:tcPr>
            <w:tcW w:w="1754" w:type="dxa"/>
          </w:tcPr>
          <w:p w14:paraId="792CD6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1754" w:type="dxa"/>
          </w:tcPr>
          <w:p w14:paraId="482081C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D3F7D0C" w14:textId="77777777">
        <w:tc>
          <w:tcPr>
            <w:tcW w:w="3936" w:type="dxa"/>
          </w:tcPr>
          <w:p w14:paraId="1CAC00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w:t>
            </w:r>
          </w:p>
        </w:tc>
        <w:tc>
          <w:tcPr>
            <w:tcW w:w="3827" w:type="dxa"/>
          </w:tcPr>
          <w:p w14:paraId="0D9D3BB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407F0C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FAD0FA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3FE91D4" w14:textId="77777777">
        <w:tc>
          <w:tcPr>
            <w:tcW w:w="3936" w:type="dxa"/>
          </w:tcPr>
          <w:p w14:paraId="17AD12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3827" w:type="dxa"/>
          </w:tcPr>
          <w:p w14:paraId="65A5A3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N24</w:t>
            </w:r>
          </w:p>
        </w:tc>
        <w:tc>
          <w:tcPr>
            <w:tcW w:w="1754" w:type="dxa"/>
          </w:tcPr>
          <w:p w14:paraId="1E88825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5FC881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312BC1E" w14:textId="77777777">
        <w:tc>
          <w:tcPr>
            <w:tcW w:w="3936" w:type="dxa"/>
          </w:tcPr>
          <w:p w14:paraId="082D75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52FC5A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года</w:t>
            </w:r>
          </w:p>
        </w:tc>
        <w:tc>
          <w:tcPr>
            <w:tcW w:w="1754" w:type="dxa"/>
          </w:tcPr>
          <w:p w14:paraId="362ED21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D3FC91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CF4CBF0" w14:textId="77777777">
        <w:tc>
          <w:tcPr>
            <w:tcW w:w="3936" w:type="dxa"/>
          </w:tcPr>
          <w:p w14:paraId="10C7A4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*680 с редуктором</w:t>
            </w:r>
          </w:p>
        </w:tc>
        <w:tc>
          <w:tcPr>
            <w:tcW w:w="3827" w:type="dxa"/>
          </w:tcPr>
          <w:p w14:paraId="55F6791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B90F2E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2C43A1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9EEB7EC" w14:textId="77777777">
        <w:tc>
          <w:tcPr>
            <w:tcW w:w="3936" w:type="dxa"/>
          </w:tcPr>
          <w:p w14:paraId="464072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мотора</w:t>
            </w:r>
          </w:p>
        </w:tc>
        <w:tc>
          <w:tcPr>
            <w:tcW w:w="3827" w:type="dxa"/>
          </w:tcPr>
          <w:p w14:paraId="316D01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М86 (развитие К9 и К14)</w:t>
            </w:r>
          </w:p>
        </w:tc>
        <w:tc>
          <w:tcPr>
            <w:tcW w:w="1754" w:type="dxa"/>
          </w:tcPr>
          <w:p w14:paraId="3DE196C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262233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9D9B75A" w14:textId="77777777">
        <w:tc>
          <w:tcPr>
            <w:tcW w:w="3936" w:type="dxa"/>
          </w:tcPr>
          <w:p w14:paraId="3612AD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по высотам</w:t>
            </w:r>
          </w:p>
        </w:tc>
        <w:tc>
          <w:tcPr>
            <w:tcW w:w="3827" w:type="dxa"/>
          </w:tcPr>
          <w:p w14:paraId="059BCB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1030/3850</w:t>
            </w:r>
          </w:p>
        </w:tc>
        <w:tc>
          <w:tcPr>
            <w:tcW w:w="1754" w:type="dxa"/>
          </w:tcPr>
          <w:p w14:paraId="44DEFC8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989E31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62D1713" w14:textId="77777777">
        <w:tc>
          <w:tcPr>
            <w:tcW w:w="3936" w:type="dxa"/>
          </w:tcPr>
          <w:p w14:paraId="305BFB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мотора</w:t>
            </w:r>
          </w:p>
        </w:tc>
        <w:tc>
          <w:tcPr>
            <w:tcW w:w="3827" w:type="dxa"/>
          </w:tcPr>
          <w:p w14:paraId="53C35E6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9099B8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0A0DC3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D3BE15F" w14:textId="77777777">
        <w:tc>
          <w:tcPr>
            <w:tcW w:w="3936" w:type="dxa"/>
          </w:tcPr>
          <w:p w14:paraId="4ADB1F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w:t>
            </w:r>
          </w:p>
        </w:tc>
        <w:tc>
          <w:tcPr>
            <w:tcW w:w="3827" w:type="dxa"/>
          </w:tcPr>
          <w:p w14:paraId="535CE4A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DBCE2D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25620F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1D596D9" w14:textId="77777777">
        <w:tc>
          <w:tcPr>
            <w:tcW w:w="3936" w:type="dxa"/>
          </w:tcPr>
          <w:p w14:paraId="7D41EF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3827" w:type="dxa"/>
          </w:tcPr>
          <w:p w14:paraId="658BE5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N29</w:t>
            </w:r>
          </w:p>
        </w:tc>
        <w:tc>
          <w:tcPr>
            <w:tcW w:w="1754" w:type="dxa"/>
          </w:tcPr>
          <w:p w14:paraId="42DDCD5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21BDC0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1DFF66C" w14:textId="77777777">
        <w:tc>
          <w:tcPr>
            <w:tcW w:w="3936" w:type="dxa"/>
          </w:tcPr>
          <w:p w14:paraId="4A08B8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4B8EA3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w:t>
            </w:r>
          </w:p>
        </w:tc>
        <w:tc>
          <w:tcPr>
            <w:tcW w:w="1754" w:type="dxa"/>
          </w:tcPr>
          <w:p w14:paraId="3A155B2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057583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8BA3923" w14:textId="77777777">
        <w:tc>
          <w:tcPr>
            <w:tcW w:w="3936" w:type="dxa"/>
          </w:tcPr>
          <w:p w14:paraId="57FD48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мотора</w:t>
            </w:r>
          </w:p>
        </w:tc>
        <w:tc>
          <w:tcPr>
            <w:tcW w:w="3827" w:type="dxa"/>
          </w:tcPr>
          <w:p w14:paraId="2ADEC9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развитие М-100</w:t>
            </w:r>
          </w:p>
        </w:tc>
        <w:tc>
          <w:tcPr>
            <w:tcW w:w="1754" w:type="dxa"/>
          </w:tcPr>
          <w:p w14:paraId="3FF165F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AE1850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A3F40E2" w14:textId="77777777">
        <w:tc>
          <w:tcPr>
            <w:tcW w:w="3936" w:type="dxa"/>
          </w:tcPr>
          <w:p w14:paraId="0B2EBF65"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1B714A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развитие М-25</w:t>
            </w:r>
          </w:p>
        </w:tc>
        <w:tc>
          <w:tcPr>
            <w:tcW w:w="1754" w:type="dxa"/>
          </w:tcPr>
          <w:p w14:paraId="644B9A0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360F90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5A55D5D" w14:textId="77777777">
        <w:tc>
          <w:tcPr>
            <w:tcW w:w="3936" w:type="dxa"/>
          </w:tcPr>
          <w:p w14:paraId="67A924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Согласно утвержденного наркомом тяжелой </w:t>
            </w:r>
          </w:p>
        </w:tc>
        <w:tc>
          <w:tcPr>
            <w:tcW w:w="3827" w:type="dxa"/>
          </w:tcPr>
          <w:p w14:paraId="5EDC9DF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0A6117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DF89CD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0DFA3A5" w14:textId="77777777">
        <w:tc>
          <w:tcPr>
            <w:tcW w:w="3936" w:type="dxa"/>
          </w:tcPr>
          <w:p w14:paraId="03FB85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промышленности плана </w:t>
            </w:r>
          </w:p>
        </w:tc>
        <w:tc>
          <w:tcPr>
            <w:tcW w:w="3827" w:type="dxa"/>
          </w:tcPr>
          <w:p w14:paraId="63352C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(см. Приложение).</w:t>
            </w:r>
          </w:p>
        </w:tc>
        <w:tc>
          <w:tcPr>
            <w:tcW w:w="1754" w:type="dxa"/>
          </w:tcPr>
          <w:p w14:paraId="0A052BF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37454A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50FC02D" w14:textId="77777777">
        <w:tc>
          <w:tcPr>
            <w:tcW w:w="3936" w:type="dxa"/>
          </w:tcPr>
          <w:p w14:paraId="3E95AD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мотора</w:t>
            </w:r>
          </w:p>
        </w:tc>
        <w:tc>
          <w:tcPr>
            <w:tcW w:w="3827" w:type="dxa"/>
          </w:tcPr>
          <w:p w14:paraId="0F38BE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сдваивание М-25</w:t>
            </w:r>
          </w:p>
        </w:tc>
        <w:tc>
          <w:tcPr>
            <w:tcW w:w="1754" w:type="dxa"/>
          </w:tcPr>
          <w:p w14:paraId="0EEC583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C01330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E8DB671" w14:textId="77777777">
        <w:tc>
          <w:tcPr>
            <w:tcW w:w="3936" w:type="dxa"/>
          </w:tcPr>
          <w:p w14:paraId="784C6B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по высотам</w:t>
            </w:r>
          </w:p>
        </w:tc>
        <w:tc>
          <w:tcPr>
            <w:tcW w:w="3827" w:type="dxa"/>
          </w:tcPr>
          <w:p w14:paraId="26BFDA1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91DFE8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EB9F23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3ABC7E9" w14:textId="77777777">
        <w:tc>
          <w:tcPr>
            <w:tcW w:w="3936" w:type="dxa"/>
          </w:tcPr>
          <w:p w14:paraId="5D9CE9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мотора</w:t>
            </w:r>
          </w:p>
        </w:tc>
        <w:tc>
          <w:tcPr>
            <w:tcW w:w="3827" w:type="dxa"/>
          </w:tcPr>
          <w:p w14:paraId="67A8C69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0D8929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F7D442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B606845" w14:textId="77777777">
        <w:tc>
          <w:tcPr>
            <w:tcW w:w="3936" w:type="dxa"/>
          </w:tcPr>
          <w:p w14:paraId="1020FD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w:t>
            </w:r>
          </w:p>
        </w:tc>
        <w:tc>
          <w:tcPr>
            <w:tcW w:w="3827" w:type="dxa"/>
          </w:tcPr>
          <w:p w14:paraId="5CA1592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4E5BDC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CAF47B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9256CB4" w14:textId="77777777">
        <w:tc>
          <w:tcPr>
            <w:tcW w:w="3936" w:type="dxa"/>
          </w:tcPr>
          <w:p w14:paraId="5C8CD8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3827" w:type="dxa"/>
          </w:tcPr>
          <w:p w14:paraId="225BE5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N19</w:t>
            </w:r>
          </w:p>
        </w:tc>
        <w:tc>
          <w:tcPr>
            <w:tcW w:w="1754" w:type="dxa"/>
          </w:tcPr>
          <w:p w14:paraId="3A8C924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DD4008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12FA79" w14:textId="77777777">
        <w:tc>
          <w:tcPr>
            <w:tcW w:w="3936" w:type="dxa"/>
          </w:tcPr>
          <w:p w14:paraId="7BC7DC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3D5794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 года</w:t>
            </w:r>
          </w:p>
        </w:tc>
        <w:tc>
          <w:tcPr>
            <w:tcW w:w="1754" w:type="dxa"/>
          </w:tcPr>
          <w:p w14:paraId="63DC61B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89E258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5FE89A8" w14:textId="77777777">
        <w:tc>
          <w:tcPr>
            <w:tcW w:w="3936" w:type="dxa"/>
          </w:tcPr>
          <w:p w14:paraId="211FB7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моторы плана опытного строительства должны быть снабжены:</w:t>
            </w:r>
          </w:p>
        </w:tc>
        <w:tc>
          <w:tcPr>
            <w:tcW w:w="3827" w:type="dxa"/>
          </w:tcPr>
          <w:p w14:paraId="58D1233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A3FE48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02E945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9D97F6" w14:textId="77777777">
        <w:tc>
          <w:tcPr>
            <w:tcW w:w="3936" w:type="dxa"/>
          </w:tcPr>
          <w:p w14:paraId="10F3AB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Экранированным зажиганием.</w:t>
            </w:r>
          </w:p>
        </w:tc>
        <w:tc>
          <w:tcPr>
            <w:tcW w:w="3827" w:type="dxa"/>
          </w:tcPr>
          <w:p w14:paraId="6F0CF34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EDE64F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4D4B7D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6ED944A" w14:textId="77777777">
        <w:tc>
          <w:tcPr>
            <w:tcW w:w="3936" w:type="dxa"/>
          </w:tcPr>
          <w:p w14:paraId="1BDB7E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Самопуском.</w:t>
            </w:r>
          </w:p>
        </w:tc>
        <w:tc>
          <w:tcPr>
            <w:tcW w:w="3827" w:type="dxa"/>
          </w:tcPr>
          <w:p w14:paraId="4E93AEC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2A61A2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945698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137EC00" w14:textId="77777777">
        <w:tc>
          <w:tcPr>
            <w:tcW w:w="3936" w:type="dxa"/>
          </w:tcPr>
          <w:p w14:paraId="235EC2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Приводами к динамо.</w:t>
            </w:r>
          </w:p>
        </w:tc>
        <w:tc>
          <w:tcPr>
            <w:tcW w:w="3827" w:type="dxa"/>
          </w:tcPr>
          <w:p w14:paraId="055BB6F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A868CE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6D840B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8342EF6" w14:textId="77777777">
        <w:tc>
          <w:tcPr>
            <w:tcW w:w="3936" w:type="dxa"/>
          </w:tcPr>
          <w:p w14:paraId="496579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Новые агрегаты</w:t>
            </w:r>
          </w:p>
        </w:tc>
        <w:tc>
          <w:tcPr>
            <w:tcW w:w="3827" w:type="dxa"/>
          </w:tcPr>
          <w:p w14:paraId="5504DAE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64E0E5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B89955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168DD2B" w14:textId="77777777">
        <w:tc>
          <w:tcPr>
            <w:tcW w:w="3936" w:type="dxa"/>
          </w:tcPr>
          <w:p w14:paraId="24FA57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Экспериментальное моторостроение</w:t>
            </w:r>
          </w:p>
        </w:tc>
        <w:tc>
          <w:tcPr>
            <w:tcW w:w="3827" w:type="dxa"/>
          </w:tcPr>
          <w:p w14:paraId="330C00A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E81F38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A68CC0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205E906" w14:textId="77777777">
        <w:tc>
          <w:tcPr>
            <w:tcW w:w="3936" w:type="dxa"/>
          </w:tcPr>
          <w:p w14:paraId="5EF9C1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w:t>
            </w:r>
          </w:p>
        </w:tc>
        <w:tc>
          <w:tcPr>
            <w:tcW w:w="3827" w:type="dxa"/>
          </w:tcPr>
          <w:p w14:paraId="2E8696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 для рекордн. скоростного самолета</w:t>
            </w:r>
          </w:p>
        </w:tc>
        <w:tc>
          <w:tcPr>
            <w:tcW w:w="1754" w:type="dxa"/>
          </w:tcPr>
          <w:p w14:paraId="7C50675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3990FF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D8E9378" w14:textId="77777777">
        <w:tc>
          <w:tcPr>
            <w:tcW w:w="3936" w:type="dxa"/>
          </w:tcPr>
          <w:p w14:paraId="07C93571"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4D13F4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для рекордн. высотного самолета</w:t>
            </w:r>
          </w:p>
        </w:tc>
        <w:tc>
          <w:tcPr>
            <w:tcW w:w="1754" w:type="dxa"/>
          </w:tcPr>
          <w:p w14:paraId="119BE63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4DC2BF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5326E3B" w14:textId="77777777">
        <w:tc>
          <w:tcPr>
            <w:tcW w:w="3936" w:type="dxa"/>
          </w:tcPr>
          <w:p w14:paraId="51BC310B"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3BB253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НКТП и НКО в 2-х месячный срок представить</w:t>
            </w:r>
          </w:p>
        </w:tc>
        <w:tc>
          <w:tcPr>
            <w:tcW w:w="1754" w:type="dxa"/>
          </w:tcPr>
          <w:p w14:paraId="434013A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C3E82F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36D569D" w14:textId="77777777">
        <w:tc>
          <w:tcPr>
            <w:tcW w:w="3936" w:type="dxa"/>
          </w:tcPr>
          <w:p w14:paraId="0ABBB1FE"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5DA807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по этим моторам</w:t>
            </w:r>
          </w:p>
        </w:tc>
        <w:tc>
          <w:tcPr>
            <w:tcW w:w="1754" w:type="dxa"/>
          </w:tcPr>
          <w:p w14:paraId="1238B73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4D8FCF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959C9D8" w14:textId="77777777">
        <w:tc>
          <w:tcPr>
            <w:tcW w:w="3936" w:type="dxa"/>
          </w:tcPr>
          <w:p w14:paraId="04A098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w:t>
            </w:r>
          </w:p>
        </w:tc>
        <w:tc>
          <w:tcPr>
            <w:tcW w:w="3827" w:type="dxa"/>
          </w:tcPr>
          <w:p w14:paraId="200494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маломощный мотор 250-300 л.с. (рядный</w:t>
            </w:r>
          </w:p>
        </w:tc>
        <w:tc>
          <w:tcPr>
            <w:tcW w:w="1754" w:type="dxa"/>
          </w:tcPr>
          <w:p w14:paraId="6AB5182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06C648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EAA372B" w14:textId="77777777">
        <w:tc>
          <w:tcPr>
            <w:tcW w:w="3936" w:type="dxa"/>
          </w:tcPr>
          <w:p w14:paraId="24A1106D"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51FFFE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перевернутый).</w:t>
            </w:r>
          </w:p>
        </w:tc>
        <w:tc>
          <w:tcPr>
            <w:tcW w:w="1754" w:type="dxa"/>
          </w:tcPr>
          <w:p w14:paraId="64E03E6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9C67CB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E0C33C7" w14:textId="77777777">
        <w:tc>
          <w:tcPr>
            <w:tcW w:w="3936" w:type="dxa"/>
          </w:tcPr>
          <w:p w14:paraId="03132E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3827" w:type="dxa"/>
          </w:tcPr>
          <w:p w14:paraId="11DF98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54" w:type="dxa"/>
          </w:tcPr>
          <w:p w14:paraId="49E7F8F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346613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DA6518C" w14:textId="77777777">
        <w:tc>
          <w:tcPr>
            <w:tcW w:w="3936" w:type="dxa"/>
          </w:tcPr>
          <w:p w14:paraId="552B26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окончания</w:t>
            </w:r>
          </w:p>
        </w:tc>
        <w:tc>
          <w:tcPr>
            <w:tcW w:w="3827" w:type="dxa"/>
          </w:tcPr>
          <w:p w14:paraId="7383C5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года</w:t>
            </w:r>
          </w:p>
        </w:tc>
        <w:tc>
          <w:tcPr>
            <w:tcW w:w="1754" w:type="dxa"/>
          </w:tcPr>
          <w:p w14:paraId="214ECA4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6B30A7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4189182" w14:textId="77777777">
        <w:tc>
          <w:tcPr>
            <w:tcW w:w="3936" w:type="dxa"/>
          </w:tcPr>
          <w:p w14:paraId="709356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Доводка моторов</w:t>
            </w:r>
          </w:p>
        </w:tc>
        <w:tc>
          <w:tcPr>
            <w:tcW w:w="3827" w:type="dxa"/>
          </w:tcPr>
          <w:p w14:paraId="5F6B5DD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4FB26F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212BE3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B5BB9DA" w14:textId="77777777">
        <w:tc>
          <w:tcPr>
            <w:tcW w:w="3936" w:type="dxa"/>
          </w:tcPr>
          <w:p w14:paraId="7D930B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w:t>
            </w:r>
          </w:p>
        </w:tc>
        <w:tc>
          <w:tcPr>
            <w:tcW w:w="3827" w:type="dxa"/>
          </w:tcPr>
          <w:p w14:paraId="0D24A7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М-56 (700 л.с. на 3500 м).</w:t>
            </w:r>
          </w:p>
        </w:tc>
        <w:tc>
          <w:tcPr>
            <w:tcW w:w="1754" w:type="dxa"/>
          </w:tcPr>
          <w:p w14:paraId="524B99D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959F6B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A465A60" w14:textId="77777777">
        <w:tc>
          <w:tcPr>
            <w:tcW w:w="3936" w:type="dxa"/>
          </w:tcPr>
          <w:p w14:paraId="18F5D0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3827" w:type="dxa"/>
          </w:tcPr>
          <w:p w14:paraId="294A36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54" w:type="dxa"/>
          </w:tcPr>
          <w:p w14:paraId="1F10F04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7DD926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C6A5538" w14:textId="77777777">
        <w:tc>
          <w:tcPr>
            <w:tcW w:w="3936" w:type="dxa"/>
          </w:tcPr>
          <w:p w14:paraId="3805F0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окончания</w:t>
            </w:r>
          </w:p>
        </w:tc>
        <w:tc>
          <w:tcPr>
            <w:tcW w:w="3827" w:type="dxa"/>
          </w:tcPr>
          <w:p w14:paraId="56E2F1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1754" w:type="dxa"/>
          </w:tcPr>
          <w:p w14:paraId="5B502F2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E2DC1A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DC11E7E" w14:textId="77777777">
        <w:tc>
          <w:tcPr>
            <w:tcW w:w="3936" w:type="dxa"/>
          </w:tcPr>
          <w:p w14:paraId="065418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w:t>
            </w:r>
          </w:p>
        </w:tc>
        <w:tc>
          <w:tcPr>
            <w:tcW w:w="3827" w:type="dxa"/>
          </w:tcPr>
          <w:p w14:paraId="63378B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М-58Н (630 л.с. на 4000 м).</w:t>
            </w:r>
          </w:p>
        </w:tc>
        <w:tc>
          <w:tcPr>
            <w:tcW w:w="1754" w:type="dxa"/>
          </w:tcPr>
          <w:p w14:paraId="64F017B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9CB0D1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9D8C75D" w14:textId="77777777">
        <w:tc>
          <w:tcPr>
            <w:tcW w:w="3936" w:type="dxa"/>
          </w:tcPr>
          <w:p w14:paraId="64BB8F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3827" w:type="dxa"/>
          </w:tcPr>
          <w:p w14:paraId="0A6AF5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29</w:t>
            </w:r>
          </w:p>
        </w:tc>
        <w:tc>
          <w:tcPr>
            <w:tcW w:w="1754" w:type="dxa"/>
          </w:tcPr>
          <w:p w14:paraId="4463C54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293596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388CA54" w14:textId="77777777">
        <w:tc>
          <w:tcPr>
            <w:tcW w:w="3936" w:type="dxa"/>
          </w:tcPr>
          <w:p w14:paraId="7C650E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окончания</w:t>
            </w:r>
          </w:p>
        </w:tc>
        <w:tc>
          <w:tcPr>
            <w:tcW w:w="3827" w:type="dxa"/>
          </w:tcPr>
          <w:p w14:paraId="4BEC3A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1935 года</w:t>
            </w:r>
          </w:p>
        </w:tc>
        <w:tc>
          <w:tcPr>
            <w:tcW w:w="1754" w:type="dxa"/>
          </w:tcPr>
          <w:p w14:paraId="40845D6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101222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08ED983" w14:textId="77777777">
        <w:tc>
          <w:tcPr>
            <w:tcW w:w="3936" w:type="dxa"/>
          </w:tcPr>
          <w:p w14:paraId="01C6B1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w:t>
            </w:r>
          </w:p>
        </w:tc>
        <w:tc>
          <w:tcPr>
            <w:tcW w:w="3827" w:type="dxa"/>
          </w:tcPr>
          <w:p w14:paraId="3EA416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 семьи МГ31 (100, 200 и 300 л.с.).</w:t>
            </w:r>
          </w:p>
        </w:tc>
        <w:tc>
          <w:tcPr>
            <w:tcW w:w="1754" w:type="dxa"/>
          </w:tcPr>
          <w:p w14:paraId="3808CAA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453DE9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D65686B" w14:textId="77777777">
        <w:tc>
          <w:tcPr>
            <w:tcW w:w="3936" w:type="dxa"/>
          </w:tcPr>
          <w:p w14:paraId="633B59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3827" w:type="dxa"/>
          </w:tcPr>
          <w:p w14:paraId="76D9AE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32 ГУГВФ</w:t>
            </w:r>
          </w:p>
        </w:tc>
        <w:tc>
          <w:tcPr>
            <w:tcW w:w="1754" w:type="dxa"/>
          </w:tcPr>
          <w:p w14:paraId="18084E7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1B665A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8ADDE77" w14:textId="77777777">
        <w:tc>
          <w:tcPr>
            <w:tcW w:w="3936" w:type="dxa"/>
          </w:tcPr>
          <w:p w14:paraId="56639A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окончания</w:t>
            </w:r>
          </w:p>
        </w:tc>
        <w:tc>
          <w:tcPr>
            <w:tcW w:w="3827" w:type="dxa"/>
          </w:tcPr>
          <w:p w14:paraId="4631B5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1754" w:type="dxa"/>
          </w:tcPr>
          <w:p w14:paraId="7C0B6F2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DB4B5C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C1EF81A" w14:textId="77777777">
        <w:tc>
          <w:tcPr>
            <w:tcW w:w="3936" w:type="dxa"/>
          </w:tcPr>
          <w:p w14:paraId="413C79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w:t>
            </w:r>
          </w:p>
        </w:tc>
        <w:tc>
          <w:tcPr>
            <w:tcW w:w="3827" w:type="dxa"/>
          </w:tcPr>
          <w:p w14:paraId="4804C6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ГМ44 (д/торпедных катеров).</w:t>
            </w:r>
          </w:p>
        </w:tc>
        <w:tc>
          <w:tcPr>
            <w:tcW w:w="1754" w:type="dxa"/>
          </w:tcPr>
          <w:p w14:paraId="7A4F2AE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A2F1AA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32F6696" w14:textId="77777777">
        <w:tc>
          <w:tcPr>
            <w:tcW w:w="3936" w:type="dxa"/>
          </w:tcPr>
          <w:p w14:paraId="1B20B9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3827" w:type="dxa"/>
          </w:tcPr>
          <w:p w14:paraId="516971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54" w:type="dxa"/>
          </w:tcPr>
          <w:p w14:paraId="552CC84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20B365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36DA1D2" w14:textId="77777777">
        <w:tc>
          <w:tcPr>
            <w:tcW w:w="3936" w:type="dxa"/>
            <w:tcBorders>
              <w:bottom w:val="single" w:sz="12" w:space="0" w:color="auto"/>
            </w:tcBorders>
          </w:tcPr>
          <w:p w14:paraId="7C7F8C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окончания</w:t>
            </w:r>
          </w:p>
        </w:tc>
        <w:tc>
          <w:tcPr>
            <w:tcW w:w="3827" w:type="dxa"/>
            <w:tcBorders>
              <w:bottom w:val="single" w:sz="12" w:space="0" w:color="auto"/>
            </w:tcBorders>
          </w:tcPr>
          <w:p w14:paraId="4435E0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1754" w:type="dxa"/>
            <w:tcBorders>
              <w:bottom w:val="single" w:sz="12" w:space="0" w:color="auto"/>
            </w:tcBorders>
          </w:tcPr>
          <w:p w14:paraId="61E7055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Borders>
              <w:bottom w:val="single" w:sz="12" w:space="0" w:color="auto"/>
            </w:tcBorders>
          </w:tcPr>
          <w:p w14:paraId="76C44A91" w14:textId="77777777" w:rsidR="00D4105E" w:rsidRPr="00E14102" w:rsidRDefault="00D4105E" w:rsidP="00E14102">
            <w:pPr>
              <w:autoSpaceDE w:val="0"/>
              <w:autoSpaceDN w:val="0"/>
              <w:adjustRightInd w:val="0"/>
              <w:jc w:val="both"/>
              <w:rPr>
                <w:color w:val="000000" w:themeColor="text1"/>
                <w:sz w:val="16"/>
                <w:szCs w:val="16"/>
              </w:rPr>
            </w:pPr>
          </w:p>
        </w:tc>
      </w:tr>
    </w:tbl>
    <w:p w14:paraId="7FE5EC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моторы плана опытного строительства должны быть снабжены:</w:t>
      </w:r>
    </w:p>
    <w:p w14:paraId="32C003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Экранированным зажиганием</w:t>
      </w:r>
    </w:p>
    <w:p w14:paraId="0B472B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Самопуском</w:t>
      </w:r>
    </w:p>
    <w:p w14:paraId="4453BF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Проводами и динамо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3827"/>
        <w:gridCol w:w="1754"/>
        <w:gridCol w:w="1754"/>
      </w:tblGrid>
      <w:tr w:rsidR="00E3599D" w:rsidRPr="00E14102" w14:paraId="263C23B7" w14:textId="77777777">
        <w:tc>
          <w:tcPr>
            <w:tcW w:w="3936" w:type="dxa"/>
            <w:tcBorders>
              <w:top w:val="single" w:sz="12" w:space="0" w:color="auto"/>
            </w:tcBorders>
          </w:tcPr>
          <w:p w14:paraId="5BF784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Самолетостроение</w:t>
            </w:r>
          </w:p>
        </w:tc>
        <w:tc>
          <w:tcPr>
            <w:tcW w:w="3827" w:type="dxa"/>
            <w:tcBorders>
              <w:top w:val="single" w:sz="12" w:space="0" w:color="auto"/>
            </w:tcBorders>
          </w:tcPr>
          <w:p w14:paraId="41A2F75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Borders>
              <w:top w:val="single" w:sz="12" w:space="0" w:color="auto"/>
            </w:tcBorders>
          </w:tcPr>
          <w:p w14:paraId="23F6CFF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Borders>
              <w:top w:val="single" w:sz="12" w:space="0" w:color="auto"/>
            </w:tcBorders>
          </w:tcPr>
          <w:p w14:paraId="4E94318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AD0473" w14:textId="77777777">
        <w:tc>
          <w:tcPr>
            <w:tcW w:w="3936" w:type="dxa"/>
          </w:tcPr>
          <w:p w14:paraId="6C32F5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Боевые сухопутные самолеты</w:t>
            </w:r>
          </w:p>
        </w:tc>
        <w:tc>
          <w:tcPr>
            <w:tcW w:w="3827" w:type="dxa"/>
          </w:tcPr>
          <w:p w14:paraId="79EDF2D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889127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D9657A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28B28C3" w14:textId="77777777">
        <w:tc>
          <w:tcPr>
            <w:tcW w:w="3936" w:type="dxa"/>
          </w:tcPr>
          <w:p w14:paraId="079069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4A2DFB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бомбардировщик дальнего действия БДД (ТБ-7).</w:t>
            </w:r>
          </w:p>
        </w:tc>
        <w:tc>
          <w:tcPr>
            <w:tcW w:w="1754" w:type="dxa"/>
          </w:tcPr>
          <w:p w14:paraId="611336B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92744E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C377B5A" w14:textId="77777777">
        <w:tc>
          <w:tcPr>
            <w:tcW w:w="3936" w:type="dxa"/>
          </w:tcPr>
          <w:p w14:paraId="1FA788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792596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8000-9000 м</w:t>
            </w:r>
          </w:p>
        </w:tc>
        <w:tc>
          <w:tcPr>
            <w:tcW w:w="1754" w:type="dxa"/>
          </w:tcPr>
          <w:p w14:paraId="320E1E4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2AC6F5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B6B7B29" w14:textId="77777777">
        <w:tc>
          <w:tcPr>
            <w:tcW w:w="3936" w:type="dxa"/>
          </w:tcPr>
          <w:p w14:paraId="4783E8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2A689D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400-500</w:t>
            </w:r>
          </w:p>
        </w:tc>
        <w:tc>
          <w:tcPr>
            <w:tcW w:w="1754" w:type="dxa"/>
          </w:tcPr>
          <w:p w14:paraId="0A6B118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88BEF6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138AD43" w14:textId="77777777">
        <w:tc>
          <w:tcPr>
            <w:tcW w:w="3936" w:type="dxa"/>
          </w:tcPr>
          <w:p w14:paraId="2560B7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0A7425C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4D9C4F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1652B3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6C004B5" w14:textId="77777777">
        <w:tc>
          <w:tcPr>
            <w:tcW w:w="3936" w:type="dxa"/>
          </w:tcPr>
          <w:p w14:paraId="665B9E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63E094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перегрузкой - 4000</w:t>
            </w:r>
          </w:p>
        </w:tc>
        <w:tc>
          <w:tcPr>
            <w:tcW w:w="1754" w:type="dxa"/>
          </w:tcPr>
          <w:p w14:paraId="39A0489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50E0AC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C69222B" w14:textId="77777777">
        <w:tc>
          <w:tcPr>
            <w:tcW w:w="3936" w:type="dxa"/>
          </w:tcPr>
          <w:p w14:paraId="5F813EC3"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7C51A2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нормально - 1500</w:t>
            </w:r>
          </w:p>
        </w:tc>
        <w:tc>
          <w:tcPr>
            <w:tcW w:w="1754" w:type="dxa"/>
          </w:tcPr>
          <w:p w14:paraId="62DC4B8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84B50D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D4CE2C4" w14:textId="77777777">
        <w:tc>
          <w:tcPr>
            <w:tcW w:w="3936" w:type="dxa"/>
          </w:tcPr>
          <w:p w14:paraId="2850B2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3AD11B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перегрузкой - 1000</w:t>
            </w:r>
          </w:p>
        </w:tc>
        <w:tc>
          <w:tcPr>
            <w:tcW w:w="1754" w:type="dxa"/>
          </w:tcPr>
          <w:p w14:paraId="031AE5F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9F3E96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D273E64" w14:textId="77777777">
        <w:tc>
          <w:tcPr>
            <w:tcW w:w="3936" w:type="dxa"/>
          </w:tcPr>
          <w:p w14:paraId="69A45058"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5FAB23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нормально - 2000</w:t>
            </w:r>
          </w:p>
        </w:tc>
        <w:tc>
          <w:tcPr>
            <w:tcW w:w="1754" w:type="dxa"/>
          </w:tcPr>
          <w:p w14:paraId="4376FB7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6992B8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D12486A" w14:textId="77777777">
        <w:tc>
          <w:tcPr>
            <w:tcW w:w="3936" w:type="dxa"/>
          </w:tcPr>
          <w:p w14:paraId="659181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1A240E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пулемета</w:t>
            </w:r>
          </w:p>
        </w:tc>
        <w:tc>
          <w:tcPr>
            <w:tcW w:w="1754" w:type="dxa"/>
          </w:tcPr>
          <w:p w14:paraId="745CD0D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7C3C96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C7A7D68" w14:textId="77777777">
        <w:tc>
          <w:tcPr>
            <w:tcW w:w="3936" w:type="dxa"/>
          </w:tcPr>
          <w:p w14:paraId="6170D5BC"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40C475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пушки 20 мм</w:t>
            </w:r>
          </w:p>
        </w:tc>
        <w:tc>
          <w:tcPr>
            <w:tcW w:w="1754" w:type="dxa"/>
          </w:tcPr>
          <w:p w14:paraId="4BD1E31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E0121C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CF8EB6D" w14:textId="77777777">
        <w:tc>
          <w:tcPr>
            <w:tcW w:w="3936" w:type="dxa"/>
          </w:tcPr>
          <w:p w14:paraId="2229C0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36D046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емкость бомбодержат. 4000 кг</w:t>
            </w:r>
          </w:p>
        </w:tc>
        <w:tc>
          <w:tcPr>
            <w:tcW w:w="1754" w:type="dxa"/>
          </w:tcPr>
          <w:p w14:paraId="6F39A7B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1E36DD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F80EA2F" w14:textId="77777777">
        <w:tc>
          <w:tcPr>
            <w:tcW w:w="3936" w:type="dxa"/>
          </w:tcPr>
          <w:p w14:paraId="546CA224"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66952E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- 100, 250, 500, 1000</w:t>
            </w:r>
          </w:p>
        </w:tc>
        <w:tc>
          <w:tcPr>
            <w:tcW w:w="1754" w:type="dxa"/>
          </w:tcPr>
          <w:p w14:paraId="041FDC0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549E91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5517266" w14:textId="77777777">
        <w:tc>
          <w:tcPr>
            <w:tcW w:w="3936" w:type="dxa"/>
          </w:tcPr>
          <w:p w14:paraId="5FA4CF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50A959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бака ОВ по 500 кг или</w:t>
            </w:r>
          </w:p>
        </w:tc>
        <w:tc>
          <w:tcPr>
            <w:tcW w:w="1754" w:type="dxa"/>
          </w:tcPr>
          <w:p w14:paraId="0BE7135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ADEEDB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38A6FA4" w14:textId="77777777">
        <w:tc>
          <w:tcPr>
            <w:tcW w:w="3936" w:type="dxa"/>
          </w:tcPr>
          <w:p w14:paraId="709E7763"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0A5703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бака по 1000 кг</w:t>
            </w:r>
          </w:p>
        </w:tc>
        <w:tc>
          <w:tcPr>
            <w:tcW w:w="1754" w:type="dxa"/>
          </w:tcPr>
          <w:p w14:paraId="4740872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18CD9C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D6D88FA" w14:textId="77777777">
        <w:tc>
          <w:tcPr>
            <w:tcW w:w="3936" w:type="dxa"/>
          </w:tcPr>
          <w:p w14:paraId="50E9DF10"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371F45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 амп. кассет</w:t>
            </w:r>
          </w:p>
        </w:tc>
        <w:tc>
          <w:tcPr>
            <w:tcW w:w="1754" w:type="dxa"/>
          </w:tcPr>
          <w:p w14:paraId="45BFCD2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A2EB89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C837F5E" w14:textId="77777777">
        <w:tc>
          <w:tcPr>
            <w:tcW w:w="3936" w:type="dxa"/>
          </w:tcPr>
          <w:p w14:paraId="0E2C90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5EBBC1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перегрузкой - ЦАГИ</w:t>
            </w:r>
          </w:p>
        </w:tc>
        <w:tc>
          <w:tcPr>
            <w:tcW w:w="1754" w:type="dxa"/>
          </w:tcPr>
          <w:p w14:paraId="640940B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205330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1D6EA47" w14:textId="77777777">
        <w:tc>
          <w:tcPr>
            <w:tcW w:w="3936" w:type="dxa"/>
          </w:tcPr>
          <w:p w14:paraId="4BB9FB3C"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38E80E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нормально - з-д N 22</w:t>
            </w:r>
          </w:p>
        </w:tc>
        <w:tc>
          <w:tcPr>
            <w:tcW w:w="1754" w:type="dxa"/>
          </w:tcPr>
          <w:p w14:paraId="39841F2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CACF24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FB29F82" w14:textId="77777777">
        <w:tc>
          <w:tcPr>
            <w:tcW w:w="3936" w:type="dxa"/>
          </w:tcPr>
          <w:p w14:paraId="1CE67B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512B81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года</w:t>
            </w:r>
          </w:p>
        </w:tc>
        <w:tc>
          <w:tcPr>
            <w:tcW w:w="1754" w:type="dxa"/>
          </w:tcPr>
          <w:p w14:paraId="0D26AE8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0029FA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CFAE714" w14:textId="77777777">
        <w:tc>
          <w:tcPr>
            <w:tcW w:w="3936" w:type="dxa"/>
          </w:tcPr>
          <w:p w14:paraId="229E04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232597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он же приспосабливается к варианту крейсера (К).</w:t>
            </w:r>
          </w:p>
        </w:tc>
        <w:tc>
          <w:tcPr>
            <w:tcW w:w="1754" w:type="dxa"/>
          </w:tcPr>
          <w:p w14:paraId="742BDD8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1DED76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164DA83" w14:textId="77777777">
        <w:tc>
          <w:tcPr>
            <w:tcW w:w="3936" w:type="dxa"/>
          </w:tcPr>
          <w:p w14:paraId="707FE7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Высота боевого применения</w:t>
            </w:r>
          </w:p>
        </w:tc>
        <w:tc>
          <w:tcPr>
            <w:tcW w:w="3827" w:type="dxa"/>
          </w:tcPr>
          <w:p w14:paraId="75EE33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8000-9000 м</w:t>
            </w:r>
          </w:p>
        </w:tc>
        <w:tc>
          <w:tcPr>
            <w:tcW w:w="1754" w:type="dxa"/>
          </w:tcPr>
          <w:p w14:paraId="4E45C2F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55678C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40A89B6" w14:textId="77777777">
        <w:tc>
          <w:tcPr>
            <w:tcW w:w="3936" w:type="dxa"/>
          </w:tcPr>
          <w:p w14:paraId="551FBA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3D4150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1754" w:type="dxa"/>
          </w:tcPr>
          <w:p w14:paraId="0DABE73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6D2120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F74B826" w14:textId="77777777">
        <w:tc>
          <w:tcPr>
            <w:tcW w:w="3936" w:type="dxa"/>
          </w:tcPr>
          <w:p w14:paraId="7351C5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2314F2D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5B5E21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DB0B74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3701FD8" w14:textId="77777777">
        <w:tc>
          <w:tcPr>
            <w:tcW w:w="3936" w:type="dxa"/>
          </w:tcPr>
          <w:p w14:paraId="1BC965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18599E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1754" w:type="dxa"/>
          </w:tcPr>
          <w:p w14:paraId="41266D0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A31CC1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85465B7" w14:textId="77777777">
        <w:tc>
          <w:tcPr>
            <w:tcW w:w="3936" w:type="dxa"/>
          </w:tcPr>
          <w:p w14:paraId="5F827B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2BB5D7E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A28095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CFB1B5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32E67EC" w14:textId="77777777">
        <w:tc>
          <w:tcPr>
            <w:tcW w:w="3936" w:type="dxa"/>
          </w:tcPr>
          <w:p w14:paraId="58CF15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1B7C22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пулемета, 3 пушки 20 мм</w:t>
            </w:r>
          </w:p>
        </w:tc>
        <w:tc>
          <w:tcPr>
            <w:tcW w:w="1754" w:type="dxa"/>
          </w:tcPr>
          <w:p w14:paraId="043C41F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6BB1C0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D475D93" w14:textId="77777777">
        <w:tc>
          <w:tcPr>
            <w:tcW w:w="3936" w:type="dxa"/>
          </w:tcPr>
          <w:p w14:paraId="4655917D"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5BBB50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пушки АПК</w:t>
            </w:r>
          </w:p>
        </w:tc>
        <w:tc>
          <w:tcPr>
            <w:tcW w:w="1754" w:type="dxa"/>
          </w:tcPr>
          <w:p w14:paraId="3C0E6A3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00DD23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ADD8278" w14:textId="77777777">
        <w:tc>
          <w:tcPr>
            <w:tcW w:w="3936" w:type="dxa"/>
          </w:tcPr>
          <w:p w14:paraId="35DDD46D"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1A2B35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вариант - реактивные снаряды</w:t>
            </w:r>
          </w:p>
        </w:tc>
        <w:tc>
          <w:tcPr>
            <w:tcW w:w="1754" w:type="dxa"/>
          </w:tcPr>
          <w:p w14:paraId="06B19DB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6FD34B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2B5C033" w14:textId="77777777">
        <w:tc>
          <w:tcPr>
            <w:tcW w:w="3936" w:type="dxa"/>
          </w:tcPr>
          <w:p w14:paraId="3EE2EB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227025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емкость бомбодержат. 500 кг</w:t>
            </w:r>
          </w:p>
        </w:tc>
        <w:tc>
          <w:tcPr>
            <w:tcW w:w="1754" w:type="dxa"/>
          </w:tcPr>
          <w:p w14:paraId="434B128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211DF7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2AAC1D2" w14:textId="77777777">
        <w:tc>
          <w:tcPr>
            <w:tcW w:w="3936" w:type="dxa"/>
          </w:tcPr>
          <w:p w14:paraId="419B4FAD"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7E4C70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- 10 - 50</w:t>
            </w:r>
          </w:p>
        </w:tc>
        <w:tc>
          <w:tcPr>
            <w:tcW w:w="1754" w:type="dxa"/>
          </w:tcPr>
          <w:p w14:paraId="5575372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CD2163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C02B680" w14:textId="77777777">
        <w:tc>
          <w:tcPr>
            <w:tcW w:w="3936" w:type="dxa"/>
          </w:tcPr>
          <w:p w14:paraId="1BDA9B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2C9D09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дым. приб. по 250 или 1 - 500</w:t>
            </w:r>
          </w:p>
        </w:tc>
        <w:tc>
          <w:tcPr>
            <w:tcW w:w="1754" w:type="dxa"/>
          </w:tcPr>
          <w:p w14:paraId="1F7E654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EFFF26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DB9B9E2" w14:textId="77777777">
        <w:tc>
          <w:tcPr>
            <w:tcW w:w="3936" w:type="dxa"/>
          </w:tcPr>
          <w:p w14:paraId="1F2033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3176D1B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6592A4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5B7F83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BD513AE" w14:textId="77777777">
        <w:tc>
          <w:tcPr>
            <w:tcW w:w="3936" w:type="dxa"/>
          </w:tcPr>
          <w:p w14:paraId="691CE8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151112D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B0D1B8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0E6A85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2ECD215" w14:textId="77777777">
        <w:tc>
          <w:tcPr>
            <w:tcW w:w="3936" w:type="dxa"/>
          </w:tcPr>
          <w:p w14:paraId="7860E0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3796B2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бомбардировщик ближнего действия</w:t>
            </w:r>
          </w:p>
        </w:tc>
        <w:tc>
          <w:tcPr>
            <w:tcW w:w="1754" w:type="dxa"/>
          </w:tcPr>
          <w:p w14:paraId="2B5121D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28CE9A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CFFE07C" w14:textId="77777777">
        <w:tc>
          <w:tcPr>
            <w:tcW w:w="3936" w:type="dxa"/>
          </w:tcPr>
          <w:p w14:paraId="624459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733316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4500-5000 м</w:t>
            </w:r>
          </w:p>
        </w:tc>
        <w:tc>
          <w:tcPr>
            <w:tcW w:w="1754" w:type="dxa"/>
          </w:tcPr>
          <w:p w14:paraId="09E7965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480671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AB747BF" w14:textId="77777777">
        <w:tc>
          <w:tcPr>
            <w:tcW w:w="3936" w:type="dxa"/>
          </w:tcPr>
          <w:p w14:paraId="1F53A3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66B736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1754" w:type="dxa"/>
          </w:tcPr>
          <w:p w14:paraId="1DC17F4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33D88D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F9E76BA" w14:textId="77777777">
        <w:tc>
          <w:tcPr>
            <w:tcW w:w="3936" w:type="dxa"/>
          </w:tcPr>
          <w:p w14:paraId="344821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4E2FD32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BC3C57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07B920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7F212FB" w14:textId="77777777">
        <w:tc>
          <w:tcPr>
            <w:tcW w:w="3936" w:type="dxa"/>
          </w:tcPr>
          <w:p w14:paraId="5D3DA9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219849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tc>
        <w:tc>
          <w:tcPr>
            <w:tcW w:w="1754" w:type="dxa"/>
          </w:tcPr>
          <w:p w14:paraId="6A53391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5C1695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66A4D0B" w14:textId="77777777">
        <w:tc>
          <w:tcPr>
            <w:tcW w:w="3936" w:type="dxa"/>
          </w:tcPr>
          <w:p w14:paraId="5CCEF6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0ADD46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1754" w:type="dxa"/>
          </w:tcPr>
          <w:p w14:paraId="65E91D9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B2004F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CEEF779" w14:textId="77777777">
        <w:tc>
          <w:tcPr>
            <w:tcW w:w="3936" w:type="dxa"/>
          </w:tcPr>
          <w:p w14:paraId="471A81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5EE22C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пулемета, 1 пушка 20 мм</w:t>
            </w:r>
          </w:p>
        </w:tc>
        <w:tc>
          <w:tcPr>
            <w:tcW w:w="1754" w:type="dxa"/>
          </w:tcPr>
          <w:p w14:paraId="25D8926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0767EE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5F9628B" w14:textId="77777777">
        <w:tc>
          <w:tcPr>
            <w:tcW w:w="3936" w:type="dxa"/>
          </w:tcPr>
          <w:p w14:paraId="5698C6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3E0252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емкость бомбодержат. 1000 кг</w:t>
            </w:r>
          </w:p>
        </w:tc>
        <w:tc>
          <w:tcPr>
            <w:tcW w:w="1754" w:type="dxa"/>
          </w:tcPr>
          <w:p w14:paraId="7A18EE6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97EF13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9C08286" w14:textId="77777777">
        <w:tc>
          <w:tcPr>
            <w:tcW w:w="3936" w:type="dxa"/>
          </w:tcPr>
          <w:p w14:paraId="4B461682"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5ADA52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- 100-1000</w:t>
            </w:r>
          </w:p>
        </w:tc>
        <w:tc>
          <w:tcPr>
            <w:tcW w:w="1754" w:type="dxa"/>
          </w:tcPr>
          <w:p w14:paraId="04ABC51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CB57E7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9E8E86" w14:textId="77777777">
        <w:tc>
          <w:tcPr>
            <w:tcW w:w="3936" w:type="dxa"/>
          </w:tcPr>
          <w:p w14:paraId="195C47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043CD1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бака ОВ по 250 или 2 по 500</w:t>
            </w:r>
          </w:p>
        </w:tc>
        <w:tc>
          <w:tcPr>
            <w:tcW w:w="1754" w:type="dxa"/>
          </w:tcPr>
          <w:p w14:paraId="2C4E749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8DBE2F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387F46B" w14:textId="77777777">
        <w:tc>
          <w:tcPr>
            <w:tcW w:w="3936" w:type="dxa"/>
          </w:tcPr>
          <w:p w14:paraId="0BCE63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07B9CD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39</w:t>
            </w:r>
          </w:p>
        </w:tc>
        <w:tc>
          <w:tcPr>
            <w:tcW w:w="1754" w:type="dxa"/>
          </w:tcPr>
          <w:p w14:paraId="7E18E52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C1CAF9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EBCFBC1" w14:textId="77777777">
        <w:tc>
          <w:tcPr>
            <w:tcW w:w="3936" w:type="dxa"/>
          </w:tcPr>
          <w:p w14:paraId="61B85C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78CDEE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февраля 1936 года</w:t>
            </w:r>
          </w:p>
        </w:tc>
        <w:tc>
          <w:tcPr>
            <w:tcW w:w="1754" w:type="dxa"/>
          </w:tcPr>
          <w:p w14:paraId="0F3376E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464EBF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A087E5F" w14:textId="77777777">
        <w:tc>
          <w:tcPr>
            <w:tcW w:w="3936" w:type="dxa"/>
          </w:tcPr>
          <w:p w14:paraId="63130E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6D231A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он же приспосабливается к варианту дальнего</w:t>
            </w:r>
          </w:p>
        </w:tc>
        <w:tc>
          <w:tcPr>
            <w:tcW w:w="1754" w:type="dxa"/>
          </w:tcPr>
          <w:p w14:paraId="76AF5AE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040339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04BC385" w14:textId="77777777">
        <w:tc>
          <w:tcPr>
            <w:tcW w:w="3936" w:type="dxa"/>
          </w:tcPr>
          <w:p w14:paraId="32E50424"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16DC95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разведчика (РД) и пассажирского на 12 пассаж.</w:t>
            </w:r>
          </w:p>
        </w:tc>
        <w:tc>
          <w:tcPr>
            <w:tcW w:w="1754" w:type="dxa"/>
          </w:tcPr>
          <w:p w14:paraId="276D653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AD108C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1B448A9" w14:textId="77777777">
        <w:tc>
          <w:tcPr>
            <w:tcW w:w="3936" w:type="dxa"/>
          </w:tcPr>
          <w:p w14:paraId="65988262"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26CEC4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зав. N 39</w:t>
            </w:r>
          </w:p>
        </w:tc>
        <w:tc>
          <w:tcPr>
            <w:tcW w:w="1754" w:type="dxa"/>
          </w:tcPr>
          <w:p w14:paraId="6563354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9FF498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B2914A6" w14:textId="77777777">
        <w:tc>
          <w:tcPr>
            <w:tcW w:w="3936" w:type="dxa"/>
          </w:tcPr>
          <w:p w14:paraId="3C5450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09B2D7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4500-5000 м</w:t>
            </w:r>
          </w:p>
        </w:tc>
        <w:tc>
          <w:tcPr>
            <w:tcW w:w="1754" w:type="dxa"/>
          </w:tcPr>
          <w:p w14:paraId="2D0F313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ADFEA3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C8B0BE0" w14:textId="77777777">
        <w:tc>
          <w:tcPr>
            <w:tcW w:w="3936" w:type="dxa"/>
          </w:tcPr>
          <w:p w14:paraId="320A07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45DD52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1754" w:type="dxa"/>
          </w:tcPr>
          <w:p w14:paraId="56AB2EB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02BD4B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D5CCB5D" w14:textId="77777777">
        <w:tc>
          <w:tcPr>
            <w:tcW w:w="3936" w:type="dxa"/>
          </w:tcPr>
          <w:p w14:paraId="6D5363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330D8C5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9CD28B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E9ECE4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1B1FE79" w14:textId="77777777">
        <w:tc>
          <w:tcPr>
            <w:tcW w:w="3936" w:type="dxa"/>
          </w:tcPr>
          <w:p w14:paraId="1BF2B0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4877CE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1754" w:type="dxa"/>
          </w:tcPr>
          <w:p w14:paraId="373411C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39B239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399F61A" w14:textId="77777777">
        <w:tc>
          <w:tcPr>
            <w:tcW w:w="3936" w:type="dxa"/>
          </w:tcPr>
          <w:p w14:paraId="347C49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1F2B72D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0E07E3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F57BA7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59D8A1" w14:textId="77777777">
        <w:tc>
          <w:tcPr>
            <w:tcW w:w="3936" w:type="dxa"/>
          </w:tcPr>
          <w:p w14:paraId="4482E8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6D2845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пулемета, 1 пушка 20 мм</w:t>
            </w:r>
          </w:p>
        </w:tc>
        <w:tc>
          <w:tcPr>
            <w:tcW w:w="1754" w:type="dxa"/>
          </w:tcPr>
          <w:p w14:paraId="3D0C7AD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2D137E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48B100F" w14:textId="77777777">
        <w:tc>
          <w:tcPr>
            <w:tcW w:w="3936" w:type="dxa"/>
          </w:tcPr>
          <w:p w14:paraId="44D878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3F8708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емкость бомбодержат. 300 кг</w:t>
            </w:r>
          </w:p>
        </w:tc>
        <w:tc>
          <w:tcPr>
            <w:tcW w:w="1754" w:type="dxa"/>
          </w:tcPr>
          <w:p w14:paraId="3A4E984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435870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FE52C25" w14:textId="77777777">
        <w:tc>
          <w:tcPr>
            <w:tcW w:w="3936" w:type="dxa"/>
          </w:tcPr>
          <w:p w14:paraId="25F3DF8D"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17D3DE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- 250</w:t>
            </w:r>
          </w:p>
        </w:tc>
        <w:tc>
          <w:tcPr>
            <w:tcW w:w="1754" w:type="dxa"/>
          </w:tcPr>
          <w:p w14:paraId="3606943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56FDFB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ACB5801" w14:textId="77777777">
        <w:tc>
          <w:tcPr>
            <w:tcW w:w="3936" w:type="dxa"/>
          </w:tcPr>
          <w:p w14:paraId="35DB4C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39195C6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CFA567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AD43A3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87C1E1" w14:textId="77777777">
        <w:tc>
          <w:tcPr>
            <w:tcW w:w="3936" w:type="dxa"/>
          </w:tcPr>
          <w:p w14:paraId="75FC05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60679D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18</w:t>
            </w:r>
          </w:p>
        </w:tc>
        <w:tc>
          <w:tcPr>
            <w:tcW w:w="1754" w:type="dxa"/>
          </w:tcPr>
          <w:p w14:paraId="021D9E9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55A980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AE279BC" w14:textId="77777777">
        <w:tc>
          <w:tcPr>
            <w:tcW w:w="3936" w:type="dxa"/>
          </w:tcPr>
          <w:p w14:paraId="5625A4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7D14C7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1754" w:type="dxa"/>
          </w:tcPr>
          <w:p w14:paraId="2137FA6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B8D682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3B5B0BD" w14:textId="77777777">
        <w:tc>
          <w:tcPr>
            <w:tcW w:w="3936" w:type="dxa"/>
          </w:tcPr>
          <w:p w14:paraId="5D6517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0A308F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пикирующий бомбардировщик</w:t>
            </w:r>
          </w:p>
        </w:tc>
        <w:tc>
          <w:tcPr>
            <w:tcW w:w="1754" w:type="dxa"/>
          </w:tcPr>
          <w:p w14:paraId="03F8518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85D709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10CC36A" w14:textId="77777777">
        <w:tc>
          <w:tcPr>
            <w:tcW w:w="3936" w:type="dxa"/>
          </w:tcPr>
          <w:p w14:paraId="4C4A38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56787B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4500-5000 м</w:t>
            </w:r>
          </w:p>
        </w:tc>
        <w:tc>
          <w:tcPr>
            <w:tcW w:w="1754" w:type="dxa"/>
          </w:tcPr>
          <w:p w14:paraId="67149BD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CAAD72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2FDC3D5" w14:textId="77777777">
        <w:tc>
          <w:tcPr>
            <w:tcW w:w="3936" w:type="dxa"/>
          </w:tcPr>
          <w:p w14:paraId="41B1A7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57850B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1754" w:type="dxa"/>
          </w:tcPr>
          <w:p w14:paraId="2614B2B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317CC1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383F41E" w14:textId="77777777">
        <w:tc>
          <w:tcPr>
            <w:tcW w:w="3936" w:type="dxa"/>
          </w:tcPr>
          <w:p w14:paraId="1C4E99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0E6A3D6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CC2F4D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E385E3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9E047C9" w14:textId="77777777">
        <w:tc>
          <w:tcPr>
            <w:tcW w:w="3936" w:type="dxa"/>
          </w:tcPr>
          <w:p w14:paraId="083918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116680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1754" w:type="dxa"/>
          </w:tcPr>
          <w:p w14:paraId="2465BE0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E381DE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CC40B7C" w14:textId="77777777">
        <w:tc>
          <w:tcPr>
            <w:tcW w:w="3936" w:type="dxa"/>
          </w:tcPr>
          <w:p w14:paraId="2C2EE9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1EC55F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200-250</w:t>
            </w:r>
          </w:p>
        </w:tc>
        <w:tc>
          <w:tcPr>
            <w:tcW w:w="1754" w:type="dxa"/>
          </w:tcPr>
          <w:p w14:paraId="14ED196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6F33EF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1CA0C82" w14:textId="77777777">
        <w:tc>
          <w:tcPr>
            <w:tcW w:w="3936" w:type="dxa"/>
          </w:tcPr>
          <w:p w14:paraId="27F967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261379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пулемета</w:t>
            </w:r>
          </w:p>
        </w:tc>
        <w:tc>
          <w:tcPr>
            <w:tcW w:w="1754" w:type="dxa"/>
          </w:tcPr>
          <w:p w14:paraId="542853D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A25A8D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3E9DB12" w14:textId="77777777">
        <w:tc>
          <w:tcPr>
            <w:tcW w:w="3936" w:type="dxa"/>
          </w:tcPr>
          <w:p w14:paraId="3F4E7B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40EA27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100-250</w:t>
            </w:r>
          </w:p>
        </w:tc>
        <w:tc>
          <w:tcPr>
            <w:tcW w:w="1754" w:type="dxa"/>
          </w:tcPr>
          <w:p w14:paraId="71E94B2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DF610A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7944837" w14:textId="77777777">
        <w:tc>
          <w:tcPr>
            <w:tcW w:w="3936" w:type="dxa"/>
          </w:tcPr>
          <w:p w14:paraId="3D85F3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56D90ED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01B314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E3F906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F2591A4" w14:textId="77777777">
        <w:tc>
          <w:tcPr>
            <w:tcW w:w="3936" w:type="dxa"/>
          </w:tcPr>
          <w:p w14:paraId="4EA33C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675B72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1 (Григорович).</w:t>
            </w:r>
          </w:p>
        </w:tc>
        <w:tc>
          <w:tcPr>
            <w:tcW w:w="1754" w:type="dxa"/>
          </w:tcPr>
          <w:p w14:paraId="3A40535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0CA622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D2FA23F" w14:textId="77777777">
        <w:tc>
          <w:tcPr>
            <w:tcW w:w="3936" w:type="dxa"/>
          </w:tcPr>
          <w:p w14:paraId="5F5148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4C515D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1936 года</w:t>
            </w:r>
          </w:p>
        </w:tc>
        <w:tc>
          <w:tcPr>
            <w:tcW w:w="1754" w:type="dxa"/>
          </w:tcPr>
          <w:p w14:paraId="6873D8D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F5363F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DDB28E" w14:textId="77777777">
        <w:tc>
          <w:tcPr>
            <w:tcW w:w="3936" w:type="dxa"/>
          </w:tcPr>
          <w:p w14:paraId="277033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167CAB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он же приспосабливается к варианту легкого</w:t>
            </w:r>
          </w:p>
        </w:tc>
        <w:tc>
          <w:tcPr>
            <w:tcW w:w="1754" w:type="dxa"/>
          </w:tcPr>
          <w:p w14:paraId="47CA4EE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74255A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EB3D0C0" w14:textId="77777777">
        <w:tc>
          <w:tcPr>
            <w:tcW w:w="3936" w:type="dxa"/>
          </w:tcPr>
          <w:p w14:paraId="0217A9DC"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60DC20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бомбардировщика (ЛБ).</w:t>
            </w:r>
          </w:p>
        </w:tc>
        <w:tc>
          <w:tcPr>
            <w:tcW w:w="1754" w:type="dxa"/>
          </w:tcPr>
          <w:p w14:paraId="77CC6F7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8DC18E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138159D" w14:textId="77777777">
        <w:tc>
          <w:tcPr>
            <w:tcW w:w="3936" w:type="dxa"/>
          </w:tcPr>
          <w:p w14:paraId="435C1B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3F8CA8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4500-5000 м</w:t>
            </w:r>
          </w:p>
        </w:tc>
        <w:tc>
          <w:tcPr>
            <w:tcW w:w="1754" w:type="dxa"/>
          </w:tcPr>
          <w:p w14:paraId="1230E32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887EA6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73AAF69" w14:textId="77777777">
        <w:tc>
          <w:tcPr>
            <w:tcW w:w="3936" w:type="dxa"/>
          </w:tcPr>
          <w:p w14:paraId="2FA1D1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6DE813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1754" w:type="dxa"/>
          </w:tcPr>
          <w:p w14:paraId="7B4E5C9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84341A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D13AE0B" w14:textId="77777777">
        <w:tc>
          <w:tcPr>
            <w:tcW w:w="3936" w:type="dxa"/>
          </w:tcPr>
          <w:p w14:paraId="41681F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52978D2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B0DE62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F445F9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91B7357" w14:textId="77777777">
        <w:tc>
          <w:tcPr>
            <w:tcW w:w="3936" w:type="dxa"/>
          </w:tcPr>
          <w:p w14:paraId="7708D0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283F75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754" w:type="dxa"/>
          </w:tcPr>
          <w:p w14:paraId="259C187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0640B8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72D2368" w14:textId="77777777">
        <w:tc>
          <w:tcPr>
            <w:tcW w:w="3936" w:type="dxa"/>
          </w:tcPr>
          <w:p w14:paraId="3D24B2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43D0DB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1754" w:type="dxa"/>
          </w:tcPr>
          <w:p w14:paraId="3E90BB3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16B948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232B6D5" w14:textId="77777777">
        <w:tc>
          <w:tcPr>
            <w:tcW w:w="3936" w:type="dxa"/>
          </w:tcPr>
          <w:p w14:paraId="09B421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5E62DD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пулемета</w:t>
            </w:r>
          </w:p>
        </w:tc>
        <w:tc>
          <w:tcPr>
            <w:tcW w:w="1754" w:type="dxa"/>
          </w:tcPr>
          <w:p w14:paraId="11CA3CE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68FB58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7B3B0A8" w14:textId="77777777">
        <w:tc>
          <w:tcPr>
            <w:tcW w:w="3936" w:type="dxa"/>
          </w:tcPr>
          <w:p w14:paraId="0E9CE039"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3352B2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вариант - 1 тяжелый пулемет</w:t>
            </w:r>
          </w:p>
        </w:tc>
        <w:tc>
          <w:tcPr>
            <w:tcW w:w="1754" w:type="dxa"/>
          </w:tcPr>
          <w:p w14:paraId="068AC03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3FCE39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0F914E5" w14:textId="77777777">
        <w:tc>
          <w:tcPr>
            <w:tcW w:w="3936" w:type="dxa"/>
          </w:tcPr>
          <w:p w14:paraId="738CFB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029CB2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емкость бомбодержат. 500 кг</w:t>
            </w:r>
          </w:p>
        </w:tc>
        <w:tc>
          <w:tcPr>
            <w:tcW w:w="1754" w:type="dxa"/>
          </w:tcPr>
          <w:p w14:paraId="507A142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663E29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7B398A9" w14:textId="77777777">
        <w:tc>
          <w:tcPr>
            <w:tcW w:w="3936" w:type="dxa"/>
          </w:tcPr>
          <w:p w14:paraId="1EA38536"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023A31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- 50-100</w:t>
            </w:r>
          </w:p>
        </w:tc>
        <w:tc>
          <w:tcPr>
            <w:tcW w:w="1754" w:type="dxa"/>
          </w:tcPr>
          <w:p w14:paraId="0D84F1A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037CCA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09A4445" w14:textId="77777777">
        <w:tc>
          <w:tcPr>
            <w:tcW w:w="3936" w:type="dxa"/>
          </w:tcPr>
          <w:p w14:paraId="7FF44B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59FCCD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бака ОВ по 250 или амп. кас. 350</w:t>
            </w:r>
          </w:p>
        </w:tc>
        <w:tc>
          <w:tcPr>
            <w:tcW w:w="1754" w:type="dxa"/>
          </w:tcPr>
          <w:p w14:paraId="5254A0C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3A8DFB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EFC7FE1" w14:textId="77777777">
        <w:tc>
          <w:tcPr>
            <w:tcW w:w="3936" w:type="dxa"/>
          </w:tcPr>
          <w:p w14:paraId="4939E3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4CC78D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18</w:t>
            </w:r>
          </w:p>
        </w:tc>
        <w:tc>
          <w:tcPr>
            <w:tcW w:w="1754" w:type="dxa"/>
          </w:tcPr>
          <w:p w14:paraId="1E8037C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7E81F1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ACDE212" w14:textId="77777777">
        <w:tc>
          <w:tcPr>
            <w:tcW w:w="3936" w:type="dxa"/>
          </w:tcPr>
          <w:p w14:paraId="17C2B7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23F81F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1936 года</w:t>
            </w:r>
          </w:p>
        </w:tc>
        <w:tc>
          <w:tcPr>
            <w:tcW w:w="1754" w:type="dxa"/>
          </w:tcPr>
          <w:p w14:paraId="00CBA95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02D096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70CD46D" w14:textId="77777777">
        <w:tc>
          <w:tcPr>
            <w:tcW w:w="3936" w:type="dxa"/>
          </w:tcPr>
          <w:p w14:paraId="4766C0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4BEDAC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войсковой самолет общего назначения</w:t>
            </w:r>
          </w:p>
        </w:tc>
        <w:tc>
          <w:tcPr>
            <w:tcW w:w="1754" w:type="dxa"/>
          </w:tcPr>
          <w:p w14:paraId="77F18F1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90B06B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38CE251" w14:textId="77777777">
        <w:tc>
          <w:tcPr>
            <w:tcW w:w="3936" w:type="dxa"/>
          </w:tcPr>
          <w:p w14:paraId="123E1372"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727CB8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(разведчик, штурмовик, корректировщик).</w:t>
            </w:r>
          </w:p>
        </w:tc>
        <w:tc>
          <w:tcPr>
            <w:tcW w:w="1754" w:type="dxa"/>
          </w:tcPr>
          <w:p w14:paraId="35C2008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E99F65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31E631" w14:textId="77777777">
        <w:tc>
          <w:tcPr>
            <w:tcW w:w="3936" w:type="dxa"/>
          </w:tcPr>
          <w:p w14:paraId="6ED30E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31E2EC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3000-5000</w:t>
            </w:r>
          </w:p>
        </w:tc>
        <w:tc>
          <w:tcPr>
            <w:tcW w:w="1754" w:type="dxa"/>
          </w:tcPr>
          <w:p w14:paraId="69930A1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8F7382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E73C395" w14:textId="77777777">
        <w:tc>
          <w:tcPr>
            <w:tcW w:w="3936" w:type="dxa"/>
          </w:tcPr>
          <w:p w14:paraId="4858BE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0F862A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350-400</w:t>
            </w:r>
          </w:p>
        </w:tc>
        <w:tc>
          <w:tcPr>
            <w:tcW w:w="1754" w:type="dxa"/>
          </w:tcPr>
          <w:p w14:paraId="29213CB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B2325F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4FBFA99" w14:textId="77777777">
        <w:tc>
          <w:tcPr>
            <w:tcW w:w="3936" w:type="dxa"/>
          </w:tcPr>
          <w:p w14:paraId="0A22D8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75DCBC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80-90</w:t>
            </w:r>
          </w:p>
        </w:tc>
        <w:tc>
          <w:tcPr>
            <w:tcW w:w="1754" w:type="dxa"/>
          </w:tcPr>
          <w:p w14:paraId="3031AC5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CAC9C7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39EE87C" w14:textId="77777777">
        <w:tc>
          <w:tcPr>
            <w:tcW w:w="3936" w:type="dxa"/>
          </w:tcPr>
          <w:p w14:paraId="51C95F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356FF9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754" w:type="dxa"/>
          </w:tcPr>
          <w:p w14:paraId="23B912A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E0CFEF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1E4F14B" w14:textId="77777777">
        <w:tc>
          <w:tcPr>
            <w:tcW w:w="3936" w:type="dxa"/>
          </w:tcPr>
          <w:p w14:paraId="224995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7C064D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1754" w:type="dxa"/>
          </w:tcPr>
          <w:p w14:paraId="18CB525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B21FC9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DA3E5F3" w14:textId="77777777">
        <w:tc>
          <w:tcPr>
            <w:tcW w:w="3936" w:type="dxa"/>
          </w:tcPr>
          <w:p w14:paraId="7709B7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4ACE50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пулемета, предусматривается возможность</w:t>
            </w:r>
          </w:p>
        </w:tc>
        <w:tc>
          <w:tcPr>
            <w:tcW w:w="1754" w:type="dxa"/>
          </w:tcPr>
          <w:p w14:paraId="67EE37E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8E2BE1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83BC934" w14:textId="77777777">
        <w:tc>
          <w:tcPr>
            <w:tcW w:w="3936" w:type="dxa"/>
          </w:tcPr>
          <w:p w14:paraId="43B99ACE"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4274B0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установки батареи из 4-х пулеметов</w:t>
            </w:r>
          </w:p>
        </w:tc>
        <w:tc>
          <w:tcPr>
            <w:tcW w:w="1754" w:type="dxa"/>
          </w:tcPr>
          <w:p w14:paraId="11AA762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3845EF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F98E30E" w14:textId="77777777">
        <w:tc>
          <w:tcPr>
            <w:tcW w:w="3936" w:type="dxa"/>
          </w:tcPr>
          <w:p w14:paraId="48A28E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1F3FEB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емкость бомбодержат. 400 кг</w:t>
            </w:r>
          </w:p>
        </w:tc>
        <w:tc>
          <w:tcPr>
            <w:tcW w:w="1754" w:type="dxa"/>
          </w:tcPr>
          <w:p w14:paraId="72414F7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E939A7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65AE9D3" w14:textId="77777777">
        <w:tc>
          <w:tcPr>
            <w:tcW w:w="3936" w:type="dxa"/>
          </w:tcPr>
          <w:p w14:paraId="774B492E"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1E4353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- 250</w:t>
            </w:r>
          </w:p>
        </w:tc>
        <w:tc>
          <w:tcPr>
            <w:tcW w:w="1754" w:type="dxa"/>
          </w:tcPr>
          <w:p w14:paraId="17DEEED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E7C6C7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DA066A5" w14:textId="77777777">
        <w:tc>
          <w:tcPr>
            <w:tcW w:w="3936" w:type="dxa"/>
          </w:tcPr>
          <w:p w14:paraId="48C92B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6896C4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бака ОВ по 100 кг, 1 дым. приб.</w:t>
            </w:r>
          </w:p>
        </w:tc>
        <w:tc>
          <w:tcPr>
            <w:tcW w:w="1754" w:type="dxa"/>
          </w:tcPr>
          <w:p w14:paraId="7AF4145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0BDD4F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187713" w14:textId="77777777">
        <w:tc>
          <w:tcPr>
            <w:tcW w:w="3936" w:type="dxa"/>
          </w:tcPr>
          <w:p w14:paraId="5D8E8A07"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40521B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огнемета по 100 кг</w:t>
            </w:r>
          </w:p>
        </w:tc>
        <w:tc>
          <w:tcPr>
            <w:tcW w:w="1754" w:type="dxa"/>
          </w:tcPr>
          <w:p w14:paraId="290257C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9ED426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BC5D154" w14:textId="77777777">
        <w:tc>
          <w:tcPr>
            <w:tcW w:w="3936" w:type="dxa"/>
          </w:tcPr>
          <w:p w14:paraId="0B9D0D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230AED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39</w:t>
            </w:r>
          </w:p>
        </w:tc>
        <w:tc>
          <w:tcPr>
            <w:tcW w:w="1754" w:type="dxa"/>
          </w:tcPr>
          <w:p w14:paraId="754E433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675AEF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D174C2C" w14:textId="77777777">
        <w:tc>
          <w:tcPr>
            <w:tcW w:w="3936" w:type="dxa"/>
          </w:tcPr>
          <w:p w14:paraId="6EFC8C08"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69950D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1</w:t>
            </w:r>
          </w:p>
        </w:tc>
        <w:tc>
          <w:tcPr>
            <w:tcW w:w="1754" w:type="dxa"/>
          </w:tcPr>
          <w:p w14:paraId="162C7A0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352085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09F06E2" w14:textId="77777777">
        <w:tc>
          <w:tcPr>
            <w:tcW w:w="3936" w:type="dxa"/>
          </w:tcPr>
          <w:p w14:paraId="41D207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318613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w:t>
            </w:r>
          </w:p>
        </w:tc>
        <w:tc>
          <w:tcPr>
            <w:tcW w:w="1754" w:type="dxa"/>
          </w:tcPr>
          <w:p w14:paraId="7FA8812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E7098B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9685D6C" w14:textId="77777777">
        <w:tc>
          <w:tcPr>
            <w:tcW w:w="3936" w:type="dxa"/>
          </w:tcPr>
          <w:p w14:paraId="2FD7EF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0A12CF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разведчик скоростной (РС).</w:t>
            </w:r>
          </w:p>
        </w:tc>
        <w:tc>
          <w:tcPr>
            <w:tcW w:w="1754" w:type="dxa"/>
          </w:tcPr>
          <w:p w14:paraId="0EABC9E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F6CBBA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66A6085" w14:textId="77777777">
        <w:tc>
          <w:tcPr>
            <w:tcW w:w="3936" w:type="dxa"/>
          </w:tcPr>
          <w:p w14:paraId="73D4CB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457DC0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4500-5000</w:t>
            </w:r>
          </w:p>
        </w:tc>
        <w:tc>
          <w:tcPr>
            <w:tcW w:w="1754" w:type="dxa"/>
          </w:tcPr>
          <w:p w14:paraId="0457A31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117BAE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25DB02" w14:textId="77777777">
        <w:tc>
          <w:tcPr>
            <w:tcW w:w="3936" w:type="dxa"/>
          </w:tcPr>
          <w:p w14:paraId="6A05D3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7C8B6D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1754" w:type="dxa"/>
          </w:tcPr>
          <w:p w14:paraId="0BF7C73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BA1898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7028ED4" w14:textId="77777777">
        <w:tc>
          <w:tcPr>
            <w:tcW w:w="3936" w:type="dxa"/>
          </w:tcPr>
          <w:p w14:paraId="2A4FA2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4C26ADA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2E1C00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991BCB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C0FABE7" w14:textId="77777777">
        <w:tc>
          <w:tcPr>
            <w:tcW w:w="3936" w:type="dxa"/>
          </w:tcPr>
          <w:p w14:paraId="182E48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42A565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754" w:type="dxa"/>
          </w:tcPr>
          <w:p w14:paraId="5E23EEF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393116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364091F" w14:textId="77777777">
        <w:tc>
          <w:tcPr>
            <w:tcW w:w="3936" w:type="dxa"/>
          </w:tcPr>
          <w:p w14:paraId="6042B7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7A754A6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0B46C1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4A2C4C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59CBA65" w14:textId="77777777">
        <w:tc>
          <w:tcPr>
            <w:tcW w:w="3936" w:type="dxa"/>
          </w:tcPr>
          <w:p w14:paraId="7FBEAE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51441F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пулемета</w:t>
            </w:r>
          </w:p>
        </w:tc>
        <w:tc>
          <w:tcPr>
            <w:tcW w:w="1754" w:type="dxa"/>
          </w:tcPr>
          <w:p w14:paraId="3D89096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D3BAE5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9149E94" w14:textId="77777777">
        <w:tc>
          <w:tcPr>
            <w:tcW w:w="3936" w:type="dxa"/>
          </w:tcPr>
          <w:p w14:paraId="68A766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790C2E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емкость бомбодержат. 60 кг</w:t>
            </w:r>
          </w:p>
        </w:tc>
        <w:tc>
          <w:tcPr>
            <w:tcW w:w="1754" w:type="dxa"/>
          </w:tcPr>
          <w:p w14:paraId="6361BE5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7D1075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A57C1C9" w14:textId="77777777">
        <w:tc>
          <w:tcPr>
            <w:tcW w:w="3936" w:type="dxa"/>
          </w:tcPr>
          <w:p w14:paraId="57147027"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461F60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- 10-25</w:t>
            </w:r>
          </w:p>
        </w:tc>
        <w:tc>
          <w:tcPr>
            <w:tcW w:w="1754" w:type="dxa"/>
          </w:tcPr>
          <w:p w14:paraId="3CC91AD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A181E8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28C7369" w14:textId="77777777">
        <w:tc>
          <w:tcPr>
            <w:tcW w:w="3936" w:type="dxa"/>
          </w:tcPr>
          <w:p w14:paraId="73B224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142831A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504F79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A9ADFE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E4675C7" w14:textId="77777777">
        <w:tc>
          <w:tcPr>
            <w:tcW w:w="3936" w:type="dxa"/>
          </w:tcPr>
          <w:p w14:paraId="113482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268B9F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39</w:t>
            </w:r>
          </w:p>
        </w:tc>
        <w:tc>
          <w:tcPr>
            <w:tcW w:w="1754" w:type="dxa"/>
          </w:tcPr>
          <w:p w14:paraId="55827D8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A1622E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04FB7CE" w14:textId="77777777">
        <w:tc>
          <w:tcPr>
            <w:tcW w:w="3936" w:type="dxa"/>
          </w:tcPr>
          <w:p w14:paraId="402116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5057EA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1754" w:type="dxa"/>
          </w:tcPr>
          <w:p w14:paraId="57D9B03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54B2ED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8A18BD9" w14:textId="77777777">
        <w:tc>
          <w:tcPr>
            <w:tcW w:w="3936" w:type="dxa"/>
          </w:tcPr>
          <w:p w14:paraId="4D4B36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596EE0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он же приспосабливается к варианту</w:t>
            </w:r>
          </w:p>
        </w:tc>
        <w:tc>
          <w:tcPr>
            <w:tcW w:w="1754" w:type="dxa"/>
          </w:tcPr>
          <w:p w14:paraId="0DBA52E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00A5D1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8C13CC9" w14:textId="77777777">
        <w:tc>
          <w:tcPr>
            <w:tcW w:w="3936" w:type="dxa"/>
          </w:tcPr>
          <w:p w14:paraId="187EFDE5"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5ADEE9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2-х местного истребителя</w:t>
            </w:r>
          </w:p>
        </w:tc>
        <w:tc>
          <w:tcPr>
            <w:tcW w:w="1754" w:type="dxa"/>
          </w:tcPr>
          <w:p w14:paraId="34B271E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CC8A72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6442629" w14:textId="77777777">
        <w:tc>
          <w:tcPr>
            <w:tcW w:w="3936" w:type="dxa"/>
          </w:tcPr>
          <w:p w14:paraId="2845DF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1B8930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4500-5000</w:t>
            </w:r>
          </w:p>
        </w:tc>
        <w:tc>
          <w:tcPr>
            <w:tcW w:w="1754" w:type="dxa"/>
          </w:tcPr>
          <w:p w14:paraId="7914E57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1B34AA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9218ED" w14:textId="77777777">
        <w:tc>
          <w:tcPr>
            <w:tcW w:w="3936" w:type="dxa"/>
          </w:tcPr>
          <w:p w14:paraId="3F78DA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1A7261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1754" w:type="dxa"/>
          </w:tcPr>
          <w:p w14:paraId="311445D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1C7519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403E254" w14:textId="77777777">
        <w:tc>
          <w:tcPr>
            <w:tcW w:w="3936" w:type="dxa"/>
          </w:tcPr>
          <w:p w14:paraId="2DD2F4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10F5A3C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A99A74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3B3CE7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6271FC5" w14:textId="77777777">
        <w:tc>
          <w:tcPr>
            <w:tcW w:w="3936" w:type="dxa"/>
          </w:tcPr>
          <w:p w14:paraId="740E6E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68A2E7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754" w:type="dxa"/>
          </w:tcPr>
          <w:p w14:paraId="4C976C9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82ECAC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0E678CD" w14:textId="77777777">
        <w:tc>
          <w:tcPr>
            <w:tcW w:w="3936" w:type="dxa"/>
          </w:tcPr>
          <w:p w14:paraId="05FAA7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7C01584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AA436C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8D5E60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A7676A" w14:textId="77777777">
        <w:tc>
          <w:tcPr>
            <w:tcW w:w="3936" w:type="dxa"/>
          </w:tcPr>
          <w:p w14:paraId="54B53D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480AAF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пулемета</w:t>
            </w:r>
          </w:p>
        </w:tc>
        <w:tc>
          <w:tcPr>
            <w:tcW w:w="1754" w:type="dxa"/>
          </w:tcPr>
          <w:p w14:paraId="5CF96D5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7E4CD5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5047631" w14:textId="77777777">
        <w:tc>
          <w:tcPr>
            <w:tcW w:w="3936" w:type="dxa"/>
          </w:tcPr>
          <w:p w14:paraId="643726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32C514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емкость бомбодержат. 100 кг</w:t>
            </w:r>
          </w:p>
        </w:tc>
        <w:tc>
          <w:tcPr>
            <w:tcW w:w="1754" w:type="dxa"/>
          </w:tcPr>
          <w:p w14:paraId="4DBC5C4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E2D258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AF7347A" w14:textId="77777777">
        <w:tc>
          <w:tcPr>
            <w:tcW w:w="3936" w:type="dxa"/>
          </w:tcPr>
          <w:p w14:paraId="073715B6"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6748AD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- 10-25</w:t>
            </w:r>
          </w:p>
        </w:tc>
        <w:tc>
          <w:tcPr>
            <w:tcW w:w="1754" w:type="dxa"/>
          </w:tcPr>
          <w:p w14:paraId="6A3F69C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DCA0A3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C2E5A77" w14:textId="77777777">
        <w:tc>
          <w:tcPr>
            <w:tcW w:w="3936" w:type="dxa"/>
          </w:tcPr>
          <w:p w14:paraId="28A50B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5EAD9B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огнеметных прибора по 50 кг или</w:t>
            </w:r>
          </w:p>
        </w:tc>
        <w:tc>
          <w:tcPr>
            <w:tcW w:w="1754" w:type="dxa"/>
          </w:tcPr>
          <w:p w14:paraId="4540A88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C8D1A1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49CE4D3" w14:textId="77777777">
        <w:tc>
          <w:tcPr>
            <w:tcW w:w="3936" w:type="dxa"/>
          </w:tcPr>
          <w:p w14:paraId="095161F9"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12283F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прибора ОВ по 50 кг</w:t>
            </w:r>
          </w:p>
        </w:tc>
        <w:tc>
          <w:tcPr>
            <w:tcW w:w="1754" w:type="dxa"/>
          </w:tcPr>
          <w:p w14:paraId="2D1F04B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A03F36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611002C" w14:textId="77777777">
        <w:tc>
          <w:tcPr>
            <w:tcW w:w="3936" w:type="dxa"/>
          </w:tcPr>
          <w:p w14:paraId="32032D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3EF724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з-д N1 </w:t>
            </w:r>
          </w:p>
        </w:tc>
        <w:tc>
          <w:tcPr>
            <w:tcW w:w="1754" w:type="dxa"/>
          </w:tcPr>
          <w:p w14:paraId="2A4DCCF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5BCC65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B769DDA" w14:textId="77777777">
        <w:tc>
          <w:tcPr>
            <w:tcW w:w="3936" w:type="dxa"/>
          </w:tcPr>
          <w:p w14:paraId="45405D4B"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5147E0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1754" w:type="dxa"/>
          </w:tcPr>
          <w:p w14:paraId="4D865C8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697752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E3B5671" w14:textId="77777777">
        <w:tc>
          <w:tcPr>
            <w:tcW w:w="3936" w:type="dxa"/>
          </w:tcPr>
          <w:p w14:paraId="4092AC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5602EB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года</w:t>
            </w:r>
          </w:p>
        </w:tc>
        <w:tc>
          <w:tcPr>
            <w:tcW w:w="1754" w:type="dxa"/>
          </w:tcPr>
          <w:p w14:paraId="49128BC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7896D8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5BEE76A" w14:textId="77777777">
        <w:tc>
          <w:tcPr>
            <w:tcW w:w="3936" w:type="dxa"/>
          </w:tcPr>
          <w:p w14:paraId="656FFF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14B136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многоместный истребитель (МИ).</w:t>
            </w:r>
          </w:p>
        </w:tc>
        <w:tc>
          <w:tcPr>
            <w:tcW w:w="1754" w:type="dxa"/>
          </w:tcPr>
          <w:p w14:paraId="6D94946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80D6A9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5760FAA" w14:textId="77777777">
        <w:tc>
          <w:tcPr>
            <w:tcW w:w="3936" w:type="dxa"/>
          </w:tcPr>
          <w:p w14:paraId="77C0AF23"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360BC5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(легкий крейсер) </w:t>
            </w:r>
          </w:p>
        </w:tc>
        <w:tc>
          <w:tcPr>
            <w:tcW w:w="1754" w:type="dxa"/>
          </w:tcPr>
          <w:p w14:paraId="7CA6AB8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10F5D2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59D3E20" w14:textId="77777777">
        <w:tc>
          <w:tcPr>
            <w:tcW w:w="3936" w:type="dxa"/>
          </w:tcPr>
          <w:p w14:paraId="7D43CC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2D1542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4500-5000</w:t>
            </w:r>
          </w:p>
        </w:tc>
        <w:tc>
          <w:tcPr>
            <w:tcW w:w="1754" w:type="dxa"/>
          </w:tcPr>
          <w:p w14:paraId="23A5C50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983854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C0D9331" w14:textId="77777777">
        <w:tc>
          <w:tcPr>
            <w:tcW w:w="3936" w:type="dxa"/>
          </w:tcPr>
          <w:p w14:paraId="6C652E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00A5E1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1754" w:type="dxa"/>
          </w:tcPr>
          <w:p w14:paraId="76C4028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8A2E3E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35116EF" w14:textId="77777777">
        <w:tc>
          <w:tcPr>
            <w:tcW w:w="3936" w:type="dxa"/>
          </w:tcPr>
          <w:p w14:paraId="2FD4B8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0EAAC6C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8999D9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8403C2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A1460C6" w14:textId="77777777">
        <w:tc>
          <w:tcPr>
            <w:tcW w:w="3936" w:type="dxa"/>
          </w:tcPr>
          <w:p w14:paraId="38E9BC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79EF31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tc>
        <w:tc>
          <w:tcPr>
            <w:tcW w:w="1754" w:type="dxa"/>
          </w:tcPr>
          <w:p w14:paraId="6842AF7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1530C8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2E83D59" w14:textId="77777777">
        <w:tc>
          <w:tcPr>
            <w:tcW w:w="3936" w:type="dxa"/>
          </w:tcPr>
          <w:p w14:paraId="0AD15B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1CB319D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DF2A46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09A84E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6D84C3C" w14:textId="77777777">
        <w:tc>
          <w:tcPr>
            <w:tcW w:w="3936" w:type="dxa"/>
          </w:tcPr>
          <w:p w14:paraId="62864D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5548FE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пулемета, 1 пушка 20 мм</w:t>
            </w:r>
          </w:p>
        </w:tc>
        <w:tc>
          <w:tcPr>
            <w:tcW w:w="1754" w:type="dxa"/>
          </w:tcPr>
          <w:p w14:paraId="6C69403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CD2321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11E2795" w14:textId="77777777">
        <w:tc>
          <w:tcPr>
            <w:tcW w:w="3936" w:type="dxa"/>
          </w:tcPr>
          <w:p w14:paraId="72F17641"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3452A1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пушки АПК 37 мм</w:t>
            </w:r>
          </w:p>
        </w:tc>
        <w:tc>
          <w:tcPr>
            <w:tcW w:w="1754" w:type="dxa"/>
          </w:tcPr>
          <w:p w14:paraId="6105291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E06ACC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EAC51E2" w14:textId="77777777">
        <w:tc>
          <w:tcPr>
            <w:tcW w:w="3936" w:type="dxa"/>
          </w:tcPr>
          <w:p w14:paraId="7CE12C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6581DF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емкость бомбодержат. 200 кг</w:t>
            </w:r>
          </w:p>
        </w:tc>
        <w:tc>
          <w:tcPr>
            <w:tcW w:w="1754" w:type="dxa"/>
          </w:tcPr>
          <w:p w14:paraId="4278E99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3A6BCF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B6A44E9" w14:textId="77777777">
        <w:tc>
          <w:tcPr>
            <w:tcW w:w="3936" w:type="dxa"/>
          </w:tcPr>
          <w:p w14:paraId="53CE1222"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239A83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- 10-50</w:t>
            </w:r>
          </w:p>
        </w:tc>
        <w:tc>
          <w:tcPr>
            <w:tcW w:w="1754" w:type="dxa"/>
          </w:tcPr>
          <w:p w14:paraId="79BAA88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8E0996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3B53DEF" w14:textId="77777777">
        <w:tc>
          <w:tcPr>
            <w:tcW w:w="3936" w:type="dxa"/>
          </w:tcPr>
          <w:p w14:paraId="26E26A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571B76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дым. прибора по 50 кг</w:t>
            </w:r>
          </w:p>
        </w:tc>
        <w:tc>
          <w:tcPr>
            <w:tcW w:w="1754" w:type="dxa"/>
          </w:tcPr>
          <w:p w14:paraId="53AD58A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C2FE01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7054C32" w14:textId="77777777">
        <w:tc>
          <w:tcPr>
            <w:tcW w:w="3936" w:type="dxa"/>
          </w:tcPr>
          <w:p w14:paraId="2B15B0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7A192F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1 (Григорович).</w:t>
            </w:r>
          </w:p>
        </w:tc>
        <w:tc>
          <w:tcPr>
            <w:tcW w:w="1754" w:type="dxa"/>
          </w:tcPr>
          <w:p w14:paraId="333F02F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3614E4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D155E72" w14:textId="77777777">
        <w:tc>
          <w:tcPr>
            <w:tcW w:w="3936" w:type="dxa"/>
          </w:tcPr>
          <w:p w14:paraId="4148CF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214ADB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года</w:t>
            </w:r>
          </w:p>
        </w:tc>
        <w:tc>
          <w:tcPr>
            <w:tcW w:w="1754" w:type="dxa"/>
          </w:tcPr>
          <w:p w14:paraId="4FC6040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A94E4A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D98F451" w14:textId="77777777">
        <w:tc>
          <w:tcPr>
            <w:tcW w:w="3936" w:type="dxa"/>
          </w:tcPr>
          <w:p w14:paraId="77D50B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432D40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(И).</w:t>
            </w:r>
          </w:p>
        </w:tc>
        <w:tc>
          <w:tcPr>
            <w:tcW w:w="1754" w:type="dxa"/>
          </w:tcPr>
          <w:p w14:paraId="3A1D480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06213A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18C6A69" w14:textId="77777777">
        <w:tc>
          <w:tcPr>
            <w:tcW w:w="3936" w:type="dxa"/>
          </w:tcPr>
          <w:p w14:paraId="0FE18A91"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5A8D86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(И-19) (Истр. звена).</w:t>
            </w:r>
          </w:p>
        </w:tc>
        <w:tc>
          <w:tcPr>
            <w:tcW w:w="1754" w:type="dxa"/>
          </w:tcPr>
          <w:p w14:paraId="02700A6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F4B947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BF81F00" w14:textId="77777777">
        <w:tc>
          <w:tcPr>
            <w:tcW w:w="3936" w:type="dxa"/>
          </w:tcPr>
          <w:p w14:paraId="72DB17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5A1A11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4500-5000</w:t>
            </w:r>
          </w:p>
        </w:tc>
        <w:tc>
          <w:tcPr>
            <w:tcW w:w="1754" w:type="dxa"/>
          </w:tcPr>
          <w:p w14:paraId="3519B4C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639A19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280275F" w14:textId="77777777">
        <w:tc>
          <w:tcPr>
            <w:tcW w:w="3936" w:type="dxa"/>
          </w:tcPr>
          <w:p w14:paraId="58CA2F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5F8735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500-550</w:t>
            </w:r>
          </w:p>
        </w:tc>
        <w:tc>
          <w:tcPr>
            <w:tcW w:w="1754" w:type="dxa"/>
          </w:tcPr>
          <w:p w14:paraId="612917A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07E25E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A16E706" w14:textId="77777777">
        <w:tc>
          <w:tcPr>
            <w:tcW w:w="3936" w:type="dxa"/>
          </w:tcPr>
          <w:p w14:paraId="097319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1FB6FA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1754" w:type="dxa"/>
          </w:tcPr>
          <w:p w14:paraId="49C3E13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AA3699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17A2B18" w14:textId="77777777">
        <w:tc>
          <w:tcPr>
            <w:tcW w:w="3936" w:type="dxa"/>
          </w:tcPr>
          <w:p w14:paraId="0BA9C6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0B2901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754" w:type="dxa"/>
          </w:tcPr>
          <w:p w14:paraId="3F28150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FBA848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AA06E09" w14:textId="77777777">
        <w:tc>
          <w:tcPr>
            <w:tcW w:w="3936" w:type="dxa"/>
          </w:tcPr>
          <w:p w14:paraId="36D416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0175E3D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2B209B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32B992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8A15DD" w14:textId="77777777">
        <w:tc>
          <w:tcPr>
            <w:tcW w:w="3936" w:type="dxa"/>
          </w:tcPr>
          <w:p w14:paraId="57AA3C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38D377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пулемета</w:t>
            </w:r>
          </w:p>
        </w:tc>
        <w:tc>
          <w:tcPr>
            <w:tcW w:w="1754" w:type="dxa"/>
          </w:tcPr>
          <w:p w14:paraId="23AB551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EEC6FC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6D30698" w14:textId="77777777">
        <w:tc>
          <w:tcPr>
            <w:tcW w:w="3936" w:type="dxa"/>
          </w:tcPr>
          <w:p w14:paraId="7F75AC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605491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емкость бомбодержат. 40 кг</w:t>
            </w:r>
          </w:p>
        </w:tc>
        <w:tc>
          <w:tcPr>
            <w:tcW w:w="1754" w:type="dxa"/>
          </w:tcPr>
          <w:p w14:paraId="2766A39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79EEC1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C577AB1" w14:textId="77777777">
        <w:tc>
          <w:tcPr>
            <w:tcW w:w="3936" w:type="dxa"/>
          </w:tcPr>
          <w:p w14:paraId="38B0B476"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6E07D2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- 10</w:t>
            </w:r>
          </w:p>
        </w:tc>
        <w:tc>
          <w:tcPr>
            <w:tcW w:w="1754" w:type="dxa"/>
          </w:tcPr>
          <w:p w14:paraId="3D115B7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DEEC70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BA64AB1" w14:textId="77777777">
        <w:tc>
          <w:tcPr>
            <w:tcW w:w="3936" w:type="dxa"/>
          </w:tcPr>
          <w:p w14:paraId="330AB5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3CF09A4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55BADA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922807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C6325D6" w14:textId="77777777">
        <w:tc>
          <w:tcPr>
            <w:tcW w:w="3936" w:type="dxa"/>
          </w:tcPr>
          <w:p w14:paraId="558C21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7BEA09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39</w:t>
            </w:r>
          </w:p>
        </w:tc>
        <w:tc>
          <w:tcPr>
            <w:tcW w:w="1754" w:type="dxa"/>
          </w:tcPr>
          <w:p w14:paraId="5C724CE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7FDBDB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B3AD45E" w14:textId="77777777">
        <w:tc>
          <w:tcPr>
            <w:tcW w:w="3936" w:type="dxa"/>
          </w:tcPr>
          <w:p w14:paraId="12AF6A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6E8ABA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года</w:t>
            </w:r>
          </w:p>
        </w:tc>
        <w:tc>
          <w:tcPr>
            <w:tcW w:w="1754" w:type="dxa"/>
          </w:tcPr>
          <w:p w14:paraId="5B1886F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6FE777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0827051" w14:textId="77777777">
        <w:tc>
          <w:tcPr>
            <w:tcW w:w="3936" w:type="dxa"/>
          </w:tcPr>
          <w:p w14:paraId="1AF211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53A20F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22</w:t>
            </w:r>
          </w:p>
        </w:tc>
        <w:tc>
          <w:tcPr>
            <w:tcW w:w="1754" w:type="dxa"/>
          </w:tcPr>
          <w:p w14:paraId="0B2D67E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7F6C22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50E6886" w14:textId="77777777">
        <w:tc>
          <w:tcPr>
            <w:tcW w:w="3936" w:type="dxa"/>
          </w:tcPr>
          <w:p w14:paraId="271B7E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64CB6C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1754" w:type="dxa"/>
          </w:tcPr>
          <w:p w14:paraId="6B07E73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93DDB2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F3162DC" w14:textId="77777777">
        <w:tc>
          <w:tcPr>
            <w:tcW w:w="3936" w:type="dxa"/>
          </w:tcPr>
          <w:p w14:paraId="54CCBD56"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4D8872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21</w:t>
            </w:r>
          </w:p>
        </w:tc>
        <w:tc>
          <w:tcPr>
            <w:tcW w:w="1754" w:type="dxa"/>
          </w:tcPr>
          <w:p w14:paraId="0692B05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48436A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A0B1AE1" w14:textId="77777777">
        <w:tc>
          <w:tcPr>
            <w:tcW w:w="3936" w:type="dxa"/>
          </w:tcPr>
          <w:p w14:paraId="44AA62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579639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пушечный</w:t>
            </w:r>
          </w:p>
        </w:tc>
        <w:tc>
          <w:tcPr>
            <w:tcW w:w="1754" w:type="dxa"/>
          </w:tcPr>
          <w:p w14:paraId="3920A95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50C75A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D3248E4" w14:textId="77777777">
        <w:tc>
          <w:tcPr>
            <w:tcW w:w="3936" w:type="dxa"/>
          </w:tcPr>
          <w:p w14:paraId="571309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10716B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754" w:type="dxa"/>
          </w:tcPr>
          <w:p w14:paraId="6A33C8C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FAA8EB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6AAC23" w14:textId="77777777">
        <w:tc>
          <w:tcPr>
            <w:tcW w:w="3936" w:type="dxa"/>
          </w:tcPr>
          <w:p w14:paraId="7D232C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495E6E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500-550</w:t>
            </w:r>
          </w:p>
        </w:tc>
        <w:tc>
          <w:tcPr>
            <w:tcW w:w="1754" w:type="dxa"/>
          </w:tcPr>
          <w:p w14:paraId="46CE8F2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D56F10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74B7996" w14:textId="77777777">
        <w:tc>
          <w:tcPr>
            <w:tcW w:w="3936" w:type="dxa"/>
          </w:tcPr>
          <w:p w14:paraId="165A6C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2602E2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1754" w:type="dxa"/>
          </w:tcPr>
          <w:p w14:paraId="57B124C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1DBC61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AAA824" w14:textId="77777777">
        <w:tc>
          <w:tcPr>
            <w:tcW w:w="3936" w:type="dxa"/>
          </w:tcPr>
          <w:p w14:paraId="158434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0BDC17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754" w:type="dxa"/>
          </w:tcPr>
          <w:p w14:paraId="15837A1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FF0A9B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BB15C82" w14:textId="77777777">
        <w:tc>
          <w:tcPr>
            <w:tcW w:w="3936" w:type="dxa"/>
          </w:tcPr>
          <w:p w14:paraId="740159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72DED68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9D8D6C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EB4732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11181A" w14:textId="77777777">
        <w:tc>
          <w:tcPr>
            <w:tcW w:w="3936" w:type="dxa"/>
          </w:tcPr>
          <w:p w14:paraId="4E369E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206976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пушка 20 мм или</w:t>
            </w:r>
          </w:p>
        </w:tc>
        <w:tc>
          <w:tcPr>
            <w:tcW w:w="1754" w:type="dxa"/>
          </w:tcPr>
          <w:p w14:paraId="08F796B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D5E8B4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C4CAE6A" w14:textId="77777777">
        <w:tc>
          <w:tcPr>
            <w:tcW w:w="3936" w:type="dxa"/>
          </w:tcPr>
          <w:p w14:paraId="5DD66EF7"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066BEB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пушки АПК 37-76 мм</w:t>
            </w:r>
          </w:p>
        </w:tc>
        <w:tc>
          <w:tcPr>
            <w:tcW w:w="1754" w:type="dxa"/>
          </w:tcPr>
          <w:p w14:paraId="7538305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7A2D18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8EBEF58" w14:textId="77777777">
        <w:tc>
          <w:tcPr>
            <w:tcW w:w="3936" w:type="dxa"/>
          </w:tcPr>
          <w:p w14:paraId="74CBDC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4BE417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емкость бомбодержат. 40 кг</w:t>
            </w:r>
          </w:p>
        </w:tc>
        <w:tc>
          <w:tcPr>
            <w:tcW w:w="1754" w:type="dxa"/>
          </w:tcPr>
          <w:p w14:paraId="0857D33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C4E750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1175CA7" w14:textId="77777777">
        <w:tc>
          <w:tcPr>
            <w:tcW w:w="3936" w:type="dxa"/>
          </w:tcPr>
          <w:p w14:paraId="6E49FB73"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27406D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- 10</w:t>
            </w:r>
          </w:p>
        </w:tc>
        <w:tc>
          <w:tcPr>
            <w:tcW w:w="1754" w:type="dxa"/>
          </w:tcPr>
          <w:p w14:paraId="6DC7EBC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9AC467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874EF01" w14:textId="77777777">
        <w:tc>
          <w:tcPr>
            <w:tcW w:w="3936" w:type="dxa"/>
          </w:tcPr>
          <w:p w14:paraId="084A59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275172C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AAD543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685DCC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F67223F" w14:textId="77777777">
        <w:tc>
          <w:tcPr>
            <w:tcW w:w="3936" w:type="dxa"/>
          </w:tcPr>
          <w:p w14:paraId="7901D2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55EAE5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1 (Григорович).</w:t>
            </w:r>
          </w:p>
        </w:tc>
        <w:tc>
          <w:tcPr>
            <w:tcW w:w="1754" w:type="dxa"/>
          </w:tcPr>
          <w:p w14:paraId="2F69643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935C8D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72C772D" w14:textId="77777777">
        <w:tc>
          <w:tcPr>
            <w:tcW w:w="3936" w:type="dxa"/>
          </w:tcPr>
          <w:p w14:paraId="529996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6934DD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w:t>
            </w:r>
          </w:p>
        </w:tc>
        <w:tc>
          <w:tcPr>
            <w:tcW w:w="1754" w:type="dxa"/>
          </w:tcPr>
          <w:p w14:paraId="2C24717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D21DD1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1060A1E" w14:textId="77777777">
        <w:tc>
          <w:tcPr>
            <w:tcW w:w="3936" w:type="dxa"/>
          </w:tcPr>
          <w:p w14:paraId="2FE4EA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Боевые морские самолеты</w:t>
            </w:r>
          </w:p>
        </w:tc>
        <w:tc>
          <w:tcPr>
            <w:tcW w:w="3827" w:type="dxa"/>
          </w:tcPr>
          <w:p w14:paraId="7C10215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1DD192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A198B6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80EDD12" w14:textId="77777777">
        <w:tc>
          <w:tcPr>
            <w:tcW w:w="3936" w:type="dxa"/>
          </w:tcPr>
          <w:p w14:paraId="0FBF0B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2F3B18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морской тяжелый бомбардировщик (МТБ),</w:t>
            </w:r>
          </w:p>
        </w:tc>
        <w:tc>
          <w:tcPr>
            <w:tcW w:w="1754" w:type="dxa"/>
          </w:tcPr>
          <w:p w14:paraId="092DF6F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36941D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BF4961A" w14:textId="77777777">
        <w:tc>
          <w:tcPr>
            <w:tcW w:w="3936" w:type="dxa"/>
          </w:tcPr>
          <w:p w14:paraId="2D43D5D4"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1E6EFB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он же в гражданском варианте</w:t>
            </w:r>
          </w:p>
        </w:tc>
        <w:tc>
          <w:tcPr>
            <w:tcW w:w="1754" w:type="dxa"/>
          </w:tcPr>
          <w:p w14:paraId="22A52E6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5F10FB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14751EF" w14:textId="77777777">
        <w:tc>
          <w:tcPr>
            <w:tcW w:w="3936" w:type="dxa"/>
          </w:tcPr>
          <w:p w14:paraId="712F4D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3EB32F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1754" w:type="dxa"/>
          </w:tcPr>
          <w:p w14:paraId="7B37AAF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1A7111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A32ED53" w14:textId="77777777">
        <w:tc>
          <w:tcPr>
            <w:tcW w:w="3936" w:type="dxa"/>
          </w:tcPr>
          <w:p w14:paraId="481F08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6999E0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300-350</w:t>
            </w:r>
          </w:p>
        </w:tc>
        <w:tc>
          <w:tcPr>
            <w:tcW w:w="1754" w:type="dxa"/>
          </w:tcPr>
          <w:p w14:paraId="4F437F5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B78892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ED5F5DD" w14:textId="77777777">
        <w:tc>
          <w:tcPr>
            <w:tcW w:w="3936" w:type="dxa"/>
          </w:tcPr>
          <w:p w14:paraId="5EC72D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1A23588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908A29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B52496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AEA964F" w14:textId="77777777">
        <w:tc>
          <w:tcPr>
            <w:tcW w:w="3936" w:type="dxa"/>
          </w:tcPr>
          <w:p w14:paraId="514601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Дальность действия</w:t>
            </w:r>
          </w:p>
        </w:tc>
        <w:tc>
          <w:tcPr>
            <w:tcW w:w="3827" w:type="dxa"/>
          </w:tcPr>
          <w:p w14:paraId="05A6A4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1754" w:type="dxa"/>
          </w:tcPr>
          <w:p w14:paraId="6500094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D719EE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272702C" w14:textId="77777777">
        <w:tc>
          <w:tcPr>
            <w:tcW w:w="3936" w:type="dxa"/>
          </w:tcPr>
          <w:p w14:paraId="34950E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555EAC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2500</w:t>
            </w:r>
          </w:p>
        </w:tc>
        <w:tc>
          <w:tcPr>
            <w:tcW w:w="1754" w:type="dxa"/>
          </w:tcPr>
          <w:p w14:paraId="2C1BC3C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0337DE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443BB88" w14:textId="77777777">
        <w:tc>
          <w:tcPr>
            <w:tcW w:w="3936" w:type="dxa"/>
          </w:tcPr>
          <w:p w14:paraId="4B460C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595EF1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пушки и пулеметы</w:t>
            </w:r>
          </w:p>
        </w:tc>
        <w:tc>
          <w:tcPr>
            <w:tcW w:w="1754" w:type="dxa"/>
          </w:tcPr>
          <w:p w14:paraId="2A73D37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885135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CC8162A" w14:textId="77777777">
        <w:tc>
          <w:tcPr>
            <w:tcW w:w="3936" w:type="dxa"/>
          </w:tcPr>
          <w:p w14:paraId="157E42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27D65A2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54CE77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259095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E615973" w14:textId="77777777">
        <w:tc>
          <w:tcPr>
            <w:tcW w:w="3936" w:type="dxa"/>
          </w:tcPr>
          <w:p w14:paraId="63070E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20C98B1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EE8A45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DF5EBB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CE93C3E" w14:textId="77777777">
        <w:tc>
          <w:tcPr>
            <w:tcW w:w="3936" w:type="dxa"/>
          </w:tcPr>
          <w:p w14:paraId="47B155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792F25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54" w:type="dxa"/>
          </w:tcPr>
          <w:p w14:paraId="20B6178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4B207F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3044EDE" w14:textId="77777777">
        <w:tc>
          <w:tcPr>
            <w:tcW w:w="3936" w:type="dxa"/>
          </w:tcPr>
          <w:p w14:paraId="5AB8ED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0376F6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года</w:t>
            </w:r>
          </w:p>
        </w:tc>
        <w:tc>
          <w:tcPr>
            <w:tcW w:w="1754" w:type="dxa"/>
          </w:tcPr>
          <w:p w14:paraId="05E0634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C4D0D4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BFAF381" w14:textId="77777777">
        <w:tc>
          <w:tcPr>
            <w:tcW w:w="3936" w:type="dxa"/>
          </w:tcPr>
          <w:p w14:paraId="575252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0C410B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дальний разведчик (МДР), он же в </w:t>
            </w:r>
          </w:p>
        </w:tc>
        <w:tc>
          <w:tcPr>
            <w:tcW w:w="1754" w:type="dxa"/>
          </w:tcPr>
          <w:p w14:paraId="3655AA1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F6BF74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9F52BA6" w14:textId="77777777">
        <w:tc>
          <w:tcPr>
            <w:tcW w:w="3936" w:type="dxa"/>
          </w:tcPr>
          <w:p w14:paraId="255C6DFD"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65F439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гражданском варианте</w:t>
            </w:r>
          </w:p>
        </w:tc>
        <w:tc>
          <w:tcPr>
            <w:tcW w:w="1754" w:type="dxa"/>
          </w:tcPr>
          <w:p w14:paraId="654A407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C97E33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B005376" w14:textId="77777777">
        <w:tc>
          <w:tcPr>
            <w:tcW w:w="3936" w:type="dxa"/>
          </w:tcPr>
          <w:p w14:paraId="6D9831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02A776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754" w:type="dxa"/>
          </w:tcPr>
          <w:p w14:paraId="6D89CE3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AB9F53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029BFDB" w14:textId="77777777">
        <w:tc>
          <w:tcPr>
            <w:tcW w:w="3936" w:type="dxa"/>
          </w:tcPr>
          <w:p w14:paraId="468E96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67348F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300-350</w:t>
            </w:r>
          </w:p>
        </w:tc>
        <w:tc>
          <w:tcPr>
            <w:tcW w:w="1754" w:type="dxa"/>
          </w:tcPr>
          <w:p w14:paraId="667B919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D8E1E3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F06E4AB" w14:textId="77777777">
        <w:tc>
          <w:tcPr>
            <w:tcW w:w="3936" w:type="dxa"/>
          </w:tcPr>
          <w:p w14:paraId="1CB1FD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7366CD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754" w:type="dxa"/>
          </w:tcPr>
          <w:p w14:paraId="49DA290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164470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4AEF40C" w14:textId="77777777">
        <w:tc>
          <w:tcPr>
            <w:tcW w:w="3936" w:type="dxa"/>
          </w:tcPr>
          <w:p w14:paraId="167F1B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255E7E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3000*-4000</w:t>
            </w:r>
          </w:p>
        </w:tc>
        <w:tc>
          <w:tcPr>
            <w:tcW w:w="1754" w:type="dxa"/>
          </w:tcPr>
          <w:p w14:paraId="3525120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A32A9F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719E84B" w14:textId="77777777">
        <w:tc>
          <w:tcPr>
            <w:tcW w:w="3936" w:type="dxa"/>
          </w:tcPr>
          <w:p w14:paraId="36D534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2C421E1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F8943F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000BB2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7981331" w14:textId="77777777">
        <w:tc>
          <w:tcPr>
            <w:tcW w:w="3936" w:type="dxa"/>
          </w:tcPr>
          <w:p w14:paraId="47F166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12F633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пулемета, одна-две пушки или</w:t>
            </w:r>
          </w:p>
        </w:tc>
        <w:tc>
          <w:tcPr>
            <w:tcW w:w="1754" w:type="dxa"/>
          </w:tcPr>
          <w:p w14:paraId="0A30665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DD24B1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3AF6801" w14:textId="77777777">
        <w:tc>
          <w:tcPr>
            <w:tcW w:w="3936" w:type="dxa"/>
          </w:tcPr>
          <w:p w14:paraId="70250442"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572140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реакт. нарядов</w:t>
            </w:r>
          </w:p>
        </w:tc>
        <w:tc>
          <w:tcPr>
            <w:tcW w:w="1754" w:type="dxa"/>
          </w:tcPr>
          <w:p w14:paraId="31B1778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0435F6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901661C" w14:textId="77777777">
        <w:tc>
          <w:tcPr>
            <w:tcW w:w="3936" w:type="dxa"/>
          </w:tcPr>
          <w:p w14:paraId="6B35BE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07E143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емкость бомбодержат. 1000 кг</w:t>
            </w:r>
          </w:p>
        </w:tc>
        <w:tc>
          <w:tcPr>
            <w:tcW w:w="1754" w:type="dxa"/>
          </w:tcPr>
          <w:p w14:paraId="67E280D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77545B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8CE6351" w14:textId="77777777">
        <w:tc>
          <w:tcPr>
            <w:tcW w:w="3936" w:type="dxa"/>
          </w:tcPr>
          <w:p w14:paraId="75B72326"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0DCC66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- 100, 250, 500</w:t>
            </w:r>
          </w:p>
        </w:tc>
        <w:tc>
          <w:tcPr>
            <w:tcW w:w="1754" w:type="dxa"/>
          </w:tcPr>
          <w:p w14:paraId="7597A6E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5EA4E6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2E4C7F4" w14:textId="77777777">
        <w:tc>
          <w:tcPr>
            <w:tcW w:w="3936" w:type="dxa"/>
          </w:tcPr>
          <w:p w14:paraId="40C4E0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5BD6692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B8D45A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5B6DA6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7481DFE" w14:textId="77777777">
        <w:tc>
          <w:tcPr>
            <w:tcW w:w="3936" w:type="dxa"/>
          </w:tcPr>
          <w:p w14:paraId="2DD7BA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480C39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31</w:t>
            </w:r>
          </w:p>
        </w:tc>
        <w:tc>
          <w:tcPr>
            <w:tcW w:w="1754" w:type="dxa"/>
          </w:tcPr>
          <w:p w14:paraId="18007EA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6084B9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EF77F36" w14:textId="77777777">
        <w:tc>
          <w:tcPr>
            <w:tcW w:w="3936" w:type="dxa"/>
          </w:tcPr>
          <w:p w14:paraId="54B380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05453A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года</w:t>
            </w:r>
          </w:p>
        </w:tc>
        <w:tc>
          <w:tcPr>
            <w:tcW w:w="1754" w:type="dxa"/>
          </w:tcPr>
          <w:p w14:paraId="4BEEE6B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716563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E9EF016" w14:textId="77777777">
        <w:tc>
          <w:tcPr>
            <w:tcW w:w="3936" w:type="dxa"/>
          </w:tcPr>
          <w:p w14:paraId="17D809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55F7B0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45</w:t>
            </w:r>
          </w:p>
        </w:tc>
        <w:tc>
          <w:tcPr>
            <w:tcW w:w="1754" w:type="dxa"/>
          </w:tcPr>
          <w:p w14:paraId="1A466D7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AE2ECB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C5C3DA5" w14:textId="77777777">
        <w:tc>
          <w:tcPr>
            <w:tcW w:w="3936" w:type="dxa"/>
          </w:tcPr>
          <w:p w14:paraId="026D2E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31A901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1754" w:type="dxa"/>
          </w:tcPr>
          <w:p w14:paraId="3BA8B11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19E2E1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4EE0169" w14:textId="77777777">
        <w:tc>
          <w:tcPr>
            <w:tcW w:w="3936" w:type="dxa"/>
          </w:tcPr>
          <w:p w14:paraId="39B5A9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Норм. дальность 1800 (МДР5, МДР6).</w:t>
            </w:r>
          </w:p>
        </w:tc>
        <w:tc>
          <w:tcPr>
            <w:tcW w:w="3827" w:type="dxa"/>
          </w:tcPr>
          <w:p w14:paraId="092F97D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1E04C3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4D906F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A0CA97C" w14:textId="77777777">
        <w:tc>
          <w:tcPr>
            <w:tcW w:w="3936" w:type="dxa"/>
          </w:tcPr>
          <w:p w14:paraId="19B900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Он же в аркт. варианте</w:t>
            </w:r>
          </w:p>
        </w:tc>
        <w:tc>
          <w:tcPr>
            <w:tcW w:w="3827" w:type="dxa"/>
          </w:tcPr>
          <w:p w14:paraId="6951081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4AF6B2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8AEEED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A3692D2" w14:textId="77777777">
        <w:tc>
          <w:tcPr>
            <w:tcW w:w="3936" w:type="dxa"/>
          </w:tcPr>
          <w:p w14:paraId="42CEC0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10BDDE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ближний разведчик (МБР).</w:t>
            </w:r>
          </w:p>
        </w:tc>
        <w:tc>
          <w:tcPr>
            <w:tcW w:w="1754" w:type="dxa"/>
          </w:tcPr>
          <w:p w14:paraId="5F0DC95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EF0E2B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7677FDD" w14:textId="77777777">
        <w:tc>
          <w:tcPr>
            <w:tcW w:w="3936" w:type="dxa"/>
          </w:tcPr>
          <w:p w14:paraId="4AAB64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2C3381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4500-5000</w:t>
            </w:r>
          </w:p>
        </w:tc>
        <w:tc>
          <w:tcPr>
            <w:tcW w:w="1754" w:type="dxa"/>
          </w:tcPr>
          <w:p w14:paraId="4EFE55D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E30F65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E3EF89D" w14:textId="77777777">
        <w:tc>
          <w:tcPr>
            <w:tcW w:w="3936" w:type="dxa"/>
          </w:tcPr>
          <w:p w14:paraId="28A0F8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4264A8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325-375</w:t>
            </w:r>
          </w:p>
        </w:tc>
        <w:tc>
          <w:tcPr>
            <w:tcW w:w="1754" w:type="dxa"/>
          </w:tcPr>
          <w:p w14:paraId="2A998BB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F92652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0E0F6B6" w14:textId="77777777">
        <w:tc>
          <w:tcPr>
            <w:tcW w:w="3936" w:type="dxa"/>
          </w:tcPr>
          <w:p w14:paraId="20D44D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0B9C66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754" w:type="dxa"/>
          </w:tcPr>
          <w:p w14:paraId="0A1CDAB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FFF515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5FC17F0" w14:textId="77777777">
        <w:tc>
          <w:tcPr>
            <w:tcW w:w="3936" w:type="dxa"/>
          </w:tcPr>
          <w:p w14:paraId="616578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0CBDBB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754" w:type="dxa"/>
          </w:tcPr>
          <w:p w14:paraId="65D90FC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33EA99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0C5003B" w14:textId="77777777">
        <w:tc>
          <w:tcPr>
            <w:tcW w:w="3936" w:type="dxa"/>
          </w:tcPr>
          <w:p w14:paraId="532F1A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5109D91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1DB6D8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A04AF4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EBEDAF8" w14:textId="77777777">
        <w:tc>
          <w:tcPr>
            <w:tcW w:w="3936" w:type="dxa"/>
          </w:tcPr>
          <w:p w14:paraId="20A67B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2DEA18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пулемета</w:t>
            </w:r>
          </w:p>
        </w:tc>
        <w:tc>
          <w:tcPr>
            <w:tcW w:w="1754" w:type="dxa"/>
          </w:tcPr>
          <w:p w14:paraId="08B38A4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ACD3D8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7509045" w14:textId="77777777">
        <w:tc>
          <w:tcPr>
            <w:tcW w:w="3936" w:type="dxa"/>
          </w:tcPr>
          <w:p w14:paraId="5AE339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5A289D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емкость бомбодержат. 500 кг</w:t>
            </w:r>
          </w:p>
        </w:tc>
        <w:tc>
          <w:tcPr>
            <w:tcW w:w="1754" w:type="dxa"/>
          </w:tcPr>
          <w:p w14:paraId="631D070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BA4AB6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A295983" w14:textId="77777777">
        <w:tc>
          <w:tcPr>
            <w:tcW w:w="3936" w:type="dxa"/>
          </w:tcPr>
          <w:p w14:paraId="58BB78AA"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2B10E4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- 100-250</w:t>
            </w:r>
          </w:p>
        </w:tc>
        <w:tc>
          <w:tcPr>
            <w:tcW w:w="1754" w:type="dxa"/>
          </w:tcPr>
          <w:p w14:paraId="420E8B0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2F989D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DBC29A9" w14:textId="77777777">
        <w:tc>
          <w:tcPr>
            <w:tcW w:w="3936" w:type="dxa"/>
          </w:tcPr>
          <w:p w14:paraId="1F5BEC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247C8D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бака ОВ или 2 дым. прибора по 250</w:t>
            </w:r>
          </w:p>
        </w:tc>
        <w:tc>
          <w:tcPr>
            <w:tcW w:w="1754" w:type="dxa"/>
          </w:tcPr>
          <w:p w14:paraId="595D0AE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177D89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6C025CF" w14:textId="77777777">
        <w:tc>
          <w:tcPr>
            <w:tcW w:w="3936" w:type="dxa"/>
          </w:tcPr>
          <w:p w14:paraId="469723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2F32BB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54" w:type="dxa"/>
          </w:tcPr>
          <w:p w14:paraId="4862790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4CAE50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0A498C6" w14:textId="77777777">
        <w:tc>
          <w:tcPr>
            <w:tcW w:w="3936" w:type="dxa"/>
          </w:tcPr>
          <w:p w14:paraId="44777D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370BB3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1936 года</w:t>
            </w:r>
          </w:p>
        </w:tc>
        <w:tc>
          <w:tcPr>
            <w:tcW w:w="1754" w:type="dxa"/>
          </w:tcPr>
          <w:p w14:paraId="56F0F28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49559D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D48C7D4" w14:textId="77777777">
        <w:tc>
          <w:tcPr>
            <w:tcW w:w="3936" w:type="dxa"/>
          </w:tcPr>
          <w:p w14:paraId="6585AD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54611C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торпедоносец (Т).</w:t>
            </w:r>
          </w:p>
        </w:tc>
        <w:tc>
          <w:tcPr>
            <w:tcW w:w="1754" w:type="dxa"/>
          </w:tcPr>
          <w:p w14:paraId="2C82A52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B072CA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E24B8F1" w14:textId="77777777">
        <w:tc>
          <w:tcPr>
            <w:tcW w:w="3936" w:type="dxa"/>
          </w:tcPr>
          <w:p w14:paraId="7C26DC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79E97F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1754" w:type="dxa"/>
          </w:tcPr>
          <w:p w14:paraId="0DBEA24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56350E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6CD998B" w14:textId="77777777">
        <w:tc>
          <w:tcPr>
            <w:tcW w:w="3936" w:type="dxa"/>
          </w:tcPr>
          <w:p w14:paraId="51D7C0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5CFD1A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330-350</w:t>
            </w:r>
          </w:p>
        </w:tc>
        <w:tc>
          <w:tcPr>
            <w:tcW w:w="1754" w:type="dxa"/>
          </w:tcPr>
          <w:p w14:paraId="74FC7C4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537C00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C36396B" w14:textId="77777777">
        <w:tc>
          <w:tcPr>
            <w:tcW w:w="3936" w:type="dxa"/>
          </w:tcPr>
          <w:p w14:paraId="68881F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49256A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90-100</w:t>
            </w:r>
          </w:p>
        </w:tc>
        <w:tc>
          <w:tcPr>
            <w:tcW w:w="1754" w:type="dxa"/>
          </w:tcPr>
          <w:p w14:paraId="3B64F3F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AF10AC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256533" w14:textId="77777777">
        <w:tc>
          <w:tcPr>
            <w:tcW w:w="3936" w:type="dxa"/>
          </w:tcPr>
          <w:p w14:paraId="4745BD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598871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754" w:type="dxa"/>
          </w:tcPr>
          <w:p w14:paraId="6274355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F2E52A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94E86E7" w14:textId="77777777">
        <w:tc>
          <w:tcPr>
            <w:tcW w:w="3936" w:type="dxa"/>
          </w:tcPr>
          <w:p w14:paraId="68A826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15DACA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торпеда фиум.</w:t>
            </w:r>
          </w:p>
        </w:tc>
        <w:tc>
          <w:tcPr>
            <w:tcW w:w="1754" w:type="dxa"/>
          </w:tcPr>
          <w:p w14:paraId="0587549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3C4A08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8DD6F85" w14:textId="77777777">
        <w:tc>
          <w:tcPr>
            <w:tcW w:w="3936" w:type="dxa"/>
          </w:tcPr>
          <w:p w14:paraId="749A00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530176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пулемета</w:t>
            </w:r>
          </w:p>
        </w:tc>
        <w:tc>
          <w:tcPr>
            <w:tcW w:w="1754" w:type="dxa"/>
          </w:tcPr>
          <w:p w14:paraId="7A205D4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6A6D24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DA16402" w14:textId="77777777">
        <w:tc>
          <w:tcPr>
            <w:tcW w:w="3936" w:type="dxa"/>
          </w:tcPr>
          <w:p w14:paraId="320BFB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10C075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торпеда фиумская</w:t>
            </w:r>
          </w:p>
        </w:tc>
        <w:tc>
          <w:tcPr>
            <w:tcW w:w="1754" w:type="dxa"/>
          </w:tcPr>
          <w:p w14:paraId="426E435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B191E0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66AF2EE" w14:textId="77777777">
        <w:tc>
          <w:tcPr>
            <w:tcW w:w="3936" w:type="dxa"/>
          </w:tcPr>
          <w:p w14:paraId="238671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77BA2E1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C885F1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6B3AFC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DE17381" w14:textId="77777777">
        <w:tc>
          <w:tcPr>
            <w:tcW w:w="3936" w:type="dxa"/>
          </w:tcPr>
          <w:p w14:paraId="0FF670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7C488D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54" w:type="dxa"/>
          </w:tcPr>
          <w:p w14:paraId="0673690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491F14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5D59EB2" w14:textId="77777777">
        <w:tc>
          <w:tcPr>
            <w:tcW w:w="3936" w:type="dxa"/>
          </w:tcPr>
          <w:p w14:paraId="0D18DF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0E3E32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1754" w:type="dxa"/>
          </w:tcPr>
          <w:p w14:paraId="032817C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4254BB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3F36E2E" w14:textId="77777777">
        <w:tc>
          <w:tcPr>
            <w:tcW w:w="3936" w:type="dxa"/>
          </w:tcPr>
          <w:p w14:paraId="3F35D1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0EB411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корабельной службы (КОР).</w:t>
            </w:r>
          </w:p>
        </w:tc>
        <w:tc>
          <w:tcPr>
            <w:tcW w:w="1754" w:type="dxa"/>
          </w:tcPr>
          <w:p w14:paraId="2D00928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A01D92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612DC84" w14:textId="77777777">
        <w:tc>
          <w:tcPr>
            <w:tcW w:w="3936" w:type="dxa"/>
          </w:tcPr>
          <w:p w14:paraId="2CD68E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3E16B9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1754" w:type="dxa"/>
          </w:tcPr>
          <w:p w14:paraId="08CD36A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3B7325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38275A3" w14:textId="77777777">
        <w:tc>
          <w:tcPr>
            <w:tcW w:w="3936" w:type="dxa"/>
          </w:tcPr>
          <w:p w14:paraId="7CA294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04292A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1754" w:type="dxa"/>
          </w:tcPr>
          <w:p w14:paraId="3A5AFA6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F45CAD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A33657A" w14:textId="77777777">
        <w:tc>
          <w:tcPr>
            <w:tcW w:w="3936" w:type="dxa"/>
          </w:tcPr>
          <w:p w14:paraId="7EE7D3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1EAA5E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w:t>
            </w:r>
          </w:p>
        </w:tc>
        <w:tc>
          <w:tcPr>
            <w:tcW w:w="1754" w:type="dxa"/>
          </w:tcPr>
          <w:p w14:paraId="090A3F3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927E2C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E9A352C" w14:textId="77777777">
        <w:tc>
          <w:tcPr>
            <w:tcW w:w="3936" w:type="dxa"/>
          </w:tcPr>
          <w:p w14:paraId="60C8BE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104EA0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1754" w:type="dxa"/>
          </w:tcPr>
          <w:p w14:paraId="337484B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8137C7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A6352DC" w14:textId="77777777">
        <w:tc>
          <w:tcPr>
            <w:tcW w:w="3936" w:type="dxa"/>
          </w:tcPr>
          <w:p w14:paraId="3CF6BA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60568D6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37B189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46BE5F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6EDCD3F" w14:textId="77777777">
        <w:tc>
          <w:tcPr>
            <w:tcW w:w="3936" w:type="dxa"/>
          </w:tcPr>
          <w:p w14:paraId="5F6E98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30EFFE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пулемета</w:t>
            </w:r>
          </w:p>
        </w:tc>
        <w:tc>
          <w:tcPr>
            <w:tcW w:w="1754" w:type="dxa"/>
          </w:tcPr>
          <w:p w14:paraId="01FB820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8B806E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65AE396" w14:textId="77777777">
        <w:tc>
          <w:tcPr>
            <w:tcW w:w="3936" w:type="dxa"/>
          </w:tcPr>
          <w:p w14:paraId="5BE7C7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65F060D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1C11FA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8E939C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4EDDD98" w14:textId="77777777">
        <w:tc>
          <w:tcPr>
            <w:tcW w:w="3936" w:type="dxa"/>
          </w:tcPr>
          <w:p w14:paraId="07D9A5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43BD0E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бак для ОВ 250 кг</w:t>
            </w:r>
          </w:p>
        </w:tc>
        <w:tc>
          <w:tcPr>
            <w:tcW w:w="1754" w:type="dxa"/>
          </w:tcPr>
          <w:p w14:paraId="46D7224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64AF6E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293215D" w14:textId="77777777">
        <w:tc>
          <w:tcPr>
            <w:tcW w:w="3936" w:type="dxa"/>
          </w:tcPr>
          <w:p w14:paraId="745AF1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5FEEA6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31</w:t>
            </w:r>
          </w:p>
        </w:tc>
        <w:tc>
          <w:tcPr>
            <w:tcW w:w="1754" w:type="dxa"/>
          </w:tcPr>
          <w:p w14:paraId="616F58E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7B269D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37045FE" w14:textId="77777777">
        <w:tc>
          <w:tcPr>
            <w:tcW w:w="3936" w:type="dxa"/>
          </w:tcPr>
          <w:p w14:paraId="4173D8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14523A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года</w:t>
            </w:r>
          </w:p>
        </w:tc>
        <w:tc>
          <w:tcPr>
            <w:tcW w:w="1754" w:type="dxa"/>
          </w:tcPr>
          <w:p w14:paraId="319623E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7ED3DF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C186854" w14:textId="77777777">
        <w:tc>
          <w:tcPr>
            <w:tcW w:w="3936" w:type="dxa"/>
          </w:tcPr>
          <w:p w14:paraId="5539D9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Вспомогательные самолеты</w:t>
            </w:r>
          </w:p>
        </w:tc>
        <w:tc>
          <w:tcPr>
            <w:tcW w:w="3827" w:type="dxa"/>
          </w:tcPr>
          <w:p w14:paraId="2755D36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29BFCD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53FCFE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528BBFA" w14:textId="77777777">
        <w:tc>
          <w:tcPr>
            <w:tcW w:w="3936" w:type="dxa"/>
          </w:tcPr>
          <w:p w14:paraId="1F671E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521B58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переходный самолет (тренировочный).</w:t>
            </w:r>
          </w:p>
        </w:tc>
        <w:tc>
          <w:tcPr>
            <w:tcW w:w="1754" w:type="dxa"/>
          </w:tcPr>
          <w:p w14:paraId="7E21C26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02B38A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31B3639" w14:textId="77777777">
        <w:tc>
          <w:tcPr>
            <w:tcW w:w="3936" w:type="dxa"/>
          </w:tcPr>
          <w:p w14:paraId="46C03B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57C74E8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41C9F0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90DD7C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AE4922A" w14:textId="77777777">
        <w:tc>
          <w:tcPr>
            <w:tcW w:w="3936" w:type="dxa"/>
          </w:tcPr>
          <w:p w14:paraId="15FBEF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7D1208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250-300</w:t>
            </w:r>
          </w:p>
        </w:tc>
        <w:tc>
          <w:tcPr>
            <w:tcW w:w="1754" w:type="dxa"/>
          </w:tcPr>
          <w:p w14:paraId="37CAC71D"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94583F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C1012E4" w14:textId="77777777">
        <w:tc>
          <w:tcPr>
            <w:tcW w:w="3936" w:type="dxa"/>
          </w:tcPr>
          <w:p w14:paraId="2DC843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76DD00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w:t>
            </w:r>
          </w:p>
        </w:tc>
        <w:tc>
          <w:tcPr>
            <w:tcW w:w="1754" w:type="dxa"/>
          </w:tcPr>
          <w:p w14:paraId="175B063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A09911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9725569" w14:textId="77777777">
        <w:tc>
          <w:tcPr>
            <w:tcW w:w="3936" w:type="dxa"/>
          </w:tcPr>
          <w:p w14:paraId="0FB1B8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2FFEFF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1754" w:type="dxa"/>
          </w:tcPr>
          <w:p w14:paraId="64A47EF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5A8D7F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E06958C" w14:textId="77777777">
        <w:tc>
          <w:tcPr>
            <w:tcW w:w="3936" w:type="dxa"/>
          </w:tcPr>
          <w:p w14:paraId="02434A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3827" w:type="dxa"/>
          </w:tcPr>
          <w:p w14:paraId="6A8D000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E4751A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1156D1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36B0AC0" w14:textId="77777777">
        <w:tc>
          <w:tcPr>
            <w:tcW w:w="3936" w:type="dxa"/>
          </w:tcPr>
          <w:p w14:paraId="1DA3EA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3460B9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пулемета</w:t>
            </w:r>
          </w:p>
        </w:tc>
        <w:tc>
          <w:tcPr>
            <w:tcW w:w="1754" w:type="dxa"/>
          </w:tcPr>
          <w:p w14:paraId="7DB3BE0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38E414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D22E40E" w14:textId="77777777">
        <w:tc>
          <w:tcPr>
            <w:tcW w:w="3936" w:type="dxa"/>
          </w:tcPr>
          <w:p w14:paraId="2C8826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7E273F1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2AD4FA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DD6310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6068EB4" w14:textId="77777777">
        <w:tc>
          <w:tcPr>
            <w:tcW w:w="3936" w:type="dxa"/>
          </w:tcPr>
          <w:p w14:paraId="6E93CE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3757376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7F64B6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EB7A37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32B6EC2" w14:textId="77777777">
        <w:tc>
          <w:tcPr>
            <w:tcW w:w="3936" w:type="dxa"/>
          </w:tcPr>
          <w:p w14:paraId="549D69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35D22E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23</w:t>
            </w:r>
          </w:p>
        </w:tc>
        <w:tc>
          <w:tcPr>
            <w:tcW w:w="1754" w:type="dxa"/>
          </w:tcPr>
          <w:p w14:paraId="5B4E7D8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D32712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B382CD6" w14:textId="77777777">
        <w:tc>
          <w:tcPr>
            <w:tcW w:w="3936" w:type="dxa"/>
          </w:tcPr>
          <w:p w14:paraId="7444EB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131AFE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года</w:t>
            </w:r>
          </w:p>
        </w:tc>
        <w:tc>
          <w:tcPr>
            <w:tcW w:w="1754" w:type="dxa"/>
          </w:tcPr>
          <w:p w14:paraId="0DA3FDA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745C8E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D6184ED" w14:textId="77777777">
        <w:tc>
          <w:tcPr>
            <w:tcW w:w="3936" w:type="dxa"/>
          </w:tcPr>
          <w:p w14:paraId="351D0A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3625B4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1754" w:type="dxa"/>
          </w:tcPr>
          <w:p w14:paraId="5F90B90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E16D7C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ADED573" w14:textId="77777777">
        <w:tc>
          <w:tcPr>
            <w:tcW w:w="3936" w:type="dxa"/>
          </w:tcPr>
          <w:p w14:paraId="01354D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74E8BD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года</w:t>
            </w:r>
          </w:p>
        </w:tc>
        <w:tc>
          <w:tcPr>
            <w:tcW w:w="1754" w:type="dxa"/>
          </w:tcPr>
          <w:p w14:paraId="1FBF40E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72894B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52A4247" w14:textId="77777777">
        <w:tc>
          <w:tcPr>
            <w:tcW w:w="3936" w:type="dxa"/>
          </w:tcPr>
          <w:p w14:paraId="11AF7E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14A28E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транспортный самолет (он же санитарный).</w:t>
            </w:r>
          </w:p>
        </w:tc>
        <w:tc>
          <w:tcPr>
            <w:tcW w:w="1754" w:type="dxa"/>
          </w:tcPr>
          <w:p w14:paraId="3B4ED4E7"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A4A72F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33B5603" w14:textId="77777777">
        <w:tc>
          <w:tcPr>
            <w:tcW w:w="3936" w:type="dxa"/>
          </w:tcPr>
          <w:p w14:paraId="713D8C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3827" w:type="dxa"/>
          </w:tcPr>
          <w:p w14:paraId="61568EA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0ABF7F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0554B6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505F66F" w14:textId="77777777">
        <w:tc>
          <w:tcPr>
            <w:tcW w:w="3936" w:type="dxa"/>
          </w:tcPr>
          <w:p w14:paraId="665F7A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w:t>
            </w:r>
          </w:p>
        </w:tc>
        <w:tc>
          <w:tcPr>
            <w:tcW w:w="3827" w:type="dxa"/>
          </w:tcPr>
          <w:p w14:paraId="77EEFA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250-300</w:t>
            </w:r>
          </w:p>
        </w:tc>
        <w:tc>
          <w:tcPr>
            <w:tcW w:w="1754" w:type="dxa"/>
          </w:tcPr>
          <w:p w14:paraId="26062B9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5C2961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FE51B8C" w14:textId="77777777">
        <w:tc>
          <w:tcPr>
            <w:tcW w:w="3936" w:type="dxa"/>
          </w:tcPr>
          <w:p w14:paraId="70CBCB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3827" w:type="dxa"/>
          </w:tcPr>
          <w:p w14:paraId="554FA8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70-80</w:t>
            </w:r>
          </w:p>
        </w:tc>
        <w:tc>
          <w:tcPr>
            <w:tcW w:w="1754" w:type="dxa"/>
          </w:tcPr>
          <w:p w14:paraId="6BED9B0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562871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F52FD40" w14:textId="77777777">
        <w:tc>
          <w:tcPr>
            <w:tcW w:w="3936" w:type="dxa"/>
          </w:tcPr>
          <w:p w14:paraId="135ED1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3827" w:type="dxa"/>
          </w:tcPr>
          <w:p w14:paraId="37A2AC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tc>
        <w:tc>
          <w:tcPr>
            <w:tcW w:w="1754" w:type="dxa"/>
          </w:tcPr>
          <w:p w14:paraId="76B95DE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054C69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AE63C00" w14:textId="77777777">
        <w:tc>
          <w:tcPr>
            <w:tcW w:w="3936" w:type="dxa"/>
          </w:tcPr>
          <w:p w14:paraId="7DCA3F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Бомбовая нагрузка</w:t>
            </w:r>
          </w:p>
        </w:tc>
        <w:tc>
          <w:tcPr>
            <w:tcW w:w="3827" w:type="dxa"/>
          </w:tcPr>
          <w:p w14:paraId="52FE03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полезн. нагр. 2000</w:t>
            </w:r>
          </w:p>
        </w:tc>
        <w:tc>
          <w:tcPr>
            <w:tcW w:w="1754" w:type="dxa"/>
          </w:tcPr>
          <w:p w14:paraId="75D6146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0D8DEC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025D1C7" w14:textId="77777777">
        <w:tc>
          <w:tcPr>
            <w:tcW w:w="3936" w:type="dxa"/>
          </w:tcPr>
          <w:p w14:paraId="3D9894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w:t>
            </w:r>
          </w:p>
        </w:tc>
        <w:tc>
          <w:tcPr>
            <w:tcW w:w="3827" w:type="dxa"/>
          </w:tcPr>
          <w:p w14:paraId="2175B9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пулемета</w:t>
            </w:r>
          </w:p>
        </w:tc>
        <w:tc>
          <w:tcPr>
            <w:tcW w:w="1754" w:type="dxa"/>
          </w:tcPr>
          <w:p w14:paraId="3C57759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24730B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0204DF2" w14:textId="77777777">
        <w:tc>
          <w:tcPr>
            <w:tcW w:w="3936" w:type="dxa"/>
          </w:tcPr>
          <w:p w14:paraId="45ED70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w:t>
            </w:r>
          </w:p>
        </w:tc>
        <w:tc>
          <w:tcPr>
            <w:tcW w:w="3827" w:type="dxa"/>
          </w:tcPr>
          <w:p w14:paraId="40F71CA2"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3124BF1"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FF8354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142A99" w14:textId="77777777">
        <w:tc>
          <w:tcPr>
            <w:tcW w:w="3936" w:type="dxa"/>
          </w:tcPr>
          <w:p w14:paraId="725AE1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w:t>
            </w:r>
          </w:p>
        </w:tc>
        <w:tc>
          <w:tcPr>
            <w:tcW w:w="3827" w:type="dxa"/>
          </w:tcPr>
          <w:p w14:paraId="2377B88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2EE6244"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E3C9B0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65BB647" w14:textId="77777777">
        <w:tc>
          <w:tcPr>
            <w:tcW w:w="3936" w:type="dxa"/>
          </w:tcPr>
          <w:p w14:paraId="4EB2D4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3D9E40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N 18</w:t>
            </w:r>
          </w:p>
        </w:tc>
        <w:tc>
          <w:tcPr>
            <w:tcW w:w="1754" w:type="dxa"/>
          </w:tcPr>
          <w:p w14:paraId="7B1FB95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B152C9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54D680F" w14:textId="77777777">
        <w:tc>
          <w:tcPr>
            <w:tcW w:w="3936" w:type="dxa"/>
          </w:tcPr>
          <w:p w14:paraId="476CA8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Pr>
          <w:p w14:paraId="2E86F1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1936 года</w:t>
            </w:r>
          </w:p>
        </w:tc>
        <w:tc>
          <w:tcPr>
            <w:tcW w:w="1754" w:type="dxa"/>
          </w:tcPr>
          <w:p w14:paraId="09E8146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762687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9D61812" w14:textId="77777777">
        <w:tc>
          <w:tcPr>
            <w:tcW w:w="3936" w:type="dxa"/>
          </w:tcPr>
          <w:p w14:paraId="059DB2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Экспериментальные работы и самолеты</w:t>
            </w:r>
          </w:p>
        </w:tc>
        <w:tc>
          <w:tcPr>
            <w:tcW w:w="3827" w:type="dxa"/>
          </w:tcPr>
          <w:p w14:paraId="0DE8357B"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058718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C08D4B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2F8CF94" w14:textId="77777777">
        <w:tc>
          <w:tcPr>
            <w:tcW w:w="3936" w:type="dxa"/>
          </w:tcPr>
          <w:p w14:paraId="25665A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62A728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для побития мирового рекорда</w:t>
            </w:r>
          </w:p>
        </w:tc>
        <w:tc>
          <w:tcPr>
            <w:tcW w:w="1754" w:type="dxa"/>
          </w:tcPr>
          <w:p w14:paraId="41DB55C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675DF0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25C099C" w14:textId="77777777">
        <w:tc>
          <w:tcPr>
            <w:tcW w:w="3936" w:type="dxa"/>
          </w:tcPr>
          <w:p w14:paraId="5E402CAB"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5EFE76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скорости</w:t>
            </w:r>
          </w:p>
        </w:tc>
        <w:tc>
          <w:tcPr>
            <w:tcW w:w="1754" w:type="dxa"/>
          </w:tcPr>
          <w:p w14:paraId="63030FE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078632E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47D6A02" w14:textId="77777777">
        <w:tc>
          <w:tcPr>
            <w:tcW w:w="3936" w:type="dxa"/>
          </w:tcPr>
          <w:p w14:paraId="5FE96DE7"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192A14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земли - 600 км/час</w:t>
            </w:r>
          </w:p>
        </w:tc>
        <w:tc>
          <w:tcPr>
            <w:tcW w:w="1754" w:type="dxa"/>
          </w:tcPr>
          <w:p w14:paraId="7E672D6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5746718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C59EED3" w14:textId="77777777">
        <w:tc>
          <w:tcPr>
            <w:tcW w:w="3936" w:type="dxa"/>
          </w:tcPr>
          <w:p w14:paraId="1A58AA24"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5683F1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воды - 750-800 км/час</w:t>
            </w:r>
          </w:p>
        </w:tc>
        <w:tc>
          <w:tcPr>
            <w:tcW w:w="1754" w:type="dxa"/>
          </w:tcPr>
          <w:p w14:paraId="1ED9A36E"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E5F62B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4846155" w14:textId="77777777">
        <w:tc>
          <w:tcPr>
            <w:tcW w:w="3936" w:type="dxa"/>
          </w:tcPr>
          <w:p w14:paraId="312BFC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7F7A11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ГУАП</w:t>
            </w:r>
          </w:p>
        </w:tc>
        <w:tc>
          <w:tcPr>
            <w:tcW w:w="1754" w:type="dxa"/>
          </w:tcPr>
          <w:p w14:paraId="0903EFB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770EF97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3292FB3" w14:textId="77777777">
        <w:tc>
          <w:tcPr>
            <w:tcW w:w="3936" w:type="dxa"/>
          </w:tcPr>
          <w:p w14:paraId="3596C854"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74901F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НКТП и НКО разрабатывают в 2-х месячный</w:t>
            </w:r>
          </w:p>
        </w:tc>
        <w:tc>
          <w:tcPr>
            <w:tcW w:w="1754" w:type="dxa"/>
          </w:tcPr>
          <w:p w14:paraId="5808C0F6"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2DF7F7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1F458E9" w14:textId="77777777">
        <w:tc>
          <w:tcPr>
            <w:tcW w:w="3936" w:type="dxa"/>
          </w:tcPr>
          <w:p w14:paraId="4E17C676"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01256D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план работ и докладывают его на</w:t>
            </w:r>
          </w:p>
        </w:tc>
        <w:tc>
          <w:tcPr>
            <w:tcW w:w="1754" w:type="dxa"/>
          </w:tcPr>
          <w:p w14:paraId="13F77E8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8BEFCC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B326426" w14:textId="77777777">
        <w:tc>
          <w:tcPr>
            <w:tcW w:w="3936" w:type="dxa"/>
          </w:tcPr>
          <w:p w14:paraId="4603D971"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1CB9B0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утверждение СТО</w:t>
            </w:r>
          </w:p>
        </w:tc>
        <w:tc>
          <w:tcPr>
            <w:tcW w:w="1754" w:type="dxa"/>
          </w:tcPr>
          <w:p w14:paraId="1ABF64EA"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B8F155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B01F613" w14:textId="77777777">
        <w:tc>
          <w:tcPr>
            <w:tcW w:w="3936" w:type="dxa"/>
          </w:tcPr>
          <w:p w14:paraId="5738F2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3EC86D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для побития мирового рекорда</w:t>
            </w:r>
          </w:p>
        </w:tc>
        <w:tc>
          <w:tcPr>
            <w:tcW w:w="1754" w:type="dxa"/>
          </w:tcPr>
          <w:p w14:paraId="2A20BA4F"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44981F9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2B0BF9E" w14:textId="77777777">
        <w:tc>
          <w:tcPr>
            <w:tcW w:w="3936" w:type="dxa"/>
          </w:tcPr>
          <w:p w14:paraId="3549EC2D"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6FF659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высоты</w:t>
            </w:r>
          </w:p>
        </w:tc>
        <w:tc>
          <w:tcPr>
            <w:tcW w:w="1754" w:type="dxa"/>
          </w:tcPr>
          <w:p w14:paraId="58E01D69"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8D51C7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1FA499A" w14:textId="77777777">
        <w:tc>
          <w:tcPr>
            <w:tcW w:w="3936" w:type="dxa"/>
          </w:tcPr>
          <w:p w14:paraId="21B3DC74" w14:textId="77777777" w:rsidR="00D4105E" w:rsidRPr="00E14102" w:rsidRDefault="00D4105E" w:rsidP="00E14102">
            <w:pPr>
              <w:autoSpaceDE w:val="0"/>
              <w:autoSpaceDN w:val="0"/>
              <w:adjustRightInd w:val="0"/>
              <w:jc w:val="both"/>
              <w:rPr>
                <w:color w:val="000000" w:themeColor="text1"/>
                <w:sz w:val="16"/>
                <w:szCs w:val="16"/>
              </w:rPr>
            </w:pPr>
          </w:p>
        </w:tc>
        <w:tc>
          <w:tcPr>
            <w:tcW w:w="3827" w:type="dxa"/>
          </w:tcPr>
          <w:p w14:paraId="0C1D0F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- 16000-20000</w:t>
            </w:r>
          </w:p>
        </w:tc>
        <w:tc>
          <w:tcPr>
            <w:tcW w:w="1754" w:type="dxa"/>
          </w:tcPr>
          <w:p w14:paraId="51ED63E3"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1B1DD17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36FF4FD" w14:textId="77777777">
        <w:tc>
          <w:tcPr>
            <w:tcW w:w="3936" w:type="dxa"/>
          </w:tcPr>
          <w:p w14:paraId="59E684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7B7D5B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ГУАП</w:t>
            </w:r>
          </w:p>
        </w:tc>
        <w:tc>
          <w:tcPr>
            <w:tcW w:w="1754" w:type="dxa"/>
          </w:tcPr>
          <w:p w14:paraId="1336ED90"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3D4461F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8629E72" w14:textId="77777777">
        <w:tc>
          <w:tcPr>
            <w:tcW w:w="3936" w:type="dxa"/>
          </w:tcPr>
          <w:p w14:paraId="79164B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3827" w:type="dxa"/>
          </w:tcPr>
          <w:p w14:paraId="6763F2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катапульта для сухопутных самолетов</w:t>
            </w:r>
          </w:p>
        </w:tc>
        <w:tc>
          <w:tcPr>
            <w:tcW w:w="1754" w:type="dxa"/>
          </w:tcPr>
          <w:p w14:paraId="00660F85"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666E168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66DCA78" w14:textId="77777777">
        <w:tc>
          <w:tcPr>
            <w:tcW w:w="3936" w:type="dxa"/>
          </w:tcPr>
          <w:p w14:paraId="6A6551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3827" w:type="dxa"/>
          </w:tcPr>
          <w:p w14:paraId="4BE657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НКТП</w:t>
            </w:r>
          </w:p>
        </w:tc>
        <w:tc>
          <w:tcPr>
            <w:tcW w:w="1754" w:type="dxa"/>
          </w:tcPr>
          <w:p w14:paraId="5EB3B9EC"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Pr>
          <w:p w14:paraId="2FF072B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B899F45" w14:textId="77777777">
        <w:tc>
          <w:tcPr>
            <w:tcW w:w="3936" w:type="dxa"/>
            <w:tcBorders>
              <w:bottom w:val="single" w:sz="12" w:space="0" w:color="auto"/>
            </w:tcBorders>
          </w:tcPr>
          <w:p w14:paraId="2CFD3E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 испытания</w:t>
            </w:r>
          </w:p>
        </w:tc>
        <w:tc>
          <w:tcPr>
            <w:tcW w:w="3827" w:type="dxa"/>
            <w:tcBorders>
              <w:bottom w:val="single" w:sz="12" w:space="0" w:color="auto"/>
            </w:tcBorders>
          </w:tcPr>
          <w:p w14:paraId="0A4CE3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1935-1936 г.г.</w:t>
            </w:r>
          </w:p>
        </w:tc>
        <w:tc>
          <w:tcPr>
            <w:tcW w:w="1754" w:type="dxa"/>
            <w:tcBorders>
              <w:bottom w:val="single" w:sz="12" w:space="0" w:color="auto"/>
            </w:tcBorders>
          </w:tcPr>
          <w:p w14:paraId="42B113F8" w14:textId="77777777" w:rsidR="00D4105E" w:rsidRPr="00E14102" w:rsidRDefault="00D4105E" w:rsidP="00E14102">
            <w:pPr>
              <w:autoSpaceDE w:val="0"/>
              <w:autoSpaceDN w:val="0"/>
              <w:adjustRightInd w:val="0"/>
              <w:jc w:val="both"/>
              <w:rPr>
                <w:color w:val="000000" w:themeColor="text1"/>
                <w:sz w:val="16"/>
                <w:szCs w:val="16"/>
              </w:rPr>
            </w:pPr>
          </w:p>
        </w:tc>
        <w:tc>
          <w:tcPr>
            <w:tcW w:w="1754" w:type="dxa"/>
            <w:tcBorders>
              <w:bottom w:val="single" w:sz="12" w:space="0" w:color="auto"/>
            </w:tcBorders>
          </w:tcPr>
          <w:p w14:paraId="1E57DB6D" w14:textId="77777777" w:rsidR="00D4105E" w:rsidRPr="00E14102" w:rsidRDefault="00D4105E" w:rsidP="00E14102">
            <w:pPr>
              <w:autoSpaceDE w:val="0"/>
              <w:autoSpaceDN w:val="0"/>
              <w:adjustRightInd w:val="0"/>
              <w:jc w:val="both"/>
              <w:rPr>
                <w:color w:val="000000" w:themeColor="text1"/>
                <w:sz w:val="16"/>
                <w:szCs w:val="16"/>
              </w:rPr>
            </w:pPr>
          </w:p>
        </w:tc>
      </w:tr>
    </w:tbl>
    <w:p w14:paraId="59AFD6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всех самолетов являются обязательными нижеследующие требования:</w:t>
      </w:r>
    </w:p>
    <w:p w14:paraId="49B7B0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Подбор материалов и типа конструкции, обеспечивающих неуменьшение прочности самолета при температуре _60 градусов.</w:t>
      </w:r>
    </w:p>
    <w:p w14:paraId="26F31F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Безотказная работа мотора при температуре от + 45 до _60 градусов.</w:t>
      </w:r>
    </w:p>
    <w:p w14:paraId="5809DE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Обогревание экипажа от моторов.</w:t>
      </w:r>
    </w:p>
    <w:p w14:paraId="0DAEC9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Обеспечение удобства работы экипажа на высоте 6000-9000 м при температуре _60 градусов.</w:t>
      </w:r>
    </w:p>
    <w:p w14:paraId="057960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Безотказность работы винтомоторной группы (гибкие шланги, надежные радиаторы).</w:t>
      </w:r>
    </w:p>
    <w:p w14:paraId="1C885C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Снабжение моторов самопусками, обеспечивающими самолету автономность.</w:t>
      </w:r>
    </w:p>
    <w:p w14:paraId="36549C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Снабжение баков протекторами, обеспечивающими невозгораемость и непротекаемость баков при пробоинах от зажигательных пуль.</w:t>
      </w:r>
    </w:p>
    <w:p w14:paraId="67168B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Безотказность работы стрелковых установок при температуре _60 градусов, на высоте 6000-9000 м.</w:t>
      </w:r>
    </w:p>
    <w:p w14:paraId="66F614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Свободная подвеска бомб и механизация их подъема при зарядке.</w:t>
      </w:r>
    </w:p>
    <w:p w14:paraId="097285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Высокая культура отделки как всего самолета в целом, так и его всех деталей.</w:t>
      </w:r>
    </w:p>
    <w:p w14:paraId="097A70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p w14:paraId="394B13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Все самолеты плана опытного строительства должны обладать запасом прочности, требуемым действующим в настоящее время нормами прочности. Запас прочности определяется по основному, стоящему в плане, первому варианту самолета.</w:t>
      </w:r>
    </w:p>
    <w:p w14:paraId="104597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Приведенные в плане требования не относятся к самолетам, взятым из плана, утвержденного СТО 14 июля 1934 года, если эскизный проект и макет самолета утверждены УВС.</w:t>
      </w:r>
    </w:p>
    <w:p w14:paraId="58D75B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Максимальная скорость полета, стоящая в плане, должна определяться без подвешенного химического вооружения и реактивных снарядов.</w:t>
      </w:r>
    </w:p>
    <w:p w14:paraId="58E4C1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Достройка самолетов из плана, утвержденного СТО 14 июля 1934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417"/>
        <w:gridCol w:w="1701"/>
        <w:gridCol w:w="1843"/>
      </w:tblGrid>
      <w:tr w:rsidR="00E3599D" w:rsidRPr="00E14102" w14:paraId="371BF264" w14:textId="77777777">
        <w:tc>
          <w:tcPr>
            <w:tcW w:w="3227" w:type="dxa"/>
            <w:tcBorders>
              <w:top w:val="single" w:sz="12" w:space="0" w:color="auto"/>
            </w:tcBorders>
          </w:tcPr>
          <w:p w14:paraId="5AD8B5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w:t>
            </w:r>
          </w:p>
        </w:tc>
        <w:tc>
          <w:tcPr>
            <w:tcW w:w="1417" w:type="dxa"/>
            <w:tcBorders>
              <w:top w:val="single" w:sz="12" w:space="0" w:color="auto"/>
            </w:tcBorders>
          </w:tcPr>
          <w:p w14:paraId="46C2C1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Организация</w:t>
            </w:r>
          </w:p>
        </w:tc>
        <w:tc>
          <w:tcPr>
            <w:tcW w:w="1701" w:type="dxa"/>
            <w:tcBorders>
              <w:top w:val="single" w:sz="12" w:space="0" w:color="auto"/>
            </w:tcBorders>
          </w:tcPr>
          <w:p w14:paraId="3891B0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w:t>
            </w:r>
          </w:p>
        </w:tc>
        <w:tc>
          <w:tcPr>
            <w:tcW w:w="1843" w:type="dxa"/>
            <w:tcBorders>
              <w:top w:val="single" w:sz="12" w:space="0" w:color="auto"/>
            </w:tcBorders>
          </w:tcPr>
          <w:p w14:paraId="483BBF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13466E5B" w14:textId="77777777">
        <w:tc>
          <w:tcPr>
            <w:tcW w:w="3227" w:type="dxa"/>
          </w:tcPr>
          <w:p w14:paraId="462EBC6C" w14:textId="77777777" w:rsidR="00D4105E" w:rsidRPr="00E14102" w:rsidRDefault="00D4105E" w:rsidP="00E14102">
            <w:pPr>
              <w:autoSpaceDE w:val="0"/>
              <w:autoSpaceDN w:val="0"/>
              <w:adjustRightInd w:val="0"/>
              <w:jc w:val="both"/>
              <w:rPr>
                <w:color w:val="000000" w:themeColor="text1"/>
                <w:sz w:val="16"/>
                <w:szCs w:val="16"/>
              </w:rPr>
            </w:pPr>
          </w:p>
        </w:tc>
        <w:tc>
          <w:tcPr>
            <w:tcW w:w="1417" w:type="dxa"/>
          </w:tcPr>
          <w:p w14:paraId="09FF49C3"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21BD7F1B" w14:textId="77777777" w:rsidR="00D4105E" w:rsidRPr="00E14102" w:rsidRDefault="00D4105E" w:rsidP="00E14102">
            <w:pPr>
              <w:autoSpaceDE w:val="0"/>
              <w:autoSpaceDN w:val="0"/>
              <w:adjustRightInd w:val="0"/>
              <w:jc w:val="both"/>
              <w:rPr>
                <w:color w:val="000000" w:themeColor="text1"/>
                <w:sz w:val="16"/>
                <w:szCs w:val="16"/>
              </w:rPr>
            </w:pPr>
          </w:p>
        </w:tc>
        <w:tc>
          <w:tcPr>
            <w:tcW w:w="1843" w:type="dxa"/>
          </w:tcPr>
          <w:p w14:paraId="7DC1EA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гос. испытания</w:t>
            </w:r>
          </w:p>
        </w:tc>
      </w:tr>
      <w:tr w:rsidR="00E3599D" w:rsidRPr="00E14102" w14:paraId="2FD79946" w14:textId="77777777">
        <w:tc>
          <w:tcPr>
            <w:tcW w:w="3227" w:type="dxa"/>
          </w:tcPr>
          <w:p w14:paraId="10045F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И-17 М-100</w:t>
            </w:r>
          </w:p>
        </w:tc>
        <w:tc>
          <w:tcPr>
            <w:tcW w:w="1417" w:type="dxa"/>
          </w:tcPr>
          <w:p w14:paraId="12D314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39</w:t>
            </w:r>
          </w:p>
        </w:tc>
        <w:tc>
          <w:tcPr>
            <w:tcW w:w="1701" w:type="dxa"/>
          </w:tcPr>
          <w:p w14:paraId="46C9D9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1843" w:type="dxa"/>
          </w:tcPr>
          <w:p w14:paraId="48B055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варианта: пулеметный</w:t>
            </w:r>
          </w:p>
        </w:tc>
      </w:tr>
      <w:tr w:rsidR="00E3599D" w:rsidRPr="00E14102" w14:paraId="41A75637" w14:textId="77777777">
        <w:tc>
          <w:tcPr>
            <w:tcW w:w="3227" w:type="dxa"/>
          </w:tcPr>
          <w:p w14:paraId="7D1FCE12" w14:textId="77777777" w:rsidR="00D4105E" w:rsidRPr="00E14102" w:rsidRDefault="00D4105E" w:rsidP="00E14102">
            <w:pPr>
              <w:autoSpaceDE w:val="0"/>
              <w:autoSpaceDN w:val="0"/>
              <w:adjustRightInd w:val="0"/>
              <w:jc w:val="both"/>
              <w:rPr>
                <w:color w:val="000000" w:themeColor="text1"/>
                <w:sz w:val="16"/>
                <w:szCs w:val="16"/>
              </w:rPr>
            </w:pPr>
          </w:p>
        </w:tc>
        <w:tc>
          <w:tcPr>
            <w:tcW w:w="1417" w:type="dxa"/>
          </w:tcPr>
          <w:p w14:paraId="483178DB"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2CF64E30" w14:textId="77777777" w:rsidR="00D4105E" w:rsidRPr="00E14102" w:rsidRDefault="00D4105E" w:rsidP="00E14102">
            <w:pPr>
              <w:autoSpaceDE w:val="0"/>
              <w:autoSpaceDN w:val="0"/>
              <w:adjustRightInd w:val="0"/>
              <w:jc w:val="both"/>
              <w:rPr>
                <w:color w:val="000000" w:themeColor="text1"/>
                <w:sz w:val="16"/>
                <w:szCs w:val="16"/>
              </w:rPr>
            </w:pPr>
          </w:p>
        </w:tc>
        <w:tc>
          <w:tcPr>
            <w:tcW w:w="1843" w:type="dxa"/>
          </w:tcPr>
          <w:p w14:paraId="00225F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пушечный</w:t>
            </w:r>
          </w:p>
        </w:tc>
      </w:tr>
      <w:tr w:rsidR="00E3599D" w:rsidRPr="00E14102" w14:paraId="43FD9AA2" w14:textId="77777777">
        <w:tc>
          <w:tcPr>
            <w:tcW w:w="3227" w:type="dxa"/>
          </w:tcPr>
          <w:p w14:paraId="4BA359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ИП3 М-25</w:t>
            </w:r>
          </w:p>
        </w:tc>
        <w:tc>
          <w:tcPr>
            <w:tcW w:w="1417" w:type="dxa"/>
          </w:tcPr>
          <w:p w14:paraId="54B892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1</w:t>
            </w:r>
          </w:p>
        </w:tc>
        <w:tc>
          <w:tcPr>
            <w:tcW w:w="1701" w:type="dxa"/>
          </w:tcPr>
          <w:p w14:paraId="47D8CC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1843" w:type="dxa"/>
          </w:tcPr>
          <w:p w14:paraId="631BFE7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6174E3E" w14:textId="77777777">
        <w:tc>
          <w:tcPr>
            <w:tcW w:w="3227" w:type="dxa"/>
          </w:tcPr>
          <w:p w14:paraId="732201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ДБ2 2М-85</w:t>
            </w:r>
          </w:p>
        </w:tc>
        <w:tc>
          <w:tcPr>
            <w:tcW w:w="1417" w:type="dxa"/>
          </w:tcPr>
          <w:p w14:paraId="7A98FF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5AA0F0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июня 1935 года</w:t>
            </w:r>
          </w:p>
        </w:tc>
        <w:tc>
          <w:tcPr>
            <w:tcW w:w="1843" w:type="dxa"/>
          </w:tcPr>
          <w:p w14:paraId="6B31F1D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D0CC1C9" w14:textId="77777777">
        <w:tc>
          <w:tcPr>
            <w:tcW w:w="3227" w:type="dxa"/>
          </w:tcPr>
          <w:p w14:paraId="7721A7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ДБ-4 М-34</w:t>
            </w:r>
          </w:p>
        </w:tc>
        <w:tc>
          <w:tcPr>
            <w:tcW w:w="1417" w:type="dxa"/>
          </w:tcPr>
          <w:p w14:paraId="611146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22</w:t>
            </w:r>
          </w:p>
        </w:tc>
        <w:tc>
          <w:tcPr>
            <w:tcW w:w="1701" w:type="dxa"/>
          </w:tcPr>
          <w:p w14:paraId="6EC8AF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1843" w:type="dxa"/>
          </w:tcPr>
          <w:p w14:paraId="24084A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он же в гражданском</w:t>
            </w:r>
          </w:p>
        </w:tc>
      </w:tr>
      <w:tr w:rsidR="00E3599D" w:rsidRPr="00E14102" w14:paraId="6D67105E" w14:textId="77777777">
        <w:tc>
          <w:tcPr>
            <w:tcW w:w="3227" w:type="dxa"/>
          </w:tcPr>
          <w:p w14:paraId="1D7334A8" w14:textId="77777777" w:rsidR="00D4105E" w:rsidRPr="00E14102" w:rsidRDefault="00D4105E" w:rsidP="00E14102">
            <w:pPr>
              <w:autoSpaceDE w:val="0"/>
              <w:autoSpaceDN w:val="0"/>
              <w:adjustRightInd w:val="0"/>
              <w:jc w:val="both"/>
              <w:rPr>
                <w:color w:val="000000" w:themeColor="text1"/>
                <w:sz w:val="16"/>
                <w:szCs w:val="16"/>
              </w:rPr>
            </w:pPr>
          </w:p>
        </w:tc>
        <w:tc>
          <w:tcPr>
            <w:tcW w:w="1417" w:type="dxa"/>
          </w:tcPr>
          <w:p w14:paraId="67B7D597"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1289E36A" w14:textId="77777777" w:rsidR="00D4105E" w:rsidRPr="00E14102" w:rsidRDefault="00D4105E" w:rsidP="00E14102">
            <w:pPr>
              <w:autoSpaceDE w:val="0"/>
              <w:autoSpaceDN w:val="0"/>
              <w:adjustRightInd w:val="0"/>
              <w:jc w:val="both"/>
              <w:rPr>
                <w:color w:val="000000" w:themeColor="text1"/>
                <w:sz w:val="16"/>
                <w:szCs w:val="16"/>
              </w:rPr>
            </w:pPr>
          </w:p>
        </w:tc>
        <w:tc>
          <w:tcPr>
            <w:tcW w:w="1843" w:type="dxa"/>
          </w:tcPr>
          <w:p w14:paraId="4EE620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варианте</w:t>
            </w:r>
          </w:p>
        </w:tc>
      </w:tr>
      <w:tr w:rsidR="00E3599D" w:rsidRPr="00E14102" w14:paraId="7BA60449" w14:textId="77777777">
        <w:tc>
          <w:tcPr>
            <w:tcW w:w="3227" w:type="dxa"/>
          </w:tcPr>
          <w:p w14:paraId="25EBDA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ФР-М25</w:t>
            </w:r>
          </w:p>
        </w:tc>
        <w:tc>
          <w:tcPr>
            <w:tcW w:w="1417" w:type="dxa"/>
          </w:tcPr>
          <w:p w14:paraId="643BF0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1701" w:type="dxa"/>
          </w:tcPr>
          <w:p w14:paraId="6A76DC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1935 года</w:t>
            </w:r>
          </w:p>
        </w:tc>
        <w:tc>
          <w:tcPr>
            <w:tcW w:w="1843" w:type="dxa"/>
          </w:tcPr>
          <w:p w14:paraId="6CE3D66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7990C5C" w14:textId="77777777">
        <w:tc>
          <w:tcPr>
            <w:tcW w:w="3227" w:type="dxa"/>
          </w:tcPr>
          <w:p w14:paraId="2AFF6B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И21-М100</w:t>
            </w:r>
          </w:p>
        </w:tc>
        <w:tc>
          <w:tcPr>
            <w:tcW w:w="1417" w:type="dxa"/>
          </w:tcPr>
          <w:p w14:paraId="23DBD2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СНИИ ГУГВФ</w:t>
            </w:r>
          </w:p>
        </w:tc>
        <w:tc>
          <w:tcPr>
            <w:tcW w:w="1701" w:type="dxa"/>
          </w:tcPr>
          <w:p w14:paraId="4328CC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года</w:t>
            </w:r>
          </w:p>
        </w:tc>
        <w:tc>
          <w:tcPr>
            <w:tcW w:w="1843" w:type="dxa"/>
          </w:tcPr>
          <w:p w14:paraId="0F3A389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B1CEE71" w14:textId="77777777">
        <w:tc>
          <w:tcPr>
            <w:tcW w:w="3227" w:type="dxa"/>
          </w:tcPr>
          <w:p w14:paraId="557BFE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ДИ3-2М85</w:t>
            </w:r>
          </w:p>
        </w:tc>
        <w:tc>
          <w:tcPr>
            <w:tcW w:w="1417" w:type="dxa"/>
          </w:tcPr>
          <w:p w14:paraId="10E580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4F6E205A" w14:textId="77777777" w:rsidR="00D4105E" w:rsidRPr="00E14102" w:rsidRDefault="00D4105E" w:rsidP="00E14102">
            <w:pPr>
              <w:autoSpaceDE w:val="0"/>
              <w:autoSpaceDN w:val="0"/>
              <w:adjustRightInd w:val="0"/>
              <w:jc w:val="both"/>
              <w:rPr>
                <w:color w:val="000000" w:themeColor="text1"/>
                <w:sz w:val="16"/>
                <w:szCs w:val="16"/>
              </w:rPr>
            </w:pPr>
          </w:p>
        </w:tc>
        <w:tc>
          <w:tcPr>
            <w:tcW w:w="1843" w:type="dxa"/>
          </w:tcPr>
          <w:p w14:paraId="4EDC0E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r>
      <w:tr w:rsidR="00E3599D" w:rsidRPr="00E14102" w14:paraId="481ABCBC" w14:textId="77777777">
        <w:tc>
          <w:tcPr>
            <w:tcW w:w="3227" w:type="dxa"/>
          </w:tcPr>
          <w:p w14:paraId="4FF462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МБР5-М25</w:t>
            </w:r>
          </w:p>
        </w:tc>
        <w:tc>
          <w:tcPr>
            <w:tcW w:w="1417" w:type="dxa"/>
          </w:tcPr>
          <w:p w14:paraId="6D7E64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31</w:t>
            </w:r>
          </w:p>
        </w:tc>
        <w:tc>
          <w:tcPr>
            <w:tcW w:w="1701" w:type="dxa"/>
          </w:tcPr>
          <w:p w14:paraId="24EA23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1843" w:type="dxa"/>
          </w:tcPr>
          <w:p w14:paraId="45577B1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FAB4DA2" w14:textId="77777777">
        <w:tc>
          <w:tcPr>
            <w:tcW w:w="3227" w:type="dxa"/>
          </w:tcPr>
          <w:p w14:paraId="44C750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Экспериментальные самолеты и работы</w:t>
            </w:r>
          </w:p>
        </w:tc>
        <w:tc>
          <w:tcPr>
            <w:tcW w:w="1417" w:type="dxa"/>
          </w:tcPr>
          <w:p w14:paraId="2D731CB7"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34216F53" w14:textId="77777777" w:rsidR="00D4105E" w:rsidRPr="00E14102" w:rsidRDefault="00D4105E" w:rsidP="00E14102">
            <w:pPr>
              <w:autoSpaceDE w:val="0"/>
              <w:autoSpaceDN w:val="0"/>
              <w:adjustRightInd w:val="0"/>
              <w:jc w:val="both"/>
              <w:rPr>
                <w:color w:val="000000" w:themeColor="text1"/>
                <w:sz w:val="16"/>
                <w:szCs w:val="16"/>
              </w:rPr>
            </w:pPr>
          </w:p>
        </w:tc>
        <w:tc>
          <w:tcPr>
            <w:tcW w:w="1843" w:type="dxa"/>
          </w:tcPr>
          <w:p w14:paraId="01B88AA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8070574" w14:textId="77777777">
        <w:tc>
          <w:tcPr>
            <w:tcW w:w="3227" w:type="dxa"/>
          </w:tcPr>
          <w:p w14:paraId="09CDFF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ВС2-2М22</w:t>
            </w:r>
          </w:p>
        </w:tc>
        <w:tc>
          <w:tcPr>
            <w:tcW w:w="1417" w:type="dxa"/>
          </w:tcPr>
          <w:p w14:paraId="3EC011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18</w:t>
            </w:r>
          </w:p>
        </w:tc>
        <w:tc>
          <w:tcPr>
            <w:tcW w:w="1701" w:type="dxa"/>
          </w:tcPr>
          <w:p w14:paraId="697B06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года</w:t>
            </w:r>
          </w:p>
        </w:tc>
        <w:tc>
          <w:tcPr>
            <w:tcW w:w="1843" w:type="dxa"/>
          </w:tcPr>
          <w:p w14:paraId="2FC6C88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3909FBF" w14:textId="77777777">
        <w:tc>
          <w:tcPr>
            <w:tcW w:w="3227" w:type="dxa"/>
          </w:tcPr>
          <w:p w14:paraId="406938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Стратосферный самолет</w:t>
            </w:r>
          </w:p>
        </w:tc>
        <w:tc>
          <w:tcPr>
            <w:tcW w:w="1417" w:type="dxa"/>
          </w:tcPr>
          <w:p w14:paraId="1FA420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35</w:t>
            </w:r>
          </w:p>
        </w:tc>
        <w:tc>
          <w:tcPr>
            <w:tcW w:w="1701" w:type="dxa"/>
          </w:tcPr>
          <w:p w14:paraId="76714B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1843" w:type="dxa"/>
          </w:tcPr>
          <w:p w14:paraId="7365CDA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90AF03D" w14:textId="77777777">
        <w:tc>
          <w:tcPr>
            <w:tcW w:w="3227" w:type="dxa"/>
          </w:tcPr>
          <w:p w14:paraId="7E4D2E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Истребитель лет. Крыло</w:t>
            </w:r>
          </w:p>
        </w:tc>
        <w:tc>
          <w:tcPr>
            <w:tcW w:w="1417" w:type="dxa"/>
          </w:tcPr>
          <w:p w14:paraId="720CA5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1</w:t>
            </w:r>
          </w:p>
        </w:tc>
        <w:tc>
          <w:tcPr>
            <w:tcW w:w="1701" w:type="dxa"/>
          </w:tcPr>
          <w:p w14:paraId="6A4007DF" w14:textId="77777777" w:rsidR="00D4105E" w:rsidRPr="00E14102" w:rsidRDefault="00D4105E" w:rsidP="00E14102">
            <w:pPr>
              <w:autoSpaceDE w:val="0"/>
              <w:autoSpaceDN w:val="0"/>
              <w:adjustRightInd w:val="0"/>
              <w:jc w:val="both"/>
              <w:rPr>
                <w:color w:val="000000" w:themeColor="text1"/>
                <w:sz w:val="16"/>
                <w:szCs w:val="16"/>
              </w:rPr>
            </w:pPr>
          </w:p>
        </w:tc>
        <w:tc>
          <w:tcPr>
            <w:tcW w:w="1843" w:type="dxa"/>
          </w:tcPr>
          <w:p w14:paraId="357AF4B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DD5C086" w14:textId="77777777">
        <w:tc>
          <w:tcPr>
            <w:tcW w:w="3227" w:type="dxa"/>
          </w:tcPr>
          <w:p w14:paraId="43AF333F" w14:textId="77777777" w:rsidR="00D4105E" w:rsidRPr="00E14102" w:rsidRDefault="00D4105E" w:rsidP="00E14102">
            <w:pPr>
              <w:autoSpaceDE w:val="0"/>
              <w:autoSpaceDN w:val="0"/>
              <w:adjustRightInd w:val="0"/>
              <w:jc w:val="both"/>
              <w:rPr>
                <w:color w:val="000000" w:themeColor="text1"/>
                <w:sz w:val="16"/>
                <w:szCs w:val="16"/>
              </w:rPr>
            </w:pPr>
          </w:p>
        </w:tc>
        <w:tc>
          <w:tcPr>
            <w:tcW w:w="1417" w:type="dxa"/>
          </w:tcPr>
          <w:p w14:paraId="334DBE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(Черановский)</w:t>
            </w:r>
          </w:p>
        </w:tc>
        <w:tc>
          <w:tcPr>
            <w:tcW w:w="1701" w:type="dxa"/>
          </w:tcPr>
          <w:p w14:paraId="48969F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года</w:t>
            </w:r>
          </w:p>
        </w:tc>
        <w:tc>
          <w:tcPr>
            <w:tcW w:w="1843" w:type="dxa"/>
          </w:tcPr>
          <w:p w14:paraId="55670FC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11B409" w14:textId="77777777">
        <w:tc>
          <w:tcPr>
            <w:tcW w:w="3227" w:type="dxa"/>
          </w:tcPr>
          <w:p w14:paraId="3C47D6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автожир</w:t>
            </w:r>
          </w:p>
        </w:tc>
        <w:tc>
          <w:tcPr>
            <w:tcW w:w="1417" w:type="dxa"/>
          </w:tcPr>
          <w:p w14:paraId="2AFB11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7CCA3C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года</w:t>
            </w:r>
          </w:p>
        </w:tc>
        <w:tc>
          <w:tcPr>
            <w:tcW w:w="1843" w:type="dxa"/>
          </w:tcPr>
          <w:p w14:paraId="756D884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4DC574A" w14:textId="77777777">
        <w:tc>
          <w:tcPr>
            <w:tcW w:w="3227" w:type="dxa"/>
          </w:tcPr>
          <w:p w14:paraId="70345F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Геликоптер</w:t>
            </w:r>
          </w:p>
        </w:tc>
        <w:tc>
          <w:tcPr>
            <w:tcW w:w="1417" w:type="dxa"/>
          </w:tcPr>
          <w:p w14:paraId="24357F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33624B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1июля 1935 года</w:t>
            </w:r>
          </w:p>
        </w:tc>
        <w:tc>
          <w:tcPr>
            <w:tcW w:w="1843" w:type="dxa"/>
          </w:tcPr>
          <w:p w14:paraId="5CF457E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236F9B2" w14:textId="77777777">
        <w:tc>
          <w:tcPr>
            <w:tcW w:w="3227" w:type="dxa"/>
          </w:tcPr>
          <w:p w14:paraId="340D71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по взлету и посадке</w:t>
            </w:r>
          </w:p>
        </w:tc>
        <w:tc>
          <w:tcPr>
            <w:tcW w:w="1417" w:type="dxa"/>
          </w:tcPr>
          <w:p w14:paraId="02D096C2"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17344E12" w14:textId="77777777" w:rsidR="00D4105E" w:rsidRPr="00E14102" w:rsidRDefault="00D4105E" w:rsidP="00E14102">
            <w:pPr>
              <w:autoSpaceDE w:val="0"/>
              <w:autoSpaceDN w:val="0"/>
              <w:adjustRightInd w:val="0"/>
              <w:jc w:val="both"/>
              <w:rPr>
                <w:color w:val="000000" w:themeColor="text1"/>
                <w:sz w:val="16"/>
                <w:szCs w:val="16"/>
              </w:rPr>
            </w:pPr>
          </w:p>
        </w:tc>
        <w:tc>
          <w:tcPr>
            <w:tcW w:w="1843" w:type="dxa"/>
          </w:tcPr>
          <w:p w14:paraId="4CA3C7D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8187951" w14:textId="77777777">
        <w:tc>
          <w:tcPr>
            <w:tcW w:w="3227" w:type="dxa"/>
            <w:tcBorders>
              <w:bottom w:val="single" w:sz="12" w:space="0" w:color="auto"/>
            </w:tcBorders>
          </w:tcPr>
          <w:p w14:paraId="5215F3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истребителей с ТБ</w:t>
            </w:r>
          </w:p>
        </w:tc>
        <w:tc>
          <w:tcPr>
            <w:tcW w:w="1417" w:type="dxa"/>
            <w:tcBorders>
              <w:bottom w:val="single" w:sz="12" w:space="0" w:color="auto"/>
            </w:tcBorders>
          </w:tcPr>
          <w:p w14:paraId="2F1984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22</w:t>
            </w:r>
          </w:p>
        </w:tc>
        <w:tc>
          <w:tcPr>
            <w:tcW w:w="1701" w:type="dxa"/>
            <w:tcBorders>
              <w:bottom w:val="single" w:sz="12" w:space="0" w:color="auto"/>
            </w:tcBorders>
          </w:tcPr>
          <w:p w14:paraId="00EF84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1935-1936 г.г.</w:t>
            </w:r>
          </w:p>
        </w:tc>
        <w:tc>
          <w:tcPr>
            <w:tcW w:w="1843" w:type="dxa"/>
            <w:tcBorders>
              <w:bottom w:val="single" w:sz="12" w:space="0" w:color="auto"/>
            </w:tcBorders>
          </w:tcPr>
          <w:p w14:paraId="7FBB8634" w14:textId="77777777" w:rsidR="00D4105E" w:rsidRPr="00E14102" w:rsidRDefault="00D4105E" w:rsidP="00E14102">
            <w:pPr>
              <w:autoSpaceDE w:val="0"/>
              <w:autoSpaceDN w:val="0"/>
              <w:adjustRightInd w:val="0"/>
              <w:jc w:val="both"/>
              <w:rPr>
                <w:color w:val="000000" w:themeColor="text1"/>
                <w:sz w:val="16"/>
                <w:szCs w:val="16"/>
              </w:rPr>
            </w:pPr>
          </w:p>
        </w:tc>
      </w:tr>
    </w:tbl>
    <w:p w14:paraId="3DF30A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апреля 1935 Королевым была подготовлена:</w:t>
      </w:r>
    </w:p>
    <w:p w14:paraId="2FE842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Объяснительная записка</w:t>
      </w:r>
    </w:p>
    <w:p w14:paraId="7C4AFC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плану опытного самолето- и моторостроения</w:t>
      </w:r>
    </w:p>
    <w:p w14:paraId="63D298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p w14:paraId="213607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опытного самолето- и моторостроения от 14 июля 1934 года на сегодня устарел, причины этого:</w:t>
      </w:r>
    </w:p>
    <w:p w14:paraId="30D4DB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 результате приобретения лицензий на 4 лучших мотора за границей и успешного форсирования отечественного М34 для нас открылись новые возможности в моторостроении, дающие основание решительно повысить технические требования к моторам.</w:t>
      </w:r>
    </w:p>
    <w:p w14:paraId="70FB22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Постройка первого авиадизеля АН1 дала нам технический опыт для расширения работ над двигателями тяжелого топлива.</w:t>
      </w:r>
    </w:p>
    <w:p w14:paraId="6D77E4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Последние достижения в моторостроении за границей требуют от нас скорейшего разрешения ряда совершенно новых принципиальных проблем моторостроения.</w:t>
      </w:r>
    </w:p>
    <w:p w14:paraId="2B7557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Летные данные самолетов плана 1934 года устарели и отстают от наших возможностей сегодня на 50-100 км/час.</w:t>
      </w:r>
    </w:p>
    <w:p w14:paraId="4FB1C9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Накопившийся опыт дает основание к пересмотру тактического назначения ряда самолетов и созданию плана более четко отражающего определенное направление в тактических требованиях к самолетам.</w:t>
      </w:r>
    </w:p>
    <w:p w14:paraId="729EBA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На опыте подтверждена полезность децентрализации опытных работ путем создания КБ на заводах и возможность возложения на заводы сложных конструкторских проблем.</w:t>
      </w:r>
    </w:p>
    <w:p w14:paraId="4E68F7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 План 1934 года с чрезмерно большим количеством типов и образцов самолетов показал вред этого и трудность осуществления его в намечаемые сроки, не предусматривавшие сложных и длительных работ по доводкам самолетов.</w:t>
      </w:r>
    </w:p>
    <w:p w14:paraId="2BF9BE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p w14:paraId="2708D0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Новый план предусматривает:</w:t>
      </w:r>
    </w:p>
    <w:p w14:paraId="1842DC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а) немедленную и широкую работу по модификации только что приобретенных лицензионных моторов (Райт-Циклон, Испано-Сюиза, Гном и Рон) без чего через 1-2 года они устареют и мы снова отстанем. То же и по мотору М34 - в части его форсажа.</w:t>
      </w:r>
    </w:p>
    <w:p w14:paraId="5815B9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Расширение фронта работ по дизелям главным образом по линии приближения их к требованиям современного самолетостроения.</w:t>
      </w:r>
    </w:p>
    <w:p w14:paraId="547F9D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Повышение высотности моторов с 3-4000 м до 5-6000 м и больше путем создания двухступенчатых и двухскоростных нагнетателей турбокомпрессора и центрального наддува.</w:t>
      </w:r>
    </w:p>
    <w:p w14:paraId="3EBD7D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Повышение мощности мотора, надежности его работы и увеличения коэффициента использования его мощности за счет непосредственного впрыска, бесклапанного двигателя и винтов с переменным в полете шагом.</w:t>
      </w:r>
    </w:p>
    <w:p w14:paraId="06881D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Продолжение работ по паро- и газотурбинам.</w:t>
      </w:r>
    </w:p>
    <w:p w14:paraId="2EE211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Решительное увеличение скоростей самолетов: по бомбардировщикам - с 350 до 450 км, разведчикам - с 350-400 до 450 км, истребителям - с 450 до 500-550 км, морским тяжелым машинам - с 225 до 350 км и легким морским - с 270 до 375 км.</w:t>
      </w:r>
    </w:p>
    <w:p w14:paraId="31C611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 Увеличение высотности и дальности самолетов.</w:t>
      </w:r>
    </w:p>
    <w:p w14:paraId="168F9A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 Усиление вооружения самолетов как за счет количества единиц предметов вооружения, так и за счет типов оружия (пушки, крупнокалиберные пулеметы) и более широкого использования химических средств борьбы.</w:t>
      </w:r>
    </w:p>
    <w:p w14:paraId="1E2B49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Сокращение количества опытных самолетов с 36 по плану 1934 года до 24 по новому плану, при одновременном создании более четкого тактического их назначения и повышения требования к качеству.</w:t>
      </w:r>
    </w:p>
    <w:p w14:paraId="7DBE3C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p w14:paraId="06265B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итоге в плане мы имеем:</w:t>
      </w:r>
    </w:p>
    <w:p w14:paraId="089F41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 моторам только один новый бензиновый двигатель и переключение всех сил на решение основных принципиально новых проблем (бесклапанный двигатель, двухтактный дизель, непосредственный впрыск и т.д.), единственно могущих обеспечить задачу опережения заграничных моторов.</w:t>
      </w:r>
    </w:p>
    <w:p w14:paraId="60A903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 самолетам резкое улучшение всех летно-тактических данных.</w:t>
      </w:r>
    </w:p>
    <w:p w14:paraId="4EEB3B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Постановку задач по работе над обеспечением большей надежности работы мотора и прочности самолета, т.е. безопасности полета.</w:t>
      </w:r>
    </w:p>
    <w:p w14:paraId="31565D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Как перспективу - включение в борьбу за рекорды высоты и скорости (3811,32-44).</w:t>
      </w:r>
    </w:p>
    <w:p w14:paraId="5958E260" w14:textId="77777777" w:rsidR="00D4105E" w:rsidRPr="00E14102" w:rsidRDefault="00D4105E" w:rsidP="00E14102">
      <w:pPr>
        <w:autoSpaceDE w:val="0"/>
        <w:autoSpaceDN w:val="0"/>
        <w:adjustRightInd w:val="0"/>
        <w:jc w:val="both"/>
        <w:rPr>
          <w:color w:val="000000" w:themeColor="text1"/>
          <w:sz w:val="16"/>
          <w:szCs w:val="16"/>
        </w:rPr>
      </w:pPr>
    </w:p>
    <w:p w14:paraId="5D276AEB" w14:textId="77777777" w:rsidR="001C4F95" w:rsidRPr="00E14102" w:rsidRDefault="001C4F95" w:rsidP="00E14102">
      <w:pPr>
        <w:jc w:val="both"/>
        <w:rPr>
          <w:color w:val="0070C0"/>
          <w:sz w:val="16"/>
          <w:szCs w:val="16"/>
        </w:rPr>
      </w:pPr>
      <w:r w:rsidRPr="00E14102">
        <w:rPr>
          <w:color w:val="0070C0"/>
          <w:sz w:val="16"/>
          <w:szCs w:val="16"/>
        </w:rPr>
        <w:t>16 апреля 1935 г. Постановлением СТО №№ С-39сс «О плане опытного строительства самолетов и моторов на 1936-1936 гг.» был введен в действие новый) «План опытного моторо- и самолетостроения ВВС РККА на 1935-36 гг.», которым срок сдачи самолета ВС-2 К-12 перенесли на 01.10.35 г.   В начале 1935 г. был забракован натурный макет самолета (см. ниже). В это же время Калинин ходатайствовал о выделении двух импортных моторов Гном-Рон 14К «Мистраль-Мажор», которыми можно было бы заменить недостаточно мощные М-22 (23157).</w:t>
      </w:r>
    </w:p>
    <w:p w14:paraId="4C3DB2D4" w14:textId="77777777" w:rsidR="001C4F95" w:rsidRPr="00E14102" w:rsidRDefault="001C4F95" w:rsidP="00E14102">
      <w:pPr>
        <w:jc w:val="both"/>
        <w:rPr>
          <w:color w:val="0070C0"/>
          <w:sz w:val="16"/>
          <w:szCs w:val="16"/>
        </w:rPr>
      </w:pPr>
    </w:p>
    <w:p w14:paraId="1EE2CFC2" w14:textId="77777777" w:rsidR="00051001" w:rsidRPr="00E14102" w:rsidRDefault="00051001" w:rsidP="00E14102">
      <w:pPr>
        <w:pStyle w:val="2540"/>
        <w:shd w:val="clear" w:color="auto" w:fill="auto"/>
        <w:spacing w:line="240" w:lineRule="auto"/>
        <w:ind w:firstLine="0"/>
        <w:jc w:val="both"/>
        <w:rPr>
          <w:rFonts w:ascii="Times New Roman" w:hAnsi="Times New Roman" w:cs="Times New Roman"/>
          <w:color w:val="0070C0"/>
          <w:sz w:val="16"/>
          <w:szCs w:val="16"/>
        </w:rPr>
      </w:pPr>
      <w:r w:rsidRPr="00E14102">
        <w:rPr>
          <w:rStyle w:val="176"/>
          <w:rFonts w:ascii="Times New Roman" w:hAnsi="Times New Roman" w:cs="Times New Roman"/>
          <w:color w:val="0070C0"/>
          <w:sz w:val="16"/>
          <w:szCs w:val="16"/>
        </w:rPr>
        <w:t>16 апре</w:t>
      </w:r>
      <w:r w:rsidRPr="00E14102">
        <w:rPr>
          <w:rStyle w:val="176"/>
          <w:rFonts w:ascii="Times New Roman" w:hAnsi="Times New Roman" w:cs="Times New Roman"/>
          <w:color w:val="0070C0"/>
          <w:sz w:val="16"/>
          <w:szCs w:val="16"/>
        </w:rPr>
        <w:softHyphen/>
        <w:t>ля 1935 года был принят новый план опытно</w:t>
      </w:r>
      <w:r w:rsidRPr="00E14102">
        <w:rPr>
          <w:rStyle w:val="176"/>
          <w:rFonts w:ascii="Times New Roman" w:hAnsi="Times New Roman" w:cs="Times New Roman"/>
          <w:color w:val="0070C0"/>
          <w:sz w:val="16"/>
          <w:szCs w:val="16"/>
        </w:rPr>
        <w:softHyphen/>
        <w:t>го самолетостроения. В нем заданную макси</w:t>
      </w:r>
      <w:r w:rsidRPr="00E14102">
        <w:rPr>
          <w:rStyle w:val="176"/>
          <w:rFonts w:ascii="Times New Roman" w:hAnsi="Times New Roman" w:cs="Times New Roman"/>
          <w:color w:val="0070C0"/>
          <w:sz w:val="16"/>
          <w:szCs w:val="16"/>
        </w:rPr>
        <w:softHyphen/>
        <w:t xml:space="preserve">мальную скорость увеличили </w:t>
      </w:r>
      <w:r w:rsidRPr="00E14102">
        <w:rPr>
          <w:rStyle w:val="176"/>
          <w:rFonts w:ascii="Times New Roman" w:hAnsi="Times New Roman" w:cs="Times New Roman"/>
          <w:color w:val="0070C0"/>
          <w:sz w:val="16"/>
          <w:szCs w:val="16"/>
          <w:lang w:val="ru-RU"/>
        </w:rPr>
        <w:t xml:space="preserve">разведчика </w:t>
      </w:r>
      <w:r w:rsidRPr="00E14102">
        <w:rPr>
          <w:rStyle w:val="176"/>
          <w:rFonts w:ascii="Times New Roman" w:hAnsi="Times New Roman" w:cs="Times New Roman"/>
          <w:color w:val="0070C0"/>
          <w:sz w:val="16"/>
          <w:szCs w:val="16"/>
        </w:rPr>
        <w:t>до 450-500</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км/ч и дальность действия до 1000 км, а</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заодно ввели в официальный обиход обозна</w:t>
      </w:r>
      <w:r w:rsidRPr="00E14102">
        <w:rPr>
          <w:rStyle w:val="176"/>
          <w:rFonts w:ascii="Times New Roman" w:hAnsi="Times New Roman" w:cs="Times New Roman"/>
          <w:color w:val="0070C0"/>
          <w:sz w:val="16"/>
          <w:szCs w:val="16"/>
        </w:rPr>
        <w:softHyphen/>
        <w:t>чение «Скоростной Разведчик» вместо тер</w:t>
      </w:r>
      <w:r w:rsidRPr="00E14102">
        <w:rPr>
          <w:rStyle w:val="176"/>
          <w:rFonts w:ascii="Times New Roman" w:hAnsi="Times New Roman" w:cs="Times New Roman"/>
          <w:color w:val="0070C0"/>
          <w:sz w:val="16"/>
          <w:szCs w:val="16"/>
        </w:rPr>
        <w:softHyphen/>
        <w:t>мина «Новый Сухопутный Разведчик»</w:t>
      </w:r>
      <w:r w:rsidRPr="00E14102">
        <w:rPr>
          <w:rStyle w:val="176"/>
          <w:rFonts w:ascii="Times New Roman" w:hAnsi="Times New Roman" w:cs="Times New Roman"/>
          <w:color w:val="0070C0"/>
          <w:sz w:val="16"/>
          <w:szCs w:val="16"/>
          <w:lang w:val="ru-RU"/>
        </w:rPr>
        <w:t xml:space="preserve"> (19898)</w:t>
      </w:r>
      <w:r w:rsidRPr="00E14102">
        <w:rPr>
          <w:rStyle w:val="176"/>
          <w:rFonts w:ascii="Times New Roman" w:hAnsi="Times New Roman" w:cs="Times New Roman"/>
          <w:color w:val="0070C0"/>
          <w:sz w:val="16"/>
          <w:szCs w:val="16"/>
        </w:rPr>
        <w:t>.</w:t>
      </w:r>
    </w:p>
    <w:p w14:paraId="7E48FAF9" w14:textId="77777777" w:rsidR="00051001" w:rsidRPr="00E14102" w:rsidRDefault="00051001" w:rsidP="00E14102">
      <w:pPr>
        <w:jc w:val="both"/>
        <w:rPr>
          <w:color w:val="0070C0"/>
          <w:sz w:val="16"/>
          <w:szCs w:val="16"/>
        </w:rPr>
      </w:pPr>
    </w:p>
    <w:p w14:paraId="41F16E77" w14:textId="77777777" w:rsidR="008811AB" w:rsidRPr="00E14102" w:rsidRDefault="008811AB" w:rsidP="00E14102">
      <w:pPr>
        <w:pStyle w:val="rtejustify"/>
        <w:spacing w:before="0" w:after="0"/>
        <w:rPr>
          <w:color w:val="000000" w:themeColor="text1"/>
          <w:sz w:val="16"/>
          <w:szCs w:val="16"/>
        </w:rPr>
      </w:pPr>
      <w:r w:rsidRPr="00E14102">
        <w:rPr>
          <w:rStyle w:val="a6"/>
          <w:bCs/>
          <w:i w:val="0"/>
          <w:color w:val="000000" w:themeColor="text1"/>
          <w:sz w:val="16"/>
          <w:szCs w:val="16"/>
        </w:rPr>
        <w:t>16 апреля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39сс «О плане опытного строительства самолетов и моторов на 1935</w:t>
      </w:r>
      <w:r w:rsidRPr="00E14102">
        <w:rPr>
          <w:color w:val="000000" w:themeColor="text1"/>
          <w:sz w:val="16"/>
          <w:szCs w:val="16"/>
        </w:rPr>
        <w:noBreakHyphen/>
        <w:t>1936 гг.». (ГА РФ. Ф. Р</w:t>
      </w:r>
      <w:r w:rsidRPr="00E14102">
        <w:rPr>
          <w:color w:val="000000" w:themeColor="text1"/>
          <w:sz w:val="16"/>
          <w:szCs w:val="16"/>
        </w:rPr>
        <w:noBreakHyphen/>
        <w:t>8418. Оп. 28. Д. 6. Л. 122</w:t>
      </w:r>
      <w:r w:rsidRPr="00E14102">
        <w:rPr>
          <w:color w:val="000000" w:themeColor="text1"/>
          <w:sz w:val="16"/>
          <w:szCs w:val="16"/>
        </w:rPr>
        <w:noBreakHyphen/>
        <w:t>135) (15460).</w:t>
      </w:r>
    </w:p>
    <w:p w14:paraId="6627B327" w14:textId="77777777" w:rsidR="008811AB" w:rsidRPr="00E14102" w:rsidRDefault="008811AB" w:rsidP="00E14102">
      <w:pPr>
        <w:pStyle w:val="rtejustify"/>
        <w:spacing w:before="0" w:after="0"/>
        <w:rPr>
          <w:color w:val="000000" w:themeColor="text1"/>
          <w:sz w:val="16"/>
          <w:szCs w:val="16"/>
        </w:rPr>
      </w:pPr>
    </w:p>
    <w:p w14:paraId="1C10DCE6" w14:textId="77777777" w:rsidR="008811AB" w:rsidRPr="00E14102" w:rsidRDefault="008811AB" w:rsidP="00E14102">
      <w:pPr>
        <w:pStyle w:val="rtejustify"/>
        <w:spacing w:before="0" w:after="0"/>
        <w:rPr>
          <w:color w:val="000000" w:themeColor="text1"/>
          <w:sz w:val="16"/>
          <w:szCs w:val="16"/>
        </w:rPr>
      </w:pPr>
      <w:r w:rsidRPr="00E14102">
        <w:rPr>
          <w:rStyle w:val="a6"/>
          <w:bCs/>
          <w:i w:val="0"/>
          <w:color w:val="000000" w:themeColor="text1"/>
          <w:sz w:val="16"/>
          <w:szCs w:val="16"/>
        </w:rPr>
        <w:t>16 апреля 1935 вышел приказ НКО №</w:t>
      </w:r>
      <w:r w:rsidRPr="00E14102">
        <w:rPr>
          <w:color w:val="000000" w:themeColor="text1"/>
          <w:sz w:val="16"/>
          <w:szCs w:val="16"/>
        </w:rPr>
        <w:t> 0026. О войсковых испытаниях постановки мин заграждения с бреющего полета МАН</w:t>
      </w:r>
      <w:r w:rsidRPr="00E14102">
        <w:rPr>
          <w:color w:val="000000" w:themeColor="text1"/>
          <w:sz w:val="16"/>
          <w:szCs w:val="16"/>
        </w:rPr>
        <w:noBreakHyphen/>
        <w:t>1 и МАН</w:t>
      </w:r>
      <w:r w:rsidRPr="00E14102">
        <w:rPr>
          <w:color w:val="000000" w:themeColor="text1"/>
          <w:sz w:val="16"/>
          <w:szCs w:val="16"/>
        </w:rPr>
        <w:noBreakHyphen/>
        <w:t>2 (15247).</w:t>
      </w:r>
    </w:p>
    <w:p w14:paraId="4DF73573" w14:textId="77777777" w:rsidR="008811AB" w:rsidRPr="00E14102" w:rsidRDefault="008811AB" w:rsidP="00E14102">
      <w:pPr>
        <w:pStyle w:val="rtejustify"/>
        <w:spacing w:before="0" w:after="0"/>
        <w:rPr>
          <w:color w:val="000000" w:themeColor="text1"/>
          <w:sz w:val="16"/>
          <w:szCs w:val="16"/>
        </w:rPr>
      </w:pPr>
    </w:p>
    <w:p w14:paraId="1FCA6B1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37A79C4" w14:textId="77777777" w:rsidR="00D4105E" w:rsidRPr="00E14102" w:rsidRDefault="00D4105E" w:rsidP="00E14102">
      <w:pPr>
        <w:autoSpaceDE w:val="0"/>
        <w:autoSpaceDN w:val="0"/>
        <w:adjustRightInd w:val="0"/>
        <w:jc w:val="both"/>
        <w:rPr>
          <w:iCs/>
          <w:color w:val="000000" w:themeColor="text1"/>
          <w:sz w:val="16"/>
          <w:szCs w:val="16"/>
        </w:rPr>
      </w:pPr>
    </w:p>
    <w:p w14:paraId="7C9E2114" w14:textId="77777777" w:rsidR="003A53E2" w:rsidRPr="00E14102" w:rsidRDefault="003A53E2" w:rsidP="00E14102">
      <w:pPr>
        <w:pStyle w:val="rtejustify"/>
        <w:spacing w:before="0" w:after="0"/>
        <w:rPr>
          <w:color w:val="000000" w:themeColor="text1"/>
          <w:sz w:val="16"/>
          <w:szCs w:val="16"/>
        </w:rPr>
      </w:pPr>
      <w:r w:rsidRPr="00E14102">
        <w:rPr>
          <w:rStyle w:val="a6"/>
          <w:bCs/>
          <w:i w:val="0"/>
          <w:color w:val="000000" w:themeColor="text1"/>
          <w:sz w:val="16"/>
          <w:szCs w:val="16"/>
        </w:rPr>
        <w:t>16 апреля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37сс «О нарезных и полигональных снарядах». (ГА РФ. Ф. Р</w:t>
      </w:r>
      <w:r w:rsidRPr="00E14102">
        <w:rPr>
          <w:color w:val="000000" w:themeColor="text1"/>
          <w:sz w:val="16"/>
          <w:szCs w:val="16"/>
        </w:rPr>
        <w:noBreakHyphen/>
        <w:t>8418. Оп. 28. Д. 6. Л. 117</w:t>
      </w:r>
      <w:r w:rsidRPr="00E14102">
        <w:rPr>
          <w:color w:val="000000" w:themeColor="text1"/>
          <w:sz w:val="16"/>
          <w:szCs w:val="16"/>
        </w:rPr>
        <w:noBreakHyphen/>
        <w:t>119) (15460).</w:t>
      </w:r>
    </w:p>
    <w:p w14:paraId="5967E40A" w14:textId="77777777" w:rsidR="003A53E2" w:rsidRPr="00E14102" w:rsidRDefault="003A53E2" w:rsidP="00E14102">
      <w:pPr>
        <w:pStyle w:val="rtejustify"/>
        <w:spacing w:before="0" w:after="0"/>
        <w:rPr>
          <w:color w:val="000000" w:themeColor="text1"/>
          <w:sz w:val="16"/>
          <w:szCs w:val="16"/>
        </w:rPr>
      </w:pPr>
    </w:p>
    <w:p w14:paraId="01A443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16 апреля 1935 г.  - из приказа Наркомтяжпрома № 459 о результатах работы азотной промышленности в 1934 г. </w:t>
      </w:r>
    </w:p>
    <w:p w14:paraId="15BE66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Азотная промышленность в 1934 г. добилась крупных успехов. Производственная программа по азотным заводам была закончена досрочно, план по снижению себестоимости перевыполнен со значительным превышением; качественные показатели, в особенности по труду, очень резко улучшены как против 1933 г., так и по сравнению с планом. Борьба за уплотнение рабочего дня и повышение производительности труда позволила в 1934 г. освободить на азотных заводах свыше 5 тыс. человек. Особо отмечаю успехи, достигнутые азотной промышленностью в деле рационализации и интенсификации существующих установок и научно-исследовательских работ. </w:t>
      </w:r>
    </w:p>
    <w:p w14:paraId="447331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Учитывая проделанную работу по организации азотной промышленности, налаживанию правильного, эксплуатационного хозяйства, по переводу азотной промышленности на высший технический уровень, объявляю благодарность: управляющему трестом «Союзазот» тов. Бродову и заместителю управляющего и главному инженеру треста профессору Н. И. Гальперину. Директора Березниковского комбината тов. Грановского и его замов тт. Баяр и Грозовского, директора Чернореченского завода тов. Пучкова и заместителя директора ЧХЗ тов. Шайна, директора Сталиногорского завода тов. Гончарова, директора Горловского завода тов. Уланова и директора Сталинского завода тов. Ерпова, а также начальника Управления планирования «Союзазота» тов. Меликсетова и начальника Управления труда и кадров «Союзазота» тов. Гольденштейна премировать месячным окладом жалованья. </w:t>
      </w:r>
      <w:r w:rsidR="00AB49AD" w:rsidRPr="00E14102">
        <w:rPr>
          <w:color w:val="000000" w:themeColor="text1"/>
          <w:sz w:val="16"/>
          <w:szCs w:val="16"/>
        </w:rPr>
        <w:fldChar w:fldCharType="begin"/>
      </w:r>
      <w:r w:rsidR="00AB49AD" w:rsidRPr="00E14102">
        <w:rPr>
          <w:color w:val="000000" w:themeColor="text1"/>
          <w:sz w:val="16"/>
          <w:szCs w:val="16"/>
        </w:rPr>
        <w:instrText xml:space="preserve">ref HYPERLINK  \l "_edn1" \* MERGEFORMAT </w:instrText>
      </w:r>
      <w:r w:rsidR="00AB49AD" w:rsidRPr="00E14102">
        <w:rPr>
          <w:color w:val="000000" w:themeColor="text1"/>
          <w:sz w:val="16"/>
          <w:szCs w:val="16"/>
        </w:rPr>
        <w:fldChar w:fldCharType="separate"/>
      </w:r>
      <w:r w:rsidRPr="00E14102">
        <w:rPr>
          <w:color w:val="000000" w:themeColor="text1"/>
          <w:sz w:val="16"/>
          <w:szCs w:val="16"/>
          <w:u w:val="single"/>
        </w:rPr>
        <w:t>[1]</w:t>
      </w:r>
      <w:r w:rsidR="00AB49AD" w:rsidRPr="00E14102">
        <w:rPr>
          <w:color w:val="000000" w:themeColor="text1"/>
          <w:sz w:val="16"/>
          <w:szCs w:val="16"/>
          <w:u w:val="single"/>
        </w:rPr>
        <w:fldChar w:fldCharType="end"/>
      </w:r>
    </w:p>
    <w:p w14:paraId="1247CE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Народный комиссар тяжелой промышленности </w:t>
      </w:r>
    </w:p>
    <w:p w14:paraId="67B9B0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 Орджоникидзе </w:t>
      </w:r>
    </w:p>
    <w:p w14:paraId="59A4CE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ЦГАНХ СССР, ф. 7297, on. 1, д. 79, л. 132. Ротат. экз. (12053).</w:t>
      </w:r>
    </w:p>
    <w:p w14:paraId="229E58A7" w14:textId="77777777" w:rsidR="00D4105E" w:rsidRPr="00E14102" w:rsidRDefault="00D4105E" w:rsidP="00E14102">
      <w:pPr>
        <w:autoSpaceDE w:val="0"/>
        <w:autoSpaceDN w:val="0"/>
        <w:adjustRightInd w:val="0"/>
        <w:jc w:val="both"/>
        <w:rPr>
          <w:color w:val="000000" w:themeColor="text1"/>
          <w:sz w:val="16"/>
          <w:szCs w:val="16"/>
        </w:rPr>
      </w:pPr>
    </w:p>
    <w:p w14:paraId="2FBBD1C4" w14:textId="77777777" w:rsidR="003A53E2" w:rsidRPr="00E14102" w:rsidRDefault="003A53E2" w:rsidP="00E14102">
      <w:pPr>
        <w:pStyle w:val="rtejustify"/>
        <w:spacing w:before="0" w:after="0"/>
        <w:rPr>
          <w:color w:val="000000" w:themeColor="text1"/>
          <w:sz w:val="16"/>
          <w:szCs w:val="16"/>
        </w:rPr>
      </w:pPr>
      <w:r w:rsidRPr="00E14102">
        <w:rPr>
          <w:rStyle w:val="a6"/>
          <w:bCs/>
          <w:i w:val="0"/>
          <w:color w:val="000000" w:themeColor="text1"/>
          <w:sz w:val="16"/>
          <w:szCs w:val="16"/>
        </w:rPr>
        <w:t>16 апреля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38сс «Об утверждении эскизного проекта большой крейсерско-эскадренной подводной лодки (КЭ</w:t>
      </w:r>
      <w:r w:rsidRPr="00E14102">
        <w:rPr>
          <w:color w:val="000000" w:themeColor="text1"/>
          <w:sz w:val="16"/>
          <w:szCs w:val="16"/>
        </w:rPr>
        <w:noBreakHyphen/>
        <w:t>9)». (ГА РФ. Ф. Р</w:t>
      </w:r>
      <w:r w:rsidRPr="00E14102">
        <w:rPr>
          <w:color w:val="000000" w:themeColor="text1"/>
          <w:sz w:val="16"/>
          <w:szCs w:val="16"/>
        </w:rPr>
        <w:noBreakHyphen/>
        <w:t>8418. Оп. 28. Д. 6. Л. 120</w:t>
      </w:r>
      <w:r w:rsidRPr="00E14102">
        <w:rPr>
          <w:color w:val="000000" w:themeColor="text1"/>
          <w:sz w:val="16"/>
          <w:szCs w:val="16"/>
        </w:rPr>
        <w:noBreakHyphen/>
        <w:t>121) (15460).</w:t>
      </w:r>
    </w:p>
    <w:p w14:paraId="536B1089" w14:textId="6F2E4612" w:rsidR="003A53E2" w:rsidRPr="00E14102" w:rsidRDefault="003A53E2" w:rsidP="00E14102">
      <w:pPr>
        <w:pStyle w:val="rtejustify"/>
        <w:spacing w:before="0" w:after="0"/>
        <w:rPr>
          <w:color w:val="000000" w:themeColor="text1"/>
          <w:sz w:val="16"/>
          <w:szCs w:val="16"/>
        </w:rPr>
      </w:pPr>
    </w:p>
    <w:p w14:paraId="5D4317F9" w14:textId="37FF6BC8" w:rsidR="00051001" w:rsidRPr="00E14102" w:rsidRDefault="00051001" w:rsidP="00E14102">
      <w:pPr>
        <w:pStyle w:val="rtejustify"/>
        <w:spacing w:before="0" w:after="0"/>
        <w:rPr>
          <w:i/>
          <w:iCs/>
          <w:color w:val="000000" w:themeColor="text1"/>
          <w:sz w:val="16"/>
          <w:szCs w:val="16"/>
        </w:rPr>
      </w:pPr>
      <w:r w:rsidRPr="00E14102">
        <w:rPr>
          <w:i/>
          <w:iCs/>
          <w:color w:val="000000" w:themeColor="text1"/>
          <w:sz w:val="16"/>
          <w:szCs w:val="16"/>
        </w:rPr>
        <w:t>За рубежом:</w:t>
      </w:r>
    </w:p>
    <w:p w14:paraId="5C4EE296" w14:textId="77777777" w:rsidR="00051001" w:rsidRPr="00E14102" w:rsidRDefault="00051001" w:rsidP="00E14102">
      <w:pPr>
        <w:pStyle w:val="rtejustify"/>
        <w:spacing w:before="0" w:after="0"/>
        <w:rPr>
          <w:i/>
          <w:iCs/>
          <w:color w:val="000000" w:themeColor="text1"/>
          <w:sz w:val="16"/>
          <w:szCs w:val="16"/>
        </w:rPr>
      </w:pPr>
    </w:p>
    <w:p w14:paraId="7EC4AAC9" w14:textId="77777777" w:rsidR="00051001" w:rsidRPr="00E14102" w:rsidRDefault="00051001" w:rsidP="00E14102">
      <w:pPr>
        <w:jc w:val="both"/>
        <w:rPr>
          <w:color w:val="0070C0"/>
          <w:sz w:val="16"/>
          <w:szCs w:val="16"/>
        </w:rPr>
      </w:pPr>
      <w:r w:rsidRPr="00E14102">
        <w:rPr>
          <w:color w:val="0070C0"/>
          <w:sz w:val="16"/>
          <w:szCs w:val="16"/>
        </w:rPr>
        <w:t>16–17 апреля 1935 Самолет Pan American World Airways Sikorsky S-42 совершает первый обзорный рейс авиакомпании из Калифорнии на Гавайи, вылетая из Сан-Франциско и прибывая в Перл-Харбор . Это начало развития упорядоченной системы коммерческих воздушных перевозок в Тихом океане (20800).</w:t>
      </w:r>
    </w:p>
    <w:p w14:paraId="59D8D9F4" w14:textId="77777777" w:rsidR="00051001" w:rsidRPr="00E14102" w:rsidRDefault="00051001" w:rsidP="00E14102">
      <w:pPr>
        <w:jc w:val="both"/>
        <w:rPr>
          <w:color w:val="0070C0"/>
          <w:sz w:val="16"/>
          <w:szCs w:val="16"/>
        </w:rPr>
      </w:pPr>
    </w:p>
    <w:p w14:paraId="4D664AC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84FD3E3" w14:textId="77777777" w:rsidR="00D4105E" w:rsidRPr="00E14102" w:rsidRDefault="00D4105E" w:rsidP="00E14102">
      <w:pPr>
        <w:autoSpaceDE w:val="0"/>
        <w:autoSpaceDN w:val="0"/>
        <w:adjustRightInd w:val="0"/>
        <w:jc w:val="both"/>
        <w:rPr>
          <w:iCs/>
          <w:color w:val="000000" w:themeColor="text1"/>
          <w:sz w:val="16"/>
          <w:szCs w:val="16"/>
        </w:rPr>
      </w:pPr>
    </w:p>
    <w:p w14:paraId="5980A7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апреля 1935 в НИИ ВВС начались гос. испытания опытныого образца ССС № 8188, повторно предъявленного после возврата машины в январе. С металлическим винтом и тормозными колесами (7456, 5).</w:t>
      </w:r>
    </w:p>
    <w:p w14:paraId="37AB57C7" w14:textId="77777777" w:rsidR="00D4105E" w:rsidRPr="00E14102" w:rsidRDefault="00D4105E" w:rsidP="00E14102">
      <w:pPr>
        <w:autoSpaceDE w:val="0"/>
        <w:autoSpaceDN w:val="0"/>
        <w:adjustRightInd w:val="0"/>
        <w:jc w:val="both"/>
        <w:rPr>
          <w:color w:val="000000" w:themeColor="text1"/>
          <w:sz w:val="16"/>
          <w:szCs w:val="16"/>
        </w:rPr>
      </w:pPr>
    </w:p>
    <w:p w14:paraId="43533F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апреля 1935 года был подписан договор между ОИНКО и ВВА и начались работы по прозрачному АИР-4.</w:t>
      </w:r>
    </w:p>
    <w:p w14:paraId="6BA642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работ</w:t>
      </w:r>
    </w:p>
    <w:p w14:paraId="6464D4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Исследование возможности покрытия самолета целлоном советского производства, включая и несущие поверхности и установление эффективности такого покрытия как средства уменьшения видимости.</w:t>
      </w:r>
    </w:p>
    <w:p w14:paraId="0B3459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Переделанный и покрытый прозрачным покрытием самолет АИР-4 в дальнейшем будет называться "ПС", что значит прозрачный самолет (7656).</w:t>
      </w:r>
    </w:p>
    <w:p w14:paraId="72581379" w14:textId="77777777" w:rsidR="00D4105E" w:rsidRPr="00E14102" w:rsidRDefault="00D4105E" w:rsidP="00E14102">
      <w:pPr>
        <w:autoSpaceDE w:val="0"/>
        <w:autoSpaceDN w:val="0"/>
        <w:adjustRightInd w:val="0"/>
        <w:jc w:val="both"/>
        <w:rPr>
          <w:color w:val="000000" w:themeColor="text1"/>
          <w:sz w:val="16"/>
          <w:szCs w:val="16"/>
        </w:rPr>
      </w:pPr>
    </w:p>
    <w:p w14:paraId="37EFF77A" w14:textId="77777777" w:rsidR="008507A2" w:rsidRPr="00E14102" w:rsidRDefault="008507A2" w:rsidP="00E14102">
      <w:pPr>
        <w:jc w:val="both"/>
        <w:rPr>
          <w:color w:val="000000" w:themeColor="text1"/>
          <w:sz w:val="16"/>
          <w:szCs w:val="16"/>
        </w:rPr>
      </w:pPr>
      <w:r w:rsidRPr="00E14102">
        <w:rPr>
          <w:color w:val="000000" w:themeColor="text1"/>
          <w:sz w:val="16"/>
          <w:szCs w:val="16"/>
        </w:rPr>
        <w:t>17 апреля 1935 г. был подписан договора между ОИ НКО и ВВА - начался второй этап работ по прозрачному самолету Козлова. Работа велась на средства и при помощи ОИ НКО (Отдел изобретений Наркомата обороны). самолёт АИР-4 был предоставлен по распоряжению Начальника ВВС т. Алксниса. Работа проведена силами Кабинета конструирования летательных аппаратов при кафедре ВВА того же названия.</w:t>
      </w:r>
    </w:p>
    <w:p w14:paraId="0BF5DA2A" w14:textId="77777777" w:rsidR="008507A2" w:rsidRPr="00E14102" w:rsidRDefault="008507A2" w:rsidP="00E14102">
      <w:pPr>
        <w:jc w:val="both"/>
        <w:rPr>
          <w:color w:val="000000" w:themeColor="text1"/>
          <w:sz w:val="16"/>
          <w:szCs w:val="16"/>
        </w:rPr>
      </w:pPr>
      <w:r w:rsidRPr="00E14102">
        <w:rPr>
          <w:color w:val="000000" w:themeColor="text1"/>
          <w:sz w:val="16"/>
          <w:szCs w:val="16"/>
        </w:rPr>
        <w:t>Цель работ — исследование возможности покрытия самолёта целлоном советского производства, включая и несущие поверхности, и установление эффективности такого покрытия как средства уменьшения видимости.</w:t>
      </w:r>
    </w:p>
    <w:p w14:paraId="71BF44BD" w14:textId="77777777" w:rsidR="008507A2" w:rsidRPr="00E14102" w:rsidRDefault="008507A2" w:rsidP="00E14102">
      <w:pPr>
        <w:jc w:val="both"/>
        <w:rPr>
          <w:color w:val="000000" w:themeColor="text1"/>
          <w:sz w:val="16"/>
          <w:szCs w:val="16"/>
        </w:rPr>
      </w:pPr>
      <w:r w:rsidRPr="00E14102">
        <w:rPr>
          <w:color w:val="000000" w:themeColor="text1"/>
          <w:sz w:val="16"/>
          <w:szCs w:val="16"/>
        </w:rPr>
        <w:t>Вначале предполагалось покрыть целлоном те места, которые обтянуты полотном, но после вскрытия АИР-4 обнаружено, что большая часть крыла, передняя половина фюзеляжа и некоторые части оперения покрыты фанерой, причём фанера введена в конструкцию как работающая обшивка. Поэтому по согласованию с ОИ НКО было решено изменить соответствующим образом крыло, оперение и часть фюзеляжа АИР-4, и покрыть его целлоном по возможности весь.</w:t>
      </w:r>
    </w:p>
    <w:p w14:paraId="51BCEB70" w14:textId="77777777" w:rsidR="008507A2" w:rsidRPr="00E14102" w:rsidRDefault="008507A2" w:rsidP="00E14102">
      <w:pPr>
        <w:jc w:val="both"/>
        <w:rPr>
          <w:color w:val="000000" w:themeColor="text1"/>
          <w:sz w:val="16"/>
          <w:szCs w:val="16"/>
        </w:rPr>
      </w:pPr>
      <w:r w:rsidRPr="00E14102">
        <w:rPr>
          <w:color w:val="000000" w:themeColor="text1"/>
          <w:sz w:val="16"/>
          <w:szCs w:val="16"/>
        </w:rPr>
        <w:t>Переделанный и покрытый прозрачным покрытием самолёт АИР-4 в дальнейшем будет называться „ПС“, что значит „прозрачный самолёт“.</w:t>
      </w:r>
    </w:p>
    <w:p w14:paraId="57A10D5D" w14:textId="77777777" w:rsidR="008507A2" w:rsidRPr="00E14102" w:rsidRDefault="008507A2" w:rsidP="00E14102">
      <w:pPr>
        <w:jc w:val="both"/>
        <w:rPr>
          <w:color w:val="000000" w:themeColor="text1"/>
          <w:sz w:val="16"/>
          <w:szCs w:val="16"/>
        </w:rPr>
      </w:pPr>
    </w:p>
    <w:p w14:paraId="588A95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17 апреля 1935 года врид начальника НИИ ВС Коробов писал письмо N с/ч 01039 Алкснису.</w:t>
      </w:r>
    </w:p>
    <w:p w14:paraId="578DC5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сем представляю на Ваше усмотрение: доклад "Анализ путей развития легких самолетов".</w:t>
      </w:r>
    </w:p>
    <w:p w14:paraId="74E23B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Выводы</w:t>
      </w:r>
    </w:p>
    <w:p w14:paraId="2608CB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Анализ состязаний на кубок Дейтч де-ля Мерт, перелета Англия - Австралия в 1934 г. и тенденций в современном авиамоторостроении воздушного охлаждения показывает на большие достижения за границей в области рационального сочетания аэродинамических форм самолета и мотора, приведших к исключительным результатам по скоростям и дальности полета самолетов, снабженным малолитражными моторами (Кодрон 460 - скорость 505 км/час, Де-Хавилэнд "Комета" - скорость 390 км/час дальность 4650 км).</w:t>
      </w:r>
    </w:p>
    <w:p w14:paraId="3A68CE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Анализ данных современных мощных скоростных истребителей показал, что за счет больших габаритов и несовершенных форм мотора не производительно тратиться более половины мощности.</w:t>
      </w:r>
    </w:p>
    <w:p w14:paraId="61BE56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Самолеты Кодрон 460, Потез 533 и Де Хавилэнд "Комета" в военном варианте представляют исключительный интерес как легкие скоростные истребители (Кодрон и Потез), так и легкого скоростного бомбардировщика.</w:t>
      </w:r>
    </w:p>
    <w:p w14:paraId="5E111A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указанных легких самолетах в мирное время возможно развитие территориальной истребительной и скоростной бомбардировочной авиации.</w:t>
      </w:r>
    </w:p>
    <w:p w14:paraId="5127C6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данному классу самолетов работы у нас не ведутся.</w:t>
      </w:r>
    </w:p>
    <w:p w14:paraId="7DFA46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Применение винтов регулируемого в полете шага значительно улучшило, как взлетные качества самолета, так и их летные данные (скорость и скороподъемность), что дает возможность увеличения у самолетов нагрузки на крыло.</w:t>
      </w:r>
    </w:p>
    <w:p w14:paraId="055F42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Судя по всему имеющемуся у нас материалу за границей, наряду с модификацией и форсировкой своих мощных моторов, в области развития бензиновых авиадвигателей, усиленно работают над разрешением следующих задач:</w:t>
      </w:r>
    </w:p>
    <w:p w14:paraId="327711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Освоение малолитражного, высокооборотного с большой литровой мощностью двигателя, с минимальными габаритами и минимальной лобовой поверхностью различной мощности от 150-400 л.с. до 1000 л.с.</w:t>
      </w:r>
    </w:p>
    <w:p w14:paraId="1CD999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Освоение мощного двухтактного бесклапанного двигателя воздушного охлаждения.</w:t>
      </w:r>
    </w:p>
    <w:p w14:paraId="62DEB9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Освоение непосредственного впрыска горючего в бензиновых двигателях.</w:t>
      </w:r>
    </w:p>
    <w:p w14:paraId="1580DB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Перевод мотора водяного охлаждения на охлаждение высококипящими жидкостями и пароводяное.</w:t>
      </w:r>
    </w:p>
    <w:p w14:paraId="0B5F1A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Освоение многоступенчатого нагнетателя и турбокомпрессора с большой высотностью.</w:t>
      </w:r>
    </w:p>
    <w:p w14:paraId="5A7F9F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Несмотря на исключительное практическое значение для создания высокоскоростной и высотной авиации, которое имеет разрешение перечисленных в п. 5 основных проблем в области развития бензиновых авиадвигателей, положение в СССР имеем следующее:</w:t>
      </w:r>
    </w:p>
    <w:p w14:paraId="6D1815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 малолитражным моторам - до сих пор не приступлено даже к лабораторно-экспериментальным работам.</w:t>
      </w:r>
    </w:p>
    <w:p w14:paraId="50081F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 моторам с золотниковым газораспределением в течении ряда лет в ЦИАМе проводились лабораторные испытания на одноцилиндровой установке. Получены удовлетворительные результаты, но к конструированию авиамотора данного типа не приступлено.</w:t>
      </w:r>
    </w:p>
    <w:p w14:paraId="62BE91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 непосредственному впрыску приступлено лишь к лабораторным работам в начале 1935 г.</w:t>
      </w:r>
    </w:p>
    <w:p w14:paraId="43CDCA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по охлаждению - несмотря на то, что гликолевое охлаждение дважды испытывалось в НИИ ВВС (в 1931 и 1933 г.г.) и дало положительные результаты мы не имеем до сих пор в эксплуатации ни одного самолета с гликолевым охлаждением.</w:t>
      </w:r>
    </w:p>
    <w:p w14:paraId="48DE62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Примерно аналогичное положение и с пароводяным охлаждением.</w:t>
      </w:r>
    </w:p>
    <w:p w14:paraId="1688A9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Пароводяное охлаждение уже начинает применяться в английском воздушном флоте.</w:t>
      </w:r>
    </w:p>
    <w:p w14:paraId="13ECBC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По турбокомпрессорам - лабораторные работы ведутся с недостаточными темпами.</w:t>
      </w:r>
    </w:p>
    <w:p w14:paraId="7C1793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Освоение винтов регулируемого в полете шага в СССР идет крайне медленно.</w:t>
      </w:r>
    </w:p>
    <w:p w14:paraId="2F7FAE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Полученные ГУАПом винты регулируемого в полете шага фирмы Гамильтон - Стандарт до сих пор не установлены ни на одном из самолетов для их опытной эксплуатации и изучения (3306).</w:t>
      </w:r>
    </w:p>
    <w:p w14:paraId="5058AECA" w14:textId="77777777" w:rsidR="00D4105E" w:rsidRPr="00E14102" w:rsidRDefault="00D4105E" w:rsidP="00E14102">
      <w:pPr>
        <w:autoSpaceDE w:val="0"/>
        <w:autoSpaceDN w:val="0"/>
        <w:adjustRightInd w:val="0"/>
        <w:jc w:val="both"/>
        <w:rPr>
          <w:color w:val="000000" w:themeColor="text1"/>
          <w:sz w:val="16"/>
          <w:szCs w:val="16"/>
        </w:rPr>
      </w:pPr>
    </w:p>
    <w:p w14:paraId="75366B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апреля 1935 состоялось техническое совещание о доводке М-34 для РД (1077,265).</w:t>
      </w:r>
    </w:p>
    <w:p w14:paraId="43C5F6F8" w14:textId="77777777" w:rsidR="00D4105E" w:rsidRPr="00E14102" w:rsidRDefault="00D4105E" w:rsidP="00E14102">
      <w:pPr>
        <w:autoSpaceDE w:val="0"/>
        <w:autoSpaceDN w:val="0"/>
        <w:adjustRightInd w:val="0"/>
        <w:jc w:val="both"/>
        <w:rPr>
          <w:color w:val="000000" w:themeColor="text1"/>
          <w:sz w:val="16"/>
          <w:szCs w:val="16"/>
        </w:rPr>
      </w:pPr>
    </w:p>
    <w:p w14:paraId="1CA0653B" w14:textId="77777777" w:rsidR="008811AB" w:rsidRPr="00E14102" w:rsidRDefault="008811AB" w:rsidP="00E14102">
      <w:pPr>
        <w:pStyle w:val="rtejustify"/>
        <w:spacing w:before="0" w:after="0"/>
        <w:rPr>
          <w:color w:val="000000" w:themeColor="text1"/>
          <w:sz w:val="16"/>
          <w:szCs w:val="16"/>
        </w:rPr>
      </w:pPr>
      <w:r w:rsidRPr="00E14102">
        <w:rPr>
          <w:rStyle w:val="a6"/>
          <w:bCs/>
          <w:i w:val="0"/>
          <w:color w:val="000000" w:themeColor="text1"/>
          <w:sz w:val="16"/>
          <w:szCs w:val="16"/>
        </w:rPr>
        <w:t>17 апреля 1935 вышел приказ НКО №</w:t>
      </w:r>
      <w:r w:rsidRPr="00E14102">
        <w:rPr>
          <w:color w:val="000000" w:themeColor="text1"/>
          <w:sz w:val="16"/>
          <w:szCs w:val="16"/>
        </w:rPr>
        <w:t> 061. О проведении войсковых испытаний прицелов для бомбометания ОПБ</w:t>
      </w:r>
      <w:r w:rsidRPr="00E14102">
        <w:rPr>
          <w:color w:val="000000" w:themeColor="text1"/>
          <w:sz w:val="16"/>
          <w:szCs w:val="16"/>
        </w:rPr>
        <w:noBreakHyphen/>
        <w:t>2 (15247).</w:t>
      </w:r>
    </w:p>
    <w:p w14:paraId="505859CE" w14:textId="77777777" w:rsidR="008811AB" w:rsidRPr="00E14102" w:rsidRDefault="008811AB" w:rsidP="00E14102">
      <w:pPr>
        <w:pStyle w:val="rtejustify"/>
        <w:spacing w:before="0" w:after="0"/>
        <w:rPr>
          <w:color w:val="000000" w:themeColor="text1"/>
          <w:sz w:val="16"/>
          <w:szCs w:val="16"/>
        </w:rPr>
      </w:pPr>
    </w:p>
    <w:p w14:paraId="687A17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апреля 1935 состоялся первый в СССР полет на складывающихся крыльях конструкции Н.С.Смирнова (перепонка, вшитая в комбинезон между руками и ногами). Полетел Г.А.Шмидт и с 1.5 км начал планирование, сделал полупетлю и стал планировать на спине. Приземлился с парашютом, который раскрыл через 45 с (237,173) на высоте 600 м (438,682).</w:t>
      </w:r>
    </w:p>
    <w:p w14:paraId="2EECA631" w14:textId="77777777" w:rsidR="00D4105E" w:rsidRPr="00E14102" w:rsidRDefault="00D4105E" w:rsidP="00E14102">
      <w:pPr>
        <w:autoSpaceDE w:val="0"/>
        <w:autoSpaceDN w:val="0"/>
        <w:adjustRightInd w:val="0"/>
        <w:jc w:val="both"/>
        <w:rPr>
          <w:color w:val="000000" w:themeColor="text1"/>
          <w:sz w:val="16"/>
          <w:szCs w:val="16"/>
        </w:rPr>
      </w:pPr>
    </w:p>
    <w:p w14:paraId="47B070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апреля 1935 г. Г. А. Шмидт испытал. Ранцевый планер (крылья для планирования парашютиста конструкции Н. С. Смирнова). Этот ЛА имел телескопическую складывающуюся трубу, образующую их переднюю кромку, с поворотными концевыми шайбами по концам. Ось поворота концевых шайб совпадала с осью трубы. От передней кромки трубы, которая крепилась на плечах пилота, гибкая обшивка крыла шла к его ногам, образуя в плане треугольное крыло со срезанной у ног пилота вершиной. Размах крыла — 2,2 м. Концевые шайбы треугольной формы размером 0,35 х 0,33 м имели ручки, за которые держался парашютист и управлял полетом, устанавливая концевые шайбы относительно потока на различные углы атаки. Испытательный полет ранцевого планера Г. Шмидт совершил, прыгнув с самолета У-2 (пилот С. Афанасьев). Планирующий полет на крыльях проходил с высоты 1500 м на скорости 72 км/ч и продолжался около 45 с. За это время планерист пролетел по горизонтали около километра. На высоте 600 м, переведя планер с помощью концевых шайб в удобное для раскрытия парашюта положение, Г. А. Шмидт выдернул кольцо парашюта и благополучно приземлился. Крылья для планирования парашютиста можно считать прообразом дельтаплана (12075).</w:t>
      </w:r>
    </w:p>
    <w:p w14:paraId="56C7A326" w14:textId="77777777" w:rsidR="00D4105E" w:rsidRPr="00E14102" w:rsidRDefault="00D4105E" w:rsidP="00E14102">
      <w:pPr>
        <w:autoSpaceDE w:val="0"/>
        <w:autoSpaceDN w:val="0"/>
        <w:adjustRightInd w:val="0"/>
        <w:jc w:val="both"/>
        <w:rPr>
          <w:color w:val="000000" w:themeColor="text1"/>
          <w:sz w:val="16"/>
          <w:szCs w:val="16"/>
        </w:rPr>
      </w:pPr>
    </w:p>
    <w:p w14:paraId="43CACF62" w14:textId="77777777" w:rsidR="008811AB" w:rsidRPr="00E14102" w:rsidRDefault="008811AB" w:rsidP="00E14102">
      <w:pPr>
        <w:jc w:val="both"/>
        <w:rPr>
          <w:color w:val="000000" w:themeColor="text1"/>
          <w:sz w:val="16"/>
          <w:szCs w:val="16"/>
        </w:rPr>
      </w:pPr>
      <w:r w:rsidRPr="00E14102">
        <w:rPr>
          <w:color w:val="000000" w:themeColor="text1"/>
          <w:sz w:val="16"/>
          <w:szCs w:val="16"/>
        </w:rPr>
        <w:t>17 апреля 1935 г. Г. А. Шмидт испытал ранцевый планер (крылья для планирования парашютиста конструкции Н. С. Смирнова из МАИ). Этот ЛА имел телескопическую складывающуюся трубу, образующую их переднюю кромку, с поворотными концевыми шайбами по концам. Ось поворота концевых шайб совпадала с осью трубы. От передней кромки трубы, которая крепилась на плечах пилота, гибкая обшивка крыла шла к его ногам, образуя в плане треугольное крыло со срезанной у ног пилота вершиной. Размах крыла — 2,2 м. Концевые шайбы треугольной формы размером 0,35 х 0,33 м имели ручки, за которые держался парашютист и управлял полетом, устанавливая концевые шайбы относительно потока на различные углы атаки. Испытательный полет ранцевого планера Г. Шмидт совершил, прыгнув с самолета У-2 (пилот С. Афанасьев). Планирующий полет на крыльях проходил с высоты 1500 м на скорости 72 км/ч и продолжался около 45 с. За это время планерист пролетел по горизонтали около километра. На высоте 600 м, переведя планер с помощью концевых шайб в удобное для раскрытия парашюта положение, Г. А. Шмидт выдернул кольцо парашюта и благополучно приземлился (15730).</w:t>
      </w:r>
    </w:p>
    <w:p w14:paraId="5682AFA0" w14:textId="77777777" w:rsidR="008811AB" w:rsidRPr="00E14102" w:rsidRDefault="008811AB" w:rsidP="00E14102">
      <w:pPr>
        <w:jc w:val="both"/>
        <w:rPr>
          <w:color w:val="000000" w:themeColor="text1"/>
          <w:sz w:val="16"/>
          <w:szCs w:val="16"/>
        </w:rPr>
      </w:pPr>
    </w:p>
    <w:p w14:paraId="6E9882D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BE0334A" w14:textId="77777777" w:rsidR="00D4105E" w:rsidRPr="00E14102" w:rsidRDefault="00D4105E" w:rsidP="00E14102">
      <w:pPr>
        <w:autoSpaceDE w:val="0"/>
        <w:autoSpaceDN w:val="0"/>
        <w:adjustRightInd w:val="0"/>
        <w:jc w:val="both"/>
        <w:rPr>
          <w:iCs/>
          <w:color w:val="000000" w:themeColor="text1"/>
          <w:sz w:val="16"/>
          <w:szCs w:val="16"/>
        </w:rPr>
      </w:pPr>
    </w:p>
    <w:p w14:paraId="131C9F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апреля 1935 года с конвейера ГАЗ сошел стотысячный автомобиль. Это был легковой ГАЗ-А.</w:t>
      </w:r>
    </w:p>
    <w:p w14:paraId="4C1781AB" w14:textId="77777777" w:rsidR="00D4105E" w:rsidRPr="00E14102" w:rsidRDefault="00D4105E" w:rsidP="00E14102">
      <w:pPr>
        <w:autoSpaceDE w:val="0"/>
        <w:autoSpaceDN w:val="0"/>
        <w:adjustRightInd w:val="0"/>
        <w:jc w:val="both"/>
        <w:rPr>
          <w:color w:val="000000" w:themeColor="text1"/>
          <w:sz w:val="16"/>
          <w:szCs w:val="16"/>
        </w:rPr>
      </w:pPr>
    </w:p>
    <w:p w14:paraId="3CD66845" w14:textId="77777777" w:rsidR="008507A2" w:rsidRPr="00E14102" w:rsidRDefault="008507A2"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86AEF2B" w14:textId="77777777" w:rsidR="008507A2" w:rsidRPr="00E14102" w:rsidRDefault="008507A2" w:rsidP="00E14102">
      <w:pPr>
        <w:autoSpaceDE w:val="0"/>
        <w:autoSpaceDN w:val="0"/>
        <w:adjustRightInd w:val="0"/>
        <w:jc w:val="both"/>
        <w:rPr>
          <w:iCs/>
          <w:color w:val="000000" w:themeColor="text1"/>
          <w:sz w:val="16"/>
          <w:szCs w:val="16"/>
        </w:rPr>
      </w:pPr>
    </w:p>
    <w:p w14:paraId="0965FEC5" w14:textId="77777777" w:rsidR="008507A2" w:rsidRPr="00E14102" w:rsidRDefault="008507A2"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17 апреля 1935 арестован бывший генеральный инспектор Красной Армии, соратник Троцкого Н. Муралов (4962).</w:t>
      </w:r>
    </w:p>
    <w:p w14:paraId="28EB7D3F" w14:textId="77777777" w:rsidR="008507A2" w:rsidRPr="00E14102" w:rsidRDefault="008507A2" w:rsidP="00E14102">
      <w:pPr>
        <w:tabs>
          <w:tab w:val="left" w:pos="11199"/>
        </w:tabs>
        <w:autoSpaceDE w:val="0"/>
        <w:autoSpaceDN w:val="0"/>
        <w:adjustRightInd w:val="0"/>
        <w:jc w:val="both"/>
        <w:rPr>
          <w:color w:val="000000" w:themeColor="text1"/>
          <w:sz w:val="16"/>
          <w:szCs w:val="16"/>
        </w:rPr>
      </w:pPr>
    </w:p>
    <w:p w14:paraId="6D309DC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D217E22" w14:textId="77777777" w:rsidR="00D4105E" w:rsidRPr="00E14102" w:rsidRDefault="00D4105E" w:rsidP="00E14102">
      <w:pPr>
        <w:autoSpaceDE w:val="0"/>
        <w:autoSpaceDN w:val="0"/>
        <w:adjustRightInd w:val="0"/>
        <w:jc w:val="both"/>
        <w:rPr>
          <w:iCs/>
          <w:color w:val="000000" w:themeColor="text1"/>
          <w:sz w:val="16"/>
          <w:szCs w:val="16"/>
        </w:rPr>
      </w:pPr>
    </w:p>
    <w:p w14:paraId="08F0CA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апреля 1935 разбился АНТ-20 МГ из-за И-5 пилотируемого Н.Благиным, погибло 36 производственников (44,112).</w:t>
      </w:r>
    </w:p>
    <w:p w14:paraId="188322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- 18 мая 1935 (514).</w:t>
      </w:r>
    </w:p>
    <w:p w14:paraId="79D9AA31" w14:textId="77777777" w:rsidR="00D4105E" w:rsidRPr="00E14102" w:rsidRDefault="00D4105E" w:rsidP="00E14102">
      <w:pPr>
        <w:autoSpaceDE w:val="0"/>
        <w:autoSpaceDN w:val="0"/>
        <w:adjustRightInd w:val="0"/>
        <w:jc w:val="both"/>
        <w:rPr>
          <w:color w:val="000000" w:themeColor="text1"/>
          <w:sz w:val="16"/>
          <w:szCs w:val="16"/>
        </w:rPr>
      </w:pPr>
    </w:p>
    <w:p w14:paraId="2E6316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апреля в Правде была опубликована программа Первого конкурса легких самолетов Осоавиахима + ЦК ВЛКСМ + ГУГВФ + ГУАП + Авиавнито - техоценка + перелет Москва- Казань - Сарапул - Пермь - Свердловск - Челябинск - Магнитогорск - Оренбург - Куйбышев - Саратов - Сталинград - Днепропетровск - Киев - Бежица - Москва. Часть машин потом так и не долетела (92,522).</w:t>
      </w:r>
    </w:p>
    <w:p w14:paraId="2A6AEFCD" w14:textId="77777777" w:rsidR="00D4105E" w:rsidRPr="00E14102" w:rsidRDefault="00D4105E" w:rsidP="00E14102">
      <w:pPr>
        <w:autoSpaceDE w:val="0"/>
        <w:autoSpaceDN w:val="0"/>
        <w:adjustRightInd w:val="0"/>
        <w:jc w:val="both"/>
        <w:rPr>
          <w:color w:val="000000" w:themeColor="text1"/>
          <w:sz w:val="16"/>
          <w:szCs w:val="16"/>
        </w:rPr>
      </w:pPr>
    </w:p>
    <w:p w14:paraId="47C3F5EA" w14:textId="77777777" w:rsidR="00051001" w:rsidRPr="00E14102" w:rsidRDefault="00051001" w:rsidP="00E14102">
      <w:pPr>
        <w:shd w:val="clear" w:color="auto" w:fill="FFFFFF"/>
        <w:jc w:val="both"/>
        <w:rPr>
          <w:color w:val="0070C0"/>
          <w:sz w:val="16"/>
          <w:szCs w:val="16"/>
        </w:rPr>
      </w:pPr>
      <w:r w:rsidRPr="00E14102">
        <w:rPr>
          <w:color w:val="0070C0"/>
          <w:sz w:val="16"/>
          <w:szCs w:val="16"/>
        </w:rPr>
        <w:t xml:space="preserve">18 апреля 1935 года опубликованной в газете программе перелёта учебно-спортивных самолётов, организованного газетой «Правда» и Осоавиахим, говорилось: «Перелёт и организуемые в связи с ним соревнования имеют целью: а) развитие лёгкомоторной авиации, как важнейшего средства массового воздушного спорта, местной связи и сообщения; б) развитие научной и конструкторской работы для создания наиболее совершенных типов легкомоторных самолётов; в) укрепление аэроклубов, улучшение их работы по подготовке кадров, тренировку аэроклубов и аэродромов в обслуживании массовых спортивных и туристских перелётов; г) </w:t>
      </w:r>
      <w:r w:rsidRPr="00E14102">
        <w:rPr>
          <w:color w:val="0070C0"/>
          <w:sz w:val="16"/>
          <w:szCs w:val="16"/>
        </w:rPr>
        <w:lastRenderedPageBreak/>
        <w:t>лётно-технические и эксплуатационные испытания как новых типов самолётов, так и серийных; д) тренировку лётных кадров советских спортивных организаций. К конкурсу на участие в перелёте будут допущены новые конструкции самолётов (без ограничения количества), прошедшие заводские испытания и представленные к государственным испытаниям не позднее 1 июня 1935 года. К соревнованиям допускаются самолёты с моторами мощностью не свыше 250 лошадиных сил. Пилоты, представляемые к участию в соревнованиях, должны иметь налёт не менее 300 часов и уметь летать по приборам (слепой полёт)» (19907).</w:t>
      </w:r>
    </w:p>
    <w:p w14:paraId="43BDED7F" w14:textId="77777777" w:rsidR="00051001" w:rsidRPr="00E14102" w:rsidRDefault="00051001" w:rsidP="00E14102">
      <w:pPr>
        <w:shd w:val="clear" w:color="auto" w:fill="FFFFFF"/>
        <w:jc w:val="both"/>
        <w:rPr>
          <w:color w:val="0070C0"/>
          <w:sz w:val="16"/>
          <w:szCs w:val="16"/>
        </w:rPr>
      </w:pPr>
    </w:p>
    <w:p w14:paraId="637E61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апреля 1935 состоялся первый Всесоюзный конкурс легких самолетов (274).</w:t>
      </w:r>
    </w:p>
    <w:p w14:paraId="02692698" w14:textId="77777777" w:rsidR="00D4105E" w:rsidRPr="00E14102" w:rsidRDefault="00D4105E" w:rsidP="00E14102">
      <w:pPr>
        <w:autoSpaceDE w:val="0"/>
        <w:autoSpaceDN w:val="0"/>
        <w:adjustRightInd w:val="0"/>
        <w:jc w:val="both"/>
        <w:rPr>
          <w:color w:val="000000" w:themeColor="text1"/>
          <w:sz w:val="16"/>
          <w:szCs w:val="16"/>
        </w:rPr>
      </w:pPr>
    </w:p>
    <w:p w14:paraId="16FA3C7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8EF1B6C" w14:textId="77777777" w:rsidR="00D4105E" w:rsidRPr="00E14102" w:rsidRDefault="00D4105E" w:rsidP="00E14102">
      <w:pPr>
        <w:autoSpaceDE w:val="0"/>
        <w:autoSpaceDN w:val="0"/>
        <w:adjustRightInd w:val="0"/>
        <w:jc w:val="both"/>
        <w:rPr>
          <w:iCs/>
          <w:color w:val="000000" w:themeColor="text1"/>
          <w:sz w:val="16"/>
          <w:szCs w:val="16"/>
        </w:rPr>
      </w:pPr>
    </w:p>
    <w:p w14:paraId="27FBB57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апреля 1935 года зам. Наркомвнешторг Логановский писал письмо № 17/48 в Совнарком Базилевичу</w:t>
      </w:r>
    </w:p>
    <w:p w14:paraId="7E6D1E5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дополнение к нашему письму от 26 марта 1935 года за № 17/40 ставим Вас в известность, что по полученному сообщению от уполномоченного НКОбороны при НКВТ Гиттиса, ГУАП предполагает вместо 6 моторов с винтами, предусмотренных постановлением правительства за № 27/сс от 19 марта 1935 года закупить лишь 3 мотора и 6 винтов.</w:t>
      </w:r>
    </w:p>
    <w:p w14:paraId="3B31214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 вынесения окончательного решения правительства по этому вопросу нами дано указание Торгпредству во Франции о закупке 3 моторов и 6 винтов. Вопрос о заказе остальных моторов оставлен открытым до соответствующего решения правительства на этот счет.</w:t>
      </w:r>
    </w:p>
    <w:p w14:paraId="66D78E5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Прошу в ближайшее время Ваших указаний по этому вопросу (4256, 23).</w:t>
      </w:r>
    </w:p>
    <w:p w14:paraId="767D8E9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9D49D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апреля 1935 года Завод N 1 вновь предъявил самолет на гос. испытания, но ввиду обнаружения ряда дефектов вооружения, самолет гос. испытания не выдержал (3104).</w:t>
      </w:r>
    </w:p>
    <w:p w14:paraId="7CB31B04" w14:textId="77777777" w:rsidR="00D4105E" w:rsidRPr="00E14102" w:rsidRDefault="00D4105E" w:rsidP="00E14102">
      <w:pPr>
        <w:autoSpaceDE w:val="0"/>
        <w:autoSpaceDN w:val="0"/>
        <w:adjustRightInd w:val="0"/>
        <w:jc w:val="both"/>
        <w:rPr>
          <w:color w:val="000000" w:themeColor="text1"/>
          <w:sz w:val="16"/>
          <w:szCs w:val="16"/>
        </w:rPr>
      </w:pPr>
    </w:p>
    <w:p w14:paraId="7E2068BA" w14:textId="77777777" w:rsidR="008811AB" w:rsidRPr="00E14102" w:rsidRDefault="008811AB" w:rsidP="00E14102">
      <w:pPr>
        <w:pStyle w:val="rtejustify"/>
        <w:spacing w:before="0" w:after="0"/>
        <w:rPr>
          <w:color w:val="000000" w:themeColor="text1"/>
          <w:sz w:val="16"/>
          <w:szCs w:val="16"/>
        </w:rPr>
      </w:pPr>
      <w:r w:rsidRPr="00E14102">
        <w:rPr>
          <w:rStyle w:val="a6"/>
          <w:bCs/>
          <w:i w:val="0"/>
          <w:color w:val="000000" w:themeColor="text1"/>
          <w:sz w:val="16"/>
          <w:szCs w:val="16"/>
        </w:rPr>
        <w:t>19 апреля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40сс «О бронировании авиабензобаков». (ГА РФ. Ф. Р</w:t>
      </w:r>
      <w:r w:rsidRPr="00E14102">
        <w:rPr>
          <w:color w:val="000000" w:themeColor="text1"/>
          <w:sz w:val="16"/>
          <w:szCs w:val="16"/>
        </w:rPr>
        <w:noBreakHyphen/>
        <w:t>8418. Оп. 28. Д. 6. Л. 136</w:t>
      </w:r>
      <w:r w:rsidRPr="00E14102">
        <w:rPr>
          <w:color w:val="000000" w:themeColor="text1"/>
          <w:sz w:val="16"/>
          <w:szCs w:val="16"/>
        </w:rPr>
        <w:noBreakHyphen/>
        <w:t>137а) (15460).</w:t>
      </w:r>
    </w:p>
    <w:p w14:paraId="3C5EA693" w14:textId="77777777" w:rsidR="008811AB" w:rsidRPr="00E14102" w:rsidRDefault="008811AB" w:rsidP="00E14102">
      <w:pPr>
        <w:pStyle w:val="rtejustify"/>
        <w:spacing w:before="0" w:after="0"/>
        <w:rPr>
          <w:color w:val="000000" w:themeColor="text1"/>
          <w:sz w:val="16"/>
          <w:szCs w:val="16"/>
        </w:rPr>
      </w:pPr>
    </w:p>
    <w:p w14:paraId="16292A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апреля 1935 года постановление № С-40сс СТО</w:t>
      </w:r>
    </w:p>
    <w:p w14:paraId="4459B6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бронировании бензобаков</w:t>
      </w:r>
    </w:p>
    <w:p w14:paraId="40CC99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041ACB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положительных результатов, полученных при госиспытаниях брони Стеженского, проведенных 11 января 1935 года, во исполнение постановления СТО от 19 декабря 1934 года № 11, п. 11:</w:t>
      </w:r>
    </w:p>
    <w:p w14:paraId="1303582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Глававиапром (Королева) по тактическим требованиям УВС и техническим условиям КБ № 1 ОИ НКО спроектировать для самолета ТБ-3 РН, изготовляемых заводом № 22, установку бронированных бензиновых баков.</w:t>
      </w:r>
    </w:p>
    <w:p w14:paraId="025A8B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выполнения проектных работ – один месяц со дня получения техусловий.</w:t>
      </w:r>
    </w:p>
    <w:p w14:paraId="6693FC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……………………………(7516, 56-57).</w:t>
      </w:r>
    </w:p>
    <w:p w14:paraId="5638A81B" w14:textId="77777777" w:rsidR="00D4105E" w:rsidRPr="00E14102" w:rsidRDefault="00D4105E" w:rsidP="00E14102">
      <w:pPr>
        <w:autoSpaceDE w:val="0"/>
        <w:autoSpaceDN w:val="0"/>
        <w:adjustRightInd w:val="0"/>
        <w:jc w:val="both"/>
        <w:rPr>
          <w:color w:val="000000" w:themeColor="text1"/>
          <w:sz w:val="16"/>
          <w:szCs w:val="16"/>
        </w:rPr>
      </w:pPr>
    </w:p>
    <w:p w14:paraId="569605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апреля 1935 вышло постановление СТО N С-40сс "О бронировании авиабензобаков" В.М.М. (2161,172).</w:t>
      </w:r>
    </w:p>
    <w:p w14:paraId="545FC1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положительных результатов, полученных при гос. испытаниях брони Стеженского, проведенных 11 января 1935, во исполнение постановления СТО N 11 от 19 декабря 1934 п. 11</w:t>
      </w:r>
    </w:p>
    <w:p w14:paraId="7897A5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Обязать ГУАП (Королева) по ТТ УВВС РККА и ТУ КБ-1 ОИ НКО спроектировать для самолета ТБ-3РН, изготовляемых заводом 22, установку бронированных бензиновых баков.</w:t>
      </w:r>
    </w:p>
    <w:p w14:paraId="6CAE80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выполнения проектных работ - 1 месяц со дня получения ТУ.</w:t>
      </w:r>
    </w:p>
    <w:p w14:paraId="7D857C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Обязать НКП (Микояна) на крахмально-паточном заводе Красный Профинтерн, совместно с НИИ К-ПП изготовить спецмассу в количестве 7000 кг по ТУ КБ-1 ОИ НКО. Срок 165 июня 1935</w:t>
      </w:r>
    </w:p>
    <w:p w14:paraId="04F31E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Обязать НКТП на комбинате Красный треугольник (Бородавкин) изготовить по ТУ КБ-1 5000 кг рифленой листовой технической мягкой резины. Срок 1 июня 1935</w:t>
      </w:r>
    </w:p>
    <w:p w14:paraId="7DF0D8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Обязать НКТП на Кольчугинском заводе (Пархоменко) изготовить 2500 кв. м металлической сетки специального плетения по ТУ КБ-1. Срок 1 июня 1935</w:t>
      </w:r>
    </w:p>
    <w:p w14:paraId="1BB0FA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Обязать ГУАП (Королева).</w:t>
      </w:r>
    </w:p>
    <w:p w14:paraId="6F8534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проработать вопрос об изготовлении баков из нержавеющей стали, как для тяжелых самолетов, так и легких, имея в виду заменить ими баки, изготавливаемые из дюраля. Срок - 1 июня 1935</w:t>
      </w:r>
    </w:p>
    <w:p w14:paraId="644CE4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разработать вопрос по производству металлической сетки по ТУ КБ-1 из металла, не дающего электропары с дюралем и не коррозирующего от пиробензина. Срок - 1 августа 1935</w:t>
      </w:r>
    </w:p>
    <w:p w14:paraId="74EAED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ГУАП проработать вопрос об изменении конструкции бензобаков серийных самолетов, изготавливаемых на заводах ГУАП, в соответствии с ТУ на их бронирование броней Стеженского, и по согласованию с УВС провести таковые</w:t>
      </w:r>
    </w:p>
    <w:p w14:paraId="739C42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Поручить ГУАП'у (Марголин) совместно с КБ N 1 ОИ НКО (Стеженский) разработать метод применения бронированных баков, как способа защиты жизненных частей на самолетах типа ТБ3, типа СБ, "ЛК", И-16, И-15, И-17, ИП-1.</w:t>
      </w:r>
    </w:p>
    <w:p w14:paraId="4CB701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Поручить КБ N 1 ОИ НКО (Стеженский):</w:t>
      </w:r>
    </w:p>
    <w:p w14:paraId="23BE81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разработать систему защиты бензобаков самолетов ТБ-3 от взрывов и пожаров, путем заполнения освобождающегося пространства внутри баков инертным газом;</w:t>
      </w:r>
    </w:p>
    <w:p w14:paraId="5E8C08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разработать систему автоматического выключения бензиновых трубопроводов для самолета ТБ-3 в случае пулевого пробития или повреждения. Во исполнение п.п. "а" и "б" п. 7 образцы приборов и арматуры изготовить и смонтировать на самолете ТБ-3 з-ду N 22 (Миткевич). Срок - 15.8.35 г. (чертежи к 1.6.35 г.).</w:t>
      </w:r>
    </w:p>
    <w:p w14:paraId="3D2D98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Для проведения работ, указанных в п.п. 1, 2, 3, 4 и 7, отпустить из резервного фонда СНК СССР в распоряжение ОИ НКО (Русанову) 760000 р.</w:t>
      </w:r>
    </w:p>
    <w:p w14:paraId="19319D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Наградить Стеженского за успешное решение задач бронирования бензобаков и самолетов вообще автомашиной и возбудить ходатайство перед ЦИК СССР о награждении орденом Ленина Союза ССР во исполнение пост. СТО от 19.12.34 г. N 11, п. 11 (2161,172).</w:t>
      </w:r>
    </w:p>
    <w:p w14:paraId="1F703E7A" w14:textId="77777777" w:rsidR="00D4105E" w:rsidRPr="00E14102" w:rsidRDefault="00D4105E" w:rsidP="00E14102">
      <w:pPr>
        <w:autoSpaceDE w:val="0"/>
        <w:autoSpaceDN w:val="0"/>
        <w:adjustRightInd w:val="0"/>
        <w:jc w:val="both"/>
        <w:rPr>
          <w:iCs/>
          <w:color w:val="000000" w:themeColor="text1"/>
          <w:sz w:val="16"/>
          <w:szCs w:val="16"/>
        </w:rPr>
      </w:pPr>
    </w:p>
    <w:p w14:paraId="3019A1CB" w14:textId="77777777" w:rsidR="008811A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260A98F" w14:textId="77777777" w:rsidR="008811AB" w:rsidRPr="00E14102" w:rsidRDefault="008811AB" w:rsidP="00E14102">
      <w:pPr>
        <w:autoSpaceDE w:val="0"/>
        <w:autoSpaceDN w:val="0"/>
        <w:adjustRightInd w:val="0"/>
        <w:jc w:val="both"/>
        <w:rPr>
          <w:iCs/>
          <w:color w:val="000000" w:themeColor="text1"/>
          <w:sz w:val="16"/>
          <w:szCs w:val="16"/>
        </w:rPr>
      </w:pPr>
    </w:p>
    <w:p w14:paraId="3155B15C" w14:textId="77777777" w:rsidR="008811AB" w:rsidRPr="00E14102" w:rsidRDefault="008811AB" w:rsidP="00E14102">
      <w:pPr>
        <w:jc w:val="both"/>
        <w:rPr>
          <w:rStyle w:val="a6"/>
          <w:i w:val="0"/>
          <w:color w:val="000000" w:themeColor="text1"/>
          <w:sz w:val="16"/>
          <w:szCs w:val="16"/>
        </w:rPr>
      </w:pPr>
      <w:r w:rsidRPr="00E14102">
        <w:rPr>
          <w:rStyle w:val="a6"/>
          <w:i w:val="0"/>
          <w:color w:val="000000" w:themeColor="text1"/>
          <w:sz w:val="16"/>
          <w:szCs w:val="16"/>
        </w:rPr>
        <w:t xml:space="preserve">19 апреля 1935 г. </w:t>
      </w:r>
      <w:r w:rsidRPr="00E14102">
        <w:rPr>
          <w:color w:val="000000" w:themeColor="text1"/>
          <w:sz w:val="16"/>
          <w:szCs w:val="16"/>
        </w:rPr>
        <w:t>Справка Специального сектора ЦУНХУ Госплана СССР¹* о динамике капиталовложений в военной промышленности Наркомата тяжелой промышленности СССР за 1931-1934 гг.</w:t>
      </w:r>
    </w:p>
    <w:p w14:paraId="3F81EB2B" w14:textId="77777777" w:rsidR="008811AB" w:rsidRPr="00E14102" w:rsidRDefault="008811AB" w:rsidP="00E14102">
      <w:pPr>
        <w:jc w:val="both"/>
        <w:rPr>
          <w:color w:val="000000" w:themeColor="text1"/>
          <w:sz w:val="16"/>
          <w:szCs w:val="16"/>
        </w:rPr>
      </w:pPr>
      <w:r w:rsidRPr="00E14102">
        <w:rPr>
          <w:rStyle w:val="a6"/>
          <w:i w:val="0"/>
          <w:color w:val="000000" w:themeColor="text1"/>
          <w:sz w:val="16"/>
          <w:szCs w:val="16"/>
        </w:rPr>
        <w:t>Секретно</w:t>
      </w:r>
    </w:p>
    <w:p w14:paraId="762794CE" w14:textId="77777777" w:rsidR="008811AB" w:rsidRPr="00E14102" w:rsidRDefault="008811AB"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сметных ценах 1932</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71"/>
        <w:gridCol w:w="854"/>
        <w:gridCol w:w="796"/>
        <w:gridCol w:w="796"/>
        <w:gridCol w:w="1020"/>
        <w:gridCol w:w="701"/>
        <w:gridCol w:w="590"/>
        <w:gridCol w:w="590"/>
        <w:gridCol w:w="1069"/>
        <w:gridCol w:w="1068"/>
        <w:gridCol w:w="1068"/>
      </w:tblGrid>
      <w:tr w:rsidR="00E3599D" w:rsidRPr="00E14102" w14:paraId="3F5DED29"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78487EA" w14:textId="77777777" w:rsidR="008811AB" w:rsidRPr="00E14102" w:rsidRDefault="008811AB" w:rsidP="00E14102">
            <w:pPr>
              <w:jc w:val="both"/>
              <w:rPr>
                <w:color w:val="000000" w:themeColor="text1"/>
                <w:sz w:val="16"/>
                <w:szCs w:val="16"/>
              </w:rPr>
            </w:pPr>
            <w:r w:rsidRPr="00E14102">
              <w:rPr>
                <w:color w:val="000000" w:themeColor="text1"/>
                <w:sz w:val="16"/>
                <w:szCs w:val="16"/>
              </w:rPr>
              <w:t>Виды работ</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25EF732" w14:textId="77777777" w:rsidR="008811AB" w:rsidRPr="00E14102" w:rsidRDefault="008811AB" w:rsidP="00E14102">
            <w:pPr>
              <w:jc w:val="both"/>
              <w:rPr>
                <w:color w:val="000000" w:themeColor="text1"/>
                <w:sz w:val="16"/>
                <w:szCs w:val="16"/>
              </w:rPr>
            </w:pPr>
            <w:r w:rsidRPr="00E14102">
              <w:rPr>
                <w:color w:val="000000" w:themeColor="text1"/>
                <w:sz w:val="16"/>
                <w:szCs w:val="16"/>
              </w:rPr>
              <w:t>Фактически выполнено 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03E152C" w14:textId="77777777" w:rsidR="008811AB" w:rsidRPr="00E14102" w:rsidRDefault="008811AB" w:rsidP="00E14102">
            <w:pPr>
              <w:jc w:val="both"/>
              <w:rPr>
                <w:color w:val="000000" w:themeColor="text1"/>
                <w:sz w:val="16"/>
                <w:szCs w:val="16"/>
              </w:rPr>
            </w:pPr>
            <w:r w:rsidRPr="00E14102">
              <w:rPr>
                <w:color w:val="000000" w:themeColor="text1"/>
                <w:sz w:val="16"/>
                <w:szCs w:val="16"/>
              </w:rPr>
              <w:t>Ожидаемое</w:t>
            </w:r>
          </w:p>
          <w:p w14:paraId="18BF3B4A" w14:textId="77777777" w:rsidR="008811AB" w:rsidRPr="00E14102" w:rsidRDefault="008811AB" w:rsidP="00E14102">
            <w:pPr>
              <w:jc w:val="both"/>
              <w:rPr>
                <w:color w:val="000000" w:themeColor="text1"/>
                <w:sz w:val="16"/>
                <w:szCs w:val="16"/>
              </w:rPr>
            </w:pPr>
            <w:r w:rsidRPr="00E14102">
              <w:rPr>
                <w:color w:val="000000" w:themeColor="text1"/>
                <w:sz w:val="16"/>
                <w:szCs w:val="16"/>
              </w:rPr>
              <w:t>выполнение</w:t>
            </w:r>
          </w:p>
          <w:p w14:paraId="7B52348F" w14:textId="77777777" w:rsidR="008811AB" w:rsidRPr="00E14102" w:rsidRDefault="008811AB" w:rsidP="00E14102">
            <w:pPr>
              <w:jc w:val="both"/>
              <w:rPr>
                <w:color w:val="000000" w:themeColor="text1"/>
                <w:sz w:val="16"/>
                <w:szCs w:val="16"/>
              </w:rPr>
            </w:pPr>
            <w:r w:rsidRPr="00E14102">
              <w:rPr>
                <w:color w:val="000000" w:themeColor="text1"/>
                <w:sz w:val="16"/>
                <w:szCs w:val="16"/>
              </w:rPr>
              <w:t>за 1934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BB75860" w14:textId="77777777" w:rsidR="008811AB" w:rsidRPr="00E14102" w:rsidRDefault="008811AB" w:rsidP="00E14102">
            <w:pPr>
              <w:jc w:val="both"/>
              <w:rPr>
                <w:color w:val="000000" w:themeColor="text1"/>
                <w:sz w:val="16"/>
                <w:szCs w:val="16"/>
              </w:rPr>
            </w:pPr>
            <w:r w:rsidRPr="00E14102">
              <w:rPr>
                <w:color w:val="000000" w:themeColor="text1"/>
                <w:sz w:val="16"/>
                <w:szCs w:val="16"/>
              </w:rPr>
              <w:t>В процентах к 1931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3C60941" w14:textId="77777777" w:rsidR="008811AB" w:rsidRPr="00E14102" w:rsidRDefault="008811AB" w:rsidP="00E14102">
            <w:pPr>
              <w:jc w:val="both"/>
              <w:rPr>
                <w:color w:val="000000" w:themeColor="text1"/>
                <w:sz w:val="16"/>
                <w:szCs w:val="16"/>
              </w:rPr>
            </w:pPr>
            <w:r w:rsidRPr="00E14102">
              <w:rPr>
                <w:color w:val="000000" w:themeColor="text1"/>
                <w:sz w:val="16"/>
                <w:szCs w:val="16"/>
              </w:rPr>
              <w:t>В процентах к предшествующему году</w:t>
            </w:r>
          </w:p>
        </w:tc>
      </w:tr>
      <w:tr w:rsidR="00E3599D" w:rsidRPr="00E14102" w14:paraId="0D263BE7"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16022FA" w14:textId="77777777" w:rsidR="008811AB" w:rsidRPr="00E14102" w:rsidRDefault="008811AB"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A8592" w14:textId="77777777" w:rsidR="008811AB" w:rsidRPr="00E14102" w:rsidRDefault="008811AB" w:rsidP="00E14102">
            <w:pPr>
              <w:jc w:val="both"/>
              <w:rPr>
                <w:color w:val="000000" w:themeColor="text1"/>
                <w:sz w:val="16"/>
                <w:szCs w:val="16"/>
              </w:rPr>
            </w:pPr>
            <w:r w:rsidRPr="00E14102">
              <w:rPr>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30715" w14:textId="77777777" w:rsidR="008811AB" w:rsidRPr="00E14102" w:rsidRDefault="008811AB" w:rsidP="00E14102">
            <w:pPr>
              <w:jc w:val="both"/>
              <w:rPr>
                <w:color w:val="000000" w:themeColor="text1"/>
                <w:sz w:val="16"/>
                <w:szCs w:val="16"/>
              </w:rPr>
            </w:pPr>
            <w:r w:rsidRPr="00E14102">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390B1" w14:textId="77777777" w:rsidR="008811AB" w:rsidRPr="00E14102" w:rsidRDefault="008811AB" w:rsidP="00E14102">
            <w:pPr>
              <w:jc w:val="both"/>
              <w:rPr>
                <w:color w:val="000000" w:themeColor="text1"/>
                <w:sz w:val="16"/>
                <w:szCs w:val="16"/>
              </w:rPr>
            </w:pPr>
            <w:r w:rsidRPr="00E14102">
              <w:rPr>
                <w:color w:val="000000" w:themeColor="text1"/>
                <w:sz w:val="16"/>
                <w:szCs w:val="16"/>
              </w:rPr>
              <w:t>1933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1128488" w14:textId="77777777" w:rsidR="008811AB" w:rsidRPr="00E14102" w:rsidRDefault="008811AB"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733204" w14:textId="77777777" w:rsidR="008811AB" w:rsidRPr="00E14102" w:rsidRDefault="008811AB" w:rsidP="00E14102">
            <w:pPr>
              <w:jc w:val="both"/>
              <w:rPr>
                <w:color w:val="000000" w:themeColor="text1"/>
                <w:sz w:val="16"/>
                <w:szCs w:val="16"/>
              </w:rPr>
            </w:pPr>
            <w:r w:rsidRPr="00E14102">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2B0C6" w14:textId="77777777" w:rsidR="008811AB" w:rsidRPr="00E14102" w:rsidRDefault="008811AB" w:rsidP="00E14102">
            <w:pPr>
              <w:jc w:val="both"/>
              <w:rPr>
                <w:color w:val="000000" w:themeColor="text1"/>
                <w:sz w:val="16"/>
                <w:szCs w:val="16"/>
              </w:rPr>
            </w:pPr>
            <w:r w:rsidRPr="00E14102">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4764B" w14:textId="77777777" w:rsidR="008811AB" w:rsidRPr="00E14102" w:rsidRDefault="008811AB" w:rsidP="00E14102">
            <w:pPr>
              <w:jc w:val="both"/>
              <w:rPr>
                <w:color w:val="000000" w:themeColor="text1"/>
                <w:sz w:val="16"/>
                <w:szCs w:val="16"/>
              </w:rPr>
            </w:pPr>
            <w:r w:rsidRPr="00E14102">
              <w:rPr>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AF755" w14:textId="77777777" w:rsidR="008811AB" w:rsidRPr="00E14102" w:rsidRDefault="008811AB" w:rsidP="00E14102">
            <w:pPr>
              <w:jc w:val="both"/>
              <w:rPr>
                <w:color w:val="000000" w:themeColor="text1"/>
                <w:sz w:val="16"/>
                <w:szCs w:val="16"/>
              </w:rPr>
            </w:pPr>
            <w:r w:rsidRPr="00E14102">
              <w:rPr>
                <w:color w:val="000000" w:themeColor="text1"/>
                <w:sz w:val="16"/>
                <w:szCs w:val="16"/>
              </w:rPr>
              <w:t>1932 к</w:t>
            </w:r>
          </w:p>
          <w:p w14:paraId="68FF5AC8" w14:textId="77777777" w:rsidR="008811AB" w:rsidRPr="00E14102" w:rsidRDefault="008811AB" w:rsidP="00E14102">
            <w:pPr>
              <w:jc w:val="both"/>
              <w:rPr>
                <w:color w:val="000000" w:themeColor="text1"/>
                <w:sz w:val="16"/>
                <w:szCs w:val="16"/>
              </w:rPr>
            </w:pPr>
            <w:r w:rsidRPr="00E14102">
              <w:rPr>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AA1DE" w14:textId="77777777" w:rsidR="008811AB" w:rsidRPr="00E14102" w:rsidRDefault="008811AB" w:rsidP="00E14102">
            <w:pPr>
              <w:jc w:val="both"/>
              <w:rPr>
                <w:color w:val="000000" w:themeColor="text1"/>
                <w:sz w:val="16"/>
                <w:szCs w:val="16"/>
              </w:rPr>
            </w:pPr>
            <w:r w:rsidRPr="00E14102">
              <w:rPr>
                <w:color w:val="000000" w:themeColor="text1"/>
                <w:sz w:val="16"/>
                <w:szCs w:val="16"/>
              </w:rPr>
              <w:t>1933 к</w:t>
            </w:r>
          </w:p>
          <w:p w14:paraId="75309B1C" w14:textId="77777777" w:rsidR="008811AB" w:rsidRPr="00E14102" w:rsidRDefault="008811AB" w:rsidP="00E14102">
            <w:pPr>
              <w:jc w:val="both"/>
              <w:rPr>
                <w:color w:val="000000" w:themeColor="text1"/>
                <w:sz w:val="16"/>
                <w:szCs w:val="16"/>
              </w:rPr>
            </w:pPr>
            <w:r w:rsidRPr="00E14102">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B7CBA" w14:textId="77777777" w:rsidR="008811AB" w:rsidRPr="00E14102" w:rsidRDefault="008811AB" w:rsidP="00E14102">
            <w:pPr>
              <w:jc w:val="both"/>
              <w:rPr>
                <w:color w:val="000000" w:themeColor="text1"/>
                <w:sz w:val="16"/>
                <w:szCs w:val="16"/>
              </w:rPr>
            </w:pPr>
            <w:r w:rsidRPr="00E14102">
              <w:rPr>
                <w:color w:val="000000" w:themeColor="text1"/>
                <w:sz w:val="16"/>
                <w:szCs w:val="16"/>
              </w:rPr>
              <w:t>1934 к</w:t>
            </w:r>
          </w:p>
          <w:p w14:paraId="07ACD9A5" w14:textId="77777777" w:rsidR="008811AB" w:rsidRPr="00E14102" w:rsidRDefault="008811AB" w:rsidP="00E14102">
            <w:pPr>
              <w:jc w:val="both"/>
              <w:rPr>
                <w:color w:val="000000" w:themeColor="text1"/>
                <w:sz w:val="16"/>
                <w:szCs w:val="16"/>
              </w:rPr>
            </w:pPr>
            <w:r w:rsidRPr="00E14102">
              <w:rPr>
                <w:color w:val="000000" w:themeColor="text1"/>
                <w:sz w:val="16"/>
                <w:szCs w:val="16"/>
              </w:rPr>
              <w:t>1933 г.</w:t>
            </w:r>
          </w:p>
        </w:tc>
      </w:tr>
      <w:tr w:rsidR="00E3599D" w:rsidRPr="00E14102" w14:paraId="12CEB567"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0ED4BFCC" w14:textId="77777777" w:rsidR="008811AB" w:rsidRPr="00E14102" w:rsidRDefault="008811AB" w:rsidP="00E14102">
            <w:pPr>
              <w:jc w:val="both"/>
              <w:rPr>
                <w:color w:val="000000" w:themeColor="text1"/>
                <w:sz w:val="16"/>
                <w:szCs w:val="16"/>
              </w:rPr>
            </w:pPr>
            <w:r w:rsidRPr="00E14102">
              <w:rPr>
                <w:color w:val="000000" w:themeColor="text1"/>
                <w:sz w:val="16"/>
                <w:szCs w:val="16"/>
              </w:rPr>
              <w:t>Итого по ГВМУ</w:t>
            </w:r>
          </w:p>
        </w:tc>
      </w:tr>
      <w:tr w:rsidR="00E3599D" w:rsidRPr="00E14102" w14:paraId="1588EBD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11DE0D" w14:textId="77777777" w:rsidR="008811AB" w:rsidRPr="00E14102" w:rsidRDefault="008811AB" w:rsidP="00E14102">
            <w:pPr>
              <w:jc w:val="both"/>
              <w:rPr>
                <w:color w:val="000000" w:themeColor="text1"/>
                <w:sz w:val="16"/>
                <w:szCs w:val="16"/>
              </w:rPr>
            </w:pPr>
            <w:r w:rsidRPr="00E14102">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063F4" w14:textId="77777777" w:rsidR="008811AB" w:rsidRPr="00E14102" w:rsidRDefault="008811AB" w:rsidP="00E14102">
            <w:pPr>
              <w:jc w:val="both"/>
              <w:rPr>
                <w:color w:val="000000" w:themeColor="text1"/>
                <w:sz w:val="16"/>
                <w:szCs w:val="16"/>
              </w:rPr>
            </w:pPr>
            <w:r w:rsidRPr="00E14102">
              <w:rPr>
                <w:color w:val="000000" w:themeColor="text1"/>
                <w:sz w:val="16"/>
                <w:szCs w:val="16"/>
              </w:rPr>
              <w:t>241 804,3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74934" w14:textId="77777777" w:rsidR="008811AB" w:rsidRPr="00E14102" w:rsidRDefault="008811AB" w:rsidP="00E14102">
            <w:pPr>
              <w:jc w:val="both"/>
              <w:rPr>
                <w:color w:val="000000" w:themeColor="text1"/>
                <w:sz w:val="16"/>
                <w:szCs w:val="16"/>
              </w:rPr>
            </w:pPr>
            <w:r w:rsidRPr="00E14102">
              <w:rPr>
                <w:color w:val="000000" w:themeColor="text1"/>
                <w:sz w:val="16"/>
                <w:szCs w:val="16"/>
              </w:rPr>
              <w:t>403 218,8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02741" w14:textId="77777777" w:rsidR="008811AB" w:rsidRPr="00E14102" w:rsidRDefault="008811AB" w:rsidP="00E14102">
            <w:pPr>
              <w:jc w:val="both"/>
              <w:rPr>
                <w:color w:val="000000" w:themeColor="text1"/>
                <w:sz w:val="16"/>
                <w:szCs w:val="16"/>
              </w:rPr>
            </w:pPr>
            <w:r w:rsidRPr="00E14102">
              <w:rPr>
                <w:color w:val="000000" w:themeColor="text1"/>
                <w:sz w:val="16"/>
                <w:szCs w:val="16"/>
              </w:rPr>
              <w:t>223 194,0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EE0E0" w14:textId="77777777" w:rsidR="008811AB" w:rsidRPr="00E14102" w:rsidRDefault="008811AB" w:rsidP="00E14102">
            <w:pPr>
              <w:jc w:val="both"/>
              <w:rPr>
                <w:color w:val="000000" w:themeColor="text1"/>
                <w:sz w:val="16"/>
                <w:szCs w:val="16"/>
              </w:rPr>
            </w:pPr>
            <w:r w:rsidRPr="00E14102">
              <w:rPr>
                <w:color w:val="000000" w:themeColor="text1"/>
                <w:sz w:val="16"/>
                <w:szCs w:val="16"/>
              </w:rPr>
              <w:t>412 177,4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5B962" w14:textId="77777777" w:rsidR="008811AB" w:rsidRPr="00E14102" w:rsidRDefault="008811AB" w:rsidP="00E14102">
            <w:pPr>
              <w:jc w:val="both"/>
              <w:rPr>
                <w:color w:val="000000" w:themeColor="text1"/>
                <w:sz w:val="16"/>
                <w:szCs w:val="16"/>
              </w:rPr>
            </w:pPr>
            <w:r w:rsidRPr="00E14102">
              <w:rPr>
                <w:color w:val="000000" w:themeColor="text1"/>
                <w:sz w:val="16"/>
                <w:szCs w:val="16"/>
              </w:rPr>
              <w:t>166,8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5AD6F" w14:textId="77777777" w:rsidR="008811AB" w:rsidRPr="00E14102" w:rsidRDefault="008811AB" w:rsidP="00E14102">
            <w:pPr>
              <w:jc w:val="both"/>
              <w:rPr>
                <w:color w:val="000000" w:themeColor="text1"/>
                <w:sz w:val="16"/>
                <w:szCs w:val="16"/>
              </w:rPr>
            </w:pPr>
            <w:r w:rsidRPr="00E14102">
              <w:rPr>
                <w:color w:val="000000" w:themeColor="text1"/>
                <w:sz w:val="16"/>
                <w:szCs w:val="16"/>
              </w:rPr>
              <w:t>92,3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B4415" w14:textId="77777777" w:rsidR="008811AB" w:rsidRPr="00E14102" w:rsidRDefault="008811AB" w:rsidP="00E14102">
            <w:pPr>
              <w:jc w:val="both"/>
              <w:rPr>
                <w:color w:val="000000" w:themeColor="text1"/>
                <w:sz w:val="16"/>
                <w:szCs w:val="16"/>
              </w:rPr>
            </w:pPr>
            <w:r w:rsidRPr="00E14102">
              <w:rPr>
                <w:color w:val="000000" w:themeColor="text1"/>
                <w:sz w:val="16"/>
                <w:szCs w:val="16"/>
              </w:rPr>
              <w:t>170,5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F9B6B" w14:textId="77777777" w:rsidR="008811AB" w:rsidRPr="00E14102" w:rsidRDefault="008811AB" w:rsidP="00E14102">
            <w:pPr>
              <w:jc w:val="both"/>
              <w:rPr>
                <w:color w:val="000000" w:themeColor="text1"/>
                <w:sz w:val="16"/>
                <w:szCs w:val="16"/>
              </w:rPr>
            </w:pPr>
            <w:r w:rsidRPr="00E14102">
              <w:rPr>
                <w:color w:val="000000" w:themeColor="text1"/>
                <w:sz w:val="16"/>
                <w:szCs w:val="16"/>
              </w:rPr>
              <w:t>166,8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A1DC7" w14:textId="77777777" w:rsidR="008811AB" w:rsidRPr="00E14102" w:rsidRDefault="008811AB" w:rsidP="00E14102">
            <w:pPr>
              <w:jc w:val="both"/>
              <w:rPr>
                <w:color w:val="000000" w:themeColor="text1"/>
                <w:sz w:val="16"/>
                <w:szCs w:val="16"/>
              </w:rPr>
            </w:pPr>
            <w:r w:rsidRPr="00E14102">
              <w:rPr>
                <w:color w:val="000000" w:themeColor="text1"/>
                <w:sz w:val="16"/>
                <w:szCs w:val="16"/>
              </w:rPr>
              <w:t>55,4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54730" w14:textId="77777777" w:rsidR="008811AB" w:rsidRPr="00E14102" w:rsidRDefault="008811AB" w:rsidP="00E14102">
            <w:pPr>
              <w:jc w:val="both"/>
              <w:rPr>
                <w:color w:val="000000" w:themeColor="text1"/>
                <w:sz w:val="16"/>
                <w:szCs w:val="16"/>
              </w:rPr>
            </w:pPr>
            <w:r w:rsidRPr="00E14102">
              <w:rPr>
                <w:color w:val="000000" w:themeColor="text1"/>
                <w:sz w:val="16"/>
                <w:szCs w:val="16"/>
              </w:rPr>
              <w:t>184,7</w:t>
            </w:r>
          </w:p>
        </w:tc>
      </w:tr>
      <w:tr w:rsidR="00E3599D" w:rsidRPr="00E14102" w14:paraId="10F6906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D0E4B" w14:textId="77777777" w:rsidR="008811AB" w:rsidRPr="00E14102" w:rsidRDefault="008811AB" w:rsidP="00E14102">
            <w:pPr>
              <w:jc w:val="both"/>
              <w:rPr>
                <w:color w:val="000000" w:themeColor="text1"/>
                <w:sz w:val="16"/>
                <w:szCs w:val="16"/>
              </w:rPr>
            </w:pPr>
            <w:r w:rsidRPr="00E14102">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A3601"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68746"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06A23"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49528"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B1492"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0F463"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C6184"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5DFD7"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9219B"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B23BB"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r>
      <w:tr w:rsidR="00E3599D" w:rsidRPr="00E14102" w14:paraId="263F83F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0EA698" w14:textId="77777777" w:rsidR="008811AB" w:rsidRPr="00E14102" w:rsidRDefault="008811AB" w:rsidP="00E14102">
            <w:pPr>
              <w:jc w:val="both"/>
              <w:rPr>
                <w:color w:val="000000" w:themeColor="text1"/>
                <w:sz w:val="16"/>
                <w:szCs w:val="16"/>
              </w:rPr>
            </w:pPr>
            <w:r w:rsidRPr="00E14102">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9F3A0" w14:textId="77777777" w:rsidR="008811AB" w:rsidRPr="00E14102" w:rsidRDefault="008811AB" w:rsidP="00E14102">
            <w:pPr>
              <w:jc w:val="both"/>
              <w:rPr>
                <w:color w:val="000000" w:themeColor="text1"/>
                <w:sz w:val="16"/>
                <w:szCs w:val="16"/>
              </w:rPr>
            </w:pPr>
            <w:r w:rsidRPr="00E14102">
              <w:rPr>
                <w:color w:val="000000" w:themeColor="text1"/>
                <w:sz w:val="16"/>
                <w:szCs w:val="16"/>
              </w:rPr>
              <w:t>125 653,8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43C3B" w14:textId="77777777" w:rsidR="008811AB" w:rsidRPr="00E14102" w:rsidRDefault="008811AB" w:rsidP="00E14102">
            <w:pPr>
              <w:jc w:val="both"/>
              <w:rPr>
                <w:color w:val="000000" w:themeColor="text1"/>
                <w:sz w:val="16"/>
                <w:szCs w:val="16"/>
              </w:rPr>
            </w:pPr>
            <w:r w:rsidRPr="00E14102">
              <w:rPr>
                <w:color w:val="000000" w:themeColor="text1"/>
                <w:sz w:val="16"/>
                <w:szCs w:val="16"/>
              </w:rPr>
              <w:t>217 329,9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78E0E" w14:textId="77777777" w:rsidR="008811AB" w:rsidRPr="00E14102" w:rsidRDefault="008811AB" w:rsidP="00E14102">
            <w:pPr>
              <w:jc w:val="both"/>
              <w:rPr>
                <w:color w:val="000000" w:themeColor="text1"/>
                <w:sz w:val="16"/>
                <w:szCs w:val="16"/>
              </w:rPr>
            </w:pPr>
            <w:r w:rsidRPr="00E14102">
              <w:rPr>
                <w:color w:val="000000" w:themeColor="text1"/>
                <w:sz w:val="16"/>
                <w:szCs w:val="16"/>
              </w:rPr>
              <w:t>120 194,9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19B22" w14:textId="77777777" w:rsidR="008811AB" w:rsidRPr="00E14102" w:rsidRDefault="008811AB" w:rsidP="00E14102">
            <w:pPr>
              <w:jc w:val="both"/>
              <w:rPr>
                <w:color w:val="000000" w:themeColor="text1"/>
                <w:sz w:val="16"/>
                <w:szCs w:val="16"/>
              </w:rPr>
            </w:pPr>
            <w:r w:rsidRPr="00E14102">
              <w:rPr>
                <w:color w:val="000000" w:themeColor="text1"/>
                <w:sz w:val="16"/>
                <w:szCs w:val="16"/>
              </w:rPr>
              <w:t>236 392,4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93E58" w14:textId="77777777" w:rsidR="008811AB" w:rsidRPr="00E14102" w:rsidRDefault="008811AB" w:rsidP="00E14102">
            <w:pPr>
              <w:jc w:val="both"/>
              <w:rPr>
                <w:color w:val="000000" w:themeColor="text1"/>
                <w:sz w:val="16"/>
                <w:szCs w:val="16"/>
              </w:rPr>
            </w:pPr>
            <w:r w:rsidRPr="00E14102">
              <w:rPr>
                <w:color w:val="000000" w:themeColor="text1"/>
                <w:sz w:val="16"/>
                <w:szCs w:val="16"/>
              </w:rPr>
              <w:t>173,0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98B64" w14:textId="77777777" w:rsidR="008811AB" w:rsidRPr="00E14102" w:rsidRDefault="008811AB" w:rsidP="00E14102">
            <w:pPr>
              <w:jc w:val="both"/>
              <w:rPr>
                <w:color w:val="000000" w:themeColor="text1"/>
                <w:sz w:val="16"/>
                <w:szCs w:val="16"/>
              </w:rPr>
            </w:pPr>
            <w:r w:rsidRPr="00E14102">
              <w:rPr>
                <w:color w:val="000000" w:themeColor="text1"/>
                <w:sz w:val="16"/>
                <w:szCs w:val="16"/>
              </w:rPr>
              <w:t>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5317F" w14:textId="77777777" w:rsidR="008811AB" w:rsidRPr="00E14102" w:rsidRDefault="008811AB" w:rsidP="00E14102">
            <w:pPr>
              <w:jc w:val="both"/>
              <w:rPr>
                <w:color w:val="000000" w:themeColor="text1"/>
                <w:sz w:val="16"/>
                <w:szCs w:val="16"/>
              </w:rPr>
            </w:pPr>
            <w:r w:rsidRPr="00E14102">
              <w:rPr>
                <w:color w:val="000000" w:themeColor="text1"/>
                <w:sz w:val="16"/>
                <w:szCs w:val="16"/>
              </w:rPr>
              <w:t>188,1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8E1DA" w14:textId="77777777" w:rsidR="008811AB" w:rsidRPr="00E14102" w:rsidRDefault="008811AB" w:rsidP="00E14102">
            <w:pPr>
              <w:jc w:val="both"/>
              <w:rPr>
                <w:color w:val="000000" w:themeColor="text1"/>
                <w:sz w:val="16"/>
                <w:szCs w:val="16"/>
              </w:rPr>
            </w:pPr>
            <w:r w:rsidRPr="00E14102">
              <w:rPr>
                <w:color w:val="000000" w:themeColor="text1"/>
                <w:sz w:val="16"/>
                <w:szCs w:val="16"/>
              </w:rPr>
              <w:t>173,0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D46D4" w14:textId="77777777" w:rsidR="008811AB" w:rsidRPr="00E14102" w:rsidRDefault="008811AB" w:rsidP="00E14102">
            <w:pPr>
              <w:jc w:val="both"/>
              <w:rPr>
                <w:color w:val="000000" w:themeColor="text1"/>
                <w:sz w:val="16"/>
                <w:szCs w:val="16"/>
              </w:rPr>
            </w:pPr>
            <w:r w:rsidRPr="00E14102">
              <w:rPr>
                <w:color w:val="000000" w:themeColor="text1"/>
                <w:sz w:val="16"/>
                <w:szCs w:val="16"/>
              </w:rPr>
              <w:t>55,3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31CAB" w14:textId="77777777" w:rsidR="008811AB" w:rsidRPr="00E14102" w:rsidRDefault="008811AB" w:rsidP="00E14102">
            <w:pPr>
              <w:jc w:val="both"/>
              <w:rPr>
                <w:color w:val="000000" w:themeColor="text1"/>
                <w:sz w:val="16"/>
                <w:szCs w:val="16"/>
              </w:rPr>
            </w:pPr>
            <w:r w:rsidRPr="00E14102">
              <w:rPr>
                <w:color w:val="000000" w:themeColor="text1"/>
                <w:sz w:val="16"/>
                <w:szCs w:val="16"/>
              </w:rPr>
              <w:t>196,7</w:t>
            </w:r>
          </w:p>
        </w:tc>
      </w:tr>
      <w:tr w:rsidR="00E3599D" w:rsidRPr="00E14102" w14:paraId="6568BFF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B59AC0" w14:textId="77777777" w:rsidR="008811AB" w:rsidRPr="00E14102" w:rsidRDefault="008811AB" w:rsidP="00E14102">
            <w:pPr>
              <w:jc w:val="both"/>
              <w:rPr>
                <w:color w:val="000000" w:themeColor="text1"/>
                <w:sz w:val="16"/>
                <w:szCs w:val="16"/>
              </w:rPr>
            </w:pPr>
            <w:r w:rsidRPr="00E14102">
              <w:rPr>
                <w:color w:val="000000" w:themeColor="text1"/>
                <w:sz w:val="16"/>
                <w:szCs w:val="16"/>
              </w:rPr>
              <w:t>б) 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EAEA9" w14:textId="77777777" w:rsidR="008811AB" w:rsidRPr="00E14102" w:rsidRDefault="008811AB" w:rsidP="00E14102">
            <w:pPr>
              <w:jc w:val="both"/>
              <w:rPr>
                <w:color w:val="000000" w:themeColor="text1"/>
                <w:sz w:val="16"/>
                <w:szCs w:val="16"/>
              </w:rPr>
            </w:pPr>
            <w:r w:rsidRPr="00E14102">
              <w:rPr>
                <w:color w:val="000000" w:themeColor="text1"/>
                <w:sz w:val="16"/>
                <w:szCs w:val="16"/>
              </w:rPr>
              <w:t>82 190,7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F6D6C" w14:textId="77777777" w:rsidR="008811AB" w:rsidRPr="00E14102" w:rsidRDefault="008811AB" w:rsidP="00E14102">
            <w:pPr>
              <w:jc w:val="both"/>
              <w:rPr>
                <w:color w:val="000000" w:themeColor="text1"/>
                <w:sz w:val="16"/>
                <w:szCs w:val="16"/>
              </w:rPr>
            </w:pPr>
            <w:r w:rsidRPr="00E14102">
              <w:rPr>
                <w:color w:val="000000" w:themeColor="text1"/>
                <w:sz w:val="16"/>
                <w:szCs w:val="16"/>
              </w:rPr>
              <w:t>133 639,7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5B4F4" w14:textId="77777777" w:rsidR="008811AB" w:rsidRPr="00E14102" w:rsidRDefault="008811AB" w:rsidP="00E14102">
            <w:pPr>
              <w:jc w:val="both"/>
              <w:rPr>
                <w:color w:val="000000" w:themeColor="text1"/>
                <w:sz w:val="16"/>
                <w:szCs w:val="16"/>
              </w:rPr>
            </w:pPr>
            <w:r w:rsidRPr="00E14102">
              <w:rPr>
                <w:color w:val="000000" w:themeColor="text1"/>
                <w:sz w:val="16"/>
                <w:szCs w:val="16"/>
              </w:rPr>
              <w:t>90 150,3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BE3FC" w14:textId="77777777" w:rsidR="008811AB" w:rsidRPr="00E14102" w:rsidRDefault="008811AB" w:rsidP="00E14102">
            <w:pPr>
              <w:jc w:val="both"/>
              <w:rPr>
                <w:color w:val="000000" w:themeColor="text1"/>
                <w:sz w:val="16"/>
                <w:szCs w:val="16"/>
              </w:rPr>
            </w:pPr>
            <w:r w:rsidRPr="00E14102">
              <w:rPr>
                <w:color w:val="000000" w:themeColor="text1"/>
                <w:sz w:val="16"/>
                <w:szCs w:val="16"/>
              </w:rPr>
              <w:t>129 850,2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61164" w14:textId="77777777" w:rsidR="008811AB" w:rsidRPr="00E14102" w:rsidRDefault="008811AB" w:rsidP="00E14102">
            <w:pPr>
              <w:jc w:val="both"/>
              <w:rPr>
                <w:color w:val="000000" w:themeColor="text1"/>
                <w:sz w:val="16"/>
                <w:szCs w:val="16"/>
              </w:rPr>
            </w:pPr>
            <w:r w:rsidRPr="00E14102">
              <w:rPr>
                <w:color w:val="000000" w:themeColor="text1"/>
                <w:sz w:val="16"/>
                <w:szCs w:val="16"/>
              </w:rPr>
              <w:t>162,6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5F0CF" w14:textId="77777777" w:rsidR="008811AB" w:rsidRPr="00E14102" w:rsidRDefault="008811AB" w:rsidP="00E14102">
            <w:pPr>
              <w:jc w:val="both"/>
              <w:rPr>
                <w:color w:val="000000" w:themeColor="text1"/>
                <w:sz w:val="16"/>
                <w:szCs w:val="16"/>
              </w:rPr>
            </w:pPr>
            <w:r w:rsidRPr="00E14102">
              <w:rPr>
                <w:color w:val="000000" w:themeColor="text1"/>
                <w:sz w:val="16"/>
                <w:szCs w:val="16"/>
              </w:rPr>
              <w:t>109,7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419FB" w14:textId="77777777" w:rsidR="008811AB" w:rsidRPr="00E14102" w:rsidRDefault="008811AB" w:rsidP="00E14102">
            <w:pPr>
              <w:jc w:val="both"/>
              <w:rPr>
                <w:color w:val="000000" w:themeColor="text1"/>
                <w:sz w:val="16"/>
                <w:szCs w:val="16"/>
              </w:rPr>
            </w:pPr>
            <w:r w:rsidRPr="00E14102">
              <w:rPr>
                <w:color w:val="000000" w:themeColor="text1"/>
                <w:sz w:val="16"/>
                <w:szCs w:val="16"/>
              </w:rPr>
              <w:t>158,0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57180" w14:textId="77777777" w:rsidR="008811AB" w:rsidRPr="00E14102" w:rsidRDefault="008811AB" w:rsidP="00E14102">
            <w:pPr>
              <w:jc w:val="both"/>
              <w:rPr>
                <w:color w:val="000000" w:themeColor="text1"/>
                <w:sz w:val="16"/>
                <w:szCs w:val="16"/>
              </w:rPr>
            </w:pPr>
            <w:r w:rsidRPr="00E14102">
              <w:rPr>
                <w:color w:val="000000" w:themeColor="text1"/>
                <w:sz w:val="16"/>
                <w:szCs w:val="16"/>
              </w:rPr>
              <w:t>162,6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001A2" w14:textId="77777777" w:rsidR="008811AB" w:rsidRPr="00E14102" w:rsidRDefault="008811AB" w:rsidP="00E14102">
            <w:pPr>
              <w:jc w:val="both"/>
              <w:rPr>
                <w:color w:val="000000" w:themeColor="text1"/>
                <w:sz w:val="16"/>
                <w:szCs w:val="16"/>
              </w:rPr>
            </w:pPr>
            <w:r w:rsidRPr="00E14102">
              <w:rPr>
                <w:color w:val="000000" w:themeColor="text1"/>
                <w:sz w:val="16"/>
                <w:szCs w:val="16"/>
              </w:rPr>
              <w:t>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B7E4A" w14:textId="77777777" w:rsidR="008811AB" w:rsidRPr="00E14102" w:rsidRDefault="008811AB" w:rsidP="00E14102">
            <w:pPr>
              <w:jc w:val="both"/>
              <w:rPr>
                <w:color w:val="000000" w:themeColor="text1"/>
                <w:sz w:val="16"/>
                <w:szCs w:val="16"/>
              </w:rPr>
            </w:pPr>
            <w:r w:rsidRPr="00E14102">
              <w:rPr>
                <w:color w:val="000000" w:themeColor="text1"/>
                <w:sz w:val="16"/>
                <w:szCs w:val="16"/>
              </w:rPr>
              <w:t>144,0</w:t>
            </w:r>
          </w:p>
        </w:tc>
      </w:tr>
      <w:tr w:rsidR="00E3599D" w:rsidRPr="00E14102" w14:paraId="12333E3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9838F8" w14:textId="77777777" w:rsidR="008811AB" w:rsidRPr="00E14102" w:rsidRDefault="008811AB" w:rsidP="00E14102">
            <w:pPr>
              <w:jc w:val="both"/>
              <w:rPr>
                <w:color w:val="000000" w:themeColor="text1"/>
                <w:sz w:val="16"/>
                <w:szCs w:val="16"/>
              </w:rPr>
            </w:pPr>
            <w:r w:rsidRPr="00E14102">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E79AE" w14:textId="77777777" w:rsidR="008811AB" w:rsidRPr="00E14102" w:rsidRDefault="008811AB" w:rsidP="00E14102">
            <w:pPr>
              <w:jc w:val="both"/>
              <w:rPr>
                <w:color w:val="000000" w:themeColor="text1"/>
                <w:sz w:val="16"/>
                <w:szCs w:val="16"/>
              </w:rPr>
            </w:pPr>
            <w:r w:rsidRPr="00E14102">
              <w:rPr>
                <w:color w:val="000000" w:themeColor="text1"/>
                <w:sz w:val="16"/>
                <w:szCs w:val="16"/>
              </w:rPr>
              <w:t>25 749,8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EDE26" w14:textId="77777777" w:rsidR="008811AB" w:rsidRPr="00E14102" w:rsidRDefault="008811AB" w:rsidP="00E14102">
            <w:pPr>
              <w:jc w:val="both"/>
              <w:rPr>
                <w:color w:val="000000" w:themeColor="text1"/>
                <w:sz w:val="16"/>
                <w:szCs w:val="16"/>
              </w:rPr>
            </w:pPr>
            <w:r w:rsidRPr="00E14102">
              <w:rPr>
                <w:color w:val="000000" w:themeColor="text1"/>
                <w:sz w:val="16"/>
                <w:szCs w:val="16"/>
              </w:rPr>
              <w:t>41 471,1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D651F" w14:textId="77777777" w:rsidR="008811AB" w:rsidRPr="00E14102" w:rsidRDefault="008811AB" w:rsidP="00E14102">
            <w:pPr>
              <w:jc w:val="both"/>
              <w:rPr>
                <w:color w:val="000000" w:themeColor="text1"/>
                <w:sz w:val="16"/>
                <w:szCs w:val="16"/>
              </w:rPr>
            </w:pPr>
            <w:r w:rsidRPr="00E14102">
              <w:rPr>
                <w:color w:val="000000" w:themeColor="text1"/>
                <w:sz w:val="16"/>
                <w:szCs w:val="16"/>
              </w:rPr>
              <w:t>20 625,0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D1FEB" w14:textId="77777777" w:rsidR="008811AB" w:rsidRPr="00E14102" w:rsidRDefault="008811AB" w:rsidP="00E14102">
            <w:pPr>
              <w:jc w:val="both"/>
              <w:rPr>
                <w:color w:val="000000" w:themeColor="text1"/>
                <w:sz w:val="16"/>
                <w:szCs w:val="16"/>
              </w:rPr>
            </w:pPr>
            <w:r w:rsidRPr="00E14102">
              <w:rPr>
                <w:color w:val="000000" w:themeColor="text1"/>
                <w:sz w:val="16"/>
                <w:szCs w:val="16"/>
              </w:rPr>
              <w:t>27 479,8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E430E" w14:textId="77777777" w:rsidR="008811AB" w:rsidRPr="00E14102" w:rsidRDefault="008811AB" w:rsidP="00E14102">
            <w:pPr>
              <w:jc w:val="both"/>
              <w:rPr>
                <w:color w:val="000000" w:themeColor="text1"/>
                <w:sz w:val="16"/>
                <w:szCs w:val="16"/>
              </w:rPr>
            </w:pPr>
            <w:r w:rsidRPr="00E14102">
              <w:rPr>
                <w:color w:val="000000" w:themeColor="text1"/>
                <w:sz w:val="16"/>
                <w:szCs w:val="16"/>
              </w:rPr>
              <w:t>161,1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F2AE7" w14:textId="77777777" w:rsidR="008811AB" w:rsidRPr="00E14102" w:rsidRDefault="008811AB" w:rsidP="00E14102">
            <w:pPr>
              <w:jc w:val="both"/>
              <w:rPr>
                <w:color w:val="000000" w:themeColor="text1"/>
                <w:sz w:val="16"/>
                <w:szCs w:val="16"/>
              </w:rPr>
            </w:pPr>
            <w:r w:rsidRPr="00E14102">
              <w:rPr>
                <w:color w:val="000000" w:themeColor="text1"/>
                <w:sz w:val="16"/>
                <w:szCs w:val="16"/>
              </w:rPr>
              <w:t>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DD050" w14:textId="77777777" w:rsidR="008811AB" w:rsidRPr="00E14102" w:rsidRDefault="008811AB" w:rsidP="00E14102">
            <w:pPr>
              <w:jc w:val="both"/>
              <w:rPr>
                <w:color w:val="000000" w:themeColor="text1"/>
                <w:sz w:val="16"/>
                <w:szCs w:val="16"/>
              </w:rPr>
            </w:pPr>
            <w:r w:rsidRPr="00E14102">
              <w:rPr>
                <w:color w:val="000000" w:themeColor="text1"/>
                <w:sz w:val="16"/>
                <w:szCs w:val="16"/>
              </w:rPr>
              <w:t>106,7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D5239" w14:textId="77777777" w:rsidR="008811AB" w:rsidRPr="00E14102" w:rsidRDefault="008811AB" w:rsidP="00E14102">
            <w:pPr>
              <w:jc w:val="both"/>
              <w:rPr>
                <w:color w:val="000000" w:themeColor="text1"/>
                <w:sz w:val="16"/>
                <w:szCs w:val="16"/>
              </w:rPr>
            </w:pPr>
            <w:r w:rsidRPr="00E14102">
              <w:rPr>
                <w:color w:val="000000" w:themeColor="text1"/>
                <w:sz w:val="16"/>
                <w:szCs w:val="16"/>
              </w:rPr>
              <w:t>161,1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82148" w14:textId="77777777" w:rsidR="008811AB" w:rsidRPr="00E14102" w:rsidRDefault="008811AB" w:rsidP="00E14102">
            <w:pPr>
              <w:jc w:val="both"/>
              <w:rPr>
                <w:color w:val="000000" w:themeColor="text1"/>
                <w:sz w:val="16"/>
                <w:szCs w:val="16"/>
              </w:rPr>
            </w:pPr>
            <w:r w:rsidRPr="00E14102">
              <w:rPr>
                <w:color w:val="000000" w:themeColor="text1"/>
                <w:sz w:val="16"/>
                <w:szCs w:val="16"/>
              </w:rPr>
              <w:t>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1B96C" w14:textId="77777777" w:rsidR="008811AB" w:rsidRPr="00E14102" w:rsidRDefault="008811AB" w:rsidP="00E14102">
            <w:pPr>
              <w:jc w:val="both"/>
              <w:rPr>
                <w:color w:val="000000" w:themeColor="text1"/>
                <w:sz w:val="16"/>
                <w:szCs w:val="16"/>
              </w:rPr>
            </w:pPr>
            <w:r w:rsidRPr="00E14102">
              <w:rPr>
                <w:color w:val="000000" w:themeColor="text1"/>
                <w:sz w:val="16"/>
                <w:szCs w:val="16"/>
              </w:rPr>
              <w:t>133,2</w:t>
            </w:r>
          </w:p>
        </w:tc>
      </w:tr>
      <w:tr w:rsidR="00E3599D" w:rsidRPr="00E14102" w14:paraId="5E96439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E6F051" w14:textId="77777777" w:rsidR="008811AB" w:rsidRPr="00E14102" w:rsidRDefault="008811AB" w:rsidP="00E14102">
            <w:pPr>
              <w:jc w:val="both"/>
              <w:rPr>
                <w:color w:val="000000" w:themeColor="text1"/>
                <w:sz w:val="16"/>
                <w:szCs w:val="16"/>
              </w:rPr>
            </w:pPr>
            <w:r w:rsidRPr="00E14102">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E2494" w14:textId="77777777" w:rsidR="008811AB" w:rsidRPr="00E14102" w:rsidRDefault="008811AB" w:rsidP="00E14102">
            <w:pPr>
              <w:jc w:val="both"/>
              <w:rPr>
                <w:color w:val="000000" w:themeColor="text1"/>
                <w:sz w:val="16"/>
                <w:szCs w:val="16"/>
              </w:rPr>
            </w:pPr>
            <w:r w:rsidRPr="00E14102">
              <w:rPr>
                <w:color w:val="000000" w:themeColor="text1"/>
                <w:sz w:val="16"/>
                <w:szCs w:val="16"/>
              </w:rPr>
              <w:t>19 058,1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DEA60" w14:textId="77777777" w:rsidR="008811AB" w:rsidRPr="00E14102" w:rsidRDefault="008811AB" w:rsidP="00E14102">
            <w:pPr>
              <w:jc w:val="both"/>
              <w:rPr>
                <w:color w:val="000000" w:themeColor="text1"/>
                <w:sz w:val="16"/>
                <w:szCs w:val="16"/>
              </w:rPr>
            </w:pPr>
            <w:r w:rsidRPr="00E14102">
              <w:rPr>
                <w:color w:val="000000" w:themeColor="text1"/>
                <w:sz w:val="16"/>
                <w:szCs w:val="16"/>
              </w:rPr>
              <w:t>25 087,9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54FF3" w14:textId="77777777" w:rsidR="008811AB" w:rsidRPr="00E14102" w:rsidRDefault="008811AB" w:rsidP="00E14102">
            <w:pPr>
              <w:jc w:val="both"/>
              <w:rPr>
                <w:color w:val="000000" w:themeColor="text1"/>
                <w:sz w:val="16"/>
                <w:szCs w:val="16"/>
              </w:rPr>
            </w:pPr>
            <w:r w:rsidRPr="00E14102">
              <w:rPr>
                <w:color w:val="000000" w:themeColor="text1"/>
                <w:sz w:val="16"/>
                <w:szCs w:val="16"/>
              </w:rPr>
              <w:t>14 575,6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8F1DE" w14:textId="77777777" w:rsidR="008811AB" w:rsidRPr="00E14102" w:rsidRDefault="008811AB" w:rsidP="00E14102">
            <w:pPr>
              <w:jc w:val="both"/>
              <w:rPr>
                <w:color w:val="000000" w:themeColor="text1"/>
                <w:sz w:val="16"/>
                <w:szCs w:val="16"/>
              </w:rPr>
            </w:pPr>
            <w:r w:rsidRPr="00E14102">
              <w:rPr>
                <w:color w:val="000000" w:themeColor="text1"/>
                <w:sz w:val="16"/>
                <w:szCs w:val="16"/>
              </w:rPr>
              <w:t>10 609,5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3D49F" w14:textId="77777777" w:rsidR="008811AB" w:rsidRPr="00E14102" w:rsidRDefault="008811AB" w:rsidP="00E14102">
            <w:pPr>
              <w:jc w:val="both"/>
              <w:rPr>
                <w:color w:val="000000" w:themeColor="text1"/>
                <w:sz w:val="16"/>
                <w:szCs w:val="16"/>
              </w:rPr>
            </w:pPr>
            <w:r w:rsidRPr="00E14102">
              <w:rPr>
                <w:color w:val="000000" w:themeColor="text1"/>
                <w:sz w:val="16"/>
                <w:szCs w:val="16"/>
              </w:rPr>
              <w:t>131,6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0C515" w14:textId="77777777" w:rsidR="008811AB" w:rsidRPr="00E14102" w:rsidRDefault="008811AB" w:rsidP="00E14102">
            <w:pPr>
              <w:jc w:val="both"/>
              <w:rPr>
                <w:color w:val="000000" w:themeColor="text1"/>
                <w:sz w:val="16"/>
                <w:szCs w:val="16"/>
              </w:rPr>
            </w:pPr>
            <w:r w:rsidRPr="00E14102">
              <w:rPr>
                <w:color w:val="000000" w:themeColor="text1"/>
                <w:sz w:val="16"/>
                <w:szCs w:val="16"/>
              </w:rPr>
              <w:t>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59112" w14:textId="77777777" w:rsidR="008811AB" w:rsidRPr="00E14102" w:rsidRDefault="008811AB" w:rsidP="00E14102">
            <w:pPr>
              <w:jc w:val="both"/>
              <w:rPr>
                <w:color w:val="000000" w:themeColor="text1"/>
                <w:sz w:val="16"/>
                <w:szCs w:val="16"/>
              </w:rPr>
            </w:pPr>
            <w:r w:rsidRPr="00E14102">
              <w:rPr>
                <w:color w:val="000000" w:themeColor="text1"/>
                <w:sz w:val="16"/>
                <w:szCs w:val="16"/>
              </w:rPr>
              <w:t>55,7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B1C3B" w14:textId="77777777" w:rsidR="008811AB" w:rsidRPr="00E14102" w:rsidRDefault="008811AB" w:rsidP="00E14102">
            <w:pPr>
              <w:jc w:val="both"/>
              <w:rPr>
                <w:color w:val="000000" w:themeColor="text1"/>
                <w:sz w:val="16"/>
                <w:szCs w:val="16"/>
              </w:rPr>
            </w:pPr>
            <w:r w:rsidRPr="00E14102">
              <w:rPr>
                <w:color w:val="000000" w:themeColor="text1"/>
                <w:sz w:val="16"/>
                <w:szCs w:val="16"/>
              </w:rPr>
              <w:t>131,6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6E237" w14:textId="77777777" w:rsidR="008811AB" w:rsidRPr="00E14102" w:rsidRDefault="008811AB" w:rsidP="00E14102">
            <w:pPr>
              <w:jc w:val="both"/>
              <w:rPr>
                <w:color w:val="000000" w:themeColor="text1"/>
                <w:sz w:val="16"/>
                <w:szCs w:val="16"/>
              </w:rPr>
            </w:pPr>
            <w:r w:rsidRPr="00E14102">
              <w:rPr>
                <w:color w:val="000000" w:themeColor="text1"/>
                <w:sz w:val="16"/>
                <w:szCs w:val="16"/>
              </w:rPr>
              <w:t>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14F91" w14:textId="77777777" w:rsidR="008811AB" w:rsidRPr="00E14102" w:rsidRDefault="008811AB" w:rsidP="00E14102">
            <w:pPr>
              <w:jc w:val="both"/>
              <w:rPr>
                <w:color w:val="000000" w:themeColor="text1"/>
                <w:sz w:val="16"/>
                <w:szCs w:val="16"/>
              </w:rPr>
            </w:pPr>
            <w:r w:rsidRPr="00E14102">
              <w:rPr>
                <w:color w:val="000000" w:themeColor="text1"/>
                <w:sz w:val="16"/>
                <w:szCs w:val="16"/>
              </w:rPr>
              <w:t>72,8</w:t>
            </w:r>
          </w:p>
        </w:tc>
      </w:tr>
      <w:tr w:rsidR="00E3599D" w:rsidRPr="00E14102" w14:paraId="67F1FFB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ACEB5A" w14:textId="77777777" w:rsidR="008811AB" w:rsidRPr="00E14102" w:rsidRDefault="008811AB" w:rsidP="00E14102">
            <w:pPr>
              <w:jc w:val="both"/>
              <w:rPr>
                <w:color w:val="000000" w:themeColor="text1"/>
                <w:sz w:val="16"/>
                <w:szCs w:val="16"/>
              </w:rPr>
            </w:pPr>
            <w:r w:rsidRPr="00E14102">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DA534" w14:textId="77777777" w:rsidR="008811AB" w:rsidRPr="00E14102" w:rsidRDefault="008811AB" w:rsidP="00E14102">
            <w:pPr>
              <w:jc w:val="both"/>
              <w:rPr>
                <w:color w:val="000000" w:themeColor="text1"/>
                <w:sz w:val="16"/>
                <w:szCs w:val="16"/>
              </w:rPr>
            </w:pPr>
            <w:r w:rsidRPr="00E14102">
              <w:rPr>
                <w:color w:val="000000" w:themeColor="text1"/>
                <w:sz w:val="16"/>
                <w:szCs w:val="16"/>
              </w:rPr>
              <w:t>5335,6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776A3" w14:textId="77777777" w:rsidR="008811AB" w:rsidRPr="00E14102" w:rsidRDefault="008811AB" w:rsidP="00E14102">
            <w:pPr>
              <w:jc w:val="both"/>
              <w:rPr>
                <w:color w:val="000000" w:themeColor="text1"/>
                <w:sz w:val="16"/>
                <w:szCs w:val="16"/>
              </w:rPr>
            </w:pPr>
            <w:r w:rsidRPr="00E14102">
              <w:rPr>
                <w:color w:val="000000" w:themeColor="text1"/>
                <w:sz w:val="16"/>
                <w:szCs w:val="16"/>
              </w:rPr>
              <w:t>8632,9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F0E48" w14:textId="77777777" w:rsidR="008811AB" w:rsidRPr="00E14102" w:rsidRDefault="008811AB" w:rsidP="00E14102">
            <w:pPr>
              <w:jc w:val="both"/>
              <w:rPr>
                <w:color w:val="000000" w:themeColor="text1"/>
                <w:sz w:val="16"/>
                <w:szCs w:val="16"/>
              </w:rPr>
            </w:pPr>
            <w:r w:rsidRPr="00E14102">
              <w:rPr>
                <w:color w:val="000000" w:themeColor="text1"/>
                <w:sz w:val="16"/>
                <w:szCs w:val="16"/>
              </w:rPr>
              <w:t>9972,1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38313" w14:textId="77777777" w:rsidR="008811AB" w:rsidRPr="00E14102" w:rsidRDefault="008811AB" w:rsidP="00E14102">
            <w:pPr>
              <w:jc w:val="both"/>
              <w:rPr>
                <w:color w:val="000000" w:themeColor="text1"/>
                <w:sz w:val="16"/>
                <w:szCs w:val="16"/>
              </w:rPr>
            </w:pPr>
            <w:r w:rsidRPr="00E14102">
              <w:rPr>
                <w:color w:val="000000" w:themeColor="text1"/>
                <w:sz w:val="16"/>
                <w:szCs w:val="16"/>
              </w:rPr>
              <w:t>9275,8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83C1A" w14:textId="77777777" w:rsidR="008811AB" w:rsidRPr="00E14102" w:rsidRDefault="008811AB" w:rsidP="00E14102">
            <w:pPr>
              <w:jc w:val="both"/>
              <w:rPr>
                <w:color w:val="000000" w:themeColor="text1"/>
                <w:sz w:val="16"/>
                <w:szCs w:val="16"/>
              </w:rPr>
            </w:pPr>
            <w:r w:rsidRPr="00E14102">
              <w:rPr>
                <w:color w:val="000000" w:themeColor="text1"/>
                <w:sz w:val="16"/>
                <w:szCs w:val="16"/>
              </w:rPr>
              <w:t>161,8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6A73C" w14:textId="77777777" w:rsidR="008811AB" w:rsidRPr="00E14102" w:rsidRDefault="008811AB" w:rsidP="00E14102">
            <w:pPr>
              <w:jc w:val="both"/>
              <w:rPr>
                <w:color w:val="000000" w:themeColor="text1"/>
                <w:sz w:val="16"/>
                <w:szCs w:val="16"/>
              </w:rPr>
            </w:pPr>
            <w:r w:rsidRPr="00E14102">
              <w:rPr>
                <w:color w:val="000000" w:themeColor="text1"/>
                <w:sz w:val="16"/>
                <w:szCs w:val="16"/>
              </w:rPr>
              <w:t>186,9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A70F5" w14:textId="77777777" w:rsidR="008811AB" w:rsidRPr="00E14102" w:rsidRDefault="008811AB" w:rsidP="00E14102">
            <w:pPr>
              <w:jc w:val="both"/>
              <w:rPr>
                <w:color w:val="000000" w:themeColor="text1"/>
                <w:sz w:val="16"/>
                <w:szCs w:val="16"/>
              </w:rPr>
            </w:pPr>
            <w:r w:rsidRPr="00E14102">
              <w:rPr>
                <w:color w:val="000000" w:themeColor="text1"/>
                <w:sz w:val="16"/>
                <w:szCs w:val="16"/>
              </w:rPr>
              <w:t>173,8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C1768" w14:textId="77777777" w:rsidR="008811AB" w:rsidRPr="00E14102" w:rsidRDefault="008811AB" w:rsidP="00E14102">
            <w:pPr>
              <w:jc w:val="both"/>
              <w:rPr>
                <w:color w:val="000000" w:themeColor="text1"/>
                <w:sz w:val="16"/>
                <w:szCs w:val="16"/>
              </w:rPr>
            </w:pPr>
            <w:r w:rsidRPr="00E14102">
              <w:rPr>
                <w:color w:val="000000" w:themeColor="text1"/>
                <w:sz w:val="16"/>
                <w:szCs w:val="16"/>
              </w:rPr>
              <w:t>161,8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AD7A9" w14:textId="77777777" w:rsidR="008811AB" w:rsidRPr="00E14102" w:rsidRDefault="008811AB" w:rsidP="00E14102">
            <w:pPr>
              <w:jc w:val="both"/>
              <w:rPr>
                <w:color w:val="000000" w:themeColor="text1"/>
                <w:sz w:val="16"/>
                <w:szCs w:val="16"/>
              </w:rPr>
            </w:pPr>
            <w:r w:rsidRPr="00E14102">
              <w:rPr>
                <w:color w:val="000000" w:themeColor="text1"/>
                <w:sz w:val="16"/>
                <w:szCs w:val="16"/>
              </w:rPr>
              <w:t>115,5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030EE" w14:textId="77777777" w:rsidR="008811AB" w:rsidRPr="00E14102" w:rsidRDefault="008811AB" w:rsidP="00E14102">
            <w:pPr>
              <w:jc w:val="both"/>
              <w:rPr>
                <w:color w:val="000000" w:themeColor="text1"/>
                <w:sz w:val="16"/>
                <w:szCs w:val="16"/>
              </w:rPr>
            </w:pPr>
            <w:r w:rsidRPr="00E14102">
              <w:rPr>
                <w:color w:val="000000" w:themeColor="text1"/>
                <w:sz w:val="16"/>
                <w:szCs w:val="16"/>
              </w:rPr>
              <w:t>93,0</w:t>
            </w:r>
          </w:p>
        </w:tc>
      </w:tr>
      <w:tr w:rsidR="00E3599D" w:rsidRPr="00E14102" w14:paraId="5F134C8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EAEBFD" w14:textId="77777777" w:rsidR="008811AB" w:rsidRPr="00E14102" w:rsidRDefault="008811AB" w:rsidP="00E14102">
            <w:pPr>
              <w:jc w:val="both"/>
              <w:rPr>
                <w:color w:val="000000" w:themeColor="text1"/>
                <w:sz w:val="16"/>
                <w:szCs w:val="16"/>
              </w:rPr>
            </w:pPr>
            <w:r w:rsidRPr="00E14102">
              <w:rPr>
                <w:color w:val="000000" w:themeColor="text1"/>
                <w:sz w:val="16"/>
                <w:szCs w:val="16"/>
              </w:rPr>
              <w:t>4) 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C15B6" w14:textId="77777777" w:rsidR="008811AB" w:rsidRPr="00E14102" w:rsidRDefault="008811AB" w:rsidP="00E14102">
            <w:pPr>
              <w:jc w:val="both"/>
              <w:rPr>
                <w:color w:val="000000" w:themeColor="text1"/>
                <w:sz w:val="16"/>
                <w:szCs w:val="16"/>
              </w:rPr>
            </w:pPr>
            <w:r w:rsidRPr="00E14102">
              <w:rPr>
                <w:color w:val="000000" w:themeColor="text1"/>
                <w:sz w:val="16"/>
                <w:szCs w:val="16"/>
              </w:rPr>
              <w:t>17 663,1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9C7EC" w14:textId="77777777" w:rsidR="008811AB" w:rsidRPr="00E14102" w:rsidRDefault="008811AB" w:rsidP="00E14102">
            <w:pPr>
              <w:jc w:val="both"/>
              <w:rPr>
                <w:color w:val="000000" w:themeColor="text1"/>
                <w:sz w:val="16"/>
                <w:szCs w:val="16"/>
              </w:rPr>
            </w:pPr>
            <w:r w:rsidRPr="00E14102">
              <w:rPr>
                <w:color w:val="000000" w:themeColor="text1"/>
                <w:sz w:val="16"/>
                <w:szCs w:val="16"/>
              </w:rPr>
              <w:t>22 161,7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79CA6" w14:textId="77777777" w:rsidR="008811AB" w:rsidRPr="00E14102" w:rsidRDefault="008811AB" w:rsidP="00E14102">
            <w:pPr>
              <w:jc w:val="both"/>
              <w:rPr>
                <w:color w:val="000000" w:themeColor="text1"/>
                <w:sz w:val="16"/>
                <w:szCs w:val="16"/>
              </w:rPr>
            </w:pPr>
            <w:r w:rsidRPr="00E14102">
              <w:rPr>
                <w:color w:val="000000" w:themeColor="text1"/>
                <w:sz w:val="16"/>
                <w:szCs w:val="16"/>
              </w:rPr>
              <w:t>13 261,7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16611" w14:textId="77777777" w:rsidR="008811AB" w:rsidRPr="00E14102" w:rsidRDefault="008811AB" w:rsidP="00E14102">
            <w:pPr>
              <w:jc w:val="both"/>
              <w:rPr>
                <w:color w:val="000000" w:themeColor="text1"/>
                <w:sz w:val="16"/>
                <w:szCs w:val="16"/>
              </w:rPr>
            </w:pPr>
            <w:r w:rsidRPr="00E14102">
              <w:rPr>
                <w:color w:val="000000" w:themeColor="text1"/>
                <w:sz w:val="16"/>
                <w:szCs w:val="16"/>
              </w:rPr>
              <w:t>18 898,6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58B3E" w14:textId="77777777" w:rsidR="008811AB" w:rsidRPr="00E14102" w:rsidRDefault="008811AB" w:rsidP="00E14102">
            <w:pPr>
              <w:jc w:val="both"/>
              <w:rPr>
                <w:color w:val="000000" w:themeColor="text1"/>
                <w:sz w:val="16"/>
                <w:szCs w:val="16"/>
              </w:rPr>
            </w:pPr>
            <w:r w:rsidRPr="00E14102">
              <w:rPr>
                <w:color w:val="000000" w:themeColor="text1"/>
                <w:sz w:val="16"/>
                <w:szCs w:val="16"/>
              </w:rPr>
              <w:t>125,5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BA709" w14:textId="77777777" w:rsidR="008811AB" w:rsidRPr="00E14102" w:rsidRDefault="008811AB" w:rsidP="00E14102">
            <w:pPr>
              <w:jc w:val="both"/>
              <w:rPr>
                <w:color w:val="000000" w:themeColor="text1"/>
                <w:sz w:val="16"/>
                <w:szCs w:val="16"/>
              </w:rPr>
            </w:pPr>
            <w:r w:rsidRPr="00E14102">
              <w:rPr>
                <w:color w:val="000000" w:themeColor="text1"/>
                <w:sz w:val="16"/>
                <w:szCs w:val="16"/>
              </w:rPr>
              <w:t>75,1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3D21F" w14:textId="77777777" w:rsidR="008811AB" w:rsidRPr="00E14102" w:rsidRDefault="008811AB" w:rsidP="00E14102">
            <w:pPr>
              <w:jc w:val="both"/>
              <w:rPr>
                <w:color w:val="000000" w:themeColor="text1"/>
                <w:sz w:val="16"/>
                <w:szCs w:val="16"/>
              </w:rPr>
            </w:pPr>
            <w:r w:rsidRPr="00E14102">
              <w:rPr>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0BE89" w14:textId="77777777" w:rsidR="008811AB" w:rsidRPr="00E14102" w:rsidRDefault="008811AB" w:rsidP="00E14102">
            <w:pPr>
              <w:jc w:val="both"/>
              <w:rPr>
                <w:color w:val="000000" w:themeColor="text1"/>
                <w:sz w:val="16"/>
                <w:szCs w:val="16"/>
              </w:rPr>
            </w:pPr>
            <w:r w:rsidRPr="00E14102">
              <w:rPr>
                <w:color w:val="000000" w:themeColor="text1"/>
                <w:sz w:val="16"/>
                <w:szCs w:val="16"/>
              </w:rPr>
              <w:t>125,5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A6E5B" w14:textId="77777777" w:rsidR="008811AB" w:rsidRPr="00E14102" w:rsidRDefault="008811AB" w:rsidP="00E14102">
            <w:pPr>
              <w:jc w:val="both"/>
              <w:rPr>
                <w:color w:val="000000" w:themeColor="text1"/>
                <w:sz w:val="16"/>
                <w:szCs w:val="16"/>
              </w:rPr>
            </w:pPr>
            <w:r w:rsidRPr="00E14102">
              <w:rPr>
                <w:color w:val="000000" w:themeColor="text1"/>
                <w:sz w:val="16"/>
                <w:szCs w:val="16"/>
              </w:rPr>
              <w:t>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851B5" w14:textId="77777777" w:rsidR="008811AB" w:rsidRPr="00E14102" w:rsidRDefault="008811AB" w:rsidP="00E14102">
            <w:pPr>
              <w:jc w:val="both"/>
              <w:rPr>
                <w:color w:val="000000" w:themeColor="text1"/>
                <w:sz w:val="16"/>
                <w:szCs w:val="16"/>
              </w:rPr>
            </w:pPr>
            <w:r w:rsidRPr="00E14102">
              <w:rPr>
                <w:color w:val="000000" w:themeColor="text1"/>
                <w:sz w:val="16"/>
                <w:szCs w:val="16"/>
              </w:rPr>
              <w:t>142,5</w:t>
            </w:r>
          </w:p>
        </w:tc>
      </w:tr>
      <w:tr w:rsidR="00E3599D" w:rsidRPr="00E14102" w14:paraId="6A7E6044"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026B53E6" w14:textId="77777777" w:rsidR="008811AB" w:rsidRPr="00E14102" w:rsidRDefault="008811AB" w:rsidP="00E14102">
            <w:pPr>
              <w:jc w:val="both"/>
              <w:rPr>
                <w:color w:val="000000" w:themeColor="text1"/>
                <w:sz w:val="16"/>
                <w:szCs w:val="16"/>
              </w:rPr>
            </w:pPr>
            <w:r w:rsidRPr="00E14102">
              <w:rPr>
                <w:color w:val="000000" w:themeColor="text1"/>
                <w:sz w:val="16"/>
                <w:szCs w:val="16"/>
              </w:rPr>
              <w:t>ГУАП</w:t>
            </w:r>
          </w:p>
        </w:tc>
      </w:tr>
      <w:tr w:rsidR="00E3599D" w:rsidRPr="00E14102" w14:paraId="70B79A1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3FF603" w14:textId="77777777" w:rsidR="008811AB" w:rsidRPr="00E14102" w:rsidRDefault="008811AB" w:rsidP="00E14102">
            <w:pPr>
              <w:jc w:val="both"/>
              <w:rPr>
                <w:color w:val="000000" w:themeColor="text1"/>
                <w:sz w:val="16"/>
                <w:szCs w:val="16"/>
              </w:rPr>
            </w:pPr>
            <w:r w:rsidRPr="00E14102">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D8B62" w14:textId="77777777" w:rsidR="008811AB" w:rsidRPr="00E14102" w:rsidRDefault="008811AB" w:rsidP="00E14102">
            <w:pPr>
              <w:jc w:val="both"/>
              <w:rPr>
                <w:color w:val="000000" w:themeColor="text1"/>
                <w:sz w:val="16"/>
                <w:szCs w:val="16"/>
              </w:rPr>
            </w:pPr>
            <w:r w:rsidRPr="00E14102">
              <w:rPr>
                <w:color w:val="000000" w:themeColor="text1"/>
                <w:sz w:val="16"/>
                <w:szCs w:val="16"/>
              </w:rPr>
              <w:t>85 774,4</w:t>
            </w:r>
          </w:p>
          <w:p w14:paraId="0D691495" w14:textId="77777777" w:rsidR="008811AB" w:rsidRPr="00E14102" w:rsidRDefault="008811AB" w:rsidP="00E14102">
            <w:pPr>
              <w:jc w:val="both"/>
              <w:rPr>
                <w:color w:val="000000" w:themeColor="text1"/>
                <w:sz w:val="16"/>
                <w:szCs w:val="16"/>
              </w:rPr>
            </w:pPr>
            <w:r w:rsidRPr="00E14102">
              <w:rPr>
                <w:color w:val="000000" w:themeColor="text1"/>
                <w:sz w:val="16"/>
                <w:szCs w:val="16"/>
              </w:rPr>
              <w:t>94 486,2²*</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753C6" w14:textId="77777777" w:rsidR="008811AB" w:rsidRPr="00E14102" w:rsidRDefault="008811AB" w:rsidP="00E14102">
            <w:pPr>
              <w:jc w:val="both"/>
              <w:rPr>
                <w:color w:val="000000" w:themeColor="text1"/>
                <w:sz w:val="16"/>
                <w:szCs w:val="16"/>
              </w:rPr>
            </w:pPr>
            <w:r w:rsidRPr="00E14102">
              <w:rPr>
                <w:color w:val="000000" w:themeColor="text1"/>
                <w:sz w:val="16"/>
                <w:szCs w:val="16"/>
              </w:rPr>
              <w:t>177 778,0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59CE3" w14:textId="77777777" w:rsidR="008811AB" w:rsidRPr="00E14102" w:rsidRDefault="008811AB" w:rsidP="00E14102">
            <w:pPr>
              <w:jc w:val="both"/>
              <w:rPr>
                <w:color w:val="000000" w:themeColor="text1"/>
                <w:sz w:val="16"/>
                <w:szCs w:val="16"/>
              </w:rPr>
            </w:pPr>
            <w:r w:rsidRPr="00E14102">
              <w:rPr>
                <w:color w:val="000000" w:themeColor="text1"/>
                <w:sz w:val="16"/>
                <w:szCs w:val="16"/>
              </w:rPr>
              <w:t>152 046,0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06EA7" w14:textId="77777777" w:rsidR="008811AB" w:rsidRPr="00E14102" w:rsidRDefault="008811AB" w:rsidP="00E14102">
            <w:pPr>
              <w:jc w:val="both"/>
              <w:rPr>
                <w:color w:val="000000" w:themeColor="text1"/>
                <w:sz w:val="16"/>
                <w:szCs w:val="16"/>
              </w:rPr>
            </w:pPr>
            <w:r w:rsidRPr="00E14102">
              <w:rPr>
                <w:color w:val="000000" w:themeColor="text1"/>
                <w:sz w:val="16"/>
                <w:szCs w:val="16"/>
              </w:rPr>
              <w:t>237 660,6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1F3BA" w14:textId="77777777" w:rsidR="008811AB" w:rsidRPr="00E14102" w:rsidRDefault="008811AB" w:rsidP="00E14102">
            <w:pPr>
              <w:jc w:val="both"/>
              <w:rPr>
                <w:color w:val="000000" w:themeColor="text1"/>
                <w:sz w:val="16"/>
                <w:szCs w:val="16"/>
              </w:rPr>
            </w:pPr>
            <w:r w:rsidRPr="00E14102">
              <w:rPr>
                <w:color w:val="000000" w:themeColor="text1"/>
                <w:sz w:val="16"/>
                <w:szCs w:val="16"/>
              </w:rPr>
              <w:t>207,3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0188A" w14:textId="77777777" w:rsidR="008811AB" w:rsidRPr="00E14102" w:rsidRDefault="008811AB" w:rsidP="00E14102">
            <w:pPr>
              <w:jc w:val="both"/>
              <w:rPr>
                <w:color w:val="000000" w:themeColor="text1"/>
                <w:sz w:val="16"/>
                <w:szCs w:val="16"/>
              </w:rPr>
            </w:pPr>
            <w:r w:rsidRPr="00E14102">
              <w:rPr>
                <w:color w:val="000000" w:themeColor="text1"/>
                <w:sz w:val="16"/>
                <w:szCs w:val="16"/>
              </w:rPr>
              <w:t>177,3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A242D" w14:textId="77777777" w:rsidR="008811AB" w:rsidRPr="00E14102" w:rsidRDefault="008811AB" w:rsidP="00E14102">
            <w:pPr>
              <w:jc w:val="both"/>
              <w:rPr>
                <w:color w:val="000000" w:themeColor="text1"/>
                <w:sz w:val="16"/>
                <w:szCs w:val="16"/>
              </w:rPr>
            </w:pPr>
            <w:r w:rsidRPr="00E14102">
              <w:rPr>
                <w:color w:val="000000" w:themeColor="text1"/>
                <w:sz w:val="16"/>
                <w:szCs w:val="16"/>
              </w:rPr>
              <w:t>277,1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A951C" w14:textId="77777777" w:rsidR="008811AB" w:rsidRPr="00E14102" w:rsidRDefault="008811AB" w:rsidP="00E14102">
            <w:pPr>
              <w:jc w:val="both"/>
              <w:rPr>
                <w:color w:val="000000" w:themeColor="text1"/>
                <w:sz w:val="16"/>
                <w:szCs w:val="16"/>
              </w:rPr>
            </w:pPr>
            <w:r w:rsidRPr="00E14102">
              <w:rPr>
                <w:color w:val="000000" w:themeColor="text1"/>
                <w:sz w:val="16"/>
                <w:szCs w:val="16"/>
              </w:rPr>
              <w:t>207,3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726F2" w14:textId="77777777" w:rsidR="008811AB" w:rsidRPr="00E14102" w:rsidRDefault="008811AB" w:rsidP="00E14102">
            <w:pPr>
              <w:jc w:val="both"/>
              <w:rPr>
                <w:color w:val="000000" w:themeColor="text1"/>
                <w:sz w:val="16"/>
                <w:szCs w:val="16"/>
              </w:rPr>
            </w:pPr>
            <w:r w:rsidRPr="00E14102">
              <w:rPr>
                <w:color w:val="000000" w:themeColor="text1"/>
                <w:sz w:val="16"/>
                <w:szCs w:val="16"/>
              </w:rPr>
              <w:t>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DC83D" w14:textId="77777777" w:rsidR="008811AB" w:rsidRPr="00E14102" w:rsidRDefault="008811AB" w:rsidP="00E14102">
            <w:pPr>
              <w:jc w:val="both"/>
              <w:rPr>
                <w:color w:val="000000" w:themeColor="text1"/>
                <w:sz w:val="16"/>
                <w:szCs w:val="16"/>
              </w:rPr>
            </w:pPr>
            <w:r w:rsidRPr="00E14102">
              <w:rPr>
                <w:color w:val="000000" w:themeColor="text1"/>
                <w:sz w:val="16"/>
                <w:szCs w:val="16"/>
              </w:rPr>
              <w:t>156,3</w:t>
            </w:r>
          </w:p>
        </w:tc>
      </w:tr>
      <w:tr w:rsidR="00E3599D" w:rsidRPr="00E14102" w14:paraId="3681C13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9F143C" w14:textId="77777777" w:rsidR="008811AB" w:rsidRPr="00E14102" w:rsidRDefault="008811AB" w:rsidP="00E14102">
            <w:pPr>
              <w:jc w:val="both"/>
              <w:rPr>
                <w:color w:val="000000" w:themeColor="text1"/>
                <w:sz w:val="16"/>
                <w:szCs w:val="16"/>
              </w:rPr>
            </w:pPr>
            <w:r w:rsidRPr="00E14102">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81E55"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0893B"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D7AEC"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16515"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FBD0F"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4A79C"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F1098"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C7A0C"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30E9A"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40788"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r>
      <w:tr w:rsidR="00E3599D" w:rsidRPr="00E14102" w14:paraId="64B93E3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DE993A" w14:textId="77777777" w:rsidR="008811AB" w:rsidRPr="00E14102" w:rsidRDefault="008811AB" w:rsidP="00E14102">
            <w:pPr>
              <w:jc w:val="both"/>
              <w:rPr>
                <w:color w:val="000000" w:themeColor="text1"/>
                <w:sz w:val="16"/>
                <w:szCs w:val="16"/>
              </w:rPr>
            </w:pPr>
            <w:r w:rsidRPr="00E14102">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900AA" w14:textId="77777777" w:rsidR="008811AB" w:rsidRPr="00E14102" w:rsidRDefault="008811AB" w:rsidP="00E14102">
            <w:pPr>
              <w:jc w:val="both"/>
              <w:rPr>
                <w:color w:val="000000" w:themeColor="text1"/>
                <w:sz w:val="16"/>
                <w:szCs w:val="16"/>
              </w:rPr>
            </w:pPr>
            <w:r w:rsidRPr="00E14102">
              <w:rPr>
                <w:color w:val="000000" w:themeColor="text1"/>
                <w:sz w:val="16"/>
                <w:szCs w:val="16"/>
              </w:rPr>
              <w:t>52 236,6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B553F" w14:textId="77777777" w:rsidR="008811AB" w:rsidRPr="00E14102" w:rsidRDefault="008811AB" w:rsidP="00E14102">
            <w:pPr>
              <w:jc w:val="both"/>
              <w:rPr>
                <w:color w:val="000000" w:themeColor="text1"/>
                <w:sz w:val="16"/>
                <w:szCs w:val="16"/>
              </w:rPr>
            </w:pPr>
            <w:r w:rsidRPr="00E14102">
              <w:rPr>
                <w:color w:val="000000" w:themeColor="text1"/>
                <w:sz w:val="16"/>
                <w:szCs w:val="16"/>
              </w:rPr>
              <w:t>108 275,6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22368" w14:textId="77777777" w:rsidR="008811AB" w:rsidRPr="00E14102" w:rsidRDefault="008811AB" w:rsidP="00E14102">
            <w:pPr>
              <w:jc w:val="both"/>
              <w:rPr>
                <w:color w:val="000000" w:themeColor="text1"/>
                <w:sz w:val="16"/>
                <w:szCs w:val="16"/>
              </w:rPr>
            </w:pPr>
            <w:r w:rsidRPr="00E14102">
              <w:rPr>
                <w:color w:val="000000" w:themeColor="text1"/>
                <w:sz w:val="16"/>
                <w:szCs w:val="16"/>
              </w:rPr>
              <w:t>78 766,8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53E98" w14:textId="77777777" w:rsidR="008811AB" w:rsidRPr="00E14102" w:rsidRDefault="008811AB" w:rsidP="00E14102">
            <w:pPr>
              <w:jc w:val="both"/>
              <w:rPr>
                <w:color w:val="000000" w:themeColor="text1"/>
                <w:sz w:val="16"/>
                <w:szCs w:val="16"/>
              </w:rPr>
            </w:pPr>
            <w:r w:rsidRPr="00E14102">
              <w:rPr>
                <w:color w:val="000000" w:themeColor="text1"/>
                <w:sz w:val="16"/>
                <w:szCs w:val="16"/>
              </w:rPr>
              <w:t>154 504,4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F4A0C" w14:textId="77777777" w:rsidR="008811AB" w:rsidRPr="00E14102" w:rsidRDefault="008811AB" w:rsidP="00E14102">
            <w:pPr>
              <w:jc w:val="both"/>
              <w:rPr>
                <w:color w:val="000000" w:themeColor="text1"/>
                <w:sz w:val="16"/>
                <w:szCs w:val="16"/>
              </w:rPr>
            </w:pPr>
            <w:r w:rsidRPr="00E14102">
              <w:rPr>
                <w:color w:val="000000" w:themeColor="text1"/>
                <w:sz w:val="16"/>
                <w:szCs w:val="16"/>
              </w:rPr>
              <w:t>207,3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89FE0" w14:textId="77777777" w:rsidR="008811AB" w:rsidRPr="00E14102" w:rsidRDefault="008811AB" w:rsidP="00E14102">
            <w:pPr>
              <w:jc w:val="both"/>
              <w:rPr>
                <w:color w:val="000000" w:themeColor="text1"/>
                <w:sz w:val="16"/>
                <w:szCs w:val="16"/>
              </w:rPr>
            </w:pPr>
            <w:r w:rsidRPr="00E14102">
              <w:rPr>
                <w:color w:val="000000" w:themeColor="text1"/>
                <w:sz w:val="16"/>
                <w:szCs w:val="16"/>
              </w:rPr>
              <w:t>150,8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A3568" w14:textId="77777777" w:rsidR="008811AB" w:rsidRPr="00E14102" w:rsidRDefault="008811AB" w:rsidP="00E14102">
            <w:pPr>
              <w:jc w:val="both"/>
              <w:rPr>
                <w:color w:val="000000" w:themeColor="text1"/>
                <w:sz w:val="16"/>
                <w:szCs w:val="16"/>
              </w:rPr>
            </w:pPr>
            <w:r w:rsidRPr="00E14102">
              <w:rPr>
                <w:color w:val="000000" w:themeColor="text1"/>
                <w:sz w:val="16"/>
                <w:szCs w:val="16"/>
              </w:rPr>
              <w:t>295,8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FB951" w14:textId="77777777" w:rsidR="008811AB" w:rsidRPr="00E14102" w:rsidRDefault="008811AB" w:rsidP="00E14102">
            <w:pPr>
              <w:jc w:val="both"/>
              <w:rPr>
                <w:color w:val="000000" w:themeColor="text1"/>
                <w:sz w:val="16"/>
                <w:szCs w:val="16"/>
              </w:rPr>
            </w:pPr>
            <w:r w:rsidRPr="00E14102">
              <w:rPr>
                <w:color w:val="000000" w:themeColor="text1"/>
                <w:sz w:val="16"/>
                <w:szCs w:val="16"/>
              </w:rPr>
              <w:t>207,3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5066E" w14:textId="77777777" w:rsidR="008811AB" w:rsidRPr="00E14102" w:rsidRDefault="008811AB" w:rsidP="00E14102">
            <w:pPr>
              <w:jc w:val="both"/>
              <w:rPr>
                <w:color w:val="000000" w:themeColor="text1"/>
                <w:sz w:val="16"/>
                <w:szCs w:val="16"/>
              </w:rPr>
            </w:pPr>
            <w:r w:rsidRPr="00E14102">
              <w:rPr>
                <w:color w:val="000000" w:themeColor="text1"/>
                <w:sz w:val="16"/>
                <w:szCs w:val="16"/>
              </w:rPr>
              <w:t>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49809" w14:textId="77777777" w:rsidR="008811AB" w:rsidRPr="00E14102" w:rsidRDefault="008811AB" w:rsidP="00E14102">
            <w:pPr>
              <w:jc w:val="both"/>
              <w:rPr>
                <w:color w:val="000000" w:themeColor="text1"/>
                <w:sz w:val="16"/>
                <w:szCs w:val="16"/>
              </w:rPr>
            </w:pPr>
            <w:r w:rsidRPr="00E14102">
              <w:rPr>
                <w:color w:val="000000" w:themeColor="text1"/>
                <w:sz w:val="16"/>
                <w:szCs w:val="16"/>
              </w:rPr>
              <w:t>196,2</w:t>
            </w:r>
          </w:p>
        </w:tc>
      </w:tr>
      <w:tr w:rsidR="00E3599D" w:rsidRPr="00E14102" w14:paraId="1A4E757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951050" w14:textId="77777777" w:rsidR="008811AB" w:rsidRPr="00E14102" w:rsidRDefault="008811AB" w:rsidP="00E14102">
            <w:pPr>
              <w:jc w:val="both"/>
              <w:rPr>
                <w:color w:val="000000" w:themeColor="text1"/>
                <w:sz w:val="16"/>
                <w:szCs w:val="16"/>
              </w:rPr>
            </w:pPr>
            <w:r w:rsidRPr="00E14102">
              <w:rPr>
                <w:color w:val="000000" w:themeColor="text1"/>
                <w:sz w:val="16"/>
                <w:szCs w:val="16"/>
              </w:rPr>
              <w:lastRenderedPageBreak/>
              <w:t>б) 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F8D5A" w14:textId="77777777" w:rsidR="008811AB" w:rsidRPr="00E14102" w:rsidRDefault="008811AB" w:rsidP="00E14102">
            <w:pPr>
              <w:jc w:val="both"/>
              <w:rPr>
                <w:color w:val="000000" w:themeColor="text1"/>
                <w:sz w:val="16"/>
                <w:szCs w:val="16"/>
              </w:rPr>
            </w:pPr>
            <w:r w:rsidRPr="00E14102">
              <w:rPr>
                <w:color w:val="000000" w:themeColor="text1"/>
                <w:sz w:val="16"/>
                <w:szCs w:val="16"/>
              </w:rPr>
              <w:t>15 868,2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E89B2" w14:textId="77777777" w:rsidR="008811AB" w:rsidRPr="00E14102" w:rsidRDefault="008811AB" w:rsidP="00E14102">
            <w:pPr>
              <w:jc w:val="both"/>
              <w:rPr>
                <w:color w:val="000000" w:themeColor="text1"/>
                <w:sz w:val="16"/>
                <w:szCs w:val="16"/>
              </w:rPr>
            </w:pPr>
            <w:r w:rsidRPr="00E14102">
              <w:rPr>
                <w:color w:val="000000" w:themeColor="text1"/>
                <w:sz w:val="16"/>
                <w:szCs w:val="16"/>
              </w:rPr>
              <w:t>32 810,0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51688" w14:textId="77777777" w:rsidR="008811AB" w:rsidRPr="00E14102" w:rsidRDefault="008811AB" w:rsidP="00E14102">
            <w:pPr>
              <w:jc w:val="both"/>
              <w:rPr>
                <w:color w:val="000000" w:themeColor="text1"/>
                <w:sz w:val="16"/>
                <w:szCs w:val="16"/>
              </w:rPr>
            </w:pPr>
            <w:r w:rsidRPr="00E14102">
              <w:rPr>
                <w:color w:val="000000" w:themeColor="text1"/>
                <w:sz w:val="16"/>
                <w:szCs w:val="16"/>
              </w:rPr>
              <w:t>38 751,2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E20F8" w14:textId="77777777" w:rsidR="008811AB" w:rsidRPr="00E14102" w:rsidRDefault="008811AB" w:rsidP="00E14102">
            <w:pPr>
              <w:jc w:val="both"/>
              <w:rPr>
                <w:color w:val="000000" w:themeColor="text1"/>
                <w:sz w:val="16"/>
                <w:szCs w:val="16"/>
              </w:rPr>
            </w:pPr>
            <w:r w:rsidRPr="00E14102">
              <w:rPr>
                <w:color w:val="000000" w:themeColor="text1"/>
                <w:sz w:val="16"/>
                <w:szCs w:val="16"/>
              </w:rPr>
              <w:t>68 603,1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3A176" w14:textId="77777777" w:rsidR="008811AB" w:rsidRPr="00E14102" w:rsidRDefault="008811AB" w:rsidP="00E14102">
            <w:pPr>
              <w:jc w:val="both"/>
              <w:rPr>
                <w:color w:val="000000" w:themeColor="text1"/>
                <w:sz w:val="16"/>
                <w:szCs w:val="16"/>
              </w:rPr>
            </w:pPr>
            <w:r w:rsidRPr="00E14102">
              <w:rPr>
                <w:color w:val="000000" w:themeColor="text1"/>
                <w:sz w:val="16"/>
                <w:szCs w:val="16"/>
              </w:rPr>
              <w:t>206,8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5FDC4" w14:textId="77777777" w:rsidR="008811AB" w:rsidRPr="00E14102" w:rsidRDefault="008811AB" w:rsidP="00E14102">
            <w:pPr>
              <w:jc w:val="both"/>
              <w:rPr>
                <w:color w:val="000000" w:themeColor="text1"/>
                <w:sz w:val="16"/>
                <w:szCs w:val="16"/>
              </w:rPr>
            </w:pPr>
            <w:r w:rsidRPr="00E14102">
              <w:rPr>
                <w:color w:val="000000" w:themeColor="text1"/>
                <w:sz w:val="16"/>
                <w:szCs w:val="16"/>
              </w:rPr>
              <w:t>244,2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51022" w14:textId="77777777" w:rsidR="008811AB" w:rsidRPr="00E14102" w:rsidRDefault="008811AB" w:rsidP="00E14102">
            <w:pPr>
              <w:jc w:val="both"/>
              <w:rPr>
                <w:color w:val="000000" w:themeColor="text1"/>
                <w:sz w:val="16"/>
                <w:szCs w:val="16"/>
              </w:rPr>
            </w:pPr>
            <w:r w:rsidRPr="00E14102">
              <w:rPr>
                <w:color w:val="000000" w:themeColor="text1"/>
                <w:sz w:val="16"/>
                <w:szCs w:val="16"/>
              </w:rPr>
              <w:t>432,3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8D094" w14:textId="77777777" w:rsidR="008811AB" w:rsidRPr="00E14102" w:rsidRDefault="008811AB" w:rsidP="00E14102">
            <w:pPr>
              <w:jc w:val="both"/>
              <w:rPr>
                <w:color w:val="000000" w:themeColor="text1"/>
                <w:sz w:val="16"/>
                <w:szCs w:val="16"/>
              </w:rPr>
            </w:pPr>
            <w:r w:rsidRPr="00E14102">
              <w:rPr>
                <w:color w:val="000000" w:themeColor="text1"/>
                <w:sz w:val="16"/>
                <w:szCs w:val="16"/>
              </w:rPr>
              <w:t>206,8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68AA5" w14:textId="77777777" w:rsidR="008811AB" w:rsidRPr="00E14102" w:rsidRDefault="008811AB" w:rsidP="00E14102">
            <w:pPr>
              <w:jc w:val="both"/>
              <w:rPr>
                <w:color w:val="000000" w:themeColor="text1"/>
                <w:sz w:val="16"/>
                <w:szCs w:val="16"/>
              </w:rPr>
            </w:pPr>
            <w:r w:rsidRPr="00E14102">
              <w:rPr>
                <w:color w:val="000000" w:themeColor="text1"/>
                <w:sz w:val="16"/>
                <w:szCs w:val="16"/>
              </w:rPr>
              <w:t>118,1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19D5B" w14:textId="77777777" w:rsidR="008811AB" w:rsidRPr="00E14102" w:rsidRDefault="008811AB" w:rsidP="00E14102">
            <w:pPr>
              <w:jc w:val="both"/>
              <w:rPr>
                <w:color w:val="000000" w:themeColor="text1"/>
                <w:sz w:val="16"/>
                <w:szCs w:val="16"/>
              </w:rPr>
            </w:pPr>
            <w:r w:rsidRPr="00E14102">
              <w:rPr>
                <w:color w:val="000000" w:themeColor="text1"/>
                <w:sz w:val="16"/>
                <w:szCs w:val="16"/>
              </w:rPr>
              <w:t>177,0</w:t>
            </w:r>
          </w:p>
        </w:tc>
      </w:tr>
      <w:tr w:rsidR="00E3599D" w:rsidRPr="00E14102" w14:paraId="506D0FD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FE168C" w14:textId="77777777" w:rsidR="008811AB" w:rsidRPr="00E14102" w:rsidRDefault="008811AB" w:rsidP="00E14102">
            <w:pPr>
              <w:jc w:val="both"/>
              <w:rPr>
                <w:color w:val="000000" w:themeColor="text1"/>
                <w:sz w:val="16"/>
                <w:szCs w:val="16"/>
              </w:rPr>
            </w:pPr>
            <w:r w:rsidRPr="00E14102">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3E669" w14:textId="77777777" w:rsidR="008811AB" w:rsidRPr="00E14102" w:rsidRDefault="008811AB" w:rsidP="00E14102">
            <w:pPr>
              <w:jc w:val="both"/>
              <w:rPr>
                <w:color w:val="000000" w:themeColor="text1"/>
                <w:sz w:val="16"/>
                <w:szCs w:val="16"/>
              </w:rPr>
            </w:pPr>
            <w:r w:rsidRPr="00E14102">
              <w:rPr>
                <w:color w:val="000000" w:themeColor="text1"/>
                <w:sz w:val="16"/>
                <w:szCs w:val="16"/>
              </w:rPr>
              <w:t>11751,1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AECB1" w14:textId="77777777" w:rsidR="008811AB" w:rsidRPr="00E14102" w:rsidRDefault="008811AB" w:rsidP="00E14102">
            <w:pPr>
              <w:jc w:val="both"/>
              <w:rPr>
                <w:color w:val="000000" w:themeColor="text1"/>
                <w:sz w:val="16"/>
                <w:szCs w:val="16"/>
              </w:rPr>
            </w:pPr>
            <w:r w:rsidRPr="00E14102">
              <w:rPr>
                <w:color w:val="000000" w:themeColor="text1"/>
                <w:sz w:val="16"/>
                <w:szCs w:val="16"/>
              </w:rPr>
              <w:t>24 252,7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6EBA9" w14:textId="77777777" w:rsidR="008811AB" w:rsidRPr="00E14102" w:rsidRDefault="008811AB" w:rsidP="00E14102">
            <w:pPr>
              <w:jc w:val="both"/>
              <w:rPr>
                <w:color w:val="000000" w:themeColor="text1"/>
                <w:sz w:val="16"/>
                <w:szCs w:val="16"/>
              </w:rPr>
            </w:pPr>
            <w:r w:rsidRPr="00E14102">
              <w:rPr>
                <w:color w:val="000000" w:themeColor="text1"/>
                <w:sz w:val="16"/>
                <w:szCs w:val="16"/>
              </w:rPr>
              <w:t>18 379,3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B966C" w14:textId="77777777" w:rsidR="008811AB" w:rsidRPr="00E14102" w:rsidRDefault="008811AB" w:rsidP="00E14102">
            <w:pPr>
              <w:jc w:val="both"/>
              <w:rPr>
                <w:color w:val="000000" w:themeColor="text1"/>
                <w:sz w:val="16"/>
                <w:szCs w:val="16"/>
              </w:rPr>
            </w:pPr>
            <w:r w:rsidRPr="00E14102">
              <w:rPr>
                <w:color w:val="000000" w:themeColor="text1"/>
                <w:sz w:val="16"/>
                <w:szCs w:val="16"/>
              </w:rPr>
              <w:t>22 549,6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699E2" w14:textId="77777777" w:rsidR="008811AB" w:rsidRPr="00E14102" w:rsidRDefault="008811AB" w:rsidP="00E14102">
            <w:pPr>
              <w:jc w:val="both"/>
              <w:rPr>
                <w:color w:val="000000" w:themeColor="text1"/>
                <w:sz w:val="16"/>
                <w:szCs w:val="16"/>
              </w:rPr>
            </w:pPr>
            <w:r w:rsidRPr="00E14102">
              <w:rPr>
                <w:color w:val="000000" w:themeColor="text1"/>
                <w:sz w:val="16"/>
                <w:szCs w:val="16"/>
              </w:rPr>
              <w:t>206,4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A351D" w14:textId="77777777" w:rsidR="008811AB" w:rsidRPr="00E14102" w:rsidRDefault="008811AB" w:rsidP="00E14102">
            <w:pPr>
              <w:jc w:val="both"/>
              <w:rPr>
                <w:color w:val="000000" w:themeColor="text1"/>
                <w:sz w:val="16"/>
                <w:szCs w:val="16"/>
              </w:rPr>
            </w:pPr>
            <w:r w:rsidRPr="00E14102">
              <w:rPr>
                <w:color w:val="000000" w:themeColor="text1"/>
                <w:sz w:val="16"/>
                <w:szCs w:val="16"/>
              </w:rPr>
              <w:t>156,4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47459" w14:textId="77777777" w:rsidR="008811AB" w:rsidRPr="00E14102" w:rsidRDefault="008811AB" w:rsidP="00E14102">
            <w:pPr>
              <w:jc w:val="both"/>
              <w:rPr>
                <w:color w:val="000000" w:themeColor="text1"/>
                <w:sz w:val="16"/>
                <w:szCs w:val="16"/>
              </w:rPr>
            </w:pPr>
            <w:r w:rsidRPr="00E14102">
              <w:rPr>
                <w:color w:val="000000" w:themeColor="text1"/>
                <w:sz w:val="16"/>
                <w:szCs w:val="16"/>
              </w:rPr>
              <w:t>191,9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059DD" w14:textId="77777777" w:rsidR="008811AB" w:rsidRPr="00E14102" w:rsidRDefault="008811AB" w:rsidP="00E14102">
            <w:pPr>
              <w:jc w:val="both"/>
              <w:rPr>
                <w:color w:val="000000" w:themeColor="text1"/>
                <w:sz w:val="16"/>
                <w:szCs w:val="16"/>
              </w:rPr>
            </w:pPr>
            <w:r w:rsidRPr="00E14102">
              <w:rPr>
                <w:color w:val="000000" w:themeColor="text1"/>
                <w:sz w:val="16"/>
                <w:szCs w:val="16"/>
              </w:rPr>
              <w:t>206,4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463D5" w14:textId="77777777" w:rsidR="008811AB" w:rsidRPr="00E14102" w:rsidRDefault="008811AB" w:rsidP="00E14102">
            <w:pPr>
              <w:jc w:val="both"/>
              <w:rPr>
                <w:color w:val="000000" w:themeColor="text1"/>
                <w:sz w:val="16"/>
                <w:szCs w:val="16"/>
              </w:rPr>
            </w:pPr>
            <w:r w:rsidRPr="00E14102">
              <w:rPr>
                <w:color w:val="000000" w:themeColor="text1"/>
                <w:sz w:val="16"/>
                <w:szCs w:val="16"/>
              </w:rPr>
              <w:t>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68F1D" w14:textId="77777777" w:rsidR="008811AB" w:rsidRPr="00E14102" w:rsidRDefault="008811AB" w:rsidP="00E14102">
            <w:pPr>
              <w:jc w:val="both"/>
              <w:rPr>
                <w:color w:val="000000" w:themeColor="text1"/>
                <w:sz w:val="16"/>
                <w:szCs w:val="16"/>
              </w:rPr>
            </w:pPr>
            <w:r w:rsidRPr="00E14102">
              <w:rPr>
                <w:color w:val="000000" w:themeColor="text1"/>
                <w:sz w:val="16"/>
                <w:szCs w:val="16"/>
              </w:rPr>
              <w:t>122,7</w:t>
            </w:r>
          </w:p>
        </w:tc>
      </w:tr>
      <w:tr w:rsidR="00E3599D" w:rsidRPr="00E14102" w14:paraId="178EF03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06AAAB" w14:textId="77777777" w:rsidR="008811AB" w:rsidRPr="00E14102" w:rsidRDefault="008811AB" w:rsidP="00E14102">
            <w:pPr>
              <w:jc w:val="both"/>
              <w:rPr>
                <w:color w:val="000000" w:themeColor="text1"/>
                <w:sz w:val="16"/>
                <w:szCs w:val="16"/>
              </w:rPr>
            </w:pPr>
            <w:r w:rsidRPr="00E14102">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E0EA1" w14:textId="77777777" w:rsidR="008811AB" w:rsidRPr="00E14102" w:rsidRDefault="008811AB" w:rsidP="00E14102">
            <w:pPr>
              <w:jc w:val="both"/>
              <w:rPr>
                <w:color w:val="000000" w:themeColor="text1"/>
                <w:sz w:val="16"/>
                <w:szCs w:val="16"/>
              </w:rPr>
            </w:pPr>
            <w:r w:rsidRPr="00E14102">
              <w:rPr>
                <w:color w:val="000000" w:themeColor="text1"/>
                <w:sz w:val="16"/>
                <w:szCs w:val="16"/>
              </w:rPr>
              <w:t>10 612,6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40C49" w14:textId="77777777" w:rsidR="008811AB" w:rsidRPr="00E14102" w:rsidRDefault="008811AB" w:rsidP="00E14102">
            <w:pPr>
              <w:jc w:val="both"/>
              <w:rPr>
                <w:color w:val="000000" w:themeColor="text1"/>
                <w:sz w:val="16"/>
                <w:szCs w:val="16"/>
              </w:rPr>
            </w:pPr>
            <w:r w:rsidRPr="00E14102">
              <w:rPr>
                <w:color w:val="000000" w:themeColor="text1"/>
                <w:sz w:val="16"/>
                <w:szCs w:val="16"/>
              </w:rPr>
              <w:t>8687,3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8162D" w14:textId="77777777" w:rsidR="008811AB" w:rsidRPr="00E14102" w:rsidRDefault="008811AB" w:rsidP="00E14102">
            <w:pPr>
              <w:jc w:val="both"/>
              <w:rPr>
                <w:color w:val="000000" w:themeColor="text1"/>
                <w:sz w:val="16"/>
                <w:szCs w:val="16"/>
              </w:rPr>
            </w:pPr>
            <w:r w:rsidRPr="00E14102">
              <w:rPr>
                <w:color w:val="000000" w:themeColor="text1"/>
                <w:sz w:val="16"/>
                <w:szCs w:val="16"/>
              </w:rPr>
              <w:t>7478,6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78508" w14:textId="77777777" w:rsidR="008811AB" w:rsidRPr="00E14102" w:rsidRDefault="008811AB" w:rsidP="00E14102">
            <w:pPr>
              <w:jc w:val="both"/>
              <w:rPr>
                <w:color w:val="000000" w:themeColor="text1"/>
                <w:sz w:val="16"/>
                <w:szCs w:val="16"/>
              </w:rPr>
            </w:pPr>
            <w:r w:rsidRPr="00E14102">
              <w:rPr>
                <w:color w:val="000000" w:themeColor="text1"/>
                <w:sz w:val="16"/>
                <w:szCs w:val="16"/>
              </w:rPr>
              <w:t>16 862,1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73EB9" w14:textId="77777777" w:rsidR="008811AB" w:rsidRPr="00E14102" w:rsidRDefault="008811AB" w:rsidP="00E14102">
            <w:pPr>
              <w:jc w:val="both"/>
              <w:rPr>
                <w:color w:val="000000" w:themeColor="text1"/>
                <w:sz w:val="16"/>
                <w:szCs w:val="16"/>
              </w:rPr>
            </w:pPr>
            <w:r w:rsidRPr="00E14102">
              <w:rPr>
                <w:color w:val="000000" w:themeColor="text1"/>
                <w:sz w:val="16"/>
                <w:szCs w:val="16"/>
              </w:rPr>
              <w:t>81,9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E2F99" w14:textId="77777777" w:rsidR="008811AB" w:rsidRPr="00E14102" w:rsidRDefault="008811AB" w:rsidP="00E14102">
            <w:pPr>
              <w:jc w:val="both"/>
              <w:rPr>
                <w:color w:val="000000" w:themeColor="text1"/>
                <w:sz w:val="16"/>
                <w:szCs w:val="16"/>
              </w:rPr>
            </w:pPr>
            <w:r w:rsidRPr="00E14102">
              <w:rPr>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4EC1A" w14:textId="77777777" w:rsidR="008811AB" w:rsidRPr="00E14102" w:rsidRDefault="008811AB" w:rsidP="00E14102">
            <w:pPr>
              <w:jc w:val="both"/>
              <w:rPr>
                <w:color w:val="000000" w:themeColor="text1"/>
                <w:sz w:val="16"/>
                <w:szCs w:val="16"/>
              </w:rPr>
            </w:pPr>
            <w:r w:rsidRPr="00E14102">
              <w:rPr>
                <w:color w:val="000000" w:themeColor="text1"/>
                <w:sz w:val="16"/>
                <w:szCs w:val="16"/>
              </w:rPr>
              <w:t>158,9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29475" w14:textId="77777777" w:rsidR="008811AB" w:rsidRPr="00E14102" w:rsidRDefault="008811AB" w:rsidP="00E14102">
            <w:pPr>
              <w:jc w:val="both"/>
              <w:rPr>
                <w:color w:val="000000" w:themeColor="text1"/>
                <w:sz w:val="16"/>
                <w:szCs w:val="16"/>
              </w:rPr>
            </w:pPr>
            <w:r w:rsidRPr="00E14102">
              <w:rPr>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645BC" w14:textId="77777777" w:rsidR="008811AB" w:rsidRPr="00E14102" w:rsidRDefault="008811AB" w:rsidP="00E14102">
            <w:pPr>
              <w:jc w:val="both"/>
              <w:rPr>
                <w:color w:val="000000" w:themeColor="text1"/>
                <w:sz w:val="16"/>
                <w:szCs w:val="16"/>
              </w:rPr>
            </w:pPr>
            <w:r w:rsidRPr="00E14102">
              <w:rPr>
                <w:color w:val="000000" w:themeColor="text1"/>
                <w:sz w:val="16"/>
                <w:szCs w:val="16"/>
              </w:rPr>
              <w:t>86,1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E3973" w14:textId="77777777" w:rsidR="008811AB" w:rsidRPr="00E14102" w:rsidRDefault="008811AB" w:rsidP="00E14102">
            <w:pPr>
              <w:jc w:val="both"/>
              <w:rPr>
                <w:color w:val="000000" w:themeColor="text1"/>
                <w:sz w:val="16"/>
                <w:szCs w:val="16"/>
              </w:rPr>
            </w:pPr>
            <w:r w:rsidRPr="00E14102">
              <w:rPr>
                <w:color w:val="000000" w:themeColor="text1"/>
                <w:sz w:val="16"/>
                <w:szCs w:val="16"/>
              </w:rPr>
              <w:t>225,5</w:t>
            </w:r>
          </w:p>
        </w:tc>
      </w:tr>
      <w:tr w:rsidR="00E3599D" w:rsidRPr="00E14102" w14:paraId="7737420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A2E039" w14:textId="77777777" w:rsidR="008811AB" w:rsidRPr="00E14102" w:rsidRDefault="008811AB" w:rsidP="00E14102">
            <w:pPr>
              <w:jc w:val="both"/>
              <w:rPr>
                <w:color w:val="000000" w:themeColor="text1"/>
                <w:sz w:val="16"/>
                <w:szCs w:val="16"/>
              </w:rPr>
            </w:pPr>
            <w:r w:rsidRPr="00E14102">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0CDEA" w14:textId="77777777" w:rsidR="008811AB" w:rsidRPr="00E14102" w:rsidRDefault="008811AB" w:rsidP="00E14102">
            <w:pPr>
              <w:jc w:val="both"/>
              <w:rPr>
                <w:color w:val="000000" w:themeColor="text1"/>
                <w:sz w:val="16"/>
                <w:szCs w:val="16"/>
              </w:rPr>
            </w:pPr>
            <w:r w:rsidRPr="00E14102">
              <w:rPr>
                <w:color w:val="000000" w:themeColor="text1"/>
                <w:sz w:val="16"/>
                <w:szCs w:val="16"/>
              </w:rPr>
              <w:t>2230,2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8505E" w14:textId="77777777" w:rsidR="008811AB" w:rsidRPr="00E14102" w:rsidRDefault="008811AB" w:rsidP="00E14102">
            <w:pPr>
              <w:jc w:val="both"/>
              <w:rPr>
                <w:color w:val="000000" w:themeColor="text1"/>
                <w:sz w:val="16"/>
                <w:szCs w:val="16"/>
              </w:rPr>
            </w:pPr>
            <w:r w:rsidRPr="00E14102">
              <w:rPr>
                <w:color w:val="000000" w:themeColor="text1"/>
                <w:sz w:val="16"/>
                <w:szCs w:val="16"/>
              </w:rPr>
              <w:t>4604,0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FEF21" w14:textId="77777777" w:rsidR="008811AB" w:rsidRPr="00E14102" w:rsidRDefault="008811AB" w:rsidP="00E14102">
            <w:pPr>
              <w:jc w:val="both"/>
              <w:rPr>
                <w:color w:val="000000" w:themeColor="text1"/>
                <w:sz w:val="16"/>
                <w:szCs w:val="16"/>
              </w:rPr>
            </w:pPr>
            <w:r w:rsidRPr="00E14102">
              <w:rPr>
                <w:color w:val="000000" w:themeColor="text1"/>
                <w:sz w:val="16"/>
                <w:szCs w:val="16"/>
              </w:rPr>
              <w:t>3770,2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59BAE" w14:textId="77777777" w:rsidR="008811AB" w:rsidRPr="00E14102" w:rsidRDefault="008811AB" w:rsidP="00E14102">
            <w:pPr>
              <w:jc w:val="both"/>
              <w:rPr>
                <w:color w:val="000000" w:themeColor="text1"/>
                <w:sz w:val="16"/>
                <w:szCs w:val="16"/>
              </w:rPr>
            </w:pPr>
            <w:r w:rsidRPr="00E14102">
              <w:rPr>
                <w:color w:val="000000" w:themeColor="text1"/>
                <w:sz w:val="16"/>
                <w:szCs w:val="16"/>
              </w:rPr>
              <w:t>3761,2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2421E" w14:textId="77777777" w:rsidR="008811AB" w:rsidRPr="00E14102" w:rsidRDefault="008811AB" w:rsidP="00E14102">
            <w:pPr>
              <w:jc w:val="both"/>
              <w:rPr>
                <w:color w:val="000000" w:themeColor="text1"/>
                <w:sz w:val="16"/>
                <w:szCs w:val="16"/>
              </w:rPr>
            </w:pPr>
            <w:r w:rsidRPr="00E14102">
              <w:rPr>
                <w:color w:val="000000" w:themeColor="text1"/>
                <w:sz w:val="16"/>
                <w:szCs w:val="16"/>
              </w:rPr>
              <w:t>206,4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F65EC" w14:textId="77777777" w:rsidR="008811AB" w:rsidRPr="00E14102" w:rsidRDefault="008811AB" w:rsidP="00E14102">
            <w:pPr>
              <w:jc w:val="both"/>
              <w:rPr>
                <w:color w:val="000000" w:themeColor="text1"/>
                <w:sz w:val="16"/>
                <w:szCs w:val="16"/>
              </w:rPr>
            </w:pPr>
            <w:r w:rsidRPr="00E14102">
              <w:rPr>
                <w:color w:val="000000" w:themeColor="text1"/>
                <w:sz w:val="16"/>
                <w:szCs w:val="16"/>
              </w:rPr>
              <w:t>169,1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5CD39" w14:textId="77777777" w:rsidR="008811AB" w:rsidRPr="00E14102" w:rsidRDefault="008811AB" w:rsidP="00E14102">
            <w:pPr>
              <w:jc w:val="both"/>
              <w:rPr>
                <w:color w:val="000000" w:themeColor="text1"/>
                <w:sz w:val="16"/>
                <w:szCs w:val="16"/>
              </w:rPr>
            </w:pPr>
            <w:r w:rsidRPr="00E14102">
              <w:rPr>
                <w:color w:val="000000" w:themeColor="text1"/>
                <w:sz w:val="16"/>
                <w:szCs w:val="16"/>
              </w:rPr>
              <w:t>168,6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EF047" w14:textId="77777777" w:rsidR="008811AB" w:rsidRPr="00E14102" w:rsidRDefault="008811AB" w:rsidP="00E14102">
            <w:pPr>
              <w:jc w:val="both"/>
              <w:rPr>
                <w:color w:val="000000" w:themeColor="text1"/>
                <w:sz w:val="16"/>
                <w:szCs w:val="16"/>
              </w:rPr>
            </w:pPr>
            <w:r w:rsidRPr="00E14102">
              <w:rPr>
                <w:color w:val="000000" w:themeColor="text1"/>
                <w:sz w:val="16"/>
                <w:szCs w:val="16"/>
              </w:rPr>
              <w:t>206,4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4B533" w14:textId="77777777" w:rsidR="008811AB" w:rsidRPr="00E14102" w:rsidRDefault="008811AB" w:rsidP="00E14102">
            <w:pPr>
              <w:jc w:val="both"/>
              <w:rPr>
                <w:color w:val="000000" w:themeColor="text1"/>
                <w:sz w:val="16"/>
                <w:szCs w:val="16"/>
              </w:rPr>
            </w:pPr>
            <w:r w:rsidRPr="00E14102">
              <w:rPr>
                <w:color w:val="000000" w:themeColor="text1"/>
                <w:sz w:val="16"/>
                <w:szCs w:val="16"/>
              </w:rPr>
              <w:t>81,9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84477" w14:textId="77777777" w:rsidR="008811AB" w:rsidRPr="00E14102" w:rsidRDefault="008811AB" w:rsidP="00E14102">
            <w:pPr>
              <w:jc w:val="both"/>
              <w:rPr>
                <w:color w:val="000000" w:themeColor="text1"/>
                <w:sz w:val="16"/>
                <w:szCs w:val="16"/>
              </w:rPr>
            </w:pPr>
            <w:r w:rsidRPr="00E14102">
              <w:rPr>
                <w:color w:val="000000" w:themeColor="text1"/>
                <w:sz w:val="16"/>
                <w:szCs w:val="16"/>
              </w:rPr>
              <w:t>99,8</w:t>
            </w:r>
          </w:p>
        </w:tc>
      </w:tr>
      <w:tr w:rsidR="00E3599D" w:rsidRPr="00E14102" w14:paraId="0C79CB2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ECD43F" w14:textId="77777777" w:rsidR="008811AB" w:rsidRPr="00E14102" w:rsidRDefault="008811AB" w:rsidP="00E14102">
            <w:pPr>
              <w:jc w:val="both"/>
              <w:rPr>
                <w:color w:val="000000" w:themeColor="text1"/>
                <w:sz w:val="16"/>
                <w:szCs w:val="16"/>
              </w:rPr>
            </w:pPr>
            <w:r w:rsidRPr="00E14102">
              <w:rPr>
                <w:color w:val="000000" w:themeColor="text1"/>
                <w:sz w:val="16"/>
                <w:szCs w:val="16"/>
              </w:rPr>
              <w:t>4) 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7364D" w14:textId="77777777" w:rsidR="008811AB" w:rsidRPr="00E14102" w:rsidRDefault="008811AB" w:rsidP="00E14102">
            <w:pPr>
              <w:jc w:val="both"/>
              <w:rPr>
                <w:color w:val="000000" w:themeColor="text1"/>
                <w:sz w:val="16"/>
                <w:szCs w:val="16"/>
              </w:rPr>
            </w:pPr>
            <w:r w:rsidRPr="00E14102">
              <w:rPr>
                <w:color w:val="000000" w:themeColor="text1"/>
                <w:sz w:val="16"/>
                <w:szCs w:val="16"/>
              </w:rPr>
              <w:t>1779,5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AF167" w14:textId="77777777" w:rsidR="008811AB" w:rsidRPr="00E14102" w:rsidRDefault="008811AB" w:rsidP="00E14102">
            <w:pPr>
              <w:jc w:val="both"/>
              <w:rPr>
                <w:color w:val="000000" w:themeColor="text1"/>
                <w:sz w:val="16"/>
                <w:szCs w:val="16"/>
              </w:rPr>
            </w:pPr>
            <w:r w:rsidRPr="00E14102">
              <w:rPr>
                <w:color w:val="000000" w:themeColor="text1"/>
                <w:sz w:val="16"/>
                <w:szCs w:val="16"/>
              </w:rPr>
              <w:t>4292,8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BD68E" w14:textId="77777777" w:rsidR="008811AB" w:rsidRPr="00E14102" w:rsidRDefault="008811AB" w:rsidP="00E14102">
            <w:pPr>
              <w:jc w:val="both"/>
              <w:rPr>
                <w:color w:val="000000" w:themeColor="text1"/>
                <w:sz w:val="16"/>
                <w:szCs w:val="16"/>
              </w:rPr>
            </w:pPr>
            <w:r w:rsidRPr="00E14102">
              <w:rPr>
                <w:color w:val="000000" w:themeColor="text1"/>
                <w:sz w:val="16"/>
                <w:szCs w:val="16"/>
              </w:rPr>
              <w:t>5738,0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2F322" w14:textId="77777777" w:rsidR="008811AB" w:rsidRPr="00E14102" w:rsidRDefault="008811AB" w:rsidP="00E14102">
            <w:pPr>
              <w:jc w:val="both"/>
              <w:rPr>
                <w:color w:val="000000" w:themeColor="text1"/>
                <w:sz w:val="16"/>
                <w:szCs w:val="16"/>
              </w:rPr>
            </w:pPr>
            <w:r w:rsidRPr="00E14102">
              <w:rPr>
                <w:color w:val="000000" w:themeColor="text1"/>
                <w:sz w:val="16"/>
                <w:szCs w:val="16"/>
              </w:rPr>
              <w:t>6831,1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62842" w14:textId="77777777" w:rsidR="008811AB" w:rsidRPr="00E14102" w:rsidRDefault="008811AB" w:rsidP="00E14102">
            <w:pPr>
              <w:jc w:val="both"/>
              <w:rPr>
                <w:color w:val="000000" w:themeColor="text1"/>
                <w:sz w:val="16"/>
                <w:szCs w:val="16"/>
              </w:rPr>
            </w:pPr>
            <w:r w:rsidRPr="00E14102">
              <w:rPr>
                <w:color w:val="000000" w:themeColor="text1"/>
                <w:sz w:val="16"/>
                <w:szCs w:val="16"/>
              </w:rPr>
              <w:t>241,2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733BB4" w14:textId="77777777" w:rsidR="008811AB" w:rsidRPr="00E14102" w:rsidRDefault="008811AB" w:rsidP="00E14102">
            <w:pPr>
              <w:jc w:val="both"/>
              <w:rPr>
                <w:color w:val="000000" w:themeColor="text1"/>
                <w:sz w:val="16"/>
                <w:szCs w:val="16"/>
              </w:rPr>
            </w:pPr>
            <w:r w:rsidRPr="00E14102">
              <w:rPr>
                <w:color w:val="000000" w:themeColor="text1"/>
                <w:sz w:val="16"/>
                <w:szCs w:val="16"/>
              </w:rPr>
              <w:t>322,5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6260E" w14:textId="77777777" w:rsidR="008811AB" w:rsidRPr="00E14102" w:rsidRDefault="008811AB" w:rsidP="00E14102">
            <w:pPr>
              <w:jc w:val="both"/>
              <w:rPr>
                <w:color w:val="000000" w:themeColor="text1"/>
                <w:sz w:val="16"/>
                <w:szCs w:val="16"/>
              </w:rPr>
            </w:pPr>
            <w:r w:rsidRPr="00E14102">
              <w:rPr>
                <w:color w:val="000000" w:themeColor="text1"/>
                <w:sz w:val="16"/>
                <w:szCs w:val="16"/>
              </w:rPr>
              <w:t>383,9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ED3BB" w14:textId="77777777" w:rsidR="008811AB" w:rsidRPr="00E14102" w:rsidRDefault="008811AB" w:rsidP="00E14102">
            <w:pPr>
              <w:jc w:val="both"/>
              <w:rPr>
                <w:color w:val="000000" w:themeColor="text1"/>
                <w:sz w:val="16"/>
                <w:szCs w:val="16"/>
              </w:rPr>
            </w:pPr>
            <w:r w:rsidRPr="00E14102">
              <w:rPr>
                <w:color w:val="000000" w:themeColor="text1"/>
                <w:sz w:val="16"/>
                <w:szCs w:val="16"/>
              </w:rPr>
              <w:t>241,2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D9550" w14:textId="77777777" w:rsidR="008811AB" w:rsidRPr="00E14102" w:rsidRDefault="008811AB" w:rsidP="00E14102">
            <w:pPr>
              <w:jc w:val="both"/>
              <w:rPr>
                <w:color w:val="000000" w:themeColor="text1"/>
                <w:sz w:val="16"/>
                <w:szCs w:val="16"/>
              </w:rPr>
            </w:pPr>
            <w:r w:rsidRPr="00E14102">
              <w:rPr>
                <w:color w:val="000000" w:themeColor="text1"/>
                <w:sz w:val="16"/>
                <w:szCs w:val="16"/>
              </w:rPr>
              <w:t>133,7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5D284" w14:textId="77777777" w:rsidR="008811AB" w:rsidRPr="00E14102" w:rsidRDefault="008811AB" w:rsidP="00E14102">
            <w:pPr>
              <w:jc w:val="both"/>
              <w:rPr>
                <w:color w:val="000000" w:themeColor="text1"/>
                <w:sz w:val="16"/>
                <w:szCs w:val="16"/>
              </w:rPr>
            </w:pPr>
            <w:r w:rsidRPr="00E14102">
              <w:rPr>
                <w:color w:val="000000" w:themeColor="text1"/>
                <w:sz w:val="16"/>
                <w:szCs w:val="16"/>
              </w:rPr>
              <w:t>119,1</w:t>
            </w:r>
          </w:p>
        </w:tc>
      </w:tr>
      <w:tr w:rsidR="00E3599D" w:rsidRPr="00E14102" w14:paraId="382C35EF"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377254CE" w14:textId="77777777" w:rsidR="008811AB" w:rsidRPr="00E14102" w:rsidRDefault="008811AB" w:rsidP="00E14102">
            <w:pPr>
              <w:jc w:val="both"/>
              <w:rPr>
                <w:color w:val="000000" w:themeColor="text1"/>
                <w:sz w:val="16"/>
                <w:szCs w:val="16"/>
              </w:rPr>
            </w:pPr>
            <w:r w:rsidRPr="00E14102">
              <w:rPr>
                <w:color w:val="000000" w:themeColor="text1"/>
                <w:sz w:val="16"/>
                <w:szCs w:val="16"/>
              </w:rPr>
              <w:t>Итого по машиностроению</w:t>
            </w:r>
          </w:p>
        </w:tc>
      </w:tr>
      <w:tr w:rsidR="00E3599D" w:rsidRPr="00E14102" w14:paraId="142E2F2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1DD629" w14:textId="77777777" w:rsidR="008811AB" w:rsidRPr="00E14102" w:rsidRDefault="008811AB" w:rsidP="00E14102">
            <w:pPr>
              <w:jc w:val="both"/>
              <w:rPr>
                <w:color w:val="000000" w:themeColor="text1"/>
                <w:sz w:val="16"/>
                <w:szCs w:val="16"/>
              </w:rPr>
            </w:pPr>
            <w:r w:rsidRPr="00E14102">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DAF8B" w14:textId="77777777" w:rsidR="008811AB" w:rsidRPr="00E14102" w:rsidRDefault="008811AB" w:rsidP="00E14102">
            <w:pPr>
              <w:jc w:val="both"/>
              <w:rPr>
                <w:color w:val="000000" w:themeColor="text1"/>
                <w:sz w:val="16"/>
                <w:szCs w:val="16"/>
              </w:rPr>
            </w:pPr>
            <w:r w:rsidRPr="00E14102">
              <w:rPr>
                <w:color w:val="000000" w:themeColor="text1"/>
                <w:sz w:val="16"/>
                <w:szCs w:val="16"/>
              </w:rPr>
              <w:t>327 578,7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460BA" w14:textId="77777777" w:rsidR="008811AB" w:rsidRPr="00E14102" w:rsidRDefault="008811AB" w:rsidP="00E14102">
            <w:pPr>
              <w:jc w:val="both"/>
              <w:rPr>
                <w:color w:val="000000" w:themeColor="text1"/>
                <w:sz w:val="16"/>
                <w:szCs w:val="16"/>
              </w:rPr>
            </w:pPr>
            <w:r w:rsidRPr="00E14102">
              <w:rPr>
                <w:color w:val="000000" w:themeColor="text1"/>
                <w:sz w:val="16"/>
                <w:szCs w:val="16"/>
              </w:rPr>
              <w:t>580 996,8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FBBE1" w14:textId="77777777" w:rsidR="008811AB" w:rsidRPr="00E14102" w:rsidRDefault="008811AB" w:rsidP="00E14102">
            <w:pPr>
              <w:jc w:val="both"/>
              <w:rPr>
                <w:color w:val="000000" w:themeColor="text1"/>
                <w:sz w:val="16"/>
                <w:szCs w:val="16"/>
              </w:rPr>
            </w:pPr>
            <w:r w:rsidRPr="00E14102">
              <w:rPr>
                <w:color w:val="000000" w:themeColor="text1"/>
                <w:sz w:val="16"/>
                <w:szCs w:val="16"/>
              </w:rPr>
              <w:t>375 240,0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76768" w14:textId="77777777" w:rsidR="008811AB" w:rsidRPr="00E14102" w:rsidRDefault="008811AB" w:rsidP="00E14102">
            <w:pPr>
              <w:jc w:val="both"/>
              <w:rPr>
                <w:color w:val="000000" w:themeColor="text1"/>
                <w:sz w:val="16"/>
                <w:szCs w:val="16"/>
              </w:rPr>
            </w:pPr>
            <w:r w:rsidRPr="00E14102">
              <w:rPr>
                <w:color w:val="000000" w:themeColor="text1"/>
                <w:sz w:val="16"/>
                <w:szCs w:val="16"/>
              </w:rPr>
              <w:t>649 838,0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6AAE5" w14:textId="77777777" w:rsidR="008811AB" w:rsidRPr="00E14102" w:rsidRDefault="008811AB" w:rsidP="00E14102">
            <w:pPr>
              <w:jc w:val="both"/>
              <w:rPr>
                <w:color w:val="000000" w:themeColor="text1"/>
                <w:sz w:val="16"/>
                <w:szCs w:val="16"/>
              </w:rPr>
            </w:pPr>
            <w:r w:rsidRPr="00E14102">
              <w:rPr>
                <w:color w:val="000000" w:themeColor="text1"/>
                <w:sz w:val="16"/>
                <w:szCs w:val="16"/>
              </w:rPr>
              <w:t>177,4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6C9D1" w14:textId="77777777" w:rsidR="008811AB" w:rsidRPr="00E14102" w:rsidRDefault="008811AB" w:rsidP="00E14102">
            <w:pPr>
              <w:jc w:val="both"/>
              <w:rPr>
                <w:color w:val="000000" w:themeColor="text1"/>
                <w:sz w:val="16"/>
                <w:szCs w:val="16"/>
              </w:rPr>
            </w:pPr>
            <w:r w:rsidRPr="00E14102">
              <w:rPr>
                <w:color w:val="000000" w:themeColor="text1"/>
                <w:sz w:val="16"/>
                <w:szCs w:val="16"/>
              </w:rPr>
              <w:t>114,5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91A5D" w14:textId="77777777" w:rsidR="008811AB" w:rsidRPr="00E14102" w:rsidRDefault="008811AB" w:rsidP="00E14102">
            <w:pPr>
              <w:jc w:val="both"/>
              <w:rPr>
                <w:color w:val="000000" w:themeColor="text1"/>
                <w:sz w:val="16"/>
                <w:szCs w:val="16"/>
              </w:rPr>
            </w:pPr>
            <w:r w:rsidRPr="00E14102">
              <w:rPr>
                <w:color w:val="000000" w:themeColor="text1"/>
                <w:sz w:val="16"/>
                <w:szCs w:val="16"/>
              </w:rPr>
              <w:t>198,4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5278A" w14:textId="77777777" w:rsidR="008811AB" w:rsidRPr="00E14102" w:rsidRDefault="008811AB" w:rsidP="00E14102">
            <w:pPr>
              <w:jc w:val="both"/>
              <w:rPr>
                <w:color w:val="000000" w:themeColor="text1"/>
                <w:sz w:val="16"/>
                <w:szCs w:val="16"/>
              </w:rPr>
            </w:pPr>
            <w:r w:rsidRPr="00E14102">
              <w:rPr>
                <w:color w:val="000000" w:themeColor="text1"/>
                <w:sz w:val="16"/>
                <w:szCs w:val="16"/>
              </w:rPr>
              <w:t>177,4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ADD76" w14:textId="77777777" w:rsidR="008811AB" w:rsidRPr="00E14102" w:rsidRDefault="008811AB" w:rsidP="00E14102">
            <w:pPr>
              <w:jc w:val="both"/>
              <w:rPr>
                <w:color w:val="000000" w:themeColor="text1"/>
                <w:sz w:val="16"/>
                <w:szCs w:val="16"/>
              </w:rPr>
            </w:pPr>
            <w:r w:rsidRPr="00E14102">
              <w:rPr>
                <w:color w:val="000000" w:themeColor="text1"/>
                <w:sz w:val="16"/>
                <w:szCs w:val="16"/>
              </w:rPr>
              <w:t>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EA2F4" w14:textId="77777777" w:rsidR="008811AB" w:rsidRPr="00E14102" w:rsidRDefault="008811AB" w:rsidP="00E14102">
            <w:pPr>
              <w:jc w:val="both"/>
              <w:rPr>
                <w:color w:val="000000" w:themeColor="text1"/>
                <w:sz w:val="16"/>
                <w:szCs w:val="16"/>
              </w:rPr>
            </w:pPr>
            <w:r w:rsidRPr="00E14102">
              <w:rPr>
                <w:color w:val="000000" w:themeColor="text1"/>
                <w:sz w:val="16"/>
                <w:szCs w:val="16"/>
              </w:rPr>
              <w:t>173,2</w:t>
            </w:r>
          </w:p>
        </w:tc>
      </w:tr>
      <w:tr w:rsidR="00E3599D" w:rsidRPr="00E14102" w14:paraId="157E8EB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D2B937" w14:textId="77777777" w:rsidR="008811AB" w:rsidRPr="00E14102" w:rsidRDefault="008811AB" w:rsidP="00E14102">
            <w:pPr>
              <w:jc w:val="both"/>
              <w:rPr>
                <w:color w:val="000000" w:themeColor="text1"/>
                <w:sz w:val="16"/>
                <w:szCs w:val="16"/>
              </w:rPr>
            </w:pPr>
            <w:r w:rsidRPr="00E14102">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83D9D"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06036"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7EFF4"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D328B"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8BC3D"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A3D6A"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2C966"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5293E"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C0B8A"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362B5"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r>
      <w:tr w:rsidR="00E3599D" w:rsidRPr="00E14102" w14:paraId="35834E0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633CD" w14:textId="77777777" w:rsidR="008811AB" w:rsidRPr="00E14102" w:rsidRDefault="008811AB" w:rsidP="00E14102">
            <w:pPr>
              <w:jc w:val="both"/>
              <w:rPr>
                <w:color w:val="000000" w:themeColor="text1"/>
                <w:sz w:val="16"/>
                <w:szCs w:val="16"/>
              </w:rPr>
            </w:pPr>
            <w:r w:rsidRPr="00E14102">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E0079" w14:textId="77777777" w:rsidR="008811AB" w:rsidRPr="00E14102" w:rsidRDefault="008811AB" w:rsidP="00E14102">
            <w:pPr>
              <w:jc w:val="both"/>
              <w:rPr>
                <w:color w:val="000000" w:themeColor="text1"/>
                <w:sz w:val="16"/>
                <w:szCs w:val="16"/>
              </w:rPr>
            </w:pPr>
            <w:r w:rsidRPr="00E14102">
              <w:rPr>
                <w:color w:val="000000" w:themeColor="text1"/>
                <w:sz w:val="16"/>
                <w:szCs w:val="16"/>
              </w:rPr>
              <w:t>177 890,4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4FE9B" w14:textId="77777777" w:rsidR="008811AB" w:rsidRPr="00E14102" w:rsidRDefault="008811AB" w:rsidP="00E14102">
            <w:pPr>
              <w:jc w:val="both"/>
              <w:rPr>
                <w:color w:val="000000" w:themeColor="text1"/>
                <w:sz w:val="16"/>
                <w:szCs w:val="16"/>
              </w:rPr>
            </w:pPr>
            <w:r w:rsidRPr="00E14102">
              <w:rPr>
                <w:color w:val="000000" w:themeColor="text1"/>
                <w:sz w:val="16"/>
                <w:szCs w:val="16"/>
              </w:rPr>
              <w:t>325 605,5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85DF9" w14:textId="77777777" w:rsidR="008811AB" w:rsidRPr="00E14102" w:rsidRDefault="008811AB" w:rsidP="00E14102">
            <w:pPr>
              <w:jc w:val="both"/>
              <w:rPr>
                <w:color w:val="000000" w:themeColor="text1"/>
                <w:sz w:val="16"/>
                <w:szCs w:val="16"/>
              </w:rPr>
            </w:pPr>
            <w:r w:rsidRPr="00E14102">
              <w:rPr>
                <w:color w:val="000000" w:themeColor="text1"/>
                <w:sz w:val="16"/>
                <w:szCs w:val="16"/>
              </w:rPr>
              <w:t>198 961,7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9CEE2" w14:textId="77777777" w:rsidR="008811AB" w:rsidRPr="00E14102" w:rsidRDefault="008811AB" w:rsidP="00E14102">
            <w:pPr>
              <w:jc w:val="both"/>
              <w:rPr>
                <w:color w:val="000000" w:themeColor="text1"/>
                <w:sz w:val="16"/>
                <w:szCs w:val="16"/>
              </w:rPr>
            </w:pPr>
            <w:r w:rsidRPr="00E14102">
              <w:rPr>
                <w:color w:val="000000" w:themeColor="text1"/>
                <w:sz w:val="16"/>
                <w:szCs w:val="16"/>
              </w:rPr>
              <w:t>390 896,8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27B22" w14:textId="77777777" w:rsidR="008811AB" w:rsidRPr="00E14102" w:rsidRDefault="008811AB" w:rsidP="00E14102">
            <w:pPr>
              <w:jc w:val="both"/>
              <w:rPr>
                <w:color w:val="000000" w:themeColor="text1"/>
                <w:sz w:val="16"/>
                <w:szCs w:val="16"/>
              </w:rPr>
            </w:pPr>
            <w:r w:rsidRPr="00E14102">
              <w:rPr>
                <w:color w:val="000000" w:themeColor="text1"/>
                <w:sz w:val="16"/>
                <w:szCs w:val="16"/>
              </w:rPr>
              <w:t>183,0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AA8AF" w14:textId="77777777" w:rsidR="008811AB" w:rsidRPr="00E14102" w:rsidRDefault="008811AB" w:rsidP="00E14102">
            <w:pPr>
              <w:jc w:val="both"/>
              <w:rPr>
                <w:color w:val="000000" w:themeColor="text1"/>
                <w:sz w:val="16"/>
                <w:szCs w:val="16"/>
              </w:rPr>
            </w:pPr>
            <w:r w:rsidRPr="00E14102">
              <w:rPr>
                <w:color w:val="000000" w:themeColor="text1"/>
                <w:sz w:val="16"/>
                <w:szCs w:val="16"/>
              </w:rPr>
              <w:t>111,8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6198B" w14:textId="77777777" w:rsidR="008811AB" w:rsidRPr="00E14102" w:rsidRDefault="008811AB" w:rsidP="00E14102">
            <w:pPr>
              <w:jc w:val="both"/>
              <w:rPr>
                <w:color w:val="000000" w:themeColor="text1"/>
                <w:sz w:val="16"/>
                <w:szCs w:val="16"/>
              </w:rPr>
            </w:pPr>
            <w:r w:rsidRPr="00E14102">
              <w:rPr>
                <w:color w:val="000000" w:themeColor="text1"/>
                <w:sz w:val="16"/>
                <w:szCs w:val="16"/>
              </w:rPr>
              <w:t>219,7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EA669" w14:textId="77777777" w:rsidR="008811AB" w:rsidRPr="00E14102" w:rsidRDefault="008811AB" w:rsidP="00E14102">
            <w:pPr>
              <w:jc w:val="both"/>
              <w:rPr>
                <w:color w:val="000000" w:themeColor="text1"/>
                <w:sz w:val="16"/>
                <w:szCs w:val="16"/>
              </w:rPr>
            </w:pPr>
            <w:r w:rsidRPr="00E14102">
              <w:rPr>
                <w:color w:val="000000" w:themeColor="text1"/>
                <w:sz w:val="16"/>
                <w:szCs w:val="16"/>
              </w:rPr>
              <w:t>183,0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2FDD6" w14:textId="77777777" w:rsidR="008811AB" w:rsidRPr="00E14102" w:rsidRDefault="008811AB" w:rsidP="00E14102">
            <w:pPr>
              <w:jc w:val="both"/>
              <w:rPr>
                <w:color w:val="000000" w:themeColor="text1"/>
                <w:sz w:val="16"/>
                <w:szCs w:val="16"/>
              </w:rPr>
            </w:pPr>
            <w:r w:rsidRPr="00E14102">
              <w:rPr>
                <w:color w:val="000000" w:themeColor="text1"/>
                <w:sz w:val="16"/>
                <w:szCs w:val="16"/>
              </w:rPr>
              <w:t>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0BF9B" w14:textId="77777777" w:rsidR="008811AB" w:rsidRPr="00E14102" w:rsidRDefault="008811AB" w:rsidP="00E14102">
            <w:pPr>
              <w:jc w:val="both"/>
              <w:rPr>
                <w:color w:val="000000" w:themeColor="text1"/>
                <w:sz w:val="16"/>
                <w:szCs w:val="16"/>
              </w:rPr>
            </w:pPr>
            <w:r w:rsidRPr="00E14102">
              <w:rPr>
                <w:color w:val="000000" w:themeColor="text1"/>
                <w:sz w:val="16"/>
                <w:szCs w:val="16"/>
              </w:rPr>
              <w:t>196,5</w:t>
            </w:r>
          </w:p>
        </w:tc>
      </w:tr>
      <w:tr w:rsidR="00E3599D" w:rsidRPr="00E14102" w14:paraId="041E77C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54A57B" w14:textId="77777777" w:rsidR="008811AB" w:rsidRPr="00E14102" w:rsidRDefault="008811AB" w:rsidP="00E14102">
            <w:pPr>
              <w:jc w:val="both"/>
              <w:rPr>
                <w:color w:val="000000" w:themeColor="text1"/>
                <w:sz w:val="16"/>
                <w:szCs w:val="16"/>
              </w:rPr>
            </w:pPr>
            <w:r w:rsidRPr="00E14102">
              <w:rPr>
                <w:color w:val="000000" w:themeColor="text1"/>
                <w:sz w:val="16"/>
                <w:szCs w:val="16"/>
              </w:rPr>
              <w:t>б) 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D11BD" w14:textId="77777777" w:rsidR="008811AB" w:rsidRPr="00E14102" w:rsidRDefault="008811AB" w:rsidP="00E14102">
            <w:pPr>
              <w:jc w:val="both"/>
              <w:rPr>
                <w:color w:val="000000" w:themeColor="text1"/>
                <w:sz w:val="16"/>
                <w:szCs w:val="16"/>
              </w:rPr>
            </w:pPr>
            <w:r w:rsidRPr="00E14102">
              <w:rPr>
                <w:color w:val="000000" w:themeColor="text1"/>
                <w:sz w:val="16"/>
                <w:szCs w:val="16"/>
              </w:rPr>
              <w:t>98 058,9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E4007" w14:textId="77777777" w:rsidR="008811AB" w:rsidRPr="00E14102" w:rsidRDefault="008811AB" w:rsidP="00E14102">
            <w:pPr>
              <w:jc w:val="both"/>
              <w:rPr>
                <w:color w:val="000000" w:themeColor="text1"/>
                <w:sz w:val="16"/>
                <w:szCs w:val="16"/>
              </w:rPr>
            </w:pPr>
            <w:r w:rsidRPr="00E14102">
              <w:rPr>
                <w:color w:val="000000" w:themeColor="text1"/>
                <w:sz w:val="16"/>
                <w:szCs w:val="16"/>
              </w:rPr>
              <w:t>166 449,7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B0125" w14:textId="77777777" w:rsidR="008811AB" w:rsidRPr="00E14102" w:rsidRDefault="008811AB" w:rsidP="00E14102">
            <w:pPr>
              <w:jc w:val="both"/>
              <w:rPr>
                <w:color w:val="000000" w:themeColor="text1"/>
                <w:sz w:val="16"/>
                <w:szCs w:val="16"/>
              </w:rPr>
            </w:pPr>
            <w:r w:rsidRPr="00E14102">
              <w:rPr>
                <w:color w:val="000000" w:themeColor="text1"/>
                <w:sz w:val="16"/>
                <w:szCs w:val="16"/>
              </w:rPr>
              <w:t>128 901,5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7AF8C" w14:textId="77777777" w:rsidR="008811AB" w:rsidRPr="00E14102" w:rsidRDefault="008811AB" w:rsidP="00E14102">
            <w:pPr>
              <w:jc w:val="both"/>
              <w:rPr>
                <w:color w:val="000000" w:themeColor="text1"/>
                <w:sz w:val="16"/>
                <w:szCs w:val="16"/>
              </w:rPr>
            </w:pPr>
            <w:r w:rsidRPr="00E14102">
              <w:rPr>
                <w:color w:val="000000" w:themeColor="text1"/>
                <w:sz w:val="16"/>
                <w:szCs w:val="16"/>
              </w:rPr>
              <w:t>198 453,3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681A7" w14:textId="77777777" w:rsidR="008811AB" w:rsidRPr="00E14102" w:rsidRDefault="008811AB" w:rsidP="00E14102">
            <w:pPr>
              <w:jc w:val="both"/>
              <w:rPr>
                <w:color w:val="000000" w:themeColor="text1"/>
                <w:sz w:val="16"/>
                <w:szCs w:val="16"/>
              </w:rPr>
            </w:pPr>
            <w:r w:rsidRPr="00E14102">
              <w:rPr>
                <w:color w:val="000000" w:themeColor="text1"/>
                <w:sz w:val="16"/>
                <w:szCs w:val="16"/>
              </w:rPr>
              <w:t>169,7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8E4EC" w14:textId="77777777" w:rsidR="008811AB" w:rsidRPr="00E14102" w:rsidRDefault="008811AB" w:rsidP="00E14102">
            <w:pPr>
              <w:jc w:val="both"/>
              <w:rPr>
                <w:color w:val="000000" w:themeColor="text1"/>
                <w:sz w:val="16"/>
                <w:szCs w:val="16"/>
              </w:rPr>
            </w:pPr>
            <w:r w:rsidRPr="00E14102">
              <w:rPr>
                <w:color w:val="000000" w:themeColor="text1"/>
                <w:sz w:val="16"/>
                <w:szCs w:val="16"/>
              </w:rPr>
              <w:t>131,5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2F1F2" w14:textId="77777777" w:rsidR="008811AB" w:rsidRPr="00E14102" w:rsidRDefault="008811AB" w:rsidP="00E14102">
            <w:pPr>
              <w:jc w:val="both"/>
              <w:rPr>
                <w:color w:val="000000" w:themeColor="text1"/>
                <w:sz w:val="16"/>
                <w:szCs w:val="16"/>
              </w:rPr>
            </w:pPr>
            <w:r w:rsidRPr="00E14102">
              <w:rPr>
                <w:color w:val="000000" w:themeColor="text1"/>
                <w:sz w:val="16"/>
                <w:szCs w:val="16"/>
              </w:rPr>
              <w:t>202,4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8C44E" w14:textId="77777777" w:rsidR="008811AB" w:rsidRPr="00E14102" w:rsidRDefault="008811AB" w:rsidP="00E14102">
            <w:pPr>
              <w:jc w:val="both"/>
              <w:rPr>
                <w:color w:val="000000" w:themeColor="text1"/>
                <w:sz w:val="16"/>
                <w:szCs w:val="16"/>
              </w:rPr>
            </w:pPr>
            <w:r w:rsidRPr="00E14102">
              <w:rPr>
                <w:color w:val="000000" w:themeColor="text1"/>
                <w:sz w:val="16"/>
                <w:szCs w:val="16"/>
              </w:rPr>
              <w:t>169,7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FBF26" w14:textId="77777777" w:rsidR="008811AB" w:rsidRPr="00E14102" w:rsidRDefault="008811AB" w:rsidP="00E14102">
            <w:pPr>
              <w:jc w:val="both"/>
              <w:rPr>
                <w:color w:val="000000" w:themeColor="text1"/>
                <w:sz w:val="16"/>
                <w:szCs w:val="16"/>
              </w:rPr>
            </w:pPr>
            <w:r w:rsidRPr="00E14102">
              <w:rPr>
                <w:color w:val="000000" w:themeColor="text1"/>
                <w:sz w:val="16"/>
                <w:szCs w:val="16"/>
              </w:rPr>
              <w:t>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4F457" w14:textId="77777777" w:rsidR="008811AB" w:rsidRPr="00E14102" w:rsidRDefault="008811AB" w:rsidP="00E14102">
            <w:pPr>
              <w:jc w:val="both"/>
              <w:rPr>
                <w:color w:val="000000" w:themeColor="text1"/>
                <w:sz w:val="16"/>
                <w:szCs w:val="16"/>
              </w:rPr>
            </w:pPr>
            <w:r w:rsidRPr="00E14102">
              <w:rPr>
                <w:color w:val="000000" w:themeColor="text1"/>
                <w:sz w:val="16"/>
                <w:szCs w:val="16"/>
              </w:rPr>
              <w:t>154,0</w:t>
            </w:r>
          </w:p>
        </w:tc>
      </w:tr>
      <w:tr w:rsidR="00E3599D" w:rsidRPr="00E14102" w14:paraId="5F6ECFA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E62D1E" w14:textId="77777777" w:rsidR="008811AB" w:rsidRPr="00E14102" w:rsidRDefault="008811AB" w:rsidP="00E14102">
            <w:pPr>
              <w:jc w:val="both"/>
              <w:rPr>
                <w:color w:val="000000" w:themeColor="text1"/>
                <w:sz w:val="16"/>
                <w:szCs w:val="16"/>
              </w:rPr>
            </w:pPr>
            <w:r w:rsidRPr="00E14102">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D9C3B" w14:textId="77777777" w:rsidR="008811AB" w:rsidRPr="00E14102" w:rsidRDefault="008811AB" w:rsidP="00E14102">
            <w:pPr>
              <w:jc w:val="both"/>
              <w:rPr>
                <w:color w:val="000000" w:themeColor="text1"/>
                <w:sz w:val="16"/>
                <w:szCs w:val="16"/>
              </w:rPr>
            </w:pPr>
            <w:r w:rsidRPr="00E14102">
              <w:rPr>
                <w:color w:val="000000" w:themeColor="text1"/>
                <w:sz w:val="16"/>
                <w:szCs w:val="16"/>
              </w:rPr>
              <w:t>37 500,9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F7674" w14:textId="77777777" w:rsidR="008811AB" w:rsidRPr="00E14102" w:rsidRDefault="008811AB" w:rsidP="00E14102">
            <w:pPr>
              <w:jc w:val="both"/>
              <w:rPr>
                <w:color w:val="000000" w:themeColor="text1"/>
                <w:sz w:val="16"/>
                <w:szCs w:val="16"/>
              </w:rPr>
            </w:pPr>
            <w:r w:rsidRPr="00E14102">
              <w:rPr>
                <w:color w:val="000000" w:themeColor="text1"/>
                <w:sz w:val="16"/>
                <w:szCs w:val="16"/>
              </w:rPr>
              <w:t>65 723,8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FECA6" w14:textId="77777777" w:rsidR="008811AB" w:rsidRPr="00E14102" w:rsidRDefault="008811AB" w:rsidP="00E14102">
            <w:pPr>
              <w:jc w:val="both"/>
              <w:rPr>
                <w:color w:val="000000" w:themeColor="text1"/>
                <w:sz w:val="16"/>
                <w:szCs w:val="16"/>
              </w:rPr>
            </w:pPr>
            <w:r w:rsidRPr="00E14102">
              <w:rPr>
                <w:color w:val="000000" w:themeColor="text1"/>
                <w:sz w:val="16"/>
                <w:szCs w:val="16"/>
              </w:rPr>
              <w:t>39 004,3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67218" w14:textId="77777777" w:rsidR="008811AB" w:rsidRPr="00E14102" w:rsidRDefault="008811AB" w:rsidP="00E14102">
            <w:pPr>
              <w:jc w:val="both"/>
              <w:rPr>
                <w:color w:val="000000" w:themeColor="text1"/>
                <w:sz w:val="16"/>
                <w:szCs w:val="16"/>
              </w:rPr>
            </w:pPr>
            <w:r w:rsidRPr="00E14102">
              <w:rPr>
                <w:color w:val="000000" w:themeColor="text1"/>
                <w:sz w:val="16"/>
                <w:szCs w:val="16"/>
              </w:rPr>
              <w:t>50 029,4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40219" w14:textId="77777777" w:rsidR="008811AB" w:rsidRPr="00E14102" w:rsidRDefault="008811AB" w:rsidP="00E14102">
            <w:pPr>
              <w:jc w:val="both"/>
              <w:rPr>
                <w:color w:val="000000" w:themeColor="text1"/>
                <w:sz w:val="16"/>
                <w:szCs w:val="16"/>
              </w:rPr>
            </w:pPr>
            <w:r w:rsidRPr="00E14102">
              <w:rPr>
                <w:color w:val="000000" w:themeColor="text1"/>
                <w:sz w:val="16"/>
                <w:szCs w:val="16"/>
              </w:rPr>
              <w:t>175,3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14AD4" w14:textId="77777777" w:rsidR="008811AB" w:rsidRPr="00E14102" w:rsidRDefault="008811AB" w:rsidP="00E14102">
            <w:pPr>
              <w:jc w:val="both"/>
              <w:rPr>
                <w:color w:val="000000" w:themeColor="text1"/>
                <w:sz w:val="16"/>
                <w:szCs w:val="16"/>
              </w:rPr>
            </w:pPr>
            <w:r w:rsidRPr="00E14102">
              <w:rPr>
                <w:color w:val="000000" w:themeColor="text1"/>
                <w:sz w:val="16"/>
                <w:szCs w:val="16"/>
              </w:rPr>
              <w:t>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08760" w14:textId="77777777" w:rsidR="008811AB" w:rsidRPr="00E14102" w:rsidRDefault="008811AB" w:rsidP="00E14102">
            <w:pPr>
              <w:jc w:val="both"/>
              <w:rPr>
                <w:color w:val="000000" w:themeColor="text1"/>
                <w:sz w:val="16"/>
                <w:szCs w:val="16"/>
              </w:rPr>
            </w:pPr>
            <w:r w:rsidRPr="00E14102">
              <w:rPr>
                <w:color w:val="000000" w:themeColor="text1"/>
                <w:sz w:val="16"/>
                <w:szCs w:val="16"/>
              </w:rPr>
              <w:t>133,4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637FA" w14:textId="77777777" w:rsidR="008811AB" w:rsidRPr="00E14102" w:rsidRDefault="008811AB" w:rsidP="00E14102">
            <w:pPr>
              <w:jc w:val="both"/>
              <w:rPr>
                <w:color w:val="000000" w:themeColor="text1"/>
                <w:sz w:val="16"/>
                <w:szCs w:val="16"/>
              </w:rPr>
            </w:pPr>
            <w:r w:rsidRPr="00E14102">
              <w:rPr>
                <w:color w:val="000000" w:themeColor="text1"/>
                <w:sz w:val="16"/>
                <w:szCs w:val="16"/>
              </w:rPr>
              <w:t>175,3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E644F" w14:textId="77777777" w:rsidR="008811AB" w:rsidRPr="00E14102" w:rsidRDefault="008811AB" w:rsidP="00E14102">
            <w:pPr>
              <w:jc w:val="both"/>
              <w:rPr>
                <w:color w:val="000000" w:themeColor="text1"/>
                <w:sz w:val="16"/>
                <w:szCs w:val="16"/>
              </w:rPr>
            </w:pPr>
            <w:r w:rsidRPr="00E14102">
              <w:rPr>
                <w:color w:val="000000" w:themeColor="text1"/>
                <w:sz w:val="16"/>
                <w:szCs w:val="16"/>
              </w:rPr>
              <w:t>59,3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B1985" w14:textId="77777777" w:rsidR="008811AB" w:rsidRPr="00E14102" w:rsidRDefault="008811AB" w:rsidP="00E14102">
            <w:pPr>
              <w:jc w:val="both"/>
              <w:rPr>
                <w:color w:val="000000" w:themeColor="text1"/>
                <w:sz w:val="16"/>
                <w:szCs w:val="16"/>
              </w:rPr>
            </w:pPr>
            <w:r w:rsidRPr="00E14102">
              <w:rPr>
                <w:color w:val="000000" w:themeColor="text1"/>
                <w:sz w:val="16"/>
                <w:szCs w:val="16"/>
              </w:rPr>
              <w:t>123,3</w:t>
            </w:r>
          </w:p>
        </w:tc>
      </w:tr>
      <w:tr w:rsidR="00E3599D" w:rsidRPr="00E14102" w14:paraId="7042E32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21B07C" w14:textId="77777777" w:rsidR="008811AB" w:rsidRPr="00E14102" w:rsidRDefault="008811AB" w:rsidP="00E14102">
            <w:pPr>
              <w:jc w:val="both"/>
              <w:rPr>
                <w:color w:val="000000" w:themeColor="text1"/>
                <w:sz w:val="16"/>
                <w:szCs w:val="16"/>
              </w:rPr>
            </w:pPr>
            <w:r w:rsidRPr="00E14102">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C44F6" w14:textId="77777777" w:rsidR="008811AB" w:rsidRPr="00E14102" w:rsidRDefault="008811AB" w:rsidP="00E14102">
            <w:pPr>
              <w:jc w:val="both"/>
              <w:rPr>
                <w:color w:val="000000" w:themeColor="text1"/>
                <w:sz w:val="16"/>
                <w:szCs w:val="16"/>
              </w:rPr>
            </w:pPr>
            <w:r w:rsidRPr="00E14102">
              <w:rPr>
                <w:color w:val="000000" w:themeColor="text1"/>
                <w:sz w:val="16"/>
                <w:szCs w:val="16"/>
              </w:rPr>
              <w:t>29 680,7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E68E3" w14:textId="77777777" w:rsidR="008811AB" w:rsidRPr="00E14102" w:rsidRDefault="008811AB" w:rsidP="00E14102">
            <w:pPr>
              <w:jc w:val="both"/>
              <w:rPr>
                <w:color w:val="000000" w:themeColor="text1"/>
                <w:sz w:val="16"/>
                <w:szCs w:val="16"/>
              </w:rPr>
            </w:pPr>
            <w:r w:rsidRPr="00E14102">
              <w:rPr>
                <w:color w:val="000000" w:themeColor="text1"/>
                <w:sz w:val="16"/>
                <w:szCs w:val="16"/>
              </w:rPr>
              <w:t>33 775,2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A85EF" w14:textId="77777777" w:rsidR="008811AB" w:rsidRPr="00E14102" w:rsidRDefault="008811AB" w:rsidP="00E14102">
            <w:pPr>
              <w:jc w:val="both"/>
              <w:rPr>
                <w:color w:val="000000" w:themeColor="text1"/>
                <w:sz w:val="16"/>
                <w:szCs w:val="16"/>
              </w:rPr>
            </w:pPr>
            <w:r w:rsidRPr="00E14102">
              <w:rPr>
                <w:color w:val="000000" w:themeColor="text1"/>
                <w:sz w:val="16"/>
                <w:szCs w:val="16"/>
              </w:rPr>
              <w:t>22 054,2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107E1" w14:textId="77777777" w:rsidR="008811AB" w:rsidRPr="00E14102" w:rsidRDefault="008811AB" w:rsidP="00E14102">
            <w:pPr>
              <w:jc w:val="both"/>
              <w:rPr>
                <w:color w:val="000000" w:themeColor="text1"/>
                <w:sz w:val="16"/>
                <w:szCs w:val="16"/>
              </w:rPr>
            </w:pPr>
            <w:r w:rsidRPr="00E14102">
              <w:rPr>
                <w:color w:val="000000" w:themeColor="text1"/>
                <w:sz w:val="16"/>
                <w:szCs w:val="16"/>
              </w:rPr>
              <w:t>27 471,6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80580" w14:textId="77777777" w:rsidR="008811AB" w:rsidRPr="00E14102" w:rsidRDefault="008811AB" w:rsidP="00E14102">
            <w:pPr>
              <w:jc w:val="both"/>
              <w:rPr>
                <w:color w:val="000000" w:themeColor="text1"/>
                <w:sz w:val="16"/>
                <w:szCs w:val="16"/>
              </w:rPr>
            </w:pPr>
            <w:r w:rsidRPr="00E14102">
              <w:rPr>
                <w:color w:val="000000" w:themeColor="text1"/>
                <w:sz w:val="16"/>
                <w:szCs w:val="16"/>
              </w:rPr>
              <w:t>113,8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7D346" w14:textId="77777777" w:rsidR="008811AB" w:rsidRPr="00E14102" w:rsidRDefault="008811AB" w:rsidP="00E14102">
            <w:pPr>
              <w:jc w:val="both"/>
              <w:rPr>
                <w:color w:val="000000" w:themeColor="text1"/>
                <w:sz w:val="16"/>
                <w:szCs w:val="16"/>
              </w:rPr>
            </w:pPr>
            <w:r w:rsidRPr="00E14102">
              <w:rPr>
                <w:color w:val="000000" w:themeColor="text1"/>
                <w:sz w:val="16"/>
                <w:szCs w:val="16"/>
              </w:rPr>
              <w:t>74,3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0DAC0" w14:textId="77777777" w:rsidR="008811AB" w:rsidRPr="00E14102" w:rsidRDefault="008811AB" w:rsidP="00E14102">
            <w:pPr>
              <w:jc w:val="both"/>
              <w:rPr>
                <w:color w:val="000000" w:themeColor="text1"/>
                <w:sz w:val="16"/>
                <w:szCs w:val="16"/>
              </w:rPr>
            </w:pPr>
            <w:r w:rsidRPr="00E14102">
              <w:rPr>
                <w:color w:val="000000" w:themeColor="text1"/>
                <w:sz w:val="16"/>
                <w:szCs w:val="16"/>
              </w:rPr>
              <w:t>92,6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4EC0A" w14:textId="77777777" w:rsidR="008811AB" w:rsidRPr="00E14102" w:rsidRDefault="008811AB" w:rsidP="00E14102">
            <w:pPr>
              <w:jc w:val="both"/>
              <w:rPr>
                <w:color w:val="000000" w:themeColor="text1"/>
                <w:sz w:val="16"/>
                <w:szCs w:val="16"/>
              </w:rPr>
            </w:pPr>
            <w:r w:rsidRPr="00E14102">
              <w:rPr>
                <w:color w:val="000000" w:themeColor="text1"/>
                <w:sz w:val="16"/>
                <w:szCs w:val="16"/>
              </w:rPr>
              <w:t>113,8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011E1" w14:textId="77777777" w:rsidR="008811AB" w:rsidRPr="00E14102" w:rsidRDefault="008811AB" w:rsidP="00E14102">
            <w:pPr>
              <w:jc w:val="both"/>
              <w:rPr>
                <w:color w:val="000000" w:themeColor="text1"/>
                <w:sz w:val="16"/>
                <w:szCs w:val="16"/>
              </w:rPr>
            </w:pPr>
            <w:r w:rsidRPr="00E14102">
              <w:rPr>
                <w:color w:val="000000" w:themeColor="text1"/>
                <w:sz w:val="16"/>
                <w:szCs w:val="16"/>
              </w:rPr>
              <w:t>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A9AD7" w14:textId="77777777" w:rsidR="008811AB" w:rsidRPr="00E14102" w:rsidRDefault="008811AB" w:rsidP="00E14102">
            <w:pPr>
              <w:jc w:val="both"/>
              <w:rPr>
                <w:color w:val="000000" w:themeColor="text1"/>
                <w:sz w:val="16"/>
                <w:szCs w:val="16"/>
              </w:rPr>
            </w:pPr>
            <w:r w:rsidRPr="00E14102">
              <w:rPr>
                <w:color w:val="000000" w:themeColor="text1"/>
                <w:sz w:val="16"/>
                <w:szCs w:val="16"/>
              </w:rPr>
              <w:t>124,6</w:t>
            </w:r>
          </w:p>
        </w:tc>
      </w:tr>
      <w:tr w:rsidR="00E3599D" w:rsidRPr="00E14102" w14:paraId="3DDFA24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10253B" w14:textId="77777777" w:rsidR="008811AB" w:rsidRPr="00E14102" w:rsidRDefault="008811AB" w:rsidP="00E14102">
            <w:pPr>
              <w:jc w:val="both"/>
              <w:rPr>
                <w:color w:val="000000" w:themeColor="text1"/>
                <w:sz w:val="16"/>
                <w:szCs w:val="16"/>
              </w:rPr>
            </w:pPr>
            <w:r w:rsidRPr="00E14102">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123C5" w14:textId="77777777" w:rsidR="008811AB" w:rsidRPr="00E14102" w:rsidRDefault="008811AB" w:rsidP="00E14102">
            <w:pPr>
              <w:jc w:val="both"/>
              <w:rPr>
                <w:color w:val="000000" w:themeColor="text1"/>
                <w:sz w:val="16"/>
                <w:szCs w:val="16"/>
              </w:rPr>
            </w:pPr>
            <w:r w:rsidRPr="00E14102">
              <w:rPr>
                <w:color w:val="000000" w:themeColor="text1"/>
                <w:sz w:val="16"/>
                <w:szCs w:val="16"/>
              </w:rPr>
              <w:t>7565,8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62684" w14:textId="77777777" w:rsidR="008811AB" w:rsidRPr="00E14102" w:rsidRDefault="008811AB" w:rsidP="00E14102">
            <w:pPr>
              <w:jc w:val="both"/>
              <w:rPr>
                <w:color w:val="000000" w:themeColor="text1"/>
                <w:sz w:val="16"/>
                <w:szCs w:val="16"/>
              </w:rPr>
            </w:pPr>
            <w:r w:rsidRPr="00E14102">
              <w:rPr>
                <w:color w:val="000000" w:themeColor="text1"/>
                <w:sz w:val="16"/>
                <w:szCs w:val="16"/>
              </w:rPr>
              <w:t>13 236,9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069CD" w14:textId="77777777" w:rsidR="008811AB" w:rsidRPr="00E14102" w:rsidRDefault="008811AB" w:rsidP="00E14102">
            <w:pPr>
              <w:jc w:val="both"/>
              <w:rPr>
                <w:color w:val="000000" w:themeColor="text1"/>
                <w:sz w:val="16"/>
                <w:szCs w:val="16"/>
              </w:rPr>
            </w:pPr>
            <w:r w:rsidRPr="00E14102">
              <w:rPr>
                <w:color w:val="000000" w:themeColor="text1"/>
                <w:sz w:val="16"/>
                <w:szCs w:val="16"/>
              </w:rPr>
              <w:t>13 742,3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79AC4" w14:textId="77777777" w:rsidR="008811AB" w:rsidRPr="00E14102" w:rsidRDefault="008811AB" w:rsidP="00E14102">
            <w:pPr>
              <w:jc w:val="both"/>
              <w:rPr>
                <w:color w:val="000000" w:themeColor="text1"/>
                <w:sz w:val="16"/>
                <w:szCs w:val="16"/>
              </w:rPr>
            </w:pPr>
            <w:r w:rsidRPr="00E14102">
              <w:rPr>
                <w:color w:val="000000" w:themeColor="text1"/>
                <w:sz w:val="16"/>
                <w:szCs w:val="16"/>
              </w:rPr>
              <w:t>13 037,0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91B02" w14:textId="77777777" w:rsidR="008811AB" w:rsidRPr="00E14102" w:rsidRDefault="008811AB" w:rsidP="00E14102">
            <w:pPr>
              <w:jc w:val="both"/>
              <w:rPr>
                <w:color w:val="000000" w:themeColor="text1"/>
                <w:sz w:val="16"/>
                <w:szCs w:val="16"/>
              </w:rPr>
            </w:pPr>
            <w:r w:rsidRPr="00E14102">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DF259" w14:textId="77777777" w:rsidR="008811AB" w:rsidRPr="00E14102" w:rsidRDefault="008811AB" w:rsidP="00E14102">
            <w:pPr>
              <w:jc w:val="both"/>
              <w:rPr>
                <w:color w:val="000000" w:themeColor="text1"/>
                <w:sz w:val="16"/>
                <w:szCs w:val="16"/>
              </w:rPr>
            </w:pPr>
            <w:r w:rsidRPr="00E14102">
              <w:rPr>
                <w:color w:val="000000" w:themeColor="text1"/>
                <w:sz w:val="16"/>
                <w:szCs w:val="16"/>
              </w:rPr>
              <w:t>181,6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6F2E9" w14:textId="77777777" w:rsidR="008811AB" w:rsidRPr="00E14102" w:rsidRDefault="008811AB" w:rsidP="00E14102">
            <w:pPr>
              <w:jc w:val="both"/>
              <w:rPr>
                <w:color w:val="000000" w:themeColor="text1"/>
                <w:sz w:val="16"/>
                <w:szCs w:val="16"/>
              </w:rPr>
            </w:pPr>
            <w:r w:rsidRPr="00E14102">
              <w:rPr>
                <w:color w:val="000000" w:themeColor="text1"/>
                <w:sz w:val="16"/>
                <w:szCs w:val="16"/>
              </w:rPr>
              <w:t>172,3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19F6D" w14:textId="77777777" w:rsidR="008811AB" w:rsidRPr="00E14102" w:rsidRDefault="008811AB" w:rsidP="00E14102">
            <w:pPr>
              <w:jc w:val="both"/>
              <w:rPr>
                <w:color w:val="000000" w:themeColor="text1"/>
                <w:sz w:val="16"/>
                <w:szCs w:val="16"/>
              </w:rPr>
            </w:pPr>
            <w:r w:rsidRPr="00E14102">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DD6B7" w14:textId="77777777" w:rsidR="008811AB" w:rsidRPr="00E14102" w:rsidRDefault="008811AB" w:rsidP="00E14102">
            <w:pPr>
              <w:jc w:val="both"/>
              <w:rPr>
                <w:color w:val="000000" w:themeColor="text1"/>
                <w:sz w:val="16"/>
                <w:szCs w:val="16"/>
              </w:rPr>
            </w:pPr>
            <w:r w:rsidRPr="00E14102">
              <w:rPr>
                <w:color w:val="000000" w:themeColor="text1"/>
                <w:sz w:val="16"/>
                <w:szCs w:val="16"/>
              </w:rPr>
              <w:t>103,8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2F436" w14:textId="77777777" w:rsidR="008811AB" w:rsidRPr="00E14102" w:rsidRDefault="008811AB" w:rsidP="00E14102">
            <w:pPr>
              <w:jc w:val="both"/>
              <w:rPr>
                <w:color w:val="000000" w:themeColor="text1"/>
                <w:sz w:val="16"/>
                <w:szCs w:val="16"/>
              </w:rPr>
            </w:pPr>
            <w:r w:rsidRPr="00E14102">
              <w:rPr>
                <w:color w:val="000000" w:themeColor="text1"/>
                <w:sz w:val="16"/>
                <w:szCs w:val="16"/>
              </w:rPr>
              <w:t>94,9</w:t>
            </w:r>
          </w:p>
        </w:tc>
      </w:tr>
      <w:tr w:rsidR="00E3599D" w:rsidRPr="00E14102" w14:paraId="7C796AB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610510" w14:textId="77777777" w:rsidR="008811AB" w:rsidRPr="00E14102" w:rsidRDefault="008811AB" w:rsidP="00E14102">
            <w:pPr>
              <w:jc w:val="both"/>
              <w:rPr>
                <w:color w:val="000000" w:themeColor="text1"/>
                <w:sz w:val="16"/>
                <w:szCs w:val="16"/>
              </w:rPr>
            </w:pPr>
            <w:r w:rsidRPr="00E14102">
              <w:rPr>
                <w:color w:val="000000" w:themeColor="text1"/>
                <w:sz w:val="16"/>
                <w:szCs w:val="16"/>
              </w:rPr>
              <w:t>4)Капитальный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C020A" w14:textId="77777777" w:rsidR="008811AB" w:rsidRPr="00E14102" w:rsidRDefault="008811AB" w:rsidP="00E14102">
            <w:pPr>
              <w:jc w:val="both"/>
              <w:rPr>
                <w:color w:val="000000" w:themeColor="text1"/>
                <w:sz w:val="16"/>
                <w:szCs w:val="16"/>
              </w:rPr>
            </w:pPr>
            <w:r w:rsidRPr="00E14102">
              <w:rPr>
                <w:color w:val="000000" w:themeColor="text1"/>
                <w:sz w:val="16"/>
                <w:szCs w:val="16"/>
              </w:rPr>
              <w:t>19 442,6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72190" w14:textId="77777777" w:rsidR="008811AB" w:rsidRPr="00E14102" w:rsidRDefault="008811AB" w:rsidP="00E14102">
            <w:pPr>
              <w:jc w:val="both"/>
              <w:rPr>
                <w:color w:val="000000" w:themeColor="text1"/>
                <w:sz w:val="16"/>
                <w:szCs w:val="16"/>
              </w:rPr>
            </w:pPr>
            <w:r w:rsidRPr="00E14102">
              <w:rPr>
                <w:color w:val="000000" w:themeColor="text1"/>
                <w:sz w:val="16"/>
                <w:szCs w:val="16"/>
              </w:rPr>
              <w:t>26 454,5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F4263" w14:textId="77777777" w:rsidR="008811AB" w:rsidRPr="00E14102" w:rsidRDefault="008811AB" w:rsidP="00E14102">
            <w:pPr>
              <w:jc w:val="both"/>
              <w:rPr>
                <w:color w:val="000000" w:themeColor="text1"/>
                <w:sz w:val="16"/>
                <w:szCs w:val="16"/>
              </w:rPr>
            </w:pPr>
            <w:r w:rsidRPr="00E14102">
              <w:rPr>
                <w:color w:val="000000" w:themeColor="text1"/>
                <w:sz w:val="16"/>
                <w:szCs w:val="16"/>
              </w:rPr>
              <w:t>18 999,7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2CF31" w14:textId="77777777" w:rsidR="008811AB" w:rsidRPr="00E14102" w:rsidRDefault="008811AB" w:rsidP="00E14102">
            <w:pPr>
              <w:jc w:val="both"/>
              <w:rPr>
                <w:color w:val="000000" w:themeColor="text1"/>
                <w:sz w:val="16"/>
                <w:szCs w:val="16"/>
              </w:rPr>
            </w:pPr>
            <w:r w:rsidRPr="00E14102">
              <w:rPr>
                <w:color w:val="000000" w:themeColor="text1"/>
                <w:sz w:val="16"/>
                <w:szCs w:val="16"/>
              </w:rPr>
              <w:t>25 729,7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374F9" w14:textId="77777777" w:rsidR="008811AB" w:rsidRPr="00E14102" w:rsidRDefault="008811AB" w:rsidP="00E14102">
            <w:pPr>
              <w:jc w:val="both"/>
              <w:rPr>
                <w:color w:val="000000" w:themeColor="text1"/>
                <w:sz w:val="16"/>
                <w:szCs w:val="16"/>
              </w:rPr>
            </w:pPr>
            <w:r w:rsidRPr="00E14102">
              <w:rPr>
                <w:color w:val="000000" w:themeColor="text1"/>
                <w:sz w:val="16"/>
                <w:szCs w:val="16"/>
              </w:rPr>
              <w:t>136,1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B5D23" w14:textId="77777777" w:rsidR="008811AB" w:rsidRPr="00E14102" w:rsidRDefault="008811AB" w:rsidP="00E14102">
            <w:pPr>
              <w:jc w:val="both"/>
              <w:rPr>
                <w:color w:val="000000" w:themeColor="text1"/>
                <w:sz w:val="16"/>
                <w:szCs w:val="16"/>
              </w:rPr>
            </w:pPr>
            <w:r w:rsidRPr="00E14102">
              <w:rPr>
                <w:color w:val="000000" w:themeColor="text1"/>
                <w:sz w:val="16"/>
                <w:szCs w:val="16"/>
              </w:rPr>
              <w:t>97,7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0B1AC" w14:textId="77777777" w:rsidR="008811AB" w:rsidRPr="00E14102" w:rsidRDefault="008811AB" w:rsidP="00E14102">
            <w:pPr>
              <w:jc w:val="both"/>
              <w:rPr>
                <w:color w:val="000000" w:themeColor="text1"/>
                <w:sz w:val="16"/>
                <w:szCs w:val="16"/>
              </w:rPr>
            </w:pPr>
            <w:r w:rsidRPr="00E14102">
              <w:rPr>
                <w:color w:val="000000" w:themeColor="text1"/>
                <w:sz w:val="16"/>
                <w:szCs w:val="16"/>
              </w:rPr>
              <w:t>132,3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D08E5" w14:textId="77777777" w:rsidR="008811AB" w:rsidRPr="00E14102" w:rsidRDefault="008811AB" w:rsidP="00E14102">
            <w:pPr>
              <w:jc w:val="both"/>
              <w:rPr>
                <w:color w:val="000000" w:themeColor="text1"/>
                <w:sz w:val="16"/>
                <w:szCs w:val="16"/>
              </w:rPr>
            </w:pPr>
            <w:r w:rsidRPr="00E14102">
              <w:rPr>
                <w:color w:val="000000" w:themeColor="text1"/>
                <w:sz w:val="16"/>
                <w:szCs w:val="16"/>
              </w:rPr>
              <w:t>136,1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B2B50" w14:textId="77777777" w:rsidR="008811AB" w:rsidRPr="00E14102" w:rsidRDefault="008811AB" w:rsidP="00E14102">
            <w:pPr>
              <w:jc w:val="both"/>
              <w:rPr>
                <w:color w:val="000000" w:themeColor="text1"/>
                <w:sz w:val="16"/>
                <w:szCs w:val="16"/>
              </w:rPr>
            </w:pPr>
            <w:r w:rsidRPr="00E14102">
              <w:rPr>
                <w:color w:val="000000" w:themeColor="text1"/>
                <w:sz w:val="16"/>
                <w:szCs w:val="16"/>
              </w:rPr>
              <w:t>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941AC" w14:textId="77777777" w:rsidR="008811AB" w:rsidRPr="00E14102" w:rsidRDefault="008811AB" w:rsidP="00E14102">
            <w:pPr>
              <w:jc w:val="both"/>
              <w:rPr>
                <w:color w:val="000000" w:themeColor="text1"/>
                <w:sz w:val="16"/>
                <w:szCs w:val="16"/>
              </w:rPr>
            </w:pPr>
            <w:r w:rsidRPr="00E14102">
              <w:rPr>
                <w:color w:val="000000" w:themeColor="text1"/>
                <w:sz w:val="16"/>
                <w:szCs w:val="16"/>
              </w:rPr>
              <w:t>135,4</w:t>
            </w:r>
          </w:p>
        </w:tc>
      </w:tr>
      <w:tr w:rsidR="00E3599D" w:rsidRPr="00E14102" w14:paraId="7DEA83BA"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59005C87" w14:textId="77777777" w:rsidR="008811AB" w:rsidRPr="00E14102" w:rsidRDefault="008811AB" w:rsidP="00E14102">
            <w:pPr>
              <w:jc w:val="both"/>
              <w:rPr>
                <w:color w:val="000000" w:themeColor="text1"/>
                <w:sz w:val="16"/>
                <w:szCs w:val="16"/>
              </w:rPr>
            </w:pPr>
            <w:r w:rsidRPr="00E14102">
              <w:rPr>
                <w:color w:val="000000" w:themeColor="text1"/>
                <w:sz w:val="16"/>
                <w:szCs w:val="16"/>
              </w:rPr>
              <w:t>Вохимтрест</w:t>
            </w:r>
          </w:p>
        </w:tc>
      </w:tr>
      <w:tr w:rsidR="00E3599D" w:rsidRPr="00E14102" w14:paraId="167B0EA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CC6ADC" w14:textId="77777777" w:rsidR="008811AB" w:rsidRPr="00E14102" w:rsidRDefault="008811AB" w:rsidP="00E14102">
            <w:pPr>
              <w:jc w:val="both"/>
              <w:rPr>
                <w:color w:val="000000" w:themeColor="text1"/>
                <w:sz w:val="16"/>
                <w:szCs w:val="16"/>
              </w:rPr>
            </w:pPr>
            <w:r w:rsidRPr="00E14102">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C502A" w14:textId="77777777" w:rsidR="008811AB" w:rsidRPr="00E14102" w:rsidRDefault="008811AB" w:rsidP="00E14102">
            <w:pPr>
              <w:jc w:val="both"/>
              <w:rPr>
                <w:color w:val="000000" w:themeColor="text1"/>
                <w:sz w:val="16"/>
                <w:szCs w:val="16"/>
              </w:rPr>
            </w:pPr>
            <w:r w:rsidRPr="00E14102">
              <w:rPr>
                <w:color w:val="000000" w:themeColor="text1"/>
                <w:sz w:val="16"/>
                <w:szCs w:val="16"/>
              </w:rPr>
              <w:t>47 951,7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C37B8" w14:textId="77777777" w:rsidR="008811AB" w:rsidRPr="00E14102" w:rsidRDefault="008811AB" w:rsidP="00E14102">
            <w:pPr>
              <w:jc w:val="both"/>
              <w:rPr>
                <w:color w:val="000000" w:themeColor="text1"/>
                <w:sz w:val="16"/>
                <w:szCs w:val="16"/>
              </w:rPr>
            </w:pPr>
            <w:r w:rsidRPr="00E14102">
              <w:rPr>
                <w:color w:val="000000" w:themeColor="text1"/>
                <w:sz w:val="16"/>
                <w:szCs w:val="16"/>
              </w:rPr>
              <w:t>76 769,3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26D39" w14:textId="77777777" w:rsidR="008811AB" w:rsidRPr="00E14102" w:rsidRDefault="008811AB" w:rsidP="00E14102">
            <w:pPr>
              <w:jc w:val="both"/>
              <w:rPr>
                <w:color w:val="000000" w:themeColor="text1"/>
                <w:sz w:val="16"/>
                <w:szCs w:val="16"/>
              </w:rPr>
            </w:pPr>
            <w:r w:rsidRPr="00E14102">
              <w:rPr>
                <w:color w:val="000000" w:themeColor="text1"/>
                <w:sz w:val="16"/>
                <w:szCs w:val="16"/>
              </w:rPr>
              <w:t>53 476,7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52CAD" w14:textId="77777777" w:rsidR="008811AB" w:rsidRPr="00E14102" w:rsidRDefault="008811AB" w:rsidP="00E14102">
            <w:pPr>
              <w:jc w:val="both"/>
              <w:rPr>
                <w:color w:val="000000" w:themeColor="text1"/>
                <w:sz w:val="16"/>
                <w:szCs w:val="16"/>
              </w:rPr>
            </w:pPr>
            <w:r w:rsidRPr="00E14102">
              <w:rPr>
                <w:color w:val="000000" w:themeColor="text1"/>
                <w:sz w:val="16"/>
                <w:szCs w:val="16"/>
              </w:rPr>
              <w:t>55 890,5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FC42F" w14:textId="77777777" w:rsidR="008811AB" w:rsidRPr="00E14102" w:rsidRDefault="008811AB" w:rsidP="00E14102">
            <w:pPr>
              <w:jc w:val="both"/>
              <w:rPr>
                <w:color w:val="000000" w:themeColor="text1"/>
                <w:sz w:val="16"/>
                <w:szCs w:val="16"/>
              </w:rPr>
            </w:pPr>
            <w:r w:rsidRPr="00E14102">
              <w:rPr>
                <w:color w:val="000000" w:themeColor="text1"/>
                <w:sz w:val="16"/>
                <w:szCs w:val="16"/>
              </w:rPr>
              <w:t>55 160,1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62906" w14:textId="77777777" w:rsidR="008811AB" w:rsidRPr="00E14102" w:rsidRDefault="008811AB" w:rsidP="00E14102">
            <w:pPr>
              <w:jc w:val="both"/>
              <w:rPr>
                <w:color w:val="000000" w:themeColor="text1"/>
                <w:sz w:val="16"/>
                <w:szCs w:val="16"/>
              </w:rPr>
            </w:pPr>
            <w:r w:rsidRPr="00E14102">
              <w:rPr>
                <w:color w:val="000000" w:themeColor="text1"/>
                <w:sz w:val="16"/>
                <w:szCs w:val="16"/>
              </w:rPr>
              <w:t>111,5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09EE0" w14:textId="77777777" w:rsidR="008811AB" w:rsidRPr="00E14102" w:rsidRDefault="008811AB" w:rsidP="00E14102">
            <w:pPr>
              <w:jc w:val="both"/>
              <w:rPr>
                <w:color w:val="000000" w:themeColor="text1"/>
                <w:sz w:val="16"/>
                <w:szCs w:val="16"/>
              </w:rPr>
            </w:pPr>
            <w:r w:rsidRPr="00E14102">
              <w:rPr>
                <w:color w:val="000000" w:themeColor="text1"/>
                <w:sz w:val="16"/>
                <w:szCs w:val="16"/>
              </w:rPr>
              <w:t>116,6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BCD18" w14:textId="77777777" w:rsidR="008811AB" w:rsidRPr="00E14102" w:rsidRDefault="008811AB" w:rsidP="00E14102">
            <w:pPr>
              <w:jc w:val="both"/>
              <w:rPr>
                <w:color w:val="000000" w:themeColor="text1"/>
                <w:sz w:val="16"/>
                <w:szCs w:val="16"/>
              </w:rPr>
            </w:pPr>
            <w:r w:rsidRPr="00E14102">
              <w:rPr>
                <w:color w:val="000000" w:themeColor="text1"/>
                <w:sz w:val="16"/>
                <w:szCs w:val="16"/>
              </w:rPr>
              <w:t>160,1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7E3C3" w14:textId="77777777" w:rsidR="008811AB" w:rsidRPr="00E14102" w:rsidRDefault="008811AB" w:rsidP="00E14102">
            <w:pPr>
              <w:jc w:val="both"/>
              <w:rPr>
                <w:color w:val="000000" w:themeColor="text1"/>
                <w:sz w:val="16"/>
                <w:szCs w:val="16"/>
              </w:rPr>
            </w:pPr>
            <w:r w:rsidRPr="00E14102">
              <w:rPr>
                <w:color w:val="000000" w:themeColor="text1"/>
                <w:sz w:val="16"/>
                <w:szCs w:val="16"/>
              </w:rPr>
              <w:t>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9AC12" w14:textId="77777777" w:rsidR="008811AB" w:rsidRPr="00E14102" w:rsidRDefault="008811AB" w:rsidP="00E14102">
            <w:pPr>
              <w:jc w:val="both"/>
              <w:rPr>
                <w:color w:val="000000" w:themeColor="text1"/>
                <w:sz w:val="16"/>
                <w:szCs w:val="16"/>
              </w:rPr>
            </w:pPr>
            <w:r w:rsidRPr="00E14102">
              <w:rPr>
                <w:color w:val="000000" w:themeColor="text1"/>
                <w:sz w:val="16"/>
                <w:szCs w:val="16"/>
              </w:rPr>
              <w:t>104,5</w:t>
            </w:r>
          </w:p>
        </w:tc>
      </w:tr>
      <w:tr w:rsidR="00E3599D" w:rsidRPr="00E14102" w14:paraId="22735BD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EEB80D" w14:textId="77777777" w:rsidR="008811AB" w:rsidRPr="00E14102" w:rsidRDefault="008811AB" w:rsidP="00E14102">
            <w:pPr>
              <w:jc w:val="both"/>
              <w:rPr>
                <w:color w:val="000000" w:themeColor="text1"/>
                <w:sz w:val="16"/>
                <w:szCs w:val="16"/>
              </w:rPr>
            </w:pPr>
            <w:r w:rsidRPr="00E14102">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77CDA"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D7E86"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BD7E2"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5E706"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C96A3"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BD3AA"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40289"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2439F"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8FC5B"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627D8"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r>
      <w:tr w:rsidR="00E3599D" w:rsidRPr="00E14102" w14:paraId="0A2EBC7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962C4E" w14:textId="77777777" w:rsidR="008811AB" w:rsidRPr="00E14102" w:rsidRDefault="008811AB" w:rsidP="00E14102">
            <w:pPr>
              <w:jc w:val="both"/>
              <w:rPr>
                <w:color w:val="000000" w:themeColor="text1"/>
                <w:sz w:val="16"/>
                <w:szCs w:val="16"/>
              </w:rPr>
            </w:pPr>
            <w:r w:rsidRPr="00E14102">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E7BD6" w14:textId="77777777" w:rsidR="008811AB" w:rsidRPr="00E14102" w:rsidRDefault="008811AB" w:rsidP="00E14102">
            <w:pPr>
              <w:jc w:val="both"/>
              <w:rPr>
                <w:color w:val="000000" w:themeColor="text1"/>
                <w:sz w:val="16"/>
                <w:szCs w:val="16"/>
              </w:rPr>
            </w:pPr>
            <w:r w:rsidRPr="00E14102">
              <w:rPr>
                <w:color w:val="000000" w:themeColor="text1"/>
                <w:sz w:val="16"/>
                <w:szCs w:val="16"/>
              </w:rPr>
              <w:t>20 715,2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18FDD" w14:textId="77777777" w:rsidR="008811AB" w:rsidRPr="00E14102" w:rsidRDefault="008811AB" w:rsidP="00E14102">
            <w:pPr>
              <w:jc w:val="both"/>
              <w:rPr>
                <w:color w:val="000000" w:themeColor="text1"/>
                <w:sz w:val="16"/>
                <w:szCs w:val="16"/>
              </w:rPr>
            </w:pPr>
            <w:r w:rsidRPr="00E14102">
              <w:rPr>
                <w:color w:val="000000" w:themeColor="text1"/>
                <w:sz w:val="16"/>
                <w:szCs w:val="16"/>
              </w:rPr>
              <w:t>33 126,5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90A4C" w14:textId="77777777" w:rsidR="008811AB" w:rsidRPr="00E14102" w:rsidRDefault="008811AB" w:rsidP="00E14102">
            <w:pPr>
              <w:jc w:val="both"/>
              <w:rPr>
                <w:color w:val="000000" w:themeColor="text1"/>
                <w:sz w:val="16"/>
                <w:szCs w:val="16"/>
              </w:rPr>
            </w:pPr>
            <w:r w:rsidRPr="00E14102">
              <w:rPr>
                <w:color w:val="000000" w:themeColor="text1"/>
                <w:sz w:val="16"/>
                <w:szCs w:val="16"/>
              </w:rPr>
              <w:t>21 678,3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CC692" w14:textId="77777777" w:rsidR="008811AB" w:rsidRPr="00E14102" w:rsidRDefault="008811AB" w:rsidP="00E14102">
            <w:pPr>
              <w:jc w:val="both"/>
              <w:rPr>
                <w:color w:val="000000" w:themeColor="text1"/>
                <w:sz w:val="16"/>
                <w:szCs w:val="16"/>
              </w:rPr>
            </w:pPr>
            <w:r w:rsidRPr="00E14102">
              <w:rPr>
                <w:color w:val="000000" w:themeColor="text1"/>
                <w:sz w:val="16"/>
                <w:szCs w:val="16"/>
              </w:rPr>
              <w:t>31 072,9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ABB63" w14:textId="77777777" w:rsidR="008811AB" w:rsidRPr="00E14102" w:rsidRDefault="008811AB" w:rsidP="00E14102">
            <w:pPr>
              <w:jc w:val="both"/>
              <w:rPr>
                <w:color w:val="000000" w:themeColor="text1"/>
                <w:sz w:val="16"/>
                <w:szCs w:val="16"/>
              </w:rPr>
            </w:pPr>
            <w:r w:rsidRPr="00E14102">
              <w:rPr>
                <w:color w:val="000000" w:themeColor="text1"/>
                <w:sz w:val="16"/>
                <w:szCs w:val="16"/>
              </w:rPr>
              <w:t>159,9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39178" w14:textId="77777777" w:rsidR="008811AB" w:rsidRPr="00E14102" w:rsidRDefault="008811AB" w:rsidP="00E14102">
            <w:pPr>
              <w:jc w:val="both"/>
              <w:rPr>
                <w:color w:val="000000" w:themeColor="text1"/>
                <w:sz w:val="16"/>
                <w:szCs w:val="16"/>
              </w:rPr>
            </w:pPr>
            <w:r w:rsidRPr="00E14102">
              <w:rPr>
                <w:color w:val="000000" w:themeColor="text1"/>
                <w:sz w:val="16"/>
                <w:szCs w:val="16"/>
              </w:rPr>
              <w:t>104,6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06D88" w14:textId="77777777" w:rsidR="008811AB" w:rsidRPr="00E14102" w:rsidRDefault="008811AB" w:rsidP="00E14102">
            <w:pPr>
              <w:jc w:val="both"/>
              <w:rPr>
                <w:color w:val="000000" w:themeColor="text1"/>
                <w:sz w:val="16"/>
                <w:szCs w:val="16"/>
              </w:rPr>
            </w:pPr>
            <w:r w:rsidRPr="00E14102">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6B214" w14:textId="77777777" w:rsidR="008811AB" w:rsidRPr="00E14102" w:rsidRDefault="008811AB" w:rsidP="00E14102">
            <w:pPr>
              <w:jc w:val="both"/>
              <w:rPr>
                <w:color w:val="000000" w:themeColor="text1"/>
                <w:sz w:val="16"/>
                <w:szCs w:val="16"/>
              </w:rPr>
            </w:pPr>
            <w:r w:rsidRPr="00E14102">
              <w:rPr>
                <w:color w:val="000000" w:themeColor="text1"/>
                <w:sz w:val="16"/>
                <w:szCs w:val="16"/>
              </w:rPr>
              <w:t>159,9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A8187" w14:textId="77777777" w:rsidR="008811AB" w:rsidRPr="00E14102" w:rsidRDefault="008811AB" w:rsidP="00E14102">
            <w:pPr>
              <w:jc w:val="both"/>
              <w:rPr>
                <w:color w:val="000000" w:themeColor="text1"/>
                <w:sz w:val="16"/>
                <w:szCs w:val="16"/>
              </w:rPr>
            </w:pPr>
            <w:r w:rsidRPr="00E14102">
              <w:rPr>
                <w:color w:val="000000" w:themeColor="text1"/>
                <w:sz w:val="16"/>
                <w:szCs w:val="16"/>
              </w:rPr>
              <w:t>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81733" w14:textId="77777777" w:rsidR="008811AB" w:rsidRPr="00E14102" w:rsidRDefault="008811AB" w:rsidP="00E14102">
            <w:pPr>
              <w:jc w:val="both"/>
              <w:rPr>
                <w:color w:val="000000" w:themeColor="text1"/>
                <w:sz w:val="16"/>
                <w:szCs w:val="16"/>
              </w:rPr>
            </w:pPr>
            <w:r w:rsidRPr="00E14102">
              <w:rPr>
                <w:color w:val="000000" w:themeColor="text1"/>
                <w:sz w:val="16"/>
                <w:szCs w:val="16"/>
              </w:rPr>
              <w:t>143,3</w:t>
            </w:r>
          </w:p>
        </w:tc>
      </w:tr>
      <w:tr w:rsidR="00E3599D" w:rsidRPr="00E14102" w14:paraId="081F098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002EBE" w14:textId="77777777" w:rsidR="008811AB" w:rsidRPr="00E14102" w:rsidRDefault="008811AB" w:rsidP="00E14102">
            <w:pPr>
              <w:jc w:val="both"/>
              <w:rPr>
                <w:color w:val="000000" w:themeColor="text1"/>
                <w:sz w:val="16"/>
                <w:szCs w:val="16"/>
              </w:rPr>
            </w:pPr>
            <w:r w:rsidRPr="00E14102">
              <w:rPr>
                <w:color w:val="000000" w:themeColor="text1"/>
                <w:sz w:val="16"/>
                <w:szCs w:val="16"/>
              </w:rPr>
              <w:t>б)оборудование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DF3E2" w14:textId="77777777" w:rsidR="008811AB" w:rsidRPr="00E14102" w:rsidRDefault="008811AB" w:rsidP="00E14102">
            <w:pPr>
              <w:jc w:val="both"/>
              <w:rPr>
                <w:color w:val="000000" w:themeColor="text1"/>
                <w:sz w:val="16"/>
                <w:szCs w:val="16"/>
              </w:rPr>
            </w:pPr>
            <w:r w:rsidRPr="00E14102">
              <w:rPr>
                <w:color w:val="000000" w:themeColor="text1"/>
                <w:sz w:val="16"/>
                <w:szCs w:val="16"/>
              </w:rPr>
              <w:t>20 091,7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FC2B" w14:textId="77777777" w:rsidR="008811AB" w:rsidRPr="00E14102" w:rsidRDefault="008811AB" w:rsidP="00E14102">
            <w:pPr>
              <w:jc w:val="both"/>
              <w:rPr>
                <w:color w:val="000000" w:themeColor="text1"/>
                <w:sz w:val="16"/>
                <w:szCs w:val="16"/>
              </w:rPr>
            </w:pPr>
            <w:r w:rsidRPr="00E14102">
              <w:rPr>
                <w:color w:val="000000" w:themeColor="text1"/>
                <w:sz w:val="16"/>
                <w:szCs w:val="16"/>
              </w:rPr>
              <w:t>32 113,1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3DA01" w14:textId="77777777" w:rsidR="008811AB" w:rsidRPr="00E14102" w:rsidRDefault="008811AB" w:rsidP="00E14102">
            <w:pPr>
              <w:jc w:val="both"/>
              <w:rPr>
                <w:color w:val="000000" w:themeColor="text1"/>
                <w:sz w:val="16"/>
                <w:szCs w:val="16"/>
              </w:rPr>
            </w:pPr>
            <w:r w:rsidRPr="00E14102">
              <w:rPr>
                <w:color w:val="000000" w:themeColor="text1"/>
                <w:sz w:val="16"/>
                <w:szCs w:val="16"/>
              </w:rPr>
              <w:t>23 066,7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F5725" w14:textId="77777777" w:rsidR="008811AB" w:rsidRPr="00E14102" w:rsidRDefault="008811AB" w:rsidP="00E14102">
            <w:pPr>
              <w:jc w:val="both"/>
              <w:rPr>
                <w:color w:val="000000" w:themeColor="text1"/>
                <w:sz w:val="16"/>
                <w:szCs w:val="16"/>
              </w:rPr>
            </w:pPr>
            <w:r w:rsidRPr="00E14102">
              <w:rPr>
                <w:color w:val="000000" w:themeColor="text1"/>
                <w:sz w:val="16"/>
                <w:szCs w:val="16"/>
              </w:rPr>
              <w:t>23 341,0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EE6CD" w14:textId="77777777" w:rsidR="008811AB" w:rsidRPr="00E14102" w:rsidRDefault="008811AB" w:rsidP="00E14102">
            <w:pPr>
              <w:jc w:val="both"/>
              <w:rPr>
                <w:color w:val="000000" w:themeColor="text1"/>
                <w:sz w:val="16"/>
                <w:szCs w:val="16"/>
              </w:rPr>
            </w:pPr>
            <w:r w:rsidRPr="00E14102">
              <w:rPr>
                <w:color w:val="000000" w:themeColor="text1"/>
                <w:sz w:val="16"/>
                <w:szCs w:val="16"/>
              </w:rPr>
              <w:t>159,8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947CD" w14:textId="77777777" w:rsidR="008811AB" w:rsidRPr="00E14102" w:rsidRDefault="008811AB" w:rsidP="00E14102">
            <w:pPr>
              <w:jc w:val="both"/>
              <w:rPr>
                <w:color w:val="000000" w:themeColor="text1"/>
                <w:sz w:val="16"/>
                <w:szCs w:val="16"/>
              </w:rPr>
            </w:pPr>
            <w:r w:rsidRPr="00E14102">
              <w:rPr>
                <w:color w:val="000000" w:themeColor="text1"/>
                <w:sz w:val="16"/>
                <w:szCs w:val="16"/>
              </w:rPr>
              <w:t>114,8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44ABC" w14:textId="77777777" w:rsidR="008811AB" w:rsidRPr="00E14102" w:rsidRDefault="008811AB" w:rsidP="00E14102">
            <w:pPr>
              <w:jc w:val="both"/>
              <w:rPr>
                <w:color w:val="000000" w:themeColor="text1"/>
                <w:sz w:val="16"/>
                <w:szCs w:val="16"/>
              </w:rPr>
            </w:pPr>
            <w:r w:rsidRPr="00E14102">
              <w:rPr>
                <w:color w:val="000000" w:themeColor="text1"/>
                <w:sz w:val="16"/>
                <w:szCs w:val="16"/>
              </w:rPr>
              <w:t>116,2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3B7CF" w14:textId="77777777" w:rsidR="008811AB" w:rsidRPr="00E14102" w:rsidRDefault="008811AB" w:rsidP="00E14102">
            <w:pPr>
              <w:jc w:val="both"/>
              <w:rPr>
                <w:color w:val="000000" w:themeColor="text1"/>
                <w:sz w:val="16"/>
                <w:szCs w:val="16"/>
              </w:rPr>
            </w:pPr>
            <w:r w:rsidRPr="00E14102">
              <w:rPr>
                <w:color w:val="000000" w:themeColor="text1"/>
                <w:sz w:val="16"/>
                <w:szCs w:val="16"/>
              </w:rPr>
              <w:t>159,8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F4BCE" w14:textId="77777777" w:rsidR="008811AB" w:rsidRPr="00E14102" w:rsidRDefault="008811AB" w:rsidP="00E14102">
            <w:pPr>
              <w:jc w:val="both"/>
              <w:rPr>
                <w:color w:val="000000" w:themeColor="text1"/>
                <w:sz w:val="16"/>
                <w:szCs w:val="16"/>
              </w:rPr>
            </w:pPr>
            <w:r w:rsidRPr="00E14102">
              <w:rPr>
                <w:color w:val="000000" w:themeColor="text1"/>
                <w:sz w:val="16"/>
                <w:szCs w:val="16"/>
              </w:rPr>
              <w:t>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BDBE1" w14:textId="77777777" w:rsidR="008811AB" w:rsidRPr="00E14102" w:rsidRDefault="008811AB" w:rsidP="00E14102">
            <w:pPr>
              <w:jc w:val="both"/>
              <w:rPr>
                <w:color w:val="000000" w:themeColor="text1"/>
                <w:sz w:val="16"/>
                <w:szCs w:val="16"/>
              </w:rPr>
            </w:pPr>
            <w:r w:rsidRPr="00E14102">
              <w:rPr>
                <w:color w:val="000000" w:themeColor="text1"/>
                <w:sz w:val="16"/>
                <w:szCs w:val="16"/>
              </w:rPr>
              <w:t>101,2</w:t>
            </w:r>
          </w:p>
        </w:tc>
      </w:tr>
      <w:tr w:rsidR="00E3599D" w:rsidRPr="00E14102" w14:paraId="4AFD0B3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BC4746" w14:textId="77777777" w:rsidR="008811AB" w:rsidRPr="00E14102" w:rsidRDefault="008811AB" w:rsidP="00E14102">
            <w:pPr>
              <w:jc w:val="both"/>
              <w:rPr>
                <w:color w:val="000000" w:themeColor="text1"/>
                <w:sz w:val="16"/>
                <w:szCs w:val="16"/>
              </w:rPr>
            </w:pPr>
            <w:r w:rsidRPr="00E14102">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6FEC1" w14:textId="77777777" w:rsidR="008811AB" w:rsidRPr="00E14102" w:rsidRDefault="008811AB" w:rsidP="00E14102">
            <w:pPr>
              <w:jc w:val="both"/>
              <w:rPr>
                <w:color w:val="000000" w:themeColor="text1"/>
                <w:sz w:val="16"/>
                <w:szCs w:val="16"/>
              </w:rPr>
            </w:pPr>
            <w:r w:rsidRPr="00E14102">
              <w:rPr>
                <w:color w:val="000000" w:themeColor="text1"/>
                <w:sz w:val="16"/>
                <w:szCs w:val="16"/>
              </w:rPr>
              <w:t>4430,7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8000A" w14:textId="77777777" w:rsidR="008811AB" w:rsidRPr="00E14102" w:rsidRDefault="008811AB" w:rsidP="00E14102">
            <w:pPr>
              <w:jc w:val="both"/>
              <w:rPr>
                <w:color w:val="000000" w:themeColor="text1"/>
                <w:sz w:val="16"/>
                <w:szCs w:val="16"/>
              </w:rPr>
            </w:pPr>
            <w:r w:rsidRPr="00E14102">
              <w:rPr>
                <w:color w:val="000000" w:themeColor="text1"/>
                <w:sz w:val="16"/>
                <w:szCs w:val="16"/>
              </w:rPr>
              <w:t>7122,7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655E1" w14:textId="77777777" w:rsidR="008811AB" w:rsidRPr="00E14102" w:rsidRDefault="008811AB" w:rsidP="00E14102">
            <w:pPr>
              <w:jc w:val="both"/>
              <w:rPr>
                <w:color w:val="000000" w:themeColor="text1"/>
                <w:sz w:val="16"/>
                <w:szCs w:val="16"/>
              </w:rPr>
            </w:pPr>
            <w:r w:rsidRPr="00E14102">
              <w:rPr>
                <w:color w:val="000000" w:themeColor="text1"/>
                <w:sz w:val="16"/>
                <w:szCs w:val="16"/>
              </w:rPr>
              <w:t>4238,3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94ED6" w14:textId="77777777" w:rsidR="008811AB" w:rsidRPr="00E14102" w:rsidRDefault="008811AB" w:rsidP="00E14102">
            <w:pPr>
              <w:jc w:val="both"/>
              <w:rPr>
                <w:color w:val="000000" w:themeColor="text1"/>
                <w:sz w:val="16"/>
                <w:szCs w:val="16"/>
              </w:rPr>
            </w:pPr>
            <w:r w:rsidRPr="00E14102">
              <w:rPr>
                <w:color w:val="000000" w:themeColor="text1"/>
                <w:sz w:val="16"/>
                <w:szCs w:val="16"/>
              </w:rPr>
              <w:t>4158,1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24721" w14:textId="77777777" w:rsidR="008811AB" w:rsidRPr="00E14102" w:rsidRDefault="008811AB" w:rsidP="00E14102">
            <w:pPr>
              <w:jc w:val="both"/>
              <w:rPr>
                <w:color w:val="000000" w:themeColor="text1"/>
                <w:sz w:val="16"/>
                <w:szCs w:val="16"/>
              </w:rPr>
            </w:pPr>
            <w:r w:rsidRPr="00E14102">
              <w:rPr>
                <w:color w:val="000000" w:themeColor="text1"/>
                <w:sz w:val="16"/>
                <w:szCs w:val="16"/>
              </w:rPr>
              <w:t>160,8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F793B" w14:textId="77777777" w:rsidR="008811AB" w:rsidRPr="00E14102" w:rsidRDefault="008811AB" w:rsidP="00E14102">
            <w:pPr>
              <w:jc w:val="both"/>
              <w:rPr>
                <w:color w:val="000000" w:themeColor="text1"/>
                <w:sz w:val="16"/>
                <w:szCs w:val="16"/>
              </w:rPr>
            </w:pPr>
            <w:r w:rsidRPr="00E14102">
              <w:rPr>
                <w:color w:val="000000" w:themeColor="text1"/>
                <w:sz w:val="16"/>
                <w:szCs w:val="16"/>
              </w:rPr>
              <w:t>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AA7C6" w14:textId="77777777" w:rsidR="008811AB" w:rsidRPr="00E14102" w:rsidRDefault="008811AB" w:rsidP="00E14102">
            <w:pPr>
              <w:jc w:val="both"/>
              <w:rPr>
                <w:color w:val="000000" w:themeColor="text1"/>
                <w:sz w:val="16"/>
                <w:szCs w:val="16"/>
              </w:rPr>
            </w:pPr>
            <w:r w:rsidRPr="00E14102">
              <w:rPr>
                <w:color w:val="000000" w:themeColor="text1"/>
                <w:sz w:val="16"/>
                <w:szCs w:val="16"/>
              </w:rPr>
              <w:t>93,8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31A84" w14:textId="77777777" w:rsidR="008811AB" w:rsidRPr="00E14102" w:rsidRDefault="008811AB" w:rsidP="00E14102">
            <w:pPr>
              <w:jc w:val="both"/>
              <w:rPr>
                <w:color w:val="000000" w:themeColor="text1"/>
                <w:sz w:val="16"/>
                <w:szCs w:val="16"/>
              </w:rPr>
            </w:pPr>
            <w:r w:rsidRPr="00E14102">
              <w:rPr>
                <w:color w:val="000000" w:themeColor="text1"/>
                <w:sz w:val="16"/>
                <w:szCs w:val="16"/>
              </w:rPr>
              <w:t>160,8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D0DA6" w14:textId="77777777" w:rsidR="008811AB" w:rsidRPr="00E14102" w:rsidRDefault="008811AB" w:rsidP="00E14102">
            <w:pPr>
              <w:jc w:val="both"/>
              <w:rPr>
                <w:color w:val="000000" w:themeColor="text1"/>
                <w:sz w:val="16"/>
                <w:szCs w:val="16"/>
              </w:rPr>
            </w:pPr>
            <w:r w:rsidRPr="00E14102">
              <w:rPr>
                <w:color w:val="000000" w:themeColor="text1"/>
                <w:sz w:val="16"/>
                <w:szCs w:val="16"/>
              </w:rPr>
              <w:t>59,5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16F05" w14:textId="77777777" w:rsidR="008811AB" w:rsidRPr="00E14102" w:rsidRDefault="008811AB" w:rsidP="00E14102">
            <w:pPr>
              <w:jc w:val="both"/>
              <w:rPr>
                <w:color w:val="000000" w:themeColor="text1"/>
                <w:sz w:val="16"/>
                <w:szCs w:val="16"/>
              </w:rPr>
            </w:pPr>
            <w:r w:rsidRPr="00E14102">
              <w:rPr>
                <w:color w:val="000000" w:themeColor="text1"/>
                <w:sz w:val="16"/>
                <w:szCs w:val="16"/>
              </w:rPr>
              <w:t>98,1</w:t>
            </w:r>
          </w:p>
        </w:tc>
      </w:tr>
      <w:tr w:rsidR="00E3599D" w:rsidRPr="00E14102" w14:paraId="7AAD7E6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A48603" w14:textId="77777777" w:rsidR="008811AB" w:rsidRPr="00E14102" w:rsidRDefault="008811AB" w:rsidP="00E14102">
            <w:pPr>
              <w:jc w:val="both"/>
              <w:rPr>
                <w:color w:val="000000" w:themeColor="text1"/>
                <w:sz w:val="16"/>
                <w:szCs w:val="16"/>
              </w:rPr>
            </w:pPr>
            <w:r w:rsidRPr="00E14102">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6080B" w14:textId="77777777" w:rsidR="008811AB" w:rsidRPr="00E14102" w:rsidRDefault="008811AB" w:rsidP="00E14102">
            <w:pPr>
              <w:jc w:val="both"/>
              <w:rPr>
                <w:color w:val="000000" w:themeColor="text1"/>
                <w:sz w:val="16"/>
                <w:szCs w:val="16"/>
              </w:rPr>
            </w:pPr>
            <w:r w:rsidRPr="00E14102">
              <w:rPr>
                <w:color w:val="000000" w:themeColor="text1"/>
                <w:sz w:val="16"/>
                <w:szCs w:val="16"/>
              </w:rPr>
              <w:t>2435,2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F5781" w14:textId="77777777" w:rsidR="008811AB" w:rsidRPr="00E14102" w:rsidRDefault="008811AB" w:rsidP="00E14102">
            <w:pPr>
              <w:jc w:val="both"/>
              <w:rPr>
                <w:color w:val="000000" w:themeColor="text1"/>
                <w:sz w:val="16"/>
                <w:szCs w:val="16"/>
              </w:rPr>
            </w:pPr>
            <w:r w:rsidRPr="00E14102">
              <w:rPr>
                <w:color w:val="000000" w:themeColor="text1"/>
                <w:sz w:val="16"/>
                <w:szCs w:val="16"/>
              </w:rPr>
              <w:t>2106,6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CAA9B" w14:textId="77777777" w:rsidR="008811AB" w:rsidRPr="00E14102" w:rsidRDefault="008811AB" w:rsidP="00E14102">
            <w:pPr>
              <w:jc w:val="both"/>
              <w:rPr>
                <w:color w:val="000000" w:themeColor="text1"/>
                <w:sz w:val="16"/>
                <w:szCs w:val="16"/>
              </w:rPr>
            </w:pPr>
            <w:r w:rsidRPr="00E14102">
              <w:rPr>
                <w:color w:val="000000" w:themeColor="text1"/>
                <w:sz w:val="16"/>
                <w:szCs w:val="16"/>
              </w:rPr>
              <w:t>1873,6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9E5BB" w14:textId="77777777" w:rsidR="008811AB" w:rsidRPr="00E14102" w:rsidRDefault="008811AB" w:rsidP="00E14102">
            <w:pPr>
              <w:jc w:val="both"/>
              <w:rPr>
                <w:color w:val="000000" w:themeColor="text1"/>
                <w:sz w:val="16"/>
                <w:szCs w:val="16"/>
              </w:rPr>
            </w:pPr>
            <w:r w:rsidRPr="00E14102">
              <w:rPr>
                <w:color w:val="000000" w:themeColor="text1"/>
                <w:sz w:val="16"/>
                <w:szCs w:val="16"/>
              </w:rPr>
              <w:t>2248,2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2694" w14:textId="77777777" w:rsidR="008811AB" w:rsidRPr="00E14102" w:rsidRDefault="008811AB" w:rsidP="00E14102">
            <w:pPr>
              <w:jc w:val="both"/>
              <w:rPr>
                <w:color w:val="000000" w:themeColor="text1"/>
                <w:sz w:val="16"/>
                <w:szCs w:val="16"/>
              </w:rPr>
            </w:pPr>
            <w:r w:rsidRPr="00E14102">
              <w:rPr>
                <w:color w:val="000000" w:themeColor="text1"/>
                <w:sz w:val="16"/>
                <w:szCs w:val="16"/>
              </w:rPr>
              <w:t>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7C81E" w14:textId="77777777" w:rsidR="008811AB" w:rsidRPr="00E14102" w:rsidRDefault="008811AB" w:rsidP="00E14102">
            <w:pPr>
              <w:jc w:val="both"/>
              <w:rPr>
                <w:color w:val="000000" w:themeColor="text1"/>
                <w:sz w:val="16"/>
                <w:szCs w:val="16"/>
              </w:rPr>
            </w:pPr>
            <w:r w:rsidRPr="00E14102">
              <w:rPr>
                <w:color w:val="000000" w:themeColor="text1"/>
                <w:sz w:val="16"/>
                <w:szCs w:val="16"/>
              </w:rPr>
              <w:t>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50442" w14:textId="77777777" w:rsidR="008811AB" w:rsidRPr="00E14102" w:rsidRDefault="008811AB" w:rsidP="00E14102">
            <w:pPr>
              <w:jc w:val="both"/>
              <w:rPr>
                <w:color w:val="000000" w:themeColor="text1"/>
                <w:sz w:val="16"/>
                <w:szCs w:val="16"/>
              </w:rPr>
            </w:pPr>
            <w:r w:rsidRPr="00E14102">
              <w:rPr>
                <w:color w:val="000000" w:themeColor="text1"/>
                <w:sz w:val="16"/>
                <w:szCs w:val="16"/>
              </w:rPr>
              <w:t>92,3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13E41" w14:textId="77777777" w:rsidR="008811AB" w:rsidRPr="00E14102" w:rsidRDefault="008811AB" w:rsidP="00E14102">
            <w:pPr>
              <w:jc w:val="both"/>
              <w:rPr>
                <w:color w:val="000000" w:themeColor="text1"/>
                <w:sz w:val="16"/>
                <w:szCs w:val="16"/>
              </w:rPr>
            </w:pPr>
            <w:r w:rsidRPr="00E14102">
              <w:rPr>
                <w:color w:val="000000" w:themeColor="text1"/>
                <w:sz w:val="16"/>
                <w:szCs w:val="16"/>
              </w:rPr>
              <w:t>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E1B20" w14:textId="77777777" w:rsidR="008811AB" w:rsidRPr="00E14102" w:rsidRDefault="008811AB" w:rsidP="00E14102">
            <w:pPr>
              <w:jc w:val="both"/>
              <w:rPr>
                <w:color w:val="000000" w:themeColor="text1"/>
                <w:sz w:val="16"/>
                <w:szCs w:val="16"/>
              </w:rPr>
            </w:pPr>
            <w:r w:rsidRPr="00E14102">
              <w:rPr>
                <w:color w:val="000000" w:themeColor="text1"/>
                <w:sz w:val="16"/>
                <w:szCs w:val="16"/>
              </w:rPr>
              <w:t>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3A0D1" w14:textId="77777777" w:rsidR="008811AB" w:rsidRPr="00E14102" w:rsidRDefault="008811AB" w:rsidP="00E14102">
            <w:pPr>
              <w:jc w:val="both"/>
              <w:rPr>
                <w:color w:val="000000" w:themeColor="text1"/>
                <w:sz w:val="16"/>
                <w:szCs w:val="16"/>
              </w:rPr>
            </w:pPr>
            <w:r w:rsidRPr="00E14102">
              <w:rPr>
                <w:color w:val="000000" w:themeColor="text1"/>
                <w:sz w:val="16"/>
                <w:szCs w:val="16"/>
              </w:rPr>
              <w:t>120,0</w:t>
            </w:r>
          </w:p>
        </w:tc>
      </w:tr>
      <w:tr w:rsidR="00E3599D" w:rsidRPr="00E14102" w14:paraId="0448E09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D79886" w14:textId="77777777" w:rsidR="008811AB" w:rsidRPr="00E14102" w:rsidRDefault="008811AB" w:rsidP="00E14102">
            <w:pPr>
              <w:jc w:val="both"/>
              <w:rPr>
                <w:color w:val="000000" w:themeColor="text1"/>
                <w:sz w:val="16"/>
                <w:szCs w:val="16"/>
              </w:rPr>
            </w:pPr>
            <w:r w:rsidRPr="00E14102">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33BCD" w14:textId="77777777" w:rsidR="008811AB" w:rsidRPr="00E14102" w:rsidRDefault="008811AB" w:rsidP="00E14102">
            <w:pPr>
              <w:jc w:val="both"/>
              <w:rPr>
                <w:color w:val="000000" w:themeColor="text1"/>
                <w:sz w:val="16"/>
                <w:szCs w:val="16"/>
              </w:rPr>
            </w:pPr>
            <w:r w:rsidRPr="00E14102">
              <w:rPr>
                <w:color w:val="000000" w:themeColor="text1"/>
                <w:sz w:val="16"/>
                <w:szCs w:val="16"/>
              </w:rPr>
              <w:t>287,7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9E955" w14:textId="77777777" w:rsidR="008811AB" w:rsidRPr="00E14102" w:rsidRDefault="008811AB" w:rsidP="00E14102">
            <w:pPr>
              <w:jc w:val="both"/>
              <w:rPr>
                <w:color w:val="000000" w:themeColor="text1"/>
                <w:sz w:val="16"/>
                <w:szCs w:val="16"/>
              </w:rPr>
            </w:pPr>
            <w:r w:rsidRPr="00E14102">
              <w:rPr>
                <w:color w:val="000000" w:themeColor="text1"/>
                <w:sz w:val="16"/>
                <w:szCs w:val="16"/>
              </w:rPr>
              <w:t>487,7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9551F" w14:textId="77777777" w:rsidR="008811AB" w:rsidRPr="00E14102" w:rsidRDefault="008811AB" w:rsidP="00E14102">
            <w:pPr>
              <w:jc w:val="both"/>
              <w:rPr>
                <w:color w:val="000000" w:themeColor="text1"/>
                <w:sz w:val="16"/>
                <w:szCs w:val="16"/>
              </w:rPr>
            </w:pPr>
            <w:r w:rsidRPr="00E14102">
              <w:rPr>
                <w:color w:val="000000" w:themeColor="text1"/>
                <w:sz w:val="16"/>
                <w:szCs w:val="16"/>
              </w:rPr>
              <w:t>617,2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347AD" w14:textId="77777777" w:rsidR="008811AB" w:rsidRPr="00E14102" w:rsidRDefault="008811AB" w:rsidP="00E14102">
            <w:pPr>
              <w:jc w:val="both"/>
              <w:rPr>
                <w:color w:val="000000" w:themeColor="text1"/>
                <w:sz w:val="16"/>
                <w:szCs w:val="16"/>
              </w:rPr>
            </w:pPr>
            <w:r w:rsidRPr="00E14102">
              <w:rPr>
                <w:color w:val="000000" w:themeColor="text1"/>
                <w:sz w:val="16"/>
                <w:szCs w:val="16"/>
              </w:rPr>
              <w:t>904,1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18147" w14:textId="77777777" w:rsidR="008811AB" w:rsidRPr="00E14102" w:rsidRDefault="008811AB" w:rsidP="00E14102">
            <w:pPr>
              <w:jc w:val="both"/>
              <w:rPr>
                <w:color w:val="000000" w:themeColor="text1"/>
                <w:sz w:val="16"/>
                <w:szCs w:val="16"/>
              </w:rPr>
            </w:pPr>
            <w:r w:rsidRPr="00E14102">
              <w:rPr>
                <w:color w:val="000000" w:themeColor="text1"/>
                <w:sz w:val="16"/>
                <w:szCs w:val="16"/>
              </w:rPr>
              <w:t>169,5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95AEF" w14:textId="77777777" w:rsidR="008811AB" w:rsidRPr="00E14102" w:rsidRDefault="008811AB" w:rsidP="00E14102">
            <w:pPr>
              <w:jc w:val="both"/>
              <w:rPr>
                <w:color w:val="000000" w:themeColor="text1"/>
                <w:sz w:val="16"/>
                <w:szCs w:val="16"/>
              </w:rPr>
            </w:pPr>
            <w:r w:rsidRPr="00E14102">
              <w:rPr>
                <w:color w:val="000000" w:themeColor="text1"/>
                <w:sz w:val="16"/>
                <w:szCs w:val="16"/>
              </w:rPr>
              <w:t>214,5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24A02" w14:textId="77777777" w:rsidR="008811AB" w:rsidRPr="00E14102" w:rsidRDefault="008811AB" w:rsidP="00E14102">
            <w:pPr>
              <w:jc w:val="both"/>
              <w:rPr>
                <w:color w:val="000000" w:themeColor="text1"/>
                <w:sz w:val="16"/>
                <w:szCs w:val="16"/>
              </w:rPr>
            </w:pPr>
            <w:r w:rsidRPr="00E14102">
              <w:rPr>
                <w:color w:val="000000" w:themeColor="text1"/>
                <w:sz w:val="16"/>
                <w:szCs w:val="16"/>
              </w:rPr>
              <w:t>314,3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DF7A2" w14:textId="77777777" w:rsidR="008811AB" w:rsidRPr="00E14102" w:rsidRDefault="008811AB" w:rsidP="00E14102">
            <w:pPr>
              <w:jc w:val="both"/>
              <w:rPr>
                <w:color w:val="000000" w:themeColor="text1"/>
                <w:sz w:val="16"/>
                <w:szCs w:val="16"/>
              </w:rPr>
            </w:pPr>
            <w:r w:rsidRPr="00E14102">
              <w:rPr>
                <w:color w:val="000000" w:themeColor="text1"/>
                <w:sz w:val="16"/>
                <w:szCs w:val="16"/>
              </w:rPr>
              <w:t>169,5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1D193" w14:textId="77777777" w:rsidR="008811AB" w:rsidRPr="00E14102" w:rsidRDefault="008811AB" w:rsidP="00E14102">
            <w:pPr>
              <w:jc w:val="both"/>
              <w:rPr>
                <w:color w:val="000000" w:themeColor="text1"/>
                <w:sz w:val="16"/>
                <w:szCs w:val="16"/>
              </w:rPr>
            </w:pPr>
            <w:r w:rsidRPr="00E14102">
              <w:rPr>
                <w:color w:val="000000" w:themeColor="text1"/>
                <w:sz w:val="16"/>
                <w:szCs w:val="16"/>
              </w:rPr>
              <w:t>126,6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1D86F" w14:textId="77777777" w:rsidR="008811AB" w:rsidRPr="00E14102" w:rsidRDefault="008811AB" w:rsidP="00E14102">
            <w:pPr>
              <w:jc w:val="both"/>
              <w:rPr>
                <w:color w:val="000000" w:themeColor="text1"/>
                <w:sz w:val="16"/>
                <w:szCs w:val="16"/>
              </w:rPr>
            </w:pPr>
            <w:r w:rsidRPr="00E14102">
              <w:rPr>
                <w:color w:val="000000" w:themeColor="text1"/>
                <w:sz w:val="16"/>
                <w:szCs w:val="16"/>
              </w:rPr>
              <w:t>146,5</w:t>
            </w:r>
          </w:p>
        </w:tc>
      </w:tr>
      <w:tr w:rsidR="00E3599D" w:rsidRPr="00E14102" w14:paraId="26CB8E8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DD82AE" w14:textId="77777777" w:rsidR="008811AB" w:rsidRPr="00E14102" w:rsidRDefault="008811AB" w:rsidP="00E14102">
            <w:pPr>
              <w:jc w:val="both"/>
              <w:rPr>
                <w:color w:val="000000" w:themeColor="text1"/>
                <w:sz w:val="16"/>
                <w:szCs w:val="16"/>
              </w:rPr>
            </w:pPr>
            <w:r w:rsidRPr="00E14102">
              <w:rPr>
                <w:color w:val="000000" w:themeColor="text1"/>
                <w:sz w:val="16"/>
                <w:szCs w:val="16"/>
              </w:rPr>
              <w:t>4)Капитальный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B4E64" w14:textId="77777777" w:rsidR="008811AB" w:rsidRPr="00E14102" w:rsidRDefault="008811AB" w:rsidP="00E14102">
            <w:pPr>
              <w:jc w:val="both"/>
              <w:rPr>
                <w:color w:val="000000" w:themeColor="text1"/>
                <w:sz w:val="16"/>
                <w:szCs w:val="16"/>
              </w:rPr>
            </w:pPr>
            <w:r w:rsidRPr="00E14102">
              <w:rPr>
                <w:color w:val="000000" w:themeColor="text1"/>
                <w:sz w:val="16"/>
                <w:szCs w:val="16"/>
              </w:rPr>
              <w:t>2278,8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B0B80" w14:textId="77777777" w:rsidR="008811AB" w:rsidRPr="00E14102" w:rsidRDefault="008811AB" w:rsidP="00E14102">
            <w:pPr>
              <w:jc w:val="both"/>
              <w:rPr>
                <w:color w:val="000000" w:themeColor="text1"/>
                <w:sz w:val="16"/>
                <w:szCs w:val="16"/>
              </w:rPr>
            </w:pPr>
            <w:r w:rsidRPr="00E14102">
              <w:rPr>
                <w:color w:val="000000" w:themeColor="text1"/>
                <w:sz w:val="16"/>
                <w:szCs w:val="16"/>
              </w:rPr>
              <w:t>3987,2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4F7AE" w14:textId="77777777" w:rsidR="008811AB" w:rsidRPr="00E14102" w:rsidRDefault="008811AB" w:rsidP="00E14102">
            <w:pPr>
              <w:jc w:val="both"/>
              <w:rPr>
                <w:color w:val="000000" w:themeColor="text1"/>
                <w:sz w:val="16"/>
                <w:szCs w:val="16"/>
              </w:rPr>
            </w:pPr>
            <w:r w:rsidRPr="00E14102">
              <w:rPr>
                <w:color w:val="000000" w:themeColor="text1"/>
                <w:sz w:val="16"/>
                <w:szCs w:val="16"/>
              </w:rPr>
              <w:t>4555,6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EA14F" w14:textId="77777777" w:rsidR="008811AB" w:rsidRPr="00E14102" w:rsidRDefault="008811AB" w:rsidP="00E14102">
            <w:pPr>
              <w:jc w:val="both"/>
              <w:rPr>
                <w:color w:val="000000" w:themeColor="text1"/>
                <w:sz w:val="16"/>
                <w:szCs w:val="16"/>
              </w:rPr>
            </w:pPr>
            <w:r w:rsidRPr="00E14102">
              <w:rPr>
                <w:color w:val="000000" w:themeColor="text1"/>
                <w:sz w:val="16"/>
                <w:szCs w:val="16"/>
              </w:rPr>
              <w:t>5781,1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F1809" w14:textId="77777777" w:rsidR="008811AB" w:rsidRPr="00E14102" w:rsidRDefault="008811AB" w:rsidP="00E14102">
            <w:pPr>
              <w:jc w:val="both"/>
              <w:rPr>
                <w:color w:val="000000" w:themeColor="text1"/>
                <w:sz w:val="16"/>
                <w:szCs w:val="16"/>
              </w:rPr>
            </w:pPr>
            <w:r w:rsidRPr="00E14102">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9DDEB" w14:textId="77777777" w:rsidR="008811AB" w:rsidRPr="00E14102" w:rsidRDefault="008811AB" w:rsidP="00E14102">
            <w:pPr>
              <w:jc w:val="both"/>
              <w:rPr>
                <w:color w:val="000000" w:themeColor="text1"/>
                <w:sz w:val="16"/>
                <w:szCs w:val="16"/>
              </w:rPr>
            </w:pPr>
            <w:r w:rsidRPr="00E14102">
              <w:rPr>
                <w:color w:val="000000" w:themeColor="text1"/>
                <w:sz w:val="16"/>
                <w:szCs w:val="16"/>
              </w:rPr>
              <w:t>199,9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3799B" w14:textId="77777777" w:rsidR="008811AB" w:rsidRPr="00E14102" w:rsidRDefault="008811AB" w:rsidP="00E14102">
            <w:pPr>
              <w:jc w:val="both"/>
              <w:rPr>
                <w:color w:val="000000" w:themeColor="text1"/>
                <w:sz w:val="16"/>
                <w:szCs w:val="16"/>
              </w:rPr>
            </w:pPr>
            <w:r w:rsidRPr="00E14102">
              <w:rPr>
                <w:color w:val="000000" w:themeColor="text1"/>
                <w:sz w:val="16"/>
                <w:szCs w:val="16"/>
              </w:rPr>
              <w:t>253,6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D053F" w14:textId="77777777" w:rsidR="008811AB" w:rsidRPr="00E14102" w:rsidRDefault="008811AB" w:rsidP="00E14102">
            <w:pPr>
              <w:jc w:val="both"/>
              <w:rPr>
                <w:color w:val="000000" w:themeColor="text1"/>
                <w:sz w:val="16"/>
                <w:szCs w:val="16"/>
              </w:rPr>
            </w:pPr>
            <w:r w:rsidRPr="00E14102">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F4F33" w14:textId="77777777" w:rsidR="008811AB" w:rsidRPr="00E14102" w:rsidRDefault="008811AB" w:rsidP="00E14102">
            <w:pPr>
              <w:jc w:val="both"/>
              <w:rPr>
                <w:color w:val="000000" w:themeColor="text1"/>
                <w:sz w:val="16"/>
                <w:szCs w:val="16"/>
              </w:rPr>
            </w:pPr>
            <w:r w:rsidRPr="00E14102">
              <w:rPr>
                <w:color w:val="000000" w:themeColor="text1"/>
                <w:sz w:val="16"/>
                <w:szCs w:val="16"/>
              </w:rPr>
              <w:t>114,3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E478C" w14:textId="77777777" w:rsidR="008811AB" w:rsidRPr="00E14102" w:rsidRDefault="008811AB" w:rsidP="00E14102">
            <w:pPr>
              <w:jc w:val="both"/>
              <w:rPr>
                <w:color w:val="000000" w:themeColor="text1"/>
                <w:sz w:val="16"/>
                <w:szCs w:val="16"/>
              </w:rPr>
            </w:pPr>
            <w:r w:rsidRPr="00E14102">
              <w:rPr>
                <w:color w:val="000000" w:themeColor="text1"/>
                <w:sz w:val="16"/>
                <w:szCs w:val="16"/>
              </w:rPr>
              <w:t>126,9</w:t>
            </w:r>
          </w:p>
        </w:tc>
      </w:tr>
      <w:tr w:rsidR="00E3599D" w:rsidRPr="00E14102" w14:paraId="212C5E75"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6A282550" w14:textId="77777777" w:rsidR="008811AB" w:rsidRPr="00E14102" w:rsidRDefault="008811AB" w:rsidP="00E14102">
            <w:pPr>
              <w:jc w:val="both"/>
              <w:rPr>
                <w:color w:val="000000" w:themeColor="text1"/>
                <w:sz w:val="16"/>
                <w:szCs w:val="16"/>
              </w:rPr>
            </w:pPr>
            <w:r w:rsidRPr="00E14102">
              <w:rPr>
                <w:color w:val="000000" w:themeColor="text1"/>
                <w:sz w:val="16"/>
                <w:szCs w:val="16"/>
              </w:rPr>
              <w:t>ВИВ</w:t>
            </w:r>
          </w:p>
        </w:tc>
      </w:tr>
      <w:tr w:rsidR="00E3599D" w:rsidRPr="00E14102" w14:paraId="4C66E48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3073AA" w14:textId="77777777" w:rsidR="008811AB" w:rsidRPr="00E14102" w:rsidRDefault="008811AB" w:rsidP="00E14102">
            <w:pPr>
              <w:jc w:val="both"/>
              <w:rPr>
                <w:color w:val="000000" w:themeColor="text1"/>
                <w:sz w:val="16"/>
                <w:szCs w:val="16"/>
              </w:rPr>
            </w:pPr>
            <w:r w:rsidRPr="00E14102">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20D55" w14:textId="77777777" w:rsidR="008811AB" w:rsidRPr="00E14102" w:rsidRDefault="008811AB" w:rsidP="00E14102">
            <w:pPr>
              <w:jc w:val="both"/>
              <w:rPr>
                <w:color w:val="000000" w:themeColor="text1"/>
                <w:sz w:val="16"/>
                <w:szCs w:val="16"/>
              </w:rPr>
            </w:pPr>
            <w:r w:rsidRPr="00E14102">
              <w:rPr>
                <w:color w:val="000000" w:themeColor="text1"/>
                <w:sz w:val="16"/>
                <w:szCs w:val="16"/>
              </w:rPr>
              <w:t>79 746,3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66826" w14:textId="77777777" w:rsidR="008811AB" w:rsidRPr="00E14102" w:rsidRDefault="008811AB" w:rsidP="00E14102">
            <w:pPr>
              <w:jc w:val="both"/>
              <w:rPr>
                <w:color w:val="000000" w:themeColor="text1"/>
                <w:sz w:val="16"/>
                <w:szCs w:val="16"/>
              </w:rPr>
            </w:pPr>
            <w:r w:rsidRPr="00E14102">
              <w:rPr>
                <w:color w:val="000000" w:themeColor="text1"/>
                <w:sz w:val="16"/>
                <w:szCs w:val="16"/>
              </w:rPr>
              <w:t>82 402,4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62D5A" w14:textId="77777777" w:rsidR="008811AB" w:rsidRPr="00E14102" w:rsidRDefault="008811AB" w:rsidP="00E14102">
            <w:pPr>
              <w:jc w:val="both"/>
              <w:rPr>
                <w:color w:val="000000" w:themeColor="text1"/>
                <w:sz w:val="16"/>
                <w:szCs w:val="16"/>
              </w:rPr>
            </w:pPr>
            <w:r w:rsidRPr="00E14102">
              <w:rPr>
                <w:color w:val="000000" w:themeColor="text1"/>
                <w:sz w:val="16"/>
                <w:szCs w:val="16"/>
              </w:rPr>
              <w:t>37 616,2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6D4B3" w14:textId="77777777" w:rsidR="008811AB" w:rsidRPr="00E14102" w:rsidRDefault="008811AB" w:rsidP="00E14102">
            <w:pPr>
              <w:jc w:val="both"/>
              <w:rPr>
                <w:color w:val="000000" w:themeColor="text1"/>
                <w:sz w:val="16"/>
                <w:szCs w:val="16"/>
              </w:rPr>
            </w:pPr>
            <w:r w:rsidRPr="00E14102">
              <w:rPr>
                <w:color w:val="000000" w:themeColor="text1"/>
                <w:sz w:val="16"/>
                <w:szCs w:val="16"/>
              </w:rPr>
              <w:t>35 127,8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AAC4D" w14:textId="77777777" w:rsidR="008811AB" w:rsidRPr="00E14102" w:rsidRDefault="008811AB" w:rsidP="00E14102">
            <w:pPr>
              <w:jc w:val="both"/>
              <w:rPr>
                <w:color w:val="000000" w:themeColor="text1"/>
                <w:sz w:val="16"/>
                <w:szCs w:val="16"/>
              </w:rPr>
            </w:pPr>
            <w:r w:rsidRPr="00E14102">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0AE35" w14:textId="77777777" w:rsidR="008811AB" w:rsidRPr="00E14102" w:rsidRDefault="008811AB" w:rsidP="00E14102">
            <w:pPr>
              <w:jc w:val="both"/>
              <w:rPr>
                <w:color w:val="000000" w:themeColor="text1"/>
                <w:sz w:val="16"/>
                <w:szCs w:val="16"/>
              </w:rPr>
            </w:pPr>
            <w:r w:rsidRPr="00E14102">
              <w:rPr>
                <w:color w:val="000000" w:themeColor="text1"/>
                <w:sz w:val="16"/>
                <w:szCs w:val="16"/>
              </w:rPr>
              <w:t>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815D9" w14:textId="77777777" w:rsidR="008811AB" w:rsidRPr="00E14102" w:rsidRDefault="008811AB" w:rsidP="00E14102">
            <w:pPr>
              <w:jc w:val="both"/>
              <w:rPr>
                <w:color w:val="000000" w:themeColor="text1"/>
                <w:sz w:val="16"/>
                <w:szCs w:val="16"/>
              </w:rPr>
            </w:pPr>
            <w:r w:rsidRPr="00E14102">
              <w:rPr>
                <w:color w:val="000000" w:themeColor="text1"/>
                <w:sz w:val="16"/>
                <w:szCs w:val="16"/>
              </w:rPr>
              <w:t>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B0391" w14:textId="77777777" w:rsidR="008811AB" w:rsidRPr="00E14102" w:rsidRDefault="008811AB" w:rsidP="00E14102">
            <w:pPr>
              <w:jc w:val="both"/>
              <w:rPr>
                <w:color w:val="000000" w:themeColor="text1"/>
                <w:sz w:val="16"/>
                <w:szCs w:val="16"/>
              </w:rPr>
            </w:pPr>
            <w:r w:rsidRPr="00E14102">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4B46E" w14:textId="77777777" w:rsidR="008811AB" w:rsidRPr="00E14102" w:rsidRDefault="008811AB" w:rsidP="00E14102">
            <w:pPr>
              <w:jc w:val="both"/>
              <w:rPr>
                <w:color w:val="000000" w:themeColor="text1"/>
                <w:sz w:val="16"/>
                <w:szCs w:val="16"/>
              </w:rPr>
            </w:pPr>
            <w:r w:rsidRPr="00E14102">
              <w:rPr>
                <w:color w:val="000000" w:themeColor="text1"/>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AC93D" w14:textId="77777777" w:rsidR="008811AB" w:rsidRPr="00E14102" w:rsidRDefault="008811AB" w:rsidP="00E14102">
            <w:pPr>
              <w:jc w:val="both"/>
              <w:rPr>
                <w:color w:val="000000" w:themeColor="text1"/>
                <w:sz w:val="16"/>
                <w:szCs w:val="16"/>
              </w:rPr>
            </w:pPr>
            <w:r w:rsidRPr="00E14102">
              <w:rPr>
                <w:color w:val="000000" w:themeColor="text1"/>
                <w:sz w:val="16"/>
                <w:szCs w:val="16"/>
              </w:rPr>
              <w:t>93,4</w:t>
            </w:r>
          </w:p>
        </w:tc>
      </w:tr>
      <w:tr w:rsidR="00E3599D" w:rsidRPr="00E14102" w14:paraId="7C37749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58FD4F" w14:textId="77777777" w:rsidR="008811AB" w:rsidRPr="00E14102" w:rsidRDefault="008811AB" w:rsidP="00E14102">
            <w:pPr>
              <w:jc w:val="both"/>
              <w:rPr>
                <w:color w:val="000000" w:themeColor="text1"/>
                <w:sz w:val="16"/>
                <w:szCs w:val="16"/>
              </w:rPr>
            </w:pPr>
            <w:r w:rsidRPr="00E14102">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A8E60"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4C814"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C5A84"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95D16"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4D462"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480B5"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A4FB6"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0B630"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A0456"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53A39"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r>
      <w:tr w:rsidR="00E3599D" w:rsidRPr="00E14102" w14:paraId="7862A5E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80EDE4" w14:textId="77777777" w:rsidR="008811AB" w:rsidRPr="00E14102" w:rsidRDefault="008811AB" w:rsidP="00E14102">
            <w:pPr>
              <w:jc w:val="both"/>
              <w:rPr>
                <w:color w:val="000000" w:themeColor="text1"/>
                <w:sz w:val="16"/>
                <w:szCs w:val="16"/>
              </w:rPr>
            </w:pPr>
            <w:r w:rsidRPr="00E14102">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33BA3" w14:textId="77777777" w:rsidR="008811AB" w:rsidRPr="00E14102" w:rsidRDefault="008811AB" w:rsidP="00E14102">
            <w:pPr>
              <w:jc w:val="both"/>
              <w:rPr>
                <w:color w:val="000000" w:themeColor="text1"/>
                <w:sz w:val="16"/>
                <w:szCs w:val="16"/>
              </w:rPr>
            </w:pPr>
            <w:r w:rsidRPr="00E14102">
              <w:rPr>
                <w:color w:val="000000" w:themeColor="text1"/>
                <w:sz w:val="16"/>
                <w:szCs w:val="16"/>
              </w:rPr>
              <w:t>31 978,3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3C724" w14:textId="77777777" w:rsidR="008811AB" w:rsidRPr="00E14102" w:rsidRDefault="008811AB" w:rsidP="00E14102">
            <w:pPr>
              <w:jc w:val="both"/>
              <w:rPr>
                <w:color w:val="000000" w:themeColor="text1"/>
                <w:sz w:val="16"/>
                <w:szCs w:val="16"/>
              </w:rPr>
            </w:pPr>
            <w:r w:rsidRPr="00E14102">
              <w:rPr>
                <w:color w:val="000000" w:themeColor="text1"/>
                <w:sz w:val="16"/>
                <w:szCs w:val="16"/>
              </w:rPr>
              <w:t>33 028,0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B6B45" w14:textId="77777777" w:rsidR="008811AB" w:rsidRPr="00E14102" w:rsidRDefault="008811AB" w:rsidP="00E14102">
            <w:pPr>
              <w:jc w:val="both"/>
              <w:rPr>
                <w:color w:val="000000" w:themeColor="text1"/>
                <w:sz w:val="16"/>
                <w:szCs w:val="16"/>
              </w:rPr>
            </w:pPr>
            <w:r w:rsidRPr="00E14102">
              <w:rPr>
                <w:color w:val="000000" w:themeColor="text1"/>
                <w:sz w:val="16"/>
                <w:szCs w:val="16"/>
              </w:rPr>
              <w:t>15 307,9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F22F0" w14:textId="77777777" w:rsidR="008811AB" w:rsidRPr="00E14102" w:rsidRDefault="008811AB" w:rsidP="00E14102">
            <w:pPr>
              <w:jc w:val="both"/>
              <w:rPr>
                <w:color w:val="000000" w:themeColor="text1"/>
                <w:sz w:val="16"/>
                <w:szCs w:val="16"/>
              </w:rPr>
            </w:pPr>
            <w:r w:rsidRPr="00E14102">
              <w:rPr>
                <w:color w:val="000000" w:themeColor="text1"/>
                <w:sz w:val="16"/>
                <w:szCs w:val="16"/>
              </w:rPr>
              <w:t>16 888,5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C281C" w14:textId="77777777" w:rsidR="008811AB" w:rsidRPr="00E14102" w:rsidRDefault="008811AB" w:rsidP="00E14102">
            <w:pPr>
              <w:jc w:val="both"/>
              <w:rPr>
                <w:color w:val="000000" w:themeColor="text1"/>
                <w:sz w:val="16"/>
                <w:szCs w:val="16"/>
              </w:rPr>
            </w:pPr>
            <w:r w:rsidRPr="00E14102">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B6242" w14:textId="77777777" w:rsidR="008811AB" w:rsidRPr="00E14102" w:rsidRDefault="008811AB" w:rsidP="00E14102">
            <w:pPr>
              <w:jc w:val="both"/>
              <w:rPr>
                <w:color w:val="000000" w:themeColor="text1"/>
                <w:sz w:val="16"/>
                <w:szCs w:val="16"/>
              </w:rPr>
            </w:pPr>
            <w:r w:rsidRPr="00E14102">
              <w:rPr>
                <w:color w:val="000000" w:themeColor="text1"/>
                <w:sz w:val="16"/>
                <w:szCs w:val="16"/>
              </w:rPr>
              <w:t>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55EA2" w14:textId="77777777" w:rsidR="008811AB" w:rsidRPr="00E14102" w:rsidRDefault="008811AB" w:rsidP="00E14102">
            <w:pPr>
              <w:jc w:val="both"/>
              <w:rPr>
                <w:color w:val="000000" w:themeColor="text1"/>
                <w:sz w:val="16"/>
                <w:szCs w:val="16"/>
              </w:rPr>
            </w:pPr>
            <w:r w:rsidRPr="00E14102">
              <w:rPr>
                <w:color w:val="000000" w:themeColor="text1"/>
                <w:sz w:val="16"/>
                <w:szCs w:val="16"/>
              </w:rPr>
              <w:t>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C52D4" w14:textId="77777777" w:rsidR="008811AB" w:rsidRPr="00E14102" w:rsidRDefault="008811AB" w:rsidP="00E14102">
            <w:pPr>
              <w:jc w:val="both"/>
              <w:rPr>
                <w:color w:val="000000" w:themeColor="text1"/>
                <w:sz w:val="16"/>
                <w:szCs w:val="16"/>
              </w:rPr>
            </w:pPr>
            <w:r w:rsidRPr="00E14102">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27106" w14:textId="77777777" w:rsidR="008811AB" w:rsidRPr="00E14102" w:rsidRDefault="008811AB" w:rsidP="00E14102">
            <w:pPr>
              <w:jc w:val="both"/>
              <w:rPr>
                <w:color w:val="000000" w:themeColor="text1"/>
                <w:sz w:val="16"/>
                <w:szCs w:val="16"/>
              </w:rPr>
            </w:pPr>
            <w:r w:rsidRPr="00E14102">
              <w:rPr>
                <w:color w:val="000000" w:themeColor="text1"/>
                <w:sz w:val="16"/>
                <w:szCs w:val="16"/>
              </w:rPr>
              <w:t>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6BD21" w14:textId="77777777" w:rsidR="008811AB" w:rsidRPr="00E14102" w:rsidRDefault="008811AB" w:rsidP="00E14102">
            <w:pPr>
              <w:jc w:val="both"/>
              <w:rPr>
                <w:color w:val="000000" w:themeColor="text1"/>
                <w:sz w:val="16"/>
                <w:szCs w:val="16"/>
              </w:rPr>
            </w:pPr>
            <w:r w:rsidRPr="00E14102">
              <w:rPr>
                <w:color w:val="000000" w:themeColor="text1"/>
                <w:sz w:val="16"/>
                <w:szCs w:val="16"/>
              </w:rPr>
              <w:t>110,3</w:t>
            </w:r>
          </w:p>
        </w:tc>
      </w:tr>
      <w:tr w:rsidR="00E3599D" w:rsidRPr="00E14102" w14:paraId="15E5BC1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838620" w14:textId="77777777" w:rsidR="008811AB" w:rsidRPr="00E14102" w:rsidRDefault="008811AB" w:rsidP="00E14102">
            <w:pPr>
              <w:jc w:val="both"/>
              <w:rPr>
                <w:color w:val="000000" w:themeColor="text1"/>
                <w:sz w:val="16"/>
                <w:szCs w:val="16"/>
              </w:rPr>
            </w:pPr>
            <w:r w:rsidRPr="00E14102">
              <w:rPr>
                <w:color w:val="000000" w:themeColor="text1"/>
                <w:sz w:val="16"/>
                <w:szCs w:val="16"/>
              </w:rPr>
              <w:t>б)оборудование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D7986" w14:textId="77777777" w:rsidR="008811AB" w:rsidRPr="00E14102" w:rsidRDefault="008811AB" w:rsidP="00E14102">
            <w:pPr>
              <w:jc w:val="both"/>
              <w:rPr>
                <w:color w:val="000000" w:themeColor="text1"/>
                <w:sz w:val="16"/>
                <w:szCs w:val="16"/>
              </w:rPr>
            </w:pPr>
            <w:r w:rsidRPr="00E14102">
              <w:rPr>
                <w:color w:val="000000" w:themeColor="text1"/>
                <w:sz w:val="16"/>
                <w:szCs w:val="16"/>
              </w:rPr>
              <w:t>40 830,1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C0C48" w14:textId="77777777" w:rsidR="008811AB" w:rsidRPr="00E14102" w:rsidRDefault="008811AB" w:rsidP="00E14102">
            <w:pPr>
              <w:jc w:val="both"/>
              <w:rPr>
                <w:color w:val="000000" w:themeColor="text1"/>
                <w:sz w:val="16"/>
                <w:szCs w:val="16"/>
              </w:rPr>
            </w:pPr>
            <w:r w:rsidRPr="00E14102">
              <w:rPr>
                <w:color w:val="000000" w:themeColor="text1"/>
                <w:sz w:val="16"/>
                <w:szCs w:val="16"/>
              </w:rPr>
              <w:t>42 190,8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FF0B5" w14:textId="77777777" w:rsidR="008811AB" w:rsidRPr="00E14102" w:rsidRDefault="008811AB" w:rsidP="00E14102">
            <w:pPr>
              <w:jc w:val="both"/>
              <w:rPr>
                <w:color w:val="000000" w:themeColor="text1"/>
                <w:sz w:val="16"/>
                <w:szCs w:val="16"/>
              </w:rPr>
            </w:pPr>
            <w:r w:rsidRPr="00E14102">
              <w:rPr>
                <w:color w:val="000000" w:themeColor="text1"/>
                <w:sz w:val="16"/>
                <w:szCs w:val="16"/>
              </w:rPr>
              <w:t>17 618,8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245B2" w14:textId="77777777" w:rsidR="008811AB" w:rsidRPr="00E14102" w:rsidRDefault="008811AB" w:rsidP="00E14102">
            <w:pPr>
              <w:jc w:val="both"/>
              <w:rPr>
                <w:color w:val="000000" w:themeColor="text1"/>
                <w:sz w:val="16"/>
                <w:szCs w:val="16"/>
              </w:rPr>
            </w:pPr>
            <w:r w:rsidRPr="00E14102">
              <w:rPr>
                <w:color w:val="000000" w:themeColor="text1"/>
                <w:sz w:val="16"/>
                <w:szCs w:val="16"/>
              </w:rPr>
              <w:t>16 583,5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86D66" w14:textId="77777777" w:rsidR="008811AB" w:rsidRPr="00E14102" w:rsidRDefault="008811AB" w:rsidP="00E14102">
            <w:pPr>
              <w:jc w:val="both"/>
              <w:rPr>
                <w:color w:val="000000" w:themeColor="text1"/>
                <w:sz w:val="16"/>
                <w:szCs w:val="16"/>
              </w:rPr>
            </w:pPr>
            <w:r w:rsidRPr="00E14102">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98A37" w14:textId="77777777" w:rsidR="008811AB" w:rsidRPr="00E14102" w:rsidRDefault="008811AB" w:rsidP="00E14102">
            <w:pPr>
              <w:jc w:val="both"/>
              <w:rPr>
                <w:color w:val="000000" w:themeColor="text1"/>
                <w:sz w:val="16"/>
                <w:szCs w:val="16"/>
              </w:rPr>
            </w:pPr>
            <w:r w:rsidRPr="00E14102">
              <w:rPr>
                <w:color w:val="000000" w:themeColor="text1"/>
                <w:sz w:val="16"/>
                <w:szCs w:val="16"/>
              </w:rPr>
              <w:t>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8479C" w14:textId="77777777" w:rsidR="008811AB" w:rsidRPr="00E14102" w:rsidRDefault="008811AB" w:rsidP="00E14102">
            <w:pPr>
              <w:jc w:val="both"/>
              <w:rPr>
                <w:color w:val="000000" w:themeColor="text1"/>
                <w:sz w:val="16"/>
                <w:szCs w:val="16"/>
              </w:rPr>
            </w:pPr>
            <w:r w:rsidRPr="00E14102">
              <w:rPr>
                <w:color w:val="000000" w:themeColor="text1"/>
                <w:sz w:val="16"/>
                <w:szCs w:val="16"/>
              </w:rPr>
              <w:t>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FF2A1" w14:textId="77777777" w:rsidR="008811AB" w:rsidRPr="00E14102" w:rsidRDefault="008811AB" w:rsidP="00E14102">
            <w:pPr>
              <w:jc w:val="both"/>
              <w:rPr>
                <w:color w:val="000000" w:themeColor="text1"/>
                <w:sz w:val="16"/>
                <w:szCs w:val="16"/>
              </w:rPr>
            </w:pPr>
            <w:r w:rsidRPr="00E14102">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BE4DB" w14:textId="77777777" w:rsidR="008811AB" w:rsidRPr="00E14102" w:rsidRDefault="008811AB" w:rsidP="00E14102">
            <w:pPr>
              <w:jc w:val="both"/>
              <w:rPr>
                <w:color w:val="000000" w:themeColor="text1"/>
                <w:sz w:val="16"/>
                <w:szCs w:val="16"/>
              </w:rPr>
            </w:pPr>
            <w:r w:rsidRPr="00E14102">
              <w:rPr>
                <w:color w:val="000000" w:themeColor="text1"/>
                <w:sz w:val="16"/>
                <w:szCs w:val="16"/>
              </w:rPr>
              <w:t>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75B49" w14:textId="77777777" w:rsidR="008811AB" w:rsidRPr="00E14102" w:rsidRDefault="008811AB" w:rsidP="00E14102">
            <w:pPr>
              <w:jc w:val="both"/>
              <w:rPr>
                <w:color w:val="000000" w:themeColor="text1"/>
                <w:sz w:val="16"/>
                <w:szCs w:val="16"/>
              </w:rPr>
            </w:pPr>
            <w:r w:rsidRPr="00E14102">
              <w:rPr>
                <w:color w:val="000000" w:themeColor="text1"/>
                <w:sz w:val="16"/>
                <w:szCs w:val="16"/>
              </w:rPr>
              <w:t>94,1</w:t>
            </w:r>
          </w:p>
        </w:tc>
      </w:tr>
      <w:tr w:rsidR="00E3599D" w:rsidRPr="00E14102" w14:paraId="6EDC5F4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6C82A9" w14:textId="77777777" w:rsidR="008811AB" w:rsidRPr="00E14102" w:rsidRDefault="008811AB" w:rsidP="00E14102">
            <w:pPr>
              <w:jc w:val="both"/>
              <w:rPr>
                <w:color w:val="000000" w:themeColor="text1"/>
                <w:sz w:val="16"/>
                <w:szCs w:val="16"/>
              </w:rPr>
            </w:pPr>
            <w:r w:rsidRPr="00E14102">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2DD66DC" w14:textId="77777777" w:rsidR="008811AB" w:rsidRPr="00E14102" w:rsidRDefault="008811AB" w:rsidP="00E14102">
            <w:pPr>
              <w:jc w:val="both"/>
              <w:rPr>
                <w:color w:val="000000" w:themeColor="text1"/>
                <w:sz w:val="16"/>
                <w:szCs w:val="16"/>
              </w:rPr>
            </w:pPr>
            <w:r w:rsidRPr="00E14102">
              <w:rPr>
                <w:color w:val="000000" w:themeColor="text1"/>
                <w:sz w:val="16"/>
                <w:szCs w:val="16"/>
              </w:rPr>
              <w:t>5263,3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FDB1E" w14:textId="77777777" w:rsidR="008811AB" w:rsidRPr="00E14102" w:rsidRDefault="008811AB" w:rsidP="00E14102">
            <w:pPr>
              <w:jc w:val="both"/>
              <w:rPr>
                <w:color w:val="000000" w:themeColor="text1"/>
                <w:sz w:val="16"/>
                <w:szCs w:val="16"/>
              </w:rPr>
            </w:pPr>
            <w:r w:rsidRPr="00E14102">
              <w:rPr>
                <w:color w:val="000000" w:themeColor="text1"/>
                <w:sz w:val="16"/>
                <w:szCs w:val="16"/>
              </w:rPr>
              <w:t>5424,7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5D587" w14:textId="77777777" w:rsidR="008811AB" w:rsidRPr="00E14102" w:rsidRDefault="008811AB" w:rsidP="00E14102">
            <w:pPr>
              <w:jc w:val="both"/>
              <w:rPr>
                <w:color w:val="000000" w:themeColor="text1"/>
                <w:sz w:val="16"/>
                <w:szCs w:val="16"/>
              </w:rPr>
            </w:pPr>
            <w:r w:rsidRPr="00E14102">
              <w:rPr>
                <w:color w:val="000000" w:themeColor="text1"/>
                <w:sz w:val="16"/>
                <w:szCs w:val="16"/>
              </w:rPr>
              <w:t>2268,2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D8EC1" w14:textId="77777777" w:rsidR="008811AB" w:rsidRPr="00E14102" w:rsidRDefault="008811AB" w:rsidP="00E14102">
            <w:pPr>
              <w:jc w:val="both"/>
              <w:rPr>
                <w:color w:val="000000" w:themeColor="text1"/>
                <w:sz w:val="16"/>
                <w:szCs w:val="16"/>
              </w:rPr>
            </w:pPr>
            <w:r w:rsidRPr="00E14102">
              <w:rPr>
                <w:color w:val="000000" w:themeColor="text1"/>
                <w:sz w:val="16"/>
                <w:szCs w:val="16"/>
              </w:rPr>
              <w:t>2763,6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A85D6" w14:textId="77777777" w:rsidR="008811AB" w:rsidRPr="00E14102" w:rsidRDefault="008811AB" w:rsidP="00E14102">
            <w:pPr>
              <w:jc w:val="both"/>
              <w:rPr>
                <w:color w:val="000000" w:themeColor="text1"/>
                <w:sz w:val="16"/>
                <w:szCs w:val="16"/>
              </w:rPr>
            </w:pPr>
            <w:r w:rsidRPr="00E14102">
              <w:rPr>
                <w:color w:val="000000" w:themeColor="text1"/>
                <w:sz w:val="16"/>
                <w:szCs w:val="16"/>
              </w:rPr>
              <w:t>103,1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D492B" w14:textId="77777777" w:rsidR="008811AB" w:rsidRPr="00E14102" w:rsidRDefault="008811AB" w:rsidP="00E14102">
            <w:pPr>
              <w:jc w:val="both"/>
              <w:rPr>
                <w:color w:val="000000" w:themeColor="text1"/>
                <w:sz w:val="16"/>
                <w:szCs w:val="16"/>
              </w:rPr>
            </w:pPr>
            <w:r w:rsidRPr="00E14102">
              <w:rPr>
                <w:color w:val="000000" w:themeColor="text1"/>
                <w:sz w:val="16"/>
                <w:szCs w:val="16"/>
              </w:rPr>
              <w:t>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CDC13" w14:textId="77777777" w:rsidR="008811AB" w:rsidRPr="00E14102" w:rsidRDefault="008811AB" w:rsidP="00E14102">
            <w:pPr>
              <w:jc w:val="both"/>
              <w:rPr>
                <w:color w:val="000000" w:themeColor="text1"/>
                <w:sz w:val="16"/>
                <w:szCs w:val="16"/>
              </w:rPr>
            </w:pPr>
            <w:r w:rsidRPr="00E14102">
              <w:rPr>
                <w:color w:val="000000" w:themeColor="text1"/>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39C7E" w14:textId="77777777" w:rsidR="008811AB" w:rsidRPr="00E14102" w:rsidRDefault="008811AB" w:rsidP="00E14102">
            <w:pPr>
              <w:jc w:val="both"/>
              <w:rPr>
                <w:color w:val="000000" w:themeColor="text1"/>
                <w:sz w:val="16"/>
                <w:szCs w:val="16"/>
              </w:rPr>
            </w:pPr>
            <w:r w:rsidRPr="00E14102">
              <w:rPr>
                <w:color w:val="000000" w:themeColor="text1"/>
                <w:sz w:val="16"/>
                <w:szCs w:val="16"/>
              </w:rPr>
              <w:t>103,1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77492" w14:textId="77777777" w:rsidR="008811AB" w:rsidRPr="00E14102" w:rsidRDefault="008811AB" w:rsidP="00E14102">
            <w:pPr>
              <w:jc w:val="both"/>
              <w:rPr>
                <w:color w:val="000000" w:themeColor="text1"/>
                <w:sz w:val="16"/>
                <w:szCs w:val="16"/>
              </w:rPr>
            </w:pPr>
            <w:r w:rsidRPr="00E14102">
              <w:rPr>
                <w:color w:val="000000" w:themeColor="text1"/>
                <w:sz w:val="16"/>
                <w:szCs w:val="16"/>
              </w:rPr>
              <w:t>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00D55" w14:textId="77777777" w:rsidR="008811AB" w:rsidRPr="00E14102" w:rsidRDefault="008811AB" w:rsidP="00E14102">
            <w:pPr>
              <w:jc w:val="both"/>
              <w:rPr>
                <w:color w:val="000000" w:themeColor="text1"/>
                <w:sz w:val="16"/>
                <w:szCs w:val="16"/>
              </w:rPr>
            </w:pPr>
            <w:r w:rsidRPr="00E14102">
              <w:rPr>
                <w:color w:val="000000" w:themeColor="text1"/>
                <w:sz w:val="16"/>
                <w:szCs w:val="16"/>
              </w:rPr>
              <w:t>121,8</w:t>
            </w:r>
          </w:p>
        </w:tc>
      </w:tr>
      <w:tr w:rsidR="00E3599D" w:rsidRPr="00E14102" w14:paraId="597380C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40FC9E" w14:textId="77777777" w:rsidR="008811AB" w:rsidRPr="00E14102" w:rsidRDefault="008811AB" w:rsidP="00E14102">
            <w:pPr>
              <w:jc w:val="both"/>
              <w:rPr>
                <w:color w:val="000000" w:themeColor="text1"/>
                <w:sz w:val="16"/>
                <w:szCs w:val="16"/>
              </w:rPr>
            </w:pPr>
            <w:r w:rsidRPr="00E14102">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805C0" w14:textId="77777777" w:rsidR="008811AB" w:rsidRPr="00E14102" w:rsidRDefault="008811AB" w:rsidP="00E14102">
            <w:pPr>
              <w:jc w:val="both"/>
              <w:rPr>
                <w:color w:val="000000" w:themeColor="text1"/>
                <w:sz w:val="16"/>
                <w:szCs w:val="16"/>
              </w:rPr>
            </w:pPr>
            <w:r w:rsidRPr="00E14102">
              <w:rPr>
                <w:color w:val="000000" w:themeColor="text1"/>
                <w:sz w:val="16"/>
                <w:szCs w:val="16"/>
              </w:rPr>
              <w:t>1890,9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1741D" w14:textId="77777777" w:rsidR="008811AB" w:rsidRPr="00E14102" w:rsidRDefault="008811AB" w:rsidP="00E14102">
            <w:pPr>
              <w:jc w:val="both"/>
              <w:rPr>
                <w:color w:val="000000" w:themeColor="text1"/>
                <w:sz w:val="16"/>
                <w:szCs w:val="16"/>
              </w:rPr>
            </w:pPr>
            <w:r w:rsidRPr="00E14102">
              <w:rPr>
                <w:color w:val="000000" w:themeColor="text1"/>
                <w:sz w:val="16"/>
                <w:szCs w:val="16"/>
              </w:rPr>
              <w:t>4348,9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03C74" w14:textId="77777777" w:rsidR="008811AB" w:rsidRPr="00E14102" w:rsidRDefault="008811AB" w:rsidP="00E14102">
            <w:pPr>
              <w:jc w:val="both"/>
              <w:rPr>
                <w:color w:val="000000" w:themeColor="text1"/>
                <w:sz w:val="16"/>
                <w:szCs w:val="16"/>
              </w:rPr>
            </w:pPr>
            <w:r w:rsidRPr="00E14102">
              <w:rPr>
                <w:color w:val="000000" w:themeColor="text1"/>
                <w:sz w:val="16"/>
                <w:szCs w:val="16"/>
              </w:rPr>
              <w:t>1653,9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BDF4C" w14:textId="77777777" w:rsidR="008811AB" w:rsidRPr="00E14102" w:rsidRDefault="008811AB" w:rsidP="00E14102">
            <w:pPr>
              <w:jc w:val="both"/>
              <w:rPr>
                <w:color w:val="000000" w:themeColor="text1"/>
                <w:sz w:val="16"/>
                <w:szCs w:val="16"/>
              </w:rPr>
            </w:pPr>
            <w:r w:rsidRPr="00E14102">
              <w:rPr>
                <w:color w:val="000000" w:themeColor="text1"/>
                <w:sz w:val="16"/>
                <w:szCs w:val="16"/>
              </w:rPr>
              <w:t>2217,2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22015" w14:textId="77777777" w:rsidR="008811AB" w:rsidRPr="00E14102" w:rsidRDefault="008811AB" w:rsidP="00E14102">
            <w:pPr>
              <w:jc w:val="both"/>
              <w:rPr>
                <w:color w:val="000000" w:themeColor="text1"/>
                <w:sz w:val="16"/>
                <w:szCs w:val="16"/>
              </w:rPr>
            </w:pPr>
            <w:r w:rsidRPr="00E14102">
              <w:rPr>
                <w:color w:val="000000" w:themeColor="text1"/>
                <w:sz w:val="16"/>
                <w:szCs w:val="16"/>
              </w:rPr>
              <w:t>230,0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58551" w14:textId="77777777" w:rsidR="008811AB" w:rsidRPr="00E14102" w:rsidRDefault="008811AB" w:rsidP="00E14102">
            <w:pPr>
              <w:jc w:val="both"/>
              <w:rPr>
                <w:color w:val="000000" w:themeColor="text1"/>
                <w:sz w:val="16"/>
                <w:szCs w:val="16"/>
              </w:rPr>
            </w:pPr>
            <w:r w:rsidRPr="00E14102">
              <w:rPr>
                <w:color w:val="000000" w:themeColor="text1"/>
                <w:sz w:val="16"/>
                <w:szCs w:val="16"/>
              </w:rPr>
              <w:t>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85D66" w14:textId="77777777" w:rsidR="008811AB" w:rsidRPr="00E14102" w:rsidRDefault="008811AB" w:rsidP="00E14102">
            <w:pPr>
              <w:jc w:val="both"/>
              <w:rPr>
                <w:color w:val="000000" w:themeColor="text1"/>
                <w:sz w:val="16"/>
                <w:szCs w:val="16"/>
              </w:rPr>
            </w:pPr>
            <w:r w:rsidRPr="00E14102">
              <w:rPr>
                <w:color w:val="000000" w:themeColor="text1"/>
                <w:sz w:val="16"/>
                <w:szCs w:val="16"/>
              </w:rPr>
              <w:t>117,3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3FE41" w14:textId="77777777" w:rsidR="008811AB" w:rsidRPr="00E14102" w:rsidRDefault="008811AB" w:rsidP="00E14102">
            <w:pPr>
              <w:jc w:val="both"/>
              <w:rPr>
                <w:color w:val="000000" w:themeColor="text1"/>
                <w:sz w:val="16"/>
                <w:szCs w:val="16"/>
              </w:rPr>
            </w:pPr>
            <w:r w:rsidRPr="00E14102">
              <w:rPr>
                <w:color w:val="000000" w:themeColor="text1"/>
                <w:sz w:val="16"/>
                <w:szCs w:val="16"/>
              </w:rPr>
              <w:t>230,0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DC22D" w14:textId="77777777" w:rsidR="008811AB" w:rsidRPr="00E14102" w:rsidRDefault="008811AB" w:rsidP="00E14102">
            <w:pPr>
              <w:jc w:val="both"/>
              <w:rPr>
                <w:color w:val="000000" w:themeColor="text1"/>
                <w:sz w:val="16"/>
                <w:szCs w:val="16"/>
              </w:rPr>
            </w:pPr>
            <w:r w:rsidRPr="00E14102">
              <w:rPr>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F2BE4" w14:textId="77777777" w:rsidR="008811AB" w:rsidRPr="00E14102" w:rsidRDefault="008811AB" w:rsidP="00E14102">
            <w:pPr>
              <w:jc w:val="both"/>
              <w:rPr>
                <w:color w:val="000000" w:themeColor="text1"/>
                <w:sz w:val="16"/>
                <w:szCs w:val="16"/>
              </w:rPr>
            </w:pPr>
            <w:r w:rsidRPr="00E14102">
              <w:rPr>
                <w:color w:val="000000" w:themeColor="text1"/>
                <w:sz w:val="16"/>
                <w:szCs w:val="16"/>
              </w:rPr>
              <w:t>134,1</w:t>
            </w:r>
          </w:p>
        </w:tc>
      </w:tr>
      <w:tr w:rsidR="00E3599D" w:rsidRPr="00E14102" w14:paraId="67847CA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1F250F" w14:textId="77777777" w:rsidR="008811AB" w:rsidRPr="00E14102" w:rsidRDefault="008811AB" w:rsidP="00E14102">
            <w:pPr>
              <w:jc w:val="both"/>
              <w:rPr>
                <w:color w:val="000000" w:themeColor="text1"/>
                <w:sz w:val="16"/>
                <w:szCs w:val="16"/>
              </w:rPr>
            </w:pPr>
            <w:r w:rsidRPr="00E14102">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D8C17" w14:textId="77777777" w:rsidR="008811AB" w:rsidRPr="00E14102" w:rsidRDefault="008811AB" w:rsidP="00E14102">
            <w:pPr>
              <w:jc w:val="both"/>
              <w:rPr>
                <w:color w:val="000000" w:themeColor="text1"/>
                <w:sz w:val="16"/>
                <w:szCs w:val="16"/>
              </w:rPr>
            </w:pPr>
            <w:r w:rsidRPr="00E14102">
              <w:rPr>
                <w:color w:val="000000" w:themeColor="text1"/>
                <w:sz w:val="16"/>
                <w:szCs w:val="16"/>
              </w:rPr>
              <w:t>1435,4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40773" w14:textId="77777777" w:rsidR="008811AB" w:rsidRPr="00E14102" w:rsidRDefault="008811AB" w:rsidP="00E14102">
            <w:pPr>
              <w:jc w:val="both"/>
              <w:rPr>
                <w:color w:val="000000" w:themeColor="text1"/>
                <w:sz w:val="16"/>
                <w:szCs w:val="16"/>
              </w:rPr>
            </w:pPr>
            <w:r w:rsidRPr="00E14102">
              <w:rPr>
                <w:color w:val="000000" w:themeColor="text1"/>
                <w:sz w:val="16"/>
                <w:szCs w:val="16"/>
              </w:rPr>
              <w:t>1524,4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EB059" w14:textId="77777777" w:rsidR="008811AB" w:rsidRPr="00E14102" w:rsidRDefault="008811AB" w:rsidP="00E14102">
            <w:pPr>
              <w:jc w:val="both"/>
              <w:rPr>
                <w:color w:val="000000" w:themeColor="text1"/>
                <w:sz w:val="16"/>
                <w:szCs w:val="16"/>
              </w:rPr>
            </w:pPr>
            <w:r w:rsidRPr="00E14102">
              <w:rPr>
                <w:color w:val="000000" w:themeColor="text1"/>
                <w:sz w:val="16"/>
                <w:szCs w:val="16"/>
              </w:rPr>
              <w:t>1476,9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043E9" w14:textId="77777777" w:rsidR="008811AB" w:rsidRPr="00E14102" w:rsidRDefault="008811AB" w:rsidP="00E14102">
            <w:pPr>
              <w:jc w:val="both"/>
              <w:rPr>
                <w:color w:val="000000" w:themeColor="text1"/>
                <w:sz w:val="16"/>
                <w:szCs w:val="16"/>
              </w:rPr>
            </w:pPr>
            <w:r w:rsidRPr="00E14102">
              <w:rPr>
                <w:color w:val="000000" w:themeColor="text1"/>
                <w:sz w:val="16"/>
                <w:szCs w:val="16"/>
              </w:rPr>
              <w:t>523,3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A2BF8" w14:textId="77777777" w:rsidR="008811AB" w:rsidRPr="00E14102" w:rsidRDefault="008811AB" w:rsidP="00E14102">
            <w:pPr>
              <w:jc w:val="both"/>
              <w:rPr>
                <w:color w:val="000000" w:themeColor="text1"/>
                <w:sz w:val="16"/>
                <w:szCs w:val="16"/>
              </w:rPr>
            </w:pPr>
            <w:r w:rsidRPr="00E14102">
              <w:rPr>
                <w:color w:val="000000" w:themeColor="text1"/>
                <w:sz w:val="16"/>
                <w:szCs w:val="16"/>
              </w:rPr>
              <w:t>106,2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59957" w14:textId="77777777" w:rsidR="008811AB" w:rsidRPr="00E14102" w:rsidRDefault="008811AB" w:rsidP="00E14102">
            <w:pPr>
              <w:jc w:val="both"/>
              <w:rPr>
                <w:color w:val="000000" w:themeColor="text1"/>
                <w:sz w:val="16"/>
                <w:szCs w:val="16"/>
              </w:rPr>
            </w:pPr>
            <w:r w:rsidRPr="00E14102">
              <w:rPr>
                <w:color w:val="000000" w:themeColor="text1"/>
                <w:sz w:val="16"/>
                <w:szCs w:val="16"/>
              </w:rPr>
              <w:t>102,9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88D0E" w14:textId="77777777" w:rsidR="008811AB" w:rsidRPr="00E14102" w:rsidRDefault="008811AB" w:rsidP="00E14102">
            <w:pPr>
              <w:jc w:val="both"/>
              <w:rPr>
                <w:color w:val="000000" w:themeColor="text1"/>
                <w:sz w:val="16"/>
                <w:szCs w:val="16"/>
              </w:rPr>
            </w:pPr>
            <w:r w:rsidRPr="00E14102">
              <w:rPr>
                <w:color w:val="000000" w:themeColor="text1"/>
                <w:sz w:val="16"/>
                <w:szCs w:val="16"/>
              </w:rPr>
              <w:t>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7FBAD" w14:textId="77777777" w:rsidR="008811AB" w:rsidRPr="00E14102" w:rsidRDefault="008811AB" w:rsidP="00E14102">
            <w:pPr>
              <w:jc w:val="both"/>
              <w:rPr>
                <w:color w:val="000000" w:themeColor="text1"/>
                <w:sz w:val="16"/>
                <w:szCs w:val="16"/>
              </w:rPr>
            </w:pPr>
            <w:r w:rsidRPr="00E14102">
              <w:rPr>
                <w:color w:val="000000" w:themeColor="text1"/>
                <w:sz w:val="16"/>
                <w:szCs w:val="16"/>
              </w:rPr>
              <w:t>106,2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EC80E" w14:textId="77777777" w:rsidR="008811AB" w:rsidRPr="00E14102" w:rsidRDefault="008811AB" w:rsidP="00E14102">
            <w:pPr>
              <w:jc w:val="both"/>
              <w:rPr>
                <w:color w:val="000000" w:themeColor="text1"/>
                <w:sz w:val="16"/>
                <w:szCs w:val="16"/>
              </w:rPr>
            </w:pPr>
            <w:r w:rsidRPr="00E14102">
              <w:rPr>
                <w:color w:val="000000" w:themeColor="text1"/>
                <w:sz w:val="16"/>
                <w:szCs w:val="16"/>
              </w:rPr>
              <w:t>96,9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DA15F" w14:textId="77777777" w:rsidR="008811AB" w:rsidRPr="00E14102" w:rsidRDefault="008811AB" w:rsidP="00E14102">
            <w:pPr>
              <w:jc w:val="both"/>
              <w:rPr>
                <w:color w:val="000000" w:themeColor="text1"/>
                <w:sz w:val="16"/>
                <w:szCs w:val="16"/>
              </w:rPr>
            </w:pPr>
            <w:r w:rsidRPr="00E14102">
              <w:rPr>
                <w:color w:val="000000" w:themeColor="text1"/>
                <w:sz w:val="16"/>
                <w:szCs w:val="16"/>
              </w:rPr>
              <w:t>35,4</w:t>
            </w:r>
          </w:p>
        </w:tc>
      </w:tr>
      <w:tr w:rsidR="00E3599D" w:rsidRPr="00E14102" w14:paraId="39384B5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AEBC8D" w14:textId="77777777" w:rsidR="008811AB" w:rsidRPr="00E14102" w:rsidRDefault="008811AB" w:rsidP="00E14102">
            <w:pPr>
              <w:jc w:val="both"/>
              <w:rPr>
                <w:color w:val="000000" w:themeColor="text1"/>
                <w:sz w:val="16"/>
                <w:szCs w:val="16"/>
              </w:rPr>
            </w:pPr>
            <w:r w:rsidRPr="00E14102">
              <w:rPr>
                <w:color w:val="000000" w:themeColor="text1"/>
                <w:sz w:val="16"/>
                <w:szCs w:val="16"/>
              </w:rPr>
              <w:t>4) 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45BAB" w14:textId="77777777" w:rsidR="008811AB" w:rsidRPr="00E14102" w:rsidRDefault="008811AB" w:rsidP="00E14102">
            <w:pPr>
              <w:jc w:val="both"/>
              <w:rPr>
                <w:color w:val="000000" w:themeColor="text1"/>
                <w:sz w:val="16"/>
                <w:szCs w:val="16"/>
              </w:rPr>
            </w:pPr>
            <w:r w:rsidRPr="00E14102">
              <w:rPr>
                <w:color w:val="000000" w:themeColor="text1"/>
                <w:sz w:val="16"/>
                <w:szCs w:val="16"/>
              </w:rPr>
              <w:t>2201,4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D7EEC" w14:textId="77777777" w:rsidR="008811AB" w:rsidRPr="00E14102" w:rsidRDefault="008811AB" w:rsidP="00E14102">
            <w:pPr>
              <w:jc w:val="both"/>
              <w:rPr>
                <w:color w:val="000000" w:themeColor="text1"/>
                <w:sz w:val="16"/>
                <w:szCs w:val="16"/>
              </w:rPr>
            </w:pPr>
            <w:r w:rsidRPr="00E14102">
              <w:rPr>
                <w:color w:val="000000" w:themeColor="text1"/>
                <w:sz w:val="16"/>
                <w:szCs w:val="16"/>
              </w:rPr>
              <w:t>3443,0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AE85F" w14:textId="77777777" w:rsidR="008811AB" w:rsidRPr="00E14102" w:rsidRDefault="008811AB" w:rsidP="00E14102">
            <w:pPr>
              <w:jc w:val="both"/>
              <w:rPr>
                <w:color w:val="000000" w:themeColor="text1"/>
                <w:sz w:val="16"/>
                <w:szCs w:val="16"/>
              </w:rPr>
            </w:pPr>
            <w:r w:rsidRPr="00E14102">
              <w:rPr>
                <w:color w:val="000000" w:themeColor="text1"/>
                <w:sz w:val="16"/>
                <w:szCs w:val="16"/>
              </w:rPr>
              <w:t>3532,8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146AC" w14:textId="77777777" w:rsidR="008811AB" w:rsidRPr="00E14102" w:rsidRDefault="008811AB" w:rsidP="00E14102">
            <w:pPr>
              <w:jc w:val="both"/>
              <w:rPr>
                <w:color w:val="000000" w:themeColor="text1"/>
                <w:sz w:val="16"/>
                <w:szCs w:val="16"/>
              </w:rPr>
            </w:pPr>
            <w:r w:rsidRPr="00E14102">
              <w:rPr>
                <w:color w:val="000000" w:themeColor="text1"/>
                <w:sz w:val="16"/>
                <w:szCs w:val="16"/>
              </w:rPr>
              <w:t>4573,7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11D3D" w14:textId="77777777" w:rsidR="008811AB" w:rsidRPr="00E14102" w:rsidRDefault="008811AB" w:rsidP="00E14102">
            <w:pPr>
              <w:jc w:val="both"/>
              <w:rPr>
                <w:color w:val="000000" w:themeColor="text1"/>
                <w:sz w:val="16"/>
                <w:szCs w:val="16"/>
              </w:rPr>
            </w:pPr>
            <w:r w:rsidRPr="00E14102">
              <w:rPr>
                <w:color w:val="000000" w:themeColor="text1"/>
                <w:sz w:val="16"/>
                <w:szCs w:val="16"/>
              </w:rPr>
              <w:t>156,4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B5E18" w14:textId="77777777" w:rsidR="008811AB" w:rsidRPr="00E14102" w:rsidRDefault="008811AB" w:rsidP="00E14102">
            <w:pPr>
              <w:jc w:val="both"/>
              <w:rPr>
                <w:color w:val="000000" w:themeColor="text1"/>
                <w:sz w:val="16"/>
                <w:szCs w:val="16"/>
              </w:rPr>
            </w:pPr>
            <w:r w:rsidRPr="00E14102">
              <w:rPr>
                <w:color w:val="000000" w:themeColor="text1"/>
                <w:sz w:val="16"/>
                <w:szCs w:val="16"/>
              </w:rPr>
              <w:t>160,5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56349" w14:textId="77777777" w:rsidR="008811AB" w:rsidRPr="00E14102" w:rsidRDefault="008811AB" w:rsidP="00E14102">
            <w:pPr>
              <w:jc w:val="both"/>
              <w:rPr>
                <w:color w:val="000000" w:themeColor="text1"/>
                <w:sz w:val="16"/>
                <w:szCs w:val="16"/>
              </w:rPr>
            </w:pPr>
            <w:r w:rsidRPr="00E14102">
              <w:rPr>
                <w:color w:val="000000" w:themeColor="text1"/>
                <w:sz w:val="16"/>
                <w:szCs w:val="16"/>
              </w:rPr>
              <w:t>207,8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EB392" w14:textId="77777777" w:rsidR="008811AB" w:rsidRPr="00E14102" w:rsidRDefault="008811AB" w:rsidP="00E14102">
            <w:pPr>
              <w:jc w:val="both"/>
              <w:rPr>
                <w:color w:val="000000" w:themeColor="text1"/>
                <w:sz w:val="16"/>
                <w:szCs w:val="16"/>
              </w:rPr>
            </w:pPr>
            <w:r w:rsidRPr="00E14102">
              <w:rPr>
                <w:color w:val="000000" w:themeColor="text1"/>
                <w:sz w:val="16"/>
                <w:szCs w:val="16"/>
              </w:rPr>
              <w:t>156,4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BDB65" w14:textId="77777777" w:rsidR="008811AB" w:rsidRPr="00E14102" w:rsidRDefault="008811AB" w:rsidP="00E14102">
            <w:pPr>
              <w:jc w:val="both"/>
              <w:rPr>
                <w:color w:val="000000" w:themeColor="text1"/>
                <w:sz w:val="16"/>
                <w:szCs w:val="16"/>
              </w:rPr>
            </w:pPr>
            <w:r w:rsidRPr="00E14102">
              <w:rPr>
                <w:color w:val="000000" w:themeColor="text1"/>
                <w:sz w:val="16"/>
                <w:szCs w:val="16"/>
              </w:rPr>
              <w:t>102,6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C6A56" w14:textId="77777777" w:rsidR="008811AB" w:rsidRPr="00E14102" w:rsidRDefault="008811AB" w:rsidP="00E14102">
            <w:pPr>
              <w:jc w:val="both"/>
              <w:rPr>
                <w:color w:val="000000" w:themeColor="text1"/>
                <w:sz w:val="16"/>
                <w:szCs w:val="16"/>
              </w:rPr>
            </w:pPr>
            <w:r w:rsidRPr="00E14102">
              <w:rPr>
                <w:color w:val="000000" w:themeColor="text1"/>
                <w:sz w:val="16"/>
                <w:szCs w:val="16"/>
              </w:rPr>
              <w:t>129,5</w:t>
            </w:r>
          </w:p>
        </w:tc>
      </w:tr>
      <w:tr w:rsidR="00E3599D" w:rsidRPr="00E14102" w14:paraId="685A4B4D"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3FB0452B" w14:textId="77777777" w:rsidR="008811AB" w:rsidRPr="00E14102" w:rsidRDefault="008811AB" w:rsidP="00E14102">
            <w:pPr>
              <w:jc w:val="both"/>
              <w:rPr>
                <w:color w:val="000000" w:themeColor="text1"/>
                <w:sz w:val="16"/>
                <w:szCs w:val="16"/>
              </w:rPr>
            </w:pPr>
            <w:r w:rsidRPr="00E14102">
              <w:rPr>
                <w:color w:val="000000" w:themeColor="text1"/>
                <w:sz w:val="16"/>
                <w:szCs w:val="16"/>
              </w:rPr>
              <w:t>ВХТОП</w:t>
            </w:r>
          </w:p>
        </w:tc>
      </w:tr>
      <w:tr w:rsidR="00E3599D" w:rsidRPr="00E14102" w14:paraId="1E35D66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07AA27" w14:textId="77777777" w:rsidR="008811AB" w:rsidRPr="00E14102" w:rsidRDefault="008811AB" w:rsidP="00E14102">
            <w:pPr>
              <w:jc w:val="both"/>
              <w:rPr>
                <w:color w:val="000000" w:themeColor="text1"/>
                <w:sz w:val="16"/>
                <w:szCs w:val="16"/>
              </w:rPr>
            </w:pPr>
            <w:r w:rsidRPr="00E14102">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78A90" w14:textId="77777777" w:rsidR="008811AB" w:rsidRPr="00E14102" w:rsidRDefault="008811AB" w:rsidP="00E14102">
            <w:pPr>
              <w:jc w:val="both"/>
              <w:rPr>
                <w:color w:val="000000" w:themeColor="text1"/>
                <w:sz w:val="16"/>
                <w:szCs w:val="16"/>
              </w:rPr>
            </w:pPr>
            <w:r w:rsidRPr="00E14102">
              <w:rPr>
                <w:color w:val="000000" w:themeColor="text1"/>
                <w:sz w:val="16"/>
                <w:szCs w:val="16"/>
              </w:rPr>
              <w:t>18 047,9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B7B79" w14:textId="77777777" w:rsidR="008811AB" w:rsidRPr="00E14102" w:rsidRDefault="008811AB" w:rsidP="00E14102">
            <w:pPr>
              <w:jc w:val="both"/>
              <w:rPr>
                <w:color w:val="000000" w:themeColor="text1"/>
                <w:sz w:val="16"/>
                <w:szCs w:val="16"/>
              </w:rPr>
            </w:pPr>
            <w:r w:rsidRPr="00E14102">
              <w:rPr>
                <w:color w:val="000000" w:themeColor="text1"/>
                <w:sz w:val="16"/>
                <w:szCs w:val="16"/>
              </w:rPr>
              <w:t>18 849,2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C9D89" w14:textId="77777777" w:rsidR="008811AB" w:rsidRPr="00E14102" w:rsidRDefault="008811AB" w:rsidP="00E14102">
            <w:pPr>
              <w:jc w:val="both"/>
              <w:rPr>
                <w:color w:val="000000" w:themeColor="text1"/>
                <w:sz w:val="16"/>
                <w:szCs w:val="16"/>
              </w:rPr>
            </w:pPr>
            <w:r w:rsidRPr="00E14102">
              <w:rPr>
                <w:color w:val="000000" w:themeColor="text1"/>
                <w:sz w:val="16"/>
                <w:szCs w:val="16"/>
              </w:rPr>
              <w:t>9779,5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45CAC" w14:textId="77777777" w:rsidR="008811AB" w:rsidRPr="00E14102" w:rsidRDefault="008811AB" w:rsidP="00E14102">
            <w:pPr>
              <w:jc w:val="both"/>
              <w:rPr>
                <w:color w:val="000000" w:themeColor="text1"/>
                <w:sz w:val="16"/>
                <w:szCs w:val="16"/>
              </w:rPr>
            </w:pPr>
            <w:r w:rsidRPr="00E14102">
              <w:rPr>
                <w:color w:val="000000" w:themeColor="text1"/>
                <w:sz w:val="16"/>
                <w:szCs w:val="16"/>
              </w:rPr>
              <w:t>15 121,8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40C66" w14:textId="77777777" w:rsidR="008811AB" w:rsidRPr="00E14102" w:rsidRDefault="008811AB" w:rsidP="00E14102">
            <w:pPr>
              <w:jc w:val="both"/>
              <w:rPr>
                <w:color w:val="000000" w:themeColor="text1"/>
                <w:sz w:val="16"/>
                <w:szCs w:val="16"/>
              </w:rPr>
            </w:pPr>
            <w:r w:rsidRPr="00E14102">
              <w:rPr>
                <w:color w:val="000000" w:themeColor="text1"/>
                <w:sz w:val="16"/>
                <w:szCs w:val="16"/>
              </w:rPr>
              <w:t>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C7DB2" w14:textId="77777777" w:rsidR="008811AB" w:rsidRPr="00E14102" w:rsidRDefault="008811AB" w:rsidP="00E14102">
            <w:pPr>
              <w:jc w:val="both"/>
              <w:rPr>
                <w:color w:val="000000" w:themeColor="text1"/>
                <w:sz w:val="16"/>
                <w:szCs w:val="16"/>
              </w:rPr>
            </w:pPr>
            <w:r w:rsidRPr="00E14102">
              <w:rPr>
                <w:color w:val="000000" w:themeColor="text1"/>
                <w:sz w:val="16"/>
                <w:szCs w:val="16"/>
              </w:rPr>
              <w:t>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EEAEE" w14:textId="77777777" w:rsidR="008811AB" w:rsidRPr="00E14102" w:rsidRDefault="008811AB" w:rsidP="00E14102">
            <w:pPr>
              <w:jc w:val="both"/>
              <w:rPr>
                <w:color w:val="000000" w:themeColor="text1"/>
                <w:sz w:val="16"/>
                <w:szCs w:val="16"/>
              </w:rPr>
            </w:pPr>
            <w:r w:rsidRPr="00E14102">
              <w:rPr>
                <w:color w:val="000000" w:themeColor="text1"/>
                <w:sz w:val="16"/>
                <w:szCs w:val="16"/>
              </w:rPr>
              <w:t>83,8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7A16C" w14:textId="77777777" w:rsidR="008811AB" w:rsidRPr="00E14102" w:rsidRDefault="008811AB" w:rsidP="00E14102">
            <w:pPr>
              <w:jc w:val="both"/>
              <w:rPr>
                <w:color w:val="000000" w:themeColor="text1"/>
                <w:sz w:val="16"/>
                <w:szCs w:val="16"/>
              </w:rPr>
            </w:pPr>
            <w:r w:rsidRPr="00E14102">
              <w:rPr>
                <w:color w:val="000000" w:themeColor="text1"/>
                <w:sz w:val="16"/>
                <w:szCs w:val="16"/>
              </w:rPr>
              <w:t>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89AE8" w14:textId="77777777" w:rsidR="008811AB" w:rsidRPr="00E14102" w:rsidRDefault="008811AB" w:rsidP="00E14102">
            <w:pPr>
              <w:jc w:val="both"/>
              <w:rPr>
                <w:color w:val="000000" w:themeColor="text1"/>
                <w:sz w:val="16"/>
                <w:szCs w:val="16"/>
              </w:rPr>
            </w:pPr>
            <w:r w:rsidRPr="00E14102">
              <w:rPr>
                <w:color w:val="000000" w:themeColor="text1"/>
                <w:sz w:val="16"/>
                <w:szCs w:val="16"/>
              </w:rPr>
              <w:t>51,9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B749F" w14:textId="77777777" w:rsidR="008811AB" w:rsidRPr="00E14102" w:rsidRDefault="008811AB" w:rsidP="00E14102">
            <w:pPr>
              <w:jc w:val="both"/>
              <w:rPr>
                <w:color w:val="000000" w:themeColor="text1"/>
                <w:sz w:val="16"/>
                <w:szCs w:val="16"/>
              </w:rPr>
            </w:pPr>
            <w:r w:rsidRPr="00E14102">
              <w:rPr>
                <w:color w:val="000000" w:themeColor="text1"/>
                <w:sz w:val="16"/>
                <w:szCs w:val="16"/>
              </w:rPr>
              <w:t>154,6</w:t>
            </w:r>
          </w:p>
        </w:tc>
      </w:tr>
      <w:tr w:rsidR="00E3599D" w:rsidRPr="00E14102" w14:paraId="3F66FAB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6ECA58" w14:textId="77777777" w:rsidR="008811AB" w:rsidRPr="00E14102" w:rsidRDefault="008811AB" w:rsidP="00E14102">
            <w:pPr>
              <w:jc w:val="both"/>
              <w:rPr>
                <w:color w:val="000000" w:themeColor="text1"/>
                <w:sz w:val="16"/>
                <w:szCs w:val="16"/>
              </w:rPr>
            </w:pPr>
            <w:r w:rsidRPr="00E14102">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549CA"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CB096"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F3B0B"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8D297"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3AA2C"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4201E"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0F956"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A3B4C"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1B18C"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500A8"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r>
      <w:tr w:rsidR="00E3599D" w:rsidRPr="00E14102" w14:paraId="607E524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ADBFA2" w14:textId="77777777" w:rsidR="008811AB" w:rsidRPr="00E14102" w:rsidRDefault="008811AB" w:rsidP="00E14102">
            <w:pPr>
              <w:jc w:val="both"/>
              <w:rPr>
                <w:color w:val="000000" w:themeColor="text1"/>
                <w:sz w:val="16"/>
                <w:szCs w:val="16"/>
              </w:rPr>
            </w:pPr>
            <w:r w:rsidRPr="00E14102">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D92AD" w14:textId="77777777" w:rsidR="008811AB" w:rsidRPr="00E14102" w:rsidRDefault="008811AB" w:rsidP="00E14102">
            <w:pPr>
              <w:jc w:val="both"/>
              <w:rPr>
                <w:color w:val="000000" w:themeColor="text1"/>
                <w:sz w:val="16"/>
                <w:szCs w:val="16"/>
              </w:rPr>
            </w:pPr>
            <w:r w:rsidRPr="00E14102">
              <w:rPr>
                <w:color w:val="000000" w:themeColor="text1"/>
                <w:sz w:val="16"/>
                <w:szCs w:val="16"/>
              </w:rPr>
              <w:t>8247,9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0D52F" w14:textId="77777777" w:rsidR="008811AB" w:rsidRPr="00E14102" w:rsidRDefault="008811AB" w:rsidP="00E14102">
            <w:pPr>
              <w:jc w:val="both"/>
              <w:rPr>
                <w:color w:val="000000" w:themeColor="text1"/>
                <w:sz w:val="16"/>
                <w:szCs w:val="16"/>
              </w:rPr>
            </w:pPr>
            <w:r w:rsidRPr="00E14102">
              <w:rPr>
                <w:color w:val="000000" w:themeColor="text1"/>
                <w:sz w:val="16"/>
                <w:szCs w:val="16"/>
              </w:rPr>
              <w:t>8602,4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F39D9" w14:textId="77777777" w:rsidR="008811AB" w:rsidRPr="00E14102" w:rsidRDefault="008811AB" w:rsidP="00E14102">
            <w:pPr>
              <w:jc w:val="both"/>
              <w:rPr>
                <w:color w:val="000000" w:themeColor="text1"/>
                <w:sz w:val="16"/>
                <w:szCs w:val="16"/>
              </w:rPr>
            </w:pPr>
            <w:r w:rsidRPr="00E14102">
              <w:rPr>
                <w:color w:val="000000" w:themeColor="text1"/>
                <w:sz w:val="16"/>
                <w:szCs w:val="16"/>
              </w:rPr>
              <w:t>5045,6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B2881" w14:textId="77777777" w:rsidR="008811AB" w:rsidRPr="00E14102" w:rsidRDefault="008811AB" w:rsidP="00E14102">
            <w:pPr>
              <w:jc w:val="both"/>
              <w:rPr>
                <w:color w:val="000000" w:themeColor="text1"/>
                <w:sz w:val="16"/>
                <w:szCs w:val="16"/>
              </w:rPr>
            </w:pPr>
            <w:r w:rsidRPr="00E14102">
              <w:rPr>
                <w:color w:val="000000" w:themeColor="text1"/>
                <w:sz w:val="16"/>
                <w:szCs w:val="16"/>
              </w:rPr>
              <w:t>8260,6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D9B33" w14:textId="77777777" w:rsidR="008811AB" w:rsidRPr="00E14102" w:rsidRDefault="008811AB" w:rsidP="00E14102">
            <w:pPr>
              <w:jc w:val="both"/>
              <w:rPr>
                <w:color w:val="000000" w:themeColor="text1"/>
                <w:sz w:val="16"/>
                <w:szCs w:val="16"/>
              </w:rPr>
            </w:pPr>
            <w:r w:rsidRPr="00E14102">
              <w:rPr>
                <w:color w:val="000000" w:themeColor="text1"/>
                <w:sz w:val="16"/>
                <w:szCs w:val="16"/>
              </w:rPr>
              <w:t>104,3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7F887" w14:textId="77777777" w:rsidR="008811AB" w:rsidRPr="00E14102" w:rsidRDefault="008811AB" w:rsidP="00E14102">
            <w:pPr>
              <w:jc w:val="both"/>
              <w:rPr>
                <w:color w:val="000000" w:themeColor="text1"/>
                <w:sz w:val="16"/>
                <w:szCs w:val="16"/>
              </w:rPr>
            </w:pPr>
            <w:r w:rsidRPr="00E14102">
              <w:rPr>
                <w:color w:val="000000" w:themeColor="text1"/>
                <w:sz w:val="16"/>
                <w:szCs w:val="16"/>
              </w:rPr>
              <w:t>61,2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61666" w14:textId="77777777" w:rsidR="008811AB" w:rsidRPr="00E14102" w:rsidRDefault="008811AB" w:rsidP="00E14102">
            <w:pPr>
              <w:jc w:val="both"/>
              <w:rPr>
                <w:color w:val="000000" w:themeColor="text1"/>
                <w:sz w:val="16"/>
                <w:szCs w:val="16"/>
              </w:rPr>
            </w:pPr>
            <w:r w:rsidRPr="00E14102">
              <w:rPr>
                <w:color w:val="000000" w:themeColor="text1"/>
                <w:sz w:val="16"/>
                <w:szCs w:val="16"/>
              </w:rPr>
              <w:t>100,2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65293" w14:textId="77777777" w:rsidR="008811AB" w:rsidRPr="00E14102" w:rsidRDefault="008811AB" w:rsidP="00E14102">
            <w:pPr>
              <w:jc w:val="both"/>
              <w:rPr>
                <w:color w:val="000000" w:themeColor="text1"/>
                <w:sz w:val="16"/>
                <w:szCs w:val="16"/>
              </w:rPr>
            </w:pPr>
            <w:r w:rsidRPr="00E14102">
              <w:rPr>
                <w:color w:val="000000" w:themeColor="text1"/>
                <w:sz w:val="16"/>
                <w:szCs w:val="16"/>
              </w:rPr>
              <w:t>104,3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A8D46" w14:textId="77777777" w:rsidR="008811AB" w:rsidRPr="00E14102" w:rsidRDefault="008811AB" w:rsidP="00E14102">
            <w:pPr>
              <w:jc w:val="both"/>
              <w:rPr>
                <w:color w:val="000000" w:themeColor="text1"/>
                <w:sz w:val="16"/>
                <w:szCs w:val="16"/>
              </w:rPr>
            </w:pPr>
            <w:r w:rsidRPr="00E14102">
              <w:rPr>
                <w:color w:val="000000" w:themeColor="text1"/>
                <w:sz w:val="16"/>
                <w:szCs w:val="16"/>
              </w:rPr>
              <w:t>58,7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A6EED" w14:textId="77777777" w:rsidR="008811AB" w:rsidRPr="00E14102" w:rsidRDefault="008811AB" w:rsidP="00E14102">
            <w:pPr>
              <w:jc w:val="both"/>
              <w:rPr>
                <w:color w:val="000000" w:themeColor="text1"/>
                <w:sz w:val="16"/>
                <w:szCs w:val="16"/>
              </w:rPr>
            </w:pPr>
            <w:r w:rsidRPr="00E14102">
              <w:rPr>
                <w:color w:val="000000" w:themeColor="text1"/>
                <w:sz w:val="16"/>
                <w:szCs w:val="16"/>
              </w:rPr>
              <w:t>163,7</w:t>
            </w:r>
          </w:p>
        </w:tc>
      </w:tr>
      <w:tr w:rsidR="00E3599D" w:rsidRPr="00E14102" w14:paraId="636F3E2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27B2B4" w14:textId="77777777" w:rsidR="008811AB" w:rsidRPr="00E14102" w:rsidRDefault="008811AB" w:rsidP="00E14102">
            <w:pPr>
              <w:jc w:val="both"/>
              <w:rPr>
                <w:color w:val="000000" w:themeColor="text1"/>
                <w:sz w:val="16"/>
                <w:szCs w:val="16"/>
              </w:rPr>
            </w:pPr>
            <w:r w:rsidRPr="00E14102">
              <w:rPr>
                <w:color w:val="000000" w:themeColor="text1"/>
                <w:sz w:val="16"/>
                <w:szCs w:val="16"/>
              </w:rPr>
              <w:t>б)оборудование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F8AB8" w14:textId="77777777" w:rsidR="008811AB" w:rsidRPr="00E14102" w:rsidRDefault="008811AB" w:rsidP="00E14102">
            <w:pPr>
              <w:jc w:val="both"/>
              <w:rPr>
                <w:color w:val="000000" w:themeColor="text1"/>
                <w:sz w:val="16"/>
                <w:szCs w:val="16"/>
              </w:rPr>
            </w:pPr>
            <w:r w:rsidRPr="00E14102">
              <w:rPr>
                <w:color w:val="000000" w:themeColor="text1"/>
                <w:sz w:val="16"/>
                <w:szCs w:val="16"/>
              </w:rPr>
              <w:t>7327,5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97AD4" w14:textId="77777777" w:rsidR="008811AB" w:rsidRPr="00E14102" w:rsidRDefault="008811AB" w:rsidP="00E14102">
            <w:pPr>
              <w:jc w:val="both"/>
              <w:rPr>
                <w:color w:val="000000" w:themeColor="text1"/>
                <w:sz w:val="16"/>
                <w:szCs w:val="16"/>
              </w:rPr>
            </w:pPr>
            <w:r w:rsidRPr="00E14102">
              <w:rPr>
                <w:color w:val="000000" w:themeColor="text1"/>
                <w:sz w:val="16"/>
                <w:szCs w:val="16"/>
              </w:rPr>
              <w:t>7651,1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9E385" w14:textId="77777777" w:rsidR="008811AB" w:rsidRPr="00E14102" w:rsidRDefault="008811AB" w:rsidP="00E14102">
            <w:pPr>
              <w:jc w:val="both"/>
              <w:rPr>
                <w:color w:val="000000" w:themeColor="text1"/>
                <w:sz w:val="16"/>
                <w:szCs w:val="16"/>
              </w:rPr>
            </w:pPr>
            <w:r w:rsidRPr="00E14102">
              <w:rPr>
                <w:color w:val="000000" w:themeColor="text1"/>
                <w:sz w:val="16"/>
                <w:szCs w:val="16"/>
              </w:rPr>
              <w:t>4647,1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A2A40" w14:textId="77777777" w:rsidR="008811AB" w:rsidRPr="00E14102" w:rsidRDefault="008811AB" w:rsidP="00E14102">
            <w:pPr>
              <w:jc w:val="both"/>
              <w:rPr>
                <w:color w:val="000000" w:themeColor="text1"/>
                <w:sz w:val="16"/>
                <w:szCs w:val="16"/>
              </w:rPr>
            </w:pPr>
            <w:r w:rsidRPr="00E14102">
              <w:rPr>
                <w:color w:val="000000" w:themeColor="text1"/>
                <w:sz w:val="16"/>
                <w:szCs w:val="16"/>
              </w:rPr>
              <w:t>5691,2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3B74A" w14:textId="77777777" w:rsidR="008811AB" w:rsidRPr="00E14102" w:rsidRDefault="008811AB" w:rsidP="00E14102">
            <w:pPr>
              <w:jc w:val="both"/>
              <w:rPr>
                <w:color w:val="000000" w:themeColor="text1"/>
                <w:sz w:val="16"/>
                <w:szCs w:val="16"/>
              </w:rPr>
            </w:pPr>
            <w:r w:rsidRPr="00E14102">
              <w:rPr>
                <w:color w:val="000000" w:themeColor="text1"/>
                <w:sz w:val="16"/>
                <w:szCs w:val="16"/>
              </w:rPr>
              <w:t>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B43C9" w14:textId="77777777" w:rsidR="008811AB" w:rsidRPr="00E14102" w:rsidRDefault="008811AB" w:rsidP="00E14102">
            <w:pPr>
              <w:jc w:val="both"/>
              <w:rPr>
                <w:color w:val="000000" w:themeColor="text1"/>
                <w:sz w:val="16"/>
                <w:szCs w:val="16"/>
              </w:rPr>
            </w:pPr>
            <w:r w:rsidRPr="00E14102">
              <w:rPr>
                <w:color w:val="000000" w:themeColor="text1"/>
                <w:sz w:val="16"/>
                <w:szCs w:val="16"/>
              </w:rPr>
              <w:t>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44ECF" w14:textId="77777777" w:rsidR="008811AB" w:rsidRPr="00E14102" w:rsidRDefault="008811AB" w:rsidP="00E14102">
            <w:pPr>
              <w:jc w:val="both"/>
              <w:rPr>
                <w:color w:val="000000" w:themeColor="text1"/>
                <w:sz w:val="16"/>
                <w:szCs w:val="16"/>
              </w:rPr>
            </w:pPr>
            <w:r w:rsidRPr="00E14102">
              <w:rPr>
                <w:color w:val="000000" w:themeColor="text1"/>
                <w:sz w:val="16"/>
                <w:szCs w:val="16"/>
              </w:rPr>
              <w:t>77,7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03E68" w14:textId="77777777" w:rsidR="008811AB" w:rsidRPr="00E14102" w:rsidRDefault="008811AB" w:rsidP="00E14102">
            <w:pPr>
              <w:jc w:val="both"/>
              <w:rPr>
                <w:color w:val="000000" w:themeColor="text1"/>
                <w:sz w:val="16"/>
                <w:szCs w:val="16"/>
              </w:rPr>
            </w:pPr>
            <w:r w:rsidRPr="00E14102">
              <w:rPr>
                <w:color w:val="000000" w:themeColor="text1"/>
                <w:sz w:val="16"/>
                <w:szCs w:val="16"/>
              </w:rPr>
              <w:t>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6E223" w14:textId="77777777" w:rsidR="008811AB" w:rsidRPr="00E14102" w:rsidRDefault="008811AB" w:rsidP="00E14102">
            <w:pPr>
              <w:jc w:val="both"/>
              <w:rPr>
                <w:color w:val="000000" w:themeColor="text1"/>
                <w:sz w:val="16"/>
                <w:szCs w:val="16"/>
              </w:rPr>
            </w:pPr>
            <w:r w:rsidRPr="00E14102">
              <w:rPr>
                <w:color w:val="000000" w:themeColor="text1"/>
                <w:sz w:val="16"/>
                <w:szCs w:val="16"/>
              </w:rPr>
              <w:t>60,7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E480E" w14:textId="77777777" w:rsidR="008811AB" w:rsidRPr="00E14102" w:rsidRDefault="008811AB" w:rsidP="00E14102">
            <w:pPr>
              <w:jc w:val="both"/>
              <w:rPr>
                <w:color w:val="000000" w:themeColor="text1"/>
                <w:sz w:val="16"/>
                <w:szCs w:val="16"/>
              </w:rPr>
            </w:pPr>
            <w:r w:rsidRPr="00E14102">
              <w:rPr>
                <w:color w:val="000000" w:themeColor="text1"/>
                <w:sz w:val="16"/>
                <w:szCs w:val="16"/>
              </w:rPr>
              <w:t>122,5</w:t>
            </w:r>
          </w:p>
        </w:tc>
      </w:tr>
      <w:tr w:rsidR="00E3599D" w:rsidRPr="00E14102" w14:paraId="2DA4DF9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AFCB10" w14:textId="77777777" w:rsidR="008811AB" w:rsidRPr="00E14102" w:rsidRDefault="008811AB" w:rsidP="00E14102">
            <w:pPr>
              <w:jc w:val="both"/>
              <w:rPr>
                <w:color w:val="000000" w:themeColor="text1"/>
                <w:sz w:val="16"/>
                <w:szCs w:val="16"/>
              </w:rPr>
            </w:pPr>
            <w:r w:rsidRPr="00E14102">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DF271" w14:textId="77777777" w:rsidR="008811AB" w:rsidRPr="00E14102" w:rsidRDefault="008811AB" w:rsidP="00E14102">
            <w:pPr>
              <w:jc w:val="both"/>
              <w:rPr>
                <w:color w:val="000000" w:themeColor="text1"/>
                <w:sz w:val="16"/>
                <w:szCs w:val="16"/>
              </w:rPr>
            </w:pPr>
            <w:r w:rsidRPr="00E14102">
              <w:rPr>
                <w:color w:val="000000" w:themeColor="text1"/>
                <w:sz w:val="16"/>
                <w:szCs w:val="16"/>
              </w:rPr>
              <w:t>1281,4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A936B" w14:textId="77777777" w:rsidR="008811AB" w:rsidRPr="00E14102" w:rsidRDefault="008811AB" w:rsidP="00E14102">
            <w:pPr>
              <w:jc w:val="both"/>
              <w:rPr>
                <w:color w:val="000000" w:themeColor="text1"/>
                <w:sz w:val="16"/>
                <w:szCs w:val="16"/>
              </w:rPr>
            </w:pPr>
            <w:r w:rsidRPr="00E14102">
              <w:rPr>
                <w:color w:val="000000" w:themeColor="text1"/>
                <w:sz w:val="16"/>
                <w:szCs w:val="16"/>
              </w:rPr>
              <w:t>2542,1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65CD1" w14:textId="77777777" w:rsidR="008811AB" w:rsidRPr="00E14102" w:rsidRDefault="008811AB" w:rsidP="00E14102">
            <w:pPr>
              <w:jc w:val="both"/>
              <w:rPr>
                <w:color w:val="000000" w:themeColor="text1"/>
                <w:sz w:val="16"/>
                <w:szCs w:val="16"/>
              </w:rPr>
            </w:pPr>
            <w:r w:rsidRPr="00E14102">
              <w:rPr>
                <w:color w:val="000000" w:themeColor="text1"/>
                <w:sz w:val="16"/>
                <w:szCs w:val="16"/>
              </w:rPr>
              <w:t>2053,5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39BCF" w14:textId="77777777" w:rsidR="008811AB" w:rsidRPr="00E14102" w:rsidRDefault="008811AB" w:rsidP="00E14102">
            <w:pPr>
              <w:jc w:val="both"/>
              <w:rPr>
                <w:color w:val="000000" w:themeColor="text1"/>
                <w:sz w:val="16"/>
                <w:szCs w:val="16"/>
              </w:rPr>
            </w:pPr>
            <w:r w:rsidRPr="00E14102">
              <w:rPr>
                <w:color w:val="000000" w:themeColor="text1"/>
                <w:sz w:val="16"/>
                <w:szCs w:val="16"/>
              </w:rPr>
              <w:t>1887,3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D44E4" w14:textId="77777777" w:rsidR="008811AB" w:rsidRPr="00E14102" w:rsidRDefault="008811AB" w:rsidP="00E14102">
            <w:pPr>
              <w:jc w:val="both"/>
              <w:rPr>
                <w:color w:val="000000" w:themeColor="text1"/>
                <w:sz w:val="16"/>
                <w:szCs w:val="16"/>
              </w:rPr>
            </w:pPr>
            <w:r w:rsidRPr="00E14102">
              <w:rPr>
                <w:color w:val="000000" w:themeColor="text1"/>
                <w:sz w:val="16"/>
                <w:szCs w:val="16"/>
              </w:rPr>
              <w:t>198,4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8BFDD" w14:textId="77777777" w:rsidR="008811AB" w:rsidRPr="00E14102" w:rsidRDefault="008811AB" w:rsidP="00E14102">
            <w:pPr>
              <w:jc w:val="both"/>
              <w:rPr>
                <w:color w:val="000000" w:themeColor="text1"/>
                <w:sz w:val="16"/>
                <w:szCs w:val="16"/>
              </w:rPr>
            </w:pPr>
            <w:r w:rsidRPr="00E14102">
              <w:rPr>
                <w:color w:val="000000" w:themeColor="text1"/>
                <w:sz w:val="16"/>
                <w:szCs w:val="16"/>
              </w:rPr>
              <w:t>160,3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53D61" w14:textId="77777777" w:rsidR="008811AB" w:rsidRPr="00E14102" w:rsidRDefault="008811AB" w:rsidP="00E14102">
            <w:pPr>
              <w:jc w:val="both"/>
              <w:rPr>
                <w:color w:val="000000" w:themeColor="text1"/>
                <w:sz w:val="16"/>
                <w:szCs w:val="16"/>
              </w:rPr>
            </w:pPr>
            <w:r w:rsidRPr="00E14102">
              <w:rPr>
                <w:color w:val="000000" w:themeColor="text1"/>
                <w:sz w:val="16"/>
                <w:szCs w:val="16"/>
              </w:rPr>
              <w:t>147,3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07FA4" w14:textId="77777777" w:rsidR="008811AB" w:rsidRPr="00E14102" w:rsidRDefault="008811AB" w:rsidP="00E14102">
            <w:pPr>
              <w:jc w:val="both"/>
              <w:rPr>
                <w:color w:val="000000" w:themeColor="text1"/>
                <w:sz w:val="16"/>
                <w:szCs w:val="16"/>
              </w:rPr>
            </w:pPr>
            <w:r w:rsidRPr="00E14102">
              <w:rPr>
                <w:color w:val="000000" w:themeColor="text1"/>
                <w:sz w:val="16"/>
                <w:szCs w:val="16"/>
              </w:rPr>
              <w:t>198,4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D8DDF" w14:textId="77777777" w:rsidR="008811AB" w:rsidRPr="00E14102" w:rsidRDefault="008811AB" w:rsidP="00E14102">
            <w:pPr>
              <w:jc w:val="both"/>
              <w:rPr>
                <w:color w:val="000000" w:themeColor="text1"/>
                <w:sz w:val="16"/>
                <w:szCs w:val="16"/>
              </w:rPr>
            </w:pPr>
            <w:r w:rsidRPr="00E14102">
              <w:rPr>
                <w:color w:val="000000" w:themeColor="text1"/>
                <w:sz w:val="16"/>
                <w:szCs w:val="16"/>
              </w:rPr>
              <w:t>80,8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86EF0" w14:textId="77777777" w:rsidR="008811AB" w:rsidRPr="00E14102" w:rsidRDefault="008811AB" w:rsidP="00E14102">
            <w:pPr>
              <w:jc w:val="both"/>
              <w:rPr>
                <w:color w:val="000000" w:themeColor="text1"/>
                <w:sz w:val="16"/>
                <w:szCs w:val="16"/>
              </w:rPr>
            </w:pPr>
            <w:r w:rsidRPr="00E14102">
              <w:rPr>
                <w:color w:val="000000" w:themeColor="text1"/>
                <w:sz w:val="16"/>
                <w:szCs w:val="16"/>
              </w:rPr>
              <w:t>91,9</w:t>
            </w:r>
          </w:p>
        </w:tc>
      </w:tr>
      <w:tr w:rsidR="00E3599D" w:rsidRPr="00E14102" w14:paraId="2640103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22FEDF" w14:textId="77777777" w:rsidR="008811AB" w:rsidRPr="00E14102" w:rsidRDefault="008811AB" w:rsidP="00E14102">
            <w:pPr>
              <w:jc w:val="both"/>
              <w:rPr>
                <w:color w:val="000000" w:themeColor="text1"/>
                <w:sz w:val="16"/>
                <w:szCs w:val="16"/>
              </w:rPr>
            </w:pPr>
            <w:r w:rsidRPr="00E14102">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88861" w14:textId="77777777" w:rsidR="008811AB" w:rsidRPr="00E14102" w:rsidRDefault="008811AB" w:rsidP="00E14102">
            <w:pPr>
              <w:jc w:val="both"/>
              <w:rPr>
                <w:color w:val="000000" w:themeColor="text1"/>
                <w:sz w:val="16"/>
                <w:szCs w:val="16"/>
              </w:rPr>
            </w:pPr>
            <w:r w:rsidRPr="00E14102">
              <w:rPr>
                <w:color w:val="000000" w:themeColor="text1"/>
                <w:sz w:val="16"/>
                <w:szCs w:val="16"/>
              </w:rPr>
              <w:t>503,8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4C322" w14:textId="77777777" w:rsidR="008811AB" w:rsidRPr="00E14102" w:rsidRDefault="008811AB" w:rsidP="00E14102">
            <w:pPr>
              <w:jc w:val="both"/>
              <w:rPr>
                <w:color w:val="000000" w:themeColor="text1"/>
                <w:sz w:val="16"/>
                <w:szCs w:val="16"/>
              </w:rPr>
            </w:pPr>
            <w:r w:rsidRPr="00E14102">
              <w:rPr>
                <w:color w:val="000000" w:themeColor="text1"/>
                <w:sz w:val="16"/>
                <w:szCs w:val="16"/>
              </w:rPr>
              <w:t>671,0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EDDA5" w14:textId="77777777" w:rsidR="008811AB" w:rsidRPr="00E14102" w:rsidRDefault="008811AB" w:rsidP="00E14102">
            <w:pPr>
              <w:jc w:val="both"/>
              <w:rPr>
                <w:color w:val="000000" w:themeColor="text1"/>
                <w:sz w:val="16"/>
                <w:szCs w:val="16"/>
              </w:rPr>
            </w:pPr>
            <w:r w:rsidRPr="00E14102">
              <w:rPr>
                <w:color w:val="000000" w:themeColor="text1"/>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9EB2A" w14:textId="77777777" w:rsidR="008811AB" w:rsidRPr="00E14102" w:rsidRDefault="008811AB" w:rsidP="00E14102">
            <w:pPr>
              <w:jc w:val="both"/>
              <w:rPr>
                <w:color w:val="000000" w:themeColor="text1"/>
                <w:sz w:val="16"/>
                <w:szCs w:val="16"/>
              </w:rPr>
            </w:pPr>
            <w:r w:rsidRPr="00E14102">
              <w:rPr>
                <w:color w:val="000000" w:themeColor="text1"/>
                <w:sz w:val="16"/>
                <w:szCs w:val="16"/>
              </w:rPr>
              <w:t>81,8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F9D7F" w14:textId="77777777" w:rsidR="008811AB" w:rsidRPr="00E14102" w:rsidRDefault="008811AB" w:rsidP="00E14102">
            <w:pPr>
              <w:jc w:val="both"/>
              <w:rPr>
                <w:color w:val="000000" w:themeColor="text1"/>
                <w:sz w:val="16"/>
                <w:szCs w:val="16"/>
              </w:rPr>
            </w:pPr>
            <w:r w:rsidRPr="00E14102">
              <w:rPr>
                <w:color w:val="000000" w:themeColor="text1"/>
                <w:sz w:val="16"/>
                <w:szCs w:val="16"/>
              </w:rPr>
              <w:t>133,2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9F910" w14:textId="77777777" w:rsidR="008811AB" w:rsidRPr="00E14102" w:rsidRDefault="008811AB" w:rsidP="00E14102">
            <w:pPr>
              <w:jc w:val="both"/>
              <w:rPr>
                <w:color w:val="000000" w:themeColor="text1"/>
                <w:sz w:val="16"/>
                <w:szCs w:val="16"/>
              </w:rPr>
            </w:pPr>
            <w:r w:rsidRPr="00E14102">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4B241" w14:textId="77777777" w:rsidR="008811AB" w:rsidRPr="00E14102" w:rsidRDefault="008811AB" w:rsidP="00E14102">
            <w:pPr>
              <w:jc w:val="both"/>
              <w:rPr>
                <w:color w:val="000000" w:themeColor="text1"/>
                <w:sz w:val="16"/>
                <w:szCs w:val="16"/>
              </w:rPr>
            </w:pPr>
            <w:r w:rsidRPr="00E14102">
              <w:rPr>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7407B" w14:textId="77777777" w:rsidR="008811AB" w:rsidRPr="00E14102" w:rsidRDefault="008811AB" w:rsidP="00E14102">
            <w:pPr>
              <w:jc w:val="both"/>
              <w:rPr>
                <w:color w:val="000000" w:themeColor="text1"/>
                <w:sz w:val="16"/>
                <w:szCs w:val="16"/>
              </w:rPr>
            </w:pPr>
            <w:r w:rsidRPr="00E14102">
              <w:rPr>
                <w:color w:val="000000" w:themeColor="text1"/>
                <w:sz w:val="16"/>
                <w:szCs w:val="16"/>
              </w:rPr>
              <w:t>133,2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1727E" w14:textId="77777777" w:rsidR="008811AB" w:rsidRPr="00E14102" w:rsidRDefault="008811AB" w:rsidP="00E14102">
            <w:pPr>
              <w:jc w:val="both"/>
              <w:rPr>
                <w:color w:val="000000" w:themeColor="text1"/>
                <w:sz w:val="16"/>
                <w:szCs w:val="16"/>
              </w:rPr>
            </w:pPr>
            <w:r w:rsidRPr="00E14102">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2345F" w14:textId="77777777" w:rsidR="008811AB" w:rsidRPr="00E14102" w:rsidRDefault="008811AB" w:rsidP="00E14102">
            <w:pPr>
              <w:jc w:val="both"/>
              <w:rPr>
                <w:color w:val="000000" w:themeColor="text1"/>
                <w:sz w:val="16"/>
                <w:szCs w:val="16"/>
              </w:rPr>
            </w:pPr>
            <w:r w:rsidRPr="00E14102">
              <w:rPr>
                <w:color w:val="000000" w:themeColor="text1"/>
                <w:sz w:val="16"/>
                <w:szCs w:val="16"/>
              </w:rPr>
              <w:t>419,5</w:t>
            </w:r>
          </w:p>
        </w:tc>
      </w:tr>
      <w:tr w:rsidR="00E3599D" w:rsidRPr="00E14102" w14:paraId="648148F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BB7A9C" w14:textId="77777777" w:rsidR="008811AB" w:rsidRPr="00E14102" w:rsidRDefault="008811AB" w:rsidP="00E14102">
            <w:pPr>
              <w:jc w:val="both"/>
              <w:rPr>
                <w:color w:val="000000" w:themeColor="text1"/>
                <w:sz w:val="16"/>
                <w:szCs w:val="16"/>
              </w:rPr>
            </w:pPr>
            <w:r w:rsidRPr="00E14102">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B579C" w14:textId="77777777" w:rsidR="008811AB" w:rsidRPr="00E14102" w:rsidRDefault="008811AB" w:rsidP="00E14102">
            <w:pPr>
              <w:jc w:val="both"/>
              <w:rPr>
                <w:color w:val="000000" w:themeColor="text1"/>
                <w:sz w:val="16"/>
                <w:szCs w:val="16"/>
              </w:rPr>
            </w:pPr>
            <w:r w:rsidRPr="00E14102">
              <w:rPr>
                <w:color w:val="000000" w:themeColor="text1"/>
                <w:sz w:val="16"/>
                <w:szCs w:val="16"/>
              </w:rPr>
              <w:t>216,6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CEA91" w14:textId="77777777" w:rsidR="008811AB" w:rsidRPr="00E14102" w:rsidRDefault="008811AB" w:rsidP="00E14102">
            <w:pPr>
              <w:jc w:val="both"/>
              <w:rPr>
                <w:color w:val="000000" w:themeColor="text1"/>
                <w:sz w:val="16"/>
                <w:szCs w:val="16"/>
              </w:rPr>
            </w:pPr>
            <w:r w:rsidRPr="00E14102">
              <w:rPr>
                <w:color w:val="000000" w:themeColor="text1"/>
                <w:sz w:val="16"/>
                <w:szCs w:val="16"/>
              </w:rPr>
              <w:t>229,0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FA701" w14:textId="77777777" w:rsidR="008811AB" w:rsidRPr="00E14102" w:rsidRDefault="008811AB" w:rsidP="00E14102">
            <w:pPr>
              <w:jc w:val="both"/>
              <w:rPr>
                <w:color w:val="000000" w:themeColor="text1"/>
                <w:sz w:val="16"/>
                <w:szCs w:val="16"/>
              </w:rPr>
            </w:pPr>
            <w:r w:rsidRPr="00E14102">
              <w:rPr>
                <w:color w:val="000000" w:themeColor="text1"/>
                <w:sz w:val="16"/>
                <w:szCs w:val="16"/>
              </w:rPr>
              <w:t>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67B2C" w14:textId="77777777" w:rsidR="008811AB" w:rsidRPr="00E14102" w:rsidRDefault="008811AB" w:rsidP="00E14102">
            <w:pPr>
              <w:jc w:val="both"/>
              <w:rPr>
                <w:color w:val="000000" w:themeColor="text1"/>
                <w:sz w:val="16"/>
                <w:szCs w:val="16"/>
              </w:rPr>
            </w:pPr>
            <w:r w:rsidRPr="00E14102">
              <w:rPr>
                <w:color w:val="000000" w:themeColor="text1"/>
                <w:sz w:val="16"/>
                <w:szCs w:val="16"/>
              </w:rPr>
              <w:t>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02E76" w14:textId="77777777" w:rsidR="008811AB" w:rsidRPr="00E14102" w:rsidRDefault="008811AB" w:rsidP="00E14102">
            <w:pPr>
              <w:jc w:val="both"/>
              <w:rPr>
                <w:color w:val="000000" w:themeColor="text1"/>
                <w:sz w:val="16"/>
                <w:szCs w:val="16"/>
              </w:rPr>
            </w:pPr>
            <w:r w:rsidRPr="00E14102">
              <w:rPr>
                <w:color w:val="000000" w:themeColor="text1"/>
                <w:sz w:val="16"/>
                <w:szCs w:val="16"/>
              </w:rPr>
              <w:t>105,7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338C9" w14:textId="77777777" w:rsidR="008811AB" w:rsidRPr="00E14102" w:rsidRDefault="008811AB" w:rsidP="00E14102">
            <w:pPr>
              <w:jc w:val="both"/>
              <w:rPr>
                <w:color w:val="000000" w:themeColor="text1"/>
                <w:sz w:val="16"/>
                <w:szCs w:val="16"/>
              </w:rPr>
            </w:pPr>
            <w:r w:rsidRPr="00E14102">
              <w:rPr>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661A5" w14:textId="77777777" w:rsidR="008811AB" w:rsidRPr="00E14102" w:rsidRDefault="008811AB" w:rsidP="00E14102">
            <w:pPr>
              <w:jc w:val="both"/>
              <w:rPr>
                <w:color w:val="000000" w:themeColor="text1"/>
                <w:sz w:val="16"/>
                <w:szCs w:val="16"/>
              </w:rPr>
            </w:pPr>
            <w:r w:rsidRPr="00E14102">
              <w:rPr>
                <w:color w:val="000000" w:themeColor="text1"/>
                <w:sz w:val="16"/>
                <w:szCs w:val="16"/>
              </w:rPr>
              <w:t>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CBC9F" w14:textId="77777777" w:rsidR="008811AB" w:rsidRPr="00E14102" w:rsidRDefault="008811AB" w:rsidP="00E14102">
            <w:pPr>
              <w:jc w:val="both"/>
              <w:rPr>
                <w:color w:val="000000" w:themeColor="text1"/>
                <w:sz w:val="16"/>
                <w:szCs w:val="16"/>
              </w:rPr>
            </w:pPr>
            <w:r w:rsidRPr="00E14102">
              <w:rPr>
                <w:color w:val="000000" w:themeColor="text1"/>
                <w:sz w:val="16"/>
                <w:szCs w:val="16"/>
              </w:rPr>
              <w:t>105,7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D1D1F" w14:textId="77777777" w:rsidR="008811AB" w:rsidRPr="00E14102" w:rsidRDefault="008811AB" w:rsidP="00E14102">
            <w:pPr>
              <w:jc w:val="both"/>
              <w:rPr>
                <w:color w:val="000000" w:themeColor="text1"/>
                <w:sz w:val="16"/>
                <w:szCs w:val="16"/>
              </w:rPr>
            </w:pPr>
            <w:r w:rsidRPr="00E14102">
              <w:rPr>
                <w:color w:val="000000" w:themeColor="text1"/>
                <w:sz w:val="16"/>
                <w:szCs w:val="16"/>
              </w:rPr>
              <w:t>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2DD50" w14:textId="77777777" w:rsidR="008811AB" w:rsidRPr="00E14102" w:rsidRDefault="008811AB" w:rsidP="00E14102">
            <w:pPr>
              <w:jc w:val="both"/>
              <w:rPr>
                <w:color w:val="000000" w:themeColor="text1"/>
                <w:sz w:val="16"/>
                <w:szCs w:val="16"/>
              </w:rPr>
            </w:pPr>
            <w:r w:rsidRPr="00E14102">
              <w:rPr>
                <w:color w:val="000000" w:themeColor="text1"/>
                <w:sz w:val="16"/>
                <w:szCs w:val="16"/>
              </w:rPr>
              <w:t>68,1</w:t>
            </w:r>
          </w:p>
        </w:tc>
      </w:tr>
      <w:tr w:rsidR="00E3599D" w:rsidRPr="00E14102" w14:paraId="4A0EF81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D8EBCB" w14:textId="77777777" w:rsidR="008811AB" w:rsidRPr="00E14102" w:rsidRDefault="008811AB" w:rsidP="00E14102">
            <w:pPr>
              <w:jc w:val="both"/>
              <w:rPr>
                <w:color w:val="000000" w:themeColor="text1"/>
                <w:sz w:val="16"/>
                <w:szCs w:val="16"/>
              </w:rPr>
            </w:pPr>
            <w:r w:rsidRPr="00E14102">
              <w:rPr>
                <w:color w:val="000000" w:themeColor="text1"/>
                <w:sz w:val="16"/>
                <w:szCs w:val="16"/>
              </w:rPr>
              <w:t>4) 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AB032" w14:textId="77777777" w:rsidR="008811AB" w:rsidRPr="00E14102" w:rsidRDefault="008811AB" w:rsidP="00E14102">
            <w:pPr>
              <w:jc w:val="both"/>
              <w:rPr>
                <w:color w:val="000000" w:themeColor="text1"/>
                <w:sz w:val="16"/>
                <w:szCs w:val="16"/>
              </w:rPr>
            </w:pPr>
            <w:r w:rsidRPr="00E14102">
              <w:rPr>
                <w:color w:val="000000" w:themeColor="text1"/>
                <w:sz w:val="16"/>
                <w:szCs w:val="16"/>
              </w:rPr>
              <w:t>366,1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66C1E" w14:textId="77777777" w:rsidR="008811AB" w:rsidRPr="00E14102" w:rsidRDefault="008811AB" w:rsidP="00E14102">
            <w:pPr>
              <w:jc w:val="both"/>
              <w:rPr>
                <w:color w:val="000000" w:themeColor="text1"/>
                <w:sz w:val="16"/>
                <w:szCs w:val="16"/>
              </w:rPr>
            </w:pPr>
            <w:r w:rsidRPr="00E14102">
              <w:rPr>
                <w:color w:val="000000" w:themeColor="text1"/>
                <w:sz w:val="16"/>
                <w:szCs w:val="16"/>
              </w:rPr>
              <w:t>769,7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EA1C6" w14:textId="77777777" w:rsidR="008811AB" w:rsidRPr="00E14102" w:rsidRDefault="008811AB" w:rsidP="00E14102">
            <w:pPr>
              <w:jc w:val="both"/>
              <w:rPr>
                <w:color w:val="000000" w:themeColor="text1"/>
                <w:sz w:val="16"/>
                <w:szCs w:val="16"/>
              </w:rPr>
            </w:pPr>
            <w:r w:rsidRPr="00E14102">
              <w:rPr>
                <w:color w:val="000000" w:themeColor="text1"/>
                <w:sz w:val="16"/>
                <w:szCs w:val="16"/>
              </w:rPr>
              <w:t>2492,6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111D5" w14:textId="77777777" w:rsidR="008811AB" w:rsidRPr="00E14102" w:rsidRDefault="008811AB" w:rsidP="00E14102">
            <w:pPr>
              <w:jc w:val="both"/>
              <w:rPr>
                <w:color w:val="000000" w:themeColor="text1"/>
                <w:sz w:val="16"/>
                <w:szCs w:val="16"/>
              </w:rPr>
            </w:pPr>
            <w:r w:rsidRPr="00E14102">
              <w:rPr>
                <w:color w:val="000000" w:themeColor="text1"/>
                <w:sz w:val="16"/>
                <w:szCs w:val="16"/>
              </w:rPr>
              <w:t>1483,1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5D73F" w14:textId="77777777" w:rsidR="008811AB" w:rsidRPr="00E14102" w:rsidRDefault="008811AB" w:rsidP="00E14102">
            <w:pPr>
              <w:jc w:val="both"/>
              <w:rPr>
                <w:color w:val="000000" w:themeColor="text1"/>
                <w:sz w:val="16"/>
                <w:szCs w:val="16"/>
              </w:rPr>
            </w:pPr>
            <w:r w:rsidRPr="00E14102">
              <w:rPr>
                <w:color w:val="000000" w:themeColor="text1"/>
                <w:sz w:val="16"/>
                <w:szCs w:val="16"/>
              </w:rPr>
              <w:t>210,2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F4E93" w14:textId="77777777" w:rsidR="008811AB" w:rsidRPr="00E14102" w:rsidRDefault="008811AB" w:rsidP="00E14102">
            <w:pPr>
              <w:jc w:val="both"/>
              <w:rPr>
                <w:color w:val="000000" w:themeColor="text1"/>
                <w:sz w:val="16"/>
                <w:szCs w:val="16"/>
              </w:rPr>
            </w:pPr>
            <w:r w:rsidRPr="00E14102">
              <w:rPr>
                <w:color w:val="000000" w:themeColor="text1"/>
                <w:sz w:val="16"/>
                <w:szCs w:val="16"/>
              </w:rPr>
              <w:t>680,9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62A35" w14:textId="77777777" w:rsidR="008811AB" w:rsidRPr="00E14102" w:rsidRDefault="008811AB" w:rsidP="00E14102">
            <w:pPr>
              <w:jc w:val="both"/>
              <w:rPr>
                <w:color w:val="000000" w:themeColor="text1"/>
                <w:sz w:val="16"/>
                <w:szCs w:val="16"/>
              </w:rPr>
            </w:pPr>
            <w:r w:rsidRPr="00E14102">
              <w:rPr>
                <w:color w:val="000000" w:themeColor="text1"/>
                <w:sz w:val="16"/>
                <w:szCs w:val="16"/>
              </w:rPr>
              <w:t>405,1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DEDB3" w14:textId="77777777" w:rsidR="008811AB" w:rsidRPr="00E14102" w:rsidRDefault="008811AB" w:rsidP="00E14102">
            <w:pPr>
              <w:jc w:val="both"/>
              <w:rPr>
                <w:color w:val="000000" w:themeColor="text1"/>
                <w:sz w:val="16"/>
                <w:szCs w:val="16"/>
              </w:rPr>
            </w:pPr>
            <w:r w:rsidRPr="00E14102">
              <w:rPr>
                <w:color w:val="000000" w:themeColor="text1"/>
                <w:sz w:val="16"/>
                <w:szCs w:val="16"/>
              </w:rPr>
              <w:t>210,2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4B994" w14:textId="77777777" w:rsidR="008811AB" w:rsidRPr="00E14102" w:rsidRDefault="008811AB" w:rsidP="00E14102">
            <w:pPr>
              <w:jc w:val="both"/>
              <w:rPr>
                <w:color w:val="000000" w:themeColor="text1"/>
                <w:sz w:val="16"/>
                <w:szCs w:val="16"/>
              </w:rPr>
            </w:pPr>
            <w:r w:rsidRPr="00E14102">
              <w:rPr>
                <w:color w:val="000000" w:themeColor="text1"/>
                <w:sz w:val="16"/>
                <w:szCs w:val="16"/>
              </w:rPr>
              <w:t>323,8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03C87" w14:textId="77777777" w:rsidR="008811AB" w:rsidRPr="00E14102" w:rsidRDefault="008811AB" w:rsidP="00E14102">
            <w:pPr>
              <w:jc w:val="both"/>
              <w:rPr>
                <w:color w:val="000000" w:themeColor="text1"/>
                <w:sz w:val="16"/>
                <w:szCs w:val="16"/>
              </w:rPr>
            </w:pPr>
            <w:r w:rsidRPr="00E14102">
              <w:rPr>
                <w:color w:val="000000" w:themeColor="text1"/>
                <w:sz w:val="16"/>
                <w:szCs w:val="16"/>
              </w:rPr>
              <w:t>59,5</w:t>
            </w:r>
          </w:p>
        </w:tc>
      </w:tr>
      <w:tr w:rsidR="00E3599D" w:rsidRPr="00E14102" w14:paraId="336F124C"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3B5127C2" w14:textId="77777777" w:rsidR="008811AB" w:rsidRPr="00E14102" w:rsidRDefault="008811AB" w:rsidP="00E14102">
            <w:pPr>
              <w:jc w:val="both"/>
              <w:rPr>
                <w:color w:val="000000" w:themeColor="text1"/>
                <w:sz w:val="16"/>
                <w:szCs w:val="16"/>
              </w:rPr>
            </w:pPr>
            <w:r w:rsidRPr="00E14102">
              <w:rPr>
                <w:color w:val="000000" w:themeColor="text1"/>
                <w:sz w:val="16"/>
                <w:szCs w:val="16"/>
              </w:rPr>
              <w:t>Итого по химии</w:t>
            </w:r>
          </w:p>
        </w:tc>
      </w:tr>
      <w:tr w:rsidR="00E3599D" w:rsidRPr="00E14102" w14:paraId="0671BDC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1DB8C3" w14:textId="77777777" w:rsidR="008811AB" w:rsidRPr="00E14102" w:rsidRDefault="008811AB" w:rsidP="00E14102">
            <w:pPr>
              <w:jc w:val="both"/>
              <w:rPr>
                <w:color w:val="000000" w:themeColor="text1"/>
                <w:sz w:val="16"/>
                <w:szCs w:val="16"/>
              </w:rPr>
            </w:pPr>
            <w:r w:rsidRPr="00E14102">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5F1CC" w14:textId="77777777" w:rsidR="008811AB" w:rsidRPr="00E14102" w:rsidRDefault="008811AB" w:rsidP="00E14102">
            <w:pPr>
              <w:jc w:val="both"/>
              <w:rPr>
                <w:color w:val="000000" w:themeColor="text1"/>
                <w:sz w:val="16"/>
                <w:szCs w:val="16"/>
              </w:rPr>
            </w:pPr>
            <w:r w:rsidRPr="00E14102">
              <w:rPr>
                <w:color w:val="000000" w:themeColor="text1"/>
                <w:sz w:val="16"/>
                <w:szCs w:val="16"/>
              </w:rPr>
              <w:t>145 745,9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9FA99" w14:textId="77777777" w:rsidR="008811AB" w:rsidRPr="00E14102" w:rsidRDefault="008811AB" w:rsidP="00E14102">
            <w:pPr>
              <w:jc w:val="both"/>
              <w:rPr>
                <w:color w:val="000000" w:themeColor="text1"/>
                <w:sz w:val="16"/>
                <w:szCs w:val="16"/>
              </w:rPr>
            </w:pPr>
            <w:r w:rsidRPr="00E14102">
              <w:rPr>
                <w:color w:val="000000" w:themeColor="text1"/>
                <w:sz w:val="16"/>
                <w:szCs w:val="16"/>
              </w:rPr>
              <w:t>178 020,9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F911B" w14:textId="77777777" w:rsidR="008811AB" w:rsidRPr="00E14102" w:rsidRDefault="008811AB" w:rsidP="00E14102">
            <w:pPr>
              <w:jc w:val="both"/>
              <w:rPr>
                <w:color w:val="000000" w:themeColor="text1"/>
                <w:sz w:val="16"/>
                <w:szCs w:val="16"/>
              </w:rPr>
            </w:pPr>
            <w:r w:rsidRPr="00E14102">
              <w:rPr>
                <w:color w:val="000000" w:themeColor="text1"/>
                <w:sz w:val="16"/>
                <w:szCs w:val="16"/>
              </w:rPr>
              <w:t>100 872,4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E8444" w14:textId="77777777" w:rsidR="008811AB" w:rsidRPr="00E14102" w:rsidRDefault="008811AB" w:rsidP="00E14102">
            <w:pPr>
              <w:jc w:val="both"/>
              <w:rPr>
                <w:color w:val="000000" w:themeColor="text1"/>
                <w:sz w:val="16"/>
                <w:szCs w:val="16"/>
              </w:rPr>
            </w:pPr>
            <w:r w:rsidRPr="00E14102">
              <w:rPr>
                <w:color w:val="000000" w:themeColor="text1"/>
                <w:sz w:val="16"/>
                <w:szCs w:val="16"/>
              </w:rPr>
              <w:t>106 140,1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4D4CE" w14:textId="77777777" w:rsidR="008811AB" w:rsidRPr="00E14102" w:rsidRDefault="008811AB" w:rsidP="00E14102">
            <w:pPr>
              <w:jc w:val="both"/>
              <w:rPr>
                <w:color w:val="000000" w:themeColor="text1"/>
                <w:sz w:val="16"/>
                <w:szCs w:val="16"/>
              </w:rPr>
            </w:pPr>
            <w:r w:rsidRPr="00E14102">
              <w:rPr>
                <w:color w:val="000000" w:themeColor="text1"/>
                <w:sz w:val="16"/>
                <w:szCs w:val="16"/>
              </w:rPr>
              <w:t>122,1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4D434" w14:textId="77777777" w:rsidR="008811AB" w:rsidRPr="00E14102" w:rsidRDefault="008811AB" w:rsidP="00E14102">
            <w:pPr>
              <w:jc w:val="both"/>
              <w:rPr>
                <w:color w:val="000000" w:themeColor="text1"/>
                <w:sz w:val="16"/>
                <w:szCs w:val="16"/>
              </w:rPr>
            </w:pPr>
            <w:r w:rsidRPr="00E14102">
              <w:rPr>
                <w:color w:val="000000" w:themeColor="text1"/>
                <w:sz w:val="16"/>
                <w:szCs w:val="16"/>
              </w:rPr>
              <w:t>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DA1EA" w14:textId="77777777" w:rsidR="008811AB" w:rsidRPr="00E14102" w:rsidRDefault="008811AB" w:rsidP="00E14102">
            <w:pPr>
              <w:jc w:val="both"/>
              <w:rPr>
                <w:color w:val="000000" w:themeColor="text1"/>
                <w:sz w:val="16"/>
                <w:szCs w:val="16"/>
              </w:rPr>
            </w:pPr>
            <w:r w:rsidRPr="00E14102">
              <w:rPr>
                <w:color w:val="000000" w:themeColor="text1"/>
                <w:sz w:val="16"/>
                <w:szCs w:val="16"/>
              </w:rPr>
              <w:t>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94B5F" w14:textId="77777777" w:rsidR="008811AB" w:rsidRPr="00E14102" w:rsidRDefault="008811AB" w:rsidP="00E14102">
            <w:pPr>
              <w:jc w:val="both"/>
              <w:rPr>
                <w:color w:val="000000" w:themeColor="text1"/>
                <w:sz w:val="16"/>
                <w:szCs w:val="16"/>
              </w:rPr>
            </w:pPr>
            <w:r w:rsidRPr="00E14102">
              <w:rPr>
                <w:color w:val="000000" w:themeColor="text1"/>
                <w:sz w:val="16"/>
                <w:szCs w:val="16"/>
              </w:rPr>
              <w:t>122,1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D72A5" w14:textId="77777777" w:rsidR="008811AB" w:rsidRPr="00E14102" w:rsidRDefault="008811AB" w:rsidP="00E14102">
            <w:pPr>
              <w:jc w:val="both"/>
              <w:rPr>
                <w:color w:val="000000" w:themeColor="text1"/>
                <w:sz w:val="16"/>
                <w:szCs w:val="16"/>
              </w:rPr>
            </w:pPr>
            <w:r w:rsidRPr="00E14102">
              <w:rPr>
                <w:color w:val="000000" w:themeColor="text1"/>
                <w:sz w:val="16"/>
                <w:szCs w:val="16"/>
              </w:rPr>
              <w:t>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41CCC" w14:textId="77777777" w:rsidR="008811AB" w:rsidRPr="00E14102" w:rsidRDefault="008811AB" w:rsidP="00E14102">
            <w:pPr>
              <w:jc w:val="both"/>
              <w:rPr>
                <w:color w:val="000000" w:themeColor="text1"/>
                <w:sz w:val="16"/>
                <w:szCs w:val="16"/>
              </w:rPr>
            </w:pPr>
            <w:r w:rsidRPr="00E14102">
              <w:rPr>
                <w:color w:val="000000" w:themeColor="text1"/>
                <w:sz w:val="16"/>
                <w:szCs w:val="16"/>
              </w:rPr>
              <w:t>105,2</w:t>
            </w:r>
          </w:p>
        </w:tc>
      </w:tr>
      <w:tr w:rsidR="00E3599D" w:rsidRPr="00E14102" w14:paraId="55807F4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8AB5A4" w14:textId="77777777" w:rsidR="008811AB" w:rsidRPr="00E14102" w:rsidRDefault="008811AB" w:rsidP="00E14102">
            <w:pPr>
              <w:jc w:val="both"/>
              <w:rPr>
                <w:color w:val="000000" w:themeColor="text1"/>
                <w:sz w:val="16"/>
                <w:szCs w:val="16"/>
              </w:rPr>
            </w:pPr>
            <w:r w:rsidRPr="00E14102">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72473"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E41BE"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CFA6D"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010BA"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E5CF9"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1BF81"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CAC3B"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80A49"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F4480"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39BE4"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r>
      <w:tr w:rsidR="00E3599D" w:rsidRPr="00E14102" w14:paraId="5A51825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9F8D9A" w14:textId="77777777" w:rsidR="008811AB" w:rsidRPr="00E14102" w:rsidRDefault="008811AB" w:rsidP="00E14102">
            <w:pPr>
              <w:jc w:val="both"/>
              <w:rPr>
                <w:color w:val="000000" w:themeColor="text1"/>
                <w:sz w:val="16"/>
                <w:szCs w:val="16"/>
              </w:rPr>
            </w:pPr>
            <w:r w:rsidRPr="00E14102">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81960" w14:textId="77777777" w:rsidR="008811AB" w:rsidRPr="00E14102" w:rsidRDefault="008811AB" w:rsidP="00E14102">
            <w:pPr>
              <w:jc w:val="both"/>
              <w:rPr>
                <w:color w:val="000000" w:themeColor="text1"/>
                <w:sz w:val="16"/>
                <w:szCs w:val="16"/>
              </w:rPr>
            </w:pPr>
            <w:r w:rsidRPr="00E14102">
              <w:rPr>
                <w:color w:val="000000" w:themeColor="text1"/>
                <w:sz w:val="16"/>
                <w:szCs w:val="16"/>
              </w:rPr>
              <w:t>60 941,4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235D8" w14:textId="77777777" w:rsidR="008811AB" w:rsidRPr="00E14102" w:rsidRDefault="008811AB" w:rsidP="00E14102">
            <w:pPr>
              <w:jc w:val="both"/>
              <w:rPr>
                <w:color w:val="000000" w:themeColor="text1"/>
                <w:sz w:val="16"/>
                <w:szCs w:val="16"/>
              </w:rPr>
            </w:pPr>
            <w:r w:rsidRPr="00E14102">
              <w:rPr>
                <w:color w:val="000000" w:themeColor="text1"/>
                <w:sz w:val="16"/>
                <w:szCs w:val="16"/>
              </w:rPr>
              <w:t>74 756,9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85B42" w14:textId="77777777" w:rsidR="008811AB" w:rsidRPr="00E14102" w:rsidRDefault="008811AB" w:rsidP="00E14102">
            <w:pPr>
              <w:jc w:val="both"/>
              <w:rPr>
                <w:color w:val="000000" w:themeColor="text1"/>
                <w:sz w:val="16"/>
                <w:szCs w:val="16"/>
              </w:rPr>
            </w:pPr>
            <w:r w:rsidRPr="00E14102">
              <w:rPr>
                <w:color w:val="000000" w:themeColor="text1"/>
                <w:sz w:val="16"/>
                <w:szCs w:val="16"/>
              </w:rPr>
              <w:t>42 031,8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1F13B" w14:textId="77777777" w:rsidR="008811AB" w:rsidRPr="00E14102" w:rsidRDefault="008811AB" w:rsidP="00E14102">
            <w:pPr>
              <w:jc w:val="both"/>
              <w:rPr>
                <w:color w:val="000000" w:themeColor="text1"/>
                <w:sz w:val="16"/>
                <w:szCs w:val="16"/>
              </w:rPr>
            </w:pPr>
            <w:r w:rsidRPr="00E14102">
              <w:rPr>
                <w:color w:val="000000" w:themeColor="text1"/>
                <w:sz w:val="16"/>
                <w:szCs w:val="16"/>
              </w:rPr>
              <w:t>56 222,0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040D3" w14:textId="77777777" w:rsidR="008811AB" w:rsidRPr="00E14102" w:rsidRDefault="008811AB" w:rsidP="00E14102">
            <w:pPr>
              <w:jc w:val="both"/>
              <w:rPr>
                <w:color w:val="000000" w:themeColor="text1"/>
                <w:sz w:val="16"/>
                <w:szCs w:val="16"/>
              </w:rPr>
            </w:pPr>
            <w:r w:rsidRPr="00E14102">
              <w:rPr>
                <w:color w:val="000000" w:themeColor="text1"/>
                <w:sz w:val="16"/>
                <w:szCs w:val="16"/>
              </w:rPr>
              <w:t>122,7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390B4" w14:textId="77777777" w:rsidR="008811AB" w:rsidRPr="00E14102" w:rsidRDefault="008811AB" w:rsidP="00E14102">
            <w:pPr>
              <w:jc w:val="both"/>
              <w:rPr>
                <w:color w:val="000000" w:themeColor="text1"/>
                <w:sz w:val="16"/>
                <w:szCs w:val="16"/>
              </w:rPr>
            </w:pPr>
            <w:r w:rsidRPr="00E14102">
              <w:rPr>
                <w:color w:val="000000" w:themeColor="text1"/>
                <w:sz w:val="16"/>
                <w:szCs w:val="16"/>
              </w:rPr>
              <w:t>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3301E" w14:textId="77777777" w:rsidR="008811AB" w:rsidRPr="00E14102" w:rsidRDefault="008811AB" w:rsidP="00E14102">
            <w:pPr>
              <w:jc w:val="both"/>
              <w:rPr>
                <w:color w:val="000000" w:themeColor="text1"/>
                <w:sz w:val="16"/>
                <w:szCs w:val="16"/>
              </w:rPr>
            </w:pPr>
            <w:r w:rsidRPr="00E14102">
              <w:rPr>
                <w:color w:val="000000" w:themeColor="text1"/>
                <w:sz w:val="16"/>
                <w:szCs w:val="16"/>
              </w:rPr>
              <w:t>92,3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9C9DD" w14:textId="77777777" w:rsidR="008811AB" w:rsidRPr="00E14102" w:rsidRDefault="008811AB" w:rsidP="00E14102">
            <w:pPr>
              <w:jc w:val="both"/>
              <w:rPr>
                <w:color w:val="000000" w:themeColor="text1"/>
                <w:sz w:val="16"/>
                <w:szCs w:val="16"/>
              </w:rPr>
            </w:pPr>
            <w:r w:rsidRPr="00E14102">
              <w:rPr>
                <w:color w:val="000000" w:themeColor="text1"/>
                <w:sz w:val="16"/>
                <w:szCs w:val="16"/>
              </w:rPr>
              <w:t>122,7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1EA64" w14:textId="77777777" w:rsidR="008811AB" w:rsidRPr="00E14102" w:rsidRDefault="008811AB" w:rsidP="00E14102">
            <w:pPr>
              <w:jc w:val="both"/>
              <w:rPr>
                <w:color w:val="000000" w:themeColor="text1"/>
                <w:sz w:val="16"/>
                <w:szCs w:val="16"/>
              </w:rPr>
            </w:pPr>
            <w:r w:rsidRPr="00E14102">
              <w:rPr>
                <w:color w:val="000000" w:themeColor="text1"/>
                <w:sz w:val="16"/>
                <w:szCs w:val="16"/>
              </w:rPr>
              <w:t>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9E6A1" w14:textId="77777777" w:rsidR="008811AB" w:rsidRPr="00E14102" w:rsidRDefault="008811AB" w:rsidP="00E14102">
            <w:pPr>
              <w:jc w:val="both"/>
              <w:rPr>
                <w:color w:val="000000" w:themeColor="text1"/>
                <w:sz w:val="16"/>
                <w:szCs w:val="16"/>
              </w:rPr>
            </w:pPr>
            <w:r w:rsidRPr="00E14102">
              <w:rPr>
                <w:color w:val="000000" w:themeColor="text1"/>
                <w:sz w:val="16"/>
                <w:szCs w:val="16"/>
              </w:rPr>
              <w:t>133,8</w:t>
            </w:r>
          </w:p>
        </w:tc>
      </w:tr>
      <w:tr w:rsidR="00E3599D" w:rsidRPr="00E14102" w14:paraId="6B0E564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01DA8A" w14:textId="77777777" w:rsidR="008811AB" w:rsidRPr="00E14102" w:rsidRDefault="008811AB" w:rsidP="00E14102">
            <w:pPr>
              <w:jc w:val="both"/>
              <w:rPr>
                <w:color w:val="000000" w:themeColor="text1"/>
                <w:sz w:val="16"/>
                <w:szCs w:val="16"/>
              </w:rPr>
            </w:pPr>
            <w:r w:rsidRPr="00E14102">
              <w:rPr>
                <w:color w:val="000000" w:themeColor="text1"/>
                <w:sz w:val="16"/>
                <w:szCs w:val="16"/>
              </w:rPr>
              <w:t>б)оборудование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98393" w14:textId="77777777" w:rsidR="008811AB" w:rsidRPr="00E14102" w:rsidRDefault="008811AB" w:rsidP="00E14102">
            <w:pPr>
              <w:jc w:val="both"/>
              <w:rPr>
                <w:color w:val="000000" w:themeColor="text1"/>
                <w:sz w:val="16"/>
                <w:szCs w:val="16"/>
              </w:rPr>
            </w:pPr>
            <w:r w:rsidRPr="00E14102">
              <w:rPr>
                <w:color w:val="000000" w:themeColor="text1"/>
                <w:sz w:val="16"/>
                <w:szCs w:val="16"/>
              </w:rPr>
              <w:t>68 249,3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97506" w14:textId="77777777" w:rsidR="008811AB" w:rsidRPr="00E14102" w:rsidRDefault="008811AB" w:rsidP="00E14102">
            <w:pPr>
              <w:jc w:val="both"/>
              <w:rPr>
                <w:color w:val="000000" w:themeColor="text1"/>
                <w:sz w:val="16"/>
                <w:szCs w:val="16"/>
              </w:rPr>
            </w:pPr>
            <w:r w:rsidRPr="00E14102">
              <w:rPr>
                <w:color w:val="000000" w:themeColor="text1"/>
                <w:sz w:val="16"/>
                <w:szCs w:val="16"/>
              </w:rPr>
              <w:t>81 955,0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B19C2" w14:textId="77777777" w:rsidR="008811AB" w:rsidRPr="00E14102" w:rsidRDefault="008811AB" w:rsidP="00E14102">
            <w:pPr>
              <w:jc w:val="both"/>
              <w:rPr>
                <w:color w:val="000000" w:themeColor="text1"/>
                <w:sz w:val="16"/>
                <w:szCs w:val="16"/>
              </w:rPr>
            </w:pPr>
            <w:r w:rsidRPr="00E14102">
              <w:rPr>
                <w:color w:val="000000" w:themeColor="text1"/>
                <w:sz w:val="16"/>
                <w:szCs w:val="16"/>
              </w:rPr>
              <w:t>45 332,6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7F241" w14:textId="77777777" w:rsidR="008811AB" w:rsidRPr="00E14102" w:rsidRDefault="008811AB" w:rsidP="00E14102">
            <w:pPr>
              <w:jc w:val="both"/>
              <w:rPr>
                <w:color w:val="000000" w:themeColor="text1"/>
                <w:sz w:val="16"/>
                <w:szCs w:val="16"/>
              </w:rPr>
            </w:pPr>
            <w:r w:rsidRPr="00E14102">
              <w:rPr>
                <w:color w:val="000000" w:themeColor="text1"/>
                <w:sz w:val="16"/>
                <w:szCs w:val="16"/>
              </w:rPr>
              <w:t>45 615,7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58C19" w14:textId="77777777" w:rsidR="008811AB" w:rsidRPr="00E14102" w:rsidRDefault="008811AB" w:rsidP="00E14102">
            <w:pPr>
              <w:jc w:val="both"/>
              <w:rPr>
                <w:color w:val="000000" w:themeColor="text1"/>
                <w:sz w:val="16"/>
                <w:szCs w:val="16"/>
              </w:rPr>
            </w:pPr>
            <w:r w:rsidRPr="00E14102">
              <w:rPr>
                <w:color w:val="000000" w:themeColor="text1"/>
                <w:sz w:val="16"/>
                <w:szCs w:val="16"/>
              </w:rPr>
              <w:t>120,1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C3E73" w14:textId="77777777" w:rsidR="008811AB" w:rsidRPr="00E14102" w:rsidRDefault="008811AB" w:rsidP="00E14102">
            <w:pPr>
              <w:jc w:val="both"/>
              <w:rPr>
                <w:color w:val="000000" w:themeColor="text1"/>
                <w:sz w:val="16"/>
                <w:szCs w:val="16"/>
              </w:rPr>
            </w:pPr>
            <w:r w:rsidRPr="00E14102">
              <w:rPr>
                <w:color w:val="000000" w:themeColor="text1"/>
                <w:sz w:val="16"/>
                <w:szCs w:val="16"/>
              </w:rPr>
              <w:t>66,4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4916C" w14:textId="77777777" w:rsidR="008811AB" w:rsidRPr="00E14102" w:rsidRDefault="008811AB" w:rsidP="00E14102">
            <w:pPr>
              <w:jc w:val="both"/>
              <w:rPr>
                <w:color w:val="000000" w:themeColor="text1"/>
                <w:sz w:val="16"/>
                <w:szCs w:val="16"/>
              </w:rPr>
            </w:pPr>
            <w:r w:rsidRPr="00E14102">
              <w:rPr>
                <w:color w:val="000000" w:themeColor="text1"/>
                <w:sz w:val="16"/>
                <w:szCs w:val="16"/>
              </w:rPr>
              <w:t>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BDFA9" w14:textId="77777777" w:rsidR="008811AB" w:rsidRPr="00E14102" w:rsidRDefault="008811AB" w:rsidP="00E14102">
            <w:pPr>
              <w:jc w:val="both"/>
              <w:rPr>
                <w:color w:val="000000" w:themeColor="text1"/>
                <w:sz w:val="16"/>
                <w:szCs w:val="16"/>
              </w:rPr>
            </w:pPr>
            <w:r w:rsidRPr="00E14102">
              <w:rPr>
                <w:color w:val="000000" w:themeColor="text1"/>
                <w:sz w:val="16"/>
                <w:szCs w:val="16"/>
              </w:rPr>
              <w:t>120,1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020F4" w14:textId="77777777" w:rsidR="008811AB" w:rsidRPr="00E14102" w:rsidRDefault="008811AB" w:rsidP="00E14102">
            <w:pPr>
              <w:jc w:val="both"/>
              <w:rPr>
                <w:color w:val="000000" w:themeColor="text1"/>
                <w:sz w:val="16"/>
                <w:szCs w:val="16"/>
              </w:rPr>
            </w:pPr>
            <w:r w:rsidRPr="00E14102">
              <w:rPr>
                <w:color w:val="000000" w:themeColor="text1"/>
                <w:sz w:val="16"/>
                <w:szCs w:val="16"/>
              </w:rPr>
              <w:t>55,3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CD9DA" w14:textId="77777777" w:rsidR="008811AB" w:rsidRPr="00E14102" w:rsidRDefault="008811AB" w:rsidP="00E14102">
            <w:pPr>
              <w:jc w:val="both"/>
              <w:rPr>
                <w:color w:val="000000" w:themeColor="text1"/>
                <w:sz w:val="16"/>
                <w:szCs w:val="16"/>
              </w:rPr>
            </w:pPr>
            <w:r w:rsidRPr="00E14102">
              <w:rPr>
                <w:color w:val="000000" w:themeColor="text1"/>
                <w:sz w:val="16"/>
                <w:szCs w:val="16"/>
              </w:rPr>
              <w:t>100,6</w:t>
            </w:r>
          </w:p>
        </w:tc>
      </w:tr>
      <w:tr w:rsidR="00E3599D" w:rsidRPr="00E14102" w14:paraId="4387D04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112369" w14:textId="77777777" w:rsidR="008811AB" w:rsidRPr="00E14102" w:rsidRDefault="008811AB" w:rsidP="00E14102">
            <w:pPr>
              <w:jc w:val="both"/>
              <w:rPr>
                <w:color w:val="000000" w:themeColor="text1"/>
                <w:sz w:val="16"/>
                <w:szCs w:val="16"/>
              </w:rPr>
            </w:pPr>
            <w:r w:rsidRPr="00E14102">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83468" w14:textId="77777777" w:rsidR="008811AB" w:rsidRPr="00E14102" w:rsidRDefault="008811AB" w:rsidP="00E14102">
            <w:pPr>
              <w:jc w:val="both"/>
              <w:rPr>
                <w:color w:val="000000" w:themeColor="text1"/>
                <w:sz w:val="16"/>
                <w:szCs w:val="16"/>
              </w:rPr>
            </w:pPr>
            <w:r w:rsidRPr="00E14102">
              <w:rPr>
                <w:color w:val="000000" w:themeColor="text1"/>
                <w:sz w:val="16"/>
                <w:szCs w:val="16"/>
              </w:rPr>
              <w:t>10 975,4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F5BA4" w14:textId="77777777" w:rsidR="008811AB" w:rsidRPr="00E14102" w:rsidRDefault="008811AB" w:rsidP="00E14102">
            <w:pPr>
              <w:jc w:val="both"/>
              <w:rPr>
                <w:color w:val="000000" w:themeColor="text1"/>
                <w:sz w:val="16"/>
                <w:szCs w:val="16"/>
              </w:rPr>
            </w:pPr>
            <w:r w:rsidRPr="00E14102">
              <w:rPr>
                <w:color w:val="000000" w:themeColor="text1"/>
                <w:sz w:val="16"/>
                <w:szCs w:val="16"/>
              </w:rPr>
              <w:t>15 089,5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B5E99" w14:textId="77777777" w:rsidR="008811AB" w:rsidRPr="00E14102" w:rsidRDefault="008811AB" w:rsidP="00E14102">
            <w:pPr>
              <w:jc w:val="both"/>
              <w:rPr>
                <w:color w:val="000000" w:themeColor="text1"/>
                <w:sz w:val="16"/>
                <w:szCs w:val="16"/>
              </w:rPr>
            </w:pPr>
            <w:r w:rsidRPr="00E14102">
              <w:rPr>
                <w:color w:val="000000" w:themeColor="text1"/>
                <w:sz w:val="16"/>
                <w:szCs w:val="16"/>
              </w:rPr>
              <w:t>8560,0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8DA03" w14:textId="77777777" w:rsidR="008811AB" w:rsidRPr="00E14102" w:rsidRDefault="008811AB" w:rsidP="00E14102">
            <w:pPr>
              <w:jc w:val="both"/>
              <w:rPr>
                <w:color w:val="000000" w:themeColor="text1"/>
                <w:sz w:val="16"/>
                <w:szCs w:val="16"/>
              </w:rPr>
            </w:pPr>
            <w:r w:rsidRPr="00E14102">
              <w:rPr>
                <w:color w:val="000000" w:themeColor="text1"/>
                <w:sz w:val="16"/>
                <w:szCs w:val="16"/>
              </w:rPr>
              <w:t>8809,0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09B67" w14:textId="77777777" w:rsidR="008811AB" w:rsidRPr="00E14102" w:rsidRDefault="008811AB" w:rsidP="00E14102">
            <w:pPr>
              <w:jc w:val="both"/>
              <w:rPr>
                <w:color w:val="000000" w:themeColor="text1"/>
                <w:sz w:val="16"/>
                <w:szCs w:val="16"/>
              </w:rPr>
            </w:pPr>
            <w:r w:rsidRPr="00E14102">
              <w:rPr>
                <w:color w:val="000000" w:themeColor="text1"/>
                <w:sz w:val="16"/>
                <w:szCs w:val="16"/>
              </w:rPr>
              <w:t>137,5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690FD" w14:textId="77777777" w:rsidR="008811AB" w:rsidRPr="00E14102" w:rsidRDefault="008811AB" w:rsidP="00E14102">
            <w:pPr>
              <w:jc w:val="both"/>
              <w:rPr>
                <w:color w:val="000000" w:themeColor="text1"/>
                <w:sz w:val="16"/>
                <w:szCs w:val="16"/>
              </w:rPr>
            </w:pPr>
            <w:r w:rsidRPr="00E14102">
              <w:rPr>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51A32" w14:textId="77777777" w:rsidR="008811AB" w:rsidRPr="00E14102" w:rsidRDefault="008811AB" w:rsidP="00E14102">
            <w:pPr>
              <w:jc w:val="both"/>
              <w:rPr>
                <w:color w:val="000000" w:themeColor="text1"/>
                <w:sz w:val="16"/>
                <w:szCs w:val="16"/>
              </w:rPr>
            </w:pPr>
            <w:r w:rsidRPr="00E14102">
              <w:rPr>
                <w:color w:val="000000" w:themeColor="text1"/>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AB34C" w14:textId="77777777" w:rsidR="008811AB" w:rsidRPr="00E14102" w:rsidRDefault="008811AB" w:rsidP="00E14102">
            <w:pPr>
              <w:jc w:val="both"/>
              <w:rPr>
                <w:color w:val="000000" w:themeColor="text1"/>
                <w:sz w:val="16"/>
                <w:szCs w:val="16"/>
              </w:rPr>
            </w:pPr>
            <w:r w:rsidRPr="00E14102">
              <w:rPr>
                <w:color w:val="000000" w:themeColor="text1"/>
                <w:sz w:val="16"/>
                <w:szCs w:val="16"/>
              </w:rPr>
              <w:t>137,5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D6139" w14:textId="77777777" w:rsidR="008811AB" w:rsidRPr="00E14102" w:rsidRDefault="008811AB" w:rsidP="00E14102">
            <w:pPr>
              <w:jc w:val="both"/>
              <w:rPr>
                <w:color w:val="000000" w:themeColor="text1"/>
                <w:sz w:val="16"/>
                <w:szCs w:val="16"/>
              </w:rPr>
            </w:pPr>
            <w:r w:rsidRPr="00E14102">
              <w:rPr>
                <w:color w:val="000000" w:themeColor="text1"/>
                <w:sz w:val="16"/>
                <w:szCs w:val="16"/>
              </w:rPr>
              <w:t>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79DA7" w14:textId="77777777" w:rsidR="008811AB" w:rsidRPr="00E14102" w:rsidRDefault="008811AB" w:rsidP="00E14102">
            <w:pPr>
              <w:jc w:val="both"/>
              <w:rPr>
                <w:color w:val="000000" w:themeColor="text1"/>
                <w:sz w:val="16"/>
                <w:szCs w:val="16"/>
              </w:rPr>
            </w:pPr>
            <w:r w:rsidRPr="00E14102">
              <w:rPr>
                <w:color w:val="000000" w:themeColor="text1"/>
                <w:sz w:val="16"/>
                <w:szCs w:val="16"/>
              </w:rPr>
              <w:t>102,9</w:t>
            </w:r>
          </w:p>
        </w:tc>
      </w:tr>
      <w:tr w:rsidR="00E3599D" w:rsidRPr="00E14102" w14:paraId="297B304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4D3D7B" w14:textId="77777777" w:rsidR="008811AB" w:rsidRPr="00E14102" w:rsidRDefault="008811AB" w:rsidP="00E14102">
            <w:pPr>
              <w:jc w:val="both"/>
              <w:rPr>
                <w:color w:val="000000" w:themeColor="text1"/>
                <w:sz w:val="16"/>
                <w:szCs w:val="16"/>
              </w:rPr>
            </w:pPr>
            <w:r w:rsidRPr="00E14102">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C78CA" w14:textId="77777777" w:rsidR="008811AB" w:rsidRPr="00E14102" w:rsidRDefault="008811AB" w:rsidP="00E14102">
            <w:pPr>
              <w:jc w:val="both"/>
              <w:rPr>
                <w:color w:val="000000" w:themeColor="text1"/>
                <w:sz w:val="16"/>
                <w:szCs w:val="16"/>
              </w:rPr>
            </w:pPr>
            <w:r w:rsidRPr="00E14102">
              <w:rPr>
                <w:color w:val="000000" w:themeColor="text1"/>
                <w:sz w:val="16"/>
                <w:szCs w:val="16"/>
              </w:rPr>
              <w:t>4829,9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2C6CF" w14:textId="77777777" w:rsidR="008811AB" w:rsidRPr="00E14102" w:rsidRDefault="008811AB" w:rsidP="00E14102">
            <w:pPr>
              <w:jc w:val="both"/>
              <w:rPr>
                <w:color w:val="000000" w:themeColor="text1"/>
                <w:sz w:val="16"/>
                <w:szCs w:val="16"/>
              </w:rPr>
            </w:pPr>
            <w:r w:rsidRPr="00E14102">
              <w:rPr>
                <w:color w:val="000000" w:themeColor="text1"/>
                <w:sz w:val="16"/>
                <w:szCs w:val="16"/>
              </w:rPr>
              <w:t>7126,5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1BC7A" w14:textId="77777777" w:rsidR="008811AB" w:rsidRPr="00E14102" w:rsidRDefault="008811AB" w:rsidP="00E14102">
            <w:pPr>
              <w:jc w:val="both"/>
              <w:rPr>
                <w:color w:val="000000" w:themeColor="text1"/>
                <w:sz w:val="16"/>
                <w:szCs w:val="16"/>
              </w:rPr>
            </w:pPr>
            <w:r w:rsidRPr="00E14102">
              <w:rPr>
                <w:color w:val="000000" w:themeColor="text1"/>
                <w:sz w:val="16"/>
                <w:szCs w:val="16"/>
              </w:rPr>
              <w:t>3547,0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886E3" w14:textId="77777777" w:rsidR="008811AB" w:rsidRPr="00E14102" w:rsidRDefault="008811AB" w:rsidP="00E14102">
            <w:pPr>
              <w:jc w:val="both"/>
              <w:rPr>
                <w:color w:val="000000" w:themeColor="text1"/>
                <w:sz w:val="16"/>
                <w:szCs w:val="16"/>
              </w:rPr>
            </w:pPr>
            <w:r w:rsidRPr="00E14102">
              <w:rPr>
                <w:color w:val="000000" w:themeColor="text1"/>
                <w:sz w:val="16"/>
                <w:szCs w:val="16"/>
              </w:rPr>
              <w:t>4547,2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B81E4" w14:textId="77777777" w:rsidR="008811AB" w:rsidRPr="00E14102" w:rsidRDefault="008811AB" w:rsidP="00E14102">
            <w:pPr>
              <w:jc w:val="both"/>
              <w:rPr>
                <w:color w:val="000000" w:themeColor="text1"/>
                <w:sz w:val="16"/>
                <w:szCs w:val="16"/>
              </w:rPr>
            </w:pPr>
            <w:r w:rsidRPr="00E14102">
              <w:rPr>
                <w:color w:val="000000" w:themeColor="text1"/>
                <w:sz w:val="16"/>
                <w:szCs w:val="16"/>
              </w:rPr>
              <w:t>147,5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2CFFD" w14:textId="77777777" w:rsidR="008811AB" w:rsidRPr="00E14102" w:rsidRDefault="008811AB" w:rsidP="00E14102">
            <w:pPr>
              <w:jc w:val="both"/>
              <w:rPr>
                <w:color w:val="000000" w:themeColor="text1"/>
                <w:sz w:val="16"/>
                <w:szCs w:val="16"/>
              </w:rPr>
            </w:pPr>
            <w:r w:rsidRPr="00E14102">
              <w:rPr>
                <w:color w:val="000000" w:themeColor="text1"/>
                <w:sz w:val="16"/>
                <w:szCs w:val="16"/>
              </w:rPr>
              <w:t>73,4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1CD50" w14:textId="77777777" w:rsidR="008811AB" w:rsidRPr="00E14102" w:rsidRDefault="008811AB" w:rsidP="00E14102">
            <w:pPr>
              <w:jc w:val="both"/>
              <w:rPr>
                <w:color w:val="000000" w:themeColor="text1"/>
                <w:sz w:val="16"/>
                <w:szCs w:val="16"/>
              </w:rPr>
            </w:pPr>
            <w:r w:rsidRPr="00E14102">
              <w:rPr>
                <w:color w:val="000000" w:themeColor="text1"/>
                <w:sz w:val="16"/>
                <w:szCs w:val="16"/>
              </w:rPr>
              <w:t>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E5CF0" w14:textId="77777777" w:rsidR="008811AB" w:rsidRPr="00E14102" w:rsidRDefault="008811AB" w:rsidP="00E14102">
            <w:pPr>
              <w:jc w:val="both"/>
              <w:rPr>
                <w:color w:val="000000" w:themeColor="text1"/>
                <w:sz w:val="16"/>
                <w:szCs w:val="16"/>
              </w:rPr>
            </w:pPr>
            <w:r w:rsidRPr="00E14102">
              <w:rPr>
                <w:color w:val="000000" w:themeColor="text1"/>
                <w:sz w:val="16"/>
                <w:szCs w:val="16"/>
              </w:rPr>
              <w:t>147,5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04C2A" w14:textId="77777777" w:rsidR="008811AB" w:rsidRPr="00E14102" w:rsidRDefault="008811AB" w:rsidP="00E14102">
            <w:pPr>
              <w:jc w:val="both"/>
              <w:rPr>
                <w:color w:val="000000" w:themeColor="text1"/>
                <w:sz w:val="16"/>
                <w:szCs w:val="16"/>
              </w:rPr>
            </w:pPr>
            <w:r w:rsidRPr="00E14102">
              <w:rPr>
                <w:color w:val="000000" w:themeColor="text1"/>
                <w:sz w:val="16"/>
                <w:szCs w:val="16"/>
              </w:rPr>
              <w:t>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6AD17" w14:textId="77777777" w:rsidR="008811AB" w:rsidRPr="00E14102" w:rsidRDefault="008811AB" w:rsidP="00E14102">
            <w:pPr>
              <w:jc w:val="both"/>
              <w:rPr>
                <w:color w:val="000000" w:themeColor="text1"/>
                <w:sz w:val="16"/>
                <w:szCs w:val="16"/>
              </w:rPr>
            </w:pPr>
            <w:r w:rsidRPr="00E14102">
              <w:rPr>
                <w:color w:val="000000" w:themeColor="text1"/>
                <w:sz w:val="16"/>
                <w:szCs w:val="16"/>
              </w:rPr>
              <w:t>128,2</w:t>
            </w:r>
          </w:p>
        </w:tc>
      </w:tr>
      <w:tr w:rsidR="00E3599D" w:rsidRPr="00E14102" w14:paraId="1765BA5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F82DB1" w14:textId="77777777" w:rsidR="008811AB" w:rsidRPr="00E14102" w:rsidRDefault="008811AB" w:rsidP="00E14102">
            <w:pPr>
              <w:jc w:val="both"/>
              <w:rPr>
                <w:color w:val="000000" w:themeColor="text1"/>
                <w:sz w:val="16"/>
                <w:szCs w:val="16"/>
              </w:rPr>
            </w:pPr>
            <w:r w:rsidRPr="00E14102">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DE2F3" w14:textId="77777777" w:rsidR="008811AB" w:rsidRPr="00E14102" w:rsidRDefault="008811AB" w:rsidP="00E14102">
            <w:pPr>
              <w:jc w:val="both"/>
              <w:rPr>
                <w:color w:val="000000" w:themeColor="text1"/>
                <w:sz w:val="16"/>
                <w:szCs w:val="16"/>
              </w:rPr>
            </w:pPr>
            <w:r w:rsidRPr="00E14102">
              <w:rPr>
                <w:color w:val="000000" w:themeColor="text1"/>
                <w:sz w:val="16"/>
                <w:szCs w:val="16"/>
              </w:rPr>
              <w:t>1939,7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863A9" w14:textId="77777777" w:rsidR="008811AB" w:rsidRPr="00E14102" w:rsidRDefault="008811AB" w:rsidP="00E14102">
            <w:pPr>
              <w:jc w:val="both"/>
              <w:rPr>
                <w:color w:val="000000" w:themeColor="text1"/>
                <w:sz w:val="16"/>
                <w:szCs w:val="16"/>
              </w:rPr>
            </w:pPr>
            <w:r w:rsidRPr="00E14102">
              <w:rPr>
                <w:color w:val="000000" w:themeColor="text1"/>
                <w:sz w:val="16"/>
                <w:szCs w:val="16"/>
              </w:rPr>
              <w:t>2241,1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42D00" w14:textId="77777777" w:rsidR="008811AB" w:rsidRPr="00E14102" w:rsidRDefault="008811AB" w:rsidP="00E14102">
            <w:pPr>
              <w:jc w:val="both"/>
              <w:rPr>
                <w:color w:val="000000" w:themeColor="text1"/>
                <w:sz w:val="16"/>
                <w:szCs w:val="16"/>
              </w:rPr>
            </w:pPr>
            <w:r w:rsidRPr="00E14102">
              <w:rPr>
                <w:color w:val="000000" w:themeColor="text1"/>
                <w:sz w:val="16"/>
                <w:szCs w:val="16"/>
              </w:rPr>
              <w:t>2163,8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F3456" w14:textId="77777777" w:rsidR="008811AB" w:rsidRPr="00E14102" w:rsidRDefault="008811AB" w:rsidP="00E14102">
            <w:pPr>
              <w:jc w:val="both"/>
              <w:rPr>
                <w:color w:val="000000" w:themeColor="text1"/>
                <w:sz w:val="16"/>
                <w:szCs w:val="16"/>
              </w:rPr>
            </w:pPr>
            <w:r w:rsidRPr="00E14102">
              <w:rPr>
                <w:color w:val="000000" w:themeColor="text1"/>
                <w:sz w:val="16"/>
                <w:szCs w:val="16"/>
              </w:rPr>
              <w:t>1474,8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7B131" w14:textId="77777777" w:rsidR="008811AB" w:rsidRPr="00E14102" w:rsidRDefault="008811AB" w:rsidP="00E14102">
            <w:pPr>
              <w:jc w:val="both"/>
              <w:rPr>
                <w:color w:val="000000" w:themeColor="text1"/>
                <w:sz w:val="16"/>
                <w:szCs w:val="16"/>
              </w:rPr>
            </w:pPr>
            <w:r w:rsidRPr="00E14102">
              <w:rPr>
                <w:color w:val="000000" w:themeColor="text1"/>
                <w:sz w:val="16"/>
                <w:szCs w:val="16"/>
              </w:rPr>
              <w:t>115,5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578A5" w14:textId="77777777" w:rsidR="008811AB" w:rsidRPr="00E14102" w:rsidRDefault="008811AB" w:rsidP="00E14102">
            <w:pPr>
              <w:jc w:val="both"/>
              <w:rPr>
                <w:color w:val="000000" w:themeColor="text1"/>
                <w:sz w:val="16"/>
                <w:szCs w:val="16"/>
              </w:rPr>
            </w:pPr>
            <w:r w:rsidRPr="00E14102">
              <w:rPr>
                <w:color w:val="000000" w:themeColor="text1"/>
                <w:sz w:val="16"/>
                <w:szCs w:val="16"/>
              </w:rPr>
              <w:t>111,6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23599" w14:textId="77777777" w:rsidR="008811AB" w:rsidRPr="00E14102" w:rsidRDefault="008811AB" w:rsidP="00E14102">
            <w:pPr>
              <w:jc w:val="both"/>
              <w:rPr>
                <w:color w:val="000000" w:themeColor="text1"/>
                <w:sz w:val="16"/>
                <w:szCs w:val="16"/>
              </w:rPr>
            </w:pPr>
            <w:r w:rsidRPr="00E14102">
              <w:rPr>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EF863" w14:textId="77777777" w:rsidR="008811AB" w:rsidRPr="00E14102" w:rsidRDefault="008811AB" w:rsidP="00E14102">
            <w:pPr>
              <w:jc w:val="both"/>
              <w:rPr>
                <w:color w:val="000000" w:themeColor="text1"/>
                <w:sz w:val="16"/>
                <w:szCs w:val="16"/>
              </w:rPr>
            </w:pPr>
            <w:r w:rsidRPr="00E14102">
              <w:rPr>
                <w:color w:val="000000" w:themeColor="text1"/>
                <w:sz w:val="16"/>
                <w:szCs w:val="16"/>
              </w:rPr>
              <w:t>115,5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BC496" w14:textId="77777777" w:rsidR="008811AB" w:rsidRPr="00E14102" w:rsidRDefault="008811AB" w:rsidP="00E14102">
            <w:pPr>
              <w:jc w:val="both"/>
              <w:rPr>
                <w:color w:val="000000" w:themeColor="text1"/>
                <w:sz w:val="16"/>
                <w:szCs w:val="16"/>
              </w:rPr>
            </w:pPr>
            <w:r w:rsidRPr="00E14102">
              <w:rPr>
                <w:color w:val="000000" w:themeColor="text1"/>
                <w:sz w:val="16"/>
                <w:szCs w:val="16"/>
              </w:rPr>
              <w:t>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16112" w14:textId="77777777" w:rsidR="008811AB" w:rsidRPr="00E14102" w:rsidRDefault="008811AB" w:rsidP="00E14102">
            <w:pPr>
              <w:jc w:val="both"/>
              <w:rPr>
                <w:color w:val="000000" w:themeColor="text1"/>
                <w:sz w:val="16"/>
                <w:szCs w:val="16"/>
              </w:rPr>
            </w:pPr>
            <w:r w:rsidRPr="00E14102">
              <w:rPr>
                <w:color w:val="000000" w:themeColor="text1"/>
                <w:sz w:val="16"/>
                <w:szCs w:val="16"/>
              </w:rPr>
              <w:t>68,2</w:t>
            </w:r>
          </w:p>
        </w:tc>
      </w:tr>
      <w:tr w:rsidR="00E3599D" w:rsidRPr="00E14102" w14:paraId="1E4119D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A999E8" w14:textId="77777777" w:rsidR="008811AB" w:rsidRPr="00E14102" w:rsidRDefault="008811AB" w:rsidP="00E14102">
            <w:pPr>
              <w:jc w:val="both"/>
              <w:rPr>
                <w:color w:val="000000" w:themeColor="text1"/>
                <w:sz w:val="16"/>
                <w:szCs w:val="16"/>
              </w:rPr>
            </w:pPr>
            <w:r w:rsidRPr="00E14102">
              <w:rPr>
                <w:color w:val="000000" w:themeColor="text1"/>
                <w:sz w:val="16"/>
                <w:szCs w:val="16"/>
              </w:rPr>
              <w:t>4)Капитальный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22302" w14:textId="77777777" w:rsidR="008811AB" w:rsidRPr="00E14102" w:rsidRDefault="008811AB" w:rsidP="00E14102">
            <w:pPr>
              <w:jc w:val="both"/>
              <w:rPr>
                <w:color w:val="000000" w:themeColor="text1"/>
                <w:sz w:val="16"/>
                <w:szCs w:val="16"/>
              </w:rPr>
            </w:pPr>
            <w:r w:rsidRPr="00E14102">
              <w:rPr>
                <w:color w:val="000000" w:themeColor="text1"/>
                <w:sz w:val="16"/>
                <w:szCs w:val="16"/>
              </w:rPr>
              <w:t>4846,3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5F9BD" w14:textId="77777777" w:rsidR="008811AB" w:rsidRPr="00E14102" w:rsidRDefault="008811AB" w:rsidP="00E14102">
            <w:pPr>
              <w:jc w:val="both"/>
              <w:rPr>
                <w:color w:val="000000" w:themeColor="text1"/>
                <w:sz w:val="16"/>
                <w:szCs w:val="16"/>
              </w:rPr>
            </w:pPr>
            <w:r w:rsidRPr="00E14102">
              <w:rPr>
                <w:color w:val="000000" w:themeColor="text1"/>
                <w:sz w:val="16"/>
                <w:szCs w:val="16"/>
              </w:rPr>
              <w:t>8199,9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AA4B8" w14:textId="77777777" w:rsidR="008811AB" w:rsidRPr="00E14102" w:rsidRDefault="008811AB" w:rsidP="00E14102">
            <w:pPr>
              <w:jc w:val="both"/>
              <w:rPr>
                <w:color w:val="000000" w:themeColor="text1"/>
                <w:sz w:val="16"/>
                <w:szCs w:val="16"/>
              </w:rPr>
            </w:pPr>
            <w:r w:rsidRPr="00E14102">
              <w:rPr>
                <w:color w:val="000000" w:themeColor="text1"/>
                <w:sz w:val="16"/>
                <w:szCs w:val="16"/>
              </w:rPr>
              <w:t>10 581,0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E179C" w14:textId="77777777" w:rsidR="008811AB" w:rsidRPr="00E14102" w:rsidRDefault="008811AB" w:rsidP="00E14102">
            <w:pPr>
              <w:jc w:val="both"/>
              <w:rPr>
                <w:color w:val="000000" w:themeColor="text1"/>
                <w:sz w:val="16"/>
                <w:szCs w:val="16"/>
              </w:rPr>
            </w:pPr>
            <w:r w:rsidRPr="00E14102">
              <w:rPr>
                <w:color w:val="000000" w:themeColor="text1"/>
                <w:sz w:val="16"/>
                <w:szCs w:val="16"/>
              </w:rPr>
              <w:t>11 837,9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CA3BF" w14:textId="77777777" w:rsidR="008811AB" w:rsidRPr="00E14102" w:rsidRDefault="008811AB" w:rsidP="00E14102">
            <w:pPr>
              <w:jc w:val="both"/>
              <w:rPr>
                <w:color w:val="000000" w:themeColor="text1"/>
                <w:sz w:val="16"/>
                <w:szCs w:val="16"/>
              </w:rPr>
            </w:pPr>
            <w:r w:rsidRPr="00E14102">
              <w:rPr>
                <w:color w:val="000000" w:themeColor="text1"/>
                <w:sz w:val="16"/>
                <w:szCs w:val="16"/>
              </w:rPr>
              <w:t>169,2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2BBC3" w14:textId="77777777" w:rsidR="008811AB" w:rsidRPr="00E14102" w:rsidRDefault="008811AB" w:rsidP="00E14102">
            <w:pPr>
              <w:jc w:val="both"/>
              <w:rPr>
                <w:color w:val="000000" w:themeColor="text1"/>
                <w:sz w:val="16"/>
                <w:szCs w:val="16"/>
              </w:rPr>
            </w:pPr>
            <w:r w:rsidRPr="00E14102">
              <w:rPr>
                <w:color w:val="000000" w:themeColor="text1"/>
                <w:sz w:val="16"/>
                <w:szCs w:val="16"/>
              </w:rPr>
              <w:t>218,3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A1EE7" w14:textId="77777777" w:rsidR="008811AB" w:rsidRPr="00E14102" w:rsidRDefault="008811AB" w:rsidP="00E14102">
            <w:pPr>
              <w:jc w:val="both"/>
              <w:rPr>
                <w:color w:val="000000" w:themeColor="text1"/>
                <w:sz w:val="16"/>
                <w:szCs w:val="16"/>
              </w:rPr>
            </w:pPr>
            <w:r w:rsidRPr="00E14102">
              <w:rPr>
                <w:color w:val="000000" w:themeColor="text1"/>
                <w:sz w:val="16"/>
                <w:szCs w:val="16"/>
              </w:rPr>
              <w:t>244,3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04F86" w14:textId="77777777" w:rsidR="008811AB" w:rsidRPr="00E14102" w:rsidRDefault="008811AB" w:rsidP="00E14102">
            <w:pPr>
              <w:jc w:val="both"/>
              <w:rPr>
                <w:color w:val="000000" w:themeColor="text1"/>
                <w:sz w:val="16"/>
                <w:szCs w:val="16"/>
              </w:rPr>
            </w:pPr>
            <w:r w:rsidRPr="00E14102">
              <w:rPr>
                <w:color w:val="000000" w:themeColor="text1"/>
                <w:sz w:val="16"/>
                <w:szCs w:val="16"/>
              </w:rPr>
              <w:t>169,2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785B9" w14:textId="77777777" w:rsidR="008811AB" w:rsidRPr="00E14102" w:rsidRDefault="008811AB" w:rsidP="00E14102">
            <w:pPr>
              <w:jc w:val="both"/>
              <w:rPr>
                <w:color w:val="000000" w:themeColor="text1"/>
                <w:sz w:val="16"/>
                <w:szCs w:val="16"/>
              </w:rPr>
            </w:pPr>
            <w:r w:rsidRPr="00E14102">
              <w:rPr>
                <w:color w:val="000000" w:themeColor="text1"/>
                <w:sz w:val="16"/>
                <w:szCs w:val="16"/>
              </w:rPr>
              <w:t>129,0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1CCF9" w14:textId="77777777" w:rsidR="008811AB" w:rsidRPr="00E14102" w:rsidRDefault="008811AB" w:rsidP="00E14102">
            <w:pPr>
              <w:jc w:val="both"/>
              <w:rPr>
                <w:color w:val="000000" w:themeColor="text1"/>
                <w:sz w:val="16"/>
                <w:szCs w:val="16"/>
              </w:rPr>
            </w:pPr>
            <w:r w:rsidRPr="00E14102">
              <w:rPr>
                <w:color w:val="000000" w:themeColor="text1"/>
                <w:sz w:val="16"/>
                <w:szCs w:val="16"/>
              </w:rPr>
              <w:t>111,9</w:t>
            </w:r>
          </w:p>
        </w:tc>
      </w:tr>
      <w:tr w:rsidR="00E3599D" w:rsidRPr="00E14102" w14:paraId="45939162"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428A0FF9" w14:textId="77777777" w:rsidR="008811AB" w:rsidRPr="00E14102" w:rsidRDefault="008811AB" w:rsidP="00E14102">
            <w:pPr>
              <w:jc w:val="both"/>
              <w:rPr>
                <w:color w:val="000000" w:themeColor="text1"/>
                <w:sz w:val="16"/>
                <w:szCs w:val="16"/>
              </w:rPr>
            </w:pPr>
            <w:r w:rsidRPr="00E14102">
              <w:rPr>
                <w:color w:val="000000" w:themeColor="text1"/>
                <w:sz w:val="16"/>
                <w:szCs w:val="16"/>
              </w:rPr>
              <w:t>Всего по военной промышленности</w:t>
            </w:r>
          </w:p>
        </w:tc>
      </w:tr>
      <w:tr w:rsidR="00E3599D" w:rsidRPr="00E14102" w14:paraId="4310B52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3D32D8" w14:textId="77777777" w:rsidR="008811AB" w:rsidRPr="00E14102" w:rsidRDefault="008811AB" w:rsidP="00E14102">
            <w:pPr>
              <w:jc w:val="both"/>
              <w:rPr>
                <w:color w:val="000000" w:themeColor="text1"/>
                <w:sz w:val="16"/>
                <w:szCs w:val="16"/>
              </w:rPr>
            </w:pPr>
            <w:r w:rsidRPr="00E14102">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464EE" w14:textId="77777777" w:rsidR="008811AB" w:rsidRPr="00E14102" w:rsidRDefault="008811AB" w:rsidP="00E14102">
            <w:pPr>
              <w:jc w:val="both"/>
              <w:rPr>
                <w:color w:val="000000" w:themeColor="text1"/>
                <w:sz w:val="16"/>
                <w:szCs w:val="16"/>
              </w:rPr>
            </w:pPr>
            <w:r w:rsidRPr="00E14102">
              <w:rPr>
                <w:color w:val="000000" w:themeColor="text1"/>
                <w:sz w:val="16"/>
                <w:szCs w:val="16"/>
              </w:rPr>
              <w:t>473 324,6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0DDD9" w14:textId="77777777" w:rsidR="008811AB" w:rsidRPr="00E14102" w:rsidRDefault="008811AB" w:rsidP="00E14102">
            <w:pPr>
              <w:jc w:val="both"/>
              <w:rPr>
                <w:color w:val="000000" w:themeColor="text1"/>
                <w:sz w:val="16"/>
                <w:szCs w:val="16"/>
              </w:rPr>
            </w:pPr>
            <w:r w:rsidRPr="00E14102">
              <w:rPr>
                <w:color w:val="000000" w:themeColor="text1"/>
                <w:sz w:val="16"/>
                <w:szCs w:val="16"/>
              </w:rPr>
              <w:t>759 017,7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B8A14" w14:textId="77777777" w:rsidR="008811AB" w:rsidRPr="00E14102" w:rsidRDefault="008811AB" w:rsidP="00E14102">
            <w:pPr>
              <w:jc w:val="both"/>
              <w:rPr>
                <w:color w:val="000000" w:themeColor="text1"/>
                <w:sz w:val="16"/>
                <w:szCs w:val="16"/>
              </w:rPr>
            </w:pPr>
            <w:r w:rsidRPr="00E14102">
              <w:rPr>
                <w:color w:val="000000" w:themeColor="text1"/>
                <w:sz w:val="16"/>
                <w:szCs w:val="16"/>
              </w:rPr>
              <w:t>476 112,4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CD63D" w14:textId="77777777" w:rsidR="008811AB" w:rsidRPr="00E14102" w:rsidRDefault="008811AB" w:rsidP="00E14102">
            <w:pPr>
              <w:jc w:val="both"/>
              <w:rPr>
                <w:color w:val="000000" w:themeColor="text1"/>
                <w:sz w:val="16"/>
                <w:szCs w:val="16"/>
              </w:rPr>
            </w:pPr>
            <w:r w:rsidRPr="00E14102">
              <w:rPr>
                <w:color w:val="000000" w:themeColor="text1"/>
                <w:sz w:val="16"/>
                <w:szCs w:val="16"/>
              </w:rPr>
              <w:t>755 978,1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3CC1C" w14:textId="77777777" w:rsidR="008811AB" w:rsidRPr="00E14102" w:rsidRDefault="008811AB" w:rsidP="00E14102">
            <w:pPr>
              <w:jc w:val="both"/>
              <w:rPr>
                <w:color w:val="000000" w:themeColor="text1"/>
                <w:sz w:val="16"/>
                <w:szCs w:val="16"/>
              </w:rPr>
            </w:pPr>
            <w:r w:rsidRPr="00E14102">
              <w:rPr>
                <w:color w:val="000000" w:themeColor="text1"/>
                <w:sz w:val="16"/>
                <w:szCs w:val="16"/>
              </w:rPr>
              <w:t>160,4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A2204" w14:textId="77777777" w:rsidR="008811AB" w:rsidRPr="00E14102" w:rsidRDefault="008811AB" w:rsidP="00E14102">
            <w:pPr>
              <w:jc w:val="both"/>
              <w:rPr>
                <w:color w:val="000000" w:themeColor="text1"/>
                <w:sz w:val="16"/>
                <w:szCs w:val="16"/>
              </w:rPr>
            </w:pPr>
            <w:r w:rsidRPr="00E14102">
              <w:rPr>
                <w:color w:val="000000" w:themeColor="text1"/>
                <w:sz w:val="16"/>
                <w:szCs w:val="16"/>
              </w:rPr>
              <w:t>100,6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7D71B" w14:textId="77777777" w:rsidR="008811AB" w:rsidRPr="00E14102" w:rsidRDefault="008811AB" w:rsidP="00E14102">
            <w:pPr>
              <w:jc w:val="both"/>
              <w:rPr>
                <w:color w:val="000000" w:themeColor="text1"/>
                <w:sz w:val="16"/>
                <w:szCs w:val="16"/>
              </w:rPr>
            </w:pPr>
            <w:r w:rsidRPr="00E14102">
              <w:rPr>
                <w:color w:val="000000" w:themeColor="text1"/>
                <w:sz w:val="16"/>
                <w:szCs w:val="16"/>
              </w:rPr>
              <w:t>159,7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416FB" w14:textId="77777777" w:rsidR="008811AB" w:rsidRPr="00E14102" w:rsidRDefault="008811AB" w:rsidP="00E14102">
            <w:pPr>
              <w:jc w:val="both"/>
              <w:rPr>
                <w:color w:val="000000" w:themeColor="text1"/>
                <w:sz w:val="16"/>
                <w:szCs w:val="16"/>
              </w:rPr>
            </w:pPr>
            <w:r w:rsidRPr="00E14102">
              <w:rPr>
                <w:color w:val="000000" w:themeColor="text1"/>
                <w:sz w:val="16"/>
                <w:szCs w:val="16"/>
              </w:rPr>
              <w:t>160,4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24B83" w14:textId="77777777" w:rsidR="008811AB" w:rsidRPr="00E14102" w:rsidRDefault="008811AB" w:rsidP="00E14102">
            <w:pPr>
              <w:jc w:val="both"/>
              <w:rPr>
                <w:color w:val="000000" w:themeColor="text1"/>
                <w:sz w:val="16"/>
                <w:szCs w:val="16"/>
              </w:rPr>
            </w:pPr>
            <w:r w:rsidRPr="00E14102">
              <w:rPr>
                <w:color w:val="000000" w:themeColor="text1"/>
                <w:sz w:val="16"/>
                <w:szCs w:val="16"/>
              </w:rPr>
              <w:t>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7C07F" w14:textId="77777777" w:rsidR="008811AB" w:rsidRPr="00E14102" w:rsidRDefault="008811AB" w:rsidP="00E14102">
            <w:pPr>
              <w:jc w:val="both"/>
              <w:rPr>
                <w:color w:val="000000" w:themeColor="text1"/>
                <w:sz w:val="16"/>
                <w:szCs w:val="16"/>
              </w:rPr>
            </w:pPr>
            <w:r w:rsidRPr="00E14102">
              <w:rPr>
                <w:color w:val="000000" w:themeColor="text1"/>
                <w:sz w:val="16"/>
                <w:szCs w:val="16"/>
              </w:rPr>
              <w:t>158,8</w:t>
            </w:r>
          </w:p>
        </w:tc>
      </w:tr>
      <w:tr w:rsidR="00E3599D" w:rsidRPr="00E14102" w14:paraId="1BCB593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02A462" w14:textId="77777777" w:rsidR="008811AB" w:rsidRPr="00E14102" w:rsidRDefault="008811AB" w:rsidP="00E14102">
            <w:pPr>
              <w:jc w:val="both"/>
              <w:rPr>
                <w:color w:val="000000" w:themeColor="text1"/>
                <w:sz w:val="16"/>
                <w:szCs w:val="16"/>
              </w:rPr>
            </w:pPr>
            <w:r w:rsidRPr="00E14102">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9302C"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9E978"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E6022"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AD365"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C7168"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7609A"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1A1CD"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9159B"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EB6E0"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A6181" w14:textId="77777777" w:rsidR="008811AB" w:rsidRPr="00E14102" w:rsidRDefault="008811AB" w:rsidP="00E14102">
            <w:pPr>
              <w:jc w:val="both"/>
              <w:rPr>
                <w:color w:val="000000" w:themeColor="text1"/>
                <w:sz w:val="16"/>
                <w:szCs w:val="16"/>
              </w:rPr>
            </w:pPr>
            <w:r w:rsidRPr="00E14102">
              <w:rPr>
                <w:color w:val="000000" w:themeColor="text1"/>
                <w:sz w:val="16"/>
                <w:szCs w:val="16"/>
              </w:rPr>
              <w:t> </w:t>
            </w:r>
          </w:p>
        </w:tc>
      </w:tr>
      <w:tr w:rsidR="00E3599D" w:rsidRPr="00E14102" w14:paraId="7AB2C2D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29AA01" w14:textId="77777777" w:rsidR="008811AB" w:rsidRPr="00E14102" w:rsidRDefault="008811AB" w:rsidP="00E14102">
            <w:pPr>
              <w:jc w:val="both"/>
              <w:rPr>
                <w:color w:val="000000" w:themeColor="text1"/>
                <w:sz w:val="16"/>
                <w:szCs w:val="16"/>
              </w:rPr>
            </w:pPr>
            <w:r w:rsidRPr="00E14102">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BD635" w14:textId="77777777" w:rsidR="008811AB" w:rsidRPr="00E14102" w:rsidRDefault="008811AB" w:rsidP="00E14102">
            <w:pPr>
              <w:jc w:val="both"/>
              <w:rPr>
                <w:color w:val="000000" w:themeColor="text1"/>
                <w:sz w:val="16"/>
                <w:szCs w:val="16"/>
              </w:rPr>
            </w:pPr>
            <w:r w:rsidRPr="00E14102">
              <w:rPr>
                <w:color w:val="000000" w:themeColor="text1"/>
                <w:sz w:val="16"/>
                <w:szCs w:val="16"/>
              </w:rPr>
              <w:t>238 831,8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59408" w14:textId="77777777" w:rsidR="008811AB" w:rsidRPr="00E14102" w:rsidRDefault="008811AB" w:rsidP="00E14102">
            <w:pPr>
              <w:jc w:val="both"/>
              <w:rPr>
                <w:color w:val="000000" w:themeColor="text1"/>
                <w:sz w:val="16"/>
                <w:szCs w:val="16"/>
              </w:rPr>
            </w:pPr>
            <w:r w:rsidRPr="00E14102">
              <w:rPr>
                <w:color w:val="000000" w:themeColor="text1"/>
                <w:sz w:val="16"/>
                <w:szCs w:val="16"/>
              </w:rPr>
              <w:t>400 362,4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CDC82" w14:textId="77777777" w:rsidR="008811AB" w:rsidRPr="00E14102" w:rsidRDefault="008811AB" w:rsidP="00E14102">
            <w:pPr>
              <w:jc w:val="both"/>
              <w:rPr>
                <w:color w:val="000000" w:themeColor="text1"/>
                <w:sz w:val="16"/>
                <w:szCs w:val="16"/>
              </w:rPr>
            </w:pPr>
            <w:r w:rsidRPr="00E14102">
              <w:rPr>
                <w:color w:val="000000" w:themeColor="text1"/>
                <w:sz w:val="16"/>
                <w:szCs w:val="16"/>
              </w:rPr>
              <w:t>240 993,5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44CC2" w14:textId="77777777" w:rsidR="008811AB" w:rsidRPr="00E14102" w:rsidRDefault="008811AB" w:rsidP="00E14102">
            <w:pPr>
              <w:jc w:val="both"/>
              <w:rPr>
                <w:color w:val="000000" w:themeColor="text1"/>
                <w:sz w:val="16"/>
                <w:szCs w:val="16"/>
              </w:rPr>
            </w:pPr>
            <w:r w:rsidRPr="00E14102">
              <w:rPr>
                <w:color w:val="000000" w:themeColor="text1"/>
                <w:sz w:val="16"/>
                <w:szCs w:val="16"/>
              </w:rPr>
              <w:t>447 118,8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166BF" w14:textId="77777777" w:rsidR="008811AB" w:rsidRPr="00E14102" w:rsidRDefault="008811AB" w:rsidP="00E14102">
            <w:pPr>
              <w:jc w:val="both"/>
              <w:rPr>
                <w:color w:val="000000" w:themeColor="text1"/>
                <w:sz w:val="16"/>
                <w:szCs w:val="16"/>
              </w:rPr>
            </w:pPr>
            <w:r w:rsidRPr="00E14102">
              <w:rPr>
                <w:color w:val="000000" w:themeColor="text1"/>
                <w:sz w:val="16"/>
                <w:szCs w:val="16"/>
              </w:rPr>
              <w:t>167,6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F970A" w14:textId="77777777" w:rsidR="008811AB" w:rsidRPr="00E14102" w:rsidRDefault="008811AB" w:rsidP="00E14102">
            <w:pPr>
              <w:jc w:val="both"/>
              <w:rPr>
                <w:color w:val="000000" w:themeColor="text1"/>
                <w:sz w:val="16"/>
                <w:szCs w:val="16"/>
              </w:rPr>
            </w:pPr>
            <w:r w:rsidRPr="00E14102">
              <w:rPr>
                <w:color w:val="000000" w:themeColor="text1"/>
                <w:sz w:val="16"/>
                <w:szCs w:val="16"/>
              </w:rPr>
              <w:t>100,9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21275" w14:textId="77777777" w:rsidR="008811AB" w:rsidRPr="00E14102" w:rsidRDefault="008811AB" w:rsidP="00E14102">
            <w:pPr>
              <w:jc w:val="both"/>
              <w:rPr>
                <w:color w:val="000000" w:themeColor="text1"/>
                <w:sz w:val="16"/>
                <w:szCs w:val="16"/>
              </w:rPr>
            </w:pPr>
            <w:r w:rsidRPr="00E14102">
              <w:rPr>
                <w:color w:val="000000" w:themeColor="text1"/>
                <w:sz w:val="16"/>
                <w:szCs w:val="16"/>
              </w:rPr>
              <w:t>187,2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AD257" w14:textId="77777777" w:rsidR="008811AB" w:rsidRPr="00E14102" w:rsidRDefault="008811AB" w:rsidP="00E14102">
            <w:pPr>
              <w:jc w:val="both"/>
              <w:rPr>
                <w:color w:val="000000" w:themeColor="text1"/>
                <w:sz w:val="16"/>
                <w:szCs w:val="16"/>
              </w:rPr>
            </w:pPr>
            <w:r w:rsidRPr="00E14102">
              <w:rPr>
                <w:color w:val="000000" w:themeColor="text1"/>
                <w:sz w:val="16"/>
                <w:szCs w:val="16"/>
              </w:rPr>
              <w:t>167,6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44A85" w14:textId="77777777" w:rsidR="008811AB" w:rsidRPr="00E14102" w:rsidRDefault="008811AB" w:rsidP="00E14102">
            <w:pPr>
              <w:jc w:val="both"/>
              <w:rPr>
                <w:color w:val="000000" w:themeColor="text1"/>
                <w:sz w:val="16"/>
                <w:szCs w:val="16"/>
              </w:rPr>
            </w:pPr>
            <w:r w:rsidRPr="00E14102">
              <w:rPr>
                <w:color w:val="000000" w:themeColor="text1"/>
                <w:sz w:val="16"/>
                <w:szCs w:val="16"/>
              </w:rPr>
              <w:t>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B8DFC" w14:textId="77777777" w:rsidR="008811AB" w:rsidRPr="00E14102" w:rsidRDefault="008811AB" w:rsidP="00E14102">
            <w:pPr>
              <w:jc w:val="both"/>
              <w:rPr>
                <w:color w:val="000000" w:themeColor="text1"/>
                <w:sz w:val="16"/>
                <w:szCs w:val="16"/>
              </w:rPr>
            </w:pPr>
            <w:r w:rsidRPr="00E14102">
              <w:rPr>
                <w:color w:val="000000" w:themeColor="text1"/>
                <w:sz w:val="16"/>
                <w:szCs w:val="16"/>
              </w:rPr>
              <w:t>185,5</w:t>
            </w:r>
          </w:p>
        </w:tc>
      </w:tr>
      <w:tr w:rsidR="00E3599D" w:rsidRPr="00E14102" w14:paraId="06E7217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E92764" w14:textId="77777777" w:rsidR="008811AB" w:rsidRPr="00E14102" w:rsidRDefault="008811AB" w:rsidP="00E14102">
            <w:pPr>
              <w:jc w:val="both"/>
              <w:rPr>
                <w:color w:val="000000" w:themeColor="text1"/>
                <w:sz w:val="16"/>
                <w:szCs w:val="16"/>
              </w:rPr>
            </w:pPr>
            <w:r w:rsidRPr="00E14102">
              <w:rPr>
                <w:color w:val="000000" w:themeColor="text1"/>
                <w:sz w:val="16"/>
                <w:szCs w:val="16"/>
              </w:rPr>
              <w:t>б)оборудование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90238" w14:textId="77777777" w:rsidR="008811AB" w:rsidRPr="00E14102" w:rsidRDefault="008811AB" w:rsidP="00E14102">
            <w:pPr>
              <w:jc w:val="both"/>
              <w:rPr>
                <w:color w:val="000000" w:themeColor="text1"/>
                <w:sz w:val="16"/>
                <w:szCs w:val="16"/>
              </w:rPr>
            </w:pPr>
            <w:r w:rsidRPr="00E14102">
              <w:rPr>
                <w:color w:val="000000" w:themeColor="text1"/>
                <w:sz w:val="16"/>
                <w:szCs w:val="16"/>
              </w:rPr>
              <w:t>166 308,2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6DE7B" w14:textId="77777777" w:rsidR="008811AB" w:rsidRPr="00E14102" w:rsidRDefault="008811AB" w:rsidP="00E14102">
            <w:pPr>
              <w:jc w:val="both"/>
              <w:rPr>
                <w:color w:val="000000" w:themeColor="text1"/>
                <w:sz w:val="16"/>
                <w:szCs w:val="16"/>
              </w:rPr>
            </w:pPr>
            <w:r w:rsidRPr="00E14102">
              <w:rPr>
                <w:color w:val="000000" w:themeColor="text1"/>
                <w:sz w:val="16"/>
                <w:szCs w:val="16"/>
              </w:rPr>
              <w:t>248 404,7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2011B" w14:textId="77777777" w:rsidR="008811AB" w:rsidRPr="00E14102" w:rsidRDefault="008811AB" w:rsidP="00E14102">
            <w:pPr>
              <w:jc w:val="both"/>
              <w:rPr>
                <w:color w:val="000000" w:themeColor="text1"/>
                <w:sz w:val="16"/>
                <w:szCs w:val="16"/>
              </w:rPr>
            </w:pPr>
            <w:r w:rsidRPr="00E14102">
              <w:rPr>
                <w:color w:val="000000" w:themeColor="text1"/>
                <w:sz w:val="16"/>
                <w:szCs w:val="16"/>
              </w:rPr>
              <w:t>174 234,1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13C5A" w14:textId="77777777" w:rsidR="008811AB" w:rsidRPr="00E14102" w:rsidRDefault="008811AB" w:rsidP="00E14102">
            <w:pPr>
              <w:jc w:val="both"/>
              <w:rPr>
                <w:color w:val="000000" w:themeColor="text1"/>
                <w:sz w:val="16"/>
                <w:szCs w:val="16"/>
              </w:rPr>
            </w:pPr>
            <w:r w:rsidRPr="00E14102">
              <w:rPr>
                <w:color w:val="000000" w:themeColor="text1"/>
                <w:sz w:val="16"/>
                <w:szCs w:val="16"/>
              </w:rPr>
              <w:t>244 069,0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536D7" w14:textId="77777777" w:rsidR="008811AB" w:rsidRPr="00E14102" w:rsidRDefault="008811AB" w:rsidP="00E14102">
            <w:pPr>
              <w:jc w:val="both"/>
              <w:rPr>
                <w:color w:val="000000" w:themeColor="text1"/>
                <w:sz w:val="16"/>
                <w:szCs w:val="16"/>
              </w:rPr>
            </w:pPr>
            <w:r w:rsidRPr="00E14102">
              <w:rPr>
                <w:color w:val="000000" w:themeColor="text1"/>
                <w:sz w:val="16"/>
                <w:szCs w:val="16"/>
              </w:rPr>
              <w:t>149,4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5B065" w14:textId="77777777" w:rsidR="008811AB" w:rsidRPr="00E14102" w:rsidRDefault="008811AB" w:rsidP="00E14102">
            <w:pPr>
              <w:jc w:val="both"/>
              <w:rPr>
                <w:color w:val="000000" w:themeColor="text1"/>
                <w:sz w:val="16"/>
                <w:szCs w:val="16"/>
              </w:rPr>
            </w:pPr>
            <w:r w:rsidRPr="00E14102">
              <w:rPr>
                <w:color w:val="000000" w:themeColor="text1"/>
                <w:sz w:val="16"/>
                <w:szCs w:val="16"/>
              </w:rPr>
              <w:t>104,8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CE7D0" w14:textId="77777777" w:rsidR="008811AB" w:rsidRPr="00E14102" w:rsidRDefault="008811AB" w:rsidP="00E14102">
            <w:pPr>
              <w:jc w:val="both"/>
              <w:rPr>
                <w:color w:val="000000" w:themeColor="text1"/>
                <w:sz w:val="16"/>
                <w:szCs w:val="16"/>
              </w:rPr>
            </w:pPr>
            <w:r w:rsidRPr="00E14102">
              <w:rPr>
                <w:color w:val="000000" w:themeColor="text1"/>
                <w:sz w:val="16"/>
                <w:szCs w:val="16"/>
              </w:rPr>
              <w:t>146,8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5D73B" w14:textId="77777777" w:rsidR="008811AB" w:rsidRPr="00E14102" w:rsidRDefault="008811AB" w:rsidP="00E14102">
            <w:pPr>
              <w:jc w:val="both"/>
              <w:rPr>
                <w:color w:val="000000" w:themeColor="text1"/>
                <w:sz w:val="16"/>
                <w:szCs w:val="16"/>
              </w:rPr>
            </w:pPr>
            <w:r w:rsidRPr="00E14102">
              <w:rPr>
                <w:color w:val="000000" w:themeColor="text1"/>
                <w:sz w:val="16"/>
                <w:szCs w:val="16"/>
              </w:rPr>
              <w:t>149,4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E9C8B" w14:textId="77777777" w:rsidR="008811AB" w:rsidRPr="00E14102" w:rsidRDefault="008811AB" w:rsidP="00E14102">
            <w:pPr>
              <w:jc w:val="both"/>
              <w:rPr>
                <w:color w:val="000000" w:themeColor="text1"/>
                <w:sz w:val="16"/>
                <w:szCs w:val="16"/>
              </w:rPr>
            </w:pPr>
            <w:r w:rsidRPr="00E14102">
              <w:rPr>
                <w:color w:val="000000" w:themeColor="text1"/>
                <w:sz w:val="16"/>
                <w:szCs w:val="16"/>
              </w:rPr>
              <w:t>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85D7B" w14:textId="77777777" w:rsidR="008811AB" w:rsidRPr="00E14102" w:rsidRDefault="008811AB" w:rsidP="00E14102">
            <w:pPr>
              <w:jc w:val="both"/>
              <w:rPr>
                <w:color w:val="000000" w:themeColor="text1"/>
                <w:sz w:val="16"/>
                <w:szCs w:val="16"/>
              </w:rPr>
            </w:pPr>
            <w:r w:rsidRPr="00E14102">
              <w:rPr>
                <w:color w:val="000000" w:themeColor="text1"/>
                <w:sz w:val="16"/>
                <w:szCs w:val="16"/>
              </w:rPr>
              <w:t>140,1</w:t>
            </w:r>
          </w:p>
        </w:tc>
      </w:tr>
      <w:tr w:rsidR="00E3599D" w:rsidRPr="00E14102" w14:paraId="3CBF6BB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FC57CE" w14:textId="77777777" w:rsidR="008811AB" w:rsidRPr="00E14102" w:rsidRDefault="008811AB" w:rsidP="00E14102">
            <w:pPr>
              <w:jc w:val="both"/>
              <w:rPr>
                <w:color w:val="000000" w:themeColor="text1"/>
                <w:sz w:val="16"/>
                <w:szCs w:val="16"/>
              </w:rPr>
            </w:pPr>
            <w:r w:rsidRPr="00E14102">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157CC" w14:textId="77777777" w:rsidR="008811AB" w:rsidRPr="00E14102" w:rsidRDefault="008811AB" w:rsidP="00E14102">
            <w:pPr>
              <w:jc w:val="both"/>
              <w:rPr>
                <w:color w:val="000000" w:themeColor="text1"/>
                <w:sz w:val="16"/>
                <w:szCs w:val="16"/>
              </w:rPr>
            </w:pPr>
            <w:r w:rsidRPr="00E14102">
              <w:rPr>
                <w:color w:val="000000" w:themeColor="text1"/>
                <w:sz w:val="16"/>
                <w:szCs w:val="16"/>
              </w:rPr>
              <w:t>48 476,3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1FE8E" w14:textId="77777777" w:rsidR="008811AB" w:rsidRPr="00E14102" w:rsidRDefault="008811AB" w:rsidP="00E14102">
            <w:pPr>
              <w:jc w:val="both"/>
              <w:rPr>
                <w:color w:val="000000" w:themeColor="text1"/>
                <w:sz w:val="16"/>
                <w:szCs w:val="16"/>
              </w:rPr>
            </w:pPr>
            <w:r w:rsidRPr="00E14102">
              <w:rPr>
                <w:color w:val="000000" w:themeColor="text1"/>
                <w:sz w:val="16"/>
                <w:szCs w:val="16"/>
              </w:rPr>
              <w:t>80 813,3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F786F" w14:textId="77777777" w:rsidR="008811AB" w:rsidRPr="00E14102" w:rsidRDefault="008811AB" w:rsidP="00E14102">
            <w:pPr>
              <w:jc w:val="both"/>
              <w:rPr>
                <w:color w:val="000000" w:themeColor="text1"/>
                <w:sz w:val="16"/>
                <w:szCs w:val="16"/>
              </w:rPr>
            </w:pPr>
            <w:r w:rsidRPr="00E14102">
              <w:rPr>
                <w:color w:val="000000" w:themeColor="text1"/>
                <w:sz w:val="16"/>
                <w:szCs w:val="16"/>
              </w:rPr>
              <w:t>47 564,3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C150F" w14:textId="77777777" w:rsidR="008811AB" w:rsidRPr="00E14102" w:rsidRDefault="008811AB" w:rsidP="00E14102">
            <w:pPr>
              <w:jc w:val="both"/>
              <w:rPr>
                <w:color w:val="000000" w:themeColor="text1"/>
                <w:sz w:val="16"/>
                <w:szCs w:val="16"/>
              </w:rPr>
            </w:pPr>
            <w:r w:rsidRPr="00E14102">
              <w:rPr>
                <w:color w:val="000000" w:themeColor="text1"/>
                <w:sz w:val="16"/>
                <w:szCs w:val="16"/>
              </w:rPr>
              <w:t>58 838,4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0DF60" w14:textId="77777777" w:rsidR="008811AB" w:rsidRPr="00E14102" w:rsidRDefault="008811AB" w:rsidP="00E14102">
            <w:pPr>
              <w:jc w:val="both"/>
              <w:rPr>
                <w:color w:val="000000" w:themeColor="text1"/>
                <w:sz w:val="16"/>
                <w:szCs w:val="16"/>
              </w:rPr>
            </w:pPr>
            <w:r w:rsidRPr="00E14102">
              <w:rPr>
                <w:color w:val="000000" w:themeColor="text1"/>
                <w:sz w:val="16"/>
                <w:szCs w:val="16"/>
              </w:rPr>
              <w:t>166,7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65AB0" w14:textId="77777777" w:rsidR="008811AB" w:rsidRPr="00E14102" w:rsidRDefault="008811AB" w:rsidP="00E14102">
            <w:pPr>
              <w:jc w:val="both"/>
              <w:rPr>
                <w:color w:val="000000" w:themeColor="text1"/>
                <w:sz w:val="16"/>
                <w:szCs w:val="16"/>
              </w:rPr>
            </w:pPr>
            <w:r w:rsidRPr="00E14102">
              <w:rPr>
                <w:color w:val="000000" w:themeColor="text1"/>
                <w:sz w:val="16"/>
                <w:szCs w:val="16"/>
              </w:rPr>
              <w:t>98,1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1F298" w14:textId="77777777" w:rsidR="008811AB" w:rsidRPr="00E14102" w:rsidRDefault="008811AB" w:rsidP="00E14102">
            <w:pPr>
              <w:jc w:val="both"/>
              <w:rPr>
                <w:color w:val="000000" w:themeColor="text1"/>
                <w:sz w:val="16"/>
                <w:szCs w:val="16"/>
              </w:rPr>
            </w:pPr>
            <w:r w:rsidRPr="00E14102">
              <w:rPr>
                <w:color w:val="000000" w:themeColor="text1"/>
                <w:sz w:val="16"/>
                <w:szCs w:val="16"/>
              </w:rPr>
              <w:t>121,4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49733" w14:textId="77777777" w:rsidR="008811AB" w:rsidRPr="00E14102" w:rsidRDefault="008811AB" w:rsidP="00E14102">
            <w:pPr>
              <w:jc w:val="both"/>
              <w:rPr>
                <w:color w:val="000000" w:themeColor="text1"/>
                <w:sz w:val="16"/>
                <w:szCs w:val="16"/>
              </w:rPr>
            </w:pPr>
            <w:r w:rsidRPr="00E14102">
              <w:rPr>
                <w:color w:val="000000" w:themeColor="text1"/>
                <w:sz w:val="16"/>
                <w:szCs w:val="16"/>
              </w:rPr>
              <w:t>166,7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93B2D" w14:textId="77777777" w:rsidR="008811AB" w:rsidRPr="00E14102" w:rsidRDefault="008811AB" w:rsidP="00E14102">
            <w:pPr>
              <w:jc w:val="both"/>
              <w:rPr>
                <w:color w:val="000000" w:themeColor="text1"/>
                <w:sz w:val="16"/>
                <w:szCs w:val="16"/>
              </w:rPr>
            </w:pPr>
            <w:r w:rsidRPr="00E14102">
              <w:rPr>
                <w:color w:val="000000" w:themeColor="text1"/>
                <w:sz w:val="16"/>
                <w:szCs w:val="16"/>
              </w:rPr>
              <w:t>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FD0F0" w14:textId="77777777" w:rsidR="008811AB" w:rsidRPr="00E14102" w:rsidRDefault="008811AB" w:rsidP="00E14102">
            <w:pPr>
              <w:jc w:val="both"/>
              <w:rPr>
                <w:color w:val="000000" w:themeColor="text1"/>
                <w:sz w:val="16"/>
                <w:szCs w:val="16"/>
              </w:rPr>
            </w:pPr>
            <w:r w:rsidRPr="00E14102">
              <w:rPr>
                <w:color w:val="000000" w:themeColor="text1"/>
                <w:sz w:val="16"/>
                <w:szCs w:val="16"/>
              </w:rPr>
              <w:t>123,7</w:t>
            </w:r>
          </w:p>
        </w:tc>
      </w:tr>
      <w:tr w:rsidR="00E3599D" w:rsidRPr="00E14102" w14:paraId="165C94A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9528B9" w14:textId="77777777" w:rsidR="008811AB" w:rsidRPr="00E14102" w:rsidRDefault="008811AB" w:rsidP="00E14102">
            <w:pPr>
              <w:jc w:val="both"/>
              <w:rPr>
                <w:color w:val="000000" w:themeColor="text1"/>
                <w:sz w:val="16"/>
                <w:szCs w:val="16"/>
              </w:rPr>
            </w:pPr>
            <w:r w:rsidRPr="00E14102">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80CBB" w14:textId="77777777" w:rsidR="008811AB" w:rsidRPr="00E14102" w:rsidRDefault="008811AB" w:rsidP="00E14102">
            <w:pPr>
              <w:jc w:val="both"/>
              <w:rPr>
                <w:color w:val="000000" w:themeColor="text1"/>
                <w:sz w:val="16"/>
                <w:szCs w:val="16"/>
              </w:rPr>
            </w:pPr>
            <w:r w:rsidRPr="00E14102">
              <w:rPr>
                <w:color w:val="000000" w:themeColor="text1"/>
                <w:sz w:val="16"/>
                <w:szCs w:val="16"/>
              </w:rPr>
              <w:t>34 510,6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D65BC" w14:textId="77777777" w:rsidR="008811AB" w:rsidRPr="00E14102" w:rsidRDefault="008811AB" w:rsidP="00E14102">
            <w:pPr>
              <w:jc w:val="both"/>
              <w:rPr>
                <w:color w:val="000000" w:themeColor="text1"/>
                <w:sz w:val="16"/>
                <w:szCs w:val="16"/>
              </w:rPr>
            </w:pPr>
            <w:r w:rsidRPr="00E14102">
              <w:rPr>
                <w:color w:val="000000" w:themeColor="text1"/>
                <w:sz w:val="16"/>
                <w:szCs w:val="16"/>
              </w:rPr>
              <w:t>40 901,7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4A441" w14:textId="77777777" w:rsidR="008811AB" w:rsidRPr="00E14102" w:rsidRDefault="008811AB" w:rsidP="00E14102">
            <w:pPr>
              <w:jc w:val="both"/>
              <w:rPr>
                <w:color w:val="000000" w:themeColor="text1"/>
                <w:sz w:val="16"/>
                <w:szCs w:val="16"/>
              </w:rPr>
            </w:pPr>
            <w:r w:rsidRPr="00E14102">
              <w:rPr>
                <w:color w:val="000000" w:themeColor="text1"/>
                <w:sz w:val="16"/>
                <w:szCs w:val="16"/>
              </w:rPr>
              <w:t>25 601,2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E2BFA" w14:textId="77777777" w:rsidR="008811AB" w:rsidRPr="00E14102" w:rsidRDefault="008811AB" w:rsidP="00E14102">
            <w:pPr>
              <w:jc w:val="both"/>
              <w:rPr>
                <w:color w:val="000000" w:themeColor="text1"/>
                <w:sz w:val="16"/>
                <w:szCs w:val="16"/>
              </w:rPr>
            </w:pPr>
            <w:r w:rsidRPr="00E14102">
              <w:rPr>
                <w:color w:val="000000" w:themeColor="text1"/>
                <w:sz w:val="16"/>
                <w:szCs w:val="16"/>
              </w:rPr>
              <w:t>32 018,8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9F1E8" w14:textId="77777777" w:rsidR="008811AB" w:rsidRPr="00E14102" w:rsidRDefault="008811AB" w:rsidP="00E14102">
            <w:pPr>
              <w:jc w:val="both"/>
              <w:rPr>
                <w:color w:val="000000" w:themeColor="text1"/>
                <w:sz w:val="16"/>
                <w:szCs w:val="16"/>
              </w:rPr>
            </w:pPr>
            <w:r w:rsidRPr="00E14102">
              <w:rPr>
                <w:color w:val="000000" w:themeColor="text1"/>
                <w:sz w:val="16"/>
                <w:szCs w:val="16"/>
              </w:rPr>
              <w:t>118,5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2342F" w14:textId="77777777" w:rsidR="008811AB" w:rsidRPr="00E14102" w:rsidRDefault="008811AB" w:rsidP="00E14102">
            <w:pPr>
              <w:jc w:val="both"/>
              <w:rPr>
                <w:color w:val="000000" w:themeColor="text1"/>
                <w:sz w:val="16"/>
                <w:szCs w:val="16"/>
              </w:rPr>
            </w:pPr>
            <w:r w:rsidRPr="00E14102">
              <w:rPr>
                <w:color w:val="000000" w:themeColor="text1"/>
                <w:sz w:val="16"/>
                <w:szCs w:val="16"/>
              </w:rPr>
              <w:t>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8E649" w14:textId="77777777" w:rsidR="008811AB" w:rsidRPr="00E14102" w:rsidRDefault="008811AB" w:rsidP="00E14102">
            <w:pPr>
              <w:jc w:val="both"/>
              <w:rPr>
                <w:color w:val="000000" w:themeColor="text1"/>
                <w:sz w:val="16"/>
                <w:szCs w:val="16"/>
              </w:rPr>
            </w:pPr>
            <w:r w:rsidRPr="00E14102">
              <w:rPr>
                <w:color w:val="000000" w:themeColor="text1"/>
                <w:sz w:val="16"/>
                <w:szCs w:val="16"/>
              </w:rPr>
              <w:t>92,2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7580F" w14:textId="77777777" w:rsidR="008811AB" w:rsidRPr="00E14102" w:rsidRDefault="008811AB" w:rsidP="00E14102">
            <w:pPr>
              <w:jc w:val="both"/>
              <w:rPr>
                <w:color w:val="000000" w:themeColor="text1"/>
                <w:sz w:val="16"/>
                <w:szCs w:val="16"/>
              </w:rPr>
            </w:pPr>
            <w:r w:rsidRPr="00E14102">
              <w:rPr>
                <w:color w:val="000000" w:themeColor="text1"/>
                <w:sz w:val="16"/>
                <w:szCs w:val="16"/>
              </w:rPr>
              <w:t>118,5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A139C" w14:textId="77777777" w:rsidR="008811AB" w:rsidRPr="00E14102" w:rsidRDefault="008811AB" w:rsidP="00E14102">
            <w:pPr>
              <w:jc w:val="both"/>
              <w:rPr>
                <w:color w:val="000000" w:themeColor="text1"/>
                <w:sz w:val="16"/>
                <w:szCs w:val="16"/>
              </w:rPr>
            </w:pPr>
            <w:r w:rsidRPr="00E14102">
              <w:rPr>
                <w:color w:val="000000" w:themeColor="text1"/>
                <w:sz w:val="16"/>
                <w:szCs w:val="16"/>
              </w:rPr>
              <w:t>62,6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F318B" w14:textId="77777777" w:rsidR="008811AB" w:rsidRPr="00E14102" w:rsidRDefault="008811AB" w:rsidP="00E14102">
            <w:pPr>
              <w:jc w:val="both"/>
              <w:rPr>
                <w:color w:val="000000" w:themeColor="text1"/>
                <w:sz w:val="16"/>
                <w:szCs w:val="16"/>
              </w:rPr>
            </w:pPr>
            <w:r w:rsidRPr="00E14102">
              <w:rPr>
                <w:color w:val="000000" w:themeColor="text1"/>
                <w:sz w:val="16"/>
                <w:szCs w:val="16"/>
              </w:rPr>
              <w:t>125,1</w:t>
            </w:r>
          </w:p>
        </w:tc>
      </w:tr>
      <w:tr w:rsidR="00E3599D" w:rsidRPr="00E14102" w14:paraId="45A4621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BFF833" w14:textId="77777777" w:rsidR="008811AB" w:rsidRPr="00E14102" w:rsidRDefault="008811AB" w:rsidP="00E14102">
            <w:pPr>
              <w:jc w:val="both"/>
              <w:rPr>
                <w:color w:val="000000" w:themeColor="text1"/>
                <w:sz w:val="16"/>
                <w:szCs w:val="16"/>
              </w:rPr>
            </w:pPr>
            <w:r w:rsidRPr="00E14102">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1B070" w14:textId="77777777" w:rsidR="008811AB" w:rsidRPr="00E14102" w:rsidRDefault="008811AB" w:rsidP="00E14102">
            <w:pPr>
              <w:jc w:val="both"/>
              <w:rPr>
                <w:color w:val="000000" w:themeColor="text1"/>
                <w:sz w:val="16"/>
                <w:szCs w:val="16"/>
              </w:rPr>
            </w:pPr>
            <w:r w:rsidRPr="00E14102">
              <w:rPr>
                <w:color w:val="000000" w:themeColor="text1"/>
                <w:sz w:val="16"/>
                <w:szCs w:val="16"/>
              </w:rPr>
              <w:t>9505,5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AB8E5" w14:textId="77777777" w:rsidR="008811AB" w:rsidRPr="00E14102" w:rsidRDefault="008811AB" w:rsidP="00E14102">
            <w:pPr>
              <w:jc w:val="both"/>
              <w:rPr>
                <w:color w:val="000000" w:themeColor="text1"/>
                <w:sz w:val="16"/>
                <w:szCs w:val="16"/>
              </w:rPr>
            </w:pPr>
            <w:r w:rsidRPr="00E14102">
              <w:rPr>
                <w:color w:val="000000" w:themeColor="text1"/>
                <w:sz w:val="16"/>
                <w:szCs w:val="16"/>
              </w:rPr>
              <w:t>15 478,0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3D492" w14:textId="77777777" w:rsidR="008811AB" w:rsidRPr="00E14102" w:rsidRDefault="008811AB" w:rsidP="00E14102">
            <w:pPr>
              <w:jc w:val="both"/>
              <w:rPr>
                <w:color w:val="000000" w:themeColor="text1"/>
                <w:sz w:val="16"/>
                <w:szCs w:val="16"/>
              </w:rPr>
            </w:pPr>
            <w:r w:rsidRPr="00E14102">
              <w:rPr>
                <w:color w:val="000000" w:themeColor="text1"/>
                <w:sz w:val="16"/>
                <w:szCs w:val="16"/>
              </w:rPr>
              <w:t>15 906,1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EEBC3" w14:textId="77777777" w:rsidR="008811AB" w:rsidRPr="00E14102" w:rsidRDefault="008811AB" w:rsidP="00E14102">
            <w:pPr>
              <w:jc w:val="both"/>
              <w:rPr>
                <w:color w:val="000000" w:themeColor="text1"/>
                <w:sz w:val="16"/>
                <w:szCs w:val="16"/>
              </w:rPr>
            </w:pPr>
            <w:r w:rsidRPr="00E14102">
              <w:rPr>
                <w:color w:val="000000" w:themeColor="text1"/>
                <w:sz w:val="16"/>
                <w:szCs w:val="16"/>
              </w:rPr>
              <w:t>14511,8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76219" w14:textId="77777777" w:rsidR="008811AB" w:rsidRPr="00E14102" w:rsidRDefault="008811AB" w:rsidP="00E14102">
            <w:pPr>
              <w:jc w:val="both"/>
              <w:rPr>
                <w:color w:val="000000" w:themeColor="text1"/>
                <w:sz w:val="16"/>
                <w:szCs w:val="16"/>
              </w:rPr>
            </w:pPr>
            <w:r w:rsidRPr="00E14102">
              <w:rPr>
                <w:color w:val="000000" w:themeColor="text1"/>
                <w:sz w:val="16"/>
                <w:szCs w:val="16"/>
              </w:rPr>
              <w:t>162,8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B0CC8" w14:textId="77777777" w:rsidR="008811AB" w:rsidRPr="00E14102" w:rsidRDefault="008811AB" w:rsidP="00E14102">
            <w:pPr>
              <w:jc w:val="both"/>
              <w:rPr>
                <w:color w:val="000000" w:themeColor="text1"/>
                <w:sz w:val="16"/>
                <w:szCs w:val="16"/>
              </w:rPr>
            </w:pPr>
            <w:r w:rsidRPr="00E14102">
              <w:rPr>
                <w:color w:val="000000" w:themeColor="text1"/>
                <w:sz w:val="16"/>
                <w:szCs w:val="16"/>
              </w:rPr>
              <w:t>167,3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63B3C" w14:textId="77777777" w:rsidR="008811AB" w:rsidRPr="00E14102" w:rsidRDefault="008811AB" w:rsidP="00E14102">
            <w:pPr>
              <w:jc w:val="both"/>
              <w:rPr>
                <w:color w:val="000000" w:themeColor="text1"/>
                <w:sz w:val="16"/>
                <w:szCs w:val="16"/>
              </w:rPr>
            </w:pPr>
            <w:r w:rsidRPr="00E14102">
              <w:rPr>
                <w:color w:val="000000" w:themeColor="text1"/>
                <w:sz w:val="16"/>
                <w:szCs w:val="16"/>
              </w:rPr>
              <w:t>152,7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B39D3" w14:textId="77777777" w:rsidR="008811AB" w:rsidRPr="00E14102" w:rsidRDefault="008811AB" w:rsidP="00E14102">
            <w:pPr>
              <w:jc w:val="both"/>
              <w:rPr>
                <w:color w:val="000000" w:themeColor="text1"/>
                <w:sz w:val="16"/>
                <w:szCs w:val="16"/>
              </w:rPr>
            </w:pPr>
            <w:r w:rsidRPr="00E14102">
              <w:rPr>
                <w:color w:val="000000" w:themeColor="text1"/>
                <w:sz w:val="16"/>
                <w:szCs w:val="16"/>
              </w:rPr>
              <w:t>162,8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62301" w14:textId="77777777" w:rsidR="008811AB" w:rsidRPr="00E14102" w:rsidRDefault="008811AB" w:rsidP="00E14102">
            <w:pPr>
              <w:jc w:val="both"/>
              <w:rPr>
                <w:color w:val="000000" w:themeColor="text1"/>
                <w:sz w:val="16"/>
                <w:szCs w:val="16"/>
              </w:rPr>
            </w:pPr>
            <w:r w:rsidRPr="00E14102">
              <w:rPr>
                <w:color w:val="000000" w:themeColor="text1"/>
                <w:sz w:val="16"/>
                <w:szCs w:val="16"/>
              </w:rPr>
              <w:t>102,8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99E8D" w14:textId="77777777" w:rsidR="008811AB" w:rsidRPr="00E14102" w:rsidRDefault="008811AB" w:rsidP="00E14102">
            <w:pPr>
              <w:jc w:val="both"/>
              <w:rPr>
                <w:color w:val="000000" w:themeColor="text1"/>
                <w:sz w:val="16"/>
                <w:szCs w:val="16"/>
              </w:rPr>
            </w:pPr>
            <w:r w:rsidRPr="00E14102">
              <w:rPr>
                <w:color w:val="000000" w:themeColor="text1"/>
                <w:sz w:val="16"/>
                <w:szCs w:val="16"/>
              </w:rPr>
              <w:t>91,2</w:t>
            </w:r>
          </w:p>
        </w:tc>
      </w:tr>
      <w:tr w:rsidR="00E3599D" w:rsidRPr="00E14102" w14:paraId="3CD8323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54B2AC" w14:textId="77777777" w:rsidR="008811AB" w:rsidRPr="00E14102" w:rsidRDefault="008811AB" w:rsidP="00E14102">
            <w:pPr>
              <w:jc w:val="both"/>
              <w:rPr>
                <w:color w:val="000000" w:themeColor="text1"/>
                <w:sz w:val="16"/>
                <w:szCs w:val="16"/>
              </w:rPr>
            </w:pPr>
            <w:r w:rsidRPr="00E14102">
              <w:rPr>
                <w:color w:val="000000" w:themeColor="text1"/>
                <w:sz w:val="16"/>
                <w:szCs w:val="16"/>
              </w:rPr>
              <w:t>4) 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75CE8" w14:textId="77777777" w:rsidR="008811AB" w:rsidRPr="00E14102" w:rsidRDefault="008811AB" w:rsidP="00E14102">
            <w:pPr>
              <w:jc w:val="both"/>
              <w:rPr>
                <w:color w:val="000000" w:themeColor="text1"/>
                <w:sz w:val="16"/>
                <w:szCs w:val="16"/>
              </w:rPr>
            </w:pPr>
            <w:r w:rsidRPr="00E14102">
              <w:rPr>
                <w:color w:val="000000" w:themeColor="text1"/>
                <w:sz w:val="16"/>
                <w:szCs w:val="16"/>
              </w:rPr>
              <w:t>24 288,9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403C1" w14:textId="77777777" w:rsidR="008811AB" w:rsidRPr="00E14102" w:rsidRDefault="008811AB" w:rsidP="00E14102">
            <w:pPr>
              <w:jc w:val="both"/>
              <w:rPr>
                <w:color w:val="000000" w:themeColor="text1"/>
                <w:sz w:val="16"/>
                <w:szCs w:val="16"/>
              </w:rPr>
            </w:pPr>
            <w:r w:rsidRPr="00E14102">
              <w:rPr>
                <w:color w:val="000000" w:themeColor="text1"/>
                <w:sz w:val="16"/>
                <w:szCs w:val="16"/>
              </w:rPr>
              <w:t>34 654,4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0C3EE" w14:textId="77777777" w:rsidR="008811AB" w:rsidRPr="00E14102" w:rsidRDefault="008811AB" w:rsidP="00E14102">
            <w:pPr>
              <w:jc w:val="both"/>
              <w:rPr>
                <w:color w:val="000000" w:themeColor="text1"/>
                <w:sz w:val="16"/>
                <w:szCs w:val="16"/>
              </w:rPr>
            </w:pPr>
            <w:r w:rsidRPr="00E14102">
              <w:rPr>
                <w:color w:val="000000" w:themeColor="text1"/>
                <w:sz w:val="16"/>
                <w:szCs w:val="16"/>
              </w:rPr>
              <w:t>29 580,7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93983" w14:textId="77777777" w:rsidR="008811AB" w:rsidRPr="00E14102" w:rsidRDefault="008811AB" w:rsidP="00E14102">
            <w:pPr>
              <w:jc w:val="both"/>
              <w:rPr>
                <w:color w:val="000000" w:themeColor="text1"/>
                <w:sz w:val="16"/>
                <w:szCs w:val="16"/>
              </w:rPr>
            </w:pPr>
            <w:r w:rsidRPr="00E14102">
              <w:rPr>
                <w:color w:val="000000" w:themeColor="text1"/>
                <w:sz w:val="16"/>
                <w:szCs w:val="16"/>
              </w:rPr>
              <w:t>37 567,6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004F8" w14:textId="77777777" w:rsidR="008811AB" w:rsidRPr="00E14102" w:rsidRDefault="008811AB" w:rsidP="00E14102">
            <w:pPr>
              <w:jc w:val="both"/>
              <w:rPr>
                <w:color w:val="000000" w:themeColor="text1"/>
                <w:sz w:val="16"/>
                <w:szCs w:val="16"/>
              </w:rPr>
            </w:pPr>
            <w:r w:rsidRPr="00E14102">
              <w:rPr>
                <w:color w:val="000000" w:themeColor="text1"/>
                <w:sz w:val="16"/>
                <w:szCs w:val="16"/>
              </w:rPr>
              <w:t>142,7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B88A3" w14:textId="77777777" w:rsidR="008811AB" w:rsidRPr="00E14102" w:rsidRDefault="008811AB" w:rsidP="00E14102">
            <w:pPr>
              <w:jc w:val="both"/>
              <w:rPr>
                <w:color w:val="000000" w:themeColor="text1"/>
                <w:sz w:val="16"/>
                <w:szCs w:val="16"/>
              </w:rPr>
            </w:pPr>
            <w:r w:rsidRPr="00E14102">
              <w:rPr>
                <w:color w:val="000000" w:themeColor="text1"/>
                <w:sz w:val="16"/>
                <w:szCs w:val="16"/>
              </w:rPr>
              <w:t>121,8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5E0CE" w14:textId="77777777" w:rsidR="008811AB" w:rsidRPr="00E14102" w:rsidRDefault="008811AB" w:rsidP="00E14102">
            <w:pPr>
              <w:jc w:val="both"/>
              <w:rPr>
                <w:color w:val="000000" w:themeColor="text1"/>
                <w:sz w:val="16"/>
                <w:szCs w:val="16"/>
              </w:rPr>
            </w:pPr>
            <w:r w:rsidRPr="00E14102">
              <w:rPr>
                <w:color w:val="000000" w:themeColor="text1"/>
                <w:sz w:val="16"/>
                <w:szCs w:val="16"/>
              </w:rPr>
              <w:t>154,7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E27F6" w14:textId="77777777" w:rsidR="008811AB" w:rsidRPr="00E14102" w:rsidRDefault="008811AB" w:rsidP="00E14102">
            <w:pPr>
              <w:jc w:val="both"/>
              <w:rPr>
                <w:color w:val="000000" w:themeColor="text1"/>
                <w:sz w:val="16"/>
                <w:szCs w:val="16"/>
              </w:rPr>
            </w:pPr>
            <w:r w:rsidRPr="00E14102">
              <w:rPr>
                <w:color w:val="000000" w:themeColor="text1"/>
                <w:sz w:val="16"/>
                <w:szCs w:val="16"/>
              </w:rPr>
              <w:t>142,7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FDC37" w14:textId="77777777" w:rsidR="008811AB" w:rsidRPr="00E14102" w:rsidRDefault="008811AB" w:rsidP="00E14102">
            <w:pPr>
              <w:jc w:val="both"/>
              <w:rPr>
                <w:color w:val="000000" w:themeColor="text1"/>
                <w:sz w:val="16"/>
                <w:szCs w:val="16"/>
              </w:rPr>
            </w:pPr>
            <w:r w:rsidRPr="00E14102">
              <w:rPr>
                <w:color w:val="000000" w:themeColor="text1"/>
                <w:sz w:val="16"/>
                <w:szCs w:val="16"/>
              </w:rPr>
              <w:t>85,4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FE745" w14:textId="77777777" w:rsidR="008811AB" w:rsidRPr="00E14102" w:rsidRDefault="008811AB" w:rsidP="00E14102">
            <w:pPr>
              <w:jc w:val="both"/>
              <w:rPr>
                <w:color w:val="000000" w:themeColor="text1"/>
                <w:sz w:val="16"/>
                <w:szCs w:val="16"/>
              </w:rPr>
            </w:pPr>
            <w:r w:rsidRPr="00E14102">
              <w:rPr>
                <w:color w:val="000000" w:themeColor="text1"/>
                <w:sz w:val="16"/>
                <w:szCs w:val="16"/>
              </w:rPr>
              <w:t>127,0</w:t>
            </w:r>
          </w:p>
        </w:tc>
      </w:tr>
    </w:tbl>
    <w:p w14:paraId="4D0BFE6A" w14:textId="77777777" w:rsidR="008811AB" w:rsidRPr="00E14102" w:rsidRDefault="008811AB"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Руководитель первой группы Спецсектора ЦУНХУ Госплана СССР Тутенков</w:t>
      </w:r>
    </w:p>
    <w:p w14:paraId="602C0172" w14:textId="77777777" w:rsidR="008811AB" w:rsidRPr="00E14102" w:rsidRDefault="008811AB"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Примечание</w:t>
      </w:r>
      <w:r w:rsidRPr="00E14102">
        <w:rPr>
          <w:rFonts w:ascii="Times New Roman" w:hAnsi="Times New Roman" w:cs="Times New Roman"/>
          <w:color w:val="000000" w:themeColor="text1"/>
          <w:sz w:val="16"/>
          <w:szCs w:val="16"/>
          <w:lang w:val="ru-RU"/>
        </w:rPr>
        <w:t>:</w:t>
      </w:r>
    </w:p>
    <w:p w14:paraId="1340638F" w14:textId="77777777" w:rsidR="008811AB" w:rsidRPr="00E14102" w:rsidRDefault="008811AB" w:rsidP="00E14102">
      <w:pPr>
        <w:pStyle w:val="rtejustify"/>
        <w:spacing w:before="0" w:after="0"/>
        <w:rPr>
          <w:color w:val="000000" w:themeColor="text1"/>
          <w:sz w:val="16"/>
          <w:szCs w:val="16"/>
        </w:rPr>
      </w:pPr>
      <w:r w:rsidRPr="00E14102">
        <w:rPr>
          <w:color w:val="000000" w:themeColor="text1"/>
          <w:sz w:val="16"/>
          <w:szCs w:val="16"/>
        </w:rPr>
        <w:t xml:space="preserve">¹* По постановлению СНК СССР от 9 мая 1931 г. «Об организации учетно-статистических работ» в составе Госплана СССР был организован на правах самостоятельного управления Сектор народнохозяйственного учета в качестве центрального руководящего органа в деле учета и статистики. Постановлением ЦИК и СНК СССР от 17 декабря 1931 г. «Об организации Центрального управления народнохозяйственного учета СССР при Госплане СССР» этот сектор был преобразован в </w:t>
      </w:r>
      <w:r w:rsidRPr="00E14102">
        <w:rPr>
          <w:rStyle w:val="a6"/>
          <w:bCs/>
          <w:i w:val="0"/>
          <w:color w:val="000000" w:themeColor="text1"/>
          <w:sz w:val="16"/>
          <w:szCs w:val="16"/>
        </w:rPr>
        <w:t>Центральное управление народнохозяйственного учета (ЦУНХУ) СССР</w:t>
      </w:r>
      <w:r w:rsidRPr="00E14102">
        <w:rPr>
          <w:color w:val="000000" w:themeColor="text1"/>
          <w:sz w:val="16"/>
          <w:szCs w:val="16"/>
        </w:rPr>
        <w:t xml:space="preserve"> при Госплане СССР. Согласно положению, утвержденному 10 марта 1932 г. постановлением СНК СССР № 312, ЦУНХУ при Госплане СССР являлось самостоятельной общесоюзной организацией, централизованно руководящей всем делом статистики и учета в СССР. Вместе с республиканскими и местными статистическими управлениями ЦУНХУ составляло единую систему. Во главе его стоял начальник, утверждаемый ЦИК СССР и являющийся одновременно заместителем председателя Госплана СССР, при начальнике состояли заместители и коллегия из членов, назначаемых СНК СССР. Задачами ЦУНХУ являлись: централизованное руководство в области методологии и организации учетно-статистических работ в СССР, руководство и проведение работ по организации первичного учета и отчетности в соответствии с задачами хозяйственного руководства, систематическое наблюдение за ходом выполнения народно-хозяйственных задач, выполнение статистико-экономических работ и др. Постановлением от 21 мая 1933 г. СНК СССР внес ряд изменений в Положение о ЦУНХУ и его местных органах, полностью подчинив его Госплану СССР. Согласно этому постановлению ЦУНХУ при Госплане СССР было переименовано в ЦУНХУ Госплана СССР. В его составе были следующие секторы: планово-методологический, центральной учетной инспекции, баланса народного хозяйства, текущего учета, учета капитальных работ, учета промышленности, учета сельского хозяйства, учета транспорта и связи, учета труда, учета кадров, культуры и науки, учета населения и здравоохранения, учета городского хозяйства, учета советской торговли, учета финансов. Вопросами статистики военной </w:t>
      </w:r>
      <w:r w:rsidRPr="00E14102">
        <w:rPr>
          <w:color w:val="000000" w:themeColor="text1"/>
          <w:sz w:val="16"/>
          <w:szCs w:val="16"/>
        </w:rPr>
        <w:lastRenderedPageBreak/>
        <w:t>промышленности занимался сектор спецучета или спецсектор. 2 февраля 1938 г. ЦУНХУ снова было преобразовано в самостоятельное учреждение, которое находилось при Госплане СССР. (СЗ. 1931 1937 вышел приказ НКОП № 28. Ст. 221; № 73. Ст. 488; РГАЭ. Ф. 1562. Оп. 1.Д. 651. Л. 167</w:t>
      </w:r>
      <w:r w:rsidRPr="00E14102">
        <w:rPr>
          <w:color w:val="000000" w:themeColor="text1"/>
          <w:sz w:val="16"/>
          <w:szCs w:val="16"/>
        </w:rPr>
        <w:noBreakHyphen/>
        <w:t>162.)</w:t>
      </w:r>
    </w:p>
    <w:p w14:paraId="28382311" w14:textId="77777777" w:rsidR="008811AB" w:rsidRPr="00E14102" w:rsidRDefault="008811AB" w:rsidP="00E14102">
      <w:pPr>
        <w:pStyle w:val="rtejustify"/>
        <w:spacing w:before="0" w:after="0"/>
        <w:rPr>
          <w:color w:val="000000" w:themeColor="text1"/>
          <w:sz w:val="16"/>
          <w:szCs w:val="16"/>
        </w:rPr>
      </w:pPr>
      <w:r w:rsidRPr="00E14102">
        <w:rPr>
          <w:color w:val="000000" w:themeColor="text1"/>
          <w:sz w:val="16"/>
          <w:szCs w:val="16"/>
        </w:rPr>
        <w:t>²* Число вписано от руки.</w:t>
      </w:r>
    </w:p>
    <w:p w14:paraId="0CA60CE9" w14:textId="77777777" w:rsidR="008811AB" w:rsidRPr="00E14102" w:rsidRDefault="008811AB"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1562. Оп. 329. Д. 32. Л. 1-4. Подлинник (15342).</w:t>
      </w:r>
    </w:p>
    <w:p w14:paraId="5949EFEE" w14:textId="77777777" w:rsidR="008811AB" w:rsidRPr="00E14102" w:rsidRDefault="008811AB" w:rsidP="00E14102">
      <w:pPr>
        <w:pStyle w:val="rtejustify"/>
        <w:spacing w:before="0" w:after="0"/>
        <w:rPr>
          <w:rStyle w:val="a6"/>
          <w:bCs/>
          <w:i w:val="0"/>
          <w:color w:val="000000" w:themeColor="text1"/>
          <w:sz w:val="16"/>
          <w:szCs w:val="16"/>
        </w:rPr>
      </w:pPr>
    </w:p>
    <w:p w14:paraId="04865A87" w14:textId="77777777" w:rsidR="008811AB" w:rsidRPr="00E14102" w:rsidRDefault="008811AB" w:rsidP="00E14102">
      <w:pPr>
        <w:pStyle w:val="rtejustify"/>
        <w:spacing w:before="0" w:after="0"/>
        <w:rPr>
          <w:color w:val="000000" w:themeColor="text1"/>
          <w:sz w:val="16"/>
          <w:szCs w:val="16"/>
        </w:rPr>
      </w:pPr>
      <w:r w:rsidRPr="00E14102">
        <w:rPr>
          <w:rStyle w:val="a6"/>
          <w:bCs/>
          <w:i w:val="0"/>
          <w:color w:val="000000" w:themeColor="text1"/>
          <w:sz w:val="16"/>
          <w:szCs w:val="16"/>
        </w:rPr>
        <w:t>19 апреля 1935 вышел приказ НКТП № 74сс.</w:t>
      </w:r>
      <w:r w:rsidRPr="00E14102">
        <w:rPr>
          <w:color w:val="000000" w:themeColor="text1"/>
          <w:sz w:val="16"/>
          <w:szCs w:val="16"/>
        </w:rPr>
        <w:t xml:space="preserve"> Об организации снабжения материалами снаряжательных заводов Вохимтреста. (РГАЭ. Ф. 7297. Оп. 38. Д. 171. Л. 127) (15246).</w:t>
      </w:r>
    </w:p>
    <w:p w14:paraId="314B9116" w14:textId="77777777" w:rsidR="008811AB" w:rsidRPr="00E14102" w:rsidRDefault="008811AB" w:rsidP="00E14102">
      <w:pPr>
        <w:pStyle w:val="rtejustify"/>
        <w:spacing w:before="0" w:after="0"/>
        <w:rPr>
          <w:color w:val="000000" w:themeColor="text1"/>
          <w:sz w:val="16"/>
          <w:szCs w:val="16"/>
        </w:rPr>
      </w:pPr>
    </w:p>
    <w:p w14:paraId="3B09BAA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7F4990D2" w14:textId="77777777" w:rsidR="00D4105E" w:rsidRPr="00E14102" w:rsidRDefault="00D4105E" w:rsidP="00E14102">
      <w:pPr>
        <w:autoSpaceDE w:val="0"/>
        <w:autoSpaceDN w:val="0"/>
        <w:adjustRightInd w:val="0"/>
        <w:jc w:val="both"/>
        <w:rPr>
          <w:iCs/>
          <w:color w:val="000000" w:themeColor="text1"/>
          <w:sz w:val="16"/>
          <w:szCs w:val="16"/>
        </w:rPr>
      </w:pPr>
    </w:p>
    <w:p w14:paraId="4445BC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апреля 1935 в Правде была опубликована статья В.В.Хрипина "Воздушная война" о необходимости массированных действий авиации в тылу врага и на фронте.</w:t>
      </w:r>
    </w:p>
    <w:p w14:paraId="425A906B" w14:textId="77777777" w:rsidR="00D4105E" w:rsidRPr="00E14102" w:rsidRDefault="00D4105E" w:rsidP="00E14102">
      <w:pPr>
        <w:autoSpaceDE w:val="0"/>
        <w:autoSpaceDN w:val="0"/>
        <w:adjustRightInd w:val="0"/>
        <w:jc w:val="both"/>
        <w:rPr>
          <w:iCs/>
          <w:color w:val="000000" w:themeColor="text1"/>
          <w:sz w:val="16"/>
          <w:szCs w:val="16"/>
        </w:rPr>
      </w:pPr>
    </w:p>
    <w:p w14:paraId="2763252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194F933" w14:textId="77777777" w:rsidR="00D4105E" w:rsidRPr="00E14102" w:rsidRDefault="00D4105E" w:rsidP="00E14102">
      <w:pPr>
        <w:autoSpaceDE w:val="0"/>
        <w:autoSpaceDN w:val="0"/>
        <w:adjustRightInd w:val="0"/>
        <w:jc w:val="both"/>
        <w:rPr>
          <w:iCs/>
          <w:color w:val="000000" w:themeColor="text1"/>
          <w:sz w:val="16"/>
          <w:szCs w:val="16"/>
        </w:rPr>
      </w:pPr>
    </w:p>
    <w:p w14:paraId="6B28DD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апреля 1935 основано ДСО Спартак (3960, 154).</w:t>
      </w:r>
    </w:p>
    <w:p w14:paraId="19C8B475" w14:textId="77777777" w:rsidR="00D4105E" w:rsidRPr="00E14102" w:rsidRDefault="00D4105E" w:rsidP="00E14102">
      <w:pPr>
        <w:autoSpaceDE w:val="0"/>
        <w:autoSpaceDN w:val="0"/>
        <w:adjustRightInd w:val="0"/>
        <w:jc w:val="both"/>
        <w:rPr>
          <w:color w:val="000000" w:themeColor="text1"/>
          <w:sz w:val="16"/>
          <w:szCs w:val="16"/>
        </w:rPr>
      </w:pPr>
    </w:p>
    <w:p w14:paraId="43BFA992" w14:textId="77777777" w:rsidR="00EA5FB6" w:rsidRPr="00E14102" w:rsidRDefault="00356A2F" w:rsidP="00E14102">
      <w:pPr>
        <w:autoSpaceDE w:val="0"/>
        <w:autoSpaceDN w:val="0"/>
        <w:adjustRightInd w:val="0"/>
        <w:jc w:val="both"/>
        <w:rPr>
          <w:color w:val="000000" w:themeColor="text1"/>
          <w:sz w:val="16"/>
          <w:szCs w:val="16"/>
        </w:rPr>
      </w:pPr>
      <w:r w:rsidRPr="00E14102">
        <w:rPr>
          <w:color w:val="000000" w:themeColor="text1"/>
          <w:sz w:val="16"/>
          <w:szCs w:val="16"/>
        </w:rPr>
        <w:t xml:space="preserve">19 апреля </w:t>
      </w:r>
      <w:r w:rsidR="00EA5FB6" w:rsidRPr="00E14102">
        <w:rPr>
          <w:color w:val="000000" w:themeColor="text1"/>
          <w:sz w:val="16"/>
          <w:szCs w:val="16"/>
        </w:rPr>
        <w:t>1935 года Постановлением СНК СССР было создано Всесоюзное профсоюзно-кооперативное добровольное спортивное общество «Спартак», которое сыграло значимую роль в истории всего советского спорта.</w:t>
      </w:r>
    </w:p>
    <w:p w14:paraId="2AD9214E" w14:textId="77777777" w:rsidR="00EA5FB6" w:rsidRPr="00E14102" w:rsidRDefault="00EA5FB6" w:rsidP="00E14102">
      <w:pPr>
        <w:autoSpaceDE w:val="0"/>
        <w:autoSpaceDN w:val="0"/>
        <w:adjustRightInd w:val="0"/>
        <w:jc w:val="both"/>
        <w:rPr>
          <w:color w:val="000000" w:themeColor="text1"/>
          <w:sz w:val="16"/>
          <w:szCs w:val="16"/>
        </w:rPr>
      </w:pPr>
      <w:r w:rsidRPr="00E14102">
        <w:rPr>
          <w:color w:val="000000" w:themeColor="text1"/>
          <w:sz w:val="16"/>
          <w:szCs w:val="16"/>
        </w:rPr>
        <w:t>В тот же день были утверждены устав и положение Общества, а также эмблема и цвет формы: красные футболки с белой поперечной полосой на груди и спине шириной 8,5 см. Эмблему и имя московскому «Спартаку» придумал отец-основатель этого Общества Николай Старостин.</w:t>
      </w:r>
    </w:p>
    <w:p w14:paraId="66DF69F3" w14:textId="77777777" w:rsidR="00EA5FB6" w:rsidRPr="00E14102" w:rsidRDefault="00EA5FB6" w:rsidP="00E14102">
      <w:pPr>
        <w:autoSpaceDE w:val="0"/>
        <w:autoSpaceDN w:val="0"/>
        <w:adjustRightInd w:val="0"/>
        <w:jc w:val="both"/>
        <w:rPr>
          <w:color w:val="000000" w:themeColor="text1"/>
          <w:sz w:val="16"/>
          <w:szCs w:val="16"/>
        </w:rPr>
      </w:pPr>
      <w:r w:rsidRPr="00E14102">
        <w:rPr>
          <w:color w:val="000000" w:themeColor="text1"/>
          <w:sz w:val="16"/>
          <w:szCs w:val="16"/>
        </w:rPr>
        <w:t>Созданный в 1935 году «Спартак» быстро набирал популярность и вскоре стал крупнейшим в СССР добровольным спортивным обществом. Всего через год в составе Общества насчитывалось свыше 2000 коллективов, в которых занимались больше 80 000 человек. Общество объединяло работников местной промышленности, государственной торговли, коммунального хозяйства, культуры, образования, здравоохранения, автотранспорта, гражданской авиации и других. В «Спартаке» культивировалось свыше 40 видов спорта (17301).</w:t>
      </w:r>
    </w:p>
    <w:p w14:paraId="23F08D75" w14:textId="77777777" w:rsidR="00EA5FB6" w:rsidRPr="00E14102" w:rsidRDefault="00EA5FB6" w:rsidP="00E14102">
      <w:pPr>
        <w:autoSpaceDE w:val="0"/>
        <w:autoSpaceDN w:val="0"/>
        <w:adjustRightInd w:val="0"/>
        <w:jc w:val="both"/>
        <w:rPr>
          <w:color w:val="000000" w:themeColor="text1"/>
          <w:sz w:val="16"/>
          <w:szCs w:val="16"/>
        </w:rPr>
      </w:pPr>
    </w:p>
    <w:p w14:paraId="5E6F96D8" w14:textId="77777777" w:rsidR="00356A2F" w:rsidRPr="00E14102" w:rsidRDefault="00356A2F" w:rsidP="00E14102">
      <w:pPr>
        <w:autoSpaceDE w:val="0"/>
        <w:autoSpaceDN w:val="0"/>
        <w:adjustRightInd w:val="0"/>
        <w:jc w:val="both"/>
        <w:rPr>
          <w:color w:val="000000" w:themeColor="text1"/>
          <w:sz w:val="16"/>
          <w:szCs w:val="16"/>
        </w:rPr>
      </w:pPr>
      <w:r w:rsidRPr="00E14102">
        <w:rPr>
          <w:color w:val="000000" w:themeColor="text1"/>
          <w:sz w:val="16"/>
          <w:szCs w:val="16"/>
        </w:rPr>
        <w:t>19 апреля 1935 г. в СССР образовано спортивное общество «Спартак». Название сказалось очень скоро – комсомольский вождь Косарев – он стоял у истоков общества – был репрессирован. Потом подошла очередь и спортсменов – футбольный «Спартак» был разгромлен – футболисты получили тюремные сроки за насаждение буржуазной культуры (17328).</w:t>
      </w:r>
    </w:p>
    <w:p w14:paraId="79FAD866" w14:textId="77777777" w:rsidR="00356A2F" w:rsidRPr="00E14102" w:rsidRDefault="00356A2F" w:rsidP="00E14102">
      <w:pPr>
        <w:autoSpaceDE w:val="0"/>
        <w:autoSpaceDN w:val="0"/>
        <w:adjustRightInd w:val="0"/>
        <w:jc w:val="both"/>
        <w:rPr>
          <w:color w:val="000000" w:themeColor="text1"/>
          <w:sz w:val="16"/>
          <w:szCs w:val="16"/>
        </w:rPr>
      </w:pPr>
    </w:p>
    <w:p w14:paraId="274CAB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 19 по 24 апреля 1935 в пробных поездках на Метро приняло участие 589 250 рабочих и служащих предприятий и учреждений г. Москвы... Эти поездки произвели огромное впечатление на всех участников... Особенно сильное впечатление произвела на рабочих их встреча в поезде Метро с тов. Сталиным и членами Политбюро... "На Комсомольской площади спустились мы на Метро. Такого чудесного дворца я и во сне не видела. Ну и хорошо там, уходить не хочется. Кругом мраморные колонны, люстры. Светло, как при солнышке. В вагоне сидишь, словно на перине. Чистота кругом и красота! Идет поезд, и не чувствуешь, как идет. Вот тут я и увидела своими глазами, на что способны большевики, что действительно нет таких крепостей, которые они бы не взяли" (Бесп. р-ца Жебикова, ф-ка им. Щербакова, Сталин. р-н)... "Я не представлял себе что-либо более грандиозное, чем Метро. Я поражен прекрасной работой Метро и тем энтузиазмом, с которым Метро строился" (профессор Игумнов, Моск. Гос. Консерватория). Профессора Игумнов и Цейтлин (Консерватория) после поездки на Метро стали посещать лекции по истории партии. Они говорят, что хотят обстоятельно знать историю большевистской партии... Многим рабочим Электрокомбината пришлось встретиться с тов. Сталиным. Например, т. Шмуров, комплектовщик трансформаторного з-да, рассказывал: "22 апреля счастливейший день в моей жизни. Он останется в памяти на всю мою жизнь. В этот день мы, слушатели совпартшколы, поехали коллективно на Метро. На Крымской площади услышали восторженные крики "Ура", "Да здравствует великий вождь товарищ Сталин!" Мы увидели дорогие лица, дорогих нам людей тт. Сталина, Кагановича, Молотова и Орджоникидзе. Они стояли в тесном кругу рабочих. Затем все они сели в соседний вагон. Рабочие вокруг Сталина гудели как пчелы. Старые рабочие старались пожать руку любимому вождю. Такого торжества я не видел во всю мою жизнь. Исполнилось мое заветное желание. Я близко видел лица наших руководителей. Я видел величайшего человека мира, товарища Сталина, и я не забуду этого дня во всю свою жизнь"... Кое-где встречаются отсталые и нездоровые настроения отдельных рабочих, которые отрицательно относятся к строительству Метро. Например, на заводе "Кр. Богатырь" (рабочий цеха N 1) Мазин говорил: "Ничего хорошего нет. Наверху ездить лучше. Вбили деньги только. На эти деньги можно встроить целый город, а то люди живут еще в шалашах. Я вот с 1929 г. состою членом кооперации, уплатил 750 рублей, а теперь еще навалили". На Оргаметалле (Фрунзенский р-н) беспартийный рабочий Лаподман заявил: "Столько денег ухлопали в метро. Лучше бы их истратили на бытовые нужды рабочих. Рабочие больше были бы довольны"... </w:t>
      </w:r>
      <w:r w:rsidRPr="00E14102">
        <w:rPr>
          <w:iCs/>
          <w:color w:val="000000" w:themeColor="text1"/>
          <w:sz w:val="16"/>
          <w:szCs w:val="16"/>
        </w:rPr>
        <w:t>Из сводки, подготовленной для секретарей МГК ВКП(б), 1935 г.</w:t>
      </w:r>
      <w:r w:rsidRPr="00E14102">
        <w:rPr>
          <w:color w:val="000000" w:themeColor="text1"/>
          <w:sz w:val="16"/>
          <w:szCs w:val="16"/>
        </w:rPr>
        <w:t xml:space="preserve"> (11652).</w:t>
      </w:r>
    </w:p>
    <w:p w14:paraId="435D383A" w14:textId="77777777" w:rsidR="00D4105E" w:rsidRPr="00E14102" w:rsidRDefault="00D4105E" w:rsidP="00E14102">
      <w:pPr>
        <w:autoSpaceDE w:val="0"/>
        <w:autoSpaceDN w:val="0"/>
        <w:adjustRightInd w:val="0"/>
        <w:jc w:val="both"/>
        <w:rPr>
          <w:color w:val="000000" w:themeColor="text1"/>
          <w:sz w:val="16"/>
          <w:szCs w:val="16"/>
        </w:rPr>
      </w:pPr>
    </w:p>
    <w:p w14:paraId="6A42EF4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4E220FB" w14:textId="77777777" w:rsidR="00D4105E" w:rsidRPr="00E14102" w:rsidRDefault="00D4105E" w:rsidP="00E14102">
      <w:pPr>
        <w:autoSpaceDE w:val="0"/>
        <w:autoSpaceDN w:val="0"/>
        <w:adjustRightInd w:val="0"/>
        <w:jc w:val="both"/>
        <w:rPr>
          <w:iCs/>
          <w:color w:val="000000" w:themeColor="text1"/>
          <w:sz w:val="16"/>
          <w:szCs w:val="16"/>
        </w:rPr>
      </w:pPr>
    </w:p>
    <w:p w14:paraId="1217FA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20 по 23 апреля 1935 в ходе серийных испытаний КР-6 на заводе 22, которые проходили с 12 апреля по 28 мая 1935, проводились испытания аварийного слива топлива (2936).</w:t>
      </w:r>
    </w:p>
    <w:p w14:paraId="3CFC639C" w14:textId="77777777" w:rsidR="00D4105E" w:rsidRPr="00E14102" w:rsidRDefault="00D4105E" w:rsidP="00E14102">
      <w:pPr>
        <w:autoSpaceDE w:val="0"/>
        <w:autoSpaceDN w:val="0"/>
        <w:adjustRightInd w:val="0"/>
        <w:jc w:val="both"/>
        <w:rPr>
          <w:color w:val="000000" w:themeColor="text1"/>
          <w:sz w:val="16"/>
          <w:szCs w:val="16"/>
        </w:rPr>
      </w:pPr>
    </w:p>
    <w:p w14:paraId="39861D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апреля 1935 состоялся первый полет дирижабля СССР В-1 по маршруту Москва - Ленинград - Москва (1200 км за 15 ч) (237,173).</w:t>
      </w:r>
    </w:p>
    <w:p w14:paraId="69324246" w14:textId="77777777" w:rsidR="00D4105E" w:rsidRPr="00E14102" w:rsidRDefault="00D4105E" w:rsidP="00E14102">
      <w:pPr>
        <w:autoSpaceDE w:val="0"/>
        <w:autoSpaceDN w:val="0"/>
        <w:adjustRightInd w:val="0"/>
        <w:jc w:val="both"/>
        <w:rPr>
          <w:color w:val="000000" w:themeColor="text1"/>
          <w:sz w:val="16"/>
          <w:szCs w:val="16"/>
        </w:rPr>
      </w:pPr>
    </w:p>
    <w:p w14:paraId="48255A7C" w14:textId="77777777" w:rsidR="005F3FE6" w:rsidRPr="00E14102" w:rsidRDefault="005F3FE6" w:rsidP="00E14102">
      <w:pPr>
        <w:autoSpaceDE w:val="0"/>
        <w:autoSpaceDN w:val="0"/>
        <w:adjustRightInd w:val="0"/>
        <w:jc w:val="both"/>
        <w:rPr>
          <w:color w:val="000000" w:themeColor="text1"/>
          <w:sz w:val="16"/>
          <w:szCs w:val="16"/>
        </w:rPr>
      </w:pPr>
      <w:r w:rsidRPr="00E14102">
        <w:rPr>
          <w:color w:val="000000" w:themeColor="text1"/>
          <w:sz w:val="16"/>
          <w:szCs w:val="16"/>
        </w:rPr>
        <w:t>20 апреля 1935 г. - Политбюро за подписью И. Сталина утвердило секретное разъяснение органам суда и прокуратуры (цитирую):</w:t>
      </w:r>
    </w:p>
    <w:p w14:paraId="5C0D25D4" w14:textId="77777777" w:rsidR="005F3FE6" w:rsidRPr="00E14102" w:rsidRDefault="005F3FE6" w:rsidP="00E14102">
      <w:pPr>
        <w:autoSpaceDE w:val="0"/>
        <w:autoSpaceDN w:val="0"/>
        <w:adjustRightInd w:val="0"/>
        <w:jc w:val="both"/>
        <w:rPr>
          <w:color w:val="000000" w:themeColor="text1"/>
          <w:sz w:val="16"/>
          <w:szCs w:val="16"/>
        </w:rPr>
      </w:pPr>
      <w:r w:rsidRPr="00E14102">
        <w:rPr>
          <w:color w:val="000000" w:themeColor="text1"/>
          <w:sz w:val="16"/>
          <w:szCs w:val="16"/>
        </w:rPr>
        <w:t>Ввиду поступающих запросов в связи с постановлением ЦИК и СНК СССР от 7.IV с.г. «О мерах борьбы с преступностью среди несовершеннолетних», разъясняем:</w:t>
      </w:r>
    </w:p>
    <w:p w14:paraId="7F712D99" w14:textId="77777777" w:rsidR="005F3FE6" w:rsidRPr="00E14102" w:rsidRDefault="005F3FE6" w:rsidP="00E14102">
      <w:pPr>
        <w:autoSpaceDE w:val="0"/>
        <w:autoSpaceDN w:val="0"/>
        <w:adjustRightInd w:val="0"/>
        <w:jc w:val="both"/>
        <w:rPr>
          <w:color w:val="000000" w:themeColor="text1"/>
          <w:sz w:val="16"/>
          <w:szCs w:val="16"/>
        </w:rPr>
      </w:pPr>
      <w:r w:rsidRPr="00E14102">
        <w:rPr>
          <w:color w:val="000000" w:themeColor="text1"/>
          <w:sz w:val="16"/>
          <w:szCs w:val="16"/>
        </w:rPr>
        <w:t>1) К числу мер уголовного наказания, предусмотренных ст. 1 указанного постановления относятся также и высшая мера уголовного наказания (расстрел).</w:t>
      </w:r>
    </w:p>
    <w:p w14:paraId="33EF42E4" w14:textId="77777777" w:rsidR="005F3FE6" w:rsidRPr="00E14102" w:rsidRDefault="005F3FE6" w:rsidP="00E14102">
      <w:pPr>
        <w:autoSpaceDE w:val="0"/>
        <w:autoSpaceDN w:val="0"/>
        <w:adjustRightInd w:val="0"/>
        <w:jc w:val="both"/>
        <w:rPr>
          <w:color w:val="000000" w:themeColor="text1"/>
          <w:sz w:val="16"/>
          <w:szCs w:val="16"/>
        </w:rPr>
      </w:pPr>
      <w:r w:rsidRPr="00E14102">
        <w:rPr>
          <w:color w:val="000000" w:themeColor="text1"/>
          <w:sz w:val="16"/>
          <w:szCs w:val="16"/>
        </w:rPr>
        <w:t>2) В соответствии с этим надлежит считать отпавшими указания в примечании к ст. 13 «Основных начал Уголовного законодательства Союза ССР и союзных республик» и соответствующие статьи уголовных кодексов Союзных республик (22 ст. УК РСФСР и соотв. ст. УК других союзных республик), по которым расстрел к лицам, не достигшим 18-летнего возраста, не применяется.</w:t>
      </w:r>
    </w:p>
    <w:p w14:paraId="7CE5E57D" w14:textId="77777777" w:rsidR="005F3FE6" w:rsidRPr="00E14102" w:rsidRDefault="005F3FE6" w:rsidP="00E14102">
      <w:pPr>
        <w:autoSpaceDE w:val="0"/>
        <w:autoSpaceDN w:val="0"/>
        <w:adjustRightInd w:val="0"/>
        <w:jc w:val="both"/>
        <w:rPr>
          <w:color w:val="000000" w:themeColor="text1"/>
          <w:sz w:val="16"/>
          <w:szCs w:val="16"/>
        </w:rPr>
      </w:pPr>
      <w:r w:rsidRPr="00E14102">
        <w:rPr>
          <w:color w:val="000000" w:themeColor="text1"/>
          <w:sz w:val="16"/>
          <w:szCs w:val="16"/>
        </w:rPr>
        <w:t>3) Ввиду того, что применение высшей меры наказания (расстрела) может иметь место лишь в исключительных случаях, и что применение этой меры в отношении несовершеннолетних должно быть поставлено под особо тщательный контроль, предлагаем всем прокурорским и судебным органам предварительно сообщать Прокурору Союза и Председателю Верхсуда СССР о всех случаях привлечения к уголовному суду несовершеннолетних правонарушителей, в отношении которых возможно применение высшей меры наказания.</w:t>
      </w:r>
    </w:p>
    <w:p w14:paraId="1AA1E340" w14:textId="77777777" w:rsidR="005F3FE6" w:rsidRPr="00E14102" w:rsidRDefault="005F3FE6" w:rsidP="00E14102">
      <w:pPr>
        <w:autoSpaceDE w:val="0"/>
        <w:autoSpaceDN w:val="0"/>
        <w:adjustRightInd w:val="0"/>
        <w:jc w:val="both"/>
        <w:rPr>
          <w:color w:val="000000" w:themeColor="text1"/>
          <w:sz w:val="16"/>
          <w:szCs w:val="16"/>
        </w:rPr>
      </w:pPr>
      <w:r w:rsidRPr="00E14102">
        <w:rPr>
          <w:color w:val="000000" w:themeColor="text1"/>
          <w:sz w:val="16"/>
          <w:szCs w:val="16"/>
        </w:rPr>
        <w:t>4) При предании уголовному суду несовершеннолетних по статьям закона, предусматривающим применение высшей меры наказания (расстрела), дела о них рассматривать в краевых (областных) судах в общем порядке.</w:t>
      </w:r>
    </w:p>
    <w:p w14:paraId="4F97C506" w14:textId="77777777" w:rsidR="005F3FE6" w:rsidRPr="00E14102" w:rsidRDefault="005F3FE6" w:rsidP="00E14102">
      <w:pPr>
        <w:autoSpaceDE w:val="0"/>
        <w:autoSpaceDN w:val="0"/>
        <w:adjustRightInd w:val="0"/>
        <w:jc w:val="both"/>
        <w:rPr>
          <w:iCs/>
          <w:color w:val="000000" w:themeColor="text1"/>
          <w:sz w:val="16"/>
          <w:szCs w:val="16"/>
        </w:rPr>
      </w:pPr>
      <w:r w:rsidRPr="00E14102">
        <w:rPr>
          <w:color w:val="000000" w:themeColor="text1"/>
          <w:sz w:val="16"/>
          <w:szCs w:val="16"/>
        </w:rPr>
        <w:t>РГАСПИ, Ф.17, Оп.1, Д.962, Л.32 (17299).</w:t>
      </w:r>
    </w:p>
    <w:p w14:paraId="0C6E488E" w14:textId="77777777" w:rsidR="005F3FE6" w:rsidRPr="00E14102" w:rsidRDefault="005F3FE6" w:rsidP="00E14102">
      <w:pPr>
        <w:autoSpaceDE w:val="0"/>
        <w:autoSpaceDN w:val="0"/>
        <w:adjustRightInd w:val="0"/>
        <w:jc w:val="both"/>
        <w:rPr>
          <w:iCs/>
          <w:color w:val="000000" w:themeColor="text1"/>
          <w:sz w:val="16"/>
          <w:szCs w:val="16"/>
        </w:rPr>
      </w:pPr>
    </w:p>
    <w:p w14:paraId="7DE22D19" w14:textId="77777777" w:rsidR="002751A5" w:rsidRPr="00E14102" w:rsidRDefault="002751A5" w:rsidP="00E14102">
      <w:pPr>
        <w:autoSpaceDE w:val="0"/>
        <w:autoSpaceDN w:val="0"/>
        <w:adjustRightInd w:val="0"/>
        <w:jc w:val="both"/>
        <w:rPr>
          <w:color w:val="000000" w:themeColor="text1"/>
          <w:sz w:val="16"/>
          <w:szCs w:val="16"/>
        </w:rPr>
      </w:pPr>
      <w:r w:rsidRPr="00E14102">
        <w:rPr>
          <w:color w:val="000000" w:themeColor="text1"/>
          <w:sz w:val="16"/>
          <w:szCs w:val="16"/>
        </w:rPr>
        <w:t xml:space="preserve">20 </w:t>
      </w:r>
      <w:bookmarkStart w:id="13" w:name="YANDEX_42"/>
      <w:bookmarkEnd w:id="13"/>
      <w:r w:rsidRPr="00E14102">
        <w:rPr>
          <w:color w:val="000000" w:themeColor="text1"/>
          <w:sz w:val="16"/>
          <w:szCs w:val="16"/>
        </w:rPr>
        <w:t>апреля 1935 г."Циркуляр Прокуратуры СССР и Верховного Суда СССР прокурорам и председателям судов о порядке применения высшей меры наказания к несовершеннолетним</w:t>
      </w:r>
    </w:p>
    <w:p w14:paraId="68E91D27" w14:textId="77777777" w:rsidR="002751A5" w:rsidRPr="00E14102" w:rsidRDefault="002751A5" w:rsidP="00E14102">
      <w:pPr>
        <w:autoSpaceDE w:val="0"/>
        <w:autoSpaceDN w:val="0"/>
        <w:adjustRightInd w:val="0"/>
        <w:jc w:val="both"/>
        <w:rPr>
          <w:color w:val="000000" w:themeColor="text1"/>
          <w:sz w:val="16"/>
          <w:szCs w:val="16"/>
        </w:rPr>
      </w:pPr>
      <w:r w:rsidRPr="00E14102">
        <w:rPr>
          <w:color w:val="000000" w:themeColor="text1"/>
          <w:sz w:val="16"/>
          <w:szCs w:val="16"/>
        </w:rPr>
        <w:t>Совершенно секретно</w:t>
      </w:r>
    </w:p>
    <w:p w14:paraId="521051C9" w14:textId="77777777" w:rsidR="002751A5" w:rsidRPr="00E14102" w:rsidRDefault="002751A5" w:rsidP="00E14102">
      <w:pPr>
        <w:autoSpaceDE w:val="0"/>
        <w:autoSpaceDN w:val="0"/>
        <w:adjustRightInd w:val="0"/>
        <w:jc w:val="both"/>
        <w:rPr>
          <w:color w:val="000000" w:themeColor="text1"/>
          <w:sz w:val="16"/>
          <w:szCs w:val="16"/>
        </w:rPr>
      </w:pPr>
      <w:r w:rsidRPr="00E14102">
        <w:rPr>
          <w:color w:val="000000" w:themeColor="text1"/>
          <w:sz w:val="16"/>
          <w:szCs w:val="16"/>
        </w:rPr>
        <w:t>Хранить наравне с шифром</w:t>
      </w:r>
    </w:p>
    <w:p w14:paraId="571E6615" w14:textId="77777777" w:rsidR="002751A5" w:rsidRPr="00E14102" w:rsidRDefault="002751A5" w:rsidP="00E14102">
      <w:pPr>
        <w:autoSpaceDE w:val="0"/>
        <w:autoSpaceDN w:val="0"/>
        <w:adjustRightInd w:val="0"/>
        <w:jc w:val="both"/>
        <w:rPr>
          <w:color w:val="000000" w:themeColor="text1"/>
          <w:sz w:val="16"/>
          <w:szCs w:val="16"/>
        </w:rPr>
      </w:pPr>
      <w:r w:rsidRPr="00E14102">
        <w:rPr>
          <w:color w:val="000000" w:themeColor="text1"/>
          <w:sz w:val="16"/>
          <w:szCs w:val="16"/>
        </w:rPr>
        <w:t>№ 1/001537 — 30/002517</w:t>
      </w:r>
    </w:p>
    <w:p w14:paraId="443F1A35" w14:textId="77777777" w:rsidR="002751A5" w:rsidRPr="00E14102" w:rsidRDefault="002751A5" w:rsidP="00E14102">
      <w:pPr>
        <w:autoSpaceDE w:val="0"/>
        <w:autoSpaceDN w:val="0"/>
        <w:adjustRightInd w:val="0"/>
        <w:jc w:val="both"/>
        <w:rPr>
          <w:color w:val="000000" w:themeColor="text1"/>
          <w:sz w:val="16"/>
          <w:szCs w:val="16"/>
        </w:rPr>
      </w:pPr>
      <w:r w:rsidRPr="00E14102">
        <w:rPr>
          <w:color w:val="000000" w:themeColor="text1"/>
          <w:sz w:val="16"/>
          <w:szCs w:val="16"/>
        </w:rPr>
        <w:t>Всем прокурорам союзных республик, краевым, областным, военным, транспортным, железнодорожным прокурорам, прокурорам водных бассейнов; прокурорам спецколлегий, прокурору г. Москвы. Всем председателям верховных судов, краевых, областных судов, военных трибуналов, линейных судов; судов водных бассейнов, председателям спецколлегий краевых, областных и верховных судов, председателю Московского городского суда.</w:t>
      </w:r>
    </w:p>
    <w:p w14:paraId="43DD3048" w14:textId="77777777" w:rsidR="002751A5" w:rsidRPr="00E14102" w:rsidRDefault="002751A5" w:rsidP="00E14102">
      <w:pPr>
        <w:autoSpaceDE w:val="0"/>
        <w:autoSpaceDN w:val="0"/>
        <w:adjustRightInd w:val="0"/>
        <w:jc w:val="both"/>
        <w:rPr>
          <w:color w:val="000000" w:themeColor="text1"/>
          <w:sz w:val="16"/>
          <w:szCs w:val="16"/>
        </w:rPr>
      </w:pPr>
      <w:r w:rsidRPr="00E14102">
        <w:rPr>
          <w:color w:val="000000" w:themeColor="text1"/>
          <w:sz w:val="16"/>
          <w:szCs w:val="16"/>
        </w:rPr>
        <w:t>Ввиду поступающих запросов, в связи с постановлением ЦИК и СНК СССР от 7 апреля с.г. «О мерах борьбы с преступностью среди несовершеннолетних», разъясняем:</w:t>
      </w:r>
    </w:p>
    <w:p w14:paraId="17920982" w14:textId="77777777" w:rsidR="002751A5" w:rsidRPr="00E14102" w:rsidRDefault="002751A5" w:rsidP="00E14102">
      <w:pPr>
        <w:autoSpaceDE w:val="0"/>
        <w:autoSpaceDN w:val="0"/>
        <w:adjustRightInd w:val="0"/>
        <w:jc w:val="both"/>
        <w:rPr>
          <w:color w:val="000000" w:themeColor="text1"/>
          <w:sz w:val="16"/>
          <w:szCs w:val="16"/>
        </w:rPr>
      </w:pPr>
      <w:r w:rsidRPr="00E14102">
        <w:rPr>
          <w:color w:val="000000" w:themeColor="text1"/>
          <w:sz w:val="16"/>
          <w:szCs w:val="16"/>
        </w:rPr>
        <w:t xml:space="preserve">1. К числу мер уголовного наказания, предусмотренных ст. 1 указанного постановления, относится также </w:t>
      </w:r>
      <w:r w:rsidRPr="00E14102">
        <w:rPr>
          <w:bCs/>
          <w:color w:val="000000" w:themeColor="text1"/>
          <w:sz w:val="16"/>
          <w:szCs w:val="16"/>
        </w:rPr>
        <w:t>и высшая мера уголовного наказания (расстрел)</w:t>
      </w:r>
      <w:r w:rsidRPr="00E14102">
        <w:rPr>
          <w:color w:val="000000" w:themeColor="text1"/>
          <w:sz w:val="16"/>
          <w:szCs w:val="16"/>
        </w:rPr>
        <w:t>.</w:t>
      </w:r>
    </w:p>
    <w:p w14:paraId="5883816A" w14:textId="77777777" w:rsidR="002751A5" w:rsidRPr="00E14102" w:rsidRDefault="002751A5" w:rsidP="00E14102">
      <w:pPr>
        <w:autoSpaceDE w:val="0"/>
        <w:autoSpaceDN w:val="0"/>
        <w:adjustRightInd w:val="0"/>
        <w:jc w:val="both"/>
        <w:rPr>
          <w:color w:val="000000" w:themeColor="text1"/>
          <w:sz w:val="16"/>
          <w:szCs w:val="16"/>
        </w:rPr>
      </w:pPr>
      <w:r w:rsidRPr="00E14102">
        <w:rPr>
          <w:color w:val="000000" w:themeColor="text1"/>
          <w:sz w:val="16"/>
          <w:szCs w:val="16"/>
        </w:rPr>
        <w:t>2. В соответствии с этим надлежит считать отпавшими указание в примечании к ст. 13 «Основных начал уголовного законодательства СССР и союзных республики и соответствующие статьи уголовных кодексов союзных республик (22 ст. УК РСФСР и соответствующие статьи УК других союзных республик), по которым расстрел к лицам, не достигшим 18-летнего возраста, не применяется.</w:t>
      </w:r>
    </w:p>
    <w:p w14:paraId="48089A65" w14:textId="77777777" w:rsidR="002751A5" w:rsidRPr="00E14102" w:rsidRDefault="002751A5" w:rsidP="00E14102">
      <w:pPr>
        <w:autoSpaceDE w:val="0"/>
        <w:autoSpaceDN w:val="0"/>
        <w:adjustRightInd w:val="0"/>
        <w:jc w:val="both"/>
        <w:rPr>
          <w:color w:val="000000" w:themeColor="text1"/>
          <w:sz w:val="16"/>
          <w:szCs w:val="16"/>
        </w:rPr>
      </w:pPr>
      <w:r w:rsidRPr="00E14102">
        <w:rPr>
          <w:color w:val="000000" w:themeColor="text1"/>
          <w:sz w:val="16"/>
          <w:szCs w:val="16"/>
        </w:rPr>
        <w:t xml:space="preserve">3. Ввиду того, что применение высшей меры наказания (расстрел) может иметь место лишь в исключительных случаях и что применение этой меры в отношении несовершеннолетних должно быть поставлено под особо тщательный контроль, предлагаем всем прокурорским и судебным органам предварительно сообщать </w:t>
      </w:r>
      <w:r w:rsidRPr="00E14102">
        <w:rPr>
          <w:color w:val="000000" w:themeColor="text1"/>
          <w:sz w:val="16"/>
          <w:szCs w:val="16"/>
        </w:rPr>
        <w:lastRenderedPageBreak/>
        <w:t>прокурору Союза и председателю Верховного Суда СССР о всех случаях привлечения к уголовному суду несовершеннолетних правонарушителей, в отношении которых возможно применение высшей меры наказания.</w:t>
      </w:r>
    </w:p>
    <w:p w14:paraId="0D17FB32" w14:textId="77777777" w:rsidR="002751A5" w:rsidRPr="00E14102" w:rsidRDefault="002751A5" w:rsidP="00E14102">
      <w:pPr>
        <w:autoSpaceDE w:val="0"/>
        <w:autoSpaceDN w:val="0"/>
        <w:adjustRightInd w:val="0"/>
        <w:jc w:val="both"/>
        <w:rPr>
          <w:color w:val="000000" w:themeColor="text1"/>
          <w:sz w:val="16"/>
          <w:szCs w:val="16"/>
        </w:rPr>
      </w:pPr>
      <w:r w:rsidRPr="00E14102">
        <w:rPr>
          <w:color w:val="000000" w:themeColor="text1"/>
          <w:sz w:val="16"/>
          <w:szCs w:val="16"/>
        </w:rPr>
        <w:t>4. При предании уголовному суду несовершеннолетних по статьям закона, предусматривающим применение высшей меры наказания (расстрела), дела о них рассматривать в краевых (областных) судах в общем порядке.</w:t>
      </w:r>
    </w:p>
    <w:p w14:paraId="6C0C7338" w14:textId="77777777" w:rsidR="002751A5" w:rsidRPr="00E14102" w:rsidRDefault="002751A5" w:rsidP="00E14102">
      <w:pPr>
        <w:autoSpaceDE w:val="0"/>
        <w:autoSpaceDN w:val="0"/>
        <w:adjustRightInd w:val="0"/>
        <w:jc w:val="both"/>
        <w:rPr>
          <w:color w:val="000000" w:themeColor="text1"/>
          <w:sz w:val="16"/>
          <w:szCs w:val="16"/>
        </w:rPr>
      </w:pPr>
      <w:r w:rsidRPr="00E14102">
        <w:rPr>
          <w:color w:val="000000" w:themeColor="text1"/>
          <w:sz w:val="16"/>
          <w:szCs w:val="16"/>
        </w:rPr>
        <w:t>Прокурор Союза ССР Вышинский</w:t>
      </w:r>
    </w:p>
    <w:p w14:paraId="34AD252E" w14:textId="77777777" w:rsidR="002751A5" w:rsidRPr="00E14102" w:rsidRDefault="002751A5" w:rsidP="00E14102">
      <w:pPr>
        <w:autoSpaceDE w:val="0"/>
        <w:autoSpaceDN w:val="0"/>
        <w:adjustRightInd w:val="0"/>
        <w:jc w:val="both"/>
        <w:rPr>
          <w:color w:val="000000" w:themeColor="text1"/>
          <w:sz w:val="16"/>
          <w:szCs w:val="16"/>
        </w:rPr>
      </w:pPr>
      <w:r w:rsidRPr="00E14102">
        <w:rPr>
          <w:color w:val="000000" w:themeColor="text1"/>
          <w:sz w:val="16"/>
          <w:szCs w:val="16"/>
        </w:rPr>
        <w:t>Председатель Верховного суда СССР Винокуров</w:t>
      </w:r>
    </w:p>
    <w:p w14:paraId="717816AC" w14:textId="77777777" w:rsidR="002751A5" w:rsidRPr="00E14102" w:rsidRDefault="002751A5" w:rsidP="00E14102">
      <w:pPr>
        <w:autoSpaceDE w:val="0"/>
        <w:autoSpaceDN w:val="0"/>
        <w:adjustRightInd w:val="0"/>
        <w:jc w:val="both"/>
        <w:rPr>
          <w:iCs/>
          <w:color w:val="000000" w:themeColor="text1"/>
          <w:sz w:val="16"/>
          <w:szCs w:val="16"/>
        </w:rPr>
      </w:pPr>
      <w:r w:rsidRPr="00E14102">
        <w:rPr>
          <w:color w:val="000000" w:themeColor="text1"/>
          <w:sz w:val="16"/>
          <w:szCs w:val="16"/>
        </w:rPr>
        <w:t>ГА РФ Ф Р-8131 Оп 38 Л 6 П 47а Подлинник" (17300).</w:t>
      </w:r>
    </w:p>
    <w:p w14:paraId="270AB0D5" w14:textId="77777777" w:rsidR="002751A5" w:rsidRPr="00E14102" w:rsidRDefault="002751A5" w:rsidP="00E14102">
      <w:pPr>
        <w:autoSpaceDE w:val="0"/>
        <w:autoSpaceDN w:val="0"/>
        <w:adjustRightInd w:val="0"/>
        <w:jc w:val="both"/>
        <w:rPr>
          <w:iCs/>
          <w:color w:val="000000" w:themeColor="text1"/>
          <w:sz w:val="16"/>
          <w:szCs w:val="16"/>
        </w:rPr>
      </w:pPr>
    </w:p>
    <w:p w14:paraId="602EA807" w14:textId="77777777" w:rsidR="001575D5"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8F10DC6" w14:textId="77777777" w:rsidR="001575D5" w:rsidRPr="00E14102" w:rsidRDefault="001575D5" w:rsidP="00E14102">
      <w:pPr>
        <w:autoSpaceDE w:val="0"/>
        <w:autoSpaceDN w:val="0"/>
        <w:adjustRightInd w:val="0"/>
        <w:jc w:val="both"/>
        <w:rPr>
          <w:iCs/>
          <w:color w:val="000000" w:themeColor="text1"/>
          <w:sz w:val="16"/>
          <w:szCs w:val="16"/>
        </w:rPr>
      </w:pPr>
    </w:p>
    <w:p w14:paraId="52AA6116" w14:textId="77777777" w:rsidR="001575D5" w:rsidRPr="00E14102" w:rsidRDefault="00E14102" w:rsidP="00E14102">
      <w:pPr>
        <w:shd w:val="clear" w:color="auto" w:fill="FFFFFF"/>
        <w:jc w:val="both"/>
        <w:rPr>
          <w:color w:val="000000" w:themeColor="text1"/>
          <w:sz w:val="16"/>
          <w:szCs w:val="16"/>
        </w:rPr>
      </w:pPr>
      <w:hyperlink r:id="rId79" w:tooltip="20 Апреля" w:history="1">
        <w:r w:rsidR="001575D5" w:rsidRPr="00E14102">
          <w:rPr>
            <w:color w:val="000000" w:themeColor="text1"/>
            <w:sz w:val="16"/>
            <w:szCs w:val="16"/>
          </w:rPr>
          <w:t>20 Апреля</w:t>
        </w:r>
      </w:hyperlink>
      <w:hyperlink r:id="rId80" w:history="1">
        <w:r w:rsidR="001575D5" w:rsidRPr="00E14102">
          <w:rPr>
            <w:color w:val="000000" w:themeColor="text1"/>
            <w:sz w:val="16"/>
            <w:szCs w:val="16"/>
          </w:rPr>
          <w:t>1935 года</w:t>
        </w:r>
      </w:hyperlink>
      <w:r w:rsidR="001575D5" w:rsidRPr="00E14102">
        <w:rPr>
          <w:color w:val="000000" w:themeColor="text1"/>
          <w:sz w:val="16"/>
          <w:szCs w:val="16"/>
        </w:rPr>
        <w:t xml:space="preserve"> стараниями журналиста Уоррена ХИЛЛА, ведущего шоу "Your Lucky Strike Hit Parade", на американском радио появляется первый в мире хит-парад (17303).</w:t>
      </w:r>
    </w:p>
    <w:p w14:paraId="6D5B6214" w14:textId="77777777" w:rsidR="001575D5" w:rsidRPr="00E14102" w:rsidRDefault="001575D5" w:rsidP="00E14102">
      <w:pPr>
        <w:autoSpaceDE w:val="0"/>
        <w:autoSpaceDN w:val="0"/>
        <w:adjustRightInd w:val="0"/>
        <w:jc w:val="both"/>
        <w:rPr>
          <w:iCs/>
          <w:color w:val="000000" w:themeColor="text1"/>
          <w:sz w:val="16"/>
          <w:szCs w:val="16"/>
        </w:rPr>
      </w:pPr>
    </w:p>
    <w:p w14:paraId="65CE985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1B74435" w14:textId="77777777" w:rsidR="00D4105E" w:rsidRPr="00E14102" w:rsidRDefault="00D4105E" w:rsidP="00E14102">
      <w:pPr>
        <w:autoSpaceDE w:val="0"/>
        <w:autoSpaceDN w:val="0"/>
        <w:adjustRightInd w:val="0"/>
        <w:jc w:val="both"/>
        <w:rPr>
          <w:iCs/>
          <w:color w:val="000000" w:themeColor="text1"/>
          <w:sz w:val="16"/>
          <w:szCs w:val="16"/>
        </w:rPr>
      </w:pPr>
    </w:p>
    <w:p w14:paraId="2EC06F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апреля 1935 СТО принял постановление О развитии гидросамолетостроения (3398,188).</w:t>
      </w:r>
    </w:p>
    <w:p w14:paraId="278B47E7" w14:textId="77777777" w:rsidR="00D4105E" w:rsidRPr="00E14102" w:rsidRDefault="00D4105E" w:rsidP="00E14102">
      <w:pPr>
        <w:autoSpaceDE w:val="0"/>
        <w:autoSpaceDN w:val="0"/>
        <w:adjustRightInd w:val="0"/>
        <w:jc w:val="both"/>
        <w:rPr>
          <w:color w:val="000000" w:themeColor="text1"/>
          <w:sz w:val="16"/>
          <w:szCs w:val="16"/>
        </w:rPr>
      </w:pPr>
    </w:p>
    <w:p w14:paraId="255243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апреля 1935 на аэродроме Куйбышевского аэроклуба был проведен успешный опыт одновременной посадки самолета и планера, связанных тросом (105,63).</w:t>
      </w:r>
    </w:p>
    <w:p w14:paraId="5FE63D80" w14:textId="77777777" w:rsidR="00D4105E" w:rsidRPr="00E14102" w:rsidRDefault="00D4105E" w:rsidP="00E14102">
      <w:pPr>
        <w:autoSpaceDE w:val="0"/>
        <w:autoSpaceDN w:val="0"/>
        <w:adjustRightInd w:val="0"/>
        <w:jc w:val="both"/>
        <w:rPr>
          <w:color w:val="000000" w:themeColor="text1"/>
          <w:sz w:val="16"/>
          <w:szCs w:val="16"/>
        </w:rPr>
      </w:pPr>
    </w:p>
    <w:p w14:paraId="206BB326" w14:textId="77777777" w:rsidR="00051001" w:rsidRPr="00E14102" w:rsidRDefault="00051001" w:rsidP="00E14102">
      <w:pPr>
        <w:jc w:val="both"/>
        <w:rPr>
          <w:color w:val="0070C0"/>
          <w:sz w:val="16"/>
          <w:szCs w:val="16"/>
        </w:rPr>
      </w:pPr>
      <w:r w:rsidRPr="00E14102">
        <w:rPr>
          <w:color w:val="0070C0"/>
          <w:sz w:val="16"/>
          <w:szCs w:val="16"/>
        </w:rPr>
        <w:t>21-22 апреля 1935 на «СССР В-6» выполнили перелёт по маршруту Москва — Ленинград — Москва, пройдя 1200 км за 15 часов. 15-18 мая при пло</w:t>
      </w:r>
      <w:r w:rsidRPr="00E14102">
        <w:rPr>
          <w:color w:val="0070C0"/>
          <w:sz w:val="16"/>
          <w:szCs w:val="16"/>
        </w:rPr>
        <w:softHyphen/>
        <w:t>хих метеорологических условиях «СССР В-6» под командой У. Нобиле за 40 часов полёта про</w:t>
      </w:r>
      <w:r w:rsidRPr="00E14102">
        <w:rPr>
          <w:color w:val="0070C0"/>
          <w:sz w:val="16"/>
          <w:szCs w:val="16"/>
        </w:rPr>
        <w:softHyphen/>
        <w:t>шёл по маршруту Москва — Архангельск — Москва. Полёт Москва — Харьков — Москва оказался полностью слепым, так как дирижабль вылетел из Москвы поздно вечером, а от Орла до самого Харькова его сопровождали туман и низкая облачность. Однако корабль не укло</w:t>
      </w:r>
      <w:r w:rsidRPr="00E14102">
        <w:rPr>
          <w:color w:val="0070C0"/>
          <w:sz w:val="16"/>
          <w:szCs w:val="16"/>
        </w:rPr>
        <w:softHyphen/>
        <w:t>нился от правильного курса, и экипаж увидел Харьков, когда, пробив облака, снизился до вы</w:t>
      </w:r>
      <w:r w:rsidRPr="00E14102">
        <w:rPr>
          <w:color w:val="0070C0"/>
          <w:sz w:val="16"/>
          <w:szCs w:val="16"/>
        </w:rPr>
        <w:softHyphen/>
        <w:t>соты 150 м.</w:t>
      </w:r>
    </w:p>
    <w:p w14:paraId="5EC481DC" w14:textId="77777777" w:rsidR="00051001" w:rsidRPr="00E14102" w:rsidRDefault="00051001" w:rsidP="00E14102">
      <w:pPr>
        <w:jc w:val="both"/>
        <w:rPr>
          <w:color w:val="0070C0"/>
          <w:sz w:val="16"/>
          <w:szCs w:val="16"/>
        </w:rPr>
      </w:pPr>
      <w:r w:rsidRPr="00E14102">
        <w:rPr>
          <w:color w:val="0070C0"/>
          <w:sz w:val="16"/>
          <w:szCs w:val="16"/>
        </w:rPr>
        <w:t>Налёт «СССР В-6» составил: в 1934 г. — 10 ча</w:t>
      </w:r>
      <w:r w:rsidRPr="00E14102">
        <w:rPr>
          <w:color w:val="0070C0"/>
          <w:sz w:val="16"/>
          <w:szCs w:val="16"/>
        </w:rPr>
        <w:softHyphen/>
        <w:t>сов, а в 1935 — 213 часов.</w:t>
      </w:r>
    </w:p>
    <w:p w14:paraId="33B6B295" w14:textId="77777777" w:rsidR="00051001" w:rsidRPr="00E14102" w:rsidRDefault="00051001" w:rsidP="00E14102">
      <w:pPr>
        <w:jc w:val="both"/>
        <w:rPr>
          <w:color w:val="0070C0"/>
          <w:sz w:val="16"/>
          <w:szCs w:val="16"/>
        </w:rPr>
      </w:pPr>
      <w:r w:rsidRPr="00E14102">
        <w:rPr>
          <w:color w:val="0070C0"/>
          <w:sz w:val="16"/>
          <w:szCs w:val="16"/>
          <w:lang w:bidi="ru-RU"/>
        </w:rPr>
        <w:t>В 1935 году «СССР-В6» израсходовал водорода на 257 тыс. рублей (53 % прямых расходов), в 1937 году - на 236 тыс. (37 %). Это было сравнимо со всей зарплатой экипажа, включая лётные надбавки, и многократно превышало стоимость использованного за год горючего.</w:t>
      </w:r>
    </w:p>
    <w:p w14:paraId="02EDD9EC" w14:textId="77777777" w:rsidR="00051001" w:rsidRPr="00E14102" w:rsidRDefault="00051001" w:rsidP="00E14102">
      <w:pPr>
        <w:jc w:val="both"/>
        <w:rPr>
          <w:color w:val="0070C0"/>
          <w:sz w:val="16"/>
          <w:szCs w:val="16"/>
        </w:rPr>
      </w:pPr>
      <w:r w:rsidRPr="00E14102">
        <w:rPr>
          <w:color w:val="0070C0"/>
          <w:sz w:val="16"/>
          <w:szCs w:val="16"/>
          <w:lang w:bidi="ru-RU"/>
        </w:rPr>
        <w:t xml:space="preserve">Водород не только улетучивался через «прозрачные» оболочки кораблей, но и расходовался при подъёмах. Согласно законам физики при наборе высоты атмосферное давление падает, а давление водорода в оболочке дирижабля остаётся практически неизменным - разница между ними растёт. Сверхдавление газа грозит разорвать оболочку, что для мягкого или полужёсткого корабля почти равносильно гибели. Поэтому начиная с некоторого момента приходится безвозвратно расставаться с частью водорода - травить, выпуская через газовые клапаны. За преодоление значительных возвышенностей приходится платить сотнями и тысячами кубометров водорода, вылетающего в буквальном смысле в трубу. Драгоценный газ старались беречь, в том числе выбирая маршруты с минимальными перепадами высот </w:t>
      </w:r>
      <w:r w:rsidRPr="00E14102">
        <w:rPr>
          <w:color w:val="0070C0"/>
          <w:sz w:val="16"/>
          <w:szCs w:val="16"/>
        </w:rPr>
        <w:t>(20120).</w:t>
      </w:r>
    </w:p>
    <w:p w14:paraId="79CDD366" w14:textId="77777777" w:rsidR="00051001" w:rsidRPr="00E14102" w:rsidRDefault="00051001" w:rsidP="00E14102">
      <w:pPr>
        <w:jc w:val="both"/>
        <w:rPr>
          <w:color w:val="0070C0"/>
          <w:sz w:val="16"/>
          <w:szCs w:val="16"/>
        </w:rPr>
      </w:pPr>
    </w:p>
    <w:p w14:paraId="6833F7C0" w14:textId="77777777" w:rsidR="00051001" w:rsidRPr="00E14102" w:rsidRDefault="00051001" w:rsidP="00E14102">
      <w:pPr>
        <w:jc w:val="both"/>
        <w:rPr>
          <w:color w:val="0070C0"/>
          <w:sz w:val="16"/>
          <w:szCs w:val="16"/>
          <w:lang w:bidi="ru-RU"/>
        </w:rPr>
      </w:pPr>
      <w:r w:rsidRPr="00E14102">
        <w:rPr>
          <w:color w:val="0070C0"/>
          <w:sz w:val="16"/>
          <w:szCs w:val="16"/>
          <w:lang w:bidi="ru-RU"/>
        </w:rPr>
        <w:t>21 апреля 1935 помимо экипажа и обязательного шеф-пилота на борт корабля В-6 поднялись Хорьков, Бирнбаум и инженер Кулик.</w:t>
      </w:r>
    </w:p>
    <w:p w14:paraId="2CB46FB8" w14:textId="77777777" w:rsidR="00051001" w:rsidRPr="00E14102" w:rsidRDefault="00051001" w:rsidP="00E14102">
      <w:pPr>
        <w:jc w:val="both"/>
        <w:rPr>
          <w:color w:val="0070C0"/>
          <w:sz w:val="16"/>
          <w:szCs w:val="16"/>
        </w:rPr>
      </w:pPr>
      <w:r w:rsidRPr="00E14102">
        <w:rPr>
          <w:color w:val="0070C0"/>
          <w:sz w:val="16"/>
          <w:szCs w:val="16"/>
          <w:lang w:bidi="ru-RU"/>
        </w:rPr>
        <w:t>К середине апреля пришло время заканчивать с короткими полётами вокруг Долгопрудной. Для первого рейса средней дальности, недолго думая, выбрали Ленинград: туда уже неоднократно летали мягкие дирижабли, и только там, в Сализи, имелось некое подобие дирижабельного порта, где «СССР-В6» теоретически мог приземлиться в случае крайней необходимости.</w:t>
      </w:r>
    </w:p>
    <w:p w14:paraId="212EC00F" w14:textId="77777777" w:rsidR="00051001" w:rsidRPr="00E14102" w:rsidRDefault="00051001" w:rsidP="00E14102">
      <w:pPr>
        <w:jc w:val="both"/>
        <w:rPr>
          <w:color w:val="0070C0"/>
          <w:sz w:val="16"/>
          <w:szCs w:val="16"/>
        </w:rPr>
      </w:pPr>
      <w:r w:rsidRPr="00E14102">
        <w:rPr>
          <w:color w:val="0070C0"/>
          <w:sz w:val="16"/>
          <w:szCs w:val="16"/>
          <w:lang w:bidi="ru-RU"/>
        </w:rPr>
        <w:t>Около полудня «СССР-В6» взлетел, покружил несколько часов над Москвой, напомнив москвичам о существовании Дирижаблестроя, и взял курс на Северную столицу, куда прибыл ближе к полуночи.</w:t>
      </w:r>
    </w:p>
    <w:p w14:paraId="198ACD9A" w14:textId="77777777" w:rsidR="00051001" w:rsidRPr="00E14102" w:rsidRDefault="00051001" w:rsidP="00E14102">
      <w:pPr>
        <w:jc w:val="both"/>
        <w:rPr>
          <w:color w:val="0070C0"/>
          <w:sz w:val="16"/>
          <w:szCs w:val="16"/>
        </w:rPr>
      </w:pPr>
      <w:r w:rsidRPr="00E14102">
        <w:rPr>
          <w:color w:val="0070C0"/>
          <w:sz w:val="16"/>
          <w:szCs w:val="16"/>
          <w:lang w:bidi="ru-RU"/>
        </w:rPr>
        <w:t>Приземление в план не входило. Экипаж по радио передал приветствие Ленинградским обкому и горкому ВКП(б), Леносоавиахиму, после чего направился в Сализи, чтобы пролететь над ЛЕНПОДИ - так сокращённо называли Ленинградский порт дирижаблей. На случай аварийной посадки там ждали причальная команда и несколько инженеров. Но всё шло хорошо, и дирижабль, пролетев над эллингом, лёг на обратный курс.</w:t>
      </w:r>
    </w:p>
    <w:p w14:paraId="7CFE51BA" w14:textId="77777777" w:rsidR="00051001" w:rsidRPr="00E14102" w:rsidRDefault="00051001" w:rsidP="00E14102">
      <w:pPr>
        <w:jc w:val="both"/>
        <w:rPr>
          <w:color w:val="0070C0"/>
          <w:sz w:val="16"/>
          <w:szCs w:val="16"/>
          <w:lang w:bidi="ru-RU"/>
        </w:rPr>
      </w:pPr>
      <w:r w:rsidRPr="00E14102">
        <w:rPr>
          <w:color w:val="0070C0"/>
          <w:sz w:val="16"/>
          <w:szCs w:val="16"/>
          <w:lang w:bidi="ru-RU"/>
        </w:rPr>
        <w:t>Подойдя к долгопрудненскому лётному полю к 9 часам утра, он не стал садиться сразу, а до вечера кружил в окрестностях, проверяя работу оборудования в длительном полёте, и приземлился только к 18 часам.</w:t>
      </w:r>
    </w:p>
    <w:p w14:paraId="43924308" w14:textId="77777777" w:rsidR="00051001" w:rsidRPr="00E14102" w:rsidRDefault="00051001" w:rsidP="00E14102">
      <w:pPr>
        <w:jc w:val="both"/>
        <w:rPr>
          <w:color w:val="0070C0"/>
          <w:sz w:val="16"/>
          <w:szCs w:val="16"/>
        </w:rPr>
      </w:pPr>
      <w:r w:rsidRPr="00E14102">
        <w:rPr>
          <w:color w:val="0070C0"/>
          <w:sz w:val="16"/>
          <w:szCs w:val="16"/>
          <w:lang w:bidi="ru-RU"/>
        </w:rPr>
        <w:t>Хорьков дал «Комсомольской правде» интервью, в котором описал детали корабельной жизни:</w:t>
      </w:r>
    </w:p>
    <w:p w14:paraId="5D226A7D" w14:textId="77777777" w:rsidR="00051001" w:rsidRPr="00E14102" w:rsidRDefault="00051001" w:rsidP="00E14102">
      <w:pPr>
        <w:jc w:val="both"/>
        <w:rPr>
          <w:color w:val="0070C0"/>
          <w:sz w:val="16"/>
          <w:szCs w:val="16"/>
        </w:rPr>
      </w:pPr>
      <w:r w:rsidRPr="00E14102">
        <w:rPr>
          <w:color w:val="0070C0"/>
          <w:sz w:val="16"/>
          <w:szCs w:val="16"/>
          <w:lang w:bidi="ru-RU"/>
        </w:rPr>
        <w:t>Экипаж дирижабля был разбит на две смены. Вахту несли по два и четыре часа. Усталости не чувствовали никакой. В кабине было тепло, светло и весело. Играл патефон. Команда выпускала стенную газету «Осоавиахимовец». Обсуждали помещённые заметки, смеялись над карикатурами. Пели песни. Пытались танцевать, но мешала небольшая площадь гондолы.</w:t>
      </w:r>
    </w:p>
    <w:p w14:paraId="0C5C1C6C" w14:textId="77777777" w:rsidR="00051001" w:rsidRPr="00E14102" w:rsidRDefault="00051001" w:rsidP="00E14102">
      <w:pPr>
        <w:jc w:val="both"/>
        <w:rPr>
          <w:color w:val="0070C0"/>
          <w:sz w:val="16"/>
          <w:szCs w:val="16"/>
        </w:rPr>
      </w:pPr>
      <w:r w:rsidRPr="00E14102">
        <w:rPr>
          <w:color w:val="0070C0"/>
          <w:sz w:val="16"/>
          <w:szCs w:val="16"/>
          <w:lang w:bidi="ru-RU"/>
        </w:rPr>
        <w:t>Пищи на дирижабле было достаточно. В термосах был припасён горячий чай, кофе и какао [70].</w:t>
      </w:r>
    </w:p>
    <w:p w14:paraId="44BB1B00" w14:textId="77777777" w:rsidR="00051001" w:rsidRPr="00E14102" w:rsidRDefault="00051001" w:rsidP="00E14102">
      <w:pPr>
        <w:jc w:val="both"/>
        <w:rPr>
          <w:color w:val="0070C0"/>
          <w:sz w:val="16"/>
          <w:szCs w:val="16"/>
        </w:rPr>
      </w:pPr>
      <w:r w:rsidRPr="00E14102">
        <w:rPr>
          <w:color w:val="0070C0"/>
          <w:sz w:val="16"/>
          <w:szCs w:val="16"/>
          <w:lang w:bidi="ru-RU"/>
        </w:rPr>
        <w:t>В заключение начальник Дирижаблестроя сообщил: слетав в Ленинград, «СССР-В6» тем самым прошёл испытание на продолжительность, а после майских праздников ему предстоит второе - на высоту. Затем корабль пустят в пробную эксплуатацию на линию Москва - Свердловск (23192).</w:t>
      </w:r>
    </w:p>
    <w:p w14:paraId="59079894" w14:textId="77777777" w:rsidR="00051001" w:rsidRPr="00E14102" w:rsidRDefault="00051001" w:rsidP="00E14102">
      <w:pPr>
        <w:jc w:val="both"/>
        <w:rPr>
          <w:color w:val="0070C0"/>
          <w:sz w:val="16"/>
          <w:szCs w:val="16"/>
        </w:rPr>
      </w:pPr>
    </w:p>
    <w:p w14:paraId="1ED242A6" w14:textId="77777777" w:rsidR="008811AB" w:rsidRPr="00E14102" w:rsidRDefault="008811AB" w:rsidP="00E14102">
      <w:pPr>
        <w:jc w:val="both"/>
        <w:rPr>
          <w:color w:val="000000" w:themeColor="text1"/>
          <w:sz w:val="16"/>
          <w:szCs w:val="16"/>
        </w:rPr>
      </w:pPr>
      <w:r w:rsidRPr="00E14102">
        <w:rPr>
          <w:color w:val="000000" w:themeColor="text1"/>
          <w:sz w:val="16"/>
          <w:szCs w:val="16"/>
        </w:rPr>
        <w:t>21-22 апреля 1935 г. состоялся перелет В-6 по маршруту Долгопрудная (Московский порт Дирижаблестроя) – Ленинград – Салюзи – Москва – Долгопрудная, продолжительностью 30 ч 20 мин. [Испытательный полет СССР В-6 // Технический бюллетень Дирижаблестроя. - 1935. - № 1, с. 101] (15234).</w:t>
      </w:r>
    </w:p>
    <w:p w14:paraId="0353AA68" w14:textId="77777777" w:rsidR="008811AB" w:rsidRPr="00E14102" w:rsidRDefault="008811AB" w:rsidP="00E14102">
      <w:pPr>
        <w:jc w:val="both"/>
        <w:rPr>
          <w:color w:val="000000" w:themeColor="text1"/>
          <w:sz w:val="16"/>
          <w:szCs w:val="16"/>
        </w:rPr>
      </w:pPr>
    </w:p>
    <w:p w14:paraId="3BBD11E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F658924" w14:textId="77777777" w:rsidR="00D4105E" w:rsidRPr="00E14102" w:rsidRDefault="00D4105E" w:rsidP="00E14102">
      <w:pPr>
        <w:autoSpaceDE w:val="0"/>
        <w:autoSpaceDN w:val="0"/>
        <w:adjustRightInd w:val="0"/>
        <w:jc w:val="both"/>
        <w:rPr>
          <w:iCs/>
          <w:color w:val="000000" w:themeColor="text1"/>
          <w:sz w:val="16"/>
          <w:szCs w:val="16"/>
        </w:rPr>
      </w:pPr>
    </w:p>
    <w:p w14:paraId="554B04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апреля 1935 г. Решением СТО № 292 заводу (Завод № 42 им. Масленникова ВСНХ, Самарский трубочный завод им. тов. Масленникова ВСНХ, ГС завод № 42 НКОП, ГС Ордена Трудового Красного Знамени завод № 42 им. Масленникова НКБ, МСХМ, МОП, п/я 59, Государственное ПО «Завод им. Масленникова» (ЗИМ) Росбоеприпаса, ОАО «НПП «Завод им. Масленникова» / г. Самара,  г. Куйбышев 19 п/я 59 «Арматура» (1943 г.)/ /443068  г. Самара ул. Ново-Садовая, 106 тел. 35-30-13/) установлена годовая мощность производства: 1 млн. часов, 500 тыс. механических артиллерийских трубок. Приказом № 193 от 28.05.1937 г. заводу предписано закончить в 3-м квартале 1937 г. ввод в строй часового производства (механического, сборочного, инструментального и термического цехов); разработать к 09.1937 г. техпроцессы производства карманных часов калибром 43 мм по чертежам фирмы «Лип»; изготовить в 1937 г. 50 тыс. комплектов деталей и 25 тыс. часов; по пр. № 0195 от 8.09.1937 г. было необходимо к 1.01.1938 г. пустить 1-ю очередь производства. Для освоения производства на заводы № 42 и № 50 направлено 25 инженеров. Во исполнение решения ЭКОСО № 110-16сс от 9.03.1938 г. пр. № 93сс от 15.03.1938 г. требовалось закончить работы по часовому производству к 15.06.1938 г.; к 30.06.1938 г. ввести в строй 1-ю очередь производства (11982).</w:t>
      </w:r>
    </w:p>
    <w:p w14:paraId="3A0A5E3C" w14:textId="77777777" w:rsidR="00D4105E" w:rsidRPr="00E14102" w:rsidRDefault="00D4105E" w:rsidP="00E14102">
      <w:pPr>
        <w:autoSpaceDE w:val="0"/>
        <w:autoSpaceDN w:val="0"/>
        <w:adjustRightInd w:val="0"/>
        <w:jc w:val="both"/>
        <w:rPr>
          <w:color w:val="000000" w:themeColor="text1"/>
          <w:sz w:val="16"/>
          <w:szCs w:val="16"/>
        </w:rPr>
      </w:pPr>
    </w:p>
    <w:p w14:paraId="3ACDE9DB" w14:textId="77777777" w:rsidR="00D4105E" w:rsidRPr="00E14102" w:rsidRDefault="00D4105E" w:rsidP="00E14102">
      <w:pPr>
        <w:tabs>
          <w:tab w:val="left" w:pos="296"/>
        </w:tabs>
        <w:autoSpaceDE w:val="0"/>
        <w:autoSpaceDN w:val="0"/>
        <w:adjustRightInd w:val="0"/>
        <w:jc w:val="both"/>
        <w:rPr>
          <w:color w:val="000000" w:themeColor="text1"/>
          <w:sz w:val="16"/>
          <w:szCs w:val="16"/>
        </w:rPr>
      </w:pPr>
      <w:r w:rsidRPr="00E14102">
        <w:rPr>
          <w:color w:val="000000" w:themeColor="text1"/>
          <w:sz w:val="16"/>
          <w:szCs w:val="16"/>
        </w:rPr>
        <w:t>21 апреля 1935 г. по решению СТО № 292 на заводе (Завод № 50 ВСНХ, ГС завод № 50 им. М.В. Фрунзе НКТП, НКОП, НКБ, Пензенский трубочный завод ВСНХ, Пензенский велосипедный завод им. М.В. Фрунзе, п/я 25, Пензенский машиностроительный завод им. М.В. Фрунзе, ОАО «Завод им. М.В. Фрунзе» (ЗИФ) Росбоеприпаса / г. Пенза п/я 25 «Сталь» (1937-43 г.)/ /440039  г. Пенза ул. Ленина, 3 тел. 64-94-00/) было организовано производство женских часов, установлена годовая мощность производства - 500 тыс. часов. Приказом № 193 от 28.05.1937 г. заводу предписано закончить в 3-м квартале 1937 г. ввод в строй часового производства (механического, сборочного, инструментального и термического цехов); разработать к 09.1937 г. техпроцессы производства наручных часов калибром 18х 26 мм по чертежам фирмы «Лип»; изготовить в 1937 г. 25 тыс. комплектов деталей и 12,5 тыс. часов; по пр. № 0195 от 8.09.1937 г. было необходимо к 1.01.1938 г. пустить 1-ю очередь производства. Для освоения производства на заводы № 42 и № 50 направлено 25 инженеров. Во исполнение решения ЭКОСО № 110-16сс от 9.03.1938 г. пр. № 93сс от 15.03.1938 г. требовалось закончить работы по часовому производству к 15.06.1938 г.; к 30.06.1938 г. ввести в строй 1-ю очередь производства. К концу 1938 г. была изготовлена первая партия часов ЗИФ Т-18 (11982).</w:t>
      </w:r>
    </w:p>
    <w:p w14:paraId="08914A08" w14:textId="77777777" w:rsidR="00D4105E" w:rsidRPr="00E14102" w:rsidRDefault="00D4105E" w:rsidP="00E14102">
      <w:pPr>
        <w:tabs>
          <w:tab w:val="left" w:pos="296"/>
        </w:tabs>
        <w:autoSpaceDE w:val="0"/>
        <w:autoSpaceDN w:val="0"/>
        <w:adjustRightInd w:val="0"/>
        <w:jc w:val="both"/>
        <w:rPr>
          <w:color w:val="000000" w:themeColor="text1"/>
          <w:sz w:val="16"/>
          <w:szCs w:val="16"/>
        </w:rPr>
      </w:pPr>
    </w:p>
    <w:p w14:paraId="48D1D5B8" w14:textId="77777777" w:rsidR="004567BC" w:rsidRPr="00E14102" w:rsidRDefault="004567BC"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21 апреля 1935 года решением Совета Труда и Обороны 2МЧЗ предписывалось освоить сборку карманных часов из деталей 1 МЧЗ</w:t>
      </w:r>
    </w:p>
    <w:p w14:paraId="3500D241" w14:textId="77777777" w:rsidR="004567BC" w:rsidRPr="00E14102" w:rsidRDefault="004567BC" w:rsidP="00E14102">
      <w:pPr>
        <w:pStyle w:val="ad"/>
        <w:shd w:val="clear" w:color="auto" w:fill="FFFFFF"/>
        <w:spacing w:before="0" w:after="0"/>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lang w:val="ru-RU"/>
        </w:rPr>
        <w:t xml:space="preserve">Постановлением также предусматривались капитальные вложения на расширение производственной базы. Выделялись средства на строительство 4-х этажного пристроя к основному зданию общей площадью </w:t>
      </w:r>
      <w:r w:rsidRPr="00E14102">
        <w:rPr>
          <w:rFonts w:ascii="Times New Roman" w:hAnsi="Times New Roman" w:cs="Times New Roman"/>
          <w:color w:val="000000" w:themeColor="text1"/>
          <w:sz w:val="16"/>
          <w:szCs w:val="16"/>
        </w:rPr>
        <w:t>4500 кв. метров.</w:t>
      </w:r>
    </w:p>
    <w:p w14:paraId="7B8EDC5B" w14:textId="77777777" w:rsidR="004567BC" w:rsidRPr="00E14102" w:rsidRDefault="004567BC"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Предусматривалась также закупка за границей недостающего оборудования. Составлением заявок занимался начальник техотдела К.Н. Михайлов и заведующий бюро нормирования труда В. Гуревич. Тогда же в 1935 году представителям завода предстояло в течение 3-х месяцев принять у производителей токарные станки на фирме "Шаублин", станки для изготовления модульных фрез на фирме "Сафаг", шлифовальные станки на фирме "Дикси", станки строгальные на фирме "Тиль", координатно-расточные станки у фирмы Гаузер, измерительный микроскоп фирмы "Цейс".</w:t>
      </w:r>
    </w:p>
    <w:p w14:paraId="32A8799C" w14:textId="77777777" w:rsidR="004567BC" w:rsidRPr="00E14102" w:rsidRDefault="004567BC"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За 1935 год заводом было выпущено 30 тысяч вторичных и 800 штук первичных часов. В 193б году пристрой к главному корпусу для производства карманных часов был сдан строителями, а с получением оборудования из Швейцарии производство было готово к выпуску новой продукции. На 4-м этаже нового корпуса находилась </w:t>
      </w:r>
      <w:r w:rsidRPr="00E14102">
        <w:rPr>
          <w:rFonts w:ascii="Times New Roman" w:hAnsi="Times New Roman" w:cs="Times New Roman"/>
          <w:color w:val="000000" w:themeColor="text1"/>
          <w:sz w:val="16"/>
          <w:szCs w:val="16"/>
          <w:lang w:val="ru-RU"/>
        </w:rPr>
        <w:lastRenderedPageBreak/>
        <w:t>сборка карманных часов, а 1-й этаж стал продолжением автоматного цеха, который в основном был укомплектован станками фирмы "Бехлер" и "Ламберт". На втором этаже располагался платино-мостовой цех, а на 3-м - механосборочный цех. Два последних цеха и сейчас находятся на тех же площадках, а автоматный лишь в 1998 году был объединен с автоматным цехом производства будильников. Первая партия карманных часов была выпущена в 1937 году. В том же году началась закалка стальных деталей в защитной среде, была организована элинварная мастерская, а узел баланса стал выпускаться с волоском собственного производства.</w:t>
      </w:r>
    </w:p>
    <w:p w14:paraId="044E148A" w14:textId="77777777" w:rsidR="004567BC" w:rsidRPr="00E14102" w:rsidRDefault="004567BC"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w:t>
      </w:r>
      <w:r w:rsidRPr="00E14102">
        <w:rPr>
          <w:rFonts w:ascii="Times New Roman" w:hAnsi="Times New Roman" w:cs="Times New Roman"/>
          <w:color w:val="000000" w:themeColor="text1"/>
          <w:sz w:val="16"/>
          <w:szCs w:val="16"/>
        </w:rPr>
        <w:t>a</w:t>
      </w:r>
      <w:r w:rsidRPr="00E14102">
        <w:rPr>
          <w:rFonts w:ascii="Times New Roman" w:hAnsi="Times New Roman" w:cs="Times New Roman"/>
          <w:color w:val="000000" w:themeColor="text1"/>
          <w:sz w:val="16"/>
          <w:szCs w:val="16"/>
          <w:lang w:val="ru-RU"/>
        </w:rPr>
        <w:t xml:space="preserve"> этот год приходится начало выпуска автомобильных электрических часов для машины ЗИС101; а также игрушки с использованием часовой пружины в качестве источника энергии (12237).</w:t>
      </w:r>
    </w:p>
    <w:p w14:paraId="4276B4D2" w14:textId="77777777" w:rsidR="004567BC" w:rsidRPr="00E14102" w:rsidRDefault="004567BC" w:rsidP="00E14102">
      <w:pPr>
        <w:pStyle w:val="ad"/>
        <w:shd w:val="clear" w:color="auto" w:fill="FFFFFF"/>
        <w:spacing w:before="0" w:after="0"/>
        <w:rPr>
          <w:rFonts w:ascii="Times New Roman" w:hAnsi="Times New Roman" w:cs="Times New Roman"/>
          <w:color w:val="000000" w:themeColor="text1"/>
          <w:sz w:val="16"/>
          <w:szCs w:val="16"/>
          <w:lang w:val="ru-RU"/>
        </w:rPr>
      </w:pPr>
    </w:p>
    <w:p w14:paraId="5F03A91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A7AB82A" w14:textId="77777777" w:rsidR="00D4105E" w:rsidRPr="00E14102" w:rsidRDefault="00D4105E" w:rsidP="00E14102">
      <w:pPr>
        <w:autoSpaceDE w:val="0"/>
        <w:autoSpaceDN w:val="0"/>
        <w:adjustRightInd w:val="0"/>
        <w:jc w:val="both"/>
        <w:rPr>
          <w:iCs/>
          <w:color w:val="000000" w:themeColor="text1"/>
          <w:sz w:val="16"/>
          <w:szCs w:val="16"/>
        </w:rPr>
      </w:pPr>
    </w:p>
    <w:p w14:paraId="40F7F0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апреля 1935 состоялось техническое совещание по РД (1102).</w:t>
      </w:r>
    </w:p>
    <w:p w14:paraId="02DE0EF8" w14:textId="77777777" w:rsidR="00D4105E" w:rsidRPr="00E14102" w:rsidRDefault="00D4105E" w:rsidP="00E14102">
      <w:pPr>
        <w:autoSpaceDE w:val="0"/>
        <w:autoSpaceDN w:val="0"/>
        <w:adjustRightInd w:val="0"/>
        <w:jc w:val="both"/>
        <w:rPr>
          <w:color w:val="000000" w:themeColor="text1"/>
          <w:sz w:val="16"/>
          <w:szCs w:val="16"/>
        </w:rPr>
      </w:pPr>
    </w:p>
    <w:p w14:paraId="1BF0E4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апреля 1935 был произведен первый экспериментальный полет МДР-4 с целью исследования характера вибраций хвостового оперения для их устранения. Потом летали 23 апреля и 26 апреля (2 раза) (2343,212).</w:t>
      </w:r>
    </w:p>
    <w:p w14:paraId="037853D7" w14:textId="77777777" w:rsidR="00D4105E" w:rsidRPr="00E14102" w:rsidRDefault="00D4105E" w:rsidP="00E14102">
      <w:pPr>
        <w:autoSpaceDE w:val="0"/>
        <w:autoSpaceDN w:val="0"/>
        <w:adjustRightInd w:val="0"/>
        <w:jc w:val="both"/>
        <w:rPr>
          <w:color w:val="000000" w:themeColor="text1"/>
          <w:sz w:val="16"/>
          <w:szCs w:val="16"/>
        </w:rPr>
      </w:pPr>
    </w:p>
    <w:p w14:paraId="3A351D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апреля 1935 Правительство утвердило план развития ВВС на 1935-1937 (3846,6).</w:t>
      </w:r>
    </w:p>
    <w:p w14:paraId="22BD3CCB" w14:textId="77777777" w:rsidR="00D4105E" w:rsidRPr="00E14102" w:rsidRDefault="00D4105E" w:rsidP="00E14102">
      <w:pPr>
        <w:autoSpaceDE w:val="0"/>
        <w:autoSpaceDN w:val="0"/>
        <w:adjustRightInd w:val="0"/>
        <w:jc w:val="both"/>
        <w:rPr>
          <w:color w:val="000000" w:themeColor="text1"/>
          <w:sz w:val="16"/>
          <w:szCs w:val="16"/>
        </w:rPr>
      </w:pPr>
    </w:p>
    <w:p w14:paraId="50D1F2CA" w14:textId="77777777" w:rsidR="008811AB" w:rsidRPr="00E14102" w:rsidRDefault="008811AB" w:rsidP="00E14102">
      <w:pPr>
        <w:jc w:val="both"/>
        <w:rPr>
          <w:color w:val="000000" w:themeColor="text1"/>
          <w:sz w:val="16"/>
          <w:szCs w:val="16"/>
        </w:rPr>
      </w:pPr>
      <w:r w:rsidRPr="00E14102">
        <w:rPr>
          <w:color w:val="000000" w:themeColor="text1"/>
          <w:sz w:val="16"/>
          <w:szCs w:val="16"/>
        </w:rPr>
        <w:t>22 апреля 1935 на московском Центральном аэродроме (куда бригада прилетела для участия в первомайском параде), заходили на неё по не</w:t>
      </w:r>
      <w:r w:rsidRPr="00E14102">
        <w:rPr>
          <w:color w:val="000000" w:themeColor="text1"/>
          <w:sz w:val="16"/>
          <w:szCs w:val="16"/>
        </w:rPr>
        <w:softHyphen/>
        <w:t xml:space="preserve">скольку раз. 27 апреля 1936 г. большинство садившихся на тот же аэродром витебских </w:t>
      </w:r>
      <w:r w:rsidRPr="00E14102">
        <w:rPr>
          <w:rStyle w:val="0pt0"/>
          <w:rFonts w:eastAsia="Arial"/>
          <w:b w:val="0"/>
          <w:color w:val="000000" w:themeColor="text1"/>
          <w:spacing w:val="0"/>
          <w:sz w:val="16"/>
          <w:szCs w:val="16"/>
        </w:rPr>
        <w:t>Р-5</w:t>
      </w:r>
      <w:r w:rsidRPr="00E14102">
        <w:rPr>
          <w:color w:val="000000" w:themeColor="text1"/>
          <w:sz w:val="16"/>
          <w:szCs w:val="16"/>
        </w:rPr>
        <w:t xml:space="preserve"> садились за ограничитель, а 15 из 84 машин ушли на второй круг. Однако командир бригады — будущий герой Испании и начальник УВВС Красной Армии комбриг Я.В. Смушкевич, — борясь за первенство в ВВС РККА, заставлял отрабатывать групповую слётан</w:t>
      </w:r>
      <w:r w:rsidRPr="00E14102">
        <w:rPr>
          <w:color w:val="000000" w:themeColor="text1"/>
          <w:sz w:val="16"/>
          <w:szCs w:val="16"/>
        </w:rPr>
        <w:softHyphen/>
        <w:t>ность, не добившись предварительно должной отработки индивидуальной техники пилотирования, и тренироваться в полетах эскадрильей, не отработав полёты в составе звена и отряда (15803).</w:t>
      </w:r>
    </w:p>
    <w:p w14:paraId="215C0E52" w14:textId="77777777" w:rsidR="008811AB" w:rsidRPr="00E14102" w:rsidRDefault="008811AB" w:rsidP="00E14102">
      <w:pPr>
        <w:jc w:val="both"/>
        <w:rPr>
          <w:color w:val="000000" w:themeColor="text1"/>
          <w:sz w:val="16"/>
          <w:szCs w:val="16"/>
        </w:rPr>
      </w:pPr>
    </w:p>
    <w:p w14:paraId="639E189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3220031" w14:textId="77777777" w:rsidR="00D4105E" w:rsidRPr="00E14102" w:rsidRDefault="00D4105E" w:rsidP="00E14102">
      <w:pPr>
        <w:autoSpaceDE w:val="0"/>
        <w:autoSpaceDN w:val="0"/>
        <w:adjustRightInd w:val="0"/>
        <w:jc w:val="both"/>
        <w:rPr>
          <w:iCs/>
          <w:color w:val="000000" w:themeColor="text1"/>
          <w:sz w:val="16"/>
          <w:szCs w:val="16"/>
        </w:rPr>
      </w:pPr>
    </w:p>
    <w:p w14:paraId="0A6E3F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22 апреля 1935 на ЦВХП (Шиханы) проводились опыты по пребыванию группы красноармейцев без средств на зараженном ипритом участке в течение 10 мин. Спустя час после заражения (6246).</w:t>
      </w:r>
    </w:p>
    <w:p w14:paraId="4286FA5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F3E2069" w14:textId="77777777" w:rsidR="008811AB" w:rsidRPr="00E14102" w:rsidRDefault="008811AB" w:rsidP="00E14102">
      <w:pPr>
        <w:shd w:val="clear" w:color="auto" w:fill="FFFFFF"/>
        <w:jc w:val="both"/>
        <w:rPr>
          <w:color w:val="000000" w:themeColor="text1"/>
          <w:sz w:val="16"/>
          <w:szCs w:val="16"/>
        </w:rPr>
      </w:pPr>
      <w:r w:rsidRPr="00E14102">
        <w:rPr>
          <w:bCs/>
          <w:iCs/>
          <w:color w:val="000000" w:themeColor="text1"/>
          <w:sz w:val="16"/>
          <w:szCs w:val="16"/>
        </w:rPr>
        <w:t>22 апреля 1935 г.</w:t>
      </w:r>
      <w:r w:rsidRPr="00E14102">
        <w:rPr>
          <w:color w:val="000000" w:themeColor="text1"/>
          <w:sz w:val="16"/>
          <w:szCs w:val="16"/>
        </w:rPr>
        <w:t xml:space="preserve"> Опыт по пребыванию на зараженном ипритом участке на полигоне Шиханы, Саратовская область) группы красноармейцев, направленных через час после заражения без средств защиты. Нахождение в течение 10 минут и более сопровождалось поражениями открытых участков тела (шея), а также закрытых армейским обмундированием (половые органы, ягодицы и др.) (17133).</w:t>
      </w:r>
    </w:p>
    <w:p w14:paraId="1D6E4951" w14:textId="77777777" w:rsidR="008811AB" w:rsidRPr="00E14102" w:rsidRDefault="008811AB" w:rsidP="00E14102">
      <w:pPr>
        <w:shd w:val="clear" w:color="auto" w:fill="FFFFFF"/>
        <w:jc w:val="both"/>
        <w:rPr>
          <w:color w:val="000000" w:themeColor="text1"/>
          <w:sz w:val="16"/>
          <w:szCs w:val="16"/>
        </w:rPr>
      </w:pPr>
    </w:p>
    <w:p w14:paraId="07E485F8" w14:textId="77777777" w:rsidR="008811A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4F441D3" w14:textId="77777777" w:rsidR="008811AB" w:rsidRPr="00E14102" w:rsidRDefault="008811AB" w:rsidP="00E14102">
      <w:pPr>
        <w:autoSpaceDE w:val="0"/>
        <w:autoSpaceDN w:val="0"/>
        <w:adjustRightInd w:val="0"/>
        <w:jc w:val="both"/>
        <w:rPr>
          <w:iCs/>
          <w:color w:val="000000" w:themeColor="text1"/>
          <w:sz w:val="16"/>
          <w:szCs w:val="16"/>
        </w:rPr>
      </w:pPr>
    </w:p>
    <w:p w14:paraId="098E277A" w14:textId="77777777" w:rsidR="008811AB" w:rsidRPr="00E14102" w:rsidRDefault="008811AB" w:rsidP="00E14102">
      <w:pPr>
        <w:jc w:val="both"/>
        <w:rPr>
          <w:color w:val="000000" w:themeColor="text1"/>
          <w:sz w:val="16"/>
          <w:szCs w:val="16"/>
        </w:rPr>
      </w:pPr>
      <w:r w:rsidRPr="00E14102">
        <w:rPr>
          <w:color w:val="000000" w:themeColor="text1"/>
          <w:sz w:val="16"/>
          <w:szCs w:val="16"/>
        </w:rPr>
        <w:t>22 апреля в 1935 году в американском посольстве в Москве состоялся бал, одним из гостей на котором был Михаил Булгаков. Его жена Елена Сергеевна так описала это событие, воплотившееся позднее в Великий бал у сатаны в "Мастере и Маргарите": "М.А. в черном костюме. У меня вечернее платье исчерна-синее с бледно-розовыми цветами. Поехали к двенадцати часам. Все во фраках, было только несколько смокингов и пиджаков... В зале с колоннами танцуют, с хор - прожектора разноцветные. За сеткой - птицы порхают. Оркестр из Стокгольма... Ужин в специально пристроенной для этого бала к посольскому особняку столовой... В углах столовой - выгоны небольшие, на них - козлята, овечки, медвежата. По стенкам - клетки с петухами. Часа в три заиграли гармоники и петухи запели. Стиль рюсс. Масса тюльпанов, роз - из Голландии" (15107).</w:t>
      </w:r>
    </w:p>
    <w:p w14:paraId="2D8D3569" w14:textId="77777777" w:rsidR="008811AB" w:rsidRPr="00E14102" w:rsidRDefault="008811AB" w:rsidP="00E14102">
      <w:pPr>
        <w:jc w:val="both"/>
        <w:rPr>
          <w:color w:val="000000" w:themeColor="text1"/>
          <w:sz w:val="16"/>
          <w:szCs w:val="16"/>
        </w:rPr>
      </w:pPr>
    </w:p>
    <w:p w14:paraId="1D46B89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D2347BA" w14:textId="77777777" w:rsidR="00D4105E" w:rsidRPr="00E14102" w:rsidRDefault="00D4105E" w:rsidP="00E14102">
      <w:pPr>
        <w:autoSpaceDE w:val="0"/>
        <w:autoSpaceDN w:val="0"/>
        <w:adjustRightInd w:val="0"/>
        <w:jc w:val="both"/>
        <w:rPr>
          <w:iCs/>
          <w:color w:val="000000" w:themeColor="text1"/>
          <w:sz w:val="16"/>
          <w:szCs w:val="16"/>
        </w:rPr>
      </w:pPr>
    </w:p>
    <w:p w14:paraId="0D8375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апреля 1935 В.М.П. подписал расчет прочности ТБ-3 (АНТ-6) при разных вариантах загрузки, подготовленный В.Н.Беляевым (1077,131).</w:t>
      </w:r>
    </w:p>
    <w:p w14:paraId="07311C34" w14:textId="77777777" w:rsidR="00D4105E" w:rsidRPr="00E14102" w:rsidRDefault="00D4105E" w:rsidP="00E14102">
      <w:pPr>
        <w:autoSpaceDE w:val="0"/>
        <w:autoSpaceDN w:val="0"/>
        <w:adjustRightInd w:val="0"/>
        <w:jc w:val="both"/>
        <w:rPr>
          <w:color w:val="000000" w:themeColor="text1"/>
          <w:sz w:val="16"/>
          <w:szCs w:val="16"/>
        </w:rPr>
      </w:pPr>
    </w:p>
    <w:p w14:paraId="0213A6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апреля 1935 Врид Нач. ГУАП писал письмо N 242/1958с Нач. ЦАГИ Харламову на N 708с от 15 марта 1835 по вопросу ТБ-3 с паровым охлаждением и сообщал, что все расходы, связанные с работами, должны быть проведены за счет ассигнований отпущенных ЦАГИ на 1935 по разделу Экспериментальные работы. Предельный срок - 15 июля 1935 (2336,110).</w:t>
      </w:r>
    </w:p>
    <w:p w14:paraId="46EBF049" w14:textId="77777777" w:rsidR="00D4105E" w:rsidRPr="00E14102" w:rsidRDefault="00D4105E" w:rsidP="00E14102">
      <w:pPr>
        <w:autoSpaceDE w:val="0"/>
        <w:autoSpaceDN w:val="0"/>
        <w:adjustRightInd w:val="0"/>
        <w:jc w:val="both"/>
        <w:rPr>
          <w:color w:val="000000" w:themeColor="text1"/>
          <w:sz w:val="16"/>
          <w:szCs w:val="16"/>
        </w:rPr>
      </w:pPr>
    </w:p>
    <w:p w14:paraId="646E08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апреля 1935 Зам. Нач. ГУАП Марголин писал письмо N 242/1956с Дир. завода 22 (копия Всесоюзному Теплотехническому Институту - Уварову) и в соответствии с распоряжением Зам. НКТП Пятакова от 2 марта 1935 N 27с просил изготовить по заданию и чертежам ВТИ к 1 апреля 1936 подтурбинную раму вместе с прилегающей частью крыла ТБ-3. Одновременно сообщал, что заводу 22 будет поручена установка и освоение газовой турбины на ТБ-3 в связи с чем, предлагал установить контакт с ВТИ... (2336,105).</w:t>
      </w:r>
    </w:p>
    <w:p w14:paraId="6C3B6C4C" w14:textId="77777777" w:rsidR="00D4105E" w:rsidRPr="00E14102" w:rsidRDefault="00D4105E" w:rsidP="00E14102">
      <w:pPr>
        <w:autoSpaceDE w:val="0"/>
        <w:autoSpaceDN w:val="0"/>
        <w:adjustRightInd w:val="0"/>
        <w:jc w:val="both"/>
        <w:rPr>
          <w:color w:val="000000" w:themeColor="text1"/>
          <w:sz w:val="16"/>
          <w:szCs w:val="16"/>
        </w:rPr>
      </w:pPr>
    </w:p>
    <w:p w14:paraId="3EB69F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апреля 1935 Зам. нач. ГУАП писал письмо Директору ХАИ Красильникову N 244/955с на N 281с от 31 марта 1935:</w:t>
      </w:r>
    </w:p>
    <w:p w14:paraId="7F09A1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 на проектирование самолета ХАИ-5 с К-9 Вам посланы не будут, т.к. они аналогичны имеющимся у Вас ТУ на ХАИ-5 М-22. Что касается летных характеристик, то они будут значительно лучше, чем с М-22, а потому особого предварительного утверждения не требуется." (2343,199).</w:t>
      </w:r>
    </w:p>
    <w:p w14:paraId="2F77B1F4" w14:textId="77777777" w:rsidR="00D4105E" w:rsidRPr="00E14102" w:rsidRDefault="00D4105E" w:rsidP="00E14102">
      <w:pPr>
        <w:autoSpaceDE w:val="0"/>
        <w:autoSpaceDN w:val="0"/>
        <w:adjustRightInd w:val="0"/>
        <w:jc w:val="both"/>
        <w:rPr>
          <w:color w:val="000000" w:themeColor="text1"/>
          <w:sz w:val="16"/>
          <w:szCs w:val="16"/>
        </w:rPr>
      </w:pPr>
    </w:p>
    <w:p w14:paraId="409F57AF" w14:textId="77777777" w:rsidR="00C0748C" w:rsidRPr="00E14102" w:rsidRDefault="00C0748C" w:rsidP="00E14102">
      <w:pPr>
        <w:shd w:val="clear" w:color="auto" w:fill="FFFFFF"/>
        <w:jc w:val="both"/>
        <w:rPr>
          <w:color w:val="0070C0"/>
          <w:sz w:val="16"/>
          <w:szCs w:val="16"/>
        </w:rPr>
      </w:pPr>
      <w:r w:rsidRPr="00E14102">
        <w:rPr>
          <w:rStyle w:val="38ArialUnicodeMS65pt"/>
          <w:rFonts w:ascii="Times New Roman" w:hAnsi="Times New Roman" w:cs="Times New Roman"/>
          <w:i w:val="0"/>
          <w:iCs w:val="0"/>
          <w:color w:val="0070C0"/>
          <w:sz w:val="16"/>
          <w:szCs w:val="16"/>
        </w:rPr>
        <w:t>23 апреля 1935 заместитель директора ХАИ Фрейдин и начальник НИСа ХАИ Мирошниченко</w:t>
      </w:r>
      <w:r w:rsidRPr="00E14102">
        <w:rPr>
          <w:rStyle w:val="38ArialUnicodeMS65pt"/>
          <w:rFonts w:ascii="Times New Roman" w:hAnsi="Times New Roman" w:cs="Times New Roman"/>
          <w:i w:val="0"/>
          <w:iCs w:val="0"/>
          <w:color w:val="0070C0"/>
          <w:sz w:val="16"/>
          <w:szCs w:val="16"/>
          <w:lang w:val="ru"/>
        </w:rPr>
        <w:t xml:space="preserve"> в ответ на письмо от 31 марта 1935 </w:t>
      </w:r>
      <w:r w:rsidRPr="00E14102">
        <w:rPr>
          <w:rStyle w:val="38ArialUnicodeMS65pt"/>
          <w:rFonts w:ascii="Times New Roman" w:hAnsi="Times New Roman" w:cs="Times New Roman"/>
          <w:i w:val="0"/>
          <w:iCs w:val="0"/>
          <w:color w:val="0070C0"/>
          <w:sz w:val="16"/>
          <w:szCs w:val="16"/>
        </w:rPr>
        <w:t>№281с в Самолетный</w:t>
      </w:r>
      <w:r w:rsidRPr="00E14102">
        <w:rPr>
          <w:rStyle w:val="38ArialUnicodeMS65pt"/>
          <w:rFonts w:ascii="Times New Roman" w:hAnsi="Times New Roman" w:cs="Times New Roman"/>
          <w:i w:val="0"/>
          <w:iCs w:val="0"/>
          <w:color w:val="0070C0"/>
          <w:sz w:val="16"/>
          <w:szCs w:val="16"/>
          <w:lang w:val="ru"/>
        </w:rPr>
        <w:t xml:space="preserve"> </w:t>
      </w:r>
      <w:r w:rsidRPr="00E14102">
        <w:rPr>
          <w:rStyle w:val="38ArialUnicodeMS65pt"/>
          <w:rFonts w:ascii="Times New Roman" w:hAnsi="Times New Roman" w:cs="Times New Roman"/>
          <w:i w:val="0"/>
          <w:iCs w:val="0"/>
          <w:color w:val="0070C0"/>
          <w:sz w:val="16"/>
          <w:szCs w:val="16"/>
        </w:rPr>
        <w:t>отдел ГУАП О.О. Машкевичу получили</w:t>
      </w:r>
      <w:r w:rsidRPr="00E14102">
        <w:rPr>
          <w:rStyle w:val="38ArialUnicodeMS65pt"/>
          <w:rFonts w:ascii="Times New Roman" w:hAnsi="Times New Roman" w:cs="Times New Roman"/>
          <w:i w:val="0"/>
          <w:iCs w:val="0"/>
          <w:color w:val="0070C0"/>
          <w:sz w:val="16"/>
          <w:szCs w:val="16"/>
          <w:lang w:val="ru"/>
        </w:rPr>
        <w:t xml:space="preserve"> </w:t>
      </w:r>
      <w:r w:rsidRPr="00E14102">
        <w:rPr>
          <w:rStyle w:val="38ArialUnicodeMS65pt"/>
          <w:rFonts w:ascii="Times New Roman" w:hAnsi="Times New Roman" w:cs="Times New Roman"/>
          <w:i w:val="0"/>
          <w:iCs w:val="0"/>
          <w:color w:val="0070C0"/>
          <w:sz w:val="16"/>
          <w:szCs w:val="16"/>
        </w:rPr>
        <w:t>ответ:</w:t>
      </w:r>
      <w:r w:rsidRPr="00E14102">
        <w:rPr>
          <w:rStyle w:val="381"/>
          <w:rFonts w:ascii="Times New Roman" w:hAnsi="Times New Roman" w:cs="Times New Roman"/>
          <w:i/>
          <w:iCs/>
          <w:color w:val="0070C0"/>
          <w:sz w:val="16"/>
          <w:szCs w:val="16"/>
        </w:rPr>
        <w:t xml:space="preserve"> </w:t>
      </w:r>
      <w:r w:rsidRPr="00E14102">
        <w:rPr>
          <w:rStyle w:val="381"/>
          <w:rFonts w:ascii="Times New Roman" w:hAnsi="Times New Roman" w:cs="Times New Roman"/>
          <w:color w:val="0070C0"/>
          <w:sz w:val="16"/>
          <w:szCs w:val="16"/>
        </w:rPr>
        <w:t>«ТУ на проектирование самолета ХАИ-</w:t>
      </w:r>
      <w:r w:rsidRPr="00E14102">
        <w:rPr>
          <w:rStyle w:val="381"/>
          <w:rFonts w:ascii="Times New Roman" w:hAnsi="Times New Roman" w:cs="Times New Roman"/>
          <w:color w:val="0070C0"/>
          <w:sz w:val="16"/>
          <w:szCs w:val="16"/>
          <w:lang w:val="ru"/>
        </w:rPr>
        <w:t xml:space="preserve"> </w:t>
      </w:r>
      <w:r w:rsidRPr="00E14102">
        <w:rPr>
          <w:rStyle w:val="381"/>
          <w:rFonts w:ascii="Times New Roman" w:hAnsi="Times New Roman" w:cs="Times New Roman"/>
          <w:color w:val="0070C0"/>
          <w:sz w:val="16"/>
          <w:szCs w:val="16"/>
        </w:rPr>
        <w:t>5 с К-9 Вам посланы не будут (19898).</w:t>
      </w:r>
    </w:p>
    <w:p w14:paraId="3BF3AE90" w14:textId="77777777" w:rsidR="00C0748C" w:rsidRPr="00E14102" w:rsidRDefault="00C0748C" w:rsidP="00E14102">
      <w:pPr>
        <w:shd w:val="clear" w:color="auto" w:fill="FFFFFF"/>
        <w:jc w:val="both"/>
        <w:rPr>
          <w:color w:val="0070C0"/>
          <w:sz w:val="16"/>
          <w:szCs w:val="16"/>
        </w:rPr>
      </w:pPr>
    </w:p>
    <w:p w14:paraId="1DF2A965" w14:textId="77777777" w:rsidR="00DF734F" w:rsidRPr="00E14102" w:rsidRDefault="00DF734F" w:rsidP="00E14102">
      <w:pPr>
        <w:pStyle w:val="rtejustify"/>
        <w:spacing w:before="0" w:after="0"/>
        <w:rPr>
          <w:color w:val="000000" w:themeColor="text1"/>
          <w:sz w:val="16"/>
          <w:szCs w:val="16"/>
        </w:rPr>
      </w:pPr>
      <w:r w:rsidRPr="00E14102">
        <w:rPr>
          <w:rStyle w:val="a6"/>
          <w:bCs/>
          <w:i w:val="0"/>
          <w:color w:val="000000" w:themeColor="text1"/>
          <w:sz w:val="16"/>
          <w:szCs w:val="16"/>
        </w:rPr>
        <w:t>23 апреля 1935 вышел приказ НКО №</w:t>
      </w:r>
      <w:r w:rsidRPr="00E14102">
        <w:rPr>
          <w:color w:val="000000" w:themeColor="text1"/>
          <w:sz w:val="16"/>
          <w:szCs w:val="16"/>
        </w:rPr>
        <w:t> 065. О проведении опытных стрельб по определению боевых качеств и тактических свойств самолетов, вооруженных пушками и пулеметами (15247).</w:t>
      </w:r>
    </w:p>
    <w:p w14:paraId="015953AC" w14:textId="77777777" w:rsidR="00DF734F" w:rsidRPr="00E14102" w:rsidRDefault="00DF734F" w:rsidP="00E14102">
      <w:pPr>
        <w:pStyle w:val="rtejustify"/>
        <w:spacing w:before="0" w:after="0"/>
        <w:rPr>
          <w:color w:val="000000" w:themeColor="text1"/>
          <w:sz w:val="16"/>
          <w:szCs w:val="16"/>
        </w:rPr>
      </w:pPr>
    </w:p>
    <w:p w14:paraId="5AEBA801" w14:textId="77777777" w:rsidR="0063005B" w:rsidRPr="00E14102" w:rsidRDefault="0063005B" w:rsidP="00E14102">
      <w:pPr>
        <w:pStyle w:val="a7"/>
        <w:rPr>
          <w:color w:val="000000" w:themeColor="text1"/>
          <w:sz w:val="16"/>
          <w:szCs w:val="16"/>
          <w:lang w:val="ru-RU"/>
        </w:rPr>
      </w:pPr>
      <w:r w:rsidRPr="00E14102">
        <w:rPr>
          <w:color w:val="000000" w:themeColor="text1"/>
          <w:sz w:val="16"/>
          <w:szCs w:val="16"/>
          <w:lang w:val="ru-RU"/>
        </w:rPr>
        <w:t>23 апреля 1935 генералом Нобиле был под</w:t>
      </w:r>
      <w:r w:rsidRPr="00E14102">
        <w:rPr>
          <w:color w:val="000000" w:themeColor="text1"/>
          <w:sz w:val="16"/>
          <w:szCs w:val="16"/>
          <w:lang w:val="ru-RU"/>
        </w:rPr>
        <w:softHyphen/>
        <w:t>писан акта заводских испытаний дирижабль В-6 «Осоавиахим», после чего корабль и совершил свои известные перелеты по стране (12732).</w:t>
      </w:r>
    </w:p>
    <w:p w14:paraId="1D9902E3" w14:textId="77777777" w:rsidR="0063005B" w:rsidRPr="00E14102" w:rsidRDefault="0063005B" w:rsidP="00E14102">
      <w:pPr>
        <w:pStyle w:val="a7"/>
        <w:rPr>
          <w:color w:val="000000" w:themeColor="text1"/>
          <w:sz w:val="16"/>
          <w:szCs w:val="16"/>
          <w:lang w:val="ru-RU"/>
        </w:rPr>
      </w:pPr>
    </w:p>
    <w:p w14:paraId="1210793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D06CFAE" w14:textId="77777777" w:rsidR="00D4105E" w:rsidRPr="00E14102" w:rsidRDefault="00D4105E" w:rsidP="00E14102">
      <w:pPr>
        <w:autoSpaceDE w:val="0"/>
        <w:autoSpaceDN w:val="0"/>
        <w:adjustRightInd w:val="0"/>
        <w:jc w:val="both"/>
        <w:rPr>
          <w:iCs/>
          <w:color w:val="000000" w:themeColor="text1"/>
          <w:sz w:val="16"/>
          <w:szCs w:val="16"/>
        </w:rPr>
      </w:pPr>
    </w:p>
    <w:p w14:paraId="295A0F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апреля 1935 командующий войсками УВО Якир в письме НКО К.Е.В. доложил: “После первомайского парада 1934 т И.В.С. указал на необходимость дальнейшего конструктивного улучшения танка БТ, в частности на необходимость изменения движителя танка и превращения всех его колес в ведущие и управляемые, при сохранении всех агрегатов танка, что должно значительно повысить боевую ценность машины.</w:t>
      </w:r>
    </w:p>
    <w:p w14:paraId="7F1120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 указали мне тогда на необходимость продумать и осуществить это указание И.В.С.</w:t>
      </w:r>
    </w:p>
    <w:p w14:paraId="4F2AE6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УВО одним из молодых и талантливых изобретателей является командир взвода 4 тп тов. Цыганов.</w:t>
      </w:r>
    </w:p>
    <w:p w14:paraId="3BCFC7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 лично вызвал тов. Цыганова, беседовал с ним и поставил задачу - продумать возможность конструктивного улучшения движителя танка БТ.</w:t>
      </w:r>
    </w:p>
    <w:p w14:paraId="2D13C7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4 месяца было изготовлено 635 чертежей и 2932 детали спроектированной машины.</w:t>
      </w:r>
    </w:p>
    <w:p w14:paraId="6AE36A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Сейчас работа закончена. Изготовлены чертежи и модели двух новых типов движителяч танка БТ.</w:t>
      </w:r>
    </w:p>
    <w:p w14:paraId="3181D7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Задача, поставленная тов. Сталиным, выполнена....</w:t>
      </w:r>
    </w:p>
    <w:p w14:paraId="5D3089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Расчетная скорость на гусеницах - 105 км/час. Машина обладает бесшумностью хода и прекрасной маневренностью, совершая полный оборот на месте вокруг центра одной из своих катковых цепей.</w:t>
      </w:r>
    </w:p>
    <w:p w14:paraId="2A1683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1 и 2 изобретения, при сравнительно небольших затратах, могут быть применены на всех уже существующих типах машин, и, само собой разумеется, на всех машинах, находящихся в производстве. Конструктор-изобретатель Цыганов дал первому изобретению марку БТ-ИС (И.С.).</w:t>
      </w:r>
    </w:p>
    <w:p w14:paraId="3CB72D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одобрить новый тип движителей БТ и дать указание промышленности о производстве опытного образца и серии указанных машин.” (3879,24).</w:t>
      </w:r>
    </w:p>
    <w:p w14:paraId="5A6AF0CF" w14:textId="77777777" w:rsidR="00D4105E" w:rsidRPr="00E14102" w:rsidRDefault="00D4105E" w:rsidP="00E14102">
      <w:pPr>
        <w:autoSpaceDE w:val="0"/>
        <w:autoSpaceDN w:val="0"/>
        <w:adjustRightInd w:val="0"/>
        <w:jc w:val="both"/>
        <w:rPr>
          <w:color w:val="000000" w:themeColor="text1"/>
          <w:sz w:val="16"/>
          <w:szCs w:val="16"/>
        </w:rPr>
      </w:pPr>
    </w:p>
    <w:p w14:paraId="53A529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23 апреля 1935 г. комвойсками УВО писал: «После пер</w:t>
      </w:r>
      <w:r w:rsidRPr="00E14102">
        <w:rPr>
          <w:color w:val="000000" w:themeColor="text1"/>
          <w:sz w:val="16"/>
          <w:szCs w:val="16"/>
        </w:rPr>
        <w:softHyphen/>
        <w:t>вомайского парада 1934 года т. Сталин указал на необходи</w:t>
      </w:r>
      <w:r w:rsidRPr="00E14102">
        <w:rPr>
          <w:color w:val="000000" w:themeColor="text1"/>
          <w:sz w:val="16"/>
          <w:szCs w:val="16"/>
        </w:rPr>
        <w:softHyphen/>
        <w:t>мость дальнейшего конструктивного улучшения танка БТ, в частности на необходимость изменения движителя танка и превращения всех его колес в ведущие и управляемые, при со</w:t>
      </w:r>
      <w:r w:rsidRPr="00E14102">
        <w:rPr>
          <w:color w:val="000000" w:themeColor="text1"/>
          <w:sz w:val="16"/>
          <w:szCs w:val="16"/>
        </w:rPr>
        <w:softHyphen/>
        <w:t>хранении всех агрегатов танка, что должно значительно по</w:t>
      </w:r>
      <w:r w:rsidRPr="00E14102">
        <w:rPr>
          <w:color w:val="000000" w:themeColor="text1"/>
          <w:sz w:val="16"/>
          <w:szCs w:val="16"/>
        </w:rPr>
        <w:softHyphen/>
        <w:t>высить боевую ценность машины.</w:t>
      </w:r>
    </w:p>
    <w:p w14:paraId="022717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 указали мне тогда на необходимость продумать и осу</w:t>
      </w:r>
      <w:r w:rsidRPr="00E14102">
        <w:rPr>
          <w:color w:val="000000" w:themeColor="text1"/>
          <w:sz w:val="16"/>
          <w:szCs w:val="16"/>
        </w:rPr>
        <w:softHyphen/>
        <w:t>ществить это указание т. Сталина.</w:t>
      </w:r>
    </w:p>
    <w:p w14:paraId="30B5AF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УВО одним из молодых и талантливых изобретателей является командир взвода 4 тп тов. Цыганов....</w:t>
      </w:r>
    </w:p>
    <w:p w14:paraId="45215D5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Я лично вызвал тов. Цыганова, беседовал с ним и поста</w:t>
      </w:r>
      <w:r w:rsidRPr="00E14102">
        <w:rPr>
          <w:color w:val="000000" w:themeColor="text1"/>
          <w:sz w:val="16"/>
          <w:szCs w:val="16"/>
        </w:rPr>
        <w:softHyphen/>
        <w:t>вил задачу — продумать возможность конструктивного улуч</w:t>
      </w:r>
      <w:r w:rsidRPr="00E14102">
        <w:rPr>
          <w:color w:val="000000" w:themeColor="text1"/>
          <w:sz w:val="16"/>
          <w:szCs w:val="16"/>
        </w:rPr>
        <w:softHyphen/>
        <w:t>шения движителя в танках БТ.</w:t>
      </w:r>
    </w:p>
    <w:p w14:paraId="2C0777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 4 месяца было изготовлено 635 чертежей и 2932 дета</w:t>
      </w:r>
      <w:r w:rsidRPr="00E14102">
        <w:rPr>
          <w:color w:val="000000" w:themeColor="text1"/>
          <w:sz w:val="16"/>
          <w:szCs w:val="16"/>
        </w:rPr>
        <w:softHyphen/>
        <w:t>ли спроектированной машины.</w:t>
      </w:r>
    </w:p>
    <w:p w14:paraId="3577A5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Сейчас работа закончена. Изготовлены чертежи и моде</w:t>
      </w:r>
      <w:r w:rsidRPr="00E14102">
        <w:rPr>
          <w:color w:val="000000" w:themeColor="text1"/>
          <w:sz w:val="16"/>
          <w:szCs w:val="16"/>
        </w:rPr>
        <w:softHyphen/>
        <w:t>ли ДВУХ НОВЫХ ТИПОВ ДВИЖИТЕЛЯ танка БТ. ЗАДАЧА, ПОСТАВЛЕННАЯ ТОВ. СТАЛИНЫМ, ВЫПОЛНЕНА.</w:t>
      </w:r>
    </w:p>
    <w:p w14:paraId="4A01D2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Первое изобретение т. Цыганова — «БТ-ИС». Танк БТ с измененным колесным движителем II, III и VI пары колес и I, II и IV пары управляемые. Проходимость на колесном ходу по пашне увеличилась в 4-5 раз. Танк способен преодолевать подъемы до 25 градусов. Радиус поворота на колесном ходу уменьшился вдвое (до 5-6метров).</w:t>
      </w:r>
    </w:p>
    <w:p w14:paraId="42F1BE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Второе изобретение т. Цыганова — танк БТ конструкции четвертого танкового полка. Движитель состоит из серии опорных катков, соединенных шарнирной цепью Галля.</w:t>
      </w:r>
    </w:p>
    <w:p w14:paraId="4F2E51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Опора танка на катки осуществляется при помощи ЛЫЖ, которые для предельной их гибкости сделаны составными из отдельных звеньев на шарнирах. Этот тип движителя дает машине скорость в 2 раза большую, нежели имеет танк БТ с обычными гусеницами при одном и том же моторе М-5.</w:t>
      </w:r>
    </w:p>
    <w:p w14:paraId="3EFECE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Расчетная скорость на гусеницах — 105 км/ч. Машина об</w:t>
      </w:r>
      <w:r w:rsidRPr="00E14102">
        <w:rPr>
          <w:color w:val="000000" w:themeColor="text1"/>
          <w:sz w:val="16"/>
          <w:szCs w:val="16"/>
        </w:rPr>
        <w:softHyphen/>
        <w:t xml:space="preserve">ладает бесшумностью хода и прекрасной маневренностью, совершая полный поворот на месте вокруг центра одной из своих Катковых цепей </w:t>
      </w:r>
    </w:p>
    <w:p w14:paraId="503C617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 1и II изобретения, при сравнительно небольших затра</w:t>
      </w:r>
      <w:r w:rsidRPr="00E14102">
        <w:rPr>
          <w:color w:val="000000" w:themeColor="text1"/>
          <w:sz w:val="16"/>
          <w:szCs w:val="16"/>
        </w:rPr>
        <w:softHyphen/>
        <w:t>тах могут быть применены на всех уже существующих ти</w:t>
      </w:r>
      <w:r w:rsidRPr="00E14102">
        <w:rPr>
          <w:color w:val="000000" w:themeColor="text1"/>
          <w:sz w:val="16"/>
          <w:szCs w:val="16"/>
        </w:rPr>
        <w:softHyphen/>
        <w:t>пах машин БТи, само собой разумеется, на всех машинах, на</w:t>
      </w:r>
      <w:r w:rsidRPr="00E14102">
        <w:rPr>
          <w:color w:val="000000" w:themeColor="text1"/>
          <w:sz w:val="16"/>
          <w:szCs w:val="16"/>
        </w:rPr>
        <w:softHyphen/>
        <w:t>ходящихся в производстве. Конструктор изобретатель тов.Цыганов дал первому изобретению марку «БТ-ИС» /Иосиф Сталин/.</w:t>
      </w:r>
    </w:p>
    <w:p w14:paraId="377507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Прошу: одобрить новый тип движителей БТи дать ука</w:t>
      </w:r>
      <w:r w:rsidRPr="00E14102">
        <w:rPr>
          <w:color w:val="000000" w:themeColor="text1"/>
          <w:sz w:val="16"/>
          <w:szCs w:val="16"/>
        </w:rPr>
        <w:softHyphen/>
        <w:t>зания промышленности о производстве опытного образца и серии указанных машин.» (10733,358).</w:t>
      </w:r>
    </w:p>
    <w:p w14:paraId="1FB156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15D63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23 апреля 1935 г. командующий войсками УВО И.Э.Якир в письме Народному Комиссару Обороны К.Е.Ворошилову доложил, что «После первомайского парада 1934 г. тов. Сталин указал на необходимость дальнейшего конструктивного улучшения танка БТ, в частности на необходимость изменения движителя танка и превращения всех его колес в ведущие и управляемые, при сохранении всех агрегатов танка, что должно значительно повысить боевую ценность машины. Вы указали мне тогда на необходимость продумать и осуществить это указание тов. Сталина. В УВО одним из молодых и талантливых изобретателей является командир взвода четвертого танкового полка тов. Цыганов... Я лично вызвал тов. Цыганова, беседовал с ним и поставил задачу - продумать возможность конструктивного улучшения движителя в танках БТ. За 4 месяца было изготовлено 635 чертежей и 2932 детали спроектированной машины. Сейчас работа закончена. Изготовлены чертежи и модели ДВУХ НОВЫХ ТИПОВ ДВИЖИТЕЛЯ танка БТ. ЗАДАЧА, ПОСТАВЛЕННАЯ ТОВ. СТАЛИНЫМ, ВЫПОЛНЕНА. Первое изобретение тов. Цыганова - «БТ-ИС». Танк БТ с измененным колесным движителем II, III и IV пары колес и I, II и IV пары - управляемые. Проходимость на колесном ходу по пашне увеличилась в 4 - 5 раз. Танк способен преодолевать подъемы до 25°. Радиус поворота на колесном ходу уменьшился вдвое (до 5 - 6 метров). Второе изобретение тов. Цыганова - танк БТ конструкции 4 танкового полка. Движитель состоит из серии катков, соединенных между собой шарнирной цепью Галля. Опора танка на катки осуществляется с помощью лыж, которые для предельной их гибкости сделаны составными из отдельных звеньев на шарнирах. Этот тип движителя дает машине скорость в два раза большую, нежели имеет танк БТ с обычными гусеницами при одном и том же моторе М-5. Расчетная скорость на гусеницах - 105 км/ч. Машина обладает бесшумностью хода и прекрасной маневренностью, совершая полный поворот на месте вокруг центра одной из своих катковых цепей. И первое и второе изобретения, при сравнительно небольших затратах могут быть применены на всех уже существующих типах машин БТ и, само собой разумеется, на всех машинах, находящихся в производстве. Конструктор изобретатель тов. Цыганов дал первому изобретению марку «БТ-ИС» /Иосиф Сталин/. Прошу: - одобрить новый тип движителей БТ и дать указания промышленности о производстве опытного образца и серии указанных машин». Получив это письмо, К.Е.Ворошилов в тот же день 25 апреля 1935 г. дал добро «на изготовление трех комплектов каждого танка». И если работа по изготовлению танка БТ по первому варианту была организована на харьковском танкоремонтном заводе № 48, то изготовить катковую гусеницу для БТ ленинградский Опытный завод № 185 отказался. Получив всестороннюю поддержку высшего руководства РККА, группа энтузиастов в автобронетанковых мастерских ХВО с удвоенной силой приступила к созданию опытного образца. Принимая во внимание всю важность изобретения Н.Ф.Цыганова, начальник мастерских, друг и боевой товарищ Николая Островского, по гражданской войне, герой его некогда известного романа, комбриг Н.Н. Лисицин взял на себя общее руководство по изготовлению машины БТ-2-ИС. </w:t>
      </w:r>
    </w:p>
    <w:p w14:paraId="26B667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утра и до поздней ночи самоотверженно трудились и главный инженер мастерских Срыбнис, и танко-техник Аронсон, и конструктор Васильев. Три сборочных бригады под руководством Орла, Богуславского и Данченко в сжатые сроки осуществили к июню 1935 г. монтаж опытного танка. В отличие от серийного танка БТ-2, опытный образец отличался прежде всего, отсутствием вооружения, измененной конструкцией корпуса и установкой нового дополнительного привода на вторую, третью и четвертую пары опорных катков, являвшихся ведущими при движении танка на колесном ходу. Первая пара опорных катков, как и на серийной машине, была управляемой. Подвод крутящего момента к трем парам ведущих колес колесного хода осуществлялся от бортовых редукторов через полужесткую зубчатую муфту к валу угловой коробки и через муфту на промежуточный валик и вторую муфту к валу первой верхней коробки. От верхней коробки крутящий момент передавался последовательно ко второй и третьей верхним коробкам. От верхних коробок через телескопические карданные валы крутящий момент передавался к колесным редукторам опорных катков. В результате установки дополнительного привода в межбортовом пространстве, а также дополнительного топливного бака в корме танка, корпус машины претерпел некоторые изменения. Кроме того, была введена бронировка дополнительного привода. Помимо дополнительного привода в межбортовом пространстве были установлены дополнительные топливные баки (по одному с каждой стороны). В ходовой части машины были изменены балансиры опорных катков, элементы подвески и ведущие колеса гусеничного движителя. Все лето и осень ушли на испытания и доработку опытной машины. О достигнутых положительных результатах, полученных во время испытаний БТ-2-ИС, 15 ноября 1935 г. было доложено Наркому Обороны. Вскоре К.Е. Ворошилов и Г.К. Орджоникидзе подписали совместный приказ, обязывающий руководство ХПЗ оказать всемерную помощь группе Цыганова в дальнейшем проведении работ по усовершенствованию колесно-гусеничного хода танка БТ. И если «консервативные» военные всячески поддерживали идею Н.Ф.Цыганова, то, как показал ход дальнейших событий, руководство ХПЗ осталось, мягко говоря, равнодушным к ней. Ведь кому нужна была «чужая головная боль». Но это уже другая история, связанная в основном с созданием танков БТ-5-ИС и БТ-СВ. Нам же остается лишь констатировать, что танк БТ-2-ИС по сравнению с базовыми танками обладал более высокой маневренностью при движении на колесах и повышенной живучестью на поле боя при повреждениях ходовой части, однако надежность привода к колесам еще была низка. Танк БТ-2-ИС был изготовлен в единственном экземпляре (11715).</w:t>
      </w:r>
    </w:p>
    <w:p w14:paraId="3EA2B3AC" w14:textId="77777777" w:rsidR="00D4105E" w:rsidRPr="00E14102" w:rsidRDefault="00D4105E" w:rsidP="00E14102">
      <w:pPr>
        <w:autoSpaceDE w:val="0"/>
        <w:autoSpaceDN w:val="0"/>
        <w:adjustRightInd w:val="0"/>
        <w:jc w:val="both"/>
        <w:rPr>
          <w:color w:val="000000" w:themeColor="text1"/>
          <w:sz w:val="16"/>
          <w:szCs w:val="16"/>
        </w:rPr>
      </w:pPr>
    </w:p>
    <w:p w14:paraId="02D3AFA5" w14:textId="77777777" w:rsidR="00DF734F" w:rsidRPr="00E14102" w:rsidRDefault="00DF734F" w:rsidP="00E14102">
      <w:pPr>
        <w:jc w:val="both"/>
        <w:rPr>
          <w:rStyle w:val="a6"/>
          <w:i w:val="0"/>
          <w:color w:val="000000" w:themeColor="text1"/>
          <w:sz w:val="16"/>
          <w:szCs w:val="16"/>
        </w:rPr>
      </w:pPr>
      <w:r w:rsidRPr="00E14102">
        <w:rPr>
          <w:rStyle w:val="a6"/>
          <w:i w:val="0"/>
          <w:color w:val="000000" w:themeColor="text1"/>
          <w:sz w:val="16"/>
          <w:szCs w:val="16"/>
        </w:rPr>
        <w:t xml:space="preserve">23 апреля 1935 г. </w:t>
      </w:r>
      <w:r w:rsidRPr="00E14102">
        <w:rPr>
          <w:color w:val="000000" w:themeColor="text1"/>
          <w:sz w:val="16"/>
          <w:szCs w:val="16"/>
        </w:rPr>
        <w:t>Докладная записка наркома тяжелой промышленности СССР С. Орджоникидзе председателю СТО СССР В. М. Молотову о программе морского судостроения на 1935 г.</w:t>
      </w:r>
    </w:p>
    <w:p w14:paraId="0E05FE79" w14:textId="77777777" w:rsidR="00DF734F" w:rsidRPr="00E14102" w:rsidRDefault="00DF734F"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17001DE9"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Со времени принятия в 1933 г. Советом труда и обороны постановления № 58сс о постройке флота для нужд обороны¹*, внимание судостроительных заводов сконцентрировано на заказах НКО и НКВД за счет сокращения удовлетворения потребностей Наркомвода и других заказчиков.</w:t>
      </w:r>
    </w:p>
    <w:p w14:paraId="7A8835BA"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В самом построении ежегодных программ работы заводов морского судостроения промышленность исходит из постановления СТО № 58сс как генеральной директивы, допуская лишь отклонения, которые диктуются изменениями в заданиях НКО, устанавливаемых ежегодно правительством, размерами кредитов на судостроение, материальными лимитами по металлам и машиностроению, подготовленностью заводов морского судостроения и конструкторских бюро к освоению постройки новых типов судов. В связи с этими отклонениями пообъектная программа работы заводов морского судостроения ежегодно докладывается правительству и им утверждается.</w:t>
      </w:r>
    </w:p>
    <w:p w14:paraId="568228B7"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Программа морского судостроения для текущего 1935 г. в части заказов НКО и НКВД докладывалась Комиссии обороны 20 декабря 1934 г. и утверждена в постановлении № 189сс²*. Вторая часть программы 1935 г. заводов Главморпрома, состоящая из заказов Наркомвода, Главного управления Северного морского пути, Наркомпищпрома, НКПС и других ведомств, просматривалась Госпланом и санкционирована как в денежном, так и натуральном выражении постановлением СНК СССР от 8 февраля 1935 г 1937 вышел приказ НКОП № 226 в порядке утверждения народно-хозяйственного плана 1935 г.</w:t>
      </w:r>
    </w:p>
    <w:p w14:paraId="5A60CFF7"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Общий объем валовой продукции на 1935 г. для заводов Главморпрома, таким образом, утвержден Совнаркомом в размере 550 млн. руб. в условных плановых ценах.</w:t>
      </w:r>
    </w:p>
    <w:p w14:paraId="4F172E9D"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Между натуральным объемом плана и указанным денежным лимитом имеется некоторое расхождение, а именно — заданный натуральный объем продукции составляет в денежной оценке в плановых ценах сумму 580,7 млн. руб. Однако это расхождение в 6% нельзя считать существенным, так как в течение года будут иметь место и, частично, уже имеют место некоторые отклонения от плана, выражающиеся как в добавлении внеплановых поручений, так и в некоторых изменениях заданных объемов работ, диктуемых различными причинами.</w:t>
      </w:r>
    </w:p>
    <w:p w14:paraId="47642EDA"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 xml:space="preserve">По сравнению с 1934 г., в котором выпуск плановой продукции заводов Главморпрома достиг 443,8 млн. руб., рост этого выпуска в 1935 г. должен составить 25%. Как уже было указано выше, основной объем этих работ (около 81% всей программы) составляют заказы НКО и НКВД (443,8 млн. руб.), но и остальные части программы заводов Главморпрома имеют в своей основе те или другие постановления правительства, и, так как, несмотря на усиленный общий рост продукции этих </w:t>
      </w:r>
      <w:r w:rsidRPr="00E14102">
        <w:rPr>
          <w:color w:val="000000" w:themeColor="text1"/>
          <w:sz w:val="16"/>
          <w:szCs w:val="16"/>
        </w:rPr>
        <w:lastRenderedPageBreak/>
        <w:t>заводов, все же не все задания правительства оказалось возможным вложить в план 1935 г., то НКТП, в соответствии с практикой предыдущих лет, настоящим докладывает правительству о тех заданиях, которые оказались не включенными в этот план. Сюда относятся:</w:t>
      </w:r>
    </w:p>
    <w:p w14:paraId="696637A9"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1. Постановление СТО № 58сс от 11 июля 1933 г. относительно мобоборудования 25 плавающих судов Наркомвода и окончания строящихся 13</w:t>
      </w:r>
      <w:r w:rsidRPr="00E14102">
        <w:rPr>
          <w:color w:val="000000" w:themeColor="text1"/>
          <w:sz w:val="16"/>
          <w:szCs w:val="16"/>
        </w:rPr>
        <w:noBreakHyphen/>
        <w:t>ти судов вместе с их мобоборудованием. Фактически из названных 13</w:t>
      </w:r>
      <w:r w:rsidRPr="00E14102">
        <w:rPr>
          <w:color w:val="000000" w:themeColor="text1"/>
          <w:sz w:val="16"/>
          <w:szCs w:val="16"/>
        </w:rPr>
        <w:noBreakHyphen/>
        <w:t>ти судов к 1 января 1936 г. будет закончено 7 судов, из них 2 — «Ногин» и «Степанов-Скворцов» — с незаконченным мобоборудованием под авиатранспорт. Что же касается до 25 плавающих судов Наркомвода, то мобоборудование будет закончено к 1 января 1936 г. на 6</w:t>
      </w:r>
      <w:r w:rsidRPr="00E14102">
        <w:rPr>
          <w:color w:val="000000" w:themeColor="text1"/>
          <w:sz w:val="16"/>
          <w:szCs w:val="16"/>
        </w:rPr>
        <w:noBreakHyphen/>
        <w:t>ти из них полностью и на 2</w:t>
      </w:r>
      <w:r w:rsidRPr="00E14102">
        <w:rPr>
          <w:color w:val="000000" w:themeColor="text1"/>
          <w:sz w:val="16"/>
          <w:szCs w:val="16"/>
        </w:rPr>
        <w:noBreakHyphen/>
        <w:t>х — частично.</w:t>
      </w:r>
    </w:p>
    <w:p w14:paraId="11723FC4"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2. Постановление СТО от 31 июля 1934 г. о постройке к навигации 1936 г.³* 2</w:t>
      </w:r>
      <w:r w:rsidRPr="00E14102">
        <w:rPr>
          <w:color w:val="000000" w:themeColor="text1"/>
          <w:sz w:val="16"/>
          <w:szCs w:val="16"/>
        </w:rPr>
        <w:noBreakHyphen/>
        <w:t>х земснарядов до 600 куб. м для Наркомвода. Ведется в 1935 г. разработка проекта и заготовка материалов.</w:t>
      </w:r>
    </w:p>
    <w:p w14:paraId="6704EEDC"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3. Постановление СТО от 13 сентября 1934 г 1937 вышел приказ НКОП № 144сс о проектировке и постройке III и IV серий рыболовных траулеров. Работа в план 1935 г. не включена совершенно.</w:t>
      </w:r>
    </w:p>
    <w:p w14:paraId="434C51A7"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4. Постановление СНК от 17 июля 1934 г 1937 вышел приказ НКОП № 1680 о постройке 4</w:t>
      </w:r>
      <w:r w:rsidRPr="00E14102">
        <w:rPr>
          <w:color w:val="000000" w:themeColor="text1"/>
          <w:sz w:val="16"/>
          <w:szCs w:val="16"/>
        </w:rPr>
        <w:noBreakHyphen/>
        <w:t>х санитарных катеров для Наркомздрава по Дальне-Восточному краю.</w:t>
      </w:r>
    </w:p>
    <w:p w14:paraId="61E54470"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Докладывая о названных отступлениях, прошу КО в интересах военного судостроения подтвердить, что возложенные на заводы Главморпрома в 1935 г. обязательства исчерпываются утвержденной 20 декабря 1934 г. Советом труда и обороны программой заказов НКО и НКВД (постановление № 189сс) и утвержденным Совнаркомом СССР планом в остальном объеме работ (постановление СНК СССР № 226 от 8 февраля 1935 г.).</w:t>
      </w:r>
    </w:p>
    <w:p w14:paraId="337F758C"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Все остальные, не вошедшие в названные утвержденные планы, обязательства заводов Главморпрома, снять и установить для них новые сроки при утверждении плана 1936 г.</w:t>
      </w:r>
    </w:p>
    <w:p w14:paraId="3BCD552D" w14:textId="77777777" w:rsidR="00DF734F" w:rsidRPr="00E14102" w:rsidRDefault="00DF734F" w:rsidP="00E14102">
      <w:pPr>
        <w:pStyle w:val="rtejustify"/>
        <w:spacing w:before="0" w:after="0"/>
        <w:rPr>
          <w:color w:val="000000" w:themeColor="text1"/>
          <w:sz w:val="16"/>
          <w:szCs w:val="16"/>
        </w:rPr>
      </w:pPr>
      <w:r w:rsidRPr="00E14102">
        <w:rPr>
          <w:rStyle w:val="a6"/>
          <w:i w:val="0"/>
          <w:color w:val="000000" w:themeColor="text1"/>
          <w:sz w:val="16"/>
          <w:szCs w:val="16"/>
        </w:rPr>
        <w:t>Приложение</w:t>
      </w:r>
      <w:r w:rsidRPr="00E14102">
        <w:rPr>
          <w:color w:val="000000" w:themeColor="text1"/>
          <w:sz w:val="16"/>
          <w:szCs w:val="16"/>
        </w:rPr>
        <w:t>: проект постановления⁴*.</w:t>
      </w:r>
    </w:p>
    <w:p w14:paraId="4F49669B" w14:textId="77777777" w:rsidR="00DF734F" w:rsidRPr="00E14102" w:rsidRDefault="00DF734F"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Народный комиссар тяжелой промышленности С.</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Орджоникидзе</w:t>
      </w:r>
    </w:p>
    <w:p w14:paraId="4DF2182E" w14:textId="77777777" w:rsidR="00DF734F" w:rsidRPr="00E14102" w:rsidRDefault="00DF734F"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5B968EAD"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 xml:space="preserve">¹* См. документ от 11 июля 1933 г. — </w:t>
      </w:r>
      <w:hyperlink r:id="rId81" w:history="1">
        <w:r w:rsidRPr="00E14102">
          <w:rPr>
            <w:rStyle w:val="a4"/>
            <w:color w:val="000000" w:themeColor="text1"/>
            <w:sz w:val="16"/>
            <w:szCs w:val="16"/>
            <w:u w:val="none"/>
          </w:rPr>
          <w:t>Постановление СТО СССР № 58сс/о «О программе военно-морского судостроения на 1933</w:t>
        </w:r>
        <w:r w:rsidRPr="00E14102">
          <w:rPr>
            <w:rStyle w:val="a4"/>
            <w:color w:val="000000" w:themeColor="text1"/>
            <w:sz w:val="16"/>
            <w:szCs w:val="16"/>
            <w:u w:val="none"/>
          </w:rPr>
          <w:noBreakHyphen/>
          <w:t>1938 гг.»</w:t>
        </w:r>
      </w:hyperlink>
    </w:p>
    <w:p w14:paraId="39EC6741"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²* ГА РФ. Ф. Р</w:t>
      </w:r>
      <w:r w:rsidRPr="00E14102">
        <w:rPr>
          <w:color w:val="000000" w:themeColor="text1"/>
          <w:sz w:val="16"/>
          <w:szCs w:val="16"/>
        </w:rPr>
        <w:noBreakHyphen/>
        <w:t>8418. Оп. 28. Д. 5. Л. 213</w:t>
      </w:r>
      <w:r w:rsidRPr="00E14102">
        <w:rPr>
          <w:color w:val="000000" w:themeColor="text1"/>
          <w:sz w:val="16"/>
          <w:szCs w:val="16"/>
        </w:rPr>
        <w:noBreakHyphen/>
        <w:t>258.</w:t>
      </w:r>
    </w:p>
    <w:p w14:paraId="3D41EB60"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³* Год от руки исправлен с 1935 на 1936.</w:t>
      </w:r>
    </w:p>
    <w:p w14:paraId="24EF95A6"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⁴* Приложение не публикуется (см. там же, л. 28).</w:t>
      </w:r>
    </w:p>
    <w:p w14:paraId="164CB7A1" w14:textId="77777777" w:rsidR="00DF734F" w:rsidRPr="00E14102" w:rsidRDefault="00DF73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rPr>
        <w:t xml:space="preserve">РГАЭ. Ф. 4372. Оп. 91. Д. 2548. </w:t>
      </w:r>
      <w:r w:rsidRPr="00E14102">
        <w:rPr>
          <w:rFonts w:ascii="Times New Roman" w:hAnsi="Times New Roman" w:cs="Times New Roman"/>
          <w:color w:val="000000" w:themeColor="text1"/>
          <w:sz w:val="16"/>
          <w:szCs w:val="16"/>
          <w:lang w:val="ru-RU"/>
        </w:rPr>
        <w:t>Л. 29-29 об. Заверенная копия (15344).</w:t>
      </w:r>
    </w:p>
    <w:p w14:paraId="182D696B" w14:textId="77777777" w:rsidR="00DF734F" w:rsidRPr="00E14102" w:rsidRDefault="00DF734F" w:rsidP="00E14102">
      <w:pPr>
        <w:jc w:val="both"/>
        <w:rPr>
          <w:color w:val="000000" w:themeColor="text1"/>
          <w:sz w:val="16"/>
          <w:szCs w:val="16"/>
        </w:rPr>
      </w:pPr>
    </w:p>
    <w:p w14:paraId="0BD831A4"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23 апреля 1935 г. в рапорте на имя Генерального секретаря ЦК ВКП(б) И.В. Сталина и народного комиссара обороны К.Е. Ворошилова было отмечено: </w:t>
      </w:r>
    </w:p>
    <w:p w14:paraId="7FF50C68"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 xml:space="preserve">«Большевики бойцы и командиры Украинского Военного Округа – энтузиасты великого дела овладения и дальнейшего совершенствования нашей мощной боевой техники – докладывают Вам: </w:t>
      </w:r>
    </w:p>
    <w:p w14:paraId="76E9FBF2"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 xml:space="preserve">Ваши указания об усовершенствовании движителя танков БТ выполнены. </w:t>
      </w:r>
    </w:p>
    <w:p w14:paraId="09737106"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Мы предлагаем новый тип движителя для танков БТ.</w:t>
      </w:r>
    </w:p>
    <w:p w14:paraId="2CC39B45"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Новый колесный движитель – это не одна, а три ведущих пары (II, III и IV) колес. Управляемыми колесами являются также не одна, а три пары (I, II и IV) колес.</w:t>
      </w:r>
    </w:p>
    <w:p w14:paraId="6728605C"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 xml:space="preserve">Чертежи нового движителя изготовлены полностью. Изготовлены также самодвижущиеся модели танка БТ в масштабе 1/5 натуральной величины. Модель опробована. Она полностью подтвердила Ваши указания, данные летом 1934 года, что с новым движителем танк БТ может быть превращен в еще более мощную, высокоманевренную боевую машину. </w:t>
      </w:r>
    </w:p>
    <w:p w14:paraId="13058F67"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 xml:space="preserve">Танк БТ с новым движителем приобрел способность самостоятельно двигаться, маневрировать и драться, несмотря на самые тяжелые повреждения в бою – потерю одной или обоих гусениц и четырех колес из восьми. В тяжело израненной машине на четырех колесах (если выбитые колеса не нарушили равновесия машины) экипаж танка имеет полную возможность продолжать активно драться и поражать врагов нашей славной социалистической родины, как этому учит нас наша великая большевистская партия ЛЕНИНА–СТАЛИНА – в бою большевик и всякий сознательный рабочий и колхозник сражаются до последней капли крови и, если нужно, умирают, но не сдаются врагам. </w:t>
      </w:r>
    </w:p>
    <w:p w14:paraId="575B1E0F"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Новый тип движителя повышает проходимость танка БТ по тяжелому грунту (пашне) в 4 – 5 раз и дает возможность по пашне на колесах преодолевать подъемы до 25º.</w:t>
      </w:r>
    </w:p>
    <w:p w14:paraId="5D9D15C4"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 xml:space="preserve">Новая конструкция направляющих колес сокращает радиус поворота танка БТ вдвое с 10-ти до 5 – 6 метров, повышая таким образом маневроспособность танка вдвое. </w:t>
      </w:r>
    </w:p>
    <w:p w14:paraId="6E58E4C1"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 xml:space="preserve">Перемена гусеничного хода на колесный в случае перебивания гусеницы, одной или обоих, противником совершается автоматически без остановки машины и без выхода экипажа из броневого корпуса. </w:t>
      </w:r>
    </w:p>
    <w:p w14:paraId="634CB72C"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 xml:space="preserve">Мы дали изобретению имя танк "БТ-ИС". </w:t>
      </w:r>
    </w:p>
    <w:p w14:paraId="111C04F4"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&lt;…&gt;</w:t>
      </w:r>
    </w:p>
    <w:p w14:paraId="7AF6C2AE"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Одновременно с проектом нового колесного движителя мы начали проектирование и изготовление нового гусенично-каткового движителя для танков БТ. Он также закончен.</w:t>
      </w:r>
    </w:p>
    <w:p w14:paraId="67977655"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 xml:space="preserve">Готовы все чертежи и опытные модели в 1/5 натуральной величины. Спроектирована и изготовлена новая подвеска каткового движителя, шарнирная катковая цепь и гусеница к ним. </w:t>
      </w:r>
    </w:p>
    <w:p w14:paraId="38A39516"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 xml:space="preserve">Танк БТ с катковым движителем при обычном моторе М-5 развивает скорость на катках и на гусеницах по нашим расчетам 105 клм. в час, вдвое превышающую нормальную скорость на обычных гусеницах (норма 51,6 клм. в час.). </w:t>
      </w:r>
    </w:p>
    <w:p w14:paraId="769B50A5"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 xml:space="preserve">Поворотливость на катках и новой гусенице на месте на 360°. Катки и гусеница – резиновые и дают почти бесшумный ход. Тактическое использование этой машины вытекает из ее вездеходности на огромных скоростях и бесшумности. </w:t>
      </w:r>
    </w:p>
    <w:p w14:paraId="3F71BA1C"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 xml:space="preserve">В обоих типах машин мы стремились к минимальному количеству переделок существующего типа машин БТ-2 и БТ-5 и добились этого. Это позволяет новые типы движителей без больших переделок монтировать на уже существующих и эксплоатируемых типах машин БТ и легко освоить в производстве новых машин. </w:t>
      </w:r>
    </w:p>
    <w:p w14:paraId="08FD9ADE"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 xml:space="preserve">Изобретение обоих типов движителей БТ принадлежит молодому большевику и молодому командиру 4-го танкового полка УВО т. ЦЫГАНОВУ Н.Ф., талантливому конструктору-изобретателю, самоучке. В 1934 году т. ЦЫГАНОВ был награжден Народным Комиссаром Обороны тов. ВОРОШИЛОВЫМ золотыми часами и произведен из младшего командира в командира взвода за изобретение АВТОМАТИЧЕСКОЙ СЦЕПКИ ТАНКОВ БТ, Т-26 и Т-27, принятой на вооружение в РККА. Мы все были только добросовестными помощниками ему в практической реализации его изобретений. </w:t>
      </w:r>
    </w:p>
    <w:p w14:paraId="042AF033" w14:textId="77777777" w:rsidR="00E15ADB" w:rsidRPr="00E14102" w:rsidRDefault="00E15ADB" w:rsidP="00E14102">
      <w:pPr>
        <w:jc w:val="both"/>
        <w:rPr>
          <w:iCs/>
          <w:color w:val="000000" w:themeColor="text1"/>
          <w:sz w:val="16"/>
          <w:szCs w:val="16"/>
        </w:rPr>
      </w:pPr>
      <w:r w:rsidRPr="00E14102">
        <w:rPr>
          <w:iCs/>
          <w:color w:val="000000" w:themeColor="text1"/>
          <w:sz w:val="16"/>
          <w:szCs w:val="16"/>
        </w:rPr>
        <w:t xml:space="preserve">В течение 4-х месяцев дружным коллективом, направляемые т. ЦЫГАНОВЫМ под непосредственным руководством нашего Командующего войсками т. ЯКИРА, работая по 16 – 18 часов в сутки мы изготовили свыше полутысячи чертежей и около трех тысяч деталей для моделей, проектируемых машин. И сегодня, счастливые сознанием выполненного долга докладываем Вам – работы по обоим типам движителя закончены. </w:t>
      </w:r>
    </w:p>
    <w:p w14:paraId="7E4D74D1" w14:textId="77777777" w:rsidR="00E15ADB" w:rsidRPr="00E14102" w:rsidRDefault="00E15ADB" w:rsidP="00E14102">
      <w:pPr>
        <w:jc w:val="both"/>
        <w:rPr>
          <w:color w:val="000000" w:themeColor="text1"/>
          <w:sz w:val="16"/>
          <w:szCs w:val="16"/>
        </w:rPr>
      </w:pPr>
      <w:r w:rsidRPr="00E14102">
        <w:rPr>
          <w:iCs/>
          <w:color w:val="000000" w:themeColor="text1"/>
          <w:sz w:val="16"/>
          <w:szCs w:val="16"/>
        </w:rPr>
        <w:t>Просим Ваших указаний и дальнейших заданий»</w:t>
      </w:r>
      <w:r w:rsidRPr="00E14102">
        <w:rPr>
          <w:color w:val="000000" w:themeColor="text1"/>
          <w:sz w:val="16"/>
          <w:szCs w:val="16"/>
        </w:rPr>
        <w:t xml:space="preserve">. </w:t>
      </w:r>
    </w:p>
    <w:p w14:paraId="7C878124" w14:textId="77777777" w:rsidR="00E15ADB" w:rsidRPr="00E14102" w:rsidRDefault="00E15ADB" w:rsidP="00E14102">
      <w:pPr>
        <w:jc w:val="both"/>
        <w:rPr>
          <w:color w:val="000000" w:themeColor="text1"/>
          <w:sz w:val="16"/>
          <w:szCs w:val="16"/>
        </w:rPr>
      </w:pPr>
      <w:r w:rsidRPr="00E14102">
        <w:rPr>
          <w:bCs/>
          <w:color w:val="000000" w:themeColor="text1"/>
          <w:sz w:val="16"/>
          <w:szCs w:val="16"/>
        </w:rPr>
        <w:t>[РГВА. Ф. 33987. Оп. 3. Д. 1362. Л. 1 – 2] (17502).</w:t>
      </w:r>
    </w:p>
    <w:p w14:paraId="75722ECC" w14:textId="77777777" w:rsidR="00E15ADB" w:rsidRPr="00E14102" w:rsidRDefault="00E15ADB" w:rsidP="00E14102">
      <w:pPr>
        <w:jc w:val="both"/>
        <w:rPr>
          <w:color w:val="000000" w:themeColor="text1"/>
          <w:sz w:val="16"/>
          <w:szCs w:val="16"/>
        </w:rPr>
      </w:pPr>
    </w:p>
    <w:p w14:paraId="387A3787"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23 апреля 1935 г., командующий войсками УВО И.Э. Якир направил на имя К.Е. Ворошилова письмо с описанием изобретений Н.Ф. Цыганова и просьбой </w:t>
      </w:r>
      <w:r w:rsidRPr="00E14102">
        <w:rPr>
          <w:iCs/>
          <w:color w:val="000000" w:themeColor="text1"/>
          <w:sz w:val="16"/>
          <w:szCs w:val="16"/>
        </w:rPr>
        <w:t>«одобрить новый тип движителей БТ и дать указания промышленности о производстве опытных образцов и серии указанных машин»</w:t>
      </w:r>
      <w:r w:rsidRPr="00E14102">
        <w:rPr>
          <w:color w:val="000000" w:themeColor="text1"/>
          <w:sz w:val="16"/>
          <w:szCs w:val="16"/>
        </w:rPr>
        <w:t xml:space="preserve">. </w:t>
      </w:r>
    </w:p>
    <w:p w14:paraId="43B113C7"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После согласования в конце апреля 1935 г. К.Е. Ворошиловым с народным комиссаром тяжелой промышленности Г.К. Орджоникидзе ряда вопросов управляющему Трестом специального машиностроения (Спецмаштрест) НКТП К.А. Нейману было дано личное указание об изготовлении в 1935 г. шести опытных танков </w:t>
      </w:r>
      <w:r w:rsidRPr="00E14102">
        <w:rPr>
          <w:iCs/>
          <w:color w:val="000000" w:themeColor="text1"/>
          <w:sz w:val="16"/>
          <w:szCs w:val="16"/>
        </w:rPr>
        <w:t>«новейшей конструкции»</w:t>
      </w:r>
      <w:r w:rsidRPr="00E14102">
        <w:rPr>
          <w:color w:val="000000" w:themeColor="text1"/>
          <w:sz w:val="16"/>
          <w:szCs w:val="16"/>
        </w:rPr>
        <w:t xml:space="preserve">. Во исполнение данного указания, 4 мая 1935 г. по Спецмаштресту (в чьем ведении находились заводы производившие танки) был издан </w:t>
      </w:r>
      <w:hyperlink r:id="rId82" w:tgtFrame="_blank" w:history="1">
        <w:r w:rsidRPr="00E14102">
          <w:rPr>
            <w:color w:val="000000" w:themeColor="text1"/>
            <w:sz w:val="16"/>
            <w:szCs w:val="16"/>
          </w:rPr>
          <w:t>приказ № П-9сс</w:t>
        </w:r>
      </w:hyperlink>
      <w:r w:rsidRPr="00E14102">
        <w:rPr>
          <w:color w:val="000000" w:themeColor="text1"/>
          <w:sz w:val="16"/>
          <w:szCs w:val="16"/>
        </w:rPr>
        <w:t xml:space="preserve">, в котором, в частности, было указано: </w:t>
      </w:r>
    </w:p>
    <w:p w14:paraId="7B509C0C" w14:textId="77777777" w:rsidR="00E15ADB" w:rsidRPr="00E14102" w:rsidRDefault="00E15ADB" w:rsidP="00E14102">
      <w:pPr>
        <w:jc w:val="both"/>
        <w:rPr>
          <w:color w:val="000000" w:themeColor="text1"/>
          <w:sz w:val="16"/>
          <w:szCs w:val="16"/>
        </w:rPr>
      </w:pPr>
      <w:r w:rsidRPr="00E14102">
        <w:rPr>
          <w:iCs/>
          <w:color w:val="000000" w:themeColor="text1"/>
          <w:sz w:val="16"/>
          <w:szCs w:val="16"/>
        </w:rPr>
        <w:t>«Директору ХПЗ тов. БОНДАРЕНКО немедленно заключить с АБТУ РККА соглашение на изготовление ТРЕХ опытных образцов танка БТ-ИС конструкции тов. ЦЫГАНОВА с шестью ведущими и шестью управляемыми колесами»</w:t>
      </w:r>
      <w:r w:rsidRPr="00E14102">
        <w:rPr>
          <w:color w:val="000000" w:themeColor="text1"/>
          <w:sz w:val="16"/>
          <w:szCs w:val="16"/>
        </w:rPr>
        <w:t xml:space="preserve"> и </w:t>
      </w:r>
      <w:r w:rsidRPr="00E14102">
        <w:rPr>
          <w:iCs/>
          <w:color w:val="000000" w:themeColor="text1"/>
          <w:sz w:val="16"/>
          <w:szCs w:val="16"/>
        </w:rPr>
        <w:t>«Директору Опытного завода им. Кирова тов. БАРЫКОВУ немедленно заключить с АБТУ РККА соглашение на изготовление ТРЕХ опытных образцов танка БТ-ИС, конструкции тов. ЦЫГАНОВА с новой гусеницей и подвеской».</w:t>
      </w:r>
    </w:p>
    <w:p w14:paraId="5E7F61A2" w14:textId="77777777" w:rsidR="00E15ADB" w:rsidRPr="00E14102" w:rsidRDefault="00E15ADB" w:rsidP="00E14102">
      <w:pPr>
        <w:jc w:val="both"/>
        <w:rPr>
          <w:color w:val="000000" w:themeColor="text1"/>
          <w:sz w:val="16"/>
          <w:szCs w:val="16"/>
        </w:rPr>
      </w:pPr>
      <w:r w:rsidRPr="00E14102">
        <w:rPr>
          <w:bCs/>
          <w:color w:val="000000" w:themeColor="text1"/>
          <w:sz w:val="16"/>
          <w:szCs w:val="16"/>
        </w:rPr>
        <w:t>[</w:t>
      </w:r>
      <w:r w:rsidRPr="00E14102">
        <w:rPr>
          <w:bCs/>
          <w:iCs/>
          <w:color w:val="000000" w:themeColor="text1"/>
          <w:sz w:val="16"/>
          <w:szCs w:val="16"/>
        </w:rPr>
        <w:t>Малышев Г.Н.</w:t>
      </w:r>
      <w:r w:rsidRPr="00E14102">
        <w:rPr>
          <w:bCs/>
          <w:color w:val="000000" w:themeColor="text1"/>
          <w:sz w:val="16"/>
          <w:szCs w:val="16"/>
        </w:rPr>
        <w:t xml:space="preserve"> Танки завода имени С.М. Кирова. Производственная деятельность завода в период с 1934 года по 1941 год (в документах): рукопись. СПб., 2005. С. 57] (17502).</w:t>
      </w:r>
    </w:p>
    <w:p w14:paraId="57D165A2" w14:textId="77777777" w:rsidR="00E15ADB" w:rsidRPr="00E14102" w:rsidRDefault="00E15ADB" w:rsidP="00E14102">
      <w:pPr>
        <w:jc w:val="both"/>
        <w:rPr>
          <w:color w:val="000000" w:themeColor="text1"/>
          <w:sz w:val="16"/>
          <w:szCs w:val="16"/>
        </w:rPr>
      </w:pPr>
    </w:p>
    <w:p w14:paraId="1734D344" w14:textId="77777777" w:rsidR="00E15ADB" w:rsidRPr="00E14102" w:rsidRDefault="00E15ADB" w:rsidP="00E14102">
      <w:pPr>
        <w:jc w:val="both"/>
        <w:rPr>
          <w:color w:val="000000" w:themeColor="text1"/>
          <w:sz w:val="16"/>
          <w:szCs w:val="16"/>
        </w:rPr>
      </w:pPr>
      <w:r w:rsidRPr="00E14102">
        <w:rPr>
          <w:color w:val="000000" w:themeColor="text1"/>
          <w:sz w:val="16"/>
          <w:szCs w:val="16"/>
        </w:rPr>
        <w:t>23 апреля 1935 года.</w:t>
      </w:r>
    </w:p>
    <w:p w14:paraId="6099A241" w14:textId="77777777" w:rsidR="00E15ADB" w:rsidRPr="00E14102" w:rsidRDefault="00E15ADB" w:rsidP="00E14102">
      <w:pPr>
        <w:jc w:val="both"/>
        <w:rPr>
          <w:color w:val="000000" w:themeColor="text1"/>
          <w:sz w:val="16"/>
          <w:szCs w:val="16"/>
        </w:rPr>
      </w:pPr>
      <w:r w:rsidRPr="00E14102">
        <w:rPr>
          <w:color w:val="000000" w:themeColor="text1"/>
          <w:sz w:val="16"/>
          <w:szCs w:val="16"/>
        </w:rPr>
        <w:t>ЦК ВКП(б) тов. СТАЛИНУ И.В.</w:t>
      </w:r>
    </w:p>
    <w:p w14:paraId="00F28D8E" w14:textId="77777777" w:rsidR="00E15ADB" w:rsidRPr="00E14102" w:rsidRDefault="00E15ADB" w:rsidP="00E14102">
      <w:pPr>
        <w:jc w:val="both"/>
        <w:rPr>
          <w:color w:val="000000" w:themeColor="text1"/>
          <w:sz w:val="16"/>
          <w:szCs w:val="16"/>
        </w:rPr>
      </w:pPr>
      <w:r w:rsidRPr="00E14102">
        <w:rPr>
          <w:color w:val="000000" w:themeColor="text1"/>
          <w:sz w:val="16"/>
          <w:szCs w:val="16"/>
        </w:rPr>
        <w:t>НАРОДНОМУ КОМИССАРУ ОБОРОНЫ СОЮЗА ССР тов. ВОРОШИЛОВУ К.Е.</w:t>
      </w:r>
    </w:p>
    <w:p w14:paraId="742D3050"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Большевики бойцы и командиры Украинского Военного Округа – энтузиасты великого дела овладения и дальнейшего совершенствования нашей мощной боевой техники – докладывают Вам: </w:t>
      </w:r>
    </w:p>
    <w:p w14:paraId="04A361F5"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Ваши указания об усовершенствовании движителя танков БТ выполнены. </w:t>
      </w:r>
    </w:p>
    <w:p w14:paraId="0AF19A72" w14:textId="77777777" w:rsidR="00E15ADB" w:rsidRPr="00E14102" w:rsidRDefault="00E15ADB" w:rsidP="00E14102">
      <w:pPr>
        <w:jc w:val="both"/>
        <w:rPr>
          <w:color w:val="000000" w:themeColor="text1"/>
          <w:sz w:val="16"/>
          <w:szCs w:val="16"/>
        </w:rPr>
      </w:pPr>
      <w:r w:rsidRPr="00E14102">
        <w:rPr>
          <w:color w:val="000000" w:themeColor="text1"/>
          <w:sz w:val="16"/>
          <w:szCs w:val="16"/>
        </w:rPr>
        <w:t>Мы предлагаем новый тип движителя для танков БТ.</w:t>
      </w:r>
    </w:p>
    <w:p w14:paraId="71BEC1DB" w14:textId="77777777" w:rsidR="00E15ADB" w:rsidRPr="00E14102" w:rsidRDefault="00E15ADB" w:rsidP="00E14102">
      <w:pPr>
        <w:jc w:val="both"/>
        <w:rPr>
          <w:color w:val="000000" w:themeColor="text1"/>
          <w:sz w:val="16"/>
          <w:szCs w:val="16"/>
        </w:rPr>
      </w:pPr>
      <w:r w:rsidRPr="00E14102">
        <w:rPr>
          <w:color w:val="000000" w:themeColor="text1"/>
          <w:sz w:val="16"/>
          <w:szCs w:val="16"/>
        </w:rPr>
        <w:lastRenderedPageBreak/>
        <w:t>Новый колесный движитель – это не одна, а три ведущих пары (II, III и IV) колес. Управляемыми колесами являются также не одна, а три пары (I, II и IV) колес.</w:t>
      </w:r>
    </w:p>
    <w:p w14:paraId="3E1FE279"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Чертежи нового движителя изготовлены полностью. Изготовлены также самодвижущиеся модели танка БТ в масштабе 1/5 натуральной величины. Модель опробована. Она полностью подтвердила Ваши указания, данные летом 1934 года, что с новым движителем танк БТ может быть превращен в еще более мощную, высокоманевренную боевую машину. </w:t>
      </w:r>
    </w:p>
    <w:p w14:paraId="684015CB"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Танк БТ с новым движителем приобрел способность самостоятельно двигаться, маневрировать и драться, несмотря на самые тяжелые повреждения в бою – потерю одной или обоих гусениц и четырех колес из восьми. В тяжело израненной машине на четырех колесах (если выбитые колеса не нарушили равновесия машины) экипаж танка имеет полную возможность продолжать активно драться и поражать врагов нашей славной социалистической родины, как этому учит нас наша великая большевистская партия ЛЕНИНА–СТАЛИНА – в бою большевик и всякий сознательный рабочий и колхозник сражаются до последней капли крови и, если нужно, умирают, но не сдаются врагам. </w:t>
      </w:r>
    </w:p>
    <w:p w14:paraId="7D9104C7" w14:textId="77777777" w:rsidR="00E15ADB" w:rsidRPr="00E14102" w:rsidRDefault="00E15ADB" w:rsidP="00E14102">
      <w:pPr>
        <w:jc w:val="both"/>
        <w:rPr>
          <w:color w:val="000000" w:themeColor="text1"/>
          <w:sz w:val="16"/>
          <w:szCs w:val="16"/>
        </w:rPr>
      </w:pPr>
      <w:r w:rsidRPr="00E14102">
        <w:rPr>
          <w:color w:val="000000" w:themeColor="text1"/>
          <w:sz w:val="16"/>
          <w:szCs w:val="16"/>
        </w:rPr>
        <w:t>Новый тип движителя повышает проходимость танка БТ по тяжелому грунту (пашне) в 4 – 5 раз и дает возможность по пашне на колесах преодолевать подъемы до 25º.</w:t>
      </w:r>
    </w:p>
    <w:p w14:paraId="3F71460C"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Новая конструкция направляющих колес сокращает радиус поворота танка БТ вдвое с 10-ти до 5 – 6 метров, повышая таким образом маневроспособность танка вдвое. </w:t>
      </w:r>
    </w:p>
    <w:p w14:paraId="779908A8"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Перемена гусеничного хода на колесныйучае перебивания гусеницы, одной или обоих, противником совершается автоматически без остановки машины и без выхода экипажа из броневого корпуса. </w:t>
      </w:r>
    </w:p>
    <w:p w14:paraId="44EE0E1E"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Мы дали изобретению имя танк "БТ-ИС". </w:t>
      </w:r>
    </w:p>
    <w:p w14:paraId="7BA05CC0"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Вам, тов. СТАЛИН, принадлежит идея реконструкции движителя танка БТ в этом направлении. Об этом нам рассказал наш любимый полководец большевик – Командующий войсками Украинского Военного Округа тов. ЯКИР И.Э. </w:t>
      </w:r>
    </w:p>
    <w:p w14:paraId="5213395F"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Тов. ЯКИР вызвал нас к себе и в длительной беседе разъяснил нам Вашу идею, рассказал о всем значении этого усовершенствования движителя танка БТ для дела обороны страны и поставил задачу спроектировать и построить новый движитель. </w:t>
      </w:r>
    </w:p>
    <w:p w14:paraId="468CC2A9"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Выполнить Вашу волю, тов. СТАЛИН, в кратчайший срок для нас стало делом чести, делом партийного долга. </w:t>
      </w:r>
    </w:p>
    <w:p w14:paraId="21149C5F"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Наша великая ленинская партия, руководимая Вами и наша героическая Рабоче-Крестьянская Красная Армия, наш железный Нарком Обороны СССР тов. ВОРОШИЛОВ – воспитали в каждом из нас дисциплину и волю, настойчивость и упорстве в решении поставленных партией задач. </w:t>
      </w:r>
    </w:p>
    <w:p w14:paraId="2EBFAD39" w14:textId="77777777" w:rsidR="00E15ADB" w:rsidRPr="00E14102" w:rsidRDefault="00E15ADB" w:rsidP="00E14102">
      <w:pPr>
        <w:jc w:val="both"/>
        <w:rPr>
          <w:color w:val="000000" w:themeColor="text1"/>
          <w:sz w:val="16"/>
          <w:szCs w:val="16"/>
        </w:rPr>
      </w:pPr>
      <w:r w:rsidRPr="00E14102">
        <w:rPr>
          <w:color w:val="000000" w:themeColor="text1"/>
          <w:sz w:val="16"/>
          <w:szCs w:val="16"/>
        </w:rPr>
        <w:t>Одновременно с проектом нового колесного движителя мы начали проектирование и изготовление нового гусенично-каткового движителя для танков БТ. Он также закончен.</w:t>
      </w:r>
    </w:p>
    <w:p w14:paraId="0A652CD7"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Готовы все чертежи и опытные модели в 1/5 натуральной величины. Спроектирована и изготовлена новая подвеска каткового движителя, шарнирная катковая цепь и гусеница к ним. </w:t>
      </w:r>
    </w:p>
    <w:p w14:paraId="6675F25E"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Танк БТ с катковым движителем при обычном моторе М-5 развивает скорость на катках и на гусеницах по нашим расчетам 105 клм. в час, вдвое превышающую нормальную скорость на обычных гусеницах (норма 51,6 клм. в час.). </w:t>
      </w:r>
    </w:p>
    <w:p w14:paraId="55DFFE2D"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Поворотливость на катках и новой гусенице на месте на 360°. Катки и гусеница – резиновые и дают почти бесшумный ход. Тактическое использование этой машины вытекает из ее вездеходности на огромных скоростях и бесшумности. </w:t>
      </w:r>
    </w:p>
    <w:p w14:paraId="0D26F21F"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В обоих типах машин мы стремились к минимальному количеству переделок существующего типа машин БТ-2 и БТ-5 и добились этого. Это позволяет новые типы движителей без больших переделок монтировать на уже существующих и эксплоатируемых типах машин БТ и легко освоить в производстве новых машин. </w:t>
      </w:r>
    </w:p>
    <w:p w14:paraId="2A2346B6"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Изобретение обоих типов движителей БТ принадлежит молодому большевику и молодому командиру 4-го танкового полка УВО т. ЦЫГАНОВУ Н.Ф., талантливому конструктору-изобретателю, самоучке. В 1934 году т. ЦЫГАНОВ был награжден Народным Комиссаром Обороны тов. ВОРОШИЛОВЫМ золотыми часами и произведен из младшего командира в командира взвода за изобретение АВТОМАТИЧЕСКОЙ СЦЕПКИ ТАНКОВ БТ, Т-26 и Т-27, принятой на вооружение в РККА. Мы все были только добросовестными помощниками ему в практической реализации его изобретений. </w:t>
      </w:r>
    </w:p>
    <w:p w14:paraId="265C777B"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В течение 4-х месяцев дружным коллективом, направляемые т. ЦЫГАНОВЫМ под непосредственным руководством нашего Командующего войсками т. ЯКИРА, работая по 16 – 18 часов в сутки мы изготовили свыше полутысячи чертежей и около трех тысяч деталей для моделей, проектируемых машин. И сегодня, счастливые сознанием выполненного долга докладываем Вам – работы по обоим типам движителя закончены. </w:t>
      </w:r>
    </w:p>
    <w:p w14:paraId="44606879" w14:textId="77777777" w:rsidR="00E15ADB" w:rsidRPr="00E14102" w:rsidRDefault="00E15ADB" w:rsidP="00E14102">
      <w:pPr>
        <w:jc w:val="both"/>
        <w:rPr>
          <w:color w:val="000000" w:themeColor="text1"/>
          <w:sz w:val="16"/>
          <w:szCs w:val="16"/>
        </w:rPr>
      </w:pPr>
      <w:r w:rsidRPr="00E14102">
        <w:rPr>
          <w:color w:val="000000" w:themeColor="text1"/>
          <w:sz w:val="16"/>
          <w:szCs w:val="16"/>
        </w:rPr>
        <w:t>Просим Ваших указаний и дальнейших заданий.</w:t>
      </w:r>
    </w:p>
    <w:p w14:paraId="4194CC0A" w14:textId="77777777" w:rsidR="00E15ADB" w:rsidRPr="00E14102" w:rsidRDefault="00E15ADB" w:rsidP="00E14102">
      <w:pPr>
        <w:jc w:val="both"/>
        <w:rPr>
          <w:color w:val="000000" w:themeColor="text1"/>
          <w:sz w:val="16"/>
          <w:szCs w:val="16"/>
        </w:rPr>
      </w:pPr>
      <w:r w:rsidRPr="00E14102">
        <w:rPr>
          <w:color w:val="000000" w:themeColor="text1"/>
          <w:sz w:val="16"/>
          <w:szCs w:val="16"/>
        </w:rPr>
        <w:t>Работа над этими проектами углубила наши знания, еще более закалила волю и энергию. Мы не устали, нет, мы окрепли, возмужали и готовы к новой еще более напряженной работе.</w:t>
      </w:r>
    </w:p>
    <w:p w14:paraId="04646C8F"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Все трудящиеся СССР видят как сгущаются грозовые тучи новой войны, как бешено готовятся немецкие и японские фашисты к нападению на СССР. Как и все рабочие, колхозники СССР, все бойцы, командиры и политработники Рабоче-Крестьянской Красной Армии, мы горим желанием отдать все свои знания и силы, волю и энергию, всю свою кровь каплю за каплей как этому учите нас Вы, тов. СТАЛИН, делу укрепления обороны нашей великой родины, отечества пролетариев всех стран, делу построения социализма и коммунизма в нашей стране, делу международной пролетарской революции. </w:t>
      </w:r>
    </w:p>
    <w:p w14:paraId="1BA56405" w14:textId="77777777" w:rsidR="00E15ADB" w:rsidRPr="00E14102" w:rsidRDefault="00E15ADB" w:rsidP="00E14102">
      <w:pPr>
        <w:jc w:val="both"/>
        <w:rPr>
          <w:color w:val="000000" w:themeColor="text1"/>
          <w:sz w:val="16"/>
          <w:szCs w:val="16"/>
        </w:rPr>
      </w:pPr>
      <w:r w:rsidRPr="00E14102">
        <w:rPr>
          <w:color w:val="000000" w:themeColor="text1"/>
          <w:sz w:val="16"/>
          <w:szCs w:val="16"/>
        </w:rPr>
        <w:t>ЦЫГАНОВ подпись</w:t>
      </w:r>
    </w:p>
    <w:p w14:paraId="32FAE4E4" w14:textId="77777777" w:rsidR="00E15ADB" w:rsidRPr="00E14102" w:rsidRDefault="00E15ADB" w:rsidP="00E14102">
      <w:pPr>
        <w:jc w:val="both"/>
        <w:rPr>
          <w:color w:val="000000" w:themeColor="text1"/>
          <w:sz w:val="16"/>
          <w:szCs w:val="16"/>
        </w:rPr>
      </w:pPr>
      <w:r w:rsidRPr="00E14102">
        <w:rPr>
          <w:color w:val="000000" w:themeColor="text1"/>
          <w:sz w:val="16"/>
          <w:szCs w:val="16"/>
        </w:rPr>
        <w:t>БЕРЕЗКИН подпись</w:t>
      </w:r>
    </w:p>
    <w:p w14:paraId="5E2BC6D5" w14:textId="77777777" w:rsidR="00E15ADB" w:rsidRPr="00E14102" w:rsidRDefault="00E15ADB" w:rsidP="00E14102">
      <w:pPr>
        <w:jc w:val="both"/>
        <w:rPr>
          <w:color w:val="000000" w:themeColor="text1"/>
          <w:sz w:val="16"/>
          <w:szCs w:val="16"/>
        </w:rPr>
      </w:pPr>
      <w:r w:rsidRPr="00E14102">
        <w:rPr>
          <w:color w:val="000000" w:themeColor="text1"/>
          <w:sz w:val="16"/>
          <w:szCs w:val="16"/>
        </w:rPr>
        <w:t>КУРКИН подпись</w:t>
      </w:r>
    </w:p>
    <w:p w14:paraId="5077C892" w14:textId="77777777" w:rsidR="00E15ADB" w:rsidRPr="00E14102" w:rsidRDefault="00E15ADB" w:rsidP="00E14102">
      <w:pPr>
        <w:jc w:val="both"/>
        <w:rPr>
          <w:color w:val="000000" w:themeColor="text1"/>
          <w:sz w:val="16"/>
          <w:szCs w:val="16"/>
        </w:rPr>
      </w:pPr>
      <w:r w:rsidRPr="00E14102">
        <w:rPr>
          <w:color w:val="000000" w:themeColor="text1"/>
          <w:sz w:val="16"/>
          <w:szCs w:val="16"/>
        </w:rPr>
        <w:t>МАТЮХИН подпись</w:t>
      </w:r>
    </w:p>
    <w:p w14:paraId="1E567829" w14:textId="77777777" w:rsidR="00E15ADB" w:rsidRPr="00E14102" w:rsidRDefault="00E15ADB" w:rsidP="00E14102">
      <w:pPr>
        <w:jc w:val="both"/>
        <w:rPr>
          <w:color w:val="000000" w:themeColor="text1"/>
          <w:sz w:val="16"/>
          <w:szCs w:val="16"/>
        </w:rPr>
      </w:pPr>
      <w:r w:rsidRPr="00E14102">
        <w:rPr>
          <w:color w:val="000000" w:themeColor="text1"/>
          <w:sz w:val="16"/>
          <w:szCs w:val="16"/>
        </w:rPr>
        <w:t>БЕССОНОВ подпись</w:t>
      </w:r>
    </w:p>
    <w:p w14:paraId="764C7EAE" w14:textId="77777777" w:rsidR="00E15ADB" w:rsidRPr="00E14102" w:rsidRDefault="00E15ADB" w:rsidP="00E14102">
      <w:pPr>
        <w:jc w:val="both"/>
        <w:rPr>
          <w:color w:val="000000" w:themeColor="text1"/>
          <w:sz w:val="16"/>
          <w:szCs w:val="16"/>
        </w:rPr>
      </w:pPr>
      <w:r w:rsidRPr="00E14102">
        <w:rPr>
          <w:color w:val="000000" w:themeColor="text1"/>
          <w:sz w:val="16"/>
          <w:szCs w:val="16"/>
        </w:rPr>
        <w:t>ПОДСОЛИХИН подпись</w:t>
      </w:r>
    </w:p>
    <w:p w14:paraId="6FA4C57B" w14:textId="77777777" w:rsidR="00E15ADB" w:rsidRPr="00E14102" w:rsidRDefault="00E15ADB" w:rsidP="00E14102">
      <w:pPr>
        <w:jc w:val="both"/>
        <w:rPr>
          <w:color w:val="000000" w:themeColor="text1"/>
          <w:sz w:val="16"/>
          <w:szCs w:val="16"/>
        </w:rPr>
      </w:pPr>
      <w:r w:rsidRPr="00E14102">
        <w:rPr>
          <w:color w:val="000000" w:themeColor="text1"/>
          <w:sz w:val="16"/>
          <w:szCs w:val="16"/>
        </w:rPr>
        <w:t>ФЕДЧЕНКО подпись</w:t>
      </w:r>
    </w:p>
    <w:p w14:paraId="1F38EBA8" w14:textId="77777777" w:rsidR="00E15ADB" w:rsidRPr="00E14102" w:rsidRDefault="00E15ADB" w:rsidP="00E14102">
      <w:pPr>
        <w:jc w:val="both"/>
        <w:rPr>
          <w:color w:val="000000" w:themeColor="text1"/>
          <w:sz w:val="16"/>
          <w:szCs w:val="16"/>
        </w:rPr>
      </w:pPr>
      <w:r w:rsidRPr="00E14102">
        <w:rPr>
          <w:color w:val="000000" w:themeColor="text1"/>
          <w:sz w:val="16"/>
          <w:szCs w:val="16"/>
        </w:rPr>
        <w:t xml:space="preserve">г. Киев. </w:t>
      </w:r>
    </w:p>
    <w:p w14:paraId="65B55C21" w14:textId="77777777" w:rsidR="00E15ADB" w:rsidRPr="00E14102" w:rsidRDefault="00E15ADB" w:rsidP="00E14102">
      <w:pPr>
        <w:jc w:val="both"/>
        <w:rPr>
          <w:color w:val="000000" w:themeColor="text1"/>
          <w:sz w:val="16"/>
          <w:szCs w:val="16"/>
        </w:rPr>
      </w:pPr>
      <w:r w:rsidRPr="00E14102">
        <w:rPr>
          <w:color w:val="000000" w:themeColor="text1"/>
          <w:sz w:val="16"/>
          <w:szCs w:val="16"/>
        </w:rPr>
        <w:t>23 апреля 1935 года.</w:t>
      </w:r>
    </w:p>
    <w:p w14:paraId="799C3E7E" w14:textId="77777777" w:rsidR="00E15ADB" w:rsidRPr="00E14102" w:rsidRDefault="00E15ADB" w:rsidP="00E14102">
      <w:pPr>
        <w:jc w:val="both"/>
        <w:rPr>
          <w:color w:val="000000" w:themeColor="text1"/>
          <w:sz w:val="16"/>
          <w:szCs w:val="16"/>
        </w:rPr>
      </w:pPr>
      <w:r w:rsidRPr="00E14102">
        <w:rPr>
          <w:color w:val="000000" w:themeColor="text1"/>
          <w:sz w:val="16"/>
          <w:szCs w:val="16"/>
        </w:rPr>
        <w:t>Малышев Г.Н. Танки завода имени С.М. Кирова.</w:t>
      </w:r>
    </w:p>
    <w:p w14:paraId="7A16662D" w14:textId="77777777" w:rsidR="00E15ADB" w:rsidRPr="00E14102" w:rsidRDefault="00E15ADB" w:rsidP="00E14102">
      <w:pPr>
        <w:jc w:val="both"/>
        <w:rPr>
          <w:color w:val="000000" w:themeColor="text1"/>
          <w:sz w:val="16"/>
          <w:szCs w:val="16"/>
        </w:rPr>
      </w:pPr>
      <w:r w:rsidRPr="00E14102">
        <w:rPr>
          <w:color w:val="000000" w:themeColor="text1"/>
          <w:sz w:val="16"/>
          <w:szCs w:val="16"/>
        </w:rPr>
        <w:t>Производственная деятельность завода в период с 1934 года по 1941 год (в документах): рукопись. СПб., 2005. С. 57 )17932).</w:t>
      </w:r>
    </w:p>
    <w:p w14:paraId="485AB6AC" w14:textId="77777777" w:rsidR="00E15ADB" w:rsidRPr="00E14102" w:rsidRDefault="00E15ADB" w:rsidP="00E14102">
      <w:pPr>
        <w:jc w:val="both"/>
        <w:rPr>
          <w:color w:val="000000" w:themeColor="text1"/>
          <w:sz w:val="16"/>
          <w:szCs w:val="16"/>
        </w:rPr>
      </w:pPr>
    </w:p>
    <w:p w14:paraId="2131DDC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114EB37" w14:textId="77777777" w:rsidR="00D4105E" w:rsidRPr="00E14102" w:rsidRDefault="00D4105E" w:rsidP="00E14102">
      <w:pPr>
        <w:autoSpaceDE w:val="0"/>
        <w:autoSpaceDN w:val="0"/>
        <w:adjustRightInd w:val="0"/>
        <w:jc w:val="both"/>
        <w:rPr>
          <w:iCs/>
          <w:color w:val="000000" w:themeColor="text1"/>
          <w:sz w:val="16"/>
          <w:szCs w:val="16"/>
        </w:rPr>
      </w:pPr>
    </w:p>
    <w:p w14:paraId="6A9056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апреля 1935 на заседании Совета труда и обороны при СНК СССР были рассмотрены генеральная смета и проект строительства канала Москва-Волга. Докладывал главный инженер МВС Жук, в прениях выступили тт. Молотов, Чубарь, Булганин, Ягода, Веденеев, Фомин, Гринько и Пахомов. Комиссии во главе с Молотовым было поручено разработать проект постановления СНК СССР и ЦК ВКП(б) о канале (7560).</w:t>
      </w:r>
    </w:p>
    <w:p w14:paraId="3E40209B" w14:textId="77777777" w:rsidR="00D4105E" w:rsidRPr="00E14102" w:rsidRDefault="00D4105E" w:rsidP="00E14102">
      <w:pPr>
        <w:autoSpaceDE w:val="0"/>
        <w:autoSpaceDN w:val="0"/>
        <w:adjustRightInd w:val="0"/>
        <w:jc w:val="both"/>
        <w:rPr>
          <w:color w:val="000000" w:themeColor="text1"/>
          <w:sz w:val="16"/>
          <w:szCs w:val="16"/>
        </w:rPr>
      </w:pPr>
    </w:p>
    <w:p w14:paraId="3EB8B144" w14:textId="77777777" w:rsidR="00E15ADB" w:rsidRPr="00E14102" w:rsidRDefault="00E15ADB" w:rsidP="00E14102">
      <w:pPr>
        <w:shd w:val="clear" w:color="auto" w:fill="FFFFFF"/>
        <w:jc w:val="both"/>
        <w:rPr>
          <w:color w:val="0070C0"/>
          <w:sz w:val="16"/>
          <w:szCs w:val="16"/>
        </w:rPr>
      </w:pPr>
      <w:r w:rsidRPr="00E14102">
        <w:rPr>
          <w:color w:val="0070C0"/>
          <w:sz w:val="16"/>
          <w:szCs w:val="16"/>
        </w:rPr>
        <w:t>23 апреля 1935 Политбюро ограничило "шефские" отношения между армейскими и трудовыми коллективами. Утвержденное им постановление СНК СССР отныне запрещало "всем государственным учреждениям, хозорганизациям и предприятиям выдавать, а частям, соединениям, учебным заведениям и учреждениям РККА и НКВД - принимать от государственных учреждений, хозорганизаций и предприятий денежные суммы и материальные ценности (подарки) в порядке шефства" (Протокол заседания Политбюро ЦК ВКП (б) № 24 от 26 апреля 1935 г., п. 187 //Лубянка: Сталин и ВЧК-ГПУ-ОГТГУ-НКВД Архив Сталина: Документы высших органов партийной и государственной власти, Янв. 1922 - дек. 1936. С. 662.</w:t>
      </w:r>
    </w:p>
    <w:p w14:paraId="4E75663A" w14:textId="77777777" w:rsidR="00E15ADB" w:rsidRPr="00E14102" w:rsidRDefault="00E15ADB" w:rsidP="00E14102">
      <w:pPr>
        <w:shd w:val="clear" w:color="auto" w:fill="FFFFFF"/>
        <w:jc w:val="both"/>
        <w:rPr>
          <w:color w:val="0070C0"/>
          <w:sz w:val="16"/>
          <w:szCs w:val="16"/>
        </w:rPr>
      </w:pPr>
      <w:r w:rsidRPr="00E14102">
        <w:rPr>
          <w:color w:val="0070C0"/>
          <w:sz w:val="16"/>
          <w:szCs w:val="16"/>
        </w:rPr>
        <w:t>Признавая необходимость расширения кадровой системы за счет территориально-милиционного комплектования, Троцкий считал масштабы перемен "чрезмерными". Он предполагал, что сталинское руководство "ухватилось за благоприятный повод для разгрома, продиктованного в значительной мере политическими соображениями": "Милиционные формирования по самому характеру своему попадают в непосредственную зависимость от населения: в этом основное преимущество системы с социалистической точки зрения; но в этом же и ее опасность с точки зрения Кремля" (ТРОЦКИЙ Л. Преданная революция. М., 1991- С. 182). См.также ниже (4.6)) (22725).</w:t>
      </w:r>
    </w:p>
    <w:p w14:paraId="08DFA7D3" w14:textId="77777777" w:rsidR="00E15ADB" w:rsidRPr="00E14102" w:rsidRDefault="00E15ADB" w:rsidP="00E14102">
      <w:pPr>
        <w:shd w:val="clear" w:color="auto" w:fill="FFFFFF"/>
        <w:jc w:val="both"/>
        <w:rPr>
          <w:color w:val="0070C0"/>
          <w:sz w:val="16"/>
          <w:szCs w:val="16"/>
        </w:rPr>
      </w:pPr>
    </w:p>
    <w:p w14:paraId="3D2FB5A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A5864E3" w14:textId="77777777" w:rsidR="00D4105E" w:rsidRPr="00E14102" w:rsidRDefault="00D4105E" w:rsidP="00E14102">
      <w:pPr>
        <w:autoSpaceDE w:val="0"/>
        <w:autoSpaceDN w:val="0"/>
        <w:adjustRightInd w:val="0"/>
        <w:jc w:val="both"/>
        <w:rPr>
          <w:iCs/>
          <w:color w:val="000000" w:themeColor="text1"/>
          <w:sz w:val="16"/>
          <w:szCs w:val="16"/>
        </w:rPr>
      </w:pPr>
    </w:p>
    <w:p w14:paraId="5C2352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апреля 1935 в Польше была принята новая конституция и ее подписал президент Мосицкий под аккомпанемент салюта из 101 залпа (3907,191).</w:t>
      </w:r>
    </w:p>
    <w:p w14:paraId="5221B466" w14:textId="77777777" w:rsidR="00D4105E" w:rsidRPr="00E14102" w:rsidRDefault="00D4105E" w:rsidP="00E14102">
      <w:pPr>
        <w:autoSpaceDE w:val="0"/>
        <w:autoSpaceDN w:val="0"/>
        <w:adjustRightInd w:val="0"/>
        <w:jc w:val="both"/>
        <w:rPr>
          <w:color w:val="000000" w:themeColor="text1"/>
          <w:sz w:val="16"/>
          <w:szCs w:val="16"/>
        </w:rPr>
      </w:pPr>
    </w:p>
    <w:p w14:paraId="72127F1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AA2DE50" w14:textId="77777777" w:rsidR="00D4105E" w:rsidRPr="00E14102" w:rsidRDefault="00D4105E" w:rsidP="00E14102">
      <w:pPr>
        <w:autoSpaceDE w:val="0"/>
        <w:autoSpaceDN w:val="0"/>
        <w:adjustRightInd w:val="0"/>
        <w:jc w:val="both"/>
        <w:rPr>
          <w:iCs/>
          <w:color w:val="000000" w:themeColor="text1"/>
          <w:sz w:val="16"/>
          <w:szCs w:val="16"/>
        </w:rPr>
      </w:pPr>
    </w:p>
    <w:p w14:paraId="653783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апреля 1935 Дир. завода Мурашов и Нач. ЦКБ МС Бериев писал письмо N 720с Нач. самолетного отдела ГУАП о том, что завод 31 на конкурс ЦК ВЛКСМ на лучший самолет предлагает МБР-5 РЦ, МБР-2 М-34 и КОР-1 РЦ (2343,75).</w:t>
      </w:r>
    </w:p>
    <w:p w14:paraId="1DB0F0BB" w14:textId="77777777" w:rsidR="00D4105E" w:rsidRPr="00E14102" w:rsidRDefault="00D4105E" w:rsidP="00E14102">
      <w:pPr>
        <w:autoSpaceDE w:val="0"/>
        <w:autoSpaceDN w:val="0"/>
        <w:adjustRightInd w:val="0"/>
        <w:jc w:val="both"/>
        <w:rPr>
          <w:color w:val="000000" w:themeColor="text1"/>
          <w:sz w:val="16"/>
          <w:szCs w:val="16"/>
        </w:rPr>
      </w:pPr>
    </w:p>
    <w:p w14:paraId="280FE81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5467526" w14:textId="77777777" w:rsidR="00D4105E" w:rsidRPr="00E14102" w:rsidRDefault="00D4105E" w:rsidP="00E14102">
      <w:pPr>
        <w:autoSpaceDE w:val="0"/>
        <w:autoSpaceDN w:val="0"/>
        <w:adjustRightInd w:val="0"/>
        <w:jc w:val="both"/>
        <w:rPr>
          <w:iCs/>
          <w:color w:val="000000" w:themeColor="text1"/>
          <w:sz w:val="16"/>
          <w:szCs w:val="16"/>
        </w:rPr>
      </w:pPr>
    </w:p>
    <w:p w14:paraId="7B08E3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апреля 1935 всесторонним испытаниям подвергся И-16 N 123954 39 завода и имея вес 1432 на 3000 м развил 456 км/час с РЦ Ф-3. На капоте были лобовые жалюзи и на 21 заводе эта модель получила обозначение тип 5 (1808,9).</w:t>
      </w:r>
    </w:p>
    <w:p w14:paraId="1F042F01" w14:textId="77777777" w:rsidR="00D4105E" w:rsidRPr="00E14102" w:rsidRDefault="00D4105E" w:rsidP="00E14102">
      <w:pPr>
        <w:autoSpaceDE w:val="0"/>
        <w:autoSpaceDN w:val="0"/>
        <w:adjustRightInd w:val="0"/>
        <w:jc w:val="both"/>
        <w:rPr>
          <w:color w:val="000000" w:themeColor="text1"/>
          <w:sz w:val="16"/>
          <w:szCs w:val="16"/>
        </w:rPr>
      </w:pPr>
    </w:p>
    <w:p w14:paraId="7E8BF7ED" w14:textId="77777777" w:rsidR="00722E26" w:rsidRPr="00E14102" w:rsidRDefault="00722E26"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25 апреля 1935 г. на заводе № 39 построили усовершенствованный истребитель № 123954, который в ряде документов фигурировал как «самолет </w:t>
      </w:r>
      <w:r w:rsidRPr="00E14102">
        <w:rPr>
          <w:rFonts w:ascii="Times New Roman" w:hAnsi="Times New Roman" w:cs="Times New Roman"/>
          <w:color w:val="000000" w:themeColor="text1"/>
          <w:sz w:val="16"/>
          <w:szCs w:val="16"/>
        </w:rPr>
        <w:t>N</w:t>
      </w:r>
      <w:r w:rsidRPr="00E14102">
        <w:rPr>
          <w:rFonts w:ascii="Times New Roman" w:hAnsi="Times New Roman" w:cs="Times New Roman"/>
          <w:color w:val="000000" w:themeColor="text1"/>
          <w:sz w:val="16"/>
          <w:szCs w:val="16"/>
          <w:lang w:val="ru-RU"/>
        </w:rPr>
        <w:t>2 54» и рассматривали его как образец для серийного производства. Самолет имел доработанный капот двигателя с лобовыми подвижными створками охлаждения, измененную подвеску элеронов, был оборудован клапанами-обтекателями на рулях. На заводских испытаниях он развил максимальную скорость 456 км/ч на высоте 3000 м.</w:t>
      </w:r>
    </w:p>
    <w:p w14:paraId="5AB332A3" w14:textId="77777777" w:rsidR="00722E26" w:rsidRPr="00E14102" w:rsidRDefault="00722E26"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Новый образец И-16 заметно опережал по своим характеристикам истребитель И-14, который с таким же двигателем развивал скорость 445 км/ч. Кроме того, при проведении Госиспытаний выяснилось, что И-14 имеет значительное запаздывание при выходе из штопора (19109).</w:t>
      </w:r>
    </w:p>
    <w:p w14:paraId="27AA74A7" w14:textId="77777777" w:rsidR="00722E26" w:rsidRPr="00E14102" w:rsidRDefault="00722E26" w:rsidP="00E14102">
      <w:pPr>
        <w:pStyle w:val="aa"/>
        <w:jc w:val="both"/>
        <w:rPr>
          <w:rFonts w:ascii="Times New Roman" w:hAnsi="Times New Roman" w:cs="Times New Roman"/>
          <w:color w:val="000000" w:themeColor="text1"/>
          <w:sz w:val="16"/>
          <w:szCs w:val="16"/>
          <w:lang w:val="ru-RU"/>
        </w:rPr>
      </w:pPr>
    </w:p>
    <w:p w14:paraId="5149F1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апреля 1935 г. на заводе №39 оперативно изготовили усовершенствованный экземпляр самолета, который рассматривался как образец для серийного производства - И-16 №123954, который в ряде документов называемый "самолет №54". Он имел доработанный капот двигателя с лобовыми подвижными створками охлаждения, измененную подвеску элеронов, был оборудован клапанами-обтекателями на рулях хвостового оперения. На заводских испытаниях "самолет №54" с полетным весом 1452 кг развивал максимальную скорость 456 км/ч на высоте 3000 м. То есть, значения максимальной скорости вплотную приблизились к заветной цифре 470 км/ч.Новый образец И-16 значительно опережал по своим характеристикам истребитель И-14. который с одинаковым двигателем, при полетном весе 1540 кг развивал полетную скорость 445 км/ч. Длительное время, особым преимуществом И-14 при сравнении его с И-16. считалось вооружение дина- мореактивными пушками АПК-11 калибра 45 мм конструкции Курчевского. По причине неустранимых дефектов АПК. от них пришлось отказаться, поэтому постановлением Совета Труда и Обороны (СТО) от 7 марта 1935 г. на И-14 решили установить пулеметы. Но и это решение не помогло ускорить внедрение И-14 на заводе №125 в Иркутске. В 1935 г. там не удалось слать ни одной серийной машины. Позднее, при проведении государственных испытаний, выяснилось, что серийные И-14 имеют значительное запаздывание при выходе из штопора. После выпуска 22 экземпляров серийное производство И-14 в 1937 г. прекратили.</w:t>
      </w:r>
    </w:p>
    <w:p w14:paraId="1CC481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тем, производство двигателей М-25 на заводе №19 постепенно разворачивалось. До конца 1935 г., используя зачастую американские детали, завод выпустил 660 М-25. Таким образом, уже в середине года появилась уверенность, что и И-16 будет обеспечен такими двигателями в 1936 г.</w:t>
      </w:r>
    </w:p>
    <w:p w14:paraId="39AD6A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указанные обстоятельства способствовали тому, что по представлению наркома обороны К.Е.Ворошилова вопрос об И-16 с мотором Райт "Циклон" F-3 (М-25) в июле 1935 г. рассмотрели на заседании правительства. Результатом стадо принятие решения о скорейшем развертывании его серийного производства (12015).</w:t>
      </w:r>
    </w:p>
    <w:p w14:paraId="4CDF9ED7" w14:textId="77777777" w:rsidR="00D4105E" w:rsidRPr="00E14102" w:rsidRDefault="00D4105E" w:rsidP="00E14102">
      <w:pPr>
        <w:autoSpaceDE w:val="0"/>
        <w:autoSpaceDN w:val="0"/>
        <w:adjustRightInd w:val="0"/>
        <w:jc w:val="both"/>
        <w:rPr>
          <w:color w:val="000000" w:themeColor="text1"/>
          <w:sz w:val="16"/>
          <w:szCs w:val="16"/>
        </w:rPr>
      </w:pPr>
    </w:p>
    <w:p w14:paraId="39DD727A" w14:textId="77777777" w:rsidR="00DF734F" w:rsidRPr="00E14102" w:rsidRDefault="00DF734F" w:rsidP="00E14102">
      <w:pPr>
        <w:jc w:val="both"/>
        <w:rPr>
          <w:color w:val="000000" w:themeColor="text1"/>
          <w:sz w:val="16"/>
          <w:szCs w:val="16"/>
        </w:rPr>
      </w:pPr>
      <w:r w:rsidRPr="00E14102">
        <w:rPr>
          <w:color w:val="000000" w:themeColor="text1"/>
          <w:sz w:val="16"/>
          <w:szCs w:val="16"/>
        </w:rPr>
        <w:t>25 апреля в 1935 году новая модификация самолета «И-16» построена в Москве, пять первых машин этого типа вошли в «красную пятерку», а самолет №54 (№ 123954), выпущенный 25 апреля 1935 года подвергся тщательным заводским испытаниям. Имея полетный вес 1432 килограмма, он развивал скорость на трехкилометровой высоте 456 км/час. В целом этот «И-16» очень напоминал третий опытный экземпляр с «Райт-Циклоном» «Ф-3», однако капот двигателя несколько изменился и получил лобовые жалюзи, элеронная щель была заделана, а клапаны-обтекатели вдоль всего размаха оперения сменились маленькими крышками на узлах навески рулей. На серийном заводе №21 в Нижнем Новгороде этот самолет получил обозначение «И-16» тип 5 (15110).</w:t>
      </w:r>
    </w:p>
    <w:p w14:paraId="7F7D7A06" w14:textId="77777777" w:rsidR="00DF734F" w:rsidRPr="00E14102" w:rsidRDefault="00DF734F" w:rsidP="00E14102">
      <w:pPr>
        <w:jc w:val="both"/>
        <w:rPr>
          <w:color w:val="000000" w:themeColor="text1"/>
          <w:sz w:val="16"/>
          <w:szCs w:val="16"/>
        </w:rPr>
      </w:pPr>
    </w:p>
    <w:p w14:paraId="0BBF31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апреля 1935 года Правительства постановлением за № С-44сс подтвердило задание Гипроавиа на проектирование самолетно-моторного комбината 124/27 в Казани (9406).</w:t>
      </w:r>
    </w:p>
    <w:p w14:paraId="40E8C486" w14:textId="77777777" w:rsidR="00D4105E" w:rsidRPr="00E14102" w:rsidRDefault="00D4105E" w:rsidP="00E14102">
      <w:pPr>
        <w:autoSpaceDE w:val="0"/>
        <w:autoSpaceDN w:val="0"/>
        <w:adjustRightInd w:val="0"/>
        <w:jc w:val="both"/>
        <w:rPr>
          <w:color w:val="000000" w:themeColor="text1"/>
          <w:sz w:val="16"/>
          <w:szCs w:val="16"/>
        </w:rPr>
      </w:pPr>
    </w:p>
    <w:p w14:paraId="3CC82F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25 апреля 1935 Начальник ГУГВФ Ткачев писал письмо № 0227-с Секретарю ЦК ВКП(б) тов. Сталину</w:t>
      </w:r>
    </w:p>
    <w:p w14:paraId="66CCA3D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СНК СССР т. Молотову (вход. № 5270 от 25 апреля - Секретный отдел УД СНК и № 1121 от 24 апреля 1935 - КО)</w:t>
      </w:r>
    </w:p>
    <w:p w14:paraId="53B793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НКО тов. Ворошилову</w:t>
      </w:r>
    </w:p>
    <w:p w14:paraId="44A662D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НКТП тов. Орджоникидзе</w:t>
      </w:r>
    </w:p>
    <w:p w14:paraId="3E2BDC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В соответствии с утвержденной СТО программой работ оборонного значения Украинский научно-исследовательский авиационный институт закончил </w:t>
      </w:r>
      <w:r w:rsidRPr="00E14102">
        <w:rPr>
          <w:smallCaps/>
          <w:color w:val="000000" w:themeColor="text1"/>
          <w:sz w:val="16"/>
          <w:szCs w:val="16"/>
        </w:rPr>
        <w:t xml:space="preserve">производство </w:t>
      </w:r>
      <w:r w:rsidRPr="00E14102">
        <w:rPr>
          <w:color w:val="000000" w:themeColor="text1"/>
          <w:sz w:val="16"/>
          <w:szCs w:val="16"/>
        </w:rPr>
        <w:t>и проводит испытания авиадизеля Н-3. В настоящее время с дизеля уже снята мощность 400 л.с. при расходе горючего около 190 грамм/л.с. в час /проектная мотность 500 л.с. и расход горючего 160 грамм на л.с. в час/. Работа двигателя во все время испытаний протекала совершенно нормально, после 15 часовой работы, осмотр разобранного для проверки мотора показал, что все детали его в полной исправности.</w:t>
      </w:r>
    </w:p>
    <w:p w14:paraId="33B247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Достигнутые результаты позволяют уже с успехом использовать данный дизель для оснащения танков и дирижаблей. По окончании испытаний и доводки авиадизель Н-3 явится первым авиадизелем в иССР, который может быть установлен на самолете.</w:t>
      </w:r>
    </w:p>
    <w:p w14:paraId="595FD1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Вследствие недостаточной производственной мощности и ограниченности средств института, им был построен только один экземпляр двигателя, что заставляет очень </w:t>
      </w:r>
      <w:r w:rsidRPr="00E14102">
        <w:rPr>
          <w:smallCaps/>
          <w:color w:val="000000" w:themeColor="text1"/>
          <w:sz w:val="16"/>
          <w:szCs w:val="16"/>
        </w:rPr>
        <w:t xml:space="preserve">осторожно </w:t>
      </w:r>
      <w:r w:rsidRPr="00E14102">
        <w:rPr>
          <w:color w:val="000000" w:themeColor="text1"/>
          <w:sz w:val="16"/>
          <w:szCs w:val="16"/>
        </w:rPr>
        <w:t>подходить к процессу испытаний и удлиняет сроки окончательной готовности дизеля.</w:t>
      </w:r>
    </w:p>
    <w:p w14:paraId="4BFA8F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Полученные результаты настолько значительны, что уже теперь поставить вопсос о производстве небольшой опытвой партии двигателей в количестве до 5-10 штук для эксплоатационной проверки и доводки. С этой задачей может справиться сам институт при условии отпуска соответствующих средств для производства этих рабои и помощи институту в его дооборудовании.</w:t>
      </w:r>
    </w:p>
    <w:p w14:paraId="665331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Поэтому считаю необходимым:</w:t>
      </w:r>
    </w:p>
    <w:p w14:paraId="209EBCE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Ассигновать институту 2 млн.руб. на изготовление 10 моторов Н-3.</w:t>
      </w:r>
    </w:p>
    <w:p w14:paraId="04C2267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Выделить в Ш квартале 1935 г. средств на дооборудование инситута в размере 1.000.000 рублей.</w:t>
      </w:r>
    </w:p>
    <w:p w14:paraId="274970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Обеспечить размещение заказов на специальных заводах /ХПЗ, ХТЗ, з-д № 26/ на изготовление крупных поковок /колен. вал, шатуны, цилиндры</w:t>
      </w:r>
      <w:r w:rsidRPr="00E14102">
        <w:rPr>
          <w:smallCaps/>
          <w:color w:val="000000" w:themeColor="text1"/>
          <w:sz w:val="16"/>
          <w:szCs w:val="16"/>
        </w:rPr>
        <w:t xml:space="preserve">/ </w:t>
      </w:r>
      <w:r w:rsidRPr="00E14102">
        <w:rPr>
          <w:color w:val="000000" w:themeColor="text1"/>
          <w:sz w:val="16"/>
          <w:szCs w:val="16"/>
        </w:rPr>
        <w:t>и крупного аллюминиевого литья /картера, блока,головки/.</w:t>
      </w:r>
    </w:p>
    <w:p w14:paraId="477A3C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Доукомплектование мастерских института недостающим обооудованием /металлообрабатывающих санков почти исключительно внутрисоюзного производства - 50 штук/.</w:t>
      </w:r>
    </w:p>
    <w:p w14:paraId="376439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Включение института на плановое снабжение инструментом  соответствующего класса точности наравне с заводами ГУАП"а.</w:t>
      </w:r>
    </w:p>
    <w:p w14:paraId="1AFC27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Прошу соответствующего решения по этому вопросу.</w:t>
      </w:r>
    </w:p>
    <w:p w14:paraId="5672DB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ГЛАВНОГО УПРАВЛЕНИЯ ТКАЧЕВ (3419,75).</w:t>
      </w:r>
    </w:p>
    <w:p w14:paraId="0F57519D" w14:textId="77777777" w:rsidR="00D4105E" w:rsidRPr="00E14102" w:rsidRDefault="00D4105E" w:rsidP="00E14102">
      <w:pPr>
        <w:autoSpaceDE w:val="0"/>
        <w:autoSpaceDN w:val="0"/>
        <w:adjustRightInd w:val="0"/>
        <w:jc w:val="both"/>
        <w:rPr>
          <w:color w:val="000000" w:themeColor="text1"/>
          <w:sz w:val="16"/>
          <w:szCs w:val="16"/>
        </w:rPr>
      </w:pPr>
    </w:p>
    <w:p w14:paraId="23E2B6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апреля 1935 Правительство утвердило план развития ВВС на 1935-1937 (556,31).</w:t>
      </w:r>
    </w:p>
    <w:p w14:paraId="4B6EC52C" w14:textId="77777777" w:rsidR="00D4105E" w:rsidRPr="00E14102" w:rsidRDefault="00D4105E" w:rsidP="00E14102">
      <w:pPr>
        <w:autoSpaceDE w:val="0"/>
        <w:autoSpaceDN w:val="0"/>
        <w:adjustRightInd w:val="0"/>
        <w:jc w:val="both"/>
        <w:rPr>
          <w:color w:val="000000" w:themeColor="text1"/>
          <w:sz w:val="16"/>
          <w:szCs w:val="16"/>
        </w:rPr>
      </w:pPr>
    </w:p>
    <w:p w14:paraId="738F08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апреля 1935 вышло постановление СТО N С-41 "План развития ВВС на 1935-1937 гг."</w:t>
      </w:r>
    </w:p>
    <w:p w14:paraId="5146A07F" w14:textId="77777777" w:rsidR="00D4105E" w:rsidRPr="00E14102" w:rsidRDefault="00D4105E" w:rsidP="00E14102">
      <w:pPr>
        <w:autoSpaceDE w:val="0"/>
        <w:autoSpaceDN w:val="0"/>
        <w:adjustRightInd w:val="0"/>
        <w:jc w:val="both"/>
        <w:rPr>
          <w:color w:val="000000" w:themeColor="text1"/>
          <w:sz w:val="16"/>
          <w:szCs w:val="16"/>
        </w:rPr>
      </w:pPr>
    </w:p>
    <w:p w14:paraId="1D87FB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апреля 1935 вышло постановление СТО N С-43 "О строительстве аэродинамических труб на Раменском участке" (2398,41).</w:t>
      </w:r>
    </w:p>
    <w:p w14:paraId="04C3B0E0" w14:textId="77777777" w:rsidR="00D4105E" w:rsidRPr="00E14102" w:rsidRDefault="00D4105E" w:rsidP="00E14102">
      <w:pPr>
        <w:autoSpaceDE w:val="0"/>
        <w:autoSpaceDN w:val="0"/>
        <w:adjustRightInd w:val="0"/>
        <w:jc w:val="both"/>
        <w:rPr>
          <w:color w:val="000000" w:themeColor="text1"/>
          <w:sz w:val="16"/>
          <w:szCs w:val="16"/>
        </w:rPr>
      </w:pPr>
    </w:p>
    <w:p w14:paraId="626545C8" w14:textId="77777777" w:rsidR="00DF734F" w:rsidRPr="00E14102" w:rsidRDefault="00DF734F" w:rsidP="00E14102">
      <w:pPr>
        <w:pStyle w:val="rtejustify"/>
        <w:spacing w:before="0" w:after="0"/>
        <w:rPr>
          <w:color w:val="000000" w:themeColor="text1"/>
          <w:sz w:val="16"/>
          <w:szCs w:val="16"/>
        </w:rPr>
      </w:pPr>
      <w:r w:rsidRPr="00E14102">
        <w:rPr>
          <w:rStyle w:val="a6"/>
          <w:bCs/>
          <w:i w:val="0"/>
          <w:color w:val="000000" w:themeColor="text1"/>
          <w:sz w:val="16"/>
          <w:szCs w:val="16"/>
        </w:rPr>
        <w:t>25 апреля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43сс «О строительстве аэродинамических труб на Раменском участке». (ГА РФ. Ф. Р</w:t>
      </w:r>
      <w:r w:rsidRPr="00E14102">
        <w:rPr>
          <w:color w:val="000000" w:themeColor="text1"/>
          <w:sz w:val="16"/>
          <w:szCs w:val="16"/>
        </w:rPr>
        <w:noBreakHyphen/>
        <w:t>8418. Оп. 28. Д. 6. Л. 140) (15460).</w:t>
      </w:r>
    </w:p>
    <w:p w14:paraId="623303A3" w14:textId="77777777" w:rsidR="00DF734F" w:rsidRPr="00E14102" w:rsidRDefault="00DF734F" w:rsidP="00E14102">
      <w:pPr>
        <w:pStyle w:val="rtejustify"/>
        <w:spacing w:before="0" w:after="0"/>
        <w:rPr>
          <w:color w:val="000000" w:themeColor="text1"/>
          <w:sz w:val="16"/>
          <w:szCs w:val="16"/>
        </w:rPr>
      </w:pPr>
    </w:p>
    <w:p w14:paraId="5A1F79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апреля 1935 вышло постановление СТО N С-44сс "О (мобилизационных) мощностях по авиапромышленности на 1935-1937 гг." В.М.М. (2161,125).</w:t>
      </w:r>
    </w:p>
    <w:p w14:paraId="047E61B0" w14:textId="77777777" w:rsidR="00D4105E" w:rsidRPr="00E14102" w:rsidRDefault="00D4105E" w:rsidP="00E14102">
      <w:pPr>
        <w:autoSpaceDE w:val="0"/>
        <w:autoSpaceDN w:val="0"/>
        <w:adjustRightInd w:val="0"/>
        <w:jc w:val="both"/>
        <w:rPr>
          <w:color w:val="000000" w:themeColor="text1"/>
          <w:sz w:val="16"/>
          <w:szCs w:val="16"/>
        </w:rPr>
      </w:pPr>
    </w:p>
    <w:p w14:paraId="7F764C10" w14:textId="77777777" w:rsidR="00DF734F" w:rsidRPr="00E14102" w:rsidRDefault="00DF734F" w:rsidP="00E14102">
      <w:pPr>
        <w:autoSpaceDE w:val="0"/>
        <w:autoSpaceDN w:val="0"/>
        <w:adjustRightInd w:val="0"/>
        <w:jc w:val="both"/>
        <w:rPr>
          <w:color w:val="000000" w:themeColor="text1"/>
          <w:sz w:val="16"/>
          <w:szCs w:val="16"/>
        </w:rPr>
      </w:pPr>
      <w:r w:rsidRPr="00E14102">
        <w:rPr>
          <w:color w:val="000000" w:themeColor="text1"/>
          <w:sz w:val="16"/>
          <w:szCs w:val="16"/>
        </w:rPr>
        <w:t>25 апреля 1935 вышло постановление СТО N С-42 "О развитии гражданской авиации" (2161,98).</w:t>
      </w:r>
    </w:p>
    <w:p w14:paraId="78510BAD" w14:textId="77777777" w:rsidR="00DF734F" w:rsidRPr="00E14102" w:rsidRDefault="00DF734F" w:rsidP="00E14102">
      <w:pPr>
        <w:autoSpaceDE w:val="0"/>
        <w:autoSpaceDN w:val="0"/>
        <w:adjustRightInd w:val="0"/>
        <w:jc w:val="both"/>
        <w:rPr>
          <w:color w:val="000000" w:themeColor="text1"/>
          <w:sz w:val="16"/>
          <w:szCs w:val="16"/>
        </w:rPr>
      </w:pPr>
      <w:r w:rsidRPr="00E14102">
        <w:rPr>
          <w:color w:val="000000" w:themeColor="text1"/>
          <w:sz w:val="16"/>
          <w:szCs w:val="16"/>
        </w:rPr>
        <w:t>"1. Определить план развития ГВФ на 1938 в 3500 самолетов (из них 500 учебных) и 5000 моторов (для всех гражданских организаций, в т.ч. Севморпути)"</w:t>
      </w:r>
    </w:p>
    <w:p w14:paraId="5839F471" w14:textId="77777777" w:rsidR="00DF734F" w:rsidRPr="00E14102" w:rsidRDefault="00DF734F" w:rsidP="00E14102">
      <w:pPr>
        <w:autoSpaceDE w:val="0"/>
        <w:autoSpaceDN w:val="0"/>
        <w:adjustRightInd w:val="0"/>
        <w:jc w:val="both"/>
        <w:rPr>
          <w:color w:val="000000" w:themeColor="text1"/>
          <w:sz w:val="16"/>
          <w:szCs w:val="16"/>
        </w:rPr>
      </w:pPr>
      <w:r w:rsidRPr="00E14102">
        <w:rPr>
          <w:color w:val="000000" w:themeColor="text1"/>
          <w:sz w:val="16"/>
          <w:szCs w:val="16"/>
        </w:rPr>
        <w:t>2. В течение 1936-1937 обновить самолетный парк Осоавиахима в 600 учебных машин (2398,40).</w:t>
      </w:r>
    </w:p>
    <w:p w14:paraId="426371FC" w14:textId="77777777" w:rsidR="00DF734F" w:rsidRPr="00E14102" w:rsidRDefault="00DF734F" w:rsidP="00E14102">
      <w:pPr>
        <w:autoSpaceDE w:val="0"/>
        <w:autoSpaceDN w:val="0"/>
        <w:adjustRightInd w:val="0"/>
        <w:jc w:val="both"/>
        <w:rPr>
          <w:color w:val="000000" w:themeColor="text1"/>
          <w:sz w:val="16"/>
          <w:szCs w:val="16"/>
        </w:rPr>
      </w:pPr>
    </w:p>
    <w:p w14:paraId="7C18AFB4" w14:textId="77777777" w:rsidR="00DF734F" w:rsidRPr="00E14102" w:rsidRDefault="00DF734F" w:rsidP="00E14102">
      <w:pPr>
        <w:pStyle w:val="rtejustify"/>
        <w:spacing w:before="0" w:after="0"/>
        <w:rPr>
          <w:color w:val="000000" w:themeColor="text1"/>
          <w:sz w:val="16"/>
          <w:szCs w:val="16"/>
        </w:rPr>
      </w:pPr>
      <w:r w:rsidRPr="00E14102">
        <w:rPr>
          <w:rStyle w:val="a6"/>
          <w:bCs/>
          <w:i w:val="0"/>
          <w:color w:val="000000" w:themeColor="text1"/>
          <w:sz w:val="16"/>
          <w:szCs w:val="16"/>
        </w:rPr>
        <w:t>25 апреля</w:t>
      </w:r>
      <w:r w:rsidRPr="00E14102">
        <w:rPr>
          <w:color w:val="000000" w:themeColor="text1"/>
          <w:sz w:val="16"/>
          <w:szCs w:val="16"/>
        </w:rPr>
        <w:t xml:space="preserve">. </w:t>
      </w:r>
      <w:hyperlink r:id="rId83" w:history="1">
        <w:r w:rsidRPr="00E14102">
          <w:rPr>
            <w:rStyle w:val="a4"/>
            <w:color w:val="000000" w:themeColor="text1"/>
            <w:sz w:val="16"/>
            <w:szCs w:val="16"/>
            <w:u w:val="none"/>
          </w:rPr>
          <w:t>Постановление СТО СССР № С</w:t>
        </w:r>
        <w:r w:rsidRPr="00E14102">
          <w:rPr>
            <w:rStyle w:val="a4"/>
            <w:color w:val="000000" w:themeColor="text1"/>
            <w:sz w:val="16"/>
            <w:szCs w:val="16"/>
            <w:u w:val="none"/>
          </w:rPr>
          <w:noBreakHyphen/>
          <w:t>44сс «О мощностях по авиапромышленности на 1935</w:t>
        </w:r>
        <w:r w:rsidRPr="00E14102">
          <w:rPr>
            <w:rStyle w:val="a4"/>
            <w:color w:val="000000" w:themeColor="text1"/>
            <w:sz w:val="16"/>
            <w:szCs w:val="16"/>
            <w:u w:val="none"/>
          </w:rPr>
          <w:noBreakHyphen/>
          <w:t>1937 гг.»</w:t>
        </w:r>
      </w:hyperlink>
      <w:r w:rsidRPr="00E14102">
        <w:rPr>
          <w:color w:val="000000" w:themeColor="text1"/>
          <w:sz w:val="16"/>
          <w:szCs w:val="16"/>
        </w:rPr>
        <w:t>. (ГА РФ. Ф. Р</w:t>
      </w:r>
      <w:r w:rsidRPr="00E14102">
        <w:rPr>
          <w:color w:val="000000" w:themeColor="text1"/>
          <w:sz w:val="16"/>
          <w:szCs w:val="16"/>
        </w:rPr>
        <w:noBreakHyphen/>
        <w:t>8418. Он. 28. Д. 6. Л. 141</w:t>
      </w:r>
      <w:r w:rsidRPr="00E14102">
        <w:rPr>
          <w:color w:val="000000" w:themeColor="text1"/>
          <w:sz w:val="16"/>
          <w:szCs w:val="16"/>
        </w:rPr>
        <w:noBreakHyphen/>
        <w:t>145) (15460).</w:t>
      </w:r>
    </w:p>
    <w:p w14:paraId="5A198074" w14:textId="77777777" w:rsidR="00DF734F" w:rsidRPr="00E14102" w:rsidRDefault="00DF734F" w:rsidP="00E14102">
      <w:pPr>
        <w:pStyle w:val="rtejustify"/>
        <w:spacing w:before="0" w:after="0"/>
        <w:rPr>
          <w:color w:val="000000" w:themeColor="text1"/>
          <w:sz w:val="16"/>
          <w:szCs w:val="16"/>
        </w:rPr>
      </w:pPr>
    </w:p>
    <w:p w14:paraId="1F61C9EB" w14:textId="77777777" w:rsidR="00DF734F" w:rsidRPr="00E14102" w:rsidRDefault="00DF734F" w:rsidP="00E14102">
      <w:pPr>
        <w:jc w:val="both"/>
        <w:rPr>
          <w:rStyle w:val="a6"/>
          <w:i w:val="0"/>
          <w:color w:val="000000" w:themeColor="text1"/>
          <w:sz w:val="16"/>
          <w:szCs w:val="16"/>
        </w:rPr>
      </w:pPr>
      <w:r w:rsidRPr="00E14102">
        <w:rPr>
          <w:rStyle w:val="a6"/>
          <w:i w:val="0"/>
          <w:color w:val="000000" w:themeColor="text1"/>
          <w:sz w:val="16"/>
          <w:szCs w:val="16"/>
        </w:rPr>
        <w:t xml:space="preserve">25 апреля 1935 г. </w:t>
      </w:r>
      <w:r w:rsidRPr="00E14102">
        <w:rPr>
          <w:color w:val="000000" w:themeColor="text1"/>
          <w:sz w:val="16"/>
          <w:szCs w:val="16"/>
        </w:rPr>
        <w:t>Постановление СТО СССР № С-44сс «О мощностях по авиапромышленности на 1935-1937 гг.»</w:t>
      </w:r>
    </w:p>
    <w:p w14:paraId="058C05CE" w14:textId="77777777" w:rsidR="00DF734F" w:rsidRPr="00E14102" w:rsidRDefault="00DF734F"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67C7639C"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Совет труда и обороны постановляет:</w:t>
      </w:r>
    </w:p>
    <w:p w14:paraId="67454537"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1. Во исполнение решения СТО от 15 апреля 1935 г., утвердить развитие мощностей по авиационной промышленности к концу 1937 г. по моторам в 77 тыс. и самолетам в 27 тыс. (в том числе для всей гражданской авиации и Осоавиахима 3 тыс. самолетов и 5 тыс. моторов).</w:t>
      </w:r>
    </w:p>
    <w:p w14:paraId="677D3E3F"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lastRenderedPageBreak/>
        <w:t>2. В соответствии с этим утвердить предложения НКТП по достройке, расширению и постройке новых заводов (см. приложение № 1)¹*. Для развертывания этих работ отпустить НКТПрому сверх его лимитов из резервного фонда СНК СССР на 1935 г. 200 млн. руб., из коих 65 млн. руб. отпустить во II квартале. (Распределение 200 млн. руб. по заводам см. приложение № 2).</w:t>
      </w:r>
    </w:p>
    <w:p w14:paraId="4AC9ECF9"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3. Передать заводы №№ 81, 84 и 85 со всеми ассигнованиями и фондами из ГУГВФ ГУАПу НКТП.</w:t>
      </w:r>
    </w:p>
    <w:p w14:paraId="3F94F07D"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4. НКТПрому в трехмесячный срок разработать и представить на утверждение СТО объем работ и размер необходимых капиталовложений как по строительству самолетомоторных заводов, так и по смежным производствам на 1936</w:t>
      </w:r>
      <w:r w:rsidRPr="00E14102">
        <w:rPr>
          <w:color w:val="000000" w:themeColor="text1"/>
          <w:sz w:val="16"/>
          <w:szCs w:val="16"/>
        </w:rPr>
        <w:noBreakHyphen/>
        <w:t>1937 гг.</w:t>
      </w:r>
    </w:p>
    <w:p w14:paraId="4FDAB1B1"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5. НКТПрому в месячный срок представить план создания ремонтных баз и дублирования производства отдельных важных агрегатов, как то: приборы, электрооборудование, винты, вооружение, карбюраторы и т. д.</w:t>
      </w:r>
    </w:p>
    <w:p w14:paraId="13DFBBAE"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6. НКПС и НКВоду приравнять перевозки стройматериалов и оборудования для реконструируемых и строящихся заводов ГУАПа к перевозкам НКОбороны.</w:t>
      </w:r>
    </w:p>
    <w:p w14:paraId="092FB6AA"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7. Разрешить НКТПрому вести строительство заводов ГУАПа и НКФину финансировать его без представления технических проектов и смет до января 1936 г.</w:t>
      </w:r>
    </w:p>
    <w:p w14:paraId="067F50EF"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8. Комиссии в составе тт. Оржоникидзе (председатель), Тухачевского, Егорова, Алксниса, Королева, Орлова, Марголина, Бергстрема и Галкина разработать предложения по постройке нового завода гидросамолетостроения в районе Мурманска мощностью 300 гидросамолетов разных типов, а также по расширению 126</w:t>
      </w:r>
      <w:r w:rsidRPr="00E14102">
        <w:rPr>
          <w:color w:val="000000" w:themeColor="text1"/>
          <w:sz w:val="16"/>
          <w:szCs w:val="16"/>
        </w:rPr>
        <w:noBreakHyphen/>
        <w:t>го завода в Комсомольске для производства гидросамолетов разных типов мощностью до 500 единиц. Срок работы — 2 декады.</w:t>
      </w:r>
    </w:p>
    <w:p w14:paraId="5D5084A3"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9. При размещении плана заказов по самолетам и моторам на 1936 г. предусмотреть наибольшую загрузку новых заводов для освоения производства.</w:t>
      </w:r>
    </w:p>
    <w:p w14:paraId="74FD5AAC"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10. Установить, что основным типом мотора для внедрения в серийное производство является М</w:t>
      </w:r>
      <w:r w:rsidRPr="00E14102">
        <w:rPr>
          <w:color w:val="000000" w:themeColor="text1"/>
          <w:sz w:val="16"/>
          <w:szCs w:val="16"/>
        </w:rPr>
        <w:noBreakHyphen/>
        <w:t>100 («Испано-Сюиза»). Обязать т. Королева обеспечить личным руководством и контролем осуществление этой задачи в наикратчайший срок.</w:t>
      </w:r>
    </w:p>
    <w:p w14:paraId="368C632F" w14:textId="77777777" w:rsidR="00DF734F" w:rsidRPr="00E14102" w:rsidRDefault="00DF734F"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Председатель Совета труда и обороны В. Молотов</w:t>
      </w:r>
    </w:p>
    <w:p w14:paraId="42C5CEBA" w14:textId="77777777" w:rsidR="00DF734F" w:rsidRPr="00E14102" w:rsidRDefault="00DF734F"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39988871" w14:textId="77777777" w:rsidR="00DF734F" w:rsidRPr="00E14102" w:rsidRDefault="00DF734F"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Примечание</w:t>
      </w:r>
      <w:r w:rsidRPr="00E14102">
        <w:rPr>
          <w:rFonts w:ascii="Times New Roman" w:hAnsi="Times New Roman" w:cs="Times New Roman"/>
          <w:color w:val="000000" w:themeColor="text1"/>
          <w:sz w:val="16"/>
          <w:szCs w:val="16"/>
          <w:lang w:val="ru-RU"/>
        </w:rPr>
        <w:t>:</w:t>
      </w:r>
    </w:p>
    <w:p w14:paraId="2BB72CD8" w14:textId="77777777" w:rsidR="00DF734F" w:rsidRPr="00E14102" w:rsidRDefault="00DF734F" w:rsidP="00E14102">
      <w:pPr>
        <w:pStyle w:val="rtejustify"/>
        <w:spacing w:before="0" w:after="0"/>
        <w:rPr>
          <w:color w:val="000000" w:themeColor="text1"/>
          <w:sz w:val="16"/>
          <w:szCs w:val="16"/>
        </w:rPr>
      </w:pPr>
      <w:r w:rsidRPr="00E14102">
        <w:rPr>
          <w:color w:val="000000" w:themeColor="text1"/>
          <w:sz w:val="16"/>
          <w:szCs w:val="16"/>
        </w:rPr>
        <w:t>¹* Приложения не публикуются (см. там же, л. 143</w:t>
      </w:r>
      <w:r w:rsidRPr="00E14102">
        <w:rPr>
          <w:color w:val="000000" w:themeColor="text1"/>
          <w:sz w:val="16"/>
          <w:szCs w:val="16"/>
        </w:rPr>
        <w:noBreakHyphen/>
        <w:t>145).</w:t>
      </w:r>
    </w:p>
    <w:p w14:paraId="2D40337C" w14:textId="77777777" w:rsidR="00DF734F" w:rsidRPr="00E14102" w:rsidRDefault="00DF734F" w:rsidP="00E14102">
      <w:pPr>
        <w:pStyle w:val="ad"/>
        <w:spacing w:before="0" w:after="0"/>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lang w:val="ru-RU"/>
        </w:rPr>
        <w:t xml:space="preserve">ГА РФ. Ф. Р-8418. Оп. 28. Д. 6. Л. 141-142. </w:t>
      </w:r>
      <w:r w:rsidRPr="00E14102">
        <w:rPr>
          <w:rFonts w:ascii="Times New Roman" w:hAnsi="Times New Roman" w:cs="Times New Roman"/>
          <w:color w:val="000000" w:themeColor="text1"/>
          <w:sz w:val="16"/>
          <w:szCs w:val="16"/>
        </w:rPr>
        <w:t>Подлинник (15245).</w:t>
      </w:r>
    </w:p>
    <w:p w14:paraId="1303EDCC" w14:textId="77777777" w:rsidR="00DF734F" w:rsidRPr="00E14102" w:rsidRDefault="00DF734F" w:rsidP="00E14102">
      <w:pPr>
        <w:pStyle w:val="rtejustify"/>
        <w:spacing w:before="0" w:after="0"/>
        <w:rPr>
          <w:rStyle w:val="a6"/>
          <w:bCs/>
          <w:i w:val="0"/>
          <w:color w:val="000000" w:themeColor="text1"/>
          <w:sz w:val="16"/>
          <w:szCs w:val="16"/>
        </w:rPr>
      </w:pPr>
    </w:p>
    <w:p w14:paraId="18C6651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E2186EB" w14:textId="77777777" w:rsidR="00D4105E" w:rsidRPr="00E14102" w:rsidRDefault="00D4105E" w:rsidP="00E14102">
      <w:pPr>
        <w:autoSpaceDE w:val="0"/>
        <w:autoSpaceDN w:val="0"/>
        <w:adjustRightInd w:val="0"/>
        <w:jc w:val="both"/>
        <w:rPr>
          <w:iCs/>
          <w:color w:val="000000" w:themeColor="text1"/>
          <w:sz w:val="16"/>
          <w:szCs w:val="16"/>
        </w:rPr>
      </w:pPr>
    </w:p>
    <w:p w14:paraId="37418B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апреля 1935 К.Е.В. дал добро на изготовление 3-х комплектов каждого танка БТ ИС. Первый делали на харьковском танкоремонтном заводе 48, но 185 опытный в Ленинграде отказался изготавливать катковую гусеницу для второго варианта (3879,24).</w:t>
      </w:r>
    </w:p>
    <w:p w14:paraId="6883862B" w14:textId="77777777" w:rsidR="00D4105E" w:rsidRPr="00E14102" w:rsidRDefault="00D4105E" w:rsidP="00E14102">
      <w:pPr>
        <w:autoSpaceDE w:val="0"/>
        <w:autoSpaceDN w:val="0"/>
        <w:adjustRightInd w:val="0"/>
        <w:jc w:val="both"/>
        <w:rPr>
          <w:color w:val="000000" w:themeColor="text1"/>
          <w:sz w:val="16"/>
          <w:szCs w:val="16"/>
        </w:rPr>
      </w:pPr>
    </w:p>
    <w:p w14:paraId="18BF124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25 апреля 1935 г. К. Ворошилов отдал распоряжение об изготовлении 3 экз. каждого танка Цыганова — «БТ-ИС» и БТ конструкции четвертого танкового полка. Получив «добро» нарко</w:t>
      </w:r>
      <w:r w:rsidRPr="00E14102">
        <w:rPr>
          <w:color w:val="000000" w:themeColor="text1"/>
          <w:sz w:val="16"/>
          <w:szCs w:val="16"/>
        </w:rPr>
        <w:softHyphen/>
        <w:t>ма, работы по созданию танка БТ-ИС пошли более интен</w:t>
      </w:r>
      <w:r w:rsidRPr="00E14102">
        <w:rPr>
          <w:color w:val="000000" w:themeColor="text1"/>
          <w:sz w:val="16"/>
          <w:szCs w:val="16"/>
        </w:rPr>
        <w:softHyphen/>
        <w:t>сивно. Правда, опытный завод Спецмаштреста, занятый ра</w:t>
      </w:r>
      <w:r w:rsidRPr="00E14102">
        <w:rPr>
          <w:color w:val="000000" w:themeColor="text1"/>
          <w:sz w:val="16"/>
          <w:szCs w:val="16"/>
        </w:rPr>
        <w:softHyphen/>
        <w:t>ботами по Т-29, изготовить ходовую часть для танка второго варианта не смог, и это направление было предано забвению. Справедливости ради следует отметить, что ходовая часть танка БТ-ИС второго образца удивительным образом напоминает таковую у танка ГУВП, разработанную еще на заре деятельности советских танкостроителей. Трудно ска</w:t>
      </w:r>
      <w:r w:rsidRPr="00E14102">
        <w:rPr>
          <w:color w:val="000000" w:themeColor="text1"/>
          <w:sz w:val="16"/>
          <w:szCs w:val="16"/>
        </w:rPr>
        <w:softHyphen/>
        <w:t>зать, является ли это заимствованием, однако такое предпо</w:t>
      </w:r>
      <w:r w:rsidRPr="00E14102">
        <w:rPr>
          <w:color w:val="000000" w:themeColor="text1"/>
          <w:sz w:val="16"/>
          <w:szCs w:val="16"/>
        </w:rPr>
        <w:softHyphen/>
        <w:t>ложение нельзя списывать со счетов, особенно в развитии последующей истории с танком БТ-СВ «черепаха». Постройка опытного образца танка БТ-ИС велась спешным порядком силами трех сборочных бригад Орла, Богуславского и Донченко под общим руководством комб</w:t>
      </w:r>
      <w:r w:rsidRPr="00E14102">
        <w:rPr>
          <w:color w:val="000000" w:themeColor="text1"/>
          <w:sz w:val="16"/>
          <w:szCs w:val="16"/>
        </w:rPr>
        <w:softHyphen/>
        <w:t>рига Лисицына, и во второй половине июня 1935 г. они до</w:t>
      </w:r>
      <w:r w:rsidRPr="00E14102">
        <w:rPr>
          <w:color w:val="000000" w:themeColor="text1"/>
          <w:sz w:val="16"/>
          <w:szCs w:val="16"/>
        </w:rPr>
        <w:softHyphen/>
        <w:t>ложили о готовности опытного образца к испытаниям (10733,360).</w:t>
      </w:r>
    </w:p>
    <w:p w14:paraId="752C6A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40772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25 апреля 1935 г., получив письмо Якира от 23 апреля, К.Е.Ворошилов в тот же день дал добро «на изготовление трех комплектов каждого танка». И если работа по изготовлению танка БТ по первому варианту была организована на харьковском танкоремонтном заводе № 48, то изготовить катковую гусеницу для БТ ленинградский Опытный завод № 185 отказался. Получив всестороннюю поддержку высшего руководства РККА, группа энтузиастов в автобронетанковых мастерских ХВО с удвоенной силой приступила к созданию опытного образца. Принимая во внимание всю важность изобретения Н.Ф.Цыганова, начальник мастерских, друг и боевой товарищ Николая Островского, по гражданской войне, герой его некогда известного романа, комбриг Н.Н. Лисицин взял на себя общее руководство по изготовлению машины БТ-2-ИС. </w:t>
      </w:r>
    </w:p>
    <w:p w14:paraId="6CB9FE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утра и до поздней ночи самоотверженно трудились и главный инженер мастерских Срыбнис, и танко-техник Аронсон, и конструктор Васильев. Три сборочных бригады под руководством Орла, Богуславского и Данченко в сжатые сроки осуществили к июню 1935 г. монтаж опытного танка. В отличие от серийного танка БТ-2, опытный образец отличался прежде всего, отсутствием вооружения, измененной конструкцией корпуса и установкой нового дополнительного привода на вторую, третью и четвертую пары опорных катков, являвшихся ведущими при движении танка на колесном ходу. Первая пара опорных катков, как и на серийной машине, была управляемой. Подвод крутящего момента к трем парам ведущих колес колесного хода осуществлялся от бортовых редукторов через полужесткую зубчатую муфту к валу угловой коробки и через муфту на промежуточный валик и вторую муфту к валу первой верхней коробки. От верхней коробки крутящий момент передавался последовательно ко второй и третьей верхним коробкам. От верхних коробок через телескопические карданные валы крутящий момент передавался к колесным редукторам опорных катков. В результате установки дополнительного привода в межбортовом пространстве, а также дополнительного топливного бака в корме танка, корпус машины претерпел некоторые изменения. Кроме того, была введена бронировка дополнительного привода. Помимо дополнительного привода в межбортовом пространстве были установлены дополнительные топливные баки (по одному с каждой стороны). В ходовой части машины были изменены балансиры опорных катков, элементы подвески и ведущие колеса гусеничного движителя. Все лето и осень ушли на испытания и доработку опытной машины. О достигнутых положительных результатах, полученных во время испытаний БТ-2-ИС, 15 ноября 1935 г. было доложено Наркому Обороны. Вскоре К.Е. Ворошилов и Г.К. Орджоникидзе подписали совместный приказ, обязывающий руководство ХПЗ оказать всемерную помощь группе Цыганова в дальнейшем проведении работ по усовершенствованию колесно-гусеничного хода танка БТ. И если «консервативные» военные всячески поддерживали идею Н.Ф.Цыганова, то, как показал ход дальнейших событий, руководство ХПЗ осталось, мягко говоря, равнодушным к ней. Ведь кому нужна была «чужая головная боль». Но это уже другая история, связанная в основном с созданием танков БТ-5-ИС и БТ-СВ. Нам же остается лишь констатировать, что танк БТ-2-ИС по сравнению с базовыми танками обладал более высокой маневренностью при движении на колесах и повышенной живучестью на поле боя при повреждениях ходовой части, однако надежность привода к колесам еще была низка. Танк БТ-2-ИС был изготовлен в единственном экземпляре (11715).</w:t>
      </w:r>
    </w:p>
    <w:p w14:paraId="3652E92C" w14:textId="77777777" w:rsidR="00D4105E" w:rsidRPr="00E14102" w:rsidRDefault="00D4105E" w:rsidP="00E14102">
      <w:pPr>
        <w:autoSpaceDE w:val="0"/>
        <w:autoSpaceDN w:val="0"/>
        <w:adjustRightInd w:val="0"/>
        <w:jc w:val="both"/>
        <w:rPr>
          <w:color w:val="000000" w:themeColor="text1"/>
          <w:sz w:val="16"/>
          <w:szCs w:val="16"/>
        </w:rPr>
      </w:pPr>
    </w:p>
    <w:p w14:paraId="25C811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апреля 1935 была заложена третья подложка девятой серии Н-3 сданная только в июле 1938 (4145,30).</w:t>
      </w:r>
    </w:p>
    <w:p w14:paraId="075177A4" w14:textId="77777777" w:rsidR="00D4105E" w:rsidRPr="00E14102" w:rsidRDefault="00D4105E" w:rsidP="00E14102">
      <w:pPr>
        <w:autoSpaceDE w:val="0"/>
        <w:autoSpaceDN w:val="0"/>
        <w:adjustRightInd w:val="0"/>
        <w:jc w:val="both"/>
        <w:rPr>
          <w:color w:val="000000" w:themeColor="text1"/>
          <w:sz w:val="16"/>
          <w:szCs w:val="16"/>
        </w:rPr>
      </w:pPr>
    </w:p>
    <w:p w14:paraId="5B6777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апреля 1935 г. была заложена головная лодка Л-13, построенная на заводе 189 и окончательно собранная на заводе 202 во Владивостоке. 2 августа 1936 г. она была спущена на воду и вступила в строй в октябре 1938 г. В 1935—1939 гг. эти же заводы совместно построи</w:t>
      </w:r>
      <w:r w:rsidRPr="00E14102">
        <w:rPr>
          <w:color w:val="000000" w:themeColor="text1"/>
          <w:sz w:val="16"/>
          <w:szCs w:val="16"/>
        </w:rPr>
        <w:softHyphen/>
        <w:t>ли и сдали ВМФ лодки Л-14, Л-18 и Л-19, а николаевский завод 198 (им. А. Марти) вместе с заводом 202 — лодки Л-15 — Л-17. На испытаниях при стрельбе из носовых торпедных аппаратов выяви</w:t>
      </w:r>
      <w:r w:rsidRPr="00E14102">
        <w:rPr>
          <w:color w:val="000000" w:themeColor="text1"/>
          <w:sz w:val="16"/>
          <w:szCs w:val="16"/>
        </w:rPr>
        <w:softHyphen/>
        <w:t>лось задевание торпед за корпус, что потребовало переделки носо</w:t>
      </w:r>
      <w:r w:rsidRPr="00E14102">
        <w:rPr>
          <w:color w:val="000000" w:themeColor="text1"/>
          <w:sz w:val="16"/>
          <w:szCs w:val="16"/>
        </w:rPr>
        <w:softHyphen/>
        <w:t>вой части (наибольшая длина сократилась до 83,3 м). Время сроч</w:t>
      </w:r>
      <w:r w:rsidRPr="00E14102">
        <w:rPr>
          <w:color w:val="000000" w:themeColor="text1"/>
          <w:sz w:val="16"/>
          <w:szCs w:val="16"/>
        </w:rPr>
        <w:softHyphen/>
        <w:t>ного погружения составило 60 с, стоимость серийной лодки до</w:t>
      </w:r>
      <w:r w:rsidRPr="00E14102">
        <w:rPr>
          <w:color w:val="000000" w:themeColor="text1"/>
          <w:sz w:val="16"/>
          <w:szCs w:val="16"/>
        </w:rPr>
        <w:softHyphen/>
        <w:t>стигла 13 млн руб. (3898).</w:t>
      </w:r>
    </w:p>
    <w:p w14:paraId="2B5CF720" w14:textId="77777777" w:rsidR="00D4105E" w:rsidRPr="00E14102" w:rsidRDefault="00D4105E" w:rsidP="00E14102">
      <w:pPr>
        <w:autoSpaceDE w:val="0"/>
        <w:autoSpaceDN w:val="0"/>
        <w:adjustRightInd w:val="0"/>
        <w:jc w:val="both"/>
        <w:rPr>
          <w:color w:val="000000" w:themeColor="text1"/>
          <w:sz w:val="16"/>
          <w:szCs w:val="16"/>
        </w:rPr>
      </w:pPr>
    </w:p>
    <w:p w14:paraId="2881436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2033916" w14:textId="77777777" w:rsidR="00D4105E" w:rsidRPr="00E14102" w:rsidRDefault="00D4105E" w:rsidP="00E14102">
      <w:pPr>
        <w:autoSpaceDE w:val="0"/>
        <w:autoSpaceDN w:val="0"/>
        <w:adjustRightInd w:val="0"/>
        <w:jc w:val="both"/>
        <w:rPr>
          <w:iCs/>
          <w:color w:val="000000" w:themeColor="text1"/>
          <w:sz w:val="16"/>
          <w:szCs w:val="16"/>
        </w:rPr>
      </w:pPr>
    </w:p>
    <w:p w14:paraId="50B1A7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26 апреля 1935 «Жур</w:t>
      </w:r>
      <w:r w:rsidRPr="00E14102">
        <w:rPr>
          <w:color w:val="000000" w:themeColor="text1"/>
          <w:sz w:val="16"/>
          <w:szCs w:val="16"/>
        </w:rPr>
        <w:softHyphen/>
        <w:t>нал полётов ОЭЛИД ЦАГИ» за 1935 г. свидетельствует, что «МГ» летал в тече</w:t>
      </w:r>
      <w:r w:rsidRPr="00E14102">
        <w:rPr>
          <w:color w:val="000000" w:themeColor="text1"/>
          <w:sz w:val="16"/>
          <w:szCs w:val="16"/>
        </w:rPr>
        <w:softHyphen/>
        <w:t>ние 1 час 20 мин — это была «проба новых моторов». Через день, 28 апреля, в течение 55 мин опробовали радиоустановку «Голос с неба». При этом в каждом из этих полётов в течение 30 минут гигант сопровождали еще два самолёта: И-5 № 4304 {лётчик Н.П. Благин) и Р-5 № 5524 {лётчик И.Ф. Козлов с кинооператором). Этим документально под</w:t>
      </w:r>
      <w:r w:rsidRPr="00E14102">
        <w:rPr>
          <w:color w:val="000000" w:themeColor="text1"/>
          <w:sz w:val="16"/>
          <w:szCs w:val="16"/>
        </w:rPr>
        <w:softHyphen/>
        <w:t>тверждено, что к киносъёмке «МГ» готовились долго и тщательно. Прежде всего, это сле</w:t>
      </w:r>
      <w:r w:rsidRPr="00E14102">
        <w:rPr>
          <w:color w:val="000000" w:themeColor="text1"/>
          <w:sz w:val="16"/>
          <w:szCs w:val="16"/>
        </w:rPr>
        <w:softHyphen/>
        <w:t>дует из того, что кинооператора вывозил сам легендарный «начлёт» (начальник лётной части ОЭЛИД ЦАГИ) «Фролыч» —ле</w:t>
      </w:r>
      <w:r w:rsidRPr="00E14102">
        <w:rPr>
          <w:color w:val="000000" w:themeColor="text1"/>
          <w:sz w:val="16"/>
          <w:szCs w:val="16"/>
        </w:rPr>
        <w:softHyphen/>
        <w:t>гендарный Иван Фролович Козлов, как его тогда называли, «гроза нару</w:t>
      </w:r>
      <w:r w:rsidRPr="00E14102">
        <w:rPr>
          <w:color w:val="000000" w:themeColor="text1"/>
          <w:sz w:val="16"/>
          <w:szCs w:val="16"/>
        </w:rPr>
        <w:softHyphen/>
        <w:t>шителей лётной дисциплины и воз</w:t>
      </w:r>
      <w:r w:rsidRPr="00E14102">
        <w:rPr>
          <w:color w:val="000000" w:themeColor="text1"/>
          <w:sz w:val="16"/>
          <w:szCs w:val="16"/>
        </w:rPr>
        <w:softHyphen/>
        <w:t>душных хулиганов». Уже одно это снимает с Благина все обвинения в «воздушном хулиганстве».</w:t>
      </w:r>
    </w:p>
    <w:p w14:paraId="4A7C874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 самое поразительное даже не это. По правилам НКВД подготовки к воздушному параду после гене</w:t>
      </w:r>
      <w:r w:rsidRPr="00E14102">
        <w:rPr>
          <w:color w:val="000000" w:themeColor="text1"/>
          <w:sz w:val="16"/>
          <w:szCs w:val="16"/>
        </w:rPr>
        <w:softHyphen/>
        <w:t>ральной репетиции в последней де</w:t>
      </w:r>
      <w:r w:rsidRPr="00E14102">
        <w:rPr>
          <w:color w:val="000000" w:themeColor="text1"/>
          <w:sz w:val="16"/>
          <w:szCs w:val="16"/>
        </w:rPr>
        <w:softHyphen/>
        <w:t>каде апреля все самолёты, участво</w:t>
      </w:r>
      <w:r w:rsidRPr="00E14102">
        <w:rPr>
          <w:color w:val="000000" w:themeColor="text1"/>
          <w:sz w:val="16"/>
          <w:szCs w:val="16"/>
        </w:rPr>
        <w:softHyphen/>
        <w:t>вавшие в параде, опечатывались, выставлялась охрана, и даже собственный экипаж не мог подойти к нему без сопровождения чекиста. И кто в таких условиях мог разре</w:t>
      </w:r>
      <w:r w:rsidRPr="00E14102">
        <w:rPr>
          <w:color w:val="000000" w:themeColor="text1"/>
          <w:sz w:val="16"/>
          <w:szCs w:val="16"/>
        </w:rPr>
        <w:softHyphen/>
        <w:t>шить дважды поднимать в воздух флагмана парадной колонны для киносъёмки в опасной близости от гиганта?</w:t>
      </w:r>
    </w:p>
    <w:p w14:paraId="265D9C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Очевидно, что ни от авиапро</w:t>
      </w:r>
      <w:r w:rsidRPr="00E14102">
        <w:rPr>
          <w:color w:val="000000" w:themeColor="text1"/>
          <w:sz w:val="16"/>
          <w:szCs w:val="16"/>
        </w:rPr>
        <w:softHyphen/>
        <w:t>мышленности, ни от ВВС таким правом не обладал никто — ни в отсутствие А.Н. Туполева дирек</w:t>
      </w:r>
      <w:r w:rsidRPr="00E14102">
        <w:rPr>
          <w:color w:val="000000" w:themeColor="text1"/>
          <w:sz w:val="16"/>
          <w:szCs w:val="16"/>
        </w:rPr>
        <w:softHyphen/>
        <w:t>тор ЦАГИ Н.М. Харламов, ни на</w:t>
      </w:r>
      <w:r w:rsidRPr="00E14102">
        <w:rPr>
          <w:color w:val="000000" w:themeColor="text1"/>
          <w:sz w:val="16"/>
          <w:szCs w:val="16"/>
        </w:rPr>
        <w:softHyphen/>
        <w:t>чальник УВВС РККА Я.И. Алкснис. Разрешить такие полёты мог либо Начальник НКВД Г. Ягода, либо кто-то из его ближайших помощ</w:t>
      </w:r>
      <w:r w:rsidRPr="00E14102">
        <w:rPr>
          <w:color w:val="000000" w:themeColor="text1"/>
          <w:sz w:val="16"/>
          <w:szCs w:val="16"/>
        </w:rPr>
        <w:softHyphen/>
        <w:t>ников, отвечавших за безопас</w:t>
      </w:r>
      <w:r w:rsidRPr="00E14102">
        <w:rPr>
          <w:color w:val="000000" w:themeColor="text1"/>
          <w:sz w:val="16"/>
          <w:szCs w:val="16"/>
        </w:rPr>
        <w:softHyphen/>
        <w:t>ность воздушного парада. Могли ли они проявить инициативу? Ни в коем случае. Чиновники от НКВД могли действовать только по указанию свыше, а выше НКВД в нашей стране были всего двое — господь бог, которого в СССР официально не признавали и его наместник на земле тов. Сталин. Что хотел увидеть И.В. Сталин в небе Москвы? На этот вопрос, разумеется, достоверный ответ мы уже не получим, но некоторые свидетельства заставляют задуматься.</w:t>
      </w:r>
    </w:p>
    <w:p w14:paraId="7050B7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Вот что написал ветеран ОКБ А.Н. Туполева М.Б. Саукке в монографии «Максим Горь</w:t>
      </w:r>
      <w:r w:rsidRPr="00E14102">
        <w:rPr>
          <w:color w:val="000000" w:themeColor="text1"/>
          <w:sz w:val="16"/>
          <w:szCs w:val="16"/>
        </w:rPr>
        <w:softHyphen/>
        <w:t>кий»: «В середине 30-х годов во Франции было модно выполнять легкоатлетические уп</w:t>
      </w:r>
      <w:r w:rsidRPr="00E14102">
        <w:rPr>
          <w:color w:val="000000" w:themeColor="text1"/>
          <w:sz w:val="16"/>
          <w:szCs w:val="16"/>
        </w:rPr>
        <w:softHyphen/>
        <w:t>ражнения на снарядах, установленных над верхней поверхностью фюзеляжа летящего самолета. Для этой цели на «палубе» фюзеляжа устанавливался тот или иной легкоат</w:t>
      </w:r>
      <w:r w:rsidRPr="00E14102">
        <w:rPr>
          <w:color w:val="000000" w:themeColor="text1"/>
          <w:sz w:val="16"/>
          <w:szCs w:val="16"/>
        </w:rPr>
        <w:softHyphen/>
        <w:t>летический снаряд— кольцо, брусья, турник, — и отважный спортсмен выполнял голо</w:t>
      </w:r>
      <w:r w:rsidRPr="00E14102">
        <w:rPr>
          <w:color w:val="000000" w:themeColor="text1"/>
          <w:sz w:val="16"/>
          <w:szCs w:val="16"/>
        </w:rPr>
        <w:softHyphen/>
        <w:t>вокружительные упражнения во время полёта самолёта. Говорят, что Сталин любил смотреть такие кадры. Поэтому вполне вероятно, что какой-то очень-очень высокопоста</w:t>
      </w:r>
      <w:r w:rsidRPr="00E14102">
        <w:rPr>
          <w:color w:val="000000" w:themeColor="text1"/>
          <w:sz w:val="16"/>
          <w:szCs w:val="16"/>
        </w:rPr>
        <w:softHyphen/>
        <w:t>вленный невежа-холуй решил порадовать любимого вождя. Ну что там французы... То ли дело у нас. Маленький, вёрткий самолётик назойливой мухой колобродит вокруг гиган</w:t>
      </w:r>
      <w:r w:rsidRPr="00E14102">
        <w:rPr>
          <w:color w:val="000000" w:themeColor="text1"/>
          <w:sz w:val="16"/>
          <w:szCs w:val="16"/>
        </w:rPr>
        <w:softHyphen/>
        <w:t>та. Где еще такое можно увидеть? Смотри и гордись...» (Саукке М.Б. Самолет-гигант «Максим Горький». М., 2004. С. 112.) (11696).</w:t>
      </w:r>
    </w:p>
    <w:p w14:paraId="63A6E4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493E8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апреля 1935 г. Громов впервые после смены моторов поднял гиганта в воздух. За правым штурвалом у него сидел Михеев. Часть технического состава тоже была из агит- эскадрильи. За один раз собирались решить три задачи: проверить поведение самолета после ремонта, поучить Михеева и обеспечить проведение киносъемки. Для контраста в полет с МГ выпустили маленький маневренный истребитель-биплан И-5 с пилотом Н.П. Благиным. Кинооператор сидел в задней кабине биплана Р-5, который пилотировал начальник летной части ОЭЛИД И.Ф. Козлов. На все ушло час двадцать.</w:t>
      </w:r>
    </w:p>
    <w:p w14:paraId="0941D3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Через день - новый полет. В воздухе опробовали фомкоговоритель "Голос с неба" и опять вели киносъемку. В сопровождении находились опять И-5 и Р-5 с теми же людьми.</w:t>
      </w:r>
    </w:p>
    <w:p w14:paraId="3D6E6A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Далее началась подготовка к традиционному первомайскому параду. Как же можно было не показать на нем такое достижение страны, как "Максим Горький". Но возникло неожиданное препятствие. Накануне Громову на спектакле стало плохо, и он уехал домой. Но, кроме него, никто еще не сидел на левом кресле АНТ-20, никто не летал самостоятельно. Во всех предыдущих полетах Журов и Михеев только исполняли обязанности второго пилота.</w:t>
      </w:r>
    </w:p>
    <w:p w14:paraId="4FFC59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Громов все-таки рискнул. Он пришел на аэродром (благо, жил недалеко, на Беговой улице) и поднял самолет в воздух. Вторым пилотом у него летел Михеев. Кроме обычной команды инженеров и техников на борту находился М.Е. Кольцов. "Максим Горький" благополучно пролетел над Красной площадью в сопровождении пары истребителей и столь же благополучно приземлился на Центральном аэродроме. Громов зашел домой пообедать...и угодил в больницу, где ему сделали операцию. Больше он на АНТ-20 не летал. Во всех последующих полетах в левом кресле сидел Н.С. Журов, в правом - И.В. Михеев. 15 мая самолет демонстрировали депутатам Моссовета и другим важным лицам. Для них организовали катание в воздухе - машина совершила круг над Центральным аэродромом. Среди почетных гостей оказался известный французский летчик и писатель Ан- туан де Сент-Экзюпери, вто время - московский корреспондент одной из парижских газет. Позже он написал: "Эти коридоры, этот салон, эти кабины, этот мощный гул восьми моторов, эта внутренняя телефонная связь - все было не похоже на привычную для меня воздушную обстановку" (12024).</w:t>
      </w:r>
    </w:p>
    <w:p w14:paraId="1F0949D8" w14:textId="77777777" w:rsidR="00D4105E" w:rsidRPr="00E14102" w:rsidRDefault="00D4105E" w:rsidP="00E14102">
      <w:pPr>
        <w:autoSpaceDE w:val="0"/>
        <w:autoSpaceDN w:val="0"/>
        <w:adjustRightInd w:val="0"/>
        <w:jc w:val="both"/>
        <w:rPr>
          <w:color w:val="000000" w:themeColor="text1"/>
          <w:sz w:val="16"/>
          <w:szCs w:val="16"/>
        </w:rPr>
      </w:pPr>
    </w:p>
    <w:p w14:paraId="33270B38" w14:textId="77777777" w:rsidR="005E660C" w:rsidRPr="00E14102" w:rsidRDefault="005E660C" w:rsidP="00E14102">
      <w:pPr>
        <w:shd w:val="clear" w:color="auto" w:fill="FFFFFF"/>
        <w:jc w:val="both"/>
        <w:rPr>
          <w:color w:val="0070C0"/>
          <w:sz w:val="16"/>
          <w:szCs w:val="16"/>
        </w:rPr>
      </w:pPr>
      <w:r w:rsidRPr="00E14102">
        <w:rPr>
          <w:color w:val="0070C0"/>
          <w:sz w:val="16"/>
          <w:szCs w:val="16"/>
        </w:rPr>
        <w:t>26 апреля 1936 Политбюро рассмотрело материалы комиссии Молотова по авиационной промышленности. Если производство самолетов и моторов в 1936 и 1937 гг. предполагалось с небольшим увеличением (1936 г. - 4987 самолетов и 3400 запасных моторов, 1937 г. - 5556 самолетов и 3915 запасных моторов), то подача на год войны определялась в динамике на 1936 г. - 17 тыс. самолетов, на 1937 г. - 27 тыс. самолетов (Протокол № 24 заседания Политбюро ЦК ВКП(б), 26 апреля 1935 г. (особый), приложение № 1 к п. 172 // РГА СПИ. Ф. 17. Оп. 162. Д 18. Л. 11) (22725).</w:t>
      </w:r>
    </w:p>
    <w:p w14:paraId="7BE628BA" w14:textId="77777777" w:rsidR="005E660C" w:rsidRPr="00E14102" w:rsidRDefault="005E660C" w:rsidP="00E14102">
      <w:pPr>
        <w:shd w:val="clear" w:color="auto" w:fill="FFFFFF"/>
        <w:jc w:val="both"/>
        <w:rPr>
          <w:color w:val="0070C0"/>
          <w:sz w:val="16"/>
          <w:szCs w:val="16"/>
        </w:rPr>
      </w:pPr>
    </w:p>
    <w:p w14:paraId="4262B0F2" w14:textId="77777777" w:rsidR="00DF734F" w:rsidRPr="00E14102" w:rsidRDefault="00DF734F" w:rsidP="00E14102">
      <w:pPr>
        <w:pStyle w:val="rtejustify"/>
        <w:spacing w:before="0" w:after="0"/>
        <w:rPr>
          <w:color w:val="000000" w:themeColor="text1"/>
          <w:sz w:val="16"/>
          <w:szCs w:val="16"/>
        </w:rPr>
      </w:pPr>
      <w:r w:rsidRPr="00E14102">
        <w:rPr>
          <w:rStyle w:val="a6"/>
          <w:bCs/>
          <w:i w:val="0"/>
          <w:color w:val="000000" w:themeColor="text1"/>
          <w:sz w:val="16"/>
          <w:szCs w:val="16"/>
        </w:rPr>
        <w:t>26 апреля</w:t>
      </w:r>
      <w:r w:rsidRPr="00E14102">
        <w:rPr>
          <w:color w:val="000000" w:themeColor="text1"/>
          <w:sz w:val="16"/>
          <w:szCs w:val="16"/>
        </w:rPr>
        <w:t>1935 Решение Политбюро № 24. 4. О расширении Горьковского автозавода им. Молотова (постановление СНК СССР и ЦК ВКП (б)) (ПБ от 5 апреля 1935 г.). — ОП. 5. О торговом соглашении с Италией (ПБ от 7 апреля 1935 г.). — ОП. 13. Вопрос НКОбороны (ПБ от 22 марта 1935 г., пр. № 23, п. 183</w:t>
      </w:r>
      <w:r w:rsidRPr="00E14102">
        <w:rPr>
          <w:color w:val="000000" w:themeColor="text1"/>
          <w:sz w:val="16"/>
          <w:szCs w:val="16"/>
        </w:rPr>
        <w:noBreakHyphen/>
        <w:t>2.) — ОП. 15. Вопросы КО (ПБ от 8 апреля 1935 г.). — ОП. 66. Вопрос Ворошилова (ПБ от 26 января 1935 г., пр. № 20, п. 129.), (ПБ от 9 апреля 1935 г.). — ОП. 107. О заказах в Германии (ПБ от 16 апреля 1935 г.). — ОП. 119. Об отпуске средств на бронирование авиабензобаков и о награждении Стеженского (ПБ от 19 апреля 1935 г.). 172. Об авиапромышленности (ПБ от 22 апреля 1935 г.). — ОП. 184. Об оборудовании для ЗИС (ПБ от 23 марта 1935 г., пр. № 23, п. 189.). (Политбюро ЦК РКП(б)-ВКП(Б). Повестки дня заседаний. 1919</w:t>
      </w:r>
      <w:r w:rsidRPr="00E14102">
        <w:rPr>
          <w:color w:val="000000" w:themeColor="text1"/>
          <w:sz w:val="16"/>
          <w:szCs w:val="16"/>
        </w:rPr>
        <w:noBreakHyphen/>
        <w:t>1952: Каталог / Т. 2. С. 639, 640, 641, 642, 643, 644; РГАСПП. Ф. 17. Оп. 162. Д. 18. Л. 1, 3, 7, 9, 10</w:t>
      </w:r>
      <w:r w:rsidRPr="00E14102">
        <w:rPr>
          <w:color w:val="000000" w:themeColor="text1"/>
          <w:sz w:val="16"/>
          <w:szCs w:val="16"/>
        </w:rPr>
        <w:noBreakHyphen/>
        <w:t>16.) (15462).</w:t>
      </w:r>
    </w:p>
    <w:p w14:paraId="5F2B06B5" w14:textId="77777777" w:rsidR="00DF734F" w:rsidRPr="00E14102" w:rsidRDefault="00DF734F" w:rsidP="00E14102">
      <w:pPr>
        <w:pStyle w:val="rtejustify"/>
        <w:spacing w:before="0" w:after="0"/>
        <w:rPr>
          <w:rStyle w:val="a6"/>
          <w:bCs/>
          <w:i w:val="0"/>
          <w:color w:val="000000" w:themeColor="text1"/>
          <w:sz w:val="16"/>
          <w:szCs w:val="16"/>
        </w:rPr>
      </w:pPr>
    </w:p>
    <w:p w14:paraId="10AD42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апреля (273,311) 1935 СТО принял решение о начале строительства труб нового ЦАГИ (80,40).</w:t>
      </w:r>
    </w:p>
    <w:p w14:paraId="61EDF4AF" w14:textId="77777777" w:rsidR="00D4105E" w:rsidRPr="00E14102" w:rsidRDefault="00D4105E" w:rsidP="00E14102">
      <w:pPr>
        <w:autoSpaceDE w:val="0"/>
        <w:autoSpaceDN w:val="0"/>
        <w:adjustRightInd w:val="0"/>
        <w:jc w:val="both"/>
        <w:rPr>
          <w:color w:val="000000" w:themeColor="text1"/>
          <w:sz w:val="16"/>
          <w:szCs w:val="16"/>
        </w:rPr>
      </w:pPr>
    </w:p>
    <w:p w14:paraId="00D0D5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26-27 апреля 1935 В.Л.Расторгуев установил рекорд продолжительности полета с пассажиром - 26:29 на Ш-5 в Крыму (438,683).</w:t>
      </w:r>
    </w:p>
    <w:p w14:paraId="66941B94" w14:textId="77777777" w:rsidR="00D4105E" w:rsidRPr="00E14102" w:rsidRDefault="00D4105E" w:rsidP="00E14102">
      <w:pPr>
        <w:autoSpaceDE w:val="0"/>
        <w:autoSpaceDN w:val="0"/>
        <w:adjustRightInd w:val="0"/>
        <w:jc w:val="both"/>
        <w:rPr>
          <w:color w:val="000000" w:themeColor="text1"/>
          <w:sz w:val="16"/>
          <w:szCs w:val="16"/>
        </w:rPr>
      </w:pPr>
    </w:p>
    <w:p w14:paraId="5AF2DB7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1DAAD0A" w14:textId="77777777" w:rsidR="00D4105E" w:rsidRPr="00E14102" w:rsidRDefault="00D4105E" w:rsidP="00E14102">
      <w:pPr>
        <w:autoSpaceDE w:val="0"/>
        <w:autoSpaceDN w:val="0"/>
        <w:adjustRightInd w:val="0"/>
        <w:jc w:val="both"/>
        <w:rPr>
          <w:iCs/>
          <w:color w:val="000000" w:themeColor="text1"/>
          <w:sz w:val="16"/>
          <w:szCs w:val="16"/>
        </w:rPr>
      </w:pPr>
    </w:p>
    <w:p w14:paraId="2D2D2AAE" w14:textId="77777777" w:rsidR="00545EDE" w:rsidRPr="00E14102" w:rsidRDefault="00545EDE" w:rsidP="00E14102">
      <w:pPr>
        <w:pStyle w:val="ad"/>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26 апреля 1935 года была утверждена Программа заводских испытаний Т-46. Всего предполагалось преодолеть 2000 км как на гусеницах, так и на колёсах. На практике же к 27 августа 1935 года танк прошёл 6 км на гусеницах и 150 км на колёсах. На гусеничном ходу испытания не задались. Вопреки предупреждению завода «Красный Треугольник» о том, что траки шириной 280 мм слишком узкие, опытная машина всё равно получила именно их. Кроме того, шаг траков не соответствовал шагу ведущего колеса — в результате происходило набегание гусеницы на венец и соскакивание с него. Нормального сцепления с грунтом гусеница не обеспечивала. Завод №185 пытался подогнать венец ведущего колеса к тракам, но было очевидно, что этого недостаточно. По предложению заместителя начальника 7-го отдела АБТУ КА бригинженера В. Свиридова провели проверку на предмет использования траков от среднего танка Т-28. В итоге реализовали именно это предложение. Конечно, масса машины возрастала на 426 кг, но использование гусеницы Т-28 решало целый ряд проблем. С новыми гусеницами существенно снижалось удельное давление на грунт, что было важно с точки зрения проходимости. Что же касается эталонной машины, то она должна была получить облегчённый трак. На колёсном ходу удалось развить максимальную скорость 52 км/ч. При этом машина двигалась на 3-й передаче, поскольку 4-ю передачу выбивало.</w:t>
      </w:r>
    </w:p>
    <w:p w14:paraId="38CB2B14" w14:textId="77777777" w:rsidR="00545EDE" w:rsidRPr="00E14102" w:rsidRDefault="00545EDE" w:rsidP="00E14102">
      <w:pPr>
        <w:pStyle w:val="ad"/>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 итогам заводских испытаний был составлен большой список исправлений, которые вносились как в опытную машину, так и в эталонный экземпляр. Правки явно пошли на пользу: в ходе дальнейших заводских испытаний, которые продолжались до 4 октября, машина прошла существенно большее расстояние. Общий пробег к тому моменту составил 1020 км, из них 374 на колёсах (369 км по шоссе и 6 км по просёлку) и 646 км на гусеничном ходу (574 км по шоссе, 40 км по просёлку и 22 км по целине). Помимо куда большей дистанции пробега, положительным моментом оказались результаты замера максимальной скорости, которая существенно превзошла расчётные данные. На колёсах танк развил максимальную скорость 82 км/ч, при этом до 73 км/ч машина разогналась за 40 секунд — не каждый автомобиль в то время мог похвастаться подобными данными. Максимальная скорость на гусеничном ходу составила 56,3 км/ч, при этом до 51,5 км/ч машина разогналась за 35 секунд. Средняя скорость по шоссе на колёсном ходу составила 40-50 км/ч, а на гусеницах — 35-45 км/ч.</w:t>
      </w:r>
    </w:p>
    <w:p w14:paraId="65407E3F" w14:textId="77777777" w:rsidR="00545EDE" w:rsidRPr="00E14102" w:rsidRDefault="00545EDE" w:rsidP="00E14102">
      <w:pPr>
        <w:pStyle w:val="ad"/>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Хуже ситуация оказалась при движении на колёсном ходу по просёлку. В теории средняя скорость по просёлку составила 30-35 км/ч, но при условии, что под колёсами был твёрдый сухой грунт. Если же машина переходила на мягкий грунт, то двигаться дальше оказывалось невозможно. Машина буксовала и быстро «закапывалась» ведущими колёсами. Также как минимум один раз танк улетал в кювет при езде по просёлку. Справедливости ради, БТ-7 в таких же условиях также не мог нормально перемещаться по просёлку. К тому же удельное давление Т-46 было существенно ниже. Куда увереннее в подобных условиях вёл себя БТ-ИС, имевший привод на три пары опорных катков.</w:t>
      </w:r>
    </w:p>
    <w:p w14:paraId="76382ADF" w14:textId="77777777" w:rsidR="00545EDE" w:rsidRPr="00E14102" w:rsidRDefault="00545EDE" w:rsidP="00E14102">
      <w:pPr>
        <w:pStyle w:val="ad"/>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Намного увереннее Т-46 вёл себя на гусеничном ходу. На сыром вязком грунте танк спокойно преодолел 20-градусный подъём, при этом на первых испытаниях (ещё на оригинальной гусенице) Т-46 буксовал. Идея использовать гусеницы от Т-28 оказалась удачной: с ними машина двигалась куда увереннее. На короткой дистанции удалось преодолеть подъём крутизной 34 градуса. Также машина спокойно преодолевала косогор с 20-градусным креном. На заводских испытаниях Т-46 преодолел вертикальную стенку высотой 0,8 м, но встал на дыбы и ударился передней частью о землю. Повреждений танк не получил, но механик-водитель ударился головой об угольник приборного щитка.</w:t>
      </w:r>
    </w:p>
    <w:p w14:paraId="63D1B41B" w14:textId="77777777" w:rsidR="00545EDE" w:rsidRPr="00E14102" w:rsidRDefault="00545EDE" w:rsidP="00E14102">
      <w:pPr>
        <w:pStyle w:val="ad"/>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Итоги заводских испытаний были признаны вполне успешными. Машина хорошо показала себя на бездорожье, достойными оказались и динамические характеристики. Запас хода на колёсном ходу составил 350-400 км, а на гусеницах — 175-200 км. Правда, при этом возникла масса вопросов к ряду узлов и агрегатов. Немало нареканий имелось к работе коробки передач, были зафиксированы замечания к подвеске, элементам трансмиссии и органам управления. Помимо надёжности, остро встал вопрос удобства обслуживания. При этом стоит отметить одну важную деталь: и у БТ, и у Т-29 наблюдалось повреждение бандажей опорных катков, а у Т-46 подобных дефектов не было. Забегая вперёд, отметим, что проблем с бандажами у Т-46 не возникало и в дальнейшем.</w:t>
      </w:r>
    </w:p>
    <w:p w14:paraId="7EF75CD3" w14:textId="77777777" w:rsidR="00545EDE" w:rsidRPr="00E14102" w:rsidRDefault="00545EDE" w:rsidP="00E14102">
      <w:pPr>
        <w:pStyle w:val="ad"/>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Довольно успешные итоги заводских испытаний дали основания для проведения следующего этапа тестов. 8 октября 1935 года заместитель наркома обороны М.Н. Тухачевский подписал приказ №0192 о проведении войсковых испытаний Т-29 и Т-46. К тому моменту Т-46 прошёл 1034 км (18689).</w:t>
      </w:r>
    </w:p>
    <w:p w14:paraId="72B115DE" w14:textId="77777777" w:rsidR="00545EDE" w:rsidRPr="00E14102" w:rsidRDefault="00545EDE" w:rsidP="00E14102">
      <w:pPr>
        <w:pStyle w:val="ad"/>
        <w:spacing w:before="0" w:after="0"/>
        <w:textAlignment w:val="baseline"/>
        <w:rPr>
          <w:rFonts w:ascii="Times New Roman" w:hAnsi="Times New Roman" w:cs="Times New Roman"/>
          <w:color w:val="000000" w:themeColor="text1"/>
          <w:sz w:val="16"/>
          <w:szCs w:val="16"/>
          <w:lang w:val="ru-RU"/>
        </w:rPr>
      </w:pPr>
    </w:p>
    <w:p w14:paraId="0EA0D2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апреля 1935 г. приказом Наркомата тяжелой промышленности СССР было создано Бюро по взаимозаменяемости в металло-электропромышленности (БВ). Постановлением Совета Народных Комиссаров СССР от 29 августа 1937 г. переименовано в Бюро взаимозаменяемости в металлообрабатывающей промышленности (БВ). Приказом Министерства станкостроительной и инструментальной промышленности СССР от 24 января 1980 г. преобразовано во Всесоюзный научно-исследовательский и конструкторский институт средств измерения в машиностроении (ВНИИизмерения) (12102).</w:t>
      </w:r>
    </w:p>
    <w:p w14:paraId="4AB34F91" w14:textId="77777777" w:rsidR="00DF734F" w:rsidRPr="00E14102" w:rsidRDefault="00DF734F" w:rsidP="00E14102">
      <w:pPr>
        <w:autoSpaceDE w:val="0"/>
        <w:autoSpaceDN w:val="0"/>
        <w:adjustRightInd w:val="0"/>
        <w:jc w:val="both"/>
        <w:rPr>
          <w:iCs/>
          <w:color w:val="000000" w:themeColor="text1"/>
          <w:sz w:val="16"/>
          <w:szCs w:val="16"/>
        </w:rPr>
      </w:pPr>
    </w:p>
    <w:p w14:paraId="5C004B5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256FE08" w14:textId="77777777" w:rsidR="00D4105E" w:rsidRPr="00E14102" w:rsidRDefault="00D4105E" w:rsidP="00E14102">
      <w:pPr>
        <w:autoSpaceDE w:val="0"/>
        <w:autoSpaceDN w:val="0"/>
        <w:adjustRightInd w:val="0"/>
        <w:jc w:val="both"/>
        <w:rPr>
          <w:iCs/>
          <w:color w:val="000000" w:themeColor="text1"/>
          <w:sz w:val="16"/>
          <w:szCs w:val="16"/>
        </w:rPr>
      </w:pPr>
    </w:p>
    <w:p w14:paraId="2E5C3F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26 апреля 1935 г. состоялось заседание правительства, на котором специально созданная 22 февраля комиссия по приемке всех сооружений доложила о полной готовности метро к работе (11614).</w:t>
      </w:r>
    </w:p>
    <w:p w14:paraId="240DBB85" w14:textId="77777777" w:rsidR="00D4105E" w:rsidRPr="00E14102" w:rsidRDefault="00D4105E" w:rsidP="00E14102">
      <w:pPr>
        <w:autoSpaceDE w:val="0"/>
        <w:autoSpaceDN w:val="0"/>
        <w:adjustRightInd w:val="0"/>
        <w:jc w:val="both"/>
        <w:rPr>
          <w:color w:val="000000" w:themeColor="text1"/>
          <w:sz w:val="16"/>
          <w:szCs w:val="16"/>
        </w:rPr>
      </w:pPr>
    </w:p>
    <w:p w14:paraId="3DDFB54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A3A6E70" w14:textId="77777777" w:rsidR="00D4105E" w:rsidRPr="00E14102" w:rsidRDefault="00D4105E" w:rsidP="00E14102">
      <w:pPr>
        <w:autoSpaceDE w:val="0"/>
        <w:autoSpaceDN w:val="0"/>
        <w:adjustRightInd w:val="0"/>
        <w:jc w:val="both"/>
        <w:rPr>
          <w:iCs/>
          <w:color w:val="000000" w:themeColor="text1"/>
          <w:sz w:val="16"/>
          <w:szCs w:val="16"/>
        </w:rPr>
      </w:pPr>
    </w:p>
    <w:p w14:paraId="3EAB8C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К.А.К. в Воронеже было 4 бригады - 3 из Харькова и одна местная - А.Я.Щербакова по буксировке планеров, созданная 27 апреля 1935 В августе 1935 бригаду перевели в Москву приказом ГУАП (70,249).</w:t>
      </w:r>
    </w:p>
    <w:p w14:paraId="56273A50" w14:textId="77777777" w:rsidR="00D4105E" w:rsidRPr="00E14102" w:rsidRDefault="00D4105E" w:rsidP="00E14102">
      <w:pPr>
        <w:autoSpaceDE w:val="0"/>
        <w:autoSpaceDN w:val="0"/>
        <w:adjustRightInd w:val="0"/>
        <w:jc w:val="both"/>
        <w:rPr>
          <w:color w:val="000000" w:themeColor="text1"/>
          <w:sz w:val="16"/>
          <w:szCs w:val="16"/>
        </w:rPr>
      </w:pPr>
    </w:p>
    <w:p w14:paraId="24E6C623" w14:textId="77777777" w:rsidR="005E660C" w:rsidRPr="00E14102" w:rsidRDefault="005E660C" w:rsidP="00E14102">
      <w:pPr>
        <w:shd w:val="clear" w:color="auto" w:fill="FFFFFF"/>
        <w:jc w:val="both"/>
        <w:rPr>
          <w:color w:val="0070C0"/>
          <w:sz w:val="16"/>
          <w:szCs w:val="16"/>
        </w:rPr>
      </w:pPr>
      <w:r w:rsidRPr="00E14102">
        <w:rPr>
          <w:color w:val="0070C0"/>
          <w:sz w:val="16"/>
          <w:szCs w:val="16"/>
        </w:rPr>
        <w:t>27 апреля 1935 года в Воронеже в ОКБ-18, возглавляемом К. А. Калининым, были образованы две бригады, задачами которых были перспективные разработки. А. Я. Щербаков возглавил одну из бригад, которая занималась планерами, запускаемыми в стратосферу с аэростата, в том числе и ракетами. Испытания моделей планера К-15 с твердотопливными ракетными двигателями началось на аэродроме подмосковных Подлипок в 1935 году. В августе 1935 года бригаду А. Я. Щербакова перевели в Москву приказом ГУАП, так как, несмотря на гибель "ОСОАВИАХИМ-1" и стратостата "СССР - 2", программу стратосферных исследований с целью повышения потолка рекордных высот надо было продолжать (23072).</w:t>
      </w:r>
    </w:p>
    <w:p w14:paraId="444BEE21" w14:textId="77777777" w:rsidR="005E660C" w:rsidRPr="00E14102" w:rsidRDefault="005E660C" w:rsidP="00E14102">
      <w:pPr>
        <w:shd w:val="clear" w:color="auto" w:fill="FFFFFF"/>
        <w:jc w:val="both"/>
        <w:rPr>
          <w:color w:val="0070C0"/>
          <w:sz w:val="16"/>
          <w:szCs w:val="16"/>
        </w:rPr>
      </w:pPr>
    </w:p>
    <w:p w14:paraId="39F4E621" w14:textId="77777777" w:rsidR="000A1D71" w:rsidRPr="00E14102" w:rsidRDefault="000A1D71" w:rsidP="00E14102">
      <w:pPr>
        <w:jc w:val="both"/>
        <w:rPr>
          <w:color w:val="000000" w:themeColor="text1"/>
          <w:sz w:val="16"/>
          <w:szCs w:val="16"/>
        </w:rPr>
      </w:pPr>
      <w:r w:rsidRPr="00E14102">
        <w:rPr>
          <w:color w:val="000000" w:themeColor="text1"/>
          <w:sz w:val="16"/>
          <w:szCs w:val="16"/>
        </w:rPr>
        <w:t>27 апреля 1935 г. на воронежском заводе была создана бригада по высотной буксировке планеров. В июле Щербакову удалось встретиться с Ворошиловым и получить его поддержку. Вскоре Щербакова перевели в Москву на авиазавод № 1, где он возглавил конструкторскую бригаду, преобразованную затем в Отдел специальных конструкций (ОСК). Для опытов были предоставлены самолёт П-5 и планеры конструкции В.К. Грибовского — одноместный Г-9 и двухместный Г-14.</w:t>
      </w:r>
    </w:p>
    <w:p w14:paraId="032D5C61" w14:textId="77777777" w:rsidR="000A1D71" w:rsidRPr="00E14102" w:rsidRDefault="000A1D71" w:rsidP="00E14102">
      <w:pPr>
        <w:jc w:val="both"/>
        <w:rPr>
          <w:color w:val="000000" w:themeColor="text1"/>
          <w:sz w:val="16"/>
          <w:szCs w:val="16"/>
        </w:rPr>
      </w:pPr>
      <w:r w:rsidRPr="00E14102">
        <w:rPr>
          <w:color w:val="000000" w:themeColor="text1"/>
          <w:sz w:val="16"/>
          <w:szCs w:val="16"/>
        </w:rPr>
        <w:t>Начали с разработки буксировочной лебёдки, которою необходимо было установить на самолёт П-5 и на второе место планера Г-14. Барабан лебёдки должен был вмещать до 7 км проволоки марки ОВС диаметром от 1,2 до 2 мм. Вес этой стальной нити составлял около 70 кг, то есть равнялся весу человека. В начале проволоки закреплялся трос длиной в 100 метров и диаметром 6 мм. При взлёте буксировочного поезда, когда в связи появляются повышенные нагрузки, использовался этот участок троса, затем планер удерживался на стальной проволоке. Лебёдка должна была иметь надёжный тормоз и устройство для измерения усилий в буксировочной связи.</w:t>
      </w:r>
    </w:p>
    <w:p w14:paraId="7E3DA749" w14:textId="77777777" w:rsidR="000A1D71" w:rsidRPr="00E14102" w:rsidRDefault="000A1D71" w:rsidP="00E14102">
      <w:pPr>
        <w:jc w:val="both"/>
        <w:rPr>
          <w:color w:val="000000" w:themeColor="text1"/>
          <w:sz w:val="16"/>
          <w:szCs w:val="16"/>
        </w:rPr>
      </w:pPr>
      <w:r w:rsidRPr="00E14102">
        <w:rPr>
          <w:color w:val="000000" w:themeColor="text1"/>
          <w:sz w:val="16"/>
          <w:szCs w:val="16"/>
        </w:rPr>
        <w:t>Лётные испытания начались летом 1935 г. Первый буксировочный поезд состоял из самолёта П-5 и планера Г-9. В полёте на высоте 1000 м была опробована лебёдка, выпущена проволока на 300–400 м и дана команда планеристу набирать максимальное превышение над самолётом. Эффект был поразительный: планер летел почти в зените над самолётом, имея 300 м превышения. В следующих восьми полётах техника буксировки совершенствовалась и высота полётов увеличивалась. В сентябре 1935 г. лётчик К.М. Венслав на Г-9 достиг высоты 7000 м, при этом он поднялся над буксирующим его самолётом на рекордные 4000 м. На этой высоте Венслав отцепил трос и спланировал к месту взлёта (17489).</w:t>
      </w:r>
    </w:p>
    <w:p w14:paraId="1E47A89D" w14:textId="77777777" w:rsidR="000A1D71" w:rsidRPr="00E14102" w:rsidRDefault="000A1D71" w:rsidP="00E14102">
      <w:pPr>
        <w:jc w:val="both"/>
        <w:rPr>
          <w:color w:val="000000" w:themeColor="text1"/>
          <w:sz w:val="16"/>
          <w:szCs w:val="16"/>
        </w:rPr>
      </w:pPr>
    </w:p>
    <w:p w14:paraId="3E1C5AA3" w14:textId="77777777" w:rsidR="00DF734F"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0CE039E" w14:textId="77777777" w:rsidR="00DF734F" w:rsidRPr="00E14102" w:rsidRDefault="00DF734F" w:rsidP="00E14102">
      <w:pPr>
        <w:autoSpaceDE w:val="0"/>
        <w:autoSpaceDN w:val="0"/>
        <w:adjustRightInd w:val="0"/>
        <w:jc w:val="both"/>
        <w:rPr>
          <w:iCs/>
          <w:color w:val="000000" w:themeColor="text1"/>
          <w:sz w:val="16"/>
          <w:szCs w:val="16"/>
        </w:rPr>
      </w:pPr>
    </w:p>
    <w:p w14:paraId="5A6DAD86" w14:textId="77777777" w:rsidR="00DF734F" w:rsidRPr="00E14102" w:rsidRDefault="00DF734F" w:rsidP="00E14102">
      <w:pPr>
        <w:pStyle w:val="rtejustify"/>
        <w:spacing w:before="0" w:after="0"/>
        <w:rPr>
          <w:color w:val="000000" w:themeColor="text1"/>
          <w:sz w:val="16"/>
          <w:szCs w:val="16"/>
        </w:rPr>
      </w:pPr>
      <w:r w:rsidRPr="00E14102">
        <w:rPr>
          <w:rStyle w:val="a6"/>
          <w:bCs/>
          <w:i w:val="0"/>
          <w:color w:val="000000" w:themeColor="text1"/>
          <w:sz w:val="16"/>
          <w:szCs w:val="16"/>
        </w:rPr>
        <w:t>27 апреля 1935 вышел приказ НКТП № 76с.</w:t>
      </w:r>
      <w:r w:rsidRPr="00E14102">
        <w:rPr>
          <w:color w:val="000000" w:themeColor="text1"/>
          <w:sz w:val="16"/>
          <w:szCs w:val="16"/>
        </w:rPr>
        <w:t xml:space="preserve"> Об обеспечении спецметаллом выполнения программы снарядных производств. (РГАЭ? Ф. 7297. Оп. 38. Д. 171. Л. 135) (15246).</w:t>
      </w:r>
    </w:p>
    <w:p w14:paraId="3CA6C173" w14:textId="77777777" w:rsidR="00DF734F" w:rsidRPr="00E14102" w:rsidRDefault="00DF734F" w:rsidP="00E14102">
      <w:pPr>
        <w:pStyle w:val="rtejustify"/>
        <w:spacing w:before="0" w:after="0"/>
        <w:rPr>
          <w:color w:val="000000" w:themeColor="text1"/>
          <w:sz w:val="16"/>
          <w:szCs w:val="16"/>
        </w:rPr>
      </w:pPr>
    </w:p>
    <w:p w14:paraId="6458357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2707E428" w14:textId="77777777" w:rsidR="00D4105E" w:rsidRPr="00E14102" w:rsidRDefault="00D4105E" w:rsidP="00E14102">
      <w:pPr>
        <w:autoSpaceDE w:val="0"/>
        <w:autoSpaceDN w:val="0"/>
        <w:adjustRightInd w:val="0"/>
        <w:jc w:val="both"/>
        <w:rPr>
          <w:iCs/>
          <w:color w:val="000000" w:themeColor="text1"/>
          <w:sz w:val="16"/>
          <w:szCs w:val="16"/>
        </w:rPr>
      </w:pPr>
    </w:p>
    <w:p w14:paraId="74C8A8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апреля 1935 года вышел приказ: "Приказываю:</w:t>
      </w:r>
    </w:p>
    <w:p w14:paraId="50FF90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для поверки фактического наличия, состояния хранения БХВ по состоянию на 1 мая с.г. во всех отдельных частях, полигонах, складах, институтах и учреждениях округа командирам этих частей назначить комиссии под своим личным председательством...</w:t>
      </w:r>
    </w:p>
    <w:p w14:paraId="77532B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Командующий войсками</w:t>
      </w:r>
    </w:p>
    <w:p w14:paraId="4CC687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Ленинградского военного округа Белов” (9065).</w:t>
      </w:r>
    </w:p>
    <w:p w14:paraId="7747B379" w14:textId="77777777" w:rsidR="00D4105E" w:rsidRPr="00E14102" w:rsidRDefault="00D4105E" w:rsidP="00E14102">
      <w:pPr>
        <w:autoSpaceDE w:val="0"/>
        <w:autoSpaceDN w:val="0"/>
        <w:adjustRightInd w:val="0"/>
        <w:jc w:val="both"/>
        <w:rPr>
          <w:color w:val="000000" w:themeColor="text1"/>
          <w:sz w:val="16"/>
          <w:szCs w:val="16"/>
        </w:rPr>
      </w:pPr>
    </w:p>
    <w:p w14:paraId="14BD2198" w14:textId="77777777" w:rsidR="00545EDE" w:rsidRPr="00E14102" w:rsidRDefault="00545EDE"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36BE88C7" w14:textId="77777777" w:rsidR="00545EDE" w:rsidRPr="00E14102" w:rsidRDefault="00545EDE" w:rsidP="00E14102">
      <w:pPr>
        <w:autoSpaceDE w:val="0"/>
        <w:autoSpaceDN w:val="0"/>
        <w:adjustRightInd w:val="0"/>
        <w:jc w:val="both"/>
        <w:rPr>
          <w:iCs/>
          <w:color w:val="000000" w:themeColor="text1"/>
          <w:sz w:val="16"/>
          <w:szCs w:val="16"/>
        </w:rPr>
      </w:pPr>
    </w:p>
    <w:p w14:paraId="46921BD9" w14:textId="77777777" w:rsidR="00A63CBF" w:rsidRPr="00E14102" w:rsidRDefault="00A63CBF" w:rsidP="00E14102">
      <w:pPr>
        <w:jc w:val="both"/>
        <w:rPr>
          <w:color w:val="000000" w:themeColor="text1"/>
          <w:sz w:val="16"/>
          <w:szCs w:val="16"/>
        </w:rPr>
      </w:pPr>
      <w:r w:rsidRPr="00E14102">
        <w:rPr>
          <w:color w:val="000000" w:themeColor="text1"/>
          <w:sz w:val="16"/>
          <w:szCs w:val="16"/>
        </w:rPr>
        <w:t>27 апреля 1935 г. Политбюро ЦК ВКП(б) был утвержден проект программы заказа по германскому кредиту в сумме 138 726 тыс. марок, в том числе для Наркомата обороны по 46 наименованиям изделий на сумму 10 млн. марок (19563).</w:t>
      </w:r>
    </w:p>
    <w:p w14:paraId="6E4340B3" w14:textId="77777777" w:rsidR="00A63CBF" w:rsidRPr="00E14102" w:rsidRDefault="00A63CBF" w:rsidP="00E14102">
      <w:pPr>
        <w:jc w:val="both"/>
        <w:rPr>
          <w:color w:val="000000" w:themeColor="text1"/>
          <w:sz w:val="16"/>
          <w:szCs w:val="16"/>
        </w:rPr>
      </w:pPr>
    </w:p>
    <w:p w14:paraId="2516104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A7C7526" w14:textId="77777777" w:rsidR="00D4105E" w:rsidRPr="00E14102" w:rsidRDefault="00D4105E" w:rsidP="00E14102">
      <w:pPr>
        <w:autoSpaceDE w:val="0"/>
        <w:autoSpaceDN w:val="0"/>
        <w:adjustRightInd w:val="0"/>
        <w:jc w:val="both"/>
        <w:rPr>
          <w:iCs/>
          <w:color w:val="000000" w:themeColor="text1"/>
          <w:sz w:val="16"/>
          <w:szCs w:val="16"/>
        </w:rPr>
      </w:pPr>
    </w:p>
    <w:p w14:paraId="73A713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 апреля 1935 «Жур</w:t>
      </w:r>
      <w:r w:rsidRPr="00E14102">
        <w:rPr>
          <w:color w:val="000000" w:themeColor="text1"/>
          <w:sz w:val="16"/>
          <w:szCs w:val="16"/>
        </w:rPr>
        <w:softHyphen/>
        <w:t>нал полётов ОЭЛИД ЦАГИ» за 1935 г. свидетельствует, что «МГ» в течение 55 мин опробовали радиоустановку «Голос с неба». При этом в каждом из этих полётов в течение 30 минут гигант сопровождали еще два самолёта: И-5 № 4304 (лётчик Н.П. Благин) и Р-5 № 5524 (лётчик И.Ф. Козлов с кинооператором). Этим документально под</w:t>
      </w:r>
      <w:r w:rsidRPr="00E14102">
        <w:rPr>
          <w:color w:val="000000" w:themeColor="text1"/>
          <w:sz w:val="16"/>
          <w:szCs w:val="16"/>
        </w:rPr>
        <w:softHyphen/>
        <w:t>тверждено, что к киносъёмке «МГ» готовились долго и тщательно. Прежде всего, это сле</w:t>
      </w:r>
      <w:r w:rsidRPr="00E14102">
        <w:rPr>
          <w:color w:val="000000" w:themeColor="text1"/>
          <w:sz w:val="16"/>
          <w:szCs w:val="16"/>
        </w:rPr>
        <w:softHyphen/>
        <w:t>дует из того, что кинооператора вывозил сам легендарный «начлёт» (начальник лётной части ОЭЛИД ЦАГИ) «Фролыч» —ле</w:t>
      </w:r>
      <w:r w:rsidRPr="00E14102">
        <w:rPr>
          <w:color w:val="000000" w:themeColor="text1"/>
          <w:sz w:val="16"/>
          <w:szCs w:val="16"/>
        </w:rPr>
        <w:softHyphen/>
        <w:t>гендарный Иван Фролович Козлов, как его тогда называли, «гроза нару</w:t>
      </w:r>
      <w:r w:rsidRPr="00E14102">
        <w:rPr>
          <w:color w:val="000000" w:themeColor="text1"/>
          <w:sz w:val="16"/>
          <w:szCs w:val="16"/>
        </w:rPr>
        <w:softHyphen/>
        <w:t>шителей лётной дисциплины и воз</w:t>
      </w:r>
      <w:r w:rsidRPr="00E14102">
        <w:rPr>
          <w:color w:val="000000" w:themeColor="text1"/>
          <w:sz w:val="16"/>
          <w:szCs w:val="16"/>
        </w:rPr>
        <w:softHyphen/>
        <w:t>душных хулиганов». Уже одно это снимает с Благина все обвинения в «воздушном хулиганстве».</w:t>
      </w:r>
    </w:p>
    <w:p w14:paraId="6BA27B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 самое поразительное даже не это. По правилам НКВД подготовки к воздушному параду после гене</w:t>
      </w:r>
      <w:r w:rsidRPr="00E14102">
        <w:rPr>
          <w:color w:val="000000" w:themeColor="text1"/>
          <w:sz w:val="16"/>
          <w:szCs w:val="16"/>
        </w:rPr>
        <w:softHyphen/>
        <w:t>ральной репетиции в последней де</w:t>
      </w:r>
      <w:r w:rsidRPr="00E14102">
        <w:rPr>
          <w:color w:val="000000" w:themeColor="text1"/>
          <w:sz w:val="16"/>
          <w:szCs w:val="16"/>
        </w:rPr>
        <w:softHyphen/>
        <w:t>каде апреля все самолёты, участво</w:t>
      </w:r>
      <w:r w:rsidRPr="00E14102">
        <w:rPr>
          <w:color w:val="000000" w:themeColor="text1"/>
          <w:sz w:val="16"/>
          <w:szCs w:val="16"/>
        </w:rPr>
        <w:softHyphen/>
        <w:t>вавшие в параде, опечатывались, выставлялась охрана, и даже собственный экипаж не мог подойти к нему без сопровождения чекиста. И кто в таких условиях мог разре</w:t>
      </w:r>
      <w:r w:rsidRPr="00E14102">
        <w:rPr>
          <w:color w:val="000000" w:themeColor="text1"/>
          <w:sz w:val="16"/>
          <w:szCs w:val="16"/>
        </w:rPr>
        <w:softHyphen/>
        <w:t>шить дважды поднимать в воздух флагмана парадной колонны для киносъёмки в опасной близости от гиганта?</w:t>
      </w:r>
    </w:p>
    <w:p w14:paraId="5375EF8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Очевидно, что ни от авиапро</w:t>
      </w:r>
      <w:r w:rsidRPr="00E14102">
        <w:rPr>
          <w:color w:val="000000" w:themeColor="text1"/>
          <w:sz w:val="16"/>
          <w:szCs w:val="16"/>
        </w:rPr>
        <w:softHyphen/>
        <w:t>мышленности, ни от ВВС таким правом не обладал никто — ни в отсутствие А.Н. Туполева дирек</w:t>
      </w:r>
      <w:r w:rsidRPr="00E14102">
        <w:rPr>
          <w:color w:val="000000" w:themeColor="text1"/>
          <w:sz w:val="16"/>
          <w:szCs w:val="16"/>
        </w:rPr>
        <w:softHyphen/>
        <w:t>тор ЦАГИ Н.М. Харламов, ни на</w:t>
      </w:r>
      <w:r w:rsidRPr="00E14102">
        <w:rPr>
          <w:color w:val="000000" w:themeColor="text1"/>
          <w:sz w:val="16"/>
          <w:szCs w:val="16"/>
        </w:rPr>
        <w:softHyphen/>
        <w:t>чальник УВВС РККА Я.И. Алкснис. Разрешить такие полёты мог либо Начальник НКВД Г. Ягода, либо кто-то из его ближайших помощ</w:t>
      </w:r>
      <w:r w:rsidRPr="00E14102">
        <w:rPr>
          <w:color w:val="000000" w:themeColor="text1"/>
          <w:sz w:val="16"/>
          <w:szCs w:val="16"/>
        </w:rPr>
        <w:softHyphen/>
        <w:t>ников, отвечавших за безопас</w:t>
      </w:r>
      <w:r w:rsidRPr="00E14102">
        <w:rPr>
          <w:color w:val="000000" w:themeColor="text1"/>
          <w:sz w:val="16"/>
          <w:szCs w:val="16"/>
        </w:rPr>
        <w:softHyphen/>
        <w:t>ность воздушного парада. Могли ли они проявить инициативу? Ни в коем случае. Чиновники от НКВД могли действовать только по указанию свыше, а выше НКВД в нашей стране были всего двое — господь бог, которого в СССР официально не признавали и его наместник на земле тов. Сталин. Что хотел увидеть И.В. Сталин в небе Москвы? На этот вопрос, разумеется, достоверный ответ мы уже не получим, но некоторые свидетельства заставляют задуматься.</w:t>
      </w:r>
    </w:p>
    <w:p w14:paraId="6E73C53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Вот что написал ветеран ОКБ А.Н. Туполева М.Б. Саукке в монографии «Максим Горь</w:t>
      </w:r>
      <w:r w:rsidRPr="00E14102">
        <w:rPr>
          <w:color w:val="000000" w:themeColor="text1"/>
          <w:sz w:val="16"/>
          <w:szCs w:val="16"/>
        </w:rPr>
        <w:softHyphen/>
        <w:t>кий»: «В середине 30-х годов во Франции было модно выполнять легкоатлетические уп</w:t>
      </w:r>
      <w:r w:rsidRPr="00E14102">
        <w:rPr>
          <w:color w:val="000000" w:themeColor="text1"/>
          <w:sz w:val="16"/>
          <w:szCs w:val="16"/>
        </w:rPr>
        <w:softHyphen/>
        <w:t>ражнения на снарядах, установленных над верхней поверхностью фюзеляжа летящего самолета. Для этой цели на «палубе» фюзеляжа устанавливался тот или иной легкоат</w:t>
      </w:r>
      <w:r w:rsidRPr="00E14102">
        <w:rPr>
          <w:color w:val="000000" w:themeColor="text1"/>
          <w:sz w:val="16"/>
          <w:szCs w:val="16"/>
        </w:rPr>
        <w:softHyphen/>
        <w:t>летический снаряд— кольцо, брусья, турник, — и отважный спортсмен выполнял голо</w:t>
      </w:r>
      <w:r w:rsidRPr="00E14102">
        <w:rPr>
          <w:color w:val="000000" w:themeColor="text1"/>
          <w:sz w:val="16"/>
          <w:szCs w:val="16"/>
        </w:rPr>
        <w:softHyphen/>
        <w:t>вокружительные упражнения во время полёта самолёта. Говорят, что Сталин любил смотреть такие кадры. Поэтому вполне вероятно, что какой-то очень-очень высокопоста</w:t>
      </w:r>
      <w:r w:rsidRPr="00E14102">
        <w:rPr>
          <w:color w:val="000000" w:themeColor="text1"/>
          <w:sz w:val="16"/>
          <w:szCs w:val="16"/>
        </w:rPr>
        <w:softHyphen/>
        <w:t>вленный невежа-холуй решил порадовать любимого вождя. Ну что там французы... То ли дело у нас. Маленький, вёрткий самолётик назойливой мухой колобродит вокруг гиган</w:t>
      </w:r>
      <w:r w:rsidRPr="00E14102">
        <w:rPr>
          <w:color w:val="000000" w:themeColor="text1"/>
          <w:sz w:val="16"/>
          <w:szCs w:val="16"/>
        </w:rPr>
        <w:softHyphen/>
        <w:t>та. Где еще такое можно увидеть? Смотри и гордись...» (Саукке М.Б. Самолет-гигант «Максим Горький». М., 2004. С. 112.) (11696).</w:t>
      </w:r>
    </w:p>
    <w:p w14:paraId="6A61DC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75E58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апреля 1934 на МГ воздухе опробовали фомкоговоритель "Голос с неба" и опять вели киносъемку. В сопровождении находились опять И-5 и Р-5 с теми же людьми. Далее началась подготовка к традиционному первомайскому параду. Как же можно было не показать на нем такое достижение страны, как "Максим Горький". Но возникло неожиданное препятствие. Накануне Громову на спектакле стало плохо, и он уехал домой. Но, кроме него, никто еще не сидел на левом кресле АНТ-20, никто не летал самостоятельно. Во всех предыдущих полетах Журов и Михеев только исполняли обязанности второго пилота.</w:t>
      </w:r>
    </w:p>
    <w:p w14:paraId="096FC9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Громов все-таки рискнул. Он пришел на аэродром (благо, жил недалеко, на Беговой улице) и поднял самолет в воздух. Вторым пилотом у него летел Михеев. Кроме обычной команды инженеров и техников на борту находился М.Е. Кольцов. "Максим Горький" благополучно пролетел над Красной площадью в сопровождении пары истребителей и столь же благополучно приземлился на Центральном аэродроме. Громов зашел домой пообедать...и угодил в больницу, где ему сделали операцию. Больше он на АНТ-20 не летал. Во всех последующих полетах в левом кресле сидел Н.С. Журов, в правом - И.В. Михеев. 15 мая самолет демонстрировали депутатам Моссовета и другим важным лицам. Для них организовали катание в воздухе - машина совершила круг над Центральным аэродромом. Среди почетных гостей оказался известный французский летчик и писатель Ан- туан де Сент-Экзюпери, вто время - московский корреспондент одной из парижских газет. Позже он написал: "Эти коридоры, этот салон, эти кабины, этот мощный гул восьми моторов, эта внутренняя телефонная связь - все было не похоже на привычную для меня воздушную обстановку" (12024).</w:t>
      </w:r>
    </w:p>
    <w:p w14:paraId="20A4B439" w14:textId="77777777" w:rsidR="00D4105E" w:rsidRPr="00E14102" w:rsidRDefault="00D4105E" w:rsidP="00E14102">
      <w:pPr>
        <w:autoSpaceDE w:val="0"/>
        <w:autoSpaceDN w:val="0"/>
        <w:adjustRightInd w:val="0"/>
        <w:jc w:val="both"/>
        <w:rPr>
          <w:color w:val="000000" w:themeColor="text1"/>
          <w:sz w:val="16"/>
          <w:szCs w:val="16"/>
        </w:rPr>
      </w:pPr>
    </w:p>
    <w:p w14:paraId="69A2A2DB" w14:textId="77777777" w:rsidR="00D4105E" w:rsidRPr="00E14102" w:rsidRDefault="00D4105E" w:rsidP="00E14102">
      <w:pPr>
        <w:widowControl w:val="0"/>
        <w:tabs>
          <w:tab w:val="left" w:pos="240"/>
        </w:tabs>
        <w:autoSpaceDE w:val="0"/>
        <w:autoSpaceDN w:val="0"/>
        <w:adjustRightInd w:val="0"/>
        <w:jc w:val="both"/>
        <w:rPr>
          <w:color w:val="000000" w:themeColor="text1"/>
          <w:sz w:val="16"/>
          <w:szCs w:val="16"/>
        </w:rPr>
      </w:pPr>
      <w:r w:rsidRPr="00E14102">
        <w:rPr>
          <w:color w:val="000000" w:themeColor="text1"/>
          <w:sz w:val="16"/>
          <w:szCs w:val="16"/>
        </w:rPr>
        <w:t xml:space="preserve">28 апреля 1935 г. закончились испытания мотора № 250101, собранного в Перми из американских деталей, которые шли с 27 февраля. Он показал вполне удовлетворительный результат механической обработки и сборки, проработав 150 часов в форсированном режиме. Но это был лишь первый шаг, поскольку первый мотор был собран из деталей, изготовленных из американских материалов. Предстояло раскрыть секрет райтовских сталей и масел, найти отечественные аналоги абразивам и многому другому. Последующее освоение производства деталей уже из отечественных материалов становилось ярким событием в жизни молодого </w:t>
      </w:r>
      <w:r w:rsidRPr="00E14102">
        <w:rPr>
          <w:color w:val="000000" w:themeColor="text1"/>
          <w:sz w:val="16"/>
          <w:szCs w:val="16"/>
        </w:rPr>
        <w:lastRenderedPageBreak/>
        <w:t xml:space="preserve">коллектива предприятия. Газеты посвящали целые полосы, рассказывая о том, как откован первый качественный рычаг впуска или отлита головка цилиндра…. От детали к детали, постепенно пермяки двигались к главному событию - испытанию первого изделия, собранного полностью из деталей собственного производства. Фактически завод должен был подтянуть до мирового уровня промышленность страны. По оценке А.Д. Швецова, М-25 должен был совершить техническую революцию, так как "являл собой высокий класс техники, высокий класс производства и эксплуатации. С внедрением М-25 наша авиация сильно повысила свою техническую и боевую мощь". </w:t>
      </w:r>
    </w:p>
    <w:p w14:paraId="1F4E9596" w14:textId="77777777" w:rsidR="00D4105E" w:rsidRPr="00E14102" w:rsidRDefault="00D4105E" w:rsidP="00E14102">
      <w:pPr>
        <w:widowControl w:val="0"/>
        <w:tabs>
          <w:tab w:val="left" w:pos="240"/>
        </w:tabs>
        <w:autoSpaceDE w:val="0"/>
        <w:autoSpaceDN w:val="0"/>
        <w:adjustRightInd w:val="0"/>
        <w:jc w:val="both"/>
        <w:rPr>
          <w:color w:val="000000" w:themeColor="text1"/>
          <w:sz w:val="16"/>
          <w:szCs w:val="16"/>
        </w:rPr>
      </w:pPr>
      <w:r w:rsidRPr="00E14102">
        <w:rPr>
          <w:color w:val="000000" w:themeColor="text1"/>
          <w:sz w:val="16"/>
          <w:szCs w:val="16"/>
        </w:rPr>
        <w:t>Мотор оказался весьма щепетилен к качеству материалов, потребовал доселе невиданного в отечественном машиностроении - введения контроля на каждом этапе рождения мотора. Впервые в СССР на заводе в Перми был введен входной контроль качества сырья по химическому составу и механическим свойствам. Для поступающих отливок - рентген, электромагнитный, термический и другие методы контроля. Здесь, например, впервые стал использоваться единственный в СССР прибор "Магнофлокс", открывший новую эру в истории неразрушающих методов контроля. Он позволял увидеть трещины и раковины внутри металла (11190).</w:t>
      </w:r>
    </w:p>
    <w:p w14:paraId="24CD4FCB" w14:textId="77777777" w:rsidR="00D4105E" w:rsidRPr="00E14102" w:rsidRDefault="00D4105E" w:rsidP="00E14102">
      <w:pPr>
        <w:widowControl w:val="0"/>
        <w:tabs>
          <w:tab w:val="left" w:pos="240"/>
        </w:tabs>
        <w:autoSpaceDE w:val="0"/>
        <w:autoSpaceDN w:val="0"/>
        <w:adjustRightInd w:val="0"/>
        <w:jc w:val="both"/>
        <w:rPr>
          <w:color w:val="000000" w:themeColor="text1"/>
          <w:sz w:val="16"/>
          <w:szCs w:val="16"/>
        </w:rPr>
      </w:pPr>
    </w:p>
    <w:p w14:paraId="66A1253F" w14:textId="77777777" w:rsidR="005E660C" w:rsidRPr="00E14102" w:rsidRDefault="005E660C" w:rsidP="00E14102">
      <w:pPr>
        <w:jc w:val="both"/>
        <w:rPr>
          <w:color w:val="0070C0"/>
          <w:sz w:val="16"/>
          <w:szCs w:val="16"/>
        </w:rPr>
      </w:pPr>
      <w:r w:rsidRPr="00E14102">
        <w:rPr>
          <w:color w:val="0070C0"/>
          <w:sz w:val="16"/>
          <w:szCs w:val="16"/>
        </w:rPr>
        <w:t>28 апреля 1935 г. парашютные прыжки со сво</w:t>
      </w:r>
      <w:r w:rsidRPr="00E14102">
        <w:rPr>
          <w:color w:val="0070C0"/>
          <w:sz w:val="16"/>
          <w:szCs w:val="16"/>
        </w:rPr>
        <w:softHyphen/>
        <w:t>бодного аэростата выполнили П.П. Полосухин и И.С. Щукин. Чтобы не вызывать сильных из</w:t>
      </w:r>
      <w:r w:rsidRPr="00E14102">
        <w:rPr>
          <w:color w:val="0070C0"/>
          <w:sz w:val="16"/>
          <w:szCs w:val="16"/>
        </w:rPr>
        <w:softHyphen/>
        <w:t>менений балансировки аэростатов, они летели на отдельных шарах. Их сопровождал «санитар</w:t>
      </w:r>
      <w:r w:rsidRPr="00E14102">
        <w:rPr>
          <w:color w:val="0070C0"/>
          <w:sz w:val="16"/>
          <w:szCs w:val="16"/>
        </w:rPr>
        <w:softHyphen/>
        <w:t>ный» аэростат с доктором для оказания помощи парашютистам в случае травм при приземлении. Соединённые тросами длиной около 30 м аэро</w:t>
      </w:r>
      <w:r w:rsidRPr="00E14102">
        <w:rPr>
          <w:color w:val="0070C0"/>
          <w:sz w:val="16"/>
          <w:szCs w:val="16"/>
        </w:rPr>
        <w:softHyphen/>
        <w:t>статы образовывали «воздушный поезд». Экипаж первого аэростата составляли пилот А.А. Фомин, парашютист П.П. Полосухин и инженер И.Ф. Ви</w:t>
      </w:r>
      <w:r w:rsidRPr="00E14102">
        <w:rPr>
          <w:color w:val="0070C0"/>
          <w:sz w:val="16"/>
          <w:szCs w:val="16"/>
        </w:rPr>
        <w:softHyphen/>
        <w:t>нокур, второго — пилот П.И. Модестов, парашю</w:t>
      </w:r>
      <w:r w:rsidRPr="00E14102">
        <w:rPr>
          <w:color w:val="0070C0"/>
          <w:sz w:val="16"/>
          <w:szCs w:val="16"/>
        </w:rPr>
        <w:softHyphen/>
        <w:t>тист И.С. Щукин и начальник Высшей парашют</w:t>
      </w:r>
      <w:r w:rsidRPr="00E14102">
        <w:rPr>
          <w:color w:val="0070C0"/>
          <w:sz w:val="16"/>
          <w:szCs w:val="16"/>
        </w:rPr>
        <w:softHyphen/>
        <w:t>ной школы В.Л. Мошковский, на «санитарном» аэростате летели пилот Т.К. Лысов и доктор Г.С. Дубровин. Шары поднялись около 6.00 с лёт</w:t>
      </w:r>
      <w:r w:rsidRPr="00E14102">
        <w:rPr>
          <w:color w:val="0070C0"/>
          <w:sz w:val="16"/>
          <w:szCs w:val="16"/>
        </w:rPr>
        <w:softHyphen/>
        <w:t>ной площадки учебно-воздухоплавательного от</w:t>
      </w:r>
      <w:r w:rsidRPr="00E14102">
        <w:rPr>
          <w:color w:val="0070C0"/>
          <w:sz w:val="16"/>
          <w:szCs w:val="16"/>
        </w:rPr>
        <w:softHyphen/>
        <w:t>ряда ДУКа у ст. Угрешская Окружной железной дороги. Аэронавтов сопровождали пять самолё</w:t>
      </w:r>
      <w:r w:rsidRPr="00E14102">
        <w:rPr>
          <w:color w:val="0070C0"/>
          <w:sz w:val="16"/>
          <w:szCs w:val="16"/>
        </w:rPr>
        <w:softHyphen/>
        <w:t>тов У-2, поднявшиеся с Тушинского аэродрома, на одном из которых летел кинооператор. С зем</w:t>
      </w:r>
      <w:r w:rsidRPr="00E14102">
        <w:rPr>
          <w:color w:val="0070C0"/>
          <w:sz w:val="16"/>
          <w:szCs w:val="16"/>
        </w:rPr>
        <w:softHyphen/>
        <w:t>ли за экспериментом наблюдал, следуя за аэро</w:t>
      </w:r>
      <w:r w:rsidRPr="00E14102">
        <w:rPr>
          <w:color w:val="0070C0"/>
          <w:sz w:val="16"/>
          <w:szCs w:val="16"/>
        </w:rPr>
        <w:softHyphen/>
        <w:t>статами на автомашине по Серпуховскому шоссе, начальник ДУКа И.К. Адамович. Для приземле</w:t>
      </w:r>
      <w:r w:rsidRPr="00E14102">
        <w:rPr>
          <w:color w:val="0070C0"/>
          <w:sz w:val="16"/>
          <w:szCs w:val="16"/>
        </w:rPr>
        <w:softHyphen/>
        <w:t>ния выбрали большие поля в районе Подольска. Первым отцепили «санитарный» аэростат, и пи</w:t>
      </w:r>
      <w:r w:rsidRPr="00E14102">
        <w:rPr>
          <w:color w:val="0070C0"/>
          <w:sz w:val="16"/>
          <w:szCs w:val="16"/>
        </w:rPr>
        <w:softHyphen/>
        <w:t>лот Т.К. Лысов начал форсированный спуск. По сигналу В.Л. Машковского — взмах красными флажком — отцепились и аэростаты с парашю</w:t>
      </w:r>
      <w:r w:rsidRPr="00E14102">
        <w:rPr>
          <w:color w:val="0070C0"/>
          <w:sz w:val="16"/>
          <w:szCs w:val="16"/>
        </w:rPr>
        <w:softHyphen/>
        <w:t>тистами. По следующему сигналу — два взма</w:t>
      </w:r>
      <w:r w:rsidRPr="00E14102">
        <w:rPr>
          <w:color w:val="0070C0"/>
          <w:sz w:val="16"/>
          <w:szCs w:val="16"/>
        </w:rPr>
        <w:softHyphen/>
        <w:t>ха флажком — П.П. Полосухин и И.С. Щукин покинули гондолы на высоте 1400 м, обогнав в свободном падении «санитарный» аэростат. На двенадцатой секунде прыжка они раскрыли пара</w:t>
      </w:r>
      <w:r w:rsidRPr="00E14102">
        <w:rPr>
          <w:color w:val="0070C0"/>
          <w:sz w:val="16"/>
          <w:szCs w:val="16"/>
        </w:rPr>
        <w:softHyphen/>
        <w:t>шюты и благополучно спустились (20120).</w:t>
      </w:r>
    </w:p>
    <w:p w14:paraId="4F1EC35E" w14:textId="77777777" w:rsidR="005E660C" w:rsidRPr="00E14102" w:rsidRDefault="005E660C" w:rsidP="00E14102">
      <w:pPr>
        <w:jc w:val="both"/>
        <w:rPr>
          <w:color w:val="0070C0"/>
          <w:sz w:val="16"/>
          <w:szCs w:val="16"/>
        </w:rPr>
      </w:pPr>
    </w:p>
    <w:p w14:paraId="737AF05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E633264" w14:textId="77777777" w:rsidR="00D4105E" w:rsidRPr="00E14102" w:rsidRDefault="00D4105E" w:rsidP="00E14102">
      <w:pPr>
        <w:autoSpaceDE w:val="0"/>
        <w:autoSpaceDN w:val="0"/>
        <w:adjustRightInd w:val="0"/>
        <w:jc w:val="both"/>
        <w:rPr>
          <w:iCs/>
          <w:color w:val="000000" w:themeColor="text1"/>
          <w:sz w:val="16"/>
          <w:szCs w:val="16"/>
        </w:rPr>
      </w:pPr>
    </w:p>
    <w:p w14:paraId="4E90F8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апреля 1935 на полигоне в Софрино прошли испытания БТ-5, вооруженного РС-132 в присутствии Нач. 5 отдела АБТУ РККА Сакса и Нач. 2 сектора РНИ и Петрова, а также ви 1 отд. НИИ 3 Александрова. Произвели три выстрела, причем третий с работающим двигателем и экипажем внутри танка (Александров и Петров + водитель Горынов). Сотрясений не было, пороховой запах - слабый (3880,15). По другим данным испытания проходили до 26 мая 1935 (8932,2).</w:t>
      </w:r>
    </w:p>
    <w:p w14:paraId="2AA0D03A" w14:textId="77777777" w:rsidR="00D4105E" w:rsidRPr="00E14102" w:rsidRDefault="00D4105E" w:rsidP="00E14102">
      <w:pPr>
        <w:autoSpaceDE w:val="0"/>
        <w:autoSpaceDN w:val="0"/>
        <w:adjustRightInd w:val="0"/>
        <w:jc w:val="both"/>
        <w:rPr>
          <w:color w:val="000000" w:themeColor="text1"/>
          <w:sz w:val="16"/>
          <w:szCs w:val="16"/>
        </w:rPr>
      </w:pPr>
    </w:p>
    <w:p w14:paraId="766110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 апреля 1935 г. в присутствии заместителя начальника 5 отдела АБ</w:t>
      </w:r>
      <w:r w:rsidRPr="00E14102">
        <w:rPr>
          <w:color w:val="000000" w:themeColor="text1"/>
          <w:sz w:val="16"/>
          <w:szCs w:val="16"/>
        </w:rPr>
        <w:softHyphen/>
        <w:t>ТУ РККА Сакса, инженера 5 отдела АБТУ РККА Черных и инженера 7 отдела АБТУ РККА Сыча начались испытания экспериментальной ра</w:t>
      </w:r>
      <w:r w:rsidRPr="00E14102">
        <w:rPr>
          <w:color w:val="000000" w:themeColor="text1"/>
          <w:sz w:val="16"/>
          <w:szCs w:val="16"/>
        </w:rPr>
        <w:softHyphen/>
        <w:t>кетной установки для стрельбы РС калибра 132 мм с танка БТ-5 (тема РНИИ ГУБ НКТП по объекту №38). Их целью было проверить «степень влияния газовой струи» РС на команду танка (по-современному - эки</w:t>
      </w:r>
      <w:r w:rsidRPr="00E14102">
        <w:rPr>
          <w:color w:val="000000" w:themeColor="text1"/>
          <w:sz w:val="16"/>
          <w:szCs w:val="16"/>
        </w:rPr>
        <w:softHyphen/>
        <w:t>паж), радиаторы, бензобаки и воздухоочиститель мотора, а также прове</w:t>
      </w:r>
      <w:r w:rsidRPr="00E14102">
        <w:rPr>
          <w:color w:val="000000" w:themeColor="text1"/>
          <w:sz w:val="16"/>
          <w:szCs w:val="16"/>
        </w:rPr>
        <w:softHyphen/>
        <w:t>рить реакцию башни на выстрел. Последнее было отнюдь не лишним, поскольку ракетное орудие крепилось на ней только слева «одним бол</w:t>
      </w:r>
      <w:r w:rsidRPr="00E14102">
        <w:rPr>
          <w:color w:val="000000" w:themeColor="text1"/>
          <w:sz w:val="16"/>
          <w:szCs w:val="16"/>
        </w:rPr>
        <w:softHyphen/>
        <w:t>том по центру башни и двумя болтами к специальному кронштейну».</w:t>
      </w:r>
    </w:p>
    <w:p w14:paraId="04C580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испытания предназначалось восемь осколочно-фугасных снаря</w:t>
      </w:r>
      <w:r w:rsidRPr="00E14102">
        <w:rPr>
          <w:color w:val="000000" w:themeColor="text1"/>
          <w:sz w:val="16"/>
          <w:szCs w:val="16"/>
        </w:rPr>
        <w:softHyphen/>
        <w:t>дов РС-132 и два агитационных РС-132-А. Их РЗ воспламеняли по про</w:t>
      </w:r>
      <w:r w:rsidRPr="00E14102">
        <w:rPr>
          <w:color w:val="000000" w:themeColor="text1"/>
          <w:sz w:val="16"/>
          <w:szCs w:val="16"/>
        </w:rPr>
        <w:softHyphen/>
        <w:t>водам индуктором, находящимся рядом в окопе. Первый выстрел вы</w:t>
      </w:r>
      <w:r w:rsidRPr="00E14102">
        <w:rPr>
          <w:color w:val="000000" w:themeColor="text1"/>
          <w:sz w:val="16"/>
          <w:szCs w:val="16"/>
        </w:rPr>
        <w:softHyphen/>
        <w:t>полнили при выключенных стопорах орудия, моторе и без экипажа. Струя продуктов горения РЗ прошла рядом с вертикальным бронелистом корпуса танка, опалив бензобаки. Повреждений машины не обнаруже</w:t>
      </w:r>
      <w:r w:rsidRPr="00E14102">
        <w:rPr>
          <w:color w:val="000000" w:themeColor="text1"/>
          <w:sz w:val="16"/>
          <w:szCs w:val="16"/>
        </w:rPr>
        <w:softHyphen/>
        <w:t>но. Второй - при включенных стопорах орудия. Причем, струя прошла вдоль смотровых стекол и люка водителя при работающем моторе, но без экипажа. Были опасения, что в башне после выстрела скопится много пороховых газов, но они не оправдались. Мотор работал бесперебойно, и «посторонних вспышек бензина» не зафиксировано.</w:t>
      </w:r>
    </w:p>
    <w:p w14:paraId="27D29DE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Третий выстрел выполнили с «командой танка на рабочих местах», при работающем моторе с направлением струи параллельно люку води</w:t>
      </w:r>
      <w:r w:rsidRPr="00E14102">
        <w:rPr>
          <w:color w:val="000000" w:themeColor="text1"/>
          <w:sz w:val="16"/>
          <w:szCs w:val="16"/>
        </w:rPr>
        <w:softHyphen/>
        <w:t>теля. За броней машины расположились начальник второго сектора РНИИ Е.С.Петров, ведущий инженер по ракетной системе ведущий ин</w:t>
      </w:r>
      <w:r w:rsidRPr="00E14102">
        <w:rPr>
          <w:color w:val="000000" w:themeColor="text1"/>
          <w:sz w:val="16"/>
          <w:szCs w:val="16"/>
        </w:rPr>
        <w:softHyphen/>
        <w:t>женер 1 отдела РНИИ НКТП В.И.Александров и штатный водитель тан</w:t>
      </w:r>
      <w:r w:rsidRPr="00E14102">
        <w:rPr>
          <w:color w:val="000000" w:themeColor="text1"/>
          <w:sz w:val="16"/>
          <w:szCs w:val="16"/>
        </w:rPr>
        <w:softHyphen/>
        <w:t>ка Карлинов. Экипаж отметил, что звук выстрела - глухой, сотрясения танка не было, в боевом отделении после выстрела ощущался слабый за</w:t>
      </w:r>
      <w:r w:rsidRPr="00E14102">
        <w:rPr>
          <w:color w:val="000000" w:themeColor="text1"/>
          <w:sz w:val="16"/>
          <w:szCs w:val="16"/>
        </w:rPr>
        <w:softHyphen/>
        <w:t>пах пороха. Тряпка, смоченная авиационным бензином, и размешенная в полуметре от ракетного орудия, после выстрела сгорела.</w:t>
      </w:r>
    </w:p>
    <w:p w14:paraId="56008E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Опасаясь воспламенения машины при дальнейшей стрельбе, танки</w:t>
      </w:r>
      <w:r w:rsidRPr="00E14102">
        <w:rPr>
          <w:color w:val="000000" w:themeColor="text1"/>
          <w:sz w:val="16"/>
          <w:szCs w:val="16"/>
        </w:rPr>
        <w:softHyphen/>
        <w:t>сты прекратили опыты до распоряжения начальника АБТУ РККА. К примеру, сегодня не вызывает недоумения стрельба БМ-21 «Град», вы</w:t>
      </w:r>
      <w:r w:rsidRPr="00E14102">
        <w:rPr>
          <w:color w:val="000000" w:themeColor="text1"/>
          <w:sz w:val="16"/>
          <w:szCs w:val="16"/>
        </w:rPr>
        <w:softHyphen/>
        <w:t>полненной на шасси Урал-375 с карбюраторным двигателем. А тогда со</w:t>
      </w:r>
      <w:r w:rsidRPr="00E14102">
        <w:rPr>
          <w:color w:val="000000" w:themeColor="text1"/>
          <w:sz w:val="16"/>
          <w:szCs w:val="16"/>
        </w:rPr>
        <w:softHyphen/>
        <w:t>мнения танкистов были вполне резонными - двигатель М-5-400 быстро</w:t>
      </w:r>
      <w:r w:rsidRPr="00E14102">
        <w:rPr>
          <w:color w:val="000000" w:themeColor="text1"/>
          <w:sz w:val="16"/>
          <w:szCs w:val="16"/>
        </w:rPr>
        <w:softHyphen/>
        <w:t>ходного танка работал на высокооктановом бензине и от выстрела РС мог легко воспламениться в жаркую погоду. Вывод испытателей - для надлежащей безопасности все щели в моторном отделении необходимо защитить соответствующими перекрытиями.</w:t>
      </w:r>
    </w:p>
    <w:p w14:paraId="6E5AEC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мая 1935 г. испытания продолжились. Крышу МТО танка теперь оснастили защитными кожухами на воздухоочистителе и жалюзи с окна</w:t>
      </w:r>
      <w:r w:rsidRPr="00E14102">
        <w:rPr>
          <w:color w:val="000000" w:themeColor="text1"/>
          <w:sz w:val="16"/>
          <w:szCs w:val="16"/>
        </w:rPr>
        <w:softHyphen/>
        <w:t>ми для забора воздуха. Первый выстрел произвели при неработающем моторе. Струя продуктов горения РЗ была умышленно направлена на воздухоочиститель, изготовленный из 1-мм листового железа. Выстре</w:t>
      </w:r>
      <w:r w:rsidRPr="00E14102">
        <w:rPr>
          <w:color w:val="000000" w:themeColor="text1"/>
          <w:sz w:val="16"/>
          <w:szCs w:val="16"/>
        </w:rPr>
        <w:softHyphen/>
        <w:t>лом сорвало его, а также кожух над правыми жалюзи, закрепленный стальной проволокой толщиной 1,5 мм, и пробку с правого радиатора, а также помяло всасывающую трубу.</w:t>
      </w:r>
    </w:p>
    <w:p w14:paraId="3142E9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Завершить испытания довелось 26 июня 1935 г. в присутствии началь</w:t>
      </w:r>
      <w:r w:rsidRPr="00E14102">
        <w:rPr>
          <w:color w:val="000000" w:themeColor="text1"/>
          <w:sz w:val="16"/>
          <w:szCs w:val="16"/>
        </w:rPr>
        <w:softHyphen/>
        <w:t>ника 5 отдела АБТУ РККА Андреева и инженера 7 отдела АБТУ РККА Реаусова. Машину уже оборудовали новым воздухоочистителем, защит</w:t>
      </w:r>
      <w:r w:rsidRPr="00E14102">
        <w:rPr>
          <w:color w:val="000000" w:themeColor="text1"/>
          <w:sz w:val="16"/>
          <w:szCs w:val="16"/>
        </w:rPr>
        <w:softHyphen/>
        <w:t>ными угольниками на жалюзи и измененной всасывающей трубой. От</w:t>
      </w:r>
      <w:r w:rsidRPr="00E14102">
        <w:rPr>
          <w:color w:val="000000" w:themeColor="text1"/>
          <w:sz w:val="16"/>
          <w:szCs w:val="16"/>
        </w:rPr>
        <w:softHyphen/>
        <w:t>стреляли шесть РС (четыре фугасных и два агитационных). В первом вы</w:t>
      </w:r>
      <w:r w:rsidRPr="00E14102">
        <w:rPr>
          <w:color w:val="000000" w:themeColor="text1"/>
          <w:sz w:val="16"/>
          <w:szCs w:val="16"/>
        </w:rPr>
        <w:softHyphen/>
        <w:t>стреле струю направили в правый бензобак при неработающем моторе. На баке слегка обгорела краска. Второй выстрел выполнили, направив струю в воздухоочиститель. В третьем выстреле струю направили в левый бензобак. Она, ударив в задние жалюзи, согнула переднюю планку кар</w:t>
      </w:r>
      <w:r w:rsidRPr="00E14102">
        <w:rPr>
          <w:color w:val="000000" w:themeColor="text1"/>
          <w:sz w:val="16"/>
          <w:szCs w:val="16"/>
        </w:rPr>
        <w:softHyphen/>
        <w:t>каса и в нескольких местах оторвала от каркаса сетку. Четвертый выстрел при работающем моторе не изменил его бесперебойной работы. Пятый и шестой выстрелы агитационными снарядами при неработающем мото</w:t>
      </w:r>
      <w:r w:rsidRPr="00E14102">
        <w:rPr>
          <w:color w:val="000000" w:themeColor="text1"/>
          <w:sz w:val="16"/>
          <w:szCs w:val="16"/>
        </w:rPr>
        <w:softHyphen/>
        <w:t>ре с направлением струи в правый бензобак и воздухоочиститель также не были чреваты последствиями.</w:t>
      </w:r>
    </w:p>
    <w:p w14:paraId="6F0963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Таким образом, незначительные конструктивные изменения танка полностью себя оправдали. Танкисты признали, что подобным образом необходимо доработать все машины при условии оборудования их ракет</w:t>
      </w:r>
      <w:r w:rsidRPr="00E14102">
        <w:rPr>
          <w:color w:val="000000" w:themeColor="text1"/>
          <w:sz w:val="16"/>
          <w:szCs w:val="16"/>
        </w:rPr>
        <w:softHyphen/>
        <w:t>ными установками.</w:t>
      </w:r>
    </w:p>
    <w:p w14:paraId="564212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Примерно по той же схеме «агитационного танка» в 1934 г. был постро</w:t>
      </w:r>
      <w:r w:rsidRPr="00E14102">
        <w:rPr>
          <w:color w:val="000000" w:themeColor="text1"/>
          <w:sz w:val="16"/>
          <w:szCs w:val="16"/>
        </w:rPr>
        <w:softHyphen/>
        <w:t>ен и «химический танк» БТ-5 с двумя 245-мм воздушно-реактивными хи</w:t>
      </w:r>
      <w:r w:rsidRPr="00E14102">
        <w:rPr>
          <w:color w:val="000000" w:themeColor="text1"/>
          <w:sz w:val="16"/>
          <w:szCs w:val="16"/>
        </w:rPr>
        <w:softHyphen/>
        <w:t>мическими торпедами, установленными по обеим сторонам башни. В се</w:t>
      </w:r>
      <w:r w:rsidRPr="00E14102">
        <w:rPr>
          <w:color w:val="000000" w:themeColor="text1"/>
          <w:sz w:val="16"/>
          <w:szCs w:val="16"/>
        </w:rPr>
        <w:softHyphen/>
        <w:t>рию она не пошла, хотя в металле опытный образец существовал. И если 132-мм ракетные боеприпасы потребовали усилить конструкцию танка, не трудно представить себе, как терзали корпус легкого БТ-5 старты 245-мм снарядов! В третьей главе уже упоминалось о том, что 245-мм ракетную си</w:t>
      </w:r>
      <w:r w:rsidRPr="00E14102">
        <w:rPr>
          <w:color w:val="000000" w:themeColor="text1"/>
          <w:sz w:val="16"/>
          <w:szCs w:val="16"/>
        </w:rPr>
        <w:softHyphen/>
        <w:t>стему на тяжелом бомбардировщике ТБ-3 пришлось заменить 203-мм из-за разрушений обшивки планера при старте РС. Здесь же мощность струи продуктов горения РЗ была бы достаточной, чтобы оторвать и надгусенич-ные полки, и бензобаки, а возможно, и порвать гусеничные ленты.</w:t>
      </w:r>
    </w:p>
    <w:p w14:paraId="3FBE69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Некоторые авторы утверждают, что штатная танковая пушка на по</w:t>
      </w:r>
      <w:r w:rsidRPr="00E14102">
        <w:rPr>
          <w:color w:val="000000" w:themeColor="text1"/>
          <w:sz w:val="16"/>
          <w:szCs w:val="16"/>
        </w:rPr>
        <w:softHyphen/>
        <w:t>добных машинах использовалась для пристрелки перед пуском ракетно</w:t>
      </w:r>
      <w:r w:rsidRPr="00E14102">
        <w:rPr>
          <w:color w:val="000000" w:themeColor="text1"/>
          <w:sz w:val="16"/>
          <w:szCs w:val="16"/>
        </w:rPr>
        <w:softHyphen/>
        <w:t>го снаряда. Но это не совсем корректно, поскольку баллистика ракетной системы малой дальности и дальнобойной артсистемы разнились на</w:t>
      </w:r>
      <w:r w:rsidRPr="00E14102">
        <w:rPr>
          <w:color w:val="000000" w:themeColor="text1"/>
          <w:sz w:val="16"/>
          <w:szCs w:val="16"/>
        </w:rPr>
        <w:softHyphen/>
        <w:t>столько, что даже с большими поправочными коэффициентами сопоста</w:t>
      </w:r>
      <w:r w:rsidRPr="00E14102">
        <w:rPr>
          <w:color w:val="000000" w:themeColor="text1"/>
          <w:sz w:val="16"/>
          <w:szCs w:val="16"/>
        </w:rPr>
        <w:softHyphen/>
        <w:t>влять их было невозможно. Хотя, теоретически, танковую пушку с ее оп</w:t>
      </w:r>
      <w:r w:rsidRPr="00E14102">
        <w:rPr>
          <w:color w:val="000000" w:themeColor="text1"/>
          <w:sz w:val="16"/>
          <w:szCs w:val="16"/>
        </w:rPr>
        <w:softHyphen/>
        <w:t>тическим прицелом возможно было использовать в качестве дальномера (11402).</w:t>
      </w:r>
    </w:p>
    <w:p w14:paraId="06CF56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B395856" w14:textId="77777777" w:rsidR="00DF734F" w:rsidRPr="00E14102" w:rsidRDefault="00DF734F" w:rsidP="00E14102">
      <w:pPr>
        <w:jc w:val="both"/>
        <w:rPr>
          <w:color w:val="000000" w:themeColor="text1"/>
          <w:sz w:val="16"/>
          <w:szCs w:val="16"/>
        </w:rPr>
      </w:pPr>
      <w:r w:rsidRPr="00E14102">
        <w:rPr>
          <w:color w:val="000000" w:themeColor="text1"/>
          <w:sz w:val="16"/>
          <w:szCs w:val="16"/>
        </w:rPr>
        <w:t xml:space="preserve">28 апреля 1935 г. на первом этапе испытаний экспериментальной установки 132-мм РС (ракет) на </w:t>
      </w:r>
      <w:hyperlink r:id="rId84" w:tgtFrame="_blank" w:history="1">
        <w:r w:rsidRPr="00E14102">
          <w:rPr>
            <w:color w:val="000000" w:themeColor="text1"/>
            <w:sz w:val="16"/>
            <w:szCs w:val="16"/>
          </w:rPr>
          <w:t>танк</w:t>
        </w:r>
      </w:hyperlink>
      <w:r w:rsidRPr="00E14102">
        <w:rPr>
          <w:color w:val="000000" w:themeColor="text1"/>
          <w:sz w:val="16"/>
          <w:szCs w:val="16"/>
        </w:rPr>
        <w:t xml:space="preserve">е БТ-5 на артиллерийском полигоне вблизи станции Софрино в присутствии заместителя начальника 5-го отдела АБТУ РККА Сакса начальником 2-го сектора РНИИ Петровым и ведущим инженером 1-го отдела НИИ № 3 Александровым было произведено три выстрела. Причем третий выстрел был произведен при работающем двигателе и с экипажем. Необходимо отметить, что кроме Александрова и Петрова, находившихся во время эксперимента в боевом отделении </w:t>
      </w:r>
      <w:hyperlink r:id="rId85" w:tgtFrame="_blank" w:history="1">
        <w:r w:rsidRPr="00E14102">
          <w:rPr>
            <w:color w:val="000000" w:themeColor="text1"/>
            <w:sz w:val="16"/>
            <w:szCs w:val="16"/>
          </w:rPr>
          <w:t>танк</w:t>
        </w:r>
      </w:hyperlink>
      <w:r w:rsidRPr="00E14102">
        <w:rPr>
          <w:color w:val="000000" w:themeColor="text1"/>
          <w:sz w:val="16"/>
          <w:szCs w:val="16"/>
        </w:rPr>
        <w:t>а, в отделении управления контролировал работу силовой установки механик-водитель Горынов. Участники эксперимента отметили, что во время стрельбы «сотрясений нет. Слабый запах пороховых газов. Звук глухой».</w:t>
      </w:r>
    </w:p>
    <w:p w14:paraId="41FEBCA6" w14:textId="77777777" w:rsidR="00DF734F" w:rsidRPr="00E14102" w:rsidRDefault="00DF734F" w:rsidP="00E14102">
      <w:pPr>
        <w:jc w:val="both"/>
        <w:rPr>
          <w:color w:val="000000" w:themeColor="text1"/>
          <w:sz w:val="16"/>
          <w:szCs w:val="16"/>
        </w:rPr>
      </w:pPr>
      <w:r w:rsidRPr="00E14102">
        <w:rPr>
          <w:color w:val="000000" w:themeColor="text1"/>
          <w:sz w:val="16"/>
          <w:szCs w:val="16"/>
        </w:rPr>
        <w:t xml:space="preserve">И хотя эксперимент прошел успешно, дальнейшие испытания из-за опасности возникновения пожара пришлось приостановить. Дело в том, что смоченная в бензине и установленная на расстоянии 0,5 м от </w:t>
      </w:r>
      <w:hyperlink r:id="rId86" w:tgtFrame="_blank" w:history="1">
        <w:r w:rsidRPr="00E14102">
          <w:rPr>
            <w:color w:val="000000" w:themeColor="text1"/>
            <w:sz w:val="16"/>
            <w:szCs w:val="16"/>
          </w:rPr>
          <w:t>танк</w:t>
        </w:r>
      </w:hyperlink>
      <w:r w:rsidRPr="00E14102">
        <w:rPr>
          <w:color w:val="000000" w:themeColor="text1"/>
          <w:sz w:val="16"/>
          <w:szCs w:val="16"/>
        </w:rPr>
        <w:t xml:space="preserve">а в направлении струи тряпка при выстреле сгорела (15628). </w:t>
      </w:r>
    </w:p>
    <w:p w14:paraId="64980B3D" w14:textId="77777777" w:rsidR="00DF734F" w:rsidRPr="00E14102" w:rsidRDefault="00DF734F" w:rsidP="00E14102">
      <w:pPr>
        <w:jc w:val="both"/>
        <w:rPr>
          <w:color w:val="000000" w:themeColor="text1"/>
          <w:sz w:val="16"/>
          <w:szCs w:val="16"/>
        </w:rPr>
      </w:pPr>
    </w:p>
    <w:p w14:paraId="37F40252" w14:textId="77777777" w:rsidR="00DF734F" w:rsidRPr="00E14102" w:rsidRDefault="00DF734F" w:rsidP="00E14102">
      <w:pPr>
        <w:pStyle w:val="rtejustify"/>
        <w:spacing w:before="0" w:after="0"/>
        <w:rPr>
          <w:color w:val="000000" w:themeColor="text1"/>
          <w:sz w:val="16"/>
          <w:szCs w:val="16"/>
        </w:rPr>
      </w:pPr>
      <w:r w:rsidRPr="00E14102">
        <w:rPr>
          <w:rStyle w:val="a6"/>
          <w:bCs/>
          <w:i w:val="0"/>
          <w:color w:val="000000" w:themeColor="text1"/>
          <w:sz w:val="16"/>
          <w:szCs w:val="16"/>
        </w:rPr>
        <w:t>28 апреля 1935 вышел приказ НКО №</w:t>
      </w:r>
      <w:r w:rsidRPr="00E14102">
        <w:rPr>
          <w:color w:val="000000" w:themeColor="text1"/>
          <w:sz w:val="16"/>
          <w:szCs w:val="16"/>
        </w:rPr>
        <w:t> 066. Об изменении приказа НКО № 45 (Об изменении грифов на образцы вооружения ВС РККА) (15247).</w:t>
      </w:r>
    </w:p>
    <w:p w14:paraId="2709D17E" w14:textId="77777777" w:rsidR="00DF734F" w:rsidRPr="00E14102" w:rsidRDefault="00DF734F" w:rsidP="00E14102">
      <w:pPr>
        <w:pStyle w:val="rtejustify"/>
        <w:spacing w:before="0" w:after="0"/>
        <w:rPr>
          <w:color w:val="000000" w:themeColor="text1"/>
          <w:sz w:val="16"/>
          <w:szCs w:val="16"/>
        </w:rPr>
      </w:pPr>
    </w:p>
    <w:p w14:paraId="3EB6901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CC36AFE" w14:textId="77777777" w:rsidR="00D4105E" w:rsidRPr="00E14102" w:rsidRDefault="00D4105E" w:rsidP="00E14102">
      <w:pPr>
        <w:autoSpaceDE w:val="0"/>
        <w:autoSpaceDN w:val="0"/>
        <w:adjustRightInd w:val="0"/>
        <w:jc w:val="both"/>
        <w:rPr>
          <w:iCs/>
          <w:color w:val="000000" w:themeColor="text1"/>
          <w:sz w:val="16"/>
          <w:szCs w:val="16"/>
        </w:rPr>
      </w:pPr>
    </w:p>
    <w:p w14:paraId="6FEC96E5" w14:textId="77777777" w:rsidR="00DF734F" w:rsidRPr="00E14102" w:rsidRDefault="00DF734F" w:rsidP="00E14102">
      <w:pPr>
        <w:pStyle w:val="rtejustify"/>
        <w:spacing w:before="0" w:after="0"/>
        <w:rPr>
          <w:color w:val="000000" w:themeColor="text1"/>
          <w:sz w:val="16"/>
          <w:szCs w:val="16"/>
        </w:rPr>
      </w:pPr>
      <w:r w:rsidRPr="00E14102">
        <w:rPr>
          <w:rStyle w:val="a6"/>
          <w:bCs/>
          <w:i w:val="0"/>
          <w:color w:val="000000" w:themeColor="text1"/>
          <w:sz w:val="16"/>
          <w:szCs w:val="16"/>
        </w:rPr>
        <w:t>29 апреля 1935 вышел приказ НКО №</w:t>
      </w:r>
      <w:r w:rsidRPr="00E14102">
        <w:rPr>
          <w:color w:val="000000" w:themeColor="text1"/>
          <w:sz w:val="16"/>
          <w:szCs w:val="16"/>
        </w:rPr>
        <w:t> 067. О неудовлетворительном состоянии с электрооборудованием заказываемых самолетов (15247).</w:t>
      </w:r>
    </w:p>
    <w:p w14:paraId="6265BC83" w14:textId="77777777" w:rsidR="00DF734F" w:rsidRPr="00E14102" w:rsidRDefault="00DF734F" w:rsidP="00E14102">
      <w:pPr>
        <w:pStyle w:val="rtejustify"/>
        <w:spacing w:before="0" w:after="0"/>
        <w:rPr>
          <w:color w:val="000000" w:themeColor="text1"/>
          <w:sz w:val="16"/>
          <w:szCs w:val="16"/>
        </w:rPr>
      </w:pPr>
    </w:p>
    <w:p w14:paraId="73FDC80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 апреля 1935 года вышел Приказ НИИ ВС № 0206 О гос. испытаниях химвооружения самолета 3с завода № 1.</w:t>
      </w:r>
    </w:p>
    <w:p w14:paraId="69EF979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Предъявленные заводом № 1 опытные установки приборов 4 ВАП-4 и 2 ДАП-Д-100 на самолет 3с конструкции завода № 1 принять на гос. испытания.</w:t>
      </w:r>
    </w:p>
    <w:p w14:paraId="2797A78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провести в мае на Щелковском и Люберецком аэродромах и НИХП со сроком: летные в 4 летных дня и наземные в 3 рабочих дня (6813, 7).</w:t>
      </w:r>
    </w:p>
    <w:p w14:paraId="0002521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7414F03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251157F" w14:textId="77777777" w:rsidR="00D4105E" w:rsidRPr="00E14102" w:rsidRDefault="00D4105E" w:rsidP="00E14102">
      <w:pPr>
        <w:autoSpaceDE w:val="0"/>
        <w:autoSpaceDN w:val="0"/>
        <w:adjustRightInd w:val="0"/>
        <w:jc w:val="both"/>
        <w:rPr>
          <w:iCs/>
          <w:color w:val="000000" w:themeColor="text1"/>
          <w:sz w:val="16"/>
          <w:szCs w:val="16"/>
        </w:rPr>
      </w:pPr>
    </w:p>
    <w:p w14:paraId="5BB29FE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 апреля 1935 на ЦВХП (Шиханы) прошли опыты по пребыванию группы красноармейцев на расстоянии 400-1000 м от зараженного ипритом участка без средств защиты кожи, но в противогазах. Все. Кто находился 30-60 мин. Получил поражение кожи (6246).</w:t>
      </w:r>
    </w:p>
    <w:p w14:paraId="6EAD109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0619EF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C1C08D4" w14:textId="77777777" w:rsidR="00D4105E" w:rsidRPr="00E14102" w:rsidRDefault="00D4105E" w:rsidP="00E14102">
      <w:pPr>
        <w:autoSpaceDE w:val="0"/>
        <w:autoSpaceDN w:val="0"/>
        <w:adjustRightInd w:val="0"/>
        <w:jc w:val="both"/>
        <w:rPr>
          <w:iCs/>
          <w:color w:val="000000" w:themeColor="text1"/>
          <w:sz w:val="16"/>
          <w:szCs w:val="16"/>
        </w:rPr>
      </w:pPr>
    </w:p>
    <w:p w14:paraId="1A8B6F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апреля 1935 красная пятерка И-16 отправилась на КП и посредине проезда между ГУМом и Историческим музеем была белая жирная черта - ориентир (1808,8).</w:t>
      </w:r>
    </w:p>
    <w:p w14:paraId="7232289C" w14:textId="77777777" w:rsidR="00D4105E" w:rsidRPr="00E14102" w:rsidRDefault="00D4105E" w:rsidP="00E14102">
      <w:pPr>
        <w:autoSpaceDE w:val="0"/>
        <w:autoSpaceDN w:val="0"/>
        <w:adjustRightInd w:val="0"/>
        <w:jc w:val="both"/>
        <w:rPr>
          <w:color w:val="000000" w:themeColor="text1"/>
          <w:sz w:val="16"/>
          <w:szCs w:val="16"/>
        </w:rPr>
      </w:pPr>
    </w:p>
    <w:p w14:paraId="094CE5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 апреля 1935 г. пилотажники всем составом поехали на место предстоящего действия... Как написал историк авиации М.А. Маслов, «сомкнувшись в небе в виде пятиконечной звезды (рас</w:t>
      </w:r>
      <w:r w:rsidRPr="00E14102">
        <w:rPr>
          <w:color w:val="000000" w:themeColor="text1"/>
          <w:sz w:val="16"/>
          <w:szCs w:val="16"/>
        </w:rPr>
        <w:softHyphen/>
        <w:t>стояние между концами крыльев 1-2 м), [группа] начина</w:t>
      </w:r>
      <w:r w:rsidRPr="00E14102">
        <w:rPr>
          <w:color w:val="000000" w:themeColor="text1"/>
          <w:sz w:val="16"/>
          <w:szCs w:val="16"/>
        </w:rPr>
        <w:softHyphen/>
        <w:t>ла свой отчаянный пилотаж. Самой эффектной фигурой была, конечно же, замедленная восходящая бочка всей группы от самой земли, однако командующий ВВС Яков Алкснис задумал кое-что похлеще, а именно — пролет всей группы над Красной площадью во время первомай</w:t>
      </w:r>
      <w:r w:rsidRPr="00E14102">
        <w:rPr>
          <w:color w:val="000000" w:themeColor="text1"/>
          <w:sz w:val="16"/>
          <w:szCs w:val="16"/>
        </w:rPr>
        <w:softHyphen/>
        <w:t>ского парада. На следующий день 1 мая, пятёрка ярко красных И-16, снизившись ниже крыш зданий, ворвалась на Красную площадь и с оглу</w:t>
      </w:r>
      <w:r w:rsidRPr="00E14102">
        <w:rPr>
          <w:color w:val="000000" w:themeColor="text1"/>
          <w:sz w:val="16"/>
          <w:szCs w:val="16"/>
        </w:rPr>
        <w:softHyphen/>
        <w:t>шительным ревом, вращаясь всей группой как единое це</w:t>
      </w:r>
      <w:r w:rsidRPr="00E14102">
        <w:rPr>
          <w:color w:val="000000" w:themeColor="text1"/>
          <w:sz w:val="16"/>
          <w:szCs w:val="16"/>
        </w:rPr>
        <w:softHyphen/>
        <w:t>лое, «ввинтилась» в небо. Эффект был необычайный!</w:t>
      </w:r>
    </w:p>
    <w:p w14:paraId="6613109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Вернувшись на аэродром, лётчики уже собрались разъехаться к праздничным столам, когда вдруг появился порученец от маршала Ворошилова. Он привёз каж</w:t>
      </w:r>
      <w:r w:rsidRPr="00E14102">
        <w:rPr>
          <w:color w:val="000000" w:themeColor="text1"/>
          <w:sz w:val="16"/>
          <w:szCs w:val="16"/>
        </w:rPr>
        <w:softHyphen/>
        <w:t>дому пилоту петлицы с прикрепленными знаками внеочередных воинских званий и денежную премию — каждому по пять ты</w:t>
      </w:r>
      <w:r w:rsidRPr="00E14102">
        <w:rPr>
          <w:color w:val="000000" w:themeColor="text1"/>
          <w:sz w:val="16"/>
          <w:szCs w:val="16"/>
        </w:rPr>
        <w:softHyphen/>
        <w:t>сяч рублей (легковой автомобиль М-1 («Эмка») тогда стоил 6,5 тыс. руб.). Одно</w:t>
      </w:r>
      <w:r w:rsidRPr="00E14102">
        <w:rPr>
          <w:color w:val="000000" w:themeColor="text1"/>
          <w:sz w:val="16"/>
          <w:szCs w:val="16"/>
        </w:rPr>
        <w:softHyphen/>
        <w:t>временно Ворошилов позвонил сам и, вызвав к телефону [ведущего группы В.К.] Коккинаки, сказал: «Товарищ Сталин вос</w:t>
      </w:r>
      <w:r w:rsidRPr="00E14102">
        <w:rPr>
          <w:color w:val="000000" w:themeColor="text1"/>
          <w:sz w:val="16"/>
          <w:szCs w:val="16"/>
        </w:rPr>
        <w:softHyphen/>
        <w:t>хищён мастерством лётчиков и просит их еще разок пролететь над Москвой». Пос</w:t>
      </w:r>
      <w:r w:rsidRPr="00E14102">
        <w:rPr>
          <w:color w:val="000000" w:themeColor="text1"/>
          <w:sz w:val="16"/>
          <w:szCs w:val="16"/>
        </w:rPr>
        <w:softHyphen/>
        <w:t>ле этого пятёрка ещё и ещё летала над московскими улицами...» (Маслов М.А. Истребитель И-16. М., 1998. С. 8.).</w:t>
      </w:r>
    </w:p>
    <w:p w14:paraId="0470FB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Судя по всему, лётчики-истребители получили приказ на пилотаж над Красной площадью в самый последний день нака</w:t>
      </w:r>
      <w:r w:rsidRPr="00E14102">
        <w:rPr>
          <w:color w:val="000000" w:themeColor="text1"/>
          <w:sz w:val="16"/>
          <w:szCs w:val="16"/>
        </w:rPr>
        <w:softHyphen/>
        <w:t>нуне парада. Не было ли это как-то связано с тем, что в первых двух киносъёмочных по</w:t>
      </w:r>
      <w:r w:rsidRPr="00E14102">
        <w:rPr>
          <w:color w:val="000000" w:themeColor="text1"/>
          <w:sz w:val="16"/>
          <w:szCs w:val="16"/>
        </w:rPr>
        <w:softHyphen/>
        <w:t>летах «МГ» 26 и 28 апреля не удалось осуществить «заказанный» кем-то цирковой аттрак</w:t>
      </w:r>
      <w:r w:rsidRPr="00E14102">
        <w:rPr>
          <w:color w:val="000000" w:themeColor="text1"/>
          <w:sz w:val="16"/>
          <w:szCs w:val="16"/>
        </w:rPr>
        <w:softHyphen/>
        <w:t>цион — сделать петлю с малым радиусом вокруг крыла (и/или фюзеляжа) АНТ-20? Как написал летчик-истребитель и историк авиации Л.М. Вяткин, «представляется весьма ло</w:t>
      </w:r>
      <w:r w:rsidRPr="00E14102">
        <w:rPr>
          <w:color w:val="000000" w:themeColor="text1"/>
          <w:sz w:val="16"/>
          <w:szCs w:val="16"/>
        </w:rPr>
        <w:softHyphen/>
        <w:t>гичным, что начальство ЦАГИ передало Благину чью-то «интересную идею» во время по</w:t>
      </w:r>
      <w:r w:rsidRPr="00E14102">
        <w:rPr>
          <w:color w:val="000000" w:themeColor="text1"/>
          <w:sz w:val="16"/>
          <w:szCs w:val="16"/>
        </w:rPr>
        <w:softHyphen/>
        <w:t>лёта в «рекламных» целях совершить петлю перед объективом кинокамеры. Опытному лётчику такая идея не могла прийти в голову, так как петлю, по правилам безопасности, можно выполнять лишь вокруг неподвижного объекта, скажем, воздушного шара».</w:t>
      </w:r>
    </w:p>
    <w:p w14:paraId="7D6B4F4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Судя по всему, И.В. Сталину хотели во время грандиозного воздушного парада (в нем участвовало более 800 самолётов) показать еще и «воздушный цирк». Только Благиназа два полёта подготовить не успели, вот и пришлось вместо пилотажа вокруг гиганта пу</w:t>
      </w:r>
      <w:r w:rsidRPr="00E14102">
        <w:rPr>
          <w:color w:val="000000" w:themeColor="text1"/>
          <w:sz w:val="16"/>
          <w:szCs w:val="16"/>
        </w:rPr>
        <w:softHyphen/>
        <w:t>стить два истребителя И-4 эскортом у концов крыльев «МГ», а также в самый послед</w:t>
      </w:r>
      <w:r w:rsidRPr="00E14102">
        <w:rPr>
          <w:color w:val="000000" w:themeColor="text1"/>
          <w:sz w:val="16"/>
          <w:szCs w:val="16"/>
        </w:rPr>
        <w:softHyphen/>
        <w:t>ний момент задействовать «красную пятёрку». Ей и достались все аплодисменты вождя и его соратников (11696).</w:t>
      </w:r>
    </w:p>
    <w:p w14:paraId="18CC60B5" w14:textId="59D700A8" w:rsidR="00D4105E" w:rsidRPr="00E14102" w:rsidRDefault="00D4105E" w:rsidP="00E14102">
      <w:pPr>
        <w:shd w:val="clear" w:color="auto" w:fill="FFFFFF"/>
        <w:autoSpaceDE w:val="0"/>
        <w:autoSpaceDN w:val="0"/>
        <w:adjustRightInd w:val="0"/>
        <w:jc w:val="both"/>
        <w:rPr>
          <w:color w:val="000000" w:themeColor="text1"/>
          <w:sz w:val="16"/>
          <w:szCs w:val="16"/>
        </w:rPr>
      </w:pPr>
    </w:p>
    <w:p w14:paraId="28410D2B" w14:textId="3ADB61AC" w:rsidR="005E660C" w:rsidRPr="00E14102" w:rsidRDefault="005E660C" w:rsidP="00E14102">
      <w:pPr>
        <w:shd w:val="clear" w:color="auto" w:fill="FFFFFF"/>
        <w:autoSpaceDE w:val="0"/>
        <w:autoSpaceDN w:val="0"/>
        <w:adjustRightInd w:val="0"/>
        <w:jc w:val="both"/>
        <w:rPr>
          <w:i/>
          <w:iCs/>
          <w:color w:val="000000" w:themeColor="text1"/>
          <w:sz w:val="16"/>
          <w:szCs w:val="16"/>
        </w:rPr>
      </w:pPr>
      <w:r w:rsidRPr="00E14102">
        <w:rPr>
          <w:i/>
          <w:iCs/>
          <w:color w:val="000000" w:themeColor="text1"/>
          <w:sz w:val="16"/>
          <w:szCs w:val="16"/>
        </w:rPr>
        <w:t>За рубежом:</w:t>
      </w:r>
    </w:p>
    <w:p w14:paraId="1D7153C8" w14:textId="77777777" w:rsidR="005E660C" w:rsidRPr="00E14102" w:rsidRDefault="005E660C" w:rsidP="00E14102">
      <w:pPr>
        <w:shd w:val="clear" w:color="auto" w:fill="FFFFFF"/>
        <w:autoSpaceDE w:val="0"/>
        <w:autoSpaceDN w:val="0"/>
        <w:adjustRightInd w:val="0"/>
        <w:jc w:val="both"/>
        <w:rPr>
          <w:i/>
          <w:iCs/>
          <w:color w:val="000000" w:themeColor="text1"/>
          <w:sz w:val="16"/>
          <w:szCs w:val="16"/>
        </w:rPr>
      </w:pPr>
    </w:p>
    <w:p w14:paraId="27262AEB" w14:textId="77777777" w:rsidR="005E660C" w:rsidRPr="00E14102" w:rsidRDefault="005E660C" w:rsidP="00E14102">
      <w:pPr>
        <w:jc w:val="both"/>
        <w:rPr>
          <w:color w:val="0070C0"/>
          <w:sz w:val="16"/>
          <w:szCs w:val="16"/>
        </w:rPr>
      </w:pPr>
      <w:r w:rsidRPr="00E14102">
        <w:rPr>
          <w:color w:val="0070C0"/>
          <w:sz w:val="16"/>
          <w:szCs w:val="16"/>
        </w:rPr>
        <w:t>30 апреля 1935 - Дуглас DC-1 авиакомпании TWA побил собственный трансконтинентальный рекорд, пролетев из Бербанка, штат Калифорния, в Нью-йорк за 11 часов 5 минут (22517).</w:t>
      </w:r>
    </w:p>
    <w:p w14:paraId="7E49372F" w14:textId="77777777" w:rsidR="005E660C" w:rsidRPr="00E14102" w:rsidRDefault="005E660C" w:rsidP="00E14102">
      <w:pPr>
        <w:jc w:val="both"/>
        <w:rPr>
          <w:color w:val="0070C0"/>
          <w:sz w:val="16"/>
          <w:szCs w:val="16"/>
        </w:rPr>
      </w:pPr>
    </w:p>
    <w:p w14:paraId="73A6CF6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16F7F7A" w14:textId="77777777" w:rsidR="00D4105E" w:rsidRPr="00E14102" w:rsidRDefault="00D4105E" w:rsidP="00E14102">
      <w:pPr>
        <w:autoSpaceDE w:val="0"/>
        <w:autoSpaceDN w:val="0"/>
        <w:adjustRightInd w:val="0"/>
        <w:jc w:val="both"/>
        <w:rPr>
          <w:iCs/>
          <w:color w:val="000000" w:themeColor="text1"/>
          <w:sz w:val="16"/>
          <w:szCs w:val="16"/>
        </w:rPr>
      </w:pPr>
    </w:p>
    <w:p w14:paraId="0D7A5C3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конце апреля 1935 г. полеты АНТ-20 возобновились во время подготовки к перво</w:t>
      </w:r>
      <w:r w:rsidRPr="00E14102">
        <w:rPr>
          <w:color w:val="000000" w:themeColor="text1"/>
          <w:sz w:val="16"/>
          <w:szCs w:val="16"/>
        </w:rPr>
        <w:softHyphen/>
        <w:t>майскому параду. 1 мая «Максим Горький» флагманом парадной колонны в несколько сотен самолётов еще раз пролетел над Красной площадью. Чтобы подчеркнуть разме</w:t>
      </w:r>
      <w:r w:rsidRPr="00E14102">
        <w:rPr>
          <w:color w:val="000000" w:themeColor="text1"/>
          <w:sz w:val="16"/>
          <w:szCs w:val="16"/>
        </w:rPr>
        <w:softHyphen/>
        <w:t>ры гиганта, у концов его крыльев летели два миниатюрных истребителя И-4. Самолё</w:t>
      </w:r>
      <w:r w:rsidRPr="00E14102">
        <w:rPr>
          <w:color w:val="000000" w:themeColor="text1"/>
          <w:sz w:val="16"/>
          <w:szCs w:val="16"/>
        </w:rPr>
        <w:softHyphen/>
        <w:t>том управлял Герой Советского Союза М.М. Громов, вечером того же дня попавший в больницу из-за открывшейся язвы желудка. Вероятно, это спасло ему жизнь (11696).</w:t>
      </w:r>
    </w:p>
    <w:p w14:paraId="2A315F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3328564" w14:textId="77777777" w:rsidR="000A1D71" w:rsidRPr="00E14102" w:rsidRDefault="000A1D71"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4341BDB" w14:textId="77777777" w:rsidR="000A1D71" w:rsidRPr="00E14102" w:rsidRDefault="000A1D71" w:rsidP="00E14102">
      <w:pPr>
        <w:autoSpaceDE w:val="0"/>
        <w:autoSpaceDN w:val="0"/>
        <w:adjustRightInd w:val="0"/>
        <w:jc w:val="both"/>
        <w:rPr>
          <w:iCs/>
          <w:color w:val="000000" w:themeColor="text1"/>
          <w:sz w:val="16"/>
          <w:szCs w:val="16"/>
        </w:rPr>
      </w:pPr>
    </w:p>
    <w:p w14:paraId="5E1D61D2" w14:textId="77777777" w:rsidR="000A1D71" w:rsidRPr="00E14102" w:rsidRDefault="000A1D71" w:rsidP="00E14102">
      <w:pPr>
        <w:jc w:val="both"/>
        <w:rPr>
          <w:color w:val="000000" w:themeColor="text1"/>
          <w:sz w:val="16"/>
          <w:szCs w:val="16"/>
        </w:rPr>
      </w:pPr>
      <w:r w:rsidRPr="00E14102">
        <w:rPr>
          <w:color w:val="000000" w:themeColor="text1"/>
          <w:sz w:val="16"/>
          <w:szCs w:val="16"/>
        </w:rPr>
        <w:t xml:space="preserve">В конце апреля 1935 г. К.Е. Ворошиловым с народным комиссаром тяжелой промышленности Г.К. Орджоникидзе ряда вопросов управляющему Трестом специального машиностроения (Спецмаштрест) НКТП К.А. Нейману было дано личное указание об изготовлении в 1935 г. шести опытных танков </w:t>
      </w:r>
      <w:r w:rsidRPr="00E14102">
        <w:rPr>
          <w:iCs/>
          <w:color w:val="000000" w:themeColor="text1"/>
          <w:sz w:val="16"/>
          <w:szCs w:val="16"/>
        </w:rPr>
        <w:t>«новейшей конструкции»</w:t>
      </w:r>
      <w:r w:rsidRPr="00E14102">
        <w:rPr>
          <w:color w:val="000000" w:themeColor="text1"/>
          <w:sz w:val="16"/>
          <w:szCs w:val="16"/>
        </w:rPr>
        <w:t xml:space="preserve">. Во исполнение данного указания, 4 мая 1935 г. по Спецмаштресту (в чьем ведении находились заводы производившие танки) был издан </w:t>
      </w:r>
      <w:hyperlink r:id="rId87" w:tgtFrame="_blank" w:history="1">
        <w:r w:rsidRPr="00E14102">
          <w:rPr>
            <w:color w:val="000000" w:themeColor="text1"/>
            <w:sz w:val="16"/>
            <w:szCs w:val="16"/>
          </w:rPr>
          <w:t>приказ № П-9сс</w:t>
        </w:r>
      </w:hyperlink>
      <w:r w:rsidRPr="00E14102">
        <w:rPr>
          <w:color w:val="000000" w:themeColor="text1"/>
          <w:sz w:val="16"/>
          <w:szCs w:val="16"/>
        </w:rPr>
        <w:t xml:space="preserve">, в котором, в частности, было указано: </w:t>
      </w:r>
    </w:p>
    <w:p w14:paraId="283E9726" w14:textId="77777777" w:rsidR="000A1D71" w:rsidRPr="00E14102" w:rsidRDefault="000A1D71" w:rsidP="00E14102">
      <w:pPr>
        <w:jc w:val="both"/>
        <w:rPr>
          <w:color w:val="000000" w:themeColor="text1"/>
          <w:sz w:val="16"/>
          <w:szCs w:val="16"/>
        </w:rPr>
      </w:pPr>
      <w:r w:rsidRPr="00E14102">
        <w:rPr>
          <w:iCs/>
          <w:color w:val="000000" w:themeColor="text1"/>
          <w:sz w:val="16"/>
          <w:szCs w:val="16"/>
        </w:rPr>
        <w:t>«Директору ХПЗ тов. БОНДАРЕНКО немедленно заключить с АБТУ РККА соглашение на изготовление ТРЕХ опытных образцов танка БТ-ИС конструкции тов. ЦЫГАНОВА с шестью ведущими и шестью управляемыми колесами»</w:t>
      </w:r>
      <w:r w:rsidRPr="00E14102">
        <w:rPr>
          <w:color w:val="000000" w:themeColor="text1"/>
          <w:sz w:val="16"/>
          <w:szCs w:val="16"/>
        </w:rPr>
        <w:t xml:space="preserve"> и </w:t>
      </w:r>
      <w:r w:rsidRPr="00E14102">
        <w:rPr>
          <w:iCs/>
          <w:color w:val="000000" w:themeColor="text1"/>
          <w:sz w:val="16"/>
          <w:szCs w:val="16"/>
        </w:rPr>
        <w:t>«Директору Опытного завода им. Кирова тов. БАРЫКОВУ немедленно заключить с АБТУ РККА соглашение на изготовление ТРЕХ опытных образцов танка БТ-ИС, конструкции тов. ЦЫГАНОВА с новой гусеницей и подвеской».</w:t>
      </w:r>
    </w:p>
    <w:p w14:paraId="043948D4" w14:textId="77777777" w:rsidR="000A1D71" w:rsidRPr="00E14102" w:rsidRDefault="000A1D71" w:rsidP="00E14102">
      <w:pPr>
        <w:jc w:val="both"/>
        <w:rPr>
          <w:color w:val="000000" w:themeColor="text1"/>
          <w:sz w:val="16"/>
          <w:szCs w:val="16"/>
        </w:rPr>
      </w:pPr>
      <w:r w:rsidRPr="00E14102">
        <w:rPr>
          <w:bCs/>
          <w:color w:val="000000" w:themeColor="text1"/>
          <w:sz w:val="16"/>
          <w:szCs w:val="16"/>
        </w:rPr>
        <w:t>[</w:t>
      </w:r>
      <w:r w:rsidRPr="00E14102">
        <w:rPr>
          <w:bCs/>
          <w:iCs/>
          <w:color w:val="000000" w:themeColor="text1"/>
          <w:sz w:val="16"/>
          <w:szCs w:val="16"/>
        </w:rPr>
        <w:t>Малышев Г.Н.</w:t>
      </w:r>
      <w:r w:rsidRPr="00E14102">
        <w:rPr>
          <w:bCs/>
          <w:color w:val="000000" w:themeColor="text1"/>
          <w:sz w:val="16"/>
          <w:szCs w:val="16"/>
        </w:rPr>
        <w:t xml:space="preserve"> Танки завода имени С.М. Кирова. Производственная деятельность завода в период с 1934 года по 1941 год (в документах): рукопись. СПб., 2005. С. 57] (17502).</w:t>
      </w:r>
    </w:p>
    <w:p w14:paraId="24AB8D16" w14:textId="77777777" w:rsidR="000A1D71" w:rsidRPr="00E14102" w:rsidRDefault="000A1D71" w:rsidP="00E14102">
      <w:pPr>
        <w:jc w:val="both"/>
        <w:rPr>
          <w:color w:val="000000" w:themeColor="text1"/>
          <w:sz w:val="16"/>
          <w:szCs w:val="16"/>
        </w:rPr>
      </w:pPr>
    </w:p>
    <w:p w14:paraId="645054F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8D7741E" w14:textId="77777777" w:rsidR="00D4105E" w:rsidRPr="00E14102" w:rsidRDefault="00D4105E" w:rsidP="00E14102">
      <w:pPr>
        <w:autoSpaceDE w:val="0"/>
        <w:autoSpaceDN w:val="0"/>
        <w:adjustRightInd w:val="0"/>
        <w:jc w:val="both"/>
        <w:rPr>
          <w:iCs/>
          <w:color w:val="000000" w:themeColor="text1"/>
          <w:sz w:val="16"/>
          <w:szCs w:val="16"/>
        </w:rPr>
      </w:pPr>
    </w:p>
    <w:p w14:paraId="7C8EA9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г. на основании плана опытного строительства на базе самолета ЦКБ-26 проектировался бомбардировщик дальнего действия ЦКБ-30 со следующими основными показателями: максимальная скорость 400-415 км/ч на высоте полета 4000-4500 м, дальность полета 4500 км, потолок 9000 м, бомбовая нагрузка 600-1000 кг. Предполагалось строить оба типа ильюшинских бомбардировщиков (9501).</w:t>
      </w:r>
    </w:p>
    <w:p w14:paraId="080B23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"План опытного строительства самолетов на 1936-37 гг.", подготовленный как приложение к Постановлению СТО № OK-lcc </w:t>
      </w:r>
    </w:p>
    <w:p w14:paraId="2E4D40D5" w14:textId="77777777" w:rsidR="00D4105E" w:rsidRPr="00E14102" w:rsidRDefault="00D4105E" w:rsidP="00E14102">
      <w:pPr>
        <w:autoSpaceDE w:val="0"/>
        <w:autoSpaceDN w:val="0"/>
        <w:adjustRightInd w:val="0"/>
        <w:jc w:val="both"/>
        <w:rPr>
          <w:color w:val="000000" w:themeColor="text1"/>
          <w:sz w:val="16"/>
          <w:szCs w:val="16"/>
        </w:rPr>
      </w:pPr>
    </w:p>
    <w:p w14:paraId="64BCF6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г. Правительством был утвержден план опытного строительства, которым СБ з-да № 39 развивался в бомбардировщик дальнего действия (таким образом, оба типа были объединены в один), со сроком сдачи на Государственные испытания к 1 февраля 1936 г. (9501).</w:t>
      </w:r>
    </w:p>
    <w:p w14:paraId="404200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Четырнадцатая строка "Плана опытного строительства самолетов на 1936-37 гг." выглядит следующим образом:</w:t>
      </w:r>
    </w:p>
    <w:p w14:paraId="3F23AD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"Бомбардировщик дальнего действия с 2 моторами М-85 ЦКБ-26... (далее следуют основные летные данные -авт.)...зав..№ 39......Первый экземпляр с пониженной дальностью выпускается к 1.1У. 36 г. ".</w:t>
      </w:r>
    </w:p>
    <w:p w14:paraId="56C7BD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 есть "План..." предусматривал срок выпуска самолета к 1 апреля 1936 г.</w:t>
      </w:r>
    </w:p>
    <w:p w14:paraId="47B7AE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не удалось начать работы по изготовлению АНТ-42 с М-34ФРН и пятым М-100 для достижения дальности в 12000 м, т.к. было принято решение о применении в планере высокопрочных дюралевых сплавов ВВ и М-95, а также сталь 30 ХГСА для силовой конструкции (2122).</w:t>
      </w:r>
    </w:p>
    <w:p w14:paraId="6CC0E777" w14:textId="77777777" w:rsidR="00D4105E" w:rsidRPr="00E14102" w:rsidRDefault="00D4105E" w:rsidP="00E14102">
      <w:pPr>
        <w:autoSpaceDE w:val="0"/>
        <w:autoSpaceDN w:val="0"/>
        <w:adjustRightInd w:val="0"/>
        <w:jc w:val="both"/>
        <w:rPr>
          <w:color w:val="000000" w:themeColor="text1"/>
          <w:sz w:val="16"/>
          <w:szCs w:val="16"/>
        </w:rPr>
      </w:pPr>
    </w:p>
    <w:p w14:paraId="6EE5FF95" w14:textId="77777777" w:rsidR="000319FF" w:rsidRPr="00E14102" w:rsidRDefault="000319FF" w:rsidP="00E14102">
      <w:pPr>
        <w:jc w:val="both"/>
        <w:rPr>
          <w:color w:val="0070C0"/>
          <w:sz w:val="16"/>
          <w:szCs w:val="16"/>
        </w:rPr>
      </w:pPr>
      <w:r w:rsidRPr="00E14102">
        <w:rPr>
          <w:color w:val="0070C0"/>
          <w:sz w:val="16"/>
          <w:szCs w:val="16"/>
        </w:rPr>
        <w:t>В апреле 1935 г. СТО утвердил план развития ВВС на 1935-1937 годы, согласно которого авиация увеличивалась в 3 раза, а ВВС превращались в мощный вид Вооруженных Сил, решающий самостоятельные оперативные задачи (21402).</w:t>
      </w:r>
    </w:p>
    <w:p w14:paraId="088AF529" w14:textId="77777777" w:rsidR="000319FF" w:rsidRPr="00E14102" w:rsidRDefault="000319FF" w:rsidP="00E14102">
      <w:pPr>
        <w:jc w:val="both"/>
        <w:rPr>
          <w:color w:val="0070C0"/>
          <w:sz w:val="16"/>
          <w:szCs w:val="16"/>
        </w:rPr>
      </w:pPr>
    </w:p>
    <w:p w14:paraId="55EBED73" w14:textId="77777777" w:rsidR="000319FF" w:rsidRPr="00E14102" w:rsidRDefault="000319FF" w:rsidP="00E14102">
      <w:pPr>
        <w:shd w:val="clear" w:color="auto" w:fill="FFFFFF"/>
        <w:jc w:val="both"/>
        <w:rPr>
          <w:color w:val="0070C0"/>
          <w:sz w:val="16"/>
          <w:szCs w:val="16"/>
        </w:rPr>
      </w:pPr>
      <w:r w:rsidRPr="00E14102">
        <w:rPr>
          <w:color w:val="0070C0"/>
          <w:sz w:val="16"/>
          <w:szCs w:val="16"/>
        </w:rPr>
        <w:t>В апреле 1935 г. был утвержден очередной план опытного строительства самолетов, которым Ильюшину предписывалось по</w:t>
      </w:r>
      <w:r w:rsidRPr="00E14102">
        <w:rPr>
          <w:color w:val="0070C0"/>
          <w:sz w:val="16"/>
          <w:szCs w:val="16"/>
        </w:rPr>
        <w:softHyphen/>
        <w:t>строить бомбардировщик с дальностью полета 4500 км. Конструктор считал вы</w:t>
      </w:r>
      <w:r w:rsidRPr="00E14102">
        <w:rPr>
          <w:color w:val="0070C0"/>
          <w:sz w:val="16"/>
          <w:szCs w:val="16"/>
        </w:rPr>
        <w:softHyphen/>
        <w:t>полнение этого требования вполне ре</w:t>
      </w:r>
      <w:r w:rsidRPr="00E14102">
        <w:rPr>
          <w:color w:val="0070C0"/>
          <w:sz w:val="16"/>
          <w:szCs w:val="16"/>
        </w:rPr>
        <w:softHyphen/>
        <w:t>альным, так как новый самолет отличали высокое аэродинамическое совершенст</w:t>
      </w:r>
      <w:r w:rsidRPr="00E14102">
        <w:rPr>
          <w:color w:val="0070C0"/>
          <w:sz w:val="16"/>
          <w:szCs w:val="16"/>
        </w:rPr>
        <w:softHyphen/>
        <w:t>во, экономичные двигатели и большая прочность конструкции, что позволяло за счет увеличения полетной массы брать на борт больше топлива.</w:t>
      </w:r>
    </w:p>
    <w:p w14:paraId="57014086" w14:textId="77777777" w:rsidR="000319FF" w:rsidRPr="00E14102" w:rsidRDefault="000319FF" w:rsidP="00E14102">
      <w:pPr>
        <w:jc w:val="both"/>
        <w:rPr>
          <w:color w:val="0070C0"/>
          <w:sz w:val="16"/>
          <w:szCs w:val="16"/>
        </w:rPr>
      </w:pPr>
      <w:r w:rsidRPr="00E14102">
        <w:rPr>
          <w:color w:val="0070C0"/>
          <w:sz w:val="16"/>
          <w:szCs w:val="16"/>
        </w:rPr>
        <w:t>Правда, и в этой нише у Ильюшина был сильный конкурент. Завод опытных конструкций ЦАГИ уже вел постройку АНТ-37 — прототипа дальнего бомбарди</w:t>
      </w:r>
      <w:r w:rsidRPr="00E14102">
        <w:rPr>
          <w:color w:val="0070C0"/>
          <w:sz w:val="16"/>
          <w:szCs w:val="16"/>
        </w:rPr>
        <w:softHyphen/>
        <w:t>ровщика ДБ-2. Он был спроектирован в соответствии с господствующей в то время теорией, гласившей: чтобы летать далеко, нужно летать медленно, так как аэродинамическое сопротивление прямо пропорционально квадрату скорости. Поэтому самолет имел толстое крыло большого удлинения с малой удельной нагрузкой. Ильюшин полагал, что реаль</w:t>
      </w:r>
      <w:r w:rsidRPr="00E14102">
        <w:rPr>
          <w:color w:val="0070C0"/>
          <w:sz w:val="16"/>
          <w:szCs w:val="16"/>
        </w:rPr>
        <w:softHyphen/>
        <w:t>ная боевая эффективность тихоходного и неманевренного ДБ-2 будет гораздо ниже, чем его более скоростного бом</w:t>
      </w:r>
      <w:r w:rsidRPr="00E14102">
        <w:rPr>
          <w:color w:val="0070C0"/>
          <w:sz w:val="16"/>
          <w:szCs w:val="16"/>
        </w:rPr>
        <w:softHyphen/>
        <w:t>бардировщика. Однако он вполне резон</w:t>
      </w:r>
      <w:r w:rsidRPr="00E14102">
        <w:rPr>
          <w:color w:val="0070C0"/>
          <w:sz w:val="16"/>
          <w:szCs w:val="16"/>
        </w:rPr>
        <w:softHyphen/>
        <w:t>но опасался, что Туполев, пользуясь своим авторитетом, убедит военных за</w:t>
      </w:r>
      <w:r w:rsidRPr="00E14102">
        <w:rPr>
          <w:color w:val="0070C0"/>
          <w:sz w:val="16"/>
          <w:szCs w:val="16"/>
        </w:rPr>
        <w:softHyphen/>
        <w:t>пустить в серию именно ДБ-2 (19944).</w:t>
      </w:r>
    </w:p>
    <w:p w14:paraId="66153629" w14:textId="77777777" w:rsidR="000319FF" w:rsidRPr="00E14102" w:rsidRDefault="000319FF" w:rsidP="00E14102">
      <w:pPr>
        <w:jc w:val="both"/>
        <w:rPr>
          <w:color w:val="0070C0"/>
          <w:sz w:val="16"/>
          <w:szCs w:val="16"/>
        </w:rPr>
      </w:pPr>
    </w:p>
    <w:p w14:paraId="3F7CAB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г. появилось задан не на самолет ТК -4. Сравнение его с заданием на ТК-1 показывает, что это, скорее всего, одна и та же машина. Во всяком случае, требуемые летные данные совпадают, но несколько отличается комплектация оборудованием и вооружением, а также в него включили более развернутую преамбулу о назначении и тактических приемах. Исполнителем работы в документах по ТК-4 числится Управление спецработ НКТП на заводе № 22.</w:t>
      </w:r>
    </w:p>
    <w:p w14:paraId="2CDE77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То ли речь идет просто об опечатке, и это уточненное задание на ТК-1, толи изменилась организация-исполнитель и задание выдали по новой, как на другой самолет. Никаких следов ТК-2 или ТК-3 отыскать не удалось.</w:t>
      </w:r>
    </w:p>
    <w:p w14:paraId="6D996A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Задача ТК-4 определялась как "боевое охранение авиации дальнего действия". "Тяжелые крейсера" должны были действовать небольшими группами, сопровождая тяжелые бомбардировщики. Интересно, что среди тактических приемов заданием предусматривался бой их с бомбовозами или "тяжелыми крейсерами" противника на параллельных курсах, что являлось воспроизведением известной "линей ной тактики" флотов парусных кораблей. Представлялось это, видимо, так: летят, палят друг в друга из всех стволов и ждут, кто первый упадет или у кого кончатся патроны.</w:t>
      </w:r>
    </w:p>
    <w:p w14:paraId="319C02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 складывалось из трех 20-мм пушек ШВАК, трех пулеметов ШКАС и восьми реактивных снарядов РС- 132. Последние должны были подвешиваться под крыльями. Ракетами собирались стрелять вперед, разгоняя истребители противника. Предусматривались два наружных бомбодержателя Дер-19, на которых должны были подвешиваться ротативно-рассеивающие бомбы РРАБ или химические бомбы калибром до 250 кг.</w:t>
      </w:r>
    </w:p>
    <w:p w14:paraId="490D07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носу самолета монтировалась электрифицированная турель-башня с пушкой ШВАК; подобная установка находилась и сверху фюзеляжа за крылом. Третья электрифицированная пушечная установка располагалась в выдвижной нижней башне. Все три пушки имели боезапас по 1000 снарядов. Один пулемет ШКАС стоял в кормовой экранированной установке с запасом в 2000 патронов. Насчет еще двух ситуация не совсем ясна: то ли предусматривалась спарка, перебрасываемая с борта на борт, либо две отдельных бортовых амбразурных установки, каждая с одним пулеметом ШКАС. Для них тоже требовалось обеспечить боезапас в 2000 патронов (на два ствола).</w:t>
      </w:r>
    </w:p>
    <w:p w14:paraId="13D4D4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оборудование ТК-4 по проекту входили автопилот АВП-3, мощная радиостанция РЭС и фотоаппарат АФА-15. Связь между членами экипажа обеспечивалась электропневмопочтой и переговорным устройством СПУ-9. Поскольку последнее являлось новинкой и работало весьма ненадежно, для подстраховки предусмотрели обычный шланг с "ртом" и "ухом" между пилотами и штурманом. Требовавшуюся по заданию шифровальную машинку в проект заложили, несмотря на ее фактическое отсутствие. Экипаж ТК-4 соответствовал требуемому для ТК-1 - 11 человек.</w:t>
      </w:r>
    </w:p>
    <w:p w14:paraId="66F908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Нормальный полетный вес "тяжелого крейсера" по расчетам составлял 17 960 кг, максимальный - 22 290 кг. Опытный образец самолета рассчитывали вывести на испытания к 1 декабря 1935 г., но в срок не уложились.</w:t>
      </w:r>
    </w:p>
    <w:p w14:paraId="7ACCA0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над проектом осложнялась отсутствием значительной части оборудования и вооружения, вписанного в задание. Работы шли до конца 1936 г., когда их прекратили в связи с сокращением расходов и уменьшением количества тем для конструкторов.</w:t>
      </w:r>
    </w:p>
    <w:p w14:paraId="172394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Возможно, влияние на это оказало появление ильюшинского дальнего бомбардировщика ДБ-3, поначалу из-за своей скорости в "крейсерах" не нуждавшегося. Но время шло, и решили что и ему нужен свой "крейсер". Сделали его на базе самого ДБ-3. Машина называлась ЦКБ-54 или ДБ- ЗСС и классифицировалась как "самолет сопровождения бомбардировщиков". От базового варианта она отличалась усиленным вооружением, включавшим две пушки. ЦКБ- 54 построили в двух экземплярах, разнившихся моторами и размещением пулеметов. Как и в случае с Р-6, перегруженный оружием и боеприпасами "крейсер" оказался тихоходнее бомбардировщиков, которые должен был эскортировать. Это был последний самолет данного класса в СССР (12036).</w:t>
      </w:r>
    </w:p>
    <w:p w14:paraId="4B0A33AA" w14:textId="77777777" w:rsidR="00D4105E" w:rsidRPr="00E14102" w:rsidRDefault="00D4105E" w:rsidP="00E14102">
      <w:pPr>
        <w:autoSpaceDE w:val="0"/>
        <w:autoSpaceDN w:val="0"/>
        <w:adjustRightInd w:val="0"/>
        <w:jc w:val="both"/>
        <w:rPr>
          <w:color w:val="000000" w:themeColor="text1"/>
          <w:sz w:val="16"/>
          <w:szCs w:val="16"/>
        </w:rPr>
      </w:pPr>
    </w:p>
    <w:p w14:paraId="616CE3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Я.Н.Алкснис утвердил ТТТ на АНТ-41. Главное - легкий крейсер - ЛК4, потом - торпедоносец - дальность - 3000 м, скорость - 300-340 км/ч, вес - 9150 кг, движки - М-34ФРН. Экипаж - 4 человека. Торпеда - ТАНФ - 920. По требованиям военных - торпедометание с низких высот. В июле 1935 сделали аэродинамический расчет. Потом главным оружием признали торпеды и поэтому стал Т-1 (132,7).</w:t>
      </w:r>
    </w:p>
    <w:p w14:paraId="2966C19B" w14:textId="77777777" w:rsidR="00D4105E" w:rsidRPr="00E14102" w:rsidRDefault="00D4105E" w:rsidP="00E14102">
      <w:pPr>
        <w:autoSpaceDE w:val="0"/>
        <w:autoSpaceDN w:val="0"/>
        <w:adjustRightInd w:val="0"/>
        <w:jc w:val="both"/>
        <w:rPr>
          <w:color w:val="000000" w:themeColor="text1"/>
          <w:sz w:val="16"/>
          <w:szCs w:val="16"/>
        </w:rPr>
      </w:pPr>
    </w:p>
    <w:p w14:paraId="661E30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первые ТТТ на АНТ-41 были готовы в августе 1934, а вторые - в июне 1936 (2232,39).</w:t>
      </w:r>
    </w:p>
    <w:p w14:paraId="2F41F120" w14:textId="77777777" w:rsidR="00D4105E" w:rsidRPr="00E14102" w:rsidRDefault="00D4105E" w:rsidP="00E14102">
      <w:pPr>
        <w:autoSpaceDE w:val="0"/>
        <w:autoSpaceDN w:val="0"/>
        <w:adjustRightInd w:val="0"/>
        <w:jc w:val="both"/>
        <w:rPr>
          <w:color w:val="000000" w:themeColor="text1"/>
          <w:sz w:val="16"/>
          <w:szCs w:val="16"/>
        </w:rPr>
      </w:pPr>
    </w:p>
    <w:p w14:paraId="0FCC20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началась постройка АНТ-41 в опытном производстве (2232,39).</w:t>
      </w:r>
    </w:p>
    <w:p w14:paraId="24FE5055" w14:textId="77777777" w:rsidR="00D4105E" w:rsidRPr="00E14102" w:rsidRDefault="00D4105E" w:rsidP="00E14102">
      <w:pPr>
        <w:autoSpaceDE w:val="0"/>
        <w:autoSpaceDN w:val="0"/>
        <w:adjustRightInd w:val="0"/>
        <w:jc w:val="both"/>
        <w:rPr>
          <w:color w:val="000000" w:themeColor="text1"/>
          <w:sz w:val="16"/>
          <w:szCs w:val="16"/>
        </w:rPr>
      </w:pPr>
    </w:p>
    <w:p w14:paraId="4B5C83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начались эксплуатационные испытания ХАИ-1 на линии Киев - Москва, а с начала 1936 на линии Москва - Симферополь (143,23).</w:t>
      </w:r>
    </w:p>
    <w:p w14:paraId="373C0EA7" w14:textId="77777777" w:rsidR="00D4105E" w:rsidRPr="00E14102" w:rsidRDefault="00D4105E" w:rsidP="00E14102">
      <w:pPr>
        <w:autoSpaceDE w:val="0"/>
        <w:autoSpaceDN w:val="0"/>
        <w:adjustRightInd w:val="0"/>
        <w:jc w:val="both"/>
        <w:rPr>
          <w:color w:val="000000" w:themeColor="text1"/>
          <w:sz w:val="16"/>
          <w:szCs w:val="16"/>
        </w:rPr>
      </w:pPr>
    </w:p>
    <w:p w14:paraId="160AF4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апрелю 1935 г. закончили предварительный вари</w:t>
      </w:r>
      <w:r w:rsidRPr="00E14102">
        <w:rPr>
          <w:color w:val="000000" w:themeColor="text1"/>
          <w:sz w:val="16"/>
          <w:szCs w:val="16"/>
        </w:rPr>
        <w:softHyphen/>
        <w:t>ант ЦКБ-25 (И-18). В нем для снижения аэродинамиче</w:t>
      </w:r>
      <w:r w:rsidRPr="00E14102">
        <w:rPr>
          <w:color w:val="000000" w:themeColor="text1"/>
          <w:sz w:val="16"/>
          <w:szCs w:val="16"/>
        </w:rPr>
        <w:softHyphen/>
        <w:t>ского сопротивления предполагалось отказаться от радиаторов. Снизу моторамы крепился маслобак с по</w:t>
      </w:r>
      <w:r w:rsidRPr="00E14102">
        <w:rPr>
          <w:color w:val="000000" w:themeColor="text1"/>
          <w:sz w:val="16"/>
          <w:szCs w:val="16"/>
        </w:rPr>
        <w:softHyphen/>
        <w:t>верхностным охлаждением, а для охлаждения двигателя установлена испарительная система, для чего поверх</w:t>
      </w:r>
      <w:r w:rsidRPr="00E14102">
        <w:rPr>
          <w:color w:val="000000" w:themeColor="text1"/>
          <w:sz w:val="16"/>
          <w:szCs w:val="16"/>
        </w:rPr>
        <w:softHyphen/>
        <w:t>ность крыла за лонжероном использовалась под секции для охлаждения пара, выполненные из нержавеющей стали. Размах крыла уменьшили до 8,3 м и поэтому его площадь стала равной 13,45 м</w:t>
      </w:r>
      <w:r w:rsidRPr="00E14102">
        <w:rPr>
          <w:color w:val="000000" w:themeColor="text1"/>
          <w:sz w:val="16"/>
          <w:szCs w:val="16"/>
          <w:vertAlign w:val="superscript"/>
        </w:rPr>
        <w:t>2</w:t>
      </w:r>
      <w:r w:rsidRPr="00E14102">
        <w:rPr>
          <w:color w:val="000000" w:themeColor="text1"/>
          <w:sz w:val="16"/>
          <w:szCs w:val="16"/>
        </w:rPr>
        <w:t>. Остальные элементы конструкции были аналогичны И-17 (ЦКБ-19), но меха</w:t>
      </w:r>
      <w:r w:rsidRPr="00E14102">
        <w:rPr>
          <w:color w:val="000000" w:themeColor="text1"/>
          <w:sz w:val="16"/>
          <w:szCs w:val="16"/>
        </w:rPr>
        <w:softHyphen/>
        <w:t>низм уборки шасси - масляно-пневматический и каби</w:t>
      </w:r>
      <w:r w:rsidRPr="00E14102">
        <w:rPr>
          <w:color w:val="000000" w:themeColor="text1"/>
          <w:sz w:val="16"/>
          <w:szCs w:val="16"/>
        </w:rPr>
        <w:softHyphen/>
        <w:t>на сдвинута на 300 мм назад. Вооружение состояло из ШКАС-2 (так первоначально обозначался 12,7-мм пуле</w:t>
      </w:r>
      <w:r w:rsidRPr="00E14102">
        <w:rPr>
          <w:color w:val="000000" w:themeColor="text1"/>
          <w:sz w:val="16"/>
          <w:szCs w:val="16"/>
        </w:rPr>
        <w:softHyphen/>
        <w:t>мет, затем пушка ШВАК), стреляющего через полую ось редуктора, и двух пулеметов ШКАС в крыле (10667).</w:t>
      </w:r>
    </w:p>
    <w:p w14:paraId="3D468EE8" w14:textId="77777777" w:rsidR="00D4105E" w:rsidRPr="00E14102" w:rsidRDefault="00D4105E" w:rsidP="00E14102">
      <w:pPr>
        <w:autoSpaceDE w:val="0"/>
        <w:autoSpaceDN w:val="0"/>
        <w:adjustRightInd w:val="0"/>
        <w:jc w:val="both"/>
        <w:rPr>
          <w:color w:val="000000" w:themeColor="text1"/>
          <w:sz w:val="16"/>
          <w:szCs w:val="16"/>
        </w:rPr>
      </w:pPr>
    </w:p>
    <w:p w14:paraId="56E540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закончились работы по разработки проекта установки на И-16 закупленного во Франции Гном Рон Мистраль Мажор, которые велись с декабря 1934. Двигатель только внедрялся и проект потом взял Сильванский (1808,13).</w:t>
      </w:r>
    </w:p>
    <w:p w14:paraId="33E1E5DB" w14:textId="77777777" w:rsidR="00D4105E" w:rsidRPr="00E14102" w:rsidRDefault="00D4105E" w:rsidP="00E14102">
      <w:pPr>
        <w:autoSpaceDE w:val="0"/>
        <w:autoSpaceDN w:val="0"/>
        <w:adjustRightInd w:val="0"/>
        <w:jc w:val="both"/>
        <w:rPr>
          <w:color w:val="000000" w:themeColor="text1"/>
          <w:sz w:val="16"/>
          <w:szCs w:val="16"/>
        </w:rPr>
      </w:pPr>
    </w:p>
    <w:p w14:paraId="7C3BC8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г. проект самолета с двигателем Гном-Рон "Мистраль-Мажор" мощностью 850 л.с., получивший обозначение И-19 (ЦКБ-25), был готов. На расчетной высоте 3000 м ожидаюсь получить максимальную скорость 483 км/ч. На практике появление двигателя произошло лишь в 1936 г. и поэтому реализация самолета не состоялась. Обозначение И-19 (ЦКБ-25) позднее использовали для разрабатываемого варианта И-17 с форсированным двигателем М-34. рассчитанным на гликолевос охлаждение (12015).</w:t>
      </w:r>
    </w:p>
    <w:p w14:paraId="1C838942" w14:textId="77777777" w:rsidR="00D4105E" w:rsidRPr="00E14102" w:rsidRDefault="00D4105E" w:rsidP="00E14102">
      <w:pPr>
        <w:autoSpaceDE w:val="0"/>
        <w:autoSpaceDN w:val="0"/>
        <w:adjustRightInd w:val="0"/>
        <w:jc w:val="both"/>
        <w:rPr>
          <w:color w:val="000000" w:themeColor="text1"/>
          <w:sz w:val="16"/>
          <w:szCs w:val="16"/>
        </w:rPr>
      </w:pPr>
    </w:p>
    <w:p w14:paraId="7D357639" w14:textId="77777777" w:rsidR="00DF734F" w:rsidRPr="00E14102" w:rsidRDefault="00DF734F" w:rsidP="00E14102">
      <w:pPr>
        <w:jc w:val="both"/>
        <w:rPr>
          <w:color w:val="000000" w:themeColor="text1"/>
          <w:sz w:val="16"/>
          <w:szCs w:val="16"/>
        </w:rPr>
      </w:pPr>
      <w:r w:rsidRPr="00E14102">
        <w:rPr>
          <w:color w:val="000000" w:themeColor="text1"/>
          <w:sz w:val="16"/>
          <w:szCs w:val="16"/>
        </w:rPr>
        <w:t>В апреле 1935 г. закончилось испытание винта с автоматически регулирующимся шагом (ВАРШ), разрабатываемого с 1932 А.С. Бас-Дубовым и Г.М. Заславским и дало хорошие результаты. КБ-2 для начала испытаний винта на самолете ИП-3, приступило к изготовлению втулки с тянущимися лопастями под мотор АМ-34 в 860 л/с. Заказ был отдан на завод «Электроприбор». В январе 1936 г. винт был окончательно готов и испытан на стенде (15584).</w:t>
      </w:r>
    </w:p>
    <w:p w14:paraId="07057354" w14:textId="77777777" w:rsidR="00DF734F" w:rsidRPr="00E14102" w:rsidRDefault="00DF734F" w:rsidP="00E14102">
      <w:pPr>
        <w:jc w:val="both"/>
        <w:rPr>
          <w:color w:val="000000" w:themeColor="text1"/>
          <w:sz w:val="16"/>
          <w:szCs w:val="16"/>
        </w:rPr>
      </w:pPr>
    </w:p>
    <w:p w14:paraId="7726127D" w14:textId="77777777" w:rsidR="003F2AAE" w:rsidRPr="00E14102" w:rsidRDefault="003F2AAE" w:rsidP="00E14102">
      <w:pPr>
        <w:jc w:val="both"/>
        <w:rPr>
          <w:color w:val="000000" w:themeColor="text1"/>
          <w:sz w:val="16"/>
          <w:szCs w:val="16"/>
        </w:rPr>
      </w:pPr>
      <w:r w:rsidRPr="00E14102">
        <w:rPr>
          <w:color w:val="000000" w:themeColor="text1"/>
          <w:sz w:val="16"/>
          <w:szCs w:val="16"/>
        </w:rPr>
        <w:t>В апреле 1935 г. в НИИ ВВС на И-15 испытывали импортный кислородный прибор Гартнер А-4 (12261).</w:t>
      </w:r>
    </w:p>
    <w:p w14:paraId="0AA02F5D" w14:textId="77777777" w:rsidR="003F2AAE" w:rsidRPr="00E14102" w:rsidRDefault="003F2AAE" w:rsidP="00E14102">
      <w:pPr>
        <w:jc w:val="both"/>
        <w:rPr>
          <w:color w:val="000000" w:themeColor="text1"/>
          <w:sz w:val="16"/>
          <w:szCs w:val="16"/>
        </w:rPr>
      </w:pPr>
    </w:p>
    <w:p w14:paraId="3E45B0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была определена готовность партии из 30 И-зет, изготовленных на 135 заводе. Поручили делать с начала 1934 и ко второй половине 3 кв. 1934 начали сдавать первые. Потом в 1935 сделали еще 20 и суммарный выпуск получился 72 машины (2692,7).</w:t>
      </w:r>
    </w:p>
    <w:p w14:paraId="1288045C" w14:textId="77777777" w:rsidR="00D4105E" w:rsidRPr="00E14102" w:rsidRDefault="00D4105E" w:rsidP="00E14102">
      <w:pPr>
        <w:autoSpaceDE w:val="0"/>
        <w:autoSpaceDN w:val="0"/>
        <w:adjustRightInd w:val="0"/>
        <w:jc w:val="both"/>
        <w:rPr>
          <w:color w:val="000000" w:themeColor="text1"/>
          <w:sz w:val="16"/>
          <w:szCs w:val="16"/>
        </w:rPr>
      </w:pPr>
    </w:p>
    <w:p w14:paraId="071C07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в НИИ ВВС на И-5 закончили испытания прибора для постановки дымовых завес - ДАП-Х-1, спроектированного НИХИ РККА, которые начались в марте. Не пошел (191,28).</w:t>
      </w:r>
    </w:p>
    <w:p w14:paraId="594E12B0" w14:textId="77777777" w:rsidR="00D4105E" w:rsidRPr="00E14102" w:rsidRDefault="00D4105E" w:rsidP="00E14102">
      <w:pPr>
        <w:autoSpaceDE w:val="0"/>
        <w:autoSpaceDN w:val="0"/>
        <w:adjustRightInd w:val="0"/>
        <w:jc w:val="both"/>
        <w:rPr>
          <w:color w:val="000000" w:themeColor="text1"/>
          <w:sz w:val="16"/>
          <w:szCs w:val="16"/>
        </w:rPr>
      </w:pPr>
    </w:p>
    <w:p w14:paraId="232FC2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г. руководство страны дало ука</w:t>
      </w:r>
      <w:r w:rsidRPr="00E14102">
        <w:rPr>
          <w:color w:val="000000" w:themeColor="text1"/>
          <w:sz w:val="16"/>
          <w:szCs w:val="16"/>
        </w:rPr>
        <w:softHyphen/>
        <w:t>зание начальнику Первого главного управления НКОП М.М.Кагановичу продумать вопрос о создании самолета для побития итальянского рекорда скорости. Политический смысл зада</w:t>
      </w:r>
      <w:r w:rsidRPr="00E14102">
        <w:rPr>
          <w:color w:val="000000" w:themeColor="text1"/>
          <w:sz w:val="16"/>
          <w:szCs w:val="16"/>
        </w:rPr>
        <w:softHyphen/>
        <w:t>ния был предельно ясен: рекорд должен продемонстри</w:t>
      </w:r>
      <w:r w:rsidRPr="00E14102">
        <w:rPr>
          <w:color w:val="000000" w:themeColor="text1"/>
          <w:sz w:val="16"/>
          <w:szCs w:val="16"/>
        </w:rPr>
        <w:softHyphen/>
        <w:t>ровать воздушную мощь СССР, показать, что социа</w:t>
      </w:r>
      <w:r w:rsidRPr="00E14102">
        <w:rPr>
          <w:color w:val="000000" w:themeColor="text1"/>
          <w:sz w:val="16"/>
          <w:szCs w:val="16"/>
        </w:rPr>
        <w:softHyphen/>
        <w:t>лизм способен быстро и эффективно решать любые за</w:t>
      </w:r>
      <w:r w:rsidRPr="00E14102">
        <w:rPr>
          <w:color w:val="000000" w:themeColor="text1"/>
          <w:sz w:val="16"/>
          <w:szCs w:val="16"/>
        </w:rPr>
        <w:softHyphen/>
        <w:t>дачи, будь то социальное переустройство общества, бурное развитие тяжелой промышленности (10667).</w:t>
      </w:r>
    </w:p>
    <w:p w14:paraId="7A53FC83" w14:textId="77777777" w:rsidR="00D4105E" w:rsidRPr="00E14102" w:rsidRDefault="00D4105E" w:rsidP="00E14102">
      <w:pPr>
        <w:autoSpaceDE w:val="0"/>
        <w:autoSpaceDN w:val="0"/>
        <w:adjustRightInd w:val="0"/>
        <w:jc w:val="both"/>
        <w:rPr>
          <w:color w:val="000000" w:themeColor="text1"/>
          <w:sz w:val="16"/>
          <w:szCs w:val="16"/>
        </w:rPr>
      </w:pPr>
    </w:p>
    <w:p w14:paraId="3D42EC17" w14:textId="77777777" w:rsidR="000319FF" w:rsidRPr="00E14102" w:rsidRDefault="000319FF" w:rsidP="00E14102">
      <w:pPr>
        <w:pStyle w:val="1080"/>
        <w:shd w:val="clear" w:color="auto" w:fill="auto"/>
        <w:spacing w:after="0" w:line="240" w:lineRule="auto"/>
        <w:ind w:firstLine="0"/>
        <w:jc w:val="both"/>
        <w:rPr>
          <w:rStyle w:val="79"/>
          <w:rFonts w:ascii="Times New Roman" w:hAnsi="Times New Roman" w:cs="Times New Roman"/>
          <w:color w:val="0070C0"/>
          <w:sz w:val="16"/>
          <w:szCs w:val="16"/>
        </w:rPr>
      </w:pPr>
      <w:r w:rsidRPr="00E14102">
        <w:rPr>
          <w:rStyle w:val="79"/>
          <w:rFonts w:ascii="Times New Roman" w:hAnsi="Times New Roman" w:cs="Times New Roman"/>
          <w:color w:val="0070C0"/>
          <w:sz w:val="16"/>
          <w:szCs w:val="16"/>
          <w:lang w:val="ru-RU"/>
        </w:rPr>
        <w:t>В</w:t>
      </w:r>
      <w:r w:rsidRPr="00E14102">
        <w:rPr>
          <w:rStyle w:val="79"/>
          <w:rFonts w:ascii="Times New Roman" w:hAnsi="Times New Roman" w:cs="Times New Roman"/>
          <w:color w:val="0070C0"/>
          <w:sz w:val="16"/>
          <w:szCs w:val="16"/>
        </w:rPr>
        <w:t xml:space="preserve"> апреле 1935 года </w:t>
      </w:r>
      <w:r w:rsidRPr="00E14102">
        <w:rPr>
          <w:rStyle w:val="79"/>
          <w:rFonts w:ascii="Times New Roman" w:hAnsi="Times New Roman" w:cs="Times New Roman"/>
          <w:color w:val="0070C0"/>
          <w:sz w:val="16"/>
          <w:szCs w:val="16"/>
          <w:lang w:val="ru-RU"/>
        </w:rPr>
        <w:t>Д.П.Г.</w:t>
      </w:r>
      <w:r w:rsidRPr="00E14102">
        <w:rPr>
          <w:rStyle w:val="79"/>
          <w:rFonts w:ascii="Times New Roman" w:hAnsi="Times New Roman" w:cs="Times New Roman"/>
          <w:color w:val="0070C0"/>
          <w:sz w:val="16"/>
          <w:szCs w:val="16"/>
        </w:rPr>
        <w:t xml:space="preserve"> возглавил Опытно- Конструкторское Управление авиазавода № 1 имени Авиахима, фактически же новое под</w:t>
      </w:r>
      <w:r w:rsidRPr="00E14102">
        <w:rPr>
          <w:rStyle w:val="79"/>
          <w:rFonts w:ascii="Times New Roman" w:hAnsi="Times New Roman" w:cs="Times New Roman"/>
          <w:color w:val="0070C0"/>
          <w:sz w:val="16"/>
          <w:szCs w:val="16"/>
        </w:rPr>
        <w:softHyphen/>
        <w:t>разделение приступило к работе чуть позже - в июне. Фронт работ был достаточно широк. Помимо достройки второй опытной машины Р-Зет, доводки штурмовика ССС, до</w:t>
      </w:r>
      <w:r w:rsidRPr="00E14102">
        <w:rPr>
          <w:rStyle w:val="79"/>
          <w:rFonts w:ascii="Times New Roman" w:hAnsi="Times New Roman" w:cs="Times New Roman"/>
          <w:color w:val="0070C0"/>
          <w:sz w:val="16"/>
          <w:szCs w:val="16"/>
        </w:rPr>
        <w:softHyphen/>
        <w:t>работок по серийной продукции, на заводе шла разработка трех абсолютно новых само</w:t>
      </w:r>
      <w:r w:rsidRPr="00E14102">
        <w:rPr>
          <w:rStyle w:val="79"/>
          <w:rFonts w:ascii="Times New Roman" w:hAnsi="Times New Roman" w:cs="Times New Roman"/>
          <w:color w:val="0070C0"/>
          <w:sz w:val="16"/>
          <w:szCs w:val="16"/>
        </w:rPr>
        <w:softHyphen/>
        <w:t>летов - разведчика Р-9 с двигателем «Мист</w:t>
      </w:r>
      <w:r w:rsidRPr="00E14102">
        <w:rPr>
          <w:rStyle w:val="79"/>
          <w:rFonts w:ascii="Times New Roman" w:hAnsi="Times New Roman" w:cs="Times New Roman"/>
          <w:color w:val="0070C0"/>
          <w:sz w:val="16"/>
          <w:szCs w:val="16"/>
        </w:rPr>
        <w:softHyphen/>
        <w:t>раль-Мажор», крейсера ЛК-3 и пикировщика ПБ - оба под два мотора «Испано-Сюиза». В этих условиях собственные темы Григорови</w:t>
      </w:r>
      <w:r w:rsidRPr="00E14102">
        <w:rPr>
          <w:rStyle w:val="79"/>
          <w:rFonts w:ascii="Times New Roman" w:hAnsi="Times New Roman" w:cs="Times New Roman"/>
          <w:color w:val="0070C0"/>
          <w:sz w:val="16"/>
          <w:szCs w:val="16"/>
        </w:rPr>
        <w:softHyphen/>
        <w:t>ча «пропихнуть» было непросто. Тем не менее работы по модернизированному ИП-3 в первое время шли достаточно успешно. Не меньшую активность ОКУ демонстрировало и в доводке ИП-1.</w:t>
      </w:r>
      <w:r w:rsidRPr="00E14102">
        <w:rPr>
          <w:rStyle w:val="79"/>
          <w:rFonts w:ascii="Times New Roman" w:hAnsi="Times New Roman" w:cs="Times New Roman"/>
          <w:color w:val="0070C0"/>
          <w:sz w:val="16"/>
          <w:szCs w:val="16"/>
          <w:lang w:val="ru-RU"/>
        </w:rPr>
        <w:t xml:space="preserve"> </w:t>
      </w:r>
      <w:r w:rsidRPr="00E14102">
        <w:rPr>
          <w:rStyle w:val="79"/>
          <w:rFonts w:ascii="Times New Roman" w:hAnsi="Times New Roman" w:cs="Times New Roman"/>
          <w:color w:val="0070C0"/>
          <w:sz w:val="16"/>
          <w:szCs w:val="16"/>
        </w:rPr>
        <w:t>Одной из важнейших задач была подго</w:t>
      </w:r>
      <w:r w:rsidRPr="00E14102">
        <w:rPr>
          <w:rStyle w:val="79"/>
          <w:rFonts w:ascii="Times New Roman" w:hAnsi="Times New Roman" w:cs="Times New Roman"/>
          <w:color w:val="0070C0"/>
          <w:sz w:val="16"/>
          <w:szCs w:val="16"/>
        </w:rPr>
        <w:softHyphen/>
        <w:t>товка серийной документации и постройка, точнее, доработка эталона ИП-1 для харьков</w:t>
      </w:r>
      <w:r w:rsidRPr="00E14102">
        <w:rPr>
          <w:rStyle w:val="79"/>
          <w:rFonts w:ascii="Times New Roman" w:hAnsi="Times New Roman" w:cs="Times New Roman"/>
          <w:color w:val="0070C0"/>
          <w:sz w:val="16"/>
          <w:szCs w:val="16"/>
        </w:rPr>
        <w:softHyphen/>
        <w:t>ского завода № 135, так сказать, «вчерне» проект этого самолета был готов еще на заво</w:t>
      </w:r>
      <w:r w:rsidRPr="00E14102">
        <w:rPr>
          <w:rStyle w:val="79"/>
          <w:rFonts w:ascii="Times New Roman" w:hAnsi="Times New Roman" w:cs="Times New Roman"/>
          <w:color w:val="0070C0"/>
          <w:sz w:val="16"/>
          <w:szCs w:val="16"/>
        </w:rPr>
        <w:softHyphen/>
        <w:t>де № 133, однако количество замечаний по ДГ-52 не позволяло обойтись местными уси</w:t>
      </w:r>
      <w:r w:rsidRPr="00E14102">
        <w:rPr>
          <w:rStyle w:val="79"/>
          <w:rFonts w:ascii="Times New Roman" w:hAnsi="Times New Roman" w:cs="Times New Roman"/>
          <w:color w:val="0070C0"/>
          <w:sz w:val="16"/>
          <w:szCs w:val="16"/>
        </w:rPr>
        <w:softHyphen/>
        <w:t>лениями обшивки фюзеляжа, крыла и опере</w:t>
      </w:r>
      <w:r w:rsidRPr="00E14102">
        <w:rPr>
          <w:rStyle w:val="79"/>
          <w:rFonts w:ascii="Times New Roman" w:hAnsi="Times New Roman" w:cs="Times New Roman"/>
          <w:color w:val="0070C0"/>
          <w:sz w:val="16"/>
          <w:szCs w:val="16"/>
        </w:rPr>
        <w:softHyphen/>
        <w:t>ния. «Номер 2» должен был получить новую</w:t>
      </w:r>
      <w:r w:rsidRPr="00E14102">
        <w:rPr>
          <w:rStyle w:val="79"/>
          <w:rFonts w:ascii="Times New Roman" w:hAnsi="Times New Roman" w:cs="Times New Roman"/>
          <w:color w:val="0070C0"/>
          <w:sz w:val="16"/>
          <w:szCs w:val="16"/>
          <w:lang w:val="ru-RU"/>
        </w:rPr>
        <w:t xml:space="preserve"> </w:t>
      </w:r>
      <w:r w:rsidRPr="00E14102">
        <w:rPr>
          <w:rStyle w:val="79"/>
          <w:rFonts w:ascii="Times New Roman" w:hAnsi="Times New Roman" w:cs="Times New Roman"/>
          <w:color w:val="0070C0"/>
          <w:sz w:val="16"/>
          <w:szCs w:val="16"/>
        </w:rPr>
        <w:t>мотоустановку с самопуском, доработанные масло- и бензосистемы, обновленную кабину и батарею ШКАСов под крыло, так сказать, на всякие пожарные - с АПК-4М дела все же шли как-то неоднозначно. Забегая немного впе</w:t>
      </w:r>
      <w:r w:rsidRPr="00E14102">
        <w:rPr>
          <w:rStyle w:val="79"/>
          <w:rFonts w:ascii="Times New Roman" w:hAnsi="Times New Roman" w:cs="Times New Roman"/>
          <w:color w:val="0070C0"/>
          <w:sz w:val="16"/>
          <w:szCs w:val="16"/>
        </w:rPr>
        <w:softHyphen/>
        <w:t>ред, надо заметить, что эти работы затяну</w:t>
      </w:r>
      <w:r w:rsidRPr="00E14102">
        <w:rPr>
          <w:rStyle w:val="79"/>
          <w:rFonts w:ascii="Times New Roman" w:hAnsi="Times New Roman" w:cs="Times New Roman"/>
          <w:color w:val="0070C0"/>
          <w:sz w:val="16"/>
          <w:szCs w:val="16"/>
        </w:rPr>
        <w:softHyphen/>
        <w:t>лись сначала до глубокой осени - новый са</w:t>
      </w:r>
      <w:r w:rsidRPr="00E14102">
        <w:rPr>
          <w:rStyle w:val="79"/>
          <w:rFonts w:ascii="Times New Roman" w:hAnsi="Times New Roman" w:cs="Times New Roman"/>
          <w:color w:val="0070C0"/>
          <w:sz w:val="16"/>
          <w:szCs w:val="16"/>
        </w:rPr>
        <w:softHyphen/>
        <w:t>молет с пулеметной батареей руководство завода № 1 строить не хотело, а серийных машин для переделки просто не было. Пуле</w:t>
      </w:r>
      <w:r w:rsidRPr="00E14102">
        <w:rPr>
          <w:rStyle w:val="79"/>
          <w:rFonts w:ascii="Times New Roman" w:hAnsi="Times New Roman" w:cs="Times New Roman"/>
          <w:color w:val="0070C0"/>
          <w:sz w:val="16"/>
          <w:szCs w:val="16"/>
        </w:rPr>
        <w:softHyphen/>
        <w:t>меты отстреляли на макетном крыле и доло</w:t>
      </w:r>
      <w:r w:rsidRPr="00E14102">
        <w:rPr>
          <w:rStyle w:val="79"/>
          <w:rFonts w:ascii="Times New Roman" w:hAnsi="Times New Roman" w:cs="Times New Roman"/>
          <w:color w:val="0070C0"/>
          <w:sz w:val="16"/>
          <w:szCs w:val="16"/>
        </w:rPr>
        <w:softHyphen/>
        <w:t>жили наверх, что образец шестипулеметного самолета ориентировочно может быть полу</w:t>
      </w:r>
      <w:r w:rsidRPr="00E14102">
        <w:rPr>
          <w:rStyle w:val="79"/>
          <w:rFonts w:ascii="Times New Roman" w:hAnsi="Times New Roman" w:cs="Times New Roman"/>
          <w:color w:val="0070C0"/>
          <w:sz w:val="16"/>
          <w:szCs w:val="16"/>
        </w:rPr>
        <w:softHyphen/>
        <w:t>чен в месячный-полуторамесячный срок после прибытия на завод машины на дора</w:t>
      </w:r>
      <w:r w:rsidRPr="00E14102">
        <w:rPr>
          <w:rStyle w:val="79"/>
          <w:rFonts w:ascii="Times New Roman" w:hAnsi="Times New Roman" w:cs="Times New Roman"/>
          <w:color w:val="0070C0"/>
          <w:sz w:val="16"/>
          <w:szCs w:val="16"/>
        </w:rPr>
        <w:softHyphen/>
        <w:t>ботку. Предполагалось, что между 10 и 15 но</w:t>
      </w:r>
      <w:r w:rsidRPr="00E14102">
        <w:rPr>
          <w:rStyle w:val="79"/>
          <w:rFonts w:ascii="Times New Roman" w:hAnsi="Times New Roman" w:cs="Times New Roman"/>
          <w:color w:val="0070C0"/>
          <w:sz w:val="16"/>
          <w:szCs w:val="16"/>
        </w:rPr>
        <w:softHyphen/>
        <w:t>ября завод № 1 должен получить с завода</w:t>
      </w:r>
      <w:r w:rsidRPr="00E14102">
        <w:rPr>
          <w:rStyle w:val="79"/>
          <w:rFonts w:ascii="Times New Roman" w:hAnsi="Times New Roman" w:cs="Times New Roman"/>
          <w:color w:val="0070C0"/>
          <w:sz w:val="16"/>
          <w:szCs w:val="16"/>
          <w:lang w:val="ru-RU"/>
        </w:rPr>
        <w:t xml:space="preserve"> </w:t>
      </w:r>
      <w:r w:rsidRPr="00E14102">
        <w:rPr>
          <w:rStyle w:val="79"/>
          <w:rFonts w:ascii="Times New Roman" w:hAnsi="Times New Roman" w:cs="Times New Roman"/>
          <w:color w:val="0070C0"/>
          <w:sz w:val="16"/>
          <w:szCs w:val="16"/>
        </w:rPr>
        <w:t>№ 135 самолет ИП-1 для его срочной пере</w:t>
      </w:r>
      <w:r w:rsidRPr="00E14102">
        <w:rPr>
          <w:rStyle w:val="79"/>
          <w:rFonts w:ascii="Times New Roman" w:hAnsi="Times New Roman" w:cs="Times New Roman"/>
          <w:color w:val="0070C0"/>
          <w:sz w:val="16"/>
          <w:szCs w:val="16"/>
        </w:rPr>
        <w:softHyphen/>
        <w:t>делки под новую установку на крыле, факти</w:t>
      </w:r>
      <w:r w:rsidRPr="00E14102">
        <w:rPr>
          <w:rStyle w:val="79"/>
          <w:rFonts w:ascii="Times New Roman" w:hAnsi="Times New Roman" w:cs="Times New Roman"/>
          <w:color w:val="0070C0"/>
          <w:sz w:val="16"/>
          <w:szCs w:val="16"/>
        </w:rPr>
        <w:softHyphen/>
        <w:t>чески же машина пришла на доработку толь</w:t>
      </w:r>
      <w:r w:rsidRPr="00E14102">
        <w:rPr>
          <w:rStyle w:val="79"/>
          <w:rFonts w:ascii="Times New Roman" w:hAnsi="Times New Roman" w:cs="Times New Roman"/>
          <w:color w:val="0070C0"/>
          <w:sz w:val="16"/>
          <w:szCs w:val="16"/>
        </w:rPr>
        <w:softHyphen/>
        <w:t>ко после Нового года. УВС усиленно «нажи</w:t>
      </w:r>
      <w:r w:rsidRPr="00E14102">
        <w:rPr>
          <w:rStyle w:val="79"/>
          <w:rFonts w:ascii="Times New Roman" w:hAnsi="Times New Roman" w:cs="Times New Roman"/>
          <w:color w:val="0070C0"/>
          <w:sz w:val="16"/>
          <w:szCs w:val="16"/>
        </w:rPr>
        <w:softHyphen/>
        <w:t>мали» на эту работу, так как отстрелы первой головной машины ИП-1 в Харькове, а также опытного самолета в Ногинске показали не</w:t>
      </w:r>
      <w:r w:rsidRPr="00E14102">
        <w:rPr>
          <w:rStyle w:val="79"/>
          <w:rFonts w:ascii="Times New Roman" w:hAnsi="Times New Roman" w:cs="Times New Roman"/>
          <w:color w:val="0070C0"/>
          <w:sz w:val="16"/>
          <w:szCs w:val="16"/>
        </w:rPr>
        <w:softHyphen/>
        <w:t xml:space="preserve">обходимость дальнейших усилений обшивки хвостового оперения, не выдерживающей 100 выстрелов АПК. В то же время отстрелы на макетном крыле батареи ШКАСов прошли вполне удовлетворительно и были одобрены Б.Г. </w:t>
      </w:r>
      <w:r w:rsidRPr="00E14102">
        <w:rPr>
          <w:rStyle w:val="79"/>
          <w:rFonts w:ascii="Times New Roman" w:hAnsi="Times New Roman" w:cs="Times New Roman"/>
          <w:color w:val="0070C0"/>
          <w:sz w:val="16"/>
          <w:szCs w:val="16"/>
        </w:rPr>
        <w:lastRenderedPageBreak/>
        <w:t>Шпитальным. Установка в эксплуатации оказалась чрезвычайно удобна. При де</w:t>
      </w:r>
      <w:r w:rsidRPr="00E14102">
        <w:rPr>
          <w:rStyle w:val="79"/>
          <w:rFonts w:ascii="Times New Roman" w:hAnsi="Times New Roman" w:cs="Times New Roman"/>
          <w:color w:val="0070C0"/>
          <w:sz w:val="16"/>
          <w:szCs w:val="16"/>
        </w:rPr>
        <w:softHyphen/>
        <w:t>монстрации снаряжение патронного ящика на 750 патронов и установка пулеметов заня</w:t>
      </w:r>
      <w:r w:rsidRPr="00E14102">
        <w:rPr>
          <w:rStyle w:val="79"/>
          <w:rFonts w:ascii="Times New Roman" w:hAnsi="Times New Roman" w:cs="Times New Roman"/>
          <w:color w:val="0070C0"/>
          <w:sz w:val="16"/>
          <w:szCs w:val="16"/>
        </w:rPr>
        <w:softHyphen/>
        <w:t>ли только три с половиной минуты</w:t>
      </w:r>
      <w:r w:rsidRPr="00E14102">
        <w:rPr>
          <w:rStyle w:val="79"/>
          <w:rFonts w:ascii="Times New Roman" w:hAnsi="Times New Roman" w:cs="Times New Roman"/>
          <w:color w:val="0070C0"/>
          <w:sz w:val="16"/>
          <w:szCs w:val="16"/>
          <w:lang w:val="ru-RU"/>
        </w:rPr>
        <w:t xml:space="preserve"> (19871)</w:t>
      </w:r>
      <w:r w:rsidRPr="00E14102">
        <w:rPr>
          <w:rStyle w:val="79"/>
          <w:rFonts w:ascii="Times New Roman" w:hAnsi="Times New Roman" w:cs="Times New Roman"/>
          <w:color w:val="0070C0"/>
          <w:sz w:val="16"/>
          <w:szCs w:val="16"/>
        </w:rPr>
        <w:t>.</w:t>
      </w:r>
    </w:p>
    <w:p w14:paraId="4B680C64" w14:textId="77777777" w:rsidR="000319FF" w:rsidRPr="00E14102" w:rsidRDefault="000319FF" w:rsidP="00E14102">
      <w:pPr>
        <w:pStyle w:val="1080"/>
        <w:shd w:val="clear" w:color="auto" w:fill="auto"/>
        <w:spacing w:after="0" w:line="240" w:lineRule="auto"/>
        <w:ind w:firstLine="0"/>
        <w:jc w:val="both"/>
        <w:rPr>
          <w:rFonts w:ascii="Times New Roman" w:hAnsi="Times New Roman" w:cs="Times New Roman"/>
          <w:color w:val="0070C0"/>
          <w:sz w:val="16"/>
          <w:szCs w:val="16"/>
        </w:rPr>
      </w:pPr>
    </w:p>
    <w:p w14:paraId="1D9DFAE5" w14:textId="77777777" w:rsidR="000319FF" w:rsidRPr="00E14102" w:rsidRDefault="000319FF" w:rsidP="00E14102">
      <w:pPr>
        <w:jc w:val="both"/>
        <w:rPr>
          <w:color w:val="0070C0"/>
          <w:sz w:val="16"/>
          <w:szCs w:val="16"/>
        </w:rPr>
      </w:pPr>
      <w:r w:rsidRPr="00E14102">
        <w:rPr>
          <w:rStyle w:val="176"/>
          <w:rFonts w:ascii="Times New Roman" w:hAnsi="Times New Roman" w:cs="Times New Roman"/>
          <w:color w:val="0070C0"/>
          <w:sz w:val="16"/>
          <w:szCs w:val="16"/>
        </w:rPr>
        <w:t>В апреле 1935 законченный по первоначальным ТТТ</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эскизный проект СР-М34РН, по причине</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повышения требований пришлось</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полностью перерабатывать под мотор К-14. В</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связи с заменой М-22 на М-75 и по результа</w:t>
      </w:r>
      <w:r w:rsidRPr="00E14102">
        <w:rPr>
          <w:rStyle w:val="176"/>
          <w:rFonts w:ascii="Times New Roman" w:hAnsi="Times New Roman" w:cs="Times New Roman"/>
          <w:color w:val="0070C0"/>
          <w:sz w:val="16"/>
          <w:szCs w:val="16"/>
        </w:rPr>
        <w:softHyphen/>
        <w:t>там испытаний в конструкцию ХАИ-5 тоже</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требовалось внести немало изменений. К</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середине июля сумели изготовить все детали</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для статиспытаний. Сами испытания были</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проведены по всем частям самолета кроме</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фюзеляжа. На летный экземпляр были гото</w:t>
      </w:r>
      <w:r w:rsidRPr="00E14102">
        <w:rPr>
          <w:rStyle w:val="176"/>
          <w:rFonts w:ascii="Times New Roman" w:hAnsi="Times New Roman" w:cs="Times New Roman"/>
          <w:color w:val="0070C0"/>
          <w:sz w:val="16"/>
          <w:szCs w:val="16"/>
        </w:rPr>
        <w:softHyphen/>
        <w:t>вы все агрегаты. Оставалось закончить уста</w:t>
      </w:r>
      <w:r w:rsidRPr="00E14102">
        <w:rPr>
          <w:rStyle w:val="176"/>
          <w:rFonts w:ascii="Times New Roman" w:hAnsi="Times New Roman" w:cs="Times New Roman"/>
          <w:color w:val="0070C0"/>
          <w:sz w:val="16"/>
          <w:szCs w:val="16"/>
        </w:rPr>
        <w:softHyphen/>
        <w:t>новку мотора с подводками, оборудование</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кабин, специальное оборудование и воору</w:t>
      </w:r>
      <w:r w:rsidRPr="00E14102">
        <w:rPr>
          <w:rStyle w:val="176"/>
          <w:rFonts w:ascii="Times New Roman" w:hAnsi="Times New Roman" w:cs="Times New Roman"/>
          <w:color w:val="0070C0"/>
          <w:sz w:val="16"/>
          <w:szCs w:val="16"/>
        </w:rPr>
        <w:softHyphen/>
        <w:t>жение. Кроме того, был разработан эскизный</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проект цельнометаллического СР-К14, наи</w:t>
      </w:r>
      <w:r w:rsidRPr="00E14102">
        <w:rPr>
          <w:rStyle w:val="176"/>
          <w:rFonts w:ascii="Times New Roman" w:hAnsi="Times New Roman" w:cs="Times New Roman"/>
          <w:color w:val="0070C0"/>
          <w:sz w:val="16"/>
          <w:szCs w:val="16"/>
        </w:rPr>
        <w:softHyphen/>
        <w:t>более полно отвечающего текущим возмож</w:t>
      </w:r>
      <w:r w:rsidRPr="00E14102">
        <w:rPr>
          <w:rStyle w:val="176"/>
          <w:rFonts w:ascii="Times New Roman" w:hAnsi="Times New Roman" w:cs="Times New Roman"/>
          <w:color w:val="0070C0"/>
          <w:sz w:val="16"/>
          <w:szCs w:val="16"/>
        </w:rPr>
        <w:softHyphen/>
        <w:t>ностям завода № 135. Одновременно строил</w:t>
      </w:r>
      <w:r w:rsidRPr="00E14102">
        <w:rPr>
          <w:rStyle w:val="176"/>
          <w:rFonts w:ascii="Times New Roman" w:hAnsi="Times New Roman" w:cs="Times New Roman"/>
          <w:color w:val="0070C0"/>
          <w:sz w:val="16"/>
          <w:szCs w:val="16"/>
        </w:rPr>
        <w:softHyphen/>
        <w:t>ся его макет (19898).</w:t>
      </w:r>
    </w:p>
    <w:p w14:paraId="50AEE042" w14:textId="77777777" w:rsidR="000319FF" w:rsidRPr="00E14102" w:rsidRDefault="000319FF" w:rsidP="00E14102">
      <w:pPr>
        <w:jc w:val="both"/>
        <w:rPr>
          <w:color w:val="0070C0"/>
          <w:sz w:val="16"/>
          <w:szCs w:val="16"/>
        </w:rPr>
      </w:pPr>
    </w:p>
    <w:p w14:paraId="030B38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саратовский планерист А.Плесков - сварщик комбайнового завода - летал на своей авиетке с мотором ГАЗ и весом 440 кг - первые в СССР полеты на самолете с автомобильным двигателем (150,22).</w:t>
      </w:r>
    </w:p>
    <w:p w14:paraId="6080C420" w14:textId="77777777" w:rsidR="00D4105E" w:rsidRPr="00E14102" w:rsidRDefault="00D4105E" w:rsidP="00E14102">
      <w:pPr>
        <w:autoSpaceDE w:val="0"/>
        <w:autoSpaceDN w:val="0"/>
        <w:adjustRightInd w:val="0"/>
        <w:jc w:val="both"/>
        <w:rPr>
          <w:color w:val="000000" w:themeColor="text1"/>
          <w:sz w:val="16"/>
          <w:szCs w:val="16"/>
        </w:rPr>
      </w:pPr>
    </w:p>
    <w:p w14:paraId="46F0FC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планерный батя Н.Симонов на Г-9 Грибовского за 5 час. в одном полете выполнил 300 петель и 10 переворотов через крыло (2789,17).</w:t>
      </w:r>
    </w:p>
    <w:p w14:paraId="2617B641" w14:textId="77777777" w:rsidR="00D4105E" w:rsidRPr="00E14102" w:rsidRDefault="00D4105E" w:rsidP="00E14102">
      <w:pPr>
        <w:autoSpaceDE w:val="0"/>
        <w:autoSpaceDN w:val="0"/>
        <w:adjustRightInd w:val="0"/>
        <w:jc w:val="both"/>
        <w:rPr>
          <w:color w:val="000000" w:themeColor="text1"/>
          <w:sz w:val="16"/>
          <w:szCs w:val="16"/>
        </w:rPr>
      </w:pPr>
    </w:p>
    <w:p w14:paraId="76B79D5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апреле 1935 Начальник управления ВС Алкснис утвердил Тактико-технические требования к тяжелому крейсеру ТК4 (6681).</w:t>
      </w:r>
    </w:p>
    <w:p w14:paraId="7D1B5E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по плану 1 декабря 1935 года</w:t>
      </w:r>
    </w:p>
    <w:p w14:paraId="1E03782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Проектирующая и строящая организация УСР НКТП</w:t>
      </w:r>
    </w:p>
    <w:p w14:paraId="062585A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Назначение и стрелково-артиллерийское вооружение самолета</w:t>
      </w:r>
    </w:p>
    <w:p w14:paraId="688519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Главной задачей самолета данного типа является непосредственное боевое охранение частей бомбардировочной авиации дальнего действия.</w:t>
      </w:r>
    </w:p>
    <w:p w14:paraId="552E636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Задача выполняется ведением сосредоточенного огня малых групп крейсеров с дальних дистанций и ограниченным маневром по отношению охраняемых с целью не допускать проход противника для атаки их с малых дистанций.</w:t>
      </w:r>
    </w:p>
    <w:p w14:paraId="6FA89F0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Для выполнения главной задачи самолет должен иметь следующее вооружение: 3 пушки калибра 20 мм, батарею из 8 р.с. калибра 132 мм и 3 пулемета Шкас.</w:t>
      </w:r>
    </w:p>
    <w:p w14:paraId="32EA320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Схема самолета подчинена задаче ведения сосредоточенного огня, поэтому вооружение должно быть расположено следующим образом:</w:t>
      </w:r>
    </w:p>
    <w:p w14:paraId="5D8EFA7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Батарея р.с. позволяет стрелять залпами при атаке вперед по курсу.</w:t>
      </w:r>
    </w:p>
    <w:p w14:paraId="512B3D4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Огонь батареи р.с. продолжает и развивает 20 мм пушка, стреляющая на носовых курсовых углах передней полусферы (60-70 градусов полусферы).</w:t>
      </w:r>
    </w:p>
    <w:p w14:paraId="02D9F64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Вторая и третья пушки 20 мм установлены в башнях на спине и внизу фюзеляжа.</w:t>
      </w:r>
    </w:p>
    <w:p w14:paraId="7EC8D6F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1 и 2 пулеметы устанавливаются в фюзеляже с целью максимально возможного обстрела задней полусферы.</w:t>
      </w:r>
    </w:p>
    <w:p w14:paraId="79EB497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3 пулемет устанавливается за хвостовым оперением и обстреливает заднюю полусферу в конусе равном 60 градусов.</w:t>
      </w:r>
    </w:p>
    <w:p w14:paraId="526DA6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Условия работы</w:t>
      </w:r>
    </w:p>
    <w:p w14:paraId="53979CB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Действия днем и ночью в сложных метеоусловиях.</w:t>
      </w:r>
    </w:p>
    <w:p w14:paraId="7A63D38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Основная высота применения при полете в тыл противника днем от 4000 до 7000 и ночью от 1000 м и выше. На своей территории от 800 до 6000 м.</w:t>
      </w:r>
    </w:p>
    <w:p w14:paraId="62B69A9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Ограниченная возможность маневра самолетом должна перекрываться большой маневренностью огня и одновременностью его действия.</w:t>
      </w:r>
    </w:p>
    <w:p w14:paraId="1256584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Удаление от охраняемых бомбардировщиков не будет превосходить 2-3 км. Наибольшее удаление Т.К. друг от друга (входящих в состав одной части) не будет превосходить 50-75 км.</w:t>
      </w:r>
    </w:p>
    <w:p w14:paraId="158523B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За время боевого полета можно ожидать 3-4 атаки эскадрилий истребителей, что потребует от ТК запаса патрон на 2-2,5 мин. непрерывного огня для обеспечения длительного боя при ведении огня короткими очередями.</w:t>
      </w:r>
    </w:p>
    <w:p w14:paraId="2FB8C6E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Бой ТК с ТК или ЛК на параллельных курсах может носить изматывающий характер (на истощение огнеприпасов).</w:t>
      </w:r>
    </w:p>
    <w:p w14:paraId="5EB2689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Воздушный бой возможен как на далеких, так и на близких дистанциях.</w:t>
      </w:r>
    </w:p>
    <w:p w14:paraId="7D62AA2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Длительный полет над водными пространствами вдали от берегов.</w:t>
      </w:r>
    </w:p>
    <w:p w14:paraId="4D25FF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Летно-тактические данные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71"/>
        <w:gridCol w:w="2085"/>
      </w:tblGrid>
      <w:tr w:rsidR="00E3599D" w:rsidRPr="00E14102" w14:paraId="72CF5886" w14:textId="77777777">
        <w:tc>
          <w:tcPr>
            <w:tcW w:w="6771" w:type="dxa"/>
            <w:tcBorders>
              <w:top w:val="single" w:sz="12" w:space="0" w:color="auto"/>
            </w:tcBorders>
          </w:tcPr>
          <w:p w14:paraId="45CD2B6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Максимальная горизонтальная скорость на высоте 3000 м </w:t>
            </w:r>
          </w:p>
        </w:tc>
        <w:tc>
          <w:tcPr>
            <w:tcW w:w="2085" w:type="dxa"/>
            <w:tcBorders>
              <w:top w:val="single" w:sz="12" w:space="0" w:color="auto"/>
            </w:tcBorders>
          </w:tcPr>
          <w:p w14:paraId="6B067BF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330 км/час</w:t>
            </w:r>
          </w:p>
        </w:tc>
      </w:tr>
      <w:tr w:rsidR="00E3599D" w:rsidRPr="00E14102" w14:paraId="26141C25" w14:textId="77777777">
        <w:tc>
          <w:tcPr>
            <w:tcW w:w="6771" w:type="dxa"/>
          </w:tcPr>
          <w:p w14:paraId="1783EEC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Потолок самолета</w:t>
            </w:r>
          </w:p>
        </w:tc>
        <w:tc>
          <w:tcPr>
            <w:tcW w:w="2085" w:type="dxa"/>
          </w:tcPr>
          <w:p w14:paraId="3B6B7F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7000 м</w:t>
            </w:r>
          </w:p>
        </w:tc>
      </w:tr>
      <w:tr w:rsidR="00E3599D" w:rsidRPr="00E14102" w14:paraId="15B9A15D" w14:textId="77777777">
        <w:tc>
          <w:tcPr>
            <w:tcW w:w="6771" w:type="dxa"/>
          </w:tcPr>
          <w:p w14:paraId="6C88846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Техническая дальность с нормальным полетным весом</w:t>
            </w:r>
          </w:p>
        </w:tc>
        <w:tc>
          <w:tcPr>
            <w:tcW w:w="2085" w:type="dxa"/>
          </w:tcPr>
          <w:p w14:paraId="4C4BDF1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2000 км</w:t>
            </w:r>
          </w:p>
        </w:tc>
      </w:tr>
      <w:tr w:rsidR="00E3599D" w:rsidRPr="00E14102" w14:paraId="0B4F012A" w14:textId="77777777">
        <w:tc>
          <w:tcPr>
            <w:tcW w:w="6771" w:type="dxa"/>
          </w:tcPr>
          <w:p w14:paraId="0D702EE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Техническая дальность самолета с предельно перегруженным полетным весом</w:t>
            </w:r>
          </w:p>
        </w:tc>
        <w:tc>
          <w:tcPr>
            <w:tcW w:w="2085" w:type="dxa"/>
          </w:tcPr>
          <w:p w14:paraId="23C302C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3000-3500 км</w:t>
            </w:r>
          </w:p>
        </w:tc>
      </w:tr>
      <w:tr w:rsidR="00E3599D" w:rsidRPr="00E14102" w14:paraId="3C49FDF0" w14:textId="77777777">
        <w:tc>
          <w:tcPr>
            <w:tcW w:w="6771" w:type="dxa"/>
            <w:tcBorders>
              <w:bottom w:val="single" w:sz="12" w:space="0" w:color="auto"/>
            </w:tcBorders>
          </w:tcPr>
          <w:p w14:paraId="70EC4C7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 с нормальным полетным весом</w:t>
            </w:r>
          </w:p>
        </w:tc>
        <w:tc>
          <w:tcPr>
            <w:tcW w:w="2085" w:type="dxa"/>
            <w:tcBorders>
              <w:bottom w:val="single" w:sz="12" w:space="0" w:color="auto"/>
            </w:tcBorders>
          </w:tcPr>
          <w:p w14:paraId="343DA75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90 км/час</w:t>
            </w:r>
          </w:p>
        </w:tc>
      </w:tr>
    </w:tbl>
    <w:p w14:paraId="7D9FBC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Экипаж самолета</w:t>
      </w:r>
    </w:p>
    <w:p w14:paraId="74150BB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Командир корабля, он же штурман – 1</w:t>
      </w:r>
    </w:p>
    <w:p w14:paraId="666E419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Летчики – 2</w:t>
      </w:r>
    </w:p>
    <w:p w14:paraId="2ED82CC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Радист – 1</w:t>
      </w:r>
    </w:p>
    <w:p w14:paraId="363ABB1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Артиллеристы – 3</w:t>
      </w:r>
    </w:p>
    <w:p w14:paraId="0628314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Стрелки – 2</w:t>
      </w:r>
    </w:p>
    <w:p w14:paraId="4EF84FE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Борттехники – 2</w:t>
      </w:r>
    </w:p>
    <w:p w14:paraId="271E579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Всего – 11</w:t>
      </w:r>
    </w:p>
    <w:p w14:paraId="521218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Требования к полетным качествам самолета</w:t>
      </w:r>
    </w:p>
    <w:p w14:paraId="1B4EB3D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Длина разбега самолета с нормальным полетным весом при безветрии не должна превышать 350-400 м.</w:t>
      </w:r>
    </w:p>
    <w:p w14:paraId="3554FAA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Длина пробега при посадке при действии тормозов не должна превышать 200-250 м.</w:t>
      </w:r>
    </w:p>
    <w:p w14:paraId="18205BB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p w14:paraId="2C6C4CA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Требования к конструкции</w:t>
      </w:r>
    </w:p>
    <w:p w14:paraId="51C5B18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должен быть выполнен из отечественных материалов стандартного сортамента.</w:t>
      </w:r>
    </w:p>
    <w:p w14:paraId="28397D5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На самолете должны быть выполнены требования к внешней отделке самолета утвержденные начальником ВС 12 сентября 1934 года.</w:t>
      </w:r>
    </w:p>
    <w:p w14:paraId="408A238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……………………..(6681).</w:t>
      </w:r>
    </w:p>
    <w:p w14:paraId="0E8209B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DBAE41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апреле 1935 началось финансирование работ С.Г.Козлова по прозрачному самолету. Деньги ВВА выдели отдел изобретений - ОИ НКО, но вместо АИР-4 выделили один из двух построенных АИР-4. Переделали крыло и фюзеляж, оставив максимум площади для обтяжки целлоном (7460, 3).</w:t>
      </w:r>
    </w:p>
    <w:p w14:paraId="75CCBB1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A333E4C"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апреле 1935, наконец-то, было открыто финансирование. Деньги – 18000 рублей – дал Отдел Изобретений Наркомата Обороны (ОИ НКО). Вместо самолета АИР-6 С.Г. Козлов получил АИР-4. Причина этой замены не совсем понятна: ведь в 1935 году АИР-6 выпускался серийно, а АИР-4 был построен всего в двух экземплярах. Однако открытая кабина сильно облегчала замену обшивки.</w:t>
      </w:r>
    </w:p>
    <w:p w14:paraId="2AE9BFB4"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начале предполагалось покрыть целлоном те места, которые обтянуты полотном, но так как большая часть крьгла, передняя половина фюзеляжа и некоторые части оперения были покрыты работающей фанерной обшивкой, Козлов решил ввести в конструкцию соответствующие изменения и покрыть целлоном по возможности весь самолет, включая колеса.</w:t>
      </w:r>
    </w:p>
    <w:p w14:paraId="646C2AEA"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Переделки состояли в следующем: заново пересчитали крыло и между лонжеронами ввели дополнительные распорки гг расчалки. С самолета были сняты два из трех бензобаков. а на их места установили несколько дополнительных нервюр. Вся передняя половина фюзеляжа до конца заднего сиденья в первоначальном виде была зашита 3-мм фанерой. Фаггеру сняли и ввели дополнительные крепления для сидений, переделали сами сиденья так, чтобы можно было летать с парашютами. Впоследствии (после 10 полетов), для улучшения скороподъемности и увеличения потолка, снял и заднее сиденье, превратив самолет в одноместный. В хвостовом (горизонтальном и вертикальном) оперении и задней части фюзеляжа (в двух последних отсеках) в местах снятой фанерной обшивки также ввели дополнительные усиления.</w:t>
      </w:r>
    </w:p>
    <w:p w14:paraId="24B73AA3"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Кроме изменений, связанных с заменой обшивки, на самолете сняли двойное управление, а основное место пилота с приборами перенесли вггеред. После переделки АИР-4 получил название ПС – «Прозрачный самолет».</w:t>
      </w:r>
    </w:p>
    <w:p w14:paraId="24513AB6"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Одновременно исследовались свойства материала для прозрачной обшивки. Лучшим оказался целлон Мытищинского химкомбината. Эта партия по своим качествам, хотя еще и не удовлетворяла полностью всем требованиям, но уже близко приближалась ко многим из них и была значительно лучше того материала, который использовался на У-2. Образцы целлона испытывались в лабораториях ВВА, где были определены его механические характеристики. Испытания показали возможность применения целлона не только для обшивки ненесущих частей самолета, но и для крыльев и оперения. Прозрачность и чистота образцов также стали значительно лучше.</w:t>
      </w:r>
    </w:p>
    <w:p w14:paraId="5B461422"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lastRenderedPageBreak/>
        <w:t>Однако, первая большая партия целлона, изготовленная по новой технологии на заводе «Красный боевик», оказалась по своей прочности и прозрачности хуже, чем представленные до этого образцы. Ко всему прочему, листы были покороблены, но так сроки выпуска самолета уже поджимали, то пришлось поставить на ПС этот целлон, зная, что он неполноценен.</w:t>
      </w:r>
    </w:p>
    <w:p w14:paraId="2A7F4926"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Листы целлона между собой скреплялись с помощью пистонов и шайб из того же целлона. К силовым элементам листы крепились шурупами через пистоны, а к несиловым – шурупами без пистонов, но с прокладкой шайб из целлона. Чтобы обеспечить натяжение покрытия, листы стягивались шнуровкой. На нервюрах эта шнуровка захватывала еще и саму нервюру. Для безопасности швы шнуровки были проклеены матерчатой лентой, а в нервюрах – прошиты суровыми нитками.</w:t>
      </w:r>
    </w:p>
    <w:p w14:paraId="702606C0"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дополнение к прозрачной обшивке С.Г. Козлов сначала предложил сделать поверхность нервюр и стенок лонжеронов АИР-4 зеркальными. При этом он не надеялся на большой эффект такого мероприятия, считая, что для этого зеркальные поверхности должны иметь специальную форму. Работы по «озеркаливанию» оценивались Козловым в дополнительные 7700 рублей (40% от выделенной ОИ НКО суммы!!!). Неудивительно, что в результате ВВА отпустили 2 кг алюминиевого порошка, с помощью которого и окрасили каркас самолета (12703).</w:t>
      </w:r>
    </w:p>
    <w:p w14:paraId="7DDDECAE"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p>
    <w:p w14:paraId="45CDD60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апреле 1935 подготовлена Справка</w:t>
      </w:r>
    </w:p>
    <w:p w14:paraId="0497DBE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(Пометка: По опыту эксплуатации самолетов и моторов потребность в запасных моторах и группокомплектах к самолетам определяется УВС следующим образом:</w:t>
      </w:r>
    </w:p>
    <w:p w14:paraId="50DAEF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запасных моторов к общему количеству моторов – для внутренних округов и</w:t>
      </w:r>
    </w:p>
    <w:p w14:paraId="7A1D146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 запасных моторов – для отдаленных округов.</w:t>
      </w:r>
    </w:p>
    <w:p w14:paraId="48A4A2E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группокомплектам для самолетов – требуется 1 комплект на 10 самолетов.) (3517,23).</w:t>
      </w:r>
    </w:p>
    <w:p w14:paraId="6F0AA94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70CBA1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апреле 1935 была подготовлена служебная записка Молотову В.М.</w:t>
      </w:r>
    </w:p>
    <w:p w14:paraId="0E4C18A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Представляю отчет Королева о Миланской авиационной выставке.</w:t>
      </w:r>
    </w:p>
    <w:p w14:paraId="185A10F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Выставка была задумана широко, но показано было мало. Ряд передовых по авиации стран (Англия, Америка и др.) отсутствовали.</w:t>
      </w:r>
    </w:p>
    <w:p w14:paraId="52498E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Современные самолеты показаны не были. Германия представила только учебные и спортивные самолеты. Сама Италия современных самолетов не показала, данные о них удалось получить из литературы и посещения заводов.</w:t>
      </w:r>
    </w:p>
    <w:p w14:paraId="6AFA00B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Наибольшее внимание итальянцы уделяют бомбардировочной и истребительной авиации. Наиболее слабо развита – разведывательная.</w:t>
      </w:r>
    </w:p>
    <w:p w14:paraId="13FB075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бомбардировщикам – лучшим самолетом в Италии считается Савойя-71 (на выставке не был). Имеет 3 звездообразных мотора воздушного охлаждения. Скорость на высоте 4000 м – 430 км/час. Потолок – 7900 м. Грузоподъемность – 5500 кг. Дальность – данных нет. Данных по производству нет.</w:t>
      </w:r>
    </w:p>
    <w:p w14:paraId="20553C6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Соответствует нашему СБ.</w:t>
      </w:r>
    </w:p>
    <w:p w14:paraId="00FAB3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истребителям – лучшим является Капрони СН1. Скорость на высоте 4700 м – 440 км. Мотор французский ГНОМ и РОН (К-14). В производстве одиночные экземпляры.</w:t>
      </w:r>
    </w:p>
    <w:p w14:paraId="2CC41F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Наш И-16 с М-25 – выше.</w:t>
      </w:r>
    </w:p>
    <w:p w14:paraId="7AF62C6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разведчикам – лучший Ромео с мотором Фиат. Скорость – 360 км. В производстве – в одном экземпляре.</w:t>
      </w:r>
    </w:p>
    <w:p w14:paraId="511168C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Наш Р-ЗЕТ – ниже (скорость 310-325 км).</w:t>
      </w:r>
    </w:p>
    <w:p w14:paraId="23ED934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Выставленный нами форсированный М34 РН – вызвал всеобщий интерес и недоверие к его показателям.</w:t>
      </w:r>
    </w:p>
    <w:p w14:paraId="6C38D8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вооружению Итальянская авиация – отсталая.</w:t>
      </w:r>
    </w:p>
    <w:p w14:paraId="5BCBE81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приборам – интересны образцы выставленные Германией, которые все закуплены Королевым.</w:t>
      </w:r>
    </w:p>
    <w:p w14:paraId="389364B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Общие выводы: По бомбардировочной и истребительной авиации общее развитие нашей авиации соответствует западным образцам.</w:t>
      </w:r>
    </w:p>
    <w:p w14:paraId="098AA5D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Особого внимания требуют наша разведывательная и морская авиация. По вооружению мы превосходим Италию. По приборам нужно освоить купленные образцы. Обмен опытом у нас сужен в сравнении с западноевропейскими странами.</w:t>
      </w:r>
    </w:p>
    <w:p w14:paraId="270893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Королев считает необходимым в 1936 году организовать Всесоюзную авиационную выставку.</w:t>
      </w:r>
    </w:p>
    <w:p w14:paraId="0F0D900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Наши моторы, за исключением маломощных – на уровне мировых достижений.</w:t>
      </w:r>
    </w:p>
    <w:p w14:paraId="165B099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Использование сухопутной (колесной) авиации иностранных государств в морских силах.</w:t>
      </w:r>
    </w:p>
    <w:p w14:paraId="3D8B2C9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Колесная авиация (истребители, торпедоносцы, бомбардировщики) в иностранных флотах применяется гл. Образом с авианосцев (корабль с полетной палубой 35-40 м ширины и 150-200 м длины, рассчитанный на 60-80 самолетов). Исключением является Америка, где совместно с флотом работает и береговая колесная авиация, преимущественно бомбардировочная. Колесные самолеты снабжаются, на случай аварии и вынужденной посадки, спасательными воздушными мешками, которые держат самолет некоторое время на воде (до подхода кораблей).</w:t>
      </w:r>
    </w:p>
    <w:p w14:paraId="1F3B3F3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Кроме авианосцев с сухопутной (колесной) авиацией в иностранных флотах имеются авиатранспорта, на которых размещаются гидросамолеты (15-20 поплавковых или лодочных самолетов).</w:t>
      </w:r>
    </w:p>
    <w:p w14:paraId="3EF482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вооружении боевых кораблей состоят катапультные гидросамолеты-разведчики (2-3 самолета на крейсере и линкоре).</w:t>
      </w:r>
    </w:p>
    <w:p w14:paraId="45360C0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Применение колесной авиации в нашем флоте.</w:t>
      </w:r>
    </w:p>
    <w:p w14:paraId="4578FB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Вся истребительная авиация, входящая в состав морских сил – колесная, базируется на сухопутные аэродромы в районах военно-морских баз.</w:t>
      </w:r>
    </w:p>
    <w:p w14:paraId="4D5C1B7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Кроме истребителей имеется на ДВ одна колесная тяжелая авиабригада (48 ТБ-3, 12 Р-6). Там же имеется одна колесная легкобомбардировочная эскадрилья в 31 самолет Р-5 и формируется одна колесная торпедоносная эскадрилья (31 самолет Р-5Т).</w:t>
      </w:r>
    </w:p>
    <w:p w14:paraId="6195F16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Черном море – формируется один колесный торпедоносный отряд в 15 самолетов Р-5.</w:t>
      </w:r>
    </w:p>
    <w:p w14:paraId="505BDCF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Балтийском море – до 1 января 1935 года в составе флота была одна колесная тяжелая авиабригада (48 ТБ-3), которая с 1 января 1935 года перешла в подчинение ЛВО.</w:t>
      </w:r>
    </w:p>
    <w:p w14:paraId="6F386E3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Таким образом из общего количества боевых самолетов, могущих участвовать совместно с флотом в открытом море вдали от своих берегов, на колесную авиацию по ДВ падает около 60% и по Черному морю – около 20%.</w:t>
      </w:r>
    </w:p>
    <w:p w14:paraId="62E9B55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Кроме того – на Черном и Балтийском морях предположено использовать в морских операциях сухопутную авиацию УВО, СКВО и ЛВО (11-12).</w:t>
      </w:r>
    </w:p>
    <w:p w14:paraId="3ADF61D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апреле 1935 Начальник управления ВС Алкснис утвердил Тактико-технические требования к самолету ЛК2 (6682).</w:t>
      </w:r>
    </w:p>
    <w:p w14:paraId="26BA342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по плану 1 октября 1935 года</w:t>
      </w:r>
    </w:p>
    <w:p w14:paraId="506F7F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Проектирующая и строящая организация Научно-экспериментальный институт НКТП</w:t>
      </w:r>
    </w:p>
    <w:p w14:paraId="608D826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Назначение и стрелково-артиллерийское вооружение самолета</w:t>
      </w:r>
    </w:p>
    <w:p w14:paraId="2FD1329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Первой и главной задачей крейсера является уничтожение самолетов ЛБ и ТБ авиации противника летающих в составе частей.</w:t>
      </w:r>
    </w:p>
    <w:p w14:paraId="078E9E0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Второй задачей будет маневренное сохранение частей и соединений своей бомбардировочной авиации.</w:t>
      </w:r>
    </w:p>
    <w:p w14:paraId="05513DD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Свою главную задачу ЛК выполняет атакуя противника, маневрируя в горизонтальной плоскости, сосредоточенным огнем на дальней и ближней дистанциях.</w:t>
      </w:r>
    </w:p>
    <w:p w14:paraId="18BE765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Для выполнения этих задач ЛК должен быть вооружен 2 пушками 20 мм и 2 пулеметами Шкас.</w:t>
      </w:r>
    </w:p>
    <w:p w14:paraId="5DCFA10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Конструктивная схема самолета должна обеспечить размещение вооружения с целью стрелять:</w:t>
      </w:r>
    </w:p>
    <w:p w14:paraId="0161822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 в передней полусфере в конусе 90 градусов – одной пушкой 20 мм;</w:t>
      </w:r>
    </w:p>
    <w:p w14:paraId="14CBE32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 в горизонтальной плоскости на 360 градусов и ниже ее под углом 45 градусов – второй пушкой 20 мм;</w:t>
      </w:r>
    </w:p>
    <w:p w14:paraId="6CD4EFE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в горизонтальной плоскости и выше ее на 360 градусов (кроме угла занятого оперением) пулеметов Шкас. Этим же пулеметом обеспечить обстрел низа самолета под углом 45 градусов от горизонтальной плоскости и в пределах ограниченных нижними деталями самолета;</w:t>
      </w:r>
    </w:p>
    <w:p w14:paraId="40038B5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 в задней полусфере в конусе 60 градусов (за хвостовым оперением).</w:t>
      </w:r>
    </w:p>
    <w:p w14:paraId="6305E09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Условия работы</w:t>
      </w:r>
    </w:p>
    <w:p w14:paraId="7387274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днем и ночью и при сложных метеоусловиях.</w:t>
      </w:r>
    </w:p>
    <w:p w14:paraId="22FB924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Боевые действия звеном и частью. Разведывательные действия одиночными самолетами и звеньями.</w:t>
      </w:r>
    </w:p>
    <w:p w14:paraId="2826CD5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Высота применения от бреющего полета до 7000 м.</w:t>
      </w:r>
    </w:p>
    <w:p w14:paraId="73A1250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Длительные полеты над водными пространствами вдали от берегов.</w:t>
      </w:r>
    </w:p>
    <w:p w14:paraId="081658E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Воздушный бой в сочетании массированного огня с дальних дистанций и маневра звеном и частью.</w:t>
      </w:r>
    </w:p>
    <w:p w14:paraId="5C5C99C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Главным оружием наступления является калибр 20 мм. Пулеметы служат оружием самообороны при встрече с истребителями.</w:t>
      </w:r>
    </w:p>
    <w:p w14:paraId="6783A88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Летно-тактические данные самолета</w:t>
      </w:r>
    </w:p>
    <w:p w14:paraId="40E42E7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 нормальным полетным весом должен обладать следующими летно-тактическими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062"/>
        <w:gridCol w:w="2794"/>
      </w:tblGrid>
      <w:tr w:rsidR="00E3599D" w:rsidRPr="00E14102" w14:paraId="00F076D1" w14:textId="77777777">
        <w:tc>
          <w:tcPr>
            <w:tcW w:w="6062" w:type="dxa"/>
            <w:tcBorders>
              <w:top w:val="single" w:sz="12" w:space="0" w:color="auto"/>
            </w:tcBorders>
          </w:tcPr>
          <w:p w14:paraId="0CD7374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Максимальная скорость на высоте 4000 м </w:t>
            </w:r>
          </w:p>
        </w:tc>
        <w:tc>
          <w:tcPr>
            <w:tcW w:w="2794" w:type="dxa"/>
            <w:tcBorders>
              <w:top w:val="single" w:sz="12" w:space="0" w:color="auto"/>
            </w:tcBorders>
          </w:tcPr>
          <w:p w14:paraId="3770E43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350 км/час</w:t>
            </w:r>
          </w:p>
        </w:tc>
      </w:tr>
      <w:tr w:rsidR="00E3599D" w:rsidRPr="00E14102" w14:paraId="67281A55" w14:textId="77777777">
        <w:tc>
          <w:tcPr>
            <w:tcW w:w="6062" w:type="dxa"/>
          </w:tcPr>
          <w:p w14:paraId="240AD9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Практический потолок </w:t>
            </w:r>
          </w:p>
        </w:tc>
        <w:tc>
          <w:tcPr>
            <w:tcW w:w="2794" w:type="dxa"/>
          </w:tcPr>
          <w:p w14:paraId="4F3609F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8000 м</w:t>
            </w:r>
          </w:p>
        </w:tc>
      </w:tr>
      <w:tr w:rsidR="00E3599D" w:rsidRPr="00E14102" w14:paraId="5BB75A57" w14:textId="77777777">
        <w:tc>
          <w:tcPr>
            <w:tcW w:w="6062" w:type="dxa"/>
          </w:tcPr>
          <w:p w14:paraId="088724D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Техническая дальность </w:t>
            </w:r>
          </w:p>
        </w:tc>
        <w:tc>
          <w:tcPr>
            <w:tcW w:w="2794" w:type="dxa"/>
          </w:tcPr>
          <w:p w14:paraId="439C3C0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1500 км</w:t>
            </w:r>
          </w:p>
        </w:tc>
      </w:tr>
      <w:tr w:rsidR="00E3599D" w:rsidRPr="00E14102" w14:paraId="1FA22944" w14:textId="77777777">
        <w:tc>
          <w:tcPr>
            <w:tcW w:w="6062" w:type="dxa"/>
          </w:tcPr>
          <w:p w14:paraId="2411A33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Техническая дальность при возможно перегруженном полетном весе</w:t>
            </w:r>
          </w:p>
        </w:tc>
        <w:tc>
          <w:tcPr>
            <w:tcW w:w="2794" w:type="dxa"/>
          </w:tcPr>
          <w:p w14:paraId="53AFF04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3500-4000 км</w:t>
            </w:r>
          </w:p>
        </w:tc>
      </w:tr>
      <w:tr w:rsidR="00E3599D" w:rsidRPr="00E14102" w14:paraId="3A5F1E54" w14:textId="77777777">
        <w:tc>
          <w:tcPr>
            <w:tcW w:w="6062" w:type="dxa"/>
            <w:tcBorders>
              <w:bottom w:val="single" w:sz="12" w:space="0" w:color="auto"/>
            </w:tcBorders>
          </w:tcPr>
          <w:p w14:paraId="2B15DC2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 xml:space="preserve">Посадочная скорость </w:t>
            </w:r>
          </w:p>
        </w:tc>
        <w:tc>
          <w:tcPr>
            <w:tcW w:w="2794" w:type="dxa"/>
            <w:tcBorders>
              <w:bottom w:val="single" w:sz="12" w:space="0" w:color="auto"/>
            </w:tcBorders>
          </w:tcPr>
          <w:p w14:paraId="00AAFAA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90 км/час</w:t>
            </w:r>
          </w:p>
        </w:tc>
      </w:tr>
    </w:tbl>
    <w:p w14:paraId="6E1B5CC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Экипаж самолета</w:t>
      </w:r>
    </w:p>
    <w:p w14:paraId="2AC3F31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Командир корабля, он же штурман и стрелок носовой точки (Швак 20 мм) – 1</w:t>
      </w:r>
    </w:p>
    <w:p w14:paraId="3A50E83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Летчик – 1</w:t>
      </w:r>
    </w:p>
    <w:p w14:paraId="4CE91DF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Стрелок нижней точки, он же радист (Швак 20 мм) – 1</w:t>
      </w:r>
    </w:p>
    <w:p w14:paraId="262F1EA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Стрелок верхней точки (Шкас) – 1</w:t>
      </w:r>
    </w:p>
    <w:p w14:paraId="78B73CD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Стрелок задней точки (Шкас) – 1</w:t>
      </w:r>
    </w:p>
    <w:p w14:paraId="28A6C87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Требования к полетным качествам самолета</w:t>
      </w:r>
    </w:p>
    <w:p w14:paraId="216589E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Длина разбега самолета с нормальной нагрузкой при безветрии не должна превышать 250 м.</w:t>
      </w:r>
    </w:p>
    <w:p w14:paraId="4F67078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Длина пробега с нормальной нагрузкой при посадке при действии тормозов не должна превышать 200 м.</w:t>
      </w:r>
    </w:p>
    <w:p w14:paraId="3E98A5E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p w14:paraId="0120686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Требования к конструкции самолета всех вариантов</w:t>
      </w:r>
    </w:p>
    <w:p w14:paraId="5353069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должен быть выполнен из отечественных материалов стандартного сортамента.</w:t>
      </w:r>
    </w:p>
    <w:p w14:paraId="332FFB3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Конструкция самолета должна допускать и предусматривать установку самолета на поплавки для вариантов торпедоносца.</w:t>
      </w:r>
    </w:p>
    <w:p w14:paraId="52C61D3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………………………………(6682).</w:t>
      </w:r>
    </w:p>
    <w:p w14:paraId="155AA5F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19D9A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апреле 1935 во время госиспытаний авиадизеля Н-1 ЦИАМ мощностью 750 л.с. и высотностью 3000 м была поломка колен. вала. В мае был пред"явлен другой мотор, который проходил испытания (3419,84).</w:t>
      </w:r>
    </w:p>
    <w:p w14:paraId="264E01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9A888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года приказом Главного управления авиационной промышленности Гипроавиапрому было дано новое задание - запроектировать самолётное и авиамоторное производство на площадях завода имени Серго Орджоникидзе (завод №124) и присвоить ему название Самолетно-моторный комбинат №124/27. Но уже в следующем году встал вопрос о нецелесообразности размещения в одном корпусе самолётного и авиамоторного производств. В апреле 1937 года из Москвы было получено разрешение развивать авиамоторный завод №27 отдельно. В 1936 - 1937 годах завод занимался в основном ремонтом моторов , причём, в очень малом объёме. 21 марта 1937 года поступил приказ Наркомата авиационной промышленности, согласно которому заводу № 27 приписывалось организовать производство авиационного центробежного нагнетателя АЦН-2 и авиационного нагнетателя АН-1. 7 июня 1939 года Наркомат авиационной промышленности издал приказ, согласно которому самолётно - моторный комбинат №124/27 разделялся на два самостоятельных предприятия: завод №27 моторного производства, и завод №124 самолётного производства. Моторное производство ориентировалось на выпуск новых изделий и запчастей к ним. В октябре 1941 года был испытан мотор собранный полностью из деталей производства завода №27. 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В ноябре 1942 года заводчане завода № 27 в Казани приступили к освоению нового форсированного мотора В.Я.Климова - М105ПФ, мощностью 1200 лошадиных сил. В 1943 году в опытно - конструкторском бюро, возглавляемым В.П. Глушко был создан первый отечественный жидкостный реактивный двигатель РД-1. Он предназначался в качестве вспомогательного двигателя - ускорителя для улучшения взлётных, скоростных и высотных характеристик самолётов. Опытно - конструкторское бюро было укомплектовано высококвалифицированными учёными, конструкторами, экспериментаторами, технологами, металлургами, химиками. С 1942 по 1946 год заместителем Главного конструктора двигателей по лётным испытаниям здесь работал С.П. Королев. Таким образом в Казани на заводе №16 были сосредоточены самые талантливые двигателестроители.</w:t>
      </w:r>
    </w:p>
    <w:p w14:paraId="719678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послевоенный год особенно характерен интенсивной помощью заводчан сельским труженикам (в 1946 году директор завода М.М. Лукин издал приказ о производстве товаров народного потребления, а также узлов и деталей для производства сельхозмашин), а также выпуском товаров народного потребления.</w:t>
      </w:r>
    </w:p>
    <w:p w14:paraId="34A30C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Главная особенность послевоенного развития отечественной авиации в том, что происходило оно на базе реактивных двигателей. Они положительно отличались от сложных в производстве и капризных в эксплуатации поршневых моторов. Опытный образец такого двигателя, испытанного на наземном стенде, был создан ещё во время войны конструктором А. М. Люлька. В марте 1946 года правительство поручает заводу ответственейшее задание: освоить выпуск турбореактивного двигателя РД - 20. С этой целью на заводе создаётся опытно-конструкторское бюро (9688).</w:t>
      </w:r>
    </w:p>
    <w:p w14:paraId="6E2957C7" w14:textId="77777777" w:rsidR="00D4105E" w:rsidRPr="00E14102" w:rsidRDefault="00D4105E" w:rsidP="00E14102">
      <w:pPr>
        <w:autoSpaceDE w:val="0"/>
        <w:autoSpaceDN w:val="0"/>
        <w:adjustRightInd w:val="0"/>
        <w:jc w:val="both"/>
        <w:rPr>
          <w:color w:val="000000" w:themeColor="text1"/>
          <w:sz w:val="16"/>
          <w:szCs w:val="16"/>
        </w:rPr>
      </w:pPr>
    </w:p>
    <w:p w14:paraId="431969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постановлением правительства завод N 133 влился в завод N 1, что послужило возможностью для последнего создать крупную проектирующую организацию, каким является Опытно-конструкторское управление 1-го завода, возглавляемое известным конструктором Д.П. Григоровичем. (Фактически начало работ ОКУ нужно отнести на начало июня, т.к. переезд на новую территорию и организационная перестройка потребовала затраты значительного количества времени). Таким образом, завод N 1 имеет в своем составе солидную организацию для проектирования новых современных самолетов и достаточную производственную базу для их постройки (3072).</w:t>
      </w:r>
    </w:p>
    <w:p w14:paraId="40FD994C" w14:textId="77777777" w:rsidR="00D4105E" w:rsidRPr="00E14102" w:rsidRDefault="00D4105E" w:rsidP="00E14102">
      <w:pPr>
        <w:autoSpaceDE w:val="0"/>
        <w:autoSpaceDN w:val="0"/>
        <w:adjustRightInd w:val="0"/>
        <w:jc w:val="both"/>
        <w:rPr>
          <w:color w:val="000000" w:themeColor="text1"/>
          <w:sz w:val="16"/>
          <w:szCs w:val="16"/>
        </w:rPr>
      </w:pPr>
    </w:p>
    <w:p w14:paraId="5BEEC3B0" w14:textId="77777777" w:rsidR="00DF734F" w:rsidRPr="00E14102" w:rsidRDefault="00DF734F" w:rsidP="00E14102">
      <w:pPr>
        <w:jc w:val="both"/>
        <w:rPr>
          <w:color w:val="000000" w:themeColor="text1"/>
          <w:sz w:val="16"/>
          <w:szCs w:val="16"/>
        </w:rPr>
      </w:pPr>
      <w:r w:rsidRPr="00E14102">
        <w:rPr>
          <w:color w:val="000000" w:themeColor="text1"/>
          <w:sz w:val="16"/>
          <w:szCs w:val="16"/>
        </w:rPr>
        <w:t xml:space="preserve">В апреле 1935 г. совместными усилиями представителей Ракетного научно-исследовательского института (РНИИ) и НИИ № 3 были разработаны проекты и изготовлены опытные образцы установки 132-мм РС (ракет) на </w:t>
      </w:r>
      <w:hyperlink r:id="rId88" w:tgtFrame="_blank" w:history="1">
        <w:r w:rsidRPr="00E14102">
          <w:rPr>
            <w:color w:val="000000" w:themeColor="text1"/>
            <w:sz w:val="16"/>
            <w:szCs w:val="16"/>
          </w:rPr>
          <w:t>танк</w:t>
        </w:r>
      </w:hyperlink>
      <w:r w:rsidRPr="00E14102">
        <w:rPr>
          <w:color w:val="000000" w:themeColor="text1"/>
          <w:sz w:val="16"/>
          <w:szCs w:val="16"/>
        </w:rPr>
        <w:t xml:space="preserve">е БТ-5. Для проведения экспериментальных работ 132-мм ракетное орудие, состоящее из двух направляющих планок, было закреплено с помощью болтов только на левой стороне башни </w:t>
      </w:r>
      <w:hyperlink r:id="rId89" w:tgtFrame="_blank" w:history="1">
        <w:r w:rsidRPr="00E14102">
          <w:rPr>
            <w:color w:val="000000" w:themeColor="text1"/>
            <w:sz w:val="16"/>
            <w:szCs w:val="16"/>
          </w:rPr>
          <w:t>танк</w:t>
        </w:r>
      </w:hyperlink>
      <w:r w:rsidRPr="00E14102">
        <w:rPr>
          <w:color w:val="000000" w:themeColor="text1"/>
          <w:sz w:val="16"/>
          <w:szCs w:val="16"/>
        </w:rPr>
        <w:t xml:space="preserve">а. Установка позволяла иметь два фиксированных угла возвышения — 0° и + 20°. Задачей экспериментальной установки было выявление действия газовой струи, образующейся при выстреле, на механизмы и экипаж </w:t>
      </w:r>
      <w:hyperlink r:id="rId90" w:tgtFrame="_blank" w:history="1">
        <w:r w:rsidRPr="00E14102">
          <w:rPr>
            <w:color w:val="000000" w:themeColor="text1"/>
            <w:sz w:val="16"/>
            <w:szCs w:val="16"/>
          </w:rPr>
          <w:t>танк</w:t>
        </w:r>
      </w:hyperlink>
      <w:r w:rsidRPr="00E14102">
        <w:rPr>
          <w:color w:val="000000" w:themeColor="text1"/>
          <w:sz w:val="16"/>
          <w:szCs w:val="16"/>
        </w:rPr>
        <w:t xml:space="preserve">а. Пристрелка, как и на </w:t>
      </w:r>
      <w:hyperlink r:id="rId91" w:tgtFrame="_blank" w:history="1">
        <w:r w:rsidRPr="00E14102">
          <w:rPr>
            <w:color w:val="000000" w:themeColor="text1"/>
            <w:sz w:val="16"/>
            <w:szCs w:val="16"/>
          </w:rPr>
          <w:t>танк</w:t>
        </w:r>
      </w:hyperlink>
      <w:r w:rsidRPr="00E14102">
        <w:rPr>
          <w:color w:val="000000" w:themeColor="text1"/>
          <w:sz w:val="16"/>
          <w:szCs w:val="16"/>
        </w:rPr>
        <w:t xml:space="preserve">е РБТ-5, производилась с помощью 45-мм </w:t>
      </w:r>
      <w:hyperlink r:id="rId92" w:tgtFrame="_blank" w:history="1">
        <w:r w:rsidRPr="00E14102">
          <w:rPr>
            <w:color w:val="000000" w:themeColor="text1"/>
            <w:sz w:val="16"/>
            <w:szCs w:val="16"/>
          </w:rPr>
          <w:t>танк</w:t>
        </w:r>
      </w:hyperlink>
      <w:r w:rsidRPr="00E14102">
        <w:rPr>
          <w:color w:val="000000" w:themeColor="text1"/>
          <w:sz w:val="16"/>
          <w:szCs w:val="16"/>
        </w:rPr>
        <w:t>овой пушки, а стрельба на поражение цели осуществлялась 132-мм фугасными РС (15628).</w:t>
      </w:r>
    </w:p>
    <w:p w14:paraId="71D610EC" w14:textId="77777777" w:rsidR="00DF734F" w:rsidRPr="00E14102" w:rsidRDefault="00DF734F" w:rsidP="00E14102">
      <w:pPr>
        <w:jc w:val="both"/>
        <w:rPr>
          <w:color w:val="000000" w:themeColor="text1"/>
          <w:sz w:val="16"/>
          <w:szCs w:val="16"/>
        </w:rPr>
      </w:pPr>
    </w:p>
    <w:p w14:paraId="3C5433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в ОКБ-18 была организована бригада по созданию высотного планера, запускаемого из стратосферы с аэростата (70,302).</w:t>
      </w:r>
    </w:p>
    <w:p w14:paraId="055077E8" w14:textId="77777777" w:rsidR="00D4105E" w:rsidRPr="00E14102" w:rsidRDefault="00D4105E" w:rsidP="00E14102">
      <w:pPr>
        <w:autoSpaceDE w:val="0"/>
        <w:autoSpaceDN w:val="0"/>
        <w:adjustRightInd w:val="0"/>
        <w:jc w:val="both"/>
        <w:rPr>
          <w:color w:val="000000" w:themeColor="text1"/>
          <w:sz w:val="16"/>
          <w:szCs w:val="16"/>
        </w:rPr>
      </w:pPr>
    </w:p>
    <w:p w14:paraId="7B14A7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1935-го. из Одессы в турцию отбыл С.Н.Анохин и М.Ф.Романов. В те годы в ВЛПШ обучалась группа турецких планеристов, среди которых находилась и приёмная дочь президента Турции Ататюрка - Сабиха Гёт Чен. Турки освоили парение на планере, прыжки с парашютом. Затем Ататюрк обратился к правительству СССР с просьбой направить в Турцию инструкторов ВЛПШ для организации общества "Турецкая птица" (аналог нашего Осо-авиахима) и обучения турок планеризму и парашютным прыжкам. Для этого в Турцию были командированы инструкторы ВЛПШ. Вскоре в Турцию приехала жена Сергея Николаевича - известная планеристка Маргарита Карловна Раценская (в своё время она была его ученицей в ВЛПШ). Командировка планировалась на 3 месяца. Однако домой семья Анохиных вернулась лишь в январе 1940 года - через 57 (!) месяцев разлуки с Родиной. После возвращения в СССР Сергей Анохин работает в Центральном аэроклубе в Тушино: сначала командиром планерного звена, потом - командиром планерного отряда. В 1940-м при выполнении Анохиным пилотажа на планере отвалился элерон. Сложилась критическая ситуация: планер практически потерял управление. Однако лётчик сумел выполнить благополучную посадку. С сентября 1941-го Сергей Николаевич - командир планерной авиаэскадрильи Центрального аэроклуба. В ноябре Анохину присвоено звание "Мастер парашютного спорта СССР" (5996).</w:t>
      </w:r>
    </w:p>
    <w:p w14:paraId="6279C0E6" w14:textId="77777777" w:rsidR="00D4105E" w:rsidRPr="00E14102" w:rsidRDefault="00D4105E" w:rsidP="00E14102">
      <w:pPr>
        <w:autoSpaceDE w:val="0"/>
        <w:autoSpaceDN w:val="0"/>
        <w:adjustRightInd w:val="0"/>
        <w:jc w:val="both"/>
        <w:rPr>
          <w:color w:val="000000" w:themeColor="text1"/>
          <w:sz w:val="16"/>
          <w:szCs w:val="16"/>
        </w:rPr>
      </w:pPr>
    </w:p>
    <w:p w14:paraId="73EA271F"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апреле 1935 конструкторы По</w:t>
      </w:r>
      <w:r w:rsidRPr="00E14102">
        <w:rPr>
          <w:color w:val="000000" w:themeColor="text1"/>
          <w:sz w:val="16"/>
          <w:szCs w:val="16"/>
        </w:rPr>
        <w:softHyphen/>
        <w:t>левого отдела НИХИ предъявили на испытания второй, доработанный, вариант зажигательного прибора на базе ВАП-4м. Опробо</w:t>
      </w:r>
      <w:r w:rsidRPr="00E14102">
        <w:rPr>
          <w:color w:val="000000" w:themeColor="text1"/>
          <w:sz w:val="16"/>
          <w:szCs w:val="16"/>
        </w:rPr>
        <w:softHyphen/>
        <w:t>вав, его также сочли неудовлетво</w:t>
      </w:r>
      <w:r w:rsidRPr="00E14102">
        <w:rPr>
          <w:color w:val="000000" w:themeColor="text1"/>
          <w:sz w:val="16"/>
          <w:szCs w:val="16"/>
        </w:rPr>
        <w:softHyphen/>
        <w:t>рительным. Последовали новые пе</w:t>
      </w:r>
      <w:r w:rsidRPr="00E14102">
        <w:rPr>
          <w:color w:val="000000" w:themeColor="text1"/>
          <w:sz w:val="16"/>
          <w:szCs w:val="16"/>
        </w:rPr>
        <w:softHyphen/>
        <w:t>ределки. Третий вариант выпусти</w:t>
      </w:r>
      <w:r w:rsidRPr="00E14102">
        <w:rPr>
          <w:color w:val="000000" w:themeColor="text1"/>
          <w:sz w:val="16"/>
          <w:szCs w:val="16"/>
        </w:rPr>
        <w:softHyphen/>
        <w:t>ли на испытания в июне 1936 г., после чего разрешили выпустить малую серию и начать войсковые испытания (12022).</w:t>
      </w:r>
    </w:p>
    <w:p w14:paraId="78EBBBDB" w14:textId="77777777" w:rsidR="00D4105E" w:rsidRPr="00E14102" w:rsidRDefault="00D4105E" w:rsidP="00E14102">
      <w:pPr>
        <w:widowControl w:val="0"/>
        <w:autoSpaceDE w:val="0"/>
        <w:autoSpaceDN w:val="0"/>
        <w:adjustRightInd w:val="0"/>
        <w:jc w:val="both"/>
        <w:rPr>
          <w:color w:val="000000" w:themeColor="text1"/>
          <w:sz w:val="16"/>
          <w:szCs w:val="16"/>
        </w:rPr>
      </w:pPr>
    </w:p>
    <w:p w14:paraId="0692BA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из-за проблем с финансированием прервалась забота созданной 27 ноября 1934 в Харькове на общественных началах при военно-научном комитете Осоавиахима Харьковской реактивная группа (ХРГ). Председателем оргбюро был избран В.И.Розов. Делали пороховые ракеты. Работу восстановилась 10 ноября 1937 под руководством Г.Ф.Проскуры (9922).</w:t>
      </w:r>
    </w:p>
    <w:p w14:paraId="46085573" w14:textId="77777777" w:rsidR="00D4105E" w:rsidRPr="00E14102" w:rsidRDefault="00D4105E" w:rsidP="00E14102">
      <w:pPr>
        <w:autoSpaceDE w:val="0"/>
        <w:autoSpaceDN w:val="0"/>
        <w:adjustRightInd w:val="0"/>
        <w:jc w:val="both"/>
        <w:rPr>
          <w:color w:val="000000" w:themeColor="text1"/>
          <w:sz w:val="16"/>
          <w:szCs w:val="16"/>
        </w:rPr>
      </w:pPr>
    </w:p>
    <w:p w14:paraId="44F600E1" w14:textId="77777777" w:rsidR="000319FF" w:rsidRPr="00E14102" w:rsidRDefault="000319FF" w:rsidP="00E14102">
      <w:pPr>
        <w:jc w:val="both"/>
        <w:rPr>
          <w:color w:val="0070C0"/>
          <w:sz w:val="16"/>
          <w:szCs w:val="16"/>
        </w:rPr>
      </w:pPr>
      <w:r w:rsidRPr="00E14102">
        <w:rPr>
          <w:color w:val="0070C0"/>
          <w:sz w:val="16"/>
          <w:szCs w:val="16"/>
        </w:rPr>
        <w:t>В апреле 1935 года, учитывая огромную тягу молодежи к овладению военным делом, ЦК ВЛКСМ и Осоавиахим вынесли решение об организации второго тура ВТЭ. В итоге двух туров ВТЭ 20.000 человек прыгнули с парашютом с самолета, 1.406.000 человек – с парашютных вышек. Были подготовлены 982 инструктора парашютного спорта. Парашютное дело в тот момент занимало 1-е место среди других видов военной подготовки. На 2-м месте была сдача норм «Готов к ПВХО», которую прошли 1.345.000 человек, а ворошиловские стрелки занимали по численности 3-е место – 1.259.000 человек. Гораздо меньше стало молодых людей, овладевших нормами по уходу и сбережению коня – 470.000 (ГАРФ. Ф.Р – 8355. Оп. 1. Д. 259. Л. 18.) (21402).</w:t>
      </w:r>
    </w:p>
    <w:p w14:paraId="2C8C9BEB" w14:textId="77777777" w:rsidR="000319FF" w:rsidRPr="00E14102" w:rsidRDefault="000319FF" w:rsidP="00E14102">
      <w:pPr>
        <w:jc w:val="both"/>
        <w:rPr>
          <w:color w:val="0070C0"/>
          <w:sz w:val="16"/>
          <w:szCs w:val="16"/>
        </w:rPr>
      </w:pPr>
    </w:p>
    <w:p w14:paraId="76A1ADA4" w14:textId="77777777" w:rsidR="000319FF" w:rsidRPr="00E14102" w:rsidRDefault="000319FF" w:rsidP="00E14102">
      <w:pPr>
        <w:shd w:val="clear" w:color="auto" w:fill="FFFFFF"/>
        <w:jc w:val="both"/>
        <w:textAlignment w:val="baseline"/>
        <w:rPr>
          <w:color w:val="0070C0"/>
          <w:sz w:val="16"/>
          <w:szCs w:val="16"/>
        </w:rPr>
      </w:pPr>
      <w:r w:rsidRPr="00E14102">
        <w:rPr>
          <w:color w:val="0070C0"/>
          <w:sz w:val="16"/>
          <w:szCs w:val="16"/>
        </w:rPr>
        <w:t>В апреле 1935 года было заявлено об организации Центральным советом Осоавиахима, редакцией «Правды», ЦК ВЛКСМ, Аэрофлотом и Авиавнито (Авиационное всесоюзное научно-инженерное техническое общество) перелета самолетов легкомоторной авиации. Сообщалось, что основными целями соревнований являются:</w:t>
      </w:r>
    </w:p>
    <w:p w14:paraId="338F62BE" w14:textId="77777777" w:rsidR="000319FF" w:rsidRPr="00E14102" w:rsidRDefault="000319FF" w:rsidP="00E14102">
      <w:pPr>
        <w:shd w:val="clear" w:color="auto" w:fill="FFFFFF"/>
        <w:jc w:val="both"/>
        <w:textAlignment w:val="baseline"/>
        <w:rPr>
          <w:color w:val="0070C0"/>
          <w:sz w:val="16"/>
          <w:szCs w:val="16"/>
        </w:rPr>
      </w:pPr>
      <w:r w:rsidRPr="00E14102">
        <w:rPr>
          <w:color w:val="0070C0"/>
          <w:sz w:val="16"/>
          <w:szCs w:val="16"/>
        </w:rPr>
        <w:t>«а) развитие легкомоторной авиации, как важнейшего средства массового воздушного спорта, местной связи и сообщения;</w:t>
      </w:r>
    </w:p>
    <w:p w14:paraId="1ECBD7BC" w14:textId="77777777" w:rsidR="000319FF" w:rsidRPr="00E14102" w:rsidRDefault="000319FF" w:rsidP="00E14102">
      <w:pPr>
        <w:shd w:val="clear" w:color="auto" w:fill="FFFFFF"/>
        <w:jc w:val="both"/>
        <w:textAlignment w:val="baseline"/>
        <w:rPr>
          <w:color w:val="0070C0"/>
          <w:sz w:val="16"/>
          <w:szCs w:val="16"/>
        </w:rPr>
      </w:pPr>
      <w:r w:rsidRPr="00E14102">
        <w:rPr>
          <w:color w:val="0070C0"/>
          <w:sz w:val="16"/>
          <w:szCs w:val="16"/>
        </w:rPr>
        <w:t>б) развитие научной и конструкторской работы для создания наиболее совершенных типов легкомоторных самолетов;</w:t>
      </w:r>
    </w:p>
    <w:p w14:paraId="0D20106E" w14:textId="77777777" w:rsidR="000319FF" w:rsidRPr="00E14102" w:rsidRDefault="000319FF" w:rsidP="00E14102">
      <w:pPr>
        <w:shd w:val="clear" w:color="auto" w:fill="FFFFFF"/>
        <w:jc w:val="both"/>
        <w:textAlignment w:val="baseline"/>
        <w:rPr>
          <w:color w:val="0070C0"/>
          <w:sz w:val="16"/>
          <w:szCs w:val="16"/>
        </w:rPr>
      </w:pPr>
      <w:r w:rsidRPr="00E14102">
        <w:rPr>
          <w:color w:val="0070C0"/>
          <w:sz w:val="16"/>
          <w:szCs w:val="16"/>
        </w:rPr>
        <w:lastRenderedPageBreak/>
        <w:t>в) укрепление аэроклубов, улучшение их работы по подготовке кадров, тренировку аэроклубов и аэродромов в обслуживании массовых спортивных и туристских перелетов;</w:t>
      </w:r>
    </w:p>
    <w:p w14:paraId="22230A3A" w14:textId="77777777" w:rsidR="000319FF" w:rsidRPr="00E14102" w:rsidRDefault="000319FF" w:rsidP="00E14102">
      <w:pPr>
        <w:shd w:val="clear" w:color="auto" w:fill="FFFFFF"/>
        <w:jc w:val="both"/>
        <w:textAlignment w:val="baseline"/>
        <w:rPr>
          <w:color w:val="0070C0"/>
          <w:sz w:val="16"/>
          <w:szCs w:val="16"/>
        </w:rPr>
      </w:pPr>
      <w:r w:rsidRPr="00E14102">
        <w:rPr>
          <w:color w:val="0070C0"/>
          <w:sz w:val="16"/>
          <w:szCs w:val="16"/>
        </w:rPr>
        <w:t>г) летно-технические и эксплуатационные испытания, как новых типов самолетов, так и серийных;</w:t>
      </w:r>
    </w:p>
    <w:p w14:paraId="354C2ABD" w14:textId="77777777" w:rsidR="000319FF" w:rsidRPr="00E14102" w:rsidRDefault="000319FF" w:rsidP="00E14102">
      <w:pPr>
        <w:shd w:val="clear" w:color="auto" w:fill="FFFFFF"/>
        <w:jc w:val="both"/>
        <w:textAlignment w:val="baseline"/>
        <w:rPr>
          <w:color w:val="0070C0"/>
          <w:sz w:val="16"/>
          <w:szCs w:val="16"/>
        </w:rPr>
      </w:pPr>
      <w:r w:rsidRPr="00E14102">
        <w:rPr>
          <w:color w:val="0070C0"/>
          <w:sz w:val="16"/>
          <w:szCs w:val="16"/>
        </w:rPr>
        <w:t>д) тренировку летных кадров советских спортивных организаций» . [103]</w:t>
      </w:r>
    </w:p>
    <w:p w14:paraId="46105C11" w14:textId="77777777" w:rsidR="000319FF" w:rsidRPr="00E14102" w:rsidRDefault="000319FF" w:rsidP="00E14102">
      <w:pPr>
        <w:shd w:val="clear" w:color="auto" w:fill="FFFFFF"/>
        <w:jc w:val="both"/>
        <w:textAlignment w:val="baseline"/>
        <w:rPr>
          <w:color w:val="0070C0"/>
          <w:sz w:val="16"/>
          <w:szCs w:val="16"/>
        </w:rPr>
      </w:pPr>
      <w:r w:rsidRPr="00E14102">
        <w:rPr>
          <w:color w:val="0070C0"/>
          <w:sz w:val="16"/>
          <w:szCs w:val="16"/>
        </w:rPr>
        <w:t>Для организации перелета был образован комитет в составе Р.П. Эйдемана (председатель), Л.З. Мехлиса, М.Е. Кольцова, В.В. Хрипина, П.С. Горшенина, В.М. Бубекина, Е.А. Гельфера, М.С. Дейча (ответственный секретарь), М.В. Марголина, Я.Я. Анвельта, А.С. Яковлева, М.М. Громова, Н.П. Каманина, А.В. Ляпидевского, А.А. Левина, Л.П. Малиновского.</w:t>
      </w:r>
    </w:p>
    <w:p w14:paraId="7CA8D5FC" w14:textId="77777777" w:rsidR="000319FF" w:rsidRPr="00E14102" w:rsidRDefault="000319FF" w:rsidP="00E14102">
      <w:pPr>
        <w:shd w:val="clear" w:color="auto" w:fill="FFFFFF"/>
        <w:jc w:val="both"/>
        <w:textAlignment w:val="baseline"/>
        <w:rPr>
          <w:color w:val="0070C0"/>
          <w:sz w:val="16"/>
          <w:szCs w:val="16"/>
        </w:rPr>
      </w:pPr>
      <w:r w:rsidRPr="00E14102">
        <w:rPr>
          <w:color w:val="0070C0"/>
          <w:sz w:val="16"/>
          <w:szCs w:val="16"/>
        </w:rPr>
        <w:t>В результате строгого отбора к перелету были допущены 18-ть самолетов У-2 с экипажами из различных авиашкол и аэроклубов Осоавиахима. Они были выделены в две группы. Отдельной группой должны были соревноваться, уже проверенные в дальних перелетах, четыре самолета АИР-6. Два из них, с экипажами в составе летчиков Сахарова и Алексеева, и бортмехаников Кахно и Куракина, представляли Центральный аэроклуб имени А.В. Косарева. Еще один АИР-6 под управлением летчика В.Ф. Сандрыкина был выделен для перелета украинским спортивным обществом «Динамо».</w:t>
      </w:r>
    </w:p>
    <w:p w14:paraId="74260E45" w14:textId="77777777" w:rsidR="000319FF" w:rsidRPr="00E14102" w:rsidRDefault="000319FF" w:rsidP="00E14102">
      <w:pPr>
        <w:shd w:val="clear" w:color="auto" w:fill="FFFFFF"/>
        <w:jc w:val="both"/>
        <w:textAlignment w:val="baseline"/>
        <w:rPr>
          <w:color w:val="0070C0"/>
          <w:sz w:val="16"/>
          <w:szCs w:val="16"/>
        </w:rPr>
      </w:pPr>
      <w:r w:rsidRPr="00E14102">
        <w:rPr>
          <w:color w:val="0070C0"/>
          <w:sz w:val="16"/>
          <w:szCs w:val="16"/>
        </w:rPr>
        <w:t>Наибольший интерес для специалистов и многочисленных авиационных энтузиастов представляла группа, состоящая из десяти новых самолетов, по-существу, являвшихся опытными. Казанский авиационный институт отправил в перелет двухмоторный КАИ-1 №3 (в газетах он именовался КАИ-3, бортовой номер 26). Экипаж этого самолета состоял из летчика К.П. Миндера и бортмеханика Сомика. Молодое ОКБ А.С. Яковлева подготовило к соревнованиям три самолета: АИР-9 (стартовый номер 31), АИР-9 бис и АИР-10, но за несколько дней до старта самолет АИР-9 бис был отобран для более важной акции – участия в международной авиационной выставке в Милане. АИР-10 (стартовый номер 30) в перелете пилотировал известный летчик Ю.И. Пионтковский. Конструктор В.К. Грибовский также представил на конкурс три машины: Г-10, Г-15 и Г-20. Одноместный самолет Г-10 (стартовый номер 27) пилотировал летчик Н.Д. Федосеев. Двухместным Г-20 в перелете управлял экипаж в составе: пилота Алтынова и бортмеханика Балашова. Группа ленинградских конструкторов представила серийный самолет ЛК-1 и опытный – ЛК-4. Экипаж ЛК-1 (стартовый номер 35) состоял из пилота Соловьева и бортмеханика Суярова. Пилот ЛК-4 (стартовый номер 24) – М.А. Никифоров. От ленинградского авиационного завода № 23 в перелете участвовал самолет Э-23 (стартовый номер 21). Повышенный интерес у публики вызывал изящный моноплан «Авиавнито-1» (стартовый номер 25), построенный на тушинском авиационном заводе №81 имени В.М. Молотова. Экипаж самолета состоял из летчика-испытателя В.В. Карпова и бортинженера Герасимова.</w:t>
      </w:r>
    </w:p>
    <w:p w14:paraId="72FE524B" w14:textId="77777777" w:rsidR="000319FF" w:rsidRPr="00E14102" w:rsidRDefault="000319FF" w:rsidP="00E14102">
      <w:pPr>
        <w:shd w:val="clear" w:color="auto" w:fill="FFFFFF"/>
        <w:jc w:val="both"/>
        <w:textAlignment w:val="baseline"/>
        <w:rPr>
          <w:color w:val="0070C0"/>
          <w:sz w:val="16"/>
          <w:szCs w:val="16"/>
        </w:rPr>
      </w:pPr>
      <w:r w:rsidRPr="00E14102">
        <w:rPr>
          <w:color w:val="0070C0"/>
          <w:sz w:val="16"/>
          <w:szCs w:val="16"/>
        </w:rPr>
        <w:t>Главной задачей участвующих в перелете экипажей было преодоление, в борьбе с неблагоприятными климатическими факторами и техническим несовершенством своих летательных аппаратов, маршрута Москва – Горький (ныне – Нижний Новгород) – Казань – Сарапул – Пермь – Свердловск (ныне – Екатеринбург) – Челябинск – Магнитогорск – Оренбург – Куйбышев (ныне – Самара) – Саратов – Сталинград (ныне – Волгоград) – Луганск – Сталино (ныне – Донецк) – Днепропетровск – Киев – Бежица (ныне – район Брянска) – Москва (21249).</w:t>
      </w:r>
    </w:p>
    <w:p w14:paraId="21A7F05F" w14:textId="77777777" w:rsidR="000319FF" w:rsidRPr="00E14102" w:rsidRDefault="000319FF" w:rsidP="00E14102">
      <w:pPr>
        <w:jc w:val="both"/>
        <w:rPr>
          <w:color w:val="0070C0"/>
          <w:sz w:val="16"/>
          <w:szCs w:val="16"/>
        </w:rPr>
      </w:pPr>
    </w:p>
    <w:p w14:paraId="48C2FE0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B987044" w14:textId="77777777" w:rsidR="00D4105E" w:rsidRPr="00E14102" w:rsidRDefault="00D4105E" w:rsidP="00E14102">
      <w:pPr>
        <w:autoSpaceDE w:val="0"/>
        <w:autoSpaceDN w:val="0"/>
        <w:adjustRightInd w:val="0"/>
        <w:jc w:val="both"/>
        <w:rPr>
          <w:iCs/>
          <w:color w:val="000000" w:themeColor="text1"/>
          <w:sz w:val="16"/>
          <w:szCs w:val="16"/>
        </w:rPr>
      </w:pPr>
    </w:p>
    <w:p w14:paraId="56D801EF" w14:textId="77777777" w:rsidR="000319FF" w:rsidRPr="00E14102" w:rsidRDefault="000319FF" w:rsidP="00E14102">
      <w:pPr>
        <w:autoSpaceDE w:val="0"/>
        <w:autoSpaceDN w:val="0"/>
        <w:adjustRightInd w:val="0"/>
        <w:jc w:val="both"/>
        <w:rPr>
          <w:color w:val="0070C0"/>
          <w:sz w:val="16"/>
          <w:szCs w:val="16"/>
        </w:rPr>
      </w:pPr>
      <w:r w:rsidRPr="00E14102">
        <w:rPr>
          <w:color w:val="0070C0"/>
          <w:sz w:val="16"/>
          <w:szCs w:val="16"/>
        </w:rPr>
        <w:t xml:space="preserve">В соответствии с утвержденной в апреле 1935 г. начальником НТО АУ РККА программой, в период с 28 мая по 4 сентября 1935 г. на НИАПе были проведены сравнительные испытания двух опытных образцов 82-мм батальонных минометов – разработки специалистов 3-го сектора 1 отдела АНИИ (начальник - Н. А. Доровлев) и СКБ ГВМУ НКТП при заводе «Красный Октябрь» (Ш-2). </w:t>
      </w:r>
    </w:p>
    <w:p w14:paraId="37CF129B" w14:textId="77777777" w:rsidR="000319FF" w:rsidRPr="00E14102" w:rsidRDefault="000319FF" w:rsidP="00E14102">
      <w:pPr>
        <w:autoSpaceDE w:val="0"/>
        <w:autoSpaceDN w:val="0"/>
        <w:adjustRightInd w:val="0"/>
        <w:jc w:val="both"/>
        <w:rPr>
          <w:color w:val="0070C0"/>
          <w:sz w:val="16"/>
          <w:szCs w:val="16"/>
        </w:rPr>
      </w:pPr>
      <w:r w:rsidRPr="00E14102">
        <w:rPr>
          <w:color w:val="0070C0"/>
          <w:sz w:val="16"/>
          <w:szCs w:val="16"/>
        </w:rPr>
        <w:t xml:space="preserve">За время испытаний было сделано 216 выстрелов из миномета разработки АНИИ и 218 выстрелов из миномета завода «Красный Октябрь». Испытания стрельбой на прочность выявили недостаточную надежность опорных плит представленных образцов: у миномета завода «Красный Октябрь» был погнут сошник, приваренный к плите во время испытаний по указанию Б. И. Шавырина, у миномета АНИИ опорная плита сломалась, после замены вторая плита была деформирована. В то же время образец АНИИ продемонстрировал лучшую устойчивость на различных видах грунта и меньшую сбиваемость, по сравнению с минометом завода «Красный Октябрь». Меткость стрельбы обоих образцов была признана неудовлетворительной. Во время испытаний на скорострельность обнаружилось, что нитропленка, используемая при изготовлении футляров для дополнительных зарядов к миномету АНИИ, воспламеняется от контакта с нагревающимся в процессе стрельбы стволом. После этого было принято решение в дальнейшем использовать флегматизированную нитропленку, выдерживающую более высокие температуры. </w:t>
      </w:r>
    </w:p>
    <w:p w14:paraId="1E09838D" w14:textId="77777777" w:rsidR="000319FF" w:rsidRPr="00E14102" w:rsidRDefault="000319FF" w:rsidP="00E14102">
      <w:pPr>
        <w:pStyle w:val="Default"/>
        <w:jc w:val="both"/>
        <w:rPr>
          <w:color w:val="0070C0"/>
          <w:sz w:val="16"/>
          <w:szCs w:val="16"/>
        </w:rPr>
      </w:pPr>
      <w:r w:rsidRPr="00E14102">
        <w:rPr>
          <w:color w:val="0070C0"/>
          <w:sz w:val="16"/>
          <w:szCs w:val="16"/>
        </w:rPr>
        <w:t xml:space="preserve">Согласно заключению, приведенному в отчете об испытаниях и направленному в АНИИ РККА 8 сентября 1935 г., ни один из представленных образцов не был признан удовлетворительным. 82-мм батальонный миномет разработки группы «Д» АНИИ испытания не выдержал ввиду непрочности опорной плиты, 82-мм батальонный миномет разработки СКБ </w:t>
      </w:r>
    </w:p>
    <w:p w14:paraId="6E087762" w14:textId="77777777" w:rsidR="000319FF" w:rsidRPr="00E14102" w:rsidRDefault="000319FF" w:rsidP="00E14102">
      <w:pPr>
        <w:autoSpaceDE w:val="0"/>
        <w:autoSpaceDN w:val="0"/>
        <w:adjustRightInd w:val="0"/>
        <w:jc w:val="both"/>
        <w:rPr>
          <w:color w:val="0070C0"/>
          <w:sz w:val="16"/>
          <w:szCs w:val="16"/>
        </w:rPr>
      </w:pPr>
      <w:r w:rsidRPr="00E14102">
        <w:rPr>
          <w:color w:val="0070C0"/>
          <w:sz w:val="16"/>
          <w:szCs w:val="16"/>
        </w:rPr>
        <w:t xml:space="preserve">ГВМУ НКТП при заводе «Красный Октябрь» получил более высокую оценку, однако требовал значительной доработки. В итоге было рекомендовано разработать новую конструкцию, которая объединяла бы в себе отдельные составляющие представленных образцов, показавшие себя с лучшей стороны. За основу был принят миномет СКБ ГВМУ НКТП - от него предлагалось использовать опорную плиту (при условии увеличения ее размеров, дооснащения более прочным сошником и перемещения гнезда для пяты ствола в центр), а также ствола (с изменением формы бойка по образцу миномета АНИИ). Конструкция двуноги миномета АНИИ была признана более удобной в обращении, однако также требовала доработки.438 </w:t>
      </w:r>
    </w:p>
    <w:p w14:paraId="55D8EF86" w14:textId="77777777" w:rsidR="000319FF" w:rsidRPr="00E14102" w:rsidRDefault="000319FF" w:rsidP="00E14102">
      <w:pPr>
        <w:jc w:val="both"/>
        <w:rPr>
          <w:rFonts w:eastAsia="TimesNewRomanPSMT"/>
          <w:color w:val="0070C0"/>
          <w:sz w:val="16"/>
          <w:szCs w:val="16"/>
        </w:rPr>
      </w:pPr>
      <w:r w:rsidRPr="00E14102">
        <w:rPr>
          <w:color w:val="0070C0"/>
          <w:sz w:val="16"/>
          <w:szCs w:val="16"/>
        </w:rPr>
        <w:t>Помимо относительно положительной оценки конструкции харьковского СКБ по итогам полигонных испытаний, данный образец был аналогично оценен и заводом-изготовителем, руководством которого в письме в ГВМУ отмечалось следующее: «изготовление миномета по проекту СКБ более приемлемо для завода, так как детали этого проекта &lt;…&gt; требуют менее квалифицированной рабочей силы и точного оборудования, и стоимость серийного выпуска по проекту СКБ будет намного дешевле миномета по проекту АНИИ».439 (20074).</w:t>
      </w:r>
    </w:p>
    <w:p w14:paraId="7E69CA82" w14:textId="77777777" w:rsidR="000319FF" w:rsidRPr="00E14102" w:rsidRDefault="000319FF" w:rsidP="00E14102">
      <w:pPr>
        <w:jc w:val="both"/>
        <w:rPr>
          <w:rFonts w:eastAsia="TimesNewRomanPSMT"/>
          <w:color w:val="0070C0"/>
          <w:sz w:val="16"/>
          <w:szCs w:val="16"/>
        </w:rPr>
      </w:pPr>
    </w:p>
    <w:p w14:paraId="2217C8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в сотрудничестве ХПЗ с РНИИ и и АБТУ В.И.Александрова, работавшего в НИИ-3, был разработан БТ-5, вооруженный установками РС-132 (3880,15).</w:t>
      </w:r>
    </w:p>
    <w:p w14:paraId="056480C4" w14:textId="77777777" w:rsidR="00D4105E" w:rsidRPr="00E14102" w:rsidRDefault="00D4105E" w:rsidP="00E14102">
      <w:pPr>
        <w:autoSpaceDE w:val="0"/>
        <w:autoSpaceDN w:val="0"/>
        <w:adjustRightInd w:val="0"/>
        <w:jc w:val="both"/>
        <w:rPr>
          <w:color w:val="000000" w:themeColor="text1"/>
          <w:sz w:val="16"/>
          <w:szCs w:val="16"/>
        </w:rPr>
      </w:pPr>
    </w:p>
    <w:p w14:paraId="7BAC8138" w14:textId="77777777" w:rsidR="00DF734F" w:rsidRPr="00E14102" w:rsidRDefault="00DF734F" w:rsidP="00E14102">
      <w:pPr>
        <w:jc w:val="both"/>
        <w:rPr>
          <w:color w:val="000000" w:themeColor="text1"/>
          <w:sz w:val="16"/>
          <w:szCs w:val="16"/>
        </w:rPr>
      </w:pPr>
      <w:r w:rsidRPr="00E14102">
        <w:rPr>
          <w:color w:val="000000" w:themeColor="text1"/>
          <w:sz w:val="16"/>
          <w:szCs w:val="16"/>
        </w:rPr>
        <w:t>В апреле 1935 года одна башня Т-26-4 прибыла на ХПЗ. По</w:t>
      </w:r>
      <w:r w:rsidRPr="00E14102">
        <w:rPr>
          <w:color w:val="000000" w:themeColor="text1"/>
          <w:sz w:val="16"/>
          <w:szCs w:val="16"/>
        </w:rPr>
        <w:softHyphen/>
        <w:t>сле ее изучения в конструкцию башенно</w:t>
      </w:r>
      <w:r w:rsidRPr="00E14102">
        <w:rPr>
          <w:color w:val="000000" w:themeColor="text1"/>
          <w:sz w:val="16"/>
          <w:szCs w:val="16"/>
        </w:rPr>
        <w:softHyphen/>
        <w:t>го погона были внесены изменения, уси</w:t>
      </w:r>
      <w:r w:rsidRPr="00E14102">
        <w:rPr>
          <w:color w:val="000000" w:themeColor="text1"/>
          <w:sz w:val="16"/>
          <w:szCs w:val="16"/>
        </w:rPr>
        <w:softHyphen/>
        <w:t>лена крыша, предусмотрена установка кормового пулемета. В октябре 1935 года новый танк вывели на заводской поли</w:t>
      </w:r>
      <w:r w:rsidRPr="00E14102">
        <w:rPr>
          <w:color w:val="000000" w:themeColor="text1"/>
          <w:sz w:val="16"/>
          <w:szCs w:val="16"/>
        </w:rPr>
        <w:softHyphen/>
        <w:t>гон, а в начале 1936 года началась сборка первой серии из пяти танков БТ-7А (А — артиллерийский) с башней Т-26-4 (15232).</w:t>
      </w:r>
    </w:p>
    <w:p w14:paraId="23E62D05" w14:textId="77777777" w:rsidR="00DF734F" w:rsidRPr="00E14102" w:rsidRDefault="00DF734F" w:rsidP="00E14102">
      <w:pPr>
        <w:jc w:val="both"/>
        <w:rPr>
          <w:color w:val="000000" w:themeColor="text1"/>
          <w:sz w:val="16"/>
          <w:szCs w:val="16"/>
        </w:rPr>
      </w:pPr>
    </w:p>
    <w:p w14:paraId="5059CD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апреле 1935 г. на испытаниях АТ-1 были достигнуты хорошие результаты. Скорост</w:t>
      </w:r>
      <w:r w:rsidRPr="00E14102">
        <w:rPr>
          <w:color w:val="000000" w:themeColor="text1"/>
          <w:sz w:val="16"/>
          <w:szCs w:val="16"/>
        </w:rPr>
        <w:softHyphen/>
        <w:t>рельность без исправления наводки составила 12—15 выстр/мин, наибольшая дальность стрельбы составляла 10580 м (тогда как по заданию она должна была составлять 7500—8000 м), попытки ведения стрельбы из пулемета и пушки в движении по целям, расположенным по ходу ма</w:t>
      </w:r>
      <w:r w:rsidRPr="00E14102">
        <w:rPr>
          <w:color w:val="000000" w:themeColor="text1"/>
          <w:sz w:val="16"/>
          <w:szCs w:val="16"/>
        </w:rPr>
        <w:softHyphen/>
        <w:t>шины, закончились в целом успешно. Отмечалась удовле</w:t>
      </w:r>
      <w:r w:rsidRPr="00E14102">
        <w:rPr>
          <w:color w:val="000000" w:themeColor="text1"/>
          <w:sz w:val="16"/>
          <w:szCs w:val="16"/>
        </w:rPr>
        <w:softHyphen/>
        <w:t>творительная работа полуавтоматики пушки, но по располо</w:t>
      </w:r>
      <w:r w:rsidRPr="00E14102">
        <w:rPr>
          <w:color w:val="000000" w:themeColor="text1"/>
          <w:sz w:val="16"/>
          <w:szCs w:val="16"/>
        </w:rPr>
        <w:softHyphen/>
        <w:t>жению боекомплекта, маховиков наводки орудия относи</w:t>
      </w:r>
      <w:r w:rsidRPr="00E14102">
        <w:rPr>
          <w:color w:val="000000" w:themeColor="text1"/>
          <w:sz w:val="16"/>
          <w:szCs w:val="16"/>
        </w:rPr>
        <w:softHyphen/>
        <w:t>тельно рабочего места наводчика, отсутствию гильзосбор-ника и др., на войсковые испытания машина допущена не была. Кроме того, артиллерийская часть второго экземпляра АТ-1 на испытаниях вела себя не вполне корректно. Орудие ПС-3 с постоянной нарезкой работало из рук вон плохо. Кроме того, к окончанию полигонных испытаний АТ-1 ар</w:t>
      </w:r>
      <w:r w:rsidRPr="00E14102">
        <w:rPr>
          <w:color w:val="000000" w:themeColor="text1"/>
          <w:sz w:val="16"/>
          <w:szCs w:val="16"/>
        </w:rPr>
        <w:softHyphen/>
        <w:t>тиллерийское КБ Кировского завода предложило для воору</w:t>
      </w:r>
      <w:r w:rsidRPr="00E14102">
        <w:rPr>
          <w:color w:val="000000" w:themeColor="text1"/>
          <w:sz w:val="16"/>
          <w:szCs w:val="16"/>
        </w:rPr>
        <w:softHyphen/>
        <w:t>жения тяжелых танков новую мощную 76,2-мм пушку Л-7, имевшую баллистику орудия обр. 1902/30 гг. (собственно, это орудие представляло собой старую знакомую, но усовершенствованную пушку Тарнавского—Лендера) и, по заявле</w:t>
      </w:r>
      <w:r w:rsidRPr="00E14102">
        <w:rPr>
          <w:color w:val="000000" w:themeColor="text1"/>
          <w:sz w:val="16"/>
          <w:szCs w:val="16"/>
        </w:rPr>
        <w:softHyphen/>
        <w:t>нию разработчиков, превосходившую все известные танко</w:t>
      </w:r>
      <w:r w:rsidRPr="00E14102">
        <w:rPr>
          <w:color w:val="000000" w:themeColor="text1"/>
          <w:sz w:val="16"/>
          <w:szCs w:val="16"/>
        </w:rPr>
        <w:softHyphen/>
        <w:t>вые артсистемы. Вполне естественно, что разработчикам АТ-1 рекомендовали установить указанное орудие на место ПС-3 во второй экземпляр САУ, но сделать это не удалось по причине конструктивных особенностей Л-7, а изготавливать новую рубку для АТ-1 не стали. Но в целом САУ понрави</w:t>
      </w:r>
      <w:r w:rsidRPr="00E14102">
        <w:rPr>
          <w:color w:val="000000" w:themeColor="text1"/>
          <w:sz w:val="16"/>
          <w:szCs w:val="16"/>
        </w:rPr>
        <w:softHyphen/>
        <w:t>лась, и руководство АБТУ приняло решение о подготовке серийного выпуска АТ-1, для чего в 1936 г. завод должен был изготовить установочную партию в 10 машин для проведе</w:t>
      </w:r>
      <w:r w:rsidRPr="00E14102">
        <w:rPr>
          <w:color w:val="000000" w:themeColor="text1"/>
          <w:sz w:val="16"/>
          <w:szCs w:val="16"/>
        </w:rPr>
        <w:softHyphen/>
        <w:t>ния расширенных полигонных и войсковых испытаний. Но все же искоренить недостатки серийной пушки ПС-3 на Кировском заводе не удалось, и завод поставил вопрос о производстве вместо указанного орудия своего изделия Л-10, которое, как и Л-7, не пожелало встать в отведенное для него на АТ-1 место. Кроме того, завод № 174, загруженный увели</w:t>
      </w:r>
      <w:r w:rsidRPr="00E14102">
        <w:rPr>
          <w:color w:val="000000" w:themeColor="text1"/>
          <w:sz w:val="16"/>
          <w:szCs w:val="16"/>
        </w:rPr>
        <w:softHyphen/>
        <w:t>ченной программой выпуска Т-26, не смог выдать 10 улуч</w:t>
      </w:r>
      <w:r w:rsidRPr="00E14102">
        <w:rPr>
          <w:color w:val="000000" w:themeColor="text1"/>
          <w:sz w:val="16"/>
          <w:szCs w:val="16"/>
        </w:rPr>
        <w:softHyphen/>
        <w:t>шенных шасси для производства АТ-1. Потому программа выпуска пробной серии АТ-1 была перенесена на 1937 г. (11417)/</w:t>
      </w:r>
    </w:p>
    <w:p w14:paraId="201BE9A0" w14:textId="77777777" w:rsidR="00D4105E" w:rsidRPr="00E14102" w:rsidRDefault="00D4105E" w:rsidP="00E14102">
      <w:pPr>
        <w:autoSpaceDE w:val="0"/>
        <w:autoSpaceDN w:val="0"/>
        <w:adjustRightInd w:val="0"/>
        <w:jc w:val="both"/>
        <w:rPr>
          <w:color w:val="000000" w:themeColor="text1"/>
          <w:sz w:val="16"/>
          <w:szCs w:val="16"/>
        </w:rPr>
      </w:pPr>
    </w:p>
    <w:p w14:paraId="69DE75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на НИХП в полевом отделе прошли испытание на дымопуск и огнеметание опытного образца огнеметного танка ОТ-37 (БХМ-4), разработанного КБ склада № 136 в 1934 и изготовленного разодом Компрессор. Изготовили 75 (9527,183).</w:t>
      </w:r>
    </w:p>
    <w:p w14:paraId="1654F318" w14:textId="77777777" w:rsidR="00D4105E" w:rsidRPr="00E14102" w:rsidRDefault="00D4105E" w:rsidP="00E14102">
      <w:pPr>
        <w:autoSpaceDE w:val="0"/>
        <w:autoSpaceDN w:val="0"/>
        <w:adjustRightInd w:val="0"/>
        <w:jc w:val="both"/>
        <w:rPr>
          <w:color w:val="000000" w:themeColor="text1"/>
          <w:sz w:val="16"/>
          <w:szCs w:val="16"/>
        </w:rPr>
      </w:pPr>
    </w:p>
    <w:p w14:paraId="53FEAE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проходиоли испытания разработанного и изготовленного в СКБ завода Компрессор образца боевой химической машины БХМ-1 (9527,334).</w:t>
      </w:r>
    </w:p>
    <w:p w14:paraId="6C7DC780" w14:textId="77777777" w:rsidR="00D4105E" w:rsidRPr="00E14102" w:rsidRDefault="00D4105E" w:rsidP="00E14102">
      <w:pPr>
        <w:autoSpaceDE w:val="0"/>
        <w:autoSpaceDN w:val="0"/>
        <w:adjustRightInd w:val="0"/>
        <w:jc w:val="both"/>
        <w:rPr>
          <w:color w:val="000000" w:themeColor="text1"/>
          <w:sz w:val="16"/>
          <w:szCs w:val="16"/>
        </w:rPr>
      </w:pPr>
    </w:p>
    <w:p w14:paraId="305B6D1E" w14:textId="77777777" w:rsidR="003F2AAE" w:rsidRPr="00E14102" w:rsidRDefault="003F2AAE" w:rsidP="00E14102">
      <w:pPr>
        <w:jc w:val="both"/>
        <w:rPr>
          <w:color w:val="000000" w:themeColor="text1"/>
          <w:sz w:val="16"/>
          <w:szCs w:val="16"/>
        </w:rPr>
      </w:pPr>
      <w:r w:rsidRPr="00E14102">
        <w:rPr>
          <w:color w:val="000000" w:themeColor="text1"/>
          <w:sz w:val="16"/>
          <w:szCs w:val="16"/>
        </w:rPr>
        <w:t>В апреле 1935 г. нарком обороны утвердил документ СХВ РККА, согласно которому, следовало вне</w:t>
      </w:r>
      <w:r w:rsidRPr="00E14102">
        <w:rPr>
          <w:color w:val="000000" w:themeColor="text1"/>
          <w:sz w:val="16"/>
          <w:szCs w:val="16"/>
        </w:rPr>
        <w:softHyphen/>
        <w:t>дрить в производство и принять на вооружение химические танки ХТ-26, ХБТ, аэрохимсани, бо</w:t>
      </w:r>
      <w:r w:rsidRPr="00E14102">
        <w:rPr>
          <w:color w:val="000000" w:themeColor="text1"/>
          <w:sz w:val="16"/>
          <w:szCs w:val="16"/>
        </w:rPr>
        <w:softHyphen/>
        <w:t>евую химическую железнодорожную цистерну, химические танкетки и ряд других объектов.</w:t>
      </w:r>
    </w:p>
    <w:p w14:paraId="3E75D5DD" w14:textId="77777777" w:rsidR="003F2AAE" w:rsidRPr="00E14102" w:rsidRDefault="003F2AAE" w:rsidP="00E14102">
      <w:pPr>
        <w:pStyle w:val="7"/>
        <w:shd w:val="clear" w:color="auto" w:fill="auto"/>
        <w:spacing w:line="240" w:lineRule="auto"/>
        <w:ind w:firstLine="0"/>
        <w:jc w:val="both"/>
        <w:rPr>
          <w:rFonts w:ascii="Times New Roman" w:hAnsi="Times New Roman"/>
          <w:color w:val="000000" w:themeColor="text1"/>
          <w:sz w:val="16"/>
          <w:szCs w:val="16"/>
        </w:rPr>
      </w:pPr>
      <w:r w:rsidRPr="00E14102">
        <w:rPr>
          <w:rFonts w:ascii="Times New Roman" w:hAnsi="Times New Roman"/>
          <w:color w:val="000000" w:themeColor="text1"/>
          <w:sz w:val="16"/>
          <w:szCs w:val="16"/>
        </w:rPr>
        <w:t>Химическим танкеткам присвоили военное наименование БХМ-4 — «Боевая химическая машина четвертого типа». Они задумывались как средство огнеметания и дымопуска в зоне действий разведывательных частей. Базой для БХМ-4 послужили танкетка Т-27* и плавающий танк Т-37. Габариты химического разведыва</w:t>
      </w:r>
      <w:r w:rsidRPr="00E14102">
        <w:rPr>
          <w:rFonts w:ascii="Times New Roman" w:hAnsi="Times New Roman"/>
          <w:color w:val="000000" w:themeColor="text1"/>
          <w:sz w:val="16"/>
          <w:szCs w:val="16"/>
        </w:rPr>
        <w:softHyphen/>
        <w:t>тельного варианта Т-27 должны были соответ</w:t>
      </w:r>
      <w:r w:rsidRPr="00E14102">
        <w:rPr>
          <w:rFonts w:ascii="Times New Roman" w:hAnsi="Times New Roman"/>
          <w:color w:val="000000" w:themeColor="text1"/>
          <w:sz w:val="16"/>
          <w:szCs w:val="16"/>
        </w:rPr>
        <w:softHyphen/>
        <w:t>ствовать базовой машине. Вооружение этой машины составляли один огнемет с «</w:t>
      </w:r>
      <w:r w:rsidRPr="00E14102">
        <w:rPr>
          <w:rStyle w:val="ae"/>
          <w:rFonts w:ascii="Times New Roman" w:hAnsi="Times New Roman"/>
          <w:i w:val="0"/>
          <w:color w:val="000000" w:themeColor="text1"/>
          <w:sz w:val="16"/>
          <w:szCs w:val="16"/>
        </w:rPr>
        <w:t>силою струи в 30-35</w:t>
      </w:r>
      <w:r w:rsidRPr="00E14102">
        <w:rPr>
          <w:rFonts w:ascii="Times New Roman" w:hAnsi="Times New Roman"/>
          <w:color w:val="000000" w:themeColor="text1"/>
          <w:sz w:val="16"/>
          <w:szCs w:val="16"/>
        </w:rPr>
        <w:t xml:space="preserve"> м» и прибор дымопуска, обеспе</w:t>
      </w:r>
      <w:r w:rsidRPr="00E14102">
        <w:rPr>
          <w:rFonts w:ascii="Times New Roman" w:hAnsi="Times New Roman"/>
          <w:color w:val="000000" w:themeColor="text1"/>
          <w:sz w:val="16"/>
          <w:szCs w:val="16"/>
        </w:rPr>
        <w:softHyphen/>
        <w:t>чивающий постановку завесы глубиной 500 м (12125).</w:t>
      </w:r>
    </w:p>
    <w:p w14:paraId="499A6171" w14:textId="77777777" w:rsidR="003F2AAE" w:rsidRPr="00E14102" w:rsidRDefault="003F2AAE" w:rsidP="00E14102">
      <w:pPr>
        <w:pStyle w:val="7"/>
        <w:shd w:val="clear" w:color="auto" w:fill="auto"/>
        <w:spacing w:line="240" w:lineRule="auto"/>
        <w:ind w:firstLine="0"/>
        <w:jc w:val="both"/>
        <w:rPr>
          <w:rFonts w:ascii="Times New Roman" w:hAnsi="Times New Roman"/>
          <w:color w:val="000000" w:themeColor="text1"/>
          <w:sz w:val="16"/>
          <w:szCs w:val="16"/>
        </w:rPr>
      </w:pPr>
    </w:p>
    <w:p w14:paraId="429903F1" w14:textId="77777777" w:rsidR="003F2AAE" w:rsidRPr="00E14102" w:rsidRDefault="003F2AAE" w:rsidP="00E14102">
      <w:pPr>
        <w:pStyle w:val="a7"/>
        <w:rPr>
          <w:color w:val="000000" w:themeColor="text1"/>
          <w:sz w:val="16"/>
          <w:szCs w:val="16"/>
          <w:lang w:val="ru-RU"/>
        </w:rPr>
      </w:pPr>
      <w:r w:rsidRPr="00E14102">
        <w:rPr>
          <w:color w:val="000000" w:themeColor="text1"/>
          <w:sz w:val="16"/>
          <w:szCs w:val="16"/>
          <w:lang w:val="ru-RU"/>
        </w:rPr>
        <w:lastRenderedPageBreak/>
        <w:t>В апреле 1935 г., согласно положениям системы химическо</w:t>
      </w:r>
      <w:r w:rsidRPr="00E14102">
        <w:rPr>
          <w:color w:val="000000" w:themeColor="text1"/>
          <w:sz w:val="16"/>
          <w:szCs w:val="16"/>
          <w:lang w:val="ru-RU"/>
        </w:rPr>
        <w:softHyphen/>
        <w:t>го вооружения (СХВ), утвержденной НКО СССР, в рамках разработки средств механической дегазации для снятия (срезания) поверхностного зараженного стойкими отрав</w:t>
      </w:r>
      <w:r w:rsidRPr="00E14102">
        <w:rPr>
          <w:color w:val="000000" w:themeColor="text1"/>
          <w:sz w:val="16"/>
          <w:szCs w:val="16"/>
          <w:lang w:val="ru-RU"/>
        </w:rPr>
        <w:softHyphen/>
        <w:t>ляющими веществами слоя почвы следовало принять на вооружение так называемый «Танкоструггрейдер», или «Танкоструг». В техниче</w:t>
      </w:r>
      <w:r w:rsidRPr="00E14102">
        <w:rPr>
          <w:color w:val="000000" w:themeColor="text1"/>
          <w:sz w:val="16"/>
          <w:szCs w:val="16"/>
          <w:lang w:val="ru-RU"/>
        </w:rPr>
        <w:softHyphen/>
        <w:t>ском задании говорилось:</w:t>
      </w:r>
    </w:p>
    <w:p w14:paraId="033910DE" w14:textId="77777777" w:rsidR="003F2AAE" w:rsidRPr="00E14102" w:rsidRDefault="003F2AAE" w:rsidP="00E14102">
      <w:pPr>
        <w:pStyle w:val="61"/>
        <w:shd w:val="clear" w:color="auto" w:fill="auto"/>
        <w:spacing w:before="0" w:line="240" w:lineRule="auto"/>
        <w:rPr>
          <w:color w:val="000000" w:themeColor="text1"/>
          <w:sz w:val="16"/>
          <w:szCs w:val="16"/>
        </w:rPr>
      </w:pPr>
      <w:r w:rsidRPr="00E14102">
        <w:rPr>
          <w:color w:val="000000" w:themeColor="text1"/>
          <w:sz w:val="16"/>
          <w:szCs w:val="16"/>
        </w:rPr>
        <w:t>«Танкоструг должен обладать всюдуходимостью. Управление танкостругом должно быть централизованео в танке. Струг должен обеспечи чивать снятие слоя почвы тол</w:t>
      </w:r>
      <w:r w:rsidRPr="00E14102">
        <w:rPr>
          <w:color w:val="000000" w:themeColor="text1"/>
          <w:sz w:val="16"/>
          <w:szCs w:val="16"/>
        </w:rPr>
        <w:softHyphen/>
        <w:t>щиной не менее 10 см и шири</w:t>
      </w:r>
      <w:r w:rsidRPr="00E14102">
        <w:rPr>
          <w:color w:val="000000" w:themeColor="text1"/>
          <w:sz w:val="16"/>
          <w:szCs w:val="16"/>
        </w:rPr>
        <w:softHyphen/>
        <w:t>ной не менее</w:t>
      </w:r>
      <w:r w:rsidRPr="00E14102">
        <w:rPr>
          <w:rStyle w:val="68pt"/>
          <w:rFonts w:ascii="Times New Roman" w:hAnsi="Times New Roman" w:cs="Times New Roman"/>
          <w:i w:val="0"/>
          <w:color w:val="000000" w:themeColor="text1"/>
          <w:spacing w:val="0"/>
        </w:rPr>
        <w:t xml:space="preserve"> 2м</w:t>
      </w:r>
      <w:r w:rsidRPr="00E14102">
        <w:rPr>
          <w:color w:val="000000" w:themeColor="text1"/>
          <w:sz w:val="16"/>
          <w:szCs w:val="16"/>
        </w:rPr>
        <w:t xml:space="preserve"> с рабочей ско</w:t>
      </w:r>
      <w:r w:rsidRPr="00E14102">
        <w:rPr>
          <w:color w:val="000000" w:themeColor="text1"/>
          <w:sz w:val="16"/>
          <w:szCs w:val="16"/>
        </w:rPr>
        <w:softHyphen/>
        <w:t>ростью до Зкпм. Обработанная стругом почва не должна иметь на поверхности кусков земли, зараженных СОВ».</w:t>
      </w:r>
    </w:p>
    <w:p w14:paraId="3F48BFBC" w14:textId="77777777" w:rsidR="003F2AAE" w:rsidRPr="00E14102" w:rsidRDefault="003F2AAE" w:rsidP="00E14102">
      <w:pPr>
        <w:jc w:val="both"/>
        <w:rPr>
          <w:color w:val="000000" w:themeColor="text1"/>
          <w:sz w:val="16"/>
          <w:szCs w:val="16"/>
        </w:rPr>
      </w:pPr>
      <w:r w:rsidRPr="00E14102">
        <w:rPr>
          <w:color w:val="000000" w:themeColor="text1"/>
          <w:sz w:val="16"/>
          <w:szCs w:val="16"/>
        </w:rPr>
        <w:t>Создание средств обезза</w:t>
      </w:r>
      <w:r w:rsidRPr="00E14102">
        <w:rPr>
          <w:color w:val="000000" w:themeColor="text1"/>
          <w:sz w:val="16"/>
          <w:szCs w:val="16"/>
        </w:rPr>
        <w:softHyphen/>
        <w:t>раживания снежного покрова являлось весьма актуальной задачей. Дело в том, что бое</w:t>
      </w:r>
      <w:r w:rsidRPr="00E14102">
        <w:rPr>
          <w:color w:val="000000" w:themeColor="text1"/>
          <w:sz w:val="16"/>
          <w:szCs w:val="16"/>
        </w:rPr>
        <w:softHyphen/>
        <w:t>вые отравляющие вещества, применявшиеся в годы Первой мировой во</w:t>
      </w:r>
      <w:r w:rsidRPr="00E14102">
        <w:rPr>
          <w:color w:val="000000" w:themeColor="text1"/>
          <w:sz w:val="16"/>
          <w:szCs w:val="16"/>
        </w:rPr>
        <w:softHyphen/>
        <w:t>йны, при низких температурах теряли бое</w:t>
      </w:r>
      <w:r w:rsidRPr="00E14102">
        <w:rPr>
          <w:color w:val="000000" w:themeColor="text1"/>
          <w:sz w:val="16"/>
          <w:szCs w:val="16"/>
        </w:rPr>
        <w:softHyphen/>
        <w:t>вые свойства. Это не могло не побудить на</w:t>
      </w:r>
      <w:r w:rsidRPr="00E14102">
        <w:rPr>
          <w:color w:val="000000" w:themeColor="text1"/>
          <w:sz w:val="16"/>
          <w:szCs w:val="16"/>
        </w:rPr>
        <w:softHyphen/>
        <w:t>чать разработку новых видов более действен</w:t>
      </w:r>
      <w:r w:rsidRPr="00E14102">
        <w:rPr>
          <w:color w:val="000000" w:themeColor="text1"/>
          <w:sz w:val="16"/>
          <w:szCs w:val="16"/>
        </w:rPr>
        <w:softHyphen/>
        <w:t>ных боевых отравляющих веществ, а также средств защиты от них.</w:t>
      </w:r>
    </w:p>
    <w:p w14:paraId="64F053C8" w14:textId="77777777" w:rsidR="003F2AAE" w:rsidRPr="00E14102" w:rsidRDefault="003F2AAE" w:rsidP="00E14102">
      <w:pPr>
        <w:pStyle w:val="61"/>
        <w:shd w:val="clear" w:color="auto" w:fill="auto"/>
        <w:spacing w:before="0" w:line="240" w:lineRule="auto"/>
        <w:rPr>
          <w:color w:val="000000" w:themeColor="text1"/>
          <w:sz w:val="16"/>
          <w:szCs w:val="16"/>
        </w:rPr>
      </w:pPr>
      <w:r w:rsidRPr="00E14102">
        <w:rPr>
          <w:color w:val="000000" w:themeColor="text1"/>
          <w:sz w:val="16"/>
          <w:szCs w:val="16"/>
        </w:rPr>
        <w:t>По мнению военных специалистов, механи</w:t>
      </w:r>
      <w:r w:rsidRPr="00E14102">
        <w:rPr>
          <w:color w:val="000000" w:themeColor="text1"/>
          <w:sz w:val="16"/>
          <w:szCs w:val="16"/>
        </w:rPr>
        <w:softHyphen/>
        <w:t>ческий способ дегазации снежного покрова отно</w:t>
      </w:r>
      <w:r w:rsidRPr="00E14102">
        <w:rPr>
          <w:color w:val="000000" w:themeColor="text1"/>
          <w:sz w:val="16"/>
          <w:szCs w:val="16"/>
        </w:rPr>
        <w:softHyphen/>
        <w:t>сился к числу достаточно экономичных и эффек</w:t>
      </w:r>
      <w:r w:rsidRPr="00E14102">
        <w:rPr>
          <w:color w:val="000000" w:themeColor="text1"/>
          <w:sz w:val="16"/>
          <w:szCs w:val="16"/>
        </w:rPr>
        <w:softHyphen/>
        <w:t>тивных, но механическая дегазация ручным спо</w:t>
      </w:r>
      <w:r w:rsidRPr="00E14102">
        <w:rPr>
          <w:color w:val="000000" w:themeColor="text1"/>
          <w:sz w:val="16"/>
          <w:szCs w:val="16"/>
        </w:rPr>
        <w:softHyphen/>
        <w:t>собом была практически невозможной в условия огневого воздействия противника. В этой связи наилучшим по эффективности виделся меха</w:t>
      </w:r>
      <w:r w:rsidRPr="00E14102">
        <w:rPr>
          <w:color w:val="000000" w:themeColor="text1"/>
          <w:sz w:val="16"/>
          <w:szCs w:val="16"/>
        </w:rPr>
        <w:softHyphen/>
        <w:t>низированный способ дегазации. Для изучения данного способа силами Центрального военно</w:t>
      </w:r>
      <w:r w:rsidRPr="00E14102">
        <w:rPr>
          <w:color w:val="000000" w:themeColor="text1"/>
          <w:sz w:val="16"/>
          <w:szCs w:val="16"/>
        </w:rPr>
        <w:softHyphen/>
        <w:t>го химического полигона (ЦВХП) был сконструи</w:t>
      </w:r>
      <w:r w:rsidRPr="00E14102">
        <w:rPr>
          <w:color w:val="000000" w:themeColor="text1"/>
          <w:sz w:val="16"/>
          <w:szCs w:val="16"/>
        </w:rPr>
        <w:softHyphen/>
        <w:t>рован специальный зимний вариант «Танкоструга» — «треугольник-снегоочиститель», который смонтировали на танке ХТ-26.</w:t>
      </w:r>
    </w:p>
    <w:p w14:paraId="72CB113F" w14:textId="77777777" w:rsidR="003F2AAE" w:rsidRPr="00E14102" w:rsidRDefault="003F2AAE" w:rsidP="00E14102">
      <w:pPr>
        <w:pStyle w:val="61"/>
        <w:shd w:val="clear" w:color="auto" w:fill="auto"/>
        <w:spacing w:before="0" w:line="240" w:lineRule="auto"/>
        <w:rPr>
          <w:color w:val="000000" w:themeColor="text1"/>
          <w:sz w:val="16"/>
          <w:szCs w:val="16"/>
        </w:rPr>
      </w:pPr>
      <w:r w:rsidRPr="00E14102">
        <w:rPr>
          <w:color w:val="000000" w:themeColor="text1"/>
          <w:sz w:val="16"/>
          <w:szCs w:val="16"/>
        </w:rPr>
        <w:t>С «треугольником-снегоочистителем» про</w:t>
      </w:r>
      <w:r w:rsidRPr="00E14102">
        <w:rPr>
          <w:color w:val="000000" w:themeColor="text1"/>
          <w:sz w:val="16"/>
          <w:szCs w:val="16"/>
        </w:rPr>
        <w:softHyphen/>
        <w:t>вели семь опытов по снятию зараженного слоя снега и проделыванию проходов. Шири</w:t>
      </w:r>
      <w:r w:rsidRPr="00E14102">
        <w:rPr>
          <w:color w:val="000000" w:themeColor="text1"/>
          <w:sz w:val="16"/>
          <w:szCs w:val="16"/>
        </w:rPr>
        <w:softHyphen/>
        <w:t>на дегазированного прохода составляла 2 м и могла быть увеличена во вторичном заезде. Скорость движения ХТ-26 со снегоочистите</w:t>
      </w:r>
      <w:r w:rsidRPr="00E14102">
        <w:rPr>
          <w:color w:val="000000" w:themeColor="text1"/>
          <w:sz w:val="16"/>
          <w:szCs w:val="16"/>
        </w:rPr>
        <w:softHyphen/>
        <w:t>лем при рыхлом снеге глубиной 30—35 см со</w:t>
      </w:r>
      <w:r w:rsidRPr="00E14102">
        <w:rPr>
          <w:color w:val="000000" w:themeColor="text1"/>
          <w:sz w:val="16"/>
          <w:szCs w:val="16"/>
        </w:rPr>
        <w:softHyphen/>
        <w:t>ставляла 12 км/ч, на плотном снегу снижалась до 8—10 км/ч* а в глубоком целинном снегу — до 5—6 км/ч.ности), а также исследованию механических способов очистки местности от отравляющих веществ (12618).</w:t>
      </w:r>
    </w:p>
    <w:p w14:paraId="736185CF" w14:textId="77777777" w:rsidR="003F2AAE" w:rsidRPr="00E14102" w:rsidRDefault="003F2AAE" w:rsidP="00E14102">
      <w:pPr>
        <w:pStyle w:val="a7"/>
        <w:rPr>
          <w:color w:val="000000" w:themeColor="text1"/>
          <w:sz w:val="16"/>
          <w:szCs w:val="16"/>
          <w:lang w:val="ru-RU"/>
        </w:rPr>
      </w:pPr>
      <w:r w:rsidRPr="00E14102">
        <w:rPr>
          <w:color w:val="000000" w:themeColor="text1"/>
          <w:sz w:val="16"/>
          <w:szCs w:val="16"/>
          <w:lang w:val="ru-RU"/>
        </w:rPr>
        <w:t>В ходе испытаний снегоочиститель на тан</w:t>
      </w:r>
      <w:r w:rsidRPr="00E14102">
        <w:rPr>
          <w:color w:val="000000" w:themeColor="text1"/>
          <w:sz w:val="16"/>
          <w:szCs w:val="16"/>
          <w:lang w:val="ru-RU"/>
        </w:rPr>
        <w:softHyphen/>
        <w:t>ке ХТ-26 показал полную пригодность для дега</w:t>
      </w:r>
      <w:r w:rsidRPr="00E14102">
        <w:rPr>
          <w:color w:val="000000" w:themeColor="text1"/>
          <w:sz w:val="16"/>
          <w:szCs w:val="16"/>
          <w:lang w:val="ru-RU"/>
        </w:rPr>
        <w:softHyphen/>
        <w:t>зации снежного покрова при наличии слоя сне</w:t>
      </w:r>
      <w:r w:rsidRPr="00E14102">
        <w:rPr>
          <w:color w:val="000000" w:themeColor="text1"/>
          <w:sz w:val="16"/>
          <w:szCs w:val="16"/>
          <w:lang w:val="ru-RU"/>
        </w:rPr>
        <w:softHyphen/>
        <w:t>га толщиной более 10 см и возможность про</w:t>
      </w:r>
      <w:r w:rsidRPr="00E14102">
        <w:rPr>
          <w:color w:val="000000" w:themeColor="text1"/>
          <w:sz w:val="16"/>
          <w:szCs w:val="16"/>
          <w:lang w:val="ru-RU"/>
        </w:rPr>
        <w:softHyphen/>
        <w:t>хождения и залегания войск на участке после дегазации. Проделанный в снегу проход обе</w:t>
      </w:r>
      <w:r w:rsidRPr="00E14102">
        <w:rPr>
          <w:color w:val="000000" w:themeColor="text1"/>
          <w:sz w:val="16"/>
          <w:szCs w:val="16"/>
          <w:lang w:val="ru-RU"/>
        </w:rPr>
        <w:softHyphen/>
        <w:t>спечивал также возможность передвижения всех видов транспорта, включая колесный, что исключало «</w:t>
      </w:r>
      <w:r w:rsidRPr="00E14102">
        <w:rPr>
          <w:rStyle w:val="100"/>
          <w:rFonts w:ascii="Times New Roman" w:hAnsi="Times New Roman" w:cs="Times New Roman"/>
          <w:i w:val="0"/>
          <w:color w:val="000000" w:themeColor="text1"/>
          <w:sz w:val="16"/>
          <w:szCs w:val="16"/>
          <w:lang w:val="ru-RU"/>
        </w:rPr>
        <w:t>ограниченность выбора направ</w:t>
      </w:r>
      <w:r w:rsidRPr="00E14102">
        <w:rPr>
          <w:rStyle w:val="100"/>
          <w:rFonts w:ascii="Times New Roman" w:hAnsi="Times New Roman" w:cs="Times New Roman"/>
          <w:i w:val="0"/>
          <w:color w:val="000000" w:themeColor="text1"/>
          <w:sz w:val="16"/>
          <w:szCs w:val="16"/>
          <w:lang w:val="ru-RU"/>
        </w:rPr>
        <w:softHyphen/>
        <w:t>лений атак, подвоза и т.п., связанного толь</w:t>
      </w:r>
      <w:r w:rsidRPr="00E14102">
        <w:rPr>
          <w:rStyle w:val="100"/>
          <w:rFonts w:ascii="Times New Roman" w:hAnsi="Times New Roman" w:cs="Times New Roman"/>
          <w:i w:val="0"/>
          <w:color w:val="000000" w:themeColor="text1"/>
          <w:sz w:val="16"/>
          <w:szCs w:val="16"/>
          <w:lang w:val="ru-RU"/>
        </w:rPr>
        <w:softHyphen/>
        <w:t xml:space="preserve">ко с наличием существующих зимних дорог». </w:t>
      </w:r>
      <w:r w:rsidRPr="00E14102">
        <w:rPr>
          <w:color w:val="000000" w:themeColor="text1"/>
          <w:sz w:val="16"/>
          <w:szCs w:val="16"/>
          <w:lang w:val="ru-RU"/>
        </w:rPr>
        <w:t>ХТ-26 стреугольником-снегоочистителем мож</w:t>
      </w:r>
      <w:r w:rsidRPr="00E14102">
        <w:rPr>
          <w:color w:val="000000" w:themeColor="text1"/>
          <w:sz w:val="16"/>
          <w:szCs w:val="16"/>
          <w:lang w:val="ru-RU"/>
        </w:rPr>
        <w:softHyphen/>
        <w:t>но было использовать для создания специаль</w:t>
      </w:r>
      <w:r w:rsidRPr="00E14102">
        <w:rPr>
          <w:color w:val="000000" w:themeColor="text1"/>
          <w:sz w:val="16"/>
          <w:szCs w:val="16"/>
          <w:lang w:val="ru-RU"/>
        </w:rPr>
        <w:softHyphen/>
        <w:t>ных снежных укрытий от ружейно-пулеметного огня или оборудования минометных позиций. Танкоструг также давал</w:t>
      </w:r>
      <w:r w:rsidRPr="00E14102">
        <w:rPr>
          <w:rStyle w:val="100"/>
          <w:rFonts w:ascii="Times New Roman" w:hAnsi="Times New Roman" w:cs="Times New Roman"/>
          <w:i w:val="0"/>
          <w:color w:val="000000" w:themeColor="text1"/>
          <w:sz w:val="16"/>
          <w:szCs w:val="16"/>
          <w:lang w:val="ru-RU"/>
        </w:rPr>
        <w:t xml:space="preserve"> «возможность проде</w:t>
      </w:r>
      <w:r w:rsidRPr="00E14102">
        <w:rPr>
          <w:rStyle w:val="100"/>
          <w:rFonts w:ascii="Times New Roman" w:hAnsi="Times New Roman" w:cs="Times New Roman"/>
          <w:i w:val="0"/>
          <w:color w:val="000000" w:themeColor="text1"/>
          <w:sz w:val="16"/>
          <w:szCs w:val="16"/>
          <w:lang w:val="ru-RU"/>
        </w:rPr>
        <w:softHyphen/>
        <w:t>лывания специальных проходов перед оборо</w:t>
      </w:r>
      <w:r w:rsidRPr="00E14102">
        <w:rPr>
          <w:rStyle w:val="100"/>
          <w:rFonts w:ascii="Times New Roman" w:hAnsi="Times New Roman" w:cs="Times New Roman"/>
          <w:i w:val="0"/>
          <w:color w:val="000000" w:themeColor="text1"/>
          <w:sz w:val="16"/>
          <w:szCs w:val="16"/>
          <w:lang w:val="ru-RU"/>
        </w:rPr>
        <w:softHyphen/>
        <w:t>нительным районом противника для быстрого преодоления наиболее губительной огневой полосы в условиях снежного покрова».</w:t>
      </w:r>
    </w:p>
    <w:p w14:paraId="7F575400" w14:textId="77777777" w:rsidR="003F2AAE" w:rsidRPr="00E14102" w:rsidRDefault="003F2AAE" w:rsidP="00E14102">
      <w:pPr>
        <w:pStyle w:val="51"/>
        <w:shd w:val="clear" w:color="auto" w:fill="auto"/>
        <w:spacing w:line="240" w:lineRule="auto"/>
        <w:ind w:firstLine="0"/>
        <w:jc w:val="both"/>
        <w:rPr>
          <w:rFonts w:ascii="Times New Roman" w:hAnsi="Times New Roman"/>
          <w:color w:val="000000" w:themeColor="text1"/>
          <w:spacing w:val="0"/>
          <w:sz w:val="16"/>
          <w:szCs w:val="16"/>
        </w:rPr>
      </w:pPr>
      <w:r w:rsidRPr="00E14102">
        <w:rPr>
          <w:rFonts w:ascii="Times New Roman" w:hAnsi="Times New Roman"/>
          <w:color w:val="000000" w:themeColor="text1"/>
          <w:spacing w:val="0"/>
          <w:sz w:val="16"/>
          <w:szCs w:val="16"/>
        </w:rPr>
        <w:t>Установка дымовых шашек ДБ-11 на танке ХТ-26 (БХМ-3) дымовых шашек соответственно.</w:t>
      </w:r>
    </w:p>
    <w:p w14:paraId="543E834D" w14:textId="77777777" w:rsidR="003F2AAE" w:rsidRPr="00E14102" w:rsidRDefault="003F2AAE" w:rsidP="00E14102">
      <w:pPr>
        <w:pStyle w:val="a7"/>
        <w:rPr>
          <w:color w:val="000000" w:themeColor="text1"/>
          <w:sz w:val="16"/>
          <w:szCs w:val="16"/>
          <w:lang w:val="ru-RU"/>
        </w:rPr>
      </w:pPr>
      <w:r w:rsidRPr="00E14102">
        <w:rPr>
          <w:color w:val="000000" w:themeColor="text1"/>
          <w:sz w:val="16"/>
          <w:szCs w:val="16"/>
          <w:lang w:val="ru-RU"/>
        </w:rPr>
        <w:t>ХТ-26, оснащенный «Танкостругом», мож</w:t>
      </w:r>
      <w:r w:rsidRPr="00E14102">
        <w:rPr>
          <w:color w:val="000000" w:themeColor="text1"/>
          <w:sz w:val="16"/>
          <w:szCs w:val="16"/>
          <w:lang w:val="ru-RU"/>
        </w:rPr>
        <w:softHyphen/>
        <w:t>но было использовать для целей дегазации при одновременном выполнении им своей не</w:t>
      </w:r>
      <w:r w:rsidRPr="00E14102">
        <w:rPr>
          <w:color w:val="000000" w:themeColor="text1"/>
          <w:sz w:val="16"/>
          <w:szCs w:val="16"/>
          <w:lang w:val="ru-RU"/>
        </w:rPr>
        <w:softHyphen/>
        <w:t>посредственной задачи — поддержки пехо</w:t>
      </w:r>
      <w:r w:rsidRPr="00E14102">
        <w:rPr>
          <w:color w:val="000000" w:themeColor="text1"/>
          <w:sz w:val="16"/>
          <w:szCs w:val="16"/>
          <w:lang w:val="ru-RU"/>
        </w:rPr>
        <w:softHyphen/>
        <w:t>ты и подавления огневых точек противника. К числу достоинств «танкоструга» относилась простота конструкции, что позволяло изготав</w:t>
      </w:r>
      <w:r w:rsidRPr="00E14102">
        <w:rPr>
          <w:color w:val="000000" w:themeColor="text1"/>
          <w:sz w:val="16"/>
          <w:szCs w:val="16"/>
          <w:lang w:val="ru-RU"/>
        </w:rPr>
        <w:softHyphen/>
        <w:t>ливать его силами воинских частей. Как не</w:t>
      </w:r>
      <w:r w:rsidRPr="00E14102">
        <w:rPr>
          <w:color w:val="000000" w:themeColor="text1"/>
          <w:sz w:val="16"/>
          <w:szCs w:val="16"/>
          <w:lang w:val="ru-RU"/>
        </w:rPr>
        <w:softHyphen/>
        <w:t>достаток отмечалась невозможность отцепки приспособления от танка без выхода экипажа из машины.</w:t>
      </w:r>
    </w:p>
    <w:p w14:paraId="7D401230" w14:textId="77777777" w:rsidR="003F2AAE" w:rsidRPr="00E14102" w:rsidRDefault="003F2AAE" w:rsidP="00E14102">
      <w:pPr>
        <w:pStyle w:val="a7"/>
        <w:rPr>
          <w:color w:val="000000" w:themeColor="text1"/>
          <w:sz w:val="16"/>
          <w:szCs w:val="16"/>
          <w:lang w:val="ru-RU"/>
        </w:rPr>
      </w:pPr>
      <w:r w:rsidRPr="00E14102">
        <w:rPr>
          <w:color w:val="000000" w:themeColor="text1"/>
          <w:sz w:val="16"/>
          <w:szCs w:val="16"/>
          <w:lang w:val="ru-RU"/>
        </w:rPr>
        <w:t>Согласно редакции системы химического вооружения на 1937—1938 гг., по теме «Танкоструггрейдер» был намечен</w:t>
      </w:r>
      <w:r w:rsidRPr="00E14102">
        <w:rPr>
          <w:rStyle w:val="100"/>
          <w:rFonts w:ascii="Times New Roman" w:hAnsi="Times New Roman" w:cs="Times New Roman"/>
          <w:i w:val="0"/>
          <w:color w:val="000000" w:themeColor="text1"/>
          <w:sz w:val="16"/>
          <w:szCs w:val="16"/>
          <w:lang w:val="ru-RU"/>
        </w:rPr>
        <w:t xml:space="preserve"> «ввод на вооруже</w:t>
      </w:r>
      <w:r w:rsidRPr="00E14102">
        <w:rPr>
          <w:rStyle w:val="100"/>
          <w:rFonts w:ascii="Times New Roman" w:hAnsi="Times New Roman" w:cs="Times New Roman"/>
          <w:i w:val="0"/>
          <w:color w:val="000000" w:themeColor="text1"/>
          <w:sz w:val="16"/>
          <w:szCs w:val="16"/>
          <w:lang w:val="ru-RU"/>
        </w:rPr>
        <w:softHyphen/>
        <w:t>ние в 1938 г. или предоставление исчерпываю</w:t>
      </w:r>
      <w:r w:rsidRPr="00E14102">
        <w:rPr>
          <w:rStyle w:val="100"/>
          <w:rFonts w:ascii="Times New Roman" w:hAnsi="Times New Roman" w:cs="Times New Roman"/>
          <w:i w:val="0"/>
          <w:color w:val="000000" w:themeColor="text1"/>
          <w:sz w:val="16"/>
          <w:szCs w:val="16"/>
          <w:lang w:val="ru-RU"/>
        </w:rPr>
        <w:softHyphen/>
        <w:t>щего доклада».</w:t>
      </w:r>
    </w:p>
    <w:p w14:paraId="1E06A6E3" w14:textId="77777777" w:rsidR="003F2AAE" w:rsidRPr="00E14102" w:rsidRDefault="003F2AAE" w:rsidP="00E14102">
      <w:pPr>
        <w:pStyle w:val="a7"/>
        <w:rPr>
          <w:color w:val="000000" w:themeColor="text1"/>
          <w:sz w:val="16"/>
          <w:szCs w:val="16"/>
          <w:lang w:val="ru-RU"/>
        </w:rPr>
      </w:pPr>
      <w:r w:rsidRPr="00E14102">
        <w:rPr>
          <w:color w:val="000000" w:themeColor="text1"/>
          <w:sz w:val="16"/>
          <w:szCs w:val="16"/>
          <w:lang w:val="ru-RU"/>
        </w:rPr>
        <w:t>К сожалению, вопрос о внедрении (а также и о распространении инструкции и комплектов документации по изготовлению силами воин</w:t>
      </w:r>
      <w:r w:rsidRPr="00E14102">
        <w:rPr>
          <w:color w:val="000000" w:themeColor="text1"/>
          <w:sz w:val="16"/>
          <w:szCs w:val="16"/>
          <w:lang w:val="ru-RU"/>
        </w:rPr>
        <w:softHyphen/>
        <w:t>ских частей) снегоочистителя конструкции ЦВХП не был решен положительно. Предпо</w:t>
      </w:r>
      <w:r w:rsidRPr="00E14102">
        <w:rPr>
          <w:color w:val="000000" w:themeColor="text1"/>
          <w:sz w:val="16"/>
          <w:szCs w:val="16"/>
          <w:lang w:val="ru-RU"/>
        </w:rPr>
        <w:softHyphen/>
        <w:t>чтение отдали универсальному плужному сне</w:t>
      </w:r>
      <w:r w:rsidRPr="00E14102">
        <w:rPr>
          <w:color w:val="000000" w:themeColor="text1"/>
          <w:sz w:val="16"/>
          <w:szCs w:val="16"/>
          <w:lang w:val="ru-RU"/>
        </w:rPr>
        <w:softHyphen/>
        <w:t>гоочистителю, разработанному другой орга</w:t>
      </w:r>
      <w:r w:rsidRPr="00E14102">
        <w:rPr>
          <w:color w:val="000000" w:themeColor="text1"/>
          <w:sz w:val="16"/>
          <w:szCs w:val="16"/>
          <w:lang w:val="ru-RU"/>
        </w:rPr>
        <w:softHyphen/>
        <w:t>низацией (12618).</w:t>
      </w:r>
    </w:p>
    <w:p w14:paraId="003D183A" w14:textId="77777777" w:rsidR="003F2AAE" w:rsidRPr="00E14102" w:rsidRDefault="003F2AAE" w:rsidP="00E14102">
      <w:pPr>
        <w:jc w:val="both"/>
        <w:rPr>
          <w:color w:val="000000" w:themeColor="text1"/>
          <w:sz w:val="16"/>
          <w:szCs w:val="16"/>
        </w:rPr>
      </w:pPr>
    </w:p>
    <w:p w14:paraId="42D720AB" w14:textId="77777777" w:rsidR="000A1D71" w:rsidRPr="00E14102" w:rsidRDefault="000A1D71" w:rsidP="00E14102">
      <w:pPr>
        <w:jc w:val="both"/>
        <w:rPr>
          <w:color w:val="000000" w:themeColor="text1"/>
          <w:sz w:val="16"/>
          <w:szCs w:val="16"/>
        </w:rPr>
      </w:pPr>
      <w:r w:rsidRPr="00E14102">
        <w:rPr>
          <w:color w:val="000000" w:themeColor="text1"/>
          <w:sz w:val="16"/>
          <w:szCs w:val="16"/>
        </w:rPr>
        <w:t xml:space="preserve">В апреле 1935 г. в ремонтных мастерских Украинского военного округа (УВО) талантливым изобретателем, командиром взвода 4-го танкового полка воентехником 2 ранга Н.Ф. Цыгановым с группой энтузиастов были завершены работы по проектированию на базе танка БТ колесно-гусеничного танка БТ-ИС. Целью этой работы являлось повышение проходимости и живучести танков БТ на поле боя за счет усовершенствования конструкции колесно-гусеничного движителя. Работы по проектированию танка БТ-ИС велись по прямому указанию командующего войсками УВО командарма 1 ранга И.Э. Якира. </w:t>
      </w:r>
    </w:p>
    <w:p w14:paraId="520D116B" w14:textId="77777777" w:rsidR="000A1D71" w:rsidRPr="00E14102" w:rsidRDefault="000A1D71" w:rsidP="00E14102">
      <w:pPr>
        <w:jc w:val="both"/>
        <w:rPr>
          <w:color w:val="000000" w:themeColor="text1"/>
          <w:sz w:val="16"/>
          <w:szCs w:val="16"/>
        </w:rPr>
      </w:pPr>
      <w:r w:rsidRPr="00E14102">
        <w:rPr>
          <w:color w:val="000000" w:themeColor="text1"/>
          <w:sz w:val="16"/>
          <w:szCs w:val="16"/>
        </w:rPr>
        <w:t xml:space="preserve">О достигнутых группой энтузиастов УВО результатах в рапорте, составленном 23 апреля 1935 г. на имя Генерального секретаря ЦК ВКП(б) И.В. Сталина и народного комиссара обороны К.Е. Ворошилова было отмечено: </w:t>
      </w:r>
    </w:p>
    <w:p w14:paraId="5A62212B"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 xml:space="preserve">«Большевики бойцы и командиры Украинского Военного Округа – энтузиасты великого дела овладения и дальнейшего совершенствования нашей мощной боевой техники – докладывают Вам: </w:t>
      </w:r>
    </w:p>
    <w:p w14:paraId="019F4CA9"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 xml:space="preserve">Ваши указания об усовершенствовании движителя танков БТ выполнены. </w:t>
      </w:r>
    </w:p>
    <w:p w14:paraId="574CA14C"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Мы предлагаем новый тип движителя для танков БТ.</w:t>
      </w:r>
    </w:p>
    <w:p w14:paraId="31D4B967"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Новый колесный движитель – это не одна, а три ведущих пары (II, III и IV) колес. Управляемыми колесами являются также не одна, а три пары (I, II и IV) колес.</w:t>
      </w:r>
    </w:p>
    <w:p w14:paraId="48D96CB9"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 xml:space="preserve">Чертежи нового движителя изготовлены полностью. Изготовлены также самодвижущиеся модели танка БТ в масштабе 1/5 натуральной величины. Модель опробована. Она полностью подтвердила Ваши указания, данные летом 1934 года, что с новым движителем танк БТ может быть превращен в еще более мощную, высокоманевренную боевую машину. </w:t>
      </w:r>
    </w:p>
    <w:p w14:paraId="582CD9E9"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 xml:space="preserve">Танк БТ с новым движителем приобрел способность самостоятельно двигаться, маневрировать и драться, несмотря на самые тяжелые повреждения в бою – потерю одной или обоих гусениц и четырех колес из восьми. В тяжело израненной машине на четырех колесах (если выбитые колеса не нарушили равновесия машины) экипаж танка имеет полную возможность продолжать активно драться и поражать врагов нашей славной социалистической родины, как этому учит нас наша великая большевистская партия ЛЕНИНА–СТАЛИНА – в бою большевик и всякий сознательный рабочий и колхозник сражаются до последней капли крови и, если нужно, умирают, но не сдаются врагам. </w:t>
      </w:r>
    </w:p>
    <w:p w14:paraId="4BB09E47"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Новый тип движителя повышает проходимость танка БТ по тяжелому грунту (пашне) в 4 – 5 раз и дает возможность по пашне на колесах преодолевать подъемы до 25º.</w:t>
      </w:r>
    </w:p>
    <w:p w14:paraId="51B4F371"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 xml:space="preserve">Новая конструкция направляющих колес сокращает радиус поворота танка БТ вдвое с 10-ти до 5 – 6 метров, повышая таким образом маневроспособность танка вдвое. </w:t>
      </w:r>
    </w:p>
    <w:p w14:paraId="25EC143D"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 xml:space="preserve">Перемена гусеничного хода на колесный в случае перебивания гусеницы, одной или обоих, противником совершается автоматически без остановки машины и без выхода экипажа из броневого корпуса. </w:t>
      </w:r>
    </w:p>
    <w:p w14:paraId="6CD127FF"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 xml:space="preserve">Мы дали изобретению имя танк "БТ-ИС". </w:t>
      </w:r>
    </w:p>
    <w:p w14:paraId="2EF8588D"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&lt;…&gt;</w:t>
      </w:r>
    </w:p>
    <w:p w14:paraId="0869D6E4"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Одновременно с проектом нового колесного движителя мы начали проектирование и изготовление нового гусенично-каткового движителя для танков БТ. Он также закончен.</w:t>
      </w:r>
    </w:p>
    <w:p w14:paraId="5F65AF1C"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 xml:space="preserve">Готовы все чертежи и опытные модели в 1/5 натуральной величины. Спроектирована и изготовлена новая подвеска каткового движителя, шарнирная катковая цепь и гусеница к ним. </w:t>
      </w:r>
    </w:p>
    <w:p w14:paraId="5AFBAD8C"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 xml:space="preserve">Танк БТ с катковым движителем при обычном моторе М-5 развивает скорость на катках и на гусеницах по нашим расчетам 105 клм. в час, вдвое превышающую нормальную скорость на обычных гусеницах (норма 51,6 клм. в час.). </w:t>
      </w:r>
    </w:p>
    <w:p w14:paraId="043DAEAD"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 xml:space="preserve">Поворотливость на катках и новой гусенице на месте на 360°. Катки и гусеница – резиновые и дают почти бесшумный ход. Тактическое использование этой машины вытекает из ее вездеходности на огромных скоростях и бесшумности. </w:t>
      </w:r>
    </w:p>
    <w:p w14:paraId="4D62DC04"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 xml:space="preserve">В обоих типах машин мы стремились к минимальному количеству переделок существующего типа машин БТ-2 и БТ-5 и добились этого. Это позволяет новые типы движителей без больших переделок монтировать на уже существующих и эксплоатируемых типах машин БТ и легко освоить в производстве новых машин. </w:t>
      </w:r>
    </w:p>
    <w:p w14:paraId="649F75FE"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 xml:space="preserve">Изобретение обоих типов движителей БТ принадлежит молодому большевику и молодому командиру 4-го танкового полка УВО т. ЦЫГАНОВУ Н.Ф., талантливому конструктору-изобретателю, самоучке. В 1934 году т. ЦЫГАНОВ был награжден Народным Комиссаром Обороны тов. ВОРОШИЛОВЫМ золотыми часами и произведен из младшего командира в командира взвода за изобретение АВТОМАТИЧЕСКОЙ СЦЕПКИ ТАНКОВ БТ, Т-26 и Т-27, принятой на вооружение в РККА. Мы все были только добросовестными помощниками ему в практической реализации его изобретений. </w:t>
      </w:r>
    </w:p>
    <w:p w14:paraId="547E8ABB" w14:textId="77777777" w:rsidR="000A1D71" w:rsidRPr="00E14102" w:rsidRDefault="000A1D71" w:rsidP="00E14102">
      <w:pPr>
        <w:jc w:val="both"/>
        <w:rPr>
          <w:iCs/>
          <w:color w:val="000000" w:themeColor="text1"/>
          <w:sz w:val="16"/>
          <w:szCs w:val="16"/>
        </w:rPr>
      </w:pPr>
      <w:r w:rsidRPr="00E14102">
        <w:rPr>
          <w:iCs/>
          <w:color w:val="000000" w:themeColor="text1"/>
          <w:sz w:val="16"/>
          <w:szCs w:val="16"/>
        </w:rPr>
        <w:t xml:space="preserve">В течение 4-х месяцев дружным коллективом, направляемые т. ЦЫГАНОВЫМ под непосредственным руководством нашего Командующего войсками т. ЯКИРА, работая по 16 – 18 часов в сутки мы изготовили свыше полутысячи чертежей и около трех тысяч деталей для моделей, проектируемых машин. И сегодня, счастливые сознанием выполненного долга докладываем Вам – работы по обоим типам движителя закончены. </w:t>
      </w:r>
    </w:p>
    <w:p w14:paraId="159D12A2" w14:textId="77777777" w:rsidR="000A1D71" w:rsidRPr="00E14102" w:rsidRDefault="000A1D71" w:rsidP="00E14102">
      <w:pPr>
        <w:jc w:val="both"/>
        <w:rPr>
          <w:color w:val="000000" w:themeColor="text1"/>
          <w:sz w:val="16"/>
          <w:szCs w:val="16"/>
        </w:rPr>
      </w:pPr>
      <w:r w:rsidRPr="00E14102">
        <w:rPr>
          <w:iCs/>
          <w:color w:val="000000" w:themeColor="text1"/>
          <w:sz w:val="16"/>
          <w:szCs w:val="16"/>
        </w:rPr>
        <w:t>Просим Ваших указаний и дальнейших заданий»</w:t>
      </w:r>
      <w:r w:rsidRPr="00E14102">
        <w:rPr>
          <w:color w:val="000000" w:themeColor="text1"/>
          <w:sz w:val="16"/>
          <w:szCs w:val="16"/>
        </w:rPr>
        <w:t xml:space="preserve">. </w:t>
      </w:r>
    </w:p>
    <w:p w14:paraId="45E09D81" w14:textId="77777777" w:rsidR="000A1D71" w:rsidRPr="00E14102" w:rsidRDefault="000A1D71" w:rsidP="00E14102">
      <w:pPr>
        <w:jc w:val="both"/>
        <w:rPr>
          <w:color w:val="000000" w:themeColor="text1"/>
          <w:sz w:val="16"/>
          <w:szCs w:val="16"/>
        </w:rPr>
      </w:pPr>
      <w:r w:rsidRPr="00E14102">
        <w:rPr>
          <w:bCs/>
          <w:color w:val="000000" w:themeColor="text1"/>
          <w:sz w:val="16"/>
          <w:szCs w:val="16"/>
        </w:rPr>
        <w:t>[РГВА. Ф. 33987. Оп. 3. Д. 1362. Л. 1 – 2] (17502).</w:t>
      </w:r>
    </w:p>
    <w:p w14:paraId="550730BC" w14:textId="77777777" w:rsidR="000A1D71" w:rsidRPr="00E14102" w:rsidRDefault="000A1D71" w:rsidP="00E14102">
      <w:pPr>
        <w:jc w:val="both"/>
        <w:rPr>
          <w:color w:val="000000" w:themeColor="text1"/>
          <w:sz w:val="16"/>
          <w:szCs w:val="16"/>
        </w:rPr>
      </w:pPr>
    </w:p>
    <w:p w14:paraId="0FE572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1935-го с конвейера ХТЗ сошел 100-тысячный трактор! Успех был очевиден, и завод наградили орденами Ленина и Трудового Красного Знамени. А вскоре доверили и более ответственное дело: перевели в 1936 г. с выпуска колесных тракторов СХТЗ-15/30 на гусеничные - СХТЗ-НАТИ I ТА. Уже в 1938-м завод производил их более 1000 в месяц с перспективой создания танкового и танкоремонтного производства [63, с. 228]. В полном объеме она осталась нереализованной (11438).</w:t>
      </w:r>
    </w:p>
    <w:p w14:paraId="7056B55E" w14:textId="77777777" w:rsidR="00D4105E" w:rsidRPr="00E14102" w:rsidRDefault="00D4105E" w:rsidP="00E14102">
      <w:pPr>
        <w:autoSpaceDE w:val="0"/>
        <w:autoSpaceDN w:val="0"/>
        <w:adjustRightInd w:val="0"/>
        <w:jc w:val="both"/>
        <w:rPr>
          <w:color w:val="000000" w:themeColor="text1"/>
          <w:sz w:val="16"/>
          <w:szCs w:val="16"/>
        </w:rPr>
      </w:pPr>
    </w:p>
    <w:p w14:paraId="4B0A4AE1" w14:textId="77777777" w:rsidR="00281FBD" w:rsidRPr="00E14102" w:rsidRDefault="00281FBD" w:rsidP="00E14102">
      <w:pPr>
        <w:jc w:val="both"/>
        <w:rPr>
          <w:color w:val="0070C0"/>
          <w:sz w:val="16"/>
          <w:szCs w:val="16"/>
        </w:rPr>
      </w:pPr>
      <w:r w:rsidRPr="00E14102">
        <w:rPr>
          <w:color w:val="0070C0"/>
          <w:sz w:val="16"/>
          <w:szCs w:val="16"/>
          <w:lang w:bidi="ru-RU"/>
        </w:rPr>
        <w:t>В апреле 1935 г. ХТЗ выпустил свой стотысячный трактор, всего же два предприятия изготовили 390,5 тысячи тракторов СХТЗ-15/30 (из них 172,5 тысячи приходится на долю Харьковского завода). СХТЗ-15/30 стал самым распространенным в СССР трактором в 30—40-е годы прошлого века. Но в 1937 г. выпуск СХТЗ-15/30 прекратился. Оба завода — Сталин</w:t>
      </w:r>
      <w:r w:rsidRPr="00E14102">
        <w:rPr>
          <w:color w:val="0070C0"/>
          <w:sz w:val="16"/>
          <w:szCs w:val="16"/>
          <w:lang w:bidi="ru-RU"/>
        </w:rPr>
        <w:softHyphen/>
        <w:t>градский и Харьковский — синхронно перешли к производству гусеничных тракторов, СХТЗ-НАТИ (23180).</w:t>
      </w:r>
    </w:p>
    <w:p w14:paraId="64E7864F" w14:textId="77777777" w:rsidR="00281FBD" w:rsidRPr="00E14102" w:rsidRDefault="00281FBD" w:rsidP="00E14102">
      <w:pPr>
        <w:jc w:val="both"/>
        <w:rPr>
          <w:color w:val="0070C0"/>
          <w:sz w:val="16"/>
          <w:szCs w:val="16"/>
        </w:rPr>
      </w:pPr>
    </w:p>
    <w:p w14:paraId="4978CF42" w14:textId="77777777" w:rsidR="00DF734F" w:rsidRPr="00E14102" w:rsidRDefault="00DF734F" w:rsidP="00E14102">
      <w:pPr>
        <w:jc w:val="both"/>
        <w:rPr>
          <w:color w:val="000000" w:themeColor="text1"/>
          <w:sz w:val="16"/>
          <w:szCs w:val="16"/>
        </w:rPr>
      </w:pPr>
      <w:r w:rsidRPr="00E14102">
        <w:rPr>
          <w:color w:val="000000" w:themeColor="text1"/>
          <w:sz w:val="16"/>
          <w:szCs w:val="16"/>
        </w:rPr>
        <w:t xml:space="preserve">В апреле </w:t>
      </w:r>
      <w:smartTag w:uri="urn:schemas-microsoft-com:office:smarttags" w:element="metricconverter">
        <w:smartTagPr>
          <w:attr w:name="ProductID" w:val="1945 г"/>
        </w:smartTagPr>
        <w:r w:rsidRPr="00E14102">
          <w:rPr>
            <w:color w:val="000000" w:themeColor="text1"/>
            <w:sz w:val="16"/>
            <w:szCs w:val="16"/>
          </w:rPr>
          <w:t>1935 г</w:t>
        </w:r>
      </w:smartTag>
      <w:r w:rsidRPr="00E14102">
        <w:rPr>
          <w:color w:val="000000" w:themeColor="text1"/>
          <w:sz w:val="16"/>
          <w:szCs w:val="16"/>
        </w:rPr>
        <w:t>. началось строительство второй очереди Горьковского автозавода. Его производственная мощность определялась выпуском в год 225 тысяч грузовых (в том числе 0 тыс. трехосных), 75 тыс. закрытых легковых автомобилей и запасных частей к ним (в объеме 25%). Проектирование и расширение завода отныне проводилось собственными силами, без привлечения иностранных специалистов (15218).</w:t>
      </w:r>
    </w:p>
    <w:p w14:paraId="3AB3F769" w14:textId="77777777" w:rsidR="00DF734F" w:rsidRPr="00E14102" w:rsidRDefault="00DF734F" w:rsidP="00E14102">
      <w:pPr>
        <w:jc w:val="both"/>
        <w:rPr>
          <w:color w:val="000000" w:themeColor="text1"/>
          <w:sz w:val="16"/>
          <w:szCs w:val="16"/>
        </w:rPr>
      </w:pPr>
    </w:p>
    <w:p w14:paraId="252748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СТО утвердил задание и техпроект п/л типа К (3848,125).</w:t>
      </w:r>
    </w:p>
    <w:p w14:paraId="6F0A5459" w14:textId="77777777" w:rsidR="00D4105E" w:rsidRPr="00E14102" w:rsidRDefault="00D4105E" w:rsidP="00E14102">
      <w:pPr>
        <w:autoSpaceDE w:val="0"/>
        <w:autoSpaceDN w:val="0"/>
        <w:adjustRightInd w:val="0"/>
        <w:jc w:val="both"/>
        <w:rPr>
          <w:color w:val="000000" w:themeColor="text1"/>
          <w:sz w:val="16"/>
          <w:szCs w:val="16"/>
        </w:rPr>
      </w:pPr>
    </w:p>
    <w:p w14:paraId="7A52C986" w14:textId="77777777" w:rsidR="00545EDE" w:rsidRPr="00E14102" w:rsidRDefault="00545EDE"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550A08CC" w14:textId="77777777" w:rsidR="00545EDE" w:rsidRPr="00E14102" w:rsidRDefault="00545EDE" w:rsidP="00E14102">
      <w:pPr>
        <w:autoSpaceDE w:val="0"/>
        <w:autoSpaceDN w:val="0"/>
        <w:adjustRightInd w:val="0"/>
        <w:jc w:val="both"/>
        <w:rPr>
          <w:iCs/>
          <w:color w:val="000000" w:themeColor="text1"/>
          <w:sz w:val="16"/>
          <w:szCs w:val="16"/>
        </w:rPr>
      </w:pPr>
    </w:p>
    <w:p w14:paraId="7D006255" w14:textId="77777777" w:rsidR="00545EDE" w:rsidRPr="00E14102" w:rsidRDefault="00545EDE" w:rsidP="00E14102">
      <w:pPr>
        <w:jc w:val="both"/>
        <w:rPr>
          <w:color w:val="000000" w:themeColor="text1"/>
          <w:sz w:val="16"/>
          <w:szCs w:val="16"/>
        </w:rPr>
      </w:pPr>
      <w:r w:rsidRPr="00E14102">
        <w:rPr>
          <w:color w:val="000000" w:themeColor="text1"/>
          <w:sz w:val="16"/>
          <w:szCs w:val="16"/>
        </w:rPr>
        <w:t>В апреле 1935 г. по просьбе К. Ататюрка из СССР в Турцию были откомандированы советские инструкторы планерного спорта. Они приняли участие в состоявшемся 3 мая 1935 г. первом в Турции авиационном празднике, организованном в связи с десятилетием учреждения Общества содействия авиации «Турецкая птица» («Тюрк кушу»). Осоавиахим СССР передал турецкой школе планеристов и парашютистов пять планеров советской конструкции. Инструкторы С.Н. Анохин и М.Ф. Романов, приглашенные на преподавательскую работу в эту школу, в течение трех месяцев подготовили 200 человек турецких планеристов-инструкторов. Вскоре в Турцию приехала жена С.Н. Анохина – известная планеристка М.К. Раценская (в своё время она была его ученицей). Примечательно, что С.Н. Анохин возвратился в СССР не через три месяца, как планировалось первоначально, а почти через пять лет – в январе 1940 года. Известно, что он обучал турок полетам не только на планерах, но и на самолетах. Многие турецкие планеристы прошли повторный курс обучения в советских аэроклубах. В СССР стажировалась и первая турецкая летчица Сабиха Гекчен – приёмная дочь президента Турции Ататюрка. Также известно, что в 1930-х годах в Турцию было отправлено два самолета У-2 (18512).</w:t>
      </w:r>
    </w:p>
    <w:p w14:paraId="12C94A1F" w14:textId="77777777" w:rsidR="00545EDE" w:rsidRPr="00E14102" w:rsidRDefault="00545EDE" w:rsidP="00E14102">
      <w:pPr>
        <w:jc w:val="both"/>
        <w:rPr>
          <w:color w:val="000000" w:themeColor="text1"/>
          <w:sz w:val="16"/>
          <w:szCs w:val="16"/>
        </w:rPr>
      </w:pPr>
    </w:p>
    <w:p w14:paraId="4F2D48D3" w14:textId="77777777" w:rsidR="00545EDE" w:rsidRPr="00E14102" w:rsidRDefault="00545EDE" w:rsidP="00E14102">
      <w:pPr>
        <w:jc w:val="both"/>
        <w:rPr>
          <w:color w:val="000000" w:themeColor="text1"/>
          <w:sz w:val="16"/>
          <w:szCs w:val="16"/>
        </w:rPr>
      </w:pPr>
      <w:r w:rsidRPr="00E14102">
        <w:rPr>
          <w:color w:val="000000" w:themeColor="text1"/>
          <w:sz w:val="16"/>
          <w:szCs w:val="16"/>
        </w:rPr>
        <w:t>В апреле 1935 г. по просьбе К. Ататюрка из СССР в Турцию были откомандированы советские инструкторы планерного спорта. Они приняли участие в состоявшемся 3 мая 1935 г. первом в Турции авиационном празднике, организованном в связи с десятилетием учреждения Общества содействия авиации «Турецкая птица» («Тюрк кушу»). Осоавиахим СССР передал турецкой школе планеристов и парашютистов пять планеров советской конструкции. Инструкторы С.Н. Анохин и М.Ф. Романов, приглашенные на преподавательскую работу в эту школу, в течение трех месяцев подготовили 200 человек турецких планеристов-инструкторов. Вскоре в Турцию приехала жена С.Н. Анохина - известная планеристка М.К. Раценс-кая (в своё время она была его ученицей). Примечательно, что С.Н. Анохин возвратился в СССР не через три месяца, как планировалось первоначально, а почти через пять лет - в январе 1940 года. Известно, что он обучал турок полетам не только на планерах, но и на самолетах. Многие турецкие планеристы прошли повторный курс обучения в советских аэроклубах. В СССР стажировалась и первая турецкая летчица Сабиха Гекчен - приёмная дочь президента Турции Ататюрка. Также известно, что в 1930-х годах в Турцию было отправлено два самолета У-2 (18261).</w:t>
      </w:r>
    </w:p>
    <w:p w14:paraId="174F9E06" w14:textId="77777777" w:rsidR="00545EDE" w:rsidRPr="00E14102" w:rsidRDefault="00545EDE" w:rsidP="00E14102">
      <w:pPr>
        <w:jc w:val="both"/>
        <w:rPr>
          <w:color w:val="000000" w:themeColor="text1"/>
          <w:sz w:val="16"/>
          <w:szCs w:val="16"/>
        </w:rPr>
      </w:pPr>
    </w:p>
    <w:p w14:paraId="646DF7B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9C4EF69" w14:textId="77777777" w:rsidR="00D4105E" w:rsidRPr="00E14102" w:rsidRDefault="00D4105E" w:rsidP="00E14102">
      <w:pPr>
        <w:autoSpaceDE w:val="0"/>
        <w:autoSpaceDN w:val="0"/>
        <w:adjustRightInd w:val="0"/>
        <w:jc w:val="both"/>
        <w:rPr>
          <w:iCs/>
          <w:color w:val="000000" w:themeColor="text1"/>
          <w:sz w:val="16"/>
          <w:szCs w:val="16"/>
        </w:rPr>
      </w:pPr>
    </w:p>
    <w:p w14:paraId="0C807030" w14:textId="77777777" w:rsidR="00281FBD" w:rsidRPr="00E14102" w:rsidRDefault="00281FBD" w:rsidP="00E14102">
      <w:pPr>
        <w:jc w:val="both"/>
        <w:rPr>
          <w:color w:val="0070C0"/>
          <w:sz w:val="16"/>
          <w:szCs w:val="16"/>
        </w:rPr>
      </w:pPr>
      <w:r w:rsidRPr="00E14102">
        <w:rPr>
          <w:color w:val="0070C0"/>
          <w:sz w:val="16"/>
          <w:szCs w:val="16"/>
        </w:rPr>
        <w:t xml:space="preserve">Апрель 1935 состоялся первый полет </w:t>
      </w:r>
      <w:r w:rsidRPr="00E14102">
        <w:rPr>
          <w:color w:val="0070C0"/>
          <w:sz w:val="16"/>
          <w:szCs w:val="16"/>
          <w:lang w:val="en-US"/>
        </w:rPr>
        <w:t>Douglas</w:t>
      </w:r>
      <w:r w:rsidRPr="00E14102">
        <w:rPr>
          <w:color w:val="0070C0"/>
          <w:sz w:val="16"/>
          <w:szCs w:val="16"/>
        </w:rPr>
        <w:t xml:space="preserve"> </w:t>
      </w:r>
      <w:r w:rsidRPr="00E14102">
        <w:rPr>
          <w:color w:val="0070C0"/>
          <w:sz w:val="16"/>
          <w:szCs w:val="16"/>
          <w:lang w:val="en-US"/>
        </w:rPr>
        <w:t>DB</w:t>
      </w:r>
      <w:r w:rsidRPr="00E14102">
        <w:rPr>
          <w:color w:val="0070C0"/>
          <w:sz w:val="16"/>
          <w:szCs w:val="16"/>
        </w:rPr>
        <w:t xml:space="preserve">-1, прототипа </w:t>
      </w:r>
      <w:r w:rsidRPr="00E14102">
        <w:rPr>
          <w:color w:val="0070C0"/>
          <w:sz w:val="16"/>
          <w:szCs w:val="16"/>
          <w:lang w:val="en-US"/>
        </w:rPr>
        <w:t>B</w:t>
      </w:r>
      <w:r w:rsidRPr="00E14102">
        <w:rPr>
          <w:color w:val="0070C0"/>
          <w:sz w:val="16"/>
          <w:szCs w:val="16"/>
        </w:rPr>
        <w:t xml:space="preserve">-18 </w:t>
      </w:r>
      <w:r w:rsidRPr="00E14102">
        <w:rPr>
          <w:color w:val="0070C0"/>
          <w:sz w:val="16"/>
          <w:szCs w:val="16"/>
          <w:lang w:val="en-US"/>
        </w:rPr>
        <w:t>Bolo</w:t>
      </w:r>
      <w:r w:rsidRPr="00E14102">
        <w:rPr>
          <w:color w:val="0070C0"/>
          <w:sz w:val="16"/>
          <w:szCs w:val="16"/>
        </w:rPr>
        <w:t xml:space="preserve"> Мартин-Бейкер МБ 1  (20800).</w:t>
      </w:r>
    </w:p>
    <w:p w14:paraId="365C88C7" w14:textId="77777777" w:rsidR="00281FBD" w:rsidRPr="00E14102" w:rsidRDefault="00281FBD" w:rsidP="00E14102">
      <w:pPr>
        <w:jc w:val="both"/>
        <w:rPr>
          <w:color w:val="0070C0"/>
          <w:sz w:val="16"/>
          <w:szCs w:val="16"/>
        </w:rPr>
      </w:pPr>
    </w:p>
    <w:p w14:paraId="432177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комиссии был предъявлен макет PZL-37 Los (2347,21).</w:t>
      </w:r>
    </w:p>
    <w:p w14:paraId="75ED4463" w14:textId="77777777" w:rsidR="00D4105E" w:rsidRPr="00E14102" w:rsidRDefault="00D4105E" w:rsidP="00E14102">
      <w:pPr>
        <w:autoSpaceDE w:val="0"/>
        <w:autoSpaceDN w:val="0"/>
        <w:adjustRightInd w:val="0"/>
        <w:jc w:val="both"/>
        <w:rPr>
          <w:color w:val="000000" w:themeColor="text1"/>
          <w:sz w:val="16"/>
          <w:szCs w:val="16"/>
        </w:rPr>
      </w:pPr>
    </w:p>
    <w:p w14:paraId="2A6571B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0C94F88" w14:textId="77777777" w:rsidR="00D4105E" w:rsidRPr="00E14102" w:rsidRDefault="00D4105E" w:rsidP="00E14102">
      <w:pPr>
        <w:autoSpaceDE w:val="0"/>
        <w:autoSpaceDN w:val="0"/>
        <w:adjustRightInd w:val="0"/>
        <w:jc w:val="both"/>
        <w:rPr>
          <w:iCs/>
          <w:color w:val="000000" w:themeColor="text1"/>
          <w:sz w:val="16"/>
          <w:szCs w:val="16"/>
        </w:rPr>
      </w:pPr>
    </w:p>
    <w:p w14:paraId="15FCCF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апреле-мае 1935 проводились заводские испытания ЦКБ-3 N 7 без чайки на верхнем крыле, сделанного по требованию военных. Летали В.П.Ч. и В.К.К. (1109).</w:t>
      </w:r>
    </w:p>
    <w:p w14:paraId="1EA3CE3B" w14:textId="77777777" w:rsidR="00D4105E" w:rsidRPr="00E14102" w:rsidRDefault="00D4105E" w:rsidP="00E14102">
      <w:pPr>
        <w:autoSpaceDE w:val="0"/>
        <w:autoSpaceDN w:val="0"/>
        <w:adjustRightInd w:val="0"/>
        <w:jc w:val="both"/>
        <w:rPr>
          <w:color w:val="000000" w:themeColor="text1"/>
          <w:sz w:val="16"/>
          <w:szCs w:val="16"/>
        </w:rPr>
      </w:pPr>
    </w:p>
    <w:p w14:paraId="0D2B76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апреле-мае 1935 в ЦАГИ были проведены статиспытания крыла И-14, которые показали реальные запасы прочности в 8.55-11, что было ниже 11.5, требуемых ВВС. На эталон поставили крыло с запасом 13 и щитки повышенной площади. Этот вариант стали называть И-14Б (4020,14).</w:t>
      </w:r>
    </w:p>
    <w:p w14:paraId="577616AE" w14:textId="77777777" w:rsidR="00D4105E" w:rsidRPr="00E14102" w:rsidRDefault="00D4105E" w:rsidP="00E14102">
      <w:pPr>
        <w:autoSpaceDE w:val="0"/>
        <w:autoSpaceDN w:val="0"/>
        <w:adjustRightInd w:val="0"/>
        <w:jc w:val="both"/>
        <w:rPr>
          <w:color w:val="000000" w:themeColor="text1"/>
          <w:sz w:val="16"/>
          <w:szCs w:val="16"/>
        </w:rPr>
      </w:pPr>
    </w:p>
    <w:p w14:paraId="685106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 апреля по октябрь 1935 завод 31 проектировал КОР-1 М-25 (2405,86).</w:t>
      </w:r>
    </w:p>
    <w:p w14:paraId="07865329" w14:textId="77777777" w:rsidR="00D4105E" w:rsidRPr="00E14102" w:rsidRDefault="00D4105E" w:rsidP="00E14102">
      <w:pPr>
        <w:autoSpaceDE w:val="0"/>
        <w:autoSpaceDN w:val="0"/>
        <w:adjustRightInd w:val="0"/>
        <w:jc w:val="both"/>
        <w:rPr>
          <w:color w:val="000000" w:themeColor="text1"/>
          <w:sz w:val="16"/>
          <w:szCs w:val="16"/>
        </w:rPr>
      </w:pPr>
    </w:p>
    <w:p w14:paraId="4730FC4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D4BD67D" w14:textId="77777777" w:rsidR="00D4105E" w:rsidRPr="00E14102" w:rsidRDefault="00D4105E" w:rsidP="00E14102">
      <w:pPr>
        <w:autoSpaceDE w:val="0"/>
        <w:autoSpaceDN w:val="0"/>
        <w:adjustRightInd w:val="0"/>
        <w:jc w:val="both"/>
        <w:rPr>
          <w:iCs/>
          <w:color w:val="000000" w:themeColor="text1"/>
          <w:sz w:val="16"/>
          <w:szCs w:val="16"/>
        </w:rPr>
      </w:pPr>
    </w:p>
    <w:p w14:paraId="21703B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один из апрельских дней 1935 года дизельный отдел ХПЗ был преоб</w:t>
      </w:r>
      <w:r w:rsidRPr="00E14102">
        <w:rPr>
          <w:color w:val="000000" w:themeColor="text1"/>
          <w:sz w:val="16"/>
          <w:szCs w:val="16"/>
        </w:rPr>
        <w:softHyphen/>
        <w:t>разован в отдел «400», в состав которого вошел и вновь строящийся ди</w:t>
      </w:r>
      <w:r w:rsidRPr="00E14102">
        <w:rPr>
          <w:color w:val="000000" w:themeColor="text1"/>
          <w:sz w:val="16"/>
          <w:szCs w:val="16"/>
        </w:rPr>
        <w:softHyphen/>
        <w:t>зельный цех.</w:t>
      </w:r>
    </w:p>
    <w:p w14:paraId="69B898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Начальником отдела остался Константин Федорович Челпан, главным конструктором назначили Якова Ефимовича Вихмана. Трашутин Иван Яковлевич был назначен помощником начальника отдела по опытно-кон</w:t>
      </w:r>
      <w:r w:rsidRPr="00E14102">
        <w:rPr>
          <w:color w:val="000000" w:themeColor="text1"/>
          <w:sz w:val="16"/>
          <w:szCs w:val="16"/>
        </w:rPr>
        <w:softHyphen/>
        <w:t>структорской работе, а затем начальником серийно-конструкторского бюро по дизелю БД-2.</w:t>
      </w:r>
    </w:p>
    <w:p w14:paraId="69B186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их плечи легли нелегкие задачи и огромная ответственность. Надо было завершить работу над технической документацией, необходимой для строительства моторного цеха, и одновременно вести доводку и ис</w:t>
      </w:r>
      <w:r w:rsidRPr="00E14102">
        <w:rPr>
          <w:color w:val="000000" w:themeColor="text1"/>
          <w:sz w:val="16"/>
          <w:szCs w:val="16"/>
        </w:rPr>
        <w:softHyphen/>
        <w:t>пытания БД-2. Последнее легло на плечи Трашутина. С этого времени основное внимание конструкторского коллектива Трашутина направля</w:t>
      </w:r>
      <w:r w:rsidRPr="00E14102">
        <w:rPr>
          <w:color w:val="000000" w:themeColor="text1"/>
          <w:sz w:val="16"/>
          <w:szCs w:val="16"/>
        </w:rPr>
        <w:softHyphen/>
        <w:t>лось на разработку всей технической документации для серийного про</w:t>
      </w:r>
      <w:r w:rsidRPr="00E14102">
        <w:rPr>
          <w:color w:val="000000" w:themeColor="text1"/>
          <w:sz w:val="16"/>
          <w:szCs w:val="16"/>
        </w:rPr>
        <w:softHyphen/>
        <w:t>изводства дизеля БД-2.</w:t>
      </w:r>
    </w:p>
    <w:p w14:paraId="5A736C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главное — одновременно с этими огромными задачами, вести довод</w:t>
      </w:r>
      <w:r w:rsidRPr="00E14102">
        <w:rPr>
          <w:color w:val="000000" w:themeColor="text1"/>
          <w:sz w:val="16"/>
          <w:szCs w:val="16"/>
        </w:rPr>
        <w:softHyphen/>
        <w:t>ку и испытания дизеля БД-2 по результатам проведенных испытаний на самолете Р-5 и в танке БТ-5.</w:t>
      </w:r>
    </w:p>
    <w:p w14:paraId="1921623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«Особой заботой для Трашутина было создание отечественной топ</w:t>
      </w:r>
      <w:r w:rsidRPr="00E14102">
        <w:rPr>
          <w:color w:val="000000" w:themeColor="text1"/>
          <w:sz w:val="16"/>
          <w:szCs w:val="16"/>
        </w:rPr>
        <w:softHyphen/>
        <w:t>ливной аппаратуры для нашего дизеля, — вспоминает А.В.Дворниченко,</w:t>
      </w:r>
    </w:p>
    <w:p w14:paraId="30C0BF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так как все работы по созданию дизеля БД-2 (В-2) велись на импорт</w:t>
      </w:r>
      <w:r w:rsidRPr="00E14102">
        <w:rPr>
          <w:color w:val="000000" w:themeColor="text1"/>
          <w:sz w:val="16"/>
          <w:szCs w:val="16"/>
        </w:rPr>
        <w:softHyphen/>
        <w:t>ной топливной аппаратуре немецкой фирмы Бош.</w:t>
      </w:r>
    </w:p>
    <w:p w14:paraId="6D79B97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Это очень большая и важная работа Трашутина, огромное его участие в разработке и доводке дизеля БД-2 в начальный его период создания»...</w:t>
      </w:r>
    </w:p>
    <w:p w14:paraId="71CCAE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Дизель испытывали, вносили изменения, вновь совершенствовали узлы и детали, а он, как строптивый конь, не хотел подчиняться воле конструкто</w:t>
      </w:r>
      <w:r w:rsidRPr="00E14102">
        <w:rPr>
          <w:color w:val="000000" w:themeColor="text1"/>
          <w:sz w:val="16"/>
          <w:szCs w:val="16"/>
        </w:rPr>
        <w:softHyphen/>
        <w:t>ров, и никак не хотел под нагрузкой отрабатывать положенные ему 150 часов.</w:t>
      </w:r>
    </w:p>
    <w:p w14:paraId="5451F4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Челпан, Вихман, Тращутин, Бер, военпред Федоров и другие иногда не выходили из КБ и цеха по несколько дней, решая головоломные зада</w:t>
      </w:r>
      <w:r w:rsidRPr="00E14102">
        <w:rPr>
          <w:color w:val="000000" w:themeColor="text1"/>
          <w:sz w:val="16"/>
          <w:szCs w:val="16"/>
        </w:rPr>
        <w:softHyphen/>
        <w:t>чи, которые преподносил строптивый дизель (11504).</w:t>
      </w:r>
    </w:p>
    <w:p w14:paraId="6722730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FA358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1935— сентябре 1938 гг. на заводе им. А. А. Жданова были построе</w:t>
      </w:r>
      <w:r w:rsidRPr="00E14102">
        <w:rPr>
          <w:color w:val="000000" w:themeColor="text1"/>
          <w:sz w:val="16"/>
          <w:szCs w:val="16"/>
        </w:rPr>
        <w:softHyphen/>
        <w:t>ны для Балтийского флота два последних сторожевых корабля (IV серия, пр. 39) — "Снег" и "Туча" со 100-мм установками Б-24 (дальность стрельбы 118,5 каб., масса снаряда — 15,8 кг, 12 выстр./мин). Стоимость одного корабля I серии в 1926 г. оце</w:t>
      </w:r>
      <w:r w:rsidRPr="00E14102">
        <w:rPr>
          <w:color w:val="000000" w:themeColor="text1"/>
          <w:sz w:val="16"/>
          <w:szCs w:val="16"/>
        </w:rPr>
        <w:softHyphen/>
        <w:t>нивалась в 950 тыс. руб., сторожевики III серии ленинградской по</w:t>
      </w:r>
      <w:r w:rsidRPr="00E14102">
        <w:rPr>
          <w:color w:val="000000" w:themeColor="text1"/>
          <w:sz w:val="16"/>
          <w:szCs w:val="16"/>
        </w:rPr>
        <w:softHyphen/>
        <w:t>стройки для Дальнего Востока в 1934 г. стоили по 2200 тыс. руб.</w:t>
      </w:r>
    </w:p>
    <w:p w14:paraId="2897CC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Принято считать, что сторожевые корабли типа "Ураган" стали хорошей школой для судостроителей и моряков. Значение этой школы, однако, было весьма ограниченным. Выполнение всей про</w:t>
      </w:r>
      <w:r w:rsidRPr="00E14102">
        <w:rPr>
          <w:color w:val="000000" w:themeColor="text1"/>
          <w:sz w:val="16"/>
          <w:szCs w:val="16"/>
        </w:rPr>
        <w:softHyphen/>
        <w:t>граммы строительства (18 единиц) затянулось более чем на пять лет против плановых сроков, что вызвало моральное устаревание проекта. Сами корабли оказались перегруженными, имели посто</w:t>
      </w:r>
      <w:r w:rsidRPr="00E14102">
        <w:rPr>
          <w:color w:val="000000" w:themeColor="text1"/>
          <w:sz w:val="16"/>
          <w:szCs w:val="16"/>
        </w:rPr>
        <w:softHyphen/>
        <w:t>янный дифферент на нос, не достигли заданной скорости. На ко</w:t>
      </w:r>
      <w:r w:rsidRPr="00E14102">
        <w:rPr>
          <w:color w:val="000000" w:themeColor="text1"/>
          <w:sz w:val="16"/>
          <w:szCs w:val="16"/>
        </w:rPr>
        <w:softHyphen/>
        <w:t>роткой волне сторожевики зарывались носом в воду, а в штормо</w:t>
      </w:r>
      <w:r w:rsidRPr="00E14102">
        <w:rPr>
          <w:color w:val="000000" w:themeColor="text1"/>
          <w:sz w:val="16"/>
          <w:szCs w:val="16"/>
        </w:rPr>
        <w:softHyphen/>
        <w:t>вую погоду испытывали бортовую качку до 45°. Не все благополуч</w:t>
      </w:r>
      <w:r w:rsidRPr="00E14102">
        <w:rPr>
          <w:color w:val="000000" w:themeColor="text1"/>
          <w:sz w:val="16"/>
          <w:szCs w:val="16"/>
        </w:rPr>
        <w:softHyphen/>
        <w:t>но было и с местной прочностью корпусов (трещины в обшивке "Смерча").</w:t>
      </w:r>
    </w:p>
    <w:p w14:paraId="627ADE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Капитальный ремонт с модернизацией, который сторожевики проходили начиная с 1938 г., позволил значительно улучшить их тактико-технические элементы. На ряде кораблей 102-мм пушки заменили установками Б-24-БМ с башнеподобными щитами, ус</w:t>
      </w:r>
      <w:r w:rsidRPr="00E14102">
        <w:rPr>
          <w:color w:val="000000" w:themeColor="text1"/>
          <w:sz w:val="16"/>
          <w:szCs w:val="16"/>
        </w:rPr>
        <w:softHyphen/>
        <w:t>тановили шумопеленгаторные станции "Посейдон", новые средства радиосвязи системы "Блокада-2" (радиопередатчики "Шквал-М", "Штиль-К", радиоприемники "Дозор" и 45ПК-1), сняли грот-мачту, оборудовали закрытую ходовую рубку, увеличили комплект боль</w:t>
      </w:r>
      <w:r w:rsidRPr="00E14102">
        <w:rPr>
          <w:color w:val="000000" w:themeColor="text1"/>
          <w:sz w:val="16"/>
          <w:szCs w:val="16"/>
        </w:rPr>
        <w:softHyphen/>
        <w:t>ших глубинных бомб (до 34) и добавили бомбомет БМБ-1, снизив количество принимаемых на палубу мин до 16 (1926 г. или КБ-3). После модернизации нормальное водоизмещение возросло до 560—590 т, что потребовало организационных мер по сохранению остойчивости.</w:t>
      </w:r>
    </w:p>
    <w:p w14:paraId="1EA51A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войны на сторожевиках вместо 45-мм пушек поста</w:t>
      </w:r>
      <w:r w:rsidRPr="00E14102">
        <w:rPr>
          <w:color w:val="000000" w:themeColor="text1"/>
          <w:sz w:val="16"/>
          <w:szCs w:val="16"/>
        </w:rPr>
        <w:softHyphen/>
        <w:t>вили 37-мм автоматы 70К (до трех), это вооружение дополнялось тремя спаренными пулеметами ДШК.</w:t>
      </w:r>
    </w:p>
    <w:p w14:paraId="3EE328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"Ураган", "Гроза" и "Смерч" встретили войну в составе Северно</w:t>
      </w:r>
      <w:r w:rsidRPr="00E14102">
        <w:rPr>
          <w:color w:val="000000" w:themeColor="text1"/>
          <w:sz w:val="16"/>
          <w:szCs w:val="16"/>
        </w:rPr>
        <w:softHyphen/>
        <w:t>го флота, куда они перешли по Беломорско-Балтийскому каналу в 1933—1934 гг. На Севере, так же как на Балтике и Черном море, они использовались весьма интенсивно, решая задачи, аналогич</w:t>
      </w:r>
      <w:r w:rsidRPr="00E14102">
        <w:rPr>
          <w:color w:val="000000" w:themeColor="text1"/>
          <w:sz w:val="16"/>
          <w:szCs w:val="16"/>
        </w:rPr>
        <w:softHyphen/>
        <w:t>ные задачам эсминцев, но с добавлением траления мин загражде</w:t>
      </w:r>
      <w:r w:rsidRPr="00E14102">
        <w:rPr>
          <w:color w:val="000000" w:themeColor="text1"/>
          <w:sz w:val="16"/>
          <w:szCs w:val="16"/>
        </w:rPr>
        <w:softHyphen/>
        <w:t>ния. "Тайфун" в 1944 г. в Ленинграде даже переоборудовали в быст</w:t>
      </w:r>
      <w:r w:rsidRPr="00E14102">
        <w:rPr>
          <w:color w:val="000000" w:themeColor="text1"/>
          <w:sz w:val="16"/>
          <w:szCs w:val="16"/>
        </w:rPr>
        <w:softHyphen/>
        <w:t>роходный тральщик со снятием торпедного аппарата.</w:t>
      </w:r>
    </w:p>
    <w:p w14:paraId="2BA2E5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 войны показал, что взрывы мин заграждения и авиабомб калибром 100 кг и выше наносят сравнительно небольшим кораб</w:t>
      </w:r>
      <w:r w:rsidRPr="00E14102">
        <w:rPr>
          <w:color w:val="000000" w:themeColor="text1"/>
          <w:sz w:val="16"/>
          <w:szCs w:val="16"/>
        </w:rPr>
        <w:softHyphen/>
        <w:t>лям типа "Ураган" гибельные повреждения. На Балтике от подрыва на минах погибли "Снег", "Циклон" и "Буря". Авиабомбами бьыи потоплены "Вихрь", "Пурга" (на Ладоге) и "Ураган" (на Севере). Три последних корабля удалось поднять и восстановить. После войны оставшиеся на всех четырех флотах сторожевики служили в строю до середины 50-х гг. (3898).</w:t>
      </w:r>
    </w:p>
    <w:p w14:paraId="233EA8BF" w14:textId="77777777" w:rsidR="00D4105E" w:rsidRPr="00E14102" w:rsidRDefault="00D4105E" w:rsidP="00E14102">
      <w:pPr>
        <w:autoSpaceDE w:val="0"/>
        <w:autoSpaceDN w:val="0"/>
        <w:adjustRightInd w:val="0"/>
        <w:jc w:val="both"/>
        <w:rPr>
          <w:color w:val="000000" w:themeColor="text1"/>
          <w:sz w:val="16"/>
          <w:szCs w:val="16"/>
        </w:rPr>
      </w:pPr>
    </w:p>
    <w:p w14:paraId="35DC60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апреле 1 935 года проводились повторные испытания опытного образца артсистемы Б-13 для лидеров, хотя тогда она все еще не была полностью укомплектована: отсутствовали щит, штатная система эжекции и так далее; кроме того, орудие не было уравновешено на станке. При отстреле выяснилось, что досылатель не удовлетворяет техническим тре­бованиям, так как его работа зависела от длины отката. Но командование ВМС торопилось с введением лидеров в строй и поэтому, не­смотря на имевшиеся недостатки, после проведения испытаний артиллерийскую ус­тановку все же приняли на вооружение и в 1935 году запустили в серийное </w:t>
      </w:r>
      <w:r w:rsidRPr="00E14102">
        <w:rPr>
          <w:color w:val="000000" w:themeColor="text1"/>
          <w:sz w:val="16"/>
          <w:szCs w:val="16"/>
        </w:rPr>
        <w:lastRenderedPageBreak/>
        <w:t>производ­ство. Из 12 палубных установок Б-13 1-й серии, еще не освоенных промышленнос­тью, но сданных заводом «Большевик» фло­ту в том же году, пять установили на спу­щенный на воду еще два года назад голов­ной лидер «Ленинград». В результате эти артустановки длительное время дорабаты­вались как на полигоне, так и на кораблях: в августе 1935 года, еще до начала их поли­гонных испытаний, приступили к корабель­ным. Полигонные испытания Б-13 были за­вершены в марте, а корабельные — летом 1 936 года. Однако далее, по свидетельству архив­ных документов, «установки, имевшие ряд конструктивных недостатков вследствие вре­дительства, были забракованы». Несмотря на то, что опытно-конструкторский задел до­стигал 100%, поступление этой достаточно эффективной системы на флот задержалось на целых четыре года. Для проведения доработок в условиях зловещей атмосферы «борьбы с вредитель­ством» и политических репрессий привлек­ли также специалистов АНИМИ и НИМАП, которые активно взялись за устранение не­достатков и дефектов артсистем Б-13 1-й серии. В результате доработки Б-1 3 стала полностью отвечать требованиям к корабельной артиллерии того времени: при ми­нимальных габаритах и массе, она обеспе­чивала высокую начальную скорость сна­ряда (870 м/с), максимально возможные (для данного калибра, ствола, снаряда) дальность (139 кб) и точность стрельбы, хо­рошую скорострельность, плавность наведе­ния и высокую живучесть ствола. Значитель­ные упрощения конструкции позволили по­высить надежность артустановки. Результаты серии опытов (применение углубленной на­резки, флегматизаторов и так далее) позво­лили увеличить живучесть орудийных ство­лов до 1 000 выстрелов. Оценивая опыт боевых действий на море во время гражданской войны в Испании, советское военно-морское руководство сделало вывод о возросшей угрозе штур­мовой авиации и сочло необходимым на кораблях следующих проектов обеспечить защиту личного состава на верхней палубе бронированием рубки и башен, чтобы свес­ти к минимуму количество потерь. Реализа­ция этой концепции вылилась в создание ба­шен главного калибра сначала для лидеров, а затем — для эсминцев (11866).</w:t>
      </w:r>
    </w:p>
    <w:p w14:paraId="625FD8E7" w14:textId="77777777" w:rsidR="00D4105E" w:rsidRPr="00E14102" w:rsidRDefault="00D4105E" w:rsidP="00E14102">
      <w:pPr>
        <w:autoSpaceDE w:val="0"/>
        <w:autoSpaceDN w:val="0"/>
        <w:adjustRightInd w:val="0"/>
        <w:jc w:val="both"/>
        <w:rPr>
          <w:color w:val="000000" w:themeColor="text1"/>
          <w:sz w:val="16"/>
          <w:szCs w:val="16"/>
        </w:rPr>
      </w:pPr>
    </w:p>
    <w:p w14:paraId="121101B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17C981D" w14:textId="77777777" w:rsidR="00D4105E" w:rsidRPr="00E14102" w:rsidRDefault="00D4105E" w:rsidP="00E14102">
      <w:pPr>
        <w:autoSpaceDE w:val="0"/>
        <w:autoSpaceDN w:val="0"/>
        <w:adjustRightInd w:val="0"/>
        <w:jc w:val="both"/>
        <w:rPr>
          <w:iCs/>
          <w:color w:val="000000" w:themeColor="text1"/>
          <w:sz w:val="16"/>
          <w:szCs w:val="16"/>
        </w:rPr>
      </w:pPr>
    </w:p>
    <w:p w14:paraId="13E44B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маю 1935 года работы по машине АНТ-42 продвинулись достаточно далеко. Некоторые бригады были уже близки к завершению рабочих чертежей (7685).</w:t>
      </w:r>
    </w:p>
    <w:p w14:paraId="3842AB0E" w14:textId="77777777" w:rsidR="00D4105E" w:rsidRPr="00E14102" w:rsidRDefault="00D4105E" w:rsidP="00E14102">
      <w:pPr>
        <w:autoSpaceDE w:val="0"/>
        <w:autoSpaceDN w:val="0"/>
        <w:adjustRightInd w:val="0"/>
        <w:jc w:val="both"/>
        <w:rPr>
          <w:color w:val="000000" w:themeColor="text1"/>
          <w:sz w:val="16"/>
          <w:szCs w:val="16"/>
        </w:rPr>
      </w:pPr>
    </w:p>
    <w:p w14:paraId="70A902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маю 1935 г. некоторые бригады были уже близки к завершению рабочих чертежей (11996).</w:t>
      </w:r>
    </w:p>
    <w:p w14:paraId="1ED71D28" w14:textId="77777777" w:rsidR="00D4105E" w:rsidRPr="00E14102" w:rsidRDefault="00D4105E" w:rsidP="00E14102">
      <w:pPr>
        <w:autoSpaceDE w:val="0"/>
        <w:autoSpaceDN w:val="0"/>
        <w:adjustRightInd w:val="0"/>
        <w:jc w:val="both"/>
        <w:rPr>
          <w:color w:val="000000" w:themeColor="text1"/>
          <w:sz w:val="16"/>
          <w:szCs w:val="16"/>
        </w:rPr>
      </w:pPr>
    </w:p>
    <w:p w14:paraId="3D8637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маю 1935 г. второй самолет К-7 был готов примерно на 60%. Ставился вопрос о возможности постройки серии К-7 на новом заводе № 18 в Воронеже. Однако после катастрофы "Максима Горького" работы по самолетам-гигантам приостановили, затем опять выдали средства на их продолжение. Но вскоре пришли к выводу, что самолет Калинина не имеет существенных преимуществ по сравнению с более доведенным МГ. Да и само отношение к гигантским бомбовозам стало меняться (12036).</w:t>
      </w:r>
    </w:p>
    <w:p w14:paraId="6108939B" w14:textId="77777777" w:rsidR="00D4105E" w:rsidRPr="00E14102" w:rsidRDefault="00D4105E" w:rsidP="00E14102">
      <w:pPr>
        <w:autoSpaceDE w:val="0"/>
        <w:autoSpaceDN w:val="0"/>
        <w:adjustRightInd w:val="0"/>
        <w:jc w:val="both"/>
        <w:rPr>
          <w:color w:val="000000" w:themeColor="text1"/>
          <w:sz w:val="16"/>
          <w:szCs w:val="16"/>
        </w:rPr>
      </w:pPr>
    </w:p>
    <w:p w14:paraId="6A1A932B" w14:textId="77777777" w:rsidR="002D7575" w:rsidRPr="00E14102" w:rsidRDefault="002D7575" w:rsidP="00E14102">
      <w:pPr>
        <w:jc w:val="both"/>
        <w:rPr>
          <w:color w:val="0070C0"/>
          <w:sz w:val="16"/>
          <w:szCs w:val="16"/>
        </w:rPr>
      </w:pPr>
      <w:r w:rsidRPr="00E14102">
        <w:rPr>
          <w:color w:val="0070C0"/>
          <w:sz w:val="16"/>
          <w:szCs w:val="16"/>
        </w:rPr>
        <w:t>К маю 1935 г. завод № 18 построил К-7 № 2 на 60%, но в это время произошла катастрофа самолета АНТ-20 и работы были остановлены как по АНТ-20 и АНТ-16, так и по К-7. Но Постановлением СТО СССР от 04.08.35 г. (подписал член Политбюро ЦК ВКП(б) В.Я. Чубарь) КБ Калинина (завод № 18) было выделено 500000 руб. из фонда Максима Горького на завершение проектирование и достройку самолета К-7 6М-34ФРН № 2 (23098).</w:t>
      </w:r>
    </w:p>
    <w:p w14:paraId="188CC01A" w14:textId="77777777" w:rsidR="002D7575" w:rsidRPr="00E14102" w:rsidRDefault="002D7575" w:rsidP="00E14102">
      <w:pPr>
        <w:jc w:val="both"/>
        <w:rPr>
          <w:color w:val="0070C0"/>
          <w:sz w:val="16"/>
          <w:szCs w:val="16"/>
        </w:rPr>
      </w:pPr>
    </w:p>
    <w:p w14:paraId="211380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Первомаю 1935 г. первый опытный образец ДИ-6, который после предварительных госиспытания, законченных 25 декабря 1934, отправили на завод № 39 для доработки, вернулся в НИИ ВВС. На этот раз летчики П.Я. Федрови и В.А. Степанченок проводили более обстоятельные испытания, которые продолжались с 27 мая по 21 ноября. За 24 летных дня было выполнено 175 полетов с общим налетом 42 ч. Львиная доля времени, три месяца и десять дней, ушла на очередные заводские доработки самолета.</w:t>
      </w:r>
    </w:p>
    <w:p w14:paraId="043CE8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Итогом госиспытаний стало общее положительное мнение о новом истребителе у испытательной бригады и руководства института. После доработок максимальная скорость несколько повысилась и достигла до 385 км/ч на высоте 3000 м. Маневренность сочли хорошей для двухместного самолета, также как и устойчивость на пикировании.</w:t>
      </w:r>
    </w:p>
    <w:p w14:paraId="2FBFE7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Крыльевые пулеметные установки работали безотказно. Управление пулеметами и прицеливание удобное. Интересна оценка качества изготовления: "Производственное выполнение самолета в целом хорошее".</w:t>
      </w:r>
    </w:p>
    <w:p w14:paraId="702582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испытаниях вооружения ДИ-6 летчики-испытатели отрабатывали и тактические приемы применения новой машины. Несколько страниц отчета об испытаниях занимают красочные схемы построения атак воздушных целей и обороны от истребителей противника, убедительно доказывающие тактические преимущества двухместного самолета.</w:t>
      </w:r>
    </w:p>
    <w:p w14:paraId="6A0664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новая техника не бывает без недостатков, и ДИ-6 не стал исключением из правил. Некоторые огрехи так и не были устранены. Заднюю огневую точку объявили непригодной. В отчете записали: "Вследствие крайне ограниченных углов обстрела и затруднительного маневрирования пулеметной установкой легко можно прострелить оперение самолета". Более того, конструкция установки не обеспечивала достаточно легкого движения стволом и безотказной работы пулемета. Положение стрелка сочли "неудобным и напряженным". Поскольку в полете он практически не мог двигаться, наступало быстрое утомление. Претензии участников испытаний к неудовлетворительной конструкции задней огневой точки можно понять-она делала боеспособность двухместного истребителя ограниченной, а стрелка-безучастным свидетелем отдельных эпизодов воздушного боя.</w:t>
      </w:r>
    </w:p>
    <w:p w14:paraId="123836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Вновь поставили вопрос о чрезмерной сложности управления подъемным механизмом шасси.</w:t>
      </w:r>
    </w:p>
    <w:p w14:paraId="11895A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Продолжала существовать проблема вибраций. Более того, она стала еще существенней. Теперь консоли верхнего и нижнего крыла тряслись в полете практически на всех режимах работы мотора, особенно сильно в диапазоне от 1400 до 1600 об/мин. Была выявлена также вибрация хвостового оперения при полетах на больших углах атаки.</w:t>
      </w:r>
    </w:p>
    <w:p w14:paraId="5D5867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этих испытаниях в программу входили ночные полеты. Оказалось, что в темноте ДИ-6 пилотировать трудно, а вести прицельную стрельбу вперед-вообще невозможно. Пламя из выхлопных патрубков ослепляло летчика, что было особенно опасно на посадке. Отсветы мешали пользоваться и оптическим прицелом. Маленький козырек передней кабины не защищал летчика от набегающего потока воздуха, в результате фюзеляж продувался насквозь, и экипаж замерзал в полете.</w:t>
      </w:r>
    </w:p>
    <w:p w14:paraId="239004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Как и прежде, отсутствовала надежная переговорная и зрительная связь между членами экипажа. Стрелок с парашютом лишь с большим трудом мог покинуть самолет в аварийной ситуации, Открывалась только левая половина экрана (фонаря) его кабины.</w:t>
      </w:r>
    </w:p>
    <w:p w14:paraId="670BF8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меньше замечаний набралось к удобству обслуживания самолета на земле у технического состава. Критиковали затрудненность доступа к отдельным узлам и агрегатам, значительное время, уходившее на их установку и демонтаж.</w:t>
      </w:r>
    </w:p>
    <w:p w14:paraId="5153DC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 не менее машину решили запустить в серийное производство как ДИ-6М-25 (по нормам того времени, в полном обозначении самолета обязательно указывался тип двигателя). Начальник ВВС РККА командарм 2-го ранга Я.И. Алкснис подписал акт по утверждению результатов государственных испытаний, в котором говорилось: "Просить Начальника ГУАПа обязать завод № 39 выпустить в кратчайший срок один из 10 самолетов ДИ-6М-25, заказанных УВВС для войсковых испытаний, как образец для заказа ДИ-6М-25 (двухместный истребитель) на 1936 г." (11992).</w:t>
      </w:r>
    </w:p>
    <w:p w14:paraId="1949D37A" w14:textId="77777777" w:rsidR="00D4105E" w:rsidRPr="00E14102" w:rsidRDefault="00D4105E" w:rsidP="00E14102">
      <w:pPr>
        <w:autoSpaceDE w:val="0"/>
        <w:autoSpaceDN w:val="0"/>
        <w:adjustRightInd w:val="0"/>
        <w:jc w:val="both"/>
        <w:rPr>
          <w:color w:val="000000" w:themeColor="text1"/>
          <w:sz w:val="16"/>
          <w:szCs w:val="16"/>
        </w:rPr>
      </w:pPr>
    </w:p>
    <w:p w14:paraId="4042BB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празднику 1-го Мая 1935 г. Воронежский завод выпустил первые моторы М-11 собственной сборки. К концу года число выпущенных моторов достигло 415, из них 200 моторов было собрано из деталей завода № 29. Уже в 1936 г. объем производства моторов М-11 достиг 2595 моторов и годовой план был выполнен на 108% (12049).</w:t>
      </w:r>
    </w:p>
    <w:p w14:paraId="5B23B2F9" w14:textId="77777777" w:rsidR="00D4105E" w:rsidRPr="00E14102" w:rsidRDefault="00D4105E" w:rsidP="00E14102">
      <w:pPr>
        <w:autoSpaceDE w:val="0"/>
        <w:autoSpaceDN w:val="0"/>
        <w:adjustRightInd w:val="0"/>
        <w:jc w:val="both"/>
        <w:rPr>
          <w:color w:val="000000" w:themeColor="text1"/>
          <w:sz w:val="16"/>
          <w:szCs w:val="16"/>
        </w:rPr>
      </w:pPr>
    </w:p>
    <w:p w14:paraId="405F7F0C" w14:textId="77777777" w:rsidR="002D7575" w:rsidRPr="00E14102" w:rsidRDefault="002D7575" w:rsidP="00E14102">
      <w:pPr>
        <w:jc w:val="both"/>
        <w:rPr>
          <w:color w:val="0070C0"/>
          <w:sz w:val="16"/>
          <w:szCs w:val="16"/>
        </w:rPr>
      </w:pPr>
      <w:r w:rsidRPr="00E14102">
        <w:rPr>
          <w:color w:val="0070C0"/>
          <w:sz w:val="16"/>
          <w:szCs w:val="16"/>
        </w:rPr>
        <w:t>К маю 1935 г. уже разместили заказы на изготовление элементов стратостата «Осоавиахим-2» или «ОСАХ-2», но постройку «Осоави ахима-2» прекратили по требованию Г.А. Про</w:t>
      </w:r>
      <w:r w:rsidRPr="00E14102">
        <w:rPr>
          <w:color w:val="0070C0"/>
          <w:sz w:val="16"/>
          <w:szCs w:val="16"/>
        </w:rPr>
        <w:softHyphen/>
        <w:t>кофьева.</w:t>
      </w:r>
    </w:p>
    <w:p w14:paraId="2A99BDBC" w14:textId="77777777" w:rsidR="002D7575" w:rsidRPr="00E14102" w:rsidRDefault="002D7575" w:rsidP="00E14102">
      <w:pPr>
        <w:jc w:val="both"/>
        <w:rPr>
          <w:color w:val="0070C0"/>
          <w:sz w:val="16"/>
          <w:szCs w:val="16"/>
        </w:rPr>
      </w:pPr>
      <w:r w:rsidRPr="00E14102">
        <w:rPr>
          <w:color w:val="0070C0"/>
          <w:sz w:val="16"/>
          <w:szCs w:val="16"/>
        </w:rPr>
        <w:t>Стратостат «Осоавиахим-2» и завершение со</w:t>
      </w:r>
      <w:r w:rsidRPr="00E14102">
        <w:rPr>
          <w:color w:val="0070C0"/>
          <w:sz w:val="16"/>
          <w:szCs w:val="16"/>
        </w:rPr>
        <w:softHyphen/>
        <w:t>ветской стратосферной программы. После гибе</w:t>
      </w:r>
      <w:r w:rsidRPr="00E14102">
        <w:rPr>
          <w:color w:val="0070C0"/>
          <w:sz w:val="16"/>
          <w:szCs w:val="16"/>
        </w:rPr>
        <w:softHyphen/>
        <w:t>ли стратостата «Осоавиахим-1» («СОАХ-I») по решению ЦС Осоавиахима при ЛИИ ГВФ орга</w:t>
      </w:r>
      <w:r w:rsidRPr="00E14102">
        <w:rPr>
          <w:color w:val="0070C0"/>
          <w:sz w:val="16"/>
          <w:szCs w:val="16"/>
        </w:rPr>
        <w:softHyphen/>
        <w:t>низовали научно-техническое бюро по освоению стратосферы, основной задачей которого стало проектирование и строительство нового стра</w:t>
      </w:r>
      <w:r w:rsidRPr="00E14102">
        <w:rPr>
          <w:color w:val="0070C0"/>
          <w:sz w:val="16"/>
          <w:szCs w:val="16"/>
        </w:rPr>
        <w:softHyphen/>
        <w:t>тостата «Осоавиахим-2» или «ОСАХ-2». При бюро создали консультационный учёный совет под председательством академика С.И. Вавилова, в который вошёл ряд видных учёных и инжене</w:t>
      </w:r>
      <w:r w:rsidRPr="00E14102">
        <w:rPr>
          <w:color w:val="0070C0"/>
          <w:sz w:val="16"/>
          <w:szCs w:val="16"/>
        </w:rPr>
        <w:softHyphen/>
        <w:t>ров Ленинграда. Главным конструктором страто</w:t>
      </w:r>
      <w:r w:rsidRPr="00E14102">
        <w:rPr>
          <w:color w:val="0070C0"/>
          <w:sz w:val="16"/>
          <w:szCs w:val="16"/>
        </w:rPr>
        <w:softHyphen/>
        <w:t>стата был Е.Е. Чертовской.</w:t>
      </w:r>
    </w:p>
    <w:p w14:paraId="6710AEFC" w14:textId="77777777" w:rsidR="002D7575" w:rsidRPr="00E14102" w:rsidRDefault="002D7575" w:rsidP="00E14102">
      <w:pPr>
        <w:jc w:val="both"/>
        <w:rPr>
          <w:color w:val="0070C0"/>
          <w:sz w:val="16"/>
          <w:szCs w:val="16"/>
        </w:rPr>
      </w:pPr>
      <w:r w:rsidRPr="00E14102">
        <w:rPr>
          <w:color w:val="0070C0"/>
          <w:sz w:val="16"/>
          <w:szCs w:val="16"/>
        </w:rPr>
        <w:t>Бюро разработало проект стратостата с объ</w:t>
      </w:r>
      <w:r w:rsidRPr="00E14102">
        <w:rPr>
          <w:color w:val="0070C0"/>
          <w:sz w:val="16"/>
          <w:szCs w:val="16"/>
        </w:rPr>
        <w:softHyphen/>
        <w:t>ёмом оболочки 52 340 м3, предназначавше</w:t>
      </w:r>
      <w:r w:rsidRPr="00E14102">
        <w:rPr>
          <w:color w:val="0070C0"/>
          <w:sz w:val="16"/>
          <w:szCs w:val="16"/>
        </w:rPr>
        <w:softHyphen/>
        <w:t>гося для систематических научных подъёмов до высоты 22-23 км. При разработке проекта проводились многочисленные испытания и ис</w:t>
      </w:r>
      <w:r w:rsidRPr="00E14102">
        <w:rPr>
          <w:color w:val="0070C0"/>
          <w:sz w:val="16"/>
          <w:szCs w:val="16"/>
        </w:rPr>
        <w:softHyphen/>
        <w:t>следования как материалов (например, на за</w:t>
      </w:r>
      <w:r w:rsidRPr="00E14102">
        <w:rPr>
          <w:color w:val="0070C0"/>
          <w:sz w:val="16"/>
          <w:szCs w:val="16"/>
        </w:rPr>
        <w:softHyphen/>
        <w:t>воде «Промтехника» выработали специальную ткань для оболочки), так и конструкций стра</w:t>
      </w:r>
      <w:r w:rsidRPr="00E14102">
        <w:rPr>
          <w:color w:val="0070C0"/>
          <w:sz w:val="16"/>
          <w:szCs w:val="16"/>
        </w:rPr>
        <w:softHyphen/>
        <w:t>тостата в условиях, близких к условиям полёта, вплоть до серии гидростатических и аэродина</w:t>
      </w:r>
      <w:r w:rsidRPr="00E14102">
        <w:rPr>
          <w:color w:val="0070C0"/>
          <w:sz w:val="16"/>
          <w:szCs w:val="16"/>
        </w:rPr>
        <w:softHyphen/>
        <w:t>мических испытаний моделей. Прорабатыва</w:t>
      </w:r>
      <w:r w:rsidRPr="00E14102">
        <w:rPr>
          <w:color w:val="0070C0"/>
          <w:sz w:val="16"/>
          <w:szCs w:val="16"/>
        </w:rPr>
        <w:softHyphen/>
        <w:t>лись различные варианты гондолы. По одно</w:t>
      </w:r>
      <w:r w:rsidRPr="00E14102">
        <w:rPr>
          <w:color w:val="0070C0"/>
          <w:sz w:val="16"/>
          <w:szCs w:val="16"/>
        </w:rPr>
        <w:softHyphen/>
        <w:t>му из них стратостат имел открытую гондолу, а сами пилоты находились в скафандрах. Рас</w:t>
      </w:r>
      <w:r w:rsidRPr="00E14102">
        <w:rPr>
          <w:color w:val="0070C0"/>
          <w:sz w:val="16"/>
          <w:szCs w:val="16"/>
        </w:rPr>
        <w:softHyphen/>
        <w:t>сматривалась возможность разработки и гер</w:t>
      </w:r>
      <w:r w:rsidRPr="00E14102">
        <w:rPr>
          <w:color w:val="0070C0"/>
          <w:sz w:val="16"/>
          <w:szCs w:val="16"/>
        </w:rPr>
        <w:softHyphen/>
        <w:t>метической гондолы со шлюзом для выхода в стратосферу пилотов в скафандрах75. Управ</w:t>
      </w:r>
      <w:r w:rsidRPr="00E14102">
        <w:rPr>
          <w:color w:val="0070C0"/>
          <w:sz w:val="16"/>
          <w:szCs w:val="16"/>
        </w:rPr>
        <w:softHyphen/>
        <w:t>ление стратостатом максимально автоматизи</w:t>
      </w:r>
      <w:r w:rsidRPr="00E14102">
        <w:rPr>
          <w:color w:val="0070C0"/>
          <w:sz w:val="16"/>
          <w:szCs w:val="16"/>
        </w:rPr>
        <w:softHyphen/>
        <w:t>ровали.</w:t>
      </w:r>
    </w:p>
    <w:p w14:paraId="0615E3A6" w14:textId="77777777" w:rsidR="002D7575" w:rsidRPr="00E14102" w:rsidRDefault="002D7575" w:rsidP="00E14102">
      <w:pPr>
        <w:jc w:val="both"/>
        <w:rPr>
          <w:color w:val="0070C0"/>
          <w:sz w:val="16"/>
          <w:szCs w:val="16"/>
        </w:rPr>
      </w:pPr>
      <w:r w:rsidRPr="00E14102">
        <w:rPr>
          <w:color w:val="0070C0"/>
          <w:sz w:val="16"/>
          <w:szCs w:val="16"/>
        </w:rPr>
        <w:t>Проектировщики стратостата стремились избежать ошибок «Осоавиахим-1». Изменилась конструкция подвесной системы: купол обо</w:t>
      </w:r>
      <w:r w:rsidRPr="00E14102">
        <w:rPr>
          <w:color w:val="0070C0"/>
          <w:sz w:val="16"/>
          <w:szCs w:val="16"/>
        </w:rPr>
        <w:softHyphen/>
        <w:t>лочки оканчивался 24 параболическими выреза</w:t>
      </w:r>
      <w:r w:rsidRPr="00E14102">
        <w:rPr>
          <w:color w:val="0070C0"/>
          <w:sz w:val="16"/>
          <w:szCs w:val="16"/>
        </w:rPr>
        <w:softHyphen/>
        <w:t>ми, в которые был заделан шнур, образующий 24 петли. Материал системы — ленты, прикле</w:t>
      </w:r>
      <w:r w:rsidRPr="00E14102">
        <w:rPr>
          <w:color w:val="0070C0"/>
          <w:sz w:val="16"/>
          <w:szCs w:val="16"/>
        </w:rPr>
        <w:softHyphen/>
        <w:t>енные к оболочке, переходившие ниже экватора в верёвочные стропы.</w:t>
      </w:r>
    </w:p>
    <w:p w14:paraId="10CB1294" w14:textId="77777777" w:rsidR="002D7575" w:rsidRPr="00E14102" w:rsidRDefault="002D7575" w:rsidP="00E14102">
      <w:pPr>
        <w:jc w:val="both"/>
        <w:rPr>
          <w:color w:val="0070C0"/>
          <w:sz w:val="16"/>
          <w:szCs w:val="16"/>
        </w:rPr>
      </w:pPr>
      <w:r w:rsidRPr="00E14102">
        <w:rPr>
          <w:color w:val="0070C0"/>
          <w:sz w:val="16"/>
          <w:szCs w:val="16"/>
        </w:rPr>
        <w:t>Гондола унаследовала элементы конструкции как «Осоавиахим-1» (оболочка гондолы име</w:t>
      </w:r>
      <w:r w:rsidRPr="00E14102">
        <w:rPr>
          <w:color w:val="0070C0"/>
          <w:sz w:val="16"/>
          <w:szCs w:val="16"/>
        </w:rPr>
        <w:softHyphen/>
        <w:t>ет каркас, образованный сваркой между собой 10 трубчатых вертикальных полуколец и 5 го</w:t>
      </w:r>
      <w:r w:rsidRPr="00E14102">
        <w:rPr>
          <w:color w:val="0070C0"/>
          <w:sz w:val="16"/>
          <w:szCs w:val="16"/>
        </w:rPr>
        <w:softHyphen/>
        <w:t>ризонтальных колец), так и «СССР-1» (6 верти</w:t>
      </w:r>
      <w:r w:rsidRPr="00E14102">
        <w:rPr>
          <w:color w:val="0070C0"/>
          <w:sz w:val="16"/>
          <w:szCs w:val="16"/>
        </w:rPr>
        <w:softHyphen/>
        <w:t>кальных трубчатых стальных стоек, проходя</w:t>
      </w:r>
      <w:r w:rsidRPr="00E14102">
        <w:rPr>
          <w:color w:val="0070C0"/>
          <w:sz w:val="16"/>
          <w:szCs w:val="16"/>
        </w:rPr>
        <w:softHyphen/>
        <w:t xml:space="preserve">щих сквозь оболочку и оканчивающихся вверху </w:t>
      </w:r>
      <w:r w:rsidRPr="00E14102">
        <w:rPr>
          <w:color w:val="0070C0"/>
          <w:sz w:val="16"/>
          <w:szCs w:val="16"/>
        </w:rPr>
        <w:lastRenderedPageBreak/>
        <w:t>специальными узлами для подвески). Оболочку гондолы закрепили на вертикальных стойках фланцами. Внизу стойки шарнирно соединялись наконечниками с узлами фермы пола. Люк гон</w:t>
      </w:r>
      <w:r w:rsidRPr="00E14102">
        <w:rPr>
          <w:color w:val="0070C0"/>
          <w:sz w:val="16"/>
          <w:szCs w:val="16"/>
        </w:rPr>
        <w:softHyphen/>
        <w:t>долы мог быть открыт экипажем за несколько секунд. Клапан управлялся пневматическим ме</w:t>
      </w:r>
      <w:r w:rsidRPr="00E14102">
        <w:rPr>
          <w:color w:val="0070C0"/>
          <w:sz w:val="16"/>
          <w:szCs w:val="16"/>
        </w:rPr>
        <w:softHyphen/>
        <w:t>ханизмом.</w:t>
      </w:r>
    </w:p>
    <w:p w14:paraId="59945EE1" w14:textId="77777777" w:rsidR="002D7575" w:rsidRPr="00E14102" w:rsidRDefault="002D7575" w:rsidP="00E14102">
      <w:pPr>
        <w:jc w:val="both"/>
        <w:rPr>
          <w:color w:val="0070C0"/>
          <w:sz w:val="16"/>
          <w:szCs w:val="16"/>
        </w:rPr>
      </w:pPr>
      <w:r w:rsidRPr="00E14102">
        <w:rPr>
          <w:color w:val="0070C0"/>
          <w:sz w:val="16"/>
          <w:szCs w:val="16"/>
        </w:rPr>
        <w:t>Как вспоминал Е.Е. Чертовской «моти</w:t>
      </w:r>
      <w:r w:rsidRPr="00E14102">
        <w:rPr>
          <w:color w:val="0070C0"/>
          <w:sz w:val="16"/>
          <w:szCs w:val="16"/>
        </w:rPr>
        <w:softHyphen/>
        <w:t>вом для этого якобы послужила необходимость сосредоточить всю работу в одном месте, т. е. у Прокофьева». Все проектные материалы и ма</w:t>
      </w:r>
      <w:r w:rsidRPr="00E14102">
        <w:rPr>
          <w:color w:val="0070C0"/>
          <w:sz w:val="16"/>
          <w:szCs w:val="16"/>
        </w:rPr>
        <w:softHyphen/>
        <w:t>териалы исследований передали в ОИВД.В 1937 г. «Осоавиахим-2» всё же построи</w:t>
      </w:r>
      <w:r w:rsidRPr="00E14102">
        <w:rPr>
          <w:color w:val="0070C0"/>
          <w:sz w:val="16"/>
          <w:szCs w:val="16"/>
        </w:rPr>
        <w:softHyphen/>
        <w:t>ли. Его оболочку объёмом 60 000 м3 изготовили в Кунцеве. В какой степени в его конструкции использовались проработки ленинградцев, ав</w:t>
      </w:r>
      <w:r w:rsidRPr="00E14102">
        <w:rPr>
          <w:color w:val="0070C0"/>
          <w:sz w:val="16"/>
          <w:szCs w:val="16"/>
        </w:rPr>
        <w:softHyphen/>
        <w:t>торам неизвестно, но это был один из лучших по оснащённости стратостатов. Герметическую гондолу оборудовали вариометром, двумя вы</w:t>
      </w:r>
      <w:r w:rsidRPr="00E14102">
        <w:rPr>
          <w:color w:val="0070C0"/>
          <w:sz w:val="16"/>
          <w:szCs w:val="16"/>
        </w:rPr>
        <w:softHyphen/>
        <w:t>сотомерами, тремя спиртовыми термометрами, два из которых располагались снаружи, баро</w:t>
      </w:r>
      <w:r w:rsidRPr="00E14102">
        <w:rPr>
          <w:color w:val="0070C0"/>
          <w:sz w:val="16"/>
          <w:szCs w:val="16"/>
        </w:rPr>
        <w:softHyphen/>
        <w:t>метром-анероидом, баротермографом, кисло</w:t>
      </w:r>
      <w:r w:rsidRPr="00E14102">
        <w:rPr>
          <w:color w:val="0070C0"/>
          <w:sz w:val="16"/>
          <w:szCs w:val="16"/>
        </w:rPr>
        <w:softHyphen/>
        <w:t>родным оборудованием. Два члена экипажа мог</w:t>
      </w:r>
      <w:r w:rsidRPr="00E14102">
        <w:rPr>
          <w:color w:val="0070C0"/>
          <w:sz w:val="16"/>
          <w:szCs w:val="16"/>
        </w:rPr>
        <w:softHyphen/>
        <w:t>ли получать до 90 л кислорода в час. Для поглоще</w:t>
      </w:r>
      <w:r w:rsidRPr="00E14102">
        <w:rPr>
          <w:color w:val="0070C0"/>
          <w:sz w:val="16"/>
          <w:szCs w:val="16"/>
        </w:rPr>
        <w:softHyphen/>
        <w:t>ния влаги применялся силикагель с хлористым кальцием, а для поглощения углекислоты — на</w:t>
      </w:r>
      <w:r w:rsidRPr="00E14102">
        <w:rPr>
          <w:color w:val="0070C0"/>
          <w:sz w:val="16"/>
          <w:szCs w:val="16"/>
        </w:rPr>
        <w:softHyphen/>
        <w:t>тронная известь (смесь гашёной извести и едко</w:t>
      </w:r>
      <w:r w:rsidRPr="00E14102">
        <w:rPr>
          <w:color w:val="0070C0"/>
          <w:sz w:val="16"/>
          <w:szCs w:val="16"/>
        </w:rPr>
        <w:softHyphen/>
        <w:t>го натра) специального приготовления. Вес гон</w:t>
      </w:r>
      <w:r w:rsidRPr="00E14102">
        <w:rPr>
          <w:color w:val="0070C0"/>
          <w:sz w:val="16"/>
          <w:szCs w:val="16"/>
        </w:rPr>
        <w:softHyphen/>
        <w:t>долы с экипажем и балластом составлял 1600 кг, оболочки — 1950 кг, строп — 240 кг. Верхнюю часть оболочки выполнили из двухслойного пер</w:t>
      </w:r>
      <w:r w:rsidRPr="00E14102">
        <w:rPr>
          <w:color w:val="0070C0"/>
          <w:sz w:val="16"/>
          <w:szCs w:val="16"/>
        </w:rPr>
        <w:softHyphen/>
        <w:t>каля, нижнюю — из однослойного.</w:t>
      </w:r>
    </w:p>
    <w:p w14:paraId="2C08B089" w14:textId="77777777" w:rsidR="002D7575" w:rsidRPr="00E14102" w:rsidRDefault="002D7575" w:rsidP="00E14102">
      <w:pPr>
        <w:jc w:val="both"/>
        <w:rPr>
          <w:color w:val="0070C0"/>
          <w:sz w:val="16"/>
          <w:szCs w:val="16"/>
        </w:rPr>
      </w:pPr>
      <w:r w:rsidRPr="00E14102">
        <w:rPr>
          <w:color w:val="0070C0"/>
          <w:sz w:val="16"/>
          <w:szCs w:val="16"/>
        </w:rPr>
        <w:t>Экипаж получил индивидуальные парашюты ПН-51 с кислородными баллонами, способными 18 минут обеспечивать дыхание спускающегося пилота. На случай отрыва оболочки гондолу обо</w:t>
      </w:r>
      <w:r w:rsidRPr="00E14102">
        <w:rPr>
          <w:color w:val="0070C0"/>
          <w:sz w:val="16"/>
          <w:szCs w:val="16"/>
        </w:rPr>
        <w:softHyphen/>
        <w:t>рудовали грузовым парашютом ПС-1.</w:t>
      </w:r>
    </w:p>
    <w:p w14:paraId="64694698" w14:textId="77777777" w:rsidR="002D7575" w:rsidRPr="00E14102" w:rsidRDefault="002D7575" w:rsidP="00E14102">
      <w:pPr>
        <w:jc w:val="both"/>
        <w:rPr>
          <w:color w:val="0070C0"/>
          <w:sz w:val="16"/>
          <w:szCs w:val="16"/>
        </w:rPr>
      </w:pPr>
      <w:r w:rsidRPr="00E14102">
        <w:rPr>
          <w:color w:val="0070C0"/>
          <w:sz w:val="16"/>
          <w:szCs w:val="16"/>
        </w:rPr>
        <w:t>Планировалось, что «Осоавиахим-2» превы</w:t>
      </w:r>
      <w:r w:rsidRPr="00E14102">
        <w:rPr>
          <w:color w:val="0070C0"/>
          <w:sz w:val="16"/>
          <w:szCs w:val="16"/>
        </w:rPr>
        <w:softHyphen/>
        <w:t>сит мировой рекорд высоты, установленный 11 ноября 1935 г. американским стратостатом «Explorer» (22 050 м). Запуск стратостата состоял</w:t>
      </w:r>
      <w:r w:rsidRPr="00E14102">
        <w:rPr>
          <w:color w:val="0070C0"/>
          <w:sz w:val="16"/>
          <w:szCs w:val="16"/>
        </w:rPr>
        <w:softHyphen/>
        <w:t>ся, однако, только через три года после его изго</w:t>
      </w:r>
      <w:r w:rsidRPr="00E14102">
        <w:rPr>
          <w:color w:val="0070C0"/>
          <w:sz w:val="16"/>
          <w:szCs w:val="16"/>
        </w:rPr>
        <w:softHyphen/>
        <w:t>товления (20120).</w:t>
      </w:r>
    </w:p>
    <w:p w14:paraId="35C6125B" w14:textId="77777777" w:rsidR="002D7575" w:rsidRPr="00E14102" w:rsidRDefault="002D7575" w:rsidP="00E14102">
      <w:pPr>
        <w:jc w:val="both"/>
        <w:rPr>
          <w:color w:val="0070C0"/>
          <w:sz w:val="16"/>
          <w:szCs w:val="16"/>
        </w:rPr>
      </w:pPr>
    </w:p>
    <w:p w14:paraId="0395E4D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8797CB4" w14:textId="77777777" w:rsidR="00D4105E" w:rsidRPr="00E14102" w:rsidRDefault="00D4105E" w:rsidP="00E14102">
      <w:pPr>
        <w:autoSpaceDE w:val="0"/>
        <w:autoSpaceDN w:val="0"/>
        <w:adjustRightInd w:val="0"/>
        <w:jc w:val="both"/>
        <w:rPr>
          <w:iCs/>
          <w:color w:val="000000" w:themeColor="text1"/>
          <w:sz w:val="16"/>
          <w:szCs w:val="16"/>
        </w:rPr>
      </w:pPr>
    </w:p>
    <w:p w14:paraId="57B1C2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мая 1935 г. закончилась сдача чертежей по ЦКБ-26 39-му заводу, которая проходила с 1 марта 1935 (9501).</w:t>
      </w:r>
    </w:p>
    <w:p w14:paraId="597AFD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Конструкцию нового самолета С. В. Ильюшин описывал следующим образом. "Самолет ББ-2 К-14 представляет собой моноплан с низкорасположенным крылом цельнометаллической конструкции. Фюзеляж на первый летный экземпляр самолета (ЦКБ-26 - авт.) делается целиком деревянным, каркас которого состоит из стрингеров, лонжеронов и поперечных клееных фанерных шпангоутов. Обшивка из фанерного шпона.</w:t>
      </w:r>
    </w:p>
    <w:p w14:paraId="5E6B21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Фюзеляж состоит из пяти продольных лонжеронов, системы стрингеров и поперечного набора, состоящих из клееных фанерных и деревянных рам. Покрытие фюзеляжа шпоном толщиной 4,5 мм и шесть слоев шпона. Киль составляет одно целое с фюзеляжем.</w:t>
      </w:r>
    </w:p>
    <w:p w14:paraId="4EE911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...Крыло состоит из пяти частей. Средняя часть центроплана жестко укреплена к фюзеляжу и составляет с ним одно целое. Размер центроплана таков, что он может вместе с фюзеляжем входить в габариты железной дороги....Таким образом, крыло состоит из центральной части и двух примыкающих к ней отсеков, на которых крепятся шасси и моторные установки и двух консолей. Крыло состоит из двух лонжеронов из закаленной хромансилевой стали форменного типа. Каркас крыла состоит из набора равносиловых нервюр и продольных стрингеров. В местах стыковки консолей и моторов к центроплану жесткая обшивка будет соединена, чтобы она работала на всем размахе. Обшивка гладкая с потайной клепкой. Нервюры и обшивка из супердюраля. Между продольной осью самолета и внутренними концами элеронов расположены щитки для уменьшения посадочной скорости. Профиль крыла CLARK-Y15. Толщина у корня крыла 16%, на конце крыла 10%. Разгрузка от шарнирных моментов достигается с помощью флетнеров".</w:t>
      </w:r>
    </w:p>
    <w:p w14:paraId="5E5865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Остальные элементы конструкции (моторная установка, шасси, костыль и т.д.) выполнялись так же, как и на самолете ДБ-3, конструкция которого неоднократно описывалась.</w:t>
      </w:r>
    </w:p>
    <w:p w14:paraId="004653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Особенностью бомбоотсека ЦКБ-26 (по проекту) являлась установка кассетных держателей для подвески десяти 100-кг бомб не на боковых стенках бортов фюзеляжа, а по оси самолета. На держатель, установленный на осевой нервюре, можно было подвешивать бомбу калибра 1000 кг, а на двух держателях, установленных на бортовых нервюрах, по одной бомбе калибра 500 кг.</w:t>
      </w:r>
    </w:p>
    <w:p w14:paraId="2503C9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Надо сказать, что сама конструкция самолета получилась довольно рациональной и легкой, но не лишенной ряда серьезных недостатков.</w:t>
      </w:r>
    </w:p>
    <w:p w14:paraId="1D57A2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частности, снижение массы крыла было достигнуто за счет использования цельнометаллической конструкции с гладко работающей при изгибе крыла тонкостенной обшивкой, а также за счет разгрузки его концевых частей топливными баками, выполненными в виде герметичных отсеков крыла (прообраз кессон-баков). Но как оказалось впоследствии, такая конструкция крыла привела и к снижению летно-бое-вых и эксплуатационных качеств самолета.</w:t>
      </w:r>
    </w:p>
    <w:p w14:paraId="460F66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 применение тонкой дюралевой обшивки крыла (толщиной 0,5-1,2 мм), подкрепленной редкими стрингерами, уже при расчетных напряжениях в основных силовых элементах - поясах лонжеронов и стрингерах, приводило к выпучиванию обшивки даже в горизонтальном полете. Ухудшение качества поверхности крыла, естественно, отрицательно сказывалось на летных данных самолета. Выпучивание тонкой дюралевой обшивки в некоторой степени уменьшалось за счет применения стальных поясов лонжеронов, что при равной деформации их и дюралюминиевых панелей обшивки снижало действующие в обшивке напряжения. Однако это не исключало выпучивания обшивки.</w:t>
      </w:r>
    </w:p>
    <w:p w14:paraId="57E5C0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крепление обшивки к стрингерам и нервюрам потайными заклепками путем раззенковки отверстия под головку в материале с точки зрения боевой живучести оказалось совершенно неудовлетворительным. При разрыве зенитного снаряда, под воздействием взрывной волны, головки заклепок легко прорывались в отверстия, и обшивка отрывалась от стрингеров, нервюр и лонжеронов на большой площади.</w:t>
      </w:r>
    </w:p>
    <w:p w14:paraId="241B6A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свою очередь, замена одного поврежденного в бою или подтекающего бензобака у трех технических специалистов занимала 3-4 дня...(9501).</w:t>
      </w:r>
    </w:p>
    <w:p w14:paraId="4AD863A9" w14:textId="77777777" w:rsidR="00D4105E" w:rsidRPr="00E14102" w:rsidRDefault="00D4105E" w:rsidP="00E14102">
      <w:pPr>
        <w:autoSpaceDE w:val="0"/>
        <w:autoSpaceDN w:val="0"/>
        <w:adjustRightInd w:val="0"/>
        <w:jc w:val="both"/>
        <w:rPr>
          <w:color w:val="000000" w:themeColor="text1"/>
          <w:sz w:val="16"/>
          <w:szCs w:val="16"/>
        </w:rPr>
      </w:pPr>
    </w:p>
    <w:p w14:paraId="6A742B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мая 1935 г. “красная пятерка” на малой высоте с ре</w:t>
      </w:r>
      <w:r w:rsidRPr="00E14102">
        <w:rPr>
          <w:color w:val="000000" w:themeColor="text1"/>
          <w:sz w:val="16"/>
          <w:szCs w:val="16"/>
        </w:rPr>
        <w:softHyphen/>
        <w:t>вом ворвалась на Красную площадь и замедленной вос</w:t>
      </w:r>
      <w:r w:rsidRPr="00E14102">
        <w:rPr>
          <w:color w:val="000000" w:themeColor="text1"/>
          <w:sz w:val="16"/>
          <w:szCs w:val="16"/>
        </w:rPr>
        <w:softHyphen/>
        <w:t>ходящей бочкой “взвинтилась” в небо... На аэродроме летчики уже собрались было разъехаться по домам, как вдруг появился порученец от наркома обороны марша</w:t>
      </w:r>
      <w:r w:rsidRPr="00E14102">
        <w:rPr>
          <w:color w:val="000000" w:themeColor="text1"/>
          <w:sz w:val="16"/>
          <w:szCs w:val="16"/>
        </w:rPr>
        <w:softHyphen/>
        <w:t>ла Ворошилова. Он привез каждому пилоту петлицы с прикрепленными знаками внеочередных воинских зва</w:t>
      </w:r>
      <w:r w:rsidRPr="00E14102">
        <w:rPr>
          <w:color w:val="000000" w:themeColor="text1"/>
          <w:sz w:val="16"/>
          <w:szCs w:val="16"/>
        </w:rPr>
        <w:softHyphen/>
        <w:t>ний и денежную премию в пять тысяч рублей. Одновре</w:t>
      </w:r>
      <w:r w:rsidRPr="00E14102">
        <w:rPr>
          <w:color w:val="000000" w:themeColor="text1"/>
          <w:sz w:val="16"/>
          <w:szCs w:val="16"/>
        </w:rPr>
        <w:softHyphen/>
        <w:t>менно Ворошилов позвонил сам и от имени Сталина попросил еще раз пролететь над Москвой. На следующий день на Центральном аэродроме со</w:t>
      </w:r>
      <w:r w:rsidRPr="00E14102">
        <w:rPr>
          <w:color w:val="000000" w:themeColor="text1"/>
          <w:sz w:val="16"/>
          <w:szCs w:val="16"/>
        </w:rPr>
        <w:softHyphen/>
        <w:t>стоялся смотр авиационной техники. Перед руководи</w:t>
      </w:r>
      <w:r w:rsidRPr="00E14102">
        <w:rPr>
          <w:color w:val="000000" w:themeColor="text1"/>
          <w:sz w:val="16"/>
          <w:szCs w:val="16"/>
        </w:rPr>
        <w:softHyphen/>
        <w:t>телями партии и государства демонстрировалось все лучшее, что было создано отечественной авиапромыш</w:t>
      </w:r>
      <w:r w:rsidRPr="00E14102">
        <w:rPr>
          <w:color w:val="000000" w:themeColor="text1"/>
          <w:sz w:val="16"/>
          <w:szCs w:val="16"/>
        </w:rPr>
        <w:softHyphen/>
        <w:t>ленностью. На стоянке выстроились самолеты, среди которых находились и машины Н.Н.Поликарпова И-15, И-16, а рядом, отдельными группами стояли руководи</w:t>
      </w:r>
      <w:r w:rsidRPr="00E14102">
        <w:rPr>
          <w:color w:val="000000" w:themeColor="text1"/>
          <w:sz w:val="16"/>
          <w:szCs w:val="16"/>
        </w:rPr>
        <w:softHyphen/>
        <w:t>тели ВВС, авиапромышленности, инженеры и конст</w:t>
      </w:r>
      <w:r w:rsidRPr="00E14102">
        <w:rPr>
          <w:color w:val="000000" w:themeColor="text1"/>
          <w:sz w:val="16"/>
          <w:szCs w:val="16"/>
        </w:rPr>
        <w:softHyphen/>
        <w:t>рукторы, летчики. Сталин и члены правительственной делегации поз</w:t>
      </w:r>
      <w:r w:rsidRPr="00E14102">
        <w:rPr>
          <w:color w:val="000000" w:themeColor="text1"/>
          <w:sz w:val="16"/>
          <w:szCs w:val="16"/>
        </w:rPr>
        <w:softHyphen/>
        <w:t>доровались с присутствующими, осмотрели технику. Затем летчики показали свое мастерство: “красная пя</w:t>
      </w:r>
      <w:r w:rsidRPr="00E14102">
        <w:rPr>
          <w:color w:val="000000" w:themeColor="text1"/>
          <w:sz w:val="16"/>
          <w:szCs w:val="16"/>
        </w:rPr>
        <w:softHyphen/>
        <w:t>терка” - групповой пилотаж, а В.П.Чкалов - индивиду</w:t>
      </w:r>
      <w:r w:rsidRPr="00E14102">
        <w:rPr>
          <w:color w:val="000000" w:themeColor="text1"/>
          <w:sz w:val="16"/>
          <w:szCs w:val="16"/>
        </w:rPr>
        <w:softHyphen/>
        <w:t>альный на И-16. Николай Николаевич так писал об этом событии в своей статье, опубликованной в газете “Прав</w:t>
      </w:r>
      <w:r w:rsidRPr="00E14102">
        <w:rPr>
          <w:color w:val="000000" w:themeColor="text1"/>
          <w:sz w:val="16"/>
          <w:szCs w:val="16"/>
        </w:rPr>
        <w:softHyphen/>
        <w:t>да” 7 ноября 1935 г.:</w:t>
      </w:r>
    </w:p>
    <w:p w14:paraId="05A477B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“Мое место было на правом фланге, среди работни</w:t>
      </w:r>
      <w:r w:rsidRPr="00E14102">
        <w:rPr>
          <w:color w:val="000000" w:themeColor="text1"/>
          <w:sz w:val="16"/>
          <w:szCs w:val="16"/>
        </w:rPr>
        <w:softHyphen/>
        <w:t>ков авиационной промышленности. Недалеко от нас, построенные в одну линию, стояли наши самолеты; сре</w:t>
      </w:r>
      <w:r w:rsidRPr="00E14102">
        <w:rPr>
          <w:color w:val="000000" w:themeColor="text1"/>
          <w:sz w:val="16"/>
          <w:szCs w:val="16"/>
        </w:rPr>
        <w:softHyphen/>
        <w:t>ди них были и моей конструкции. Мимо проходил Ста</w:t>
      </w:r>
      <w:r w:rsidRPr="00E14102">
        <w:rPr>
          <w:color w:val="000000" w:themeColor="text1"/>
          <w:sz w:val="16"/>
          <w:szCs w:val="16"/>
        </w:rPr>
        <w:softHyphen/>
        <w:t>лин, здороваясь со всеми. Из строя меня вызвал заместитель начальника Главного управления авиаци</w:t>
      </w:r>
      <w:r w:rsidRPr="00E14102">
        <w:rPr>
          <w:color w:val="000000" w:themeColor="text1"/>
          <w:sz w:val="16"/>
          <w:szCs w:val="16"/>
        </w:rPr>
        <w:softHyphen/>
        <w:t>онной промышленности и представил Сталину.</w:t>
      </w:r>
    </w:p>
    <w:p w14:paraId="1190F0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Это Поликарпов, - сказал он и показал на машину. - Вот его творчество!...</w:t>
      </w:r>
    </w:p>
    <w:p w14:paraId="005553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Сталин не стал меня расспрашивать об этих уже со</w:t>
      </w:r>
      <w:r w:rsidRPr="00E14102">
        <w:rPr>
          <w:color w:val="000000" w:themeColor="text1"/>
          <w:sz w:val="16"/>
          <w:szCs w:val="16"/>
        </w:rPr>
        <w:softHyphen/>
        <w:t>зданных машинах, - полагаю, что все они были ему не</w:t>
      </w:r>
      <w:r w:rsidRPr="00E14102">
        <w:rPr>
          <w:color w:val="000000" w:themeColor="text1"/>
          <w:sz w:val="16"/>
          <w:szCs w:val="16"/>
        </w:rPr>
        <w:softHyphen/>
        <w:t>плохо знакомы, - просто и деловито он расспрашивал меня о планах моих будущих работ. Внимательно слу</w:t>
      </w:r>
      <w:r w:rsidRPr="00E14102">
        <w:rPr>
          <w:color w:val="000000" w:themeColor="text1"/>
          <w:sz w:val="16"/>
          <w:szCs w:val="16"/>
        </w:rPr>
        <w:softHyphen/>
        <w:t>шал, затем снова спросил:</w:t>
      </w:r>
    </w:p>
    <w:p w14:paraId="6466964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Над чем дальше будете работать?</w:t>
      </w:r>
    </w:p>
    <w:p w14:paraId="4E9F59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не теряя времени, сам выдвинул передо мною проблему создания новой скоростной машины. С при</w:t>
      </w:r>
      <w:r w:rsidRPr="00E14102">
        <w:rPr>
          <w:color w:val="000000" w:themeColor="text1"/>
          <w:sz w:val="16"/>
          <w:szCs w:val="16"/>
        </w:rPr>
        <w:softHyphen/>
        <w:t>сущей ему четкостью и конкретностью определял ско</w:t>
      </w:r>
      <w:r w:rsidRPr="00E14102">
        <w:rPr>
          <w:color w:val="000000" w:themeColor="text1"/>
          <w:sz w:val="16"/>
          <w:szCs w:val="16"/>
        </w:rPr>
        <w:softHyphen/>
        <w:t>рости и потолок этой будущей машины. Прощаясь, наметил и сроки выполнения этого задания... Задание это не было узким - оно охватывало всю сумму проблем самолета в целом. Масштабы, серьезность и глубина, ко</w:t>
      </w:r>
      <w:r w:rsidRPr="00E14102">
        <w:rPr>
          <w:color w:val="000000" w:themeColor="text1"/>
          <w:sz w:val="16"/>
          <w:szCs w:val="16"/>
        </w:rPr>
        <w:softHyphen/>
        <w:t>торые сказались в самом подходе к разрешению этой новой проблемы - вот что врезалось в мое сознание” (10667).</w:t>
      </w:r>
    </w:p>
    <w:p w14:paraId="5227AE8C" w14:textId="77777777" w:rsidR="00D4105E" w:rsidRPr="00E14102" w:rsidRDefault="00D4105E" w:rsidP="00E14102">
      <w:pPr>
        <w:autoSpaceDE w:val="0"/>
        <w:autoSpaceDN w:val="0"/>
        <w:adjustRightInd w:val="0"/>
        <w:jc w:val="both"/>
        <w:rPr>
          <w:color w:val="000000" w:themeColor="text1"/>
          <w:sz w:val="16"/>
          <w:szCs w:val="16"/>
        </w:rPr>
      </w:pPr>
    </w:p>
    <w:p w14:paraId="576009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мая 1935 пятёрка ярко красных И-16, снизившись ниже крыш зданий, ворвалась на Красную площадь и с оглу</w:t>
      </w:r>
      <w:r w:rsidRPr="00E14102">
        <w:rPr>
          <w:color w:val="000000" w:themeColor="text1"/>
          <w:sz w:val="16"/>
          <w:szCs w:val="16"/>
        </w:rPr>
        <w:softHyphen/>
        <w:t>шительным ревом, вращаясь всей группой как единое це</w:t>
      </w:r>
      <w:r w:rsidRPr="00E14102">
        <w:rPr>
          <w:color w:val="000000" w:themeColor="text1"/>
          <w:sz w:val="16"/>
          <w:szCs w:val="16"/>
        </w:rPr>
        <w:softHyphen/>
        <w:t>лое, «ввинтилась» в небо. Эффект был необычайный!</w:t>
      </w:r>
    </w:p>
    <w:p w14:paraId="1A5948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Вернувшись на аэродром, лётчики уже собрались разъехаться к праздничным столам, когда вдруг появился порученец от маршала Ворошилова. Он привёз каж</w:t>
      </w:r>
      <w:r w:rsidRPr="00E14102">
        <w:rPr>
          <w:color w:val="000000" w:themeColor="text1"/>
          <w:sz w:val="16"/>
          <w:szCs w:val="16"/>
        </w:rPr>
        <w:softHyphen/>
        <w:t>дому пилоту петлицы с прикрепленными знаками внеочередных воинских званий и денежную премию — каждому по пять ты</w:t>
      </w:r>
      <w:r w:rsidRPr="00E14102">
        <w:rPr>
          <w:color w:val="000000" w:themeColor="text1"/>
          <w:sz w:val="16"/>
          <w:szCs w:val="16"/>
        </w:rPr>
        <w:softHyphen/>
        <w:t>сяч рублей (легковой автомобиль М-1 («Эмка») тогда стоил 6,5 тыс. руб.). Одно</w:t>
      </w:r>
      <w:r w:rsidRPr="00E14102">
        <w:rPr>
          <w:color w:val="000000" w:themeColor="text1"/>
          <w:sz w:val="16"/>
          <w:szCs w:val="16"/>
        </w:rPr>
        <w:softHyphen/>
        <w:t>временно Ворошилов позвонил сам и, вызвав к телефону [ведущего группы В.К.] Коккинаки, сказал: «Товарищ Сталин вос</w:t>
      </w:r>
      <w:r w:rsidRPr="00E14102">
        <w:rPr>
          <w:color w:val="000000" w:themeColor="text1"/>
          <w:sz w:val="16"/>
          <w:szCs w:val="16"/>
        </w:rPr>
        <w:softHyphen/>
        <w:t>хищён мастерством лётчиков и просит их еще разок пролететь над Москвой». Пос</w:t>
      </w:r>
      <w:r w:rsidRPr="00E14102">
        <w:rPr>
          <w:color w:val="000000" w:themeColor="text1"/>
          <w:sz w:val="16"/>
          <w:szCs w:val="16"/>
        </w:rPr>
        <w:softHyphen/>
        <w:t>ле этого пятёрка ещё и ещё летала над московскими улицами...» (Маслов М.А. Истребитель И-16. М., 1998. С. 8.).</w:t>
      </w:r>
    </w:p>
    <w:p w14:paraId="6E497C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Судя по всему, лётчики-истребители получили приказ на пилотаж над Красной площадью в самый последний день нака</w:t>
      </w:r>
      <w:r w:rsidRPr="00E14102">
        <w:rPr>
          <w:color w:val="000000" w:themeColor="text1"/>
          <w:sz w:val="16"/>
          <w:szCs w:val="16"/>
        </w:rPr>
        <w:softHyphen/>
        <w:t>нуне парада. Не было ли это как-то связано с тем, что в первых двух киносъёмочных по</w:t>
      </w:r>
      <w:r w:rsidRPr="00E14102">
        <w:rPr>
          <w:color w:val="000000" w:themeColor="text1"/>
          <w:sz w:val="16"/>
          <w:szCs w:val="16"/>
        </w:rPr>
        <w:softHyphen/>
        <w:t>летах «МГ» 26 и 28 апреля не удалось осуществить «заказанный» кем-то цирковой аттрак</w:t>
      </w:r>
      <w:r w:rsidRPr="00E14102">
        <w:rPr>
          <w:color w:val="000000" w:themeColor="text1"/>
          <w:sz w:val="16"/>
          <w:szCs w:val="16"/>
        </w:rPr>
        <w:softHyphen/>
        <w:t>цион — сделать петлю с малым радиусом вокруг крыла (и/или фюзеляжа) АНТ-20? Как написал летчик-истребитель и историк авиации Л.М. Вяткин, «представляется весьма ло</w:t>
      </w:r>
      <w:r w:rsidRPr="00E14102">
        <w:rPr>
          <w:color w:val="000000" w:themeColor="text1"/>
          <w:sz w:val="16"/>
          <w:szCs w:val="16"/>
        </w:rPr>
        <w:softHyphen/>
        <w:t>гичным, что начальство ЦАГИ передало Благину чью-то «интересную идею» во время по</w:t>
      </w:r>
      <w:r w:rsidRPr="00E14102">
        <w:rPr>
          <w:color w:val="000000" w:themeColor="text1"/>
          <w:sz w:val="16"/>
          <w:szCs w:val="16"/>
        </w:rPr>
        <w:softHyphen/>
        <w:t>лёта в «рекламных» целях совершить петлю перед объективом кинокамеры. Опытному лётчику такая идея не могла прийти в голову, так как петлю, по правилам безопасности, можно выполнять лишь вокруг неподвижного объекта, скажем, воздушного шара».</w:t>
      </w:r>
    </w:p>
    <w:p w14:paraId="142D45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Судя по всему, И.В. Сталину хотели во время грандиозного воздушного парада (в нем участвовало более 800 самолётов) показать еще и «воздушный цирк». Только Благиназа два полёта подготовить не успели, вот и пришлось вместо пилотажа вокруг гиганта пу</w:t>
      </w:r>
      <w:r w:rsidRPr="00E14102">
        <w:rPr>
          <w:color w:val="000000" w:themeColor="text1"/>
          <w:sz w:val="16"/>
          <w:szCs w:val="16"/>
        </w:rPr>
        <w:softHyphen/>
        <w:t>стить два истребителя И-4 эскортом у концов крыльев «МГ», а также в самый послед</w:t>
      </w:r>
      <w:r w:rsidRPr="00E14102">
        <w:rPr>
          <w:color w:val="000000" w:themeColor="text1"/>
          <w:sz w:val="16"/>
          <w:szCs w:val="16"/>
        </w:rPr>
        <w:softHyphen/>
        <w:t>ний момент задействовать «красную пятёрку». Ей и достались все аплодисменты вождя и его соратников (11696).</w:t>
      </w:r>
    </w:p>
    <w:p w14:paraId="27DD99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B6722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1935 пятерка ярко красных И-16. снизившись ниже крыш зданий, ворвалась на Красную площадь и с оглушительным ревом, вращаясь всей фуппой. ввинтилась в небо. Эффект был потрясающий!</w:t>
      </w:r>
    </w:p>
    <w:p w14:paraId="3E9881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Вернувшись на аэродром, летчики уже собрались разъехаться к праздничным столам, когда появился порученец от маршала Ворошилова. Он привез каждому пилоту петлицы с прикрепленными знаками внеочередных воинских званий и денежную премию - каждому по пять тысяч рублей. Одновременно Ворошилов позвонил и. вызвав к телефону Коккинаки. сказал: "Товарищ Сталин восхищен мастерством летчиков и просит их еще раз пролететь над Москвой”.</w:t>
      </w:r>
    </w:p>
    <w:p w14:paraId="7BA37C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Посте этого пятерка еще и еще летала над московскими улицами. Самолеты видели в разных районах города, и позднее даже родилась легенда. будто I мая I935 г. над Москвой летаю несколько "красных пятерок".</w:t>
      </w:r>
    </w:p>
    <w:p w14:paraId="49E80A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Вечером участники пилотажной фуппы. втом числе и Валерий Чкалов, были приглашены на торжественный обед в Кремль, где И.В.Сталин провозгласил тост за здоровье советских летчиков. Самим триумфаторам довелось лишь едва пригубить бокалы с вином. ибо на следующий день предполагалось повторить полеты (12015).</w:t>
      </w:r>
    </w:p>
    <w:p w14:paraId="65D8785C" w14:textId="77777777" w:rsidR="00D4105E" w:rsidRPr="00E14102" w:rsidRDefault="00D4105E" w:rsidP="00E14102">
      <w:pPr>
        <w:autoSpaceDE w:val="0"/>
        <w:autoSpaceDN w:val="0"/>
        <w:adjustRightInd w:val="0"/>
        <w:jc w:val="both"/>
        <w:rPr>
          <w:color w:val="000000" w:themeColor="text1"/>
          <w:sz w:val="16"/>
          <w:szCs w:val="16"/>
        </w:rPr>
      </w:pPr>
    </w:p>
    <w:p w14:paraId="3C8E57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параде 1 мая 1935 приняло участие около 800 самолетов и колонну замыкал МГ с двумя И-15 и с помощью громкоговорителя передавал приветы и Интернационал (438,683).</w:t>
      </w:r>
    </w:p>
    <w:p w14:paraId="3BBA3A84" w14:textId="77777777" w:rsidR="00D4105E" w:rsidRPr="00E14102" w:rsidRDefault="00D4105E" w:rsidP="00E14102">
      <w:pPr>
        <w:autoSpaceDE w:val="0"/>
        <w:autoSpaceDN w:val="0"/>
        <w:adjustRightInd w:val="0"/>
        <w:jc w:val="both"/>
        <w:rPr>
          <w:color w:val="000000" w:themeColor="text1"/>
          <w:sz w:val="16"/>
          <w:szCs w:val="16"/>
        </w:rPr>
      </w:pPr>
    </w:p>
    <w:p w14:paraId="7263A8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1935-го "Максим Горький" вновь пролетел над Красной площадью. Из его громкоговорителя неслись приветствия тысячам собравшихся на праздник москвичам (4574).</w:t>
      </w:r>
    </w:p>
    <w:p w14:paraId="744337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 красный был продемонстрирован В.П.Ч. на первомайском параде (67,118) 1935 и В.П.Ч. возглавил Красную пятерку (172,54). Подошла к площади на малой высоте и групповой бочкой ушла в небо (2628,6).</w:t>
      </w:r>
    </w:p>
    <w:p w14:paraId="51C620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следующий день в Тушино был смотр авиации. В полдень приехал И.Сталин и правительство. Н.Н.П. стоял в строю. С.В.И. вызвал Н.Н.П. на доклад и И.В.С. деловито расспрашивал, выдвинул задачу создания скоростной машины.</w:t>
      </w:r>
    </w:p>
    <w:p w14:paraId="38E6E7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следующий день Серго - предложил наградить Н.Н.П. и В.П.Ч. Орденом Ленина (67,119).</w:t>
      </w:r>
    </w:p>
    <w:p w14:paraId="0D5B05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 не В.П.Ч., а В.К.К., хотя В.П.Ч. тоже принял участие, но не ясно вместо кого, и после восходящей бочки К,Е,В. в тот же день всем привез новые петлицы и премию в 5000 руб., а после этого пятерка долго летала над различными районами Москвы. Вечером на торжественном обеде в Кремле И.В.С. поднял тост за здоровье советских л (1808,8).</w:t>
      </w:r>
    </w:p>
    <w:p w14:paraId="77EDBF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параде прошло и 500 танков (1836,45).</w:t>
      </w:r>
    </w:p>
    <w:p w14:paraId="76CB57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параде прошло 72 ТБ-3 (АНТ-6) (1854,14).</w:t>
      </w:r>
    </w:p>
    <w:p w14:paraId="71E1ACF1" w14:textId="77777777" w:rsidR="00D4105E" w:rsidRPr="00E14102" w:rsidRDefault="00D4105E" w:rsidP="00E14102">
      <w:pPr>
        <w:autoSpaceDE w:val="0"/>
        <w:autoSpaceDN w:val="0"/>
        <w:adjustRightInd w:val="0"/>
        <w:jc w:val="both"/>
        <w:rPr>
          <w:color w:val="000000" w:themeColor="text1"/>
          <w:sz w:val="16"/>
          <w:szCs w:val="16"/>
        </w:rPr>
      </w:pPr>
    </w:p>
    <w:p w14:paraId="79B496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мая 1934 «Максим Горький» флагманом парадной колонны в несколько сотен самолётов еще раз пролетел над Красной площадью. Чтобы подчеркнуть разме</w:t>
      </w:r>
      <w:r w:rsidRPr="00E14102">
        <w:rPr>
          <w:color w:val="000000" w:themeColor="text1"/>
          <w:sz w:val="16"/>
          <w:szCs w:val="16"/>
        </w:rPr>
        <w:softHyphen/>
        <w:t>ры гиганта, у концов его крыльев летели два миниатюрных истребителя И-4. Самолё</w:t>
      </w:r>
      <w:r w:rsidRPr="00E14102">
        <w:rPr>
          <w:color w:val="000000" w:themeColor="text1"/>
          <w:sz w:val="16"/>
          <w:szCs w:val="16"/>
        </w:rPr>
        <w:softHyphen/>
        <w:t>том управлял Герой Советского Союза М.М. Громов, вечером того же дня попавший в больницу из-за открывшейся язвы желудка. Вероятно, это спасло ему жизнь (11696).</w:t>
      </w:r>
    </w:p>
    <w:p w14:paraId="200858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B2616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1934, несмотря на то, что накануне Громову на спектакле стало плохо, и он уехал домой, он пришел на аэродром (благо, жил недалеко, на Беговой улице) и поднял самолет в воздух.. Но, кроме него, никто еще не сидел на левом кресле АНТ-20, никто не летал самостоятельно. Во всех предыдущих полетах Журов и Михеев только исполняли обязанности второго пилота.</w:t>
      </w:r>
    </w:p>
    <w:p w14:paraId="7F42C6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Вторым пилотом у него летел Михеев. Кроме обычной команды инженеров и техников на борту находился М.Е. Кольцов. "Максим Горький" благополучно пролетел над Красной площадью в сопровождении пары истребителей и столь же благополучно приземлился на Центральном аэродроме. Громов зашел домой пообедать...и угодил в больницу, где ему сделали операцию. Больше он на АНТ-20 не летал. Во всех последующих полетах в левом кресле сидел Н.С. Журов, в правом - И.В. Михеев. 15 мая самолет демонстрировали депутатам Моссовета и другим важным лицам. Для них организовали катание в воздухе - машина совершила круг над Центральным аэродромом. Среди почетных гостей оказался известный французский летчик и писатель Ан- туан де Сент-Экзюпери, вто время - московский корреспондент одной из парижских газет. Позже он написал: "Эти коридоры, этот салон, эти кабины, этот мощный гул восьми моторов, эта внутренняя телефонная связь - все было не похоже на привычную для меня воздушную обстановку" (12024).</w:t>
      </w:r>
    </w:p>
    <w:p w14:paraId="3FB38FBF" w14:textId="77777777" w:rsidR="00D4105E" w:rsidRPr="00E14102" w:rsidRDefault="00D4105E" w:rsidP="00E14102">
      <w:pPr>
        <w:autoSpaceDE w:val="0"/>
        <w:autoSpaceDN w:val="0"/>
        <w:adjustRightInd w:val="0"/>
        <w:jc w:val="both"/>
        <w:rPr>
          <w:color w:val="000000" w:themeColor="text1"/>
          <w:sz w:val="16"/>
          <w:szCs w:val="16"/>
        </w:rPr>
      </w:pPr>
    </w:p>
    <w:p w14:paraId="669E7B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1935 на параде было 54 Р-6 и КР-6 (2766,36).</w:t>
      </w:r>
    </w:p>
    <w:p w14:paraId="6900A3D7" w14:textId="77777777" w:rsidR="00D4105E" w:rsidRPr="00E14102" w:rsidRDefault="00D4105E" w:rsidP="00E14102">
      <w:pPr>
        <w:autoSpaceDE w:val="0"/>
        <w:autoSpaceDN w:val="0"/>
        <w:adjustRightInd w:val="0"/>
        <w:jc w:val="both"/>
        <w:rPr>
          <w:color w:val="000000" w:themeColor="text1"/>
          <w:sz w:val="16"/>
          <w:szCs w:val="16"/>
        </w:rPr>
      </w:pPr>
    </w:p>
    <w:p w14:paraId="589A61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1935 во время первомайского парада над Москвой прошли 72 туполевских ТБ-3 (7668).</w:t>
      </w:r>
    </w:p>
    <w:p w14:paraId="35A1D2E9" w14:textId="77777777" w:rsidR="00D4105E" w:rsidRPr="00E14102" w:rsidRDefault="00D4105E" w:rsidP="00E14102">
      <w:pPr>
        <w:autoSpaceDE w:val="0"/>
        <w:autoSpaceDN w:val="0"/>
        <w:adjustRightInd w:val="0"/>
        <w:jc w:val="both"/>
        <w:rPr>
          <w:color w:val="000000" w:themeColor="text1"/>
          <w:sz w:val="16"/>
          <w:szCs w:val="16"/>
        </w:rPr>
      </w:pPr>
    </w:p>
    <w:p w14:paraId="1C24FC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1935 во время первомайского парада 1935 г. над Москвой прошли не два, как в наше время, а 72 тяжелых бомбардировщика. Это было очень серьезной силой. На наиболее важных направлениях командование ВВС могло достаточно быстро сосредоточить до 200 машин. Подсчитайте: при бомбовой нагрузке в две тонны такая армада была способна разом сбросить на противника 400 т фугасных, осколочных, зажигательных или химических бомб (12036).</w:t>
      </w:r>
    </w:p>
    <w:p w14:paraId="52031B3D" w14:textId="77777777" w:rsidR="00D4105E" w:rsidRPr="00E14102" w:rsidRDefault="00D4105E" w:rsidP="00E14102">
      <w:pPr>
        <w:autoSpaceDE w:val="0"/>
        <w:autoSpaceDN w:val="0"/>
        <w:adjustRightInd w:val="0"/>
        <w:jc w:val="both"/>
        <w:rPr>
          <w:color w:val="000000" w:themeColor="text1"/>
          <w:sz w:val="16"/>
          <w:szCs w:val="16"/>
        </w:rPr>
      </w:pPr>
    </w:p>
    <w:p w14:paraId="5C38DA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параде 1 мая 1935 была и пятерка И-зет и когда одну из машин брали из Переяславля л НИИ ВВС В.Шевченко с тем, чтобы взлететь с раскисшего поля использовал положенные на землю заборы (2692,4).</w:t>
      </w:r>
    </w:p>
    <w:p w14:paraId="0C11742C" w14:textId="77777777" w:rsidR="00D4105E" w:rsidRPr="00E14102" w:rsidRDefault="00D4105E" w:rsidP="00E14102">
      <w:pPr>
        <w:autoSpaceDE w:val="0"/>
        <w:autoSpaceDN w:val="0"/>
        <w:adjustRightInd w:val="0"/>
        <w:jc w:val="both"/>
        <w:rPr>
          <w:color w:val="000000" w:themeColor="text1"/>
          <w:sz w:val="16"/>
          <w:szCs w:val="16"/>
        </w:rPr>
      </w:pPr>
    </w:p>
    <w:p w14:paraId="14A27A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1935 на первомайском празднике 1935 г. над Красной площадью пронеслась пятерка И-Z, вооруженная АПК-4.</w:t>
      </w:r>
    </w:p>
    <w:p w14:paraId="384FBFE2" w14:textId="77777777" w:rsidR="00D4105E" w:rsidRPr="00E14102" w:rsidRDefault="00D4105E" w:rsidP="00E14102">
      <w:pPr>
        <w:autoSpaceDE w:val="0"/>
        <w:autoSpaceDN w:val="0"/>
        <w:adjustRightInd w:val="0"/>
        <w:jc w:val="both"/>
        <w:rPr>
          <w:color w:val="000000" w:themeColor="text1"/>
          <w:sz w:val="16"/>
          <w:szCs w:val="16"/>
        </w:rPr>
      </w:pPr>
    </w:p>
    <w:p w14:paraId="66810D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первомайский парад 1935 г. в Москве собрали 211 Р-5 из четырех авиабригад. Даже из Киева пригнали 30 штурмовиков. Они эффектно прошли над городом в плотном строю. Подобные парады проводили и в других городах страны. Правда, иногда это кончалось конфузами. Так, 7 ноября 1934 г. пролет Р-5 254-й бригады над Омском решили "оживить" постановкой дымовой завесы с двух самолетов. Завеса легла на колонну демонстрантов, шествовавшую по улице Фрунзе; четыре человека получили ожоги, а комбриг - серьезный нагоняй (12034).</w:t>
      </w:r>
    </w:p>
    <w:p w14:paraId="7FFF37B9" w14:textId="77777777" w:rsidR="00D4105E" w:rsidRPr="00E14102" w:rsidRDefault="00D4105E" w:rsidP="00E14102">
      <w:pPr>
        <w:autoSpaceDE w:val="0"/>
        <w:autoSpaceDN w:val="0"/>
        <w:adjustRightInd w:val="0"/>
        <w:jc w:val="both"/>
        <w:rPr>
          <w:color w:val="000000" w:themeColor="text1"/>
          <w:sz w:val="16"/>
          <w:szCs w:val="16"/>
        </w:rPr>
      </w:pPr>
    </w:p>
    <w:p w14:paraId="7D09A81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6838719" w14:textId="77777777" w:rsidR="00D4105E" w:rsidRPr="00E14102" w:rsidRDefault="00D4105E" w:rsidP="00E14102">
      <w:pPr>
        <w:autoSpaceDE w:val="0"/>
        <w:autoSpaceDN w:val="0"/>
        <w:adjustRightInd w:val="0"/>
        <w:jc w:val="both"/>
        <w:rPr>
          <w:iCs/>
          <w:color w:val="000000" w:themeColor="text1"/>
          <w:sz w:val="16"/>
          <w:szCs w:val="16"/>
        </w:rPr>
      </w:pPr>
    </w:p>
    <w:p w14:paraId="2EE2C2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мая 1935 был выпущен опытный образец Т-28А, разработанного СКБ-2 ЛКЗ, и получил персональное название Сталин. Отличался бортовыми редукторами и ходовой частью. На испытаниях в октябре 1935 показал среднюю скорость движения на местности 48.6 км/час и максимальную - 68 км/час (9527,137).</w:t>
      </w:r>
    </w:p>
    <w:p w14:paraId="4C40B23C" w14:textId="77777777" w:rsidR="00D4105E" w:rsidRPr="00E14102" w:rsidRDefault="00D4105E" w:rsidP="00E14102">
      <w:pPr>
        <w:autoSpaceDE w:val="0"/>
        <w:autoSpaceDN w:val="0"/>
        <w:adjustRightInd w:val="0"/>
        <w:jc w:val="both"/>
        <w:rPr>
          <w:color w:val="000000" w:themeColor="text1"/>
          <w:sz w:val="16"/>
          <w:szCs w:val="16"/>
        </w:rPr>
      </w:pPr>
    </w:p>
    <w:p w14:paraId="690278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1 мая 1935 г. на ПМЗ изготовили три мотоцик</w:t>
      </w:r>
      <w:r w:rsidRPr="00E14102">
        <w:rPr>
          <w:color w:val="000000" w:themeColor="text1"/>
          <w:sz w:val="16"/>
          <w:szCs w:val="16"/>
        </w:rPr>
        <w:softHyphen/>
        <w:t>ла, а к концу второго квартала - еще шесть. 25 июля девять но</w:t>
      </w:r>
      <w:r w:rsidRPr="00E14102">
        <w:rPr>
          <w:color w:val="000000" w:themeColor="text1"/>
          <w:sz w:val="16"/>
          <w:szCs w:val="16"/>
        </w:rPr>
        <w:softHyphen/>
        <w:t>вых мотоциклов своим ходом прибыли в НКТП. Во дворе нарко</w:t>
      </w:r>
      <w:r w:rsidRPr="00E14102">
        <w:rPr>
          <w:color w:val="000000" w:themeColor="text1"/>
          <w:sz w:val="16"/>
          <w:szCs w:val="16"/>
        </w:rPr>
        <w:softHyphen/>
        <w:t>мата Г.К. Орджоникидзе осмотрел их, интересуясь устройством, внешней отделкой и скоростью. Технический директор завода Зубков сообщил наркому, что в текущем году намечено сделать 100 таких мотоциклов, а в 1936 г. - ещё 500. Однако нарком внёс серьёзную поправку в планы предприятия: «Этого мало. Таких машин в будущем году надо сделать не меньше 1500. Надо как можно скорее развивать это производство». Слова «Железного наркома» возымели действие. В 1934 году всего сделали 15 машин ПМЗ-А-750 [4.93]. Для серийного выпус</w:t>
      </w:r>
      <w:r w:rsidRPr="00E14102">
        <w:rPr>
          <w:color w:val="000000" w:themeColor="text1"/>
          <w:sz w:val="16"/>
          <w:szCs w:val="16"/>
        </w:rPr>
        <w:softHyphen/>
        <w:t>ка этих мотоциклов спроектировали специальный цех, строи</w:t>
      </w:r>
      <w:r w:rsidRPr="00E14102">
        <w:rPr>
          <w:color w:val="000000" w:themeColor="text1"/>
          <w:sz w:val="16"/>
          <w:szCs w:val="16"/>
        </w:rPr>
        <w:softHyphen/>
        <w:t>тельство которого полным ходом шло в следующем году одно</w:t>
      </w:r>
      <w:r w:rsidRPr="00E14102">
        <w:rPr>
          <w:color w:val="000000" w:themeColor="text1"/>
          <w:sz w:val="16"/>
          <w:szCs w:val="16"/>
        </w:rPr>
        <w:softHyphen/>
        <w:t>временно с расширением производственных мощностей [4.131]. Вскоре нарком тяжелой промышленности Г.К. Орджоникид</w:t>
      </w:r>
      <w:r w:rsidRPr="00E14102">
        <w:rPr>
          <w:color w:val="000000" w:themeColor="text1"/>
          <w:sz w:val="16"/>
          <w:szCs w:val="16"/>
        </w:rPr>
        <w:softHyphen/>
        <w:t>зе распорядился об изготовлении в 1936 г. 10 тыс. мотоциклов, из которых 2700 экземпляров НАТИ-А-750 поручили сделать ПМЗ, а заводу им. Фрунзе - 1000 экземпляров [4.79]. Для налаживания серийного выпуска НАТИ-А-750 конструкторы ПМЗ доработали чертежи и изменили название модели на ПМЗ-А-750. С 1936 года первый серийный отечественный армейский мотоцикл обознача</w:t>
      </w:r>
      <w:r w:rsidRPr="00E14102">
        <w:rPr>
          <w:color w:val="000000" w:themeColor="text1"/>
          <w:sz w:val="16"/>
          <w:szCs w:val="16"/>
        </w:rPr>
        <w:softHyphen/>
        <w:t>ли ПМЗ-А-750, нередко сокращая в написании до А-750 или ПМЗ-750. Новинка поступала и в розничную продажу. Первона</w:t>
      </w:r>
      <w:r w:rsidRPr="00E14102">
        <w:rPr>
          <w:color w:val="000000" w:themeColor="text1"/>
          <w:sz w:val="16"/>
          <w:szCs w:val="16"/>
        </w:rPr>
        <w:softHyphen/>
        <w:t>чально её цена составляла 11 550 р., и она была недоступна широ</w:t>
      </w:r>
      <w:r w:rsidRPr="00E14102">
        <w:rPr>
          <w:color w:val="000000" w:themeColor="text1"/>
          <w:sz w:val="16"/>
          <w:szCs w:val="16"/>
        </w:rPr>
        <w:softHyphen/>
        <w:t>ким слоям трудящихся, но затем в 1937 г. стоимость снизили до 7760 р. [4.84], благодаря чему ПМЗ-750 стали покупать мотолю</w:t>
      </w:r>
      <w:r w:rsidRPr="00E14102">
        <w:rPr>
          <w:color w:val="000000" w:themeColor="text1"/>
          <w:sz w:val="16"/>
          <w:szCs w:val="16"/>
        </w:rPr>
        <w:softHyphen/>
        <w:t>бители. Для облегчения изучения устройства нового мотоцикла в автомотоклубах, школах вождения и домашних условиях Госиз</w:t>
      </w:r>
      <w:r w:rsidRPr="00E14102">
        <w:rPr>
          <w:color w:val="000000" w:themeColor="text1"/>
          <w:sz w:val="16"/>
          <w:szCs w:val="16"/>
        </w:rPr>
        <w:softHyphen/>
        <w:t>дат выпустил серию учебных плакатов по этой машине [4.85] (11429).</w:t>
      </w:r>
    </w:p>
    <w:p w14:paraId="1EE3CB0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Мотоциклы А-750 изготавливали на ПМЗ до 1939 г., всего сделали 4636 экземпляров [4.132]. Их выпуск свидетельствует о регулярном невыполнении плана на ПМЗ [4.133] (табл. 3).</w:t>
      </w:r>
    </w:p>
    <w:p w14:paraId="23F047A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Таблица 3</w:t>
      </w:r>
    </w:p>
    <w:p w14:paraId="53F974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Выпуск тяжелых мотоциклов на ПМЗ</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86"/>
        <w:gridCol w:w="1085"/>
        <w:gridCol w:w="1315"/>
        <w:gridCol w:w="1075"/>
        <w:gridCol w:w="989"/>
      </w:tblGrid>
      <w:tr w:rsidR="00E3599D" w:rsidRPr="00E14102" w14:paraId="2693D484" w14:textId="77777777">
        <w:trPr>
          <w:trHeight w:val="384"/>
        </w:trPr>
        <w:tc>
          <w:tcPr>
            <w:tcW w:w="1786" w:type="dxa"/>
            <w:tcBorders>
              <w:top w:val="single" w:sz="12" w:space="0" w:color="auto"/>
            </w:tcBorders>
          </w:tcPr>
          <w:p w14:paraId="23E64B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Марка</w:t>
            </w:r>
          </w:p>
          <w:p w14:paraId="54EF18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85" w:type="dxa"/>
            <w:tcBorders>
              <w:top w:val="single" w:sz="12" w:space="0" w:color="auto"/>
            </w:tcBorders>
          </w:tcPr>
          <w:p w14:paraId="73994F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Год</w:t>
            </w:r>
          </w:p>
          <w:p w14:paraId="5B7C14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top w:val="single" w:sz="12" w:space="0" w:color="auto"/>
            </w:tcBorders>
          </w:tcPr>
          <w:p w14:paraId="4235CDA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План</w:t>
            </w:r>
          </w:p>
          <w:p w14:paraId="251FD58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75" w:type="dxa"/>
            <w:tcBorders>
              <w:top w:val="single" w:sz="12" w:space="0" w:color="auto"/>
            </w:tcBorders>
          </w:tcPr>
          <w:p w14:paraId="514EEBD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Факт (%)</w:t>
            </w:r>
          </w:p>
          <w:p w14:paraId="5BBB5EF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89" w:type="dxa"/>
            <w:tcBorders>
              <w:top w:val="single" w:sz="12" w:space="0" w:color="auto"/>
            </w:tcBorders>
          </w:tcPr>
          <w:p w14:paraId="3E380A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Недостача</w:t>
            </w:r>
          </w:p>
          <w:p w14:paraId="0700038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499E9FC6" w14:textId="77777777">
        <w:trPr>
          <w:trHeight w:val="384"/>
        </w:trPr>
        <w:tc>
          <w:tcPr>
            <w:tcW w:w="1786" w:type="dxa"/>
          </w:tcPr>
          <w:p w14:paraId="104CA5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НАТИ-А-750</w:t>
            </w:r>
          </w:p>
          <w:p w14:paraId="67788E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85" w:type="dxa"/>
          </w:tcPr>
          <w:p w14:paraId="170B5A9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1934</w:t>
            </w:r>
          </w:p>
          <w:p w14:paraId="299F1FF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Pr>
          <w:p w14:paraId="5899D0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1FD9BD3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75" w:type="dxa"/>
          </w:tcPr>
          <w:p w14:paraId="7F3CE8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w:t>
            </w:r>
          </w:p>
        </w:tc>
        <w:tc>
          <w:tcPr>
            <w:tcW w:w="989" w:type="dxa"/>
          </w:tcPr>
          <w:p w14:paraId="5EB4654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1AF95FA6" w14:textId="77777777">
        <w:trPr>
          <w:trHeight w:val="384"/>
        </w:trPr>
        <w:tc>
          <w:tcPr>
            <w:tcW w:w="1786" w:type="dxa"/>
          </w:tcPr>
          <w:p w14:paraId="65644B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85" w:type="dxa"/>
          </w:tcPr>
          <w:p w14:paraId="53A75A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1935</w:t>
            </w:r>
          </w:p>
          <w:p w14:paraId="5659C6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Pr>
          <w:p w14:paraId="4D31E6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0E56BD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75" w:type="dxa"/>
          </w:tcPr>
          <w:p w14:paraId="30B89F4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w:t>
            </w:r>
          </w:p>
          <w:p w14:paraId="35C3F8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89" w:type="dxa"/>
          </w:tcPr>
          <w:p w14:paraId="3A243B0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1EF7C073" w14:textId="77777777">
        <w:trPr>
          <w:trHeight w:val="298"/>
        </w:trPr>
        <w:tc>
          <w:tcPr>
            <w:tcW w:w="1786" w:type="dxa"/>
          </w:tcPr>
          <w:p w14:paraId="6BD730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ПМЗ-А-750</w:t>
            </w:r>
          </w:p>
          <w:p w14:paraId="396E9B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85" w:type="dxa"/>
          </w:tcPr>
          <w:p w14:paraId="635D627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1936</w:t>
            </w:r>
          </w:p>
          <w:p w14:paraId="109673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Pr>
          <w:p w14:paraId="76C69A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2700</w:t>
            </w:r>
          </w:p>
          <w:p w14:paraId="3C2974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75" w:type="dxa"/>
          </w:tcPr>
          <w:p w14:paraId="1D62A5A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1005 (37,3)</w:t>
            </w:r>
          </w:p>
          <w:p w14:paraId="6C79A7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89" w:type="dxa"/>
          </w:tcPr>
          <w:p w14:paraId="120F22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1695</w:t>
            </w:r>
          </w:p>
          <w:p w14:paraId="69BD51C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6CC968B9" w14:textId="77777777">
        <w:trPr>
          <w:trHeight w:val="221"/>
        </w:trPr>
        <w:tc>
          <w:tcPr>
            <w:tcW w:w="1786" w:type="dxa"/>
          </w:tcPr>
          <w:p w14:paraId="219EBE3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1F5086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85" w:type="dxa"/>
          </w:tcPr>
          <w:p w14:paraId="1050DE0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1937</w:t>
            </w:r>
          </w:p>
          <w:p w14:paraId="096318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Pr>
          <w:p w14:paraId="39ACCB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3000</w:t>
            </w:r>
          </w:p>
          <w:p w14:paraId="350A35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75" w:type="dxa"/>
          </w:tcPr>
          <w:p w14:paraId="63B2147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1259 (42,0)</w:t>
            </w:r>
          </w:p>
          <w:p w14:paraId="41C8B55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89" w:type="dxa"/>
          </w:tcPr>
          <w:p w14:paraId="4BE25B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1741</w:t>
            </w:r>
          </w:p>
          <w:p w14:paraId="45EB3E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27379D3B" w14:textId="77777777">
        <w:trPr>
          <w:trHeight w:val="221"/>
        </w:trPr>
        <w:tc>
          <w:tcPr>
            <w:tcW w:w="1786" w:type="dxa"/>
          </w:tcPr>
          <w:p w14:paraId="05C372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600E5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85" w:type="dxa"/>
          </w:tcPr>
          <w:p w14:paraId="5B60B5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1938</w:t>
            </w:r>
          </w:p>
          <w:p w14:paraId="2820317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Pr>
          <w:p w14:paraId="76176C8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3000</w:t>
            </w:r>
          </w:p>
          <w:p w14:paraId="7BAAD1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75" w:type="dxa"/>
          </w:tcPr>
          <w:p w14:paraId="63289C3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2180 (70,4)</w:t>
            </w:r>
          </w:p>
          <w:p w14:paraId="27FDF2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89" w:type="dxa"/>
          </w:tcPr>
          <w:p w14:paraId="544FD0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820</w:t>
            </w:r>
          </w:p>
          <w:p w14:paraId="14F572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490DF87D" w14:textId="77777777">
        <w:trPr>
          <w:trHeight w:val="269"/>
        </w:trPr>
        <w:tc>
          <w:tcPr>
            <w:tcW w:w="1786" w:type="dxa"/>
          </w:tcPr>
          <w:p w14:paraId="1B97A16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3178C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85" w:type="dxa"/>
          </w:tcPr>
          <w:p w14:paraId="596428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1939</w:t>
            </w:r>
          </w:p>
          <w:p w14:paraId="72648B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Pr>
          <w:p w14:paraId="164E3D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52940A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75" w:type="dxa"/>
          </w:tcPr>
          <w:p w14:paraId="1474C5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182</w:t>
            </w:r>
          </w:p>
          <w:p w14:paraId="5ED036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89" w:type="dxa"/>
          </w:tcPr>
          <w:p w14:paraId="74CA45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0EE382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555E5B71" w14:textId="77777777">
        <w:trPr>
          <w:trHeight w:val="480"/>
        </w:trPr>
        <w:tc>
          <w:tcPr>
            <w:tcW w:w="2871" w:type="dxa"/>
            <w:gridSpan w:val="2"/>
            <w:tcBorders>
              <w:bottom w:val="single" w:sz="12" w:space="0" w:color="auto"/>
            </w:tcBorders>
          </w:tcPr>
          <w:p w14:paraId="3802BC2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Итого</w:t>
            </w:r>
          </w:p>
          <w:p w14:paraId="5BF948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bottom w:val="single" w:sz="12" w:space="0" w:color="auto"/>
            </w:tcBorders>
          </w:tcPr>
          <w:p w14:paraId="0553245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9700</w:t>
            </w:r>
          </w:p>
          <w:p w14:paraId="61A6F6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75" w:type="dxa"/>
            <w:tcBorders>
              <w:bottom w:val="single" w:sz="12" w:space="0" w:color="auto"/>
            </w:tcBorders>
          </w:tcPr>
          <w:p w14:paraId="5D3FEA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4636(48,5)</w:t>
            </w:r>
          </w:p>
          <w:p w14:paraId="780F5B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89" w:type="dxa"/>
            <w:tcBorders>
              <w:bottom w:val="single" w:sz="12" w:space="0" w:color="auto"/>
            </w:tcBorders>
          </w:tcPr>
          <w:p w14:paraId="003B52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4265</w:t>
            </w:r>
          </w:p>
          <w:p w14:paraId="7ECE8F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bl>
    <w:p w14:paraId="1FE6ED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(11429).</w:t>
      </w:r>
    </w:p>
    <w:p w14:paraId="7942317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B70FEB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8E9AEBE" w14:textId="77777777" w:rsidR="00D4105E" w:rsidRPr="00E14102" w:rsidRDefault="00D4105E" w:rsidP="00E14102">
      <w:pPr>
        <w:autoSpaceDE w:val="0"/>
        <w:autoSpaceDN w:val="0"/>
        <w:adjustRightInd w:val="0"/>
        <w:jc w:val="both"/>
        <w:rPr>
          <w:iCs/>
          <w:color w:val="000000" w:themeColor="text1"/>
          <w:sz w:val="16"/>
          <w:szCs w:val="16"/>
        </w:rPr>
      </w:pPr>
    </w:p>
    <w:p w14:paraId="77E18244" w14:textId="77777777" w:rsidR="00545EDE" w:rsidRPr="00E14102" w:rsidRDefault="00545EDE" w:rsidP="00E14102">
      <w:pPr>
        <w:jc w:val="both"/>
        <w:rPr>
          <w:color w:val="000000" w:themeColor="text1"/>
          <w:sz w:val="16"/>
          <w:szCs w:val="16"/>
        </w:rPr>
      </w:pPr>
      <w:r w:rsidRPr="00E14102">
        <w:rPr>
          <w:color w:val="000000" w:themeColor="text1"/>
          <w:sz w:val="16"/>
          <w:szCs w:val="16"/>
        </w:rPr>
        <w:t>К 1 мая 1935 г. на метро было истрачено 776,3 млн. руб. Правительственная комиссия составила детальную роспись, из которой очевидно, что наряду с собственно тоннельными работами имелись и значительные сопутствующие расходы:</w:t>
      </w:r>
    </w:p>
    <w:p w14:paraId="214F6357" w14:textId="77777777" w:rsidR="00545EDE" w:rsidRPr="00E14102" w:rsidRDefault="00545EDE" w:rsidP="00E14102">
      <w:pPr>
        <w:jc w:val="both"/>
        <w:rPr>
          <w:color w:val="000000" w:themeColor="text1"/>
          <w:sz w:val="16"/>
          <w:szCs w:val="16"/>
        </w:rPr>
      </w:pPr>
      <w:r w:rsidRPr="00E14102">
        <w:rPr>
          <w:color w:val="000000" w:themeColor="text1"/>
          <w:sz w:val="16"/>
          <w:szCs w:val="16"/>
        </w:rPr>
        <w:t>Тоннели, станции — 515,6 — 66,4</w:t>
      </w:r>
    </w:p>
    <w:p w14:paraId="7DA2C529" w14:textId="77777777" w:rsidR="00545EDE" w:rsidRPr="00E14102" w:rsidRDefault="00545EDE" w:rsidP="00E14102">
      <w:pPr>
        <w:jc w:val="both"/>
        <w:rPr>
          <w:color w:val="000000" w:themeColor="text1"/>
          <w:sz w:val="16"/>
          <w:szCs w:val="16"/>
        </w:rPr>
      </w:pPr>
      <w:r w:rsidRPr="00E14102">
        <w:rPr>
          <w:color w:val="000000" w:themeColor="text1"/>
          <w:sz w:val="16"/>
          <w:szCs w:val="16"/>
        </w:rPr>
        <w:t>Вестибюли — 7,0 — 0,9</w:t>
      </w:r>
    </w:p>
    <w:p w14:paraId="6872BDD0" w14:textId="77777777" w:rsidR="00545EDE" w:rsidRPr="00E14102" w:rsidRDefault="00545EDE" w:rsidP="00E14102">
      <w:pPr>
        <w:jc w:val="both"/>
        <w:rPr>
          <w:color w:val="000000" w:themeColor="text1"/>
          <w:sz w:val="16"/>
          <w:szCs w:val="16"/>
        </w:rPr>
      </w:pPr>
      <w:r w:rsidRPr="00E14102">
        <w:rPr>
          <w:color w:val="000000" w:themeColor="text1"/>
          <w:sz w:val="16"/>
          <w:szCs w:val="16"/>
        </w:rPr>
        <w:t>Оформление станций и вестибюлей — 37,0 — 4,8</w:t>
      </w:r>
    </w:p>
    <w:p w14:paraId="14E8C196" w14:textId="77777777" w:rsidR="00545EDE" w:rsidRPr="00E14102" w:rsidRDefault="00545EDE" w:rsidP="00E14102">
      <w:pPr>
        <w:jc w:val="both"/>
        <w:rPr>
          <w:color w:val="000000" w:themeColor="text1"/>
          <w:sz w:val="16"/>
          <w:szCs w:val="16"/>
        </w:rPr>
      </w:pPr>
      <w:r w:rsidRPr="00E14102">
        <w:rPr>
          <w:color w:val="000000" w:themeColor="text1"/>
          <w:sz w:val="16"/>
          <w:szCs w:val="16"/>
        </w:rPr>
        <w:t>Укладка и электрификация пути — 14,4 — 1,9</w:t>
      </w:r>
    </w:p>
    <w:p w14:paraId="405755FC" w14:textId="77777777" w:rsidR="00545EDE" w:rsidRPr="00E14102" w:rsidRDefault="00545EDE" w:rsidP="00E14102">
      <w:pPr>
        <w:jc w:val="both"/>
        <w:rPr>
          <w:color w:val="000000" w:themeColor="text1"/>
          <w:sz w:val="16"/>
          <w:szCs w:val="16"/>
        </w:rPr>
      </w:pPr>
      <w:r w:rsidRPr="00E14102">
        <w:rPr>
          <w:color w:val="000000" w:themeColor="text1"/>
          <w:sz w:val="16"/>
          <w:szCs w:val="16"/>
        </w:rPr>
        <w:t>Сигнализация, автоблокировка — 6,9 — 0,9</w:t>
      </w:r>
    </w:p>
    <w:p w14:paraId="718A6AC1" w14:textId="77777777" w:rsidR="00545EDE" w:rsidRPr="00E14102" w:rsidRDefault="00545EDE" w:rsidP="00E14102">
      <w:pPr>
        <w:jc w:val="both"/>
        <w:rPr>
          <w:color w:val="000000" w:themeColor="text1"/>
          <w:sz w:val="16"/>
          <w:szCs w:val="16"/>
        </w:rPr>
      </w:pPr>
      <w:r w:rsidRPr="00E14102">
        <w:rPr>
          <w:color w:val="000000" w:themeColor="text1"/>
          <w:sz w:val="16"/>
          <w:szCs w:val="16"/>
        </w:rPr>
        <w:t>Комплектация вагонов — 14,1 — 1,8</w:t>
      </w:r>
    </w:p>
    <w:p w14:paraId="662E4F85" w14:textId="77777777" w:rsidR="00545EDE" w:rsidRPr="00E14102" w:rsidRDefault="00545EDE" w:rsidP="00E14102">
      <w:pPr>
        <w:jc w:val="both"/>
        <w:rPr>
          <w:color w:val="000000" w:themeColor="text1"/>
          <w:sz w:val="16"/>
          <w:szCs w:val="16"/>
        </w:rPr>
      </w:pPr>
      <w:r w:rsidRPr="00E14102">
        <w:rPr>
          <w:color w:val="000000" w:themeColor="text1"/>
          <w:sz w:val="16"/>
          <w:szCs w:val="16"/>
        </w:rPr>
        <w:t>Электромеханическое оборудование, включая монтаж и запчасти — 19,0 — 2,4</w:t>
      </w:r>
    </w:p>
    <w:p w14:paraId="19AD8041" w14:textId="77777777" w:rsidR="00545EDE" w:rsidRPr="00E14102" w:rsidRDefault="00545EDE" w:rsidP="00E14102">
      <w:pPr>
        <w:jc w:val="both"/>
        <w:rPr>
          <w:color w:val="000000" w:themeColor="text1"/>
          <w:sz w:val="16"/>
          <w:szCs w:val="16"/>
        </w:rPr>
      </w:pPr>
      <w:r w:rsidRPr="00E14102">
        <w:rPr>
          <w:color w:val="000000" w:themeColor="text1"/>
          <w:sz w:val="16"/>
          <w:szCs w:val="16"/>
        </w:rPr>
        <w:t>Электроснабжение, трансформаторные подстанции — 23,3 — 3,0</w:t>
      </w:r>
    </w:p>
    <w:p w14:paraId="301DF669" w14:textId="77777777" w:rsidR="00545EDE" w:rsidRPr="00E14102" w:rsidRDefault="00545EDE" w:rsidP="00E14102">
      <w:pPr>
        <w:jc w:val="both"/>
        <w:rPr>
          <w:color w:val="000000" w:themeColor="text1"/>
          <w:sz w:val="16"/>
          <w:szCs w:val="16"/>
        </w:rPr>
      </w:pPr>
      <w:r w:rsidRPr="00E14102">
        <w:rPr>
          <w:color w:val="000000" w:themeColor="text1"/>
          <w:sz w:val="16"/>
          <w:szCs w:val="16"/>
        </w:rPr>
        <w:t>Депо, вагонный парк, мастерские — 7,8 — 1,0</w:t>
      </w:r>
    </w:p>
    <w:p w14:paraId="0882E7D9" w14:textId="77777777" w:rsidR="00545EDE" w:rsidRPr="00E14102" w:rsidRDefault="00545EDE" w:rsidP="00E14102">
      <w:pPr>
        <w:jc w:val="both"/>
        <w:rPr>
          <w:color w:val="000000" w:themeColor="text1"/>
          <w:sz w:val="16"/>
          <w:szCs w:val="16"/>
        </w:rPr>
      </w:pPr>
      <w:r w:rsidRPr="00E14102">
        <w:rPr>
          <w:color w:val="000000" w:themeColor="text1"/>
          <w:sz w:val="16"/>
          <w:szCs w:val="16"/>
        </w:rPr>
        <w:t>Расходы по сдаче в эксплуатацию, обучению служебного персонала — 2,9 — 0,4</w:t>
      </w:r>
    </w:p>
    <w:p w14:paraId="2105312C" w14:textId="77777777" w:rsidR="00545EDE" w:rsidRPr="00E14102" w:rsidRDefault="00545EDE" w:rsidP="00E14102">
      <w:pPr>
        <w:jc w:val="both"/>
        <w:rPr>
          <w:color w:val="000000" w:themeColor="text1"/>
          <w:sz w:val="16"/>
          <w:szCs w:val="16"/>
        </w:rPr>
      </w:pPr>
      <w:r w:rsidRPr="00E14102">
        <w:rPr>
          <w:color w:val="000000" w:themeColor="text1"/>
          <w:sz w:val="16"/>
          <w:szCs w:val="16"/>
        </w:rPr>
        <w:t>Жилищное и культурное строительство, предприятия торговли и общественного питания — 46,1 — 5,9</w:t>
      </w:r>
    </w:p>
    <w:p w14:paraId="5F3C2772" w14:textId="77777777" w:rsidR="00545EDE" w:rsidRPr="00E14102" w:rsidRDefault="00545EDE" w:rsidP="00E14102">
      <w:pPr>
        <w:jc w:val="both"/>
        <w:rPr>
          <w:color w:val="000000" w:themeColor="text1"/>
          <w:sz w:val="16"/>
          <w:szCs w:val="16"/>
        </w:rPr>
      </w:pPr>
      <w:r w:rsidRPr="00E14102">
        <w:rPr>
          <w:color w:val="000000" w:themeColor="text1"/>
          <w:sz w:val="16"/>
          <w:szCs w:val="16"/>
        </w:rPr>
        <w:t>Строительство и снабжение вспомогательных предприятий, административное строительство — 23,2 — 3,0</w:t>
      </w:r>
    </w:p>
    <w:p w14:paraId="21C21EAD" w14:textId="77777777" w:rsidR="00545EDE" w:rsidRPr="00E14102" w:rsidRDefault="00545EDE" w:rsidP="00E14102">
      <w:pPr>
        <w:jc w:val="both"/>
        <w:rPr>
          <w:color w:val="000000" w:themeColor="text1"/>
          <w:sz w:val="16"/>
          <w:szCs w:val="16"/>
        </w:rPr>
      </w:pPr>
      <w:r w:rsidRPr="00E14102">
        <w:rPr>
          <w:color w:val="000000" w:themeColor="text1"/>
          <w:sz w:val="16"/>
          <w:szCs w:val="16"/>
        </w:rPr>
        <w:t>Строительная техника — 34,6 — 4,5</w:t>
      </w:r>
    </w:p>
    <w:p w14:paraId="2F1F99A8" w14:textId="77777777" w:rsidR="00545EDE" w:rsidRPr="00E14102" w:rsidRDefault="00545EDE" w:rsidP="00E14102">
      <w:pPr>
        <w:jc w:val="both"/>
        <w:rPr>
          <w:color w:val="000000" w:themeColor="text1"/>
          <w:sz w:val="16"/>
          <w:szCs w:val="16"/>
        </w:rPr>
      </w:pPr>
      <w:r w:rsidRPr="00E14102">
        <w:rPr>
          <w:color w:val="000000" w:themeColor="text1"/>
          <w:sz w:val="16"/>
          <w:szCs w:val="16"/>
        </w:rPr>
        <w:t>Автомобильный парк — 15,1 — 1,9</w:t>
      </w:r>
    </w:p>
    <w:p w14:paraId="6A568E75" w14:textId="77777777" w:rsidR="00545EDE" w:rsidRPr="00E14102" w:rsidRDefault="00545EDE" w:rsidP="00E14102">
      <w:pPr>
        <w:jc w:val="both"/>
        <w:rPr>
          <w:color w:val="000000" w:themeColor="text1"/>
          <w:sz w:val="16"/>
          <w:szCs w:val="16"/>
        </w:rPr>
      </w:pPr>
      <w:r w:rsidRPr="00E14102">
        <w:rPr>
          <w:color w:val="000000" w:themeColor="text1"/>
          <w:sz w:val="16"/>
          <w:szCs w:val="16"/>
        </w:rPr>
        <w:t>Инвентарь — 11,2 — 1,4</w:t>
      </w:r>
    </w:p>
    <w:p w14:paraId="15A402D6" w14:textId="77777777" w:rsidR="00545EDE" w:rsidRPr="00E14102" w:rsidRDefault="00545EDE" w:rsidP="00E14102">
      <w:pPr>
        <w:jc w:val="both"/>
        <w:rPr>
          <w:color w:val="000000" w:themeColor="text1"/>
          <w:sz w:val="16"/>
          <w:szCs w:val="16"/>
        </w:rPr>
      </w:pPr>
      <w:r w:rsidRPr="00E14102">
        <w:rPr>
          <w:color w:val="000000" w:themeColor="text1"/>
          <w:sz w:val="16"/>
          <w:szCs w:val="16"/>
        </w:rPr>
        <w:t>Проектирование второй очереди — 1,9 — 0,2</w:t>
      </w:r>
    </w:p>
    <w:p w14:paraId="500D8789" w14:textId="77777777" w:rsidR="00545EDE" w:rsidRPr="00E14102" w:rsidRDefault="00545EDE" w:rsidP="00E14102">
      <w:pPr>
        <w:jc w:val="both"/>
        <w:rPr>
          <w:color w:val="000000" w:themeColor="text1"/>
          <w:sz w:val="16"/>
          <w:szCs w:val="16"/>
        </w:rPr>
      </w:pPr>
      <w:r w:rsidRPr="00E14102">
        <w:rPr>
          <w:color w:val="000000" w:themeColor="text1"/>
          <w:sz w:val="16"/>
          <w:szCs w:val="16"/>
        </w:rPr>
        <w:t>Всего расходов — 776,3 — 100,0</w:t>
      </w:r>
    </w:p>
    <w:p w14:paraId="32156AA9" w14:textId="77777777" w:rsidR="00545EDE" w:rsidRPr="00E14102" w:rsidRDefault="00545EDE" w:rsidP="00E14102">
      <w:pPr>
        <w:jc w:val="both"/>
        <w:rPr>
          <w:color w:val="000000" w:themeColor="text1"/>
          <w:sz w:val="16"/>
          <w:szCs w:val="16"/>
        </w:rPr>
      </w:pPr>
      <w:r w:rsidRPr="00E14102">
        <w:rPr>
          <w:color w:val="000000" w:themeColor="text1"/>
          <w:sz w:val="16"/>
          <w:szCs w:val="16"/>
        </w:rPr>
        <w:t>Можно заметить, что архитектурное и художественное убранство станций и вестибюлей, которое объявлялось некоторыми зарубежными наблюдателями абсурдной расточительностью в условиях голода 1933 г. и всеобщей бедности советских граждан, заняло не более 4,8-5,8% всех строительных затрат. Следует, впрочем, принять во внимание не известные точно затраты на расширение и особую, отличающуюся от проектной, отделку нескольких станций, проведенные в угоду политическим веяниям[57].Тем не менее основная часть средств расходовалась собственно на строительство, а не на оформление станций метрополитена.</w:t>
      </w:r>
    </w:p>
    <w:p w14:paraId="7AA9B1B4" w14:textId="77777777" w:rsidR="00545EDE" w:rsidRPr="00E14102" w:rsidRDefault="00545EDE" w:rsidP="00E14102">
      <w:pPr>
        <w:jc w:val="both"/>
        <w:rPr>
          <w:color w:val="000000" w:themeColor="text1"/>
          <w:sz w:val="16"/>
          <w:szCs w:val="16"/>
        </w:rPr>
      </w:pPr>
      <w:r w:rsidRPr="00E14102">
        <w:rPr>
          <w:color w:val="000000" w:themeColor="text1"/>
          <w:sz w:val="16"/>
          <w:szCs w:val="16"/>
        </w:rPr>
        <w:t>Решающим фактором удорожания строительства метро стало решение о прокладке части тоннелей первой очереди на большой глубине. Горнопроходческий и щитовой способ строительства на большой глубине обходились существенно дороже, чем берлинский или траншейный метод прокладки линий.</w:t>
      </w:r>
    </w:p>
    <w:p w14:paraId="5B133E33" w14:textId="77777777" w:rsidR="00545EDE" w:rsidRPr="00E14102" w:rsidRDefault="00545EDE" w:rsidP="00E14102">
      <w:pPr>
        <w:jc w:val="both"/>
        <w:rPr>
          <w:color w:val="000000" w:themeColor="text1"/>
          <w:sz w:val="16"/>
          <w:szCs w:val="16"/>
        </w:rPr>
      </w:pPr>
      <w:r w:rsidRPr="00E14102">
        <w:rPr>
          <w:color w:val="000000" w:themeColor="text1"/>
          <w:sz w:val="16"/>
          <w:szCs w:val="16"/>
        </w:rPr>
        <w:t>Финансирование строительства метро велось непосредственно из государственного бюджета. Для этой цели не выпускались внутренние или внешние займы. Для первой очереди строительства были выделены следующие суммы из бюджета.</w:t>
      </w:r>
    </w:p>
    <w:p w14:paraId="0C461574" w14:textId="77777777" w:rsidR="00545EDE" w:rsidRPr="00E14102" w:rsidRDefault="00545EDE" w:rsidP="00E14102">
      <w:pPr>
        <w:jc w:val="both"/>
        <w:rPr>
          <w:color w:val="000000" w:themeColor="text1"/>
          <w:sz w:val="16"/>
          <w:szCs w:val="16"/>
        </w:rPr>
      </w:pPr>
      <w:r w:rsidRPr="00E14102">
        <w:rPr>
          <w:color w:val="000000" w:themeColor="text1"/>
          <w:sz w:val="16"/>
          <w:szCs w:val="16"/>
        </w:rPr>
        <w:t>Разница между предоставленными к маю 1935 г. средствами и общей суммой расходов на строительство была покрыта с помощью банковского кредита. Кредитами Метрострой пользовался и во время строительства, когда надо было залатать финансовые дыры, пока правительство не предоставит новые средства. Это относится прежде всего к первым месяцам 1934 г., когда строительные работы развернулись ударным темпом и в полном масштабе{572} (18299).</w:t>
      </w:r>
    </w:p>
    <w:p w14:paraId="77B1BE55" w14:textId="77777777" w:rsidR="00545EDE" w:rsidRPr="00E14102" w:rsidRDefault="00545EDE" w:rsidP="00E14102">
      <w:pPr>
        <w:jc w:val="both"/>
        <w:rPr>
          <w:color w:val="000000" w:themeColor="text1"/>
          <w:sz w:val="16"/>
          <w:szCs w:val="16"/>
        </w:rPr>
      </w:pPr>
    </w:p>
    <w:p w14:paraId="78DFAFBF" w14:textId="77777777" w:rsidR="00545EDE" w:rsidRPr="00E14102" w:rsidRDefault="00545EDE" w:rsidP="00E14102">
      <w:pPr>
        <w:jc w:val="both"/>
        <w:rPr>
          <w:color w:val="000000" w:themeColor="text1"/>
          <w:sz w:val="16"/>
          <w:szCs w:val="16"/>
        </w:rPr>
      </w:pPr>
      <w:r w:rsidRPr="00E14102">
        <w:rPr>
          <w:color w:val="000000" w:themeColor="text1"/>
          <w:sz w:val="16"/>
          <w:szCs w:val="16"/>
        </w:rPr>
        <w:t>1 мая 1935. Первоначальная дата пуска Московского метрополитена, перенесенная на две недели позже из-за технических неполадок (главным образом, течи в туннелях) (18720).</w:t>
      </w:r>
    </w:p>
    <w:p w14:paraId="38662FBE" w14:textId="77777777" w:rsidR="00545EDE" w:rsidRPr="00E14102" w:rsidRDefault="00545EDE" w:rsidP="00E14102">
      <w:pPr>
        <w:jc w:val="both"/>
        <w:rPr>
          <w:color w:val="000000" w:themeColor="text1"/>
          <w:sz w:val="16"/>
          <w:szCs w:val="16"/>
        </w:rPr>
      </w:pPr>
    </w:p>
    <w:p w14:paraId="4342618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мая 1935 в СССР созданы подразделения милиции по охране общественного порядка в метрополитене (4962).</w:t>
      </w:r>
    </w:p>
    <w:p w14:paraId="64A3E87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F19B2BB" w14:textId="77777777" w:rsidR="00DF734F" w:rsidRPr="00E14102" w:rsidRDefault="00DF734F" w:rsidP="00E14102">
      <w:pPr>
        <w:jc w:val="both"/>
        <w:rPr>
          <w:color w:val="000000" w:themeColor="text1"/>
          <w:sz w:val="16"/>
          <w:szCs w:val="16"/>
        </w:rPr>
      </w:pPr>
      <w:r w:rsidRPr="00E14102">
        <w:rPr>
          <w:bCs/>
          <w:color w:val="000000" w:themeColor="text1"/>
          <w:sz w:val="16"/>
          <w:szCs w:val="16"/>
        </w:rPr>
        <w:t>1 мая</w:t>
      </w:r>
      <w:r w:rsidRPr="00E14102">
        <w:rPr>
          <w:color w:val="000000" w:themeColor="text1"/>
          <w:sz w:val="16"/>
          <w:szCs w:val="16"/>
        </w:rPr>
        <w:t xml:space="preserve"> в 1935 году в СССР была создана Центральная сейсмическая станция «Москва» (ныне в ведении Геофизической службы Российской Академии Наук). Входит в единую сейсмическую сеть России и обеспечивает регистрацию сейсмических волн от удаленных и близких землетрясений в европейской части России, в том числе в Москве (14878).</w:t>
      </w:r>
    </w:p>
    <w:p w14:paraId="17EAB529" w14:textId="77777777" w:rsidR="00DF734F" w:rsidRPr="00E14102" w:rsidRDefault="00DF734F" w:rsidP="00E14102">
      <w:pPr>
        <w:jc w:val="both"/>
        <w:rPr>
          <w:color w:val="000000" w:themeColor="text1"/>
          <w:sz w:val="16"/>
          <w:szCs w:val="16"/>
        </w:rPr>
      </w:pPr>
    </w:p>
    <w:p w14:paraId="223497E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6B325C5" w14:textId="77777777" w:rsidR="00D4105E" w:rsidRPr="00E14102" w:rsidRDefault="00D4105E" w:rsidP="00E14102">
      <w:pPr>
        <w:autoSpaceDE w:val="0"/>
        <w:autoSpaceDN w:val="0"/>
        <w:adjustRightInd w:val="0"/>
        <w:jc w:val="both"/>
        <w:rPr>
          <w:iCs/>
          <w:color w:val="000000" w:themeColor="text1"/>
          <w:sz w:val="16"/>
          <w:szCs w:val="16"/>
        </w:rPr>
      </w:pPr>
    </w:p>
    <w:p w14:paraId="31BCD5A7" w14:textId="77777777" w:rsidR="00DF734F" w:rsidRPr="00E14102" w:rsidRDefault="00DF734F" w:rsidP="00E14102">
      <w:pPr>
        <w:jc w:val="both"/>
        <w:rPr>
          <w:color w:val="000000" w:themeColor="text1"/>
          <w:sz w:val="16"/>
          <w:szCs w:val="16"/>
        </w:rPr>
      </w:pPr>
      <w:r w:rsidRPr="00E14102">
        <w:rPr>
          <w:bCs/>
          <w:color w:val="000000" w:themeColor="text1"/>
          <w:sz w:val="16"/>
          <w:szCs w:val="16"/>
        </w:rPr>
        <w:t>1 мая</w:t>
      </w:r>
      <w:r w:rsidRPr="00E14102">
        <w:rPr>
          <w:color w:val="000000" w:themeColor="text1"/>
          <w:sz w:val="16"/>
          <w:szCs w:val="16"/>
        </w:rPr>
        <w:t xml:space="preserve"> в 1935 году французская морская авиация выдало спецификацию МТ\СРТ 9 на двухмоторный гидросамолёт, способный как вести разведку, так и наносить торпедо-бомбовые удары по судам противника. На конкурс было представлено три проекта от фирм «Bloch» («MB.480»), «Loire» («Loire.240», позднее переименован в «LN.10») и «Farman» («F.410»).</w:t>
      </w:r>
    </w:p>
    <w:p w14:paraId="345D2E67" w14:textId="77777777" w:rsidR="00DF734F" w:rsidRPr="00E14102" w:rsidRDefault="00DF734F" w:rsidP="00E14102">
      <w:pPr>
        <w:jc w:val="both"/>
        <w:rPr>
          <w:color w:val="000000" w:themeColor="text1"/>
          <w:sz w:val="16"/>
          <w:szCs w:val="16"/>
        </w:rPr>
      </w:pPr>
      <w:r w:rsidRPr="00E14102">
        <w:rPr>
          <w:color w:val="000000" w:themeColor="text1"/>
          <w:sz w:val="16"/>
          <w:szCs w:val="16"/>
        </w:rPr>
        <w:t xml:space="preserve">Остановились на последней модели. Использовали схему свободонесущего низкоплана с двумя радиальными двигателями «GR» «14Knrs\Kors» (1010 л.с.) в крыле, двухкилевое оперение, богато остекленная кабина штурмана. Самолёт устанавливался на стандартные поплавки «фармановского» типа, но была предусмотрена возможность установки убираемого колесного шасси. В ходе постройки прототипа двигатели заменили на более мощные и экономичные «GR» «14 2\3» (1180 л.с.) с трехлопастными винтами. Опытный экземпляр </w:t>
      </w:r>
      <w:hyperlink r:id="rId93" w:tgtFrame="_blank" w:history="1">
        <w:r w:rsidRPr="00E14102">
          <w:rPr>
            <w:color w:val="000000" w:themeColor="text1"/>
            <w:sz w:val="16"/>
            <w:szCs w:val="16"/>
          </w:rPr>
          <w:t xml:space="preserve">«F.410» </w:t>
        </w:r>
      </w:hyperlink>
      <w:r w:rsidRPr="00E14102">
        <w:rPr>
          <w:color w:val="000000" w:themeColor="text1"/>
          <w:sz w:val="16"/>
          <w:szCs w:val="16"/>
        </w:rPr>
        <w:t>сразу получил полный комплект оборудования и вооружения. В его состав входил один турельный 7,5-мм пулемет «Darne» в носовой части фюзеляжа и 20-мм пушка «HS-404» установленная снизу за крылом. Бомбовое вооружение включало до 1320 кг различных бомб (пять 225-кг бомб) (14878).</w:t>
      </w:r>
    </w:p>
    <w:p w14:paraId="75C9EAE0" w14:textId="77777777" w:rsidR="00DF734F" w:rsidRPr="00E14102" w:rsidRDefault="00DF734F" w:rsidP="00E14102">
      <w:pPr>
        <w:jc w:val="both"/>
        <w:rPr>
          <w:color w:val="000000" w:themeColor="text1"/>
          <w:sz w:val="16"/>
          <w:szCs w:val="16"/>
        </w:rPr>
      </w:pPr>
    </w:p>
    <w:p w14:paraId="5E447BD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мая 1935 выпущен первый канадский серебряный доллар (4962).</w:t>
      </w:r>
    </w:p>
    <w:p w14:paraId="044F2F9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CE1507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AD940FF" w14:textId="77777777" w:rsidR="00D4105E" w:rsidRPr="00E14102" w:rsidRDefault="00D4105E" w:rsidP="00E14102">
      <w:pPr>
        <w:autoSpaceDE w:val="0"/>
        <w:autoSpaceDN w:val="0"/>
        <w:adjustRightInd w:val="0"/>
        <w:jc w:val="both"/>
        <w:rPr>
          <w:iCs/>
          <w:color w:val="000000" w:themeColor="text1"/>
          <w:sz w:val="16"/>
          <w:szCs w:val="16"/>
        </w:rPr>
      </w:pPr>
    </w:p>
    <w:p w14:paraId="1B9F470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мая 1935 г. состоялся первый полет бомбардировщика ДБ-А В.Ф.Болховитинова (6395).</w:t>
      </w:r>
    </w:p>
    <w:p w14:paraId="4874FA4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AB2B0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мая 1935 состоялся первый полет ДБА (закончили испытания зимой 1936 (80,326). Летали Н.Г.Кастанаев и Я.Н.Моисеев, а потом второго пилота из-за болезни заменил А.К.Туманский. А.К.Туманский заметил, что Н.Г.Кастанаев машину проталкивал и в качестве недостатка заметил только плохой обзор из кабины (2014,5).</w:t>
      </w:r>
    </w:p>
    <w:p w14:paraId="4427A4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А.К.Туманский завершил программу заводских испытаний до конца зимы 1936 (2203,13).</w:t>
      </w:r>
    </w:p>
    <w:p w14:paraId="3FDC17CE" w14:textId="77777777" w:rsidR="00D4105E" w:rsidRPr="00E14102" w:rsidRDefault="00D4105E" w:rsidP="00E14102">
      <w:pPr>
        <w:autoSpaceDE w:val="0"/>
        <w:autoSpaceDN w:val="0"/>
        <w:adjustRightInd w:val="0"/>
        <w:jc w:val="both"/>
        <w:rPr>
          <w:color w:val="000000" w:themeColor="text1"/>
          <w:sz w:val="16"/>
          <w:szCs w:val="16"/>
        </w:rPr>
      </w:pPr>
    </w:p>
    <w:p w14:paraId="798A1F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 мая 1935 по 27 февраля 1936 состоялись заводские испытания ДБ А 4М-34РН N 22А-1 конструкции и постройки завода 22 им. С.П.Горбунова</w:t>
      </w:r>
    </w:p>
    <w:p w14:paraId="42F070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 вл Кастанаев, ви Фролов.</w:t>
      </w:r>
    </w:p>
    <w:p w14:paraId="1D2051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Цель испытаний: Испытать 4-х моторный ДБ ДБА-4М-34РН конструкции завода 22 и построенный им же по правительственному плану. Задачей гос. испытаний являлись:</w:t>
      </w:r>
    </w:p>
    <w:p w14:paraId="7BD716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Испытать все новые агрегата, отличающие самолет от ТБ-3</w:t>
      </w:r>
    </w:p>
    <w:p w14:paraId="0586D6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Снять летные характеристики</w:t>
      </w:r>
    </w:p>
    <w:p w14:paraId="20D59C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Проверить прочность, а также соответствие летных и эксплуатационных характеристик ТТТ (249).</w:t>
      </w:r>
    </w:p>
    <w:p w14:paraId="3DDD143F" w14:textId="77777777" w:rsidR="00D4105E" w:rsidRPr="00E14102" w:rsidRDefault="00D4105E" w:rsidP="00E14102">
      <w:pPr>
        <w:autoSpaceDE w:val="0"/>
        <w:autoSpaceDN w:val="0"/>
        <w:adjustRightInd w:val="0"/>
        <w:jc w:val="both"/>
        <w:rPr>
          <w:color w:val="000000" w:themeColor="text1"/>
          <w:sz w:val="16"/>
          <w:szCs w:val="16"/>
        </w:rPr>
      </w:pPr>
    </w:p>
    <w:p w14:paraId="655E9B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мая 1935 на ДБА 4М-34РН в ходе заводских испытаний летали 2 раза: 1-й - первый 30 мин. полет, 2-й - 50 мин. полет на проверку устойчивости и освоение (249).</w:t>
      </w:r>
    </w:p>
    <w:p w14:paraId="796DB208" w14:textId="77777777" w:rsidR="00D4105E" w:rsidRPr="00E14102" w:rsidRDefault="00D4105E" w:rsidP="00E14102">
      <w:pPr>
        <w:autoSpaceDE w:val="0"/>
        <w:autoSpaceDN w:val="0"/>
        <w:adjustRightInd w:val="0"/>
        <w:jc w:val="both"/>
        <w:rPr>
          <w:color w:val="000000" w:themeColor="text1"/>
          <w:sz w:val="16"/>
          <w:szCs w:val="16"/>
        </w:rPr>
      </w:pPr>
    </w:p>
    <w:p w14:paraId="0053C4FC" w14:textId="77777777" w:rsidR="00033BC7" w:rsidRPr="00E14102" w:rsidRDefault="00033BC7" w:rsidP="00E14102">
      <w:pPr>
        <w:jc w:val="both"/>
        <w:rPr>
          <w:color w:val="000000" w:themeColor="text1"/>
          <w:sz w:val="16"/>
          <w:szCs w:val="16"/>
        </w:rPr>
      </w:pPr>
      <w:r w:rsidRPr="00E14102">
        <w:rPr>
          <w:color w:val="000000" w:themeColor="text1"/>
          <w:sz w:val="16"/>
          <w:szCs w:val="16"/>
        </w:rPr>
        <w:t xml:space="preserve">2 мая в 1935 году первый полет тяжелого бомбардировщика </w:t>
      </w:r>
      <w:hyperlink r:id="rId94" w:tgtFrame="_blank" w:history="1">
        <w:r w:rsidRPr="00E14102">
          <w:rPr>
            <w:color w:val="000000" w:themeColor="text1"/>
            <w:sz w:val="16"/>
            <w:szCs w:val="16"/>
          </w:rPr>
          <w:t xml:space="preserve">«ДБ-А», </w:t>
        </w:r>
      </w:hyperlink>
      <w:r w:rsidRPr="00E14102">
        <w:rPr>
          <w:color w:val="000000" w:themeColor="text1"/>
          <w:sz w:val="16"/>
          <w:szCs w:val="16"/>
        </w:rPr>
        <w:t>предназначенного для замены «ТБ-3» и похожего из-за гофрированной обшивки на морщинистого старика. Конструктора В.Ф.Болховитинова. Пилотировали машину заводские летчики-испытатели Н.Г.Кастанаев и Я.Н.Моисеев. В дальнейшем заболевшего второго пилота Моисеева заменил летчик А.К.Туманский. В состав экипажа входили также инженеры Н.Н.Годовиков и Конкин. Всего полчаса продолжался полет «ДБ-А» (заводской индекс «22А»), а заводская братия, острая на язык, дала ему свое имя «Аннушка» за красоту и обтекаемые формы. Заводские испытания машины проходили с конца 1935 года по 5 марта 1936. В основном, их вел Кастанаев. После окончания заводских испытаний бомбардировщик проходил гос. испытания на 124-м авиазаводе в Казани. Там его освоил летчик М.А.Нюхтиков. Вторым пилотом был Антихин, инженером по вооружению – Цветков, а представителем завода – Волков. В облете машины принимали участие И.Ф.Петров, А.Н.Кабанов и А.М.Хрипков (14879).</w:t>
      </w:r>
    </w:p>
    <w:p w14:paraId="28B8B690" w14:textId="77777777" w:rsidR="00033BC7" w:rsidRPr="00E14102" w:rsidRDefault="00033BC7" w:rsidP="00E14102">
      <w:pPr>
        <w:jc w:val="both"/>
        <w:rPr>
          <w:color w:val="000000" w:themeColor="text1"/>
          <w:sz w:val="16"/>
          <w:szCs w:val="16"/>
        </w:rPr>
      </w:pPr>
    </w:p>
    <w:p w14:paraId="514082F0" w14:textId="77777777" w:rsidR="0063005B" w:rsidRPr="00E14102" w:rsidRDefault="0063005B" w:rsidP="00E14102">
      <w:pPr>
        <w:jc w:val="both"/>
        <w:rPr>
          <w:color w:val="000000" w:themeColor="text1"/>
          <w:sz w:val="16"/>
          <w:szCs w:val="16"/>
        </w:rPr>
      </w:pPr>
      <w:r w:rsidRPr="00E14102">
        <w:rPr>
          <w:color w:val="000000" w:themeColor="text1"/>
          <w:sz w:val="16"/>
          <w:szCs w:val="16"/>
        </w:rPr>
        <w:t>2 мая 1935 года в Советском Союзе еше продолжались первомайские праздники, а в подмосковных Филях на многие кило</w:t>
      </w:r>
      <w:r w:rsidRPr="00E14102">
        <w:rPr>
          <w:color w:val="000000" w:themeColor="text1"/>
          <w:sz w:val="16"/>
          <w:szCs w:val="16"/>
        </w:rPr>
        <w:softHyphen/>
        <w:t>метры разносился грохот тысячесильных авиационных моторов. Так уж повелось в той стране, большие и малые свершения приурочивали к праздничным дням.</w:t>
      </w:r>
    </w:p>
    <w:p w14:paraId="32EC0422" w14:textId="77777777" w:rsidR="0063005B" w:rsidRPr="00E14102" w:rsidRDefault="0063005B" w:rsidP="00E14102">
      <w:pPr>
        <w:jc w:val="both"/>
        <w:rPr>
          <w:color w:val="000000" w:themeColor="text1"/>
          <w:sz w:val="16"/>
          <w:szCs w:val="16"/>
        </w:rPr>
      </w:pPr>
      <w:r w:rsidRPr="00E14102">
        <w:rPr>
          <w:color w:val="000000" w:themeColor="text1"/>
          <w:sz w:val="16"/>
          <w:szCs w:val="16"/>
        </w:rPr>
        <w:t>Вот и в этот раз с раннего угра шла под</w:t>
      </w:r>
      <w:r w:rsidRPr="00E14102">
        <w:rPr>
          <w:color w:val="000000" w:themeColor="text1"/>
          <w:sz w:val="16"/>
          <w:szCs w:val="16"/>
        </w:rPr>
        <w:softHyphen/>
        <w:t>готовка к первому полету нового тяжелого бомбардировщика, предназначавшегося для замены ТБ-3, похожего из-за гофриро</w:t>
      </w:r>
      <w:r w:rsidRPr="00E14102">
        <w:rPr>
          <w:color w:val="000000" w:themeColor="text1"/>
          <w:sz w:val="16"/>
          <w:szCs w:val="16"/>
        </w:rPr>
        <w:softHyphen/>
        <w:t>ванной обшивки на старого морщинисто</w:t>
      </w:r>
      <w:r w:rsidRPr="00E14102">
        <w:rPr>
          <w:color w:val="000000" w:themeColor="text1"/>
          <w:sz w:val="16"/>
          <w:szCs w:val="16"/>
        </w:rPr>
        <w:softHyphen/>
        <w:t>го старика. Всего полчаса продолжался по</w:t>
      </w:r>
      <w:r w:rsidRPr="00E14102">
        <w:rPr>
          <w:color w:val="000000" w:themeColor="text1"/>
          <w:sz w:val="16"/>
          <w:szCs w:val="16"/>
        </w:rPr>
        <w:softHyphen/>
        <w:t>лет ДБ-А (заводское обозначение «22А»), а заводская братия, острая на язык, дала ему свое имя — «Аннушка» за красоту и обтека</w:t>
      </w:r>
      <w:r w:rsidRPr="00E14102">
        <w:rPr>
          <w:color w:val="000000" w:themeColor="text1"/>
          <w:sz w:val="16"/>
          <w:szCs w:val="16"/>
        </w:rPr>
        <w:softHyphen/>
        <w:t>емые формы (12725).</w:t>
      </w:r>
    </w:p>
    <w:p w14:paraId="2367691D" w14:textId="77777777" w:rsidR="0063005B" w:rsidRPr="00E14102" w:rsidRDefault="0063005B" w:rsidP="00E14102">
      <w:pPr>
        <w:jc w:val="both"/>
        <w:rPr>
          <w:color w:val="000000" w:themeColor="text1"/>
          <w:sz w:val="16"/>
          <w:szCs w:val="16"/>
        </w:rPr>
      </w:pPr>
    </w:p>
    <w:p w14:paraId="513852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мая 1935 на ЦА был смотр авиации и приезжало правительство (350,74).</w:t>
      </w:r>
    </w:p>
    <w:p w14:paraId="78BF1814" w14:textId="77777777" w:rsidR="00D4105E" w:rsidRPr="00E14102" w:rsidRDefault="00D4105E" w:rsidP="00E14102">
      <w:pPr>
        <w:autoSpaceDE w:val="0"/>
        <w:autoSpaceDN w:val="0"/>
        <w:adjustRightInd w:val="0"/>
        <w:jc w:val="both"/>
        <w:rPr>
          <w:color w:val="000000" w:themeColor="text1"/>
          <w:sz w:val="16"/>
          <w:szCs w:val="16"/>
        </w:rPr>
      </w:pPr>
    </w:p>
    <w:p w14:paraId="560BBA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мая 1935 В.П.Ч. летал над ЦА, с трудом выпустил шасси и И.В.С. расцеловал его и с этого момента он стал любимым л СССР (1808,9). Есть и известное фото (1836,113).</w:t>
      </w:r>
    </w:p>
    <w:p w14:paraId="1AFD43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И.В.С. сказал В.П.Ч., что надо пользоваться парашютом, так как "Ваша жизнь дороже нам любой машины". А Н.Н.П. сказал: "А вы постройте нам скоростную машину" (271,150).</w:t>
      </w:r>
    </w:p>
    <w:p w14:paraId="01069D98" w14:textId="77777777" w:rsidR="00D4105E" w:rsidRPr="00E14102" w:rsidRDefault="00D4105E" w:rsidP="00E14102">
      <w:pPr>
        <w:autoSpaceDE w:val="0"/>
        <w:autoSpaceDN w:val="0"/>
        <w:adjustRightInd w:val="0"/>
        <w:jc w:val="both"/>
        <w:rPr>
          <w:color w:val="000000" w:themeColor="text1"/>
          <w:sz w:val="16"/>
          <w:szCs w:val="16"/>
        </w:rPr>
      </w:pPr>
    </w:p>
    <w:p w14:paraId="75D882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мая 1935 г. на Центральном аэродроме Москвы состоялся осмотр авиационной техники членами советского руководства во главе с Иосифом Сталиным. В показательных полетах принимал участие и Валерий Чкалов. Сталин уже обратил на него внимание. он не забыл встречу в ноябре прошлого года. Вождю явно импонировали не только высокое летное мастерство, но и открытое, смелое поведение Чкалова. На этот раз он прилюдно расцеловал приземлившегося пилота и некоторое время с ним беседовал. Считается, что именно в этот день Сталин произнес свою знаменитую, впоследствии растиражированную фразу о том, что жизнь советского летчика дороже любой машины. С этого момента Чкалов становится самым знаменитым летчиком Советского Союза, а И-16...не берусь этого утверждать, однако возможно и самолет с этого момента получил особую благосклонность кремлевского руководства. Встреча на Ходынке 2 мая имела положительные последствия и для Николая Поликарпова. Уже 3 мая 1935 г., народный комиссар тяжелой промышленности Серю Орджоникидзе написал записку-представление в ЦК о награждении Поликарпов и Чкалова орденами Ленина (12015).</w:t>
      </w:r>
    </w:p>
    <w:p w14:paraId="0E2456A2" w14:textId="77777777" w:rsidR="00D4105E" w:rsidRPr="00E14102" w:rsidRDefault="00D4105E" w:rsidP="00E14102">
      <w:pPr>
        <w:autoSpaceDE w:val="0"/>
        <w:autoSpaceDN w:val="0"/>
        <w:adjustRightInd w:val="0"/>
        <w:jc w:val="both"/>
        <w:rPr>
          <w:color w:val="000000" w:themeColor="text1"/>
          <w:sz w:val="16"/>
          <w:szCs w:val="16"/>
        </w:rPr>
      </w:pPr>
    </w:p>
    <w:p w14:paraId="231C46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мая 1935 Н.Н.П. был представлен И.В.С. на ЦА и Н.Н.П. стал строить ЦКБ-19 (3030,44).</w:t>
      </w:r>
    </w:p>
    <w:p w14:paraId="0EC06823" w14:textId="77777777" w:rsidR="00D4105E" w:rsidRPr="00E14102" w:rsidRDefault="00D4105E" w:rsidP="00E14102">
      <w:pPr>
        <w:autoSpaceDE w:val="0"/>
        <w:autoSpaceDN w:val="0"/>
        <w:adjustRightInd w:val="0"/>
        <w:jc w:val="both"/>
        <w:rPr>
          <w:color w:val="000000" w:themeColor="text1"/>
          <w:sz w:val="16"/>
          <w:szCs w:val="16"/>
        </w:rPr>
      </w:pPr>
    </w:p>
    <w:p w14:paraId="0667BA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мая 1935 г. на параде ВВС на аэродроме им. Фрунзе Сталиным была поставлена авиаконструкторам задача: дать в 1936 г. самолет со скоростью 600 км/час (3308).</w:t>
      </w:r>
    </w:p>
    <w:p w14:paraId="546A3AF4" w14:textId="77777777" w:rsidR="00D4105E" w:rsidRPr="00E14102" w:rsidRDefault="00D4105E" w:rsidP="00E14102">
      <w:pPr>
        <w:autoSpaceDE w:val="0"/>
        <w:autoSpaceDN w:val="0"/>
        <w:adjustRightInd w:val="0"/>
        <w:jc w:val="both"/>
        <w:rPr>
          <w:color w:val="000000" w:themeColor="text1"/>
          <w:sz w:val="16"/>
          <w:szCs w:val="16"/>
        </w:rPr>
      </w:pPr>
    </w:p>
    <w:p w14:paraId="0A6491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мая 1935 г. пожелание создать рекордные самолёты (морские и сухопутные) прозвучало из уст Иосифа Сталина, посетившего Центральный аэродром Москвы, где состоялось нечто вроде неофициальной демонстрации достижений советской авиапромышленности. Устное высказывание вождя воспринималось как руководство к действию и уже 5 мая 1935 г. заместитель начальника ГУАП Марголин направляет в ЦКБ задание исследовать возможность создания рекордных самолётов: сухопутного со скоростью 600 км/ч и морского со скоростью 800 км/ч. Появление данного документа привело к тому, что к его реализации приступила бригада № 2 Поликарпова и бригада № 3 Ильюшина (9630).</w:t>
      </w:r>
    </w:p>
    <w:p w14:paraId="4F3E675E" w14:textId="77777777" w:rsidR="00D4105E" w:rsidRPr="00E14102" w:rsidRDefault="00D4105E" w:rsidP="00E14102">
      <w:pPr>
        <w:autoSpaceDE w:val="0"/>
        <w:autoSpaceDN w:val="0"/>
        <w:adjustRightInd w:val="0"/>
        <w:jc w:val="both"/>
        <w:rPr>
          <w:color w:val="000000" w:themeColor="text1"/>
          <w:sz w:val="16"/>
          <w:szCs w:val="16"/>
        </w:rPr>
      </w:pPr>
    </w:p>
    <w:p w14:paraId="281065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мая 1935 г. на Центральном аэродроме им. М.В.Фрунзе в Москве состоялся закрытый правительственный смотр авиационной техники. Беседуя с конструкторами и летчиками, И.В.Сталин определил необходимость скорейшего создания скоростных истребителей и штурмовиков, вооружения боевых самолетов пушками. Сформулированная Сталиным программа опытных работ в авиапромышленности получила индекс “СЗ” (“Сталинское задание”). Вскоре ОКБ Ильюшина разработало проект истребителя И-21 (ЦКБ-32), при создании которого ставилась за дача получить максимальную скорость около 600 км/ч. Для этого следовало установить на И-21 самый мощный из имевшихся в то время в стране двигатель и максимально снизить лобовое сопротивление. Самолет спроектировали под двигатель АМ-34РНФ со взлетной мощностью 1200-1250 л.с., по схеме это был цельнометаллический свободнонесущий низкоплан. Первоначально самолет собирались вооружить четырьмя пулеметами ШКАС, в дальнейшем - двумя пушками ШВАК (9528).</w:t>
      </w:r>
    </w:p>
    <w:p w14:paraId="18065BFF" w14:textId="77777777" w:rsidR="00D4105E" w:rsidRPr="00E14102" w:rsidRDefault="00D4105E" w:rsidP="00E14102">
      <w:pPr>
        <w:autoSpaceDE w:val="0"/>
        <w:autoSpaceDN w:val="0"/>
        <w:adjustRightInd w:val="0"/>
        <w:jc w:val="both"/>
        <w:rPr>
          <w:color w:val="000000" w:themeColor="text1"/>
          <w:sz w:val="16"/>
          <w:szCs w:val="16"/>
        </w:rPr>
      </w:pPr>
    </w:p>
    <w:p w14:paraId="470407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мая 1935 г. на смотре авиационной техники Сталин в своем выступлении выразил надежду, что конструкто</w:t>
      </w:r>
      <w:r w:rsidRPr="00E14102">
        <w:rPr>
          <w:color w:val="000000" w:themeColor="text1"/>
          <w:sz w:val="16"/>
          <w:szCs w:val="16"/>
        </w:rPr>
        <w:softHyphen/>
        <w:t>ры уже к концу 1935 г. смогут дать истребитель с макси</w:t>
      </w:r>
      <w:r w:rsidRPr="00E14102">
        <w:rPr>
          <w:color w:val="000000" w:themeColor="text1"/>
          <w:sz w:val="16"/>
          <w:szCs w:val="16"/>
        </w:rPr>
        <w:softHyphen/>
        <w:t>мальной скоростью 600 км/ч, а в беседе с Поликарповым поставил задачу как можно быстрее строить самолет с мотором жидкостного охлаждения, вооруженный пуш</w:t>
      </w:r>
      <w:r w:rsidRPr="00E14102">
        <w:rPr>
          <w:color w:val="000000" w:themeColor="text1"/>
          <w:sz w:val="16"/>
          <w:szCs w:val="16"/>
        </w:rPr>
        <w:softHyphen/>
        <w:t>кой, стреляющей через полый вал редуктора со скоро</w:t>
      </w:r>
      <w:r w:rsidRPr="00E14102">
        <w:rPr>
          <w:color w:val="000000" w:themeColor="text1"/>
          <w:sz w:val="16"/>
          <w:szCs w:val="16"/>
        </w:rPr>
        <w:softHyphen/>
        <w:t>стью не ниже 500 км/ч. Однако обстановка, сложившаяся на заводе № 39, не позволяла надеяться на то, что маши</w:t>
      </w:r>
      <w:r w:rsidRPr="00E14102">
        <w:rPr>
          <w:color w:val="000000" w:themeColor="text1"/>
          <w:sz w:val="16"/>
          <w:szCs w:val="16"/>
        </w:rPr>
        <w:softHyphen/>
        <w:t>ны будут выпущены в срок. Планы систематически про</w:t>
      </w:r>
      <w:r w:rsidRPr="00E14102">
        <w:rPr>
          <w:color w:val="000000" w:themeColor="text1"/>
          <w:sz w:val="16"/>
          <w:szCs w:val="16"/>
        </w:rPr>
        <w:softHyphen/>
        <w:t>валивались. Приказы и директора, и наркомата не выполнялись. Во многом это было связано с порядками на заводе, с неорганизованностью, низкой производст</w:t>
      </w:r>
      <w:r w:rsidRPr="00E14102">
        <w:rPr>
          <w:color w:val="000000" w:themeColor="text1"/>
          <w:sz w:val="16"/>
          <w:szCs w:val="16"/>
        </w:rPr>
        <w:softHyphen/>
        <w:t>венной и технологической дисциплиной (10667).</w:t>
      </w:r>
    </w:p>
    <w:p w14:paraId="00A6461F" w14:textId="77777777" w:rsidR="00D4105E" w:rsidRPr="00E14102" w:rsidRDefault="00D4105E" w:rsidP="00E14102">
      <w:pPr>
        <w:autoSpaceDE w:val="0"/>
        <w:autoSpaceDN w:val="0"/>
        <w:adjustRightInd w:val="0"/>
        <w:jc w:val="both"/>
        <w:rPr>
          <w:color w:val="000000" w:themeColor="text1"/>
          <w:sz w:val="16"/>
          <w:szCs w:val="16"/>
        </w:rPr>
      </w:pPr>
    </w:p>
    <w:p w14:paraId="05DCCC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мая 1935 г. Сталин в выступлении на смотре авиационной тех</w:t>
      </w:r>
      <w:r w:rsidRPr="00E14102">
        <w:rPr>
          <w:color w:val="000000" w:themeColor="text1"/>
          <w:sz w:val="16"/>
          <w:szCs w:val="16"/>
        </w:rPr>
        <w:softHyphen/>
        <w:t>ники потребовал скорейшей разработки ис</w:t>
      </w:r>
      <w:r w:rsidRPr="00E14102">
        <w:rPr>
          <w:color w:val="000000" w:themeColor="text1"/>
          <w:sz w:val="16"/>
          <w:szCs w:val="16"/>
        </w:rPr>
        <w:softHyphen/>
        <w:t>требителей со скоростями 500-600 км/ч. Скорость ставилась во главу угла. 7 мая заместитель начальника ГУАП Марголин направил Поликарпову запрос о воз</w:t>
      </w:r>
      <w:r w:rsidRPr="00E14102">
        <w:rPr>
          <w:color w:val="000000" w:themeColor="text1"/>
          <w:sz w:val="16"/>
          <w:szCs w:val="16"/>
        </w:rPr>
        <w:softHyphen/>
        <w:t>можности постройки рекордного самолета (10667).</w:t>
      </w:r>
    </w:p>
    <w:p w14:paraId="029B8882" w14:textId="77777777" w:rsidR="00D4105E" w:rsidRPr="00E14102" w:rsidRDefault="00D4105E" w:rsidP="00E14102">
      <w:pPr>
        <w:autoSpaceDE w:val="0"/>
        <w:autoSpaceDN w:val="0"/>
        <w:adjustRightInd w:val="0"/>
        <w:jc w:val="both"/>
        <w:rPr>
          <w:color w:val="000000" w:themeColor="text1"/>
          <w:sz w:val="16"/>
          <w:szCs w:val="16"/>
        </w:rPr>
      </w:pPr>
    </w:p>
    <w:p w14:paraId="23D09B75" w14:textId="77777777" w:rsidR="00033BC7" w:rsidRPr="00E14102" w:rsidRDefault="00033BC7" w:rsidP="00E14102">
      <w:pPr>
        <w:jc w:val="both"/>
        <w:rPr>
          <w:color w:val="000000" w:themeColor="text1"/>
          <w:sz w:val="16"/>
          <w:szCs w:val="16"/>
        </w:rPr>
      </w:pPr>
      <w:r w:rsidRPr="00E14102">
        <w:rPr>
          <w:color w:val="000000" w:themeColor="text1"/>
          <w:sz w:val="16"/>
          <w:szCs w:val="16"/>
        </w:rPr>
        <w:t>2 мая 1935 года, согласно объяснительной записке к эскизному проекту И-21 С.В.И., на параде военно-воздушных сил на аэродроме имени Фрунзе товарищем Сталиным была поставлена задача авиационным конструкторам: дать в 1935 году самолет со скоростью 600 км/ч. Приступив немедленно к исполнению поставленной задачи и проведя ряд обстоятельных исследований, нами было обнаружено, что осуществление самолета с такой скоростью возможно не только в виде рекордного, но и в виде боевого одноместного истребителя с четырьмя пулеметами ШКАС или с двумя пушками ШВАК" (15554).</w:t>
      </w:r>
    </w:p>
    <w:p w14:paraId="14E8A2DD" w14:textId="77777777" w:rsidR="00033BC7" w:rsidRPr="00E14102" w:rsidRDefault="00033BC7" w:rsidP="00E14102">
      <w:pPr>
        <w:jc w:val="both"/>
        <w:rPr>
          <w:color w:val="000000" w:themeColor="text1"/>
          <w:sz w:val="16"/>
          <w:szCs w:val="16"/>
        </w:rPr>
      </w:pPr>
    </w:p>
    <w:p w14:paraId="3BBCB8A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52049344" w14:textId="77777777" w:rsidR="00D4105E" w:rsidRPr="00E14102" w:rsidRDefault="00D4105E" w:rsidP="00E14102">
      <w:pPr>
        <w:autoSpaceDE w:val="0"/>
        <w:autoSpaceDN w:val="0"/>
        <w:adjustRightInd w:val="0"/>
        <w:jc w:val="both"/>
        <w:rPr>
          <w:iCs/>
          <w:color w:val="000000" w:themeColor="text1"/>
          <w:sz w:val="16"/>
          <w:szCs w:val="16"/>
        </w:rPr>
      </w:pPr>
    </w:p>
    <w:p w14:paraId="149285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мая 1935 подписывается советско-французский Договор о взаимопомощи сроком на 5 лет (который, однако, не дополнен военным соглашением из-за нежелания П.Лаваля идти на это) (4962).</w:t>
      </w:r>
    </w:p>
    <w:p w14:paraId="540BD14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468B15D" w14:textId="77777777" w:rsidR="00D4105E" w:rsidRPr="00E14102" w:rsidRDefault="00D4105E" w:rsidP="00E14102">
      <w:pPr>
        <w:autoSpaceDE w:val="0"/>
        <w:autoSpaceDN w:val="0"/>
        <w:adjustRightInd w:val="0"/>
        <w:jc w:val="both"/>
        <w:rPr>
          <w:color w:val="000000" w:themeColor="text1"/>
          <w:sz w:val="16"/>
          <w:szCs w:val="16"/>
          <w:lang w:val="en-US"/>
        </w:rPr>
      </w:pPr>
      <w:r w:rsidRPr="00E14102">
        <w:rPr>
          <w:color w:val="000000" w:themeColor="text1"/>
          <w:sz w:val="16"/>
          <w:szCs w:val="16"/>
          <w:lang w:val="en-US"/>
        </w:rPr>
        <w:t>May 2 1935 France and the USSR sign five-year mutual assistance treaty (1037).</w:t>
      </w:r>
    </w:p>
    <w:p w14:paraId="1F692071" w14:textId="77777777" w:rsidR="00D4105E" w:rsidRPr="00E14102" w:rsidRDefault="00D4105E" w:rsidP="00E14102">
      <w:pPr>
        <w:autoSpaceDE w:val="0"/>
        <w:autoSpaceDN w:val="0"/>
        <w:adjustRightInd w:val="0"/>
        <w:jc w:val="both"/>
        <w:rPr>
          <w:color w:val="000000" w:themeColor="text1"/>
          <w:sz w:val="16"/>
          <w:szCs w:val="16"/>
          <w:lang w:val="en-US"/>
        </w:rPr>
      </w:pPr>
    </w:p>
    <w:p w14:paraId="1F0E58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мая 1935 СССР и Франция подписали 5 летний договор о взаимопомощи (1037). Это был ответ германо-польскому договору от 26 января 1934 (3240), однако, военное соглашение французы подписывать отказались (3908,347).</w:t>
      </w:r>
    </w:p>
    <w:p w14:paraId="0473A02E" w14:textId="77777777" w:rsidR="00D4105E" w:rsidRPr="00E14102" w:rsidRDefault="00D4105E" w:rsidP="00E14102">
      <w:pPr>
        <w:autoSpaceDE w:val="0"/>
        <w:autoSpaceDN w:val="0"/>
        <w:adjustRightInd w:val="0"/>
        <w:jc w:val="both"/>
        <w:rPr>
          <w:color w:val="000000" w:themeColor="text1"/>
          <w:sz w:val="16"/>
          <w:szCs w:val="16"/>
        </w:rPr>
      </w:pPr>
    </w:p>
    <w:p w14:paraId="62D4B7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мая 1935 г. был подписан советско-французский договор о взаимной помощи, однако его ратификация французской стороной неоправданно затянулась до 27 февраля 1936 г.</w:t>
      </w:r>
    </w:p>
    <w:p w14:paraId="15885C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 2 договора предусматривала немедленное оказание обеими сторонами помощи той из них, которая подвергнется неспровоцированному нападению третьей державы. При наличии угрозы такого нападения Франция и СССР должны были вступить во взаимные консультации (ст.1). Договор заключался сроком на пять лет с возможностью его последующего продления.</w:t>
      </w:r>
    </w:p>
    <w:p w14:paraId="2B57A3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Обязательства сторон по договору были сформулированы достаточно определенно. Однако их практическая реализация была обставлена множеством оговорок, указывавших на необходимость предварительных консультаций сторон как с Лигой Наций, так и со странами-участницами Локарнского пакта. Это существенно снижало эффективность договора. Оговорки могли допускать различные интерпретации процедурных вопросов. Все это придавало документу настолько обтекаемую форму, что потребовалось подписать отдельный специальный протокол, в котором стороны обязывались оказывать друг другу помощь независимо от того, какими окажутся рекомендации Лиги Наций в связи с возможным конфликтом.</w:t>
      </w:r>
    </w:p>
    <w:p w14:paraId="5C3692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Вследствие этих обстоятельств договор символизировал скорее вынужденный компромисс, чем ясно выраженную волю сторон к сотрудничеству.</w:t>
      </w:r>
    </w:p>
    <w:p w14:paraId="348FE5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Пакт создал общие юридические рамки для будущего сотрудничества. Но его нельзя было наладить без особой конвенции, которая бы регламентировала практические вопросы взаимодействия. Это предполагало проведение переговоров экспертов по линии военных ведомств. Затяжка с ратификацией договора и колебания французского правительства заблокировали создание полноценной структуры военного сотрудничества двух стран. В таком случае договор приобретал отчасти отвлеченно декларативный характер (3871).</w:t>
      </w:r>
    </w:p>
    <w:p w14:paraId="0F629691" w14:textId="77777777" w:rsidR="00D4105E" w:rsidRPr="00E14102" w:rsidRDefault="00D4105E" w:rsidP="00E14102">
      <w:pPr>
        <w:autoSpaceDE w:val="0"/>
        <w:autoSpaceDN w:val="0"/>
        <w:adjustRightInd w:val="0"/>
        <w:jc w:val="both"/>
        <w:rPr>
          <w:color w:val="000000" w:themeColor="text1"/>
          <w:sz w:val="16"/>
          <w:szCs w:val="16"/>
        </w:rPr>
      </w:pPr>
    </w:p>
    <w:p w14:paraId="543703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мая 1935 в Польше к власти пришла генеральская группа во главе с Э. Рыдз-Смиглой (3186).</w:t>
      </w:r>
    </w:p>
    <w:p w14:paraId="5D7DFE44" w14:textId="77777777" w:rsidR="00D4105E" w:rsidRPr="00E14102" w:rsidRDefault="00D4105E" w:rsidP="00E14102">
      <w:pPr>
        <w:autoSpaceDE w:val="0"/>
        <w:autoSpaceDN w:val="0"/>
        <w:adjustRightInd w:val="0"/>
        <w:jc w:val="both"/>
        <w:rPr>
          <w:color w:val="000000" w:themeColor="text1"/>
          <w:sz w:val="16"/>
          <w:szCs w:val="16"/>
        </w:rPr>
      </w:pPr>
    </w:p>
    <w:p w14:paraId="4590550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D1B2E68" w14:textId="77777777" w:rsidR="00D4105E" w:rsidRPr="00E14102" w:rsidRDefault="00D4105E" w:rsidP="00E14102">
      <w:pPr>
        <w:autoSpaceDE w:val="0"/>
        <w:autoSpaceDN w:val="0"/>
        <w:adjustRightInd w:val="0"/>
        <w:jc w:val="both"/>
        <w:rPr>
          <w:iCs/>
          <w:color w:val="000000" w:themeColor="text1"/>
          <w:sz w:val="16"/>
          <w:szCs w:val="16"/>
        </w:rPr>
      </w:pPr>
    </w:p>
    <w:p w14:paraId="26D03A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мая 1935 Б.Муссолини начал войну против Абиссинии (3263,212).</w:t>
      </w:r>
    </w:p>
    <w:p w14:paraId="1D5F327C" w14:textId="77777777" w:rsidR="00D4105E" w:rsidRPr="00E14102" w:rsidRDefault="00D4105E" w:rsidP="00E14102">
      <w:pPr>
        <w:autoSpaceDE w:val="0"/>
        <w:autoSpaceDN w:val="0"/>
        <w:adjustRightInd w:val="0"/>
        <w:jc w:val="both"/>
        <w:rPr>
          <w:color w:val="000000" w:themeColor="text1"/>
          <w:sz w:val="16"/>
          <w:szCs w:val="16"/>
        </w:rPr>
      </w:pPr>
    </w:p>
    <w:p w14:paraId="6820775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08E4813" w14:textId="77777777" w:rsidR="00D4105E" w:rsidRPr="00E14102" w:rsidRDefault="00D4105E" w:rsidP="00E14102">
      <w:pPr>
        <w:autoSpaceDE w:val="0"/>
        <w:autoSpaceDN w:val="0"/>
        <w:adjustRightInd w:val="0"/>
        <w:jc w:val="both"/>
        <w:rPr>
          <w:iCs/>
          <w:color w:val="000000" w:themeColor="text1"/>
          <w:sz w:val="16"/>
          <w:szCs w:val="16"/>
        </w:rPr>
      </w:pPr>
    </w:p>
    <w:p w14:paraId="2D6FDF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мая 1935 на АНТ-29 ДИП поставили новый увеличенный киль и вновь начали испытания (1454,23).</w:t>
      </w:r>
    </w:p>
    <w:p w14:paraId="37CE3532" w14:textId="77777777" w:rsidR="00D4105E" w:rsidRPr="00E14102" w:rsidRDefault="00D4105E" w:rsidP="00E14102">
      <w:pPr>
        <w:autoSpaceDE w:val="0"/>
        <w:autoSpaceDN w:val="0"/>
        <w:adjustRightInd w:val="0"/>
        <w:jc w:val="both"/>
        <w:rPr>
          <w:color w:val="000000" w:themeColor="text1"/>
          <w:sz w:val="16"/>
          <w:szCs w:val="16"/>
        </w:rPr>
      </w:pPr>
    </w:p>
    <w:p w14:paraId="7CDB8FB5" w14:textId="77777777" w:rsidR="0016217F" w:rsidRPr="00E14102" w:rsidRDefault="0016217F" w:rsidP="00E14102">
      <w:pPr>
        <w:jc w:val="both"/>
        <w:rPr>
          <w:color w:val="000000" w:themeColor="text1"/>
          <w:sz w:val="16"/>
          <w:szCs w:val="16"/>
        </w:rPr>
      </w:pPr>
      <w:r w:rsidRPr="00E14102">
        <w:rPr>
          <w:color w:val="000000" w:themeColor="text1"/>
          <w:sz w:val="16"/>
          <w:szCs w:val="16"/>
        </w:rPr>
        <w:t xml:space="preserve">3 мая в 1935 году </w:t>
      </w:r>
      <w:hyperlink r:id="rId95" w:tgtFrame="_blank" w:history="1">
        <w:r w:rsidRPr="00E14102">
          <w:rPr>
            <w:color w:val="000000" w:themeColor="text1"/>
            <w:sz w:val="16"/>
            <w:szCs w:val="16"/>
          </w:rPr>
          <w:t xml:space="preserve">«АНТ-29» «ДИП» </w:t>
        </w:r>
      </w:hyperlink>
      <w:r w:rsidRPr="00E14102">
        <w:rPr>
          <w:color w:val="000000" w:themeColor="text1"/>
          <w:sz w:val="16"/>
          <w:szCs w:val="16"/>
        </w:rPr>
        <w:t>после переделок силовой установки, наращивания киля, изменения горизонтального оперения и других доработок приступил к дальнейшим испытаниям (14880).</w:t>
      </w:r>
    </w:p>
    <w:p w14:paraId="0E251D13" w14:textId="77777777" w:rsidR="0016217F" w:rsidRPr="00E14102" w:rsidRDefault="0016217F" w:rsidP="00E14102">
      <w:pPr>
        <w:jc w:val="both"/>
        <w:rPr>
          <w:color w:val="000000" w:themeColor="text1"/>
          <w:sz w:val="16"/>
          <w:szCs w:val="16"/>
        </w:rPr>
      </w:pPr>
    </w:p>
    <w:p w14:paraId="40D921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мая 1935 г. после переделок силовой установки, наращивания киля, изменения горизонтального оперения и других доработок машина ДИП была сдана на аэродром, где продолжились ее испытания.</w:t>
      </w:r>
    </w:p>
    <w:p w14:paraId="64E1E7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Особенностью конструкции самолета являлось применение полностью гладкой обшивки с потайной клепкой, а также наличие динамореактивной пушки АПК-8 Л.В.Курчевского. Ствол пушки, не имевшей отдачи, проходил через весь фюзеляж самолета ДИ П - от носка до хвостового среза, в котором находилось ее сопло. В момент выстрела такой пушки действие газов на дно снаряда уравно-вешивалосьдействием реактивной силы, развиваемой соплом.</w:t>
      </w:r>
    </w:p>
    <w:p w14:paraId="497021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основе испытаний пришли к выводу, что необходимо увеличить стабилизатор, уменьшить руль высоты, а также повысить эффективность руля поворота. Для уничтожения заваливания самолета вправо требовалось на элеронах установить триммеры. Водяные радиаторы силовой установки не обеспечивали нормального охлаждения двигателей и давали течь после каждой посадки. Кроме того, на всех возможных эксплуатационных центровках самолет был неустойчив. Подъем шасси, испытание вооружения и радиооборудования не проводили.</w:t>
      </w:r>
    </w:p>
    <w:p w14:paraId="6DC38E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заключение Акта по испытаниям указывалось: “Считать рациональным в дальнейшем использовать самолет ДИП для проведения экспериментальных и научно-исследовательских работ, предварительно устранив указанные в отчете недостатки”.</w:t>
      </w:r>
    </w:p>
    <w:p w14:paraId="024F64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прекращения работ по пушке АПК-8 надобность в самолете отпала, и его сняли с заводских испытаний (9538,27).</w:t>
      </w:r>
    </w:p>
    <w:p w14:paraId="3ADFCCE9" w14:textId="77777777" w:rsidR="00D4105E" w:rsidRPr="00E14102" w:rsidRDefault="00D4105E" w:rsidP="00E14102">
      <w:pPr>
        <w:autoSpaceDE w:val="0"/>
        <w:autoSpaceDN w:val="0"/>
        <w:adjustRightInd w:val="0"/>
        <w:jc w:val="both"/>
        <w:rPr>
          <w:color w:val="000000" w:themeColor="text1"/>
          <w:sz w:val="16"/>
          <w:szCs w:val="16"/>
        </w:rPr>
      </w:pPr>
    </w:p>
    <w:p w14:paraId="36C4E74E" w14:textId="77777777" w:rsidR="0016217F" w:rsidRPr="00E14102" w:rsidRDefault="0016217F" w:rsidP="00E14102">
      <w:pPr>
        <w:autoSpaceDE w:val="0"/>
        <w:autoSpaceDN w:val="0"/>
        <w:adjustRightInd w:val="0"/>
        <w:jc w:val="both"/>
        <w:rPr>
          <w:color w:val="000000" w:themeColor="text1"/>
          <w:sz w:val="16"/>
          <w:szCs w:val="16"/>
        </w:rPr>
      </w:pPr>
      <w:r w:rsidRPr="00E14102">
        <w:rPr>
          <w:color w:val="000000" w:themeColor="text1"/>
          <w:sz w:val="16"/>
          <w:szCs w:val="16"/>
        </w:rPr>
        <w:t>3 мая 1935 года Алкснис писал письмо N 40/0699 наркому обороны.</w:t>
      </w:r>
    </w:p>
    <w:p w14:paraId="3AEA71F4" w14:textId="77777777" w:rsidR="0016217F" w:rsidRPr="00E14102" w:rsidRDefault="0016217F" w:rsidP="00E14102">
      <w:pPr>
        <w:autoSpaceDE w:val="0"/>
        <w:autoSpaceDN w:val="0"/>
        <w:adjustRightInd w:val="0"/>
        <w:jc w:val="both"/>
        <w:rPr>
          <w:color w:val="000000" w:themeColor="text1"/>
          <w:sz w:val="16"/>
          <w:szCs w:val="16"/>
        </w:rPr>
      </w:pPr>
      <w:r w:rsidRPr="00E14102">
        <w:rPr>
          <w:color w:val="000000" w:themeColor="text1"/>
          <w:sz w:val="16"/>
          <w:szCs w:val="16"/>
        </w:rPr>
        <w:t>Доклад.</w:t>
      </w:r>
    </w:p>
    <w:p w14:paraId="4F227694" w14:textId="77777777" w:rsidR="0016217F" w:rsidRPr="00E14102" w:rsidRDefault="0016217F" w:rsidP="00E14102">
      <w:pPr>
        <w:autoSpaceDE w:val="0"/>
        <w:autoSpaceDN w:val="0"/>
        <w:adjustRightInd w:val="0"/>
        <w:jc w:val="both"/>
        <w:rPr>
          <w:color w:val="000000" w:themeColor="text1"/>
          <w:sz w:val="16"/>
          <w:szCs w:val="16"/>
        </w:rPr>
      </w:pPr>
      <w:r w:rsidRPr="00E14102">
        <w:rPr>
          <w:color w:val="000000" w:themeColor="text1"/>
          <w:sz w:val="16"/>
          <w:szCs w:val="16"/>
        </w:rPr>
        <w:t>Об отпуске средств на постройку электронного разведчика на заводе N 1.</w:t>
      </w:r>
    </w:p>
    <w:p w14:paraId="782BFCE7" w14:textId="77777777" w:rsidR="0016217F" w:rsidRPr="00E14102" w:rsidRDefault="0016217F" w:rsidP="00E14102">
      <w:pPr>
        <w:autoSpaceDE w:val="0"/>
        <w:autoSpaceDN w:val="0"/>
        <w:adjustRightInd w:val="0"/>
        <w:jc w:val="both"/>
        <w:rPr>
          <w:color w:val="000000" w:themeColor="text1"/>
          <w:sz w:val="16"/>
          <w:szCs w:val="16"/>
        </w:rPr>
      </w:pPr>
      <w:r w:rsidRPr="00E14102">
        <w:rPr>
          <w:color w:val="000000" w:themeColor="text1"/>
          <w:sz w:val="16"/>
          <w:szCs w:val="16"/>
        </w:rPr>
        <w:t>После доклада сделанного Вам лично директором завода N 1 Беленковичем по работам завода в области применения электрона в самолетостроении, Вами было дано принципиальное согласие на финансирование со стороны НКО постройки на заводе N 1 электронного опытного самолета для ВС.</w:t>
      </w:r>
    </w:p>
    <w:p w14:paraId="4A9234C3" w14:textId="77777777" w:rsidR="0016217F" w:rsidRPr="00E14102" w:rsidRDefault="0016217F" w:rsidP="00E14102">
      <w:pPr>
        <w:autoSpaceDE w:val="0"/>
        <w:autoSpaceDN w:val="0"/>
        <w:adjustRightInd w:val="0"/>
        <w:jc w:val="both"/>
        <w:rPr>
          <w:color w:val="000000" w:themeColor="text1"/>
          <w:sz w:val="16"/>
          <w:szCs w:val="16"/>
        </w:rPr>
      </w:pPr>
      <w:r w:rsidRPr="00E14102">
        <w:rPr>
          <w:color w:val="000000" w:themeColor="text1"/>
          <w:sz w:val="16"/>
          <w:szCs w:val="16"/>
        </w:rPr>
        <w:t>Наиболее рациональной с моей точки зрения является постройка на заводе N 1 электронного скоростного разведчика со скоростью не ниже 450-500 км/час. (3104,97).</w:t>
      </w:r>
    </w:p>
    <w:p w14:paraId="65FEE6A4" w14:textId="77777777" w:rsidR="0016217F" w:rsidRPr="00E14102" w:rsidRDefault="0016217F" w:rsidP="00E14102">
      <w:pPr>
        <w:autoSpaceDE w:val="0"/>
        <w:autoSpaceDN w:val="0"/>
        <w:adjustRightInd w:val="0"/>
        <w:jc w:val="both"/>
        <w:rPr>
          <w:color w:val="000000" w:themeColor="text1"/>
          <w:sz w:val="16"/>
          <w:szCs w:val="16"/>
        </w:rPr>
      </w:pPr>
    </w:p>
    <w:p w14:paraId="7EE31E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мая 1935 г., народный комиссар тяжелой промыш</w:t>
      </w:r>
      <w:r w:rsidRPr="00E14102">
        <w:rPr>
          <w:color w:val="000000" w:themeColor="text1"/>
          <w:sz w:val="16"/>
          <w:szCs w:val="16"/>
        </w:rPr>
        <w:softHyphen/>
        <w:t>ленности Серго Орджоникидзе написал записку-пред</w:t>
      </w:r>
      <w:r w:rsidRPr="00E14102">
        <w:rPr>
          <w:color w:val="000000" w:themeColor="text1"/>
          <w:sz w:val="16"/>
          <w:szCs w:val="16"/>
        </w:rPr>
        <w:softHyphen/>
        <w:t>ставление в ЦК следующего содержания:</w:t>
      </w:r>
    </w:p>
    <w:p w14:paraId="6A182CE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“Конструктор авиационного завода тов. Поликарпов Н.Н. является одним из способнейших работников на</w:t>
      </w:r>
      <w:r w:rsidRPr="00E14102">
        <w:rPr>
          <w:color w:val="000000" w:themeColor="text1"/>
          <w:sz w:val="16"/>
          <w:szCs w:val="16"/>
        </w:rPr>
        <w:softHyphen/>
        <w:t>шей авиации. Им сконструированы И-15 и И-16. Оба са</w:t>
      </w:r>
      <w:r w:rsidRPr="00E14102">
        <w:rPr>
          <w:color w:val="000000" w:themeColor="text1"/>
          <w:sz w:val="16"/>
          <w:szCs w:val="16"/>
        </w:rPr>
        <w:softHyphen/>
        <w:t>молета конструктора Н.Н.Поликарпова приняты на вооружение.</w:t>
      </w:r>
    </w:p>
    <w:p w14:paraId="3C7EF1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Летчик В.П.Чкалов ведет испытания этих новых ис</w:t>
      </w:r>
      <w:r w:rsidRPr="00E14102">
        <w:rPr>
          <w:color w:val="000000" w:themeColor="text1"/>
          <w:sz w:val="16"/>
          <w:szCs w:val="16"/>
        </w:rPr>
        <w:softHyphen/>
        <w:t>требителей и считается одним из лучших летчиков.</w:t>
      </w:r>
    </w:p>
    <w:p w14:paraId="6D0A8B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 прошу наградить орденами Ленина конструктора авиазавода Поликарпова Н.Н. и летчика Чкалова В.П.” (10667).</w:t>
      </w:r>
    </w:p>
    <w:p w14:paraId="489C9801" w14:textId="77777777" w:rsidR="00D4105E" w:rsidRPr="00E14102" w:rsidRDefault="00D4105E" w:rsidP="00E14102">
      <w:pPr>
        <w:autoSpaceDE w:val="0"/>
        <w:autoSpaceDN w:val="0"/>
        <w:adjustRightInd w:val="0"/>
        <w:jc w:val="both"/>
        <w:rPr>
          <w:color w:val="000000" w:themeColor="text1"/>
          <w:sz w:val="16"/>
          <w:szCs w:val="16"/>
        </w:rPr>
      </w:pPr>
    </w:p>
    <w:p w14:paraId="3A802E76" w14:textId="77777777" w:rsidR="0016217F"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283455F" w14:textId="77777777" w:rsidR="0016217F" w:rsidRPr="00E14102" w:rsidRDefault="0016217F" w:rsidP="00E14102">
      <w:pPr>
        <w:autoSpaceDE w:val="0"/>
        <w:autoSpaceDN w:val="0"/>
        <w:adjustRightInd w:val="0"/>
        <w:jc w:val="both"/>
        <w:rPr>
          <w:iCs/>
          <w:color w:val="000000" w:themeColor="text1"/>
          <w:sz w:val="16"/>
          <w:szCs w:val="16"/>
        </w:rPr>
      </w:pPr>
    </w:p>
    <w:p w14:paraId="61094BEA" w14:textId="77777777" w:rsidR="0016217F" w:rsidRPr="00E14102" w:rsidRDefault="0016217F" w:rsidP="00E14102">
      <w:pPr>
        <w:pStyle w:val="rtejustify"/>
        <w:spacing w:before="0" w:after="0"/>
        <w:rPr>
          <w:color w:val="000000" w:themeColor="text1"/>
          <w:sz w:val="16"/>
          <w:szCs w:val="16"/>
        </w:rPr>
      </w:pPr>
      <w:r w:rsidRPr="00E14102">
        <w:rPr>
          <w:rStyle w:val="a6"/>
          <w:bCs/>
          <w:i w:val="0"/>
          <w:color w:val="000000" w:themeColor="text1"/>
          <w:sz w:val="16"/>
          <w:szCs w:val="16"/>
        </w:rPr>
        <w:t>3 мая 1935 вышел приказ НКТП № 78сс.</w:t>
      </w:r>
      <w:r w:rsidRPr="00E14102">
        <w:rPr>
          <w:color w:val="000000" w:themeColor="text1"/>
          <w:sz w:val="16"/>
          <w:szCs w:val="16"/>
        </w:rPr>
        <w:t xml:space="preserve"> О мероприятиях по обеспечению комплектной сдачи минного оружия Наркомату обороны СССР. (РГАЭ. Ф. 7297. Оп. 38. Д. 171. Л. 141</w:t>
      </w:r>
      <w:r w:rsidRPr="00E14102">
        <w:rPr>
          <w:color w:val="000000" w:themeColor="text1"/>
          <w:sz w:val="16"/>
          <w:szCs w:val="16"/>
        </w:rPr>
        <w:noBreakHyphen/>
        <w:t>136) (15246).</w:t>
      </w:r>
    </w:p>
    <w:p w14:paraId="3CB23A42" w14:textId="77777777" w:rsidR="0016217F" w:rsidRPr="00E14102" w:rsidRDefault="0016217F" w:rsidP="00E14102">
      <w:pPr>
        <w:pStyle w:val="rtejustify"/>
        <w:spacing w:before="0" w:after="0"/>
        <w:rPr>
          <w:color w:val="000000" w:themeColor="text1"/>
          <w:sz w:val="16"/>
          <w:szCs w:val="16"/>
        </w:rPr>
      </w:pPr>
    </w:p>
    <w:p w14:paraId="1C71BF2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2C0334F" w14:textId="77777777" w:rsidR="00D4105E" w:rsidRPr="00E14102" w:rsidRDefault="00D4105E" w:rsidP="00E14102">
      <w:pPr>
        <w:autoSpaceDE w:val="0"/>
        <w:autoSpaceDN w:val="0"/>
        <w:adjustRightInd w:val="0"/>
        <w:jc w:val="both"/>
        <w:rPr>
          <w:iCs/>
          <w:color w:val="000000" w:themeColor="text1"/>
          <w:sz w:val="16"/>
          <w:szCs w:val="16"/>
        </w:rPr>
      </w:pPr>
    </w:p>
    <w:p w14:paraId="327D31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мая 1935 года издаваемая Лондонской биржей «Stock Exchange Gazette» писала:</w:t>
      </w:r>
    </w:p>
    <w:p w14:paraId="07D705AC"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«Без Англии в качестве платёжного учреждения и без возможности продлить сроки кредитов по соглашению о невостребовании кредитов Германия не смогла бы осуществить свои планы. Мы так стремились продавать Германии, что никогда не допускали вмешательства в торговые дела вопросов о платежах. Снова и снова Германия отказывалась от своих обязательств, публичных и частных, но продолжала покупать шерсть, хлопок, никель, каучук и нефть, пока её потребности не были удовлетворены, а финансирование этих закупок проводилось прямо или косвенно через Лондон» (11208).</w:t>
      </w:r>
    </w:p>
    <w:p w14:paraId="5F014B68" w14:textId="77777777" w:rsidR="00D4105E" w:rsidRPr="00E14102" w:rsidRDefault="00D4105E" w:rsidP="00E14102">
      <w:pPr>
        <w:autoSpaceDE w:val="0"/>
        <w:autoSpaceDN w:val="0"/>
        <w:adjustRightInd w:val="0"/>
        <w:jc w:val="both"/>
        <w:rPr>
          <w:color w:val="000000" w:themeColor="text1"/>
          <w:sz w:val="16"/>
          <w:szCs w:val="16"/>
        </w:rPr>
      </w:pPr>
    </w:p>
    <w:p w14:paraId="4FB6D043" w14:textId="77777777" w:rsidR="002F4727" w:rsidRPr="00E14102" w:rsidRDefault="002F4727" w:rsidP="00E14102">
      <w:pPr>
        <w:jc w:val="both"/>
        <w:rPr>
          <w:color w:val="000000" w:themeColor="text1"/>
          <w:sz w:val="16"/>
          <w:szCs w:val="16"/>
        </w:rPr>
      </w:pPr>
      <w:r w:rsidRPr="00E14102">
        <w:rPr>
          <w:color w:val="000000" w:themeColor="text1"/>
          <w:sz w:val="16"/>
          <w:szCs w:val="16"/>
        </w:rPr>
        <w:t>3 мая 1935 года издаваемая Лондонской биржей «Stock Exchange Gazette» писалап:</w:t>
      </w:r>
    </w:p>
    <w:p w14:paraId="3360815E" w14:textId="77777777" w:rsidR="002F4727" w:rsidRPr="00E14102" w:rsidRDefault="002F4727" w:rsidP="00E14102">
      <w:pPr>
        <w:jc w:val="both"/>
        <w:rPr>
          <w:color w:val="000000" w:themeColor="text1"/>
          <w:sz w:val="16"/>
          <w:szCs w:val="16"/>
        </w:rPr>
      </w:pPr>
      <w:r w:rsidRPr="00E14102">
        <w:rPr>
          <w:color w:val="000000" w:themeColor="text1"/>
          <w:sz w:val="16"/>
          <w:szCs w:val="16"/>
        </w:rPr>
        <w:t>«Без Англии в качестве платёжного учреждения и без возможности продлить сроки кредитов по соглашению о невостребовании кредитов Германия не смогла бы осуществить свои планы. Мы так стремились продавать Германии, что никогда не допускали вмешательства в торговые дела вопросов о платежах. Снова и снова Германия отказывалась от своих обязательств, публичных и частных, но продолжала покупать шерсть, хлопок, никель, каучук и нефть, пока её потребности не были удовлетворены, а финансирование этих закупок проводилось прямо или косвенно через Лондон» [502] (18279).</w:t>
      </w:r>
    </w:p>
    <w:p w14:paraId="184FC3A0" w14:textId="77777777" w:rsidR="002F4727" w:rsidRPr="00E14102" w:rsidRDefault="002F4727" w:rsidP="00E14102">
      <w:pPr>
        <w:jc w:val="both"/>
        <w:rPr>
          <w:color w:val="000000" w:themeColor="text1"/>
          <w:sz w:val="16"/>
          <w:szCs w:val="16"/>
        </w:rPr>
      </w:pPr>
    </w:p>
    <w:p w14:paraId="471087B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034942F" w14:textId="77777777" w:rsidR="00D4105E" w:rsidRPr="00E14102" w:rsidRDefault="00D4105E" w:rsidP="00E14102">
      <w:pPr>
        <w:autoSpaceDE w:val="0"/>
        <w:autoSpaceDN w:val="0"/>
        <w:adjustRightInd w:val="0"/>
        <w:jc w:val="both"/>
        <w:rPr>
          <w:iCs/>
          <w:color w:val="000000" w:themeColor="text1"/>
          <w:sz w:val="16"/>
          <w:szCs w:val="16"/>
        </w:rPr>
      </w:pPr>
    </w:p>
    <w:p w14:paraId="5C25BB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мая 1935 года начальник 4 отдела УВС Базенков писал письмо начальнику УВС.</w:t>
      </w:r>
    </w:p>
    <w:p w14:paraId="2E8B4B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w:t>
      </w:r>
    </w:p>
    <w:p w14:paraId="30CDDB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Самолеты И16-М22, переданные с завода N 39 в Щелково в количестве 34 единиц для участия в первомайском параде должны все вернуться на завод для доделок.</w:t>
      </w:r>
    </w:p>
    <w:p w14:paraId="647AC9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Самолеты И-16 завода N 21 нуждаются в аналогичных доделках. Целесообразно перегнать их все обратно на завод.</w:t>
      </w:r>
    </w:p>
    <w:p w14:paraId="5596A1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Самолеты И-16. отправленные на слет с завода N 1 в количестве 64 самолетов - считаю целесообразным все передать в части с тем, что завод немедленно за свой счет высылает бригады на места. (3116,3-4).</w:t>
      </w:r>
    </w:p>
    <w:p w14:paraId="0EC8F2D0" w14:textId="77777777" w:rsidR="00D4105E" w:rsidRPr="00E14102" w:rsidRDefault="00D4105E" w:rsidP="00E14102">
      <w:pPr>
        <w:autoSpaceDE w:val="0"/>
        <w:autoSpaceDN w:val="0"/>
        <w:adjustRightInd w:val="0"/>
        <w:jc w:val="both"/>
        <w:rPr>
          <w:color w:val="000000" w:themeColor="text1"/>
          <w:sz w:val="16"/>
          <w:szCs w:val="16"/>
        </w:rPr>
      </w:pPr>
    </w:p>
    <w:p w14:paraId="4E17CC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мая 1935 было подписано заключение гос. комиссии по тяжелым подвескам - ПГ-12 - универсальная рама, предназначенная для подвески и транспортирования самолетом ТБ-3 следующих тяжелых десантных объектов:</w:t>
      </w:r>
    </w:p>
    <w:p w14:paraId="02180F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Танк амфибия Т-37</w:t>
      </w:r>
    </w:p>
    <w:p w14:paraId="702476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Бронеавтомобиль Д-8</w:t>
      </w:r>
    </w:p>
    <w:p w14:paraId="41D9A2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две спаренных 76 мм пушки обр. 1927</w:t>
      </w:r>
    </w:p>
    <w:p w14:paraId="554C9D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1.5 т Форд АА</w:t>
      </w:r>
    </w:p>
    <w:p w14:paraId="773ED4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Автомобиль Пикап:</w:t>
      </w:r>
    </w:p>
    <w:p w14:paraId="4074B8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"Считать, что в раме обр. 1935 все изменения, предусмотренные актом комиссии по проведению гос. испытаний от 14 октября 1934 - ЭИ НКТП внесены и представленный образец универсальных рам с указанными выше изменениями в настоящем акте, может служить эталоном при изготовлении серийного заказа." (2186).</w:t>
      </w:r>
    </w:p>
    <w:p w14:paraId="58CE05E8" w14:textId="77777777" w:rsidR="00D4105E" w:rsidRPr="00E14102" w:rsidRDefault="00D4105E" w:rsidP="00E14102">
      <w:pPr>
        <w:autoSpaceDE w:val="0"/>
        <w:autoSpaceDN w:val="0"/>
        <w:adjustRightInd w:val="0"/>
        <w:jc w:val="both"/>
        <w:rPr>
          <w:color w:val="000000" w:themeColor="text1"/>
          <w:sz w:val="16"/>
          <w:szCs w:val="16"/>
        </w:rPr>
      </w:pPr>
    </w:p>
    <w:p w14:paraId="197D63F7" w14:textId="77777777" w:rsidR="00C23706" w:rsidRPr="00E14102" w:rsidRDefault="00C23706" w:rsidP="00E14102">
      <w:pPr>
        <w:jc w:val="both"/>
        <w:rPr>
          <w:color w:val="0070C0"/>
          <w:sz w:val="16"/>
          <w:szCs w:val="16"/>
        </w:rPr>
      </w:pPr>
      <w:r w:rsidRPr="00E14102">
        <w:rPr>
          <w:color w:val="0070C0"/>
          <w:sz w:val="16"/>
          <w:szCs w:val="16"/>
        </w:rPr>
        <w:t>4 мая 1935 г.</w:t>
      </w:r>
      <w:bookmarkStart w:id="14" w:name="_Hlk62388852"/>
      <w:r w:rsidRPr="00E14102">
        <w:rPr>
          <w:color w:val="0070C0"/>
          <w:sz w:val="16"/>
          <w:szCs w:val="16"/>
        </w:rPr>
        <w:t xml:space="preserve"> следующий </w:t>
      </w:r>
      <w:bookmarkEnd w:id="14"/>
      <w:r w:rsidRPr="00E14102">
        <w:rPr>
          <w:color w:val="0070C0"/>
          <w:sz w:val="16"/>
          <w:szCs w:val="16"/>
        </w:rPr>
        <w:t>полет Корзинщикова на А-7 после ремонта выявил вибрации хвостового оперения. Для устранения явления на стабилизаторе установили допол</w:t>
      </w:r>
      <w:r w:rsidRPr="00E14102">
        <w:rPr>
          <w:color w:val="0070C0"/>
          <w:sz w:val="16"/>
          <w:szCs w:val="16"/>
        </w:rPr>
        <w:softHyphen/>
        <w:t>нительные подкосы, а на рулях высоты весовые компенсато</w:t>
      </w:r>
      <w:r w:rsidRPr="00E14102">
        <w:rPr>
          <w:color w:val="0070C0"/>
          <w:sz w:val="16"/>
          <w:szCs w:val="16"/>
        </w:rPr>
        <w:softHyphen/>
        <w:t>ры. Перегрев двигателя удалось снизить подбором нового го</w:t>
      </w:r>
      <w:r w:rsidRPr="00E14102">
        <w:rPr>
          <w:color w:val="0070C0"/>
          <w:sz w:val="16"/>
          <w:szCs w:val="16"/>
        </w:rPr>
        <w:softHyphen/>
        <w:t>рючего, установкой масляного радиатора и ограничением пользования форсированным газом. В летний период были проведены испытания на различных режимах, в разном ди</w:t>
      </w:r>
      <w:r w:rsidRPr="00E14102">
        <w:rPr>
          <w:color w:val="0070C0"/>
          <w:sz w:val="16"/>
          <w:szCs w:val="16"/>
        </w:rPr>
        <w:softHyphen/>
        <w:t>апазоне полетных центровок, что позволило зафиксировать основные характеристики нового автожира.</w:t>
      </w:r>
    </w:p>
    <w:p w14:paraId="7A70BBEA" w14:textId="77777777" w:rsidR="00C23706" w:rsidRPr="00E14102" w:rsidRDefault="00C23706" w:rsidP="00E14102">
      <w:pPr>
        <w:jc w:val="both"/>
        <w:rPr>
          <w:color w:val="0070C0"/>
          <w:sz w:val="16"/>
          <w:szCs w:val="16"/>
        </w:rPr>
      </w:pPr>
      <w:r w:rsidRPr="00E14102">
        <w:rPr>
          <w:color w:val="0070C0"/>
          <w:sz w:val="16"/>
          <w:szCs w:val="16"/>
        </w:rPr>
        <w:t>Испытания проходили с постепенным наращиванием успехов, это позволило с достаточной уверенностью про</w:t>
      </w:r>
      <w:r w:rsidRPr="00E14102">
        <w:rPr>
          <w:color w:val="0070C0"/>
          <w:sz w:val="16"/>
          <w:szCs w:val="16"/>
        </w:rPr>
        <w:softHyphen/>
        <w:t>демонстрировать автожир на авиационном празднике в честь Дня авиации 18 августа 1935 г. Летал летчик К.К. По</w:t>
      </w:r>
      <w:r w:rsidRPr="00E14102">
        <w:rPr>
          <w:color w:val="0070C0"/>
          <w:sz w:val="16"/>
          <w:szCs w:val="16"/>
        </w:rPr>
        <w:softHyphen/>
        <w:t>пов, впервые вылетевший на А-7 еще 7 июня. Автожир в ходе испытаний к тому времени выполнил 55 полетов и на</w:t>
      </w:r>
      <w:r w:rsidRPr="00E14102">
        <w:rPr>
          <w:color w:val="0070C0"/>
          <w:sz w:val="16"/>
          <w:szCs w:val="16"/>
        </w:rPr>
        <w:softHyphen/>
        <w:t>летал 26 часов (20361).</w:t>
      </w:r>
    </w:p>
    <w:p w14:paraId="51E60142" w14:textId="77777777" w:rsidR="00C23706" w:rsidRPr="00E14102" w:rsidRDefault="00C23706" w:rsidP="00E14102">
      <w:pPr>
        <w:shd w:val="clear" w:color="auto" w:fill="FFFFFF"/>
        <w:jc w:val="both"/>
        <w:rPr>
          <w:color w:val="0070C0"/>
          <w:sz w:val="16"/>
          <w:szCs w:val="16"/>
        </w:rPr>
      </w:pPr>
    </w:p>
    <w:p w14:paraId="72C58320" w14:textId="77777777" w:rsidR="00591AD6" w:rsidRPr="00E14102" w:rsidRDefault="00591AD6"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E444768" w14:textId="77777777" w:rsidR="00591AD6" w:rsidRPr="00E14102" w:rsidRDefault="00591AD6" w:rsidP="00E14102">
      <w:pPr>
        <w:autoSpaceDE w:val="0"/>
        <w:autoSpaceDN w:val="0"/>
        <w:adjustRightInd w:val="0"/>
        <w:jc w:val="both"/>
        <w:rPr>
          <w:iCs/>
          <w:color w:val="000000" w:themeColor="text1"/>
          <w:sz w:val="16"/>
          <w:szCs w:val="16"/>
        </w:rPr>
      </w:pPr>
    </w:p>
    <w:p w14:paraId="3C742019"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4 мая 1935 г. во исполнение личное указание управляющему Трестом специального машиностроения (Спецмаштрест) НКТП К.А. Нейману об изготовлении в 1935 г. шести опытных танков </w:t>
      </w:r>
      <w:r w:rsidRPr="00E14102">
        <w:rPr>
          <w:iCs/>
          <w:color w:val="000000" w:themeColor="text1"/>
          <w:sz w:val="16"/>
          <w:szCs w:val="16"/>
        </w:rPr>
        <w:t xml:space="preserve">«новейшей конструкции», </w:t>
      </w:r>
      <w:r w:rsidRPr="00E14102">
        <w:rPr>
          <w:color w:val="000000" w:themeColor="text1"/>
          <w:sz w:val="16"/>
          <w:szCs w:val="16"/>
        </w:rPr>
        <w:t xml:space="preserve">по Спецмаштресту (в чьем ведении находились заводы производившие танки) был издан </w:t>
      </w:r>
      <w:hyperlink r:id="rId96" w:tgtFrame="_blank" w:history="1">
        <w:r w:rsidRPr="00E14102">
          <w:rPr>
            <w:color w:val="000000" w:themeColor="text1"/>
            <w:sz w:val="16"/>
            <w:szCs w:val="16"/>
          </w:rPr>
          <w:t>приказ № П-9сс</w:t>
        </w:r>
      </w:hyperlink>
      <w:r w:rsidRPr="00E14102">
        <w:rPr>
          <w:color w:val="000000" w:themeColor="text1"/>
          <w:sz w:val="16"/>
          <w:szCs w:val="16"/>
        </w:rPr>
        <w:t xml:space="preserve">, в котором, в частности, было указано: </w:t>
      </w:r>
    </w:p>
    <w:p w14:paraId="4E002537" w14:textId="77777777" w:rsidR="002B4AAC" w:rsidRPr="00E14102" w:rsidRDefault="002B4AAC" w:rsidP="00E14102">
      <w:pPr>
        <w:jc w:val="both"/>
        <w:rPr>
          <w:color w:val="000000" w:themeColor="text1"/>
          <w:sz w:val="16"/>
          <w:szCs w:val="16"/>
        </w:rPr>
      </w:pPr>
      <w:r w:rsidRPr="00E14102">
        <w:rPr>
          <w:iCs/>
          <w:color w:val="000000" w:themeColor="text1"/>
          <w:sz w:val="16"/>
          <w:szCs w:val="16"/>
        </w:rPr>
        <w:t>«Директору ХПЗ тов. БОНДАРЕНКО немедленно заключить с АБТУ РККА соглашение на изготовление ТРЕХ опытных образцов танка БТ-ИС конструкции тов. ЦЫГАНОВА с шестью ведущими и шестью управляемыми колесами»</w:t>
      </w:r>
      <w:r w:rsidRPr="00E14102">
        <w:rPr>
          <w:color w:val="000000" w:themeColor="text1"/>
          <w:sz w:val="16"/>
          <w:szCs w:val="16"/>
        </w:rPr>
        <w:t xml:space="preserve"> и </w:t>
      </w:r>
      <w:r w:rsidRPr="00E14102">
        <w:rPr>
          <w:iCs/>
          <w:color w:val="000000" w:themeColor="text1"/>
          <w:sz w:val="16"/>
          <w:szCs w:val="16"/>
        </w:rPr>
        <w:t>«Директору Опытного завода им. Кирова тов. БАРЫКОВУ немедленно заключить с АБТУ РККА соглашение на изготовление ТРЕХ опытных образцов танка БТ-ИС, конструкции тов. ЦЫГАНОВА с новой гусеницей и подвеской».</w:t>
      </w:r>
    </w:p>
    <w:p w14:paraId="76A0896A" w14:textId="77777777" w:rsidR="002B4AAC" w:rsidRPr="00E14102" w:rsidRDefault="002B4AAC" w:rsidP="00E14102">
      <w:pPr>
        <w:jc w:val="both"/>
        <w:rPr>
          <w:color w:val="000000" w:themeColor="text1"/>
          <w:sz w:val="16"/>
          <w:szCs w:val="16"/>
        </w:rPr>
      </w:pPr>
      <w:r w:rsidRPr="00E14102">
        <w:rPr>
          <w:bCs/>
          <w:color w:val="000000" w:themeColor="text1"/>
          <w:sz w:val="16"/>
          <w:szCs w:val="16"/>
        </w:rPr>
        <w:t>[</w:t>
      </w:r>
      <w:r w:rsidRPr="00E14102">
        <w:rPr>
          <w:bCs/>
          <w:iCs/>
          <w:color w:val="000000" w:themeColor="text1"/>
          <w:sz w:val="16"/>
          <w:szCs w:val="16"/>
        </w:rPr>
        <w:t>Малышев Г.Н.</w:t>
      </w:r>
      <w:r w:rsidRPr="00E14102">
        <w:rPr>
          <w:bCs/>
          <w:color w:val="000000" w:themeColor="text1"/>
          <w:sz w:val="16"/>
          <w:szCs w:val="16"/>
        </w:rPr>
        <w:t xml:space="preserve"> Танки завода имени С.М. Кирова. Производственная деятельность завода в период с 1934 года по 1941 год (в документах): рукопись. СПб., 2005. С. 57] (17502).</w:t>
      </w:r>
    </w:p>
    <w:p w14:paraId="07C4B0EE"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Однако из-за большой загруженности другими заказами руководство обоих заводов отказалось от заключения соглашений с АБТУ РККА, и поэтому работа по изготовлению опытного образца танка БТ-ИС с шестью ведущими колёсами была организована в автобронетанковых мастерских Харьковского военного округа (ХВО). </w:t>
      </w:r>
    </w:p>
    <w:p w14:paraId="1FC45309"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Воодушевленная поддержкой высшего руководства РККА группа энтузиастов приступила к созданию на базе танка БТ-2 опытного образца танка БТ-ИС. Принимая во внимание всю важность изобретения Н.Ф. Цыганова, начальник мастерских, друг и боевой товарищ Н.А. Островского по гражданской войне, герой его известного романа «Как закалялась сталь», комбриг Н.Н. Лисицын, а также начальник политуправления ХВО М.Ф. Березкин взяли на себя общее руководство по изготовлению машины БТ-ИС (17502). </w:t>
      </w:r>
    </w:p>
    <w:p w14:paraId="49B23911" w14:textId="77777777" w:rsidR="002B4AAC" w:rsidRPr="00E14102" w:rsidRDefault="002B4AAC" w:rsidP="00E14102">
      <w:pPr>
        <w:jc w:val="both"/>
        <w:rPr>
          <w:color w:val="000000" w:themeColor="text1"/>
          <w:sz w:val="16"/>
          <w:szCs w:val="16"/>
        </w:rPr>
      </w:pPr>
    </w:p>
    <w:p w14:paraId="55440EE0" w14:textId="77777777" w:rsidR="002B4AAC" w:rsidRPr="00E14102" w:rsidRDefault="002B4AAC" w:rsidP="00E14102">
      <w:pPr>
        <w:jc w:val="both"/>
        <w:rPr>
          <w:color w:val="000000" w:themeColor="text1"/>
          <w:sz w:val="16"/>
          <w:szCs w:val="16"/>
        </w:rPr>
      </w:pPr>
      <w:r w:rsidRPr="00E14102">
        <w:rPr>
          <w:color w:val="000000" w:themeColor="text1"/>
          <w:sz w:val="16"/>
          <w:szCs w:val="16"/>
        </w:rPr>
        <w:t>4 мая 1935 года вышел ПРИКА3 по тресту Специального Машиностроения № П-9сс</w:t>
      </w:r>
    </w:p>
    <w:p w14:paraId="2EFB8F14"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г. Москва. </w:t>
      </w:r>
    </w:p>
    <w:p w14:paraId="03ACB4BB"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Согласно личных указаний Народного Комиссара Тяжелой Промышленности тов. ОРДЖОНИКИДЗЕ, в целях обеспечения изготовления в 1935 году шести опытных танков новейшей конструкции, типа "БТ-ИС", ПРИКАЗЫВАЮ: </w:t>
      </w:r>
    </w:p>
    <w:p w14:paraId="139E21D5" w14:textId="77777777" w:rsidR="002B4AAC" w:rsidRPr="00E14102" w:rsidRDefault="002B4AAC" w:rsidP="00E14102">
      <w:pPr>
        <w:jc w:val="both"/>
        <w:rPr>
          <w:color w:val="000000" w:themeColor="text1"/>
          <w:sz w:val="16"/>
          <w:szCs w:val="16"/>
        </w:rPr>
      </w:pPr>
      <w:r w:rsidRPr="00E14102">
        <w:rPr>
          <w:color w:val="000000" w:themeColor="text1"/>
          <w:sz w:val="16"/>
          <w:szCs w:val="16"/>
        </w:rPr>
        <w:t>§1.</w:t>
      </w:r>
    </w:p>
    <w:p w14:paraId="3484AF30"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Директору ХПЗ тов. БОНДАРЕНКО немедленно заключить с АБТУ РККА соглашение на изготовление ТРЕХ опытных образцов танка БТ-ИС конструкции тов. ЦЫГАНОВА с шестью ведущими и шестью управляемыми колесами. </w:t>
      </w:r>
    </w:p>
    <w:p w14:paraId="614190DD" w14:textId="77777777" w:rsidR="002B4AAC" w:rsidRPr="00E14102" w:rsidRDefault="002B4AAC" w:rsidP="00E14102">
      <w:pPr>
        <w:jc w:val="both"/>
        <w:rPr>
          <w:color w:val="000000" w:themeColor="text1"/>
          <w:sz w:val="16"/>
          <w:szCs w:val="16"/>
        </w:rPr>
      </w:pPr>
      <w:r w:rsidRPr="00E14102">
        <w:rPr>
          <w:color w:val="000000" w:themeColor="text1"/>
          <w:sz w:val="16"/>
          <w:szCs w:val="16"/>
        </w:rPr>
        <w:t>§2.</w:t>
      </w:r>
    </w:p>
    <w:p w14:paraId="2B5F529E"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Директору Опытного завода им. Кирова тов. БАРЫКОВУ немедленно заключить с АБТУ РККА соглашение на изготовление ТРЕХ опытных образцов танка БТ-ИС, конструкции тов. ЦЫГАНОВА с новой гусеницей и подвеской. </w:t>
      </w:r>
    </w:p>
    <w:p w14:paraId="02F13332" w14:textId="77777777" w:rsidR="002B4AAC" w:rsidRPr="00E14102" w:rsidRDefault="002B4AAC" w:rsidP="00E14102">
      <w:pPr>
        <w:jc w:val="both"/>
        <w:rPr>
          <w:color w:val="000000" w:themeColor="text1"/>
          <w:sz w:val="16"/>
          <w:szCs w:val="16"/>
        </w:rPr>
      </w:pPr>
      <w:r w:rsidRPr="00E14102">
        <w:rPr>
          <w:color w:val="000000" w:themeColor="text1"/>
          <w:sz w:val="16"/>
          <w:szCs w:val="16"/>
        </w:rPr>
        <w:t>§3.</w:t>
      </w:r>
    </w:p>
    <w:p w14:paraId="7A45B6B0"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Танки БТ в количестве ТРЕХ штук для завода им. Кирова и ТРЕХ штук для ХПЗ на которых будет осуществляться указанная конструкция, а также чертежи указанных конструкций танков – директорам назначенных заводов надлежит получить немедленно в АБТУ РККА. </w:t>
      </w:r>
    </w:p>
    <w:p w14:paraId="5F7E809D" w14:textId="77777777" w:rsidR="002B4AAC" w:rsidRPr="00E14102" w:rsidRDefault="002B4AAC" w:rsidP="00E14102">
      <w:pPr>
        <w:jc w:val="both"/>
        <w:rPr>
          <w:color w:val="000000" w:themeColor="text1"/>
          <w:sz w:val="16"/>
          <w:szCs w:val="16"/>
        </w:rPr>
      </w:pPr>
      <w:r w:rsidRPr="00E14102">
        <w:rPr>
          <w:color w:val="000000" w:themeColor="text1"/>
          <w:sz w:val="16"/>
          <w:szCs w:val="16"/>
        </w:rPr>
        <w:t>§4.</w:t>
      </w:r>
    </w:p>
    <w:p w14:paraId="1318EF90"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Директору XП3 тов. Б0НДАРЕНКО использовать группу тов. ЦЫГАНОВА, передаваемую по согласованию с Начальником АБТУ тов. ХАЛЕПСКИМ на XПЗ, на время изготовления этих танков. </w:t>
      </w:r>
    </w:p>
    <w:p w14:paraId="3EAB29B3" w14:textId="77777777" w:rsidR="002B4AAC" w:rsidRPr="00E14102" w:rsidRDefault="002B4AAC" w:rsidP="00E14102">
      <w:pPr>
        <w:jc w:val="both"/>
        <w:rPr>
          <w:color w:val="000000" w:themeColor="text1"/>
          <w:sz w:val="16"/>
          <w:szCs w:val="16"/>
        </w:rPr>
      </w:pPr>
      <w:r w:rsidRPr="00E14102">
        <w:rPr>
          <w:color w:val="000000" w:themeColor="text1"/>
          <w:sz w:val="16"/>
          <w:szCs w:val="16"/>
        </w:rPr>
        <w:t>§5.</w:t>
      </w:r>
    </w:p>
    <w:p w14:paraId="476B8F52"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Директорам перечисленных заводов ежемесячно докладывать мне о ходе производства названных опытных образцов танков. </w:t>
      </w:r>
    </w:p>
    <w:p w14:paraId="046607B9" w14:textId="77777777" w:rsidR="002B4AAC" w:rsidRPr="00E14102" w:rsidRDefault="002B4AAC" w:rsidP="00E14102">
      <w:pPr>
        <w:jc w:val="both"/>
        <w:rPr>
          <w:color w:val="000000" w:themeColor="text1"/>
          <w:sz w:val="16"/>
          <w:szCs w:val="16"/>
        </w:rPr>
      </w:pPr>
      <w:r w:rsidRPr="00E14102">
        <w:rPr>
          <w:color w:val="000000" w:themeColor="text1"/>
          <w:sz w:val="16"/>
          <w:szCs w:val="16"/>
        </w:rPr>
        <w:t>Управляющий Трестом Специального Машиностроения</w:t>
      </w:r>
    </w:p>
    <w:p w14:paraId="5942E9E5" w14:textId="77777777" w:rsidR="002B4AAC" w:rsidRPr="00E14102" w:rsidRDefault="002B4AAC" w:rsidP="00E14102">
      <w:pPr>
        <w:jc w:val="both"/>
        <w:rPr>
          <w:color w:val="000000" w:themeColor="text1"/>
          <w:sz w:val="16"/>
          <w:szCs w:val="16"/>
        </w:rPr>
      </w:pPr>
      <w:r w:rsidRPr="00E14102">
        <w:rPr>
          <w:color w:val="000000" w:themeColor="text1"/>
          <w:sz w:val="16"/>
          <w:szCs w:val="16"/>
        </w:rPr>
        <w:t>подпись (НЕЙМАН)</w:t>
      </w:r>
    </w:p>
    <w:p w14:paraId="7713DE0A" w14:textId="77777777" w:rsidR="002B4AAC" w:rsidRPr="00E14102" w:rsidRDefault="002B4AAC" w:rsidP="00E14102">
      <w:pPr>
        <w:jc w:val="both"/>
        <w:rPr>
          <w:bCs/>
          <w:iCs/>
          <w:color w:val="000000" w:themeColor="text1"/>
          <w:sz w:val="16"/>
          <w:szCs w:val="16"/>
        </w:rPr>
      </w:pPr>
      <w:r w:rsidRPr="00E14102">
        <w:rPr>
          <w:bCs/>
          <w:iCs/>
          <w:color w:val="000000" w:themeColor="text1"/>
          <w:sz w:val="16"/>
          <w:szCs w:val="16"/>
        </w:rPr>
        <w:t>Малышев Г.Н. Танки завода имени С.М. Кирова.</w:t>
      </w:r>
    </w:p>
    <w:p w14:paraId="503A1C65" w14:textId="77777777" w:rsidR="002B4AAC" w:rsidRPr="00E14102" w:rsidRDefault="002B4AAC" w:rsidP="00E14102">
      <w:pPr>
        <w:jc w:val="both"/>
        <w:rPr>
          <w:color w:val="000000" w:themeColor="text1"/>
          <w:sz w:val="16"/>
          <w:szCs w:val="16"/>
        </w:rPr>
      </w:pPr>
      <w:r w:rsidRPr="00E14102">
        <w:rPr>
          <w:bCs/>
          <w:iCs/>
          <w:color w:val="000000" w:themeColor="text1"/>
          <w:sz w:val="16"/>
          <w:szCs w:val="16"/>
        </w:rPr>
        <w:t>Производственная деятельность завода в период с 1934 года по 1941 год (в документах): рукопись. СПб., 2005. С. 57 (17509).</w:t>
      </w:r>
    </w:p>
    <w:p w14:paraId="606024C8" w14:textId="77777777" w:rsidR="002B4AAC" w:rsidRPr="00E14102" w:rsidRDefault="002B4AAC" w:rsidP="00E14102">
      <w:pPr>
        <w:jc w:val="both"/>
        <w:rPr>
          <w:color w:val="000000" w:themeColor="text1"/>
          <w:sz w:val="16"/>
          <w:szCs w:val="16"/>
        </w:rPr>
      </w:pPr>
    </w:p>
    <w:p w14:paraId="6370018B" w14:textId="77777777" w:rsidR="002B4AAC" w:rsidRPr="00E14102" w:rsidRDefault="002B4AAC" w:rsidP="00E14102">
      <w:pPr>
        <w:jc w:val="both"/>
        <w:rPr>
          <w:color w:val="000000" w:themeColor="text1"/>
          <w:sz w:val="16"/>
          <w:szCs w:val="16"/>
        </w:rPr>
      </w:pPr>
      <w:r w:rsidRPr="00E14102">
        <w:rPr>
          <w:color w:val="000000" w:themeColor="text1"/>
          <w:sz w:val="16"/>
          <w:szCs w:val="16"/>
        </w:rPr>
        <w:t>4 мая 1935 года.</w:t>
      </w:r>
    </w:p>
    <w:p w14:paraId="5AF8191F"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Сов. Секретно </w:t>
      </w:r>
    </w:p>
    <w:p w14:paraId="7AE89C1D" w14:textId="77777777" w:rsidR="002B4AAC" w:rsidRPr="00E14102" w:rsidRDefault="002B4AAC" w:rsidP="00E14102">
      <w:pPr>
        <w:jc w:val="both"/>
        <w:rPr>
          <w:color w:val="000000" w:themeColor="text1"/>
          <w:sz w:val="16"/>
          <w:szCs w:val="16"/>
        </w:rPr>
      </w:pPr>
      <w:r w:rsidRPr="00E14102">
        <w:rPr>
          <w:color w:val="000000" w:themeColor="text1"/>
          <w:sz w:val="16"/>
          <w:szCs w:val="16"/>
        </w:rPr>
        <w:t>ПРИКА3</w:t>
      </w:r>
    </w:p>
    <w:p w14:paraId="48BA0D47" w14:textId="77777777" w:rsidR="002B4AAC" w:rsidRPr="00E14102" w:rsidRDefault="002B4AAC" w:rsidP="00E14102">
      <w:pPr>
        <w:jc w:val="both"/>
        <w:rPr>
          <w:color w:val="000000" w:themeColor="text1"/>
          <w:sz w:val="16"/>
          <w:szCs w:val="16"/>
        </w:rPr>
      </w:pPr>
      <w:r w:rsidRPr="00E14102">
        <w:rPr>
          <w:color w:val="000000" w:themeColor="text1"/>
          <w:sz w:val="16"/>
          <w:szCs w:val="16"/>
        </w:rPr>
        <w:t>по тресту Специального Машиностроения.</w:t>
      </w:r>
    </w:p>
    <w:p w14:paraId="249C49AA" w14:textId="77777777" w:rsidR="002B4AAC" w:rsidRPr="00E14102" w:rsidRDefault="002B4AAC" w:rsidP="00E14102">
      <w:pPr>
        <w:jc w:val="both"/>
        <w:rPr>
          <w:color w:val="000000" w:themeColor="text1"/>
          <w:sz w:val="16"/>
          <w:szCs w:val="16"/>
        </w:rPr>
      </w:pPr>
      <w:r w:rsidRPr="00E14102">
        <w:rPr>
          <w:color w:val="000000" w:themeColor="text1"/>
          <w:sz w:val="16"/>
          <w:szCs w:val="16"/>
        </w:rPr>
        <w:t>№ П-9сс</w:t>
      </w:r>
    </w:p>
    <w:p w14:paraId="1AC2D5AD"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г. Москва. </w:t>
      </w:r>
    </w:p>
    <w:p w14:paraId="3F8C1C4C" w14:textId="77777777" w:rsidR="002B4AAC" w:rsidRPr="00E14102" w:rsidRDefault="002B4AAC" w:rsidP="00E14102">
      <w:pPr>
        <w:jc w:val="both"/>
        <w:rPr>
          <w:color w:val="000000" w:themeColor="text1"/>
          <w:sz w:val="16"/>
          <w:szCs w:val="16"/>
        </w:rPr>
      </w:pPr>
      <w:r w:rsidRPr="00E14102">
        <w:rPr>
          <w:color w:val="000000" w:themeColor="text1"/>
          <w:sz w:val="16"/>
          <w:szCs w:val="16"/>
        </w:rPr>
        <w:t>4 мая 1935 года.</w:t>
      </w:r>
    </w:p>
    <w:p w14:paraId="7D267043"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Согласно личных указаний Народного Комиссара Тяжелой Промышленности тов. ОРДЖОНИКИДЗЕ, в целях обеспечения изготовления в 1935 году шести опытных танков новейшей конструкции, типа "БТ-ИС", ПРИКАЗЫВАЮ: </w:t>
      </w:r>
    </w:p>
    <w:p w14:paraId="46ADC6AE" w14:textId="77777777" w:rsidR="002B4AAC" w:rsidRPr="00E14102" w:rsidRDefault="002B4AAC" w:rsidP="00E14102">
      <w:pPr>
        <w:jc w:val="both"/>
        <w:rPr>
          <w:color w:val="000000" w:themeColor="text1"/>
          <w:sz w:val="16"/>
          <w:szCs w:val="16"/>
        </w:rPr>
      </w:pPr>
      <w:r w:rsidRPr="00E14102">
        <w:rPr>
          <w:color w:val="000000" w:themeColor="text1"/>
          <w:sz w:val="16"/>
          <w:szCs w:val="16"/>
        </w:rPr>
        <w:t>§1.</w:t>
      </w:r>
    </w:p>
    <w:p w14:paraId="13ABE34C"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Директору ХПЗ тов. БОНДАРЕНКО немедленно заключить с АБТУ РККА соглашение на изготовление ТРЕХ опытных образцов танка БТ-ИС конструкции тов. ЦЫГАНОВА с шестью ведущими и шестью управляемыми колесами. </w:t>
      </w:r>
    </w:p>
    <w:p w14:paraId="443B852B" w14:textId="77777777" w:rsidR="002B4AAC" w:rsidRPr="00E14102" w:rsidRDefault="002B4AAC" w:rsidP="00E14102">
      <w:pPr>
        <w:jc w:val="both"/>
        <w:rPr>
          <w:color w:val="000000" w:themeColor="text1"/>
          <w:sz w:val="16"/>
          <w:szCs w:val="16"/>
        </w:rPr>
      </w:pPr>
      <w:r w:rsidRPr="00E14102">
        <w:rPr>
          <w:color w:val="000000" w:themeColor="text1"/>
          <w:sz w:val="16"/>
          <w:szCs w:val="16"/>
        </w:rPr>
        <w:t>§2.</w:t>
      </w:r>
    </w:p>
    <w:p w14:paraId="3A70A30E"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Директору Опытного завода им. Кирова тов. БАРЫКОВУ немедленно заключить с АБТУ РККА соглашение на изготовление ТРЕХ опытных образцов танка БТ-ИС, конструкции тов. ЦЫГАНОВА с новой гусеницей и подвеской. </w:t>
      </w:r>
    </w:p>
    <w:p w14:paraId="0E2C2129" w14:textId="77777777" w:rsidR="002B4AAC" w:rsidRPr="00E14102" w:rsidRDefault="002B4AAC" w:rsidP="00E14102">
      <w:pPr>
        <w:jc w:val="both"/>
        <w:rPr>
          <w:color w:val="000000" w:themeColor="text1"/>
          <w:sz w:val="16"/>
          <w:szCs w:val="16"/>
        </w:rPr>
      </w:pPr>
      <w:r w:rsidRPr="00E14102">
        <w:rPr>
          <w:color w:val="000000" w:themeColor="text1"/>
          <w:sz w:val="16"/>
          <w:szCs w:val="16"/>
        </w:rPr>
        <w:t>§3.</w:t>
      </w:r>
    </w:p>
    <w:p w14:paraId="4E00E9E6"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Танки БТ в количестве ТРЕХ штук для завода им. Кирова и ТРЕХ штук для ХПЗ на которых будет осуществляться указанная конструкция, а также чертежи указанных конструкций танков – директорам назначенных заводов надлежит получить немедленно в АБТУ РККА. </w:t>
      </w:r>
    </w:p>
    <w:p w14:paraId="141A0BC0" w14:textId="77777777" w:rsidR="002B4AAC" w:rsidRPr="00E14102" w:rsidRDefault="002B4AAC" w:rsidP="00E14102">
      <w:pPr>
        <w:jc w:val="both"/>
        <w:rPr>
          <w:color w:val="000000" w:themeColor="text1"/>
          <w:sz w:val="16"/>
          <w:szCs w:val="16"/>
        </w:rPr>
      </w:pPr>
      <w:r w:rsidRPr="00E14102">
        <w:rPr>
          <w:color w:val="000000" w:themeColor="text1"/>
          <w:sz w:val="16"/>
          <w:szCs w:val="16"/>
        </w:rPr>
        <w:t>§4.</w:t>
      </w:r>
    </w:p>
    <w:p w14:paraId="46418D81"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Директору XП3 тов. Б0НДАРЕНКО использовать группу тов. ЦЫГАНОВА, передаваемую по согласованию с Начальником АБТУ тов. ХАЛЕПСКИМ на XПЗ, на время изготовления этих танков. </w:t>
      </w:r>
    </w:p>
    <w:p w14:paraId="5BDE7603" w14:textId="77777777" w:rsidR="002B4AAC" w:rsidRPr="00E14102" w:rsidRDefault="002B4AAC" w:rsidP="00E14102">
      <w:pPr>
        <w:jc w:val="both"/>
        <w:rPr>
          <w:color w:val="000000" w:themeColor="text1"/>
          <w:sz w:val="16"/>
          <w:szCs w:val="16"/>
        </w:rPr>
      </w:pPr>
      <w:r w:rsidRPr="00E14102">
        <w:rPr>
          <w:color w:val="000000" w:themeColor="text1"/>
          <w:sz w:val="16"/>
          <w:szCs w:val="16"/>
        </w:rPr>
        <w:t>§5.</w:t>
      </w:r>
    </w:p>
    <w:p w14:paraId="00623D5E" w14:textId="77777777" w:rsidR="002B4AAC" w:rsidRPr="00E14102" w:rsidRDefault="002B4AAC" w:rsidP="00E14102">
      <w:pPr>
        <w:jc w:val="both"/>
        <w:rPr>
          <w:color w:val="000000" w:themeColor="text1"/>
          <w:sz w:val="16"/>
          <w:szCs w:val="16"/>
        </w:rPr>
      </w:pPr>
      <w:r w:rsidRPr="00E14102">
        <w:rPr>
          <w:color w:val="000000" w:themeColor="text1"/>
          <w:sz w:val="16"/>
          <w:szCs w:val="16"/>
        </w:rPr>
        <w:t xml:space="preserve">Директорам перечисленных заводов ежемесячно докладывать мне о ходе производства названных опытных образцов танков. </w:t>
      </w:r>
    </w:p>
    <w:p w14:paraId="53D8DE51" w14:textId="77777777" w:rsidR="002B4AAC" w:rsidRPr="00E14102" w:rsidRDefault="002B4AAC" w:rsidP="00E14102">
      <w:pPr>
        <w:jc w:val="both"/>
        <w:rPr>
          <w:color w:val="000000" w:themeColor="text1"/>
          <w:sz w:val="16"/>
          <w:szCs w:val="16"/>
        </w:rPr>
      </w:pPr>
      <w:r w:rsidRPr="00E14102">
        <w:rPr>
          <w:color w:val="000000" w:themeColor="text1"/>
          <w:sz w:val="16"/>
          <w:szCs w:val="16"/>
        </w:rPr>
        <w:t>Управляющий Трестом Специального Машиностроения</w:t>
      </w:r>
    </w:p>
    <w:p w14:paraId="41D5B8D9" w14:textId="77777777" w:rsidR="002B4AAC" w:rsidRPr="00E14102" w:rsidRDefault="002B4AAC" w:rsidP="00E14102">
      <w:pPr>
        <w:jc w:val="both"/>
        <w:rPr>
          <w:color w:val="000000" w:themeColor="text1"/>
          <w:sz w:val="16"/>
          <w:szCs w:val="16"/>
        </w:rPr>
      </w:pPr>
      <w:r w:rsidRPr="00E14102">
        <w:rPr>
          <w:color w:val="000000" w:themeColor="text1"/>
          <w:sz w:val="16"/>
          <w:szCs w:val="16"/>
        </w:rPr>
        <w:t>подпись (НЕЙМАН) (17933).</w:t>
      </w:r>
    </w:p>
    <w:p w14:paraId="3F212284" w14:textId="77777777" w:rsidR="002B4AAC" w:rsidRPr="00E14102" w:rsidRDefault="002B4AAC" w:rsidP="00E14102">
      <w:pPr>
        <w:jc w:val="both"/>
        <w:rPr>
          <w:bCs/>
          <w:iCs/>
          <w:color w:val="000000" w:themeColor="text1"/>
          <w:sz w:val="16"/>
          <w:szCs w:val="16"/>
        </w:rPr>
      </w:pPr>
      <w:r w:rsidRPr="00E14102">
        <w:rPr>
          <w:bCs/>
          <w:iCs/>
          <w:color w:val="000000" w:themeColor="text1"/>
          <w:sz w:val="16"/>
          <w:szCs w:val="16"/>
        </w:rPr>
        <w:t>Малышев Г.Н. Танки завода имени С.М. Кирова.</w:t>
      </w:r>
    </w:p>
    <w:p w14:paraId="7535F8F1" w14:textId="77777777" w:rsidR="002B4AAC" w:rsidRPr="00E14102" w:rsidRDefault="002B4AAC" w:rsidP="00E14102">
      <w:pPr>
        <w:jc w:val="both"/>
        <w:rPr>
          <w:color w:val="000000" w:themeColor="text1"/>
          <w:sz w:val="16"/>
          <w:szCs w:val="16"/>
        </w:rPr>
      </w:pPr>
      <w:r w:rsidRPr="00E14102">
        <w:rPr>
          <w:bCs/>
          <w:iCs/>
          <w:color w:val="000000" w:themeColor="text1"/>
          <w:sz w:val="16"/>
          <w:szCs w:val="16"/>
        </w:rPr>
        <w:t>Производственная деятельность завода в период с 1934 года по 1941 год (в документах): рукопись. СПб., 2005. С. 57 (17509).</w:t>
      </w:r>
    </w:p>
    <w:p w14:paraId="329C3155" w14:textId="77777777" w:rsidR="002B4AAC" w:rsidRPr="00E14102" w:rsidRDefault="002B4AAC" w:rsidP="00E14102">
      <w:pPr>
        <w:jc w:val="both"/>
        <w:rPr>
          <w:color w:val="000000" w:themeColor="text1"/>
          <w:sz w:val="16"/>
          <w:szCs w:val="16"/>
        </w:rPr>
      </w:pPr>
    </w:p>
    <w:p w14:paraId="2D1D666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5BEED6DC" w14:textId="77777777" w:rsidR="00D4105E" w:rsidRPr="00E14102" w:rsidRDefault="00D4105E" w:rsidP="00E14102">
      <w:pPr>
        <w:autoSpaceDE w:val="0"/>
        <w:autoSpaceDN w:val="0"/>
        <w:adjustRightInd w:val="0"/>
        <w:jc w:val="both"/>
        <w:rPr>
          <w:iCs/>
          <w:color w:val="000000" w:themeColor="text1"/>
          <w:sz w:val="16"/>
          <w:szCs w:val="16"/>
        </w:rPr>
      </w:pPr>
    </w:p>
    <w:p w14:paraId="74B594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мая 1935 в Кремле состоялся прием выпускников военных академий и И.В.С. поставил задачу в совершенстве овладеть новой техникой (1074,125) и сказал: Кадры решают все (3908,347).</w:t>
      </w:r>
    </w:p>
    <w:p w14:paraId="750B357E" w14:textId="77777777" w:rsidR="00D4105E" w:rsidRPr="00E14102" w:rsidRDefault="00D4105E" w:rsidP="00E14102">
      <w:pPr>
        <w:autoSpaceDE w:val="0"/>
        <w:autoSpaceDN w:val="0"/>
        <w:adjustRightInd w:val="0"/>
        <w:jc w:val="both"/>
        <w:rPr>
          <w:color w:val="000000" w:themeColor="text1"/>
          <w:sz w:val="16"/>
          <w:szCs w:val="16"/>
        </w:rPr>
      </w:pPr>
    </w:p>
    <w:p w14:paraId="648F1604" w14:textId="77777777" w:rsidR="00C91908" w:rsidRPr="00E14102" w:rsidRDefault="00C91908" w:rsidP="00E14102">
      <w:pPr>
        <w:jc w:val="both"/>
        <w:rPr>
          <w:color w:val="0070C0"/>
          <w:sz w:val="16"/>
          <w:szCs w:val="16"/>
        </w:rPr>
      </w:pPr>
      <w:r w:rsidRPr="00E14102">
        <w:rPr>
          <w:color w:val="0070C0"/>
          <w:sz w:val="16"/>
          <w:szCs w:val="16"/>
        </w:rPr>
        <w:t>4 мая 1935 года Сталин на выпуске красных командиров произносит знаменитую фразу: "Кадры решают все!" (21179).</w:t>
      </w:r>
    </w:p>
    <w:p w14:paraId="604C73C3" w14:textId="77777777" w:rsidR="00C91908" w:rsidRPr="00E14102" w:rsidRDefault="00C91908" w:rsidP="00E14102">
      <w:pPr>
        <w:jc w:val="both"/>
        <w:rPr>
          <w:color w:val="0070C0"/>
          <w:sz w:val="16"/>
          <w:szCs w:val="16"/>
        </w:rPr>
      </w:pPr>
    </w:p>
    <w:p w14:paraId="7001F7A6" w14:textId="77777777" w:rsidR="00C91908" w:rsidRPr="00E14102" w:rsidRDefault="00C91908" w:rsidP="00E14102">
      <w:pPr>
        <w:shd w:val="clear" w:color="auto" w:fill="FFFFFF"/>
        <w:jc w:val="both"/>
        <w:rPr>
          <w:color w:val="0070C0"/>
          <w:sz w:val="16"/>
          <w:szCs w:val="16"/>
        </w:rPr>
      </w:pPr>
      <w:r w:rsidRPr="00E14102">
        <w:rPr>
          <w:color w:val="0070C0"/>
          <w:sz w:val="16"/>
          <w:szCs w:val="16"/>
        </w:rPr>
        <w:t>4 мая 1935 г. застольная речь Сталина несводима к одному измерению, будь то сплочение руководящего слоя (и даже национальное примирение на основе своего рода взаимной амнистии) (Речь И. В. Сталина (выправленная стенограмма), 5.05.1935 //Там же), развертывание кампании за повышение производительности труда или объяснение военных решений весны 1935 г. Вместе с тем новая установка, несмотря на лирические иллюстрации, была предельно инструментальна (так, рассуждая о "голоде в области кадров", Сталин свел голодомор 1932-1933 гг. к констатации: "народ скулил"). Общее выравнивание нарушенного социального и организационного баланса на новой стадии советской трансформации имело прямое отношение к мобилизационным задачам. Сталин завершил свое выступление прямым обращением к армии: необходимо "вырастить настоящие кадры, не боящиеся трудностей. Тогда наша армия будет непобедима" (Речь И. В. Сталина (выправленная стенограмма), 5.05.1935 //Там же). В сравнении с утверждениями двухлетней давности ("Если русские вооружены танками, авиацией, морским флотом - они непобедимы") новые указания звучали как частичное возвращение к требованиям военной выучки. На следующий день, выправляя стенографическую запись, Сталин сдвинул акценты, подчеркнув необходимость не только качества военной подготовки, но и должного масштаба: "...если наша армия будет иметь в достаточном количестве настоящие закаленные кадры, она будет непобедима" (Речь И. В. Сталина (выправленная стенограмма), 5.05.1935 //Там же) (22725).</w:t>
      </w:r>
    </w:p>
    <w:p w14:paraId="16868628" w14:textId="77777777" w:rsidR="00C91908" w:rsidRPr="00E14102" w:rsidRDefault="00C91908" w:rsidP="00E14102">
      <w:pPr>
        <w:jc w:val="both"/>
        <w:rPr>
          <w:color w:val="0070C0"/>
          <w:sz w:val="16"/>
          <w:szCs w:val="16"/>
        </w:rPr>
      </w:pPr>
    </w:p>
    <w:p w14:paraId="4A10093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43DCF0E" w14:textId="77777777" w:rsidR="00D4105E" w:rsidRPr="00E14102" w:rsidRDefault="00D4105E" w:rsidP="00E14102">
      <w:pPr>
        <w:autoSpaceDE w:val="0"/>
        <w:autoSpaceDN w:val="0"/>
        <w:adjustRightInd w:val="0"/>
        <w:jc w:val="both"/>
        <w:rPr>
          <w:iCs/>
          <w:color w:val="000000" w:themeColor="text1"/>
          <w:sz w:val="16"/>
          <w:szCs w:val="16"/>
        </w:rPr>
      </w:pPr>
    </w:p>
    <w:p w14:paraId="323D2AA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мая 1935 И. Сталин на выпуске красных офицеров произнес фразу “Кадры решают все” (4962).</w:t>
      </w:r>
    </w:p>
    <w:p w14:paraId="6F99DE9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CFE5C10" w14:textId="77777777" w:rsidR="00235457" w:rsidRPr="00E14102" w:rsidRDefault="00235457" w:rsidP="00E14102">
      <w:pPr>
        <w:jc w:val="both"/>
        <w:rPr>
          <w:color w:val="000000" w:themeColor="text1"/>
          <w:sz w:val="16"/>
          <w:szCs w:val="16"/>
        </w:rPr>
      </w:pPr>
      <w:r w:rsidRPr="00E14102">
        <w:rPr>
          <w:color w:val="000000" w:themeColor="text1"/>
          <w:sz w:val="16"/>
          <w:szCs w:val="16"/>
        </w:rPr>
        <w:t xml:space="preserve">4 мая </w:t>
      </w:r>
      <w:bookmarkStart w:id="15" w:name="YANDEX_6"/>
      <w:bookmarkEnd w:id="15"/>
      <w:r w:rsidRPr="00E14102">
        <w:rPr>
          <w:rStyle w:val="highlight"/>
          <w:color w:val="000000" w:themeColor="text1"/>
          <w:sz w:val="16"/>
          <w:szCs w:val="16"/>
        </w:rPr>
        <w:t> 1935 </w:t>
      </w:r>
      <w:r w:rsidRPr="00E14102">
        <w:rPr>
          <w:color w:val="000000" w:themeColor="text1"/>
          <w:sz w:val="16"/>
          <w:szCs w:val="16"/>
        </w:rPr>
        <w:t xml:space="preserve"> года Речь в Кремлевском дворце на выпуске академиков Красной Армии </w:t>
      </w:r>
    </w:p>
    <w:p w14:paraId="451EDE01" w14:textId="77777777" w:rsidR="00235457" w:rsidRPr="00E14102" w:rsidRDefault="00235457" w:rsidP="00E14102">
      <w:pPr>
        <w:jc w:val="both"/>
        <w:rPr>
          <w:color w:val="000000" w:themeColor="text1"/>
          <w:sz w:val="16"/>
          <w:szCs w:val="16"/>
        </w:rPr>
      </w:pPr>
      <w:r w:rsidRPr="00E14102">
        <w:rPr>
          <w:color w:val="000000" w:themeColor="text1"/>
          <w:sz w:val="16"/>
          <w:szCs w:val="16"/>
        </w:rPr>
        <w:t>Товарищи! Нельзя отрицать, что за последнее время мы имели большие успехи как в области строительства, так и в области управления. В связи с этим слишком много говорят у нас о заслугах руководителей, о заслугах вождей. Им приписывают все, почти все наши достижения. Это, конечно, неверно и неправильно. Дело не только в вождях. Но не об этом я хотел бы говорить сегодня. Я хотел бы сказать несколько слов о кадрах, о наших кадрах вообще и в частности о кадрах нашей Красной Армии.</w:t>
      </w:r>
    </w:p>
    <w:p w14:paraId="4C37A082" w14:textId="77777777" w:rsidR="00235457" w:rsidRPr="00E14102" w:rsidRDefault="00235457" w:rsidP="00E14102">
      <w:pPr>
        <w:jc w:val="both"/>
        <w:rPr>
          <w:color w:val="000000" w:themeColor="text1"/>
          <w:sz w:val="16"/>
          <w:szCs w:val="16"/>
        </w:rPr>
      </w:pPr>
      <w:r w:rsidRPr="00E14102">
        <w:rPr>
          <w:color w:val="000000" w:themeColor="text1"/>
          <w:sz w:val="16"/>
          <w:szCs w:val="16"/>
        </w:rPr>
        <w:t>Вы знаете, что мы получили в наследство от старого времени отсталую технически и полунищую, разоренную страну. Разоренная четырьмя годами империалистической войны, повторно разоренная тремя годами гражданской войны, страна с полуграмотным населением, с низкой техникой, с отдельными оазисами промышленности, тонувшими среди моря мельчайших крестьянских хозяйств, — вот какую страну получили мы в наследство от прошлого. Задача состояла в том, чтобы эту страну перевести с рельс средневековья и темноты на рельсы современной индустрии и машинизированного сельского хозяйства. Задача, как видите, серьезная и трудная. Вопрос стоял так: либо мы эту задачу разрешим в кратчайший срок и укрепим в нашей стране социализм, либо мы ее не разрешим, и тогда наша страна — слабая технически и темная в культурном отношении — растеряет свою независимость и превратится в объект игры империалистических держав.</w:t>
      </w:r>
    </w:p>
    <w:p w14:paraId="0D157465" w14:textId="77777777" w:rsidR="00235457" w:rsidRPr="00E14102" w:rsidRDefault="00235457" w:rsidP="00E14102">
      <w:pPr>
        <w:jc w:val="both"/>
        <w:rPr>
          <w:color w:val="000000" w:themeColor="text1"/>
          <w:sz w:val="16"/>
          <w:szCs w:val="16"/>
        </w:rPr>
      </w:pPr>
      <w:r w:rsidRPr="00E14102">
        <w:rPr>
          <w:color w:val="000000" w:themeColor="text1"/>
          <w:sz w:val="16"/>
          <w:szCs w:val="16"/>
        </w:rPr>
        <w:t>Наша страна переживала тогда период жесточайшего голода в области техники. Не хватало машин для индустрии. Не было машин для сельского хозяйства. Не было машин для транспорта. Не было той элементарной технической базы, без чего немыслимо индустриальное преобразование страны. Были только отдельные предпосылки для создания такой базы. Надо было создать первоклассную индустрию. Надо было направить эту индустрию на то, чтобы она была способна реорганизовать технически не только промышленность, но и сельское хозяйство, но и наш железнодорожный транспорт. А для этого надо было пойти на жертвы и навести во всем жесточайшую экономию, надо было экономить и на питании, и на школах, и на мануфактуре, чтобы накопить необходимые средства для создания индустрии. Другого пути для изживания голода в области техники не было. Так учил нас Ленин, и мы шли в этом деле по стопам Ленина.</w:t>
      </w:r>
    </w:p>
    <w:p w14:paraId="0B1F0004" w14:textId="77777777" w:rsidR="00235457" w:rsidRPr="00E14102" w:rsidRDefault="00235457" w:rsidP="00E14102">
      <w:pPr>
        <w:jc w:val="both"/>
        <w:rPr>
          <w:color w:val="000000" w:themeColor="text1"/>
          <w:sz w:val="16"/>
          <w:szCs w:val="16"/>
        </w:rPr>
      </w:pPr>
      <w:r w:rsidRPr="00E14102">
        <w:rPr>
          <w:color w:val="000000" w:themeColor="text1"/>
          <w:sz w:val="16"/>
          <w:szCs w:val="16"/>
        </w:rPr>
        <w:t>Понятно, что в таком большом и трудном деле нельзя было ждать сплошных и быстрых успехов. В таком деле успехи могут обозначиться лишь спустя несколько лет. Необходимо было поэтому вооружиться крепкими нервами, большевистской выдержкой и упорным терпением, чтобы преодолеть первые неудачи и неуклонно идти вперед к великой цели, не допуская колебаний и неуверенности в своих рядах.</w:t>
      </w:r>
    </w:p>
    <w:p w14:paraId="3F504B35" w14:textId="77777777" w:rsidR="00235457" w:rsidRPr="00E14102" w:rsidRDefault="00235457" w:rsidP="00E14102">
      <w:pPr>
        <w:jc w:val="both"/>
        <w:rPr>
          <w:color w:val="000000" w:themeColor="text1"/>
          <w:sz w:val="16"/>
          <w:szCs w:val="16"/>
        </w:rPr>
      </w:pPr>
      <w:r w:rsidRPr="00E14102">
        <w:rPr>
          <w:color w:val="000000" w:themeColor="text1"/>
          <w:sz w:val="16"/>
          <w:szCs w:val="16"/>
        </w:rPr>
        <w:t>Вы знаете, что мы вели это дело таким именно образом. Но не у всех наших товарищей хватило нервов, терпенья и выдержки. Среди наших товарищей нашлись люди, которые после первых же затруднений стали звать к отступлению. Говорят, что “кто старое помянет, тому глаз вон”. Это, конечно, верно. Но у человека имеется память, и невольно вспоминаешь о прошлом при подведении итогов нашей работы. Так вот, были у нас товарищи, которые испугались трудностей и стали звать партию к отступлению. Они говорили: “Что нам ваша индустриализация и коллективизация, машины, черная металлургия, тракторы, комбайны, автомобили? Дали бы лучше побольше мануфактуры, купили бы лучше побольше сырья для производства ширпотреба и побольше бы давали населению всех тех мелочей, чем красен быт людей. Создание индустрии при нашей отсталости, да еще первоклассной индустрии — опасная мечта”.</w:t>
      </w:r>
    </w:p>
    <w:p w14:paraId="0661FB1C" w14:textId="77777777" w:rsidR="00235457" w:rsidRPr="00E14102" w:rsidRDefault="00235457" w:rsidP="00E14102">
      <w:pPr>
        <w:jc w:val="both"/>
        <w:rPr>
          <w:color w:val="000000" w:themeColor="text1"/>
          <w:sz w:val="16"/>
          <w:szCs w:val="16"/>
        </w:rPr>
      </w:pPr>
      <w:r w:rsidRPr="00E14102">
        <w:rPr>
          <w:color w:val="000000" w:themeColor="text1"/>
          <w:sz w:val="16"/>
          <w:szCs w:val="16"/>
        </w:rPr>
        <w:t>Конечно, мы могли бы 3 миллиарда рублей валюты, добытых путем жесточайшей экономии и истраченных на создание нашей индустрии, — мы могли бы их обратить на импорт сырья и усиление производства предметов широкого потребления. Это тоже своего рода “план”. Но при таком “плане” мы не имели бы ни металлургии, ни машиностроения, ни тракторов и автомобилей, ни авиации и танков. Мы оказались бы безоружными перед внешними врагами. Мы подорвали бы основы социализма в нашей стране. Мы оказались бы в плену у буржуазии внутренней и внешней.</w:t>
      </w:r>
    </w:p>
    <w:p w14:paraId="77EB2641" w14:textId="77777777" w:rsidR="00235457" w:rsidRPr="00E14102" w:rsidRDefault="00235457" w:rsidP="00E14102">
      <w:pPr>
        <w:jc w:val="both"/>
        <w:rPr>
          <w:color w:val="000000" w:themeColor="text1"/>
          <w:sz w:val="16"/>
          <w:szCs w:val="16"/>
        </w:rPr>
      </w:pPr>
      <w:r w:rsidRPr="00E14102">
        <w:rPr>
          <w:color w:val="000000" w:themeColor="text1"/>
          <w:sz w:val="16"/>
          <w:szCs w:val="16"/>
        </w:rPr>
        <w:t>Очевидно, надо было выбирать между двумя планами: между планом отступления, который вел и не мог не вести к поражению социализма, и планом наступления, который вел и, как знаете, уже привел к победе социализма в нашей стране.</w:t>
      </w:r>
    </w:p>
    <w:p w14:paraId="13277797" w14:textId="77777777" w:rsidR="00235457" w:rsidRPr="00E14102" w:rsidRDefault="00235457" w:rsidP="00E14102">
      <w:pPr>
        <w:jc w:val="both"/>
        <w:rPr>
          <w:color w:val="000000" w:themeColor="text1"/>
          <w:sz w:val="16"/>
          <w:szCs w:val="16"/>
        </w:rPr>
      </w:pPr>
      <w:r w:rsidRPr="00E14102">
        <w:rPr>
          <w:color w:val="000000" w:themeColor="text1"/>
          <w:sz w:val="16"/>
          <w:szCs w:val="16"/>
        </w:rPr>
        <w:t>Мы выбрали план наступления и пошли вперед по ленинскому пути, оттерев назад этих товарищей как людей, которые видели кое-как только у себя под носом, но закрывали глаза на ближайшее будущее нашей страны, на будущее социализма в нашей стране.</w:t>
      </w:r>
    </w:p>
    <w:p w14:paraId="6C238597" w14:textId="77777777" w:rsidR="00235457" w:rsidRPr="00E14102" w:rsidRDefault="00235457" w:rsidP="00E14102">
      <w:pPr>
        <w:jc w:val="both"/>
        <w:rPr>
          <w:color w:val="000000" w:themeColor="text1"/>
          <w:sz w:val="16"/>
          <w:szCs w:val="16"/>
        </w:rPr>
      </w:pPr>
      <w:r w:rsidRPr="00E14102">
        <w:rPr>
          <w:color w:val="000000" w:themeColor="text1"/>
          <w:sz w:val="16"/>
          <w:szCs w:val="16"/>
        </w:rPr>
        <w:t>Но эти товарищи не всегда ограничивались критикой и пассивным сопротивлением. Они угрожали нам поднятием восстания в партии против Центрального Комитета. Более того: они угрожали кое-кому из нас пулями. Видимо, они рассчитывали запугать нас и заставить нас свернуть с ленинского пути. Эти люди, очевидно, забыли, что мы, большевики, — люди особого покроя. Они забыли, что большевиков не запугаешь ни трудностями, ни угрозами. Они забыли, что нас ковал великий Ленин, наш вождь, наш учитель, наш отец, который не знал и не признавал страха в борьбе. Они забыли, что чем сильнее беснуются враги и чем больше впадают в истерику противники внутри партии, тем больше накаляются большевики для новой борьбы и тем стремительней двигаются они вперед.</w:t>
      </w:r>
    </w:p>
    <w:p w14:paraId="29C8D25D" w14:textId="77777777" w:rsidR="00235457" w:rsidRPr="00E14102" w:rsidRDefault="00235457" w:rsidP="00E14102">
      <w:pPr>
        <w:jc w:val="both"/>
        <w:rPr>
          <w:color w:val="000000" w:themeColor="text1"/>
          <w:sz w:val="16"/>
          <w:szCs w:val="16"/>
        </w:rPr>
      </w:pPr>
      <w:r w:rsidRPr="00E14102">
        <w:rPr>
          <w:color w:val="000000" w:themeColor="text1"/>
          <w:sz w:val="16"/>
          <w:szCs w:val="16"/>
        </w:rPr>
        <w:t>Понятно, что мы и не думали сворачивать с ленинского пути. Более того, укрепившись на этом пути, мы еще стремительнее пошли вперед, сметая с дороги все и всякие препятствия. Правда, нам пришлось при этом по пути помять бока кое-кому из этих товарищей. Но с этим уж ничего не поделаешь. Должен признаться, что я тоже приложил руку к этому делу.</w:t>
      </w:r>
    </w:p>
    <w:p w14:paraId="183B11D4" w14:textId="77777777" w:rsidR="00235457" w:rsidRPr="00E14102" w:rsidRDefault="00235457" w:rsidP="00E14102">
      <w:pPr>
        <w:jc w:val="both"/>
        <w:rPr>
          <w:color w:val="000000" w:themeColor="text1"/>
          <w:sz w:val="16"/>
          <w:szCs w:val="16"/>
        </w:rPr>
      </w:pPr>
      <w:r w:rsidRPr="00E14102">
        <w:rPr>
          <w:color w:val="000000" w:themeColor="text1"/>
          <w:sz w:val="16"/>
          <w:szCs w:val="16"/>
        </w:rPr>
        <w:t>Да, товарищи, мы пошли уверенно и стремительно по пути индустриализации и коллективизации нашей страны. И теперь этот путь можно считать уже пройденным.</w:t>
      </w:r>
    </w:p>
    <w:p w14:paraId="2D27B5E7" w14:textId="77777777" w:rsidR="00235457" w:rsidRPr="00E14102" w:rsidRDefault="00235457" w:rsidP="00E14102">
      <w:pPr>
        <w:jc w:val="both"/>
        <w:rPr>
          <w:color w:val="000000" w:themeColor="text1"/>
          <w:sz w:val="16"/>
          <w:szCs w:val="16"/>
        </w:rPr>
      </w:pPr>
      <w:r w:rsidRPr="00E14102">
        <w:rPr>
          <w:color w:val="000000" w:themeColor="text1"/>
          <w:sz w:val="16"/>
          <w:szCs w:val="16"/>
        </w:rPr>
        <w:t>Теперь уже все признают, что мы добились на этом пути громадных успехов. Теперь все признают, что мы имеем уже мощную и первоклассную промышленность, мощное и механизированное сельское хозяйство, развертывающийся и идущий в гору транспорт, организованную и прекрасно оснащенную Красную Армию.</w:t>
      </w:r>
    </w:p>
    <w:p w14:paraId="677A281F" w14:textId="77777777" w:rsidR="00235457" w:rsidRPr="00E14102" w:rsidRDefault="00235457" w:rsidP="00E14102">
      <w:pPr>
        <w:jc w:val="both"/>
        <w:rPr>
          <w:color w:val="000000" w:themeColor="text1"/>
          <w:sz w:val="16"/>
          <w:szCs w:val="16"/>
        </w:rPr>
      </w:pPr>
      <w:r w:rsidRPr="00E14102">
        <w:rPr>
          <w:color w:val="000000" w:themeColor="text1"/>
          <w:sz w:val="16"/>
          <w:szCs w:val="16"/>
        </w:rPr>
        <w:t>Это значит, что мы изжили уже в основном период голода в области техники.</w:t>
      </w:r>
    </w:p>
    <w:p w14:paraId="546218DC" w14:textId="77777777" w:rsidR="00235457" w:rsidRPr="00E14102" w:rsidRDefault="00235457" w:rsidP="00E14102">
      <w:pPr>
        <w:jc w:val="both"/>
        <w:rPr>
          <w:color w:val="000000" w:themeColor="text1"/>
          <w:sz w:val="16"/>
          <w:szCs w:val="16"/>
        </w:rPr>
      </w:pPr>
      <w:r w:rsidRPr="00E14102">
        <w:rPr>
          <w:color w:val="000000" w:themeColor="text1"/>
          <w:sz w:val="16"/>
          <w:szCs w:val="16"/>
        </w:rPr>
        <w:t>Но изжив период голода в области техники, мы вступили в новый период, в период, я бы сказал, голода в области людей, в области кадров, в области работников, умеющих оседлать технику и двинуть ее вперед. Дело в том, что у нас есть фабрики, заводы, колхозы, совхозы, армия, есть техника для всего этого дела, но не хватает людей, имеющих достаточный опыт, необходимый для того, чтобы выжать из техники максимум того, что можно из нее выжать. Раньше мы говорили, что “техника решает все”. Этот лозунг помог нам в том отношении, что мы ликвидировали голод в области техники и создали широчайшую техническую базу во всех отраслях деятельности для вооружения наших людей первоклассной техникой. Это очень хорошо. Но этого далеко и далеко недостаточно. Чтобы привести технику в движение и использовать ее до дна, нужны люди, овладевшие техникой, нужны кадры, способные освоить и использовать эту технику по всем правилам искусства. Техника без людей, овладевших техникой, мертва. Техника во главе с людьми, овладевшими техникой, может и должна дать чудеса. Если бы на наших первоклассных заводах и фабриках, в наших колхозах и совхозах, в нашей Красной Армии имелось достаточное количество кадров, способных оседлать эту технику, страна наша получила бы эффекта втрое и вчетверо больше, чем она теперь имеет. Вот почему упор должен быть сделан теперь на людях, на кадрах, на работниках, овладевших техникой. Вот почему старый лозунг “техника решает все”, являющийся отражением уже пройденного периода, когда у нас был голод в области техники, должен быть теперь заменен новым лозунгом, лозунгом о том, что “кадры решают все”. В этом теперь главное.</w:t>
      </w:r>
    </w:p>
    <w:p w14:paraId="52608377" w14:textId="77777777" w:rsidR="00235457" w:rsidRPr="00E14102" w:rsidRDefault="00235457" w:rsidP="00E14102">
      <w:pPr>
        <w:jc w:val="both"/>
        <w:rPr>
          <w:color w:val="000000" w:themeColor="text1"/>
          <w:sz w:val="16"/>
          <w:szCs w:val="16"/>
        </w:rPr>
      </w:pPr>
      <w:r w:rsidRPr="00E14102">
        <w:rPr>
          <w:color w:val="000000" w:themeColor="text1"/>
          <w:sz w:val="16"/>
          <w:szCs w:val="16"/>
        </w:rPr>
        <w:t>Можно ли сказать, что наши люди поняли и осознали полностью великое значение этого нового лозунга? Я бы этого не сказал. В противном случае мы бы не имели того безобразного отношения к людям, к кадрам, к работникам, которое наблюдаем нередко в нашей практике. Лозунг “кадры решают все” требует, чтобы наши руководители проявляли самое заботливое отношение к нашим работникам, к “малым” и “большим”, в какой бы области они ни работали, выращивали их заботливо, помогали им, когда они нуждаются в поддержке, поощряли их, когда они показывают первые успехи, выдвигали их вперед и т. д. А между тем на деле мы имеем в целом ряде случаев факты бездушно-бюрократического и прямо безобразного отношения к работникам. Этим, собственно, и объясняется, что вместо того, чтобы изучать людей и только после изучения ставить их на посты, нередко швыряются людьми, как пешками. Ценить машины и рапортовать о том, сколько у нас имеется техники на заводах и фабриках, научились. Но я не знаю ни одного случая, где бы с такой же охотой рапортовали о том, сколько людей мы вырастили за такой-то период и как мы помогали людям в том, чтобы они росли и закалялись в работе. Чем это объясняется? Объясняется это тем, что у нас не научились еще ценить людей, ценить работников, ценить кадры.</w:t>
      </w:r>
    </w:p>
    <w:p w14:paraId="5BA05A60" w14:textId="77777777" w:rsidR="00235457" w:rsidRPr="00E14102" w:rsidRDefault="00235457" w:rsidP="00E14102">
      <w:pPr>
        <w:jc w:val="both"/>
        <w:rPr>
          <w:color w:val="000000" w:themeColor="text1"/>
          <w:sz w:val="16"/>
          <w:szCs w:val="16"/>
        </w:rPr>
      </w:pPr>
      <w:r w:rsidRPr="00E14102">
        <w:rPr>
          <w:color w:val="000000" w:themeColor="text1"/>
          <w:sz w:val="16"/>
          <w:szCs w:val="16"/>
        </w:rPr>
        <w:lastRenderedPageBreak/>
        <w:t>Я вспоминаю случай в Сибири, где я был одно время в ссылке. Дело было весной, во время половодья. Человек тридцать ушло на реку ловить лес, унесенный разбушевавшейся громадной рекой. К вечеру вернулись они в деревню, но без одного товарища. На вопрос о том, где же тридцатый, они равнодушно ответили, что тридцатый “остался там”. На мой вопрос: “Как же так, остался?” — они с тем же равнодушием ответили: “Чего ж там еще спрашивать, утонул, стало быть”. И тут же один из них стал торопиться куда-то, заявив, что “надо бы пойти кобылу напоить”. На мой упрек, что они скотину жалеют больше, чем людей, один из них ответил при общем одобрении остальных: “Что ж нам жалеть их, людей-то? Людей мы завсегда сделать можем, а вот кобылу… попробуй-ка сделать кобылу”. Вот вам штрих, может быть, малозначительный, но очень характерный. Мне кажется, что равнодушное отношение некоторых наших руководителей к людям, к кадрам и неумение ценить людей является пережитком того странного отношения людей к людям, которое сказалось в только что рассказанном эпизоде в далекой Сибири.</w:t>
      </w:r>
    </w:p>
    <w:p w14:paraId="31B7EF2A" w14:textId="77777777" w:rsidR="00235457" w:rsidRPr="00E14102" w:rsidRDefault="00235457" w:rsidP="00E14102">
      <w:pPr>
        <w:jc w:val="both"/>
        <w:rPr>
          <w:color w:val="000000" w:themeColor="text1"/>
          <w:sz w:val="16"/>
          <w:szCs w:val="16"/>
        </w:rPr>
      </w:pPr>
      <w:r w:rsidRPr="00E14102">
        <w:rPr>
          <w:color w:val="000000" w:themeColor="text1"/>
          <w:sz w:val="16"/>
          <w:szCs w:val="16"/>
        </w:rPr>
        <w:t>Так вот, товарищи, если мы хотим изжить с успехом голод в области людей и добиться того, чтобы наша страна имела достаточное количество кадров, способных двигать вперед технику и пустить ее в действие, мы должны прежде всего научиться ценить людей, ценить кадры, ценить каждого работника, способного принести пользу нашему общему делу. Надо, наконец, понять, что из всех ценных капиталов, имеющихся в мире, самым ценным и самым решающим капиталом являются люди, кадры. Надо понять, что при наших нынешних условиях “кадры решают все”. Будут у нас хорошие и многочисленные кадры в промышленности, в сельском хозяйстве, на транспорте, в армии, наша страна будет непобедима. Не будет у нас таких кадров — будем хромать на обе ноги.</w:t>
      </w:r>
    </w:p>
    <w:p w14:paraId="785EF360" w14:textId="77777777" w:rsidR="00235457" w:rsidRPr="00E14102" w:rsidRDefault="00235457" w:rsidP="00E14102">
      <w:pPr>
        <w:jc w:val="both"/>
        <w:rPr>
          <w:color w:val="000000" w:themeColor="text1"/>
          <w:sz w:val="16"/>
          <w:szCs w:val="16"/>
        </w:rPr>
      </w:pPr>
      <w:r w:rsidRPr="00E14102">
        <w:rPr>
          <w:color w:val="000000" w:themeColor="text1"/>
          <w:sz w:val="16"/>
          <w:szCs w:val="16"/>
        </w:rPr>
        <w:t>Заканчивая речь, разрешите провозгласить тост за здоровье и преуспеяние наших академиков-выпускников по Красной Армии! Желаю им успеха в деле организации и руководства обороной нашей страны!</w:t>
      </w:r>
    </w:p>
    <w:p w14:paraId="6DAB90E6" w14:textId="77777777" w:rsidR="00235457" w:rsidRPr="00E14102" w:rsidRDefault="00235457" w:rsidP="00E14102">
      <w:pPr>
        <w:jc w:val="both"/>
        <w:rPr>
          <w:color w:val="000000" w:themeColor="text1"/>
          <w:sz w:val="16"/>
          <w:szCs w:val="16"/>
        </w:rPr>
      </w:pPr>
      <w:r w:rsidRPr="00E14102">
        <w:rPr>
          <w:color w:val="000000" w:themeColor="text1"/>
          <w:sz w:val="16"/>
          <w:szCs w:val="16"/>
        </w:rPr>
        <w:t>Товарищи! Вы окончили высшую школу и получили там первую закалку. Но школа — это только подготовительная ступень. Настоящая закалка кадров получается на живой работе, вне школы, на борьбе с трудностями, на преодолении трудностей. Помните, товарищи, что только те кадры хороши, которые не боятся трудностей, которые не прячутся от трудностей, а наоборот — идут навстречу трудностям для того, чтобы преодолеть и ликвидировать их. Только в борьбе с трудностями куются настоящие кадры. А если наша армия будет иметь в достаточном количестве настоящие закаленные кадры, она будет непобедима.</w:t>
      </w:r>
    </w:p>
    <w:p w14:paraId="69E2BE77" w14:textId="77777777" w:rsidR="00235457" w:rsidRPr="00E14102" w:rsidRDefault="00235457" w:rsidP="00E14102">
      <w:pPr>
        <w:jc w:val="both"/>
        <w:rPr>
          <w:color w:val="000000" w:themeColor="text1"/>
          <w:sz w:val="16"/>
          <w:szCs w:val="16"/>
        </w:rPr>
      </w:pPr>
      <w:r w:rsidRPr="00E14102">
        <w:rPr>
          <w:color w:val="000000" w:themeColor="text1"/>
          <w:sz w:val="16"/>
          <w:szCs w:val="16"/>
        </w:rPr>
        <w:t>За ваше здоровье, товарищи!</w:t>
      </w:r>
    </w:p>
    <w:p w14:paraId="3AB1BF43" w14:textId="77777777" w:rsidR="00235457" w:rsidRPr="00E14102" w:rsidRDefault="00235457" w:rsidP="00E14102">
      <w:pPr>
        <w:jc w:val="both"/>
        <w:rPr>
          <w:color w:val="000000" w:themeColor="text1"/>
          <w:sz w:val="16"/>
          <w:szCs w:val="16"/>
        </w:rPr>
      </w:pPr>
      <w:r w:rsidRPr="00E14102">
        <w:rPr>
          <w:color w:val="000000" w:themeColor="text1"/>
          <w:sz w:val="16"/>
          <w:szCs w:val="16"/>
        </w:rPr>
        <w:t>Правда. 6 мая 1935 года (17297).</w:t>
      </w:r>
    </w:p>
    <w:p w14:paraId="5003339F" w14:textId="77777777" w:rsidR="00235457" w:rsidRPr="00E14102" w:rsidRDefault="00235457" w:rsidP="00E14102">
      <w:pPr>
        <w:tabs>
          <w:tab w:val="left" w:pos="11199"/>
        </w:tabs>
        <w:autoSpaceDE w:val="0"/>
        <w:autoSpaceDN w:val="0"/>
        <w:adjustRightInd w:val="0"/>
        <w:jc w:val="both"/>
        <w:rPr>
          <w:color w:val="000000" w:themeColor="text1"/>
          <w:sz w:val="16"/>
          <w:szCs w:val="16"/>
        </w:rPr>
      </w:pPr>
    </w:p>
    <w:p w14:paraId="25E04324" w14:textId="77777777" w:rsidR="00591AD6" w:rsidRPr="00E14102" w:rsidRDefault="00591AD6" w:rsidP="00E14102">
      <w:pPr>
        <w:jc w:val="both"/>
        <w:rPr>
          <w:color w:val="000000" w:themeColor="text1"/>
          <w:sz w:val="16"/>
          <w:szCs w:val="16"/>
        </w:rPr>
      </w:pPr>
      <w:r w:rsidRPr="00E14102">
        <w:rPr>
          <w:color w:val="000000" w:themeColor="text1"/>
          <w:sz w:val="16"/>
          <w:szCs w:val="16"/>
        </w:rPr>
        <w:t xml:space="preserve">Выступая 4 мая 1935 г. в Кремлевском дворце перед выпускниками военных академий Красной Армии, Генеральный секретарь ЦК ВКП(б) И.В. Сталин так описал индустриальное преобразование страны: </w:t>
      </w:r>
    </w:p>
    <w:p w14:paraId="277C7088" w14:textId="77777777" w:rsidR="00591AD6" w:rsidRPr="00E14102" w:rsidRDefault="00591AD6" w:rsidP="00E14102">
      <w:pPr>
        <w:jc w:val="both"/>
        <w:rPr>
          <w:iCs/>
          <w:color w:val="000000" w:themeColor="text1"/>
          <w:sz w:val="16"/>
          <w:szCs w:val="16"/>
        </w:rPr>
      </w:pPr>
      <w:r w:rsidRPr="00E14102">
        <w:rPr>
          <w:iCs/>
          <w:color w:val="000000" w:themeColor="text1"/>
          <w:sz w:val="16"/>
          <w:szCs w:val="16"/>
        </w:rPr>
        <w:t xml:space="preserve">«Вы знаете, что мы получили в наследство от старого времени отсталую технически и полунищую, разоренную страну. Разоренная четырьмя годами империалистической войны, повторно разоренная тремя годами гражданской войны, страна с полуграмотным населением, с низкой техникой, с отдельными оазисами промышленности, тонувшими среди моря мельчайших крестьянских хозяйств, – вот какую страну получили мы в наследство от прошлого. Задача состояла в том, чтобы эту страну перевести с рельс средневековья и темноты на рельсы современной индустрии и машинизированного сельского хозяйства. Задача, как видите, серьезная и трудная. Вопрос стоял так: ЛИБО мы эту задачу разрешим в кратчайший срок и укрепим в нашей стране социализм, ЛИБО мы ее не разрешим и тогда наша страна – слабая технически и темная в культурном отношении – растеряет свою независимость и превратится в объект игры империалистических держав. </w:t>
      </w:r>
    </w:p>
    <w:p w14:paraId="6BF5CA93" w14:textId="77777777" w:rsidR="00591AD6" w:rsidRPr="00E14102" w:rsidRDefault="00591AD6" w:rsidP="00E14102">
      <w:pPr>
        <w:jc w:val="both"/>
        <w:rPr>
          <w:iCs/>
          <w:color w:val="000000" w:themeColor="text1"/>
          <w:sz w:val="16"/>
          <w:szCs w:val="16"/>
        </w:rPr>
      </w:pPr>
      <w:r w:rsidRPr="00E14102">
        <w:rPr>
          <w:iCs/>
          <w:color w:val="000000" w:themeColor="text1"/>
          <w:sz w:val="16"/>
          <w:szCs w:val="16"/>
        </w:rPr>
        <w:t xml:space="preserve">Наша страна переживала тогда период жесточайшего голода в области техники. Не хватало машин для индустрии. Не было машин для сельского хозяйства. Не было машин для транспорта. Не было той элементарной технической базы, без чего немыслимо индустриальное преобразование страны. Были только отдельные предпосылки для создания такой базы. Надо было создать первоклассную индустрию. Надо было направить эту индустрию на то, чтобы она была способна реорганизовать технически не только промышленность но и сельское хозяйство, но и наш железнодорожный транспорт. А для этого надо было пойти на жертвы и навести во всем жесточайшую экономию, надо было экономить и на питании, и на школах, и на мануфактуре, чтобы накопить необходимые средства – для создания индустрии. Другого пути для изживания голода в области техники не было. </w:t>
      </w:r>
    </w:p>
    <w:p w14:paraId="4F6959F2" w14:textId="77777777" w:rsidR="00591AD6" w:rsidRPr="00E14102" w:rsidRDefault="00591AD6" w:rsidP="00E14102">
      <w:pPr>
        <w:jc w:val="both"/>
        <w:rPr>
          <w:iCs/>
          <w:color w:val="000000" w:themeColor="text1"/>
          <w:sz w:val="16"/>
          <w:szCs w:val="16"/>
        </w:rPr>
      </w:pPr>
      <w:r w:rsidRPr="00E14102">
        <w:rPr>
          <w:iCs/>
          <w:color w:val="000000" w:themeColor="text1"/>
          <w:sz w:val="16"/>
          <w:szCs w:val="16"/>
        </w:rPr>
        <w:t>&lt;...&gt;</w:t>
      </w:r>
    </w:p>
    <w:p w14:paraId="17AC6C2A" w14:textId="77777777" w:rsidR="00591AD6" w:rsidRPr="00E14102" w:rsidRDefault="00591AD6" w:rsidP="00E14102">
      <w:pPr>
        <w:jc w:val="both"/>
        <w:rPr>
          <w:iCs/>
          <w:color w:val="000000" w:themeColor="text1"/>
          <w:sz w:val="16"/>
          <w:szCs w:val="16"/>
        </w:rPr>
      </w:pPr>
      <w:r w:rsidRPr="00E14102">
        <w:rPr>
          <w:iCs/>
          <w:color w:val="000000" w:themeColor="text1"/>
          <w:sz w:val="16"/>
          <w:szCs w:val="16"/>
        </w:rPr>
        <w:t xml:space="preserve">Понятно, что в таком большом и трудном деле нельзя было ждать сплошных и быстрых успехов. В таком деле успехи могут обозначиться лишь спустя несколько лет. Необходимо было поэтому вооружиться крепкими нервами, большевистской выдержкой и упорным терпением, чтобы преодолеть первые неудачи и неуклонно идти вперед к великой цели, не допуская колебаний и неуверенности в своих рядах. </w:t>
      </w:r>
    </w:p>
    <w:p w14:paraId="4CBE332A" w14:textId="77777777" w:rsidR="00591AD6" w:rsidRPr="00E14102" w:rsidRDefault="00591AD6" w:rsidP="00E14102">
      <w:pPr>
        <w:jc w:val="both"/>
        <w:rPr>
          <w:iCs/>
          <w:color w:val="000000" w:themeColor="text1"/>
          <w:sz w:val="16"/>
          <w:szCs w:val="16"/>
        </w:rPr>
      </w:pPr>
      <w:r w:rsidRPr="00E14102">
        <w:rPr>
          <w:iCs/>
          <w:color w:val="000000" w:themeColor="text1"/>
          <w:sz w:val="16"/>
          <w:szCs w:val="16"/>
        </w:rPr>
        <w:t xml:space="preserve">Вы знаете, что мы вели это дело таким именно образом. Но не у всех наших товарищей хватило нервов, терпенья и выдержки. Среди наших товарищей нашлись люди, которые после первых же затруднений стали звать к отступлению. Говорят, что "кто старое помянет, тому глаз вон". Это, конечно, верно. Но у человека имеется память, и невольно вспоминаешь о прошлом при подведении итогов нашей работы. Так вот, были у нас товарищи, которые испугались трудностей и стали звать партию к отступлению. Они говорили: "Что нам ваша индустриализация и коллективизация, машины, черная металлургия, тракторы, комбайны, автомобили? Дали бы лучше побольше мануфактуры, купили бы лучше побольше сырья для производства ширпотреба и побольше бы давали населению всех тех мелочей, чем красен быт людей. Создание индустрии при нашей отсталости, да еще первоклассной индустрии – опасная мечта". </w:t>
      </w:r>
    </w:p>
    <w:p w14:paraId="37BDBD08" w14:textId="77777777" w:rsidR="00591AD6" w:rsidRPr="00E14102" w:rsidRDefault="00591AD6" w:rsidP="00E14102">
      <w:pPr>
        <w:jc w:val="both"/>
        <w:rPr>
          <w:iCs/>
          <w:color w:val="000000" w:themeColor="text1"/>
          <w:sz w:val="16"/>
          <w:szCs w:val="16"/>
        </w:rPr>
      </w:pPr>
      <w:r w:rsidRPr="00E14102">
        <w:rPr>
          <w:iCs/>
          <w:color w:val="000000" w:themeColor="text1"/>
          <w:sz w:val="16"/>
          <w:szCs w:val="16"/>
        </w:rPr>
        <w:t xml:space="preserve">Конечно, мы могли бы 3 миллиарда рублей валюты, добытых путем жесточайшей экономии и истраченных на создание нашей индустрии, – мы могли бы их обратить на импорт сырья и усиление производства предметов широкого потребления. Это тоже своего рода "план". Но при таком "плане" мы не имели бы ни металлургии, ни машиностроения, ни тракторов и автомобилей, ни авиации и танков. Мы оказались бы безоружными перед внешними врагами. Мы подорвали бы основы социализма в нашей стране. Мы оказались бы в плену у буржуазии, внутренней и внешней. </w:t>
      </w:r>
    </w:p>
    <w:p w14:paraId="0509AF88" w14:textId="77777777" w:rsidR="00591AD6" w:rsidRPr="00E14102" w:rsidRDefault="00591AD6" w:rsidP="00E14102">
      <w:pPr>
        <w:jc w:val="both"/>
        <w:rPr>
          <w:iCs/>
          <w:color w:val="000000" w:themeColor="text1"/>
          <w:sz w:val="16"/>
          <w:szCs w:val="16"/>
        </w:rPr>
      </w:pPr>
      <w:r w:rsidRPr="00E14102">
        <w:rPr>
          <w:iCs/>
          <w:color w:val="000000" w:themeColor="text1"/>
          <w:sz w:val="16"/>
          <w:szCs w:val="16"/>
        </w:rPr>
        <w:t xml:space="preserve">Очевидно, надо было выбирать между двумя планами: между планом отступления, который вел и не мог не вести к поражению социализма, и планом наступления, который вел и, как знаете, уже привел к победе социализма в нашей стране. Мы выбрали план наступления, и пошли вперед по ленинскому пути, оттерев назад этих товарищей как людей, которые видели кое-как только у себя под носом, но закрывали глаза на ближайшее будущее нашей страны, на будущее социализма в нашей стране. </w:t>
      </w:r>
    </w:p>
    <w:p w14:paraId="5F9F9CCA" w14:textId="77777777" w:rsidR="00591AD6" w:rsidRPr="00E14102" w:rsidRDefault="00591AD6" w:rsidP="00E14102">
      <w:pPr>
        <w:jc w:val="both"/>
        <w:rPr>
          <w:iCs/>
          <w:color w:val="000000" w:themeColor="text1"/>
          <w:sz w:val="16"/>
          <w:szCs w:val="16"/>
        </w:rPr>
      </w:pPr>
      <w:r w:rsidRPr="00E14102">
        <w:rPr>
          <w:iCs/>
          <w:color w:val="000000" w:themeColor="text1"/>
          <w:sz w:val="16"/>
          <w:szCs w:val="16"/>
        </w:rPr>
        <w:t>&lt;...&gt;</w:t>
      </w:r>
    </w:p>
    <w:p w14:paraId="094EEDEB" w14:textId="77777777" w:rsidR="00591AD6" w:rsidRPr="00E14102" w:rsidRDefault="00591AD6" w:rsidP="00E14102">
      <w:pPr>
        <w:jc w:val="both"/>
        <w:rPr>
          <w:bCs/>
          <w:color w:val="000000" w:themeColor="text1"/>
          <w:sz w:val="16"/>
          <w:szCs w:val="16"/>
        </w:rPr>
      </w:pPr>
      <w:r w:rsidRPr="00E14102">
        <w:rPr>
          <w:iCs/>
          <w:color w:val="000000" w:themeColor="text1"/>
          <w:sz w:val="16"/>
          <w:szCs w:val="16"/>
        </w:rPr>
        <w:t xml:space="preserve">Да, товарищи, мы пошли уверенно и стремительно по пути индустриализации и коллективизации нашей страны. И теперь этот путь можно считать уже пройденным. Теперь уже все признают, что мы добились на этом пути громадных успехов. Теперь все признают, что мы имеем уже мощную и первоклассную промышленность, мощное и механизированное сельское хозяйство, развертывающийся и идущий в гору транспорт, организованную и прекрасно оснащенную Красную армию». </w:t>
      </w:r>
      <w:r w:rsidRPr="00E14102">
        <w:rPr>
          <w:bCs/>
          <w:color w:val="000000" w:themeColor="text1"/>
          <w:sz w:val="16"/>
          <w:szCs w:val="16"/>
        </w:rPr>
        <w:t>[Газета «Правда» № 123 от 6 мая 1935 г.] (17501).</w:t>
      </w:r>
    </w:p>
    <w:p w14:paraId="3409FF81" w14:textId="77777777" w:rsidR="00591AD6" w:rsidRPr="00E14102" w:rsidRDefault="00591AD6" w:rsidP="00E14102">
      <w:pPr>
        <w:jc w:val="both"/>
        <w:rPr>
          <w:color w:val="000000" w:themeColor="text1"/>
          <w:sz w:val="16"/>
          <w:szCs w:val="16"/>
        </w:rPr>
      </w:pPr>
    </w:p>
    <w:p w14:paraId="7E9BB500" w14:textId="77777777" w:rsidR="00591AD6" w:rsidRPr="00E14102" w:rsidRDefault="00591AD6" w:rsidP="00E14102">
      <w:pPr>
        <w:jc w:val="both"/>
        <w:rPr>
          <w:color w:val="000000" w:themeColor="text1"/>
          <w:sz w:val="16"/>
          <w:szCs w:val="16"/>
        </w:rPr>
      </w:pPr>
      <w:r w:rsidRPr="00E14102">
        <w:rPr>
          <w:color w:val="000000" w:themeColor="text1"/>
          <w:sz w:val="16"/>
          <w:szCs w:val="16"/>
        </w:rPr>
        <w:t xml:space="preserve">4 мая 1935 г. в Кремлевском дворце перед выпускниками военных академий Красной Армии. В своей речи Генеральный секретарь ЦК ВКП(б) пояснил: </w:t>
      </w:r>
    </w:p>
    <w:p w14:paraId="367BC998" w14:textId="77777777" w:rsidR="00591AD6" w:rsidRPr="00E14102" w:rsidRDefault="00591AD6" w:rsidP="00E14102">
      <w:pPr>
        <w:jc w:val="both"/>
        <w:rPr>
          <w:iCs/>
          <w:color w:val="000000" w:themeColor="text1"/>
          <w:sz w:val="16"/>
          <w:szCs w:val="16"/>
        </w:rPr>
      </w:pPr>
      <w:r w:rsidRPr="00E14102">
        <w:rPr>
          <w:iCs/>
          <w:color w:val="000000" w:themeColor="text1"/>
          <w:sz w:val="16"/>
          <w:szCs w:val="16"/>
        </w:rPr>
        <w:t xml:space="preserve">«Раньше мы говорили, что "техника решает все". Этот лозунг помог нам в том отношении, что мы ликвидировали голод в области техники и создали широчайшую техническую базу во всех отраслях деятельности для вооружения наших людей первоклассной техникой. Это очень хорошо. Но этого далеко и далеко недостаточно. Чтобы привести технику в движение и использовать ее до дна, нужны люди, овладевшие техникой, нужны кадры, способные освоить и использовать эту технику по всем правилам искусства. Техника без людей, овладевших техникой, – мертва. Техника во главе с людьми, овладевшими техникой, может и должна дать чудеса. Если бы на наших первоклассных заводах и фабриках, в наших совхозах и колхозах, в нашей Красной армии имелось достаточное количество кадров, способных оседлать эту технику, страна наша получила бы эффекта втрое и вчетверо больше, чем она имеет теперь. Вот почему упор должен быть сделан теперь на людях, на кадрах, на работниках, овладевших техникой. Вот почему старый лозунг "техника решает все", являющийся отражением уже пройденного периода, когда у нас был голод в области техники, должен быть теперь заменен новым лозунгом, лозунгом о том, что "кадры решают все". В этом теперь главное. </w:t>
      </w:r>
    </w:p>
    <w:p w14:paraId="45F1AB27" w14:textId="77777777" w:rsidR="00591AD6" w:rsidRPr="00E14102" w:rsidRDefault="00591AD6" w:rsidP="00E14102">
      <w:pPr>
        <w:jc w:val="both"/>
        <w:rPr>
          <w:color w:val="000000" w:themeColor="text1"/>
          <w:sz w:val="16"/>
          <w:szCs w:val="16"/>
        </w:rPr>
      </w:pPr>
      <w:r w:rsidRPr="00E14102">
        <w:rPr>
          <w:iCs/>
          <w:color w:val="000000" w:themeColor="text1"/>
          <w:sz w:val="16"/>
          <w:szCs w:val="16"/>
        </w:rPr>
        <w:t>Можно ли сказать, что наши люди поняли и осознали полностью великое значение этого нового лозунга? Я бы этого не сказал. В противном случае мы бы не имели того безобразного отношения к людям, к кадрам, к работникам, которое наблюдаем нередко в нашей практике. Лозунг "кадры решают все" требует, чтобы наши руководители проявляли самое заботливое отношение к нашим работникам, к "малым" и "большим", в какой бы области они ни работали, выращивали их заботливо, помогали им, когда они нуждаются в поддержке, поощряли их, когда они показывают первые успехи, выдвигали их вперед и т. д. А между тем на деле мы имеем в целом ряде случаев факты бездушно-бюрократического и прямо безобразного отношения к работникам. Этим, собственно, и объясняется, что вместо того, чтобы изучать людей и только после изучения ставить их на посты, нередко швыряются людьми, как пешками»</w:t>
      </w:r>
      <w:r w:rsidRPr="00E14102">
        <w:rPr>
          <w:color w:val="000000" w:themeColor="text1"/>
          <w:sz w:val="16"/>
          <w:szCs w:val="16"/>
        </w:rPr>
        <w:t xml:space="preserve">. В заключительной части выступления И.В. Сталин подчеркнул, что </w:t>
      </w:r>
      <w:r w:rsidRPr="00E14102">
        <w:rPr>
          <w:iCs/>
          <w:color w:val="000000" w:themeColor="text1"/>
          <w:sz w:val="16"/>
          <w:szCs w:val="16"/>
        </w:rPr>
        <w:t>«из всех ценных капиталов, имеющихся в мире, самым ценным и самым решающим капиталом являются люди, кадры. Надо понять, что при наших нынешних условиях "кадры решают все. Будут у нас хорошие и многочисленные кадры в промышленности, в сельском хозяйстве, на транспорте, в армии, – наша страна будет непобедима. Не будет у нас таких кадров – будем хромать на обе ноги»</w:t>
      </w:r>
      <w:r w:rsidRPr="00E14102">
        <w:rPr>
          <w:color w:val="000000" w:themeColor="text1"/>
          <w:sz w:val="16"/>
          <w:szCs w:val="16"/>
        </w:rPr>
        <w:t xml:space="preserve">. </w:t>
      </w:r>
    </w:p>
    <w:p w14:paraId="633FD653" w14:textId="77777777" w:rsidR="00591AD6" w:rsidRPr="00E14102" w:rsidRDefault="00591AD6" w:rsidP="00E14102">
      <w:pPr>
        <w:jc w:val="both"/>
        <w:rPr>
          <w:color w:val="000000" w:themeColor="text1"/>
          <w:sz w:val="16"/>
          <w:szCs w:val="16"/>
        </w:rPr>
      </w:pPr>
      <w:r w:rsidRPr="00E14102">
        <w:rPr>
          <w:bCs/>
          <w:color w:val="000000" w:themeColor="text1"/>
          <w:sz w:val="16"/>
          <w:szCs w:val="16"/>
        </w:rPr>
        <w:t>[Газета «Правда» № 123 от 6 мая 1935 г.] (17503).</w:t>
      </w:r>
    </w:p>
    <w:p w14:paraId="230E2238" w14:textId="77777777" w:rsidR="00591AD6" w:rsidRPr="00E14102" w:rsidRDefault="00591AD6" w:rsidP="00E14102">
      <w:pPr>
        <w:jc w:val="both"/>
        <w:rPr>
          <w:color w:val="000000" w:themeColor="text1"/>
          <w:sz w:val="16"/>
          <w:szCs w:val="16"/>
        </w:rPr>
      </w:pPr>
    </w:p>
    <w:p w14:paraId="70437FA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8861F09" w14:textId="77777777" w:rsidR="00D4105E" w:rsidRPr="00E14102" w:rsidRDefault="00D4105E" w:rsidP="00E14102">
      <w:pPr>
        <w:autoSpaceDE w:val="0"/>
        <w:autoSpaceDN w:val="0"/>
        <w:adjustRightInd w:val="0"/>
        <w:jc w:val="both"/>
        <w:rPr>
          <w:iCs/>
          <w:color w:val="000000" w:themeColor="text1"/>
          <w:sz w:val="16"/>
          <w:szCs w:val="16"/>
        </w:rPr>
      </w:pPr>
    </w:p>
    <w:p w14:paraId="7C617A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5 мая 1935 г. заместитель начальника ГУАП Марголин направляет в ЦКБ задание исследовать возможность создания рекордных самолётов: сухопутного со скоростью 600 км/ч и морского со скоростью 800 км/ч. Появление данного документа привело к тому, что к его реализации приступила бригада № 2 Поликарпова и бригада № 3 Ильюшина. Основным преимуществом в предложениях Поликарпова в отношении создания рекордного сухопутного самолёта являлось использование наработок </w:t>
      </w:r>
      <w:r w:rsidRPr="00E14102">
        <w:rPr>
          <w:color w:val="000000" w:themeColor="text1"/>
          <w:sz w:val="16"/>
          <w:szCs w:val="16"/>
        </w:rPr>
        <w:lastRenderedPageBreak/>
        <w:t>по машинам И-17. Одновременно решение проблем больших скоростей для рекордных машин перекликалось с перспективами создания скоростных истребителей ближайшего будущего (9630).</w:t>
      </w:r>
    </w:p>
    <w:p w14:paraId="42A95A16" w14:textId="77777777" w:rsidR="00D4105E" w:rsidRPr="00E14102" w:rsidRDefault="00D4105E" w:rsidP="00E14102">
      <w:pPr>
        <w:autoSpaceDE w:val="0"/>
        <w:autoSpaceDN w:val="0"/>
        <w:adjustRightInd w:val="0"/>
        <w:jc w:val="both"/>
        <w:rPr>
          <w:color w:val="000000" w:themeColor="text1"/>
          <w:sz w:val="16"/>
          <w:szCs w:val="16"/>
        </w:rPr>
      </w:pPr>
    </w:p>
    <w:p w14:paraId="75F1C6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мая 1935 г. заместитель начальника ГУАП Марголин направляет в ЦКБ задание исследовать возможность создания рекордных самолетов: сухопутного со скоростью 600 км/ч и морского со скоростью 800 км/ч. Появление данного документа привело к тому, что к его реализации приступила бригада №2 Поликарпова и бригада №3 Ильюшина (11951).</w:t>
      </w:r>
    </w:p>
    <w:p w14:paraId="5756F60E" w14:textId="77777777" w:rsidR="00D4105E" w:rsidRPr="00E14102" w:rsidRDefault="00D4105E" w:rsidP="00E14102">
      <w:pPr>
        <w:autoSpaceDE w:val="0"/>
        <w:autoSpaceDN w:val="0"/>
        <w:adjustRightInd w:val="0"/>
        <w:jc w:val="both"/>
        <w:rPr>
          <w:color w:val="000000" w:themeColor="text1"/>
          <w:sz w:val="16"/>
          <w:szCs w:val="16"/>
        </w:rPr>
      </w:pPr>
    </w:p>
    <w:p w14:paraId="3E2A4D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мая I935 г. заместитель начальника ГУАП Марголин направляет в ЦКБ задание исследовать возможность создания рекордных самолетов: сухопутного со скоростью 600 км/ч, и морского со скоростью 800 км/ч. Появление данного документа привело к тому, что к его реализации приступила бригада № 2 Поликарпова и бригада № 3 Ильюшина.</w:t>
      </w:r>
    </w:p>
    <w:p w14:paraId="77F0EB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Основным преимуществом в предложениях Поликарпова в отношении создания рекордного сухопутного самолета являлось использование наработок по машинам типа И-17. Одновременно решение проблем больших скоростей полета для рекордных самолетов перекликалось с перспективами создания скоростных истребителей ближайшего будущего.</w:t>
      </w:r>
    </w:p>
    <w:p w14:paraId="7085DC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Предложения Поликарпова, изложенные конструктором летом 1935 г. в докладных записках и на совещаниях в ГУАП, описывали машину с "Испано Сюиза" 12Ybrs и машину с АМ-34ФРН. Двигатели предполагалось форсировать по мощности более чем вдвое, аэродинамику самолетов довести до возможного совершенства, для чего использовать крылья с малой площадью и высокой удельной нагрузкой, применить пароиспа- рительное охлаждение. До конца года были подготовлены эскизные проекты рекордных самолетов: И-19 (скорость 530 км/ч) и И-18 (скорость 600 км/ч). И-18 (ЦКБ-43) предполагалось переделать из строящегося ЦКБ-25 (И-19).</w:t>
      </w:r>
    </w:p>
    <w:p w14:paraId="5A732F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над рекордными машинами продолжалась в КБ Поликарпова и в 1936 г., однако в связи с последующим их изъятием из плана и дапьнейшим перебазированием самого КБ прекратилась. Сам Поликарпов надеялся продолжить данную работу. В частности, в июне 1936 г. он обращается к начальнику ГУАП М.М.Кагановичу: "По заданию Сталина нами были сконструированы рекордные самолеты И-18 (М-100, М-103) с расчетной скоростью 530 км/час и И-19 (М-34ФРН) с расчетной скоростью 600 км/час. Конструктивные чертежи этих самолетов были закончены еще на заводе № 39, и началась их постройка, однако ГУАП не ввел их в план 1936 г. и изготовление прекратили. ...Нужно продолжить работу с И-19, это гарантирует нам побитие рекорда и выполнение личного задания тов. Сталина".</w:t>
      </w:r>
    </w:p>
    <w:p w14:paraId="0FED96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Очевидно, это было последнее обращение конструктора Поликарпова дать ему возможность продолжить работы по скоростной тематике (12016).</w:t>
      </w:r>
    </w:p>
    <w:p w14:paraId="28C2B64B" w14:textId="77777777" w:rsidR="00D4105E" w:rsidRPr="00E14102" w:rsidRDefault="00D4105E" w:rsidP="00E14102">
      <w:pPr>
        <w:autoSpaceDE w:val="0"/>
        <w:autoSpaceDN w:val="0"/>
        <w:adjustRightInd w:val="0"/>
        <w:jc w:val="both"/>
        <w:rPr>
          <w:color w:val="000000" w:themeColor="text1"/>
          <w:sz w:val="16"/>
          <w:szCs w:val="16"/>
        </w:rPr>
      </w:pPr>
    </w:p>
    <w:p w14:paraId="50D832B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5 по 27 мая 1933 проходили гос. испытания опытного самолета ДИ4 с мотором Кертис Конкверор (6820).</w:t>
      </w:r>
    </w:p>
    <w:p w14:paraId="111D62C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2F643CA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 ведущий самолет – Холодов</w:t>
      </w:r>
    </w:p>
    <w:p w14:paraId="33776E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Летчик – Кокинаки</w:t>
      </w:r>
    </w:p>
    <w:p w14:paraId="07D893D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1AACE55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летных данных с целью выяснения вопроса о целесообразности серийной постройки самолета.</w:t>
      </w:r>
    </w:p>
    <w:p w14:paraId="75E8127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318B4A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ДИ4 – Кертис Конкверор не может быть допущен к серийной постройке как не отвечающий требованиям к современным двухместным истребителям.</w:t>
      </w:r>
    </w:p>
    <w:p w14:paraId="45D7FDB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Календарь прохождения испытаний</w:t>
      </w:r>
    </w:p>
    <w:p w14:paraId="0A2DC13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 мая 1933 года – самолет поступил с завода № 39 для прохождения гос. испытаний.</w:t>
      </w:r>
    </w:p>
    <w:p w14:paraId="1859D2A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 мая 1933 года – перелет в Щелково.</w:t>
      </w:r>
    </w:p>
    <w:p w14:paraId="48F3976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 мая 1933 года – фактическое начало испытаний.</w:t>
      </w:r>
    </w:p>
    <w:p w14:paraId="440332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22 мая 1933 года – окончание испытаний</w:t>
      </w:r>
    </w:p>
    <w:p w14:paraId="49C7EA1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Фактически затрачено на испытание 15 календарных дней, испытание проведено в 7 летных дней. Налетано 13 час. 25 мин. (6820).</w:t>
      </w:r>
    </w:p>
    <w:p w14:paraId="156BD6C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51AB3F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 мая 1935 года вышел Приказ НИИ ВС № 0212 О принятии на гос. испытания самолета МБР2 с форсированным мотором М17 Е=6,0.</w:t>
      </w:r>
    </w:p>
    <w:p w14:paraId="4C77866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Испытания провести в Севастополе на морской летно-испытательной станции института по программе, по которой проходил испытания головной серийный самолет МБР2-М17, Е=7,3. (6813, 10).</w:t>
      </w:r>
    </w:p>
    <w:p w14:paraId="206C6F5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AF941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мая 1935 состоялось совещание у Хрипина при участии представителя ГУАП Бородача по плану опытного строительства ГУГВФ на 1035-36: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3865"/>
      </w:tblGrid>
      <w:tr w:rsidR="00E3599D" w:rsidRPr="00E14102" w14:paraId="54154821" w14:textId="77777777">
        <w:tc>
          <w:tcPr>
            <w:tcW w:w="1878" w:type="dxa"/>
            <w:tcBorders>
              <w:top w:val="single" w:sz="12" w:space="0" w:color="auto"/>
            </w:tcBorders>
          </w:tcPr>
          <w:p w14:paraId="474C78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N Наименование</w:t>
            </w:r>
          </w:p>
        </w:tc>
        <w:tc>
          <w:tcPr>
            <w:tcW w:w="1878" w:type="dxa"/>
            <w:tcBorders>
              <w:top w:val="single" w:sz="12" w:space="0" w:color="auto"/>
            </w:tcBorders>
          </w:tcPr>
          <w:p w14:paraId="5BB4D4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ГУАП</w:t>
            </w:r>
          </w:p>
        </w:tc>
        <w:tc>
          <w:tcPr>
            <w:tcW w:w="3865" w:type="dxa"/>
            <w:tcBorders>
              <w:top w:val="single" w:sz="12" w:space="0" w:color="auto"/>
            </w:tcBorders>
          </w:tcPr>
          <w:p w14:paraId="43594E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w:t>
            </w:r>
          </w:p>
        </w:tc>
      </w:tr>
      <w:tr w:rsidR="00E3599D" w:rsidRPr="00E14102" w14:paraId="6A4C9DFC" w14:textId="77777777">
        <w:tc>
          <w:tcPr>
            <w:tcW w:w="1878" w:type="dxa"/>
          </w:tcPr>
          <w:p w14:paraId="4F7D05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АНТ-42</w:t>
            </w:r>
          </w:p>
        </w:tc>
        <w:tc>
          <w:tcPr>
            <w:tcW w:w="1878" w:type="dxa"/>
          </w:tcPr>
          <w:p w14:paraId="0A409F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Принимает</w:t>
            </w:r>
          </w:p>
        </w:tc>
        <w:tc>
          <w:tcPr>
            <w:tcW w:w="3865" w:type="dxa"/>
          </w:tcPr>
          <w:p w14:paraId="6C35E2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Возражает</w:t>
            </w:r>
          </w:p>
        </w:tc>
      </w:tr>
      <w:tr w:rsidR="00E3599D" w:rsidRPr="00E14102" w14:paraId="20FF4D16" w14:textId="77777777">
        <w:tc>
          <w:tcPr>
            <w:tcW w:w="1878" w:type="dxa"/>
          </w:tcPr>
          <w:p w14:paraId="1855AF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АНТ-35</w:t>
            </w:r>
          </w:p>
        </w:tc>
        <w:tc>
          <w:tcPr>
            <w:tcW w:w="1878" w:type="dxa"/>
          </w:tcPr>
          <w:p w14:paraId="2A4725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принимает</w:t>
            </w:r>
          </w:p>
        </w:tc>
        <w:tc>
          <w:tcPr>
            <w:tcW w:w="3865" w:type="dxa"/>
          </w:tcPr>
          <w:p w14:paraId="067065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Соглашается с ГУАП</w:t>
            </w:r>
          </w:p>
        </w:tc>
      </w:tr>
      <w:tr w:rsidR="00E3599D" w:rsidRPr="00E14102" w14:paraId="45867CD7" w14:textId="77777777">
        <w:tc>
          <w:tcPr>
            <w:tcW w:w="1878" w:type="dxa"/>
          </w:tcPr>
          <w:p w14:paraId="7D3CFB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СБ-39</w:t>
            </w:r>
          </w:p>
        </w:tc>
        <w:tc>
          <w:tcPr>
            <w:tcW w:w="1878" w:type="dxa"/>
          </w:tcPr>
          <w:p w14:paraId="2776A0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Принимает</w:t>
            </w:r>
          </w:p>
        </w:tc>
        <w:tc>
          <w:tcPr>
            <w:tcW w:w="3865" w:type="dxa"/>
          </w:tcPr>
          <w:p w14:paraId="0D064B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Согласен</w:t>
            </w:r>
          </w:p>
        </w:tc>
      </w:tr>
      <w:tr w:rsidR="00E3599D" w:rsidRPr="00E14102" w14:paraId="5CB28EA2" w14:textId="77777777">
        <w:tc>
          <w:tcPr>
            <w:tcW w:w="1878" w:type="dxa"/>
          </w:tcPr>
          <w:p w14:paraId="53700B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Сталь 7</w:t>
            </w:r>
          </w:p>
        </w:tc>
        <w:tc>
          <w:tcPr>
            <w:tcW w:w="1878" w:type="dxa"/>
          </w:tcPr>
          <w:p w14:paraId="0C6AFE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Принимает</w:t>
            </w:r>
          </w:p>
        </w:tc>
        <w:tc>
          <w:tcPr>
            <w:tcW w:w="3865" w:type="dxa"/>
          </w:tcPr>
          <w:p w14:paraId="7FC251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Согласен</w:t>
            </w:r>
          </w:p>
        </w:tc>
      </w:tr>
      <w:tr w:rsidR="00E3599D" w:rsidRPr="00E14102" w14:paraId="3FAA11E3" w14:textId="77777777">
        <w:tc>
          <w:tcPr>
            <w:tcW w:w="1878" w:type="dxa"/>
          </w:tcPr>
          <w:p w14:paraId="4916CD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Сталь 12</w:t>
            </w:r>
          </w:p>
        </w:tc>
        <w:tc>
          <w:tcPr>
            <w:tcW w:w="1878" w:type="dxa"/>
          </w:tcPr>
          <w:p w14:paraId="0AC9CF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Возражает</w:t>
            </w:r>
          </w:p>
        </w:tc>
        <w:tc>
          <w:tcPr>
            <w:tcW w:w="3865" w:type="dxa"/>
          </w:tcPr>
          <w:p w14:paraId="7B1DC2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Соглашается с ГУАП</w:t>
            </w:r>
          </w:p>
        </w:tc>
      </w:tr>
      <w:tr w:rsidR="00E3599D" w:rsidRPr="00E14102" w14:paraId="03122D9A" w14:textId="77777777">
        <w:tc>
          <w:tcPr>
            <w:tcW w:w="1878" w:type="dxa"/>
          </w:tcPr>
          <w:p w14:paraId="7A7D0E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ЗИГ</w:t>
            </w:r>
          </w:p>
        </w:tc>
        <w:tc>
          <w:tcPr>
            <w:tcW w:w="1878" w:type="dxa"/>
          </w:tcPr>
          <w:p w14:paraId="2AB17A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Оставляет</w:t>
            </w:r>
          </w:p>
        </w:tc>
        <w:tc>
          <w:tcPr>
            <w:tcW w:w="3865" w:type="dxa"/>
          </w:tcPr>
          <w:p w14:paraId="75C0DE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возражает</w:t>
            </w:r>
          </w:p>
        </w:tc>
      </w:tr>
      <w:tr w:rsidR="00E3599D" w:rsidRPr="00E14102" w14:paraId="4F7A1780" w14:textId="77777777">
        <w:tc>
          <w:tcPr>
            <w:tcW w:w="1878" w:type="dxa"/>
          </w:tcPr>
          <w:p w14:paraId="6B6C21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Сталь 11</w:t>
            </w:r>
          </w:p>
        </w:tc>
        <w:tc>
          <w:tcPr>
            <w:tcW w:w="1878" w:type="dxa"/>
          </w:tcPr>
          <w:p w14:paraId="2E3B9F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Оставляет</w:t>
            </w:r>
          </w:p>
        </w:tc>
        <w:tc>
          <w:tcPr>
            <w:tcW w:w="3865" w:type="dxa"/>
          </w:tcPr>
          <w:p w14:paraId="407123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возражает</w:t>
            </w:r>
          </w:p>
        </w:tc>
      </w:tr>
      <w:tr w:rsidR="00E3599D" w:rsidRPr="00E14102" w14:paraId="7D5610D5" w14:textId="77777777">
        <w:tc>
          <w:tcPr>
            <w:tcW w:w="1878" w:type="dxa"/>
          </w:tcPr>
          <w:p w14:paraId="19E45C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ПП-1</w:t>
            </w:r>
          </w:p>
        </w:tc>
        <w:tc>
          <w:tcPr>
            <w:tcW w:w="1878" w:type="dxa"/>
          </w:tcPr>
          <w:p w14:paraId="68AFDE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Возражает</w:t>
            </w:r>
          </w:p>
        </w:tc>
        <w:tc>
          <w:tcPr>
            <w:tcW w:w="3865" w:type="dxa"/>
          </w:tcPr>
          <w:p w14:paraId="3DFF11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Соглашается с ГУАП</w:t>
            </w:r>
          </w:p>
        </w:tc>
      </w:tr>
      <w:tr w:rsidR="00E3599D" w:rsidRPr="00E14102" w14:paraId="5739BDD0" w14:textId="77777777">
        <w:tc>
          <w:tcPr>
            <w:tcW w:w="1878" w:type="dxa"/>
          </w:tcPr>
          <w:p w14:paraId="69D0A6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ДКЛ-1</w:t>
            </w:r>
          </w:p>
        </w:tc>
        <w:tc>
          <w:tcPr>
            <w:tcW w:w="1878" w:type="dxa"/>
          </w:tcPr>
          <w:p w14:paraId="0488B9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принимает</w:t>
            </w:r>
          </w:p>
        </w:tc>
        <w:tc>
          <w:tcPr>
            <w:tcW w:w="3865" w:type="dxa"/>
          </w:tcPr>
          <w:p w14:paraId="0C453C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соглашается с ГУАП</w:t>
            </w:r>
          </w:p>
        </w:tc>
      </w:tr>
      <w:tr w:rsidR="00E3599D" w:rsidRPr="00E14102" w14:paraId="4F23759F" w14:textId="77777777">
        <w:tc>
          <w:tcPr>
            <w:tcW w:w="1878" w:type="dxa"/>
          </w:tcPr>
          <w:p w14:paraId="5D33C9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ДКЛ-2</w:t>
            </w:r>
          </w:p>
        </w:tc>
        <w:tc>
          <w:tcPr>
            <w:tcW w:w="1878" w:type="dxa"/>
          </w:tcPr>
          <w:p w14:paraId="26CFA7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Возражает</w:t>
            </w:r>
          </w:p>
        </w:tc>
        <w:tc>
          <w:tcPr>
            <w:tcW w:w="3865" w:type="dxa"/>
          </w:tcPr>
          <w:p w14:paraId="076880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соглашается с ГУАП</w:t>
            </w:r>
          </w:p>
        </w:tc>
      </w:tr>
      <w:tr w:rsidR="00E3599D" w:rsidRPr="00E14102" w14:paraId="29D8D1CA" w14:textId="77777777">
        <w:tc>
          <w:tcPr>
            <w:tcW w:w="1878" w:type="dxa"/>
          </w:tcPr>
          <w:p w14:paraId="1E6433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Сталь 5</w:t>
            </w:r>
          </w:p>
        </w:tc>
        <w:tc>
          <w:tcPr>
            <w:tcW w:w="1878" w:type="dxa"/>
          </w:tcPr>
          <w:p w14:paraId="051773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Возражает</w:t>
            </w:r>
          </w:p>
        </w:tc>
        <w:tc>
          <w:tcPr>
            <w:tcW w:w="3865" w:type="dxa"/>
          </w:tcPr>
          <w:p w14:paraId="6FABB8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соглашается с ГУАП</w:t>
            </w:r>
          </w:p>
        </w:tc>
      </w:tr>
      <w:tr w:rsidR="00E3599D" w:rsidRPr="00E14102" w14:paraId="4BD0BE3E" w14:textId="77777777">
        <w:tc>
          <w:tcPr>
            <w:tcW w:w="1878" w:type="dxa"/>
          </w:tcPr>
          <w:p w14:paraId="7DF4FF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Г-4</w:t>
            </w:r>
          </w:p>
        </w:tc>
        <w:tc>
          <w:tcPr>
            <w:tcW w:w="1878" w:type="dxa"/>
          </w:tcPr>
          <w:p w14:paraId="3AFA0E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принимает</w:t>
            </w:r>
          </w:p>
        </w:tc>
        <w:tc>
          <w:tcPr>
            <w:tcW w:w="3865" w:type="dxa"/>
          </w:tcPr>
          <w:p w14:paraId="2605E9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Соглашается с ГУАП</w:t>
            </w:r>
          </w:p>
        </w:tc>
      </w:tr>
      <w:tr w:rsidR="00E3599D" w:rsidRPr="00E14102" w14:paraId="32E6F028" w14:textId="77777777">
        <w:tc>
          <w:tcPr>
            <w:tcW w:w="1878" w:type="dxa"/>
          </w:tcPr>
          <w:p w14:paraId="221F33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Г-4</w:t>
            </w:r>
          </w:p>
        </w:tc>
        <w:tc>
          <w:tcPr>
            <w:tcW w:w="1878" w:type="dxa"/>
          </w:tcPr>
          <w:p w14:paraId="2207B3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принимает</w:t>
            </w:r>
          </w:p>
        </w:tc>
        <w:tc>
          <w:tcPr>
            <w:tcW w:w="3865" w:type="dxa"/>
          </w:tcPr>
          <w:p w14:paraId="1C84EF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Соглашается с ГУАП</w:t>
            </w:r>
          </w:p>
        </w:tc>
      </w:tr>
      <w:tr w:rsidR="00E3599D" w:rsidRPr="00E14102" w14:paraId="1D89C2A8" w14:textId="77777777">
        <w:tc>
          <w:tcPr>
            <w:tcW w:w="1878" w:type="dxa"/>
          </w:tcPr>
          <w:p w14:paraId="6097F2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ДБ</w:t>
            </w:r>
          </w:p>
        </w:tc>
        <w:tc>
          <w:tcPr>
            <w:tcW w:w="1878" w:type="dxa"/>
          </w:tcPr>
          <w:p w14:paraId="40445B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Согласен</w:t>
            </w:r>
          </w:p>
        </w:tc>
        <w:tc>
          <w:tcPr>
            <w:tcW w:w="3865" w:type="dxa"/>
          </w:tcPr>
          <w:p w14:paraId="197E4E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Поддерживает</w:t>
            </w:r>
          </w:p>
        </w:tc>
      </w:tr>
      <w:tr w:rsidR="00E3599D" w:rsidRPr="00E14102" w14:paraId="0FBC4A81" w14:textId="77777777">
        <w:tc>
          <w:tcPr>
            <w:tcW w:w="1878" w:type="dxa"/>
          </w:tcPr>
          <w:p w14:paraId="48FD64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Букс. Планер</w:t>
            </w:r>
          </w:p>
        </w:tc>
        <w:tc>
          <w:tcPr>
            <w:tcW w:w="1878" w:type="dxa"/>
          </w:tcPr>
          <w:p w14:paraId="3BFBAE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Возражает</w:t>
            </w:r>
          </w:p>
        </w:tc>
        <w:tc>
          <w:tcPr>
            <w:tcW w:w="3865" w:type="dxa"/>
          </w:tcPr>
          <w:p w14:paraId="41525C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Предл. оставить произв. базу за СНИИ ГУГВФ</w:t>
            </w:r>
          </w:p>
        </w:tc>
      </w:tr>
      <w:tr w:rsidR="00E3599D" w:rsidRPr="00E14102" w14:paraId="369C8813" w14:textId="77777777">
        <w:tc>
          <w:tcPr>
            <w:tcW w:w="1878" w:type="dxa"/>
          </w:tcPr>
          <w:p w14:paraId="4582DE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СХ</w:t>
            </w:r>
          </w:p>
        </w:tc>
        <w:tc>
          <w:tcPr>
            <w:tcW w:w="1878" w:type="dxa"/>
          </w:tcPr>
          <w:p w14:paraId="48AA31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Возражает</w:t>
            </w:r>
          </w:p>
        </w:tc>
        <w:tc>
          <w:tcPr>
            <w:tcW w:w="3865" w:type="dxa"/>
          </w:tcPr>
          <w:p w14:paraId="442E13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Соглашается с ГУАП</w:t>
            </w:r>
          </w:p>
        </w:tc>
      </w:tr>
      <w:tr w:rsidR="00E3599D" w:rsidRPr="00E14102" w14:paraId="67103962" w14:textId="77777777">
        <w:tc>
          <w:tcPr>
            <w:tcW w:w="1878" w:type="dxa"/>
          </w:tcPr>
          <w:p w14:paraId="2E1D11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ПМ-2 2-й</w:t>
            </w:r>
          </w:p>
        </w:tc>
        <w:tc>
          <w:tcPr>
            <w:tcW w:w="1878" w:type="dxa"/>
          </w:tcPr>
          <w:p w14:paraId="2C448B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Возражает</w:t>
            </w:r>
          </w:p>
        </w:tc>
        <w:tc>
          <w:tcPr>
            <w:tcW w:w="3865" w:type="dxa"/>
          </w:tcPr>
          <w:p w14:paraId="5CBA02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Соглашается с ГУАП</w:t>
            </w:r>
          </w:p>
        </w:tc>
      </w:tr>
      <w:tr w:rsidR="00E3599D" w:rsidRPr="00E14102" w14:paraId="515A4C24" w14:textId="77777777">
        <w:tc>
          <w:tcPr>
            <w:tcW w:w="1878" w:type="dxa"/>
          </w:tcPr>
          <w:p w14:paraId="747650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АРК-3</w:t>
            </w:r>
          </w:p>
        </w:tc>
        <w:tc>
          <w:tcPr>
            <w:tcW w:w="1878" w:type="dxa"/>
          </w:tcPr>
          <w:p w14:paraId="79F267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возражает</w:t>
            </w:r>
          </w:p>
        </w:tc>
        <w:tc>
          <w:tcPr>
            <w:tcW w:w="3865" w:type="dxa"/>
          </w:tcPr>
          <w:p w14:paraId="638A72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Поддерживает</w:t>
            </w:r>
          </w:p>
        </w:tc>
      </w:tr>
      <w:tr w:rsidR="00E3599D" w:rsidRPr="00E14102" w14:paraId="059BC6BF" w14:textId="77777777">
        <w:tc>
          <w:tcPr>
            <w:tcW w:w="1878" w:type="dxa"/>
          </w:tcPr>
          <w:p w14:paraId="1027D9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АНТ-27</w:t>
            </w:r>
          </w:p>
        </w:tc>
        <w:tc>
          <w:tcPr>
            <w:tcW w:w="1878" w:type="dxa"/>
          </w:tcPr>
          <w:p w14:paraId="63D55D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Согласен через</w:t>
            </w:r>
          </w:p>
        </w:tc>
        <w:tc>
          <w:tcPr>
            <w:tcW w:w="3865" w:type="dxa"/>
          </w:tcPr>
          <w:p w14:paraId="0B66E6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Соглашается с ГУАП</w:t>
            </w:r>
          </w:p>
        </w:tc>
      </w:tr>
      <w:tr w:rsidR="00E3599D" w:rsidRPr="00E14102" w14:paraId="16392BFE" w14:textId="77777777">
        <w:tc>
          <w:tcPr>
            <w:tcW w:w="1878" w:type="dxa"/>
          </w:tcPr>
          <w:p w14:paraId="44244848" w14:textId="77777777" w:rsidR="00D4105E" w:rsidRPr="00E14102" w:rsidRDefault="00D4105E" w:rsidP="00E14102">
            <w:pPr>
              <w:autoSpaceDE w:val="0"/>
              <w:autoSpaceDN w:val="0"/>
              <w:adjustRightInd w:val="0"/>
              <w:jc w:val="both"/>
              <w:rPr>
                <w:color w:val="000000" w:themeColor="text1"/>
                <w:sz w:val="16"/>
                <w:szCs w:val="16"/>
              </w:rPr>
            </w:pPr>
          </w:p>
        </w:tc>
        <w:tc>
          <w:tcPr>
            <w:tcW w:w="1878" w:type="dxa"/>
          </w:tcPr>
          <w:p w14:paraId="3EF5C3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мес. после сер.</w:t>
            </w:r>
          </w:p>
        </w:tc>
        <w:tc>
          <w:tcPr>
            <w:tcW w:w="3865" w:type="dxa"/>
          </w:tcPr>
          <w:p w14:paraId="754C969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C9E21F" w14:textId="77777777">
        <w:tc>
          <w:tcPr>
            <w:tcW w:w="1878" w:type="dxa"/>
          </w:tcPr>
          <w:p w14:paraId="2A5977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АНТ-44</w:t>
            </w:r>
          </w:p>
        </w:tc>
        <w:tc>
          <w:tcPr>
            <w:tcW w:w="1878" w:type="dxa"/>
          </w:tcPr>
          <w:p w14:paraId="45530D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Согласен</w:t>
            </w:r>
          </w:p>
        </w:tc>
        <w:tc>
          <w:tcPr>
            <w:tcW w:w="3865" w:type="dxa"/>
          </w:tcPr>
          <w:p w14:paraId="1E2EA7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Соглашается с ГУАП</w:t>
            </w:r>
          </w:p>
        </w:tc>
      </w:tr>
      <w:tr w:rsidR="00E3599D" w:rsidRPr="00E14102" w14:paraId="102A1385" w14:textId="77777777">
        <w:tc>
          <w:tcPr>
            <w:tcW w:w="1878" w:type="dxa"/>
          </w:tcPr>
          <w:p w14:paraId="21F4BC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ТА</w:t>
            </w:r>
          </w:p>
        </w:tc>
        <w:tc>
          <w:tcPr>
            <w:tcW w:w="1878" w:type="dxa"/>
          </w:tcPr>
          <w:p w14:paraId="44FA8E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Возражает</w:t>
            </w:r>
          </w:p>
        </w:tc>
        <w:tc>
          <w:tcPr>
            <w:tcW w:w="3865" w:type="dxa"/>
          </w:tcPr>
          <w:p w14:paraId="5B3EB8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Соглашается с ГУАП</w:t>
            </w:r>
          </w:p>
        </w:tc>
      </w:tr>
      <w:tr w:rsidR="00E3599D" w:rsidRPr="00E14102" w14:paraId="617A0A17" w14:textId="77777777">
        <w:tc>
          <w:tcPr>
            <w:tcW w:w="1878" w:type="dxa"/>
            <w:tcBorders>
              <w:bottom w:val="single" w:sz="12" w:space="0" w:color="auto"/>
            </w:tcBorders>
          </w:tcPr>
          <w:p w14:paraId="393B86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МА</w:t>
            </w:r>
          </w:p>
        </w:tc>
        <w:tc>
          <w:tcPr>
            <w:tcW w:w="1878" w:type="dxa"/>
            <w:tcBorders>
              <w:bottom w:val="single" w:sz="12" w:space="0" w:color="auto"/>
            </w:tcBorders>
          </w:tcPr>
          <w:p w14:paraId="3BAE08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Возражает</w:t>
            </w:r>
          </w:p>
        </w:tc>
        <w:tc>
          <w:tcPr>
            <w:tcW w:w="3865" w:type="dxa"/>
            <w:tcBorders>
              <w:bottom w:val="single" w:sz="12" w:space="0" w:color="auto"/>
            </w:tcBorders>
          </w:tcPr>
          <w:p w14:paraId="1E98A8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Соглашается с ГУАП (2336,122)</w:t>
            </w:r>
          </w:p>
        </w:tc>
      </w:tr>
    </w:tbl>
    <w:p w14:paraId="21E1F2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НКО от 5 мая 1935 морская авиация была выведена из ВВС РККА и включена в состав ВМФ. Затем, 23 июня 1937 - назад, а 1 января 1938 - опять выведена и включена в ВМФ (66,186).</w:t>
      </w:r>
    </w:p>
    <w:p w14:paraId="741F9E76" w14:textId="77777777" w:rsidR="00D4105E" w:rsidRPr="00E14102" w:rsidRDefault="00D4105E" w:rsidP="00E14102">
      <w:pPr>
        <w:autoSpaceDE w:val="0"/>
        <w:autoSpaceDN w:val="0"/>
        <w:adjustRightInd w:val="0"/>
        <w:jc w:val="both"/>
        <w:rPr>
          <w:color w:val="000000" w:themeColor="text1"/>
          <w:sz w:val="16"/>
          <w:szCs w:val="16"/>
        </w:rPr>
      </w:pPr>
    </w:p>
    <w:p w14:paraId="7C0F0F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мая 1935 года Базилевич писал письмо № 791/ко в НКТП Орджоникидзе</w:t>
      </w:r>
    </w:p>
    <w:p w14:paraId="68E1CE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указанию Молотова сообщаю, что по вопросу об убытках завода № 39 (Ваше письмо № 01/2847 от 11 апреля 1935 года) НКФин считает возможным восстановить финансовое положение этого завода путем перераспределения оборотных средств ГУАПа. Такая возможность подтверждается тем, что по отдельным заводам за 1934 год имеется значительная прибыль (завод № 26 от реализации мотора М-17 и групповых комплектов за 1934 год имел свыше 19000000 рублей прибыли) (4170, 99).</w:t>
      </w:r>
    </w:p>
    <w:p w14:paraId="39B3975E" w14:textId="77777777" w:rsidR="00D4105E" w:rsidRPr="00E14102" w:rsidRDefault="00D4105E" w:rsidP="00E14102">
      <w:pPr>
        <w:autoSpaceDE w:val="0"/>
        <w:autoSpaceDN w:val="0"/>
        <w:adjustRightInd w:val="0"/>
        <w:jc w:val="both"/>
        <w:rPr>
          <w:color w:val="000000" w:themeColor="text1"/>
          <w:sz w:val="16"/>
          <w:szCs w:val="16"/>
        </w:rPr>
      </w:pPr>
    </w:p>
    <w:p w14:paraId="39C2CA9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мая 1935 г. газеты опубликовали официальное со</w:t>
      </w:r>
      <w:r w:rsidRPr="00E14102">
        <w:rPr>
          <w:color w:val="000000" w:themeColor="text1"/>
          <w:sz w:val="16"/>
          <w:szCs w:val="16"/>
        </w:rPr>
        <w:softHyphen/>
        <w:t>общение ЦИК Союза ССР: “Центральный Исполни</w:t>
      </w:r>
      <w:r w:rsidRPr="00E14102">
        <w:rPr>
          <w:color w:val="000000" w:themeColor="text1"/>
          <w:sz w:val="16"/>
          <w:szCs w:val="16"/>
        </w:rPr>
        <w:softHyphen/>
        <w:t>тельный Комитет Союза ССР постановляет:</w:t>
      </w:r>
    </w:p>
    <w:p w14:paraId="00E3BE3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Наградить орденом Ленина:</w:t>
      </w:r>
    </w:p>
    <w:p w14:paraId="3C05A5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инженера-конструктора Поликарпова Николая Николаевича - за выдающиеся заслуги в деле создания новых высококачественных конструкций самолетов и</w:t>
      </w:r>
    </w:p>
    <w:p w14:paraId="3F9A49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летчика-испытателя Чкалова Валерия Павловича -за неоднократно проявленную исключительную сме</w:t>
      </w:r>
      <w:r w:rsidRPr="00E14102">
        <w:rPr>
          <w:color w:val="000000" w:themeColor="text1"/>
          <w:sz w:val="16"/>
          <w:szCs w:val="16"/>
        </w:rPr>
        <w:softHyphen/>
        <w:t>лость и мужество при испытаниях новых конструкций самолетов” (10667).</w:t>
      </w:r>
    </w:p>
    <w:p w14:paraId="1D03A8DF" w14:textId="77777777" w:rsidR="00D4105E" w:rsidRPr="00E14102" w:rsidRDefault="00D4105E" w:rsidP="00E14102">
      <w:pPr>
        <w:autoSpaceDE w:val="0"/>
        <w:autoSpaceDN w:val="0"/>
        <w:adjustRightInd w:val="0"/>
        <w:jc w:val="both"/>
        <w:rPr>
          <w:color w:val="000000" w:themeColor="text1"/>
          <w:sz w:val="16"/>
          <w:szCs w:val="16"/>
        </w:rPr>
      </w:pPr>
    </w:p>
    <w:p w14:paraId="30722A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мая 1935 Н.Н.П. и В.П.Ч. получили Орден Ленина за создание боевых самолетов (67,97), "новых высококачественных конструкций самолетов".</w:t>
      </w:r>
    </w:p>
    <w:p w14:paraId="26E4F374" w14:textId="77777777" w:rsidR="00D4105E" w:rsidRPr="00E14102" w:rsidRDefault="00D4105E" w:rsidP="00E14102">
      <w:pPr>
        <w:autoSpaceDE w:val="0"/>
        <w:autoSpaceDN w:val="0"/>
        <w:adjustRightInd w:val="0"/>
        <w:jc w:val="both"/>
        <w:rPr>
          <w:color w:val="000000" w:themeColor="text1"/>
          <w:sz w:val="16"/>
          <w:szCs w:val="16"/>
        </w:rPr>
      </w:pPr>
    </w:p>
    <w:p w14:paraId="385C75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мая 1935 Председатель Техсовета НКТП Пудалов писал письмо 0/3393сс в СОВЕТ ТРУДА и ОБОРОНЫ тов. БАЗИЛЕВИЧУ:</w:t>
      </w:r>
    </w:p>
    <w:p w14:paraId="4E1720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 диэель-моторе Украинского Научно-Исследовательокого Авиационного Института.</w:t>
      </w:r>
    </w:p>
    <w:p w14:paraId="6833A88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Из письма Начальника Главного Управления Гражданского Воздушного Флота и из имеющихся в НКТП материалов видно, что дязедъ-мотор УНИАДИ на 16/1У-с.г. был доведен только до мощ</w:t>
      </w:r>
      <w:r w:rsidRPr="00E14102">
        <w:rPr>
          <w:color w:val="000000" w:themeColor="text1"/>
          <w:sz w:val="16"/>
          <w:szCs w:val="16"/>
        </w:rPr>
        <w:softHyphen/>
        <w:t>ности 390 л.с. в течение 3-х минут и что расход горючего при нагрузке 250-390 л.с. колебался в пределах 185—199 грам</w:t>
      </w:r>
      <w:r w:rsidRPr="00E14102">
        <w:rPr>
          <w:color w:val="000000" w:themeColor="text1"/>
          <w:sz w:val="16"/>
          <w:szCs w:val="16"/>
        </w:rPr>
        <w:softHyphen/>
        <w:t>мов на 1 л.с.</w:t>
      </w:r>
    </w:p>
    <w:p w14:paraId="20D4CE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Таким образом, дизель УНИАДИ не испытан еще на заданную мощность 500 л .с., не говоря уже о повышенной мощности, при которой он может удовлетворить требованиям веса - 1,2 клгр./на л.с. Поэтому НКТП считает не обходимым продолжать испытание дизеля УНИАДИ до получения полной мощности приобусловленном относительном весе; только после этого можно будет решить вопрос о заказе серии дизель-моторов.</w:t>
      </w:r>
    </w:p>
    <w:p w14:paraId="1EF7A3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вопросу о дооборудовании УНИАДИ со стороны НКТП возражений не имеется.</w:t>
      </w:r>
    </w:p>
    <w:p w14:paraId="1D4AC3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Помета:</w:t>
      </w:r>
    </w:p>
    <w:p w14:paraId="582C67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 Ткачев сообщил, что дизель на сегодняшний день дал уже 450 л.с. и что настоятельно необходимо утвердить заказ УНИАДИ на крупные поковки для дизеля (на з-дах ХТЗ, ХПЗ и № 26)</w:t>
      </w:r>
    </w:p>
    <w:p w14:paraId="3A7C77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 мая 1935 Бк</w:t>
      </w:r>
    </w:p>
    <w:p w14:paraId="540B3E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связи с этим т. Ткачев даст дополнительное письмо 13 мая 1935 РК (3419,73).</w:t>
      </w:r>
    </w:p>
    <w:p w14:paraId="4E685823" w14:textId="77777777" w:rsidR="00D4105E" w:rsidRPr="00E14102" w:rsidRDefault="00D4105E" w:rsidP="00E14102">
      <w:pPr>
        <w:autoSpaceDE w:val="0"/>
        <w:autoSpaceDN w:val="0"/>
        <w:adjustRightInd w:val="0"/>
        <w:jc w:val="both"/>
        <w:rPr>
          <w:color w:val="000000" w:themeColor="text1"/>
          <w:sz w:val="16"/>
          <w:szCs w:val="16"/>
        </w:rPr>
      </w:pPr>
    </w:p>
    <w:p w14:paraId="140A08B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FFC16D6" w14:textId="77777777" w:rsidR="00D4105E" w:rsidRPr="00E14102" w:rsidRDefault="00D4105E" w:rsidP="00E14102">
      <w:pPr>
        <w:autoSpaceDE w:val="0"/>
        <w:autoSpaceDN w:val="0"/>
        <w:adjustRightInd w:val="0"/>
        <w:jc w:val="both"/>
        <w:rPr>
          <w:iCs/>
          <w:color w:val="000000" w:themeColor="text1"/>
          <w:sz w:val="16"/>
          <w:szCs w:val="16"/>
        </w:rPr>
      </w:pPr>
    </w:p>
    <w:p w14:paraId="6504F3D8" w14:textId="77777777" w:rsidR="001A2871" w:rsidRPr="00E14102" w:rsidRDefault="001A2871"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 5 мая 1935 начались работы по разработке эталонного образца Т-29. К нему Астров уже не имел никакого отношения (17708).</w:t>
      </w:r>
    </w:p>
    <w:p w14:paraId="0A0B9916" w14:textId="77777777" w:rsidR="001A2871" w:rsidRPr="00E14102" w:rsidRDefault="001A2871" w:rsidP="00E14102">
      <w:pPr>
        <w:jc w:val="both"/>
        <w:rPr>
          <w:color w:val="000000" w:themeColor="text1"/>
          <w:sz w:val="16"/>
          <w:szCs w:val="16"/>
        </w:rPr>
      </w:pPr>
    </w:p>
    <w:p w14:paraId="79FC9E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мая 1935 г. группу директоров и технических руководителей тракторных заводов страны, в которую входил и Э.И. Гуревич, принял в Кремле И.В. Сталин. Вскоре после этого Челябинскому тракторному заводу, первому в Союзе, официально поручили освоить производство дизельных тракторов (11627).</w:t>
      </w:r>
    </w:p>
    <w:p w14:paraId="6B681F49" w14:textId="77777777" w:rsidR="00D4105E" w:rsidRPr="00E14102" w:rsidRDefault="00D4105E" w:rsidP="00E14102">
      <w:pPr>
        <w:autoSpaceDE w:val="0"/>
        <w:autoSpaceDN w:val="0"/>
        <w:adjustRightInd w:val="0"/>
        <w:jc w:val="both"/>
        <w:rPr>
          <w:color w:val="000000" w:themeColor="text1"/>
          <w:sz w:val="16"/>
          <w:szCs w:val="16"/>
        </w:rPr>
      </w:pPr>
    </w:p>
    <w:p w14:paraId="148535F9" w14:textId="77777777" w:rsidR="0016217F" w:rsidRPr="00E14102" w:rsidRDefault="0016217F" w:rsidP="00E14102">
      <w:pPr>
        <w:pStyle w:val="rtejustify"/>
        <w:spacing w:before="0" w:after="0"/>
        <w:rPr>
          <w:color w:val="000000" w:themeColor="text1"/>
          <w:sz w:val="16"/>
          <w:szCs w:val="16"/>
        </w:rPr>
      </w:pPr>
      <w:r w:rsidRPr="00E14102">
        <w:rPr>
          <w:rStyle w:val="a6"/>
          <w:bCs/>
          <w:i w:val="0"/>
          <w:color w:val="000000" w:themeColor="text1"/>
          <w:sz w:val="16"/>
          <w:szCs w:val="16"/>
        </w:rPr>
        <w:t>5 мая 1935 вышел приказ НКТП № 81с.</w:t>
      </w:r>
      <w:r w:rsidRPr="00E14102">
        <w:rPr>
          <w:color w:val="000000" w:themeColor="text1"/>
          <w:sz w:val="16"/>
          <w:szCs w:val="16"/>
        </w:rPr>
        <w:t xml:space="preserve"> Об утверждении плана распределения цветных металлов для выполнения оборонных заказов. (РГАЭ. Ф. 7297. Оп. 38. Д. 171. Л. 144) (15246).</w:t>
      </w:r>
    </w:p>
    <w:p w14:paraId="55744E13" w14:textId="77777777" w:rsidR="0016217F" w:rsidRPr="00E14102" w:rsidRDefault="0016217F" w:rsidP="00E14102">
      <w:pPr>
        <w:pStyle w:val="rtejustify"/>
        <w:spacing w:before="0" w:after="0"/>
        <w:rPr>
          <w:color w:val="000000" w:themeColor="text1"/>
          <w:sz w:val="16"/>
          <w:szCs w:val="16"/>
        </w:rPr>
      </w:pPr>
    </w:p>
    <w:p w14:paraId="69E406B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6BE2962F" w14:textId="77777777" w:rsidR="00D4105E" w:rsidRPr="00E14102" w:rsidRDefault="00D4105E" w:rsidP="00E14102">
      <w:pPr>
        <w:autoSpaceDE w:val="0"/>
        <w:autoSpaceDN w:val="0"/>
        <w:adjustRightInd w:val="0"/>
        <w:jc w:val="both"/>
        <w:rPr>
          <w:iCs/>
          <w:color w:val="000000" w:themeColor="text1"/>
          <w:sz w:val="16"/>
          <w:szCs w:val="16"/>
        </w:rPr>
      </w:pPr>
    </w:p>
    <w:p w14:paraId="6EA885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мая 1935 г. морскую авиацию передали флоту. Однако это продолжалось сравнительно недолго: 23 июля 1937 г. она опять вернулась в состав ВВС РККА. Но 1 января 1938 г. морскую авиацию окончательно отделили от сухопутной. Далее она стала полностью независимой от ВВС (11987).</w:t>
      </w:r>
    </w:p>
    <w:p w14:paraId="520361FC" w14:textId="77777777" w:rsidR="00D4105E" w:rsidRPr="00E14102" w:rsidRDefault="00D4105E" w:rsidP="00E14102">
      <w:pPr>
        <w:autoSpaceDE w:val="0"/>
        <w:autoSpaceDN w:val="0"/>
        <w:adjustRightInd w:val="0"/>
        <w:jc w:val="both"/>
        <w:rPr>
          <w:color w:val="000000" w:themeColor="text1"/>
          <w:sz w:val="16"/>
          <w:szCs w:val="16"/>
        </w:rPr>
      </w:pPr>
    </w:p>
    <w:p w14:paraId="66D2ECA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4CE3A15" w14:textId="77777777" w:rsidR="00D4105E" w:rsidRPr="00E14102" w:rsidRDefault="00D4105E" w:rsidP="00E14102">
      <w:pPr>
        <w:autoSpaceDE w:val="0"/>
        <w:autoSpaceDN w:val="0"/>
        <w:adjustRightInd w:val="0"/>
        <w:jc w:val="both"/>
        <w:rPr>
          <w:iCs/>
          <w:color w:val="000000" w:themeColor="text1"/>
          <w:sz w:val="16"/>
          <w:szCs w:val="16"/>
        </w:rPr>
      </w:pPr>
    </w:p>
    <w:p w14:paraId="369708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мая 1935 открылась первая линия Московского метро (Сокольники - Парк культуры) (3398,171).</w:t>
      </w:r>
    </w:p>
    <w:p w14:paraId="5B3E4902" w14:textId="77777777" w:rsidR="00D4105E" w:rsidRPr="00E14102" w:rsidRDefault="00D4105E" w:rsidP="00E14102">
      <w:pPr>
        <w:autoSpaceDE w:val="0"/>
        <w:autoSpaceDN w:val="0"/>
        <w:adjustRightInd w:val="0"/>
        <w:jc w:val="both"/>
        <w:rPr>
          <w:color w:val="000000" w:themeColor="text1"/>
          <w:sz w:val="16"/>
          <w:szCs w:val="16"/>
        </w:rPr>
      </w:pPr>
    </w:p>
    <w:p w14:paraId="35AE0A4C" w14:textId="77777777" w:rsidR="00C91908" w:rsidRPr="00E14102" w:rsidRDefault="00C91908"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0CDC6A5" w14:textId="77777777" w:rsidR="00C91908" w:rsidRPr="00E14102" w:rsidRDefault="00C91908" w:rsidP="00E14102">
      <w:pPr>
        <w:autoSpaceDE w:val="0"/>
        <w:autoSpaceDN w:val="0"/>
        <w:adjustRightInd w:val="0"/>
        <w:jc w:val="both"/>
        <w:rPr>
          <w:iCs/>
          <w:color w:val="000000" w:themeColor="text1"/>
          <w:sz w:val="16"/>
          <w:szCs w:val="16"/>
        </w:rPr>
      </w:pPr>
    </w:p>
    <w:p w14:paraId="65095F21" w14:textId="77777777" w:rsidR="00C91908" w:rsidRPr="00E14102" w:rsidRDefault="00C91908" w:rsidP="00E14102">
      <w:pPr>
        <w:jc w:val="both"/>
        <w:rPr>
          <w:color w:val="0070C0"/>
          <w:sz w:val="16"/>
          <w:szCs w:val="16"/>
        </w:rPr>
      </w:pPr>
      <w:r w:rsidRPr="00E14102">
        <w:rPr>
          <w:color w:val="0070C0"/>
          <w:sz w:val="16"/>
          <w:szCs w:val="16"/>
        </w:rPr>
        <w:t>6 мая 1935 - Впервые совершен перелет по маршруту Москва - Сахалин, в город Александровск. Перелет был организован в честь десятой годовщины провозглашения советской власти на Северном Сахалине. Совершил его летчик Илья Павлович Мазурук на самолете П-5 за 45 летных часов. Перелет продолжался 8 суток. 16 мая 1935 года постановлением ЦИК СССР №216 в связи с 10-летием освобождения Северного Сахалина И.Мазурук был награжден орденом Красной Звезды. Вскоре после перелета Москва - Сахалин Илья Мазурук перешел в полярную авиацию (22511).</w:t>
      </w:r>
    </w:p>
    <w:p w14:paraId="33936E13" w14:textId="34215D5C" w:rsidR="00C91908" w:rsidRPr="00E14102" w:rsidRDefault="00C91908" w:rsidP="00E14102">
      <w:pPr>
        <w:jc w:val="both"/>
        <w:rPr>
          <w:color w:val="0070C0"/>
          <w:sz w:val="16"/>
          <w:szCs w:val="16"/>
        </w:rPr>
      </w:pPr>
    </w:p>
    <w:p w14:paraId="7F075A33" w14:textId="38EADDAB" w:rsidR="00C91908" w:rsidRPr="00E14102" w:rsidRDefault="00C91908" w:rsidP="00E14102">
      <w:pPr>
        <w:jc w:val="both"/>
        <w:rPr>
          <w:i/>
          <w:iCs/>
          <w:color w:val="0070C0"/>
          <w:sz w:val="16"/>
          <w:szCs w:val="16"/>
        </w:rPr>
      </w:pPr>
      <w:r w:rsidRPr="00E14102">
        <w:rPr>
          <w:i/>
          <w:iCs/>
          <w:color w:val="0070C0"/>
          <w:sz w:val="16"/>
          <w:szCs w:val="16"/>
        </w:rPr>
        <w:t>За рубежом:</w:t>
      </w:r>
    </w:p>
    <w:p w14:paraId="524954E7" w14:textId="77777777" w:rsidR="00C91908" w:rsidRPr="00E14102" w:rsidRDefault="00C91908" w:rsidP="00E14102">
      <w:pPr>
        <w:jc w:val="both"/>
        <w:rPr>
          <w:i/>
          <w:iCs/>
          <w:color w:val="0070C0"/>
          <w:sz w:val="16"/>
          <w:szCs w:val="16"/>
        </w:rPr>
      </w:pPr>
    </w:p>
    <w:p w14:paraId="0269AC47" w14:textId="77777777" w:rsidR="00C91908" w:rsidRPr="00E14102" w:rsidRDefault="00C91908" w:rsidP="00E14102">
      <w:pPr>
        <w:jc w:val="both"/>
        <w:rPr>
          <w:color w:val="0070C0"/>
          <w:sz w:val="16"/>
          <w:szCs w:val="16"/>
        </w:rPr>
      </w:pPr>
      <w:r w:rsidRPr="00E14102">
        <w:rPr>
          <w:color w:val="0070C0"/>
          <w:sz w:val="16"/>
          <w:szCs w:val="16"/>
        </w:rPr>
        <w:t>6 мая 1935 - Первый полет американского истребителя Curtiss P-36 Hawk,также известного как Curtiss Hawk Model 75. Испытания опытного самолета Y1P-36 оказались настолько успешными, что 7 июля 1937 г. был заключен контракт на 210 экземпляров серийного истребителя P-36A (Model 75L) - самый большой контракт на истребители, заключенный в мирное время сухопутными войсками США. В апреле 1938 г. начались поставки этих самолетов (22511).</w:t>
      </w:r>
    </w:p>
    <w:p w14:paraId="2B02D4B2" w14:textId="77777777" w:rsidR="00C91908" w:rsidRPr="00E14102" w:rsidRDefault="00C91908" w:rsidP="00E14102">
      <w:pPr>
        <w:jc w:val="both"/>
        <w:rPr>
          <w:color w:val="0070C0"/>
          <w:sz w:val="16"/>
          <w:szCs w:val="16"/>
        </w:rPr>
      </w:pPr>
    </w:p>
    <w:p w14:paraId="26A66D49" w14:textId="77777777" w:rsidR="00C91908" w:rsidRPr="00E14102" w:rsidRDefault="00C91908" w:rsidP="00E14102">
      <w:pPr>
        <w:jc w:val="both"/>
        <w:rPr>
          <w:color w:val="0070C0"/>
          <w:sz w:val="16"/>
          <w:szCs w:val="16"/>
        </w:rPr>
      </w:pPr>
      <w:r w:rsidRPr="00E14102">
        <w:rPr>
          <w:color w:val="0070C0"/>
          <w:sz w:val="16"/>
          <w:szCs w:val="16"/>
        </w:rPr>
        <w:t>6 мая 1935 самолет Transcontinental &amp; Western Air Douglas DC-2-112 NC13785, выполнявший регулярный пассажирский рейс из муниципального аэропорта Альбукерке в Альбукерке , штат Нью-Мексико , в Канзас-Сити , штат Миссури, разбился недалеко от Атланты, штат Миссури, в результате чего погибли пять из восьми человек на борту. Сенатор от штата Нью-Мексико Бронсон М. Каттинг среди погибших. Споры по поводу противоречивых выводов Бюро воздушной торговли и комитета Сената США относительно причины крушения приведет к созданию в Соединенных Штатах независимого совета по безопасности полетов в соответствии с Законом о гражданской авиации 1938 года (20800).</w:t>
      </w:r>
    </w:p>
    <w:p w14:paraId="59BB51F9" w14:textId="77777777" w:rsidR="00C91908" w:rsidRPr="00E14102" w:rsidRDefault="00C91908" w:rsidP="00E14102">
      <w:pPr>
        <w:jc w:val="both"/>
        <w:rPr>
          <w:color w:val="0070C0"/>
          <w:sz w:val="16"/>
          <w:szCs w:val="16"/>
        </w:rPr>
      </w:pPr>
    </w:p>
    <w:p w14:paraId="0244B01A" w14:textId="77777777" w:rsidR="00C91908" w:rsidRPr="00E14102" w:rsidRDefault="00C91908" w:rsidP="00E14102">
      <w:pPr>
        <w:jc w:val="both"/>
        <w:rPr>
          <w:color w:val="0070C0"/>
          <w:sz w:val="16"/>
          <w:szCs w:val="16"/>
        </w:rPr>
      </w:pPr>
      <w:r w:rsidRPr="00E14102">
        <w:rPr>
          <w:color w:val="0070C0"/>
          <w:sz w:val="16"/>
          <w:szCs w:val="16"/>
        </w:rPr>
        <w:t>6 мая 1935 Франк Хокс прибывает в Лос - Анджелесе, штат Калифорния, завершив 39-часовой 52-минутный полет из Буэнос - Айреса, Аргентина , чтобы продемонстрировать возможности дальнего радиуса действия на Northrop Gamma 2Е штурмовика в аргентинской ВМС, делая восемь остановок и дозаправки. Взлетая из Буэнос-Айреса 3 мая в сопровождении главного летчика-испытателя Northrop Гейджа Х. Ирвинга в кресле наводчика, Хоукс побил десять рекордов междугородной скорости во время поездки на 8090 миль (13 020 км), в том числе на 3 430 миль (5 523 км). этап от Кристобаля, Панама, до Лос-Анджелеса, который он преодолевает за рекордные 17 часов 50 минут (20800).</w:t>
      </w:r>
    </w:p>
    <w:p w14:paraId="2024857A" w14:textId="77777777" w:rsidR="00C91908" w:rsidRPr="00E14102" w:rsidRDefault="00C91908" w:rsidP="00E14102">
      <w:pPr>
        <w:jc w:val="both"/>
        <w:rPr>
          <w:color w:val="0070C0"/>
          <w:sz w:val="16"/>
          <w:szCs w:val="16"/>
        </w:rPr>
      </w:pPr>
    </w:p>
    <w:p w14:paraId="7F83B48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AB29BD3" w14:textId="77777777" w:rsidR="00D4105E" w:rsidRPr="00E14102" w:rsidRDefault="00D4105E" w:rsidP="00E14102">
      <w:pPr>
        <w:autoSpaceDE w:val="0"/>
        <w:autoSpaceDN w:val="0"/>
        <w:adjustRightInd w:val="0"/>
        <w:jc w:val="both"/>
        <w:rPr>
          <w:iCs/>
          <w:color w:val="000000" w:themeColor="text1"/>
          <w:sz w:val="16"/>
          <w:szCs w:val="16"/>
        </w:rPr>
      </w:pPr>
    </w:p>
    <w:p w14:paraId="3110F1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мая 1935 были подведены итоги конкурса на скоростной транспортный самолет АВИАВНИТО и получили 50 проектов (553,158).</w:t>
      </w:r>
    </w:p>
    <w:p w14:paraId="72173594" w14:textId="77777777" w:rsidR="00D4105E" w:rsidRPr="00E14102" w:rsidRDefault="00D4105E" w:rsidP="00E14102">
      <w:pPr>
        <w:autoSpaceDE w:val="0"/>
        <w:autoSpaceDN w:val="0"/>
        <w:adjustRightInd w:val="0"/>
        <w:jc w:val="both"/>
        <w:rPr>
          <w:color w:val="000000" w:themeColor="text1"/>
          <w:sz w:val="16"/>
          <w:szCs w:val="16"/>
        </w:rPr>
      </w:pPr>
    </w:p>
    <w:p w14:paraId="56798D9A" w14:textId="77777777" w:rsidR="008011CC" w:rsidRPr="00E14102" w:rsidRDefault="008011CC"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03A4416" w14:textId="77777777" w:rsidR="008011CC" w:rsidRPr="00E14102" w:rsidRDefault="008011CC" w:rsidP="00E14102">
      <w:pPr>
        <w:autoSpaceDE w:val="0"/>
        <w:autoSpaceDN w:val="0"/>
        <w:adjustRightInd w:val="0"/>
        <w:jc w:val="both"/>
        <w:rPr>
          <w:iCs/>
          <w:color w:val="000000" w:themeColor="text1"/>
          <w:sz w:val="16"/>
          <w:szCs w:val="16"/>
        </w:rPr>
      </w:pPr>
    </w:p>
    <w:p w14:paraId="2F2DAC3A" w14:textId="77777777" w:rsidR="008011CC" w:rsidRPr="00E14102" w:rsidRDefault="008011CC" w:rsidP="00E14102">
      <w:pPr>
        <w:jc w:val="both"/>
        <w:rPr>
          <w:color w:val="0070C0"/>
          <w:sz w:val="16"/>
          <w:szCs w:val="16"/>
        </w:rPr>
      </w:pPr>
      <w:r w:rsidRPr="00E14102">
        <w:rPr>
          <w:color w:val="0070C0"/>
          <w:sz w:val="16"/>
          <w:szCs w:val="16"/>
        </w:rPr>
        <w:t>В начале мая 1935 первые чер</w:t>
      </w:r>
      <w:r w:rsidRPr="00E14102">
        <w:rPr>
          <w:color w:val="0070C0"/>
          <w:sz w:val="16"/>
          <w:szCs w:val="16"/>
        </w:rPr>
        <w:softHyphen/>
        <w:t>тежи нового дизеля НАТИ, получившего маркировку М-17, стали поступать на производство на Челябинский тракторный завод. Чертежи выпол</w:t>
      </w:r>
      <w:r w:rsidRPr="00E14102">
        <w:rPr>
          <w:color w:val="0070C0"/>
          <w:sz w:val="16"/>
          <w:szCs w:val="16"/>
        </w:rPr>
        <w:softHyphen/>
        <w:t>нялись А.В. Лебедевым, М.Л. Мин</w:t>
      </w:r>
      <w:r w:rsidRPr="00E14102">
        <w:rPr>
          <w:color w:val="0070C0"/>
          <w:sz w:val="16"/>
          <w:szCs w:val="16"/>
        </w:rPr>
        <w:softHyphen/>
        <w:t>киным, А.Т. Масловым, Ю.М. Лит</w:t>
      </w:r>
      <w:r w:rsidRPr="00E14102">
        <w:rPr>
          <w:color w:val="0070C0"/>
          <w:sz w:val="16"/>
          <w:szCs w:val="16"/>
        </w:rPr>
        <w:softHyphen/>
        <w:t>виным под руководством Н.Н. Боб</w:t>
      </w:r>
      <w:r w:rsidRPr="00E14102">
        <w:rPr>
          <w:color w:val="0070C0"/>
          <w:sz w:val="16"/>
          <w:szCs w:val="16"/>
        </w:rPr>
        <w:softHyphen/>
        <w:t>рова и Б.Я. Гинцбурга.</w:t>
      </w:r>
    </w:p>
    <w:p w14:paraId="06350C75" w14:textId="77777777" w:rsidR="008011CC" w:rsidRPr="00E14102" w:rsidRDefault="008011CC" w:rsidP="00E14102">
      <w:pPr>
        <w:jc w:val="both"/>
        <w:rPr>
          <w:color w:val="0070C0"/>
          <w:sz w:val="16"/>
          <w:szCs w:val="16"/>
        </w:rPr>
      </w:pPr>
      <w:r w:rsidRPr="00E14102">
        <w:rPr>
          <w:color w:val="0070C0"/>
          <w:sz w:val="16"/>
          <w:szCs w:val="16"/>
        </w:rPr>
        <w:t>В это же время на Челябинском тракторном заводе бригадой инженеров НАМИ был разработан и внедрен трубчатый радиатор с индивидуальными трубками для дизеля М-17. Также в системе охлаж</w:t>
      </w:r>
      <w:r w:rsidRPr="00E14102">
        <w:rPr>
          <w:color w:val="0070C0"/>
          <w:sz w:val="16"/>
          <w:szCs w:val="16"/>
        </w:rPr>
        <w:softHyphen/>
        <w:t>дения двигателя М-17 был применен сильфонный термостат, заменивший ранее предусмотренный ме</w:t>
      </w:r>
      <w:r w:rsidRPr="00E14102">
        <w:rPr>
          <w:color w:val="0070C0"/>
          <w:sz w:val="16"/>
          <w:szCs w:val="16"/>
        </w:rPr>
        <w:softHyphen/>
        <w:t>нее надежный биметаллический.</w:t>
      </w:r>
    </w:p>
    <w:p w14:paraId="3C2BA0BF" w14:textId="77777777" w:rsidR="008011CC" w:rsidRPr="00E14102" w:rsidRDefault="008011CC" w:rsidP="00E14102">
      <w:pPr>
        <w:jc w:val="both"/>
        <w:rPr>
          <w:color w:val="0070C0"/>
          <w:sz w:val="16"/>
          <w:szCs w:val="16"/>
        </w:rPr>
      </w:pPr>
      <w:r w:rsidRPr="00E14102">
        <w:rPr>
          <w:color w:val="0070C0"/>
          <w:sz w:val="16"/>
          <w:szCs w:val="16"/>
        </w:rPr>
        <w:t>Для дизеля М-17 разрабатывается бензино</w:t>
      </w:r>
      <w:r w:rsidRPr="00E14102">
        <w:rPr>
          <w:color w:val="0070C0"/>
          <w:sz w:val="16"/>
          <w:szCs w:val="16"/>
        </w:rPr>
        <w:softHyphen/>
        <w:t>вый пусковой четырехтактный двигатель В-20 мощ</w:t>
      </w:r>
      <w:r w:rsidRPr="00E14102">
        <w:rPr>
          <w:color w:val="0070C0"/>
          <w:sz w:val="16"/>
          <w:szCs w:val="16"/>
        </w:rPr>
        <w:softHyphen/>
        <w:t>ностью 20 л.с. при 2200 об./мин. Двигатель имел 2 цилиндра диаметром 92 мм, ход поршня составлял 102 мм. Рабочий объем В-20 равнялся 1,35 л, сте</w:t>
      </w:r>
      <w:r w:rsidRPr="00E14102">
        <w:rPr>
          <w:color w:val="0070C0"/>
          <w:sz w:val="16"/>
          <w:szCs w:val="16"/>
        </w:rPr>
        <w:softHyphen/>
        <w:t>пень сжатия - 4,6, крутящий момент - 6,5 кгм. Порш</w:t>
      </w:r>
      <w:r w:rsidRPr="00E14102">
        <w:rPr>
          <w:color w:val="0070C0"/>
          <w:sz w:val="16"/>
          <w:szCs w:val="16"/>
        </w:rPr>
        <w:softHyphen/>
        <w:t>ни двигателя делались из чугуна. В-20 имел нижние клапана, комбинированный воздушный фильтр, кар</w:t>
      </w:r>
      <w:r w:rsidRPr="00E14102">
        <w:rPr>
          <w:color w:val="0070C0"/>
          <w:sz w:val="16"/>
          <w:szCs w:val="16"/>
        </w:rPr>
        <w:softHyphen/>
        <w:t>бюратор ГАЗ-Зенит, систему зажигания от магнето СС-2, снабженного импульсатором типа ПУ-46 с уг</w:t>
      </w:r>
      <w:r w:rsidRPr="00E14102">
        <w:rPr>
          <w:color w:val="0070C0"/>
          <w:sz w:val="16"/>
          <w:szCs w:val="16"/>
        </w:rPr>
        <w:softHyphen/>
        <w:t>лом запаздывания 30-35° (22518).</w:t>
      </w:r>
    </w:p>
    <w:p w14:paraId="70C29AB9" w14:textId="77777777" w:rsidR="008011CC" w:rsidRPr="00E14102" w:rsidRDefault="008011CC" w:rsidP="00E14102">
      <w:pPr>
        <w:jc w:val="both"/>
        <w:rPr>
          <w:color w:val="0070C0"/>
          <w:sz w:val="16"/>
          <w:szCs w:val="16"/>
        </w:rPr>
      </w:pPr>
    </w:p>
    <w:p w14:paraId="7F6F5F0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E9CAD76" w14:textId="77777777" w:rsidR="00D4105E" w:rsidRPr="00E14102" w:rsidRDefault="00D4105E" w:rsidP="00E14102">
      <w:pPr>
        <w:autoSpaceDE w:val="0"/>
        <w:autoSpaceDN w:val="0"/>
        <w:adjustRightInd w:val="0"/>
        <w:jc w:val="both"/>
        <w:rPr>
          <w:iCs/>
          <w:color w:val="000000" w:themeColor="text1"/>
          <w:sz w:val="16"/>
          <w:szCs w:val="16"/>
        </w:rPr>
      </w:pPr>
    </w:p>
    <w:p w14:paraId="0BB76A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мая 1935 вышло Постановление СТО, которое предписало на И-14 ставить ШКАС вместо АПК (3110,20).</w:t>
      </w:r>
    </w:p>
    <w:p w14:paraId="16851EFC" w14:textId="77777777" w:rsidR="00D4105E" w:rsidRPr="00E14102" w:rsidRDefault="00D4105E" w:rsidP="00E14102">
      <w:pPr>
        <w:autoSpaceDE w:val="0"/>
        <w:autoSpaceDN w:val="0"/>
        <w:adjustRightInd w:val="0"/>
        <w:jc w:val="both"/>
        <w:rPr>
          <w:color w:val="000000" w:themeColor="text1"/>
          <w:sz w:val="16"/>
          <w:szCs w:val="16"/>
        </w:rPr>
      </w:pPr>
    </w:p>
    <w:p w14:paraId="0C0267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мая 1935 Зам. нач. ГУАП Б.Б.Марголин обратился к С.В.И. с предложением об изучении наших возможностей по созданию самолета, способного побить мировой рекорд скорости (2394,29).</w:t>
      </w:r>
    </w:p>
    <w:p w14:paraId="53528E5B" w14:textId="77777777" w:rsidR="00D4105E" w:rsidRPr="00E14102" w:rsidRDefault="00D4105E" w:rsidP="00E14102">
      <w:pPr>
        <w:autoSpaceDE w:val="0"/>
        <w:autoSpaceDN w:val="0"/>
        <w:adjustRightInd w:val="0"/>
        <w:jc w:val="both"/>
        <w:rPr>
          <w:color w:val="000000" w:themeColor="text1"/>
          <w:sz w:val="16"/>
          <w:szCs w:val="16"/>
        </w:rPr>
      </w:pPr>
    </w:p>
    <w:p w14:paraId="212C2A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мая 1935 ГУАП выдало Н.Н.П. в ЦКБ задание на разработку скоростного самолета, спроектировать который попросил 2 мая И.В.С. Требовалось к 1937 спроектировать сухопутную машину со скоростью 600 км/час и морскую машину со скоростью 800 км/час. До мая 1935 рекодр был 709.2 абсолютный (Макки М.72) и 505.8 сухопутный (Кодрон С.460) (4207, 88).</w:t>
      </w:r>
    </w:p>
    <w:p w14:paraId="367889B7" w14:textId="77777777" w:rsidR="00D4105E" w:rsidRPr="00E14102" w:rsidRDefault="00D4105E" w:rsidP="00E14102">
      <w:pPr>
        <w:autoSpaceDE w:val="0"/>
        <w:autoSpaceDN w:val="0"/>
        <w:adjustRightInd w:val="0"/>
        <w:jc w:val="both"/>
        <w:rPr>
          <w:color w:val="000000" w:themeColor="text1"/>
          <w:sz w:val="16"/>
          <w:szCs w:val="16"/>
        </w:rPr>
      </w:pPr>
    </w:p>
    <w:p w14:paraId="4947F85D" w14:textId="77777777" w:rsidR="0016217F" w:rsidRPr="00E14102" w:rsidRDefault="0016217F" w:rsidP="00E14102">
      <w:pPr>
        <w:jc w:val="both"/>
        <w:rPr>
          <w:color w:val="000000" w:themeColor="text1"/>
          <w:sz w:val="16"/>
          <w:szCs w:val="16"/>
        </w:rPr>
      </w:pPr>
      <w:r w:rsidRPr="00E14102">
        <w:rPr>
          <w:color w:val="000000" w:themeColor="text1"/>
          <w:sz w:val="16"/>
          <w:szCs w:val="16"/>
        </w:rPr>
        <w:t>7 мая 1935 г. заместитель начальника ГУАП Б.Б.Марголин обратился к начальнику ЦКБ-39 С.В.Ильюшину с вопросом об изучении наших возможностей создать самолет, способный побить мировой рекорд скорости, поскольку сталинский лозунг:"… летать быстрее всех, выше всех и дальше всех…" начинается с главного девиза авиации "быстрее"!!! (15530).</w:t>
      </w:r>
    </w:p>
    <w:p w14:paraId="690FDB2E" w14:textId="77777777" w:rsidR="0016217F" w:rsidRPr="00E14102" w:rsidRDefault="0016217F" w:rsidP="00E14102">
      <w:pPr>
        <w:jc w:val="both"/>
        <w:rPr>
          <w:color w:val="000000" w:themeColor="text1"/>
          <w:sz w:val="16"/>
          <w:szCs w:val="16"/>
        </w:rPr>
      </w:pPr>
    </w:p>
    <w:p w14:paraId="205853EC" w14:textId="77777777" w:rsidR="0016217F" w:rsidRPr="00E14102" w:rsidRDefault="0016217F" w:rsidP="00E14102">
      <w:pPr>
        <w:shd w:val="clear" w:color="auto" w:fill="FFFFFF"/>
        <w:jc w:val="both"/>
        <w:rPr>
          <w:color w:val="000000" w:themeColor="text1"/>
          <w:sz w:val="16"/>
          <w:szCs w:val="16"/>
        </w:rPr>
      </w:pPr>
      <w:r w:rsidRPr="00E14102">
        <w:rPr>
          <w:color w:val="000000" w:themeColor="text1"/>
          <w:sz w:val="16"/>
          <w:szCs w:val="16"/>
        </w:rPr>
        <w:t>7-го мая 1935 года заместитель начальника ГУАП С.Л. Марголин направляет задание в ЦКБ завода № 39 исследовать возможность создания рекордных самолетов: сухопутного со скоростью 600 км/ч и морского со скоростью 800 км/ч. К реализации этого документа приступила бригада № 2 Н.Н. Поликарпова и бригада № 3 под руководством начальника ЦКБ С.В. Ильюшина (15223).</w:t>
      </w:r>
    </w:p>
    <w:p w14:paraId="779840E6" w14:textId="77777777" w:rsidR="0016217F" w:rsidRPr="00E14102" w:rsidRDefault="0016217F" w:rsidP="00E14102">
      <w:pPr>
        <w:shd w:val="clear" w:color="auto" w:fill="FFFFFF"/>
        <w:jc w:val="both"/>
        <w:rPr>
          <w:color w:val="000000" w:themeColor="text1"/>
          <w:sz w:val="16"/>
          <w:szCs w:val="16"/>
        </w:rPr>
      </w:pPr>
    </w:p>
    <w:p w14:paraId="26FEB2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мая 1935 заместитель начальника ГУАП Марголин направил Н.Н.Поликарпову запрос за № 242/201с о воз</w:t>
      </w:r>
      <w:r w:rsidRPr="00E14102">
        <w:rPr>
          <w:color w:val="000000" w:themeColor="text1"/>
          <w:sz w:val="16"/>
          <w:szCs w:val="16"/>
        </w:rPr>
        <w:softHyphen/>
        <w:t>можности постройки рекордного самолета в соответствии с заданием, поставленным И.В.С. 2 мая (10667).</w:t>
      </w:r>
    </w:p>
    <w:p w14:paraId="140A88BE" w14:textId="77777777" w:rsidR="00D4105E" w:rsidRPr="00E14102" w:rsidRDefault="00D4105E" w:rsidP="00E14102">
      <w:pPr>
        <w:autoSpaceDE w:val="0"/>
        <w:autoSpaceDN w:val="0"/>
        <w:adjustRightInd w:val="0"/>
        <w:jc w:val="both"/>
        <w:rPr>
          <w:color w:val="000000" w:themeColor="text1"/>
          <w:sz w:val="16"/>
          <w:szCs w:val="16"/>
        </w:rPr>
      </w:pPr>
    </w:p>
    <w:p w14:paraId="732C9BEA"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7 мая 1935 была телеграмма:</w:t>
      </w:r>
    </w:p>
    <w:p w14:paraId="1166575F"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Москва Председателю Совнаркома товарищу Молотову</w:t>
      </w:r>
    </w:p>
    <w:p w14:paraId="1E3298A0"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копия...</w:t>
      </w:r>
    </w:p>
    <w:p w14:paraId="1616060C"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По постановлению СТО С/34/сс завод 38 ...му мая не получены - Большевик Руда (2426,56).</w:t>
      </w:r>
    </w:p>
    <w:p w14:paraId="65F2BE9E"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p>
    <w:p w14:paraId="2C879F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мая 1935 г. Начальник секретной части РНИИ Ананьев выслал одну копию неизвестной статьи Г.Э.Лангемака, подготовленной в марте 1935 в машинописном виде «К вопросу о повышении скорости и дальности ракетных снарядов» (она так и осталась в архиве, не по</w:t>
      </w:r>
      <w:r w:rsidRPr="00E14102">
        <w:rPr>
          <w:color w:val="000000" w:themeColor="text1"/>
          <w:sz w:val="16"/>
          <w:szCs w:val="16"/>
        </w:rPr>
        <w:softHyphen/>
        <w:t>лучив огласки) помощнику начальника НТО-3 ОБАА АУ РККА М.М.Зандеру Вот лишь некоторые выдержки из нее.</w:t>
      </w:r>
    </w:p>
    <w:p w14:paraId="69FCAF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настоящее время можно считать бесспорно установленным, что ракетные снаряды являются одним из наиболее мощных средств воору</w:t>
      </w:r>
      <w:r w:rsidRPr="00E14102">
        <w:rPr>
          <w:color w:val="000000" w:themeColor="text1"/>
          <w:sz w:val="16"/>
          <w:szCs w:val="16"/>
        </w:rPr>
        <w:softHyphen/>
        <w:t>жения авиации как истребительной, так и штурмовой для борьбы с воз</w:t>
      </w:r>
      <w:r w:rsidRPr="00E14102">
        <w:rPr>
          <w:color w:val="000000" w:themeColor="text1"/>
          <w:sz w:val="16"/>
          <w:szCs w:val="16"/>
        </w:rPr>
        <w:softHyphen/>
        <w:t>душным противником на близких дистанциях. Так же и в бомбардиро</w:t>
      </w:r>
      <w:r w:rsidRPr="00E14102">
        <w:rPr>
          <w:color w:val="000000" w:themeColor="text1"/>
          <w:sz w:val="16"/>
          <w:szCs w:val="16"/>
        </w:rPr>
        <w:softHyphen/>
        <w:t>вочной авиации для стрельбы на близкие и дальние дистанции по воз</w:t>
      </w:r>
      <w:r w:rsidRPr="00E14102">
        <w:rPr>
          <w:color w:val="000000" w:themeColor="text1"/>
          <w:sz w:val="16"/>
          <w:szCs w:val="16"/>
        </w:rPr>
        <w:softHyphen/>
        <w:t>душным и наземным целям.</w:t>
      </w:r>
    </w:p>
    <w:p w14:paraId="1DE1FE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 всех случаях применения РС единственно целесообразным явля</w:t>
      </w:r>
      <w:r w:rsidRPr="00E14102">
        <w:rPr>
          <w:color w:val="000000" w:themeColor="text1"/>
          <w:sz w:val="16"/>
          <w:szCs w:val="16"/>
        </w:rPr>
        <w:softHyphen/>
        <w:t>ется использование снарядов среднего и крупного калибра, так как именно при этих калибрах особенно ярко проявляется основное досто</w:t>
      </w:r>
      <w:r w:rsidRPr="00E14102">
        <w:rPr>
          <w:color w:val="000000" w:themeColor="text1"/>
          <w:sz w:val="16"/>
          <w:szCs w:val="16"/>
        </w:rPr>
        <w:softHyphen/>
        <w:t>инство ракетных систем: легкость направляющей установки РО и отсут</w:t>
      </w:r>
      <w:r w:rsidRPr="00E14102">
        <w:rPr>
          <w:color w:val="000000" w:themeColor="text1"/>
          <w:sz w:val="16"/>
          <w:szCs w:val="16"/>
        </w:rPr>
        <w:softHyphen/>
        <w:t>ствие вредного действия выстрела на стреляющий самолет.</w:t>
      </w:r>
    </w:p>
    <w:p w14:paraId="01E1C7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Нет надобности доказывать, что при воздушной стрельбе скорость снаряда имеет первостепенное значение. Потому повышение скорости </w:t>
      </w:r>
      <w:r w:rsidRPr="00E14102">
        <w:rPr>
          <w:color w:val="000000" w:themeColor="text1"/>
          <w:sz w:val="16"/>
          <w:szCs w:val="16"/>
          <w:vertAlign w:val="superscript"/>
        </w:rPr>
        <w:t>П</w:t>
      </w:r>
      <w:r w:rsidRPr="00E14102">
        <w:rPr>
          <w:color w:val="000000" w:themeColor="text1"/>
          <w:sz w:val="16"/>
          <w:szCs w:val="16"/>
        </w:rPr>
        <w:t>РИ сохранении действительного действия снаряда у цели является глав</w:t>
      </w:r>
      <w:r w:rsidRPr="00E14102">
        <w:rPr>
          <w:color w:val="000000" w:themeColor="text1"/>
          <w:sz w:val="16"/>
          <w:szCs w:val="16"/>
        </w:rPr>
        <w:softHyphen/>
        <w:t xml:space="preserve">ной задачей при разработке ракетного вооружения. Задачей настоящей </w:t>
      </w:r>
      <w:r w:rsidRPr="00E14102">
        <w:rPr>
          <w:color w:val="000000" w:themeColor="text1"/>
          <w:sz w:val="16"/>
          <w:szCs w:val="16"/>
          <w:vertAlign w:val="superscript"/>
        </w:rPr>
        <w:t>Ста</w:t>
      </w:r>
      <w:r w:rsidRPr="00E14102">
        <w:rPr>
          <w:color w:val="000000" w:themeColor="text1"/>
          <w:sz w:val="16"/>
          <w:szCs w:val="16"/>
        </w:rPr>
        <w:t>тьи является выяснение того, какими путями может быть достигнуто овыщение скорости и дальности ракетных снарядов с пороховым зарядом и насколько действительными являются в этом отношении те или иные способы.</w:t>
      </w:r>
    </w:p>
    <w:p w14:paraId="4D9E97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Опытные и теоретические исследования, проведенные за последние годы, показывают, что наилучших результатов можно достичь в том слу</w:t>
      </w:r>
      <w:r w:rsidRPr="00E14102">
        <w:rPr>
          <w:color w:val="000000" w:themeColor="text1"/>
          <w:sz w:val="16"/>
          <w:szCs w:val="16"/>
        </w:rPr>
        <w:softHyphen/>
        <w:t>чае, когда РС снабжен зарядом бездымного пороха. Причем, РЗ должен быть помешен в камере не в виде сплошной запрессовки, как это дела</w:t>
      </w:r>
      <w:r w:rsidRPr="00E14102">
        <w:rPr>
          <w:color w:val="000000" w:themeColor="text1"/>
          <w:sz w:val="16"/>
          <w:szCs w:val="16"/>
        </w:rPr>
        <w:softHyphen/>
        <w:t>лось в прежних ракетах на черном порохе, но в виде свободно уложенных зерен. При такой укладке РЗ горит по всей открытой поверхности зерен подобно обыкновенному орудийному заряду.</w:t>
      </w:r>
    </w:p>
    <w:p w14:paraId="581A04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 в отличие от последнего, горение РЗ, вследствие небольшого ;кг-вления в камере и большой толщины пороха, заканчивается уже посте вылета снаряда, хотя и на сравнительно небольшом расстоянии от ору</w:t>
      </w:r>
      <w:r w:rsidRPr="00E14102">
        <w:rPr>
          <w:color w:val="000000" w:themeColor="text1"/>
          <w:sz w:val="16"/>
          <w:szCs w:val="16"/>
        </w:rPr>
        <w:softHyphen/>
        <w:t>дия — порядка 100-200 м. Для увеличения наибольшей скорости возмож</w:t>
      </w:r>
      <w:r w:rsidRPr="00E14102">
        <w:rPr>
          <w:color w:val="000000" w:themeColor="text1"/>
          <w:sz w:val="16"/>
          <w:szCs w:val="16"/>
        </w:rPr>
        <w:softHyphen/>
        <w:t xml:space="preserve">ны следующие способы: увеличение скорости истечения пороховых </w:t>
      </w:r>
      <w:r w:rsidRPr="00E14102">
        <w:rPr>
          <w:iCs/>
          <w:color w:val="000000" w:themeColor="text1"/>
          <w:sz w:val="16"/>
          <w:szCs w:val="16"/>
        </w:rPr>
        <w:t>\я-</w:t>
      </w:r>
      <w:r w:rsidRPr="00E14102">
        <w:rPr>
          <w:color w:val="000000" w:themeColor="text1"/>
          <w:sz w:val="16"/>
          <w:szCs w:val="16"/>
        </w:rPr>
        <w:t>зов; увеличение веса ракетного заряда; уменьшение пассивного веса снаряда. Рассмотрим последовательно все эти способы, а также их комбина</w:t>
      </w:r>
      <w:r w:rsidRPr="00E14102">
        <w:rPr>
          <w:color w:val="000000" w:themeColor="text1"/>
          <w:sz w:val="16"/>
          <w:szCs w:val="16"/>
        </w:rPr>
        <w:softHyphen/>
        <w:t>ции. Причем, будем все время считать, что БЧ снаряда сохраняет неиз</w:t>
      </w:r>
      <w:r w:rsidRPr="00E14102">
        <w:rPr>
          <w:color w:val="000000" w:themeColor="text1"/>
          <w:sz w:val="16"/>
          <w:szCs w:val="16"/>
        </w:rPr>
        <w:softHyphen/>
        <w:t>менный вес. Будем также иметь в виду, что для подобных между собой снарядов скорость их не зависит от калибра.</w:t>
      </w:r>
    </w:p>
    <w:p w14:paraId="7934DF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камерах двигателей РС среднее давление составляет примерно 100 кг/см</w:t>
      </w:r>
      <w:r w:rsidRPr="00E14102">
        <w:rPr>
          <w:color w:val="000000" w:themeColor="text1"/>
          <w:sz w:val="16"/>
          <w:szCs w:val="16"/>
          <w:vertAlign w:val="superscript"/>
        </w:rPr>
        <w:t>:</w:t>
      </w:r>
      <w:r w:rsidRPr="00E14102">
        <w:rPr>
          <w:color w:val="000000" w:themeColor="text1"/>
          <w:sz w:val="16"/>
          <w:szCs w:val="16"/>
        </w:rPr>
        <w:t xml:space="preserve"> для пороха ПТП. Применение более низких давлений не Могло быть существенным вследствие того, что при малых значениях Давления этот порох не дает нормального взрывчатого разложения. последнее время были предложены составы пороха, устраняющие это давление.</w:t>
      </w:r>
    </w:p>
    <w:p w14:paraId="7C78330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Ометим. что при увеличении давления от 100 до 200 кг/см- скорость </w:t>
      </w:r>
      <w:r w:rsidRPr="00E14102">
        <w:rPr>
          <w:color w:val="000000" w:themeColor="text1"/>
          <w:sz w:val="16"/>
          <w:szCs w:val="16"/>
          <w:vertAlign w:val="superscript"/>
        </w:rPr>
        <w:t>е</w:t>
      </w:r>
      <w:r w:rsidRPr="00E14102">
        <w:rPr>
          <w:color w:val="000000" w:themeColor="text1"/>
          <w:sz w:val="16"/>
          <w:szCs w:val="16"/>
        </w:rPr>
        <w:t xml:space="preserve">чения повышается всего на </w:t>
      </w:r>
      <w:r w:rsidRPr="00E14102">
        <w:rPr>
          <w:iCs/>
          <w:color w:val="000000" w:themeColor="text1"/>
          <w:sz w:val="16"/>
          <w:szCs w:val="16"/>
        </w:rPr>
        <w:t xml:space="preserve">4-4.5%. </w:t>
      </w:r>
      <w:r w:rsidRPr="00E14102">
        <w:rPr>
          <w:color w:val="000000" w:themeColor="text1"/>
          <w:sz w:val="16"/>
          <w:szCs w:val="16"/>
        </w:rPr>
        <w:t>в то время как вес камеры двигате-Должен увеличиться почти вдвое, а длина сопла — возрасти на треть. Так .скорость с наряд а пропорциональна скорости истечения пороховых газов в дальнейшем мы будем рассматривать один лишь порох ПТП, имея в виду, что при переходе к более мощному пороху достаточно соответству</w:t>
      </w:r>
      <w:r w:rsidRPr="00E14102">
        <w:rPr>
          <w:color w:val="000000" w:themeColor="text1"/>
          <w:sz w:val="16"/>
          <w:szCs w:val="16"/>
        </w:rPr>
        <w:softHyphen/>
        <w:t>ющее значение скорости умножить на переходный коэффициент.</w:t>
      </w:r>
    </w:p>
    <w:p w14:paraId="2A4A2D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Увеличения веса РЗ можно достичь двумя путями: при заданном объе</w:t>
      </w:r>
      <w:r w:rsidRPr="00E14102">
        <w:rPr>
          <w:color w:val="000000" w:themeColor="text1"/>
          <w:sz w:val="16"/>
          <w:szCs w:val="16"/>
        </w:rPr>
        <w:softHyphen/>
        <w:t>ме камеры двигателя увеличить плотность заряжания или при сохранении заданной плотности заряжания увеличить объем ракетной камеры. В на</w:t>
      </w:r>
      <w:r w:rsidRPr="00E14102">
        <w:rPr>
          <w:color w:val="000000" w:themeColor="text1"/>
          <w:sz w:val="16"/>
          <w:szCs w:val="16"/>
        </w:rPr>
        <w:softHyphen/>
        <w:t>стоящее время предельная плотность заряжания, возможная при свобод</w:t>
      </w:r>
      <w:r w:rsidRPr="00E14102">
        <w:rPr>
          <w:color w:val="000000" w:themeColor="text1"/>
          <w:sz w:val="16"/>
          <w:szCs w:val="16"/>
        </w:rPr>
        <w:softHyphen/>
        <w:t>ной укладке РЗ и цилиндрической форме пороха, уже достигнута. В суще</w:t>
      </w:r>
      <w:r w:rsidRPr="00E14102">
        <w:rPr>
          <w:color w:val="000000" w:themeColor="text1"/>
          <w:sz w:val="16"/>
          <w:szCs w:val="16"/>
        </w:rPr>
        <w:softHyphen/>
        <w:t>ствующих РЗ с укладкой зерен плотность заряжания доходит до 1,00-1,05.</w:t>
      </w:r>
    </w:p>
    <w:p w14:paraId="7AB689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Таким образом, первый путь оказывается уже исчерпанным. Что ка</w:t>
      </w:r>
      <w:r w:rsidRPr="00E14102">
        <w:rPr>
          <w:color w:val="000000" w:themeColor="text1"/>
          <w:sz w:val="16"/>
          <w:szCs w:val="16"/>
        </w:rPr>
        <w:softHyphen/>
        <w:t>сается второго пути, то есть увеличения объема камеры при сохранении плотности укладки, то здесь возможности еще не исчерпаны. Однако этот путь связан с увеличением веса камеры, а потому надлежит выяс</w:t>
      </w:r>
      <w:r w:rsidRPr="00E14102">
        <w:rPr>
          <w:color w:val="000000" w:themeColor="text1"/>
          <w:sz w:val="16"/>
          <w:szCs w:val="16"/>
        </w:rPr>
        <w:softHyphen/>
        <w:t>нить, до каких пор и в какой мере увеличение веса РЗ дает приращение скорости снаряда.</w:t>
      </w:r>
    </w:p>
    <w:p w14:paraId="47B4964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наибольшей возможности плотности заряжания (около 1) и при максимальной достигнутой до сих пор относительной длине РЗ можно получать скорость порядка 573 м/с. Поставленные с самого начала огра</w:t>
      </w:r>
      <w:r w:rsidRPr="00E14102">
        <w:rPr>
          <w:color w:val="000000" w:themeColor="text1"/>
          <w:sz w:val="16"/>
          <w:szCs w:val="16"/>
        </w:rPr>
        <w:softHyphen/>
        <w:t>ничения, а именно определенная величина полезного груза не нарушает общности этого факта, так как вес полезного груза довольно точно опре</w:t>
      </w:r>
      <w:r w:rsidRPr="00E14102">
        <w:rPr>
          <w:color w:val="000000" w:themeColor="text1"/>
          <w:sz w:val="16"/>
          <w:szCs w:val="16"/>
        </w:rPr>
        <w:softHyphen/>
        <w:t>деляет калибр снаряда, а следовательно, и абсолютную длину снаряда (впоследствии это было опровергнуто).</w:t>
      </w:r>
    </w:p>
    <w:p w14:paraId="75F62A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Уменьшение пассивного веса снаряда при заданном полезном грузе может быть достигнуто только облегчением ракетной камеры, сопда и стабилизатора. Вследствие сравнительно небольших ускорений, на</w:t>
      </w:r>
      <w:r w:rsidRPr="00E14102">
        <w:rPr>
          <w:color w:val="000000" w:themeColor="text1"/>
          <w:sz w:val="16"/>
          <w:szCs w:val="16"/>
        </w:rPr>
        <w:softHyphen/>
        <w:t>пряжения, испытываемые стабилизатором, невелики. Поэтому размеры стабилизатора определяются главным образом соображениями служеб</w:t>
      </w:r>
      <w:r w:rsidRPr="00E14102">
        <w:rPr>
          <w:color w:val="000000" w:themeColor="text1"/>
          <w:sz w:val="16"/>
          <w:szCs w:val="16"/>
        </w:rPr>
        <w:softHyphen/>
        <w:t>ного характера — прочность при перевозке, ударах и пр. Из этих же сооб</w:t>
      </w:r>
      <w:r w:rsidRPr="00E14102">
        <w:rPr>
          <w:color w:val="000000" w:themeColor="text1"/>
          <w:sz w:val="16"/>
          <w:szCs w:val="16"/>
        </w:rPr>
        <w:softHyphen/>
        <w:t>ражений следует исходить при выборе материалов для стабилизаторов.</w:t>
      </w:r>
    </w:p>
    <w:p w14:paraId="7FDBF5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Вес стабилизатора будем считать величиной заданной и не завися</w:t>
      </w:r>
      <w:r w:rsidRPr="00E14102">
        <w:rPr>
          <w:color w:val="000000" w:themeColor="text1"/>
          <w:sz w:val="16"/>
          <w:szCs w:val="16"/>
        </w:rPr>
        <w:softHyphen/>
        <w:t>щей от того, какую скорость имеет снаряд. Вес сопла зависит от величи</w:t>
      </w:r>
      <w:r w:rsidRPr="00E14102">
        <w:rPr>
          <w:color w:val="000000" w:themeColor="text1"/>
          <w:sz w:val="16"/>
          <w:szCs w:val="16"/>
        </w:rPr>
        <w:softHyphen/>
        <w:t>ны РЗ, так как ею определяется диаметр критического сечения сопла, а затем от величины давления в ракетной камере выбирают наивыгодное соотношение диаметров критического и выходного сечения, а также длины сопла.</w:t>
      </w:r>
    </w:p>
    <w:p w14:paraId="347124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Способов уменьшения веса ракетной камеры и ее деталей можно ука</w:t>
      </w:r>
      <w:r w:rsidRPr="00E14102">
        <w:rPr>
          <w:color w:val="000000" w:themeColor="text1"/>
          <w:sz w:val="16"/>
          <w:szCs w:val="16"/>
        </w:rPr>
        <w:softHyphen/>
        <w:t>зать три: применение металлов высокой прочности, применение металлов или других материалов с меньшим удельным весом; принятие, малых дав</w:t>
      </w:r>
      <w:r w:rsidRPr="00E14102">
        <w:rPr>
          <w:color w:val="000000" w:themeColor="text1"/>
          <w:sz w:val="16"/>
          <w:szCs w:val="16"/>
        </w:rPr>
        <w:softHyphen/>
        <w:t>лений в камере. В самом деле оказывается, что при данном металле суще</w:t>
      </w:r>
      <w:r w:rsidRPr="00E14102">
        <w:rPr>
          <w:color w:val="000000" w:themeColor="text1"/>
          <w:sz w:val="16"/>
          <w:szCs w:val="16"/>
        </w:rPr>
        <w:softHyphen/>
        <w:t>ствует наивыгоднейшее давление, при котором скорость снаряда имеет ма</w:t>
      </w:r>
      <w:r w:rsidRPr="00E14102">
        <w:rPr>
          <w:color w:val="000000" w:themeColor="text1"/>
          <w:sz w:val="16"/>
          <w:szCs w:val="16"/>
        </w:rPr>
        <w:softHyphen/>
        <w:t>ксимум. При давлениях 70-80 кг/см</w:t>
      </w:r>
      <w:r w:rsidRPr="00E14102">
        <w:rPr>
          <w:color w:val="000000" w:themeColor="text1"/>
          <w:sz w:val="16"/>
          <w:szCs w:val="16"/>
          <w:vertAlign w:val="superscript"/>
        </w:rPr>
        <w:t>2</w:t>
      </w:r>
      <w:r w:rsidRPr="00E14102">
        <w:rPr>
          <w:color w:val="000000" w:themeColor="text1"/>
          <w:sz w:val="16"/>
          <w:szCs w:val="16"/>
        </w:rPr>
        <w:t xml:space="preserve"> положение максимума давления пра</w:t>
      </w:r>
      <w:r w:rsidRPr="00E14102">
        <w:rPr>
          <w:color w:val="000000" w:themeColor="text1"/>
          <w:sz w:val="16"/>
          <w:szCs w:val="16"/>
        </w:rPr>
        <w:softHyphen/>
        <w:t>ктически не зависит от относительной длины РЗ. Давление в интервале 50-100 кг/см</w:t>
      </w:r>
      <w:r w:rsidRPr="00E14102">
        <w:rPr>
          <w:color w:val="000000" w:themeColor="text1"/>
          <w:sz w:val="16"/>
          <w:szCs w:val="16"/>
          <w:vertAlign w:val="superscript"/>
        </w:rPr>
        <w:t>2</w:t>
      </w:r>
      <w:r w:rsidRPr="00E14102">
        <w:rPr>
          <w:color w:val="000000" w:themeColor="text1"/>
          <w:sz w:val="16"/>
          <w:szCs w:val="16"/>
        </w:rPr>
        <w:t xml:space="preserve"> практически не влияет на скорость истечения пороховых газон.</w:t>
      </w:r>
    </w:p>
    <w:p w14:paraId="738375B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Имея же ввиду то, что при увеличении давления уменьшается время горения РЗ, а значит, и потери от диссоциации и нагрева стенок камеры двигателя, наконец, тем больше дульная скорость, приходим к заключению, что наивыгоднейшим должно быть давление, близкое к верхнему пределу. То есть, 100 кг/см</w:t>
      </w:r>
      <w:r w:rsidRPr="00E14102">
        <w:rPr>
          <w:color w:val="000000" w:themeColor="text1"/>
          <w:sz w:val="16"/>
          <w:szCs w:val="16"/>
          <w:vertAlign w:val="superscript"/>
        </w:rPr>
        <w:t>2</w:t>
      </w:r>
      <w:r w:rsidRPr="00E14102">
        <w:rPr>
          <w:color w:val="000000" w:themeColor="text1"/>
          <w:sz w:val="16"/>
          <w:szCs w:val="16"/>
        </w:rPr>
        <w:t>, а возможно даже и выше. Разработку новых порохов, способных гореть в полузамкнутом объеме при весьма малых влениях (порядка несколько атмосфер) отнюдь не следует связывать вопросом повышения скорости снаряда. Эти пороха должны предна</w:t>
      </w:r>
      <w:r w:rsidRPr="00E14102">
        <w:rPr>
          <w:color w:val="000000" w:themeColor="text1"/>
          <w:sz w:val="16"/>
          <w:szCs w:val="16"/>
        </w:rPr>
        <w:softHyphen/>
        <w:t>значаться исключительно для снарядов облегченного типа, от которых тгоежде всего требуются малый вес (например, для устранения убойно</w:t>
      </w:r>
      <w:r w:rsidRPr="00E14102">
        <w:rPr>
          <w:color w:val="000000" w:themeColor="text1"/>
          <w:sz w:val="16"/>
          <w:szCs w:val="16"/>
        </w:rPr>
        <w:softHyphen/>
        <w:t>сти). При наивыгоднейшем давлении и наибольшем возможном РЗ ско</w:t>
      </w:r>
      <w:r w:rsidRPr="00E14102">
        <w:rPr>
          <w:color w:val="000000" w:themeColor="text1"/>
          <w:sz w:val="16"/>
          <w:szCs w:val="16"/>
        </w:rPr>
        <w:softHyphen/>
        <w:t>рость снаряда может быть доведена до величины порядка 650 м/с.</w:t>
      </w:r>
    </w:p>
    <w:p w14:paraId="154850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Из легких металлов, пригодных по своим механическим качествам, является дюралюминий. Что касается повышения механических ка</w:t>
      </w:r>
      <w:r w:rsidRPr="00E14102">
        <w:rPr>
          <w:color w:val="000000" w:themeColor="text1"/>
          <w:sz w:val="16"/>
          <w:szCs w:val="16"/>
        </w:rPr>
        <w:softHyphen/>
        <w:t>честв, то в настоящее время вряд ли можно рассчитывать на получение в больших количествах снарядной стали прочностью более 6000 кг/см</w:t>
      </w:r>
      <w:r w:rsidRPr="00E14102">
        <w:rPr>
          <w:color w:val="000000" w:themeColor="text1"/>
          <w:sz w:val="16"/>
          <w:szCs w:val="16"/>
          <w:vertAlign w:val="superscript"/>
        </w:rPr>
        <w:t>2</w:t>
      </w:r>
      <w:r w:rsidRPr="00E14102">
        <w:rPr>
          <w:color w:val="000000" w:themeColor="text1"/>
          <w:sz w:val="16"/>
          <w:szCs w:val="16"/>
        </w:rPr>
        <w:t>. Дюралюминий дает незначительный выигрыш, по сравнению с высоко</w:t>
      </w:r>
      <w:r w:rsidRPr="00E14102">
        <w:rPr>
          <w:color w:val="000000" w:themeColor="text1"/>
          <w:sz w:val="16"/>
          <w:szCs w:val="16"/>
        </w:rPr>
        <w:softHyphen/>
        <w:t>качественной сталью. Так как он при этом весьма чувствителен к корро</w:t>
      </w:r>
      <w:r w:rsidRPr="00E14102">
        <w:rPr>
          <w:color w:val="000000" w:themeColor="text1"/>
          <w:sz w:val="16"/>
          <w:szCs w:val="16"/>
        </w:rPr>
        <w:softHyphen/>
        <w:t>зии, а кроме того, весьма сильно изменяет свои механические качества под влиянием высоких температур, то его применение для изготовления камер РС не может быть признано целесообразным (впоследствии это также опровергли).</w:t>
      </w:r>
    </w:p>
    <w:p w14:paraId="1251194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Таким образом, действительными средствами для повышения скоро</w:t>
      </w:r>
      <w:r w:rsidRPr="00E14102">
        <w:rPr>
          <w:color w:val="000000" w:themeColor="text1"/>
          <w:sz w:val="16"/>
          <w:szCs w:val="16"/>
        </w:rPr>
        <w:softHyphen/>
        <w:t>сти РС является применение высококачественной стали для камер и принятие наивыгоднейшего давления порядка 100 кг/см</w:t>
      </w:r>
      <w:r w:rsidRPr="00E14102">
        <w:rPr>
          <w:color w:val="000000" w:themeColor="text1"/>
          <w:sz w:val="16"/>
          <w:szCs w:val="16"/>
          <w:vertAlign w:val="superscript"/>
        </w:rPr>
        <w:t>2</w:t>
      </w:r>
      <w:r w:rsidRPr="00E14102">
        <w:rPr>
          <w:color w:val="000000" w:themeColor="text1"/>
          <w:sz w:val="16"/>
          <w:szCs w:val="16"/>
        </w:rPr>
        <w:t>. Повышение дальности полета РС при данном угле бросания зависит от начальной скорости и от баллистического коэффициента. Если во всех случаях у снарядов калибр и коэффициент формы один и тот же, то баллистиче</w:t>
      </w:r>
      <w:r w:rsidRPr="00E14102">
        <w:rPr>
          <w:color w:val="000000" w:themeColor="text1"/>
          <w:sz w:val="16"/>
          <w:szCs w:val="16"/>
        </w:rPr>
        <w:softHyphen/>
        <w:t>ский коэффициент зависит только от пассивного веса. В смысле влия</w:t>
      </w:r>
      <w:r w:rsidRPr="00E14102">
        <w:rPr>
          <w:color w:val="000000" w:themeColor="text1"/>
          <w:sz w:val="16"/>
          <w:szCs w:val="16"/>
        </w:rPr>
        <w:softHyphen/>
        <w:t>ния на дальность стрельбы применение высококачественных сталей да</w:t>
      </w:r>
      <w:r w:rsidRPr="00E14102">
        <w:rPr>
          <w:color w:val="000000" w:themeColor="text1"/>
          <w:sz w:val="16"/>
          <w:szCs w:val="16"/>
        </w:rPr>
        <w:softHyphen/>
        <w:t>ет преимущества, и те совершенно ничтожные лишь при малых зарядах.</w:t>
      </w:r>
    </w:p>
    <w:p w14:paraId="4C445B5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Применяемые в настоящее время давления порядка 200 кг/см</w:t>
      </w:r>
      <w:r w:rsidRPr="00E14102">
        <w:rPr>
          <w:color w:val="000000" w:themeColor="text1"/>
          <w:sz w:val="16"/>
          <w:szCs w:val="16"/>
          <w:vertAlign w:val="superscript"/>
        </w:rPr>
        <w:t>2</w:t>
      </w:r>
      <w:r w:rsidRPr="00E14102">
        <w:rPr>
          <w:color w:val="000000" w:themeColor="text1"/>
          <w:sz w:val="16"/>
          <w:szCs w:val="16"/>
        </w:rPr>
        <w:t xml:space="preserve"> весь</w:t>
      </w:r>
      <w:r w:rsidRPr="00E14102">
        <w:rPr>
          <w:color w:val="000000" w:themeColor="text1"/>
          <w:sz w:val="16"/>
          <w:szCs w:val="16"/>
        </w:rPr>
        <w:softHyphen/>
        <w:t>ма близки к наивыгоднейшим. Максимальная скорость, которую можно ожидать от РЗ при наибольшей достигнутой пока длине и при существу</w:t>
      </w:r>
      <w:r w:rsidRPr="00E14102">
        <w:rPr>
          <w:color w:val="000000" w:themeColor="text1"/>
          <w:sz w:val="16"/>
          <w:szCs w:val="16"/>
        </w:rPr>
        <w:softHyphen/>
        <w:t>ющем порохе составляет 550-650 м/с. Длина снаряда при этом будет по</w:t>
      </w:r>
      <w:r w:rsidRPr="00E14102">
        <w:rPr>
          <w:color w:val="000000" w:themeColor="text1"/>
          <w:sz w:val="16"/>
          <w:szCs w:val="16"/>
        </w:rPr>
        <w:softHyphen/>
        <w:t>рядка 10 калибров (впоследствии это подтвердилось. — С.Р.). Во всех случаях следует стремиться к тому, чтобы сопло имело полную расчетную Длину. То есть, чтобы было обеспечено расширение газов до давления на</w:t>
      </w:r>
      <w:r w:rsidRPr="00E14102">
        <w:rPr>
          <w:color w:val="000000" w:themeColor="text1"/>
          <w:sz w:val="16"/>
          <w:szCs w:val="16"/>
        </w:rPr>
        <w:softHyphen/>
        <w:t>ружной среды.</w:t>
      </w:r>
    </w:p>
    <w:p w14:paraId="7571E80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Применение специальных сталей с целью облегчения камеры не оправ</w:t>
      </w:r>
      <w:r w:rsidRPr="00E14102">
        <w:rPr>
          <w:color w:val="000000" w:themeColor="text1"/>
          <w:sz w:val="16"/>
          <w:szCs w:val="16"/>
        </w:rPr>
        <w:softHyphen/>
        <w:t>дывается получаемыми результатами. Применение дюраля явно нецелесо</w:t>
      </w:r>
      <w:r w:rsidRPr="00E14102">
        <w:rPr>
          <w:color w:val="000000" w:themeColor="text1"/>
          <w:sz w:val="16"/>
          <w:szCs w:val="16"/>
        </w:rPr>
        <w:softHyphen/>
        <w:t>образно. Применение пороха, способного гореть при низких давлениях, имеет смысл только в том случае, если сила его не ниже существующего по-Роха, но и то лишь при давлениях порядка 100 кг/см</w:t>
      </w:r>
      <w:r w:rsidRPr="00E14102">
        <w:rPr>
          <w:color w:val="000000" w:themeColor="text1"/>
          <w:sz w:val="16"/>
          <w:szCs w:val="16"/>
          <w:vertAlign w:val="superscript"/>
        </w:rPr>
        <w:t>2</w:t>
      </w:r>
      <w:r w:rsidRPr="00E14102">
        <w:rPr>
          <w:color w:val="000000" w:themeColor="text1"/>
          <w:sz w:val="16"/>
          <w:szCs w:val="16"/>
        </w:rPr>
        <w:t xml:space="preserve"> и выше. Использование указанного пороха должно связываться с решением задачи безубойных и воообще облегченных снарядов. Все сделанные выводы в равной мере могут быть распространены и на другие случаи применения пороховых ракет, воздушных торпед, для тяговых и тормозных приборов» (11402).</w:t>
      </w:r>
    </w:p>
    <w:p w14:paraId="2DE069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52EF7FA" w14:textId="77777777" w:rsidR="0016217F"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5EC007F" w14:textId="77777777" w:rsidR="0016217F" w:rsidRPr="00E14102" w:rsidRDefault="0016217F" w:rsidP="00E14102">
      <w:pPr>
        <w:autoSpaceDE w:val="0"/>
        <w:autoSpaceDN w:val="0"/>
        <w:adjustRightInd w:val="0"/>
        <w:jc w:val="both"/>
        <w:rPr>
          <w:iCs/>
          <w:color w:val="000000" w:themeColor="text1"/>
          <w:sz w:val="16"/>
          <w:szCs w:val="16"/>
        </w:rPr>
      </w:pPr>
    </w:p>
    <w:p w14:paraId="09DBD757" w14:textId="77777777" w:rsidR="0016217F" w:rsidRPr="00E14102" w:rsidRDefault="0016217F" w:rsidP="00E14102">
      <w:pPr>
        <w:pStyle w:val="rtejustify"/>
        <w:spacing w:before="0" w:after="0"/>
        <w:rPr>
          <w:color w:val="000000" w:themeColor="text1"/>
          <w:sz w:val="16"/>
          <w:szCs w:val="16"/>
        </w:rPr>
      </w:pPr>
      <w:r w:rsidRPr="00E14102">
        <w:rPr>
          <w:rStyle w:val="a6"/>
          <w:bCs/>
          <w:i w:val="0"/>
          <w:color w:val="000000" w:themeColor="text1"/>
          <w:sz w:val="16"/>
          <w:szCs w:val="16"/>
        </w:rPr>
        <w:t>7 мая 1935 вышел приказ НКО №</w:t>
      </w:r>
      <w:r w:rsidRPr="00E14102">
        <w:rPr>
          <w:color w:val="000000" w:themeColor="text1"/>
          <w:sz w:val="16"/>
          <w:szCs w:val="16"/>
        </w:rPr>
        <w:t> 070. О назначении комиссии для проведения испытаний системы стабилизации линии прицеливания и системы электропуска для танков, разработанной Осконбюро ВОТИ (15247).</w:t>
      </w:r>
    </w:p>
    <w:p w14:paraId="51E0D7DB" w14:textId="77777777" w:rsidR="0016217F" w:rsidRPr="00E14102" w:rsidRDefault="0016217F" w:rsidP="00E14102">
      <w:pPr>
        <w:pStyle w:val="rtejustify"/>
        <w:spacing w:before="0" w:after="0"/>
        <w:rPr>
          <w:color w:val="000000" w:themeColor="text1"/>
          <w:sz w:val="16"/>
          <w:szCs w:val="16"/>
        </w:rPr>
      </w:pPr>
    </w:p>
    <w:p w14:paraId="39C5CFB0" w14:textId="77777777" w:rsidR="0016217F" w:rsidRPr="00E14102" w:rsidRDefault="0016217F" w:rsidP="00E14102">
      <w:pPr>
        <w:pStyle w:val="rtejustify"/>
        <w:spacing w:before="0" w:after="0"/>
        <w:rPr>
          <w:color w:val="000000" w:themeColor="text1"/>
          <w:sz w:val="16"/>
          <w:szCs w:val="16"/>
        </w:rPr>
      </w:pPr>
      <w:r w:rsidRPr="00E14102">
        <w:rPr>
          <w:rStyle w:val="a6"/>
          <w:bCs/>
          <w:i w:val="0"/>
          <w:color w:val="000000" w:themeColor="text1"/>
          <w:sz w:val="16"/>
          <w:szCs w:val="16"/>
        </w:rPr>
        <w:t>7 мая 1935 вышел приказ НКО №</w:t>
      </w:r>
      <w:r w:rsidRPr="00E14102">
        <w:rPr>
          <w:color w:val="000000" w:themeColor="text1"/>
          <w:sz w:val="16"/>
          <w:szCs w:val="16"/>
        </w:rPr>
        <w:t> 071. О назначении обследовательских комиссий для выяснения состояния, прохождения и реализации изобретательских дел в ЦУ НКО (15247).</w:t>
      </w:r>
    </w:p>
    <w:p w14:paraId="74BD78B0" w14:textId="77777777" w:rsidR="0016217F" w:rsidRPr="00E14102" w:rsidRDefault="0016217F" w:rsidP="00E14102">
      <w:pPr>
        <w:pStyle w:val="rtejustify"/>
        <w:spacing w:before="0" w:after="0"/>
        <w:rPr>
          <w:color w:val="000000" w:themeColor="text1"/>
          <w:sz w:val="16"/>
          <w:szCs w:val="16"/>
        </w:rPr>
      </w:pPr>
    </w:p>
    <w:p w14:paraId="23CBEB67" w14:textId="77777777" w:rsidR="001575D5"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6112A4CF" w14:textId="77777777" w:rsidR="001575D5" w:rsidRPr="00E14102" w:rsidRDefault="001575D5" w:rsidP="00E14102">
      <w:pPr>
        <w:autoSpaceDE w:val="0"/>
        <w:autoSpaceDN w:val="0"/>
        <w:adjustRightInd w:val="0"/>
        <w:jc w:val="both"/>
        <w:rPr>
          <w:iCs/>
          <w:color w:val="000000" w:themeColor="text1"/>
          <w:sz w:val="16"/>
          <w:szCs w:val="16"/>
        </w:rPr>
      </w:pPr>
    </w:p>
    <w:p w14:paraId="3FF535F6" w14:textId="77777777" w:rsidR="00D67AB0" w:rsidRPr="00E14102" w:rsidRDefault="00D67AB0" w:rsidP="00E14102">
      <w:pPr>
        <w:shd w:val="clear" w:color="auto" w:fill="FFFFFF"/>
        <w:jc w:val="both"/>
        <w:rPr>
          <w:color w:val="0070C0"/>
          <w:sz w:val="16"/>
          <w:szCs w:val="16"/>
        </w:rPr>
      </w:pPr>
      <w:r w:rsidRPr="00E14102">
        <w:rPr>
          <w:color w:val="0070C0"/>
          <w:sz w:val="16"/>
          <w:szCs w:val="16"/>
        </w:rPr>
        <w:t xml:space="preserve">7 мая 1935 Ворошилов направил Сталину и Молотову "проект организационных мероприятий по усилению РККА на 1936 и 1937 гг. (главным образом стрелковых войск), намеченных дополнительно к уже принятым решениям по авиации, коннице и мотомехчасгям". По распоряжению Сталина доклад НКО был пущен "вкруговую" и завизирован пятью членами Политбюро (Записка Наркома Обороны Ворошилова Секретарю ЦК ВКП(б) Сталину и Председателю СНК СССР Молотову, 07.05.1935 ("Особо секретно. Только лично") // </w:t>
      </w:r>
      <w:r w:rsidRPr="00E14102">
        <w:rPr>
          <w:color w:val="0070C0"/>
          <w:sz w:val="16"/>
          <w:szCs w:val="16"/>
          <w:lang w:val="en-US"/>
        </w:rPr>
        <w:t>Library</w:t>
      </w:r>
      <w:r w:rsidRPr="00E14102">
        <w:rPr>
          <w:color w:val="0070C0"/>
          <w:sz w:val="16"/>
          <w:szCs w:val="16"/>
        </w:rPr>
        <w:t xml:space="preserve"> </w:t>
      </w:r>
      <w:r w:rsidRPr="00E14102">
        <w:rPr>
          <w:color w:val="0070C0"/>
          <w:sz w:val="16"/>
          <w:szCs w:val="16"/>
          <w:lang w:val="en-US"/>
        </w:rPr>
        <w:t>of</w:t>
      </w:r>
      <w:r w:rsidRPr="00E14102">
        <w:rPr>
          <w:color w:val="0070C0"/>
          <w:sz w:val="16"/>
          <w:szCs w:val="16"/>
        </w:rPr>
        <w:t xml:space="preserve"> </w:t>
      </w:r>
      <w:r w:rsidRPr="00E14102">
        <w:rPr>
          <w:color w:val="0070C0"/>
          <w:sz w:val="16"/>
          <w:szCs w:val="16"/>
          <w:lang w:val="en-US"/>
        </w:rPr>
        <w:t>Congress</w:t>
      </w:r>
      <w:r w:rsidRPr="00E14102">
        <w:rPr>
          <w:color w:val="0070C0"/>
          <w:sz w:val="16"/>
          <w:szCs w:val="16"/>
        </w:rPr>
        <w:t xml:space="preserve">. </w:t>
      </w:r>
      <w:r w:rsidRPr="00E14102">
        <w:rPr>
          <w:color w:val="0070C0"/>
          <w:sz w:val="16"/>
          <w:szCs w:val="16"/>
          <w:lang w:val="en-US"/>
        </w:rPr>
        <w:t>Manuscript</w:t>
      </w:r>
      <w:r w:rsidRPr="00E14102">
        <w:rPr>
          <w:color w:val="0070C0"/>
          <w:sz w:val="16"/>
          <w:szCs w:val="16"/>
        </w:rPr>
        <w:t xml:space="preserve"> </w:t>
      </w:r>
      <w:r w:rsidRPr="00E14102">
        <w:rPr>
          <w:color w:val="0070C0"/>
          <w:sz w:val="16"/>
          <w:szCs w:val="16"/>
          <w:lang w:val="en-US"/>
        </w:rPr>
        <w:t>Division</w:t>
      </w:r>
      <w:r w:rsidRPr="00E14102">
        <w:rPr>
          <w:color w:val="0070C0"/>
          <w:sz w:val="16"/>
          <w:szCs w:val="16"/>
        </w:rPr>
        <w:t xml:space="preserve">. </w:t>
      </w:r>
      <w:r w:rsidRPr="00E14102">
        <w:rPr>
          <w:color w:val="0070C0"/>
          <w:sz w:val="16"/>
          <w:szCs w:val="16"/>
          <w:lang w:val="en-US"/>
        </w:rPr>
        <w:t>The Volkogonov Collection. George Washington University. National Security Archive. R9684 (</w:t>
      </w:r>
      <w:r w:rsidRPr="00E14102">
        <w:rPr>
          <w:color w:val="0070C0"/>
          <w:sz w:val="16"/>
          <w:szCs w:val="16"/>
        </w:rPr>
        <w:t>копия</w:t>
      </w:r>
      <w:r w:rsidRPr="00E14102">
        <w:rPr>
          <w:color w:val="0070C0"/>
          <w:sz w:val="16"/>
          <w:szCs w:val="16"/>
          <w:lang w:val="en-US"/>
        </w:rPr>
        <w:t xml:space="preserve">). </w:t>
      </w:r>
      <w:r w:rsidRPr="00E14102">
        <w:rPr>
          <w:color w:val="0070C0"/>
          <w:sz w:val="16"/>
          <w:szCs w:val="16"/>
        </w:rPr>
        <w:t>"За" проголосовали Сталин, Молотов, Оржоникидзе, Ворошилов, Каганович. 7 апреля 1935 г. в связи с состоявшимся ранее "обменом должностей" между Андреевым и Кагановичем (первый из них занял пост секретаря ЦК, другой - наркома путей сообщения) Каганович и новый председатель Госплана СССР Мсжлаукбыли утверждены членами Комиссии обороны (Протокол № 24 заседания Политбюро ЦК ВКП(б), 26 апреля 1935 года // РГА СПИ. Ф. 17. Оп. 3. Д. 962. Л. 5). Неясно, указывает ли это постановление, что в предшествующий период Каганович перестал быть членом КО или что с апреля 1935 г. он становился рядовым членом этого органа, а не заместителем его председателя (как предусматривало решение 1932 г.)). 10 мая это решение было оформлено как утверждение Политбюро постановления Совета Труда и Обороны Союза ССР. Оно начиналось со ссылки на "представленный НКО СССР план организационных мероприятий", который, судя по тексту постановления, существенно отличался от апрельского доклада Штаба. Число стрелковых дивизий в мирное время увеличивалось не до 100 соединений, как предлагал ранее Штаб, а до 106 (т. е. на 20 дивизий с 1935 по 1937 г.). Соотношение кадровые / территориальные дивизии менялось с 62/38 до 71/35 (Эти директивы были зафиксированы в постановлении СТО от 16 июня 1935 г. (см.: 50 лет Вооруженных Сил СССР. М., 1968. С. 198; МАЛЬЦЕВ Н. А. Указ. соч. С 38). Текст постановления остается неизвестным, как и причины, по которым оно было подписано почти через четыре недели после решения Политбюро.) Это приводило к резкому сдвигу в увеличении численности стрелковых войск (с 604 до 672 тыс. чет.). Если летом 1936 г. на стрелковые войска должно было приходиться 36% численности вооруженных сил мирного времени, то полугора годами позже - 44%. Апрельские предложения по росту численности ВВС, ВМС и конницы были утверждены без изменений.</w:t>
      </w:r>
    </w:p>
    <w:p w14:paraId="3D23F8BB" w14:textId="77777777" w:rsidR="00D67AB0" w:rsidRPr="00E14102" w:rsidRDefault="00D67AB0" w:rsidP="00E14102">
      <w:pPr>
        <w:shd w:val="clear" w:color="auto" w:fill="FFFFFF"/>
        <w:jc w:val="both"/>
        <w:rPr>
          <w:color w:val="0070C0"/>
          <w:sz w:val="16"/>
          <w:szCs w:val="16"/>
        </w:rPr>
      </w:pPr>
      <w:r w:rsidRPr="00E14102">
        <w:rPr>
          <w:color w:val="0070C0"/>
          <w:sz w:val="16"/>
          <w:szCs w:val="16"/>
        </w:rPr>
        <w:t>Благодаря сокращениям по другим категориям общая численность РККА возрастала в меньшей мере (по сравнению с апрельским планом), чем увеличение стрелковых войск С 1 094 000 на 1 июля 1930 г. она должна была к началу 1938 г. достичь планки 1 513 400 человек (без учета пограничных войск, конвойной стражи и др. военизированных формирований). Основной рывок приходился на второе полугодие 1936 г. (прирост на 282 500 человек).</w:t>
      </w:r>
    </w:p>
    <w:p w14:paraId="2809FA06" w14:textId="77777777" w:rsidR="00D67AB0" w:rsidRPr="00E14102" w:rsidRDefault="00D67AB0" w:rsidP="00E14102">
      <w:pPr>
        <w:shd w:val="clear" w:color="auto" w:fill="FFFFFF"/>
        <w:jc w:val="both"/>
        <w:rPr>
          <w:color w:val="0070C0"/>
          <w:sz w:val="16"/>
          <w:szCs w:val="16"/>
        </w:rPr>
      </w:pPr>
      <w:r w:rsidRPr="00E14102">
        <w:rPr>
          <w:color w:val="0070C0"/>
          <w:sz w:val="16"/>
          <w:szCs w:val="16"/>
        </w:rPr>
        <w:t>Неожиданный акцепт на развитие стрелковых войск в мирное время дополнялся новым изменением штатной структуры стрелковой дивизии на военное время. Если в начале 1935 г. ее численность сокращалась с 13 до 10 тыс., то майским решением Политбюро она была увеличена до 11 тыс. человек (Протокол № 25 заседания от 13 мая 1935 г. (особый №), п. 102 // РГА СПИ. Ф. 17. Оп. 162. Д 18. Л. 24; Общая ведомость организационных мероприятий на 1936 и 1937 годы и нарастание численности РККА по годам (приложение к п. 102) //Там же. Л. 35-37. Неясно, сокращалось ли при этом количество развертываемых дивизий).</w:t>
      </w:r>
    </w:p>
    <w:p w14:paraId="21C974B9" w14:textId="77777777" w:rsidR="00D67AB0" w:rsidRPr="00E14102" w:rsidRDefault="00D67AB0" w:rsidP="00E14102">
      <w:pPr>
        <w:shd w:val="clear" w:color="auto" w:fill="FFFFFF"/>
        <w:jc w:val="both"/>
        <w:rPr>
          <w:color w:val="0070C0"/>
          <w:sz w:val="16"/>
          <w:szCs w:val="16"/>
        </w:rPr>
      </w:pPr>
      <w:r w:rsidRPr="00E14102">
        <w:rPr>
          <w:color w:val="0070C0"/>
          <w:sz w:val="16"/>
          <w:szCs w:val="16"/>
        </w:rPr>
        <w:t>Вместе с тем план развитая вооруженных сил на июль 1936 - декабрь 1937 г. не предусматривал изменений численности личного состава мотомеханизированных и танковых войск- намеченная мартовским решением численность в 76 660 человек должна была оставаться неизменной вплоть до 1 января 1938 г. После ударных танковых программ, казалось, прежде фаворизируемый род войск был забыт. Вполне возможно, что Сталин и его соратники имели в виду вскоре вериться к задачам развития механизированных и танковых сил. Тем не менее этот сдвиг в планировании строительства армии безусловно показателен для обстановки в высшем руководстве весной 1935 г. (особенно если сравнить ею с подчеркиванием значимости механизированных частей в статье Тухачевского о планах гитлеровской Германии). Создается впечатление, что, продолжая (и даже усиливая) гонку за авиационным журавлем, Сталин склонился к решению сделать основную ставку на синицу стрелковых войск, подготовка и применение которых обещали быть гораздо более предсказуемыми, чем армады танков, которыми с 1930 г. Тухачевский манил его воображение. Стремление к большей надежности и предсказуемости быстрого массированного развертывания и применения вооруженных сил прочитывается и в отходе от преимущественно территориальной системы комплектования в пользу кадровой армии (22725).</w:t>
      </w:r>
    </w:p>
    <w:p w14:paraId="488FAE0E" w14:textId="77777777" w:rsidR="00D67AB0" w:rsidRPr="00E14102" w:rsidRDefault="00D67AB0" w:rsidP="00E14102">
      <w:pPr>
        <w:jc w:val="both"/>
        <w:rPr>
          <w:color w:val="0070C0"/>
          <w:sz w:val="16"/>
          <w:szCs w:val="16"/>
        </w:rPr>
      </w:pPr>
    </w:p>
    <w:p w14:paraId="23498399" w14:textId="77777777" w:rsidR="001575D5" w:rsidRPr="00E14102" w:rsidRDefault="001575D5" w:rsidP="00E14102">
      <w:pPr>
        <w:autoSpaceDE w:val="0"/>
        <w:autoSpaceDN w:val="0"/>
        <w:adjustRightInd w:val="0"/>
        <w:jc w:val="both"/>
        <w:rPr>
          <w:iCs/>
          <w:color w:val="000000" w:themeColor="text1"/>
          <w:sz w:val="16"/>
          <w:szCs w:val="16"/>
        </w:rPr>
      </w:pPr>
      <w:r w:rsidRPr="00E14102">
        <w:rPr>
          <w:color w:val="000000" w:themeColor="text1"/>
          <w:sz w:val="16"/>
          <w:szCs w:val="16"/>
        </w:rPr>
        <w:t xml:space="preserve">7 </w:t>
      </w:r>
      <w:r w:rsidRPr="00E14102">
        <w:rPr>
          <w:bCs/>
          <w:color w:val="000000" w:themeColor="text1"/>
          <w:sz w:val="16"/>
          <w:szCs w:val="16"/>
        </w:rPr>
        <w:t>Мая1935</w:t>
      </w:r>
      <w:r w:rsidRPr="00E14102">
        <w:rPr>
          <w:color w:val="000000" w:themeColor="text1"/>
          <w:sz w:val="16"/>
          <w:szCs w:val="16"/>
        </w:rPr>
        <w:t xml:space="preserve"> года на флоте восстановлены адмиральские воинские звания взамен существующих тогда званий флагман флота 1-го и 2-го ранга (17302).</w:t>
      </w:r>
    </w:p>
    <w:p w14:paraId="564A5BB9" w14:textId="77777777" w:rsidR="001575D5" w:rsidRPr="00E14102" w:rsidRDefault="001575D5" w:rsidP="00E14102">
      <w:pPr>
        <w:pStyle w:val="rtejustify"/>
        <w:spacing w:before="0" w:after="0"/>
        <w:rPr>
          <w:color w:val="000000" w:themeColor="text1"/>
          <w:sz w:val="16"/>
          <w:szCs w:val="16"/>
        </w:rPr>
      </w:pPr>
    </w:p>
    <w:p w14:paraId="7DADAB8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A9B879C" w14:textId="77777777" w:rsidR="00D4105E" w:rsidRPr="00E14102" w:rsidRDefault="00D4105E" w:rsidP="00E14102">
      <w:pPr>
        <w:autoSpaceDE w:val="0"/>
        <w:autoSpaceDN w:val="0"/>
        <w:adjustRightInd w:val="0"/>
        <w:jc w:val="both"/>
        <w:rPr>
          <w:iCs/>
          <w:color w:val="000000" w:themeColor="text1"/>
          <w:sz w:val="16"/>
          <w:szCs w:val="16"/>
        </w:rPr>
      </w:pPr>
    </w:p>
    <w:p w14:paraId="0BAE2C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мая 1935 закончились заводские испытания шестимоторного АНТ-22 (МК-1), которые шли с 8 августа 1934 (1076,893).</w:t>
      </w:r>
    </w:p>
    <w:p w14:paraId="33ED6F75" w14:textId="77777777" w:rsidR="00D4105E" w:rsidRPr="00E14102" w:rsidRDefault="00D4105E" w:rsidP="00E14102">
      <w:pPr>
        <w:autoSpaceDE w:val="0"/>
        <w:autoSpaceDN w:val="0"/>
        <w:adjustRightInd w:val="0"/>
        <w:jc w:val="both"/>
        <w:rPr>
          <w:color w:val="000000" w:themeColor="text1"/>
          <w:sz w:val="16"/>
          <w:szCs w:val="16"/>
        </w:rPr>
      </w:pPr>
    </w:p>
    <w:p w14:paraId="36D9B040" w14:textId="77777777" w:rsidR="0016217F" w:rsidRPr="00E14102" w:rsidRDefault="0016217F" w:rsidP="00E14102">
      <w:pPr>
        <w:jc w:val="both"/>
        <w:rPr>
          <w:color w:val="000000" w:themeColor="text1"/>
          <w:sz w:val="16"/>
          <w:szCs w:val="16"/>
        </w:rPr>
      </w:pPr>
      <w:r w:rsidRPr="00E14102">
        <w:rPr>
          <w:color w:val="000000" w:themeColor="text1"/>
          <w:sz w:val="16"/>
          <w:szCs w:val="16"/>
        </w:rPr>
        <w:t>8 мая в 1935 году завершились заводские испытания (начались 8 августа 1934 года) тяжелой ударной летающей лодки «МК-1» («АНТ-22»). Летали Т.В.Рябенко и Д.Н.Ильинский (14885).</w:t>
      </w:r>
    </w:p>
    <w:p w14:paraId="584B4B6F" w14:textId="77777777" w:rsidR="0016217F" w:rsidRPr="00E14102" w:rsidRDefault="0016217F" w:rsidP="00E14102">
      <w:pPr>
        <w:jc w:val="both"/>
        <w:rPr>
          <w:color w:val="000000" w:themeColor="text1"/>
          <w:sz w:val="16"/>
          <w:szCs w:val="16"/>
        </w:rPr>
      </w:pPr>
    </w:p>
    <w:p w14:paraId="5B99C667" w14:textId="77777777" w:rsidR="0016217F" w:rsidRPr="00E14102" w:rsidRDefault="0016217F" w:rsidP="00E14102">
      <w:pPr>
        <w:jc w:val="both"/>
        <w:rPr>
          <w:color w:val="000000" w:themeColor="text1"/>
          <w:sz w:val="16"/>
          <w:szCs w:val="16"/>
        </w:rPr>
      </w:pPr>
      <w:r w:rsidRPr="00E14102">
        <w:rPr>
          <w:color w:val="000000" w:themeColor="text1"/>
          <w:sz w:val="16"/>
          <w:szCs w:val="16"/>
        </w:rPr>
        <w:t>8 мая 1935 г. закончились заводские испытания МК-1, которые шли с 8 августа 1934 г. Машину испытывали летчики Т.В. Рябенко и Д.Н. Ильинский. Общая оценка самолета такова: «Управляемость самолета при различных комбинациях работы моторов следует признать хорошей». Максимальная скорость у поверхности воды составила 233 км/ч, на высоте 3000 м — 207 км/ч. Практический потолок 3500 м самолет набирал за 57 мин., время виража составило 82—89 секунд. После установки на самолете штатного комплекта оборудования и вооружения он с 27 июля по 15 августа 1935 г. прошел полный цикл государственных испытаний. При наружной подвеске данные несколько снизились: максимальная скорость у поверхности воды составила 205 км/ч, крейсерская —180 км/ч, практический потолок 2250 м. Признавалось, что по своим мореходным качествам МК-1 обладает хорошими обводами и гидродинамикой, способен взлетать и садиться в открытом море при волне до 1,5 метров и ветре до 12 м/с. Однако показатели скорости, потолка и дальности полета (1330 км) не отвечают требованиям времени. Предлагалось продолжить улучшения самолета, для чего установить более мощные двигатели М-34 РН или М-34ФРН. Увы, в середине 1935 г. работы над МК-1 были прекращены, так как во второй половине 1930-х гг. его летные качества выглядели анахронизмом, и МК-1 мог стать легкой добычей не только истребителя, но и современной «летающей лодки». Кроме того, для обслуживания такого гиганта требовалось большое количество технических средств и наземного персонала. Подготовка к полету и само его обеспечение оказались слишком сложными и длительными (15117).</w:t>
      </w:r>
    </w:p>
    <w:p w14:paraId="355D3888" w14:textId="77777777" w:rsidR="0016217F" w:rsidRPr="00E14102" w:rsidRDefault="0016217F" w:rsidP="00E14102">
      <w:pPr>
        <w:jc w:val="both"/>
        <w:rPr>
          <w:color w:val="000000" w:themeColor="text1"/>
          <w:sz w:val="16"/>
          <w:szCs w:val="16"/>
        </w:rPr>
      </w:pPr>
    </w:p>
    <w:p w14:paraId="544E8E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8 мая 1935 по 3 января 1936 года проводились заводские летные испытания самолета ЦКБ МС-1. Летчик испытатель П.А. Номан (451).</w:t>
      </w:r>
    </w:p>
    <w:p w14:paraId="64BBB1D5" w14:textId="77777777" w:rsidR="00D4105E" w:rsidRPr="00E14102" w:rsidRDefault="00D4105E" w:rsidP="00E14102">
      <w:pPr>
        <w:autoSpaceDE w:val="0"/>
        <w:autoSpaceDN w:val="0"/>
        <w:adjustRightInd w:val="0"/>
        <w:jc w:val="both"/>
        <w:rPr>
          <w:color w:val="000000" w:themeColor="text1"/>
          <w:sz w:val="16"/>
          <w:szCs w:val="16"/>
        </w:rPr>
      </w:pPr>
    </w:p>
    <w:p w14:paraId="0FA233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и 9 мая 1935 ЦКБ МС-1, построенный на заводе № 31, который, правда, ещё со старым двигателем М-17, предъявили на заводские испытания, выполнил 2 полета, после чего самолёт закатили обратно в цех для замены двигателя. Испытания возобновились 4 сентября уже с М-34Н, но с временным деревянным винтом. Всего с 4 сентября 1935 г. по 3 января 1936 г. летчик П.А. Номан выполнил на ЦКБ МС-1 12 полётов общей продолжительностью 5 ч 48 мин. Машина летала как с воды, так и с заводского аэродрома на колёсах. Штатный металлический винт установили только в конце испытаний.</w:t>
      </w:r>
    </w:p>
    <w:p w14:paraId="5C9846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показали, что ЦКБ МС-1 по сравнению с МБР-2 с двигателем М-17 имеет большие скорость и потолок, лучшую скороподъёмность, но меньшую дальность полёта. В отчёте по испытаниям особо отмечалось, что конструкторам удалось устранить вибрацию хвостового оперения и неравномерное давление на педали управления - недостатки, выявленные при испытаниях МБР-2 с М-17 (№ 31001).</w:t>
      </w:r>
    </w:p>
    <w:p w14:paraId="58E306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Оценка, данная заводским испытателем П.А. Номаном, тоже была весьма благоприятной. В частности, он отмечал, что: "Взлёт нормальный. Тенденций к развороту нет. При волне до 0,5 м и ветре свыше 5 м/с резких ударов в днище нет. Посадка самолёта аналогична посадке МБР-2, за исключением того, что давление на педали равномерное. При накате и волне до 0,5 м резких ударов в днище не ощущается". Правда, он же указал, что установка фонаря пилотской кабины ухудшила обзор вбок-назад.</w:t>
      </w:r>
    </w:p>
    <w:p w14:paraId="187DD0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других недостатков, наиболее серьёзным и самым прямым образом влиявшим на боеспособность самолёта, был дефект топливной системы. На виражах и планировании в магистралях падало давление, и мотор начинал глохнуть. Кроме того, отмечалось не очень удобное капотирование двигателя и то, что изнутри кабины без посторонней помощи закрыть фонарь было очень трудно.</w:t>
      </w:r>
    </w:p>
    <w:p w14:paraId="2DAD8F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Самолёт ЦКБ МС-1, Таганрог, 1935 г. Сравнительные данные МБР-2 с мотором М-17 и ЦКБ МС-1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E3599D" w:rsidRPr="00E14102" w14:paraId="30371C3B" w14:textId="77777777">
        <w:tc>
          <w:tcPr>
            <w:tcW w:w="3736" w:type="dxa"/>
            <w:tcBorders>
              <w:top w:val="single" w:sz="12" w:space="0" w:color="auto"/>
            </w:tcBorders>
          </w:tcPr>
          <w:p w14:paraId="7667777E" w14:textId="77777777" w:rsidR="00D4105E" w:rsidRPr="00E14102" w:rsidRDefault="00D4105E" w:rsidP="00E14102">
            <w:pPr>
              <w:autoSpaceDE w:val="0"/>
              <w:autoSpaceDN w:val="0"/>
              <w:adjustRightInd w:val="0"/>
              <w:jc w:val="both"/>
              <w:rPr>
                <w:color w:val="000000" w:themeColor="text1"/>
                <w:sz w:val="16"/>
                <w:szCs w:val="16"/>
              </w:rPr>
            </w:pPr>
          </w:p>
        </w:tc>
        <w:tc>
          <w:tcPr>
            <w:tcW w:w="3736" w:type="dxa"/>
            <w:tcBorders>
              <w:top w:val="single" w:sz="12" w:space="0" w:color="auto"/>
            </w:tcBorders>
          </w:tcPr>
          <w:p w14:paraId="7A6013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 МС-1</w:t>
            </w:r>
          </w:p>
        </w:tc>
        <w:tc>
          <w:tcPr>
            <w:tcW w:w="3736" w:type="dxa"/>
            <w:tcBorders>
              <w:top w:val="single" w:sz="12" w:space="0" w:color="auto"/>
            </w:tcBorders>
          </w:tcPr>
          <w:p w14:paraId="52EB84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 с М-17</w:t>
            </w:r>
          </w:p>
        </w:tc>
      </w:tr>
      <w:tr w:rsidR="00E3599D" w:rsidRPr="00E14102" w14:paraId="19F00467" w14:textId="77777777">
        <w:tc>
          <w:tcPr>
            <w:tcW w:w="3736" w:type="dxa"/>
          </w:tcPr>
          <w:p w14:paraId="4D42CD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Взлётный вес, кг</w:t>
            </w:r>
          </w:p>
        </w:tc>
        <w:tc>
          <w:tcPr>
            <w:tcW w:w="3736" w:type="dxa"/>
          </w:tcPr>
          <w:p w14:paraId="16E252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3920</w:t>
            </w:r>
          </w:p>
        </w:tc>
        <w:tc>
          <w:tcPr>
            <w:tcW w:w="3736" w:type="dxa"/>
          </w:tcPr>
          <w:p w14:paraId="03882B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3630</w:t>
            </w:r>
          </w:p>
        </w:tc>
      </w:tr>
      <w:tr w:rsidR="00E3599D" w:rsidRPr="00E14102" w14:paraId="102774EA" w14:textId="77777777">
        <w:tc>
          <w:tcPr>
            <w:tcW w:w="3736" w:type="dxa"/>
          </w:tcPr>
          <w:p w14:paraId="27E5A8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крыла, м:</w:t>
            </w:r>
          </w:p>
        </w:tc>
        <w:tc>
          <w:tcPr>
            <w:tcW w:w="3736" w:type="dxa"/>
          </w:tcPr>
          <w:p w14:paraId="3072A2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52,75</w:t>
            </w:r>
          </w:p>
        </w:tc>
        <w:tc>
          <w:tcPr>
            <w:tcW w:w="3736" w:type="dxa"/>
          </w:tcPr>
          <w:p w14:paraId="38E3A4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52,75</w:t>
            </w:r>
          </w:p>
        </w:tc>
      </w:tr>
      <w:tr w:rsidR="00E3599D" w:rsidRPr="00E14102" w14:paraId="53FB426D" w14:textId="77777777">
        <w:tc>
          <w:tcPr>
            <w:tcW w:w="3736" w:type="dxa"/>
          </w:tcPr>
          <w:p w14:paraId="54BCF8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крыла, м</w:t>
            </w:r>
          </w:p>
        </w:tc>
        <w:tc>
          <w:tcPr>
            <w:tcW w:w="3736" w:type="dxa"/>
          </w:tcPr>
          <w:p w14:paraId="70A532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w:t>
            </w:r>
          </w:p>
        </w:tc>
        <w:tc>
          <w:tcPr>
            <w:tcW w:w="3736" w:type="dxa"/>
          </w:tcPr>
          <w:p w14:paraId="0C8B38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w:t>
            </w:r>
          </w:p>
        </w:tc>
      </w:tr>
      <w:tr w:rsidR="00E3599D" w:rsidRPr="00E14102" w14:paraId="699671BC" w14:textId="77777777">
        <w:tc>
          <w:tcPr>
            <w:tcW w:w="3736" w:type="dxa"/>
          </w:tcPr>
          <w:p w14:paraId="69303D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Двигатель</w:t>
            </w:r>
          </w:p>
        </w:tc>
        <w:tc>
          <w:tcPr>
            <w:tcW w:w="3736" w:type="dxa"/>
          </w:tcPr>
          <w:p w14:paraId="7ABD7C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М-34Н</w:t>
            </w:r>
          </w:p>
        </w:tc>
        <w:tc>
          <w:tcPr>
            <w:tcW w:w="3736" w:type="dxa"/>
          </w:tcPr>
          <w:p w14:paraId="5256DE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М-17</w:t>
            </w:r>
          </w:p>
        </w:tc>
      </w:tr>
      <w:tr w:rsidR="00E3599D" w:rsidRPr="00E14102" w14:paraId="754531C0" w14:textId="77777777">
        <w:tc>
          <w:tcPr>
            <w:tcW w:w="3736" w:type="dxa"/>
          </w:tcPr>
          <w:p w14:paraId="4B9630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у земли, л.с.</w:t>
            </w:r>
          </w:p>
        </w:tc>
        <w:tc>
          <w:tcPr>
            <w:tcW w:w="3736" w:type="dxa"/>
          </w:tcPr>
          <w:p w14:paraId="5BC165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750</w:t>
            </w:r>
          </w:p>
        </w:tc>
        <w:tc>
          <w:tcPr>
            <w:tcW w:w="3736" w:type="dxa"/>
          </w:tcPr>
          <w:p w14:paraId="25597E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r>
      <w:tr w:rsidR="00E3599D" w:rsidRPr="00E14102" w14:paraId="5EE9A92B" w14:textId="77777777">
        <w:tc>
          <w:tcPr>
            <w:tcW w:w="3736" w:type="dxa"/>
          </w:tcPr>
          <w:p w14:paraId="7A9297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у земли, км/ч</w:t>
            </w:r>
          </w:p>
        </w:tc>
        <w:tc>
          <w:tcPr>
            <w:tcW w:w="3736" w:type="dxa"/>
          </w:tcPr>
          <w:p w14:paraId="64BA85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242</w:t>
            </w:r>
          </w:p>
        </w:tc>
        <w:tc>
          <w:tcPr>
            <w:tcW w:w="3736" w:type="dxa"/>
          </w:tcPr>
          <w:p w14:paraId="629A92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215</w:t>
            </w:r>
          </w:p>
        </w:tc>
      </w:tr>
      <w:tr w:rsidR="00E3599D" w:rsidRPr="00E14102" w14:paraId="103D717C" w14:textId="77777777">
        <w:tc>
          <w:tcPr>
            <w:tcW w:w="3736" w:type="dxa"/>
          </w:tcPr>
          <w:p w14:paraId="450BC3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Практический потолок, м</w:t>
            </w:r>
          </w:p>
        </w:tc>
        <w:tc>
          <w:tcPr>
            <w:tcW w:w="3736" w:type="dxa"/>
          </w:tcPr>
          <w:p w14:paraId="6F578F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6660</w:t>
            </w:r>
          </w:p>
        </w:tc>
        <w:tc>
          <w:tcPr>
            <w:tcW w:w="3736" w:type="dxa"/>
          </w:tcPr>
          <w:p w14:paraId="0D3047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5100</w:t>
            </w:r>
          </w:p>
        </w:tc>
      </w:tr>
      <w:tr w:rsidR="00E3599D" w:rsidRPr="00E14102" w14:paraId="40887AEC" w14:textId="77777777">
        <w:tc>
          <w:tcPr>
            <w:tcW w:w="3736" w:type="dxa"/>
            <w:tcBorders>
              <w:bottom w:val="single" w:sz="12" w:space="0" w:color="auto"/>
            </w:tcBorders>
          </w:tcPr>
          <w:p w14:paraId="203768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Нормальная техническая дальность полёта, км</w:t>
            </w:r>
          </w:p>
        </w:tc>
        <w:tc>
          <w:tcPr>
            <w:tcW w:w="3736" w:type="dxa"/>
            <w:tcBorders>
              <w:bottom w:val="single" w:sz="12" w:space="0" w:color="auto"/>
            </w:tcBorders>
          </w:tcPr>
          <w:p w14:paraId="08B5C6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w:t>
            </w:r>
          </w:p>
        </w:tc>
        <w:tc>
          <w:tcPr>
            <w:tcW w:w="3736" w:type="dxa"/>
            <w:tcBorders>
              <w:bottom w:val="single" w:sz="12" w:space="0" w:color="auto"/>
            </w:tcBorders>
          </w:tcPr>
          <w:p w14:paraId="40881B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960</w:t>
            </w:r>
          </w:p>
        </w:tc>
      </w:tr>
    </w:tbl>
    <w:p w14:paraId="4EE092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(12003).</w:t>
      </w:r>
    </w:p>
    <w:p w14:paraId="18552F34" w14:textId="77777777" w:rsidR="00D4105E" w:rsidRPr="00E14102" w:rsidRDefault="00D4105E" w:rsidP="00E14102">
      <w:pPr>
        <w:autoSpaceDE w:val="0"/>
        <w:autoSpaceDN w:val="0"/>
        <w:adjustRightInd w:val="0"/>
        <w:jc w:val="both"/>
        <w:rPr>
          <w:color w:val="000000" w:themeColor="text1"/>
          <w:sz w:val="16"/>
          <w:szCs w:val="16"/>
        </w:rPr>
      </w:pPr>
    </w:p>
    <w:p w14:paraId="1700A9B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 мая 1935 года вышел Приказ НИИ ВС № 0214 О проведении испытаний объектов бомбардировочного вооружения:</w:t>
      </w:r>
    </w:p>
    <w:p w14:paraId="0F7BCAC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Светящихся АБ-5 кг завода № 80</w:t>
      </w:r>
    </w:p>
    <w:p w14:paraId="1B1F842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Светящихся АБ-15 кг завода № 67</w:t>
      </w:r>
    </w:p>
    <w:p w14:paraId="231D545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Зажигательных АБ-2,5 кг завода № 67</w:t>
      </w:r>
    </w:p>
    <w:p w14:paraId="3739395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Зажигательных АБ-1 кг завода № 5</w:t>
      </w:r>
    </w:p>
    <w:p w14:paraId="295A819F"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АФ-50 и АФ-100 кг сталистого чугуна (6813, 13).</w:t>
      </w:r>
    </w:p>
    <w:p w14:paraId="102B8CA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71BEA4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8-го мая 1935 Приказом наркома обороны от N 076 на УВС возложено проведение испытаний эффективности всех калибров авиабомб, вероятных отклонений, технического рассеивания в залпах и работы электрифицированного бомбардировочного вооружения на самолетах ТБ3-М34Р и Р5 в Оренбурге в период с 15 июля по 15 августа (3126).</w:t>
      </w:r>
    </w:p>
    <w:p w14:paraId="39AB3CD6" w14:textId="77777777" w:rsidR="00D4105E" w:rsidRPr="00E14102" w:rsidRDefault="00D4105E" w:rsidP="00E14102">
      <w:pPr>
        <w:autoSpaceDE w:val="0"/>
        <w:autoSpaceDN w:val="0"/>
        <w:adjustRightInd w:val="0"/>
        <w:jc w:val="both"/>
        <w:rPr>
          <w:color w:val="000000" w:themeColor="text1"/>
          <w:sz w:val="16"/>
          <w:szCs w:val="16"/>
        </w:rPr>
      </w:pPr>
    </w:p>
    <w:p w14:paraId="7949B614" w14:textId="77777777" w:rsidR="0016217F" w:rsidRPr="00E14102" w:rsidRDefault="0016217F" w:rsidP="00E14102">
      <w:pPr>
        <w:pStyle w:val="rtejustify"/>
        <w:spacing w:before="0" w:after="0"/>
        <w:rPr>
          <w:color w:val="000000" w:themeColor="text1"/>
          <w:sz w:val="16"/>
          <w:szCs w:val="16"/>
        </w:rPr>
      </w:pPr>
      <w:r w:rsidRPr="00E14102">
        <w:rPr>
          <w:rStyle w:val="a6"/>
          <w:bCs/>
          <w:i w:val="0"/>
          <w:color w:val="000000" w:themeColor="text1"/>
          <w:sz w:val="16"/>
          <w:szCs w:val="16"/>
        </w:rPr>
        <w:t>8 мая 1935 вышел приказ НКО №</w:t>
      </w:r>
      <w:r w:rsidRPr="00E14102">
        <w:rPr>
          <w:color w:val="000000" w:themeColor="text1"/>
          <w:sz w:val="16"/>
          <w:szCs w:val="16"/>
        </w:rPr>
        <w:t> 076. О производстве испытаний всех калибров фугасных авиабомб на самолетах ТБ</w:t>
      </w:r>
      <w:r w:rsidRPr="00E14102">
        <w:rPr>
          <w:color w:val="000000" w:themeColor="text1"/>
          <w:sz w:val="16"/>
          <w:szCs w:val="16"/>
        </w:rPr>
        <w:noBreakHyphen/>
        <w:t>3</w:t>
      </w:r>
      <w:r w:rsidRPr="00E14102">
        <w:rPr>
          <w:color w:val="000000" w:themeColor="text1"/>
          <w:sz w:val="16"/>
          <w:szCs w:val="16"/>
        </w:rPr>
        <w:noBreakHyphen/>
        <w:t>4М</w:t>
      </w:r>
      <w:r w:rsidRPr="00E14102">
        <w:rPr>
          <w:color w:val="000000" w:themeColor="text1"/>
          <w:sz w:val="16"/>
          <w:szCs w:val="16"/>
        </w:rPr>
        <w:noBreakHyphen/>
        <w:t>34Р, Р</w:t>
      </w:r>
      <w:r w:rsidRPr="00E14102">
        <w:rPr>
          <w:color w:val="000000" w:themeColor="text1"/>
          <w:sz w:val="16"/>
          <w:szCs w:val="16"/>
        </w:rPr>
        <w:noBreakHyphen/>
        <w:t>5</w:t>
      </w:r>
      <w:r w:rsidRPr="00E14102">
        <w:rPr>
          <w:color w:val="000000" w:themeColor="text1"/>
          <w:sz w:val="16"/>
          <w:szCs w:val="16"/>
        </w:rPr>
        <w:noBreakHyphen/>
        <w:t>М</w:t>
      </w:r>
      <w:r w:rsidRPr="00E14102">
        <w:rPr>
          <w:color w:val="000000" w:themeColor="text1"/>
          <w:sz w:val="16"/>
          <w:szCs w:val="16"/>
        </w:rPr>
        <w:noBreakHyphen/>
        <w:t>17 с электрофицированным бомбардировочным вооружением (15247).</w:t>
      </w:r>
    </w:p>
    <w:p w14:paraId="1BDB2364" w14:textId="77777777" w:rsidR="0016217F" w:rsidRPr="00E14102" w:rsidRDefault="0016217F" w:rsidP="00E14102">
      <w:pPr>
        <w:pStyle w:val="rtejustify"/>
        <w:spacing w:before="0" w:after="0"/>
        <w:rPr>
          <w:color w:val="000000" w:themeColor="text1"/>
          <w:sz w:val="16"/>
          <w:szCs w:val="16"/>
        </w:rPr>
      </w:pPr>
    </w:p>
    <w:p w14:paraId="40E96C3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5E8B532" w14:textId="77777777" w:rsidR="00D4105E" w:rsidRPr="00E14102" w:rsidRDefault="00D4105E" w:rsidP="00E14102">
      <w:pPr>
        <w:autoSpaceDE w:val="0"/>
        <w:autoSpaceDN w:val="0"/>
        <w:adjustRightInd w:val="0"/>
        <w:jc w:val="both"/>
        <w:rPr>
          <w:iCs/>
          <w:color w:val="000000" w:themeColor="text1"/>
          <w:sz w:val="16"/>
          <w:szCs w:val="16"/>
        </w:rPr>
      </w:pPr>
    </w:p>
    <w:p w14:paraId="5B7C22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мая 1935 года было принято Решение Правительства СССР о переводе Остехбюро в Москву. 30 ноября 1927 года Правительственная комиссия, курирующая работы Остехбюро, на своем заседании заслушав доклад В.И.Бекаури "Об организации и перенесении части работ Остехбюро в Москву (п. V протокола заседания комиссии), приняла постановление с указанием Бекаури доложить Правительственной комиссии, что сделано для перенесения работ Остехбюро в Москву. Решение по этому докладу, если таковое потребуется, принять опросом членов комиссии "вкруговую". Из этого следует, что перевод Остехбюро до 30 ноября 1927 года уже был начат. В этом же году переезд был полностью завершен. В постановлении Правительства предусматривалось строительство жилого дома для сотрудников Остехбюро и экспериментального завода. Надо отметить, что к 1930 году в Москве уже была создана научно — производственная база и организованы первые лаборатории. В 1931 — 1935 годах научные лаборатории и ведущие специалисты из Ленинграда с выполняемыми ими разработками были переданы Московскому отделению Остехбюро. Начиная с 1932 года, в Москве развернулось строительство экспериментального завода, оборудование экспериментальных баз в городе Мытищи и Кубинке. После передачи Остехбюро из Наркомата обороны в Наркомат оборонной промышленности на базе Остехбюро было организовано Остехуправление, в состав которого входили: НИИ-20 (бывшее Московское отделение Остехбюро), филиал НИИ-20 (бывшее Ленинградское отделение Остехбюро), НИИ-22, НИИ-26, Ленинградский экспериментальный завод № 239 им. К.Е. Ворошилова, Ленинградский завод "Красный изобретатель" (Кризо),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После разделения Наркомата обороны на ряд промышленных наркоматов Остехуправление было передано Наркомату авиапромышленности. Постановлением Правительства от 31.05.39. Остехуправление было упразднено. Основные разработки Остехбюро и НИИ-20 в области кварцевой стабилизации, селекции, спецрадиосвязи, телефугасов, телетанков, автоматизации самолетного вооружения. Работы по кварцевой стабилизации частот радиоустройств и технологии изготовления пьезокварцевых пластин и конструкций квазодержателей были начаты в Остехбюро еще в 1926 году. Возглавлял эти работы А.И.Деркач. Надо отметать, что в то время работы по изготовлению кварцев и кварцевой стабилизации в СССР практически не велись (10737).</w:t>
      </w:r>
    </w:p>
    <w:p w14:paraId="444DBC39" w14:textId="77777777" w:rsidR="00D4105E" w:rsidRPr="00E14102" w:rsidRDefault="00D4105E" w:rsidP="00E14102">
      <w:pPr>
        <w:autoSpaceDE w:val="0"/>
        <w:autoSpaceDN w:val="0"/>
        <w:adjustRightInd w:val="0"/>
        <w:jc w:val="both"/>
        <w:rPr>
          <w:color w:val="000000" w:themeColor="text1"/>
          <w:sz w:val="16"/>
          <w:szCs w:val="16"/>
        </w:rPr>
      </w:pPr>
    </w:p>
    <w:p w14:paraId="753AB171" w14:textId="77777777" w:rsidR="0016217F" w:rsidRPr="00E14102" w:rsidRDefault="0016217F" w:rsidP="00E14102">
      <w:pPr>
        <w:pStyle w:val="rtejustify"/>
        <w:spacing w:before="0" w:after="0"/>
        <w:rPr>
          <w:color w:val="000000" w:themeColor="text1"/>
          <w:sz w:val="16"/>
          <w:szCs w:val="16"/>
        </w:rPr>
      </w:pPr>
      <w:r w:rsidRPr="00E14102">
        <w:rPr>
          <w:rStyle w:val="a6"/>
          <w:bCs/>
          <w:i w:val="0"/>
          <w:color w:val="000000" w:themeColor="text1"/>
          <w:sz w:val="16"/>
          <w:szCs w:val="16"/>
        </w:rPr>
        <w:t>8 мая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49сс «О работе Остехбюро НКОбороны». (ГА РФ. Ф. Р</w:t>
      </w:r>
      <w:r w:rsidRPr="00E14102">
        <w:rPr>
          <w:color w:val="000000" w:themeColor="text1"/>
          <w:sz w:val="16"/>
          <w:szCs w:val="16"/>
        </w:rPr>
        <w:noBreakHyphen/>
        <w:t>8418. Оп. 28. Д. 6. Л. 150</w:t>
      </w:r>
      <w:r w:rsidRPr="00E14102">
        <w:rPr>
          <w:color w:val="000000" w:themeColor="text1"/>
          <w:sz w:val="16"/>
          <w:szCs w:val="16"/>
        </w:rPr>
        <w:noBreakHyphen/>
        <w:t>152) (15460).</w:t>
      </w:r>
    </w:p>
    <w:p w14:paraId="67B63AFA" w14:textId="77777777" w:rsidR="0016217F" w:rsidRPr="00E14102" w:rsidRDefault="0016217F" w:rsidP="00E14102">
      <w:pPr>
        <w:pStyle w:val="rtejustify"/>
        <w:spacing w:before="0" w:after="0"/>
        <w:rPr>
          <w:color w:val="000000" w:themeColor="text1"/>
          <w:sz w:val="16"/>
          <w:szCs w:val="16"/>
        </w:rPr>
      </w:pPr>
    </w:p>
    <w:p w14:paraId="55017DA2" w14:textId="77777777" w:rsidR="002F4727" w:rsidRPr="00E14102" w:rsidRDefault="002F4727" w:rsidP="00E14102">
      <w:pPr>
        <w:jc w:val="both"/>
        <w:rPr>
          <w:color w:val="000000" w:themeColor="text1"/>
          <w:sz w:val="16"/>
          <w:szCs w:val="16"/>
        </w:rPr>
      </w:pPr>
      <w:r w:rsidRPr="00E14102">
        <w:rPr>
          <w:color w:val="000000" w:themeColor="text1"/>
          <w:sz w:val="16"/>
          <w:szCs w:val="16"/>
        </w:rPr>
        <w:t>8 мая 1935 г. СТО СССР принял решение о переводе в Москву всех работ Остехбюро за исключением имевших отношение к Военно-Морскому Флоту (18667).</w:t>
      </w:r>
    </w:p>
    <w:p w14:paraId="353D9083" w14:textId="77777777" w:rsidR="002F4727" w:rsidRPr="00E14102" w:rsidRDefault="002F4727" w:rsidP="00E14102">
      <w:pPr>
        <w:jc w:val="both"/>
        <w:rPr>
          <w:color w:val="000000" w:themeColor="text1"/>
          <w:sz w:val="16"/>
          <w:szCs w:val="16"/>
        </w:rPr>
      </w:pPr>
    </w:p>
    <w:p w14:paraId="34BDA61E" w14:textId="77777777" w:rsidR="002301CB" w:rsidRPr="00E14102" w:rsidRDefault="002301CB" w:rsidP="00E14102">
      <w:pPr>
        <w:jc w:val="both"/>
        <w:rPr>
          <w:color w:val="0070C0"/>
          <w:sz w:val="16"/>
          <w:szCs w:val="16"/>
        </w:rPr>
      </w:pPr>
      <w:r w:rsidRPr="00E14102">
        <w:rPr>
          <w:color w:val="0070C0"/>
          <w:sz w:val="16"/>
          <w:szCs w:val="16"/>
        </w:rPr>
        <w:t>8 мая 1935 г. СТО СССР принял решение о переводе в Москву всех работ Остехбюро за исключением имевших отношение к Военно-Морскому Флоту (22288).</w:t>
      </w:r>
    </w:p>
    <w:p w14:paraId="6A9A8D09" w14:textId="77777777" w:rsidR="002301CB" w:rsidRPr="00E14102" w:rsidRDefault="002301CB" w:rsidP="00E14102">
      <w:pPr>
        <w:jc w:val="both"/>
        <w:rPr>
          <w:color w:val="0070C0"/>
          <w:sz w:val="16"/>
          <w:szCs w:val="16"/>
        </w:rPr>
      </w:pPr>
    </w:p>
    <w:p w14:paraId="15DDB135" w14:textId="77777777" w:rsidR="002F4727" w:rsidRPr="00E14102" w:rsidRDefault="002F4727" w:rsidP="00E14102">
      <w:pPr>
        <w:jc w:val="both"/>
        <w:rPr>
          <w:color w:val="000000" w:themeColor="text1"/>
          <w:sz w:val="16"/>
          <w:szCs w:val="16"/>
        </w:rPr>
      </w:pPr>
      <w:r w:rsidRPr="00E14102">
        <w:rPr>
          <w:color w:val="000000" w:themeColor="text1"/>
          <w:sz w:val="16"/>
          <w:szCs w:val="16"/>
        </w:rPr>
        <w:t>8 мая 1935 года вышло решение Правительства СССР «О переводе Остехбюро в Москву». После перевода в Москву бо́льшей части лабораторий в бюро стали работать также заключенные ГУЛАГа; из секретного КБ оно превратилось в «шарашку». В Ленинграде осталось отделение с морской тематикой. В Москве Остехбюро было размещено на Садово—Черногрязской улице, дом № 6. Оно занимало несколько зданий. Вплоть до октября 1941 года Остехбюро находилось по этому адресу.</w:t>
      </w:r>
    </w:p>
    <w:p w14:paraId="74E3F9E5" w14:textId="77777777" w:rsidR="002F4727" w:rsidRPr="00E14102" w:rsidRDefault="002F4727" w:rsidP="00E14102">
      <w:pPr>
        <w:jc w:val="both"/>
        <w:rPr>
          <w:color w:val="000000" w:themeColor="text1"/>
          <w:sz w:val="16"/>
          <w:szCs w:val="16"/>
        </w:rPr>
      </w:pPr>
      <w:r w:rsidRPr="00E14102">
        <w:rPr>
          <w:color w:val="000000" w:themeColor="text1"/>
          <w:sz w:val="16"/>
          <w:szCs w:val="16"/>
        </w:rPr>
        <w:t>Бюро состояло из шести «частей» (подразделений): специальной, авиационной, подводного плавания, взрывчатых веществ, электротехнической, экспериментально-исследовательской. До 1926 года в ведении Остехбюро находился минный завод «Торпедо». Согласно постановлению СНК СССР от 3 июня 1930 года Остехбюро было передано в ведение Наркомата по военным и морским делам СССР. По положению от 28 августа 1930 года бюро занималось разработкой и внедрением «изобретений и новых конструкций военного характера в области авиации, телемеханики, радиосвязи и вооружения Военно-морских сил» (19316).</w:t>
      </w:r>
    </w:p>
    <w:p w14:paraId="68F6B682" w14:textId="77777777" w:rsidR="002F4727" w:rsidRPr="00E14102" w:rsidRDefault="002F4727" w:rsidP="00E14102">
      <w:pPr>
        <w:jc w:val="both"/>
        <w:rPr>
          <w:color w:val="000000" w:themeColor="text1"/>
          <w:sz w:val="16"/>
          <w:szCs w:val="16"/>
        </w:rPr>
      </w:pPr>
    </w:p>
    <w:p w14:paraId="5BC47D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марта 1935 г. было подготовлено донесение № 55556</w:t>
      </w:r>
    </w:p>
    <w:p w14:paraId="1C1D12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СЕКРЕТАРЮ ЦК ВКП (Б) тов. Сталину</w:t>
      </w:r>
    </w:p>
    <w:p w14:paraId="225102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Лучшим подтверждением, высказанного Вами взгляда на ведение американцами разведывательной работы в СССР, является деятельность прибывшего в Москву в ноябре 1933 г. американского гражданина Джонсона Альберта, которая характерна также для многих других американских дипломатических работников и представителей различных фирм в СССР.</w:t>
      </w:r>
    </w:p>
    <w:p w14:paraId="18D8E0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Джонсон Альберт – 1880 г. рождения, уроженец гор. Спрингфильд, подданный США, бывший полковник американской армии, один из организаторов “Ара” и связан личной дружбой с полковником Хаскелем, руководившим шпионско - разведывательной работой в период 1921-23 г. </w:t>
      </w:r>
    </w:p>
    <w:p w14:paraId="531B3B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Именуя себя профессором, Джонсон связан с “Обществом естественной истории” в США, которое используется американской разведкой (“Секрет-Сервис”), для собирания шпионских сведений, а также с кругами известного вдохновителя антисоветских выступлений, членом Американского конгресса – Фиш.</w:t>
      </w:r>
    </w:p>
    <w:p w14:paraId="56CE9A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США Джонсон известен, как знаток русского вопроса, в частности, Сибири, ДВК, Камчатки и Сахалина.</w:t>
      </w:r>
    </w:p>
    <w:p w14:paraId="4F012B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прикрытия своей разведывательной работы на нашей территории Джонсон пользуется фиктивным представительством 25-ти различных американских фирм.</w:t>
      </w:r>
    </w:p>
    <w:p w14:paraId="7AE121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за десятикратные приезды в СССР Джонсон не заключил ни одной сделки. В тоже время он организовал в Москве неофициальное бюро технической пропаганды, которое нигде не зарегистрировано, содержит 5 чел. служащих, которым ежемесячно выплачивает около 300 долларов и 1000 руб. совхозникам.</w:t>
      </w:r>
    </w:p>
    <w:p w14:paraId="29D7BD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проникновения в советские учреждения и организации с разведывательными целями, Джонсон обычно оперирует там изданными им еще до восстановления дипломатических отношений между СССР и Америкой печатными трудами, где он выступает сторонником возобновления нормальных отношений.</w:t>
      </w:r>
    </w:p>
    <w:p w14:paraId="547AA0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для завоевания себе большого доверия и авторитета, Джонсон в разговорах с работниками этих учреждений и организаций обычно вскользь упоминает о своем доверительном положении и близости к т. т. Калинину, Буденному, Андрееву, Рудзутаку, Крупской и др., иллюстрируя это как бы случайно вынутыми из кармана фотоснимками, на которых он снят вместе с ними.</w:t>
      </w:r>
    </w:p>
    <w:p w14:paraId="7F6C90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как ни странно, для некоторых чересчур доверчивых работников советских учреждений, зачастую служит достаточным основанием для того, чтобы выбалтывать сведения государственной важности, представляющие собой большой интерес для противника.</w:t>
      </w:r>
    </w:p>
    <w:p w14:paraId="02F2CF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Джонсон связан с первым секретарем американского посольства в Москве, известным разведчиком Хенсоном.</w:t>
      </w:r>
    </w:p>
    <w:p w14:paraId="380AD2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Свою нелегальную разведывательную деятельность по сбору секретных сведений Джонсон осуществляет через созданную им агентурную сеть из 5-ти следующих советских граждан:</w:t>
      </w:r>
    </w:p>
    <w:p w14:paraId="122DA7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Анцев-Шугерман Борис Васильевич – 1899 г. рождения, переводчик американского консульства в Москве. В Россию из Америки приехал в 1914 г. и работал в Петербурге в американском посольстве. В 1932 г. познакомился с Джонсоном и с этого периода начинается его разведывательная деятельность. Джонсон использовал </w:t>
      </w:r>
      <w:r w:rsidRPr="00E14102">
        <w:rPr>
          <w:color w:val="000000" w:themeColor="text1"/>
          <w:sz w:val="16"/>
          <w:szCs w:val="16"/>
        </w:rPr>
        <w:lastRenderedPageBreak/>
        <w:t>его для получения шпионских сведений о нашей военной и автотракторной промышленности. У нас имеется документальный материал, изобличающий Анцева, как разведчика;</w:t>
      </w:r>
    </w:p>
    <w:p w14:paraId="7C74F9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Рюльман Павел Федорович – личный секретарь Джонсона; офицер армии, сын генерала, активный участник еврейских погромов, к.-р. настроен. Джонсон использует Рюльмана в получении шпионских сведений о нашей военной-авиационной и автотракторной промышленности;</w:t>
      </w:r>
    </w:p>
    <w:p w14:paraId="2EA384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Соломатин Павел Николаевич – 1889 г. рождения, переводчик Цусстроя, из бывш. людей, офицер царской армии. Соломатин, имея большие связи в НКПС, передавал Джонсону сведения о предполагающих заказах на импортное оборудование для транспорта, а также шпионские сведения о состоянии нашего транспорта в части дорог и подвижного состава;</w:t>
      </w:r>
    </w:p>
    <w:p w14:paraId="522E93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Кашенцев Алексей Александрович – 1876 г. рождения, без определенных занятий, из дворян. Является информатором Джонсона по политико-экономическим вопросам СССР. Кашенцев, помимо связи с Джонсоном, имеет контракт с крупным английским разведчиком Тальботом, которому пересылал в Англию кодированный шпионский материал;</w:t>
      </w:r>
    </w:p>
    <w:p w14:paraId="5FDC3E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Епишкин Сергей Николаевич – 1895 г. рождения, сотрудник для поручения при американском консульстве. До поступления в консульство работал у Джонсона, выполнял по его поручению ряд шпионских заданий. В американское консульство Епишкина устроил Джонсон, который и по сей день под прикрытием консульства использует его для шпионских целей.</w:t>
      </w:r>
    </w:p>
    <w:p w14:paraId="1F5A9C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этого, Джонсон, используя свой опыт и легальные возможности, – как представитель ряда фирм посещает советские учреждения и в личных беседах с отдельными работниками получает нужные ему секретные сведения – в частности, – НКПС.</w:t>
      </w:r>
    </w:p>
    <w:p w14:paraId="7228F1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Отдел Деловых Устройств – Костюков Петр Александрович, инженер сектора Деповских Устройств, чл. ВКП (б), Роднов Михаил Матвеевич, старший инженер Управления Паровозного Хозяйства, беспартийный и Сухачевский Николай Александрович, инженер сектора Деповских Устройств, беспартийный сообщили об имеющихся на дорогах Союза типах вагонов и паровозов, составах ремонтных и вспомогательных поездов;</w:t>
      </w:r>
    </w:p>
    <w:p w14:paraId="27D337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Паровозное Управление – Родновский Борис Ильич, старший инженер сектора заводов Паровозного Управления, беспартийный сообщил данные о предполагаемом приобретении на 1933 г. оборудования, как-то насосов, путевых колонок, локомобилей – паровых 30 л. с., компрессов и др. оборудование, при чем указывал Джонсону, что значительная часть этого оборудования пойдет на Дальний Восток;</w:t>
      </w:r>
    </w:p>
    <w:p w14:paraId="6D0AB4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Отдел ремонтных заводов – от Барягинского Агафона Романовича, начальника сектора сильных токов Паровозного Управления, чл. ВКП (б), Абелевича Виталия Абрамовича, старшего инженера отдела заводов Паровозного Управления, б/п. и Барзаковского Александра Михайловича, старшего инженера Транспортного Паровозного Управления, б/п. Джонсон получил спецификации оборудования для новых и старых заводов, в том числе и для Верхнеудинского завода, при чем указали, что на это оборудование будет затрачено 6 миллионов золотых рублей;</w:t>
      </w:r>
    </w:p>
    <w:p w14:paraId="4EABDF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Паровозное Управление – Герман Илья Ефимович, начальник Локомотивного сектора, чл. ВКП (б) сообщил данные о стакерах, производительностью 300-500 тонн в сутки и пневматики;</w:t>
      </w:r>
    </w:p>
    <w:p w14:paraId="32BA4D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Вагонное Управление – в беседе с Гребневым Николаем Титовичем, нач. сектора Джонсон получил данные о необходимых станках по дереву и металлу и по этому поводу получил письменную спецификацию;</w:t>
      </w:r>
    </w:p>
    <w:p w14:paraId="303A4A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Локомотивный Отдел – от Яновской Марианны Ильиничны, инспектора по иностранным кадрам, б/п., Джонсон получил спецификацию всех предполагающих заказов как на ближайшее время, так и на будущее.</w:t>
      </w:r>
    </w:p>
    <w:p w14:paraId="47484D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секторе токов высокого напряжения от неизвестного нам лица Джонсон получил спецификации на турбины. В этом же отделе он получил спецификацию на оборудование деповских устройств.</w:t>
      </w:r>
    </w:p>
    <w:p w14:paraId="3BDB2B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“ФАНЕРОТРЕСТ”.</w:t>
      </w:r>
    </w:p>
    <w:p w14:paraId="622346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 Анисимова Василия Анисимовича, коммерческого директора “Фанеротреса”, б/п. Шухста, инженера, чл. ВКП (б) и Смирнова, начальника сектора, б/п. Джонсон получил данные по лесной промышленности; расположении заводов, их производительности, капитальных затратах, с указанием суммарно по заводам и характер оборудования на этих заводах.</w:t>
      </w:r>
    </w:p>
    <w:p w14:paraId="7E5BFF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“РЕЗИНОТРЕСТ”.</w:t>
      </w:r>
    </w:p>
    <w:p w14:paraId="2A6657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Измайлова, заместителя Управляющего “Резинотреста”, чл. ВКП (б) Джонсон получил данные о предполагаемых покупках машин и строительстве новых резиновых комбинатов в гор. Ярославле.</w:t>
      </w:r>
    </w:p>
    <w:p w14:paraId="333891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ИМЕНИ СТАЛИНА</w:t>
      </w:r>
    </w:p>
    <w:p w14:paraId="1C25B7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записной книги Джонсона видно, что во время его пребывания на заводе он из беседы с Зав. Деревообделочным Сектором, инженером Евсеевым выяснил, что завод им. Сталина расширяется и то, что от завода в Америку командируется 8 инженеров.</w:t>
      </w:r>
    </w:p>
    <w:p w14:paraId="6E08E8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перечисленных выше учреждений, Джонсон встречался и вел беседы с гр. гр. Ермолаевым, начальником Управления авиационной промышленности, Кауфманом Александром Иосифовичем, переводчиком ИНО ГУАПа и Метло Андреем Макаровичем, инженером ГУАПа, Шермергорном Д.Т., начальником железнодорожного строительства НКПС, Мариенбехом начальником Сплавочного Отдела “Гипровата”, Потеменко – Отдел Статистики Госплана и Гебриком – Цустрой (см. приложение).</w:t>
      </w:r>
    </w:p>
    <w:p w14:paraId="66BEC7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собранные сведения Джонсон, через свою нелегальную агентуру, перепроверяет и в уже скомплектованном виде направляет за границу через американское посольство.</w:t>
      </w:r>
    </w:p>
    <w:p w14:paraId="4006E7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Помимо указанной нелегальной шпионской деятельности, Джонсон наряду с этим проводит контрразведывательную работу, выражающуюся в том, что через свою агентуру и личные связи собирает данные о советских работниках, выезжающих в САСШ и сообщает об этом в “Секрет-Сервис” непосредственно через первого секретаря американского посольства в Москве – разведчика Хенсона.</w:t>
      </w:r>
    </w:p>
    <w:p w14:paraId="63DB59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Джонсон имеет вид на жительство в СССР сроком на шесть месяцев.</w:t>
      </w:r>
    </w:p>
    <w:p w14:paraId="70FEE9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25-го февраля с. г. Джонсон выехал за границу. Обратный въезд в Союз пока закрыт.</w:t>
      </w:r>
    </w:p>
    <w:p w14:paraId="7E5B06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Нелегальная агентура Джонсана, кроме лиц, работающих в американском консульстве, – нами арестовывается.</w:t>
      </w:r>
    </w:p>
    <w:p w14:paraId="0523B7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Прилагается агентурное добытые выписки из дневника б. секретаря Джонсона и фотокарточки.</w:t>
      </w:r>
    </w:p>
    <w:p w14:paraId="463770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Народный Комиссар Внутренних дел СССР Ягода</w:t>
      </w:r>
    </w:p>
    <w:p w14:paraId="57F6C8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АП РФ, ф.3, оп.58, д.246, л.164-170 (11462).</w:t>
      </w:r>
    </w:p>
    <w:p w14:paraId="316AECAC" w14:textId="77777777" w:rsidR="00D4105E" w:rsidRPr="00E14102" w:rsidRDefault="00D4105E" w:rsidP="00E14102">
      <w:pPr>
        <w:autoSpaceDE w:val="0"/>
        <w:autoSpaceDN w:val="0"/>
        <w:adjustRightInd w:val="0"/>
        <w:jc w:val="both"/>
        <w:rPr>
          <w:color w:val="000000" w:themeColor="text1"/>
          <w:sz w:val="16"/>
          <w:szCs w:val="16"/>
        </w:rPr>
      </w:pPr>
    </w:p>
    <w:p w14:paraId="6E065966" w14:textId="77777777" w:rsidR="003361B6" w:rsidRPr="00E14102" w:rsidRDefault="003361B6"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4A092DF" w14:textId="77777777" w:rsidR="003361B6" w:rsidRPr="00E14102" w:rsidRDefault="003361B6" w:rsidP="00E14102">
      <w:pPr>
        <w:autoSpaceDE w:val="0"/>
        <w:autoSpaceDN w:val="0"/>
        <w:adjustRightInd w:val="0"/>
        <w:jc w:val="both"/>
        <w:rPr>
          <w:iCs/>
          <w:color w:val="000000" w:themeColor="text1"/>
          <w:sz w:val="16"/>
          <w:szCs w:val="16"/>
        </w:rPr>
      </w:pPr>
    </w:p>
    <w:p w14:paraId="1F2F2F62" w14:textId="77777777" w:rsidR="003361B6" w:rsidRPr="00E14102" w:rsidRDefault="003361B6" w:rsidP="00E14102">
      <w:pPr>
        <w:jc w:val="both"/>
        <w:rPr>
          <w:color w:val="000000" w:themeColor="text1"/>
          <w:sz w:val="16"/>
          <w:szCs w:val="16"/>
        </w:rPr>
      </w:pPr>
      <w:r w:rsidRPr="00E14102">
        <w:rPr>
          <w:color w:val="000000" w:themeColor="text1"/>
          <w:sz w:val="16"/>
          <w:szCs w:val="16"/>
        </w:rPr>
        <w:t>8 мая 1935. Постановление ЦКВКП(б) и СНК СССР о строительстве трасс 2-й очереди Московского метрополитена (18720).</w:t>
      </w:r>
    </w:p>
    <w:p w14:paraId="7039892E" w14:textId="77777777" w:rsidR="003361B6" w:rsidRPr="00E14102" w:rsidRDefault="003361B6" w:rsidP="00E14102">
      <w:pPr>
        <w:jc w:val="both"/>
        <w:rPr>
          <w:color w:val="000000" w:themeColor="text1"/>
          <w:sz w:val="16"/>
          <w:szCs w:val="16"/>
        </w:rPr>
      </w:pPr>
    </w:p>
    <w:p w14:paraId="6A50ADF5" w14:textId="77777777" w:rsidR="0016217F"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42E80C6" w14:textId="77777777" w:rsidR="0016217F" w:rsidRPr="00E14102" w:rsidRDefault="0016217F" w:rsidP="00E14102">
      <w:pPr>
        <w:autoSpaceDE w:val="0"/>
        <w:autoSpaceDN w:val="0"/>
        <w:adjustRightInd w:val="0"/>
        <w:jc w:val="both"/>
        <w:rPr>
          <w:iCs/>
          <w:color w:val="000000" w:themeColor="text1"/>
          <w:sz w:val="16"/>
          <w:szCs w:val="16"/>
        </w:rPr>
      </w:pPr>
    </w:p>
    <w:p w14:paraId="770EED90" w14:textId="77777777" w:rsidR="0016217F" w:rsidRPr="00E14102" w:rsidRDefault="0016217F" w:rsidP="00E14102">
      <w:pPr>
        <w:jc w:val="both"/>
        <w:rPr>
          <w:color w:val="000000" w:themeColor="text1"/>
          <w:sz w:val="16"/>
          <w:szCs w:val="16"/>
        </w:rPr>
      </w:pPr>
      <w:r w:rsidRPr="00E14102">
        <w:rPr>
          <w:color w:val="000000" w:themeColor="text1"/>
          <w:sz w:val="16"/>
          <w:szCs w:val="16"/>
        </w:rPr>
        <w:t xml:space="preserve">8 мая в 1935 году Министерством авиации Великобритании было выдано задание В. 1/35, которое требовало создания "тяжелого" двухмоторного бомбардировщика, преимущественно для ночных действий, который рассматривался как замена для недавно запущенного в производство «Армстронг-Уитворт» «Уитли». Это стало следующей ступенью для «Хэндли-Пейдж» и первым шагом в процессе, приведшем к появлению тяжелого дальнего бомбардировщика </w:t>
      </w:r>
      <w:hyperlink r:id="rId97" w:tgtFrame="_blank" w:history="1">
        <w:r w:rsidRPr="00E14102">
          <w:rPr>
            <w:color w:val="000000" w:themeColor="text1"/>
            <w:sz w:val="16"/>
            <w:szCs w:val="16"/>
          </w:rPr>
          <w:t>«Галифакс».</w:t>
        </w:r>
      </w:hyperlink>
    </w:p>
    <w:p w14:paraId="12BCB203" w14:textId="77777777" w:rsidR="0016217F" w:rsidRPr="00E14102" w:rsidRDefault="0016217F" w:rsidP="00E14102">
      <w:pPr>
        <w:jc w:val="both"/>
        <w:rPr>
          <w:color w:val="000000" w:themeColor="text1"/>
          <w:sz w:val="16"/>
          <w:szCs w:val="16"/>
        </w:rPr>
      </w:pPr>
    </w:p>
    <w:p w14:paraId="6C05EAF0" w14:textId="77777777" w:rsidR="0016217F" w:rsidRPr="00E14102" w:rsidRDefault="0016217F" w:rsidP="00E14102">
      <w:pPr>
        <w:jc w:val="both"/>
        <w:rPr>
          <w:color w:val="000000" w:themeColor="text1"/>
          <w:sz w:val="16"/>
          <w:szCs w:val="16"/>
        </w:rPr>
      </w:pPr>
      <w:r w:rsidRPr="00E14102">
        <w:rPr>
          <w:color w:val="000000" w:themeColor="text1"/>
          <w:sz w:val="16"/>
          <w:szCs w:val="16"/>
        </w:rPr>
        <w:t xml:space="preserve">8 мая в 1935 году состоялся первый полет самолета </w:t>
      </w:r>
      <w:hyperlink r:id="rId98" w:tgtFrame="_blank" w:history="1">
        <w:r w:rsidRPr="00E14102">
          <w:rPr>
            <w:color w:val="000000" w:themeColor="text1"/>
            <w:sz w:val="16"/>
            <w:szCs w:val="16"/>
          </w:rPr>
          <w:t xml:space="preserve">«Н.Р.51» </w:t>
        </w:r>
      </w:hyperlink>
      <w:r w:rsidRPr="00E14102">
        <w:rPr>
          <w:color w:val="000000" w:themeColor="text1"/>
          <w:sz w:val="16"/>
          <w:szCs w:val="16"/>
        </w:rPr>
        <w:t>(б/н - J9833). В ходе испытаний было выявлена недостаточная мощность двигателей, что привело к их замене на 750-сильные «Bristol» «Pegasus 3M3». Кроме того, были изменена хвостовая часть. Этот дизайн в последствии использовался при разработке бомбардировщика «H.P.54» «Harrow». Единственный экземпляр самолета использовался в различных исследовательских целях, так в 1938 году он принимал участие в программе компании «Flight Refuelling Ltd» дозаправки самолетов «Short C-class» горючим в воздухе (14885).</w:t>
      </w:r>
    </w:p>
    <w:p w14:paraId="3A12EED3" w14:textId="77777777" w:rsidR="0016217F" w:rsidRPr="00E14102" w:rsidRDefault="0016217F" w:rsidP="00E14102">
      <w:pPr>
        <w:jc w:val="both"/>
        <w:rPr>
          <w:color w:val="000000" w:themeColor="text1"/>
          <w:sz w:val="16"/>
          <w:szCs w:val="16"/>
        </w:rPr>
      </w:pPr>
    </w:p>
    <w:p w14:paraId="666C06AA" w14:textId="77777777" w:rsidR="002301CB" w:rsidRPr="00E14102" w:rsidRDefault="002301CB" w:rsidP="00E14102">
      <w:pPr>
        <w:jc w:val="both"/>
        <w:rPr>
          <w:color w:val="0070C0"/>
          <w:sz w:val="16"/>
          <w:szCs w:val="16"/>
        </w:rPr>
      </w:pPr>
      <w:r w:rsidRPr="00E14102">
        <w:rPr>
          <w:color w:val="0070C0"/>
          <w:sz w:val="16"/>
          <w:szCs w:val="16"/>
        </w:rPr>
        <w:t>8 мая 1935 - Состоялся первый полет самолета Handley Page Н.Р.51 (б/н - J9833). В ходе испытаний было выявлена недостаточная мощность двигателей, что привело к их замене на 750-сильные Bristol Pegasus 3M3. Кроме того были изменена хвостовая часть. Этот дизайн в последствии использовался при разработке бомбардировщика H.P.54 Harrow. Единственный экземпляр самолета использовался в различных исследовательских целях, так в 1938 году он принимал участие в программе компании Flight Refuelling Ltd дозаправки самолетов Short C-class горючим в воздухе (22509).</w:t>
      </w:r>
    </w:p>
    <w:p w14:paraId="594899DF" w14:textId="77777777" w:rsidR="002301CB" w:rsidRPr="00E14102" w:rsidRDefault="002301CB" w:rsidP="00E14102">
      <w:pPr>
        <w:jc w:val="both"/>
        <w:rPr>
          <w:color w:val="0070C0"/>
          <w:sz w:val="16"/>
          <w:szCs w:val="16"/>
        </w:rPr>
      </w:pPr>
    </w:p>
    <w:p w14:paraId="63965D3B" w14:textId="77777777" w:rsidR="002301CB" w:rsidRPr="00E14102" w:rsidRDefault="002301CB" w:rsidP="00E14102">
      <w:pPr>
        <w:jc w:val="both"/>
        <w:rPr>
          <w:color w:val="0070C0"/>
          <w:sz w:val="16"/>
          <w:szCs w:val="16"/>
        </w:rPr>
      </w:pPr>
      <w:r w:rsidRPr="00E14102">
        <w:rPr>
          <w:color w:val="0070C0"/>
          <w:sz w:val="16"/>
          <w:szCs w:val="16"/>
        </w:rPr>
        <w:t>8 мая 1935 - В Иоханнештале состоялся первый полет прототипа Hs-123 V1. В кабину сел сам Удет. "Хеншель" Hs-123 представлял собой одноместный одностоечный полутораплан с чистыми аэродинамическими формами, самолет имел двигатель воздушного охлаждения BMW 132A-3 (лицензионный Пратт Уитни "Хорнет") максимальной мощностью 725 л. с. при 2050 об/ мин., прикрытый гладким капотом типа NACA, и трехлопастный металлический винт VDM (22509).</w:t>
      </w:r>
    </w:p>
    <w:p w14:paraId="1A837E65" w14:textId="77777777" w:rsidR="002301CB" w:rsidRPr="00E14102" w:rsidRDefault="002301CB" w:rsidP="00E14102">
      <w:pPr>
        <w:jc w:val="both"/>
        <w:rPr>
          <w:color w:val="0070C0"/>
          <w:sz w:val="16"/>
          <w:szCs w:val="16"/>
        </w:rPr>
      </w:pPr>
    </w:p>
    <w:p w14:paraId="0360F564" w14:textId="77777777" w:rsidR="0016217F" w:rsidRPr="00E14102" w:rsidRDefault="0016217F" w:rsidP="00E14102">
      <w:pPr>
        <w:jc w:val="both"/>
        <w:rPr>
          <w:color w:val="000000" w:themeColor="text1"/>
          <w:sz w:val="16"/>
          <w:szCs w:val="16"/>
        </w:rPr>
      </w:pPr>
      <w:r w:rsidRPr="00E14102">
        <w:rPr>
          <w:color w:val="000000" w:themeColor="text1"/>
          <w:sz w:val="16"/>
          <w:szCs w:val="16"/>
        </w:rPr>
        <w:t xml:space="preserve">8 мая в 1935 году в Иоханнештале состоялся первый полет прототипа </w:t>
      </w:r>
      <w:hyperlink r:id="rId99" w:tgtFrame="_blank" w:history="1">
        <w:r w:rsidRPr="00E14102">
          <w:rPr>
            <w:color w:val="000000" w:themeColor="text1"/>
            <w:sz w:val="16"/>
            <w:szCs w:val="16"/>
          </w:rPr>
          <w:t xml:space="preserve">«Hs-123 V1». </w:t>
        </w:r>
      </w:hyperlink>
      <w:r w:rsidRPr="00E14102">
        <w:rPr>
          <w:color w:val="000000" w:themeColor="text1"/>
          <w:sz w:val="16"/>
          <w:szCs w:val="16"/>
        </w:rPr>
        <w:t xml:space="preserve">В кабину сел сам Удет. «Хеншель» «Hs-123» представлял собой одноместный одностоечный полутораплан с чистыми аэродинамическими формами, самолет имел двигатель воздушного охлаждения «BMW2 «132A-3» (лицензионный «Пратт </w:t>
      </w:r>
      <w:r w:rsidRPr="00E14102">
        <w:rPr>
          <w:color w:val="000000" w:themeColor="text1"/>
          <w:sz w:val="16"/>
          <w:szCs w:val="16"/>
        </w:rPr>
        <w:lastRenderedPageBreak/>
        <w:t>Уитни» «Хорнет“) максимальной мощностью 725 л. с. при 2050 об/ мин., прикрытый гладким капотом типа NACA, и трехлопастный металлический винт VDM (14885).</w:t>
      </w:r>
    </w:p>
    <w:p w14:paraId="39B29D8C" w14:textId="77777777" w:rsidR="0016217F" w:rsidRPr="00E14102" w:rsidRDefault="0016217F" w:rsidP="00E14102">
      <w:pPr>
        <w:jc w:val="both"/>
        <w:rPr>
          <w:color w:val="000000" w:themeColor="text1"/>
          <w:sz w:val="16"/>
          <w:szCs w:val="16"/>
        </w:rPr>
      </w:pPr>
    </w:p>
    <w:p w14:paraId="1452E1B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AAB26B7" w14:textId="77777777" w:rsidR="00D4105E" w:rsidRPr="00E14102" w:rsidRDefault="00D4105E" w:rsidP="00E14102">
      <w:pPr>
        <w:autoSpaceDE w:val="0"/>
        <w:autoSpaceDN w:val="0"/>
        <w:adjustRightInd w:val="0"/>
        <w:jc w:val="both"/>
        <w:rPr>
          <w:iCs/>
          <w:color w:val="000000" w:themeColor="text1"/>
          <w:sz w:val="16"/>
          <w:szCs w:val="16"/>
        </w:rPr>
      </w:pPr>
    </w:p>
    <w:p w14:paraId="22F91B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мая 1935 на заседании Стратосферного комитета Авиавнито (Протокол 16) под пред. Хрипина приняли решение: "3. Особое внимание необходимо уделить подготовке к производству высотного самолета СБ-1, спроектированного стратосферным Бюро при комитете и добиваться постройки этого самолета в 1935." (2343,228).</w:t>
      </w:r>
    </w:p>
    <w:p w14:paraId="49A1530C" w14:textId="77777777" w:rsidR="00D4105E" w:rsidRPr="00E14102" w:rsidRDefault="00D4105E" w:rsidP="00E14102">
      <w:pPr>
        <w:autoSpaceDE w:val="0"/>
        <w:autoSpaceDN w:val="0"/>
        <w:adjustRightInd w:val="0"/>
        <w:jc w:val="both"/>
        <w:rPr>
          <w:color w:val="000000" w:themeColor="text1"/>
          <w:sz w:val="16"/>
          <w:szCs w:val="16"/>
        </w:rPr>
      </w:pPr>
    </w:p>
    <w:p w14:paraId="4CFBC0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мая 1935 года (в день годовщины с момента организации комитета) на заседании Стратосферного комитета Авиавнито под председательством Хрипина В.В. было принято по поводу самолета СБ-1 следующее решение:</w:t>
      </w:r>
    </w:p>
    <w:p w14:paraId="711EC4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Отметить, что особое внимание необходимо уделить подготовке к производству высотного самолета СБ-1, спроектированного Стратосферным бюро при комитете и добиваться постройки этого самолета в 1935 году.</w:t>
      </w:r>
    </w:p>
    <w:p w14:paraId="446BA7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(см. Протокол N 16 заседания Стратосферного комитета от 9 мая 1935 года) (3810,33-56).</w:t>
      </w:r>
    </w:p>
    <w:p w14:paraId="70F51402" w14:textId="77777777" w:rsidR="00D4105E" w:rsidRPr="00E14102" w:rsidRDefault="00D4105E" w:rsidP="00E14102">
      <w:pPr>
        <w:autoSpaceDE w:val="0"/>
        <w:autoSpaceDN w:val="0"/>
        <w:adjustRightInd w:val="0"/>
        <w:jc w:val="both"/>
        <w:rPr>
          <w:color w:val="000000" w:themeColor="text1"/>
          <w:sz w:val="16"/>
          <w:szCs w:val="16"/>
        </w:rPr>
      </w:pPr>
    </w:p>
    <w:p w14:paraId="050D92F5"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9 мая 1935 г. на сопроводительном документе имеется резолюция К. Е. Ворошилова: «Тт. Тухачевскому и Егорову. Прошу срочно обсудить этот вопрос со специалистами и дать свое заключение. Лично думаю, что 14 км (потолок) не является «стратосферным», но вопрос важный и срочный даже в таком варианте. К. В.</w:t>
      </w:r>
    </w:p>
    <w:p w14:paraId="74CB68CA" w14:textId="77777777" w:rsidR="0016217F" w:rsidRPr="00E14102" w:rsidRDefault="0016217F" w:rsidP="00E14102">
      <w:pPr>
        <w:jc w:val="both"/>
        <w:rPr>
          <w:rStyle w:val="a6"/>
          <w:i w:val="0"/>
          <w:color w:val="000000" w:themeColor="text1"/>
          <w:sz w:val="16"/>
          <w:szCs w:val="16"/>
        </w:rPr>
      </w:pPr>
      <w:r w:rsidRPr="00E14102">
        <w:rPr>
          <w:rStyle w:val="a6"/>
          <w:i w:val="0"/>
          <w:color w:val="000000" w:themeColor="text1"/>
          <w:sz w:val="16"/>
          <w:szCs w:val="16"/>
        </w:rPr>
        <w:t xml:space="preserve">19 апреля 1935 г. </w:t>
      </w:r>
      <w:r w:rsidRPr="00E14102">
        <w:rPr>
          <w:color w:val="000000" w:themeColor="text1"/>
          <w:sz w:val="16"/>
          <w:szCs w:val="16"/>
        </w:rPr>
        <w:t>Письмо руководства Кировского машиностроительного и металлургического завода наркому тяжелой промышленности СССР С. Орджоникидзе о постройке стратосферной зенитной пушки¹*</w:t>
      </w:r>
    </w:p>
    <w:p w14:paraId="3A7FF888" w14:textId="77777777" w:rsidR="0016217F" w:rsidRPr="00E14102" w:rsidRDefault="0016217F"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5A6E49A7"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В будущей войне субстратосфера и стратосфера будут играть огромную роль. Все страны усиленно работают над созданием стратосферной авиации и некоторые успехи в этой области уже имеются. Успешные работы в области высотного авиамотора также ведут к овладению стратосферой, как наиболее выгодной дорогой авиации. Стратосферный путь выгоден как в отношении скорости летания, так и постоянством метеорологических условий.</w:t>
      </w:r>
    </w:p>
    <w:p w14:paraId="540C7A1D"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Но самое важное для военной авиации то, что стратосферный путь на сегодняшний день является совершенно безопасным для авиации от артиллерийского зенитного огня, т. к. стратосферные высоты до сих пор находятся вне досягаемости современных зенитных пушек. И поэтому нападающая авиация, безусловно, использует этот выгодный во всех отношениях путь. Чтобы быть готовым к борьбе со стратосферной авиацией, необходимо иметь специальные стратосферные высотные пушки.</w:t>
      </w:r>
    </w:p>
    <w:p w14:paraId="7DB57A55"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Вопрос о создании стратосферной зенитной пушки, поднятый американцами, способный создать серьезные затруднения для авиации на стратосферном пути более чем своевременный, а, вернее, этот вопрос, поднят со значительным опозданием, т. к. авиация уже частично овладела стратосферой.</w:t>
      </w:r>
    </w:p>
    <w:p w14:paraId="3622F9E1"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Поэтому необходимо форсировать разработку стратосферной зенитной пушки, одновременно разрабатывая возможные средства наблюдения над разрывами снарядов в стратосфере и приборы управления огнем, желательно синхронные двигатели, автоматически управляющие зенитными орудиями от специального поста, видящего стратосферу.</w:t>
      </w:r>
    </w:p>
    <w:p w14:paraId="76D8EEE6"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Такую стратосферную зенитную пушку Кировский завод может построить по проекту инженера Маханова И. А. Это будет пушка войскового типа, нестационарная. Успешная работа по созданию универсальной дивизионной пушки Л</w:t>
      </w:r>
      <w:r w:rsidRPr="00E14102">
        <w:rPr>
          <w:color w:val="000000" w:themeColor="text1"/>
          <w:sz w:val="16"/>
          <w:szCs w:val="16"/>
        </w:rPr>
        <w:noBreakHyphen/>
        <w:t>3 позволяет нам не заниматься отыскиванием конструктивных форм такого орудия, т. к. это орудие может быть механически подобным пушке Л</w:t>
      </w:r>
      <w:r w:rsidRPr="00E14102">
        <w:rPr>
          <w:color w:val="000000" w:themeColor="text1"/>
          <w:sz w:val="16"/>
          <w:szCs w:val="16"/>
        </w:rPr>
        <w:noBreakHyphen/>
        <w:t>3, выдержавшей испытание и оправдавшей себя, но с введением максимальной автоматизации в работе всех механизмов.</w:t>
      </w:r>
    </w:p>
    <w:p w14:paraId="7B51D64D"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Проект такой стратосферной пушки в эскизном виде инженером Махановым разработан и мог бы быть представлен на Ваше рассмотрение. По проекту инженера Маханова И. А. стратосферная зенитная пушка будет иметь следующие боевые данные: калибр — 100 мм; вес снаряда — 13,75/15,8 кг; начальная скорость снаряда — 840/765 м/с; горизонтальная дальность — 20 км; потолок — 14 км; угол возвышения — от 85°; угол горизонтального обстрела — 360°/60°; вес системы в боевом положении — 5500 кг; время перехода из походного положения в боевое — 5 мин.</w:t>
      </w:r>
    </w:p>
    <w:p w14:paraId="0D9745C8"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Стратосферная зенитная пушка по своим данным и по конструкции будет универсальной пушкой, способной решать помимо задач стратосферной зенитной стрельбы задачи корпусной зенитной артиллерии. По своей мощности и по совершенству механизмов она заменит корпусную зенитную пушку образца 1931 г. Учитывая огромную огневую мощность орудия, оно может быть использовано для борьбы с тяжелыми танками.</w:t>
      </w:r>
    </w:p>
    <w:p w14:paraId="7F5CBC3B"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Просим Вашего ходатайства перед правительством о разрешении нам разработать и построить стратосферную зенитную пушку войскового типа по проекту инженера Маханова И. А.</w:t>
      </w:r>
    </w:p>
    <w:p w14:paraId="23AE1494" w14:textId="77777777" w:rsidR="0016217F" w:rsidRPr="00E14102" w:rsidRDefault="0016217F"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Директор завода Отс</w:t>
      </w:r>
    </w:p>
    <w:p w14:paraId="68583007" w14:textId="77777777" w:rsidR="0016217F" w:rsidRPr="00E14102" w:rsidRDefault="0016217F"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Начальник СОКБ завода Маханов</w:t>
      </w:r>
    </w:p>
    <w:p w14:paraId="1A377A93" w14:textId="77777777" w:rsidR="0016217F" w:rsidRPr="00E14102" w:rsidRDefault="0016217F"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Примечание</w:t>
      </w:r>
      <w:r w:rsidRPr="00E14102">
        <w:rPr>
          <w:rFonts w:ascii="Times New Roman" w:hAnsi="Times New Roman" w:cs="Times New Roman"/>
          <w:color w:val="000000" w:themeColor="text1"/>
          <w:sz w:val="16"/>
          <w:szCs w:val="16"/>
          <w:lang w:val="ru-RU"/>
        </w:rPr>
        <w:t>:</w:t>
      </w:r>
    </w:p>
    <w:p w14:paraId="5D6620CF"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¹* Копии направлены: И. В. Сталину, К. Е. Ворошилову, М. Н. Тухачевскому, А. И. Егорову.</w:t>
      </w:r>
    </w:p>
    <w:p w14:paraId="32058303" w14:textId="77777777" w:rsidR="0016217F" w:rsidRPr="00E14102" w:rsidRDefault="0016217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РГВА. Ф. 4. Оп. 14. Д.-1237. Л. 29-31. Заверенная копия (15343).</w:t>
      </w:r>
    </w:p>
    <w:p w14:paraId="187FCD74" w14:textId="77777777" w:rsidR="0016217F" w:rsidRPr="00E14102" w:rsidRDefault="0016217F" w:rsidP="00E14102">
      <w:pPr>
        <w:jc w:val="both"/>
        <w:rPr>
          <w:color w:val="000000" w:themeColor="text1"/>
          <w:sz w:val="16"/>
          <w:szCs w:val="16"/>
        </w:rPr>
      </w:pPr>
    </w:p>
    <w:p w14:paraId="79F999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мая 1935 после второго полета ЦКБ МС-1 с М-17 машину направили на завод для установки М-34Н с деревянным винтом. Испытания возобновили только 4 сентября 1935 (10507, 7).</w:t>
      </w:r>
    </w:p>
    <w:p w14:paraId="7793218A" w14:textId="77777777" w:rsidR="00D4105E" w:rsidRPr="00E14102" w:rsidRDefault="00D4105E" w:rsidP="00E14102">
      <w:pPr>
        <w:autoSpaceDE w:val="0"/>
        <w:autoSpaceDN w:val="0"/>
        <w:adjustRightInd w:val="0"/>
        <w:jc w:val="both"/>
        <w:rPr>
          <w:color w:val="000000" w:themeColor="text1"/>
          <w:sz w:val="16"/>
          <w:szCs w:val="16"/>
        </w:rPr>
      </w:pPr>
    </w:p>
    <w:p w14:paraId="627AA2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и 8 мая 1935 ЦКБ МС-1, построенный на заводе № 31, который, правда, ещё со старым двигателем М-17, предъявили на заводские испытания, выполнил 2 полета, после чего самолёт закатили обратно в цех для замены двигателя. Испытания возобновились 4 сентября уже с М-34Н, но с временным деревянным винтом. Всего с 4 сентября 1935 г. по 3 января 1936 г. летчик П.А. Номан выполнил на ЦКБ МС-1 12 полётов общей продолжительностью 5 ч 48 мин. Машина летала как с воды, так и с заводского аэродрома на колёсах. Штатный металлический винт установили только в конце испытаний.</w:t>
      </w:r>
    </w:p>
    <w:p w14:paraId="15B8A3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показали, что ЦКБ МС-1 по сравнению с МБР-2 с двигателем М-17 имеет большие скорость и потолок, лучшую скороподъёмность, но меньшую дальность полёта. В отчёте по испытаниям особо отмечалось, что конструкторам удалось устранить вибрацию хвостового оперения и неравномерное давление на педали управления - недостатки, выявленные при испытаниях МБР-2 с М-17 (№ 31001).</w:t>
      </w:r>
    </w:p>
    <w:p w14:paraId="675BA2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Оценка, данная заводским испытателем П.А. Номаном, тоже была весьма благоприятной. В частности, он отмечал, что: "Взлёт нормальный. Тенденций к развороту нет. При волне до 0,5 м и ветре свыше 5 м/с резких ударов в днище нет. Посадка самолёта аналогична посадке МБР-2, за исключением того, что давление на педали равномерное. При накате и волне до 0,5 м резких ударов в днище не ощущается". Правда, он же указал, что установка фонаря пилотской кабины ухудшила обзор вбок-назад.</w:t>
      </w:r>
    </w:p>
    <w:p w14:paraId="416936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других недостатков, наиболее серьёзным и самым прямым образом влиявшим на боеспособность самолёта, был дефект топливной системы. На виражах и планировании в магистралях падало давление, и мотор начинал глохнуть. Кроме того, отмечалось не очень удобное капотирование двигателя и то, что изнутри кабины без посторонней помощи закрыть фонарь было очень трудно.</w:t>
      </w:r>
    </w:p>
    <w:p w14:paraId="7C52D4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Самолёт ЦКБ МС-1, Таганрог, 1935 г. Сравнительные данные МБР-2 с мотором М-17 и ЦКБ МС-1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E3599D" w:rsidRPr="00E14102" w14:paraId="572B402E" w14:textId="77777777">
        <w:tc>
          <w:tcPr>
            <w:tcW w:w="3736" w:type="dxa"/>
            <w:tcBorders>
              <w:top w:val="single" w:sz="12" w:space="0" w:color="auto"/>
            </w:tcBorders>
          </w:tcPr>
          <w:p w14:paraId="10B1BC09" w14:textId="77777777" w:rsidR="00D4105E" w:rsidRPr="00E14102" w:rsidRDefault="00D4105E" w:rsidP="00E14102">
            <w:pPr>
              <w:autoSpaceDE w:val="0"/>
              <w:autoSpaceDN w:val="0"/>
              <w:adjustRightInd w:val="0"/>
              <w:jc w:val="both"/>
              <w:rPr>
                <w:color w:val="000000" w:themeColor="text1"/>
                <w:sz w:val="16"/>
                <w:szCs w:val="16"/>
              </w:rPr>
            </w:pPr>
          </w:p>
        </w:tc>
        <w:tc>
          <w:tcPr>
            <w:tcW w:w="3736" w:type="dxa"/>
            <w:tcBorders>
              <w:top w:val="single" w:sz="12" w:space="0" w:color="auto"/>
            </w:tcBorders>
          </w:tcPr>
          <w:p w14:paraId="0D8754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 МС-1</w:t>
            </w:r>
          </w:p>
        </w:tc>
        <w:tc>
          <w:tcPr>
            <w:tcW w:w="3736" w:type="dxa"/>
            <w:tcBorders>
              <w:top w:val="single" w:sz="12" w:space="0" w:color="auto"/>
            </w:tcBorders>
          </w:tcPr>
          <w:p w14:paraId="1BBDB0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 с М-17</w:t>
            </w:r>
          </w:p>
        </w:tc>
      </w:tr>
      <w:tr w:rsidR="00E3599D" w:rsidRPr="00E14102" w14:paraId="62AD59F0" w14:textId="77777777">
        <w:tc>
          <w:tcPr>
            <w:tcW w:w="3736" w:type="dxa"/>
          </w:tcPr>
          <w:p w14:paraId="314A03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Взлётный вес, кг</w:t>
            </w:r>
          </w:p>
        </w:tc>
        <w:tc>
          <w:tcPr>
            <w:tcW w:w="3736" w:type="dxa"/>
          </w:tcPr>
          <w:p w14:paraId="7F77D0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3920</w:t>
            </w:r>
          </w:p>
        </w:tc>
        <w:tc>
          <w:tcPr>
            <w:tcW w:w="3736" w:type="dxa"/>
          </w:tcPr>
          <w:p w14:paraId="327C39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3630</w:t>
            </w:r>
          </w:p>
        </w:tc>
      </w:tr>
      <w:tr w:rsidR="00E3599D" w:rsidRPr="00E14102" w14:paraId="3B29D3D2" w14:textId="77777777">
        <w:tc>
          <w:tcPr>
            <w:tcW w:w="3736" w:type="dxa"/>
          </w:tcPr>
          <w:p w14:paraId="2F6038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крыла, м:</w:t>
            </w:r>
          </w:p>
        </w:tc>
        <w:tc>
          <w:tcPr>
            <w:tcW w:w="3736" w:type="dxa"/>
          </w:tcPr>
          <w:p w14:paraId="1965AC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52,75</w:t>
            </w:r>
          </w:p>
        </w:tc>
        <w:tc>
          <w:tcPr>
            <w:tcW w:w="3736" w:type="dxa"/>
          </w:tcPr>
          <w:p w14:paraId="6C8EBE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52,75</w:t>
            </w:r>
          </w:p>
        </w:tc>
      </w:tr>
      <w:tr w:rsidR="00E3599D" w:rsidRPr="00E14102" w14:paraId="7A7B9D30" w14:textId="77777777">
        <w:tc>
          <w:tcPr>
            <w:tcW w:w="3736" w:type="dxa"/>
          </w:tcPr>
          <w:p w14:paraId="4EAFF7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крыла, м</w:t>
            </w:r>
          </w:p>
        </w:tc>
        <w:tc>
          <w:tcPr>
            <w:tcW w:w="3736" w:type="dxa"/>
          </w:tcPr>
          <w:p w14:paraId="4FBBBB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w:t>
            </w:r>
          </w:p>
        </w:tc>
        <w:tc>
          <w:tcPr>
            <w:tcW w:w="3736" w:type="dxa"/>
          </w:tcPr>
          <w:p w14:paraId="700B3E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w:t>
            </w:r>
          </w:p>
        </w:tc>
      </w:tr>
      <w:tr w:rsidR="00E3599D" w:rsidRPr="00E14102" w14:paraId="06D0937E" w14:textId="77777777">
        <w:tc>
          <w:tcPr>
            <w:tcW w:w="3736" w:type="dxa"/>
          </w:tcPr>
          <w:p w14:paraId="734A26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Двигатель</w:t>
            </w:r>
          </w:p>
        </w:tc>
        <w:tc>
          <w:tcPr>
            <w:tcW w:w="3736" w:type="dxa"/>
          </w:tcPr>
          <w:p w14:paraId="7EAA9A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М-34Н</w:t>
            </w:r>
          </w:p>
        </w:tc>
        <w:tc>
          <w:tcPr>
            <w:tcW w:w="3736" w:type="dxa"/>
          </w:tcPr>
          <w:p w14:paraId="71F609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М-17</w:t>
            </w:r>
          </w:p>
        </w:tc>
      </w:tr>
      <w:tr w:rsidR="00E3599D" w:rsidRPr="00E14102" w14:paraId="59E00868" w14:textId="77777777">
        <w:tc>
          <w:tcPr>
            <w:tcW w:w="3736" w:type="dxa"/>
          </w:tcPr>
          <w:p w14:paraId="0AB6F0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у земли, л.с.</w:t>
            </w:r>
          </w:p>
        </w:tc>
        <w:tc>
          <w:tcPr>
            <w:tcW w:w="3736" w:type="dxa"/>
          </w:tcPr>
          <w:p w14:paraId="272C09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750</w:t>
            </w:r>
          </w:p>
        </w:tc>
        <w:tc>
          <w:tcPr>
            <w:tcW w:w="3736" w:type="dxa"/>
          </w:tcPr>
          <w:p w14:paraId="5F79AC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r>
      <w:tr w:rsidR="00E3599D" w:rsidRPr="00E14102" w14:paraId="28FEA1F7" w14:textId="77777777">
        <w:tc>
          <w:tcPr>
            <w:tcW w:w="3736" w:type="dxa"/>
          </w:tcPr>
          <w:p w14:paraId="02AF63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у земли, км/ч</w:t>
            </w:r>
          </w:p>
        </w:tc>
        <w:tc>
          <w:tcPr>
            <w:tcW w:w="3736" w:type="dxa"/>
          </w:tcPr>
          <w:p w14:paraId="1D98AB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242</w:t>
            </w:r>
          </w:p>
        </w:tc>
        <w:tc>
          <w:tcPr>
            <w:tcW w:w="3736" w:type="dxa"/>
          </w:tcPr>
          <w:p w14:paraId="04ED91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215</w:t>
            </w:r>
          </w:p>
        </w:tc>
      </w:tr>
      <w:tr w:rsidR="00E3599D" w:rsidRPr="00E14102" w14:paraId="7DC97C1E" w14:textId="77777777">
        <w:tc>
          <w:tcPr>
            <w:tcW w:w="3736" w:type="dxa"/>
          </w:tcPr>
          <w:p w14:paraId="4B9841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Практический потолок, м</w:t>
            </w:r>
          </w:p>
        </w:tc>
        <w:tc>
          <w:tcPr>
            <w:tcW w:w="3736" w:type="dxa"/>
          </w:tcPr>
          <w:p w14:paraId="2B0EB0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6660</w:t>
            </w:r>
          </w:p>
        </w:tc>
        <w:tc>
          <w:tcPr>
            <w:tcW w:w="3736" w:type="dxa"/>
          </w:tcPr>
          <w:p w14:paraId="6D8E0E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5100</w:t>
            </w:r>
          </w:p>
        </w:tc>
      </w:tr>
      <w:tr w:rsidR="00E3599D" w:rsidRPr="00E14102" w14:paraId="5E52C063" w14:textId="77777777">
        <w:tc>
          <w:tcPr>
            <w:tcW w:w="3736" w:type="dxa"/>
            <w:tcBorders>
              <w:bottom w:val="single" w:sz="12" w:space="0" w:color="auto"/>
            </w:tcBorders>
          </w:tcPr>
          <w:p w14:paraId="35AB7A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Нормальная техническая дальность полёта, км</w:t>
            </w:r>
          </w:p>
        </w:tc>
        <w:tc>
          <w:tcPr>
            <w:tcW w:w="3736" w:type="dxa"/>
            <w:tcBorders>
              <w:bottom w:val="single" w:sz="12" w:space="0" w:color="auto"/>
            </w:tcBorders>
          </w:tcPr>
          <w:p w14:paraId="0E8BD2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w:t>
            </w:r>
          </w:p>
        </w:tc>
        <w:tc>
          <w:tcPr>
            <w:tcW w:w="3736" w:type="dxa"/>
            <w:tcBorders>
              <w:bottom w:val="single" w:sz="12" w:space="0" w:color="auto"/>
            </w:tcBorders>
          </w:tcPr>
          <w:p w14:paraId="251CD6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960</w:t>
            </w:r>
          </w:p>
        </w:tc>
      </w:tr>
    </w:tbl>
    <w:p w14:paraId="27AB8F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(12003).</w:t>
      </w:r>
    </w:p>
    <w:p w14:paraId="7BBE2C06" w14:textId="77777777" w:rsidR="00D4105E" w:rsidRPr="00E14102" w:rsidRDefault="00D4105E" w:rsidP="00E14102">
      <w:pPr>
        <w:autoSpaceDE w:val="0"/>
        <w:autoSpaceDN w:val="0"/>
        <w:adjustRightInd w:val="0"/>
        <w:jc w:val="both"/>
        <w:rPr>
          <w:color w:val="000000" w:themeColor="text1"/>
          <w:sz w:val="16"/>
          <w:szCs w:val="16"/>
        </w:rPr>
      </w:pPr>
    </w:p>
    <w:p w14:paraId="49ABDEB6" w14:textId="77777777" w:rsidR="0016217F" w:rsidRPr="00E14102" w:rsidRDefault="0016217F" w:rsidP="00E14102">
      <w:pPr>
        <w:jc w:val="both"/>
        <w:rPr>
          <w:rStyle w:val="a6"/>
          <w:i w:val="0"/>
          <w:color w:val="000000" w:themeColor="text1"/>
          <w:sz w:val="16"/>
          <w:szCs w:val="16"/>
        </w:rPr>
      </w:pPr>
      <w:r w:rsidRPr="00E14102">
        <w:rPr>
          <w:rStyle w:val="a6"/>
          <w:i w:val="0"/>
          <w:color w:val="000000" w:themeColor="text1"/>
          <w:sz w:val="16"/>
          <w:szCs w:val="16"/>
        </w:rPr>
        <w:t xml:space="preserve">9 мая 1935 г. </w:t>
      </w:r>
      <w:r w:rsidRPr="00E14102">
        <w:rPr>
          <w:color w:val="000000" w:themeColor="text1"/>
          <w:sz w:val="16"/>
          <w:szCs w:val="16"/>
        </w:rPr>
        <w:t>Из справки Сектора обороны Госплана СССР об итогах выполнения производственной программы заводами авиапромышленности за 1934 г.</w:t>
      </w:r>
    </w:p>
    <w:p w14:paraId="618BC1C2" w14:textId="77777777" w:rsidR="0016217F" w:rsidRPr="00E14102" w:rsidRDefault="0016217F" w:rsidP="00E14102">
      <w:pPr>
        <w:jc w:val="both"/>
        <w:rPr>
          <w:rStyle w:val="a6"/>
          <w:i w:val="0"/>
          <w:color w:val="000000" w:themeColor="text1"/>
          <w:sz w:val="16"/>
          <w:szCs w:val="16"/>
        </w:rPr>
      </w:pPr>
      <w:r w:rsidRPr="00E14102">
        <w:rPr>
          <w:rStyle w:val="a6"/>
          <w:i w:val="0"/>
          <w:color w:val="000000" w:themeColor="text1"/>
          <w:sz w:val="16"/>
          <w:szCs w:val="16"/>
        </w:rPr>
        <w:t>Совершенно секретно.</w:t>
      </w:r>
    </w:p>
    <w:p w14:paraId="499520EB" w14:textId="77777777" w:rsidR="0016217F" w:rsidRPr="00E14102" w:rsidRDefault="0016217F" w:rsidP="00E14102">
      <w:pPr>
        <w:jc w:val="both"/>
        <w:rPr>
          <w:color w:val="000000" w:themeColor="text1"/>
          <w:sz w:val="16"/>
          <w:szCs w:val="16"/>
        </w:rPr>
      </w:pPr>
      <w:r w:rsidRPr="00E14102">
        <w:rPr>
          <w:color w:val="000000" w:themeColor="text1"/>
          <w:sz w:val="16"/>
          <w:szCs w:val="16"/>
        </w:rPr>
        <w:t>I. Основные производственно-технические задачи авиапромышленности 1934 г. и их выполнение</w:t>
      </w:r>
    </w:p>
    <w:p w14:paraId="791CB15B"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В 1934 г. перед авиапромышленностью были поставлены следующие задачи:</w:t>
      </w:r>
    </w:p>
    <w:p w14:paraId="5CCCF607"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lastRenderedPageBreak/>
        <w:t>а) </w:t>
      </w:r>
      <w:r w:rsidRPr="00E14102">
        <w:rPr>
          <w:rStyle w:val="a6"/>
          <w:bCs/>
          <w:i w:val="0"/>
          <w:color w:val="000000" w:themeColor="text1"/>
          <w:sz w:val="16"/>
          <w:szCs w:val="16"/>
        </w:rPr>
        <w:t>В области самолетостроения</w:t>
      </w:r>
      <w:r w:rsidRPr="00E14102">
        <w:rPr>
          <w:color w:val="000000" w:themeColor="text1"/>
          <w:sz w:val="16"/>
          <w:szCs w:val="16"/>
        </w:rPr>
        <w:t>. 1. Освоить серийный выпуск новых истребительных самолетов — И</w:t>
      </w:r>
      <w:r w:rsidRPr="00E14102">
        <w:rPr>
          <w:color w:val="000000" w:themeColor="text1"/>
          <w:sz w:val="16"/>
          <w:szCs w:val="16"/>
        </w:rPr>
        <w:noBreakHyphen/>
        <w:t>14, И</w:t>
      </w:r>
      <w:r w:rsidRPr="00E14102">
        <w:rPr>
          <w:color w:val="000000" w:themeColor="text1"/>
          <w:sz w:val="16"/>
          <w:szCs w:val="16"/>
        </w:rPr>
        <w:noBreakHyphen/>
        <w:t>15 и И</w:t>
      </w:r>
      <w:r w:rsidRPr="00E14102">
        <w:rPr>
          <w:color w:val="000000" w:themeColor="text1"/>
          <w:sz w:val="16"/>
          <w:szCs w:val="16"/>
        </w:rPr>
        <w:noBreakHyphen/>
        <w:t>16¹*. 2. Переконструировать самолет ТБ</w:t>
      </w:r>
      <w:r w:rsidRPr="00E14102">
        <w:rPr>
          <w:color w:val="000000" w:themeColor="text1"/>
          <w:sz w:val="16"/>
          <w:szCs w:val="16"/>
        </w:rPr>
        <w:noBreakHyphen/>
        <w:t>3 под мотор М</w:t>
      </w:r>
      <w:r w:rsidRPr="00E14102">
        <w:rPr>
          <w:color w:val="000000" w:themeColor="text1"/>
          <w:sz w:val="16"/>
          <w:szCs w:val="16"/>
        </w:rPr>
        <w:noBreakHyphen/>
        <w:t>34РН. 3. Освоить серийный выпуск нового морского самолета — МБР</w:t>
      </w:r>
      <w:r w:rsidRPr="00E14102">
        <w:rPr>
          <w:color w:val="000000" w:themeColor="text1"/>
          <w:sz w:val="16"/>
          <w:szCs w:val="16"/>
        </w:rPr>
        <w:noBreakHyphen/>
        <w:t>2. 4. Закончить производство 1 оч[ереди] завода № 125 и освоить на нем производство истребителей И</w:t>
      </w:r>
      <w:r w:rsidRPr="00E14102">
        <w:rPr>
          <w:color w:val="000000" w:themeColor="text1"/>
          <w:sz w:val="16"/>
          <w:szCs w:val="16"/>
        </w:rPr>
        <w:noBreakHyphen/>
        <w:t>14. 5. Перевести полностью производство самолетов на тормозные колеса. 6. Освоить производство металлических винтов.</w:t>
      </w:r>
    </w:p>
    <w:p w14:paraId="3E07620E"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б) </w:t>
      </w:r>
      <w:r w:rsidRPr="00E14102">
        <w:rPr>
          <w:rStyle w:val="a6"/>
          <w:bCs/>
          <w:i w:val="0"/>
          <w:color w:val="000000" w:themeColor="text1"/>
          <w:sz w:val="16"/>
          <w:szCs w:val="16"/>
        </w:rPr>
        <w:t>В области моторостроения</w:t>
      </w:r>
      <w:r w:rsidRPr="00E14102">
        <w:rPr>
          <w:color w:val="000000" w:themeColor="text1"/>
          <w:sz w:val="16"/>
          <w:szCs w:val="16"/>
        </w:rPr>
        <w:t>. 1. Подготовить завод № 19 к серийному производству в 1935 г. лицензионного мотора РЦ. 2. Освоить производство мотора М</w:t>
      </w:r>
      <w:r w:rsidRPr="00E14102">
        <w:rPr>
          <w:color w:val="000000" w:themeColor="text1"/>
          <w:sz w:val="16"/>
          <w:szCs w:val="16"/>
        </w:rPr>
        <w:noBreakHyphen/>
        <w:t>34 с редуктором и нагнетателем. 3. Освоить производство реверсивных муфт для мотора М</w:t>
      </w:r>
      <w:r w:rsidRPr="00E14102">
        <w:rPr>
          <w:color w:val="000000" w:themeColor="text1"/>
          <w:sz w:val="16"/>
          <w:szCs w:val="16"/>
        </w:rPr>
        <w:noBreakHyphen/>
        <w:t>34. 4. Подготовить производство серийного выпуска в 1935 г. новых французских моторов К</w:t>
      </w:r>
      <w:r w:rsidRPr="00E14102">
        <w:rPr>
          <w:color w:val="000000" w:themeColor="text1"/>
          <w:sz w:val="16"/>
          <w:szCs w:val="16"/>
        </w:rPr>
        <w:noBreakHyphen/>
        <w:t>9 и К</w:t>
      </w:r>
      <w:r w:rsidRPr="00E14102">
        <w:rPr>
          <w:color w:val="000000" w:themeColor="text1"/>
          <w:sz w:val="16"/>
          <w:szCs w:val="16"/>
        </w:rPr>
        <w:noBreakHyphen/>
        <w:t>14. 5. Подготовить завод № 16 к серийному выпуску в 1935 г. маломощных моторов М</w:t>
      </w:r>
      <w:r w:rsidRPr="00E14102">
        <w:rPr>
          <w:color w:val="000000" w:themeColor="text1"/>
          <w:sz w:val="16"/>
          <w:szCs w:val="16"/>
        </w:rPr>
        <w:noBreakHyphen/>
        <w:t>11.</w:t>
      </w:r>
    </w:p>
    <w:p w14:paraId="3C498210"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Осуществление этих сложнейших задач, поставленных правительством перед авиапромышленностью, требовало необходимости создания непосредственно на заводах мощных конструкторских бюро и увязки работы научно-исследовательских институтов — ЦАГИ, ЦИАМ и ВИАМ с работой заводов. Итоги производственной деятельности за 1934 г. показывают, что с поставленными задачами авиационная промышленность справилась. В 1934 г.: 1) освоено серийное производство истребителей И</w:t>
      </w:r>
      <w:r w:rsidRPr="00E14102">
        <w:rPr>
          <w:color w:val="000000" w:themeColor="text1"/>
          <w:sz w:val="16"/>
          <w:szCs w:val="16"/>
        </w:rPr>
        <w:noBreakHyphen/>
        <w:t>15 и И</w:t>
      </w:r>
      <w:r w:rsidRPr="00E14102">
        <w:rPr>
          <w:color w:val="000000" w:themeColor="text1"/>
          <w:sz w:val="16"/>
          <w:szCs w:val="16"/>
        </w:rPr>
        <w:noBreakHyphen/>
        <w:t>16; 2) разработана конструкция И</w:t>
      </w:r>
      <w:r w:rsidRPr="00E14102">
        <w:rPr>
          <w:color w:val="000000" w:themeColor="text1"/>
          <w:sz w:val="16"/>
          <w:szCs w:val="16"/>
        </w:rPr>
        <w:noBreakHyphen/>
        <w:t>14 с РЦ; 3) освоен выпуск морского самолета МБР</w:t>
      </w:r>
      <w:r w:rsidRPr="00E14102">
        <w:rPr>
          <w:color w:val="000000" w:themeColor="text1"/>
          <w:sz w:val="16"/>
          <w:szCs w:val="16"/>
        </w:rPr>
        <w:noBreakHyphen/>
        <w:t>2; 4) самолеты полностью производятся с тормозными колесами; 5) освоено производство металлических винтов; 6) освоено производство винтов с переменным шагом; 7) подготовлено производство к серийному выпуску мотора РЦ на заводе № 19 и М</w:t>
      </w:r>
      <w:r w:rsidRPr="00E14102">
        <w:rPr>
          <w:color w:val="000000" w:themeColor="text1"/>
          <w:sz w:val="16"/>
          <w:szCs w:val="16"/>
        </w:rPr>
        <w:noBreakHyphen/>
        <w:t>11 на заводе № 16.; 8) освоен мотор М</w:t>
      </w:r>
      <w:r w:rsidRPr="00E14102">
        <w:rPr>
          <w:color w:val="000000" w:themeColor="text1"/>
          <w:sz w:val="16"/>
          <w:szCs w:val="16"/>
        </w:rPr>
        <w:noBreakHyphen/>
        <w:t>34 с редуктором и нагнетателем и подготовлено производство к серийному выпуску этих моторов в 1935 г.; 9) освоено производство реверсивных муфт для мотора ГМ</w:t>
      </w:r>
      <w:r w:rsidRPr="00E14102">
        <w:rPr>
          <w:color w:val="000000" w:themeColor="text1"/>
          <w:sz w:val="16"/>
          <w:szCs w:val="16"/>
        </w:rPr>
        <w:noBreakHyphen/>
        <w:t>34; 10) разработан ряд новых образцов самолетов и моторов.</w:t>
      </w:r>
    </w:p>
    <w:p w14:paraId="6B0F6485"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В результате деятельности 1934 г. авиационная промышленность далеко шагнула вперед не только в отношении качественного выпуска самолетов и моторов, но также имеет значительные достижения в улучшении качества продукции: увеличена скорость, дальность и высота полета.</w:t>
      </w:r>
    </w:p>
    <w:p w14:paraId="489031CF"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Самолет РД²* поставил мировой рекорд дальности полета без посадки и без пополнения горючим, пролетев 12 411 км по замкнутой кривой в 75 часов полета. В приложении приводится сравнительная таблица технических данных самолетов и моторов, освоенных производством в 1934 г.³*</w:t>
      </w:r>
    </w:p>
    <w:p w14:paraId="5ED3B6D4"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Перечисленным выше не исчерпываются все достижения авиапромышленности. Так, в 1934 г. разрешена проблема дальних полетов — спроектирован и построен самолет рекорд дальности полета — РД, внедряемый в 1935 г. в серийное производство. Постройкой самолета МГ ЦАГИ дан лучший образец тяжелого самолета. По своим летным качествам самолет МГ</w:t>
      </w:r>
      <w:r w:rsidRPr="00E14102">
        <w:rPr>
          <w:color w:val="000000" w:themeColor="text1"/>
          <w:sz w:val="16"/>
          <w:szCs w:val="16"/>
        </w:rPr>
        <w:noBreakHyphen/>
        <w:t>8</w:t>
      </w:r>
      <w:r w:rsidRPr="00E14102">
        <w:rPr>
          <w:color w:val="000000" w:themeColor="text1"/>
          <w:sz w:val="16"/>
          <w:szCs w:val="16"/>
        </w:rPr>
        <w:noBreakHyphen/>
        <w:t>М</w:t>
      </w:r>
      <w:r w:rsidRPr="00E14102">
        <w:rPr>
          <w:color w:val="000000" w:themeColor="text1"/>
          <w:sz w:val="16"/>
          <w:szCs w:val="16"/>
        </w:rPr>
        <w:noBreakHyphen/>
        <w:t>34Р может считаться первым в мире сухопутным тяжелым самолетом. С перегрузкой самолет имеет 53 т полетного веса, имеет скорость 244</w:t>
      </w:r>
      <w:r w:rsidRPr="00E14102">
        <w:rPr>
          <w:color w:val="000000" w:themeColor="text1"/>
          <w:sz w:val="16"/>
          <w:szCs w:val="16"/>
        </w:rPr>
        <w:noBreakHyphen/>
        <w:t>260 км/ч и потолок 4800 м. Помимо того ЦАГИ сконструированы:</w:t>
      </w:r>
    </w:p>
    <w:p w14:paraId="7B19BAAE"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1) самолет МК</w:t>
      </w:r>
      <w:r w:rsidRPr="00E14102">
        <w:rPr>
          <w:color w:val="000000" w:themeColor="text1"/>
          <w:sz w:val="16"/>
          <w:szCs w:val="16"/>
        </w:rPr>
        <w:noBreakHyphen/>
        <w:t>1</w:t>
      </w:r>
      <w:r w:rsidRPr="00E14102">
        <w:rPr>
          <w:color w:val="000000" w:themeColor="text1"/>
          <w:sz w:val="16"/>
          <w:szCs w:val="16"/>
        </w:rPr>
        <w:noBreakHyphen/>
        <w:t>6</w:t>
      </w:r>
      <w:r w:rsidRPr="00E14102">
        <w:rPr>
          <w:color w:val="000000" w:themeColor="text1"/>
          <w:sz w:val="16"/>
          <w:szCs w:val="16"/>
        </w:rPr>
        <w:noBreakHyphen/>
        <w:t>М</w:t>
      </w:r>
      <w:r w:rsidRPr="00E14102">
        <w:rPr>
          <w:color w:val="000000" w:themeColor="text1"/>
          <w:sz w:val="16"/>
          <w:szCs w:val="16"/>
        </w:rPr>
        <w:noBreakHyphen/>
        <w:t>34Р — двухлодочный морской крейсер и бомбовоз. При 24 т полетного веса скорость его достигает 228 км в час. Самолет проходит заводские испытания;</w:t>
      </w:r>
    </w:p>
    <w:p w14:paraId="251B92FC"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2) МДР</w:t>
      </w:r>
      <w:r w:rsidRPr="00E14102">
        <w:rPr>
          <w:color w:val="000000" w:themeColor="text1"/>
          <w:sz w:val="16"/>
          <w:szCs w:val="16"/>
        </w:rPr>
        <w:noBreakHyphen/>
        <w:t>4 — однолодочный морской самолет, дальний разведчик и бомбовоз. Этот самолет выпущен в 2 экземплярах (1 экземпляр потерпел катастрофу, 2</w:t>
      </w:r>
      <w:r w:rsidRPr="00E14102">
        <w:rPr>
          <w:color w:val="000000" w:themeColor="text1"/>
          <w:sz w:val="16"/>
          <w:szCs w:val="16"/>
        </w:rPr>
        <w:noBreakHyphen/>
        <w:t>й построен сверх плана на замену первого). Самолет обнаружил хорошие летные качества и дал скорость выше расчетной до 233 км в час;</w:t>
      </w:r>
    </w:p>
    <w:p w14:paraId="2DE28512"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3) СБ</w:t>
      </w:r>
      <w:r w:rsidRPr="00E14102">
        <w:rPr>
          <w:color w:val="000000" w:themeColor="text1"/>
          <w:sz w:val="16"/>
          <w:szCs w:val="16"/>
        </w:rPr>
        <w:noBreakHyphen/>
        <w:t>2</w:t>
      </w:r>
      <w:r w:rsidRPr="00E14102">
        <w:rPr>
          <w:color w:val="000000" w:themeColor="text1"/>
          <w:sz w:val="16"/>
          <w:szCs w:val="16"/>
        </w:rPr>
        <w:noBreakHyphen/>
        <w:t>РД — самолет скоростной бомбардировщик. Изготовлен из супердюраля с гладкой обшивкой крыла и фюзеляжа. На первых и предварительных испытаниях показал, что он вполне удовлетворяет техническим и расчетным данным. На 9</w:t>
      </w:r>
      <w:r w:rsidRPr="00E14102">
        <w:rPr>
          <w:color w:val="000000" w:themeColor="text1"/>
          <w:sz w:val="16"/>
          <w:szCs w:val="16"/>
        </w:rPr>
        <w:noBreakHyphen/>
        <w:t>м полете потерпел аварию; взамен его изготовлен дублер, прошедший испытания;</w:t>
      </w:r>
    </w:p>
    <w:p w14:paraId="6617CDDE"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4) СБ с двумя моторами «Испано» — скоростной бомбардировщик. Спроектирован и построен по той же схеме, как и СБ с РЦ, но с несколько другой аэродинамикой. На заводских испытаниях показал очень высокие летные качества — скорость его 433 км/ч — выше многих самых лучших в мире истребителей. Этот самолет построен из супер-дюраля с применением гладкой обшивки, создает громадный перелом в советской авиации и авиапромышленности;</w:t>
      </w:r>
    </w:p>
    <w:p w14:paraId="3A419EAE"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5) в порядке доводки существующих самолетов выпущен самолет ТБ</w:t>
      </w:r>
      <w:r w:rsidRPr="00E14102">
        <w:rPr>
          <w:color w:val="000000" w:themeColor="text1"/>
          <w:sz w:val="16"/>
          <w:szCs w:val="16"/>
        </w:rPr>
        <w:noBreakHyphen/>
        <w:t>3 с М</w:t>
      </w:r>
      <w:r w:rsidRPr="00E14102">
        <w:rPr>
          <w:color w:val="000000" w:themeColor="text1"/>
          <w:sz w:val="16"/>
          <w:szCs w:val="16"/>
        </w:rPr>
        <w:noBreakHyphen/>
        <w:t>34РН, значительно превышающий потолок всех существующих в мире тяжелых бомбовозов.</w:t>
      </w:r>
    </w:p>
    <w:p w14:paraId="02715BAC"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В 1934 г. опытные институты и конструкторские бюро заводов проделали громадную работу по подготовке производства к серийному выпуску моторов РЦ, К</w:t>
      </w:r>
      <w:r w:rsidRPr="00E14102">
        <w:rPr>
          <w:color w:val="000000" w:themeColor="text1"/>
          <w:sz w:val="16"/>
          <w:szCs w:val="16"/>
        </w:rPr>
        <w:noBreakHyphen/>
        <w:t>9, К</w:t>
      </w:r>
      <w:r w:rsidRPr="00E14102">
        <w:rPr>
          <w:color w:val="000000" w:themeColor="text1"/>
          <w:sz w:val="16"/>
          <w:szCs w:val="16"/>
        </w:rPr>
        <w:noBreakHyphen/>
        <w:t>14, «Испано-Сюиза», истребителей И</w:t>
      </w:r>
      <w:r w:rsidRPr="00E14102">
        <w:rPr>
          <w:color w:val="000000" w:themeColor="text1"/>
          <w:sz w:val="16"/>
          <w:szCs w:val="16"/>
        </w:rPr>
        <w:noBreakHyphen/>
        <w:t>14, И</w:t>
      </w:r>
      <w:r w:rsidRPr="00E14102">
        <w:rPr>
          <w:color w:val="000000" w:themeColor="text1"/>
          <w:sz w:val="16"/>
          <w:szCs w:val="16"/>
        </w:rPr>
        <w:noBreakHyphen/>
        <w:t>15, И</w:t>
      </w:r>
      <w:r w:rsidRPr="00E14102">
        <w:rPr>
          <w:color w:val="000000" w:themeColor="text1"/>
          <w:sz w:val="16"/>
          <w:szCs w:val="16"/>
        </w:rPr>
        <w:noBreakHyphen/>
        <w:t>16 и самолета СБ. Опытные институты добились таким образом целого ряда крупнейших достижений, имеющих мировое значение в области авиационной техники, чем способствовали, наряду с укреплением обороноспособности страны, также превращению нашей авиации в лучшую авиацию в мире.</w:t>
      </w:r>
    </w:p>
    <w:p w14:paraId="51D67C85"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На заводах систематически и упорно велись работы по усовершенствованию изделий: облегчению веса, увеличению скорости и дальности полета, увеличению маневренности самолета, сокращению срока службы моторов между переборками — работы по замене импортных материалов отечественными, работы над конструкциями новых самолетов и моторов. В последнем отношении выгодно выделяется завод № 29, который в 1934 г. наряду с тем, что путем усовершенствования конструкции моторов М</w:t>
      </w:r>
      <w:r w:rsidRPr="00E14102">
        <w:rPr>
          <w:color w:val="000000" w:themeColor="text1"/>
          <w:sz w:val="16"/>
          <w:szCs w:val="16"/>
        </w:rPr>
        <w:noBreakHyphen/>
        <w:t>11 и М</w:t>
      </w:r>
      <w:r w:rsidRPr="00E14102">
        <w:rPr>
          <w:color w:val="000000" w:themeColor="text1"/>
          <w:sz w:val="16"/>
          <w:szCs w:val="16"/>
        </w:rPr>
        <w:noBreakHyphen/>
        <w:t>22 добился сокращения срока работы моторов между переборами по М</w:t>
      </w:r>
      <w:r w:rsidRPr="00E14102">
        <w:rPr>
          <w:color w:val="000000" w:themeColor="text1"/>
          <w:sz w:val="16"/>
          <w:szCs w:val="16"/>
        </w:rPr>
        <w:noBreakHyphen/>
        <w:t>11 с 200 часов до 300 часов и по М</w:t>
      </w:r>
      <w:r w:rsidRPr="00E14102">
        <w:rPr>
          <w:color w:val="000000" w:themeColor="text1"/>
          <w:sz w:val="16"/>
          <w:szCs w:val="16"/>
        </w:rPr>
        <w:noBreakHyphen/>
        <w:t>22 со 150 часов до 200 часов, проделал исключительно большую работу над созданием новых образцов моторов. Такими моторами являются: М</w:t>
      </w:r>
      <w:r w:rsidRPr="00E14102">
        <w:rPr>
          <w:color w:val="000000" w:themeColor="text1"/>
          <w:sz w:val="16"/>
          <w:szCs w:val="16"/>
        </w:rPr>
        <w:noBreakHyphen/>
        <w:t>48, М</w:t>
      </w:r>
      <w:r w:rsidRPr="00E14102">
        <w:rPr>
          <w:color w:val="000000" w:themeColor="text1"/>
          <w:sz w:val="16"/>
          <w:szCs w:val="16"/>
        </w:rPr>
        <w:noBreakHyphen/>
        <w:t>49 и М</w:t>
      </w:r>
      <w:r w:rsidRPr="00E14102">
        <w:rPr>
          <w:color w:val="000000" w:themeColor="text1"/>
          <w:sz w:val="16"/>
          <w:szCs w:val="16"/>
        </w:rPr>
        <w:noBreakHyphen/>
        <w:t>58. Заводом проведена полная проверка технической документации мотора М</w:t>
      </w:r>
      <w:r w:rsidRPr="00E14102">
        <w:rPr>
          <w:color w:val="000000" w:themeColor="text1"/>
          <w:sz w:val="16"/>
          <w:szCs w:val="16"/>
        </w:rPr>
        <w:noBreakHyphen/>
        <w:t>48 и передана на завод № 16 для внедрения в производство. Один из 7 экземпляров этого мотора был представлен на выставке в Копенгагене. Образцы М</w:t>
      </w:r>
      <w:r w:rsidRPr="00E14102">
        <w:rPr>
          <w:color w:val="000000" w:themeColor="text1"/>
          <w:sz w:val="16"/>
          <w:szCs w:val="16"/>
        </w:rPr>
        <w:noBreakHyphen/>
        <w:t>48, М</w:t>
      </w:r>
      <w:r w:rsidRPr="00E14102">
        <w:rPr>
          <w:color w:val="000000" w:themeColor="text1"/>
          <w:sz w:val="16"/>
          <w:szCs w:val="16"/>
        </w:rPr>
        <w:noBreakHyphen/>
        <w:t>49 и М</w:t>
      </w:r>
      <w:r w:rsidRPr="00E14102">
        <w:rPr>
          <w:color w:val="000000" w:themeColor="text1"/>
          <w:sz w:val="16"/>
          <w:szCs w:val="16"/>
        </w:rPr>
        <w:noBreakHyphen/>
        <w:t>58 прошли гос. испытания.</w:t>
      </w:r>
    </w:p>
    <w:p w14:paraId="2C73EC83"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II. Выполнение плана в натуральном выражении</w:t>
      </w:r>
    </w:p>
    <w:p w14:paraId="7645212C"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План по выпуску для заводов ГУАПа на 1934 г. был установлен в количестве: 1) самолетов — 5008 шт.; 2) моторов — 10 240 шт. В результате последовавших затем изменений по решениям правительства план на 1934 г. был изменен. Измененный план и выполнение в количественном выражении характеризуется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57"/>
        <w:gridCol w:w="1175"/>
        <w:gridCol w:w="1175"/>
        <w:gridCol w:w="1019"/>
        <w:gridCol w:w="1035"/>
        <w:gridCol w:w="1372"/>
        <w:gridCol w:w="1490"/>
      </w:tblGrid>
      <w:tr w:rsidR="00E3599D" w:rsidRPr="00E14102" w14:paraId="2552BB7C"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5168F0B" w14:textId="77777777" w:rsidR="0016217F" w:rsidRPr="00E14102" w:rsidRDefault="0016217F" w:rsidP="00E14102">
            <w:pPr>
              <w:jc w:val="both"/>
              <w:rPr>
                <w:color w:val="000000" w:themeColor="text1"/>
                <w:sz w:val="16"/>
                <w:szCs w:val="16"/>
              </w:rPr>
            </w:pPr>
            <w:r w:rsidRPr="00E14102">
              <w:rPr>
                <w:color w:val="000000" w:themeColor="text1"/>
                <w:sz w:val="16"/>
                <w:szCs w:val="16"/>
              </w:rPr>
              <w:t>Наименование изделий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7A6ECA" w14:textId="77777777" w:rsidR="0016217F" w:rsidRPr="00E14102" w:rsidRDefault="0016217F" w:rsidP="00E14102">
            <w:pPr>
              <w:jc w:val="both"/>
              <w:rPr>
                <w:color w:val="000000" w:themeColor="text1"/>
                <w:sz w:val="16"/>
                <w:szCs w:val="16"/>
              </w:rPr>
            </w:pPr>
            <w:r w:rsidRPr="00E14102">
              <w:rPr>
                <w:color w:val="000000" w:themeColor="text1"/>
                <w:sz w:val="16"/>
                <w:szCs w:val="16"/>
              </w:rPr>
              <w:t>Выработано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F91466" w14:textId="77777777" w:rsidR="0016217F" w:rsidRPr="00E14102" w:rsidRDefault="0016217F" w:rsidP="00E14102">
            <w:pPr>
              <w:jc w:val="both"/>
              <w:rPr>
                <w:color w:val="000000" w:themeColor="text1"/>
                <w:sz w:val="16"/>
                <w:szCs w:val="16"/>
              </w:rPr>
            </w:pPr>
            <w:r w:rsidRPr="00E14102">
              <w:rPr>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A905ECD" w14:textId="77777777" w:rsidR="0016217F" w:rsidRPr="00E14102" w:rsidRDefault="0016217F" w:rsidP="00E14102">
            <w:pPr>
              <w:jc w:val="both"/>
              <w:rPr>
                <w:color w:val="000000" w:themeColor="text1"/>
                <w:sz w:val="16"/>
                <w:szCs w:val="16"/>
              </w:rPr>
            </w:pPr>
            <w:r w:rsidRPr="00E14102">
              <w:rPr>
                <w:color w:val="000000" w:themeColor="text1"/>
                <w:sz w:val="16"/>
                <w:szCs w:val="16"/>
              </w:rPr>
              <w:t>Процент</w:t>
            </w:r>
          </w:p>
          <w:p w14:paraId="4F91BED4" w14:textId="77777777" w:rsidR="0016217F" w:rsidRPr="00E14102" w:rsidRDefault="0016217F" w:rsidP="00E14102">
            <w:pPr>
              <w:jc w:val="both"/>
              <w:rPr>
                <w:color w:val="000000" w:themeColor="text1"/>
                <w:sz w:val="16"/>
                <w:szCs w:val="16"/>
              </w:rPr>
            </w:pPr>
            <w:r w:rsidRPr="00E14102">
              <w:rPr>
                <w:color w:val="000000" w:themeColor="text1"/>
                <w:sz w:val="16"/>
                <w:szCs w:val="16"/>
              </w:rPr>
              <w:t>выполнения</w:t>
            </w:r>
          </w:p>
        </w:tc>
      </w:tr>
      <w:tr w:rsidR="00E3599D" w:rsidRPr="00E14102" w14:paraId="16B53642"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1EF502C" w14:textId="77777777" w:rsidR="0016217F" w:rsidRPr="00E14102" w:rsidRDefault="0016217F"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E396CF" w14:textId="77777777" w:rsidR="0016217F" w:rsidRPr="00E14102" w:rsidRDefault="0016217F" w:rsidP="00E14102">
            <w:pPr>
              <w:jc w:val="both"/>
              <w:rPr>
                <w:color w:val="000000" w:themeColor="text1"/>
                <w:sz w:val="16"/>
                <w:szCs w:val="16"/>
              </w:rPr>
            </w:pPr>
            <w:r w:rsidRPr="00E14102">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D2931" w14:textId="77777777" w:rsidR="0016217F" w:rsidRPr="00E14102" w:rsidRDefault="0016217F" w:rsidP="00E14102">
            <w:pPr>
              <w:jc w:val="both"/>
              <w:rPr>
                <w:color w:val="000000" w:themeColor="text1"/>
                <w:sz w:val="16"/>
                <w:szCs w:val="16"/>
              </w:rPr>
            </w:pPr>
            <w:r w:rsidRPr="00E14102">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1F3CC" w14:textId="77777777" w:rsidR="0016217F" w:rsidRPr="00E14102" w:rsidRDefault="0016217F" w:rsidP="00E14102">
            <w:pPr>
              <w:jc w:val="both"/>
              <w:rPr>
                <w:color w:val="000000" w:themeColor="text1"/>
                <w:sz w:val="16"/>
                <w:szCs w:val="16"/>
              </w:rPr>
            </w:pPr>
            <w:r w:rsidRPr="00E14102">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2BF64" w14:textId="77777777" w:rsidR="0016217F" w:rsidRPr="00E14102" w:rsidRDefault="0016217F" w:rsidP="00E14102">
            <w:pPr>
              <w:jc w:val="both"/>
              <w:rPr>
                <w:color w:val="000000" w:themeColor="text1"/>
                <w:sz w:val="16"/>
                <w:szCs w:val="16"/>
              </w:rPr>
            </w:pPr>
            <w:r w:rsidRPr="00E14102">
              <w:rPr>
                <w:color w:val="000000" w:themeColor="text1"/>
                <w:sz w:val="16"/>
                <w:szCs w:val="16"/>
              </w:rPr>
              <w:t>Отчет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5107B" w14:textId="77777777" w:rsidR="0016217F" w:rsidRPr="00E14102" w:rsidRDefault="0016217F" w:rsidP="00E14102">
            <w:pPr>
              <w:jc w:val="both"/>
              <w:rPr>
                <w:color w:val="000000" w:themeColor="text1"/>
                <w:sz w:val="16"/>
                <w:szCs w:val="16"/>
              </w:rPr>
            </w:pPr>
            <w:r w:rsidRPr="00E14102">
              <w:rPr>
                <w:color w:val="000000" w:themeColor="text1"/>
                <w:sz w:val="16"/>
                <w:szCs w:val="16"/>
              </w:rPr>
              <w:t>К плану</w:t>
            </w:r>
          </w:p>
          <w:p w14:paraId="7E361E83" w14:textId="77777777" w:rsidR="0016217F" w:rsidRPr="00E14102" w:rsidRDefault="0016217F" w:rsidP="00E14102">
            <w:pPr>
              <w:jc w:val="both"/>
              <w:rPr>
                <w:color w:val="000000" w:themeColor="text1"/>
                <w:sz w:val="16"/>
                <w:szCs w:val="16"/>
              </w:rPr>
            </w:pPr>
            <w:r w:rsidRPr="00E14102">
              <w:rPr>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D9401" w14:textId="77777777" w:rsidR="0016217F" w:rsidRPr="00E14102" w:rsidRDefault="0016217F" w:rsidP="00E14102">
            <w:pPr>
              <w:jc w:val="both"/>
              <w:rPr>
                <w:color w:val="000000" w:themeColor="text1"/>
                <w:sz w:val="16"/>
                <w:szCs w:val="16"/>
              </w:rPr>
            </w:pPr>
            <w:r w:rsidRPr="00E14102">
              <w:rPr>
                <w:color w:val="000000" w:themeColor="text1"/>
                <w:sz w:val="16"/>
                <w:szCs w:val="16"/>
              </w:rPr>
              <w:t>К отчету</w:t>
            </w:r>
          </w:p>
          <w:p w14:paraId="3E63D37D" w14:textId="77777777" w:rsidR="0016217F" w:rsidRPr="00E14102" w:rsidRDefault="0016217F" w:rsidP="00E14102">
            <w:pPr>
              <w:jc w:val="both"/>
              <w:rPr>
                <w:color w:val="000000" w:themeColor="text1"/>
                <w:sz w:val="16"/>
                <w:szCs w:val="16"/>
              </w:rPr>
            </w:pPr>
            <w:r w:rsidRPr="00E14102">
              <w:rPr>
                <w:color w:val="000000" w:themeColor="text1"/>
                <w:sz w:val="16"/>
                <w:szCs w:val="16"/>
              </w:rPr>
              <w:t>1933 г.</w:t>
            </w:r>
          </w:p>
        </w:tc>
      </w:tr>
      <w:tr w:rsidR="00E3599D" w:rsidRPr="00E14102" w14:paraId="3960292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EF3F45" w14:textId="77777777" w:rsidR="0016217F" w:rsidRPr="00E14102" w:rsidRDefault="0016217F" w:rsidP="00E14102">
            <w:pPr>
              <w:jc w:val="both"/>
              <w:rPr>
                <w:color w:val="000000" w:themeColor="text1"/>
                <w:sz w:val="16"/>
                <w:szCs w:val="16"/>
              </w:rPr>
            </w:pPr>
            <w:r w:rsidRPr="00E14102">
              <w:rPr>
                <w:color w:val="000000" w:themeColor="text1"/>
                <w:sz w:val="16"/>
                <w:szCs w:val="16"/>
              </w:rPr>
              <w:t>1.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B03DF" w14:textId="77777777" w:rsidR="0016217F" w:rsidRPr="00E14102" w:rsidRDefault="0016217F" w:rsidP="00E14102">
            <w:pPr>
              <w:jc w:val="both"/>
              <w:rPr>
                <w:color w:val="000000" w:themeColor="text1"/>
                <w:sz w:val="16"/>
                <w:szCs w:val="16"/>
              </w:rPr>
            </w:pPr>
            <w:r w:rsidRPr="00E14102">
              <w:rPr>
                <w:color w:val="000000" w:themeColor="text1"/>
                <w:sz w:val="16"/>
                <w:szCs w:val="16"/>
              </w:rPr>
              <w:t>2490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058A0" w14:textId="77777777" w:rsidR="0016217F" w:rsidRPr="00E14102" w:rsidRDefault="0016217F" w:rsidP="00E14102">
            <w:pPr>
              <w:jc w:val="both"/>
              <w:rPr>
                <w:color w:val="000000" w:themeColor="text1"/>
                <w:sz w:val="16"/>
                <w:szCs w:val="16"/>
              </w:rPr>
            </w:pPr>
            <w:r w:rsidRPr="00E14102">
              <w:rPr>
                <w:color w:val="000000" w:themeColor="text1"/>
                <w:sz w:val="16"/>
                <w:szCs w:val="16"/>
              </w:rPr>
              <w:t>4116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4F16E" w14:textId="77777777" w:rsidR="0016217F" w:rsidRPr="00E14102" w:rsidRDefault="0016217F" w:rsidP="00E14102">
            <w:pPr>
              <w:jc w:val="both"/>
              <w:rPr>
                <w:color w:val="000000" w:themeColor="text1"/>
                <w:sz w:val="16"/>
                <w:szCs w:val="16"/>
              </w:rPr>
            </w:pPr>
            <w:r w:rsidRPr="00E14102">
              <w:rPr>
                <w:color w:val="000000" w:themeColor="text1"/>
                <w:sz w:val="16"/>
                <w:szCs w:val="16"/>
              </w:rPr>
              <w:t>5225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ED3D1" w14:textId="77777777" w:rsidR="0016217F" w:rsidRPr="00E14102" w:rsidRDefault="0016217F" w:rsidP="00E14102">
            <w:pPr>
              <w:jc w:val="both"/>
              <w:rPr>
                <w:color w:val="000000" w:themeColor="text1"/>
                <w:sz w:val="16"/>
                <w:szCs w:val="16"/>
              </w:rPr>
            </w:pPr>
            <w:r w:rsidRPr="00E14102">
              <w:rPr>
                <w:color w:val="000000" w:themeColor="text1"/>
                <w:sz w:val="16"/>
                <w:szCs w:val="16"/>
              </w:rPr>
              <w:t>4354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0BE02" w14:textId="77777777" w:rsidR="0016217F" w:rsidRPr="00E14102" w:rsidRDefault="0016217F" w:rsidP="00E14102">
            <w:pPr>
              <w:jc w:val="both"/>
              <w:rPr>
                <w:color w:val="000000" w:themeColor="text1"/>
                <w:sz w:val="16"/>
                <w:szCs w:val="16"/>
              </w:rPr>
            </w:pPr>
            <w:r w:rsidRPr="00E14102">
              <w:rPr>
                <w:color w:val="000000" w:themeColor="text1"/>
                <w:sz w:val="16"/>
                <w:szCs w:val="16"/>
              </w:rPr>
              <w:t>83,3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63EB2" w14:textId="77777777" w:rsidR="0016217F" w:rsidRPr="00E14102" w:rsidRDefault="0016217F" w:rsidP="00E14102">
            <w:pPr>
              <w:jc w:val="both"/>
              <w:rPr>
                <w:color w:val="000000" w:themeColor="text1"/>
                <w:sz w:val="16"/>
                <w:szCs w:val="16"/>
              </w:rPr>
            </w:pPr>
            <w:r w:rsidRPr="00E14102">
              <w:rPr>
                <w:color w:val="000000" w:themeColor="text1"/>
                <w:sz w:val="16"/>
                <w:szCs w:val="16"/>
              </w:rPr>
              <w:t>106,2</w:t>
            </w:r>
          </w:p>
        </w:tc>
      </w:tr>
      <w:tr w:rsidR="00E3599D" w:rsidRPr="00E14102" w14:paraId="19CD772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169135" w14:textId="77777777" w:rsidR="0016217F" w:rsidRPr="00E14102" w:rsidRDefault="0016217F" w:rsidP="00E14102">
            <w:pPr>
              <w:jc w:val="both"/>
              <w:rPr>
                <w:color w:val="000000" w:themeColor="text1"/>
                <w:sz w:val="16"/>
                <w:szCs w:val="16"/>
              </w:rPr>
            </w:pPr>
            <w:r w:rsidRPr="00E14102">
              <w:rPr>
                <w:color w:val="000000" w:themeColor="text1"/>
                <w:sz w:val="16"/>
                <w:szCs w:val="16"/>
              </w:rPr>
              <w:t>групп[овые] комплекты]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D7D44" w14:textId="77777777" w:rsidR="0016217F" w:rsidRPr="00E14102" w:rsidRDefault="0016217F" w:rsidP="00E14102">
            <w:pPr>
              <w:jc w:val="both"/>
              <w:rPr>
                <w:color w:val="000000" w:themeColor="text1"/>
                <w:sz w:val="16"/>
                <w:szCs w:val="16"/>
              </w:rPr>
            </w:pPr>
            <w:r w:rsidRPr="00E14102">
              <w:rPr>
                <w:color w:val="000000" w:themeColor="text1"/>
                <w:sz w:val="16"/>
                <w:szCs w:val="16"/>
              </w:rPr>
              <w:t>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B5978" w14:textId="77777777" w:rsidR="0016217F" w:rsidRPr="00E14102" w:rsidRDefault="0016217F" w:rsidP="00E14102">
            <w:pPr>
              <w:jc w:val="both"/>
              <w:rPr>
                <w:color w:val="000000" w:themeColor="text1"/>
                <w:sz w:val="16"/>
                <w:szCs w:val="16"/>
              </w:rPr>
            </w:pPr>
            <w:r w:rsidRPr="00E14102">
              <w:rPr>
                <w:color w:val="000000" w:themeColor="text1"/>
                <w:sz w:val="16"/>
                <w:szCs w:val="16"/>
              </w:rPr>
              <w:t>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41A2C" w14:textId="77777777" w:rsidR="0016217F" w:rsidRPr="00E14102" w:rsidRDefault="0016217F" w:rsidP="00E14102">
            <w:pPr>
              <w:jc w:val="both"/>
              <w:rPr>
                <w:color w:val="000000" w:themeColor="text1"/>
                <w:sz w:val="16"/>
                <w:szCs w:val="16"/>
              </w:rPr>
            </w:pPr>
            <w:r w:rsidRPr="00E14102">
              <w:rPr>
                <w:color w:val="000000" w:themeColor="text1"/>
                <w:sz w:val="16"/>
                <w:szCs w:val="16"/>
              </w:rPr>
              <w:t>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CF20F" w14:textId="77777777" w:rsidR="0016217F" w:rsidRPr="00E14102" w:rsidRDefault="0016217F" w:rsidP="00E14102">
            <w:pPr>
              <w:jc w:val="both"/>
              <w:rPr>
                <w:color w:val="000000" w:themeColor="text1"/>
                <w:sz w:val="16"/>
                <w:szCs w:val="16"/>
              </w:rPr>
            </w:pPr>
            <w:r w:rsidRPr="00E14102">
              <w:rPr>
                <w:color w:val="000000" w:themeColor="text1"/>
                <w:sz w:val="16"/>
                <w:szCs w:val="16"/>
              </w:rPr>
              <w:t>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F0ED5" w14:textId="77777777" w:rsidR="0016217F" w:rsidRPr="00E14102" w:rsidRDefault="0016217F" w:rsidP="00E14102">
            <w:pPr>
              <w:jc w:val="both"/>
              <w:rPr>
                <w:color w:val="000000" w:themeColor="text1"/>
                <w:sz w:val="16"/>
                <w:szCs w:val="16"/>
              </w:rPr>
            </w:pPr>
            <w:r w:rsidRPr="00E14102">
              <w:rPr>
                <w:color w:val="000000" w:themeColor="text1"/>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8ABA4" w14:textId="77777777" w:rsidR="0016217F" w:rsidRPr="00E14102" w:rsidRDefault="0016217F" w:rsidP="00E14102">
            <w:pPr>
              <w:jc w:val="both"/>
              <w:rPr>
                <w:color w:val="000000" w:themeColor="text1"/>
                <w:sz w:val="16"/>
                <w:szCs w:val="16"/>
              </w:rPr>
            </w:pPr>
            <w:r w:rsidRPr="00E14102">
              <w:rPr>
                <w:color w:val="000000" w:themeColor="text1"/>
                <w:sz w:val="16"/>
                <w:szCs w:val="16"/>
              </w:rPr>
              <w:t>76,2</w:t>
            </w:r>
          </w:p>
        </w:tc>
      </w:tr>
      <w:tr w:rsidR="00E3599D" w:rsidRPr="00E14102" w14:paraId="1E5A6FC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605B45" w14:textId="77777777" w:rsidR="0016217F" w:rsidRPr="00E14102" w:rsidRDefault="0016217F" w:rsidP="00E14102">
            <w:pPr>
              <w:jc w:val="both"/>
              <w:rPr>
                <w:color w:val="000000" w:themeColor="text1"/>
                <w:sz w:val="16"/>
                <w:szCs w:val="16"/>
              </w:rPr>
            </w:pPr>
            <w:r w:rsidRPr="00E14102">
              <w:rPr>
                <w:color w:val="000000" w:themeColor="text1"/>
                <w:sz w:val="16"/>
                <w:szCs w:val="16"/>
              </w:rPr>
              <w:t>2. 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A52F0" w14:textId="77777777" w:rsidR="0016217F" w:rsidRPr="00E14102" w:rsidRDefault="0016217F" w:rsidP="00E14102">
            <w:pPr>
              <w:jc w:val="both"/>
              <w:rPr>
                <w:color w:val="000000" w:themeColor="text1"/>
                <w:sz w:val="16"/>
                <w:szCs w:val="16"/>
              </w:rPr>
            </w:pPr>
            <w:r w:rsidRPr="00E14102">
              <w:rPr>
                <w:color w:val="000000" w:themeColor="text1"/>
                <w:sz w:val="16"/>
                <w:szCs w:val="16"/>
              </w:rPr>
              <w:t>4918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C982F" w14:textId="77777777" w:rsidR="0016217F" w:rsidRPr="00E14102" w:rsidRDefault="0016217F" w:rsidP="00E14102">
            <w:pPr>
              <w:jc w:val="both"/>
              <w:rPr>
                <w:color w:val="000000" w:themeColor="text1"/>
                <w:sz w:val="16"/>
                <w:szCs w:val="16"/>
              </w:rPr>
            </w:pPr>
            <w:r w:rsidRPr="00E14102">
              <w:rPr>
                <w:color w:val="000000" w:themeColor="text1"/>
                <w:sz w:val="16"/>
                <w:szCs w:val="16"/>
              </w:rPr>
              <w:t>7775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6F221" w14:textId="77777777" w:rsidR="0016217F" w:rsidRPr="00E14102" w:rsidRDefault="0016217F" w:rsidP="00E14102">
            <w:pPr>
              <w:jc w:val="both"/>
              <w:rPr>
                <w:color w:val="000000" w:themeColor="text1"/>
                <w:sz w:val="16"/>
                <w:szCs w:val="16"/>
              </w:rPr>
            </w:pPr>
            <w:r w:rsidRPr="00E14102">
              <w:rPr>
                <w:color w:val="000000" w:themeColor="text1"/>
                <w:sz w:val="16"/>
                <w:szCs w:val="16"/>
              </w:rPr>
              <w:t>10414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3B886" w14:textId="77777777" w:rsidR="0016217F" w:rsidRPr="00E14102" w:rsidRDefault="0016217F" w:rsidP="00E14102">
            <w:pPr>
              <w:jc w:val="both"/>
              <w:rPr>
                <w:color w:val="000000" w:themeColor="text1"/>
                <w:sz w:val="16"/>
                <w:szCs w:val="16"/>
              </w:rPr>
            </w:pPr>
            <w:r w:rsidRPr="00E14102">
              <w:rPr>
                <w:color w:val="000000" w:themeColor="text1"/>
                <w:sz w:val="16"/>
                <w:szCs w:val="16"/>
              </w:rPr>
              <w:t>10269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AD308" w14:textId="77777777" w:rsidR="0016217F" w:rsidRPr="00E14102" w:rsidRDefault="0016217F" w:rsidP="00E14102">
            <w:pPr>
              <w:jc w:val="both"/>
              <w:rPr>
                <w:color w:val="000000" w:themeColor="text1"/>
                <w:sz w:val="16"/>
                <w:szCs w:val="16"/>
              </w:rPr>
            </w:pPr>
            <w:r w:rsidRPr="00E14102">
              <w:rPr>
                <w:color w:val="000000" w:themeColor="text1"/>
                <w:sz w:val="16"/>
                <w:szCs w:val="16"/>
              </w:rPr>
              <w:t>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EB88A" w14:textId="77777777" w:rsidR="0016217F" w:rsidRPr="00E14102" w:rsidRDefault="0016217F" w:rsidP="00E14102">
            <w:pPr>
              <w:jc w:val="both"/>
              <w:rPr>
                <w:color w:val="000000" w:themeColor="text1"/>
                <w:sz w:val="16"/>
                <w:szCs w:val="16"/>
              </w:rPr>
            </w:pPr>
            <w:r w:rsidRPr="00E14102">
              <w:rPr>
                <w:color w:val="000000" w:themeColor="text1"/>
                <w:sz w:val="16"/>
                <w:szCs w:val="16"/>
              </w:rPr>
              <w:t>132,1</w:t>
            </w:r>
          </w:p>
        </w:tc>
      </w:tr>
      <w:tr w:rsidR="00E3599D" w:rsidRPr="00E14102" w14:paraId="751D103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7F29FF" w14:textId="77777777" w:rsidR="0016217F" w:rsidRPr="00E14102" w:rsidRDefault="0016217F" w:rsidP="00E14102">
            <w:pPr>
              <w:jc w:val="both"/>
              <w:rPr>
                <w:color w:val="000000" w:themeColor="text1"/>
                <w:sz w:val="16"/>
                <w:szCs w:val="16"/>
              </w:rPr>
            </w:pPr>
            <w:r w:rsidRPr="00E14102">
              <w:rPr>
                <w:color w:val="000000" w:themeColor="text1"/>
                <w:sz w:val="16"/>
                <w:szCs w:val="16"/>
              </w:rPr>
              <w:t>групп[овые] комплекты]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AC30D" w14:textId="77777777" w:rsidR="0016217F" w:rsidRPr="00E14102" w:rsidRDefault="0016217F" w:rsidP="00E14102">
            <w:pPr>
              <w:jc w:val="both"/>
              <w:rPr>
                <w:color w:val="000000" w:themeColor="text1"/>
                <w:sz w:val="16"/>
                <w:szCs w:val="16"/>
              </w:rPr>
            </w:pPr>
            <w:r w:rsidRPr="00E14102">
              <w:rPr>
                <w:color w:val="000000" w:themeColor="text1"/>
                <w:sz w:val="16"/>
                <w:szCs w:val="16"/>
              </w:rPr>
              <w:t>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99207" w14:textId="77777777" w:rsidR="0016217F" w:rsidRPr="00E14102" w:rsidRDefault="0016217F" w:rsidP="00E14102">
            <w:pPr>
              <w:jc w:val="both"/>
              <w:rPr>
                <w:color w:val="000000" w:themeColor="text1"/>
                <w:sz w:val="16"/>
                <w:szCs w:val="16"/>
              </w:rPr>
            </w:pPr>
            <w:r w:rsidRPr="00E14102">
              <w:rPr>
                <w:color w:val="000000" w:themeColor="text1"/>
                <w:sz w:val="16"/>
                <w:szCs w:val="16"/>
              </w:rPr>
              <w:t>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3FB40" w14:textId="77777777" w:rsidR="0016217F" w:rsidRPr="00E14102" w:rsidRDefault="0016217F" w:rsidP="00E14102">
            <w:pPr>
              <w:jc w:val="both"/>
              <w:rPr>
                <w:color w:val="000000" w:themeColor="text1"/>
                <w:sz w:val="16"/>
                <w:szCs w:val="16"/>
              </w:rPr>
            </w:pPr>
            <w:r w:rsidRPr="00E14102">
              <w:rPr>
                <w:color w:val="000000" w:themeColor="text1"/>
                <w:sz w:val="16"/>
                <w:szCs w:val="16"/>
              </w:rPr>
              <w:t>1371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A7E86" w14:textId="77777777" w:rsidR="0016217F" w:rsidRPr="00E14102" w:rsidRDefault="0016217F" w:rsidP="00E14102">
            <w:pPr>
              <w:jc w:val="both"/>
              <w:rPr>
                <w:color w:val="000000" w:themeColor="text1"/>
                <w:sz w:val="16"/>
                <w:szCs w:val="16"/>
              </w:rPr>
            </w:pPr>
            <w:r w:rsidRPr="00E14102">
              <w:rPr>
                <w:color w:val="000000" w:themeColor="text1"/>
                <w:sz w:val="16"/>
                <w:szCs w:val="16"/>
              </w:rPr>
              <w:t>1120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49DF7" w14:textId="77777777" w:rsidR="0016217F" w:rsidRPr="00E14102" w:rsidRDefault="0016217F" w:rsidP="00E14102">
            <w:pPr>
              <w:jc w:val="both"/>
              <w:rPr>
                <w:color w:val="000000" w:themeColor="text1"/>
                <w:sz w:val="16"/>
                <w:szCs w:val="16"/>
              </w:rPr>
            </w:pPr>
            <w:r w:rsidRPr="00E14102">
              <w:rPr>
                <w:color w:val="000000" w:themeColor="text1"/>
                <w:sz w:val="16"/>
                <w:szCs w:val="16"/>
              </w:rPr>
              <w:t>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CEAEA" w14:textId="77777777" w:rsidR="0016217F" w:rsidRPr="00E14102" w:rsidRDefault="0016217F" w:rsidP="00E14102">
            <w:pPr>
              <w:jc w:val="both"/>
              <w:rPr>
                <w:color w:val="000000" w:themeColor="text1"/>
                <w:sz w:val="16"/>
                <w:szCs w:val="16"/>
              </w:rPr>
            </w:pPr>
            <w:r w:rsidRPr="00E14102">
              <w:rPr>
                <w:color w:val="000000" w:themeColor="text1"/>
                <w:sz w:val="16"/>
                <w:szCs w:val="16"/>
              </w:rPr>
              <w:t>159,2</w:t>
            </w:r>
          </w:p>
        </w:tc>
      </w:tr>
    </w:tbl>
    <w:p w14:paraId="7703D589"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План и выполнение по структуре самолетной продукции выражено в следующей таблице: (см. таблицу № 1а). План и выполнение по типам самолетов, моторов и групповых к ним комплектов приведен в приложении (таблица № 1). Из приведенных таблиц видно, что наряду с отмеченными выше достижениями авиационная промышленность плана 1934 г. полностью не выполнила. Если план по моторам не выполнен на 1,4%, то план по самолетам выполнен только на 83,3%, а по групповым комплектам к самолетам план недовыполнен на 51,8%, по гр[упповым] комплектам к моторам — на 18,4%.</w:t>
      </w:r>
    </w:p>
    <w:p w14:paraId="6923D497"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По видам недовыполнение плана следующее:</w:t>
      </w:r>
    </w:p>
    <w:p w14:paraId="1E9F8D62"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1. </w:t>
      </w:r>
      <w:r w:rsidRPr="00E14102">
        <w:rPr>
          <w:rStyle w:val="a6"/>
          <w:bCs/>
          <w:i w:val="0"/>
          <w:color w:val="000000" w:themeColor="text1"/>
          <w:sz w:val="16"/>
          <w:szCs w:val="16"/>
        </w:rPr>
        <w:t>Самолеты</w:t>
      </w:r>
      <w:r w:rsidRPr="00E14102">
        <w:rPr>
          <w:color w:val="000000" w:themeColor="text1"/>
          <w:sz w:val="16"/>
          <w:szCs w:val="16"/>
        </w:rPr>
        <w:t>, а) легкие истребители, крейсерские и скоростные бомбардировщики — на 26,3%; б) тяжелым бомбардировщикам — на 35%; в) разведчикам, легким бомбардировщикам и штурмовикам — на 15,6% и г) учебным и связным — на 9%.</w:t>
      </w:r>
    </w:p>
    <w:p w14:paraId="69FFAAFC"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2. </w:t>
      </w:r>
      <w:r w:rsidRPr="00E14102">
        <w:rPr>
          <w:rStyle w:val="a6"/>
          <w:bCs/>
          <w:i w:val="0"/>
          <w:color w:val="000000" w:themeColor="text1"/>
          <w:sz w:val="16"/>
          <w:szCs w:val="16"/>
        </w:rPr>
        <w:t>Моторы</w:t>
      </w:r>
      <w:r w:rsidRPr="00E14102">
        <w:rPr>
          <w:color w:val="000000" w:themeColor="text1"/>
          <w:sz w:val="16"/>
          <w:szCs w:val="16"/>
        </w:rPr>
        <w:t>. Водяного охлаждения — на 2,5%. План по моторам воздушного охлаждения выполнен на 101%. План полностью не выполнен по следующим типам машин: по самолетам: МИ</w:t>
      </w:r>
      <w:r w:rsidRPr="00E14102">
        <w:rPr>
          <w:color w:val="000000" w:themeColor="text1"/>
          <w:sz w:val="16"/>
          <w:szCs w:val="16"/>
        </w:rPr>
        <w:noBreakHyphen/>
        <w:t>3, И</w:t>
      </w:r>
      <w:r w:rsidRPr="00E14102">
        <w:rPr>
          <w:color w:val="000000" w:themeColor="text1"/>
          <w:sz w:val="16"/>
          <w:szCs w:val="16"/>
        </w:rPr>
        <w:noBreakHyphen/>
        <w:t>14, ТБ</w:t>
      </w:r>
      <w:r w:rsidRPr="00E14102">
        <w:rPr>
          <w:color w:val="000000" w:themeColor="text1"/>
          <w:sz w:val="16"/>
          <w:szCs w:val="16"/>
        </w:rPr>
        <w:noBreakHyphen/>
        <w:t>3</w:t>
      </w:r>
      <w:r w:rsidRPr="00E14102">
        <w:rPr>
          <w:color w:val="000000" w:themeColor="text1"/>
          <w:sz w:val="16"/>
          <w:szCs w:val="16"/>
        </w:rPr>
        <w:noBreakHyphen/>
        <w:t>4, М</w:t>
      </w:r>
      <w:r w:rsidRPr="00E14102">
        <w:rPr>
          <w:color w:val="000000" w:themeColor="text1"/>
          <w:sz w:val="16"/>
          <w:szCs w:val="16"/>
        </w:rPr>
        <w:noBreakHyphen/>
        <w:t>34 PH, МК, МДР</w:t>
      </w:r>
      <w:r w:rsidRPr="00E14102">
        <w:rPr>
          <w:color w:val="000000" w:themeColor="text1"/>
          <w:sz w:val="16"/>
          <w:szCs w:val="16"/>
        </w:rPr>
        <w:noBreakHyphen/>
        <w:t>4, ТШ</w:t>
      </w:r>
      <w:r w:rsidRPr="00E14102">
        <w:rPr>
          <w:color w:val="000000" w:themeColor="text1"/>
          <w:sz w:val="16"/>
          <w:szCs w:val="16"/>
        </w:rPr>
        <w:noBreakHyphen/>
        <w:t>3, ЛР, РД, ХАИ, МП</w:t>
      </w:r>
      <w:r w:rsidRPr="00E14102">
        <w:rPr>
          <w:color w:val="000000" w:themeColor="text1"/>
          <w:sz w:val="16"/>
          <w:szCs w:val="16"/>
        </w:rPr>
        <w:noBreakHyphen/>
        <w:t>1 и по моторам: М</w:t>
      </w:r>
      <w:r w:rsidRPr="00E14102">
        <w:rPr>
          <w:color w:val="000000" w:themeColor="text1"/>
          <w:sz w:val="16"/>
          <w:szCs w:val="16"/>
        </w:rPr>
        <w:noBreakHyphen/>
        <w:t>25 (РЦ), М</w:t>
      </w:r>
      <w:r w:rsidRPr="00E14102">
        <w:rPr>
          <w:color w:val="000000" w:themeColor="text1"/>
          <w:sz w:val="16"/>
          <w:szCs w:val="16"/>
        </w:rPr>
        <w:noBreakHyphen/>
        <w:t>125 и М</w:t>
      </w:r>
      <w:r w:rsidRPr="00E14102">
        <w:rPr>
          <w:color w:val="000000" w:themeColor="text1"/>
          <w:sz w:val="16"/>
          <w:szCs w:val="16"/>
        </w:rPr>
        <w:noBreakHyphen/>
        <w:t>34Н. Значительное недовыполнение плана допущено по следующим типам: по самолетам: ЗЕТ — план выполнен только на 60%; И</w:t>
      </w:r>
      <w:r w:rsidRPr="00E14102">
        <w:rPr>
          <w:color w:val="000000" w:themeColor="text1"/>
          <w:sz w:val="16"/>
          <w:szCs w:val="16"/>
        </w:rPr>
        <w:noBreakHyphen/>
        <w:t>15 — план выполнен только на 62,7%; И</w:t>
      </w:r>
      <w:r w:rsidRPr="00E14102">
        <w:rPr>
          <w:color w:val="000000" w:themeColor="text1"/>
          <w:sz w:val="16"/>
          <w:szCs w:val="16"/>
        </w:rPr>
        <w:noBreakHyphen/>
        <w:t>16 — план выполнен только на 33,5%; Р</w:t>
      </w:r>
      <w:r w:rsidRPr="00E14102">
        <w:rPr>
          <w:color w:val="000000" w:themeColor="text1"/>
          <w:sz w:val="16"/>
          <w:szCs w:val="16"/>
        </w:rPr>
        <w:noBreakHyphen/>
        <w:t>5а — план выполнен только на 61% и по моторам М</w:t>
      </w:r>
      <w:r w:rsidRPr="00E14102">
        <w:rPr>
          <w:color w:val="000000" w:themeColor="text1"/>
          <w:sz w:val="16"/>
          <w:szCs w:val="16"/>
        </w:rPr>
        <w:noBreakHyphen/>
        <w:t>34РН — план выполнен только на 2,7%.</w:t>
      </w:r>
    </w:p>
    <w:p w14:paraId="104F8334"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План 1935 г. и его выполнение по данным ГУАПа, представленным в Сектор обороны Госплана 11 января 1935 г. за № 75сс не совпадает с указанными выше количествами по плану и выполнению. По самолетам план вместо 5225 шт. ГУАП указывает — 4607 шт. и по моторам план вместо 10414 шт. ГУАП указывает 9926 шт., т. е. ГУАП произвольно, без оснований снизил план 1934 г. по самолетам на 618 шт., или на 11,8% к плану, и по моторам на 488 шт., или на 4,7% к плану. Выполнение плана по самолетам вместо 4354 шт. ГУАПом показывается 4545 шт. Таким образом, выполнение плана в процентном отношении показывается ГУАПом по самолетам 98,6%, фактически же — 83,3% и по моторам 103,1%, фактически же — 98,6%. При учете сданных заводом № 24 моторов ГМ</w:t>
      </w:r>
      <w:r w:rsidRPr="00E14102">
        <w:rPr>
          <w:color w:val="000000" w:themeColor="text1"/>
          <w:sz w:val="16"/>
          <w:szCs w:val="16"/>
        </w:rPr>
        <w:noBreakHyphen/>
        <w:t>34 в количестве 159 шт., переделанных из моторов М</w:t>
      </w:r>
      <w:r w:rsidRPr="00E14102">
        <w:rPr>
          <w:color w:val="000000" w:themeColor="text1"/>
          <w:sz w:val="16"/>
          <w:szCs w:val="16"/>
        </w:rPr>
        <w:noBreakHyphen/>
        <w:t>34 изготовления 1933 г., выполнение плана по моторам составит 100,2%.</w:t>
      </w:r>
    </w:p>
    <w:p w14:paraId="55692CD1"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Означенные изменения плана и выполнения его произведены ГУАПом в целях показать в представленном правительству рапорте об итогах годовой деятельности перевыполнение плана 1934 г., являются по существу очковтирательством. Аналогичная подтасовка «перевыполнения» плана ГУАПом показывается также в отчетности по объему валовой продукции. Эти подтасовки плана в количестве, а также подтасовки плана в качественном отношении были своевременно вскрыты Сектором обороны Госплана и о неправильной оценке ГУАПа выполнения плана за 1934 г. было сообщено в Комиссию партийного контроля при ЦК ВКП(б) (см. наше письмо № 393сс от 23 марта 1935 г.).</w:t>
      </w:r>
    </w:p>
    <w:p w14:paraId="3EE94057"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III. Выполнение плана по валовому выпуску</w:t>
      </w:r>
    </w:p>
    <w:p w14:paraId="15563176"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План по валовой продукции выразился в сумме 787 630 тыс. руб. В результате изменений из этой суммы исключается: 1) по заводу № 18 — 3551,6 тыс. руб., 2) по заводу № 47 — 6833,5 тыс. руб. и 3) по заводу № 41 — 7989,2 тыс. руб. и уточненный план таким образом выражается в сумме 769 245,7 вместо показываемых ГУАПом 664 616,9 тыс. руб.</w:t>
      </w:r>
    </w:p>
    <w:p w14:paraId="26B425E7"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 xml:space="preserve">По валовой продукции план выполнен только на 88,4% вместо показываемых ГУАПом 102,1% выполнения. Самолетными заводами план выполнен на 84,2% вместо показываемого ГУАПом выполнения — 101,1%. Моторными заводами — план выполнен на 92,5% вместо показываемого ГУАПом выполнения — 104,7%. </w:t>
      </w:r>
      <w:r w:rsidRPr="00E14102">
        <w:rPr>
          <w:color w:val="000000" w:themeColor="text1"/>
          <w:sz w:val="16"/>
          <w:szCs w:val="16"/>
        </w:rPr>
        <w:lastRenderedPageBreak/>
        <w:t>Подсобными заводами — план выполнен на 87,0% вместо показываемого ГУАПом выполнения — 96,5%. И заводами Авиаспецтреста — план выполнен на 90,4% вместо показываемого ГУАПом выполнения — 102,1%.</w:t>
      </w:r>
    </w:p>
    <w:p w14:paraId="681EE4EF"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IV. Выполнение плана по труду</w:t>
      </w:r>
    </w:p>
    <w:p w14:paraId="044192BF"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Выполнение плана по труду по самолетным, моторным, подсобным заводам и заводам Авиаспецтреста характеризуется следующими данными (см. табл 1937 вышел приказ НКОП № 3 и За).</w:t>
      </w:r>
    </w:p>
    <w:p w14:paraId="62A76EC5"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Из этой таблицы видно, что фонд годовой зарплаты по ГУАПу израсходован на 101%, в то время как план по рабтехсиле выполнен только на 95,6%. Фонд годовой зарплаты по самолетным заводам израсходован на 100,5% при выполнении плана по рабтехсиле на 92,6%. Фонд годовой зарплаты по моторным заводам — на 99,6% при выполнении плана по рабтехсиле на 99,1%. Фонд годовой зарплаты по подсобным заводам — израсходовано на 107,0% при выполнении плана по рабтехсиле на 100%. Фонд годовой зарплаты по Авиаспецтресту израсходован на 103% при выполнении плана по рабтехсиле на 91,9%. При выполнении плана по служащим только на 95% фонд зарплаты израсходован на 104%; по МОПу план выполнен на 93,8%, а фонд годовой зарплаты израсходован на 104,6%.</w:t>
      </w:r>
    </w:p>
    <w:p w14:paraId="4C515D0C"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Среднегодовая зарплата по ГУАПу выражается к плану: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44"/>
        <w:gridCol w:w="765"/>
        <w:gridCol w:w="2464"/>
        <w:gridCol w:w="2426"/>
        <w:gridCol w:w="2526"/>
        <w:gridCol w:w="1698"/>
      </w:tblGrid>
      <w:tr w:rsidR="00E3599D" w:rsidRPr="00E14102" w14:paraId="5B0522E2" w14:textId="77777777" w:rsidTr="005F3FE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6B7B42" w14:textId="77777777" w:rsidR="0016217F" w:rsidRPr="00E14102" w:rsidRDefault="0016217F"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49460" w14:textId="77777777" w:rsidR="0016217F" w:rsidRPr="00E14102" w:rsidRDefault="0016217F" w:rsidP="00E14102">
            <w:pPr>
              <w:jc w:val="both"/>
              <w:rPr>
                <w:color w:val="000000" w:themeColor="text1"/>
                <w:sz w:val="16"/>
                <w:szCs w:val="16"/>
              </w:rPr>
            </w:pPr>
            <w:r w:rsidRPr="00E14102">
              <w:rPr>
                <w:color w:val="000000" w:themeColor="text1"/>
                <w:sz w:val="16"/>
                <w:szCs w:val="16"/>
              </w:rPr>
              <w:t>По самолетным заводам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D1B50" w14:textId="77777777" w:rsidR="0016217F" w:rsidRPr="00E14102" w:rsidRDefault="0016217F" w:rsidP="00E14102">
            <w:pPr>
              <w:jc w:val="both"/>
              <w:rPr>
                <w:color w:val="000000" w:themeColor="text1"/>
                <w:sz w:val="16"/>
                <w:szCs w:val="16"/>
              </w:rPr>
            </w:pPr>
            <w:r w:rsidRPr="00E14102">
              <w:rPr>
                <w:color w:val="000000" w:themeColor="text1"/>
                <w:sz w:val="16"/>
                <w:szCs w:val="16"/>
              </w:rPr>
              <w:t>[По] моторным заводам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DB064" w14:textId="77777777" w:rsidR="0016217F" w:rsidRPr="00E14102" w:rsidRDefault="0016217F" w:rsidP="00E14102">
            <w:pPr>
              <w:jc w:val="both"/>
              <w:rPr>
                <w:color w:val="000000" w:themeColor="text1"/>
                <w:sz w:val="16"/>
                <w:szCs w:val="16"/>
              </w:rPr>
            </w:pPr>
            <w:r w:rsidRPr="00E14102">
              <w:rPr>
                <w:color w:val="000000" w:themeColor="text1"/>
                <w:sz w:val="16"/>
                <w:szCs w:val="16"/>
              </w:rPr>
              <w:t>[По] подсобным заводам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4CE90" w14:textId="77777777" w:rsidR="0016217F" w:rsidRPr="00E14102" w:rsidRDefault="0016217F" w:rsidP="00E14102">
            <w:pPr>
              <w:jc w:val="both"/>
              <w:rPr>
                <w:color w:val="000000" w:themeColor="text1"/>
                <w:sz w:val="16"/>
                <w:szCs w:val="16"/>
              </w:rPr>
            </w:pPr>
            <w:r w:rsidRPr="00E14102">
              <w:rPr>
                <w:color w:val="000000" w:themeColor="text1"/>
                <w:sz w:val="16"/>
                <w:szCs w:val="16"/>
              </w:rPr>
              <w:t>[По] Спецтресту</w:t>
            </w:r>
          </w:p>
        </w:tc>
      </w:tr>
      <w:tr w:rsidR="00E3599D" w:rsidRPr="00E14102" w14:paraId="1ECA336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181742" w14:textId="77777777" w:rsidR="0016217F" w:rsidRPr="00E14102" w:rsidRDefault="0016217F" w:rsidP="00E14102">
            <w:pPr>
              <w:jc w:val="both"/>
              <w:rPr>
                <w:color w:val="000000" w:themeColor="text1"/>
                <w:sz w:val="16"/>
                <w:szCs w:val="16"/>
              </w:rPr>
            </w:pPr>
            <w:r w:rsidRPr="00E14102">
              <w:rPr>
                <w:color w:val="000000" w:themeColor="text1"/>
                <w:sz w:val="16"/>
                <w:szCs w:val="16"/>
              </w:rPr>
              <w:t>По рабочим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1330B" w14:textId="77777777" w:rsidR="0016217F" w:rsidRPr="00E14102" w:rsidRDefault="0016217F" w:rsidP="00E14102">
            <w:pPr>
              <w:jc w:val="both"/>
              <w:rPr>
                <w:color w:val="000000" w:themeColor="text1"/>
                <w:sz w:val="16"/>
                <w:szCs w:val="16"/>
              </w:rPr>
            </w:pPr>
            <w:r w:rsidRPr="00E14102">
              <w:rPr>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FEE6A" w14:textId="77777777" w:rsidR="0016217F" w:rsidRPr="00E14102" w:rsidRDefault="0016217F" w:rsidP="00E14102">
            <w:pPr>
              <w:jc w:val="both"/>
              <w:rPr>
                <w:color w:val="000000" w:themeColor="text1"/>
                <w:sz w:val="16"/>
                <w:szCs w:val="16"/>
              </w:rPr>
            </w:pPr>
            <w:r w:rsidRPr="00E14102">
              <w:rPr>
                <w:color w:val="000000" w:themeColor="text1"/>
                <w:sz w:val="16"/>
                <w:szCs w:val="16"/>
              </w:rPr>
              <w:t>139,5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9FB93" w14:textId="77777777" w:rsidR="0016217F" w:rsidRPr="00E14102" w:rsidRDefault="0016217F" w:rsidP="00E14102">
            <w:pPr>
              <w:jc w:val="both"/>
              <w:rPr>
                <w:color w:val="000000" w:themeColor="text1"/>
                <w:sz w:val="16"/>
                <w:szCs w:val="16"/>
              </w:rPr>
            </w:pPr>
            <w:r w:rsidRPr="00E14102">
              <w:rPr>
                <w:color w:val="000000" w:themeColor="text1"/>
                <w:sz w:val="16"/>
                <w:szCs w:val="16"/>
              </w:rPr>
              <w:t>102,3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5108C" w14:textId="77777777" w:rsidR="0016217F" w:rsidRPr="00E14102" w:rsidRDefault="0016217F" w:rsidP="00E14102">
            <w:pPr>
              <w:jc w:val="both"/>
              <w:rPr>
                <w:color w:val="000000" w:themeColor="text1"/>
                <w:sz w:val="16"/>
                <w:szCs w:val="16"/>
              </w:rPr>
            </w:pPr>
            <w:r w:rsidRPr="00E14102">
              <w:rPr>
                <w:color w:val="000000" w:themeColor="text1"/>
                <w:sz w:val="16"/>
                <w:szCs w:val="16"/>
              </w:rPr>
              <w:t>113,5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882AE" w14:textId="77777777" w:rsidR="0016217F" w:rsidRPr="00E14102" w:rsidRDefault="0016217F" w:rsidP="00E14102">
            <w:pPr>
              <w:jc w:val="both"/>
              <w:rPr>
                <w:color w:val="000000" w:themeColor="text1"/>
                <w:sz w:val="16"/>
                <w:szCs w:val="16"/>
              </w:rPr>
            </w:pPr>
            <w:r w:rsidRPr="00E14102">
              <w:rPr>
                <w:color w:val="000000" w:themeColor="text1"/>
                <w:sz w:val="16"/>
                <w:szCs w:val="16"/>
              </w:rPr>
              <w:t>111,5</w:t>
            </w:r>
          </w:p>
        </w:tc>
      </w:tr>
      <w:tr w:rsidR="00E3599D" w:rsidRPr="00E14102" w14:paraId="3F2FB8A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233A0E" w14:textId="77777777" w:rsidR="0016217F" w:rsidRPr="00E14102" w:rsidRDefault="0016217F" w:rsidP="00E14102">
            <w:pPr>
              <w:jc w:val="both"/>
              <w:rPr>
                <w:color w:val="000000" w:themeColor="text1"/>
                <w:sz w:val="16"/>
                <w:szCs w:val="16"/>
              </w:rPr>
            </w:pPr>
            <w:r w:rsidRPr="00E14102">
              <w:rPr>
                <w:color w:val="000000" w:themeColor="text1"/>
                <w:sz w:val="16"/>
                <w:szCs w:val="16"/>
              </w:rPr>
              <w:t>По 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70F0B" w14:textId="77777777" w:rsidR="0016217F" w:rsidRPr="00E14102" w:rsidRDefault="0016217F" w:rsidP="00E14102">
            <w:pPr>
              <w:jc w:val="both"/>
              <w:rPr>
                <w:color w:val="000000" w:themeColor="text1"/>
                <w:sz w:val="16"/>
                <w:szCs w:val="16"/>
              </w:rPr>
            </w:pPr>
            <w:r w:rsidRPr="00E14102">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8D84F" w14:textId="77777777" w:rsidR="0016217F" w:rsidRPr="00E14102" w:rsidRDefault="0016217F" w:rsidP="00E14102">
            <w:pPr>
              <w:jc w:val="both"/>
              <w:rPr>
                <w:color w:val="000000" w:themeColor="text1"/>
                <w:sz w:val="16"/>
                <w:szCs w:val="16"/>
              </w:rPr>
            </w:pPr>
            <w:r w:rsidRPr="00E14102">
              <w:rPr>
                <w:color w:val="000000" w:themeColor="text1"/>
                <w:sz w:val="16"/>
                <w:szCs w:val="16"/>
              </w:rPr>
              <w:t>116,9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F3B31" w14:textId="77777777" w:rsidR="0016217F" w:rsidRPr="00E14102" w:rsidRDefault="0016217F" w:rsidP="00E14102">
            <w:pPr>
              <w:jc w:val="both"/>
              <w:rPr>
                <w:color w:val="000000" w:themeColor="text1"/>
                <w:sz w:val="16"/>
                <w:szCs w:val="16"/>
              </w:rPr>
            </w:pPr>
            <w:r w:rsidRPr="00E14102">
              <w:rPr>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EC79A" w14:textId="77777777" w:rsidR="0016217F" w:rsidRPr="00E14102" w:rsidRDefault="0016217F" w:rsidP="00E14102">
            <w:pPr>
              <w:jc w:val="both"/>
              <w:rPr>
                <w:color w:val="000000" w:themeColor="text1"/>
                <w:sz w:val="16"/>
                <w:szCs w:val="16"/>
              </w:rPr>
            </w:pPr>
            <w:r w:rsidRPr="00E14102">
              <w:rPr>
                <w:color w:val="000000" w:themeColor="text1"/>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C4213" w14:textId="77777777" w:rsidR="0016217F" w:rsidRPr="00E14102" w:rsidRDefault="0016217F" w:rsidP="00E14102">
            <w:pPr>
              <w:jc w:val="both"/>
              <w:rPr>
                <w:color w:val="000000" w:themeColor="text1"/>
                <w:sz w:val="16"/>
                <w:szCs w:val="16"/>
              </w:rPr>
            </w:pPr>
            <w:r w:rsidRPr="00E14102">
              <w:rPr>
                <w:color w:val="000000" w:themeColor="text1"/>
                <w:sz w:val="16"/>
                <w:szCs w:val="16"/>
              </w:rPr>
              <w:t>108,4</w:t>
            </w:r>
          </w:p>
        </w:tc>
      </w:tr>
      <w:tr w:rsidR="00E3599D" w:rsidRPr="00E14102" w14:paraId="2AE461C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CBD222" w14:textId="77777777" w:rsidR="0016217F" w:rsidRPr="00E14102" w:rsidRDefault="0016217F" w:rsidP="00E14102">
            <w:pPr>
              <w:jc w:val="both"/>
              <w:rPr>
                <w:color w:val="000000" w:themeColor="text1"/>
                <w:sz w:val="16"/>
                <w:szCs w:val="16"/>
              </w:rPr>
            </w:pPr>
            <w:r w:rsidRPr="00E14102">
              <w:rPr>
                <w:color w:val="000000" w:themeColor="text1"/>
                <w:sz w:val="16"/>
                <w:szCs w:val="16"/>
              </w:rPr>
              <w:t>По служащим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938AB" w14:textId="77777777" w:rsidR="0016217F" w:rsidRPr="00E14102" w:rsidRDefault="0016217F" w:rsidP="00E14102">
            <w:pPr>
              <w:jc w:val="both"/>
              <w:rPr>
                <w:color w:val="000000" w:themeColor="text1"/>
                <w:sz w:val="16"/>
                <w:szCs w:val="16"/>
              </w:rPr>
            </w:pPr>
            <w:r w:rsidRPr="00E14102">
              <w:rPr>
                <w:color w:val="000000" w:themeColor="text1"/>
                <w:sz w:val="16"/>
                <w:szCs w:val="16"/>
              </w:rPr>
              <w:t>110,2%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FDB8E" w14:textId="77777777" w:rsidR="0016217F" w:rsidRPr="00E14102" w:rsidRDefault="0016217F" w:rsidP="00E14102">
            <w:pPr>
              <w:jc w:val="both"/>
              <w:rPr>
                <w:color w:val="000000" w:themeColor="text1"/>
                <w:sz w:val="16"/>
                <w:szCs w:val="16"/>
              </w:rPr>
            </w:pPr>
            <w:r w:rsidRPr="00E14102">
              <w:rPr>
                <w:color w:val="000000" w:themeColor="text1"/>
                <w:sz w:val="16"/>
                <w:szCs w:val="16"/>
              </w:rPr>
              <w:t>115,1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68B7C" w14:textId="77777777" w:rsidR="0016217F" w:rsidRPr="00E14102" w:rsidRDefault="0016217F" w:rsidP="00E14102">
            <w:pPr>
              <w:jc w:val="both"/>
              <w:rPr>
                <w:color w:val="000000" w:themeColor="text1"/>
                <w:sz w:val="16"/>
                <w:szCs w:val="16"/>
              </w:rPr>
            </w:pPr>
            <w:r w:rsidRPr="00E14102">
              <w:rPr>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1F706" w14:textId="77777777" w:rsidR="0016217F" w:rsidRPr="00E14102" w:rsidRDefault="0016217F" w:rsidP="00E14102">
            <w:pPr>
              <w:jc w:val="both"/>
              <w:rPr>
                <w:color w:val="000000" w:themeColor="text1"/>
                <w:sz w:val="16"/>
                <w:szCs w:val="16"/>
              </w:rPr>
            </w:pPr>
            <w:r w:rsidRPr="00E14102">
              <w:rPr>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E9F5C" w14:textId="77777777" w:rsidR="0016217F" w:rsidRPr="00E14102" w:rsidRDefault="0016217F" w:rsidP="00E14102">
            <w:pPr>
              <w:jc w:val="both"/>
              <w:rPr>
                <w:color w:val="000000" w:themeColor="text1"/>
                <w:sz w:val="16"/>
                <w:szCs w:val="16"/>
              </w:rPr>
            </w:pPr>
            <w:r w:rsidRPr="00E14102">
              <w:rPr>
                <w:color w:val="000000" w:themeColor="text1"/>
                <w:sz w:val="16"/>
                <w:szCs w:val="16"/>
              </w:rPr>
              <w:t>111,0</w:t>
            </w:r>
          </w:p>
        </w:tc>
      </w:tr>
      <w:tr w:rsidR="00E3599D" w:rsidRPr="00E14102" w14:paraId="1F0EB68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8771C6" w14:textId="77777777" w:rsidR="0016217F" w:rsidRPr="00E14102" w:rsidRDefault="0016217F" w:rsidP="00E14102">
            <w:pPr>
              <w:jc w:val="both"/>
              <w:rPr>
                <w:color w:val="000000" w:themeColor="text1"/>
                <w:sz w:val="16"/>
                <w:szCs w:val="16"/>
              </w:rPr>
            </w:pPr>
            <w:r w:rsidRPr="00E14102">
              <w:rPr>
                <w:color w:val="000000" w:themeColor="text1"/>
                <w:sz w:val="16"/>
                <w:szCs w:val="16"/>
              </w:rPr>
              <w:t>По 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47D0A" w14:textId="77777777" w:rsidR="0016217F" w:rsidRPr="00E14102" w:rsidRDefault="0016217F" w:rsidP="00E14102">
            <w:pPr>
              <w:jc w:val="both"/>
              <w:rPr>
                <w:color w:val="000000" w:themeColor="text1"/>
                <w:sz w:val="16"/>
                <w:szCs w:val="16"/>
              </w:rPr>
            </w:pPr>
            <w:r w:rsidRPr="00E14102">
              <w:rPr>
                <w:color w:val="000000" w:themeColor="text1"/>
                <w:sz w:val="16"/>
                <w:szCs w:val="16"/>
              </w:rPr>
              <w:t>112,7%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DC6BE" w14:textId="77777777" w:rsidR="0016217F" w:rsidRPr="00E14102" w:rsidRDefault="0016217F" w:rsidP="00E14102">
            <w:pPr>
              <w:jc w:val="both"/>
              <w:rPr>
                <w:color w:val="000000" w:themeColor="text1"/>
                <w:sz w:val="16"/>
                <w:szCs w:val="16"/>
              </w:rPr>
            </w:pPr>
            <w:r w:rsidRPr="00E14102">
              <w:rPr>
                <w:color w:val="000000" w:themeColor="text1"/>
                <w:sz w:val="16"/>
                <w:szCs w:val="16"/>
              </w:rPr>
              <w:t>108,9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E4642" w14:textId="77777777" w:rsidR="0016217F" w:rsidRPr="00E14102" w:rsidRDefault="0016217F" w:rsidP="00E14102">
            <w:pPr>
              <w:jc w:val="both"/>
              <w:rPr>
                <w:color w:val="000000" w:themeColor="text1"/>
                <w:sz w:val="16"/>
                <w:szCs w:val="16"/>
              </w:rPr>
            </w:pPr>
            <w:r w:rsidRPr="00E14102">
              <w:rPr>
                <w:color w:val="000000" w:themeColor="text1"/>
                <w:sz w:val="16"/>
                <w:szCs w:val="16"/>
              </w:rPr>
              <w:t>110,6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A26A5" w14:textId="77777777" w:rsidR="0016217F" w:rsidRPr="00E14102" w:rsidRDefault="0016217F" w:rsidP="00E14102">
            <w:pPr>
              <w:jc w:val="both"/>
              <w:rPr>
                <w:color w:val="000000" w:themeColor="text1"/>
                <w:sz w:val="16"/>
                <w:szCs w:val="16"/>
              </w:rPr>
            </w:pPr>
            <w:r w:rsidRPr="00E14102">
              <w:rPr>
                <w:color w:val="000000" w:themeColor="text1"/>
                <w:sz w:val="16"/>
                <w:szCs w:val="16"/>
              </w:rPr>
              <w:t>116,0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96B86" w14:textId="77777777" w:rsidR="0016217F" w:rsidRPr="00E14102" w:rsidRDefault="0016217F" w:rsidP="00E14102">
            <w:pPr>
              <w:jc w:val="both"/>
              <w:rPr>
                <w:color w:val="000000" w:themeColor="text1"/>
                <w:sz w:val="16"/>
                <w:szCs w:val="16"/>
              </w:rPr>
            </w:pPr>
            <w:r w:rsidRPr="00E14102">
              <w:rPr>
                <w:color w:val="000000" w:themeColor="text1"/>
                <w:sz w:val="16"/>
                <w:szCs w:val="16"/>
              </w:rPr>
              <w:t>119,0</w:t>
            </w:r>
          </w:p>
        </w:tc>
      </w:tr>
      <w:tr w:rsidR="00E3599D" w:rsidRPr="00E14102" w14:paraId="0346B4E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7CC0B2" w14:textId="77777777" w:rsidR="0016217F" w:rsidRPr="00E14102" w:rsidRDefault="0016217F" w:rsidP="00E14102">
            <w:pPr>
              <w:jc w:val="both"/>
              <w:rPr>
                <w:color w:val="000000" w:themeColor="text1"/>
                <w:sz w:val="16"/>
                <w:szCs w:val="16"/>
              </w:rPr>
            </w:pPr>
            <w:r w:rsidRPr="00E14102">
              <w:rPr>
                <w:color w:val="000000" w:themeColor="text1"/>
                <w:sz w:val="16"/>
                <w:szCs w:val="16"/>
              </w:rPr>
              <w:t>По ученым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91EDD" w14:textId="77777777" w:rsidR="0016217F" w:rsidRPr="00E14102" w:rsidRDefault="0016217F" w:rsidP="00E14102">
            <w:pPr>
              <w:jc w:val="both"/>
              <w:rPr>
                <w:color w:val="000000" w:themeColor="text1"/>
                <w:sz w:val="16"/>
                <w:szCs w:val="16"/>
              </w:rPr>
            </w:pPr>
            <w:r w:rsidRPr="00E14102">
              <w:rPr>
                <w:color w:val="000000" w:themeColor="text1"/>
                <w:sz w:val="16"/>
                <w:szCs w:val="16"/>
              </w:rPr>
              <w:t>103,0%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1F8F3" w14:textId="77777777" w:rsidR="0016217F" w:rsidRPr="00E14102" w:rsidRDefault="0016217F" w:rsidP="00E14102">
            <w:pPr>
              <w:jc w:val="both"/>
              <w:rPr>
                <w:color w:val="000000" w:themeColor="text1"/>
                <w:sz w:val="16"/>
                <w:szCs w:val="16"/>
              </w:rPr>
            </w:pPr>
            <w:r w:rsidRPr="00E14102">
              <w:rPr>
                <w:color w:val="000000" w:themeColor="text1"/>
                <w:sz w:val="16"/>
                <w:szCs w:val="16"/>
              </w:rPr>
              <w:t>112,1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854FF" w14:textId="77777777" w:rsidR="0016217F" w:rsidRPr="00E14102" w:rsidRDefault="0016217F" w:rsidP="00E14102">
            <w:pPr>
              <w:jc w:val="both"/>
              <w:rPr>
                <w:color w:val="000000" w:themeColor="text1"/>
                <w:sz w:val="16"/>
                <w:szCs w:val="16"/>
              </w:rPr>
            </w:pPr>
            <w:r w:rsidRPr="00E14102">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1A8DC" w14:textId="77777777" w:rsidR="0016217F" w:rsidRPr="00E14102" w:rsidRDefault="0016217F" w:rsidP="00E14102">
            <w:pPr>
              <w:jc w:val="both"/>
              <w:rPr>
                <w:color w:val="000000" w:themeColor="text1"/>
                <w:sz w:val="16"/>
                <w:szCs w:val="16"/>
              </w:rPr>
            </w:pPr>
            <w:r w:rsidRPr="00E14102">
              <w:rPr>
                <w:color w:val="000000" w:themeColor="text1"/>
                <w:sz w:val="16"/>
                <w:szCs w:val="16"/>
              </w:rPr>
              <w:t>173,2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7BAD0" w14:textId="77777777" w:rsidR="0016217F" w:rsidRPr="00E14102" w:rsidRDefault="0016217F" w:rsidP="00E14102">
            <w:pPr>
              <w:jc w:val="both"/>
              <w:rPr>
                <w:color w:val="000000" w:themeColor="text1"/>
                <w:sz w:val="16"/>
                <w:szCs w:val="16"/>
              </w:rPr>
            </w:pPr>
            <w:r w:rsidRPr="00E14102">
              <w:rPr>
                <w:color w:val="000000" w:themeColor="text1"/>
                <w:sz w:val="16"/>
                <w:szCs w:val="16"/>
              </w:rPr>
              <w:t>112,5</w:t>
            </w:r>
          </w:p>
        </w:tc>
      </w:tr>
    </w:tbl>
    <w:p w14:paraId="4A97A923"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За отчетный год в целом по ГУАПу рост зарплаты по рабочим по сравнению с отчетными данными 1933 г. допущен 16,1%, в то время как производительность труда выросла только на 9% по отношению к 1933 г. По данным годовых отчетов, среднегодовая выработка 1 рабочего по отношению к плану 1934 г. — 109%, но, как указывалось выше, ГУАПом без основания был изменен в сторону значительного занижения объема валовой продукции по плану 1934 г. Поэтому при определении среднегодовой выработки на 1 рабочего по отношению к плану 1934 г. надо исходить из объема валовой продукции в сумме 769 245,7 тыс. руб., а не с суммы 664 916,9 тыс. руб., показываемой в годовых отчетах заводами. При этом условии среднегодовая выработка на 1 рабочего по отношению к плану 1934 г. выразится лишь 85% вместо показываемых по данным годовых отчетов — 102,4%, а по группам заводов: самолетным — 75,1% вместо показанных в таблице 95,5%; моторным — 76,7% вместо показанных в таблице 106%; подсобным — 85,9% вместо показанных в таблице 95,1% и по заводам Авиаспецтреста 98,6% вместо показанных в таблице 112,2%.</w:t>
      </w:r>
    </w:p>
    <w:p w14:paraId="374070AB"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В таблице №⁴* показан оборот рабочих. В целом по ГУАПу по отношению к 1933 г. прибыло рабочих 95,9% и убыло 82,4%. Хотя в целом по промышленности процент выбывших значительно сократился в сравнении с убывшим количеством в 1933 г., тем не менее анализ показывает, что текучесть рабочих все еще значительна. Если в 1933 г. по отношению к прибывшим убыло 100%, то в 1934 г. убыло 85,6%, а по отдельным группам заводов убыло: 1. Самолетные заводы — 86,6%; 2. Моторные заводы — 94,1%; 3. Подсобные заводы — 69,1%; и 4. Заводы Авиаспецтреста — 79,1%⁵*.</w:t>
      </w:r>
    </w:p>
    <w:p w14:paraId="3E2F2F81" w14:textId="77777777" w:rsidR="0016217F" w:rsidRPr="00E14102" w:rsidRDefault="0016217F"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 xml:space="preserve">Начальник </w:t>
      </w:r>
      <w:r w:rsidRPr="00E14102">
        <w:rPr>
          <w:rStyle w:val="a6"/>
          <w:rFonts w:ascii="Times New Roman" w:hAnsi="Times New Roman" w:cs="Times New Roman"/>
          <w:i w:val="0"/>
          <w:color w:val="000000" w:themeColor="text1"/>
          <w:sz w:val="16"/>
          <w:szCs w:val="16"/>
        </w:rPr>
        <w:t>IV</w:t>
      </w:r>
      <w:r w:rsidRPr="00E14102">
        <w:rPr>
          <w:rStyle w:val="a6"/>
          <w:rFonts w:ascii="Times New Roman" w:hAnsi="Times New Roman" w:cs="Times New Roman"/>
          <w:i w:val="0"/>
          <w:color w:val="000000" w:themeColor="text1"/>
          <w:sz w:val="16"/>
          <w:szCs w:val="16"/>
          <w:lang w:val="ru-RU"/>
        </w:rPr>
        <w:t xml:space="preserve"> группы Сектора обороны Борисенко</w:t>
      </w:r>
    </w:p>
    <w:p w14:paraId="333E4A78" w14:textId="77777777" w:rsidR="0016217F" w:rsidRPr="00E14102" w:rsidRDefault="0016217F"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77BBB8EE"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¹* </w:t>
      </w:r>
      <w:r w:rsidRPr="00E14102">
        <w:rPr>
          <w:rStyle w:val="a6"/>
          <w:bCs/>
          <w:i w:val="0"/>
          <w:color w:val="000000" w:themeColor="text1"/>
          <w:sz w:val="16"/>
          <w:szCs w:val="16"/>
        </w:rPr>
        <w:t>Самолет И</w:t>
      </w:r>
      <w:r w:rsidRPr="00E14102">
        <w:rPr>
          <w:rStyle w:val="a6"/>
          <w:bCs/>
          <w:i w:val="0"/>
          <w:color w:val="000000" w:themeColor="text1"/>
          <w:sz w:val="16"/>
          <w:szCs w:val="16"/>
        </w:rPr>
        <w:noBreakHyphen/>
        <w:t>14 (АНТ</w:t>
      </w:r>
      <w:r w:rsidRPr="00E14102">
        <w:rPr>
          <w:rStyle w:val="a6"/>
          <w:bCs/>
          <w:i w:val="0"/>
          <w:color w:val="000000" w:themeColor="text1"/>
          <w:sz w:val="16"/>
          <w:szCs w:val="16"/>
        </w:rPr>
        <w:noBreakHyphen/>
        <w:t>31)</w:t>
      </w:r>
      <w:r w:rsidRPr="00E14102">
        <w:rPr>
          <w:color w:val="000000" w:themeColor="text1"/>
          <w:sz w:val="16"/>
          <w:szCs w:val="16"/>
        </w:rPr>
        <w:t xml:space="preserve"> был создан коллективом П. О. Сухого, работавшего под руководством А. Н. Туполева в ЦАГИ. Истребители И</w:t>
      </w:r>
      <w:r w:rsidRPr="00E14102">
        <w:rPr>
          <w:color w:val="000000" w:themeColor="text1"/>
          <w:sz w:val="16"/>
          <w:szCs w:val="16"/>
        </w:rPr>
        <w:noBreakHyphen/>
        <w:t>15 и И</w:t>
      </w:r>
      <w:r w:rsidRPr="00E14102">
        <w:rPr>
          <w:color w:val="000000" w:themeColor="text1"/>
          <w:sz w:val="16"/>
          <w:szCs w:val="16"/>
        </w:rPr>
        <w:noBreakHyphen/>
        <w:t>16 были спроектированы в ОКБ Н. Н. Поликарпова. Истребитель И</w:t>
      </w:r>
      <w:r w:rsidRPr="00E14102">
        <w:rPr>
          <w:color w:val="000000" w:themeColor="text1"/>
          <w:sz w:val="16"/>
          <w:szCs w:val="16"/>
        </w:rPr>
        <w:noBreakHyphen/>
        <w:t>14 — первый в СССР самолет с убираемым шасси, цельнометаллической конструкции с деревянным винтом. В серии самолет строился с мотором М</w:t>
      </w:r>
      <w:r w:rsidRPr="00E14102">
        <w:rPr>
          <w:color w:val="000000" w:themeColor="text1"/>
          <w:sz w:val="16"/>
          <w:szCs w:val="16"/>
        </w:rPr>
        <w:noBreakHyphen/>
        <w:t>25. В постройке было 55 самолетов И</w:t>
      </w:r>
      <w:r w:rsidRPr="00E14102">
        <w:rPr>
          <w:color w:val="000000" w:themeColor="text1"/>
          <w:sz w:val="16"/>
          <w:szCs w:val="16"/>
        </w:rPr>
        <w:noBreakHyphen/>
        <w:t>14, из них было закончено и сдано в авиачасти в 1936</w:t>
      </w:r>
      <w:r w:rsidRPr="00E14102">
        <w:rPr>
          <w:color w:val="000000" w:themeColor="text1"/>
          <w:sz w:val="16"/>
          <w:szCs w:val="16"/>
        </w:rPr>
        <w:noBreakHyphen/>
        <w:t>1937 гг. 18 самолетов. С появлением истребителя И</w:t>
      </w:r>
      <w:r w:rsidRPr="00E14102">
        <w:rPr>
          <w:color w:val="000000" w:themeColor="text1"/>
          <w:sz w:val="16"/>
          <w:szCs w:val="16"/>
        </w:rPr>
        <w:noBreakHyphen/>
        <w:t>16 самолет И</w:t>
      </w:r>
      <w:r w:rsidRPr="00E14102">
        <w:rPr>
          <w:color w:val="000000" w:themeColor="text1"/>
          <w:sz w:val="16"/>
          <w:szCs w:val="16"/>
        </w:rPr>
        <w:noBreakHyphen/>
        <w:t>14 потерял свое значение, поскольку он уступал самолету И</w:t>
      </w:r>
      <w:r w:rsidRPr="00E14102">
        <w:rPr>
          <w:color w:val="000000" w:themeColor="text1"/>
          <w:sz w:val="16"/>
          <w:szCs w:val="16"/>
        </w:rPr>
        <w:noBreakHyphen/>
        <w:t>16 в летных качествах. И</w:t>
      </w:r>
      <w:r w:rsidRPr="00E14102">
        <w:rPr>
          <w:color w:val="000000" w:themeColor="text1"/>
          <w:sz w:val="16"/>
          <w:szCs w:val="16"/>
        </w:rPr>
        <w:noBreakHyphen/>
        <w:t>16 создавался как скоростной истребитель, в котором одновременно преследовалась цель достижения максимальной маневренности для ведения воздушного боя. И</w:t>
      </w:r>
      <w:r w:rsidRPr="00E14102">
        <w:rPr>
          <w:color w:val="000000" w:themeColor="text1"/>
          <w:sz w:val="16"/>
          <w:szCs w:val="16"/>
        </w:rPr>
        <w:noBreakHyphen/>
        <w:t>16 был первым в мире серийным и массовым истребителем-монопланом смешанной деревянно-металлической конструкции. Он выпускался в течение семи лет, имел ряд модификаций. И</w:t>
      </w:r>
      <w:r w:rsidRPr="00E14102">
        <w:rPr>
          <w:color w:val="000000" w:themeColor="text1"/>
          <w:sz w:val="16"/>
          <w:szCs w:val="16"/>
        </w:rPr>
        <w:noBreakHyphen/>
        <w:t>15 — одноместный маневренный истребитель — биплан смешанной конструкции. Сильной стороной этого истребителя была высокая маневренность в горизонтальной плоскости. И</w:t>
      </w:r>
      <w:r w:rsidRPr="00E14102">
        <w:rPr>
          <w:color w:val="000000" w:themeColor="text1"/>
          <w:sz w:val="16"/>
          <w:szCs w:val="16"/>
        </w:rPr>
        <w:noBreakHyphen/>
        <w:t>15 выпускался серийно. К 1939 г. морально устарел.</w:t>
      </w:r>
    </w:p>
    <w:p w14:paraId="77B26C68"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²* Самолет РД (рекорд дальности, АНТ</w:t>
      </w:r>
      <w:r w:rsidRPr="00E14102">
        <w:rPr>
          <w:color w:val="000000" w:themeColor="text1"/>
          <w:sz w:val="16"/>
          <w:szCs w:val="16"/>
        </w:rPr>
        <w:noBreakHyphen/>
        <w:t>25) был создан в 1933 гг. в ОКБ А. И. Туполева под контролем специального комитета под председательством К. Е. Ворошилова. Были построены два самолета: с мотором М</w:t>
      </w:r>
      <w:r w:rsidRPr="00E14102">
        <w:rPr>
          <w:color w:val="000000" w:themeColor="text1"/>
          <w:sz w:val="16"/>
          <w:szCs w:val="16"/>
        </w:rPr>
        <w:noBreakHyphen/>
        <w:t>34 без редуктора и самолет-дублер с мотором М</w:t>
      </w:r>
      <w:r w:rsidRPr="00E14102">
        <w:rPr>
          <w:color w:val="000000" w:themeColor="text1"/>
          <w:sz w:val="16"/>
          <w:szCs w:val="16"/>
        </w:rPr>
        <w:noBreakHyphen/>
        <w:t>24 с редуктором. Оборудование самолета отличалось новизной и сложностью, впервые были применены электрифицированный механизм подъема и выпуска шасси, радиооборудование, гиромагнитный компас отечественной конструкции. 10</w:t>
      </w:r>
      <w:r w:rsidRPr="00E14102">
        <w:rPr>
          <w:color w:val="000000" w:themeColor="text1"/>
          <w:sz w:val="16"/>
          <w:szCs w:val="16"/>
        </w:rPr>
        <w:noBreakHyphen/>
        <w:t>12 сентября 1934 г. экипажем под командованием М. М. Громова был установлен мировой рекорд продолжительности и дальности полета над европейской частью территории СССР — 12 411 км за 75 час. 02 мин. 18</w:t>
      </w:r>
      <w:r w:rsidRPr="00E14102">
        <w:rPr>
          <w:color w:val="000000" w:themeColor="text1"/>
          <w:sz w:val="16"/>
          <w:szCs w:val="16"/>
        </w:rPr>
        <w:noBreakHyphen/>
        <w:t>20 июня 1937 г. на самолете РД экипажем под командованием В. П. Чкалова был также выполнен рекордный перелет из Москвы в США через Северный полюс. Всего было построено 20 самолетов РД.</w:t>
      </w:r>
    </w:p>
    <w:p w14:paraId="12F5CBFE"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³* Приложения не публикуются (см. там же, л. 49</w:t>
      </w:r>
      <w:r w:rsidRPr="00E14102">
        <w:rPr>
          <w:color w:val="000000" w:themeColor="text1"/>
          <w:sz w:val="16"/>
          <w:szCs w:val="16"/>
        </w:rPr>
        <w:noBreakHyphen/>
        <w:t>38).</w:t>
      </w:r>
    </w:p>
    <w:p w14:paraId="7A9F8CA3"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⁴* Номер не указан.</w:t>
      </w:r>
    </w:p>
    <w:p w14:paraId="55E3405A" w14:textId="77777777" w:rsidR="0016217F" w:rsidRPr="00E14102" w:rsidRDefault="0016217F" w:rsidP="00E14102">
      <w:pPr>
        <w:pStyle w:val="rtejustify"/>
        <w:spacing w:before="0" w:after="0"/>
        <w:rPr>
          <w:color w:val="000000" w:themeColor="text1"/>
          <w:sz w:val="16"/>
          <w:szCs w:val="16"/>
        </w:rPr>
      </w:pPr>
      <w:r w:rsidRPr="00E14102">
        <w:rPr>
          <w:color w:val="000000" w:themeColor="text1"/>
          <w:sz w:val="16"/>
          <w:szCs w:val="16"/>
        </w:rPr>
        <w:t>⁵* Опущены разделы: «Себестоимость»; «Краткие итоги выполнения плана по отдельным заводам»; «Финансово-хозяйственные результаты 1934 г. и основные задачи 1935 г.»; «Административно-управленческие расходы».</w:t>
      </w:r>
    </w:p>
    <w:p w14:paraId="0A288F58" w14:textId="77777777" w:rsidR="0016217F" w:rsidRPr="00E14102" w:rsidRDefault="0016217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4372. Оп. 91. Д. 2101. Л. 62-57. Подлинник.</w:t>
      </w:r>
    </w:p>
    <w:p w14:paraId="510FE3DB" w14:textId="77777777" w:rsidR="0016217F" w:rsidRPr="00E14102" w:rsidRDefault="0016217F" w:rsidP="00E14102">
      <w:pPr>
        <w:jc w:val="both"/>
        <w:rPr>
          <w:color w:val="000000" w:themeColor="text1"/>
          <w:sz w:val="16"/>
          <w:szCs w:val="16"/>
        </w:rPr>
      </w:pPr>
    </w:p>
    <w:p w14:paraId="69A52DEF" w14:textId="77777777" w:rsidR="00270A02" w:rsidRPr="00E14102" w:rsidRDefault="00270A02" w:rsidP="00E14102">
      <w:pPr>
        <w:autoSpaceDE w:val="0"/>
        <w:autoSpaceDN w:val="0"/>
        <w:adjustRightInd w:val="0"/>
        <w:jc w:val="both"/>
        <w:rPr>
          <w:i/>
          <w:iCs/>
          <w:color w:val="000000" w:themeColor="text1"/>
          <w:sz w:val="16"/>
          <w:szCs w:val="16"/>
        </w:rPr>
      </w:pPr>
      <w:r w:rsidRPr="00E14102">
        <w:rPr>
          <w:i/>
          <w:iCs/>
          <w:color w:val="000000" w:themeColor="text1"/>
          <w:sz w:val="16"/>
          <w:szCs w:val="16"/>
        </w:rPr>
        <w:t>Другие обор</w:t>
      </w:r>
      <w:r w:rsidR="003361B6" w:rsidRPr="00E14102">
        <w:rPr>
          <w:i/>
          <w:iCs/>
          <w:color w:val="000000" w:themeColor="text1"/>
          <w:sz w:val="16"/>
          <w:szCs w:val="16"/>
        </w:rPr>
        <w:t>о</w:t>
      </w:r>
      <w:r w:rsidRPr="00E14102">
        <w:rPr>
          <w:i/>
          <w:iCs/>
          <w:color w:val="000000" w:themeColor="text1"/>
          <w:sz w:val="16"/>
          <w:szCs w:val="16"/>
        </w:rPr>
        <w:t>нные отрасли:</w:t>
      </w:r>
    </w:p>
    <w:p w14:paraId="00E020D1" w14:textId="77777777" w:rsidR="00270A02" w:rsidRPr="00E14102" w:rsidRDefault="00270A02" w:rsidP="00E14102">
      <w:pPr>
        <w:autoSpaceDE w:val="0"/>
        <w:autoSpaceDN w:val="0"/>
        <w:adjustRightInd w:val="0"/>
        <w:jc w:val="both"/>
        <w:rPr>
          <w:i/>
          <w:color w:val="000000" w:themeColor="text1"/>
          <w:sz w:val="16"/>
          <w:szCs w:val="16"/>
        </w:rPr>
      </w:pPr>
    </w:p>
    <w:p w14:paraId="31579020" w14:textId="77777777" w:rsidR="00270A02" w:rsidRPr="00E14102" w:rsidRDefault="00270A02" w:rsidP="00E14102">
      <w:pPr>
        <w:pStyle w:val="rtejustify"/>
        <w:spacing w:before="0" w:after="0"/>
        <w:rPr>
          <w:color w:val="000000" w:themeColor="text1"/>
          <w:sz w:val="16"/>
          <w:szCs w:val="16"/>
        </w:rPr>
      </w:pPr>
      <w:r w:rsidRPr="00E14102">
        <w:rPr>
          <w:rStyle w:val="a6"/>
          <w:bCs/>
          <w:i w:val="0"/>
          <w:color w:val="000000" w:themeColor="text1"/>
          <w:sz w:val="16"/>
          <w:szCs w:val="16"/>
        </w:rPr>
        <w:t>9 мая 1935 вышел приказ НКО №</w:t>
      </w:r>
      <w:r w:rsidRPr="00E14102">
        <w:rPr>
          <w:color w:val="000000" w:themeColor="text1"/>
          <w:sz w:val="16"/>
          <w:szCs w:val="16"/>
        </w:rPr>
        <w:t> 072. Об образовании конструкторских групп для разработки методов перевозки по ж[елезной] д[ороге] артиллерийского автобронетанк[ового] и военно-хозяйственного имущества (15247).</w:t>
      </w:r>
    </w:p>
    <w:p w14:paraId="0740D6D3" w14:textId="77777777" w:rsidR="00270A02" w:rsidRPr="00E14102" w:rsidRDefault="00270A02" w:rsidP="00E14102">
      <w:pPr>
        <w:pStyle w:val="rtejustify"/>
        <w:spacing w:before="0" w:after="0"/>
        <w:rPr>
          <w:color w:val="000000" w:themeColor="text1"/>
          <w:sz w:val="16"/>
          <w:szCs w:val="16"/>
        </w:rPr>
      </w:pPr>
    </w:p>
    <w:p w14:paraId="5D7E084C" w14:textId="77777777" w:rsidR="00270A0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711312D" w14:textId="77777777" w:rsidR="00270A02" w:rsidRPr="00E14102" w:rsidRDefault="00270A02" w:rsidP="00E14102">
      <w:pPr>
        <w:autoSpaceDE w:val="0"/>
        <w:autoSpaceDN w:val="0"/>
        <w:adjustRightInd w:val="0"/>
        <w:jc w:val="both"/>
        <w:rPr>
          <w:iCs/>
          <w:color w:val="000000" w:themeColor="text1"/>
          <w:sz w:val="16"/>
          <w:szCs w:val="16"/>
        </w:rPr>
      </w:pPr>
    </w:p>
    <w:p w14:paraId="79985A2B" w14:textId="77777777" w:rsidR="00270A02" w:rsidRPr="00E14102" w:rsidRDefault="00270A02" w:rsidP="00E14102">
      <w:pPr>
        <w:jc w:val="both"/>
        <w:rPr>
          <w:color w:val="000000" w:themeColor="text1"/>
          <w:sz w:val="16"/>
          <w:szCs w:val="16"/>
        </w:rPr>
      </w:pPr>
      <w:r w:rsidRPr="00E14102">
        <w:rPr>
          <w:color w:val="000000" w:themeColor="text1"/>
          <w:sz w:val="16"/>
          <w:szCs w:val="16"/>
        </w:rPr>
        <w:t xml:space="preserve">9 мая в 1935 году состоялся первый полет второго прототипа опытного образца самолета </w:t>
      </w:r>
      <w:hyperlink r:id="rId100" w:tgtFrame="_blank" w:history="1">
        <w:r w:rsidRPr="00E14102">
          <w:rPr>
            <w:color w:val="000000" w:themeColor="text1"/>
            <w:sz w:val="16"/>
            <w:szCs w:val="16"/>
          </w:rPr>
          <w:t xml:space="preserve">«XF3F-1» </w:t>
        </w:r>
      </w:hyperlink>
      <w:r w:rsidRPr="00E14102">
        <w:rPr>
          <w:color w:val="000000" w:themeColor="text1"/>
          <w:sz w:val="16"/>
          <w:szCs w:val="16"/>
        </w:rPr>
        <w:t>с заводским номером 9727 (14886).</w:t>
      </w:r>
    </w:p>
    <w:p w14:paraId="64C8271E" w14:textId="77777777" w:rsidR="00270A02" w:rsidRPr="00E14102" w:rsidRDefault="00270A02" w:rsidP="00E14102">
      <w:pPr>
        <w:jc w:val="both"/>
        <w:rPr>
          <w:color w:val="000000" w:themeColor="text1"/>
          <w:sz w:val="16"/>
          <w:szCs w:val="16"/>
        </w:rPr>
      </w:pPr>
    </w:p>
    <w:p w14:paraId="6D91A1B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6F5879B" w14:textId="77777777" w:rsidR="00D4105E" w:rsidRPr="00E14102" w:rsidRDefault="00D4105E" w:rsidP="00E14102">
      <w:pPr>
        <w:autoSpaceDE w:val="0"/>
        <w:autoSpaceDN w:val="0"/>
        <w:adjustRightInd w:val="0"/>
        <w:jc w:val="both"/>
        <w:rPr>
          <w:iCs/>
          <w:color w:val="000000" w:themeColor="text1"/>
          <w:sz w:val="16"/>
          <w:szCs w:val="16"/>
        </w:rPr>
      </w:pPr>
    </w:p>
    <w:p w14:paraId="145FF9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10 мая 1935 завод № 22 был должен ВВС 23 уже оплаченных ТБ-3 4М-34Р (ценой примерно по четвертб миллиона), значительная часть которых не могла пройти военную приемку (9086).</w:t>
      </w:r>
    </w:p>
    <w:p w14:paraId="40FA8724" w14:textId="77777777" w:rsidR="00D4105E" w:rsidRPr="00E14102" w:rsidRDefault="00D4105E" w:rsidP="00E14102">
      <w:pPr>
        <w:autoSpaceDE w:val="0"/>
        <w:autoSpaceDN w:val="0"/>
        <w:adjustRightInd w:val="0"/>
        <w:jc w:val="both"/>
        <w:rPr>
          <w:color w:val="000000" w:themeColor="text1"/>
          <w:sz w:val="16"/>
          <w:szCs w:val="16"/>
        </w:rPr>
      </w:pPr>
    </w:p>
    <w:p w14:paraId="661F3E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10 мая 1935 ФР-М25 Немана был подготовлен к заводским испытаниям, но после обследования комиссией технической готовности его, к полетам не допущен, в виду необходимости внесения ряда исправлений. Заводские испытания должны были начаться не позднее 10.У1. с.г. (3419,89).</w:t>
      </w:r>
    </w:p>
    <w:p w14:paraId="57A8E1F5" w14:textId="77777777" w:rsidR="00D4105E" w:rsidRPr="00E14102" w:rsidRDefault="00D4105E" w:rsidP="00E14102">
      <w:pPr>
        <w:autoSpaceDE w:val="0"/>
        <w:autoSpaceDN w:val="0"/>
        <w:adjustRightInd w:val="0"/>
        <w:jc w:val="both"/>
        <w:rPr>
          <w:color w:val="000000" w:themeColor="text1"/>
          <w:sz w:val="16"/>
          <w:szCs w:val="16"/>
        </w:rPr>
      </w:pPr>
    </w:p>
    <w:p w14:paraId="5A3DA0C8" w14:textId="77777777" w:rsidR="001253F3" w:rsidRPr="00E14102" w:rsidRDefault="001253F3" w:rsidP="00E14102">
      <w:pPr>
        <w:jc w:val="both"/>
        <w:rPr>
          <w:color w:val="0070C0"/>
          <w:sz w:val="16"/>
          <w:szCs w:val="16"/>
        </w:rPr>
      </w:pPr>
      <w:r w:rsidRPr="00E14102">
        <w:rPr>
          <w:rStyle w:val="176"/>
          <w:rFonts w:ascii="Times New Roman" w:hAnsi="Times New Roman" w:cs="Times New Roman"/>
          <w:color w:val="0070C0"/>
          <w:sz w:val="16"/>
          <w:szCs w:val="16"/>
        </w:rPr>
        <w:t>10 мая 1935 всего на 10 дней позже пла</w:t>
      </w:r>
      <w:r w:rsidRPr="00E14102">
        <w:rPr>
          <w:rStyle w:val="176"/>
          <w:rFonts w:ascii="Times New Roman" w:hAnsi="Times New Roman" w:cs="Times New Roman"/>
          <w:color w:val="0070C0"/>
          <w:sz w:val="16"/>
          <w:szCs w:val="16"/>
        </w:rPr>
        <w:softHyphen/>
        <w:t>нового срока самолет ФР-РЦ (ХАИ-6) был подготовлен к заводским испы</w:t>
      </w:r>
      <w:r w:rsidRPr="00E14102">
        <w:rPr>
          <w:rStyle w:val="176"/>
          <w:rFonts w:ascii="Times New Roman" w:hAnsi="Times New Roman" w:cs="Times New Roman"/>
          <w:color w:val="0070C0"/>
          <w:sz w:val="16"/>
          <w:szCs w:val="16"/>
        </w:rPr>
        <w:softHyphen/>
        <w:t>таниям - но после обследования</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комиссией технической готовности к поле</w:t>
      </w:r>
      <w:r w:rsidRPr="00E14102">
        <w:rPr>
          <w:rStyle w:val="176"/>
          <w:rFonts w:ascii="Times New Roman" w:hAnsi="Times New Roman" w:cs="Times New Roman"/>
          <w:color w:val="0070C0"/>
          <w:sz w:val="16"/>
          <w:szCs w:val="16"/>
        </w:rPr>
        <w:softHyphen/>
        <w:t>там не был допущен в виду необходимости</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внесения ряда исправлений. Начало завод</w:t>
      </w:r>
      <w:r w:rsidRPr="00E14102">
        <w:rPr>
          <w:rStyle w:val="176"/>
          <w:rFonts w:ascii="Times New Roman" w:hAnsi="Times New Roman" w:cs="Times New Roman"/>
          <w:color w:val="0070C0"/>
          <w:sz w:val="16"/>
          <w:szCs w:val="16"/>
        </w:rPr>
        <w:softHyphen/>
        <w:t>ских испытаний перенесли на 10 июня, а в</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ходе этих испытаний выявилась необходи</w:t>
      </w:r>
      <w:r w:rsidRPr="00E14102">
        <w:rPr>
          <w:rStyle w:val="176"/>
          <w:rFonts w:ascii="Times New Roman" w:hAnsi="Times New Roman" w:cs="Times New Roman"/>
          <w:color w:val="0070C0"/>
          <w:sz w:val="16"/>
          <w:szCs w:val="16"/>
        </w:rPr>
        <w:softHyphen/>
        <w:t>мость переделки посадочных щитков, капо</w:t>
      </w:r>
      <w:r w:rsidRPr="00E14102">
        <w:rPr>
          <w:rStyle w:val="176"/>
          <w:rFonts w:ascii="Times New Roman" w:hAnsi="Times New Roman" w:cs="Times New Roman"/>
          <w:color w:val="0070C0"/>
          <w:sz w:val="16"/>
          <w:szCs w:val="16"/>
        </w:rPr>
        <w:softHyphen/>
        <w:t>тов и оперения. Работы затянулись до октяб</w:t>
      </w:r>
      <w:r w:rsidRPr="00E14102">
        <w:rPr>
          <w:rStyle w:val="176"/>
          <w:rFonts w:ascii="Times New Roman" w:hAnsi="Times New Roman" w:cs="Times New Roman"/>
          <w:color w:val="0070C0"/>
          <w:sz w:val="16"/>
          <w:szCs w:val="16"/>
        </w:rPr>
        <w:softHyphen/>
        <w:t>ря, что не могло не сказаться на других про</w:t>
      </w:r>
      <w:r w:rsidRPr="00E14102">
        <w:rPr>
          <w:rStyle w:val="176"/>
          <w:rFonts w:ascii="Times New Roman" w:hAnsi="Times New Roman" w:cs="Times New Roman"/>
          <w:color w:val="0070C0"/>
          <w:sz w:val="16"/>
          <w:szCs w:val="16"/>
        </w:rPr>
        <w:softHyphen/>
        <w:t>ектах. Маленький коллектив, ведущие кон</w:t>
      </w:r>
      <w:r w:rsidRPr="00E14102">
        <w:rPr>
          <w:rStyle w:val="176"/>
          <w:rFonts w:ascii="Times New Roman" w:hAnsi="Times New Roman" w:cs="Times New Roman"/>
          <w:color w:val="0070C0"/>
          <w:sz w:val="16"/>
          <w:szCs w:val="16"/>
        </w:rPr>
        <w:softHyphen/>
        <w:t>структоры которого были еще задействованы</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и в учебном процессе ХАИ, попросту захлебы</w:t>
      </w:r>
      <w:r w:rsidRPr="00E14102">
        <w:rPr>
          <w:rStyle w:val="176"/>
          <w:rFonts w:ascii="Times New Roman" w:hAnsi="Times New Roman" w:cs="Times New Roman"/>
          <w:color w:val="0070C0"/>
          <w:sz w:val="16"/>
          <w:szCs w:val="16"/>
        </w:rPr>
        <w:softHyphen/>
        <w:t>вался (19898).</w:t>
      </w:r>
    </w:p>
    <w:p w14:paraId="094E07EE" w14:textId="77777777" w:rsidR="001253F3" w:rsidRPr="00E14102" w:rsidRDefault="001253F3" w:rsidP="00E14102">
      <w:pPr>
        <w:jc w:val="both"/>
        <w:rPr>
          <w:color w:val="0070C0"/>
          <w:sz w:val="16"/>
          <w:szCs w:val="16"/>
        </w:rPr>
      </w:pPr>
    </w:p>
    <w:p w14:paraId="04F162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мая 1935 в газете КЗ была заметка "Самолет для подъема на 15000 м" (2343,227).</w:t>
      </w:r>
    </w:p>
    <w:p w14:paraId="3B5205F7" w14:textId="77777777" w:rsidR="00D4105E" w:rsidRPr="00E14102" w:rsidRDefault="00D4105E" w:rsidP="00E14102">
      <w:pPr>
        <w:autoSpaceDE w:val="0"/>
        <w:autoSpaceDN w:val="0"/>
        <w:adjustRightInd w:val="0"/>
        <w:jc w:val="both"/>
        <w:rPr>
          <w:color w:val="000000" w:themeColor="text1"/>
          <w:sz w:val="16"/>
          <w:szCs w:val="16"/>
        </w:rPr>
      </w:pPr>
    </w:p>
    <w:p w14:paraId="54BBA5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мая 1935 в газете ВМ была заметка "На высоту 15000 м" (2343,227).</w:t>
      </w:r>
    </w:p>
    <w:p w14:paraId="3DD1B7F9" w14:textId="77777777" w:rsidR="00D4105E" w:rsidRPr="00E14102" w:rsidRDefault="00D4105E" w:rsidP="00E14102">
      <w:pPr>
        <w:autoSpaceDE w:val="0"/>
        <w:autoSpaceDN w:val="0"/>
        <w:adjustRightInd w:val="0"/>
        <w:jc w:val="both"/>
        <w:rPr>
          <w:color w:val="000000" w:themeColor="text1"/>
          <w:sz w:val="16"/>
          <w:szCs w:val="16"/>
        </w:rPr>
      </w:pPr>
    </w:p>
    <w:p w14:paraId="318B98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мая 1935 года начальник ГУГВФ Ткачев утвердил:</w:t>
      </w:r>
    </w:p>
    <w:p w14:paraId="5362BC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опытного строительства самолетов для ГВФ на 1935-36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67"/>
        <w:gridCol w:w="842"/>
        <w:gridCol w:w="851"/>
        <w:gridCol w:w="875"/>
        <w:gridCol w:w="826"/>
        <w:gridCol w:w="850"/>
        <w:gridCol w:w="851"/>
        <w:gridCol w:w="850"/>
        <w:gridCol w:w="851"/>
        <w:gridCol w:w="992"/>
        <w:gridCol w:w="992"/>
        <w:gridCol w:w="1134"/>
      </w:tblGrid>
      <w:tr w:rsidR="00E3599D" w:rsidRPr="00E14102" w14:paraId="7B65647B" w14:textId="77777777">
        <w:tc>
          <w:tcPr>
            <w:tcW w:w="967" w:type="dxa"/>
          </w:tcPr>
          <w:p w14:paraId="0DE74C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 Самолета</w:t>
            </w:r>
          </w:p>
        </w:tc>
        <w:tc>
          <w:tcPr>
            <w:tcW w:w="842" w:type="dxa"/>
          </w:tcPr>
          <w:p w14:paraId="7D68F3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Военный вариант</w:t>
            </w:r>
          </w:p>
        </w:tc>
        <w:tc>
          <w:tcPr>
            <w:tcW w:w="851" w:type="dxa"/>
          </w:tcPr>
          <w:p w14:paraId="3E4722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w:t>
            </w:r>
          </w:p>
        </w:tc>
        <w:tc>
          <w:tcPr>
            <w:tcW w:w="875" w:type="dxa"/>
          </w:tcPr>
          <w:p w14:paraId="49FAD8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 скорость</w:t>
            </w:r>
          </w:p>
        </w:tc>
        <w:tc>
          <w:tcPr>
            <w:tcW w:w="826" w:type="dxa"/>
          </w:tcPr>
          <w:p w14:paraId="3751B1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Посадоч. скорость </w:t>
            </w:r>
          </w:p>
        </w:tc>
        <w:tc>
          <w:tcPr>
            <w:tcW w:w="850" w:type="dxa"/>
          </w:tcPr>
          <w:p w14:paraId="54256B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w:t>
            </w:r>
          </w:p>
        </w:tc>
        <w:tc>
          <w:tcPr>
            <w:tcW w:w="851" w:type="dxa"/>
          </w:tcPr>
          <w:p w14:paraId="3AA3C4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Коммерч груз </w:t>
            </w:r>
          </w:p>
        </w:tc>
        <w:tc>
          <w:tcPr>
            <w:tcW w:w="850" w:type="dxa"/>
          </w:tcPr>
          <w:p w14:paraId="37AAA0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Кол-во пассажир.</w:t>
            </w:r>
          </w:p>
        </w:tc>
        <w:tc>
          <w:tcPr>
            <w:tcW w:w="851" w:type="dxa"/>
          </w:tcPr>
          <w:p w14:paraId="27D7B0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Экипаж</w:t>
            </w:r>
          </w:p>
        </w:tc>
        <w:tc>
          <w:tcPr>
            <w:tcW w:w="992" w:type="dxa"/>
          </w:tcPr>
          <w:p w14:paraId="18A8B8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Проектир. орг-ция </w:t>
            </w:r>
          </w:p>
        </w:tc>
        <w:tc>
          <w:tcPr>
            <w:tcW w:w="992" w:type="dxa"/>
          </w:tcPr>
          <w:p w14:paraId="1BCAF6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окончания</w:t>
            </w:r>
          </w:p>
        </w:tc>
        <w:tc>
          <w:tcPr>
            <w:tcW w:w="1134" w:type="dxa"/>
          </w:tcPr>
          <w:p w14:paraId="5469D6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00425978" w14:textId="77777777">
        <w:tc>
          <w:tcPr>
            <w:tcW w:w="967" w:type="dxa"/>
          </w:tcPr>
          <w:p w14:paraId="7BCCAE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Пассажирские магистральные самолеты</w:t>
            </w:r>
          </w:p>
        </w:tc>
        <w:tc>
          <w:tcPr>
            <w:tcW w:w="842" w:type="dxa"/>
          </w:tcPr>
          <w:p w14:paraId="7649B3A5"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047DB203" w14:textId="77777777" w:rsidR="00D4105E" w:rsidRPr="00E14102" w:rsidRDefault="00D4105E" w:rsidP="00E14102">
            <w:pPr>
              <w:autoSpaceDE w:val="0"/>
              <w:autoSpaceDN w:val="0"/>
              <w:adjustRightInd w:val="0"/>
              <w:jc w:val="both"/>
              <w:rPr>
                <w:color w:val="000000" w:themeColor="text1"/>
                <w:sz w:val="16"/>
                <w:szCs w:val="16"/>
              </w:rPr>
            </w:pPr>
          </w:p>
        </w:tc>
        <w:tc>
          <w:tcPr>
            <w:tcW w:w="875" w:type="dxa"/>
          </w:tcPr>
          <w:p w14:paraId="6522D44F" w14:textId="77777777" w:rsidR="00D4105E" w:rsidRPr="00E14102" w:rsidRDefault="00D4105E" w:rsidP="00E14102">
            <w:pPr>
              <w:autoSpaceDE w:val="0"/>
              <w:autoSpaceDN w:val="0"/>
              <w:adjustRightInd w:val="0"/>
              <w:jc w:val="both"/>
              <w:rPr>
                <w:color w:val="000000" w:themeColor="text1"/>
                <w:sz w:val="16"/>
                <w:szCs w:val="16"/>
              </w:rPr>
            </w:pPr>
          </w:p>
        </w:tc>
        <w:tc>
          <w:tcPr>
            <w:tcW w:w="826" w:type="dxa"/>
          </w:tcPr>
          <w:p w14:paraId="0437D5E3"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6D150A41"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5B374092"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71B4FCAC"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474E584E"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239E9210"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15562E9B" w14:textId="77777777" w:rsidR="00D4105E" w:rsidRPr="00E14102" w:rsidRDefault="00D4105E" w:rsidP="00E14102">
            <w:pPr>
              <w:autoSpaceDE w:val="0"/>
              <w:autoSpaceDN w:val="0"/>
              <w:adjustRightInd w:val="0"/>
              <w:jc w:val="both"/>
              <w:rPr>
                <w:color w:val="000000" w:themeColor="text1"/>
                <w:sz w:val="16"/>
                <w:szCs w:val="16"/>
              </w:rPr>
            </w:pPr>
          </w:p>
        </w:tc>
        <w:tc>
          <w:tcPr>
            <w:tcW w:w="1134" w:type="dxa"/>
          </w:tcPr>
          <w:p w14:paraId="2646AC0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25CD8B0" w14:textId="77777777">
        <w:tc>
          <w:tcPr>
            <w:tcW w:w="967" w:type="dxa"/>
          </w:tcPr>
          <w:p w14:paraId="0C6F0A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АНТ-35</w:t>
            </w:r>
          </w:p>
        </w:tc>
        <w:tc>
          <w:tcPr>
            <w:tcW w:w="842" w:type="dxa"/>
          </w:tcPr>
          <w:p w14:paraId="1AF8EC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ББ</w:t>
            </w:r>
          </w:p>
        </w:tc>
        <w:tc>
          <w:tcPr>
            <w:tcW w:w="851" w:type="dxa"/>
          </w:tcPr>
          <w:p w14:paraId="5AA27D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К-14/ 2 Испано-Сюиза</w:t>
            </w:r>
          </w:p>
        </w:tc>
        <w:tc>
          <w:tcPr>
            <w:tcW w:w="875" w:type="dxa"/>
          </w:tcPr>
          <w:p w14:paraId="26BF7C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w:t>
            </w:r>
          </w:p>
        </w:tc>
        <w:tc>
          <w:tcPr>
            <w:tcW w:w="826" w:type="dxa"/>
          </w:tcPr>
          <w:p w14:paraId="1B2AE1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850" w:type="dxa"/>
          </w:tcPr>
          <w:p w14:paraId="571FCB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800/1500</w:t>
            </w:r>
          </w:p>
        </w:tc>
        <w:tc>
          <w:tcPr>
            <w:tcW w:w="851" w:type="dxa"/>
          </w:tcPr>
          <w:p w14:paraId="79CF46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850" w:type="dxa"/>
          </w:tcPr>
          <w:p w14:paraId="1FD02A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851" w:type="dxa"/>
          </w:tcPr>
          <w:p w14:paraId="10073B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992" w:type="dxa"/>
          </w:tcPr>
          <w:p w14:paraId="008AA0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992" w:type="dxa"/>
          </w:tcPr>
          <w:p w14:paraId="613320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w:t>
            </w:r>
          </w:p>
        </w:tc>
        <w:tc>
          <w:tcPr>
            <w:tcW w:w="1134" w:type="dxa"/>
          </w:tcPr>
          <w:p w14:paraId="017E38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Гражданский вариант машины должен быть построен под мотор Испано-Сюиза</w:t>
            </w:r>
          </w:p>
        </w:tc>
      </w:tr>
      <w:tr w:rsidR="00E3599D" w:rsidRPr="00E14102" w14:paraId="7297715D" w14:textId="77777777">
        <w:tc>
          <w:tcPr>
            <w:tcW w:w="967" w:type="dxa"/>
          </w:tcPr>
          <w:p w14:paraId="1EF1BA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СБ-39</w:t>
            </w:r>
          </w:p>
        </w:tc>
        <w:tc>
          <w:tcPr>
            <w:tcW w:w="842" w:type="dxa"/>
          </w:tcPr>
          <w:p w14:paraId="3A7FED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ББ</w:t>
            </w:r>
          </w:p>
        </w:tc>
        <w:tc>
          <w:tcPr>
            <w:tcW w:w="851" w:type="dxa"/>
          </w:tcPr>
          <w:p w14:paraId="58D82D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Райт-Циклон/ 2 К-14</w:t>
            </w:r>
          </w:p>
        </w:tc>
        <w:tc>
          <w:tcPr>
            <w:tcW w:w="875" w:type="dxa"/>
          </w:tcPr>
          <w:p w14:paraId="78468C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826" w:type="dxa"/>
          </w:tcPr>
          <w:p w14:paraId="4587AB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w:t>
            </w:r>
          </w:p>
        </w:tc>
        <w:tc>
          <w:tcPr>
            <w:tcW w:w="850" w:type="dxa"/>
          </w:tcPr>
          <w:p w14:paraId="00CBAB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850/1700</w:t>
            </w:r>
          </w:p>
        </w:tc>
        <w:tc>
          <w:tcPr>
            <w:tcW w:w="851" w:type="dxa"/>
          </w:tcPr>
          <w:p w14:paraId="207422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850" w:type="dxa"/>
          </w:tcPr>
          <w:p w14:paraId="2262AA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851" w:type="dxa"/>
          </w:tcPr>
          <w:p w14:paraId="3E3D68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992" w:type="dxa"/>
          </w:tcPr>
          <w:p w14:paraId="54E553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992" w:type="dxa"/>
          </w:tcPr>
          <w:p w14:paraId="7CB9BE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w:t>
            </w:r>
          </w:p>
        </w:tc>
        <w:tc>
          <w:tcPr>
            <w:tcW w:w="1134" w:type="dxa"/>
          </w:tcPr>
          <w:p w14:paraId="7CC026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Военный вариант машины строится под мотор К-14, гражданский вариант необходимо построить с мотором Райт-Циклон, в связи с чем скоростные показатели могут быть снижены до 370 км/час</w:t>
            </w:r>
          </w:p>
        </w:tc>
      </w:tr>
      <w:tr w:rsidR="00E3599D" w:rsidRPr="00E14102" w14:paraId="196FAD1E" w14:textId="77777777">
        <w:tc>
          <w:tcPr>
            <w:tcW w:w="967" w:type="dxa"/>
          </w:tcPr>
          <w:p w14:paraId="36E4EC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Сталь-7</w:t>
            </w:r>
          </w:p>
        </w:tc>
        <w:tc>
          <w:tcPr>
            <w:tcW w:w="842" w:type="dxa"/>
          </w:tcPr>
          <w:p w14:paraId="0751E4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ББ</w:t>
            </w:r>
          </w:p>
        </w:tc>
        <w:tc>
          <w:tcPr>
            <w:tcW w:w="851" w:type="dxa"/>
          </w:tcPr>
          <w:p w14:paraId="6BA8D8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Испано-Сюиза</w:t>
            </w:r>
          </w:p>
        </w:tc>
        <w:tc>
          <w:tcPr>
            <w:tcW w:w="875" w:type="dxa"/>
          </w:tcPr>
          <w:p w14:paraId="478451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370</w:t>
            </w:r>
          </w:p>
        </w:tc>
        <w:tc>
          <w:tcPr>
            <w:tcW w:w="826" w:type="dxa"/>
          </w:tcPr>
          <w:p w14:paraId="3A43DF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w:t>
            </w:r>
          </w:p>
        </w:tc>
        <w:tc>
          <w:tcPr>
            <w:tcW w:w="850" w:type="dxa"/>
          </w:tcPr>
          <w:p w14:paraId="58DC2F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1400/1600</w:t>
            </w:r>
          </w:p>
        </w:tc>
        <w:tc>
          <w:tcPr>
            <w:tcW w:w="851" w:type="dxa"/>
          </w:tcPr>
          <w:p w14:paraId="1205D7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w:t>
            </w:r>
          </w:p>
        </w:tc>
        <w:tc>
          <w:tcPr>
            <w:tcW w:w="850" w:type="dxa"/>
          </w:tcPr>
          <w:p w14:paraId="053376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w:t>
            </w:r>
          </w:p>
        </w:tc>
        <w:tc>
          <w:tcPr>
            <w:tcW w:w="851" w:type="dxa"/>
          </w:tcPr>
          <w:p w14:paraId="225360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992" w:type="dxa"/>
          </w:tcPr>
          <w:p w14:paraId="73A284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СНИИ ГВФ</w:t>
            </w:r>
          </w:p>
        </w:tc>
        <w:tc>
          <w:tcPr>
            <w:tcW w:w="992" w:type="dxa"/>
          </w:tcPr>
          <w:p w14:paraId="3CBB44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w:t>
            </w:r>
          </w:p>
        </w:tc>
        <w:tc>
          <w:tcPr>
            <w:tcW w:w="1134" w:type="dxa"/>
          </w:tcPr>
          <w:p w14:paraId="774E7F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спроектирован под 2 мотора Испано-Сюиза и М-17 с выпуском опытной машины в первую очередь с М-17</w:t>
            </w:r>
          </w:p>
        </w:tc>
      </w:tr>
      <w:tr w:rsidR="00E3599D" w:rsidRPr="00E14102" w14:paraId="639FB9A8" w14:textId="77777777">
        <w:tc>
          <w:tcPr>
            <w:tcW w:w="967" w:type="dxa"/>
          </w:tcPr>
          <w:p w14:paraId="6C511E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ЗИГ-2</w:t>
            </w:r>
          </w:p>
        </w:tc>
        <w:tc>
          <w:tcPr>
            <w:tcW w:w="842" w:type="dxa"/>
          </w:tcPr>
          <w:p w14:paraId="7F0292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Трансп.</w:t>
            </w:r>
          </w:p>
        </w:tc>
        <w:tc>
          <w:tcPr>
            <w:tcW w:w="851" w:type="dxa"/>
          </w:tcPr>
          <w:p w14:paraId="20CC97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2М-34</w:t>
            </w:r>
          </w:p>
        </w:tc>
        <w:tc>
          <w:tcPr>
            <w:tcW w:w="875" w:type="dxa"/>
          </w:tcPr>
          <w:p w14:paraId="63EA27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826" w:type="dxa"/>
          </w:tcPr>
          <w:p w14:paraId="28F5EC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85-90</w:t>
            </w:r>
          </w:p>
        </w:tc>
        <w:tc>
          <w:tcPr>
            <w:tcW w:w="850" w:type="dxa"/>
          </w:tcPr>
          <w:p w14:paraId="7D86E3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1000/3000</w:t>
            </w:r>
          </w:p>
        </w:tc>
        <w:tc>
          <w:tcPr>
            <w:tcW w:w="851" w:type="dxa"/>
          </w:tcPr>
          <w:p w14:paraId="3AD64A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w:t>
            </w:r>
          </w:p>
        </w:tc>
        <w:tc>
          <w:tcPr>
            <w:tcW w:w="850" w:type="dxa"/>
          </w:tcPr>
          <w:p w14:paraId="49F452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w:t>
            </w:r>
          </w:p>
        </w:tc>
        <w:tc>
          <w:tcPr>
            <w:tcW w:w="851" w:type="dxa"/>
          </w:tcPr>
          <w:p w14:paraId="3CFDE4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992" w:type="dxa"/>
          </w:tcPr>
          <w:p w14:paraId="732344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89</w:t>
            </w:r>
          </w:p>
        </w:tc>
        <w:tc>
          <w:tcPr>
            <w:tcW w:w="992" w:type="dxa"/>
          </w:tcPr>
          <w:p w14:paraId="2B022B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декабря 1936 </w:t>
            </w:r>
          </w:p>
        </w:tc>
        <w:tc>
          <w:tcPr>
            <w:tcW w:w="1134" w:type="dxa"/>
          </w:tcPr>
          <w:p w14:paraId="0D4322E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16C8AE" w14:textId="77777777">
        <w:tc>
          <w:tcPr>
            <w:tcW w:w="967" w:type="dxa"/>
          </w:tcPr>
          <w:p w14:paraId="01A260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Почтово-пассажирские</w:t>
            </w:r>
          </w:p>
        </w:tc>
        <w:tc>
          <w:tcPr>
            <w:tcW w:w="842" w:type="dxa"/>
          </w:tcPr>
          <w:p w14:paraId="4D6BABCC"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36AA87F4" w14:textId="77777777" w:rsidR="00D4105E" w:rsidRPr="00E14102" w:rsidRDefault="00D4105E" w:rsidP="00E14102">
            <w:pPr>
              <w:autoSpaceDE w:val="0"/>
              <w:autoSpaceDN w:val="0"/>
              <w:adjustRightInd w:val="0"/>
              <w:jc w:val="both"/>
              <w:rPr>
                <w:color w:val="000000" w:themeColor="text1"/>
                <w:sz w:val="16"/>
                <w:szCs w:val="16"/>
              </w:rPr>
            </w:pPr>
          </w:p>
        </w:tc>
        <w:tc>
          <w:tcPr>
            <w:tcW w:w="875" w:type="dxa"/>
          </w:tcPr>
          <w:p w14:paraId="472E6E96" w14:textId="77777777" w:rsidR="00D4105E" w:rsidRPr="00E14102" w:rsidRDefault="00D4105E" w:rsidP="00E14102">
            <w:pPr>
              <w:autoSpaceDE w:val="0"/>
              <w:autoSpaceDN w:val="0"/>
              <w:adjustRightInd w:val="0"/>
              <w:jc w:val="both"/>
              <w:rPr>
                <w:color w:val="000000" w:themeColor="text1"/>
                <w:sz w:val="16"/>
                <w:szCs w:val="16"/>
              </w:rPr>
            </w:pPr>
          </w:p>
        </w:tc>
        <w:tc>
          <w:tcPr>
            <w:tcW w:w="826" w:type="dxa"/>
          </w:tcPr>
          <w:p w14:paraId="5B554D41"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72818B81"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6ED1CC58"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01994F2C"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717F008E"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304542EC"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6C2515FF" w14:textId="77777777" w:rsidR="00D4105E" w:rsidRPr="00E14102" w:rsidRDefault="00D4105E" w:rsidP="00E14102">
            <w:pPr>
              <w:autoSpaceDE w:val="0"/>
              <w:autoSpaceDN w:val="0"/>
              <w:adjustRightInd w:val="0"/>
              <w:jc w:val="both"/>
              <w:rPr>
                <w:color w:val="000000" w:themeColor="text1"/>
                <w:sz w:val="16"/>
                <w:szCs w:val="16"/>
              </w:rPr>
            </w:pPr>
          </w:p>
        </w:tc>
        <w:tc>
          <w:tcPr>
            <w:tcW w:w="1134" w:type="dxa"/>
          </w:tcPr>
          <w:p w14:paraId="65C9D5A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F5F07BA" w14:textId="77777777">
        <w:tc>
          <w:tcPr>
            <w:tcW w:w="967" w:type="dxa"/>
          </w:tcPr>
          <w:p w14:paraId="041D80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Сталь-11 (экспресс)</w:t>
            </w:r>
          </w:p>
        </w:tc>
        <w:tc>
          <w:tcPr>
            <w:tcW w:w="842" w:type="dxa"/>
          </w:tcPr>
          <w:p w14:paraId="7ADB28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Развед.</w:t>
            </w:r>
          </w:p>
        </w:tc>
        <w:tc>
          <w:tcPr>
            <w:tcW w:w="851" w:type="dxa"/>
          </w:tcPr>
          <w:p w14:paraId="44B540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Испано-Сюиза</w:t>
            </w:r>
          </w:p>
        </w:tc>
        <w:tc>
          <w:tcPr>
            <w:tcW w:w="875" w:type="dxa"/>
          </w:tcPr>
          <w:p w14:paraId="7888C5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430</w:t>
            </w:r>
          </w:p>
        </w:tc>
        <w:tc>
          <w:tcPr>
            <w:tcW w:w="826" w:type="dxa"/>
          </w:tcPr>
          <w:p w14:paraId="320D8D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w:t>
            </w:r>
          </w:p>
        </w:tc>
        <w:tc>
          <w:tcPr>
            <w:tcW w:w="850" w:type="dxa"/>
          </w:tcPr>
          <w:p w14:paraId="4CFD24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1300</w:t>
            </w:r>
          </w:p>
        </w:tc>
        <w:tc>
          <w:tcPr>
            <w:tcW w:w="851" w:type="dxa"/>
          </w:tcPr>
          <w:p w14:paraId="2676FC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550</w:t>
            </w:r>
          </w:p>
        </w:tc>
        <w:tc>
          <w:tcPr>
            <w:tcW w:w="850" w:type="dxa"/>
          </w:tcPr>
          <w:p w14:paraId="3DB1D6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851" w:type="dxa"/>
          </w:tcPr>
          <w:p w14:paraId="6A750B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92" w:type="dxa"/>
          </w:tcPr>
          <w:p w14:paraId="273B74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81</w:t>
            </w:r>
          </w:p>
        </w:tc>
        <w:tc>
          <w:tcPr>
            <w:tcW w:w="992" w:type="dxa"/>
          </w:tcPr>
          <w:p w14:paraId="2F035F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w:t>
            </w:r>
          </w:p>
        </w:tc>
        <w:tc>
          <w:tcPr>
            <w:tcW w:w="1134" w:type="dxa"/>
          </w:tcPr>
          <w:p w14:paraId="2F6C0D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военном варианте – СР, в гражданском используется как экспресс пассажирская дневная машина и как почтовый экспресс</w:t>
            </w:r>
          </w:p>
        </w:tc>
      </w:tr>
      <w:tr w:rsidR="00E3599D" w:rsidRPr="00E14102" w14:paraId="03E451EB" w14:textId="77777777">
        <w:tc>
          <w:tcPr>
            <w:tcW w:w="967" w:type="dxa"/>
          </w:tcPr>
          <w:p w14:paraId="5BB841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ПП-1</w:t>
            </w:r>
          </w:p>
        </w:tc>
        <w:tc>
          <w:tcPr>
            <w:tcW w:w="842" w:type="dxa"/>
          </w:tcPr>
          <w:p w14:paraId="46A6C7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Развед. и трансп. </w:t>
            </w:r>
          </w:p>
        </w:tc>
        <w:tc>
          <w:tcPr>
            <w:tcW w:w="851" w:type="dxa"/>
          </w:tcPr>
          <w:p w14:paraId="074095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Райт-Циклон/ К-9</w:t>
            </w:r>
          </w:p>
        </w:tc>
        <w:tc>
          <w:tcPr>
            <w:tcW w:w="875" w:type="dxa"/>
          </w:tcPr>
          <w:p w14:paraId="53A5D0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380</w:t>
            </w:r>
          </w:p>
        </w:tc>
        <w:tc>
          <w:tcPr>
            <w:tcW w:w="826" w:type="dxa"/>
          </w:tcPr>
          <w:p w14:paraId="1B4563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w:t>
            </w:r>
          </w:p>
        </w:tc>
        <w:tc>
          <w:tcPr>
            <w:tcW w:w="850" w:type="dxa"/>
          </w:tcPr>
          <w:p w14:paraId="4FFAE6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900</w:t>
            </w:r>
          </w:p>
        </w:tc>
        <w:tc>
          <w:tcPr>
            <w:tcW w:w="851" w:type="dxa"/>
          </w:tcPr>
          <w:p w14:paraId="6762FF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850" w:type="dxa"/>
          </w:tcPr>
          <w:p w14:paraId="5BF878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w:t>
            </w:r>
          </w:p>
        </w:tc>
        <w:tc>
          <w:tcPr>
            <w:tcW w:w="851" w:type="dxa"/>
          </w:tcPr>
          <w:p w14:paraId="662FE3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992" w:type="dxa"/>
          </w:tcPr>
          <w:p w14:paraId="5631EF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СНИИ ГВФ</w:t>
            </w:r>
          </w:p>
        </w:tc>
        <w:tc>
          <w:tcPr>
            <w:tcW w:w="992" w:type="dxa"/>
          </w:tcPr>
          <w:p w14:paraId="54ABB8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w:t>
            </w:r>
          </w:p>
        </w:tc>
        <w:tc>
          <w:tcPr>
            <w:tcW w:w="1134" w:type="dxa"/>
          </w:tcPr>
          <w:p w14:paraId="5AD6F79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7E48755" w14:textId="77777777">
        <w:tc>
          <w:tcPr>
            <w:tcW w:w="967" w:type="dxa"/>
          </w:tcPr>
          <w:p w14:paraId="692748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Линейные краевой связи</w:t>
            </w:r>
          </w:p>
        </w:tc>
        <w:tc>
          <w:tcPr>
            <w:tcW w:w="842" w:type="dxa"/>
          </w:tcPr>
          <w:p w14:paraId="2314AC05"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6B17EFAA" w14:textId="77777777" w:rsidR="00D4105E" w:rsidRPr="00E14102" w:rsidRDefault="00D4105E" w:rsidP="00E14102">
            <w:pPr>
              <w:autoSpaceDE w:val="0"/>
              <w:autoSpaceDN w:val="0"/>
              <w:adjustRightInd w:val="0"/>
              <w:jc w:val="both"/>
              <w:rPr>
                <w:color w:val="000000" w:themeColor="text1"/>
                <w:sz w:val="16"/>
                <w:szCs w:val="16"/>
              </w:rPr>
            </w:pPr>
          </w:p>
        </w:tc>
        <w:tc>
          <w:tcPr>
            <w:tcW w:w="875" w:type="dxa"/>
          </w:tcPr>
          <w:p w14:paraId="10524146" w14:textId="77777777" w:rsidR="00D4105E" w:rsidRPr="00E14102" w:rsidRDefault="00D4105E" w:rsidP="00E14102">
            <w:pPr>
              <w:autoSpaceDE w:val="0"/>
              <w:autoSpaceDN w:val="0"/>
              <w:adjustRightInd w:val="0"/>
              <w:jc w:val="both"/>
              <w:rPr>
                <w:color w:val="000000" w:themeColor="text1"/>
                <w:sz w:val="16"/>
                <w:szCs w:val="16"/>
              </w:rPr>
            </w:pPr>
          </w:p>
        </w:tc>
        <w:tc>
          <w:tcPr>
            <w:tcW w:w="826" w:type="dxa"/>
          </w:tcPr>
          <w:p w14:paraId="3E9EDF4A"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6FE8F0F2"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567076AA"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33853040"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1798CE96"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5C3A00F8"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384417F0" w14:textId="77777777" w:rsidR="00D4105E" w:rsidRPr="00E14102" w:rsidRDefault="00D4105E" w:rsidP="00E14102">
            <w:pPr>
              <w:autoSpaceDE w:val="0"/>
              <w:autoSpaceDN w:val="0"/>
              <w:adjustRightInd w:val="0"/>
              <w:jc w:val="both"/>
              <w:rPr>
                <w:color w:val="000000" w:themeColor="text1"/>
                <w:sz w:val="16"/>
                <w:szCs w:val="16"/>
              </w:rPr>
            </w:pPr>
          </w:p>
        </w:tc>
        <w:tc>
          <w:tcPr>
            <w:tcW w:w="1134" w:type="dxa"/>
          </w:tcPr>
          <w:p w14:paraId="275736F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CF4E40E" w14:textId="77777777">
        <w:tc>
          <w:tcPr>
            <w:tcW w:w="967" w:type="dxa"/>
          </w:tcPr>
          <w:p w14:paraId="7528AD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ДКЛ-1</w:t>
            </w:r>
          </w:p>
        </w:tc>
        <w:tc>
          <w:tcPr>
            <w:tcW w:w="842" w:type="dxa"/>
          </w:tcPr>
          <w:p w14:paraId="34914D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Трансп.</w:t>
            </w:r>
          </w:p>
          <w:p w14:paraId="4550E5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Штабн.</w:t>
            </w:r>
          </w:p>
        </w:tc>
        <w:tc>
          <w:tcPr>
            <w:tcW w:w="851" w:type="dxa"/>
          </w:tcPr>
          <w:p w14:paraId="4B7EC3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МГ-31</w:t>
            </w:r>
          </w:p>
        </w:tc>
        <w:tc>
          <w:tcPr>
            <w:tcW w:w="875" w:type="dxa"/>
          </w:tcPr>
          <w:p w14:paraId="59216F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320</w:t>
            </w:r>
          </w:p>
        </w:tc>
        <w:tc>
          <w:tcPr>
            <w:tcW w:w="826" w:type="dxa"/>
          </w:tcPr>
          <w:p w14:paraId="72B632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w:t>
            </w:r>
          </w:p>
        </w:tc>
        <w:tc>
          <w:tcPr>
            <w:tcW w:w="850" w:type="dxa"/>
          </w:tcPr>
          <w:p w14:paraId="52AF1A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851" w:type="dxa"/>
          </w:tcPr>
          <w:p w14:paraId="22871F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850" w:type="dxa"/>
          </w:tcPr>
          <w:p w14:paraId="34CC21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w:t>
            </w:r>
          </w:p>
        </w:tc>
        <w:tc>
          <w:tcPr>
            <w:tcW w:w="851" w:type="dxa"/>
          </w:tcPr>
          <w:p w14:paraId="1638E9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992" w:type="dxa"/>
          </w:tcPr>
          <w:p w14:paraId="205FA0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ГУАП (КАИ)</w:t>
            </w:r>
          </w:p>
        </w:tc>
        <w:tc>
          <w:tcPr>
            <w:tcW w:w="992" w:type="dxa"/>
          </w:tcPr>
          <w:p w14:paraId="0F8C58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w:t>
            </w:r>
          </w:p>
        </w:tc>
        <w:tc>
          <w:tcPr>
            <w:tcW w:w="1134" w:type="dxa"/>
          </w:tcPr>
          <w:p w14:paraId="1635E73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CEB9083" w14:textId="77777777">
        <w:tc>
          <w:tcPr>
            <w:tcW w:w="967" w:type="dxa"/>
          </w:tcPr>
          <w:p w14:paraId="49DDBF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Грузовые</w:t>
            </w:r>
          </w:p>
        </w:tc>
        <w:tc>
          <w:tcPr>
            <w:tcW w:w="842" w:type="dxa"/>
          </w:tcPr>
          <w:p w14:paraId="5AFD3117"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3E511B38" w14:textId="77777777" w:rsidR="00D4105E" w:rsidRPr="00E14102" w:rsidRDefault="00D4105E" w:rsidP="00E14102">
            <w:pPr>
              <w:autoSpaceDE w:val="0"/>
              <w:autoSpaceDN w:val="0"/>
              <w:adjustRightInd w:val="0"/>
              <w:jc w:val="both"/>
              <w:rPr>
                <w:color w:val="000000" w:themeColor="text1"/>
                <w:sz w:val="16"/>
                <w:szCs w:val="16"/>
              </w:rPr>
            </w:pPr>
          </w:p>
        </w:tc>
        <w:tc>
          <w:tcPr>
            <w:tcW w:w="875" w:type="dxa"/>
          </w:tcPr>
          <w:p w14:paraId="488E0158" w14:textId="77777777" w:rsidR="00D4105E" w:rsidRPr="00E14102" w:rsidRDefault="00D4105E" w:rsidP="00E14102">
            <w:pPr>
              <w:autoSpaceDE w:val="0"/>
              <w:autoSpaceDN w:val="0"/>
              <w:adjustRightInd w:val="0"/>
              <w:jc w:val="both"/>
              <w:rPr>
                <w:color w:val="000000" w:themeColor="text1"/>
                <w:sz w:val="16"/>
                <w:szCs w:val="16"/>
              </w:rPr>
            </w:pPr>
          </w:p>
        </w:tc>
        <w:tc>
          <w:tcPr>
            <w:tcW w:w="826" w:type="dxa"/>
          </w:tcPr>
          <w:p w14:paraId="0AD66A2F"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5EB43F0D"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43E3B57B"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11B60EC5"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1061624D"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0304E96F"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6E7C0969" w14:textId="77777777" w:rsidR="00D4105E" w:rsidRPr="00E14102" w:rsidRDefault="00D4105E" w:rsidP="00E14102">
            <w:pPr>
              <w:autoSpaceDE w:val="0"/>
              <w:autoSpaceDN w:val="0"/>
              <w:adjustRightInd w:val="0"/>
              <w:jc w:val="both"/>
              <w:rPr>
                <w:color w:val="000000" w:themeColor="text1"/>
                <w:sz w:val="16"/>
                <w:szCs w:val="16"/>
              </w:rPr>
            </w:pPr>
          </w:p>
        </w:tc>
        <w:tc>
          <w:tcPr>
            <w:tcW w:w="1134" w:type="dxa"/>
          </w:tcPr>
          <w:p w14:paraId="2781E2E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3B2CB53" w14:textId="77777777">
        <w:tc>
          <w:tcPr>
            <w:tcW w:w="967" w:type="dxa"/>
          </w:tcPr>
          <w:p w14:paraId="3413D9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ДБ</w:t>
            </w:r>
          </w:p>
        </w:tc>
        <w:tc>
          <w:tcPr>
            <w:tcW w:w="842" w:type="dxa"/>
          </w:tcPr>
          <w:p w14:paraId="788994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w:t>
            </w:r>
          </w:p>
        </w:tc>
        <w:tc>
          <w:tcPr>
            <w:tcW w:w="851" w:type="dxa"/>
          </w:tcPr>
          <w:p w14:paraId="5110D5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М-34</w:t>
            </w:r>
          </w:p>
        </w:tc>
        <w:tc>
          <w:tcPr>
            <w:tcW w:w="875" w:type="dxa"/>
          </w:tcPr>
          <w:p w14:paraId="0DE6BA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Машина военного варианта используется для нужд ГВФ без переделок</w:t>
            </w:r>
          </w:p>
        </w:tc>
        <w:tc>
          <w:tcPr>
            <w:tcW w:w="826" w:type="dxa"/>
          </w:tcPr>
          <w:p w14:paraId="6793F781"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328AF159"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1759A2E0"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64CA200C"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393C60CC"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5C5A56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tc>
        <w:tc>
          <w:tcPr>
            <w:tcW w:w="992" w:type="dxa"/>
          </w:tcPr>
          <w:p w14:paraId="10AD291B" w14:textId="77777777" w:rsidR="00D4105E" w:rsidRPr="00E14102" w:rsidRDefault="00D4105E" w:rsidP="00E14102">
            <w:pPr>
              <w:autoSpaceDE w:val="0"/>
              <w:autoSpaceDN w:val="0"/>
              <w:adjustRightInd w:val="0"/>
              <w:jc w:val="both"/>
              <w:rPr>
                <w:color w:val="000000" w:themeColor="text1"/>
                <w:sz w:val="16"/>
                <w:szCs w:val="16"/>
              </w:rPr>
            </w:pPr>
          </w:p>
        </w:tc>
        <w:tc>
          <w:tcPr>
            <w:tcW w:w="1134" w:type="dxa"/>
          </w:tcPr>
          <w:p w14:paraId="5E0EAA9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9FC91CB" w14:textId="77777777">
        <w:tc>
          <w:tcPr>
            <w:tcW w:w="967" w:type="dxa"/>
          </w:tcPr>
          <w:p w14:paraId="2D2F2E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спецприменения и местной связи</w:t>
            </w:r>
          </w:p>
        </w:tc>
        <w:tc>
          <w:tcPr>
            <w:tcW w:w="842" w:type="dxa"/>
          </w:tcPr>
          <w:p w14:paraId="0604CA23"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00CB582A" w14:textId="77777777" w:rsidR="00D4105E" w:rsidRPr="00E14102" w:rsidRDefault="00D4105E" w:rsidP="00E14102">
            <w:pPr>
              <w:autoSpaceDE w:val="0"/>
              <w:autoSpaceDN w:val="0"/>
              <w:adjustRightInd w:val="0"/>
              <w:jc w:val="both"/>
              <w:rPr>
                <w:color w:val="000000" w:themeColor="text1"/>
                <w:sz w:val="16"/>
                <w:szCs w:val="16"/>
              </w:rPr>
            </w:pPr>
          </w:p>
        </w:tc>
        <w:tc>
          <w:tcPr>
            <w:tcW w:w="875" w:type="dxa"/>
          </w:tcPr>
          <w:p w14:paraId="1402069F" w14:textId="77777777" w:rsidR="00D4105E" w:rsidRPr="00E14102" w:rsidRDefault="00D4105E" w:rsidP="00E14102">
            <w:pPr>
              <w:autoSpaceDE w:val="0"/>
              <w:autoSpaceDN w:val="0"/>
              <w:adjustRightInd w:val="0"/>
              <w:jc w:val="both"/>
              <w:rPr>
                <w:color w:val="000000" w:themeColor="text1"/>
                <w:sz w:val="16"/>
                <w:szCs w:val="16"/>
              </w:rPr>
            </w:pPr>
          </w:p>
        </w:tc>
        <w:tc>
          <w:tcPr>
            <w:tcW w:w="826" w:type="dxa"/>
          </w:tcPr>
          <w:p w14:paraId="2CC4C08E"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131BCECF"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2CD99469"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321F3AA1"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7318F057"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1EC9247E"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2589C0C7" w14:textId="77777777" w:rsidR="00D4105E" w:rsidRPr="00E14102" w:rsidRDefault="00D4105E" w:rsidP="00E14102">
            <w:pPr>
              <w:autoSpaceDE w:val="0"/>
              <w:autoSpaceDN w:val="0"/>
              <w:adjustRightInd w:val="0"/>
              <w:jc w:val="both"/>
              <w:rPr>
                <w:color w:val="000000" w:themeColor="text1"/>
                <w:sz w:val="16"/>
                <w:szCs w:val="16"/>
              </w:rPr>
            </w:pPr>
          </w:p>
        </w:tc>
        <w:tc>
          <w:tcPr>
            <w:tcW w:w="1134" w:type="dxa"/>
          </w:tcPr>
          <w:p w14:paraId="30B5655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F48710A" w14:textId="77777777">
        <w:tc>
          <w:tcPr>
            <w:tcW w:w="967" w:type="dxa"/>
          </w:tcPr>
          <w:p w14:paraId="2971E9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СХ</w:t>
            </w:r>
          </w:p>
        </w:tc>
        <w:tc>
          <w:tcPr>
            <w:tcW w:w="842" w:type="dxa"/>
          </w:tcPr>
          <w:p w14:paraId="121865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w:t>
            </w:r>
          </w:p>
        </w:tc>
        <w:tc>
          <w:tcPr>
            <w:tcW w:w="851" w:type="dxa"/>
          </w:tcPr>
          <w:p w14:paraId="4D06B5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МГ-31</w:t>
            </w:r>
          </w:p>
        </w:tc>
        <w:tc>
          <w:tcPr>
            <w:tcW w:w="875" w:type="dxa"/>
          </w:tcPr>
          <w:p w14:paraId="157C3F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200/260</w:t>
            </w:r>
          </w:p>
        </w:tc>
        <w:tc>
          <w:tcPr>
            <w:tcW w:w="826" w:type="dxa"/>
          </w:tcPr>
          <w:p w14:paraId="5AAFE9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60/75</w:t>
            </w:r>
          </w:p>
        </w:tc>
        <w:tc>
          <w:tcPr>
            <w:tcW w:w="850" w:type="dxa"/>
          </w:tcPr>
          <w:p w14:paraId="299E12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851" w:type="dxa"/>
          </w:tcPr>
          <w:p w14:paraId="302CC6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600/400</w:t>
            </w:r>
          </w:p>
        </w:tc>
        <w:tc>
          <w:tcPr>
            <w:tcW w:w="850" w:type="dxa"/>
          </w:tcPr>
          <w:p w14:paraId="40BCA2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0/4</w:t>
            </w:r>
          </w:p>
        </w:tc>
        <w:tc>
          <w:tcPr>
            <w:tcW w:w="851" w:type="dxa"/>
          </w:tcPr>
          <w:p w14:paraId="1FA047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992" w:type="dxa"/>
          </w:tcPr>
          <w:p w14:paraId="62D932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ОКБ ЛИИ ГВФ</w:t>
            </w:r>
          </w:p>
        </w:tc>
        <w:tc>
          <w:tcPr>
            <w:tcW w:w="992" w:type="dxa"/>
          </w:tcPr>
          <w:p w14:paraId="416F1A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w:t>
            </w:r>
          </w:p>
        </w:tc>
        <w:tc>
          <w:tcPr>
            <w:tcW w:w="1134" w:type="dxa"/>
          </w:tcPr>
          <w:p w14:paraId="5E5CF5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в целях использования в мертвые сезоны имеет 2 назначения как с/х машина и как самолет местных пассажирских сообщений. Верхние данные дроби относятся к с/х варианту, нижние к самолету местных сообщений. Самолет мыслится как комбинированный со съемными крыльями.</w:t>
            </w:r>
          </w:p>
        </w:tc>
      </w:tr>
      <w:tr w:rsidR="00E3599D" w:rsidRPr="00E14102" w14:paraId="33B1F662" w14:textId="77777777">
        <w:tc>
          <w:tcPr>
            <w:tcW w:w="967" w:type="dxa"/>
          </w:tcPr>
          <w:p w14:paraId="09256C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МП-2</w:t>
            </w:r>
          </w:p>
        </w:tc>
        <w:tc>
          <w:tcPr>
            <w:tcW w:w="842" w:type="dxa"/>
          </w:tcPr>
          <w:p w14:paraId="7BADB8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Связь</w:t>
            </w:r>
          </w:p>
        </w:tc>
        <w:tc>
          <w:tcPr>
            <w:tcW w:w="851" w:type="dxa"/>
          </w:tcPr>
          <w:p w14:paraId="527AF2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МГ-21 (М-48)</w:t>
            </w:r>
          </w:p>
        </w:tc>
        <w:tc>
          <w:tcPr>
            <w:tcW w:w="875" w:type="dxa"/>
          </w:tcPr>
          <w:p w14:paraId="51C0F3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210</w:t>
            </w:r>
          </w:p>
        </w:tc>
        <w:tc>
          <w:tcPr>
            <w:tcW w:w="826" w:type="dxa"/>
          </w:tcPr>
          <w:p w14:paraId="7238C7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850" w:type="dxa"/>
          </w:tcPr>
          <w:p w14:paraId="07506F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851" w:type="dxa"/>
          </w:tcPr>
          <w:p w14:paraId="33E535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w:t>
            </w:r>
          </w:p>
        </w:tc>
        <w:tc>
          <w:tcPr>
            <w:tcW w:w="850" w:type="dxa"/>
          </w:tcPr>
          <w:p w14:paraId="7B4C9F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851" w:type="dxa"/>
          </w:tcPr>
          <w:p w14:paraId="459E68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92" w:type="dxa"/>
          </w:tcPr>
          <w:p w14:paraId="691661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ОКБ ЛИИ ГВФ</w:t>
            </w:r>
          </w:p>
          <w:p w14:paraId="1AA24C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ГУАП Яковлев</w:t>
            </w:r>
          </w:p>
        </w:tc>
        <w:tc>
          <w:tcPr>
            <w:tcW w:w="992" w:type="dxa"/>
          </w:tcPr>
          <w:p w14:paraId="5F4DA1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w:t>
            </w:r>
          </w:p>
          <w:p w14:paraId="404951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w:t>
            </w:r>
          </w:p>
        </w:tc>
        <w:tc>
          <w:tcPr>
            <w:tcW w:w="1134" w:type="dxa"/>
          </w:tcPr>
          <w:p w14:paraId="57BAC8B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121819" w14:textId="77777777">
        <w:tc>
          <w:tcPr>
            <w:tcW w:w="967" w:type="dxa"/>
          </w:tcPr>
          <w:p w14:paraId="4D45DD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Автожир</w:t>
            </w:r>
          </w:p>
        </w:tc>
        <w:tc>
          <w:tcPr>
            <w:tcW w:w="842" w:type="dxa"/>
          </w:tcPr>
          <w:p w14:paraId="0C4B7D0E"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470944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К-9/Райт Циклон</w:t>
            </w:r>
          </w:p>
        </w:tc>
        <w:tc>
          <w:tcPr>
            <w:tcW w:w="875" w:type="dxa"/>
          </w:tcPr>
          <w:p w14:paraId="498C0D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826" w:type="dxa"/>
          </w:tcPr>
          <w:p w14:paraId="1CF3FD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Мин. 30</w:t>
            </w:r>
          </w:p>
        </w:tc>
        <w:tc>
          <w:tcPr>
            <w:tcW w:w="850" w:type="dxa"/>
          </w:tcPr>
          <w:p w14:paraId="57512F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851" w:type="dxa"/>
          </w:tcPr>
          <w:p w14:paraId="608ADD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850" w:type="dxa"/>
          </w:tcPr>
          <w:p w14:paraId="4A6384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851" w:type="dxa"/>
          </w:tcPr>
          <w:p w14:paraId="66F161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92" w:type="dxa"/>
          </w:tcPr>
          <w:p w14:paraId="553967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992" w:type="dxa"/>
          </w:tcPr>
          <w:p w14:paraId="1636E4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w:t>
            </w:r>
          </w:p>
        </w:tc>
        <w:tc>
          <w:tcPr>
            <w:tcW w:w="1134" w:type="dxa"/>
          </w:tcPr>
          <w:p w14:paraId="52E3892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9EDF587" w14:textId="77777777">
        <w:tc>
          <w:tcPr>
            <w:tcW w:w="967" w:type="dxa"/>
          </w:tcPr>
          <w:p w14:paraId="173383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Гидросамолеты</w:t>
            </w:r>
          </w:p>
        </w:tc>
        <w:tc>
          <w:tcPr>
            <w:tcW w:w="842" w:type="dxa"/>
          </w:tcPr>
          <w:p w14:paraId="2E42C85F"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530DB296" w14:textId="77777777" w:rsidR="00D4105E" w:rsidRPr="00E14102" w:rsidRDefault="00D4105E" w:rsidP="00E14102">
            <w:pPr>
              <w:autoSpaceDE w:val="0"/>
              <w:autoSpaceDN w:val="0"/>
              <w:adjustRightInd w:val="0"/>
              <w:jc w:val="both"/>
              <w:rPr>
                <w:color w:val="000000" w:themeColor="text1"/>
                <w:sz w:val="16"/>
                <w:szCs w:val="16"/>
              </w:rPr>
            </w:pPr>
          </w:p>
        </w:tc>
        <w:tc>
          <w:tcPr>
            <w:tcW w:w="875" w:type="dxa"/>
          </w:tcPr>
          <w:p w14:paraId="4F8908AC" w14:textId="77777777" w:rsidR="00D4105E" w:rsidRPr="00E14102" w:rsidRDefault="00D4105E" w:rsidP="00E14102">
            <w:pPr>
              <w:autoSpaceDE w:val="0"/>
              <w:autoSpaceDN w:val="0"/>
              <w:adjustRightInd w:val="0"/>
              <w:jc w:val="both"/>
              <w:rPr>
                <w:color w:val="000000" w:themeColor="text1"/>
                <w:sz w:val="16"/>
                <w:szCs w:val="16"/>
              </w:rPr>
            </w:pPr>
          </w:p>
        </w:tc>
        <w:tc>
          <w:tcPr>
            <w:tcW w:w="826" w:type="dxa"/>
          </w:tcPr>
          <w:p w14:paraId="571E82B4"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48891386"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4DBED73E"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2D543E04"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13DBE6CA"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763183DC"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649C7CC4" w14:textId="77777777" w:rsidR="00D4105E" w:rsidRPr="00E14102" w:rsidRDefault="00D4105E" w:rsidP="00E14102">
            <w:pPr>
              <w:autoSpaceDE w:val="0"/>
              <w:autoSpaceDN w:val="0"/>
              <w:adjustRightInd w:val="0"/>
              <w:jc w:val="both"/>
              <w:rPr>
                <w:color w:val="000000" w:themeColor="text1"/>
                <w:sz w:val="16"/>
                <w:szCs w:val="16"/>
              </w:rPr>
            </w:pPr>
          </w:p>
        </w:tc>
        <w:tc>
          <w:tcPr>
            <w:tcW w:w="1134" w:type="dxa"/>
          </w:tcPr>
          <w:p w14:paraId="626B502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92B9AAA" w14:textId="77777777">
        <w:tc>
          <w:tcPr>
            <w:tcW w:w="967" w:type="dxa"/>
          </w:tcPr>
          <w:p w14:paraId="48F119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АРК-3</w:t>
            </w:r>
          </w:p>
        </w:tc>
        <w:tc>
          <w:tcPr>
            <w:tcW w:w="842" w:type="dxa"/>
          </w:tcPr>
          <w:p w14:paraId="64658A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МДР-6</w:t>
            </w:r>
          </w:p>
        </w:tc>
        <w:tc>
          <w:tcPr>
            <w:tcW w:w="851" w:type="dxa"/>
          </w:tcPr>
          <w:p w14:paraId="268B9C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Райт-Циклон</w:t>
            </w:r>
          </w:p>
        </w:tc>
        <w:tc>
          <w:tcPr>
            <w:tcW w:w="875" w:type="dxa"/>
          </w:tcPr>
          <w:p w14:paraId="54F7A2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w:t>
            </w:r>
          </w:p>
        </w:tc>
        <w:tc>
          <w:tcPr>
            <w:tcW w:w="826" w:type="dxa"/>
          </w:tcPr>
          <w:p w14:paraId="3B1BCD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w:t>
            </w:r>
          </w:p>
        </w:tc>
        <w:tc>
          <w:tcPr>
            <w:tcW w:w="850" w:type="dxa"/>
          </w:tcPr>
          <w:p w14:paraId="349B34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1000/2000</w:t>
            </w:r>
          </w:p>
        </w:tc>
        <w:tc>
          <w:tcPr>
            <w:tcW w:w="851" w:type="dxa"/>
          </w:tcPr>
          <w:p w14:paraId="414A52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850" w:type="dxa"/>
          </w:tcPr>
          <w:p w14:paraId="5B48C9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851" w:type="dxa"/>
          </w:tcPr>
          <w:p w14:paraId="126382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992" w:type="dxa"/>
          </w:tcPr>
          <w:p w14:paraId="0E88F1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СНИИ ГВФ и ГУАП завод № 45</w:t>
            </w:r>
          </w:p>
        </w:tc>
        <w:tc>
          <w:tcPr>
            <w:tcW w:w="992" w:type="dxa"/>
          </w:tcPr>
          <w:p w14:paraId="36B4C8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июля 1935</w:t>
            </w:r>
          </w:p>
        </w:tc>
        <w:tc>
          <w:tcPr>
            <w:tcW w:w="1134" w:type="dxa"/>
          </w:tcPr>
          <w:p w14:paraId="5088BF9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7F1CC79" w14:textId="77777777">
        <w:tc>
          <w:tcPr>
            <w:tcW w:w="967" w:type="dxa"/>
          </w:tcPr>
          <w:p w14:paraId="08D941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АНТ-27</w:t>
            </w:r>
          </w:p>
        </w:tc>
        <w:tc>
          <w:tcPr>
            <w:tcW w:w="842" w:type="dxa"/>
          </w:tcPr>
          <w:p w14:paraId="11A637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w:t>
            </w:r>
          </w:p>
        </w:tc>
        <w:tc>
          <w:tcPr>
            <w:tcW w:w="851" w:type="dxa"/>
          </w:tcPr>
          <w:p w14:paraId="30BABF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3М-34</w:t>
            </w:r>
          </w:p>
        </w:tc>
        <w:tc>
          <w:tcPr>
            <w:tcW w:w="875" w:type="dxa"/>
          </w:tcPr>
          <w:p w14:paraId="074FA3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Непосредственн. приспособление военного варианта</w:t>
            </w:r>
          </w:p>
        </w:tc>
        <w:tc>
          <w:tcPr>
            <w:tcW w:w="826" w:type="dxa"/>
          </w:tcPr>
          <w:p w14:paraId="15450CD7"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150A542C"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484BDB13"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21203F7F"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6D30AB93"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7F3308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992" w:type="dxa"/>
          </w:tcPr>
          <w:p w14:paraId="63D38E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Через 4 месяца после выхода серийного самолета</w:t>
            </w:r>
          </w:p>
        </w:tc>
        <w:tc>
          <w:tcPr>
            <w:tcW w:w="1134" w:type="dxa"/>
          </w:tcPr>
          <w:p w14:paraId="46070FB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E327065" w14:textId="77777777">
        <w:tc>
          <w:tcPr>
            <w:tcW w:w="967" w:type="dxa"/>
          </w:tcPr>
          <w:p w14:paraId="323E09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АНТ-44</w:t>
            </w:r>
          </w:p>
        </w:tc>
        <w:tc>
          <w:tcPr>
            <w:tcW w:w="842" w:type="dxa"/>
          </w:tcPr>
          <w:p w14:paraId="10F617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МТБ-2</w:t>
            </w:r>
          </w:p>
        </w:tc>
        <w:tc>
          <w:tcPr>
            <w:tcW w:w="851" w:type="dxa"/>
          </w:tcPr>
          <w:p w14:paraId="4BFE99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К-14</w:t>
            </w:r>
          </w:p>
        </w:tc>
        <w:tc>
          <w:tcPr>
            <w:tcW w:w="875" w:type="dxa"/>
          </w:tcPr>
          <w:p w14:paraId="014A4B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826" w:type="dxa"/>
          </w:tcPr>
          <w:p w14:paraId="1A359A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850" w:type="dxa"/>
          </w:tcPr>
          <w:p w14:paraId="157B19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851" w:type="dxa"/>
          </w:tcPr>
          <w:p w14:paraId="2E7B88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850" w:type="dxa"/>
          </w:tcPr>
          <w:p w14:paraId="543846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851" w:type="dxa"/>
          </w:tcPr>
          <w:p w14:paraId="0DEA35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992" w:type="dxa"/>
          </w:tcPr>
          <w:p w14:paraId="6D0636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992" w:type="dxa"/>
          </w:tcPr>
          <w:p w14:paraId="225AD1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w:t>
            </w:r>
          </w:p>
        </w:tc>
        <w:tc>
          <w:tcPr>
            <w:tcW w:w="1134" w:type="dxa"/>
          </w:tcPr>
          <w:p w14:paraId="111FDB7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DE307BD" w14:textId="77777777">
        <w:tc>
          <w:tcPr>
            <w:tcW w:w="967" w:type="dxa"/>
          </w:tcPr>
          <w:p w14:paraId="400E8D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ТА (трансп. амфибия) </w:t>
            </w:r>
          </w:p>
        </w:tc>
        <w:tc>
          <w:tcPr>
            <w:tcW w:w="842" w:type="dxa"/>
          </w:tcPr>
          <w:p w14:paraId="094C2524"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493985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МГ-31</w:t>
            </w:r>
          </w:p>
        </w:tc>
        <w:tc>
          <w:tcPr>
            <w:tcW w:w="875" w:type="dxa"/>
          </w:tcPr>
          <w:p w14:paraId="3EBDE5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w:t>
            </w:r>
          </w:p>
        </w:tc>
        <w:tc>
          <w:tcPr>
            <w:tcW w:w="826" w:type="dxa"/>
          </w:tcPr>
          <w:p w14:paraId="161A39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w:t>
            </w:r>
          </w:p>
        </w:tc>
        <w:tc>
          <w:tcPr>
            <w:tcW w:w="850" w:type="dxa"/>
          </w:tcPr>
          <w:p w14:paraId="071C50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851" w:type="dxa"/>
          </w:tcPr>
          <w:p w14:paraId="6436A0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850" w:type="dxa"/>
          </w:tcPr>
          <w:p w14:paraId="1EC9F2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851" w:type="dxa"/>
          </w:tcPr>
          <w:p w14:paraId="4470CE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992" w:type="dxa"/>
          </w:tcPr>
          <w:p w14:paraId="36AD74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ГУАП завод № 45</w:t>
            </w:r>
          </w:p>
        </w:tc>
        <w:tc>
          <w:tcPr>
            <w:tcW w:w="992" w:type="dxa"/>
          </w:tcPr>
          <w:p w14:paraId="3755D2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w:t>
            </w:r>
          </w:p>
        </w:tc>
        <w:tc>
          <w:tcPr>
            <w:tcW w:w="1134" w:type="dxa"/>
          </w:tcPr>
          <w:p w14:paraId="7268146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8979B7A" w14:textId="77777777">
        <w:tc>
          <w:tcPr>
            <w:tcW w:w="967" w:type="dxa"/>
          </w:tcPr>
          <w:p w14:paraId="29AC95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 (амфибия местного сообщен.)</w:t>
            </w:r>
          </w:p>
        </w:tc>
        <w:tc>
          <w:tcPr>
            <w:tcW w:w="842" w:type="dxa"/>
          </w:tcPr>
          <w:p w14:paraId="5CE3F667" w14:textId="77777777" w:rsidR="00D4105E" w:rsidRPr="00E14102" w:rsidRDefault="00D4105E" w:rsidP="00E14102">
            <w:pPr>
              <w:autoSpaceDE w:val="0"/>
              <w:autoSpaceDN w:val="0"/>
              <w:adjustRightInd w:val="0"/>
              <w:jc w:val="both"/>
              <w:rPr>
                <w:color w:val="000000" w:themeColor="text1"/>
                <w:sz w:val="16"/>
                <w:szCs w:val="16"/>
              </w:rPr>
            </w:pPr>
          </w:p>
        </w:tc>
        <w:tc>
          <w:tcPr>
            <w:tcW w:w="851" w:type="dxa"/>
          </w:tcPr>
          <w:p w14:paraId="3070AE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МГ-21 (М-48)</w:t>
            </w:r>
          </w:p>
        </w:tc>
        <w:tc>
          <w:tcPr>
            <w:tcW w:w="875" w:type="dxa"/>
          </w:tcPr>
          <w:p w14:paraId="6DE154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w:t>
            </w:r>
          </w:p>
        </w:tc>
        <w:tc>
          <w:tcPr>
            <w:tcW w:w="826" w:type="dxa"/>
          </w:tcPr>
          <w:p w14:paraId="78694F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850" w:type="dxa"/>
          </w:tcPr>
          <w:p w14:paraId="7B1023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851" w:type="dxa"/>
          </w:tcPr>
          <w:p w14:paraId="352C0C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850" w:type="dxa"/>
          </w:tcPr>
          <w:p w14:paraId="75F9A5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851" w:type="dxa"/>
          </w:tcPr>
          <w:p w14:paraId="0560A6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92" w:type="dxa"/>
          </w:tcPr>
          <w:p w14:paraId="67DFAD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ОКБ ЛИИ ГВФ</w:t>
            </w:r>
          </w:p>
        </w:tc>
        <w:tc>
          <w:tcPr>
            <w:tcW w:w="992" w:type="dxa"/>
          </w:tcPr>
          <w:p w14:paraId="0B1F3C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w:t>
            </w:r>
          </w:p>
        </w:tc>
        <w:tc>
          <w:tcPr>
            <w:tcW w:w="1134" w:type="dxa"/>
          </w:tcPr>
          <w:p w14:paraId="484DB7F9" w14:textId="77777777" w:rsidR="00D4105E" w:rsidRPr="00E14102" w:rsidRDefault="00D4105E" w:rsidP="00E14102">
            <w:pPr>
              <w:autoSpaceDE w:val="0"/>
              <w:autoSpaceDN w:val="0"/>
              <w:adjustRightInd w:val="0"/>
              <w:jc w:val="both"/>
              <w:rPr>
                <w:color w:val="000000" w:themeColor="text1"/>
                <w:sz w:val="16"/>
                <w:szCs w:val="16"/>
              </w:rPr>
            </w:pPr>
          </w:p>
        </w:tc>
      </w:tr>
    </w:tbl>
    <w:p w14:paraId="1B3497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(7727, 79-80).</w:t>
      </w:r>
    </w:p>
    <w:p w14:paraId="4B9A41DE" w14:textId="77777777" w:rsidR="00D4105E" w:rsidRPr="00E14102" w:rsidRDefault="00D4105E" w:rsidP="00E14102">
      <w:pPr>
        <w:autoSpaceDE w:val="0"/>
        <w:autoSpaceDN w:val="0"/>
        <w:adjustRightInd w:val="0"/>
        <w:jc w:val="both"/>
        <w:rPr>
          <w:color w:val="000000" w:themeColor="text1"/>
          <w:sz w:val="16"/>
          <w:szCs w:val="16"/>
        </w:rPr>
      </w:pPr>
    </w:p>
    <w:p w14:paraId="77DDCB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мая 1935 вышло постановление СТО N С-50сс "О ценах на самолеты и моторы по заказам ВС на 1935" В.М.М. (2161,132).</w:t>
      </w:r>
    </w:p>
    <w:p w14:paraId="12D5A069" w14:textId="77777777" w:rsidR="00D4105E" w:rsidRPr="00E14102" w:rsidRDefault="00D4105E" w:rsidP="00E14102">
      <w:pPr>
        <w:autoSpaceDE w:val="0"/>
        <w:autoSpaceDN w:val="0"/>
        <w:adjustRightInd w:val="0"/>
        <w:jc w:val="both"/>
        <w:rPr>
          <w:color w:val="000000" w:themeColor="text1"/>
          <w:sz w:val="16"/>
          <w:szCs w:val="16"/>
        </w:rPr>
      </w:pPr>
    </w:p>
    <w:p w14:paraId="28778F9F" w14:textId="77777777" w:rsidR="001079AC" w:rsidRPr="00E14102" w:rsidRDefault="001079AC" w:rsidP="00E14102">
      <w:pPr>
        <w:pStyle w:val="rtejustify"/>
        <w:spacing w:before="0" w:after="0"/>
        <w:rPr>
          <w:color w:val="000000" w:themeColor="text1"/>
          <w:sz w:val="16"/>
          <w:szCs w:val="16"/>
        </w:rPr>
      </w:pPr>
      <w:r w:rsidRPr="00E14102">
        <w:rPr>
          <w:rStyle w:val="a6"/>
          <w:bCs/>
          <w:i w:val="0"/>
          <w:color w:val="000000" w:themeColor="text1"/>
          <w:sz w:val="16"/>
          <w:szCs w:val="16"/>
        </w:rPr>
        <w:t>10 мая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50сс «О ценах на самолеты по заказам УВС РККА на 1935 г.». (ГА РФ. Ф. Р</w:t>
      </w:r>
      <w:r w:rsidRPr="00E14102">
        <w:rPr>
          <w:color w:val="000000" w:themeColor="text1"/>
          <w:sz w:val="16"/>
          <w:szCs w:val="16"/>
        </w:rPr>
        <w:noBreakHyphen/>
        <w:t>8418. Оп. 28. Д. 6. Л. 153</w:t>
      </w:r>
      <w:r w:rsidRPr="00E14102">
        <w:rPr>
          <w:color w:val="000000" w:themeColor="text1"/>
          <w:sz w:val="16"/>
          <w:szCs w:val="16"/>
        </w:rPr>
        <w:noBreakHyphen/>
        <w:t>154) (15460).</w:t>
      </w:r>
    </w:p>
    <w:p w14:paraId="0DCD9870" w14:textId="77777777" w:rsidR="001079AC" w:rsidRPr="00E14102" w:rsidRDefault="001079AC" w:rsidP="00E14102">
      <w:pPr>
        <w:pStyle w:val="rtejustify"/>
        <w:spacing w:before="0" w:after="0"/>
        <w:rPr>
          <w:color w:val="000000" w:themeColor="text1"/>
          <w:sz w:val="16"/>
          <w:szCs w:val="16"/>
        </w:rPr>
      </w:pPr>
    </w:p>
    <w:p w14:paraId="235DB3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мая 1935 вышло постановление СТО N С-52сс "О ценах на самолетно-моторное имущество по заказам ГУГВФ, ГУСМП, НКВД и Осоавиахима на 1935" В.М.М. (2161,134):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E3599D" w:rsidRPr="00E14102" w14:paraId="1E96AF35" w14:textId="77777777">
        <w:tc>
          <w:tcPr>
            <w:tcW w:w="3757" w:type="dxa"/>
            <w:tcBorders>
              <w:top w:val="single" w:sz="12" w:space="0" w:color="auto"/>
            </w:tcBorders>
          </w:tcPr>
          <w:p w14:paraId="5CC441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w:t>
            </w:r>
          </w:p>
        </w:tc>
        <w:tc>
          <w:tcPr>
            <w:tcW w:w="3757" w:type="dxa"/>
            <w:tcBorders>
              <w:top w:val="single" w:sz="12" w:space="0" w:color="auto"/>
            </w:tcBorders>
          </w:tcPr>
          <w:p w14:paraId="7019888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E3E1333" w14:textId="77777777">
        <w:tc>
          <w:tcPr>
            <w:tcW w:w="3757" w:type="dxa"/>
          </w:tcPr>
          <w:p w14:paraId="15CC3E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М-11</w:t>
            </w:r>
          </w:p>
        </w:tc>
        <w:tc>
          <w:tcPr>
            <w:tcW w:w="3757" w:type="dxa"/>
          </w:tcPr>
          <w:p w14:paraId="5796C6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6800</w:t>
            </w:r>
          </w:p>
        </w:tc>
      </w:tr>
      <w:tr w:rsidR="00E3599D" w:rsidRPr="00E14102" w14:paraId="06CBF826" w14:textId="77777777">
        <w:tc>
          <w:tcPr>
            <w:tcW w:w="3757" w:type="dxa"/>
          </w:tcPr>
          <w:p w14:paraId="3E737D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М-17</w:t>
            </w:r>
          </w:p>
        </w:tc>
        <w:tc>
          <w:tcPr>
            <w:tcW w:w="3757" w:type="dxa"/>
          </w:tcPr>
          <w:p w14:paraId="6FAACE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15750</w:t>
            </w:r>
          </w:p>
        </w:tc>
      </w:tr>
      <w:tr w:rsidR="00E3599D" w:rsidRPr="00E14102" w14:paraId="76E59966" w14:textId="77777777">
        <w:tc>
          <w:tcPr>
            <w:tcW w:w="3757" w:type="dxa"/>
          </w:tcPr>
          <w:p w14:paraId="59FB78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c>
          <w:tcPr>
            <w:tcW w:w="3757" w:type="dxa"/>
          </w:tcPr>
          <w:p w14:paraId="1F4A0D1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08F16A6" w14:textId="77777777">
        <w:tc>
          <w:tcPr>
            <w:tcW w:w="3757" w:type="dxa"/>
          </w:tcPr>
          <w:p w14:paraId="613AE1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ХАИ-1</w:t>
            </w:r>
          </w:p>
        </w:tc>
        <w:tc>
          <w:tcPr>
            <w:tcW w:w="3757" w:type="dxa"/>
          </w:tcPr>
          <w:p w14:paraId="2AD7B6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110000 (с мотором)</w:t>
            </w:r>
          </w:p>
        </w:tc>
      </w:tr>
      <w:tr w:rsidR="00E3599D" w:rsidRPr="00E14102" w14:paraId="65B7DBA4" w14:textId="77777777">
        <w:tc>
          <w:tcPr>
            <w:tcW w:w="3757" w:type="dxa"/>
          </w:tcPr>
          <w:p w14:paraId="7C64BA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МП-1</w:t>
            </w:r>
          </w:p>
        </w:tc>
        <w:tc>
          <w:tcPr>
            <w:tcW w:w="3757" w:type="dxa"/>
          </w:tcPr>
          <w:p w14:paraId="3F4F71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95000</w:t>
            </w:r>
          </w:p>
        </w:tc>
      </w:tr>
      <w:tr w:rsidR="00E3599D" w:rsidRPr="00E14102" w14:paraId="07F77275" w14:textId="77777777">
        <w:tc>
          <w:tcPr>
            <w:tcW w:w="3757" w:type="dxa"/>
          </w:tcPr>
          <w:p w14:paraId="597222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СП-1</w:t>
            </w:r>
          </w:p>
        </w:tc>
        <w:tc>
          <w:tcPr>
            <w:tcW w:w="3757" w:type="dxa"/>
          </w:tcPr>
          <w:p w14:paraId="0A9EC4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19450</w:t>
            </w:r>
          </w:p>
        </w:tc>
      </w:tr>
      <w:tr w:rsidR="00E3599D" w:rsidRPr="00E14102" w14:paraId="7F81B9A0" w14:textId="77777777">
        <w:tc>
          <w:tcPr>
            <w:tcW w:w="3757" w:type="dxa"/>
          </w:tcPr>
          <w:p w14:paraId="3AEE98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АП</w:t>
            </w:r>
          </w:p>
        </w:tc>
        <w:tc>
          <w:tcPr>
            <w:tcW w:w="3757" w:type="dxa"/>
          </w:tcPr>
          <w:p w14:paraId="6E5CF7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19500</w:t>
            </w:r>
          </w:p>
        </w:tc>
      </w:tr>
      <w:tr w:rsidR="00E3599D" w:rsidRPr="00E14102" w14:paraId="402C30FA" w14:textId="77777777">
        <w:tc>
          <w:tcPr>
            <w:tcW w:w="3757" w:type="dxa"/>
          </w:tcPr>
          <w:p w14:paraId="2EBB2D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СС-1</w:t>
            </w:r>
          </w:p>
        </w:tc>
        <w:tc>
          <w:tcPr>
            <w:tcW w:w="3757" w:type="dxa"/>
          </w:tcPr>
          <w:p w14:paraId="5DBD3F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20700</w:t>
            </w:r>
          </w:p>
        </w:tc>
      </w:tr>
      <w:tr w:rsidR="00E3599D" w:rsidRPr="00E14102" w14:paraId="21257619" w14:textId="77777777">
        <w:tc>
          <w:tcPr>
            <w:tcW w:w="3757" w:type="dxa"/>
          </w:tcPr>
          <w:p w14:paraId="7A5FCC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w:t>
            </w:r>
          </w:p>
        </w:tc>
        <w:tc>
          <w:tcPr>
            <w:tcW w:w="3757" w:type="dxa"/>
          </w:tcPr>
          <w:p w14:paraId="4823D1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16800</w:t>
            </w:r>
          </w:p>
        </w:tc>
      </w:tr>
      <w:tr w:rsidR="00E3599D" w:rsidRPr="00E14102" w14:paraId="58ABC7A5" w14:textId="77777777">
        <w:tc>
          <w:tcPr>
            <w:tcW w:w="3757" w:type="dxa"/>
          </w:tcPr>
          <w:p w14:paraId="353065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АИР-6</w:t>
            </w:r>
          </w:p>
        </w:tc>
        <w:tc>
          <w:tcPr>
            <w:tcW w:w="3757" w:type="dxa"/>
          </w:tcPr>
          <w:p w14:paraId="1CB14B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32200</w:t>
            </w:r>
          </w:p>
        </w:tc>
      </w:tr>
      <w:tr w:rsidR="00E3599D" w:rsidRPr="00E14102" w14:paraId="0DE4784B" w14:textId="77777777">
        <w:tc>
          <w:tcPr>
            <w:tcW w:w="3757" w:type="dxa"/>
          </w:tcPr>
          <w:p w14:paraId="5116EE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ПР-5</w:t>
            </w:r>
          </w:p>
        </w:tc>
        <w:tc>
          <w:tcPr>
            <w:tcW w:w="3757" w:type="dxa"/>
          </w:tcPr>
          <w:p w14:paraId="77DA54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49615</w:t>
            </w:r>
          </w:p>
        </w:tc>
      </w:tr>
      <w:tr w:rsidR="00E3599D" w:rsidRPr="00E14102" w14:paraId="73A1F1D7" w14:textId="77777777">
        <w:tc>
          <w:tcPr>
            <w:tcW w:w="3757" w:type="dxa"/>
            <w:tcBorders>
              <w:bottom w:val="single" w:sz="12" w:space="0" w:color="auto"/>
            </w:tcBorders>
          </w:tcPr>
          <w:p w14:paraId="10E781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ПР-5А</w:t>
            </w:r>
          </w:p>
        </w:tc>
        <w:tc>
          <w:tcPr>
            <w:tcW w:w="3757" w:type="dxa"/>
            <w:tcBorders>
              <w:bottom w:val="single" w:sz="12" w:space="0" w:color="auto"/>
            </w:tcBorders>
          </w:tcPr>
          <w:p w14:paraId="1C5B3F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60000 (2161,135)</w:t>
            </w:r>
          </w:p>
        </w:tc>
      </w:tr>
    </w:tbl>
    <w:p w14:paraId="26C7BB58" w14:textId="77777777" w:rsidR="00D4105E" w:rsidRPr="00E14102" w:rsidRDefault="00D4105E" w:rsidP="00E14102">
      <w:pPr>
        <w:autoSpaceDE w:val="0"/>
        <w:autoSpaceDN w:val="0"/>
        <w:adjustRightInd w:val="0"/>
        <w:jc w:val="both"/>
        <w:rPr>
          <w:color w:val="000000" w:themeColor="text1"/>
          <w:sz w:val="16"/>
          <w:szCs w:val="16"/>
        </w:rPr>
      </w:pPr>
    </w:p>
    <w:p w14:paraId="576AEAB8" w14:textId="77777777" w:rsidR="0063005B" w:rsidRPr="00E14102" w:rsidRDefault="0063005B" w:rsidP="00E14102">
      <w:pPr>
        <w:jc w:val="both"/>
        <w:rPr>
          <w:color w:val="000000" w:themeColor="text1"/>
          <w:sz w:val="16"/>
          <w:szCs w:val="16"/>
        </w:rPr>
      </w:pPr>
      <w:r w:rsidRPr="00E14102">
        <w:rPr>
          <w:color w:val="000000" w:themeColor="text1"/>
          <w:sz w:val="16"/>
          <w:szCs w:val="16"/>
        </w:rPr>
        <w:t>10 мая 1935 г. была докладная записка руководства Дирижаблестроя: «Считаем нецелесообразным использование итальянцев в работе и просим освободить их немедленно. Подобный вопрос мы ставили и ранее (о неудовлетворительной помощи ИНО), но непартийное поведение А.Н. Флаксермана не позволило сделать это. Для Нобиле (оклад 700$ и 3600 руб.) расторгнуть контракт через 3 месяца».</w:t>
      </w:r>
    </w:p>
    <w:p w14:paraId="3BBB872F" w14:textId="77777777" w:rsidR="0063005B" w:rsidRPr="00E14102" w:rsidRDefault="0063005B" w:rsidP="00E14102">
      <w:pPr>
        <w:pStyle w:val="a7"/>
        <w:rPr>
          <w:color w:val="000000" w:themeColor="text1"/>
          <w:sz w:val="16"/>
          <w:szCs w:val="16"/>
          <w:lang w:val="ru-RU"/>
        </w:rPr>
      </w:pPr>
      <w:r w:rsidRPr="00E14102">
        <w:rPr>
          <w:color w:val="000000" w:themeColor="text1"/>
          <w:sz w:val="16"/>
          <w:szCs w:val="16"/>
          <w:lang w:val="ru-RU"/>
        </w:rPr>
        <w:t>Ведал ли об этом опальный генерал, не без недоразумений обучавший молодых советских воздухоплавателей технике пилотирования воздушных кораблей? Так, из постановления закрытого партсобрания Учебно-опытной эскадры дирижаблей о нарушении дисциплины и устава ГУ ГВФ членом ВКП(б) командиром В-7 А. По</w:t>
      </w:r>
      <w:r w:rsidRPr="00E14102">
        <w:rPr>
          <w:color w:val="000000" w:themeColor="text1"/>
          <w:sz w:val="16"/>
          <w:szCs w:val="16"/>
          <w:lang w:val="ru-RU"/>
        </w:rPr>
        <w:softHyphen/>
        <w:t>меранцевым следовало, что он отказался пойти в рабочий полет 19 июня на В-6, не желая тренироваться под началом Нобиле. Поведение коммуниста было признано «ле</w:t>
      </w:r>
      <w:r w:rsidRPr="00E14102">
        <w:rPr>
          <w:color w:val="000000" w:themeColor="text1"/>
          <w:sz w:val="16"/>
          <w:szCs w:val="16"/>
          <w:lang w:val="ru-RU"/>
        </w:rPr>
        <w:softHyphen/>
        <w:t>вым» ребячеством и ему объявили строгий выговор (12732).</w:t>
      </w:r>
    </w:p>
    <w:p w14:paraId="243DF6F5" w14:textId="77777777" w:rsidR="0063005B" w:rsidRPr="00E14102" w:rsidRDefault="0063005B" w:rsidP="00E14102">
      <w:pPr>
        <w:pStyle w:val="a7"/>
        <w:rPr>
          <w:color w:val="000000" w:themeColor="text1"/>
          <w:sz w:val="16"/>
          <w:szCs w:val="16"/>
          <w:lang w:val="ru-RU"/>
        </w:rPr>
      </w:pPr>
    </w:p>
    <w:p w14:paraId="7837E985" w14:textId="77777777" w:rsidR="001079AC" w:rsidRPr="00E14102" w:rsidRDefault="001079AC" w:rsidP="00E14102">
      <w:pPr>
        <w:autoSpaceDE w:val="0"/>
        <w:autoSpaceDN w:val="0"/>
        <w:adjustRightInd w:val="0"/>
        <w:jc w:val="both"/>
        <w:rPr>
          <w:i/>
          <w:iCs/>
          <w:color w:val="000000" w:themeColor="text1"/>
          <w:sz w:val="16"/>
          <w:szCs w:val="16"/>
        </w:rPr>
      </w:pPr>
      <w:r w:rsidRPr="00E14102">
        <w:rPr>
          <w:i/>
          <w:iCs/>
          <w:color w:val="000000" w:themeColor="text1"/>
          <w:sz w:val="16"/>
          <w:szCs w:val="16"/>
        </w:rPr>
        <w:t>Другие обор</w:t>
      </w:r>
      <w:r w:rsidR="003361B6" w:rsidRPr="00E14102">
        <w:rPr>
          <w:i/>
          <w:iCs/>
          <w:color w:val="000000" w:themeColor="text1"/>
          <w:sz w:val="16"/>
          <w:szCs w:val="16"/>
        </w:rPr>
        <w:t>о</w:t>
      </w:r>
      <w:r w:rsidRPr="00E14102">
        <w:rPr>
          <w:i/>
          <w:iCs/>
          <w:color w:val="000000" w:themeColor="text1"/>
          <w:sz w:val="16"/>
          <w:szCs w:val="16"/>
        </w:rPr>
        <w:t>нные отрасли:</w:t>
      </w:r>
    </w:p>
    <w:p w14:paraId="14068F53" w14:textId="77777777" w:rsidR="001079AC" w:rsidRPr="00E14102" w:rsidRDefault="001079AC" w:rsidP="00E14102">
      <w:pPr>
        <w:autoSpaceDE w:val="0"/>
        <w:autoSpaceDN w:val="0"/>
        <w:adjustRightInd w:val="0"/>
        <w:jc w:val="both"/>
        <w:rPr>
          <w:i/>
          <w:color w:val="000000" w:themeColor="text1"/>
          <w:sz w:val="16"/>
          <w:szCs w:val="16"/>
        </w:rPr>
      </w:pPr>
    </w:p>
    <w:p w14:paraId="5AB52E4E" w14:textId="77777777" w:rsidR="001079AC" w:rsidRPr="00E14102" w:rsidRDefault="001079AC" w:rsidP="00E14102">
      <w:pPr>
        <w:pStyle w:val="rtejustify"/>
        <w:spacing w:before="0" w:after="0"/>
        <w:rPr>
          <w:color w:val="000000" w:themeColor="text1"/>
          <w:sz w:val="16"/>
          <w:szCs w:val="16"/>
        </w:rPr>
      </w:pPr>
      <w:r w:rsidRPr="00E14102">
        <w:rPr>
          <w:rStyle w:val="a6"/>
          <w:bCs/>
          <w:i w:val="0"/>
          <w:color w:val="000000" w:themeColor="text1"/>
          <w:sz w:val="16"/>
          <w:szCs w:val="16"/>
        </w:rPr>
        <w:t>10 мая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51сс «О ценах на военно-химические изделия на 1935 г.». (ГА РФ. Ф. Р</w:t>
      </w:r>
      <w:r w:rsidRPr="00E14102">
        <w:rPr>
          <w:color w:val="000000" w:themeColor="text1"/>
          <w:sz w:val="16"/>
          <w:szCs w:val="16"/>
        </w:rPr>
        <w:noBreakHyphen/>
        <w:t>8418. Оп. 28. Д. 6. Л. 155</w:t>
      </w:r>
      <w:r w:rsidRPr="00E14102">
        <w:rPr>
          <w:color w:val="000000" w:themeColor="text1"/>
          <w:sz w:val="16"/>
          <w:szCs w:val="16"/>
        </w:rPr>
        <w:noBreakHyphen/>
        <w:t>156) (15460).</w:t>
      </w:r>
    </w:p>
    <w:p w14:paraId="73BE474A" w14:textId="77777777" w:rsidR="001079AC" w:rsidRPr="00E14102" w:rsidRDefault="001079AC" w:rsidP="00E14102">
      <w:pPr>
        <w:pStyle w:val="rtejustify"/>
        <w:spacing w:before="0" w:after="0"/>
        <w:rPr>
          <w:color w:val="000000" w:themeColor="text1"/>
          <w:sz w:val="16"/>
          <w:szCs w:val="16"/>
        </w:rPr>
      </w:pPr>
    </w:p>
    <w:p w14:paraId="65C1E3BB" w14:textId="77777777" w:rsidR="001079AC"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A4A74E4" w14:textId="77777777" w:rsidR="001079AC" w:rsidRPr="00E14102" w:rsidRDefault="001079AC" w:rsidP="00E14102">
      <w:pPr>
        <w:autoSpaceDE w:val="0"/>
        <w:autoSpaceDN w:val="0"/>
        <w:adjustRightInd w:val="0"/>
        <w:jc w:val="both"/>
        <w:rPr>
          <w:iCs/>
          <w:color w:val="000000" w:themeColor="text1"/>
          <w:sz w:val="16"/>
          <w:szCs w:val="16"/>
        </w:rPr>
      </w:pPr>
    </w:p>
    <w:p w14:paraId="7573479C" w14:textId="77777777" w:rsidR="001079AC" w:rsidRPr="00E14102" w:rsidRDefault="001079AC" w:rsidP="00E14102">
      <w:pPr>
        <w:jc w:val="both"/>
        <w:rPr>
          <w:color w:val="000000" w:themeColor="text1"/>
          <w:sz w:val="16"/>
          <w:szCs w:val="16"/>
        </w:rPr>
      </w:pPr>
      <w:r w:rsidRPr="00E14102">
        <w:rPr>
          <w:color w:val="000000" w:themeColor="text1"/>
          <w:sz w:val="16"/>
          <w:szCs w:val="16"/>
        </w:rPr>
        <w:t>10 мая в 1935 году американский хирург Джон Гиббон (John Gibbon) продемонстрировал в эксперименте на кошке созданный им аппарат искусственного кровообращения. Он проказал, что какое-то время жизнь можно поддерживать с помощью внешнего насоса и оксигенатора, действующих как искусственное сердце и легкие. Через 18 лет – 6 мая 1953 года, Гиббон успешно выполнил первую операцию на открытом сердце у 18-летней пациентке Сиселии Баволек. Современные модели этого аппарата позволяют хирургам сегодня выполнять сложные хирургические операции на сердце (14887).</w:t>
      </w:r>
    </w:p>
    <w:p w14:paraId="628F2461" w14:textId="77777777" w:rsidR="001079AC" w:rsidRPr="00E14102" w:rsidRDefault="001079AC" w:rsidP="00E14102">
      <w:pPr>
        <w:jc w:val="both"/>
        <w:rPr>
          <w:color w:val="000000" w:themeColor="text1"/>
          <w:sz w:val="16"/>
          <w:szCs w:val="16"/>
        </w:rPr>
      </w:pPr>
    </w:p>
    <w:p w14:paraId="28738F0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443E28D" w14:textId="77777777" w:rsidR="00D4105E" w:rsidRPr="00E14102" w:rsidRDefault="00D4105E" w:rsidP="00E14102">
      <w:pPr>
        <w:autoSpaceDE w:val="0"/>
        <w:autoSpaceDN w:val="0"/>
        <w:adjustRightInd w:val="0"/>
        <w:jc w:val="both"/>
        <w:rPr>
          <w:iCs/>
          <w:color w:val="000000" w:themeColor="text1"/>
          <w:sz w:val="16"/>
          <w:szCs w:val="16"/>
        </w:rPr>
      </w:pPr>
    </w:p>
    <w:p w14:paraId="6B572C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11 по 18 мая 1935 состоялись заводские испытания самолета КАИ-1 N 3 (УБП - 2М - 11. Летчик Б.Н.Кудрин выполнил 11 полетов продолжительностью 3 час. 16 мин. (552).</w:t>
      </w:r>
    </w:p>
    <w:p w14:paraId="0A566FF4" w14:textId="77777777" w:rsidR="00D4105E" w:rsidRPr="00E14102" w:rsidRDefault="00D4105E" w:rsidP="00E14102">
      <w:pPr>
        <w:autoSpaceDE w:val="0"/>
        <w:autoSpaceDN w:val="0"/>
        <w:adjustRightInd w:val="0"/>
        <w:jc w:val="both"/>
        <w:rPr>
          <w:color w:val="000000" w:themeColor="text1"/>
          <w:sz w:val="16"/>
          <w:szCs w:val="16"/>
        </w:rPr>
      </w:pPr>
    </w:p>
    <w:p w14:paraId="3111A8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мая 1935 был совершен первый буксирный перелет планера Ш-5 через Кавказский хребет за П-5 на высоте 3200 м (429,119).</w:t>
      </w:r>
    </w:p>
    <w:p w14:paraId="0D68CE59" w14:textId="77777777" w:rsidR="00D4105E" w:rsidRPr="00E14102" w:rsidRDefault="00D4105E" w:rsidP="00E14102">
      <w:pPr>
        <w:autoSpaceDE w:val="0"/>
        <w:autoSpaceDN w:val="0"/>
        <w:adjustRightInd w:val="0"/>
        <w:jc w:val="both"/>
        <w:rPr>
          <w:color w:val="000000" w:themeColor="text1"/>
          <w:sz w:val="16"/>
          <w:szCs w:val="16"/>
        </w:rPr>
      </w:pPr>
    </w:p>
    <w:p w14:paraId="08C0D4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мая 1935 в 14 час. 40 мин. при испытании самолета ЗЕТ N 13548 с мотором М-22 N 10538 пом. военпреда летчиком Бурлиным произошла авария, последствием которой явилось уничтожение самолета и ушиб предплечья руки летчика. (3126,160).</w:t>
      </w:r>
    </w:p>
    <w:p w14:paraId="68AD6D02" w14:textId="77777777" w:rsidR="00D4105E" w:rsidRPr="00E14102" w:rsidRDefault="00D4105E" w:rsidP="00E14102">
      <w:pPr>
        <w:autoSpaceDE w:val="0"/>
        <w:autoSpaceDN w:val="0"/>
        <w:adjustRightInd w:val="0"/>
        <w:jc w:val="both"/>
        <w:rPr>
          <w:color w:val="000000" w:themeColor="text1"/>
          <w:sz w:val="16"/>
          <w:szCs w:val="16"/>
        </w:rPr>
      </w:pPr>
    </w:p>
    <w:p w14:paraId="603BE195" w14:textId="77777777" w:rsidR="001079AC" w:rsidRPr="00E14102" w:rsidRDefault="001079AC" w:rsidP="00E14102">
      <w:pPr>
        <w:pStyle w:val="rtejustify"/>
        <w:spacing w:before="0" w:after="0"/>
        <w:rPr>
          <w:color w:val="000000" w:themeColor="text1"/>
          <w:sz w:val="16"/>
          <w:szCs w:val="16"/>
        </w:rPr>
      </w:pPr>
      <w:r w:rsidRPr="00E14102">
        <w:rPr>
          <w:rStyle w:val="a6"/>
          <w:bCs/>
          <w:i w:val="0"/>
          <w:color w:val="000000" w:themeColor="text1"/>
          <w:sz w:val="16"/>
          <w:szCs w:val="16"/>
        </w:rPr>
        <w:t>11 мая 1935 вышел приказ НКО №</w:t>
      </w:r>
      <w:r w:rsidRPr="00E14102">
        <w:rPr>
          <w:color w:val="000000" w:themeColor="text1"/>
          <w:sz w:val="16"/>
          <w:szCs w:val="16"/>
        </w:rPr>
        <w:t> 078/85с. С объявлением положения о старшем военном представителе в ЦАГИ и ЦИАМе (15247).</w:t>
      </w:r>
    </w:p>
    <w:p w14:paraId="7449F4A1" w14:textId="77777777" w:rsidR="001079AC" w:rsidRPr="00E14102" w:rsidRDefault="001079AC" w:rsidP="00E14102">
      <w:pPr>
        <w:pStyle w:val="rtejustify"/>
        <w:spacing w:before="0" w:after="0"/>
        <w:rPr>
          <w:color w:val="000000" w:themeColor="text1"/>
          <w:sz w:val="16"/>
          <w:szCs w:val="16"/>
        </w:rPr>
      </w:pPr>
    </w:p>
    <w:p w14:paraId="543ACD15" w14:textId="77777777" w:rsidR="001079AC"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EDA7D8F" w14:textId="77777777" w:rsidR="001079AC" w:rsidRPr="00E14102" w:rsidRDefault="001079AC" w:rsidP="00E14102">
      <w:pPr>
        <w:autoSpaceDE w:val="0"/>
        <w:autoSpaceDN w:val="0"/>
        <w:adjustRightInd w:val="0"/>
        <w:jc w:val="both"/>
        <w:rPr>
          <w:iCs/>
          <w:color w:val="000000" w:themeColor="text1"/>
          <w:sz w:val="16"/>
          <w:szCs w:val="16"/>
        </w:rPr>
      </w:pPr>
    </w:p>
    <w:p w14:paraId="4F0FDC79" w14:textId="77777777" w:rsidR="001079AC" w:rsidRPr="00E14102" w:rsidRDefault="001079AC" w:rsidP="00E14102">
      <w:pPr>
        <w:jc w:val="both"/>
        <w:rPr>
          <w:color w:val="000000" w:themeColor="text1"/>
          <w:sz w:val="16"/>
          <w:szCs w:val="16"/>
        </w:rPr>
      </w:pPr>
      <w:r w:rsidRPr="00E14102">
        <w:rPr>
          <w:color w:val="000000" w:themeColor="text1"/>
          <w:sz w:val="16"/>
          <w:szCs w:val="16"/>
        </w:rPr>
        <w:t>11 мая в 1935 году года в соответствии с приказом НКВД СССР №061 «Об организации милицейской охраны на метрополитене» был создан Отдельный дивизион милиции по охране метрополитена. В рекордно короткие сроки, менее чем за три года, была пущена в строй первая линия «Сокольники — Парк Культуры» с ответвлением от станции «Охотный ряд» до станции «Смоленская». Протяженность линии составляла 11,2 км, она имела 13 станций. С этого момента ведет свой отсчет история развития первого отечественного метрополитена, ставшего родоначальником создания метрополитена в нашей стране (14888).</w:t>
      </w:r>
    </w:p>
    <w:p w14:paraId="2E89DBCF" w14:textId="77777777" w:rsidR="001079AC" w:rsidRPr="00E14102" w:rsidRDefault="001079AC" w:rsidP="00E14102">
      <w:pPr>
        <w:jc w:val="both"/>
        <w:rPr>
          <w:color w:val="000000" w:themeColor="text1"/>
          <w:sz w:val="16"/>
          <w:szCs w:val="16"/>
        </w:rPr>
      </w:pPr>
    </w:p>
    <w:p w14:paraId="169E01D0" w14:textId="77777777" w:rsidR="001253F3" w:rsidRPr="00E14102" w:rsidRDefault="001253F3"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6B85909" w14:textId="77777777" w:rsidR="001253F3" w:rsidRPr="00E14102" w:rsidRDefault="001253F3" w:rsidP="00E14102">
      <w:pPr>
        <w:autoSpaceDE w:val="0"/>
        <w:autoSpaceDN w:val="0"/>
        <w:adjustRightInd w:val="0"/>
        <w:jc w:val="both"/>
        <w:rPr>
          <w:iCs/>
          <w:color w:val="000000" w:themeColor="text1"/>
          <w:sz w:val="16"/>
          <w:szCs w:val="16"/>
        </w:rPr>
      </w:pPr>
    </w:p>
    <w:p w14:paraId="1A3CD911" w14:textId="77777777" w:rsidR="001253F3" w:rsidRPr="00E14102" w:rsidRDefault="001253F3" w:rsidP="00E14102">
      <w:pPr>
        <w:jc w:val="both"/>
        <w:rPr>
          <w:color w:val="0070C0"/>
          <w:sz w:val="16"/>
          <w:szCs w:val="16"/>
        </w:rPr>
      </w:pPr>
      <w:r w:rsidRPr="00E14102">
        <w:rPr>
          <w:color w:val="0070C0"/>
          <w:sz w:val="16"/>
          <w:szCs w:val="16"/>
        </w:rPr>
        <w:t xml:space="preserve">11 мая 1935 состоялся первый полет </w:t>
      </w:r>
      <w:r w:rsidRPr="00E14102">
        <w:rPr>
          <w:color w:val="0070C0"/>
          <w:sz w:val="16"/>
          <w:szCs w:val="16"/>
          <w:lang w:val="en-US"/>
        </w:rPr>
        <w:t>Miles</w:t>
      </w:r>
      <w:r w:rsidRPr="00E14102">
        <w:rPr>
          <w:color w:val="0070C0"/>
          <w:sz w:val="16"/>
          <w:szCs w:val="16"/>
        </w:rPr>
        <w:t xml:space="preserve"> </w:t>
      </w:r>
      <w:r w:rsidRPr="00E14102">
        <w:rPr>
          <w:color w:val="0070C0"/>
          <w:sz w:val="16"/>
          <w:szCs w:val="16"/>
          <w:lang w:val="en-US"/>
        </w:rPr>
        <w:t>M</w:t>
      </w:r>
      <w:r w:rsidRPr="00E14102">
        <w:rPr>
          <w:color w:val="0070C0"/>
          <w:sz w:val="16"/>
          <w:szCs w:val="16"/>
        </w:rPr>
        <w:t xml:space="preserve">.4 </w:t>
      </w:r>
      <w:r w:rsidRPr="00E14102">
        <w:rPr>
          <w:color w:val="0070C0"/>
          <w:sz w:val="16"/>
          <w:szCs w:val="16"/>
          <w:lang w:val="en-US"/>
        </w:rPr>
        <w:t>Merlin</w:t>
      </w:r>
      <w:r w:rsidRPr="00E14102">
        <w:rPr>
          <w:color w:val="0070C0"/>
          <w:sz w:val="16"/>
          <w:szCs w:val="16"/>
        </w:rPr>
        <w:t xml:space="preserve"> прототипа </w:t>
      </w:r>
      <w:r w:rsidRPr="00E14102">
        <w:rPr>
          <w:color w:val="0070C0"/>
          <w:sz w:val="16"/>
          <w:szCs w:val="16"/>
          <w:lang w:val="en-US"/>
        </w:rPr>
        <w:t>U</w:t>
      </w:r>
      <w:r w:rsidRPr="00E14102">
        <w:rPr>
          <w:color w:val="0070C0"/>
          <w:sz w:val="16"/>
          <w:szCs w:val="16"/>
        </w:rPr>
        <w:t xml:space="preserve">-8 , позже </w:t>
      </w:r>
      <w:r w:rsidRPr="00E14102">
        <w:rPr>
          <w:color w:val="0070C0"/>
          <w:sz w:val="16"/>
          <w:szCs w:val="16"/>
          <w:lang w:val="en-US"/>
        </w:rPr>
        <w:t>G</w:t>
      </w:r>
      <w:r w:rsidRPr="00E14102">
        <w:rPr>
          <w:color w:val="0070C0"/>
          <w:sz w:val="16"/>
          <w:szCs w:val="16"/>
        </w:rPr>
        <w:t>-</w:t>
      </w:r>
      <w:r w:rsidRPr="00E14102">
        <w:rPr>
          <w:color w:val="0070C0"/>
          <w:sz w:val="16"/>
          <w:szCs w:val="16"/>
          <w:lang w:val="en-US"/>
        </w:rPr>
        <w:t>ADFE</w:t>
      </w:r>
      <w:r w:rsidRPr="00E14102">
        <w:rPr>
          <w:color w:val="0070C0"/>
          <w:sz w:val="16"/>
          <w:szCs w:val="16"/>
        </w:rPr>
        <w:t xml:space="preserve">  (20800).</w:t>
      </w:r>
    </w:p>
    <w:p w14:paraId="2B6028F5" w14:textId="77777777" w:rsidR="001253F3" w:rsidRPr="00E14102" w:rsidRDefault="001253F3" w:rsidP="00E14102">
      <w:pPr>
        <w:jc w:val="both"/>
        <w:rPr>
          <w:color w:val="0070C0"/>
          <w:sz w:val="16"/>
          <w:szCs w:val="16"/>
        </w:rPr>
      </w:pPr>
    </w:p>
    <w:p w14:paraId="79C2637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16EF98A" w14:textId="77777777" w:rsidR="00D4105E" w:rsidRPr="00E14102" w:rsidRDefault="00D4105E" w:rsidP="00E14102">
      <w:pPr>
        <w:autoSpaceDE w:val="0"/>
        <w:autoSpaceDN w:val="0"/>
        <w:adjustRightInd w:val="0"/>
        <w:jc w:val="both"/>
        <w:rPr>
          <w:iCs/>
          <w:color w:val="000000" w:themeColor="text1"/>
          <w:sz w:val="16"/>
          <w:szCs w:val="16"/>
        </w:rPr>
      </w:pPr>
    </w:p>
    <w:p w14:paraId="096802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мая 1935 в газете На страже была заметка "Наука штурмует небо" - о высотном СБ-1 (2343,227).</w:t>
      </w:r>
    </w:p>
    <w:p w14:paraId="7629E513" w14:textId="77777777" w:rsidR="00D4105E" w:rsidRPr="00E14102" w:rsidRDefault="00D4105E" w:rsidP="00E14102">
      <w:pPr>
        <w:autoSpaceDE w:val="0"/>
        <w:autoSpaceDN w:val="0"/>
        <w:adjustRightInd w:val="0"/>
        <w:jc w:val="both"/>
        <w:rPr>
          <w:color w:val="000000" w:themeColor="text1"/>
          <w:sz w:val="16"/>
          <w:szCs w:val="16"/>
        </w:rPr>
      </w:pPr>
    </w:p>
    <w:p w14:paraId="4045F5B9" w14:textId="77777777" w:rsidR="00F261A0" w:rsidRPr="00E14102" w:rsidRDefault="00F261A0" w:rsidP="00E14102">
      <w:pPr>
        <w:jc w:val="both"/>
        <w:rPr>
          <w:color w:val="000000" w:themeColor="text1"/>
          <w:sz w:val="16"/>
          <w:szCs w:val="16"/>
        </w:rPr>
      </w:pPr>
      <w:r w:rsidRPr="00E14102">
        <w:rPr>
          <w:color w:val="000000" w:themeColor="text1"/>
          <w:sz w:val="16"/>
          <w:szCs w:val="16"/>
        </w:rPr>
        <w:t>12 мая 1935. Начались регулярные массовые полеты над Москвой на самолете АНТ-14 "Правда". Билеты для ударников по коллективным заявкам стоили 20 рублей, для остальных лиц - 25 рублей (18720).</w:t>
      </w:r>
    </w:p>
    <w:p w14:paraId="56F0A2BB" w14:textId="77777777" w:rsidR="00F261A0" w:rsidRPr="00E14102" w:rsidRDefault="00F261A0" w:rsidP="00E14102">
      <w:pPr>
        <w:jc w:val="both"/>
        <w:rPr>
          <w:color w:val="000000" w:themeColor="text1"/>
          <w:sz w:val="16"/>
          <w:szCs w:val="16"/>
        </w:rPr>
      </w:pPr>
    </w:p>
    <w:p w14:paraId="689FC8A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4E2B8DD" w14:textId="77777777" w:rsidR="00D4105E" w:rsidRPr="00E14102" w:rsidRDefault="00D4105E" w:rsidP="00E14102">
      <w:pPr>
        <w:autoSpaceDE w:val="0"/>
        <w:autoSpaceDN w:val="0"/>
        <w:adjustRightInd w:val="0"/>
        <w:jc w:val="both"/>
        <w:rPr>
          <w:iCs/>
          <w:color w:val="000000" w:themeColor="text1"/>
          <w:sz w:val="16"/>
          <w:szCs w:val="16"/>
        </w:rPr>
      </w:pPr>
    </w:p>
    <w:p w14:paraId="18DAE7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мая 1935 года Алкснис писал письмо N 40/0525 наркому обороны.</w:t>
      </w:r>
    </w:p>
    <w:p w14:paraId="20F2E4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недостатках мотора М34РН, выявленных при испытаниях самолетов ТБ3 на заводе N 22.</w:t>
      </w:r>
    </w:p>
    <w:p w14:paraId="21410D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Результаты испытания показали, что эксплуатация моторов М34РН может вестись только в летних условиях, т.к. применяемый на моторах подогрев воздуха отходящими газами, помимо опасности в пожарном отношении, обеспечивает нормальную работу моторов лишь только до температуры -5 градусов на земле (3104,98).</w:t>
      </w:r>
    </w:p>
    <w:p w14:paraId="57BA5BB1" w14:textId="77777777" w:rsidR="00D4105E" w:rsidRPr="00E14102" w:rsidRDefault="00D4105E" w:rsidP="00E14102">
      <w:pPr>
        <w:autoSpaceDE w:val="0"/>
        <w:autoSpaceDN w:val="0"/>
        <w:adjustRightInd w:val="0"/>
        <w:jc w:val="both"/>
        <w:rPr>
          <w:color w:val="000000" w:themeColor="text1"/>
          <w:sz w:val="16"/>
          <w:szCs w:val="16"/>
        </w:rPr>
      </w:pPr>
    </w:p>
    <w:p w14:paraId="235C6B5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мая 1935 года вышел Приказ НИИ ВС № 0132:</w:t>
      </w:r>
    </w:p>
    <w:p w14:paraId="2B8DF0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самолета И-15 РЦ с разными углами установки лопастей во втулке винта (6813, 23).</w:t>
      </w:r>
    </w:p>
    <w:p w14:paraId="7F4A4BB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0478C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мая 1935 года Начальник НИИ ВВС Лавров утвердил Отчет по испытанию маскировочной краски</w:t>
      </w:r>
    </w:p>
    <w:p w14:paraId="33F79F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3DA8D4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Проверка с тактической и эксплуатационной стороны маскировочной краски, предназначенной для маскировки самолетов (с полотняной обтяжкой) на земле в зимнее время.</w:t>
      </w:r>
    </w:p>
    <w:p w14:paraId="10FF44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этого было намечено:</w:t>
      </w:r>
    </w:p>
    <w:p w14:paraId="2BFE447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Установить маскирующие свойства покрытия при наблюдении сверху и</w:t>
      </w:r>
    </w:p>
    <w:p w14:paraId="549619B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Проверить эксплуатационные качества покрытия:</w:t>
      </w:r>
    </w:p>
    <w:p w14:paraId="1D667F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Время приготовления краски, нанесения и удаления ее с самолета в условиях аэродромной службы.</w:t>
      </w:r>
    </w:p>
    <w:p w14:paraId="004611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Влияние различного содержания спецлака в краске на стойкость ее в атмосферных условиях и быстроту смывания.</w:t>
      </w:r>
    </w:p>
    <w:p w14:paraId="1B1809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Влияние краски на состояние обшивки самолета.</w:t>
      </w:r>
    </w:p>
    <w:p w14:paraId="04297C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68720F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Ввиду большого количества времени потребного для смывки, белая маскировочная краска, содержащая 10 и 15% лака является совершенно непригодной для работы с ней в условиях полевой службы. Применение ее в дальнейших испытаниях считать нецелесообразным (3931).</w:t>
      </w:r>
    </w:p>
    <w:p w14:paraId="490834BD"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5ADC196A" w14:textId="77777777" w:rsidR="001079AC" w:rsidRPr="00E14102" w:rsidRDefault="001079AC" w:rsidP="00E14102">
      <w:pPr>
        <w:autoSpaceDE w:val="0"/>
        <w:autoSpaceDN w:val="0"/>
        <w:adjustRightInd w:val="0"/>
        <w:jc w:val="both"/>
        <w:rPr>
          <w:iCs/>
          <w:color w:val="000000" w:themeColor="text1"/>
          <w:sz w:val="16"/>
          <w:szCs w:val="16"/>
        </w:rPr>
      </w:pPr>
      <w:r w:rsidRPr="00E14102">
        <w:rPr>
          <w:iCs/>
          <w:color w:val="000000" w:themeColor="text1"/>
          <w:sz w:val="16"/>
          <w:szCs w:val="16"/>
        </w:rPr>
        <w:t>Другие оборнные отрасли:</w:t>
      </w:r>
    </w:p>
    <w:p w14:paraId="48C7E0C8" w14:textId="77777777" w:rsidR="001079AC" w:rsidRPr="00E14102" w:rsidRDefault="001079AC" w:rsidP="00E14102">
      <w:pPr>
        <w:autoSpaceDE w:val="0"/>
        <w:autoSpaceDN w:val="0"/>
        <w:adjustRightInd w:val="0"/>
        <w:jc w:val="both"/>
        <w:rPr>
          <w:color w:val="000000" w:themeColor="text1"/>
          <w:sz w:val="16"/>
          <w:szCs w:val="16"/>
        </w:rPr>
      </w:pPr>
    </w:p>
    <w:p w14:paraId="37073A5D" w14:textId="77777777" w:rsidR="001079AC" w:rsidRPr="00E14102" w:rsidRDefault="001079AC" w:rsidP="00E14102">
      <w:pPr>
        <w:pStyle w:val="rtejustify"/>
        <w:spacing w:before="0" w:after="0"/>
        <w:rPr>
          <w:color w:val="000000" w:themeColor="text1"/>
          <w:sz w:val="16"/>
          <w:szCs w:val="16"/>
        </w:rPr>
      </w:pPr>
      <w:r w:rsidRPr="00E14102">
        <w:rPr>
          <w:rStyle w:val="a6"/>
          <w:bCs/>
          <w:i w:val="0"/>
          <w:color w:val="000000" w:themeColor="text1"/>
          <w:sz w:val="16"/>
          <w:szCs w:val="16"/>
        </w:rPr>
        <w:t>13 мая</w:t>
      </w:r>
      <w:r w:rsidRPr="00E14102">
        <w:rPr>
          <w:color w:val="000000" w:themeColor="text1"/>
          <w:sz w:val="16"/>
          <w:szCs w:val="16"/>
        </w:rPr>
        <w:t>1935 Решение Политбюро № 25. 4. О заказах в Германии. (ПБ от 17 апреля 1935 г., пр. № 24, п. 107), (ПБ от 27 апреля. 1935 г.). — ОП. 48. О норильском месторождении редких металлов (ПБ от 29 апреля 1935 г.). 69. О назначениях по НКО (ПБ от 3 мая 1935 г.). — ОП. 88. О работе Остехбюро НКО (ПБ от 7 мая 1935 г.). — ОП. 102. Вопрос НКО (ПБ от 10 мая 1935 г.). — ОП. (Политбюро ЦК РКП(б)-ВКП(Б). Повестки дня заседаний. 1919</w:t>
      </w:r>
      <w:r w:rsidRPr="00E14102">
        <w:rPr>
          <w:color w:val="000000" w:themeColor="text1"/>
          <w:sz w:val="16"/>
          <w:szCs w:val="16"/>
        </w:rPr>
        <w:noBreakHyphen/>
        <w:t>1952: Каталог / Т. 2. С. 645, 647, 648; РГАСПИ. Ф. 17. Оп. 162. Д. 18. Л. 18</w:t>
      </w:r>
      <w:r w:rsidRPr="00E14102">
        <w:rPr>
          <w:color w:val="000000" w:themeColor="text1"/>
          <w:sz w:val="16"/>
          <w:szCs w:val="16"/>
        </w:rPr>
        <w:noBreakHyphen/>
        <w:t>34, 24, 35</w:t>
      </w:r>
      <w:r w:rsidRPr="00E14102">
        <w:rPr>
          <w:color w:val="000000" w:themeColor="text1"/>
          <w:sz w:val="16"/>
          <w:szCs w:val="16"/>
        </w:rPr>
        <w:noBreakHyphen/>
        <w:t>37) (15462).</w:t>
      </w:r>
    </w:p>
    <w:p w14:paraId="2B56D63B" w14:textId="77777777" w:rsidR="001079AC" w:rsidRPr="00E14102" w:rsidRDefault="001079AC" w:rsidP="00E14102">
      <w:pPr>
        <w:pStyle w:val="rtejustify"/>
        <w:spacing w:before="0" w:after="0"/>
        <w:rPr>
          <w:color w:val="000000" w:themeColor="text1"/>
          <w:sz w:val="16"/>
          <w:szCs w:val="16"/>
        </w:rPr>
      </w:pPr>
    </w:p>
    <w:p w14:paraId="3D65641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75BE555E" w14:textId="77777777" w:rsidR="00D4105E" w:rsidRPr="00E14102" w:rsidRDefault="00D4105E" w:rsidP="00E14102">
      <w:pPr>
        <w:autoSpaceDE w:val="0"/>
        <w:autoSpaceDN w:val="0"/>
        <w:adjustRightInd w:val="0"/>
        <w:jc w:val="both"/>
        <w:rPr>
          <w:iCs/>
          <w:color w:val="000000" w:themeColor="text1"/>
          <w:sz w:val="16"/>
          <w:szCs w:val="16"/>
        </w:rPr>
      </w:pPr>
    </w:p>
    <w:p w14:paraId="21DDF72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13 мая 1935 вышло письмо ЦК ВКП(б) о проверке партийных документов, усилившее репрессии, последовавшие после убийства С.М.К. (3960, 187).</w:t>
      </w:r>
    </w:p>
    <w:p w14:paraId="5B5E69C1"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500BF6D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760A6FBF" w14:textId="77777777" w:rsidR="00D4105E" w:rsidRPr="00E14102" w:rsidRDefault="00D4105E" w:rsidP="00E14102">
      <w:pPr>
        <w:autoSpaceDE w:val="0"/>
        <w:autoSpaceDN w:val="0"/>
        <w:adjustRightInd w:val="0"/>
        <w:jc w:val="both"/>
        <w:rPr>
          <w:iCs/>
          <w:color w:val="000000" w:themeColor="text1"/>
          <w:sz w:val="16"/>
          <w:szCs w:val="16"/>
        </w:rPr>
      </w:pPr>
    </w:p>
    <w:p w14:paraId="096DEF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13-15 мая 1935 был визит министра иностранных дел Франции Лаваля в Москву и ответ на прямой вопрос И.В.С. о развитии военного сотрудничества был уклончивым. Однако, И.В.С. поручил французским коммунистам голосовать за военные кредиты и одобрил создание народного фронта (3240).</w:t>
      </w:r>
    </w:p>
    <w:p w14:paraId="5979429B" w14:textId="77777777" w:rsidR="00D4105E" w:rsidRPr="00E14102" w:rsidRDefault="00D4105E" w:rsidP="00E14102">
      <w:pPr>
        <w:autoSpaceDE w:val="0"/>
        <w:autoSpaceDN w:val="0"/>
        <w:adjustRightInd w:val="0"/>
        <w:jc w:val="both"/>
        <w:rPr>
          <w:color w:val="000000" w:themeColor="text1"/>
          <w:sz w:val="16"/>
          <w:szCs w:val="16"/>
        </w:rPr>
      </w:pPr>
    </w:p>
    <w:p w14:paraId="1BFD0F93" w14:textId="77777777" w:rsidR="001079AC"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64B3705" w14:textId="77777777" w:rsidR="001079AC" w:rsidRPr="00E14102" w:rsidRDefault="001079AC" w:rsidP="00E14102">
      <w:pPr>
        <w:autoSpaceDE w:val="0"/>
        <w:autoSpaceDN w:val="0"/>
        <w:adjustRightInd w:val="0"/>
        <w:jc w:val="both"/>
        <w:rPr>
          <w:iCs/>
          <w:color w:val="000000" w:themeColor="text1"/>
          <w:sz w:val="16"/>
          <w:szCs w:val="16"/>
        </w:rPr>
      </w:pPr>
    </w:p>
    <w:p w14:paraId="1E8A92A2" w14:textId="77777777" w:rsidR="001079AC" w:rsidRPr="00E14102" w:rsidRDefault="001079AC" w:rsidP="00E14102">
      <w:pPr>
        <w:jc w:val="both"/>
        <w:rPr>
          <w:color w:val="000000" w:themeColor="text1"/>
          <w:sz w:val="16"/>
          <w:szCs w:val="16"/>
        </w:rPr>
      </w:pPr>
      <w:r w:rsidRPr="00E14102">
        <w:rPr>
          <w:color w:val="000000" w:themeColor="text1"/>
          <w:sz w:val="16"/>
          <w:szCs w:val="16"/>
        </w:rPr>
        <w:lastRenderedPageBreak/>
        <w:t xml:space="preserve">13 мая в 1935 году на полигоне в Казо приступили к отстрелу вооружения французского бомбардировщика </w:t>
      </w:r>
      <w:hyperlink r:id="rId101" w:tgtFrame="_blank" w:history="1">
        <w:r w:rsidRPr="00E14102">
          <w:rPr>
            <w:color w:val="000000" w:themeColor="text1"/>
            <w:sz w:val="16"/>
            <w:szCs w:val="16"/>
          </w:rPr>
          <w:t xml:space="preserve">«МВ.210», </w:t>
        </w:r>
      </w:hyperlink>
      <w:r w:rsidRPr="00E14102">
        <w:rPr>
          <w:color w:val="000000" w:themeColor="text1"/>
          <w:sz w:val="16"/>
          <w:szCs w:val="16"/>
        </w:rPr>
        <w:t>предварительно сместив верхнюю турель вперед, и поставив выпускающуюся нижнюю турель. Вооружение – три оборонительных 7,5-мм пулемета «Darne» и 1600 кг бомб (14890).</w:t>
      </w:r>
    </w:p>
    <w:p w14:paraId="45282632" w14:textId="77777777" w:rsidR="001079AC" w:rsidRPr="00E14102" w:rsidRDefault="001079AC" w:rsidP="00E14102">
      <w:pPr>
        <w:jc w:val="both"/>
        <w:rPr>
          <w:color w:val="000000" w:themeColor="text1"/>
          <w:sz w:val="16"/>
          <w:szCs w:val="16"/>
        </w:rPr>
      </w:pPr>
    </w:p>
    <w:p w14:paraId="304E21BC"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Другие оборнные отрасли:</w:t>
      </w:r>
    </w:p>
    <w:p w14:paraId="4070ED68" w14:textId="77777777" w:rsidR="00D4105E" w:rsidRPr="00E14102" w:rsidRDefault="00D4105E" w:rsidP="00E14102">
      <w:pPr>
        <w:autoSpaceDE w:val="0"/>
        <w:autoSpaceDN w:val="0"/>
        <w:adjustRightInd w:val="0"/>
        <w:jc w:val="both"/>
        <w:rPr>
          <w:color w:val="000000" w:themeColor="text1"/>
          <w:sz w:val="16"/>
          <w:szCs w:val="16"/>
        </w:rPr>
      </w:pPr>
    </w:p>
    <w:p w14:paraId="47508C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мая 1935 была утверждена программа № 103414 испытаний Су-14, которая предусматривала: испытание стрельбой - 110 выстрелов, испытание обкаткой - 250 км, испытание стрельбой на прочность и меткость - 105 выстрелов, испытание обкаткой - 250 км (7437, 4).</w:t>
      </w:r>
    </w:p>
    <w:p w14:paraId="7839E60F" w14:textId="77777777" w:rsidR="00D4105E" w:rsidRPr="00E14102" w:rsidRDefault="00D4105E" w:rsidP="00E14102">
      <w:pPr>
        <w:autoSpaceDE w:val="0"/>
        <w:autoSpaceDN w:val="0"/>
        <w:adjustRightInd w:val="0"/>
        <w:jc w:val="both"/>
        <w:rPr>
          <w:color w:val="000000" w:themeColor="text1"/>
          <w:sz w:val="16"/>
          <w:szCs w:val="16"/>
        </w:rPr>
      </w:pPr>
    </w:p>
    <w:p w14:paraId="603BC87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7086FA69" w14:textId="77777777" w:rsidR="00D4105E" w:rsidRPr="00E14102" w:rsidRDefault="00D4105E" w:rsidP="00E14102">
      <w:pPr>
        <w:autoSpaceDE w:val="0"/>
        <w:autoSpaceDN w:val="0"/>
        <w:adjustRightInd w:val="0"/>
        <w:jc w:val="both"/>
        <w:rPr>
          <w:iCs/>
          <w:color w:val="000000" w:themeColor="text1"/>
          <w:sz w:val="16"/>
          <w:szCs w:val="16"/>
        </w:rPr>
      </w:pPr>
    </w:p>
    <w:p w14:paraId="054185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мая 1935 прошло торжественное заседание, посвященное пуску первой очереди отечественного метро. А 15 мая четырехвагонные составы начали регулярное движение по всей построенной трассе (11614).</w:t>
      </w:r>
    </w:p>
    <w:p w14:paraId="3DA2EDCD" w14:textId="77777777" w:rsidR="00D4105E" w:rsidRPr="00E14102" w:rsidRDefault="00D4105E" w:rsidP="00E14102">
      <w:pPr>
        <w:autoSpaceDE w:val="0"/>
        <w:autoSpaceDN w:val="0"/>
        <w:adjustRightInd w:val="0"/>
        <w:jc w:val="both"/>
        <w:rPr>
          <w:color w:val="000000" w:themeColor="text1"/>
          <w:sz w:val="16"/>
          <w:szCs w:val="16"/>
        </w:rPr>
      </w:pPr>
    </w:p>
    <w:p w14:paraId="2E89B8BA" w14:textId="77777777" w:rsidR="003F2AAE" w:rsidRPr="00E14102" w:rsidRDefault="003F2AAE" w:rsidP="00E14102">
      <w:pPr>
        <w:jc w:val="both"/>
        <w:rPr>
          <w:color w:val="000000" w:themeColor="text1"/>
          <w:sz w:val="16"/>
          <w:szCs w:val="16"/>
        </w:rPr>
      </w:pPr>
      <w:r w:rsidRPr="00E14102">
        <w:rPr>
          <w:color w:val="000000" w:themeColor="text1"/>
          <w:sz w:val="16"/>
          <w:szCs w:val="16"/>
        </w:rPr>
        <w:t>14 мая 1935 года по приказу Наркома Путей сообщения от №118/ Московский метрополитен был открыт для всеобщего пользования 15 мая 1935 года (12260).</w:t>
      </w:r>
    </w:p>
    <w:p w14:paraId="74807695" w14:textId="77777777" w:rsidR="003F2AAE" w:rsidRPr="00E14102" w:rsidRDefault="003F2AAE" w:rsidP="00E14102">
      <w:pPr>
        <w:jc w:val="both"/>
        <w:rPr>
          <w:color w:val="000000" w:themeColor="text1"/>
          <w:sz w:val="16"/>
          <w:szCs w:val="16"/>
        </w:rPr>
      </w:pPr>
    </w:p>
    <w:p w14:paraId="7F52291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E002876" w14:textId="77777777" w:rsidR="00D4105E" w:rsidRPr="00E14102" w:rsidRDefault="00D4105E" w:rsidP="00E14102">
      <w:pPr>
        <w:autoSpaceDE w:val="0"/>
        <w:autoSpaceDN w:val="0"/>
        <w:adjustRightInd w:val="0"/>
        <w:jc w:val="both"/>
        <w:rPr>
          <w:iCs/>
          <w:color w:val="000000" w:themeColor="text1"/>
          <w:sz w:val="16"/>
          <w:szCs w:val="16"/>
        </w:rPr>
      </w:pPr>
    </w:p>
    <w:p w14:paraId="371CF22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15 мая по 13 августа 1935 года проходило тактическое испытание самолета “Звено” ТБ-3 4М17+2И5 (6696).</w:t>
      </w:r>
    </w:p>
    <w:p w14:paraId="6C81F63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50CE88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 в/к 1 Отдела П. Лосюков</w:t>
      </w:r>
    </w:p>
    <w:p w14:paraId="1E5B247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299366C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Проверка возможности питания горючим и смазочным самолетов И5 от самолета ТБ3 при полете в соединении “Звено” и выбор схем для этого.</w:t>
      </w:r>
    </w:p>
    <w:p w14:paraId="16DB20A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Проверка возможности решений тактической задачи на сопровождение самолетов ТБ3 истребителями на радиус действия равный удвоенному радиусу действия истребителей И5.</w:t>
      </w:r>
    </w:p>
    <w:p w14:paraId="6F7FCB1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Проверка возможности отражения внезапной атаки истребителей противника по пути следования к цели.</w:t>
      </w:r>
    </w:p>
    <w:p w14:paraId="149FA60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BB003B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Соединение “Звено” (ТБ-3 4М17+2И5) как устаревшее по своим летно-техническим данным не может быть рекомендовано на вооружение ВС. Его можно рекомендовать только в качестве учебно-тактического соединения, для отработки на нем тактики применения и тренировки (6696).</w:t>
      </w:r>
    </w:p>
    <w:p w14:paraId="3A8BB31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1C6330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15 мая по 13 августа 1935 проходило тактическое испытание самолета Звено ТБ-3 4М-17+2И-5. Отв. исполнители: и Лосюков. Цель испытаний:</w:t>
      </w:r>
    </w:p>
    <w:p w14:paraId="2443F9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Проверка возможности питания горючим и смазочным И-5 от ТБ-3 при полете в соединении Звено и выбор схем этого.</w:t>
      </w:r>
    </w:p>
    <w:p w14:paraId="5EB6D6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Проверка возможности решения тактической задачи на сопровождение ТБ-3 истребителями на радиус действия, равный удвоенному радиусу действия И-5</w:t>
      </w:r>
    </w:p>
    <w:p w14:paraId="274AC2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Проверка возможности отражения внезапной атаки истребителей противника по пути следования (2940).</w:t>
      </w:r>
    </w:p>
    <w:p w14:paraId="7A06D1CA" w14:textId="77777777" w:rsidR="00D4105E" w:rsidRPr="00E14102" w:rsidRDefault="00D4105E" w:rsidP="00E14102">
      <w:pPr>
        <w:autoSpaceDE w:val="0"/>
        <w:autoSpaceDN w:val="0"/>
        <w:adjustRightInd w:val="0"/>
        <w:jc w:val="both"/>
        <w:rPr>
          <w:color w:val="000000" w:themeColor="text1"/>
          <w:sz w:val="16"/>
          <w:szCs w:val="16"/>
        </w:rPr>
      </w:pPr>
    </w:p>
    <w:p w14:paraId="16834B82" w14:textId="77777777" w:rsidR="001253F3" w:rsidRPr="00E14102" w:rsidRDefault="001253F3" w:rsidP="00E14102">
      <w:pPr>
        <w:jc w:val="both"/>
        <w:rPr>
          <w:color w:val="0070C0"/>
          <w:sz w:val="16"/>
          <w:szCs w:val="16"/>
        </w:rPr>
      </w:pPr>
      <w:r w:rsidRPr="00E14102">
        <w:rPr>
          <w:color w:val="0070C0"/>
          <w:sz w:val="16"/>
          <w:szCs w:val="16"/>
        </w:rPr>
        <w:t>В период 15.05 - 13.08 1935 были прове</w:t>
      </w:r>
      <w:r w:rsidRPr="00E14102">
        <w:rPr>
          <w:color w:val="0070C0"/>
          <w:sz w:val="16"/>
          <w:szCs w:val="16"/>
        </w:rPr>
        <w:softHyphen/>
        <w:t>дены тактические испытания соединения ТБ-3 4М-17+2 И-5. При этом назывались следующие их цели:</w:t>
      </w:r>
    </w:p>
    <w:p w14:paraId="45F487C7" w14:textId="77777777" w:rsidR="001253F3" w:rsidRPr="00E14102" w:rsidRDefault="001253F3" w:rsidP="00E14102">
      <w:pPr>
        <w:jc w:val="both"/>
        <w:rPr>
          <w:color w:val="0070C0"/>
          <w:sz w:val="16"/>
          <w:szCs w:val="16"/>
        </w:rPr>
      </w:pPr>
      <w:r w:rsidRPr="00E14102">
        <w:rPr>
          <w:color w:val="0070C0"/>
          <w:sz w:val="16"/>
          <w:szCs w:val="16"/>
        </w:rPr>
        <w:t>Проверка возможности питания горючим от носителя ТБ-3 и выбор схем питания.</w:t>
      </w:r>
    </w:p>
    <w:p w14:paraId="5109B70E" w14:textId="77777777" w:rsidR="001253F3" w:rsidRPr="00E14102" w:rsidRDefault="001253F3" w:rsidP="00E14102">
      <w:pPr>
        <w:jc w:val="both"/>
        <w:rPr>
          <w:color w:val="0070C0"/>
          <w:sz w:val="16"/>
          <w:szCs w:val="16"/>
        </w:rPr>
      </w:pPr>
      <w:r w:rsidRPr="00E14102">
        <w:rPr>
          <w:color w:val="0070C0"/>
          <w:sz w:val="16"/>
          <w:szCs w:val="16"/>
        </w:rPr>
        <w:t>Проверка возможности решения тактической задачи по сопровождению ТБ-3 на радиус действия, равный уд</w:t>
      </w:r>
      <w:r w:rsidRPr="00E14102">
        <w:rPr>
          <w:color w:val="0070C0"/>
          <w:sz w:val="16"/>
          <w:szCs w:val="16"/>
        </w:rPr>
        <w:softHyphen/>
        <w:t>военному радиусу действия И-5.</w:t>
      </w:r>
    </w:p>
    <w:p w14:paraId="7CC08526" w14:textId="77777777" w:rsidR="001253F3" w:rsidRPr="00E14102" w:rsidRDefault="001253F3" w:rsidP="00E14102">
      <w:pPr>
        <w:jc w:val="both"/>
        <w:rPr>
          <w:color w:val="0070C0"/>
          <w:sz w:val="16"/>
          <w:szCs w:val="16"/>
        </w:rPr>
      </w:pPr>
      <w:r w:rsidRPr="00E14102">
        <w:rPr>
          <w:color w:val="0070C0"/>
          <w:sz w:val="16"/>
          <w:szCs w:val="16"/>
        </w:rPr>
        <w:t>Проверка возможности отражения внезапной атаки не</w:t>
      </w:r>
      <w:r w:rsidRPr="00E14102">
        <w:rPr>
          <w:color w:val="0070C0"/>
          <w:sz w:val="16"/>
          <w:szCs w:val="16"/>
        </w:rPr>
        <w:softHyphen/>
        <w:t>приятельскими истребителями.</w:t>
      </w:r>
    </w:p>
    <w:p w14:paraId="00C106AF" w14:textId="77777777" w:rsidR="001253F3" w:rsidRPr="00E14102" w:rsidRDefault="001253F3" w:rsidP="00E14102">
      <w:pPr>
        <w:jc w:val="both"/>
        <w:rPr>
          <w:color w:val="0070C0"/>
          <w:sz w:val="16"/>
          <w:szCs w:val="16"/>
        </w:rPr>
      </w:pPr>
      <w:r w:rsidRPr="00E14102">
        <w:rPr>
          <w:color w:val="0070C0"/>
          <w:sz w:val="16"/>
          <w:szCs w:val="16"/>
        </w:rPr>
        <w:t>Начальный полетный вес носителя ТБ-3 с экипажем из 8 человек составлял 19 000 кг. В том числе: бомбовая нагрузка — 1000 кг, горючего - 4700 кг. Общий полетный вес всего «самолета-звена» 3-2 с двумя установленными ис</w:t>
      </w:r>
      <w:r w:rsidRPr="00E14102">
        <w:rPr>
          <w:color w:val="0070C0"/>
          <w:sz w:val="16"/>
          <w:szCs w:val="16"/>
        </w:rPr>
        <w:softHyphen/>
        <w:t>требителями И-5 (каждый по 1300 кг) составил 21 600 кг. В одном из заключительных полетов по программе испы</w:t>
      </w:r>
      <w:r w:rsidRPr="00E14102">
        <w:rPr>
          <w:color w:val="0070C0"/>
          <w:sz w:val="16"/>
          <w:szCs w:val="16"/>
        </w:rPr>
        <w:softHyphen/>
        <w:t>таний «звено» пролетело по маршруту Щелково - Влади</w:t>
      </w:r>
      <w:r w:rsidRPr="00E14102">
        <w:rPr>
          <w:color w:val="0070C0"/>
          <w:sz w:val="16"/>
          <w:szCs w:val="16"/>
        </w:rPr>
        <w:softHyphen/>
        <w:t>мир - Ковров и обратно. Крейсерская скорость полета со</w:t>
      </w:r>
      <w:r w:rsidRPr="00E14102">
        <w:rPr>
          <w:color w:val="0070C0"/>
          <w:sz w:val="16"/>
          <w:szCs w:val="16"/>
        </w:rPr>
        <w:softHyphen/>
        <w:t>ставляла 165 км/ч, высота полета - 1200 метров (более 1500 метров подняться не смогли). В составе звена три са</w:t>
      </w:r>
      <w:r w:rsidRPr="00E14102">
        <w:rPr>
          <w:color w:val="0070C0"/>
          <w:sz w:val="16"/>
          <w:szCs w:val="16"/>
        </w:rPr>
        <w:softHyphen/>
        <w:t>молета пролетели 570 км. Затем, полностью заправленные топливом И-5 стартовали с крыла носителя, провели пя</w:t>
      </w:r>
      <w:r w:rsidRPr="00E14102">
        <w:rPr>
          <w:color w:val="0070C0"/>
          <w:sz w:val="16"/>
          <w:szCs w:val="16"/>
        </w:rPr>
        <w:softHyphen/>
        <w:t>тиминутный учебный воздушный бой и самостоятельно вернулись на базу в Щелково. Общее расстояние, пройден</w:t>
      </w:r>
      <w:r w:rsidRPr="00E14102">
        <w:rPr>
          <w:color w:val="0070C0"/>
          <w:sz w:val="16"/>
          <w:szCs w:val="16"/>
        </w:rPr>
        <w:softHyphen/>
        <w:t>ное истребителями, составило 990 км. ТБ-3 через 190 км по</w:t>
      </w:r>
      <w:r w:rsidRPr="00E14102">
        <w:rPr>
          <w:color w:val="0070C0"/>
          <w:sz w:val="16"/>
          <w:szCs w:val="16"/>
        </w:rPr>
        <w:softHyphen/>
        <w:t>сле старта истребителей произвел бомбометание на по</w:t>
      </w:r>
      <w:r w:rsidRPr="00E14102">
        <w:rPr>
          <w:color w:val="0070C0"/>
          <w:sz w:val="16"/>
          <w:szCs w:val="16"/>
        </w:rPr>
        <w:softHyphen/>
        <w:t>лигоне, после чего тоже вернулся домой. Его дальность по</w:t>
      </w:r>
      <w:r w:rsidRPr="00E14102">
        <w:rPr>
          <w:color w:val="0070C0"/>
          <w:sz w:val="16"/>
          <w:szCs w:val="16"/>
        </w:rPr>
        <w:softHyphen/>
        <w:t>лета составила 1360 км.</w:t>
      </w:r>
    </w:p>
    <w:p w14:paraId="082A0F11" w14:textId="77777777" w:rsidR="001253F3" w:rsidRPr="00E14102" w:rsidRDefault="001253F3" w:rsidP="00E14102">
      <w:pPr>
        <w:jc w:val="both"/>
        <w:rPr>
          <w:color w:val="0070C0"/>
          <w:sz w:val="16"/>
          <w:szCs w:val="16"/>
        </w:rPr>
      </w:pPr>
      <w:r w:rsidRPr="00E14102">
        <w:rPr>
          <w:color w:val="0070C0"/>
          <w:sz w:val="16"/>
          <w:szCs w:val="16"/>
        </w:rPr>
        <w:t>В отчете по проведенным испытаниям в очередной раз указывалось, что идея «самолета-звена» себя оправдала. В частности, была подтверждена возможность заброски ис</w:t>
      </w:r>
      <w:r w:rsidRPr="00E14102">
        <w:rPr>
          <w:color w:val="0070C0"/>
          <w:sz w:val="16"/>
          <w:szCs w:val="16"/>
        </w:rPr>
        <w:softHyphen/>
        <w:t>требителей на удвоенный радиус их действия. Дальность действия «звена» оценивалась не ниже одиночного бомбар</w:t>
      </w:r>
      <w:r w:rsidRPr="00E14102">
        <w:rPr>
          <w:color w:val="0070C0"/>
          <w:sz w:val="16"/>
          <w:szCs w:val="16"/>
        </w:rPr>
        <w:softHyphen/>
        <w:t>дировщика ТБ-3. Одновременно признавалось, что в предъ-явленном виде воздушное соединение устарело. Полет</w:t>
      </w:r>
      <w:r w:rsidRPr="00E14102">
        <w:rPr>
          <w:color w:val="0070C0"/>
          <w:sz w:val="16"/>
          <w:szCs w:val="16"/>
        </w:rPr>
        <w:softHyphen/>
        <w:t>ные скорости ТБ-3 и И-5 малы и не соответствуют совре</w:t>
      </w:r>
      <w:r w:rsidRPr="00E14102">
        <w:rPr>
          <w:color w:val="0070C0"/>
          <w:sz w:val="16"/>
          <w:szCs w:val="16"/>
        </w:rPr>
        <w:softHyphen/>
        <w:t>менным требованиям. Нет связи между бомбардировщиком и истребителями. Накатка истребителей сверху на крыло не</w:t>
      </w:r>
      <w:r w:rsidRPr="00E14102">
        <w:rPr>
          <w:color w:val="0070C0"/>
          <w:sz w:val="16"/>
          <w:szCs w:val="16"/>
        </w:rPr>
        <w:softHyphen/>
        <w:t>удобна. Для проведения подготовки к полету необходимо не менее 12 человек персонала и 6 часов времени.</w:t>
      </w:r>
    </w:p>
    <w:p w14:paraId="5090A816" w14:textId="77777777" w:rsidR="001253F3" w:rsidRPr="00E14102" w:rsidRDefault="001253F3" w:rsidP="00E14102">
      <w:pPr>
        <w:jc w:val="both"/>
        <w:rPr>
          <w:color w:val="0070C0"/>
          <w:sz w:val="16"/>
          <w:szCs w:val="16"/>
        </w:rPr>
      </w:pPr>
      <w:r w:rsidRPr="00E14102">
        <w:rPr>
          <w:color w:val="0070C0"/>
          <w:sz w:val="16"/>
          <w:szCs w:val="16"/>
        </w:rPr>
        <w:t>В соответствии с этими заключениями предлагалось со</w:t>
      </w:r>
      <w:r w:rsidRPr="00E14102">
        <w:rPr>
          <w:color w:val="0070C0"/>
          <w:sz w:val="16"/>
          <w:szCs w:val="16"/>
        </w:rPr>
        <w:softHyphen/>
        <w:t>здать «самолет-звено» с участием более современных ти</w:t>
      </w:r>
      <w:r w:rsidRPr="00E14102">
        <w:rPr>
          <w:color w:val="0070C0"/>
          <w:sz w:val="16"/>
          <w:szCs w:val="16"/>
        </w:rPr>
        <w:softHyphen/>
        <w:t>пов самолетов. Подтверждалась необходимость их срочной постройки с последующими испытаниями в НИИ ВВС (20345).</w:t>
      </w:r>
    </w:p>
    <w:p w14:paraId="588D4013" w14:textId="77777777" w:rsidR="001253F3" w:rsidRPr="00E14102" w:rsidRDefault="001253F3" w:rsidP="00E14102">
      <w:pPr>
        <w:jc w:val="both"/>
        <w:rPr>
          <w:color w:val="0070C0"/>
          <w:sz w:val="16"/>
          <w:szCs w:val="16"/>
        </w:rPr>
      </w:pPr>
    </w:p>
    <w:p w14:paraId="72AB36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мая 1935 «МГ» в течение 45 мин демонстрировали депутатам Моссовета. В тот день пассажиром «МГ» стал знаменитый французский лётчик и писатель Антуан де Сент-Экзюпери, тогда московский корреспондент парижской газеты «Пари Суар». Утвержда</w:t>
      </w:r>
      <w:r w:rsidRPr="00E14102">
        <w:rPr>
          <w:color w:val="000000" w:themeColor="text1"/>
          <w:sz w:val="16"/>
          <w:szCs w:val="16"/>
        </w:rPr>
        <w:softHyphen/>
        <w:t>ют, ему даже дали немного «порулить». 16 мая состоялся 33-минутный перелёт «МГ» под управлением летчика ЦАГИ Н.С. Журова (второй пилот — фактический командир агитэскадрильи им. Максима Горького опытный лётчик-орденоносец И.В. Михе</w:t>
      </w:r>
      <w:r w:rsidRPr="00E14102">
        <w:rPr>
          <w:color w:val="000000" w:themeColor="text1"/>
          <w:sz w:val="16"/>
          <w:szCs w:val="16"/>
        </w:rPr>
        <w:softHyphen/>
        <w:t>ев) с Центрального аэро</w:t>
      </w:r>
      <w:r w:rsidRPr="00E14102">
        <w:rPr>
          <w:color w:val="000000" w:themeColor="text1"/>
          <w:sz w:val="16"/>
          <w:szCs w:val="16"/>
        </w:rPr>
        <w:softHyphen/>
        <w:t>дрома в Щёлково. Весь день там шла интенсив</w:t>
      </w:r>
      <w:r w:rsidRPr="00E14102">
        <w:rPr>
          <w:color w:val="000000" w:themeColor="text1"/>
          <w:sz w:val="16"/>
          <w:szCs w:val="16"/>
        </w:rPr>
        <w:softHyphen/>
        <w:t>ная тренировка И.В. Ми-хеева в качестве команди</w:t>
      </w:r>
      <w:r w:rsidRPr="00E14102">
        <w:rPr>
          <w:color w:val="000000" w:themeColor="text1"/>
          <w:sz w:val="16"/>
          <w:szCs w:val="16"/>
        </w:rPr>
        <w:softHyphen/>
        <w:t>ра корабля, так как на воскресенье 18 мая на</w:t>
      </w:r>
      <w:r w:rsidRPr="00E14102">
        <w:rPr>
          <w:color w:val="000000" w:themeColor="text1"/>
          <w:sz w:val="16"/>
          <w:szCs w:val="16"/>
        </w:rPr>
        <w:softHyphen/>
        <w:t>значили два полёта, после которых гигант официаль</w:t>
      </w:r>
      <w:r w:rsidRPr="00E14102">
        <w:rPr>
          <w:color w:val="000000" w:themeColor="text1"/>
          <w:sz w:val="16"/>
          <w:szCs w:val="16"/>
        </w:rPr>
        <w:softHyphen/>
        <w:t>но передавали из ЦАГИ в агитэскадрилью им. Мак</w:t>
      </w:r>
      <w:r w:rsidRPr="00E14102">
        <w:rPr>
          <w:color w:val="000000" w:themeColor="text1"/>
          <w:sz w:val="16"/>
          <w:szCs w:val="16"/>
        </w:rPr>
        <w:softHyphen/>
        <w:t>сима Горького. В процес</w:t>
      </w:r>
      <w:r w:rsidRPr="00E14102">
        <w:rPr>
          <w:color w:val="000000" w:themeColor="text1"/>
          <w:sz w:val="16"/>
          <w:szCs w:val="16"/>
        </w:rPr>
        <w:softHyphen/>
        <w:t>се вывозки Михеева в Щёлково сначала совер</w:t>
      </w:r>
      <w:r w:rsidRPr="00E14102">
        <w:rPr>
          <w:color w:val="000000" w:themeColor="text1"/>
          <w:sz w:val="16"/>
          <w:szCs w:val="16"/>
        </w:rPr>
        <w:softHyphen/>
        <w:t>шили четыре полёта дли</w:t>
      </w:r>
      <w:r w:rsidRPr="00E14102">
        <w:rPr>
          <w:color w:val="000000" w:themeColor="text1"/>
          <w:sz w:val="16"/>
          <w:szCs w:val="16"/>
        </w:rPr>
        <w:softHyphen/>
        <w:t>тельностью от 7 до 11 минут. Затем состоялся первый самостоятельный вылет Михеева (14 мин) и чуть позже еще один 9-минутный тренировочный полёт. Вечером того же дня Журов и Михеев за 30 минут перегнали «МГ» со Щёлковского аэродрома на Ходынку (11696).</w:t>
      </w:r>
    </w:p>
    <w:p w14:paraId="2D4790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D753353" w14:textId="77777777" w:rsidR="003F2AAE" w:rsidRPr="00E14102" w:rsidRDefault="003F2AAE" w:rsidP="00E14102">
      <w:pPr>
        <w:jc w:val="both"/>
        <w:rPr>
          <w:color w:val="000000" w:themeColor="text1"/>
          <w:sz w:val="16"/>
          <w:szCs w:val="16"/>
        </w:rPr>
      </w:pPr>
      <w:r w:rsidRPr="00E14102">
        <w:rPr>
          <w:color w:val="000000" w:themeColor="text1"/>
          <w:sz w:val="16"/>
          <w:szCs w:val="16"/>
        </w:rPr>
        <w:t>В период 15 мая- 13 августа 1935, были проведены тактические ис</w:t>
      </w:r>
      <w:r w:rsidRPr="00E14102">
        <w:rPr>
          <w:color w:val="000000" w:themeColor="text1"/>
          <w:sz w:val="16"/>
          <w:szCs w:val="16"/>
        </w:rPr>
        <w:softHyphen/>
        <w:t>пытания соединения 3-2 (ТБ-3 4М-17+2 И-5). При этом назывались их следующие цели:</w:t>
      </w:r>
    </w:p>
    <w:p w14:paraId="043ED5B7" w14:textId="77777777" w:rsidR="003F2AAE" w:rsidRPr="00E14102" w:rsidRDefault="003F2AAE" w:rsidP="00E14102">
      <w:pPr>
        <w:tabs>
          <w:tab w:val="left" w:pos="423"/>
        </w:tabs>
        <w:jc w:val="both"/>
        <w:rPr>
          <w:color w:val="000000" w:themeColor="text1"/>
          <w:sz w:val="16"/>
          <w:szCs w:val="16"/>
        </w:rPr>
      </w:pPr>
      <w:r w:rsidRPr="00E14102">
        <w:rPr>
          <w:color w:val="000000" w:themeColor="text1"/>
          <w:sz w:val="16"/>
          <w:szCs w:val="16"/>
        </w:rPr>
        <w:t>1.</w:t>
      </w:r>
      <w:r w:rsidRPr="00E14102">
        <w:rPr>
          <w:color w:val="000000" w:themeColor="text1"/>
          <w:sz w:val="16"/>
          <w:szCs w:val="16"/>
        </w:rPr>
        <w:tab/>
        <w:t>Проверка возможности питания горю</w:t>
      </w:r>
      <w:r w:rsidRPr="00E14102">
        <w:rPr>
          <w:color w:val="000000" w:themeColor="text1"/>
          <w:sz w:val="16"/>
          <w:szCs w:val="16"/>
        </w:rPr>
        <w:softHyphen/>
        <w:t>чим от носителя ТБ-3 и выбор схем питания.</w:t>
      </w:r>
    </w:p>
    <w:p w14:paraId="799989CB" w14:textId="77777777" w:rsidR="003F2AAE" w:rsidRPr="00E14102" w:rsidRDefault="003F2AAE" w:rsidP="00E14102">
      <w:pPr>
        <w:tabs>
          <w:tab w:val="left" w:pos="409"/>
        </w:tabs>
        <w:jc w:val="both"/>
        <w:rPr>
          <w:color w:val="000000" w:themeColor="text1"/>
          <w:sz w:val="16"/>
          <w:szCs w:val="16"/>
        </w:rPr>
      </w:pPr>
      <w:r w:rsidRPr="00E14102">
        <w:rPr>
          <w:color w:val="000000" w:themeColor="text1"/>
          <w:sz w:val="16"/>
          <w:szCs w:val="16"/>
        </w:rPr>
        <w:t>2.</w:t>
      </w:r>
      <w:r w:rsidRPr="00E14102">
        <w:rPr>
          <w:color w:val="000000" w:themeColor="text1"/>
          <w:sz w:val="16"/>
          <w:szCs w:val="16"/>
        </w:rPr>
        <w:tab/>
        <w:t>Проверка возможности решения такти</w:t>
      </w:r>
      <w:r w:rsidRPr="00E14102">
        <w:rPr>
          <w:color w:val="000000" w:themeColor="text1"/>
          <w:sz w:val="16"/>
          <w:szCs w:val="16"/>
        </w:rPr>
        <w:softHyphen/>
        <w:t>ческой задачи по сопровождению ТБ-3 на радиус действия, равный удвоенному радиу</w:t>
      </w:r>
      <w:r w:rsidRPr="00E14102">
        <w:rPr>
          <w:color w:val="000000" w:themeColor="text1"/>
          <w:sz w:val="16"/>
          <w:szCs w:val="16"/>
        </w:rPr>
        <w:softHyphen/>
        <w:t>су действия И-5.</w:t>
      </w:r>
    </w:p>
    <w:p w14:paraId="1248396B" w14:textId="77777777" w:rsidR="003F2AAE" w:rsidRPr="00E14102" w:rsidRDefault="003F2AAE" w:rsidP="00E14102">
      <w:pPr>
        <w:tabs>
          <w:tab w:val="left" w:pos="412"/>
        </w:tabs>
        <w:jc w:val="both"/>
        <w:rPr>
          <w:color w:val="000000" w:themeColor="text1"/>
          <w:sz w:val="16"/>
          <w:szCs w:val="16"/>
        </w:rPr>
      </w:pPr>
      <w:r w:rsidRPr="00E14102">
        <w:rPr>
          <w:color w:val="000000" w:themeColor="text1"/>
          <w:sz w:val="16"/>
          <w:szCs w:val="16"/>
        </w:rPr>
        <w:t>3.</w:t>
      </w:r>
      <w:r w:rsidRPr="00E14102">
        <w:rPr>
          <w:color w:val="000000" w:themeColor="text1"/>
          <w:sz w:val="16"/>
          <w:szCs w:val="16"/>
        </w:rPr>
        <w:tab/>
        <w:t>Проверка возможности отражения вне</w:t>
      </w:r>
      <w:r w:rsidRPr="00E14102">
        <w:rPr>
          <w:color w:val="000000" w:themeColor="text1"/>
          <w:sz w:val="16"/>
          <w:szCs w:val="16"/>
        </w:rPr>
        <w:softHyphen/>
        <w:t>запной атаки неприятельскими истребите</w:t>
      </w:r>
      <w:r w:rsidRPr="00E14102">
        <w:rPr>
          <w:color w:val="000000" w:themeColor="text1"/>
          <w:sz w:val="16"/>
          <w:szCs w:val="16"/>
        </w:rPr>
        <w:softHyphen/>
        <w:t>лями.</w:t>
      </w:r>
    </w:p>
    <w:p w14:paraId="77CF7D55" w14:textId="77777777" w:rsidR="003F2AAE" w:rsidRPr="00E14102" w:rsidRDefault="003F2AAE" w:rsidP="00E14102">
      <w:pPr>
        <w:jc w:val="both"/>
        <w:rPr>
          <w:color w:val="000000" w:themeColor="text1"/>
          <w:sz w:val="16"/>
          <w:szCs w:val="16"/>
        </w:rPr>
      </w:pPr>
      <w:r w:rsidRPr="00E14102">
        <w:rPr>
          <w:color w:val="000000" w:themeColor="text1"/>
          <w:sz w:val="16"/>
          <w:szCs w:val="16"/>
        </w:rPr>
        <w:t>Начальный полетный вес носителя ТБ-3 с экипажем из 8 человек составлял 19 000 кг.</w:t>
      </w:r>
    </w:p>
    <w:p w14:paraId="6E08204F" w14:textId="77777777" w:rsidR="003F2AAE" w:rsidRPr="00E14102" w:rsidRDefault="003F2AAE" w:rsidP="00E14102">
      <w:pPr>
        <w:jc w:val="both"/>
        <w:rPr>
          <w:color w:val="000000" w:themeColor="text1"/>
          <w:sz w:val="16"/>
          <w:szCs w:val="16"/>
        </w:rPr>
      </w:pPr>
      <w:r w:rsidRPr="00E14102">
        <w:rPr>
          <w:color w:val="000000" w:themeColor="text1"/>
          <w:sz w:val="16"/>
          <w:szCs w:val="16"/>
        </w:rPr>
        <w:t>В том числе: бомбовая нагрузка - 1000 кг, го</w:t>
      </w:r>
      <w:r w:rsidRPr="00E14102">
        <w:rPr>
          <w:color w:val="000000" w:themeColor="text1"/>
          <w:sz w:val="16"/>
          <w:szCs w:val="16"/>
        </w:rPr>
        <w:softHyphen/>
        <w:t>рючего — 4700 кг. Общий полетный вес всего «Самолета-звена» 3-2 с установленными ис</w:t>
      </w:r>
      <w:r w:rsidRPr="00E14102">
        <w:rPr>
          <w:color w:val="000000" w:themeColor="text1"/>
          <w:sz w:val="16"/>
          <w:szCs w:val="16"/>
        </w:rPr>
        <w:softHyphen/>
        <w:t>требителями И-5 (каждый по 1300 кг) соста</w:t>
      </w:r>
      <w:r w:rsidRPr="00E14102">
        <w:rPr>
          <w:color w:val="000000" w:themeColor="text1"/>
          <w:sz w:val="16"/>
          <w:szCs w:val="16"/>
        </w:rPr>
        <w:softHyphen/>
        <w:t>вил 21600 кг. В одном из заключительных по</w:t>
      </w:r>
      <w:r w:rsidRPr="00E14102">
        <w:rPr>
          <w:color w:val="000000" w:themeColor="text1"/>
          <w:sz w:val="16"/>
          <w:szCs w:val="16"/>
        </w:rPr>
        <w:softHyphen/>
        <w:t>летов по программе испытаний «звено» про</w:t>
      </w:r>
      <w:r w:rsidRPr="00E14102">
        <w:rPr>
          <w:color w:val="000000" w:themeColor="text1"/>
          <w:sz w:val="16"/>
          <w:szCs w:val="16"/>
        </w:rPr>
        <w:softHyphen/>
        <w:t>летело по маршруту Щелково-Владимир- Ковров и обратно. Крейсерская скорость по</w:t>
      </w:r>
      <w:r w:rsidRPr="00E14102">
        <w:rPr>
          <w:color w:val="000000" w:themeColor="text1"/>
          <w:sz w:val="16"/>
          <w:szCs w:val="16"/>
        </w:rPr>
        <w:softHyphen/>
        <w:t>лета составляла 165 км/ч, высота полета — 1200 метров (более 1500 метров подняться не смогли). В составе звена три самолета про</w:t>
      </w:r>
      <w:r w:rsidRPr="00E14102">
        <w:rPr>
          <w:color w:val="000000" w:themeColor="text1"/>
          <w:sz w:val="16"/>
          <w:szCs w:val="16"/>
        </w:rPr>
        <w:softHyphen/>
        <w:t>летели 570 км. Затем, полностью заправлен</w:t>
      </w:r>
      <w:r w:rsidRPr="00E14102">
        <w:rPr>
          <w:color w:val="000000" w:themeColor="text1"/>
          <w:sz w:val="16"/>
          <w:szCs w:val="16"/>
        </w:rPr>
        <w:softHyphen/>
        <w:t>ные И-5 стартовали с крыла носителя, про</w:t>
      </w:r>
      <w:r w:rsidRPr="00E14102">
        <w:rPr>
          <w:color w:val="000000" w:themeColor="text1"/>
          <w:sz w:val="16"/>
          <w:szCs w:val="16"/>
        </w:rPr>
        <w:softHyphen/>
        <w:t>вели 5-минутный учебный воздушный бой, и вернулись на базу в Щелково. Общее рас</w:t>
      </w:r>
      <w:r w:rsidRPr="00E14102">
        <w:rPr>
          <w:color w:val="000000" w:themeColor="text1"/>
          <w:sz w:val="16"/>
          <w:szCs w:val="16"/>
        </w:rPr>
        <w:softHyphen/>
        <w:t>стояние, пройденное истребителями, соста</w:t>
      </w:r>
      <w:r w:rsidRPr="00E14102">
        <w:rPr>
          <w:color w:val="000000" w:themeColor="text1"/>
          <w:sz w:val="16"/>
          <w:szCs w:val="16"/>
        </w:rPr>
        <w:softHyphen/>
        <w:t>вило 990 км. ТБ-3 через 190 км после старта истребителей произвел бомбометание на по</w:t>
      </w:r>
      <w:r w:rsidRPr="00E14102">
        <w:rPr>
          <w:color w:val="000000" w:themeColor="text1"/>
          <w:sz w:val="16"/>
          <w:szCs w:val="16"/>
        </w:rPr>
        <w:softHyphen/>
        <w:t>лигоне, после чего тоже вернулся домой. Его дальность полета составила 1360 км.</w:t>
      </w:r>
    </w:p>
    <w:p w14:paraId="48CC6F69" w14:textId="77777777" w:rsidR="003F2AAE" w:rsidRPr="00E14102" w:rsidRDefault="003F2AAE" w:rsidP="00E14102">
      <w:pPr>
        <w:jc w:val="both"/>
        <w:rPr>
          <w:color w:val="000000" w:themeColor="text1"/>
          <w:sz w:val="16"/>
          <w:szCs w:val="16"/>
        </w:rPr>
      </w:pPr>
      <w:r w:rsidRPr="00E14102">
        <w:rPr>
          <w:color w:val="000000" w:themeColor="text1"/>
          <w:sz w:val="16"/>
          <w:szCs w:val="16"/>
        </w:rPr>
        <w:t>В отчете по проведенным испытаниям ука</w:t>
      </w:r>
      <w:r w:rsidRPr="00E14102">
        <w:rPr>
          <w:color w:val="000000" w:themeColor="text1"/>
          <w:sz w:val="16"/>
          <w:szCs w:val="16"/>
        </w:rPr>
        <w:softHyphen/>
        <w:t>зывалось, что идея «самолета-звена» себя оправдала. В частности, была подтверждена возможность заброски истребителей на уд</w:t>
      </w:r>
      <w:r w:rsidRPr="00E14102">
        <w:rPr>
          <w:color w:val="000000" w:themeColor="text1"/>
          <w:sz w:val="16"/>
          <w:szCs w:val="16"/>
        </w:rPr>
        <w:softHyphen/>
        <w:t>военный радиус действия. Дальность дейст</w:t>
      </w:r>
      <w:r w:rsidRPr="00E14102">
        <w:rPr>
          <w:color w:val="000000" w:themeColor="text1"/>
          <w:sz w:val="16"/>
          <w:szCs w:val="16"/>
        </w:rPr>
        <w:softHyphen/>
        <w:t>вия «звена» оценивалась не ниже одиночного бомбардировщика ТБ-3. Одновременно при</w:t>
      </w:r>
      <w:r w:rsidRPr="00E14102">
        <w:rPr>
          <w:color w:val="000000" w:themeColor="text1"/>
          <w:sz w:val="16"/>
          <w:szCs w:val="16"/>
        </w:rPr>
        <w:softHyphen/>
        <w:t>знавалось, что в предъявленном виде воз</w:t>
      </w:r>
      <w:r w:rsidRPr="00E14102">
        <w:rPr>
          <w:color w:val="000000" w:themeColor="text1"/>
          <w:sz w:val="16"/>
          <w:szCs w:val="16"/>
        </w:rPr>
        <w:softHyphen/>
        <w:t>душное соединение устарело. Полетные ско</w:t>
      </w:r>
      <w:r w:rsidRPr="00E14102">
        <w:rPr>
          <w:color w:val="000000" w:themeColor="text1"/>
          <w:sz w:val="16"/>
          <w:szCs w:val="16"/>
        </w:rPr>
        <w:softHyphen/>
        <w:t>рости ТБ-3 и И-5 малы и не соответствуют современным требованиям. Нет связи меж</w:t>
      </w:r>
      <w:r w:rsidRPr="00E14102">
        <w:rPr>
          <w:color w:val="000000" w:themeColor="text1"/>
          <w:sz w:val="16"/>
          <w:szCs w:val="16"/>
        </w:rPr>
        <w:softHyphen/>
        <w:t>дубомбардировщиком и истребителями. На</w:t>
      </w:r>
      <w:r w:rsidRPr="00E14102">
        <w:rPr>
          <w:color w:val="000000" w:themeColor="text1"/>
          <w:sz w:val="16"/>
          <w:szCs w:val="16"/>
        </w:rPr>
        <w:softHyphen/>
        <w:t>катка истребителей сверху на крыло неудоб</w:t>
      </w:r>
      <w:r w:rsidRPr="00E14102">
        <w:rPr>
          <w:color w:val="000000" w:themeColor="text1"/>
          <w:sz w:val="16"/>
          <w:szCs w:val="16"/>
        </w:rPr>
        <w:softHyphen/>
        <w:t>на. Для проведения подготовки к полету не</w:t>
      </w:r>
      <w:r w:rsidRPr="00E14102">
        <w:rPr>
          <w:color w:val="000000" w:themeColor="text1"/>
          <w:sz w:val="16"/>
          <w:szCs w:val="16"/>
        </w:rPr>
        <w:softHyphen/>
        <w:t>обходимо не менее 12 человек персонала и 6 часов времени.</w:t>
      </w:r>
    </w:p>
    <w:p w14:paraId="65DADA98" w14:textId="77777777" w:rsidR="003F2AAE" w:rsidRPr="00E14102" w:rsidRDefault="003F2AAE" w:rsidP="00E14102">
      <w:pPr>
        <w:jc w:val="both"/>
        <w:rPr>
          <w:color w:val="000000" w:themeColor="text1"/>
          <w:sz w:val="16"/>
          <w:szCs w:val="16"/>
        </w:rPr>
      </w:pPr>
      <w:r w:rsidRPr="00E14102">
        <w:rPr>
          <w:color w:val="000000" w:themeColor="text1"/>
          <w:sz w:val="16"/>
          <w:szCs w:val="16"/>
        </w:rPr>
        <w:t>Предлагалось создать «самолет-звено» с участием более современных типов самоле</w:t>
      </w:r>
      <w:r w:rsidRPr="00E14102">
        <w:rPr>
          <w:color w:val="000000" w:themeColor="text1"/>
          <w:sz w:val="16"/>
          <w:szCs w:val="16"/>
        </w:rPr>
        <w:softHyphen/>
        <w:t>тов. Подтверждалась необходимость их сроч</w:t>
      </w:r>
      <w:r w:rsidRPr="00E14102">
        <w:rPr>
          <w:color w:val="000000" w:themeColor="text1"/>
          <w:sz w:val="16"/>
          <w:szCs w:val="16"/>
        </w:rPr>
        <w:softHyphen/>
        <w:t>ной постройки с последующими испытания</w:t>
      </w:r>
      <w:r w:rsidRPr="00E14102">
        <w:rPr>
          <w:color w:val="000000" w:themeColor="text1"/>
          <w:sz w:val="16"/>
          <w:szCs w:val="16"/>
        </w:rPr>
        <w:softHyphen/>
        <w:t>ми в НИИ ВВС (12295).</w:t>
      </w:r>
    </w:p>
    <w:p w14:paraId="1800F60D" w14:textId="77777777" w:rsidR="003F2AAE" w:rsidRPr="00E14102" w:rsidRDefault="003F2AAE" w:rsidP="00E14102">
      <w:pPr>
        <w:jc w:val="both"/>
        <w:rPr>
          <w:color w:val="000000" w:themeColor="text1"/>
          <w:sz w:val="16"/>
          <w:szCs w:val="16"/>
        </w:rPr>
      </w:pPr>
    </w:p>
    <w:p w14:paraId="77EC1B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мая 1935 самолет МГ демонстрировали депутатам Моссовета и другим важным лицам. Для них организовали катание в воздухе - машина совершила круг над Центральным аэродромом. Среди почетных гостей оказался известный французский летчик и писатель Антуан де Сент-Экзюпери, вто время - московский корреспондент одной из парижских газет. Позже он написал: "Эти коридоры, этот салон, эти кабины, этот мощный гул восьми моторов, эта внутренняя телефонная связь - все было не похоже на привычную для меня воздушную обстановку" (12024).</w:t>
      </w:r>
    </w:p>
    <w:p w14:paraId="37F08197" w14:textId="77777777" w:rsidR="00D4105E" w:rsidRPr="00E14102" w:rsidRDefault="00D4105E" w:rsidP="00E14102">
      <w:pPr>
        <w:autoSpaceDE w:val="0"/>
        <w:autoSpaceDN w:val="0"/>
        <w:adjustRightInd w:val="0"/>
        <w:jc w:val="both"/>
        <w:rPr>
          <w:color w:val="000000" w:themeColor="text1"/>
          <w:sz w:val="16"/>
          <w:szCs w:val="16"/>
        </w:rPr>
      </w:pPr>
    </w:p>
    <w:p w14:paraId="20A8619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15 мая 1935 после заводских испытаний мотор М-58 мощностью 630 л.с. и высотностью 4000 м был предъявлен на госиспытания с высотностью 4000 м (3419,84)</w:t>
      </w:r>
    </w:p>
    <w:p w14:paraId="76B488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6DC6B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мая 1935 один мотор М-100 с доведением мощности до 860 л.с. смешанной сборки со своим коленвалом, шатунами и вкладышами прошел 52 час. испытание, после чего треснул коленвал и малая шестерня редуктора. 25 мая был постален на испытания второй мотор (3419,84).</w:t>
      </w:r>
    </w:p>
    <w:p w14:paraId="51095CEB" w14:textId="77777777" w:rsidR="00D4105E" w:rsidRPr="00E14102" w:rsidRDefault="00D4105E" w:rsidP="00E14102">
      <w:pPr>
        <w:autoSpaceDE w:val="0"/>
        <w:autoSpaceDN w:val="0"/>
        <w:adjustRightInd w:val="0"/>
        <w:jc w:val="both"/>
        <w:rPr>
          <w:color w:val="000000" w:themeColor="text1"/>
          <w:sz w:val="16"/>
          <w:szCs w:val="16"/>
        </w:rPr>
      </w:pPr>
    </w:p>
    <w:p w14:paraId="6F3E71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мая 1935 в Евпатории начала полеты особая группа, созданная приказом НКО во исполнение постановления СТО от 7 апреля 1935 об определении тактики боевого применения пушечной авиации и отработки правил стрельбы. Группа была в составе звена И-зет, звена р-5 для буксировки конусов и одного ТБ-1 для испытания турельной 37-мм ДРП (2692,7).</w:t>
      </w:r>
    </w:p>
    <w:p w14:paraId="4998C656" w14:textId="77777777" w:rsidR="00D4105E" w:rsidRPr="00E14102" w:rsidRDefault="00D4105E" w:rsidP="00E14102">
      <w:pPr>
        <w:autoSpaceDE w:val="0"/>
        <w:autoSpaceDN w:val="0"/>
        <w:adjustRightInd w:val="0"/>
        <w:jc w:val="both"/>
        <w:rPr>
          <w:color w:val="000000" w:themeColor="text1"/>
          <w:sz w:val="16"/>
          <w:szCs w:val="16"/>
        </w:rPr>
      </w:pPr>
    </w:p>
    <w:p w14:paraId="04FD9D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 15 мая 1935 специальная группа начала полёты на И-Зет в Евпатории. В июне состав группы расширили - к трём истребителям (№№ 13533, 13534 и 13535) добавили ещё шесть машин: №№ 13532, 13536, 13539, 13540, 13541 и 13544. Основной целью испытаний являлось определение живучести планёра И-ЗЕТ и возможных мер продления срока их службы. </w:t>
      </w:r>
    </w:p>
    <w:p w14:paraId="10882E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АПК-4 устанавливались на самолётах под углами 2°30'-3°10'. Стрельбы велись с пикирования,кабрирования,в горизонтальном полёте, одиночными выстрелами и сериями. После 100-150 выстрелов проводился тщательный осмотр конструкции истребителей с заменой, по возможности, их отдельных частей. В среднем из каждой пушки выполнили 240 выстрелов. На машинах наблюдались значительные повреждения: расходились заклёпочные швы, трещали кронштейны хвостового оперения, лопалась полотняная обшивка. Лишь отдельные экземпляры, например, истребитель с заводским №13534, смогли выдержать до 340 - 360 выстрелов. Был сделан вывод, что даже при соответствующих усилениях конструкции срок службы И-ЗЕТ при стрельбе из динамо- реактивных пушек составляет не более 400 выстрелов.</w:t>
      </w:r>
    </w:p>
    <w:p w14:paraId="535D45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ходе всевозможных испытаний и проведения стрельб большую часть серийных "ЗЕТов" постепенно довели до экземпляры. К тому времени работы по нелётного состояния. В начале 1936 г. ДРП практически свернули, и использование этих истребителей прекратилось (12005).</w:t>
      </w:r>
    </w:p>
    <w:p w14:paraId="3C3F55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Основные характерисгики истребителя И-ЗЕТ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E3599D" w:rsidRPr="00E14102" w14:paraId="6A98B0E0" w14:textId="77777777">
        <w:tc>
          <w:tcPr>
            <w:tcW w:w="5605" w:type="dxa"/>
            <w:tcBorders>
              <w:top w:val="single" w:sz="12" w:space="0" w:color="auto"/>
            </w:tcBorders>
          </w:tcPr>
          <w:p w14:paraId="64C7A1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в линии полёта, м</w:t>
            </w:r>
          </w:p>
        </w:tc>
        <w:tc>
          <w:tcPr>
            <w:tcW w:w="5605" w:type="dxa"/>
            <w:tcBorders>
              <w:top w:val="single" w:sz="12" w:space="0" w:color="auto"/>
            </w:tcBorders>
          </w:tcPr>
          <w:p w14:paraId="599CAC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7,645</w:t>
            </w:r>
          </w:p>
        </w:tc>
      </w:tr>
      <w:tr w:rsidR="00E3599D" w:rsidRPr="00E14102" w14:paraId="4C3B5E87" w14:textId="77777777">
        <w:tc>
          <w:tcPr>
            <w:tcW w:w="5605" w:type="dxa"/>
          </w:tcPr>
          <w:p w14:paraId="7EC667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крыла, м</w:t>
            </w:r>
          </w:p>
        </w:tc>
        <w:tc>
          <w:tcPr>
            <w:tcW w:w="5605" w:type="dxa"/>
          </w:tcPr>
          <w:p w14:paraId="1C74E9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w:t>
            </w:r>
          </w:p>
        </w:tc>
      </w:tr>
      <w:tr w:rsidR="00E3599D" w:rsidRPr="00E14102" w14:paraId="67F92F0F" w14:textId="77777777">
        <w:tc>
          <w:tcPr>
            <w:tcW w:w="5605" w:type="dxa"/>
          </w:tcPr>
          <w:p w14:paraId="1CA64C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крыла, м2</w:t>
            </w:r>
          </w:p>
        </w:tc>
        <w:tc>
          <w:tcPr>
            <w:tcW w:w="5605" w:type="dxa"/>
          </w:tcPr>
          <w:p w14:paraId="32C5C3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19,6</w:t>
            </w:r>
          </w:p>
        </w:tc>
      </w:tr>
      <w:tr w:rsidR="00E3599D" w:rsidRPr="00E14102" w14:paraId="3260CF9F" w14:textId="77777777">
        <w:tc>
          <w:tcPr>
            <w:tcW w:w="5605" w:type="dxa"/>
          </w:tcPr>
          <w:p w14:paraId="5D8F50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пустого, кг</w:t>
            </w:r>
          </w:p>
        </w:tc>
        <w:tc>
          <w:tcPr>
            <w:tcW w:w="5605" w:type="dxa"/>
          </w:tcPr>
          <w:p w14:paraId="5E1DA5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1320</w:t>
            </w:r>
          </w:p>
        </w:tc>
      </w:tr>
      <w:tr w:rsidR="00E3599D" w:rsidRPr="00E14102" w14:paraId="06A9D7DC" w14:textId="77777777">
        <w:tc>
          <w:tcPr>
            <w:tcW w:w="5605" w:type="dxa"/>
          </w:tcPr>
          <w:p w14:paraId="4709CB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Полётный вес, кг</w:t>
            </w:r>
          </w:p>
        </w:tc>
        <w:tc>
          <w:tcPr>
            <w:tcW w:w="5605" w:type="dxa"/>
          </w:tcPr>
          <w:p w14:paraId="5DE3C9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1648</w:t>
            </w:r>
          </w:p>
        </w:tc>
      </w:tr>
      <w:tr w:rsidR="00E3599D" w:rsidRPr="00E14102" w14:paraId="5F441C4D" w14:textId="77777777">
        <w:tc>
          <w:tcPr>
            <w:tcW w:w="5605" w:type="dxa"/>
          </w:tcPr>
          <w:p w14:paraId="3CCAC6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км/ч:</w:t>
            </w:r>
          </w:p>
        </w:tc>
        <w:tc>
          <w:tcPr>
            <w:tcW w:w="5605" w:type="dxa"/>
          </w:tcPr>
          <w:p w14:paraId="4A3B47F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0821AE1" w14:textId="77777777">
        <w:tc>
          <w:tcPr>
            <w:tcW w:w="5605" w:type="dxa"/>
          </w:tcPr>
          <w:p w14:paraId="52FEAC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земли</w:t>
            </w:r>
          </w:p>
        </w:tc>
        <w:tc>
          <w:tcPr>
            <w:tcW w:w="5605" w:type="dxa"/>
          </w:tcPr>
          <w:p w14:paraId="0F385E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258</w:t>
            </w:r>
          </w:p>
        </w:tc>
      </w:tr>
      <w:tr w:rsidR="00E3599D" w:rsidRPr="00E14102" w14:paraId="269B08DD" w14:textId="77777777">
        <w:tc>
          <w:tcPr>
            <w:tcW w:w="5605" w:type="dxa"/>
          </w:tcPr>
          <w:p w14:paraId="1A4DC9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высоте 3000 м</w:t>
            </w:r>
          </w:p>
        </w:tc>
        <w:tc>
          <w:tcPr>
            <w:tcW w:w="5605" w:type="dxa"/>
          </w:tcPr>
          <w:p w14:paraId="3529FB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248</w:t>
            </w:r>
          </w:p>
        </w:tc>
      </w:tr>
      <w:tr w:rsidR="00E3599D" w:rsidRPr="00E14102" w14:paraId="277C311F" w14:textId="77777777">
        <w:tc>
          <w:tcPr>
            <w:tcW w:w="5605" w:type="dxa"/>
          </w:tcPr>
          <w:p w14:paraId="24AFCB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высоте 5000 м</w:t>
            </w:r>
          </w:p>
        </w:tc>
        <w:tc>
          <w:tcPr>
            <w:tcW w:w="5605" w:type="dxa"/>
          </w:tcPr>
          <w:p w14:paraId="071E10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239</w:t>
            </w:r>
          </w:p>
        </w:tc>
      </w:tr>
      <w:tr w:rsidR="00E3599D" w:rsidRPr="00E14102" w14:paraId="0878F1DF" w14:textId="77777777">
        <w:tc>
          <w:tcPr>
            <w:tcW w:w="5605" w:type="dxa"/>
          </w:tcPr>
          <w:p w14:paraId="62754C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Практический потолок, м</w:t>
            </w:r>
          </w:p>
        </w:tc>
        <w:tc>
          <w:tcPr>
            <w:tcW w:w="5605" w:type="dxa"/>
          </w:tcPr>
          <w:p w14:paraId="48FF62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7000</w:t>
            </w:r>
          </w:p>
        </w:tc>
      </w:tr>
      <w:tr w:rsidR="00E3599D" w:rsidRPr="00E14102" w14:paraId="37424326" w14:textId="77777777">
        <w:tc>
          <w:tcPr>
            <w:tcW w:w="5605" w:type="dxa"/>
          </w:tcPr>
          <w:p w14:paraId="22E3B0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виража на 1000 м, с</w:t>
            </w:r>
          </w:p>
        </w:tc>
        <w:tc>
          <w:tcPr>
            <w:tcW w:w="5605" w:type="dxa"/>
          </w:tcPr>
          <w:p w14:paraId="1405A2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16,8</w:t>
            </w:r>
          </w:p>
        </w:tc>
      </w:tr>
      <w:tr w:rsidR="00E3599D" w:rsidRPr="00E14102" w14:paraId="04CA54FF" w14:textId="77777777">
        <w:tc>
          <w:tcPr>
            <w:tcW w:w="5605" w:type="dxa"/>
          </w:tcPr>
          <w:p w14:paraId="0416CB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Длина/время разбега, м/с</w:t>
            </w:r>
          </w:p>
        </w:tc>
        <w:tc>
          <w:tcPr>
            <w:tcW w:w="5605" w:type="dxa"/>
          </w:tcPr>
          <w:p w14:paraId="798F2D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110/8,2</w:t>
            </w:r>
          </w:p>
        </w:tc>
      </w:tr>
      <w:tr w:rsidR="00E3599D" w:rsidRPr="00E14102" w14:paraId="700D8B43" w14:textId="77777777">
        <w:tc>
          <w:tcPr>
            <w:tcW w:w="5605" w:type="dxa"/>
            <w:tcBorders>
              <w:bottom w:val="single" w:sz="12" w:space="0" w:color="auto"/>
            </w:tcBorders>
          </w:tcPr>
          <w:p w14:paraId="612B62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Длина/время пробега, м/с</w:t>
            </w:r>
          </w:p>
        </w:tc>
        <w:tc>
          <w:tcPr>
            <w:tcW w:w="5605" w:type="dxa"/>
            <w:tcBorders>
              <w:bottom w:val="single" w:sz="12" w:space="0" w:color="auto"/>
            </w:tcBorders>
          </w:tcPr>
          <w:p w14:paraId="587733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180/15,2</w:t>
            </w:r>
          </w:p>
        </w:tc>
      </w:tr>
    </w:tbl>
    <w:p w14:paraId="52A46B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(12005)</w:t>
      </w:r>
    </w:p>
    <w:p w14:paraId="08B6FF4A" w14:textId="77777777" w:rsidR="00D4105E" w:rsidRPr="00E14102" w:rsidRDefault="00D4105E" w:rsidP="00E14102">
      <w:pPr>
        <w:autoSpaceDE w:val="0"/>
        <w:autoSpaceDN w:val="0"/>
        <w:adjustRightInd w:val="0"/>
        <w:jc w:val="both"/>
        <w:rPr>
          <w:color w:val="000000" w:themeColor="text1"/>
          <w:sz w:val="16"/>
          <w:szCs w:val="16"/>
        </w:rPr>
      </w:pPr>
    </w:p>
    <w:p w14:paraId="6F6C78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мая 1935 В.И.Харахоновым был выполнен первый ночной прыжок с парашютом со штопорящего самолета (237,174).</w:t>
      </w:r>
    </w:p>
    <w:p w14:paraId="2F47419A" w14:textId="77777777" w:rsidR="00D4105E" w:rsidRPr="00E14102" w:rsidRDefault="00D4105E" w:rsidP="00E14102">
      <w:pPr>
        <w:autoSpaceDE w:val="0"/>
        <w:autoSpaceDN w:val="0"/>
        <w:adjustRightInd w:val="0"/>
        <w:jc w:val="both"/>
        <w:rPr>
          <w:color w:val="000000" w:themeColor="text1"/>
          <w:sz w:val="16"/>
          <w:szCs w:val="16"/>
        </w:rPr>
      </w:pPr>
    </w:p>
    <w:p w14:paraId="5BAC7C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мая 1935 на лл С-55 Савойя была открыта линия Хабаровск - Оха. С-55 без ангарного хранения прослужили не долго и к концу 30 были списаны (1834,18).</w:t>
      </w:r>
    </w:p>
    <w:p w14:paraId="0332EB44" w14:textId="77777777" w:rsidR="00D4105E" w:rsidRPr="00E14102" w:rsidRDefault="00D4105E" w:rsidP="00E14102">
      <w:pPr>
        <w:autoSpaceDE w:val="0"/>
        <w:autoSpaceDN w:val="0"/>
        <w:adjustRightInd w:val="0"/>
        <w:jc w:val="both"/>
        <w:rPr>
          <w:color w:val="000000" w:themeColor="text1"/>
          <w:sz w:val="16"/>
          <w:szCs w:val="16"/>
        </w:rPr>
      </w:pPr>
    </w:p>
    <w:p w14:paraId="53785277" w14:textId="77777777" w:rsidR="0080041B" w:rsidRPr="00E14102" w:rsidRDefault="0080041B" w:rsidP="00E14102">
      <w:pPr>
        <w:jc w:val="both"/>
        <w:rPr>
          <w:color w:val="000000" w:themeColor="text1"/>
          <w:sz w:val="16"/>
          <w:szCs w:val="16"/>
        </w:rPr>
      </w:pPr>
      <w:r w:rsidRPr="00E14102">
        <w:rPr>
          <w:color w:val="000000" w:themeColor="text1"/>
          <w:sz w:val="16"/>
          <w:szCs w:val="16"/>
        </w:rPr>
        <w:t xml:space="preserve">15 мая в 1935 году открыта линии Хабаровск - Оха на итальянских летающих лодках </w:t>
      </w:r>
      <w:hyperlink r:id="rId102" w:tgtFrame="_blank" w:history="1">
        <w:r w:rsidRPr="00E14102">
          <w:rPr>
            <w:color w:val="000000" w:themeColor="text1"/>
            <w:sz w:val="16"/>
            <w:szCs w:val="16"/>
          </w:rPr>
          <w:t xml:space="preserve">«Savoia-Marchetti» «S.55». </w:t>
        </w:r>
      </w:hyperlink>
      <w:r w:rsidRPr="00E14102">
        <w:rPr>
          <w:color w:val="000000" w:themeColor="text1"/>
          <w:sz w:val="16"/>
          <w:szCs w:val="16"/>
        </w:rPr>
        <w:t>Только один прибывавший из Италии самолет имел радио Впоследствии все "Савойи" были оснащены отечественными радиостанциями. Все «S.55» Дальневосточного управления ГВФ списали к концу 1930-х годов - деревянная конструкция требовала ангарного хранения, не всегда возможного в тогдашних условиях (14892).</w:t>
      </w:r>
    </w:p>
    <w:p w14:paraId="4A007301" w14:textId="77777777" w:rsidR="0080041B" w:rsidRPr="00E14102" w:rsidRDefault="0080041B" w:rsidP="00E14102">
      <w:pPr>
        <w:jc w:val="both"/>
        <w:rPr>
          <w:color w:val="000000" w:themeColor="text1"/>
          <w:sz w:val="16"/>
          <w:szCs w:val="16"/>
        </w:rPr>
      </w:pPr>
    </w:p>
    <w:p w14:paraId="0E48BA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мая по случаю прибытия французского министра иностранных дел в Монино был воздушный парад. Эскадрилья Р-6 изобразила RF. Пятерка истребителей (Коккинаки, Супрун, Шевченко, Евсеев и Преман) и десант 24 парашютистов с ТБ-3 (АНТ-6). Н.А.Амитаев спустился с цветами и преподнес дочери Лаваля (438,684).</w:t>
      </w:r>
    </w:p>
    <w:p w14:paraId="172EDD2A" w14:textId="77777777" w:rsidR="00D4105E" w:rsidRPr="00E14102" w:rsidRDefault="00D4105E" w:rsidP="00E14102">
      <w:pPr>
        <w:autoSpaceDE w:val="0"/>
        <w:autoSpaceDN w:val="0"/>
        <w:adjustRightInd w:val="0"/>
        <w:jc w:val="both"/>
        <w:rPr>
          <w:color w:val="000000" w:themeColor="text1"/>
          <w:sz w:val="16"/>
          <w:szCs w:val="16"/>
        </w:rPr>
      </w:pPr>
    </w:p>
    <w:p w14:paraId="6EAB53F1" w14:textId="77777777" w:rsidR="001253F3" w:rsidRPr="00E14102" w:rsidRDefault="001253F3" w:rsidP="00E14102">
      <w:pPr>
        <w:jc w:val="both"/>
        <w:rPr>
          <w:color w:val="0070C0"/>
          <w:sz w:val="16"/>
          <w:szCs w:val="16"/>
        </w:rPr>
      </w:pPr>
      <w:r w:rsidRPr="00E14102">
        <w:rPr>
          <w:color w:val="0070C0"/>
          <w:sz w:val="16"/>
          <w:szCs w:val="16"/>
        </w:rPr>
        <w:t>15 мая 1935 г. члены французской де</w:t>
      </w:r>
      <w:r w:rsidRPr="00E14102">
        <w:rPr>
          <w:color w:val="0070C0"/>
          <w:sz w:val="16"/>
          <w:szCs w:val="16"/>
        </w:rPr>
        <w:softHyphen/>
        <w:t>легации во главе с г-ном Лавалем прибы</w:t>
      </w:r>
      <w:r w:rsidRPr="00E14102">
        <w:rPr>
          <w:color w:val="0070C0"/>
          <w:sz w:val="16"/>
          <w:szCs w:val="16"/>
        </w:rPr>
        <w:softHyphen/>
        <w:t>ли на Центральный аэродром. С самоле</w:t>
      </w:r>
      <w:r w:rsidRPr="00E14102">
        <w:rPr>
          <w:color w:val="0070C0"/>
          <w:sz w:val="16"/>
          <w:szCs w:val="16"/>
        </w:rPr>
        <w:softHyphen/>
        <w:t>том «МГ» их знакомили Туполев и Харла</w:t>
      </w:r>
      <w:r w:rsidRPr="00E14102">
        <w:rPr>
          <w:color w:val="0070C0"/>
          <w:sz w:val="16"/>
          <w:szCs w:val="16"/>
        </w:rPr>
        <w:softHyphen/>
        <w:t>мов. Предстоял полет над городом. Главе делегации предложили принять в нем участие. Не располагая временем — пред</w:t>
      </w:r>
      <w:r w:rsidRPr="00E14102">
        <w:rPr>
          <w:color w:val="0070C0"/>
          <w:sz w:val="16"/>
          <w:szCs w:val="16"/>
        </w:rPr>
        <w:softHyphen/>
        <w:t>стояла встреча в Моссовете. - он попро</w:t>
      </w:r>
      <w:r w:rsidRPr="00E14102">
        <w:rPr>
          <w:color w:val="0070C0"/>
          <w:sz w:val="16"/>
          <w:szCs w:val="16"/>
        </w:rPr>
        <w:softHyphen/>
        <w:t>сил предоставить такую возможность члену делегации, журналисту Антуану де Сент-Экзюпери. Конечно, разрешение было получено. Так вспоминал об этом событии участник полета, борт-радист «МГ» Л.Л. Хургес: «Сент-Экзюпери про</w:t>
      </w:r>
      <w:r w:rsidRPr="00E14102">
        <w:rPr>
          <w:color w:val="0070C0"/>
          <w:sz w:val="16"/>
          <w:szCs w:val="16"/>
        </w:rPr>
        <w:softHyphen/>
        <w:t>шелся по самолету, внимательно ко всему приглядываясь, и устроился в радиорубке, откуда был очень удобный обзор. По зада</w:t>
      </w:r>
      <w:r w:rsidRPr="00E14102">
        <w:rPr>
          <w:color w:val="0070C0"/>
          <w:sz w:val="16"/>
          <w:szCs w:val="16"/>
        </w:rPr>
        <w:softHyphen/>
        <w:t>нию нам предстояло пролететь над Моссо</w:t>
      </w:r>
      <w:r w:rsidRPr="00E14102">
        <w:rPr>
          <w:color w:val="0070C0"/>
          <w:sz w:val="16"/>
          <w:szCs w:val="16"/>
        </w:rPr>
        <w:softHyphen/>
        <w:t>ветом. причем, пролетая в один конец, я должен был пустить через мощную радио- установку самолета пластинку «Марсель</w:t>
      </w:r>
      <w:r w:rsidRPr="00E14102">
        <w:rPr>
          <w:color w:val="0070C0"/>
          <w:sz w:val="16"/>
          <w:szCs w:val="16"/>
        </w:rPr>
        <w:softHyphen/>
        <w:t>езы», а на обратном пути — «Интернацио</w:t>
      </w:r>
      <w:r w:rsidRPr="00E14102">
        <w:rPr>
          <w:color w:val="0070C0"/>
          <w:sz w:val="16"/>
          <w:szCs w:val="16"/>
        </w:rPr>
        <w:softHyphen/>
        <w:t>нал». Но в нашей фонотеке «Марсельезы» не оказалось, разыскивать ее было слишком долго, и. согласовав с начальством, мы по</w:t>
      </w:r>
      <w:r w:rsidRPr="00E14102">
        <w:rPr>
          <w:color w:val="0070C0"/>
          <w:sz w:val="16"/>
          <w:szCs w:val="16"/>
        </w:rPr>
        <w:softHyphen/>
        <w:t>ставили авиационный марш «Все выше, вы</w:t>
      </w:r>
      <w:r w:rsidRPr="00E14102">
        <w:rPr>
          <w:color w:val="0070C0"/>
          <w:sz w:val="16"/>
          <w:szCs w:val="16"/>
        </w:rPr>
        <w:softHyphen/>
        <w:t>ше и выше». Пролетев над Моссоветом и сделав круг над городом, мы возвратились на аэродром. Было известно, что после приема правительственной комиссией мы собирались вылететь в Париж, чтобы при</w:t>
      </w:r>
      <w:r w:rsidRPr="00E14102">
        <w:rPr>
          <w:color w:val="0070C0"/>
          <w:sz w:val="16"/>
          <w:szCs w:val="16"/>
        </w:rPr>
        <w:softHyphen/>
        <w:t>нять участие в авиационном салоне. Узнав об этом. Сент-Экзюпери протянул Хургесу свою визитную карточку со словами: «При</w:t>
      </w:r>
      <w:r w:rsidRPr="00E14102">
        <w:rPr>
          <w:color w:val="0070C0"/>
          <w:sz w:val="16"/>
          <w:szCs w:val="16"/>
        </w:rPr>
        <w:softHyphen/>
        <w:t>едете в Париж — будете самым дорогим моим гостем». Сент-Экзюпери был един</w:t>
      </w:r>
      <w:r w:rsidRPr="00E14102">
        <w:rPr>
          <w:color w:val="0070C0"/>
          <w:sz w:val="16"/>
          <w:szCs w:val="16"/>
        </w:rPr>
        <w:softHyphen/>
        <w:t>ственным иностранным пассажиром, ле</w:t>
      </w:r>
      <w:r w:rsidRPr="00E14102">
        <w:rPr>
          <w:color w:val="0070C0"/>
          <w:sz w:val="16"/>
          <w:szCs w:val="16"/>
        </w:rPr>
        <w:softHyphen/>
        <w:t>тавшим на «Максиме Горьком» (21240).</w:t>
      </w:r>
    </w:p>
    <w:p w14:paraId="3DC03000" w14:textId="77777777" w:rsidR="001253F3" w:rsidRPr="00E14102" w:rsidRDefault="001253F3" w:rsidP="00E14102">
      <w:pPr>
        <w:jc w:val="both"/>
        <w:rPr>
          <w:color w:val="0070C0"/>
          <w:sz w:val="16"/>
          <w:szCs w:val="16"/>
        </w:rPr>
      </w:pPr>
    </w:p>
    <w:p w14:paraId="7BE744F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24D6DC0" w14:textId="77777777" w:rsidR="00D4105E" w:rsidRPr="00E14102" w:rsidRDefault="00D4105E" w:rsidP="00E14102">
      <w:pPr>
        <w:autoSpaceDE w:val="0"/>
        <w:autoSpaceDN w:val="0"/>
        <w:adjustRightInd w:val="0"/>
        <w:jc w:val="both"/>
        <w:rPr>
          <w:iCs/>
          <w:color w:val="000000" w:themeColor="text1"/>
          <w:sz w:val="16"/>
          <w:szCs w:val="16"/>
        </w:rPr>
      </w:pPr>
    </w:p>
    <w:p w14:paraId="1F785D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мая 1935 года в ЦК ВКП(б) состоялось совещание директоров тракторных заводов, на котором обсуждалось положение дел с разработкой гусеничного трактора и возможные сроки перевода сталинградского и харьковского заводов на производство единой для обоих заводов машины. Совещание решило, что в двухмесячный срок заводы должны представить свои образцы на сравнительные испытания, после чего лучший из них будет поставлен на поток. 16 июля на опытном поле НАТИ руководители партии и правительства осматривали новые машины. Из Сталинграда прибыли сельскохозяйственный и транспортный варианты дизельного трактора СТЗ-НАТИ, из Харькова — модернизированный В-30/40 с дизелем и ГТ-35/50 — точная копия трактора «Мак Кормик», дизель которого заменили керосиновым двигателем (11418).</w:t>
      </w:r>
    </w:p>
    <w:p w14:paraId="67ABCAB7" w14:textId="77777777" w:rsidR="00D4105E" w:rsidRPr="00E14102" w:rsidRDefault="00D4105E" w:rsidP="00E14102">
      <w:pPr>
        <w:autoSpaceDE w:val="0"/>
        <w:autoSpaceDN w:val="0"/>
        <w:adjustRightInd w:val="0"/>
        <w:jc w:val="both"/>
        <w:rPr>
          <w:color w:val="000000" w:themeColor="text1"/>
          <w:sz w:val="16"/>
          <w:szCs w:val="16"/>
        </w:rPr>
      </w:pPr>
    </w:p>
    <w:p w14:paraId="448CAC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15 мая 1935 г. приказом № 593 по НКТП было утверждено положение о КМРС. В круг задач этого объединения было включено: - проектирование мощных радиоцентров и мощных радиостанций; - производство научно-исследовательских работ в области мощного ра диостроительства; - производство радиооборудования различного назначения; - производство работ по гражданскому и специальному строительству и монтажу мощных радиоцентров и мощных радиостанций (ЦГА СПб., ф. 945, оп. 6, д. 16, л. 1.). Реализуя установку руководства РККА на создание средств третьей сис темы радиовооружения, в 1936 г. Комбинат освоил серийный выпуск радио станции РАТ. Эта станция сыграла важную роль в годы Великой Отечествен ной войны. Задуманная как аэродромная радиостанция для связи с бомбарди ровочной авиацией, в годы война она стала единственным средством обеспе чения радиосвязи Генерального штаба с фронтами. По оценке членов комиссии, обследовавших по решению Ленинградского обкома ВКП (б) завод им. Коминтерна в феврале 1937 г., передатчик радиостанции РАТ характеризовал ся высоким техническим качеством и стоял на уровне лучших заграничных образцов. Приемник же хотя и отставал от иностранных образцов, но является лучшим из отечественных специальных приемников (ЦГАИПД СПб., ф. 24, оп. 13, д. 802, л. 3.). Разработка этой станции началась еще в 1932 г. в ЦРЛ-ОРПУ. Велась разработка под общим руководством Г.А. Зейтленка. Передающая аппаратура разрабатывалась в Отделе передатчиков коротких и ультракоротких волн Е.И.Каменским, Г.С. Ханевским, М.С. Токачировым. Приемная аппаратура и радиобюро разрабатывались в лаборатории приемников А.П. Сиверсом и Ф.Я.Заборщиковым, антенная система – И.М. Рущуком в лаборатории антенных устройств, силовое оборудование (высоковольтный генератор и бензодвига тель) – на ленинградском заводе «Электрик» (Центральная радиолаборатория в Ленинграде / Под ред. И.В. Бренева. М., 1973. С. 157.). Первый опытной образец станции РАТ был изготовлен в ОРПУ в 1935 г. В период с ноября 1935 по март 1936 г. в НИИС РККА прошли ее полигонные испытания. Станция показала надежную и уверенную работу, при этом даль ность ее действия в телефонном режиме составила 1000 км, а в телеграфном – до 6000 км (Архив ВИМАИВиВС, ф. 61р, оп. 2, д. 8, л. 13.). Аппаратура станции монтировалась в трех автомобилях: в одном ЗИС-6 размещалась силовая часть, а в двух машинах ЗИС-5 - передатчик и ра диобюро с приемниками. В начале 1936 г. между представителями заказчика (УС РККА) и КМРС были согласованы окончательные ТТТ на радиостанцию РАТ, а 29 февраля того же года заключен договор между УСКА и заводом се рийного производства радиопродукции им. Коминтерна на изготовлении в те чение 1936 г. 12 комплектов этих станций на общую сумму </w:t>
      </w:r>
      <w:r w:rsidRPr="00E14102">
        <w:rPr>
          <w:color w:val="000000" w:themeColor="text1"/>
          <w:sz w:val="16"/>
          <w:szCs w:val="16"/>
        </w:rPr>
        <w:lastRenderedPageBreak/>
        <w:t>5648000 руб. (ЦГА СПб., ф. 945, оп. 3, д. 238, л. 46.) Выполнение этого заказа протекало в напряженных условиях. С одной стороны отмечалось чрезвычайное внимание, которое было уделено изготов лению радиостанций РАТ высшими партийными и государственными органа ми страны. В докладе Комитета партийного контроля при ЦК ВКП (б) на имя И.В. Сталина отмечалась насущная потребность в форсировании работ по данным станциям, а сам ход выполнения заказа контролировался лично нар комом обороны К.Е. Ворошиловым (ЦГА СПб., ф. 945, оп. 3, д. 238, л. 68.). С другой стороны, завод им. Коминтерна при производстве первой се рийной партии РАТ столкнулся с серьезными трудностями. Директор предпри ятия Б.И. Шульман в своих обращениях во всевозможные инстанции отмечал крайнюю недисциплинированность многочисленных смежников при поставках необходимых для изготовления радиостанций узлов, агрегатов, комплектую щих. Это ленинградские заводы «Электрик», «Электросила», «Севкабель», им. Козицкого, 2-я слюдяная фабрика, московский завод им. Орджоникидзе, Яро славский завод электротехники и другие. Вместе с тем, имели место и сущест венные недостатки организационного характера, о чем весьма откровенно док ладывал главный инженер КМРС А.Л. Минц в своей записке на имя инспектора Ленинградского горкома ВКП (б) в феврале 1937 г. (ЦГА СПб., ф. 945, оп. 3, д. 287, л. 184.). По словам Минца, были допущены просчеты в работе Планового отдела завода, из-за чего с опозданием был налажен процесс снабжения производства всем необходимым. Главный инженер завода был фактически отстранен от руководства процессом произ водства, занимаясь только работами лаборатории и конструкторского бюро. С самой отрицательной стороны сказались местнические настроения руководства завода: специалисты ОРПУ не были своевременно допущены к работам по ре гулировке радиостанций, и только когда в ноябре 1936 г. сложилась критиче ская обстановка со сдачей изделий, директор завода допустил их к этим рабо там. Согласно первоначальному графику работ, предусматривалось изготовить два головных образца станций, чтобы по ним произвести окончательную вы верку чертежей для монтажа аппаратуры в автомобили. Однако из-за угрозы срыва выполнения всего заказа в последствии пришлось отказаться от такого разумного подхода: в последнем квартале 1936 г. был осуществлен выпуск всех двенадцати радиостанций одновременно. В результате переговоров между ру ководством завода им. Коминтерна и представителями УС РККА было достигнуто компромиссное соглашение. Заказчик 28 декабря 1936 г. согласился при нять все двенадцать радиостанций, несмотря на имеющиеся в них недостатки и неполную комплектность. Завод, со своей стороны, обязался в течение первого квартала 1937 г. устранить все недостатки, а также провести непредусмотрен ные договором ходовые испытания всех радиостанций и обучение личного со става силами своих специалистов (ЦГА СПб., ф. 945, оп. 3, д. 238, л. 176.). Производственная программа 1937 г. предусматривала выпуск двена дцати станций РАТ для НКО, пять – для НКС, а также еще трех станций без монтажа их в автомобили (ЦГА СПб., ф. 945, оп. 3, д. 292, л. 159.). В ОРПУ в 1935-1936 гг. продолжалось наращивание объема научно исследовательских работ в интересах радиовооружения РККА. Для этих целей в составе лаборатории был создан отдел специальных разработок (ОСР). Ос новными заказами НКО, которые выполнялись в лаборатории в эти годы, бы ли: - два образца вагонных радиостанций для штаба фронта «РОМБ» (вы пуск этих станций был осуществлен в 1937 г.); - три комплекта 15кВт аэродромных радиомаяков дальнего действия «РАМА» для целей авианавигации; - образец радиомаяка «НОЧЬ» для целей авианавигации в неблагопри ятных погодных условиях; - лабораторные разработки радиомаяка «КРАМ» в УКВ диапазоне; - образец радиопередатчика «ДЕНЬ», предназначенного для создания помех радиосредствам противника, установленным на военной технике (само летах, танках и т.п.); - три образца стационарных и одна автомобильная станции для создания помех радиосредствам противника (ПОДЭК, РРМ); - образец аппаратуры СЭТ-П для зашифровывания и автоматического расшифровывания радиотелефонных переговоров (опытная эксплуатация этой аппаратуры осуществлялась на линиях связи НКВД); разработка радиомаяков для ВМФ типа «АВТОЛ» и «ГОРИЗОНТ» для проводки кораблей по узким фарватерам в неблагоприятных погодных усло виях и для определения местоположения судна в море; - разработка образца станции «ЭКСТРА» для подавления иностранных радиовещательных станций (практическая эксплуатация началась уже в 1936 г. на Дальнем Востоке); - разработка аппаратуры для двух систем слепой посадки самолетов СОП-1 и СОП-2 (ЦГА СПб., ф. 945, оп. 3, д. 287, л. 166.). КМРС, как в свое время и ЦРЛ-З, оказался неустойчивой структурой. Дезинтеграционные и центробежные процессы начались в нем уже в 1936 г. (11870).</w:t>
      </w:r>
    </w:p>
    <w:p w14:paraId="63BA7C9B" w14:textId="77777777" w:rsidR="00D4105E" w:rsidRPr="00E14102" w:rsidRDefault="00D4105E" w:rsidP="00E14102">
      <w:pPr>
        <w:autoSpaceDE w:val="0"/>
        <w:autoSpaceDN w:val="0"/>
        <w:adjustRightInd w:val="0"/>
        <w:jc w:val="both"/>
        <w:rPr>
          <w:color w:val="000000" w:themeColor="text1"/>
          <w:sz w:val="16"/>
          <w:szCs w:val="16"/>
        </w:rPr>
      </w:pPr>
    </w:p>
    <w:p w14:paraId="044B2B77" w14:textId="77777777" w:rsidR="00F261A0" w:rsidRPr="00E14102" w:rsidRDefault="00F261A0" w:rsidP="00E14102">
      <w:pPr>
        <w:jc w:val="both"/>
        <w:rPr>
          <w:color w:val="000000" w:themeColor="text1"/>
          <w:sz w:val="16"/>
          <w:szCs w:val="16"/>
        </w:rPr>
      </w:pPr>
      <w:r w:rsidRPr="00E14102">
        <w:rPr>
          <w:color w:val="000000" w:themeColor="text1"/>
          <w:sz w:val="16"/>
          <w:szCs w:val="16"/>
        </w:rPr>
        <w:t>15 мая 1935 г. приказом № 593 по НКТП было утверждено положение о КМРС. В круг задач этого объединения было включено:</w:t>
      </w:r>
    </w:p>
    <w:p w14:paraId="52CF2FF3" w14:textId="77777777" w:rsidR="00F261A0" w:rsidRPr="00E14102" w:rsidRDefault="00F261A0" w:rsidP="00E14102">
      <w:pPr>
        <w:tabs>
          <w:tab w:val="left" w:pos="894"/>
        </w:tabs>
        <w:jc w:val="both"/>
        <w:rPr>
          <w:color w:val="000000" w:themeColor="text1"/>
          <w:sz w:val="16"/>
          <w:szCs w:val="16"/>
        </w:rPr>
      </w:pPr>
      <w:r w:rsidRPr="00E14102">
        <w:rPr>
          <w:color w:val="000000" w:themeColor="text1"/>
          <w:sz w:val="16"/>
          <w:szCs w:val="16"/>
        </w:rPr>
        <w:t>- проектирование мощных радиоцентров и мощных радиостанций;</w:t>
      </w:r>
    </w:p>
    <w:p w14:paraId="716F4E32" w14:textId="77777777" w:rsidR="00F261A0" w:rsidRPr="00E14102" w:rsidRDefault="00F261A0" w:rsidP="00E14102">
      <w:pPr>
        <w:tabs>
          <w:tab w:val="left" w:pos="918"/>
        </w:tabs>
        <w:jc w:val="both"/>
        <w:rPr>
          <w:color w:val="000000" w:themeColor="text1"/>
          <w:sz w:val="16"/>
          <w:szCs w:val="16"/>
        </w:rPr>
      </w:pPr>
      <w:r w:rsidRPr="00E14102">
        <w:rPr>
          <w:color w:val="000000" w:themeColor="text1"/>
          <w:sz w:val="16"/>
          <w:szCs w:val="16"/>
        </w:rPr>
        <w:t>- производство научно-исследовательских работ в области мощного ра</w:t>
      </w:r>
      <w:r w:rsidRPr="00E14102">
        <w:rPr>
          <w:color w:val="000000" w:themeColor="text1"/>
          <w:sz w:val="16"/>
          <w:szCs w:val="16"/>
        </w:rPr>
        <w:softHyphen/>
        <w:t>диостроительства;</w:t>
      </w:r>
    </w:p>
    <w:p w14:paraId="5617DAF6" w14:textId="77777777" w:rsidR="00F261A0" w:rsidRPr="00E14102" w:rsidRDefault="00F261A0" w:rsidP="00E14102">
      <w:pPr>
        <w:tabs>
          <w:tab w:val="left" w:pos="894"/>
        </w:tabs>
        <w:jc w:val="both"/>
        <w:rPr>
          <w:color w:val="000000" w:themeColor="text1"/>
          <w:sz w:val="16"/>
          <w:szCs w:val="16"/>
        </w:rPr>
      </w:pPr>
      <w:r w:rsidRPr="00E14102">
        <w:rPr>
          <w:color w:val="000000" w:themeColor="text1"/>
          <w:sz w:val="16"/>
          <w:szCs w:val="16"/>
        </w:rPr>
        <w:t>- производство радиооборудования различного назначения;</w:t>
      </w:r>
    </w:p>
    <w:p w14:paraId="6C37E083" w14:textId="77777777" w:rsidR="00F261A0" w:rsidRPr="00E14102" w:rsidRDefault="00F261A0" w:rsidP="00E14102">
      <w:pPr>
        <w:tabs>
          <w:tab w:val="left" w:pos="903"/>
        </w:tabs>
        <w:jc w:val="both"/>
        <w:rPr>
          <w:color w:val="000000" w:themeColor="text1"/>
          <w:sz w:val="16"/>
          <w:szCs w:val="16"/>
        </w:rPr>
      </w:pPr>
      <w:r w:rsidRPr="00E14102">
        <w:rPr>
          <w:color w:val="000000" w:themeColor="text1"/>
          <w:sz w:val="16"/>
          <w:szCs w:val="16"/>
        </w:rPr>
        <w:t>-производство работ по гражданскому и специальному строительству и монтажу мощных радиоцентров и мощных радиостанций (19098).</w:t>
      </w:r>
    </w:p>
    <w:p w14:paraId="36ACF6EE" w14:textId="77777777" w:rsidR="00F261A0" w:rsidRPr="00E14102" w:rsidRDefault="00F261A0" w:rsidP="00E14102">
      <w:pPr>
        <w:tabs>
          <w:tab w:val="left" w:pos="903"/>
        </w:tabs>
        <w:jc w:val="both"/>
        <w:rPr>
          <w:color w:val="000000" w:themeColor="text1"/>
          <w:sz w:val="16"/>
          <w:szCs w:val="16"/>
        </w:rPr>
      </w:pPr>
    </w:p>
    <w:p w14:paraId="2489CD5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59699DB" w14:textId="77777777" w:rsidR="00D4105E" w:rsidRPr="00E14102" w:rsidRDefault="00D4105E" w:rsidP="00E14102">
      <w:pPr>
        <w:autoSpaceDE w:val="0"/>
        <w:autoSpaceDN w:val="0"/>
        <w:adjustRightInd w:val="0"/>
        <w:jc w:val="both"/>
        <w:rPr>
          <w:iCs/>
          <w:color w:val="000000" w:themeColor="text1"/>
          <w:sz w:val="16"/>
          <w:szCs w:val="16"/>
        </w:rPr>
      </w:pPr>
    </w:p>
    <w:p w14:paraId="0D9942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мая 1935 в Москве была открыта первая очередь метро (1348,270) - Парк Культуры - Сокольники (3263,240).</w:t>
      </w:r>
    </w:p>
    <w:p w14:paraId="4BAA1654" w14:textId="77777777" w:rsidR="00D4105E" w:rsidRPr="00E14102" w:rsidRDefault="00D4105E" w:rsidP="00E14102">
      <w:pPr>
        <w:autoSpaceDE w:val="0"/>
        <w:autoSpaceDN w:val="0"/>
        <w:adjustRightInd w:val="0"/>
        <w:jc w:val="both"/>
        <w:rPr>
          <w:color w:val="000000" w:themeColor="text1"/>
          <w:sz w:val="16"/>
          <w:szCs w:val="16"/>
        </w:rPr>
      </w:pPr>
    </w:p>
    <w:p w14:paraId="57277B3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мая 1935 пущен в строй московский метрополитен (тогда - имени Л. Кагановича) (4962).</w:t>
      </w:r>
    </w:p>
    <w:p w14:paraId="20AFD47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4778685" w14:textId="77777777" w:rsidR="0080041B" w:rsidRPr="00E14102" w:rsidRDefault="0080041B" w:rsidP="00E14102">
      <w:pPr>
        <w:jc w:val="both"/>
        <w:rPr>
          <w:color w:val="000000" w:themeColor="text1"/>
          <w:sz w:val="16"/>
          <w:szCs w:val="16"/>
        </w:rPr>
      </w:pPr>
      <w:r w:rsidRPr="00E14102">
        <w:rPr>
          <w:color w:val="000000" w:themeColor="text1"/>
          <w:sz w:val="16"/>
          <w:szCs w:val="16"/>
        </w:rPr>
        <w:t>15 мая в 1935 году в Московском Метрополитене торжественно прошел первый поезд от Сокольников до Парка культуры и отдыха имени Горького. Первоначально московское метро носило имя Кагановича, затем - Ленина. Советское метро изначально создавалось по принципу "двойных технологий": станции были достаточно углублены и обеспечены автономными энергоустановками, дублированными системами воздухообеспечения, чтобы служить бомбоубежищами для населения; рядом с линиями оборудовались запасные пункты управления ПВО и войсками, прокладывались подземные метролинии особого назначения и т.д. Великая Отечественная война полностью оправдала такую предусмотрительность и затраты (14892).</w:t>
      </w:r>
    </w:p>
    <w:p w14:paraId="48705E41" w14:textId="77777777" w:rsidR="0080041B" w:rsidRPr="00E14102" w:rsidRDefault="0080041B" w:rsidP="00E14102">
      <w:pPr>
        <w:jc w:val="both"/>
        <w:rPr>
          <w:color w:val="000000" w:themeColor="text1"/>
          <w:sz w:val="16"/>
          <w:szCs w:val="16"/>
        </w:rPr>
      </w:pPr>
    </w:p>
    <w:p w14:paraId="19DCB776" w14:textId="77777777" w:rsidR="0080041B" w:rsidRPr="00E14102" w:rsidRDefault="0080041B" w:rsidP="00E14102">
      <w:pPr>
        <w:jc w:val="both"/>
        <w:rPr>
          <w:color w:val="000000" w:themeColor="text1"/>
          <w:sz w:val="16"/>
          <w:szCs w:val="16"/>
        </w:rPr>
      </w:pPr>
      <w:r w:rsidRPr="00E14102">
        <w:rPr>
          <w:color w:val="000000" w:themeColor="text1"/>
          <w:sz w:val="16"/>
          <w:szCs w:val="16"/>
        </w:rPr>
        <w:t>15 мая в 1935 году проезд в Московском метрополитене стал стоить 50 копеек (14892).</w:t>
      </w:r>
    </w:p>
    <w:p w14:paraId="4376E729" w14:textId="77777777" w:rsidR="0080041B" w:rsidRPr="00E14102" w:rsidRDefault="0080041B" w:rsidP="00E14102">
      <w:pPr>
        <w:jc w:val="both"/>
        <w:rPr>
          <w:color w:val="000000" w:themeColor="text1"/>
          <w:sz w:val="16"/>
          <w:szCs w:val="16"/>
        </w:rPr>
      </w:pPr>
    </w:p>
    <w:p w14:paraId="6AEA9E57" w14:textId="77777777" w:rsidR="001253F3" w:rsidRPr="00E14102" w:rsidRDefault="001253F3" w:rsidP="00E14102">
      <w:pPr>
        <w:jc w:val="both"/>
        <w:rPr>
          <w:color w:val="0070C0"/>
          <w:sz w:val="16"/>
          <w:szCs w:val="16"/>
        </w:rPr>
      </w:pPr>
      <w:r w:rsidRPr="00E14102">
        <w:rPr>
          <w:color w:val="0070C0"/>
          <w:sz w:val="16"/>
          <w:szCs w:val="16"/>
        </w:rPr>
        <w:t>15 мая 1935 года в 4 часа 30 минут утра первый двухсекционный состав (маршрут №1) вышел из депо на линию. Было начато движение поездов между станциями "Сокольники" и "Парк культуры", с ответвлением к Смоленской площади (станции "Коминтерн", "Арбатская" и "Смоленская"). Позже метропоезда стали формировать из четырех вагонов (двух секций), а с марта 1936 года - из шести вагонов (трёх секций) (21179).</w:t>
      </w:r>
    </w:p>
    <w:p w14:paraId="45C9556F" w14:textId="77777777" w:rsidR="001253F3" w:rsidRPr="00E14102" w:rsidRDefault="001253F3" w:rsidP="00E14102">
      <w:pPr>
        <w:jc w:val="both"/>
        <w:rPr>
          <w:color w:val="0070C0"/>
          <w:sz w:val="16"/>
          <w:szCs w:val="16"/>
        </w:rPr>
      </w:pPr>
    </w:p>
    <w:p w14:paraId="57DF5778" w14:textId="77777777" w:rsidR="001253F3" w:rsidRPr="00E14102" w:rsidRDefault="001253F3" w:rsidP="00E14102">
      <w:pPr>
        <w:jc w:val="both"/>
        <w:rPr>
          <w:color w:val="0070C0"/>
          <w:sz w:val="16"/>
          <w:szCs w:val="16"/>
        </w:rPr>
      </w:pPr>
      <w:r w:rsidRPr="00E14102">
        <w:rPr>
          <w:color w:val="0070C0"/>
          <w:sz w:val="16"/>
          <w:szCs w:val="16"/>
        </w:rPr>
        <w:t>15 мая 1935 года состоялось торжественное открытие первой линии Московского метрополитена, и началось регулярное движение четырехвагонных поездов. Линия шла от станции «Сокольники» до станции «Парк культуры» с ответвлением на «Смоленскую» (21179).</w:t>
      </w:r>
    </w:p>
    <w:p w14:paraId="2E2B6FC3" w14:textId="77777777" w:rsidR="001253F3" w:rsidRPr="00E14102" w:rsidRDefault="001253F3" w:rsidP="00E14102">
      <w:pPr>
        <w:jc w:val="both"/>
        <w:rPr>
          <w:color w:val="0070C0"/>
          <w:sz w:val="16"/>
          <w:szCs w:val="16"/>
        </w:rPr>
      </w:pPr>
    </w:p>
    <w:p w14:paraId="438ED9B3" w14:textId="77777777" w:rsidR="00F261A0" w:rsidRPr="00E14102" w:rsidRDefault="00F261A0" w:rsidP="00E14102">
      <w:pPr>
        <w:jc w:val="both"/>
        <w:rPr>
          <w:color w:val="000000" w:themeColor="text1"/>
          <w:sz w:val="16"/>
          <w:szCs w:val="16"/>
        </w:rPr>
      </w:pPr>
      <w:r w:rsidRPr="00E14102">
        <w:rPr>
          <w:color w:val="000000" w:themeColor="text1"/>
          <w:sz w:val="16"/>
          <w:szCs w:val="16"/>
        </w:rPr>
        <w:t>15 мая 1935. В 7 часов утра открыт для пассажиров первый участок Московского метро "Сокольники" - "Парк культуры", с ответвлением на участок "Охотный ряд" - "Смоленская". На линию выпущены поезда из четырех вагонов типа "А". Начало эксплуатации электродепо "Северное" (18720).</w:t>
      </w:r>
    </w:p>
    <w:p w14:paraId="5A427EA5" w14:textId="77777777" w:rsidR="00F261A0" w:rsidRPr="00E14102" w:rsidRDefault="00F261A0" w:rsidP="00E14102">
      <w:pPr>
        <w:jc w:val="both"/>
        <w:rPr>
          <w:color w:val="000000" w:themeColor="text1"/>
          <w:sz w:val="16"/>
          <w:szCs w:val="16"/>
        </w:rPr>
      </w:pPr>
    </w:p>
    <w:p w14:paraId="440158E2" w14:textId="77777777" w:rsidR="00F261A0" w:rsidRPr="00E14102" w:rsidRDefault="00F261A0" w:rsidP="00E14102">
      <w:pPr>
        <w:jc w:val="both"/>
        <w:rPr>
          <w:color w:val="000000" w:themeColor="text1"/>
          <w:sz w:val="16"/>
          <w:szCs w:val="16"/>
        </w:rPr>
      </w:pPr>
      <w:r w:rsidRPr="00E14102">
        <w:rPr>
          <w:color w:val="000000" w:themeColor="text1"/>
          <w:sz w:val="16"/>
          <w:szCs w:val="16"/>
        </w:rPr>
        <w:t>15 мая 1935 г. в 7 часов утра в праздничной обстановке Московский метрополитен был торжественно открыт{552}.</w:t>
      </w:r>
    </w:p>
    <w:p w14:paraId="02BBA0E2" w14:textId="77777777" w:rsidR="00F261A0" w:rsidRPr="00E14102" w:rsidRDefault="00F261A0" w:rsidP="00E14102">
      <w:pPr>
        <w:jc w:val="both"/>
        <w:rPr>
          <w:color w:val="000000" w:themeColor="text1"/>
          <w:sz w:val="16"/>
          <w:szCs w:val="16"/>
        </w:rPr>
      </w:pPr>
      <w:r w:rsidRPr="00E14102">
        <w:rPr>
          <w:color w:val="000000" w:themeColor="text1"/>
          <w:sz w:val="16"/>
          <w:szCs w:val="16"/>
        </w:rPr>
        <w:t>Строительство московского метро до пуска первой очереди обошлось в 830,2 млн. руб. Из них 139,7 млн. руб. составляли инвестиции, предназначенные на сооружение линий второй очереди{553}.В общую сумму 830,2 млн. руб. не вошли расходы, связанные с доделками по требованию правительственной комиссии, которые были осуществлены уже после пуска метро. Они составили еще 23 млн. руб.{554}</w:t>
      </w:r>
    </w:p>
    <w:p w14:paraId="7317BC37" w14:textId="77777777" w:rsidR="00F261A0" w:rsidRPr="00E14102" w:rsidRDefault="00F261A0" w:rsidP="00E14102">
      <w:pPr>
        <w:jc w:val="both"/>
        <w:rPr>
          <w:color w:val="000000" w:themeColor="text1"/>
          <w:sz w:val="16"/>
          <w:szCs w:val="16"/>
        </w:rPr>
      </w:pPr>
      <w:r w:rsidRPr="00E14102">
        <w:rPr>
          <w:color w:val="000000" w:themeColor="text1"/>
          <w:sz w:val="16"/>
          <w:szCs w:val="16"/>
        </w:rPr>
        <w:t>Фактические расходы намного превзошли сметные предположения 1932, 1933 и 1934 гг. В ноябре 1931 г. Ротерт прикидывал, что затраты на сооружение первой очереди (общей протяженностью 7 км) составят 74 млн. руб.{555}Первая смета в размере 277,4 млн. руб. была составлена в 1932 г. на зыбкой основе первого эскизного проекта и норм строительства железнодорожных тоннелей{556}.Когда правительством было принято решение о способе строительства, Метрострой в 1933 г. составил новую смету, основанную на более точных подсчетах. Эта смета предусматривала общие расходы в размере 441,8 млн. руб. В начале 1934 г., когда окончательно утвердили способ строительства Арбатского радиуса и у Метростроя накопились собственные данные о нормах труда, была составлена третья смета. Сумма затрат поднялась до 555,7 млн. руб., хотя объем земляных и бетонных работ и протяженность тоннелей по сравнению с заданиями 1933 г. сократились{557}.После завершения первой очереди строительства выяснилось, что объем фактически выполненной работы вновь существенно разошелся с подсчетами 1934 г. Однако одним этим обстоятельством нельзя объяснить рост расходов почти на 50%, с 555,7 до 830,2 млн. руб.</w:t>
      </w:r>
    </w:p>
    <w:p w14:paraId="709C7A13" w14:textId="77777777" w:rsidR="00F261A0" w:rsidRPr="00E14102" w:rsidRDefault="00F261A0" w:rsidP="00E14102">
      <w:pPr>
        <w:jc w:val="both"/>
        <w:rPr>
          <w:color w:val="000000" w:themeColor="text1"/>
          <w:sz w:val="16"/>
          <w:szCs w:val="16"/>
        </w:rPr>
      </w:pPr>
      <w:r w:rsidRPr="00E14102">
        <w:rPr>
          <w:color w:val="000000" w:themeColor="text1"/>
          <w:sz w:val="16"/>
          <w:szCs w:val="16"/>
        </w:rPr>
        <w:t>Скачок этот объясняется многими причинами. Смета 1934 г. не предусмотрела целый ряд обстоятельств, отчасти технического характера, отчасти вызванных быстрыми темпами строительства: в 1934 г. для ускорения работы было заложено 8 дополнительных кессонных шахт. Наклонные шахты пришлось пробивать с использованием дорогостоящей техники замораживания грунта. Станции были отделаны не штукатуркой, как первоначально намечалось, а отчасти мрамором и другими дорогими материалами. Тоннели, станции и переходы строились не по единому типовому проекту, как планировалось изначально, но сооружались по индивидуальному плану в соответствии с местными геологическими условиями. Хотя число наземных вестибюлей сократилось на две трети, но общая площадь застроенных помещений утроилась, так как станции в отступление от проекта возводились с широким архитектурным и художественным размахом{558}.</w:t>
      </w:r>
    </w:p>
    <w:p w14:paraId="3E0411A1" w14:textId="77777777" w:rsidR="00F261A0" w:rsidRPr="00E14102" w:rsidRDefault="00F261A0" w:rsidP="00E14102">
      <w:pPr>
        <w:jc w:val="both"/>
        <w:rPr>
          <w:color w:val="000000" w:themeColor="text1"/>
          <w:sz w:val="16"/>
          <w:szCs w:val="16"/>
        </w:rPr>
      </w:pPr>
      <w:r w:rsidRPr="00E14102">
        <w:rPr>
          <w:color w:val="000000" w:themeColor="text1"/>
          <w:sz w:val="16"/>
          <w:szCs w:val="16"/>
        </w:rPr>
        <w:t>Перерасход средств происходил также из-за организационных упущений и чрезмерно высоких ставок заработной платы и цен на материалы. Правительственная комиссия поприему метрополитена в мае 1935 г. установила, что только 78,5 млн. руб. могут быть оправданы техническими отклонениями от проекта и фактическими проведенными дополнительными затратами{560}.Большая же часть средств, по заключению комиссии, была перерасходована в результате бесхозяйственного ведения Метростроем финансовых операций.</w:t>
      </w:r>
    </w:p>
    <w:p w14:paraId="3D252887" w14:textId="77777777" w:rsidR="00F261A0" w:rsidRPr="00E14102" w:rsidRDefault="00F261A0" w:rsidP="00E14102">
      <w:pPr>
        <w:jc w:val="both"/>
        <w:rPr>
          <w:color w:val="000000" w:themeColor="text1"/>
          <w:sz w:val="16"/>
          <w:szCs w:val="16"/>
        </w:rPr>
      </w:pPr>
      <w:r w:rsidRPr="00E14102">
        <w:rPr>
          <w:color w:val="000000" w:themeColor="text1"/>
          <w:sz w:val="16"/>
          <w:szCs w:val="16"/>
        </w:rPr>
        <w:lastRenderedPageBreak/>
        <w:t>Комиссия подвергла критике непомерно высокие расценки зарплаты на строительстве. В 1934 г. они в среднем на 80% превышали ставки на других строительных объектах. Это было следствием относительно низких по сравнению с другими стройками норм выработки, которые не всегда оправдывались тяжелыми условиями труда под землей{561}.Кроме того, Метрострой платил завышенные цены за стройматериалы и оборудование. Некоторые поставщики использовали в целях обогащения высокий приоритет стройки, хронический цейтнот и недостаток материалов. Кирпич и пиломатериалы обходились Метрострою вдвое дороже, чем предусматривала смета. Вагоны метро, изготовленные на вагоностроительном заводе в Мытищах, стоили вчетверо больше обычных железнодорожных. Только цемент и рельсы удалось приобрести существенно дешевле, чем рассчитывали по смете{562}.</w:t>
      </w:r>
    </w:p>
    <w:p w14:paraId="5590911E" w14:textId="77777777" w:rsidR="00F261A0" w:rsidRPr="00E14102" w:rsidRDefault="00F261A0" w:rsidP="00E14102">
      <w:pPr>
        <w:jc w:val="both"/>
        <w:rPr>
          <w:color w:val="000000" w:themeColor="text1"/>
          <w:sz w:val="16"/>
          <w:szCs w:val="16"/>
        </w:rPr>
      </w:pPr>
      <w:r w:rsidRPr="00E14102">
        <w:rPr>
          <w:color w:val="000000" w:themeColor="text1"/>
          <w:sz w:val="16"/>
          <w:szCs w:val="16"/>
        </w:rPr>
        <w:t>Приводя к единому знаменателю все эти причины, перерасход средств, по отзыву правительственной комиссии, объяснялся тем, что в случае с Метростроем речь шла о стройке нового типа, особо сложной, с экстремально коротким сроком завершения, без утвержденного проекта, без официально принятой сметы расходов и при отсутствии контроля над затратами{563}.[54]</w:t>
      </w:r>
    </w:p>
    <w:p w14:paraId="261C1014" w14:textId="77777777" w:rsidR="00F261A0" w:rsidRPr="00E14102" w:rsidRDefault="00F261A0" w:rsidP="00E14102">
      <w:pPr>
        <w:jc w:val="both"/>
        <w:rPr>
          <w:color w:val="000000" w:themeColor="text1"/>
          <w:sz w:val="16"/>
          <w:szCs w:val="16"/>
        </w:rPr>
      </w:pPr>
      <w:r w:rsidRPr="00E14102">
        <w:rPr>
          <w:color w:val="000000" w:themeColor="text1"/>
          <w:sz w:val="16"/>
          <w:szCs w:val="16"/>
        </w:rPr>
        <w:t>Метрострой в заключительном балансе первой очереди строительства попытался прикрыть неоправданные расходы. На основе иного по сравнению с правительственной комиссией метода подсчета реально выполненной работы в отношении к сметным предположениям главному финансовому управлению Метростроя удалось показать, что 203,9 млн. руб. ушло на реальные дополнительные расходы и лишь 78,6 млн. руб. можно оценить как перерасход за счет завышенных трат{564}.[55] Из этой суммы 54,3 млн. пришлось на возведение станций, 13,6 млн. — на проходку тоннелей, 10,7 млн. — на прочие виды работ. Чрезмерные траты Метрострой объяснял художественным оформлением станций, строительством дополнительной станции «Улица Коминтерна», организационными упущениями и сложной геологической обстановкой{565}.[56]</w:t>
      </w:r>
    </w:p>
    <w:p w14:paraId="1DA1A37D" w14:textId="77777777" w:rsidR="00F261A0" w:rsidRPr="00E14102" w:rsidRDefault="00F261A0" w:rsidP="00E14102">
      <w:pPr>
        <w:jc w:val="both"/>
        <w:rPr>
          <w:color w:val="000000" w:themeColor="text1"/>
          <w:sz w:val="16"/>
          <w:szCs w:val="16"/>
        </w:rPr>
      </w:pPr>
      <w:r w:rsidRPr="00E14102">
        <w:rPr>
          <w:color w:val="000000" w:themeColor="text1"/>
          <w:sz w:val="16"/>
          <w:szCs w:val="16"/>
        </w:rPr>
        <w:t>Метрострой признавал собственные ошибки, но указывал и на объективные сложности: расходы на основную заработную плату оказались выше намеченных потому, что из-за тяжелых условий труда пришлось содержать резервную армию рабочих. 60 тыс. рабочих предстояло обучиться только в ходе работы, и потому их нельзя было сразу же использовать с максимальным эффектом. В период с ноября 1934 по февраль 1935 г. в целях максимального ускорения работы вся рабочая сила была сконцентрирована на отстающих мелких участках, что резко снижало производительность труда в расчете на одного рабочего. Дополнительная оплата труда оказалась выше намеченной, поскольку не были предусмотрены особые премии рабочим, обязавшимся оставаться на строительстве вплоть до окончания первой очереди, а также подъемные (в феврале-марте 1935 г. эти выплаты были произведены 28 тыс. ставших ненужными рабочих). Прочие выплаты из фонда заработной платы касались оплаты больничных листов и путевок в санатории и дома отдыха.</w:t>
      </w:r>
    </w:p>
    <w:p w14:paraId="5D09AC2E" w14:textId="77777777" w:rsidR="00F261A0" w:rsidRPr="00E14102" w:rsidRDefault="00F261A0" w:rsidP="00E14102">
      <w:pPr>
        <w:jc w:val="both"/>
        <w:rPr>
          <w:color w:val="000000" w:themeColor="text1"/>
          <w:sz w:val="16"/>
          <w:szCs w:val="16"/>
        </w:rPr>
      </w:pPr>
      <w:r w:rsidRPr="00E14102">
        <w:rPr>
          <w:color w:val="000000" w:themeColor="text1"/>
          <w:sz w:val="16"/>
          <w:szCs w:val="16"/>
        </w:rPr>
        <w:t>Чрезвычайно высок был перерасход по статьям временных сооружений и «прочих работ»: на каждой шахте и дистанции имелись свои конторы, мастерские, душевые, компрессорные, помещения для машин и множество других временных строений. По статье «прочие работы» оплачивались содержание двух подразделений военизированной охраны, собственной горноспасательной станции и пожарной охраны каждого объекта. На земляных работах удорожание работ происходило из-за плохой загрузки имеющегося транспорта, при договорных работах приходилось дополнительно платить сторонним организациям за работу на канализации, линиях городского снабжения и трамвайных путях{566}.</w:t>
      </w:r>
    </w:p>
    <w:p w14:paraId="571F3C46" w14:textId="77777777" w:rsidR="00F261A0" w:rsidRPr="00E14102" w:rsidRDefault="00F261A0" w:rsidP="00E14102">
      <w:pPr>
        <w:jc w:val="both"/>
        <w:rPr>
          <w:color w:val="000000" w:themeColor="text1"/>
          <w:sz w:val="16"/>
          <w:szCs w:val="16"/>
        </w:rPr>
      </w:pPr>
      <w:r w:rsidRPr="00E14102">
        <w:rPr>
          <w:color w:val="000000" w:themeColor="text1"/>
          <w:sz w:val="16"/>
          <w:szCs w:val="16"/>
        </w:rPr>
        <w:t>Из общего итога расходов на сооружение первой очереди 46,7% приходилось на прокладку тоннелей, 34,3% — на строительство станций и 19% — на содержание администрации, подчиненных предприятий и вспомогательные работы{567} (18299).</w:t>
      </w:r>
    </w:p>
    <w:p w14:paraId="645821EB" w14:textId="77777777" w:rsidR="00F261A0" w:rsidRPr="00E14102" w:rsidRDefault="00F261A0" w:rsidP="00E14102">
      <w:pPr>
        <w:jc w:val="both"/>
        <w:rPr>
          <w:color w:val="000000" w:themeColor="text1"/>
          <w:sz w:val="16"/>
          <w:szCs w:val="16"/>
        </w:rPr>
      </w:pPr>
    </w:p>
    <w:p w14:paraId="241A2211" w14:textId="77777777" w:rsidR="0080041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1999BD05" w14:textId="77777777" w:rsidR="0080041B" w:rsidRPr="00E14102" w:rsidRDefault="0080041B" w:rsidP="00E14102">
      <w:pPr>
        <w:autoSpaceDE w:val="0"/>
        <w:autoSpaceDN w:val="0"/>
        <w:adjustRightInd w:val="0"/>
        <w:jc w:val="both"/>
        <w:rPr>
          <w:iCs/>
          <w:color w:val="000000" w:themeColor="text1"/>
          <w:sz w:val="16"/>
          <w:szCs w:val="16"/>
        </w:rPr>
      </w:pPr>
    </w:p>
    <w:p w14:paraId="39F5304C" w14:textId="77777777" w:rsidR="0080041B" w:rsidRPr="00E14102" w:rsidRDefault="0080041B" w:rsidP="00E14102">
      <w:pPr>
        <w:jc w:val="both"/>
        <w:rPr>
          <w:color w:val="000000" w:themeColor="text1"/>
          <w:sz w:val="16"/>
          <w:szCs w:val="16"/>
        </w:rPr>
      </w:pPr>
      <w:r w:rsidRPr="00E14102">
        <w:rPr>
          <w:color w:val="000000" w:themeColor="text1"/>
          <w:sz w:val="16"/>
          <w:szCs w:val="16"/>
        </w:rPr>
        <w:t>15 мая 1935 было Письмо Крестинского Н.Н. Сталину И.В., Молотову В.М., Ворошилову К.Е., Кагановичу Л.М., Орджоникидзе Г.К. с просьбой разрешить продажу Турции 70 самолетов, с приложением проекта постановления; на письме надпись Орджоникидзе: «т. Королеву. Срочно выяснить какие самолеты и возможность продажи». Копия, машинопись, надпись – автограф Орджоникидзе (15933).</w:t>
      </w:r>
    </w:p>
    <w:p w14:paraId="0E4AB864" w14:textId="5FC30AD2" w:rsidR="0080041B" w:rsidRPr="00E14102" w:rsidRDefault="0080041B" w:rsidP="00E14102">
      <w:pPr>
        <w:jc w:val="both"/>
        <w:rPr>
          <w:color w:val="000000" w:themeColor="text1"/>
          <w:sz w:val="16"/>
          <w:szCs w:val="16"/>
        </w:rPr>
      </w:pPr>
    </w:p>
    <w:p w14:paraId="5882FB52" w14:textId="54AB2B85" w:rsidR="001253F3" w:rsidRPr="00E14102" w:rsidRDefault="001253F3" w:rsidP="00E14102">
      <w:pPr>
        <w:jc w:val="both"/>
        <w:rPr>
          <w:i/>
          <w:iCs/>
          <w:color w:val="000000" w:themeColor="text1"/>
          <w:sz w:val="16"/>
          <w:szCs w:val="16"/>
        </w:rPr>
      </w:pPr>
      <w:r w:rsidRPr="00E14102">
        <w:rPr>
          <w:i/>
          <w:iCs/>
          <w:color w:val="000000" w:themeColor="text1"/>
          <w:sz w:val="16"/>
          <w:szCs w:val="16"/>
        </w:rPr>
        <w:t>За рубежом:</w:t>
      </w:r>
    </w:p>
    <w:p w14:paraId="26E94D4A" w14:textId="77777777" w:rsidR="001253F3" w:rsidRPr="00E14102" w:rsidRDefault="001253F3" w:rsidP="00E14102">
      <w:pPr>
        <w:jc w:val="both"/>
        <w:rPr>
          <w:i/>
          <w:iCs/>
          <w:color w:val="000000" w:themeColor="text1"/>
          <w:sz w:val="16"/>
          <w:szCs w:val="16"/>
        </w:rPr>
      </w:pPr>
    </w:p>
    <w:p w14:paraId="47A0C4D9" w14:textId="77777777" w:rsidR="001253F3" w:rsidRPr="00E14102" w:rsidRDefault="001253F3" w:rsidP="00E14102">
      <w:pPr>
        <w:jc w:val="both"/>
        <w:rPr>
          <w:color w:val="0070C0"/>
          <w:sz w:val="16"/>
          <w:szCs w:val="16"/>
        </w:rPr>
      </w:pPr>
      <w:r w:rsidRPr="00E14102">
        <w:rPr>
          <w:color w:val="0070C0"/>
          <w:sz w:val="16"/>
          <w:szCs w:val="16"/>
        </w:rPr>
        <w:t xml:space="preserve">15 мая 1935 состоялся первый полет </w:t>
      </w:r>
      <w:r w:rsidRPr="00E14102">
        <w:rPr>
          <w:color w:val="0070C0"/>
          <w:sz w:val="16"/>
          <w:szCs w:val="16"/>
          <w:lang w:val="en-US"/>
        </w:rPr>
        <w:t>Curtiss</w:t>
      </w:r>
      <w:r w:rsidRPr="00E14102">
        <w:rPr>
          <w:color w:val="0070C0"/>
          <w:sz w:val="16"/>
          <w:szCs w:val="16"/>
        </w:rPr>
        <w:t xml:space="preserve"> </w:t>
      </w:r>
      <w:r w:rsidRPr="00E14102">
        <w:rPr>
          <w:color w:val="0070C0"/>
          <w:sz w:val="16"/>
          <w:szCs w:val="16"/>
          <w:lang w:val="en-US"/>
        </w:rPr>
        <w:t>Model</w:t>
      </w:r>
      <w:r w:rsidRPr="00E14102">
        <w:rPr>
          <w:color w:val="0070C0"/>
          <w:sz w:val="16"/>
          <w:szCs w:val="16"/>
        </w:rPr>
        <w:t xml:space="preserve"> 75, прототипа </w:t>
      </w:r>
      <w:r w:rsidRPr="00E14102">
        <w:rPr>
          <w:color w:val="0070C0"/>
          <w:sz w:val="16"/>
          <w:szCs w:val="16"/>
          <w:lang w:val="en-US"/>
        </w:rPr>
        <w:t>P</w:t>
      </w:r>
      <w:r w:rsidRPr="00E14102">
        <w:rPr>
          <w:color w:val="0070C0"/>
          <w:sz w:val="16"/>
          <w:szCs w:val="16"/>
        </w:rPr>
        <w:t xml:space="preserve">-36 </w:t>
      </w:r>
      <w:r w:rsidRPr="00E14102">
        <w:rPr>
          <w:color w:val="0070C0"/>
          <w:sz w:val="16"/>
          <w:szCs w:val="16"/>
          <w:lang w:val="en-US"/>
        </w:rPr>
        <w:t>Hawk</w:t>
      </w:r>
      <w:r w:rsidRPr="00E14102">
        <w:rPr>
          <w:color w:val="0070C0"/>
          <w:sz w:val="16"/>
          <w:szCs w:val="16"/>
        </w:rPr>
        <w:t xml:space="preserve"> (20800).</w:t>
      </w:r>
    </w:p>
    <w:p w14:paraId="7DAC8DA6" w14:textId="77777777" w:rsidR="001253F3" w:rsidRPr="00E14102" w:rsidRDefault="001253F3" w:rsidP="00E14102">
      <w:pPr>
        <w:jc w:val="both"/>
        <w:rPr>
          <w:color w:val="0070C0"/>
          <w:sz w:val="16"/>
          <w:szCs w:val="16"/>
        </w:rPr>
      </w:pPr>
    </w:p>
    <w:p w14:paraId="6390939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C7A0734" w14:textId="77777777" w:rsidR="00D4105E" w:rsidRPr="00E14102" w:rsidRDefault="00D4105E" w:rsidP="00E14102">
      <w:pPr>
        <w:autoSpaceDE w:val="0"/>
        <w:autoSpaceDN w:val="0"/>
        <w:adjustRightInd w:val="0"/>
        <w:jc w:val="both"/>
        <w:rPr>
          <w:iCs/>
          <w:color w:val="000000" w:themeColor="text1"/>
          <w:sz w:val="16"/>
          <w:szCs w:val="16"/>
        </w:rPr>
      </w:pPr>
    </w:p>
    <w:p w14:paraId="307334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середине мая 1935 «МГ» успел совершить 10 полётов общей продолжительностью 3 час 10 мин. 15 мая гигант в течение 45 мин демонстрировали депутатам Моссовета. В тот день пассажиром «МГ» стал знаменитый французский лётчик и писатель Антуан де Сент-Экзюпери, тогда московский корреспондент парижской газеты «Пари Суар». Утвержда</w:t>
      </w:r>
      <w:r w:rsidRPr="00E14102">
        <w:rPr>
          <w:color w:val="000000" w:themeColor="text1"/>
          <w:sz w:val="16"/>
          <w:szCs w:val="16"/>
        </w:rPr>
        <w:softHyphen/>
        <w:t>ют, ему даже дали немного «порулить». 16 мая состоялся 33-минутный перелёт «МГ» под управлением летчика ЦАГИ Н.С. Журова (второй пилот — фактический командир агитэскадрильи им. Максима Горького опытный лётчик-орденоносец И.В. Михе</w:t>
      </w:r>
      <w:r w:rsidRPr="00E14102">
        <w:rPr>
          <w:color w:val="000000" w:themeColor="text1"/>
          <w:sz w:val="16"/>
          <w:szCs w:val="16"/>
        </w:rPr>
        <w:softHyphen/>
        <w:t>ев) с Центрального аэро</w:t>
      </w:r>
      <w:r w:rsidRPr="00E14102">
        <w:rPr>
          <w:color w:val="000000" w:themeColor="text1"/>
          <w:sz w:val="16"/>
          <w:szCs w:val="16"/>
        </w:rPr>
        <w:softHyphen/>
        <w:t>дрома в Щёлково. Весь день там шла интенсив</w:t>
      </w:r>
      <w:r w:rsidRPr="00E14102">
        <w:rPr>
          <w:color w:val="000000" w:themeColor="text1"/>
          <w:sz w:val="16"/>
          <w:szCs w:val="16"/>
        </w:rPr>
        <w:softHyphen/>
        <w:t>ная тренировка И.В. Михеева в качестве команди</w:t>
      </w:r>
      <w:r w:rsidRPr="00E14102">
        <w:rPr>
          <w:color w:val="000000" w:themeColor="text1"/>
          <w:sz w:val="16"/>
          <w:szCs w:val="16"/>
        </w:rPr>
        <w:softHyphen/>
        <w:t>ра корабля, так как на воскресенье 18 мая на</w:t>
      </w:r>
      <w:r w:rsidRPr="00E14102">
        <w:rPr>
          <w:color w:val="000000" w:themeColor="text1"/>
          <w:sz w:val="16"/>
          <w:szCs w:val="16"/>
        </w:rPr>
        <w:softHyphen/>
        <w:t>значили два полёта, после которых гигант официаль</w:t>
      </w:r>
      <w:r w:rsidRPr="00E14102">
        <w:rPr>
          <w:color w:val="000000" w:themeColor="text1"/>
          <w:sz w:val="16"/>
          <w:szCs w:val="16"/>
        </w:rPr>
        <w:softHyphen/>
        <w:t>но передавали из ЦАГИ в агитэскадрилью им. Мак</w:t>
      </w:r>
      <w:r w:rsidRPr="00E14102">
        <w:rPr>
          <w:color w:val="000000" w:themeColor="text1"/>
          <w:sz w:val="16"/>
          <w:szCs w:val="16"/>
        </w:rPr>
        <w:softHyphen/>
        <w:t>сима Горького. В процес</w:t>
      </w:r>
      <w:r w:rsidRPr="00E14102">
        <w:rPr>
          <w:color w:val="000000" w:themeColor="text1"/>
          <w:sz w:val="16"/>
          <w:szCs w:val="16"/>
        </w:rPr>
        <w:softHyphen/>
        <w:t>се вывозки Михеева в Щёлково сначала совер</w:t>
      </w:r>
      <w:r w:rsidRPr="00E14102">
        <w:rPr>
          <w:color w:val="000000" w:themeColor="text1"/>
          <w:sz w:val="16"/>
          <w:szCs w:val="16"/>
        </w:rPr>
        <w:softHyphen/>
        <w:t>шили четыре полёта дли</w:t>
      </w:r>
      <w:r w:rsidRPr="00E14102">
        <w:rPr>
          <w:color w:val="000000" w:themeColor="text1"/>
          <w:sz w:val="16"/>
          <w:szCs w:val="16"/>
        </w:rPr>
        <w:softHyphen/>
        <w:t>тельностью от 7 до 11 минут. Затем состоялся первый самостоятельный вылет Михеева (14 мин) и чуть позже еще один 9-минутный тренировочный полёт. Вечером того же дня Журов и Михеев за 30 минут перегнали «МГ» со Щёлковского аэродрома на Ходынку (11696).</w:t>
      </w:r>
    </w:p>
    <w:p w14:paraId="4EB0027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15B24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середины мая по ноябрь 1935 проходили гос. испытания в НИИ ВВС ДИ-6. Летали л П.Я.Федрови и В.А.Степанченок (3876,8).</w:t>
      </w:r>
    </w:p>
    <w:p w14:paraId="309FFF07" w14:textId="77777777" w:rsidR="00D4105E" w:rsidRPr="00E14102" w:rsidRDefault="00D4105E" w:rsidP="00E14102">
      <w:pPr>
        <w:autoSpaceDE w:val="0"/>
        <w:autoSpaceDN w:val="0"/>
        <w:adjustRightInd w:val="0"/>
        <w:jc w:val="both"/>
        <w:rPr>
          <w:color w:val="000000" w:themeColor="text1"/>
          <w:sz w:val="16"/>
          <w:szCs w:val="16"/>
        </w:rPr>
      </w:pPr>
    </w:p>
    <w:p w14:paraId="0507839E" w14:textId="77777777" w:rsidR="00FB408B" w:rsidRPr="00E14102" w:rsidRDefault="00FB408B" w:rsidP="00E14102">
      <w:pPr>
        <w:shd w:val="clear" w:color="auto" w:fill="FFFFFF"/>
        <w:jc w:val="both"/>
        <w:rPr>
          <w:color w:val="000000" w:themeColor="text1"/>
          <w:sz w:val="16"/>
          <w:szCs w:val="16"/>
        </w:rPr>
      </w:pPr>
      <w:r w:rsidRPr="00E14102">
        <w:rPr>
          <w:color w:val="000000" w:themeColor="text1"/>
          <w:sz w:val="16"/>
          <w:szCs w:val="16"/>
        </w:rPr>
        <w:t>К середине мая 1935 г. группа специалистов ЦИАМ обеспечила повышение высотности мотора (подробности отсутствуют), группа И.Кузьмина спроектировала лёгкий винт с высоким к.п.д. на высоте, группа П.М.Добротворского закончила изготовление скафандра и приступила к его испытаниям. Однако в целом темп работ замедлился – видимо, по причинам финансового характера, а судьба проекта оказалась под вопросом. Сторонникам проекта пришлось «пробивать» его. На специальном заседании в УВВС РККА у начальника Штаба ВВС РККА, проведённом в январе 1935 года, на котором по поручению начальника УВВС Алксниса Я.И. рассматривались проекты высотных самолётов, было решено обратиться в соответствующие инстанции с материалами, обосновывающими необходимость срочной реализации самолёта СБ-1 (</w:t>
      </w:r>
      <w:r w:rsidRPr="00E14102">
        <w:rPr>
          <w:iCs/>
          <w:color w:val="000000" w:themeColor="text1"/>
          <w:sz w:val="16"/>
          <w:szCs w:val="16"/>
        </w:rPr>
        <w:t>РГАЭ Ф. 3823 оп. 1 д. 796 л. 232</w:t>
      </w:r>
      <w:r w:rsidRPr="00E14102">
        <w:rPr>
          <w:color w:val="000000" w:themeColor="text1"/>
          <w:sz w:val="16"/>
          <w:szCs w:val="16"/>
        </w:rPr>
        <w:t>)</w:t>
      </w:r>
    </w:p>
    <w:p w14:paraId="0C50F03C" w14:textId="77777777" w:rsidR="00FB408B" w:rsidRPr="00E14102" w:rsidRDefault="00FB408B" w:rsidP="00E14102">
      <w:pPr>
        <w:shd w:val="clear" w:color="auto" w:fill="FFFFFF"/>
        <w:jc w:val="both"/>
        <w:rPr>
          <w:color w:val="000000" w:themeColor="text1"/>
          <w:sz w:val="16"/>
          <w:szCs w:val="16"/>
        </w:rPr>
      </w:pPr>
      <w:r w:rsidRPr="00E14102">
        <w:rPr>
          <w:color w:val="000000" w:themeColor="text1"/>
          <w:sz w:val="16"/>
          <w:szCs w:val="16"/>
        </w:rPr>
        <w:t>К делу подключился Всесоюзный Совет научных инженерно-технических обществ (ВС НИТО) (19528).</w:t>
      </w:r>
    </w:p>
    <w:p w14:paraId="181CEB3E" w14:textId="77777777" w:rsidR="00FB408B" w:rsidRPr="00E14102" w:rsidRDefault="00FB408B" w:rsidP="00E14102">
      <w:pPr>
        <w:shd w:val="clear" w:color="auto" w:fill="FFFFFF"/>
        <w:jc w:val="both"/>
        <w:rPr>
          <w:color w:val="000000" w:themeColor="text1"/>
          <w:sz w:val="16"/>
          <w:szCs w:val="16"/>
        </w:rPr>
      </w:pPr>
    </w:p>
    <w:p w14:paraId="28795AE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52A11E4B" w14:textId="77777777" w:rsidR="00D4105E" w:rsidRPr="00E14102" w:rsidRDefault="00D4105E" w:rsidP="00E14102">
      <w:pPr>
        <w:autoSpaceDE w:val="0"/>
        <w:autoSpaceDN w:val="0"/>
        <w:adjustRightInd w:val="0"/>
        <w:jc w:val="both"/>
        <w:rPr>
          <w:iCs/>
          <w:color w:val="000000" w:themeColor="text1"/>
          <w:sz w:val="16"/>
          <w:szCs w:val="16"/>
        </w:rPr>
      </w:pPr>
    </w:p>
    <w:p w14:paraId="0A13FC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середине мая 1935 через две недели после подписания советско-французского договора в Праге был заключен Договор о взаимопомощи между СССР и Чехословакией. С дипломатической точки зрения это был своего рода курьезный случай, так как военный договор подписали страны, не имевшие между собой дипломатических отношений. (Дипотношения были официально установлены только с 9 июня 1935 г.).</w:t>
      </w:r>
    </w:p>
    <w:p w14:paraId="3BDB46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своей направленности советско-чехословацкий договор полностью соответствовал советско-французскому и косвенно к нему апеллировал. В ст. 2 договора говорилось, что Чехословакия и СССР будут оказывать помощь друг другу, если кто-то из них подвергнется неспровоцированному нападению третьей державы и если такая же помощь будет оказана жертве агрессии Францией. Таким образом, Чехословакия пыталась обезопасить себя не только от германской угрозы, но и от казавшихся ей возможными посягательств на ее суверенитет со стороны самого Советского Союза, что было возможно, если бы СССР ввел в Чехословакию свои войска под видом оказания ей помощи. При этом Чехословакия не имела общей границы с СССР, и ввод советских контингентов на чехословацкую территорию был возможен только при условии их беспрепятственного прохода через Польшу. Что касается помощи Франции, то Чехословакия должна была ее получить в соответствии с подписанным в 1925 г. в Локарно франко-чехословацким гарантийным договором. Однако и с Францией Чехословакия не имела общей границы (3871).</w:t>
      </w:r>
    </w:p>
    <w:p w14:paraId="663CAD5D" w14:textId="77777777" w:rsidR="00D4105E" w:rsidRPr="00E14102" w:rsidRDefault="00D4105E" w:rsidP="00E14102">
      <w:pPr>
        <w:autoSpaceDE w:val="0"/>
        <w:autoSpaceDN w:val="0"/>
        <w:adjustRightInd w:val="0"/>
        <w:jc w:val="both"/>
        <w:rPr>
          <w:color w:val="000000" w:themeColor="text1"/>
          <w:sz w:val="16"/>
          <w:szCs w:val="16"/>
        </w:rPr>
      </w:pPr>
    </w:p>
    <w:p w14:paraId="40D3BCA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5F818EC" w14:textId="77777777" w:rsidR="00D4105E" w:rsidRPr="00E14102" w:rsidRDefault="00D4105E" w:rsidP="00E14102">
      <w:pPr>
        <w:autoSpaceDE w:val="0"/>
        <w:autoSpaceDN w:val="0"/>
        <w:adjustRightInd w:val="0"/>
        <w:jc w:val="both"/>
        <w:rPr>
          <w:iCs/>
          <w:color w:val="000000" w:themeColor="text1"/>
          <w:sz w:val="16"/>
          <w:szCs w:val="16"/>
        </w:rPr>
      </w:pPr>
    </w:p>
    <w:p w14:paraId="69E0E4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мая 1935 состоялось совещание технического комитета, где Е.К.Стоман доложил о работах по подготовке к перелетам РД-1 и РД-2 (1077,265).</w:t>
      </w:r>
    </w:p>
    <w:p w14:paraId="73AD1F15" w14:textId="77777777" w:rsidR="00D4105E" w:rsidRPr="00E14102" w:rsidRDefault="00D4105E" w:rsidP="00E14102">
      <w:pPr>
        <w:autoSpaceDE w:val="0"/>
        <w:autoSpaceDN w:val="0"/>
        <w:adjustRightInd w:val="0"/>
        <w:jc w:val="both"/>
        <w:rPr>
          <w:color w:val="000000" w:themeColor="text1"/>
          <w:sz w:val="16"/>
          <w:szCs w:val="16"/>
        </w:rPr>
      </w:pPr>
    </w:p>
    <w:p w14:paraId="538E60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мая  1935 Нач. ЦАГИ Харламов писал письмо № 1244/с в СТО тов. Базилевичу:</w:t>
      </w:r>
    </w:p>
    <w:p w14:paraId="1813B3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вопросу выпуска с-та ДБ-2</w:t>
      </w:r>
    </w:p>
    <w:p w14:paraId="46E61F3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самолету ДБ2-2М85 ГУАП прислал выпуску из постановления СТО от 16 апреля 1935 г. со сроком выпуска его на госиспытания 15 июня 1935 г.</w:t>
      </w:r>
    </w:p>
    <w:p w14:paraId="05481C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основании специального постановления СТО срок выпуска на госиспытания с-та ДБ2-2М85 был назначен 15 ибля с.г., а на заводское 15 июня с..г.</w:t>
      </w:r>
    </w:p>
    <w:p w14:paraId="3A7F274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Прошу Вас уточнить назначенной правителвстзом срок госиспчтаиия этой машины и сообщить в ГУАП и мне для сведения (3419,101).</w:t>
      </w:r>
    </w:p>
    <w:p w14:paraId="3B139482" w14:textId="77777777" w:rsidR="00D4105E" w:rsidRPr="00E14102" w:rsidRDefault="00D4105E" w:rsidP="00E14102">
      <w:pPr>
        <w:autoSpaceDE w:val="0"/>
        <w:autoSpaceDN w:val="0"/>
        <w:adjustRightInd w:val="0"/>
        <w:jc w:val="both"/>
        <w:rPr>
          <w:color w:val="000000" w:themeColor="text1"/>
          <w:sz w:val="16"/>
          <w:szCs w:val="16"/>
        </w:rPr>
      </w:pPr>
    </w:p>
    <w:p w14:paraId="793509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16 мая 1935 самолет РД для перелета Леваневского в США был закончен покраской и 17 мая был готов к полету, но из-за болезни Леваневского полет перенесли на 23 мая (2343).</w:t>
      </w:r>
    </w:p>
    <w:p w14:paraId="02B6ADE1" w14:textId="77777777" w:rsidR="00D4105E" w:rsidRPr="00E14102" w:rsidRDefault="00D4105E" w:rsidP="00E14102">
      <w:pPr>
        <w:autoSpaceDE w:val="0"/>
        <w:autoSpaceDN w:val="0"/>
        <w:adjustRightInd w:val="0"/>
        <w:jc w:val="both"/>
        <w:rPr>
          <w:color w:val="000000" w:themeColor="text1"/>
          <w:sz w:val="16"/>
          <w:szCs w:val="16"/>
        </w:rPr>
      </w:pPr>
    </w:p>
    <w:p w14:paraId="353955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мая 1935 на ДБА 4М-34РН в ходе заводских испытаний на 22 заводе летали 1 раз 45 мин. на проверку радиаторов и это был 3-й полет машины (249).</w:t>
      </w:r>
    </w:p>
    <w:p w14:paraId="7384666D" w14:textId="77777777" w:rsidR="00D4105E" w:rsidRPr="00E14102" w:rsidRDefault="00D4105E" w:rsidP="00E14102">
      <w:pPr>
        <w:autoSpaceDE w:val="0"/>
        <w:autoSpaceDN w:val="0"/>
        <w:adjustRightInd w:val="0"/>
        <w:jc w:val="both"/>
        <w:rPr>
          <w:color w:val="000000" w:themeColor="text1"/>
          <w:sz w:val="16"/>
          <w:szCs w:val="16"/>
        </w:rPr>
      </w:pPr>
    </w:p>
    <w:p w14:paraId="395A49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16 мая 1935 состоялся 33-минутный перелёт «МГ» под управлением летчика ЦАГИ Н.С. Журова (второй пилот — фактический командир агитэскадрильи им. Максима Горького опытный лётчик-орденоносец И.В. Михе</w:t>
      </w:r>
      <w:r w:rsidRPr="00E14102">
        <w:rPr>
          <w:color w:val="000000" w:themeColor="text1"/>
          <w:sz w:val="16"/>
          <w:szCs w:val="16"/>
        </w:rPr>
        <w:softHyphen/>
        <w:t>ев) с Центрального аэро</w:t>
      </w:r>
      <w:r w:rsidRPr="00E14102">
        <w:rPr>
          <w:color w:val="000000" w:themeColor="text1"/>
          <w:sz w:val="16"/>
          <w:szCs w:val="16"/>
        </w:rPr>
        <w:softHyphen/>
        <w:t>дрома в Щёлково. Весь день там шла интенсив</w:t>
      </w:r>
      <w:r w:rsidRPr="00E14102">
        <w:rPr>
          <w:color w:val="000000" w:themeColor="text1"/>
          <w:sz w:val="16"/>
          <w:szCs w:val="16"/>
        </w:rPr>
        <w:softHyphen/>
        <w:t>ная тренировка И.В. Ми-хеева в качестве команди</w:t>
      </w:r>
      <w:r w:rsidRPr="00E14102">
        <w:rPr>
          <w:color w:val="000000" w:themeColor="text1"/>
          <w:sz w:val="16"/>
          <w:szCs w:val="16"/>
        </w:rPr>
        <w:softHyphen/>
        <w:t>ра корабля, так как на воскресенье 18 мая на</w:t>
      </w:r>
      <w:r w:rsidRPr="00E14102">
        <w:rPr>
          <w:color w:val="000000" w:themeColor="text1"/>
          <w:sz w:val="16"/>
          <w:szCs w:val="16"/>
        </w:rPr>
        <w:softHyphen/>
        <w:t>значили два полёта, после которых гигант официаль</w:t>
      </w:r>
      <w:r w:rsidRPr="00E14102">
        <w:rPr>
          <w:color w:val="000000" w:themeColor="text1"/>
          <w:sz w:val="16"/>
          <w:szCs w:val="16"/>
        </w:rPr>
        <w:softHyphen/>
        <w:t>но передавали из ЦАГИ в агитэскадрилью им. Мак</w:t>
      </w:r>
      <w:r w:rsidRPr="00E14102">
        <w:rPr>
          <w:color w:val="000000" w:themeColor="text1"/>
          <w:sz w:val="16"/>
          <w:szCs w:val="16"/>
        </w:rPr>
        <w:softHyphen/>
        <w:t>сима Горького. В процес</w:t>
      </w:r>
      <w:r w:rsidRPr="00E14102">
        <w:rPr>
          <w:color w:val="000000" w:themeColor="text1"/>
          <w:sz w:val="16"/>
          <w:szCs w:val="16"/>
        </w:rPr>
        <w:softHyphen/>
        <w:t>се вывозки Михеева в Щёлково сначала совер</w:t>
      </w:r>
      <w:r w:rsidRPr="00E14102">
        <w:rPr>
          <w:color w:val="000000" w:themeColor="text1"/>
          <w:sz w:val="16"/>
          <w:szCs w:val="16"/>
        </w:rPr>
        <w:softHyphen/>
        <w:t>шили четыре полёта дли</w:t>
      </w:r>
      <w:r w:rsidRPr="00E14102">
        <w:rPr>
          <w:color w:val="000000" w:themeColor="text1"/>
          <w:sz w:val="16"/>
          <w:szCs w:val="16"/>
        </w:rPr>
        <w:softHyphen/>
        <w:t>тельностью от 7 до 11 минут. Затем состоялся первый самостоятельный вылет Михеева (14 мин) и чуть позже еще один 9-минутный тренировочный полёт. Вечером того же дня Журов и Михеев за 30 минут перегнали «МГ» со Щёлковского аэродрома на Ходынку (11696).</w:t>
      </w:r>
    </w:p>
    <w:p w14:paraId="57BCCE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15BFE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мая 1935 Михеев совершил восемь полетов, из них два - самостоятельно, без Журова. Следующие полеты запланировали на 18 мая... Во второй половине мая велась интенсивная подготовка специалистов, которые должны были эксплуатировать машину в агитэскадрилье (12024).</w:t>
      </w:r>
    </w:p>
    <w:p w14:paraId="413292CF" w14:textId="77777777" w:rsidR="00D4105E" w:rsidRPr="00E14102" w:rsidRDefault="00D4105E" w:rsidP="00E14102">
      <w:pPr>
        <w:autoSpaceDE w:val="0"/>
        <w:autoSpaceDN w:val="0"/>
        <w:adjustRightInd w:val="0"/>
        <w:jc w:val="both"/>
        <w:rPr>
          <w:color w:val="000000" w:themeColor="text1"/>
          <w:sz w:val="16"/>
          <w:szCs w:val="16"/>
        </w:rPr>
      </w:pPr>
    </w:p>
    <w:p w14:paraId="4C36EB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мая 1935 года военпред на заводе N 135 писал письмо N 039 начальнику 4 отдела УВС Базенкову.</w:t>
      </w:r>
    </w:p>
    <w:p w14:paraId="71EA5E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Докладная записка.</w:t>
      </w:r>
    </w:p>
    <w:p w14:paraId="4725B2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мая в 14 час. 40 мин. при испытании самолета ЗЕТ N 13548 с мотором М-22 N 10538 пом. военпреда летчиком Бурлиным произошла авария, последствием которой явилось уничтожение самолета и ушиб предплечья руки летчика. (3126,160).</w:t>
      </w:r>
    </w:p>
    <w:p w14:paraId="0C47F807" w14:textId="77777777" w:rsidR="00D4105E" w:rsidRPr="00E14102" w:rsidRDefault="00D4105E" w:rsidP="00E14102">
      <w:pPr>
        <w:autoSpaceDE w:val="0"/>
        <w:autoSpaceDN w:val="0"/>
        <w:adjustRightInd w:val="0"/>
        <w:jc w:val="both"/>
        <w:rPr>
          <w:color w:val="000000" w:themeColor="text1"/>
          <w:sz w:val="16"/>
          <w:szCs w:val="16"/>
        </w:rPr>
      </w:pPr>
    </w:p>
    <w:p w14:paraId="4002CA75" w14:textId="77777777" w:rsidR="008240FA" w:rsidRPr="00E14102" w:rsidRDefault="008240FA" w:rsidP="00E14102">
      <w:pPr>
        <w:pStyle w:val="rtejustify"/>
        <w:shd w:val="clear" w:color="auto" w:fill="FFFFFF"/>
        <w:spacing w:before="0" w:after="0"/>
        <w:rPr>
          <w:color w:val="000000" w:themeColor="text1"/>
          <w:sz w:val="16"/>
          <w:szCs w:val="16"/>
        </w:rPr>
      </w:pPr>
      <w:r w:rsidRPr="00E14102">
        <w:rPr>
          <w:color w:val="000000" w:themeColor="text1"/>
          <w:sz w:val="16"/>
          <w:szCs w:val="16"/>
        </w:rPr>
        <w:t>С 16 мая по 11 июня 1936 г. на НИАПе проводились стрельбы из АКТ-37 Кондакова, установленной на временном станке.</w:t>
      </w:r>
    </w:p>
    <w:p w14:paraId="461DC0E5" w14:textId="77777777" w:rsidR="008240FA" w:rsidRPr="00E14102" w:rsidRDefault="008240FA" w:rsidP="00E14102">
      <w:pPr>
        <w:pStyle w:val="rtejustify"/>
        <w:shd w:val="clear" w:color="auto" w:fill="FFFFFF"/>
        <w:spacing w:before="0" w:after="0"/>
        <w:rPr>
          <w:color w:val="000000" w:themeColor="text1"/>
          <w:sz w:val="16"/>
          <w:szCs w:val="16"/>
        </w:rPr>
      </w:pPr>
      <w:r w:rsidRPr="00E14102">
        <w:rPr>
          <w:color w:val="000000" w:themeColor="text1"/>
          <w:sz w:val="16"/>
          <w:szCs w:val="16"/>
        </w:rPr>
        <w:t>Затем пушка была установлена в носовой турели двухмоторного разведчик Р-6  (АНТ-7) конструкции Туполева. Стрельбы в воздухе проводились с 8 по 16 августа 1936 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7E7DFB96" w14:textId="77777777" w:rsidR="008240FA" w:rsidRPr="00E14102" w:rsidRDefault="008240FA" w:rsidP="00E14102">
      <w:pPr>
        <w:pStyle w:val="rtejustify"/>
        <w:shd w:val="clear" w:color="auto" w:fill="FFFFFF"/>
        <w:spacing w:before="0" w:after="0"/>
        <w:rPr>
          <w:color w:val="000000" w:themeColor="text1"/>
          <w:sz w:val="16"/>
          <w:szCs w:val="16"/>
        </w:rPr>
      </w:pPr>
      <w:r w:rsidRPr="00E14102">
        <w:rPr>
          <w:color w:val="000000" w:themeColor="text1"/>
          <w:sz w:val="16"/>
          <w:szCs w:val="16"/>
        </w:rPr>
        <w:t>Согласно постановлению командования ВВС пушка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4229A6FF" w14:textId="77777777" w:rsidR="008240FA" w:rsidRPr="00E14102" w:rsidRDefault="008240FA" w:rsidP="00E14102">
      <w:pPr>
        <w:pStyle w:val="rtejustify"/>
        <w:shd w:val="clear" w:color="auto" w:fill="FFFFFF"/>
        <w:spacing w:before="0" w:after="0"/>
        <w:rPr>
          <w:color w:val="000000" w:themeColor="text1"/>
          <w:sz w:val="16"/>
          <w:szCs w:val="16"/>
        </w:rPr>
      </w:pPr>
      <w:r w:rsidRPr="00E14102">
        <w:rPr>
          <w:color w:val="000000" w:themeColor="text1"/>
          <w:sz w:val="16"/>
          <w:szCs w:val="16"/>
        </w:rPr>
        <w:t>Не дожидаясь конца испытаний АКТ-37, Кондаков уже в 1936 г. начал работу по ее модернизации (19169).</w:t>
      </w:r>
    </w:p>
    <w:p w14:paraId="52F86811" w14:textId="77777777" w:rsidR="008240FA" w:rsidRPr="00E14102" w:rsidRDefault="008240FA" w:rsidP="00E14102">
      <w:pPr>
        <w:pStyle w:val="rtejustify"/>
        <w:shd w:val="clear" w:color="auto" w:fill="FFFFFF"/>
        <w:spacing w:before="0" w:after="0"/>
        <w:rPr>
          <w:color w:val="000000" w:themeColor="text1"/>
          <w:sz w:val="16"/>
          <w:szCs w:val="16"/>
        </w:rPr>
      </w:pPr>
    </w:p>
    <w:p w14:paraId="1EBD2F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мая 1935 вышло постановление СТО N С-39сс о плане опытного самолетостроения для ГВФ (2161,101).</w:t>
      </w:r>
    </w:p>
    <w:p w14:paraId="5AD1BEAB" w14:textId="77777777" w:rsidR="00D4105E" w:rsidRPr="00E14102" w:rsidRDefault="00D4105E" w:rsidP="00E14102">
      <w:pPr>
        <w:autoSpaceDE w:val="0"/>
        <w:autoSpaceDN w:val="0"/>
        <w:adjustRightInd w:val="0"/>
        <w:jc w:val="both"/>
        <w:rPr>
          <w:color w:val="000000" w:themeColor="text1"/>
          <w:sz w:val="16"/>
          <w:szCs w:val="16"/>
        </w:rPr>
      </w:pPr>
    </w:p>
    <w:p w14:paraId="3B8C7D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мая 1935 начался большой перелет дирижабля СССР-В6 по маршруту Москва-Архангельск. 40 часов в воздухе (271,152).</w:t>
      </w:r>
    </w:p>
    <w:p w14:paraId="17C83589" w14:textId="77777777" w:rsidR="00D4105E" w:rsidRPr="00E14102" w:rsidRDefault="00D4105E" w:rsidP="00E14102">
      <w:pPr>
        <w:autoSpaceDE w:val="0"/>
        <w:autoSpaceDN w:val="0"/>
        <w:adjustRightInd w:val="0"/>
        <w:jc w:val="both"/>
        <w:rPr>
          <w:color w:val="000000" w:themeColor="text1"/>
          <w:sz w:val="16"/>
          <w:szCs w:val="16"/>
        </w:rPr>
      </w:pPr>
    </w:p>
    <w:p w14:paraId="76BA77F9" w14:textId="77777777" w:rsidR="0080041B" w:rsidRPr="00E14102" w:rsidRDefault="0080041B" w:rsidP="00E14102">
      <w:pPr>
        <w:jc w:val="both"/>
        <w:rPr>
          <w:color w:val="000000" w:themeColor="text1"/>
          <w:sz w:val="16"/>
          <w:szCs w:val="16"/>
        </w:rPr>
      </w:pPr>
      <w:r w:rsidRPr="00E14102">
        <w:rPr>
          <w:color w:val="000000" w:themeColor="text1"/>
          <w:sz w:val="16"/>
          <w:szCs w:val="16"/>
        </w:rPr>
        <w:t>16 -18 мая 1935 г. В-6 перелетел по маршруту Долгопрудная – Углич – Рыбинск – Вологда – Архангельск – Вологда – Углич – Дмитров –Долгопрудная, пройдя 2200 км за 40 ч [Полет СССР В-6 Москва – Архангельск – Москва // Технический бюллетень Дирижаблестроя. - 1935. - № 1, с. 102]. В 1935 г. В-6 совершил также полеты по маршрутам: Москва – Казань – Вятские Поляны – Казань – Москва, Москва – Брянск –Чернигов – Киев – Чернигов – Калуга - Москва, Москва – Харьков – Москва [Полеты «СССР В-6» // Технический бюллетень Дирижаблестроя. - 1935. - № 3, с. 101] (15234).</w:t>
      </w:r>
    </w:p>
    <w:p w14:paraId="6A9975EE" w14:textId="77777777" w:rsidR="0080041B" w:rsidRPr="00E14102" w:rsidRDefault="0080041B" w:rsidP="00E14102">
      <w:pPr>
        <w:jc w:val="both"/>
        <w:rPr>
          <w:color w:val="000000" w:themeColor="text1"/>
          <w:sz w:val="16"/>
          <w:szCs w:val="16"/>
        </w:rPr>
      </w:pPr>
    </w:p>
    <w:p w14:paraId="727B9C4D" w14:textId="77777777" w:rsidR="00437740" w:rsidRPr="00E14102" w:rsidRDefault="00437740" w:rsidP="00E14102">
      <w:pPr>
        <w:jc w:val="both"/>
        <w:rPr>
          <w:color w:val="0070C0"/>
          <w:sz w:val="16"/>
          <w:szCs w:val="16"/>
        </w:rPr>
      </w:pPr>
      <w:r w:rsidRPr="00E14102">
        <w:rPr>
          <w:color w:val="0070C0"/>
          <w:sz w:val="16"/>
          <w:szCs w:val="16"/>
          <w:lang w:bidi="ru-RU"/>
        </w:rPr>
        <w:t>16-18 мая 1935 состоялся второй дальний полёт, в котором за 40 часов «СССР- В6» прошёл по маршруту Москва - Архангельск - Москва протяжённостью около 2200 километров. К порогу Арктики дирижабль прилетел в середине дня и кружил над городом около полутора часов. Тысячи архангелогородцев наблюдали в небесах воздушный корабль, на который так долго собирали деньги.</w:t>
      </w:r>
    </w:p>
    <w:p w14:paraId="0B282B50" w14:textId="77777777" w:rsidR="00437740" w:rsidRPr="00E14102" w:rsidRDefault="00437740" w:rsidP="00E14102">
      <w:pPr>
        <w:jc w:val="both"/>
        <w:rPr>
          <w:color w:val="0070C0"/>
          <w:sz w:val="16"/>
          <w:szCs w:val="16"/>
        </w:rPr>
      </w:pPr>
      <w:r w:rsidRPr="00E14102">
        <w:rPr>
          <w:color w:val="0070C0"/>
          <w:sz w:val="16"/>
          <w:szCs w:val="16"/>
          <w:lang w:bidi="ru-RU"/>
        </w:rPr>
        <w:t>В ходе испытательного высотного полёта 23 мая дирижабль провёл в воздухе шесть часов и поднялся до высоты 3300 метров. Тщательный послеполётный осмотр не выявил скрытых неисправностей, и испытания сочли законченными (23192).</w:t>
      </w:r>
    </w:p>
    <w:p w14:paraId="1F1260ED" w14:textId="77777777" w:rsidR="00437740" w:rsidRPr="00E14102" w:rsidRDefault="00437740" w:rsidP="00E14102">
      <w:pPr>
        <w:jc w:val="both"/>
        <w:rPr>
          <w:color w:val="0070C0"/>
          <w:sz w:val="16"/>
          <w:szCs w:val="16"/>
        </w:rPr>
      </w:pPr>
    </w:p>
    <w:p w14:paraId="1C4E09A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8D4E524" w14:textId="77777777" w:rsidR="00D4105E" w:rsidRPr="00E14102" w:rsidRDefault="00D4105E" w:rsidP="00E14102">
      <w:pPr>
        <w:autoSpaceDE w:val="0"/>
        <w:autoSpaceDN w:val="0"/>
        <w:adjustRightInd w:val="0"/>
        <w:jc w:val="both"/>
        <w:rPr>
          <w:iCs/>
          <w:color w:val="000000" w:themeColor="text1"/>
          <w:sz w:val="16"/>
          <w:szCs w:val="16"/>
        </w:rPr>
      </w:pPr>
    </w:p>
    <w:p w14:paraId="1A678C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мая 1935 г. был издан приказ НКТП о вводе в строй первых цехов Челябинского завода крупного станкостроения. Это явилось важным событием для всей страны. Свою полугодовую программу коллектив выполнил досрочно на 102% и принял обязательство на участие в конкурсе строек Наркомата тяжёлой промышленности.</w:t>
      </w:r>
    </w:p>
    <w:p w14:paraId="1198A9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Первой пробой сил молодого предприятия стало изготовление четырёх опытных, высокой точности токарно-винторезных станков СО-1, названных так в честь Серго Орджоникидзе. Выполнять первый заказ поручили коллективам инструментального и ремонтно-механического цехов. Пока готовились рабочие чертежи, разрабатывалась технология, изготовлялась оснастка, затем отливка и механическая обработка деталей, прошло более двух месяцев. Директор завода И.А.Каттель торопил со сборкой, а когда началась обкатка первых двух опытных станков, он ежедневно приходил на участок. Рабочим завода хотелось привезти эти станки в Москву, в Кремль как подарок к 18-й годовщине Великого Октября. </w:t>
      </w:r>
    </w:p>
    <w:p w14:paraId="28BC48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ноябре 1935 г. в приказе директора в заводской многотиражке "Ударник" отмечалось: "1 ноября с.г. были опробованы первые два станка, которые показали высокий класс точности и качество исполненной работы". А через несколько дней на заводе была получена телеграмма: "Челябинск Станкострой инструментальный начальнику Осиповичу первый станок поставил зале заседаний Серго Колесник. Москва. 9 ноября 1935". </w:t>
      </w:r>
    </w:p>
    <w:p w14:paraId="5A42FB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И.Н.Колесник, начальник слесарной мастерской, вспоминает: "Говорят, первый блин получается комом. Наш "блин" удался. Мы превзошли точность швейцарских станков, взятых за основу. В Москву со станками поручили ехать мне. На другой день по приезде я обкатал их, нарезал образцы резьбы. С большой группой руководителей подошел Серго Орджоникидзе. Он расспрашивал о жизни коллектива и дал высокую оценку нашей работе" (11557).</w:t>
      </w:r>
    </w:p>
    <w:p w14:paraId="56C0F5ED" w14:textId="77777777" w:rsidR="00D4105E" w:rsidRPr="00E14102" w:rsidRDefault="00D4105E" w:rsidP="00E14102">
      <w:pPr>
        <w:autoSpaceDE w:val="0"/>
        <w:autoSpaceDN w:val="0"/>
        <w:adjustRightInd w:val="0"/>
        <w:jc w:val="both"/>
        <w:rPr>
          <w:color w:val="000000" w:themeColor="text1"/>
          <w:sz w:val="16"/>
          <w:szCs w:val="16"/>
        </w:rPr>
      </w:pPr>
    </w:p>
    <w:p w14:paraId="43A764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мая 1935 г. был основан “Станкомаш” как завод крупного станкостроения в ведении Снарядного треста ВСНХ.</w:t>
      </w:r>
    </w:p>
    <w:p w14:paraId="07CC65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 НКОП № Обсс от 30.12.1936 г. «Челябстанкострой» переименован в завод № 78. В 02.1937 г. завод № 78 - в ведении 4ГУ НКОП, по пр. № 0180 от 15.08.1937 г. передан в новое 13ГУ, в том же году заводу присвоено имя Орджоникидзе. В 02.1939 г. завод № 78 13ГУ НКОП передан в ведение 13ГУ НКБ.</w:t>
      </w:r>
    </w:p>
    <w:p w14:paraId="474CB7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1930 г. было принято решение о строительстве завода (Завод № 78 им. Орджоникидзе НКОП, НКБ, «Челябстанкострой» нктп, п/я 500, ОАО «Федеральный научно-производственный центр (ФНПЦ) «Станкомаш» Росбоеприпаса, Акционерное общество «Станкомаш» / г. Челябинск п/я 500 «Удар» (1943 г.)/ /454010  г. Челябинск ул. Енисейская, 8 тел. 52-84-92/).</w:t>
      </w:r>
    </w:p>
    <w:p w14:paraId="651565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НКОП № 0025 от 4.02.1937 г. заводу предписано к 1.01.1938 г. создать мощности по выпуску корпусов снарядов: 180-мм - 12 тыс. шт. в год; 203-мм - 250 тыс. шт.; 305-мм - 2 тыс. шт. «В связи с неудовлетворительными темпами работ» 13/20.01.1938 г. вышел приказ № Юс провести обследование строительства завода.</w:t>
      </w:r>
    </w:p>
    <w:p w14:paraId="00EB50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1937 г. освоен выпуск токарно-винторезных станков. Приказом № 0222 от 28.09.1937 г. заводу была установлена программа по выпуску в 1938 г. станков: токарных: ТДА-П - 1,1-Д-64 - 60, 1-С-62 - 20, для крупных изделий- 1; револьверного - 1; спецмашин: шлифовально-полировочных ПШ - 10, шнек-аппаратов АБ-250 - 20.</w:t>
      </w:r>
    </w:p>
    <w:p w14:paraId="5E82F6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пост.ениями ЦК ВКП (б) № П-34-174 от 2.07.1941 г., Совета по эвакуации № СЭ-12сс от 3.07.1941 г. и распоряжением СНК № 1806-806 от 2.07.1941 г. на площадку завода эвакуирован из Ленинграда НИИ-24 (вероятно, его Ленинградский филиал). В соответствии с пост. ГКО № 99сс от 11.07.1941 г. на площадку завода эвакуировано снарядное производство завода № 232 НКВ и часть завода № 7 НКВ из Ленинграда. Также на площадку завода эвакуированы заводы НКБ: из Москвы часть завода № 70 (производство М-13, 76-мм дистанционных гранат и станкостроение, всего 400 ед. оборудования, 1000 чел.), все оборудование прибыло, основная его часть смонтирована и введена в строй (для всех эвакуированных заводов дано состояние на 30.12.1941 г.), к 30.01.1942 г. восстановлена мощность по М-13 - 100 тыс. шт. в год; производство ПЛАБ с завода № 67 (7 станков затем передано другим заводам); из Сталино часть завода № 73 (производство 76-мм снарядов, ФАБ-100, инструментальный и ремонтный цеха, 736 ед. оборудования, 1350 чел.), прибыла половина оборудования, часть его смонтирована и введена в строй, к 30.01.1942 г. восстановлено производство ФАБ-100 мощностью 200 тыс. шт. в год; часть завода № 258 из Осипенко (52 ед. вспомогательного и прессового оборудования, 30 чел.), все оборудование было уже смонтировано, основная его часть пущена в эксплуатацию; завод № 513 из Ростова-на-Дону (производство эмалированой посуды), прибыло 44 ед. оборудования, но оно подлежало переброске на другой завод; 93 чел. с завода № 561 (затем возвращены обратно). Кроме того, сюда эвакуировано производство 305-мм и 356-мм корпусов снарядов завода «Красный Профинтерн» ( г. Орджоникидзеград, 240 ед. оборудования), прибыло 48 ед.; оборудование по сборке М-13 с московских заводов: «Инжектор», прибыло и смонтировано 7 ед.; Опытного, прибыло 59 ед.; Электродного, прибыло 19 ед.; им. Войтовича, прибыло 35 ед.; Метростроя, прибыла 71 ед.; ситцевой фабрики, прибыло 12 ед.; № 220, прибыло 7 ед.; Карачаровского, прибыло 15 ед.; «Красный путь», прибыло 16 ед.; ГПЗ-1, прибыло 3 ед.; № 592 НКВ ( г. Мытищи), прибыло 47 ед.; Кольчугинского, прибыло 16 ед.</w:t>
      </w:r>
    </w:p>
    <w:p w14:paraId="612759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12.1942-09.1944 г. - в ведении 4ГУ НКБ. Имел обозначение «п/я 500» (1943 г.).</w:t>
      </w:r>
    </w:p>
    <w:p w14:paraId="3D9E68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соответствии с пост. ГКО № 892сс от 13.11.1941 г. из состава завода № 78 несколько цехов выделены в самостоятельный металлургический броневой завод № 200, который был включен в состав Уральского комбината по производству тяжелых танков КВ. 8.03.1944 г. вышло постановление ГКО № 5335 о восстановлении производства снарядов крупных калибров на заводе.</w:t>
      </w:r>
    </w:p>
    <w:p w14:paraId="0123FE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составе завода основные цехи (1943 г.): механический, кузнечно-прессовый, термический, литейный. Количество оборудования- 865 ед.</w:t>
      </w:r>
    </w:p>
    <w:p w14:paraId="5CDC2D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Распоряжением правительства № 1545-р от 2.10.1999 г. предприятию присвоен статус ФНПЦ. По решению правительства № 22-р от 9.01.2004 г. АО вошло в перечень стратегических предприятий.</w:t>
      </w:r>
    </w:p>
    <w:p w14:paraId="05C166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2004 г. - многоцелевое предприятие с замкнутым циклом производства от выплавки стали (чугуна) до изготовления конечного продукта. Головной разработчик и единственный в России производитель средств преодоления минных полей. В 2008 г. предприятие являлось банкротом.</w:t>
      </w:r>
    </w:p>
    <w:p w14:paraId="679043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предприятии имелись производства: электросталеплавильное, сталелитейное, чугунолитейное, цветное литье в кокиль ( латунь, бронза), литье под давлением (алюминий); различные виды термической обработки; изготовление деталей методом прямого прессования из резины и термореактивных пресспорошков, а также пластмассы методом литья под давлением; холодная штамповка; механообрабатывающее; сварочное; гальваническое.</w:t>
      </w:r>
    </w:p>
    <w:p w14:paraId="2469E9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(1943 г.): производственная- 92046 м</w:t>
      </w:r>
      <w:r w:rsidRPr="00E14102">
        <w:rPr>
          <w:color w:val="000000" w:themeColor="text1"/>
          <w:sz w:val="16"/>
          <w:szCs w:val="16"/>
          <w:vertAlign w:val="superscript"/>
        </w:rPr>
        <w:t>2</w:t>
      </w:r>
      <w:r w:rsidRPr="00E14102">
        <w:rPr>
          <w:color w:val="000000" w:themeColor="text1"/>
          <w:sz w:val="16"/>
          <w:szCs w:val="16"/>
        </w:rPr>
        <w:t>; вспомогательная- 45199 м</w:t>
      </w:r>
      <w:r w:rsidRPr="00E14102">
        <w:rPr>
          <w:color w:val="000000" w:themeColor="text1"/>
          <w:sz w:val="16"/>
          <w:szCs w:val="16"/>
          <w:vertAlign w:val="superscript"/>
        </w:rPr>
        <w:t>2</w:t>
      </w:r>
      <w:r w:rsidRPr="00E14102">
        <w:rPr>
          <w:color w:val="000000" w:themeColor="text1"/>
          <w:sz w:val="16"/>
          <w:szCs w:val="16"/>
        </w:rPr>
        <w:t>.</w:t>
      </w:r>
    </w:p>
    <w:p w14:paraId="0E3087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Численность персонала (12.1942 г.)- 11033 чел.</w:t>
      </w:r>
      <w:r w:rsidRPr="00E14102">
        <w:rPr>
          <w:color w:val="000000" w:themeColor="text1"/>
          <w:sz w:val="16"/>
          <w:szCs w:val="16"/>
          <w:vertAlign w:val="superscript"/>
        </w:rPr>
        <w:t>132</w:t>
      </w:r>
    </w:p>
    <w:p w14:paraId="76C39C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И.О. директора (-03-25.04.1937 г.)- Д.Л. Головчинер. Директор (25.04.1937 г.-)- К.М. Отс , (1.07.1937- 11.04.1938 г.)- С.А. Кушпель (снят), (14.08.1938 г.-)- А.А. Сухих, (11.1941 г.-)- М. Попов, (04.1943 г.)- Уваров, (11.1943 г.)- Рогожин. Гендиректор (2007 г.)- А. Тарасов.</w:t>
      </w:r>
    </w:p>
    <w:p w14:paraId="494725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директора: (06.1937 г.)- М.А. Балкин; по строительству (25.04.1937 г.-)- Д.Л. Головчинер. Помощник директора по найму и увольнению (14.08.1938 г.-)- А.К. Москвичев.</w:t>
      </w:r>
    </w:p>
    <w:p w14:paraId="4967F4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Технический директор (2007 г.)- В. Дружинин.</w:t>
      </w:r>
    </w:p>
    <w:p w14:paraId="3413DF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(06.1937 г.)- М.А. Балакин, (04.1943 г.)- Забалуев.</w:t>
      </w:r>
    </w:p>
    <w:p w14:paraId="79806D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отделов: НПО (04.1943 г.)- Савельев.</w:t>
      </w:r>
    </w:p>
    <w:p w14:paraId="4EE8C7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Производство: детали для </w:t>
      </w:r>
      <w:r w:rsidRPr="00E14102">
        <w:rPr>
          <w:color w:val="000000" w:themeColor="text1"/>
          <w:sz w:val="16"/>
          <w:szCs w:val="16"/>
          <w:lang w:val="en-US"/>
        </w:rPr>
        <w:t>PC</w:t>
      </w:r>
      <w:r w:rsidRPr="00E14102">
        <w:rPr>
          <w:color w:val="000000" w:themeColor="text1"/>
          <w:sz w:val="16"/>
          <w:szCs w:val="16"/>
        </w:rPr>
        <w:t xml:space="preserve"> М-13 (-1942-43-); снаряды 180-мм, 152-мм, 76-мм; авиацилиндры моторов М- 82, М-85, М-100 (1937), С-50; мины 120-мм (1943); тралы: колейный катково-ножевой КМТ-7, ножевой КМТ-8, ножевой КМТ-10, КМТ-РЗ (2000-е); электромагнитная приставка ЭМТ для траления мин с неконтактными магнитными взрывателями; токарно-винторезные станки 1К625Д, нефтегазопромысловое и шахтное оборудование, лебедки для горнодобывающей промышленности (2004) (11982).</w:t>
      </w:r>
    </w:p>
    <w:p w14:paraId="5338E696" w14:textId="77777777" w:rsidR="00D4105E" w:rsidRPr="00E14102" w:rsidRDefault="00D4105E" w:rsidP="00E14102">
      <w:pPr>
        <w:autoSpaceDE w:val="0"/>
        <w:autoSpaceDN w:val="0"/>
        <w:adjustRightInd w:val="0"/>
        <w:jc w:val="both"/>
        <w:rPr>
          <w:color w:val="000000" w:themeColor="text1"/>
          <w:sz w:val="16"/>
          <w:szCs w:val="16"/>
        </w:rPr>
      </w:pPr>
    </w:p>
    <w:p w14:paraId="48F2F7D6" w14:textId="77777777" w:rsidR="0080041B" w:rsidRPr="00E14102" w:rsidRDefault="0080041B" w:rsidP="00E14102">
      <w:pPr>
        <w:jc w:val="both"/>
        <w:rPr>
          <w:color w:val="000000" w:themeColor="text1"/>
          <w:sz w:val="16"/>
          <w:szCs w:val="16"/>
        </w:rPr>
      </w:pPr>
      <w:r w:rsidRPr="00E14102">
        <w:rPr>
          <w:bCs/>
          <w:color w:val="000000" w:themeColor="text1"/>
          <w:sz w:val="16"/>
          <w:szCs w:val="16"/>
        </w:rPr>
        <w:t>16 мая</w:t>
      </w:r>
      <w:r w:rsidRPr="00E14102">
        <w:rPr>
          <w:color w:val="000000" w:themeColor="text1"/>
          <w:sz w:val="16"/>
          <w:szCs w:val="16"/>
        </w:rPr>
        <w:t xml:space="preserve"> в 1935 году в Челябинске создан завод Станкомаш (ОАО «Федеральный научно-производственный центр «Станкомаш») (14893).</w:t>
      </w:r>
    </w:p>
    <w:p w14:paraId="2C1AA370" w14:textId="77777777" w:rsidR="0080041B" w:rsidRPr="00E14102" w:rsidRDefault="0080041B" w:rsidP="00E14102">
      <w:pPr>
        <w:jc w:val="both"/>
        <w:rPr>
          <w:color w:val="000000" w:themeColor="text1"/>
          <w:sz w:val="16"/>
          <w:szCs w:val="16"/>
        </w:rPr>
      </w:pPr>
    </w:p>
    <w:p w14:paraId="14FCB93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3E5AF974" w14:textId="77777777" w:rsidR="00D4105E" w:rsidRPr="00E14102" w:rsidRDefault="00D4105E" w:rsidP="00E14102">
      <w:pPr>
        <w:autoSpaceDE w:val="0"/>
        <w:autoSpaceDN w:val="0"/>
        <w:adjustRightInd w:val="0"/>
        <w:jc w:val="both"/>
        <w:rPr>
          <w:iCs/>
          <w:color w:val="000000" w:themeColor="text1"/>
          <w:sz w:val="16"/>
          <w:szCs w:val="16"/>
        </w:rPr>
      </w:pPr>
    </w:p>
    <w:p w14:paraId="4320BB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мая 1935 заключили межправительственное соглашение о воздушном сообщении с Чехословакией (442,304).</w:t>
      </w:r>
    </w:p>
    <w:p w14:paraId="59D8EBD8" w14:textId="77777777" w:rsidR="00D4105E" w:rsidRPr="00E14102" w:rsidRDefault="00D4105E" w:rsidP="00E14102">
      <w:pPr>
        <w:autoSpaceDE w:val="0"/>
        <w:autoSpaceDN w:val="0"/>
        <w:adjustRightInd w:val="0"/>
        <w:jc w:val="both"/>
        <w:rPr>
          <w:color w:val="000000" w:themeColor="text1"/>
          <w:sz w:val="16"/>
          <w:szCs w:val="16"/>
        </w:rPr>
      </w:pPr>
    </w:p>
    <w:p w14:paraId="71DC9E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мая 1935 был подписан Советско-Чехословацкий договор о взаимной помощи (1348,243) при нападении, при условии помощи Франции (2443,141).</w:t>
      </w:r>
    </w:p>
    <w:p w14:paraId="37C7D64F" w14:textId="77777777" w:rsidR="00D4105E" w:rsidRPr="00E14102" w:rsidRDefault="00D4105E" w:rsidP="00E14102">
      <w:pPr>
        <w:autoSpaceDE w:val="0"/>
        <w:autoSpaceDN w:val="0"/>
        <w:adjustRightInd w:val="0"/>
        <w:jc w:val="both"/>
        <w:rPr>
          <w:color w:val="000000" w:themeColor="text1"/>
          <w:sz w:val="16"/>
          <w:szCs w:val="16"/>
        </w:rPr>
      </w:pPr>
    </w:p>
    <w:p w14:paraId="087573F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мая 1935 в Праге подписан советско-чехословацкий договор о взаимной помощи (который должен был вступить в силу лишь в случае соблюдения Францией своих обязательств по оказанию помощи стороне, подвергшейся нападению) (4962).</w:t>
      </w:r>
    </w:p>
    <w:p w14:paraId="1CED6C7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B6801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мая 1935 г. между Чехословакией и Советским Союзом был заключен договор о взаимной помощи, предполагающий и сотрудничество в военной области. Вполне естественно, что первыми проявлениями такого сотрудничества оказались обмены военными делегациями.</w:t>
      </w:r>
    </w:p>
    <w:p w14:paraId="4008C2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мая 1935 г. в Москву на бомбардировщике французской постройки Bloch-200 прибыл командующий ВВС Чехословакии генерал Файфр в сопровождении немногочисленной свиты, состоящей из трех человек. А 15-17 августа 1935 г. советская делегация во главе с Начальником Главного Управления ГВФ И.С.Уншлихтом на самолетах ТБ-3 посетила с ответным визитом Прагу.</w:t>
      </w:r>
    </w:p>
    <w:p w14:paraId="2B29A5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Результатом визитов и последовавшего достаточно доверительного обмена информацией явился ряд соглашений о взаимных поставках образцов вооружений. В частности, Советский Союз получил от Чехословакии техническую документацию на горную пушку С-5 и зенитку R-3. Чехословацкие военные, в свою очередь, заинтересовались советским бомбардировщиком СБ, причем произошло это уже в конце 1936 г., явно под воздействием его успешных акций в Испании (12027).</w:t>
      </w:r>
    </w:p>
    <w:p w14:paraId="77CF7406" w14:textId="77777777" w:rsidR="00D4105E" w:rsidRPr="00E14102" w:rsidRDefault="00D4105E" w:rsidP="00E14102">
      <w:pPr>
        <w:autoSpaceDE w:val="0"/>
        <w:autoSpaceDN w:val="0"/>
        <w:adjustRightInd w:val="0"/>
        <w:jc w:val="both"/>
        <w:rPr>
          <w:color w:val="000000" w:themeColor="text1"/>
          <w:sz w:val="16"/>
          <w:szCs w:val="16"/>
        </w:rPr>
      </w:pPr>
    </w:p>
    <w:p w14:paraId="6CA2FED7" w14:textId="77777777" w:rsidR="008240FA" w:rsidRPr="00E14102" w:rsidRDefault="008240FA" w:rsidP="00E14102">
      <w:pPr>
        <w:jc w:val="both"/>
        <w:rPr>
          <w:color w:val="000000" w:themeColor="text1"/>
          <w:sz w:val="16"/>
          <w:szCs w:val="16"/>
        </w:rPr>
      </w:pPr>
      <w:r w:rsidRPr="00E14102">
        <w:rPr>
          <w:color w:val="000000" w:themeColor="text1"/>
          <w:sz w:val="16"/>
          <w:szCs w:val="16"/>
        </w:rPr>
        <w:t>16 мая 1935 года, в день открытия в Москве первой ветки метрополитена, был подписан договор о взаимной помощи между СССР и Чехословакией. Подписание происходило на фоне активизации военной программы Германии, в которой к власти пришли нацисты. 16 марта 1935 года, ровно за два месяца до подписания советско-чехословацкого договора, нацисты преобразовали рейхсвер в вермахт и ввели в Германии всеобщую воинскую обязанность. Немцы перестали скрывать производство для своей армии новых видов вооружения и военной техники, окончательно порвав с </w:t>
      </w:r>
      <w:hyperlink r:id="rId103" w:history="1">
        <w:r w:rsidRPr="00E14102">
          <w:rPr>
            <w:rStyle w:val="a4"/>
            <w:rFonts w:eastAsiaTheme="majorEastAsia"/>
            <w:color w:val="000000" w:themeColor="text1"/>
            <w:sz w:val="16"/>
            <w:szCs w:val="16"/>
          </w:rPr>
          <w:t>Версальским договором</w:t>
        </w:r>
      </w:hyperlink>
      <w:r w:rsidRPr="00E14102">
        <w:rPr>
          <w:color w:val="000000" w:themeColor="text1"/>
          <w:sz w:val="16"/>
          <w:szCs w:val="16"/>
        </w:rPr>
        <w:t>. Руководство Чехословакии прекрасно понимало, к чему всё идёт, поэтому договор о взаимной помощи с таким могучим государством, как Советский Союз, был для небольшой страны насущной необходимостью.</w:t>
      </w:r>
    </w:p>
    <w:p w14:paraId="44177744" w14:textId="77777777" w:rsidR="008240FA" w:rsidRPr="00E14102" w:rsidRDefault="008240FA" w:rsidP="00E14102">
      <w:pPr>
        <w:jc w:val="both"/>
        <w:rPr>
          <w:color w:val="000000" w:themeColor="text1"/>
          <w:sz w:val="16"/>
          <w:szCs w:val="16"/>
        </w:rPr>
      </w:pPr>
      <w:r w:rsidRPr="00E14102">
        <w:rPr>
          <w:color w:val="000000" w:themeColor="text1"/>
          <w:sz w:val="16"/>
          <w:szCs w:val="16"/>
        </w:rPr>
        <w:t>Договор активизировал взаимовыгодное сотрудничество в военной сфере. Каждой из сторон было что предложить друг другу. Наибольший интерес у чехословаков вызвал советский бомбардировщик СБ. Для своего времени это была выдающаяся машина, ничего подобного на мировом рынке тогда никто предложить не мог. Так в 1937 году Чехословакия получила свою копию СБ — лёгкий бомбардировщик Avia B-71. В свою очередь, чехословацкая промышленность, и прежде всего Škoda, могли предложить разнообразные артиллерийские орудия. Наиболее удачным плодом сотрудничества со Škoda стала 76-мм горная пушка обр.1938 года, которая базировалась на конструкции чехословацкой 75-мм горной пушки. Также на вооружение Красной армии поступили 210-мм пушка БР-17 и 305-мм гаубица БР-18, копии чехословацких тяжёлых орудий (18156).</w:t>
      </w:r>
    </w:p>
    <w:p w14:paraId="53473A9A" w14:textId="77777777" w:rsidR="008240FA" w:rsidRPr="00E14102" w:rsidRDefault="008240FA" w:rsidP="00E14102">
      <w:pPr>
        <w:jc w:val="both"/>
        <w:rPr>
          <w:color w:val="000000" w:themeColor="text1"/>
          <w:sz w:val="16"/>
          <w:szCs w:val="16"/>
        </w:rPr>
      </w:pPr>
    </w:p>
    <w:p w14:paraId="15150BCC" w14:textId="77777777" w:rsidR="0092044A" w:rsidRPr="00E14102" w:rsidRDefault="0092044A"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372440F" w14:textId="77777777" w:rsidR="0092044A" w:rsidRPr="00E14102" w:rsidRDefault="0092044A" w:rsidP="00E14102">
      <w:pPr>
        <w:autoSpaceDE w:val="0"/>
        <w:autoSpaceDN w:val="0"/>
        <w:adjustRightInd w:val="0"/>
        <w:jc w:val="both"/>
        <w:rPr>
          <w:iCs/>
          <w:color w:val="000000" w:themeColor="text1"/>
          <w:sz w:val="16"/>
          <w:szCs w:val="16"/>
        </w:rPr>
      </w:pPr>
    </w:p>
    <w:p w14:paraId="7230FFE2" w14:textId="77777777" w:rsidR="0092044A" w:rsidRPr="00E14102" w:rsidRDefault="0092044A" w:rsidP="00E14102">
      <w:pPr>
        <w:jc w:val="both"/>
        <w:rPr>
          <w:color w:val="0070C0"/>
          <w:sz w:val="16"/>
          <w:szCs w:val="16"/>
        </w:rPr>
      </w:pPr>
      <w:r w:rsidRPr="00E14102">
        <w:rPr>
          <w:color w:val="0070C0"/>
          <w:sz w:val="16"/>
          <w:szCs w:val="16"/>
        </w:rPr>
        <w:t>16 мая 1935 - В Нью-Йорке Д. У. Tomlinson и Дж С. Бартельс устанавливают 14 мировых рекордов скорости на Douglas DC-1 (22500).</w:t>
      </w:r>
    </w:p>
    <w:p w14:paraId="5CD57B4F" w14:textId="77777777" w:rsidR="0092044A" w:rsidRPr="00E14102" w:rsidRDefault="0092044A" w:rsidP="00E14102">
      <w:pPr>
        <w:jc w:val="both"/>
        <w:rPr>
          <w:color w:val="0070C0"/>
          <w:sz w:val="16"/>
          <w:szCs w:val="16"/>
        </w:rPr>
      </w:pPr>
    </w:p>
    <w:p w14:paraId="6EA00A0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CAE61FA" w14:textId="77777777" w:rsidR="00D4105E" w:rsidRPr="00E14102" w:rsidRDefault="00D4105E" w:rsidP="00E14102">
      <w:pPr>
        <w:autoSpaceDE w:val="0"/>
        <w:autoSpaceDN w:val="0"/>
        <w:adjustRightInd w:val="0"/>
        <w:jc w:val="both"/>
        <w:rPr>
          <w:iCs/>
          <w:color w:val="000000" w:themeColor="text1"/>
          <w:sz w:val="16"/>
          <w:szCs w:val="16"/>
        </w:rPr>
      </w:pPr>
    </w:p>
    <w:p w14:paraId="18F171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мая 1935 на МГ летал Экзюпери как корреспондент Пари Суар - рассказал Н.М.Харламов (81,99).</w:t>
      </w:r>
    </w:p>
    <w:p w14:paraId="01A70E2E" w14:textId="77777777" w:rsidR="00D4105E" w:rsidRPr="00E14102" w:rsidRDefault="00D4105E" w:rsidP="00E14102">
      <w:pPr>
        <w:autoSpaceDE w:val="0"/>
        <w:autoSpaceDN w:val="0"/>
        <w:adjustRightInd w:val="0"/>
        <w:jc w:val="both"/>
        <w:rPr>
          <w:color w:val="000000" w:themeColor="text1"/>
          <w:sz w:val="16"/>
          <w:szCs w:val="16"/>
        </w:rPr>
      </w:pPr>
    </w:p>
    <w:p w14:paraId="00D7AC3E" w14:textId="77777777" w:rsidR="0080041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CF77C78" w14:textId="77777777" w:rsidR="0080041B" w:rsidRPr="00E14102" w:rsidRDefault="0080041B" w:rsidP="00E14102">
      <w:pPr>
        <w:autoSpaceDE w:val="0"/>
        <w:autoSpaceDN w:val="0"/>
        <w:adjustRightInd w:val="0"/>
        <w:jc w:val="both"/>
        <w:rPr>
          <w:iCs/>
          <w:color w:val="000000" w:themeColor="text1"/>
          <w:sz w:val="16"/>
          <w:szCs w:val="16"/>
        </w:rPr>
      </w:pPr>
    </w:p>
    <w:p w14:paraId="6D6F0AE7" w14:textId="77777777" w:rsidR="0080041B" w:rsidRPr="00E14102" w:rsidRDefault="0080041B" w:rsidP="00E14102">
      <w:pPr>
        <w:pStyle w:val="rtejustify"/>
        <w:spacing w:before="0" w:after="0"/>
        <w:rPr>
          <w:color w:val="000000" w:themeColor="text1"/>
          <w:sz w:val="16"/>
          <w:szCs w:val="16"/>
        </w:rPr>
      </w:pPr>
      <w:r w:rsidRPr="00E14102">
        <w:rPr>
          <w:rStyle w:val="a6"/>
          <w:bCs/>
          <w:i w:val="0"/>
          <w:color w:val="000000" w:themeColor="text1"/>
          <w:sz w:val="16"/>
          <w:szCs w:val="16"/>
        </w:rPr>
        <w:t>17 мая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54сс «О титульном списке капитальных работ по военной промышленности на 1935 г.». (ГА РФ. Ф. Р</w:t>
      </w:r>
      <w:r w:rsidRPr="00E14102">
        <w:rPr>
          <w:color w:val="000000" w:themeColor="text1"/>
          <w:sz w:val="16"/>
          <w:szCs w:val="16"/>
        </w:rPr>
        <w:noBreakHyphen/>
        <w:t>8418. Оп. 28. Д. 6. Л. 161</w:t>
      </w:r>
      <w:r w:rsidRPr="00E14102">
        <w:rPr>
          <w:color w:val="000000" w:themeColor="text1"/>
          <w:sz w:val="16"/>
          <w:szCs w:val="16"/>
        </w:rPr>
        <w:noBreakHyphen/>
        <w:t>165) (15460).</w:t>
      </w:r>
    </w:p>
    <w:p w14:paraId="58022273" w14:textId="77777777" w:rsidR="0080041B" w:rsidRPr="00E14102" w:rsidRDefault="0080041B" w:rsidP="00E14102">
      <w:pPr>
        <w:pStyle w:val="rtejustify"/>
        <w:spacing w:before="0" w:after="0"/>
        <w:rPr>
          <w:color w:val="000000" w:themeColor="text1"/>
          <w:sz w:val="16"/>
          <w:szCs w:val="16"/>
        </w:rPr>
      </w:pPr>
    </w:p>
    <w:p w14:paraId="64F06A38" w14:textId="77777777" w:rsidR="005F3FE6"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627DB61" w14:textId="77777777" w:rsidR="005F3FE6" w:rsidRPr="00E14102" w:rsidRDefault="005F3FE6" w:rsidP="00E14102">
      <w:pPr>
        <w:autoSpaceDE w:val="0"/>
        <w:autoSpaceDN w:val="0"/>
        <w:adjustRightInd w:val="0"/>
        <w:jc w:val="both"/>
        <w:rPr>
          <w:iCs/>
          <w:color w:val="000000" w:themeColor="text1"/>
          <w:sz w:val="16"/>
          <w:szCs w:val="16"/>
        </w:rPr>
      </w:pPr>
    </w:p>
    <w:p w14:paraId="72180DCC" w14:textId="77777777" w:rsidR="005F3FE6" w:rsidRPr="00E14102" w:rsidRDefault="005F3FE6" w:rsidP="00E14102">
      <w:pPr>
        <w:jc w:val="both"/>
        <w:rPr>
          <w:color w:val="000000" w:themeColor="text1"/>
          <w:sz w:val="16"/>
          <w:szCs w:val="16"/>
        </w:rPr>
      </w:pPr>
      <w:r w:rsidRPr="00E14102">
        <w:rPr>
          <w:bCs/>
          <w:color w:val="000000" w:themeColor="text1"/>
          <w:sz w:val="16"/>
          <w:szCs w:val="16"/>
        </w:rPr>
        <w:t>17 мая</w:t>
      </w:r>
      <w:r w:rsidRPr="00E14102">
        <w:rPr>
          <w:color w:val="000000" w:themeColor="text1"/>
          <w:sz w:val="16"/>
          <w:szCs w:val="16"/>
        </w:rPr>
        <w:t xml:space="preserve"> в 1935 году в Госпорте прошли (с 11 мая) официальные сравнительные испытания «Авро 652А» и «DH-89M». Последний был меньше по габаритам и уступал по скорости и особенно по продолжительности полета. Состязания выиграла фирма "Авро". 25 мая самолет официально приняли на вооружение ВВС под названием </w:t>
      </w:r>
      <w:hyperlink r:id="rId104" w:tgtFrame="_blank" w:history="1">
        <w:r w:rsidRPr="00E14102">
          <w:rPr>
            <w:color w:val="000000" w:themeColor="text1"/>
            <w:sz w:val="16"/>
            <w:szCs w:val="16"/>
          </w:rPr>
          <w:t xml:space="preserve">"Ансон" I </w:t>
        </w:r>
      </w:hyperlink>
      <w:r w:rsidRPr="00E14102">
        <w:rPr>
          <w:color w:val="000000" w:themeColor="text1"/>
          <w:sz w:val="16"/>
          <w:szCs w:val="16"/>
        </w:rPr>
        <w:t>(в честь английского адмирала XVIII века), выдав позднее заказ на 174 серийных экземпляра. Это был первый современный моноплан, поступивший на вооружение английских ВВС, и одновременно первый в них самолет с убирающимися шасси. 29 июня К4771 показали на авиационном параде в Хендоне (14894).</w:t>
      </w:r>
    </w:p>
    <w:p w14:paraId="1FD64B2A" w14:textId="77777777" w:rsidR="005F3FE6" w:rsidRPr="00E14102" w:rsidRDefault="005F3FE6" w:rsidP="00E14102">
      <w:pPr>
        <w:jc w:val="both"/>
        <w:rPr>
          <w:color w:val="000000" w:themeColor="text1"/>
          <w:sz w:val="16"/>
          <w:szCs w:val="16"/>
        </w:rPr>
      </w:pPr>
    </w:p>
    <w:p w14:paraId="7B0E4E11" w14:textId="77777777" w:rsidR="005F3FE6" w:rsidRPr="00E14102" w:rsidRDefault="005F3FE6" w:rsidP="00E14102">
      <w:pPr>
        <w:jc w:val="both"/>
        <w:rPr>
          <w:color w:val="000000" w:themeColor="text1"/>
          <w:sz w:val="16"/>
          <w:szCs w:val="16"/>
        </w:rPr>
      </w:pPr>
      <w:r w:rsidRPr="00E14102">
        <w:rPr>
          <w:bCs/>
          <w:color w:val="000000" w:themeColor="text1"/>
          <w:sz w:val="16"/>
          <w:szCs w:val="16"/>
        </w:rPr>
        <w:t>17 мая</w:t>
      </w:r>
      <w:r w:rsidRPr="00E14102">
        <w:rPr>
          <w:color w:val="000000" w:themeColor="text1"/>
          <w:sz w:val="16"/>
          <w:szCs w:val="16"/>
        </w:rPr>
        <w:t xml:space="preserve"> в 1935 году летчик Ли Гелбач попал в штопор, в безуспешных попытках вывести самолет «F3F» из смертельной спирали, он совершил 52 витка и на высоте 610 м выбросился с парашютом. Самолет же продолжал штопорить до самой земли (14894).</w:t>
      </w:r>
    </w:p>
    <w:p w14:paraId="6ED5CAC6" w14:textId="77777777" w:rsidR="005F3FE6" w:rsidRPr="00E14102" w:rsidRDefault="005F3FE6" w:rsidP="00E14102">
      <w:pPr>
        <w:jc w:val="both"/>
        <w:rPr>
          <w:color w:val="000000" w:themeColor="text1"/>
          <w:sz w:val="16"/>
          <w:szCs w:val="16"/>
        </w:rPr>
      </w:pPr>
    </w:p>
    <w:p w14:paraId="1AD0FDA6" w14:textId="77777777" w:rsidR="00217FA4" w:rsidRPr="00E14102" w:rsidRDefault="00217FA4" w:rsidP="00E14102">
      <w:pPr>
        <w:jc w:val="both"/>
        <w:rPr>
          <w:color w:val="000000" w:themeColor="text1"/>
          <w:sz w:val="16"/>
          <w:szCs w:val="16"/>
        </w:rPr>
      </w:pPr>
      <w:r w:rsidRPr="00E14102">
        <w:rPr>
          <w:color w:val="000000" w:themeColor="text1"/>
          <w:sz w:val="16"/>
          <w:szCs w:val="16"/>
        </w:rPr>
        <w:t>17 мая 1935 г. Китай установили дип. отношения с Японией. К</w:t>
      </w:r>
      <w:r w:rsidRPr="00E14102">
        <w:rPr>
          <w:bCs/>
          <w:color w:val="000000" w:themeColor="text1"/>
          <w:sz w:val="16"/>
          <w:szCs w:val="16"/>
        </w:rPr>
        <w:t>итайский и японский посланники были одновременно возведены в ранг «послов».</w:t>
      </w:r>
      <w:r w:rsidRPr="00E14102">
        <w:rPr>
          <w:color w:val="000000" w:themeColor="text1"/>
          <w:sz w:val="16"/>
          <w:szCs w:val="16"/>
        </w:rPr>
        <w:t xml:space="preserve"> (17328).</w:t>
      </w:r>
    </w:p>
    <w:p w14:paraId="5E9F9C8C" w14:textId="77777777" w:rsidR="00217FA4" w:rsidRPr="00E14102" w:rsidRDefault="00217FA4" w:rsidP="00E14102">
      <w:pPr>
        <w:jc w:val="both"/>
        <w:rPr>
          <w:color w:val="000000" w:themeColor="text1"/>
          <w:sz w:val="16"/>
          <w:szCs w:val="16"/>
        </w:rPr>
      </w:pPr>
    </w:p>
    <w:p w14:paraId="2C459F7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6048F8D" w14:textId="77777777" w:rsidR="00D4105E" w:rsidRPr="00E14102" w:rsidRDefault="00D4105E" w:rsidP="00E14102">
      <w:pPr>
        <w:autoSpaceDE w:val="0"/>
        <w:autoSpaceDN w:val="0"/>
        <w:adjustRightInd w:val="0"/>
        <w:jc w:val="both"/>
        <w:rPr>
          <w:iCs/>
          <w:color w:val="000000" w:themeColor="text1"/>
          <w:sz w:val="16"/>
          <w:szCs w:val="16"/>
        </w:rPr>
      </w:pPr>
    </w:p>
    <w:p w14:paraId="7803C1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18 мая 1935 закончились заводские испытания самолета КАИ-1 N 3 (УБП - 2М - 11, которые начались 11 мая 1935 (552).</w:t>
      </w:r>
    </w:p>
    <w:p w14:paraId="43225A6F" w14:textId="77777777" w:rsidR="00D4105E" w:rsidRPr="00E14102" w:rsidRDefault="00D4105E" w:rsidP="00E14102">
      <w:pPr>
        <w:autoSpaceDE w:val="0"/>
        <w:autoSpaceDN w:val="0"/>
        <w:adjustRightInd w:val="0"/>
        <w:jc w:val="both"/>
        <w:rPr>
          <w:color w:val="000000" w:themeColor="text1"/>
          <w:sz w:val="16"/>
          <w:szCs w:val="16"/>
        </w:rPr>
      </w:pPr>
    </w:p>
    <w:p w14:paraId="17F42A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18 мая 1935 воскресные передаточные полёты одновременно являлись и плановыми про</w:t>
      </w:r>
      <w:r w:rsidRPr="00E14102">
        <w:rPr>
          <w:color w:val="000000" w:themeColor="text1"/>
          <w:sz w:val="16"/>
          <w:szCs w:val="16"/>
        </w:rPr>
        <w:softHyphen/>
        <w:t>гулочными — в то время ударников производства обычно поощряли катанием на са</w:t>
      </w:r>
      <w:r w:rsidRPr="00E14102">
        <w:rPr>
          <w:color w:val="000000" w:themeColor="text1"/>
          <w:sz w:val="16"/>
          <w:szCs w:val="16"/>
        </w:rPr>
        <w:softHyphen/>
        <w:t>молёте над Москвой. За время существования агитэскадрильи 40-местный АНТ-14 «Правда», в тот день передававший функции флагмана агитэскадрильи «Максиму Горь</w:t>
      </w:r>
      <w:r w:rsidRPr="00E14102">
        <w:rPr>
          <w:color w:val="000000" w:themeColor="text1"/>
          <w:sz w:val="16"/>
          <w:szCs w:val="16"/>
        </w:rPr>
        <w:softHyphen/>
        <w:t>кому», поднял в воздух несколько десятков тысяч пассажиров. Поэтому гигант в одном из полётов должен был поднять в воздух около 40 ударников ОКБ ЦАГИ, в другом — опытного авиазавода, некоторых с детьми. Утверждают, что перед полётом кинули мо</w:t>
      </w:r>
      <w:r w:rsidRPr="00E14102">
        <w:rPr>
          <w:color w:val="000000" w:themeColor="text1"/>
          <w:sz w:val="16"/>
          <w:szCs w:val="16"/>
        </w:rPr>
        <w:softHyphen/>
        <w:t>нетку, кому лететь первыми. Страшный жребий выпал заводчанам (11696).</w:t>
      </w:r>
    </w:p>
    <w:p w14:paraId="0D11D9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0C3F3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мая 1935 МГ разбился (273,312) Катастрофа МГ произошла в результате попытки выполнения мертвой петли Н.Благиным на И-5 вокруг крыла. С Р-5 все было заснято. Погибло 46 (70,250), в т.ч. 36 пассажиров и 11 членов экипажа во главе с Н.С.Журовым (438,685).</w:t>
      </w:r>
    </w:p>
    <w:p w14:paraId="7851E8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Майская 1935 катастрофа с АНТ-20 отрицательно повлияла на темп работ по АНТ-42, т.к. ОКБ занялось серией самолетов новый АНТ-20 (2122,6).</w:t>
      </w:r>
    </w:p>
    <w:p w14:paraId="79588346" w14:textId="77777777" w:rsidR="00D4105E" w:rsidRPr="00E14102" w:rsidRDefault="00D4105E" w:rsidP="00E14102">
      <w:pPr>
        <w:autoSpaceDE w:val="0"/>
        <w:autoSpaceDN w:val="0"/>
        <w:adjustRightInd w:val="0"/>
        <w:jc w:val="both"/>
        <w:rPr>
          <w:color w:val="000000" w:themeColor="text1"/>
          <w:sz w:val="16"/>
          <w:szCs w:val="16"/>
        </w:rPr>
      </w:pPr>
    </w:p>
    <w:p w14:paraId="53B109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мая 1935 разбился МГ АНТ-20. Н.П.Благин на И-5 врезался в крыло, когда пытался сделать петлю (2072,67).</w:t>
      </w:r>
    </w:p>
    <w:p w14:paraId="49D92E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- 18 апреля (2072,67).</w:t>
      </w:r>
    </w:p>
    <w:p w14:paraId="2BEB7D78" w14:textId="77777777" w:rsidR="00D4105E" w:rsidRPr="00E14102" w:rsidRDefault="00D4105E" w:rsidP="00E14102">
      <w:pPr>
        <w:autoSpaceDE w:val="0"/>
        <w:autoSpaceDN w:val="0"/>
        <w:adjustRightInd w:val="0"/>
        <w:jc w:val="both"/>
        <w:rPr>
          <w:color w:val="000000" w:themeColor="text1"/>
          <w:sz w:val="16"/>
          <w:szCs w:val="16"/>
        </w:rPr>
      </w:pPr>
    </w:p>
    <w:p w14:paraId="04391F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мая 1935. Это был выходной день. Испытания самолета МГ закончились, и руководство ЦАГИ решило напоследок покатать над Москвой людей, отличившихся при постройке "Максима Горького". Желающих полетать собралось много, поэтому на Центральном аэродроме к самолету выстроилась длинная очередь. В первый полет взяли 38 человек, в том числе 7 детей - сотрудников завода ЦАГИ и членов их семей. Пилотировать самолет поручили опытным летчикам: испытателю из ЦАНИ Н.С.Журову и пилоту агитэскадрильи И.В.Михееву. Кроме них, на борту находилось 9 членов экипажа.</w:t>
      </w:r>
    </w:p>
    <w:p w14:paraId="1E882E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 должны были сопровождать два самолета: одноместный истребитель И-5 с летчиком-испытателем ЦАГИ Н.П.Благиным, имевшим почти 15-летний стаж полетов на различных типах самолетов, и двухместный разведчик Р-5 с оператором Московской кинофабрики военно-учебных фильмов А.А.Пулли-ным на борту. Истребитель должен был лететь рядом с "Максимом Горьким", чтобы из сравнения этих двух машин можно было более наглядно представить себе огромные размеры 8-мотор-ного гиганта, а с разведчика планировалась киносъемка.</w:t>
      </w:r>
    </w:p>
    <w:p w14:paraId="6976C1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том, что произошло дальше, можно узнать из рассказа летчика самолета Р-5 В.В.Рыбушкина:</w:t>
      </w:r>
    </w:p>
    <w:p w14:paraId="0BEF59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 поднялся первым, за мной взлетел Благин. Затем взлетел "Максим Горький". Я пристроился слева от него, Благин - справа.</w:t>
      </w:r>
    </w:p>
    <w:p w14:paraId="7837B1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втором круге "Максим Горький" сделал разворот влево и пошел по направлению к аэродрому. Я поднялся немного выше, шел метрах в пятидесяти от левого крыла самолета. Смотрю, Благин, находясь на правом крыле, несмотря на запрет, сделал правую "бочку" (одна из сложных фигур высшего пилотажа) и отошел по инерции вправо от самолета. Затем он перешел на левое крыло; я немного отошел в сторону и поднялся еще выше, решив, что он будет делать левую "бочку" и его отнесет влево.</w:t>
      </w:r>
    </w:p>
    <w:p w14:paraId="0BABA3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Благин прибавил газу, вырвался вперед и неожиданно стал делать новую фигуру высшего пилотажа. Это было очень опасно, так как его по инерции могло затащить на "Максима Горького". Фигура у него не получилась, он потерял скорость и врезался в правое крыло "Максима Горького" около среднего мотора. Видимо, он ударился в масляные баки (ибо взлетел клуб черного дыма), пробил мотором верхнюю и нижнюю обшивку крыла и сломал лонжерон.</w:t>
      </w:r>
    </w:p>
    <w:p w14:paraId="52BD12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Удар был чудовищной силы. "Максим Горький" накренился вправо, от него отлетели черный капот и куски тренировочного (это неточность: И-5 был истребителем - прим.авт.) самолета. "Максим Горький" пролетел по инерции еще 10-15 секунд, крен все увеличивался, и он начал падать на нос. Затем оторвалась часть правого крыла, потом отлетела часть фюзеляжа с хвостом, самолет перешел в отвесное пикирование и перевернулся на спину. Машина ударилась о сосны, стала сносить деревья и окончательно рассыпалась на земле..."</w:t>
      </w:r>
    </w:p>
    <w:p w14:paraId="3A70B4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Вечером в тот же день состоялось экстренное совещание партийной верхушки страны под председательством Сталина с руководителями строительства "Максима Горького". Не было только Туполева - он находился в командировке в США. На совещании подготовили официальное сообщение о гибели самолета-гиганта и обсудили процедуру похорон. Всех погибших, включая Благина, похоронили на самом престижном в Москве Новодевичьем кладбище, семьям жертв катастрофы выдали пособие по 10 тысяч рублей и назначили повышенную пенсию.</w:t>
      </w:r>
    </w:p>
    <w:p w14:paraId="10CE46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советской прессе единственным виновником случившегося называли Благина, самовольно решившего выполнять фигуры высшего пилотажа около "Максима Горького". "Только воздушное ухарство, ненужная удаль, преступное озорство явились причиной гибели замечательных людей, замечательного корабля. Летчик Благин нарушил дисциплину. Он забыл закон авиации: "за штурвалом - как в бою", - писала "Правда" в мае 1935-го.</w:t>
      </w:r>
    </w:p>
    <w:p w14:paraId="547377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существуют и другие, неофициальные версии катастрофы. Одна из них - о том, что Благин умышленно таранил гигантский самолет, появилась в связи с публикацией в польской газете русских эмигрантов "Меч" 12 сентября 1935-го. В письме, якобы написанном Благиным за день до гибели, как антикоммунистическое воззвание к гражданам России, в частности, говорится:</w:t>
      </w:r>
    </w:p>
    <w:p w14:paraId="6CB517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"Братья и сестры! Завтра я своим самолетом врежусь в самолет имени "босяка Максима Горького". Это произойдет неслучайно. Я убью не один десяток лодырей-бандитов, коммунистов, которые именуют себя ударниками и катаются на вашей шее. Этот самолет, который построен на ваши кровные деньги, по принуждению, я знаю, что он упадет на вашу шею.</w:t>
      </w:r>
    </w:p>
    <w:p w14:paraId="7A5712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терпите, братья и сестры, всякому терпению бывает конец. Перед смертью я объявляю вне закона всех коммунистов и кто сочувствует им. Я умираю, но вы вечно помните Николая Благина, который отомстил и умер за русский народ".</w:t>
      </w:r>
    </w:p>
    <w:p w14:paraId="797796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 обстоятельство, что вдова и дочь Н.П. Благина не подверглись репрессиям, как это обычно случалось в эпоху сталинской диктатуры, а летчика похоронили по соседству с могилами крупных деятелей коммунистической партии и правительства, привело к возникновению еще одной гипотезы: Благин был безвинной жертвой приказа, предписывающего ему во время полета выполнять вокруг крыла "Максима Горького" "мертвые петли" (4574).</w:t>
      </w:r>
    </w:p>
    <w:p w14:paraId="7BC59C56" w14:textId="77777777" w:rsidR="00D4105E" w:rsidRPr="00E14102" w:rsidRDefault="00D4105E" w:rsidP="00E14102">
      <w:pPr>
        <w:autoSpaceDE w:val="0"/>
        <w:autoSpaceDN w:val="0"/>
        <w:adjustRightInd w:val="0"/>
        <w:jc w:val="both"/>
        <w:rPr>
          <w:color w:val="000000" w:themeColor="text1"/>
          <w:sz w:val="16"/>
          <w:szCs w:val="16"/>
        </w:rPr>
      </w:pPr>
    </w:p>
    <w:p w14:paraId="670B810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18 мая 1935 г., в 12 ч. 45 м., в Москве, в районе Центрального аэродрома, произошла катастрофа с самолётом «Максим Горький»... [который] совершал полёт под управлени</w:t>
      </w:r>
      <w:r w:rsidRPr="00E14102">
        <w:rPr>
          <w:color w:val="000000" w:themeColor="text1"/>
          <w:sz w:val="16"/>
          <w:szCs w:val="16"/>
        </w:rPr>
        <w:softHyphen/>
        <w:t>ем лётчика ЦАГИ т.Журова, при втором лётчике из эскадрильи им. Максима Горького т.Михееве, имея на борту пассажирами ударников ЦАГИ в количестве 36 человек.</w:t>
      </w:r>
    </w:p>
    <w:p w14:paraId="3F62F2F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этот полёт самолёт «Максим Горький» сопровождал тренировочный самолёт (истре</w:t>
      </w:r>
      <w:r w:rsidRPr="00E14102">
        <w:rPr>
          <w:color w:val="000000" w:themeColor="text1"/>
          <w:sz w:val="16"/>
          <w:szCs w:val="16"/>
        </w:rPr>
        <w:softHyphen/>
        <w:t>битель И-5) ЦАГИ, под управлением лётчика Благина.</w:t>
      </w:r>
    </w:p>
    <w:p w14:paraId="5210CC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Несмотря на категорическое запрещение делать какие-бы то ни было фигуры высше</w:t>
      </w:r>
      <w:r w:rsidRPr="00E14102">
        <w:rPr>
          <w:color w:val="000000" w:themeColor="text1"/>
          <w:sz w:val="16"/>
          <w:szCs w:val="16"/>
        </w:rPr>
        <w:softHyphen/>
        <w:t>го пилотажа во время сопровождения, лётчик Благин нарушил этот приказ и стал делать фигуры высшего пилотажа в непосредственной близости от самолёта «Максим Горький» на высоте 700 м. При выходе из мёртвой петли лётчик Благин своим самолётом ударил в крыло самолёта «Максим Горький»... Вследствие полученных повреждений от удара... [тот] стал разрушаться в воздухе, перешел в пике и отдельными частями упал на землю в посёлке «Сокол», в районе аэродрома.</w:t>
      </w:r>
    </w:p>
    <w:p w14:paraId="69785B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катастрофе погибло 11 чел. экипажа самолёта «Максим Горький» и 36 чел. пас</w:t>
      </w:r>
      <w:r w:rsidRPr="00E14102">
        <w:rPr>
          <w:color w:val="000000" w:themeColor="text1"/>
          <w:sz w:val="16"/>
          <w:szCs w:val="16"/>
        </w:rPr>
        <w:softHyphen/>
        <w:t>сажиров — ударников из инженеров, техников и рабочих ЦАГИ, в числе которых было несколько членов семей. При столкновении в воздухе также погиб лётчик Благин...» (Правда. № 136. 19 мая 1935 г. С. 1.).</w:t>
      </w:r>
    </w:p>
    <w:p w14:paraId="496612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Казалось бы все очевидно — около полусотни безвинных людей, в том числе шестерых детей, погубил лётчик-лихач... Однако И.В. Сталин лично распорядился похоронить глав</w:t>
      </w:r>
      <w:r w:rsidRPr="00E14102">
        <w:rPr>
          <w:color w:val="000000" w:themeColor="text1"/>
          <w:sz w:val="16"/>
          <w:szCs w:val="16"/>
        </w:rPr>
        <w:softHyphen/>
        <w:t>ного виновника катастрофы вместе с её жертвами на Новодевичьем кладбище... Почему?</w:t>
      </w:r>
    </w:p>
    <w:p w14:paraId="6BD222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Так был ли лётчик-испытатель Н.П. Благин «воздушным хулиганом», как его офици</w:t>
      </w:r>
      <w:r w:rsidRPr="00E14102">
        <w:rPr>
          <w:color w:val="000000" w:themeColor="text1"/>
          <w:sz w:val="16"/>
          <w:szCs w:val="16"/>
        </w:rPr>
        <w:softHyphen/>
        <w:t>ально объявили «по горячим следам», или «террористом» и борцом со сталинским режимом, как его впоследствии попытались представить на Западе? По сведениям бывшего директора Научно-мемориального музея Н.Е. Жуковского Вла</w:t>
      </w:r>
      <w:r w:rsidRPr="00E14102">
        <w:rPr>
          <w:color w:val="000000" w:themeColor="text1"/>
          <w:sz w:val="16"/>
          <w:szCs w:val="16"/>
        </w:rPr>
        <w:softHyphen/>
        <w:t>димира Бычкова, Николай Павлович Благин являлся сыном потомственного дворянина, полковника царской армии, и получил хорошее образование. Летом 1920 г. он закончил теоре</w:t>
      </w:r>
      <w:r w:rsidRPr="00E14102">
        <w:rPr>
          <w:color w:val="000000" w:themeColor="text1"/>
          <w:sz w:val="16"/>
          <w:szCs w:val="16"/>
        </w:rPr>
        <w:softHyphen/>
        <w:t>тические курсы авиации, служил в дивизионе воздушных кораблей «Илья Муромец», затем учился в Московской школе авиации и высшей школе военных лётчиков в Серпухове.</w:t>
      </w:r>
    </w:p>
    <w:p w14:paraId="7790CF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1930 г. он стал инструктором 1-го разряда в НИИ ВВС, в январе 1932 г. зачислен в ОЭЛИД ЦАГИ ведущим лётчиком-испытателем, испыты</w:t>
      </w:r>
      <w:r w:rsidRPr="00E14102">
        <w:rPr>
          <w:color w:val="000000" w:themeColor="text1"/>
          <w:sz w:val="16"/>
          <w:szCs w:val="16"/>
        </w:rPr>
        <w:softHyphen/>
        <w:t>вал все самолёты ОКБ А.Н. Туполева.</w:t>
      </w:r>
    </w:p>
    <w:p w14:paraId="097A2E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отзывам работников ЦАГИ, Николай Благим летал на всех типах самолётов, был прекрасным товарищем, любил летную работу и проявлял склонность к изобретательству.</w:t>
      </w:r>
    </w:p>
    <w:p w14:paraId="2F633E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Благин провел ряд ответственных испытаний авиационного вооружения и стартовых порохо</w:t>
      </w:r>
      <w:r w:rsidRPr="00E14102">
        <w:rPr>
          <w:color w:val="000000" w:themeColor="text1"/>
          <w:sz w:val="16"/>
          <w:szCs w:val="16"/>
        </w:rPr>
        <w:softHyphen/>
        <w:t>вых ускорителей тяжёлого бомбардировщика ТБ-1, по тому времени — большой новинки.</w:t>
      </w:r>
    </w:p>
    <w:p w14:paraId="0D684D8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работе он отличался добросовестностью, эрудицией и трудолюбием. Правда, это не спас</w:t>
      </w:r>
      <w:r w:rsidRPr="00E14102">
        <w:rPr>
          <w:color w:val="000000" w:themeColor="text1"/>
          <w:sz w:val="16"/>
          <w:szCs w:val="16"/>
        </w:rPr>
        <w:softHyphen/>
        <w:t xml:space="preserve">ло его от «недремлющего ока» НКВД, он был «под колпаком», и приставленный к нему стукач регулярно сообщал «куда следует» обо всех разговорах Благина. Работники ЦАГИ знали, что Благин независим в своих суждениях и оценках и не любит «политической жвачки»...(Вяткин Л.М. Трагедии воздушного океана. М., 1999. С. 187.). Лётная квалификация Н.П. Благина свидетельствует о его высочайшем мастерстве и универсализме, по числу освоенных типов самолётов он мог соперничать с самим М.М, Громовым. В 1935 г. за неполных пять месяцев Благин совершил 57 полётов на 11(!) типах летательных аппаратов, налетал 26 час 11 мин, в том числе в мае 7 час 54 мин. Он летал на учебном У-2 и тяжёлом бомбардировщике ТБ-3, истребителях И-5 и И-14, новейшем скоростном бомбардировщике АНТ-40 (СБ) (к тому времени летали всего две опытные машины с </w:t>
      </w:r>
      <w:r w:rsidRPr="00E14102">
        <w:rPr>
          <w:color w:val="000000" w:themeColor="text1"/>
          <w:sz w:val="16"/>
          <w:szCs w:val="16"/>
        </w:rPr>
        <w:lastRenderedPageBreak/>
        <w:t>моторами «Испано» и «Райт-Циклон», он летал на обеих). Кроме того, Благин освоил полёты на автожирах ЦАГИ А-6, ЦАГИ А-7 и ЦАГИ А-8 (Журнал полетов ОЭЛИД ЦАГИ за 1935 г. Хранится в архиве А.А. Симонова. Выдержки у М.Б. Саук-ке. С. 118.).</w:t>
      </w:r>
    </w:p>
    <w:p w14:paraId="75726C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начале 1935 г. его назначили ведущим лётчиком-испытателем ещё по двум само</w:t>
      </w:r>
      <w:r w:rsidRPr="00E14102">
        <w:rPr>
          <w:color w:val="000000" w:themeColor="text1"/>
          <w:sz w:val="16"/>
          <w:szCs w:val="16"/>
        </w:rPr>
        <w:softHyphen/>
        <w:t>лётам. 14 февраля 1935 г. он впервые поднял в воздух АНТ-29 (ДИП — двухмоторный истребитель пушечный). У В.Б. Шаврова фамилия Благина стыдливо не упомянута, а в написанной по заводским материалам книге «Самолеты ОКБ А.Н.Туполева» (Ригмант В.Г. Самолеты ОКБ А.Н. Туполева. М., 2001. С. 35, 48) указан только лётчик-испытатель С.А. Корзинщиков. Но это не так: в начале 1935 г. на ДИПе сначала летал Благин, и только после четырех полётов самолёт возвратили на завод на доработку, а в конце 1935 г. испытания продолжил Корзинщиков. Развитием АНТ-20 «МГ» еще бо'льших размеров должен был стать 12-моторный супергигант АНТ-26/28 (ТБ-6) с размахом крыльев до 95 м. Сначала построили двухместную геометрически по</w:t>
      </w:r>
      <w:r w:rsidRPr="00E14102">
        <w:rPr>
          <w:color w:val="000000" w:themeColor="text1"/>
          <w:sz w:val="16"/>
          <w:szCs w:val="16"/>
        </w:rPr>
        <w:softHyphen/>
        <w:t>добную модель-планер с размахом крыльев около 20 м. Ведущим лётчиком-испытате</w:t>
      </w:r>
      <w:r w:rsidRPr="00E14102">
        <w:rPr>
          <w:color w:val="000000" w:themeColor="text1"/>
          <w:sz w:val="16"/>
          <w:szCs w:val="16"/>
        </w:rPr>
        <w:softHyphen/>
        <w:t>лем планера тоже назначили Н.П. Благина, он и начал лётные испытания, предвари</w:t>
      </w:r>
      <w:r w:rsidRPr="00E14102">
        <w:rPr>
          <w:color w:val="000000" w:themeColor="text1"/>
          <w:sz w:val="16"/>
          <w:szCs w:val="16"/>
        </w:rPr>
        <w:softHyphen/>
        <w:t>тельно освоив полёты на планере БП-2. И опять в книгах В.Б. Шаврова и В.Г. Ригманта летавшим на планере ТБ-6 указан лишь Б.Н. Кудрин, на самом деле лишь продолжив</w:t>
      </w:r>
      <w:r w:rsidRPr="00E14102">
        <w:rPr>
          <w:color w:val="000000" w:themeColor="text1"/>
          <w:sz w:val="16"/>
          <w:szCs w:val="16"/>
        </w:rPr>
        <w:softHyphen/>
        <w:t>ший испытания после гибели Благина. Очевидно, что и «Заводские хроники...» после катастрофы подверглись «редактированию».</w:t>
      </w:r>
    </w:p>
    <w:p w14:paraId="41AD3FD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Очевидно, что для лётчика-испытателя, почти ежедневно испытывающего новейшие самолёты, полёты на устаревшем после появления И-15 и И-16 истребителе И-5 —это нонсенс, что-то вроде наказания или понижения в звании. Никакой «самодеятельностью» тут и не пахнет! Не могло быть и речи о его простом желании «подлетнуть» или нехват</w:t>
      </w:r>
      <w:r w:rsidRPr="00E14102">
        <w:rPr>
          <w:color w:val="000000" w:themeColor="text1"/>
          <w:sz w:val="16"/>
          <w:szCs w:val="16"/>
        </w:rPr>
        <w:softHyphen/>
        <w:t>ке лётчиков — именно к этому «киношному» трюку готовились и примерялись заранее, Положение киносъемочного Р-5 в момент выполнения петли, его ракурс и минимальное расстояние от гиганта (крылья полностью даже не вошли в кадр) позволяет полагать, что всё было заранее рассчитано и согласовано с лётчиками всех трёх самолётов и киноопе</w:t>
      </w:r>
      <w:r w:rsidRPr="00E14102">
        <w:rPr>
          <w:color w:val="000000" w:themeColor="text1"/>
          <w:sz w:val="16"/>
          <w:szCs w:val="16"/>
        </w:rPr>
        <w:softHyphen/>
        <w:t>ратором. Безусловно имело место и чьё-то указание на проведение подобной съёмки (11696).</w:t>
      </w:r>
    </w:p>
    <w:p w14:paraId="2E77AD4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03EFB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Через день после катастрофы газета «Правда» (№ 137 от 20 мая 1935 г.) напечата</w:t>
      </w:r>
      <w:r w:rsidRPr="00E14102">
        <w:rPr>
          <w:color w:val="000000" w:themeColor="text1"/>
          <w:sz w:val="16"/>
          <w:szCs w:val="16"/>
        </w:rPr>
        <w:softHyphen/>
        <w:t>ла рассказ летчика Р-5 В.В. Рыбушкина (он пилотировал киносъёмщик всесто И.Ф. Козлова). В изложении корреспондента «Правды» он звучал так:</w:t>
      </w:r>
    </w:p>
    <w:p w14:paraId="4B4113E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«Задание я получил в 5 часов вечера 17 мая вместе с лётчиком Благиным... Мне было приказано взять на борт кинооператора Щекутьева... Я поднялся первым, за мной взле</w:t>
      </w:r>
      <w:r w:rsidRPr="00E14102">
        <w:rPr>
          <w:color w:val="000000" w:themeColor="text1"/>
          <w:sz w:val="16"/>
          <w:szCs w:val="16"/>
        </w:rPr>
        <w:softHyphen/>
        <w:t>тел Благин. Затем поднялся «Максим Горький». Я пристроился слева от него. Благин -справа.</w:t>
      </w:r>
    </w:p>
    <w:p w14:paraId="1AA5C7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втором круге «Максим Горький» сделал разворот влево и пошел по направлению к аэродрому. Я поднялся немного выше и шел метрах в пятидесяти от левого крыла са</w:t>
      </w:r>
      <w:r w:rsidRPr="00E14102">
        <w:rPr>
          <w:color w:val="000000" w:themeColor="text1"/>
          <w:sz w:val="16"/>
          <w:szCs w:val="16"/>
        </w:rPr>
        <w:softHyphen/>
        <w:t>молёта. Смотрю, Благин, находясь на правом крыле, сделал правую «бочку» и отошел по инерции вправо от самолёта. Затем он перешел на левое крыло; я немного отошел в сторону и поднялся выше, решив, что он будет делать левую «бочку», и его самолёт отнесет влево. (Л.М. Вяткин писал, что «на самом деле, судя по кадрам фильма, Ры-бушкин взял принижение и съёмка велась на фоне неба».)</w:t>
      </w:r>
    </w:p>
    <w:p w14:paraId="64D535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Благин прибавил газу, вышел вперёд и стал делать новую фигуру высшего пилотажа. Это было очень опасно, так как его по инерции могло затащить на «Максима Горького». Фигура у него не получилась, он потерял скорость и врезался в правое крыло..., около среднего мотора. Видимо, он ударился в масляные баки (ибо взвился клуб черного ды</w:t>
      </w:r>
      <w:r w:rsidRPr="00E14102">
        <w:rPr>
          <w:color w:val="000000" w:themeColor="text1"/>
          <w:sz w:val="16"/>
          <w:szCs w:val="16"/>
        </w:rPr>
        <w:softHyphen/>
        <w:t>ма, пробил мотором верхнюю и нижнюю обшивки крыла и сломал лонжероны).</w:t>
      </w:r>
    </w:p>
    <w:p w14:paraId="62855EE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Удар был чудовищной силы, «Максим Горький» накренился вправо, от него от</w:t>
      </w:r>
      <w:r w:rsidRPr="00E14102">
        <w:rPr>
          <w:color w:val="000000" w:themeColor="text1"/>
          <w:sz w:val="16"/>
          <w:szCs w:val="16"/>
        </w:rPr>
        <w:softHyphen/>
        <w:t>делился чёрный капот и куски трениро</w:t>
      </w:r>
      <w:r w:rsidRPr="00E14102">
        <w:rPr>
          <w:color w:val="000000" w:themeColor="text1"/>
          <w:sz w:val="16"/>
          <w:szCs w:val="16"/>
        </w:rPr>
        <w:softHyphen/>
        <w:t>вочного самолёта. «Максим Горький» пролетел по инерции еще 10-15 секунд, крен все увеличивался, и он начал па</w:t>
      </w:r>
      <w:r w:rsidRPr="00E14102">
        <w:rPr>
          <w:color w:val="000000" w:themeColor="text1"/>
          <w:sz w:val="16"/>
          <w:szCs w:val="16"/>
        </w:rPr>
        <w:softHyphen/>
        <w:t>дать на нос. Затем оторвалась часть правого крыла, потом отлетела часть фюзеляжа с хвостом, самолёт перешел в отвесное пикирование и перевернулся на спину.</w:t>
      </w:r>
    </w:p>
    <w:p w14:paraId="31960F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Машина ударилась о сосны, стала сносить деревья, и окончательно рассы</w:t>
      </w:r>
      <w:r w:rsidRPr="00E14102">
        <w:rPr>
          <w:color w:val="000000" w:themeColor="text1"/>
          <w:sz w:val="16"/>
          <w:szCs w:val="16"/>
        </w:rPr>
        <w:softHyphen/>
        <w:t>палась на земле. Я сбавил газ и круто спланировал над местом катастрофы... Далее в рассказе Рыбушкина, — как пи</w:t>
      </w:r>
      <w:r w:rsidRPr="00E14102">
        <w:rPr>
          <w:color w:val="000000" w:themeColor="text1"/>
          <w:sz w:val="16"/>
          <w:szCs w:val="16"/>
        </w:rPr>
        <w:softHyphen/>
        <w:t>шет Л.М. Вяткин, — следует нечто неве</w:t>
      </w:r>
      <w:r w:rsidRPr="00E14102">
        <w:rPr>
          <w:color w:val="000000" w:themeColor="text1"/>
          <w:sz w:val="16"/>
          <w:szCs w:val="16"/>
        </w:rPr>
        <w:softHyphen/>
        <w:t>роятное, что свидетельствует, что выше</w:t>
      </w:r>
      <w:r w:rsidRPr="00E14102">
        <w:rPr>
          <w:color w:val="000000" w:themeColor="text1"/>
          <w:sz w:val="16"/>
          <w:szCs w:val="16"/>
        </w:rPr>
        <w:softHyphen/>
        <w:t>приведенный текст подвергся изрядной правке с добавлением большой дозы самого вульгарного вранья...» (Вяткин Л.М. Трагедии воздушного океана. М., 1999. С. 190-191.).</w:t>
      </w:r>
    </w:p>
    <w:p w14:paraId="64EAA2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Обратите внимание, что злополучная фигура высшего пилотажа в тексте сообщения ТАСС названа «мёртвой петлей», а в рассказе ныне почти забытого лётчика-испытателя ЦАГИ Рыбушкина — «бочкой». В результате расследования появилась докладная Нарко</w:t>
      </w:r>
      <w:r w:rsidRPr="00E14102">
        <w:rPr>
          <w:color w:val="000000" w:themeColor="text1"/>
          <w:sz w:val="16"/>
          <w:szCs w:val="16"/>
        </w:rPr>
        <w:softHyphen/>
        <w:t>ма НКВД Генриха Ягоды Сталину, где основными причинами трагедии, «как установле</w:t>
      </w:r>
      <w:r w:rsidRPr="00E14102">
        <w:rPr>
          <w:color w:val="000000" w:themeColor="text1"/>
          <w:sz w:val="16"/>
          <w:szCs w:val="16"/>
        </w:rPr>
        <w:softHyphen/>
        <w:t>но следствием, является нарушение лётчиком Благиным, погибшим со своим самолё</w:t>
      </w:r>
      <w:r w:rsidRPr="00E14102">
        <w:rPr>
          <w:color w:val="000000" w:themeColor="text1"/>
          <w:sz w:val="16"/>
          <w:szCs w:val="16"/>
        </w:rPr>
        <w:softHyphen/>
        <w:t>том, приказа о порядке сопровождения «Максима Горького» (так еще 19 мая утвержда</w:t>
      </w:r>
      <w:r w:rsidRPr="00E14102">
        <w:rPr>
          <w:color w:val="000000" w:themeColor="text1"/>
          <w:sz w:val="16"/>
          <w:szCs w:val="16"/>
        </w:rPr>
        <w:softHyphen/>
        <w:t>ла «Правда» в передовице). Этим вывели из-под удара всех возможных «наземных» ви</w:t>
      </w:r>
      <w:r w:rsidRPr="00E14102">
        <w:rPr>
          <w:color w:val="000000" w:themeColor="text1"/>
          <w:sz w:val="16"/>
          <w:szCs w:val="16"/>
        </w:rPr>
        <w:softHyphen/>
        <w:t>новников, скорее всего, дававших устное указание лётчику «поэффектнее» показать гигант для киносъёмки. Позже утверждали, что сам Благин накануне рокового полёта даже просил освободить его от такого задания.</w:t>
      </w:r>
    </w:p>
    <w:p w14:paraId="1859374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докладной Ягоды фигура Благина тоже названа «бочкой». По мнению Вяткина, выпол</w:t>
      </w:r>
      <w:r w:rsidRPr="00E14102">
        <w:rPr>
          <w:color w:val="000000" w:themeColor="text1"/>
          <w:sz w:val="16"/>
          <w:szCs w:val="16"/>
        </w:rPr>
        <w:softHyphen/>
        <w:t>нить классическую «мёртвую петлю» вокруг подвижного объекта в воздухе невозможно, и «поразительно, что Николай Благин все же выполнил прихоть начальства, совершив невероятное. Помог профессиональный опыт. Он заменил классическую «мёртвую пет</w:t>
      </w:r>
      <w:r w:rsidRPr="00E14102">
        <w:rPr>
          <w:color w:val="000000" w:themeColor="text1"/>
          <w:sz w:val="16"/>
          <w:szCs w:val="16"/>
        </w:rPr>
        <w:softHyphen/>
        <w:t>лю» неправильной «бочкой» с большим радиусом. Делалось это так: истребитель Благи</w:t>
      </w:r>
      <w:r w:rsidRPr="00E14102">
        <w:rPr>
          <w:color w:val="000000" w:themeColor="text1"/>
          <w:sz w:val="16"/>
          <w:szCs w:val="16"/>
        </w:rPr>
        <w:softHyphen/>
        <w:t>на со снижением разгонял скорость и затем шел на вертикаль и одновременно выполнял «бочку» с большим радиусом. Оказавшись над флагманом в перевернутом положении и несколько под углом, Благин пропустил его не</w:t>
      </w:r>
      <w:r w:rsidRPr="00E14102">
        <w:rPr>
          <w:color w:val="000000" w:themeColor="text1"/>
          <w:sz w:val="16"/>
          <w:szCs w:val="16"/>
        </w:rPr>
        <w:softHyphen/>
        <w:t>сколько вперед и затем завершил эволюцию. При этом, описывая большую кривую, истребитель пе</w:t>
      </w:r>
      <w:r w:rsidRPr="00E14102">
        <w:rPr>
          <w:color w:val="000000" w:themeColor="text1"/>
          <w:sz w:val="16"/>
          <w:szCs w:val="16"/>
        </w:rPr>
        <w:softHyphen/>
        <w:t>реходил одновременно от одного крыла к другому. С земли для наблюдателя это казалось «мёртвой петлей» и выглядело весьма эффектно» (Вяткин Л.М. Трагедии воздушного океана. М., 1999. С. 186.).</w:t>
      </w:r>
    </w:p>
    <w:p w14:paraId="31AA80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 что-нибудь поняли?... А я нет!...</w:t>
      </w:r>
    </w:p>
    <w:p w14:paraId="750AC3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Поэтому остается только «поверить собственным глазам» и пересказать то, что удалось увидеть на весьма отрывочных кадрах кинохроники.</w:t>
      </w:r>
    </w:p>
    <w:p w14:paraId="38EF78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Всего зафиксировано три петли. Первая — это и не петля вовсе, а скорее прикидка. Киносъёмщик находился слева и ниже «МГ». Хорошо видно, как И-5 как-бы «подкрадывается» под брюхо гиганта, затем, уравняв скорости, выходит вперед и вверх на несколько метров и... дает полный газ и резко берет ручку на себя. Истребитель опрокидывается на спину и при этом, что примечательно, вращается не вокруг центра масс, а вокруг хвоста(!), ведь нельзя терять ни метра высоты! Этим опровергаются все утверждения, что лётчик потерял скорость и сорвался в штопор, такого просто быть не могло. Оказавшись на спине за хвостом «МГ», Благин опять резко взял ручку на себя и, как бы пикируя, погнался за хвостом «МГ». Вся его кривая по горизонтали растянулась метров на 50-70, а по высоте еще меньше.</w:t>
      </w:r>
    </w:p>
    <w:p w14:paraId="55FA6BA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Вторая петля — классическая с радиусом примерно 2-3 длины фюзеляжа «МГ». Ки</w:t>
      </w:r>
      <w:r w:rsidRPr="00E14102">
        <w:rPr>
          <w:color w:val="000000" w:themeColor="text1"/>
          <w:sz w:val="16"/>
          <w:szCs w:val="16"/>
        </w:rPr>
        <w:softHyphen/>
        <w:t>носъёмщик остался слева и ниже «МГ», но на значительно большем удалении. Благин сделал петлю в вертикальной плоскости, параллельной вектору полёта гиганта и явно вне размаха его крыльев, причем на кадрах хорошо видно, как в верхней точке петли происходит наложение («столкновение») крыла гиганта и И-5.</w:t>
      </w:r>
    </w:p>
    <w:p w14:paraId="03009FF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Я пока не знаю, как на земле удалось так точно рассчитать точку киносъёмки (в воз</w:t>
      </w:r>
      <w:r w:rsidRPr="00E14102">
        <w:rPr>
          <w:color w:val="000000" w:themeColor="text1"/>
          <w:sz w:val="16"/>
          <w:szCs w:val="16"/>
        </w:rPr>
        <w:softHyphen/>
        <w:t>духе радиосвязи не было), чтобы обеспечить такое «наложение». Все это для специа</w:t>
      </w:r>
      <w:r w:rsidRPr="00E14102">
        <w:rPr>
          <w:color w:val="000000" w:themeColor="text1"/>
          <w:sz w:val="16"/>
          <w:szCs w:val="16"/>
        </w:rPr>
        <w:softHyphen/>
        <w:t>листов выглядит очень эффектно и... совершенно незрелищно для зрителей.</w:t>
      </w:r>
    </w:p>
    <w:p w14:paraId="4A0586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Самое поразительное — это третья петля (в хронике показано её 3/4), вернее то, КАК она была выполнена.</w:t>
      </w:r>
    </w:p>
    <w:p w14:paraId="50FFBFF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момент киносъёмки Р-5 с оператором находился достаточно близко от гиганта, не</w:t>
      </w:r>
      <w:r w:rsidRPr="00E14102">
        <w:rPr>
          <w:color w:val="000000" w:themeColor="text1"/>
          <w:sz w:val="16"/>
          <w:szCs w:val="16"/>
        </w:rPr>
        <w:softHyphen/>
        <w:t>много ниже и впереди слева. Благин летел чуть ниже гиганта справа курсом примерно под 45° к оси его полета и прямо на Р-5. Оказавшись под «МГ», он ввёл свой истреби</w:t>
      </w:r>
      <w:r w:rsidRPr="00E14102">
        <w:rPr>
          <w:color w:val="000000" w:themeColor="text1"/>
          <w:sz w:val="16"/>
          <w:szCs w:val="16"/>
        </w:rPr>
        <w:softHyphen/>
        <w:t>тель в мёртвую петлю, вышел вверх впереди левого крыла гиганта и закончил петлю за правым крылом «МГ», в опасной близости от 18-метрового хвоста. Сразу возник воп</w:t>
      </w:r>
      <w:r w:rsidRPr="00E14102">
        <w:rPr>
          <w:color w:val="000000" w:themeColor="text1"/>
          <w:sz w:val="16"/>
          <w:szCs w:val="16"/>
        </w:rPr>
        <w:softHyphen/>
        <w:t>рос — зачем так сложно и опасно? Однако позже, проанализировав ситуацию и прове</w:t>
      </w:r>
      <w:r w:rsidRPr="00E14102">
        <w:rPr>
          <w:color w:val="000000" w:themeColor="text1"/>
          <w:sz w:val="16"/>
          <w:szCs w:val="16"/>
        </w:rPr>
        <w:softHyphen/>
        <w:t>дя собственное историко-техническое расследование, стало понятно, что, по-видимому, только так и можно было сделать эту злополучную петлю.</w:t>
      </w:r>
    </w:p>
    <w:p w14:paraId="7E74BA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Наиболее простой и безопасный вариант — сделать петлю на параллельном курсе (вторая петля), как уже было сказано выше, не подходил. Выполнение петли по диаго</w:t>
      </w:r>
      <w:r w:rsidRPr="00E14102">
        <w:rPr>
          <w:color w:val="000000" w:themeColor="text1"/>
          <w:sz w:val="16"/>
          <w:szCs w:val="16"/>
        </w:rPr>
        <w:softHyphen/>
        <w:t>нали, при всей кажущейся сложности, наоборот, упрощало ее выполнение, главным образом, за счет того, что скорость движения И-5 относительно «МГ» в продольном и поперечном направлении значительно уменьшалась, а описать круг вокруг неподвиж</w:t>
      </w:r>
      <w:r w:rsidRPr="00E14102">
        <w:rPr>
          <w:color w:val="000000" w:themeColor="text1"/>
          <w:sz w:val="16"/>
          <w:szCs w:val="16"/>
        </w:rPr>
        <w:softHyphen/>
        <w:t>ного предмета значительно проще.</w:t>
      </w:r>
    </w:p>
    <w:p w14:paraId="5F2E3F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Мёртвую петлю Благин сделал с радиусом меньше размаха крыльев гиганта (Вяткин да</w:t>
      </w:r>
      <w:r w:rsidRPr="00E14102">
        <w:rPr>
          <w:color w:val="000000" w:themeColor="text1"/>
          <w:sz w:val="16"/>
          <w:szCs w:val="16"/>
        </w:rPr>
        <w:softHyphen/>
        <w:t>же утверждал, что радиус был всего около 18 м), и время ее выполнения составило мень</w:t>
      </w:r>
      <w:r w:rsidRPr="00E14102">
        <w:rPr>
          <w:color w:val="000000" w:themeColor="text1"/>
          <w:sz w:val="16"/>
          <w:szCs w:val="16"/>
        </w:rPr>
        <w:softHyphen/>
        <w:t>ше 3-5 сек, за это время «МГ» пролетал 150-250 м. Чтобы не столкнуться с левым крылом в начале петли, ее следовало начинать чуть впереди центра самолёта. Ошибка в моменте входа в петлю не должна была превышать 0,1-0,2 сек, за которые И-5 при ско</w:t>
      </w:r>
      <w:r w:rsidRPr="00E14102">
        <w:rPr>
          <w:color w:val="000000" w:themeColor="text1"/>
          <w:sz w:val="16"/>
          <w:szCs w:val="16"/>
        </w:rPr>
        <w:softHyphen/>
        <w:t>рости около 250 км/ч пролетал от 7 до 15 м. Вместе с тем у лётчика не было никаких ори</w:t>
      </w:r>
      <w:r w:rsidRPr="00E14102">
        <w:rPr>
          <w:color w:val="000000" w:themeColor="text1"/>
          <w:sz w:val="16"/>
          <w:szCs w:val="16"/>
        </w:rPr>
        <w:softHyphen/>
        <w:t>ентиров, кроме движущегося гиганта.</w:t>
      </w:r>
    </w:p>
    <w:p w14:paraId="0C51AD4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Первую петлю Благин вы</w:t>
      </w:r>
      <w:r w:rsidRPr="00E14102">
        <w:rPr>
          <w:color w:val="000000" w:themeColor="text1"/>
          <w:sz w:val="16"/>
          <w:szCs w:val="16"/>
        </w:rPr>
        <w:softHyphen/>
        <w:t>полнил ювелирно, что свиде</w:t>
      </w:r>
      <w:r w:rsidRPr="00E14102">
        <w:rPr>
          <w:color w:val="000000" w:themeColor="text1"/>
          <w:sz w:val="16"/>
          <w:szCs w:val="16"/>
        </w:rPr>
        <w:softHyphen/>
        <w:t>тельствует о том, что лётчик накануне немало потрудился над схемой и траекторией вы</w:t>
      </w:r>
      <w:r w:rsidRPr="00E14102">
        <w:rPr>
          <w:color w:val="000000" w:themeColor="text1"/>
          <w:sz w:val="16"/>
          <w:szCs w:val="16"/>
        </w:rPr>
        <w:softHyphen/>
        <w:t>полнения полёта. Неясно, бы</w:t>
      </w:r>
      <w:r w:rsidRPr="00E14102">
        <w:rPr>
          <w:color w:val="000000" w:themeColor="text1"/>
          <w:sz w:val="16"/>
          <w:szCs w:val="16"/>
        </w:rPr>
        <w:softHyphen/>
        <w:t>ло ли у лётчика инженерное образование, но он активно занимался изобретательст</w:t>
      </w:r>
      <w:r w:rsidRPr="00E14102">
        <w:rPr>
          <w:color w:val="000000" w:themeColor="text1"/>
          <w:sz w:val="16"/>
          <w:szCs w:val="16"/>
        </w:rPr>
        <w:softHyphen/>
        <w:t>вом и, без сомнения, был хо</w:t>
      </w:r>
      <w:r w:rsidRPr="00E14102">
        <w:rPr>
          <w:color w:val="000000" w:themeColor="text1"/>
          <w:sz w:val="16"/>
          <w:szCs w:val="16"/>
        </w:rPr>
        <w:softHyphen/>
        <w:t>рошо знаком с инженерными расчетами.</w:t>
      </w:r>
    </w:p>
    <w:p w14:paraId="347069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Лётчик-испытатель Герой Советского Со</w:t>
      </w:r>
      <w:r w:rsidRPr="00E14102">
        <w:rPr>
          <w:color w:val="000000" w:themeColor="text1"/>
          <w:sz w:val="16"/>
          <w:szCs w:val="16"/>
        </w:rPr>
        <w:softHyphen/>
        <w:t>юза М А. Нюхтиков, видевший в ЦАГИ засе</w:t>
      </w:r>
      <w:r w:rsidRPr="00E14102">
        <w:rPr>
          <w:color w:val="000000" w:themeColor="text1"/>
          <w:sz w:val="16"/>
          <w:szCs w:val="16"/>
        </w:rPr>
        <w:softHyphen/>
        <w:t>креченные кадры хроники, говорил Вяткину, что «Благин выполнил благополучно две эволюции и только на третьей таранил «Максима Горького», явно не справившись с управлением».</w:t>
      </w:r>
    </w:p>
    <w:p w14:paraId="577A509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Что произошло во время второй (или третьей) петли, можно лишь предполагать. Неясно, выполнял ли он ее (их) подряд, или же делал новые заходы. В первом случае могла набежать небольшая ошибка во вре</w:t>
      </w:r>
      <w:r w:rsidRPr="00E14102">
        <w:rPr>
          <w:color w:val="000000" w:themeColor="text1"/>
          <w:sz w:val="16"/>
          <w:szCs w:val="16"/>
        </w:rPr>
        <w:softHyphen/>
        <w:t>мени начала петли (а 0,2 с было уже доста</w:t>
      </w:r>
      <w:r w:rsidRPr="00E14102">
        <w:rPr>
          <w:color w:val="000000" w:themeColor="text1"/>
          <w:sz w:val="16"/>
          <w:szCs w:val="16"/>
        </w:rPr>
        <w:softHyphen/>
        <w:t>точно для столкновения), во втором случае «чуть-чуть» мог опоздать сам лётчик.</w:t>
      </w:r>
    </w:p>
    <w:p w14:paraId="0A7388C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Пресловутая «бочка» долго не давала мне покоя, и однажды, пользуясь случаем, я долго «пытал» Вяткина, что он имел ввиду?</w:t>
      </w:r>
    </w:p>
    <w:p w14:paraId="0D5309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конце концов он «сознался», что под «бочкой» он сам понимал разомкнутую петлю и... тогда все стало на свои места, особенно с учетом комментария Нюхтикова.</w:t>
      </w:r>
    </w:p>
    <w:p w14:paraId="45AB7FD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Представьте себе гигантский бутылочный штопор, лежащий горизонтально, по цент</w:t>
      </w:r>
      <w:r w:rsidRPr="00E14102">
        <w:rPr>
          <w:color w:val="000000" w:themeColor="text1"/>
          <w:sz w:val="16"/>
          <w:szCs w:val="16"/>
        </w:rPr>
        <w:softHyphen/>
        <w:t>ральной оси спирали летит «МГ», а сама спираль — это траектория И-5, причем диаметр спирали меньше размаха крыльев АНТ-20. Как мне кажется, это или нечто подобное и хотели продемонстрировать И.В. Сталину над Красной площадью.</w:t>
      </w:r>
    </w:p>
    <w:p w14:paraId="5F5560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Такая прямо-таки «цирковая» задача у Н.П. Благина была значительно сложнее, чем у знаменитого В.П. Чкалова, однажды пролетевшего под Невским мостом.</w:t>
      </w:r>
    </w:p>
    <w:p w14:paraId="6969F44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полном объёме кадры хроники, виденные Нюхтиковым, обнаружить не удалось, и если правда, что Благин совершил три петли подряд, то ему удалось практически не</w:t>
      </w:r>
      <w:r w:rsidRPr="00E14102">
        <w:rPr>
          <w:color w:val="000000" w:themeColor="text1"/>
          <w:sz w:val="16"/>
          <w:szCs w:val="16"/>
        </w:rPr>
        <w:softHyphen/>
        <w:t>возможное. Конечно, это был воистину «смертельный» трюк... Основной причиной трагедии стала попытка продемонстрировать в воздухе некомпе</w:t>
      </w:r>
      <w:r w:rsidRPr="00E14102">
        <w:rPr>
          <w:color w:val="000000" w:themeColor="text1"/>
          <w:sz w:val="16"/>
          <w:szCs w:val="16"/>
        </w:rPr>
        <w:softHyphen/>
        <w:t xml:space="preserve">тентно </w:t>
      </w:r>
      <w:r w:rsidRPr="00E14102">
        <w:rPr>
          <w:color w:val="000000" w:themeColor="text1"/>
          <w:sz w:val="16"/>
          <w:szCs w:val="16"/>
        </w:rPr>
        <w:lastRenderedPageBreak/>
        <w:t>сформулированную и практически невыполнимую задачу. Трюк был смертельно рискованным (один раз удался, второй раз — нет), но можно говорить лишь о наруше</w:t>
      </w:r>
      <w:r w:rsidRPr="00E14102">
        <w:rPr>
          <w:color w:val="000000" w:themeColor="text1"/>
          <w:sz w:val="16"/>
          <w:szCs w:val="16"/>
        </w:rPr>
        <w:softHyphen/>
        <w:t>нии правил безопасности полётов, не говоря уже о том, что подобные киносъёмочные полеты преступно выполнять с пассажирами.</w:t>
      </w:r>
    </w:p>
    <w:p w14:paraId="20CD53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Число жертв не ограничилось находившимися в воздухе. Обломки упали на территорию поселка художников «Сокол», разрушив дом № 4 по ул. Левитана и сильно повредив дома №№ 7 и 11 по ул. Сурикова. Точное число погибших среди их жильцов неизве</w:t>
      </w:r>
      <w:r w:rsidRPr="00E14102">
        <w:rPr>
          <w:color w:val="000000" w:themeColor="text1"/>
          <w:sz w:val="16"/>
          <w:szCs w:val="16"/>
        </w:rPr>
        <w:softHyphen/>
        <w:t>стно, но они тоже были.</w:t>
      </w:r>
    </w:p>
    <w:p w14:paraId="000A7F6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Недавно в одном из документальных фильмов о гибели «Максима Горького» дочь Бла</w:t>
      </w:r>
      <w:r w:rsidRPr="00E14102">
        <w:rPr>
          <w:color w:val="000000" w:themeColor="text1"/>
          <w:sz w:val="16"/>
          <w:szCs w:val="16"/>
        </w:rPr>
        <w:softHyphen/>
        <w:t>гина рассказывала, что сразу после катастрофы к ним домой ежедневно в рабочее вре</w:t>
      </w:r>
      <w:r w:rsidRPr="00E14102">
        <w:rPr>
          <w:color w:val="000000" w:themeColor="text1"/>
          <w:sz w:val="16"/>
          <w:szCs w:val="16"/>
        </w:rPr>
        <w:softHyphen/>
        <w:t>мя приходили сотрудники ЦАГИ, чтобы поддержать семью... всенародно объявленного «воздушного хулигана, виновного в гибели 50 человек». Они показывали гранки газеты «Правда» с Указом о награждении Орденом Ленина и рамкой под портрет Благина. Этот указ среди прочих несомненно появился бы 2 мая, если бы состоялся «воздушный цирк» над Красной площадью, но...</w:t>
      </w:r>
    </w:p>
    <w:p w14:paraId="2DC60A4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первых двух апрельских полётах за штурвалами «МГ» и Р-5 сидели опытнейшие М.М. Громов и И.Ф. Козлов, судя по всему, не позволившие переступить ту грань, за которой неизбежно произойдёт лётное происшествие. Но задание, причем правительственное, осталось невыполненным...</w:t>
      </w:r>
    </w:p>
    <w:p w14:paraId="21841A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 вот 18 мая, в спешке, без заболевшего Громова, заменив Козлова Рыбушкиным, при наличии пассажиров, чего категорически нельзя было делать, попытались доснять недостающие кадры. А виноватыми в конечном итоге оказались «стрелочники».</w:t>
      </w:r>
    </w:p>
    <w:p w14:paraId="64054B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Л.М. Вяткин пишет: «Выяснилась еще одна неизвестная подробность. Отмечалось, что уже на третий день после трагедии всеведущий Г. Ягода доложил Сталину о том, как все произошло. Все было известно. Фигурантам — мелким — деваться было некуда. В ве</w:t>
      </w:r>
      <w:r w:rsidRPr="00E14102">
        <w:rPr>
          <w:color w:val="000000" w:themeColor="text1"/>
          <w:sz w:val="16"/>
          <w:szCs w:val="16"/>
        </w:rPr>
        <w:softHyphen/>
        <w:t>домстве Ягоды умели не только ставить вопросы, но и получать на них «вразуми</w:t>
      </w:r>
      <w:r w:rsidRPr="00E14102">
        <w:rPr>
          <w:color w:val="000000" w:themeColor="text1"/>
          <w:sz w:val="16"/>
          <w:szCs w:val="16"/>
        </w:rPr>
        <w:softHyphen/>
        <w:t>тельные» ответы. Да и лётчик Рыбушкин в кабинете наркома, без сомнения, «вспомнил» все подробности разговора 17 мая, когда он и Благин получили задания. Но «момент ис</w:t>
      </w:r>
      <w:r w:rsidRPr="00E14102">
        <w:rPr>
          <w:color w:val="000000" w:themeColor="text1"/>
          <w:sz w:val="16"/>
          <w:szCs w:val="16"/>
        </w:rPr>
        <w:softHyphen/>
        <w:t>тины» был опущен. Благин вроде и не виновен, но и других виноватых не видно. Оче</w:t>
      </w:r>
      <w:r w:rsidRPr="00E14102">
        <w:rPr>
          <w:color w:val="000000" w:themeColor="text1"/>
          <w:sz w:val="16"/>
          <w:szCs w:val="16"/>
        </w:rPr>
        <w:softHyphen/>
        <w:t>видно, считается, что правду говорить еще рано...</w:t>
      </w:r>
    </w:p>
    <w:p w14:paraId="3A2848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Перед киносъёмкой кинооператор, опасаясь, что истребитель Благина окажется за ка</w:t>
      </w:r>
      <w:r w:rsidRPr="00E14102">
        <w:rPr>
          <w:color w:val="000000" w:themeColor="text1"/>
          <w:sz w:val="16"/>
          <w:szCs w:val="16"/>
        </w:rPr>
        <w:softHyphen/>
        <w:t>дром, попросил его: «Ты давай, получше крути!» Благину не нравились наслоения проти</w:t>
      </w:r>
      <w:r w:rsidRPr="00E14102">
        <w:rPr>
          <w:color w:val="000000" w:themeColor="text1"/>
          <w:sz w:val="16"/>
          <w:szCs w:val="16"/>
        </w:rPr>
        <w:softHyphen/>
        <w:t>воречивых указаний, и он был мрачен...» (Вяткин Л.М. Трагедии воздушного океана. М., 1999. С. 186.).</w:t>
      </w:r>
    </w:p>
    <w:p w14:paraId="366420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результате всех трёх участвовавших в полетах кинооператоров репрессировали, а истинной причиной катастрофы явилась ошибка лётчика Благина, причем даже не ме</w:t>
      </w:r>
      <w:r w:rsidRPr="00E14102">
        <w:rPr>
          <w:color w:val="000000" w:themeColor="text1"/>
          <w:sz w:val="16"/>
          <w:szCs w:val="16"/>
        </w:rPr>
        <w:softHyphen/>
        <w:t>тодологическая (судя по первой петле, он все рассчитал верно), а всего лишь техниче</w:t>
      </w:r>
      <w:r w:rsidRPr="00E14102">
        <w:rPr>
          <w:color w:val="000000" w:themeColor="text1"/>
          <w:sz w:val="16"/>
          <w:szCs w:val="16"/>
        </w:rPr>
        <w:softHyphen/>
        <w:t>ская, выразившаяся в небольшом (меньше долей секунды) запаздывании с моментом начала входа в следующую (вторую или третью петлю) (11696).</w:t>
      </w:r>
    </w:p>
    <w:p w14:paraId="3A2DD16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AC68D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мая 1935 г. в результате столкновения с истребителем И-5 погиб восьмимоторный самолет-гигант "Максим Горький" (АНТ-20, МГ), считавшийся символом достижений советской авиапромышленности. Все люди, находившиеся на его борту, погибли. Катастрофа всколыхнула всю страну. Начался сбор средств на постройку десяти, а затем 16 новых самолетов типа АНТ- 20. Уже к 4 июля на счетах находилось 68 миллионов рублей. Еще не существующим гигантам даже имена подобрали. Первый самолет должен был называться "Владимир Ленин". Следующим, разумеется, шел "Иосиф Сталин". А вот третьей машине намеревались повторно присвоить имя "Максим Горький". Далее по рангу перечислялись высшие руководители страны: и легендарные герои, прах которых уже покоился в земле, и еще благополучно здравствовавшие: "Михаил Калинин", "Вячеслав Молотов", "Климент Ворошилов", "Серго Орджоникидзе", "Лазарь Каганович", "Станислав Косиор", "Влас Чу- барь", "Анастас Микоян", "Андрей Андреев", "Сергей Киров", "Михаил Фрунзе", "Феликс Дзержинский" и "Валериан Куйбышев". По этому поводу 4 августа 1935 г. вышло специальное постановление Совета труда и обороны (СТО).</w:t>
      </w:r>
    </w:p>
    <w:p w14:paraId="7E3B76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Хотя "Максим Горький" был агит- самолетом (что-то вроде летающего дома культуры), все 16 новых гигантов решили передать в гражданскую авиацию. При этом никто не отдавал себе отчета, где и как их будут эксплуатировать. Экономическая эффективность лайнеров большой вместимости при тогдашнем пассажиропотоке, когда летали практически только начальники и командировочные, была весьма сомнительна. В то же время проблем эскадрилья многомоторных монстров создавала множество. Им требовались большие аэродромы с твердым покрытием, специальная техника для заправки и обслуживания. Например, тягача, способного буксировать подобный самолет, в стране вообще не существовало.</w:t>
      </w:r>
    </w:p>
    <w:p w14:paraId="4A3906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Работой по проектированию новых гигантов занялся тот же коллектив, который создавал "Максима Горького" - конструкторы КОСОС ЦАГИ во главе с А.Н. Туполевым. Хотя они были заняты другими немаловажными работами, такими как скоростной бомбардировщик СБ, пришлось выкроить время и на проект, названный АНТ- 20бис или МГ-бис.</w:t>
      </w:r>
    </w:p>
    <w:p w14:paraId="08BA93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основному назначению эти машины считались пассажирскими на 60 мест. Но в военное время их собирались мобилизовать и использовать как тяжелые ночные бомбардировщики и военно-транс- портные самолеты. В соответствии с таким подходом установка стрелкового и бомбового вооружения предусматривалась конструкцией, но само оно не монтировалось. А вот бомбовый прицел ОПБ-1 и самолетное переговорное устройство собирались устанавливать сразу. От первого "Максима Горького" новые машины должны были отличаться наличием шести, а не восьми моторов, но большей мощности, типа М-34РН с металлическими трехлопастными винтами. Доставлявшую ранее много хлопот верхнюю тандем- ную мотоустановку МГ намеревались ликвидировать. Площадь крыла немного уменьшили (на 6 м2). В список оборудования входили американский автопилот фирмы "Сперри", современные гироскопические приборы, радиополукомпас, пусковые трубы для парашютных, осветительных ракет ПАР-13 (11926).</w:t>
      </w:r>
    </w:p>
    <w:p w14:paraId="78ABD2F2" w14:textId="77777777" w:rsidR="00D4105E" w:rsidRPr="00E14102" w:rsidRDefault="00D4105E" w:rsidP="00E14102">
      <w:pPr>
        <w:autoSpaceDE w:val="0"/>
        <w:autoSpaceDN w:val="0"/>
        <w:adjustRightInd w:val="0"/>
        <w:jc w:val="both"/>
        <w:rPr>
          <w:color w:val="000000" w:themeColor="text1"/>
          <w:sz w:val="16"/>
          <w:szCs w:val="16"/>
        </w:rPr>
      </w:pPr>
    </w:p>
    <w:p w14:paraId="72C88C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мая 1935 г. планировали передать АНТ- 20 из ОЭЛИД в агитэскадрилью имени Максима Горького. Интересно, что о государственных испытаниях нигде уже не упоминали. Некоторые авторы считают, что заводским испытаниям придали статус совместных. Но в полетах не участвовали специалисты ни из НИИ ГВФ, ни из НИИ ВВС, которые в нашей стране обеспечивают проведение государственных испытаний. Формального отчета об испытаниях МГ не существует. Видимо, самолет-гигант сделали исключением из существовавших норм (12024).</w:t>
      </w:r>
    </w:p>
    <w:p w14:paraId="12BBE9C1" w14:textId="77777777" w:rsidR="00D4105E" w:rsidRPr="00E14102" w:rsidRDefault="00D4105E" w:rsidP="00E14102">
      <w:pPr>
        <w:autoSpaceDE w:val="0"/>
        <w:autoSpaceDN w:val="0"/>
        <w:adjustRightInd w:val="0"/>
        <w:jc w:val="both"/>
        <w:rPr>
          <w:color w:val="000000" w:themeColor="text1"/>
          <w:sz w:val="16"/>
          <w:szCs w:val="16"/>
        </w:rPr>
      </w:pPr>
    </w:p>
    <w:p w14:paraId="4E033A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мая 1935 г. МГ предстояло сделать два полета над Москвой с пассажирами. Тогда практиковалась такая форма поощрения передовиков производства, как катание на самолете. Один полет требовалось совершить с сотрудниками ЦАГИ, другой - с рабочими Завода опытных конструкций, в обоих случаях взяв на борт примерно по сорок человек. Люди воспринимали это как веселый аттракцион, некоторые пришли с семьями, взяли с собой детей.</w:t>
      </w:r>
    </w:p>
    <w:p w14:paraId="6CFB37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Эти полеты считались сдаточными; после них воздушный гигант официально передавался эскадрилье им. М. Горького. Испытатель Н.С. Журов полеты на МГ прекращал, а летавший до этого вторым пилотом И. В. Михеев переводился на должность командира корабля.</w:t>
      </w:r>
    </w:p>
    <w:p w14:paraId="7C7CF0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Параллельно намеревались вести киносъемку. Для этого, как и ранее, выделили в сопровождение истребитель И-5 с пилотом Н.П. Благиным, а снимать собирались с биплана Р-5. Последний пилотировал В.В. Ры- бушкин, а в задней кабине сидел кинооператор Щекутьев. И Благин, и Рыбушкин являлись опытными испытателями из ОЭЛИД ЦАГИ.</w:t>
      </w:r>
    </w:p>
    <w:p w14:paraId="602070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 Горький" стоял на московском Центральном аэродроме на Ходынке, ныне не существующем; большая часть его территории сейчас застроена жилыми домами. Первыми на посадку пошли работники Завода опытных конструкций с членами семей; их было 36 человек, в том числе шестеро детей. На борту гиганта находились 11 человек экипажа, включая летчиков Журова и Михеева.</w:t>
      </w:r>
    </w:p>
    <w:p w14:paraId="578F3F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Первым взлетел Р-5, затем истребитель и последним - "Максим Горький". В воздухе сопровождающие пристроились по бокам гиганта: киносьемщик слева, И-5 - справа. Очевидно, зрителей хотели поразить контрастом размеров маленького истребителя- биплана и огромного МГ.</w:t>
      </w:r>
    </w:p>
    <w:p w14:paraId="2D8B2E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вот после этого версии происходившего в разных источниках расходятся. В официальном сообщении ТАСС говорится о том, что Благин, несмотря на запрещение, начал выполнять вблизи агитсамолета фигуры высшего пилотажа. При завершении петли он, не рассчитав, врезался в крыло гиганта.</w:t>
      </w:r>
    </w:p>
    <w:p w14:paraId="4F8511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Анализ сохранившейся кинохроники, проведенный современными специалистами, говорит о том, что Благин пытался выполнить очень эффектный и крайне сложный трюк - описать три диагональных петли вокруг движущегося "Максима Горького", причем радиус петли был меньше, чем размах крыла. Видимо, техника осуществления этой задачи была продумана заранее. Благин делал что-то среднее между классической "мертвой петлей" и замедленной "бочкой". При этом делал он это три раза. В первый раз истребитель ушел под "Максима", проскочил вперед, набрал высоту, перевернулся на "спину", а за хвостом "Горького" спикировал и пошел на второй заход. Вторая петля не была диагональной - Благин сделал ее на параллельном курсе и за пределами размаха крыла МГ. А вот третья петля напоминала первую. Биплан "нырнул" под "Максима" справа, прошел под фюзеляжем и пошел вверх перед левым крылом. Осталось завершить круг за правым </w:t>
      </w:r>
    </w:p>
    <w:p w14:paraId="3EF618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Благину удалось сделать примерно в поселке Сокол три четверти петли. Его ошибка оценивается всего в 0,1 - 0,2 секунды, за которые истребитель пролетал 7 - 15 м. Вот этот просчет и привел к катастрофе. Некоторые считают, что погрешность по времени от заранее просчитанной последовательности накопилась уже на первых двух петлях, и пилот чуть-чуть не успел ее скорректировать. Во всяком случае, импровизацией трюк Благина явно быть не мог.</w:t>
      </w:r>
    </w:p>
    <w:p w14:paraId="020B83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 Рыбушкин, пилотировавший Р-5, с которого вели киносъемку, потом говорил, что, по его мнению, летчик на истребителе в верхней точке петли потерял скорость и сорвался. Известный испытатель М.А. Нюхти- ков после просмотра пленки высказал точку зрения, что Благин не справился с управлением. Как бы то ни было, результат был одним и тем же.</w:t>
      </w:r>
    </w:p>
    <w:p w14:paraId="0EC240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далее - сухие и страшные факты. Истребитель врезался в правое крыло у среднего мотора. Тяжелый двигатель биплана пробил обшивку и прошел через крыло насквозь, попутно повредив лонжерон. Из крыла ударил черный дым - был пробит маслобак или разрушились магистрали. Вниз посыпались секции капота двигателя и обломки истребителя. "Максим Горький" продолжал лететь еше 10 - 15 секунд, постепенно заваливаясь вправо. Затем машина вошла в пологое пикирование, часть правого крыла отвалилась. После этого отломилась хвостовая часть фюзеляжа с оперением. Надежды на спасение уже не осталось. В отвесном пикировании падающий МГ перевернулся колесами вверх и в таком положении упал на территории поселка Сокол (существующего и поныне возле одноименной станции метро). Тогда там, в сосняке жили художники. Один дом был разрушен полностью, два - сильно повреждены. Имелись жертвы, но всю информацию об этом засекретили и до сих пор неизвестно - сколько человек там погибло. На борту самолета лишились жизни все, никто не спасся. Благин тоже погиб.</w:t>
      </w:r>
    </w:p>
    <w:p w14:paraId="4D35AE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Расследованием катастрофы руководил лично нарком внутренних дел Г. Ягода. В его докладной Сталину говорится, что причиной трагедии являлось "нарушение летчиком Благиным, погибшим со своим самолетом, приказа о сопровождении "Максима Горького". Но сейчас считают, что действия Благина были отнюдь не самовольными. Ему отдали распоряжение сделать этот эффектный трюк, но оно было устным, не зафиксированным ни в каких документах. Историк авиации А. Демин, подробно исследовавший катастрофу "Максима Горького", в этом убежден. Он считает, что тройную петлю готовили еще к первомайскому параду, но не успели все проверить. Якобы, уже готовился указ о награждении за это Благина орденом Ленина.</w:t>
      </w:r>
    </w:p>
    <w:p w14:paraId="1F6383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том, что Благин выполнял приказ, косвенно свидетельствует то, что его семья не была каким-то образом ущемлена после катастрофы, а сам он похоронен в той же братской могиле, что и люди, погибшие на борту "Максима Горького" (12024).</w:t>
      </w:r>
    </w:p>
    <w:p w14:paraId="47B081CD" w14:textId="77777777" w:rsidR="00D4105E" w:rsidRPr="00E14102" w:rsidRDefault="00D4105E" w:rsidP="00E14102">
      <w:pPr>
        <w:autoSpaceDE w:val="0"/>
        <w:autoSpaceDN w:val="0"/>
        <w:adjustRightInd w:val="0"/>
        <w:jc w:val="both"/>
        <w:rPr>
          <w:color w:val="000000" w:themeColor="text1"/>
          <w:sz w:val="16"/>
          <w:szCs w:val="16"/>
        </w:rPr>
      </w:pPr>
    </w:p>
    <w:p w14:paraId="237F7B19" w14:textId="77777777" w:rsidR="00890990" w:rsidRPr="00E14102" w:rsidRDefault="00890990" w:rsidP="00E14102">
      <w:pPr>
        <w:jc w:val="both"/>
        <w:rPr>
          <w:color w:val="0070C0"/>
          <w:sz w:val="16"/>
          <w:szCs w:val="16"/>
        </w:rPr>
      </w:pPr>
      <w:r w:rsidRPr="00E14102">
        <w:rPr>
          <w:color w:val="0070C0"/>
          <w:sz w:val="16"/>
          <w:szCs w:val="16"/>
        </w:rPr>
        <w:t>18 мая 1935 г. в субботний день, который был вы</w:t>
      </w:r>
      <w:r w:rsidRPr="00E14102">
        <w:rPr>
          <w:color w:val="0070C0"/>
          <w:sz w:val="16"/>
          <w:szCs w:val="16"/>
        </w:rPr>
        <w:softHyphen/>
        <w:t>ходным (страна работала по «шестиднев</w:t>
      </w:r>
      <w:r w:rsidRPr="00E14102">
        <w:rPr>
          <w:color w:val="0070C0"/>
          <w:sz w:val="16"/>
          <w:szCs w:val="16"/>
        </w:rPr>
        <w:softHyphen/>
        <w:t>ке». На какой бы день недели ни прихо</w:t>
      </w:r>
      <w:r w:rsidRPr="00E14102">
        <w:rPr>
          <w:color w:val="0070C0"/>
          <w:sz w:val="16"/>
          <w:szCs w:val="16"/>
        </w:rPr>
        <w:softHyphen/>
        <w:t>дился день шестой — он был выходным). Стояла чудесная погода, хотя ветер слег</w:t>
      </w:r>
      <w:r w:rsidRPr="00E14102">
        <w:rPr>
          <w:color w:val="0070C0"/>
          <w:sz w:val="16"/>
          <w:szCs w:val="16"/>
        </w:rPr>
        <w:softHyphen/>
        <w:t>ка «перебарщивал».</w:t>
      </w:r>
    </w:p>
    <w:p w14:paraId="6CA223E1" w14:textId="77777777" w:rsidR="00890990" w:rsidRPr="00E14102" w:rsidRDefault="00890990" w:rsidP="00E14102">
      <w:pPr>
        <w:jc w:val="both"/>
        <w:rPr>
          <w:color w:val="0070C0"/>
          <w:sz w:val="16"/>
          <w:szCs w:val="16"/>
        </w:rPr>
      </w:pPr>
      <w:r w:rsidRPr="00E14102">
        <w:rPr>
          <w:color w:val="0070C0"/>
          <w:sz w:val="16"/>
          <w:szCs w:val="16"/>
        </w:rPr>
        <w:t>На Центральном аэродроме царило праздничное настроение. Еше бы. все знали, что «МГ» дважды поднимется в воздух и покатает лучших из лучших стро</w:t>
      </w:r>
      <w:r w:rsidRPr="00E14102">
        <w:rPr>
          <w:color w:val="0070C0"/>
          <w:sz w:val="16"/>
          <w:szCs w:val="16"/>
        </w:rPr>
        <w:softHyphen/>
        <w:t>ителей самолета. И не только их. но и чле</w:t>
      </w:r>
      <w:r w:rsidRPr="00E14102">
        <w:rPr>
          <w:color w:val="0070C0"/>
          <w:sz w:val="16"/>
          <w:szCs w:val="16"/>
        </w:rPr>
        <w:softHyphen/>
        <w:t>нов их семей. Ожидая посадки, по полю гуляли радостные и счастливые люди. Их труд оценен. На чудо-машине, сделанной их руками, они поднимутся в небо и по</w:t>
      </w:r>
      <w:r w:rsidRPr="00E14102">
        <w:rPr>
          <w:color w:val="0070C0"/>
          <w:sz w:val="16"/>
          <w:szCs w:val="16"/>
        </w:rPr>
        <w:softHyphen/>
        <w:t>смотрят сверху на красавицу Москву. Не</w:t>
      </w:r>
      <w:r w:rsidRPr="00E14102">
        <w:rPr>
          <w:color w:val="0070C0"/>
          <w:sz w:val="16"/>
          <w:szCs w:val="16"/>
        </w:rPr>
        <w:softHyphen/>
        <w:t>которые полетят с женами, некоторые — с детьми. Были и такие, кто отдал свой би</w:t>
      </w:r>
      <w:r w:rsidRPr="00E14102">
        <w:rPr>
          <w:color w:val="0070C0"/>
          <w:sz w:val="16"/>
          <w:szCs w:val="16"/>
        </w:rPr>
        <w:softHyphen/>
        <w:t>лет жене и сынишке — сам уже летал.</w:t>
      </w:r>
    </w:p>
    <w:p w14:paraId="2347589D" w14:textId="77777777" w:rsidR="00890990" w:rsidRPr="00E14102" w:rsidRDefault="00890990" w:rsidP="00E14102">
      <w:pPr>
        <w:jc w:val="both"/>
        <w:rPr>
          <w:color w:val="0070C0"/>
          <w:sz w:val="16"/>
          <w:szCs w:val="16"/>
        </w:rPr>
      </w:pPr>
      <w:r w:rsidRPr="00E14102">
        <w:rPr>
          <w:color w:val="0070C0"/>
          <w:sz w:val="16"/>
          <w:szCs w:val="16"/>
        </w:rPr>
        <w:t>Внезапно беспорядочное движение людей по аэродрому прекратилось, и все направились к самолету — объявили по</w:t>
      </w:r>
      <w:r w:rsidRPr="00E14102">
        <w:rPr>
          <w:color w:val="0070C0"/>
          <w:sz w:val="16"/>
          <w:szCs w:val="16"/>
        </w:rPr>
        <w:softHyphen/>
        <w:t>садку для тех, кто летит в первую очередь. Увы. заранее подготовленные списки оказались практически бесполезными: кто-то обменялся билетами, кто-то опоз</w:t>
      </w:r>
      <w:r w:rsidRPr="00E14102">
        <w:rPr>
          <w:color w:val="0070C0"/>
          <w:sz w:val="16"/>
          <w:szCs w:val="16"/>
        </w:rPr>
        <w:softHyphen/>
        <w:t>дал и его место занял некто из второй очереди. Но вот посадка завершена. Трап поднят. Бегут несколько опоздавших, но поздно. Самолет оцеплен, посадка закон</w:t>
      </w:r>
      <w:r w:rsidRPr="00E14102">
        <w:rPr>
          <w:color w:val="0070C0"/>
          <w:sz w:val="16"/>
          <w:szCs w:val="16"/>
        </w:rPr>
        <w:softHyphen/>
        <w:t>чена.</w:t>
      </w:r>
    </w:p>
    <w:p w14:paraId="031F4BD7" w14:textId="77777777" w:rsidR="00890990" w:rsidRPr="00E14102" w:rsidRDefault="00890990" w:rsidP="00E14102">
      <w:pPr>
        <w:jc w:val="both"/>
        <w:rPr>
          <w:color w:val="0070C0"/>
          <w:sz w:val="16"/>
          <w:szCs w:val="16"/>
        </w:rPr>
      </w:pPr>
      <w:r w:rsidRPr="00E14102">
        <w:rPr>
          <w:color w:val="0070C0"/>
          <w:sz w:val="16"/>
          <w:szCs w:val="16"/>
        </w:rPr>
        <w:t>Громов все еще в госпитале. На ко</w:t>
      </w:r>
      <w:r w:rsidRPr="00E14102">
        <w:rPr>
          <w:color w:val="0070C0"/>
          <w:sz w:val="16"/>
          <w:szCs w:val="16"/>
        </w:rPr>
        <w:softHyphen/>
        <w:t>мандирском месте — Н.С. Журов, второй пилот — летчикагитэскадрильи И.В. Ми</w:t>
      </w:r>
      <w:r w:rsidRPr="00E14102">
        <w:rPr>
          <w:color w:val="0070C0"/>
          <w:sz w:val="16"/>
          <w:szCs w:val="16"/>
        </w:rPr>
        <w:softHyphen/>
        <w:t>хеев. Перед стартом «МГ» в воздух подня</w:t>
      </w:r>
      <w:r w:rsidRPr="00E14102">
        <w:rPr>
          <w:color w:val="0070C0"/>
          <w:sz w:val="16"/>
          <w:szCs w:val="16"/>
        </w:rPr>
        <w:softHyphen/>
        <w:t>лись две машины. Сначала взлетел двух</w:t>
      </w:r>
      <w:r w:rsidRPr="00E14102">
        <w:rPr>
          <w:color w:val="0070C0"/>
          <w:sz w:val="16"/>
          <w:szCs w:val="16"/>
        </w:rPr>
        <w:softHyphen/>
        <w:t>местный разведчик Р-5. Его пилотиро</w:t>
      </w:r>
      <w:r w:rsidRPr="00E14102">
        <w:rPr>
          <w:color w:val="0070C0"/>
          <w:sz w:val="16"/>
          <w:szCs w:val="16"/>
        </w:rPr>
        <w:softHyphen/>
        <w:t>вал летчик-испытатель В.В. Рыбушкии. а место наблюдателя занимал киноопера</w:t>
      </w:r>
      <w:r w:rsidRPr="00E14102">
        <w:rPr>
          <w:color w:val="0070C0"/>
          <w:sz w:val="16"/>
          <w:szCs w:val="16"/>
        </w:rPr>
        <w:softHyphen/>
        <w:t>тор Щекутьев с кинокамерой. Вслед за ними поднялся в воздух летчик-испыта</w:t>
      </w:r>
      <w:r w:rsidRPr="00E14102">
        <w:rPr>
          <w:color w:val="0070C0"/>
          <w:sz w:val="16"/>
          <w:szCs w:val="16"/>
        </w:rPr>
        <w:softHyphen/>
        <w:t>тель ЦАГИ Н.П. Благин на одноместном истребителе И-5. Наконец наступила и очередь гиганта. «МГ» вырулил на старт, Журов перевел двигатели на взлетный ре</w:t>
      </w:r>
      <w:r w:rsidRPr="00E14102">
        <w:rPr>
          <w:color w:val="0070C0"/>
          <w:sz w:val="16"/>
          <w:szCs w:val="16"/>
        </w:rPr>
        <w:softHyphen/>
        <w:t>жим, и машина, легко оторвавшись от зе м л и. ушла в небо...(21240).</w:t>
      </w:r>
    </w:p>
    <w:p w14:paraId="62AD318C" w14:textId="77777777" w:rsidR="00890990" w:rsidRPr="00E14102" w:rsidRDefault="00890990" w:rsidP="00E14102">
      <w:pPr>
        <w:jc w:val="both"/>
        <w:rPr>
          <w:color w:val="0070C0"/>
          <w:sz w:val="16"/>
          <w:szCs w:val="16"/>
        </w:rPr>
      </w:pPr>
      <w:r w:rsidRPr="00E14102">
        <w:rPr>
          <w:i/>
          <w:iCs/>
          <w:color w:val="0070C0"/>
          <w:sz w:val="16"/>
          <w:szCs w:val="16"/>
          <w:lang w:bidi="ru-RU"/>
        </w:rPr>
        <w:t>Апрель 1935 года</w:t>
      </w:r>
    </w:p>
    <w:tbl>
      <w:tblPr>
        <w:tblOverlap w:val="never"/>
        <w:tblW w:w="0" w:type="auto"/>
        <w:jc w:val="center"/>
        <w:tblLayout w:type="fixed"/>
        <w:tblCellMar>
          <w:left w:w="10" w:type="dxa"/>
          <w:right w:w="10" w:type="dxa"/>
        </w:tblCellMar>
        <w:tblLook w:val="0000" w:firstRow="0" w:lastRow="0" w:firstColumn="0" w:lastColumn="0" w:noHBand="0" w:noVBand="0"/>
      </w:tblPr>
      <w:tblGrid>
        <w:gridCol w:w="408"/>
        <w:gridCol w:w="806"/>
        <w:gridCol w:w="965"/>
        <w:gridCol w:w="902"/>
        <w:gridCol w:w="806"/>
        <w:gridCol w:w="485"/>
        <w:gridCol w:w="562"/>
        <w:gridCol w:w="566"/>
        <w:gridCol w:w="326"/>
        <w:gridCol w:w="2486"/>
        <w:gridCol w:w="893"/>
      </w:tblGrid>
      <w:tr w:rsidR="00890990" w:rsidRPr="00E14102" w14:paraId="38F2D580" w14:textId="77777777" w:rsidTr="003D0776">
        <w:trPr>
          <w:trHeight w:hRule="exact" w:val="922"/>
          <w:jc w:val="center"/>
        </w:trPr>
        <w:tc>
          <w:tcPr>
            <w:tcW w:w="408" w:type="dxa"/>
            <w:tcBorders>
              <w:top w:val="single" w:sz="4" w:space="0" w:color="auto"/>
              <w:left w:val="single" w:sz="4" w:space="0" w:color="auto"/>
            </w:tcBorders>
            <w:shd w:val="clear" w:color="auto" w:fill="auto"/>
            <w:vAlign w:val="center"/>
          </w:tcPr>
          <w:p w14:paraId="2952BBC7"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Число</w:t>
            </w:r>
          </w:p>
        </w:tc>
        <w:tc>
          <w:tcPr>
            <w:tcW w:w="806" w:type="dxa"/>
            <w:tcBorders>
              <w:top w:val="single" w:sz="4" w:space="0" w:color="auto"/>
              <w:left w:val="single" w:sz="4" w:space="0" w:color="auto"/>
            </w:tcBorders>
            <w:shd w:val="clear" w:color="auto" w:fill="auto"/>
            <w:vAlign w:val="center"/>
          </w:tcPr>
          <w:p w14:paraId="65FA8BB2"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Летчик</w:t>
            </w:r>
          </w:p>
        </w:tc>
        <w:tc>
          <w:tcPr>
            <w:tcW w:w="965" w:type="dxa"/>
            <w:tcBorders>
              <w:top w:val="single" w:sz="4" w:space="0" w:color="auto"/>
              <w:left w:val="single" w:sz="4" w:space="0" w:color="auto"/>
            </w:tcBorders>
            <w:shd w:val="clear" w:color="auto" w:fill="auto"/>
            <w:vAlign w:val="center"/>
          </w:tcPr>
          <w:p w14:paraId="57CE13AA"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Наблюдатель</w:t>
            </w:r>
          </w:p>
        </w:tc>
        <w:tc>
          <w:tcPr>
            <w:tcW w:w="902" w:type="dxa"/>
            <w:tcBorders>
              <w:top w:val="single" w:sz="4" w:space="0" w:color="auto"/>
              <w:left w:val="single" w:sz="4" w:space="0" w:color="auto"/>
            </w:tcBorders>
            <w:shd w:val="clear" w:color="auto" w:fill="auto"/>
            <w:vAlign w:val="center"/>
          </w:tcPr>
          <w:p w14:paraId="17D53F18"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*Механик</w:t>
            </w:r>
          </w:p>
        </w:tc>
        <w:tc>
          <w:tcPr>
            <w:tcW w:w="806" w:type="dxa"/>
            <w:tcBorders>
              <w:top w:val="single" w:sz="4" w:space="0" w:color="auto"/>
              <w:left w:val="single" w:sz="4" w:space="0" w:color="auto"/>
            </w:tcBorders>
            <w:shd w:val="clear" w:color="auto" w:fill="auto"/>
            <w:vAlign w:val="center"/>
          </w:tcPr>
          <w:p w14:paraId="6AE2497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Самолёт</w:t>
            </w:r>
          </w:p>
        </w:tc>
        <w:tc>
          <w:tcPr>
            <w:tcW w:w="485" w:type="dxa"/>
            <w:tcBorders>
              <w:top w:val="single" w:sz="4" w:space="0" w:color="auto"/>
              <w:left w:val="single" w:sz="4" w:space="0" w:color="auto"/>
            </w:tcBorders>
            <w:shd w:val="clear" w:color="auto" w:fill="auto"/>
            <w:vAlign w:val="center"/>
          </w:tcPr>
          <w:p w14:paraId="062A5572"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Время вылета</w:t>
            </w:r>
          </w:p>
        </w:tc>
        <w:tc>
          <w:tcPr>
            <w:tcW w:w="562" w:type="dxa"/>
            <w:tcBorders>
              <w:top w:val="single" w:sz="4" w:space="0" w:color="auto"/>
              <w:left w:val="single" w:sz="4" w:space="0" w:color="auto"/>
            </w:tcBorders>
            <w:shd w:val="clear" w:color="auto" w:fill="auto"/>
            <w:vAlign w:val="bottom"/>
          </w:tcPr>
          <w:p w14:paraId="211CB4D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Работа мотора на земле</w:t>
            </w:r>
          </w:p>
        </w:tc>
        <w:tc>
          <w:tcPr>
            <w:tcW w:w="566" w:type="dxa"/>
            <w:tcBorders>
              <w:top w:val="single" w:sz="4" w:space="0" w:color="auto"/>
              <w:left w:val="single" w:sz="4" w:space="0" w:color="auto"/>
            </w:tcBorders>
            <w:shd w:val="clear" w:color="auto" w:fill="auto"/>
            <w:vAlign w:val="bottom"/>
          </w:tcPr>
          <w:p w14:paraId="65520E9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Продолжительность полёта</w:t>
            </w:r>
          </w:p>
        </w:tc>
        <w:tc>
          <w:tcPr>
            <w:tcW w:w="326" w:type="dxa"/>
            <w:tcBorders>
              <w:top w:val="single" w:sz="4" w:space="0" w:color="auto"/>
              <w:left w:val="single" w:sz="4" w:space="0" w:color="auto"/>
            </w:tcBorders>
            <w:shd w:val="clear" w:color="auto" w:fill="auto"/>
            <w:vAlign w:val="bottom"/>
          </w:tcPr>
          <w:p w14:paraId="1807A8E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Кол-во поса</w:t>
            </w:r>
            <w:r w:rsidRPr="00E14102">
              <w:rPr>
                <w:rFonts w:ascii="Times New Roman" w:eastAsia="Times New Roman" w:hAnsi="Times New Roman" w:cs="Times New Roman"/>
                <w:color w:val="0070C0"/>
                <w:sz w:val="16"/>
                <w:szCs w:val="16"/>
                <w:lang w:bidi="ru-RU"/>
              </w:rPr>
              <w:softHyphen/>
              <w:t>док</w:t>
            </w:r>
          </w:p>
        </w:tc>
        <w:tc>
          <w:tcPr>
            <w:tcW w:w="2486" w:type="dxa"/>
            <w:tcBorders>
              <w:top w:val="single" w:sz="4" w:space="0" w:color="auto"/>
              <w:left w:val="single" w:sz="4" w:space="0" w:color="auto"/>
            </w:tcBorders>
            <w:shd w:val="clear" w:color="auto" w:fill="auto"/>
            <w:vAlign w:val="center"/>
          </w:tcPr>
          <w:p w14:paraId="78E86AA7"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Задание</w:t>
            </w:r>
          </w:p>
        </w:tc>
        <w:tc>
          <w:tcPr>
            <w:tcW w:w="893" w:type="dxa"/>
            <w:tcBorders>
              <w:top w:val="single" w:sz="4" w:space="0" w:color="auto"/>
              <w:left w:val="single" w:sz="4" w:space="0" w:color="auto"/>
            </w:tcBorders>
            <w:shd w:val="clear" w:color="auto" w:fill="auto"/>
            <w:vAlign w:val="center"/>
          </w:tcPr>
          <w:p w14:paraId="075091B7"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Выполнение</w:t>
            </w:r>
          </w:p>
        </w:tc>
      </w:tr>
      <w:tr w:rsidR="00890990" w:rsidRPr="00E14102" w14:paraId="65830CE6" w14:textId="77777777" w:rsidTr="003D0776">
        <w:trPr>
          <w:trHeight w:hRule="exact" w:val="163"/>
          <w:jc w:val="center"/>
        </w:trPr>
        <w:tc>
          <w:tcPr>
            <w:tcW w:w="408" w:type="dxa"/>
            <w:vMerge w:val="restart"/>
            <w:tcBorders>
              <w:top w:val="single" w:sz="4" w:space="0" w:color="auto"/>
              <w:left w:val="single" w:sz="4" w:space="0" w:color="auto"/>
            </w:tcBorders>
            <w:shd w:val="clear" w:color="auto" w:fill="auto"/>
          </w:tcPr>
          <w:p w14:paraId="56F555E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26</w:t>
            </w:r>
          </w:p>
        </w:tc>
        <w:tc>
          <w:tcPr>
            <w:tcW w:w="806" w:type="dxa"/>
            <w:tcBorders>
              <w:top w:val="single" w:sz="4" w:space="0" w:color="auto"/>
              <w:left w:val="single" w:sz="4" w:space="0" w:color="auto"/>
            </w:tcBorders>
            <w:shd w:val="clear" w:color="auto" w:fill="auto"/>
            <w:vAlign w:val="bottom"/>
          </w:tcPr>
          <w:p w14:paraId="1CEE81C6"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Козлов</w:t>
            </w:r>
          </w:p>
        </w:tc>
        <w:tc>
          <w:tcPr>
            <w:tcW w:w="965" w:type="dxa"/>
            <w:tcBorders>
              <w:top w:val="single" w:sz="4" w:space="0" w:color="auto"/>
              <w:left w:val="single" w:sz="4" w:space="0" w:color="auto"/>
            </w:tcBorders>
            <w:shd w:val="clear" w:color="auto" w:fill="auto"/>
            <w:vAlign w:val="bottom"/>
          </w:tcPr>
          <w:p w14:paraId="04F55B81"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кинооператор</w:t>
            </w:r>
          </w:p>
        </w:tc>
        <w:tc>
          <w:tcPr>
            <w:tcW w:w="902" w:type="dxa"/>
            <w:tcBorders>
              <w:top w:val="single" w:sz="4" w:space="0" w:color="auto"/>
              <w:left w:val="single" w:sz="4" w:space="0" w:color="auto"/>
            </w:tcBorders>
            <w:shd w:val="clear" w:color="auto" w:fill="auto"/>
            <w:vAlign w:val="bottom"/>
          </w:tcPr>
          <w:p w14:paraId="53C41DC8"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Горюнов П.</w:t>
            </w:r>
          </w:p>
        </w:tc>
        <w:tc>
          <w:tcPr>
            <w:tcW w:w="806" w:type="dxa"/>
            <w:tcBorders>
              <w:top w:val="single" w:sz="4" w:space="0" w:color="auto"/>
              <w:left w:val="single" w:sz="4" w:space="0" w:color="auto"/>
            </w:tcBorders>
            <w:shd w:val="clear" w:color="auto" w:fill="auto"/>
            <w:vAlign w:val="bottom"/>
          </w:tcPr>
          <w:p w14:paraId="25B76B28"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Р-5 №5524</w:t>
            </w:r>
          </w:p>
        </w:tc>
        <w:tc>
          <w:tcPr>
            <w:tcW w:w="485" w:type="dxa"/>
            <w:tcBorders>
              <w:top w:val="single" w:sz="4" w:space="0" w:color="auto"/>
              <w:left w:val="single" w:sz="4" w:space="0" w:color="auto"/>
            </w:tcBorders>
            <w:shd w:val="clear" w:color="auto" w:fill="auto"/>
            <w:vAlign w:val="bottom"/>
          </w:tcPr>
          <w:p w14:paraId="0896ADC8"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15.48</w:t>
            </w:r>
          </w:p>
        </w:tc>
        <w:tc>
          <w:tcPr>
            <w:tcW w:w="562" w:type="dxa"/>
            <w:tcBorders>
              <w:top w:val="single" w:sz="4" w:space="0" w:color="auto"/>
              <w:left w:val="single" w:sz="4" w:space="0" w:color="auto"/>
            </w:tcBorders>
            <w:shd w:val="clear" w:color="auto" w:fill="auto"/>
            <w:vAlign w:val="bottom"/>
          </w:tcPr>
          <w:p w14:paraId="179599BD"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0-10</w:t>
            </w:r>
          </w:p>
        </w:tc>
        <w:tc>
          <w:tcPr>
            <w:tcW w:w="566" w:type="dxa"/>
            <w:tcBorders>
              <w:top w:val="single" w:sz="4" w:space="0" w:color="auto"/>
              <w:left w:val="single" w:sz="4" w:space="0" w:color="auto"/>
            </w:tcBorders>
            <w:shd w:val="clear" w:color="auto" w:fill="auto"/>
            <w:vAlign w:val="bottom"/>
          </w:tcPr>
          <w:p w14:paraId="6137B77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0-35</w:t>
            </w:r>
          </w:p>
        </w:tc>
        <w:tc>
          <w:tcPr>
            <w:tcW w:w="326" w:type="dxa"/>
            <w:tcBorders>
              <w:top w:val="single" w:sz="4" w:space="0" w:color="auto"/>
              <w:left w:val="single" w:sz="4" w:space="0" w:color="auto"/>
            </w:tcBorders>
            <w:shd w:val="clear" w:color="auto" w:fill="auto"/>
            <w:vAlign w:val="bottom"/>
          </w:tcPr>
          <w:p w14:paraId="3185EE81"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w:t>
            </w:r>
          </w:p>
        </w:tc>
        <w:tc>
          <w:tcPr>
            <w:tcW w:w="2486" w:type="dxa"/>
            <w:tcBorders>
              <w:top w:val="single" w:sz="4" w:space="0" w:color="auto"/>
              <w:left w:val="single" w:sz="4" w:space="0" w:color="auto"/>
            </w:tcBorders>
            <w:shd w:val="clear" w:color="auto" w:fill="auto"/>
            <w:vAlign w:val="bottom"/>
          </w:tcPr>
          <w:p w14:paraId="7A1B8D06"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 xml:space="preserve">Полёт с кинохроникой, съёмка </w:t>
            </w:r>
            <w:r w:rsidRPr="00E14102">
              <w:rPr>
                <w:rFonts w:ascii="Times New Roman" w:eastAsia="Times New Roman" w:hAnsi="Times New Roman" w:cs="Times New Roman"/>
                <w:color w:val="0070C0"/>
                <w:sz w:val="16"/>
                <w:szCs w:val="16"/>
                <w:lang w:val="en-US" w:bidi="en-US"/>
              </w:rPr>
              <w:t>MI</w:t>
            </w:r>
          </w:p>
        </w:tc>
        <w:tc>
          <w:tcPr>
            <w:tcW w:w="893" w:type="dxa"/>
            <w:tcBorders>
              <w:top w:val="single" w:sz="4" w:space="0" w:color="auto"/>
              <w:left w:val="single" w:sz="4" w:space="0" w:color="auto"/>
            </w:tcBorders>
            <w:shd w:val="clear" w:color="auto" w:fill="auto"/>
            <w:vAlign w:val="bottom"/>
          </w:tcPr>
          <w:p w14:paraId="0DFE07EF"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Выполнено</w:t>
            </w:r>
          </w:p>
        </w:tc>
      </w:tr>
      <w:tr w:rsidR="00890990" w:rsidRPr="00E14102" w14:paraId="35121FD1" w14:textId="77777777" w:rsidTr="003D0776">
        <w:trPr>
          <w:trHeight w:hRule="exact" w:val="163"/>
          <w:jc w:val="center"/>
        </w:trPr>
        <w:tc>
          <w:tcPr>
            <w:tcW w:w="408" w:type="dxa"/>
            <w:vMerge/>
            <w:tcBorders>
              <w:left w:val="single" w:sz="4" w:space="0" w:color="auto"/>
            </w:tcBorders>
            <w:shd w:val="clear" w:color="auto" w:fill="auto"/>
          </w:tcPr>
          <w:p w14:paraId="6F92D2C8" w14:textId="77777777" w:rsidR="00890990" w:rsidRPr="00E14102" w:rsidRDefault="00890990" w:rsidP="00E14102">
            <w:pPr>
              <w:jc w:val="both"/>
              <w:rPr>
                <w:color w:val="0070C0"/>
                <w:sz w:val="16"/>
                <w:szCs w:val="16"/>
              </w:rPr>
            </w:pPr>
          </w:p>
        </w:tc>
        <w:tc>
          <w:tcPr>
            <w:tcW w:w="806" w:type="dxa"/>
            <w:tcBorders>
              <w:top w:val="single" w:sz="4" w:space="0" w:color="auto"/>
              <w:left w:val="single" w:sz="4" w:space="0" w:color="auto"/>
            </w:tcBorders>
            <w:shd w:val="clear" w:color="auto" w:fill="auto"/>
          </w:tcPr>
          <w:p w14:paraId="6EAD2CD4"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Благим</w:t>
            </w:r>
          </w:p>
        </w:tc>
        <w:tc>
          <w:tcPr>
            <w:tcW w:w="965" w:type="dxa"/>
            <w:tcBorders>
              <w:top w:val="single" w:sz="4" w:space="0" w:color="auto"/>
              <w:left w:val="single" w:sz="4" w:space="0" w:color="auto"/>
            </w:tcBorders>
            <w:shd w:val="clear" w:color="auto" w:fill="auto"/>
          </w:tcPr>
          <w:p w14:paraId="049DA9B2" w14:textId="77777777" w:rsidR="00890990" w:rsidRPr="00E14102" w:rsidRDefault="00890990" w:rsidP="00E14102">
            <w:pPr>
              <w:jc w:val="both"/>
              <w:rPr>
                <w:color w:val="0070C0"/>
                <w:sz w:val="16"/>
                <w:szCs w:val="16"/>
              </w:rPr>
            </w:pPr>
          </w:p>
        </w:tc>
        <w:tc>
          <w:tcPr>
            <w:tcW w:w="902" w:type="dxa"/>
            <w:tcBorders>
              <w:top w:val="single" w:sz="4" w:space="0" w:color="auto"/>
              <w:left w:val="single" w:sz="4" w:space="0" w:color="auto"/>
            </w:tcBorders>
            <w:shd w:val="clear" w:color="auto" w:fill="auto"/>
          </w:tcPr>
          <w:p w14:paraId="2F83BBB3"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Кудишин</w:t>
            </w:r>
          </w:p>
        </w:tc>
        <w:tc>
          <w:tcPr>
            <w:tcW w:w="806" w:type="dxa"/>
            <w:tcBorders>
              <w:top w:val="single" w:sz="4" w:space="0" w:color="auto"/>
              <w:left w:val="single" w:sz="4" w:space="0" w:color="auto"/>
            </w:tcBorders>
            <w:shd w:val="clear" w:color="auto" w:fill="auto"/>
          </w:tcPr>
          <w:p w14:paraId="6BC4980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И-5 №4304</w:t>
            </w:r>
          </w:p>
        </w:tc>
        <w:tc>
          <w:tcPr>
            <w:tcW w:w="485" w:type="dxa"/>
            <w:tcBorders>
              <w:top w:val="single" w:sz="4" w:space="0" w:color="auto"/>
            </w:tcBorders>
            <w:shd w:val="clear" w:color="auto" w:fill="auto"/>
          </w:tcPr>
          <w:p w14:paraId="7009CBEA"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15.48</w:t>
            </w:r>
          </w:p>
        </w:tc>
        <w:tc>
          <w:tcPr>
            <w:tcW w:w="562" w:type="dxa"/>
            <w:tcBorders>
              <w:top w:val="single" w:sz="4" w:space="0" w:color="auto"/>
              <w:left w:val="single" w:sz="4" w:space="0" w:color="auto"/>
            </w:tcBorders>
            <w:shd w:val="clear" w:color="auto" w:fill="auto"/>
          </w:tcPr>
          <w:p w14:paraId="42E0BBD4"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0-10</w:t>
            </w:r>
          </w:p>
        </w:tc>
        <w:tc>
          <w:tcPr>
            <w:tcW w:w="566" w:type="dxa"/>
            <w:tcBorders>
              <w:top w:val="single" w:sz="4" w:space="0" w:color="auto"/>
              <w:left w:val="single" w:sz="4" w:space="0" w:color="auto"/>
            </w:tcBorders>
            <w:shd w:val="clear" w:color="auto" w:fill="auto"/>
          </w:tcPr>
          <w:p w14:paraId="42929C8A"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0-35</w:t>
            </w:r>
          </w:p>
        </w:tc>
        <w:tc>
          <w:tcPr>
            <w:tcW w:w="326" w:type="dxa"/>
            <w:tcBorders>
              <w:top w:val="single" w:sz="4" w:space="0" w:color="auto"/>
              <w:left w:val="single" w:sz="4" w:space="0" w:color="auto"/>
            </w:tcBorders>
            <w:shd w:val="clear" w:color="auto" w:fill="auto"/>
          </w:tcPr>
          <w:p w14:paraId="0D8C42E3"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w:t>
            </w:r>
          </w:p>
        </w:tc>
        <w:tc>
          <w:tcPr>
            <w:tcW w:w="2486" w:type="dxa"/>
            <w:tcBorders>
              <w:top w:val="single" w:sz="4" w:space="0" w:color="auto"/>
              <w:left w:val="single" w:sz="4" w:space="0" w:color="auto"/>
            </w:tcBorders>
            <w:shd w:val="clear" w:color="auto" w:fill="auto"/>
          </w:tcPr>
          <w:p w14:paraId="58EEAF64"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Сопровождение МГ для киносъёмки</w:t>
            </w:r>
          </w:p>
        </w:tc>
        <w:tc>
          <w:tcPr>
            <w:tcW w:w="893" w:type="dxa"/>
            <w:tcBorders>
              <w:top w:val="single" w:sz="4" w:space="0" w:color="auto"/>
              <w:left w:val="single" w:sz="4" w:space="0" w:color="auto"/>
            </w:tcBorders>
            <w:shd w:val="clear" w:color="auto" w:fill="auto"/>
          </w:tcPr>
          <w:p w14:paraId="57CB809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Выполнено</w:t>
            </w:r>
          </w:p>
        </w:tc>
      </w:tr>
      <w:tr w:rsidR="00890990" w:rsidRPr="00E14102" w14:paraId="4E80456A" w14:textId="77777777" w:rsidTr="003D0776">
        <w:trPr>
          <w:trHeight w:hRule="exact" w:val="778"/>
          <w:jc w:val="center"/>
        </w:trPr>
        <w:tc>
          <w:tcPr>
            <w:tcW w:w="408" w:type="dxa"/>
            <w:vMerge/>
            <w:tcBorders>
              <w:left w:val="single" w:sz="4" w:space="0" w:color="auto"/>
            </w:tcBorders>
            <w:shd w:val="clear" w:color="auto" w:fill="auto"/>
          </w:tcPr>
          <w:p w14:paraId="135B566B" w14:textId="77777777" w:rsidR="00890990" w:rsidRPr="00E14102" w:rsidRDefault="00890990" w:rsidP="00E14102">
            <w:pPr>
              <w:jc w:val="both"/>
              <w:rPr>
                <w:color w:val="0070C0"/>
                <w:sz w:val="16"/>
                <w:szCs w:val="16"/>
              </w:rPr>
            </w:pPr>
          </w:p>
        </w:tc>
        <w:tc>
          <w:tcPr>
            <w:tcW w:w="806" w:type="dxa"/>
            <w:tcBorders>
              <w:top w:val="single" w:sz="4" w:space="0" w:color="auto"/>
              <w:left w:val="single" w:sz="4" w:space="0" w:color="auto"/>
            </w:tcBorders>
            <w:shd w:val="clear" w:color="auto" w:fill="auto"/>
          </w:tcPr>
          <w:p w14:paraId="320EF0E8"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Г ромов Михеев</w:t>
            </w:r>
          </w:p>
        </w:tc>
        <w:tc>
          <w:tcPr>
            <w:tcW w:w="1867" w:type="dxa"/>
            <w:gridSpan w:val="2"/>
            <w:tcBorders>
              <w:top w:val="single" w:sz="4" w:space="0" w:color="auto"/>
              <w:left w:val="single" w:sz="4" w:space="0" w:color="auto"/>
            </w:tcBorders>
            <w:shd w:val="clear" w:color="auto" w:fill="auto"/>
            <w:vAlign w:val="bottom"/>
          </w:tcPr>
          <w:p w14:paraId="023CCA4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Кравцов, Байдун, Бегам, Бунин, Бусноватов, Кравцов, Лакузо, Матвеенко. Матросов. Медведев, Рогов. Фомин, Щербаков</w:t>
            </w:r>
          </w:p>
        </w:tc>
        <w:tc>
          <w:tcPr>
            <w:tcW w:w="806" w:type="dxa"/>
            <w:tcBorders>
              <w:top w:val="single" w:sz="4" w:space="0" w:color="auto"/>
              <w:left w:val="single" w:sz="4" w:space="0" w:color="auto"/>
            </w:tcBorders>
            <w:shd w:val="clear" w:color="auto" w:fill="auto"/>
          </w:tcPr>
          <w:p w14:paraId="7129B387"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МГ</w:t>
            </w:r>
          </w:p>
        </w:tc>
        <w:tc>
          <w:tcPr>
            <w:tcW w:w="485" w:type="dxa"/>
            <w:tcBorders>
              <w:top w:val="single" w:sz="4" w:space="0" w:color="auto"/>
              <w:left w:val="single" w:sz="4" w:space="0" w:color="auto"/>
            </w:tcBorders>
            <w:shd w:val="clear" w:color="auto" w:fill="auto"/>
          </w:tcPr>
          <w:p w14:paraId="67D92DCA"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16.00</w:t>
            </w:r>
          </w:p>
        </w:tc>
        <w:tc>
          <w:tcPr>
            <w:tcW w:w="562" w:type="dxa"/>
            <w:tcBorders>
              <w:top w:val="single" w:sz="4" w:space="0" w:color="auto"/>
              <w:left w:val="single" w:sz="4" w:space="0" w:color="auto"/>
            </w:tcBorders>
            <w:shd w:val="clear" w:color="auto" w:fill="auto"/>
          </w:tcPr>
          <w:p w14:paraId="11BE96F2" w14:textId="77777777" w:rsidR="00890990" w:rsidRPr="00E14102" w:rsidRDefault="00890990" w:rsidP="00E14102">
            <w:pPr>
              <w:jc w:val="both"/>
              <w:rPr>
                <w:color w:val="0070C0"/>
                <w:sz w:val="16"/>
                <w:szCs w:val="16"/>
              </w:rPr>
            </w:pPr>
          </w:p>
        </w:tc>
        <w:tc>
          <w:tcPr>
            <w:tcW w:w="566" w:type="dxa"/>
            <w:tcBorders>
              <w:top w:val="single" w:sz="4" w:space="0" w:color="auto"/>
              <w:left w:val="single" w:sz="4" w:space="0" w:color="auto"/>
            </w:tcBorders>
            <w:shd w:val="clear" w:color="auto" w:fill="auto"/>
          </w:tcPr>
          <w:p w14:paraId="57B17F5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1-20</w:t>
            </w:r>
          </w:p>
        </w:tc>
        <w:tc>
          <w:tcPr>
            <w:tcW w:w="326" w:type="dxa"/>
            <w:tcBorders>
              <w:top w:val="single" w:sz="4" w:space="0" w:color="auto"/>
              <w:left w:val="single" w:sz="4" w:space="0" w:color="auto"/>
            </w:tcBorders>
            <w:shd w:val="clear" w:color="auto" w:fill="auto"/>
          </w:tcPr>
          <w:p w14:paraId="4F6F9DCD"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w:t>
            </w:r>
          </w:p>
        </w:tc>
        <w:tc>
          <w:tcPr>
            <w:tcW w:w="2486" w:type="dxa"/>
            <w:tcBorders>
              <w:top w:val="single" w:sz="4" w:space="0" w:color="auto"/>
              <w:left w:val="single" w:sz="4" w:space="0" w:color="auto"/>
            </w:tcBorders>
            <w:shd w:val="clear" w:color="auto" w:fill="auto"/>
          </w:tcPr>
          <w:p w14:paraId="08058FDA"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Проба самолёта с новыми моторами</w:t>
            </w:r>
          </w:p>
        </w:tc>
        <w:tc>
          <w:tcPr>
            <w:tcW w:w="893" w:type="dxa"/>
            <w:tcBorders>
              <w:top w:val="single" w:sz="4" w:space="0" w:color="auto"/>
              <w:left w:val="single" w:sz="4" w:space="0" w:color="auto"/>
            </w:tcBorders>
            <w:shd w:val="clear" w:color="auto" w:fill="auto"/>
          </w:tcPr>
          <w:p w14:paraId="586C518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Выполнено</w:t>
            </w:r>
          </w:p>
        </w:tc>
      </w:tr>
      <w:tr w:rsidR="00890990" w:rsidRPr="00E14102" w14:paraId="514AFF1A" w14:textId="77777777" w:rsidTr="003D0776">
        <w:trPr>
          <w:trHeight w:hRule="exact" w:val="163"/>
          <w:jc w:val="center"/>
        </w:trPr>
        <w:tc>
          <w:tcPr>
            <w:tcW w:w="408" w:type="dxa"/>
            <w:vMerge w:val="restart"/>
            <w:tcBorders>
              <w:top w:val="single" w:sz="4" w:space="0" w:color="auto"/>
              <w:left w:val="single" w:sz="4" w:space="0" w:color="auto"/>
            </w:tcBorders>
            <w:shd w:val="clear" w:color="auto" w:fill="auto"/>
          </w:tcPr>
          <w:p w14:paraId="29F3D524"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28</w:t>
            </w:r>
          </w:p>
        </w:tc>
        <w:tc>
          <w:tcPr>
            <w:tcW w:w="806" w:type="dxa"/>
            <w:tcBorders>
              <w:top w:val="single" w:sz="4" w:space="0" w:color="auto"/>
              <w:left w:val="single" w:sz="4" w:space="0" w:color="auto"/>
            </w:tcBorders>
            <w:shd w:val="clear" w:color="auto" w:fill="auto"/>
            <w:vAlign w:val="bottom"/>
          </w:tcPr>
          <w:p w14:paraId="0A44938F"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Козлов</w:t>
            </w:r>
          </w:p>
        </w:tc>
        <w:tc>
          <w:tcPr>
            <w:tcW w:w="965" w:type="dxa"/>
            <w:tcBorders>
              <w:top w:val="single" w:sz="4" w:space="0" w:color="auto"/>
              <w:left w:val="single" w:sz="4" w:space="0" w:color="auto"/>
            </w:tcBorders>
            <w:shd w:val="clear" w:color="auto" w:fill="auto"/>
            <w:vAlign w:val="bottom"/>
          </w:tcPr>
          <w:p w14:paraId="03DD8163"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кинооператор</w:t>
            </w:r>
          </w:p>
        </w:tc>
        <w:tc>
          <w:tcPr>
            <w:tcW w:w="902" w:type="dxa"/>
            <w:tcBorders>
              <w:top w:val="single" w:sz="4" w:space="0" w:color="auto"/>
              <w:left w:val="single" w:sz="4" w:space="0" w:color="auto"/>
            </w:tcBorders>
            <w:shd w:val="clear" w:color="auto" w:fill="auto"/>
            <w:vAlign w:val="bottom"/>
          </w:tcPr>
          <w:p w14:paraId="63B95B6D"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Горюнов 11.</w:t>
            </w:r>
          </w:p>
        </w:tc>
        <w:tc>
          <w:tcPr>
            <w:tcW w:w="806" w:type="dxa"/>
            <w:tcBorders>
              <w:top w:val="single" w:sz="4" w:space="0" w:color="auto"/>
              <w:left w:val="single" w:sz="4" w:space="0" w:color="auto"/>
            </w:tcBorders>
            <w:shd w:val="clear" w:color="auto" w:fill="auto"/>
            <w:vAlign w:val="bottom"/>
          </w:tcPr>
          <w:p w14:paraId="58F541B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Р-5 №5524</w:t>
            </w:r>
          </w:p>
        </w:tc>
        <w:tc>
          <w:tcPr>
            <w:tcW w:w="485" w:type="dxa"/>
            <w:tcBorders>
              <w:top w:val="single" w:sz="4" w:space="0" w:color="auto"/>
              <w:left w:val="single" w:sz="4" w:space="0" w:color="auto"/>
            </w:tcBorders>
            <w:shd w:val="clear" w:color="auto" w:fill="auto"/>
            <w:vAlign w:val="bottom"/>
          </w:tcPr>
          <w:p w14:paraId="53E79AA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16.20</w:t>
            </w:r>
          </w:p>
        </w:tc>
        <w:tc>
          <w:tcPr>
            <w:tcW w:w="562" w:type="dxa"/>
            <w:tcBorders>
              <w:top w:val="single" w:sz="4" w:space="0" w:color="auto"/>
              <w:left w:val="single" w:sz="4" w:space="0" w:color="auto"/>
            </w:tcBorders>
            <w:shd w:val="clear" w:color="auto" w:fill="auto"/>
            <w:vAlign w:val="bottom"/>
          </w:tcPr>
          <w:p w14:paraId="772575FF"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0-15</w:t>
            </w:r>
          </w:p>
        </w:tc>
        <w:tc>
          <w:tcPr>
            <w:tcW w:w="566" w:type="dxa"/>
            <w:tcBorders>
              <w:top w:val="single" w:sz="4" w:space="0" w:color="auto"/>
              <w:left w:val="single" w:sz="4" w:space="0" w:color="auto"/>
            </w:tcBorders>
            <w:shd w:val="clear" w:color="auto" w:fill="auto"/>
            <w:vAlign w:val="bottom"/>
          </w:tcPr>
          <w:p w14:paraId="732CBCB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0-35</w:t>
            </w:r>
          </w:p>
        </w:tc>
        <w:tc>
          <w:tcPr>
            <w:tcW w:w="326" w:type="dxa"/>
            <w:tcBorders>
              <w:top w:val="single" w:sz="4" w:space="0" w:color="auto"/>
              <w:left w:val="single" w:sz="4" w:space="0" w:color="auto"/>
            </w:tcBorders>
            <w:shd w:val="clear" w:color="auto" w:fill="auto"/>
            <w:vAlign w:val="bottom"/>
          </w:tcPr>
          <w:p w14:paraId="16505C60"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w:t>
            </w:r>
          </w:p>
        </w:tc>
        <w:tc>
          <w:tcPr>
            <w:tcW w:w="2486" w:type="dxa"/>
            <w:tcBorders>
              <w:top w:val="single" w:sz="4" w:space="0" w:color="auto"/>
              <w:left w:val="single" w:sz="4" w:space="0" w:color="auto"/>
            </w:tcBorders>
            <w:shd w:val="clear" w:color="auto" w:fill="auto"/>
            <w:vAlign w:val="bottom"/>
          </w:tcPr>
          <w:p w14:paraId="23F482A7"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 xml:space="preserve">Полёт с кинохроникой, съёмка </w:t>
            </w:r>
            <w:r w:rsidRPr="00E14102">
              <w:rPr>
                <w:rFonts w:ascii="Times New Roman" w:eastAsia="Times New Roman" w:hAnsi="Times New Roman" w:cs="Times New Roman"/>
                <w:color w:val="0070C0"/>
                <w:sz w:val="16"/>
                <w:szCs w:val="16"/>
                <w:lang w:val="en-US" w:bidi="en-US"/>
              </w:rPr>
              <w:t>Ml</w:t>
            </w:r>
          </w:p>
        </w:tc>
        <w:tc>
          <w:tcPr>
            <w:tcW w:w="893" w:type="dxa"/>
            <w:tcBorders>
              <w:top w:val="single" w:sz="4" w:space="0" w:color="auto"/>
              <w:left w:val="single" w:sz="4" w:space="0" w:color="auto"/>
            </w:tcBorders>
            <w:shd w:val="clear" w:color="auto" w:fill="auto"/>
            <w:vAlign w:val="bottom"/>
          </w:tcPr>
          <w:p w14:paraId="764507D9"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Выполнено</w:t>
            </w:r>
          </w:p>
        </w:tc>
      </w:tr>
      <w:tr w:rsidR="00890990" w:rsidRPr="00E14102" w14:paraId="4B64D276" w14:textId="77777777" w:rsidTr="003D0776">
        <w:trPr>
          <w:trHeight w:hRule="exact" w:val="154"/>
          <w:jc w:val="center"/>
        </w:trPr>
        <w:tc>
          <w:tcPr>
            <w:tcW w:w="408" w:type="dxa"/>
            <w:vMerge/>
            <w:tcBorders>
              <w:left w:val="single" w:sz="4" w:space="0" w:color="auto"/>
            </w:tcBorders>
            <w:shd w:val="clear" w:color="auto" w:fill="auto"/>
          </w:tcPr>
          <w:p w14:paraId="4529583E" w14:textId="77777777" w:rsidR="00890990" w:rsidRPr="00E14102" w:rsidRDefault="00890990" w:rsidP="00E14102">
            <w:pPr>
              <w:jc w:val="both"/>
              <w:rPr>
                <w:color w:val="0070C0"/>
                <w:sz w:val="16"/>
                <w:szCs w:val="16"/>
              </w:rPr>
            </w:pPr>
          </w:p>
        </w:tc>
        <w:tc>
          <w:tcPr>
            <w:tcW w:w="806" w:type="dxa"/>
            <w:tcBorders>
              <w:top w:val="single" w:sz="4" w:space="0" w:color="auto"/>
              <w:left w:val="single" w:sz="4" w:space="0" w:color="auto"/>
            </w:tcBorders>
            <w:shd w:val="clear" w:color="auto" w:fill="auto"/>
            <w:vAlign w:val="bottom"/>
          </w:tcPr>
          <w:p w14:paraId="5E2B2D8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Благим</w:t>
            </w:r>
          </w:p>
        </w:tc>
        <w:tc>
          <w:tcPr>
            <w:tcW w:w="965" w:type="dxa"/>
            <w:tcBorders>
              <w:top w:val="single" w:sz="4" w:space="0" w:color="auto"/>
              <w:left w:val="single" w:sz="4" w:space="0" w:color="auto"/>
            </w:tcBorders>
            <w:shd w:val="clear" w:color="auto" w:fill="auto"/>
          </w:tcPr>
          <w:p w14:paraId="397E2FD8" w14:textId="77777777" w:rsidR="00890990" w:rsidRPr="00E14102" w:rsidRDefault="00890990" w:rsidP="00E14102">
            <w:pPr>
              <w:jc w:val="both"/>
              <w:rPr>
                <w:color w:val="0070C0"/>
                <w:sz w:val="16"/>
                <w:szCs w:val="16"/>
              </w:rPr>
            </w:pPr>
          </w:p>
        </w:tc>
        <w:tc>
          <w:tcPr>
            <w:tcW w:w="902" w:type="dxa"/>
            <w:tcBorders>
              <w:top w:val="single" w:sz="4" w:space="0" w:color="auto"/>
              <w:left w:val="single" w:sz="4" w:space="0" w:color="auto"/>
            </w:tcBorders>
            <w:shd w:val="clear" w:color="auto" w:fill="auto"/>
            <w:vAlign w:val="bottom"/>
          </w:tcPr>
          <w:p w14:paraId="38FE33D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Кудишин</w:t>
            </w:r>
          </w:p>
        </w:tc>
        <w:tc>
          <w:tcPr>
            <w:tcW w:w="806" w:type="dxa"/>
            <w:tcBorders>
              <w:top w:val="single" w:sz="4" w:space="0" w:color="auto"/>
              <w:left w:val="single" w:sz="4" w:space="0" w:color="auto"/>
            </w:tcBorders>
            <w:shd w:val="clear" w:color="auto" w:fill="auto"/>
            <w:vAlign w:val="bottom"/>
          </w:tcPr>
          <w:p w14:paraId="0B182FD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И-5 №4304</w:t>
            </w:r>
          </w:p>
        </w:tc>
        <w:tc>
          <w:tcPr>
            <w:tcW w:w="485" w:type="dxa"/>
            <w:tcBorders>
              <w:top w:val="single" w:sz="4" w:space="0" w:color="auto"/>
              <w:left w:val="single" w:sz="4" w:space="0" w:color="auto"/>
            </w:tcBorders>
            <w:shd w:val="clear" w:color="auto" w:fill="auto"/>
            <w:vAlign w:val="bottom"/>
          </w:tcPr>
          <w:p w14:paraId="39F08920"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15.20</w:t>
            </w:r>
          </w:p>
        </w:tc>
        <w:tc>
          <w:tcPr>
            <w:tcW w:w="562" w:type="dxa"/>
            <w:tcBorders>
              <w:top w:val="single" w:sz="4" w:space="0" w:color="auto"/>
              <w:left w:val="single" w:sz="4" w:space="0" w:color="auto"/>
            </w:tcBorders>
            <w:shd w:val="clear" w:color="auto" w:fill="auto"/>
            <w:vAlign w:val="bottom"/>
          </w:tcPr>
          <w:p w14:paraId="5BC95CAD"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0-15</w:t>
            </w:r>
          </w:p>
        </w:tc>
        <w:tc>
          <w:tcPr>
            <w:tcW w:w="566" w:type="dxa"/>
            <w:tcBorders>
              <w:top w:val="single" w:sz="4" w:space="0" w:color="auto"/>
              <w:left w:val="single" w:sz="4" w:space="0" w:color="auto"/>
            </w:tcBorders>
            <w:shd w:val="clear" w:color="auto" w:fill="auto"/>
            <w:vAlign w:val="bottom"/>
          </w:tcPr>
          <w:p w14:paraId="56F540B2"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0-35</w:t>
            </w:r>
          </w:p>
        </w:tc>
        <w:tc>
          <w:tcPr>
            <w:tcW w:w="326" w:type="dxa"/>
            <w:tcBorders>
              <w:top w:val="single" w:sz="4" w:space="0" w:color="auto"/>
              <w:left w:val="single" w:sz="4" w:space="0" w:color="auto"/>
            </w:tcBorders>
            <w:shd w:val="clear" w:color="auto" w:fill="auto"/>
            <w:vAlign w:val="bottom"/>
          </w:tcPr>
          <w:p w14:paraId="19BFE36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w:t>
            </w:r>
          </w:p>
        </w:tc>
        <w:tc>
          <w:tcPr>
            <w:tcW w:w="2486" w:type="dxa"/>
            <w:tcBorders>
              <w:top w:val="single" w:sz="4" w:space="0" w:color="auto"/>
              <w:left w:val="single" w:sz="4" w:space="0" w:color="auto"/>
            </w:tcBorders>
            <w:shd w:val="clear" w:color="auto" w:fill="auto"/>
            <w:vAlign w:val="bottom"/>
          </w:tcPr>
          <w:p w14:paraId="7184A29D"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Сопровождение Мг для киносъёмки</w:t>
            </w:r>
          </w:p>
        </w:tc>
        <w:tc>
          <w:tcPr>
            <w:tcW w:w="893" w:type="dxa"/>
            <w:tcBorders>
              <w:top w:val="single" w:sz="4" w:space="0" w:color="auto"/>
              <w:left w:val="single" w:sz="4" w:space="0" w:color="auto"/>
            </w:tcBorders>
            <w:shd w:val="clear" w:color="auto" w:fill="auto"/>
            <w:vAlign w:val="bottom"/>
          </w:tcPr>
          <w:p w14:paraId="085F4EF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Выполнено</w:t>
            </w:r>
          </w:p>
        </w:tc>
      </w:tr>
      <w:tr w:rsidR="00890990" w:rsidRPr="00E14102" w14:paraId="4B64A398" w14:textId="77777777" w:rsidTr="003D0776">
        <w:trPr>
          <w:trHeight w:hRule="exact" w:val="485"/>
          <w:jc w:val="center"/>
        </w:trPr>
        <w:tc>
          <w:tcPr>
            <w:tcW w:w="408" w:type="dxa"/>
            <w:vMerge/>
            <w:tcBorders>
              <w:left w:val="single" w:sz="4" w:space="0" w:color="auto"/>
              <w:bottom w:val="single" w:sz="4" w:space="0" w:color="auto"/>
            </w:tcBorders>
            <w:shd w:val="clear" w:color="auto" w:fill="auto"/>
          </w:tcPr>
          <w:p w14:paraId="75EAE150" w14:textId="77777777" w:rsidR="00890990" w:rsidRPr="00E14102" w:rsidRDefault="00890990" w:rsidP="00E14102">
            <w:pPr>
              <w:jc w:val="both"/>
              <w:rPr>
                <w:color w:val="0070C0"/>
                <w:sz w:val="16"/>
                <w:szCs w:val="16"/>
              </w:rPr>
            </w:pPr>
          </w:p>
        </w:tc>
        <w:tc>
          <w:tcPr>
            <w:tcW w:w="806" w:type="dxa"/>
            <w:tcBorders>
              <w:top w:val="single" w:sz="4" w:space="0" w:color="auto"/>
              <w:left w:val="single" w:sz="4" w:space="0" w:color="auto"/>
              <w:bottom w:val="single" w:sz="4" w:space="0" w:color="auto"/>
            </w:tcBorders>
            <w:shd w:val="clear" w:color="auto" w:fill="auto"/>
          </w:tcPr>
          <w:p w14:paraId="4ED2C23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Громов</w:t>
            </w:r>
          </w:p>
          <w:p w14:paraId="067146BF"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Михеев</w:t>
            </w:r>
          </w:p>
        </w:tc>
        <w:tc>
          <w:tcPr>
            <w:tcW w:w="1867" w:type="dxa"/>
            <w:gridSpan w:val="2"/>
            <w:tcBorders>
              <w:top w:val="single" w:sz="4" w:space="0" w:color="auto"/>
              <w:left w:val="single" w:sz="4" w:space="0" w:color="auto"/>
              <w:bottom w:val="single" w:sz="4" w:space="0" w:color="auto"/>
            </w:tcBorders>
            <w:shd w:val="clear" w:color="auto" w:fill="auto"/>
          </w:tcPr>
          <w:p w14:paraId="42B3B88C"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Байдун, Бусноватов, Кравцов. Лакузо. Матвеенко, Медведев. Рогов, Рябов, Фомин</w:t>
            </w:r>
          </w:p>
        </w:tc>
        <w:tc>
          <w:tcPr>
            <w:tcW w:w="806" w:type="dxa"/>
            <w:tcBorders>
              <w:top w:val="single" w:sz="4" w:space="0" w:color="auto"/>
              <w:left w:val="single" w:sz="4" w:space="0" w:color="auto"/>
              <w:bottom w:val="single" w:sz="4" w:space="0" w:color="auto"/>
            </w:tcBorders>
            <w:shd w:val="clear" w:color="auto" w:fill="auto"/>
          </w:tcPr>
          <w:p w14:paraId="03BB9E51"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МГ</w:t>
            </w:r>
          </w:p>
        </w:tc>
        <w:tc>
          <w:tcPr>
            <w:tcW w:w="485" w:type="dxa"/>
            <w:tcBorders>
              <w:top w:val="single" w:sz="4" w:space="0" w:color="auto"/>
              <w:left w:val="single" w:sz="4" w:space="0" w:color="auto"/>
              <w:bottom w:val="single" w:sz="4" w:space="0" w:color="auto"/>
            </w:tcBorders>
            <w:shd w:val="clear" w:color="auto" w:fill="auto"/>
          </w:tcPr>
          <w:p w14:paraId="4FB53987"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16.20</w:t>
            </w:r>
          </w:p>
        </w:tc>
        <w:tc>
          <w:tcPr>
            <w:tcW w:w="562" w:type="dxa"/>
            <w:tcBorders>
              <w:top w:val="single" w:sz="4" w:space="0" w:color="auto"/>
              <w:left w:val="single" w:sz="4" w:space="0" w:color="auto"/>
              <w:bottom w:val="single" w:sz="4" w:space="0" w:color="auto"/>
            </w:tcBorders>
            <w:shd w:val="clear" w:color="auto" w:fill="auto"/>
          </w:tcPr>
          <w:p w14:paraId="766CE168"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0-45</w:t>
            </w:r>
          </w:p>
        </w:tc>
        <w:tc>
          <w:tcPr>
            <w:tcW w:w="566" w:type="dxa"/>
            <w:tcBorders>
              <w:top w:val="single" w:sz="4" w:space="0" w:color="auto"/>
              <w:left w:val="single" w:sz="4" w:space="0" w:color="auto"/>
              <w:bottom w:val="single" w:sz="4" w:space="0" w:color="auto"/>
            </w:tcBorders>
            <w:shd w:val="clear" w:color="auto" w:fill="auto"/>
          </w:tcPr>
          <w:p w14:paraId="4A104C2A"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0-55</w:t>
            </w:r>
          </w:p>
        </w:tc>
        <w:tc>
          <w:tcPr>
            <w:tcW w:w="326" w:type="dxa"/>
            <w:tcBorders>
              <w:top w:val="single" w:sz="4" w:space="0" w:color="auto"/>
              <w:left w:val="single" w:sz="4" w:space="0" w:color="auto"/>
              <w:bottom w:val="single" w:sz="4" w:space="0" w:color="auto"/>
            </w:tcBorders>
            <w:shd w:val="clear" w:color="auto" w:fill="auto"/>
          </w:tcPr>
          <w:p w14:paraId="6E46CAFC"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w:t>
            </w:r>
          </w:p>
        </w:tc>
        <w:tc>
          <w:tcPr>
            <w:tcW w:w="2486" w:type="dxa"/>
            <w:tcBorders>
              <w:top w:val="single" w:sz="4" w:space="0" w:color="auto"/>
              <w:left w:val="single" w:sz="4" w:space="0" w:color="auto"/>
              <w:bottom w:val="single" w:sz="4" w:space="0" w:color="auto"/>
            </w:tcBorders>
            <w:shd w:val="clear" w:color="auto" w:fill="auto"/>
          </w:tcPr>
          <w:p w14:paraId="2CE61CAF"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Проба радио «Голем: с неба»</w:t>
            </w:r>
          </w:p>
        </w:tc>
        <w:tc>
          <w:tcPr>
            <w:tcW w:w="893" w:type="dxa"/>
            <w:tcBorders>
              <w:top w:val="single" w:sz="4" w:space="0" w:color="auto"/>
              <w:left w:val="single" w:sz="4" w:space="0" w:color="auto"/>
              <w:bottom w:val="single" w:sz="4" w:space="0" w:color="auto"/>
            </w:tcBorders>
            <w:shd w:val="clear" w:color="auto" w:fill="auto"/>
          </w:tcPr>
          <w:p w14:paraId="12E73839"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Выполнено</w:t>
            </w:r>
          </w:p>
        </w:tc>
      </w:tr>
    </w:tbl>
    <w:p w14:paraId="6EE4E398" w14:textId="77777777" w:rsidR="00890990" w:rsidRPr="00E14102" w:rsidRDefault="00890990" w:rsidP="00E14102">
      <w:pPr>
        <w:pStyle w:val="aff9"/>
        <w:spacing w:line="240" w:lineRule="auto"/>
        <w:jc w:val="both"/>
        <w:rPr>
          <w:rFonts w:ascii="Times New Roman" w:hAnsi="Times New Roman" w:cs="Times New Roman"/>
          <w:b w:val="0"/>
          <w:bCs w:val="0"/>
          <w:color w:val="0070C0"/>
        </w:rPr>
      </w:pPr>
      <w:r w:rsidRPr="00E14102">
        <w:rPr>
          <w:rFonts w:ascii="Times New Roman" w:hAnsi="Times New Roman" w:cs="Times New Roman"/>
          <w:b w:val="0"/>
          <w:bCs w:val="0"/>
          <w:i/>
          <w:iCs/>
          <w:color w:val="0070C0"/>
          <w:lang w:bidi="ru-RU"/>
        </w:rPr>
        <w:t>Итого за апрель 1935 года: 2 часа 15 минут 2 посадки</w:t>
      </w:r>
    </w:p>
    <w:p w14:paraId="5DFC3534" w14:textId="77777777" w:rsidR="00890990" w:rsidRPr="00E14102" w:rsidRDefault="00890990" w:rsidP="00E14102">
      <w:pPr>
        <w:jc w:val="both"/>
        <w:rPr>
          <w:color w:val="0070C0"/>
          <w:sz w:val="16"/>
          <w:szCs w:val="16"/>
        </w:rPr>
      </w:pPr>
      <w:r w:rsidRPr="00E14102">
        <w:rPr>
          <w:i/>
          <w:iCs/>
          <w:color w:val="0070C0"/>
          <w:sz w:val="16"/>
          <w:szCs w:val="16"/>
          <w:lang w:bidi="ru-RU"/>
        </w:rPr>
        <w:t>Май 1935 года</w:t>
      </w:r>
    </w:p>
    <w:tbl>
      <w:tblPr>
        <w:tblOverlap w:val="never"/>
        <w:tblW w:w="0" w:type="auto"/>
        <w:jc w:val="center"/>
        <w:tblLayout w:type="fixed"/>
        <w:tblCellMar>
          <w:left w:w="10" w:type="dxa"/>
          <w:right w:w="10" w:type="dxa"/>
        </w:tblCellMar>
        <w:tblLook w:val="0000" w:firstRow="0" w:lastRow="0" w:firstColumn="0" w:lastColumn="0" w:noHBand="0" w:noVBand="0"/>
      </w:tblPr>
      <w:tblGrid>
        <w:gridCol w:w="418"/>
        <w:gridCol w:w="725"/>
        <w:gridCol w:w="1944"/>
        <w:gridCol w:w="806"/>
        <w:gridCol w:w="485"/>
        <w:gridCol w:w="562"/>
        <w:gridCol w:w="562"/>
        <w:gridCol w:w="326"/>
        <w:gridCol w:w="2482"/>
        <w:gridCol w:w="893"/>
      </w:tblGrid>
      <w:tr w:rsidR="00890990" w:rsidRPr="00E14102" w14:paraId="5A512ACE" w14:textId="77777777" w:rsidTr="003D0776">
        <w:trPr>
          <w:trHeight w:hRule="exact" w:val="403"/>
          <w:jc w:val="center"/>
        </w:trPr>
        <w:tc>
          <w:tcPr>
            <w:tcW w:w="418" w:type="dxa"/>
            <w:tcBorders>
              <w:top w:val="single" w:sz="4" w:space="0" w:color="auto"/>
              <w:left w:val="single" w:sz="4" w:space="0" w:color="auto"/>
            </w:tcBorders>
            <w:shd w:val="clear" w:color="auto" w:fill="auto"/>
            <w:vAlign w:val="center"/>
          </w:tcPr>
          <w:p w14:paraId="2F91F6D1"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Число</w:t>
            </w:r>
          </w:p>
        </w:tc>
        <w:tc>
          <w:tcPr>
            <w:tcW w:w="725" w:type="dxa"/>
            <w:tcBorders>
              <w:top w:val="single" w:sz="4" w:space="0" w:color="auto"/>
              <w:left w:val="single" w:sz="4" w:space="0" w:color="auto"/>
            </w:tcBorders>
            <w:shd w:val="clear" w:color="auto" w:fill="auto"/>
            <w:vAlign w:val="center"/>
          </w:tcPr>
          <w:p w14:paraId="0DB66B1F"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Лётчик</w:t>
            </w:r>
          </w:p>
        </w:tc>
        <w:tc>
          <w:tcPr>
            <w:tcW w:w="1944" w:type="dxa"/>
            <w:tcBorders>
              <w:top w:val="single" w:sz="4" w:space="0" w:color="auto"/>
              <w:left w:val="single" w:sz="4" w:space="0" w:color="auto"/>
            </w:tcBorders>
            <w:shd w:val="clear" w:color="auto" w:fill="auto"/>
            <w:vAlign w:val="center"/>
          </w:tcPr>
          <w:p w14:paraId="2A384AC5" w14:textId="77777777" w:rsidR="00890990" w:rsidRPr="00E14102" w:rsidRDefault="00890990" w:rsidP="00E14102">
            <w:pPr>
              <w:pStyle w:val="affd"/>
              <w:tabs>
                <w:tab w:val="left" w:pos="1090"/>
              </w:tabs>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Наблюдатель</w:t>
            </w:r>
            <w:r w:rsidRPr="00E14102">
              <w:rPr>
                <w:rFonts w:ascii="Times New Roman" w:eastAsia="Times New Roman" w:hAnsi="Times New Roman" w:cs="Times New Roman"/>
                <w:i/>
                <w:iCs/>
                <w:color w:val="0070C0"/>
                <w:sz w:val="16"/>
                <w:szCs w:val="16"/>
                <w:lang w:bidi="ru-RU"/>
              </w:rPr>
              <w:tab/>
              <w:t>Механик</w:t>
            </w:r>
          </w:p>
        </w:tc>
        <w:tc>
          <w:tcPr>
            <w:tcW w:w="806" w:type="dxa"/>
            <w:tcBorders>
              <w:top w:val="single" w:sz="4" w:space="0" w:color="auto"/>
              <w:left w:val="single" w:sz="4" w:space="0" w:color="auto"/>
            </w:tcBorders>
            <w:shd w:val="clear" w:color="auto" w:fill="auto"/>
            <w:vAlign w:val="center"/>
          </w:tcPr>
          <w:p w14:paraId="4C993E7C"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Самолёт</w:t>
            </w:r>
          </w:p>
        </w:tc>
        <w:tc>
          <w:tcPr>
            <w:tcW w:w="485" w:type="dxa"/>
            <w:tcBorders>
              <w:top w:val="single" w:sz="4" w:space="0" w:color="auto"/>
            </w:tcBorders>
            <w:shd w:val="clear" w:color="auto" w:fill="auto"/>
            <w:vAlign w:val="center"/>
          </w:tcPr>
          <w:p w14:paraId="2DFEE980"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Время вылета</w:t>
            </w:r>
          </w:p>
        </w:tc>
        <w:tc>
          <w:tcPr>
            <w:tcW w:w="562" w:type="dxa"/>
            <w:tcBorders>
              <w:top w:val="single" w:sz="4" w:space="0" w:color="auto"/>
              <w:left w:val="single" w:sz="4" w:space="0" w:color="auto"/>
            </w:tcBorders>
            <w:shd w:val="clear" w:color="auto" w:fill="auto"/>
            <w:vAlign w:val="bottom"/>
          </w:tcPr>
          <w:p w14:paraId="27508DCC"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Работа мотора на земле</w:t>
            </w:r>
          </w:p>
        </w:tc>
        <w:tc>
          <w:tcPr>
            <w:tcW w:w="562" w:type="dxa"/>
            <w:tcBorders>
              <w:top w:val="single" w:sz="4" w:space="0" w:color="auto"/>
              <w:left w:val="single" w:sz="4" w:space="0" w:color="auto"/>
            </w:tcBorders>
            <w:shd w:val="clear" w:color="auto" w:fill="auto"/>
            <w:vAlign w:val="bottom"/>
          </w:tcPr>
          <w:p w14:paraId="585C8AB9"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Продолжи</w:t>
            </w:r>
            <w:r w:rsidRPr="00E14102">
              <w:rPr>
                <w:rFonts w:ascii="Times New Roman" w:eastAsia="Times New Roman" w:hAnsi="Times New Roman" w:cs="Times New Roman"/>
                <w:i/>
                <w:iCs/>
                <w:color w:val="0070C0"/>
                <w:sz w:val="16"/>
                <w:szCs w:val="16"/>
                <w:lang w:bidi="ru-RU"/>
              </w:rPr>
              <w:softHyphen/>
              <w:t>тельность полёта</w:t>
            </w:r>
          </w:p>
        </w:tc>
        <w:tc>
          <w:tcPr>
            <w:tcW w:w="326" w:type="dxa"/>
            <w:tcBorders>
              <w:top w:val="single" w:sz="4" w:space="0" w:color="auto"/>
              <w:left w:val="single" w:sz="4" w:space="0" w:color="auto"/>
            </w:tcBorders>
            <w:shd w:val="clear" w:color="auto" w:fill="auto"/>
            <w:vAlign w:val="bottom"/>
          </w:tcPr>
          <w:p w14:paraId="7142BD36"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Кол-во поса</w:t>
            </w:r>
            <w:r w:rsidRPr="00E14102">
              <w:rPr>
                <w:rFonts w:ascii="Times New Roman" w:eastAsia="Times New Roman" w:hAnsi="Times New Roman" w:cs="Times New Roman"/>
                <w:i/>
                <w:iCs/>
                <w:color w:val="0070C0"/>
                <w:sz w:val="16"/>
                <w:szCs w:val="16"/>
                <w:lang w:bidi="ru-RU"/>
              </w:rPr>
              <w:softHyphen/>
              <w:t>док</w:t>
            </w:r>
          </w:p>
        </w:tc>
        <w:tc>
          <w:tcPr>
            <w:tcW w:w="2482" w:type="dxa"/>
            <w:tcBorders>
              <w:top w:val="single" w:sz="4" w:space="0" w:color="auto"/>
              <w:left w:val="single" w:sz="4" w:space="0" w:color="auto"/>
            </w:tcBorders>
            <w:shd w:val="clear" w:color="auto" w:fill="auto"/>
            <w:vAlign w:val="center"/>
          </w:tcPr>
          <w:p w14:paraId="2861B0F0"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Задание</w:t>
            </w:r>
          </w:p>
        </w:tc>
        <w:tc>
          <w:tcPr>
            <w:tcW w:w="893" w:type="dxa"/>
            <w:tcBorders>
              <w:top w:val="single" w:sz="4" w:space="0" w:color="auto"/>
              <w:left w:val="single" w:sz="4" w:space="0" w:color="auto"/>
            </w:tcBorders>
            <w:shd w:val="clear" w:color="auto" w:fill="auto"/>
            <w:vAlign w:val="center"/>
          </w:tcPr>
          <w:p w14:paraId="46CDA574"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Выполнение</w:t>
            </w:r>
          </w:p>
        </w:tc>
      </w:tr>
      <w:tr w:rsidR="00890990" w:rsidRPr="00E14102" w14:paraId="3A534EBD" w14:textId="77777777" w:rsidTr="003D0776">
        <w:trPr>
          <w:trHeight w:hRule="exact" w:val="470"/>
          <w:jc w:val="center"/>
        </w:trPr>
        <w:tc>
          <w:tcPr>
            <w:tcW w:w="418" w:type="dxa"/>
            <w:tcBorders>
              <w:top w:val="single" w:sz="4" w:space="0" w:color="auto"/>
              <w:left w:val="single" w:sz="4" w:space="0" w:color="auto"/>
            </w:tcBorders>
            <w:shd w:val="clear" w:color="auto" w:fill="auto"/>
          </w:tcPr>
          <w:p w14:paraId="76E40E9A"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w:t>
            </w:r>
          </w:p>
        </w:tc>
        <w:tc>
          <w:tcPr>
            <w:tcW w:w="725" w:type="dxa"/>
            <w:tcBorders>
              <w:top w:val="single" w:sz="4" w:space="0" w:color="auto"/>
              <w:left w:val="single" w:sz="4" w:space="0" w:color="auto"/>
            </w:tcBorders>
            <w:shd w:val="clear" w:color="auto" w:fill="auto"/>
          </w:tcPr>
          <w:p w14:paraId="26112E1F"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Громов Михеев</w:t>
            </w:r>
          </w:p>
        </w:tc>
        <w:tc>
          <w:tcPr>
            <w:tcW w:w="1944" w:type="dxa"/>
            <w:tcBorders>
              <w:top w:val="single" w:sz="4" w:space="0" w:color="auto"/>
              <w:left w:val="single" w:sz="4" w:space="0" w:color="auto"/>
            </w:tcBorders>
            <w:shd w:val="clear" w:color="auto" w:fill="auto"/>
            <w:vAlign w:val="bottom"/>
          </w:tcPr>
          <w:p w14:paraId="7C231E9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Байдун. Бегам. Бунин. Кравцов, Кольцов, Матвеенко, Матросов, Медведев, Рогов. Фомин</w:t>
            </w:r>
          </w:p>
        </w:tc>
        <w:tc>
          <w:tcPr>
            <w:tcW w:w="806" w:type="dxa"/>
            <w:tcBorders>
              <w:top w:val="single" w:sz="4" w:space="0" w:color="auto"/>
              <w:left w:val="single" w:sz="4" w:space="0" w:color="auto"/>
            </w:tcBorders>
            <w:shd w:val="clear" w:color="auto" w:fill="auto"/>
          </w:tcPr>
          <w:p w14:paraId="6A5A9EEA"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МГ</w:t>
            </w:r>
          </w:p>
        </w:tc>
        <w:tc>
          <w:tcPr>
            <w:tcW w:w="485" w:type="dxa"/>
            <w:tcBorders>
              <w:top w:val="single" w:sz="4" w:space="0" w:color="auto"/>
              <w:left w:val="single" w:sz="4" w:space="0" w:color="auto"/>
            </w:tcBorders>
            <w:shd w:val="clear" w:color="auto" w:fill="auto"/>
          </w:tcPr>
          <w:p w14:paraId="318F593D"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11.40</w:t>
            </w:r>
          </w:p>
        </w:tc>
        <w:tc>
          <w:tcPr>
            <w:tcW w:w="562" w:type="dxa"/>
            <w:tcBorders>
              <w:top w:val="single" w:sz="4" w:space="0" w:color="auto"/>
              <w:left w:val="single" w:sz="4" w:space="0" w:color="auto"/>
            </w:tcBorders>
            <w:shd w:val="clear" w:color="auto" w:fill="auto"/>
          </w:tcPr>
          <w:p w14:paraId="635F5804"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0-30</w:t>
            </w:r>
          </w:p>
        </w:tc>
        <w:tc>
          <w:tcPr>
            <w:tcW w:w="562" w:type="dxa"/>
            <w:tcBorders>
              <w:top w:val="single" w:sz="4" w:space="0" w:color="auto"/>
              <w:left w:val="single" w:sz="4" w:space="0" w:color="auto"/>
            </w:tcBorders>
            <w:shd w:val="clear" w:color="auto" w:fill="auto"/>
          </w:tcPr>
          <w:p w14:paraId="5BC09001"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0-22</w:t>
            </w:r>
          </w:p>
        </w:tc>
        <w:tc>
          <w:tcPr>
            <w:tcW w:w="326" w:type="dxa"/>
            <w:tcBorders>
              <w:top w:val="single" w:sz="4" w:space="0" w:color="auto"/>
              <w:left w:val="single" w:sz="4" w:space="0" w:color="auto"/>
            </w:tcBorders>
            <w:shd w:val="clear" w:color="auto" w:fill="auto"/>
          </w:tcPr>
          <w:p w14:paraId="05616E8D"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w:t>
            </w:r>
          </w:p>
        </w:tc>
        <w:tc>
          <w:tcPr>
            <w:tcW w:w="2482" w:type="dxa"/>
            <w:tcBorders>
              <w:top w:val="single" w:sz="4" w:space="0" w:color="auto"/>
              <w:left w:val="single" w:sz="4" w:space="0" w:color="auto"/>
            </w:tcBorders>
            <w:shd w:val="clear" w:color="auto" w:fill="auto"/>
          </w:tcPr>
          <w:p w14:paraId="05DAD830"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Участие в параде на Красной площади</w:t>
            </w:r>
          </w:p>
        </w:tc>
        <w:tc>
          <w:tcPr>
            <w:tcW w:w="893" w:type="dxa"/>
            <w:tcBorders>
              <w:top w:val="single" w:sz="4" w:space="0" w:color="auto"/>
              <w:left w:val="single" w:sz="4" w:space="0" w:color="auto"/>
            </w:tcBorders>
            <w:shd w:val="clear" w:color="auto" w:fill="auto"/>
          </w:tcPr>
          <w:p w14:paraId="37A46F6C"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Выполнено</w:t>
            </w:r>
          </w:p>
        </w:tc>
      </w:tr>
      <w:tr w:rsidR="00890990" w:rsidRPr="00E14102" w14:paraId="623D5A27" w14:textId="77777777" w:rsidTr="003D0776">
        <w:trPr>
          <w:trHeight w:hRule="exact" w:val="778"/>
          <w:jc w:val="center"/>
        </w:trPr>
        <w:tc>
          <w:tcPr>
            <w:tcW w:w="418" w:type="dxa"/>
            <w:tcBorders>
              <w:top w:val="single" w:sz="4" w:space="0" w:color="auto"/>
              <w:left w:val="single" w:sz="4" w:space="0" w:color="auto"/>
            </w:tcBorders>
            <w:shd w:val="clear" w:color="auto" w:fill="auto"/>
          </w:tcPr>
          <w:p w14:paraId="29006D99"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15</w:t>
            </w:r>
          </w:p>
        </w:tc>
        <w:tc>
          <w:tcPr>
            <w:tcW w:w="725" w:type="dxa"/>
            <w:tcBorders>
              <w:top w:val="single" w:sz="4" w:space="0" w:color="auto"/>
              <w:left w:val="single" w:sz="4" w:space="0" w:color="auto"/>
            </w:tcBorders>
            <w:shd w:val="clear" w:color="auto" w:fill="auto"/>
          </w:tcPr>
          <w:p w14:paraId="10793E42"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Журов</w:t>
            </w:r>
          </w:p>
          <w:p w14:paraId="16561BE2"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Михеев</w:t>
            </w:r>
          </w:p>
        </w:tc>
        <w:tc>
          <w:tcPr>
            <w:tcW w:w="1944" w:type="dxa"/>
            <w:tcBorders>
              <w:top w:val="single" w:sz="4" w:space="0" w:color="auto"/>
              <w:left w:val="single" w:sz="4" w:space="0" w:color="auto"/>
            </w:tcBorders>
            <w:shd w:val="clear" w:color="auto" w:fill="auto"/>
            <w:vAlign w:val="bottom"/>
          </w:tcPr>
          <w:p w14:paraId="00785F88"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Байдун. Бунин, Бусноватов. Кравцов, Лакузо. Матвеенко. Матросов. Медведев, Рогов, Стоман. Фомин, Хорват, Чеканов. Щербаков</w:t>
            </w:r>
          </w:p>
        </w:tc>
        <w:tc>
          <w:tcPr>
            <w:tcW w:w="806" w:type="dxa"/>
            <w:tcBorders>
              <w:top w:val="single" w:sz="4" w:space="0" w:color="auto"/>
              <w:left w:val="single" w:sz="4" w:space="0" w:color="auto"/>
            </w:tcBorders>
            <w:shd w:val="clear" w:color="auto" w:fill="auto"/>
          </w:tcPr>
          <w:p w14:paraId="24F5A140"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мг</w:t>
            </w:r>
          </w:p>
        </w:tc>
        <w:tc>
          <w:tcPr>
            <w:tcW w:w="485" w:type="dxa"/>
            <w:tcBorders>
              <w:top w:val="single" w:sz="4" w:space="0" w:color="auto"/>
              <w:left w:val="single" w:sz="4" w:space="0" w:color="auto"/>
            </w:tcBorders>
            <w:shd w:val="clear" w:color="auto" w:fill="auto"/>
          </w:tcPr>
          <w:p w14:paraId="7E37DA9B" w14:textId="77777777" w:rsidR="00890990" w:rsidRPr="00E14102" w:rsidRDefault="00890990" w:rsidP="00E14102">
            <w:pPr>
              <w:jc w:val="both"/>
              <w:rPr>
                <w:color w:val="0070C0"/>
                <w:sz w:val="16"/>
                <w:szCs w:val="16"/>
              </w:rPr>
            </w:pPr>
          </w:p>
        </w:tc>
        <w:tc>
          <w:tcPr>
            <w:tcW w:w="562" w:type="dxa"/>
            <w:tcBorders>
              <w:top w:val="single" w:sz="4" w:space="0" w:color="auto"/>
              <w:left w:val="single" w:sz="4" w:space="0" w:color="auto"/>
            </w:tcBorders>
            <w:shd w:val="clear" w:color="auto" w:fill="auto"/>
          </w:tcPr>
          <w:p w14:paraId="3FCA6727" w14:textId="77777777" w:rsidR="00890990" w:rsidRPr="00E14102" w:rsidRDefault="00890990" w:rsidP="00E14102">
            <w:pPr>
              <w:jc w:val="both"/>
              <w:rPr>
                <w:color w:val="0070C0"/>
                <w:sz w:val="16"/>
                <w:szCs w:val="16"/>
              </w:rPr>
            </w:pPr>
          </w:p>
        </w:tc>
        <w:tc>
          <w:tcPr>
            <w:tcW w:w="562" w:type="dxa"/>
            <w:tcBorders>
              <w:top w:val="single" w:sz="4" w:space="0" w:color="auto"/>
              <w:left w:val="single" w:sz="4" w:space="0" w:color="auto"/>
            </w:tcBorders>
            <w:shd w:val="clear" w:color="auto" w:fill="auto"/>
          </w:tcPr>
          <w:p w14:paraId="52E4288C"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0-45</w:t>
            </w:r>
          </w:p>
        </w:tc>
        <w:tc>
          <w:tcPr>
            <w:tcW w:w="326" w:type="dxa"/>
            <w:tcBorders>
              <w:top w:val="single" w:sz="4" w:space="0" w:color="auto"/>
              <w:left w:val="single" w:sz="4" w:space="0" w:color="auto"/>
            </w:tcBorders>
            <w:shd w:val="clear" w:color="auto" w:fill="auto"/>
          </w:tcPr>
          <w:p w14:paraId="15F4537C"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w:t>
            </w:r>
          </w:p>
        </w:tc>
        <w:tc>
          <w:tcPr>
            <w:tcW w:w="2482" w:type="dxa"/>
            <w:tcBorders>
              <w:top w:val="single" w:sz="4" w:space="0" w:color="auto"/>
              <w:left w:val="single" w:sz="4" w:space="0" w:color="auto"/>
            </w:tcBorders>
            <w:shd w:val="clear" w:color="auto" w:fill="auto"/>
          </w:tcPr>
          <w:p w14:paraId="5933809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Демонстрация перед Моссоветом</w:t>
            </w:r>
          </w:p>
        </w:tc>
        <w:tc>
          <w:tcPr>
            <w:tcW w:w="893" w:type="dxa"/>
            <w:tcBorders>
              <w:top w:val="single" w:sz="4" w:space="0" w:color="auto"/>
              <w:left w:val="single" w:sz="4" w:space="0" w:color="auto"/>
            </w:tcBorders>
            <w:shd w:val="clear" w:color="auto" w:fill="auto"/>
          </w:tcPr>
          <w:p w14:paraId="27D99BD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Выполнено</w:t>
            </w:r>
          </w:p>
        </w:tc>
      </w:tr>
      <w:tr w:rsidR="00890990" w:rsidRPr="00E14102" w14:paraId="6F5F1CE8" w14:textId="77777777" w:rsidTr="003D0776">
        <w:trPr>
          <w:trHeight w:hRule="exact" w:val="317"/>
          <w:jc w:val="center"/>
        </w:trPr>
        <w:tc>
          <w:tcPr>
            <w:tcW w:w="418" w:type="dxa"/>
            <w:tcBorders>
              <w:top w:val="single" w:sz="4" w:space="0" w:color="auto"/>
              <w:left w:val="single" w:sz="4" w:space="0" w:color="auto"/>
            </w:tcBorders>
            <w:shd w:val="clear" w:color="auto" w:fill="auto"/>
          </w:tcPr>
          <w:p w14:paraId="66B88772"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16</w:t>
            </w:r>
          </w:p>
        </w:tc>
        <w:tc>
          <w:tcPr>
            <w:tcW w:w="725" w:type="dxa"/>
            <w:tcBorders>
              <w:top w:val="single" w:sz="4" w:space="0" w:color="auto"/>
              <w:left w:val="single" w:sz="4" w:space="0" w:color="auto"/>
            </w:tcBorders>
            <w:shd w:val="clear" w:color="auto" w:fill="auto"/>
            <w:vAlign w:val="bottom"/>
          </w:tcPr>
          <w:p w14:paraId="5031153A"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Журов</w:t>
            </w:r>
          </w:p>
          <w:p w14:paraId="060832B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Михеев</w:t>
            </w:r>
          </w:p>
        </w:tc>
        <w:tc>
          <w:tcPr>
            <w:tcW w:w="1944" w:type="dxa"/>
            <w:tcBorders>
              <w:top w:val="single" w:sz="4" w:space="0" w:color="auto"/>
              <w:left w:val="single" w:sz="4" w:space="0" w:color="auto"/>
            </w:tcBorders>
            <w:shd w:val="clear" w:color="auto" w:fill="auto"/>
          </w:tcPr>
          <w:p w14:paraId="038EEF8D" w14:textId="77777777" w:rsidR="00890990" w:rsidRPr="00E14102" w:rsidRDefault="00890990" w:rsidP="00E14102">
            <w:pPr>
              <w:jc w:val="both"/>
              <w:rPr>
                <w:color w:val="0070C0"/>
                <w:sz w:val="16"/>
                <w:szCs w:val="16"/>
              </w:rPr>
            </w:pPr>
          </w:p>
        </w:tc>
        <w:tc>
          <w:tcPr>
            <w:tcW w:w="806" w:type="dxa"/>
            <w:tcBorders>
              <w:top w:val="single" w:sz="4" w:space="0" w:color="auto"/>
              <w:left w:val="single" w:sz="4" w:space="0" w:color="auto"/>
            </w:tcBorders>
            <w:shd w:val="clear" w:color="auto" w:fill="auto"/>
          </w:tcPr>
          <w:p w14:paraId="1D88AFD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мг</w:t>
            </w:r>
          </w:p>
        </w:tc>
        <w:tc>
          <w:tcPr>
            <w:tcW w:w="485" w:type="dxa"/>
            <w:tcBorders>
              <w:top w:val="single" w:sz="4" w:space="0" w:color="auto"/>
              <w:left w:val="single" w:sz="4" w:space="0" w:color="auto"/>
            </w:tcBorders>
            <w:shd w:val="clear" w:color="auto" w:fill="auto"/>
          </w:tcPr>
          <w:p w14:paraId="1FCFA19B" w14:textId="77777777" w:rsidR="00890990" w:rsidRPr="00E14102" w:rsidRDefault="00890990" w:rsidP="00E14102">
            <w:pPr>
              <w:jc w:val="both"/>
              <w:rPr>
                <w:color w:val="0070C0"/>
                <w:sz w:val="16"/>
                <w:szCs w:val="16"/>
              </w:rPr>
            </w:pPr>
          </w:p>
        </w:tc>
        <w:tc>
          <w:tcPr>
            <w:tcW w:w="562" w:type="dxa"/>
            <w:tcBorders>
              <w:top w:val="single" w:sz="4" w:space="0" w:color="auto"/>
              <w:left w:val="single" w:sz="4" w:space="0" w:color="auto"/>
            </w:tcBorders>
            <w:shd w:val="clear" w:color="auto" w:fill="auto"/>
          </w:tcPr>
          <w:p w14:paraId="7B77757F"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0-35</w:t>
            </w:r>
          </w:p>
        </w:tc>
        <w:tc>
          <w:tcPr>
            <w:tcW w:w="562" w:type="dxa"/>
            <w:tcBorders>
              <w:top w:val="single" w:sz="4" w:space="0" w:color="auto"/>
              <w:left w:val="single" w:sz="4" w:space="0" w:color="auto"/>
            </w:tcBorders>
            <w:shd w:val="clear" w:color="auto" w:fill="auto"/>
          </w:tcPr>
          <w:p w14:paraId="30E38033"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0-33</w:t>
            </w:r>
          </w:p>
        </w:tc>
        <w:tc>
          <w:tcPr>
            <w:tcW w:w="326" w:type="dxa"/>
            <w:tcBorders>
              <w:top w:val="single" w:sz="4" w:space="0" w:color="auto"/>
              <w:left w:val="single" w:sz="4" w:space="0" w:color="auto"/>
            </w:tcBorders>
            <w:shd w:val="clear" w:color="auto" w:fill="auto"/>
          </w:tcPr>
          <w:p w14:paraId="22B9F022"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w:t>
            </w:r>
          </w:p>
        </w:tc>
        <w:tc>
          <w:tcPr>
            <w:tcW w:w="2482" w:type="dxa"/>
            <w:tcBorders>
              <w:top w:val="single" w:sz="4" w:space="0" w:color="auto"/>
              <w:left w:val="single" w:sz="4" w:space="0" w:color="auto"/>
            </w:tcBorders>
            <w:shd w:val="clear" w:color="auto" w:fill="auto"/>
          </w:tcPr>
          <w:p w14:paraId="523E0664"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Перелёт Москва-Щёлково</w:t>
            </w:r>
          </w:p>
        </w:tc>
        <w:tc>
          <w:tcPr>
            <w:tcW w:w="893" w:type="dxa"/>
            <w:tcBorders>
              <w:top w:val="single" w:sz="4" w:space="0" w:color="auto"/>
              <w:left w:val="single" w:sz="4" w:space="0" w:color="auto"/>
            </w:tcBorders>
            <w:shd w:val="clear" w:color="auto" w:fill="auto"/>
          </w:tcPr>
          <w:p w14:paraId="30881374"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Выполнено</w:t>
            </w:r>
          </w:p>
        </w:tc>
      </w:tr>
      <w:tr w:rsidR="00890990" w:rsidRPr="00E14102" w14:paraId="4C18373E" w14:textId="77777777" w:rsidTr="003D0776">
        <w:trPr>
          <w:trHeight w:hRule="exact" w:val="307"/>
          <w:jc w:val="center"/>
        </w:trPr>
        <w:tc>
          <w:tcPr>
            <w:tcW w:w="418" w:type="dxa"/>
            <w:tcBorders>
              <w:top w:val="single" w:sz="4" w:space="0" w:color="auto"/>
              <w:left w:val="single" w:sz="4" w:space="0" w:color="auto"/>
            </w:tcBorders>
            <w:shd w:val="clear" w:color="auto" w:fill="auto"/>
          </w:tcPr>
          <w:p w14:paraId="2EE4F35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16</w:t>
            </w:r>
          </w:p>
        </w:tc>
        <w:tc>
          <w:tcPr>
            <w:tcW w:w="725" w:type="dxa"/>
            <w:tcBorders>
              <w:top w:val="single" w:sz="4" w:space="0" w:color="auto"/>
              <w:left w:val="single" w:sz="4" w:space="0" w:color="auto"/>
            </w:tcBorders>
            <w:shd w:val="clear" w:color="auto" w:fill="auto"/>
          </w:tcPr>
          <w:p w14:paraId="2057D1E2"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Журов</w:t>
            </w:r>
          </w:p>
          <w:p w14:paraId="641B81F2"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Михеев</w:t>
            </w:r>
          </w:p>
        </w:tc>
        <w:tc>
          <w:tcPr>
            <w:tcW w:w="1944" w:type="dxa"/>
            <w:tcBorders>
              <w:top w:val="single" w:sz="4" w:space="0" w:color="auto"/>
              <w:left w:val="single" w:sz="4" w:space="0" w:color="auto"/>
            </w:tcBorders>
            <w:shd w:val="clear" w:color="auto" w:fill="auto"/>
          </w:tcPr>
          <w:p w14:paraId="0E551F9F" w14:textId="77777777" w:rsidR="00890990" w:rsidRPr="00E14102" w:rsidRDefault="00890990" w:rsidP="00E14102">
            <w:pPr>
              <w:jc w:val="both"/>
              <w:rPr>
                <w:color w:val="0070C0"/>
                <w:sz w:val="16"/>
                <w:szCs w:val="16"/>
              </w:rPr>
            </w:pPr>
          </w:p>
        </w:tc>
        <w:tc>
          <w:tcPr>
            <w:tcW w:w="806" w:type="dxa"/>
            <w:tcBorders>
              <w:top w:val="single" w:sz="4" w:space="0" w:color="auto"/>
              <w:left w:val="single" w:sz="4" w:space="0" w:color="auto"/>
            </w:tcBorders>
            <w:shd w:val="clear" w:color="auto" w:fill="auto"/>
          </w:tcPr>
          <w:p w14:paraId="72AAD027"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мг</w:t>
            </w:r>
          </w:p>
        </w:tc>
        <w:tc>
          <w:tcPr>
            <w:tcW w:w="485" w:type="dxa"/>
            <w:tcBorders>
              <w:top w:val="single" w:sz="4" w:space="0" w:color="auto"/>
              <w:left w:val="single" w:sz="4" w:space="0" w:color="auto"/>
            </w:tcBorders>
            <w:shd w:val="clear" w:color="auto" w:fill="auto"/>
          </w:tcPr>
          <w:p w14:paraId="1E006D9E" w14:textId="77777777" w:rsidR="00890990" w:rsidRPr="00E14102" w:rsidRDefault="00890990" w:rsidP="00E14102">
            <w:pPr>
              <w:jc w:val="both"/>
              <w:rPr>
                <w:color w:val="0070C0"/>
                <w:sz w:val="16"/>
                <w:szCs w:val="16"/>
              </w:rPr>
            </w:pPr>
          </w:p>
        </w:tc>
        <w:tc>
          <w:tcPr>
            <w:tcW w:w="562" w:type="dxa"/>
            <w:tcBorders>
              <w:top w:val="single" w:sz="4" w:space="0" w:color="auto"/>
              <w:left w:val="single" w:sz="4" w:space="0" w:color="auto"/>
            </w:tcBorders>
            <w:shd w:val="clear" w:color="auto" w:fill="auto"/>
          </w:tcPr>
          <w:p w14:paraId="117A0D3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0-30</w:t>
            </w:r>
          </w:p>
        </w:tc>
        <w:tc>
          <w:tcPr>
            <w:tcW w:w="562" w:type="dxa"/>
            <w:tcBorders>
              <w:top w:val="single" w:sz="4" w:space="0" w:color="auto"/>
              <w:left w:val="single" w:sz="4" w:space="0" w:color="auto"/>
            </w:tcBorders>
            <w:shd w:val="clear" w:color="auto" w:fill="auto"/>
          </w:tcPr>
          <w:p w14:paraId="125976AF"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0-07</w:t>
            </w:r>
          </w:p>
        </w:tc>
        <w:tc>
          <w:tcPr>
            <w:tcW w:w="326" w:type="dxa"/>
            <w:tcBorders>
              <w:top w:val="single" w:sz="4" w:space="0" w:color="auto"/>
              <w:left w:val="single" w:sz="4" w:space="0" w:color="auto"/>
            </w:tcBorders>
            <w:shd w:val="clear" w:color="auto" w:fill="auto"/>
          </w:tcPr>
          <w:p w14:paraId="0D2AD58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w:t>
            </w:r>
          </w:p>
        </w:tc>
        <w:tc>
          <w:tcPr>
            <w:tcW w:w="2482" w:type="dxa"/>
            <w:tcBorders>
              <w:top w:val="single" w:sz="4" w:space="0" w:color="auto"/>
              <w:left w:val="single" w:sz="4" w:space="0" w:color="auto"/>
            </w:tcBorders>
            <w:shd w:val="clear" w:color="auto" w:fill="auto"/>
          </w:tcPr>
          <w:p w14:paraId="3F4EF14A"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Вывозка лётчика Михеева</w:t>
            </w:r>
          </w:p>
        </w:tc>
        <w:tc>
          <w:tcPr>
            <w:tcW w:w="893" w:type="dxa"/>
            <w:tcBorders>
              <w:top w:val="single" w:sz="4" w:space="0" w:color="auto"/>
              <w:left w:val="single" w:sz="4" w:space="0" w:color="auto"/>
            </w:tcBorders>
            <w:shd w:val="clear" w:color="auto" w:fill="auto"/>
          </w:tcPr>
          <w:p w14:paraId="528B7BC6"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Выполнено</w:t>
            </w:r>
          </w:p>
        </w:tc>
      </w:tr>
      <w:tr w:rsidR="00890990" w:rsidRPr="00E14102" w14:paraId="1953DF43" w14:textId="77777777" w:rsidTr="003D0776">
        <w:trPr>
          <w:trHeight w:hRule="exact" w:val="336"/>
          <w:jc w:val="center"/>
        </w:trPr>
        <w:tc>
          <w:tcPr>
            <w:tcW w:w="418" w:type="dxa"/>
            <w:tcBorders>
              <w:top w:val="single" w:sz="4" w:space="0" w:color="auto"/>
              <w:left w:val="single" w:sz="4" w:space="0" w:color="auto"/>
            </w:tcBorders>
            <w:shd w:val="clear" w:color="auto" w:fill="auto"/>
          </w:tcPr>
          <w:p w14:paraId="580C16F8"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16</w:t>
            </w:r>
          </w:p>
        </w:tc>
        <w:tc>
          <w:tcPr>
            <w:tcW w:w="725" w:type="dxa"/>
            <w:tcBorders>
              <w:top w:val="single" w:sz="4" w:space="0" w:color="auto"/>
              <w:left w:val="single" w:sz="4" w:space="0" w:color="auto"/>
              <w:bottom w:val="single" w:sz="4" w:space="0" w:color="auto"/>
            </w:tcBorders>
            <w:shd w:val="clear" w:color="auto" w:fill="auto"/>
          </w:tcPr>
          <w:p w14:paraId="62DA12F1"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Журов</w:t>
            </w:r>
          </w:p>
          <w:p w14:paraId="63158223" w14:textId="77777777" w:rsidR="00890990" w:rsidRPr="00E14102" w:rsidRDefault="00890990" w:rsidP="00E14102">
            <w:pPr>
              <w:pStyle w:val="affd"/>
              <w:tabs>
                <w:tab w:val="left" w:leader="underscore" w:pos="571"/>
              </w:tabs>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Михеев</w:t>
            </w:r>
            <w:r w:rsidRPr="00E14102">
              <w:rPr>
                <w:rFonts w:ascii="Times New Roman" w:eastAsia="Times New Roman" w:hAnsi="Times New Roman" w:cs="Times New Roman"/>
                <w:color w:val="0070C0"/>
                <w:sz w:val="16"/>
                <w:szCs w:val="16"/>
                <w:lang w:bidi="ru-RU"/>
              </w:rPr>
              <w:tab/>
            </w:r>
          </w:p>
        </w:tc>
        <w:tc>
          <w:tcPr>
            <w:tcW w:w="1944" w:type="dxa"/>
            <w:tcBorders>
              <w:top w:val="single" w:sz="4" w:space="0" w:color="auto"/>
              <w:left w:val="single" w:sz="4" w:space="0" w:color="auto"/>
              <w:bottom w:val="single" w:sz="4" w:space="0" w:color="auto"/>
            </w:tcBorders>
            <w:shd w:val="clear" w:color="auto" w:fill="auto"/>
          </w:tcPr>
          <w:p w14:paraId="4B2E69B5" w14:textId="77777777" w:rsidR="00890990" w:rsidRPr="00E14102" w:rsidRDefault="00890990" w:rsidP="00E14102">
            <w:pPr>
              <w:jc w:val="both"/>
              <w:rPr>
                <w:color w:val="0070C0"/>
                <w:sz w:val="16"/>
                <w:szCs w:val="16"/>
              </w:rPr>
            </w:pPr>
          </w:p>
        </w:tc>
        <w:tc>
          <w:tcPr>
            <w:tcW w:w="806" w:type="dxa"/>
            <w:tcBorders>
              <w:top w:val="single" w:sz="4" w:space="0" w:color="auto"/>
              <w:left w:val="single" w:sz="4" w:space="0" w:color="auto"/>
              <w:bottom w:val="single" w:sz="4" w:space="0" w:color="auto"/>
            </w:tcBorders>
            <w:shd w:val="clear" w:color="auto" w:fill="auto"/>
          </w:tcPr>
          <w:p w14:paraId="4E9A1B4C"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мг</w:t>
            </w:r>
          </w:p>
        </w:tc>
        <w:tc>
          <w:tcPr>
            <w:tcW w:w="485" w:type="dxa"/>
            <w:tcBorders>
              <w:top w:val="single" w:sz="4" w:space="0" w:color="auto"/>
              <w:left w:val="single" w:sz="4" w:space="0" w:color="auto"/>
              <w:bottom w:val="single" w:sz="4" w:space="0" w:color="auto"/>
            </w:tcBorders>
            <w:shd w:val="clear" w:color="auto" w:fill="auto"/>
          </w:tcPr>
          <w:p w14:paraId="09160496"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19.00</w:t>
            </w:r>
          </w:p>
        </w:tc>
        <w:tc>
          <w:tcPr>
            <w:tcW w:w="562" w:type="dxa"/>
            <w:tcBorders>
              <w:top w:val="single" w:sz="4" w:space="0" w:color="auto"/>
              <w:left w:val="single" w:sz="4" w:space="0" w:color="auto"/>
              <w:bottom w:val="single" w:sz="4" w:space="0" w:color="auto"/>
            </w:tcBorders>
            <w:shd w:val="clear" w:color="auto" w:fill="auto"/>
          </w:tcPr>
          <w:p w14:paraId="2CBA9708"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0-02</w:t>
            </w:r>
          </w:p>
        </w:tc>
        <w:tc>
          <w:tcPr>
            <w:tcW w:w="562" w:type="dxa"/>
            <w:tcBorders>
              <w:top w:val="single" w:sz="4" w:space="0" w:color="auto"/>
              <w:left w:val="single" w:sz="4" w:space="0" w:color="auto"/>
              <w:bottom w:val="single" w:sz="4" w:space="0" w:color="auto"/>
            </w:tcBorders>
            <w:shd w:val="clear" w:color="auto" w:fill="auto"/>
          </w:tcPr>
          <w:p w14:paraId="0D40CBA7"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0-10</w:t>
            </w:r>
          </w:p>
        </w:tc>
        <w:tc>
          <w:tcPr>
            <w:tcW w:w="326" w:type="dxa"/>
            <w:tcBorders>
              <w:top w:val="single" w:sz="4" w:space="0" w:color="auto"/>
              <w:left w:val="single" w:sz="4" w:space="0" w:color="auto"/>
              <w:bottom w:val="single" w:sz="4" w:space="0" w:color="auto"/>
            </w:tcBorders>
            <w:shd w:val="clear" w:color="auto" w:fill="auto"/>
          </w:tcPr>
          <w:p w14:paraId="09D16C8F"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w:t>
            </w:r>
          </w:p>
        </w:tc>
        <w:tc>
          <w:tcPr>
            <w:tcW w:w="2482" w:type="dxa"/>
            <w:tcBorders>
              <w:top w:val="single" w:sz="4" w:space="0" w:color="auto"/>
              <w:left w:val="single" w:sz="4" w:space="0" w:color="auto"/>
              <w:bottom w:val="single" w:sz="4" w:space="0" w:color="auto"/>
            </w:tcBorders>
            <w:shd w:val="clear" w:color="auto" w:fill="auto"/>
          </w:tcPr>
          <w:p w14:paraId="423E67D7"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Вывозка лётчика Михеева</w:t>
            </w:r>
          </w:p>
        </w:tc>
        <w:tc>
          <w:tcPr>
            <w:tcW w:w="893" w:type="dxa"/>
            <w:tcBorders>
              <w:top w:val="single" w:sz="4" w:space="0" w:color="auto"/>
              <w:left w:val="single" w:sz="4" w:space="0" w:color="auto"/>
            </w:tcBorders>
            <w:shd w:val="clear" w:color="auto" w:fill="auto"/>
          </w:tcPr>
          <w:p w14:paraId="6F227E4A"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Выполнено</w:t>
            </w:r>
          </w:p>
        </w:tc>
      </w:tr>
    </w:tbl>
    <w:p w14:paraId="41A8C2EA" w14:textId="77777777" w:rsidR="00890990" w:rsidRPr="00E14102" w:rsidRDefault="00890990" w:rsidP="00E14102">
      <w:pPr>
        <w:jc w:val="both"/>
        <w:rPr>
          <w:color w:val="0070C0"/>
          <w:sz w:val="16"/>
          <w:szCs w:val="16"/>
        </w:rPr>
      </w:pPr>
    </w:p>
    <w:p w14:paraId="024A5FFB" w14:textId="77777777" w:rsidR="00890990" w:rsidRPr="00E14102" w:rsidRDefault="00890990" w:rsidP="00E14102">
      <w:pPr>
        <w:jc w:val="both"/>
        <w:rPr>
          <w:color w:val="0070C0"/>
          <w:sz w:val="16"/>
          <w:szCs w:val="16"/>
        </w:r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413"/>
        <w:gridCol w:w="725"/>
        <w:gridCol w:w="974"/>
        <w:gridCol w:w="974"/>
        <w:gridCol w:w="806"/>
        <w:gridCol w:w="485"/>
        <w:gridCol w:w="566"/>
        <w:gridCol w:w="562"/>
        <w:gridCol w:w="322"/>
        <w:gridCol w:w="2496"/>
        <w:gridCol w:w="883"/>
      </w:tblGrid>
      <w:tr w:rsidR="00890990" w:rsidRPr="00E14102" w14:paraId="29567EC5" w14:textId="77777777" w:rsidTr="003D0776">
        <w:trPr>
          <w:trHeight w:hRule="exact" w:val="326"/>
          <w:jc w:val="center"/>
        </w:trPr>
        <w:tc>
          <w:tcPr>
            <w:tcW w:w="413" w:type="dxa"/>
            <w:tcBorders>
              <w:top w:val="single" w:sz="4" w:space="0" w:color="auto"/>
              <w:left w:val="single" w:sz="4" w:space="0" w:color="auto"/>
            </w:tcBorders>
            <w:shd w:val="clear" w:color="auto" w:fill="auto"/>
          </w:tcPr>
          <w:p w14:paraId="7A50D2E8"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16</w:t>
            </w:r>
          </w:p>
        </w:tc>
        <w:tc>
          <w:tcPr>
            <w:tcW w:w="725" w:type="dxa"/>
            <w:tcBorders>
              <w:top w:val="single" w:sz="4" w:space="0" w:color="auto"/>
              <w:left w:val="single" w:sz="4" w:space="0" w:color="auto"/>
            </w:tcBorders>
            <w:shd w:val="clear" w:color="auto" w:fill="auto"/>
          </w:tcPr>
          <w:p w14:paraId="09B80D5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Журов</w:t>
            </w:r>
          </w:p>
          <w:p w14:paraId="74E575BC"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Михеев</w:t>
            </w:r>
          </w:p>
        </w:tc>
        <w:tc>
          <w:tcPr>
            <w:tcW w:w="1948" w:type="dxa"/>
            <w:gridSpan w:val="2"/>
            <w:tcBorders>
              <w:top w:val="single" w:sz="4" w:space="0" w:color="auto"/>
              <w:left w:val="single" w:sz="4" w:space="0" w:color="auto"/>
            </w:tcBorders>
            <w:shd w:val="clear" w:color="auto" w:fill="auto"/>
          </w:tcPr>
          <w:p w14:paraId="21E29C0B" w14:textId="77777777" w:rsidR="00890990" w:rsidRPr="00E14102" w:rsidRDefault="00890990" w:rsidP="00E14102">
            <w:pPr>
              <w:jc w:val="both"/>
              <w:rPr>
                <w:color w:val="0070C0"/>
                <w:sz w:val="16"/>
                <w:szCs w:val="16"/>
              </w:rPr>
            </w:pPr>
          </w:p>
        </w:tc>
        <w:tc>
          <w:tcPr>
            <w:tcW w:w="806" w:type="dxa"/>
            <w:tcBorders>
              <w:top w:val="single" w:sz="4" w:space="0" w:color="auto"/>
              <w:left w:val="single" w:sz="4" w:space="0" w:color="auto"/>
            </w:tcBorders>
            <w:shd w:val="clear" w:color="auto" w:fill="auto"/>
          </w:tcPr>
          <w:p w14:paraId="0D89177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.мг</w:t>
            </w:r>
          </w:p>
        </w:tc>
        <w:tc>
          <w:tcPr>
            <w:tcW w:w="485" w:type="dxa"/>
            <w:tcBorders>
              <w:top w:val="single" w:sz="4" w:space="0" w:color="auto"/>
              <w:left w:val="single" w:sz="4" w:space="0" w:color="auto"/>
            </w:tcBorders>
            <w:shd w:val="clear" w:color="auto" w:fill="auto"/>
          </w:tcPr>
          <w:p w14:paraId="5F55A597"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19.12</w:t>
            </w:r>
          </w:p>
        </w:tc>
        <w:tc>
          <w:tcPr>
            <w:tcW w:w="566" w:type="dxa"/>
            <w:tcBorders>
              <w:top w:val="single" w:sz="4" w:space="0" w:color="auto"/>
              <w:left w:val="single" w:sz="4" w:space="0" w:color="auto"/>
            </w:tcBorders>
            <w:shd w:val="clear" w:color="auto" w:fill="auto"/>
          </w:tcPr>
          <w:p w14:paraId="73BE73A2"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0-02</w:t>
            </w:r>
          </w:p>
        </w:tc>
        <w:tc>
          <w:tcPr>
            <w:tcW w:w="562" w:type="dxa"/>
            <w:tcBorders>
              <w:top w:val="single" w:sz="4" w:space="0" w:color="auto"/>
              <w:left w:val="single" w:sz="4" w:space="0" w:color="auto"/>
            </w:tcBorders>
            <w:shd w:val="clear" w:color="auto" w:fill="auto"/>
          </w:tcPr>
          <w:p w14:paraId="6C670FA0"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0-11</w:t>
            </w:r>
          </w:p>
        </w:tc>
        <w:tc>
          <w:tcPr>
            <w:tcW w:w="322" w:type="dxa"/>
            <w:tcBorders>
              <w:top w:val="single" w:sz="4" w:space="0" w:color="auto"/>
              <w:left w:val="single" w:sz="4" w:space="0" w:color="auto"/>
            </w:tcBorders>
            <w:shd w:val="clear" w:color="auto" w:fill="auto"/>
          </w:tcPr>
          <w:p w14:paraId="48CF5E0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w:t>
            </w:r>
          </w:p>
        </w:tc>
        <w:tc>
          <w:tcPr>
            <w:tcW w:w="2496" w:type="dxa"/>
            <w:tcBorders>
              <w:top w:val="single" w:sz="4" w:space="0" w:color="auto"/>
              <w:left w:val="single" w:sz="4" w:space="0" w:color="auto"/>
            </w:tcBorders>
            <w:shd w:val="clear" w:color="auto" w:fill="auto"/>
          </w:tcPr>
          <w:p w14:paraId="56579BA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Вывозка лётчика Михеева</w:t>
            </w:r>
          </w:p>
        </w:tc>
        <w:tc>
          <w:tcPr>
            <w:tcW w:w="883" w:type="dxa"/>
            <w:tcBorders>
              <w:top w:val="single" w:sz="4" w:space="0" w:color="auto"/>
              <w:left w:val="single" w:sz="4" w:space="0" w:color="auto"/>
            </w:tcBorders>
            <w:shd w:val="clear" w:color="auto" w:fill="auto"/>
          </w:tcPr>
          <w:p w14:paraId="79FAE600"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Выполнено</w:t>
            </w:r>
          </w:p>
        </w:tc>
      </w:tr>
      <w:tr w:rsidR="00890990" w:rsidRPr="00E14102" w14:paraId="20DA4BA1" w14:textId="77777777" w:rsidTr="003D0776">
        <w:trPr>
          <w:trHeight w:hRule="exact" w:val="312"/>
          <w:jc w:val="center"/>
        </w:trPr>
        <w:tc>
          <w:tcPr>
            <w:tcW w:w="413" w:type="dxa"/>
            <w:tcBorders>
              <w:top w:val="single" w:sz="4" w:space="0" w:color="auto"/>
              <w:left w:val="single" w:sz="4" w:space="0" w:color="auto"/>
            </w:tcBorders>
            <w:shd w:val="clear" w:color="auto" w:fill="auto"/>
          </w:tcPr>
          <w:p w14:paraId="764A0D47"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16</w:t>
            </w:r>
          </w:p>
        </w:tc>
        <w:tc>
          <w:tcPr>
            <w:tcW w:w="725" w:type="dxa"/>
            <w:tcBorders>
              <w:top w:val="single" w:sz="4" w:space="0" w:color="auto"/>
              <w:left w:val="single" w:sz="4" w:space="0" w:color="auto"/>
            </w:tcBorders>
            <w:shd w:val="clear" w:color="auto" w:fill="auto"/>
          </w:tcPr>
          <w:p w14:paraId="11EC4219"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Журов</w:t>
            </w:r>
          </w:p>
          <w:p w14:paraId="2FB082BD"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Михеев</w:t>
            </w:r>
          </w:p>
        </w:tc>
        <w:tc>
          <w:tcPr>
            <w:tcW w:w="1948" w:type="dxa"/>
            <w:gridSpan w:val="2"/>
            <w:tcBorders>
              <w:top w:val="single" w:sz="4" w:space="0" w:color="auto"/>
              <w:left w:val="single" w:sz="4" w:space="0" w:color="auto"/>
            </w:tcBorders>
            <w:shd w:val="clear" w:color="auto" w:fill="auto"/>
          </w:tcPr>
          <w:p w14:paraId="21945558" w14:textId="77777777" w:rsidR="00890990" w:rsidRPr="00E14102" w:rsidRDefault="00890990" w:rsidP="00E14102">
            <w:pPr>
              <w:jc w:val="both"/>
              <w:rPr>
                <w:color w:val="0070C0"/>
                <w:sz w:val="16"/>
                <w:szCs w:val="16"/>
              </w:rPr>
            </w:pPr>
          </w:p>
        </w:tc>
        <w:tc>
          <w:tcPr>
            <w:tcW w:w="806" w:type="dxa"/>
            <w:tcBorders>
              <w:top w:val="single" w:sz="4" w:space="0" w:color="auto"/>
              <w:left w:val="single" w:sz="4" w:space="0" w:color="auto"/>
            </w:tcBorders>
            <w:shd w:val="clear" w:color="auto" w:fill="auto"/>
          </w:tcPr>
          <w:p w14:paraId="529ACBC9"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мг</w:t>
            </w:r>
          </w:p>
        </w:tc>
        <w:tc>
          <w:tcPr>
            <w:tcW w:w="485" w:type="dxa"/>
            <w:tcBorders>
              <w:top w:val="single" w:sz="4" w:space="0" w:color="auto"/>
              <w:left w:val="single" w:sz="4" w:space="0" w:color="auto"/>
            </w:tcBorders>
            <w:shd w:val="clear" w:color="auto" w:fill="auto"/>
          </w:tcPr>
          <w:p w14:paraId="1788CE6A"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19.34</w:t>
            </w:r>
          </w:p>
        </w:tc>
        <w:tc>
          <w:tcPr>
            <w:tcW w:w="566" w:type="dxa"/>
            <w:tcBorders>
              <w:top w:val="single" w:sz="4" w:space="0" w:color="auto"/>
              <w:left w:val="single" w:sz="4" w:space="0" w:color="auto"/>
            </w:tcBorders>
            <w:shd w:val="clear" w:color="auto" w:fill="auto"/>
          </w:tcPr>
          <w:p w14:paraId="76637DAA"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0-02</w:t>
            </w:r>
          </w:p>
        </w:tc>
        <w:tc>
          <w:tcPr>
            <w:tcW w:w="562" w:type="dxa"/>
            <w:tcBorders>
              <w:top w:val="single" w:sz="4" w:space="0" w:color="auto"/>
              <w:left w:val="single" w:sz="4" w:space="0" w:color="auto"/>
            </w:tcBorders>
            <w:shd w:val="clear" w:color="auto" w:fill="auto"/>
          </w:tcPr>
          <w:p w14:paraId="61D8D5B2"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0-09</w:t>
            </w:r>
          </w:p>
        </w:tc>
        <w:tc>
          <w:tcPr>
            <w:tcW w:w="322" w:type="dxa"/>
            <w:tcBorders>
              <w:top w:val="single" w:sz="4" w:space="0" w:color="auto"/>
              <w:left w:val="single" w:sz="4" w:space="0" w:color="auto"/>
            </w:tcBorders>
            <w:shd w:val="clear" w:color="auto" w:fill="auto"/>
          </w:tcPr>
          <w:p w14:paraId="568B0014"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w:t>
            </w:r>
          </w:p>
        </w:tc>
        <w:tc>
          <w:tcPr>
            <w:tcW w:w="2496" w:type="dxa"/>
            <w:tcBorders>
              <w:top w:val="single" w:sz="4" w:space="0" w:color="auto"/>
              <w:left w:val="single" w:sz="4" w:space="0" w:color="auto"/>
            </w:tcBorders>
            <w:shd w:val="clear" w:color="auto" w:fill="auto"/>
          </w:tcPr>
          <w:p w14:paraId="2D8EE71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Вывозка лётчика Михеева</w:t>
            </w:r>
          </w:p>
        </w:tc>
        <w:tc>
          <w:tcPr>
            <w:tcW w:w="883" w:type="dxa"/>
            <w:tcBorders>
              <w:top w:val="single" w:sz="4" w:space="0" w:color="auto"/>
              <w:left w:val="single" w:sz="4" w:space="0" w:color="auto"/>
            </w:tcBorders>
            <w:shd w:val="clear" w:color="auto" w:fill="auto"/>
          </w:tcPr>
          <w:p w14:paraId="5E453A4C"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Выполнено</w:t>
            </w:r>
          </w:p>
        </w:tc>
      </w:tr>
      <w:tr w:rsidR="00890990" w:rsidRPr="00E14102" w14:paraId="0E828064" w14:textId="77777777" w:rsidTr="003D0776">
        <w:trPr>
          <w:trHeight w:hRule="exact" w:val="158"/>
          <w:jc w:val="center"/>
        </w:trPr>
        <w:tc>
          <w:tcPr>
            <w:tcW w:w="413" w:type="dxa"/>
            <w:tcBorders>
              <w:top w:val="single" w:sz="4" w:space="0" w:color="auto"/>
              <w:left w:val="single" w:sz="4" w:space="0" w:color="auto"/>
            </w:tcBorders>
            <w:shd w:val="clear" w:color="auto" w:fill="auto"/>
          </w:tcPr>
          <w:p w14:paraId="7194270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16</w:t>
            </w:r>
          </w:p>
        </w:tc>
        <w:tc>
          <w:tcPr>
            <w:tcW w:w="725" w:type="dxa"/>
            <w:tcBorders>
              <w:top w:val="single" w:sz="4" w:space="0" w:color="auto"/>
              <w:left w:val="single" w:sz="4" w:space="0" w:color="auto"/>
            </w:tcBorders>
            <w:shd w:val="clear" w:color="auto" w:fill="auto"/>
          </w:tcPr>
          <w:p w14:paraId="5BAABCB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Михеев</w:t>
            </w:r>
          </w:p>
        </w:tc>
        <w:tc>
          <w:tcPr>
            <w:tcW w:w="1948" w:type="dxa"/>
            <w:gridSpan w:val="2"/>
            <w:tcBorders>
              <w:top w:val="single" w:sz="4" w:space="0" w:color="auto"/>
              <w:left w:val="single" w:sz="4" w:space="0" w:color="auto"/>
            </w:tcBorders>
            <w:shd w:val="clear" w:color="auto" w:fill="auto"/>
          </w:tcPr>
          <w:p w14:paraId="4017A6A8" w14:textId="77777777" w:rsidR="00890990" w:rsidRPr="00E14102" w:rsidRDefault="00890990" w:rsidP="00E14102">
            <w:pPr>
              <w:jc w:val="both"/>
              <w:rPr>
                <w:color w:val="0070C0"/>
                <w:sz w:val="16"/>
                <w:szCs w:val="16"/>
              </w:rPr>
            </w:pPr>
          </w:p>
        </w:tc>
        <w:tc>
          <w:tcPr>
            <w:tcW w:w="806" w:type="dxa"/>
            <w:tcBorders>
              <w:top w:val="single" w:sz="4" w:space="0" w:color="auto"/>
              <w:left w:val="single" w:sz="4" w:space="0" w:color="auto"/>
            </w:tcBorders>
            <w:shd w:val="clear" w:color="auto" w:fill="auto"/>
          </w:tcPr>
          <w:p w14:paraId="66614881"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мг</w:t>
            </w:r>
          </w:p>
        </w:tc>
        <w:tc>
          <w:tcPr>
            <w:tcW w:w="485" w:type="dxa"/>
            <w:tcBorders>
              <w:top w:val="single" w:sz="4" w:space="0" w:color="auto"/>
              <w:left w:val="single" w:sz="4" w:space="0" w:color="auto"/>
            </w:tcBorders>
            <w:shd w:val="clear" w:color="auto" w:fill="auto"/>
          </w:tcPr>
          <w:p w14:paraId="3D277606"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19.50</w:t>
            </w:r>
          </w:p>
        </w:tc>
        <w:tc>
          <w:tcPr>
            <w:tcW w:w="566" w:type="dxa"/>
            <w:tcBorders>
              <w:top w:val="single" w:sz="4" w:space="0" w:color="auto"/>
              <w:left w:val="single" w:sz="4" w:space="0" w:color="auto"/>
            </w:tcBorders>
            <w:shd w:val="clear" w:color="auto" w:fill="auto"/>
          </w:tcPr>
          <w:p w14:paraId="2DE79301"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0-02</w:t>
            </w:r>
          </w:p>
        </w:tc>
        <w:tc>
          <w:tcPr>
            <w:tcW w:w="562" w:type="dxa"/>
            <w:tcBorders>
              <w:top w:val="single" w:sz="4" w:space="0" w:color="auto"/>
              <w:left w:val="single" w:sz="4" w:space="0" w:color="auto"/>
            </w:tcBorders>
            <w:shd w:val="clear" w:color="auto" w:fill="auto"/>
          </w:tcPr>
          <w:p w14:paraId="27FF6A80"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0-14</w:t>
            </w:r>
          </w:p>
        </w:tc>
        <w:tc>
          <w:tcPr>
            <w:tcW w:w="322" w:type="dxa"/>
            <w:tcBorders>
              <w:top w:val="single" w:sz="4" w:space="0" w:color="auto"/>
              <w:left w:val="single" w:sz="4" w:space="0" w:color="auto"/>
            </w:tcBorders>
            <w:shd w:val="clear" w:color="auto" w:fill="auto"/>
          </w:tcPr>
          <w:p w14:paraId="0CA581E0"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w:t>
            </w:r>
          </w:p>
        </w:tc>
        <w:tc>
          <w:tcPr>
            <w:tcW w:w="2496" w:type="dxa"/>
            <w:tcBorders>
              <w:top w:val="single" w:sz="4" w:space="0" w:color="auto"/>
              <w:left w:val="single" w:sz="4" w:space="0" w:color="auto"/>
            </w:tcBorders>
            <w:shd w:val="clear" w:color="auto" w:fill="auto"/>
          </w:tcPr>
          <w:p w14:paraId="44742BE4"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Самостоятельный полёг Михеева</w:t>
            </w:r>
          </w:p>
        </w:tc>
        <w:tc>
          <w:tcPr>
            <w:tcW w:w="883" w:type="dxa"/>
            <w:tcBorders>
              <w:top w:val="single" w:sz="4" w:space="0" w:color="auto"/>
              <w:left w:val="single" w:sz="4" w:space="0" w:color="auto"/>
            </w:tcBorders>
            <w:shd w:val="clear" w:color="auto" w:fill="auto"/>
          </w:tcPr>
          <w:p w14:paraId="37C4A88A"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Выполнено</w:t>
            </w:r>
          </w:p>
        </w:tc>
      </w:tr>
      <w:tr w:rsidR="00890990" w:rsidRPr="00E14102" w14:paraId="1495B867" w14:textId="77777777" w:rsidTr="003D0776">
        <w:trPr>
          <w:trHeight w:hRule="exact" w:val="154"/>
          <w:jc w:val="center"/>
        </w:trPr>
        <w:tc>
          <w:tcPr>
            <w:tcW w:w="413" w:type="dxa"/>
            <w:tcBorders>
              <w:top w:val="single" w:sz="4" w:space="0" w:color="auto"/>
              <w:left w:val="single" w:sz="4" w:space="0" w:color="auto"/>
            </w:tcBorders>
            <w:shd w:val="clear" w:color="auto" w:fill="auto"/>
            <w:vAlign w:val="bottom"/>
          </w:tcPr>
          <w:p w14:paraId="3F843007"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16</w:t>
            </w:r>
          </w:p>
        </w:tc>
        <w:tc>
          <w:tcPr>
            <w:tcW w:w="725" w:type="dxa"/>
            <w:tcBorders>
              <w:top w:val="single" w:sz="4" w:space="0" w:color="auto"/>
              <w:left w:val="single" w:sz="4" w:space="0" w:color="auto"/>
            </w:tcBorders>
            <w:shd w:val="clear" w:color="auto" w:fill="auto"/>
            <w:vAlign w:val="bottom"/>
          </w:tcPr>
          <w:p w14:paraId="4D33631F"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Михеев</w:t>
            </w:r>
          </w:p>
        </w:tc>
        <w:tc>
          <w:tcPr>
            <w:tcW w:w="1948" w:type="dxa"/>
            <w:gridSpan w:val="2"/>
            <w:tcBorders>
              <w:top w:val="single" w:sz="4" w:space="0" w:color="auto"/>
              <w:left w:val="single" w:sz="4" w:space="0" w:color="auto"/>
            </w:tcBorders>
            <w:shd w:val="clear" w:color="auto" w:fill="auto"/>
          </w:tcPr>
          <w:p w14:paraId="476E694A" w14:textId="77777777" w:rsidR="00890990" w:rsidRPr="00E14102" w:rsidRDefault="00890990" w:rsidP="00E14102">
            <w:pPr>
              <w:jc w:val="both"/>
              <w:rPr>
                <w:color w:val="0070C0"/>
                <w:sz w:val="16"/>
                <w:szCs w:val="16"/>
              </w:rPr>
            </w:pPr>
          </w:p>
        </w:tc>
        <w:tc>
          <w:tcPr>
            <w:tcW w:w="806" w:type="dxa"/>
            <w:tcBorders>
              <w:top w:val="single" w:sz="4" w:space="0" w:color="auto"/>
              <w:left w:val="single" w:sz="4" w:space="0" w:color="auto"/>
            </w:tcBorders>
            <w:shd w:val="clear" w:color="auto" w:fill="auto"/>
            <w:vAlign w:val="bottom"/>
          </w:tcPr>
          <w:p w14:paraId="71CA0B3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мг</w:t>
            </w:r>
          </w:p>
        </w:tc>
        <w:tc>
          <w:tcPr>
            <w:tcW w:w="485" w:type="dxa"/>
            <w:tcBorders>
              <w:top w:val="single" w:sz="4" w:space="0" w:color="auto"/>
              <w:left w:val="single" w:sz="4" w:space="0" w:color="auto"/>
            </w:tcBorders>
            <w:shd w:val="clear" w:color="auto" w:fill="auto"/>
            <w:vAlign w:val="bottom"/>
          </w:tcPr>
          <w:p w14:paraId="6F1DBDF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19.53</w:t>
            </w:r>
          </w:p>
        </w:tc>
        <w:tc>
          <w:tcPr>
            <w:tcW w:w="566" w:type="dxa"/>
            <w:tcBorders>
              <w:top w:val="single" w:sz="4" w:space="0" w:color="auto"/>
              <w:left w:val="single" w:sz="4" w:space="0" w:color="auto"/>
            </w:tcBorders>
            <w:shd w:val="clear" w:color="auto" w:fill="auto"/>
            <w:vAlign w:val="bottom"/>
          </w:tcPr>
          <w:p w14:paraId="630E479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0-02</w:t>
            </w:r>
          </w:p>
        </w:tc>
        <w:tc>
          <w:tcPr>
            <w:tcW w:w="562" w:type="dxa"/>
            <w:tcBorders>
              <w:top w:val="single" w:sz="4" w:space="0" w:color="auto"/>
              <w:left w:val="single" w:sz="4" w:space="0" w:color="auto"/>
            </w:tcBorders>
            <w:shd w:val="clear" w:color="auto" w:fill="auto"/>
            <w:vAlign w:val="bottom"/>
          </w:tcPr>
          <w:p w14:paraId="35DD13A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0-09</w:t>
            </w:r>
          </w:p>
        </w:tc>
        <w:tc>
          <w:tcPr>
            <w:tcW w:w="322" w:type="dxa"/>
            <w:tcBorders>
              <w:top w:val="single" w:sz="4" w:space="0" w:color="auto"/>
              <w:left w:val="single" w:sz="4" w:space="0" w:color="auto"/>
            </w:tcBorders>
            <w:shd w:val="clear" w:color="auto" w:fill="auto"/>
            <w:vAlign w:val="bottom"/>
          </w:tcPr>
          <w:p w14:paraId="7D4765B9"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w:t>
            </w:r>
          </w:p>
        </w:tc>
        <w:tc>
          <w:tcPr>
            <w:tcW w:w="2496" w:type="dxa"/>
            <w:tcBorders>
              <w:top w:val="single" w:sz="4" w:space="0" w:color="auto"/>
              <w:left w:val="single" w:sz="4" w:space="0" w:color="auto"/>
            </w:tcBorders>
            <w:shd w:val="clear" w:color="auto" w:fill="auto"/>
            <w:vAlign w:val="bottom"/>
          </w:tcPr>
          <w:p w14:paraId="371660A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Тренировочный полёт Михеева</w:t>
            </w:r>
          </w:p>
        </w:tc>
        <w:tc>
          <w:tcPr>
            <w:tcW w:w="883" w:type="dxa"/>
            <w:tcBorders>
              <w:top w:val="single" w:sz="4" w:space="0" w:color="auto"/>
              <w:left w:val="single" w:sz="4" w:space="0" w:color="auto"/>
            </w:tcBorders>
            <w:shd w:val="clear" w:color="auto" w:fill="auto"/>
            <w:vAlign w:val="bottom"/>
          </w:tcPr>
          <w:p w14:paraId="708760B3"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Выполнено</w:t>
            </w:r>
          </w:p>
        </w:tc>
      </w:tr>
      <w:tr w:rsidR="00890990" w:rsidRPr="00E14102" w14:paraId="7DBA9DA2" w14:textId="77777777" w:rsidTr="003D0776">
        <w:trPr>
          <w:trHeight w:hRule="exact" w:val="317"/>
          <w:jc w:val="center"/>
        </w:trPr>
        <w:tc>
          <w:tcPr>
            <w:tcW w:w="413" w:type="dxa"/>
            <w:tcBorders>
              <w:top w:val="single" w:sz="4" w:space="0" w:color="auto"/>
              <w:left w:val="single" w:sz="4" w:space="0" w:color="auto"/>
            </w:tcBorders>
            <w:shd w:val="clear" w:color="auto" w:fill="auto"/>
          </w:tcPr>
          <w:p w14:paraId="4ED0072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16</w:t>
            </w:r>
          </w:p>
        </w:tc>
        <w:tc>
          <w:tcPr>
            <w:tcW w:w="725" w:type="dxa"/>
            <w:tcBorders>
              <w:top w:val="single" w:sz="4" w:space="0" w:color="auto"/>
              <w:left w:val="single" w:sz="4" w:space="0" w:color="auto"/>
            </w:tcBorders>
            <w:shd w:val="clear" w:color="auto" w:fill="auto"/>
            <w:vAlign w:val="bottom"/>
          </w:tcPr>
          <w:p w14:paraId="1DB05FA8"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Журов</w:t>
            </w:r>
          </w:p>
          <w:p w14:paraId="125271BF"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Михеев</w:t>
            </w:r>
          </w:p>
        </w:tc>
        <w:tc>
          <w:tcPr>
            <w:tcW w:w="1948" w:type="dxa"/>
            <w:gridSpan w:val="2"/>
            <w:tcBorders>
              <w:top w:val="single" w:sz="4" w:space="0" w:color="auto"/>
              <w:left w:val="single" w:sz="4" w:space="0" w:color="auto"/>
            </w:tcBorders>
            <w:shd w:val="clear" w:color="auto" w:fill="auto"/>
          </w:tcPr>
          <w:p w14:paraId="7FE26B53" w14:textId="77777777" w:rsidR="00890990" w:rsidRPr="00E14102" w:rsidRDefault="00890990" w:rsidP="00E14102">
            <w:pPr>
              <w:jc w:val="both"/>
              <w:rPr>
                <w:color w:val="0070C0"/>
                <w:sz w:val="16"/>
                <w:szCs w:val="16"/>
              </w:rPr>
            </w:pPr>
          </w:p>
        </w:tc>
        <w:tc>
          <w:tcPr>
            <w:tcW w:w="806" w:type="dxa"/>
            <w:tcBorders>
              <w:top w:val="single" w:sz="4" w:space="0" w:color="auto"/>
              <w:left w:val="single" w:sz="4" w:space="0" w:color="auto"/>
            </w:tcBorders>
            <w:shd w:val="clear" w:color="auto" w:fill="auto"/>
          </w:tcPr>
          <w:p w14:paraId="2C3C3F2C"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мг</w:t>
            </w:r>
          </w:p>
        </w:tc>
        <w:tc>
          <w:tcPr>
            <w:tcW w:w="485" w:type="dxa"/>
            <w:tcBorders>
              <w:top w:val="single" w:sz="4" w:space="0" w:color="auto"/>
              <w:left w:val="single" w:sz="4" w:space="0" w:color="auto"/>
            </w:tcBorders>
            <w:shd w:val="clear" w:color="auto" w:fill="auto"/>
          </w:tcPr>
          <w:p w14:paraId="1E5043B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20.06</w:t>
            </w:r>
          </w:p>
        </w:tc>
        <w:tc>
          <w:tcPr>
            <w:tcW w:w="566" w:type="dxa"/>
            <w:tcBorders>
              <w:top w:val="single" w:sz="4" w:space="0" w:color="auto"/>
              <w:left w:val="single" w:sz="4" w:space="0" w:color="auto"/>
            </w:tcBorders>
            <w:shd w:val="clear" w:color="auto" w:fill="auto"/>
          </w:tcPr>
          <w:p w14:paraId="084391D0"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0-05</w:t>
            </w:r>
          </w:p>
        </w:tc>
        <w:tc>
          <w:tcPr>
            <w:tcW w:w="562" w:type="dxa"/>
            <w:tcBorders>
              <w:top w:val="single" w:sz="4" w:space="0" w:color="auto"/>
              <w:left w:val="single" w:sz="4" w:space="0" w:color="auto"/>
            </w:tcBorders>
            <w:shd w:val="clear" w:color="auto" w:fill="auto"/>
          </w:tcPr>
          <w:p w14:paraId="233D9E79"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0-18</w:t>
            </w:r>
          </w:p>
        </w:tc>
        <w:tc>
          <w:tcPr>
            <w:tcW w:w="322" w:type="dxa"/>
            <w:tcBorders>
              <w:top w:val="single" w:sz="4" w:space="0" w:color="auto"/>
              <w:left w:val="single" w:sz="4" w:space="0" w:color="auto"/>
            </w:tcBorders>
            <w:shd w:val="clear" w:color="auto" w:fill="auto"/>
          </w:tcPr>
          <w:p w14:paraId="0DF54D7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w:t>
            </w:r>
          </w:p>
        </w:tc>
        <w:tc>
          <w:tcPr>
            <w:tcW w:w="2496" w:type="dxa"/>
            <w:tcBorders>
              <w:top w:val="single" w:sz="4" w:space="0" w:color="auto"/>
              <w:left w:val="single" w:sz="4" w:space="0" w:color="auto"/>
            </w:tcBorders>
            <w:shd w:val="clear" w:color="auto" w:fill="auto"/>
          </w:tcPr>
          <w:p w14:paraId="16AAA3D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Перелёт Щёлково-Москва</w:t>
            </w:r>
          </w:p>
        </w:tc>
        <w:tc>
          <w:tcPr>
            <w:tcW w:w="883" w:type="dxa"/>
            <w:tcBorders>
              <w:top w:val="single" w:sz="4" w:space="0" w:color="auto"/>
              <w:left w:val="single" w:sz="4" w:space="0" w:color="auto"/>
            </w:tcBorders>
            <w:shd w:val="clear" w:color="auto" w:fill="auto"/>
          </w:tcPr>
          <w:p w14:paraId="2B5BD9AD"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Выполнено</w:t>
            </w:r>
          </w:p>
        </w:tc>
      </w:tr>
      <w:tr w:rsidR="00890990" w:rsidRPr="00E14102" w14:paraId="74E63B0F" w14:textId="77777777" w:rsidTr="003D0776">
        <w:trPr>
          <w:trHeight w:hRule="exact" w:val="475"/>
          <w:jc w:val="center"/>
        </w:trPr>
        <w:tc>
          <w:tcPr>
            <w:tcW w:w="413" w:type="dxa"/>
            <w:vMerge w:val="restart"/>
            <w:tcBorders>
              <w:top w:val="single" w:sz="4" w:space="0" w:color="auto"/>
              <w:left w:val="single" w:sz="4" w:space="0" w:color="auto"/>
            </w:tcBorders>
            <w:shd w:val="clear" w:color="auto" w:fill="auto"/>
          </w:tcPr>
          <w:p w14:paraId="7B3E3D3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18</w:t>
            </w:r>
          </w:p>
        </w:tc>
        <w:tc>
          <w:tcPr>
            <w:tcW w:w="725" w:type="dxa"/>
            <w:tcBorders>
              <w:top w:val="single" w:sz="4" w:space="0" w:color="auto"/>
              <w:left w:val="single" w:sz="4" w:space="0" w:color="auto"/>
            </w:tcBorders>
            <w:shd w:val="clear" w:color="auto" w:fill="auto"/>
          </w:tcPr>
          <w:p w14:paraId="1DC07B39"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Рыбушкин</w:t>
            </w:r>
          </w:p>
        </w:tc>
        <w:tc>
          <w:tcPr>
            <w:tcW w:w="974" w:type="dxa"/>
            <w:tcBorders>
              <w:top w:val="single" w:sz="4" w:space="0" w:color="auto"/>
              <w:left w:val="single" w:sz="4" w:space="0" w:color="auto"/>
            </w:tcBorders>
            <w:shd w:val="clear" w:color="auto" w:fill="auto"/>
          </w:tcPr>
          <w:p w14:paraId="7C43EB62"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кинооператор</w:t>
            </w:r>
          </w:p>
        </w:tc>
        <w:tc>
          <w:tcPr>
            <w:tcW w:w="974" w:type="dxa"/>
            <w:tcBorders>
              <w:top w:val="single" w:sz="4" w:space="0" w:color="auto"/>
              <w:left w:val="single" w:sz="4" w:space="0" w:color="auto"/>
            </w:tcBorders>
            <w:shd w:val="clear" w:color="auto" w:fill="auto"/>
          </w:tcPr>
          <w:p w14:paraId="54A9F8D9"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Горюнов П.</w:t>
            </w:r>
          </w:p>
        </w:tc>
        <w:tc>
          <w:tcPr>
            <w:tcW w:w="806" w:type="dxa"/>
            <w:tcBorders>
              <w:top w:val="single" w:sz="4" w:space="0" w:color="auto"/>
              <w:left w:val="single" w:sz="4" w:space="0" w:color="auto"/>
            </w:tcBorders>
            <w:shd w:val="clear" w:color="auto" w:fill="auto"/>
          </w:tcPr>
          <w:p w14:paraId="17BC8C8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Р-5 №5524</w:t>
            </w:r>
          </w:p>
        </w:tc>
        <w:tc>
          <w:tcPr>
            <w:tcW w:w="485" w:type="dxa"/>
            <w:tcBorders>
              <w:top w:val="single" w:sz="4" w:space="0" w:color="auto"/>
              <w:left w:val="single" w:sz="4" w:space="0" w:color="auto"/>
            </w:tcBorders>
            <w:shd w:val="clear" w:color="auto" w:fill="auto"/>
          </w:tcPr>
          <w:p w14:paraId="3768D065" w14:textId="77777777" w:rsidR="00890990" w:rsidRPr="00E14102" w:rsidRDefault="00890990" w:rsidP="00E14102">
            <w:pPr>
              <w:jc w:val="both"/>
              <w:rPr>
                <w:color w:val="0070C0"/>
                <w:sz w:val="16"/>
                <w:szCs w:val="16"/>
              </w:rPr>
            </w:pPr>
          </w:p>
        </w:tc>
        <w:tc>
          <w:tcPr>
            <w:tcW w:w="566" w:type="dxa"/>
            <w:tcBorders>
              <w:top w:val="single" w:sz="4" w:space="0" w:color="auto"/>
              <w:left w:val="single" w:sz="4" w:space="0" w:color="auto"/>
            </w:tcBorders>
            <w:shd w:val="clear" w:color="auto" w:fill="auto"/>
          </w:tcPr>
          <w:p w14:paraId="4B0F7DF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0-10</w:t>
            </w:r>
          </w:p>
        </w:tc>
        <w:tc>
          <w:tcPr>
            <w:tcW w:w="562" w:type="dxa"/>
            <w:tcBorders>
              <w:top w:val="single" w:sz="4" w:space="0" w:color="auto"/>
              <w:left w:val="single" w:sz="4" w:space="0" w:color="auto"/>
            </w:tcBorders>
            <w:shd w:val="clear" w:color="auto" w:fill="auto"/>
          </w:tcPr>
          <w:p w14:paraId="2C61682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0-30</w:t>
            </w:r>
          </w:p>
        </w:tc>
        <w:tc>
          <w:tcPr>
            <w:tcW w:w="322" w:type="dxa"/>
            <w:tcBorders>
              <w:top w:val="single" w:sz="4" w:space="0" w:color="auto"/>
              <w:left w:val="single" w:sz="4" w:space="0" w:color="auto"/>
            </w:tcBorders>
            <w:shd w:val="clear" w:color="auto" w:fill="auto"/>
          </w:tcPr>
          <w:p w14:paraId="2FE60CD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1</w:t>
            </w:r>
          </w:p>
        </w:tc>
        <w:tc>
          <w:tcPr>
            <w:tcW w:w="2496" w:type="dxa"/>
            <w:tcBorders>
              <w:top w:val="single" w:sz="4" w:space="0" w:color="auto"/>
              <w:left w:val="single" w:sz="4" w:space="0" w:color="auto"/>
            </w:tcBorders>
            <w:shd w:val="clear" w:color="auto" w:fill="auto"/>
          </w:tcPr>
          <w:p w14:paraId="278872EC"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Киносъёмка МГ и И-5 в полёте</w:t>
            </w:r>
          </w:p>
        </w:tc>
        <w:tc>
          <w:tcPr>
            <w:tcW w:w="883" w:type="dxa"/>
            <w:tcBorders>
              <w:top w:val="single" w:sz="4" w:space="0" w:color="auto"/>
              <w:left w:val="single" w:sz="4" w:space="0" w:color="auto"/>
            </w:tcBorders>
            <w:shd w:val="clear" w:color="auto" w:fill="auto"/>
            <w:vAlign w:val="bottom"/>
          </w:tcPr>
          <w:p w14:paraId="38AD8C2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color w:val="0070C0"/>
                <w:sz w:val="16"/>
                <w:szCs w:val="16"/>
                <w:lang w:bidi="ru-RU"/>
              </w:rPr>
              <w:t>Не выполне</w:t>
            </w:r>
            <w:r w:rsidRPr="00E14102">
              <w:rPr>
                <w:rFonts w:ascii="Times New Roman" w:eastAsia="Times New Roman" w:hAnsi="Times New Roman" w:cs="Times New Roman"/>
                <w:color w:val="0070C0"/>
                <w:sz w:val="16"/>
                <w:szCs w:val="16"/>
                <w:lang w:bidi="ru-RU"/>
              </w:rPr>
              <w:softHyphen/>
              <w:t>но вследствие катастрофы</w:t>
            </w:r>
          </w:p>
        </w:tc>
      </w:tr>
      <w:tr w:rsidR="00890990" w:rsidRPr="00E14102" w14:paraId="2B5733AD" w14:textId="77777777" w:rsidTr="003D0776">
        <w:trPr>
          <w:trHeight w:hRule="exact" w:val="322"/>
          <w:jc w:val="center"/>
        </w:trPr>
        <w:tc>
          <w:tcPr>
            <w:tcW w:w="413" w:type="dxa"/>
            <w:vMerge/>
            <w:tcBorders>
              <w:left w:val="single" w:sz="4" w:space="0" w:color="auto"/>
            </w:tcBorders>
            <w:shd w:val="clear" w:color="auto" w:fill="auto"/>
          </w:tcPr>
          <w:p w14:paraId="3F74A390" w14:textId="77777777" w:rsidR="00890990" w:rsidRPr="00E14102" w:rsidRDefault="00890990" w:rsidP="00E14102">
            <w:pPr>
              <w:jc w:val="both"/>
              <w:rPr>
                <w:color w:val="0070C0"/>
                <w:sz w:val="16"/>
                <w:szCs w:val="16"/>
              </w:rPr>
            </w:pPr>
          </w:p>
        </w:tc>
        <w:tc>
          <w:tcPr>
            <w:tcW w:w="725" w:type="dxa"/>
            <w:tcBorders>
              <w:top w:val="single" w:sz="4" w:space="0" w:color="auto"/>
              <w:left w:val="single" w:sz="4" w:space="0" w:color="auto"/>
            </w:tcBorders>
            <w:shd w:val="clear" w:color="auto" w:fill="auto"/>
          </w:tcPr>
          <w:p w14:paraId="78B3A18D"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Журов</w:t>
            </w:r>
          </w:p>
          <w:p w14:paraId="1E49A10D"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Михеев</w:t>
            </w:r>
          </w:p>
        </w:tc>
        <w:tc>
          <w:tcPr>
            <w:tcW w:w="1948" w:type="dxa"/>
            <w:gridSpan w:val="2"/>
            <w:tcBorders>
              <w:top w:val="single" w:sz="4" w:space="0" w:color="auto"/>
              <w:left w:val="single" w:sz="4" w:space="0" w:color="auto"/>
            </w:tcBorders>
            <w:shd w:val="clear" w:color="auto" w:fill="auto"/>
          </w:tcPr>
          <w:p w14:paraId="09B428E6" w14:textId="77777777" w:rsidR="00890990" w:rsidRPr="00E14102" w:rsidRDefault="00890990" w:rsidP="00E14102">
            <w:pPr>
              <w:jc w:val="both"/>
              <w:rPr>
                <w:color w:val="0070C0"/>
                <w:sz w:val="16"/>
                <w:szCs w:val="16"/>
              </w:rPr>
            </w:pPr>
          </w:p>
        </w:tc>
        <w:tc>
          <w:tcPr>
            <w:tcW w:w="806" w:type="dxa"/>
            <w:tcBorders>
              <w:top w:val="single" w:sz="4" w:space="0" w:color="auto"/>
              <w:left w:val="single" w:sz="4" w:space="0" w:color="auto"/>
            </w:tcBorders>
            <w:shd w:val="clear" w:color="auto" w:fill="auto"/>
          </w:tcPr>
          <w:p w14:paraId="5F91A35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МГ</w:t>
            </w:r>
          </w:p>
        </w:tc>
        <w:tc>
          <w:tcPr>
            <w:tcW w:w="485" w:type="dxa"/>
            <w:tcBorders>
              <w:top w:val="single" w:sz="4" w:space="0" w:color="auto"/>
              <w:left w:val="single" w:sz="4" w:space="0" w:color="auto"/>
            </w:tcBorders>
            <w:shd w:val="clear" w:color="auto" w:fill="auto"/>
          </w:tcPr>
          <w:p w14:paraId="7135469B" w14:textId="77777777" w:rsidR="00890990" w:rsidRPr="00E14102" w:rsidRDefault="00890990" w:rsidP="00E14102">
            <w:pPr>
              <w:jc w:val="both"/>
              <w:rPr>
                <w:color w:val="0070C0"/>
                <w:sz w:val="16"/>
                <w:szCs w:val="16"/>
              </w:rPr>
            </w:pPr>
          </w:p>
        </w:tc>
        <w:tc>
          <w:tcPr>
            <w:tcW w:w="566" w:type="dxa"/>
            <w:tcBorders>
              <w:top w:val="single" w:sz="4" w:space="0" w:color="auto"/>
              <w:left w:val="single" w:sz="4" w:space="0" w:color="auto"/>
            </w:tcBorders>
            <w:shd w:val="clear" w:color="auto" w:fill="auto"/>
          </w:tcPr>
          <w:p w14:paraId="23E29302" w14:textId="77777777" w:rsidR="00890990" w:rsidRPr="00E14102" w:rsidRDefault="00890990" w:rsidP="00E14102">
            <w:pPr>
              <w:jc w:val="both"/>
              <w:rPr>
                <w:color w:val="0070C0"/>
                <w:sz w:val="16"/>
                <w:szCs w:val="16"/>
              </w:rPr>
            </w:pPr>
          </w:p>
        </w:tc>
        <w:tc>
          <w:tcPr>
            <w:tcW w:w="562" w:type="dxa"/>
            <w:tcBorders>
              <w:top w:val="single" w:sz="4" w:space="0" w:color="auto"/>
              <w:left w:val="single" w:sz="4" w:space="0" w:color="auto"/>
            </w:tcBorders>
            <w:shd w:val="clear" w:color="auto" w:fill="auto"/>
          </w:tcPr>
          <w:p w14:paraId="462E8061" w14:textId="77777777" w:rsidR="00890990" w:rsidRPr="00E14102" w:rsidRDefault="00890990" w:rsidP="00E14102">
            <w:pPr>
              <w:jc w:val="both"/>
              <w:rPr>
                <w:color w:val="0070C0"/>
                <w:sz w:val="16"/>
                <w:szCs w:val="16"/>
              </w:rPr>
            </w:pPr>
          </w:p>
        </w:tc>
        <w:tc>
          <w:tcPr>
            <w:tcW w:w="322" w:type="dxa"/>
            <w:tcBorders>
              <w:top w:val="single" w:sz="4" w:space="0" w:color="auto"/>
              <w:left w:val="single" w:sz="4" w:space="0" w:color="auto"/>
            </w:tcBorders>
            <w:shd w:val="clear" w:color="auto" w:fill="auto"/>
          </w:tcPr>
          <w:p w14:paraId="00FFDC1D" w14:textId="77777777" w:rsidR="00890990" w:rsidRPr="00E14102" w:rsidRDefault="00890990" w:rsidP="00E14102">
            <w:pPr>
              <w:jc w:val="both"/>
              <w:rPr>
                <w:color w:val="0070C0"/>
                <w:sz w:val="16"/>
                <w:szCs w:val="16"/>
              </w:rPr>
            </w:pPr>
          </w:p>
        </w:tc>
        <w:tc>
          <w:tcPr>
            <w:tcW w:w="2496" w:type="dxa"/>
            <w:tcBorders>
              <w:top w:val="single" w:sz="4" w:space="0" w:color="auto"/>
              <w:left w:val="single" w:sz="4" w:space="0" w:color="auto"/>
            </w:tcBorders>
            <w:shd w:val="clear" w:color="auto" w:fill="auto"/>
          </w:tcPr>
          <w:p w14:paraId="72ABF3F6" w14:textId="77777777" w:rsidR="00890990" w:rsidRPr="00E14102" w:rsidRDefault="00890990" w:rsidP="00E14102">
            <w:pPr>
              <w:jc w:val="both"/>
              <w:rPr>
                <w:color w:val="0070C0"/>
                <w:sz w:val="16"/>
                <w:szCs w:val="16"/>
              </w:rPr>
            </w:pPr>
          </w:p>
        </w:tc>
        <w:tc>
          <w:tcPr>
            <w:tcW w:w="883" w:type="dxa"/>
            <w:tcBorders>
              <w:top w:val="single" w:sz="4" w:space="0" w:color="auto"/>
              <w:left w:val="single" w:sz="4" w:space="0" w:color="auto"/>
            </w:tcBorders>
            <w:shd w:val="clear" w:color="auto" w:fill="auto"/>
          </w:tcPr>
          <w:p w14:paraId="49BB23BF"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Катастрофа</w:t>
            </w:r>
          </w:p>
        </w:tc>
      </w:tr>
      <w:tr w:rsidR="00890990" w:rsidRPr="00E14102" w14:paraId="7C98EB81" w14:textId="77777777" w:rsidTr="003D0776">
        <w:trPr>
          <w:trHeight w:hRule="exact" w:val="322"/>
          <w:jc w:val="center"/>
        </w:trPr>
        <w:tc>
          <w:tcPr>
            <w:tcW w:w="413" w:type="dxa"/>
            <w:vMerge/>
            <w:tcBorders>
              <w:left w:val="single" w:sz="4" w:space="0" w:color="auto"/>
              <w:bottom w:val="single" w:sz="4" w:space="0" w:color="auto"/>
            </w:tcBorders>
            <w:shd w:val="clear" w:color="auto" w:fill="auto"/>
          </w:tcPr>
          <w:p w14:paraId="4B662CCB" w14:textId="77777777" w:rsidR="00890990" w:rsidRPr="00E14102" w:rsidRDefault="00890990" w:rsidP="00E14102">
            <w:pPr>
              <w:jc w:val="both"/>
              <w:rPr>
                <w:color w:val="0070C0"/>
                <w:sz w:val="16"/>
                <w:szCs w:val="16"/>
              </w:rPr>
            </w:pPr>
          </w:p>
        </w:tc>
        <w:tc>
          <w:tcPr>
            <w:tcW w:w="725" w:type="dxa"/>
            <w:tcBorders>
              <w:top w:val="single" w:sz="4" w:space="0" w:color="auto"/>
              <w:left w:val="single" w:sz="4" w:space="0" w:color="auto"/>
              <w:bottom w:val="single" w:sz="4" w:space="0" w:color="auto"/>
            </w:tcBorders>
            <w:shd w:val="clear" w:color="auto" w:fill="auto"/>
          </w:tcPr>
          <w:p w14:paraId="29D14363"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Елагин</w:t>
            </w:r>
          </w:p>
        </w:tc>
        <w:tc>
          <w:tcPr>
            <w:tcW w:w="974" w:type="dxa"/>
            <w:tcBorders>
              <w:top w:val="single" w:sz="4" w:space="0" w:color="auto"/>
              <w:left w:val="single" w:sz="4" w:space="0" w:color="auto"/>
              <w:bottom w:val="single" w:sz="4" w:space="0" w:color="auto"/>
            </w:tcBorders>
            <w:shd w:val="clear" w:color="auto" w:fill="auto"/>
          </w:tcPr>
          <w:p w14:paraId="5C12E60F" w14:textId="77777777" w:rsidR="00890990" w:rsidRPr="00E14102" w:rsidRDefault="00890990" w:rsidP="00E14102">
            <w:pPr>
              <w:jc w:val="both"/>
              <w:rPr>
                <w:color w:val="0070C0"/>
                <w:sz w:val="16"/>
                <w:szCs w:val="16"/>
              </w:rPr>
            </w:pPr>
          </w:p>
        </w:tc>
        <w:tc>
          <w:tcPr>
            <w:tcW w:w="974" w:type="dxa"/>
            <w:tcBorders>
              <w:top w:val="single" w:sz="4" w:space="0" w:color="auto"/>
              <w:left w:val="single" w:sz="4" w:space="0" w:color="auto"/>
              <w:bottom w:val="single" w:sz="4" w:space="0" w:color="auto"/>
            </w:tcBorders>
            <w:shd w:val="clear" w:color="auto" w:fill="auto"/>
          </w:tcPr>
          <w:p w14:paraId="5C10B706"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Кудишин</w:t>
            </w:r>
          </w:p>
        </w:tc>
        <w:tc>
          <w:tcPr>
            <w:tcW w:w="806" w:type="dxa"/>
            <w:tcBorders>
              <w:top w:val="single" w:sz="4" w:space="0" w:color="auto"/>
              <w:left w:val="single" w:sz="4" w:space="0" w:color="auto"/>
              <w:bottom w:val="single" w:sz="4" w:space="0" w:color="auto"/>
            </w:tcBorders>
            <w:shd w:val="clear" w:color="auto" w:fill="auto"/>
          </w:tcPr>
          <w:p w14:paraId="084A3866"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И-5 №4304</w:t>
            </w:r>
          </w:p>
        </w:tc>
        <w:tc>
          <w:tcPr>
            <w:tcW w:w="485" w:type="dxa"/>
            <w:tcBorders>
              <w:top w:val="single" w:sz="4" w:space="0" w:color="auto"/>
              <w:left w:val="single" w:sz="4" w:space="0" w:color="auto"/>
              <w:bottom w:val="single" w:sz="4" w:space="0" w:color="auto"/>
            </w:tcBorders>
            <w:shd w:val="clear" w:color="auto" w:fill="auto"/>
          </w:tcPr>
          <w:p w14:paraId="22626504" w14:textId="77777777" w:rsidR="00890990" w:rsidRPr="00E14102" w:rsidRDefault="00890990" w:rsidP="00E14102">
            <w:pPr>
              <w:jc w:val="both"/>
              <w:rPr>
                <w:color w:val="0070C0"/>
                <w:sz w:val="16"/>
                <w:szCs w:val="16"/>
              </w:rPr>
            </w:pPr>
          </w:p>
        </w:tc>
        <w:tc>
          <w:tcPr>
            <w:tcW w:w="566" w:type="dxa"/>
            <w:tcBorders>
              <w:top w:val="single" w:sz="4" w:space="0" w:color="auto"/>
              <w:left w:val="single" w:sz="4" w:space="0" w:color="auto"/>
              <w:bottom w:val="single" w:sz="4" w:space="0" w:color="auto"/>
            </w:tcBorders>
            <w:shd w:val="clear" w:color="auto" w:fill="auto"/>
          </w:tcPr>
          <w:p w14:paraId="33CA1AA1" w14:textId="77777777" w:rsidR="00890990" w:rsidRPr="00E14102" w:rsidRDefault="00890990" w:rsidP="00E14102">
            <w:pPr>
              <w:jc w:val="both"/>
              <w:rPr>
                <w:color w:val="0070C0"/>
                <w:sz w:val="16"/>
                <w:szCs w:val="16"/>
              </w:rPr>
            </w:pPr>
          </w:p>
        </w:tc>
        <w:tc>
          <w:tcPr>
            <w:tcW w:w="562" w:type="dxa"/>
            <w:tcBorders>
              <w:top w:val="single" w:sz="4" w:space="0" w:color="auto"/>
              <w:left w:val="single" w:sz="4" w:space="0" w:color="auto"/>
              <w:bottom w:val="single" w:sz="4" w:space="0" w:color="auto"/>
            </w:tcBorders>
            <w:shd w:val="clear" w:color="auto" w:fill="auto"/>
          </w:tcPr>
          <w:p w14:paraId="6B6C5399" w14:textId="77777777" w:rsidR="00890990" w:rsidRPr="00E14102" w:rsidRDefault="00890990" w:rsidP="00E14102">
            <w:pPr>
              <w:jc w:val="both"/>
              <w:rPr>
                <w:color w:val="0070C0"/>
                <w:sz w:val="16"/>
                <w:szCs w:val="16"/>
              </w:rPr>
            </w:pPr>
          </w:p>
        </w:tc>
        <w:tc>
          <w:tcPr>
            <w:tcW w:w="322" w:type="dxa"/>
            <w:tcBorders>
              <w:top w:val="single" w:sz="4" w:space="0" w:color="auto"/>
              <w:left w:val="single" w:sz="4" w:space="0" w:color="auto"/>
              <w:bottom w:val="single" w:sz="4" w:space="0" w:color="auto"/>
            </w:tcBorders>
            <w:shd w:val="clear" w:color="auto" w:fill="auto"/>
          </w:tcPr>
          <w:p w14:paraId="35D00EDE" w14:textId="77777777" w:rsidR="00890990" w:rsidRPr="00E14102" w:rsidRDefault="00890990" w:rsidP="00E14102">
            <w:pPr>
              <w:jc w:val="both"/>
              <w:rPr>
                <w:color w:val="0070C0"/>
                <w:sz w:val="16"/>
                <w:szCs w:val="16"/>
              </w:rPr>
            </w:pPr>
          </w:p>
        </w:tc>
        <w:tc>
          <w:tcPr>
            <w:tcW w:w="2496" w:type="dxa"/>
            <w:tcBorders>
              <w:top w:val="single" w:sz="4" w:space="0" w:color="auto"/>
              <w:left w:val="single" w:sz="4" w:space="0" w:color="auto"/>
              <w:bottom w:val="single" w:sz="4" w:space="0" w:color="auto"/>
            </w:tcBorders>
            <w:shd w:val="clear" w:color="auto" w:fill="auto"/>
          </w:tcPr>
          <w:p w14:paraId="09D71EE9"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Сопровождение «Максима Горького» для киносъемки</w:t>
            </w:r>
          </w:p>
        </w:tc>
        <w:tc>
          <w:tcPr>
            <w:tcW w:w="883" w:type="dxa"/>
            <w:tcBorders>
              <w:top w:val="single" w:sz="4" w:space="0" w:color="auto"/>
              <w:left w:val="single" w:sz="4" w:space="0" w:color="auto"/>
              <w:bottom w:val="single" w:sz="4" w:space="0" w:color="auto"/>
            </w:tcBorders>
            <w:shd w:val="clear" w:color="auto" w:fill="auto"/>
          </w:tcPr>
          <w:p w14:paraId="1CC9965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eastAsia="Times New Roman" w:hAnsi="Times New Roman" w:cs="Times New Roman"/>
                <w:i/>
                <w:iCs/>
                <w:color w:val="0070C0"/>
                <w:sz w:val="16"/>
                <w:szCs w:val="16"/>
                <w:lang w:bidi="ru-RU"/>
              </w:rPr>
              <w:t>Катастрофа</w:t>
            </w:r>
          </w:p>
        </w:tc>
      </w:tr>
    </w:tbl>
    <w:p w14:paraId="118FAFA6" w14:textId="77777777" w:rsidR="00890990" w:rsidRPr="00E14102" w:rsidRDefault="00890990" w:rsidP="00E14102">
      <w:pPr>
        <w:pStyle w:val="aff9"/>
        <w:tabs>
          <w:tab w:val="left" w:pos="2453"/>
        </w:tabs>
        <w:spacing w:line="240" w:lineRule="auto"/>
        <w:jc w:val="both"/>
        <w:rPr>
          <w:rFonts w:ascii="Times New Roman" w:hAnsi="Times New Roman" w:cs="Times New Roman"/>
          <w:b w:val="0"/>
          <w:bCs w:val="0"/>
          <w:color w:val="0070C0"/>
        </w:rPr>
      </w:pPr>
      <w:r w:rsidRPr="00E14102">
        <w:rPr>
          <w:rFonts w:ascii="Times New Roman" w:hAnsi="Times New Roman" w:cs="Times New Roman"/>
          <w:b w:val="0"/>
          <w:bCs w:val="0"/>
          <w:color w:val="0070C0"/>
          <w:lang w:bidi="ru-RU"/>
        </w:rPr>
        <w:t>Итого за май 1935 года:</w:t>
      </w:r>
      <w:r w:rsidRPr="00E14102">
        <w:rPr>
          <w:rFonts w:ascii="Times New Roman" w:hAnsi="Times New Roman" w:cs="Times New Roman"/>
          <w:b w:val="0"/>
          <w:bCs w:val="0"/>
          <w:color w:val="0070C0"/>
          <w:lang w:bidi="ru-RU"/>
        </w:rPr>
        <w:tab/>
        <w:t>2 часа 58 минут 10 посадок (21240).</w:t>
      </w:r>
    </w:p>
    <w:p w14:paraId="5052297A" w14:textId="77777777" w:rsidR="00890990" w:rsidRPr="00E14102" w:rsidRDefault="00890990" w:rsidP="00E14102">
      <w:pPr>
        <w:pStyle w:val="144"/>
        <w:spacing w:after="0" w:line="240" w:lineRule="auto"/>
        <w:rPr>
          <w:rFonts w:ascii="Times New Roman" w:hAnsi="Times New Roman" w:cs="Times New Roman"/>
          <w:color w:val="0070C0"/>
          <w:sz w:val="16"/>
          <w:szCs w:val="16"/>
        </w:rPr>
      </w:pPr>
      <w:bookmarkStart w:id="16" w:name="bookmark115"/>
      <w:r w:rsidRPr="00E14102">
        <w:rPr>
          <w:rFonts w:ascii="Times New Roman" w:eastAsia="Times New Roman" w:hAnsi="Times New Roman" w:cs="Times New Roman"/>
          <w:color w:val="0070C0"/>
          <w:sz w:val="16"/>
          <w:szCs w:val="16"/>
          <w:lang w:eastAsia="ru-RU" w:bidi="ru-RU"/>
        </w:rPr>
        <w:t>Полеты летчика-испытателя Н.П. Благина в 1935 году</w:t>
      </w:r>
      <w:bookmarkEnd w:id="16"/>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1858"/>
        <w:gridCol w:w="1541"/>
        <w:gridCol w:w="898"/>
        <w:gridCol w:w="4963"/>
      </w:tblGrid>
      <w:tr w:rsidR="00890990" w:rsidRPr="00E14102" w14:paraId="4E7C8EAF" w14:textId="77777777" w:rsidTr="003D0776">
        <w:trPr>
          <w:trHeight w:hRule="exact" w:val="744"/>
        </w:trPr>
        <w:tc>
          <w:tcPr>
            <w:tcW w:w="1858" w:type="dxa"/>
            <w:shd w:val="clear" w:color="auto" w:fill="auto"/>
            <w:vAlign w:val="center"/>
          </w:tcPr>
          <w:p w14:paraId="7B0E13A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Летательный аппарат</w:t>
            </w:r>
          </w:p>
        </w:tc>
        <w:tc>
          <w:tcPr>
            <w:tcW w:w="1541" w:type="dxa"/>
            <w:shd w:val="clear" w:color="auto" w:fill="auto"/>
            <w:vAlign w:val="bottom"/>
          </w:tcPr>
          <w:p w14:paraId="66158BF8"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Суммарный налет час-мин.</w:t>
            </w:r>
          </w:p>
        </w:tc>
        <w:tc>
          <w:tcPr>
            <w:tcW w:w="898" w:type="dxa"/>
            <w:shd w:val="clear" w:color="auto" w:fill="auto"/>
            <w:vAlign w:val="center"/>
          </w:tcPr>
          <w:p w14:paraId="63A784E1"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Кол-во полетов</w:t>
            </w:r>
          </w:p>
        </w:tc>
        <w:tc>
          <w:tcPr>
            <w:tcW w:w="4963" w:type="dxa"/>
            <w:shd w:val="clear" w:color="auto" w:fill="auto"/>
          </w:tcPr>
          <w:p w14:paraId="2CA19923"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Примечания</w:t>
            </w:r>
          </w:p>
        </w:tc>
      </w:tr>
      <w:tr w:rsidR="00890990" w:rsidRPr="00E14102" w14:paraId="162D3C04" w14:textId="77777777" w:rsidTr="003D0776">
        <w:trPr>
          <w:trHeight w:hRule="exact" w:val="264"/>
        </w:trPr>
        <w:tc>
          <w:tcPr>
            <w:tcW w:w="1858" w:type="dxa"/>
            <w:shd w:val="clear" w:color="auto" w:fill="auto"/>
            <w:vAlign w:val="bottom"/>
          </w:tcPr>
          <w:p w14:paraId="1B7AA78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Автожир А-6</w:t>
            </w:r>
          </w:p>
        </w:tc>
        <w:tc>
          <w:tcPr>
            <w:tcW w:w="1541" w:type="dxa"/>
            <w:shd w:val="clear" w:color="auto" w:fill="auto"/>
            <w:vAlign w:val="bottom"/>
          </w:tcPr>
          <w:p w14:paraId="4B7A3C6A"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4-51</w:t>
            </w:r>
          </w:p>
        </w:tc>
        <w:tc>
          <w:tcPr>
            <w:tcW w:w="898" w:type="dxa"/>
            <w:shd w:val="clear" w:color="auto" w:fill="auto"/>
            <w:vAlign w:val="bottom"/>
          </w:tcPr>
          <w:p w14:paraId="2B6C7BD6"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8</w:t>
            </w:r>
          </w:p>
        </w:tc>
        <w:tc>
          <w:tcPr>
            <w:tcW w:w="4963" w:type="dxa"/>
            <w:shd w:val="clear" w:color="auto" w:fill="auto"/>
            <w:vAlign w:val="bottom"/>
          </w:tcPr>
          <w:p w14:paraId="7BD78599"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К) января, определение взлетно-посадочных свойств.</w:t>
            </w:r>
          </w:p>
        </w:tc>
      </w:tr>
      <w:tr w:rsidR="00890990" w:rsidRPr="00E14102" w14:paraId="6B759428" w14:textId="77777777" w:rsidTr="003D0776">
        <w:trPr>
          <w:trHeight w:hRule="exact" w:val="221"/>
        </w:trPr>
        <w:tc>
          <w:tcPr>
            <w:tcW w:w="1858" w:type="dxa"/>
            <w:shd w:val="clear" w:color="auto" w:fill="auto"/>
          </w:tcPr>
          <w:p w14:paraId="60641BA0"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Автожир А-7</w:t>
            </w:r>
          </w:p>
        </w:tc>
        <w:tc>
          <w:tcPr>
            <w:tcW w:w="1541" w:type="dxa"/>
            <w:shd w:val="clear" w:color="auto" w:fill="auto"/>
          </w:tcPr>
          <w:p w14:paraId="7B84AF79"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0-48</w:t>
            </w:r>
          </w:p>
        </w:tc>
        <w:tc>
          <w:tcPr>
            <w:tcW w:w="898" w:type="dxa"/>
            <w:shd w:val="clear" w:color="auto" w:fill="auto"/>
          </w:tcPr>
          <w:p w14:paraId="2C4CB9C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4</w:t>
            </w:r>
          </w:p>
        </w:tc>
        <w:tc>
          <w:tcPr>
            <w:tcW w:w="4963" w:type="dxa"/>
            <w:shd w:val="clear" w:color="auto" w:fill="auto"/>
          </w:tcPr>
          <w:p w14:paraId="1680EFA0" w14:textId="77777777" w:rsidR="00890990" w:rsidRPr="00E14102" w:rsidRDefault="00890990" w:rsidP="00E14102">
            <w:pPr>
              <w:jc w:val="both"/>
              <w:rPr>
                <w:color w:val="0070C0"/>
                <w:sz w:val="16"/>
                <w:szCs w:val="16"/>
              </w:rPr>
            </w:pPr>
          </w:p>
        </w:tc>
      </w:tr>
      <w:tr w:rsidR="00890990" w:rsidRPr="00E14102" w14:paraId="79CFA25B" w14:textId="77777777" w:rsidTr="003D0776">
        <w:trPr>
          <w:trHeight w:hRule="exact" w:val="226"/>
        </w:trPr>
        <w:tc>
          <w:tcPr>
            <w:tcW w:w="1858" w:type="dxa"/>
            <w:shd w:val="clear" w:color="auto" w:fill="auto"/>
          </w:tcPr>
          <w:p w14:paraId="18C1A3DE"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Автожир А-8</w:t>
            </w:r>
          </w:p>
        </w:tc>
        <w:tc>
          <w:tcPr>
            <w:tcW w:w="1541" w:type="dxa"/>
            <w:shd w:val="clear" w:color="auto" w:fill="auto"/>
          </w:tcPr>
          <w:p w14:paraId="57B82D53"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6-19</w:t>
            </w:r>
          </w:p>
        </w:tc>
        <w:tc>
          <w:tcPr>
            <w:tcW w:w="898" w:type="dxa"/>
            <w:shd w:val="clear" w:color="auto" w:fill="auto"/>
          </w:tcPr>
          <w:p w14:paraId="4FAFB366"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10</w:t>
            </w:r>
          </w:p>
        </w:tc>
        <w:tc>
          <w:tcPr>
            <w:tcW w:w="4963" w:type="dxa"/>
            <w:shd w:val="clear" w:color="auto" w:fill="auto"/>
          </w:tcPr>
          <w:p w14:paraId="22823FA0" w14:textId="77777777" w:rsidR="00890990" w:rsidRPr="00E14102" w:rsidRDefault="00890990" w:rsidP="00E14102">
            <w:pPr>
              <w:jc w:val="both"/>
              <w:rPr>
                <w:color w:val="0070C0"/>
                <w:sz w:val="16"/>
                <w:szCs w:val="16"/>
              </w:rPr>
            </w:pPr>
          </w:p>
        </w:tc>
      </w:tr>
      <w:tr w:rsidR="00890990" w:rsidRPr="00E14102" w14:paraId="076E0344" w14:textId="77777777" w:rsidTr="003D0776">
        <w:trPr>
          <w:trHeight w:hRule="exact" w:val="658"/>
        </w:trPr>
        <w:tc>
          <w:tcPr>
            <w:tcW w:w="1858" w:type="dxa"/>
            <w:shd w:val="clear" w:color="auto" w:fill="auto"/>
          </w:tcPr>
          <w:p w14:paraId="2D9476F8"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ДИП (АНТ-29)</w:t>
            </w:r>
          </w:p>
        </w:tc>
        <w:tc>
          <w:tcPr>
            <w:tcW w:w="1541" w:type="dxa"/>
            <w:shd w:val="clear" w:color="auto" w:fill="auto"/>
          </w:tcPr>
          <w:p w14:paraId="33A4CFF3"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0-57</w:t>
            </w:r>
          </w:p>
        </w:tc>
        <w:tc>
          <w:tcPr>
            <w:tcW w:w="898" w:type="dxa"/>
            <w:shd w:val="clear" w:color="auto" w:fill="auto"/>
          </w:tcPr>
          <w:p w14:paraId="54CA7E89"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4</w:t>
            </w:r>
          </w:p>
        </w:tc>
        <w:tc>
          <w:tcPr>
            <w:tcW w:w="4963" w:type="dxa"/>
            <w:shd w:val="clear" w:color="auto" w:fill="auto"/>
            <w:vAlign w:val="bottom"/>
          </w:tcPr>
          <w:p w14:paraId="77651EC4"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14 февраля 1935 г. состоялся первый полет самолета продолжительностью 10 минут.</w:t>
            </w:r>
          </w:p>
          <w:p w14:paraId="7D5A2C9A"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16 марта — проверка эффективности водяного радиатора.</w:t>
            </w:r>
          </w:p>
        </w:tc>
      </w:tr>
      <w:tr w:rsidR="00890990" w:rsidRPr="00E14102" w14:paraId="13DCB3A6" w14:textId="77777777" w:rsidTr="003D0776">
        <w:trPr>
          <w:trHeight w:hRule="exact" w:val="206"/>
        </w:trPr>
        <w:tc>
          <w:tcPr>
            <w:tcW w:w="1858" w:type="dxa"/>
            <w:shd w:val="clear" w:color="auto" w:fill="auto"/>
          </w:tcPr>
          <w:p w14:paraId="227FE9CC"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И-5</w:t>
            </w:r>
          </w:p>
        </w:tc>
        <w:tc>
          <w:tcPr>
            <w:tcW w:w="1541" w:type="dxa"/>
            <w:shd w:val="clear" w:color="auto" w:fill="auto"/>
          </w:tcPr>
          <w:p w14:paraId="20390363"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1-10</w:t>
            </w:r>
          </w:p>
        </w:tc>
        <w:tc>
          <w:tcPr>
            <w:tcW w:w="898" w:type="dxa"/>
            <w:shd w:val="clear" w:color="auto" w:fill="auto"/>
          </w:tcPr>
          <w:p w14:paraId="4643C35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2</w:t>
            </w:r>
          </w:p>
        </w:tc>
        <w:tc>
          <w:tcPr>
            <w:tcW w:w="4963" w:type="dxa"/>
            <w:shd w:val="clear" w:color="auto" w:fill="auto"/>
          </w:tcPr>
          <w:p w14:paraId="30AA6475" w14:textId="77777777" w:rsidR="00890990" w:rsidRPr="00E14102" w:rsidRDefault="00890990" w:rsidP="00E14102">
            <w:pPr>
              <w:jc w:val="both"/>
              <w:rPr>
                <w:color w:val="0070C0"/>
                <w:sz w:val="16"/>
                <w:szCs w:val="16"/>
              </w:rPr>
            </w:pPr>
          </w:p>
        </w:tc>
      </w:tr>
      <w:tr w:rsidR="00890990" w:rsidRPr="00E14102" w14:paraId="7007FBD7" w14:textId="77777777" w:rsidTr="003D0776">
        <w:trPr>
          <w:trHeight w:hRule="exact" w:val="221"/>
        </w:trPr>
        <w:tc>
          <w:tcPr>
            <w:tcW w:w="1858" w:type="dxa"/>
            <w:shd w:val="clear" w:color="auto" w:fill="auto"/>
            <w:vAlign w:val="bottom"/>
          </w:tcPr>
          <w:p w14:paraId="14E4A44D"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И-14</w:t>
            </w:r>
          </w:p>
        </w:tc>
        <w:tc>
          <w:tcPr>
            <w:tcW w:w="1541" w:type="dxa"/>
            <w:shd w:val="clear" w:color="auto" w:fill="auto"/>
            <w:vAlign w:val="bottom"/>
          </w:tcPr>
          <w:p w14:paraId="227FCBE8"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2-12</w:t>
            </w:r>
          </w:p>
        </w:tc>
        <w:tc>
          <w:tcPr>
            <w:tcW w:w="898" w:type="dxa"/>
            <w:shd w:val="clear" w:color="auto" w:fill="auto"/>
            <w:vAlign w:val="bottom"/>
          </w:tcPr>
          <w:p w14:paraId="1BBE4406"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3</w:t>
            </w:r>
          </w:p>
        </w:tc>
        <w:tc>
          <w:tcPr>
            <w:tcW w:w="4963" w:type="dxa"/>
            <w:shd w:val="clear" w:color="auto" w:fill="auto"/>
          </w:tcPr>
          <w:p w14:paraId="6D444B41" w14:textId="77777777" w:rsidR="00890990" w:rsidRPr="00E14102" w:rsidRDefault="00890990" w:rsidP="00E14102">
            <w:pPr>
              <w:jc w:val="both"/>
              <w:rPr>
                <w:color w:val="0070C0"/>
                <w:sz w:val="16"/>
                <w:szCs w:val="16"/>
              </w:rPr>
            </w:pPr>
          </w:p>
        </w:tc>
      </w:tr>
      <w:tr w:rsidR="00890990" w:rsidRPr="00E14102" w14:paraId="2B1B818B" w14:textId="77777777" w:rsidTr="003D0776">
        <w:trPr>
          <w:trHeight w:hRule="exact" w:val="221"/>
        </w:trPr>
        <w:tc>
          <w:tcPr>
            <w:tcW w:w="1858" w:type="dxa"/>
            <w:shd w:val="clear" w:color="auto" w:fill="auto"/>
            <w:vAlign w:val="bottom"/>
          </w:tcPr>
          <w:p w14:paraId="7D55516D"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lastRenderedPageBreak/>
              <w:t>СБ 2ИС</w:t>
            </w:r>
          </w:p>
        </w:tc>
        <w:tc>
          <w:tcPr>
            <w:tcW w:w="1541" w:type="dxa"/>
            <w:shd w:val="clear" w:color="auto" w:fill="auto"/>
            <w:vAlign w:val="bottom"/>
          </w:tcPr>
          <w:p w14:paraId="4D21B93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7-24</w:t>
            </w:r>
          </w:p>
        </w:tc>
        <w:tc>
          <w:tcPr>
            <w:tcW w:w="898" w:type="dxa"/>
            <w:shd w:val="clear" w:color="auto" w:fill="auto"/>
            <w:vAlign w:val="bottom"/>
          </w:tcPr>
          <w:p w14:paraId="21CB14C6"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12</w:t>
            </w:r>
          </w:p>
        </w:tc>
        <w:tc>
          <w:tcPr>
            <w:tcW w:w="4963" w:type="dxa"/>
            <w:shd w:val="clear" w:color="auto" w:fill="auto"/>
          </w:tcPr>
          <w:p w14:paraId="06E8C6B3" w14:textId="77777777" w:rsidR="00890990" w:rsidRPr="00E14102" w:rsidRDefault="00890990" w:rsidP="00E14102">
            <w:pPr>
              <w:jc w:val="both"/>
              <w:rPr>
                <w:color w:val="0070C0"/>
                <w:sz w:val="16"/>
                <w:szCs w:val="16"/>
              </w:rPr>
            </w:pPr>
          </w:p>
        </w:tc>
      </w:tr>
      <w:tr w:rsidR="00890990" w:rsidRPr="00E14102" w14:paraId="1585063B" w14:textId="77777777" w:rsidTr="003D0776">
        <w:trPr>
          <w:trHeight w:hRule="exact" w:val="226"/>
        </w:trPr>
        <w:tc>
          <w:tcPr>
            <w:tcW w:w="1858" w:type="dxa"/>
            <w:shd w:val="clear" w:color="auto" w:fill="auto"/>
          </w:tcPr>
          <w:p w14:paraId="59457408"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СБ2РЦ</w:t>
            </w:r>
          </w:p>
        </w:tc>
        <w:tc>
          <w:tcPr>
            <w:tcW w:w="1541" w:type="dxa"/>
            <w:shd w:val="clear" w:color="auto" w:fill="auto"/>
          </w:tcPr>
          <w:p w14:paraId="58813C22"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0-50</w:t>
            </w:r>
          </w:p>
        </w:tc>
        <w:tc>
          <w:tcPr>
            <w:tcW w:w="898" w:type="dxa"/>
            <w:shd w:val="clear" w:color="auto" w:fill="auto"/>
          </w:tcPr>
          <w:p w14:paraId="70ECCD66"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2</w:t>
            </w:r>
          </w:p>
        </w:tc>
        <w:tc>
          <w:tcPr>
            <w:tcW w:w="4963" w:type="dxa"/>
            <w:shd w:val="clear" w:color="auto" w:fill="auto"/>
          </w:tcPr>
          <w:p w14:paraId="4790B538" w14:textId="77777777" w:rsidR="00890990" w:rsidRPr="00E14102" w:rsidRDefault="00890990" w:rsidP="00E14102">
            <w:pPr>
              <w:jc w:val="both"/>
              <w:rPr>
                <w:color w:val="0070C0"/>
                <w:sz w:val="16"/>
                <w:szCs w:val="16"/>
              </w:rPr>
            </w:pPr>
          </w:p>
        </w:tc>
      </w:tr>
      <w:tr w:rsidR="00890990" w:rsidRPr="00E14102" w14:paraId="0E2FB25C" w14:textId="77777777" w:rsidTr="003D0776">
        <w:trPr>
          <w:trHeight w:hRule="exact" w:val="658"/>
        </w:trPr>
        <w:tc>
          <w:tcPr>
            <w:tcW w:w="1858" w:type="dxa"/>
            <w:shd w:val="clear" w:color="auto" w:fill="auto"/>
          </w:tcPr>
          <w:p w14:paraId="2B4CB397"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ТБ-3</w:t>
            </w:r>
          </w:p>
        </w:tc>
        <w:tc>
          <w:tcPr>
            <w:tcW w:w="1541" w:type="dxa"/>
            <w:shd w:val="clear" w:color="auto" w:fill="auto"/>
          </w:tcPr>
          <w:p w14:paraId="38927D80"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1-20</w:t>
            </w:r>
          </w:p>
        </w:tc>
        <w:tc>
          <w:tcPr>
            <w:tcW w:w="898" w:type="dxa"/>
            <w:shd w:val="clear" w:color="auto" w:fill="auto"/>
          </w:tcPr>
          <w:p w14:paraId="66E56293"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2</w:t>
            </w:r>
          </w:p>
        </w:tc>
        <w:tc>
          <w:tcPr>
            <w:tcW w:w="4963" w:type="dxa"/>
            <w:shd w:val="clear" w:color="auto" w:fill="auto"/>
          </w:tcPr>
          <w:p w14:paraId="0903A1C2"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9 января 1935 г. Смолет № 2214.</w:t>
            </w:r>
          </w:p>
          <w:p w14:paraId="6B6148B8"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Контрольный ознакомительный полет с начальником НИИ ВВС.</w:t>
            </w:r>
          </w:p>
        </w:tc>
      </w:tr>
      <w:tr w:rsidR="00890990" w:rsidRPr="00E14102" w14:paraId="735B7555" w14:textId="77777777" w:rsidTr="003D0776">
        <w:trPr>
          <w:trHeight w:hRule="exact" w:val="221"/>
        </w:trPr>
        <w:tc>
          <w:tcPr>
            <w:tcW w:w="1858" w:type="dxa"/>
            <w:shd w:val="clear" w:color="auto" w:fill="auto"/>
          </w:tcPr>
          <w:p w14:paraId="56DA1C1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У-2</w:t>
            </w:r>
          </w:p>
        </w:tc>
        <w:tc>
          <w:tcPr>
            <w:tcW w:w="1541" w:type="dxa"/>
            <w:shd w:val="clear" w:color="auto" w:fill="auto"/>
          </w:tcPr>
          <w:p w14:paraId="087529DA"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0-50</w:t>
            </w:r>
          </w:p>
        </w:tc>
        <w:tc>
          <w:tcPr>
            <w:tcW w:w="898" w:type="dxa"/>
            <w:shd w:val="clear" w:color="auto" w:fill="auto"/>
          </w:tcPr>
          <w:p w14:paraId="11D3553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2</w:t>
            </w:r>
          </w:p>
        </w:tc>
        <w:tc>
          <w:tcPr>
            <w:tcW w:w="4963" w:type="dxa"/>
            <w:shd w:val="clear" w:color="auto" w:fill="auto"/>
          </w:tcPr>
          <w:p w14:paraId="737890E4" w14:textId="77777777" w:rsidR="00890990" w:rsidRPr="00E14102" w:rsidRDefault="00890990" w:rsidP="00E14102">
            <w:pPr>
              <w:jc w:val="both"/>
              <w:rPr>
                <w:color w:val="0070C0"/>
                <w:sz w:val="16"/>
                <w:szCs w:val="16"/>
              </w:rPr>
            </w:pPr>
          </w:p>
        </w:tc>
      </w:tr>
      <w:tr w:rsidR="00890990" w:rsidRPr="00E14102" w14:paraId="53BE9A90" w14:textId="77777777" w:rsidTr="003D0776">
        <w:trPr>
          <w:trHeight w:hRule="exact" w:val="883"/>
        </w:trPr>
        <w:tc>
          <w:tcPr>
            <w:tcW w:w="1858" w:type="dxa"/>
            <w:shd w:val="clear" w:color="auto" w:fill="auto"/>
          </w:tcPr>
          <w:p w14:paraId="16B13D7C"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Планер БП-2</w:t>
            </w:r>
          </w:p>
        </w:tc>
        <w:tc>
          <w:tcPr>
            <w:tcW w:w="1541" w:type="dxa"/>
            <w:shd w:val="clear" w:color="auto" w:fill="auto"/>
          </w:tcPr>
          <w:p w14:paraId="28907E69"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1-40</w:t>
            </w:r>
          </w:p>
        </w:tc>
        <w:tc>
          <w:tcPr>
            <w:tcW w:w="898" w:type="dxa"/>
            <w:shd w:val="clear" w:color="auto" w:fill="auto"/>
          </w:tcPr>
          <w:p w14:paraId="4A4E5D1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4</w:t>
            </w:r>
          </w:p>
        </w:tc>
        <w:tc>
          <w:tcPr>
            <w:tcW w:w="4963" w:type="dxa"/>
            <w:shd w:val="clear" w:color="auto" w:fill="auto"/>
          </w:tcPr>
          <w:p w14:paraId="3B56C248"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Это были учебные полеты для Благина.</w:t>
            </w:r>
          </w:p>
          <w:p w14:paraId="0A680619"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Он учился, чтобы принять участие в испытаниях планера ТБ-6. Буксировал В.В. Рябушкин на самолете Р-5.</w:t>
            </w:r>
          </w:p>
        </w:tc>
      </w:tr>
      <w:tr w:rsidR="00890990" w:rsidRPr="00E14102" w14:paraId="32FCB4E1" w14:textId="77777777" w:rsidTr="003D0776">
        <w:trPr>
          <w:trHeight w:hRule="exact" w:val="523"/>
        </w:trPr>
        <w:tc>
          <w:tcPr>
            <w:tcW w:w="1858" w:type="dxa"/>
            <w:shd w:val="clear" w:color="auto" w:fill="auto"/>
          </w:tcPr>
          <w:p w14:paraId="523C69F7"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Планер ТБ-6</w:t>
            </w:r>
          </w:p>
        </w:tc>
        <w:tc>
          <w:tcPr>
            <w:tcW w:w="1541" w:type="dxa"/>
            <w:shd w:val="clear" w:color="auto" w:fill="auto"/>
          </w:tcPr>
          <w:p w14:paraId="72BA18E5"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1-25</w:t>
            </w:r>
          </w:p>
        </w:tc>
        <w:tc>
          <w:tcPr>
            <w:tcW w:w="898" w:type="dxa"/>
            <w:shd w:val="clear" w:color="auto" w:fill="auto"/>
          </w:tcPr>
          <w:p w14:paraId="685A062B"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4</w:t>
            </w:r>
          </w:p>
        </w:tc>
        <w:tc>
          <w:tcPr>
            <w:tcW w:w="4963" w:type="dxa"/>
            <w:shd w:val="clear" w:color="auto" w:fill="auto"/>
          </w:tcPr>
          <w:p w14:paraId="60AB9EEC" w14:textId="77777777" w:rsidR="00890990" w:rsidRPr="00E14102" w:rsidRDefault="00890990"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15 и 16 мая буксировка планера ТБ-6 за самолетом Р-5 (В.В. Рябушкин).</w:t>
            </w:r>
          </w:p>
        </w:tc>
      </w:tr>
    </w:tbl>
    <w:p w14:paraId="23B3D9DB" w14:textId="77777777" w:rsidR="00890990" w:rsidRPr="00E14102" w:rsidRDefault="00890990" w:rsidP="00E14102">
      <w:pPr>
        <w:jc w:val="both"/>
        <w:rPr>
          <w:color w:val="0070C0"/>
          <w:sz w:val="16"/>
          <w:szCs w:val="16"/>
        </w:rPr>
      </w:pPr>
      <w:r w:rsidRPr="00E14102">
        <w:rPr>
          <w:color w:val="0070C0"/>
          <w:sz w:val="16"/>
          <w:szCs w:val="16"/>
        </w:rPr>
        <w:t>(21240).</w:t>
      </w:r>
    </w:p>
    <w:p w14:paraId="45B9704A" w14:textId="77777777" w:rsidR="00890990" w:rsidRPr="00E14102" w:rsidRDefault="00890990" w:rsidP="00E14102">
      <w:pPr>
        <w:jc w:val="both"/>
        <w:rPr>
          <w:color w:val="0070C0"/>
          <w:sz w:val="16"/>
          <w:szCs w:val="16"/>
        </w:rPr>
      </w:pPr>
    </w:p>
    <w:p w14:paraId="597080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18 мая 1935 г. в соответствии с распоряжением руководства института и Совета Осоавиахйма проведен первый воздушный парад на учебном аэродроме МАИ в Химках. Парад из двух отделений — наземного и авиационного, в котором были показаны полеты на самолетах, планерах и прыжки с парашютом, — прошел успешно. Студенты с большим увлечением занимались авиационным спортом, сочетая учебу с летной подготовкой. К Дню авиации 1935 г. в аэроклубе было подготовлено 262 парашютиста из числа студентов. Пример — А. Лебединский. Как на начальнике летной школы на нем лежала вся тяжесть организационного обеспечения полетов, теории, и при этом А. Лебединский был лучшим ударником в учебе. 9 октября 1935 г. состоялось первое занятие школы по изучению реактивных двигателей аэроклуба МАИ. К овладению основами теории реактивных двигателей приступили 60 студентов второго и третьего курсов. </w:t>
      </w:r>
    </w:p>
    <w:p w14:paraId="4BEF04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1932 г. в МАИ был организован летный отряд. Отряд располагал большим парком учебных самолетов, и на его базе была создана авиатехническая школа, где маевцы проходили практику со второго курса. В 1933 г. по инициативе студентов В. Садовничего и Г. Степанова в МАИ создана планерная школа. Начальником назначен С. Вишняков. Вскоре был организован парашютный кружок под руководством Ф. Ежова. Летную школу возглавил А. Лебединский, а школу авиамехаников — Л. Мешковский. Таким образом, в конце 1933 г. практически была создана база аэроклуба. 15 марта 1934 г. — официальная дата создания аэроклуба в МАИ в соответствии с приказом по институту. В аэроклубе работали секции: парашютная, летная, планерная, авиамехаников и оборонного изобретательства (позднее секции стали называться школами). Уже к концу 1934 г. аэроклуб подготовил 200 парашютистов, 15 инструкторов планерного спорта, 16 учлетов. Было зарегистрировано 97 изобретений оборонного характера. К середине мая 1935 г. членами аэроклуба являлись 1200 студентов (12075).</w:t>
      </w:r>
    </w:p>
    <w:p w14:paraId="2B96AA32" w14:textId="77777777" w:rsidR="00D4105E" w:rsidRPr="00E14102" w:rsidRDefault="00D4105E" w:rsidP="00E14102">
      <w:pPr>
        <w:autoSpaceDE w:val="0"/>
        <w:autoSpaceDN w:val="0"/>
        <w:adjustRightInd w:val="0"/>
        <w:jc w:val="both"/>
        <w:rPr>
          <w:color w:val="000000" w:themeColor="text1"/>
          <w:sz w:val="16"/>
          <w:szCs w:val="16"/>
        </w:rPr>
      </w:pPr>
    </w:p>
    <w:p w14:paraId="4E0C15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мая 1935 В.И.Харахонов совершил опытный прыжок вдвоем с одним парашютом вместе с Н.А.Федюниным. В полете раскрыл сначала парашют условно раненного товарища, а затем - свой (438,684).</w:t>
      </w:r>
    </w:p>
    <w:p w14:paraId="40A4D1AA" w14:textId="77777777" w:rsidR="00D4105E" w:rsidRPr="00E14102" w:rsidRDefault="00D4105E" w:rsidP="00E14102">
      <w:pPr>
        <w:autoSpaceDE w:val="0"/>
        <w:autoSpaceDN w:val="0"/>
        <w:adjustRightInd w:val="0"/>
        <w:jc w:val="both"/>
        <w:rPr>
          <w:color w:val="000000" w:themeColor="text1"/>
          <w:sz w:val="16"/>
          <w:szCs w:val="16"/>
        </w:rPr>
      </w:pPr>
    </w:p>
    <w:p w14:paraId="0E0C4D1D" w14:textId="77777777" w:rsidR="00217FA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8F709A9" w14:textId="77777777" w:rsidR="00217FA4" w:rsidRPr="00E14102" w:rsidRDefault="00217FA4" w:rsidP="00E14102">
      <w:pPr>
        <w:autoSpaceDE w:val="0"/>
        <w:autoSpaceDN w:val="0"/>
        <w:adjustRightInd w:val="0"/>
        <w:jc w:val="both"/>
        <w:rPr>
          <w:iCs/>
          <w:color w:val="000000" w:themeColor="text1"/>
          <w:sz w:val="16"/>
          <w:szCs w:val="16"/>
        </w:rPr>
      </w:pPr>
    </w:p>
    <w:p w14:paraId="083A4DBF" w14:textId="77777777" w:rsidR="00217FA4" w:rsidRPr="00E14102" w:rsidRDefault="00217FA4" w:rsidP="00E14102">
      <w:pPr>
        <w:autoSpaceDE w:val="0"/>
        <w:autoSpaceDN w:val="0"/>
        <w:adjustRightInd w:val="0"/>
        <w:jc w:val="both"/>
        <w:rPr>
          <w:color w:val="000000" w:themeColor="text1"/>
          <w:sz w:val="16"/>
          <w:szCs w:val="16"/>
        </w:rPr>
      </w:pPr>
      <w:r w:rsidRPr="00E14102">
        <w:rPr>
          <w:color w:val="000000" w:themeColor="text1"/>
          <w:sz w:val="16"/>
          <w:szCs w:val="16"/>
        </w:rPr>
        <w:t>18 мая 1935 г.</w:t>
      </w:r>
      <w:r w:rsidRPr="00E14102">
        <w:rPr>
          <w:bCs/>
          <w:color w:val="000000" w:themeColor="text1"/>
          <w:sz w:val="16"/>
          <w:szCs w:val="16"/>
        </w:rPr>
        <w:t xml:space="preserve"> Лаваль присутствовал в качестве представителя французского правительства на похоронах маршала Пилсудского в Кракове. Здесь произошла его встреча с. командующим германским воздушным флотом Герингом. В течение двух часов в строгом уединении между ними шла доверительная беседа (17328).</w:t>
      </w:r>
    </w:p>
    <w:p w14:paraId="3FC55873" w14:textId="77777777" w:rsidR="00217FA4" w:rsidRPr="00E14102" w:rsidRDefault="00217FA4" w:rsidP="00E14102">
      <w:pPr>
        <w:autoSpaceDE w:val="0"/>
        <w:autoSpaceDN w:val="0"/>
        <w:adjustRightInd w:val="0"/>
        <w:jc w:val="both"/>
        <w:rPr>
          <w:color w:val="000000" w:themeColor="text1"/>
          <w:sz w:val="16"/>
          <w:szCs w:val="16"/>
        </w:rPr>
      </w:pPr>
    </w:p>
    <w:p w14:paraId="10DF193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9D7C406" w14:textId="77777777" w:rsidR="00D4105E" w:rsidRPr="00E14102" w:rsidRDefault="00D4105E" w:rsidP="00E14102">
      <w:pPr>
        <w:autoSpaceDE w:val="0"/>
        <w:autoSpaceDN w:val="0"/>
        <w:adjustRightInd w:val="0"/>
        <w:jc w:val="both"/>
        <w:rPr>
          <w:iCs/>
          <w:color w:val="000000" w:themeColor="text1"/>
          <w:sz w:val="16"/>
          <w:szCs w:val="16"/>
        </w:rPr>
      </w:pPr>
    </w:p>
    <w:p w14:paraId="458800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мая 1935 предполагалась сдача АНТ-20 заказчику (514).</w:t>
      </w:r>
    </w:p>
    <w:p w14:paraId="0D9A7F1E" w14:textId="77777777" w:rsidR="00D4105E" w:rsidRPr="00E14102" w:rsidRDefault="00D4105E" w:rsidP="00E14102">
      <w:pPr>
        <w:autoSpaceDE w:val="0"/>
        <w:autoSpaceDN w:val="0"/>
        <w:adjustRightInd w:val="0"/>
        <w:jc w:val="both"/>
        <w:rPr>
          <w:color w:val="000000" w:themeColor="text1"/>
          <w:sz w:val="16"/>
          <w:szCs w:val="16"/>
        </w:rPr>
      </w:pPr>
    </w:p>
    <w:p w14:paraId="7B0B64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мая 1935 СНК и ЦК ВКП(б) постановили построить вместо погибшего МГ три самолета такого типа - В.Л., И.С., и М.Г., но сделали только Л-760 (438,685).</w:t>
      </w:r>
    </w:p>
    <w:p w14:paraId="7F2A1AC6" w14:textId="77777777" w:rsidR="00D4105E" w:rsidRPr="00E14102" w:rsidRDefault="00D4105E" w:rsidP="00E14102">
      <w:pPr>
        <w:autoSpaceDE w:val="0"/>
        <w:autoSpaceDN w:val="0"/>
        <w:adjustRightInd w:val="0"/>
        <w:jc w:val="both"/>
        <w:rPr>
          <w:color w:val="000000" w:themeColor="text1"/>
          <w:sz w:val="16"/>
          <w:szCs w:val="16"/>
        </w:rPr>
      </w:pPr>
    </w:p>
    <w:p w14:paraId="0D5214B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 мая 1935 г. в замечаниях начальника 5-го отдела УВС РККА Солдатова к проек</w:t>
      </w:r>
      <w:r w:rsidRPr="00E14102">
        <w:rPr>
          <w:color w:val="000000" w:themeColor="text1"/>
          <w:sz w:val="16"/>
          <w:szCs w:val="16"/>
        </w:rPr>
        <w:softHyphen/>
        <w:t>ту системы боеприпасов артвооружения РККА в части, касающейся авиационного вооружения (реактивных снарядов): «Необ</w:t>
      </w:r>
      <w:r w:rsidRPr="00E14102">
        <w:rPr>
          <w:color w:val="000000" w:themeColor="text1"/>
          <w:sz w:val="16"/>
          <w:szCs w:val="16"/>
        </w:rPr>
        <w:softHyphen/>
        <w:t>ходимо добиться наибольшей скорости в РС-82 не менее 350 м/с (вместо обозначенной ранее скорости не более 295 м/с), обеспечить устойчивый полет на протяжении 400 м, обеспечив рассеивание не более 1/150 дис</w:t>
      </w:r>
      <w:r w:rsidRPr="00E14102">
        <w:rPr>
          <w:color w:val="000000" w:themeColor="text1"/>
          <w:sz w:val="16"/>
          <w:szCs w:val="16"/>
        </w:rPr>
        <w:softHyphen/>
        <w:t>танции стрельбы. Довести радиус сплошного поражения до 30 м, разра</w:t>
      </w:r>
      <w:r w:rsidRPr="00E14102">
        <w:rPr>
          <w:color w:val="000000" w:themeColor="text1"/>
          <w:sz w:val="16"/>
          <w:szCs w:val="16"/>
        </w:rPr>
        <w:softHyphen/>
        <w:t>ботать другой тип направляющих штифтов, который бы устранил свали</w:t>
      </w:r>
      <w:r w:rsidRPr="00E14102">
        <w:rPr>
          <w:color w:val="000000" w:themeColor="text1"/>
          <w:sz w:val="16"/>
          <w:szCs w:val="16"/>
        </w:rPr>
        <w:softHyphen/>
        <w:t>вание снарядов головной частью вниз, обеспечивал бы правильный вы</w:t>
      </w:r>
      <w:r w:rsidRPr="00E14102">
        <w:rPr>
          <w:color w:val="000000" w:themeColor="text1"/>
          <w:sz w:val="16"/>
          <w:szCs w:val="16"/>
        </w:rPr>
        <w:softHyphen/>
        <w:t>лет из установки. Изменить в сторону уменьшения габариты оперения. Дать РС с цилиндрическим стабилизатором по диаметру снаряда, что значительно упростит установки для стрельбы и даст возможность иметь автомат для стрельбы РС. Дистанционную трубку дать двойного дейст</w:t>
      </w:r>
      <w:r w:rsidRPr="00E14102">
        <w:rPr>
          <w:color w:val="000000" w:themeColor="text1"/>
          <w:sz w:val="16"/>
          <w:szCs w:val="16"/>
        </w:rPr>
        <w:softHyphen/>
        <w:t>вия, чтобы иметь возможность применять РС не только для стрельбы по самолетам, но и по земле. Дать приспособление для установки дистанци</w:t>
      </w:r>
      <w:r w:rsidRPr="00E14102">
        <w:rPr>
          <w:color w:val="000000" w:themeColor="text1"/>
          <w:sz w:val="16"/>
          <w:szCs w:val="16"/>
        </w:rPr>
        <w:softHyphen/>
        <w:t>онных трубок на желаемую дистанцию из кабины пилота». Относитель</w:t>
      </w:r>
      <w:r w:rsidRPr="00E14102">
        <w:rPr>
          <w:color w:val="000000" w:themeColor="text1"/>
          <w:sz w:val="16"/>
          <w:szCs w:val="16"/>
        </w:rPr>
        <w:softHyphen/>
        <w:t>но «фугасных РС-132»: «Начальную скорость дать не менее 350 м/с, мет</w:t>
      </w:r>
      <w:r w:rsidRPr="00E14102">
        <w:rPr>
          <w:color w:val="000000" w:themeColor="text1"/>
          <w:sz w:val="16"/>
          <w:szCs w:val="16"/>
        </w:rPr>
        <w:softHyphen/>
        <w:t>кость не ниже 1/150, радиус сплошного поражения — не менее 40 м. В ос</w:t>
      </w:r>
      <w:r w:rsidRPr="00E14102">
        <w:rPr>
          <w:color w:val="000000" w:themeColor="text1"/>
          <w:sz w:val="16"/>
          <w:szCs w:val="16"/>
        </w:rPr>
        <w:softHyphen/>
        <w:t>тальном - то же, что и для РС-82».</w:t>
      </w:r>
    </w:p>
    <w:p w14:paraId="20F0A06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качестве альтернативы штатным РС в течение 1935 г. в РНИИ спро</w:t>
      </w:r>
      <w:r w:rsidRPr="00E14102">
        <w:rPr>
          <w:color w:val="000000" w:themeColor="text1"/>
          <w:sz w:val="16"/>
          <w:szCs w:val="16"/>
        </w:rPr>
        <w:softHyphen/>
        <w:t>ектировали, изготовили и испытали по три варианта снарядов каждого калибра. Все их исследовали на Софринском КИАП наземной стрель</w:t>
      </w:r>
      <w:r w:rsidRPr="00E14102">
        <w:rPr>
          <w:color w:val="000000" w:themeColor="text1"/>
          <w:sz w:val="16"/>
          <w:szCs w:val="16"/>
        </w:rPr>
        <w:softHyphen/>
        <w:t>бой. По итогам этих опытов планировали создать и в дальнейшем ввести на вооружение окончательные варианты перспективных ракетных бое</w:t>
      </w:r>
      <w:r w:rsidRPr="00E14102">
        <w:rPr>
          <w:color w:val="000000" w:themeColor="text1"/>
          <w:sz w:val="16"/>
          <w:szCs w:val="16"/>
        </w:rPr>
        <w:softHyphen/>
        <w:t>припасов.</w:t>
      </w:r>
    </w:p>
    <w:p w14:paraId="4A4611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Первые варианты снарядов (РОС-82 модели 110700 и РОС-132 модели 120700) отличались от серийных, по большому счету, только утяжелением металла БЧ и некоторым облегчением корпусов двигателей за счет сниже</w:t>
      </w:r>
      <w:r w:rsidRPr="00E14102">
        <w:rPr>
          <w:color w:val="000000" w:themeColor="text1"/>
          <w:sz w:val="16"/>
          <w:szCs w:val="16"/>
        </w:rPr>
        <w:softHyphen/>
        <w:t>ния максимального давления в камере и повышения качества стали.</w:t>
      </w:r>
    </w:p>
    <w:p w14:paraId="7D0F52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Вторые варианты (РОС-82 модели 110800 и РОС-132 модели 120800) отличались от первых длиной РЗ (за счет добавления одного ряда ша</w:t>
      </w:r>
      <w:r w:rsidRPr="00E14102">
        <w:rPr>
          <w:color w:val="000000" w:themeColor="text1"/>
          <w:sz w:val="16"/>
          <w:szCs w:val="16"/>
        </w:rPr>
        <w:softHyphen/>
        <w:t>шек). Для РОС-82 его масса составила 1,37 кг, для РОС-132 — 4,63 кг. Та</w:t>
      </w:r>
      <w:r w:rsidRPr="00E14102">
        <w:rPr>
          <w:color w:val="000000" w:themeColor="text1"/>
          <w:sz w:val="16"/>
          <w:szCs w:val="16"/>
        </w:rPr>
        <w:softHyphen/>
        <w:t>ким образом, максимальная скорость снарядов второго варианта (отно</w:t>
      </w:r>
      <w:r w:rsidRPr="00E14102">
        <w:rPr>
          <w:color w:val="000000" w:themeColor="text1"/>
          <w:sz w:val="16"/>
          <w:szCs w:val="16"/>
        </w:rPr>
        <w:softHyphen/>
        <w:t>сительно первого) должна была возрасти. Кроме того, разработчики про</w:t>
      </w:r>
      <w:r w:rsidRPr="00E14102">
        <w:rPr>
          <w:color w:val="000000" w:themeColor="text1"/>
          <w:sz w:val="16"/>
          <w:szCs w:val="16"/>
        </w:rPr>
        <w:softHyphen/>
        <w:t>гнозировали и увеличение дальности их полета. БЧ снарядов второго ва</w:t>
      </w:r>
      <w:r w:rsidRPr="00E14102">
        <w:rPr>
          <w:color w:val="000000" w:themeColor="text1"/>
          <w:sz w:val="16"/>
          <w:szCs w:val="16"/>
        </w:rPr>
        <w:softHyphen/>
        <w:t>рианта были аналогичны первому, поэтому в бронеямах и секторных ми</w:t>
      </w:r>
      <w:r w:rsidRPr="00E14102">
        <w:rPr>
          <w:color w:val="000000" w:themeColor="text1"/>
          <w:sz w:val="16"/>
          <w:szCs w:val="16"/>
        </w:rPr>
        <w:softHyphen/>
        <w:t>шенях их не подрывали.</w:t>
      </w:r>
    </w:p>
    <w:p w14:paraId="4FE0E6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БЧ снарядов третьего варианта (РОС-82 модели 110900 и РОС-132 ли 121000) существенно отличались от предыдущих. Их изготовили в вииде тонкостенных литых чугунных стаканов, по внутренней образующей, в которых были помещенными нарезанные стальные стержни-осколки (ГПЭ) массой по 40 г. Величина боевого заряда для РОС-82 осталась ежней. Для РОС-132 масса боевого заряда уменьшилась до 1,30 кг (вместо 1,60 у прототипа). Крылья оперения у снарядов третьего вариан-а были стальными и приваренными к сопловым обтекателям в стык сплошным двусторонним швом, в отличие от клепанных алюминиевых первых двух вариантов РС. Ракетный заряд РОС-132 третьего варианта соответствовал первому варианту (пятирядный). У РОС-82 заряд соот</w:t>
      </w:r>
      <w:r w:rsidRPr="00E14102">
        <w:rPr>
          <w:color w:val="000000" w:themeColor="text1"/>
          <w:sz w:val="16"/>
          <w:szCs w:val="16"/>
        </w:rPr>
        <w:softHyphen/>
        <w:t>ветствовал второму варианту (пятирядный) (11402).</w:t>
      </w:r>
    </w:p>
    <w:p w14:paraId="01EABBC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53308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 мая 1935 г. в замечаниях начальника 5 отдела УВС РККА Солдатова к проекту системы боеприпасов артвооружения РККА в части, касающейся авиационного вооружения, в частности, говори</w:t>
      </w:r>
      <w:r w:rsidRPr="00E14102">
        <w:rPr>
          <w:color w:val="000000" w:themeColor="text1"/>
          <w:sz w:val="16"/>
          <w:szCs w:val="16"/>
        </w:rPr>
        <w:softHyphen/>
        <w:t>лось: «Фугасные РС-245. В систему вооружений не входят РС крупного калибра, основное назначение которых - действие по крупным про</w:t>
      </w:r>
      <w:r w:rsidRPr="00E14102">
        <w:rPr>
          <w:color w:val="000000" w:themeColor="text1"/>
          <w:sz w:val="16"/>
          <w:szCs w:val="16"/>
        </w:rPr>
        <w:softHyphen/>
        <w:t>мышленным центрам противника, железнодорожным станциям и пр., не проходи над целью, а также стрельба по крупным авиационным со</w:t>
      </w:r>
      <w:r w:rsidRPr="00E14102">
        <w:rPr>
          <w:color w:val="000000" w:themeColor="text1"/>
          <w:sz w:val="16"/>
          <w:szCs w:val="16"/>
        </w:rPr>
        <w:softHyphen/>
        <w:t>единениям в воздухе. Необходимо довести разработанный РНИИ РС-245 и дать опытную партию в текущем году. Общий вес снаряда дол</w:t>
      </w:r>
      <w:r w:rsidRPr="00E14102">
        <w:rPr>
          <w:color w:val="000000" w:themeColor="text1"/>
          <w:sz w:val="16"/>
          <w:szCs w:val="16"/>
        </w:rPr>
        <w:softHyphen/>
        <w:t>жен составлять 120-150 кг, максимальная скорость - не меньше 250-300 м/с. Фугасное действие - как у 100-кг авиабомбы. Трубка должна быть Двойного действия. Оперение - минимальных размеров по габариту» (11402).</w:t>
      </w:r>
    </w:p>
    <w:p w14:paraId="31E39B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3DDB1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 мая 1935 г. были подготовлены замечания начальника 5 отдела У ВС РККА Солдатова от к проекту системы боеприпасов артвооружения РККА в части, ка</w:t>
      </w:r>
      <w:r w:rsidRPr="00E14102">
        <w:rPr>
          <w:color w:val="000000" w:themeColor="text1"/>
          <w:sz w:val="16"/>
          <w:szCs w:val="16"/>
        </w:rPr>
        <w:softHyphen/>
        <w:t>сающейся авиационного вооружения: «Защитные планирующие систе</w:t>
      </w:r>
      <w:r w:rsidRPr="00E14102">
        <w:rPr>
          <w:color w:val="000000" w:themeColor="text1"/>
          <w:sz w:val="16"/>
          <w:szCs w:val="16"/>
        </w:rPr>
        <w:softHyphen/>
        <w:t>мы Майзеля: У ЗАМ-ОСП образца 1934 г., осколочных ЗАМ-П, ЗАМ-ПБМ, согласно ТТТ, подписанным начальником Артуправления Ефи</w:t>
      </w:r>
      <w:r w:rsidRPr="00E14102">
        <w:rPr>
          <w:color w:val="000000" w:themeColor="text1"/>
          <w:sz w:val="16"/>
          <w:szCs w:val="16"/>
        </w:rPr>
        <w:softHyphen/>
        <w:t>мовым, начальником УВС Алкснисом и утвержденным начальником вооружений Тухачевским, а также у ЗАМ-О и ЗАМ-ОСП скорость поле</w:t>
      </w:r>
      <w:r w:rsidRPr="00E14102">
        <w:rPr>
          <w:color w:val="000000" w:themeColor="text1"/>
          <w:sz w:val="16"/>
          <w:szCs w:val="16"/>
        </w:rPr>
        <w:softHyphen/>
        <w:t>та должна быть не менее 120-130 м/с при сохранении ее на дистанции 2000 м. Мина должна быть устойчива в пути, иметь определенную траек</w:t>
      </w:r>
      <w:r w:rsidRPr="00E14102">
        <w:rPr>
          <w:color w:val="000000" w:themeColor="text1"/>
          <w:sz w:val="16"/>
          <w:szCs w:val="16"/>
        </w:rPr>
        <w:softHyphen/>
        <w:t>торию, обеспечивать вероятное отклонение не более 1/100-1/150 дально</w:t>
      </w:r>
      <w:r w:rsidRPr="00E14102">
        <w:rPr>
          <w:color w:val="000000" w:themeColor="text1"/>
          <w:sz w:val="16"/>
          <w:szCs w:val="16"/>
        </w:rPr>
        <w:softHyphen/>
        <w:t>сти стрельбы.</w:t>
      </w:r>
    </w:p>
    <w:p w14:paraId="6AF3A43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ЗАМ-ОСП (осколочная сфера поражения) должна давать круговой разлет осколков с одинаковой плотностью поражения. Пробивная сила на дальности 50 м - 40 мм доски, от 50 до 100 м - 95-мм доски. Надежно изолировать БВА от ротора. (Здесь пробивная способность осколков на разных дальностях от точки подрыва, очевидно, перепутана. Хотя, в от</w:t>
      </w:r>
      <w:r w:rsidRPr="00E14102">
        <w:rPr>
          <w:color w:val="000000" w:themeColor="text1"/>
          <w:sz w:val="16"/>
          <w:szCs w:val="16"/>
        </w:rPr>
        <w:softHyphen/>
        <w:t>ношении объяснений такого «корифея», как Майзель, трудно чему-либо удивляться).</w:t>
      </w:r>
    </w:p>
    <w:p w14:paraId="1FEF6C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Конструкция ЗАМ-О (осколочная) должна гарантировать получение не менее 1200 осколков массой в пределах 30 г и круговой разлет с равно</w:t>
      </w:r>
      <w:r w:rsidRPr="00E14102">
        <w:rPr>
          <w:color w:val="000000" w:themeColor="text1"/>
          <w:sz w:val="16"/>
          <w:szCs w:val="16"/>
        </w:rPr>
        <w:softHyphen/>
        <w:t>мерной плотностью поражения. Радиус разлета убойных осколков дол</w:t>
      </w:r>
      <w:r w:rsidRPr="00E14102">
        <w:rPr>
          <w:color w:val="000000" w:themeColor="text1"/>
          <w:sz w:val="16"/>
          <w:szCs w:val="16"/>
        </w:rPr>
        <w:softHyphen/>
        <w:t>жен быть не менее 100 м при пробивной силе в 50 м - 40 мм доски» (11402).</w:t>
      </w:r>
    </w:p>
    <w:p w14:paraId="3F2B15E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2F516B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 мая 1935 г., начальник Управления Воздушных Сил РККА Я.И.Алкснис утвердил заказ-наряд «за счет Госбюджета СССР имени НКВД по параграфу 19 статьи 61», который выдали опыт</w:t>
      </w:r>
      <w:r w:rsidRPr="00E14102">
        <w:rPr>
          <w:color w:val="000000" w:themeColor="text1"/>
          <w:sz w:val="16"/>
          <w:szCs w:val="16"/>
        </w:rPr>
        <w:softHyphen/>
        <w:t>ному заводу в/ч 1127. Именно там изготавливали опытные образны установок для стрельбы РС-132 с самолета Р-6 (четыре агрегата на два самолета), установок для стрельбы РС-82 с самолета И-5 (четыре агрегата на два самолета), сбрасываемые установки двух вариантов для стрельбы РС-82 с самолета И-14 (два комплекта на два самолета). Стоимость заказа составила 25.000 руб. Срок изготовления — по одному комплекту каждой установки к 25 июля 1935 г. Остальные — к 1 сентября 1935 г. (11402).</w:t>
      </w:r>
    </w:p>
    <w:p w14:paraId="3F7445D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AA906B9" w14:textId="77777777" w:rsidR="001A2871" w:rsidRPr="00E14102" w:rsidRDefault="001A2871"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173E66F" w14:textId="77777777" w:rsidR="001A2871" w:rsidRPr="00E14102" w:rsidRDefault="001A2871" w:rsidP="00E14102">
      <w:pPr>
        <w:autoSpaceDE w:val="0"/>
        <w:autoSpaceDN w:val="0"/>
        <w:adjustRightInd w:val="0"/>
        <w:jc w:val="both"/>
        <w:rPr>
          <w:iCs/>
          <w:color w:val="000000" w:themeColor="text1"/>
          <w:sz w:val="16"/>
          <w:szCs w:val="16"/>
        </w:rPr>
      </w:pPr>
    </w:p>
    <w:p w14:paraId="065C1A80" w14:textId="77777777" w:rsidR="001A2871" w:rsidRPr="00E14102" w:rsidRDefault="001A2871" w:rsidP="00E14102">
      <w:pPr>
        <w:pStyle w:val="ad"/>
        <w:shd w:val="clear" w:color="auto" w:fill="FFFFFF"/>
        <w:spacing w:before="0" w:after="0"/>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lang w:val="ru-RU"/>
        </w:rPr>
        <w:t xml:space="preserve">К 19 мая 1935 была подготовлена сводка по кооперации по Т-29. Всего в список задействованных предприятий вошло 25 заводов, включая «Большевик», завод №7, Ижорский завод и ряд других. С 5 мая начались работы по разработке эталонного образца Т-29. </w:t>
      </w:r>
      <w:r w:rsidRPr="00E14102">
        <w:rPr>
          <w:rFonts w:ascii="Times New Roman" w:hAnsi="Times New Roman" w:cs="Times New Roman"/>
          <w:color w:val="000000" w:themeColor="text1"/>
          <w:sz w:val="16"/>
          <w:szCs w:val="16"/>
        </w:rPr>
        <w:t>К нему Астров уже не имел никакого отношения (17708).</w:t>
      </w:r>
    </w:p>
    <w:p w14:paraId="167162D0" w14:textId="77777777" w:rsidR="001A2871" w:rsidRPr="00E14102" w:rsidRDefault="001A2871" w:rsidP="00E14102">
      <w:pPr>
        <w:jc w:val="both"/>
        <w:rPr>
          <w:color w:val="000000" w:themeColor="text1"/>
          <w:sz w:val="16"/>
          <w:szCs w:val="16"/>
        </w:rPr>
      </w:pPr>
    </w:p>
    <w:p w14:paraId="16E895E3" w14:textId="77777777" w:rsidR="008240FA" w:rsidRPr="00E14102" w:rsidRDefault="008240FA"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19 мая 1935 года было письмо Гинзбурга, согласно которому опытный образец артиллерийского танка АТ-1 только поступил на сборку, сроком её окончания указывался июнь. При этом в письме Гинзбург указывал, что для машины требуется вооружение, включая орудие ПС-3. 22 мая пушку с заводским номером 107 направили на завод №185 вместе с положенным к ней ЗИПом (19671).</w:t>
      </w:r>
    </w:p>
    <w:p w14:paraId="73CAF483" w14:textId="77777777" w:rsidR="008240FA" w:rsidRPr="00E14102" w:rsidRDefault="008240FA"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4C1337A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84A0703" w14:textId="77777777" w:rsidR="00D4105E" w:rsidRPr="00E14102" w:rsidRDefault="00D4105E" w:rsidP="00E14102">
      <w:pPr>
        <w:autoSpaceDE w:val="0"/>
        <w:autoSpaceDN w:val="0"/>
        <w:adjustRightInd w:val="0"/>
        <w:jc w:val="both"/>
        <w:rPr>
          <w:iCs/>
          <w:color w:val="000000" w:themeColor="text1"/>
          <w:sz w:val="16"/>
          <w:szCs w:val="16"/>
        </w:rPr>
      </w:pPr>
    </w:p>
    <w:p w14:paraId="6AFBCA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мая 1935 ЦК ВКП(б) разослал на места секретное письмо, в котором призывалось выявлять внутри партии “врагов рабочего класса” (4962).</w:t>
      </w:r>
    </w:p>
    <w:p w14:paraId="589ACE0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5DE96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мая 1935 трассу Хлебниковского района посетили Ягода, начальник АХУ НКВД И. М. Островский и начальник Ковровского экскаваторного завода Ф. Я. Яфедов. У пересечения канала с Октябрьской железной дорогой нарком осмотрел строительство железобетонного моста, сооружаемого на линии Октябрьской дороги. Арки, поддерживающие проезжую часть моста, возвышались на 22 метра от будущего уровня воды, по нему могли одновременно проходить четыре состава поездов. В Европе подобный железнодорожный мост сооружался впервые, а в Америке к тому времени существовал лишь один мост такой конструкции (7560).</w:t>
      </w:r>
    </w:p>
    <w:p w14:paraId="0733CF3C" w14:textId="77777777" w:rsidR="00D4105E" w:rsidRPr="00E14102" w:rsidRDefault="00D4105E" w:rsidP="00E14102">
      <w:pPr>
        <w:autoSpaceDE w:val="0"/>
        <w:autoSpaceDN w:val="0"/>
        <w:adjustRightInd w:val="0"/>
        <w:jc w:val="both"/>
        <w:rPr>
          <w:color w:val="000000" w:themeColor="text1"/>
          <w:sz w:val="16"/>
          <w:szCs w:val="16"/>
        </w:rPr>
      </w:pPr>
    </w:p>
    <w:p w14:paraId="69A1DB9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171B21C" w14:textId="77777777" w:rsidR="00D4105E" w:rsidRPr="00E14102" w:rsidRDefault="00D4105E" w:rsidP="00E14102">
      <w:pPr>
        <w:autoSpaceDE w:val="0"/>
        <w:autoSpaceDN w:val="0"/>
        <w:adjustRightInd w:val="0"/>
        <w:jc w:val="both"/>
        <w:rPr>
          <w:iCs/>
          <w:color w:val="000000" w:themeColor="text1"/>
          <w:sz w:val="16"/>
          <w:szCs w:val="16"/>
        </w:rPr>
      </w:pPr>
    </w:p>
    <w:p w14:paraId="396E57B2" w14:textId="77777777" w:rsidR="00605871" w:rsidRPr="00E14102" w:rsidRDefault="00605871" w:rsidP="00E14102">
      <w:pPr>
        <w:jc w:val="both"/>
        <w:rPr>
          <w:color w:val="0070C0"/>
          <w:sz w:val="16"/>
          <w:szCs w:val="16"/>
        </w:rPr>
      </w:pPr>
      <w:r w:rsidRPr="00E14102">
        <w:rPr>
          <w:color w:val="0070C0"/>
          <w:sz w:val="16"/>
          <w:szCs w:val="16"/>
        </w:rPr>
        <w:t xml:space="preserve">19 мая 1935 состоялся первый полет </w:t>
      </w:r>
      <w:r w:rsidRPr="00E14102">
        <w:rPr>
          <w:color w:val="0070C0"/>
          <w:sz w:val="16"/>
          <w:szCs w:val="16"/>
          <w:lang w:val="en-US"/>
        </w:rPr>
        <w:t>XPBY</w:t>
      </w:r>
      <w:r w:rsidRPr="00E14102">
        <w:rPr>
          <w:color w:val="0070C0"/>
          <w:sz w:val="16"/>
          <w:szCs w:val="16"/>
        </w:rPr>
        <w:t xml:space="preserve">-1, прототипа </w:t>
      </w:r>
      <w:r w:rsidRPr="00E14102">
        <w:rPr>
          <w:color w:val="0070C0"/>
          <w:sz w:val="16"/>
          <w:szCs w:val="16"/>
          <w:lang w:val="en-US"/>
        </w:rPr>
        <w:t>PBY</w:t>
      </w:r>
      <w:r w:rsidRPr="00E14102">
        <w:rPr>
          <w:color w:val="0070C0"/>
          <w:sz w:val="16"/>
          <w:szCs w:val="16"/>
        </w:rPr>
        <w:t xml:space="preserve"> </w:t>
      </w:r>
      <w:r w:rsidRPr="00E14102">
        <w:rPr>
          <w:color w:val="0070C0"/>
          <w:sz w:val="16"/>
          <w:szCs w:val="16"/>
          <w:lang w:val="en-US"/>
        </w:rPr>
        <w:t>Catalina</w:t>
      </w:r>
      <w:r w:rsidRPr="00E14102">
        <w:rPr>
          <w:color w:val="0070C0"/>
          <w:sz w:val="16"/>
          <w:szCs w:val="16"/>
        </w:rPr>
        <w:t xml:space="preserve"> (20800).</w:t>
      </w:r>
    </w:p>
    <w:p w14:paraId="59272626" w14:textId="77777777" w:rsidR="00605871" w:rsidRPr="00E14102" w:rsidRDefault="00605871" w:rsidP="00E14102">
      <w:pPr>
        <w:jc w:val="both"/>
        <w:rPr>
          <w:color w:val="0070C0"/>
          <w:sz w:val="16"/>
          <w:szCs w:val="16"/>
        </w:rPr>
      </w:pPr>
    </w:p>
    <w:p w14:paraId="01CA7A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мая 1920 на парламентских выборах в Чехословакии партия судетских немцев получила 44 места из 300 и стала второй по величине парламентской фракцией (3907,191).</w:t>
      </w:r>
    </w:p>
    <w:p w14:paraId="4FCB0972" w14:textId="77777777" w:rsidR="00D4105E" w:rsidRPr="00E14102" w:rsidRDefault="00D4105E" w:rsidP="00E14102">
      <w:pPr>
        <w:autoSpaceDE w:val="0"/>
        <w:autoSpaceDN w:val="0"/>
        <w:adjustRightInd w:val="0"/>
        <w:jc w:val="both"/>
        <w:rPr>
          <w:color w:val="000000" w:themeColor="text1"/>
          <w:sz w:val="16"/>
          <w:szCs w:val="16"/>
        </w:rPr>
      </w:pPr>
    </w:p>
    <w:p w14:paraId="3B364A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мая 1935 от ран, полученных при аварии своего мотоцикла, скончался английский шпион, полководец Лоуренс Аравийский (4962).</w:t>
      </w:r>
    </w:p>
    <w:p w14:paraId="2CD685D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CD9970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28375B5" w14:textId="77777777" w:rsidR="00D4105E" w:rsidRPr="00E14102" w:rsidRDefault="00D4105E" w:rsidP="00E14102">
      <w:pPr>
        <w:autoSpaceDE w:val="0"/>
        <w:autoSpaceDN w:val="0"/>
        <w:adjustRightInd w:val="0"/>
        <w:jc w:val="both"/>
        <w:rPr>
          <w:iCs/>
          <w:color w:val="000000" w:themeColor="text1"/>
          <w:sz w:val="16"/>
          <w:szCs w:val="16"/>
        </w:rPr>
      </w:pPr>
    </w:p>
    <w:p w14:paraId="084760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мая 1935 в ходе серийных испытаний КР-6 на заводе 22, которые проходили с 12 апреля по 28 мая 1935, проводилось определение скороподъемности п потолка, максимальных скоростей и управляемости на 1500 м, а потом - до 28 мая - испытания стоек шасси. до этого машина стояла из-за непригодности аэродрома (5:00) (2936).</w:t>
      </w:r>
    </w:p>
    <w:p w14:paraId="355CF741" w14:textId="77777777" w:rsidR="00D4105E" w:rsidRPr="00E14102" w:rsidRDefault="00D4105E" w:rsidP="00E14102">
      <w:pPr>
        <w:autoSpaceDE w:val="0"/>
        <w:autoSpaceDN w:val="0"/>
        <w:adjustRightInd w:val="0"/>
        <w:jc w:val="both"/>
        <w:rPr>
          <w:color w:val="000000" w:themeColor="text1"/>
          <w:sz w:val="16"/>
          <w:szCs w:val="16"/>
        </w:rPr>
      </w:pPr>
    </w:p>
    <w:p w14:paraId="4A863C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мая 1935 Дир. завода 45 Ланковский писал письмо N 292 Зам. Нач. ГУАП Марголину:</w:t>
      </w:r>
    </w:p>
    <w:p w14:paraId="1AD407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20 мая по 11 сентября 1935 года проходили испытания серийных самолетов "Зет" постройки завода 135 за NN 13533, 13534 и 13535 на предмет определения эксплуатационных свойств самолетов (3074).</w:t>
      </w:r>
    </w:p>
    <w:p w14:paraId="532A8872" w14:textId="77777777" w:rsidR="00D4105E" w:rsidRPr="00E14102" w:rsidRDefault="00D4105E" w:rsidP="00E14102">
      <w:pPr>
        <w:autoSpaceDE w:val="0"/>
        <w:autoSpaceDN w:val="0"/>
        <w:adjustRightInd w:val="0"/>
        <w:jc w:val="both"/>
        <w:rPr>
          <w:color w:val="000000" w:themeColor="text1"/>
          <w:sz w:val="16"/>
          <w:szCs w:val="16"/>
        </w:rPr>
      </w:pPr>
    </w:p>
    <w:p w14:paraId="21C150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мая 1935 года директор завода N 45 Ланчковский писал письмо N 299 начальнику ГУАП"а Марголину.</w:t>
      </w:r>
    </w:p>
    <w:p w14:paraId="102EF6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заданной заводу программе опытного строительства на 1935 год установлен для самолета МДР-6 срок выхода на испытания 1/I-1936 г.</w:t>
      </w:r>
    </w:p>
    <w:p w14:paraId="74B12A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Такой срок для завода непосилен по следующим соображениям:</w:t>
      </w:r>
    </w:p>
    <w:p w14:paraId="4BAC44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Утверждение эскизного проекта, в НИИ УВВС задержалось с января с.г. по май с.г., вследствие чего 3 месяца проектирование рабочего проекта велось недостаточными темпами в предположении возможных переделок.</w:t>
      </w:r>
    </w:p>
    <w:p w14:paraId="2AD89D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эти три месяца следует считать потерянными.</w:t>
      </w:r>
    </w:p>
    <w:p w14:paraId="5314A6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По утвержденным контрольным цифрам на 1925 год строительство самолета МДР-6 не обеспечено средствами на завершение всех работ в 1935 г., т.к. отпущенные лимиты по труду соответствуют примерно 70% трудоемкости работ и основаны на реальных возможностях развития этих работ на базе з-да 45, т.е. при использовании только имеющихся на заводе кадров и оборудования.</w:t>
      </w:r>
    </w:p>
    <w:p w14:paraId="5A4CA2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Эти соображения были доложены Вам мною 9 мая с.г. и Вы принципиально санкционировали изменение срока.</w:t>
      </w:r>
    </w:p>
    <w:p w14:paraId="491086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Учитывая вышеизложенное прошу отодвинуть срок выпуска самолета МДР-6 на 1-е мая 1935 года (2336,130).</w:t>
      </w:r>
    </w:p>
    <w:p w14:paraId="19FFCA0C" w14:textId="77777777" w:rsidR="00D4105E" w:rsidRPr="00E14102" w:rsidRDefault="00D4105E" w:rsidP="00E14102">
      <w:pPr>
        <w:autoSpaceDE w:val="0"/>
        <w:autoSpaceDN w:val="0"/>
        <w:adjustRightInd w:val="0"/>
        <w:jc w:val="both"/>
        <w:rPr>
          <w:color w:val="000000" w:themeColor="text1"/>
          <w:sz w:val="16"/>
          <w:szCs w:val="16"/>
        </w:rPr>
      </w:pPr>
    </w:p>
    <w:p w14:paraId="04F6F88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 мая 1935 г., через день после катастрофы газета «Правда» (№ 137 от 20 мая 1935 г.) напечата</w:t>
      </w:r>
      <w:r w:rsidRPr="00E14102">
        <w:rPr>
          <w:color w:val="000000" w:themeColor="text1"/>
          <w:sz w:val="16"/>
          <w:szCs w:val="16"/>
        </w:rPr>
        <w:softHyphen/>
        <w:t>ла рассказ летчика Р-5 В.В. Рыбушкина (он пилотировал киносъёмщик всесто И.Ф. Козлова). В изложении корреспондента «Правды» он звучал так:</w:t>
      </w:r>
    </w:p>
    <w:p w14:paraId="11A9993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«Задание я получил в 5 часов вечера 17 мая вместе с лётчиком Благиным... Мне было приказано взять на борт кинооператора Щекутьева... Я поднялся первым, за мной взле</w:t>
      </w:r>
      <w:r w:rsidRPr="00E14102">
        <w:rPr>
          <w:color w:val="000000" w:themeColor="text1"/>
          <w:sz w:val="16"/>
          <w:szCs w:val="16"/>
        </w:rPr>
        <w:softHyphen/>
        <w:t>тел Благин. Затем поднялся «Максим Горький». Я пристроился слева от него. Благин -справа.</w:t>
      </w:r>
    </w:p>
    <w:p w14:paraId="326830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втором круге «Максим Горький» сделал разворот влево и пошел по направлению к аэродрому. Я поднялся немного выше и шел метрах в пятидесяти от левого крыла са</w:t>
      </w:r>
      <w:r w:rsidRPr="00E14102">
        <w:rPr>
          <w:color w:val="000000" w:themeColor="text1"/>
          <w:sz w:val="16"/>
          <w:szCs w:val="16"/>
        </w:rPr>
        <w:softHyphen/>
        <w:t>молёта. Смотрю, Благин, находясь на правом крыле, сделал правую «бочку» и отошел по инерции вправо от самолёта. Затем он перешел на левое крыло; я немного отошел в сторону и поднялся выше, решив, что он будет делать левую «бочку», и его самолёт отнесет влево. (Л.М. Вяткин писал, что «на самом деле, судя по кадрам фильма, Ры-бушкин взял принижение и съёмка велась на фоне неба».)</w:t>
      </w:r>
    </w:p>
    <w:p w14:paraId="6223C2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Благин прибавил газу, вышел вперёд и стал делать новую фигуру высшего пилотажа. Это было очень опасно, так как его по инерции могло затащить на «Максима Горького». Фигура у него не получилась, он потерял скорость и врезался в правое крыло..., около среднего мотора. Видимо, он ударился в масляные баки (ибо взвился клуб черного ды</w:t>
      </w:r>
      <w:r w:rsidRPr="00E14102">
        <w:rPr>
          <w:color w:val="000000" w:themeColor="text1"/>
          <w:sz w:val="16"/>
          <w:szCs w:val="16"/>
        </w:rPr>
        <w:softHyphen/>
        <w:t>ма, пробил мотором верхнюю и нижнюю обшивки крыла и сломал лонжероны).</w:t>
      </w:r>
    </w:p>
    <w:p w14:paraId="10DEB13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Удар был чудовищной силы, «Максим Горький» накренился вправо, от него от</w:t>
      </w:r>
      <w:r w:rsidRPr="00E14102">
        <w:rPr>
          <w:color w:val="000000" w:themeColor="text1"/>
          <w:sz w:val="16"/>
          <w:szCs w:val="16"/>
        </w:rPr>
        <w:softHyphen/>
        <w:t>делился чёрный капот и куски трениро</w:t>
      </w:r>
      <w:r w:rsidRPr="00E14102">
        <w:rPr>
          <w:color w:val="000000" w:themeColor="text1"/>
          <w:sz w:val="16"/>
          <w:szCs w:val="16"/>
        </w:rPr>
        <w:softHyphen/>
        <w:t>вочного самолёта. «Максим Горький» пролетел по инерции еще 10-15 секунд, крен все увеличивался, и он начал па</w:t>
      </w:r>
      <w:r w:rsidRPr="00E14102">
        <w:rPr>
          <w:color w:val="000000" w:themeColor="text1"/>
          <w:sz w:val="16"/>
          <w:szCs w:val="16"/>
        </w:rPr>
        <w:softHyphen/>
        <w:t>дать на нос. Затем оторвалась часть правого крыла, потом отлетела часть фюзеляжа с хвостом, самолёт перешел в отвесное пикирование и перевернулся на спину.</w:t>
      </w:r>
    </w:p>
    <w:p w14:paraId="4A4160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Машина ударилась о сосны, стала сносить деревья, и окончательно рассы</w:t>
      </w:r>
      <w:r w:rsidRPr="00E14102">
        <w:rPr>
          <w:color w:val="000000" w:themeColor="text1"/>
          <w:sz w:val="16"/>
          <w:szCs w:val="16"/>
        </w:rPr>
        <w:softHyphen/>
        <w:t>палась на земле. Я сбавил газ и круто спланировал над местом катастрофы... Далее в рассказе Рыбушкина, — как пи</w:t>
      </w:r>
      <w:r w:rsidRPr="00E14102">
        <w:rPr>
          <w:color w:val="000000" w:themeColor="text1"/>
          <w:sz w:val="16"/>
          <w:szCs w:val="16"/>
        </w:rPr>
        <w:softHyphen/>
        <w:t>шет Л.М. Вяткин, — следует нечто неве</w:t>
      </w:r>
      <w:r w:rsidRPr="00E14102">
        <w:rPr>
          <w:color w:val="000000" w:themeColor="text1"/>
          <w:sz w:val="16"/>
          <w:szCs w:val="16"/>
        </w:rPr>
        <w:softHyphen/>
        <w:t>роятное, что свидетельствует, что выше</w:t>
      </w:r>
      <w:r w:rsidRPr="00E14102">
        <w:rPr>
          <w:color w:val="000000" w:themeColor="text1"/>
          <w:sz w:val="16"/>
          <w:szCs w:val="16"/>
        </w:rPr>
        <w:softHyphen/>
        <w:t>приведенный текст подвергся изрядной правке с добавлением большой дозы самого вульгарного вранья...» (Вяткин Л.М. Трагедии воздушного океана. М., 1999. С. 190-191.).</w:t>
      </w:r>
    </w:p>
    <w:p w14:paraId="492A64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Обратите внимание, что злополучная фигура высшего пилотажа в тексте сообщения ТАСС названа «мёртвой петлей», а в рассказе ныне почти забытого лётчика-испытателя ЦАГИ Рыбушкина — «бочкой». В результате расследования появилась докладная Нарко</w:t>
      </w:r>
      <w:r w:rsidRPr="00E14102">
        <w:rPr>
          <w:color w:val="000000" w:themeColor="text1"/>
          <w:sz w:val="16"/>
          <w:szCs w:val="16"/>
        </w:rPr>
        <w:softHyphen/>
        <w:t>ма НКВД Генриха Ягоды Сталину, где основными причинами трагедии, «как установле</w:t>
      </w:r>
      <w:r w:rsidRPr="00E14102">
        <w:rPr>
          <w:color w:val="000000" w:themeColor="text1"/>
          <w:sz w:val="16"/>
          <w:szCs w:val="16"/>
        </w:rPr>
        <w:softHyphen/>
        <w:t>но следствием, является нарушение лётчиком Благиным, погибшим со своим самолё</w:t>
      </w:r>
      <w:r w:rsidRPr="00E14102">
        <w:rPr>
          <w:color w:val="000000" w:themeColor="text1"/>
          <w:sz w:val="16"/>
          <w:szCs w:val="16"/>
        </w:rPr>
        <w:softHyphen/>
        <w:t>том, приказа о порядке сопровождения «Максима Горького» (так еще 19 мая утвержда</w:t>
      </w:r>
      <w:r w:rsidRPr="00E14102">
        <w:rPr>
          <w:color w:val="000000" w:themeColor="text1"/>
          <w:sz w:val="16"/>
          <w:szCs w:val="16"/>
        </w:rPr>
        <w:softHyphen/>
        <w:t>ла «Правда» в передовице). Этим вывели из-под удара всех возможных «наземных» ви</w:t>
      </w:r>
      <w:r w:rsidRPr="00E14102">
        <w:rPr>
          <w:color w:val="000000" w:themeColor="text1"/>
          <w:sz w:val="16"/>
          <w:szCs w:val="16"/>
        </w:rPr>
        <w:softHyphen/>
        <w:t>новников, скорее всего, дававших устное указание лётчику «поэффектнее» показать гигант для киносъёмки. Позже утверждали, что сам Благин накануне рокового полёта даже просил освободить его от такого задания.</w:t>
      </w:r>
    </w:p>
    <w:p w14:paraId="7A6F69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докладной Ягоды фигура Благина тоже названа «бочкой». По мнению Вяткина, выпол</w:t>
      </w:r>
      <w:r w:rsidRPr="00E14102">
        <w:rPr>
          <w:color w:val="000000" w:themeColor="text1"/>
          <w:sz w:val="16"/>
          <w:szCs w:val="16"/>
        </w:rPr>
        <w:softHyphen/>
        <w:t>нить классическую «мёртвую петлю» вокруг подвижного объекта в воздухе невозможно, и «поразительно, что Николай Благин все же выполнил прихоть начальства, совершив невероятное. Помог профессиональный опыт. Он заменил классическую «мёртвую пет</w:t>
      </w:r>
      <w:r w:rsidRPr="00E14102">
        <w:rPr>
          <w:color w:val="000000" w:themeColor="text1"/>
          <w:sz w:val="16"/>
          <w:szCs w:val="16"/>
        </w:rPr>
        <w:softHyphen/>
        <w:t>лю» неправильной «бочкой» с большим радиусом. Делалось это так: истребитель Благи</w:t>
      </w:r>
      <w:r w:rsidRPr="00E14102">
        <w:rPr>
          <w:color w:val="000000" w:themeColor="text1"/>
          <w:sz w:val="16"/>
          <w:szCs w:val="16"/>
        </w:rPr>
        <w:softHyphen/>
        <w:t xml:space="preserve">на со снижением разгонял скорость и затем шел на вертикаль и одновременно выполнял «бочку» с большим радиусом. Оказавшись над флагманом в перевернутом положении и несколько под углом, Благин </w:t>
      </w:r>
      <w:r w:rsidRPr="00E14102">
        <w:rPr>
          <w:color w:val="000000" w:themeColor="text1"/>
          <w:sz w:val="16"/>
          <w:szCs w:val="16"/>
        </w:rPr>
        <w:lastRenderedPageBreak/>
        <w:t>пропустил его не</w:t>
      </w:r>
      <w:r w:rsidRPr="00E14102">
        <w:rPr>
          <w:color w:val="000000" w:themeColor="text1"/>
          <w:sz w:val="16"/>
          <w:szCs w:val="16"/>
        </w:rPr>
        <w:softHyphen/>
        <w:t>сколько вперед и затем завершил эволюцию. При этом, описывая большую кривую, истребитель пе</w:t>
      </w:r>
      <w:r w:rsidRPr="00E14102">
        <w:rPr>
          <w:color w:val="000000" w:themeColor="text1"/>
          <w:sz w:val="16"/>
          <w:szCs w:val="16"/>
        </w:rPr>
        <w:softHyphen/>
        <w:t>реходил одновременно от одного крыла к другому. С земли для наблюдателя это казалось «мёртвой петлей» и выглядело весьма эффектно» (Вяткин Л.М. Трагедии воздушного океана. М., 1999. С. 186.).</w:t>
      </w:r>
    </w:p>
    <w:p w14:paraId="1F3558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 что-нибудь поняли?... А я нет!...</w:t>
      </w:r>
    </w:p>
    <w:p w14:paraId="5C9AAE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Поэтому остается только «поверить собственным глазам» и пересказать то, что удалось увидеть на весьма отрывочных кадрах кинохроники.</w:t>
      </w:r>
    </w:p>
    <w:p w14:paraId="352026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Всего зафиксировано три петли. Первая — это и не петля вовсе, а скорее прикидка. Киносъёмщик находился слева и ниже «МГ». Хорошо видно, как И-5 как-бы «подкрадывается» под брюхо гиганта, затем, уравняв скорости, выходит вперед и вверх на несколько метров и... дает полный газ и резко берет ручку на себя. Истребитель опрокидывается на спину и при этом, что примечательно, вращается не вокруг центра масс, а вокруг хвоста(!), ведь нельзя терять ни метра высоты! Этим опровергаются все утверждения, что лётчик потерял скорость и сорвался в штопор, такого просто быть не могло. Оказавшись на спине за хвостом «МГ», Благин опять резко взял ручку на себя и, как бы пикируя, погнался за хвостом «МГ». Вся его кривая по горизонтали растянулась метров на 50-70, а по высоте еще меньше.</w:t>
      </w:r>
    </w:p>
    <w:p w14:paraId="2D66CC3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Вторая петля — классическая с радиусом примерно 2-3 длины фюзеляжа «МГ». Ки</w:t>
      </w:r>
      <w:r w:rsidRPr="00E14102">
        <w:rPr>
          <w:color w:val="000000" w:themeColor="text1"/>
          <w:sz w:val="16"/>
          <w:szCs w:val="16"/>
        </w:rPr>
        <w:softHyphen/>
        <w:t>носъёмщик остался слева и ниже «МГ», но на значительно большем удалении. Благин сделал петлю в вертикальной плоскости, параллельной вектору полёта гиганта и явно вне размаха его крыльев, причем на кадрах хорошо видно, как в верхней точке петли происходит наложение («столкновение») крыла гиганта и И-5.</w:t>
      </w:r>
    </w:p>
    <w:p w14:paraId="5BB467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Я пока не знаю, как на земле удалось так точно рассчитать точку киносъёмки (в воз</w:t>
      </w:r>
      <w:r w:rsidRPr="00E14102">
        <w:rPr>
          <w:color w:val="000000" w:themeColor="text1"/>
          <w:sz w:val="16"/>
          <w:szCs w:val="16"/>
        </w:rPr>
        <w:softHyphen/>
        <w:t>духе радиосвязи не было), чтобы обеспечить такое «наложение». Все это для специа</w:t>
      </w:r>
      <w:r w:rsidRPr="00E14102">
        <w:rPr>
          <w:color w:val="000000" w:themeColor="text1"/>
          <w:sz w:val="16"/>
          <w:szCs w:val="16"/>
        </w:rPr>
        <w:softHyphen/>
        <w:t>листов выглядит очень эффектно и... совершенно незрелищно для зрителей.</w:t>
      </w:r>
    </w:p>
    <w:p w14:paraId="32E792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Самое поразительное — это третья петля (в хронике показано её 3/4), вернее то, КАК она была выполнена.</w:t>
      </w:r>
    </w:p>
    <w:p w14:paraId="78DEA3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момент киносъёмки Р-5 с оператором находился достаточно близко от гиганта, не</w:t>
      </w:r>
      <w:r w:rsidRPr="00E14102">
        <w:rPr>
          <w:color w:val="000000" w:themeColor="text1"/>
          <w:sz w:val="16"/>
          <w:szCs w:val="16"/>
        </w:rPr>
        <w:softHyphen/>
        <w:t>много ниже и впереди слева. Благин летел чуть ниже гиганта справа курсом примерно под 45° к оси его полета и прямо на Р-5. Оказавшись под «МГ», он ввёл свой истреби</w:t>
      </w:r>
      <w:r w:rsidRPr="00E14102">
        <w:rPr>
          <w:color w:val="000000" w:themeColor="text1"/>
          <w:sz w:val="16"/>
          <w:szCs w:val="16"/>
        </w:rPr>
        <w:softHyphen/>
        <w:t>тель в мёртвую петлю, вышел вверх впереди левого крыла гиганта и закончил петлю за правым крылом «МГ», в опасной близости от 18-метрового хвоста. Сразу возник воп</w:t>
      </w:r>
      <w:r w:rsidRPr="00E14102">
        <w:rPr>
          <w:color w:val="000000" w:themeColor="text1"/>
          <w:sz w:val="16"/>
          <w:szCs w:val="16"/>
        </w:rPr>
        <w:softHyphen/>
        <w:t>рос — зачем так сложно и опасно? Однако позже, проанализировав ситуацию и прове</w:t>
      </w:r>
      <w:r w:rsidRPr="00E14102">
        <w:rPr>
          <w:color w:val="000000" w:themeColor="text1"/>
          <w:sz w:val="16"/>
          <w:szCs w:val="16"/>
        </w:rPr>
        <w:softHyphen/>
        <w:t>дя собственное историко-техническое расследование, стало понятно, что, по-видимому, только так и можно было сделать эту злополучную петлю.</w:t>
      </w:r>
    </w:p>
    <w:p w14:paraId="102DB4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Наиболее простой и безопасный вариант — сделать петлю на параллельном курсе (вторая петля), как уже было сказано выше, не подходил. Выполнение петли по диаго</w:t>
      </w:r>
      <w:r w:rsidRPr="00E14102">
        <w:rPr>
          <w:color w:val="000000" w:themeColor="text1"/>
          <w:sz w:val="16"/>
          <w:szCs w:val="16"/>
        </w:rPr>
        <w:softHyphen/>
        <w:t>нали, при всей кажущейся сложности, наоборот, упрощало ее выполнение, главным образом, за счет того, что скорость движения И-5 относительно «МГ» в продольном и поперечном направлении значительно уменьшалась, а описать круг вокруг неподвиж</w:t>
      </w:r>
      <w:r w:rsidRPr="00E14102">
        <w:rPr>
          <w:color w:val="000000" w:themeColor="text1"/>
          <w:sz w:val="16"/>
          <w:szCs w:val="16"/>
        </w:rPr>
        <w:softHyphen/>
        <w:t>ного предмета значительно проще.</w:t>
      </w:r>
    </w:p>
    <w:p w14:paraId="44838E7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Мёртвую петлю Благин сделал с радиусом меньше размаха крыльев гиганта (Вяткин да</w:t>
      </w:r>
      <w:r w:rsidRPr="00E14102">
        <w:rPr>
          <w:color w:val="000000" w:themeColor="text1"/>
          <w:sz w:val="16"/>
          <w:szCs w:val="16"/>
        </w:rPr>
        <w:softHyphen/>
        <w:t>же утверждал, что радиус был всего около 18 м), и время ее выполнения составило мень</w:t>
      </w:r>
      <w:r w:rsidRPr="00E14102">
        <w:rPr>
          <w:color w:val="000000" w:themeColor="text1"/>
          <w:sz w:val="16"/>
          <w:szCs w:val="16"/>
        </w:rPr>
        <w:softHyphen/>
        <w:t>ше 3-5 сек, за это время «МГ» пролетал 150-250 м. Чтобы не столкнуться с левым крылом в начале петли, ее следовало начинать чуть впереди центра самолёта. Ошибка в моменте входа в петлю не должна была превышать 0,1-0,2 сек, за которые И-5 при ско</w:t>
      </w:r>
      <w:r w:rsidRPr="00E14102">
        <w:rPr>
          <w:color w:val="000000" w:themeColor="text1"/>
          <w:sz w:val="16"/>
          <w:szCs w:val="16"/>
        </w:rPr>
        <w:softHyphen/>
        <w:t>рости около 250 км/ч пролетал от 7 до 15 м. Вместе с тем у лётчика не было никаких ори</w:t>
      </w:r>
      <w:r w:rsidRPr="00E14102">
        <w:rPr>
          <w:color w:val="000000" w:themeColor="text1"/>
          <w:sz w:val="16"/>
          <w:szCs w:val="16"/>
        </w:rPr>
        <w:softHyphen/>
        <w:t>ентиров, кроме движущегося гиганта.</w:t>
      </w:r>
    </w:p>
    <w:p w14:paraId="05FE44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Первую петлю Благин вы</w:t>
      </w:r>
      <w:r w:rsidRPr="00E14102">
        <w:rPr>
          <w:color w:val="000000" w:themeColor="text1"/>
          <w:sz w:val="16"/>
          <w:szCs w:val="16"/>
        </w:rPr>
        <w:softHyphen/>
        <w:t>полнил ювелирно, что свиде</w:t>
      </w:r>
      <w:r w:rsidRPr="00E14102">
        <w:rPr>
          <w:color w:val="000000" w:themeColor="text1"/>
          <w:sz w:val="16"/>
          <w:szCs w:val="16"/>
        </w:rPr>
        <w:softHyphen/>
        <w:t>тельствует о том, что лётчик накануне немало потрудился над схемой и траекторией вы</w:t>
      </w:r>
      <w:r w:rsidRPr="00E14102">
        <w:rPr>
          <w:color w:val="000000" w:themeColor="text1"/>
          <w:sz w:val="16"/>
          <w:szCs w:val="16"/>
        </w:rPr>
        <w:softHyphen/>
        <w:t>полнения полёта. Неясно, бы</w:t>
      </w:r>
      <w:r w:rsidRPr="00E14102">
        <w:rPr>
          <w:color w:val="000000" w:themeColor="text1"/>
          <w:sz w:val="16"/>
          <w:szCs w:val="16"/>
        </w:rPr>
        <w:softHyphen/>
        <w:t>ло ли у лётчика инженерное образование, но он активно занимался изобретательст</w:t>
      </w:r>
      <w:r w:rsidRPr="00E14102">
        <w:rPr>
          <w:color w:val="000000" w:themeColor="text1"/>
          <w:sz w:val="16"/>
          <w:szCs w:val="16"/>
        </w:rPr>
        <w:softHyphen/>
        <w:t>вом и, без сомнения, был хо</w:t>
      </w:r>
      <w:r w:rsidRPr="00E14102">
        <w:rPr>
          <w:color w:val="000000" w:themeColor="text1"/>
          <w:sz w:val="16"/>
          <w:szCs w:val="16"/>
        </w:rPr>
        <w:softHyphen/>
        <w:t>рошо знаком с инженерными расчетами.</w:t>
      </w:r>
    </w:p>
    <w:p w14:paraId="06A23B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Лётчик-испытатель Герой Советского Со</w:t>
      </w:r>
      <w:r w:rsidRPr="00E14102">
        <w:rPr>
          <w:color w:val="000000" w:themeColor="text1"/>
          <w:sz w:val="16"/>
          <w:szCs w:val="16"/>
        </w:rPr>
        <w:softHyphen/>
        <w:t>юза М А. Нюхтиков, видевший в ЦАГИ засе</w:t>
      </w:r>
      <w:r w:rsidRPr="00E14102">
        <w:rPr>
          <w:color w:val="000000" w:themeColor="text1"/>
          <w:sz w:val="16"/>
          <w:szCs w:val="16"/>
        </w:rPr>
        <w:softHyphen/>
        <w:t>креченные кадры хроники, говорил Вяткину, что «Благин выполнил благополучно две эволюции и только на третьей таранил «Максима Горького», явно не справившись с управлением».</w:t>
      </w:r>
    </w:p>
    <w:p w14:paraId="18DDCE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Что произошло во время второй (или третьей) петли, можно лишь предполагать. Неясно, выполнял ли он ее (их) подряд, или же делал новые заходы. В первом случае могла набежать небольшая ошибка во вре</w:t>
      </w:r>
      <w:r w:rsidRPr="00E14102">
        <w:rPr>
          <w:color w:val="000000" w:themeColor="text1"/>
          <w:sz w:val="16"/>
          <w:szCs w:val="16"/>
        </w:rPr>
        <w:softHyphen/>
        <w:t>мени начала петли (а 0,2 с было уже доста</w:t>
      </w:r>
      <w:r w:rsidRPr="00E14102">
        <w:rPr>
          <w:color w:val="000000" w:themeColor="text1"/>
          <w:sz w:val="16"/>
          <w:szCs w:val="16"/>
        </w:rPr>
        <w:softHyphen/>
        <w:t>точно для столкновения), во втором случае «чуть-чуть» мог опоздать сам лётчик.</w:t>
      </w:r>
    </w:p>
    <w:p w14:paraId="1054E8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Пресловутая «бочка» долго не давала мне покоя, и однажды, пользуясь случаем, я долго «пытал» Вяткина, что он имел ввиду?</w:t>
      </w:r>
    </w:p>
    <w:p w14:paraId="247B3E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конце концов он «сознался», что под «бочкой» он сам понимал разомкнутую петлю и... тогда все стало на свои места, особенно с учетом комментария Нюхтикова.</w:t>
      </w:r>
    </w:p>
    <w:p w14:paraId="27241E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Представьте себе гигантский бутылочный штопор, лежащий горизонтально, по цент</w:t>
      </w:r>
      <w:r w:rsidRPr="00E14102">
        <w:rPr>
          <w:color w:val="000000" w:themeColor="text1"/>
          <w:sz w:val="16"/>
          <w:szCs w:val="16"/>
        </w:rPr>
        <w:softHyphen/>
        <w:t>ральной оси спирали летит «МГ», а сама спираль — это траектория И-5, причем диаметр спирали меньше размаха крыльев АНТ-20. Как мне кажется, это или нечто подобное и хотели продемонстрировать И.В. Сталину над Красной площадью.</w:t>
      </w:r>
    </w:p>
    <w:p w14:paraId="2FAD36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Такая прямо-таки «цирковая» задача у Н.П. Благина была значительно сложнее, чем у знаменитого В.П. Чкалова, однажды пролетевшего под Невским мостом.</w:t>
      </w:r>
    </w:p>
    <w:p w14:paraId="2303D07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полном объёме кадры хроники, виденные Нюхтиковым, обнаружить не удалось, и если правда, что Благин совершил три петли подряд, то ему удалось практически не</w:t>
      </w:r>
      <w:r w:rsidRPr="00E14102">
        <w:rPr>
          <w:color w:val="000000" w:themeColor="text1"/>
          <w:sz w:val="16"/>
          <w:szCs w:val="16"/>
        </w:rPr>
        <w:softHyphen/>
        <w:t>возможное. Конечно, это был воистину «смертельный» трюк...(11696).</w:t>
      </w:r>
    </w:p>
    <w:p w14:paraId="646010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46ED1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мая 1935 Комитет конкурса АВИАВНИТО был на приеме у A.К.Орджоникидзе и тот удивился, что в опытных КБ проектируются, а на заводах строятся самолеты вне плана, вне нормальной работы ОКБ - запретил (1076,638).</w:t>
      </w:r>
    </w:p>
    <w:p w14:paraId="3A56572E" w14:textId="77777777" w:rsidR="00D4105E" w:rsidRPr="00E14102" w:rsidRDefault="00D4105E" w:rsidP="00E14102">
      <w:pPr>
        <w:autoSpaceDE w:val="0"/>
        <w:autoSpaceDN w:val="0"/>
        <w:adjustRightInd w:val="0"/>
        <w:jc w:val="both"/>
        <w:rPr>
          <w:color w:val="000000" w:themeColor="text1"/>
          <w:sz w:val="16"/>
          <w:szCs w:val="16"/>
        </w:rPr>
      </w:pPr>
    </w:p>
    <w:p w14:paraId="1D5B64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мая 1935 года постановление № С-59сс СТО</w:t>
      </w:r>
    </w:p>
    <w:p w14:paraId="563674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развитии гидросамолетостроения</w:t>
      </w:r>
    </w:p>
    <w:p w14:paraId="022001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20DA21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обеспечения потребностей морской авиации в вооружении ее гидросамолетами обязать НКТпром:</w:t>
      </w:r>
    </w:p>
    <w:p w14:paraId="6B4E572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Построить новый гидросамолетостроительный завод для обеспечения потребнойстей морской авиации С-3 театра с расчетом начать производство на этом заводе первых серий к концу 1936 года, а в 1937 году развернуть его до мощности в 300 самолетов тяжелого типа (ориентировочно 200 единиц МДР-6 и 100 единиц МТТ-2).</w:t>
      </w:r>
    </w:p>
    <w:p w14:paraId="3772B3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Ориентировочно район строительства определить Калининскую область, с использованием водного бассейна и сооружений гидроканала Волга-Москва под Кимрами. ……………………</w:t>
      </w:r>
    </w:p>
    <w:p w14:paraId="465D668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Расширить авиазавод № 126 в Комсомольске ……………………(7516, 73).</w:t>
      </w:r>
    </w:p>
    <w:p w14:paraId="083437BF"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564B4B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мая 1935 вышло постановление СТО N C-59сс "О развитии гидросамолетостроения" и в т.ч. о строительстве завода 30 (2161,77).</w:t>
      </w:r>
    </w:p>
    <w:p w14:paraId="21AC2C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Построить новый гидросамолетостроительный завод... Ориентировочный район строительства - Калининская обл. с использованием водного бассейна и сооружений гидроканале Волга-Москва под Кимрами.</w:t>
      </w:r>
    </w:p>
    <w:p w14:paraId="652D17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Расширить авиазавод 126 в Комсомольске с расчетом иметь производственную мощность в 600 самолетов и 400 ед. гидросамолетов." (2398,66).</w:t>
      </w:r>
    </w:p>
    <w:p w14:paraId="0DE143A6" w14:textId="77777777" w:rsidR="00D4105E" w:rsidRPr="00E14102" w:rsidRDefault="00D4105E" w:rsidP="00E14102">
      <w:pPr>
        <w:autoSpaceDE w:val="0"/>
        <w:autoSpaceDN w:val="0"/>
        <w:adjustRightInd w:val="0"/>
        <w:jc w:val="both"/>
        <w:rPr>
          <w:color w:val="000000" w:themeColor="text1"/>
          <w:sz w:val="16"/>
          <w:szCs w:val="16"/>
        </w:rPr>
      </w:pPr>
    </w:p>
    <w:p w14:paraId="15ECEB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мая 1935 вышло постановление СТО N C-60сс "О мероприятиях по обеспечению развития ВС" - в развитие постановления СТО N С-41сс от 25 апреля 1935 (2398,70).</w:t>
      </w:r>
    </w:p>
    <w:p w14:paraId="3D148B09" w14:textId="77777777" w:rsidR="00D4105E" w:rsidRPr="00E14102" w:rsidRDefault="00D4105E" w:rsidP="00E14102">
      <w:pPr>
        <w:autoSpaceDE w:val="0"/>
        <w:autoSpaceDN w:val="0"/>
        <w:adjustRightInd w:val="0"/>
        <w:jc w:val="both"/>
        <w:rPr>
          <w:color w:val="000000" w:themeColor="text1"/>
          <w:sz w:val="16"/>
          <w:szCs w:val="16"/>
        </w:rPr>
      </w:pPr>
    </w:p>
    <w:p w14:paraId="5826AE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мая 1935 подготовкой машины ДВ СССР-Н8 занялся старший механик Кекушев и механик Краснопевков. Лишь 20 июня состав экипажа утвердили: командир - П.Г.Головин, 2-й пилот Смыслов (по другим данным - Ф.Т.Еременко), штурман А.П.Штепенко, бортмеханики Н.Л.Кекушев и Краснопевков.</w:t>
      </w:r>
    </w:p>
    <w:p w14:paraId="5F0D33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подготовленном позднее отчете Штепенко отмечал, что летную работу экипаж начал без запчастей и инструмента (чтобы получить необходимое со склада требовалось иметь там своего человека).</w:t>
      </w:r>
    </w:p>
    <w:p w14:paraId="187EDD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23-25 июня СССР-Н8 облетали, удостоверились, что лодка не протекает и дефектов не имеет. На самолете были установлены новые двигатели М-17 с ресурсом 300 часов, гирополукомпас "Сперри", работающий от двух спаренных трубок Вентури, радиостанция "Телефункен" с приемником В-1 и пеленгаторной рамкой. После проведения заводских испытаний заменили толкающий воздушный винт второго двигателя и 27 июня вылетели, наконец, до Дудинки.</w:t>
      </w:r>
    </w:p>
    <w:p w14:paraId="560ACD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Согласно намеченному плану, самолет должен был прибыть в Тикси 25 июля для проведения ледовых разведок в море Лаптевых, а поначалу машину предполагалось передать на реку Лена в распоряжение Галышева. </w:t>
      </w:r>
    </w:p>
    <w:p w14:paraId="776FF7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практике события развивались несколько иначе. 18 июля СССР-Н8 перевез пассажиров и груз в Хатангу, 20-21 совершил еще один такой рейс. Посадка на гидродроме в Крестах (Хатанга) совершалась на абсолютно гладкую воду ("зеркало"), и самолет сильно ударился. В результате лодка стала заметно протекать. После оценки ситуации решили вернуться в Красноярск для проведения ремонта. Согласно записям Штепенко, на базе в Красноярске их ждали: "На берег вышли все, кто мог, в надежде наблюдать, как мы будем тонуть". Тонуть не получилось, поэтому все быстро разошлись по своим делам - "вытаскивать лодку на берег пришлось экипажу да двум хромым рабочим, которые по причине своей хромоты не смогли быстро ретироваться".</w:t>
      </w:r>
    </w:p>
    <w:p w14:paraId="1D6FE9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Несколько дней находились на базе, особых повреждений днища не обнаружили и после небольшого ремонта 28-го вновь вылетели вдоль Енисея на север. Однако, по прибытию в Игарку, вновь стала протекать лодка. На этот раз все подозрительные места замазали цементом, после чего поступление воды прекратилось.</w:t>
      </w:r>
    </w:p>
    <w:p w14:paraId="694C26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Еще на пути в Игарку самолет попал в сплошной дождь, который сильно побил тянущий воздушный винт переднего двигателя - имелись даже трещины. Наиболее заметные замазали титанином (шпаклевка), однако для спокойствия решили посоветоваться с оказавшимся здесь механиком Крутским, имеющим большой опыт эксплуатации "Валей". Крутский осмотрел винт и прямо на нем нацарапал - "годен 300 часов". Штепенко по этому поводу заметил - "а подписи не оставил".</w:t>
      </w:r>
    </w:p>
    <w:p w14:paraId="296774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Наконец 1 августа СССР-Н8 вылетел к месту назначенной дислокации и 2 августа прибыл в бухту Нордвик, расположенную в восточной части моря Лаптевых. В западной части Нор- двика имелось две небольшие бухты - Правда и Пионер. Именно здесь, как и в прошлый год, предстояло базироваться при проведении разведок. </w:t>
      </w:r>
      <w:r w:rsidRPr="00E14102">
        <w:rPr>
          <w:color w:val="000000" w:themeColor="text1"/>
          <w:sz w:val="16"/>
          <w:szCs w:val="16"/>
        </w:rPr>
        <w:lastRenderedPageBreak/>
        <w:t>Первая стоянка в бухте Правда ознаменовалась налетевшим штормом, который пережидали до 6 августа. Самолет стоял на якорях в наиболее спокойном и глубоком месте, в просторечье именуемом "ямой".</w:t>
      </w:r>
    </w:p>
    <w:p w14:paraId="00F9BC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Далее Штепенко записал: "6 августа погода улучшилась, ясное небо, хорошая видимость, остовый ветер 30 км/час, есть барашки. Вывели самолет из ямы, запустили моторы, в зажигании какие-то неисправности, пока возились, погода пошла на ухудшение, с востока надвигается мура, ветер усиливается.</w:t>
      </w:r>
    </w:p>
    <w:p w14:paraId="07C967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Запустили моторы, пошли от берега, море 5 баллов, самолет был по ветру и ни на малом, ни на среднем газу разворачиваться не хочет, при полном газе зарывается в воду. Выключили моторы и во время дрейфа развернулись против ветра. Быстро запустили моторы, полный газ и... что было... Самолет сразу зарылся носом в воду, и набежавшим валом захлестнуло вместе с гондолой и до выхода на редан 4 вала обрушивались на самолет, заливало кабины, людей и винты. После выхода на редан волной поддало, и самолет раньше времени оказался в воздухе, не имея нужной скорости, медленно оседал, пока следующая волна не подбила его обратно вверх. Таких ударов было три, - взлетели - крепка лодка у Дорнье-Валя".</w:t>
      </w:r>
    </w:p>
    <w:p w14:paraId="54A14E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Попытки вылететь на разведку в течение нескольких дней оказались безуспешными по причине отсутствия погоды. Наконец, вылетели 13-го августа, в 20-ти милях юго-восточнее острова Петра обнаружили "Ермак" с караваном судов. Разведали чистую воду и вывели суда. Вторая разведка состоялась на следующий день. В условиях облачности ледокол обнаружили при помощи пеленгаторной рамки. Штепенко отметил, что дальность обнаружения радиостанции мощностью 1 киловатт составляет 200 км.</w:t>
      </w:r>
    </w:p>
    <w:p w14:paraId="4B587C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Означенные два полета в сезоне 1935 г. оказались единственными в интересах каравана, ведомого "Ермаком". Все остальные полеты предпринимались в интересах других экспедиций. 26 августа СССР-Н8 вылетел на остров Котельный. Через 1 час 20 минут полета лопнули 2 болта на мотораме кормового мотора, поэтому, не долетая до Котельного, у мыса Баркин- Стан, в 3-х милях от берега пришлось совершить вынужденную посадку. Место оказалось очень мелким, глубина всего 40 сантиметров, 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1CB6C0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29FDCDB5" w14:textId="77777777" w:rsidR="00D4105E" w:rsidRPr="00E14102" w:rsidRDefault="00D4105E" w:rsidP="00E14102">
      <w:pPr>
        <w:autoSpaceDE w:val="0"/>
        <w:autoSpaceDN w:val="0"/>
        <w:adjustRightInd w:val="0"/>
        <w:jc w:val="both"/>
        <w:rPr>
          <w:color w:val="000000" w:themeColor="text1"/>
          <w:sz w:val="16"/>
          <w:szCs w:val="16"/>
        </w:rPr>
      </w:pPr>
    </w:p>
    <w:p w14:paraId="08C95526" w14:textId="77777777" w:rsidR="002F6502" w:rsidRPr="00E14102" w:rsidRDefault="002F6502" w:rsidP="00E14102">
      <w:pPr>
        <w:jc w:val="both"/>
        <w:rPr>
          <w:color w:val="000000" w:themeColor="text1"/>
          <w:sz w:val="16"/>
          <w:szCs w:val="16"/>
        </w:rPr>
      </w:pPr>
      <w:r w:rsidRPr="00E14102">
        <w:rPr>
          <w:color w:val="000000" w:themeColor="text1"/>
          <w:sz w:val="16"/>
          <w:szCs w:val="16"/>
        </w:rPr>
        <w:t>20 мая 1935 Н.Харламов в своей статье в газете "Известия" писал: "С тяжелым чувством, с чувством огромной скорби шел я в день катастрофы на заседание руководителей нашей партии и правительства в связи с гибелью "Максима Горького"... Товарищ Сталин собственноручно исправлял и дополнял решения в связи с гибелью "Максима Горького" (15480).</w:t>
      </w:r>
    </w:p>
    <w:p w14:paraId="2ED455B8" w14:textId="77777777" w:rsidR="002F6502" w:rsidRPr="00E14102" w:rsidRDefault="002F6502" w:rsidP="00E14102">
      <w:pPr>
        <w:jc w:val="both"/>
        <w:rPr>
          <w:color w:val="000000" w:themeColor="text1"/>
          <w:sz w:val="16"/>
          <w:szCs w:val="16"/>
        </w:rPr>
      </w:pPr>
    </w:p>
    <w:p w14:paraId="22E92F30" w14:textId="77777777" w:rsidR="002F6502" w:rsidRPr="00E14102" w:rsidRDefault="002F6502" w:rsidP="00E14102">
      <w:pPr>
        <w:pStyle w:val="rtejustify"/>
        <w:spacing w:before="0" w:after="0"/>
        <w:rPr>
          <w:color w:val="000000" w:themeColor="text1"/>
          <w:sz w:val="16"/>
          <w:szCs w:val="16"/>
        </w:rPr>
      </w:pPr>
      <w:r w:rsidRPr="00E14102">
        <w:rPr>
          <w:rStyle w:val="a6"/>
          <w:bCs/>
          <w:i w:val="0"/>
          <w:color w:val="000000" w:themeColor="text1"/>
          <w:sz w:val="16"/>
          <w:szCs w:val="16"/>
        </w:rPr>
        <w:t>20 мая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59сс «О развитии гидросамолетостроения». (ГА РФ. Ф. Р</w:t>
      </w:r>
      <w:r w:rsidRPr="00E14102">
        <w:rPr>
          <w:color w:val="000000" w:themeColor="text1"/>
          <w:sz w:val="16"/>
          <w:szCs w:val="16"/>
        </w:rPr>
        <w:noBreakHyphen/>
        <w:t>8418. Оп. 28. Д. 6. Л. 171) (15460).</w:t>
      </w:r>
    </w:p>
    <w:p w14:paraId="66C418E1" w14:textId="77777777" w:rsidR="002F6502" w:rsidRPr="00E14102" w:rsidRDefault="002F6502" w:rsidP="00E14102">
      <w:pPr>
        <w:pStyle w:val="rtejustify"/>
        <w:spacing w:before="0" w:after="0"/>
        <w:rPr>
          <w:color w:val="000000" w:themeColor="text1"/>
          <w:sz w:val="16"/>
          <w:szCs w:val="16"/>
        </w:rPr>
      </w:pPr>
    </w:p>
    <w:p w14:paraId="0BFB64C8" w14:textId="77777777" w:rsidR="001575D5"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655F57E" w14:textId="77777777" w:rsidR="001575D5" w:rsidRPr="00E14102" w:rsidRDefault="001575D5" w:rsidP="00E14102">
      <w:pPr>
        <w:autoSpaceDE w:val="0"/>
        <w:autoSpaceDN w:val="0"/>
        <w:adjustRightInd w:val="0"/>
        <w:jc w:val="both"/>
        <w:rPr>
          <w:iCs/>
          <w:color w:val="000000" w:themeColor="text1"/>
          <w:sz w:val="16"/>
          <w:szCs w:val="16"/>
        </w:rPr>
      </w:pPr>
    </w:p>
    <w:p w14:paraId="6AB7BC63" w14:textId="77777777" w:rsidR="001575D5" w:rsidRPr="00E14102" w:rsidRDefault="001575D5" w:rsidP="00E14102">
      <w:pPr>
        <w:pStyle w:val="rtejustify"/>
        <w:spacing w:before="0" w:after="0"/>
        <w:rPr>
          <w:color w:val="000000" w:themeColor="text1"/>
          <w:sz w:val="16"/>
          <w:szCs w:val="16"/>
        </w:rPr>
      </w:pPr>
      <w:r w:rsidRPr="00E14102">
        <w:rPr>
          <w:rStyle w:val="a6"/>
          <w:bCs/>
          <w:i w:val="0"/>
          <w:color w:val="000000" w:themeColor="text1"/>
          <w:sz w:val="16"/>
          <w:szCs w:val="16"/>
        </w:rPr>
        <w:t>20 мая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56сс «О техпомощи по военному кораблестроению». (ГА РФ. Ф. Р</w:t>
      </w:r>
      <w:r w:rsidRPr="00E14102">
        <w:rPr>
          <w:color w:val="000000" w:themeColor="text1"/>
          <w:sz w:val="16"/>
          <w:szCs w:val="16"/>
        </w:rPr>
        <w:noBreakHyphen/>
        <w:t>8418. Оп. 28. Д. 6. Л. 168) (15460).</w:t>
      </w:r>
    </w:p>
    <w:p w14:paraId="25C30519" w14:textId="77777777" w:rsidR="001575D5" w:rsidRPr="00E14102" w:rsidRDefault="001575D5" w:rsidP="00E14102">
      <w:pPr>
        <w:pStyle w:val="rtejustify"/>
        <w:spacing w:before="0" w:after="0"/>
        <w:rPr>
          <w:color w:val="000000" w:themeColor="text1"/>
          <w:sz w:val="16"/>
          <w:szCs w:val="16"/>
        </w:rPr>
      </w:pPr>
    </w:p>
    <w:p w14:paraId="45A74F79" w14:textId="77777777" w:rsidR="00917AA3" w:rsidRPr="00E14102" w:rsidRDefault="00917AA3" w:rsidP="00E14102">
      <w:pPr>
        <w:jc w:val="both"/>
        <w:rPr>
          <w:color w:val="000000" w:themeColor="text1"/>
          <w:sz w:val="16"/>
          <w:szCs w:val="16"/>
        </w:rPr>
      </w:pPr>
      <w:r w:rsidRPr="00E14102">
        <w:rPr>
          <w:color w:val="000000" w:themeColor="text1"/>
          <w:sz w:val="16"/>
          <w:szCs w:val="16"/>
        </w:rPr>
        <w:t>20 мая 1935 г. СТО СССР утвердил предложение Муклевича. А 28 апреля 1935 г. начальник Управления Морских Сил РККА Орлов, написал письмо наркому обороны СССР К.Е. Ворошилову, в котором сообщил, что уже лично докладывал ему о целесообразности привлечения итальянцев к техничен помощи по лидерам. Орлов считал, что итальянцы могли дать нам корабль, по своим тактико-техническим элементам не уступавший французскому.</w:t>
      </w:r>
    </w:p>
    <w:p w14:paraId="3EA0A20F" w14:textId="77777777" w:rsidR="00917AA3" w:rsidRPr="00E14102" w:rsidRDefault="00917AA3" w:rsidP="00E14102">
      <w:pPr>
        <w:jc w:val="both"/>
        <w:rPr>
          <w:color w:val="000000" w:themeColor="text1"/>
          <w:sz w:val="16"/>
          <w:szCs w:val="16"/>
        </w:rPr>
      </w:pPr>
      <w:r w:rsidRPr="00E14102">
        <w:rPr>
          <w:color w:val="000000" w:themeColor="text1"/>
          <w:sz w:val="16"/>
          <w:szCs w:val="16"/>
        </w:rPr>
        <w:t>Кроме того, сотрудничество с итальянцами позволяло за цену, которую требовали французы только за одну механическую установку, получить в Италии, кроме технической помощи, целый корабль. Ввиду того, что корабль с участием итальянской технической помощи предполагалось строить по специально, для нас разработанному проекту и чертежам, то Орлов считал необходимым первый корабль заказать в Италии. </w:t>
      </w:r>
    </w:p>
    <w:p w14:paraId="3375EFC5" w14:textId="77777777" w:rsidR="00917AA3" w:rsidRPr="00E14102" w:rsidRDefault="00917AA3" w:rsidP="00E14102">
      <w:pPr>
        <w:jc w:val="both"/>
        <w:rPr>
          <w:color w:val="000000" w:themeColor="text1"/>
          <w:sz w:val="16"/>
          <w:szCs w:val="16"/>
        </w:rPr>
      </w:pPr>
      <w:r w:rsidRPr="00E14102">
        <w:rPr>
          <w:color w:val="000000" w:themeColor="text1"/>
          <w:sz w:val="16"/>
          <w:szCs w:val="16"/>
        </w:rPr>
        <w:t>Таким образом, советское руководство, встретив препятствия с заключением договора о французской технической помощи, несмотря на проведенную большую подготовительную работу, решило оперативно переключиться на переговоры с итальянскими фирмами (18260).</w:t>
      </w:r>
    </w:p>
    <w:p w14:paraId="4E7C15A2" w14:textId="77777777" w:rsidR="00917AA3" w:rsidRPr="00E14102" w:rsidRDefault="00917AA3" w:rsidP="00E14102">
      <w:pPr>
        <w:jc w:val="both"/>
        <w:rPr>
          <w:color w:val="000000" w:themeColor="text1"/>
          <w:sz w:val="16"/>
          <w:szCs w:val="16"/>
        </w:rPr>
      </w:pPr>
    </w:p>
    <w:p w14:paraId="0956C31E" w14:textId="77777777" w:rsidR="002F650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0881284" w14:textId="77777777" w:rsidR="002F6502" w:rsidRPr="00E14102" w:rsidRDefault="002F6502" w:rsidP="00E14102">
      <w:pPr>
        <w:autoSpaceDE w:val="0"/>
        <w:autoSpaceDN w:val="0"/>
        <w:adjustRightInd w:val="0"/>
        <w:jc w:val="both"/>
        <w:rPr>
          <w:iCs/>
          <w:color w:val="000000" w:themeColor="text1"/>
          <w:sz w:val="16"/>
          <w:szCs w:val="16"/>
        </w:rPr>
      </w:pPr>
    </w:p>
    <w:p w14:paraId="5F3B29C4" w14:textId="77777777" w:rsidR="002F6502" w:rsidRPr="00E14102" w:rsidRDefault="002F6502" w:rsidP="00E14102">
      <w:pPr>
        <w:jc w:val="both"/>
        <w:rPr>
          <w:color w:val="000000" w:themeColor="text1"/>
          <w:sz w:val="16"/>
          <w:szCs w:val="16"/>
        </w:rPr>
      </w:pPr>
      <w:r w:rsidRPr="00E14102">
        <w:rPr>
          <w:bCs/>
          <w:color w:val="000000" w:themeColor="text1"/>
          <w:sz w:val="16"/>
          <w:szCs w:val="16"/>
        </w:rPr>
        <w:t>20 мая</w:t>
      </w:r>
      <w:r w:rsidRPr="00E14102">
        <w:rPr>
          <w:color w:val="000000" w:themeColor="text1"/>
          <w:sz w:val="16"/>
          <w:szCs w:val="16"/>
        </w:rPr>
        <w:t xml:space="preserve"> 1935 году поднялся в воздух первый экземпляр китайского УТС </w:t>
      </w:r>
      <w:hyperlink r:id="rId105" w:tgtFrame="_blank" w:history="1">
        <w:r w:rsidRPr="00E14102">
          <w:rPr>
            <w:color w:val="000000" w:themeColor="text1"/>
            <w:sz w:val="16"/>
            <w:szCs w:val="16"/>
          </w:rPr>
          <w:t xml:space="preserve">Fu-hsing» </w:t>
        </w:r>
      </w:hyperlink>
      <w:r w:rsidRPr="00E14102">
        <w:rPr>
          <w:color w:val="000000" w:themeColor="text1"/>
          <w:sz w:val="16"/>
          <w:szCs w:val="16"/>
        </w:rPr>
        <w:t>фирмы «Shiukwan Aircraft Works», принадлежащей правительству Кантона. Фирма начала выпускать авиатехнику в августе 1935 года. Первой ее собственной разработкой стал двухместный учебно-тренировочный самолет, получивший обозначение «Fu-hsing» («Возрождение»). Возглавил работы над самолетом русский эмигрант Константин Львович Захарченко, занимавшийся проектированием еще с 1934 года (14897).</w:t>
      </w:r>
    </w:p>
    <w:p w14:paraId="7BBE3FE8" w14:textId="77777777" w:rsidR="002F6502" w:rsidRPr="00E14102" w:rsidRDefault="002F6502" w:rsidP="00E14102">
      <w:pPr>
        <w:jc w:val="both"/>
        <w:rPr>
          <w:color w:val="000000" w:themeColor="text1"/>
          <w:sz w:val="16"/>
          <w:szCs w:val="16"/>
        </w:rPr>
      </w:pPr>
    </w:p>
    <w:p w14:paraId="4CA6A33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FD0393E" w14:textId="77777777" w:rsidR="00D4105E" w:rsidRPr="00E14102" w:rsidRDefault="00D4105E" w:rsidP="00E14102">
      <w:pPr>
        <w:autoSpaceDE w:val="0"/>
        <w:autoSpaceDN w:val="0"/>
        <w:adjustRightInd w:val="0"/>
        <w:jc w:val="both"/>
        <w:rPr>
          <w:iCs/>
          <w:color w:val="000000" w:themeColor="text1"/>
          <w:sz w:val="16"/>
          <w:szCs w:val="16"/>
        </w:rPr>
      </w:pPr>
    </w:p>
    <w:p w14:paraId="6230C53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21 мая по 29 июля 1935 года проходили испытания самолета И-15 с нормальным центропланом № 33907 с мотором Р-Ц Ф-3 постройки завода № 39 (6688).</w:t>
      </w:r>
    </w:p>
    <w:p w14:paraId="040A594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инженер-летчик Алтынов Т.Т.</w:t>
      </w:r>
    </w:p>
    <w:p w14:paraId="1C0E9B4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летчик Преман Э.Ю.</w:t>
      </w:r>
    </w:p>
    <w:p w14:paraId="7768DB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0CC7E05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Снятие летной характеристики с самолета с нормальным центропланом для сравнения с самолетом с центропланом “Чайка”.</w:t>
      </w:r>
    </w:p>
    <w:p w14:paraId="6AF72E6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Испытать устойчивость пути на максимальных горизонтальных скоростях и на пикировании.</w:t>
      </w:r>
    </w:p>
    <w:p w14:paraId="27BCA88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B99D4A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Рекомендовать к серийной постройке самолеты И-15 с нормальным центропланом.</w:t>
      </w:r>
    </w:p>
    <w:p w14:paraId="277FD87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Дневник испытаний</w:t>
      </w:r>
    </w:p>
    <w:p w14:paraId="6E9F55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Самолета И-15 с нормальным центропланом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2"/>
        <w:gridCol w:w="5328"/>
      </w:tblGrid>
      <w:tr w:rsidR="00E3599D" w:rsidRPr="00E14102" w14:paraId="2AC6B880" w14:textId="77777777">
        <w:tc>
          <w:tcPr>
            <w:tcW w:w="3312" w:type="dxa"/>
            <w:tcBorders>
              <w:top w:val="single" w:sz="12" w:space="0" w:color="auto"/>
            </w:tcBorders>
          </w:tcPr>
          <w:p w14:paraId="71A858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мая 1935 года</w:t>
            </w:r>
          </w:p>
        </w:tc>
        <w:tc>
          <w:tcPr>
            <w:tcW w:w="5328" w:type="dxa"/>
            <w:tcBorders>
              <w:top w:val="single" w:sz="12" w:space="0" w:color="auto"/>
            </w:tcBorders>
          </w:tcPr>
          <w:p w14:paraId="6259D17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Приемка самолета. Перегонка в Щелково.</w:t>
            </w:r>
          </w:p>
        </w:tc>
      </w:tr>
      <w:tr w:rsidR="00E3599D" w:rsidRPr="00E14102" w14:paraId="706299A7" w14:textId="77777777">
        <w:tc>
          <w:tcPr>
            <w:tcW w:w="3312" w:type="dxa"/>
          </w:tcPr>
          <w:p w14:paraId="24A0C54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мая 1935 года</w:t>
            </w:r>
          </w:p>
        </w:tc>
        <w:tc>
          <w:tcPr>
            <w:tcW w:w="5328" w:type="dxa"/>
          </w:tcPr>
          <w:p w14:paraId="46BD89F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Тренировочные полеты и определение высотности мотора.</w:t>
            </w:r>
          </w:p>
        </w:tc>
      </w:tr>
      <w:tr w:rsidR="00E3599D" w:rsidRPr="00E14102" w14:paraId="64FC1031" w14:textId="77777777">
        <w:tc>
          <w:tcPr>
            <w:tcW w:w="3312" w:type="dxa"/>
          </w:tcPr>
          <w:p w14:paraId="11AD7C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мая 1935 года</w:t>
            </w:r>
          </w:p>
        </w:tc>
        <w:tc>
          <w:tcPr>
            <w:tcW w:w="5328" w:type="dxa"/>
          </w:tcPr>
          <w:p w14:paraId="477EC2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зубцы на 3000 м и 4000 м.</w:t>
            </w:r>
          </w:p>
        </w:tc>
      </w:tr>
      <w:tr w:rsidR="00E3599D" w:rsidRPr="00E14102" w14:paraId="67610D7D" w14:textId="77777777">
        <w:tc>
          <w:tcPr>
            <w:tcW w:w="3312" w:type="dxa"/>
          </w:tcPr>
          <w:p w14:paraId="350612E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мая 1935 года</w:t>
            </w:r>
          </w:p>
        </w:tc>
        <w:tc>
          <w:tcPr>
            <w:tcW w:w="5328" w:type="dxa"/>
          </w:tcPr>
          <w:p w14:paraId="450EE4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километраж.</w:t>
            </w:r>
          </w:p>
        </w:tc>
      </w:tr>
      <w:tr w:rsidR="00E3599D" w:rsidRPr="00E14102" w14:paraId="2A780651" w14:textId="77777777">
        <w:tc>
          <w:tcPr>
            <w:tcW w:w="3312" w:type="dxa"/>
          </w:tcPr>
          <w:p w14:paraId="114F727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мая 1935 года</w:t>
            </w:r>
          </w:p>
        </w:tc>
        <w:tc>
          <w:tcPr>
            <w:tcW w:w="5328" w:type="dxa"/>
          </w:tcPr>
          <w:p w14:paraId="2FE6207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зубцы на 1000 м и на 2000 м.</w:t>
            </w:r>
          </w:p>
        </w:tc>
      </w:tr>
      <w:tr w:rsidR="00E3599D" w:rsidRPr="00E14102" w14:paraId="29AEA211" w14:textId="77777777">
        <w:tc>
          <w:tcPr>
            <w:tcW w:w="3312" w:type="dxa"/>
          </w:tcPr>
          <w:p w14:paraId="599714C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 мая 1935 года</w:t>
            </w:r>
          </w:p>
        </w:tc>
        <w:tc>
          <w:tcPr>
            <w:tcW w:w="5328" w:type="dxa"/>
          </w:tcPr>
          <w:p w14:paraId="140548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5000 м.</w:t>
            </w:r>
          </w:p>
        </w:tc>
      </w:tr>
      <w:tr w:rsidR="00E3599D" w:rsidRPr="00E14102" w14:paraId="26768B07" w14:textId="77777777">
        <w:tc>
          <w:tcPr>
            <w:tcW w:w="3312" w:type="dxa"/>
          </w:tcPr>
          <w:p w14:paraId="2B8C371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 мая 1935 года</w:t>
            </w:r>
          </w:p>
        </w:tc>
        <w:tc>
          <w:tcPr>
            <w:tcW w:w="5328" w:type="dxa"/>
          </w:tcPr>
          <w:p w14:paraId="3D2A9A8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8000 м.</w:t>
            </w:r>
          </w:p>
        </w:tc>
      </w:tr>
      <w:tr w:rsidR="00E3599D" w:rsidRPr="00E14102" w14:paraId="0C650ED8" w14:textId="77777777">
        <w:tc>
          <w:tcPr>
            <w:tcW w:w="3312" w:type="dxa"/>
          </w:tcPr>
          <w:p w14:paraId="2CC0538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мая 1935 года</w:t>
            </w:r>
          </w:p>
        </w:tc>
        <w:tc>
          <w:tcPr>
            <w:tcW w:w="5328" w:type="dxa"/>
          </w:tcPr>
          <w:p w14:paraId="6952110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8000 м.</w:t>
            </w:r>
          </w:p>
        </w:tc>
      </w:tr>
      <w:tr w:rsidR="00E3599D" w:rsidRPr="00E14102" w14:paraId="11779500" w14:textId="77777777">
        <w:tc>
          <w:tcPr>
            <w:tcW w:w="3312" w:type="dxa"/>
          </w:tcPr>
          <w:p w14:paraId="1BF7364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мая 1935 года</w:t>
            </w:r>
          </w:p>
        </w:tc>
        <w:tc>
          <w:tcPr>
            <w:tcW w:w="5328" w:type="dxa"/>
          </w:tcPr>
          <w:p w14:paraId="75E947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определение устойчивости.</w:t>
            </w:r>
          </w:p>
        </w:tc>
      </w:tr>
      <w:tr w:rsidR="00E3599D" w:rsidRPr="00E14102" w14:paraId="5F49932C" w14:textId="77777777">
        <w:tc>
          <w:tcPr>
            <w:tcW w:w="3312" w:type="dxa"/>
          </w:tcPr>
          <w:p w14:paraId="339BEA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 мая 1935 года</w:t>
            </w:r>
          </w:p>
        </w:tc>
        <w:tc>
          <w:tcPr>
            <w:tcW w:w="5328" w:type="dxa"/>
          </w:tcPr>
          <w:p w14:paraId="7F6EF8B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пикирование до скоростей 250 км/час.</w:t>
            </w:r>
          </w:p>
        </w:tc>
      </w:tr>
      <w:tr w:rsidR="00E3599D" w:rsidRPr="00E14102" w14:paraId="5AE6F0E5" w14:textId="77777777">
        <w:tc>
          <w:tcPr>
            <w:tcW w:w="3312" w:type="dxa"/>
          </w:tcPr>
          <w:p w14:paraId="249FEC7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 мая 1935 года</w:t>
            </w:r>
          </w:p>
        </w:tc>
        <w:tc>
          <w:tcPr>
            <w:tcW w:w="5328" w:type="dxa"/>
          </w:tcPr>
          <w:p w14:paraId="263F067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определение горизонтальных скоростей по высотам.</w:t>
            </w:r>
          </w:p>
        </w:tc>
      </w:tr>
      <w:tr w:rsidR="00E3599D" w:rsidRPr="00E14102" w14:paraId="33A51DD5" w14:textId="77777777">
        <w:tc>
          <w:tcPr>
            <w:tcW w:w="3312" w:type="dxa"/>
          </w:tcPr>
          <w:p w14:paraId="68B464D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июля 1935 года</w:t>
            </w:r>
          </w:p>
        </w:tc>
        <w:tc>
          <w:tcPr>
            <w:tcW w:w="5328" w:type="dxa"/>
          </w:tcPr>
          <w:p w14:paraId="6B8DA2A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по кругу с новым шасси.</w:t>
            </w:r>
          </w:p>
        </w:tc>
      </w:tr>
      <w:tr w:rsidR="00E3599D" w:rsidRPr="00E14102" w14:paraId="32F25828" w14:textId="77777777">
        <w:tc>
          <w:tcPr>
            <w:tcW w:w="3312" w:type="dxa"/>
          </w:tcPr>
          <w:p w14:paraId="60764D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июля 1935 года</w:t>
            </w:r>
          </w:p>
        </w:tc>
        <w:tc>
          <w:tcPr>
            <w:tcW w:w="5328" w:type="dxa"/>
          </w:tcPr>
          <w:p w14:paraId="35810D9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Километраж с другим весом.</w:t>
            </w:r>
          </w:p>
        </w:tc>
      </w:tr>
      <w:tr w:rsidR="00E3599D" w:rsidRPr="00E14102" w14:paraId="09985BFA" w14:textId="77777777">
        <w:tc>
          <w:tcPr>
            <w:tcW w:w="3312" w:type="dxa"/>
          </w:tcPr>
          <w:p w14:paraId="162CC0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 июля 1935 года</w:t>
            </w:r>
          </w:p>
        </w:tc>
        <w:tc>
          <w:tcPr>
            <w:tcW w:w="5328" w:type="dxa"/>
          </w:tcPr>
          <w:p w14:paraId="4DD899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8000 м – летчик Филин.</w:t>
            </w:r>
          </w:p>
        </w:tc>
      </w:tr>
      <w:tr w:rsidR="00E3599D" w:rsidRPr="00E14102" w14:paraId="3F8E7012" w14:textId="77777777">
        <w:tc>
          <w:tcPr>
            <w:tcW w:w="3312" w:type="dxa"/>
          </w:tcPr>
          <w:p w14:paraId="350D29D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июля 1935 года</w:t>
            </w:r>
          </w:p>
        </w:tc>
        <w:tc>
          <w:tcPr>
            <w:tcW w:w="5328" w:type="dxa"/>
          </w:tcPr>
          <w:p w14:paraId="550BC4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Проба самолета и мотора в воздухе.</w:t>
            </w:r>
          </w:p>
        </w:tc>
      </w:tr>
      <w:tr w:rsidR="00E3599D" w:rsidRPr="00E14102" w14:paraId="2C0BF9A4" w14:textId="77777777">
        <w:tc>
          <w:tcPr>
            <w:tcW w:w="3312" w:type="dxa"/>
          </w:tcPr>
          <w:p w14:paraId="566E305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июля 1935 года</w:t>
            </w:r>
          </w:p>
        </w:tc>
        <w:tc>
          <w:tcPr>
            <w:tcW w:w="5328" w:type="dxa"/>
          </w:tcPr>
          <w:p w14:paraId="5C405BB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маневренность.</w:t>
            </w:r>
          </w:p>
        </w:tc>
      </w:tr>
      <w:tr w:rsidR="00E3599D" w:rsidRPr="00E14102" w14:paraId="785F02DE" w14:textId="77777777">
        <w:tc>
          <w:tcPr>
            <w:tcW w:w="3312" w:type="dxa"/>
          </w:tcPr>
          <w:p w14:paraId="6274C0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июля 1935 года</w:t>
            </w:r>
          </w:p>
        </w:tc>
        <w:tc>
          <w:tcPr>
            <w:tcW w:w="5328" w:type="dxa"/>
          </w:tcPr>
          <w:p w14:paraId="34172E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Два полета на маневренность.</w:t>
            </w:r>
          </w:p>
        </w:tc>
      </w:tr>
      <w:tr w:rsidR="00E3599D" w:rsidRPr="00E14102" w14:paraId="369D100E" w14:textId="77777777">
        <w:tc>
          <w:tcPr>
            <w:tcW w:w="3312" w:type="dxa"/>
          </w:tcPr>
          <w:p w14:paraId="6FFDE4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июля 1935 года</w:t>
            </w:r>
          </w:p>
        </w:tc>
        <w:tc>
          <w:tcPr>
            <w:tcW w:w="5328" w:type="dxa"/>
          </w:tcPr>
          <w:p w14:paraId="7A414FB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маневренность.</w:t>
            </w:r>
          </w:p>
        </w:tc>
      </w:tr>
      <w:tr w:rsidR="00E3599D" w:rsidRPr="00E14102" w14:paraId="73CB0661" w14:textId="77777777">
        <w:tc>
          <w:tcPr>
            <w:tcW w:w="3312" w:type="dxa"/>
          </w:tcPr>
          <w:p w14:paraId="427DAF7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июля 1935 года</w:t>
            </w:r>
          </w:p>
        </w:tc>
        <w:tc>
          <w:tcPr>
            <w:tcW w:w="5328" w:type="dxa"/>
          </w:tcPr>
          <w:p w14:paraId="6AC0716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самолета другими летчиками.</w:t>
            </w:r>
          </w:p>
        </w:tc>
      </w:tr>
      <w:tr w:rsidR="00E3599D" w:rsidRPr="00E14102" w14:paraId="692982BD" w14:textId="77777777">
        <w:tc>
          <w:tcPr>
            <w:tcW w:w="3312" w:type="dxa"/>
          </w:tcPr>
          <w:p w14:paraId="4EC0BD8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27-28 июля 1935 года</w:t>
            </w:r>
          </w:p>
        </w:tc>
        <w:tc>
          <w:tcPr>
            <w:tcW w:w="5328" w:type="dxa"/>
          </w:tcPr>
          <w:p w14:paraId="5333113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по кругу (100 полетов).</w:t>
            </w:r>
          </w:p>
        </w:tc>
      </w:tr>
      <w:tr w:rsidR="00E3599D" w:rsidRPr="00E14102" w14:paraId="14A5F00B" w14:textId="77777777">
        <w:tc>
          <w:tcPr>
            <w:tcW w:w="3312" w:type="dxa"/>
            <w:tcBorders>
              <w:bottom w:val="single" w:sz="12" w:space="0" w:color="auto"/>
            </w:tcBorders>
          </w:tcPr>
          <w:p w14:paraId="788979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 июля 1935 года</w:t>
            </w:r>
          </w:p>
        </w:tc>
        <w:tc>
          <w:tcPr>
            <w:tcW w:w="5328" w:type="dxa"/>
            <w:tcBorders>
              <w:bottom w:val="single" w:sz="12" w:space="0" w:color="auto"/>
            </w:tcBorders>
          </w:tcPr>
          <w:p w14:paraId="4CFCAD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закончилось.</w:t>
            </w:r>
          </w:p>
        </w:tc>
      </w:tr>
    </w:tbl>
    <w:p w14:paraId="3CF68EC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(6688).</w:t>
      </w:r>
    </w:p>
    <w:p w14:paraId="59D0CF7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AB330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 21 мая по 29 июля 1935 проходили гос. испытания самолета И-15 с нормальным центропланом № 33907 с мотором РЦ Ф3 постройки завода № 39</w:t>
      </w:r>
    </w:p>
    <w:p w14:paraId="0749B1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инженер-летчик Алтынов Т.Т.</w:t>
      </w:r>
    </w:p>
    <w:p w14:paraId="3125F4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летчик Преман Э.И.</w:t>
      </w:r>
    </w:p>
    <w:p w14:paraId="1828A4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6A37100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Снятие летной характеристики с самолета с нормальным центропланом для сравнения с самолетом с центропланом "Чайка".</w:t>
      </w:r>
    </w:p>
    <w:p w14:paraId="5D6EC0D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Испытать устойчивость пути на максимальных горизонтальных скоростях и на пикировании.</w:t>
      </w:r>
    </w:p>
    <w:p w14:paraId="7CEA0D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процессе испытаний выявлено, что наличие нормального центроплана на самолете И-15 уничтожило рыскание самолета, давшее возможность нормально прицеливаться, как на максимальных горизонтальных скоростях, так и на пикировании.</w:t>
      </w:r>
    </w:p>
    <w:p w14:paraId="3A0802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05537F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Рекомендовать к серийной постройке самолеты И-15 с нормальным центропланом.</w:t>
      </w:r>
    </w:p>
    <w:p w14:paraId="40514A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Дневник испытаний самолета И-15 с нормальным центропланом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35"/>
        <w:gridCol w:w="7338"/>
      </w:tblGrid>
      <w:tr w:rsidR="00E3599D" w:rsidRPr="00E14102" w14:paraId="2480CA0D" w14:textId="77777777">
        <w:tc>
          <w:tcPr>
            <w:tcW w:w="2835" w:type="dxa"/>
          </w:tcPr>
          <w:p w14:paraId="0999C6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Дата</w:t>
            </w:r>
          </w:p>
        </w:tc>
        <w:tc>
          <w:tcPr>
            <w:tcW w:w="7338" w:type="dxa"/>
          </w:tcPr>
          <w:p w14:paraId="6B61DD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работ</w:t>
            </w:r>
          </w:p>
        </w:tc>
      </w:tr>
      <w:tr w:rsidR="00E3599D" w:rsidRPr="00E14102" w14:paraId="47C5E2B5" w14:textId="77777777">
        <w:tc>
          <w:tcPr>
            <w:tcW w:w="2835" w:type="dxa"/>
          </w:tcPr>
          <w:p w14:paraId="7BD416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мая 1935 года</w:t>
            </w:r>
          </w:p>
        </w:tc>
        <w:tc>
          <w:tcPr>
            <w:tcW w:w="7338" w:type="dxa"/>
          </w:tcPr>
          <w:p w14:paraId="127905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Приемка самолета. Перегонка в Щелково.</w:t>
            </w:r>
          </w:p>
        </w:tc>
      </w:tr>
      <w:tr w:rsidR="00E3599D" w:rsidRPr="00E14102" w14:paraId="173DA1AD" w14:textId="77777777">
        <w:tc>
          <w:tcPr>
            <w:tcW w:w="2835" w:type="dxa"/>
          </w:tcPr>
          <w:p w14:paraId="0D9703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мая 1935 года</w:t>
            </w:r>
          </w:p>
        </w:tc>
        <w:tc>
          <w:tcPr>
            <w:tcW w:w="7338" w:type="dxa"/>
          </w:tcPr>
          <w:p w14:paraId="757EBA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Тренировочные полеты на определение высотности мотора.</w:t>
            </w:r>
          </w:p>
          <w:p w14:paraId="19D5B4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зубцы.</w:t>
            </w:r>
          </w:p>
          <w:p w14:paraId="3669E3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километраж.</w:t>
            </w:r>
          </w:p>
        </w:tc>
      </w:tr>
      <w:tr w:rsidR="00E3599D" w:rsidRPr="00E14102" w14:paraId="729483F1" w14:textId="77777777">
        <w:tc>
          <w:tcPr>
            <w:tcW w:w="2835" w:type="dxa"/>
          </w:tcPr>
          <w:p w14:paraId="327019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мая 1935 года</w:t>
            </w:r>
          </w:p>
        </w:tc>
        <w:tc>
          <w:tcPr>
            <w:tcW w:w="7338" w:type="dxa"/>
          </w:tcPr>
          <w:p w14:paraId="118691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зубцы на 1000 м и на 2000 м.</w:t>
            </w:r>
          </w:p>
        </w:tc>
      </w:tr>
      <w:tr w:rsidR="00E3599D" w:rsidRPr="00E14102" w14:paraId="76E4A0CA" w14:textId="77777777">
        <w:tc>
          <w:tcPr>
            <w:tcW w:w="2835" w:type="dxa"/>
          </w:tcPr>
          <w:p w14:paraId="4696BB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мая 1935 года</w:t>
            </w:r>
          </w:p>
        </w:tc>
        <w:tc>
          <w:tcPr>
            <w:tcW w:w="7338" w:type="dxa"/>
          </w:tcPr>
          <w:p w14:paraId="1F9B36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5000 м.</w:t>
            </w:r>
          </w:p>
          <w:p w14:paraId="208DB1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8000 м (задание не выполнено из-за перебоев мотора начиная с 6500 м)</w:t>
            </w:r>
          </w:p>
        </w:tc>
      </w:tr>
      <w:tr w:rsidR="00E3599D" w:rsidRPr="00E14102" w14:paraId="1C865259" w14:textId="77777777">
        <w:tc>
          <w:tcPr>
            <w:tcW w:w="2835" w:type="dxa"/>
          </w:tcPr>
          <w:p w14:paraId="3BF958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мая 1935 года</w:t>
            </w:r>
          </w:p>
        </w:tc>
        <w:tc>
          <w:tcPr>
            <w:tcW w:w="7338" w:type="dxa"/>
          </w:tcPr>
          <w:p w14:paraId="67CF73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8000 м (мотор также давал перебои начиная с 6500 м)</w:t>
            </w:r>
          </w:p>
        </w:tc>
      </w:tr>
      <w:tr w:rsidR="00E3599D" w:rsidRPr="00E14102" w14:paraId="4F7E77DF" w14:textId="77777777">
        <w:tc>
          <w:tcPr>
            <w:tcW w:w="2835" w:type="dxa"/>
          </w:tcPr>
          <w:p w14:paraId="6811D4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мая 1935 года</w:t>
            </w:r>
          </w:p>
        </w:tc>
        <w:tc>
          <w:tcPr>
            <w:tcW w:w="7338" w:type="dxa"/>
          </w:tcPr>
          <w:p w14:paraId="0F1FBC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определение устойчивости.</w:t>
            </w:r>
          </w:p>
        </w:tc>
      </w:tr>
      <w:tr w:rsidR="00E3599D" w:rsidRPr="00E14102" w14:paraId="0B5669A0" w14:textId="77777777">
        <w:tc>
          <w:tcPr>
            <w:tcW w:w="2835" w:type="dxa"/>
          </w:tcPr>
          <w:p w14:paraId="41C979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мая 1935 года</w:t>
            </w:r>
          </w:p>
        </w:tc>
        <w:tc>
          <w:tcPr>
            <w:tcW w:w="7338" w:type="dxa"/>
          </w:tcPr>
          <w:p w14:paraId="69464A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пикирование до скоростей 250 км/час.</w:t>
            </w:r>
          </w:p>
          <w:p w14:paraId="48B2B8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определение горизонтальных скоростей по высотам.</w:t>
            </w:r>
          </w:p>
        </w:tc>
      </w:tr>
      <w:tr w:rsidR="00E3599D" w:rsidRPr="00E14102" w14:paraId="16BFD769" w14:textId="77777777">
        <w:tc>
          <w:tcPr>
            <w:tcW w:w="2835" w:type="dxa"/>
          </w:tcPr>
          <w:p w14:paraId="0D1EE3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мая по 1 июля 1935 года</w:t>
            </w:r>
          </w:p>
        </w:tc>
        <w:tc>
          <w:tcPr>
            <w:tcW w:w="7338" w:type="dxa"/>
          </w:tcPr>
          <w:p w14:paraId="750332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Замена ног шасси заводом № 39.</w:t>
            </w:r>
          </w:p>
        </w:tc>
      </w:tr>
      <w:tr w:rsidR="00E3599D" w:rsidRPr="00E14102" w14:paraId="754E4DB5" w14:textId="77777777">
        <w:tc>
          <w:tcPr>
            <w:tcW w:w="2835" w:type="dxa"/>
          </w:tcPr>
          <w:p w14:paraId="58B785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июля 1935 года</w:t>
            </w:r>
          </w:p>
        </w:tc>
        <w:tc>
          <w:tcPr>
            <w:tcW w:w="7338" w:type="dxa"/>
          </w:tcPr>
          <w:p w14:paraId="1395CF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по кругу с новым шасси.</w:t>
            </w:r>
          </w:p>
        </w:tc>
      </w:tr>
      <w:tr w:rsidR="00E3599D" w:rsidRPr="00E14102" w14:paraId="46955431" w14:textId="77777777">
        <w:tc>
          <w:tcPr>
            <w:tcW w:w="2835" w:type="dxa"/>
          </w:tcPr>
          <w:p w14:paraId="58081B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июля 1935 года</w:t>
            </w:r>
          </w:p>
        </w:tc>
        <w:tc>
          <w:tcPr>
            <w:tcW w:w="7338" w:type="dxa"/>
          </w:tcPr>
          <w:p w14:paraId="4A1C9B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Километраж с другим весом.</w:t>
            </w:r>
          </w:p>
        </w:tc>
      </w:tr>
      <w:tr w:rsidR="00E3599D" w:rsidRPr="00E14102" w14:paraId="717CA75B" w14:textId="77777777">
        <w:tc>
          <w:tcPr>
            <w:tcW w:w="2835" w:type="dxa"/>
          </w:tcPr>
          <w:p w14:paraId="69CBB7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июля 1935 года</w:t>
            </w:r>
          </w:p>
        </w:tc>
        <w:tc>
          <w:tcPr>
            <w:tcW w:w="7338" w:type="dxa"/>
          </w:tcPr>
          <w:p w14:paraId="475A62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8000 м. Летчик Филин.</w:t>
            </w:r>
          </w:p>
        </w:tc>
      </w:tr>
      <w:tr w:rsidR="00E3599D" w:rsidRPr="00E14102" w14:paraId="5B7C5DAD" w14:textId="77777777">
        <w:tc>
          <w:tcPr>
            <w:tcW w:w="2835" w:type="dxa"/>
          </w:tcPr>
          <w:p w14:paraId="562D4D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июля 1935 года</w:t>
            </w:r>
          </w:p>
        </w:tc>
        <w:tc>
          <w:tcPr>
            <w:tcW w:w="7338" w:type="dxa"/>
          </w:tcPr>
          <w:p w14:paraId="2311D2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Проба самолета и мотора в воздухе после ремонта.</w:t>
            </w:r>
          </w:p>
          <w:p w14:paraId="7DD124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маневренность.</w:t>
            </w:r>
          </w:p>
        </w:tc>
      </w:tr>
      <w:tr w:rsidR="00E3599D" w:rsidRPr="00E14102" w14:paraId="4575B5CC" w14:textId="77777777">
        <w:tc>
          <w:tcPr>
            <w:tcW w:w="2835" w:type="dxa"/>
          </w:tcPr>
          <w:p w14:paraId="4D2294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июля 1935 года</w:t>
            </w:r>
          </w:p>
        </w:tc>
        <w:tc>
          <w:tcPr>
            <w:tcW w:w="7338" w:type="dxa"/>
          </w:tcPr>
          <w:p w14:paraId="4295DD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маневренность.</w:t>
            </w:r>
          </w:p>
          <w:p w14:paraId="0A504B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маневренность.</w:t>
            </w:r>
          </w:p>
        </w:tc>
      </w:tr>
      <w:tr w:rsidR="00E3599D" w:rsidRPr="00E14102" w14:paraId="12159965" w14:textId="77777777">
        <w:tc>
          <w:tcPr>
            <w:tcW w:w="2835" w:type="dxa"/>
          </w:tcPr>
          <w:p w14:paraId="4FCC38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июля 1935 года</w:t>
            </w:r>
          </w:p>
        </w:tc>
        <w:tc>
          <w:tcPr>
            <w:tcW w:w="7338" w:type="dxa"/>
          </w:tcPr>
          <w:p w14:paraId="68AB63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маневренность.</w:t>
            </w:r>
          </w:p>
        </w:tc>
      </w:tr>
      <w:tr w:rsidR="00E3599D" w:rsidRPr="00E14102" w14:paraId="1DAB5131" w14:textId="77777777">
        <w:tc>
          <w:tcPr>
            <w:tcW w:w="2835" w:type="dxa"/>
          </w:tcPr>
          <w:p w14:paraId="61AA74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июля 1935 года</w:t>
            </w:r>
          </w:p>
        </w:tc>
        <w:tc>
          <w:tcPr>
            <w:tcW w:w="7338" w:type="dxa"/>
          </w:tcPr>
          <w:p w14:paraId="633FB2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Облет самолета другими летчиками.</w:t>
            </w:r>
          </w:p>
        </w:tc>
      </w:tr>
      <w:tr w:rsidR="00E3599D" w:rsidRPr="00E14102" w14:paraId="7A30E54D" w14:textId="77777777">
        <w:tc>
          <w:tcPr>
            <w:tcW w:w="2835" w:type="dxa"/>
          </w:tcPr>
          <w:p w14:paraId="505674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и 28 июля 1935 года</w:t>
            </w:r>
          </w:p>
        </w:tc>
        <w:tc>
          <w:tcPr>
            <w:tcW w:w="7338" w:type="dxa"/>
          </w:tcPr>
          <w:p w14:paraId="1FBB94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по кругу (100 полетов).</w:t>
            </w:r>
          </w:p>
        </w:tc>
      </w:tr>
      <w:tr w:rsidR="00E3599D" w:rsidRPr="00E14102" w14:paraId="5039DB99" w14:textId="77777777">
        <w:tc>
          <w:tcPr>
            <w:tcW w:w="2835" w:type="dxa"/>
          </w:tcPr>
          <w:p w14:paraId="40D9C2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июля 1935 года</w:t>
            </w:r>
          </w:p>
        </w:tc>
        <w:tc>
          <w:tcPr>
            <w:tcW w:w="7338" w:type="dxa"/>
          </w:tcPr>
          <w:p w14:paraId="7D0552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закончились.</w:t>
            </w:r>
          </w:p>
        </w:tc>
      </w:tr>
    </w:tbl>
    <w:p w14:paraId="56AA6F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(7659)</w:t>
      </w:r>
    </w:p>
    <w:p w14:paraId="637C93F8" w14:textId="77777777" w:rsidR="00D4105E" w:rsidRPr="00E14102" w:rsidRDefault="00D4105E" w:rsidP="00E14102">
      <w:pPr>
        <w:autoSpaceDE w:val="0"/>
        <w:autoSpaceDN w:val="0"/>
        <w:adjustRightInd w:val="0"/>
        <w:jc w:val="both"/>
        <w:rPr>
          <w:color w:val="000000" w:themeColor="text1"/>
          <w:sz w:val="16"/>
          <w:szCs w:val="16"/>
        </w:rPr>
      </w:pPr>
    </w:p>
    <w:p w14:paraId="3D4577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21 мая по 29 июля 1935 г. на аэродроме НИИ ВВС в Щелково проходили государственные испытания ЦКБ-3 № 7 (И-15бис). Летал Эдгард Преман. Выводы в отношении самолета были в основном положительными и практически полностью совпали с мнением Чкалова и Коккинаки. В заключении по результатам госиспытаний говорилось: “Рекомендовать к серийной постройке самолеты И-15 с нормальным центропланом... Представить на испытания НИИ головной серийный самолет с нормальным центропланом постройки завода №1.”. Несмотря на указанные выводы и заключения, история развития истребителя И-15 на этом этапе закончилась. Серийное изготовление самолета в 1935 г. было прекращено и возобновилось лишь в 1937 г. в виде истребителя И-15бис (6593).</w:t>
      </w:r>
    </w:p>
    <w:p w14:paraId="2D014F08" w14:textId="77777777" w:rsidR="00D4105E" w:rsidRPr="00E14102" w:rsidRDefault="00D4105E" w:rsidP="00E14102">
      <w:pPr>
        <w:autoSpaceDE w:val="0"/>
        <w:autoSpaceDN w:val="0"/>
        <w:adjustRightInd w:val="0"/>
        <w:jc w:val="both"/>
        <w:rPr>
          <w:color w:val="000000" w:themeColor="text1"/>
          <w:sz w:val="16"/>
          <w:szCs w:val="16"/>
        </w:rPr>
      </w:pPr>
    </w:p>
    <w:p w14:paraId="26419F61" w14:textId="77777777" w:rsidR="00E60A1A" w:rsidRPr="00E14102" w:rsidRDefault="00E60A1A" w:rsidP="00E14102">
      <w:pPr>
        <w:pStyle w:val="24"/>
        <w:shd w:val="clear" w:color="auto" w:fill="auto"/>
        <w:spacing w:after="0" w:line="240" w:lineRule="auto"/>
        <w:ind w:firstLine="0"/>
        <w:jc w:val="both"/>
        <w:rPr>
          <w:rStyle w:val="ae"/>
          <w:rFonts w:ascii="Times New Roman" w:hAnsi="Times New Roman"/>
          <w:i w:val="0"/>
          <w:color w:val="000000" w:themeColor="text1"/>
          <w:sz w:val="16"/>
          <w:szCs w:val="16"/>
        </w:rPr>
      </w:pPr>
      <w:r w:rsidRPr="00E14102">
        <w:rPr>
          <w:color w:val="000000" w:themeColor="text1"/>
          <w:sz w:val="16"/>
          <w:szCs w:val="16"/>
        </w:rPr>
        <w:t>С 21 мая по 29 июля 1935</w:t>
      </w:r>
      <w:r w:rsidRPr="00E14102">
        <w:rPr>
          <w:rStyle w:val="75pt"/>
          <w:color w:val="000000" w:themeColor="text1"/>
          <w:sz w:val="16"/>
          <w:szCs w:val="16"/>
        </w:rPr>
        <w:t xml:space="preserve"> г.</w:t>
      </w:r>
      <w:r w:rsidRPr="00E14102">
        <w:rPr>
          <w:color w:val="000000" w:themeColor="text1"/>
          <w:sz w:val="16"/>
          <w:szCs w:val="16"/>
        </w:rPr>
        <w:t xml:space="preserve"> на аэродроме НИИ ВВС проходили госиспытания ЦКБ-3 № 7 - без чайки. Летал Эдгард Преман. Его выводы практически полностью совпали с мнением Чкалова и Коккина</w:t>
      </w:r>
      <w:r w:rsidRPr="00E14102">
        <w:rPr>
          <w:color w:val="000000" w:themeColor="text1"/>
          <w:sz w:val="16"/>
          <w:szCs w:val="16"/>
        </w:rPr>
        <w:softHyphen/>
        <w:t xml:space="preserve">ки. В заключении по результатам Госиспытаний говорилось: </w:t>
      </w:r>
      <w:r w:rsidRPr="00E14102">
        <w:rPr>
          <w:rStyle w:val="ae"/>
          <w:rFonts w:ascii="Times New Roman" w:hAnsi="Times New Roman"/>
          <w:i w:val="0"/>
          <w:color w:val="000000" w:themeColor="text1"/>
          <w:sz w:val="16"/>
          <w:szCs w:val="16"/>
        </w:rPr>
        <w:t>«Рекомендовать к серийной постройке самолеты И-15 с нор</w:t>
      </w:r>
      <w:r w:rsidRPr="00E14102">
        <w:rPr>
          <w:rStyle w:val="ae"/>
          <w:rFonts w:ascii="Times New Roman" w:hAnsi="Times New Roman"/>
          <w:i w:val="0"/>
          <w:color w:val="000000" w:themeColor="text1"/>
          <w:sz w:val="16"/>
          <w:szCs w:val="16"/>
        </w:rPr>
        <w:softHyphen/>
        <w:t>мальным центропланом... Представить на испытания НИИ го</w:t>
      </w:r>
      <w:r w:rsidRPr="00E14102">
        <w:rPr>
          <w:rStyle w:val="ae"/>
          <w:rFonts w:ascii="Times New Roman" w:hAnsi="Times New Roman"/>
          <w:i w:val="0"/>
          <w:color w:val="000000" w:themeColor="text1"/>
          <w:sz w:val="16"/>
          <w:szCs w:val="16"/>
        </w:rPr>
        <w:softHyphen/>
        <w:t>ловной серийный самолет с нормальным центропланом по</w:t>
      </w:r>
      <w:r w:rsidRPr="00E14102">
        <w:rPr>
          <w:rStyle w:val="ae"/>
          <w:rFonts w:ascii="Times New Roman" w:hAnsi="Times New Roman"/>
          <w:i w:val="0"/>
          <w:color w:val="000000" w:themeColor="text1"/>
          <w:sz w:val="16"/>
          <w:szCs w:val="16"/>
        </w:rPr>
        <w:softHyphen/>
        <w:t>стройки завода №1».</w:t>
      </w:r>
    </w:p>
    <w:tbl>
      <w:tblPr>
        <w:tblW w:w="0" w:type="auto"/>
        <w:tblLayout w:type="fixed"/>
        <w:tblCellMar>
          <w:left w:w="10" w:type="dxa"/>
          <w:right w:w="10" w:type="dxa"/>
        </w:tblCellMar>
        <w:tblLook w:val="0000" w:firstRow="0" w:lastRow="0" w:firstColumn="0" w:lastColumn="0" w:noHBand="0" w:noVBand="0"/>
      </w:tblPr>
      <w:tblGrid>
        <w:gridCol w:w="1094"/>
        <w:gridCol w:w="1018"/>
        <w:gridCol w:w="1018"/>
        <w:gridCol w:w="1018"/>
        <w:gridCol w:w="1066"/>
      </w:tblGrid>
      <w:tr w:rsidR="00E3599D" w:rsidRPr="00E14102" w14:paraId="1DB26C13" w14:textId="77777777" w:rsidTr="007D01A3">
        <w:trPr>
          <w:trHeight w:val="245"/>
        </w:trPr>
        <w:tc>
          <w:tcPr>
            <w:tcW w:w="5214" w:type="dxa"/>
            <w:gridSpan w:val="5"/>
            <w:tcBorders>
              <w:top w:val="single" w:sz="4" w:space="0" w:color="auto"/>
              <w:left w:val="single" w:sz="4" w:space="0" w:color="auto"/>
              <w:bottom w:val="single" w:sz="4" w:space="0" w:color="auto"/>
              <w:right w:val="single" w:sz="4" w:space="0" w:color="auto"/>
            </w:tcBorders>
            <w:shd w:val="clear" w:color="auto" w:fill="FFFFFF"/>
          </w:tcPr>
          <w:p w14:paraId="3E8C0BEE" w14:textId="77777777" w:rsidR="00E60A1A" w:rsidRPr="00E14102" w:rsidRDefault="00E60A1A" w:rsidP="00E14102">
            <w:pPr>
              <w:jc w:val="both"/>
              <w:rPr>
                <w:color w:val="000000" w:themeColor="text1"/>
                <w:sz w:val="16"/>
                <w:szCs w:val="16"/>
              </w:rPr>
            </w:pPr>
            <w:r w:rsidRPr="00E14102">
              <w:rPr>
                <w:color w:val="000000" w:themeColor="text1"/>
                <w:sz w:val="16"/>
                <w:szCs w:val="16"/>
              </w:rPr>
              <w:t>Производство И-15 в СССР</w:t>
            </w:r>
          </w:p>
        </w:tc>
      </w:tr>
      <w:tr w:rsidR="00E3599D" w:rsidRPr="00E14102" w14:paraId="24D0BAE3" w14:textId="77777777" w:rsidTr="007D01A3">
        <w:trPr>
          <w:trHeight w:val="240"/>
        </w:trPr>
        <w:tc>
          <w:tcPr>
            <w:tcW w:w="1094" w:type="dxa"/>
            <w:tcBorders>
              <w:top w:val="single" w:sz="4" w:space="0" w:color="auto"/>
              <w:left w:val="single" w:sz="4" w:space="0" w:color="auto"/>
              <w:bottom w:val="single" w:sz="4" w:space="0" w:color="auto"/>
              <w:right w:val="single" w:sz="4" w:space="0" w:color="auto"/>
            </w:tcBorders>
            <w:shd w:val="clear" w:color="auto" w:fill="FFFFFF"/>
          </w:tcPr>
          <w:p w14:paraId="60E8DABC" w14:textId="77777777" w:rsidR="00E60A1A" w:rsidRPr="00E14102" w:rsidRDefault="00E60A1A" w:rsidP="00E14102">
            <w:pPr>
              <w:jc w:val="both"/>
              <w:rPr>
                <w:color w:val="000000" w:themeColor="text1"/>
                <w:sz w:val="16"/>
                <w:szCs w:val="16"/>
              </w:rPr>
            </w:pP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601C4339" w14:textId="77777777" w:rsidR="00E60A1A" w:rsidRPr="00E14102" w:rsidRDefault="00E60A1A" w:rsidP="00E14102">
            <w:pPr>
              <w:jc w:val="both"/>
              <w:rPr>
                <w:color w:val="000000" w:themeColor="text1"/>
                <w:sz w:val="16"/>
                <w:szCs w:val="16"/>
              </w:rPr>
            </w:pPr>
            <w:r w:rsidRPr="00E14102">
              <w:rPr>
                <w:color w:val="000000" w:themeColor="text1"/>
                <w:sz w:val="16"/>
                <w:szCs w:val="16"/>
              </w:rPr>
              <w:t>1934 г.</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374BD53F" w14:textId="77777777" w:rsidR="00E60A1A" w:rsidRPr="00E14102" w:rsidRDefault="00E60A1A" w:rsidP="00E14102">
            <w:pPr>
              <w:jc w:val="both"/>
              <w:rPr>
                <w:color w:val="000000" w:themeColor="text1"/>
                <w:sz w:val="16"/>
                <w:szCs w:val="16"/>
              </w:rPr>
            </w:pPr>
            <w:r w:rsidRPr="00E14102">
              <w:rPr>
                <w:color w:val="000000" w:themeColor="text1"/>
                <w:sz w:val="16"/>
                <w:szCs w:val="16"/>
              </w:rPr>
              <w:t>1935 г.</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7340AF2B" w14:textId="77777777" w:rsidR="00E60A1A" w:rsidRPr="00E14102" w:rsidRDefault="00E60A1A" w:rsidP="00E14102">
            <w:pPr>
              <w:jc w:val="both"/>
              <w:rPr>
                <w:color w:val="000000" w:themeColor="text1"/>
                <w:sz w:val="16"/>
                <w:szCs w:val="16"/>
              </w:rPr>
            </w:pPr>
            <w:r w:rsidRPr="00E14102">
              <w:rPr>
                <w:color w:val="000000" w:themeColor="text1"/>
                <w:sz w:val="16"/>
                <w:szCs w:val="16"/>
              </w:rPr>
              <w:t>1936 г.</w:t>
            </w:r>
          </w:p>
        </w:tc>
        <w:tc>
          <w:tcPr>
            <w:tcW w:w="1066" w:type="dxa"/>
            <w:tcBorders>
              <w:top w:val="single" w:sz="4" w:space="0" w:color="auto"/>
              <w:left w:val="single" w:sz="4" w:space="0" w:color="auto"/>
              <w:bottom w:val="single" w:sz="4" w:space="0" w:color="auto"/>
              <w:right w:val="single" w:sz="4" w:space="0" w:color="auto"/>
            </w:tcBorders>
            <w:shd w:val="clear" w:color="auto" w:fill="FFFFFF"/>
          </w:tcPr>
          <w:p w14:paraId="138D0A4C" w14:textId="77777777" w:rsidR="00E60A1A" w:rsidRPr="00E14102" w:rsidRDefault="00E60A1A" w:rsidP="00E14102">
            <w:pPr>
              <w:jc w:val="both"/>
              <w:rPr>
                <w:color w:val="000000" w:themeColor="text1"/>
                <w:sz w:val="16"/>
                <w:szCs w:val="16"/>
              </w:rPr>
            </w:pPr>
            <w:r w:rsidRPr="00E14102">
              <w:rPr>
                <w:color w:val="000000" w:themeColor="text1"/>
                <w:sz w:val="16"/>
                <w:szCs w:val="16"/>
              </w:rPr>
              <w:t>Итого</w:t>
            </w:r>
          </w:p>
        </w:tc>
      </w:tr>
      <w:tr w:rsidR="00E3599D" w:rsidRPr="00E14102" w14:paraId="1843664D" w14:textId="77777777" w:rsidTr="007D01A3">
        <w:trPr>
          <w:trHeight w:val="235"/>
        </w:trPr>
        <w:tc>
          <w:tcPr>
            <w:tcW w:w="1094" w:type="dxa"/>
            <w:tcBorders>
              <w:top w:val="single" w:sz="4" w:space="0" w:color="auto"/>
              <w:left w:val="single" w:sz="4" w:space="0" w:color="auto"/>
              <w:bottom w:val="single" w:sz="4" w:space="0" w:color="auto"/>
              <w:right w:val="single" w:sz="4" w:space="0" w:color="auto"/>
            </w:tcBorders>
            <w:shd w:val="clear" w:color="auto" w:fill="FFFFFF"/>
          </w:tcPr>
          <w:p w14:paraId="769E4F8F" w14:textId="77777777" w:rsidR="00E60A1A" w:rsidRPr="00E14102" w:rsidRDefault="00E60A1A"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Завод №1</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325F0A86" w14:textId="77777777" w:rsidR="00E60A1A" w:rsidRPr="00E14102" w:rsidRDefault="00E60A1A"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60</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03238DFA" w14:textId="77777777" w:rsidR="00E60A1A" w:rsidRPr="00E14102" w:rsidRDefault="00E60A1A"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273</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060A5464" w14:textId="77777777" w:rsidR="00E60A1A" w:rsidRPr="00E14102" w:rsidRDefault="00E60A1A"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2</w:t>
            </w:r>
          </w:p>
        </w:tc>
        <w:tc>
          <w:tcPr>
            <w:tcW w:w="1066" w:type="dxa"/>
            <w:tcBorders>
              <w:top w:val="single" w:sz="4" w:space="0" w:color="auto"/>
              <w:left w:val="single" w:sz="4" w:space="0" w:color="auto"/>
              <w:bottom w:val="single" w:sz="4" w:space="0" w:color="auto"/>
              <w:right w:val="single" w:sz="4" w:space="0" w:color="auto"/>
            </w:tcBorders>
            <w:shd w:val="clear" w:color="auto" w:fill="FFFFFF"/>
          </w:tcPr>
          <w:p w14:paraId="55542605" w14:textId="77777777" w:rsidR="00E60A1A" w:rsidRPr="00E14102" w:rsidRDefault="00E60A1A" w:rsidP="00E14102">
            <w:pPr>
              <w:jc w:val="both"/>
              <w:rPr>
                <w:color w:val="000000" w:themeColor="text1"/>
                <w:sz w:val="16"/>
                <w:szCs w:val="16"/>
              </w:rPr>
            </w:pPr>
          </w:p>
        </w:tc>
      </w:tr>
      <w:tr w:rsidR="00E3599D" w:rsidRPr="00E14102" w14:paraId="087CEDDC" w14:textId="77777777" w:rsidTr="007D01A3">
        <w:trPr>
          <w:trHeight w:val="235"/>
        </w:trPr>
        <w:tc>
          <w:tcPr>
            <w:tcW w:w="1094" w:type="dxa"/>
            <w:tcBorders>
              <w:top w:val="single" w:sz="4" w:space="0" w:color="auto"/>
              <w:left w:val="single" w:sz="4" w:space="0" w:color="auto"/>
              <w:bottom w:val="single" w:sz="4" w:space="0" w:color="auto"/>
              <w:right w:val="single" w:sz="4" w:space="0" w:color="auto"/>
            </w:tcBorders>
            <w:shd w:val="clear" w:color="auto" w:fill="FFFFFF"/>
          </w:tcPr>
          <w:p w14:paraId="6CB85004" w14:textId="77777777" w:rsidR="00E60A1A" w:rsidRPr="00E14102" w:rsidRDefault="00E60A1A"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Завод № 39</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75E2A48F" w14:textId="77777777" w:rsidR="00E60A1A" w:rsidRPr="00E14102" w:rsidRDefault="00E60A1A"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34</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12CFEC93" w14:textId="77777777" w:rsidR="00E60A1A" w:rsidRPr="00E14102" w:rsidRDefault="00E60A1A"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15</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4DB38929" w14:textId="77777777" w:rsidR="00E60A1A" w:rsidRPr="00E14102" w:rsidRDefault="00E60A1A" w:rsidP="00E14102">
            <w:pPr>
              <w:pStyle w:val="124"/>
              <w:shd w:val="clear" w:color="auto" w:fill="auto"/>
              <w:spacing w:line="240" w:lineRule="auto"/>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w:t>
            </w:r>
          </w:p>
        </w:tc>
        <w:tc>
          <w:tcPr>
            <w:tcW w:w="1066" w:type="dxa"/>
            <w:tcBorders>
              <w:top w:val="single" w:sz="4" w:space="0" w:color="auto"/>
              <w:left w:val="single" w:sz="4" w:space="0" w:color="auto"/>
              <w:bottom w:val="single" w:sz="4" w:space="0" w:color="auto"/>
              <w:right w:val="single" w:sz="4" w:space="0" w:color="auto"/>
            </w:tcBorders>
            <w:shd w:val="clear" w:color="auto" w:fill="FFFFFF"/>
          </w:tcPr>
          <w:p w14:paraId="7BA1C7DA" w14:textId="77777777" w:rsidR="00E60A1A" w:rsidRPr="00E14102" w:rsidRDefault="00E60A1A" w:rsidP="00E14102">
            <w:pPr>
              <w:jc w:val="both"/>
              <w:rPr>
                <w:color w:val="000000" w:themeColor="text1"/>
                <w:sz w:val="16"/>
                <w:szCs w:val="16"/>
              </w:rPr>
            </w:pPr>
          </w:p>
        </w:tc>
      </w:tr>
      <w:tr w:rsidR="00E3599D" w:rsidRPr="00E14102" w14:paraId="3AA9F357" w14:textId="77777777" w:rsidTr="007D01A3">
        <w:trPr>
          <w:trHeight w:val="298"/>
        </w:trPr>
        <w:tc>
          <w:tcPr>
            <w:tcW w:w="1094" w:type="dxa"/>
            <w:tcBorders>
              <w:top w:val="single" w:sz="4" w:space="0" w:color="auto"/>
              <w:left w:val="single" w:sz="4" w:space="0" w:color="auto"/>
              <w:bottom w:val="single" w:sz="4" w:space="0" w:color="auto"/>
              <w:right w:val="single" w:sz="4" w:space="0" w:color="auto"/>
            </w:tcBorders>
            <w:shd w:val="clear" w:color="auto" w:fill="FFFFFF"/>
          </w:tcPr>
          <w:p w14:paraId="3BBDC78C" w14:textId="77777777" w:rsidR="00E60A1A" w:rsidRPr="00E14102" w:rsidRDefault="00E60A1A"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Всего</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7A9D094B" w14:textId="77777777" w:rsidR="00E60A1A" w:rsidRPr="00E14102" w:rsidRDefault="00E60A1A"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94</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757A6E5D" w14:textId="77777777" w:rsidR="00E60A1A" w:rsidRPr="00E14102" w:rsidRDefault="00E60A1A"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288</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74E8EA2E" w14:textId="77777777" w:rsidR="00E60A1A" w:rsidRPr="00E14102" w:rsidRDefault="00E60A1A"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2</w:t>
            </w:r>
          </w:p>
        </w:tc>
        <w:tc>
          <w:tcPr>
            <w:tcW w:w="1066" w:type="dxa"/>
            <w:tcBorders>
              <w:top w:val="single" w:sz="4" w:space="0" w:color="auto"/>
              <w:left w:val="single" w:sz="4" w:space="0" w:color="auto"/>
              <w:bottom w:val="single" w:sz="4" w:space="0" w:color="auto"/>
              <w:right w:val="single" w:sz="4" w:space="0" w:color="auto"/>
            </w:tcBorders>
            <w:shd w:val="clear" w:color="auto" w:fill="FFFFFF"/>
          </w:tcPr>
          <w:p w14:paraId="266CE56B" w14:textId="77777777" w:rsidR="00E60A1A" w:rsidRPr="00E14102" w:rsidRDefault="00E60A1A"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384</w:t>
            </w:r>
          </w:p>
        </w:tc>
      </w:tr>
    </w:tbl>
    <w:p w14:paraId="24E936A9" w14:textId="77777777" w:rsidR="00E60A1A" w:rsidRPr="00E14102" w:rsidRDefault="00E60A1A"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(19107).</w:t>
      </w:r>
    </w:p>
    <w:p w14:paraId="21E2B402" w14:textId="77777777" w:rsidR="00E60A1A" w:rsidRPr="00E14102" w:rsidRDefault="00E60A1A" w:rsidP="00E14102">
      <w:pPr>
        <w:jc w:val="both"/>
        <w:rPr>
          <w:color w:val="000000" w:themeColor="text1"/>
          <w:sz w:val="16"/>
          <w:szCs w:val="16"/>
        </w:rPr>
      </w:pPr>
    </w:p>
    <w:p w14:paraId="112076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21 мая по 29 июля 1935 г. на аэродроме НИИ ВВС в Щелково проходили Государственные испытания ЦКБ-3 № 7. Летал Эдгард Преман. Выводы в отношении самолета были в основном положительными и практически полностью совпали с мнением Чкалова и Коккинаки. В заключении по результатам госиспытаний говорилось: "Рекомендовать к серийной постройке самолеты И-15 с нормальным центропланом... Представить на испытания НИИ головной серийный самолет с нормальным центропланом постройки завода № I".</w:t>
      </w:r>
    </w:p>
    <w:p w14:paraId="257130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Несмотря на указанные выводы и заключения, история развития истребителя И-15 на этом этапе закончилась. Серийное изготовление самолета в 1935 г. было прекращено и возобновилось лишь в 1937 г. в виде истребителя И-15бис.</w:t>
      </w:r>
    </w:p>
    <w:p w14:paraId="026CF4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Некоторые обстоятельства событий того периода позволяет прояснить письмо Николая Поликарпова, направленное в декабре 1937 г. начальнику ГУАП М.М. Кагановичу. Вот выдержки из этого письма, касающиеся непосредственно И-15 (цитируется по оригиналу с минимальными изменениями):</w:t>
      </w:r>
    </w:p>
    <w:p w14:paraId="28FC92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"Моя работа в последние годы протекала в крайне неблагоприятной обстановке, при отсутствии производственной базы. Приходилось бороться за право постройки своих самолетов, за их осуществление в том виде, в каком они были продуманы и проработаны. Характерно, что бороться приходилось не только по линии ВВС, но и по линии нашего Главка и серийных заводов.</w:t>
      </w:r>
    </w:p>
    <w:p w14:paraId="7C8526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иллюстрации, я остановлюсь, прежде всего, на борьбе вокруг самолета И-15, борьбе, имевшей целью не только дискредитацию его схемы и типа, но и летно-эксплуата- ционных его качеств. Вводя схему "чайки" в самолет И-15, я хотел наряду с уменьшением интерференции обеспечить этим наилучшую маневренность самолета, особенно на глубоком вираже, что несомненно оправдалось.</w:t>
      </w:r>
    </w:p>
    <w:p w14:paraId="1B2508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эта схема встретила упорное противодействие и дискредитацию в НИИ ВВС. Начиная с летных испытаний опытного образца с декабря 1933 г., и до самого последнего времени НИИ не переставал утверждать, ...что благодаря схеме "чайка" И-15 имеет неустойчивость пути, препятствующую вождению самолета в строю и не позволяющую производить прицельные стрельбы.</w:t>
      </w:r>
    </w:p>
    <w:p w14:paraId="76B96F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наши многочисленные попытки ...указать на необоснованность таких утверждений указать на то, что И-15 является высокоманевренным и чувствительным к управлению самолетом, не увенчались в то время успехом, ибо я как конструктор не мог привести объективные доказательства устойчивости пути, в виде записей безинерционным прибором колебаний самолета, за отсутствием в СССР таких приборов.</w:t>
      </w:r>
    </w:p>
    <w:p w14:paraId="42FBAC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Поэтому, в начале 1935 г. мною был установлен нормальный центроплан на И-15, испытанный в НИИ ВВС, который признал, что только такой центроплан полностью обеспечивает устойчивость пути при сохранении прежней маневренности. Характерно, что несмотря на опыт боевого применения самолета И-15 в спецбригаде (Испании - М.М.), полностью подтвердивший правильность нашей защиты схемы "чайки", НИИ ВВС и руководство ВВС в своем документе (постановления двух Наркомов от января с/г) по вопросу улучшения самолетов И-15 ...отстояло схему нормального центроплана.</w:t>
      </w:r>
    </w:p>
    <w:p w14:paraId="4C0297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 как до этого мы не имели еще бесед с летчиками спецбригады, то мы не могли критически отнестись к указанному документу. Однако впоследствии наши беседы с летчиками сильно поколебали этот целиком выработанный НИИ ВВС документ, а произведенные летом этого года испытания схемы "чайка" в ЦАГИ совершенно подорвали правильность заключения НИИ ВВС, установив, что устойчивость пути у "чайки" увеличивается, а не уменьшается с увеличением скорости, вследствие чего мы на новом самолете И-153 использовали схему "чайки".</w:t>
      </w:r>
    </w:p>
    <w:p w14:paraId="1A8578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Таким образом, после четырех лет борьбы установка НИИ ВВС оказалась битой (установка против "чайки") и ответом боевого применения и результатом записей в летных испытаниях ОЭЛИДа (12014).</w:t>
      </w:r>
    </w:p>
    <w:p w14:paraId="0D7EAD78" w14:textId="77777777" w:rsidR="00D4105E" w:rsidRPr="00E14102" w:rsidRDefault="00D4105E" w:rsidP="00E14102">
      <w:pPr>
        <w:autoSpaceDE w:val="0"/>
        <w:autoSpaceDN w:val="0"/>
        <w:adjustRightInd w:val="0"/>
        <w:jc w:val="both"/>
        <w:rPr>
          <w:color w:val="000000" w:themeColor="text1"/>
          <w:sz w:val="16"/>
          <w:szCs w:val="16"/>
        </w:rPr>
      </w:pPr>
    </w:p>
    <w:p w14:paraId="4FD1933C" w14:textId="77777777" w:rsidR="00DA70F3" w:rsidRPr="00E14102" w:rsidRDefault="00DA70F3" w:rsidP="00E14102">
      <w:pPr>
        <w:jc w:val="both"/>
        <w:rPr>
          <w:color w:val="000000" w:themeColor="text1"/>
          <w:sz w:val="16"/>
          <w:szCs w:val="16"/>
        </w:rPr>
      </w:pPr>
      <w:r w:rsidRPr="00E14102">
        <w:rPr>
          <w:color w:val="000000" w:themeColor="text1"/>
          <w:sz w:val="16"/>
          <w:szCs w:val="16"/>
        </w:rPr>
        <w:t>В период с 21 мая по 29 июля 1935 г. проходили Государственные испытания ЦКБ-3 № 7 на аэродроме НИИ ВВС в Щёлково. Летал Эдгард Преман. Выводы в отношении машины были в основном положительными и практически полностью совпали с мнением Чкалова и Коккинаки. В заключении по результатам государственных испытаний говорилось: «Рекомендовать к серийной постройке самолёты И-15 с нормальным центропланом... Представить на испытания НИИ головной серийный самолёт с нормальным центропланом постройки завода № 1».</w:t>
      </w:r>
    </w:p>
    <w:p w14:paraId="360A38F1" w14:textId="77777777" w:rsidR="00DA70F3" w:rsidRPr="00E14102" w:rsidRDefault="00DA70F3" w:rsidP="00E14102">
      <w:pPr>
        <w:jc w:val="both"/>
        <w:rPr>
          <w:color w:val="000000" w:themeColor="text1"/>
          <w:sz w:val="16"/>
          <w:szCs w:val="16"/>
        </w:rPr>
      </w:pPr>
      <w:r w:rsidRPr="00E14102">
        <w:rPr>
          <w:color w:val="000000" w:themeColor="text1"/>
          <w:sz w:val="16"/>
          <w:szCs w:val="16"/>
        </w:rPr>
        <w:t>Несмотря на указанные выводы и заключения, история развития истребителя И-15 на этом этапе закончилась. Его серийное изготовление в 1935 г. было прекращено и возобновлено лишь в 1937 г. как истребителя И-15бис (12261).</w:t>
      </w:r>
    </w:p>
    <w:p w14:paraId="41374EB7" w14:textId="77777777" w:rsidR="00DA70F3" w:rsidRPr="00E14102" w:rsidRDefault="00DA70F3" w:rsidP="00E14102">
      <w:pPr>
        <w:jc w:val="both"/>
        <w:rPr>
          <w:color w:val="000000" w:themeColor="text1"/>
          <w:sz w:val="16"/>
          <w:szCs w:val="16"/>
        </w:rPr>
      </w:pPr>
    </w:p>
    <w:p w14:paraId="01D3A22B" w14:textId="77777777" w:rsidR="002F6502" w:rsidRPr="00E14102" w:rsidRDefault="002F6502" w:rsidP="00E14102">
      <w:pPr>
        <w:jc w:val="both"/>
        <w:rPr>
          <w:color w:val="000000" w:themeColor="text1"/>
          <w:sz w:val="16"/>
          <w:szCs w:val="16"/>
        </w:rPr>
      </w:pPr>
      <w:r w:rsidRPr="00E14102">
        <w:rPr>
          <w:bCs/>
          <w:color w:val="000000" w:themeColor="text1"/>
          <w:sz w:val="16"/>
          <w:szCs w:val="16"/>
        </w:rPr>
        <w:t>21 мая</w:t>
      </w:r>
      <w:r w:rsidRPr="00E14102">
        <w:rPr>
          <w:color w:val="000000" w:themeColor="text1"/>
          <w:sz w:val="16"/>
          <w:szCs w:val="16"/>
        </w:rPr>
        <w:t xml:space="preserve"> в 1935 году на аэродроме НИИ ВВС в Щелково проходили (по 29 июля) Государственные испытания «ЦКБ-3» № 7 («И-15») . Заключение по результатам госиспытаний гласило: "Рекомендовать к серийной постройке самолеты «И-15» с нормальным центропланом... Представить на испытания НИИ головной серийный самолет с нормальным центропланом постройки завода No. 1". Модифицированный истребитель с верхним крылом без "чайки" изготовили на московском авиазаводе № 39 в начале 1935 г. Самолет получил обозначение «ЦКБ-3» №7 (№ 33907). Летали Чкалов, Коккинаки, Николаев. Летные характеристики самолета в основном остались на прежнем уровне. Несколько снизилась скороподъемность, максимальная скорость составила 367 км/ч на высоте 3000 м. Время виража на высоте 1000 м увеличилось и составило 9,36 сек (14898).</w:t>
      </w:r>
    </w:p>
    <w:p w14:paraId="2F00FD60" w14:textId="77777777" w:rsidR="002F6502" w:rsidRPr="00E14102" w:rsidRDefault="002F6502" w:rsidP="00E14102">
      <w:pPr>
        <w:jc w:val="both"/>
        <w:rPr>
          <w:color w:val="000000" w:themeColor="text1"/>
          <w:sz w:val="16"/>
          <w:szCs w:val="16"/>
        </w:rPr>
      </w:pPr>
    </w:p>
    <w:p w14:paraId="540516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мая 1935 состоялось совещание у начальника УВВС РККА Я.И.Алксниса о возможности установки дренажных трубок в кабине пилота (1102).</w:t>
      </w:r>
    </w:p>
    <w:p w14:paraId="6245E005" w14:textId="77777777" w:rsidR="00D4105E" w:rsidRPr="00E14102" w:rsidRDefault="00D4105E" w:rsidP="00E14102">
      <w:pPr>
        <w:autoSpaceDE w:val="0"/>
        <w:autoSpaceDN w:val="0"/>
        <w:adjustRightInd w:val="0"/>
        <w:jc w:val="both"/>
        <w:rPr>
          <w:color w:val="000000" w:themeColor="text1"/>
          <w:sz w:val="16"/>
          <w:szCs w:val="16"/>
        </w:rPr>
      </w:pPr>
    </w:p>
    <w:p w14:paraId="2DB002B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465440E" w14:textId="77777777" w:rsidR="00D4105E" w:rsidRPr="00E14102" w:rsidRDefault="00D4105E" w:rsidP="00E14102">
      <w:pPr>
        <w:autoSpaceDE w:val="0"/>
        <w:autoSpaceDN w:val="0"/>
        <w:adjustRightInd w:val="0"/>
        <w:jc w:val="both"/>
        <w:rPr>
          <w:iCs/>
          <w:color w:val="000000" w:themeColor="text1"/>
          <w:sz w:val="16"/>
          <w:szCs w:val="16"/>
        </w:rPr>
      </w:pPr>
    </w:p>
    <w:p w14:paraId="4BF0A6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мая 1935 г. в ЦКБС-1 под руководством В. П. Римского-Корсакова был разработан эскизный проект большого крейсера типа "X". На крейсер "X" возлагались задачи вы</w:t>
      </w:r>
      <w:r w:rsidRPr="00E14102">
        <w:rPr>
          <w:color w:val="000000" w:themeColor="text1"/>
          <w:sz w:val="16"/>
          <w:szCs w:val="16"/>
        </w:rPr>
        <w:softHyphen/>
        <w:t>полнения автономных операций в открытом море, действий про</w:t>
      </w:r>
      <w:r w:rsidRPr="00E14102">
        <w:rPr>
          <w:color w:val="000000" w:themeColor="text1"/>
          <w:sz w:val="16"/>
          <w:szCs w:val="16"/>
        </w:rPr>
        <w:softHyphen/>
        <w:t>тив берегов противника и поддержки легких сил, оперирующих вдали от своих баз.</w:t>
      </w:r>
    </w:p>
    <w:p w14:paraId="6A3244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Исходя из необходимости обеспечения огневого превосходства и надежного поражения вашингтонского крейсера, В. П. Римский-Корсаков выполнил расчеты (с кривыми бронепробиваемости), ко</w:t>
      </w:r>
      <w:r w:rsidRPr="00E14102">
        <w:rPr>
          <w:color w:val="000000" w:themeColor="text1"/>
          <w:sz w:val="16"/>
          <w:szCs w:val="16"/>
        </w:rPr>
        <w:softHyphen/>
        <w:t>торые показали наиболее выгодный калибр главной артиллерии 220—225 мм. Учитывая перспективу и возможность обеспечения высокой скорости стрельбы (2,7—5 выстр./мин), он предложил во</w:t>
      </w:r>
      <w:r w:rsidRPr="00E14102">
        <w:rPr>
          <w:color w:val="000000" w:themeColor="text1"/>
          <w:sz w:val="16"/>
          <w:szCs w:val="16"/>
        </w:rPr>
        <w:softHyphen/>
        <w:t>оружить крейсер двенадцатью 240-мм орудиями длиной в 60 ка</w:t>
      </w:r>
      <w:r w:rsidRPr="00E14102">
        <w:rPr>
          <w:color w:val="000000" w:themeColor="text1"/>
          <w:sz w:val="16"/>
          <w:szCs w:val="16"/>
        </w:rPr>
        <w:softHyphen/>
        <w:t>либров в трехорудийных башнях, спроектированных инженером Р. Н. Вульфом. Оригинальной бьша и установка 130-мм универ-сальньис орудий в башнях. Это вооружение дополнялось шестью 45-мм полуавтоматами, четырьмя 12,7-мм пулеметами, двумя трехтрубными торпедными аппаратами, одиннадцатью—двенад</w:t>
      </w:r>
      <w:r w:rsidRPr="00E14102">
        <w:rPr>
          <w:color w:val="000000" w:themeColor="text1"/>
          <w:sz w:val="16"/>
          <w:szCs w:val="16"/>
        </w:rPr>
        <w:softHyphen/>
        <w:t>цатью самолетами с катапультой и двумя малыми подводными лодками "Блоха" (идея В. Л. Бжезинского).</w:t>
      </w:r>
    </w:p>
    <w:p w14:paraId="257784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 предусматривал 115-мм бортовое и 75-мм палубное бронирование. Предполагалось, что крейсер на 12-часовом испыта</w:t>
      </w:r>
      <w:r w:rsidRPr="00E14102">
        <w:rPr>
          <w:color w:val="000000" w:themeColor="text1"/>
          <w:sz w:val="16"/>
          <w:szCs w:val="16"/>
        </w:rPr>
        <w:softHyphen/>
        <w:t>нии разовьет 38-узловую скорость полного хода при водоизмеще</w:t>
      </w:r>
      <w:r w:rsidRPr="00E14102">
        <w:rPr>
          <w:color w:val="000000" w:themeColor="text1"/>
          <w:sz w:val="16"/>
          <w:szCs w:val="16"/>
        </w:rPr>
        <w:softHyphen/>
        <w:t>нии 17 350 т и мощности главных механизмов 210 000 л. с. Впро</w:t>
      </w:r>
      <w:r w:rsidRPr="00E14102">
        <w:rPr>
          <w:color w:val="000000" w:themeColor="text1"/>
          <w:sz w:val="16"/>
          <w:szCs w:val="16"/>
        </w:rPr>
        <w:softHyphen/>
        <w:t>чем, достижение последнего показателя сейчас можно подвергнуть сомнению, так как весь проект сравнительно легкой трехвальной машинно-котельной установки был основан на применении котлов с повышенными параметрами пара, как на эсминце "Серго Орджо</w:t>
      </w:r>
      <w:r w:rsidRPr="00E14102">
        <w:rPr>
          <w:color w:val="000000" w:themeColor="text1"/>
          <w:sz w:val="16"/>
          <w:szCs w:val="16"/>
        </w:rPr>
        <w:softHyphen/>
        <w:t>никидзе" (пр.45) (3898).</w:t>
      </w:r>
    </w:p>
    <w:p w14:paraId="75231536" w14:textId="77777777" w:rsidR="00D4105E" w:rsidRPr="00E14102" w:rsidRDefault="00D4105E" w:rsidP="00E14102">
      <w:pPr>
        <w:autoSpaceDE w:val="0"/>
        <w:autoSpaceDN w:val="0"/>
        <w:adjustRightInd w:val="0"/>
        <w:jc w:val="both"/>
        <w:rPr>
          <w:color w:val="000000" w:themeColor="text1"/>
          <w:sz w:val="16"/>
          <w:szCs w:val="16"/>
        </w:rPr>
      </w:pPr>
    </w:p>
    <w:p w14:paraId="5DF1BC5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DD33C09" w14:textId="77777777" w:rsidR="00D4105E" w:rsidRPr="00E14102" w:rsidRDefault="00D4105E" w:rsidP="00E14102">
      <w:pPr>
        <w:autoSpaceDE w:val="0"/>
        <w:autoSpaceDN w:val="0"/>
        <w:adjustRightInd w:val="0"/>
        <w:jc w:val="both"/>
        <w:rPr>
          <w:iCs/>
          <w:color w:val="000000" w:themeColor="text1"/>
          <w:sz w:val="16"/>
          <w:szCs w:val="16"/>
        </w:rPr>
      </w:pPr>
    </w:p>
    <w:p w14:paraId="4BB2E4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мая 1935 в Германии вышел тайный закон Об обороне империи (3186).</w:t>
      </w:r>
    </w:p>
    <w:p w14:paraId="28EF7504" w14:textId="77777777" w:rsidR="00D4105E" w:rsidRPr="00E14102" w:rsidRDefault="00D4105E" w:rsidP="00E14102">
      <w:pPr>
        <w:autoSpaceDE w:val="0"/>
        <w:autoSpaceDN w:val="0"/>
        <w:adjustRightInd w:val="0"/>
        <w:jc w:val="both"/>
        <w:rPr>
          <w:color w:val="000000" w:themeColor="text1"/>
          <w:sz w:val="16"/>
          <w:szCs w:val="16"/>
        </w:rPr>
      </w:pPr>
    </w:p>
    <w:p w14:paraId="0568DAE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мая 1935 вооруженные силы Германии (рейхсвер) переименованы в вермахт, евреям запрещено служить в армии (4962).</w:t>
      </w:r>
    </w:p>
    <w:p w14:paraId="22A23EC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54E81D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FD76453" w14:textId="77777777" w:rsidR="00D4105E" w:rsidRPr="00E14102" w:rsidRDefault="00D4105E" w:rsidP="00E14102">
      <w:pPr>
        <w:autoSpaceDE w:val="0"/>
        <w:autoSpaceDN w:val="0"/>
        <w:adjustRightInd w:val="0"/>
        <w:jc w:val="both"/>
        <w:rPr>
          <w:iCs/>
          <w:color w:val="000000" w:themeColor="text1"/>
          <w:sz w:val="16"/>
          <w:szCs w:val="16"/>
        </w:rPr>
      </w:pPr>
    </w:p>
    <w:p w14:paraId="3530BA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мая 1935 года N 42/00601 начальник 4 отдела УВС Галдин подготовил Перечень заводов ГУАП самолето- и моторостроения по 4 отделу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E3599D" w:rsidRPr="00E14102" w14:paraId="71AD5FA0" w14:textId="77777777">
        <w:tc>
          <w:tcPr>
            <w:tcW w:w="2818" w:type="dxa"/>
            <w:tcBorders>
              <w:top w:val="single" w:sz="12" w:space="0" w:color="auto"/>
            </w:tcBorders>
          </w:tcPr>
          <w:p w14:paraId="297C99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NN завод и место</w:t>
            </w:r>
          </w:p>
        </w:tc>
        <w:tc>
          <w:tcPr>
            <w:tcW w:w="2818" w:type="dxa"/>
            <w:tcBorders>
              <w:top w:val="single" w:sz="12" w:space="0" w:color="auto"/>
            </w:tcBorders>
          </w:tcPr>
          <w:p w14:paraId="2C0C5F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Какую продукцию</w:t>
            </w:r>
          </w:p>
        </w:tc>
      </w:tr>
      <w:tr w:rsidR="00E3599D" w:rsidRPr="00E14102" w14:paraId="751BD183" w14:textId="77777777">
        <w:tc>
          <w:tcPr>
            <w:tcW w:w="2818" w:type="dxa"/>
          </w:tcPr>
          <w:p w14:paraId="233A62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расположения</w:t>
            </w:r>
          </w:p>
        </w:tc>
        <w:tc>
          <w:tcPr>
            <w:tcW w:w="2818" w:type="dxa"/>
          </w:tcPr>
          <w:p w14:paraId="11D360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изготовляют</w:t>
            </w:r>
          </w:p>
        </w:tc>
      </w:tr>
      <w:tr w:rsidR="00E3599D" w:rsidRPr="00E14102" w14:paraId="48A5AC9A" w14:textId="77777777">
        <w:tc>
          <w:tcPr>
            <w:tcW w:w="2818" w:type="dxa"/>
          </w:tcPr>
          <w:p w14:paraId="474194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1</w:t>
            </w:r>
          </w:p>
        </w:tc>
        <w:tc>
          <w:tcPr>
            <w:tcW w:w="2818" w:type="dxa"/>
          </w:tcPr>
          <w:p w14:paraId="39F009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r>
      <w:tr w:rsidR="00E3599D" w:rsidRPr="00E14102" w14:paraId="28AD7503" w14:textId="77777777">
        <w:tc>
          <w:tcPr>
            <w:tcW w:w="2818" w:type="dxa"/>
          </w:tcPr>
          <w:p w14:paraId="16DB77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Москва</w:t>
            </w:r>
          </w:p>
        </w:tc>
        <w:tc>
          <w:tcPr>
            <w:tcW w:w="2818" w:type="dxa"/>
          </w:tcPr>
          <w:p w14:paraId="7C7B7E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И15-РЦ</w:t>
            </w:r>
          </w:p>
        </w:tc>
      </w:tr>
      <w:tr w:rsidR="00E3599D" w:rsidRPr="00E14102" w14:paraId="6DF7F522" w14:textId="77777777">
        <w:tc>
          <w:tcPr>
            <w:tcW w:w="2818" w:type="dxa"/>
          </w:tcPr>
          <w:p w14:paraId="216EB91A"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Pr>
          <w:p w14:paraId="2FBFD9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ЛР-М34Н</w:t>
            </w:r>
          </w:p>
        </w:tc>
      </w:tr>
      <w:tr w:rsidR="00E3599D" w:rsidRPr="00E14102" w14:paraId="76E87A17" w14:textId="77777777">
        <w:tc>
          <w:tcPr>
            <w:tcW w:w="2818" w:type="dxa"/>
          </w:tcPr>
          <w:p w14:paraId="5C8418E1"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Pr>
          <w:p w14:paraId="52BB4F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ССС-М17</w:t>
            </w:r>
          </w:p>
        </w:tc>
      </w:tr>
      <w:tr w:rsidR="00E3599D" w:rsidRPr="00E14102" w14:paraId="749C19EA" w14:textId="77777777">
        <w:tc>
          <w:tcPr>
            <w:tcW w:w="2818" w:type="dxa"/>
          </w:tcPr>
          <w:p w14:paraId="4FA0AD54"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Pr>
          <w:p w14:paraId="62265B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Р5-М34Н</w:t>
            </w:r>
          </w:p>
        </w:tc>
      </w:tr>
      <w:tr w:rsidR="00E3599D" w:rsidRPr="00E14102" w14:paraId="688BA3A2" w14:textId="77777777">
        <w:tc>
          <w:tcPr>
            <w:tcW w:w="2818" w:type="dxa"/>
          </w:tcPr>
          <w:p w14:paraId="239B15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16</w:t>
            </w:r>
          </w:p>
        </w:tc>
        <w:tc>
          <w:tcPr>
            <w:tcW w:w="2818" w:type="dxa"/>
          </w:tcPr>
          <w:p w14:paraId="0F91D4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 М-11</w:t>
            </w:r>
          </w:p>
        </w:tc>
      </w:tr>
      <w:tr w:rsidR="00E3599D" w:rsidRPr="00E14102" w14:paraId="1FE84953" w14:textId="77777777">
        <w:tc>
          <w:tcPr>
            <w:tcW w:w="2818" w:type="dxa"/>
          </w:tcPr>
          <w:p w14:paraId="501167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Воронеж</w:t>
            </w:r>
          </w:p>
        </w:tc>
        <w:tc>
          <w:tcPr>
            <w:tcW w:w="2818" w:type="dxa"/>
          </w:tcPr>
          <w:p w14:paraId="46AE185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767F699" w14:textId="77777777">
        <w:tc>
          <w:tcPr>
            <w:tcW w:w="2818" w:type="dxa"/>
          </w:tcPr>
          <w:p w14:paraId="2D51C3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18</w:t>
            </w:r>
          </w:p>
        </w:tc>
        <w:tc>
          <w:tcPr>
            <w:tcW w:w="2818" w:type="dxa"/>
          </w:tcPr>
          <w:p w14:paraId="34D26B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r>
      <w:tr w:rsidR="00E3599D" w:rsidRPr="00E14102" w14:paraId="713A2D17" w14:textId="77777777">
        <w:tc>
          <w:tcPr>
            <w:tcW w:w="2818" w:type="dxa"/>
          </w:tcPr>
          <w:p w14:paraId="3A6C08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Воронеж</w:t>
            </w:r>
          </w:p>
        </w:tc>
        <w:tc>
          <w:tcPr>
            <w:tcW w:w="2818" w:type="dxa"/>
          </w:tcPr>
          <w:p w14:paraId="5D8924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Р5-М34Р</w:t>
            </w:r>
          </w:p>
        </w:tc>
      </w:tr>
      <w:tr w:rsidR="00E3599D" w:rsidRPr="00E14102" w14:paraId="7F608249" w14:textId="77777777">
        <w:tc>
          <w:tcPr>
            <w:tcW w:w="2818" w:type="dxa"/>
          </w:tcPr>
          <w:p w14:paraId="5FE0C8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19</w:t>
            </w:r>
          </w:p>
        </w:tc>
        <w:tc>
          <w:tcPr>
            <w:tcW w:w="2818" w:type="dxa"/>
          </w:tcPr>
          <w:p w14:paraId="4D66E4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 М-25(РЦ)</w:t>
            </w:r>
          </w:p>
        </w:tc>
      </w:tr>
      <w:tr w:rsidR="00E3599D" w:rsidRPr="00E14102" w14:paraId="156403AA" w14:textId="77777777">
        <w:tc>
          <w:tcPr>
            <w:tcW w:w="2818" w:type="dxa"/>
          </w:tcPr>
          <w:p w14:paraId="347333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Пермь</w:t>
            </w:r>
          </w:p>
        </w:tc>
        <w:tc>
          <w:tcPr>
            <w:tcW w:w="2818" w:type="dxa"/>
          </w:tcPr>
          <w:p w14:paraId="42997D2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975183C" w14:textId="77777777">
        <w:tc>
          <w:tcPr>
            <w:tcW w:w="2818" w:type="dxa"/>
          </w:tcPr>
          <w:p w14:paraId="38ED3B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21</w:t>
            </w:r>
          </w:p>
        </w:tc>
        <w:tc>
          <w:tcPr>
            <w:tcW w:w="2818" w:type="dxa"/>
          </w:tcPr>
          <w:p w14:paraId="001D91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r>
      <w:tr w:rsidR="00E3599D" w:rsidRPr="00E14102" w14:paraId="41527643" w14:textId="77777777">
        <w:tc>
          <w:tcPr>
            <w:tcW w:w="2818" w:type="dxa"/>
          </w:tcPr>
          <w:p w14:paraId="6C2F5A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Горький</w:t>
            </w:r>
          </w:p>
        </w:tc>
        <w:tc>
          <w:tcPr>
            <w:tcW w:w="2818" w:type="dxa"/>
          </w:tcPr>
          <w:p w14:paraId="6F9EFC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И16-М22</w:t>
            </w:r>
          </w:p>
        </w:tc>
      </w:tr>
      <w:tr w:rsidR="00E3599D" w:rsidRPr="00E14102" w14:paraId="59304CBE" w14:textId="77777777">
        <w:tc>
          <w:tcPr>
            <w:tcW w:w="2818" w:type="dxa"/>
          </w:tcPr>
          <w:p w14:paraId="138FCA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22</w:t>
            </w:r>
          </w:p>
        </w:tc>
        <w:tc>
          <w:tcPr>
            <w:tcW w:w="2818" w:type="dxa"/>
          </w:tcPr>
          <w:p w14:paraId="0E5B21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r>
      <w:tr w:rsidR="00E3599D" w:rsidRPr="00E14102" w14:paraId="620DC71C" w14:textId="77777777">
        <w:tc>
          <w:tcPr>
            <w:tcW w:w="2818" w:type="dxa"/>
          </w:tcPr>
          <w:p w14:paraId="2CFD0D36"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Pr>
          <w:p w14:paraId="02F091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ТБ3-М34Р</w:t>
            </w:r>
          </w:p>
        </w:tc>
      </w:tr>
      <w:tr w:rsidR="00E3599D" w:rsidRPr="00E14102" w14:paraId="475FB502" w14:textId="77777777">
        <w:tc>
          <w:tcPr>
            <w:tcW w:w="2818" w:type="dxa"/>
          </w:tcPr>
          <w:p w14:paraId="459C700A"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Pr>
          <w:p w14:paraId="1D830B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ТБ3-М34РН</w:t>
            </w:r>
          </w:p>
        </w:tc>
      </w:tr>
      <w:tr w:rsidR="00E3599D" w:rsidRPr="00E14102" w14:paraId="6E5647D0" w14:textId="77777777">
        <w:tc>
          <w:tcPr>
            <w:tcW w:w="2818" w:type="dxa"/>
          </w:tcPr>
          <w:p w14:paraId="3DAFE6D1"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Pr>
          <w:p w14:paraId="2036B8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СБ-М100</w:t>
            </w:r>
          </w:p>
        </w:tc>
      </w:tr>
      <w:tr w:rsidR="00E3599D" w:rsidRPr="00E14102" w14:paraId="08D8F500" w14:textId="77777777">
        <w:tc>
          <w:tcPr>
            <w:tcW w:w="2818" w:type="dxa"/>
          </w:tcPr>
          <w:p w14:paraId="7F0DE767"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Pr>
          <w:p w14:paraId="537349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КР6-М17</w:t>
            </w:r>
          </w:p>
        </w:tc>
      </w:tr>
      <w:tr w:rsidR="00E3599D" w:rsidRPr="00E14102" w14:paraId="5263C394" w14:textId="77777777">
        <w:tc>
          <w:tcPr>
            <w:tcW w:w="2818" w:type="dxa"/>
          </w:tcPr>
          <w:p w14:paraId="063BA784"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Pr>
          <w:p w14:paraId="399634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КР6а-М17</w:t>
            </w:r>
          </w:p>
        </w:tc>
      </w:tr>
      <w:tr w:rsidR="00E3599D" w:rsidRPr="00E14102" w14:paraId="32FC6B23" w14:textId="77777777">
        <w:tc>
          <w:tcPr>
            <w:tcW w:w="2818" w:type="dxa"/>
          </w:tcPr>
          <w:p w14:paraId="5852DE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23</w:t>
            </w:r>
          </w:p>
        </w:tc>
        <w:tc>
          <w:tcPr>
            <w:tcW w:w="2818" w:type="dxa"/>
          </w:tcPr>
          <w:p w14:paraId="7E3E31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w:t>
            </w:r>
          </w:p>
        </w:tc>
      </w:tr>
      <w:tr w:rsidR="00E3599D" w:rsidRPr="00E14102" w14:paraId="35C75405" w14:textId="77777777">
        <w:tc>
          <w:tcPr>
            <w:tcW w:w="2818" w:type="dxa"/>
          </w:tcPr>
          <w:p w14:paraId="18A6ED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w:t>
            </w:r>
          </w:p>
        </w:tc>
        <w:tc>
          <w:tcPr>
            <w:tcW w:w="2818" w:type="dxa"/>
          </w:tcPr>
          <w:p w14:paraId="56F2A5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У2-М11</w:t>
            </w:r>
          </w:p>
        </w:tc>
      </w:tr>
      <w:tr w:rsidR="00E3599D" w:rsidRPr="00E14102" w14:paraId="38B86601" w14:textId="77777777">
        <w:tc>
          <w:tcPr>
            <w:tcW w:w="2818" w:type="dxa"/>
          </w:tcPr>
          <w:p w14:paraId="3AEF06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24</w:t>
            </w:r>
          </w:p>
        </w:tc>
        <w:tc>
          <w:tcPr>
            <w:tcW w:w="2818" w:type="dxa"/>
          </w:tcPr>
          <w:p w14:paraId="7ECDD0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 М-34</w:t>
            </w:r>
          </w:p>
        </w:tc>
      </w:tr>
      <w:tr w:rsidR="00E3599D" w:rsidRPr="00E14102" w14:paraId="51A9FBD2" w14:textId="77777777">
        <w:tc>
          <w:tcPr>
            <w:tcW w:w="2818" w:type="dxa"/>
          </w:tcPr>
          <w:p w14:paraId="152E00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Москва</w:t>
            </w:r>
          </w:p>
        </w:tc>
        <w:tc>
          <w:tcPr>
            <w:tcW w:w="2818" w:type="dxa"/>
          </w:tcPr>
          <w:p w14:paraId="20D2CA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(всех модификаций)</w:t>
            </w:r>
          </w:p>
        </w:tc>
      </w:tr>
      <w:tr w:rsidR="00E3599D" w:rsidRPr="00E14102" w14:paraId="1D45345D" w14:textId="77777777">
        <w:tc>
          <w:tcPr>
            <w:tcW w:w="2818" w:type="dxa"/>
          </w:tcPr>
          <w:p w14:paraId="012E7D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26</w:t>
            </w:r>
          </w:p>
        </w:tc>
        <w:tc>
          <w:tcPr>
            <w:tcW w:w="2818" w:type="dxa"/>
          </w:tcPr>
          <w:p w14:paraId="6F8A07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 М-100</w:t>
            </w:r>
          </w:p>
        </w:tc>
      </w:tr>
      <w:tr w:rsidR="00E3599D" w:rsidRPr="00E14102" w14:paraId="2BA81B7E" w14:textId="77777777">
        <w:tc>
          <w:tcPr>
            <w:tcW w:w="2818" w:type="dxa"/>
          </w:tcPr>
          <w:p w14:paraId="02F69A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Рыбинск</w:t>
            </w:r>
          </w:p>
        </w:tc>
        <w:tc>
          <w:tcPr>
            <w:tcW w:w="2818" w:type="dxa"/>
          </w:tcPr>
          <w:p w14:paraId="498FC5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М-17</w:t>
            </w:r>
          </w:p>
        </w:tc>
      </w:tr>
      <w:tr w:rsidR="00E3599D" w:rsidRPr="00E14102" w14:paraId="3E2A46AA" w14:textId="77777777">
        <w:tc>
          <w:tcPr>
            <w:tcW w:w="2818" w:type="dxa"/>
          </w:tcPr>
          <w:p w14:paraId="6B3382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29</w:t>
            </w:r>
          </w:p>
        </w:tc>
        <w:tc>
          <w:tcPr>
            <w:tcW w:w="2818" w:type="dxa"/>
          </w:tcPr>
          <w:p w14:paraId="322E88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 М-11,</w:t>
            </w:r>
          </w:p>
        </w:tc>
      </w:tr>
      <w:tr w:rsidR="00E3599D" w:rsidRPr="00E14102" w14:paraId="26A20691" w14:textId="77777777">
        <w:tc>
          <w:tcPr>
            <w:tcW w:w="2818" w:type="dxa"/>
          </w:tcPr>
          <w:p w14:paraId="76E5C3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Запорожье</w:t>
            </w:r>
          </w:p>
        </w:tc>
        <w:tc>
          <w:tcPr>
            <w:tcW w:w="2818" w:type="dxa"/>
          </w:tcPr>
          <w:p w14:paraId="6782F9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М-22, М-75 и</w:t>
            </w:r>
          </w:p>
        </w:tc>
      </w:tr>
      <w:tr w:rsidR="00E3599D" w:rsidRPr="00E14102" w14:paraId="1DB6DEB4" w14:textId="77777777">
        <w:tc>
          <w:tcPr>
            <w:tcW w:w="2818" w:type="dxa"/>
          </w:tcPr>
          <w:p w14:paraId="30E2A020"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Pr>
          <w:p w14:paraId="0125AE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М-85</w:t>
            </w:r>
          </w:p>
        </w:tc>
      </w:tr>
      <w:tr w:rsidR="00E3599D" w:rsidRPr="00E14102" w14:paraId="123A3F4E" w14:textId="77777777">
        <w:tc>
          <w:tcPr>
            <w:tcW w:w="2818" w:type="dxa"/>
          </w:tcPr>
          <w:p w14:paraId="0B8A5B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31</w:t>
            </w:r>
          </w:p>
        </w:tc>
        <w:tc>
          <w:tcPr>
            <w:tcW w:w="2818" w:type="dxa"/>
          </w:tcPr>
          <w:p w14:paraId="55D61D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r>
      <w:tr w:rsidR="00E3599D" w:rsidRPr="00E14102" w14:paraId="1EAECC53" w14:textId="77777777">
        <w:tc>
          <w:tcPr>
            <w:tcW w:w="2818" w:type="dxa"/>
          </w:tcPr>
          <w:p w14:paraId="5F9B3E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Таганрог</w:t>
            </w:r>
          </w:p>
        </w:tc>
        <w:tc>
          <w:tcPr>
            <w:tcW w:w="2818" w:type="dxa"/>
          </w:tcPr>
          <w:p w14:paraId="61B959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МБР2-М-17</w:t>
            </w:r>
          </w:p>
        </w:tc>
      </w:tr>
      <w:tr w:rsidR="00E3599D" w:rsidRPr="00E14102" w14:paraId="752640F3" w14:textId="77777777">
        <w:tc>
          <w:tcPr>
            <w:tcW w:w="2818" w:type="dxa"/>
          </w:tcPr>
          <w:p w14:paraId="32E15728"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Pr>
          <w:p w14:paraId="09D96C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МДР-4-3М34Р</w:t>
            </w:r>
          </w:p>
        </w:tc>
      </w:tr>
      <w:tr w:rsidR="00E3599D" w:rsidRPr="00E14102" w14:paraId="507FE96B" w14:textId="77777777">
        <w:tc>
          <w:tcPr>
            <w:tcW w:w="2818" w:type="dxa"/>
          </w:tcPr>
          <w:p w14:paraId="5796A1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39</w:t>
            </w:r>
          </w:p>
        </w:tc>
        <w:tc>
          <w:tcPr>
            <w:tcW w:w="2818" w:type="dxa"/>
          </w:tcPr>
          <w:p w14:paraId="48BB32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r>
      <w:tr w:rsidR="00E3599D" w:rsidRPr="00E14102" w14:paraId="08902BF0" w14:textId="77777777">
        <w:tc>
          <w:tcPr>
            <w:tcW w:w="2818" w:type="dxa"/>
          </w:tcPr>
          <w:p w14:paraId="562A93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Москва</w:t>
            </w:r>
          </w:p>
        </w:tc>
        <w:tc>
          <w:tcPr>
            <w:tcW w:w="2818" w:type="dxa"/>
          </w:tcPr>
          <w:p w14:paraId="3A5FCEE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F9D8016" w14:textId="77777777">
        <w:tc>
          <w:tcPr>
            <w:tcW w:w="2818" w:type="dxa"/>
          </w:tcPr>
          <w:p w14:paraId="1DF25162"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Pr>
          <w:p w14:paraId="7428E3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И15-РЦ</w:t>
            </w:r>
          </w:p>
        </w:tc>
      </w:tr>
      <w:tr w:rsidR="00E3599D" w:rsidRPr="00E14102" w14:paraId="6173EAC0" w14:textId="77777777">
        <w:tc>
          <w:tcPr>
            <w:tcW w:w="2818" w:type="dxa"/>
          </w:tcPr>
          <w:p w14:paraId="3847C0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125</w:t>
            </w:r>
          </w:p>
        </w:tc>
        <w:tc>
          <w:tcPr>
            <w:tcW w:w="2818" w:type="dxa"/>
          </w:tcPr>
          <w:p w14:paraId="33BC7F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r>
      <w:tr w:rsidR="00E3599D" w:rsidRPr="00E14102" w14:paraId="310CFD84" w14:textId="77777777">
        <w:tc>
          <w:tcPr>
            <w:tcW w:w="2818" w:type="dxa"/>
          </w:tcPr>
          <w:p w14:paraId="3701A9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Иркутск</w:t>
            </w:r>
          </w:p>
        </w:tc>
        <w:tc>
          <w:tcPr>
            <w:tcW w:w="2818" w:type="dxa"/>
          </w:tcPr>
          <w:p w14:paraId="55DA41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И14-РЦ</w:t>
            </w:r>
          </w:p>
        </w:tc>
      </w:tr>
      <w:tr w:rsidR="00E3599D" w:rsidRPr="00E14102" w14:paraId="7BB5EE99" w14:textId="77777777">
        <w:tc>
          <w:tcPr>
            <w:tcW w:w="2818" w:type="dxa"/>
          </w:tcPr>
          <w:p w14:paraId="5A6681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Завод N 135</w:t>
            </w:r>
          </w:p>
        </w:tc>
        <w:tc>
          <w:tcPr>
            <w:tcW w:w="2818" w:type="dxa"/>
          </w:tcPr>
          <w:p w14:paraId="2988AF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r>
      <w:tr w:rsidR="00E3599D" w:rsidRPr="00E14102" w14:paraId="3C7B6418" w14:textId="77777777">
        <w:tc>
          <w:tcPr>
            <w:tcW w:w="2818" w:type="dxa"/>
          </w:tcPr>
          <w:p w14:paraId="0D8F50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w:t>
            </w:r>
          </w:p>
        </w:tc>
        <w:tc>
          <w:tcPr>
            <w:tcW w:w="2818" w:type="dxa"/>
          </w:tcPr>
          <w:p w14:paraId="4E1CA8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И14-РЦ</w:t>
            </w:r>
          </w:p>
        </w:tc>
      </w:tr>
      <w:tr w:rsidR="00E3599D" w:rsidRPr="00E14102" w14:paraId="14328180" w14:textId="77777777">
        <w:tc>
          <w:tcPr>
            <w:tcW w:w="2818" w:type="dxa"/>
          </w:tcPr>
          <w:p w14:paraId="64BBC7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 и ВИАМ</w:t>
            </w:r>
          </w:p>
        </w:tc>
        <w:tc>
          <w:tcPr>
            <w:tcW w:w="2818" w:type="dxa"/>
          </w:tcPr>
          <w:p w14:paraId="12CE6C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Опытные</w:t>
            </w:r>
          </w:p>
        </w:tc>
      </w:tr>
      <w:tr w:rsidR="00E3599D" w:rsidRPr="00E14102" w14:paraId="7B9B5CE7" w14:textId="77777777">
        <w:tc>
          <w:tcPr>
            <w:tcW w:w="2818" w:type="dxa"/>
          </w:tcPr>
          <w:p w14:paraId="709EB5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Москва</w:t>
            </w:r>
          </w:p>
        </w:tc>
        <w:tc>
          <w:tcPr>
            <w:tcW w:w="2818" w:type="dxa"/>
          </w:tcPr>
          <w:p w14:paraId="13A9FEA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5DBFF59" w14:textId="77777777">
        <w:tc>
          <w:tcPr>
            <w:tcW w:w="2818" w:type="dxa"/>
          </w:tcPr>
          <w:p w14:paraId="1247FD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2818" w:type="dxa"/>
          </w:tcPr>
          <w:p w14:paraId="6EC20F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Опытные</w:t>
            </w:r>
          </w:p>
        </w:tc>
      </w:tr>
      <w:tr w:rsidR="00E3599D" w:rsidRPr="00E14102" w14:paraId="50332EDB" w14:textId="77777777">
        <w:tc>
          <w:tcPr>
            <w:tcW w:w="2818" w:type="dxa"/>
          </w:tcPr>
          <w:p w14:paraId="03DFD2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Москва</w:t>
            </w:r>
          </w:p>
        </w:tc>
        <w:tc>
          <w:tcPr>
            <w:tcW w:w="2818" w:type="dxa"/>
          </w:tcPr>
          <w:p w14:paraId="3CA9912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4F5B91C" w14:textId="77777777">
        <w:tc>
          <w:tcPr>
            <w:tcW w:w="2818" w:type="dxa"/>
          </w:tcPr>
          <w:p w14:paraId="56997A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Различные опытные</w:t>
            </w:r>
          </w:p>
        </w:tc>
        <w:tc>
          <w:tcPr>
            <w:tcW w:w="2818" w:type="dxa"/>
          </w:tcPr>
          <w:p w14:paraId="59030C2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4D41BE8" w14:textId="77777777">
        <w:tc>
          <w:tcPr>
            <w:tcW w:w="2818" w:type="dxa"/>
          </w:tcPr>
          <w:p w14:paraId="41CB66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 (N 81, СНИИ,</w:t>
            </w:r>
          </w:p>
        </w:tc>
        <w:tc>
          <w:tcPr>
            <w:tcW w:w="2818" w:type="dxa"/>
          </w:tcPr>
          <w:p w14:paraId="3338605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76F9772" w14:textId="77777777">
        <w:tc>
          <w:tcPr>
            <w:tcW w:w="2818" w:type="dxa"/>
          </w:tcPr>
          <w:p w14:paraId="283F5F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Москва; N 42, АНИИ</w:t>
            </w:r>
          </w:p>
        </w:tc>
        <w:tc>
          <w:tcPr>
            <w:tcW w:w="2818" w:type="dxa"/>
          </w:tcPr>
          <w:p w14:paraId="223647D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C626503" w14:textId="77777777">
        <w:tc>
          <w:tcPr>
            <w:tcW w:w="2818" w:type="dxa"/>
            <w:tcBorders>
              <w:bottom w:val="single" w:sz="12" w:space="0" w:color="auto"/>
            </w:tcBorders>
          </w:tcPr>
          <w:p w14:paraId="2F119F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 (3126,120).</w:t>
            </w:r>
          </w:p>
        </w:tc>
        <w:tc>
          <w:tcPr>
            <w:tcW w:w="2818" w:type="dxa"/>
            <w:tcBorders>
              <w:bottom w:val="single" w:sz="12" w:space="0" w:color="auto"/>
            </w:tcBorders>
          </w:tcPr>
          <w:p w14:paraId="52283ABE" w14:textId="77777777" w:rsidR="00D4105E" w:rsidRPr="00E14102" w:rsidRDefault="00D4105E" w:rsidP="00E14102">
            <w:pPr>
              <w:autoSpaceDE w:val="0"/>
              <w:autoSpaceDN w:val="0"/>
              <w:adjustRightInd w:val="0"/>
              <w:jc w:val="both"/>
              <w:rPr>
                <w:color w:val="000000" w:themeColor="text1"/>
                <w:sz w:val="16"/>
                <w:szCs w:val="16"/>
              </w:rPr>
            </w:pPr>
          </w:p>
        </w:tc>
      </w:tr>
    </w:tbl>
    <w:p w14:paraId="15CA03B4" w14:textId="77777777" w:rsidR="00D4105E" w:rsidRPr="00E14102" w:rsidRDefault="00D4105E" w:rsidP="00E14102">
      <w:pPr>
        <w:autoSpaceDE w:val="0"/>
        <w:autoSpaceDN w:val="0"/>
        <w:adjustRightInd w:val="0"/>
        <w:jc w:val="both"/>
        <w:rPr>
          <w:color w:val="000000" w:themeColor="text1"/>
          <w:sz w:val="16"/>
          <w:szCs w:val="16"/>
        </w:rPr>
      </w:pPr>
    </w:p>
    <w:p w14:paraId="01FCBB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мая 1935 состоялся первый в СССР опыт буксировки самолета с аварийным мотором (У-2 в Куйбышеве) (237,174). Пролетели 500 км по кольцевому маршруту с посадками в Ульяновске и Куйбышеве. На У-2 сняли винт и там был Юдин, а л Н.А.Боровков буксировал на ПР-5 (438,685).</w:t>
      </w:r>
    </w:p>
    <w:p w14:paraId="57A57C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состоялась буксировка У-2 со снятым винтом за П-5. Хотели таким образом создать методику эвакуации поврежденных самолетов. Потом, в начале войны, С.Н.Анохин проработал для У-2 за Р-5 и Р-5 и Як-1 за СБ (АНТ-40) (429,120).</w:t>
      </w:r>
    </w:p>
    <w:p w14:paraId="029F40DE" w14:textId="77777777" w:rsidR="00D4105E" w:rsidRPr="00E14102" w:rsidRDefault="00D4105E" w:rsidP="00E14102">
      <w:pPr>
        <w:autoSpaceDE w:val="0"/>
        <w:autoSpaceDN w:val="0"/>
        <w:adjustRightInd w:val="0"/>
        <w:jc w:val="both"/>
        <w:rPr>
          <w:color w:val="000000" w:themeColor="text1"/>
          <w:sz w:val="16"/>
          <w:szCs w:val="16"/>
        </w:rPr>
      </w:pPr>
    </w:p>
    <w:p w14:paraId="32883E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мая 1935 группа работников ЦК ВЛКСМ начала учиться прыгать с парашютом и первым был С.Ильинский - секретарь ЦК и секретарь ЦК по военно-спортивной работе П.Горшенин (1101,212).</w:t>
      </w:r>
    </w:p>
    <w:p w14:paraId="2FCF6A70" w14:textId="77777777" w:rsidR="00D4105E" w:rsidRPr="00E14102" w:rsidRDefault="00D4105E" w:rsidP="00E14102">
      <w:pPr>
        <w:autoSpaceDE w:val="0"/>
        <w:autoSpaceDN w:val="0"/>
        <w:adjustRightInd w:val="0"/>
        <w:jc w:val="both"/>
        <w:rPr>
          <w:color w:val="000000" w:themeColor="text1"/>
          <w:sz w:val="16"/>
          <w:szCs w:val="16"/>
        </w:rPr>
      </w:pPr>
    </w:p>
    <w:p w14:paraId="433313D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98C1D8F" w14:textId="77777777" w:rsidR="00D4105E" w:rsidRPr="00E14102" w:rsidRDefault="00D4105E" w:rsidP="00E14102">
      <w:pPr>
        <w:autoSpaceDE w:val="0"/>
        <w:autoSpaceDN w:val="0"/>
        <w:adjustRightInd w:val="0"/>
        <w:jc w:val="both"/>
        <w:rPr>
          <w:iCs/>
          <w:color w:val="000000" w:themeColor="text1"/>
          <w:sz w:val="16"/>
          <w:szCs w:val="16"/>
        </w:rPr>
      </w:pPr>
    </w:p>
    <w:p w14:paraId="2F56A841" w14:textId="77777777" w:rsidR="002F6502" w:rsidRPr="00E14102" w:rsidRDefault="002F6502" w:rsidP="00E14102">
      <w:pPr>
        <w:pStyle w:val="rtejustify"/>
        <w:spacing w:before="0" w:after="0"/>
        <w:rPr>
          <w:color w:val="000000" w:themeColor="text1"/>
          <w:sz w:val="16"/>
          <w:szCs w:val="16"/>
        </w:rPr>
      </w:pPr>
      <w:r w:rsidRPr="00E14102">
        <w:rPr>
          <w:rStyle w:val="a6"/>
          <w:bCs/>
          <w:i w:val="0"/>
          <w:color w:val="000000" w:themeColor="text1"/>
          <w:sz w:val="16"/>
          <w:szCs w:val="16"/>
        </w:rPr>
        <w:t>22 мая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60сс «О мероприятиях по обеспечению развития ВС РККА». (ГА РФ. Ф. Р</w:t>
      </w:r>
      <w:r w:rsidRPr="00E14102">
        <w:rPr>
          <w:color w:val="000000" w:themeColor="text1"/>
          <w:sz w:val="16"/>
          <w:szCs w:val="16"/>
        </w:rPr>
        <w:noBreakHyphen/>
        <w:t>8418. Оп. 28. Д. 6. Л. 172</w:t>
      </w:r>
      <w:r w:rsidRPr="00E14102">
        <w:rPr>
          <w:color w:val="000000" w:themeColor="text1"/>
          <w:sz w:val="16"/>
          <w:szCs w:val="16"/>
        </w:rPr>
        <w:noBreakHyphen/>
        <w:t>178) (15460).</w:t>
      </w:r>
    </w:p>
    <w:p w14:paraId="2A818D06" w14:textId="77777777" w:rsidR="002F6502" w:rsidRPr="00E14102" w:rsidRDefault="002F6502" w:rsidP="00E14102">
      <w:pPr>
        <w:pStyle w:val="rtejustify"/>
        <w:spacing w:before="0" w:after="0"/>
        <w:rPr>
          <w:color w:val="000000" w:themeColor="text1"/>
          <w:sz w:val="16"/>
          <w:szCs w:val="16"/>
        </w:rPr>
      </w:pPr>
    </w:p>
    <w:p w14:paraId="470BD6A0" w14:textId="77777777" w:rsidR="002F6502" w:rsidRPr="00E14102" w:rsidRDefault="002F6502" w:rsidP="00E14102">
      <w:pPr>
        <w:pStyle w:val="rtejustify"/>
        <w:spacing w:before="0" w:after="0"/>
        <w:rPr>
          <w:color w:val="000000" w:themeColor="text1"/>
          <w:sz w:val="16"/>
          <w:szCs w:val="16"/>
        </w:rPr>
      </w:pPr>
      <w:r w:rsidRPr="00E14102">
        <w:rPr>
          <w:rStyle w:val="a6"/>
          <w:bCs/>
          <w:i w:val="0"/>
          <w:color w:val="000000" w:themeColor="text1"/>
          <w:sz w:val="16"/>
          <w:szCs w:val="16"/>
        </w:rPr>
        <w:t>22 мая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62сс «О дополнительном плане заказов НКО на 1935 г. по вооружению». (ГА РФ. Ф. Р</w:t>
      </w:r>
      <w:r w:rsidRPr="00E14102">
        <w:rPr>
          <w:color w:val="000000" w:themeColor="text1"/>
          <w:sz w:val="16"/>
          <w:szCs w:val="16"/>
        </w:rPr>
        <w:noBreakHyphen/>
        <w:t>8418. Оп. 28. Д. 6. Л. 181</w:t>
      </w:r>
      <w:r w:rsidRPr="00E14102">
        <w:rPr>
          <w:color w:val="000000" w:themeColor="text1"/>
          <w:sz w:val="16"/>
          <w:szCs w:val="16"/>
        </w:rPr>
        <w:noBreakHyphen/>
        <w:t>191) (15460).</w:t>
      </w:r>
    </w:p>
    <w:p w14:paraId="2C35A1DA" w14:textId="77777777" w:rsidR="002F6502" w:rsidRPr="00E14102" w:rsidRDefault="002F6502" w:rsidP="00E14102">
      <w:pPr>
        <w:pStyle w:val="rtejustify"/>
        <w:spacing w:before="0" w:after="0"/>
        <w:rPr>
          <w:color w:val="000000" w:themeColor="text1"/>
          <w:sz w:val="16"/>
          <w:szCs w:val="16"/>
        </w:rPr>
      </w:pPr>
    </w:p>
    <w:p w14:paraId="208EE6FD" w14:textId="77777777" w:rsidR="002F6502" w:rsidRPr="00E14102" w:rsidRDefault="002F6502" w:rsidP="00E14102">
      <w:pPr>
        <w:pStyle w:val="rtejustify"/>
        <w:spacing w:before="0" w:after="0"/>
        <w:rPr>
          <w:color w:val="000000" w:themeColor="text1"/>
          <w:sz w:val="16"/>
          <w:szCs w:val="16"/>
        </w:rPr>
      </w:pPr>
      <w:r w:rsidRPr="00E14102">
        <w:rPr>
          <w:rStyle w:val="a6"/>
          <w:bCs/>
          <w:i w:val="0"/>
          <w:color w:val="000000" w:themeColor="text1"/>
          <w:sz w:val="16"/>
          <w:szCs w:val="16"/>
        </w:rPr>
        <w:t>22 мая 1935 вышел приказ НКО №</w:t>
      </w:r>
      <w:r w:rsidRPr="00E14102">
        <w:rPr>
          <w:color w:val="000000" w:themeColor="text1"/>
          <w:sz w:val="16"/>
          <w:szCs w:val="16"/>
        </w:rPr>
        <w:t> 081. О введении в действие новых форм срочных донесений о боевой готовности и ремонте танков, автомашин и тракторов (15247).</w:t>
      </w:r>
    </w:p>
    <w:p w14:paraId="254033A1" w14:textId="77777777" w:rsidR="002F6502" w:rsidRPr="00E14102" w:rsidRDefault="002F6502" w:rsidP="00E14102">
      <w:pPr>
        <w:pStyle w:val="rtejustify"/>
        <w:spacing w:before="0" w:after="0"/>
        <w:rPr>
          <w:color w:val="000000" w:themeColor="text1"/>
          <w:sz w:val="16"/>
          <w:szCs w:val="16"/>
        </w:rPr>
      </w:pPr>
    </w:p>
    <w:p w14:paraId="2B09786A" w14:textId="77777777" w:rsidR="002F6502" w:rsidRPr="00E14102" w:rsidRDefault="002F6502" w:rsidP="00E14102">
      <w:pPr>
        <w:pStyle w:val="rtejustify"/>
        <w:spacing w:before="0" w:after="0"/>
        <w:rPr>
          <w:color w:val="000000" w:themeColor="text1"/>
          <w:sz w:val="16"/>
          <w:szCs w:val="16"/>
        </w:rPr>
      </w:pPr>
      <w:r w:rsidRPr="00E14102">
        <w:rPr>
          <w:rStyle w:val="a6"/>
          <w:bCs/>
          <w:i w:val="0"/>
          <w:color w:val="000000" w:themeColor="text1"/>
          <w:sz w:val="16"/>
          <w:szCs w:val="16"/>
        </w:rPr>
        <w:t>22 мая 1935 вышел приказ НКО №</w:t>
      </w:r>
      <w:r w:rsidRPr="00E14102">
        <w:rPr>
          <w:color w:val="000000" w:themeColor="text1"/>
          <w:sz w:val="16"/>
          <w:szCs w:val="16"/>
        </w:rPr>
        <w:t> 082. О введении на снабжение мотомехчастей РККА обогревателей марки «ОМП» и «ОБТ» (15247).</w:t>
      </w:r>
    </w:p>
    <w:p w14:paraId="255D3494" w14:textId="77777777" w:rsidR="002F6502" w:rsidRPr="00E14102" w:rsidRDefault="002F6502" w:rsidP="00E14102">
      <w:pPr>
        <w:pStyle w:val="rtejustify"/>
        <w:spacing w:before="0" w:after="0"/>
        <w:rPr>
          <w:color w:val="000000" w:themeColor="text1"/>
          <w:sz w:val="16"/>
          <w:szCs w:val="16"/>
        </w:rPr>
      </w:pPr>
    </w:p>
    <w:p w14:paraId="03B6E2D8" w14:textId="77777777" w:rsidR="002F6502" w:rsidRPr="00E14102" w:rsidRDefault="002F6502" w:rsidP="00E14102">
      <w:pPr>
        <w:jc w:val="both"/>
        <w:rPr>
          <w:color w:val="000000" w:themeColor="text1"/>
          <w:sz w:val="16"/>
          <w:szCs w:val="16"/>
        </w:rPr>
      </w:pPr>
      <w:r w:rsidRPr="00E14102">
        <w:rPr>
          <w:color w:val="000000" w:themeColor="text1"/>
          <w:sz w:val="16"/>
          <w:szCs w:val="16"/>
        </w:rPr>
        <w:t xml:space="preserve">22 мая 1935 г. на втором этапе испытаний экспериментальной установки 132-мм РС (ракет) на </w:t>
      </w:r>
      <w:hyperlink r:id="rId106" w:tgtFrame="_blank" w:history="1">
        <w:r w:rsidRPr="00E14102">
          <w:rPr>
            <w:color w:val="000000" w:themeColor="text1"/>
            <w:sz w:val="16"/>
            <w:szCs w:val="16"/>
          </w:rPr>
          <w:t>танк</w:t>
        </w:r>
      </w:hyperlink>
      <w:r w:rsidRPr="00E14102">
        <w:rPr>
          <w:color w:val="000000" w:themeColor="text1"/>
          <w:sz w:val="16"/>
          <w:szCs w:val="16"/>
        </w:rPr>
        <w:t xml:space="preserve">е БТ-5 на артиллерийском полигоне вблизи станции Софрино был произведен всего один выстрел, во время которого струя сорвала защитный кожух над воздухоочистителем и входными жалюзи, а также пробку с заправочной горловины правого топливного бака. На изготовление нового кожуха и подготовку </w:t>
      </w:r>
      <w:hyperlink r:id="rId107" w:tgtFrame="_blank" w:history="1">
        <w:r w:rsidRPr="00E14102">
          <w:rPr>
            <w:color w:val="000000" w:themeColor="text1"/>
            <w:sz w:val="16"/>
            <w:szCs w:val="16"/>
          </w:rPr>
          <w:t>танк</w:t>
        </w:r>
      </w:hyperlink>
      <w:r w:rsidRPr="00E14102">
        <w:rPr>
          <w:color w:val="000000" w:themeColor="text1"/>
          <w:sz w:val="16"/>
          <w:szCs w:val="16"/>
        </w:rPr>
        <w:t>а к третьему этапу испытаний ушло четыре дня (15628).</w:t>
      </w:r>
    </w:p>
    <w:p w14:paraId="1A291A1D" w14:textId="77777777" w:rsidR="002F6502" w:rsidRPr="00E14102" w:rsidRDefault="002F6502" w:rsidP="00E14102">
      <w:pPr>
        <w:jc w:val="both"/>
        <w:rPr>
          <w:color w:val="000000" w:themeColor="text1"/>
          <w:sz w:val="16"/>
          <w:szCs w:val="16"/>
        </w:rPr>
      </w:pPr>
    </w:p>
    <w:p w14:paraId="35DB93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мая 1935 на полигоне в Софрино прошел второй этап испытания БТ-5, вооруженного РС-132. Сделали всего один выстрел, т.к. выхлопные газы повредили танк. Потом 4 дня чинили (3880,15).</w:t>
      </w:r>
    </w:p>
    <w:p w14:paraId="43B145E7" w14:textId="77777777" w:rsidR="00D4105E" w:rsidRPr="00E14102" w:rsidRDefault="00D4105E" w:rsidP="00E14102">
      <w:pPr>
        <w:autoSpaceDE w:val="0"/>
        <w:autoSpaceDN w:val="0"/>
        <w:adjustRightInd w:val="0"/>
        <w:jc w:val="both"/>
        <w:rPr>
          <w:color w:val="000000" w:themeColor="text1"/>
          <w:sz w:val="16"/>
          <w:szCs w:val="16"/>
        </w:rPr>
      </w:pPr>
    </w:p>
    <w:p w14:paraId="02D397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мая 1935 г. испытания продолжились. Крышу МТО танка БТ-5, вооруженного РС-132, теперь оснастили защитными кожухами на воздухоочистителе и жалюзи с окна</w:t>
      </w:r>
      <w:r w:rsidRPr="00E14102">
        <w:rPr>
          <w:color w:val="000000" w:themeColor="text1"/>
          <w:sz w:val="16"/>
          <w:szCs w:val="16"/>
        </w:rPr>
        <w:softHyphen/>
        <w:t>ми для забора воздуха. Первый выстрел произвели при неработающем моторе. Струя продуктов горения РЗ была умышленно направлена на воздухоочиститель, изготовленный из 1-мм листового железа. Выстре</w:t>
      </w:r>
      <w:r w:rsidRPr="00E14102">
        <w:rPr>
          <w:color w:val="000000" w:themeColor="text1"/>
          <w:sz w:val="16"/>
          <w:szCs w:val="16"/>
        </w:rPr>
        <w:softHyphen/>
        <w:t>лом сорвало его, а также кожух над правыми жалюзи, закрепленный стальной проволокой толщиной 1,5 мм, и пробку с правого радиатора, а также помяло всасывающую трубу.</w:t>
      </w:r>
    </w:p>
    <w:p w14:paraId="0A57537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Завершить испытания довелось 26 июня 1935 г. в присутствии началь</w:t>
      </w:r>
      <w:r w:rsidRPr="00E14102">
        <w:rPr>
          <w:color w:val="000000" w:themeColor="text1"/>
          <w:sz w:val="16"/>
          <w:szCs w:val="16"/>
        </w:rPr>
        <w:softHyphen/>
        <w:t>ника 5 отдела АБТУ РККА Андреева и инженера 7 отдела АБТУ РККА Реаусова. Машину уже оборудовали новым воздухоочистителем, защит</w:t>
      </w:r>
      <w:r w:rsidRPr="00E14102">
        <w:rPr>
          <w:color w:val="000000" w:themeColor="text1"/>
          <w:sz w:val="16"/>
          <w:szCs w:val="16"/>
        </w:rPr>
        <w:softHyphen/>
        <w:t>ными угольниками на жалюзи и измененной всасывающей трубой. От</w:t>
      </w:r>
      <w:r w:rsidRPr="00E14102">
        <w:rPr>
          <w:color w:val="000000" w:themeColor="text1"/>
          <w:sz w:val="16"/>
          <w:szCs w:val="16"/>
        </w:rPr>
        <w:softHyphen/>
        <w:t>стреляли шесть РС (четыре фугасных и два агитационных). В первом вы</w:t>
      </w:r>
      <w:r w:rsidRPr="00E14102">
        <w:rPr>
          <w:color w:val="000000" w:themeColor="text1"/>
          <w:sz w:val="16"/>
          <w:szCs w:val="16"/>
        </w:rPr>
        <w:softHyphen/>
        <w:t>стреле струю направили в правый бензобак при неработающем моторе. На баке слегка обгорела краска. Второй выстрел выполнили, направив струю в воздухоочиститель. В третьем выстреле струю направили в левый бензобак. Она, ударив в задние жалюзи, согнула переднюю планку кар</w:t>
      </w:r>
      <w:r w:rsidRPr="00E14102">
        <w:rPr>
          <w:color w:val="000000" w:themeColor="text1"/>
          <w:sz w:val="16"/>
          <w:szCs w:val="16"/>
        </w:rPr>
        <w:softHyphen/>
        <w:t>каса и в нескольких местах оторвала от каркаса сетку. Четвертый выстрел при работающем моторе не изменил его бесперебойной работы. Пятый и шестой выстрелы агитационными снарядами при неработающем мото</w:t>
      </w:r>
      <w:r w:rsidRPr="00E14102">
        <w:rPr>
          <w:color w:val="000000" w:themeColor="text1"/>
          <w:sz w:val="16"/>
          <w:szCs w:val="16"/>
        </w:rPr>
        <w:softHyphen/>
        <w:t>ре с направлением струи в правый бензобак и воздухоочиститель также не были чреваты последствиями.</w:t>
      </w:r>
    </w:p>
    <w:p w14:paraId="532928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Таким образом, незначительные конструктивные изменения танка полностью себя оправдали. Танкисты признали, что подобным образом необходимо доработать все машины при условии оборудования их ракет</w:t>
      </w:r>
      <w:r w:rsidRPr="00E14102">
        <w:rPr>
          <w:color w:val="000000" w:themeColor="text1"/>
          <w:sz w:val="16"/>
          <w:szCs w:val="16"/>
        </w:rPr>
        <w:softHyphen/>
        <w:t>ными установками.</w:t>
      </w:r>
    </w:p>
    <w:p w14:paraId="6CFC65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Примерно по той же схеме «агитационного танка» в 1934 г. был постро</w:t>
      </w:r>
      <w:r w:rsidRPr="00E14102">
        <w:rPr>
          <w:color w:val="000000" w:themeColor="text1"/>
          <w:sz w:val="16"/>
          <w:szCs w:val="16"/>
        </w:rPr>
        <w:softHyphen/>
        <w:t>ен и «химический танк» БТ-5 с двумя 245-мм воздушно-реактивными хи</w:t>
      </w:r>
      <w:r w:rsidRPr="00E14102">
        <w:rPr>
          <w:color w:val="000000" w:themeColor="text1"/>
          <w:sz w:val="16"/>
          <w:szCs w:val="16"/>
        </w:rPr>
        <w:softHyphen/>
        <w:t>мическими торпедами, установленными по обеим сторонам башни. В се</w:t>
      </w:r>
      <w:r w:rsidRPr="00E14102">
        <w:rPr>
          <w:color w:val="000000" w:themeColor="text1"/>
          <w:sz w:val="16"/>
          <w:szCs w:val="16"/>
        </w:rPr>
        <w:softHyphen/>
        <w:t>рию она не пошла, хотя в металле опытный образец существовал. И если 132-мм ракетные боеприпасы потребовали усилить конструкцию танка, не трудно представить себе, как терзали корпус легкого БТ-5 старты 245-мм снарядов! В третьей главе уже упоминалось о том, что 245-мм ракетную си</w:t>
      </w:r>
      <w:r w:rsidRPr="00E14102">
        <w:rPr>
          <w:color w:val="000000" w:themeColor="text1"/>
          <w:sz w:val="16"/>
          <w:szCs w:val="16"/>
        </w:rPr>
        <w:softHyphen/>
        <w:t>стему на тяжелом бомбардировщике ТБ-3 пришлось заменить 203-мм из-за разрушений обшивки планера при старте РС. Здесь же мощность струи продуктов горения РЗ была бы достаточной, чтобы оторвать и надгусенич-ные полки, и бензобаки, а возможно, и порвать гусеничные ленты.</w:t>
      </w:r>
    </w:p>
    <w:p w14:paraId="29BFCE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Некоторые авторы утверждают, что штатная танковая пушка на по</w:t>
      </w:r>
      <w:r w:rsidRPr="00E14102">
        <w:rPr>
          <w:color w:val="000000" w:themeColor="text1"/>
          <w:sz w:val="16"/>
          <w:szCs w:val="16"/>
        </w:rPr>
        <w:softHyphen/>
        <w:t>добных машинах использовалась для пристрелки перед пуском ракетно</w:t>
      </w:r>
      <w:r w:rsidRPr="00E14102">
        <w:rPr>
          <w:color w:val="000000" w:themeColor="text1"/>
          <w:sz w:val="16"/>
          <w:szCs w:val="16"/>
        </w:rPr>
        <w:softHyphen/>
        <w:t>го снаряда. Но это не совсем корректно, поскольку баллистика ракетной системы малой дальности и дальнобойной артсистемы разнились на</w:t>
      </w:r>
      <w:r w:rsidRPr="00E14102">
        <w:rPr>
          <w:color w:val="000000" w:themeColor="text1"/>
          <w:sz w:val="16"/>
          <w:szCs w:val="16"/>
        </w:rPr>
        <w:softHyphen/>
        <w:t>столько, что даже с большими поправочными коэффициентами сопоста</w:t>
      </w:r>
      <w:r w:rsidRPr="00E14102">
        <w:rPr>
          <w:color w:val="000000" w:themeColor="text1"/>
          <w:sz w:val="16"/>
          <w:szCs w:val="16"/>
        </w:rPr>
        <w:softHyphen/>
        <w:t>влять их было невозможно. Хотя, теоретически, танковую пушку с ее оп</w:t>
      </w:r>
      <w:r w:rsidRPr="00E14102">
        <w:rPr>
          <w:color w:val="000000" w:themeColor="text1"/>
          <w:sz w:val="16"/>
          <w:szCs w:val="16"/>
        </w:rPr>
        <w:softHyphen/>
        <w:t>тическим прицелом возможно было использовать в качестве дальномера (11402).</w:t>
      </w:r>
    </w:p>
    <w:p w14:paraId="3E6F0F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9E2F29E" w14:textId="77777777" w:rsidR="00A80B76" w:rsidRPr="00E14102" w:rsidRDefault="00A80B76" w:rsidP="00E14102">
      <w:pPr>
        <w:jc w:val="both"/>
        <w:rPr>
          <w:color w:val="0070C0"/>
          <w:sz w:val="16"/>
          <w:szCs w:val="16"/>
        </w:rPr>
      </w:pPr>
      <w:r w:rsidRPr="00E14102">
        <w:rPr>
          <w:color w:val="0070C0"/>
          <w:sz w:val="16"/>
          <w:szCs w:val="16"/>
        </w:rPr>
        <w:t>22 мая 1935 в НАТИ началась работа по доводке дизеля Коджу. Ранее проектные работы по этому ав</w:t>
      </w:r>
      <w:r w:rsidRPr="00E14102">
        <w:rPr>
          <w:color w:val="0070C0"/>
          <w:sz w:val="16"/>
          <w:szCs w:val="16"/>
        </w:rPr>
        <w:softHyphen/>
        <w:t>томобильному двигателю, разрабатываемому ОКБ НКВД, возглавлял Николай Романович Брилинг. Те</w:t>
      </w:r>
      <w:r w:rsidRPr="00E14102">
        <w:rPr>
          <w:color w:val="0070C0"/>
          <w:sz w:val="16"/>
          <w:szCs w:val="16"/>
        </w:rPr>
        <w:softHyphen/>
        <w:t>перь Н.Р. Брилинг был техническим руководителем, а бригадиром разработчиков по «Коджу» - инженер Н.К. Гончаров. На международном дизельном конкурсе Н.К. Гончаров выступал как конструктор двигат ля Коджу. Для условий серийного производства предстояло пересмотреть всю конструкцию (22518).</w:t>
      </w:r>
    </w:p>
    <w:p w14:paraId="428295E1" w14:textId="77777777" w:rsidR="00A80B76" w:rsidRPr="00E14102" w:rsidRDefault="00A80B76" w:rsidP="00E14102">
      <w:pPr>
        <w:jc w:val="both"/>
        <w:rPr>
          <w:color w:val="0070C0"/>
          <w:sz w:val="16"/>
          <w:szCs w:val="16"/>
        </w:rPr>
      </w:pPr>
    </w:p>
    <w:p w14:paraId="45A17D1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F483ECE" w14:textId="77777777" w:rsidR="00D4105E" w:rsidRPr="00E14102" w:rsidRDefault="00D4105E" w:rsidP="00E14102">
      <w:pPr>
        <w:autoSpaceDE w:val="0"/>
        <w:autoSpaceDN w:val="0"/>
        <w:adjustRightInd w:val="0"/>
        <w:jc w:val="both"/>
        <w:rPr>
          <w:iCs/>
          <w:color w:val="000000" w:themeColor="text1"/>
          <w:sz w:val="16"/>
          <w:szCs w:val="16"/>
        </w:rPr>
      </w:pPr>
    </w:p>
    <w:p w14:paraId="719E5D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мая 1935 нацисты запретили евреям службу в армии (1798).</w:t>
      </w:r>
    </w:p>
    <w:p w14:paraId="63692FE2" w14:textId="77777777" w:rsidR="00D4105E" w:rsidRPr="00E14102" w:rsidRDefault="00D4105E" w:rsidP="00E14102">
      <w:pPr>
        <w:autoSpaceDE w:val="0"/>
        <w:autoSpaceDN w:val="0"/>
        <w:adjustRightInd w:val="0"/>
        <w:jc w:val="both"/>
        <w:rPr>
          <w:color w:val="000000" w:themeColor="text1"/>
          <w:sz w:val="16"/>
          <w:szCs w:val="16"/>
        </w:rPr>
      </w:pPr>
    </w:p>
    <w:p w14:paraId="555ED54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228FF60" w14:textId="77777777" w:rsidR="00D4105E" w:rsidRPr="00E14102" w:rsidRDefault="00D4105E" w:rsidP="00E14102">
      <w:pPr>
        <w:autoSpaceDE w:val="0"/>
        <w:autoSpaceDN w:val="0"/>
        <w:adjustRightInd w:val="0"/>
        <w:jc w:val="both"/>
        <w:rPr>
          <w:iCs/>
          <w:color w:val="000000" w:themeColor="text1"/>
          <w:sz w:val="16"/>
          <w:szCs w:val="16"/>
        </w:rPr>
      </w:pPr>
    </w:p>
    <w:p w14:paraId="69D9E6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мая 1935 С.Леваневский совершил первые два полета на РД А.Н.Т. с задержкой по болезни, т.к. машина была готова еще 17 мая (2343).</w:t>
      </w:r>
    </w:p>
    <w:p w14:paraId="6759B649" w14:textId="77777777" w:rsidR="00D4105E" w:rsidRPr="00E14102" w:rsidRDefault="00D4105E" w:rsidP="00E14102">
      <w:pPr>
        <w:autoSpaceDE w:val="0"/>
        <w:autoSpaceDN w:val="0"/>
        <w:adjustRightInd w:val="0"/>
        <w:jc w:val="both"/>
        <w:rPr>
          <w:color w:val="000000" w:themeColor="text1"/>
          <w:sz w:val="16"/>
          <w:szCs w:val="16"/>
        </w:rPr>
      </w:pPr>
    </w:p>
    <w:p w14:paraId="77B30D5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марта 1935 г. был первый полет с подцепкой самолета в воздухе (И-Z и ТБ-3, летчик В.А.Степанченок) (6395).</w:t>
      </w:r>
    </w:p>
    <w:p w14:paraId="2B14E33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B5D3F18" w14:textId="77777777" w:rsidR="002F6502" w:rsidRPr="00E14102" w:rsidRDefault="002F6502" w:rsidP="00E14102">
      <w:pPr>
        <w:pStyle w:val="rtecenter"/>
        <w:spacing w:before="0" w:after="0"/>
        <w:jc w:val="both"/>
        <w:rPr>
          <w:color w:val="000000" w:themeColor="text1"/>
          <w:sz w:val="16"/>
          <w:szCs w:val="16"/>
        </w:rPr>
      </w:pPr>
      <w:r w:rsidRPr="00E14102">
        <w:rPr>
          <w:rStyle w:val="a6"/>
          <w:i w:val="0"/>
          <w:color w:val="000000" w:themeColor="text1"/>
          <w:sz w:val="16"/>
          <w:szCs w:val="16"/>
        </w:rPr>
        <w:t xml:space="preserve">23 мая 1935 г. </w:t>
      </w:r>
      <w:r w:rsidRPr="00E14102">
        <w:rPr>
          <w:color w:val="000000" w:themeColor="text1"/>
          <w:sz w:val="16"/>
          <w:szCs w:val="16"/>
        </w:rPr>
        <w:t>Письмо летчика-инженера И. П. Белозерова наркому обороны СССР К. Е. Ворошилову о неудовлетворительной работе авиазаводов</w:t>
      </w:r>
    </w:p>
    <w:p w14:paraId="234A6991" w14:textId="77777777" w:rsidR="002F6502" w:rsidRPr="00E14102" w:rsidRDefault="002F6502" w:rsidP="00E14102">
      <w:pPr>
        <w:pStyle w:val="rtecenter"/>
        <w:spacing w:before="0" w:after="0"/>
        <w:jc w:val="both"/>
        <w:rPr>
          <w:color w:val="000000" w:themeColor="text1"/>
          <w:sz w:val="16"/>
          <w:szCs w:val="16"/>
        </w:rPr>
      </w:pPr>
      <w:r w:rsidRPr="00E14102">
        <w:rPr>
          <w:color w:val="000000" w:themeColor="text1"/>
          <w:sz w:val="16"/>
          <w:szCs w:val="16"/>
        </w:rPr>
        <w:t>Уважаемый Климентий Ефремович!</w:t>
      </w:r>
    </w:p>
    <w:p w14:paraId="78C09E17" w14:textId="77777777" w:rsidR="002F6502" w:rsidRPr="00E14102" w:rsidRDefault="002F6502" w:rsidP="00E14102">
      <w:pPr>
        <w:pStyle w:val="rtejustify"/>
        <w:spacing w:before="0" w:after="0"/>
        <w:rPr>
          <w:color w:val="000000" w:themeColor="text1"/>
          <w:sz w:val="16"/>
          <w:szCs w:val="16"/>
        </w:rPr>
      </w:pPr>
      <w:r w:rsidRPr="00E14102">
        <w:rPr>
          <w:color w:val="000000" w:themeColor="text1"/>
          <w:sz w:val="16"/>
          <w:szCs w:val="16"/>
        </w:rPr>
        <w:t>Давно я собирался писать Вам, но последний случай со мной 1 мая с. г., когда я разбил самолет И</w:t>
      </w:r>
      <w:r w:rsidRPr="00E14102">
        <w:rPr>
          <w:color w:val="000000" w:themeColor="text1"/>
          <w:sz w:val="16"/>
          <w:szCs w:val="16"/>
        </w:rPr>
        <w:noBreakHyphen/>
        <w:t>16, случайно оставшись живым, подстегнул меня...¹*</w:t>
      </w:r>
    </w:p>
    <w:p w14:paraId="107DBDF6" w14:textId="77777777" w:rsidR="002F6502" w:rsidRPr="00E14102" w:rsidRDefault="002F6502" w:rsidP="00E14102">
      <w:pPr>
        <w:pStyle w:val="rtejustify"/>
        <w:spacing w:before="0" w:after="0"/>
        <w:rPr>
          <w:color w:val="000000" w:themeColor="text1"/>
          <w:sz w:val="16"/>
          <w:szCs w:val="16"/>
        </w:rPr>
      </w:pPr>
      <w:r w:rsidRPr="00E14102">
        <w:rPr>
          <w:color w:val="000000" w:themeColor="text1"/>
          <w:sz w:val="16"/>
          <w:szCs w:val="16"/>
        </w:rPr>
        <w:t>Наша авиационная промышленность, созданная партией и страной, имеет несомненно крупные успехи и достижения. Но эти положительные стороны ни на одну минуту не могут изгладить то безобразное отношение к людям, летающим на самолетах, которое сложилось у целого ряда крупных руководящих работников авиационных заводов. Придите на любой завод, через каждые 10</w:t>
      </w:r>
      <w:r w:rsidRPr="00E14102">
        <w:rPr>
          <w:color w:val="000000" w:themeColor="text1"/>
          <w:sz w:val="16"/>
          <w:szCs w:val="16"/>
        </w:rPr>
        <w:noBreakHyphen/>
        <w:t>20 шагов висит лозунг: «Товарищ! Помни, что от твоей работы зависит жизнь человека!» Но эти большевистские слова опошляются здесь же, сбоку, живой практикой работы, контроля и руководства. На самом деле работают по другому, оппортунистическому, методу: сбыть бы самолет поскорее с завода, а дальше — трын-трава! При любом безобразии хотят отыграться на конструкции, чертеже, на колхознике, «недавно» пришедшем на завод, на его некультурности (а сами не учат его этому), но только не на ответственности контрольного отдела, нач[альника] цеха и директора.</w:t>
      </w:r>
    </w:p>
    <w:p w14:paraId="42ED4588" w14:textId="77777777" w:rsidR="002F6502" w:rsidRPr="00E14102" w:rsidRDefault="002F6502" w:rsidP="00E14102">
      <w:pPr>
        <w:pStyle w:val="rtejustify"/>
        <w:spacing w:before="0" w:after="0"/>
        <w:rPr>
          <w:color w:val="000000" w:themeColor="text1"/>
          <w:sz w:val="16"/>
          <w:szCs w:val="16"/>
        </w:rPr>
      </w:pPr>
      <w:r w:rsidRPr="00E14102">
        <w:rPr>
          <w:color w:val="000000" w:themeColor="text1"/>
          <w:sz w:val="16"/>
          <w:szCs w:val="16"/>
        </w:rPr>
        <w:lastRenderedPageBreak/>
        <w:t>Вот несколько примеров. 20 апреля с. г. принимаю с завода № 21 самолет И</w:t>
      </w:r>
      <w:r w:rsidRPr="00E14102">
        <w:rPr>
          <w:color w:val="000000" w:themeColor="text1"/>
          <w:sz w:val="16"/>
          <w:szCs w:val="16"/>
        </w:rPr>
        <w:noBreakHyphen/>
        <w:t>16 № 42133, нахожу наряду с другими дефектами люфт элеронов, доходящий в ручке управления до 4 мм (это по замерам работников завода, на самом деле там больше! Это на новой машине, выходящей с завода!). Требую его устранения. Начальник контрольного отдела завода Белоусов и начальник сборочного цеха Абрамов отказываются его устранить, заявляя, что такой люфт нормальный (они знают, что самолеты срочно нужны для парада, и, мол, с этим люфтом возьмут). Требую письменного подтверждения, что это нормально. Не дают, заявляя, что он появился благодаря конструкции (хотя на многих машинах люфта нет!). Вызываю технического директора завода Дайбога, который также начинает сваливать на конструкцию, но подписки не дает. Тогда находится главный конструктор завода Марчевский, который пишет, что по конструктивным соображениям считает люфт в 4 мм нормальным (у нас в частях ВВС РККА люфт в 2 мм считается недопустимым, тем паче на скоростной машине).</w:t>
      </w:r>
    </w:p>
    <w:p w14:paraId="239150F8" w14:textId="77777777" w:rsidR="002F6502" w:rsidRPr="00E14102" w:rsidRDefault="002F6502" w:rsidP="00E14102">
      <w:pPr>
        <w:pStyle w:val="rtejustify"/>
        <w:spacing w:before="0" w:after="0"/>
        <w:rPr>
          <w:color w:val="000000" w:themeColor="text1"/>
          <w:sz w:val="16"/>
          <w:szCs w:val="16"/>
        </w:rPr>
      </w:pPr>
      <w:r w:rsidRPr="00E14102">
        <w:rPr>
          <w:color w:val="000000" w:themeColor="text1"/>
          <w:sz w:val="16"/>
          <w:szCs w:val="16"/>
        </w:rPr>
        <w:t>26 апреля при приемке на том же заводе самолета И</w:t>
      </w:r>
      <w:r w:rsidRPr="00E14102">
        <w:rPr>
          <w:color w:val="000000" w:themeColor="text1"/>
          <w:sz w:val="16"/>
          <w:szCs w:val="16"/>
        </w:rPr>
        <w:noBreakHyphen/>
        <w:t>16 № 42144 прошу начальника цеха Абрамова поставить два шурупа для закрепления болтающегося зализа у стабилизатора. Он мне заявляет (хотя видит, что зализ болтается), что по чертежам в этом месте шурупов не ставят. Показываю заместителю начальника ГУАП т. Марголину, прилетевшему в тот момент в Горький, рядом стоящую машину, у которой подобные шурупы стоят там, где я прошу установить. И только после его приказания мне закрепили зализы. Как реагирует на все безобразия директор завода? Он стоит здесь же, на аэродроме, и просит военных летчиков... поскорее улететь из Горького! Можно было бы привести еще несколько подобных случаев, но я думаю, что картина и так ясна.</w:t>
      </w:r>
    </w:p>
    <w:p w14:paraId="18DBF66A" w14:textId="77777777" w:rsidR="002F6502" w:rsidRPr="00E14102" w:rsidRDefault="002F6502" w:rsidP="00E14102">
      <w:pPr>
        <w:pStyle w:val="rtejustify"/>
        <w:spacing w:before="0" w:after="0"/>
        <w:rPr>
          <w:color w:val="000000" w:themeColor="text1"/>
          <w:sz w:val="16"/>
          <w:szCs w:val="16"/>
        </w:rPr>
      </w:pPr>
      <w:r w:rsidRPr="00E14102">
        <w:rPr>
          <w:color w:val="000000" w:themeColor="text1"/>
          <w:sz w:val="16"/>
          <w:szCs w:val="16"/>
        </w:rPr>
        <w:t>Правда, конструктивных дефектов еще много. Их наши зазнавшиеся конструкторы с большим трудом, а самое главное, чересчур долго устраняют. Если итальянской фирме «Маркети» требуется [для того, чтобы] сконструировать, рассчитать и построить моторную установку для самолета всего лишь две недели, то наши заводы потратят на «согласование» и «увязывание», да на совещания и заседания месяц, а то еще и больше, не говоря уже о времени для проектирования и постройки... Но их с лихвой перекрывают дефекты производственные, очень многих из которых можно было бы избежать при настоящей большевистской борьбе за качество, за марку советского завода, начиная от начальника ГУАП и кончая контролером в цеху.</w:t>
      </w:r>
    </w:p>
    <w:p w14:paraId="4988FC73" w14:textId="77777777" w:rsidR="002F6502" w:rsidRPr="00E14102" w:rsidRDefault="002F6502" w:rsidP="00E14102">
      <w:pPr>
        <w:pStyle w:val="rtejustify"/>
        <w:spacing w:before="0" w:after="0"/>
        <w:rPr>
          <w:color w:val="000000" w:themeColor="text1"/>
          <w:sz w:val="16"/>
          <w:szCs w:val="16"/>
        </w:rPr>
      </w:pPr>
      <w:r w:rsidRPr="00E14102">
        <w:rPr>
          <w:color w:val="000000" w:themeColor="text1"/>
          <w:sz w:val="16"/>
          <w:szCs w:val="16"/>
        </w:rPr>
        <w:t>В мае 1934 г. военная приемка завода № 1 отказалась принимать и облетывать самолеты Р</w:t>
      </w:r>
      <w:r w:rsidRPr="00E14102">
        <w:rPr>
          <w:color w:val="000000" w:themeColor="text1"/>
          <w:sz w:val="16"/>
          <w:szCs w:val="16"/>
        </w:rPr>
        <w:noBreakHyphen/>
        <w:t>5 из-за течи радиаторов. Вместо того, чтобы добиться срочного серьезного изменения производственного процесса радиаторов на Кольчугинском заводе, директор завода Беленкович отдает приказ облетывать самолеты без военной приемки, подвергая риску сжечь мотор и разбить самолет, и собирает очередные говорильни-совещания найти какой-нибудь паллиатив в отношении замены радиаторов.</w:t>
      </w:r>
    </w:p>
    <w:p w14:paraId="2749AD9B" w14:textId="77777777" w:rsidR="002F6502" w:rsidRPr="00E14102" w:rsidRDefault="002F6502" w:rsidP="00E14102">
      <w:pPr>
        <w:pStyle w:val="rtejustify"/>
        <w:spacing w:before="0" w:after="0"/>
        <w:rPr>
          <w:color w:val="000000" w:themeColor="text1"/>
          <w:sz w:val="16"/>
          <w:szCs w:val="16"/>
        </w:rPr>
      </w:pPr>
      <w:r w:rsidRPr="00E14102">
        <w:rPr>
          <w:color w:val="000000" w:themeColor="text1"/>
          <w:sz w:val="16"/>
          <w:szCs w:val="16"/>
        </w:rPr>
        <w:t>В апреле 1935 г. на заводе № 21 выпускают в воздух самолет И</w:t>
      </w:r>
      <w:r w:rsidRPr="00E14102">
        <w:rPr>
          <w:color w:val="000000" w:themeColor="text1"/>
          <w:sz w:val="16"/>
          <w:szCs w:val="16"/>
        </w:rPr>
        <w:noBreakHyphen/>
        <w:t>16 № 4211, с ведома заместителя начальника цеха Попова имеющий 36 дефектов. На заводе № 21 с какого-то другого завода получены ноги шасси самолета И</w:t>
      </w:r>
      <w:r w:rsidRPr="00E14102">
        <w:rPr>
          <w:color w:val="000000" w:themeColor="text1"/>
          <w:sz w:val="16"/>
          <w:szCs w:val="16"/>
        </w:rPr>
        <w:noBreakHyphen/>
        <w:t>16 с недопустимым люфтом в резьбе стаканов. Подобные ноги ставятся на машины. И уже во время слета на самолете И</w:t>
      </w:r>
      <w:r w:rsidRPr="00E14102">
        <w:rPr>
          <w:color w:val="000000" w:themeColor="text1"/>
          <w:sz w:val="16"/>
          <w:szCs w:val="16"/>
        </w:rPr>
        <w:noBreakHyphen/>
        <w:t>16 № 42164 обнаружена сорванная резьба стакана, что повело к аварии самолета при выводке его из ангара. На самолетах И</w:t>
      </w:r>
      <w:r w:rsidRPr="00E14102">
        <w:rPr>
          <w:color w:val="000000" w:themeColor="text1"/>
          <w:sz w:val="16"/>
          <w:szCs w:val="16"/>
        </w:rPr>
        <w:noBreakHyphen/>
        <w:t>16 производства заводов № 21 и 39 наблюдается небрежная регулировка тормоза барабана подъемника шасси, из-за чего было четыре случая заедания шасси при подъеме и опускании в воздухе. На самолете И</w:t>
      </w:r>
      <w:r w:rsidRPr="00E14102">
        <w:rPr>
          <w:color w:val="000000" w:themeColor="text1"/>
          <w:sz w:val="16"/>
          <w:szCs w:val="16"/>
        </w:rPr>
        <w:noBreakHyphen/>
        <w:t>16 № 42158 гайка крепления стакана подкоса шасси оказалась незаконтренной, а у второго стакана шплинт стоял сверху гайки. На самолете И</w:t>
      </w:r>
      <w:r w:rsidRPr="00E14102">
        <w:rPr>
          <w:color w:val="000000" w:themeColor="text1"/>
          <w:sz w:val="16"/>
          <w:szCs w:val="16"/>
        </w:rPr>
        <w:noBreakHyphen/>
        <w:t>16 № 123917 производства завода № 39 оказались не приклепаны внизу стойки 3 нервюр центроплана. На одном из самолетов И</w:t>
      </w:r>
      <w:r w:rsidRPr="00E14102">
        <w:rPr>
          <w:color w:val="000000" w:themeColor="text1"/>
          <w:sz w:val="16"/>
          <w:szCs w:val="16"/>
        </w:rPr>
        <w:noBreakHyphen/>
        <w:t>15 производства завода № 1 остановился в воздухе мотор, так как кусок свинца попал под редукционный клапан бензопомпы.</w:t>
      </w:r>
    </w:p>
    <w:p w14:paraId="5095E761" w14:textId="77777777" w:rsidR="002F6502" w:rsidRPr="00E14102" w:rsidRDefault="002F6502" w:rsidP="00E14102">
      <w:pPr>
        <w:pStyle w:val="rtejustify"/>
        <w:spacing w:before="0" w:after="0"/>
        <w:rPr>
          <w:color w:val="000000" w:themeColor="text1"/>
          <w:sz w:val="16"/>
          <w:szCs w:val="16"/>
        </w:rPr>
      </w:pPr>
      <w:r w:rsidRPr="00E14102">
        <w:rPr>
          <w:color w:val="000000" w:themeColor="text1"/>
          <w:sz w:val="16"/>
          <w:szCs w:val="16"/>
        </w:rPr>
        <w:t>У меня на самолете И</w:t>
      </w:r>
      <w:r w:rsidRPr="00E14102">
        <w:rPr>
          <w:color w:val="000000" w:themeColor="text1"/>
          <w:sz w:val="16"/>
          <w:szCs w:val="16"/>
        </w:rPr>
        <w:noBreakHyphen/>
        <w:t>16 № 42144 причиной аварии послужила поломка масляной трубки, так как она была или пережженой, или недостаточно отпущенной. Через открытое место все масло выбросило, и мотор остановился, и я, находясь в 6 км от аэродрома, был вынужден садиться на вспаханное поле с бороздами, где я и перевернулся. Только благодаря тому, что самолет не загорелся и колхозники помогли поднять самолет, и я остался жив. А ведь 1,5 года тому назад начальник ВВС РККА т. Алкснис утвердил отчет по испытанию мягкой бензомаслопроводки, исключающей подобные поломки трубок. ГУАП имеет данный отчет и за это время ничего не сделал, чтобы наладить серийное производство мягкой проводки! Подобных поломок масляных трубок было еще два случая, но по счастливой случайности они произошли на земле!..</w:t>
      </w:r>
    </w:p>
    <w:p w14:paraId="21DA4670" w14:textId="77777777" w:rsidR="002F6502" w:rsidRPr="00E14102" w:rsidRDefault="002F6502" w:rsidP="00E14102">
      <w:pPr>
        <w:pStyle w:val="rtejustify"/>
        <w:spacing w:before="0" w:after="0"/>
        <w:rPr>
          <w:color w:val="000000" w:themeColor="text1"/>
          <w:sz w:val="16"/>
          <w:szCs w:val="16"/>
        </w:rPr>
      </w:pPr>
      <w:r w:rsidRPr="00E14102">
        <w:rPr>
          <w:color w:val="000000" w:themeColor="text1"/>
          <w:sz w:val="16"/>
          <w:szCs w:val="16"/>
        </w:rPr>
        <w:t>Я Вам привел для примера первопопавшиеся смертоносные случаи, которые я мог наблюдать только на одном аэродроме в течение 15 дней апреля. Здесь больше всего фигурирует 21</w:t>
      </w:r>
      <w:r w:rsidRPr="00E14102">
        <w:rPr>
          <w:color w:val="000000" w:themeColor="text1"/>
          <w:sz w:val="16"/>
          <w:szCs w:val="16"/>
        </w:rPr>
        <w:noBreakHyphen/>
        <w:t>й завод, потому что я недавно был на нем и больше всего имел дело с его продукцией. Насколько мне известно, подобная картина наблюдается и на остальных заводах авиационной промышленности. Я уже не говорю о таких «мелочах», к которым привык весь воздушный флот, вроде течи радиаторов на всех типах самолетов, о пропускании горючего пожарным кранам (только по названию!), о подтекании бензомагистрали, о регулировке тормозных колес (когда одно колесо тормозит больше, чем другое), о плохой регулировке самолетов и т. д.</w:t>
      </w:r>
    </w:p>
    <w:p w14:paraId="4DCCF421" w14:textId="77777777" w:rsidR="002F6502" w:rsidRPr="00E14102" w:rsidRDefault="002F6502" w:rsidP="00E14102">
      <w:pPr>
        <w:pStyle w:val="rtejustify"/>
        <w:spacing w:before="0" w:after="0"/>
        <w:rPr>
          <w:color w:val="000000" w:themeColor="text1"/>
          <w:sz w:val="16"/>
          <w:szCs w:val="16"/>
        </w:rPr>
      </w:pPr>
      <w:r w:rsidRPr="00E14102">
        <w:rPr>
          <w:color w:val="000000" w:themeColor="text1"/>
          <w:sz w:val="16"/>
          <w:szCs w:val="16"/>
        </w:rPr>
        <w:t>Культурный вид самолета — это мираж техника и инженера строевой части да очередное заливанье соловьем на конференциях по «качеству» директоров авиационных заводов. Помятый гофр по всему крылу, заплатанное в 5</w:t>
      </w:r>
      <w:r w:rsidRPr="00E14102">
        <w:rPr>
          <w:color w:val="000000" w:themeColor="text1"/>
          <w:sz w:val="16"/>
          <w:szCs w:val="16"/>
        </w:rPr>
        <w:noBreakHyphen/>
        <w:t>8 местах полотно крыла, подтекание масла из всех соединений мотора — это считается «нормальным» явлением на заводе. Даже контровки кранов спецконтрами, а не проволокой, авиапромышленность вот уже в течение 3 лет не хочет сделать. Ведь не даром так резко изменился авторитет заводов в глазах техника и инженера строевой части.</w:t>
      </w:r>
    </w:p>
    <w:p w14:paraId="4ABE6DBB" w14:textId="77777777" w:rsidR="002F6502" w:rsidRPr="00E14102" w:rsidRDefault="002F6502" w:rsidP="00E14102">
      <w:pPr>
        <w:pStyle w:val="rtejustify"/>
        <w:spacing w:before="0" w:after="0"/>
        <w:rPr>
          <w:color w:val="000000" w:themeColor="text1"/>
          <w:sz w:val="16"/>
          <w:szCs w:val="16"/>
        </w:rPr>
      </w:pPr>
      <w:r w:rsidRPr="00E14102">
        <w:rPr>
          <w:color w:val="000000" w:themeColor="text1"/>
          <w:sz w:val="16"/>
          <w:szCs w:val="16"/>
        </w:rPr>
        <w:t>Пять-семь лет назад самолету, пришедшему с завода, верили, как большевику. Что сделано на заводе, так уж не подведет!.. А теперь, наоборот, раз машина пришла с завода, надо все снять, проверить, промыть. Самолет только через 20</w:t>
      </w:r>
      <w:r w:rsidRPr="00E14102">
        <w:rPr>
          <w:color w:val="000000" w:themeColor="text1"/>
          <w:sz w:val="16"/>
          <w:szCs w:val="16"/>
        </w:rPr>
        <w:noBreakHyphen/>
        <w:t>30 часов работы (над аэродромом) после прибытия с завода считается исправным к дальнейшим перелетам и длительным полетам. Ведь в авиации нельзя делить продукцию на «ширпотреб внутреннего потребления» и на «торгсиновскую», которую умеют делать наши авиазаводы, когда их заставят. Надо знать, что на этих самолетах летают живые люди.</w:t>
      </w:r>
    </w:p>
    <w:p w14:paraId="06846D50" w14:textId="77777777" w:rsidR="002F6502" w:rsidRPr="00E14102" w:rsidRDefault="002F6502" w:rsidP="00E14102">
      <w:pPr>
        <w:pStyle w:val="rtejustify"/>
        <w:spacing w:before="0" w:after="0"/>
        <w:rPr>
          <w:color w:val="000000" w:themeColor="text1"/>
          <w:sz w:val="16"/>
          <w:szCs w:val="16"/>
        </w:rPr>
      </w:pPr>
      <w:r w:rsidRPr="00E14102">
        <w:rPr>
          <w:color w:val="000000" w:themeColor="text1"/>
          <w:sz w:val="16"/>
          <w:szCs w:val="16"/>
        </w:rPr>
        <w:t>Зависят ли указанные выше дефекты от каких-либо особых причин конструкции? Нет. Можно ли с имеющимися своими отечественными материалами не иметь их? Можно. В чем основная причина их? В том: 1) что все руководители авиационной промышленности считают, что они делают одолжение стране тем, что выпускают самолеты и моторы; 2) какой бы самолет и мотор они бы не сделали, его возьмут в ВВС, а если ВВС не возьмут, то они его «продадут» НКВД, ГВФ или другой какой-нибудь организации; 3) что директоры вообразили себя большими коммерсантами, чем большевиками, ленинцами, сталинцами, первой обязанностью которых является укрепление на деле обороноспособности, а не только в интервью с корреспондентами газет. Они по своему подобию воспитали и остальной командный состав промышленности. Можно ли сегодня изжить все указанные и подобные им дефекты и что для этого нужно? Только: 1) требовательность при приемке; 2) большевистская ответственность всех руководителей за работу отдельного самолета и мотора; 3) сталинский стиль руководства, а не теперешняя двурушническая болтология их о борьбе за качество.</w:t>
      </w:r>
    </w:p>
    <w:p w14:paraId="21624964" w14:textId="77777777" w:rsidR="002F6502" w:rsidRPr="00E14102" w:rsidRDefault="002F6502" w:rsidP="00E14102">
      <w:pPr>
        <w:pStyle w:val="rtejustify"/>
        <w:spacing w:before="0" w:after="0"/>
        <w:rPr>
          <w:color w:val="000000" w:themeColor="text1"/>
          <w:sz w:val="16"/>
          <w:szCs w:val="16"/>
        </w:rPr>
      </w:pPr>
      <w:r w:rsidRPr="00E14102">
        <w:rPr>
          <w:color w:val="000000" w:themeColor="text1"/>
          <w:sz w:val="16"/>
          <w:szCs w:val="16"/>
        </w:rPr>
        <w:t>Климентий Ефремович! Я думаю, что я выражаю мысль абсолютного большинства командиров, летчиков, техников и инженеров, если попрошу Вас заставить руководителей авиационной промышленности авторитетом партии и правительства выполнить самим в первую очередь лозунг: «Товарищ! От твоей честной работы зависит не только жизнь летчика, летнаба, но и оборона родины в воздухе!»</w:t>
      </w:r>
    </w:p>
    <w:p w14:paraId="52A64510" w14:textId="77777777" w:rsidR="002F6502" w:rsidRPr="00E14102" w:rsidRDefault="002F6502" w:rsidP="00E14102">
      <w:pPr>
        <w:pStyle w:val="rtejustify"/>
        <w:spacing w:before="0" w:after="0"/>
        <w:rPr>
          <w:color w:val="000000" w:themeColor="text1"/>
          <w:sz w:val="16"/>
          <w:szCs w:val="16"/>
        </w:rPr>
      </w:pPr>
      <w:r w:rsidRPr="00E14102">
        <w:rPr>
          <w:color w:val="000000" w:themeColor="text1"/>
          <w:sz w:val="16"/>
          <w:szCs w:val="16"/>
        </w:rPr>
        <w:t>Мне кажется, что надо на один из самолетных заводов послать группу военных инженеров и поставить их во главе его, начиная от директора и кончая начальниками цехов, чтобы они практически показали, что можно добиться в выпуске «ширпотреба» «сплошного торгсиновского качества» с теми же средствами, но при настоящей борьбе и руководстве за выпуск лучшего в мире самолета и мотора²*.</w:t>
      </w:r>
    </w:p>
    <w:p w14:paraId="4FB45872" w14:textId="77777777" w:rsidR="002F6502" w:rsidRPr="00E14102" w:rsidRDefault="002F6502"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Летчик-инженер НИИ Белозеров</w:t>
      </w:r>
    </w:p>
    <w:p w14:paraId="54B1DAE4" w14:textId="77777777" w:rsidR="002F6502" w:rsidRPr="00E14102" w:rsidRDefault="002F6502"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46272FA0" w14:textId="77777777" w:rsidR="002F6502" w:rsidRPr="00E14102" w:rsidRDefault="002F6502" w:rsidP="00E14102">
      <w:pPr>
        <w:pStyle w:val="rtejustify"/>
        <w:spacing w:before="0" w:after="0"/>
        <w:rPr>
          <w:color w:val="000000" w:themeColor="text1"/>
          <w:sz w:val="16"/>
          <w:szCs w:val="16"/>
        </w:rPr>
      </w:pPr>
      <w:r w:rsidRPr="00E14102">
        <w:rPr>
          <w:color w:val="000000" w:themeColor="text1"/>
          <w:sz w:val="16"/>
          <w:szCs w:val="16"/>
        </w:rPr>
        <w:t>¹* Здесь и далее: отточия документа.</w:t>
      </w:r>
    </w:p>
    <w:p w14:paraId="685ADBF3" w14:textId="77777777" w:rsidR="002F6502" w:rsidRPr="00E14102" w:rsidRDefault="002F6502" w:rsidP="00E14102">
      <w:pPr>
        <w:pStyle w:val="rtejustify"/>
        <w:spacing w:before="0" w:after="0"/>
        <w:rPr>
          <w:color w:val="000000" w:themeColor="text1"/>
          <w:sz w:val="16"/>
          <w:szCs w:val="16"/>
        </w:rPr>
      </w:pPr>
      <w:r w:rsidRPr="00E14102">
        <w:rPr>
          <w:color w:val="000000" w:themeColor="text1"/>
          <w:sz w:val="16"/>
          <w:szCs w:val="16"/>
        </w:rPr>
        <w:t>²* 26 декабря 1935 г. по Наркомату тяжелой промышленности СССР был издан приказ № 202 «Об улучшении качества самолетов и моторов, производимых на предприятиях НКТП». В соответствии с ним предприятия ГУАП должны были увеличить объем заводских испытаний образцов продукции авиазаводов и своевременно устранять все выявленные недостатки и дефекты. Были выработаны конкретные мероприятия по каждому виду продукции, по каждому заводу. Организовывался порядок приема готовой продукции. Центром научно-исследовательской работы объявлялся ЦАГИ, а в ГУАП создан отдел морского самолетостроения. (РГАЭ. Ф. 7297. Оп. 38. Д. 171. Л. 328</w:t>
      </w:r>
      <w:r w:rsidRPr="00E14102">
        <w:rPr>
          <w:color w:val="000000" w:themeColor="text1"/>
          <w:sz w:val="16"/>
          <w:szCs w:val="16"/>
        </w:rPr>
        <w:noBreakHyphen/>
        <w:t>326).</w:t>
      </w:r>
    </w:p>
    <w:p w14:paraId="00B4D66B" w14:textId="77777777" w:rsidR="002F6502" w:rsidRPr="00E14102" w:rsidRDefault="002F6502"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АП РФ. Ф. 3. Оп. 46. Д. 6. Л. 54-60. Подлинник (15347).</w:t>
      </w:r>
    </w:p>
    <w:p w14:paraId="349271E2" w14:textId="77777777" w:rsidR="002F6502" w:rsidRPr="00E14102" w:rsidRDefault="002F6502" w:rsidP="00E14102">
      <w:pPr>
        <w:jc w:val="both"/>
        <w:rPr>
          <w:bCs/>
          <w:color w:val="000000" w:themeColor="text1"/>
          <w:sz w:val="16"/>
          <w:szCs w:val="16"/>
        </w:rPr>
      </w:pPr>
    </w:p>
    <w:p w14:paraId="7127A89E" w14:textId="77777777" w:rsidR="009F4385" w:rsidRPr="00E14102" w:rsidRDefault="009F4385" w:rsidP="00E14102">
      <w:pPr>
        <w:jc w:val="both"/>
        <w:rPr>
          <w:color w:val="000000" w:themeColor="text1"/>
          <w:sz w:val="16"/>
          <w:szCs w:val="16"/>
        </w:rPr>
      </w:pPr>
      <w:r w:rsidRPr="00E14102">
        <w:rPr>
          <w:color w:val="000000" w:themeColor="text1"/>
          <w:sz w:val="16"/>
          <w:szCs w:val="16"/>
        </w:rPr>
        <w:t>23 мая 1935 года в письме летчика-инженера И.П. Белозерова [5] наркому обороны СССР К.Е. Ворошилову о неудовлетворительной работе авиазаводов достаточно жестко говорится о работе чиновников оборонной отрасли: «Наша авиационная промышленность, созданная партией и страной, имеет несомненно крупные успехи и достижения. Но эти положительные стороны ни на одну минуту не могут изгладить то безобразное отношение к людям, летающим на самолетах, которое сложилось у целого ряда крупных руководящих работников авиационных заводов. Придите на любой завод, через каждые 10–20 шагов висит лозунг: “Товарищ! Помни, что от твоей работы зависит жизнь человека!”. Но эти большевистские слова опошляются здесь же, сбоку, живой практикой работы, контроля и руководства. На самом деле работают по другому, оппортунистическому, методу: сбыть бы самолет поскорее с завода, а дальше — трын-трава! При любом безобразии хотят отыграться на конструкции, чертеже, на колхознике, “недавно” пришедшем на завод, на его некультурности (а сами не учат его этому), но только не на ответственности контрольного отдела, нач[альника] цеха и директора» [6].</w:t>
      </w:r>
    </w:p>
    <w:p w14:paraId="197C9F9D" w14:textId="77777777" w:rsidR="009F4385" w:rsidRPr="00E14102" w:rsidRDefault="009F4385" w:rsidP="00E14102">
      <w:pPr>
        <w:jc w:val="both"/>
        <w:rPr>
          <w:color w:val="000000" w:themeColor="text1"/>
          <w:sz w:val="16"/>
          <w:szCs w:val="16"/>
        </w:rPr>
      </w:pPr>
      <w:r w:rsidRPr="00E14102">
        <w:rPr>
          <w:color w:val="000000" w:themeColor="text1"/>
          <w:sz w:val="16"/>
          <w:szCs w:val="16"/>
        </w:rPr>
        <w:t>И.П. Белозеров приводит ряд показательных примеров преступной безответственности, свидетелем которых он являлся:</w:t>
      </w:r>
    </w:p>
    <w:p w14:paraId="5D03FC9C" w14:textId="77777777" w:rsidR="009F4385" w:rsidRPr="00E14102" w:rsidRDefault="009F4385" w:rsidP="00E14102">
      <w:pPr>
        <w:jc w:val="both"/>
        <w:rPr>
          <w:color w:val="000000" w:themeColor="text1"/>
          <w:sz w:val="16"/>
          <w:szCs w:val="16"/>
        </w:rPr>
      </w:pPr>
      <w:r w:rsidRPr="00E14102">
        <w:rPr>
          <w:color w:val="000000" w:themeColor="text1"/>
          <w:sz w:val="16"/>
          <w:szCs w:val="16"/>
        </w:rPr>
        <w:t>«В мае 1934 г. военная приемка завода № 21 отказалась принимать и облетывать самолеты Р-5 из-за течи радиаторов. Вместо того чтобы добиться срочного серьезного изменения производственного процесса радиаторов на Кольчугинском заводе, директор завода Беленкович отдает приказ облетывать самолеты без военной приемки, подвергая риску сжечь мотор и разбить самолет, и собирает очередные говорильни-совещания найти какой-нибудь паллиатив в отношении замены радиаторов.</w:t>
      </w:r>
    </w:p>
    <w:p w14:paraId="7CFEDDCF" w14:textId="77777777" w:rsidR="009F4385" w:rsidRPr="00E14102" w:rsidRDefault="009F4385" w:rsidP="00E14102">
      <w:pPr>
        <w:jc w:val="both"/>
        <w:rPr>
          <w:color w:val="000000" w:themeColor="text1"/>
          <w:sz w:val="16"/>
          <w:szCs w:val="16"/>
        </w:rPr>
      </w:pPr>
      <w:r w:rsidRPr="00E14102">
        <w:rPr>
          <w:color w:val="000000" w:themeColor="text1"/>
          <w:sz w:val="16"/>
          <w:szCs w:val="16"/>
        </w:rPr>
        <w:t>В апреле 1935 г. на заводе № 21 выпускают в воздух самолет И-16 № 4211, с ведома заместителя начальника цеха Попова, имеющий 36 дефектов. …На одном из самолетов И-15 производства завода № 1 остановился в воздухе мотор, так как кусок свинца попал под редукционный клапан бензопомпы.</w:t>
      </w:r>
    </w:p>
    <w:p w14:paraId="5890590A" w14:textId="77777777" w:rsidR="009F4385" w:rsidRPr="00E14102" w:rsidRDefault="009F4385" w:rsidP="00E14102">
      <w:pPr>
        <w:jc w:val="both"/>
        <w:rPr>
          <w:color w:val="000000" w:themeColor="text1"/>
          <w:sz w:val="16"/>
          <w:szCs w:val="16"/>
        </w:rPr>
      </w:pPr>
      <w:r w:rsidRPr="00E14102">
        <w:rPr>
          <w:color w:val="000000" w:themeColor="text1"/>
          <w:sz w:val="16"/>
          <w:szCs w:val="16"/>
        </w:rPr>
        <w:lastRenderedPageBreak/>
        <w:t>У меня на самолете И-16 № 42144 причиной аварии послужила поломка масляной трубки, так как она была или пережженной, или недостаточно отпущенной. Через открытое место все масло выбросило, и мотор остановился, и я, находясь в 6 км от аэродрома, был вынужден садиться на вспаханное поле с бороздами, где я и перевернулся. Только благодаря тому, что самолет не загорелся и колхозники помогли поднять самолет, и я остался жив… Я Вам привел для примера первопопавшиеся смертоносные случаи, которые я мог наблюдать только на одном аэродроме в течение 15 дней апреля. Здесь больше всего фигурирует 21-й завод, потому что я недавно был на нем и больше всего имел дело с его продукцией. Насколько мне известно, подобная картина наблюдается и на остальных заводах авиационной промышленности» [7].</w:t>
      </w:r>
    </w:p>
    <w:p w14:paraId="34B4C4CD" w14:textId="77777777" w:rsidR="009F4385" w:rsidRPr="00E14102" w:rsidRDefault="009F4385" w:rsidP="00E14102">
      <w:pPr>
        <w:jc w:val="both"/>
        <w:rPr>
          <w:color w:val="000000" w:themeColor="text1"/>
          <w:sz w:val="16"/>
          <w:szCs w:val="16"/>
        </w:rPr>
      </w:pPr>
      <w:r w:rsidRPr="00E14102">
        <w:rPr>
          <w:color w:val="000000" w:themeColor="text1"/>
          <w:sz w:val="16"/>
          <w:szCs w:val="16"/>
        </w:rPr>
        <w:t>В заключение письма автор не только открыто обвиняет «красных директоров» в безнаказанности, но и констатирует сам факт наличия и развития коррупционных отношений в «оборонке»: «Зависят ли указанные выше дефекты от каких-либо особых причин конструкции? Нет. Можно ли с имеющимися своими отечественными материалами не иметь их? Можно. В чем основная причина их? В том: 1) что все руководители авиационной промышленности считают, что они делают одолжение стране тем, что выпускают самолеты и моторы; 2) какой бы самолет и мотор они бы ни сделали, его возьмут в ВВС, а если ВВС не возьмут, то они его “продадут” НКВД, ГВФ или другой какой-нибудь организации; 3) что директоры вообразили себя большими коммерсантами, чем большевиками, ленинцами, сталинцами, первой обязанностью которых является укрепление на деле обороноспособности, а не только в интервью с корреспондентами газет. Они по своему подобию воспитали и остальной командный состав промышленности» [8] (18619).</w:t>
      </w:r>
    </w:p>
    <w:p w14:paraId="15EEC318" w14:textId="77777777" w:rsidR="009F4385" w:rsidRPr="00E14102" w:rsidRDefault="009F4385" w:rsidP="00E14102">
      <w:pPr>
        <w:jc w:val="both"/>
        <w:rPr>
          <w:color w:val="000000" w:themeColor="text1"/>
          <w:sz w:val="16"/>
          <w:szCs w:val="16"/>
        </w:rPr>
      </w:pPr>
    </w:p>
    <w:p w14:paraId="03BF224D" w14:textId="77777777" w:rsidR="009F4385" w:rsidRPr="00E14102" w:rsidRDefault="009F4385" w:rsidP="00E14102">
      <w:pPr>
        <w:jc w:val="both"/>
        <w:rPr>
          <w:color w:val="000000" w:themeColor="text1"/>
          <w:sz w:val="16"/>
          <w:szCs w:val="16"/>
        </w:rPr>
      </w:pPr>
      <w:r w:rsidRPr="00E14102">
        <w:rPr>
          <w:color w:val="000000" w:themeColor="text1"/>
          <w:sz w:val="16"/>
          <w:szCs w:val="16"/>
        </w:rPr>
        <w:t>23 мая 1935 г. в письме летчика-инженера И. П. Белозерова 4 наркому обороны СССР К. Е. Ворошилову от о неудовлетворительной работе авиазаводов достаточно жестко говорится о работе чиновников оборонной отрасли: «Наша авиационная промышленность, созданная партией и страной, имеет несомненно крупные успехи и достижения. Но эти положительные стороны ни на одну минуту не могут изгладить то безобразное отношение к людям, летающим на самолетах, которое сложилось у целого ряда крупных руководящих работников авиационных заводов. Придите на любой завод, через каждые 10-20 шагов висит лозунг: «Товарищ! Помни, что от твоей работы зависит жизнь человека!» Но эти большевистские слова опошляются здесь же, сбоку, живой практикой работы, контроля и руководства. На самом деле работают по другому , оппортунистическому, методу: сбыть бы самолет поскорее с завода, а дальше – трын-трава! При любом безобразии хотят отыграться на конструкции, чертеже, на колхознике, «недавно» пришедшем на завод, на его некультурности (а сами не учат его этому), но только не на ответственности контрольного отдела, нач[альника] цеха и директора» И. П. Белозеров приводит ряд показательных примеров преступной безответственности, свидетелем которых он являлся: «В мае 1934 г . военная приемка завода № 21 отказалась принимать и облетывать самолеты Р-5 из-за течи радиаторов. Вместо того, чтобы добиться срочного серьезного изменения производственного процесса радиаторов на Кольчугинском заводе, директор завода Беленкович отдает приказ облетывать самолеты без военной приемки подвергая риску сжечь мотор и разбить самолет, и собирает очередные говорильни-совещания найти какой-нибу дь паллиатив в отношении замены радиаторов. В апреле 1935 г . на заводе № 21 выпускают в воздух самолет И-16 № 4211, с ведома заместителя начальника цеха Попова имеющий 36 дефектов. … На одном из самолетов И-15 производства завода № 1 остановился в воздухе мотор, так как кусок свинца попал под редукционный клапан бензопомпы. У меня на самолете И-16 № 42144 причиной аварии послужила поломка масляной трубки, так как она была или пережженой, или недостаточно отпущенной. Через открытое место все масло выбросило, и мотор остановился, и я, находясь в 6 км от аэродрома, был вынужден садиться на вспаханное поле с бороздами, где я и перевернулся. Только благодаря тому, что самолет не загорелся и колхозники помогли поднять самолет , и я остался жив... Я Вам привел для примера первопопавшиеся смертоносные случаи, которые я мог наблюдать только на одном аэродроме в течение 15 дней апреля. Здесь больше всего фигурирует 21-й завод, потому что я недавно был на нем и больше всего имел дело с его продукцией. Насколько мне известно, подобная картина наблюдается и на остальных заводах авиационной промышленности»</w:t>
      </w:r>
    </w:p>
    <w:p w14:paraId="56938863" w14:textId="77777777" w:rsidR="009F4385" w:rsidRPr="00E14102" w:rsidRDefault="009F4385" w:rsidP="00E14102">
      <w:pPr>
        <w:jc w:val="both"/>
        <w:rPr>
          <w:color w:val="000000" w:themeColor="text1"/>
          <w:sz w:val="16"/>
          <w:szCs w:val="16"/>
        </w:rPr>
      </w:pPr>
      <w:r w:rsidRPr="00E14102">
        <w:rPr>
          <w:color w:val="000000" w:themeColor="text1"/>
          <w:sz w:val="16"/>
          <w:szCs w:val="16"/>
        </w:rPr>
        <w:t>В заключение письма, автор не только открыто обвиняет «красных директоров» в безнаказанности, но и констатирует сам факт наличия и развития коррупционных отношений в «оборонке»: «Зависят ли указанные выше дефекты от каких-либо особых причин конструкции? Нет . Можно ли с имеющимися своими отечественными материалами не иметь их? Можно. В чем основная причина их? В том: 1) что все руководители авиационной промышленности считают, что они делают одолжение стране тем, что выпускают самолеты и моторы; 2) какой бы самолет и мотор они бы не сделали, его возьмут в ВВС, а если ВВС не возьмут , то они его «продадут» НКВД, ГВФ или другой какойнибудь организации; З) что директоры вообразили себя большими коммерсантами, чем большевиками, ленинцами, сталинцами, первой обязанностью которых является укрепление на деле обороноспособности, а не только в интервью с корреспондентами газет. Они по своему подобию воспитали и остальной командный состав промышленности» (19541).</w:t>
      </w:r>
    </w:p>
    <w:p w14:paraId="74E42271" w14:textId="77777777" w:rsidR="009F4385" w:rsidRPr="00E14102" w:rsidRDefault="009F4385" w:rsidP="00E14102">
      <w:pPr>
        <w:jc w:val="both"/>
        <w:rPr>
          <w:color w:val="000000" w:themeColor="text1"/>
          <w:sz w:val="16"/>
          <w:szCs w:val="16"/>
        </w:rPr>
      </w:pPr>
    </w:p>
    <w:p w14:paraId="6F0A39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23 мая 1935 С.П.К. участвовал в огневых испытаниях двигателя 02 (Там же, № 4). Июль. Опубликована статья "Крылатые ракеты и применение их для полета человека", содержащая выдержки из доклада СПК, прочитанного им </w:t>
      </w:r>
    </w:p>
    <w:p w14:paraId="763F1016" w14:textId="77777777" w:rsidR="00D4105E" w:rsidRPr="00E14102" w:rsidRDefault="00D4105E" w:rsidP="00E14102">
      <w:pPr>
        <w:autoSpaceDE w:val="0"/>
        <w:autoSpaceDN w:val="0"/>
        <w:adjustRightInd w:val="0"/>
        <w:jc w:val="both"/>
        <w:rPr>
          <w:iCs/>
          <w:color w:val="000000" w:themeColor="text1"/>
          <w:sz w:val="16"/>
          <w:szCs w:val="16"/>
        </w:rPr>
      </w:pPr>
    </w:p>
    <w:p w14:paraId="6C591F7D" w14:textId="77777777" w:rsidR="002F650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219F639" w14:textId="77777777" w:rsidR="002F6502" w:rsidRPr="00E14102" w:rsidRDefault="002F6502" w:rsidP="00E14102">
      <w:pPr>
        <w:autoSpaceDE w:val="0"/>
        <w:autoSpaceDN w:val="0"/>
        <w:adjustRightInd w:val="0"/>
        <w:jc w:val="both"/>
        <w:rPr>
          <w:iCs/>
          <w:color w:val="000000" w:themeColor="text1"/>
          <w:sz w:val="16"/>
          <w:szCs w:val="16"/>
        </w:rPr>
      </w:pPr>
    </w:p>
    <w:p w14:paraId="2907AD45" w14:textId="77777777" w:rsidR="002F6502" w:rsidRPr="00E14102" w:rsidRDefault="002F6502" w:rsidP="00E14102">
      <w:pPr>
        <w:autoSpaceDE w:val="0"/>
        <w:autoSpaceDN w:val="0"/>
        <w:adjustRightInd w:val="0"/>
        <w:jc w:val="both"/>
        <w:rPr>
          <w:color w:val="000000" w:themeColor="text1"/>
          <w:sz w:val="16"/>
          <w:szCs w:val="16"/>
        </w:rPr>
      </w:pPr>
      <w:r w:rsidRPr="00E14102">
        <w:rPr>
          <w:color w:val="000000" w:themeColor="text1"/>
          <w:sz w:val="16"/>
          <w:szCs w:val="16"/>
        </w:rPr>
        <w:t>23 мая 1935 года после доработок на заводе Л-3 вновь попала на НИАП для повторных испытаний. При стрельбе снарядом весом 7,1 кг начальная скорость 720 м/с, а дальность 13942 м. На вооружение Л-3 принята не была (3861).</w:t>
      </w:r>
    </w:p>
    <w:p w14:paraId="268EEB43" w14:textId="77777777" w:rsidR="002F6502" w:rsidRPr="00E14102" w:rsidRDefault="002F6502" w:rsidP="00E14102">
      <w:pPr>
        <w:autoSpaceDE w:val="0"/>
        <w:autoSpaceDN w:val="0"/>
        <w:adjustRightInd w:val="0"/>
        <w:jc w:val="both"/>
        <w:rPr>
          <w:color w:val="000000" w:themeColor="text1"/>
          <w:sz w:val="16"/>
          <w:szCs w:val="16"/>
        </w:rPr>
      </w:pPr>
    </w:p>
    <w:p w14:paraId="53E42FD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40C6EBF" w14:textId="77777777" w:rsidR="00D4105E" w:rsidRPr="00E14102" w:rsidRDefault="00D4105E" w:rsidP="00E14102">
      <w:pPr>
        <w:autoSpaceDE w:val="0"/>
        <w:autoSpaceDN w:val="0"/>
        <w:adjustRightInd w:val="0"/>
        <w:jc w:val="both"/>
        <w:rPr>
          <w:iCs/>
          <w:color w:val="000000" w:themeColor="text1"/>
          <w:sz w:val="16"/>
          <w:szCs w:val="16"/>
        </w:rPr>
      </w:pPr>
    </w:p>
    <w:p w14:paraId="1C018A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мая 1935 был проведен первый опыт дозаправки самолета (П-5 - л Баранов) с буксируемого планера (Г-14 - л Кузьмин) (237,174). Планер оборудовали на заводе 1 им. Авиахима. На 1200 м планерист К.М.Венслав перелил по шлангу бензин в П-5, управляемый И.С.Барановым и за 15 минут наполнил баки (438,686) в 150 л (9080).</w:t>
      </w:r>
    </w:p>
    <w:p w14:paraId="021FA7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- 18 апреля 1935 и 36.</w:t>
      </w:r>
    </w:p>
    <w:p w14:paraId="13607BE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77EEA9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24 мая 1935 г. состоялась первая дозаправка самолета-буксировщика П-5 топливом с буксируемого им планера Г-14 (6395).</w:t>
      </w:r>
    </w:p>
    <w:p w14:paraId="5AFBB71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841DA9B" w14:textId="77777777" w:rsidR="003D0FBD" w:rsidRPr="00E14102" w:rsidRDefault="003D0FBD" w:rsidP="00E14102">
      <w:pPr>
        <w:jc w:val="both"/>
        <w:rPr>
          <w:color w:val="0070C0"/>
          <w:sz w:val="16"/>
          <w:szCs w:val="16"/>
        </w:rPr>
      </w:pPr>
      <w:r w:rsidRPr="00E14102">
        <w:rPr>
          <w:color w:val="0070C0"/>
          <w:sz w:val="16"/>
          <w:szCs w:val="16"/>
        </w:rPr>
        <w:t>24 мая 1935 - Cостоялся первый перелив бензина с планера на самолет-буксировщик. Это произошло на высоте 1200 м, когда из планера Г-14 (планерист Кузьмин) за 15 минут перелили в буксировщик Р-5 (пилот Баранов) 150 кг бензина. После этого было решено построить специальный вариант планера - Г-14 "Летающая цистерна" (Г-14 ЦЛ-2А). В связи с установкой дополнительных бензобаков и увеличением полетного веса до 780 кг заводские конструкторы произвели поверочный расчет прочности конструкции и на его основании усилили отдельные элементы планера. Горючее разместили в пяти сварных алюминиевых баках: 4 - в корневых частях крыла (по два с каждой стороны) и один бак в фюзеляже на месте задней кабины. Общая емкость забираемого "Летающей цистерной" топлива составила 500 л. Баки с помощью системы трубопроводов и кранов соединялись с универсальным буксировочным замком. Буксирная связь представляла собой тонкий дюритовый шланг, по которому переливалось горючее. Внутри его пропустили трос, воспринимавший силовые нагрузки (22491).</w:t>
      </w:r>
    </w:p>
    <w:p w14:paraId="216C4FE4" w14:textId="77777777" w:rsidR="003D0FBD" w:rsidRPr="00E14102" w:rsidRDefault="003D0FBD" w:rsidP="00E14102">
      <w:pPr>
        <w:jc w:val="both"/>
        <w:rPr>
          <w:color w:val="0070C0"/>
          <w:sz w:val="16"/>
          <w:szCs w:val="16"/>
        </w:rPr>
      </w:pPr>
    </w:p>
    <w:p w14:paraId="05ABEBC3" w14:textId="77777777" w:rsidR="00A45C9C" w:rsidRPr="00E14102" w:rsidRDefault="00A45C9C" w:rsidP="00E14102">
      <w:pPr>
        <w:shd w:val="clear" w:color="auto" w:fill="FFFFFF"/>
        <w:jc w:val="both"/>
        <w:rPr>
          <w:color w:val="000000" w:themeColor="text1"/>
          <w:sz w:val="16"/>
          <w:szCs w:val="16"/>
        </w:rPr>
      </w:pPr>
      <w:r w:rsidRPr="00E14102">
        <w:rPr>
          <w:color w:val="000000" w:themeColor="text1"/>
          <w:sz w:val="16"/>
          <w:szCs w:val="16"/>
        </w:rPr>
        <w:t>24 мая 1935 г. состоялся первый перелив бензина с планера на самолет-буксировщик. Это произошло на высоте 1200 м, когда из планера Г-14 (планерист Кузьмин) за 15 минут перелили в буксировщик Р-5 (пилот Баранов) 150 кг бензина.</w:t>
      </w:r>
    </w:p>
    <w:p w14:paraId="2F805BBA" w14:textId="77777777" w:rsidR="00A45C9C" w:rsidRPr="00E14102" w:rsidRDefault="00A45C9C" w:rsidP="00E14102">
      <w:pPr>
        <w:shd w:val="clear" w:color="auto" w:fill="FFFFFF"/>
        <w:jc w:val="both"/>
        <w:rPr>
          <w:color w:val="000000" w:themeColor="text1"/>
          <w:sz w:val="16"/>
          <w:szCs w:val="16"/>
        </w:rPr>
      </w:pPr>
      <w:r w:rsidRPr="00E14102">
        <w:rPr>
          <w:color w:val="000000" w:themeColor="text1"/>
          <w:sz w:val="16"/>
          <w:szCs w:val="16"/>
        </w:rPr>
        <w:t>После этого было решено построить специальный вариант планера - Г-14 «Летающая цистерна» (Г-14 ЦЛ-2А). В связи с установкой дополнительных бензобаков и увеличением полетного веса до 780 кг заводские конструкторы произвели поверочный расчет прочности конструкции и на его основании усилили отдельные элементы планера.</w:t>
      </w:r>
    </w:p>
    <w:p w14:paraId="6A4BB7C6" w14:textId="77777777" w:rsidR="00A45C9C" w:rsidRPr="00E14102" w:rsidRDefault="00A45C9C" w:rsidP="00E14102">
      <w:pPr>
        <w:shd w:val="clear" w:color="auto" w:fill="FFFFFF"/>
        <w:jc w:val="both"/>
        <w:rPr>
          <w:color w:val="000000" w:themeColor="text1"/>
          <w:sz w:val="16"/>
          <w:szCs w:val="16"/>
        </w:rPr>
      </w:pPr>
      <w:r w:rsidRPr="00E14102">
        <w:rPr>
          <w:color w:val="000000" w:themeColor="text1"/>
          <w:sz w:val="16"/>
          <w:szCs w:val="16"/>
        </w:rPr>
        <w:t>Горючее разместили в пяти сварных алюминиевых баках: 4 - в корневых частях крыла (по два с каждой стороны) и один бак в фюзеляже на месте задней кабины. Общая емкость забираемого «Летающей цистерной» топлива составила 500 л. Баки с помощью системы трубопроводов и кранов соединялись с универсальным буксировочным замком. Буксирная связь представляла собой тонкий дюритовый шланг, по которому переливалось горючее. Внутри его пропустили трос, воспринимавший силовые нагрузки.</w:t>
      </w:r>
    </w:p>
    <w:p w14:paraId="75D61286" w14:textId="77777777" w:rsidR="00A45C9C" w:rsidRPr="00E14102" w:rsidRDefault="00A45C9C" w:rsidP="00E14102">
      <w:pPr>
        <w:shd w:val="clear" w:color="auto" w:fill="FFFFFF"/>
        <w:jc w:val="both"/>
        <w:rPr>
          <w:color w:val="000000" w:themeColor="text1"/>
          <w:sz w:val="16"/>
          <w:szCs w:val="16"/>
        </w:rPr>
      </w:pPr>
      <w:r w:rsidRPr="00E14102">
        <w:rPr>
          <w:color w:val="000000" w:themeColor="text1"/>
          <w:sz w:val="16"/>
          <w:szCs w:val="16"/>
        </w:rPr>
        <w:t>Осенью 1935 г. «воздушный поезд» в составе самолета П-5Л (пилот И.С.Баранов) и планера Г-14 ЦЛ-2А (пилот К.М.Венслав) совершил беспосадочный перелет, с переливом бензина в полете, из Москвы в Коктебель. Общая протяженность маршрута составили 1524 км, что соответствовало рекордному значению беспосадочной буксировки.</w:t>
      </w:r>
    </w:p>
    <w:p w14:paraId="30919897" w14:textId="77777777" w:rsidR="00A45C9C" w:rsidRPr="00E14102" w:rsidRDefault="00A45C9C" w:rsidP="00E14102">
      <w:pPr>
        <w:shd w:val="clear" w:color="auto" w:fill="FFFFFF"/>
        <w:jc w:val="both"/>
        <w:rPr>
          <w:color w:val="000000" w:themeColor="text1"/>
          <w:sz w:val="16"/>
          <w:szCs w:val="16"/>
        </w:rPr>
      </w:pPr>
      <w:r w:rsidRPr="00E14102">
        <w:rPr>
          <w:color w:val="000000" w:themeColor="text1"/>
          <w:sz w:val="16"/>
          <w:szCs w:val="16"/>
        </w:rPr>
        <w:t>Развивая идею ьысотной буксировки, впервые примененную на Г-9, инженер Щербаков предложил использовать метод «цепочки», когда один за другим буксируется несколько планеров, где каждый последующий летит выше предыдущего. Для отработки этого способа Щербаков использовал два планера Грибовского - Г-14 и Г-9. Первым за буксировщиком ТБ-1 шел Г-14, за ним Г-9.</w:t>
      </w:r>
    </w:p>
    <w:p w14:paraId="5C97A0B6" w14:textId="77777777" w:rsidR="00A45C9C" w:rsidRPr="00E14102" w:rsidRDefault="00A45C9C" w:rsidP="00E14102">
      <w:pPr>
        <w:shd w:val="clear" w:color="auto" w:fill="FFFFFF"/>
        <w:jc w:val="both"/>
        <w:rPr>
          <w:color w:val="000000" w:themeColor="text1"/>
          <w:sz w:val="16"/>
          <w:szCs w:val="16"/>
        </w:rPr>
      </w:pPr>
      <w:r w:rsidRPr="00E14102">
        <w:rPr>
          <w:color w:val="000000" w:themeColor="text1"/>
          <w:sz w:val="16"/>
          <w:szCs w:val="16"/>
        </w:rPr>
        <w:t>«Промежуточный» Г-14 доработали следующим образом. Переднюю кабину увеличили и закрыли прозрачным, откидываемым назад фонарем. В задней кабине установили барабан с длинным двухмиллиметровым тросом, разматываемым специальной лебедкой. Для безопасного выхода троса, с правой стороны фюзеляжа закрепили длинную трубу, доходящую до вертикального оперения.</w:t>
      </w:r>
    </w:p>
    <w:p w14:paraId="3FFD4760" w14:textId="77777777" w:rsidR="00A45C9C" w:rsidRPr="00E14102" w:rsidRDefault="00A45C9C" w:rsidP="00E14102">
      <w:pPr>
        <w:shd w:val="clear" w:color="auto" w:fill="FFFFFF"/>
        <w:jc w:val="both"/>
        <w:rPr>
          <w:color w:val="000000" w:themeColor="text1"/>
          <w:sz w:val="16"/>
          <w:szCs w:val="16"/>
        </w:rPr>
      </w:pPr>
      <w:r w:rsidRPr="00E14102">
        <w:rPr>
          <w:color w:val="000000" w:themeColor="text1"/>
          <w:sz w:val="16"/>
          <w:szCs w:val="16"/>
        </w:rPr>
        <w:t>Было выполнено много полетов «цепочки» в составе буксировщика ТБ-1, промежуточного звена Г-14 и замыкающего Г-9. В начале апреля 1936 г. зафиксировали следующие результаты: ТБ-1 летел на высоте 5000 м, Г-14 на 6000 м, а замыкающий Г-9 на 7000 м.</w:t>
      </w:r>
    </w:p>
    <w:p w14:paraId="72A7FEDF" w14:textId="77777777" w:rsidR="00A45C9C" w:rsidRPr="00E14102" w:rsidRDefault="00A45C9C" w:rsidP="00E14102">
      <w:pPr>
        <w:shd w:val="clear" w:color="auto" w:fill="FFFFFF"/>
        <w:jc w:val="both"/>
        <w:rPr>
          <w:color w:val="000000" w:themeColor="text1"/>
          <w:sz w:val="16"/>
          <w:szCs w:val="16"/>
        </w:rPr>
      </w:pPr>
      <w:r w:rsidRPr="00E14102">
        <w:rPr>
          <w:color w:val="000000" w:themeColor="text1"/>
          <w:sz w:val="16"/>
          <w:szCs w:val="16"/>
        </w:rPr>
        <w:lastRenderedPageBreak/>
        <w:t>Дальнейшие опыты было решено прекратить, так как высотные полеты в негерметичной планерной кабине оказались далеко не комфортными для пилотов. По предложению конструктора А.Я.Щербакова Г-14 для высотных полетов оборудовали гермокабиной, способной в значительной степени облегчить работу летчика в разреженной атмосфере.</w:t>
      </w:r>
    </w:p>
    <w:p w14:paraId="31E9986A" w14:textId="77777777" w:rsidR="00A45C9C" w:rsidRPr="00E14102" w:rsidRDefault="00A45C9C" w:rsidP="00E14102">
      <w:pPr>
        <w:shd w:val="clear" w:color="auto" w:fill="FFFFFF"/>
        <w:jc w:val="both"/>
        <w:rPr>
          <w:color w:val="000000" w:themeColor="text1"/>
          <w:sz w:val="16"/>
          <w:szCs w:val="16"/>
        </w:rPr>
      </w:pPr>
      <w:r w:rsidRPr="00E14102">
        <w:rPr>
          <w:color w:val="000000" w:themeColor="text1"/>
          <w:sz w:val="16"/>
          <w:szCs w:val="16"/>
        </w:rPr>
        <w:t>«Кабина» представляла собой эластичный кокон, выклеенный из прорезиненного перкаля по форме фигуры сидящего летчика. Сверху она закрывалась металлическим колпаком с иллюминаторами. Приборный щиток пилота находился вне кабины, в носовой части фюзеляжа.</w:t>
      </w:r>
    </w:p>
    <w:p w14:paraId="6988E775" w14:textId="77777777" w:rsidR="00A45C9C" w:rsidRPr="00E14102" w:rsidRDefault="00A45C9C" w:rsidP="00E14102">
      <w:pPr>
        <w:shd w:val="clear" w:color="auto" w:fill="FFFFFF"/>
        <w:jc w:val="both"/>
        <w:rPr>
          <w:color w:val="000000" w:themeColor="text1"/>
          <w:sz w:val="16"/>
          <w:szCs w:val="16"/>
        </w:rPr>
      </w:pPr>
      <w:r w:rsidRPr="00E14102">
        <w:rPr>
          <w:color w:val="000000" w:themeColor="text1"/>
          <w:sz w:val="16"/>
          <w:szCs w:val="16"/>
        </w:rPr>
        <w:t>Не известно доподлинно, являлся ли «высотный» Г-14 вновь построенным аппаратом, или его переделали из планера, входящего в состав «цепочки».</w:t>
      </w:r>
    </w:p>
    <w:p w14:paraId="4424623F" w14:textId="77777777" w:rsidR="00A45C9C" w:rsidRPr="00E14102" w:rsidRDefault="00A45C9C" w:rsidP="00E14102">
      <w:pPr>
        <w:shd w:val="clear" w:color="auto" w:fill="FFFFFF"/>
        <w:jc w:val="both"/>
        <w:rPr>
          <w:color w:val="000000" w:themeColor="text1"/>
          <w:sz w:val="16"/>
          <w:szCs w:val="16"/>
        </w:rPr>
      </w:pPr>
      <w:r w:rsidRPr="00E14102">
        <w:rPr>
          <w:color w:val="000000" w:themeColor="text1"/>
          <w:sz w:val="16"/>
          <w:szCs w:val="16"/>
        </w:rPr>
        <w:t>Кроме построенных образцов, в планах Грибовского имелся проект превращения Г-14 в мотопланер, в котором маломощный двигатель предполагалось разместить на пилоне над фюзеляжем.</w:t>
      </w:r>
    </w:p>
    <w:p w14:paraId="42D9F68F" w14:textId="77777777" w:rsidR="00A45C9C" w:rsidRPr="00E14102" w:rsidRDefault="00A45C9C" w:rsidP="00E14102">
      <w:pPr>
        <w:shd w:val="clear" w:color="auto" w:fill="FFFFFF"/>
        <w:jc w:val="both"/>
        <w:rPr>
          <w:color w:val="000000" w:themeColor="text1"/>
          <w:sz w:val="16"/>
          <w:szCs w:val="16"/>
        </w:rPr>
      </w:pPr>
      <w:r w:rsidRPr="00E14102">
        <w:rPr>
          <w:color w:val="000000" w:themeColor="text1"/>
          <w:sz w:val="16"/>
          <w:szCs w:val="16"/>
        </w:rPr>
        <w:t>Рассматривался Г-14 и в качестве ракетоплана для испытаний в воздухе жидкостного ракетного двигателя РДА-1-150 конструкции Л.С.Душкина и В.А.Штоколова (этот ЖРД испытали на ракетоплане РП-318, переоборудованном из планера СК-9 С.П.Королева).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1"/>
      </w:tblGrid>
      <w:tr w:rsidR="00E3599D" w:rsidRPr="00E14102" w14:paraId="2D60937E"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ED4A677" w14:textId="77777777" w:rsidR="00A45C9C" w:rsidRPr="00E14102" w:rsidRDefault="00A45C9C" w:rsidP="00E14102">
            <w:pPr>
              <w:jc w:val="both"/>
              <w:rPr>
                <w:color w:val="000000" w:themeColor="text1"/>
                <w:sz w:val="16"/>
                <w:szCs w:val="16"/>
              </w:rPr>
            </w:pPr>
            <w:r w:rsidRPr="00E14102">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F02E6E3" w14:textId="77777777" w:rsidR="00A45C9C" w:rsidRPr="00E14102" w:rsidRDefault="00A45C9C" w:rsidP="00E14102">
            <w:pPr>
              <w:jc w:val="both"/>
              <w:rPr>
                <w:color w:val="000000" w:themeColor="text1"/>
                <w:sz w:val="16"/>
                <w:szCs w:val="16"/>
              </w:rPr>
            </w:pPr>
            <w:r w:rsidRPr="00E14102">
              <w:rPr>
                <w:color w:val="000000" w:themeColor="text1"/>
                <w:sz w:val="16"/>
                <w:szCs w:val="16"/>
              </w:rPr>
              <w:t>  Г-14</w:t>
            </w:r>
          </w:p>
        </w:tc>
      </w:tr>
      <w:tr w:rsidR="00E3599D" w:rsidRPr="00E14102" w14:paraId="136AF71B"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071A85" w14:textId="77777777" w:rsidR="00A45C9C" w:rsidRPr="00E14102" w:rsidRDefault="00A45C9C" w:rsidP="00E14102">
            <w:pPr>
              <w:jc w:val="both"/>
              <w:rPr>
                <w:color w:val="000000" w:themeColor="text1"/>
                <w:sz w:val="16"/>
                <w:szCs w:val="16"/>
              </w:rPr>
            </w:pPr>
            <w:r w:rsidRPr="00E14102">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9140AD" w14:textId="77777777" w:rsidR="00A45C9C" w:rsidRPr="00E14102" w:rsidRDefault="00A45C9C" w:rsidP="00E14102">
            <w:pPr>
              <w:jc w:val="both"/>
              <w:rPr>
                <w:color w:val="000000" w:themeColor="text1"/>
                <w:sz w:val="16"/>
                <w:szCs w:val="16"/>
              </w:rPr>
            </w:pPr>
            <w:r w:rsidRPr="00E14102">
              <w:rPr>
                <w:color w:val="000000" w:themeColor="text1"/>
                <w:sz w:val="16"/>
                <w:szCs w:val="16"/>
              </w:rPr>
              <w:t>  15.00</w:t>
            </w:r>
          </w:p>
        </w:tc>
      </w:tr>
      <w:tr w:rsidR="00E3599D" w:rsidRPr="00E14102" w14:paraId="698CB2DC"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967A83" w14:textId="77777777" w:rsidR="00A45C9C" w:rsidRPr="00E14102" w:rsidRDefault="00A45C9C" w:rsidP="00E14102">
            <w:pPr>
              <w:jc w:val="both"/>
              <w:rPr>
                <w:color w:val="000000" w:themeColor="text1"/>
                <w:sz w:val="16"/>
                <w:szCs w:val="16"/>
              </w:rPr>
            </w:pPr>
            <w:r w:rsidRPr="00E14102">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E6B3CD" w14:textId="77777777" w:rsidR="00A45C9C" w:rsidRPr="00E14102" w:rsidRDefault="00A45C9C" w:rsidP="00E14102">
            <w:pPr>
              <w:jc w:val="both"/>
              <w:rPr>
                <w:color w:val="000000" w:themeColor="text1"/>
                <w:sz w:val="16"/>
                <w:szCs w:val="16"/>
              </w:rPr>
            </w:pPr>
            <w:r w:rsidRPr="00E14102">
              <w:rPr>
                <w:color w:val="000000" w:themeColor="text1"/>
                <w:sz w:val="16"/>
                <w:szCs w:val="16"/>
              </w:rPr>
              <w:t>  7.80</w:t>
            </w:r>
          </w:p>
        </w:tc>
      </w:tr>
      <w:tr w:rsidR="00E3599D" w:rsidRPr="00E14102" w14:paraId="3F498F4E"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5B697A2" w14:textId="77777777" w:rsidR="00A45C9C" w:rsidRPr="00E14102" w:rsidRDefault="00A45C9C" w:rsidP="00E14102">
            <w:pPr>
              <w:jc w:val="both"/>
              <w:rPr>
                <w:color w:val="000000" w:themeColor="text1"/>
                <w:sz w:val="16"/>
                <w:szCs w:val="16"/>
              </w:rPr>
            </w:pPr>
            <w:r w:rsidRPr="00E14102">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E40967" w14:textId="77777777" w:rsidR="00A45C9C" w:rsidRPr="00E14102" w:rsidRDefault="00A45C9C" w:rsidP="00E14102">
            <w:pPr>
              <w:jc w:val="both"/>
              <w:rPr>
                <w:color w:val="000000" w:themeColor="text1"/>
                <w:sz w:val="16"/>
                <w:szCs w:val="16"/>
              </w:rPr>
            </w:pPr>
            <w:r w:rsidRPr="00E14102">
              <w:rPr>
                <w:color w:val="000000" w:themeColor="text1"/>
                <w:sz w:val="16"/>
                <w:szCs w:val="16"/>
              </w:rPr>
              <w:t>  1.35</w:t>
            </w:r>
          </w:p>
        </w:tc>
      </w:tr>
      <w:tr w:rsidR="00E3599D" w:rsidRPr="00E14102" w14:paraId="1052F5BB"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0B89D8" w14:textId="77777777" w:rsidR="00A45C9C" w:rsidRPr="00E14102" w:rsidRDefault="00A45C9C" w:rsidP="00E14102">
            <w:pPr>
              <w:jc w:val="both"/>
              <w:rPr>
                <w:color w:val="000000" w:themeColor="text1"/>
                <w:sz w:val="16"/>
                <w:szCs w:val="16"/>
              </w:rPr>
            </w:pPr>
            <w:r w:rsidRPr="00E14102">
              <w:rPr>
                <w:color w:val="000000" w:themeColor="text1"/>
                <w:sz w:val="16"/>
                <w:szCs w:val="16"/>
              </w:rPr>
              <w:t>Площадь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9B3C32A" w14:textId="77777777" w:rsidR="00A45C9C" w:rsidRPr="00E14102" w:rsidRDefault="00A45C9C" w:rsidP="00E14102">
            <w:pPr>
              <w:jc w:val="both"/>
              <w:rPr>
                <w:color w:val="000000" w:themeColor="text1"/>
                <w:sz w:val="16"/>
                <w:szCs w:val="16"/>
              </w:rPr>
            </w:pPr>
            <w:r w:rsidRPr="00E14102">
              <w:rPr>
                <w:color w:val="000000" w:themeColor="text1"/>
                <w:sz w:val="16"/>
                <w:szCs w:val="16"/>
              </w:rPr>
              <w:t>  18.00</w:t>
            </w:r>
          </w:p>
        </w:tc>
      </w:tr>
      <w:tr w:rsidR="00E3599D" w:rsidRPr="00E14102" w14:paraId="59040EDA"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A9C7BF" w14:textId="77777777" w:rsidR="00A45C9C" w:rsidRPr="00E14102" w:rsidRDefault="00A45C9C" w:rsidP="00E14102">
            <w:pPr>
              <w:jc w:val="both"/>
              <w:rPr>
                <w:color w:val="000000" w:themeColor="text1"/>
                <w:sz w:val="16"/>
                <w:szCs w:val="16"/>
              </w:rPr>
            </w:pPr>
            <w:r w:rsidRPr="00E14102">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60C8CB" w14:textId="77777777" w:rsidR="00A45C9C" w:rsidRPr="00E14102" w:rsidRDefault="00A45C9C" w:rsidP="00E14102">
            <w:pPr>
              <w:jc w:val="both"/>
              <w:rPr>
                <w:color w:val="000000" w:themeColor="text1"/>
                <w:sz w:val="16"/>
                <w:szCs w:val="16"/>
              </w:rPr>
            </w:pPr>
            <w:r w:rsidRPr="00E14102">
              <w:rPr>
                <w:color w:val="000000" w:themeColor="text1"/>
                <w:sz w:val="16"/>
                <w:szCs w:val="16"/>
              </w:rPr>
              <w:t> </w:t>
            </w:r>
          </w:p>
        </w:tc>
      </w:tr>
      <w:tr w:rsidR="00E3599D" w:rsidRPr="00E14102" w14:paraId="37DB298F"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BAABBF" w14:textId="77777777" w:rsidR="00A45C9C" w:rsidRPr="00E14102" w:rsidRDefault="00A45C9C" w:rsidP="00E14102">
            <w:pPr>
              <w:jc w:val="both"/>
              <w:rPr>
                <w:color w:val="000000" w:themeColor="text1"/>
                <w:sz w:val="16"/>
                <w:szCs w:val="16"/>
              </w:rPr>
            </w:pPr>
            <w:r w:rsidRPr="00E14102">
              <w:rPr>
                <w:color w:val="000000" w:themeColor="text1"/>
                <w:sz w:val="16"/>
                <w:szCs w:val="16"/>
              </w:rPr>
              <w:t>  пустого снаряженного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5B7D1B" w14:textId="77777777" w:rsidR="00A45C9C" w:rsidRPr="00E14102" w:rsidRDefault="00A45C9C" w:rsidP="00E14102">
            <w:pPr>
              <w:jc w:val="both"/>
              <w:rPr>
                <w:color w:val="000000" w:themeColor="text1"/>
                <w:sz w:val="16"/>
                <w:szCs w:val="16"/>
              </w:rPr>
            </w:pPr>
            <w:r w:rsidRPr="00E14102">
              <w:rPr>
                <w:color w:val="000000" w:themeColor="text1"/>
                <w:sz w:val="16"/>
                <w:szCs w:val="16"/>
              </w:rPr>
              <w:t>  261</w:t>
            </w:r>
          </w:p>
        </w:tc>
      </w:tr>
      <w:tr w:rsidR="00E3599D" w:rsidRPr="00E14102" w14:paraId="7D2A609F"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D627FE" w14:textId="77777777" w:rsidR="00A45C9C" w:rsidRPr="00E14102" w:rsidRDefault="00A45C9C" w:rsidP="00E14102">
            <w:pPr>
              <w:jc w:val="both"/>
              <w:rPr>
                <w:color w:val="000000" w:themeColor="text1"/>
                <w:sz w:val="16"/>
                <w:szCs w:val="16"/>
              </w:rPr>
            </w:pPr>
            <w:r w:rsidRPr="00E14102">
              <w:rPr>
                <w:color w:val="000000" w:themeColor="text1"/>
                <w:sz w:val="16"/>
                <w:szCs w:val="16"/>
              </w:rPr>
              <w:t>  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BC91B55" w14:textId="77777777" w:rsidR="00A45C9C" w:rsidRPr="00E14102" w:rsidRDefault="00A45C9C" w:rsidP="00E14102">
            <w:pPr>
              <w:jc w:val="both"/>
              <w:rPr>
                <w:color w:val="000000" w:themeColor="text1"/>
                <w:sz w:val="16"/>
                <w:szCs w:val="16"/>
              </w:rPr>
            </w:pPr>
            <w:r w:rsidRPr="00E14102">
              <w:rPr>
                <w:color w:val="000000" w:themeColor="text1"/>
                <w:sz w:val="16"/>
                <w:szCs w:val="16"/>
              </w:rPr>
              <w:t> </w:t>
            </w:r>
          </w:p>
        </w:tc>
      </w:tr>
      <w:tr w:rsidR="00E3599D" w:rsidRPr="00E14102" w14:paraId="7DE16A25"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C99E4F" w14:textId="77777777" w:rsidR="00A45C9C" w:rsidRPr="00E14102" w:rsidRDefault="00A45C9C" w:rsidP="00E14102">
            <w:pPr>
              <w:jc w:val="both"/>
              <w:rPr>
                <w:color w:val="000000" w:themeColor="text1"/>
                <w:sz w:val="16"/>
                <w:szCs w:val="16"/>
              </w:rPr>
            </w:pPr>
            <w:r w:rsidRPr="00E14102">
              <w:rPr>
                <w:color w:val="000000" w:themeColor="text1"/>
                <w:sz w:val="16"/>
                <w:szCs w:val="16"/>
              </w:rPr>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ACB21EE" w14:textId="77777777" w:rsidR="00A45C9C" w:rsidRPr="00E14102" w:rsidRDefault="00A45C9C" w:rsidP="00E14102">
            <w:pPr>
              <w:jc w:val="both"/>
              <w:rPr>
                <w:color w:val="000000" w:themeColor="text1"/>
                <w:sz w:val="16"/>
                <w:szCs w:val="16"/>
              </w:rPr>
            </w:pPr>
            <w:r w:rsidRPr="00E14102">
              <w:rPr>
                <w:color w:val="000000" w:themeColor="text1"/>
                <w:sz w:val="16"/>
                <w:szCs w:val="16"/>
              </w:rPr>
              <w:t>  15</w:t>
            </w:r>
          </w:p>
        </w:tc>
      </w:tr>
      <w:tr w:rsidR="00E3599D" w:rsidRPr="00E14102" w14:paraId="2BF5FB52"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BB2009B" w14:textId="77777777" w:rsidR="00A45C9C" w:rsidRPr="00E14102" w:rsidRDefault="00A45C9C" w:rsidP="00E14102">
            <w:pPr>
              <w:jc w:val="both"/>
              <w:rPr>
                <w:color w:val="000000" w:themeColor="text1"/>
                <w:sz w:val="16"/>
                <w:szCs w:val="16"/>
              </w:rPr>
            </w:pPr>
            <w:r w:rsidRPr="00E14102">
              <w:rPr>
                <w:color w:val="000000" w:themeColor="text1"/>
                <w:sz w:val="16"/>
                <w:szCs w:val="16"/>
              </w:rPr>
              <w:t>Минимальная скорость снижения, м/с</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6CE1B32" w14:textId="77777777" w:rsidR="00A45C9C" w:rsidRPr="00E14102" w:rsidRDefault="00A45C9C" w:rsidP="00E14102">
            <w:pPr>
              <w:jc w:val="both"/>
              <w:rPr>
                <w:color w:val="000000" w:themeColor="text1"/>
                <w:sz w:val="16"/>
                <w:szCs w:val="16"/>
              </w:rPr>
            </w:pPr>
            <w:r w:rsidRPr="00E14102">
              <w:rPr>
                <w:color w:val="000000" w:themeColor="text1"/>
                <w:sz w:val="16"/>
                <w:szCs w:val="16"/>
              </w:rPr>
              <w:t>  1.06</w:t>
            </w:r>
          </w:p>
        </w:tc>
      </w:tr>
      <w:tr w:rsidR="00E3599D" w:rsidRPr="00E14102" w14:paraId="2F7D2068"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6B74E6F" w14:textId="77777777" w:rsidR="00A45C9C" w:rsidRPr="00E14102" w:rsidRDefault="00A45C9C" w:rsidP="00E14102">
            <w:pPr>
              <w:jc w:val="both"/>
              <w:rPr>
                <w:color w:val="000000" w:themeColor="text1"/>
                <w:sz w:val="16"/>
                <w:szCs w:val="16"/>
              </w:rPr>
            </w:pPr>
            <w:r w:rsidRPr="00E14102">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48C368" w14:textId="77777777" w:rsidR="00A45C9C" w:rsidRPr="00E14102" w:rsidRDefault="00A45C9C" w:rsidP="00E14102">
            <w:pPr>
              <w:jc w:val="both"/>
              <w:rPr>
                <w:color w:val="000000" w:themeColor="text1"/>
                <w:sz w:val="16"/>
                <w:szCs w:val="16"/>
              </w:rPr>
            </w:pPr>
            <w:r w:rsidRPr="00E14102">
              <w:rPr>
                <w:color w:val="000000" w:themeColor="text1"/>
                <w:sz w:val="16"/>
                <w:szCs w:val="16"/>
              </w:rPr>
              <w:t>  2</w:t>
            </w:r>
          </w:p>
        </w:tc>
      </w:tr>
    </w:tbl>
    <w:p w14:paraId="6E511563" w14:textId="77777777" w:rsidR="00A45C9C" w:rsidRPr="00E14102" w:rsidRDefault="00A45C9C" w:rsidP="00E14102">
      <w:pPr>
        <w:pBdr>
          <w:bottom w:val="single" w:sz="6" w:space="2" w:color="EBEBEB"/>
        </w:pBdr>
        <w:shd w:val="clear" w:color="auto" w:fill="FFFFFF"/>
        <w:jc w:val="both"/>
        <w:rPr>
          <w:color w:val="000000" w:themeColor="text1"/>
          <w:sz w:val="16"/>
          <w:szCs w:val="16"/>
        </w:rPr>
      </w:pPr>
      <w:r w:rsidRPr="00E14102">
        <w:rPr>
          <w:color w:val="000000" w:themeColor="text1"/>
          <w:sz w:val="16"/>
          <w:szCs w:val="16"/>
        </w:rPr>
        <w:t>(12682).</w:t>
      </w:r>
    </w:p>
    <w:p w14:paraId="37AE6E7A" w14:textId="77777777" w:rsidR="00A45C9C" w:rsidRPr="00E14102" w:rsidRDefault="00A45C9C" w:rsidP="00E14102">
      <w:pPr>
        <w:pBdr>
          <w:bottom w:val="single" w:sz="6" w:space="2" w:color="EBEBEB"/>
        </w:pBdr>
        <w:shd w:val="clear" w:color="auto" w:fill="FFFFFF"/>
        <w:jc w:val="both"/>
        <w:rPr>
          <w:color w:val="000000" w:themeColor="text1"/>
          <w:sz w:val="16"/>
          <w:szCs w:val="16"/>
        </w:rPr>
      </w:pPr>
    </w:p>
    <w:p w14:paraId="39D10D5F" w14:textId="77777777" w:rsidR="002F6502" w:rsidRPr="00E14102" w:rsidRDefault="002F6502" w:rsidP="00E14102">
      <w:pPr>
        <w:jc w:val="both"/>
        <w:rPr>
          <w:color w:val="000000" w:themeColor="text1"/>
          <w:sz w:val="16"/>
          <w:szCs w:val="16"/>
        </w:rPr>
      </w:pPr>
      <w:r w:rsidRPr="00E14102">
        <w:rPr>
          <w:bCs/>
          <w:color w:val="000000" w:themeColor="text1"/>
          <w:sz w:val="16"/>
          <w:szCs w:val="16"/>
        </w:rPr>
        <w:t>24 мая</w:t>
      </w:r>
      <w:r w:rsidRPr="00E14102">
        <w:rPr>
          <w:color w:val="000000" w:themeColor="text1"/>
          <w:sz w:val="16"/>
          <w:szCs w:val="16"/>
        </w:rPr>
        <w:t xml:space="preserve"> в 1935 году состоялся первый перелив бензина с планера на самолет-буксировщик. Это произошло на высоте 1200 м, когда из планера </w:t>
      </w:r>
      <w:hyperlink r:id="rId108" w:tgtFrame="_blank" w:history="1">
        <w:r w:rsidRPr="00E14102">
          <w:rPr>
            <w:color w:val="000000" w:themeColor="text1"/>
            <w:sz w:val="16"/>
            <w:szCs w:val="16"/>
          </w:rPr>
          <w:t xml:space="preserve">«Г-14» </w:t>
        </w:r>
      </w:hyperlink>
      <w:r w:rsidRPr="00E14102">
        <w:rPr>
          <w:color w:val="000000" w:themeColor="text1"/>
          <w:sz w:val="16"/>
          <w:szCs w:val="16"/>
        </w:rPr>
        <w:t>(планерист Кузьмин) за 15 минут перелили в буксировщик «Р-5» (пилот Баранов) 150 кг бензина. После этого было решено построить специальный вариант планера – «Г-124 2Летающая цистерна» («Г-14» «ЦЛ-2А»). В связи с установкой дополнительных бензобаков и увеличением полетного веса до 780 кг заводские конструкторы произвели поверочный расчет прочности конструкции и на его основании усилили отдельные элементы планера. Горючее разместили в пяти сварных алюминиевых баках: 4 - в корневых частях крыла (по два с каждой стороны) и один бак в фюзеляже на месте задней кабины. Общая емкость забираемого "Летающей цистерной" топлива составила 500 л. Баки с помощью системы трубопроводов и кранов соединялись с универсальным буксировочным замком. Буксирная связь представляла собой тонкий дюритовый шланг, по которому переливалось горючее. Внутри его пропустили трос, воспринимавший силовые нагрузки (14901).</w:t>
      </w:r>
    </w:p>
    <w:p w14:paraId="23FAC131" w14:textId="77777777" w:rsidR="002F6502" w:rsidRPr="00E14102" w:rsidRDefault="002F6502" w:rsidP="00E14102">
      <w:pPr>
        <w:jc w:val="both"/>
        <w:rPr>
          <w:color w:val="000000" w:themeColor="text1"/>
          <w:sz w:val="16"/>
          <w:szCs w:val="16"/>
        </w:rPr>
      </w:pPr>
    </w:p>
    <w:p w14:paraId="65D239CF" w14:textId="77777777" w:rsidR="002F650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D009F34" w14:textId="77777777" w:rsidR="002F6502" w:rsidRPr="00E14102" w:rsidRDefault="002F6502" w:rsidP="00E14102">
      <w:pPr>
        <w:autoSpaceDE w:val="0"/>
        <w:autoSpaceDN w:val="0"/>
        <w:adjustRightInd w:val="0"/>
        <w:jc w:val="both"/>
        <w:rPr>
          <w:iCs/>
          <w:color w:val="000000" w:themeColor="text1"/>
          <w:sz w:val="16"/>
          <w:szCs w:val="16"/>
        </w:rPr>
      </w:pPr>
    </w:p>
    <w:p w14:paraId="2BE86209" w14:textId="77777777" w:rsidR="002F6502" w:rsidRPr="00E14102" w:rsidRDefault="002F6502" w:rsidP="00E14102">
      <w:pPr>
        <w:pStyle w:val="rtejustify"/>
        <w:spacing w:before="0" w:after="0"/>
        <w:rPr>
          <w:color w:val="000000" w:themeColor="text1"/>
          <w:sz w:val="16"/>
          <w:szCs w:val="16"/>
        </w:rPr>
      </w:pPr>
      <w:r w:rsidRPr="00E14102">
        <w:rPr>
          <w:rStyle w:val="a6"/>
          <w:bCs/>
          <w:i w:val="0"/>
          <w:color w:val="000000" w:themeColor="text1"/>
          <w:sz w:val="16"/>
          <w:szCs w:val="16"/>
        </w:rPr>
        <w:t>25 мая</w:t>
      </w:r>
      <w:r w:rsidRPr="00E14102">
        <w:rPr>
          <w:color w:val="000000" w:themeColor="text1"/>
          <w:sz w:val="16"/>
          <w:szCs w:val="16"/>
        </w:rPr>
        <w:t xml:space="preserve"> 1935. Постановление СНК СССР № 989 «О дополнении постановления СНК СССР от 3 сентября 1934 г. о прекращении беспроектного и бессметного строительства». (СЗ. 1935 № 33. Ст. 285.) (15460)</w:t>
      </w:r>
    </w:p>
    <w:p w14:paraId="0D05CC70" w14:textId="77777777" w:rsidR="002F6502" w:rsidRPr="00E14102" w:rsidRDefault="002F6502" w:rsidP="00E14102">
      <w:pPr>
        <w:pStyle w:val="rtejustify"/>
        <w:spacing w:before="0" w:after="0"/>
        <w:rPr>
          <w:color w:val="000000" w:themeColor="text1"/>
          <w:sz w:val="16"/>
          <w:szCs w:val="16"/>
        </w:rPr>
      </w:pPr>
    </w:p>
    <w:p w14:paraId="32809E02" w14:textId="77777777" w:rsidR="002F6502" w:rsidRPr="00E14102" w:rsidRDefault="002F6502" w:rsidP="00E14102">
      <w:pPr>
        <w:pStyle w:val="rtejustify"/>
        <w:spacing w:before="0" w:after="0"/>
        <w:rPr>
          <w:color w:val="000000" w:themeColor="text1"/>
          <w:sz w:val="16"/>
          <w:szCs w:val="16"/>
        </w:rPr>
      </w:pPr>
      <w:r w:rsidRPr="00E14102">
        <w:rPr>
          <w:rStyle w:val="a6"/>
          <w:bCs/>
          <w:i w:val="0"/>
          <w:color w:val="000000" w:themeColor="text1"/>
          <w:sz w:val="16"/>
          <w:szCs w:val="16"/>
        </w:rPr>
        <w:t>25 мая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63сс «Об утверждении титульного списка и плана ввода в эксплуатацию объектов оборонного строительства по спецплану Наркомвода на 1935 г.». (ГА РФ. Ф. Р</w:t>
      </w:r>
      <w:r w:rsidRPr="00E14102">
        <w:rPr>
          <w:color w:val="000000" w:themeColor="text1"/>
          <w:sz w:val="16"/>
          <w:szCs w:val="16"/>
        </w:rPr>
        <w:noBreakHyphen/>
        <w:t>8418. Оп. 28. Д. 6. Л. 192</w:t>
      </w:r>
      <w:r w:rsidRPr="00E14102">
        <w:rPr>
          <w:color w:val="000000" w:themeColor="text1"/>
          <w:sz w:val="16"/>
          <w:szCs w:val="16"/>
        </w:rPr>
        <w:noBreakHyphen/>
        <w:t>199) (15460).</w:t>
      </w:r>
    </w:p>
    <w:p w14:paraId="0B3A8AD9" w14:textId="77777777" w:rsidR="002F6502" w:rsidRPr="00E14102" w:rsidRDefault="002F6502" w:rsidP="00E14102">
      <w:pPr>
        <w:pStyle w:val="rtejustify"/>
        <w:spacing w:before="0" w:after="0"/>
        <w:rPr>
          <w:color w:val="000000" w:themeColor="text1"/>
          <w:sz w:val="16"/>
          <w:szCs w:val="16"/>
        </w:rPr>
      </w:pPr>
    </w:p>
    <w:p w14:paraId="5FED4B5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D6F743D" w14:textId="77777777" w:rsidR="00D4105E" w:rsidRPr="00E14102" w:rsidRDefault="00D4105E" w:rsidP="00E14102">
      <w:pPr>
        <w:autoSpaceDE w:val="0"/>
        <w:autoSpaceDN w:val="0"/>
        <w:adjustRightInd w:val="0"/>
        <w:jc w:val="both"/>
        <w:rPr>
          <w:iCs/>
          <w:color w:val="000000" w:themeColor="text1"/>
          <w:sz w:val="16"/>
          <w:szCs w:val="16"/>
        </w:rPr>
      </w:pPr>
    </w:p>
    <w:p w14:paraId="27CB0D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мая 1935 было распущено Общество старых большевиков (1348,120).</w:t>
      </w:r>
    </w:p>
    <w:p w14:paraId="33DC0E97" w14:textId="77777777" w:rsidR="00D4105E" w:rsidRPr="00E14102" w:rsidRDefault="00D4105E" w:rsidP="00E14102">
      <w:pPr>
        <w:autoSpaceDE w:val="0"/>
        <w:autoSpaceDN w:val="0"/>
        <w:adjustRightInd w:val="0"/>
        <w:jc w:val="both"/>
        <w:rPr>
          <w:color w:val="000000" w:themeColor="text1"/>
          <w:sz w:val="16"/>
          <w:szCs w:val="16"/>
        </w:rPr>
      </w:pPr>
    </w:p>
    <w:p w14:paraId="1C28906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мая 1935 было распущено Общество старых большевиков, выступавшее против арестов “оппозиционеров” (4962).</w:t>
      </w:r>
    </w:p>
    <w:p w14:paraId="5B384ED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A35EB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мая 1935 года приказом наркома внутренних дел права Особого совещания распространялись на "тройки", образуемые в наркоматах и управлениях НКВД республик, краёв и областей. Таким образом, внесудебные репрессии, полностью разрушающие гарантии прав обвиняемого, были возведены в ранг юридических норм (9492).</w:t>
      </w:r>
    </w:p>
    <w:p w14:paraId="2187DE45" w14:textId="77777777" w:rsidR="00D4105E" w:rsidRPr="00E14102" w:rsidRDefault="00D4105E" w:rsidP="00E14102">
      <w:pPr>
        <w:autoSpaceDE w:val="0"/>
        <w:autoSpaceDN w:val="0"/>
        <w:adjustRightInd w:val="0"/>
        <w:jc w:val="both"/>
        <w:rPr>
          <w:color w:val="000000" w:themeColor="text1"/>
          <w:sz w:val="16"/>
          <w:szCs w:val="16"/>
        </w:rPr>
      </w:pPr>
    </w:p>
    <w:p w14:paraId="7466B08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28F962C" w14:textId="77777777" w:rsidR="00D4105E" w:rsidRPr="00E14102" w:rsidRDefault="00D4105E" w:rsidP="00E14102">
      <w:pPr>
        <w:autoSpaceDE w:val="0"/>
        <w:autoSpaceDN w:val="0"/>
        <w:adjustRightInd w:val="0"/>
        <w:jc w:val="both"/>
        <w:rPr>
          <w:iCs/>
          <w:color w:val="000000" w:themeColor="text1"/>
          <w:sz w:val="16"/>
          <w:szCs w:val="16"/>
        </w:rPr>
      </w:pPr>
    </w:p>
    <w:p w14:paraId="7980C928" w14:textId="77777777" w:rsidR="002F6502" w:rsidRPr="00E14102" w:rsidRDefault="002F6502" w:rsidP="00E14102">
      <w:pPr>
        <w:jc w:val="both"/>
        <w:rPr>
          <w:color w:val="000000" w:themeColor="text1"/>
          <w:sz w:val="16"/>
          <w:szCs w:val="16"/>
        </w:rPr>
      </w:pPr>
      <w:r w:rsidRPr="00E14102">
        <w:rPr>
          <w:bCs/>
          <w:color w:val="000000" w:themeColor="text1"/>
          <w:sz w:val="16"/>
          <w:szCs w:val="16"/>
        </w:rPr>
        <w:t>25 мая</w:t>
      </w:r>
      <w:r w:rsidRPr="00E14102">
        <w:rPr>
          <w:color w:val="000000" w:themeColor="text1"/>
          <w:sz w:val="16"/>
          <w:szCs w:val="16"/>
        </w:rPr>
        <w:t xml:space="preserve"> в 1935 году впервые поднялся в воздух «FK-51» - учебно-тренировочный самолет, биплан «Kollhoven» «FK-51» (его другие обозначения «Z-1», «PH-AJH») для первоначального обучения разработанный голландским конструктором Фредериком Кулховеном. Он был спроектирован под двигатели мощностью от 250 л.с. до 500 л.с. Самолет разрабатывался по спецификации выданной Королевскими голландскими ВВС в 1934 году. Его шасси с раздельными стойками имело широкую колею и подходило для грубых посадок, что неизбежно при обучении пилотов (14902).</w:t>
      </w:r>
    </w:p>
    <w:p w14:paraId="5CB2060E" w14:textId="77777777" w:rsidR="002F6502" w:rsidRPr="00E14102" w:rsidRDefault="002F6502" w:rsidP="00E14102">
      <w:pPr>
        <w:jc w:val="both"/>
        <w:rPr>
          <w:color w:val="000000" w:themeColor="text1"/>
          <w:sz w:val="16"/>
          <w:szCs w:val="16"/>
        </w:rPr>
      </w:pPr>
    </w:p>
    <w:p w14:paraId="349F311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мая 1935 в Энн-Арбор (Мичиган) американский атлет Джесси Оуэнс побил и повторил шесть мировых рекордов (4962).</w:t>
      </w:r>
    </w:p>
    <w:p w14:paraId="5A2BD9D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F50B85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6BCB407" w14:textId="77777777" w:rsidR="00D4105E" w:rsidRPr="00E14102" w:rsidRDefault="00D4105E" w:rsidP="00E14102">
      <w:pPr>
        <w:autoSpaceDE w:val="0"/>
        <w:autoSpaceDN w:val="0"/>
        <w:adjustRightInd w:val="0"/>
        <w:jc w:val="both"/>
        <w:rPr>
          <w:iCs/>
          <w:color w:val="000000" w:themeColor="text1"/>
          <w:sz w:val="16"/>
          <w:szCs w:val="16"/>
        </w:rPr>
      </w:pPr>
    </w:p>
    <w:p w14:paraId="005342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мая 1935 была подготовлена справка N 1325с (вход. 8041 от 27 мая) по состоянию работы по подготовке РД к перелету (2343).</w:t>
      </w:r>
    </w:p>
    <w:p w14:paraId="1539F035" w14:textId="77777777" w:rsidR="00D4105E" w:rsidRPr="00E14102" w:rsidRDefault="00D4105E" w:rsidP="00E14102">
      <w:pPr>
        <w:autoSpaceDE w:val="0"/>
        <w:autoSpaceDN w:val="0"/>
        <w:adjustRightInd w:val="0"/>
        <w:jc w:val="both"/>
        <w:rPr>
          <w:color w:val="000000" w:themeColor="text1"/>
          <w:sz w:val="16"/>
          <w:szCs w:val="16"/>
        </w:rPr>
      </w:pPr>
    </w:p>
    <w:p w14:paraId="6AC0F0C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6E0F99C" w14:textId="77777777" w:rsidR="00D4105E" w:rsidRPr="00E14102" w:rsidRDefault="00D4105E" w:rsidP="00E14102">
      <w:pPr>
        <w:autoSpaceDE w:val="0"/>
        <w:autoSpaceDN w:val="0"/>
        <w:adjustRightInd w:val="0"/>
        <w:jc w:val="both"/>
        <w:rPr>
          <w:iCs/>
          <w:color w:val="000000" w:themeColor="text1"/>
          <w:sz w:val="16"/>
          <w:szCs w:val="16"/>
        </w:rPr>
      </w:pPr>
    </w:p>
    <w:p w14:paraId="7FD485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26 мая 1935 на полигоне в Софрино прошел третий и последний этап испытания БТ-5, вооруженного РС-132 в присутствии представителей АБТУ. Успешно запустили четыре фугасных и два агитационных снаряда. Опыты продолжали до февраля 1936, но несмотря на положительные результаты АБТУ отказалось даже принять участие в дальнейших испытаниях (3880,15).</w:t>
      </w:r>
    </w:p>
    <w:p w14:paraId="17002F98" w14:textId="77777777" w:rsidR="00D4105E" w:rsidRPr="00E14102" w:rsidRDefault="00D4105E" w:rsidP="00E14102">
      <w:pPr>
        <w:autoSpaceDE w:val="0"/>
        <w:autoSpaceDN w:val="0"/>
        <w:adjustRightInd w:val="0"/>
        <w:jc w:val="both"/>
        <w:rPr>
          <w:color w:val="000000" w:themeColor="text1"/>
          <w:sz w:val="16"/>
          <w:szCs w:val="16"/>
        </w:rPr>
      </w:pPr>
    </w:p>
    <w:p w14:paraId="7D2E89CB" w14:textId="77777777" w:rsidR="002F6502" w:rsidRPr="00E14102" w:rsidRDefault="002F6502" w:rsidP="00E14102">
      <w:pPr>
        <w:jc w:val="both"/>
        <w:rPr>
          <w:color w:val="000000" w:themeColor="text1"/>
          <w:sz w:val="16"/>
          <w:szCs w:val="16"/>
        </w:rPr>
      </w:pPr>
      <w:r w:rsidRPr="00E14102">
        <w:rPr>
          <w:color w:val="000000" w:themeColor="text1"/>
          <w:sz w:val="16"/>
          <w:szCs w:val="16"/>
        </w:rPr>
        <w:t xml:space="preserve">26 мая 1935 г. был проведен третий, заключительный, этап испытаний на первом этапе испытаний экспериментальной установки 132-мм РС (ракет) на </w:t>
      </w:r>
      <w:hyperlink r:id="rId109" w:tgtFrame="_blank" w:history="1">
        <w:r w:rsidRPr="00E14102">
          <w:rPr>
            <w:color w:val="000000" w:themeColor="text1"/>
            <w:sz w:val="16"/>
            <w:szCs w:val="16"/>
          </w:rPr>
          <w:t>танк</w:t>
        </w:r>
      </w:hyperlink>
      <w:r w:rsidRPr="00E14102">
        <w:rPr>
          <w:color w:val="000000" w:themeColor="text1"/>
          <w:sz w:val="16"/>
          <w:szCs w:val="16"/>
        </w:rPr>
        <w:t>е БТ-5 на артиллерийском полигоне вблизи станции Софрино. В присутствии представителей АБТУ РККА — начальника 5-го отдела Андреева и инженера 7-го отдела Ряузова, а также начальника 1-го отдела РНИИ Победоносцева был осуществлен успешный пуск четырех фугасных и двух агитационных реактивных снарядов.</w:t>
      </w:r>
    </w:p>
    <w:p w14:paraId="7D693E0F" w14:textId="77777777" w:rsidR="002F6502" w:rsidRPr="00E14102" w:rsidRDefault="002F6502" w:rsidP="00E14102">
      <w:pPr>
        <w:jc w:val="both"/>
        <w:rPr>
          <w:color w:val="000000" w:themeColor="text1"/>
          <w:sz w:val="16"/>
          <w:szCs w:val="16"/>
        </w:rPr>
      </w:pPr>
      <w:r w:rsidRPr="00E14102">
        <w:rPr>
          <w:color w:val="000000" w:themeColor="text1"/>
          <w:sz w:val="16"/>
          <w:szCs w:val="16"/>
        </w:rPr>
        <w:t xml:space="preserve">Испытания показали, что стрельба реактивными снарядами с </w:t>
      </w:r>
      <w:hyperlink r:id="rId110" w:tgtFrame="_blank" w:history="1">
        <w:r w:rsidRPr="00E14102">
          <w:rPr>
            <w:color w:val="000000" w:themeColor="text1"/>
            <w:sz w:val="16"/>
            <w:szCs w:val="16"/>
          </w:rPr>
          <w:t>танк</w:t>
        </w:r>
      </w:hyperlink>
      <w:r w:rsidRPr="00E14102">
        <w:rPr>
          <w:color w:val="000000" w:themeColor="text1"/>
          <w:sz w:val="16"/>
          <w:szCs w:val="16"/>
        </w:rPr>
        <w:t xml:space="preserve">а безопасна для экипажа, не наносит механических повреждений механизмам </w:t>
      </w:r>
      <w:hyperlink r:id="rId111" w:tgtFrame="_blank" w:history="1">
        <w:r w:rsidRPr="00E14102">
          <w:rPr>
            <w:color w:val="000000" w:themeColor="text1"/>
            <w:sz w:val="16"/>
            <w:szCs w:val="16"/>
          </w:rPr>
          <w:t>танк</w:t>
        </w:r>
      </w:hyperlink>
      <w:r w:rsidRPr="00E14102">
        <w:rPr>
          <w:color w:val="000000" w:themeColor="text1"/>
          <w:sz w:val="16"/>
          <w:szCs w:val="16"/>
        </w:rPr>
        <w:t>а и, при внесении небольших конструктивных изменений, безопасна в пожарном отношении, Опытные работы продолжались до февраля 1936 г. и велись с отработкой меткости стрельбы данным типом снаряда. Несмотря на положительные результаты работы, командование АБТУ в лице Бокиса и Ольшанского на основании доклада инженера АБТУ Сыча дальнейшие работы приостановило, отказавшись даже принять участие в испытании опытного образца и его приемке. Испытания машины были прекращены до внесения изменений в конструкцию исходя из требований пожарной безопасности (15628).</w:t>
      </w:r>
    </w:p>
    <w:p w14:paraId="497EB577" w14:textId="77777777" w:rsidR="002F6502" w:rsidRPr="00E14102" w:rsidRDefault="002F6502" w:rsidP="00E14102">
      <w:pPr>
        <w:jc w:val="both"/>
        <w:rPr>
          <w:color w:val="000000" w:themeColor="text1"/>
          <w:sz w:val="16"/>
          <w:szCs w:val="16"/>
        </w:rPr>
      </w:pPr>
    </w:p>
    <w:p w14:paraId="76C992AD" w14:textId="77777777" w:rsidR="002A3F5F" w:rsidRPr="00E14102" w:rsidRDefault="002A3F5F" w:rsidP="00E14102">
      <w:pPr>
        <w:jc w:val="both"/>
        <w:rPr>
          <w:color w:val="0070C0"/>
          <w:sz w:val="16"/>
          <w:szCs w:val="16"/>
        </w:rPr>
      </w:pPr>
      <w:r w:rsidRPr="00E14102">
        <w:rPr>
          <w:color w:val="0070C0"/>
          <w:sz w:val="16"/>
          <w:szCs w:val="16"/>
          <w:lang w:bidi="ru-RU"/>
        </w:rPr>
        <w:t>26 мая 1935 корабль В-6 официально передали в опытную эксплуатацию Эскадре дирижаблей, однако на деле мало что изменилось, только полёты стали называться не испытательными, а учебно</w:t>
      </w:r>
      <w:r w:rsidRPr="00E14102">
        <w:rPr>
          <w:color w:val="0070C0"/>
          <w:sz w:val="16"/>
          <w:szCs w:val="16"/>
          <w:lang w:bidi="ru-RU"/>
        </w:rPr>
        <w:softHyphen/>
        <w:t>опытными. Никаких реальных задач для «СССР-В6» пока что не было.</w:t>
      </w:r>
    </w:p>
    <w:p w14:paraId="2E0CE478" w14:textId="77777777" w:rsidR="002A3F5F" w:rsidRPr="00E14102" w:rsidRDefault="002A3F5F" w:rsidP="00E14102">
      <w:pPr>
        <w:jc w:val="both"/>
        <w:rPr>
          <w:color w:val="0070C0"/>
          <w:sz w:val="16"/>
          <w:szCs w:val="16"/>
        </w:rPr>
      </w:pPr>
      <w:r w:rsidRPr="00E14102">
        <w:rPr>
          <w:color w:val="0070C0"/>
          <w:sz w:val="16"/>
          <w:szCs w:val="16"/>
          <w:lang w:bidi="ru-RU"/>
        </w:rPr>
        <w:t>При возвращении из Арзамаса 19 июня случился инцидент, напомнивший, что даже такой передовой дирижабль не менее уязвим, чем маленькие мягкие корабли, которые бросает вверх и вниз воздушными потоками.</w:t>
      </w:r>
    </w:p>
    <w:p w14:paraId="3FA59F8B" w14:textId="77777777" w:rsidR="002A3F5F" w:rsidRPr="00E14102" w:rsidRDefault="002A3F5F" w:rsidP="00E14102">
      <w:pPr>
        <w:jc w:val="both"/>
        <w:rPr>
          <w:color w:val="0070C0"/>
          <w:sz w:val="16"/>
          <w:szCs w:val="16"/>
        </w:rPr>
      </w:pPr>
      <w:r w:rsidRPr="00E14102">
        <w:rPr>
          <w:color w:val="0070C0"/>
          <w:sz w:val="16"/>
          <w:szCs w:val="16"/>
          <w:lang w:bidi="ru-RU"/>
        </w:rPr>
        <w:t>Во время посадки на Долгопрудной «СССР-В6» сильным порывом ветра внезапно вырвало из рук причальной команды. Случалось, в подобных ситуациях срабатывал эффект домино: чувствуя, как огромная туша неумолимо тащит верёвку вверх, кто-то первым пугался и бросал её, чтобы самому не взмыть в небо. Нагрузка на оставшихся увеличивалась, и вот уже не выдерживал следующий, за ним ещё и ещё. Иногда дирижабль утаскивал за собой не успевших вовремя отпустить верёвку, и те разбивались, падая с высоты.</w:t>
      </w:r>
    </w:p>
    <w:p w14:paraId="4FE66A11" w14:textId="77777777" w:rsidR="002A3F5F" w:rsidRPr="00E14102" w:rsidRDefault="002A3F5F" w:rsidP="00E14102">
      <w:pPr>
        <w:jc w:val="both"/>
        <w:rPr>
          <w:color w:val="0070C0"/>
          <w:sz w:val="16"/>
          <w:szCs w:val="16"/>
        </w:rPr>
      </w:pPr>
      <w:r w:rsidRPr="00E14102">
        <w:rPr>
          <w:color w:val="0070C0"/>
          <w:sz w:val="16"/>
          <w:szCs w:val="16"/>
          <w:lang w:bidi="ru-RU"/>
        </w:rPr>
        <w:t>В тот день «СССР-В6» унёс и поднял на 400 метров стартовика Орищенко. Однако тот не потерял самообладания, привязался к канату, пролетел на нём за 25 минут около 15 километров и благополучно сбросился в пруд. За своё героическое поведение Орищенко был премирован [60]. Примечательно, что экипаж либо не заметил висящего внизу человека, либо не сумел ни поднять его к себе, ни снизиться на безопасную высоту, чтобы тот мог спрыгнуть на землю (23192).</w:t>
      </w:r>
    </w:p>
    <w:p w14:paraId="557FEE75" w14:textId="77777777" w:rsidR="002A3F5F" w:rsidRPr="00E14102" w:rsidRDefault="002A3F5F" w:rsidP="00E14102">
      <w:pPr>
        <w:jc w:val="both"/>
        <w:rPr>
          <w:color w:val="0070C0"/>
          <w:sz w:val="16"/>
          <w:szCs w:val="16"/>
        </w:rPr>
      </w:pPr>
    </w:p>
    <w:p w14:paraId="1D04855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17C8F7B" w14:textId="77777777" w:rsidR="00D4105E" w:rsidRPr="00E14102" w:rsidRDefault="00D4105E" w:rsidP="00E14102">
      <w:pPr>
        <w:autoSpaceDE w:val="0"/>
        <w:autoSpaceDN w:val="0"/>
        <w:adjustRightInd w:val="0"/>
        <w:jc w:val="both"/>
        <w:rPr>
          <w:iCs/>
          <w:color w:val="000000" w:themeColor="text1"/>
          <w:sz w:val="16"/>
          <w:szCs w:val="16"/>
        </w:rPr>
      </w:pPr>
    </w:p>
    <w:p w14:paraId="32994DF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27 мая по 21 ноября 1935 года проходили гос. испытания двухместного истребительного самолета ДИ-6 Р.Ц. Ф-3 с убирающимися в полете шасси (6685).</w:t>
      </w:r>
    </w:p>
    <w:p w14:paraId="3E50758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2FB9F83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Федрови</w:t>
      </w:r>
    </w:p>
    <w:p w14:paraId="0C73271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Летчик-испытатель Степанченок</w:t>
      </w:r>
    </w:p>
    <w:p w14:paraId="38AFC5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4A46C30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летно-тактических качеств самолета и его летной характеристики.</w:t>
      </w:r>
    </w:p>
    <w:p w14:paraId="17B55E5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пулеметного и бомбардировочного вооружения.</w:t>
      </w:r>
    </w:p>
    <w:p w14:paraId="23F0947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винтомоторной группы и моторного оборудования.</w:t>
      </w:r>
    </w:p>
    <w:p w14:paraId="5F7D15F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электрооборудования и пригодности его к ночным полетам.</w:t>
      </w:r>
    </w:p>
    <w:p w14:paraId="5CC0720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подъемного шасси и тормозных колес с внутренней амортизацией.</w:t>
      </w:r>
    </w:p>
    <w:p w14:paraId="5DE46E4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летные испытания ушло 24 дня, за время испытаний было произведено 175 полетов с налетом 42 часа.</w:t>
      </w:r>
    </w:p>
    <w:p w14:paraId="1F68A3C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C5F729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ДИ-6 Райт-Циклон Ф3 по своим летно-техническим данным удовлетворяет требованиям двухместного истребителя, приближаясь к однотипным заграничным самолетам.</w:t>
      </w:r>
    </w:p>
    <w:p w14:paraId="44BBE34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Задняя стрелковая установка в предъявленном виде испытания не выдержала и делает самолет как двухместный истребитель недееспособным (6685).</w:t>
      </w:r>
    </w:p>
    <w:p w14:paraId="770AB4C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70C6AA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мая 1935 начались испытания ДИ-6 (по 21 ноября) (92,480).</w:t>
      </w:r>
    </w:p>
    <w:p w14:paraId="108FCF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ДИ-6 испытывался с марта 1935</w:t>
      </w:r>
    </w:p>
    <w:p w14:paraId="781365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 27 мая по 21 ноября 1935 г. проходили гос. испытаниях двухместного истребительного самолета "ДИ-6" РЦ Ф3 с убирающимся в полете шасси.</w:t>
      </w:r>
    </w:p>
    <w:p w14:paraId="1B3622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06CBC5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 летчик Федрови</w:t>
      </w:r>
    </w:p>
    <w:p w14:paraId="5256C7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Летчик-испытатель Степанченок</w:t>
      </w:r>
    </w:p>
    <w:p w14:paraId="6622EB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64A4E6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Определение летно-технических качеств самолета и его летной характеристики.</w:t>
      </w:r>
    </w:p>
    <w:p w14:paraId="251F3B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Испытание пулеметного и бомбардировочного вооружения.</w:t>
      </w:r>
    </w:p>
    <w:p w14:paraId="3A392C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Испытание винтомоторной группы и моторного оборудования.</w:t>
      </w:r>
    </w:p>
    <w:p w14:paraId="3E6871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Испытание электрооборудования и пригодности его к ночным полетам.</w:t>
      </w:r>
    </w:p>
    <w:p w14:paraId="47D774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Испытание подъемного шасси и тормозных колес с внутренней амортизацией.</w:t>
      </w:r>
    </w:p>
    <w:p w14:paraId="2F8EB8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114FC8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Самолет ДИ-6 Райт-Циклон Ф3 по своим летно-техническим данным удовлетворяет требованиям двухместного истребителя, приближаясь к однотипным заграничным самолетам.</w:t>
      </w:r>
    </w:p>
    <w:p w14:paraId="3CD9EE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Задняя стрелковая установка в предъявленном виде испытаний не выдержала и делает самолет как двухместный истребитель небоеспособным.</w:t>
      </w:r>
    </w:p>
    <w:p w14:paraId="0FAAF5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переделки задней огневой точки самолет передать в НИИ для повторных его испытаний (3314).</w:t>
      </w:r>
    </w:p>
    <w:p w14:paraId="2C993732" w14:textId="77777777" w:rsidR="00D4105E" w:rsidRPr="00E14102" w:rsidRDefault="00D4105E" w:rsidP="00E14102">
      <w:pPr>
        <w:autoSpaceDE w:val="0"/>
        <w:autoSpaceDN w:val="0"/>
        <w:adjustRightInd w:val="0"/>
        <w:jc w:val="both"/>
        <w:rPr>
          <w:color w:val="000000" w:themeColor="text1"/>
          <w:sz w:val="16"/>
          <w:szCs w:val="16"/>
        </w:rPr>
      </w:pPr>
    </w:p>
    <w:p w14:paraId="0CE751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27 мая по 21 ноября 1935 года на государ</w:t>
      </w:r>
      <w:r w:rsidRPr="00E14102">
        <w:rPr>
          <w:color w:val="000000" w:themeColor="text1"/>
          <w:sz w:val="16"/>
          <w:szCs w:val="16"/>
        </w:rPr>
        <w:softHyphen/>
        <w:t>ственных испытаниях ДИ-б получил положительную оценку и в дальнейшем выпускался серийно на авиазаводах №39 им. Мен</w:t>
      </w:r>
      <w:r w:rsidRPr="00E14102">
        <w:rPr>
          <w:color w:val="000000" w:themeColor="text1"/>
          <w:sz w:val="16"/>
          <w:szCs w:val="16"/>
        </w:rPr>
        <w:softHyphen/>
        <w:t>жинского (10 машин в 1936 году), №1 им. Авиахима (61 самолет в 1937 году) и №81 им. Молотова (51 самолет в 1937 году и 100 в 1938 году) (10723).</w:t>
      </w:r>
    </w:p>
    <w:p w14:paraId="2120424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D9B1E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27 мая по 21 ноября 1935 проходили госиспытания ДИ-6. Летали летчики П.Я. Федрови и В.А. Степанченок. За 24 летных дня было выполнено 175 полетов с общим налетом 42 ч. Львиная доля времени, три месяца и десять дней, ушла на очередные заводские доработки самолета.</w:t>
      </w:r>
    </w:p>
    <w:p w14:paraId="72E9CD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Итогом госиспытаний стало общее положительное мнение о новом истребителе у испытательной бригады и руководства института. После доработок максимальная скорость несколько повысилась и достигла до 385 км/ч на высоте 3000 м. Маневренность сочли хорошей для двухместного самолета, также как и устойчивость на пикировании.</w:t>
      </w:r>
    </w:p>
    <w:p w14:paraId="0E7F71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Крыльевые пулеметные установки работали безотказно. Управление пулеметами и прицеливание удобное. Интересна оценка качества изготовления: "Производственное выполнение самолета в целом хорошее".</w:t>
      </w:r>
    </w:p>
    <w:p w14:paraId="4A2CE0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испытаниях вооружения ДИ-6 летчики-испытатели отрабатывали и тактические приемы применения новой машины. Несколько страниц отчета об испытаниях занимают красочные схемы построения атак воздушных целей и обороны от истребителей противника, убедительно доказывающие тактические преимущества двухместного самолета.</w:t>
      </w:r>
    </w:p>
    <w:p w14:paraId="36A279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новая техника не бывает без недостатков, и ДИ-6 не стал исключением из правил. Некоторые огрехи так и не были устранены. Заднюю огневую точку объявили непригодной. В отчете записали: "Вследствие крайне ограниченных углов обстрела и затруднительного маневрирования пулеметной установкой легко можно прострелить оперение самолета". Более того, конструкция установки не обеспечивала достаточно легкого движения стволом и безотказной работы пулемета. Положение стрелка сочли "неудобным и напряженным". Поскольку в полете он практически не мог двигаться, наступало быстрое утомление. Претензии участников испытаний к неудовлетворительной конструкции задней огневой точки можно понять-она делала боеспособность двухместного истребителя ограниченной, а стрелка-безучастным свидетелем отдельных эпизодов воздушного боя.</w:t>
      </w:r>
    </w:p>
    <w:p w14:paraId="121222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Вновь поставили вопрос о чрезмерной сложности управления подъемным механизмом шасси.</w:t>
      </w:r>
    </w:p>
    <w:p w14:paraId="5CC286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Продолжала существовать проблема вибраций. Более того, она стала еще существенней. Теперь консоли верхнего и нижнего крыла тряслись в полете практически на всех режимах работы мотора, особенно сильно в диапазоне от 1400 до 1600 об/мин. Была выявлена также вибрация хвостового оперения при полетах на больших углах атаки.</w:t>
      </w:r>
    </w:p>
    <w:p w14:paraId="2DB596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На этих испытаниях в программу входили ночные полеты. Оказалось, что в темноте ДИ-6 пилотировать трудно, а вести прицельную стрельбу вперед-вообще невозможно. Пламя из выхлопных патрубков ослепляло летчика, что было особенно опасно на посадке. Отсветы мешали пользоваться и оптическим прицелом. Маленький козырек передней кабины не защищал летчика от набегающего потока воздуха, в результате фюзеляж продувался насквозь, и экипаж замерзал в полете.</w:t>
      </w:r>
    </w:p>
    <w:p w14:paraId="2A5D9B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Как и прежде, отсутствовала надежная переговорная и зрительная связь между членами экипажа. Стрелок с парашютом лишь с большим трудом мог покинуть самолет в аварийной ситуации, Открывалась только левая половина экрана (фонаря) его кабины.</w:t>
      </w:r>
    </w:p>
    <w:p w14:paraId="641611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меньше замечаний набралось к удобству обслуживания самолета на земле у технического состава. Критиковали затрудненность доступа к отдельным узлам и агрегатам, значительное время, уходившее на их установку и демонтаж.</w:t>
      </w:r>
    </w:p>
    <w:p w14:paraId="3DAF9E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 не менее машину решили запустить в серийное производство как ДИ-6М-25 (по нормам того времени, в полном обозначении самолета обязательно указывался тип двигателя). Начальник ВВС РККА командарм 2-го ранга Я.И. Алкснис подписал акт по утверждению результатов государственных испытаний, в котором говорилось: "Просить Начальника ГУАПа обязать завод № 39 выпустить в кратчайший срок один из 10 самолетов ДИ-6М-25, заказанных УВВС для войсковых испытаний, как образец для заказа ДИ-6М-25 (двухместный истребитель) на 1936 г." (11992).</w:t>
      </w:r>
    </w:p>
    <w:p w14:paraId="1567A52D" w14:textId="77777777" w:rsidR="00D4105E" w:rsidRPr="00E14102" w:rsidRDefault="00D4105E" w:rsidP="00E14102">
      <w:pPr>
        <w:autoSpaceDE w:val="0"/>
        <w:autoSpaceDN w:val="0"/>
        <w:adjustRightInd w:val="0"/>
        <w:jc w:val="both"/>
        <w:rPr>
          <w:color w:val="000000" w:themeColor="text1"/>
          <w:sz w:val="16"/>
          <w:szCs w:val="16"/>
        </w:rPr>
      </w:pPr>
    </w:p>
    <w:p w14:paraId="44385DA7" w14:textId="77777777" w:rsidR="002F6502" w:rsidRPr="00E14102" w:rsidRDefault="002F6502" w:rsidP="00E14102">
      <w:pPr>
        <w:jc w:val="both"/>
        <w:rPr>
          <w:color w:val="000000" w:themeColor="text1"/>
          <w:sz w:val="16"/>
          <w:szCs w:val="16"/>
        </w:rPr>
      </w:pPr>
      <w:r w:rsidRPr="00E14102">
        <w:rPr>
          <w:bCs/>
          <w:color w:val="000000" w:themeColor="text1"/>
          <w:sz w:val="16"/>
          <w:szCs w:val="16"/>
        </w:rPr>
        <w:t>27 мая</w:t>
      </w:r>
      <w:r w:rsidRPr="00E14102">
        <w:rPr>
          <w:color w:val="000000" w:themeColor="text1"/>
          <w:sz w:val="16"/>
          <w:szCs w:val="16"/>
        </w:rPr>
        <w:t xml:space="preserve"> в 1935 году начало лётных испытаний двухместного истребителя С.А.Кочеригина </w:t>
      </w:r>
      <w:hyperlink r:id="rId112" w:tgtFrame="_blank" w:history="1">
        <w:r w:rsidRPr="00E14102">
          <w:rPr>
            <w:color w:val="000000" w:themeColor="text1"/>
            <w:sz w:val="16"/>
            <w:szCs w:val="16"/>
          </w:rPr>
          <w:t xml:space="preserve">«ДИ-6» («ЦКБ-11») </w:t>
        </w:r>
      </w:hyperlink>
      <w:r w:rsidRPr="00E14102">
        <w:rPr>
          <w:color w:val="000000" w:themeColor="text1"/>
          <w:sz w:val="16"/>
          <w:szCs w:val="16"/>
        </w:rPr>
        <w:t>– первого в мире биплана с убирающимся шасси, лётчики-испытатели Н.К.Фёдоров, пилот В.А.Степанчёнок (14904).</w:t>
      </w:r>
    </w:p>
    <w:p w14:paraId="416DB33F" w14:textId="77777777" w:rsidR="002F6502" w:rsidRPr="00E14102" w:rsidRDefault="002F6502" w:rsidP="00E14102">
      <w:pPr>
        <w:jc w:val="both"/>
        <w:rPr>
          <w:color w:val="000000" w:themeColor="text1"/>
          <w:sz w:val="16"/>
          <w:szCs w:val="16"/>
        </w:rPr>
      </w:pPr>
    </w:p>
    <w:p w14:paraId="288261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мая 1935 начались летные испытания УТ-2 А.С.Я. (271,152). Летал Ю.И.Пионтковский (438,686).</w:t>
      </w:r>
    </w:p>
    <w:p w14:paraId="2CD363BB" w14:textId="77777777" w:rsidR="00D4105E" w:rsidRPr="00E14102" w:rsidRDefault="00D4105E" w:rsidP="00E14102">
      <w:pPr>
        <w:autoSpaceDE w:val="0"/>
        <w:autoSpaceDN w:val="0"/>
        <w:adjustRightInd w:val="0"/>
        <w:jc w:val="both"/>
        <w:rPr>
          <w:color w:val="000000" w:themeColor="text1"/>
          <w:sz w:val="16"/>
          <w:szCs w:val="16"/>
        </w:rPr>
      </w:pPr>
    </w:p>
    <w:p w14:paraId="44A5D580" w14:textId="77777777" w:rsidR="002F6502" w:rsidRPr="00E14102" w:rsidRDefault="002F6502" w:rsidP="00E14102">
      <w:pPr>
        <w:jc w:val="both"/>
        <w:rPr>
          <w:color w:val="000000" w:themeColor="text1"/>
          <w:sz w:val="16"/>
          <w:szCs w:val="16"/>
        </w:rPr>
      </w:pPr>
      <w:r w:rsidRPr="00E14102">
        <w:rPr>
          <w:bCs/>
          <w:color w:val="000000" w:themeColor="text1"/>
          <w:sz w:val="16"/>
          <w:szCs w:val="16"/>
        </w:rPr>
        <w:t>27 мая</w:t>
      </w:r>
      <w:r w:rsidRPr="00E14102">
        <w:rPr>
          <w:color w:val="000000" w:themeColor="text1"/>
          <w:sz w:val="16"/>
          <w:szCs w:val="16"/>
        </w:rPr>
        <w:t xml:space="preserve"> в 1935 году начало летных испытаний учебно-тренировочного моноплана «УТ-2» с двигателем «М-11» мощностью в 100 л.с., конструкции А.С.Яковлева (14904).</w:t>
      </w:r>
    </w:p>
    <w:p w14:paraId="28FC5DCD" w14:textId="77777777" w:rsidR="002F6502" w:rsidRPr="00E14102" w:rsidRDefault="002F6502" w:rsidP="00E14102">
      <w:pPr>
        <w:jc w:val="both"/>
        <w:rPr>
          <w:color w:val="000000" w:themeColor="text1"/>
          <w:sz w:val="16"/>
          <w:szCs w:val="16"/>
        </w:rPr>
      </w:pPr>
    </w:p>
    <w:p w14:paraId="74A754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мая 1935 было совещание у начальника ГУАП Г.Н.Королева по вопросу постройки трех самолетов взамен погибшего МГ. Хотели к 1 мая 1936 в ЦАГИ и 7 ноября 1936 на 22 заводе (1025,124) (протокол 45):</w:t>
      </w:r>
    </w:p>
    <w:p w14:paraId="5255CA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"Постановили:</w:t>
      </w:r>
    </w:p>
    <w:p w14:paraId="403403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Первый головной самолет строит ЦАГИ. Два самолета строит завод 22.</w:t>
      </w:r>
    </w:p>
    <w:p w14:paraId="2669A0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Принять схему самолета, предложенную ЦАГИ: 6 моторов вместо 8, мотор редукторный мощностью 1100-1200 нр</w:t>
      </w:r>
    </w:p>
    <w:p w14:paraId="3D4988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Принять к сведению, что ЦАГИ вводятся следующие изменения в новый самолет:</w:t>
      </w:r>
    </w:p>
    <w:p w14:paraId="4913BA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 и ГО переделываются заново в связи со снятием 2-х моторов тандем и изменение аэродинамической схемы самолета.</w:t>
      </w:r>
    </w:p>
    <w:p w14:paraId="14D97B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Обшивка верхней части фюзеляжа над пассажирской кабиной вводится гладкая. Вся остальная обшивка - гофрированная.</w:t>
      </w:r>
    </w:p>
    <w:p w14:paraId="766D72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 самолете оставляется радио с громкоговорителем, типография и нормальная радиоустановка для связи с землей.</w:t>
      </w:r>
    </w:p>
    <w:p w14:paraId="5FC22B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Изменится схема шасси.</w:t>
      </w:r>
    </w:p>
    <w:p w14:paraId="36FC36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Срок постройки самолетов принять:</w:t>
      </w:r>
    </w:p>
    <w:p w14:paraId="04C66C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ЦАГИ - к 1 мая 1936</w:t>
      </w:r>
    </w:p>
    <w:p w14:paraId="4B463F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завода 22 - к 7 ноября 1936</w:t>
      </w:r>
    </w:p>
    <w:p w14:paraId="60F10F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Техданные самолета установить следующие:</w:t>
      </w:r>
    </w:p>
    <w:p w14:paraId="1AEEC5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скорость - 250-270 км/час</w:t>
      </w:r>
    </w:p>
    <w:p w14:paraId="552456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потолок - 6000 м</w:t>
      </w:r>
    </w:p>
    <w:p w14:paraId="6E0ABB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макс. дальность - 3000 км." Королев (2177,175).</w:t>
      </w:r>
    </w:p>
    <w:p w14:paraId="2CC86F27" w14:textId="77777777" w:rsidR="00D4105E" w:rsidRPr="00E14102" w:rsidRDefault="00D4105E" w:rsidP="00E14102">
      <w:pPr>
        <w:autoSpaceDE w:val="0"/>
        <w:autoSpaceDN w:val="0"/>
        <w:adjustRightInd w:val="0"/>
        <w:jc w:val="both"/>
        <w:rPr>
          <w:color w:val="000000" w:themeColor="text1"/>
          <w:sz w:val="16"/>
          <w:szCs w:val="16"/>
        </w:rPr>
      </w:pPr>
    </w:p>
    <w:p w14:paraId="205CE7A3" w14:textId="77777777" w:rsidR="002F6502" w:rsidRPr="00E14102" w:rsidRDefault="002F6502" w:rsidP="00E14102">
      <w:pPr>
        <w:pStyle w:val="3f"/>
        <w:shd w:val="clear" w:color="auto" w:fill="auto"/>
        <w:spacing w:after="0" w:line="240" w:lineRule="auto"/>
        <w:jc w:val="both"/>
        <w:outlineLvl w:val="9"/>
        <w:rPr>
          <w:color w:val="000000" w:themeColor="text1"/>
          <w:sz w:val="16"/>
          <w:szCs w:val="16"/>
        </w:rPr>
      </w:pPr>
      <w:r w:rsidRPr="00E14102">
        <w:rPr>
          <w:color w:val="000000" w:themeColor="text1"/>
          <w:sz w:val="16"/>
          <w:szCs w:val="16"/>
        </w:rPr>
        <w:t>27 мая 1935 г. Протокол № 45 совещания у начальника ГУАП Г.Н. Королева по вопросу постройки трех самолетов взамен погибшего самолета «Максим Горький»</w:t>
      </w:r>
    </w:p>
    <w:p w14:paraId="272F2219" w14:textId="77777777" w:rsidR="002F6502" w:rsidRPr="00E14102" w:rsidRDefault="002F6502" w:rsidP="00E14102">
      <w:pPr>
        <w:jc w:val="both"/>
        <w:rPr>
          <w:color w:val="000000" w:themeColor="text1"/>
          <w:sz w:val="16"/>
          <w:szCs w:val="16"/>
        </w:rPr>
      </w:pPr>
      <w:r w:rsidRPr="00E14102">
        <w:rPr>
          <w:color w:val="000000" w:themeColor="text1"/>
          <w:sz w:val="16"/>
          <w:szCs w:val="16"/>
        </w:rPr>
        <w:t>СЛУШАЛИ: О постройке трех самолетов.</w:t>
      </w:r>
    </w:p>
    <w:p w14:paraId="563BD04E" w14:textId="77777777" w:rsidR="002F6502" w:rsidRPr="00E14102" w:rsidRDefault="002F6502" w:rsidP="00E14102">
      <w:pPr>
        <w:jc w:val="both"/>
        <w:rPr>
          <w:color w:val="000000" w:themeColor="text1"/>
          <w:sz w:val="16"/>
          <w:szCs w:val="16"/>
        </w:rPr>
      </w:pPr>
      <w:r w:rsidRPr="00E14102">
        <w:rPr>
          <w:color w:val="000000" w:themeColor="text1"/>
          <w:sz w:val="16"/>
          <w:szCs w:val="16"/>
        </w:rPr>
        <w:t>ПОСТАНОВИЛИ:</w:t>
      </w:r>
    </w:p>
    <w:p w14:paraId="4FB31527" w14:textId="77777777" w:rsidR="002F6502" w:rsidRPr="00E14102" w:rsidRDefault="002F6502" w:rsidP="00E14102">
      <w:pPr>
        <w:tabs>
          <w:tab w:val="left" w:pos="812"/>
        </w:tabs>
        <w:jc w:val="both"/>
        <w:rPr>
          <w:color w:val="000000" w:themeColor="text1"/>
          <w:sz w:val="16"/>
          <w:szCs w:val="16"/>
        </w:rPr>
      </w:pPr>
      <w:r w:rsidRPr="00E14102">
        <w:rPr>
          <w:color w:val="000000" w:themeColor="text1"/>
          <w:sz w:val="16"/>
          <w:szCs w:val="16"/>
        </w:rPr>
        <w:t>1) Первый головной самолет строит ЦАГИ. Два самолета строит завод № 22.</w:t>
      </w:r>
    </w:p>
    <w:p w14:paraId="243F6AB0" w14:textId="77777777" w:rsidR="002F6502" w:rsidRPr="00E14102" w:rsidRDefault="002F6502" w:rsidP="00E14102">
      <w:pPr>
        <w:tabs>
          <w:tab w:val="left" w:pos="776"/>
        </w:tabs>
        <w:jc w:val="both"/>
        <w:rPr>
          <w:color w:val="000000" w:themeColor="text1"/>
          <w:sz w:val="16"/>
          <w:szCs w:val="16"/>
        </w:rPr>
      </w:pPr>
      <w:r w:rsidRPr="00E14102">
        <w:rPr>
          <w:color w:val="000000" w:themeColor="text1"/>
          <w:sz w:val="16"/>
          <w:szCs w:val="16"/>
        </w:rPr>
        <w:t>2) Принять схему самолета, предложенную ЦАГИ:</w:t>
      </w:r>
    </w:p>
    <w:p w14:paraId="2FEC9C88" w14:textId="77777777" w:rsidR="002F6502" w:rsidRPr="00E14102" w:rsidRDefault="002F6502" w:rsidP="00E14102">
      <w:pPr>
        <w:jc w:val="both"/>
        <w:rPr>
          <w:color w:val="000000" w:themeColor="text1"/>
          <w:sz w:val="16"/>
          <w:szCs w:val="16"/>
        </w:rPr>
      </w:pPr>
      <w:r w:rsidRPr="00E14102">
        <w:rPr>
          <w:color w:val="000000" w:themeColor="text1"/>
          <w:sz w:val="16"/>
          <w:szCs w:val="16"/>
        </w:rPr>
        <w:t>шесть моторов вместо восьми; мотор редукторный мощностью 1100-1200 л.с.</w:t>
      </w:r>
    </w:p>
    <w:p w14:paraId="233DE8E5" w14:textId="77777777" w:rsidR="002F6502" w:rsidRPr="00E14102" w:rsidRDefault="002F6502" w:rsidP="00E14102">
      <w:pPr>
        <w:tabs>
          <w:tab w:val="left" w:pos="817"/>
        </w:tabs>
        <w:jc w:val="both"/>
        <w:rPr>
          <w:color w:val="000000" w:themeColor="text1"/>
          <w:sz w:val="16"/>
          <w:szCs w:val="16"/>
        </w:rPr>
      </w:pPr>
      <w:r w:rsidRPr="00E14102">
        <w:rPr>
          <w:color w:val="000000" w:themeColor="text1"/>
          <w:sz w:val="16"/>
          <w:szCs w:val="16"/>
        </w:rPr>
        <w:t>3) Принять к сведению, что ЦАГИ вводятся следующие измене</w:t>
      </w:r>
      <w:r w:rsidRPr="00E14102">
        <w:rPr>
          <w:color w:val="000000" w:themeColor="text1"/>
          <w:sz w:val="16"/>
          <w:szCs w:val="16"/>
        </w:rPr>
        <w:softHyphen/>
        <w:t>ния в [но]вый самолет:</w:t>
      </w:r>
    </w:p>
    <w:p w14:paraId="191C6AB7" w14:textId="77777777" w:rsidR="002F6502" w:rsidRPr="00E14102" w:rsidRDefault="002F6502" w:rsidP="00E14102">
      <w:pPr>
        <w:tabs>
          <w:tab w:val="left" w:pos="817"/>
        </w:tabs>
        <w:jc w:val="both"/>
        <w:rPr>
          <w:color w:val="000000" w:themeColor="text1"/>
          <w:sz w:val="16"/>
          <w:szCs w:val="16"/>
        </w:rPr>
      </w:pPr>
      <w:r w:rsidRPr="00E14102">
        <w:rPr>
          <w:color w:val="000000" w:themeColor="text1"/>
          <w:sz w:val="16"/>
          <w:szCs w:val="16"/>
        </w:rPr>
        <w:t>а) Вертикальное и горизонтальное оперение переделывается за</w:t>
      </w:r>
      <w:r w:rsidRPr="00E14102">
        <w:rPr>
          <w:color w:val="000000" w:themeColor="text1"/>
          <w:sz w:val="16"/>
          <w:szCs w:val="16"/>
        </w:rPr>
        <w:softHyphen/>
        <w:t>ново в связи со снятием 2-х моторов «тандем» и изменением аэродина</w:t>
      </w:r>
      <w:r w:rsidRPr="00E14102">
        <w:rPr>
          <w:color w:val="000000" w:themeColor="text1"/>
          <w:sz w:val="16"/>
          <w:szCs w:val="16"/>
        </w:rPr>
        <w:softHyphen/>
        <w:t>мической схемы самолета.</w:t>
      </w:r>
    </w:p>
    <w:p w14:paraId="7236B9EE" w14:textId="77777777" w:rsidR="002F6502" w:rsidRPr="00E14102" w:rsidRDefault="002F6502" w:rsidP="00E14102">
      <w:pPr>
        <w:tabs>
          <w:tab w:val="left" w:pos="836"/>
        </w:tabs>
        <w:jc w:val="both"/>
        <w:rPr>
          <w:color w:val="000000" w:themeColor="text1"/>
          <w:sz w:val="16"/>
          <w:szCs w:val="16"/>
        </w:rPr>
      </w:pPr>
      <w:r w:rsidRPr="00E14102">
        <w:rPr>
          <w:color w:val="000000" w:themeColor="text1"/>
          <w:sz w:val="16"/>
          <w:szCs w:val="16"/>
        </w:rPr>
        <w:t>б) Обш[ивка верх]ней части фюзеляжа над пассажирской каби</w:t>
      </w:r>
      <w:r w:rsidRPr="00E14102">
        <w:rPr>
          <w:color w:val="000000" w:themeColor="text1"/>
          <w:sz w:val="16"/>
          <w:szCs w:val="16"/>
        </w:rPr>
        <w:softHyphen/>
        <w:t>ной гладкая, обшивка остальная — гофрированная.</w:t>
      </w:r>
    </w:p>
    <w:p w14:paraId="3887DC4B" w14:textId="77777777" w:rsidR="002F6502" w:rsidRPr="00E14102" w:rsidRDefault="002F6502" w:rsidP="00E14102">
      <w:pPr>
        <w:tabs>
          <w:tab w:val="left" w:pos="788"/>
        </w:tabs>
        <w:jc w:val="both"/>
        <w:rPr>
          <w:color w:val="000000" w:themeColor="text1"/>
          <w:sz w:val="16"/>
          <w:szCs w:val="16"/>
        </w:rPr>
      </w:pPr>
      <w:r w:rsidRPr="00E14102">
        <w:rPr>
          <w:color w:val="000000" w:themeColor="text1"/>
          <w:sz w:val="16"/>
          <w:szCs w:val="16"/>
        </w:rPr>
        <w:t>в) На самолете оставляется радио с громкоговорителем, [типогра</w:t>
      </w:r>
      <w:r w:rsidRPr="00E14102">
        <w:rPr>
          <w:color w:val="000000" w:themeColor="text1"/>
          <w:sz w:val="16"/>
          <w:szCs w:val="16"/>
        </w:rPr>
        <w:softHyphen/>
        <w:t>фия] и нормальная радиоустановка для связи с землей.</w:t>
      </w:r>
    </w:p>
    <w:p w14:paraId="4F1AF466" w14:textId="77777777" w:rsidR="002F6502" w:rsidRPr="00E14102" w:rsidRDefault="002F6502" w:rsidP="00E14102">
      <w:pPr>
        <w:tabs>
          <w:tab w:val="left" w:pos="766"/>
        </w:tabs>
        <w:jc w:val="both"/>
        <w:rPr>
          <w:color w:val="000000" w:themeColor="text1"/>
          <w:sz w:val="16"/>
          <w:szCs w:val="16"/>
        </w:rPr>
      </w:pPr>
      <w:r w:rsidRPr="00E14102">
        <w:rPr>
          <w:color w:val="000000" w:themeColor="text1"/>
          <w:sz w:val="16"/>
          <w:szCs w:val="16"/>
        </w:rPr>
        <w:t>г) Изменяется схема шасси.</w:t>
      </w:r>
    </w:p>
    <w:p w14:paraId="581ECE03" w14:textId="77777777" w:rsidR="002F6502" w:rsidRPr="00E14102" w:rsidRDefault="002F6502" w:rsidP="00E14102">
      <w:pPr>
        <w:tabs>
          <w:tab w:val="left" w:pos="786"/>
        </w:tabs>
        <w:jc w:val="both"/>
        <w:rPr>
          <w:color w:val="000000" w:themeColor="text1"/>
          <w:sz w:val="16"/>
          <w:szCs w:val="16"/>
        </w:rPr>
      </w:pPr>
      <w:r w:rsidRPr="00E14102">
        <w:rPr>
          <w:color w:val="000000" w:themeColor="text1"/>
          <w:sz w:val="16"/>
          <w:szCs w:val="16"/>
        </w:rPr>
        <w:t>4) Срок постройки самолетов принять:</w:t>
      </w:r>
    </w:p>
    <w:p w14:paraId="30D22494" w14:textId="77777777" w:rsidR="002F6502" w:rsidRPr="00E14102" w:rsidRDefault="002F6502" w:rsidP="00E14102">
      <w:pPr>
        <w:jc w:val="both"/>
        <w:rPr>
          <w:color w:val="000000" w:themeColor="text1"/>
          <w:sz w:val="16"/>
          <w:szCs w:val="16"/>
        </w:rPr>
      </w:pPr>
      <w:r w:rsidRPr="00E14102">
        <w:rPr>
          <w:color w:val="000000" w:themeColor="text1"/>
          <w:sz w:val="16"/>
          <w:szCs w:val="16"/>
        </w:rPr>
        <w:t>для ЦАГИ — к 1 мая 1936 г.</w:t>
      </w:r>
    </w:p>
    <w:p w14:paraId="08D2134B" w14:textId="77777777" w:rsidR="002F6502" w:rsidRPr="00E14102" w:rsidRDefault="002F6502" w:rsidP="00E14102">
      <w:pPr>
        <w:jc w:val="both"/>
        <w:rPr>
          <w:color w:val="000000" w:themeColor="text1"/>
          <w:sz w:val="16"/>
          <w:szCs w:val="16"/>
        </w:rPr>
      </w:pPr>
      <w:r w:rsidRPr="00E14102">
        <w:rPr>
          <w:color w:val="000000" w:themeColor="text1"/>
          <w:sz w:val="16"/>
          <w:szCs w:val="16"/>
        </w:rPr>
        <w:t>для завода № 22 — к 7 ноября 1936 г.</w:t>
      </w:r>
    </w:p>
    <w:p w14:paraId="7E3AC955" w14:textId="77777777" w:rsidR="002F6502" w:rsidRPr="00E14102" w:rsidRDefault="002F6502" w:rsidP="00E14102">
      <w:pPr>
        <w:tabs>
          <w:tab w:val="left" w:pos="776"/>
        </w:tabs>
        <w:jc w:val="both"/>
        <w:rPr>
          <w:color w:val="000000" w:themeColor="text1"/>
          <w:sz w:val="16"/>
          <w:szCs w:val="16"/>
        </w:rPr>
      </w:pPr>
      <w:r w:rsidRPr="00E14102">
        <w:rPr>
          <w:color w:val="000000" w:themeColor="text1"/>
          <w:sz w:val="16"/>
          <w:szCs w:val="16"/>
        </w:rPr>
        <w:t>5) Технические данные самолета установить следующие:</w:t>
      </w:r>
    </w:p>
    <w:p w14:paraId="304ABEB6" w14:textId="77777777" w:rsidR="002F6502" w:rsidRPr="00E14102" w:rsidRDefault="002F6502" w:rsidP="00E14102">
      <w:pPr>
        <w:jc w:val="both"/>
        <w:rPr>
          <w:color w:val="000000" w:themeColor="text1"/>
          <w:sz w:val="16"/>
          <w:szCs w:val="16"/>
        </w:rPr>
      </w:pPr>
      <w:r w:rsidRPr="00E14102">
        <w:rPr>
          <w:color w:val="000000" w:themeColor="text1"/>
          <w:sz w:val="16"/>
          <w:szCs w:val="16"/>
        </w:rPr>
        <w:t>скорость самолета — 250-275 км/ч потолок — 6000 м[е]тр[ов]. максимальная дальность полета — 3000 км.</w:t>
      </w:r>
    </w:p>
    <w:p w14:paraId="3E831745" w14:textId="77777777" w:rsidR="002F6502" w:rsidRPr="00E14102" w:rsidRDefault="002F6502" w:rsidP="00E14102">
      <w:pPr>
        <w:tabs>
          <w:tab w:val="left" w:pos="781"/>
        </w:tabs>
        <w:jc w:val="both"/>
        <w:rPr>
          <w:color w:val="000000" w:themeColor="text1"/>
          <w:sz w:val="16"/>
          <w:szCs w:val="16"/>
        </w:rPr>
      </w:pPr>
      <w:r w:rsidRPr="00E14102">
        <w:rPr>
          <w:color w:val="000000" w:themeColor="text1"/>
          <w:sz w:val="16"/>
          <w:szCs w:val="16"/>
        </w:rPr>
        <w:t>6) Обязать ЦАГИ изготовить чертежи в следующие сроки:</w:t>
      </w:r>
    </w:p>
    <w:p w14:paraId="46209306" w14:textId="77777777" w:rsidR="002F6502" w:rsidRPr="00E14102" w:rsidRDefault="002F6502" w:rsidP="00E14102">
      <w:pPr>
        <w:tabs>
          <w:tab w:val="left" w:pos="3706"/>
          <w:tab w:val="left" w:pos="4286"/>
        </w:tabs>
        <w:jc w:val="both"/>
        <w:rPr>
          <w:color w:val="000000" w:themeColor="text1"/>
          <w:sz w:val="16"/>
          <w:szCs w:val="16"/>
        </w:rPr>
      </w:pPr>
      <w:r w:rsidRPr="00E14102">
        <w:rPr>
          <w:color w:val="000000" w:themeColor="text1"/>
          <w:sz w:val="16"/>
          <w:szCs w:val="16"/>
        </w:rPr>
        <w:t>крыло</w:t>
      </w:r>
      <w:r w:rsidRPr="00E14102">
        <w:rPr>
          <w:color w:val="000000" w:themeColor="text1"/>
          <w:sz w:val="16"/>
          <w:szCs w:val="16"/>
        </w:rPr>
        <w:tab/>
        <w:t>-</w:t>
      </w:r>
      <w:r w:rsidRPr="00E14102">
        <w:rPr>
          <w:color w:val="000000" w:themeColor="text1"/>
          <w:sz w:val="16"/>
          <w:szCs w:val="16"/>
        </w:rPr>
        <w:tab/>
        <w:t>20 июля</w:t>
      </w:r>
    </w:p>
    <w:p w14:paraId="6AB528AA" w14:textId="77777777" w:rsidR="002F6502" w:rsidRPr="00E14102" w:rsidRDefault="002F6502" w:rsidP="00E14102">
      <w:pPr>
        <w:tabs>
          <w:tab w:val="left" w:pos="3710"/>
          <w:tab w:val="left" w:pos="4291"/>
        </w:tabs>
        <w:jc w:val="both"/>
        <w:rPr>
          <w:color w:val="000000" w:themeColor="text1"/>
          <w:sz w:val="16"/>
          <w:szCs w:val="16"/>
        </w:rPr>
      </w:pPr>
      <w:r w:rsidRPr="00E14102">
        <w:rPr>
          <w:color w:val="000000" w:themeColor="text1"/>
          <w:sz w:val="16"/>
          <w:szCs w:val="16"/>
        </w:rPr>
        <w:t>центроплан</w:t>
      </w:r>
      <w:r w:rsidRPr="00E14102">
        <w:rPr>
          <w:color w:val="000000" w:themeColor="text1"/>
          <w:sz w:val="16"/>
          <w:szCs w:val="16"/>
        </w:rPr>
        <w:tab/>
        <w:t>-</w:t>
      </w:r>
      <w:r w:rsidRPr="00E14102">
        <w:rPr>
          <w:color w:val="000000" w:themeColor="text1"/>
          <w:sz w:val="16"/>
          <w:szCs w:val="16"/>
        </w:rPr>
        <w:tab/>
        <w:t>1 августа</w:t>
      </w:r>
    </w:p>
    <w:p w14:paraId="42E5F9A5" w14:textId="77777777" w:rsidR="002F6502" w:rsidRPr="00E14102" w:rsidRDefault="002F6502" w:rsidP="00E14102">
      <w:pPr>
        <w:tabs>
          <w:tab w:val="left" w:pos="3706"/>
          <w:tab w:val="left" w:pos="4286"/>
        </w:tabs>
        <w:jc w:val="both"/>
        <w:rPr>
          <w:color w:val="000000" w:themeColor="text1"/>
          <w:sz w:val="16"/>
          <w:szCs w:val="16"/>
        </w:rPr>
      </w:pPr>
      <w:r w:rsidRPr="00E14102">
        <w:rPr>
          <w:color w:val="000000" w:themeColor="text1"/>
          <w:sz w:val="16"/>
          <w:szCs w:val="16"/>
        </w:rPr>
        <w:t>фюзеляж</w:t>
      </w:r>
      <w:r w:rsidRPr="00E14102">
        <w:rPr>
          <w:color w:val="000000" w:themeColor="text1"/>
          <w:sz w:val="16"/>
          <w:szCs w:val="16"/>
        </w:rPr>
        <w:tab/>
        <w:t>-</w:t>
      </w:r>
      <w:r w:rsidRPr="00E14102">
        <w:rPr>
          <w:color w:val="000000" w:themeColor="text1"/>
          <w:sz w:val="16"/>
          <w:szCs w:val="16"/>
        </w:rPr>
        <w:tab/>
        <w:t>1 сентября</w:t>
      </w:r>
    </w:p>
    <w:p w14:paraId="0BA6FA66" w14:textId="77777777" w:rsidR="002F6502" w:rsidRPr="00E14102" w:rsidRDefault="002F6502" w:rsidP="00E14102">
      <w:pPr>
        <w:tabs>
          <w:tab w:val="left" w:pos="3706"/>
          <w:tab w:val="left" w:pos="4286"/>
        </w:tabs>
        <w:jc w:val="both"/>
        <w:rPr>
          <w:color w:val="000000" w:themeColor="text1"/>
          <w:sz w:val="16"/>
          <w:szCs w:val="16"/>
        </w:rPr>
      </w:pPr>
      <w:r w:rsidRPr="00E14102">
        <w:rPr>
          <w:color w:val="000000" w:themeColor="text1"/>
          <w:sz w:val="16"/>
          <w:szCs w:val="16"/>
        </w:rPr>
        <w:t>оперение</w:t>
      </w:r>
      <w:r w:rsidRPr="00E14102">
        <w:rPr>
          <w:color w:val="000000" w:themeColor="text1"/>
          <w:sz w:val="16"/>
          <w:szCs w:val="16"/>
        </w:rPr>
        <w:tab/>
        <w:t>-</w:t>
      </w:r>
      <w:r w:rsidRPr="00E14102">
        <w:rPr>
          <w:color w:val="000000" w:themeColor="text1"/>
          <w:sz w:val="16"/>
          <w:szCs w:val="16"/>
        </w:rPr>
        <w:tab/>
        <w:t>1 октября</w:t>
      </w:r>
    </w:p>
    <w:p w14:paraId="1FE0CB29" w14:textId="77777777" w:rsidR="002F6502" w:rsidRPr="00E14102" w:rsidRDefault="002F6502" w:rsidP="00E14102">
      <w:pPr>
        <w:tabs>
          <w:tab w:val="left" w:pos="4286"/>
        </w:tabs>
        <w:jc w:val="both"/>
        <w:rPr>
          <w:color w:val="000000" w:themeColor="text1"/>
          <w:sz w:val="16"/>
          <w:szCs w:val="16"/>
        </w:rPr>
      </w:pPr>
      <w:r w:rsidRPr="00E14102">
        <w:rPr>
          <w:color w:val="000000" w:themeColor="text1"/>
          <w:sz w:val="16"/>
          <w:szCs w:val="16"/>
        </w:rPr>
        <w:t>управление самолетом -</w:t>
      </w:r>
      <w:r w:rsidRPr="00E14102">
        <w:rPr>
          <w:color w:val="000000" w:themeColor="text1"/>
          <w:sz w:val="16"/>
          <w:szCs w:val="16"/>
        </w:rPr>
        <w:tab/>
        <w:t>1 октября</w:t>
      </w:r>
    </w:p>
    <w:p w14:paraId="0DDEAEE7" w14:textId="77777777" w:rsidR="002F6502" w:rsidRPr="00E14102" w:rsidRDefault="002F6502" w:rsidP="00E14102">
      <w:pPr>
        <w:tabs>
          <w:tab w:val="left" w:pos="4286"/>
        </w:tabs>
        <w:jc w:val="both"/>
        <w:rPr>
          <w:color w:val="000000" w:themeColor="text1"/>
          <w:sz w:val="16"/>
          <w:szCs w:val="16"/>
        </w:rPr>
      </w:pPr>
      <w:r w:rsidRPr="00E14102">
        <w:rPr>
          <w:color w:val="000000" w:themeColor="text1"/>
          <w:sz w:val="16"/>
          <w:szCs w:val="16"/>
        </w:rPr>
        <w:t>шасси</w:t>
      </w:r>
      <w:r w:rsidRPr="00E14102">
        <w:rPr>
          <w:color w:val="000000" w:themeColor="text1"/>
          <w:sz w:val="16"/>
          <w:szCs w:val="16"/>
        </w:rPr>
        <w:tab/>
        <w:t>15 июля</w:t>
      </w:r>
    </w:p>
    <w:p w14:paraId="32E88094" w14:textId="77777777" w:rsidR="002F6502" w:rsidRPr="00E14102" w:rsidRDefault="002F6502" w:rsidP="00E14102">
      <w:pPr>
        <w:tabs>
          <w:tab w:val="left" w:pos="4286"/>
        </w:tabs>
        <w:jc w:val="both"/>
        <w:rPr>
          <w:color w:val="000000" w:themeColor="text1"/>
          <w:sz w:val="16"/>
          <w:szCs w:val="16"/>
        </w:rPr>
      </w:pPr>
      <w:r w:rsidRPr="00E14102">
        <w:rPr>
          <w:color w:val="000000" w:themeColor="text1"/>
          <w:sz w:val="16"/>
          <w:szCs w:val="16"/>
        </w:rPr>
        <w:t>мотооборудование внутреннее оборудование</w:t>
      </w:r>
      <w:r w:rsidRPr="00E14102">
        <w:rPr>
          <w:color w:val="000000" w:themeColor="text1"/>
          <w:sz w:val="16"/>
          <w:szCs w:val="16"/>
        </w:rPr>
        <w:tab/>
        <w:t>1 ноября</w:t>
      </w:r>
    </w:p>
    <w:p w14:paraId="1C996B22" w14:textId="77777777" w:rsidR="002F6502" w:rsidRPr="00E14102" w:rsidRDefault="002F6502" w:rsidP="00E14102">
      <w:pPr>
        <w:tabs>
          <w:tab w:val="left" w:pos="4286"/>
        </w:tabs>
        <w:jc w:val="both"/>
        <w:rPr>
          <w:color w:val="000000" w:themeColor="text1"/>
          <w:sz w:val="16"/>
          <w:szCs w:val="16"/>
        </w:rPr>
      </w:pPr>
      <w:r w:rsidRPr="00E14102">
        <w:rPr>
          <w:color w:val="000000" w:themeColor="text1"/>
          <w:sz w:val="16"/>
          <w:szCs w:val="16"/>
        </w:rPr>
        <w:t>винты</w:t>
      </w:r>
      <w:r w:rsidRPr="00E14102">
        <w:rPr>
          <w:color w:val="000000" w:themeColor="text1"/>
          <w:sz w:val="16"/>
          <w:szCs w:val="16"/>
        </w:rPr>
        <w:tab/>
        <w:t>с 1 августа по 1 ноября</w:t>
      </w:r>
    </w:p>
    <w:p w14:paraId="44AFC820" w14:textId="77777777" w:rsidR="002F6502" w:rsidRPr="00E14102" w:rsidRDefault="002F6502" w:rsidP="00E14102">
      <w:pPr>
        <w:tabs>
          <w:tab w:val="left" w:pos="4286"/>
        </w:tabs>
        <w:jc w:val="both"/>
        <w:rPr>
          <w:color w:val="000000" w:themeColor="text1"/>
          <w:sz w:val="16"/>
          <w:szCs w:val="16"/>
        </w:rPr>
      </w:pPr>
      <w:r w:rsidRPr="00E14102">
        <w:rPr>
          <w:color w:val="000000" w:themeColor="text1"/>
          <w:sz w:val="16"/>
          <w:szCs w:val="16"/>
        </w:rPr>
        <w:t>баки</w:t>
      </w:r>
      <w:r w:rsidRPr="00E14102">
        <w:rPr>
          <w:color w:val="000000" w:themeColor="text1"/>
          <w:sz w:val="16"/>
          <w:szCs w:val="16"/>
        </w:rPr>
        <w:tab/>
        <w:t>1 сентября 1 июля</w:t>
      </w:r>
    </w:p>
    <w:p w14:paraId="269D461F" w14:textId="77777777" w:rsidR="002F6502" w:rsidRPr="00E14102" w:rsidRDefault="002F6502" w:rsidP="00E14102">
      <w:pPr>
        <w:tabs>
          <w:tab w:val="left" w:pos="4286"/>
        </w:tabs>
        <w:jc w:val="both"/>
        <w:rPr>
          <w:color w:val="000000" w:themeColor="text1"/>
          <w:sz w:val="16"/>
          <w:szCs w:val="16"/>
        </w:rPr>
      </w:pPr>
      <w:r w:rsidRPr="00E14102">
        <w:rPr>
          <w:color w:val="000000" w:themeColor="text1"/>
          <w:sz w:val="16"/>
          <w:szCs w:val="16"/>
        </w:rPr>
        <w:t>колеса и управление] тормоз[ом]</w:t>
      </w:r>
      <w:r w:rsidRPr="00E14102">
        <w:rPr>
          <w:color w:val="000000" w:themeColor="text1"/>
          <w:sz w:val="16"/>
          <w:szCs w:val="16"/>
        </w:rPr>
        <w:tab/>
        <w:t>1 июля</w:t>
      </w:r>
    </w:p>
    <w:p w14:paraId="7A97EC93" w14:textId="77777777" w:rsidR="002F6502" w:rsidRPr="00E14102" w:rsidRDefault="002F6502" w:rsidP="00E14102">
      <w:pPr>
        <w:jc w:val="both"/>
        <w:rPr>
          <w:color w:val="000000" w:themeColor="text1"/>
          <w:sz w:val="16"/>
          <w:szCs w:val="16"/>
        </w:rPr>
      </w:pPr>
      <w:r w:rsidRPr="00E14102">
        <w:rPr>
          <w:color w:val="000000" w:themeColor="text1"/>
          <w:sz w:val="16"/>
          <w:szCs w:val="16"/>
        </w:rPr>
        <w:t>Одновременно с изготовлением чертежей для производства свое</w:t>
      </w:r>
      <w:r w:rsidRPr="00E14102">
        <w:rPr>
          <w:color w:val="000000" w:themeColor="text1"/>
          <w:sz w:val="16"/>
          <w:szCs w:val="16"/>
        </w:rPr>
        <w:softHyphen/>
        <w:t>го самолета, обязать ЦАГИ передавать чертежи заводу № 22.</w:t>
      </w:r>
    </w:p>
    <w:p w14:paraId="315BB106" w14:textId="77777777" w:rsidR="002F6502" w:rsidRPr="00E14102" w:rsidRDefault="002F6502" w:rsidP="00E14102">
      <w:pPr>
        <w:tabs>
          <w:tab w:val="left" w:pos="822"/>
        </w:tabs>
        <w:jc w:val="both"/>
        <w:rPr>
          <w:color w:val="000000" w:themeColor="text1"/>
          <w:sz w:val="16"/>
          <w:szCs w:val="16"/>
        </w:rPr>
      </w:pPr>
      <w:r w:rsidRPr="00E14102">
        <w:rPr>
          <w:color w:val="000000" w:themeColor="text1"/>
          <w:sz w:val="16"/>
          <w:szCs w:val="16"/>
        </w:rPr>
        <w:t>7. Обязать директора завода № 24 тов. Марьямова подать ЦАГИ 8 штук моторов, из них — один мотор к 1-му августа и 7 моторов в октябре месяце.</w:t>
      </w:r>
    </w:p>
    <w:p w14:paraId="25A30321" w14:textId="77777777" w:rsidR="002F6502" w:rsidRPr="00E14102" w:rsidRDefault="002F6502" w:rsidP="00E14102">
      <w:pPr>
        <w:jc w:val="both"/>
        <w:rPr>
          <w:color w:val="000000" w:themeColor="text1"/>
          <w:sz w:val="16"/>
          <w:szCs w:val="16"/>
        </w:rPr>
      </w:pPr>
      <w:r w:rsidRPr="00E14102">
        <w:rPr>
          <w:color w:val="000000" w:themeColor="text1"/>
          <w:sz w:val="16"/>
          <w:szCs w:val="16"/>
        </w:rPr>
        <w:t>Для завода № 22 подать один мотор в январе месяце, остальные — в апреле.</w:t>
      </w:r>
    </w:p>
    <w:p w14:paraId="79BBDB8E" w14:textId="77777777" w:rsidR="002F6502" w:rsidRPr="00E14102" w:rsidRDefault="002F6502" w:rsidP="00E14102">
      <w:pPr>
        <w:tabs>
          <w:tab w:val="left" w:pos="846"/>
        </w:tabs>
        <w:jc w:val="both"/>
        <w:rPr>
          <w:color w:val="000000" w:themeColor="text1"/>
          <w:sz w:val="16"/>
          <w:szCs w:val="16"/>
        </w:rPr>
      </w:pPr>
      <w:r w:rsidRPr="00E14102">
        <w:rPr>
          <w:color w:val="000000" w:themeColor="text1"/>
          <w:sz w:val="16"/>
          <w:szCs w:val="16"/>
        </w:rPr>
        <w:t>8) Обязать ЦАГИ, персонально профессора Александрова дать технические условия на изготовление металлических винтов и опытные чертежи в 2-х вариантах 15-20 июня и совместно с тов. Мельниковым и соответствующими организациями составить план изготовления этих винтов со сроком готовности к 1-му августа.</w:t>
      </w:r>
    </w:p>
    <w:p w14:paraId="36E2DD3C" w14:textId="77777777" w:rsidR="002F6502" w:rsidRPr="00E14102" w:rsidRDefault="002F6502" w:rsidP="00E14102">
      <w:pPr>
        <w:tabs>
          <w:tab w:val="left" w:pos="831"/>
        </w:tabs>
        <w:jc w:val="both"/>
        <w:rPr>
          <w:color w:val="000000" w:themeColor="text1"/>
          <w:sz w:val="16"/>
          <w:szCs w:val="16"/>
        </w:rPr>
      </w:pPr>
      <w:r w:rsidRPr="00E14102">
        <w:rPr>
          <w:color w:val="000000" w:themeColor="text1"/>
          <w:sz w:val="16"/>
          <w:szCs w:val="16"/>
        </w:rPr>
        <w:t>9) Обязать завод № 120 изготовить один комплект двухметровых колес для ЦАГИ в январе месяце 1936 г., для завода № 22 - в апреле ме</w:t>
      </w:r>
      <w:r w:rsidRPr="00E14102">
        <w:rPr>
          <w:color w:val="000000" w:themeColor="text1"/>
          <w:sz w:val="16"/>
          <w:szCs w:val="16"/>
        </w:rPr>
        <w:softHyphen/>
        <w:t>сяце 1936 г. ЦАГИ передать заводу № 120 чертежи на колеса к 1-му июля.</w:t>
      </w:r>
    </w:p>
    <w:p w14:paraId="384E0A02" w14:textId="77777777" w:rsidR="002F6502" w:rsidRPr="00E14102" w:rsidRDefault="002F6502" w:rsidP="00E14102">
      <w:pPr>
        <w:tabs>
          <w:tab w:val="left" w:pos="937"/>
        </w:tabs>
        <w:jc w:val="both"/>
        <w:rPr>
          <w:color w:val="000000" w:themeColor="text1"/>
          <w:sz w:val="16"/>
          <w:szCs w:val="16"/>
        </w:rPr>
      </w:pPr>
      <w:r w:rsidRPr="00E14102">
        <w:rPr>
          <w:color w:val="000000" w:themeColor="text1"/>
          <w:sz w:val="16"/>
          <w:szCs w:val="16"/>
        </w:rPr>
        <w:t>10) Обязать завод № 34 изготовить 3 комплекта радиаторов по чертежам ЦАГИ.</w:t>
      </w:r>
    </w:p>
    <w:p w14:paraId="24E2C5F2" w14:textId="77777777" w:rsidR="002F6502" w:rsidRPr="00E14102" w:rsidRDefault="002F6502" w:rsidP="00E14102">
      <w:pPr>
        <w:jc w:val="both"/>
        <w:rPr>
          <w:color w:val="000000" w:themeColor="text1"/>
          <w:sz w:val="16"/>
          <w:szCs w:val="16"/>
        </w:rPr>
      </w:pPr>
      <w:r w:rsidRPr="00E14102">
        <w:rPr>
          <w:color w:val="000000" w:themeColor="text1"/>
          <w:sz w:val="16"/>
          <w:szCs w:val="16"/>
        </w:rPr>
        <w:t>ЦАГИ изготовить радиатор в виде опытного образца для испыта</w:t>
      </w:r>
      <w:r w:rsidRPr="00E14102">
        <w:rPr>
          <w:color w:val="000000" w:themeColor="text1"/>
          <w:sz w:val="16"/>
          <w:szCs w:val="16"/>
        </w:rPr>
        <w:softHyphen/>
        <w:t>ния на моторе к 1 августа, одновременно передав все материалы заводу № 34 для ознакомления.</w:t>
      </w:r>
    </w:p>
    <w:p w14:paraId="2AD098E0" w14:textId="77777777" w:rsidR="002F6502" w:rsidRPr="00E14102" w:rsidRDefault="002F6502" w:rsidP="00E14102">
      <w:pPr>
        <w:tabs>
          <w:tab w:val="left" w:pos="956"/>
        </w:tabs>
        <w:jc w:val="both"/>
        <w:rPr>
          <w:color w:val="000000" w:themeColor="text1"/>
          <w:sz w:val="16"/>
          <w:szCs w:val="16"/>
        </w:rPr>
      </w:pPr>
      <w:r w:rsidRPr="00E14102">
        <w:rPr>
          <w:color w:val="000000" w:themeColor="text1"/>
          <w:sz w:val="16"/>
          <w:szCs w:val="16"/>
        </w:rPr>
        <w:t>11) В качестве материала для постройки самолетов применять супер-дюраль, сплав 95 с механическими данными минимум 44, с пода</w:t>
      </w:r>
      <w:r w:rsidRPr="00E14102">
        <w:rPr>
          <w:color w:val="000000" w:themeColor="text1"/>
          <w:sz w:val="16"/>
          <w:szCs w:val="16"/>
        </w:rPr>
        <w:softHyphen/>
        <w:t>чей его для ЦАГИ комплектно на один самолет в августе месяце, для за</w:t>
      </w:r>
      <w:r w:rsidRPr="00E14102">
        <w:rPr>
          <w:color w:val="000000" w:themeColor="text1"/>
          <w:sz w:val="16"/>
          <w:szCs w:val="16"/>
        </w:rPr>
        <w:softHyphen/>
        <w:t>вода № 22 комплектно на 2 самолета к 1 декабря.</w:t>
      </w:r>
    </w:p>
    <w:p w14:paraId="1F85998D" w14:textId="77777777" w:rsidR="002F6502" w:rsidRPr="00E14102" w:rsidRDefault="002F6502" w:rsidP="00E14102">
      <w:pPr>
        <w:jc w:val="both"/>
        <w:rPr>
          <w:color w:val="000000" w:themeColor="text1"/>
          <w:sz w:val="16"/>
          <w:szCs w:val="16"/>
        </w:rPr>
      </w:pPr>
      <w:r w:rsidRPr="00E14102">
        <w:rPr>
          <w:color w:val="000000" w:themeColor="text1"/>
          <w:sz w:val="16"/>
          <w:szCs w:val="16"/>
        </w:rPr>
        <w:t>Спецификацию на материал составить ЦАГИ совместно с ВИАМом, заводом № 22 и Авиаснабом к 15 июня.</w:t>
      </w:r>
    </w:p>
    <w:p w14:paraId="63607755" w14:textId="77777777" w:rsidR="002F6502" w:rsidRPr="00E14102" w:rsidRDefault="002F6502" w:rsidP="00E14102">
      <w:pPr>
        <w:jc w:val="both"/>
        <w:rPr>
          <w:color w:val="000000" w:themeColor="text1"/>
          <w:sz w:val="16"/>
          <w:szCs w:val="16"/>
        </w:rPr>
      </w:pPr>
      <w:r w:rsidRPr="00E14102">
        <w:rPr>
          <w:color w:val="000000" w:themeColor="text1"/>
          <w:sz w:val="16"/>
          <w:szCs w:val="16"/>
        </w:rPr>
        <w:t>При составлении спецификации определить сроки подачи мате</w:t>
      </w:r>
      <w:r w:rsidRPr="00E14102">
        <w:rPr>
          <w:color w:val="000000" w:themeColor="text1"/>
          <w:sz w:val="16"/>
          <w:szCs w:val="16"/>
        </w:rPr>
        <w:softHyphen/>
        <w:t>риалов как для ЦАГИ, так и для завода № 22.</w:t>
      </w:r>
    </w:p>
    <w:p w14:paraId="06CEF22A" w14:textId="77777777" w:rsidR="002F6502" w:rsidRPr="00E14102" w:rsidRDefault="002F6502" w:rsidP="00E14102">
      <w:pPr>
        <w:tabs>
          <w:tab w:val="left" w:pos="887"/>
        </w:tabs>
        <w:jc w:val="both"/>
        <w:rPr>
          <w:color w:val="000000" w:themeColor="text1"/>
          <w:sz w:val="16"/>
          <w:szCs w:val="16"/>
        </w:rPr>
      </w:pPr>
      <w:r w:rsidRPr="00E14102">
        <w:rPr>
          <w:color w:val="000000" w:themeColor="text1"/>
          <w:sz w:val="16"/>
          <w:szCs w:val="16"/>
        </w:rPr>
        <w:t>12) ЦАГИ передать заводу № 95 станок для грофа.</w:t>
      </w:r>
    </w:p>
    <w:p w14:paraId="4C2CF984" w14:textId="77777777" w:rsidR="002F6502" w:rsidRPr="00E14102" w:rsidRDefault="002F6502" w:rsidP="00E14102">
      <w:pPr>
        <w:tabs>
          <w:tab w:val="left" w:pos="913"/>
        </w:tabs>
        <w:jc w:val="both"/>
        <w:rPr>
          <w:color w:val="000000" w:themeColor="text1"/>
          <w:sz w:val="16"/>
          <w:szCs w:val="16"/>
        </w:rPr>
      </w:pPr>
      <w:r w:rsidRPr="00E14102">
        <w:rPr>
          <w:color w:val="000000" w:themeColor="text1"/>
          <w:sz w:val="16"/>
          <w:szCs w:val="16"/>
        </w:rPr>
        <w:t>13) Тов. Лобанову совместно с ЦАГИ вести заказ материалов по цветным и черным металлам по одному договору ЦАГИ, за исключе</w:t>
      </w:r>
      <w:r w:rsidRPr="00E14102">
        <w:rPr>
          <w:color w:val="000000" w:themeColor="text1"/>
          <w:sz w:val="16"/>
          <w:szCs w:val="16"/>
        </w:rPr>
        <w:softHyphen/>
        <w:t>нием завода № 95, по специальным техническим условиям и в соответ</w:t>
      </w:r>
      <w:r w:rsidRPr="00E14102">
        <w:rPr>
          <w:color w:val="000000" w:themeColor="text1"/>
          <w:sz w:val="16"/>
          <w:szCs w:val="16"/>
        </w:rPr>
        <w:softHyphen/>
        <w:t>ствующие сроки как для ЦАГИ, так и для завода № 22</w:t>
      </w:r>
    </w:p>
    <w:p w14:paraId="746D28FF" w14:textId="77777777" w:rsidR="002F6502" w:rsidRPr="00E14102" w:rsidRDefault="002F6502" w:rsidP="00E14102">
      <w:pPr>
        <w:tabs>
          <w:tab w:val="left" w:pos="927"/>
        </w:tabs>
        <w:jc w:val="both"/>
        <w:rPr>
          <w:color w:val="000000" w:themeColor="text1"/>
          <w:sz w:val="16"/>
          <w:szCs w:val="16"/>
        </w:rPr>
      </w:pPr>
      <w:r w:rsidRPr="00E14102">
        <w:rPr>
          <w:color w:val="000000" w:themeColor="text1"/>
          <w:sz w:val="16"/>
          <w:szCs w:val="16"/>
        </w:rPr>
        <w:t>14) Тов. Лобанову совместно с ЦАГИ дать заказ на лакокраски, поковки, хромомолибденовые трубы, приборы, аппаратуру и все техни</w:t>
      </w:r>
      <w:r w:rsidRPr="00E14102">
        <w:rPr>
          <w:color w:val="000000" w:themeColor="text1"/>
          <w:sz w:val="16"/>
          <w:szCs w:val="16"/>
        </w:rPr>
        <w:softHyphen/>
        <w:t>ческое оборудование по техническим условиям ЦАГИ.</w:t>
      </w:r>
    </w:p>
    <w:p w14:paraId="1ACABBFF" w14:textId="77777777" w:rsidR="002F6502" w:rsidRPr="00E14102" w:rsidRDefault="002F6502" w:rsidP="00E14102">
      <w:pPr>
        <w:jc w:val="both"/>
        <w:rPr>
          <w:color w:val="000000" w:themeColor="text1"/>
          <w:sz w:val="16"/>
          <w:szCs w:val="16"/>
        </w:rPr>
      </w:pPr>
      <w:r w:rsidRPr="00E14102">
        <w:rPr>
          <w:color w:val="000000" w:themeColor="text1"/>
          <w:sz w:val="16"/>
          <w:szCs w:val="16"/>
        </w:rPr>
        <w:t>Срок оформления всех заказов — 1 июля.</w:t>
      </w:r>
    </w:p>
    <w:p w14:paraId="6E9AD4C4" w14:textId="77777777" w:rsidR="002F6502" w:rsidRPr="00E14102" w:rsidRDefault="002F6502" w:rsidP="00E14102">
      <w:pPr>
        <w:tabs>
          <w:tab w:val="left" w:pos="932"/>
        </w:tabs>
        <w:jc w:val="both"/>
        <w:rPr>
          <w:color w:val="000000" w:themeColor="text1"/>
          <w:sz w:val="16"/>
          <w:szCs w:val="16"/>
        </w:rPr>
      </w:pPr>
      <w:r w:rsidRPr="00E14102">
        <w:rPr>
          <w:color w:val="000000" w:themeColor="text1"/>
          <w:sz w:val="16"/>
          <w:szCs w:val="16"/>
        </w:rPr>
        <w:lastRenderedPageBreak/>
        <w:t>15) Тов. Чаусскому, моторному и самолетному отделам совмест</w:t>
      </w:r>
      <w:r w:rsidRPr="00E14102">
        <w:rPr>
          <w:color w:val="000000" w:themeColor="text1"/>
          <w:sz w:val="16"/>
          <w:szCs w:val="16"/>
        </w:rPr>
        <w:softHyphen/>
        <w:t>но с ЦАГИ представить мне план механической обработки отдельных узлов, как на заводах нашей системы, так и на заводах системы НКТП, для всех самолетов.</w:t>
      </w:r>
    </w:p>
    <w:p w14:paraId="44E146B5" w14:textId="77777777" w:rsidR="002F6502" w:rsidRPr="00E14102" w:rsidRDefault="002F6502" w:rsidP="00E14102">
      <w:pPr>
        <w:jc w:val="both"/>
        <w:rPr>
          <w:color w:val="000000" w:themeColor="text1"/>
          <w:sz w:val="16"/>
          <w:szCs w:val="16"/>
        </w:rPr>
      </w:pPr>
      <w:r w:rsidRPr="00E14102">
        <w:rPr>
          <w:color w:val="000000" w:themeColor="text1"/>
          <w:sz w:val="16"/>
          <w:szCs w:val="16"/>
        </w:rPr>
        <w:t>Срок заключения договора — 1 июля.</w:t>
      </w:r>
    </w:p>
    <w:p w14:paraId="11626FFD" w14:textId="77777777" w:rsidR="002F6502" w:rsidRPr="00E14102" w:rsidRDefault="002F6502" w:rsidP="00E14102">
      <w:pPr>
        <w:tabs>
          <w:tab w:val="left" w:pos="908"/>
        </w:tabs>
        <w:jc w:val="both"/>
        <w:rPr>
          <w:color w:val="000000" w:themeColor="text1"/>
          <w:sz w:val="16"/>
          <w:szCs w:val="16"/>
        </w:rPr>
      </w:pPr>
      <w:r w:rsidRPr="00E14102">
        <w:rPr>
          <w:color w:val="000000" w:themeColor="text1"/>
          <w:sz w:val="16"/>
          <w:szCs w:val="16"/>
        </w:rPr>
        <w:t>16) Тов. Чаусскому, Зорину совместно с ЦАГИ и заводом № 22 к 10 июля проработать вопрос о дополнительном отпуске станков и дру</w:t>
      </w:r>
      <w:r w:rsidRPr="00E14102">
        <w:rPr>
          <w:color w:val="000000" w:themeColor="text1"/>
          <w:sz w:val="16"/>
          <w:szCs w:val="16"/>
        </w:rPr>
        <w:softHyphen/>
        <w:t>гих видов оборудования.</w:t>
      </w:r>
    </w:p>
    <w:p w14:paraId="086EF569" w14:textId="77777777" w:rsidR="002F6502" w:rsidRPr="00E14102" w:rsidRDefault="002F6502" w:rsidP="00E14102">
      <w:pPr>
        <w:tabs>
          <w:tab w:val="left" w:pos="889"/>
        </w:tabs>
        <w:jc w:val="both"/>
        <w:rPr>
          <w:color w:val="000000" w:themeColor="text1"/>
          <w:sz w:val="16"/>
          <w:szCs w:val="16"/>
        </w:rPr>
      </w:pPr>
      <w:r w:rsidRPr="00E14102">
        <w:rPr>
          <w:color w:val="000000" w:themeColor="text1"/>
          <w:sz w:val="16"/>
          <w:szCs w:val="16"/>
        </w:rPr>
        <w:t>17) Тов. Литвинову совместно с ЦАГИ и заводами №№ 22 и 24 со</w:t>
      </w:r>
      <w:r w:rsidRPr="00E14102">
        <w:rPr>
          <w:color w:val="000000" w:themeColor="text1"/>
          <w:sz w:val="16"/>
          <w:szCs w:val="16"/>
        </w:rPr>
        <w:softHyphen/>
        <w:t>ставить финансовый план по этому виду производства.</w:t>
      </w:r>
    </w:p>
    <w:p w14:paraId="23C96EF9" w14:textId="77777777" w:rsidR="002F6502" w:rsidRPr="00E14102" w:rsidRDefault="002F6502" w:rsidP="00E14102">
      <w:pPr>
        <w:tabs>
          <w:tab w:val="left" w:pos="951"/>
        </w:tabs>
        <w:jc w:val="both"/>
        <w:rPr>
          <w:color w:val="000000" w:themeColor="text1"/>
          <w:sz w:val="16"/>
          <w:szCs w:val="16"/>
        </w:rPr>
      </w:pPr>
      <w:r w:rsidRPr="00E14102">
        <w:rPr>
          <w:color w:val="000000" w:themeColor="text1"/>
          <w:sz w:val="16"/>
          <w:szCs w:val="16"/>
        </w:rPr>
        <w:t>18) Планово-производственному отделу на основе настоящего решения составить техпромфинплан по всем 3-м самолетам.</w:t>
      </w:r>
    </w:p>
    <w:p w14:paraId="01B31848" w14:textId="77777777" w:rsidR="002F6502" w:rsidRPr="00E14102" w:rsidRDefault="002F6502" w:rsidP="00E14102">
      <w:pPr>
        <w:tabs>
          <w:tab w:val="left" w:pos="903"/>
        </w:tabs>
        <w:jc w:val="both"/>
        <w:rPr>
          <w:color w:val="000000" w:themeColor="text1"/>
          <w:sz w:val="16"/>
          <w:szCs w:val="16"/>
        </w:rPr>
      </w:pPr>
      <w:r w:rsidRPr="00E14102">
        <w:rPr>
          <w:color w:val="000000" w:themeColor="text1"/>
          <w:sz w:val="16"/>
          <w:szCs w:val="16"/>
        </w:rPr>
        <w:t>19) Тов. Соловьеву, Харламову, Марьямову и Миткевич на основе настоящего решения составить приказ ро Главному Управлению.</w:t>
      </w:r>
    </w:p>
    <w:p w14:paraId="4EB7431E" w14:textId="77777777" w:rsidR="002F6502" w:rsidRPr="00E14102" w:rsidRDefault="002F6502" w:rsidP="00E14102">
      <w:pPr>
        <w:tabs>
          <w:tab w:val="left" w:pos="918"/>
        </w:tabs>
        <w:jc w:val="both"/>
        <w:rPr>
          <w:color w:val="000000" w:themeColor="text1"/>
          <w:sz w:val="16"/>
          <w:szCs w:val="16"/>
        </w:rPr>
      </w:pPr>
      <w:r w:rsidRPr="00E14102">
        <w:rPr>
          <w:color w:val="000000" w:themeColor="text1"/>
          <w:sz w:val="16"/>
          <w:szCs w:val="16"/>
        </w:rPr>
        <w:t>20) Им же составить проект решения правительства о постройке и сроках выполнения задания по заводам, технических данных, финан</w:t>
      </w:r>
      <w:r w:rsidRPr="00E14102">
        <w:rPr>
          <w:color w:val="000000" w:themeColor="text1"/>
          <w:sz w:val="16"/>
          <w:szCs w:val="16"/>
        </w:rPr>
        <w:softHyphen/>
        <w:t>сировании, применении сверхурочных работ.</w:t>
      </w:r>
    </w:p>
    <w:p w14:paraId="6796C23F" w14:textId="77777777" w:rsidR="002F6502" w:rsidRPr="00E14102" w:rsidRDefault="002F6502" w:rsidP="00E14102">
      <w:pPr>
        <w:jc w:val="both"/>
        <w:rPr>
          <w:color w:val="000000" w:themeColor="text1"/>
          <w:sz w:val="16"/>
          <w:szCs w:val="16"/>
        </w:rPr>
      </w:pPr>
      <w:r w:rsidRPr="00E14102">
        <w:rPr>
          <w:color w:val="000000" w:themeColor="text1"/>
          <w:sz w:val="16"/>
          <w:szCs w:val="16"/>
        </w:rPr>
        <w:t>Срок — 28 мая с.г.</w:t>
      </w:r>
    </w:p>
    <w:p w14:paraId="1DA6CE65" w14:textId="77777777" w:rsidR="002F6502" w:rsidRPr="00E14102" w:rsidRDefault="002F6502" w:rsidP="00E14102">
      <w:pPr>
        <w:tabs>
          <w:tab w:val="left" w:pos="894"/>
        </w:tabs>
        <w:jc w:val="both"/>
        <w:rPr>
          <w:color w:val="000000" w:themeColor="text1"/>
          <w:sz w:val="16"/>
          <w:szCs w:val="16"/>
        </w:rPr>
      </w:pPr>
      <w:r w:rsidRPr="00E14102">
        <w:rPr>
          <w:color w:val="000000" w:themeColor="text1"/>
          <w:sz w:val="16"/>
          <w:szCs w:val="16"/>
        </w:rPr>
        <w:t>21) Тов. Петухову проработать план комплектования соответству</w:t>
      </w:r>
      <w:r w:rsidRPr="00E14102">
        <w:rPr>
          <w:color w:val="000000" w:themeColor="text1"/>
          <w:sz w:val="16"/>
          <w:szCs w:val="16"/>
        </w:rPr>
        <w:softHyphen/>
        <w:t>ющих заводов инженерно-техническим персоналом и рабсилой.</w:t>
      </w:r>
    </w:p>
    <w:p w14:paraId="2348B490" w14:textId="77777777" w:rsidR="002F6502" w:rsidRPr="00E14102" w:rsidRDefault="002F6502" w:rsidP="00E14102">
      <w:pPr>
        <w:tabs>
          <w:tab w:val="left" w:pos="894"/>
        </w:tabs>
        <w:jc w:val="both"/>
        <w:rPr>
          <w:color w:val="000000" w:themeColor="text1"/>
          <w:sz w:val="16"/>
          <w:szCs w:val="16"/>
        </w:rPr>
      </w:pPr>
      <w:r w:rsidRPr="00E14102">
        <w:rPr>
          <w:color w:val="000000" w:themeColor="text1"/>
          <w:sz w:val="16"/>
          <w:szCs w:val="16"/>
        </w:rPr>
        <w:t>22) Считать работу по постройке 3-х самолетов, во исполнение ре</w:t>
      </w:r>
      <w:r w:rsidRPr="00E14102">
        <w:rPr>
          <w:color w:val="000000" w:themeColor="text1"/>
          <w:sz w:val="16"/>
          <w:szCs w:val="16"/>
        </w:rPr>
        <w:softHyphen/>
        <w:t>шения правительства и партии, всей авиапромышленности — как честь.</w:t>
      </w:r>
    </w:p>
    <w:p w14:paraId="3743B0CF" w14:textId="77777777" w:rsidR="002F6502" w:rsidRPr="00E14102" w:rsidRDefault="002F6502" w:rsidP="00E14102">
      <w:pPr>
        <w:tabs>
          <w:tab w:val="left" w:pos="951"/>
        </w:tabs>
        <w:jc w:val="both"/>
        <w:rPr>
          <w:color w:val="000000" w:themeColor="text1"/>
          <w:sz w:val="16"/>
          <w:szCs w:val="16"/>
        </w:rPr>
      </w:pPr>
      <w:r w:rsidRPr="00E14102">
        <w:rPr>
          <w:color w:val="000000" w:themeColor="text1"/>
          <w:sz w:val="16"/>
          <w:szCs w:val="16"/>
        </w:rPr>
        <w:t>23) Качество этих самолетов должно быть и технически, и ор</w:t>
      </w:r>
      <w:r w:rsidRPr="00E14102">
        <w:rPr>
          <w:color w:val="000000" w:themeColor="text1"/>
          <w:sz w:val="16"/>
          <w:szCs w:val="16"/>
        </w:rPr>
        <w:softHyphen/>
        <w:t>ганизационно, и производственно отличным, почему и все директора должны дать продукцию самого лучшего качества.</w:t>
      </w:r>
    </w:p>
    <w:p w14:paraId="3AE2CD64" w14:textId="77777777" w:rsidR="002F6502" w:rsidRPr="00E14102" w:rsidRDefault="002F6502" w:rsidP="00E14102">
      <w:pPr>
        <w:tabs>
          <w:tab w:val="left" w:pos="5175"/>
        </w:tabs>
        <w:jc w:val="both"/>
        <w:rPr>
          <w:color w:val="000000" w:themeColor="text1"/>
          <w:sz w:val="16"/>
          <w:szCs w:val="16"/>
        </w:rPr>
      </w:pPr>
      <w:r w:rsidRPr="00E14102">
        <w:rPr>
          <w:color w:val="000000" w:themeColor="text1"/>
          <w:sz w:val="16"/>
          <w:szCs w:val="16"/>
        </w:rPr>
        <w:t>Председатель Г.Н. Королев</w:t>
      </w:r>
    </w:p>
    <w:p w14:paraId="29EE4727" w14:textId="77777777" w:rsidR="002F6502" w:rsidRPr="00E14102" w:rsidRDefault="002F6502" w:rsidP="00E14102">
      <w:pPr>
        <w:jc w:val="both"/>
        <w:rPr>
          <w:color w:val="000000" w:themeColor="text1"/>
          <w:sz w:val="16"/>
          <w:szCs w:val="16"/>
        </w:rPr>
      </w:pPr>
      <w:r w:rsidRPr="00E14102">
        <w:rPr>
          <w:color w:val="000000" w:themeColor="text1"/>
          <w:sz w:val="16"/>
          <w:szCs w:val="16"/>
        </w:rPr>
        <w:t>Резолюция: Петлякову. Прошу обсудить на совещании с работника</w:t>
      </w:r>
      <w:r w:rsidRPr="00E14102">
        <w:rPr>
          <w:color w:val="000000" w:themeColor="text1"/>
          <w:sz w:val="16"/>
          <w:szCs w:val="16"/>
        </w:rPr>
        <w:softHyphen/>
        <w:t>ми КО, ЗОР, ЦОЗ в порядке выполнения решений н[ачальни]ка ГУАП. Подготовить приказ по ЦАГИ. Харламов. 29 мая 1935 г. (15633).</w:t>
      </w:r>
    </w:p>
    <w:p w14:paraId="352C6422" w14:textId="77777777" w:rsidR="002F6502" w:rsidRPr="00E14102" w:rsidRDefault="002F6502" w:rsidP="00E14102">
      <w:pPr>
        <w:jc w:val="both"/>
        <w:rPr>
          <w:color w:val="000000" w:themeColor="text1"/>
          <w:sz w:val="16"/>
          <w:szCs w:val="16"/>
        </w:rPr>
      </w:pPr>
    </w:p>
    <w:p w14:paraId="030A3257" w14:textId="77777777" w:rsidR="002F650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939D9BF" w14:textId="77777777" w:rsidR="002F6502" w:rsidRPr="00E14102" w:rsidRDefault="002F6502" w:rsidP="00E14102">
      <w:pPr>
        <w:autoSpaceDE w:val="0"/>
        <w:autoSpaceDN w:val="0"/>
        <w:adjustRightInd w:val="0"/>
        <w:jc w:val="both"/>
        <w:rPr>
          <w:iCs/>
          <w:color w:val="000000" w:themeColor="text1"/>
          <w:sz w:val="16"/>
          <w:szCs w:val="16"/>
        </w:rPr>
      </w:pPr>
    </w:p>
    <w:p w14:paraId="7B633952" w14:textId="77777777" w:rsidR="002F6502" w:rsidRPr="00E14102" w:rsidRDefault="002F6502" w:rsidP="00E14102">
      <w:pPr>
        <w:pStyle w:val="rtejustify"/>
        <w:spacing w:before="0" w:after="0"/>
        <w:rPr>
          <w:color w:val="000000" w:themeColor="text1"/>
          <w:sz w:val="16"/>
          <w:szCs w:val="16"/>
        </w:rPr>
      </w:pPr>
      <w:r w:rsidRPr="00E14102">
        <w:rPr>
          <w:rStyle w:val="a6"/>
          <w:bCs/>
          <w:i w:val="0"/>
          <w:color w:val="000000" w:themeColor="text1"/>
          <w:sz w:val="16"/>
          <w:szCs w:val="16"/>
        </w:rPr>
        <w:t>27 мая 1935 вышел приказ НКО №</w:t>
      </w:r>
      <w:r w:rsidRPr="00E14102">
        <w:rPr>
          <w:color w:val="000000" w:themeColor="text1"/>
          <w:sz w:val="16"/>
          <w:szCs w:val="16"/>
        </w:rPr>
        <w:t> 0033. Об оборудовании опытного образца химизированного танка (15247).</w:t>
      </w:r>
    </w:p>
    <w:p w14:paraId="289AF3D4" w14:textId="77777777" w:rsidR="002F6502" w:rsidRPr="00E14102" w:rsidRDefault="002F6502" w:rsidP="00E14102">
      <w:pPr>
        <w:pStyle w:val="rtejustify"/>
        <w:spacing w:before="0" w:after="0"/>
        <w:rPr>
          <w:color w:val="000000" w:themeColor="text1"/>
          <w:sz w:val="16"/>
          <w:szCs w:val="16"/>
        </w:rPr>
      </w:pPr>
    </w:p>
    <w:p w14:paraId="5B88DB5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2C546656" w14:textId="77777777" w:rsidR="00D4105E" w:rsidRPr="00E14102" w:rsidRDefault="00D4105E" w:rsidP="00E14102">
      <w:pPr>
        <w:autoSpaceDE w:val="0"/>
        <w:autoSpaceDN w:val="0"/>
        <w:adjustRightInd w:val="0"/>
        <w:jc w:val="both"/>
        <w:rPr>
          <w:iCs/>
          <w:color w:val="000000" w:themeColor="text1"/>
          <w:sz w:val="16"/>
          <w:szCs w:val="16"/>
        </w:rPr>
      </w:pPr>
    </w:p>
    <w:p w14:paraId="3CE6CC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мая 1935 учредили военно-морской флаг СССР (3398,195).</w:t>
      </w:r>
    </w:p>
    <w:p w14:paraId="7D31F47D" w14:textId="77777777" w:rsidR="00D4105E" w:rsidRPr="00E14102" w:rsidRDefault="00D4105E" w:rsidP="00E14102">
      <w:pPr>
        <w:autoSpaceDE w:val="0"/>
        <w:autoSpaceDN w:val="0"/>
        <w:adjustRightInd w:val="0"/>
        <w:jc w:val="both"/>
        <w:rPr>
          <w:color w:val="000000" w:themeColor="text1"/>
          <w:sz w:val="16"/>
          <w:szCs w:val="16"/>
        </w:rPr>
      </w:pPr>
    </w:p>
    <w:p w14:paraId="007D4B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27 мая 1935 учреждение постановлением ЦИК и СНК СССР Военно-морского флага СССР. </w:t>
      </w:r>
    </w:p>
    <w:p w14:paraId="61D2FD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Этот флаг существует и поныне. Он представляет собой белое полотнище с голубой полосой вдоль нижней кромки, красными пятиконечной звездой, серпом и молотом, В крыжах вымпелов и брейд-вымпелов размещается Военно-морской флаг этого рисунка. </w:t>
      </w:r>
    </w:p>
    <w:p w14:paraId="766434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Были введены также новые флаги командующего флотом, старшего и младшего флагманов. На красном поле этих флагов в крыже помещен Военно-морской флаг СССР, а на поле белые звезды. Были присвоены новые флаги Народному комиссару обороны СССР, Начальнику Генерального (с 1938) штаба РККА, Начальнику Морских Сил РККА. 7 июля 1932 был утвержден ныне существующий гюйс для кораблей 1-го и 2-го ранга и крепостей: в центре красного полотнища — красная, окантованная белым, звезда с изображением серпа и молота. </w:t>
      </w:r>
    </w:p>
    <w:p w14:paraId="7D4D81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Изображения и названия флагов должностных лиц менялись в 1939, 1950 и 1964 в связи с изменениями в организации Советских Вооруженных Сил. Постановлением Совета Министров СССР от 21 апреля 1964 были утверждены флаги Верховного Главнокомандующего Вооруженными Силами СССР, Министра обороны СССР и начальника Генерального штаба ВС СССР и подтверждены флаги главнокомандующего ВМФ и начальника Главного штаба ВМФ (11712).</w:t>
      </w:r>
    </w:p>
    <w:p w14:paraId="216D8C07" w14:textId="77777777" w:rsidR="00D4105E" w:rsidRPr="00E14102" w:rsidRDefault="00D4105E" w:rsidP="00E14102">
      <w:pPr>
        <w:autoSpaceDE w:val="0"/>
        <w:autoSpaceDN w:val="0"/>
        <w:adjustRightInd w:val="0"/>
        <w:jc w:val="both"/>
        <w:rPr>
          <w:color w:val="000000" w:themeColor="text1"/>
          <w:sz w:val="16"/>
          <w:szCs w:val="16"/>
        </w:rPr>
      </w:pPr>
    </w:p>
    <w:p w14:paraId="02A1A68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E7DAB63" w14:textId="77777777" w:rsidR="00D4105E" w:rsidRPr="00E14102" w:rsidRDefault="00D4105E" w:rsidP="00E14102">
      <w:pPr>
        <w:autoSpaceDE w:val="0"/>
        <w:autoSpaceDN w:val="0"/>
        <w:adjustRightInd w:val="0"/>
        <w:jc w:val="both"/>
        <w:rPr>
          <w:iCs/>
          <w:color w:val="000000" w:themeColor="text1"/>
          <w:sz w:val="16"/>
          <w:szCs w:val="16"/>
        </w:rPr>
      </w:pPr>
    </w:p>
    <w:p w14:paraId="0624A6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мая 1935 по приказу Г.Ягоды, одобренному И.В.С., в республиканских, краевых и областных УНКВД были образованы тройки с правами особого совещания (высылка, ссылка, заключение в лагерь на срок до 5 лет) (3908,347).</w:t>
      </w:r>
    </w:p>
    <w:p w14:paraId="47142317" w14:textId="77777777" w:rsidR="00D4105E" w:rsidRPr="00E14102" w:rsidRDefault="00D4105E" w:rsidP="00E14102">
      <w:pPr>
        <w:autoSpaceDE w:val="0"/>
        <w:autoSpaceDN w:val="0"/>
        <w:adjustRightInd w:val="0"/>
        <w:jc w:val="both"/>
        <w:rPr>
          <w:color w:val="000000" w:themeColor="text1"/>
          <w:sz w:val="16"/>
          <w:szCs w:val="16"/>
        </w:rPr>
      </w:pPr>
    </w:p>
    <w:p w14:paraId="6A92F1BC" w14:textId="77777777" w:rsidR="002F6502" w:rsidRPr="00E14102" w:rsidRDefault="002F6502" w:rsidP="00E14102">
      <w:pPr>
        <w:jc w:val="both"/>
        <w:rPr>
          <w:color w:val="000000" w:themeColor="text1"/>
          <w:sz w:val="16"/>
          <w:szCs w:val="16"/>
        </w:rPr>
      </w:pPr>
      <w:r w:rsidRPr="00E14102">
        <w:rPr>
          <w:bCs/>
          <w:color w:val="000000" w:themeColor="text1"/>
          <w:sz w:val="16"/>
          <w:szCs w:val="16"/>
        </w:rPr>
        <w:t>27 мая</w:t>
      </w:r>
      <w:r w:rsidRPr="00E14102">
        <w:rPr>
          <w:color w:val="000000" w:themeColor="text1"/>
          <w:sz w:val="16"/>
          <w:szCs w:val="16"/>
        </w:rPr>
        <w:t xml:space="preserve"> в 1935 году приказом НКВД СССР в НКВД—УНКВД республик, краев и областей, подчиненных непосредственно НКВД СССР, были организованы "тройки" НКВД, на которые распространялись права Особого совещания. Они принимали решения о высылке, ссылке или заключении в лагеря на срок до пяти лет (14904).</w:t>
      </w:r>
    </w:p>
    <w:p w14:paraId="2250A4F9" w14:textId="77777777" w:rsidR="002F6502" w:rsidRPr="00E14102" w:rsidRDefault="002F6502" w:rsidP="00E14102">
      <w:pPr>
        <w:jc w:val="both"/>
        <w:rPr>
          <w:color w:val="000000" w:themeColor="text1"/>
          <w:sz w:val="16"/>
          <w:szCs w:val="16"/>
        </w:rPr>
      </w:pPr>
    </w:p>
    <w:p w14:paraId="0AD5989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F4C5C55" w14:textId="77777777" w:rsidR="00D4105E" w:rsidRPr="00E14102" w:rsidRDefault="00D4105E" w:rsidP="00E14102">
      <w:pPr>
        <w:autoSpaceDE w:val="0"/>
        <w:autoSpaceDN w:val="0"/>
        <w:adjustRightInd w:val="0"/>
        <w:jc w:val="both"/>
        <w:rPr>
          <w:iCs/>
          <w:color w:val="000000" w:themeColor="text1"/>
          <w:sz w:val="16"/>
          <w:szCs w:val="16"/>
        </w:rPr>
      </w:pPr>
    </w:p>
    <w:p w14:paraId="6F7F038A" w14:textId="77777777" w:rsidR="00760CCF" w:rsidRPr="00E14102" w:rsidRDefault="00760CCF" w:rsidP="00E14102">
      <w:pPr>
        <w:jc w:val="both"/>
        <w:rPr>
          <w:color w:val="000000" w:themeColor="text1"/>
          <w:sz w:val="16"/>
          <w:szCs w:val="16"/>
        </w:rPr>
      </w:pPr>
      <w:r w:rsidRPr="00E14102">
        <w:rPr>
          <w:bCs/>
          <w:color w:val="000000" w:themeColor="text1"/>
          <w:sz w:val="16"/>
          <w:szCs w:val="16"/>
        </w:rPr>
        <w:t>27 мая</w:t>
      </w:r>
      <w:r w:rsidRPr="00E14102">
        <w:rPr>
          <w:color w:val="000000" w:themeColor="text1"/>
          <w:sz w:val="16"/>
          <w:szCs w:val="16"/>
        </w:rPr>
        <w:t xml:space="preserve"> в 1935 году совершил свой первый полет прототип «Model 75» (регистрационный номер «X-17Y») самолета </w:t>
      </w:r>
      <w:hyperlink r:id="rId113" w:tgtFrame="_blank" w:history="1">
        <w:r w:rsidRPr="00E14102">
          <w:rPr>
            <w:color w:val="000000" w:themeColor="text1"/>
            <w:sz w:val="16"/>
            <w:szCs w:val="16"/>
          </w:rPr>
          <w:t xml:space="preserve">«SEV-2XP», </w:t>
        </w:r>
      </w:hyperlink>
      <w:r w:rsidRPr="00E14102">
        <w:rPr>
          <w:color w:val="000000" w:themeColor="text1"/>
          <w:sz w:val="16"/>
          <w:szCs w:val="16"/>
        </w:rPr>
        <w:t>конструктор Северский, оснащенный звездообразным двигателем «Wright» «XR-1670-5» мощностью 900 л.с (14904).</w:t>
      </w:r>
    </w:p>
    <w:p w14:paraId="76B7BD17" w14:textId="77777777" w:rsidR="00760CCF" w:rsidRPr="00E14102" w:rsidRDefault="00760CCF" w:rsidP="00E14102">
      <w:pPr>
        <w:jc w:val="both"/>
        <w:rPr>
          <w:color w:val="000000" w:themeColor="text1"/>
          <w:sz w:val="16"/>
          <w:szCs w:val="16"/>
        </w:rPr>
      </w:pPr>
    </w:p>
    <w:p w14:paraId="00A2AFB4" w14:textId="77777777" w:rsidR="002A3F5F" w:rsidRPr="00E14102" w:rsidRDefault="002A3F5F" w:rsidP="00E14102">
      <w:pPr>
        <w:jc w:val="both"/>
        <w:rPr>
          <w:color w:val="0070C0"/>
          <w:sz w:val="16"/>
          <w:szCs w:val="16"/>
        </w:rPr>
      </w:pPr>
      <w:r w:rsidRPr="00E14102">
        <w:rPr>
          <w:color w:val="0070C0"/>
          <w:sz w:val="16"/>
          <w:szCs w:val="16"/>
        </w:rPr>
        <w:t>27 мая 1935 - Совершил свой первый полет прототип Model 75 (регистрационный номер X-17Y) самолета SEV-2XP, конструктор Северский, оснащенный звездообразным двигателем Wright XR-1670-5 мощностью 900 л.с.</w:t>
      </w:r>
    </w:p>
    <w:p w14:paraId="7C3B2ABC" w14:textId="77777777" w:rsidR="002A3F5F" w:rsidRPr="00E14102" w:rsidRDefault="002A3F5F" w:rsidP="00E14102">
      <w:pPr>
        <w:jc w:val="both"/>
        <w:rPr>
          <w:color w:val="0070C0"/>
          <w:sz w:val="16"/>
          <w:szCs w:val="16"/>
        </w:rPr>
      </w:pPr>
      <w:r w:rsidRPr="00E14102">
        <w:rPr>
          <w:color w:val="0070C0"/>
          <w:sz w:val="16"/>
          <w:szCs w:val="16"/>
        </w:rPr>
        <w:t>В середине 30-х годов ведомство ВВС США объявило конкурс на создание самолета для замены истребителя Boeing Р-26. SAC предложила проект истребителя снова созданный на основе SEV-3, который получил обозначение SEV-2XP (2XP от two-seat eXperimental Pursuit - 2-х местный экспериментальный образец). Самолет предполагалось оснастить 14-цилиндровым двухрядным звездообразным двигателем с воздушным охлаждением Wright ХR-1670 взлетной мощностью 735 л.с. (по другим данным 800 л.с.) с которым ожидалась скорость 441 км/ч. Вооружение самолета состояло из одного 12,7 мм и двух 7,62 мм пулеметов Colt-Browning. Один 7,62 мм и 12,7 мм пулеметы располагались над двигателем и имели синхронизаторы, а второй 7,62 мм пулемет располагался на подвижной установке в задней части кабины (22488).</w:t>
      </w:r>
    </w:p>
    <w:p w14:paraId="04E35DCC" w14:textId="77777777" w:rsidR="002A3F5F" w:rsidRPr="00E14102" w:rsidRDefault="002A3F5F" w:rsidP="00E14102">
      <w:pPr>
        <w:jc w:val="both"/>
        <w:rPr>
          <w:color w:val="0070C0"/>
          <w:sz w:val="16"/>
          <w:szCs w:val="16"/>
        </w:rPr>
      </w:pPr>
    </w:p>
    <w:p w14:paraId="01DE14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мая 1935 в Великобритании С.Болдуин объявил о значительном увеличении численности и мощи королевских ВВС, включая проект нового тяжелого бомбардировщика (3907,191).</w:t>
      </w:r>
    </w:p>
    <w:p w14:paraId="3FBA5B5F" w14:textId="77777777" w:rsidR="00D4105E" w:rsidRPr="00E14102" w:rsidRDefault="00D4105E" w:rsidP="00E14102">
      <w:pPr>
        <w:autoSpaceDE w:val="0"/>
        <w:autoSpaceDN w:val="0"/>
        <w:adjustRightInd w:val="0"/>
        <w:jc w:val="both"/>
        <w:rPr>
          <w:color w:val="000000" w:themeColor="text1"/>
          <w:sz w:val="16"/>
          <w:szCs w:val="16"/>
        </w:rPr>
      </w:pPr>
    </w:p>
    <w:p w14:paraId="6B5019BD" w14:textId="77777777" w:rsidR="00760CCF" w:rsidRPr="00E14102" w:rsidRDefault="00760CCF" w:rsidP="00E14102">
      <w:pPr>
        <w:jc w:val="both"/>
        <w:rPr>
          <w:color w:val="000000" w:themeColor="text1"/>
          <w:sz w:val="16"/>
          <w:szCs w:val="16"/>
        </w:rPr>
      </w:pPr>
      <w:r w:rsidRPr="00E14102">
        <w:rPr>
          <w:bCs/>
          <w:color w:val="000000" w:themeColor="text1"/>
          <w:sz w:val="16"/>
          <w:szCs w:val="16"/>
        </w:rPr>
        <w:t>27 мая</w:t>
      </w:r>
      <w:r w:rsidRPr="00E14102">
        <w:rPr>
          <w:color w:val="000000" w:themeColor="text1"/>
          <w:sz w:val="16"/>
          <w:szCs w:val="16"/>
        </w:rPr>
        <w:t xml:space="preserve"> в 1935 году рассмотрев дело "Шехтер поултри корпорейшн" против правительства США", Верховный суд США выносит решение об отмене Закона о восстановлении национальной промышленности в связи с незаконной передачей части законодательных полномочий исполнительным органам и нарушения статей конституции, относящихся к коммерции (14904).</w:t>
      </w:r>
    </w:p>
    <w:p w14:paraId="7AF84A6A" w14:textId="77777777" w:rsidR="00760CCF" w:rsidRPr="00E14102" w:rsidRDefault="00760CCF" w:rsidP="00E14102">
      <w:pPr>
        <w:jc w:val="both"/>
        <w:rPr>
          <w:color w:val="000000" w:themeColor="text1"/>
          <w:sz w:val="16"/>
          <w:szCs w:val="16"/>
        </w:rPr>
      </w:pPr>
    </w:p>
    <w:p w14:paraId="224BADE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C5C732E" w14:textId="77777777" w:rsidR="00D4105E" w:rsidRPr="00E14102" w:rsidRDefault="00D4105E" w:rsidP="00E14102">
      <w:pPr>
        <w:autoSpaceDE w:val="0"/>
        <w:autoSpaceDN w:val="0"/>
        <w:adjustRightInd w:val="0"/>
        <w:jc w:val="both"/>
        <w:rPr>
          <w:iCs/>
          <w:color w:val="000000" w:themeColor="text1"/>
          <w:sz w:val="16"/>
          <w:szCs w:val="16"/>
        </w:rPr>
      </w:pPr>
    </w:p>
    <w:p w14:paraId="11BB7E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 28 мая по 17 июня 1935 состоялся первый этап испытаний моторов М-34РН на ТБ-3 N 22631 и 22632. Отв. исполнители: Нач. ЛЭС завода 22 Фролов, и заводов 22 и 24. Цель испытаний: Исследовать и устранить дефекты в работе серийных моторов М-34РН, выявленных при испытаниях ТБ-3 4М-34РН N 22202, проведенных с 8 марта по 7 сентября 1934 в ЦАГИ, ТБ-3 N 22566, проведенных в марте 1935 и ДБ-2, проведенных в мае 1935 на заводе 22 (2932).</w:t>
      </w:r>
    </w:p>
    <w:p w14:paraId="60FF6F67" w14:textId="77777777" w:rsidR="00D4105E" w:rsidRPr="00E14102" w:rsidRDefault="00D4105E" w:rsidP="00E14102">
      <w:pPr>
        <w:autoSpaceDE w:val="0"/>
        <w:autoSpaceDN w:val="0"/>
        <w:adjustRightInd w:val="0"/>
        <w:jc w:val="both"/>
        <w:rPr>
          <w:color w:val="000000" w:themeColor="text1"/>
          <w:sz w:val="16"/>
          <w:szCs w:val="16"/>
        </w:rPr>
      </w:pPr>
    </w:p>
    <w:p w14:paraId="4261B1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мая 1935 закончились серийные испытания КР-6 N 22330 (эталон на 1935), которые проходили с 12 апреля 1835. Исполнители: ви ЛЭС Рязанов и вл Юнгмейстер. Налетали 12:00 за 35 полетов. Заключение: КР-6 N 22330 соответствует по своим летным и весовым данным ТУ ВС за исключением времени подъема на 3 и 5000 м, которое завышено на 17 сек и 4 мин. При испытании обнаружены дефекты, которые подлежат устранению на заводе (2936).</w:t>
      </w:r>
    </w:p>
    <w:p w14:paraId="38DC1D4F" w14:textId="77777777" w:rsidR="00D4105E" w:rsidRPr="00E14102" w:rsidRDefault="00D4105E" w:rsidP="00E14102">
      <w:pPr>
        <w:autoSpaceDE w:val="0"/>
        <w:autoSpaceDN w:val="0"/>
        <w:adjustRightInd w:val="0"/>
        <w:jc w:val="both"/>
        <w:rPr>
          <w:color w:val="000000" w:themeColor="text1"/>
          <w:sz w:val="16"/>
          <w:szCs w:val="16"/>
        </w:rPr>
      </w:pPr>
    </w:p>
    <w:p w14:paraId="6F5D31F8" w14:textId="77777777" w:rsidR="00760CCF" w:rsidRPr="00E14102" w:rsidRDefault="00760CCF" w:rsidP="00E14102">
      <w:pPr>
        <w:jc w:val="both"/>
        <w:rPr>
          <w:color w:val="000000" w:themeColor="text1"/>
          <w:sz w:val="16"/>
          <w:szCs w:val="16"/>
        </w:rPr>
      </w:pPr>
      <w:r w:rsidRPr="00E14102">
        <w:rPr>
          <w:color w:val="000000" w:themeColor="text1"/>
          <w:sz w:val="16"/>
          <w:szCs w:val="16"/>
        </w:rPr>
        <w:t>28 мая 1935 г. в АВИАВНИТО ЦАГИ по предложению Начальника 5-го отдела УВВС РККА Пономарева состоялось совещание, пришедшее к следующим выводам:</w:t>
      </w:r>
    </w:p>
    <w:p w14:paraId="6552E1DD" w14:textId="77777777" w:rsidR="00760CCF" w:rsidRPr="00E14102" w:rsidRDefault="00760CCF" w:rsidP="00E14102">
      <w:pPr>
        <w:jc w:val="both"/>
        <w:rPr>
          <w:color w:val="000000" w:themeColor="text1"/>
          <w:sz w:val="16"/>
          <w:szCs w:val="16"/>
        </w:rPr>
      </w:pPr>
      <w:r w:rsidRPr="00E14102">
        <w:rPr>
          <w:color w:val="000000" w:themeColor="text1"/>
          <w:sz w:val="16"/>
          <w:szCs w:val="16"/>
        </w:rPr>
        <w:t>«1) Инженер КАМОВ предложил новый способ высотного торпедометания и минометания.</w:t>
      </w:r>
    </w:p>
    <w:p w14:paraId="37AFD558" w14:textId="77777777" w:rsidR="00760CCF" w:rsidRPr="00E14102" w:rsidRDefault="00760CCF" w:rsidP="00E14102">
      <w:pPr>
        <w:jc w:val="both"/>
        <w:rPr>
          <w:color w:val="000000" w:themeColor="text1"/>
          <w:sz w:val="16"/>
          <w:szCs w:val="16"/>
        </w:rPr>
      </w:pPr>
      <w:r w:rsidRPr="00E14102">
        <w:rPr>
          <w:color w:val="000000" w:themeColor="text1"/>
          <w:sz w:val="16"/>
          <w:szCs w:val="16"/>
        </w:rPr>
        <w:t>2) Проделана большая работа, как теоретического, так и конструкторского порядка.</w:t>
      </w:r>
    </w:p>
    <w:p w14:paraId="6F9866AF" w14:textId="77777777" w:rsidR="00760CCF" w:rsidRPr="00E14102" w:rsidRDefault="00760CCF" w:rsidP="00E14102">
      <w:pPr>
        <w:jc w:val="both"/>
        <w:rPr>
          <w:color w:val="000000" w:themeColor="text1"/>
          <w:sz w:val="16"/>
          <w:szCs w:val="16"/>
        </w:rPr>
      </w:pPr>
      <w:r w:rsidRPr="00E14102">
        <w:rPr>
          <w:color w:val="000000" w:themeColor="text1"/>
          <w:sz w:val="16"/>
          <w:szCs w:val="16"/>
        </w:rPr>
        <w:t>3) Проекты т. КАМОВА грамотны и своевременны.</w:t>
      </w:r>
    </w:p>
    <w:p w14:paraId="44A83FFC" w14:textId="77777777" w:rsidR="00760CCF" w:rsidRPr="00E14102" w:rsidRDefault="00760CCF" w:rsidP="00E14102">
      <w:pPr>
        <w:jc w:val="both"/>
        <w:rPr>
          <w:color w:val="000000" w:themeColor="text1"/>
          <w:sz w:val="16"/>
          <w:szCs w:val="16"/>
        </w:rPr>
      </w:pPr>
      <w:r w:rsidRPr="00E14102">
        <w:rPr>
          <w:color w:val="000000" w:themeColor="text1"/>
          <w:sz w:val="16"/>
          <w:szCs w:val="16"/>
        </w:rPr>
        <w:t>4) Работа заслуживает внимания и дальнейшего продвижения».</w:t>
      </w:r>
    </w:p>
    <w:p w14:paraId="05AB7C7E" w14:textId="77777777" w:rsidR="00760CCF" w:rsidRPr="00E14102" w:rsidRDefault="00760CCF" w:rsidP="00E14102">
      <w:pPr>
        <w:jc w:val="both"/>
        <w:rPr>
          <w:color w:val="000000" w:themeColor="text1"/>
          <w:sz w:val="16"/>
          <w:szCs w:val="16"/>
        </w:rPr>
      </w:pPr>
      <w:r w:rsidRPr="00E14102">
        <w:rPr>
          <w:color w:val="000000" w:themeColor="text1"/>
          <w:sz w:val="16"/>
          <w:szCs w:val="16"/>
        </w:rPr>
        <w:t>Однако заключения специалистов из Военно-морской академии (ВМА) было более сдержанными и, скорее, говорили о недостатках, чем о возможных перспективах.</w:t>
      </w:r>
    </w:p>
    <w:p w14:paraId="1ED3AE5D" w14:textId="77777777" w:rsidR="00760CCF" w:rsidRPr="00E14102" w:rsidRDefault="00760CCF" w:rsidP="00E14102">
      <w:pPr>
        <w:jc w:val="both"/>
        <w:rPr>
          <w:color w:val="000000" w:themeColor="text1"/>
          <w:sz w:val="16"/>
          <w:szCs w:val="16"/>
        </w:rPr>
      </w:pPr>
      <w:r w:rsidRPr="00E14102">
        <w:rPr>
          <w:color w:val="000000" w:themeColor="text1"/>
          <w:sz w:val="16"/>
          <w:szCs w:val="16"/>
        </w:rPr>
        <w:t>Так, преподаватель ВМА капитан 3-го ранга Киреев писал 4 августа 1936 г.:</w:t>
      </w:r>
    </w:p>
    <w:p w14:paraId="39D4EF4A" w14:textId="77777777" w:rsidR="00760CCF" w:rsidRPr="00E14102" w:rsidRDefault="00760CCF" w:rsidP="00E14102">
      <w:pPr>
        <w:jc w:val="both"/>
        <w:rPr>
          <w:color w:val="000000" w:themeColor="text1"/>
          <w:sz w:val="16"/>
          <w:szCs w:val="16"/>
        </w:rPr>
      </w:pPr>
      <w:r w:rsidRPr="00E14102">
        <w:rPr>
          <w:color w:val="000000" w:themeColor="text1"/>
          <w:sz w:val="16"/>
          <w:szCs w:val="16"/>
        </w:rPr>
        <w:t xml:space="preserve">«Отмеченное в проекте и в протоколе совещания при АВИАВНИТО ЦАГИ как особый плюс системы тов. КАМОВА, что она дает возможность осуществлять планирующий спуск, мне представляется в представленной разработке не заслуживающим внимания, вследствие того, что планирование не может быть </w:t>
      </w:r>
      <w:r w:rsidRPr="00E14102">
        <w:rPr>
          <w:color w:val="000000" w:themeColor="text1"/>
          <w:sz w:val="16"/>
          <w:szCs w:val="16"/>
        </w:rPr>
        <w:lastRenderedPageBreak/>
        <w:t>направленным, что торпеда будет планировать с помощью такой системы в неизвестном направлении: если же дополнить ее автоматическим управлением (автопилотом), то лучше, проще и дешевле снабдить торпеду обыкновенным планером с автопилотом, чем иметь дорогостоящее авторотирующее устройство».</w:t>
      </w:r>
    </w:p>
    <w:p w14:paraId="38ECCAFE" w14:textId="77777777" w:rsidR="00760CCF" w:rsidRPr="00E14102" w:rsidRDefault="00760CCF" w:rsidP="00E14102">
      <w:pPr>
        <w:jc w:val="both"/>
        <w:rPr>
          <w:color w:val="000000" w:themeColor="text1"/>
          <w:sz w:val="16"/>
          <w:szCs w:val="16"/>
        </w:rPr>
      </w:pPr>
      <w:r w:rsidRPr="00E14102">
        <w:rPr>
          <w:color w:val="000000" w:themeColor="text1"/>
          <w:sz w:val="16"/>
          <w:szCs w:val="16"/>
        </w:rPr>
        <w:t>Аналогичные отзывы заслужила и ВОМИЗКА. По данному предложению начальником 16 сектора НИИ ВВС Прощенко было сделано заключение:</w:t>
      </w:r>
    </w:p>
    <w:p w14:paraId="6F343555" w14:textId="77777777" w:rsidR="00760CCF" w:rsidRPr="00E14102" w:rsidRDefault="00760CCF" w:rsidP="00E14102">
      <w:pPr>
        <w:jc w:val="both"/>
        <w:rPr>
          <w:color w:val="000000" w:themeColor="text1"/>
          <w:sz w:val="16"/>
          <w:szCs w:val="16"/>
        </w:rPr>
      </w:pPr>
      <w:r w:rsidRPr="00E14102">
        <w:rPr>
          <w:color w:val="000000" w:themeColor="text1"/>
          <w:sz w:val="16"/>
          <w:szCs w:val="16"/>
        </w:rPr>
        <w:t>«1. Сам принцип патентосопособен.</w:t>
      </w:r>
    </w:p>
    <w:p w14:paraId="40EEED86" w14:textId="77777777" w:rsidR="00760CCF" w:rsidRPr="00E14102" w:rsidRDefault="00760CCF" w:rsidP="00E14102">
      <w:pPr>
        <w:jc w:val="both"/>
        <w:rPr>
          <w:color w:val="000000" w:themeColor="text1"/>
          <w:sz w:val="16"/>
          <w:szCs w:val="16"/>
        </w:rPr>
      </w:pPr>
      <w:r w:rsidRPr="00E14102">
        <w:rPr>
          <w:color w:val="000000" w:themeColor="text1"/>
          <w:sz w:val="16"/>
          <w:szCs w:val="16"/>
        </w:rPr>
        <w:t>2. В своем настоящем конструктивном оформлении принцип НЕ УДОВЛЕТВОРЯЕТ требованиям сбрасывания. Это доказано испытаниями ВТК (высотная торпеда КАМОВА), основанной на том же принципе о чем имеется официальный отчет.</w:t>
      </w:r>
    </w:p>
    <w:p w14:paraId="291AFA09" w14:textId="77777777" w:rsidR="00760CCF" w:rsidRPr="00E14102" w:rsidRDefault="00760CCF" w:rsidP="00E14102">
      <w:pPr>
        <w:jc w:val="both"/>
        <w:rPr>
          <w:color w:val="000000" w:themeColor="text1"/>
          <w:sz w:val="16"/>
          <w:szCs w:val="16"/>
        </w:rPr>
      </w:pPr>
      <w:r w:rsidRPr="00E14102">
        <w:rPr>
          <w:color w:val="000000" w:themeColor="text1"/>
          <w:sz w:val="16"/>
          <w:szCs w:val="16"/>
        </w:rPr>
        <w:t>3. 16 сектором ставится вопрос о доработке принципа с последующим измененным конструктивным оформлением и использованием».</w:t>
      </w:r>
    </w:p>
    <w:p w14:paraId="0AF6E245" w14:textId="77777777" w:rsidR="00760CCF" w:rsidRPr="00E14102" w:rsidRDefault="00760CCF" w:rsidP="00E14102">
      <w:pPr>
        <w:jc w:val="both"/>
        <w:rPr>
          <w:color w:val="000000" w:themeColor="text1"/>
          <w:sz w:val="16"/>
          <w:szCs w:val="16"/>
        </w:rPr>
      </w:pPr>
      <w:r w:rsidRPr="00E14102">
        <w:rPr>
          <w:color w:val="000000" w:themeColor="text1"/>
          <w:sz w:val="16"/>
          <w:szCs w:val="16"/>
        </w:rPr>
        <w:t>Но заниматься «доработкой принципа» Камов уже не стал. К тому времени он был всецело поглощен новой тематикой - созданием и доводкой автожира А-7. А забытые всеми материалы по ВТК и ВОМИЗКА начали покрываться архивной пылью (15598).</w:t>
      </w:r>
    </w:p>
    <w:p w14:paraId="3C5330FB" w14:textId="77777777" w:rsidR="00760CCF" w:rsidRPr="00E14102" w:rsidRDefault="00760CCF" w:rsidP="00E14102">
      <w:pPr>
        <w:jc w:val="both"/>
        <w:rPr>
          <w:color w:val="000000" w:themeColor="text1"/>
          <w:sz w:val="16"/>
          <w:szCs w:val="16"/>
        </w:rPr>
      </w:pPr>
    </w:p>
    <w:p w14:paraId="5E8AE4B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17486DD" w14:textId="77777777" w:rsidR="00D4105E" w:rsidRPr="00E14102" w:rsidRDefault="00D4105E" w:rsidP="00E14102">
      <w:pPr>
        <w:autoSpaceDE w:val="0"/>
        <w:autoSpaceDN w:val="0"/>
        <w:adjustRightInd w:val="0"/>
        <w:jc w:val="both"/>
        <w:rPr>
          <w:iCs/>
          <w:color w:val="000000" w:themeColor="text1"/>
          <w:sz w:val="16"/>
          <w:szCs w:val="16"/>
        </w:rPr>
      </w:pPr>
    </w:p>
    <w:p w14:paraId="3E668B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мая 1935 Ганс-Дитрих Кнеч поднял в воздух Bf-109V1 (3417,38).</w:t>
      </w:r>
    </w:p>
    <w:p w14:paraId="7F14B86E" w14:textId="77777777" w:rsidR="00D4105E" w:rsidRPr="00E14102" w:rsidRDefault="00D4105E" w:rsidP="00E14102">
      <w:pPr>
        <w:autoSpaceDE w:val="0"/>
        <w:autoSpaceDN w:val="0"/>
        <w:adjustRightInd w:val="0"/>
        <w:jc w:val="both"/>
        <w:rPr>
          <w:color w:val="000000" w:themeColor="text1"/>
          <w:sz w:val="16"/>
          <w:szCs w:val="16"/>
        </w:rPr>
      </w:pPr>
    </w:p>
    <w:p w14:paraId="58F44028" w14:textId="77777777" w:rsidR="00760CCF" w:rsidRPr="00E14102" w:rsidRDefault="00760CCF" w:rsidP="00E14102">
      <w:pPr>
        <w:jc w:val="both"/>
        <w:rPr>
          <w:color w:val="000000" w:themeColor="text1"/>
          <w:sz w:val="16"/>
          <w:szCs w:val="16"/>
        </w:rPr>
      </w:pPr>
      <w:r w:rsidRPr="00E14102">
        <w:rPr>
          <w:bCs/>
          <w:color w:val="000000" w:themeColor="text1"/>
          <w:sz w:val="16"/>
          <w:szCs w:val="16"/>
        </w:rPr>
        <w:t>28 мая</w:t>
      </w:r>
      <w:r w:rsidRPr="00E14102">
        <w:rPr>
          <w:color w:val="000000" w:themeColor="text1"/>
          <w:sz w:val="16"/>
          <w:szCs w:val="16"/>
        </w:rPr>
        <w:t xml:space="preserve"> в 1935 году совершил первый полет немецкий истребитель «Мессершмитт» («Ме-109»). Эта очень удачная машина была основным истребителем люфтваффе в период 2-й мировой войны. Но Покрышкин, Кожедуб, Судеец и многие другие советские истребители имели на своем боевом счету не один сбитый "мессер". «Мессершмитт» был очень маневренный самолёт и к тому же простой в управлении. Набирал скорость он очень быстро, особенно если перед этим немного спикировать. В ходе высшего пилотажа на 109-м можно было спокойно входить в штопор, а затем легко выходить из него. Единственной проблемой был взлёт. Самолёт имел очень мощный мотор и узкую колею шасси. Если слишком рано отрываться от земли, то машину могло развернуть на девяносто градусов. [Изначально самолёт был оснащён английским двигателем фирмы «Ролс-Ройс» «Кестрел-V». На все серийные «мессершмитты» эти двигатели ставили до тех пор, пока германская промышленность в должном количестве не произвела свои. Из 28 германских военных самолётов в 1935 году 11 имели английские и американские моторы, поставляемыми фирмами «Роллс-Ройс», «Армстронг-Сидли», «Прэтт-Уитни» и др.] (И.Д.Овсяный, «Тайна, в которой война рождалась».) (14905).</w:t>
      </w:r>
    </w:p>
    <w:p w14:paraId="2D4E2376" w14:textId="77777777" w:rsidR="00760CCF" w:rsidRPr="00E14102" w:rsidRDefault="00760CCF" w:rsidP="00E14102">
      <w:pPr>
        <w:jc w:val="both"/>
        <w:rPr>
          <w:color w:val="000000" w:themeColor="text1"/>
          <w:sz w:val="16"/>
          <w:szCs w:val="16"/>
        </w:rPr>
      </w:pPr>
    </w:p>
    <w:p w14:paraId="1D0819C9" w14:textId="77777777" w:rsidR="002A3F5F" w:rsidRPr="00E14102" w:rsidRDefault="002A3F5F" w:rsidP="00E14102">
      <w:pPr>
        <w:jc w:val="both"/>
        <w:rPr>
          <w:color w:val="0070C0"/>
          <w:sz w:val="16"/>
          <w:szCs w:val="16"/>
        </w:rPr>
      </w:pPr>
      <w:r w:rsidRPr="00E14102">
        <w:rPr>
          <w:color w:val="0070C0"/>
          <w:sz w:val="16"/>
          <w:szCs w:val="16"/>
        </w:rPr>
        <w:t>28 мая 1935 - Состоялся первый полёт опытного образца немецкого Messerschmitt Bf.109 (V1) под управлением Ганса-Дитриха Кнётча (Hans-Dietrich Knötzsch).</w:t>
      </w:r>
    </w:p>
    <w:p w14:paraId="5AD2041E" w14:textId="77777777" w:rsidR="002A3F5F" w:rsidRPr="00E14102" w:rsidRDefault="002A3F5F" w:rsidP="00E14102">
      <w:pPr>
        <w:jc w:val="both"/>
        <w:rPr>
          <w:color w:val="0070C0"/>
          <w:sz w:val="16"/>
          <w:szCs w:val="16"/>
        </w:rPr>
      </w:pPr>
      <w:r w:rsidRPr="00E14102">
        <w:rPr>
          <w:color w:val="0070C0"/>
          <w:sz w:val="16"/>
          <w:szCs w:val="16"/>
        </w:rPr>
        <w:t>Одномоторный поршневой истребитель-низкоплан, стоявший на вооружении люфтваффе и ВВС различных стран около 30 лет. В зависимости от модификации использовался в качестве истребителя, истребителя-перехватчика, высотного истребителя, истребителя-бомбардировщика, самолёта-разведчика.</w:t>
      </w:r>
    </w:p>
    <w:p w14:paraId="45F4D368" w14:textId="77777777" w:rsidR="002A3F5F" w:rsidRPr="00E14102" w:rsidRDefault="002A3F5F" w:rsidP="00E14102">
      <w:pPr>
        <w:jc w:val="both"/>
        <w:rPr>
          <w:color w:val="0070C0"/>
          <w:sz w:val="16"/>
          <w:szCs w:val="16"/>
        </w:rPr>
      </w:pPr>
      <w:r w:rsidRPr="00E14102">
        <w:rPr>
          <w:color w:val="0070C0"/>
          <w:sz w:val="16"/>
          <w:szCs w:val="16"/>
        </w:rPr>
        <w:t>Являлся основным истребителем люфтваффе на протяжении всей Второй мировой.</w:t>
      </w:r>
    </w:p>
    <w:p w14:paraId="5C5F14D2" w14:textId="77777777" w:rsidR="002A3F5F" w:rsidRPr="00E14102" w:rsidRDefault="002A3F5F" w:rsidP="00E14102">
      <w:pPr>
        <w:jc w:val="both"/>
        <w:rPr>
          <w:color w:val="0070C0"/>
          <w:sz w:val="16"/>
          <w:szCs w:val="16"/>
        </w:rPr>
      </w:pPr>
      <w:r w:rsidRPr="00E14102">
        <w:rPr>
          <w:color w:val="0070C0"/>
          <w:sz w:val="16"/>
          <w:szCs w:val="16"/>
        </w:rPr>
        <w:t>По количеству произведённых машин (по состоянию на апрель 1945 года - 33 984 шт.) является одним из самых массовых самолётов в истории, уступая лишь нашему Ил-2. Очень манёвренный и к тому же прост в управлении. Набирал скорость он очень быстро. В ходе высшего пилотажа на 109-м можно было спокойно входить в штопор, а затем легко выходить из него. Единственной проблемой был взлёт. Самолёт имел очень мощный мотор и узкую колею шасси. Если слишком рано отрываться от земли, то машину могло развернуть на девяносто градусов (22487).</w:t>
      </w:r>
    </w:p>
    <w:p w14:paraId="46AEA68A" w14:textId="77777777" w:rsidR="002A3F5F" w:rsidRPr="00E14102" w:rsidRDefault="002A3F5F" w:rsidP="00E14102">
      <w:pPr>
        <w:jc w:val="both"/>
        <w:rPr>
          <w:color w:val="0070C0"/>
          <w:sz w:val="16"/>
          <w:szCs w:val="16"/>
        </w:rPr>
      </w:pPr>
    </w:p>
    <w:p w14:paraId="29B3330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ABA0A48" w14:textId="77777777" w:rsidR="00D4105E" w:rsidRPr="00E14102" w:rsidRDefault="00D4105E" w:rsidP="00E14102">
      <w:pPr>
        <w:autoSpaceDE w:val="0"/>
        <w:autoSpaceDN w:val="0"/>
        <w:adjustRightInd w:val="0"/>
        <w:jc w:val="both"/>
        <w:rPr>
          <w:iCs/>
          <w:color w:val="000000" w:themeColor="text1"/>
          <w:sz w:val="16"/>
          <w:szCs w:val="16"/>
        </w:rPr>
      </w:pPr>
    </w:p>
    <w:p w14:paraId="2E294B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мая 1935 пробовали перевозить условно раненых на П-5 в трех футлярах - под фюзеляжем и крыльями. Два футляра с врачом Н.М.Добротворским и санитаром Тимофеевым на носилках подвесили под крылья, а третий - с механиком Куприяновым - под фюзеляж. Летали 1:10 (438,687).</w:t>
      </w:r>
    </w:p>
    <w:p w14:paraId="0140EFDF" w14:textId="77777777" w:rsidR="00D4105E" w:rsidRPr="00E14102" w:rsidRDefault="00D4105E" w:rsidP="00E14102">
      <w:pPr>
        <w:autoSpaceDE w:val="0"/>
        <w:autoSpaceDN w:val="0"/>
        <w:adjustRightInd w:val="0"/>
        <w:jc w:val="both"/>
        <w:rPr>
          <w:color w:val="000000" w:themeColor="text1"/>
          <w:sz w:val="16"/>
          <w:szCs w:val="16"/>
        </w:rPr>
      </w:pPr>
    </w:p>
    <w:p w14:paraId="333EF71C" w14:textId="77777777" w:rsidR="001B6FA5" w:rsidRPr="00E14102" w:rsidRDefault="001B6FA5" w:rsidP="00E14102">
      <w:pPr>
        <w:pStyle w:val="3f"/>
        <w:shd w:val="clear" w:color="auto" w:fill="auto"/>
        <w:spacing w:after="0" w:line="240" w:lineRule="auto"/>
        <w:jc w:val="both"/>
        <w:outlineLvl w:val="9"/>
        <w:rPr>
          <w:color w:val="000000" w:themeColor="text1"/>
          <w:sz w:val="16"/>
          <w:szCs w:val="16"/>
        </w:rPr>
      </w:pPr>
      <w:r w:rsidRPr="00E14102">
        <w:rPr>
          <w:color w:val="000000" w:themeColor="text1"/>
          <w:sz w:val="16"/>
          <w:szCs w:val="16"/>
        </w:rPr>
        <w:t>29 мая 1935 г. Резолюция: Петлякову. Прошу обсудить на совещании с работника</w:t>
      </w:r>
      <w:r w:rsidRPr="00E14102">
        <w:rPr>
          <w:color w:val="000000" w:themeColor="text1"/>
          <w:sz w:val="16"/>
          <w:szCs w:val="16"/>
        </w:rPr>
        <w:softHyphen/>
        <w:t xml:space="preserve">ми КО, ЗОР, ЦОЗ в порядке выполнения решений н[ачальни]ка ГУАП. Подготовить приказ по ЦАГИ. Харламов. </w:t>
      </w:r>
    </w:p>
    <w:p w14:paraId="119AB063" w14:textId="77777777" w:rsidR="001B6FA5" w:rsidRPr="00E14102" w:rsidRDefault="001B6FA5" w:rsidP="00E14102">
      <w:pPr>
        <w:pStyle w:val="3f"/>
        <w:shd w:val="clear" w:color="auto" w:fill="auto"/>
        <w:spacing w:after="0" w:line="240" w:lineRule="auto"/>
        <w:jc w:val="both"/>
        <w:outlineLvl w:val="9"/>
        <w:rPr>
          <w:color w:val="000000" w:themeColor="text1"/>
          <w:sz w:val="16"/>
          <w:szCs w:val="16"/>
        </w:rPr>
      </w:pPr>
      <w:r w:rsidRPr="00E14102">
        <w:rPr>
          <w:color w:val="000000" w:themeColor="text1"/>
          <w:sz w:val="16"/>
          <w:szCs w:val="16"/>
        </w:rPr>
        <w:t>27 мая 1935 г. Протокол № 45 совещания у начальника ГУАП Г.Н. Королева по вопросу постройки трех самолетов взамен погибшего самолета «Максим Горький»</w:t>
      </w:r>
    </w:p>
    <w:p w14:paraId="766D8251" w14:textId="77777777" w:rsidR="001B6FA5" w:rsidRPr="00E14102" w:rsidRDefault="001B6FA5" w:rsidP="00E14102">
      <w:pPr>
        <w:jc w:val="both"/>
        <w:rPr>
          <w:color w:val="000000" w:themeColor="text1"/>
          <w:sz w:val="16"/>
          <w:szCs w:val="16"/>
        </w:rPr>
      </w:pPr>
      <w:r w:rsidRPr="00E14102">
        <w:rPr>
          <w:color w:val="000000" w:themeColor="text1"/>
          <w:sz w:val="16"/>
          <w:szCs w:val="16"/>
        </w:rPr>
        <w:t>СЛУШАЛИ: О постройке трех самолетов.</w:t>
      </w:r>
    </w:p>
    <w:p w14:paraId="622D5665" w14:textId="77777777" w:rsidR="001B6FA5" w:rsidRPr="00E14102" w:rsidRDefault="001B6FA5" w:rsidP="00E14102">
      <w:pPr>
        <w:jc w:val="both"/>
        <w:rPr>
          <w:color w:val="000000" w:themeColor="text1"/>
          <w:sz w:val="16"/>
          <w:szCs w:val="16"/>
        </w:rPr>
      </w:pPr>
      <w:r w:rsidRPr="00E14102">
        <w:rPr>
          <w:color w:val="000000" w:themeColor="text1"/>
          <w:sz w:val="16"/>
          <w:szCs w:val="16"/>
        </w:rPr>
        <w:t>ПОСТАНОВИЛИ:</w:t>
      </w:r>
    </w:p>
    <w:p w14:paraId="005857C2" w14:textId="77777777" w:rsidR="001B6FA5" w:rsidRPr="00E14102" w:rsidRDefault="001B6FA5" w:rsidP="00E14102">
      <w:pPr>
        <w:tabs>
          <w:tab w:val="left" w:pos="812"/>
        </w:tabs>
        <w:jc w:val="both"/>
        <w:rPr>
          <w:color w:val="000000" w:themeColor="text1"/>
          <w:sz w:val="16"/>
          <w:szCs w:val="16"/>
        </w:rPr>
      </w:pPr>
      <w:r w:rsidRPr="00E14102">
        <w:rPr>
          <w:color w:val="000000" w:themeColor="text1"/>
          <w:sz w:val="16"/>
          <w:szCs w:val="16"/>
        </w:rPr>
        <w:t>1) Первый головной самолет строит ЦАГИ. Два самолета строит завод № 22.</w:t>
      </w:r>
    </w:p>
    <w:p w14:paraId="582B52A4" w14:textId="77777777" w:rsidR="001B6FA5" w:rsidRPr="00E14102" w:rsidRDefault="001B6FA5" w:rsidP="00E14102">
      <w:pPr>
        <w:tabs>
          <w:tab w:val="left" w:pos="776"/>
        </w:tabs>
        <w:jc w:val="both"/>
        <w:rPr>
          <w:color w:val="000000" w:themeColor="text1"/>
          <w:sz w:val="16"/>
          <w:szCs w:val="16"/>
        </w:rPr>
      </w:pPr>
      <w:r w:rsidRPr="00E14102">
        <w:rPr>
          <w:color w:val="000000" w:themeColor="text1"/>
          <w:sz w:val="16"/>
          <w:szCs w:val="16"/>
        </w:rPr>
        <w:t>2) Принять схему самолета, предложенную ЦАГИ:</w:t>
      </w:r>
    </w:p>
    <w:p w14:paraId="110E3B05" w14:textId="77777777" w:rsidR="001B6FA5" w:rsidRPr="00E14102" w:rsidRDefault="001B6FA5" w:rsidP="00E14102">
      <w:pPr>
        <w:jc w:val="both"/>
        <w:rPr>
          <w:color w:val="000000" w:themeColor="text1"/>
          <w:sz w:val="16"/>
          <w:szCs w:val="16"/>
        </w:rPr>
      </w:pPr>
      <w:r w:rsidRPr="00E14102">
        <w:rPr>
          <w:color w:val="000000" w:themeColor="text1"/>
          <w:sz w:val="16"/>
          <w:szCs w:val="16"/>
        </w:rPr>
        <w:t>шесть моторов вместо восьми; мотор редукторный мощностью 1100-1200 л.с.</w:t>
      </w:r>
    </w:p>
    <w:p w14:paraId="69FADDB8" w14:textId="77777777" w:rsidR="001B6FA5" w:rsidRPr="00E14102" w:rsidRDefault="001B6FA5" w:rsidP="00E14102">
      <w:pPr>
        <w:tabs>
          <w:tab w:val="left" w:pos="817"/>
        </w:tabs>
        <w:jc w:val="both"/>
        <w:rPr>
          <w:color w:val="000000" w:themeColor="text1"/>
          <w:sz w:val="16"/>
          <w:szCs w:val="16"/>
        </w:rPr>
      </w:pPr>
      <w:r w:rsidRPr="00E14102">
        <w:rPr>
          <w:color w:val="000000" w:themeColor="text1"/>
          <w:sz w:val="16"/>
          <w:szCs w:val="16"/>
        </w:rPr>
        <w:t>3) Принять к сведению, что ЦАГИ вводятся следующие измене</w:t>
      </w:r>
      <w:r w:rsidRPr="00E14102">
        <w:rPr>
          <w:color w:val="000000" w:themeColor="text1"/>
          <w:sz w:val="16"/>
          <w:szCs w:val="16"/>
        </w:rPr>
        <w:softHyphen/>
        <w:t>ния в [но]вый самолет:</w:t>
      </w:r>
    </w:p>
    <w:p w14:paraId="5818D0CE" w14:textId="77777777" w:rsidR="001B6FA5" w:rsidRPr="00E14102" w:rsidRDefault="001B6FA5" w:rsidP="00E14102">
      <w:pPr>
        <w:tabs>
          <w:tab w:val="left" w:pos="817"/>
        </w:tabs>
        <w:jc w:val="both"/>
        <w:rPr>
          <w:color w:val="000000" w:themeColor="text1"/>
          <w:sz w:val="16"/>
          <w:szCs w:val="16"/>
        </w:rPr>
      </w:pPr>
      <w:r w:rsidRPr="00E14102">
        <w:rPr>
          <w:color w:val="000000" w:themeColor="text1"/>
          <w:sz w:val="16"/>
          <w:szCs w:val="16"/>
        </w:rPr>
        <w:t>а) Вертикальное и горизонтальное оперение переделывается за</w:t>
      </w:r>
      <w:r w:rsidRPr="00E14102">
        <w:rPr>
          <w:color w:val="000000" w:themeColor="text1"/>
          <w:sz w:val="16"/>
          <w:szCs w:val="16"/>
        </w:rPr>
        <w:softHyphen/>
        <w:t>ново в связи со снятием 2-х моторов «тандем» и изменением аэродина</w:t>
      </w:r>
      <w:r w:rsidRPr="00E14102">
        <w:rPr>
          <w:color w:val="000000" w:themeColor="text1"/>
          <w:sz w:val="16"/>
          <w:szCs w:val="16"/>
        </w:rPr>
        <w:softHyphen/>
        <w:t>мической схемы самолета.</w:t>
      </w:r>
    </w:p>
    <w:p w14:paraId="4B0F5D6E" w14:textId="77777777" w:rsidR="001B6FA5" w:rsidRPr="00E14102" w:rsidRDefault="001B6FA5" w:rsidP="00E14102">
      <w:pPr>
        <w:tabs>
          <w:tab w:val="left" w:pos="836"/>
        </w:tabs>
        <w:jc w:val="both"/>
        <w:rPr>
          <w:color w:val="000000" w:themeColor="text1"/>
          <w:sz w:val="16"/>
          <w:szCs w:val="16"/>
        </w:rPr>
      </w:pPr>
      <w:r w:rsidRPr="00E14102">
        <w:rPr>
          <w:color w:val="000000" w:themeColor="text1"/>
          <w:sz w:val="16"/>
          <w:szCs w:val="16"/>
        </w:rPr>
        <w:t>б) Обш[ивка верх]ней части фюзеляжа над пассажирской каби</w:t>
      </w:r>
      <w:r w:rsidRPr="00E14102">
        <w:rPr>
          <w:color w:val="000000" w:themeColor="text1"/>
          <w:sz w:val="16"/>
          <w:szCs w:val="16"/>
        </w:rPr>
        <w:softHyphen/>
        <w:t>ной гладкая, обшивка остальная — гофрированная.</w:t>
      </w:r>
    </w:p>
    <w:p w14:paraId="278022B3" w14:textId="77777777" w:rsidR="001B6FA5" w:rsidRPr="00E14102" w:rsidRDefault="001B6FA5" w:rsidP="00E14102">
      <w:pPr>
        <w:tabs>
          <w:tab w:val="left" w:pos="788"/>
        </w:tabs>
        <w:jc w:val="both"/>
        <w:rPr>
          <w:color w:val="000000" w:themeColor="text1"/>
          <w:sz w:val="16"/>
          <w:szCs w:val="16"/>
        </w:rPr>
      </w:pPr>
      <w:r w:rsidRPr="00E14102">
        <w:rPr>
          <w:color w:val="000000" w:themeColor="text1"/>
          <w:sz w:val="16"/>
          <w:szCs w:val="16"/>
        </w:rPr>
        <w:t>в) На самолете оставляется радио с громкоговорителем, [типогра</w:t>
      </w:r>
      <w:r w:rsidRPr="00E14102">
        <w:rPr>
          <w:color w:val="000000" w:themeColor="text1"/>
          <w:sz w:val="16"/>
          <w:szCs w:val="16"/>
        </w:rPr>
        <w:softHyphen/>
        <w:t>фия] и нормальная радиоустановка для связи с землей.</w:t>
      </w:r>
    </w:p>
    <w:p w14:paraId="79BFE96B" w14:textId="77777777" w:rsidR="001B6FA5" w:rsidRPr="00E14102" w:rsidRDefault="001B6FA5" w:rsidP="00E14102">
      <w:pPr>
        <w:tabs>
          <w:tab w:val="left" w:pos="766"/>
        </w:tabs>
        <w:jc w:val="both"/>
        <w:rPr>
          <w:color w:val="000000" w:themeColor="text1"/>
          <w:sz w:val="16"/>
          <w:szCs w:val="16"/>
        </w:rPr>
      </w:pPr>
      <w:r w:rsidRPr="00E14102">
        <w:rPr>
          <w:color w:val="000000" w:themeColor="text1"/>
          <w:sz w:val="16"/>
          <w:szCs w:val="16"/>
        </w:rPr>
        <w:t>г) Изменяется схема шасси.</w:t>
      </w:r>
    </w:p>
    <w:p w14:paraId="526A9725" w14:textId="77777777" w:rsidR="001B6FA5" w:rsidRPr="00E14102" w:rsidRDefault="001B6FA5" w:rsidP="00E14102">
      <w:pPr>
        <w:tabs>
          <w:tab w:val="left" w:pos="786"/>
        </w:tabs>
        <w:jc w:val="both"/>
        <w:rPr>
          <w:color w:val="000000" w:themeColor="text1"/>
          <w:sz w:val="16"/>
          <w:szCs w:val="16"/>
        </w:rPr>
      </w:pPr>
      <w:r w:rsidRPr="00E14102">
        <w:rPr>
          <w:color w:val="000000" w:themeColor="text1"/>
          <w:sz w:val="16"/>
          <w:szCs w:val="16"/>
        </w:rPr>
        <w:t>4) Срок постройки самолетов принять:</w:t>
      </w:r>
    </w:p>
    <w:p w14:paraId="5E354839" w14:textId="77777777" w:rsidR="001B6FA5" w:rsidRPr="00E14102" w:rsidRDefault="001B6FA5" w:rsidP="00E14102">
      <w:pPr>
        <w:jc w:val="both"/>
        <w:rPr>
          <w:color w:val="000000" w:themeColor="text1"/>
          <w:sz w:val="16"/>
          <w:szCs w:val="16"/>
        </w:rPr>
      </w:pPr>
      <w:r w:rsidRPr="00E14102">
        <w:rPr>
          <w:color w:val="000000" w:themeColor="text1"/>
          <w:sz w:val="16"/>
          <w:szCs w:val="16"/>
        </w:rPr>
        <w:t>для ЦАГИ — к 1 мая 1936 г.</w:t>
      </w:r>
    </w:p>
    <w:p w14:paraId="3D208E1F" w14:textId="77777777" w:rsidR="001B6FA5" w:rsidRPr="00E14102" w:rsidRDefault="001B6FA5" w:rsidP="00E14102">
      <w:pPr>
        <w:jc w:val="both"/>
        <w:rPr>
          <w:color w:val="000000" w:themeColor="text1"/>
          <w:sz w:val="16"/>
          <w:szCs w:val="16"/>
        </w:rPr>
      </w:pPr>
      <w:r w:rsidRPr="00E14102">
        <w:rPr>
          <w:color w:val="000000" w:themeColor="text1"/>
          <w:sz w:val="16"/>
          <w:szCs w:val="16"/>
        </w:rPr>
        <w:t>для завода № 22 — к 7 ноября 1936 г.</w:t>
      </w:r>
    </w:p>
    <w:p w14:paraId="24F905D1" w14:textId="77777777" w:rsidR="001B6FA5" w:rsidRPr="00E14102" w:rsidRDefault="001B6FA5" w:rsidP="00E14102">
      <w:pPr>
        <w:tabs>
          <w:tab w:val="left" w:pos="776"/>
        </w:tabs>
        <w:jc w:val="both"/>
        <w:rPr>
          <w:color w:val="000000" w:themeColor="text1"/>
          <w:sz w:val="16"/>
          <w:szCs w:val="16"/>
        </w:rPr>
      </w:pPr>
      <w:r w:rsidRPr="00E14102">
        <w:rPr>
          <w:color w:val="000000" w:themeColor="text1"/>
          <w:sz w:val="16"/>
          <w:szCs w:val="16"/>
        </w:rPr>
        <w:t>5) Технические данные самолета установить следующие:</w:t>
      </w:r>
    </w:p>
    <w:p w14:paraId="0060F281" w14:textId="77777777" w:rsidR="001B6FA5" w:rsidRPr="00E14102" w:rsidRDefault="001B6FA5" w:rsidP="00E14102">
      <w:pPr>
        <w:jc w:val="both"/>
        <w:rPr>
          <w:color w:val="000000" w:themeColor="text1"/>
          <w:sz w:val="16"/>
          <w:szCs w:val="16"/>
        </w:rPr>
      </w:pPr>
      <w:r w:rsidRPr="00E14102">
        <w:rPr>
          <w:color w:val="000000" w:themeColor="text1"/>
          <w:sz w:val="16"/>
          <w:szCs w:val="16"/>
        </w:rPr>
        <w:t>скорость самолета — 250-275 км/ч потолок — 6000 м[е]тр[ов]. максимальная дальность полета — 3000 км.</w:t>
      </w:r>
    </w:p>
    <w:p w14:paraId="2243EE98" w14:textId="77777777" w:rsidR="001B6FA5" w:rsidRPr="00E14102" w:rsidRDefault="001B6FA5" w:rsidP="00E14102">
      <w:pPr>
        <w:tabs>
          <w:tab w:val="left" w:pos="781"/>
        </w:tabs>
        <w:jc w:val="both"/>
        <w:rPr>
          <w:color w:val="000000" w:themeColor="text1"/>
          <w:sz w:val="16"/>
          <w:szCs w:val="16"/>
        </w:rPr>
      </w:pPr>
      <w:r w:rsidRPr="00E14102">
        <w:rPr>
          <w:color w:val="000000" w:themeColor="text1"/>
          <w:sz w:val="16"/>
          <w:szCs w:val="16"/>
        </w:rPr>
        <w:t>6) Обязать ЦАГИ изготовить чертежи в следующие сроки:</w:t>
      </w:r>
    </w:p>
    <w:p w14:paraId="23250BBF" w14:textId="77777777" w:rsidR="001B6FA5" w:rsidRPr="00E14102" w:rsidRDefault="001B6FA5" w:rsidP="00E14102">
      <w:pPr>
        <w:tabs>
          <w:tab w:val="left" w:pos="3706"/>
          <w:tab w:val="left" w:pos="4286"/>
        </w:tabs>
        <w:jc w:val="both"/>
        <w:rPr>
          <w:color w:val="000000" w:themeColor="text1"/>
          <w:sz w:val="16"/>
          <w:szCs w:val="16"/>
        </w:rPr>
      </w:pPr>
      <w:r w:rsidRPr="00E14102">
        <w:rPr>
          <w:color w:val="000000" w:themeColor="text1"/>
          <w:sz w:val="16"/>
          <w:szCs w:val="16"/>
        </w:rPr>
        <w:t>крыло</w:t>
      </w:r>
      <w:r w:rsidRPr="00E14102">
        <w:rPr>
          <w:color w:val="000000" w:themeColor="text1"/>
          <w:sz w:val="16"/>
          <w:szCs w:val="16"/>
        </w:rPr>
        <w:tab/>
        <w:t>-</w:t>
      </w:r>
      <w:r w:rsidRPr="00E14102">
        <w:rPr>
          <w:color w:val="000000" w:themeColor="text1"/>
          <w:sz w:val="16"/>
          <w:szCs w:val="16"/>
        </w:rPr>
        <w:tab/>
        <w:t>20 июля</w:t>
      </w:r>
    </w:p>
    <w:p w14:paraId="5F406E09" w14:textId="77777777" w:rsidR="001B6FA5" w:rsidRPr="00E14102" w:rsidRDefault="001B6FA5" w:rsidP="00E14102">
      <w:pPr>
        <w:tabs>
          <w:tab w:val="left" w:pos="3710"/>
          <w:tab w:val="left" w:pos="4291"/>
        </w:tabs>
        <w:jc w:val="both"/>
        <w:rPr>
          <w:color w:val="000000" w:themeColor="text1"/>
          <w:sz w:val="16"/>
          <w:szCs w:val="16"/>
        </w:rPr>
      </w:pPr>
      <w:r w:rsidRPr="00E14102">
        <w:rPr>
          <w:color w:val="000000" w:themeColor="text1"/>
          <w:sz w:val="16"/>
          <w:szCs w:val="16"/>
        </w:rPr>
        <w:t>центроплан</w:t>
      </w:r>
      <w:r w:rsidRPr="00E14102">
        <w:rPr>
          <w:color w:val="000000" w:themeColor="text1"/>
          <w:sz w:val="16"/>
          <w:szCs w:val="16"/>
        </w:rPr>
        <w:tab/>
        <w:t>-</w:t>
      </w:r>
      <w:r w:rsidRPr="00E14102">
        <w:rPr>
          <w:color w:val="000000" w:themeColor="text1"/>
          <w:sz w:val="16"/>
          <w:szCs w:val="16"/>
        </w:rPr>
        <w:tab/>
        <w:t>1 августа</w:t>
      </w:r>
    </w:p>
    <w:p w14:paraId="45CA2C55" w14:textId="77777777" w:rsidR="001B6FA5" w:rsidRPr="00E14102" w:rsidRDefault="001B6FA5" w:rsidP="00E14102">
      <w:pPr>
        <w:tabs>
          <w:tab w:val="left" w:pos="3706"/>
          <w:tab w:val="left" w:pos="4286"/>
        </w:tabs>
        <w:jc w:val="both"/>
        <w:rPr>
          <w:color w:val="000000" w:themeColor="text1"/>
          <w:sz w:val="16"/>
          <w:szCs w:val="16"/>
        </w:rPr>
      </w:pPr>
      <w:r w:rsidRPr="00E14102">
        <w:rPr>
          <w:color w:val="000000" w:themeColor="text1"/>
          <w:sz w:val="16"/>
          <w:szCs w:val="16"/>
        </w:rPr>
        <w:t>фюзеляж</w:t>
      </w:r>
      <w:r w:rsidRPr="00E14102">
        <w:rPr>
          <w:color w:val="000000" w:themeColor="text1"/>
          <w:sz w:val="16"/>
          <w:szCs w:val="16"/>
        </w:rPr>
        <w:tab/>
        <w:t>-</w:t>
      </w:r>
      <w:r w:rsidRPr="00E14102">
        <w:rPr>
          <w:color w:val="000000" w:themeColor="text1"/>
          <w:sz w:val="16"/>
          <w:szCs w:val="16"/>
        </w:rPr>
        <w:tab/>
        <w:t>1 сентября</w:t>
      </w:r>
    </w:p>
    <w:p w14:paraId="78138348" w14:textId="77777777" w:rsidR="001B6FA5" w:rsidRPr="00E14102" w:rsidRDefault="001B6FA5" w:rsidP="00E14102">
      <w:pPr>
        <w:tabs>
          <w:tab w:val="left" w:pos="3706"/>
          <w:tab w:val="left" w:pos="4286"/>
        </w:tabs>
        <w:jc w:val="both"/>
        <w:rPr>
          <w:color w:val="000000" w:themeColor="text1"/>
          <w:sz w:val="16"/>
          <w:szCs w:val="16"/>
        </w:rPr>
      </w:pPr>
      <w:r w:rsidRPr="00E14102">
        <w:rPr>
          <w:color w:val="000000" w:themeColor="text1"/>
          <w:sz w:val="16"/>
          <w:szCs w:val="16"/>
        </w:rPr>
        <w:t>оперение</w:t>
      </w:r>
      <w:r w:rsidRPr="00E14102">
        <w:rPr>
          <w:color w:val="000000" w:themeColor="text1"/>
          <w:sz w:val="16"/>
          <w:szCs w:val="16"/>
        </w:rPr>
        <w:tab/>
        <w:t>-</w:t>
      </w:r>
      <w:r w:rsidRPr="00E14102">
        <w:rPr>
          <w:color w:val="000000" w:themeColor="text1"/>
          <w:sz w:val="16"/>
          <w:szCs w:val="16"/>
        </w:rPr>
        <w:tab/>
        <w:t>1 октября</w:t>
      </w:r>
    </w:p>
    <w:p w14:paraId="1FA04929" w14:textId="77777777" w:rsidR="001B6FA5" w:rsidRPr="00E14102" w:rsidRDefault="001B6FA5" w:rsidP="00E14102">
      <w:pPr>
        <w:tabs>
          <w:tab w:val="left" w:pos="4286"/>
        </w:tabs>
        <w:jc w:val="both"/>
        <w:rPr>
          <w:color w:val="000000" w:themeColor="text1"/>
          <w:sz w:val="16"/>
          <w:szCs w:val="16"/>
        </w:rPr>
      </w:pPr>
      <w:r w:rsidRPr="00E14102">
        <w:rPr>
          <w:color w:val="000000" w:themeColor="text1"/>
          <w:sz w:val="16"/>
          <w:szCs w:val="16"/>
        </w:rPr>
        <w:t>управление самолетом -</w:t>
      </w:r>
      <w:r w:rsidRPr="00E14102">
        <w:rPr>
          <w:color w:val="000000" w:themeColor="text1"/>
          <w:sz w:val="16"/>
          <w:szCs w:val="16"/>
        </w:rPr>
        <w:tab/>
        <w:t>1 октября</w:t>
      </w:r>
    </w:p>
    <w:p w14:paraId="632361DD" w14:textId="77777777" w:rsidR="001B6FA5" w:rsidRPr="00E14102" w:rsidRDefault="001B6FA5" w:rsidP="00E14102">
      <w:pPr>
        <w:tabs>
          <w:tab w:val="left" w:pos="4286"/>
        </w:tabs>
        <w:jc w:val="both"/>
        <w:rPr>
          <w:color w:val="000000" w:themeColor="text1"/>
          <w:sz w:val="16"/>
          <w:szCs w:val="16"/>
        </w:rPr>
      </w:pPr>
      <w:r w:rsidRPr="00E14102">
        <w:rPr>
          <w:color w:val="000000" w:themeColor="text1"/>
          <w:sz w:val="16"/>
          <w:szCs w:val="16"/>
        </w:rPr>
        <w:t>шасси</w:t>
      </w:r>
      <w:r w:rsidRPr="00E14102">
        <w:rPr>
          <w:color w:val="000000" w:themeColor="text1"/>
          <w:sz w:val="16"/>
          <w:szCs w:val="16"/>
        </w:rPr>
        <w:tab/>
        <w:t>15 июля</w:t>
      </w:r>
    </w:p>
    <w:p w14:paraId="5F6E4F6C" w14:textId="77777777" w:rsidR="001B6FA5" w:rsidRPr="00E14102" w:rsidRDefault="001B6FA5" w:rsidP="00E14102">
      <w:pPr>
        <w:tabs>
          <w:tab w:val="left" w:pos="4286"/>
        </w:tabs>
        <w:jc w:val="both"/>
        <w:rPr>
          <w:color w:val="000000" w:themeColor="text1"/>
          <w:sz w:val="16"/>
          <w:szCs w:val="16"/>
        </w:rPr>
      </w:pPr>
      <w:r w:rsidRPr="00E14102">
        <w:rPr>
          <w:color w:val="000000" w:themeColor="text1"/>
          <w:sz w:val="16"/>
          <w:szCs w:val="16"/>
        </w:rPr>
        <w:t>мотооборудование внутреннее оборудование</w:t>
      </w:r>
      <w:r w:rsidRPr="00E14102">
        <w:rPr>
          <w:color w:val="000000" w:themeColor="text1"/>
          <w:sz w:val="16"/>
          <w:szCs w:val="16"/>
        </w:rPr>
        <w:tab/>
        <w:t>1 ноября</w:t>
      </w:r>
    </w:p>
    <w:p w14:paraId="25E9D0E8" w14:textId="77777777" w:rsidR="001B6FA5" w:rsidRPr="00E14102" w:rsidRDefault="001B6FA5" w:rsidP="00E14102">
      <w:pPr>
        <w:tabs>
          <w:tab w:val="left" w:pos="4286"/>
        </w:tabs>
        <w:jc w:val="both"/>
        <w:rPr>
          <w:color w:val="000000" w:themeColor="text1"/>
          <w:sz w:val="16"/>
          <w:szCs w:val="16"/>
        </w:rPr>
      </w:pPr>
      <w:r w:rsidRPr="00E14102">
        <w:rPr>
          <w:color w:val="000000" w:themeColor="text1"/>
          <w:sz w:val="16"/>
          <w:szCs w:val="16"/>
        </w:rPr>
        <w:t>винты</w:t>
      </w:r>
      <w:r w:rsidRPr="00E14102">
        <w:rPr>
          <w:color w:val="000000" w:themeColor="text1"/>
          <w:sz w:val="16"/>
          <w:szCs w:val="16"/>
        </w:rPr>
        <w:tab/>
        <w:t>с 1 августа по 1 ноября</w:t>
      </w:r>
    </w:p>
    <w:p w14:paraId="160012A0" w14:textId="77777777" w:rsidR="001B6FA5" w:rsidRPr="00E14102" w:rsidRDefault="001B6FA5" w:rsidP="00E14102">
      <w:pPr>
        <w:tabs>
          <w:tab w:val="left" w:pos="4286"/>
        </w:tabs>
        <w:jc w:val="both"/>
        <w:rPr>
          <w:color w:val="000000" w:themeColor="text1"/>
          <w:sz w:val="16"/>
          <w:szCs w:val="16"/>
        </w:rPr>
      </w:pPr>
      <w:r w:rsidRPr="00E14102">
        <w:rPr>
          <w:color w:val="000000" w:themeColor="text1"/>
          <w:sz w:val="16"/>
          <w:szCs w:val="16"/>
        </w:rPr>
        <w:t>баки</w:t>
      </w:r>
      <w:r w:rsidRPr="00E14102">
        <w:rPr>
          <w:color w:val="000000" w:themeColor="text1"/>
          <w:sz w:val="16"/>
          <w:szCs w:val="16"/>
        </w:rPr>
        <w:tab/>
        <w:t>1 сентября 1 июля</w:t>
      </w:r>
    </w:p>
    <w:p w14:paraId="1BD73C66" w14:textId="77777777" w:rsidR="001B6FA5" w:rsidRPr="00E14102" w:rsidRDefault="001B6FA5" w:rsidP="00E14102">
      <w:pPr>
        <w:tabs>
          <w:tab w:val="left" w:pos="4286"/>
        </w:tabs>
        <w:jc w:val="both"/>
        <w:rPr>
          <w:color w:val="000000" w:themeColor="text1"/>
          <w:sz w:val="16"/>
          <w:szCs w:val="16"/>
        </w:rPr>
      </w:pPr>
      <w:r w:rsidRPr="00E14102">
        <w:rPr>
          <w:color w:val="000000" w:themeColor="text1"/>
          <w:sz w:val="16"/>
          <w:szCs w:val="16"/>
        </w:rPr>
        <w:t>колеса и управление] тормоз[ом]</w:t>
      </w:r>
      <w:r w:rsidRPr="00E14102">
        <w:rPr>
          <w:color w:val="000000" w:themeColor="text1"/>
          <w:sz w:val="16"/>
          <w:szCs w:val="16"/>
        </w:rPr>
        <w:tab/>
        <w:t>1 июля</w:t>
      </w:r>
    </w:p>
    <w:p w14:paraId="2B34D858" w14:textId="77777777" w:rsidR="001B6FA5" w:rsidRPr="00E14102" w:rsidRDefault="001B6FA5" w:rsidP="00E14102">
      <w:pPr>
        <w:jc w:val="both"/>
        <w:rPr>
          <w:color w:val="000000" w:themeColor="text1"/>
          <w:sz w:val="16"/>
          <w:szCs w:val="16"/>
        </w:rPr>
      </w:pPr>
      <w:r w:rsidRPr="00E14102">
        <w:rPr>
          <w:color w:val="000000" w:themeColor="text1"/>
          <w:sz w:val="16"/>
          <w:szCs w:val="16"/>
        </w:rPr>
        <w:t>Одновременно с изготовлением чертежей для производства свое</w:t>
      </w:r>
      <w:r w:rsidRPr="00E14102">
        <w:rPr>
          <w:color w:val="000000" w:themeColor="text1"/>
          <w:sz w:val="16"/>
          <w:szCs w:val="16"/>
        </w:rPr>
        <w:softHyphen/>
        <w:t>го самолета, обязать ЦАГИ передавать чертежи заводу № 22.</w:t>
      </w:r>
    </w:p>
    <w:p w14:paraId="255C5FCB" w14:textId="77777777" w:rsidR="001B6FA5" w:rsidRPr="00E14102" w:rsidRDefault="001B6FA5" w:rsidP="00E14102">
      <w:pPr>
        <w:tabs>
          <w:tab w:val="left" w:pos="822"/>
        </w:tabs>
        <w:jc w:val="both"/>
        <w:rPr>
          <w:color w:val="000000" w:themeColor="text1"/>
          <w:sz w:val="16"/>
          <w:szCs w:val="16"/>
        </w:rPr>
      </w:pPr>
      <w:r w:rsidRPr="00E14102">
        <w:rPr>
          <w:color w:val="000000" w:themeColor="text1"/>
          <w:sz w:val="16"/>
          <w:szCs w:val="16"/>
        </w:rPr>
        <w:t>7. Обязать директора завода № 24 тов. Марьямова подать ЦАГИ 8 штук моторов, из них — один мотор к 1-му августа и 7 моторов в октябре месяце.</w:t>
      </w:r>
    </w:p>
    <w:p w14:paraId="63D3AE95" w14:textId="77777777" w:rsidR="001B6FA5" w:rsidRPr="00E14102" w:rsidRDefault="001B6FA5" w:rsidP="00E14102">
      <w:pPr>
        <w:jc w:val="both"/>
        <w:rPr>
          <w:color w:val="000000" w:themeColor="text1"/>
          <w:sz w:val="16"/>
          <w:szCs w:val="16"/>
        </w:rPr>
      </w:pPr>
      <w:r w:rsidRPr="00E14102">
        <w:rPr>
          <w:color w:val="000000" w:themeColor="text1"/>
          <w:sz w:val="16"/>
          <w:szCs w:val="16"/>
        </w:rPr>
        <w:t>Для завода № 22 подать один мотор в январе месяце, остальные — в апреле.</w:t>
      </w:r>
    </w:p>
    <w:p w14:paraId="4ADD810A" w14:textId="77777777" w:rsidR="001B6FA5" w:rsidRPr="00E14102" w:rsidRDefault="001B6FA5" w:rsidP="00E14102">
      <w:pPr>
        <w:tabs>
          <w:tab w:val="left" w:pos="846"/>
        </w:tabs>
        <w:jc w:val="both"/>
        <w:rPr>
          <w:color w:val="000000" w:themeColor="text1"/>
          <w:sz w:val="16"/>
          <w:szCs w:val="16"/>
        </w:rPr>
      </w:pPr>
      <w:r w:rsidRPr="00E14102">
        <w:rPr>
          <w:color w:val="000000" w:themeColor="text1"/>
          <w:sz w:val="16"/>
          <w:szCs w:val="16"/>
        </w:rPr>
        <w:t>8) Обязать ЦАГИ, персонально профессора Александрова дать технические условия на изготовление металлических винтов и опытные чертежи в 2-х вариантах 15-20 июня и совместно с тов. Мельниковым и соответствующими организациями составить план изготовления этих винтов со сроком готовности к 1-му августа.</w:t>
      </w:r>
    </w:p>
    <w:p w14:paraId="2EAC4097" w14:textId="77777777" w:rsidR="001B6FA5" w:rsidRPr="00E14102" w:rsidRDefault="001B6FA5" w:rsidP="00E14102">
      <w:pPr>
        <w:tabs>
          <w:tab w:val="left" w:pos="831"/>
        </w:tabs>
        <w:jc w:val="both"/>
        <w:rPr>
          <w:color w:val="000000" w:themeColor="text1"/>
          <w:sz w:val="16"/>
          <w:szCs w:val="16"/>
        </w:rPr>
      </w:pPr>
      <w:r w:rsidRPr="00E14102">
        <w:rPr>
          <w:color w:val="000000" w:themeColor="text1"/>
          <w:sz w:val="16"/>
          <w:szCs w:val="16"/>
        </w:rPr>
        <w:t>9) Обязать завод № 120 изготовить один комплект двухметровых колес для ЦАГИ в январе месяце 1936 г., для завода № 22 - в апреле ме</w:t>
      </w:r>
      <w:r w:rsidRPr="00E14102">
        <w:rPr>
          <w:color w:val="000000" w:themeColor="text1"/>
          <w:sz w:val="16"/>
          <w:szCs w:val="16"/>
        </w:rPr>
        <w:softHyphen/>
        <w:t>сяце 1936 г. ЦАГИ передать заводу № 120 чертежи на колеса к 1-му июля.</w:t>
      </w:r>
    </w:p>
    <w:p w14:paraId="2136A02C" w14:textId="77777777" w:rsidR="001B6FA5" w:rsidRPr="00E14102" w:rsidRDefault="001B6FA5" w:rsidP="00E14102">
      <w:pPr>
        <w:tabs>
          <w:tab w:val="left" w:pos="937"/>
        </w:tabs>
        <w:jc w:val="both"/>
        <w:rPr>
          <w:color w:val="000000" w:themeColor="text1"/>
          <w:sz w:val="16"/>
          <w:szCs w:val="16"/>
        </w:rPr>
      </w:pPr>
      <w:r w:rsidRPr="00E14102">
        <w:rPr>
          <w:color w:val="000000" w:themeColor="text1"/>
          <w:sz w:val="16"/>
          <w:szCs w:val="16"/>
        </w:rPr>
        <w:t>10) Обязать завод № 34 изготовить 3 комплекта радиаторов по чертежам ЦАГИ.</w:t>
      </w:r>
    </w:p>
    <w:p w14:paraId="47AB7E1E" w14:textId="77777777" w:rsidR="001B6FA5" w:rsidRPr="00E14102" w:rsidRDefault="001B6FA5" w:rsidP="00E14102">
      <w:pPr>
        <w:jc w:val="both"/>
        <w:rPr>
          <w:color w:val="000000" w:themeColor="text1"/>
          <w:sz w:val="16"/>
          <w:szCs w:val="16"/>
        </w:rPr>
      </w:pPr>
      <w:r w:rsidRPr="00E14102">
        <w:rPr>
          <w:color w:val="000000" w:themeColor="text1"/>
          <w:sz w:val="16"/>
          <w:szCs w:val="16"/>
        </w:rPr>
        <w:t>ЦАГИ изготовить радиатор в виде опытного образца для испыта</w:t>
      </w:r>
      <w:r w:rsidRPr="00E14102">
        <w:rPr>
          <w:color w:val="000000" w:themeColor="text1"/>
          <w:sz w:val="16"/>
          <w:szCs w:val="16"/>
        </w:rPr>
        <w:softHyphen/>
        <w:t>ния на моторе к 1 августа, одновременно передав все материалы заводу № 34 для ознакомления.</w:t>
      </w:r>
    </w:p>
    <w:p w14:paraId="19121F57" w14:textId="77777777" w:rsidR="001B6FA5" w:rsidRPr="00E14102" w:rsidRDefault="001B6FA5" w:rsidP="00E14102">
      <w:pPr>
        <w:tabs>
          <w:tab w:val="left" w:pos="956"/>
        </w:tabs>
        <w:jc w:val="both"/>
        <w:rPr>
          <w:color w:val="000000" w:themeColor="text1"/>
          <w:sz w:val="16"/>
          <w:szCs w:val="16"/>
        </w:rPr>
      </w:pPr>
      <w:r w:rsidRPr="00E14102">
        <w:rPr>
          <w:color w:val="000000" w:themeColor="text1"/>
          <w:sz w:val="16"/>
          <w:szCs w:val="16"/>
        </w:rPr>
        <w:t>11) В качестве материала для постройки самолетов применять супер-дюраль, сплав 95 с механическими данными минимум 44, с пода</w:t>
      </w:r>
      <w:r w:rsidRPr="00E14102">
        <w:rPr>
          <w:color w:val="000000" w:themeColor="text1"/>
          <w:sz w:val="16"/>
          <w:szCs w:val="16"/>
        </w:rPr>
        <w:softHyphen/>
        <w:t>чей его для ЦАГИ комплектно на один самолет в августе месяце, для за</w:t>
      </w:r>
      <w:r w:rsidRPr="00E14102">
        <w:rPr>
          <w:color w:val="000000" w:themeColor="text1"/>
          <w:sz w:val="16"/>
          <w:szCs w:val="16"/>
        </w:rPr>
        <w:softHyphen/>
        <w:t>вода № 22 комплектно на 2 самолета к 1 декабря.</w:t>
      </w:r>
    </w:p>
    <w:p w14:paraId="6749094C" w14:textId="77777777" w:rsidR="001B6FA5" w:rsidRPr="00E14102" w:rsidRDefault="001B6FA5" w:rsidP="00E14102">
      <w:pPr>
        <w:jc w:val="both"/>
        <w:rPr>
          <w:color w:val="000000" w:themeColor="text1"/>
          <w:sz w:val="16"/>
          <w:szCs w:val="16"/>
        </w:rPr>
      </w:pPr>
      <w:r w:rsidRPr="00E14102">
        <w:rPr>
          <w:color w:val="000000" w:themeColor="text1"/>
          <w:sz w:val="16"/>
          <w:szCs w:val="16"/>
        </w:rPr>
        <w:t>Спецификацию на материал составить ЦАГИ совместно с ВИАМом, заводом № 22 и Авиаснабом к 15 июня.</w:t>
      </w:r>
    </w:p>
    <w:p w14:paraId="77F68764" w14:textId="77777777" w:rsidR="001B6FA5" w:rsidRPr="00E14102" w:rsidRDefault="001B6FA5" w:rsidP="00E14102">
      <w:pPr>
        <w:jc w:val="both"/>
        <w:rPr>
          <w:color w:val="000000" w:themeColor="text1"/>
          <w:sz w:val="16"/>
          <w:szCs w:val="16"/>
        </w:rPr>
      </w:pPr>
      <w:r w:rsidRPr="00E14102">
        <w:rPr>
          <w:color w:val="000000" w:themeColor="text1"/>
          <w:sz w:val="16"/>
          <w:szCs w:val="16"/>
        </w:rPr>
        <w:t>При составлении спецификации определить сроки подачи мате</w:t>
      </w:r>
      <w:r w:rsidRPr="00E14102">
        <w:rPr>
          <w:color w:val="000000" w:themeColor="text1"/>
          <w:sz w:val="16"/>
          <w:szCs w:val="16"/>
        </w:rPr>
        <w:softHyphen/>
        <w:t>риалов как для ЦАГИ, так и для завода № 22.</w:t>
      </w:r>
    </w:p>
    <w:p w14:paraId="47B4FEEA" w14:textId="77777777" w:rsidR="001B6FA5" w:rsidRPr="00E14102" w:rsidRDefault="001B6FA5" w:rsidP="00E14102">
      <w:pPr>
        <w:tabs>
          <w:tab w:val="left" w:pos="887"/>
        </w:tabs>
        <w:jc w:val="both"/>
        <w:rPr>
          <w:color w:val="000000" w:themeColor="text1"/>
          <w:sz w:val="16"/>
          <w:szCs w:val="16"/>
        </w:rPr>
      </w:pPr>
      <w:r w:rsidRPr="00E14102">
        <w:rPr>
          <w:color w:val="000000" w:themeColor="text1"/>
          <w:sz w:val="16"/>
          <w:szCs w:val="16"/>
        </w:rPr>
        <w:t>12) ЦАГИ передать заводу № 95 станок для грофа.</w:t>
      </w:r>
    </w:p>
    <w:p w14:paraId="05A42CF4" w14:textId="77777777" w:rsidR="001B6FA5" w:rsidRPr="00E14102" w:rsidRDefault="001B6FA5" w:rsidP="00E14102">
      <w:pPr>
        <w:tabs>
          <w:tab w:val="left" w:pos="913"/>
        </w:tabs>
        <w:jc w:val="both"/>
        <w:rPr>
          <w:color w:val="000000" w:themeColor="text1"/>
          <w:sz w:val="16"/>
          <w:szCs w:val="16"/>
        </w:rPr>
      </w:pPr>
      <w:r w:rsidRPr="00E14102">
        <w:rPr>
          <w:color w:val="000000" w:themeColor="text1"/>
          <w:sz w:val="16"/>
          <w:szCs w:val="16"/>
        </w:rPr>
        <w:t>13) Тов. Лобанову совместно с ЦАГИ вести заказ материалов по цветным и черным металлам по одному договору ЦАГИ, за исключе</w:t>
      </w:r>
      <w:r w:rsidRPr="00E14102">
        <w:rPr>
          <w:color w:val="000000" w:themeColor="text1"/>
          <w:sz w:val="16"/>
          <w:szCs w:val="16"/>
        </w:rPr>
        <w:softHyphen/>
        <w:t>нием завода № 95, по специальным техническим условиям и в соответ</w:t>
      </w:r>
      <w:r w:rsidRPr="00E14102">
        <w:rPr>
          <w:color w:val="000000" w:themeColor="text1"/>
          <w:sz w:val="16"/>
          <w:szCs w:val="16"/>
        </w:rPr>
        <w:softHyphen/>
        <w:t>ствующие сроки как для ЦАГИ, так и для завода № 22</w:t>
      </w:r>
    </w:p>
    <w:p w14:paraId="065D4D3C" w14:textId="77777777" w:rsidR="001B6FA5" w:rsidRPr="00E14102" w:rsidRDefault="001B6FA5" w:rsidP="00E14102">
      <w:pPr>
        <w:tabs>
          <w:tab w:val="left" w:pos="927"/>
        </w:tabs>
        <w:jc w:val="both"/>
        <w:rPr>
          <w:color w:val="000000" w:themeColor="text1"/>
          <w:sz w:val="16"/>
          <w:szCs w:val="16"/>
        </w:rPr>
      </w:pPr>
      <w:r w:rsidRPr="00E14102">
        <w:rPr>
          <w:color w:val="000000" w:themeColor="text1"/>
          <w:sz w:val="16"/>
          <w:szCs w:val="16"/>
        </w:rPr>
        <w:t>14) Тов. Лобанову совместно с ЦАГИ дать заказ на лакокраски, поковки, хромомолибденовые трубы, приборы, аппаратуру и все техни</w:t>
      </w:r>
      <w:r w:rsidRPr="00E14102">
        <w:rPr>
          <w:color w:val="000000" w:themeColor="text1"/>
          <w:sz w:val="16"/>
          <w:szCs w:val="16"/>
        </w:rPr>
        <w:softHyphen/>
        <w:t>ческое оборудование по техническим условиям ЦАГИ.</w:t>
      </w:r>
    </w:p>
    <w:p w14:paraId="446899F0" w14:textId="77777777" w:rsidR="001B6FA5" w:rsidRPr="00E14102" w:rsidRDefault="001B6FA5" w:rsidP="00E14102">
      <w:pPr>
        <w:jc w:val="both"/>
        <w:rPr>
          <w:color w:val="000000" w:themeColor="text1"/>
          <w:sz w:val="16"/>
          <w:szCs w:val="16"/>
        </w:rPr>
      </w:pPr>
      <w:r w:rsidRPr="00E14102">
        <w:rPr>
          <w:color w:val="000000" w:themeColor="text1"/>
          <w:sz w:val="16"/>
          <w:szCs w:val="16"/>
        </w:rPr>
        <w:t>Срок оформления всех заказов — 1 июля.</w:t>
      </w:r>
    </w:p>
    <w:p w14:paraId="7BE66D4B" w14:textId="77777777" w:rsidR="001B6FA5" w:rsidRPr="00E14102" w:rsidRDefault="001B6FA5" w:rsidP="00E14102">
      <w:pPr>
        <w:tabs>
          <w:tab w:val="left" w:pos="932"/>
        </w:tabs>
        <w:jc w:val="both"/>
        <w:rPr>
          <w:color w:val="000000" w:themeColor="text1"/>
          <w:sz w:val="16"/>
          <w:szCs w:val="16"/>
        </w:rPr>
      </w:pPr>
      <w:r w:rsidRPr="00E14102">
        <w:rPr>
          <w:color w:val="000000" w:themeColor="text1"/>
          <w:sz w:val="16"/>
          <w:szCs w:val="16"/>
        </w:rPr>
        <w:lastRenderedPageBreak/>
        <w:t>15) Тов. Чаусскому, моторному и самолетному отделам совмест</w:t>
      </w:r>
      <w:r w:rsidRPr="00E14102">
        <w:rPr>
          <w:color w:val="000000" w:themeColor="text1"/>
          <w:sz w:val="16"/>
          <w:szCs w:val="16"/>
        </w:rPr>
        <w:softHyphen/>
        <w:t>но с ЦАГИ представить мне план механической обработки отдельных узлов, как на заводах нашей системы, так и на заводах системы НКТП, для всех самолетов.</w:t>
      </w:r>
    </w:p>
    <w:p w14:paraId="51FBBFAB" w14:textId="77777777" w:rsidR="001B6FA5" w:rsidRPr="00E14102" w:rsidRDefault="001B6FA5" w:rsidP="00E14102">
      <w:pPr>
        <w:jc w:val="both"/>
        <w:rPr>
          <w:color w:val="000000" w:themeColor="text1"/>
          <w:sz w:val="16"/>
          <w:szCs w:val="16"/>
        </w:rPr>
      </w:pPr>
      <w:r w:rsidRPr="00E14102">
        <w:rPr>
          <w:color w:val="000000" w:themeColor="text1"/>
          <w:sz w:val="16"/>
          <w:szCs w:val="16"/>
        </w:rPr>
        <w:t>Срок заключения договора — 1 июля.</w:t>
      </w:r>
    </w:p>
    <w:p w14:paraId="41F4F2D7" w14:textId="77777777" w:rsidR="001B6FA5" w:rsidRPr="00E14102" w:rsidRDefault="001B6FA5" w:rsidP="00E14102">
      <w:pPr>
        <w:tabs>
          <w:tab w:val="left" w:pos="908"/>
        </w:tabs>
        <w:jc w:val="both"/>
        <w:rPr>
          <w:color w:val="000000" w:themeColor="text1"/>
          <w:sz w:val="16"/>
          <w:szCs w:val="16"/>
        </w:rPr>
      </w:pPr>
      <w:r w:rsidRPr="00E14102">
        <w:rPr>
          <w:color w:val="000000" w:themeColor="text1"/>
          <w:sz w:val="16"/>
          <w:szCs w:val="16"/>
        </w:rPr>
        <w:t>16) Тов. Чаусскому, Зорину совместно с ЦАГИ и заводом № 22 к 10 июля проработать вопрос о дополнительном отпуске станков и дру</w:t>
      </w:r>
      <w:r w:rsidRPr="00E14102">
        <w:rPr>
          <w:color w:val="000000" w:themeColor="text1"/>
          <w:sz w:val="16"/>
          <w:szCs w:val="16"/>
        </w:rPr>
        <w:softHyphen/>
        <w:t>гих видов оборудования.</w:t>
      </w:r>
    </w:p>
    <w:p w14:paraId="6D14F546" w14:textId="77777777" w:rsidR="001B6FA5" w:rsidRPr="00E14102" w:rsidRDefault="001B6FA5" w:rsidP="00E14102">
      <w:pPr>
        <w:tabs>
          <w:tab w:val="left" w:pos="889"/>
        </w:tabs>
        <w:jc w:val="both"/>
        <w:rPr>
          <w:color w:val="000000" w:themeColor="text1"/>
          <w:sz w:val="16"/>
          <w:szCs w:val="16"/>
        </w:rPr>
      </w:pPr>
      <w:r w:rsidRPr="00E14102">
        <w:rPr>
          <w:color w:val="000000" w:themeColor="text1"/>
          <w:sz w:val="16"/>
          <w:szCs w:val="16"/>
        </w:rPr>
        <w:t>17) Тов. Литвинову совместно с ЦАГИ и заводами №№ 22 и 24 со</w:t>
      </w:r>
      <w:r w:rsidRPr="00E14102">
        <w:rPr>
          <w:color w:val="000000" w:themeColor="text1"/>
          <w:sz w:val="16"/>
          <w:szCs w:val="16"/>
        </w:rPr>
        <w:softHyphen/>
        <w:t>ставить финансовый план по этому виду производства.</w:t>
      </w:r>
    </w:p>
    <w:p w14:paraId="58127018" w14:textId="77777777" w:rsidR="001B6FA5" w:rsidRPr="00E14102" w:rsidRDefault="001B6FA5" w:rsidP="00E14102">
      <w:pPr>
        <w:tabs>
          <w:tab w:val="left" w:pos="951"/>
        </w:tabs>
        <w:jc w:val="both"/>
        <w:rPr>
          <w:color w:val="000000" w:themeColor="text1"/>
          <w:sz w:val="16"/>
          <w:szCs w:val="16"/>
        </w:rPr>
      </w:pPr>
      <w:r w:rsidRPr="00E14102">
        <w:rPr>
          <w:color w:val="000000" w:themeColor="text1"/>
          <w:sz w:val="16"/>
          <w:szCs w:val="16"/>
        </w:rPr>
        <w:t>18) Планово-производственному отделу на основе настоящего решения составить техпромфинплан по всем 3-м самолетам.</w:t>
      </w:r>
    </w:p>
    <w:p w14:paraId="566337B0" w14:textId="77777777" w:rsidR="001B6FA5" w:rsidRPr="00E14102" w:rsidRDefault="001B6FA5" w:rsidP="00E14102">
      <w:pPr>
        <w:tabs>
          <w:tab w:val="left" w:pos="903"/>
        </w:tabs>
        <w:jc w:val="both"/>
        <w:rPr>
          <w:color w:val="000000" w:themeColor="text1"/>
          <w:sz w:val="16"/>
          <w:szCs w:val="16"/>
        </w:rPr>
      </w:pPr>
      <w:r w:rsidRPr="00E14102">
        <w:rPr>
          <w:color w:val="000000" w:themeColor="text1"/>
          <w:sz w:val="16"/>
          <w:szCs w:val="16"/>
        </w:rPr>
        <w:t>19) Тов. Соловьеву, Харламову, Марьямову и Миткевич на основе настоящего решения составить приказ ро Главному Управлению.</w:t>
      </w:r>
    </w:p>
    <w:p w14:paraId="375C3527" w14:textId="77777777" w:rsidR="001B6FA5" w:rsidRPr="00E14102" w:rsidRDefault="001B6FA5" w:rsidP="00E14102">
      <w:pPr>
        <w:tabs>
          <w:tab w:val="left" w:pos="918"/>
        </w:tabs>
        <w:jc w:val="both"/>
        <w:rPr>
          <w:color w:val="000000" w:themeColor="text1"/>
          <w:sz w:val="16"/>
          <w:szCs w:val="16"/>
        </w:rPr>
      </w:pPr>
      <w:r w:rsidRPr="00E14102">
        <w:rPr>
          <w:color w:val="000000" w:themeColor="text1"/>
          <w:sz w:val="16"/>
          <w:szCs w:val="16"/>
        </w:rPr>
        <w:t>20) Им же составить проект решения правительства о постройке и сроках выполнения задания по заводам, технических данных, финан</w:t>
      </w:r>
      <w:r w:rsidRPr="00E14102">
        <w:rPr>
          <w:color w:val="000000" w:themeColor="text1"/>
          <w:sz w:val="16"/>
          <w:szCs w:val="16"/>
        </w:rPr>
        <w:softHyphen/>
        <w:t>сировании, применении сверхурочных работ.</w:t>
      </w:r>
    </w:p>
    <w:p w14:paraId="676FE751" w14:textId="77777777" w:rsidR="001B6FA5" w:rsidRPr="00E14102" w:rsidRDefault="001B6FA5" w:rsidP="00E14102">
      <w:pPr>
        <w:jc w:val="both"/>
        <w:rPr>
          <w:color w:val="000000" w:themeColor="text1"/>
          <w:sz w:val="16"/>
          <w:szCs w:val="16"/>
        </w:rPr>
      </w:pPr>
      <w:r w:rsidRPr="00E14102">
        <w:rPr>
          <w:color w:val="000000" w:themeColor="text1"/>
          <w:sz w:val="16"/>
          <w:szCs w:val="16"/>
        </w:rPr>
        <w:t>Срок — 28 мая с.г.</w:t>
      </w:r>
    </w:p>
    <w:p w14:paraId="4B09F993" w14:textId="77777777" w:rsidR="001B6FA5" w:rsidRPr="00E14102" w:rsidRDefault="001B6FA5" w:rsidP="00E14102">
      <w:pPr>
        <w:tabs>
          <w:tab w:val="left" w:pos="894"/>
        </w:tabs>
        <w:jc w:val="both"/>
        <w:rPr>
          <w:color w:val="000000" w:themeColor="text1"/>
          <w:sz w:val="16"/>
          <w:szCs w:val="16"/>
        </w:rPr>
      </w:pPr>
      <w:r w:rsidRPr="00E14102">
        <w:rPr>
          <w:color w:val="000000" w:themeColor="text1"/>
          <w:sz w:val="16"/>
          <w:szCs w:val="16"/>
        </w:rPr>
        <w:t>21) Тов. Петухову проработать план комплектования соответству</w:t>
      </w:r>
      <w:r w:rsidRPr="00E14102">
        <w:rPr>
          <w:color w:val="000000" w:themeColor="text1"/>
          <w:sz w:val="16"/>
          <w:szCs w:val="16"/>
        </w:rPr>
        <w:softHyphen/>
        <w:t>ющих заводов инженерно-техническим персоналом и рабсилой.</w:t>
      </w:r>
    </w:p>
    <w:p w14:paraId="58B84C80" w14:textId="77777777" w:rsidR="001B6FA5" w:rsidRPr="00E14102" w:rsidRDefault="001B6FA5" w:rsidP="00E14102">
      <w:pPr>
        <w:tabs>
          <w:tab w:val="left" w:pos="894"/>
        </w:tabs>
        <w:jc w:val="both"/>
        <w:rPr>
          <w:color w:val="000000" w:themeColor="text1"/>
          <w:sz w:val="16"/>
          <w:szCs w:val="16"/>
        </w:rPr>
      </w:pPr>
      <w:r w:rsidRPr="00E14102">
        <w:rPr>
          <w:color w:val="000000" w:themeColor="text1"/>
          <w:sz w:val="16"/>
          <w:szCs w:val="16"/>
        </w:rPr>
        <w:t>22) Считать работу по постройке 3-х самолетов, во исполнение ре</w:t>
      </w:r>
      <w:r w:rsidRPr="00E14102">
        <w:rPr>
          <w:color w:val="000000" w:themeColor="text1"/>
          <w:sz w:val="16"/>
          <w:szCs w:val="16"/>
        </w:rPr>
        <w:softHyphen/>
        <w:t>шения правительства и партии, всей авиапромышленности — как честь.</w:t>
      </w:r>
    </w:p>
    <w:p w14:paraId="315BAB02" w14:textId="77777777" w:rsidR="001B6FA5" w:rsidRPr="00E14102" w:rsidRDefault="001B6FA5" w:rsidP="00E14102">
      <w:pPr>
        <w:tabs>
          <w:tab w:val="left" w:pos="951"/>
        </w:tabs>
        <w:jc w:val="both"/>
        <w:rPr>
          <w:color w:val="000000" w:themeColor="text1"/>
          <w:sz w:val="16"/>
          <w:szCs w:val="16"/>
        </w:rPr>
      </w:pPr>
      <w:r w:rsidRPr="00E14102">
        <w:rPr>
          <w:color w:val="000000" w:themeColor="text1"/>
          <w:sz w:val="16"/>
          <w:szCs w:val="16"/>
        </w:rPr>
        <w:t>23) Качество этих самолетов должно быть и технически, и ор</w:t>
      </w:r>
      <w:r w:rsidRPr="00E14102">
        <w:rPr>
          <w:color w:val="000000" w:themeColor="text1"/>
          <w:sz w:val="16"/>
          <w:szCs w:val="16"/>
        </w:rPr>
        <w:softHyphen/>
        <w:t>ганизационно, и производственно отличным, почему и все директора должны дать продукцию самого лучшего качества.</w:t>
      </w:r>
    </w:p>
    <w:p w14:paraId="24BC43C5" w14:textId="77777777" w:rsidR="001B6FA5" w:rsidRPr="00E14102" w:rsidRDefault="001B6FA5" w:rsidP="00E14102">
      <w:pPr>
        <w:tabs>
          <w:tab w:val="left" w:pos="5175"/>
        </w:tabs>
        <w:jc w:val="both"/>
        <w:rPr>
          <w:color w:val="000000" w:themeColor="text1"/>
          <w:sz w:val="16"/>
          <w:szCs w:val="16"/>
        </w:rPr>
      </w:pPr>
      <w:r w:rsidRPr="00E14102">
        <w:rPr>
          <w:color w:val="000000" w:themeColor="text1"/>
          <w:sz w:val="16"/>
          <w:szCs w:val="16"/>
        </w:rPr>
        <w:t>Председатель Г.Н. Королев (15633).</w:t>
      </w:r>
    </w:p>
    <w:p w14:paraId="6580A073" w14:textId="77777777" w:rsidR="001B6FA5" w:rsidRPr="00E14102" w:rsidRDefault="001B6FA5" w:rsidP="00E14102">
      <w:pPr>
        <w:jc w:val="both"/>
        <w:rPr>
          <w:color w:val="000000" w:themeColor="text1"/>
          <w:sz w:val="16"/>
          <w:szCs w:val="16"/>
        </w:rPr>
      </w:pPr>
    </w:p>
    <w:p w14:paraId="12984B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мая 1935 УЗ-М48 завода № 23 прошел госиспытания (3419,93).</w:t>
      </w:r>
    </w:p>
    <w:p w14:paraId="778F5A90" w14:textId="77777777" w:rsidR="00D4105E" w:rsidRPr="00E14102" w:rsidRDefault="00D4105E" w:rsidP="00E14102">
      <w:pPr>
        <w:autoSpaceDE w:val="0"/>
        <w:autoSpaceDN w:val="0"/>
        <w:adjustRightInd w:val="0"/>
        <w:jc w:val="both"/>
        <w:rPr>
          <w:color w:val="000000" w:themeColor="text1"/>
          <w:sz w:val="16"/>
          <w:szCs w:val="16"/>
        </w:rPr>
      </w:pPr>
    </w:p>
    <w:p w14:paraId="5192403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29 мая 1935 Нач. ГУГВФ И.Ткачев писал письмо “ 0459с в СТО тов. Базилевичу:</w:t>
      </w:r>
    </w:p>
    <w:p w14:paraId="72B692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дополнение к моему письму (от 25/1У-35 г. № 0227) на имя тов. Сталина, Молотова, Ворошилова и Орджоникидзе сообщаю о состоянии работ по авиационному Дизелю Н-3 конструкции Харьковского Авиадизельного Института ГВФ.</w:t>
      </w:r>
    </w:p>
    <w:p w14:paraId="61217F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процессе дальнейших заводских испытаний с двигателя на сегодня уже снята мощность 430 лош.сил (проектная мощность 1500 лош. сил.).</w:t>
      </w:r>
    </w:p>
    <w:p w14:paraId="5D27D5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топливе двигатель проработал около 20 часов, показав расход 180-185 грамм на лош.силу в час. В общей сложности (с обкажкой) двигатель отработал около 35 часов без каких-либо поломов и неполадок.</w:t>
      </w:r>
    </w:p>
    <w:p w14:paraId="5C2A616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Разборка двигателя показала хорошее состояние всех деталей двигателей.</w:t>
      </w:r>
    </w:p>
    <w:p w14:paraId="60E7E4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настоящее время производится замена подшипников залитых баббитом на залитые свинцовистой бронзой (это было предусмотрено проектом, но из-за несвоевременного изготовления промышленностью подшипников со вкладышами из свинцовистой бронзы временно были постаглены баббитовые), для обеспечения надежной длительной работы двигателя на полной мощности.</w:t>
      </w:r>
    </w:p>
    <w:p w14:paraId="3B2B01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первых числах июня двигатель вновь будет поставлен на станок для окончания заводских испытаний.</w:t>
      </w:r>
    </w:p>
    <w:p w14:paraId="7BE463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Все получены в регультате проведенных испытаний данные дают полное основание для постановки вопросов об изготовлении опытно-эксплоатационной серии двигателей уже теперь с тем, что-бы обеспечить в возможно наикратчайшие сроки освоение и внедрение авиадизеля Н-3 на эксплоатацию. Поэтому прошу поставить этот вопрос на КО и прилагаю проект постановления (3419,71).</w:t>
      </w:r>
    </w:p>
    <w:p w14:paraId="03CD49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57C7173" w14:textId="77777777" w:rsidR="001B6FA5" w:rsidRPr="00E14102" w:rsidRDefault="001B6FA5" w:rsidP="00E14102">
      <w:pPr>
        <w:shd w:val="clear" w:color="auto" w:fill="FFFFFF"/>
        <w:jc w:val="both"/>
        <w:rPr>
          <w:color w:val="000000" w:themeColor="text1"/>
          <w:sz w:val="16"/>
          <w:szCs w:val="16"/>
        </w:rPr>
      </w:pPr>
      <w:r w:rsidRPr="00E14102">
        <w:rPr>
          <w:bCs/>
          <w:iCs/>
          <w:color w:val="000000" w:themeColor="text1"/>
          <w:sz w:val="16"/>
          <w:szCs w:val="16"/>
        </w:rPr>
        <w:t>29 мая 1935 г.</w:t>
      </w:r>
      <w:r w:rsidRPr="00E14102">
        <w:rPr>
          <w:color w:val="000000" w:themeColor="text1"/>
          <w:sz w:val="16"/>
          <w:szCs w:val="16"/>
        </w:rPr>
        <w:t xml:space="preserve"> 23 авиабригада провела в Монинском лагере (Московская область) специальное авиахимическое учение для высшего начальствующего состава округа. Во избежание неприятностей командующий округом приказал выливать из ВАПов на цель (самолет, под крылом которого стоял красноармеец) на глазах у большой группы руководителей не настоящий иприт, а его имитатор (учебное ОВ). Жизнь распорядилась по-иному: на аэродроме Монино состоялось прилюдное выливание больших количеств настоящего иприта. Пострадало трое человек, работавших с «учебным» ОВ в разных местах технологической цепи: они были в защитной одежде, но использовали ее понарошку, поскольку пребывали в уверенности, что ОВ учебное. «Разбор полетов», который выполнил в приказе командующий округом, выявил множество непостижимых вещей. Начальник химической службы 23-й авиабригады, наливая в ВАПы вещество № 6, был твердо уверен, что это не настоящий иприт, а его имитация (он совсем не читал секретных военных документов, где иприт для запутывания врага назывался в те годы и веществом «Н», и веществом № 6). Кстати, 18 бочек с боевым веществом № 6, которые валялись без присмотра на аэродроме Монино, достались 23-ей бригаде в наследство от 17-ой бригады, которую перебросили в иное место, а на ее место прислали другую (задолго до описываемых событий). Иприт за годы валянья на аэродроме в значительной степени разложился, и именно это спасло от большего количества жертв, однако даже после полива плохим ипритом цель самолет пришлось дегазировать 7 раз. Приказом по округу приказано «</w:t>
      </w:r>
      <w:r w:rsidRPr="00E14102">
        <w:rPr>
          <w:iCs/>
          <w:color w:val="000000" w:themeColor="text1"/>
          <w:sz w:val="16"/>
          <w:szCs w:val="16"/>
        </w:rPr>
        <w:t>занятия с применением иприта (он же вещество № 6) проводить исключительно на территориях лагерных химических городков</w:t>
      </w:r>
      <w:r w:rsidRPr="00E14102">
        <w:rPr>
          <w:color w:val="000000" w:themeColor="text1"/>
          <w:sz w:val="16"/>
          <w:szCs w:val="16"/>
        </w:rPr>
        <w:t>» — раньше это происходило где попало. Велено также «</w:t>
      </w:r>
      <w:r w:rsidRPr="00E14102">
        <w:rPr>
          <w:iCs/>
          <w:color w:val="000000" w:themeColor="text1"/>
          <w:sz w:val="16"/>
          <w:szCs w:val="16"/>
        </w:rPr>
        <w:t>все остатки ОВ.., которые выявятся к концу лагерного период, командирам частей направить в военный склад № 67</w:t>
      </w:r>
      <w:r w:rsidRPr="00E14102">
        <w:rPr>
          <w:color w:val="000000" w:themeColor="text1"/>
          <w:sz w:val="16"/>
          <w:szCs w:val="16"/>
        </w:rPr>
        <w:t>» (имеется в виду артсклад в Можайске). Выполнить последний приказ было непросто: во-первых, надо было срочно (еще в июле, то есть задолго до появления знания об объеме остатков) заказать транспорт на сентябрь для спецперевозки ОВ в Можайск; во-вторых, иприт на склад можно было сдать лишь с кислотностью не выше 2% (17133).</w:t>
      </w:r>
    </w:p>
    <w:p w14:paraId="42193486" w14:textId="77777777" w:rsidR="001B6FA5" w:rsidRPr="00E14102" w:rsidRDefault="001B6FA5" w:rsidP="00E14102">
      <w:pPr>
        <w:shd w:val="clear" w:color="auto" w:fill="FFFFFF"/>
        <w:jc w:val="both"/>
        <w:rPr>
          <w:color w:val="000000" w:themeColor="text1"/>
          <w:sz w:val="16"/>
          <w:szCs w:val="16"/>
        </w:rPr>
      </w:pPr>
    </w:p>
    <w:p w14:paraId="5C00DA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мая 1935 г. с целью определения устойчивости полета снаряда и прочности стабилизирующего приспособления, на Софринском полигоне провели опытные испытания стрельбой трех снарядов РФС-245. В результате выяснилось, что лопасти стабилизаторов из 2-мм листовой стали для данной конструкции недостаточно прочны. При стрельбе с утлом возвышения 40° по восходящей траектории в конце сгорания РЗ лопасти стабилизатора скручивались, снаряд терял устойчивость и падал на расстоянии около 2,5 км от орудия (11402).</w:t>
      </w:r>
    </w:p>
    <w:p w14:paraId="27C3FC8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85B8EA7" w14:textId="77777777" w:rsidR="002A3F5F" w:rsidRPr="00E14102" w:rsidRDefault="002A3F5F" w:rsidP="00E14102">
      <w:pPr>
        <w:jc w:val="both"/>
        <w:rPr>
          <w:color w:val="0070C0"/>
          <w:sz w:val="16"/>
          <w:szCs w:val="16"/>
        </w:rPr>
      </w:pPr>
      <w:r w:rsidRPr="00E14102">
        <w:rPr>
          <w:color w:val="0070C0"/>
          <w:sz w:val="16"/>
          <w:szCs w:val="16"/>
        </w:rPr>
        <w:t>29 мая 1935 года на Монинском полигоне руководством воинской части №1395 Московского военного округа и силами 23-ей тяжёлобомбардировочной авиационной бригады были проведены специальные авиахимические учения МВО. В ходе демонстрации готовности Военно-воздушных сил к работе с отравляющими веществами, по распоряжению Командующего округом Августа Ивановича Корка из ВАПа, установленного на одномоторном биплане Р-5, на цель был вылит имитатор отравляющего вещества, изготовляемого на основе горчичного газа (иприта). По недосмотру начальника химической службы выливной прибор самолёта вместо имитатора был заправлен боевым ипритом, в результате чего серьёзно пострадало три человека, несмотря на то, что все они были в специальной одежде. Будучи полностью уверенными в том, что используемое на учениях отравляющее вещество не настоящее, солдаты надели на себя защитные комбинезоны без соблюдения всех требований безопасности, что в результате и привело к столь печальным последствиям. После этого инцидента отработки учебных задач с применением отравляющих веществ, изготовленных на основе иприта, стали проводиться только на специально оборудованных площадках (21535).</w:t>
      </w:r>
    </w:p>
    <w:p w14:paraId="2B7C6473" w14:textId="77777777" w:rsidR="002A3F5F" w:rsidRPr="00E14102" w:rsidRDefault="002A3F5F" w:rsidP="00E14102">
      <w:pPr>
        <w:jc w:val="both"/>
        <w:rPr>
          <w:color w:val="0070C0"/>
          <w:sz w:val="16"/>
          <w:szCs w:val="16"/>
        </w:rPr>
      </w:pPr>
    </w:p>
    <w:p w14:paraId="24BC0CE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5D48D549" w14:textId="77777777" w:rsidR="00D4105E" w:rsidRPr="00E14102" w:rsidRDefault="00D4105E" w:rsidP="00E14102">
      <w:pPr>
        <w:autoSpaceDE w:val="0"/>
        <w:autoSpaceDN w:val="0"/>
        <w:adjustRightInd w:val="0"/>
        <w:jc w:val="both"/>
        <w:rPr>
          <w:iCs/>
          <w:color w:val="000000" w:themeColor="text1"/>
          <w:sz w:val="16"/>
          <w:szCs w:val="16"/>
        </w:rPr>
      </w:pPr>
    </w:p>
    <w:p w14:paraId="4E2B2E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мая 1935 года 23 авиабригада в Монино провела специальное авиахимическое учение для высшего начальствующего состава округа. Во избежание возможных неприятностей командующий округом распорядился выливать из ВАПов на цель (ею стал самолет Р-5, под крылом которого стоял живой красноармеец в защитной одежде) на глазах у большой группы руководителей не настоящий иприт, а его имитатор (учебное ОВ). Жизнь, однако, распорядилась по-другому: на аэродроме Монино состоялось прилюдное выливание больших количеств настоящего иприта. Пострадало трое человек, работавших с "учебным" ОВ в разных местах технологической цепи: они хоть и были в защитной одежде, но использовали ее как бы понарошку, поскольку пребывали в уверенности, что ОВ ненастоящее. События в Монино имели некоторые последствия. Приказом по округу его командующий приказал впредь "занятия с применением иприта... проводить исключительно на территориях лагерных химических городков" - похоже, раньше это происходило где попало. Он распорядился также "все остатки ОВ.., которые выявятся к концу лагерного периода, командирам частей направить в военный склад № 67" (имеется в виду артсклад в Можайске). Впрочем, выполнить приказ было непросто: во-первых, надо было срочно (еще в июле, то есть задолго до появления знания об объеме остатков) заказать транспорт на сентябрь для спецперевозки ОВ в Можайск; во-вторых, иприт на склад можно было сдать лишь с кислотностью не выше 2%. В отношении судьбы остальных остатков ОВ, не подпадавших под эти правила, сомнения быть не могут - они были закопаны там, где с ними работали (9065).</w:t>
      </w:r>
    </w:p>
    <w:p w14:paraId="69A9B467" w14:textId="77777777" w:rsidR="00D4105E" w:rsidRPr="00E14102" w:rsidRDefault="00D4105E" w:rsidP="00E14102">
      <w:pPr>
        <w:autoSpaceDE w:val="0"/>
        <w:autoSpaceDN w:val="0"/>
        <w:adjustRightInd w:val="0"/>
        <w:jc w:val="both"/>
        <w:rPr>
          <w:color w:val="000000" w:themeColor="text1"/>
          <w:sz w:val="16"/>
          <w:szCs w:val="16"/>
        </w:rPr>
      </w:pPr>
    </w:p>
    <w:p w14:paraId="2E7AB74C" w14:textId="77777777" w:rsidR="001B6FA5"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4D6BD52" w14:textId="77777777" w:rsidR="001B6FA5" w:rsidRPr="00E14102" w:rsidRDefault="001B6FA5" w:rsidP="00E14102">
      <w:pPr>
        <w:autoSpaceDE w:val="0"/>
        <w:autoSpaceDN w:val="0"/>
        <w:adjustRightInd w:val="0"/>
        <w:jc w:val="both"/>
        <w:rPr>
          <w:iCs/>
          <w:color w:val="000000" w:themeColor="text1"/>
          <w:sz w:val="16"/>
          <w:szCs w:val="16"/>
        </w:rPr>
      </w:pPr>
    </w:p>
    <w:p w14:paraId="6CB43DE8" w14:textId="77777777" w:rsidR="002A3F5F" w:rsidRPr="00E14102" w:rsidRDefault="002A3F5F" w:rsidP="00E14102">
      <w:pPr>
        <w:jc w:val="both"/>
        <w:rPr>
          <w:color w:val="0070C0"/>
          <w:sz w:val="16"/>
          <w:szCs w:val="16"/>
        </w:rPr>
      </w:pPr>
      <w:r w:rsidRPr="00E14102">
        <w:rPr>
          <w:color w:val="0070C0"/>
          <w:sz w:val="16"/>
          <w:szCs w:val="16"/>
        </w:rPr>
        <w:t>29 мая 1935 состоялся первый полет Messerschmitt Bf 109 V1 D-IABI  (20800).</w:t>
      </w:r>
    </w:p>
    <w:p w14:paraId="59B7CE03" w14:textId="77777777" w:rsidR="002A3F5F" w:rsidRPr="00E14102" w:rsidRDefault="002A3F5F" w:rsidP="00E14102">
      <w:pPr>
        <w:jc w:val="both"/>
        <w:rPr>
          <w:color w:val="0070C0"/>
          <w:sz w:val="16"/>
          <w:szCs w:val="16"/>
        </w:rPr>
      </w:pPr>
    </w:p>
    <w:p w14:paraId="7B67361B" w14:textId="77777777" w:rsidR="002A3F5F" w:rsidRPr="00E14102" w:rsidRDefault="002A3F5F" w:rsidP="00E14102">
      <w:pPr>
        <w:jc w:val="both"/>
        <w:rPr>
          <w:color w:val="0070C0"/>
          <w:sz w:val="16"/>
          <w:szCs w:val="16"/>
        </w:rPr>
      </w:pPr>
      <w:r w:rsidRPr="00E14102">
        <w:rPr>
          <w:color w:val="0070C0"/>
          <w:sz w:val="16"/>
          <w:szCs w:val="16"/>
        </w:rPr>
        <w:t>29 мая 1935 - (по 5 июня) начался перелёт на норвежском гидросамолёте-разведчике MF.11 из Хортена на Шпицберген и обратно, дальность которого составила 4600 км (22486).</w:t>
      </w:r>
    </w:p>
    <w:p w14:paraId="4193B507" w14:textId="77777777" w:rsidR="002A3F5F" w:rsidRPr="00E14102" w:rsidRDefault="002A3F5F" w:rsidP="00E14102">
      <w:pPr>
        <w:jc w:val="both"/>
        <w:rPr>
          <w:color w:val="0070C0"/>
          <w:sz w:val="16"/>
          <w:szCs w:val="16"/>
        </w:rPr>
      </w:pPr>
    </w:p>
    <w:p w14:paraId="2D29BD0B" w14:textId="77777777" w:rsidR="001B6FA5" w:rsidRPr="00E14102" w:rsidRDefault="001B6FA5" w:rsidP="00E14102">
      <w:pPr>
        <w:jc w:val="both"/>
        <w:rPr>
          <w:color w:val="000000" w:themeColor="text1"/>
          <w:sz w:val="16"/>
          <w:szCs w:val="16"/>
        </w:rPr>
      </w:pPr>
      <w:r w:rsidRPr="00E14102">
        <w:rPr>
          <w:bCs/>
          <w:color w:val="000000" w:themeColor="text1"/>
          <w:sz w:val="16"/>
          <w:szCs w:val="16"/>
        </w:rPr>
        <w:t>29 мая</w:t>
      </w:r>
      <w:r w:rsidRPr="00E14102">
        <w:rPr>
          <w:color w:val="000000" w:themeColor="text1"/>
          <w:sz w:val="16"/>
          <w:szCs w:val="16"/>
        </w:rPr>
        <w:t xml:space="preserve"> в 1935 году начался перелет (по 5 июня) на норвежском гидросамолете-разведчике </w:t>
      </w:r>
      <w:hyperlink r:id="rId114" w:tgtFrame="_blank" w:history="1">
        <w:r w:rsidRPr="00E14102">
          <w:rPr>
            <w:color w:val="000000" w:themeColor="text1"/>
            <w:sz w:val="16"/>
            <w:szCs w:val="16"/>
          </w:rPr>
          <w:t xml:space="preserve">«MF.11» </w:t>
        </w:r>
      </w:hyperlink>
      <w:r w:rsidRPr="00E14102">
        <w:rPr>
          <w:color w:val="000000" w:themeColor="text1"/>
          <w:sz w:val="16"/>
          <w:szCs w:val="16"/>
        </w:rPr>
        <w:t>из Хортена на Шпицберген и обратно, дальность которого составила 4600 км (14906).</w:t>
      </w:r>
    </w:p>
    <w:p w14:paraId="35462910" w14:textId="77777777" w:rsidR="001B6FA5" w:rsidRPr="00E14102" w:rsidRDefault="001B6FA5" w:rsidP="00E14102">
      <w:pPr>
        <w:jc w:val="both"/>
        <w:rPr>
          <w:color w:val="000000" w:themeColor="text1"/>
          <w:sz w:val="16"/>
          <w:szCs w:val="16"/>
        </w:rPr>
      </w:pPr>
    </w:p>
    <w:p w14:paraId="5FA20B0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68DD891" w14:textId="77777777" w:rsidR="00D4105E" w:rsidRPr="00E14102" w:rsidRDefault="00D4105E" w:rsidP="00E14102">
      <w:pPr>
        <w:autoSpaceDE w:val="0"/>
        <w:autoSpaceDN w:val="0"/>
        <w:adjustRightInd w:val="0"/>
        <w:jc w:val="both"/>
        <w:rPr>
          <w:iCs/>
          <w:color w:val="000000" w:themeColor="text1"/>
          <w:sz w:val="16"/>
          <w:szCs w:val="16"/>
        </w:rPr>
      </w:pPr>
    </w:p>
    <w:p w14:paraId="6ABA28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мая 1935 в Москву на Блох-200 прилетела чехословацкая делегация. во главе с Я.Файфром и л Спурным. 5 июня полетели в Киев и 7 - из Запорожья в Прагу (438,687).</w:t>
      </w:r>
    </w:p>
    <w:p w14:paraId="02AC4585" w14:textId="77777777" w:rsidR="00D4105E" w:rsidRPr="00E14102" w:rsidRDefault="00D4105E" w:rsidP="00E14102">
      <w:pPr>
        <w:autoSpaceDE w:val="0"/>
        <w:autoSpaceDN w:val="0"/>
        <w:adjustRightInd w:val="0"/>
        <w:jc w:val="both"/>
        <w:rPr>
          <w:color w:val="000000" w:themeColor="text1"/>
          <w:sz w:val="16"/>
          <w:szCs w:val="16"/>
        </w:rPr>
      </w:pPr>
    </w:p>
    <w:p w14:paraId="25F3B3D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1147259D" w14:textId="77777777" w:rsidR="00D4105E" w:rsidRPr="00E14102" w:rsidRDefault="00D4105E" w:rsidP="00E14102">
      <w:pPr>
        <w:autoSpaceDE w:val="0"/>
        <w:autoSpaceDN w:val="0"/>
        <w:adjustRightInd w:val="0"/>
        <w:jc w:val="both"/>
        <w:rPr>
          <w:iCs/>
          <w:color w:val="000000" w:themeColor="text1"/>
          <w:sz w:val="16"/>
          <w:szCs w:val="16"/>
        </w:rPr>
      </w:pPr>
    </w:p>
    <w:p w14:paraId="717AAE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мая 1935 г. в Москву на бомбардировщике французской постройки Bloch-200 прибыл командующий ВВС Чехословакии генерал Файфр в сопровождении немногочисленной свиты, состоящей из трех человек. А 15-17 августа 1935 г. советская делегация во главе с Начальником Главного Управления ГВФ И.С.Уншлихтом на самолетах ТБ-3 посетила с ответным визитом Прагу.</w:t>
      </w:r>
    </w:p>
    <w:p w14:paraId="0A8E2C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Результатом визитов и последовавшего достаточно доверительного обмена информацией явился ряд соглашений о взаимных поставках образцов вооружений. В частности, Советский Союз получил от Чехословакии техническую документацию на горную пушку С-5 и зенитку R-3. Чехословацкие военные, в свою очередь, заинтересовались советским бомбардировщиком СБ, причем произошло это уже в конце 1936 г., явно под воздействием его успешных акций в Испании (12027).</w:t>
      </w:r>
    </w:p>
    <w:p w14:paraId="0B55B71B" w14:textId="77777777" w:rsidR="00D4105E" w:rsidRPr="00E14102" w:rsidRDefault="00D4105E" w:rsidP="00E14102">
      <w:pPr>
        <w:autoSpaceDE w:val="0"/>
        <w:autoSpaceDN w:val="0"/>
        <w:adjustRightInd w:val="0"/>
        <w:jc w:val="both"/>
        <w:rPr>
          <w:color w:val="000000" w:themeColor="text1"/>
          <w:sz w:val="16"/>
          <w:szCs w:val="16"/>
        </w:rPr>
      </w:pPr>
    </w:p>
    <w:p w14:paraId="725E45B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5A6A068" w14:textId="77777777" w:rsidR="00D4105E" w:rsidRPr="00E14102" w:rsidRDefault="00D4105E" w:rsidP="00E14102">
      <w:pPr>
        <w:autoSpaceDE w:val="0"/>
        <w:autoSpaceDN w:val="0"/>
        <w:adjustRightInd w:val="0"/>
        <w:jc w:val="both"/>
        <w:rPr>
          <w:iCs/>
          <w:color w:val="000000" w:themeColor="text1"/>
          <w:sz w:val="16"/>
          <w:szCs w:val="16"/>
        </w:rPr>
      </w:pPr>
    </w:p>
    <w:p w14:paraId="57B1C29D" w14:textId="77777777" w:rsidR="002A3F5F" w:rsidRPr="00E14102" w:rsidRDefault="002A3F5F" w:rsidP="00E14102">
      <w:pPr>
        <w:jc w:val="both"/>
        <w:rPr>
          <w:color w:val="0070C0"/>
          <w:sz w:val="16"/>
          <w:szCs w:val="16"/>
          <w:shd w:val="clear" w:color="auto" w:fill="FFFFFF"/>
        </w:rPr>
      </w:pPr>
      <w:r w:rsidRPr="00E14102">
        <w:rPr>
          <w:color w:val="0070C0"/>
          <w:sz w:val="16"/>
          <w:szCs w:val="16"/>
          <w:shd w:val="clear" w:color="auto" w:fill="FFFFFF"/>
        </w:rPr>
        <w:t>30 мая 1935 на самолете «Блох» МВ.120 (Marcel Bloch) в Москву прилетела чехословацкая авиационная делегация во главе с начальником военной авиации страны генералом Ярославом Файфром (Jaroslav Fajfr). В состав делегации входили: руководитель отдела авиации министерства обороны полковник Вихерек, руководитель отдела авиационных материалов министерства обороны полковник Кейла и командир 4-го авиационного полка подполковник Бероунский. Экипаж самолета состоял из пилота лейтенанта Спурного, навигатора обер-лейтенанта Шкопа, механика и радиста.</w:t>
      </w:r>
    </w:p>
    <w:p w14:paraId="5983E8BC" w14:textId="77777777" w:rsidR="002A3F5F" w:rsidRPr="00E14102" w:rsidRDefault="002A3F5F" w:rsidP="00E14102">
      <w:pPr>
        <w:jc w:val="both"/>
        <w:rPr>
          <w:color w:val="0070C0"/>
          <w:sz w:val="16"/>
          <w:szCs w:val="16"/>
          <w:shd w:val="clear" w:color="auto" w:fill="FFFFFF"/>
        </w:rPr>
      </w:pPr>
      <w:r w:rsidRPr="00E14102">
        <w:rPr>
          <w:color w:val="0070C0"/>
          <w:sz w:val="16"/>
          <w:szCs w:val="16"/>
          <w:shd w:val="clear" w:color="auto" w:fill="FFFFFF"/>
        </w:rPr>
        <w:t>На Центральном аэродроме делегации была оказана торжественная встреча. Были вывешены чехословацкие и советские флаги, на летном поле выставлен почетный караул из курсантов школы специальных служб ВВС РККА.</w:t>
      </w:r>
    </w:p>
    <w:p w14:paraId="34845D1F" w14:textId="77777777" w:rsidR="002A3F5F" w:rsidRPr="00E14102" w:rsidRDefault="002A3F5F" w:rsidP="00E14102">
      <w:pPr>
        <w:jc w:val="both"/>
        <w:rPr>
          <w:color w:val="0070C0"/>
          <w:sz w:val="16"/>
          <w:szCs w:val="16"/>
          <w:shd w:val="clear" w:color="auto" w:fill="FFFFFF"/>
        </w:rPr>
      </w:pPr>
      <w:r w:rsidRPr="00E14102">
        <w:rPr>
          <w:color w:val="0070C0"/>
          <w:sz w:val="16"/>
          <w:szCs w:val="16"/>
          <w:shd w:val="clear" w:color="auto" w:fill="FFFFFF"/>
        </w:rPr>
        <w:t>По прибытии генерал Файфр в беседе с сотрудником ТАСС заявил:</w:t>
      </w:r>
    </w:p>
    <w:p w14:paraId="54F54C85" w14:textId="77777777" w:rsidR="002A3F5F" w:rsidRPr="00E14102" w:rsidRDefault="002A3F5F" w:rsidP="00E14102">
      <w:pPr>
        <w:jc w:val="both"/>
        <w:rPr>
          <w:color w:val="0070C0"/>
          <w:sz w:val="16"/>
          <w:szCs w:val="16"/>
          <w:shd w:val="clear" w:color="auto" w:fill="FFFFFF"/>
        </w:rPr>
      </w:pPr>
      <w:r w:rsidRPr="00E14102">
        <w:rPr>
          <w:color w:val="0070C0"/>
          <w:sz w:val="16"/>
          <w:szCs w:val="16"/>
          <w:shd w:val="clear" w:color="auto" w:fill="FFFFFF"/>
        </w:rPr>
        <w:t>«Политические взаимоотношения между СССР и Чехословакией счастливо развиваются в интересах обеих стран. Целью прилета делегации является укрепление дружественных взаимоотношений между нашими военными воздушными флотами... Авиация является могучим средством обороны и международная обстановка последнего времени в Европе настоятельно требует всемерного усиления этого важного средства в деле укрепления безопасности Чехословацкой республики».</w:t>
      </w:r>
    </w:p>
    <w:p w14:paraId="6185777C" w14:textId="77777777" w:rsidR="002A3F5F" w:rsidRPr="00E14102" w:rsidRDefault="002A3F5F" w:rsidP="00E14102">
      <w:pPr>
        <w:jc w:val="both"/>
        <w:rPr>
          <w:color w:val="0070C0"/>
          <w:sz w:val="16"/>
          <w:szCs w:val="16"/>
          <w:shd w:val="clear" w:color="auto" w:fill="FFFFFF"/>
        </w:rPr>
      </w:pPr>
      <w:r w:rsidRPr="00E14102">
        <w:rPr>
          <w:color w:val="0070C0"/>
          <w:sz w:val="16"/>
          <w:szCs w:val="16"/>
          <w:shd w:val="clear" w:color="auto" w:fill="FFFFFF"/>
        </w:rPr>
        <w:t>В Москве чехословацкая делегация посетила ЦАГИ, где начальник ЦАГИ Н.М. Харламов поознакомил гостей с достижениями института.</w:t>
      </w:r>
    </w:p>
    <w:p w14:paraId="5845C2D6" w14:textId="77777777" w:rsidR="002A3F5F" w:rsidRPr="00E14102" w:rsidRDefault="002A3F5F" w:rsidP="00E14102">
      <w:pPr>
        <w:jc w:val="both"/>
        <w:rPr>
          <w:color w:val="0070C0"/>
          <w:sz w:val="16"/>
          <w:szCs w:val="16"/>
          <w:shd w:val="clear" w:color="auto" w:fill="FFFFFF"/>
        </w:rPr>
      </w:pPr>
      <w:r w:rsidRPr="00E14102">
        <w:rPr>
          <w:color w:val="0070C0"/>
          <w:sz w:val="16"/>
          <w:szCs w:val="16"/>
          <w:shd w:val="clear" w:color="auto" w:fill="FFFFFF"/>
        </w:rPr>
        <w:t>В Военно-воздушной академии РККА Я.И. Алкснис и начальник академии А.И. Тодорский проинформировали гостей о назначении, структуре и учебной работе академии.</w:t>
      </w:r>
    </w:p>
    <w:p w14:paraId="07507013" w14:textId="77777777" w:rsidR="002A3F5F" w:rsidRPr="00E14102" w:rsidRDefault="002A3F5F" w:rsidP="00E14102">
      <w:pPr>
        <w:jc w:val="both"/>
        <w:rPr>
          <w:color w:val="0070C0"/>
          <w:sz w:val="16"/>
          <w:szCs w:val="16"/>
          <w:shd w:val="clear" w:color="auto" w:fill="FFFFFF"/>
        </w:rPr>
      </w:pPr>
      <w:r w:rsidRPr="00E14102">
        <w:rPr>
          <w:color w:val="0070C0"/>
          <w:sz w:val="16"/>
          <w:szCs w:val="16"/>
          <w:shd w:val="clear" w:color="auto" w:fill="FFFFFF"/>
        </w:rPr>
        <w:t>3 июня чехословацкая делегация посетила Центральный военный аэродром имени Фрунзе, Гости осмотрели новые самолеты. Затем эскадрилья Военно-воздушной академии продемонстрировала перед гостями высший пилотаж и групповую слетанность, в том числе, в строю «звезда», что вызвало у чехословацких авиаторов особый восторг.</w:t>
      </w:r>
    </w:p>
    <w:p w14:paraId="33E844B2" w14:textId="77777777" w:rsidR="002A3F5F" w:rsidRPr="00E14102" w:rsidRDefault="002A3F5F" w:rsidP="00E14102">
      <w:pPr>
        <w:jc w:val="both"/>
        <w:rPr>
          <w:color w:val="0070C0"/>
          <w:sz w:val="16"/>
          <w:szCs w:val="16"/>
        </w:rPr>
      </w:pPr>
      <w:r w:rsidRPr="00E14102">
        <w:rPr>
          <w:color w:val="0070C0"/>
          <w:sz w:val="16"/>
          <w:szCs w:val="16"/>
          <w:shd w:val="clear" w:color="auto" w:fill="FFFFFF"/>
        </w:rPr>
        <w:t>6 июня с Центрального военного аэродрома Москвы чехословацкая военная авиационная делегация вылетела в Киев, а 7 июня, уже из Запорожья делегация отправилась в Прагу (21438).</w:t>
      </w:r>
    </w:p>
    <w:p w14:paraId="70A0388D" w14:textId="77777777" w:rsidR="002A3F5F" w:rsidRPr="00E14102" w:rsidRDefault="002A3F5F" w:rsidP="00E14102">
      <w:pPr>
        <w:jc w:val="both"/>
        <w:rPr>
          <w:color w:val="0070C0"/>
          <w:sz w:val="16"/>
          <w:szCs w:val="16"/>
        </w:rPr>
      </w:pPr>
    </w:p>
    <w:p w14:paraId="04647E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мая 1935 во Франции правительство П.Фландена, требовавшее чрезвычайных полномочий, было отправлено в отставку (3907,191).</w:t>
      </w:r>
    </w:p>
    <w:p w14:paraId="1E5735EC" w14:textId="77777777" w:rsidR="00D4105E" w:rsidRPr="00E14102" w:rsidRDefault="00D4105E" w:rsidP="00E14102">
      <w:pPr>
        <w:autoSpaceDE w:val="0"/>
        <w:autoSpaceDN w:val="0"/>
        <w:adjustRightInd w:val="0"/>
        <w:jc w:val="both"/>
        <w:rPr>
          <w:color w:val="000000" w:themeColor="text1"/>
          <w:sz w:val="16"/>
          <w:szCs w:val="16"/>
        </w:rPr>
      </w:pPr>
    </w:p>
    <w:p w14:paraId="12BC64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мая 1935 во Франции был образован Народный фронт (2443,409).</w:t>
      </w:r>
    </w:p>
    <w:p w14:paraId="606DD379" w14:textId="77777777" w:rsidR="00D4105E" w:rsidRPr="00E14102" w:rsidRDefault="00D4105E" w:rsidP="00E14102">
      <w:pPr>
        <w:autoSpaceDE w:val="0"/>
        <w:autoSpaceDN w:val="0"/>
        <w:adjustRightInd w:val="0"/>
        <w:jc w:val="both"/>
        <w:rPr>
          <w:color w:val="000000" w:themeColor="text1"/>
          <w:sz w:val="16"/>
          <w:szCs w:val="16"/>
        </w:rPr>
      </w:pPr>
    </w:p>
    <w:p w14:paraId="7056B85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 мая 1935 Муссолини вручил свидетельство пилота своему сыну Бруно (4962).</w:t>
      </w:r>
    </w:p>
    <w:p w14:paraId="49EC188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1761BB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B11C3B9" w14:textId="77777777" w:rsidR="00D4105E" w:rsidRPr="00E14102" w:rsidRDefault="00D4105E" w:rsidP="00E14102">
      <w:pPr>
        <w:autoSpaceDE w:val="0"/>
        <w:autoSpaceDN w:val="0"/>
        <w:adjustRightInd w:val="0"/>
        <w:jc w:val="both"/>
        <w:rPr>
          <w:iCs/>
          <w:color w:val="000000" w:themeColor="text1"/>
          <w:sz w:val="16"/>
          <w:szCs w:val="16"/>
        </w:rPr>
      </w:pPr>
    </w:p>
    <w:p w14:paraId="638E69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мая 1935 года начальник НИИ ВВС Лавров писал письмо N с/ч 01448 начальнику 6 отдела УВС РККА в сопровождение Отчета по испытанию ночной аэронавигационной бомбы для суши</w:t>
      </w:r>
    </w:p>
    <w:p w14:paraId="696A6C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32DDC5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Установить пригодность данного образца бомбы для измерения угла сноса в ночном полете над сушей.</w:t>
      </w:r>
    </w:p>
    <w:p w14:paraId="00EE9A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C9A2E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Необходимо изготовить новый образец бомбы, в котором осуществить надежную амортизацию лампочки. Необходимо сделать так, чтобы лампочка просто “лежала бы в гнезде” из ваты и лишь поддерживалась проволочной спиралью (3929).</w:t>
      </w:r>
    </w:p>
    <w:p w14:paraId="22095018" w14:textId="77777777" w:rsidR="00D4105E" w:rsidRPr="00E14102" w:rsidRDefault="00D4105E" w:rsidP="00E14102">
      <w:pPr>
        <w:autoSpaceDE w:val="0"/>
        <w:autoSpaceDN w:val="0"/>
        <w:adjustRightInd w:val="0"/>
        <w:jc w:val="both"/>
        <w:rPr>
          <w:color w:val="000000" w:themeColor="text1"/>
          <w:sz w:val="16"/>
          <w:szCs w:val="16"/>
        </w:rPr>
      </w:pPr>
    </w:p>
    <w:p w14:paraId="5A525F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31 мая в РНИИ и 2 июня 1935 г. на заводе №75 состоялось техниче</w:t>
      </w:r>
      <w:r w:rsidRPr="00E14102">
        <w:rPr>
          <w:color w:val="000000" w:themeColor="text1"/>
          <w:sz w:val="16"/>
          <w:szCs w:val="16"/>
        </w:rPr>
        <w:softHyphen/>
        <w:t>ское совещание по вопросам уточнения и внесения изменений в чертежи РС-82 модели 2-01171 и РС-132 модели 2-01172. На нем присутство</w:t>
      </w:r>
      <w:r w:rsidRPr="00E14102">
        <w:rPr>
          <w:color w:val="000000" w:themeColor="text1"/>
          <w:sz w:val="16"/>
          <w:szCs w:val="16"/>
        </w:rPr>
        <w:softHyphen/>
        <w:t>вали заместитель начальника РНИИ Лангемак, представитель ГВМУ НКТП Ворошнин, старший военпред АУ РККА Елисеев, технический директор завода №75 Толстов</w:t>
      </w:r>
      <w:r w:rsidRPr="00E14102">
        <w:rPr>
          <w:smallCaps/>
          <w:color w:val="000000" w:themeColor="text1"/>
          <w:sz w:val="16"/>
          <w:szCs w:val="16"/>
        </w:rPr>
        <w:t xml:space="preserve">, </w:t>
      </w:r>
      <w:r w:rsidRPr="00E14102">
        <w:rPr>
          <w:color w:val="000000" w:themeColor="text1"/>
          <w:sz w:val="16"/>
          <w:szCs w:val="16"/>
        </w:rPr>
        <w:t>начальник 1 сектора РНИИ Пойда и на</w:t>
      </w:r>
      <w:r w:rsidRPr="00E14102">
        <w:rPr>
          <w:color w:val="000000" w:themeColor="text1"/>
          <w:sz w:val="16"/>
          <w:szCs w:val="16"/>
        </w:rPr>
        <w:softHyphen/>
        <w:t>чальник 2 сектора РНИИ Петров. По итогам совещания постановили: чертежи ракетных снарядов, переданные из АУ РККА в ГВМУ НКТП в октябре 1934 г., до утверждения их в АУ РККА считать утратившими силу. В чертежах РС-82 модели 2-01171, утвержденных НТЖ №039') в 1934 г., считать необходимым внести следующие изменения и дополне</w:t>
      </w:r>
      <w:r w:rsidRPr="00E14102">
        <w:rPr>
          <w:color w:val="000000" w:themeColor="text1"/>
          <w:sz w:val="16"/>
          <w:szCs w:val="16"/>
        </w:rPr>
        <w:softHyphen/>
        <w:t>ния. В частности, для облегчения производства отверстия под устано</w:t>
      </w:r>
      <w:r w:rsidRPr="00E14102">
        <w:rPr>
          <w:color w:val="000000" w:themeColor="text1"/>
          <w:sz w:val="16"/>
          <w:szCs w:val="16"/>
        </w:rPr>
        <w:softHyphen/>
        <w:t>вочный винт, фиксирующий хвостовик головного взрывателя, сверлить канавку на глубину 12 мм, а в остальной части нарезать резьбу.</w:t>
      </w:r>
    </w:p>
    <w:p w14:paraId="2531B5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чертежах РС-132 модели 2-01172, утвержденных НТЖ №039') в 1934г., считать необходимым внести следующие изменения и дополне</w:t>
      </w:r>
      <w:r w:rsidRPr="00E14102">
        <w:rPr>
          <w:color w:val="000000" w:themeColor="text1"/>
          <w:sz w:val="16"/>
          <w:szCs w:val="16"/>
        </w:rPr>
        <w:softHyphen/>
        <w:t>ния. В частности, для облегчения производства отверстия под устано</w:t>
      </w:r>
      <w:r w:rsidRPr="00E14102">
        <w:rPr>
          <w:color w:val="000000" w:themeColor="text1"/>
          <w:sz w:val="16"/>
          <w:szCs w:val="16"/>
        </w:rPr>
        <w:softHyphen/>
        <w:t>вочный винт, фиксирующий хвостовик головного взрывателя, сверлить канавку на глубину 16 мм, а в остальной части нарезать резьбу. Угольники для крепления оперения гнуть по сопловому обтекателю, некоторые изменения коснулись также сопловой крышки, диафрагмы и пр. (11402)</w:t>
      </w:r>
    </w:p>
    <w:p w14:paraId="7F11B4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555224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E12133C" w14:textId="77777777" w:rsidR="00D4105E" w:rsidRPr="00E14102" w:rsidRDefault="00D4105E" w:rsidP="00E14102">
      <w:pPr>
        <w:autoSpaceDE w:val="0"/>
        <w:autoSpaceDN w:val="0"/>
        <w:adjustRightInd w:val="0"/>
        <w:jc w:val="both"/>
        <w:rPr>
          <w:iCs/>
          <w:color w:val="000000" w:themeColor="text1"/>
          <w:sz w:val="16"/>
          <w:szCs w:val="16"/>
        </w:rPr>
      </w:pPr>
    </w:p>
    <w:p w14:paraId="667892C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31 мая 1935 Совнарком СССР принял постановление о ликвидации детской беспризорности (4962).</w:t>
      </w:r>
    </w:p>
    <w:p w14:paraId="3AA4B08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B1597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мая 1935 г. СНК СССР и ЦК ВКП (б) приняли постановление об усилении борьбы с детской беспризорностью и безнадзорностью, в соответствии с которым создаются приемники-распределители. В составе АХУ НКВД СССР организован Отдел трудовых колоний для несовершеннолетних (10303).</w:t>
      </w:r>
    </w:p>
    <w:p w14:paraId="666E062A" w14:textId="77777777" w:rsidR="00D4105E" w:rsidRPr="00E14102" w:rsidRDefault="00D4105E" w:rsidP="00E14102">
      <w:pPr>
        <w:autoSpaceDE w:val="0"/>
        <w:autoSpaceDN w:val="0"/>
        <w:adjustRightInd w:val="0"/>
        <w:jc w:val="both"/>
        <w:rPr>
          <w:color w:val="000000" w:themeColor="text1"/>
          <w:sz w:val="16"/>
          <w:szCs w:val="16"/>
        </w:rPr>
      </w:pPr>
    </w:p>
    <w:p w14:paraId="25EF5FE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B3F41A3" w14:textId="77777777" w:rsidR="00D4105E" w:rsidRPr="00E14102" w:rsidRDefault="00D4105E" w:rsidP="00E14102">
      <w:pPr>
        <w:autoSpaceDE w:val="0"/>
        <w:autoSpaceDN w:val="0"/>
        <w:adjustRightInd w:val="0"/>
        <w:jc w:val="both"/>
        <w:rPr>
          <w:iCs/>
          <w:color w:val="000000" w:themeColor="text1"/>
          <w:sz w:val="16"/>
          <w:szCs w:val="16"/>
        </w:rPr>
      </w:pPr>
    </w:p>
    <w:p w14:paraId="74C5FBCE" w14:textId="77777777" w:rsidR="001B6FA5" w:rsidRPr="00E14102" w:rsidRDefault="001B6FA5" w:rsidP="00E14102">
      <w:pPr>
        <w:jc w:val="both"/>
        <w:rPr>
          <w:color w:val="000000" w:themeColor="text1"/>
          <w:sz w:val="16"/>
          <w:szCs w:val="16"/>
        </w:rPr>
      </w:pPr>
      <w:r w:rsidRPr="00E14102">
        <w:rPr>
          <w:bCs/>
          <w:color w:val="000000" w:themeColor="text1"/>
          <w:sz w:val="16"/>
          <w:szCs w:val="16"/>
        </w:rPr>
        <w:t>31 мая</w:t>
      </w:r>
      <w:r w:rsidRPr="00E14102">
        <w:rPr>
          <w:color w:val="000000" w:themeColor="text1"/>
          <w:sz w:val="16"/>
          <w:szCs w:val="16"/>
        </w:rPr>
        <w:t xml:space="preserve"> в 1935 году поступил на испытания второй итальянский транспортный самолет «SM.74» получивший регистрационный код I-APLE (с\н 21002). Единственным заказчиком «SM.74» стала авиакомпания «Ala Littoria» (собственно, по её заказу он и создавался) (14908).</w:t>
      </w:r>
    </w:p>
    <w:p w14:paraId="6A59F5C2" w14:textId="77777777" w:rsidR="001B6FA5" w:rsidRPr="00E14102" w:rsidRDefault="001B6FA5" w:rsidP="00E14102">
      <w:pPr>
        <w:jc w:val="both"/>
        <w:rPr>
          <w:color w:val="000000" w:themeColor="text1"/>
          <w:sz w:val="16"/>
          <w:szCs w:val="16"/>
        </w:rPr>
      </w:pPr>
    </w:p>
    <w:p w14:paraId="36FD0F5F" w14:textId="77777777" w:rsidR="002A3F5F" w:rsidRPr="00E14102" w:rsidRDefault="002A3F5F" w:rsidP="00E14102">
      <w:pPr>
        <w:jc w:val="both"/>
        <w:rPr>
          <w:color w:val="0070C0"/>
          <w:sz w:val="16"/>
          <w:szCs w:val="16"/>
        </w:rPr>
      </w:pPr>
      <w:r w:rsidRPr="00E14102">
        <w:rPr>
          <w:color w:val="0070C0"/>
          <w:sz w:val="16"/>
          <w:szCs w:val="16"/>
        </w:rPr>
        <w:t>31 мая 1935 состоялся первый полет Fairchild Model 45 (20800).</w:t>
      </w:r>
    </w:p>
    <w:p w14:paraId="25438DC6" w14:textId="77777777" w:rsidR="002A3F5F" w:rsidRPr="00E14102" w:rsidRDefault="002A3F5F" w:rsidP="00E14102">
      <w:pPr>
        <w:jc w:val="both"/>
        <w:rPr>
          <w:color w:val="0070C0"/>
          <w:sz w:val="16"/>
          <w:szCs w:val="16"/>
        </w:rPr>
      </w:pPr>
    </w:p>
    <w:p w14:paraId="2BA2ABBD" w14:textId="77777777" w:rsidR="002A3F5F" w:rsidRPr="00E14102" w:rsidRDefault="002A3F5F" w:rsidP="00E14102">
      <w:pPr>
        <w:jc w:val="both"/>
        <w:rPr>
          <w:color w:val="0070C0"/>
          <w:sz w:val="16"/>
          <w:szCs w:val="16"/>
        </w:rPr>
      </w:pPr>
      <w:r w:rsidRPr="00E14102">
        <w:rPr>
          <w:color w:val="0070C0"/>
          <w:sz w:val="16"/>
          <w:szCs w:val="16"/>
        </w:rPr>
        <w:t>31 мая 1935 - Первый полет Fairchild 45.</w:t>
      </w:r>
    </w:p>
    <w:p w14:paraId="1AA33E17" w14:textId="77777777" w:rsidR="002A3F5F" w:rsidRPr="00E14102" w:rsidRDefault="002A3F5F" w:rsidP="00E14102">
      <w:pPr>
        <w:jc w:val="both"/>
        <w:rPr>
          <w:color w:val="0070C0"/>
          <w:sz w:val="16"/>
          <w:szCs w:val="16"/>
        </w:rPr>
      </w:pPr>
      <w:r w:rsidRPr="00E14102">
        <w:rPr>
          <w:color w:val="0070C0"/>
          <w:sz w:val="16"/>
          <w:szCs w:val="16"/>
        </w:rPr>
        <w:t>В 1934 году фирма "Fairchild" разработала деловой и административный моноплан с пятиместной кабиной под обозначением Fairchild 45. Это был свободнонесущий низкоплан смешанной конструкции с обычным свободнонесущим хвостовым оперением, убирающимся шасси с хвостовой опорой и звездообразным семицилиндровым поршневым мотором Jacobs L-4 мощностью 225 л.с. (168 кВт). В убранном виде колеса шасси частично выступали наружу из нижней поверхности крыла. Обычно самолёт оборудовался комфортным пятиместным салоном для обслуживания богатых бизнесменов.</w:t>
      </w:r>
    </w:p>
    <w:p w14:paraId="0391B653" w14:textId="77777777" w:rsidR="002A3F5F" w:rsidRPr="00E14102" w:rsidRDefault="002A3F5F" w:rsidP="00E14102">
      <w:pPr>
        <w:jc w:val="both"/>
        <w:rPr>
          <w:color w:val="0070C0"/>
          <w:sz w:val="16"/>
          <w:szCs w:val="16"/>
        </w:rPr>
      </w:pPr>
      <w:r w:rsidRPr="00E14102">
        <w:rPr>
          <w:color w:val="0070C0"/>
          <w:sz w:val="16"/>
          <w:szCs w:val="16"/>
        </w:rPr>
        <w:t xml:space="preserve">На испытаниях самолёт Fairchild 45 показал удовлетворительные характеристики, был устойчивым и экономичным. Но маркетинговые исследования показали, что ему вряд ли удастся проникнуть на перенасыщенный авиарынок. В итоге собрали только один прототип Fairchild 45. Следующий самолёт Fairchild 45-A обрел </w:t>
      </w:r>
      <w:r w:rsidRPr="00E14102">
        <w:rPr>
          <w:color w:val="0070C0"/>
          <w:sz w:val="16"/>
          <w:szCs w:val="16"/>
        </w:rPr>
        <w:lastRenderedPageBreak/>
        <w:t>улучшенные характеристики с установкой более мощного звездообразного мотора Wright R-760. Это еще более увеличило стоимость и без того довольно дорогого самолёта. В результате собрали только 16 таких машин.</w:t>
      </w:r>
    </w:p>
    <w:p w14:paraId="080C49F3" w14:textId="77777777" w:rsidR="002A3F5F" w:rsidRPr="00E14102" w:rsidRDefault="002A3F5F" w:rsidP="00E14102">
      <w:pPr>
        <w:jc w:val="both"/>
        <w:rPr>
          <w:color w:val="0070C0"/>
          <w:sz w:val="16"/>
          <w:szCs w:val="16"/>
        </w:rPr>
      </w:pPr>
      <w:r w:rsidRPr="00E14102">
        <w:rPr>
          <w:color w:val="0070C0"/>
          <w:sz w:val="16"/>
          <w:szCs w:val="16"/>
        </w:rPr>
        <w:t>Под обозначением JK-1 один самолёт Fairchild 45-A реквизировали на военную службу, также были обозначены две реквизированные машины Fairchild 24 (22475).</w:t>
      </w:r>
    </w:p>
    <w:p w14:paraId="5A7DA0CE" w14:textId="77777777" w:rsidR="002A3F5F" w:rsidRPr="00E14102" w:rsidRDefault="002A3F5F" w:rsidP="00E14102">
      <w:pPr>
        <w:jc w:val="both"/>
        <w:rPr>
          <w:color w:val="0070C0"/>
          <w:sz w:val="16"/>
          <w:szCs w:val="16"/>
        </w:rPr>
      </w:pPr>
    </w:p>
    <w:p w14:paraId="208EDB26" w14:textId="77777777" w:rsidR="002A3F5F" w:rsidRPr="00E14102" w:rsidRDefault="002A3F5F" w:rsidP="00E14102">
      <w:pPr>
        <w:jc w:val="both"/>
        <w:rPr>
          <w:color w:val="0070C0"/>
          <w:sz w:val="16"/>
          <w:szCs w:val="16"/>
        </w:rPr>
      </w:pPr>
      <w:r w:rsidRPr="00E14102">
        <w:rPr>
          <w:color w:val="0070C0"/>
          <w:sz w:val="16"/>
          <w:szCs w:val="16"/>
        </w:rPr>
        <w:t>31 мая 1935 Хикэм Филд достигает территории Гавайев (20800).</w:t>
      </w:r>
    </w:p>
    <w:p w14:paraId="237A1241" w14:textId="77777777" w:rsidR="002A3F5F" w:rsidRPr="00E14102" w:rsidRDefault="002A3F5F" w:rsidP="00E14102">
      <w:pPr>
        <w:jc w:val="both"/>
        <w:rPr>
          <w:color w:val="0070C0"/>
          <w:sz w:val="16"/>
          <w:szCs w:val="16"/>
        </w:rPr>
      </w:pPr>
    </w:p>
    <w:p w14:paraId="1D1B0C1A" w14:textId="77777777" w:rsidR="002A3F5F" w:rsidRPr="00E14102" w:rsidRDefault="002A3F5F" w:rsidP="00E14102">
      <w:pPr>
        <w:jc w:val="both"/>
        <w:rPr>
          <w:color w:val="0070C0"/>
          <w:sz w:val="16"/>
          <w:szCs w:val="16"/>
        </w:rPr>
      </w:pPr>
      <w:r w:rsidRPr="00E14102">
        <w:rPr>
          <w:color w:val="0070C0"/>
          <w:sz w:val="16"/>
          <w:szCs w:val="16"/>
        </w:rPr>
        <w:t>31 мая 1935 - Robert Goddard осуществил близ города Роквелл (штат Нью-Мексика, США) пуск очередной ракеты собственной конструкции. Ракета достигла высоты 2250 метров (22475).</w:t>
      </w:r>
    </w:p>
    <w:p w14:paraId="31ABF5AC" w14:textId="77777777" w:rsidR="002A3F5F" w:rsidRPr="00E14102" w:rsidRDefault="002A3F5F" w:rsidP="00E14102">
      <w:pPr>
        <w:jc w:val="both"/>
        <w:rPr>
          <w:color w:val="0070C0"/>
          <w:sz w:val="16"/>
          <w:szCs w:val="16"/>
        </w:rPr>
      </w:pPr>
    </w:p>
    <w:p w14:paraId="18361149" w14:textId="77777777" w:rsidR="001B6FA5" w:rsidRPr="00E14102" w:rsidRDefault="001B6FA5" w:rsidP="00E14102">
      <w:pPr>
        <w:jc w:val="both"/>
        <w:rPr>
          <w:color w:val="000000" w:themeColor="text1"/>
          <w:sz w:val="16"/>
          <w:szCs w:val="16"/>
        </w:rPr>
      </w:pPr>
      <w:r w:rsidRPr="00E14102">
        <w:rPr>
          <w:bCs/>
          <w:color w:val="000000" w:themeColor="text1"/>
          <w:sz w:val="16"/>
          <w:szCs w:val="16"/>
        </w:rPr>
        <w:t>31 мая</w:t>
      </w:r>
      <w:r w:rsidRPr="00E14102">
        <w:rPr>
          <w:color w:val="000000" w:themeColor="text1"/>
          <w:sz w:val="16"/>
          <w:szCs w:val="16"/>
        </w:rPr>
        <w:t xml:space="preserve"> в 1935 году Роберт Хатчингс Годдард (Robert Hutchings Goddard) осуществил близ города Роквелл (штат Нью-Мексика, США) пуск очередной ракеты собственной конструкции. Ракета достигла высоты 2250 метров (14908).</w:t>
      </w:r>
    </w:p>
    <w:p w14:paraId="6D41D005" w14:textId="77777777" w:rsidR="001B6FA5" w:rsidRPr="00E14102" w:rsidRDefault="001B6FA5" w:rsidP="00E14102">
      <w:pPr>
        <w:jc w:val="both"/>
        <w:rPr>
          <w:color w:val="000000" w:themeColor="text1"/>
          <w:sz w:val="16"/>
          <w:szCs w:val="16"/>
        </w:rPr>
      </w:pPr>
    </w:p>
    <w:p w14:paraId="10D639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мая 1935 Robert Goddard осуществил близ г Роквелл, Нью Мексико, США, пуск очередной ракеты собственной конструкции и досигли высоты 2250 м (2990).</w:t>
      </w:r>
    </w:p>
    <w:p w14:paraId="057B8797" w14:textId="77777777" w:rsidR="00D4105E" w:rsidRPr="00E14102" w:rsidRDefault="00D4105E" w:rsidP="00E14102">
      <w:pPr>
        <w:autoSpaceDE w:val="0"/>
        <w:autoSpaceDN w:val="0"/>
        <w:adjustRightInd w:val="0"/>
        <w:jc w:val="both"/>
        <w:rPr>
          <w:color w:val="000000" w:themeColor="text1"/>
          <w:sz w:val="16"/>
          <w:szCs w:val="16"/>
        </w:rPr>
      </w:pPr>
    </w:p>
    <w:p w14:paraId="6F0D55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31 мая 1935 из-за землетрясения в Северо-Восточной Индии погибло до 50 тысяч человек (4962).</w:t>
      </w:r>
    </w:p>
    <w:p w14:paraId="6DA201F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B329F9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0209674" w14:textId="77777777" w:rsidR="00D4105E" w:rsidRPr="00E14102" w:rsidRDefault="00D4105E" w:rsidP="00E14102">
      <w:pPr>
        <w:autoSpaceDE w:val="0"/>
        <w:autoSpaceDN w:val="0"/>
        <w:adjustRightInd w:val="0"/>
        <w:jc w:val="both"/>
        <w:rPr>
          <w:iCs/>
          <w:color w:val="000000" w:themeColor="text1"/>
          <w:sz w:val="16"/>
          <w:szCs w:val="16"/>
        </w:rPr>
      </w:pPr>
    </w:p>
    <w:p w14:paraId="0EA59EDC" w14:textId="77777777" w:rsidR="002828CA" w:rsidRPr="00E14102" w:rsidRDefault="002828CA" w:rsidP="00E14102">
      <w:pPr>
        <w:jc w:val="both"/>
        <w:rPr>
          <w:color w:val="0070C0"/>
          <w:sz w:val="16"/>
          <w:szCs w:val="16"/>
        </w:rPr>
      </w:pPr>
      <w:r w:rsidRPr="00E14102">
        <w:rPr>
          <w:color w:val="0070C0"/>
          <w:sz w:val="16"/>
          <w:szCs w:val="16"/>
        </w:rPr>
        <w:t>В последних числах мая 1935 четырехпулеметный И-16, получивший полуофициальный индекс И-161 вывели в тир, а 31 мая был выполнен облет. Месяц ушел на доводку и устранение дефектов, и 2 июля самолет предъявили военпредам, которые испытывали новую машину с 3 по 10 июля. 11 числа самолет перегнали в НИИ ВВС. Внешне И-161 выглядел не очень импозантно. Казалось, что вооружение в крыло «воткнули» впопыхах. Заводские конструкторы, без изменений сохранив установки центропланных ШКАСов, не сумели компактно разместить дополнительные пулеметы. Исходя из «компоновочных соображений», расстояние между пулеметами в левой плоскости составляла 346 мм, а в правой – 722 мм. Пулеметы крепились к лонжеронам на кронштейнах с приспособлениями для горизонтальной и вертикальной регулировки. Патронные ящики дополнительных ШКАСов емкостью по 400 патронов изготавливались из жести и располагались с левой стороны от пулеметов. Доступ к оружию осуществлялся через большие люки на нижней поверхности крыла. Зарядка и перезарядка производилась при помощи четырех рычагов на полу кабины слева от пилота, соединенных боуденовскими тросами с пулеметами. Управление огнем – при помощи четырех гашеток, размещавшихся в центре баранки (в отчете написано – калача) ручки управления и связанных боуденовскими тросами со спусками пулеметов. Стреляные гильзы выбрасывались вперед через изогнутые трубки гильзоотводов, укрепленные на распорках лонжеронов, а звенья – вниз, через жестяные рукава на передних стенках патронных ящиков (23033).</w:t>
      </w:r>
    </w:p>
    <w:p w14:paraId="02CC1B11" w14:textId="77777777" w:rsidR="002828CA" w:rsidRPr="00E14102" w:rsidRDefault="002828CA" w:rsidP="00E14102">
      <w:pPr>
        <w:jc w:val="both"/>
        <w:rPr>
          <w:color w:val="0070C0"/>
          <w:sz w:val="16"/>
          <w:szCs w:val="16"/>
        </w:rPr>
      </w:pPr>
    </w:p>
    <w:p w14:paraId="1A47C3D4" w14:textId="77777777" w:rsidR="002828CA" w:rsidRPr="00E14102" w:rsidRDefault="002828CA" w:rsidP="00E14102">
      <w:pPr>
        <w:autoSpaceDE w:val="0"/>
        <w:autoSpaceDN w:val="0"/>
        <w:adjustRightInd w:val="0"/>
        <w:jc w:val="both"/>
        <w:rPr>
          <w:color w:val="000000" w:themeColor="text1"/>
          <w:sz w:val="16"/>
          <w:szCs w:val="16"/>
        </w:rPr>
      </w:pPr>
      <w:r w:rsidRPr="00E14102">
        <w:rPr>
          <w:color w:val="000000" w:themeColor="text1"/>
          <w:sz w:val="16"/>
          <w:szCs w:val="16"/>
        </w:rPr>
        <w:t>МТБ-1 (АНТ-27бис) испытали начиная с мая 1935 (92,499). Еще до окончания стали внедрять на 31 заводе в Таганроге, но при сдачах с сентября начались катастрофы. Сдали 3-5 из 25, а по другим данным 5 в 1936 и 10 в 1937 до прекращения серии (1076,897).</w:t>
      </w:r>
    </w:p>
    <w:p w14:paraId="4E306BBD" w14:textId="77777777" w:rsidR="002828CA" w:rsidRPr="00E14102" w:rsidRDefault="002828CA" w:rsidP="00E14102">
      <w:pPr>
        <w:autoSpaceDE w:val="0"/>
        <w:autoSpaceDN w:val="0"/>
        <w:adjustRightInd w:val="0"/>
        <w:jc w:val="both"/>
        <w:rPr>
          <w:color w:val="000000" w:themeColor="text1"/>
          <w:sz w:val="16"/>
          <w:szCs w:val="16"/>
        </w:rPr>
      </w:pPr>
    </w:p>
    <w:p w14:paraId="5D38C8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мая 1935 И.В.С продемонстрировал Красную пятерку французскому военному министру и потрясенные французы решили сделать свою (1808,8).</w:t>
      </w:r>
    </w:p>
    <w:p w14:paraId="66600B8A" w14:textId="77777777" w:rsidR="00D4105E" w:rsidRPr="00E14102" w:rsidRDefault="00D4105E" w:rsidP="00E14102">
      <w:pPr>
        <w:autoSpaceDE w:val="0"/>
        <w:autoSpaceDN w:val="0"/>
        <w:adjustRightInd w:val="0"/>
        <w:jc w:val="both"/>
        <w:rPr>
          <w:color w:val="000000" w:themeColor="text1"/>
          <w:sz w:val="16"/>
          <w:szCs w:val="16"/>
        </w:rPr>
      </w:pPr>
    </w:p>
    <w:p w14:paraId="0DA7A5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мая 1935 г. Сталин решил показать виртуозную воздушную группу посетившему Москву французскому министру Лава- лю. Решение о демонстрации было неожиданным и застало летчиков врасплох. По свидетельству Владимира Шевченко, они закручивали тогда вращение в восходящей бочке по часовой стрелке. Вдень, когда они узнали, что пилотировать придется перед французской делегацией, при осмотре самолетов выяснилось, что на машине Степана Супруна поврежден правый узел крепления киля. Группа тогда базировалась в Щелково, а вылетать требовалось практически немедленно. Положение складывалось катастрофическое. Что делать? После некоторых раздумий Коккинаки принял решение - "крутить будем в обратную сторону". То есть для того, чтобы хоть как-то обезопасить неисправный самолет от разрушения, требовалось изменить направление вращения - в этом случае нагрузка воспринималась бы в основном левым узлом крепления киля. Так и сделали. Летчики открутили пилотаж перед французами в обратную сторону с нсменьшим успехом, хотя ранее так и не летали (12015).</w:t>
      </w:r>
    </w:p>
    <w:p w14:paraId="7380DB9F" w14:textId="77777777" w:rsidR="00D4105E" w:rsidRPr="00E14102" w:rsidRDefault="00D4105E" w:rsidP="00E14102">
      <w:pPr>
        <w:autoSpaceDE w:val="0"/>
        <w:autoSpaceDN w:val="0"/>
        <w:adjustRightInd w:val="0"/>
        <w:jc w:val="both"/>
        <w:rPr>
          <w:color w:val="000000" w:themeColor="text1"/>
          <w:sz w:val="16"/>
          <w:szCs w:val="16"/>
        </w:rPr>
      </w:pPr>
    </w:p>
    <w:p w14:paraId="64201EA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F454B6E" w14:textId="77777777" w:rsidR="00D4105E" w:rsidRPr="00E14102" w:rsidRDefault="00D4105E" w:rsidP="00E14102">
      <w:pPr>
        <w:autoSpaceDE w:val="0"/>
        <w:autoSpaceDN w:val="0"/>
        <w:adjustRightInd w:val="0"/>
        <w:jc w:val="both"/>
        <w:rPr>
          <w:iCs/>
          <w:color w:val="000000" w:themeColor="text1"/>
          <w:sz w:val="16"/>
          <w:szCs w:val="16"/>
        </w:rPr>
      </w:pPr>
    </w:p>
    <w:p w14:paraId="606B95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конце мая 1935 года один ПБ-4 доставили на научно-испытательный бронетанковый полигон в подмосковную Кубинку для прохождения испытаний. Здесь броневик про</w:t>
      </w:r>
      <w:r w:rsidRPr="00E14102">
        <w:rPr>
          <w:color w:val="000000" w:themeColor="text1"/>
          <w:sz w:val="16"/>
          <w:szCs w:val="16"/>
        </w:rPr>
        <w:softHyphen/>
        <w:t>шел 507 км, из них 200 км по асфальтовому шоссе, 90 км по щебенчатому шоссе и 217 км по грязному проселку.</w:t>
      </w:r>
    </w:p>
    <w:p w14:paraId="1A522C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Выяснилось, что при движении с открытыми люками наблюдение за дорогой достаточное, с закрытыми ограни</w:t>
      </w:r>
      <w:r w:rsidRPr="00E14102">
        <w:rPr>
          <w:color w:val="000000" w:themeColor="text1"/>
          <w:sz w:val="16"/>
          <w:szCs w:val="16"/>
        </w:rPr>
        <w:softHyphen/>
        <w:t>ченное, но из-за плохого обзора водитель не мог двигаться задним ходом без посторонней помощи.</w:t>
      </w:r>
    </w:p>
    <w:p w14:paraId="5D9473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Отсутствие боковых люков в моторном отделении сильно ухудшало охлаждение двигателя - при дождливой погоде и температуре наружного воздуха 10—12 градусов движение по проселку с закрытыми люками было возмож</w:t>
      </w:r>
      <w:r w:rsidRPr="00E14102">
        <w:rPr>
          <w:color w:val="000000" w:themeColor="text1"/>
          <w:sz w:val="16"/>
          <w:szCs w:val="16"/>
        </w:rPr>
        <w:softHyphen/>
        <w:t>но только 6—8 км, по шоссе 10—12 км, после чего вода в ра</w:t>
      </w:r>
      <w:r w:rsidRPr="00E14102">
        <w:rPr>
          <w:color w:val="000000" w:themeColor="text1"/>
          <w:sz w:val="16"/>
          <w:szCs w:val="16"/>
        </w:rPr>
        <w:softHyphen/>
        <w:t>диаторе закипала. За это время температура внутри корпуса достигала 45—46 градусов, что сильно ухудшало самочувст</w:t>
      </w:r>
      <w:r w:rsidRPr="00E14102">
        <w:rPr>
          <w:color w:val="000000" w:themeColor="text1"/>
          <w:sz w:val="16"/>
          <w:szCs w:val="16"/>
        </w:rPr>
        <w:softHyphen/>
        <w:t>вие экипажа.</w:t>
      </w:r>
    </w:p>
    <w:p w14:paraId="232D1D6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Из-за возросшей (по сравнению с БА-3) массы ПБ-4 имел пониженные динамические качества, а за счет выноса кормовой части корпуса назад снизилась проходимость че</w:t>
      </w:r>
      <w:r w:rsidRPr="00E14102">
        <w:rPr>
          <w:color w:val="000000" w:themeColor="text1"/>
          <w:sz w:val="16"/>
          <w:szCs w:val="16"/>
        </w:rPr>
        <w:softHyphen/>
        <w:t>рез рвы и канавы. Максимальная скорость машины по шос</w:t>
      </w:r>
      <w:r w:rsidRPr="00E14102">
        <w:rPr>
          <w:color w:val="000000" w:themeColor="text1"/>
          <w:sz w:val="16"/>
          <w:szCs w:val="16"/>
        </w:rPr>
        <w:softHyphen/>
        <w:t>се составила 50 км/ч, по проселку 20 км/ч, запас хода 197 и 138 км соответственно.</w:t>
      </w:r>
    </w:p>
    <w:p w14:paraId="14CED76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испытании на воде общая продолжительность плавания составила 5 часов 35 минут. Выяснилось, что ПБ-4 мог входить в воду при различных грунтах с крутиз</w:t>
      </w:r>
      <w:r w:rsidRPr="00E14102">
        <w:rPr>
          <w:color w:val="000000" w:themeColor="text1"/>
          <w:sz w:val="16"/>
          <w:szCs w:val="16"/>
        </w:rPr>
        <w:softHyphen/>
        <w:t>ны спуска 8—10 градусов, а входить только на твердом фунте при подъеме не более 3-4 градусов. При более кру</w:t>
      </w:r>
      <w:r w:rsidRPr="00E14102">
        <w:rPr>
          <w:color w:val="000000" w:themeColor="text1"/>
          <w:sz w:val="16"/>
          <w:szCs w:val="16"/>
        </w:rPr>
        <w:softHyphen/>
        <w:t>том береге машина не могла выйти и начинала буксовать несмотря на одетые цепи «Оверолл». Максимальная скорость на плаву, достигнутая при испытании, составила всего 1,12 км/ч. При этом отмечалось, что на плаву «ма</w:t>
      </w:r>
      <w:r w:rsidRPr="00E14102">
        <w:rPr>
          <w:color w:val="000000" w:themeColor="text1"/>
          <w:sz w:val="16"/>
          <w:szCs w:val="16"/>
        </w:rPr>
        <w:softHyphen/>
        <w:t>шина почти неуправляема, поворот в нужном направле</w:t>
      </w:r>
      <w:r w:rsidRPr="00E14102">
        <w:rPr>
          <w:color w:val="000000" w:themeColor="text1"/>
          <w:sz w:val="16"/>
          <w:szCs w:val="16"/>
        </w:rPr>
        <w:softHyphen/>
        <w:t>нии возможен только при помощи багра или лопаты». По</w:t>
      </w:r>
      <w:r w:rsidRPr="00E14102">
        <w:rPr>
          <w:color w:val="000000" w:themeColor="text1"/>
          <w:sz w:val="16"/>
          <w:szCs w:val="16"/>
        </w:rPr>
        <w:softHyphen/>
        <w:t>ворот башни на плаву составлял не более 15 градусов на сторону, при больших углах броневик наклонялся и ствол орудия опускался в воду.</w:t>
      </w:r>
    </w:p>
    <w:p w14:paraId="5E299C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 час плавания через сальник кардана в корпус ПБ-4 просачивалось 240 л воды. Из-за неудачной конструкции помпа не справлялась со своей работой, поэтому после вы</w:t>
      </w:r>
      <w:r w:rsidRPr="00E14102">
        <w:rPr>
          <w:color w:val="000000" w:themeColor="text1"/>
          <w:sz w:val="16"/>
          <w:szCs w:val="16"/>
        </w:rPr>
        <w:softHyphen/>
        <w:t>хода на берег экипажу приходилось вылезать из машины и откручивать предназначенные для слива воды пробки в днище корпуса.</w:t>
      </w:r>
    </w:p>
    <w:p w14:paraId="7D76E1A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заключении отчета по испытаниям ПБ-4, подписан</w:t>
      </w:r>
      <w:r w:rsidRPr="00E14102">
        <w:rPr>
          <w:color w:val="000000" w:themeColor="text1"/>
          <w:sz w:val="16"/>
          <w:szCs w:val="16"/>
        </w:rPr>
        <w:softHyphen/>
        <w:t>ного начальником НИБТ полигона Воробьевым, началь</w:t>
      </w:r>
      <w:r w:rsidRPr="00E14102">
        <w:rPr>
          <w:color w:val="000000" w:themeColor="text1"/>
          <w:sz w:val="16"/>
          <w:szCs w:val="16"/>
        </w:rPr>
        <w:softHyphen/>
        <w:t>ником испытательного отдела Кульчицким и начальником 2-й станции Пушкаревым (2-я станция полигона занима</w:t>
      </w:r>
      <w:r w:rsidRPr="00E14102">
        <w:rPr>
          <w:color w:val="000000" w:themeColor="text1"/>
          <w:sz w:val="16"/>
          <w:szCs w:val="16"/>
        </w:rPr>
        <w:softHyphen/>
        <w:t>лась испытанием колесных машин), гово</w:t>
      </w:r>
      <w:r w:rsidRPr="00E14102">
        <w:rPr>
          <w:color w:val="000000" w:themeColor="text1"/>
          <w:sz w:val="16"/>
          <w:szCs w:val="16"/>
        </w:rPr>
        <w:softHyphen/>
        <w:t>рилось:</w:t>
      </w:r>
    </w:p>
    <w:p w14:paraId="54BBB9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«ПБ-4 по сравнению с БА-3 имеет пониженные дина</w:t>
      </w:r>
      <w:r w:rsidRPr="00E14102">
        <w:rPr>
          <w:color w:val="000000" w:themeColor="text1"/>
          <w:sz w:val="16"/>
          <w:szCs w:val="16"/>
        </w:rPr>
        <w:softHyphen/>
        <w:t>мические и экономические качества (расход топлива), проходимость значительно хуже, меньше боекомплект, недо</w:t>
      </w:r>
      <w:r w:rsidRPr="00E14102">
        <w:rPr>
          <w:color w:val="000000" w:themeColor="text1"/>
          <w:sz w:val="16"/>
          <w:szCs w:val="16"/>
        </w:rPr>
        <w:softHyphen/>
        <w:t>статочна скорость движения на плаву;</w:t>
      </w:r>
    </w:p>
    <w:p w14:paraId="40C9659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Неудовлетворительная поворотливость;</w:t>
      </w:r>
    </w:p>
    <w:p w14:paraId="094BC4E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Стрельба из пушки на воде с поворотом башни крайне ограничена устойчивостью машины;</w:t>
      </w:r>
    </w:p>
    <w:p w14:paraId="3ACE74D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Крайне ограничена возможность выхода на берег ха</w:t>
      </w:r>
      <w:r w:rsidRPr="00E14102">
        <w:rPr>
          <w:color w:val="000000" w:themeColor="text1"/>
          <w:sz w:val="16"/>
          <w:szCs w:val="16"/>
        </w:rPr>
        <w:softHyphen/>
        <w:t>рактером грунта и отлогостью берегов;</w:t>
      </w:r>
    </w:p>
    <w:p w14:paraId="1D6628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Охлаждение двигателя — неудовлетворительное;</w:t>
      </w:r>
    </w:p>
    <w:p w14:paraId="731AD4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Запас прочности деталей переднего моста не соответст</w:t>
      </w:r>
      <w:r w:rsidRPr="00E14102">
        <w:rPr>
          <w:color w:val="000000" w:themeColor="text1"/>
          <w:sz w:val="16"/>
          <w:szCs w:val="16"/>
        </w:rPr>
        <w:softHyphen/>
        <w:t>вует нагрузке на него;</w:t>
      </w:r>
    </w:p>
    <w:p w14:paraId="6760069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Конструкция ПБ-4 требует дальнейшей доработки по пунктам, перечисленным в заключении. После устранения перечисленных дефектов машина должна быть повторно испытана и затем может быть дано окончательное заключе</w:t>
      </w:r>
      <w:r w:rsidRPr="00E14102">
        <w:rPr>
          <w:color w:val="000000" w:themeColor="text1"/>
          <w:sz w:val="16"/>
          <w:szCs w:val="16"/>
        </w:rPr>
        <w:softHyphen/>
        <w:t>ние о пригодности бронеавтомобиля ПБ-4 для РККА» (11284).</w:t>
      </w:r>
    </w:p>
    <w:p w14:paraId="69EA98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7E7E87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6CF0CC1" w14:textId="77777777" w:rsidR="00D4105E" w:rsidRPr="00E14102" w:rsidRDefault="00D4105E" w:rsidP="00E14102">
      <w:pPr>
        <w:autoSpaceDE w:val="0"/>
        <w:autoSpaceDN w:val="0"/>
        <w:adjustRightInd w:val="0"/>
        <w:jc w:val="both"/>
        <w:rPr>
          <w:iCs/>
          <w:color w:val="000000" w:themeColor="text1"/>
          <w:sz w:val="16"/>
          <w:szCs w:val="16"/>
        </w:rPr>
      </w:pPr>
    </w:p>
    <w:p w14:paraId="10291F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 2-й половине мая 1935 проводились экспериментальные испытания на форсированном режиме авиадизель Н-1 макс. мощности 1000 л.с. при 1600 об/мин. и номинальной мощности 900 л.с. при 1540 об/мин, расход горючего 173/174 гр/лс/ч. Мотор проработал около 30 ч сломался кол/вал (3419,84).</w:t>
      </w:r>
    </w:p>
    <w:p w14:paraId="14BAC2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BD02E6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C910FE4" w14:textId="77777777" w:rsidR="00D4105E" w:rsidRPr="00E14102" w:rsidRDefault="00D4105E" w:rsidP="00E14102">
      <w:pPr>
        <w:autoSpaceDE w:val="0"/>
        <w:autoSpaceDN w:val="0"/>
        <w:adjustRightInd w:val="0"/>
        <w:jc w:val="both"/>
        <w:rPr>
          <w:iCs/>
          <w:color w:val="000000" w:themeColor="text1"/>
          <w:sz w:val="16"/>
          <w:szCs w:val="16"/>
        </w:rPr>
      </w:pPr>
    </w:p>
    <w:p w14:paraId="441B7B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ЦКБ-26 выкатили на Центральный аэродром (2467,2).</w:t>
      </w:r>
    </w:p>
    <w:p w14:paraId="6D6E85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 в начале лета.</w:t>
      </w:r>
    </w:p>
    <w:p w14:paraId="440154E7" w14:textId="77777777" w:rsidR="00D4105E" w:rsidRPr="00E14102" w:rsidRDefault="00D4105E" w:rsidP="00E14102">
      <w:pPr>
        <w:autoSpaceDE w:val="0"/>
        <w:autoSpaceDN w:val="0"/>
        <w:adjustRightInd w:val="0"/>
        <w:jc w:val="both"/>
        <w:rPr>
          <w:color w:val="000000" w:themeColor="text1"/>
          <w:sz w:val="16"/>
          <w:szCs w:val="16"/>
        </w:rPr>
      </w:pPr>
    </w:p>
    <w:p w14:paraId="022305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КБ-1 стало выдавать первые рабочие чертежи АНТ-42 (ТБ-7) (1103,12).</w:t>
      </w:r>
    </w:p>
    <w:p w14:paraId="149C8215" w14:textId="77777777" w:rsidR="00D4105E" w:rsidRPr="00E14102" w:rsidRDefault="00D4105E" w:rsidP="00E14102">
      <w:pPr>
        <w:autoSpaceDE w:val="0"/>
        <w:autoSpaceDN w:val="0"/>
        <w:adjustRightInd w:val="0"/>
        <w:jc w:val="both"/>
        <w:rPr>
          <w:color w:val="000000" w:themeColor="text1"/>
          <w:sz w:val="16"/>
          <w:szCs w:val="16"/>
        </w:rPr>
      </w:pPr>
    </w:p>
    <w:p w14:paraId="53370B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мае 1935 бригада А.А.А. начала работу по преобразованию серийного АНТ-40 СБ производства 22 завода в ДИ-8 - АНТ-46. Поставили двигатели ГР Мистраль-Мажор, две АПК-4 калибра 76.2 мм в консолях с боезапасом по 15 снарядов, 1хШКАС вперед в центроплане, 1хШВАК 12.7 мм у штурмана вместо спарки, уменьшенным бомбоотсеком на 250 кг вертикально и всем остальным тем же (1104,29).</w:t>
      </w:r>
    </w:p>
    <w:p w14:paraId="01CB2829" w14:textId="77777777" w:rsidR="00D4105E" w:rsidRPr="00E14102" w:rsidRDefault="00D4105E" w:rsidP="00E14102">
      <w:pPr>
        <w:autoSpaceDE w:val="0"/>
        <w:autoSpaceDN w:val="0"/>
        <w:adjustRightInd w:val="0"/>
        <w:jc w:val="both"/>
        <w:rPr>
          <w:color w:val="000000" w:themeColor="text1"/>
          <w:sz w:val="16"/>
          <w:szCs w:val="16"/>
        </w:rPr>
      </w:pPr>
    </w:p>
    <w:p w14:paraId="69D06B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года самолет ТБ-4М34 тяжелый бомбардировщик был закончен постройкой. Доводка конструкции и вооружения, а также испытания потребовали значительного времени (завод № 22 впервые выпускает опытный самолет) (3475,103).</w:t>
      </w:r>
    </w:p>
    <w:p w14:paraId="7BA8FBB0" w14:textId="77777777" w:rsidR="00D4105E" w:rsidRPr="00E14102" w:rsidRDefault="00D4105E" w:rsidP="00E14102">
      <w:pPr>
        <w:autoSpaceDE w:val="0"/>
        <w:autoSpaceDN w:val="0"/>
        <w:adjustRightInd w:val="0"/>
        <w:jc w:val="both"/>
        <w:rPr>
          <w:color w:val="000000" w:themeColor="text1"/>
          <w:sz w:val="16"/>
          <w:szCs w:val="16"/>
        </w:rPr>
      </w:pPr>
    </w:p>
    <w:p w14:paraId="31EC443B" w14:textId="77777777" w:rsidR="0074275D" w:rsidRPr="00E14102" w:rsidRDefault="0074275D" w:rsidP="00E14102">
      <w:pPr>
        <w:shd w:val="clear" w:color="auto" w:fill="FFFFFF"/>
        <w:jc w:val="both"/>
        <w:textAlignment w:val="baseline"/>
        <w:rPr>
          <w:color w:val="0070C0"/>
          <w:sz w:val="16"/>
          <w:szCs w:val="16"/>
        </w:rPr>
      </w:pPr>
      <w:r w:rsidRPr="00E14102">
        <w:rPr>
          <w:color w:val="0070C0"/>
          <w:sz w:val="16"/>
          <w:szCs w:val="16"/>
        </w:rPr>
        <w:t>В мае 1935 года состоялся первый полет нового дальнего бомбардировщика ДБ-А, призванного заменить в авиационных частях устаревающий ТБ-3. С конца 1935 года по март 1936 года прошли заводские испытания машины, которые продемонстрировали потенциал мирового уровня в достижении показателей высоты, скорости и грузоподъемности. По результатам, прошедших затем, государственных испытаний было принято решение о запуске самолета в серийное производство.</w:t>
      </w:r>
    </w:p>
    <w:p w14:paraId="500254B6" w14:textId="77777777" w:rsidR="0074275D" w:rsidRPr="00E14102" w:rsidRDefault="0074275D" w:rsidP="00E14102">
      <w:pPr>
        <w:shd w:val="clear" w:color="auto" w:fill="FFFFFF"/>
        <w:jc w:val="both"/>
        <w:textAlignment w:val="baseline"/>
        <w:rPr>
          <w:color w:val="0070C0"/>
          <w:sz w:val="16"/>
          <w:szCs w:val="16"/>
          <w:shd w:val="clear" w:color="auto" w:fill="FFFFFF"/>
        </w:rPr>
      </w:pPr>
    </w:p>
    <w:p w14:paraId="1CCC97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года самолет ФР-РЦ фоторазведчик (ХАИ-6) был закончен в производстве. Обнаруженные в процессе постройки и испытаний дефекты потребовали ряда улучшений (капоты, щитки, оперение, доводка шасси и др.) задержали предъявление машины (3475,103).</w:t>
      </w:r>
    </w:p>
    <w:p w14:paraId="6FE99AD2" w14:textId="77777777" w:rsidR="00D4105E" w:rsidRPr="00E14102" w:rsidRDefault="00D4105E" w:rsidP="00E14102">
      <w:pPr>
        <w:autoSpaceDE w:val="0"/>
        <w:autoSpaceDN w:val="0"/>
        <w:adjustRightInd w:val="0"/>
        <w:jc w:val="both"/>
        <w:rPr>
          <w:color w:val="000000" w:themeColor="text1"/>
          <w:sz w:val="16"/>
          <w:szCs w:val="16"/>
        </w:rPr>
      </w:pPr>
    </w:p>
    <w:p w14:paraId="6FE55F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впервые подвесили на самолет ССС выливные и дымовые приборы. Но вновь выявились дефекты, вооружение работало ненадежно. В отчете НИИ записали: "Все вооружение забраковано... недоработаны пулеметная установка, кассетные бомбодержатели". В итоге самолет государственных испытаний не выдержал.</w:t>
      </w:r>
    </w:p>
    <w:p w14:paraId="4D86E8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июня Алкснис писал об ССС наркому К.Е. Ворошилову: "Без устранения главнейших дефектов вооружения он является небоеспособным и не может служить эталоном для серии". ВНИИ ВВС поспешно доводили все, что могли. Наконец, в июле УВВС приняло решение о проведении войсковых испытаний установочной серии. Их собирались начать в августе, но задержались из-за поломки на статических испытаниях коробки крыла одного из опытных образцов. Она разрушилась при перегрузке 6,5, в то время как нормами требовалась 7-кратная. Пришлось тут же внедрять усиления набора.</w:t>
      </w:r>
    </w:p>
    <w:p w14:paraId="4BA04D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Первые шесть серийных самолетов прошли военную приемку к 7 августа. 15 сентября 1935 г. десять машин прибыли в расположение 114-й (бывшей 252-й) авиабригады в Гомель. 22 сентября на одном из ССС первым вылетел комбриг А. А. Туржанский.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5FD9C5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407AA1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3BA121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2F9054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4F0EE9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0A1D67CB" w14:textId="77777777" w:rsidR="00D4105E" w:rsidRPr="00E14102" w:rsidRDefault="00D4105E" w:rsidP="00E14102">
      <w:pPr>
        <w:autoSpaceDE w:val="0"/>
        <w:autoSpaceDN w:val="0"/>
        <w:adjustRightInd w:val="0"/>
        <w:jc w:val="both"/>
        <w:rPr>
          <w:color w:val="000000" w:themeColor="text1"/>
          <w:sz w:val="16"/>
          <w:szCs w:val="16"/>
        </w:rPr>
      </w:pPr>
    </w:p>
    <w:p w14:paraId="252399E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мае 1935 г. ЦКБ-15 вывезли на аэродром. Наземные испытания и первый этап заводских испытаний продолжались до</w:t>
      </w:r>
      <w:r w:rsidRPr="00E14102">
        <w:rPr>
          <w:color w:val="000000" w:themeColor="text1"/>
          <w:sz w:val="16"/>
          <w:szCs w:val="16"/>
        </w:rPr>
        <w:softHyphen/>
        <w:t>вольно долго. Выявилась неудовлетворительная работа шасси (заедание шлицев, отказ амортизаторов), нена</w:t>
      </w:r>
      <w:r w:rsidRPr="00E14102">
        <w:rPr>
          <w:color w:val="000000" w:themeColor="text1"/>
          <w:sz w:val="16"/>
          <w:szCs w:val="16"/>
        </w:rPr>
        <w:softHyphen/>
        <w:t>дежная работа механизма уборки шасси и костыля, тек</w:t>
      </w:r>
      <w:r w:rsidRPr="00E14102">
        <w:rPr>
          <w:color w:val="000000" w:themeColor="text1"/>
          <w:sz w:val="16"/>
          <w:szCs w:val="16"/>
        </w:rPr>
        <w:softHyphen/>
        <w:t>ли выдвижные радиаторы под кабиной пилота. Самолет возвратили на завод. Устранение недостатков потребо</w:t>
      </w:r>
      <w:r w:rsidRPr="00E14102">
        <w:rPr>
          <w:color w:val="000000" w:themeColor="text1"/>
          <w:sz w:val="16"/>
          <w:szCs w:val="16"/>
        </w:rPr>
        <w:softHyphen/>
        <w:t>вала много времени и по-настоящему ЦКБ-15 начали испытывать лишь с 15 сентября 1935 г. По устойчивос</w:t>
      </w:r>
      <w:r w:rsidRPr="00E14102">
        <w:rPr>
          <w:color w:val="000000" w:themeColor="text1"/>
          <w:sz w:val="16"/>
          <w:szCs w:val="16"/>
        </w:rPr>
        <w:softHyphen/>
        <w:t>ти и управляемости И-17 (ЦКБ-15) был лучше И-16. Однако летчикам не нравилась более тесная, по сравне</w:t>
      </w:r>
      <w:r w:rsidRPr="00E14102">
        <w:rPr>
          <w:color w:val="000000" w:themeColor="text1"/>
          <w:sz w:val="16"/>
          <w:szCs w:val="16"/>
        </w:rPr>
        <w:softHyphen/>
        <w:t>нию с И-16, кабина самолета, а также узкая колея шасси (10667).</w:t>
      </w:r>
    </w:p>
    <w:p w14:paraId="61D3435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0CB9B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г. про</w:t>
      </w:r>
      <w:r w:rsidRPr="00E14102">
        <w:rPr>
          <w:color w:val="000000" w:themeColor="text1"/>
          <w:sz w:val="16"/>
          <w:szCs w:val="16"/>
        </w:rPr>
        <w:softHyphen/>
        <w:t>ходил испытания второй экземпляр И-15 (№33902), оснащенный установленным по указанию начальника НИИ ВВС РККА Коробова винтом регулируемого в по</w:t>
      </w:r>
      <w:r w:rsidRPr="00E14102">
        <w:rPr>
          <w:color w:val="000000" w:themeColor="text1"/>
          <w:sz w:val="16"/>
          <w:szCs w:val="16"/>
        </w:rPr>
        <w:softHyphen/>
        <w:t>лете шага типа “Гамильтон-Стандарт”. Время набора высоты 5000 м уменьшилось на 1,2 мин, скорость по вы</w:t>
      </w:r>
      <w:r w:rsidRPr="00E14102">
        <w:rPr>
          <w:color w:val="000000" w:themeColor="text1"/>
          <w:sz w:val="16"/>
          <w:szCs w:val="16"/>
        </w:rPr>
        <w:softHyphen/>
        <w:t>сотам практически не изменилась, но тепловой режим мотора ухудшился (10667).</w:t>
      </w:r>
    </w:p>
    <w:p w14:paraId="1E23F118" w14:textId="77777777" w:rsidR="00D4105E" w:rsidRPr="00E14102" w:rsidRDefault="00D4105E" w:rsidP="00E14102">
      <w:pPr>
        <w:autoSpaceDE w:val="0"/>
        <w:autoSpaceDN w:val="0"/>
        <w:adjustRightInd w:val="0"/>
        <w:jc w:val="both"/>
        <w:rPr>
          <w:color w:val="000000" w:themeColor="text1"/>
          <w:sz w:val="16"/>
          <w:szCs w:val="16"/>
        </w:rPr>
      </w:pPr>
    </w:p>
    <w:p w14:paraId="63E4EA5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мае 1935 вышел Приказ НИИ ВС № 0238 О проведении гос. испытаний самолета И-15 с нормальным центропланом с мотором Р.Ц. постройки завода № 39.</w:t>
      </w:r>
    </w:p>
    <w:p w14:paraId="5FFF72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начать 21 мая 1935 года на аэродроме НИИ ВС (ст. Томская) и закончить в течении 15 летных дней (6813, 46).</w:t>
      </w:r>
    </w:p>
    <w:p w14:paraId="65E0F447"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208362B" w14:textId="77777777" w:rsidR="001B6FA5" w:rsidRPr="00E14102" w:rsidRDefault="001B6FA5" w:rsidP="00E14102">
      <w:pPr>
        <w:shd w:val="clear" w:color="auto" w:fill="FFFFFF"/>
        <w:jc w:val="both"/>
        <w:rPr>
          <w:color w:val="000000" w:themeColor="text1"/>
          <w:sz w:val="16"/>
          <w:szCs w:val="16"/>
        </w:rPr>
      </w:pPr>
      <w:r w:rsidRPr="00E14102">
        <w:rPr>
          <w:color w:val="000000" w:themeColor="text1"/>
          <w:sz w:val="16"/>
          <w:szCs w:val="16"/>
        </w:rPr>
        <w:t>В мае 1935 года ЦКБ-15 был передан на испытания. Его конструкция во многом повторяла предыдущий истребитель И-16. Такой же деревянный, выклеенный из шпона фюзеляж. Однако рассчитанный на достижение максимальной скорости, он имел очень малый мидель (поперечные сечения кабины и двигателя были почти одинаковые) и, в этой связи, тесную кабину пилота. Лишь фонарь, с минимальными зазорами облегавший голову летчика немного возвышался над фюзеляжем. Крыло И-17 - с лонжеронами из стальных хромомолибденовых труб с дюралевыми нервюрами и полотняной обшивкой. Носок крыла обшит дюралем. Оперение свободнонесущее, дюралевое, обтянутое полотном. Под фюзеляжем установлен туннельный водяной радиатор, выдвигаемый вместе с туннелем и фиксируемый в двух положениях: максимальной скорости и набора высоты. Топливные баки общей емкостью 360 литров помещались в центроплане. Шасси, как и костыль, убирались в полете тросовым механизмом. Вооружение опытного образца состояло из четырех несинхронных пулеметов ШКАС, размещенных в отъемных частях крыла. Допускалась подвеска четырех бомб по 10 кг или двух по 25 кг.</w:t>
      </w:r>
    </w:p>
    <w:p w14:paraId="1012B217" w14:textId="77777777" w:rsidR="001B6FA5" w:rsidRPr="00E14102" w:rsidRDefault="001B6FA5" w:rsidP="00E14102">
      <w:pPr>
        <w:shd w:val="clear" w:color="auto" w:fill="FFFFFF"/>
        <w:jc w:val="both"/>
        <w:rPr>
          <w:color w:val="000000" w:themeColor="text1"/>
          <w:sz w:val="16"/>
          <w:szCs w:val="16"/>
        </w:rPr>
      </w:pPr>
      <w:r w:rsidRPr="00E14102">
        <w:rPr>
          <w:color w:val="000000" w:themeColor="text1"/>
          <w:sz w:val="16"/>
          <w:szCs w:val="16"/>
        </w:rPr>
        <w:t>Наземные испытания и первый этап заводских испытаний опытного образца истребителя И-17 продолжался довольно долго. Показатели устойчивости и управляемости новой машины оказались выше, чем у И-16. Объяснялось это тем, что у нее была нормальной длины хвостовая часть, а также сдвинутая вперед центровка. Отзывы о новом самолете были в основном положительные. Однако летчиками отмечалась тесная кабина истребителя и узкая колея шасси. Выявилась также неудовлетворительная работа шасси, протекание выдвижных радиаторов (15223).</w:t>
      </w:r>
    </w:p>
    <w:p w14:paraId="3846E51D" w14:textId="77777777" w:rsidR="001B6FA5" w:rsidRPr="00E14102" w:rsidRDefault="001B6FA5" w:rsidP="00E14102">
      <w:pPr>
        <w:shd w:val="clear" w:color="auto" w:fill="FFFFFF"/>
        <w:jc w:val="both"/>
        <w:rPr>
          <w:color w:val="000000" w:themeColor="text1"/>
          <w:sz w:val="16"/>
          <w:szCs w:val="16"/>
        </w:rPr>
      </w:pPr>
    </w:p>
    <w:p w14:paraId="12D062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двухместная версия И-16 - УТ-2 N 8211, сделанный на 21 заводе и имеющий общую кабину, был облетан. Потом появилось еще две машины такого же типа, но в серию пошла машина с раздельными кабинами и неубирающемся шасси, названная УТИ-2 тип 14. В 1935 появился и двухместный вариант И-16, названный УТИ-3 с М-58 N 11211 и на нем летал В.П.Ч., хотя машина не пошла, так как производства двигателя не получилось (1808,15).</w:t>
      </w:r>
    </w:p>
    <w:p w14:paraId="5F58ED5B" w14:textId="77777777" w:rsidR="00D4105E" w:rsidRPr="00E14102" w:rsidRDefault="00D4105E" w:rsidP="00E14102">
      <w:pPr>
        <w:autoSpaceDE w:val="0"/>
        <w:autoSpaceDN w:val="0"/>
        <w:adjustRightInd w:val="0"/>
        <w:jc w:val="both"/>
        <w:rPr>
          <w:color w:val="000000" w:themeColor="text1"/>
          <w:sz w:val="16"/>
          <w:szCs w:val="16"/>
        </w:rPr>
      </w:pPr>
    </w:p>
    <w:p w14:paraId="7196A8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мае 1935 г. УТ-2 (заводской номер 8211, т.е. тип 8 завода №21, экземпляр № 1) выве</w:t>
      </w:r>
      <w:r w:rsidRPr="00E14102">
        <w:rPr>
          <w:color w:val="000000" w:themeColor="text1"/>
          <w:sz w:val="16"/>
          <w:szCs w:val="16"/>
        </w:rPr>
        <w:softHyphen/>
        <w:t>ли на испытания. Вскоре построили еще один экземп</w:t>
      </w:r>
      <w:r w:rsidRPr="00E14102">
        <w:rPr>
          <w:color w:val="000000" w:themeColor="text1"/>
          <w:sz w:val="16"/>
          <w:szCs w:val="16"/>
        </w:rPr>
        <w:softHyphen/>
        <w:t>ляр. Машина имела ряд дефектов: заднюю центровку, тесные кабины, плохо открывающиеся крышки фонаря и др. Было признано, что он уступает УТИ-2, поэтому в серии УТ-2 не строился. В том же 1935 г. по просьбе ВВС серийное КБ спро</w:t>
      </w:r>
      <w:r w:rsidRPr="00E14102">
        <w:rPr>
          <w:color w:val="000000" w:themeColor="text1"/>
          <w:sz w:val="16"/>
          <w:szCs w:val="16"/>
        </w:rPr>
        <w:softHyphen/>
        <w:t>ектировало на базе И-16 тип 4 истребитель с четырьмя пулеметами ШКАС в крыле - И-161, в известном смыс</w:t>
      </w:r>
      <w:r w:rsidRPr="00E14102">
        <w:rPr>
          <w:color w:val="000000" w:themeColor="text1"/>
          <w:sz w:val="16"/>
          <w:szCs w:val="16"/>
        </w:rPr>
        <w:softHyphen/>
        <w:t>ле повторявший более ранний аналогичный проект ЦКБ-18. Возмущению Поликарпова не было границ, и не из-за того, что КБ серийного завода самостоятельно проектировало новые машины, а потому, что оно вы</w:t>
      </w:r>
      <w:r w:rsidRPr="00E14102">
        <w:rPr>
          <w:color w:val="000000" w:themeColor="text1"/>
          <w:sz w:val="16"/>
          <w:szCs w:val="16"/>
        </w:rPr>
        <w:softHyphen/>
        <w:t>полняло проекты, пренебрегая своими прямыми обя</w:t>
      </w:r>
      <w:r w:rsidRPr="00E14102">
        <w:rPr>
          <w:color w:val="000000" w:themeColor="text1"/>
          <w:sz w:val="16"/>
          <w:szCs w:val="16"/>
        </w:rPr>
        <w:softHyphen/>
        <w:t>занностям — разработками конструкторско-техно-логической документации для производства серийных машин, в первую очередь И-16 тип 4 и тип 5. Дирекция завода №21, заявляя, что не может обеспечить внедре</w:t>
      </w:r>
      <w:r w:rsidRPr="00E14102">
        <w:rPr>
          <w:color w:val="000000" w:themeColor="text1"/>
          <w:sz w:val="16"/>
          <w:szCs w:val="16"/>
        </w:rPr>
        <w:softHyphen/>
        <w:t>ние в серию И-16, ввиду слабости своего КБ и, требуя привлечения для этой цели конструкторов бригады № 2 ЦКБ, пыталась создать благоприятные условия для де</w:t>
      </w:r>
      <w:r w:rsidRPr="00E14102">
        <w:rPr>
          <w:color w:val="000000" w:themeColor="text1"/>
          <w:sz w:val="16"/>
          <w:szCs w:val="16"/>
        </w:rPr>
        <w:softHyphen/>
        <w:t>ятельности серийного КБ по созданию “своих” конст</w:t>
      </w:r>
      <w:r w:rsidRPr="00E14102">
        <w:rPr>
          <w:color w:val="000000" w:themeColor="text1"/>
          <w:sz w:val="16"/>
          <w:szCs w:val="16"/>
        </w:rPr>
        <w:softHyphen/>
        <w:t>рукций. Николай Николаевич жестко поставил об этом вопрос перед директором завода № 39 Марголиным, писал руководству главка, наркому тяжелой промыш</w:t>
      </w:r>
      <w:r w:rsidRPr="00E14102">
        <w:rPr>
          <w:color w:val="000000" w:themeColor="text1"/>
          <w:sz w:val="16"/>
          <w:szCs w:val="16"/>
        </w:rPr>
        <w:softHyphen/>
        <w:t>ленности С.Орджоникидзе. Он указывал: “...Целиком разделяя установку на раз</w:t>
      </w:r>
      <w:r w:rsidRPr="00E14102">
        <w:rPr>
          <w:color w:val="000000" w:themeColor="text1"/>
          <w:sz w:val="16"/>
          <w:szCs w:val="16"/>
        </w:rPr>
        <w:softHyphen/>
        <w:t xml:space="preserve">вертывание опытных работ на серийных </w:t>
      </w:r>
      <w:r w:rsidRPr="00E14102">
        <w:rPr>
          <w:color w:val="000000" w:themeColor="text1"/>
          <w:sz w:val="16"/>
          <w:szCs w:val="16"/>
        </w:rPr>
        <w:lastRenderedPageBreak/>
        <w:t>заводах, мы все же полагаем, что [их] опытные работы должны быть тесно связаны с основной задачей - улучшения идущего в производстве типа, а не производиться за счет этой ра</w:t>
      </w:r>
      <w:r w:rsidRPr="00E14102">
        <w:rPr>
          <w:color w:val="000000" w:themeColor="text1"/>
          <w:sz w:val="16"/>
          <w:szCs w:val="16"/>
        </w:rPr>
        <w:softHyphen/>
        <w:t>боты или основных опытных баз, спихивая на них эту доводочную работу. Поэтому получается, например, что в то время, как мы делали доводочную работу для завода №21, он делал двухместную машину и штурмо</w:t>
      </w:r>
      <w:r w:rsidRPr="00E14102">
        <w:rPr>
          <w:color w:val="000000" w:themeColor="text1"/>
          <w:sz w:val="16"/>
          <w:szCs w:val="16"/>
        </w:rPr>
        <w:softHyphen/>
        <w:t>вик, который (штурмовик) еще в начале 1934 г. был проработан у нас и в конце года спущен в производство, но приостановлен из-за отсутствия производственных мощностей”. И вносил предложение: “Решительно прекратить су</w:t>
      </w:r>
      <w:r w:rsidRPr="00E14102">
        <w:rPr>
          <w:color w:val="000000" w:themeColor="text1"/>
          <w:sz w:val="16"/>
          <w:szCs w:val="16"/>
        </w:rPr>
        <w:softHyphen/>
        <w:t>ществующую систему наших взаимоотношений с се</w:t>
      </w:r>
      <w:r w:rsidRPr="00E14102">
        <w:rPr>
          <w:color w:val="000000" w:themeColor="text1"/>
          <w:sz w:val="16"/>
          <w:szCs w:val="16"/>
        </w:rPr>
        <w:softHyphen/>
        <w:t>рийными заводами, разгрузив нас от работы, которую они должны делать” (10667).</w:t>
      </w:r>
    </w:p>
    <w:p w14:paraId="3BD5C9A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3A549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г. на испытания предъявили двухместный И-16 с двигателем М-22, обозначенный УТ-2 №8211. Машина имела полностью закрытые общим фонарем кабины пилотов. Испытания УТ-2 №8211 провели в период 1.07-16.08 1935 г. Полетный вес составлял 1370.5 кг. вес пустого 970,3 кг, полетная центровка 31,3% САХ, максимальная скорость у земли 349 км/ч, посадочная скорость 127 км/ч. Летали Павлушсв и Ларюш- кин. которые отмстили приемлемую устойчивость самолета. К недостаткам отнесли стремление к кабрированию на скоростях свыше 220 км/ч и попадание выхлопных газов в кабину пилота. Самолет предлагалось совершенствовать и далее использовать для переучивания на И-16.</w:t>
      </w:r>
    </w:p>
    <w:p w14:paraId="46F08B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Впоследствии построили еще два таких самолета. Известно, что один из них. УТ-2 №82120. выпущенный в декабре 1935 г. потерпел катастрофу 17 июля 1936 г. Летчик- сдатчик завода Ф.Ф.Меч обучал пилотированию на этой машине летчика Д.М.Чебо- тенко. При заходе на посадку на малой высоте самолет сорвался в штопор и в короткое мгновение похоронил обоих пилотов (12015).</w:t>
      </w:r>
    </w:p>
    <w:p w14:paraId="15350E3E" w14:textId="77777777" w:rsidR="00D4105E" w:rsidRPr="00E14102" w:rsidRDefault="00D4105E" w:rsidP="00E14102">
      <w:pPr>
        <w:autoSpaceDE w:val="0"/>
        <w:autoSpaceDN w:val="0"/>
        <w:adjustRightInd w:val="0"/>
        <w:jc w:val="both"/>
        <w:rPr>
          <w:color w:val="000000" w:themeColor="text1"/>
          <w:sz w:val="16"/>
          <w:szCs w:val="16"/>
        </w:rPr>
      </w:pPr>
    </w:p>
    <w:p w14:paraId="2F701FC4" w14:textId="77777777" w:rsidR="001B6FA5" w:rsidRPr="00E14102" w:rsidRDefault="001B6FA5" w:rsidP="00E14102">
      <w:pPr>
        <w:pStyle w:val="rtejustify"/>
        <w:spacing w:before="0" w:after="0"/>
        <w:rPr>
          <w:color w:val="000000" w:themeColor="text1"/>
          <w:sz w:val="16"/>
          <w:szCs w:val="16"/>
        </w:rPr>
      </w:pPr>
      <w:r w:rsidRPr="00E14102">
        <w:rPr>
          <w:color w:val="000000" w:themeColor="text1"/>
          <w:sz w:val="16"/>
          <w:szCs w:val="16"/>
        </w:rPr>
        <w:t>В мае 1935 г. машина ДИ-6 участвовала в параде воздушных сил, результат же войсковых испытаний получен только в октябре 1936 г. В июле 1935 г. было решено наряду с истребительным вариантом дать и штурмовой вариант этой машины. В октябре месяце 1935 г. опытный образец штурмовика прошел государственные испытания. Несмотря на то, что еще нет серийного выпуска штурмовика ДИ</w:t>
      </w:r>
      <w:r w:rsidRPr="00E14102">
        <w:rPr>
          <w:color w:val="000000" w:themeColor="text1"/>
          <w:sz w:val="16"/>
          <w:szCs w:val="16"/>
        </w:rPr>
        <w:noBreakHyphen/>
        <w:t>6 имеются настроения вовсе отказаться от его производства (15405).</w:t>
      </w:r>
    </w:p>
    <w:p w14:paraId="7B7F615D" w14:textId="77777777" w:rsidR="001B6FA5" w:rsidRPr="00E14102" w:rsidRDefault="001B6FA5" w:rsidP="00E14102">
      <w:pPr>
        <w:pStyle w:val="rtejustify"/>
        <w:spacing w:before="0" w:after="0"/>
        <w:rPr>
          <w:color w:val="000000" w:themeColor="text1"/>
          <w:sz w:val="16"/>
          <w:szCs w:val="16"/>
        </w:rPr>
      </w:pPr>
    </w:p>
    <w:p w14:paraId="7082146D" w14:textId="77777777" w:rsidR="0074275D" w:rsidRPr="00E14102" w:rsidRDefault="0074275D" w:rsidP="00E14102">
      <w:pPr>
        <w:jc w:val="both"/>
        <w:rPr>
          <w:color w:val="0070C0"/>
          <w:sz w:val="16"/>
          <w:szCs w:val="16"/>
        </w:rPr>
      </w:pPr>
      <w:r w:rsidRPr="00E14102">
        <w:rPr>
          <w:color w:val="0070C0"/>
          <w:sz w:val="16"/>
          <w:szCs w:val="16"/>
        </w:rPr>
        <w:t>До мая 1935 г. в НИИ ВВС велись испытания второго экземп</w:t>
      </w:r>
      <w:r w:rsidRPr="00E14102">
        <w:rPr>
          <w:color w:val="0070C0"/>
          <w:sz w:val="16"/>
          <w:szCs w:val="16"/>
        </w:rPr>
        <w:softHyphen/>
        <w:t>ляра ЦКБ-1 (29362).</w:t>
      </w:r>
    </w:p>
    <w:p w14:paraId="495692D5" w14:textId="77777777" w:rsidR="0074275D" w:rsidRPr="00E14102" w:rsidRDefault="0074275D" w:rsidP="00E14102">
      <w:pPr>
        <w:shd w:val="clear" w:color="auto" w:fill="FFFFFF"/>
        <w:jc w:val="both"/>
        <w:rPr>
          <w:color w:val="0070C0"/>
          <w:sz w:val="16"/>
          <w:szCs w:val="16"/>
        </w:rPr>
      </w:pPr>
    </w:p>
    <w:p w14:paraId="194BCB53" w14:textId="77777777" w:rsidR="0074275D" w:rsidRPr="00E14102" w:rsidRDefault="0074275D" w:rsidP="00E14102">
      <w:pPr>
        <w:jc w:val="both"/>
        <w:rPr>
          <w:color w:val="0070C0"/>
          <w:sz w:val="16"/>
          <w:szCs w:val="16"/>
        </w:rPr>
      </w:pPr>
      <w:r w:rsidRPr="00E14102">
        <w:rPr>
          <w:color w:val="0070C0"/>
          <w:sz w:val="16"/>
          <w:szCs w:val="16"/>
        </w:rPr>
        <w:t>В мае 1935 к проведению войсковых испытаний подключился еще один ДИ-6 (зав. №113901). Все полеты по программе заверши</w:t>
      </w:r>
      <w:r w:rsidRPr="00E14102">
        <w:rPr>
          <w:color w:val="0070C0"/>
          <w:sz w:val="16"/>
          <w:szCs w:val="16"/>
        </w:rPr>
        <w:softHyphen/>
        <w:t>лись 28 июня. В отчете по проведенным испытаниям от</w:t>
      </w:r>
      <w:r w:rsidRPr="00E14102">
        <w:rPr>
          <w:color w:val="0070C0"/>
          <w:sz w:val="16"/>
          <w:szCs w:val="16"/>
        </w:rPr>
        <w:softHyphen/>
        <w:t>мечалось, что «По маневренности ДИ-6 М-25 стоит даже выше одноместных скоростных истребителей. Наличие задней огневой точки, при отмеченных выше качествах, да</w:t>
      </w:r>
      <w:r w:rsidRPr="00E14102">
        <w:rPr>
          <w:color w:val="0070C0"/>
          <w:sz w:val="16"/>
          <w:szCs w:val="16"/>
        </w:rPr>
        <w:softHyphen/>
        <w:t>ет ему значительные преимущества при ведении воздуш</w:t>
      </w:r>
      <w:r w:rsidRPr="00E14102">
        <w:rPr>
          <w:color w:val="0070C0"/>
          <w:sz w:val="16"/>
          <w:szCs w:val="16"/>
        </w:rPr>
        <w:softHyphen/>
        <w:t>ного боя со всеми типами самолетов. Однако наличие целого ряда недостатков задней кабины стрелка на ДИ-6 М-25 снижает его боевую ценность как истребителя». В за</w:t>
      </w:r>
      <w:r w:rsidRPr="00E14102">
        <w:rPr>
          <w:color w:val="0070C0"/>
          <w:sz w:val="16"/>
          <w:szCs w:val="16"/>
        </w:rPr>
        <w:softHyphen/>
        <w:t>ключении указывалось, что двухместный истребитель ДИ- 6 М-25 войсковые испытания выдержал удовлетворитель</w:t>
      </w:r>
      <w:r w:rsidRPr="00E14102">
        <w:rPr>
          <w:color w:val="0070C0"/>
          <w:sz w:val="16"/>
          <w:szCs w:val="16"/>
        </w:rPr>
        <w:softHyphen/>
        <w:t>но. Серийное производство самолета решили продол</w:t>
      </w:r>
      <w:r w:rsidRPr="00E14102">
        <w:rPr>
          <w:color w:val="0070C0"/>
          <w:sz w:val="16"/>
          <w:szCs w:val="16"/>
        </w:rPr>
        <w:softHyphen/>
        <w:t>жить на авиазаводе №81 в Москве (20362).</w:t>
      </w:r>
    </w:p>
    <w:p w14:paraId="0BC3EFBE" w14:textId="77777777" w:rsidR="0074275D" w:rsidRPr="00E14102" w:rsidRDefault="0074275D" w:rsidP="00E14102">
      <w:pPr>
        <w:shd w:val="clear" w:color="auto" w:fill="FFFFFF"/>
        <w:jc w:val="both"/>
        <w:rPr>
          <w:color w:val="0070C0"/>
          <w:sz w:val="16"/>
          <w:szCs w:val="16"/>
        </w:rPr>
      </w:pPr>
    </w:p>
    <w:p w14:paraId="60C731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П.Д.Самсонов на 31 заводе начал постройку ЦКБ-16 МБР-5 (1076,922).</w:t>
      </w:r>
    </w:p>
    <w:p w14:paraId="54CACF95" w14:textId="77777777" w:rsidR="00D4105E" w:rsidRPr="00E14102" w:rsidRDefault="00D4105E" w:rsidP="00E14102">
      <w:pPr>
        <w:autoSpaceDE w:val="0"/>
        <w:autoSpaceDN w:val="0"/>
        <w:adjustRightInd w:val="0"/>
        <w:jc w:val="both"/>
        <w:rPr>
          <w:color w:val="000000" w:themeColor="text1"/>
          <w:sz w:val="16"/>
          <w:szCs w:val="16"/>
        </w:rPr>
      </w:pPr>
    </w:p>
    <w:p w14:paraId="038A77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началась эксплуатация К-5М-17 - последней модификации К-5 - на линии Москва-Харьков (70,173).</w:t>
      </w:r>
    </w:p>
    <w:p w14:paraId="72125518" w14:textId="77777777" w:rsidR="00D4105E" w:rsidRPr="00E14102" w:rsidRDefault="00D4105E" w:rsidP="00E14102">
      <w:pPr>
        <w:autoSpaceDE w:val="0"/>
        <w:autoSpaceDN w:val="0"/>
        <w:adjustRightInd w:val="0"/>
        <w:jc w:val="both"/>
        <w:rPr>
          <w:color w:val="000000" w:themeColor="text1"/>
          <w:sz w:val="16"/>
          <w:szCs w:val="16"/>
        </w:rPr>
      </w:pPr>
    </w:p>
    <w:p w14:paraId="445774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летало звено З-4 из ТБ-3 (АНТ-6) и двух И-Z под крыльями (661,459).</w:t>
      </w:r>
    </w:p>
    <w:p w14:paraId="6A2C8D12" w14:textId="77777777" w:rsidR="00D4105E" w:rsidRPr="00E14102" w:rsidRDefault="00D4105E" w:rsidP="00E14102">
      <w:pPr>
        <w:autoSpaceDE w:val="0"/>
        <w:autoSpaceDN w:val="0"/>
        <w:adjustRightInd w:val="0"/>
        <w:jc w:val="both"/>
        <w:rPr>
          <w:color w:val="000000" w:themeColor="text1"/>
          <w:sz w:val="16"/>
          <w:szCs w:val="16"/>
        </w:rPr>
      </w:pPr>
    </w:p>
    <w:p w14:paraId="4A2CCC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43 завод предъявил доработанные машины ХАИ-1ВВ N 3211 и 44301 в НИИ ВВС (1148,29).</w:t>
      </w:r>
    </w:p>
    <w:p w14:paraId="33ADFFA0" w14:textId="77777777" w:rsidR="00D4105E" w:rsidRPr="00E14102" w:rsidRDefault="00D4105E" w:rsidP="00E14102">
      <w:pPr>
        <w:autoSpaceDE w:val="0"/>
        <w:autoSpaceDN w:val="0"/>
        <w:adjustRightInd w:val="0"/>
        <w:jc w:val="both"/>
        <w:rPr>
          <w:color w:val="000000" w:themeColor="text1"/>
          <w:sz w:val="16"/>
          <w:szCs w:val="16"/>
        </w:rPr>
      </w:pPr>
    </w:p>
    <w:p w14:paraId="35346E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закончились гос. испытания МК-1 (АНТ-22) (92,498).</w:t>
      </w:r>
    </w:p>
    <w:p w14:paraId="3785A1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они закончились только поздней осенью 1935</w:t>
      </w:r>
    </w:p>
    <w:p w14:paraId="1C9B65F2" w14:textId="77777777" w:rsidR="00D4105E" w:rsidRPr="00E14102" w:rsidRDefault="00D4105E" w:rsidP="00E14102">
      <w:pPr>
        <w:autoSpaceDE w:val="0"/>
        <w:autoSpaceDN w:val="0"/>
        <w:adjustRightInd w:val="0"/>
        <w:jc w:val="both"/>
        <w:rPr>
          <w:color w:val="000000" w:themeColor="text1"/>
          <w:sz w:val="16"/>
          <w:szCs w:val="16"/>
        </w:rPr>
      </w:pPr>
    </w:p>
    <w:p w14:paraId="10A2BF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начались заводские испытания МТБ-1 - доработанного АНТ-27 (1085,112).</w:t>
      </w:r>
    </w:p>
    <w:p w14:paraId="4EA96D64" w14:textId="77777777" w:rsidR="00D4105E" w:rsidRPr="00E14102" w:rsidRDefault="00D4105E" w:rsidP="00E14102">
      <w:pPr>
        <w:autoSpaceDE w:val="0"/>
        <w:autoSpaceDN w:val="0"/>
        <w:adjustRightInd w:val="0"/>
        <w:jc w:val="both"/>
        <w:rPr>
          <w:color w:val="000000" w:themeColor="text1"/>
          <w:sz w:val="16"/>
          <w:szCs w:val="16"/>
        </w:rPr>
      </w:pPr>
    </w:p>
    <w:p w14:paraId="54D679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года вместо января УВС утвердило эскизный проект МДР-6, что вызвало задержку в проектировании самолета почти на 4 месяца. Ввиду этого срок 1 января 1936 года может сдвинуться на 1 мая 1936 года (3475,103).</w:t>
      </w:r>
    </w:p>
    <w:p w14:paraId="42EF0539" w14:textId="77777777" w:rsidR="00D4105E" w:rsidRPr="00E14102" w:rsidRDefault="00D4105E" w:rsidP="00E14102">
      <w:pPr>
        <w:autoSpaceDE w:val="0"/>
        <w:autoSpaceDN w:val="0"/>
        <w:adjustRightInd w:val="0"/>
        <w:jc w:val="both"/>
        <w:rPr>
          <w:color w:val="000000" w:themeColor="text1"/>
          <w:sz w:val="16"/>
          <w:szCs w:val="16"/>
        </w:rPr>
      </w:pPr>
    </w:p>
    <w:p w14:paraId="66A82E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проходили испытания М-34Рн на ДБ-2 (2932).</w:t>
      </w:r>
    </w:p>
    <w:p w14:paraId="5D015A34" w14:textId="77777777" w:rsidR="00D4105E" w:rsidRPr="00E14102" w:rsidRDefault="00D4105E" w:rsidP="00E14102">
      <w:pPr>
        <w:autoSpaceDE w:val="0"/>
        <w:autoSpaceDN w:val="0"/>
        <w:adjustRightInd w:val="0"/>
        <w:jc w:val="both"/>
        <w:rPr>
          <w:color w:val="000000" w:themeColor="text1"/>
          <w:sz w:val="16"/>
          <w:szCs w:val="16"/>
        </w:rPr>
      </w:pPr>
    </w:p>
    <w:p w14:paraId="17EE6A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мае 1935 вышел Приказ НИИ ВС № 0239 О гос. испытании мотора АН-1.</w:t>
      </w:r>
    </w:p>
    <w:p w14:paraId="3078F37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 приемке и испытаниям приступить 22 мая 1935 года (6813, 44).</w:t>
      </w:r>
    </w:p>
    <w:p w14:paraId="2B20E7D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86ABA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Ермолаев передал Трескину о согласии зав. N 24 принять заказ на АЦН для ТБ-7. Впоследствии в приеме заказа было отказано (3569,4-5).</w:t>
      </w:r>
    </w:p>
    <w:p w14:paraId="218C73C8" w14:textId="77777777" w:rsidR="00D4105E" w:rsidRPr="00E14102" w:rsidRDefault="00D4105E" w:rsidP="00E14102">
      <w:pPr>
        <w:autoSpaceDE w:val="0"/>
        <w:autoSpaceDN w:val="0"/>
        <w:adjustRightInd w:val="0"/>
        <w:jc w:val="both"/>
        <w:rPr>
          <w:color w:val="000000" w:themeColor="text1"/>
          <w:sz w:val="16"/>
          <w:szCs w:val="16"/>
        </w:rPr>
      </w:pPr>
    </w:p>
    <w:p w14:paraId="244293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г. группа под руководством Г.И. Аптекмана приступила к проработке БД-2А -авиационного варианта дизеля. Его проектная мощность составляла 600 л.с. при 1850 об/мин. В этом варианте двигателя применялся наддув, который обеспечивал требуемую высотность силовой установки (нагнетатели для первых образцов взяли от авиадвигателей АМ-34РН) (9021).</w:t>
      </w:r>
    </w:p>
    <w:p w14:paraId="291E9949" w14:textId="77777777" w:rsidR="00D4105E" w:rsidRPr="00E14102" w:rsidRDefault="00D4105E" w:rsidP="00E14102">
      <w:pPr>
        <w:autoSpaceDE w:val="0"/>
        <w:autoSpaceDN w:val="0"/>
        <w:adjustRightInd w:val="0"/>
        <w:jc w:val="both"/>
        <w:rPr>
          <w:color w:val="000000" w:themeColor="text1"/>
          <w:sz w:val="16"/>
          <w:szCs w:val="16"/>
        </w:rPr>
      </w:pPr>
    </w:p>
    <w:p w14:paraId="15EB53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г., поскольку АН-1 продемонстрировал возможность дальнейшего наращивания мощности до 850 л.с., ВВС выдали новое техническое задание. Почти одновременно вышло постановление Совнаркома по выпуску 2000 авиадизелей в год. На АН-1А, созданном в 1936 г., применили односкоростной ПЦН конструкции П.И. Орлова. Двигатель был форсирован по частоте вращения до расчетной максимальной мощности 900 л.с., его масса достигла 1040 кг (9035).</w:t>
      </w:r>
    </w:p>
    <w:p w14:paraId="7FED12A7" w14:textId="77777777" w:rsidR="00D4105E" w:rsidRPr="00E14102" w:rsidRDefault="00D4105E" w:rsidP="00E14102">
      <w:pPr>
        <w:autoSpaceDE w:val="0"/>
        <w:autoSpaceDN w:val="0"/>
        <w:adjustRightInd w:val="0"/>
        <w:jc w:val="both"/>
        <w:rPr>
          <w:color w:val="000000" w:themeColor="text1"/>
          <w:sz w:val="16"/>
          <w:szCs w:val="16"/>
        </w:rPr>
      </w:pPr>
    </w:p>
    <w:p w14:paraId="44F1937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мае 1935 г. в УНИАДИ разработали авиационный вариант БД-2 — БД-2 А с ПЦН от мотора АМ-34РН. Этот дизель проходил стендовые, а с января 1936 г. — летные испытания на биплане Р-5. На 1937 г. УНИАДИ планировали про</w:t>
      </w:r>
      <w:r w:rsidRPr="00E14102">
        <w:rPr>
          <w:color w:val="000000" w:themeColor="text1"/>
          <w:sz w:val="16"/>
          <w:szCs w:val="16"/>
        </w:rPr>
        <w:softHyphen/>
        <w:t>ектирование дизеля АД-3 (11852).</w:t>
      </w:r>
    </w:p>
    <w:p w14:paraId="02B428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47B28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мае 1935 г. под руководством Г.И. Аптекмана начали проектирование БД-2А - авиационного варианта танкового дизеля БД-2 мощностью 400/420 л.с., созданного в 1933 г. в УНИАДИ в Харькове. По сравнению с тан</w:t>
      </w:r>
      <w:r w:rsidRPr="00E14102">
        <w:rPr>
          <w:color w:val="000000" w:themeColor="text1"/>
          <w:sz w:val="16"/>
          <w:szCs w:val="16"/>
        </w:rPr>
        <w:softHyphen/>
        <w:t>ковым вариантом авиационный был облегчен и снабжен нагнетателем от мотора М-34РН. В декабре 1935 г. изготовлены два опытных экземпляра. В июле—декабре 1936 г. БД-2А испытывался на самолете Р-5. Испытания показали, что БД-2А не имеет преимуществ по сравнению с серийным мотором М-34РНБ. Сам БД-2 после доработки превратился в широко известный дизель В-2, устанавливавшийся на танках Т-34 и КВ.</w:t>
      </w:r>
    </w:p>
    <w:p w14:paraId="13DC12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Характеристики:</w:t>
      </w:r>
    </w:p>
    <w:p w14:paraId="7CCB77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12-цилиндровый, У-образный, четырехтактный, водяного охлажде</w:t>
      </w:r>
      <w:r w:rsidRPr="00E14102">
        <w:rPr>
          <w:color w:val="000000" w:themeColor="text1"/>
          <w:sz w:val="16"/>
          <w:szCs w:val="16"/>
        </w:rPr>
        <w:softHyphen/>
        <w:t>ния, с ПЦН;</w:t>
      </w:r>
    </w:p>
    <w:p w14:paraId="24A424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мощность 600 л.с. (11852)</w:t>
      </w:r>
    </w:p>
    <w:p w14:paraId="480E25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1CDF3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мая 1935 г. разрабатывался М-100А с использованием документации, посту</w:t>
      </w:r>
      <w:r w:rsidRPr="00E14102">
        <w:rPr>
          <w:color w:val="000000" w:themeColor="text1"/>
          <w:sz w:val="16"/>
          <w:szCs w:val="16"/>
        </w:rPr>
        <w:softHyphen/>
        <w:t>павшей из Франции. М-100А, усовершенствованный вариант с подпружиненной ведомой шестерней редуктора, стальными седлами клапанов, гиперболически</w:t>
      </w:r>
      <w:r w:rsidRPr="00E14102">
        <w:rPr>
          <w:color w:val="000000" w:themeColor="text1"/>
          <w:sz w:val="16"/>
          <w:szCs w:val="16"/>
        </w:rPr>
        <w:softHyphen/>
        <w:t>ми коренными вкладышами, тюльпанообразными клапанами впуска. Прошел госиспытания в январе 1936 г. Серийно выпускался с 1936 г., степень сжатия 5.8 (у опытного образца --5,87), 770/860 л.с., вес 484 кг. Последние серии выпускались с маслопомпами увеличенной производительности, со шлицевым носком вала редуктора вместо фланцевого (11852).</w:t>
      </w:r>
    </w:p>
    <w:p w14:paraId="34FBE78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EED16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мае 1935 г. выдали задание на мотор под названием БКМ. Предпола</w:t>
      </w:r>
      <w:r w:rsidRPr="00E14102">
        <w:rPr>
          <w:color w:val="000000" w:themeColor="text1"/>
          <w:sz w:val="16"/>
          <w:szCs w:val="16"/>
        </w:rPr>
        <w:softHyphen/>
        <w:t>галось, что он будет иметь гильзовое газораспределение по образцу двига</w:t>
      </w:r>
      <w:r w:rsidRPr="00E14102">
        <w:rPr>
          <w:color w:val="000000" w:themeColor="text1"/>
          <w:sz w:val="16"/>
          <w:szCs w:val="16"/>
        </w:rPr>
        <w:softHyphen/>
        <w:t>телей фирмы «Бристоль». БКМ при рабочем объеме 10 л дол</w:t>
      </w:r>
      <w:r w:rsidRPr="00E14102">
        <w:rPr>
          <w:color w:val="000000" w:themeColor="text1"/>
          <w:sz w:val="16"/>
          <w:szCs w:val="16"/>
        </w:rPr>
        <w:softHyphen/>
        <w:t>жен был иметь мощность 650/700 л.с. и односкоростной ПЦН. Возможно, он должен был являться продуктом переделки М-22 (11852).</w:t>
      </w:r>
    </w:p>
    <w:p w14:paraId="288445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56FD5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на гос. испытания был предъявлен ВИШ-РЦ, во время которых произошла поломка втулки (3419,84).</w:t>
      </w:r>
    </w:p>
    <w:p w14:paraId="5E6DE365" w14:textId="77777777" w:rsidR="00D4105E" w:rsidRPr="00E14102" w:rsidRDefault="00D4105E" w:rsidP="00E14102">
      <w:pPr>
        <w:autoSpaceDE w:val="0"/>
        <w:autoSpaceDN w:val="0"/>
        <w:adjustRightInd w:val="0"/>
        <w:jc w:val="both"/>
        <w:rPr>
          <w:color w:val="000000" w:themeColor="text1"/>
          <w:sz w:val="16"/>
          <w:szCs w:val="16"/>
        </w:rPr>
      </w:pPr>
    </w:p>
    <w:p w14:paraId="38B989D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мае 1935 вышел Приказ НИИ ВС № 0224 О проведении испытаний моторов в естественных высотных условиях.</w:t>
      </w:r>
    </w:p>
    <w:p w14:paraId="40EA938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Во исполнение указания начальника ВВС о проведении испытаний в естественных высотных условиях на Памирском тракте моторов М-34Н, М-85 и М-25 (6813, 33).</w:t>
      </w:r>
    </w:p>
    <w:p w14:paraId="022AEE1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43FC19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мае 1935 вышел Приказ НИИ ВС № 0230 О проведении испытаний маскировочной краски.</w:t>
      </w:r>
    </w:p>
    <w:p w14:paraId="39720CB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Работу провести на Щелковском аэродроме в период времени с 23 мая по 28 мая 1935 года (6813, 36-37).</w:t>
      </w:r>
    </w:p>
    <w:p w14:paraId="675DC30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30FF6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 мая 1933 лл S.55 ГВФ начала эксплуатироваться на линиях Хабаровск-Оха (2446,41).</w:t>
      </w:r>
    </w:p>
    <w:p w14:paraId="667DE714" w14:textId="77777777" w:rsidR="00D4105E" w:rsidRPr="00E14102" w:rsidRDefault="00D4105E" w:rsidP="00E14102">
      <w:pPr>
        <w:autoSpaceDE w:val="0"/>
        <w:autoSpaceDN w:val="0"/>
        <w:adjustRightInd w:val="0"/>
        <w:jc w:val="both"/>
        <w:rPr>
          <w:color w:val="000000" w:themeColor="text1"/>
          <w:sz w:val="16"/>
          <w:szCs w:val="16"/>
        </w:rPr>
      </w:pPr>
    </w:p>
    <w:p w14:paraId="0716DA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г. на артиллерийских заводах № 7 в Ленинграде и № 8 в Подлипках началось производство АПК-4. Заказ на 1935 г. составлял 200 экземпляров (12005).</w:t>
      </w:r>
    </w:p>
    <w:p w14:paraId="12DACA0A" w14:textId="77777777" w:rsidR="00D4105E" w:rsidRPr="00E14102" w:rsidRDefault="00D4105E" w:rsidP="00E14102">
      <w:pPr>
        <w:autoSpaceDE w:val="0"/>
        <w:autoSpaceDN w:val="0"/>
        <w:adjustRightInd w:val="0"/>
        <w:jc w:val="both"/>
        <w:rPr>
          <w:color w:val="000000" w:themeColor="text1"/>
          <w:sz w:val="16"/>
          <w:szCs w:val="16"/>
        </w:rPr>
      </w:pPr>
    </w:p>
    <w:p w14:paraId="6E859DB9" w14:textId="77777777" w:rsidR="00A32794" w:rsidRPr="00E14102" w:rsidRDefault="00A32794" w:rsidP="00E14102">
      <w:pPr>
        <w:pStyle w:val="a7"/>
        <w:rPr>
          <w:color w:val="000000" w:themeColor="text1"/>
          <w:sz w:val="16"/>
          <w:szCs w:val="16"/>
          <w:lang w:val="ru-RU"/>
        </w:rPr>
      </w:pPr>
      <w:r w:rsidRPr="00E14102">
        <w:rPr>
          <w:color w:val="000000" w:themeColor="text1"/>
          <w:sz w:val="16"/>
          <w:szCs w:val="16"/>
          <w:lang w:val="ru-RU"/>
        </w:rPr>
        <w:t>В мае 1935 г. на артиллерийских заводах №7 в Ленинграде и №8 в Подлипках началось валовое производство АПК-4. Заказ на 1935 г. составлял 200 экземпляров (15742).</w:t>
      </w:r>
    </w:p>
    <w:p w14:paraId="1700B5F9" w14:textId="77777777" w:rsidR="00A32794" w:rsidRPr="00E14102" w:rsidRDefault="00A32794" w:rsidP="00E14102">
      <w:pPr>
        <w:pStyle w:val="a7"/>
        <w:rPr>
          <w:color w:val="000000" w:themeColor="text1"/>
          <w:sz w:val="16"/>
          <w:szCs w:val="16"/>
          <w:lang w:val="ru-RU"/>
        </w:rPr>
      </w:pPr>
    </w:p>
    <w:p w14:paraId="1151DD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г. аппаратуру по постановке дымзавесы Лукина повторно представили на испытания Завесу ставили у Переяславльского озера. Недостатки остались примерно теми же. Вывод: “...испытания не выдержал”. Более к нему не возвращались (9964).</w:t>
      </w:r>
    </w:p>
    <w:p w14:paraId="0CA5EC57" w14:textId="77777777" w:rsidR="00D4105E" w:rsidRPr="00E14102" w:rsidRDefault="00D4105E" w:rsidP="00E14102">
      <w:pPr>
        <w:autoSpaceDE w:val="0"/>
        <w:autoSpaceDN w:val="0"/>
        <w:adjustRightInd w:val="0"/>
        <w:jc w:val="both"/>
        <w:rPr>
          <w:color w:val="000000" w:themeColor="text1"/>
          <w:sz w:val="16"/>
          <w:szCs w:val="16"/>
        </w:rPr>
      </w:pPr>
    </w:p>
    <w:p w14:paraId="546877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мае 1935 вышел Приказ НИИ ВС № 0228 О гос. испытаниях химвооружения конструкции ЦАГИ ВАП-500, УХАП-500, ДАП-Д-Х-3, АК-2 и ВАП-К-6 на самолете ТБ-3:</w:t>
      </w:r>
    </w:p>
    <w:p w14:paraId="46CBEE5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Назначить проведение испытаний на Щелковском аэродроме и ЦВХП (Вольск) в период времени с 15 мая по 15 июня 1935 года (6813, 25-26).</w:t>
      </w:r>
    </w:p>
    <w:p w14:paraId="1884811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E59FDC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мае 1935 вышел Приказ НИИ ВС № 0234 О проведении полигонных испытаний объектов бомбардировочного вооружения:</w:t>
      </w:r>
    </w:p>
    <w:p w14:paraId="4D6925F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АО-50 кг, переделанных из 155 мм французских артснарядов – 30 шт.</w:t>
      </w:r>
    </w:p>
    <w:p w14:paraId="55E14AF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АО-50 кг, переделанных из 152 мм артснарядов сталистого чугуна –2 4 шт. (6813, 40-41).</w:t>
      </w:r>
    </w:p>
    <w:p w14:paraId="3F04E8D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3A64C8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В.С.Молоков получил задание провести ледовую разведку малоизученного района Чукотского моря - северо-западнее о Врангеля и в заливе Лонга. Получил Дорнье-Валь СССР Н-2 (99,199).</w:t>
      </w:r>
    </w:p>
    <w:p w14:paraId="476745DE" w14:textId="77777777" w:rsidR="00D4105E" w:rsidRPr="00E14102" w:rsidRDefault="00D4105E" w:rsidP="00E14102">
      <w:pPr>
        <w:autoSpaceDE w:val="0"/>
        <w:autoSpaceDN w:val="0"/>
        <w:adjustRightInd w:val="0"/>
        <w:jc w:val="both"/>
        <w:rPr>
          <w:color w:val="000000" w:themeColor="text1"/>
          <w:sz w:val="16"/>
          <w:szCs w:val="16"/>
        </w:rPr>
      </w:pPr>
    </w:p>
    <w:p w14:paraId="6BFF7CB8" w14:textId="77777777" w:rsidR="003E12CB" w:rsidRPr="00E14102" w:rsidRDefault="003E12CB" w:rsidP="00E14102">
      <w:pPr>
        <w:jc w:val="both"/>
        <w:rPr>
          <w:color w:val="0070C0"/>
          <w:sz w:val="16"/>
          <w:szCs w:val="16"/>
        </w:rPr>
      </w:pPr>
      <w:r w:rsidRPr="00E14102">
        <w:rPr>
          <w:color w:val="0070C0"/>
          <w:sz w:val="16"/>
          <w:szCs w:val="16"/>
        </w:rPr>
        <w:t>В мае 1935 г. в баллонной мастерской «Дирижаблестроя» бригада инженера В.В. Катанского в общественном порядке разработала специаль</w:t>
      </w:r>
      <w:r w:rsidRPr="00E14102">
        <w:rPr>
          <w:color w:val="0070C0"/>
          <w:sz w:val="16"/>
          <w:szCs w:val="16"/>
        </w:rPr>
        <w:softHyphen/>
        <w:t>но для «сферостанций» аэроклубов сферический аэростат объёмом 904 м3, удовлетворяющий тре</w:t>
      </w:r>
      <w:r w:rsidRPr="00E14102">
        <w:rPr>
          <w:color w:val="0070C0"/>
          <w:sz w:val="16"/>
          <w:szCs w:val="16"/>
        </w:rPr>
        <w:softHyphen/>
        <w:t>бованиям ФАИ к аэростатам второй категории56. Проект интересен тем, что Катанский исполь</w:t>
      </w:r>
      <w:r w:rsidRPr="00E14102">
        <w:rPr>
          <w:color w:val="0070C0"/>
          <w:sz w:val="16"/>
          <w:szCs w:val="16"/>
        </w:rPr>
        <w:softHyphen/>
        <w:t>зовал в нём опыт проектирования оболочек для дирижаблей (катенарный пояс, дождевые зонти</w:t>
      </w:r>
      <w:r w:rsidRPr="00E14102">
        <w:rPr>
          <w:color w:val="0070C0"/>
          <w:sz w:val="16"/>
          <w:szCs w:val="16"/>
        </w:rPr>
        <w:softHyphen/>
        <w:t>ки на лапах, запас прочности и т.д.). Проект об</w:t>
      </w:r>
      <w:r w:rsidRPr="00E14102">
        <w:rPr>
          <w:color w:val="0070C0"/>
          <w:sz w:val="16"/>
          <w:szCs w:val="16"/>
        </w:rPr>
        <w:softHyphen/>
        <w:t>суждался на заседаниях Воздухоплавательного комитета Всесоюзного авиационного научно-ин</w:t>
      </w:r>
      <w:r w:rsidRPr="00E14102">
        <w:rPr>
          <w:color w:val="0070C0"/>
          <w:sz w:val="16"/>
          <w:szCs w:val="16"/>
        </w:rPr>
        <w:softHyphen/>
        <w:t>женерного технического общества (Авиавнито) 23 апреля и 11 мая 1935 г. и вызвал жаркие споры. Примечательны аргументы Катанского против мнения Попова об увеличении запаса прочности оболочки аэростата:</w:t>
      </w:r>
    </w:p>
    <w:p w14:paraId="43608053" w14:textId="77777777" w:rsidR="003E12CB" w:rsidRPr="00E14102" w:rsidRDefault="003E12CB" w:rsidP="00E14102">
      <w:pPr>
        <w:jc w:val="both"/>
        <w:rPr>
          <w:color w:val="0070C0"/>
          <w:sz w:val="16"/>
          <w:szCs w:val="16"/>
        </w:rPr>
      </w:pPr>
      <w:r w:rsidRPr="00E14102">
        <w:rPr>
          <w:color w:val="0070C0"/>
          <w:sz w:val="16"/>
          <w:szCs w:val="16"/>
        </w:rPr>
        <w:t>... я позволю себе расшифровать смысл слов По</w:t>
      </w:r>
      <w:r w:rsidRPr="00E14102">
        <w:rPr>
          <w:color w:val="0070C0"/>
          <w:sz w:val="16"/>
          <w:szCs w:val="16"/>
        </w:rPr>
        <w:softHyphen/>
        <w:t>пова таким образом, что в аэроклубах никаких норм правил технической эксплуатации соблюдать не бу</w:t>
      </w:r>
      <w:r w:rsidRPr="00E14102">
        <w:rPr>
          <w:color w:val="0070C0"/>
          <w:sz w:val="16"/>
          <w:szCs w:val="16"/>
        </w:rPr>
        <w:softHyphen/>
        <w:t>дут, что будут ходить по оболочке, хранить оболоч</w:t>
      </w:r>
      <w:r w:rsidRPr="00E14102">
        <w:rPr>
          <w:color w:val="0070C0"/>
          <w:sz w:val="16"/>
          <w:szCs w:val="16"/>
        </w:rPr>
        <w:softHyphen/>
        <w:t>ку в сырых помещениях и т.д., поэтому в аэроклубах надо удлинить срок службы оболочки, то я считаю это неверным не только технически, но и политически потому, что мы из времён гражданской войны выш</w:t>
      </w:r>
      <w:r w:rsidRPr="00E14102">
        <w:rPr>
          <w:color w:val="0070C0"/>
          <w:sz w:val="16"/>
          <w:szCs w:val="16"/>
        </w:rPr>
        <w:softHyphen/>
        <w:t>ли и в аэроклубах мы занимаемся не только развлече</w:t>
      </w:r>
      <w:r w:rsidRPr="00E14102">
        <w:rPr>
          <w:color w:val="0070C0"/>
          <w:sz w:val="16"/>
          <w:szCs w:val="16"/>
        </w:rPr>
        <w:softHyphen/>
        <w:t>нием членов аэроклубов, но и обучением грамотных эксплуатационников, умеющих обязательно грамотно эксплуатировать оболочку аэростатов.</w:t>
      </w:r>
    </w:p>
    <w:p w14:paraId="6827D621" w14:textId="77777777" w:rsidR="003E12CB" w:rsidRPr="00E14102" w:rsidRDefault="003E12CB" w:rsidP="00E14102">
      <w:pPr>
        <w:jc w:val="both"/>
        <w:rPr>
          <w:color w:val="0070C0"/>
          <w:sz w:val="16"/>
          <w:szCs w:val="16"/>
        </w:rPr>
      </w:pPr>
      <w:r w:rsidRPr="00E14102">
        <w:rPr>
          <w:color w:val="0070C0"/>
          <w:sz w:val="16"/>
          <w:szCs w:val="16"/>
        </w:rPr>
        <w:t>Несмотря на споры, аэростат, по-видимому, всё-таки был построен (20120).</w:t>
      </w:r>
    </w:p>
    <w:p w14:paraId="5B4E91FE" w14:textId="77777777" w:rsidR="003E12CB" w:rsidRPr="00E14102" w:rsidRDefault="003E12CB" w:rsidP="00E14102">
      <w:pPr>
        <w:jc w:val="both"/>
        <w:rPr>
          <w:color w:val="0070C0"/>
          <w:sz w:val="16"/>
          <w:szCs w:val="16"/>
        </w:rPr>
      </w:pPr>
    </w:p>
    <w:p w14:paraId="7043AD97" w14:textId="77777777" w:rsidR="003E12CB" w:rsidRPr="00E14102" w:rsidRDefault="003E12CB" w:rsidP="00E14102">
      <w:pPr>
        <w:jc w:val="both"/>
        <w:rPr>
          <w:color w:val="0070C0"/>
          <w:sz w:val="16"/>
          <w:szCs w:val="16"/>
        </w:rPr>
      </w:pPr>
      <w:r w:rsidRPr="00E14102">
        <w:rPr>
          <w:color w:val="0070C0"/>
          <w:sz w:val="16"/>
          <w:szCs w:val="16"/>
        </w:rPr>
        <w:t>В мае 1935 г. на «СССР В-1» испытали при</w:t>
      </w:r>
      <w:r w:rsidRPr="00E14102">
        <w:rPr>
          <w:color w:val="0070C0"/>
          <w:sz w:val="16"/>
          <w:szCs w:val="16"/>
        </w:rPr>
        <w:softHyphen/>
        <w:t>способление для подъёма грузов на борт с земли. Дирижабль трижды поднимал на борт горючее и пищу и после 13 часов полёта вернулся с пер</w:t>
      </w:r>
      <w:r w:rsidRPr="00E14102">
        <w:rPr>
          <w:color w:val="0070C0"/>
          <w:sz w:val="16"/>
          <w:szCs w:val="16"/>
        </w:rPr>
        <w:softHyphen/>
        <w:t>воначальным запасом горючего. Это решение увеличило не только долю полезной нагрузки, но и радиус беспосадочного полёта дирижабля. (В мае 1954 г. и 4 марта 1957 г. в США так уста</w:t>
      </w:r>
      <w:r w:rsidRPr="00E14102">
        <w:rPr>
          <w:color w:val="0070C0"/>
          <w:sz w:val="16"/>
          <w:szCs w:val="16"/>
        </w:rPr>
        <w:softHyphen/>
        <w:t>новили рекорды продолжительности полёта дирижабля.) Пресса писала о подъёме на борт «СССР В-1» не только грузов, но и человека.</w:t>
      </w:r>
    </w:p>
    <w:p w14:paraId="6F675E68" w14:textId="77777777" w:rsidR="003E12CB" w:rsidRPr="00E14102" w:rsidRDefault="003E12CB" w:rsidP="00E14102">
      <w:pPr>
        <w:jc w:val="both"/>
        <w:rPr>
          <w:color w:val="0070C0"/>
          <w:sz w:val="16"/>
          <w:szCs w:val="16"/>
        </w:rPr>
      </w:pPr>
      <w:r w:rsidRPr="00E14102">
        <w:rPr>
          <w:color w:val="0070C0"/>
          <w:sz w:val="16"/>
          <w:szCs w:val="16"/>
        </w:rPr>
        <w:t>В 1936 г. при изготовлении четвёртой по счё</w:t>
      </w:r>
      <w:r w:rsidRPr="00E14102">
        <w:rPr>
          <w:color w:val="0070C0"/>
          <w:sz w:val="16"/>
          <w:szCs w:val="16"/>
        </w:rPr>
        <w:softHyphen/>
        <w:t>ту оболочки объём корабля за счёт цилиндриче</w:t>
      </w:r>
      <w:r w:rsidRPr="00E14102">
        <w:rPr>
          <w:color w:val="0070C0"/>
          <w:sz w:val="16"/>
          <w:szCs w:val="16"/>
        </w:rPr>
        <w:softHyphen/>
        <w:t>ской вставки увеличили до 2800 м3. В конструк</w:t>
      </w:r>
      <w:r w:rsidRPr="00E14102">
        <w:rPr>
          <w:color w:val="0070C0"/>
          <w:sz w:val="16"/>
          <w:szCs w:val="16"/>
        </w:rPr>
        <w:softHyphen/>
        <w:t>цию корабля внесли изменения, улучшившие устойчивость и управляемость, но в то же время уменьшившие его весовую отдачу.</w:t>
      </w:r>
    </w:p>
    <w:p w14:paraId="6B9DB2FD" w14:textId="77777777" w:rsidR="003E12CB" w:rsidRPr="00E14102" w:rsidRDefault="003E12CB" w:rsidP="00E14102">
      <w:pPr>
        <w:jc w:val="both"/>
        <w:rPr>
          <w:color w:val="0070C0"/>
          <w:sz w:val="16"/>
          <w:szCs w:val="16"/>
        </w:rPr>
      </w:pPr>
      <w:r w:rsidRPr="00E14102">
        <w:rPr>
          <w:color w:val="0070C0"/>
          <w:sz w:val="16"/>
          <w:szCs w:val="16"/>
        </w:rPr>
        <w:t>«СССР В-1бис», «СССР В-12». Эти дирижаб</w:t>
      </w:r>
      <w:r w:rsidRPr="00E14102">
        <w:rPr>
          <w:color w:val="0070C0"/>
          <w:sz w:val="16"/>
          <w:szCs w:val="16"/>
        </w:rPr>
        <w:softHyphen/>
        <w:t>ли, построенные в 1939 г., стали последними ко</w:t>
      </w:r>
      <w:r w:rsidRPr="00E14102">
        <w:rPr>
          <w:color w:val="0070C0"/>
          <w:sz w:val="16"/>
          <w:szCs w:val="16"/>
        </w:rPr>
        <w:softHyphen/>
        <w:t>раблями типа «СССР В-1». Оболочка дирижабля имела расчётный объём 2800 м3, длину 47,8 м, наибольший диаметр — 10,8 м. У неё отсутство</w:t>
      </w:r>
      <w:r w:rsidRPr="00E14102">
        <w:rPr>
          <w:color w:val="0070C0"/>
          <w:sz w:val="16"/>
          <w:szCs w:val="16"/>
        </w:rPr>
        <w:softHyphen/>
        <w:t>вала внутренняя подвеска и диафрагмы, разде</w:t>
      </w:r>
      <w:r w:rsidRPr="00E14102">
        <w:rPr>
          <w:color w:val="0070C0"/>
          <w:sz w:val="16"/>
          <w:szCs w:val="16"/>
        </w:rPr>
        <w:softHyphen/>
        <w:t>ляющие газовый объём. При проектировании оболочки впервые в отечественной практике строительства дирижаблей мягкого типа её по</w:t>
      </w:r>
      <w:r w:rsidRPr="00E14102">
        <w:rPr>
          <w:color w:val="0070C0"/>
          <w:sz w:val="16"/>
          <w:szCs w:val="16"/>
        </w:rPr>
        <w:softHyphen/>
        <w:t>лотнища изготовили по длине из разных мате</w:t>
      </w:r>
      <w:r w:rsidRPr="00E14102">
        <w:rPr>
          <w:color w:val="0070C0"/>
          <w:sz w:val="16"/>
          <w:szCs w:val="16"/>
        </w:rPr>
        <w:softHyphen/>
        <w:t>рий, причём концевые полотнища раскраива</w:t>
      </w:r>
      <w:r w:rsidRPr="00E14102">
        <w:rPr>
          <w:color w:val="0070C0"/>
          <w:sz w:val="16"/>
          <w:szCs w:val="16"/>
        </w:rPr>
        <w:softHyphen/>
        <w:t>лись из более лёгкой ткани. Это уменьшило вес без ухудшения эксплуатационных и прочност</w:t>
      </w:r>
      <w:r w:rsidRPr="00E14102">
        <w:rPr>
          <w:color w:val="0070C0"/>
          <w:sz w:val="16"/>
          <w:szCs w:val="16"/>
        </w:rPr>
        <w:softHyphen/>
        <w:t>ных характеристик дирижабля.</w:t>
      </w:r>
    </w:p>
    <w:p w14:paraId="1BE893D1" w14:textId="77777777" w:rsidR="003E12CB" w:rsidRPr="00E14102" w:rsidRDefault="003E12CB" w:rsidP="00E14102">
      <w:pPr>
        <w:jc w:val="both"/>
        <w:rPr>
          <w:color w:val="0070C0"/>
          <w:sz w:val="16"/>
          <w:szCs w:val="16"/>
        </w:rPr>
      </w:pPr>
      <w:r w:rsidRPr="00E14102">
        <w:rPr>
          <w:color w:val="0070C0"/>
          <w:sz w:val="16"/>
          <w:szCs w:val="16"/>
        </w:rPr>
        <w:t>Объём баллонета увеличили до 750 м3, а сам баллонет разделили глухими переборками на три отсека. На хребте оболочки установили два кла</w:t>
      </w:r>
      <w:r w:rsidRPr="00E14102">
        <w:rPr>
          <w:color w:val="0070C0"/>
          <w:sz w:val="16"/>
          <w:szCs w:val="16"/>
        </w:rPr>
        <w:softHyphen/>
        <w:t>пана К-4 автоматического и управляемого типа. Оболочку оборудовали шахтой, по которой шли тросы управления клапанами и осуществлялся выход члена экипажа на её хребет.</w:t>
      </w:r>
    </w:p>
    <w:p w14:paraId="447B6ECD" w14:textId="77777777" w:rsidR="003E12CB" w:rsidRPr="00E14102" w:rsidRDefault="003E12CB" w:rsidP="00E14102">
      <w:pPr>
        <w:jc w:val="both"/>
        <w:rPr>
          <w:color w:val="0070C0"/>
          <w:sz w:val="16"/>
          <w:szCs w:val="16"/>
        </w:rPr>
      </w:pPr>
      <w:r w:rsidRPr="00E14102">
        <w:rPr>
          <w:color w:val="0070C0"/>
          <w:sz w:val="16"/>
          <w:szCs w:val="16"/>
        </w:rPr>
        <w:t>Для удержания дирижабля на биваке впере</w:t>
      </w:r>
      <w:r w:rsidRPr="00E14102">
        <w:rPr>
          <w:color w:val="0070C0"/>
          <w:sz w:val="16"/>
          <w:szCs w:val="16"/>
        </w:rPr>
        <w:softHyphen/>
        <w:t>ди гондолы снизу оболочки крепилась мощная причальная шайба с узлом для крепления ма</w:t>
      </w:r>
      <w:r w:rsidRPr="00E14102">
        <w:rPr>
          <w:color w:val="0070C0"/>
          <w:sz w:val="16"/>
          <w:szCs w:val="16"/>
        </w:rPr>
        <w:softHyphen/>
        <w:t>нёвренных строп. Она позволяла закреплять корабль на особом тросовом пауке, заменявшем низкую причальную мачту.</w:t>
      </w:r>
    </w:p>
    <w:p w14:paraId="4E5678F3" w14:textId="77777777" w:rsidR="003E12CB" w:rsidRPr="00E14102" w:rsidRDefault="003E12CB" w:rsidP="00E14102">
      <w:pPr>
        <w:jc w:val="both"/>
        <w:rPr>
          <w:color w:val="0070C0"/>
          <w:sz w:val="16"/>
          <w:szCs w:val="16"/>
        </w:rPr>
      </w:pPr>
      <w:r w:rsidRPr="00E14102">
        <w:rPr>
          <w:color w:val="0070C0"/>
          <w:sz w:val="16"/>
          <w:szCs w:val="16"/>
        </w:rPr>
        <w:t>Для улучшения закрепления гондолы на обо</w:t>
      </w:r>
      <w:r w:rsidRPr="00E14102">
        <w:rPr>
          <w:color w:val="0070C0"/>
          <w:sz w:val="16"/>
          <w:szCs w:val="16"/>
        </w:rPr>
        <w:softHyphen/>
        <w:t>лочке наклеили «пояса влияния» — полотнища шириной 1200 мм из трёхслойной материи, шедшие от концов гондолы к носу и корме до экваториальных меридианов корпуса. Их при</w:t>
      </w:r>
      <w:r w:rsidRPr="00E14102">
        <w:rPr>
          <w:color w:val="0070C0"/>
          <w:sz w:val="16"/>
          <w:szCs w:val="16"/>
        </w:rPr>
        <w:softHyphen/>
        <w:t>менение улучшило работу корпуса корабля, из</w:t>
      </w:r>
      <w:r w:rsidRPr="00E14102">
        <w:rPr>
          <w:color w:val="0070C0"/>
          <w:sz w:val="16"/>
          <w:szCs w:val="16"/>
        </w:rPr>
        <w:softHyphen/>
        <w:t>бавляя от больших местных натяжений и спо</w:t>
      </w:r>
      <w:r w:rsidRPr="00E14102">
        <w:rPr>
          <w:color w:val="0070C0"/>
          <w:sz w:val="16"/>
          <w:szCs w:val="16"/>
        </w:rPr>
        <w:softHyphen/>
        <w:t>собствуя уменьшению прогиба оси корпуса, но привело к появлению местных вмятин вдоль поясов.</w:t>
      </w:r>
    </w:p>
    <w:p w14:paraId="666AF13E" w14:textId="77777777" w:rsidR="003E12CB" w:rsidRPr="00E14102" w:rsidRDefault="003E12CB" w:rsidP="00E14102">
      <w:pPr>
        <w:jc w:val="both"/>
        <w:rPr>
          <w:color w:val="0070C0"/>
          <w:sz w:val="16"/>
          <w:szCs w:val="16"/>
        </w:rPr>
      </w:pPr>
      <w:r w:rsidRPr="00E14102">
        <w:rPr>
          <w:color w:val="0070C0"/>
          <w:sz w:val="16"/>
          <w:szCs w:val="16"/>
        </w:rPr>
        <w:t>«СССР В-1 бис» с двухлопастными винта</w:t>
      </w:r>
      <w:r w:rsidRPr="00E14102">
        <w:rPr>
          <w:color w:val="0070C0"/>
          <w:sz w:val="16"/>
          <w:szCs w:val="16"/>
        </w:rPr>
        <w:softHyphen/>
        <w:t>ми диаметром 2,15 м развил 62,8 км/ч (при 1400 об/мин), что при 1700 об/мин давало расчёт</w:t>
      </w:r>
      <w:r w:rsidRPr="00E14102">
        <w:rPr>
          <w:color w:val="0070C0"/>
          <w:sz w:val="16"/>
          <w:szCs w:val="16"/>
        </w:rPr>
        <w:softHyphen/>
        <w:t>ную скорость 76,3 км/ч. Запас бензина достигал 320 кг. При полёте на максимальной скорости автономия корабля составляла 9,4 часа и даль</w:t>
      </w:r>
      <w:r w:rsidRPr="00E14102">
        <w:rPr>
          <w:color w:val="0070C0"/>
          <w:sz w:val="16"/>
          <w:szCs w:val="16"/>
        </w:rPr>
        <w:softHyphen/>
        <w:t>ность 766 км. При полёте на крейсерской скоро</w:t>
      </w:r>
      <w:r w:rsidRPr="00E14102">
        <w:rPr>
          <w:color w:val="0070C0"/>
          <w:sz w:val="16"/>
          <w:szCs w:val="16"/>
        </w:rPr>
        <w:softHyphen/>
        <w:t>сти 63-66 км/ч автономия достигала 14 часов при дальности 880 км.</w:t>
      </w:r>
    </w:p>
    <w:p w14:paraId="2FB5D81A" w14:textId="77777777" w:rsidR="003E12CB" w:rsidRPr="00E14102" w:rsidRDefault="003E12CB" w:rsidP="00E14102">
      <w:pPr>
        <w:jc w:val="both"/>
        <w:rPr>
          <w:color w:val="0070C0"/>
          <w:sz w:val="16"/>
          <w:szCs w:val="16"/>
        </w:rPr>
      </w:pPr>
      <w:r w:rsidRPr="00E14102">
        <w:rPr>
          <w:color w:val="0070C0"/>
          <w:sz w:val="16"/>
          <w:szCs w:val="16"/>
        </w:rPr>
        <w:t>Прочность, устойчивость и управляемость ди</w:t>
      </w:r>
      <w:r w:rsidRPr="00E14102">
        <w:rPr>
          <w:color w:val="0070C0"/>
          <w:sz w:val="16"/>
          <w:szCs w:val="16"/>
        </w:rPr>
        <w:softHyphen/>
        <w:t>рижаблей не вызывали никаких нареканий при их эксплуатации в годы Великой Отечественной войны в качестве газовозов (20120).</w:t>
      </w:r>
    </w:p>
    <w:p w14:paraId="6E302B98" w14:textId="77777777" w:rsidR="003E12CB" w:rsidRPr="00E14102" w:rsidRDefault="003E12CB" w:rsidP="00E14102">
      <w:pPr>
        <w:jc w:val="both"/>
        <w:rPr>
          <w:color w:val="0070C0"/>
          <w:sz w:val="16"/>
          <w:szCs w:val="16"/>
        </w:rPr>
      </w:pPr>
    </w:p>
    <w:p w14:paraId="5FF0245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AAE535B" w14:textId="77777777" w:rsidR="00D4105E" w:rsidRPr="00E14102" w:rsidRDefault="00D4105E" w:rsidP="00E14102">
      <w:pPr>
        <w:autoSpaceDE w:val="0"/>
        <w:autoSpaceDN w:val="0"/>
        <w:adjustRightInd w:val="0"/>
        <w:jc w:val="both"/>
        <w:rPr>
          <w:iCs/>
          <w:color w:val="000000" w:themeColor="text1"/>
          <w:sz w:val="16"/>
          <w:szCs w:val="16"/>
        </w:rPr>
      </w:pPr>
    </w:p>
    <w:p w14:paraId="33DACE25" w14:textId="77777777" w:rsidR="003E12CB" w:rsidRPr="00E14102" w:rsidRDefault="003E12CB" w:rsidP="00E14102">
      <w:pPr>
        <w:shd w:val="clear" w:color="auto" w:fill="FFFFFF"/>
        <w:jc w:val="both"/>
        <w:textAlignment w:val="baseline"/>
        <w:rPr>
          <w:color w:val="0070C0"/>
          <w:sz w:val="16"/>
          <w:szCs w:val="16"/>
        </w:rPr>
      </w:pPr>
      <w:r w:rsidRPr="00E14102">
        <w:rPr>
          <w:color w:val="0070C0"/>
          <w:sz w:val="16"/>
          <w:szCs w:val="16"/>
          <w:shd w:val="clear" w:color="auto" w:fill="FFFFFF"/>
        </w:rPr>
        <w:t>В мае 1935 года на заводе Большевик была запущена в крупную серию морская система - 130-мм орудию Б-13 (19857).</w:t>
      </w:r>
    </w:p>
    <w:p w14:paraId="6C232420" w14:textId="77777777" w:rsidR="003E12CB" w:rsidRPr="00E14102" w:rsidRDefault="003E12CB" w:rsidP="00E14102">
      <w:pPr>
        <w:shd w:val="clear" w:color="auto" w:fill="FFFFFF"/>
        <w:jc w:val="both"/>
        <w:textAlignment w:val="baseline"/>
        <w:rPr>
          <w:color w:val="0070C0"/>
          <w:sz w:val="16"/>
          <w:szCs w:val="16"/>
        </w:rPr>
      </w:pPr>
    </w:p>
    <w:p w14:paraId="744C039B" w14:textId="685CAB9B" w:rsidR="003E12CB" w:rsidRPr="00E14102" w:rsidRDefault="003E12CB" w:rsidP="00E14102">
      <w:pPr>
        <w:autoSpaceDE w:val="0"/>
        <w:autoSpaceDN w:val="0"/>
        <w:adjustRightInd w:val="0"/>
        <w:jc w:val="both"/>
        <w:rPr>
          <w:color w:val="0070C0"/>
          <w:sz w:val="16"/>
          <w:szCs w:val="16"/>
        </w:rPr>
      </w:pPr>
      <w:r w:rsidRPr="00E14102">
        <w:rPr>
          <w:color w:val="0070C0"/>
          <w:sz w:val="16"/>
          <w:szCs w:val="16"/>
        </w:rPr>
        <w:t xml:space="preserve">В мае 1935 г. Б. И. Шавырину были направлены ТТТ на разработку жесткой установки для стрельбы и транспортировки 107-мм химического миномета обр. 1934 г. на самоходе. Эта установка предназначалась для сопровождения танковой атаки с целью подавления противотанковых орудий противника, и должна была обеспечивать дальность стрельбы до 2 500 м со скорострельностью 15 выстрелов в минуту. В качестве самохода предполагалось использовать транспортер Т-26 без пулеметных башен. На каждый самоход должен был устанавливаться 107-мм химический миномет обр. 1931/33 гг. или обр. 1934 г. без изменения размеров материальной части. Это задание было проверкой ранее разработанной на НИХПе конструкции, которая успешно прошла испытания в 1934 г. 434 </w:t>
      </w:r>
    </w:p>
    <w:p w14:paraId="233347EC" w14:textId="77777777" w:rsidR="003E12CB" w:rsidRPr="00E14102" w:rsidRDefault="003E12CB" w:rsidP="00E14102">
      <w:pPr>
        <w:jc w:val="both"/>
        <w:rPr>
          <w:color w:val="0070C0"/>
          <w:sz w:val="16"/>
          <w:szCs w:val="16"/>
        </w:rPr>
      </w:pPr>
      <w:r w:rsidRPr="00E14102">
        <w:rPr>
          <w:color w:val="0070C0"/>
          <w:sz w:val="16"/>
          <w:szCs w:val="16"/>
        </w:rPr>
        <w:t xml:space="preserve">В интересах ХИМУ СКБ были разработаны и способы транспортировки материальной части 107-мм химических минометов обр. 1931/33 и обр. 1934 гг. на автомашинах «ГАЗ-АА» и «ЗИС-5/6». ТТТ на оборудование кузова грузовых машин указанных типов для перевозки расчета и материальной части минометных подразделений были направлены НИХИ в СКБ при заводе «Красный Октябрь» в январе 1935 г. В мае 1935 г. две автомашины «ГАЗ-АА» и «ЗИС-5» были направлены в Харьков в распоряжение начальника СКБ. В июле того же года производство приспособлений для «ГАЗ-АА» и «ЗИС-5/6» были закончены, и в НИХИ РККА была направлена программа испытаний с целью выявления удобства приспособлений для перевозки данной материальной части на большие расстояния.435 </w:t>
      </w:r>
    </w:p>
    <w:p w14:paraId="015AF0E5" w14:textId="77777777" w:rsidR="003E12CB" w:rsidRPr="00E14102" w:rsidRDefault="003E12CB" w:rsidP="00E14102">
      <w:pPr>
        <w:jc w:val="both"/>
        <w:rPr>
          <w:rFonts w:eastAsia="TimesNewRomanPSMT"/>
          <w:color w:val="0070C0"/>
          <w:sz w:val="16"/>
          <w:szCs w:val="16"/>
        </w:rPr>
      </w:pPr>
      <w:r w:rsidRPr="00E14102">
        <w:rPr>
          <w:color w:val="0070C0"/>
          <w:sz w:val="16"/>
          <w:szCs w:val="16"/>
        </w:rPr>
        <w:t>Одновременно с разработкой химических минометов, СКБ при заводе «Красный Октябрь» проводилась разработка 82-мм батальонных минометов (помимо конструкторского сопровождения изготовления опытных образцов такого же калибра группы «Д» АНИИ). 4 апреля 1935 г. в ГВМУ НКТП состоялось совещание, на котором было решено дать заводу «Красный Октябрь» заказ на изготовление 50 шт. 82-мм батальонных минометов, причем сначала должны были быть изготовлены 5 шт. конструкции АНИИ и 5 шт. СКБ, а затем, после полигонных испытаний и утверждения чертежей литеры «А», изготовляться партия в количестве 40 шт.436 (20074).</w:t>
      </w:r>
    </w:p>
    <w:p w14:paraId="18D83199" w14:textId="77777777" w:rsidR="003E12CB" w:rsidRPr="00E14102" w:rsidRDefault="003E12CB" w:rsidP="00E14102">
      <w:pPr>
        <w:autoSpaceDE w:val="0"/>
        <w:autoSpaceDN w:val="0"/>
        <w:adjustRightInd w:val="0"/>
        <w:jc w:val="both"/>
        <w:rPr>
          <w:color w:val="0070C0"/>
          <w:sz w:val="16"/>
          <w:szCs w:val="16"/>
        </w:rPr>
      </w:pPr>
    </w:p>
    <w:p w14:paraId="38F37B19" w14:textId="77777777" w:rsidR="003E12CB" w:rsidRPr="00E14102" w:rsidRDefault="003E12CB" w:rsidP="00E14102">
      <w:pPr>
        <w:jc w:val="both"/>
        <w:rPr>
          <w:rFonts w:eastAsia="TimesNewRomanPSMT"/>
          <w:color w:val="0070C0"/>
          <w:sz w:val="16"/>
          <w:szCs w:val="16"/>
        </w:rPr>
      </w:pPr>
      <w:r w:rsidRPr="00E14102">
        <w:rPr>
          <w:color w:val="0070C0"/>
          <w:sz w:val="16"/>
          <w:szCs w:val="16"/>
        </w:rPr>
        <w:t>В мае 1935 г. на Софринском полигоне были проведены испытания стрельбой одного 82-мм батальонного миномета (Ш-2) на прочность системы, устойчивость при выстреле, дальность полета и меткость, которые показали удовлетворительные результаты.437 (20074).</w:t>
      </w:r>
    </w:p>
    <w:p w14:paraId="6FC63C1E" w14:textId="77777777" w:rsidR="003E12CB" w:rsidRPr="00E14102" w:rsidRDefault="003E12CB" w:rsidP="00E14102">
      <w:pPr>
        <w:jc w:val="both"/>
        <w:rPr>
          <w:rFonts w:eastAsia="TimesNewRomanPSMT"/>
          <w:color w:val="0070C0"/>
          <w:sz w:val="16"/>
          <w:szCs w:val="16"/>
        </w:rPr>
      </w:pPr>
    </w:p>
    <w:p w14:paraId="2CC07D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и ноябре 1936 опытный и эталонный образцы огнеметного танка Т-46-1, разработанного в 1933-34 в КБ опытного завода Спецмаштреста им. Кирова (№ 185) под руководством О.М.Иванова (9527,184).</w:t>
      </w:r>
    </w:p>
    <w:p w14:paraId="6F9422D4" w14:textId="77777777" w:rsidR="00D4105E" w:rsidRPr="00E14102" w:rsidRDefault="00D4105E" w:rsidP="00E14102">
      <w:pPr>
        <w:autoSpaceDE w:val="0"/>
        <w:autoSpaceDN w:val="0"/>
        <w:adjustRightInd w:val="0"/>
        <w:jc w:val="both"/>
        <w:rPr>
          <w:color w:val="000000" w:themeColor="text1"/>
          <w:sz w:val="16"/>
          <w:szCs w:val="16"/>
        </w:rPr>
      </w:pPr>
    </w:p>
    <w:p w14:paraId="210904C5" w14:textId="77777777" w:rsidR="00EF5252" w:rsidRPr="00E14102" w:rsidRDefault="00EF5252" w:rsidP="00E14102">
      <w:pPr>
        <w:pStyle w:val="ad"/>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В мае 1935 года вместо ноября 1934 года сдали Т-46. Подобно Т-29, с первой половины 1935 года часть работы по организации нормальной кооперации с заводами-смежниками легла на плечи М.И. Кошкина. Нередко фамилию Михаила Ильича вспоминают в связи с другой машиной — Т-46-5. Это ошибка, так как данный танк </w:t>
      </w:r>
      <w:r w:rsidRPr="00E14102">
        <w:rPr>
          <w:rFonts w:ascii="Times New Roman" w:hAnsi="Times New Roman" w:cs="Times New Roman"/>
          <w:color w:val="000000" w:themeColor="text1"/>
          <w:sz w:val="16"/>
          <w:szCs w:val="16"/>
          <w:lang w:val="ru-RU"/>
        </w:rPr>
        <w:lastRenderedPageBreak/>
        <w:t>стали разрабатывать уже после перевода Кошкина за завод №183. Что же касается опытного образца машины, то к моменту постройки он успел ещё больше видоизмениться. На крыше башни появилась зенитная установка пулемёта ДТ, которую разработали для Т-26 и БТ-5. Ещё один пулемёт установили в кормовой нише башни — таким образом, число ДТ выросло до трёх. Кроме того, машина существенно потяжелела: боевая масса составила около 15 т. Помимо различных доработок, рост массы на 4 т оказался связан с увеличением толщины брони, которую довели до уровня Т-26. От четырёх управляемых колёс отказались, сократив их число до двух (18689).</w:t>
      </w:r>
    </w:p>
    <w:p w14:paraId="7208C6D1" w14:textId="77777777" w:rsidR="00EF5252" w:rsidRPr="00E14102" w:rsidRDefault="00EF5252" w:rsidP="00E14102">
      <w:pPr>
        <w:pStyle w:val="ad"/>
        <w:spacing w:before="0" w:after="0"/>
        <w:textAlignment w:val="baseline"/>
        <w:rPr>
          <w:rFonts w:ascii="Times New Roman" w:hAnsi="Times New Roman" w:cs="Times New Roman"/>
          <w:color w:val="000000" w:themeColor="text1"/>
          <w:sz w:val="16"/>
          <w:szCs w:val="16"/>
          <w:lang w:val="ru-RU"/>
        </w:rPr>
      </w:pPr>
    </w:p>
    <w:p w14:paraId="3A6BB539" w14:textId="77777777" w:rsidR="003E12CB" w:rsidRPr="00E14102" w:rsidRDefault="003E12CB" w:rsidP="00E14102">
      <w:pPr>
        <w:jc w:val="both"/>
        <w:rPr>
          <w:color w:val="0070C0"/>
          <w:sz w:val="16"/>
          <w:szCs w:val="16"/>
        </w:rPr>
      </w:pPr>
      <w:r w:rsidRPr="00E14102">
        <w:rPr>
          <w:color w:val="0070C0"/>
          <w:sz w:val="16"/>
          <w:szCs w:val="16"/>
        </w:rPr>
        <w:t>В мае 1935 г. в НАТИ начались работы по доводке «Коджу». Для серийного производства предстояло пересмотреть всю его конструкцию. Брилинг был техническим руководителем работ, а бригадиром по «Коджу» – инженер Н.К. Гончаров, который на международном дизельном конкурсе выступал как конструктор двигателя «Коджу» (21328).</w:t>
      </w:r>
    </w:p>
    <w:p w14:paraId="51142159" w14:textId="77777777" w:rsidR="003E12CB" w:rsidRPr="00E14102" w:rsidRDefault="003E12CB" w:rsidP="00E14102">
      <w:pPr>
        <w:jc w:val="both"/>
        <w:rPr>
          <w:color w:val="0070C0"/>
          <w:sz w:val="16"/>
          <w:szCs w:val="16"/>
        </w:rPr>
      </w:pPr>
    </w:p>
    <w:p w14:paraId="55C0242E" w14:textId="77777777" w:rsidR="00A32794" w:rsidRPr="00E14102" w:rsidRDefault="00A32794" w:rsidP="00E14102">
      <w:pPr>
        <w:jc w:val="both"/>
        <w:rPr>
          <w:color w:val="000000" w:themeColor="text1"/>
          <w:sz w:val="16"/>
          <w:szCs w:val="16"/>
        </w:rPr>
      </w:pPr>
      <w:r w:rsidRPr="00E14102">
        <w:rPr>
          <w:color w:val="000000" w:themeColor="text1"/>
          <w:sz w:val="16"/>
          <w:szCs w:val="16"/>
        </w:rPr>
        <w:t>В мае 1935 был совершен второй пробег на полугусеничных автомобилях Н</w:t>
      </w:r>
      <w:r w:rsidR="00EF5252" w:rsidRPr="00E14102">
        <w:rPr>
          <w:color w:val="000000" w:themeColor="text1"/>
          <w:sz w:val="16"/>
          <w:szCs w:val="16"/>
        </w:rPr>
        <w:t>А</w:t>
      </w:r>
      <w:r w:rsidRPr="00E14102">
        <w:rPr>
          <w:color w:val="000000" w:themeColor="text1"/>
          <w:sz w:val="16"/>
          <w:szCs w:val="16"/>
        </w:rPr>
        <w:t>ТИ-3, ставший скоростным. В срочном порядке надо было перебросить различный авиагруз от островов «Комсомольской Правды» до мыса Челюскина на расстояние 85,3 км. Среди прочего перевозили и такие громоздкие предметы, как поплавки для самолета Р-5 общим весом 965 кг. В пробег рано утром 15 мая вышли две машины с общим грузом 2091 кг, в том числе топлива и смазочного масла 393 кг. Оба вездехода вечером были на месте назначения, преодолев расстояние за восемь с половиной ходовых часов. После ночевки обе машины двинулись в обратный путь, пройденный за 7 часов 8 минут со средней скоростью 12,1 км/ч. Обратным рейсом они перевезли 1215 кг груза.</w:t>
      </w:r>
    </w:p>
    <w:p w14:paraId="4738D40C" w14:textId="77777777" w:rsidR="00A32794" w:rsidRPr="00E14102" w:rsidRDefault="00A32794" w:rsidP="00E14102">
      <w:pPr>
        <w:jc w:val="both"/>
        <w:rPr>
          <w:color w:val="000000" w:themeColor="text1"/>
          <w:sz w:val="16"/>
          <w:szCs w:val="16"/>
        </w:rPr>
      </w:pPr>
      <w:r w:rsidRPr="00E14102">
        <w:rPr>
          <w:color w:val="000000" w:themeColor="text1"/>
          <w:sz w:val="16"/>
          <w:szCs w:val="16"/>
        </w:rPr>
        <w:t>Всего за год четыре машины проработали 1795 часов, перевезли 2579 тонн самых разнообразных грузов, пройдя 6942 км, выполнив работу в 5052 тонно-километра.</w:t>
      </w:r>
    </w:p>
    <w:p w14:paraId="6A2BBA4E" w14:textId="77777777" w:rsidR="00A32794" w:rsidRPr="00E14102" w:rsidRDefault="00A32794" w:rsidP="00E14102">
      <w:pPr>
        <w:jc w:val="both"/>
        <w:rPr>
          <w:color w:val="000000" w:themeColor="text1"/>
          <w:sz w:val="16"/>
          <w:szCs w:val="16"/>
        </w:rPr>
      </w:pPr>
      <w:r w:rsidRPr="00E14102">
        <w:rPr>
          <w:color w:val="000000" w:themeColor="text1"/>
          <w:sz w:val="16"/>
          <w:szCs w:val="16"/>
        </w:rPr>
        <w:t>Вездеходы участвовали и в агитационных пропагандистско-испытательных пробегах. Одним из самых значительных был пробег «Имени 7-го съезда Советов» протяженностью в три с половиной тысячи километров. В нем отметились три вездехода НАТИ-3. Вездеходы везли полезную нагрузку от 1000 до 1200 кг. В пробеге участвовали также аэросани серийной постройки и вездеход автобазы СНК. Вездеходы соперничать в проходимости с аэросанями не могли и в основном плелись в хвосте колонны, следуя но укатанной аэросанями дороге. Съехавшие с дороги на целину вездеходы нередко застревали, доставляя немало хлопот участникам и руководству пробега. Тем не менее, в прессе отзывы были лишь восторженные.</w:t>
      </w:r>
    </w:p>
    <w:p w14:paraId="2A973C65" w14:textId="77777777" w:rsidR="00A32794" w:rsidRPr="00E14102" w:rsidRDefault="00A32794" w:rsidP="00E14102">
      <w:pPr>
        <w:jc w:val="both"/>
        <w:rPr>
          <w:color w:val="000000" w:themeColor="text1"/>
          <w:sz w:val="16"/>
          <w:szCs w:val="16"/>
        </w:rPr>
      </w:pPr>
      <w:r w:rsidRPr="00E14102">
        <w:rPr>
          <w:color w:val="000000" w:themeColor="text1"/>
          <w:sz w:val="16"/>
          <w:szCs w:val="16"/>
        </w:rPr>
        <w:t>По итогам работы на Севере и пробегов конструкцию приняли к доработке. Главным образом, в направлении повышения мощности двигателя за счет установки перспективного мотора М-1. Поскольку модернизация производилась в рамках выполнения темы «В3», то и вездеход со временем стали называть «В3», а не НАТИ-3.</w:t>
      </w:r>
    </w:p>
    <w:p w14:paraId="06F4C46A" w14:textId="77777777" w:rsidR="00A32794" w:rsidRPr="00E14102" w:rsidRDefault="00A32794" w:rsidP="00E14102">
      <w:pPr>
        <w:jc w:val="both"/>
        <w:rPr>
          <w:color w:val="000000" w:themeColor="text1"/>
          <w:sz w:val="16"/>
          <w:szCs w:val="16"/>
        </w:rPr>
      </w:pPr>
      <w:r w:rsidRPr="00E14102">
        <w:rPr>
          <w:color w:val="000000" w:themeColor="text1"/>
          <w:sz w:val="16"/>
          <w:szCs w:val="16"/>
        </w:rPr>
        <w:t>Для более полного выявления параметров вездеходов ЦС «Автодор» и Главное управление Севморпути разработали «материалы для проведения пробега в зиму 1936/37 г.г. по маршруту Н.Колымск - Якутск - прииск Незаметный - ст. Б.Невер Уссурийской железной дороги общим протяжением 5000 км».</w:t>
      </w:r>
    </w:p>
    <w:p w14:paraId="771FC230" w14:textId="77777777" w:rsidR="00A32794" w:rsidRPr="00E14102" w:rsidRDefault="00A32794" w:rsidP="00E14102">
      <w:pPr>
        <w:jc w:val="both"/>
        <w:rPr>
          <w:color w:val="000000" w:themeColor="text1"/>
          <w:sz w:val="16"/>
          <w:szCs w:val="16"/>
        </w:rPr>
      </w:pPr>
      <w:r w:rsidRPr="00E14102">
        <w:rPr>
          <w:color w:val="000000" w:themeColor="text1"/>
          <w:sz w:val="16"/>
          <w:szCs w:val="16"/>
        </w:rPr>
        <w:t>В связи с ликвидацией «Автодора» сие грандиозное мероприятие почило в бозе (15593).</w:t>
      </w:r>
    </w:p>
    <w:p w14:paraId="1869A7AC" w14:textId="77777777" w:rsidR="00A32794" w:rsidRPr="00E14102" w:rsidRDefault="00A32794" w:rsidP="00E14102">
      <w:pPr>
        <w:jc w:val="both"/>
        <w:rPr>
          <w:color w:val="000000" w:themeColor="text1"/>
          <w:sz w:val="16"/>
          <w:szCs w:val="16"/>
        </w:rPr>
      </w:pPr>
    </w:p>
    <w:p w14:paraId="28522B42" w14:textId="77777777" w:rsidR="00A32794" w:rsidRPr="00E14102" w:rsidRDefault="00A3279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мае-июне 1935 года вопрос об Институте специального назначения был рассмотрен и в Комиссии обороны, и в Политбюро (1 июня). Было принято решение «о назначении Н.И. Смирнова директором Института специального назначения НКТП и об отпуске из резервного фонда СНК СССР НК Обороны 1,5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млн руб.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НКТП 4</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млн руб. для финансирования работ по лучистой энергии». В отличие от «Лучей смерти» Иоффе лучевое оружие, предложенное работником СТО Н.И. Смирновым, должно было не убивать людей (летчиков), а в соответствии с идеями английских предшественников лишь сбивать вражеские самолеты. Излучение сверхвысокой частоты должно было создавать резонансные токи в системе зажигания моторов и тем выводить самолеты из строя. При наземных испытаниях опытной установки действительно удалось заглушить двигатель стоявшего на земле самолета на расстоянии около 20–30 метров. Для развития работ по лучевому оружию в систему НКТП из Академии наук в 1935 году был передан Ленинградский электрофизический институт академика А.А. Чернышева.</w:t>
      </w:r>
    </w:p>
    <w:p w14:paraId="7352382C" w14:textId="77777777" w:rsidR="00A32794" w:rsidRPr="00E14102" w:rsidRDefault="00A3279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Сам А.А. Чернышев так описывал эти события: «Когда строительство, продолжавшееся около трех лет, подходило к концу, были предприняты ряд мероприятий по отношению к Электрофизическому институту, с которыми я никак не мог согласиться, и я в личном письме на имя тов. Орджоникидзе, сообщая о своем мнении, просил или об отмене, или же о предоставлении мне возможности сделать ему личный доклад. Ответа я не получил, и, как показали следующие события, вызвано это было результатами доклада работавшей то в то время Комиссии от СТО в составе трех лиц, из которых одно – начальник отдела автоматики Боровский, инспектор СТО Н.И. Смирнов и третьего лица я сейчас не могу вспомнить.</w:t>
      </w:r>
    </w:p>
    <w:p w14:paraId="3441EED7" w14:textId="77777777" w:rsidR="00A32794" w:rsidRPr="00E14102" w:rsidRDefault="00A3279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Надо сказать, что институт по своему оборудованию, задачам составу был на 65–70</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сильноточный и на 30–35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слаботочный, находился он в ведении НИС Наркомтяжпрома. Насколько мне известно, тов. Серго передал мой протест Зам. Наркома, который ведал в это время всеми вопросами научно-исследовательских учреждений Наркомата, Пятакову.</w:t>
      </w:r>
    </w:p>
    <w:p w14:paraId="60747583" w14:textId="77777777" w:rsidR="00A32794" w:rsidRPr="00E14102" w:rsidRDefault="00A3279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июне и начале июля месяцев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я</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xml:space="preserve">был на конгрессе по линиям высокого напряжения в Париже, и в мое отсутствие был отдан приказ за подписью </w:t>
      </w:r>
      <w:r w:rsidRPr="00E14102">
        <w:rPr>
          <w:rFonts w:ascii="Times New Roman" w:hAnsi="Times New Roman" w:cs="Times New Roman"/>
          <w:color w:val="000000" w:themeColor="text1"/>
          <w:sz w:val="16"/>
          <w:szCs w:val="16"/>
        </w:rPr>
        <w:t xml:space="preserve">Пятакова относительно передачи института в Главэспром – Трест слабого тока. </w:t>
      </w:r>
      <w:r w:rsidRPr="00E14102">
        <w:rPr>
          <w:rFonts w:ascii="Times New Roman" w:hAnsi="Times New Roman" w:cs="Times New Roman"/>
          <w:color w:val="000000" w:themeColor="text1"/>
          <w:sz w:val="16"/>
          <w:szCs w:val="16"/>
          <w:lang w:val="ru-RU"/>
        </w:rPr>
        <w:t>Директором был назначен один из членов Комиссии Н.И. Смирнов…»</w:t>
      </w:r>
    </w:p>
    <w:p w14:paraId="6ECD0066" w14:textId="77777777" w:rsidR="00A32794" w:rsidRPr="00E14102" w:rsidRDefault="00A3279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Научным руководителем института был назначен М.А. Бонч-Бруевич.</w:t>
      </w:r>
    </w:p>
    <w:p w14:paraId="499532C7" w14:textId="77777777" w:rsidR="00A32794" w:rsidRPr="00E14102" w:rsidRDefault="00A3279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Все плоды разработок ЛЭФИ для высоковольтной и сильноточной электротехники были выброшены на свалку, примерно так же, как в свое время поступили с наследием В.П. Вологдина в Нижегородской радиолаборатории.</w:t>
      </w:r>
    </w:p>
    <w:p w14:paraId="7BC9E185" w14:textId="77777777" w:rsidR="00A32794" w:rsidRPr="00E14102" w:rsidRDefault="00A3279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А.А. Чернышеву тоже было предложено остаться на должности заместителя директора по научной работе, но он с такой расправой с его детищем не согласился и ушел. Вместе с ним ушли Д.А. Рожанский, Ю.Б. Кобзарев и еще ряд специалистов.</w:t>
      </w:r>
    </w:p>
    <w:p w14:paraId="0ADD945F" w14:textId="77777777" w:rsidR="00A32794" w:rsidRPr="00E14102" w:rsidRDefault="00A3279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При щедром финансировании и высоких зарплатах НИИ-9 (такое наименование получил институт) занялся разработкой лучевого оружия всерьез. Как вспоминал работавший там Н.Д. Девятков: «Было объявлено, что НИИ-9 будет институтом повышенной секретности, будут запрещены все совместительства, в том числе и преподавание в вузах, а зарплата будет значительно увеличена. </w:t>
      </w:r>
      <w:r w:rsidRPr="00E14102">
        <w:rPr>
          <w:rFonts w:ascii="Times New Roman" w:hAnsi="Times New Roman" w:cs="Times New Roman"/>
          <w:color w:val="000000" w:themeColor="text1"/>
          <w:sz w:val="16"/>
          <w:szCs w:val="16"/>
        </w:rPr>
        <w:t xml:space="preserve">&lt;…&gt; Была объявлена новая структура института. </w:t>
      </w:r>
      <w:r w:rsidRPr="00E14102">
        <w:rPr>
          <w:rFonts w:ascii="Times New Roman" w:hAnsi="Times New Roman" w:cs="Times New Roman"/>
          <w:color w:val="000000" w:themeColor="text1"/>
          <w:sz w:val="16"/>
          <w:szCs w:val="16"/>
          <w:lang w:val="ru-RU"/>
        </w:rPr>
        <w:t>В большинстве начальниками лабораторий стали ученые, переведенные из Москвы, из Всесоюзного энергетического института. Среди них были: профессор Введенский Б.А., кандидат технических наук Слиозберг М.Л., кандидат физико-математических наук Разоренов Г.А., кандидат технических наук Шеин Г.Н., кандидат технических наук Майзельс Е.Н., инженеры Данильцев Е.Н., Никифоров С.М.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др. &lt;…&gt;Для старшего научного персонала была организована отдельная столовая, где к обеду бывал накрыт белой скатертью большой стол, прекрасно сервированный. Директор сумел приобрести дворцовый столовый сервиз».</w:t>
      </w:r>
    </w:p>
    <w:p w14:paraId="7191A719" w14:textId="77777777" w:rsidR="00A32794" w:rsidRPr="00E14102" w:rsidRDefault="00A3279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Все это кончилось плохо. После расстрела Тухачевского директора НИИ-9 Н.И. Смирнова арестовали (потом, правда, выпустили), М.А. Бонч-Бруевич тоже, по крайней мере, попал под следствие, заболел и в 1940 году умер (15736).</w:t>
      </w:r>
    </w:p>
    <w:p w14:paraId="7BC458D3" w14:textId="77777777" w:rsidR="00A32794" w:rsidRPr="00E14102" w:rsidRDefault="00A32794" w:rsidP="00E14102">
      <w:pPr>
        <w:pStyle w:val="ad"/>
        <w:spacing w:before="0" w:after="0"/>
        <w:rPr>
          <w:rFonts w:ascii="Times New Roman" w:hAnsi="Times New Roman" w:cs="Times New Roman"/>
          <w:color w:val="000000" w:themeColor="text1"/>
          <w:sz w:val="16"/>
          <w:szCs w:val="16"/>
          <w:lang w:val="ru-RU"/>
        </w:rPr>
      </w:pPr>
    </w:p>
    <w:p w14:paraId="369082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г. ЦРЛ изготовила первую экспериментальную радиоустановку, и в связи с переводом Ю. К. Коровина в Центральную военно-индустриальную радиолабораторию (ЦВИРЛ) установка была отправлена в г. Горький. Дальность обнаружения легкого самолета на испытаниях составила около 3 км. Были отмечены неустойчивая работа излучающего и приемного устройства, большие микрофонные шумы в схемах магнетронного генератора и приемника и сильное воздействие излучаемой энергии на приемник. Эти недостатки Ю. К. Коровин объяснял невысоким качеством генераторных и приемных ламп, изготовлявшихся кустарным способом, и тем, что проект аппаратуры был разработан с учетом сложения достаточно интенсивного прямого и отраженного сигналов и непосредственного усиления выделяющейся при этом доплеровской частоты. Но интуитивный учет микрофонного эффекта не оправдал предусмотренных конструктивных мер – увеличения массивности и жесткости генераторного и приемного блоков, не снизил микрофонного эффекта и не позволил реализовать потенциальные возможности устройства. Поэтому Ю. К. Коровин вернулся к старой схеме, с которой он вел первые опыты с самолетом.</w:t>
      </w:r>
    </w:p>
    <w:p w14:paraId="60EA447B" w14:textId="77777777" w:rsidR="00D4105E" w:rsidRPr="00E14102" w:rsidRDefault="00D4105E" w:rsidP="00E14102">
      <w:pPr>
        <w:autoSpaceDE w:val="0"/>
        <w:autoSpaceDN w:val="0"/>
        <w:adjustRightInd w:val="0"/>
        <w:jc w:val="both"/>
        <w:rPr>
          <w:color w:val="000000" w:themeColor="text1"/>
          <w:sz w:val="16"/>
          <w:szCs w:val="16"/>
        </w:rPr>
      </w:pPr>
    </w:p>
    <w:p w14:paraId="16520B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г. был основан Завод № 588 НКВ, СНХ, Лианозовский вагоностроительный завод, п/я 31, Лианозовский электромеханический завод (ЛЭМЗ) МРТП, ГП, ФГУП, ОАО «ЛЭМЗ», ОАО «НПО «ЛЭМЗ» /127411  г. Москва Дмитровское ш., 110 тел. 485-15-88, -63/ как вагоностроительный и вагоноремонтный завод. С началом войны завод перешел на ремонт танков и производство корпусов снарядов. С 1945 г. вновь возобновлен выпуск вагонов. В 1945-47 г. на заводе создан первый в СССР цельнометаллический вагон.</w:t>
      </w:r>
    </w:p>
    <w:p w14:paraId="648D78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1951 г. завод был перепрофилирован на выпуск РЛ техники, в 12.1951 г. передан в ведение ГКРЭ и получил наименование «п/я 31». С 1952 г. начато производство РЛС и радиолиний. В 1963 г. переименован в Лианозовский электромеханический завод.</w:t>
      </w:r>
    </w:p>
    <w:p w14:paraId="225910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ПСМ от 4.08.1952 г. при заводе организовано ОКБ.</w:t>
      </w:r>
    </w:p>
    <w:p w14:paraId="4DD432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04.1971 г. по инициативе К.И. Кузнецова на базе ЛЭМЗ как головного предприятия создано ПО «Утес». В составе завода: цехи: гальванический; лаборатории: испытаний, линейно-угловых измерений, входного контроля.</w:t>
      </w:r>
    </w:p>
    <w:p w14:paraId="60A4CC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1998 г. завод стал единственным в России официальным поставщиком </w:t>
      </w:r>
      <w:r w:rsidRPr="00E14102">
        <w:rPr>
          <w:color w:val="000000" w:themeColor="text1"/>
          <w:sz w:val="16"/>
          <w:szCs w:val="16"/>
          <w:lang w:val="en-US"/>
        </w:rPr>
        <w:t>ICAO</w:t>
      </w:r>
      <w:r w:rsidRPr="00E14102">
        <w:rPr>
          <w:color w:val="000000" w:themeColor="text1"/>
          <w:sz w:val="16"/>
          <w:szCs w:val="16"/>
        </w:rPr>
        <w:t xml:space="preserve"> по технике УВД. В 1992 г. предприятие преобразовано в ГП, в 1999 г. получило статус ФГУП. В соответствии с Указом Президента РФ № 412 от 23.04.2002 г. и распоряжением правительства № 851-р от 22.06.2002 г. ФГУП ЛЭМЗ было преобразовано в ОАО и вошло в состав Коцерна «Алмаз-Антей» (2005 г.). По решению правительства № 22-р от 9.01.2004 г. и Указу Президента РФ № 1009 от 4.08.2004 г. вошло в число стратегических оборонных предприятий. В 2006 г. ОАО «ЛЭМЗ» и ОАО «КБ «ЛиРа» объединены в ОАО «НПО «ЛЭМЗ».</w:t>
      </w:r>
    </w:p>
    <w:p w14:paraId="2D4727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Разработка и производство РЛ средств. Производство оборудования для систем управления воздушным движением; модернизация РЛС; автоматизированная система наблюдения воздушной обстановки (2004 г.).</w:t>
      </w:r>
    </w:p>
    <w:p w14:paraId="1DC0F0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Директор (1948-55 г.)- В. Г. Шабров, (1957-62 г.)- Н.А. Федоров, (-1965 г.)- И.Д. Корнеев, (1965-76 г.)- К.И. Кузнецов, (1976-88 г.)- К.В. Агафонов. Гендиректор (-2000-05 г.)- В.П. Клочков, (2005-07 г.-)-  Г.П. Бендерский.</w:t>
      </w:r>
    </w:p>
    <w:p w14:paraId="0DC6AA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директора: по производству (-1971 г.)- Н.В. Дворник, В.А. Свиридов; по экономическим вопросам- В.А. Свиридов; (-1998 г.)-  Г.П. Бендерский. Зам. гендиректора (1991-2007 г.-)- Ю.В. Сурков, (-1993 г.)- В.А. Свиридов, (1994-96 г.)- Н.В. Дворник.</w:t>
      </w:r>
    </w:p>
    <w:p w14:paraId="197846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производства (1991-2007 г.-)- Ю.В. Сурков; коммерческий (-1998 г.)-  Г.П. Бендерский, (2002 г.)- А.И. Пономаренко; технический (2002 г.)- С.А. Чугунов; по маркетингу и ВЭС (2002 г.)- В.И. Тихий.</w:t>
      </w:r>
    </w:p>
    <w:p w14:paraId="363424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(1951 г.-)- А.А. Форштер, (-1978 г.)- В.А. Игнатюк, (1978-89 г.)- Ю.Н. Белов, (-1992 г.)- В.А. Кравчук.</w:t>
      </w:r>
    </w:p>
    <w:p w14:paraId="097140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1-й зам. гл. инженера-  Г.Г1. Бендерский. Зам. гл. инженера (1965-78 г.)- Ю.Н. Белов, В.А. Игнатюк, В.Г1. Клочков.</w:t>
      </w:r>
    </w:p>
    <w:p w14:paraId="58B1DA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конструктор- Л.И. Шульман, В.А. Лопатин, В.А. Кравчук. Гл. технолог- М.О. Токмаджян. Гл. диспетчер- И.Д. Корнеев.</w:t>
      </w:r>
    </w:p>
    <w:p w14:paraId="3A25D1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гл. технолога- М.О. Токмаджян.</w:t>
      </w:r>
    </w:p>
    <w:p w14:paraId="57E818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Управлений: технического контроля (-1993 г.)- В.А. Свиридов.</w:t>
      </w:r>
    </w:p>
    <w:p w14:paraId="7DEEBF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цехов: Н.В. Дворник, В.А. Игнатюк, (1967 г.-)- В.П. Клочков, И.Д. Корнеев, (-1991 г.)- Ю.В. Сурков.</w:t>
      </w:r>
    </w:p>
    <w:p w14:paraId="4B270E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начальника цеха: (-1965 г.)- Ю.Н. Белов,  Г.П. Бендерский, Н.В. Дворник, В.А. Игнатюк, И.Д. Корнеев, (- 1958 г.)- А.В. Мищенко, (-1954 г.)-  Г.Л. Рабинович, Ю.В. Сурков.</w:t>
      </w:r>
    </w:p>
    <w:p w14:paraId="346E04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отделов: производственного- Н.В. Дворник; планово-диспетчерского (-1994 г.)- Н.В. Дворник; ОТК- И.Д. Корнеев, В.А. Свиридов;  Г.П. Бендерский, (1984 г.-)- Н.В. Дворник. Зам. начальника отдела: (-1974 г.)- А.Р. Одновол, (1993 г.-)- В.А. Свиридов.</w:t>
      </w:r>
    </w:p>
    <w:p w14:paraId="7BA0AB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лабораторий: (1960-е)- Ю.Н. Белов, В.А. Кравчук, (1954 г.-)- А.В. Мищенко, А.Р. Одновол.</w:t>
      </w:r>
    </w:p>
    <w:p w14:paraId="5DF318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бюро: КБ- М.О. Токмаджян; технического- В.П. Клочков, М.О. Токмаджян; нормативно- исследовательского- В.А. Свиридов; цехового планово-распределительного- И.Д. Корнеев; (1996 г.-)- Н.В. Дворник.</w:t>
      </w:r>
    </w:p>
    <w:p w14:paraId="520D141F"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 xml:space="preserve">Производство: </w:t>
      </w:r>
      <w:r w:rsidRPr="00E14102">
        <w:rPr>
          <w:iCs/>
          <w:color w:val="000000" w:themeColor="text1"/>
          <w:sz w:val="16"/>
          <w:szCs w:val="16"/>
          <w:lang w:val="en-US"/>
        </w:rPr>
        <w:t>PJIC</w:t>
      </w:r>
      <w:r w:rsidRPr="00E14102">
        <w:rPr>
          <w:iCs/>
          <w:color w:val="000000" w:themeColor="text1"/>
          <w:sz w:val="16"/>
          <w:szCs w:val="16"/>
        </w:rPr>
        <w:t>:</w:t>
      </w:r>
      <w:r w:rsidRPr="00E14102">
        <w:rPr>
          <w:color w:val="000000" w:themeColor="text1"/>
          <w:sz w:val="16"/>
          <w:szCs w:val="16"/>
        </w:rPr>
        <w:t xml:space="preserve"> П-20 «Ромашка» (1952-), П-20М «Ландыш», «Казбек-1», П-30 «Хрусталь», П-ЗОМ «Сатурн», «Сатурн-У», П-35, П-37 «Меч» (1</w:t>
      </w:r>
      <w:r w:rsidRPr="00E14102">
        <w:rPr>
          <w:color w:val="000000" w:themeColor="text1"/>
          <w:sz w:val="16"/>
          <w:szCs w:val="16"/>
          <w:lang w:val="en-US"/>
        </w:rPr>
        <w:t>PJI</w:t>
      </w:r>
      <w:r w:rsidRPr="00E14102">
        <w:rPr>
          <w:color w:val="000000" w:themeColor="text1"/>
          <w:sz w:val="16"/>
          <w:szCs w:val="16"/>
        </w:rPr>
        <w:t>139, «Гора»)- более 2500 (всеми заводами), 5Н66М для С-300, 76Н6Е для С-300ПМУ, 96Л6, мобильная 96Л6Е (2000) для С-300ПМУ, 9С15М, 1Л117 (1992-2002-),., 1Л117М, 1Л118 (1992-), 1Л117М (пнв в 2004 г.), вторичная «Лира-В», «Блесна», «Памир»; РЛ высотомеры: ПРВ-9, -9Б, ПРВ-10 «Гиацинт» (1956), ПРВ-11 «Вершина» (1961), ПРВ-16 (1972-);</w:t>
      </w:r>
      <w:r w:rsidRPr="00E14102">
        <w:rPr>
          <w:iCs/>
          <w:color w:val="000000" w:themeColor="text1"/>
          <w:sz w:val="16"/>
          <w:szCs w:val="16"/>
        </w:rPr>
        <w:t xml:space="preserve"> РЛК:</w:t>
      </w:r>
      <w:r w:rsidRPr="00E14102">
        <w:rPr>
          <w:color w:val="000000" w:themeColor="text1"/>
          <w:sz w:val="16"/>
          <w:szCs w:val="16"/>
        </w:rPr>
        <w:t xml:space="preserve"> самоходный ПВО П-40 «Броня»; трассовые УВД ГА: «Утес-М, -Т» (1970-е), ТРЛК-10 «Скала-М», ТРЛК-11, «Лира-1»; аэродромные АРЖ-11, «Утес-А», «Лира-А10», «Скала», «Скала-МК» для ОК «Буран»; двойного назначения «Лира-Т»; приемная позиция РЛК «Машук»; радиорелейные линии «Белка», «Бор»; аппаратура отображения воздушной обстановки: для КП «Топаз», ВИП-117, ВИП-118 (2000); многорадарный аэродромный комплекс «Топаз-2000», унифицированная система передачи «Топаз-РЛП», система единого времени «Топаз»; система документирования «Авиатор»;</w:t>
      </w:r>
      <w:r w:rsidRPr="00E14102">
        <w:rPr>
          <w:color w:val="000000" w:themeColor="text1"/>
          <w:sz w:val="16"/>
          <w:szCs w:val="16"/>
          <w:vertAlign w:val="superscript"/>
        </w:rPr>
        <w:t>69</w:t>
      </w:r>
      <w:r w:rsidRPr="00E14102">
        <w:rPr>
          <w:color w:val="000000" w:themeColor="text1"/>
          <w:sz w:val="16"/>
          <w:szCs w:val="16"/>
        </w:rPr>
        <w:t xml:space="preserve">' </w:t>
      </w:r>
      <w:r w:rsidRPr="00E14102">
        <w:rPr>
          <w:color w:val="000000" w:themeColor="text1"/>
          <w:sz w:val="16"/>
          <w:szCs w:val="16"/>
          <w:vertAlign w:val="superscript"/>
        </w:rPr>
        <w:t>101</w:t>
      </w:r>
      <w:r w:rsidRPr="00E14102">
        <w:rPr>
          <w:color w:val="000000" w:themeColor="text1"/>
          <w:sz w:val="16"/>
          <w:szCs w:val="16"/>
        </w:rPr>
        <w:t xml:space="preserve"> 5Н88, «Радиолуч»;</w:t>
      </w:r>
      <w:r w:rsidRPr="00E14102">
        <w:rPr>
          <w:color w:val="000000" w:themeColor="text1"/>
          <w:sz w:val="16"/>
          <w:szCs w:val="16"/>
          <w:vertAlign w:val="superscript"/>
        </w:rPr>
        <w:t>130</w:t>
      </w:r>
      <w:r w:rsidRPr="00E14102">
        <w:rPr>
          <w:iCs/>
          <w:color w:val="000000" w:themeColor="text1"/>
          <w:sz w:val="16"/>
          <w:szCs w:val="16"/>
        </w:rPr>
        <w:t xml:space="preserve"> радиоприемники:</w:t>
      </w:r>
      <w:r w:rsidRPr="00E14102">
        <w:rPr>
          <w:color w:val="000000" w:themeColor="text1"/>
          <w:sz w:val="16"/>
          <w:szCs w:val="16"/>
        </w:rPr>
        <w:t xml:space="preserve"> «Аврора», «Маяк», «Маяк-202, -204, ПТ-204», «Трио- 205».</w:t>
      </w:r>
    </w:p>
    <w:p w14:paraId="5AC9DA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Особое КБ (ОКБ) завода № 588, ОКБ ЛЭМЗ, Отдельное КБ (ОКБ) «Лианозовские радары» («ЛиРа») МРП, ГП «КБ «Лианозовские радары», ФГУП, ОАО «КБ «ЛиРа» /121411 г. Москва Дмитровское ш., 110/</w:t>
      </w:r>
    </w:p>
    <w:p w14:paraId="0CD245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ОКБ завода образовано в соответствии с ПСМ от 4.08.1952 г. для модернизации выпускаемой и разработки новой РЛ техники (РЛС дальнего обнаружения). В 1966 г. переименовано в Отдельное КБ «Лианозовские радары» в ведении МРП.</w:t>
      </w:r>
    </w:p>
    <w:p w14:paraId="79C666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Разрабатывались радиовысотомеры, радиорелейные линии. Затем КБ перешло на создание РЛК УВД, а с середины 1970-х  г. - на средства автономного целеуказания (АСЦУ) для ЗРК. В начале 1970-х  г. создан первый в стране трассовый РЖ для УВД ГА «Утес-М».</w:t>
      </w:r>
    </w:p>
    <w:p w14:paraId="4B466A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ПСМ № 177-55 от 13.02.1963 г. РЛС П-40 «Броня-2» пнв.</w:t>
      </w:r>
    </w:p>
    <w:p w14:paraId="67735F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1968-70 г. выполнена ОКР «Меч», в результате создана и освоена в серии РЛС П-37.</w:t>
      </w:r>
    </w:p>
    <w:p w14:paraId="502359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Выполнены НИР: «Параметр» по созданию параметрических усилителей СВЧ; «Оператор-Н» (1996 г.); НИЭР: «Аквамарин», «Сложность». Выполнены ОКР: «Ручей-К» - связная станция для ВМФ; «Калиф», «Поплавок», «Рознь» (1974-76 г.), «Истра» (1976-78 г.), «ВВО» (1986-89 г.), «Сигнал-1» (1997 г.), «Каста-1»:</w:t>
      </w:r>
    </w:p>
    <w:p w14:paraId="773390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1991 г. предприятие преобразовано в ГП «КБ «Лианозовские радары», в 1999 г. - в ФГУП «КБ «ЛиРа», в 2002 г. - в ОАО. По решению правительства № 22-р от 9.01.2004 г. и Указу Президента РФ № 1009 от 4.08.2004 г. вошло в число стратегических оборонных предприятий. В 2006 г. ОАО «КБ «ЛиРа» и ОАО «ЛЭМЗ» объединены в ОАО «НПО «ЛЭМЗ».</w:t>
      </w:r>
    </w:p>
    <w:p w14:paraId="1028F1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составе КБ «Лира» - НТЦ ( г. Нижний Новгород, 2005 г.).</w:t>
      </w:r>
    </w:p>
    <w:p w14:paraId="0DCC36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(1950-е)- А.А. Форштер, (1955-78 г.)- И.Л. Эристов, (1978 г.-)- В.А. Игаатюк. Директор (1992-98 г.)- В.А. Кравчук. Гендиректор (1998-2005 г.)-  Г.П. Бендерский.</w:t>
      </w:r>
    </w:p>
    <w:p w14:paraId="6E410B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Зам. гендиректора (2002-07 г.-)- </w:t>
      </w:r>
      <w:r w:rsidRPr="00E14102">
        <w:rPr>
          <w:color w:val="000000" w:themeColor="text1"/>
          <w:sz w:val="16"/>
          <w:szCs w:val="16"/>
          <w:lang w:val="en-US"/>
        </w:rPr>
        <w:t>B</w:t>
      </w:r>
      <w:r w:rsidRPr="00E14102">
        <w:rPr>
          <w:color w:val="000000" w:themeColor="text1"/>
          <w:sz w:val="16"/>
          <w:szCs w:val="16"/>
        </w:rPr>
        <w:t>.</w:t>
      </w:r>
      <w:r w:rsidRPr="00E14102">
        <w:rPr>
          <w:color w:val="000000" w:themeColor="text1"/>
          <w:sz w:val="16"/>
          <w:szCs w:val="16"/>
          <w:lang w:val="en-US"/>
        </w:rPr>
        <w:t>C</w:t>
      </w:r>
      <w:r w:rsidRPr="00E14102">
        <w:rPr>
          <w:color w:val="000000" w:themeColor="text1"/>
          <w:sz w:val="16"/>
          <w:szCs w:val="16"/>
        </w:rPr>
        <w:t>. Ефремов.</w:t>
      </w:r>
    </w:p>
    <w:p w14:paraId="506F65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(1954 г.-)- И.Л. Эристов, Н.К. Беспалов, В.А. Лопатин, В.Ю. Шишов, (1998-2007 г.-&gt;</w:t>
      </w:r>
      <w:r w:rsidRPr="00E14102">
        <w:rPr>
          <w:color w:val="000000" w:themeColor="text1"/>
          <w:sz w:val="16"/>
          <w:szCs w:val="16"/>
          <w:lang w:val="en-US"/>
        </w:rPr>
        <w:t>B</w:t>
      </w:r>
      <w:r w:rsidRPr="00E14102">
        <w:rPr>
          <w:color w:val="000000" w:themeColor="text1"/>
          <w:sz w:val="16"/>
          <w:szCs w:val="16"/>
        </w:rPr>
        <w:t>.</w:t>
      </w:r>
      <w:r w:rsidRPr="00E14102">
        <w:rPr>
          <w:color w:val="000000" w:themeColor="text1"/>
          <w:sz w:val="16"/>
          <w:szCs w:val="16"/>
          <w:lang w:val="en-US"/>
        </w:rPr>
        <w:t>C</w:t>
      </w:r>
      <w:r w:rsidRPr="00E14102">
        <w:rPr>
          <w:color w:val="000000" w:themeColor="text1"/>
          <w:sz w:val="16"/>
          <w:szCs w:val="16"/>
        </w:rPr>
        <w:t>. Ефремов.</w:t>
      </w:r>
    </w:p>
    <w:p w14:paraId="5C904D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гл. инженера (1989 г.-)- Ю.Н. Белов, (2007 г.)- В.Ю. Шишов.</w:t>
      </w:r>
    </w:p>
    <w:p w14:paraId="27062B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конструкторы: (-1958-97 г.-)- В.А. Лопатин («Эфир», КДП-4, 1Л117, 1Л117М), (1960-2007 г.-)- А.Р. Одновол (П-37, «Калиф», «Поплавок», «Рознь», «Истра», «ВВО», ТРЛК-12, «Утес-Т, -А», «Лира-А10, -А10Т»), (1970 г.)- В.А. Кравчук (ПРВ-16), (-1997-2002 г.-&gt; В.Ю. Шишов («Сигнал-1», «Каста-1», 1Л117М, ВИП-117), Л.И. Шульман («Казбек-1», ПРВ-9, -9Б, 5Н66, 5Н66М), З.С. Элентух («Казбек-2»),  Г.Л. Рабинович, В.А. Игнатюк (1Л117, 1Л118), А.А. Колик («Лира-Т», АСЦУ 96Л6).</w:t>
      </w:r>
    </w:p>
    <w:p w14:paraId="32B199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гл. конструктора: А.А. Колик («Фаворит»), З.С. Элентух («Ручей-К», «Утес», «Утес-М, -Т», Скала», «Скала-М»),</w:t>
      </w:r>
    </w:p>
    <w:p w14:paraId="626947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отделов: Н.К. Беспалов, В.А. Лопатин, А.Р. Одновол, (1954 г.-)-  Г.Л. Рабинович, Л.И. Шульман.</w:t>
      </w:r>
    </w:p>
    <w:p w14:paraId="7BE7B4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начальника отдела: А.А. Колик.</w:t>
      </w:r>
    </w:p>
    <w:p w14:paraId="030AB1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лабораторий: (1974 г.-)- А.Р. Одновол, (1952 г.-)- Л.И. Шульман.</w:t>
      </w:r>
    </w:p>
    <w:p w14:paraId="4C3825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секторов: А.А. Колик, А.Р. Одновол, В.Ю. Шишов, (2000-е)- З.С. Элентух.</w:t>
      </w:r>
    </w:p>
    <w:p w14:paraId="2103AC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бюро: охраны труда и техники безопасности (-1981 г.)- Н.К. Беспалов.</w:t>
      </w:r>
    </w:p>
    <w:p w14:paraId="24FE2E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Научные руководители НИР: (1996 г.)- В.Ю. Шишов («Оператор-Н»), З.С. Элентух («Параметр»),</w:t>
      </w:r>
    </w:p>
    <w:p w14:paraId="465C08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руководителя НИЭР: А.А. Колик («Аквамарин», «Сложность»),</w:t>
      </w:r>
    </w:p>
    <w:p w14:paraId="53CA8939"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Создано:</w:t>
      </w:r>
      <w:r w:rsidRPr="00E14102">
        <w:rPr>
          <w:color w:val="000000" w:themeColor="text1"/>
          <w:sz w:val="16"/>
          <w:szCs w:val="16"/>
        </w:rPr>
        <w:t xml:space="preserve"> радиовысотомеры: ПРВ-9 «Наклон» (1960-е), ПРВ-9Б «Броня» для ЗРК «Круг»; радиорелейные линии «Белка», «Бор»;</w:t>
      </w:r>
      <w:r w:rsidRPr="00E14102">
        <w:rPr>
          <w:iCs/>
          <w:color w:val="000000" w:themeColor="text1"/>
          <w:sz w:val="16"/>
          <w:szCs w:val="16"/>
        </w:rPr>
        <w:t xml:space="preserve"> РЛК:</w:t>
      </w:r>
      <w:r w:rsidRPr="00E14102">
        <w:rPr>
          <w:color w:val="000000" w:themeColor="text1"/>
          <w:sz w:val="16"/>
          <w:szCs w:val="16"/>
        </w:rPr>
        <w:t xml:space="preserve"> самоходный ПВО П-40 «Броня-2» (пнв 13.02.1963 г.); для УВД ГА: «Утес-М» (1970- е), «Скала», УВД для ОК «Буран» «Скала-МК», аэродромные «Утес-А» (2000), «Лира-А10» (1998-2005), «Лира- А10Т» (2006-08); трассовые ТРЖ-12 (1991-93), «Утес-Т» (1997-99); вторичный «Утес-В», двойного назначения «Лира-Т»; прибор регулировки телеграфных каналов ПРК;</w:t>
      </w:r>
      <w:r w:rsidRPr="00E14102">
        <w:rPr>
          <w:iCs/>
          <w:color w:val="000000" w:themeColor="text1"/>
          <w:sz w:val="16"/>
          <w:szCs w:val="16"/>
        </w:rPr>
        <w:t xml:space="preserve"> РЛС:</w:t>
      </w:r>
      <w:r w:rsidRPr="00E14102">
        <w:rPr>
          <w:color w:val="000000" w:themeColor="text1"/>
          <w:sz w:val="16"/>
          <w:szCs w:val="16"/>
        </w:rPr>
        <w:t xml:space="preserve"> «Эфир» (1958), «Казбек-1, -2», КДП-4 (1968), П- 37 «Меч» (1РЛ139, 1970), низковысотные обнаружители: 5Н66 (1970-е), 5Н66М для С-300, 76Н6Е для С-300ПМУ (совместно с ЛЭМЗ), 96Л6 для С-300ПМУ1 и С-400; унифицированные двойного назначения: трехкоординатная для МО 1Л117 (1992), 1Л117М (1997), двухкоординатная для ГА 1Л118 (1992); выносной индикаторный пост ВИП-117 (1998);</w:t>
      </w:r>
      <w:r w:rsidRPr="00E14102">
        <w:rPr>
          <w:color w:val="000000" w:themeColor="text1"/>
          <w:sz w:val="16"/>
          <w:szCs w:val="16"/>
          <w:vertAlign w:val="superscript"/>
        </w:rPr>
        <w:t>130</w:t>
      </w:r>
      <w:r w:rsidRPr="00E14102">
        <w:rPr>
          <w:color w:val="000000" w:themeColor="text1"/>
          <w:sz w:val="16"/>
          <w:szCs w:val="16"/>
        </w:rPr>
        <w:t xml:space="preserve"> Р-401, 1РЛ139, «Фаворит»; ПЭВМ «Микроша».</w:t>
      </w:r>
    </w:p>
    <w:p w14:paraId="1BFF2700" w14:textId="77777777" w:rsidR="00D4105E" w:rsidRPr="00E14102" w:rsidRDefault="00D4105E" w:rsidP="00E14102">
      <w:pPr>
        <w:jc w:val="both"/>
        <w:rPr>
          <w:color w:val="000000" w:themeColor="text1"/>
          <w:sz w:val="16"/>
          <w:szCs w:val="16"/>
        </w:rPr>
      </w:pPr>
      <w:r w:rsidRPr="00E14102">
        <w:rPr>
          <w:color w:val="000000" w:themeColor="text1"/>
          <w:sz w:val="16"/>
          <w:szCs w:val="16"/>
        </w:rPr>
        <w:t>ПО, ПТО «Утес»</w:t>
      </w:r>
    </w:p>
    <w:p w14:paraId="2687F5EE" w14:textId="77777777" w:rsidR="00D4105E" w:rsidRPr="00E14102" w:rsidRDefault="00D4105E" w:rsidP="00E14102">
      <w:pPr>
        <w:jc w:val="both"/>
        <w:rPr>
          <w:color w:val="000000" w:themeColor="text1"/>
          <w:sz w:val="16"/>
          <w:szCs w:val="16"/>
        </w:rPr>
      </w:pPr>
      <w:r w:rsidRPr="00E14102">
        <w:rPr>
          <w:color w:val="000000" w:themeColor="text1"/>
          <w:sz w:val="16"/>
          <w:szCs w:val="16"/>
        </w:rPr>
        <w:t>ПО «Утес» создано в 04.1971 г. по инициативе К.И. Кузнецова на базе ЛЭМЗ как головного предприятия. В его состав вошло также ОКБ ЛЭМЗ, Ковылкинский электромеханический завод. С 1975 г. в состав ПТО входил завод «Радуга». В составе ПТО были построены также электромеханические заводы: Мир-Баширский по производству антенных отражателей, печатных плат, узлов РЭА; в  г. Красный Холм Тверской обл. на базе производственных мастерских.</w:t>
      </w:r>
    </w:p>
    <w:p w14:paraId="48F27783" w14:textId="77777777" w:rsidR="00D4105E" w:rsidRPr="00E14102" w:rsidRDefault="00D4105E" w:rsidP="00E14102">
      <w:pPr>
        <w:jc w:val="both"/>
        <w:rPr>
          <w:color w:val="000000" w:themeColor="text1"/>
          <w:sz w:val="16"/>
          <w:szCs w:val="16"/>
        </w:rPr>
      </w:pPr>
      <w:r w:rsidRPr="00E14102">
        <w:rPr>
          <w:color w:val="000000" w:themeColor="text1"/>
          <w:sz w:val="16"/>
          <w:szCs w:val="16"/>
        </w:rPr>
        <w:t>Гендиректор (1976-88 г.)- К.В. Агафонов.</w:t>
      </w:r>
    </w:p>
    <w:p w14:paraId="18DFC471" w14:textId="77777777" w:rsidR="00D4105E" w:rsidRPr="00E14102" w:rsidRDefault="00D4105E" w:rsidP="00E14102">
      <w:pPr>
        <w:jc w:val="both"/>
        <w:rPr>
          <w:color w:val="000000" w:themeColor="text1"/>
          <w:sz w:val="16"/>
          <w:szCs w:val="16"/>
        </w:rPr>
      </w:pPr>
      <w:r w:rsidRPr="00E14102">
        <w:rPr>
          <w:color w:val="000000" w:themeColor="text1"/>
          <w:sz w:val="16"/>
          <w:szCs w:val="16"/>
        </w:rPr>
        <w:t>Зам. гендиректора: по производству (1971 г.-)- Н.В. Дворник, В.П. Клочков; по научной работе (1978 г.-)- В.А. Игнатюк.</w:t>
      </w:r>
    </w:p>
    <w:p w14:paraId="5B7FF373" w14:textId="77777777" w:rsidR="00D4105E" w:rsidRPr="00E14102" w:rsidRDefault="00D4105E" w:rsidP="00E14102">
      <w:pPr>
        <w:jc w:val="both"/>
        <w:rPr>
          <w:color w:val="000000" w:themeColor="text1"/>
          <w:sz w:val="16"/>
          <w:szCs w:val="16"/>
        </w:rPr>
      </w:pPr>
      <w:r w:rsidRPr="00E14102">
        <w:rPr>
          <w:color w:val="000000" w:themeColor="text1"/>
          <w:sz w:val="16"/>
          <w:szCs w:val="16"/>
        </w:rPr>
        <w:t>Гл. инженер (1978-89 г.)- Ю.Н. Белов.</w:t>
      </w:r>
    </w:p>
    <w:p w14:paraId="56AB58CB" w14:textId="77777777" w:rsidR="00D4105E" w:rsidRPr="00E14102" w:rsidRDefault="00D4105E" w:rsidP="00E14102">
      <w:pPr>
        <w:jc w:val="both"/>
        <w:rPr>
          <w:color w:val="000000" w:themeColor="text1"/>
          <w:sz w:val="16"/>
          <w:szCs w:val="16"/>
        </w:rPr>
      </w:pPr>
      <w:r w:rsidRPr="00E14102">
        <w:rPr>
          <w:color w:val="000000" w:themeColor="text1"/>
          <w:sz w:val="16"/>
          <w:szCs w:val="16"/>
        </w:rPr>
        <w:t>Зам. гл. инженера- В.А. Кравчук.ьо</w:t>
      </w:r>
    </w:p>
    <w:p w14:paraId="067A51AB" w14:textId="77777777" w:rsidR="00D4105E" w:rsidRPr="00E14102" w:rsidRDefault="00D4105E" w:rsidP="00E14102">
      <w:pPr>
        <w:jc w:val="both"/>
        <w:rPr>
          <w:color w:val="000000" w:themeColor="text1"/>
          <w:sz w:val="16"/>
          <w:szCs w:val="16"/>
        </w:rPr>
      </w:pPr>
      <w:r w:rsidRPr="00E14102">
        <w:rPr>
          <w:color w:val="000000" w:themeColor="text1"/>
          <w:sz w:val="16"/>
          <w:szCs w:val="16"/>
        </w:rPr>
        <w:t>Завод «Радуга» /Северная Осетия 362013  г. Орджоникидзе,  г. Владикавказ ул. Тельмана, 43/</w:t>
      </w:r>
    </w:p>
    <w:p w14:paraId="1D9BD282" w14:textId="77777777" w:rsidR="00D4105E" w:rsidRPr="00E14102" w:rsidRDefault="00D4105E" w:rsidP="00E14102">
      <w:pPr>
        <w:jc w:val="both"/>
        <w:rPr>
          <w:color w:val="000000" w:themeColor="text1"/>
          <w:sz w:val="16"/>
          <w:szCs w:val="16"/>
        </w:rPr>
      </w:pPr>
      <w:r w:rsidRPr="00E14102">
        <w:rPr>
          <w:color w:val="000000" w:themeColor="text1"/>
          <w:sz w:val="16"/>
          <w:szCs w:val="16"/>
        </w:rPr>
        <w:t>Завод основан в 1975 г. в составе ПТО «Утес» для производства редукторов и механических блоков для РЛС.</w:t>
      </w:r>
    </w:p>
    <w:p w14:paraId="7DE78057" w14:textId="77777777" w:rsidR="00D4105E" w:rsidRPr="00E14102" w:rsidRDefault="00D4105E" w:rsidP="00E14102">
      <w:pPr>
        <w:jc w:val="both"/>
        <w:rPr>
          <w:color w:val="000000" w:themeColor="text1"/>
          <w:sz w:val="16"/>
          <w:szCs w:val="16"/>
        </w:rPr>
      </w:pPr>
      <w:r w:rsidRPr="00E14102">
        <w:rPr>
          <w:color w:val="000000" w:themeColor="text1"/>
          <w:sz w:val="16"/>
          <w:szCs w:val="16"/>
        </w:rPr>
        <w:t>Производство: радиоприемники «Эра-204», «Трио ПТ-207».</w:t>
      </w:r>
    </w:p>
    <w:p w14:paraId="353395DF" w14:textId="77777777" w:rsidR="00D4105E" w:rsidRPr="00E14102" w:rsidRDefault="00D4105E" w:rsidP="00E14102">
      <w:pPr>
        <w:jc w:val="both"/>
        <w:rPr>
          <w:color w:val="000000" w:themeColor="text1"/>
          <w:sz w:val="16"/>
          <w:szCs w:val="16"/>
        </w:rPr>
      </w:pPr>
      <w:r w:rsidRPr="00E14102">
        <w:rPr>
          <w:color w:val="000000" w:themeColor="text1"/>
          <w:sz w:val="16"/>
          <w:szCs w:val="16"/>
        </w:rPr>
        <w:t>Ковылкинский электромеханический завод (КЭМЗ), ОАО «КЭМЗ» /Мордовия  г. Ковылкино/</w:t>
      </w:r>
    </w:p>
    <w:p w14:paraId="1709670D" w14:textId="77777777" w:rsidR="00D4105E" w:rsidRPr="00E14102" w:rsidRDefault="00D4105E" w:rsidP="00E14102">
      <w:pPr>
        <w:jc w:val="both"/>
        <w:rPr>
          <w:color w:val="000000" w:themeColor="text1"/>
          <w:sz w:val="16"/>
          <w:szCs w:val="16"/>
        </w:rPr>
      </w:pPr>
      <w:r w:rsidRPr="00E14102">
        <w:rPr>
          <w:color w:val="000000" w:themeColor="text1"/>
          <w:sz w:val="16"/>
          <w:szCs w:val="16"/>
        </w:rPr>
        <w:t>Завод входил в состав ПО «Утес».</w:t>
      </w:r>
    </w:p>
    <w:p w14:paraId="5EC32BCC" w14:textId="77777777" w:rsidR="00D4105E" w:rsidRPr="00E14102" w:rsidRDefault="00D4105E" w:rsidP="00E14102">
      <w:pPr>
        <w:jc w:val="both"/>
        <w:rPr>
          <w:color w:val="000000" w:themeColor="text1"/>
          <w:sz w:val="16"/>
          <w:szCs w:val="16"/>
        </w:rPr>
      </w:pPr>
      <w:r w:rsidRPr="00E14102">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0074154B" w14:textId="77777777" w:rsidR="00D4105E" w:rsidRPr="00E14102" w:rsidRDefault="00D4105E" w:rsidP="00E14102">
      <w:pPr>
        <w:jc w:val="both"/>
        <w:rPr>
          <w:color w:val="000000" w:themeColor="text1"/>
          <w:sz w:val="16"/>
          <w:szCs w:val="16"/>
        </w:rPr>
      </w:pPr>
      <w:r w:rsidRPr="00E14102">
        <w:rPr>
          <w:color w:val="000000" w:themeColor="text1"/>
          <w:sz w:val="16"/>
          <w:szCs w:val="16"/>
        </w:rPr>
        <w:t>НТЦ КБ «Лира» /г. Нижний Новгород/</w:t>
      </w:r>
    </w:p>
    <w:p w14:paraId="00618C1B" w14:textId="77777777" w:rsidR="00D4105E" w:rsidRPr="00E14102" w:rsidRDefault="00D4105E" w:rsidP="00E14102">
      <w:pPr>
        <w:jc w:val="both"/>
        <w:rPr>
          <w:color w:val="000000" w:themeColor="text1"/>
          <w:sz w:val="16"/>
          <w:szCs w:val="16"/>
        </w:rPr>
      </w:pPr>
      <w:r w:rsidRPr="00E14102">
        <w:rPr>
          <w:color w:val="000000" w:themeColor="text1"/>
          <w:sz w:val="16"/>
          <w:szCs w:val="16"/>
        </w:rPr>
        <w:t>Зам. начальника (2005 г.-)- А.А. Зачепицкий (11982).</w:t>
      </w:r>
    </w:p>
    <w:p w14:paraId="3948A195" w14:textId="77777777" w:rsidR="00B077D6" w:rsidRPr="00E14102" w:rsidRDefault="00B077D6" w:rsidP="00E14102">
      <w:pPr>
        <w:jc w:val="both"/>
        <w:rPr>
          <w:color w:val="000000" w:themeColor="text1"/>
          <w:sz w:val="16"/>
          <w:szCs w:val="16"/>
        </w:rPr>
      </w:pPr>
    </w:p>
    <w:p w14:paraId="326B91D4" w14:textId="77777777" w:rsidR="00B077D6" w:rsidRPr="00E14102" w:rsidRDefault="00B077D6" w:rsidP="00E14102">
      <w:pPr>
        <w:jc w:val="both"/>
        <w:rPr>
          <w:color w:val="000000" w:themeColor="text1"/>
          <w:sz w:val="16"/>
          <w:szCs w:val="16"/>
        </w:rPr>
      </w:pPr>
      <w:r w:rsidRPr="00E14102">
        <w:rPr>
          <w:color w:val="000000" w:themeColor="text1"/>
          <w:sz w:val="16"/>
          <w:szCs w:val="16"/>
        </w:rPr>
        <w:t>В мае 1935 г. Курчевским и К° было предложено вооружить проектируемую подводную лодку типа «К» XIV серии (водоизмещением 1487/2102 т) спаренной 305-мм ДРП. На начальство проект «подводного линкора» должен был произвести грандиозное впечатление!</w:t>
      </w:r>
    </w:p>
    <w:p w14:paraId="63C64509" w14:textId="77777777" w:rsidR="00B077D6" w:rsidRPr="00E14102" w:rsidRDefault="00B077D6" w:rsidP="00E14102">
      <w:pPr>
        <w:jc w:val="both"/>
        <w:rPr>
          <w:color w:val="000000" w:themeColor="text1"/>
          <w:sz w:val="16"/>
          <w:szCs w:val="16"/>
        </w:rPr>
      </w:pPr>
      <w:r w:rsidRPr="00E14102">
        <w:rPr>
          <w:color w:val="000000" w:themeColor="text1"/>
          <w:sz w:val="16"/>
          <w:szCs w:val="16"/>
        </w:rPr>
        <w:lastRenderedPageBreak/>
        <w:t>Для улучшения углов обстрела орудие размещалось на вращающейся площадке с эксцентриситетом между осями ее и орудия в один метр. Это давало углы обстрела на борт 45°—135° (без площадки 65°—115°). Угол возвышения орудия составлял 250°. Боекомплект должен был составлять 100—150 снарядов. Система подачи боекомплекта разрабатывалась в двух вариантах — вертикальной и наклонной.</w:t>
      </w:r>
    </w:p>
    <w:p w14:paraId="48534E00" w14:textId="77777777" w:rsidR="00B077D6" w:rsidRPr="00E14102" w:rsidRDefault="00B077D6" w:rsidP="00E14102">
      <w:pPr>
        <w:jc w:val="both"/>
        <w:rPr>
          <w:color w:val="000000" w:themeColor="text1"/>
          <w:sz w:val="16"/>
          <w:szCs w:val="16"/>
        </w:rPr>
      </w:pPr>
      <w:r w:rsidRPr="00E14102">
        <w:rPr>
          <w:color w:val="000000" w:themeColor="text1"/>
          <w:sz w:val="16"/>
          <w:szCs w:val="16"/>
        </w:rPr>
        <w:t>Отзыв Особого конструкторского морского бюро, возглавляемого Курчевским, был отрицательным. Проект в целом расценивался как набросок идеи, необходимость подробной проработки которой отсутствует. Сильные сомнения инженера Гизи вызвала вращающаяся площадка, заклинивание которой в крайнем положении могло привести к потере лодкой остойчивости при погружении. Кроме того, для обеспечения безопасного действия сопловых газов на конструкции и легкий корпус субмарины требовалось увеличить высоту оси цапф установки с 2,8 м от прочного корпуса до 4 м, что устраняло необходимость в площадке. При расчете размещения боезапаса получалось только 135 выстрелов, а с учетом размещения прислуги элеваторов — 40—50 выстрелов. С весами все также было не гладко: досылатели и элеваторная рубка получались весом 8,8 т; 50 выстрелов — 23,5 т. Кроме того, не учитывался вес легкого кожуха, которым следовало прикрыть установку для снижения сопротивления при движении под водой.</w:t>
      </w:r>
    </w:p>
    <w:p w14:paraId="3EE426C6" w14:textId="77777777" w:rsidR="00B077D6" w:rsidRPr="00E14102" w:rsidRDefault="00B077D6" w:rsidP="00E14102">
      <w:pPr>
        <w:jc w:val="both"/>
        <w:rPr>
          <w:color w:val="000000" w:themeColor="text1"/>
          <w:sz w:val="16"/>
          <w:szCs w:val="16"/>
        </w:rPr>
      </w:pPr>
      <w:r w:rsidRPr="00E14102">
        <w:rPr>
          <w:color w:val="000000" w:themeColor="text1"/>
          <w:sz w:val="16"/>
          <w:szCs w:val="16"/>
        </w:rPr>
        <w:t>В конце концов и сам Курчевский задумался о скорости подводного хода столь плохо обтекаемой лодки, о времени ее всплытия и т.д. В итоге проект «подводного линкора» остался на бумаге (15117).</w:t>
      </w:r>
    </w:p>
    <w:p w14:paraId="51B04C6D" w14:textId="77777777" w:rsidR="00B077D6" w:rsidRPr="00E14102" w:rsidRDefault="00B077D6" w:rsidP="00E14102">
      <w:pPr>
        <w:jc w:val="both"/>
        <w:rPr>
          <w:color w:val="000000" w:themeColor="text1"/>
          <w:sz w:val="16"/>
          <w:szCs w:val="16"/>
        </w:rPr>
      </w:pPr>
    </w:p>
    <w:p w14:paraId="7370CA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г. началась трудовая биография ВГИТИС. Научный руководитель А.Ф. Шорин, директор Ф.Ф. Сучков, главный инженер Л.П. Косоротов, парторг ЦК ВКП(б) П.И. Куприянов вели огромную работу по мобилизации коллектива на выполнение поставленных перед институтом ответственных задач. С первых дней, когда еще полным ходом шло строительство корпусов нового предприятия, четко был определен фронт научно-технических работ и функциональные основы структурных подразделений.</w:t>
      </w:r>
    </w:p>
    <w:p w14:paraId="49253A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Первые сотрудники размещались на площадках завода «Радиоприбор», пока не был введен в эксплуатацию первый из корпусов – корпус № 2.</w:t>
      </w:r>
    </w:p>
    <w:p w14:paraId="343912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начальный период научные подразделения института состояли из трех секторов:</w:t>
      </w:r>
    </w:p>
    <w:p w14:paraId="0C8D63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 электрических процессов (СЭП), которые в основном разрабатывали радиоаппаратуру для радиолиний управления объектами; </w:t>
      </w:r>
    </w:p>
    <w:p w14:paraId="2724FB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 электроакустики (СЭА), в котором шли разработки приборов звукометрии, звукозаписи и применение электроакустики в военном деле; </w:t>
      </w:r>
    </w:p>
    <w:p w14:paraId="50CF07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 специальной техники (телемеханики) (ССТ), разрабатывавших в основном исполнительные механизмы для телеуправляемых объектов. </w:t>
      </w:r>
    </w:p>
    <w:p w14:paraId="31617C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Начальником СЭП был опытный руководитель, соратник А.Ф. Шорина по работе в ОСА ЦРЛ и созданию звукового кино в ЦЛПс Б.А. Смиренин, начальником СЭА – А.И. Бобров, бывший сотрудник ЦЛПС, начальником ССТ – П.П. Темный.</w:t>
      </w:r>
    </w:p>
    <w:p w14:paraId="03F0F6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Одной из первых больших работ, выполненных в 1935 г., явилась разработка управляемого по радио автоматического танка Т-26 и его вооружения. Эта работа под шифром «Титан» проводилась сектором телемеханики под руководством Л.Б. Гутникова, бывшего сотрудника Остехбюро. Автоматизировалось не только вождение танка по радио, но и его вооружение: пушка, пулемет, огнемет. Разработка эта вполне соответствовала назначению института и велась на высоком техническом уровне того времени. Конструкторское оформление отличалось блочной компоновкой аппаратуры на танке.</w:t>
      </w:r>
    </w:p>
    <w:p w14:paraId="4E1BAD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Первые два года в институте разрабатывалось несколько боевых систем с телемеханическим управлением по проводам и радио, в том числе кассетное устройство для разбрасывания мин с танка, выполненное под руководством Г.Г. Коннова, который также разработал управляемый по проводам пулемет «Шкал». Под руководством В.Е. Кукуева совместно с Г.Г. Коновым был разработан управляемый по радио ручной пулемет «Руп» и управляемый по кабелю пулемет «Максим», выполненный С.Д. Иваненко.</w:t>
      </w:r>
    </w:p>
    <w:p w14:paraId="16D93F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те же годы создается система «Квант» для наведения планера-снаряда с самолета на корабль. Руководителем этой разработки был В.Д. Калмыков (в будущем директор института и министр радиопромышленности). Наведение планера-снаряда осуществлялось в лучах трех прожекторов инфракрасных лучей, модулированных разными частотами, и производилось ручным поворотом рамы, укрепленной под самолетом. На раме крепились прожекторы и снаряд. В этой же лаборатории проводилась разработка теплопеленгационного блока «АРГОН» для самонаведения торпедного катера на корабль.</w:t>
      </w:r>
    </w:p>
    <w:p w14:paraId="277782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секторе электрических процессов широким фронтом шла разработка радиолиний управления для танков и торпедных катеров. Радиолиния управления торпедными катерами с самолета состояла из двух самостоятельных радиоустройств. Одна разрабатывалась в диапазоне дециметровых волн, что по тем временам было технической новинкой, другая – дублирующая на средних волнах. Разработку радиолинии на дециметровых волнах под названием «Альфа» вела группа под руководством В.А. Кузовкина, В.И. Пейсикова и В.И. Ярошенко. Линию на средних волнах под шифром «Штурвал» разрабатывали К.А. Рождественский и Н.И. Иванов.</w:t>
      </w:r>
    </w:p>
    <w:p w14:paraId="2ED75D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 непосредственным руководством А.Ф. Шорина велись изыскательские работы по созданию командных радиолиний управления фугасными зарядами под шифром «Малютка», которые предназначались для закладки на поле боя или в зданиях и сооружениях. При наступлении противника каждый из фугасов взрывался по своей кодированной команде, передаваемой по радиолинии на средних волнах из командного пункта или штабного подразделения.</w:t>
      </w:r>
    </w:p>
    <w:p w14:paraId="17360C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1935-1937 гг. в институте проводились работы и для учебных военных целей. Сюда относятся созданные по идее А.Ф. Шорина электротренажер для обучения летчиков, фотокинопулемет для контроля стрельбы с самолета по воздушным целям и прибор записи разговора летчика с землей. Запись велась на стальные диски или барабаны. Проводились также работы для народного хозяйства страны. К ним относится реализация изобретения А.Ф. Шорина по электромеханической записи звука. Это прибор настольного типа, в котором звук микрофона усиливается и записывается сапфировым резцом на отработанную кинопленку, а воспроизводится обычной патефонной иглой. Прибор этот получил название «Шоринофон». Несколько серий таких приборов были созданы для всех радиостанций страны.</w:t>
      </w:r>
    </w:p>
    <w:p w14:paraId="0F78A6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это время из Германии начали поступать сведения об опытах по записи звука на стальную проволоку или ленту и удачных опытах по записи звука на ферромагнитную пленку. Под руководством А.Ф. Шорина институт в кратчайшие сроки создает свой оригинальный студийный прибор записи звука на ферромагнитную пленку, которому дается название – магнитофон.</w:t>
      </w:r>
    </w:p>
    <w:p w14:paraId="229AAE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Вообще работы, связанные с акустикой продвигались в институте довольно успешно. Так под руководством профессора А.М. Данилевского и инженера М. Евтюхова создаются акустические пеленгационные устройства. Разработанная ими звукометрическая станция «ДЕ» позволяла определять местоположение артиллерии противника и широко применялась в Красной Армии. За эту работу А.М. Данилевский был награжден орденом Ленина.</w:t>
      </w:r>
    </w:p>
    <w:p w14:paraId="23200D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Были начаты исследовательские работы под руководством А.М. Боброва и Е.В. Ковалева по созданию акустического посадочного альтиметра «БК» для самолета. Под руководством В.А. Якименко создается система управления орудийными башнями главного калибра для крейсеров.</w:t>
      </w:r>
    </w:p>
    <w:p w14:paraId="1FB7F6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1937 г. в институте успешно разрабатывается ряд устройств, в числе которых система «Луна» – самонаведение торпедного катера по инфракрасным лучам на корабль противника (руководитель разработки Г.Г. Коннов). На первом этапе, до введения катера в зону самоуправления наведение осуществлялось по радио с самолета. Несколько позже эта система была улучшена под шифром «Аргон» и успешно использовалась во время войны в Испании.</w:t>
      </w:r>
    </w:p>
    <w:p w14:paraId="6F7CBB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системы опознавания «свой-чужой» была создана на инфракрасных лучах аппаратура «Фрегат». С корабля-запросчика мощным прожектором с фильтром, пропускавшим только инфракрасные лучи, запрашивался неопознанный корабль. Ответчиком служило оптическое устройство из уголковых призм-отражателей, которые, вращаясь, создавали кодированные ответы. Эта система нашла широкое применение на кораблях и подводных лодках ВМФ.</w:t>
      </w:r>
    </w:p>
    <w:p w14:paraId="1F20CF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первые годы работы института характерным настроением для его сотрудников было состояние творческого энтузиазма, оптимизма, легкости свершений, свойственных молодости. Старшим опытным сотрудникам, в том числе А.Ф. Шорину, было не более 40...45 лет. Все отчетливо осознавали значение радиотелемеханизации и, понимая необходимость скорейшей разработки «всей телемеханики», работали добросовестно, увлеченно, быстро. Для создания аппаратуры и боевой техники требовались особо надежные и точные радиоэлектронные элементы, узлы, детали, а их промышленность выпускала в ограниченном количестве. Но и в этих условиях институт находил выход, восполняя недостающие изделия собственными разработками.</w:t>
      </w:r>
    </w:p>
    <w:p w14:paraId="48CAB2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Наступил 1938 год. Из Англии поступает лабораторное оборудование и измерительная техника. На 26 километре Горьковского шоссе в лесу институт оборудует испытательный полигон, танкодром и аэродром. Закупаются два самолета Р.5, вводится в эксплуатацию в дополнение к корпусу № 2 корпус № 1, затем – корпус № 3. В просторных помещениях размещают прибывшее из Англии оборудование, лаборатории налаживают темпы исследовательских и опытных работ.</w:t>
      </w:r>
    </w:p>
    <w:p w14:paraId="232ADB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Одним из важных событий института того времени была эпопея с так называемой «трубкой Кубецкого». Руководитель лаборатории вторичного электронного преобразования Кобецкий создает крупное изобретение. Он разрабатывает способ каскадного усиления электрических сигналов в устройстве, напоминающем электронную лампу и фотоэлемент, где первичный сигнал вызывает поток электронов, который, последовательно падая на ряд анодов, выдает на выходе мощный импульс тока. Применение этой трубки взамен громоздких усилителей позволило решать в электрорадиотехнике принципиально новые задачи. Создателя трубки нарком С. Орджоникидзе премирует автомобилем, Кубецкому и его сотрудникам выделяются квартиры в новом жилом доме.</w:t>
      </w:r>
    </w:p>
    <w:p w14:paraId="3E33C5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1938 г. А.Ф. Шорин переходит работать в АН СССР на должность директора института автоматики и телемеханики. Директором ВГИТИС становится Александр Алексеевич Осмер, главным инженером – А.И. Бобров.</w:t>
      </w:r>
    </w:p>
    <w:p w14:paraId="633226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институте более четко формируется тематическая направленность работ, специализируются и реорганизуются подразделения. Так, сектор электрических процессов был реорганизован в лабораторию № 3, руководителем которой назначен Константин Васильевич Байдун. Эта лаборатория имела группы: высокочастотных устройств под руководством В.А. Кузовкина; передающих устройств под руководством К.А. Рождественского; приемных устройств под руководством Ф.В. Лукина; специальных устройств под руководством Н.К. Свистова; устройств электропитания аппаратуры под руководством Ф.П. Афониной и другие группы, в том числе конструкторский сектор. Активно развивались лаборатории электровакуумных и оптических устройств, химическая лаборатория и др. Оснащалось оборудованием производство, шла специализация его цехов, среди которых особое место занимал цех № 2, как сборочный, где производились сборка и выпуск аппаратуры.</w:t>
      </w:r>
    </w:p>
    <w:p w14:paraId="15F63B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Развитие в третьей пятилетке торгово-экономических связей с зарубежными странами значительно увеличило торговый оборот СССР. Осуществлялся он в основном через морские порты. Гидрографическое управление морского коммерческого флота обратилось в Наркомат тяжелой промышленности с просьбой подключить НИИ-10, уже известный своими работами для ВМФ, к разработке и созданию навигационных устройств безопасности движения судов. В 1939 г. группа инженеров института под руководством В.Б. Кнунянца при участии А.М. Белова, Л.В. Фридмана, А.В. Наумова и В.В. Романова приступает к разработке системы «Окунь», а также системы «Координатор» для ориентации судов относительно берега.</w:t>
      </w:r>
    </w:p>
    <w:p w14:paraId="2259C5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институте постепенно нарастал объем работ по новым направлениям. Были заложены основы радиолокации, теплопеленгации, гироскопии и синхронных механизмов, приборов управления стрельбой артиллерии, электроакустики и радиотехники во всех областях военного дела. В группе Ф.В. Лукина проводятся работы по созданию приборов обнаружения кораблей с самолета с помощью радиоволн. Под руководством А.П. Морозова разрабатывается устройство системы «Гладиатор» для повышения точности стрельбы зенитной артиллерии.</w:t>
      </w:r>
    </w:p>
    <w:p w14:paraId="68FEC7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Конструктор Н.А. Дарьин предложил радиолокационный высотомер для самолетов. Антенна передатчика самолета излучает на землю энергию в виде прямых импульсов. Одновременно с запуском радиосигнала к земле запускается круговая развертка на электронно-лучевой трубке («ждущая развертка»). Принятые на приемнике отраженные от земли радиоимпульсы поступают на электро-лучевую трубку, где воспроизводятся на экране. По времени запаздывания отраженного импульса относительно прямого, определяется расстояние до земли. Пауза между импульсами соответствует полной развертке луча – минимальной измеряемой высоте самолета.</w:t>
      </w:r>
    </w:p>
    <w:p w14:paraId="114278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лаборатории В.Д. Калмыкова осуществлялась идея оптической связи и использования инфракрасных лучей для пеленгации объектов на суше и на море. В 1939 г. В.С. Курылевым, Г.И. Судаковым и Г.Г. Конновым создаются оптические телефоны на световых лучах: ОТД-100 – для ближайшей связи и ОТД-200 – на расстоянии до 20 км. Они широко применялись в 1941 г. на фронте для связи между островами в Финском заливе. Для защиты пороховых погребов кораблей от воспламенения и взрыва М.С. Араловым и Г.Г. Конновым создается для ВМФ система «Защита».</w:t>
      </w:r>
    </w:p>
    <w:p w14:paraId="3E1E5F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1939 г. дирекция института принимает решение о развитии направления по использованию инфракрасных лучей. Создается лаборатория теплопеленгации, которую возглавил Н.Д. Смирнов (в будущем д-р техн. наук, профессор). Под его непосредственным руководством по заданию Военно-Морского Флота срочно велась разработка двух вариантов теплопеленгаторов – для установки на кораблях и автомобилях. Испытания автомобильного варианта, которые проходили в 1939 г. в г. Севастополе, дали хорошие результаты. Морской транспорт обнаруживался на расстоянии до 30 км. Этот пеленгатор поступил на вооружение береговых войсковых соединений и долгие годы выпускался серийно. В том же году создается весьма компактный береговой стационарный теплопеленгатор-теплоблок (БТП-39) и корабельный теплопеленгатор, опытный образец которого был установлен на крейсере «Красный Кавказ».</w:t>
      </w:r>
    </w:p>
    <w:p w14:paraId="2E36E3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1940 г. теплоблок БТП-39 совершенствуется, становится более компактным. Один из этих приборов, установленный на Дальнем Востоке, контролировал выход японских и китайских кораблей из реки Сунгури. Второй был установлен на Дунае и регистрировал прохождение подводных лодок и других судов в ночное время в тумане. Еще один БТП-39, установленный у Толбухина маяка в Финском заливе, регистрировал прохождение кораблей всех классов вплоть до торпедных катеров.</w:t>
      </w:r>
    </w:p>
    <w:p w14:paraId="0AB019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1940 г. НИИ-10 передан в Наркомат судостроительной промышленности в целях своевременного оснащения радиоэлектронным оборудованием военных и торговых кораблей, при этом приоритет отдается разработкам, относящимся к ВМФ.</w:t>
      </w:r>
    </w:p>
    <w:p w14:paraId="20C37F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институте нарастала многотемность и направленность разработок. Небольшие КБ при научных лабораториях различались по уровню квалификации конструкторов и опыту их работы. Одни и те же узлы и детали приборов в каждом КБ конструировались по-своему. Большая номенклатура однотипных элементов и узлов аппаратуры становились не под силу производству, создавали неудобства и в работе заводов. Назрела необходимость в создании централизованного конструкторского бюро, и в мае 1940 г. организуется отдел главного конструктора (ОГК), а в его составе Центральное конструкторское бюро (ЦКБ). Главным конструктором института и начальником ОГК назначается В.Д. Калмыков, начальником ЦКБ – Г.Г. Конов.</w:t>
      </w:r>
    </w:p>
    <w:p w14:paraId="0710D0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Организация ОГК во многом способствовала улучшению конструирования приборов и устройств. В ЦКБ были развернуты работы в более широком масштабе по унификации, нормализации и обеспечению конструкторов справочными материалами. Новый отдел взаимодействовал с лабораториями и производством, приборы конструировались в совместном творческом поиске не только для опытно-конструкторских работ, но и для текущих исследовательских работ и специальной измерительной техники.</w:t>
      </w:r>
    </w:p>
    <w:p w14:paraId="2B1486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период с 1935 по 1941 гг. ВГИТИС – НИИ-10 превратился в известный своими научными и инженерно-техническими работами специализированный институт с широким профилем работ, высоким практическим выходом продукции высокого качества и оригинального изобретательского творческого исполнения. В течение первых шести лет становления в институте выработались приемы освоения технических задач, ход научно-исследовательского поиска и пути инженерного осуществления найденных решений. Лаборатории оснащались новейшей зарубежной измерительной и испытательной электрорадиоаппаратурой. Создание единого конструкторского отдела повысило уровень конструирования и унификации аппаратуры, была улучшена организационная структура и технологический уровень опытного производства. В таком состоянии институт оказался в момент вероломного нападения фашистской Германии на Советский Союз.</w:t>
      </w:r>
    </w:p>
    <w:p w14:paraId="4D6567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началом войны планы института были срочно пересмотрены. Были сняты все работы с большим циклом разработки. Институт получал задания на изделия, необходимые фронту, в том числе на срочную разработку рабочих чертежей и ускоренный серийный выпуск аппаратуры радиоуправляемых фугасных зарядов большой мощности «Малютка». В производстве в широком масштабе началось изготовление дистанционных трубок, сконструированных институтом к знаменитым реактивным снарядам «Катюша». В тех же масштабах шло изготовление разновидности таких трубок и для авиационных бомб. Кроме того, в первые месяцы войны был налажен массовый выпуск деталей к стрелковому автомату «ППШ» и к коммулятивному снаряду для танковых пушек, стаканы для снарядов «Катюш» и многое другое. Цехи производства работали круглосуточно.</w:t>
      </w:r>
    </w:p>
    <w:p w14:paraId="46508B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Инженерами А.П. Морозовым, В.П. Соломенцевым, Л.В. Голубевым, В.В. Романовым и Ф.Н. Черных срочно завершается, начатая еще в 1939 г. разработка векторно-электрического прибора управления артиллерийским огнем (ВЭПУАЗО). Этот прибор имел большие преимущества перед существовавшим тогда прибором ПУАЗО, т.к. давал все необходимые упрежденные координаты для наводки орудий и обслуживался меньшим боевым расчетом. Прибор был выпущен в начале 1942 г. и 16 октября установлен на четырехорудийной батарее у железнодорожного моста через р .Оку у г .Голутвина. Им управляли разработчики Л.В. Голубев и В.А. Соломенцев. В течение двух лет батарея успешно отражала налеты фашистской авиации и благодаря исключительно точной стрельбе самолеты противника сбивались и не допускались в район моста.</w:t>
      </w:r>
    </w:p>
    <w:p w14:paraId="1B12BA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Командование противовоздушной обороны высоко оценило работу прибора и настояло на его срочном серийном изготовлении. Основные разработчики ВЭПУАЗО В.А. Соломенцев, Л.В. Голубев и А.П. Морозов в 1943 г. были удостоены званий лауреатов Государственной премии СССР.</w:t>
      </w:r>
    </w:p>
    <w:p w14:paraId="388064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1941 г. принимается решение об эвакуации части сотрудников института в составе лабораторий № 2, 3, 4, 6, КБ, опытного производства и их семей в пригород Сталинграда – поселок Бекетовку. Уполномоченным по эвакуации был назначен начальник фотолаборатории Аркадий Сергеевич Андреев. В поселке сотрудникам института выделили хорошее здание школы, где быстро установили лабораторное оборудование, развернули подразделения опытного производства. Инженеры института приступили к продолжению прерванных работ. Начали проводиться первые изыскания и пробы по применению частотно-модулированных радиоволн дециметрового диапазона для обнаружения самолетов. Совершенствуется аппаратура радиоальтиметра и теплопеленгатора БТП-39; создается аппаратура для прослушивания телефонных разговоров противника по полевым проводам. По заданию обкома партии идет массовый выпуск 20-мм снарядов для авиационных пушек и деталей к гранатам. Под руководством Н.Д. Смирнова разрабатываются сложные детали для наводки орудий и минометов.</w:t>
      </w:r>
    </w:p>
    <w:p w14:paraId="309953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 как в Сталинградском «филиале» не было представителей дирекции института, решили провести общее собрание, на котором главным инженером избрали Николая Николаевича Острякова, секретарем партийной организации – Гая Арменаковича Абрамяна. Начальником отдела технического контроля становится Александр Юльевич Ишлинский (будущий академик АН СССР), его помощником назначается В.И. Ярошенко.</w:t>
      </w:r>
    </w:p>
    <w:p w14:paraId="051344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оставшейся части института в Москве также шла напряженная работа по выпуску изделий для фронта. Станки работали круглосуточно. В пять часов утра 16 октября 1941 г. пришло сообщение, что немцы прорвали фронт в районе Химок. Парторг ЦК ВКП(б) Евгений Иванович Зиновьев и директор института Александр Алексеевич Осмер собрали сотрудников и объявили об эвакуации в Свердловск. Прибывших в Свердловск разместили в здании Политехнического института вместе с сотрудниками Ленинградского филиала института (будущий ЦНИИ «Гранит»). Начальник строительного главка наркомата Степан Васильевич Петренко помог наладить производство и устроить людей. Руководителем Свердловского отделения института был назначен инженер Н.В. Рогачевский.</w:t>
      </w:r>
    </w:p>
    <w:p w14:paraId="4F473A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Условия труда и быта в Сталинграде и Свердловске были чрезвычайно тяжелыми. Люди работали в две смены по 12 часов, засыпая иногда от усталости прямо за регулировочными столами и станками. Из-за нехватки рук к токарной работе были привлечены подростки, которыми руководил инженер Л.Г. Тигров.</w:t>
      </w:r>
    </w:p>
    <w:p w14:paraId="7A99E9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производстве и регулировочной лаборатории круглосуточно шел выпуск радиофугасов «Малютка» и аппаратуры к ним. Изготавливались детали для снарядов «Катюш», ручных и противотанковых гранат, комплектующих устройств к стрелковому оружию. Был налажен выпуск аппаратуры «Тракс», разработанный Ленинградским филиалом и предназначенный для кодовой связи командования с нашими самолетами. За установку и наладку этой аппаратуры на самолетах, и участие в боевых операциях инженер В.М. Ястребилов был награжден орденом Красной Звезды.</w:t>
      </w:r>
    </w:p>
    <w:p w14:paraId="7DAB34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январе 1942 г. в г. Свердловск приехали главный инженер института Алексей Иванович Бобров и начальник ОГК В.Д. Калмыков. В Москве осталась лишь необходимая часть сотрудников, занимавшихся выпуском приборов ВЭПУАЗО и группа под руководством К.В. Байдуна, проводивших работы по созданию радиоаппаратуры для обнаружения самолетов с земли.</w:t>
      </w:r>
    </w:p>
    <w:p w14:paraId="2C140E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После разгрома немцев под Москвой в столицу возвратился ряд предприятий, в том числе та часть НИИ-10, которая была эвакуирована под Сталинград. В конце мая из Свердловска в Москву возвратился начальник ОГК В.Д. Калмыков и доложил в наркомате о положении дел в институте. Валерия Дмитриевича назначают директором объединенного с ленинградским филиалом предприятия, а его главным инженером становится бывший главный инженер филиала А.И. Мирвис. К концу </w:t>
      </w:r>
      <w:r w:rsidRPr="00E14102">
        <w:rPr>
          <w:color w:val="000000" w:themeColor="text1"/>
          <w:sz w:val="16"/>
          <w:szCs w:val="16"/>
        </w:rPr>
        <w:lastRenderedPageBreak/>
        <w:t>1942 г. в Москву вернулись почти все сотрудники, эвакуированные в Свердловск. Организацией эвакуации занимались А.С. Андреев и ленинградцы М.С. Орышак и А.М. Осокин.</w:t>
      </w:r>
    </w:p>
    <w:p w14:paraId="1871DA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 энергичным деловым руководством В.Д. Калмыкова полным ходом шло восстановление института, налаживалась работа всех его подразделений, хотя продолжавшаяся война на все накладывала свой отпечаток.</w:t>
      </w:r>
    </w:p>
    <w:p w14:paraId="62D273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1943 г. численность института сократилась до 714 человек, после объединения с филиалом она возросла, но все равно была много меньше довоенной. В то время в институте работало всего 375 инженерно-технических сотрудников, 484 рабочих, 242 служащих. В составе лабораторий были, в основном, опытные ученые и инженеры, прошедшие школу предвоенных лет. Это они на годы вперед определили творческий почерк института, заложили основы его авторитета.</w:t>
      </w:r>
    </w:p>
    <w:p w14:paraId="3E93C6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концу 1943 г. институт полностью восстанавливает свою деятельность, успешно выполняет большой объем правительственных заказов для фронта. Группа инженеров Л.В. Голубев, В.А. Соломенцев, Л.И. Кошелев, М.И. Зайцев, А.П. Морозов и другие срочно разрабатывают новый вариант векторно-электрического прибора управления артиллерийским зенитным огнем (ВЭПУАЗО-2), который должен был работать сопряжено с только что появившимися наземными радиолокационными станциями «Пегматит». С помощью этих приборов, первая партия которых вышла в начале 1944 г., зенитные батареи успешно отбивали налеты фашистской авиации. Основные разработчики устройства «ВЭПУАЗО-2» были удостоены звания лауреатов Государственной премии СССР, в том числе А.П. Морозов, В.А. Соломенцев и Л.В. Голубев вторично.</w:t>
      </w:r>
    </w:p>
    <w:p w14:paraId="46352E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возвращения в Москву часть сотрудников института, по указанию главка, временно переходит на соседний завод, чтобы оказать помощь при освоении серийного выпуска приборов, совместно разработанных институтом и заводом. Здесь они работали до конца 1945 года. На этом же заводе группа инженеров института в составе З.М. Цециора, Н.В. Мариничева и К.Ф. Комарова разработала и внедрила в производство автономную силовую гироскопическую стабилизацию корабельного теплопеленгатора «Солнце», созданного под руководством Н.Д. Смирнова.</w:t>
      </w:r>
    </w:p>
    <w:p w14:paraId="015204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институте ведется разработка устройств полной стабилизации и синхронно-следящих приводов для корабельных теплопеленгаторов. Полностью завершается работа по стабилизации специального зенитного теплопеленгатора «Уран» для крейсеров, создано также устройство «Юкон» для стабилизации 37-мм спаренных зенитных орудий для крейсеров. Часть сотрудников, по мере необходимости, выезжает на корабли для ремонта и восстановления гироскопических приборов, поврежденных при бомбежках. Под руководством А.И. Боброва и Е.В. Ковалева разрабатывается новый более совершенный вариант импульсно-акустического альтиметра БК для «слепой» посадки самолетов и выдерживания высоты полета самолета при прицельном торпедометании. Под руководством В.Б. Кнунянца продолжается прерванная эвакуацией работа по созданию навигационного устройства «Окунь». Первая кабельная трасса «Окунь» была проложена в 1943 г. при входе в бухту г. Владивостока, по ней проводились суда типа «Либерти» с оборудованием и вооружением из США. В этом же году сразу после освобождения Одессы трасса «Окунь» была проложена для прохода в минных полях. Такие же трассы были проложены в г. Мурманске и Белом море. Все эти работы проводились под руководством А.И. Бурмистрова.</w:t>
      </w:r>
    </w:p>
    <w:p w14:paraId="427372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 руководством В.С. Григорьева в 1943 г. создаётся и поставляется оборудование для плавучей лаборатории гидрографических измерений на крейсер «Красный вымпел» Тихоокеанского флота. В этом же году под руководством Ф.Н. Малахова создается аппаратура «Рита» для автоматического подрыва бросаемых с эскадренных миноносцев торпед при их прохождении под днищем атакуемого корабля.</w:t>
      </w:r>
    </w:p>
    <w:p w14:paraId="6201F5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лаборатории Н.Д. Смирнова разрабатывается усовершенствованный вариант теплопеленгатора БТП. С несколькими такими теплоблоками на Северный фронт выезжал А.П. Корейко. Он установил БТП вдоль береговой линии у г. Мурманска, успешно обслуживал их до конца войны. Ни один вражеский корабль не смог проникнуть к берегам и войти в Белое море. БТП давали точные пеленги и расстояние для береговых батарей. С их помощью было уничтожено 26 кораблей противника.</w:t>
      </w:r>
    </w:p>
    <w:p w14:paraId="003B4C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Учитывая успех этого теплопеленгатора, лаборатория под руководством Н.Д. Смирнова создает еще более совершенный теплопеленгатор «Тигр» – легкий аппарат, который устанавливался и обслуживался одним человеком и нашел широкое применение в прифронтовой полосе и пограничных регионах.</w:t>
      </w:r>
    </w:p>
    <w:p w14:paraId="7DFC96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войны для снабжения партизанских отрядов вооружением и боеприпасами использовались деревянные планеры, буксируемые самолетом. Буксировка осложнялась тем, что днем случались обстрелы зенитной артиллерией противника, а ночью – пилот планера в облаках не видел самолета-буксировщика. Результат – частые аварии. Лаборатория Н.Д. Смирнова разработала аппаратуру электромагнитной связи между самолетом и планером. С ее применением аварии из-за плохой погоды прекратились.</w:t>
      </w:r>
    </w:p>
    <w:p w14:paraId="5E36E3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 руководством В.Д. Калмыкова был разработан командирский специальный компас, который позволял ориентироваться на местности, визировать и пеленговать ориентиры, определять время днем и ночью. Таких компасов было изготовлено более 300 штук.</w:t>
      </w:r>
    </w:p>
    <w:p w14:paraId="7AD118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производстве был продолжен выпуск больших партий оптических телефонов ОТД-200, деталей для ракет «Катюша», корпусов и деталей для гранат и деталей к стрелковому оружию «ППШ», усовершенствованной аппаратуры «Малютка».</w:t>
      </w:r>
    </w:p>
    <w:p w14:paraId="42AA0B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во всех подразделениях института шла под девизом «Все для фронта, все для победы!». Ведется поиск новых средств вооружения, разрабатывается целый ряд заказов, создается и выпускается в большом количестве разновидность радиофугаса под шифром «Река», предназначенного для партизанских отрядов. Для них же создается крупная серия взрывных устройств «Сюрприз», закладываемых партизанами в столы, сейфы, автомобили противника.</w:t>
      </w:r>
    </w:p>
    <w:p w14:paraId="109211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 руководством К.В. Байдуна была создана аппаратура управления стрельбой орудиями главного калибра на крейсерах с учетом так называемых всплесков взрывов снарядов при недолетах. Эта аппаратура сопрягалась и с большими оптическими дальномерами.</w:t>
      </w:r>
    </w:p>
    <w:p w14:paraId="4EBD11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Н.Д. Смирновым и В.Т. Родионовым продолжается разработка и создается ряд новейших по схеме и конструкции теплопеленаторов. В их числе теплообнаружитель «Прицел» для обнаружения танков ночью и в тумане, миниатюрный теплоприцел «Шмель» для авиационных пулеметов, чувствительный теплообнаружитель «Леопард» для просмотра ущелий, заливов и рек.</w:t>
      </w:r>
    </w:p>
    <w:p w14:paraId="4663E4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это же время изыскиваются возможности для создания средств обнаружения самолетов в любое время суток и при любой погоде. Анализируется опыт Ф.В. Лукина по обнаружению кораблей на море с самолета и опыты В.А. Кузовкина и В.И. Ярошенко по применению частотно-модулированных волн дециметрового диапазона для обнаружения самолетов. Начинает приходить информация о применении радиосредств для обеспечения защиты Лондона от налетов немецкой авиации. Эти средства там называли радарами-радиолокаторами.</w:t>
      </w:r>
    </w:p>
    <w:p w14:paraId="014184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Накануне войны численность института составляла приблизительно 2 000 человек. В послевоенные годы, в связи с постоянно растущими объемами работ, она стала быстро увеличиваться. На базе лабораторий № 2, 3, 4, 6 стали создаваться отделы. На основе лаборатории № 3 еще в 1944 г. был образован отдел № 3. Его возглавил К.В. Байдун. В дальнейшем начальником отдела № 3, а позже НИО-3, становились А.С. Гринштейн, Ф.В. Лукин, И.А. Игнатьев, В.И. Ярошенко, В.Ф. Измайлов, Н.С. Щербаков, Л.Б. Масленников. Отдел № 3 был самым крупным в институте, его численность в отдельные годы доходила до 700 человек.</w:t>
      </w:r>
    </w:p>
    <w:p w14:paraId="4971BF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1946 г. создается отдел № 4, состоящий из четырех лабораторий, начальником которого назначается А.И. Бобров, в дальнейшем эту должность занимали В.А. Кузовкин, С.А. Ноздрин, И.А. Коновалов, А.И. Бурмистров, В.А. Егоров.</w:t>
      </w:r>
    </w:p>
    <w:p w14:paraId="2BD61B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том же 1946 г. лаборатория № 6 реорганизуется в отдел № 6 с несколькими лабораториями, в том числе с лабораториями по вакуумным устройствам. Начальником отдела № 6 назначается Н.Д. Смирнов, позже отделом № 6 руководил Д.П. Павлов и после прихода в институт большой группы сотрудников из НИИ “Вымпел” – И.Н. Амиантов, затем Д.Я. Ковалевский.</w:t>
      </w:r>
    </w:p>
    <w:p w14:paraId="4FDA2D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1947 г. из лаборатории № 2 образован отдел № 2, который возглавил В.И. Кузнецов (впоследствии академик, дважды Герой Социалистического труда). В 1953 г. на базе отдела № 2 создается внутри института СКБ под руководством В.И. Кузнецова, а в 1956 г. он с группой сотрудников (приблизительно 350 человек), занимавшихся разработкой гироскопических приборов, переходит в другой, только что созданный институт прикладной механики. Начальником отдела № 2 становится В.П. Антонов, затем Б.П. Капелин, М.С. Орышак, А.С. Миронов, С.А. Климов.</w:t>
      </w:r>
    </w:p>
    <w:p w14:paraId="00181E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1961 г. в связи с развитием работ по ударному противокорабельному оружию был создан отдел № 7 по разработкам методов управления крылатыми ракетами и автопилотам. Его начальником был назначен В.Е. Краснов, позднее эту должность занимали Ю.И. Бородин и С.Е. Ермолаев.</w:t>
      </w:r>
    </w:p>
    <w:p w14:paraId="3865FC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Расширение объема работ, углубление специализации привели к необходимости создания отраслевых научно-исследовательских отделов. Собранные из разных отделов специалисты родственных направлений техники могли более эффективно использоваться в отраслевой структуре за счет перераспределения работ, обмена накопленного опыта и широкой унификации принимаемых решений.</w:t>
      </w:r>
    </w:p>
    <w:p w14:paraId="3B8635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 в 1963 г. появился первый отраслевой отдел антенно-фидерных устройств (отдел № 12). Его начальником был назначен В.И. Пейсиков, позднее отделом руководили С.А. Казбеков, Ф.И. Тезиков, Е.А. Титов, Ф.И. Емельченков, В.А. Балагуровский.</w:t>
      </w:r>
    </w:p>
    <w:p w14:paraId="26C57A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1966 г. образован отдел № 14 – отдел источников питания. Руководила отделом Ф.П. Афонина, в дальнейшем – К.Г. Агапов, В.С. Бобрышев, Г.Е. Воеводин, В.Н. Панфилов. В 1969 г. создается отдел № 15 – отдел счетно-решающих устройств. Начальником отдела был назначен Н.С. Щербаков, позднее отделом руководили С.М. Соколов, В.П. Холопов, С.А. Гвоздев, В.П. Стручков.</w:t>
      </w:r>
    </w:p>
    <w:p w14:paraId="00F190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институте установилась определенная технология прохождения заказов. Основными ее этапами являлись эскизный и технический проекты, на стадии которых изготовлялись и проверялись отдельные приборы и устройства. Оба этапа сдавались заказчику.</w:t>
      </w:r>
    </w:p>
    <w:p w14:paraId="4E46FE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основе технического проекта с учетом замечаний и предложений составлялись технические задания на рабочие чертежи конструкторскому отделу. Общие виды конструкторских чертежей также предъявлялись заказчику, и после внесения исправлений шли в опытное производство (ОП).</w:t>
      </w:r>
    </w:p>
    <w:p w14:paraId="1499B3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Опытные образцы приборов поступали в лаборатории на проверку и регулировку, затем вся аппаратура устанавливалась на стенде, где проводились стендовые испытания. Такая технология позволяла предъявлять аппаратуру на внешние испытания в реальных условиях, что сокращало сроки разработки, давало качественный эффект на последнем этапе – государственных испытаниях.</w:t>
      </w:r>
    </w:p>
    <w:p w14:paraId="6784EF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Наряду с созданием радиолокационных станций в институте велись активные работы по разработке измерительной и контрольной аппаратуры. Была создана серия измерительных приборов, основные разработчики которой Г.Г. Гинкин, Е.В. Ковалев, Г.И. Келлер удостоены звания лауреатов Государственной премии СССР.</w:t>
      </w:r>
    </w:p>
    <w:p w14:paraId="71E6F2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институте активно ведется строительство новых корпусов. В 1950 г. заложен фундамент корпуса № 10, который был введен в эксплуатацию в 1953 г., построена проходная. В 1954 г. разбит сквер перед первым корпусом, открылась амбулатория, началось строительство научной испытательной базы на Большой Волге (НИБ “Большая Волга”). В 1957-1960 гг. построен корпус № 11, здание “Шатер”, надстроен пятый этаж корпуса № 10, позволивший существенно улучшить условия труда конструкторов. Значительно расширяется опытное производство, функционируют 15 цехов, позже были созданы цеха по механообработке в Феодосии (цех № 15) и на НИБ “Большая Волга” (цех № 12).</w:t>
      </w:r>
    </w:p>
    <w:p w14:paraId="43F9AE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1957 г. институт начинает оснащаться электронными вычислительными машинами, создается вычислительный центр.</w:t>
      </w:r>
    </w:p>
    <w:p w14:paraId="5C9E6C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проведения испытаний приобретается самоходная баржа «Торпедо», которая переоборудуется под лабораторно-экспедиционное судно.</w:t>
      </w:r>
    </w:p>
    <w:p w14:paraId="44A3D4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Щелковском районе была построена складская база «Шевелкино».</w:t>
      </w:r>
    </w:p>
    <w:p w14:paraId="5C2CC7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с развитием технической и производственной базы институт много внимания уделял социальной сфере, заботе о сотрудниках.</w:t>
      </w:r>
    </w:p>
    <w:p w14:paraId="3CDE97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1946 г. закладывается фундамент первого жилого дома в Перовом Поле, где затем строится еще три дома. На поле, отведенном институту в 1939 г. на 30-м километре Горьковского шоссе для проведения испытаний аппаратуры, в 1947 г. по инициативе С.А. Андреева начинается строительство пионерского лагеря «Дружба». В 1954 г. построен стадион «Авангард», в 1956 г. введен в эксплуатацию летний детский сад в поселке «Быково».</w:t>
      </w:r>
    </w:p>
    <w:p w14:paraId="425E0A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50-м годам значительно повысился научный уровень разработок института. Расчеты надежности, точности, прочности, эффективности систем и приборов стали обязательными. При увеличивающейся сложности систем упрощалось их обслуживание и тем самым сокращалось число операторов, что достигалось за счет повышения уровня автоматизации. Большое внимание уделялось снижению массы и габаритов аппаратуры путем совершенствования конструкций и миниатюризации применяемых элементов и их унификации.</w:t>
      </w:r>
    </w:p>
    <w:p w14:paraId="2CCD97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1953 г. директором института назначается Михаил Павлович Петелин. С его именем связано наиболее поступательное развитие и становление НИИ-10, как важнейшего головного института страны по радиолокационному вооружению и радиолокационным системам управления ракетным оружием кораблей ВМФ.</w:t>
      </w:r>
    </w:p>
    <w:p w14:paraId="66278F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вузов Ленинграда, Горького, Киева, Харькова и других городов страны в НИИ-10 были направлены молодые специалисты. Для их размещения в корпусе № 9, где сегодня находится медпункт, было организовано общежитие. Там поселили более 80 юношей и девушек. Многие из них впоследствии стали ведущими специалистами, руководителями отделов и лабораторий, главными конструкторами, кандидатами технических наук. В их числе Г.Н. Волгин, В.А. Алешин, А.Г. Стронин, С.А. Казбеков, А.М. Скоробогачев, А.А. Перуанский, В.И. Преснецов, Н.В. Расторопов, С.Н. Гай и др. Развертывание работ по ракетному оружию потребовало несколько изменить тематическую направленность института, разгрузить его от ряда тематических направлений. Гироскопия, как уже говорилось ранее, была передана в институт прикладной механики; радиоразведка и радиопротиводействие во вновь организованный институт связи в г. Таганроге; системы управления корабельной артиллерией – в КБ «Аметист» при заводе «Топаз». Позднее разработка обзорных корабельных РЛС передана в ОКБ завода «Салют». Из института также было выделено направление по координации формирования состава радиоэлектронного вооружения кораблей ВМФ во вновь организованный ЦНИИ «Курс» в Москве.</w:t>
      </w:r>
    </w:p>
    <w:p w14:paraId="16C3B3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1956 г. институт передан в ведение Министерства радиопромышленности. Для успешного проведения испытаний дирекцией было принято решение построить базы в непосредственной близости от районов испытаний, что позволило бы существенно снизить сроки их проведения и обеспечить нормальными жилищными условиями испытательные бригады. Такие базы были созданы. В 1969 г. в г. Феодосии на берегу моря построена научная база «Ай-Петри». Помимо комфортабельной гостиницы был возведен административный корпус, где разместились универсальные ЭВМ, на которых проходила обработка данных испытаний комплексов на Черноморском полигоне, в нескольких километрах от него располагался комплексный стенд и цех № 15. В 1973 г. в г. Севастополе построена производственная база ПБ «Утес», в которой размещались сдаточные бригады, обслуживающие аппаратуру института, установленную на кораблях. В г. Североморске в 1984 г. для этих же целей создана производственная база СИБ «Скала». Таким образом, институт к концу 70-х годов располагал пятью базами, включая НИБ «Большая Волга».</w:t>
      </w:r>
    </w:p>
    <w:p w14:paraId="6CD8E9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1963 г. за большие заслуги в деле создания и производства новых типов ракетного вооружения, а также строительства надводных кораблей, оснащенных этим оружием, и перевооружением кораблей ВМФ, институт был награжден орденом Трудового Красного Знамени, а большая группа его сотрудников – орденами и медалями СССР.</w:t>
      </w:r>
    </w:p>
    <w:p w14:paraId="58772C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1967 г. постановлением ЦК КПСС и СМ СССР институт вновь передан в ведение Министерства судостроительной промышленности СССР и стал называться Всесоюзным научно-исследовательским институтом радиоэлектроники (ВНИИРЭ). 20 сентября 1972 г. приказом Министра судостроительной промышленности институту присвоено наименование Всесоюзный научно-исследовательский институт «Альтаир». К этому времени на корабли ВМФ были поставлены серийно изготовленные ЗРК «Волна», «Шторм», системы управления ударным оружием П-35, «Малахит», управляемые ракетные противолодочные комплексы «Метель», «Муссон», системы обработки радиолокационной информации и целеуказания МРО-400 и МРО-500. Институт приступил к разработке многоканальных зенитных ракетных комплексов «Штиль», «С-300Ф», «Клинок» и РЛСУ «Каштан», обеспечивающих многорубежную противовоздушную оборону кораблей ВМФ. Одновременно новые задачи были поставлены перед разработчиками ударного ракетного оружия – создать сверхзвуковые, низколетящие противокорабельные ракеты, способные прорвать мощную эшелонированную оборону корабельных соединений противника и уничтожить основную ударную силу – авианосцы ВМС США. Эта задача была решена в комплексах «Прогресс» и «Малахит».</w:t>
      </w:r>
    </w:p>
    <w:p w14:paraId="6EEAAF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Самоотверженный труд сотрудников института в создании новейших зенитных ракетных комплексов и систем управления ударным ракетным оружием завершился принятием на вооружение ЗРК «Штиль» (1983 г.), ЗРК С-300Ф (1984 г.), позднее ЗРАК «Каштан» (1988 г.), ЗРК «Клинок» (1989 г.), а также комплексов ударного оружия «Прогресс» (1982 г.) и «Москит-Е» (1984 г.).</w:t>
      </w:r>
    </w:p>
    <w:p w14:paraId="3C5EB0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1989 г. ВНИИ «Альтаир» с вновь строящимся заводом в г. Новодвинске Архангельской области преобразован в НПО «Альтаир», а в 1992 г. НПО получило название Государственное научно-производственное объединение «Альтаир», позже, в 2001 г. – Федеральное государственное унитарное предприятие (ФГУП «НПО «Альтаир»).</w:t>
      </w:r>
    </w:p>
    <w:p w14:paraId="17A278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в течение истекших десятилетий институт выполнил и внедрил в серийное производство более 200 ОКР, принятых на вооружение ВМФ. Шесть разработок удостоены Ленинской премии, свыше 30 – Государственной премии СССР, две – премии Правительства РФ. Наиболее выдающиеся представители института – создатели вооружения флота удостоены почетных званий: три – Героя Социалистического труда (В.И. Ярошенко, Л.Е. Хазанов, В.Н. Малахов); 14 – лауреатов Ленинской премии (из них И.А. Игнатьев, В.А. Букатов, Е.А. Титов – Ленинской и Государственной премий); 10 – дважды лауреатов Государственной премии (в том числе Г.Н. Волгин, В.Т. Родионов, В.А. Кузовкин и др.); 70 – лауреат Государственной премии СССР; свыше 1 100 сотрудников награждены орденами и медалями.</w:t>
      </w:r>
    </w:p>
    <w:p w14:paraId="4EF57D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2003 г. ФГУП «НПО «Альтаир» акционировалось и вошло в концерн «ПВО «Алмаз-Антей» и теперь называется ОАО «Морской научно-исследовательский институт радиоэлектроники «Альтаир» (ОАО «МНИИРЭ «Альтаир»). В настоящее время «Альтаир» располагает квалифицированными научными и инженерными кадрами, опытным производством, хорошо оборудованными лабораториями, научно-испытательной базой «Большая Волга», имеет хорошие экспортные возможности и способен разрабатывать новые виды вооружения, отвечающие самым современным требованиям (11670).</w:t>
      </w:r>
    </w:p>
    <w:p w14:paraId="3ADC576A" w14:textId="77777777" w:rsidR="00D4105E" w:rsidRPr="00E14102" w:rsidRDefault="00D4105E" w:rsidP="00E14102">
      <w:pPr>
        <w:autoSpaceDE w:val="0"/>
        <w:autoSpaceDN w:val="0"/>
        <w:adjustRightInd w:val="0"/>
        <w:jc w:val="both"/>
        <w:rPr>
          <w:color w:val="000000" w:themeColor="text1"/>
          <w:sz w:val="16"/>
          <w:szCs w:val="16"/>
        </w:rPr>
      </w:pPr>
    </w:p>
    <w:p w14:paraId="321255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года были полностью закончены е заводские испытания специального резинового аппарата для оснащения подводных лодок (мягкий планер размещался на ПЛ в специальном помещении в сложенном виде и быстро, за 5 мин, приводился в рабочее состояние сжатым воздухом), изготовленного на заводе № 47, после чего поступило предложение продолжить их в ходе тактических учений, проводившихся на Балтийском флоте. Для реализации решения на предприятии «Северная верфь» под руководством инженера завода № 47 Константинова на одной из подводных лодок смонтировали специальный отсек длиной 400 см для оригинального летательного аппарата, который весил 200 кг и легко помещался в корабельном ангаре. Оснащенный мотором «Прага» мощностью 40 л.с. (единственный полностью металлический агрегат), он имел дальность полета 250—300 км при скорости 100 км/ч (ЦГА СПб. Ф. 7086. Оп. 1. Д. 153. Л. 5.). Испытания пневматического самолета, предназначенного для ведения разведки, полностью завершились в декабре 1935 года, после чего ему был присвоен индекс ПГ-69. 27 марта 1936-го на совещании, которое проводил с флотскими специалистами и представителями промышленности командующий БФ Л.М. Галлер, было решено оборудовать подводную лодку типа «Барс» мягким резиновым самолетом до 1 июня (Там же. Л. 39.) (11176).</w:t>
      </w:r>
    </w:p>
    <w:p w14:paraId="0454A704" w14:textId="77777777" w:rsidR="00D4105E" w:rsidRPr="00E14102" w:rsidRDefault="00D4105E" w:rsidP="00E14102">
      <w:pPr>
        <w:autoSpaceDE w:val="0"/>
        <w:autoSpaceDN w:val="0"/>
        <w:adjustRightInd w:val="0"/>
        <w:jc w:val="both"/>
        <w:rPr>
          <w:color w:val="000000" w:themeColor="text1"/>
          <w:sz w:val="16"/>
          <w:szCs w:val="16"/>
        </w:rPr>
      </w:pPr>
    </w:p>
    <w:p w14:paraId="3E980425" w14:textId="77777777" w:rsidR="00A45C9C" w:rsidRPr="00E14102" w:rsidRDefault="00A45C9C" w:rsidP="00E14102">
      <w:pPr>
        <w:jc w:val="both"/>
        <w:rPr>
          <w:color w:val="000000" w:themeColor="text1"/>
          <w:sz w:val="16"/>
          <w:szCs w:val="16"/>
        </w:rPr>
      </w:pPr>
      <w:r w:rsidRPr="00E14102">
        <w:rPr>
          <w:color w:val="000000" w:themeColor="text1"/>
          <w:sz w:val="16"/>
          <w:szCs w:val="16"/>
        </w:rPr>
        <w:t>В мае 1934 г. КПК была испытана в Севастополе на торпедных катерах (ТКА № 124 типа Ш-4 и ТКА типа Г-5 с заводским № 135). Кроме КПК весом 165 кг, на катере установили систему креплений весом 270 кг. Торпедное вооружение на испытаниях отсутствовало. Испытания производились при волнении моря до 2–3 баллов (рис. 7.7).</w:t>
      </w:r>
    </w:p>
    <w:p w14:paraId="68E3C20D" w14:textId="77777777" w:rsidR="00A45C9C" w:rsidRPr="00E14102" w:rsidRDefault="00A45C9C" w:rsidP="00E14102">
      <w:pPr>
        <w:jc w:val="both"/>
        <w:rPr>
          <w:color w:val="000000" w:themeColor="text1"/>
          <w:sz w:val="16"/>
          <w:szCs w:val="16"/>
        </w:rPr>
      </w:pPr>
      <w:r w:rsidRPr="00E14102">
        <w:rPr>
          <w:color w:val="000000" w:themeColor="text1"/>
          <w:sz w:val="16"/>
          <w:szCs w:val="16"/>
        </w:rPr>
        <w:t>Рис. 7.7. Торпедный катер с 76-мм ДРП Курчевского.</w:t>
      </w:r>
    </w:p>
    <w:p w14:paraId="049858EC" w14:textId="77777777" w:rsidR="00A45C9C" w:rsidRPr="00E14102" w:rsidRDefault="00A45C9C" w:rsidP="00E14102">
      <w:pPr>
        <w:jc w:val="both"/>
        <w:rPr>
          <w:color w:val="000000" w:themeColor="text1"/>
          <w:sz w:val="16"/>
          <w:szCs w:val="16"/>
        </w:rPr>
      </w:pPr>
      <w:r w:rsidRPr="00E14102">
        <w:rPr>
          <w:color w:val="000000" w:themeColor="text1"/>
          <w:sz w:val="16"/>
          <w:szCs w:val="16"/>
        </w:rPr>
        <w:t>Испытания показали, что наводка КПК возможна лишь на самом малом ходу (до 17 узлов), а на полном ходу невозможно даже обслуживание пушки. При стрельбе отмечены срывы заклепок обшивки борта катера. Согласно заключению комиссии для КПК, установленных на торпедных катерах, требовался дюралевый щит для артсистемы и расчета.</w:t>
      </w:r>
    </w:p>
    <w:p w14:paraId="6398144C" w14:textId="77777777" w:rsidR="00A45C9C" w:rsidRPr="00E14102" w:rsidRDefault="00A45C9C" w:rsidP="00E14102">
      <w:pPr>
        <w:jc w:val="both"/>
        <w:rPr>
          <w:color w:val="000000" w:themeColor="text1"/>
          <w:sz w:val="16"/>
          <w:szCs w:val="16"/>
        </w:rPr>
      </w:pPr>
      <w:r w:rsidRPr="00E14102">
        <w:rPr>
          <w:color w:val="000000" w:themeColor="text1"/>
          <w:sz w:val="16"/>
          <w:szCs w:val="16"/>
        </w:rPr>
        <w:t>Следует отметить, что стрельбы из КПК на кораблях проходили относительно успешно. Это в значительной степени объясняется отработанностью 76-мм стволов ДРП и их выстрелов, которые использовались еще с 1930 г. Хотя при наземных стрельбах в 1933–1934 гг. у КПК были отмечены отрывы казенников и раздутия стволов. Для предотвращения этого специальная комиссия предложила уменьшить начальную скорость снаряда весом 4,72 кг до 345–350 м/с и изменить устройство медных поясков снарядов, что нарушало взаимозаменяемость снарядов КПК со снарядами полевых дивизионных орудий.</w:t>
      </w:r>
    </w:p>
    <w:p w14:paraId="5C4F9B26" w14:textId="77777777" w:rsidR="00A45C9C" w:rsidRPr="00E14102" w:rsidRDefault="00A45C9C" w:rsidP="00E14102">
      <w:pPr>
        <w:jc w:val="both"/>
        <w:rPr>
          <w:color w:val="000000" w:themeColor="text1"/>
          <w:sz w:val="16"/>
          <w:szCs w:val="16"/>
        </w:rPr>
      </w:pPr>
      <w:r w:rsidRPr="00E14102">
        <w:rPr>
          <w:color w:val="000000" w:themeColor="text1"/>
          <w:sz w:val="16"/>
          <w:szCs w:val="16"/>
        </w:rPr>
        <w:t>КПК официально приняли на вооружение в 1934 г. В 1932–1935 гг. на заводах № 7 и № 8 было изготовлено около 250 КПК.</w:t>
      </w:r>
    </w:p>
    <w:p w14:paraId="74FFDE16" w14:textId="77777777" w:rsidR="00A45C9C" w:rsidRPr="00E14102" w:rsidRDefault="00A45C9C" w:rsidP="00E14102">
      <w:pPr>
        <w:jc w:val="both"/>
        <w:rPr>
          <w:color w:val="000000" w:themeColor="text1"/>
          <w:sz w:val="16"/>
          <w:szCs w:val="16"/>
        </w:rPr>
      </w:pPr>
      <w:r w:rsidRPr="00E14102">
        <w:rPr>
          <w:color w:val="000000" w:themeColor="text1"/>
          <w:sz w:val="16"/>
          <w:szCs w:val="16"/>
        </w:rPr>
        <w:lastRenderedPageBreak/>
        <w:t>22 октября 1934 г. на Дальний Восток отправили 50 КПК, из них 25 — в Амурскую флотилию. В Тихоокеанском флоте планировалось вооружить КПК тральщики и подводные лодки типа «М». В Амурской флотилии КПК были вооружены канонерские лодки «Бурят» (2), «Монгол» (2) и «Пролетарий» (2), а также катера «Копье» и «Пика».</w:t>
      </w:r>
    </w:p>
    <w:p w14:paraId="16F7F7AB" w14:textId="77777777" w:rsidR="00A45C9C" w:rsidRPr="00E14102" w:rsidRDefault="00A45C9C" w:rsidP="00E14102">
      <w:pPr>
        <w:jc w:val="both"/>
        <w:rPr>
          <w:color w:val="000000" w:themeColor="text1"/>
          <w:sz w:val="16"/>
          <w:szCs w:val="16"/>
        </w:rPr>
      </w:pPr>
      <w:r w:rsidRPr="00E14102">
        <w:rPr>
          <w:color w:val="000000" w:themeColor="text1"/>
          <w:sz w:val="16"/>
          <w:szCs w:val="16"/>
        </w:rPr>
        <w:t>Интересно, что КПК продержались на вооружении дольше других пушек Курчевского и были сняты с вооружения лишь в конце 1938 г.</w:t>
      </w:r>
    </w:p>
    <w:p w14:paraId="41E51065" w14:textId="77777777" w:rsidR="00A45C9C" w:rsidRPr="00E14102" w:rsidRDefault="00A45C9C" w:rsidP="00E14102">
      <w:pPr>
        <w:jc w:val="both"/>
        <w:rPr>
          <w:color w:val="000000" w:themeColor="text1"/>
          <w:sz w:val="16"/>
          <w:szCs w:val="16"/>
        </w:rPr>
      </w:pPr>
      <w:r w:rsidRPr="00E14102">
        <w:rPr>
          <w:color w:val="000000" w:themeColor="text1"/>
          <w:sz w:val="16"/>
          <w:szCs w:val="16"/>
        </w:rPr>
        <w:t xml:space="preserve">Данные 76-мм КПК </w:t>
      </w:r>
    </w:p>
    <w:p w14:paraId="0BB2D227" w14:textId="77777777" w:rsidR="00A45C9C" w:rsidRPr="00E14102" w:rsidRDefault="00A45C9C" w:rsidP="00E14102">
      <w:pPr>
        <w:jc w:val="both"/>
        <w:rPr>
          <w:color w:val="000000" w:themeColor="text1"/>
          <w:sz w:val="16"/>
          <w:szCs w:val="16"/>
        </w:rPr>
      </w:pPr>
      <w:r w:rsidRPr="00E14102">
        <w:rPr>
          <w:color w:val="000000" w:themeColor="text1"/>
          <w:sz w:val="16"/>
          <w:szCs w:val="16"/>
        </w:rPr>
        <w:t>Калибр, мм — 76,2</w:t>
      </w:r>
    </w:p>
    <w:p w14:paraId="6634E560" w14:textId="77777777" w:rsidR="00A45C9C" w:rsidRPr="00E14102" w:rsidRDefault="00A45C9C" w:rsidP="00E14102">
      <w:pPr>
        <w:jc w:val="both"/>
        <w:rPr>
          <w:color w:val="000000" w:themeColor="text1"/>
          <w:sz w:val="16"/>
          <w:szCs w:val="16"/>
        </w:rPr>
      </w:pPr>
      <w:r w:rsidRPr="00E14102">
        <w:rPr>
          <w:color w:val="000000" w:themeColor="text1"/>
          <w:sz w:val="16"/>
          <w:szCs w:val="16"/>
        </w:rPr>
        <w:t>Длина ствола, мм/клб: с воронкой — 2780/36,6</w:t>
      </w:r>
    </w:p>
    <w:p w14:paraId="16509175" w14:textId="77777777" w:rsidR="00A45C9C" w:rsidRPr="00E14102" w:rsidRDefault="00A45C9C" w:rsidP="00E14102">
      <w:pPr>
        <w:jc w:val="both"/>
        <w:rPr>
          <w:color w:val="000000" w:themeColor="text1"/>
          <w:sz w:val="16"/>
          <w:szCs w:val="16"/>
        </w:rPr>
      </w:pPr>
      <w:r w:rsidRPr="00E14102">
        <w:rPr>
          <w:color w:val="000000" w:themeColor="text1"/>
          <w:sz w:val="16"/>
          <w:szCs w:val="16"/>
        </w:rPr>
        <w:t>без воронки — 2080/27,3</w:t>
      </w:r>
    </w:p>
    <w:p w14:paraId="2BE8F977" w14:textId="77777777" w:rsidR="00A45C9C" w:rsidRPr="00E14102" w:rsidRDefault="00A45C9C" w:rsidP="00E14102">
      <w:pPr>
        <w:jc w:val="both"/>
        <w:rPr>
          <w:color w:val="000000" w:themeColor="text1"/>
          <w:sz w:val="16"/>
          <w:szCs w:val="16"/>
        </w:rPr>
      </w:pPr>
      <w:r w:rsidRPr="00E14102">
        <w:rPr>
          <w:color w:val="000000" w:themeColor="text1"/>
          <w:sz w:val="16"/>
          <w:szCs w:val="16"/>
        </w:rPr>
        <w:t>Длина воронки, мм — 784</w:t>
      </w:r>
    </w:p>
    <w:p w14:paraId="23B71A68" w14:textId="77777777" w:rsidR="00A45C9C" w:rsidRPr="00E14102" w:rsidRDefault="00A45C9C" w:rsidP="00E14102">
      <w:pPr>
        <w:jc w:val="both"/>
        <w:rPr>
          <w:color w:val="000000" w:themeColor="text1"/>
          <w:sz w:val="16"/>
          <w:szCs w:val="16"/>
        </w:rPr>
      </w:pPr>
      <w:r w:rsidRPr="00E14102">
        <w:rPr>
          <w:color w:val="000000" w:themeColor="text1"/>
          <w:sz w:val="16"/>
          <w:szCs w:val="16"/>
        </w:rPr>
        <w:t>Угол ВН, град —10°; +60°</w:t>
      </w:r>
    </w:p>
    <w:p w14:paraId="427CC8E5" w14:textId="77777777" w:rsidR="00A45C9C" w:rsidRPr="00E14102" w:rsidRDefault="00A45C9C" w:rsidP="00E14102">
      <w:pPr>
        <w:jc w:val="both"/>
        <w:rPr>
          <w:color w:val="000000" w:themeColor="text1"/>
          <w:sz w:val="16"/>
          <w:szCs w:val="16"/>
        </w:rPr>
      </w:pPr>
      <w:r w:rsidRPr="00E14102">
        <w:rPr>
          <w:color w:val="000000" w:themeColor="text1"/>
          <w:sz w:val="16"/>
          <w:szCs w:val="16"/>
        </w:rPr>
        <w:t>Угол ГН, град — 360°</w:t>
      </w:r>
    </w:p>
    <w:p w14:paraId="4833CD1C" w14:textId="77777777" w:rsidR="00A45C9C" w:rsidRPr="00E14102" w:rsidRDefault="00A45C9C" w:rsidP="00E14102">
      <w:pPr>
        <w:jc w:val="both"/>
        <w:rPr>
          <w:color w:val="000000" w:themeColor="text1"/>
          <w:sz w:val="16"/>
          <w:szCs w:val="16"/>
        </w:rPr>
      </w:pPr>
      <w:r w:rsidRPr="00E14102">
        <w:rPr>
          <w:color w:val="000000" w:themeColor="text1"/>
          <w:sz w:val="16"/>
          <w:szCs w:val="16"/>
        </w:rPr>
        <w:t>Высота оси цапф от основания тумбы, мм — 1278</w:t>
      </w:r>
    </w:p>
    <w:p w14:paraId="065095CC" w14:textId="77777777" w:rsidR="00A45C9C" w:rsidRPr="00E14102" w:rsidRDefault="00A45C9C" w:rsidP="00E14102">
      <w:pPr>
        <w:jc w:val="both"/>
        <w:rPr>
          <w:color w:val="000000" w:themeColor="text1"/>
          <w:sz w:val="16"/>
          <w:szCs w:val="16"/>
        </w:rPr>
      </w:pPr>
      <w:r w:rsidRPr="00E14102">
        <w:rPr>
          <w:color w:val="000000" w:themeColor="text1"/>
          <w:sz w:val="16"/>
          <w:szCs w:val="16"/>
        </w:rPr>
        <w:t>Вес ствола, кг — 80</w:t>
      </w:r>
    </w:p>
    <w:p w14:paraId="5C8F78CB" w14:textId="77777777" w:rsidR="00A45C9C" w:rsidRPr="00E14102" w:rsidRDefault="00A45C9C" w:rsidP="00E14102">
      <w:pPr>
        <w:jc w:val="both"/>
        <w:rPr>
          <w:color w:val="000000" w:themeColor="text1"/>
          <w:sz w:val="16"/>
          <w:szCs w:val="16"/>
        </w:rPr>
      </w:pPr>
      <w:r w:rsidRPr="00E14102">
        <w:rPr>
          <w:color w:val="000000" w:themeColor="text1"/>
          <w:sz w:val="16"/>
          <w:szCs w:val="16"/>
        </w:rPr>
        <w:t>Вес сопла, кг — 8</w:t>
      </w:r>
    </w:p>
    <w:p w14:paraId="0719DABE" w14:textId="77777777" w:rsidR="00A45C9C" w:rsidRPr="00E14102" w:rsidRDefault="00A45C9C" w:rsidP="00E14102">
      <w:pPr>
        <w:jc w:val="both"/>
        <w:rPr>
          <w:color w:val="000000" w:themeColor="text1"/>
          <w:sz w:val="16"/>
          <w:szCs w:val="16"/>
        </w:rPr>
      </w:pPr>
      <w:r w:rsidRPr="00E14102">
        <w:rPr>
          <w:color w:val="000000" w:themeColor="text1"/>
          <w:sz w:val="16"/>
          <w:szCs w:val="16"/>
        </w:rPr>
        <w:t>Вес тумбы, кг — 75</w:t>
      </w:r>
    </w:p>
    <w:p w14:paraId="05E95A15" w14:textId="77777777" w:rsidR="00A45C9C" w:rsidRPr="00E14102" w:rsidRDefault="00A45C9C" w:rsidP="00E14102">
      <w:pPr>
        <w:jc w:val="both"/>
        <w:rPr>
          <w:color w:val="000000" w:themeColor="text1"/>
          <w:sz w:val="16"/>
          <w:szCs w:val="16"/>
        </w:rPr>
      </w:pPr>
      <w:r w:rsidRPr="00E14102">
        <w:rPr>
          <w:color w:val="000000" w:themeColor="text1"/>
          <w:sz w:val="16"/>
          <w:szCs w:val="16"/>
        </w:rPr>
        <w:t>Вес всей системы, кг — 165</w:t>
      </w:r>
    </w:p>
    <w:p w14:paraId="64318DCD" w14:textId="77777777" w:rsidR="00A45C9C" w:rsidRPr="00E14102" w:rsidRDefault="00A45C9C" w:rsidP="00E14102">
      <w:pPr>
        <w:jc w:val="both"/>
        <w:rPr>
          <w:color w:val="000000" w:themeColor="text1"/>
          <w:sz w:val="16"/>
          <w:szCs w:val="16"/>
        </w:rPr>
      </w:pPr>
      <w:r w:rsidRPr="00E14102">
        <w:rPr>
          <w:color w:val="000000" w:themeColor="text1"/>
          <w:sz w:val="16"/>
          <w:szCs w:val="16"/>
        </w:rPr>
        <w:t>Скорострельность, выстр/мин — 6 (12705).</w:t>
      </w:r>
    </w:p>
    <w:p w14:paraId="5C19D7D3" w14:textId="77777777" w:rsidR="00A45C9C" w:rsidRPr="00E14102" w:rsidRDefault="00A45C9C" w:rsidP="00E14102">
      <w:pPr>
        <w:jc w:val="both"/>
        <w:rPr>
          <w:color w:val="000000" w:themeColor="text1"/>
          <w:sz w:val="16"/>
          <w:szCs w:val="16"/>
        </w:rPr>
      </w:pPr>
    </w:p>
    <w:p w14:paraId="6679982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61CE526D" w14:textId="77777777" w:rsidR="00D4105E" w:rsidRPr="00E14102" w:rsidRDefault="00D4105E" w:rsidP="00E14102">
      <w:pPr>
        <w:autoSpaceDE w:val="0"/>
        <w:autoSpaceDN w:val="0"/>
        <w:adjustRightInd w:val="0"/>
        <w:jc w:val="both"/>
        <w:rPr>
          <w:iCs/>
          <w:color w:val="000000" w:themeColor="text1"/>
          <w:sz w:val="16"/>
          <w:szCs w:val="16"/>
        </w:rPr>
      </w:pPr>
    </w:p>
    <w:p w14:paraId="433D06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г. по плану перспективного развития стратегической авиации, утвержденному Управление ВВС хотело к 1 мая 1938 г. довести ее состав до 18 бригад, включающих 70 эскадрилий по 16 самолетов в каждой. Это более 1100 тяжелых машин.</w:t>
      </w:r>
    </w:p>
    <w:p w14:paraId="171CF9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следует учесть, что свои планы военные писали "от желаемого". Расходы на оборону являлись "священной коровой", и особенно считать деньги на эти цели было не принято. Да, собственно, и подсчитать все это толком никто не мог, поскольку верхушка и военного, и политического руководства не отличалась образованностью. Тогда даже начальники институтов гордо писали в анкетах "образование среднее - четыре класса церковно-приходской школы" (это из анкеты П.И. Гроховского, начальника Осконбюро ВВС, а затем Экспериментального института НКТП). В своем докладе в 1929 г. начальник Управления ВВС П.И. Баранов открыто сказал, что у нас уникальная страна: чем выше сидит начальник, тем ниже его образование! Он и сам не являлся исключением - командовал ВВС, будучи партийным работником, и летать не умел совсем.</w:t>
      </w:r>
    </w:p>
    <w:p w14:paraId="4DA193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 не менее, грамотные специалисты старой школы умели отличать желаемое от реального. Как ни старалось Управление ВВС впихнуть в план ГУАП сверхтяжелый бомбовоз ТБ-7 (по прикидкам это получался монстр с размахом крыла под 200 м), от его создания промышленность отказалась (12036).</w:t>
      </w:r>
    </w:p>
    <w:p w14:paraId="4AA23CDA" w14:textId="77777777" w:rsidR="00D4105E" w:rsidRPr="00E14102" w:rsidRDefault="00D4105E" w:rsidP="00E14102">
      <w:pPr>
        <w:autoSpaceDE w:val="0"/>
        <w:autoSpaceDN w:val="0"/>
        <w:adjustRightInd w:val="0"/>
        <w:jc w:val="both"/>
        <w:rPr>
          <w:color w:val="000000" w:themeColor="text1"/>
          <w:sz w:val="16"/>
          <w:szCs w:val="16"/>
        </w:rPr>
      </w:pPr>
    </w:p>
    <w:p w14:paraId="4D055920" w14:textId="77777777" w:rsidR="00EF5252" w:rsidRPr="00E14102" w:rsidRDefault="00EF5252" w:rsidP="00E14102">
      <w:pPr>
        <w:jc w:val="both"/>
        <w:rPr>
          <w:color w:val="000000" w:themeColor="text1"/>
          <w:sz w:val="16"/>
          <w:szCs w:val="16"/>
        </w:rPr>
      </w:pPr>
      <w:r w:rsidRPr="00E14102">
        <w:rPr>
          <w:color w:val="000000" w:themeColor="text1"/>
          <w:sz w:val="16"/>
          <w:szCs w:val="16"/>
        </w:rPr>
        <w:t>В мае 1935 г. был утвержден План организационных мероприятий в РККА - началась военная реформа. Второй этап реформы охватывал период с весны 1940 г. до момента нападения Германии на СССР в июне 1941 г. (19390).</w:t>
      </w:r>
    </w:p>
    <w:p w14:paraId="613909F9" w14:textId="77777777" w:rsidR="00EF5252" w:rsidRPr="00E14102" w:rsidRDefault="00EF5252" w:rsidP="00E14102">
      <w:pPr>
        <w:jc w:val="both"/>
        <w:rPr>
          <w:color w:val="000000" w:themeColor="text1"/>
          <w:sz w:val="16"/>
          <w:szCs w:val="16"/>
        </w:rPr>
      </w:pPr>
    </w:p>
    <w:p w14:paraId="64407E2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933AEAD" w14:textId="77777777" w:rsidR="00D4105E" w:rsidRPr="00E14102" w:rsidRDefault="00D4105E" w:rsidP="00E14102">
      <w:pPr>
        <w:autoSpaceDE w:val="0"/>
        <w:autoSpaceDN w:val="0"/>
        <w:adjustRightInd w:val="0"/>
        <w:jc w:val="both"/>
        <w:rPr>
          <w:iCs/>
          <w:color w:val="000000" w:themeColor="text1"/>
          <w:sz w:val="16"/>
          <w:szCs w:val="16"/>
        </w:rPr>
      </w:pPr>
    </w:p>
    <w:p w14:paraId="6EC0F1E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мае 1935 года Сталин разослал в местные партийные инстанции новое письмо Центрального Комитета, предписывающее тщательную проверку личного дела каждого коммуниста (6804).</w:t>
      </w:r>
    </w:p>
    <w:p w14:paraId="7B0CD03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B83E572" w14:textId="77777777" w:rsidR="003E12CB" w:rsidRPr="00E14102" w:rsidRDefault="003E12CB" w:rsidP="00E14102">
      <w:pPr>
        <w:jc w:val="both"/>
        <w:rPr>
          <w:rFonts w:eastAsia="TimesNewRomanPSMT"/>
          <w:color w:val="0070C0"/>
          <w:sz w:val="16"/>
          <w:szCs w:val="16"/>
        </w:rPr>
      </w:pPr>
      <w:r w:rsidRPr="00E14102">
        <w:rPr>
          <w:color w:val="0070C0"/>
          <w:sz w:val="16"/>
          <w:szCs w:val="16"/>
        </w:rPr>
        <w:t>С мая 1934 г. начали выпускаться троллейбусы ЛК-4, которые комплектовались ведущим мостом от немецкого грузовика Bussing с улучшенной тормозной системой. Шасси для ЛК-4 стал изготовлять московский завод «АРЕМЗ». Старый автомат ДДК-300В заменили на более совершенный АВ-1А с расположением его в кабине. Интересно отметить, что изначально было только две модели — двухосный ЛК и трехосный ЛК-2. Однако после создания в НАТИ улучшенного варианта первым двум троллейбусам образца 1933 г. присвоили индекс ЛК-1, следующим десяти, которые собирались на другом заводе, — ЛК-2, трехосный троллейбус стал называться ЛК-3, а новая модификация получила обозначение ЛК-4 (22735).</w:t>
      </w:r>
    </w:p>
    <w:p w14:paraId="4E062340" w14:textId="77777777" w:rsidR="003E12CB" w:rsidRPr="00E14102" w:rsidRDefault="003E12CB" w:rsidP="00E14102">
      <w:pPr>
        <w:jc w:val="both"/>
        <w:rPr>
          <w:rFonts w:eastAsia="TimesNewRomanPSMT"/>
          <w:color w:val="0070C0"/>
          <w:sz w:val="16"/>
          <w:szCs w:val="16"/>
        </w:rPr>
      </w:pPr>
    </w:p>
    <w:p w14:paraId="359D52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Май 1935 г. В связи с пуском первой очереди Московского метрополитена, создаются подразделения милиции по его охране (10303).</w:t>
      </w:r>
    </w:p>
    <w:p w14:paraId="6F844DA7" w14:textId="77777777" w:rsidR="00D4105E" w:rsidRPr="00E14102" w:rsidRDefault="00D4105E" w:rsidP="00E14102">
      <w:pPr>
        <w:autoSpaceDE w:val="0"/>
        <w:autoSpaceDN w:val="0"/>
        <w:adjustRightInd w:val="0"/>
        <w:jc w:val="both"/>
        <w:rPr>
          <w:color w:val="000000" w:themeColor="text1"/>
          <w:sz w:val="16"/>
          <w:szCs w:val="16"/>
        </w:rPr>
      </w:pPr>
    </w:p>
    <w:p w14:paraId="41A3F8E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A908BDC" w14:textId="77777777" w:rsidR="00D4105E" w:rsidRPr="00E14102" w:rsidRDefault="00D4105E" w:rsidP="00E14102">
      <w:pPr>
        <w:autoSpaceDE w:val="0"/>
        <w:autoSpaceDN w:val="0"/>
        <w:adjustRightInd w:val="0"/>
        <w:jc w:val="both"/>
        <w:rPr>
          <w:iCs/>
          <w:color w:val="000000" w:themeColor="text1"/>
          <w:sz w:val="16"/>
          <w:szCs w:val="16"/>
        </w:rPr>
      </w:pPr>
    </w:p>
    <w:p w14:paraId="26525D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в Польше к власти пришла к власти генеральская группа во главе с Рыдз-Смиглы (2443,409).</w:t>
      </w:r>
    </w:p>
    <w:p w14:paraId="40E823E1" w14:textId="77777777" w:rsidR="00D4105E" w:rsidRPr="00E14102" w:rsidRDefault="00D4105E" w:rsidP="00E14102">
      <w:pPr>
        <w:autoSpaceDE w:val="0"/>
        <w:autoSpaceDN w:val="0"/>
        <w:adjustRightInd w:val="0"/>
        <w:jc w:val="both"/>
        <w:rPr>
          <w:color w:val="000000" w:themeColor="text1"/>
          <w:sz w:val="16"/>
          <w:szCs w:val="16"/>
        </w:rPr>
      </w:pPr>
    </w:p>
    <w:p w14:paraId="24B54F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1935 г. официоз СС газета "Дас Шварце Кор" посвятила свою передовую статью поддержке сионизма: "Недалеко то время, когда в Палестину вернутся ее сыновья, отсутствовавшие более тысячи лет. Мы от всего сердца приветствуем их и желаем им лишь самого наилучшего" (3573).</w:t>
      </w:r>
    </w:p>
    <w:p w14:paraId="5AC4FAE4" w14:textId="77777777" w:rsidR="00D4105E" w:rsidRPr="00E14102" w:rsidRDefault="00D4105E" w:rsidP="00E14102">
      <w:pPr>
        <w:autoSpaceDE w:val="0"/>
        <w:autoSpaceDN w:val="0"/>
        <w:adjustRightInd w:val="0"/>
        <w:jc w:val="both"/>
        <w:rPr>
          <w:color w:val="000000" w:themeColor="text1"/>
          <w:sz w:val="16"/>
          <w:szCs w:val="16"/>
        </w:rPr>
      </w:pPr>
    </w:p>
    <w:p w14:paraId="51D9EC7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051AA29" w14:textId="77777777" w:rsidR="00D4105E" w:rsidRPr="00E14102" w:rsidRDefault="00D4105E" w:rsidP="00E14102">
      <w:pPr>
        <w:autoSpaceDE w:val="0"/>
        <w:autoSpaceDN w:val="0"/>
        <w:adjustRightInd w:val="0"/>
        <w:jc w:val="both"/>
        <w:rPr>
          <w:iCs/>
          <w:color w:val="000000" w:themeColor="text1"/>
          <w:sz w:val="16"/>
          <w:szCs w:val="16"/>
        </w:rPr>
      </w:pPr>
    </w:p>
    <w:p w14:paraId="47F9B6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мае-июне 1935 в НИИ ВВС испытали эталон Р-6 на 1935 - машину N 22330 с улучшенным оборудованием (2766,36).</w:t>
      </w:r>
    </w:p>
    <w:p w14:paraId="51D42FF2" w14:textId="77777777" w:rsidR="00D4105E" w:rsidRPr="00E14102" w:rsidRDefault="00D4105E" w:rsidP="00E14102">
      <w:pPr>
        <w:autoSpaceDE w:val="0"/>
        <w:autoSpaceDN w:val="0"/>
        <w:adjustRightInd w:val="0"/>
        <w:jc w:val="both"/>
        <w:rPr>
          <w:color w:val="000000" w:themeColor="text1"/>
          <w:sz w:val="16"/>
          <w:szCs w:val="16"/>
        </w:rPr>
      </w:pPr>
    </w:p>
    <w:p w14:paraId="54402DAE" w14:textId="77777777" w:rsidR="00DA70F3" w:rsidRPr="00E14102" w:rsidRDefault="00DA70F3" w:rsidP="00E14102">
      <w:pPr>
        <w:jc w:val="both"/>
        <w:rPr>
          <w:color w:val="000000" w:themeColor="text1"/>
          <w:sz w:val="16"/>
          <w:szCs w:val="16"/>
        </w:rPr>
      </w:pPr>
      <w:r w:rsidRPr="00E14102">
        <w:rPr>
          <w:color w:val="000000" w:themeColor="text1"/>
          <w:sz w:val="16"/>
          <w:szCs w:val="16"/>
        </w:rPr>
        <w:t>В мае - июне 1935 в НИИ ВВС испытывался КР-6 № 22330 – эталон 1935. По сравнению с более ранними образцами, на нём немного изменили оборудование, установили фотоаппарат АФА-13 и радиостанцию 13-ЭСК. Пневмопочту ликвидировали, ограничившись переговорными приборами. Место немецкого бомбового прицела «Герц» занял отечественный ОПБ-1, скопированный с него же. Усилили амортизационную стойку шасси, надев поверх неё трубу из углеродистой стали. Ввели аварийный слив горючего, но неудачно - опорожнение баков длилось от 15 минут до часа (при заданном - 25 с!). Да и подобраться к рычагам, с помощью которых тросами срывали мембраны с горловин, было нелегко. Мешал штурвал управления стабилизатором и баллон со сжатым воздухом. От пилота требовалось большое усилие, причём рука находилась в неудобном положении. При заедании одного троса не открывались обе горловины.</w:t>
      </w:r>
    </w:p>
    <w:p w14:paraId="3D255317" w14:textId="77777777" w:rsidR="00DA70F3" w:rsidRPr="00E14102" w:rsidRDefault="00DA70F3" w:rsidP="00E14102">
      <w:pPr>
        <w:jc w:val="both"/>
        <w:rPr>
          <w:color w:val="000000" w:themeColor="text1"/>
          <w:sz w:val="16"/>
          <w:szCs w:val="16"/>
        </w:rPr>
      </w:pPr>
      <w:r w:rsidRPr="00E14102">
        <w:rPr>
          <w:color w:val="000000" w:themeColor="text1"/>
          <w:sz w:val="16"/>
          <w:szCs w:val="16"/>
        </w:rPr>
        <w:t>Машина имела «клапаны Нортропа» - посадочные щитки. Выпуск их осуществлялся механическим приводом. Пилот орудовал рычагом туда-сюда (в отчёте написано «14 перехватов»). Колёса, разумеется, стояли уже тормозные. В таком виде выпустили последние КР-6. Всего за 1935 г. их сделали 48.</w:t>
      </w:r>
    </w:p>
    <w:p w14:paraId="5BF15BE4" w14:textId="77777777" w:rsidR="00DA70F3" w:rsidRPr="00E14102" w:rsidRDefault="00DA70F3" w:rsidP="00E14102">
      <w:pPr>
        <w:jc w:val="both"/>
        <w:rPr>
          <w:color w:val="000000" w:themeColor="text1"/>
          <w:sz w:val="16"/>
          <w:szCs w:val="16"/>
        </w:rPr>
      </w:pPr>
      <w:r w:rsidRPr="00E14102">
        <w:rPr>
          <w:color w:val="000000" w:themeColor="text1"/>
          <w:sz w:val="16"/>
          <w:szCs w:val="16"/>
        </w:rPr>
        <w:t>Выпуск самолётов Р-6 и КР-6</w:t>
      </w:r>
    </w:p>
    <w:p w14:paraId="555F1F0E" w14:textId="77777777" w:rsidR="00DA70F3" w:rsidRPr="00E14102" w:rsidRDefault="00DA70F3" w:rsidP="00E14102">
      <w:pPr>
        <w:jc w:val="both"/>
        <w:rPr>
          <w:color w:val="000000" w:themeColor="text1"/>
          <w:sz w:val="16"/>
          <w:szCs w:val="16"/>
        </w:rPr>
      </w:pPr>
      <w:r w:rsidRPr="00E14102">
        <w:rPr>
          <w:color w:val="000000" w:themeColor="text1"/>
          <w:sz w:val="16"/>
          <w:szCs w:val="16"/>
        </w:rPr>
        <w:t>Тип</w:t>
      </w:r>
      <w:r w:rsidRPr="00E14102">
        <w:rPr>
          <w:color w:val="000000" w:themeColor="text1"/>
          <w:sz w:val="16"/>
          <w:szCs w:val="16"/>
        </w:rPr>
        <w:tab/>
        <w:t>Завод</w:t>
      </w:r>
      <w:r w:rsidRPr="00E14102">
        <w:rPr>
          <w:color w:val="000000" w:themeColor="text1"/>
          <w:sz w:val="16"/>
          <w:szCs w:val="16"/>
        </w:rPr>
        <w:tab/>
        <w:t>Год выпуска</w:t>
      </w:r>
    </w:p>
    <w:p w14:paraId="3D374523" w14:textId="77777777" w:rsidR="00DA70F3" w:rsidRPr="00E14102" w:rsidRDefault="00DA70F3" w:rsidP="00E14102">
      <w:pPr>
        <w:jc w:val="both"/>
        <w:rPr>
          <w:color w:val="000000" w:themeColor="text1"/>
          <w:sz w:val="16"/>
          <w:szCs w:val="16"/>
        </w:rPr>
      </w:pPr>
      <w:r w:rsidRPr="00E14102">
        <w:rPr>
          <w:color w:val="000000" w:themeColor="text1"/>
          <w:sz w:val="16"/>
          <w:szCs w:val="16"/>
        </w:rPr>
        <w:tab/>
      </w:r>
      <w:r w:rsidRPr="00E14102">
        <w:rPr>
          <w:color w:val="000000" w:themeColor="text1"/>
          <w:sz w:val="16"/>
          <w:szCs w:val="16"/>
        </w:rPr>
        <w:tab/>
        <w:t>1931</w:t>
      </w:r>
      <w:r w:rsidRPr="00E14102">
        <w:rPr>
          <w:color w:val="000000" w:themeColor="text1"/>
          <w:sz w:val="16"/>
          <w:szCs w:val="16"/>
        </w:rPr>
        <w:tab/>
        <w:t>1932</w:t>
      </w:r>
      <w:r w:rsidRPr="00E14102">
        <w:rPr>
          <w:color w:val="000000" w:themeColor="text1"/>
          <w:sz w:val="16"/>
          <w:szCs w:val="16"/>
        </w:rPr>
        <w:tab/>
        <w:t>1933</w:t>
      </w:r>
      <w:r w:rsidRPr="00E14102">
        <w:rPr>
          <w:color w:val="000000" w:themeColor="text1"/>
          <w:sz w:val="16"/>
          <w:szCs w:val="16"/>
        </w:rPr>
        <w:tab/>
        <w:t>1934</w:t>
      </w:r>
      <w:r w:rsidRPr="00E14102">
        <w:rPr>
          <w:color w:val="000000" w:themeColor="text1"/>
          <w:sz w:val="16"/>
          <w:szCs w:val="16"/>
        </w:rPr>
        <w:tab/>
        <w:t>1935</w:t>
      </w:r>
      <w:r w:rsidRPr="00E14102">
        <w:rPr>
          <w:color w:val="000000" w:themeColor="text1"/>
          <w:sz w:val="16"/>
          <w:szCs w:val="16"/>
        </w:rPr>
        <w:tab/>
        <w:t>1936</w:t>
      </w:r>
    </w:p>
    <w:p w14:paraId="0C641C85" w14:textId="77777777" w:rsidR="00DA70F3" w:rsidRPr="00E14102" w:rsidRDefault="00DA70F3" w:rsidP="00E14102">
      <w:pPr>
        <w:jc w:val="both"/>
        <w:rPr>
          <w:color w:val="000000" w:themeColor="text1"/>
          <w:sz w:val="16"/>
          <w:szCs w:val="16"/>
        </w:rPr>
      </w:pPr>
      <w:r w:rsidRPr="00E14102">
        <w:rPr>
          <w:color w:val="000000" w:themeColor="text1"/>
          <w:sz w:val="16"/>
          <w:szCs w:val="16"/>
        </w:rPr>
        <w:t>Р-6</w:t>
      </w:r>
      <w:r w:rsidRPr="00E14102">
        <w:rPr>
          <w:color w:val="000000" w:themeColor="text1"/>
          <w:sz w:val="16"/>
          <w:szCs w:val="16"/>
        </w:rPr>
        <w:tab/>
        <w:t>№22</w:t>
      </w:r>
      <w:r w:rsidRPr="00E14102">
        <w:rPr>
          <w:color w:val="000000" w:themeColor="text1"/>
          <w:sz w:val="16"/>
          <w:szCs w:val="16"/>
        </w:rPr>
        <w:tab/>
        <w:t>15</w:t>
      </w:r>
      <w:r w:rsidRPr="00E14102">
        <w:rPr>
          <w:color w:val="000000" w:themeColor="text1"/>
          <w:sz w:val="16"/>
          <w:szCs w:val="16"/>
        </w:rPr>
        <w:tab/>
        <w:t>30</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w:t>
      </w:r>
    </w:p>
    <w:p w14:paraId="77A6D4C2" w14:textId="77777777" w:rsidR="00DA70F3" w:rsidRPr="00E14102" w:rsidRDefault="00DA70F3" w:rsidP="00E14102">
      <w:pPr>
        <w:jc w:val="both"/>
        <w:rPr>
          <w:color w:val="000000" w:themeColor="text1"/>
          <w:sz w:val="16"/>
          <w:szCs w:val="16"/>
        </w:rPr>
      </w:pPr>
      <w:r w:rsidRPr="00E14102">
        <w:rPr>
          <w:color w:val="000000" w:themeColor="text1"/>
          <w:sz w:val="16"/>
          <w:szCs w:val="16"/>
        </w:rPr>
        <w:tab/>
        <w:t>№31</w:t>
      </w:r>
      <w:r w:rsidRPr="00E14102">
        <w:rPr>
          <w:color w:val="000000" w:themeColor="text1"/>
          <w:sz w:val="16"/>
          <w:szCs w:val="16"/>
        </w:rPr>
        <w:tab/>
        <w:t>-</w:t>
      </w:r>
      <w:r w:rsidRPr="00E14102">
        <w:rPr>
          <w:color w:val="000000" w:themeColor="text1"/>
          <w:sz w:val="16"/>
          <w:szCs w:val="16"/>
        </w:rPr>
        <w:tab/>
        <w:t>1</w:t>
      </w:r>
      <w:r w:rsidRPr="00E14102">
        <w:rPr>
          <w:color w:val="000000" w:themeColor="text1"/>
          <w:sz w:val="16"/>
          <w:szCs w:val="16"/>
        </w:rPr>
        <w:tab/>
        <w:t>5</w:t>
      </w:r>
      <w:r w:rsidRPr="00E14102">
        <w:rPr>
          <w:color w:val="000000" w:themeColor="text1"/>
          <w:sz w:val="16"/>
          <w:szCs w:val="16"/>
        </w:rPr>
        <w:tab/>
        <w:t>20</w:t>
      </w:r>
      <w:r w:rsidRPr="00E14102">
        <w:rPr>
          <w:color w:val="000000" w:themeColor="text1"/>
          <w:sz w:val="16"/>
          <w:szCs w:val="16"/>
        </w:rPr>
        <w:tab/>
        <w:t>-</w:t>
      </w:r>
      <w:r w:rsidRPr="00E14102">
        <w:rPr>
          <w:color w:val="000000" w:themeColor="text1"/>
          <w:sz w:val="16"/>
          <w:szCs w:val="16"/>
        </w:rPr>
        <w:tab/>
        <w:t>-</w:t>
      </w:r>
    </w:p>
    <w:p w14:paraId="563D0A64" w14:textId="77777777" w:rsidR="00DA70F3" w:rsidRPr="00E14102" w:rsidRDefault="00DA70F3" w:rsidP="00E14102">
      <w:pPr>
        <w:jc w:val="both"/>
        <w:rPr>
          <w:color w:val="000000" w:themeColor="text1"/>
          <w:sz w:val="16"/>
          <w:szCs w:val="16"/>
        </w:rPr>
      </w:pPr>
      <w:r w:rsidRPr="00E14102">
        <w:rPr>
          <w:color w:val="000000" w:themeColor="text1"/>
          <w:sz w:val="16"/>
          <w:szCs w:val="16"/>
        </w:rPr>
        <w:tab/>
        <w:t>№ 126</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20</w:t>
      </w:r>
    </w:p>
    <w:p w14:paraId="7EC4782A" w14:textId="77777777" w:rsidR="00DA70F3" w:rsidRPr="00E14102" w:rsidRDefault="00DA70F3" w:rsidP="00E14102">
      <w:pPr>
        <w:jc w:val="both"/>
        <w:rPr>
          <w:color w:val="000000" w:themeColor="text1"/>
          <w:sz w:val="16"/>
          <w:szCs w:val="16"/>
        </w:rPr>
      </w:pPr>
      <w:r w:rsidRPr="00E14102">
        <w:rPr>
          <w:color w:val="000000" w:themeColor="text1"/>
          <w:sz w:val="16"/>
          <w:szCs w:val="16"/>
        </w:rPr>
        <w:t>КР-6</w:t>
      </w:r>
      <w:r w:rsidRPr="00E14102">
        <w:rPr>
          <w:color w:val="000000" w:themeColor="text1"/>
          <w:sz w:val="16"/>
          <w:szCs w:val="16"/>
        </w:rPr>
        <w:tab/>
        <w:t>№22</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150</w:t>
      </w:r>
      <w:r w:rsidRPr="00E14102">
        <w:rPr>
          <w:color w:val="000000" w:themeColor="text1"/>
          <w:sz w:val="16"/>
          <w:szCs w:val="16"/>
        </w:rPr>
        <w:tab/>
        <w:t>20</w:t>
      </w:r>
      <w:r w:rsidRPr="00E14102">
        <w:rPr>
          <w:color w:val="000000" w:themeColor="text1"/>
          <w:sz w:val="16"/>
          <w:szCs w:val="16"/>
        </w:rPr>
        <w:tab/>
        <w:t>-</w:t>
      </w:r>
    </w:p>
    <w:p w14:paraId="5242DB4B" w14:textId="77777777" w:rsidR="00DA70F3" w:rsidRPr="00E14102" w:rsidRDefault="00DA70F3" w:rsidP="00E14102">
      <w:pPr>
        <w:jc w:val="both"/>
        <w:rPr>
          <w:color w:val="000000" w:themeColor="text1"/>
          <w:sz w:val="16"/>
          <w:szCs w:val="16"/>
        </w:rPr>
      </w:pPr>
      <w:r w:rsidRPr="00E14102">
        <w:rPr>
          <w:color w:val="000000" w:themeColor="text1"/>
          <w:sz w:val="16"/>
          <w:szCs w:val="16"/>
        </w:rPr>
        <w:t>КР-6А</w:t>
      </w:r>
      <w:r w:rsidRPr="00E14102">
        <w:rPr>
          <w:color w:val="000000" w:themeColor="text1"/>
          <w:sz w:val="16"/>
          <w:szCs w:val="16"/>
        </w:rPr>
        <w:tab/>
        <w:t>№22</w:t>
      </w:r>
      <w:r w:rsidRPr="00E14102">
        <w:rPr>
          <w:color w:val="000000" w:themeColor="text1"/>
          <w:sz w:val="16"/>
          <w:szCs w:val="16"/>
        </w:rPr>
        <w:tab/>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72</w:t>
      </w:r>
      <w:r w:rsidRPr="00E14102">
        <w:rPr>
          <w:color w:val="000000" w:themeColor="text1"/>
          <w:sz w:val="16"/>
          <w:szCs w:val="16"/>
        </w:rPr>
        <w:tab/>
        <w:t>28</w:t>
      </w:r>
      <w:r w:rsidRPr="00E14102">
        <w:rPr>
          <w:color w:val="000000" w:themeColor="text1"/>
          <w:sz w:val="16"/>
          <w:szCs w:val="16"/>
        </w:rPr>
        <w:tab/>
        <w:t>(12264).</w:t>
      </w:r>
    </w:p>
    <w:p w14:paraId="69E3A5C8" w14:textId="77777777" w:rsidR="00DA70F3" w:rsidRPr="00E14102" w:rsidRDefault="00DA70F3" w:rsidP="00E14102">
      <w:pPr>
        <w:jc w:val="both"/>
        <w:rPr>
          <w:color w:val="000000" w:themeColor="text1"/>
          <w:sz w:val="16"/>
          <w:szCs w:val="16"/>
        </w:rPr>
      </w:pPr>
      <w:r w:rsidRPr="00E14102">
        <w:rPr>
          <w:color w:val="000000" w:themeColor="text1"/>
          <w:sz w:val="16"/>
          <w:szCs w:val="16"/>
        </w:rPr>
        <w:t>Лётно-технические характеристики самолётов семейства Р-6</w:t>
      </w:r>
    </w:p>
    <w:p w14:paraId="5D5BEC2E" w14:textId="77777777" w:rsidR="00DA70F3" w:rsidRPr="00E14102" w:rsidRDefault="00DA70F3" w:rsidP="00E14102">
      <w:pPr>
        <w:jc w:val="both"/>
        <w:rPr>
          <w:color w:val="000000" w:themeColor="text1"/>
          <w:sz w:val="16"/>
          <w:szCs w:val="16"/>
        </w:rPr>
      </w:pPr>
      <w:r w:rsidRPr="00E14102">
        <w:rPr>
          <w:color w:val="000000" w:themeColor="text1"/>
          <w:sz w:val="16"/>
          <w:szCs w:val="16"/>
        </w:rPr>
        <w:tab/>
        <w:t>Технические требования</w:t>
      </w:r>
      <w:r w:rsidRPr="00E14102">
        <w:rPr>
          <w:color w:val="000000" w:themeColor="text1"/>
          <w:sz w:val="16"/>
          <w:szCs w:val="16"/>
        </w:rPr>
        <w:tab/>
        <w:t>Предвари-тельный проект</w:t>
      </w:r>
      <w:r w:rsidRPr="00E14102">
        <w:rPr>
          <w:color w:val="000000" w:themeColor="text1"/>
          <w:sz w:val="16"/>
          <w:szCs w:val="16"/>
        </w:rPr>
        <w:tab/>
        <w:t>Уточнён-ный проект</w:t>
      </w:r>
      <w:r w:rsidRPr="00E14102">
        <w:rPr>
          <w:color w:val="000000" w:themeColor="text1"/>
          <w:sz w:val="16"/>
          <w:szCs w:val="16"/>
        </w:rPr>
        <w:tab/>
        <w:t>Опытный, 1-еиспытания</w:t>
      </w:r>
      <w:r w:rsidRPr="00E14102">
        <w:rPr>
          <w:color w:val="000000" w:themeColor="text1"/>
          <w:sz w:val="16"/>
          <w:szCs w:val="16"/>
        </w:rPr>
        <w:tab/>
        <w:t>Опытный,2-е испытания"</w:t>
      </w:r>
      <w:r w:rsidRPr="00E14102">
        <w:rPr>
          <w:color w:val="000000" w:themeColor="text1"/>
          <w:sz w:val="16"/>
          <w:szCs w:val="16"/>
        </w:rPr>
        <w:tab/>
        <w:t>Опытный, 2-еиспытания2'</w:t>
      </w:r>
      <w:r w:rsidRPr="00E14102">
        <w:rPr>
          <w:color w:val="000000" w:themeColor="text1"/>
          <w:sz w:val="16"/>
          <w:szCs w:val="16"/>
        </w:rPr>
        <w:tab/>
        <w:t>Р-6 головной №2202"</w:t>
      </w:r>
      <w:r w:rsidRPr="00E14102">
        <w:rPr>
          <w:color w:val="000000" w:themeColor="text1"/>
          <w:sz w:val="16"/>
          <w:szCs w:val="16"/>
        </w:rPr>
        <w:tab/>
        <w:t>Р-63&gt; серийный</w:t>
      </w:r>
      <w:r w:rsidRPr="00E14102">
        <w:rPr>
          <w:color w:val="000000" w:themeColor="text1"/>
          <w:sz w:val="16"/>
          <w:szCs w:val="16"/>
        </w:rPr>
        <w:tab/>
        <w:t>МР-6 (Р-ба) №2202</w:t>
      </w:r>
    </w:p>
    <w:p w14:paraId="2A808A96" w14:textId="77777777" w:rsidR="00DA70F3" w:rsidRPr="00E14102" w:rsidRDefault="00DA70F3" w:rsidP="00E14102">
      <w:pPr>
        <w:jc w:val="both"/>
        <w:rPr>
          <w:color w:val="000000" w:themeColor="text1"/>
          <w:sz w:val="16"/>
          <w:szCs w:val="16"/>
        </w:rPr>
      </w:pPr>
      <w:r w:rsidRPr="00E14102">
        <w:rPr>
          <w:color w:val="000000" w:themeColor="text1"/>
          <w:sz w:val="16"/>
          <w:szCs w:val="16"/>
        </w:rPr>
        <w:t>Размах, м</w:t>
      </w:r>
      <w:r w:rsidRPr="00E14102">
        <w:rPr>
          <w:color w:val="000000" w:themeColor="text1"/>
          <w:sz w:val="16"/>
          <w:szCs w:val="16"/>
        </w:rPr>
        <w:tab/>
        <w:t>-</w:t>
      </w:r>
      <w:r w:rsidRPr="00E14102">
        <w:rPr>
          <w:color w:val="000000" w:themeColor="text1"/>
          <w:sz w:val="16"/>
          <w:szCs w:val="16"/>
        </w:rPr>
        <w:tab/>
      </w:r>
      <w:r w:rsidRPr="00E14102">
        <w:rPr>
          <w:color w:val="000000" w:themeColor="text1"/>
          <w:sz w:val="16"/>
          <w:szCs w:val="16"/>
        </w:rPr>
        <w:tab/>
      </w:r>
      <w:r w:rsidRPr="00E14102">
        <w:rPr>
          <w:color w:val="000000" w:themeColor="text1"/>
          <w:sz w:val="16"/>
          <w:szCs w:val="16"/>
        </w:rPr>
        <w:tab/>
        <w:t>23,2</w:t>
      </w:r>
      <w:r w:rsidRPr="00E14102">
        <w:rPr>
          <w:color w:val="000000" w:themeColor="text1"/>
          <w:sz w:val="16"/>
          <w:szCs w:val="16"/>
        </w:rPr>
        <w:tab/>
        <w:t>23,2</w:t>
      </w:r>
      <w:r w:rsidRPr="00E14102">
        <w:rPr>
          <w:color w:val="000000" w:themeColor="text1"/>
          <w:sz w:val="16"/>
          <w:szCs w:val="16"/>
        </w:rPr>
        <w:tab/>
        <w:t>23,2</w:t>
      </w:r>
      <w:r w:rsidRPr="00E14102">
        <w:rPr>
          <w:color w:val="000000" w:themeColor="text1"/>
          <w:sz w:val="16"/>
          <w:szCs w:val="16"/>
        </w:rPr>
        <w:tab/>
        <w:t>23,2</w:t>
      </w:r>
      <w:r w:rsidRPr="00E14102">
        <w:rPr>
          <w:color w:val="000000" w:themeColor="text1"/>
          <w:sz w:val="16"/>
          <w:szCs w:val="16"/>
        </w:rPr>
        <w:tab/>
        <w:t>23,2</w:t>
      </w:r>
      <w:r w:rsidRPr="00E14102">
        <w:rPr>
          <w:color w:val="000000" w:themeColor="text1"/>
          <w:sz w:val="16"/>
          <w:szCs w:val="16"/>
        </w:rPr>
        <w:tab/>
        <w:t>23,2</w:t>
      </w:r>
    </w:p>
    <w:p w14:paraId="20516939" w14:textId="77777777" w:rsidR="00DA70F3" w:rsidRPr="00E14102" w:rsidRDefault="00DA70F3" w:rsidP="00E14102">
      <w:pPr>
        <w:jc w:val="both"/>
        <w:rPr>
          <w:color w:val="000000" w:themeColor="text1"/>
          <w:sz w:val="16"/>
          <w:szCs w:val="16"/>
        </w:rPr>
      </w:pPr>
      <w:r w:rsidRPr="00E14102">
        <w:rPr>
          <w:color w:val="000000" w:themeColor="text1"/>
          <w:sz w:val="16"/>
          <w:szCs w:val="16"/>
        </w:rPr>
        <w:t>Длина, м</w:t>
      </w:r>
      <w:r w:rsidRPr="00E14102">
        <w:rPr>
          <w:color w:val="000000" w:themeColor="text1"/>
          <w:sz w:val="16"/>
          <w:szCs w:val="16"/>
        </w:rPr>
        <w:tab/>
      </w:r>
      <w:r w:rsidRPr="00E14102">
        <w:rPr>
          <w:color w:val="000000" w:themeColor="text1"/>
          <w:sz w:val="16"/>
          <w:szCs w:val="16"/>
        </w:rPr>
        <w:tab/>
      </w:r>
      <w:r w:rsidRPr="00E14102">
        <w:rPr>
          <w:color w:val="000000" w:themeColor="text1"/>
          <w:sz w:val="16"/>
          <w:szCs w:val="16"/>
        </w:rPr>
        <w:tab/>
      </w:r>
      <w:r w:rsidRPr="00E14102">
        <w:rPr>
          <w:color w:val="000000" w:themeColor="text1"/>
          <w:sz w:val="16"/>
          <w:szCs w:val="16"/>
        </w:rPr>
        <w:tab/>
        <w:t>15,06</w:t>
      </w:r>
      <w:r w:rsidRPr="00E14102">
        <w:rPr>
          <w:color w:val="000000" w:themeColor="text1"/>
          <w:sz w:val="16"/>
          <w:szCs w:val="16"/>
        </w:rPr>
        <w:tab/>
        <w:t>15,06</w:t>
      </w:r>
      <w:r w:rsidRPr="00E14102">
        <w:rPr>
          <w:color w:val="000000" w:themeColor="text1"/>
          <w:sz w:val="16"/>
          <w:szCs w:val="16"/>
        </w:rPr>
        <w:tab/>
        <w:t>15,06</w:t>
      </w:r>
      <w:r w:rsidRPr="00E14102">
        <w:rPr>
          <w:color w:val="000000" w:themeColor="text1"/>
          <w:sz w:val="16"/>
          <w:szCs w:val="16"/>
        </w:rPr>
        <w:tab/>
        <w:t>15,06</w:t>
      </w:r>
      <w:r w:rsidRPr="00E14102">
        <w:rPr>
          <w:color w:val="000000" w:themeColor="text1"/>
          <w:sz w:val="16"/>
          <w:szCs w:val="16"/>
        </w:rPr>
        <w:tab/>
        <w:t>15,06</w:t>
      </w:r>
      <w:r w:rsidRPr="00E14102">
        <w:rPr>
          <w:color w:val="000000" w:themeColor="text1"/>
          <w:sz w:val="16"/>
          <w:szCs w:val="16"/>
        </w:rPr>
        <w:tab/>
        <w:t>15,06</w:t>
      </w:r>
    </w:p>
    <w:p w14:paraId="6E3E632E" w14:textId="77777777" w:rsidR="00DA70F3" w:rsidRPr="00E14102" w:rsidRDefault="00DA70F3" w:rsidP="00E14102">
      <w:pPr>
        <w:jc w:val="both"/>
        <w:rPr>
          <w:color w:val="000000" w:themeColor="text1"/>
          <w:sz w:val="16"/>
          <w:szCs w:val="16"/>
        </w:rPr>
      </w:pPr>
      <w:r w:rsidRPr="00E14102">
        <w:rPr>
          <w:color w:val="000000" w:themeColor="text1"/>
          <w:sz w:val="16"/>
          <w:szCs w:val="16"/>
        </w:rPr>
        <w:t>Вес пустого, кг</w:t>
      </w:r>
      <w:r w:rsidRPr="00E14102">
        <w:rPr>
          <w:color w:val="000000" w:themeColor="text1"/>
          <w:sz w:val="16"/>
          <w:szCs w:val="16"/>
        </w:rPr>
        <w:tab/>
      </w:r>
      <w:r w:rsidRPr="00E14102">
        <w:rPr>
          <w:color w:val="000000" w:themeColor="text1"/>
          <w:sz w:val="16"/>
          <w:szCs w:val="16"/>
        </w:rPr>
        <w:tab/>
      </w:r>
      <w:r w:rsidRPr="00E14102">
        <w:rPr>
          <w:color w:val="000000" w:themeColor="text1"/>
          <w:sz w:val="16"/>
          <w:szCs w:val="16"/>
        </w:rPr>
        <w:tab/>
        <w:t>-</w:t>
      </w:r>
      <w:r w:rsidRPr="00E14102">
        <w:rPr>
          <w:color w:val="000000" w:themeColor="text1"/>
          <w:sz w:val="16"/>
          <w:szCs w:val="16"/>
        </w:rPr>
        <w:tab/>
        <w:t>3790</w:t>
      </w:r>
      <w:r w:rsidRPr="00E14102">
        <w:rPr>
          <w:color w:val="000000" w:themeColor="text1"/>
          <w:sz w:val="16"/>
          <w:szCs w:val="16"/>
        </w:rPr>
        <w:tab/>
        <w:t>3708</w:t>
      </w:r>
      <w:r w:rsidRPr="00E14102">
        <w:rPr>
          <w:color w:val="000000" w:themeColor="text1"/>
          <w:sz w:val="16"/>
          <w:szCs w:val="16"/>
        </w:rPr>
        <w:tab/>
        <w:t>3708</w:t>
      </w:r>
      <w:r w:rsidRPr="00E14102">
        <w:rPr>
          <w:color w:val="000000" w:themeColor="text1"/>
          <w:sz w:val="16"/>
          <w:szCs w:val="16"/>
        </w:rPr>
        <w:tab/>
        <w:t>3898</w:t>
      </w:r>
      <w:r w:rsidRPr="00E14102">
        <w:rPr>
          <w:color w:val="000000" w:themeColor="text1"/>
          <w:sz w:val="16"/>
          <w:szCs w:val="16"/>
        </w:rPr>
        <w:tab/>
        <w:t>3856</w:t>
      </w:r>
      <w:r w:rsidRPr="00E14102">
        <w:rPr>
          <w:color w:val="000000" w:themeColor="text1"/>
          <w:sz w:val="16"/>
          <w:szCs w:val="16"/>
        </w:rPr>
        <w:tab/>
        <w:t>-</w:t>
      </w:r>
    </w:p>
    <w:p w14:paraId="6A6FD3BE" w14:textId="77777777" w:rsidR="00DA70F3" w:rsidRPr="00E14102" w:rsidRDefault="00DA70F3" w:rsidP="00E14102">
      <w:pPr>
        <w:jc w:val="both"/>
        <w:rPr>
          <w:color w:val="000000" w:themeColor="text1"/>
          <w:sz w:val="16"/>
          <w:szCs w:val="16"/>
        </w:rPr>
      </w:pPr>
      <w:r w:rsidRPr="00E14102">
        <w:rPr>
          <w:color w:val="000000" w:themeColor="text1"/>
          <w:sz w:val="16"/>
          <w:szCs w:val="16"/>
        </w:rPr>
        <w:t>Вес взлётный, кг</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5121</w:t>
      </w:r>
      <w:r w:rsidRPr="00E14102">
        <w:rPr>
          <w:color w:val="000000" w:themeColor="text1"/>
          <w:sz w:val="16"/>
          <w:szCs w:val="16"/>
        </w:rPr>
        <w:tab/>
        <w:t>5406</w:t>
      </w:r>
      <w:r w:rsidRPr="00E14102">
        <w:rPr>
          <w:color w:val="000000" w:themeColor="text1"/>
          <w:sz w:val="16"/>
          <w:szCs w:val="16"/>
        </w:rPr>
        <w:tab/>
        <w:t>5240</w:t>
      </w:r>
      <w:r w:rsidRPr="00E14102">
        <w:rPr>
          <w:color w:val="000000" w:themeColor="text1"/>
          <w:sz w:val="16"/>
          <w:szCs w:val="16"/>
        </w:rPr>
        <w:tab/>
        <w:t>5241</w:t>
      </w:r>
      <w:r w:rsidRPr="00E14102">
        <w:rPr>
          <w:color w:val="000000" w:themeColor="text1"/>
          <w:sz w:val="16"/>
          <w:szCs w:val="16"/>
        </w:rPr>
        <w:tab/>
        <w:t>-</w:t>
      </w:r>
      <w:r w:rsidRPr="00E14102">
        <w:rPr>
          <w:color w:val="000000" w:themeColor="text1"/>
          <w:sz w:val="16"/>
          <w:szCs w:val="16"/>
        </w:rPr>
        <w:tab/>
        <w:t>6410</w:t>
      </w:r>
    </w:p>
    <w:p w14:paraId="5F1B1FED" w14:textId="77777777" w:rsidR="00DA70F3" w:rsidRPr="00E14102" w:rsidRDefault="00DA70F3" w:rsidP="00E14102">
      <w:pPr>
        <w:jc w:val="both"/>
        <w:rPr>
          <w:color w:val="000000" w:themeColor="text1"/>
          <w:sz w:val="16"/>
          <w:szCs w:val="16"/>
        </w:rPr>
      </w:pPr>
      <w:r w:rsidRPr="00E14102">
        <w:rPr>
          <w:color w:val="000000" w:themeColor="text1"/>
          <w:sz w:val="16"/>
          <w:szCs w:val="16"/>
        </w:rPr>
        <w:t>Скорость у земли, км/ч</w:t>
      </w:r>
      <w:r w:rsidRPr="00E14102">
        <w:rPr>
          <w:color w:val="000000" w:themeColor="text1"/>
          <w:sz w:val="16"/>
          <w:szCs w:val="16"/>
        </w:rPr>
        <w:tab/>
        <w:t>-</w:t>
      </w:r>
      <w:r w:rsidRPr="00E14102">
        <w:rPr>
          <w:color w:val="000000" w:themeColor="text1"/>
          <w:sz w:val="16"/>
          <w:szCs w:val="16"/>
        </w:rPr>
        <w:tab/>
        <w:t>236</w:t>
      </w:r>
      <w:r w:rsidRPr="00E14102">
        <w:rPr>
          <w:color w:val="000000" w:themeColor="text1"/>
          <w:sz w:val="16"/>
          <w:szCs w:val="16"/>
        </w:rPr>
        <w:tab/>
        <w:t>220</w:t>
      </w:r>
      <w:r w:rsidRPr="00E14102">
        <w:rPr>
          <w:color w:val="000000" w:themeColor="text1"/>
          <w:sz w:val="16"/>
          <w:szCs w:val="16"/>
        </w:rPr>
        <w:tab/>
        <w:t>222</w:t>
      </w:r>
      <w:r w:rsidRPr="00E14102">
        <w:rPr>
          <w:color w:val="000000" w:themeColor="text1"/>
          <w:sz w:val="16"/>
          <w:szCs w:val="16"/>
        </w:rPr>
        <w:tab/>
        <w:t>220</w:t>
      </w:r>
      <w:r w:rsidRPr="00E14102">
        <w:rPr>
          <w:color w:val="000000" w:themeColor="text1"/>
          <w:sz w:val="16"/>
          <w:szCs w:val="16"/>
        </w:rPr>
        <w:tab/>
        <w:t>203</w:t>
      </w:r>
      <w:r w:rsidRPr="00E14102">
        <w:rPr>
          <w:color w:val="000000" w:themeColor="text1"/>
          <w:sz w:val="16"/>
          <w:szCs w:val="16"/>
        </w:rPr>
        <w:tab/>
        <w:t>240,5</w:t>
      </w:r>
      <w:r w:rsidRPr="00E14102">
        <w:rPr>
          <w:color w:val="000000" w:themeColor="text1"/>
          <w:sz w:val="16"/>
          <w:szCs w:val="16"/>
        </w:rPr>
        <w:tab/>
        <w:t>230</w:t>
      </w:r>
      <w:r w:rsidRPr="00E14102">
        <w:rPr>
          <w:color w:val="000000" w:themeColor="text1"/>
          <w:sz w:val="16"/>
          <w:szCs w:val="16"/>
        </w:rPr>
        <w:tab/>
        <w:t>235</w:t>
      </w:r>
    </w:p>
    <w:p w14:paraId="2EA4A343" w14:textId="77777777" w:rsidR="00DA70F3" w:rsidRPr="00E14102" w:rsidRDefault="00DA70F3" w:rsidP="00E14102">
      <w:pPr>
        <w:jc w:val="both"/>
        <w:rPr>
          <w:color w:val="000000" w:themeColor="text1"/>
          <w:sz w:val="16"/>
          <w:szCs w:val="16"/>
        </w:rPr>
      </w:pPr>
      <w:r w:rsidRPr="00E14102">
        <w:rPr>
          <w:color w:val="000000" w:themeColor="text1"/>
          <w:sz w:val="16"/>
          <w:szCs w:val="16"/>
        </w:rPr>
        <w:t>Скорость: км/ч на высоте м</w:t>
      </w:r>
      <w:r w:rsidRPr="00E14102">
        <w:rPr>
          <w:color w:val="000000" w:themeColor="text1"/>
          <w:sz w:val="16"/>
          <w:szCs w:val="16"/>
        </w:rPr>
        <w:tab/>
        <w:t>215-256 3000</w:t>
      </w:r>
      <w:r w:rsidRPr="00E14102">
        <w:rPr>
          <w:color w:val="000000" w:themeColor="text1"/>
          <w:sz w:val="16"/>
          <w:szCs w:val="16"/>
        </w:rPr>
        <w:tab/>
        <w:t>243 3000</w:t>
      </w:r>
      <w:r w:rsidRPr="00E14102">
        <w:rPr>
          <w:color w:val="000000" w:themeColor="text1"/>
          <w:sz w:val="16"/>
          <w:szCs w:val="16"/>
        </w:rPr>
        <w:tab/>
        <w:t>214 3000</w:t>
      </w:r>
      <w:r w:rsidRPr="00E14102">
        <w:rPr>
          <w:color w:val="000000" w:themeColor="text1"/>
          <w:sz w:val="16"/>
          <w:szCs w:val="16"/>
        </w:rPr>
        <w:tab/>
        <w:t>244 3000</w:t>
      </w:r>
      <w:r w:rsidRPr="00E14102">
        <w:rPr>
          <w:color w:val="000000" w:themeColor="text1"/>
          <w:sz w:val="16"/>
          <w:szCs w:val="16"/>
        </w:rPr>
        <w:tab/>
        <w:t>227 3000</w:t>
      </w:r>
      <w:r w:rsidRPr="00E14102">
        <w:rPr>
          <w:color w:val="000000" w:themeColor="text1"/>
          <w:sz w:val="16"/>
          <w:szCs w:val="16"/>
        </w:rPr>
        <w:tab/>
        <w:t>232 3000</w:t>
      </w:r>
      <w:r w:rsidRPr="00E14102">
        <w:rPr>
          <w:color w:val="000000" w:themeColor="text1"/>
          <w:sz w:val="16"/>
          <w:szCs w:val="16"/>
        </w:rPr>
        <w:tab/>
        <w:t>216 3000</w:t>
      </w:r>
      <w:r w:rsidRPr="00E14102">
        <w:rPr>
          <w:color w:val="000000" w:themeColor="text1"/>
          <w:sz w:val="16"/>
          <w:szCs w:val="16"/>
        </w:rPr>
        <w:tab/>
        <w:t>220 5000</w:t>
      </w:r>
      <w:r w:rsidRPr="00E14102">
        <w:rPr>
          <w:color w:val="000000" w:themeColor="text1"/>
          <w:sz w:val="16"/>
          <w:szCs w:val="16"/>
        </w:rPr>
        <w:tab/>
        <w:t>231 2000</w:t>
      </w:r>
    </w:p>
    <w:p w14:paraId="7D1804D9" w14:textId="77777777" w:rsidR="00DA70F3" w:rsidRPr="00E14102" w:rsidRDefault="00DA70F3" w:rsidP="00E14102">
      <w:pPr>
        <w:jc w:val="both"/>
        <w:rPr>
          <w:color w:val="000000" w:themeColor="text1"/>
          <w:sz w:val="16"/>
          <w:szCs w:val="16"/>
        </w:rPr>
      </w:pPr>
      <w:r w:rsidRPr="00E14102">
        <w:rPr>
          <w:color w:val="000000" w:themeColor="text1"/>
          <w:sz w:val="16"/>
          <w:szCs w:val="16"/>
        </w:rPr>
        <w:t>Практич. потолок, м</w:t>
      </w:r>
      <w:r w:rsidRPr="00E14102">
        <w:rPr>
          <w:color w:val="000000" w:themeColor="text1"/>
          <w:sz w:val="16"/>
          <w:szCs w:val="16"/>
        </w:rPr>
        <w:tab/>
        <w:t>6500</w:t>
      </w:r>
      <w:r w:rsidRPr="00E14102">
        <w:rPr>
          <w:color w:val="000000" w:themeColor="text1"/>
          <w:sz w:val="16"/>
          <w:szCs w:val="16"/>
        </w:rPr>
        <w:tab/>
        <w:t>-</w:t>
      </w:r>
      <w:r w:rsidRPr="00E14102">
        <w:rPr>
          <w:color w:val="000000" w:themeColor="text1"/>
          <w:sz w:val="16"/>
          <w:szCs w:val="16"/>
        </w:rPr>
        <w:tab/>
        <w:t>5640</w:t>
      </w:r>
      <w:r w:rsidRPr="00E14102">
        <w:rPr>
          <w:color w:val="000000" w:themeColor="text1"/>
          <w:sz w:val="16"/>
          <w:szCs w:val="16"/>
        </w:rPr>
        <w:tab/>
        <w:t>7090</w:t>
      </w:r>
      <w:r w:rsidRPr="00E14102">
        <w:rPr>
          <w:color w:val="000000" w:themeColor="text1"/>
          <w:sz w:val="16"/>
          <w:szCs w:val="16"/>
        </w:rPr>
        <w:tab/>
        <w:t>6050</w:t>
      </w:r>
      <w:r w:rsidRPr="00E14102">
        <w:rPr>
          <w:color w:val="000000" w:themeColor="text1"/>
          <w:sz w:val="16"/>
          <w:szCs w:val="16"/>
        </w:rPr>
        <w:tab/>
        <w:t>5620</w:t>
      </w:r>
      <w:r w:rsidRPr="00E14102">
        <w:rPr>
          <w:color w:val="000000" w:themeColor="text1"/>
          <w:sz w:val="16"/>
          <w:szCs w:val="16"/>
        </w:rPr>
        <w:tab/>
        <w:t>7500</w:t>
      </w:r>
      <w:r w:rsidRPr="00E14102">
        <w:rPr>
          <w:color w:val="000000" w:themeColor="text1"/>
          <w:sz w:val="16"/>
          <w:szCs w:val="16"/>
        </w:rPr>
        <w:tab/>
        <w:t>-</w:t>
      </w:r>
      <w:r w:rsidRPr="00E14102">
        <w:rPr>
          <w:color w:val="000000" w:themeColor="text1"/>
          <w:sz w:val="16"/>
          <w:szCs w:val="16"/>
        </w:rPr>
        <w:tab/>
        <w:t>-</w:t>
      </w:r>
    </w:p>
    <w:p w14:paraId="1D7EEBED" w14:textId="77777777" w:rsidR="00DA70F3" w:rsidRPr="00E14102" w:rsidRDefault="00DA70F3" w:rsidP="00E14102">
      <w:pPr>
        <w:jc w:val="both"/>
        <w:rPr>
          <w:color w:val="000000" w:themeColor="text1"/>
          <w:sz w:val="16"/>
          <w:szCs w:val="16"/>
        </w:rPr>
      </w:pPr>
      <w:r w:rsidRPr="00E14102">
        <w:rPr>
          <w:color w:val="000000" w:themeColor="text1"/>
          <w:sz w:val="16"/>
          <w:szCs w:val="16"/>
        </w:rPr>
        <w:t>Дальность, км</w:t>
      </w:r>
      <w:r w:rsidRPr="00E14102">
        <w:rPr>
          <w:color w:val="000000" w:themeColor="text1"/>
          <w:sz w:val="16"/>
          <w:szCs w:val="16"/>
        </w:rPr>
        <w:tab/>
        <w:t>1680</w:t>
      </w:r>
      <w:r w:rsidRPr="00E14102">
        <w:rPr>
          <w:color w:val="000000" w:themeColor="text1"/>
          <w:sz w:val="16"/>
          <w:szCs w:val="16"/>
        </w:rPr>
        <w:tab/>
      </w:r>
      <w:r w:rsidRPr="00E14102">
        <w:rPr>
          <w:color w:val="000000" w:themeColor="text1"/>
          <w:sz w:val="16"/>
          <w:szCs w:val="16"/>
        </w:rPr>
        <w:tab/>
      </w:r>
      <w:r w:rsidRPr="00E14102">
        <w:rPr>
          <w:color w:val="000000" w:themeColor="text1"/>
          <w:sz w:val="16"/>
          <w:szCs w:val="16"/>
        </w:rPr>
        <w:tab/>
        <w:t>800</w:t>
      </w:r>
      <w:r w:rsidRPr="00E14102">
        <w:rPr>
          <w:color w:val="000000" w:themeColor="text1"/>
          <w:sz w:val="16"/>
          <w:szCs w:val="16"/>
        </w:rPr>
        <w:tab/>
      </w:r>
      <w:r w:rsidRPr="00E14102">
        <w:rPr>
          <w:color w:val="000000" w:themeColor="text1"/>
          <w:sz w:val="16"/>
          <w:szCs w:val="16"/>
        </w:rPr>
        <w:tab/>
      </w:r>
      <w:r w:rsidRPr="00E14102">
        <w:rPr>
          <w:color w:val="000000" w:themeColor="text1"/>
          <w:sz w:val="16"/>
          <w:szCs w:val="16"/>
        </w:rPr>
        <w:tab/>
      </w:r>
      <w:r w:rsidRPr="00E14102">
        <w:rPr>
          <w:color w:val="000000" w:themeColor="text1"/>
          <w:sz w:val="16"/>
          <w:szCs w:val="16"/>
        </w:rPr>
        <w:tab/>
        <w:t>-</w:t>
      </w:r>
      <w:r w:rsidRPr="00E14102">
        <w:rPr>
          <w:color w:val="000000" w:themeColor="text1"/>
          <w:sz w:val="16"/>
          <w:szCs w:val="16"/>
        </w:rPr>
        <w:tab/>
        <w:t>-</w:t>
      </w:r>
    </w:p>
    <w:p w14:paraId="292D9693" w14:textId="77777777" w:rsidR="00DA70F3" w:rsidRPr="00E14102" w:rsidRDefault="00DA70F3" w:rsidP="00E14102">
      <w:pPr>
        <w:jc w:val="both"/>
        <w:rPr>
          <w:color w:val="000000" w:themeColor="text1"/>
          <w:sz w:val="16"/>
          <w:szCs w:val="16"/>
        </w:rPr>
      </w:pPr>
      <w:r w:rsidRPr="00E14102">
        <w:rPr>
          <w:color w:val="000000" w:themeColor="text1"/>
          <w:sz w:val="16"/>
          <w:szCs w:val="16"/>
        </w:rPr>
        <w:lastRenderedPageBreak/>
        <w:t>Набор высоты: 1000 м, мин 3000 м, мин 5000 м, мин</w:t>
      </w:r>
      <w:r w:rsidRPr="00E14102">
        <w:rPr>
          <w:color w:val="000000" w:themeColor="text1"/>
          <w:sz w:val="16"/>
          <w:szCs w:val="16"/>
        </w:rPr>
        <w:tab/>
        <w:t>3,79 7,44 19,2</w:t>
      </w:r>
      <w:r w:rsidRPr="00E14102">
        <w:rPr>
          <w:color w:val="000000" w:themeColor="text1"/>
          <w:sz w:val="16"/>
          <w:szCs w:val="16"/>
        </w:rPr>
        <w:tab/>
        <w:t>9,9</w:t>
      </w:r>
      <w:r w:rsidRPr="00E14102">
        <w:rPr>
          <w:color w:val="000000" w:themeColor="text1"/>
          <w:sz w:val="16"/>
          <w:szCs w:val="16"/>
        </w:rPr>
        <w:tab/>
        <w:t>11,7</w:t>
      </w:r>
      <w:r w:rsidRPr="00E14102">
        <w:rPr>
          <w:color w:val="000000" w:themeColor="text1"/>
          <w:sz w:val="16"/>
          <w:szCs w:val="16"/>
        </w:rPr>
        <w:tab/>
        <w:t>8,09 30</w:t>
      </w:r>
      <w:r w:rsidRPr="00E14102">
        <w:rPr>
          <w:color w:val="000000" w:themeColor="text1"/>
          <w:sz w:val="16"/>
          <w:szCs w:val="16"/>
        </w:rPr>
        <w:tab/>
        <w:t>8,5 17,43</w:t>
      </w:r>
      <w:r w:rsidRPr="00E14102">
        <w:rPr>
          <w:color w:val="000000" w:themeColor="text1"/>
          <w:sz w:val="16"/>
          <w:szCs w:val="16"/>
        </w:rPr>
        <w:tab/>
        <w:t>12,28 18,72</w:t>
      </w:r>
      <w:r w:rsidRPr="00E14102">
        <w:rPr>
          <w:color w:val="000000" w:themeColor="text1"/>
          <w:sz w:val="16"/>
          <w:szCs w:val="16"/>
        </w:rPr>
        <w:tab/>
        <w:t>16,7 23,51</w:t>
      </w:r>
      <w:r w:rsidRPr="00E14102">
        <w:rPr>
          <w:color w:val="000000" w:themeColor="text1"/>
          <w:sz w:val="16"/>
          <w:szCs w:val="16"/>
        </w:rPr>
        <w:tab/>
        <w:t>8,9 24,0</w:t>
      </w:r>
      <w:r w:rsidRPr="00E14102">
        <w:rPr>
          <w:color w:val="000000" w:themeColor="text1"/>
          <w:sz w:val="16"/>
          <w:szCs w:val="16"/>
        </w:rPr>
        <w:tab/>
        <w:t>5,0</w:t>
      </w:r>
    </w:p>
    <w:p w14:paraId="54F65713" w14:textId="77777777" w:rsidR="00DA70F3" w:rsidRPr="00E14102" w:rsidRDefault="00DA70F3" w:rsidP="00E14102">
      <w:pPr>
        <w:jc w:val="both"/>
        <w:rPr>
          <w:color w:val="000000" w:themeColor="text1"/>
          <w:sz w:val="16"/>
          <w:szCs w:val="16"/>
        </w:rPr>
      </w:pPr>
      <w:r w:rsidRPr="00E14102">
        <w:rPr>
          <w:color w:val="000000" w:themeColor="text1"/>
          <w:sz w:val="16"/>
          <w:szCs w:val="16"/>
        </w:rPr>
        <w:t>Разбег, м</w:t>
      </w:r>
      <w:r w:rsidRPr="00E14102">
        <w:rPr>
          <w:color w:val="000000" w:themeColor="text1"/>
          <w:sz w:val="16"/>
          <w:szCs w:val="16"/>
        </w:rPr>
        <w:tab/>
        <w:t>100- 1600</w:t>
      </w:r>
      <w:r w:rsidRPr="00E14102">
        <w:rPr>
          <w:color w:val="000000" w:themeColor="text1"/>
          <w:sz w:val="16"/>
          <w:szCs w:val="16"/>
        </w:rPr>
        <w:tab/>
      </w:r>
      <w:r w:rsidRPr="00E14102">
        <w:rPr>
          <w:color w:val="000000" w:themeColor="text1"/>
          <w:sz w:val="16"/>
          <w:szCs w:val="16"/>
        </w:rPr>
        <w:tab/>
      </w:r>
      <w:r w:rsidRPr="00E14102">
        <w:rPr>
          <w:color w:val="000000" w:themeColor="text1"/>
          <w:sz w:val="16"/>
          <w:szCs w:val="16"/>
        </w:rPr>
        <w:tab/>
        <w:t>160</w:t>
      </w:r>
      <w:r w:rsidRPr="00E14102">
        <w:rPr>
          <w:color w:val="000000" w:themeColor="text1"/>
          <w:sz w:val="16"/>
          <w:szCs w:val="16"/>
        </w:rPr>
        <w:tab/>
        <w:t>120</w:t>
      </w:r>
      <w:r w:rsidRPr="00E14102">
        <w:rPr>
          <w:color w:val="000000" w:themeColor="text1"/>
          <w:sz w:val="16"/>
          <w:szCs w:val="16"/>
        </w:rPr>
        <w:tab/>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360</w:t>
      </w:r>
    </w:p>
    <w:p w14:paraId="09774D4C" w14:textId="77777777" w:rsidR="00DA70F3" w:rsidRPr="00E14102" w:rsidRDefault="00DA70F3" w:rsidP="00E14102">
      <w:pPr>
        <w:jc w:val="both"/>
        <w:rPr>
          <w:color w:val="000000" w:themeColor="text1"/>
          <w:sz w:val="16"/>
          <w:szCs w:val="16"/>
        </w:rPr>
      </w:pPr>
      <w:r w:rsidRPr="00E14102">
        <w:rPr>
          <w:color w:val="000000" w:themeColor="text1"/>
          <w:sz w:val="16"/>
          <w:szCs w:val="16"/>
        </w:rPr>
        <w:t>Пробег, м</w:t>
      </w:r>
      <w:r w:rsidRPr="00E14102">
        <w:rPr>
          <w:color w:val="000000" w:themeColor="text1"/>
          <w:sz w:val="16"/>
          <w:szCs w:val="16"/>
        </w:rPr>
        <w:tab/>
        <w:t>220 - 250</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250</w:t>
      </w:r>
      <w:r w:rsidRPr="00E14102">
        <w:rPr>
          <w:color w:val="000000" w:themeColor="text1"/>
          <w:sz w:val="16"/>
          <w:szCs w:val="16"/>
        </w:rPr>
        <w:tab/>
        <w:t>250</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600</w:t>
      </w:r>
    </w:p>
    <w:p w14:paraId="40DD0479" w14:textId="77777777" w:rsidR="00DA70F3" w:rsidRPr="00E14102" w:rsidRDefault="00DA70F3" w:rsidP="00E14102">
      <w:pPr>
        <w:jc w:val="both"/>
        <w:rPr>
          <w:color w:val="000000" w:themeColor="text1"/>
          <w:sz w:val="16"/>
          <w:szCs w:val="16"/>
        </w:rPr>
      </w:pPr>
      <w:r w:rsidRPr="00E14102">
        <w:rPr>
          <w:color w:val="000000" w:themeColor="text1"/>
          <w:sz w:val="16"/>
          <w:szCs w:val="16"/>
        </w:rPr>
        <w:t>Вираж на высоте 1000 м, с</w:t>
      </w:r>
      <w:r w:rsidRPr="00E14102">
        <w:rPr>
          <w:color w:val="000000" w:themeColor="text1"/>
          <w:sz w:val="16"/>
          <w:szCs w:val="16"/>
        </w:rPr>
        <w:tab/>
        <w:t>_</w:t>
      </w:r>
      <w:r w:rsidRPr="00E14102">
        <w:rPr>
          <w:color w:val="000000" w:themeColor="text1"/>
          <w:sz w:val="16"/>
          <w:szCs w:val="16"/>
        </w:rPr>
        <w:tab/>
        <w:t>_</w:t>
      </w:r>
      <w:r w:rsidRPr="00E14102">
        <w:rPr>
          <w:color w:val="000000" w:themeColor="text1"/>
          <w:sz w:val="16"/>
          <w:szCs w:val="16"/>
        </w:rPr>
        <w:tab/>
        <w:t>_</w:t>
      </w:r>
      <w:r w:rsidRPr="00E14102">
        <w:rPr>
          <w:color w:val="000000" w:themeColor="text1"/>
          <w:sz w:val="16"/>
          <w:szCs w:val="16"/>
        </w:rPr>
        <w:tab/>
        <w:t>19,5</w:t>
      </w:r>
      <w:r w:rsidRPr="00E14102">
        <w:rPr>
          <w:color w:val="000000" w:themeColor="text1"/>
          <w:sz w:val="16"/>
          <w:szCs w:val="16"/>
        </w:rPr>
        <w:tab/>
        <w:t>25,3</w:t>
      </w:r>
      <w:r w:rsidRPr="00E14102">
        <w:rPr>
          <w:color w:val="000000" w:themeColor="text1"/>
          <w:sz w:val="16"/>
          <w:szCs w:val="16"/>
        </w:rPr>
        <w:tab/>
        <w:t>26</w:t>
      </w:r>
      <w:r w:rsidRPr="00E14102">
        <w:rPr>
          <w:color w:val="000000" w:themeColor="text1"/>
          <w:sz w:val="16"/>
          <w:szCs w:val="16"/>
        </w:rPr>
        <w:tab/>
        <w:t>24,5</w:t>
      </w:r>
      <w:r w:rsidRPr="00E14102">
        <w:rPr>
          <w:color w:val="000000" w:themeColor="text1"/>
          <w:sz w:val="16"/>
          <w:szCs w:val="16"/>
        </w:rPr>
        <w:tab/>
        <w:t>23</w:t>
      </w:r>
      <w:r w:rsidRPr="00E14102">
        <w:rPr>
          <w:color w:val="000000" w:themeColor="text1"/>
          <w:sz w:val="16"/>
          <w:szCs w:val="16"/>
        </w:rPr>
        <w:tab/>
        <w:t>_</w:t>
      </w:r>
    </w:p>
    <w:p w14:paraId="7A0161B5" w14:textId="77777777" w:rsidR="00DA70F3" w:rsidRPr="00E14102" w:rsidRDefault="00DA70F3" w:rsidP="00E14102">
      <w:pPr>
        <w:jc w:val="both"/>
        <w:rPr>
          <w:color w:val="000000" w:themeColor="text1"/>
          <w:sz w:val="16"/>
          <w:szCs w:val="16"/>
        </w:rPr>
      </w:pPr>
    </w:p>
    <w:p w14:paraId="220E4F19" w14:textId="77777777" w:rsidR="00DA70F3" w:rsidRPr="00E14102" w:rsidRDefault="00DA70F3" w:rsidP="00E14102">
      <w:pPr>
        <w:jc w:val="both"/>
        <w:rPr>
          <w:color w:val="000000" w:themeColor="text1"/>
          <w:sz w:val="16"/>
          <w:szCs w:val="16"/>
        </w:rPr>
      </w:pPr>
      <w:r w:rsidRPr="00E14102">
        <w:rPr>
          <w:color w:val="000000" w:themeColor="text1"/>
          <w:sz w:val="16"/>
          <w:szCs w:val="16"/>
        </w:rPr>
        <w:tab/>
        <w:t>Р-6Т проект</w:t>
      </w:r>
      <w:r w:rsidRPr="00E14102">
        <w:rPr>
          <w:color w:val="000000" w:themeColor="text1"/>
          <w:sz w:val="16"/>
          <w:szCs w:val="16"/>
        </w:rPr>
        <w:tab/>
        <w:t>АНТ-7 пассажир-ский</w:t>
      </w:r>
      <w:r w:rsidRPr="00E14102">
        <w:rPr>
          <w:color w:val="000000" w:themeColor="text1"/>
          <w:sz w:val="16"/>
          <w:szCs w:val="16"/>
        </w:rPr>
        <w:tab/>
        <w:t>ПС-7 (Р-6)</w:t>
      </w:r>
      <w:r w:rsidRPr="00E14102">
        <w:rPr>
          <w:color w:val="000000" w:themeColor="text1"/>
          <w:sz w:val="16"/>
          <w:szCs w:val="16"/>
        </w:rPr>
        <w:tab/>
        <w:t>МП-6 (Р-ба)</w:t>
      </w:r>
      <w:r w:rsidRPr="00E14102">
        <w:rPr>
          <w:color w:val="000000" w:themeColor="text1"/>
          <w:sz w:val="16"/>
          <w:szCs w:val="16"/>
        </w:rPr>
        <w:tab/>
        <w:t>КР-ба №2202</w:t>
      </w:r>
      <w:r w:rsidRPr="00E14102">
        <w:rPr>
          <w:color w:val="000000" w:themeColor="text1"/>
          <w:sz w:val="16"/>
          <w:szCs w:val="16"/>
        </w:rPr>
        <w:tab/>
        <w:t>КР-6 головной №22102</w:t>
      </w:r>
      <w:r w:rsidRPr="00E14102">
        <w:rPr>
          <w:color w:val="000000" w:themeColor="text1"/>
          <w:sz w:val="16"/>
          <w:szCs w:val="16"/>
        </w:rPr>
        <w:tab/>
        <w:t>КР-6 серийный №22215</w:t>
      </w:r>
      <w:r w:rsidRPr="00E14102">
        <w:rPr>
          <w:color w:val="000000" w:themeColor="text1"/>
          <w:sz w:val="16"/>
          <w:szCs w:val="16"/>
        </w:rPr>
        <w:tab/>
        <w:t>КР-6 эталон 1934 г. №22251</w:t>
      </w:r>
      <w:r w:rsidRPr="00E14102">
        <w:rPr>
          <w:color w:val="000000" w:themeColor="text1"/>
          <w:sz w:val="16"/>
          <w:szCs w:val="16"/>
        </w:rPr>
        <w:tab/>
        <w:t>КР-6 серийный №22315</w:t>
      </w:r>
      <w:r w:rsidRPr="00E14102">
        <w:rPr>
          <w:color w:val="000000" w:themeColor="text1"/>
          <w:sz w:val="16"/>
          <w:szCs w:val="16"/>
        </w:rPr>
        <w:tab/>
        <w:t>КР-6 эталон 1935 г. №22330</w:t>
      </w:r>
    </w:p>
    <w:p w14:paraId="19FD2CC1" w14:textId="77777777" w:rsidR="00DA70F3" w:rsidRPr="00E14102" w:rsidRDefault="00DA70F3" w:rsidP="00E14102">
      <w:pPr>
        <w:jc w:val="both"/>
        <w:rPr>
          <w:color w:val="000000" w:themeColor="text1"/>
          <w:sz w:val="16"/>
          <w:szCs w:val="16"/>
        </w:rPr>
      </w:pPr>
      <w:r w:rsidRPr="00E14102">
        <w:rPr>
          <w:color w:val="000000" w:themeColor="text1"/>
          <w:sz w:val="16"/>
          <w:szCs w:val="16"/>
        </w:rPr>
        <w:t>Размах, м</w:t>
      </w:r>
      <w:r w:rsidRPr="00E14102">
        <w:rPr>
          <w:color w:val="000000" w:themeColor="text1"/>
          <w:sz w:val="16"/>
          <w:szCs w:val="16"/>
        </w:rPr>
        <w:tab/>
        <w:t>23,2</w:t>
      </w:r>
      <w:r w:rsidRPr="00E14102">
        <w:rPr>
          <w:color w:val="000000" w:themeColor="text1"/>
          <w:sz w:val="16"/>
          <w:szCs w:val="16"/>
        </w:rPr>
        <w:tab/>
        <w:t>23,2</w:t>
      </w:r>
      <w:r w:rsidRPr="00E14102">
        <w:rPr>
          <w:color w:val="000000" w:themeColor="text1"/>
          <w:sz w:val="16"/>
          <w:szCs w:val="16"/>
        </w:rPr>
        <w:tab/>
        <w:t>23,2</w:t>
      </w:r>
      <w:r w:rsidRPr="00E14102">
        <w:rPr>
          <w:color w:val="000000" w:themeColor="text1"/>
          <w:sz w:val="16"/>
          <w:szCs w:val="16"/>
        </w:rPr>
        <w:tab/>
        <w:t>23,2</w:t>
      </w:r>
      <w:r w:rsidRPr="00E14102">
        <w:rPr>
          <w:color w:val="000000" w:themeColor="text1"/>
          <w:sz w:val="16"/>
          <w:szCs w:val="16"/>
        </w:rPr>
        <w:tab/>
        <w:t>23,2</w:t>
      </w:r>
      <w:r w:rsidRPr="00E14102">
        <w:rPr>
          <w:color w:val="000000" w:themeColor="text1"/>
          <w:sz w:val="16"/>
          <w:szCs w:val="16"/>
        </w:rPr>
        <w:tab/>
        <w:t>23,2</w:t>
      </w:r>
      <w:r w:rsidRPr="00E14102">
        <w:rPr>
          <w:color w:val="000000" w:themeColor="text1"/>
          <w:sz w:val="16"/>
          <w:szCs w:val="16"/>
        </w:rPr>
        <w:tab/>
        <w:t>23,2</w:t>
      </w:r>
      <w:r w:rsidRPr="00E14102">
        <w:rPr>
          <w:color w:val="000000" w:themeColor="text1"/>
          <w:sz w:val="16"/>
          <w:szCs w:val="16"/>
        </w:rPr>
        <w:tab/>
        <w:t>23,2</w:t>
      </w:r>
      <w:r w:rsidRPr="00E14102">
        <w:rPr>
          <w:color w:val="000000" w:themeColor="text1"/>
          <w:sz w:val="16"/>
          <w:szCs w:val="16"/>
        </w:rPr>
        <w:tab/>
        <w:t>23,2</w:t>
      </w:r>
      <w:r w:rsidRPr="00E14102">
        <w:rPr>
          <w:color w:val="000000" w:themeColor="text1"/>
          <w:sz w:val="16"/>
          <w:szCs w:val="16"/>
        </w:rPr>
        <w:tab/>
        <w:t>23,2</w:t>
      </w:r>
    </w:p>
    <w:p w14:paraId="20AAA435" w14:textId="77777777" w:rsidR="00DA70F3" w:rsidRPr="00E14102" w:rsidRDefault="00DA70F3" w:rsidP="00E14102">
      <w:pPr>
        <w:jc w:val="both"/>
        <w:rPr>
          <w:color w:val="000000" w:themeColor="text1"/>
          <w:sz w:val="16"/>
          <w:szCs w:val="16"/>
        </w:rPr>
      </w:pPr>
      <w:r w:rsidRPr="00E14102">
        <w:rPr>
          <w:color w:val="000000" w:themeColor="text1"/>
          <w:sz w:val="16"/>
          <w:szCs w:val="16"/>
        </w:rPr>
        <w:t>Длина, м</w:t>
      </w:r>
      <w:r w:rsidRPr="00E14102">
        <w:rPr>
          <w:color w:val="000000" w:themeColor="text1"/>
          <w:sz w:val="16"/>
          <w:szCs w:val="16"/>
        </w:rPr>
        <w:tab/>
        <w:t>16</w:t>
      </w:r>
      <w:r w:rsidRPr="00E14102">
        <w:rPr>
          <w:color w:val="000000" w:themeColor="text1"/>
          <w:sz w:val="16"/>
          <w:szCs w:val="16"/>
        </w:rPr>
        <w:tab/>
        <w:t>15,06</w:t>
      </w:r>
      <w:r w:rsidRPr="00E14102">
        <w:rPr>
          <w:color w:val="000000" w:themeColor="text1"/>
          <w:sz w:val="16"/>
          <w:szCs w:val="16"/>
        </w:rPr>
        <w:tab/>
        <w:t>15,06</w:t>
      </w:r>
      <w:r w:rsidRPr="00E14102">
        <w:rPr>
          <w:color w:val="000000" w:themeColor="text1"/>
          <w:sz w:val="16"/>
          <w:szCs w:val="16"/>
        </w:rPr>
        <w:tab/>
        <w:t>16</w:t>
      </w:r>
      <w:r w:rsidRPr="00E14102">
        <w:rPr>
          <w:color w:val="000000" w:themeColor="text1"/>
          <w:sz w:val="16"/>
          <w:szCs w:val="16"/>
        </w:rPr>
        <w:tab/>
        <w:t>16</w:t>
      </w:r>
      <w:r w:rsidRPr="00E14102">
        <w:rPr>
          <w:color w:val="000000" w:themeColor="text1"/>
          <w:sz w:val="16"/>
          <w:szCs w:val="16"/>
        </w:rPr>
        <w:tab/>
        <w:t>14,75</w:t>
      </w:r>
      <w:r w:rsidRPr="00E14102">
        <w:rPr>
          <w:color w:val="000000" w:themeColor="text1"/>
          <w:sz w:val="16"/>
          <w:szCs w:val="16"/>
        </w:rPr>
        <w:tab/>
        <w:t>14,75</w:t>
      </w:r>
      <w:r w:rsidRPr="00E14102">
        <w:rPr>
          <w:color w:val="000000" w:themeColor="text1"/>
          <w:sz w:val="16"/>
          <w:szCs w:val="16"/>
        </w:rPr>
        <w:tab/>
        <w:t>14,75</w:t>
      </w:r>
      <w:r w:rsidRPr="00E14102">
        <w:rPr>
          <w:color w:val="000000" w:themeColor="text1"/>
          <w:sz w:val="16"/>
          <w:szCs w:val="16"/>
        </w:rPr>
        <w:tab/>
        <w:t>14,75</w:t>
      </w:r>
      <w:r w:rsidRPr="00E14102">
        <w:rPr>
          <w:color w:val="000000" w:themeColor="text1"/>
          <w:sz w:val="16"/>
          <w:szCs w:val="16"/>
        </w:rPr>
        <w:tab/>
        <w:t>14,75</w:t>
      </w:r>
    </w:p>
    <w:p w14:paraId="4D6A52A8" w14:textId="77777777" w:rsidR="00DA70F3" w:rsidRPr="00E14102" w:rsidRDefault="00DA70F3" w:rsidP="00E14102">
      <w:pPr>
        <w:jc w:val="both"/>
        <w:rPr>
          <w:color w:val="000000" w:themeColor="text1"/>
          <w:sz w:val="16"/>
          <w:szCs w:val="16"/>
        </w:rPr>
      </w:pPr>
      <w:r w:rsidRPr="00E14102">
        <w:rPr>
          <w:color w:val="000000" w:themeColor="text1"/>
          <w:sz w:val="16"/>
          <w:szCs w:val="16"/>
        </w:rPr>
        <w:t>Вес пустого, кг</w:t>
      </w:r>
      <w:r w:rsidRPr="00E14102">
        <w:rPr>
          <w:color w:val="000000" w:themeColor="text1"/>
          <w:sz w:val="16"/>
          <w:szCs w:val="16"/>
        </w:rPr>
        <w:tab/>
        <w:t>4640</w:t>
      </w:r>
      <w:r w:rsidRPr="00E14102">
        <w:rPr>
          <w:color w:val="000000" w:themeColor="text1"/>
          <w:sz w:val="16"/>
          <w:szCs w:val="16"/>
        </w:rPr>
        <w:tab/>
        <w:t>4700</w:t>
      </w:r>
      <w:r w:rsidRPr="00E14102">
        <w:rPr>
          <w:color w:val="000000" w:themeColor="text1"/>
          <w:sz w:val="16"/>
          <w:szCs w:val="16"/>
        </w:rPr>
        <w:tab/>
        <w:t>-</w:t>
      </w:r>
      <w:r w:rsidRPr="00E14102">
        <w:rPr>
          <w:color w:val="000000" w:themeColor="text1"/>
          <w:sz w:val="16"/>
          <w:szCs w:val="16"/>
        </w:rPr>
        <w:tab/>
        <w:t>3880</w:t>
      </w:r>
      <w:r w:rsidRPr="00E14102">
        <w:rPr>
          <w:color w:val="000000" w:themeColor="text1"/>
          <w:sz w:val="16"/>
          <w:szCs w:val="16"/>
        </w:rPr>
        <w:tab/>
        <w:t>4457</w:t>
      </w:r>
      <w:r w:rsidRPr="00E14102">
        <w:rPr>
          <w:color w:val="000000" w:themeColor="text1"/>
          <w:sz w:val="16"/>
          <w:szCs w:val="16"/>
        </w:rPr>
        <w:tab/>
        <w:t>4640</w:t>
      </w:r>
      <w:r w:rsidRPr="00E14102">
        <w:rPr>
          <w:color w:val="000000" w:themeColor="text1"/>
          <w:sz w:val="16"/>
          <w:szCs w:val="16"/>
        </w:rPr>
        <w:tab/>
      </w:r>
      <w:r w:rsidRPr="00E14102">
        <w:rPr>
          <w:color w:val="000000" w:themeColor="text1"/>
          <w:sz w:val="16"/>
          <w:szCs w:val="16"/>
        </w:rPr>
        <w:tab/>
        <w:t>-</w:t>
      </w:r>
      <w:r w:rsidRPr="00E14102">
        <w:rPr>
          <w:color w:val="000000" w:themeColor="text1"/>
          <w:sz w:val="16"/>
          <w:szCs w:val="16"/>
        </w:rPr>
        <w:tab/>
      </w:r>
      <w:r w:rsidRPr="00E14102">
        <w:rPr>
          <w:color w:val="000000" w:themeColor="text1"/>
          <w:sz w:val="16"/>
          <w:szCs w:val="16"/>
        </w:rPr>
        <w:tab/>
        <w:t>-</w:t>
      </w:r>
    </w:p>
    <w:p w14:paraId="02F1C2DD" w14:textId="77777777" w:rsidR="00DA70F3" w:rsidRPr="00E14102" w:rsidRDefault="00DA70F3" w:rsidP="00E14102">
      <w:pPr>
        <w:jc w:val="both"/>
        <w:rPr>
          <w:color w:val="000000" w:themeColor="text1"/>
          <w:sz w:val="16"/>
          <w:szCs w:val="16"/>
        </w:rPr>
      </w:pPr>
      <w:r w:rsidRPr="00E14102">
        <w:rPr>
          <w:color w:val="000000" w:themeColor="text1"/>
          <w:sz w:val="16"/>
          <w:szCs w:val="16"/>
        </w:rPr>
        <w:t>Вес взлётный, кг</w:t>
      </w:r>
      <w:r w:rsidRPr="00E14102">
        <w:rPr>
          <w:color w:val="000000" w:themeColor="text1"/>
          <w:sz w:val="16"/>
          <w:szCs w:val="16"/>
        </w:rPr>
        <w:tab/>
        <w:t>7300</w:t>
      </w:r>
      <w:r w:rsidRPr="00E14102">
        <w:rPr>
          <w:color w:val="000000" w:themeColor="text1"/>
          <w:sz w:val="16"/>
          <w:szCs w:val="16"/>
        </w:rPr>
        <w:tab/>
      </w:r>
      <w:r w:rsidRPr="00E14102">
        <w:rPr>
          <w:color w:val="000000" w:themeColor="text1"/>
          <w:sz w:val="16"/>
          <w:szCs w:val="16"/>
        </w:rPr>
        <w:tab/>
        <w:t>6250</w:t>
      </w:r>
      <w:r w:rsidRPr="00E14102">
        <w:rPr>
          <w:color w:val="000000" w:themeColor="text1"/>
          <w:sz w:val="16"/>
          <w:szCs w:val="16"/>
        </w:rPr>
        <w:tab/>
        <w:t>6750</w:t>
      </w:r>
      <w:r w:rsidRPr="00E14102">
        <w:rPr>
          <w:color w:val="000000" w:themeColor="text1"/>
          <w:sz w:val="16"/>
          <w:szCs w:val="16"/>
        </w:rPr>
        <w:tab/>
        <w:t>7500</w:t>
      </w:r>
      <w:r w:rsidRPr="00E14102">
        <w:rPr>
          <w:color w:val="000000" w:themeColor="text1"/>
          <w:sz w:val="16"/>
          <w:szCs w:val="16"/>
        </w:rPr>
        <w:tab/>
        <w:t>5992</w:t>
      </w:r>
      <w:r w:rsidRPr="00E14102">
        <w:rPr>
          <w:color w:val="000000" w:themeColor="text1"/>
          <w:sz w:val="16"/>
          <w:szCs w:val="16"/>
        </w:rPr>
        <w:tab/>
        <w:t>5988,6</w:t>
      </w:r>
      <w:r w:rsidRPr="00E14102">
        <w:rPr>
          <w:color w:val="000000" w:themeColor="text1"/>
          <w:sz w:val="16"/>
          <w:szCs w:val="16"/>
        </w:rPr>
        <w:tab/>
        <w:t>5981</w:t>
      </w:r>
      <w:r w:rsidRPr="00E14102">
        <w:rPr>
          <w:color w:val="000000" w:themeColor="text1"/>
          <w:sz w:val="16"/>
          <w:szCs w:val="16"/>
        </w:rPr>
        <w:tab/>
        <w:t>5972</w:t>
      </w:r>
      <w:r w:rsidRPr="00E14102">
        <w:rPr>
          <w:color w:val="000000" w:themeColor="text1"/>
          <w:sz w:val="16"/>
          <w:szCs w:val="16"/>
        </w:rPr>
        <w:tab/>
        <w:t>4598</w:t>
      </w:r>
    </w:p>
    <w:p w14:paraId="0FCD44DF" w14:textId="77777777" w:rsidR="00DA70F3" w:rsidRPr="00E14102" w:rsidRDefault="00DA70F3" w:rsidP="00E14102">
      <w:pPr>
        <w:jc w:val="both"/>
        <w:rPr>
          <w:color w:val="000000" w:themeColor="text1"/>
          <w:sz w:val="16"/>
          <w:szCs w:val="16"/>
        </w:rPr>
      </w:pPr>
      <w:r w:rsidRPr="00E14102">
        <w:rPr>
          <w:color w:val="000000" w:themeColor="text1"/>
          <w:sz w:val="16"/>
          <w:szCs w:val="16"/>
        </w:rPr>
        <w:t>Скорость у земли, км/ч</w:t>
      </w:r>
      <w:r w:rsidRPr="00E14102">
        <w:rPr>
          <w:color w:val="000000" w:themeColor="text1"/>
          <w:sz w:val="16"/>
          <w:szCs w:val="16"/>
        </w:rPr>
        <w:tab/>
        <w:t>215</w:t>
      </w:r>
      <w:r w:rsidRPr="00E14102">
        <w:rPr>
          <w:color w:val="000000" w:themeColor="text1"/>
          <w:sz w:val="16"/>
          <w:szCs w:val="16"/>
        </w:rPr>
        <w:tab/>
        <w:t>248</w:t>
      </w:r>
      <w:r w:rsidRPr="00E14102">
        <w:rPr>
          <w:color w:val="000000" w:themeColor="text1"/>
          <w:sz w:val="16"/>
          <w:szCs w:val="16"/>
        </w:rPr>
        <w:tab/>
        <w:t>-</w:t>
      </w:r>
      <w:r w:rsidRPr="00E14102">
        <w:rPr>
          <w:color w:val="000000" w:themeColor="text1"/>
          <w:sz w:val="16"/>
          <w:szCs w:val="16"/>
        </w:rPr>
        <w:tab/>
        <w:t>211</w:t>
      </w:r>
      <w:r w:rsidRPr="00E14102">
        <w:rPr>
          <w:color w:val="000000" w:themeColor="text1"/>
          <w:sz w:val="16"/>
          <w:szCs w:val="16"/>
        </w:rPr>
        <w:tab/>
        <w:t>234</w:t>
      </w:r>
      <w:r w:rsidRPr="00E14102">
        <w:rPr>
          <w:color w:val="000000" w:themeColor="text1"/>
          <w:sz w:val="16"/>
          <w:szCs w:val="16"/>
        </w:rPr>
        <w:tab/>
        <w:t>226</w:t>
      </w:r>
      <w:r w:rsidRPr="00E14102">
        <w:rPr>
          <w:color w:val="000000" w:themeColor="text1"/>
          <w:sz w:val="16"/>
          <w:szCs w:val="16"/>
        </w:rPr>
        <w:tab/>
        <w:t>235</w:t>
      </w:r>
      <w:r w:rsidRPr="00E14102">
        <w:rPr>
          <w:color w:val="000000" w:themeColor="text1"/>
          <w:sz w:val="16"/>
          <w:szCs w:val="16"/>
        </w:rPr>
        <w:tab/>
        <w:t>245,7</w:t>
      </w:r>
      <w:r w:rsidRPr="00E14102">
        <w:rPr>
          <w:color w:val="000000" w:themeColor="text1"/>
          <w:sz w:val="16"/>
          <w:szCs w:val="16"/>
        </w:rPr>
        <w:tab/>
        <w:t>245</w:t>
      </w:r>
      <w:r w:rsidRPr="00E14102">
        <w:rPr>
          <w:color w:val="000000" w:themeColor="text1"/>
          <w:sz w:val="16"/>
          <w:szCs w:val="16"/>
        </w:rPr>
        <w:tab/>
        <w:t>248</w:t>
      </w:r>
    </w:p>
    <w:p w14:paraId="50D7D569" w14:textId="77777777" w:rsidR="00DA70F3" w:rsidRPr="00E14102" w:rsidRDefault="00DA70F3" w:rsidP="00E14102">
      <w:pPr>
        <w:jc w:val="both"/>
        <w:rPr>
          <w:color w:val="000000" w:themeColor="text1"/>
          <w:sz w:val="16"/>
          <w:szCs w:val="16"/>
        </w:rPr>
      </w:pPr>
      <w:r w:rsidRPr="00E14102">
        <w:rPr>
          <w:color w:val="000000" w:themeColor="text1"/>
          <w:sz w:val="16"/>
          <w:szCs w:val="16"/>
        </w:rPr>
        <w:t>Скорость: км/ч на высоте м</w:t>
      </w:r>
      <w:r w:rsidRPr="00E14102">
        <w:rPr>
          <w:color w:val="000000" w:themeColor="text1"/>
          <w:sz w:val="16"/>
          <w:szCs w:val="16"/>
        </w:rPr>
        <w:tab/>
        <w:t>3000</w:t>
      </w:r>
      <w:r w:rsidRPr="00E14102">
        <w:rPr>
          <w:color w:val="000000" w:themeColor="text1"/>
          <w:sz w:val="16"/>
          <w:szCs w:val="16"/>
        </w:rPr>
        <w:tab/>
        <w:t>220 3000</w:t>
      </w:r>
      <w:r w:rsidRPr="00E14102">
        <w:rPr>
          <w:color w:val="000000" w:themeColor="text1"/>
          <w:sz w:val="16"/>
          <w:szCs w:val="16"/>
        </w:rPr>
        <w:tab/>
        <w:t>3000</w:t>
      </w:r>
      <w:r w:rsidRPr="00E14102">
        <w:rPr>
          <w:color w:val="000000" w:themeColor="text1"/>
          <w:sz w:val="16"/>
          <w:szCs w:val="16"/>
        </w:rPr>
        <w:tab/>
        <w:t>184 3000</w:t>
      </w:r>
      <w:r w:rsidRPr="00E14102">
        <w:rPr>
          <w:color w:val="000000" w:themeColor="text1"/>
          <w:sz w:val="16"/>
          <w:szCs w:val="16"/>
        </w:rPr>
        <w:tab/>
        <w:t>215 5000</w:t>
      </w:r>
      <w:r w:rsidRPr="00E14102">
        <w:rPr>
          <w:color w:val="000000" w:themeColor="text1"/>
          <w:sz w:val="16"/>
          <w:szCs w:val="16"/>
        </w:rPr>
        <w:tab/>
        <w:t>3500</w:t>
      </w:r>
      <w:r w:rsidRPr="00E14102">
        <w:rPr>
          <w:color w:val="000000" w:themeColor="text1"/>
          <w:sz w:val="16"/>
          <w:szCs w:val="16"/>
        </w:rPr>
        <w:tab/>
      </w:r>
      <w:r w:rsidRPr="00E14102">
        <w:rPr>
          <w:color w:val="000000" w:themeColor="text1"/>
          <w:sz w:val="16"/>
          <w:szCs w:val="16"/>
        </w:rPr>
        <w:tab/>
      </w:r>
      <w:r w:rsidRPr="00E14102">
        <w:rPr>
          <w:color w:val="000000" w:themeColor="text1"/>
          <w:sz w:val="16"/>
          <w:szCs w:val="16"/>
        </w:rPr>
        <w:tab/>
        <w:t>231,7</w:t>
      </w:r>
      <w:r w:rsidRPr="00E14102">
        <w:rPr>
          <w:color w:val="000000" w:themeColor="text1"/>
          <w:sz w:val="16"/>
          <w:szCs w:val="16"/>
        </w:rPr>
        <w:tab/>
        <w:t>232,5 3000</w:t>
      </w:r>
      <w:r w:rsidRPr="00E14102">
        <w:rPr>
          <w:color w:val="000000" w:themeColor="text1"/>
          <w:sz w:val="16"/>
          <w:szCs w:val="16"/>
        </w:rPr>
        <w:tab/>
        <w:t>240 3000</w:t>
      </w:r>
    </w:p>
    <w:p w14:paraId="0323090C" w14:textId="77777777" w:rsidR="00DA70F3" w:rsidRPr="00E14102" w:rsidRDefault="00DA70F3" w:rsidP="00E14102">
      <w:pPr>
        <w:jc w:val="both"/>
        <w:rPr>
          <w:color w:val="000000" w:themeColor="text1"/>
          <w:sz w:val="16"/>
          <w:szCs w:val="16"/>
        </w:rPr>
      </w:pPr>
      <w:r w:rsidRPr="00E14102">
        <w:rPr>
          <w:color w:val="000000" w:themeColor="text1"/>
          <w:sz w:val="16"/>
          <w:szCs w:val="16"/>
        </w:rPr>
        <w:t>Практич. потолок, м</w:t>
      </w:r>
      <w:r w:rsidRPr="00E14102">
        <w:rPr>
          <w:color w:val="000000" w:themeColor="text1"/>
          <w:sz w:val="16"/>
          <w:szCs w:val="16"/>
        </w:rPr>
        <w:tab/>
        <w:t>-</w:t>
      </w:r>
      <w:r w:rsidRPr="00E14102">
        <w:rPr>
          <w:color w:val="000000" w:themeColor="text1"/>
          <w:sz w:val="16"/>
          <w:szCs w:val="16"/>
        </w:rPr>
        <w:tab/>
        <w:t>3360</w:t>
      </w:r>
      <w:r w:rsidRPr="00E14102">
        <w:rPr>
          <w:color w:val="000000" w:themeColor="text1"/>
          <w:sz w:val="16"/>
          <w:szCs w:val="16"/>
        </w:rPr>
        <w:tab/>
        <w:t>3850</w:t>
      </w:r>
      <w:r w:rsidRPr="00E14102">
        <w:rPr>
          <w:color w:val="000000" w:themeColor="text1"/>
          <w:sz w:val="16"/>
          <w:szCs w:val="16"/>
        </w:rPr>
        <w:tab/>
        <w:t>5120</w:t>
      </w:r>
      <w:r w:rsidRPr="00E14102">
        <w:rPr>
          <w:color w:val="000000" w:themeColor="text1"/>
          <w:sz w:val="16"/>
          <w:szCs w:val="16"/>
        </w:rPr>
        <w:tab/>
        <w:t>5795</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5680</w:t>
      </w:r>
    </w:p>
    <w:p w14:paraId="721EB40C" w14:textId="77777777" w:rsidR="00DA70F3" w:rsidRPr="00E14102" w:rsidRDefault="00DA70F3" w:rsidP="00E14102">
      <w:pPr>
        <w:jc w:val="both"/>
        <w:rPr>
          <w:color w:val="000000" w:themeColor="text1"/>
          <w:sz w:val="16"/>
          <w:szCs w:val="16"/>
        </w:rPr>
      </w:pPr>
      <w:r w:rsidRPr="00E14102">
        <w:rPr>
          <w:color w:val="000000" w:themeColor="text1"/>
          <w:sz w:val="16"/>
          <w:szCs w:val="16"/>
        </w:rPr>
        <w:t>Дальность, км</w:t>
      </w:r>
      <w:r w:rsidRPr="00E14102">
        <w:rPr>
          <w:color w:val="000000" w:themeColor="text1"/>
          <w:sz w:val="16"/>
          <w:szCs w:val="16"/>
        </w:rPr>
        <w:tab/>
        <w:t>830</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700</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r>
    </w:p>
    <w:p w14:paraId="1EEE3463" w14:textId="77777777" w:rsidR="00DA70F3" w:rsidRPr="00E14102" w:rsidRDefault="00DA70F3" w:rsidP="00E14102">
      <w:pPr>
        <w:jc w:val="both"/>
        <w:rPr>
          <w:color w:val="000000" w:themeColor="text1"/>
          <w:sz w:val="16"/>
          <w:szCs w:val="16"/>
        </w:rPr>
      </w:pPr>
      <w:r w:rsidRPr="00E14102">
        <w:rPr>
          <w:color w:val="000000" w:themeColor="text1"/>
          <w:sz w:val="16"/>
          <w:szCs w:val="16"/>
        </w:rPr>
        <w:t>Набор высоты: 1000 м, мин 3000 м, мин 5000 м, мин</w:t>
      </w:r>
      <w:r w:rsidRPr="00E14102">
        <w:rPr>
          <w:color w:val="000000" w:themeColor="text1"/>
          <w:sz w:val="16"/>
          <w:szCs w:val="16"/>
        </w:rPr>
        <w:tab/>
        <w:t>17,67</w:t>
      </w:r>
      <w:r w:rsidRPr="00E14102">
        <w:rPr>
          <w:color w:val="000000" w:themeColor="text1"/>
          <w:sz w:val="16"/>
          <w:szCs w:val="16"/>
        </w:rPr>
        <w:tab/>
        <w:t>29,15</w:t>
      </w:r>
      <w:r w:rsidRPr="00E14102">
        <w:rPr>
          <w:color w:val="000000" w:themeColor="text1"/>
          <w:sz w:val="16"/>
          <w:szCs w:val="16"/>
        </w:rPr>
        <w:tab/>
        <w:t>-</w:t>
      </w:r>
      <w:r w:rsidRPr="00E14102">
        <w:rPr>
          <w:color w:val="000000" w:themeColor="text1"/>
          <w:sz w:val="16"/>
          <w:szCs w:val="16"/>
        </w:rPr>
        <w:tab/>
        <w:t>14,0</w:t>
      </w:r>
      <w:r w:rsidRPr="00E14102">
        <w:rPr>
          <w:color w:val="000000" w:themeColor="text1"/>
          <w:sz w:val="16"/>
          <w:szCs w:val="16"/>
        </w:rPr>
        <w:tab/>
        <w:t>6,63 26,5</w:t>
      </w:r>
      <w:r w:rsidRPr="00E14102">
        <w:rPr>
          <w:color w:val="000000" w:themeColor="text1"/>
          <w:sz w:val="16"/>
          <w:szCs w:val="16"/>
        </w:rPr>
        <w:tab/>
        <w:t>19,9</w:t>
      </w:r>
      <w:r w:rsidRPr="00E14102">
        <w:rPr>
          <w:color w:val="000000" w:themeColor="text1"/>
          <w:sz w:val="16"/>
          <w:szCs w:val="16"/>
        </w:rPr>
        <w:tab/>
        <w:t>19,61</w:t>
      </w:r>
      <w:r w:rsidRPr="00E14102">
        <w:rPr>
          <w:color w:val="000000" w:themeColor="text1"/>
          <w:sz w:val="16"/>
          <w:szCs w:val="16"/>
        </w:rPr>
        <w:tab/>
        <w:t>13,6</w:t>
      </w:r>
      <w:r w:rsidRPr="00E14102">
        <w:rPr>
          <w:color w:val="000000" w:themeColor="text1"/>
          <w:sz w:val="16"/>
          <w:szCs w:val="16"/>
        </w:rPr>
        <w:tab/>
        <w:t>23,2</w:t>
      </w:r>
      <w:r w:rsidRPr="00E14102">
        <w:rPr>
          <w:color w:val="000000" w:themeColor="text1"/>
          <w:sz w:val="16"/>
          <w:szCs w:val="16"/>
        </w:rPr>
        <w:tab/>
        <w:t>16,3</w:t>
      </w:r>
    </w:p>
    <w:p w14:paraId="335C8678" w14:textId="77777777" w:rsidR="00DA70F3" w:rsidRPr="00E14102" w:rsidRDefault="00DA70F3" w:rsidP="00E14102">
      <w:pPr>
        <w:jc w:val="both"/>
        <w:rPr>
          <w:color w:val="000000" w:themeColor="text1"/>
          <w:sz w:val="16"/>
          <w:szCs w:val="16"/>
        </w:rPr>
      </w:pPr>
      <w:r w:rsidRPr="00E14102">
        <w:rPr>
          <w:color w:val="000000" w:themeColor="text1"/>
          <w:sz w:val="16"/>
          <w:szCs w:val="16"/>
        </w:rPr>
        <w:t>Разбег, м</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300</w:t>
      </w:r>
      <w:r w:rsidRPr="00E14102">
        <w:rPr>
          <w:color w:val="000000" w:themeColor="text1"/>
          <w:sz w:val="16"/>
          <w:szCs w:val="16"/>
        </w:rPr>
        <w:tab/>
        <w:t>350</w:t>
      </w:r>
      <w:r w:rsidRPr="00E14102">
        <w:rPr>
          <w:color w:val="000000" w:themeColor="text1"/>
          <w:sz w:val="16"/>
          <w:szCs w:val="16"/>
        </w:rPr>
        <w:tab/>
        <w:t>290</w:t>
      </w:r>
      <w:r w:rsidRPr="00E14102">
        <w:rPr>
          <w:color w:val="000000" w:themeColor="text1"/>
          <w:sz w:val="16"/>
          <w:szCs w:val="16"/>
        </w:rPr>
        <w:tab/>
        <w:t>280</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w:t>
      </w:r>
    </w:p>
    <w:p w14:paraId="7F9F6E86" w14:textId="77777777" w:rsidR="00DA70F3" w:rsidRPr="00E14102" w:rsidRDefault="00DA70F3" w:rsidP="00E14102">
      <w:pPr>
        <w:jc w:val="both"/>
        <w:rPr>
          <w:color w:val="000000" w:themeColor="text1"/>
          <w:sz w:val="16"/>
          <w:szCs w:val="16"/>
        </w:rPr>
      </w:pPr>
      <w:r w:rsidRPr="00E14102">
        <w:rPr>
          <w:color w:val="000000" w:themeColor="text1"/>
          <w:sz w:val="16"/>
          <w:szCs w:val="16"/>
        </w:rPr>
        <w:t>Пробег, м</w:t>
      </w:r>
      <w:r w:rsidRPr="00E14102">
        <w:rPr>
          <w:color w:val="000000" w:themeColor="text1"/>
          <w:sz w:val="16"/>
          <w:szCs w:val="16"/>
        </w:rPr>
        <w:tab/>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200</w:t>
      </w:r>
      <w:r w:rsidRPr="00E14102">
        <w:rPr>
          <w:color w:val="000000" w:themeColor="text1"/>
          <w:sz w:val="16"/>
          <w:szCs w:val="16"/>
        </w:rPr>
        <w:tab/>
        <w:t>350</w:t>
      </w:r>
      <w:r w:rsidRPr="00E14102">
        <w:rPr>
          <w:color w:val="000000" w:themeColor="text1"/>
          <w:sz w:val="16"/>
          <w:szCs w:val="16"/>
        </w:rPr>
        <w:tab/>
        <w:t>240</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w:t>
      </w:r>
      <w:r w:rsidRPr="00E14102">
        <w:rPr>
          <w:color w:val="000000" w:themeColor="text1"/>
          <w:sz w:val="16"/>
          <w:szCs w:val="16"/>
        </w:rPr>
        <w:tab/>
        <w:t>-</w:t>
      </w:r>
    </w:p>
    <w:p w14:paraId="22600F15" w14:textId="77777777" w:rsidR="00DA70F3" w:rsidRPr="00E14102" w:rsidRDefault="00DA70F3" w:rsidP="00E14102">
      <w:pPr>
        <w:jc w:val="both"/>
        <w:rPr>
          <w:color w:val="000000" w:themeColor="text1"/>
          <w:sz w:val="16"/>
          <w:szCs w:val="16"/>
        </w:rPr>
      </w:pPr>
      <w:r w:rsidRPr="00E14102">
        <w:rPr>
          <w:color w:val="000000" w:themeColor="text1"/>
          <w:sz w:val="16"/>
          <w:szCs w:val="16"/>
        </w:rPr>
        <w:t>Вираж на высоте 1000 м, с</w:t>
      </w:r>
      <w:r w:rsidRPr="00E14102">
        <w:rPr>
          <w:color w:val="000000" w:themeColor="text1"/>
          <w:sz w:val="16"/>
          <w:szCs w:val="16"/>
        </w:rPr>
        <w:tab/>
        <w:t>28</w:t>
      </w:r>
      <w:r w:rsidRPr="00E14102">
        <w:rPr>
          <w:color w:val="000000" w:themeColor="text1"/>
          <w:sz w:val="16"/>
          <w:szCs w:val="16"/>
        </w:rPr>
        <w:tab/>
      </w:r>
      <w:r w:rsidRPr="00E14102">
        <w:rPr>
          <w:color w:val="000000" w:themeColor="text1"/>
          <w:sz w:val="16"/>
          <w:szCs w:val="16"/>
        </w:rPr>
        <w:tab/>
      </w:r>
      <w:r w:rsidRPr="00E14102">
        <w:rPr>
          <w:color w:val="000000" w:themeColor="text1"/>
          <w:sz w:val="16"/>
          <w:szCs w:val="16"/>
        </w:rPr>
        <w:tab/>
      </w:r>
      <w:r w:rsidRPr="00E14102">
        <w:rPr>
          <w:color w:val="000000" w:themeColor="text1"/>
          <w:sz w:val="16"/>
          <w:szCs w:val="16"/>
        </w:rPr>
        <w:tab/>
      </w:r>
      <w:r w:rsidRPr="00E14102">
        <w:rPr>
          <w:color w:val="000000" w:themeColor="text1"/>
          <w:sz w:val="16"/>
          <w:szCs w:val="16"/>
        </w:rPr>
        <w:tab/>
      </w:r>
      <w:r w:rsidRPr="00E14102">
        <w:rPr>
          <w:color w:val="000000" w:themeColor="text1"/>
          <w:sz w:val="16"/>
          <w:szCs w:val="16"/>
        </w:rPr>
        <w:tab/>
      </w:r>
      <w:r w:rsidRPr="00E14102">
        <w:rPr>
          <w:color w:val="000000" w:themeColor="text1"/>
          <w:sz w:val="16"/>
          <w:szCs w:val="16"/>
        </w:rPr>
        <w:tab/>
      </w:r>
      <w:r w:rsidRPr="00E14102">
        <w:rPr>
          <w:color w:val="000000" w:themeColor="text1"/>
          <w:sz w:val="16"/>
          <w:szCs w:val="16"/>
        </w:rPr>
        <w:tab/>
      </w:r>
      <w:r w:rsidRPr="00E14102">
        <w:rPr>
          <w:color w:val="000000" w:themeColor="text1"/>
          <w:sz w:val="16"/>
          <w:szCs w:val="16"/>
        </w:rPr>
        <w:tab/>
      </w:r>
    </w:p>
    <w:p w14:paraId="5A2F4A9B" w14:textId="77777777" w:rsidR="00DA70F3" w:rsidRPr="00E14102" w:rsidRDefault="00DA70F3" w:rsidP="00E14102">
      <w:pPr>
        <w:jc w:val="both"/>
        <w:rPr>
          <w:color w:val="000000" w:themeColor="text1"/>
          <w:sz w:val="16"/>
          <w:szCs w:val="16"/>
        </w:rPr>
      </w:pPr>
      <w:r w:rsidRPr="00E14102">
        <w:rPr>
          <w:color w:val="000000" w:themeColor="text1"/>
          <w:sz w:val="16"/>
          <w:szCs w:val="16"/>
        </w:rPr>
        <w:t>Примечание:</w:t>
      </w:r>
    </w:p>
    <w:p w14:paraId="634DFC11" w14:textId="77777777" w:rsidR="00DA70F3" w:rsidRPr="00E14102" w:rsidRDefault="00DA70F3" w:rsidP="00E14102">
      <w:pPr>
        <w:jc w:val="both"/>
        <w:rPr>
          <w:color w:val="000000" w:themeColor="text1"/>
          <w:sz w:val="16"/>
          <w:szCs w:val="16"/>
        </w:rPr>
      </w:pPr>
      <w:r w:rsidRPr="00E14102">
        <w:rPr>
          <w:color w:val="000000" w:themeColor="text1"/>
          <w:sz w:val="16"/>
          <w:szCs w:val="16"/>
        </w:rPr>
        <w:t>1) в варианте многоместного истребителя; 2) в варианте разведчика; 3) в варианте разведчика</w:t>
      </w:r>
    </w:p>
    <w:p w14:paraId="41CBF743" w14:textId="77777777" w:rsidR="00DA70F3" w:rsidRPr="00E14102" w:rsidRDefault="00DA70F3" w:rsidP="00E14102">
      <w:pPr>
        <w:jc w:val="both"/>
        <w:rPr>
          <w:color w:val="000000" w:themeColor="text1"/>
          <w:sz w:val="16"/>
          <w:szCs w:val="16"/>
        </w:rPr>
      </w:pPr>
      <w:r w:rsidRPr="00E14102">
        <w:rPr>
          <w:color w:val="000000" w:themeColor="text1"/>
          <w:sz w:val="16"/>
          <w:szCs w:val="16"/>
        </w:rPr>
        <w:t>Специалисты ВВС Балтийского флота предложили свою, более простую конструкцию торпедной подвески. Она прошла испытания в августе 1935 г., но также проявила себя довольно посредственно.</w:t>
      </w:r>
    </w:p>
    <w:p w14:paraId="48D98C12" w14:textId="77777777" w:rsidR="00DA70F3" w:rsidRPr="00E14102" w:rsidRDefault="00DA70F3" w:rsidP="00E14102">
      <w:pPr>
        <w:jc w:val="both"/>
        <w:rPr>
          <w:color w:val="000000" w:themeColor="text1"/>
          <w:sz w:val="16"/>
          <w:szCs w:val="16"/>
        </w:rPr>
      </w:pPr>
      <w:r w:rsidRPr="00E14102">
        <w:rPr>
          <w:color w:val="000000" w:themeColor="text1"/>
          <w:sz w:val="16"/>
          <w:szCs w:val="16"/>
        </w:rPr>
        <w:t>Производство КР-ба, также как и его колёсного «собрата» КР-6, в 1935 г. стали сворачивать. За год выпустили 28 машин и на этом закончили; ни одного серийного самолёта с торпедной подвеской с завода не вышло. В план опытных работ в разное время включали пункты о введении в состав вооружения машины новых торпед ТАН-12РУТ (радиоуправляемой) и ТАН-21, но ни та, ни другая не добралась до стадии серийного производства (12264).</w:t>
      </w:r>
    </w:p>
    <w:p w14:paraId="5CDF7A5C" w14:textId="77777777" w:rsidR="00DA70F3" w:rsidRPr="00E14102" w:rsidRDefault="00DA70F3" w:rsidP="00E14102">
      <w:pPr>
        <w:jc w:val="both"/>
        <w:rPr>
          <w:color w:val="000000" w:themeColor="text1"/>
          <w:sz w:val="16"/>
          <w:szCs w:val="16"/>
        </w:rPr>
      </w:pPr>
    </w:p>
    <w:p w14:paraId="046603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мае-июне 1935 после завершения заводских, начатых в апреле, проводились государственные испытания ЦКБ-3 N 7 без чайки на верхнем крыле, сделанного по требованию военных. Летал Э.И.Преман. Вопрос устойчивости - решился. В.К.К. предлагал перейти на производство этого варианта (1109).</w:t>
      </w:r>
    </w:p>
    <w:p w14:paraId="58AF63CB" w14:textId="77777777" w:rsidR="00D4105E" w:rsidRPr="00E14102" w:rsidRDefault="00D4105E" w:rsidP="00E14102">
      <w:pPr>
        <w:autoSpaceDE w:val="0"/>
        <w:autoSpaceDN w:val="0"/>
        <w:adjustRightInd w:val="0"/>
        <w:jc w:val="both"/>
        <w:rPr>
          <w:color w:val="000000" w:themeColor="text1"/>
          <w:sz w:val="16"/>
          <w:szCs w:val="16"/>
        </w:rPr>
      </w:pPr>
    </w:p>
    <w:p w14:paraId="5B943E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мае-августе 1935 года в НИИ ВВС проходили гос. испытания И-15 Райт-Циклон F-3 центроплан (опытный)</w:t>
      </w:r>
    </w:p>
    <w:p w14:paraId="612175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Госиспытания выдержал. Рекомендован для серийной постройки</w:t>
      </w:r>
    </w:p>
    <w:p w14:paraId="5BA38C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Отмечены:</w:t>
      </w:r>
    </w:p>
    <w:p w14:paraId="2C4C2E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Вибрация элеронов.</w:t>
      </w:r>
    </w:p>
    <w:p w14:paraId="01ABC9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Недостаточная прочность ног шасси – в креплении стойки к шлицевому стакану (7721, 248-250).</w:t>
      </w:r>
    </w:p>
    <w:p w14:paraId="366DB0E8" w14:textId="77777777" w:rsidR="00D4105E" w:rsidRPr="00E14102" w:rsidRDefault="00D4105E" w:rsidP="00E14102">
      <w:pPr>
        <w:autoSpaceDE w:val="0"/>
        <w:autoSpaceDN w:val="0"/>
        <w:adjustRightInd w:val="0"/>
        <w:jc w:val="both"/>
        <w:rPr>
          <w:color w:val="000000" w:themeColor="text1"/>
          <w:sz w:val="16"/>
          <w:szCs w:val="16"/>
        </w:rPr>
      </w:pPr>
    </w:p>
    <w:p w14:paraId="292896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мае-июне 1935 по заданию руководства Н.Н.П. проводил оценку возможности проектирования и постройки к 1937 самолета для достижения рекорда скорости. Должна была не менее 600 км/ч. Сделал проект И-18 (ЦКБ-25 а потом - ЦКБ-33 и ЦКБ-43) (228,109).</w:t>
      </w:r>
    </w:p>
    <w:p w14:paraId="1514B61A" w14:textId="77777777" w:rsidR="00D4105E" w:rsidRPr="00E14102" w:rsidRDefault="00D4105E" w:rsidP="00E14102">
      <w:pPr>
        <w:autoSpaceDE w:val="0"/>
        <w:autoSpaceDN w:val="0"/>
        <w:adjustRightInd w:val="0"/>
        <w:jc w:val="both"/>
        <w:rPr>
          <w:color w:val="000000" w:themeColor="text1"/>
          <w:sz w:val="16"/>
          <w:szCs w:val="16"/>
        </w:rPr>
      </w:pPr>
    </w:p>
    <w:p w14:paraId="569AC0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 июне 1935 г. шла сборка и наладка «Автостарта МАИ», а в июле «Автостарт» опробован пилотом К. Егоровым.</w:t>
      </w:r>
    </w:p>
    <w:p w14:paraId="09E3BC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в студенческом аэроклубе спроектировано и изготовлено устройство «Автостарт», которое позволяло осуществить взлет планеров без самолета-буксировщика и значительно снижало стоимость обучения планеристов. Авторы проекта, конструкторы и разработчики К. Егоров (пилот-инструктор), Б. Соколов и А. Нащекин. Над проектом работали также учлеты из планерного отряда аэроклуба — будущие пилоты-планеристы В. Корнилов, А. Зубрилов, И. Лукин, К. Буховецкий и другие. Актуальность этой работы была очевидна, т.к. в стране быстро расширялась сеть аэроклубов и возникали трудности в обеспечении их самолетами. Конструкция «Автостарта» довольно простая. Основа — автомобиль, неподвижно установленный на колодках в конце летного поля. На заднем правом колесе автомобиля имелся барабан диаметром 0,7 м для намотки буксировочного троса. Планер с помощью буксировочного замка соединялся со свободным концом троса, который после включения двигателя автомобиля наматывался на барабан, что обеспечивало взлетную скорость планера. Сначала для «Автостарта» использовали списанный автомобиль АМО-Ф-15 (другого не оказалось), который обеспечивал скорость движения троса 12 м/с и запуск планера УС-3. В 1937 г. изготовлены «Автостарты» на базе автомобилей ГАЗ-АА и ЗИС-5. С их помощью запускались планеры УС-4, ПС-2, УС-5 и Ш-5 на высоту 250 — 300 м.</w:t>
      </w:r>
    </w:p>
    <w:p w14:paraId="00BD01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освоения устройства инструкторами аэроклуба МАИ было получено разрешение ЦС Осоавиахима на учебное применение «Автостарта». Началась работа с учлетами. На берегу Оки, в районе Серпухова, в 1935 — 1936 гг. были организованы лагерные сборы по обучению пилотов-планеристов с использованием «Автостарта МАИ». Учебные полеты проводились на планерах УС-3-стандарт. В 1936 г. выполнено более 600 полетов с помощью «Автостарта» без единого случая отказа оборудования. Только за один 1936 г. с применением «Автостарта-МАИ» обучено 70 пилотов, из них 35 получили свидетельства пилотов-инструкторов. Таким образом, десятки пилотов-планеристов из числа студентов и сотрудников МАИ были подготовлены с минимальной затратой государственных средств на обучение (12075).</w:t>
      </w:r>
    </w:p>
    <w:p w14:paraId="6DF888F9" w14:textId="77777777" w:rsidR="00D4105E" w:rsidRPr="00E14102" w:rsidRDefault="00D4105E" w:rsidP="00E14102">
      <w:pPr>
        <w:autoSpaceDE w:val="0"/>
        <w:autoSpaceDN w:val="0"/>
        <w:adjustRightInd w:val="0"/>
        <w:jc w:val="both"/>
        <w:rPr>
          <w:color w:val="000000" w:themeColor="text1"/>
          <w:sz w:val="16"/>
          <w:szCs w:val="16"/>
        </w:rPr>
      </w:pPr>
    </w:p>
    <w:p w14:paraId="72ABA61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E0F28C1" w14:textId="77777777" w:rsidR="00D4105E" w:rsidRPr="00E14102" w:rsidRDefault="00D4105E" w:rsidP="00E14102">
      <w:pPr>
        <w:autoSpaceDE w:val="0"/>
        <w:autoSpaceDN w:val="0"/>
        <w:adjustRightInd w:val="0"/>
        <w:jc w:val="both"/>
        <w:rPr>
          <w:iCs/>
          <w:color w:val="000000" w:themeColor="text1"/>
          <w:sz w:val="16"/>
          <w:szCs w:val="16"/>
        </w:rPr>
      </w:pPr>
    </w:p>
    <w:p w14:paraId="669B45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мае—сентябре 1935 г. на заводе им. А. А. Жданова в Ленин</w:t>
      </w:r>
      <w:r w:rsidRPr="00E14102">
        <w:rPr>
          <w:color w:val="000000" w:themeColor="text1"/>
          <w:sz w:val="16"/>
          <w:szCs w:val="16"/>
        </w:rPr>
        <w:softHyphen/>
        <w:t>граде были заложены четыре первых корабля пр. 53: Т-1 "Стрела" (головной), Т-2 "Трос", Т-3 "Проводник" и Т-4 "Подсекатель". В следующем году они были спущены на воду, при этом стапельный период постройки составил от 12 до 15 мес. Из-за загруженности завода другими заказами корпуса тральщиков были переданы для достройки на завод 196 ("Судомех"), который и сдал их флоту в ав</w:t>
      </w:r>
      <w:r w:rsidRPr="00E14102">
        <w:rPr>
          <w:color w:val="000000" w:themeColor="text1"/>
          <w:sz w:val="16"/>
          <w:szCs w:val="16"/>
        </w:rPr>
        <w:softHyphen/>
        <w:t>густе—декабре 1938 г. В августе 1936 — ноябре 1938 гг. серию из шести однотипных базовьхх тральщиков построил и завод 201 (Севморзавод). Они вступили в строй под названиями "Взрыва</w:t>
      </w:r>
      <w:r w:rsidRPr="00E14102">
        <w:rPr>
          <w:color w:val="000000" w:themeColor="text1"/>
          <w:sz w:val="16"/>
          <w:szCs w:val="16"/>
        </w:rPr>
        <w:softHyphen/>
        <w:t>тель" (Т-405), "Искатель (Т-406), "Мина" (Т-407), "Защитник" (Т-411), "Веха" (Т-7) и "Чека" (Т-8) (3898).</w:t>
      </w:r>
    </w:p>
    <w:p w14:paraId="6DCE2989" w14:textId="77777777" w:rsidR="00D4105E" w:rsidRPr="00E14102" w:rsidRDefault="00D4105E" w:rsidP="00E14102">
      <w:pPr>
        <w:autoSpaceDE w:val="0"/>
        <w:autoSpaceDN w:val="0"/>
        <w:adjustRightInd w:val="0"/>
        <w:jc w:val="both"/>
        <w:rPr>
          <w:color w:val="000000" w:themeColor="text1"/>
          <w:sz w:val="16"/>
          <w:szCs w:val="16"/>
        </w:rPr>
      </w:pPr>
    </w:p>
    <w:p w14:paraId="191C657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16DEB22" w14:textId="77777777" w:rsidR="00D4105E" w:rsidRPr="00E14102" w:rsidRDefault="00D4105E" w:rsidP="00E14102">
      <w:pPr>
        <w:autoSpaceDE w:val="0"/>
        <w:autoSpaceDN w:val="0"/>
        <w:adjustRightInd w:val="0"/>
        <w:jc w:val="both"/>
        <w:rPr>
          <w:iCs/>
          <w:color w:val="000000" w:themeColor="text1"/>
          <w:sz w:val="16"/>
          <w:szCs w:val="16"/>
        </w:rPr>
      </w:pPr>
    </w:p>
    <w:p w14:paraId="20E274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весны 1935 леткрыло Г-39 Кукарачу вывели на аэродром. С.П.Ч. так и не смог поднять, т.к. мощности М-11 не хватало. Потом Гроховский все же сумел воткнуть машину в план ЭИ НКТП как пассажирскую (4418,47).</w:t>
      </w:r>
    </w:p>
    <w:p w14:paraId="2A8FFA3B" w14:textId="77777777" w:rsidR="00D4105E" w:rsidRPr="00E14102" w:rsidRDefault="00D4105E" w:rsidP="00E14102">
      <w:pPr>
        <w:autoSpaceDE w:val="0"/>
        <w:autoSpaceDN w:val="0"/>
        <w:adjustRightInd w:val="0"/>
        <w:jc w:val="both"/>
        <w:rPr>
          <w:color w:val="000000" w:themeColor="text1"/>
          <w:sz w:val="16"/>
          <w:szCs w:val="16"/>
        </w:rPr>
      </w:pPr>
    </w:p>
    <w:p w14:paraId="707F64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весны 1935 прообраз самолета-таран - ЛК с опущенными крыльями, штырем на носу и тросами, а также режущей кромкой по крылу, который стали проектировать и строить в мастерских ЦАГИ с участием С.Г.Козлова, В.Ф.Болховитинова, Каминова по договору во внерабочее время и назвали Кукарача, был испытан В.П.Ч., но взлететь с М-11 так и не смог (1101,192).</w:t>
      </w:r>
    </w:p>
    <w:p w14:paraId="622D3C07" w14:textId="77777777" w:rsidR="00D4105E" w:rsidRPr="00E14102" w:rsidRDefault="00D4105E" w:rsidP="00E14102">
      <w:pPr>
        <w:autoSpaceDE w:val="0"/>
        <w:autoSpaceDN w:val="0"/>
        <w:adjustRightInd w:val="0"/>
        <w:jc w:val="both"/>
        <w:rPr>
          <w:color w:val="000000" w:themeColor="text1"/>
          <w:sz w:val="16"/>
          <w:szCs w:val="16"/>
        </w:rPr>
      </w:pPr>
    </w:p>
    <w:p w14:paraId="7C64D08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29FB749" w14:textId="77777777" w:rsidR="00D4105E" w:rsidRPr="00E14102" w:rsidRDefault="00D4105E" w:rsidP="00E14102">
      <w:pPr>
        <w:autoSpaceDE w:val="0"/>
        <w:autoSpaceDN w:val="0"/>
        <w:adjustRightInd w:val="0"/>
        <w:jc w:val="both"/>
        <w:rPr>
          <w:iCs/>
          <w:color w:val="000000" w:themeColor="text1"/>
          <w:sz w:val="16"/>
          <w:szCs w:val="16"/>
        </w:rPr>
      </w:pPr>
    </w:p>
    <w:p w14:paraId="04473D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Весной 1935 С.В.Ильюшин совершил ловкий маневр. В плане опытного строительства на 1934-1935 гг. в разделе второстепенных работ стоял “дальний бомбардировщик ДБ-2РЦ”. Предполагалось, что это будет модификация рекордного АНТ-25 (РД) под два мотора “Циклон”. Военные считали эту тему не очень актуальной. В то время стратегические функции в ВВС РККА выполняли соединения тихоходных неуклюжих гигантов ТБ-3. Практический радиус действия с боевой нагрузкой у них не превышал 1000-1100 км. Командование ВВС считало основной задачей постепенную модернизацию ТБ-3 с увеличением дальности его полета. Но в 1931 г. в коллективе Туполева предложили иную концепцию с упором именно на дальность. ДБ-1, военный вариант АНТ-25. вдвое уступал ТБ-3 по бомбовой нагрузке, но впятеро превосходил по радиусу действия. Он был столь же тихоходен и отличался такими же низкими показателями маневренности. Малая серия построенных ДБ-1 после войсковых испытаний осела в 1-й авиационной армии особого назначения, дислоцировавшейся в Подмосковье. Сочли, что как бомбардировщики они малопригодны, но могут сойти в качестве дальних разведчиков. Самолеты подобной схемы и назначения строились и за рубежом. Можно напомнить, например, английский “Уэллсли", разработанный фирмой “Виккерс", дошедший до стадии серийного производства, принятый на вооружение и даже </w:t>
      </w:r>
      <w:r w:rsidRPr="00E14102">
        <w:rPr>
          <w:color w:val="000000" w:themeColor="text1"/>
          <w:sz w:val="16"/>
          <w:szCs w:val="16"/>
        </w:rPr>
        <w:lastRenderedPageBreak/>
        <w:t>успевший повоевать в первые месяцы Второй Мировой. хотя и без особого успеха. ДБ-2 должен был стать дальнейшим развитием ДБ-1. Туполев обладал немалым влиянием и мог надеяться “протолкнуть” самолет в производство несмотря на позицию некоторых руководителей ВВС. Вот в эту “экологическую нишу” и ринулся Ильюшин. Экономичные "Гном-Роны" позволяли существенно поднять дальность полета, а большая грузоподъемность самолета по сравнению с СБ - увеличить запас горючего. ЦКБ-26 теперь подавался как прототип дальнего бомбардировщика - конкурент ДБ-2 (6474).</w:t>
      </w:r>
    </w:p>
    <w:p w14:paraId="3C1D3907"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B6220BD" w14:textId="77777777" w:rsidR="00381125" w:rsidRPr="00E14102" w:rsidRDefault="00381125" w:rsidP="00E14102">
      <w:pPr>
        <w:jc w:val="both"/>
        <w:rPr>
          <w:color w:val="0070C0"/>
          <w:sz w:val="16"/>
          <w:szCs w:val="16"/>
        </w:rPr>
      </w:pPr>
      <w:r w:rsidRPr="00E14102">
        <w:rPr>
          <w:color w:val="0070C0"/>
          <w:sz w:val="16"/>
          <w:szCs w:val="16"/>
        </w:rPr>
        <w:t>Весной 1935 г. первый самолет С.В. Ильюшина был построен. ЦКБ-26 выкатили на летное поле Центрального аэродрома Москвы, и в июне летчик-ис- пытатель В.К. Коккинаки поднял его в воздух. По сути, эта невооруженная ма</w:t>
      </w:r>
      <w:r w:rsidRPr="00E14102">
        <w:rPr>
          <w:color w:val="0070C0"/>
          <w:sz w:val="16"/>
          <w:szCs w:val="16"/>
        </w:rPr>
        <w:softHyphen/>
        <w:t>шина смешанной конструкции служила, как сегодня принято говорить, самоле</w:t>
      </w:r>
      <w:r w:rsidRPr="00E14102">
        <w:rPr>
          <w:color w:val="0070C0"/>
          <w:sz w:val="16"/>
          <w:szCs w:val="16"/>
        </w:rPr>
        <w:softHyphen/>
        <w:t>том-демонстратором, т.е. предназнача</w:t>
      </w:r>
      <w:r w:rsidRPr="00E14102">
        <w:rPr>
          <w:color w:val="0070C0"/>
          <w:sz w:val="16"/>
          <w:szCs w:val="16"/>
        </w:rPr>
        <w:softHyphen/>
        <w:t>лась для проверки эффективности зало</w:t>
      </w:r>
      <w:r w:rsidRPr="00E14102">
        <w:rPr>
          <w:color w:val="0070C0"/>
          <w:sz w:val="16"/>
          <w:szCs w:val="16"/>
        </w:rPr>
        <w:softHyphen/>
        <w:t>женных в проект технических решений.</w:t>
      </w:r>
    </w:p>
    <w:p w14:paraId="2E8EF470" w14:textId="77777777" w:rsidR="00381125" w:rsidRPr="00E14102" w:rsidRDefault="00381125" w:rsidP="00E14102">
      <w:pPr>
        <w:jc w:val="both"/>
        <w:rPr>
          <w:color w:val="0070C0"/>
          <w:sz w:val="16"/>
          <w:szCs w:val="16"/>
        </w:rPr>
      </w:pPr>
      <w:r w:rsidRPr="00E14102">
        <w:rPr>
          <w:color w:val="0070C0"/>
          <w:sz w:val="16"/>
          <w:szCs w:val="16"/>
        </w:rPr>
        <w:t>Уже начальный этап летных испыта</w:t>
      </w:r>
      <w:r w:rsidRPr="00E14102">
        <w:rPr>
          <w:color w:val="0070C0"/>
          <w:sz w:val="16"/>
          <w:szCs w:val="16"/>
        </w:rPr>
        <w:softHyphen/>
        <w:t>ний показал, что новый самолет оправ</w:t>
      </w:r>
      <w:r w:rsidRPr="00E14102">
        <w:rPr>
          <w:color w:val="0070C0"/>
          <w:sz w:val="16"/>
          <w:szCs w:val="16"/>
        </w:rPr>
        <w:softHyphen/>
        <w:t>дывает надежды. ЦКБ-26 подтверждал заявленные расчетные параметры, де</w:t>
      </w:r>
      <w:r w:rsidRPr="00E14102">
        <w:rPr>
          <w:color w:val="0070C0"/>
          <w:sz w:val="16"/>
          <w:szCs w:val="16"/>
        </w:rPr>
        <w:softHyphen/>
        <w:t>монстрировал хорошую устойчивость и управляемость, а его маневренные ха</w:t>
      </w:r>
      <w:r w:rsidRPr="00E14102">
        <w:rPr>
          <w:color w:val="0070C0"/>
          <w:sz w:val="16"/>
          <w:szCs w:val="16"/>
        </w:rPr>
        <w:softHyphen/>
        <w:t>рактеристики оказались даже выше тре</w:t>
      </w:r>
      <w:r w:rsidRPr="00E14102">
        <w:rPr>
          <w:color w:val="0070C0"/>
          <w:sz w:val="16"/>
          <w:szCs w:val="16"/>
        </w:rPr>
        <w:softHyphen/>
        <w:t>буемого уровня (19944).</w:t>
      </w:r>
    </w:p>
    <w:p w14:paraId="3D44373E" w14:textId="77777777" w:rsidR="00381125" w:rsidRPr="00E14102" w:rsidRDefault="00381125" w:rsidP="00E14102">
      <w:pPr>
        <w:jc w:val="both"/>
        <w:rPr>
          <w:color w:val="0070C0"/>
          <w:sz w:val="16"/>
          <w:szCs w:val="16"/>
        </w:rPr>
      </w:pPr>
    </w:p>
    <w:p w14:paraId="4821910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Весной 1935 г. изго</w:t>
      </w:r>
      <w:r w:rsidRPr="00E14102">
        <w:rPr>
          <w:color w:val="000000" w:themeColor="text1"/>
          <w:sz w:val="16"/>
          <w:szCs w:val="16"/>
        </w:rPr>
        <w:softHyphen/>
        <w:t>товили И—15 с нормальным центропланом Эта машина, построенная авиазаводом №39, имела серийный №33907 и обычно называлась ЦКБ—3 №7. Дополнитель</w:t>
      </w:r>
      <w:r w:rsidRPr="00E14102">
        <w:rPr>
          <w:color w:val="000000" w:themeColor="text1"/>
          <w:sz w:val="16"/>
          <w:szCs w:val="16"/>
        </w:rPr>
        <w:softHyphen/>
        <w:t>ным ее внешним отличием явилась установка кольцевого коллектора выхлопных газов (обыч</w:t>
      </w:r>
      <w:r w:rsidRPr="00E14102">
        <w:rPr>
          <w:color w:val="000000" w:themeColor="text1"/>
          <w:sz w:val="16"/>
          <w:szCs w:val="16"/>
        </w:rPr>
        <w:softHyphen/>
        <w:t>ные И—15 имели индивидуальные выхлопные патрубки на каждом цилиндре двигателя) (10547).</w:t>
      </w:r>
    </w:p>
    <w:p w14:paraId="4AC622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E17D1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г. рассматривался штурмовой вариант ЦКБ-15, оснащенный подвижными пулеметными бата</w:t>
      </w:r>
      <w:r w:rsidRPr="00E14102">
        <w:rPr>
          <w:color w:val="000000" w:themeColor="text1"/>
          <w:sz w:val="16"/>
          <w:szCs w:val="16"/>
        </w:rPr>
        <w:softHyphen/>
        <w:t>реями под крылом. Предполагалось, что изготовление такой машины будет завершено к августу 1935 г.. Но из-за длительной доводки И-17, обостренных до крайности отношений Н.Н.Поликарпова с дирекцией завода № 39 постройка самолета так и не состоялась (10667).</w:t>
      </w:r>
    </w:p>
    <w:p w14:paraId="62DC9888" w14:textId="77777777" w:rsidR="00D4105E" w:rsidRPr="00E14102" w:rsidRDefault="00D4105E" w:rsidP="00E14102">
      <w:pPr>
        <w:autoSpaceDE w:val="0"/>
        <w:autoSpaceDN w:val="0"/>
        <w:adjustRightInd w:val="0"/>
        <w:jc w:val="both"/>
        <w:rPr>
          <w:color w:val="000000" w:themeColor="text1"/>
          <w:sz w:val="16"/>
          <w:szCs w:val="16"/>
        </w:rPr>
      </w:pPr>
    </w:p>
    <w:p w14:paraId="43D47E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г. было решено во время первомайского парада осуществить пролет 60 И-16 нал Красной площадью. Такого количества подготовленных пилотов еше не существовало. поэтому знакомиться с новой машиной предстояло непосредственно на заводе №21. Обучение прибывшей группы в составе 70 человек веди заводские пилоты под руководством ПЛ.Павлушева. Заводские документы указывают, что использовался двухместный вариант И-16. Вероятнее всего летали на УТ-2 №8211. еще до прохождения его официальных испытаний (12015).</w:t>
      </w:r>
    </w:p>
    <w:p w14:paraId="4A10B5A4" w14:textId="77777777" w:rsidR="00D4105E" w:rsidRPr="00E14102" w:rsidRDefault="00D4105E" w:rsidP="00E14102">
      <w:pPr>
        <w:autoSpaceDE w:val="0"/>
        <w:autoSpaceDN w:val="0"/>
        <w:adjustRightInd w:val="0"/>
        <w:jc w:val="both"/>
        <w:rPr>
          <w:color w:val="000000" w:themeColor="text1"/>
          <w:sz w:val="16"/>
          <w:szCs w:val="16"/>
        </w:rPr>
      </w:pPr>
    </w:p>
    <w:p w14:paraId="7E153F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готовили серию СБ (АНТ-40) на 22 заводе им. Горбунова, равно как и серию М-100. Первые серийные машины появились только через год весной 1936 (80,236).</w:t>
      </w:r>
    </w:p>
    <w:p w14:paraId="1031F30F" w14:textId="77777777" w:rsidR="00D4105E" w:rsidRPr="00E14102" w:rsidRDefault="00D4105E" w:rsidP="00E14102">
      <w:pPr>
        <w:autoSpaceDE w:val="0"/>
        <w:autoSpaceDN w:val="0"/>
        <w:adjustRightInd w:val="0"/>
        <w:jc w:val="both"/>
        <w:rPr>
          <w:color w:val="000000" w:themeColor="text1"/>
          <w:sz w:val="16"/>
          <w:szCs w:val="16"/>
        </w:rPr>
      </w:pPr>
    </w:p>
    <w:p w14:paraId="67464D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1935-го началось поступление рабочих чертежей СБ на авиазавод №22, первые серийные СБ появились в начале 1936 г. Понятно, что продолжительные испытания и доводка опытных экземпляров заметно задерживали начало серийного производства. Не стоит забывать и о загруженности 22-го завода производством четырехмоторных бомбовозов ТБ-3. Не ускоряли процесс внедрения новичка освоение новых технологий и изготовление оснастки. Особые проблемы при этом вызывали установка гладкой металлической обшивки в сочетании с использованием приемов потайной клепки.</w:t>
      </w:r>
    </w:p>
    <w:p w14:paraId="0F08E9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Моторный завод №26 в г. Рыбинске также испытывал немалые трудности при освоении лицензионного двигателя "Испано- Сюиза". Первый отечественный образец под обозначением М-100, развивающий мощность 750 л.с. на высоте 4300 метров, изготовили в мае 1935 г. Всего до конца года их построили около 100 экземпляров (в 1936 г. - 1071 экземпляр). При этом качество изготовления первых М-100 оценивалось как невысокое, имелось много отказов и поломок, ресурс работы составлял не более 50 часов. Тем не менее, именно такими двигателями с металлическими двухлопастными воздушными винтами диаметром 3,4 метра начали оснащать серийные СБ.</w:t>
      </w:r>
    </w:p>
    <w:p w14:paraId="63F8E4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Оборонительное вооружение скоростного бомбардировщика в основном довели на опытном АНТ-40РЦ. Оно состояло из 4-х пулеметов ШКАС калибра 7,62 мм со скорострельностью 1800 выстрелов в минуту, что расценивалось тогда едва ли не как чудо техники. У штурмана в носовой кабине стояла спарка ШКАСов, позволяющая вести огонь вперед в ракурсе почти 180° по вертикали и на 15° в стороны по горизонтали (обычно считается, что перемещение штурманских пулеметов у СБ происходило только по вертикальному сектору).</w:t>
      </w:r>
    </w:p>
    <w:p w14:paraId="5E74B9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Два ШКАСа имелись у воздушного стрелка для обстрела задней полусферы. Вверху один пулемет - на турели ТУР-9, являющейся развитием ТУР-8 образца 1934 г. и созданной под руководством Н.Ф.Токарева. Особенностью турели являлся шарнирный узел ("головка"), в котором закреплялся пулемет и через который подавались патроны, узел был удивительно рациональным и мог считаться венцом конструктивных решений.</w:t>
      </w:r>
    </w:p>
    <w:p w14:paraId="3EEF52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Нижний пулемет ШКАС, т.н. "кинжальный", применялся при открытом люке снизу фюзеляжа. Пробраться к этому пулемету и, тем более пользоваться им, мог человек не крупных размеров, поэтому эта огневая точка стала головной болью для разработчиков оборонительных установок. Кроме того, сектор обстрела нижней полусферы получился небольшим, что позволило считать, что тактическое применение люковой установки весьма ограничено. Позднее, когда началось практическое использование самолета, для стрельбы из нижнего пулемета оборудовали специальную педаль. Воздушный стрелок, подвешенный в ТУР-9 и занятый ее управлением, нажимая ногой на педаль вел огонь, чем создавал эффект присутствия и у нижнего пулемета.</w:t>
      </w:r>
    </w:p>
    <w:p w14:paraId="7E4289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описанное оборонительное хозяйство имело непрерывное питание пулеметов, стрелкам в пылу воздушного боя более не приходилось лихорадочно ставить новые магазины с патронами. Это нововведение стало маленькой революцией - практически никто ранее так глубоко не вникал в проблему-в остальном мире в основном по-прежнему пользовались сменными магазинами.</w:t>
      </w:r>
    </w:p>
    <w:p w14:paraId="59A067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Понятно, что перечисленные стрелковые установки являлись сложными механизмами. Появлению их в первую очередь именно на СБ способствовал перевод в ЦАГИ специализированного КБ по вооружению во главе с А.В.Надашкевичем. Именно здесь начали работать оружейники Г.М.Можаров- ский и И.В.Веневидов, которые впоследствии значительно улучшили оборонительные возможности бомбардировщика СБ (12027).</w:t>
      </w:r>
    </w:p>
    <w:p w14:paraId="79BFFD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Правомочно считать, что индексу АНТ-40 полноценно соответствуют две первые опытные машины. Тем не менее, в официальных документах ЦАГИ при определении всех самолетов СБ использовали обозначение АНТ-40 и позднее. В 1937 г., после неожиданного ареста А.Н.Туполева, его инициалы использовать запретили, поэтому самолет в деловой переписке часто назывался как ЦАГИ-40.</w:t>
      </w:r>
    </w:p>
    <w:p w14:paraId="5562D6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серийном авиазаводе №22 СБ обозначался как самолет "Н". Встречалось написание "Н-37" (СБ-37), "Н-38" (СБ-38) - что означало СБ по типу эталона 1937 года и СБ по типу эталона 1938 года. При проведении испытаний название самолета записывалось более подробно: например СБ 2 М-103 №2/201. Данная запись означала: Самолет СБ с двумя двигателями М-103, второй экземпляр в серии 201.</w:t>
      </w:r>
    </w:p>
    <w:p w14:paraId="4BCF38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гражданского предназначения назывались ПС - Пассажирский (почтовый) Самолет. ПС-40 - это гражданский вариант СБ с двигателями М-100, М-100А, М-103 и лобовыми радиаторами охлаждения. ПС-41 - гражданский вариант модифицированного СБ с двигателями М-103 и тоннельными радиаторами водяного охлаждения, размещенными под картером двигателя.</w:t>
      </w:r>
    </w:p>
    <w:p w14:paraId="67CA55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Наиболее краткое обозначение по типам двигателей было введено в ВВС накануне войны: СБ М-100, СБ М-103, СБ М-104, СБ М-105.</w:t>
      </w:r>
    </w:p>
    <w:p w14:paraId="584B22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все приведенные обозначения не позволяют идентифицировать самолет, если неизвестны его заводской номер и дата выпуска. Тем более, что внешне одинаковые машины могли иметь различные двигатели. Поэтому назовем основные модификации СБ с описанием известных отличий.</w:t>
      </w:r>
    </w:p>
    <w:p w14:paraId="556BA7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2 М-100 - самолет выпуска 1936 г. с двухлопастными воздушными винтами.</w:t>
      </w:r>
    </w:p>
    <w:p w14:paraId="1E1493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2 М-100А - самолет выпуска 1937 г. с трехлопастными воздушными винтами, отсутствуют наружные бомбодержатели.</w:t>
      </w:r>
    </w:p>
    <w:p w14:paraId="166B35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2 М-103 - самолет выпуска 1938-39 гг. с лобовыми радиаторами охлаждения двигателя, трехлопастными воздушными винтами, наружными бомбодержателями и зеркалом заднего обзора над козырьком пилота.</w:t>
      </w:r>
    </w:p>
    <w:p w14:paraId="29ED32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2 М-103У и М-103А - самолет выпуска второй половины 1939 г. с радиаторами охлаждения, размещенными под мотором. Управление охлаждением радиатора при помощи передней подвижной створки.</w:t>
      </w:r>
    </w:p>
    <w:p w14:paraId="0BAD75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2 М-103У и М-103А - самолет выпуска первой половины 1940 г. основным отличием имел постоянное переднее входное отверстие для охлаждения водяного радиатора. Машины выпуска второго полугодия отличались наличием посадочной фары и ложемента для убираемых лыж.</w:t>
      </w:r>
    </w:p>
    <w:p w14:paraId="188933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2 М-104 - самолет выпуска первой половины 1940 г. внешне не отличался от самолетов с двигателями М-103 выпущенных в это же время.</w:t>
      </w:r>
    </w:p>
    <w:p w14:paraId="628BE5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2 М-105 - самолет выпуска второй половины 1940 г. и начала 1941 г. обязательно отличался защитной зеленой окраской сверху и голубой снизу. Часть экземпляров оборудовалась пилотскими фонарями с выпуклой средней частью.</w:t>
      </w:r>
    </w:p>
    <w:p w14:paraId="2BEFE5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 Б 2 М-100 и М-103 - учебный СБ, кроме передней кабины полностью соответствующий стандартным серийным самолетам (12027).</w:t>
      </w:r>
    </w:p>
    <w:p w14:paraId="2D526059" w14:textId="77777777" w:rsidR="00D4105E" w:rsidRPr="00E14102" w:rsidRDefault="00D4105E" w:rsidP="00E14102">
      <w:pPr>
        <w:autoSpaceDE w:val="0"/>
        <w:autoSpaceDN w:val="0"/>
        <w:adjustRightInd w:val="0"/>
        <w:jc w:val="both"/>
        <w:rPr>
          <w:color w:val="000000" w:themeColor="text1"/>
          <w:sz w:val="16"/>
          <w:szCs w:val="16"/>
        </w:rPr>
      </w:pPr>
    </w:p>
    <w:p w14:paraId="4C4702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г. в соответствии с подготовленными ТТТ, ДБ-2 (АНТ-37) определялся как дальний бомбардировщик, способный нести 1000 кг бомб на расстояние 5000 км со скоростью 250 км/ч (последнее значение потом повысили на 300-320 км/ч).</w:t>
      </w:r>
    </w:p>
    <w:p w14:paraId="5B4A50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имел трехлонжеронное крыло с размахом 31,0 м и площадью 89,94 мг, которое в отличие от крыла АНТ-25 имело гладкую обшивку (у АНТ-25 гофрированная обшивка крыла для снижения сопротивления была обтянута тканью). Топливные баки с запасом горючего 3800 литров располагались между первым и вторым лонжероном вдоль размаха крыла, причем верхняя и нижняя поверхность баков являлись элементами внешней обшивки. Особенностью ДБ-2 являлось размещение второго управления в задней кабине, традиционно предназначенной для стрелка-радиста. Здесь, в кормовой кабине размещалась верхняя оборонительная турель ТУР-</w:t>
      </w:r>
      <w:r w:rsidRPr="00E14102">
        <w:rPr>
          <w:color w:val="000000" w:themeColor="text1"/>
          <w:sz w:val="16"/>
          <w:szCs w:val="16"/>
        </w:rPr>
        <w:lastRenderedPageBreak/>
        <w:t>9 и нижняя оборонительная установка с пулеметами ШКАС. Еще один ШКАС был установлен в носовой поворачивающейся башне перед кабиной штурмана. Дополняя краткое описание, укажем, что основное убираемое шасси было оснащено спаренными колесами размером 900x200 мм, костыльная установка оснащалась неубираемым колесом размером 470x300 мм.</w:t>
      </w:r>
    </w:p>
    <w:p w14:paraId="4CFBEE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Изготовление первого экземпляра АНТ-37 велось в цехах нового завода опытных конструкций (30К) ЦАГИ, построенного на участке между улицей Радио и рекой Яуза, и введенного в строй в 1932 году. В 1936 г. этот завод получил наименование авиазавода №156. В доку ментах, сопровождающих строительство АНТ-37, указывалось, что благодаря накопленному опыту, качество изготовления самолета оценивалось заметно выше, чем у опытного бомбардировщика АНТ-40 (11945).</w:t>
      </w:r>
    </w:p>
    <w:p w14:paraId="77FFC8C5" w14:textId="77777777" w:rsidR="00D4105E" w:rsidRPr="00E14102" w:rsidRDefault="00D4105E" w:rsidP="00E14102">
      <w:pPr>
        <w:autoSpaceDE w:val="0"/>
        <w:autoSpaceDN w:val="0"/>
        <w:adjustRightInd w:val="0"/>
        <w:jc w:val="both"/>
        <w:rPr>
          <w:color w:val="000000" w:themeColor="text1"/>
          <w:sz w:val="16"/>
          <w:szCs w:val="16"/>
        </w:rPr>
      </w:pPr>
    </w:p>
    <w:p w14:paraId="2AC625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года начали заводские испытания опытного образца Р-Зет. Об их результатах военпреды докладывали в УВВС. Лётные данные машины оказались ниже, чем у ЛР, и ниже проектных. Укорочение фюзеляжа отрицательно повлияло на продольную устойчивость: машина в горизонтальном полёте то и дело стремилась "клюнуть" носом вниз. Пилотская кабина отличалась очень плохим обзором. Закрытый фонарь дал прирост скорости, но резко ухудшил обзор вбок и вверх лётчику. Когда летнаб отодвигал заднюю секцию фонаря, приводя турель в боевое положение, пилоту приходилось смотреть через два слоя мутного целлулоида. Да и один слой создавал эффект сплошной пелены. Приоткрыть же остекление в полёте было невозможно. Долго не могли укомплектовать машину всем оборудованием, предусмотренным требованиями ВВС. Дело в том, что список составлялся на основе перспективных планов, и в нём оказалось немало такого, что существовало лишь в опытных образцах или вообще только на бумаге. Много хлопот принесла турель Тур-32. Она упорно отказывалась надёжно работать. Механизм заедало, кольцо поворачивалось рывками, периодически горели предохранители и электромоторы. Всё это подогревало желание УВВС заставить промышленность отказаться от навязываемого Р-Зет. Начальник ВВС РККА Я.И. Алкснис долбил вышестоящие инстанции обращениями о дефектах машины и неминуемом срыве обещанных сроков. 6 апреля в письме наркому по военным и морским делам К.В. Ворошилову он указывал: " ...самолёт Р-Зет по своим лётным данным отстаёт от передовых заграничных самолётов этого типа", а также сетовал на недостатки в его оборудовании и вооружении. Шёл уже конец апреля, а заводские испытания разведчика продолжались. Машину дорабатывали и переделывали (11995).</w:t>
      </w:r>
    </w:p>
    <w:p w14:paraId="0EA03E49" w14:textId="77777777" w:rsidR="00D4105E" w:rsidRPr="00E14102" w:rsidRDefault="00D4105E" w:rsidP="00E14102">
      <w:pPr>
        <w:autoSpaceDE w:val="0"/>
        <w:autoSpaceDN w:val="0"/>
        <w:adjustRightInd w:val="0"/>
        <w:jc w:val="both"/>
        <w:rPr>
          <w:color w:val="000000" w:themeColor="text1"/>
          <w:sz w:val="16"/>
          <w:szCs w:val="16"/>
        </w:rPr>
      </w:pPr>
    </w:p>
    <w:p w14:paraId="348221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делали АНТ-9 Крокодил - морда, зубцы, обтекатели разрабатывали В.Н.Ушаков и В.Б.Шавров по эскизам Б.Ефимова - карикатуриста (92,444).</w:t>
      </w:r>
    </w:p>
    <w:p w14:paraId="7F419C70" w14:textId="77777777" w:rsidR="00D4105E" w:rsidRPr="00E14102" w:rsidRDefault="00D4105E" w:rsidP="00E14102">
      <w:pPr>
        <w:autoSpaceDE w:val="0"/>
        <w:autoSpaceDN w:val="0"/>
        <w:adjustRightInd w:val="0"/>
        <w:jc w:val="both"/>
        <w:rPr>
          <w:color w:val="000000" w:themeColor="text1"/>
          <w:sz w:val="16"/>
          <w:szCs w:val="16"/>
        </w:rPr>
      </w:pPr>
    </w:p>
    <w:p w14:paraId="131B63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появился И-15 без чайки на верхнем крыле, который Н.Н.П. сделал по требованию военных, считавших, что чайка ухудшает обзор и ведет к 1-2 гр. рысканью по курсу, мешающему прицеливаться. Заводское обозначение ЦКБ-3 N 7 (1109).</w:t>
      </w:r>
    </w:p>
    <w:p w14:paraId="1CD39DDC" w14:textId="77777777" w:rsidR="00D4105E" w:rsidRPr="00E14102" w:rsidRDefault="00D4105E" w:rsidP="00E14102">
      <w:pPr>
        <w:autoSpaceDE w:val="0"/>
        <w:autoSpaceDN w:val="0"/>
        <w:adjustRightInd w:val="0"/>
        <w:jc w:val="both"/>
        <w:rPr>
          <w:color w:val="000000" w:themeColor="text1"/>
          <w:sz w:val="16"/>
          <w:szCs w:val="16"/>
        </w:rPr>
      </w:pPr>
    </w:p>
    <w:p w14:paraId="5749F3F4" w14:textId="36274556" w:rsidR="00381125" w:rsidRPr="00E14102" w:rsidRDefault="00381125" w:rsidP="00E14102">
      <w:pPr>
        <w:shd w:val="clear" w:color="auto" w:fill="FFFFFF"/>
        <w:jc w:val="both"/>
        <w:rPr>
          <w:rStyle w:val="38ArialUnicodeMS65pt"/>
          <w:rFonts w:ascii="Times New Roman" w:hAnsi="Times New Roman" w:cs="Times New Roman"/>
          <w:i w:val="0"/>
          <w:iCs w:val="0"/>
          <w:color w:val="0070C0"/>
          <w:sz w:val="16"/>
          <w:szCs w:val="16"/>
        </w:rPr>
      </w:pPr>
      <w:r w:rsidRPr="00E14102">
        <w:rPr>
          <w:rStyle w:val="38ArialUnicodeMS65pt"/>
          <w:rFonts w:ascii="Times New Roman" w:hAnsi="Times New Roman" w:cs="Times New Roman"/>
          <w:i w:val="0"/>
          <w:iCs w:val="0"/>
          <w:color w:val="0070C0"/>
          <w:sz w:val="16"/>
          <w:szCs w:val="16"/>
        </w:rPr>
        <w:t>С весны 1935 года в ХАИ в работе нахо</w:t>
      </w:r>
      <w:r w:rsidRPr="00E14102">
        <w:rPr>
          <w:rStyle w:val="38ArialUnicodeMS65pt"/>
          <w:rFonts w:ascii="Times New Roman" w:hAnsi="Times New Roman" w:cs="Times New Roman"/>
          <w:i w:val="0"/>
          <w:iCs w:val="0"/>
          <w:color w:val="0070C0"/>
          <w:sz w:val="16"/>
          <w:szCs w:val="16"/>
        </w:rPr>
        <w:softHyphen/>
        <w:t>дилось два параллельных проекта разведчика (19898).</w:t>
      </w:r>
    </w:p>
    <w:p w14:paraId="4B20B48D" w14:textId="77777777" w:rsidR="00381125" w:rsidRPr="00E14102" w:rsidRDefault="00381125" w:rsidP="00E14102">
      <w:pPr>
        <w:shd w:val="clear" w:color="auto" w:fill="FFFFFF"/>
        <w:jc w:val="both"/>
        <w:rPr>
          <w:rStyle w:val="38ArialUnicodeMS65pt"/>
          <w:rFonts w:ascii="Times New Roman" w:hAnsi="Times New Roman" w:cs="Times New Roman"/>
          <w:i w:val="0"/>
          <w:iCs w:val="0"/>
          <w:color w:val="0070C0"/>
          <w:sz w:val="16"/>
          <w:szCs w:val="16"/>
        </w:rPr>
      </w:pPr>
    </w:p>
    <w:p w14:paraId="7D5BC2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в УСР НКТП у Л.В. Курчевского начались работы С.А.Л. по ИП с РЦ (1076,919).</w:t>
      </w:r>
    </w:p>
    <w:p w14:paraId="44498606" w14:textId="77777777" w:rsidR="00D4105E" w:rsidRPr="00E14102" w:rsidRDefault="00D4105E" w:rsidP="00E14102">
      <w:pPr>
        <w:autoSpaceDE w:val="0"/>
        <w:autoSpaceDN w:val="0"/>
        <w:adjustRightInd w:val="0"/>
        <w:jc w:val="both"/>
        <w:rPr>
          <w:color w:val="000000" w:themeColor="text1"/>
          <w:sz w:val="16"/>
          <w:szCs w:val="16"/>
        </w:rPr>
      </w:pPr>
    </w:p>
    <w:p w14:paraId="53A780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весны 1935 г. в конструкторском бюро А.С. Яковлева начали ра</w:t>
      </w:r>
      <w:r w:rsidRPr="00E14102">
        <w:rPr>
          <w:color w:val="000000" w:themeColor="text1"/>
          <w:sz w:val="16"/>
          <w:szCs w:val="16"/>
        </w:rPr>
        <w:softHyphen/>
        <w:t>боту над проектом самолета АИР-14 (он же просто “№14”). Первые чертежи ма</w:t>
      </w:r>
      <w:r w:rsidRPr="00E14102">
        <w:rPr>
          <w:color w:val="000000" w:themeColor="text1"/>
          <w:sz w:val="16"/>
          <w:szCs w:val="16"/>
        </w:rPr>
        <w:softHyphen/>
        <w:t>шины выполнил К.В. Синельщиков, а да</w:t>
      </w:r>
      <w:r w:rsidRPr="00E14102">
        <w:rPr>
          <w:color w:val="000000" w:themeColor="text1"/>
          <w:sz w:val="16"/>
          <w:szCs w:val="16"/>
        </w:rPr>
        <w:softHyphen/>
        <w:t>лее ведущим конструктором по этому самолету назначили Л.И. Лиса. Ориенти</w:t>
      </w:r>
      <w:r w:rsidRPr="00E14102">
        <w:rPr>
          <w:color w:val="000000" w:themeColor="text1"/>
          <w:sz w:val="16"/>
          <w:szCs w:val="16"/>
        </w:rPr>
        <w:softHyphen/>
        <w:t>ровались на новейший по тем временам истребитель-моноплан И-16, созданный Н.Н. Поликарповым. Поэтому выбрали схему свободнонесущего моноплана. По первоначальным наметкам шасси у АИР-14 должно было убираться, как у И-16, но к концу осени 1935 г. от этого отказа</w:t>
      </w:r>
      <w:r w:rsidRPr="00E14102">
        <w:rPr>
          <w:color w:val="000000" w:themeColor="text1"/>
          <w:sz w:val="16"/>
          <w:szCs w:val="16"/>
        </w:rPr>
        <w:softHyphen/>
        <w:t>лись, перейдя к более простым, легким и надежным неубирающимся стойкам, за</w:t>
      </w:r>
      <w:r w:rsidRPr="00E14102">
        <w:rPr>
          <w:color w:val="000000" w:themeColor="text1"/>
          <w:sz w:val="16"/>
          <w:szCs w:val="16"/>
        </w:rPr>
        <w:softHyphen/>
        <w:t>крытым обтекателями (3955).</w:t>
      </w:r>
    </w:p>
    <w:p w14:paraId="5BEC2831" w14:textId="77777777" w:rsidR="00D4105E" w:rsidRPr="00E14102" w:rsidRDefault="00D4105E" w:rsidP="00E14102">
      <w:pPr>
        <w:autoSpaceDE w:val="0"/>
        <w:autoSpaceDN w:val="0"/>
        <w:adjustRightInd w:val="0"/>
        <w:jc w:val="both"/>
        <w:rPr>
          <w:color w:val="000000" w:themeColor="text1"/>
          <w:sz w:val="16"/>
          <w:szCs w:val="16"/>
        </w:rPr>
      </w:pPr>
    </w:p>
    <w:p w14:paraId="0DCEB958" w14:textId="77777777" w:rsidR="000E0B14" w:rsidRPr="00E14102" w:rsidRDefault="000E0B14" w:rsidP="00E14102">
      <w:pPr>
        <w:jc w:val="both"/>
        <w:rPr>
          <w:color w:val="000000" w:themeColor="text1"/>
          <w:sz w:val="16"/>
          <w:szCs w:val="16"/>
        </w:rPr>
      </w:pPr>
      <w:r w:rsidRPr="00E14102">
        <w:rPr>
          <w:color w:val="000000" w:themeColor="text1"/>
          <w:sz w:val="16"/>
          <w:szCs w:val="16"/>
        </w:rPr>
        <w:t>Весной 1935 г. Калинин приступилк строительству ВС-2. Чтобы ускорить начало полётов и доказать принципиальную возможность применения схемы «бесхвостка» в бомбардировочной авиации, конструктор решил пойти на упрощения. Вместо убираемых в крыло колёс на ВС-2 установили фиксированное шасси. Стойки не имели амортизаторов, их назначение должны были выполнять колеса увеличенного размера — так называемые «сверхбаллоны». Решили также пока отказаться и от размещения на самолёте стрелкового вооружения (17489).</w:t>
      </w:r>
    </w:p>
    <w:p w14:paraId="4EA91AC4" w14:textId="77777777" w:rsidR="000E0B14" w:rsidRPr="00E14102" w:rsidRDefault="000E0B14" w:rsidP="00E14102">
      <w:pPr>
        <w:jc w:val="both"/>
        <w:rPr>
          <w:color w:val="000000" w:themeColor="text1"/>
          <w:sz w:val="16"/>
          <w:szCs w:val="16"/>
        </w:rPr>
      </w:pPr>
    </w:p>
    <w:p w14:paraId="4874BB14" w14:textId="77777777" w:rsidR="00EF5252" w:rsidRPr="00E14102" w:rsidRDefault="00EF525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 весны 1935 г. проводил испытания ЗиГ-1, созданный по проекту работавшего в СССР французского авиаконструктора А. Лявиля в ЦКБ ГВФ при ремонтном заводе ГВФ № 89 имени Гольцмана (отсюда «ЗиГ»; А.</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З. Гольцман — первый начальник Главного управления гражданского воздушного флота СССР, погиб в авиационной катастрофе в 1933 г. вместе с начальником ВВС П.</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И. Барановым), которая позднее в серийной постройке получила новое наименование по номеру завода — ПС-89. Машина с двумя моторами М-17Ф показала максимальную скорость 284 км/ч, что по тем временам считалось очень неплохим результатом. Серийные самолеты благодаря ряду усовершенствований имели еще более высокую максимальную скорость — до 320 км/ч (19197).</w:t>
      </w:r>
    </w:p>
    <w:p w14:paraId="4139BAFE" w14:textId="77777777" w:rsidR="00EF5252" w:rsidRPr="00E14102" w:rsidRDefault="00EF525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5EC77C1C" w14:textId="77777777" w:rsidR="00EF5252" w:rsidRPr="00E14102" w:rsidRDefault="00EF525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Весной 1935-го начались летные испытания машины, получившей обозначение ЗИГ-1. Вначале все шло удачно, но 27 ноября самолет потерпел катастрофу вследствие бафтинга стабилизатора. В это же время Р. Л. Бартини разрабатывал пассажирский</w:t>
      </w:r>
      <w:r w:rsidRPr="00E14102">
        <w:rPr>
          <w:rFonts w:ascii="Times New Roman" w:hAnsi="Times New Roman" w:cs="Times New Roman"/>
          <w:color w:val="000000" w:themeColor="text1"/>
          <w:sz w:val="16"/>
          <w:szCs w:val="16"/>
        </w:rPr>
        <w:t> </w:t>
      </w:r>
      <w:hyperlink r:id="rId115" w:history="1">
        <w:r w:rsidRPr="00E14102">
          <w:rPr>
            <w:rStyle w:val="a3"/>
            <w:rFonts w:ascii="Times New Roman" w:eastAsiaTheme="majorEastAsia" w:hAnsi="Times New Roman" w:cs="Times New Roman"/>
            <w:b w:val="0"/>
            <w:color w:val="000000" w:themeColor="text1"/>
            <w:sz w:val="16"/>
            <w:szCs w:val="16"/>
            <w:bdr w:val="none" w:sz="0" w:space="0" w:color="auto" w:frame="1"/>
            <w:lang w:val="ru-RU"/>
          </w:rPr>
          <w:t>Сталь-7</w:t>
        </w:r>
      </w:hyperlink>
      <w:r w:rsidRPr="00E14102">
        <w:rPr>
          <w:rFonts w:ascii="Times New Roman" w:hAnsi="Times New Roman" w:cs="Times New Roman"/>
          <w:color w:val="000000" w:themeColor="text1"/>
          <w:sz w:val="16"/>
          <w:szCs w:val="16"/>
          <w:lang w:val="ru-RU"/>
        </w:rPr>
        <w:t>. Пока шло расследование причины катастрофы ЗИГ-1, дорабатывалась его конструкция и изготавливался второй экземпляр, в КБ Туполева полным ходом велось проектиро</w:t>
      </w:r>
      <w:r w:rsidRPr="00E14102">
        <w:rPr>
          <w:rFonts w:ascii="Times New Roman" w:hAnsi="Times New Roman" w:cs="Times New Roman"/>
          <w:color w:val="000000" w:themeColor="text1"/>
          <w:sz w:val="16"/>
          <w:szCs w:val="16"/>
          <w:lang w:val="ru-RU"/>
        </w:rPr>
        <w:softHyphen/>
        <w:t>вание самолета аналогичного назначения.</w:t>
      </w:r>
    </w:p>
    <w:p w14:paraId="25F13635" w14:textId="77777777" w:rsidR="00EF5252" w:rsidRPr="00E14102" w:rsidRDefault="00EF525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Получение задания на разработку скоростной пассажирской машины совпало с созданием бомбардировщика «</w:t>
      </w:r>
      <w:hyperlink r:id="rId116" w:history="1">
        <w:r w:rsidRPr="00E14102">
          <w:rPr>
            <w:rStyle w:val="a3"/>
            <w:rFonts w:ascii="Times New Roman" w:eastAsiaTheme="majorEastAsia" w:hAnsi="Times New Roman" w:cs="Times New Roman"/>
            <w:b w:val="0"/>
            <w:color w:val="000000" w:themeColor="text1"/>
            <w:sz w:val="16"/>
            <w:szCs w:val="16"/>
            <w:bdr w:val="none" w:sz="0" w:space="0" w:color="auto" w:frame="1"/>
            <w:lang w:val="ru-RU"/>
          </w:rPr>
          <w:t>СБ</w:t>
        </w:r>
      </w:hyperlink>
      <w:r w:rsidRPr="00E14102">
        <w:rPr>
          <w:rFonts w:ascii="Times New Roman" w:hAnsi="Times New Roman" w:cs="Times New Roman"/>
          <w:color w:val="000000" w:themeColor="text1"/>
          <w:sz w:val="16"/>
          <w:szCs w:val="16"/>
          <w:lang w:val="ru-RU"/>
        </w:rPr>
        <w:t>«, показавшего в одном из полетов скорость 404 км/ч. Руководитель бригады А. А. Архангельский решил максимально использовать в новом самолете уже испытанные агрегаты и узлы боевой машины.</w:t>
      </w:r>
    </w:p>
    <w:p w14:paraId="31B968A5" w14:textId="77777777" w:rsidR="00EF5252" w:rsidRPr="00E14102" w:rsidRDefault="00EF525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Подобным путем, позволяющим сократить сроки и стоимость разработки пассажирских самолетов, пользовались и раньше. Так, в ПС-9 от разведчика Р-6 заимствовали крыло и винтомоторную установку. Для АНТ-14 использовали крыло, оперение, шасси от бомбардировщика ТБ-3. Этим же путем нередко шли конструкторы и в послевоенные годы. Достаточно вспомнить Ан-10, Ту-104 и другие машины.</w:t>
      </w:r>
    </w:p>
    <w:p w14:paraId="30F0502B" w14:textId="77777777" w:rsidR="00EF5252" w:rsidRPr="00E14102" w:rsidRDefault="00EF525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eastAsiaTheme="majorEastAsia" w:hAnsi="Times New Roman" w:cs="Times New Roman"/>
          <w:i w:val="0"/>
          <w:color w:val="000000" w:themeColor="text1"/>
          <w:sz w:val="16"/>
          <w:szCs w:val="16"/>
          <w:bdr w:val="none" w:sz="0" w:space="0" w:color="auto" w:frame="1"/>
          <w:lang w:val="ru-RU"/>
        </w:rPr>
        <w:t>«Основной целью, —</w:t>
      </w:r>
      <w:r w:rsidRPr="00E14102">
        <w:rPr>
          <w:rStyle w:val="a6"/>
          <w:rFonts w:ascii="Times New Roman" w:eastAsiaTheme="majorEastAsia" w:hAnsi="Times New Roman" w:cs="Times New Roman"/>
          <w:i w:val="0"/>
          <w:color w:val="000000" w:themeColor="text1"/>
          <w:sz w:val="16"/>
          <w:szCs w:val="16"/>
          <w:bdr w:val="none" w:sz="0" w:space="0" w:color="auto" w:frame="1"/>
        </w:rPr>
        <w:t> </w:t>
      </w:r>
      <w:r w:rsidRPr="00E14102">
        <w:rPr>
          <w:rFonts w:ascii="Times New Roman" w:hAnsi="Times New Roman" w:cs="Times New Roman"/>
          <w:color w:val="000000" w:themeColor="text1"/>
          <w:sz w:val="16"/>
          <w:szCs w:val="16"/>
          <w:lang w:val="ru-RU"/>
        </w:rPr>
        <w:t>писал впоследствии А. А. Архангельский,</w:t>
      </w:r>
      <w:r w:rsidRPr="00E14102">
        <w:rPr>
          <w:rStyle w:val="a6"/>
          <w:rFonts w:ascii="Times New Roman" w:eastAsiaTheme="majorEastAsia" w:hAnsi="Times New Roman" w:cs="Times New Roman"/>
          <w:i w:val="0"/>
          <w:color w:val="000000" w:themeColor="text1"/>
          <w:sz w:val="16"/>
          <w:szCs w:val="16"/>
          <w:bdr w:val="none" w:sz="0" w:space="0" w:color="auto" w:frame="1"/>
        </w:rPr>
        <w:t> </w:t>
      </w:r>
      <w:r w:rsidRPr="00E14102">
        <w:rPr>
          <w:rStyle w:val="a6"/>
          <w:rFonts w:ascii="Times New Roman" w:eastAsiaTheme="majorEastAsia" w:hAnsi="Times New Roman" w:cs="Times New Roman"/>
          <w:i w:val="0"/>
          <w:color w:val="000000" w:themeColor="text1"/>
          <w:sz w:val="16"/>
          <w:szCs w:val="16"/>
          <w:bdr w:val="none" w:sz="0" w:space="0" w:color="auto" w:frame="1"/>
          <w:lang w:val="ru-RU"/>
        </w:rPr>
        <w:t>— было создание скоростного пассажирского самолета с тем новейшим оборудованием, которое обеспечило бы наибольший комфорт пассажиру и максимальную безопасность полета…»</w:t>
      </w:r>
    </w:p>
    <w:p w14:paraId="0E404D61" w14:textId="77777777" w:rsidR="00EF5252" w:rsidRPr="00E14102" w:rsidRDefault="00EF525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Эти замыслы в значительной степени удалось реализовать в АНТ-35 (19196).</w:t>
      </w:r>
    </w:p>
    <w:p w14:paraId="53E527DA" w14:textId="77777777" w:rsidR="00EF5252" w:rsidRPr="00E14102" w:rsidRDefault="00EF5252" w:rsidP="00E14102">
      <w:pPr>
        <w:pStyle w:val="rtecenter"/>
        <w:shd w:val="clear" w:color="auto" w:fill="FFFFFF"/>
        <w:spacing w:before="0" w:after="0"/>
        <w:jc w:val="both"/>
        <w:textAlignment w:val="baseline"/>
        <w:rPr>
          <w:color w:val="000000" w:themeColor="text1"/>
          <w:sz w:val="16"/>
          <w:szCs w:val="16"/>
        </w:rPr>
      </w:pPr>
    </w:p>
    <w:p w14:paraId="1936B715" w14:textId="77777777" w:rsidR="000E0B14" w:rsidRPr="00E14102" w:rsidRDefault="000E0B14" w:rsidP="00E14102">
      <w:pPr>
        <w:jc w:val="both"/>
        <w:rPr>
          <w:color w:val="000000" w:themeColor="text1"/>
          <w:sz w:val="16"/>
          <w:szCs w:val="16"/>
        </w:rPr>
      </w:pPr>
      <w:r w:rsidRPr="00E14102">
        <w:rPr>
          <w:color w:val="000000" w:themeColor="text1"/>
          <w:sz w:val="16"/>
          <w:szCs w:val="16"/>
        </w:rPr>
        <w:t xml:space="preserve">Весной 1935 г. было сделано четыре полёта самолета-тягача Т-3 для звена. </w:t>
      </w:r>
    </w:p>
    <w:p w14:paraId="631A4EC8" w14:textId="77777777" w:rsidR="000E0B14" w:rsidRPr="00E14102" w:rsidRDefault="000E0B14" w:rsidP="00E14102">
      <w:pPr>
        <w:jc w:val="both"/>
        <w:rPr>
          <w:color w:val="000000" w:themeColor="text1"/>
          <w:sz w:val="16"/>
          <w:szCs w:val="16"/>
        </w:rPr>
      </w:pPr>
      <w:r w:rsidRPr="00E14102">
        <w:rPr>
          <w:color w:val="000000" w:themeColor="text1"/>
          <w:sz w:val="16"/>
          <w:szCs w:val="16"/>
        </w:rPr>
        <w:t>У Вахмистрова утвердилась идея заменить третий истребитель на специальный самолёт-тягач «Т-3» с мощным мотором и соответственно подобранным винтом. Он должен был помогать взлёту тяжело нагруженного бомбардировщика. После набора высоты тягач можно было отделить и лётчик сажал его на аэродром.</w:t>
      </w:r>
    </w:p>
    <w:p w14:paraId="034D4AAB" w14:textId="77777777" w:rsidR="000E0B14" w:rsidRPr="00E14102" w:rsidRDefault="000E0B14" w:rsidP="00E14102">
      <w:pPr>
        <w:jc w:val="both"/>
        <w:rPr>
          <w:color w:val="000000" w:themeColor="text1"/>
          <w:sz w:val="16"/>
          <w:szCs w:val="16"/>
        </w:rPr>
      </w:pPr>
      <w:r w:rsidRPr="00E14102">
        <w:rPr>
          <w:color w:val="000000" w:themeColor="text1"/>
          <w:sz w:val="16"/>
          <w:szCs w:val="16"/>
        </w:rPr>
        <w:t xml:space="preserve">Прежде чем строить такой самолёт, решили провести испытание. Для этого с закрепленного на фюзеляже ТБ-3 истребителя И-5 сняли всё, что создавало дополнительное сопротивление, — крылья, колёса, хвостовое оперение. </w:t>
      </w:r>
    </w:p>
    <w:p w14:paraId="473626D6" w14:textId="77777777" w:rsidR="000E0B14" w:rsidRPr="00E14102" w:rsidRDefault="000E0B14" w:rsidP="00E14102">
      <w:pPr>
        <w:jc w:val="both"/>
        <w:rPr>
          <w:color w:val="000000" w:themeColor="text1"/>
          <w:sz w:val="16"/>
          <w:szCs w:val="16"/>
        </w:rPr>
      </w:pPr>
      <w:r w:rsidRPr="00E14102">
        <w:rPr>
          <w:color w:val="000000" w:themeColor="text1"/>
          <w:sz w:val="16"/>
          <w:szCs w:val="16"/>
        </w:rPr>
        <w:t xml:space="preserve">В кабине тягача находился С.П. Супрун, который управлял мотором. Лётные характеристики составного самолёта улучшились не намного, в частности, время разбега сократилось всего на 5 секунд. При этом самолёт-мотор ухудшал обзор из задней кабины бомбардировщика и травил стрелков выхлопными газами. Стало ясно, что игра не стоит свеч </w:t>
      </w:r>
      <w:hyperlink r:id="rId117" w:history="1">
        <w:r w:rsidRPr="00E14102">
          <w:rPr>
            <w:color w:val="000000" w:themeColor="text1"/>
            <w:sz w:val="16"/>
            <w:szCs w:val="16"/>
          </w:rPr>
          <w:t>[85]</w:t>
        </w:r>
      </w:hyperlink>
      <w:r w:rsidRPr="00E14102">
        <w:rPr>
          <w:color w:val="000000" w:themeColor="text1"/>
          <w:sz w:val="16"/>
          <w:szCs w:val="16"/>
        </w:rPr>
        <w:t xml:space="preserve"> (17489).</w:t>
      </w:r>
    </w:p>
    <w:p w14:paraId="037CB9BD" w14:textId="77777777" w:rsidR="000E0B14" w:rsidRPr="00E14102" w:rsidRDefault="000E0B14" w:rsidP="00E14102">
      <w:pPr>
        <w:jc w:val="both"/>
        <w:rPr>
          <w:color w:val="000000" w:themeColor="text1"/>
          <w:sz w:val="16"/>
          <w:szCs w:val="16"/>
        </w:rPr>
      </w:pPr>
    </w:p>
    <w:p w14:paraId="62EE31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Л.П.Курчевский предложил АПК-4М с измененным механизмом подачи (3996, 94).</w:t>
      </w:r>
    </w:p>
    <w:p w14:paraId="66EF8FF0" w14:textId="77777777" w:rsidR="00D4105E" w:rsidRPr="00E14102" w:rsidRDefault="00D4105E" w:rsidP="00E14102">
      <w:pPr>
        <w:autoSpaceDE w:val="0"/>
        <w:autoSpaceDN w:val="0"/>
        <w:adjustRightInd w:val="0"/>
        <w:jc w:val="both"/>
        <w:rPr>
          <w:color w:val="000000" w:themeColor="text1"/>
          <w:sz w:val="16"/>
          <w:szCs w:val="16"/>
        </w:rPr>
      </w:pPr>
    </w:p>
    <w:p w14:paraId="0F71E0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продолжили испытания Г-37 с подвесной десантной кабиной. Из нее через кормовой люк совершали прыжки (343,28).</w:t>
      </w:r>
    </w:p>
    <w:p w14:paraId="1EB8A155" w14:textId="77777777" w:rsidR="00D4105E" w:rsidRPr="00E14102" w:rsidRDefault="00D4105E" w:rsidP="00E14102">
      <w:pPr>
        <w:autoSpaceDE w:val="0"/>
        <w:autoSpaceDN w:val="0"/>
        <w:adjustRightInd w:val="0"/>
        <w:jc w:val="both"/>
        <w:rPr>
          <w:color w:val="000000" w:themeColor="text1"/>
          <w:sz w:val="16"/>
          <w:szCs w:val="16"/>
        </w:rPr>
      </w:pPr>
    </w:p>
    <w:p w14:paraId="2C11FC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САМ-5бис А.С.М., который строился в мастерских Воронежского Авиатехникума, выпущенный 24 марта 1934, после заводских испытаний и доделок был отправлен в Москву в НИИ ВВС на гос. испытания. Перелет выполнил А.Н.Гусаров, а испытывал П.М.Стефановский. В заключении предложили в серию, чтобы использовать в санитарном варианте (2 лежачих больных с сопровождающим) после испытания в НИИ ГВФ. Мастерские Воронежского авиатехникума за два года выпустили 60 (1120).</w:t>
      </w:r>
    </w:p>
    <w:p w14:paraId="48FEF462" w14:textId="77777777" w:rsidR="00D4105E" w:rsidRPr="00E14102" w:rsidRDefault="00D4105E" w:rsidP="00E14102">
      <w:pPr>
        <w:autoSpaceDE w:val="0"/>
        <w:autoSpaceDN w:val="0"/>
        <w:adjustRightInd w:val="0"/>
        <w:jc w:val="both"/>
        <w:rPr>
          <w:color w:val="000000" w:themeColor="text1"/>
          <w:sz w:val="16"/>
          <w:szCs w:val="16"/>
        </w:rPr>
      </w:pPr>
    </w:p>
    <w:p w14:paraId="77F22A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был закончен (78,38) и начались летные испытания ЗиГ-1 (ПС-89), созданного под руководством А.В.Кулева по проекту ранее работавшего А.Лавиля на ремонтном заводе 89 им. Гольцмана в Москве (80,381). Катастрофа машины была 15 декабря 1935. В проектировании участвовал и С.А.Л., который работал у Д.П.Г., а на 89 заводе подрабатывал (78,38).</w:t>
      </w:r>
    </w:p>
    <w:p w14:paraId="20645E1F" w14:textId="77777777" w:rsidR="00D4105E" w:rsidRPr="00E14102" w:rsidRDefault="00D4105E" w:rsidP="00E14102">
      <w:pPr>
        <w:autoSpaceDE w:val="0"/>
        <w:autoSpaceDN w:val="0"/>
        <w:adjustRightInd w:val="0"/>
        <w:jc w:val="both"/>
        <w:rPr>
          <w:color w:val="000000" w:themeColor="text1"/>
          <w:sz w:val="16"/>
          <w:szCs w:val="16"/>
        </w:rPr>
      </w:pPr>
    </w:p>
    <w:p w14:paraId="457B97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г. начались летные испытания ЗИГ-1 (ПС-89). Вначале все шло удачно, но 27 декабря самолет потерпел катастрофу вследствие вибраций (бафтинга) стабилизатора. Под руководством А.Н. Туполева создавался пассажирский самолет ПС-35. Общими для них были максимально ужатые фюзеляжи в ущерб комфорту пассажиров. ПС-89 и ПС-35 по летно- техническим данным значительно уступали "Стали-7". Тем не менее машину Бартини построили в единственном экземпляре, а ПС-89 - в семи, не считая опытного образца. Что касается ПС-35, то их выпустили девять (включая опытный экзепляр). ПС-89 и ПС-35 можно было встретить в Аэрофлоте, в том числе и на международных авиалиниях, но недолго (11994).</w:t>
      </w:r>
    </w:p>
    <w:p w14:paraId="3168BFEA" w14:textId="77777777" w:rsidR="00D4105E" w:rsidRPr="00E14102" w:rsidRDefault="00D4105E" w:rsidP="00E14102">
      <w:pPr>
        <w:autoSpaceDE w:val="0"/>
        <w:autoSpaceDN w:val="0"/>
        <w:adjustRightInd w:val="0"/>
        <w:jc w:val="both"/>
        <w:rPr>
          <w:color w:val="000000" w:themeColor="text1"/>
          <w:sz w:val="16"/>
          <w:szCs w:val="16"/>
        </w:rPr>
      </w:pPr>
    </w:p>
    <w:p w14:paraId="1A9744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Весной 1935 макет "легкого крейсера" Г-38 Ивенсена был установлен в Москве в одном из ангаров ЦА и его смотрели Г.К.Орджоникидзе, М.Н.Тухачевский и Я.И.Алкснис в присутствии В.П.Ч. Решили делать на 47 заводе, но работа затянулась. Ивенсена арестовали 23 апреля 1938 и все встало. Завод стал делать "советский воздушный Форд" АИР-6 А.С.Я. (258,18).</w:t>
      </w:r>
    </w:p>
    <w:p w14:paraId="38281FCD" w14:textId="77777777" w:rsidR="00D4105E" w:rsidRPr="00E14102" w:rsidRDefault="00D4105E" w:rsidP="00E14102">
      <w:pPr>
        <w:autoSpaceDE w:val="0"/>
        <w:autoSpaceDN w:val="0"/>
        <w:adjustRightInd w:val="0"/>
        <w:jc w:val="both"/>
        <w:rPr>
          <w:color w:val="000000" w:themeColor="text1"/>
          <w:sz w:val="16"/>
          <w:szCs w:val="16"/>
        </w:rPr>
      </w:pPr>
    </w:p>
    <w:p w14:paraId="7658C3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ЗИГ-1 был выведен на аэродром и начались заводские испытания (1076,628).</w:t>
      </w:r>
    </w:p>
    <w:p w14:paraId="463ECF4A" w14:textId="77777777" w:rsidR="00D4105E" w:rsidRPr="00E14102" w:rsidRDefault="00D4105E" w:rsidP="00E14102">
      <w:pPr>
        <w:autoSpaceDE w:val="0"/>
        <w:autoSpaceDN w:val="0"/>
        <w:adjustRightInd w:val="0"/>
        <w:jc w:val="both"/>
        <w:rPr>
          <w:color w:val="000000" w:themeColor="text1"/>
          <w:sz w:val="16"/>
          <w:szCs w:val="16"/>
        </w:rPr>
      </w:pPr>
    </w:p>
    <w:p w14:paraId="72A32B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в УСР НКТП у Л.В. Курчевского начались работы по БИЧ-18 Б.И.Черановского (1076,919).</w:t>
      </w:r>
    </w:p>
    <w:p w14:paraId="78C9346D" w14:textId="77777777" w:rsidR="00D4105E" w:rsidRPr="00E14102" w:rsidRDefault="00D4105E" w:rsidP="00E14102">
      <w:pPr>
        <w:autoSpaceDE w:val="0"/>
        <w:autoSpaceDN w:val="0"/>
        <w:adjustRightInd w:val="0"/>
        <w:jc w:val="both"/>
        <w:rPr>
          <w:color w:val="000000" w:themeColor="text1"/>
          <w:sz w:val="16"/>
          <w:szCs w:val="16"/>
        </w:rPr>
      </w:pPr>
    </w:p>
    <w:p w14:paraId="59ED32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Л.В.Курчевский, возглавляющий Управление спецработ (УСР) НКТП, организовал самолетостроение на одном из заводов. Пригласил Б.И.Черановского сделать параболу с АПК и С.М.Лавочкина делать истребитель под АПК, а также В.Б.Шаврова делать Ш-3 (92,474).</w:t>
      </w:r>
    </w:p>
    <w:p w14:paraId="7BC6CB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По-видимому, это был 38 завод в Болшево.</w:t>
      </w:r>
    </w:p>
    <w:p w14:paraId="146B19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 это было после демонстрации Т.П.Сузи Зет с ДРП К.Е.Ворошилову, М.Н.Тухачевскому и Г.К.Орджоникидзе в присутствии А.Н.Т. и пригласил С.А.Л., С.Н.Люшина, Б.Н.Ч. и В.Б.Ш. (203,29).</w:t>
      </w:r>
    </w:p>
    <w:p w14:paraId="6BC81BFD" w14:textId="77777777" w:rsidR="00D4105E" w:rsidRPr="00E14102" w:rsidRDefault="00D4105E" w:rsidP="00E14102">
      <w:pPr>
        <w:autoSpaceDE w:val="0"/>
        <w:autoSpaceDN w:val="0"/>
        <w:adjustRightInd w:val="0"/>
        <w:jc w:val="both"/>
        <w:rPr>
          <w:color w:val="000000" w:themeColor="text1"/>
          <w:sz w:val="16"/>
          <w:szCs w:val="16"/>
        </w:rPr>
      </w:pPr>
    </w:p>
    <w:p w14:paraId="76E6A4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г. согласно лётчику-испытателю Владимиру Васильевичу Шевченко, на традиционном первомайском пролёте над Красной площадью решили продемонстрировать пятёрку И-ЗЕТ. Так случилось, что одной машины до означенных пяти не хватило. Перегнать недостающий самолёт из Переславля- Залесского в конце апреля поручили капитану Шевченко. Задание оказалось не из простых: снег только сошёл, поэтому на аэродроме стояла непролазная грязь. Как быть? Смекалка подсказала лётчику использовать дощатый забор, какими обычно огораживают всяческие секретные объекты. Забор сняли и уложили на лётное поле в виде узкой взлётной полосы. Затем установили на него самолёт. Шевченко занял место в кабине, прогрел двигатель и дал полный газ. Аэродромная команда, державшая истребитель за хвост, в нужный момент его отпустила, и "ЗЕТ" понёсся по переславльскому забору навстречу праздникам (12005).</w:t>
      </w:r>
    </w:p>
    <w:p w14:paraId="0930A3B3" w14:textId="77777777" w:rsidR="00D4105E" w:rsidRPr="00E14102" w:rsidRDefault="00D4105E" w:rsidP="00E14102">
      <w:pPr>
        <w:autoSpaceDE w:val="0"/>
        <w:autoSpaceDN w:val="0"/>
        <w:adjustRightInd w:val="0"/>
        <w:jc w:val="both"/>
        <w:rPr>
          <w:color w:val="000000" w:themeColor="text1"/>
          <w:sz w:val="16"/>
          <w:szCs w:val="16"/>
        </w:rPr>
      </w:pPr>
    </w:p>
    <w:p w14:paraId="2A04D2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полеты Савойй С-55 возобновились. Экономические показатели итальянского гидроплана были довольно высоки. В этом отношении он считался лучшим из гидросамолетов ДВУ. “Савойя” была в четыре раза выгоднее в эксплуатации, чем МП-1 (гражданский вариант МБР-2) и несколько экономичнее сухопутного “Сталь-З”. Если у последнего один тонно-километр обходился в 10 руб. 25 коп, то С-55 укладывался в 9 руб. 37 коп. (5486,6).</w:t>
      </w:r>
    </w:p>
    <w:p w14:paraId="16002BD8" w14:textId="77777777" w:rsidR="00D4105E" w:rsidRPr="00E14102" w:rsidRDefault="00D4105E" w:rsidP="00E14102">
      <w:pPr>
        <w:autoSpaceDE w:val="0"/>
        <w:autoSpaceDN w:val="0"/>
        <w:adjustRightInd w:val="0"/>
        <w:jc w:val="both"/>
        <w:rPr>
          <w:color w:val="000000" w:themeColor="text1"/>
          <w:sz w:val="16"/>
          <w:szCs w:val="16"/>
        </w:rPr>
      </w:pPr>
    </w:p>
    <w:p w14:paraId="1F9EBD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г. летающую лодку ЦКБ МС-1, построенную на заводе № 31, правда, ещё со старым двигателем М-17, предъявили на заводские испытания. После выполнения двух полётов 8 и 9 мая самолёт закатили обратно в цех для замены двигателя. Испытания возобновились 4 сентября уже с М-34Н, но с временным деревянным винтом. Всего с 4 сентября 1935 г. по 3 января 1936 г. летчик П.А. Номан выполнил на ЦКБ МС-1 12 полётов общей продолжительностью 5 ч 48 мин. Машина летала как с воды, так и с заводского аэродрома на колёсах. Штатный металлический винт установили только в конце испытаний.</w:t>
      </w:r>
    </w:p>
    <w:p w14:paraId="27EB2F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показали, что ЦКБ МС-1 по сравнению с МБР-2 с двигателем М-17 имеет большие скорость и потолок, лучшую скороподъёмность, но меньшую дальность полёта. В отчёте по испытаниям особо отмечалось, что конструкторам удалось устранить вибрацию хвостового оперения и неравномерное давление на педали управления - недостатки, выявленные при испытаниях МБР-2 с М-17 (№ 31001).</w:t>
      </w:r>
    </w:p>
    <w:p w14:paraId="047A1D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Оценка, данная заводским испытателем П.А. Номаном, тоже была весьма благоприятной. В частности, он отмечал, что: "Взлёт нормальный. Тенденций к развороту нет. При волне до 0,5 м и ветре свыше 5 м/с резких ударов в днище нет. Посадка самолёта аналогична посадке МБР-2, за исключением того, что давление на педали равномерное. При накате и волне до 0,5 м резких ударов в днище не ощущается". Правда, он же указал, что установка фонаря пилотской кабины ухудшила обзор вбок-назад.</w:t>
      </w:r>
    </w:p>
    <w:p w14:paraId="5BD843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других недостатков, наиболее серьёзным и самым прямым образом влиявшим на боеспособность самолёта, был дефект топливной системы. На виражах и планировании в магистралях падало давление, и мотор начинал глохнуть. Кроме того, отмечалось не очень удобное капотирование двигателя и то, что изнутри кабины без посторонней помощи закрыть фонарь было очень трудно.</w:t>
      </w:r>
    </w:p>
    <w:p w14:paraId="12A684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Самолёт ЦКБ МС-1, Таганрог, 1935 г. Сравнительные данные МБР-2 с мотором М-17 и ЦКБ МС-1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E3599D" w:rsidRPr="00E14102" w14:paraId="176A6D72" w14:textId="77777777">
        <w:tc>
          <w:tcPr>
            <w:tcW w:w="3736" w:type="dxa"/>
            <w:tcBorders>
              <w:top w:val="single" w:sz="12" w:space="0" w:color="auto"/>
            </w:tcBorders>
          </w:tcPr>
          <w:p w14:paraId="1934F6C4" w14:textId="77777777" w:rsidR="00D4105E" w:rsidRPr="00E14102" w:rsidRDefault="00D4105E" w:rsidP="00E14102">
            <w:pPr>
              <w:autoSpaceDE w:val="0"/>
              <w:autoSpaceDN w:val="0"/>
              <w:adjustRightInd w:val="0"/>
              <w:jc w:val="both"/>
              <w:rPr>
                <w:color w:val="000000" w:themeColor="text1"/>
                <w:sz w:val="16"/>
                <w:szCs w:val="16"/>
              </w:rPr>
            </w:pPr>
          </w:p>
        </w:tc>
        <w:tc>
          <w:tcPr>
            <w:tcW w:w="3736" w:type="dxa"/>
            <w:tcBorders>
              <w:top w:val="single" w:sz="12" w:space="0" w:color="auto"/>
            </w:tcBorders>
          </w:tcPr>
          <w:p w14:paraId="1FEB8A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 МС-1</w:t>
            </w:r>
          </w:p>
        </w:tc>
        <w:tc>
          <w:tcPr>
            <w:tcW w:w="3736" w:type="dxa"/>
            <w:tcBorders>
              <w:top w:val="single" w:sz="12" w:space="0" w:color="auto"/>
            </w:tcBorders>
          </w:tcPr>
          <w:p w14:paraId="2A36E7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 с М-17</w:t>
            </w:r>
          </w:p>
        </w:tc>
      </w:tr>
      <w:tr w:rsidR="00E3599D" w:rsidRPr="00E14102" w14:paraId="17F99EFE" w14:textId="77777777">
        <w:tc>
          <w:tcPr>
            <w:tcW w:w="3736" w:type="dxa"/>
          </w:tcPr>
          <w:p w14:paraId="68F565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Взлётный вес, кг</w:t>
            </w:r>
          </w:p>
        </w:tc>
        <w:tc>
          <w:tcPr>
            <w:tcW w:w="3736" w:type="dxa"/>
          </w:tcPr>
          <w:p w14:paraId="294613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3920</w:t>
            </w:r>
          </w:p>
        </w:tc>
        <w:tc>
          <w:tcPr>
            <w:tcW w:w="3736" w:type="dxa"/>
          </w:tcPr>
          <w:p w14:paraId="005A01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3630</w:t>
            </w:r>
          </w:p>
        </w:tc>
      </w:tr>
      <w:tr w:rsidR="00E3599D" w:rsidRPr="00E14102" w14:paraId="1C8532D9" w14:textId="77777777">
        <w:tc>
          <w:tcPr>
            <w:tcW w:w="3736" w:type="dxa"/>
          </w:tcPr>
          <w:p w14:paraId="5E552E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крыла, м:</w:t>
            </w:r>
          </w:p>
        </w:tc>
        <w:tc>
          <w:tcPr>
            <w:tcW w:w="3736" w:type="dxa"/>
          </w:tcPr>
          <w:p w14:paraId="04F5E1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52,75</w:t>
            </w:r>
          </w:p>
        </w:tc>
        <w:tc>
          <w:tcPr>
            <w:tcW w:w="3736" w:type="dxa"/>
          </w:tcPr>
          <w:p w14:paraId="67E6CE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52,75</w:t>
            </w:r>
          </w:p>
        </w:tc>
      </w:tr>
      <w:tr w:rsidR="00E3599D" w:rsidRPr="00E14102" w14:paraId="3CECF432" w14:textId="77777777">
        <w:tc>
          <w:tcPr>
            <w:tcW w:w="3736" w:type="dxa"/>
          </w:tcPr>
          <w:p w14:paraId="3CFC5E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крыла, м</w:t>
            </w:r>
          </w:p>
        </w:tc>
        <w:tc>
          <w:tcPr>
            <w:tcW w:w="3736" w:type="dxa"/>
          </w:tcPr>
          <w:p w14:paraId="38B909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w:t>
            </w:r>
          </w:p>
        </w:tc>
        <w:tc>
          <w:tcPr>
            <w:tcW w:w="3736" w:type="dxa"/>
          </w:tcPr>
          <w:p w14:paraId="2DA8B9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w:t>
            </w:r>
          </w:p>
        </w:tc>
      </w:tr>
      <w:tr w:rsidR="00E3599D" w:rsidRPr="00E14102" w14:paraId="362C250A" w14:textId="77777777">
        <w:tc>
          <w:tcPr>
            <w:tcW w:w="3736" w:type="dxa"/>
          </w:tcPr>
          <w:p w14:paraId="6960EC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Двигатель</w:t>
            </w:r>
          </w:p>
        </w:tc>
        <w:tc>
          <w:tcPr>
            <w:tcW w:w="3736" w:type="dxa"/>
          </w:tcPr>
          <w:p w14:paraId="4654DF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М-34Н</w:t>
            </w:r>
          </w:p>
        </w:tc>
        <w:tc>
          <w:tcPr>
            <w:tcW w:w="3736" w:type="dxa"/>
          </w:tcPr>
          <w:p w14:paraId="410349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М-17</w:t>
            </w:r>
          </w:p>
        </w:tc>
      </w:tr>
      <w:tr w:rsidR="00E3599D" w:rsidRPr="00E14102" w14:paraId="034D4EA4" w14:textId="77777777">
        <w:tc>
          <w:tcPr>
            <w:tcW w:w="3736" w:type="dxa"/>
          </w:tcPr>
          <w:p w14:paraId="5695C7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у земли, л.с.</w:t>
            </w:r>
          </w:p>
        </w:tc>
        <w:tc>
          <w:tcPr>
            <w:tcW w:w="3736" w:type="dxa"/>
          </w:tcPr>
          <w:p w14:paraId="4B011B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750</w:t>
            </w:r>
          </w:p>
        </w:tc>
        <w:tc>
          <w:tcPr>
            <w:tcW w:w="3736" w:type="dxa"/>
          </w:tcPr>
          <w:p w14:paraId="048BD3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r>
      <w:tr w:rsidR="00E3599D" w:rsidRPr="00E14102" w14:paraId="51D6862A" w14:textId="77777777">
        <w:tc>
          <w:tcPr>
            <w:tcW w:w="3736" w:type="dxa"/>
          </w:tcPr>
          <w:p w14:paraId="47CE97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у земли, км/ч</w:t>
            </w:r>
          </w:p>
        </w:tc>
        <w:tc>
          <w:tcPr>
            <w:tcW w:w="3736" w:type="dxa"/>
          </w:tcPr>
          <w:p w14:paraId="5B973D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242</w:t>
            </w:r>
          </w:p>
        </w:tc>
        <w:tc>
          <w:tcPr>
            <w:tcW w:w="3736" w:type="dxa"/>
          </w:tcPr>
          <w:p w14:paraId="5418AD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215</w:t>
            </w:r>
          </w:p>
        </w:tc>
      </w:tr>
      <w:tr w:rsidR="00E3599D" w:rsidRPr="00E14102" w14:paraId="6574A185" w14:textId="77777777">
        <w:tc>
          <w:tcPr>
            <w:tcW w:w="3736" w:type="dxa"/>
          </w:tcPr>
          <w:p w14:paraId="2DE5E4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Практический потолок, м</w:t>
            </w:r>
          </w:p>
        </w:tc>
        <w:tc>
          <w:tcPr>
            <w:tcW w:w="3736" w:type="dxa"/>
          </w:tcPr>
          <w:p w14:paraId="67727A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6660</w:t>
            </w:r>
          </w:p>
        </w:tc>
        <w:tc>
          <w:tcPr>
            <w:tcW w:w="3736" w:type="dxa"/>
          </w:tcPr>
          <w:p w14:paraId="2DC479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5100</w:t>
            </w:r>
          </w:p>
        </w:tc>
      </w:tr>
      <w:tr w:rsidR="00E3599D" w:rsidRPr="00E14102" w14:paraId="3C74E4D9" w14:textId="77777777">
        <w:tc>
          <w:tcPr>
            <w:tcW w:w="3736" w:type="dxa"/>
            <w:tcBorders>
              <w:bottom w:val="single" w:sz="12" w:space="0" w:color="auto"/>
            </w:tcBorders>
          </w:tcPr>
          <w:p w14:paraId="46655C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Нормальная техническая дальность полёта, км</w:t>
            </w:r>
          </w:p>
        </w:tc>
        <w:tc>
          <w:tcPr>
            <w:tcW w:w="3736" w:type="dxa"/>
            <w:tcBorders>
              <w:bottom w:val="single" w:sz="12" w:space="0" w:color="auto"/>
            </w:tcBorders>
          </w:tcPr>
          <w:p w14:paraId="399E98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w:t>
            </w:r>
          </w:p>
        </w:tc>
        <w:tc>
          <w:tcPr>
            <w:tcW w:w="3736" w:type="dxa"/>
            <w:tcBorders>
              <w:bottom w:val="single" w:sz="12" w:space="0" w:color="auto"/>
            </w:tcBorders>
          </w:tcPr>
          <w:p w14:paraId="1455D9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960</w:t>
            </w:r>
          </w:p>
        </w:tc>
      </w:tr>
    </w:tbl>
    <w:p w14:paraId="6B7C2E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(12003).</w:t>
      </w:r>
    </w:p>
    <w:p w14:paraId="161E28C1" w14:textId="77777777" w:rsidR="00D4105E" w:rsidRPr="00E14102" w:rsidRDefault="00D4105E" w:rsidP="00E14102">
      <w:pPr>
        <w:autoSpaceDE w:val="0"/>
        <w:autoSpaceDN w:val="0"/>
        <w:adjustRightInd w:val="0"/>
        <w:jc w:val="both"/>
        <w:rPr>
          <w:color w:val="000000" w:themeColor="text1"/>
          <w:sz w:val="16"/>
          <w:szCs w:val="16"/>
        </w:rPr>
      </w:pPr>
    </w:p>
    <w:p w14:paraId="1E0E39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г. два ЛП-5, пилотируемые М.В. Водопьяновым и М.Я. Линделем, совершили перелет Москва-Хабаровск- м. Шмидта. В марте-мае 1936 г. два АРК-5 использовали для перелета на о. Рудольфа. Командирами экипажей были М.В. Водопьянов и В.М. Махоткин. В Москву вернулся только один самолет. Вторая машина разбилась на обратном пути. Летчиков подобрал ледокол (11936).</w:t>
      </w:r>
    </w:p>
    <w:p w14:paraId="22C37E7E" w14:textId="77777777" w:rsidR="00D4105E" w:rsidRPr="00E14102" w:rsidRDefault="00D4105E" w:rsidP="00E14102">
      <w:pPr>
        <w:autoSpaceDE w:val="0"/>
        <w:autoSpaceDN w:val="0"/>
        <w:adjustRightInd w:val="0"/>
        <w:jc w:val="both"/>
        <w:rPr>
          <w:color w:val="000000" w:themeColor="text1"/>
          <w:sz w:val="16"/>
          <w:szCs w:val="16"/>
        </w:rPr>
      </w:pPr>
    </w:p>
    <w:p w14:paraId="40D863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началось строительство аэродинамических труб ЦАГИ (80,11).</w:t>
      </w:r>
    </w:p>
    <w:p w14:paraId="48622A37" w14:textId="77777777" w:rsidR="00D4105E" w:rsidRPr="00E14102" w:rsidRDefault="00D4105E" w:rsidP="00E14102">
      <w:pPr>
        <w:autoSpaceDE w:val="0"/>
        <w:autoSpaceDN w:val="0"/>
        <w:adjustRightInd w:val="0"/>
        <w:jc w:val="both"/>
        <w:rPr>
          <w:color w:val="000000" w:themeColor="text1"/>
          <w:sz w:val="16"/>
          <w:szCs w:val="16"/>
        </w:rPr>
      </w:pPr>
    </w:p>
    <w:p w14:paraId="78FA4A8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Весной 1935 г. аэросани ГГАТ №7 пробег совершили успешно, а вот №9 накануне мероприятия потерпели аварию и были доставлены в ОСГА. Собравшись в неформальной обстановке, </w:t>
      </w:r>
      <w:r w:rsidRPr="00E14102">
        <w:rPr>
          <w:smallCaps/>
          <w:color w:val="000000" w:themeColor="text1"/>
          <w:sz w:val="16"/>
          <w:szCs w:val="16"/>
        </w:rPr>
        <w:t xml:space="preserve">а.а.смолин, </w:t>
      </w:r>
      <w:r w:rsidRPr="00E14102">
        <w:rPr>
          <w:color w:val="000000" w:themeColor="text1"/>
          <w:sz w:val="16"/>
          <w:szCs w:val="16"/>
        </w:rPr>
        <w:t>рассчитавший винт для аэроса</w:t>
      </w:r>
      <w:r w:rsidRPr="00E14102">
        <w:rPr>
          <w:color w:val="000000" w:themeColor="text1"/>
          <w:sz w:val="16"/>
          <w:szCs w:val="16"/>
        </w:rPr>
        <w:softHyphen/>
        <w:t>ней, Е.В.Агитов, заместитель главного конст</w:t>
      </w:r>
      <w:r w:rsidRPr="00E14102">
        <w:rPr>
          <w:color w:val="000000" w:themeColor="text1"/>
          <w:sz w:val="16"/>
          <w:szCs w:val="16"/>
        </w:rPr>
        <w:softHyphen/>
        <w:t>руктора ГАЗ, М.В.Веселовский, конструктор аэросаней и начальник мастерских технику</w:t>
      </w:r>
      <w:r w:rsidRPr="00E14102">
        <w:rPr>
          <w:color w:val="000000" w:themeColor="text1"/>
          <w:sz w:val="16"/>
          <w:szCs w:val="16"/>
        </w:rPr>
        <w:softHyphen/>
        <w:t>ма обсудили результаты в целом успешного применения автомотора на аэросанях, кото</w:t>
      </w:r>
      <w:r w:rsidRPr="00E14102">
        <w:rPr>
          <w:color w:val="000000" w:themeColor="text1"/>
          <w:sz w:val="16"/>
          <w:szCs w:val="16"/>
        </w:rPr>
        <w:softHyphen/>
        <w:t>рые, как высказался один из присутствовав</w:t>
      </w:r>
      <w:r w:rsidRPr="00E14102">
        <w:rPr>
          <w:color w:val="000000" w:themeColor="text1"/>
          <w:sz w:val="16"/>
          <w:szCs w:val="16"/>
        </w:rPr>
        <w:softHyphen/>
        <w:t>ших на встрече товарищей, “есть в первом приближении самолет с подрезанными крыль</w:t>
      </w:r>
      <w:r w:rsidRPr="00E14102">
        <w:rPr>
          <w:color w:val="000000" w:themeColor="text1"/>
          <w:sz w:val="16"/>
          <w:szCs w:val="16"/>
        </w:rPr>
        <w:softHyphen/>
        <w:t>ями...”. Если автомотор прижился на самоле</w:t>
      </w:r>
      <w:r w:rsidRPr="00E14102">
        <w:rPr>
          <w:color w:val="000000" w:themeColor="text1"/>
          <w:sz w:val="16"/>
          <w:szCs w:val="16"/>
        </w:rPr>
        <w:softHyphen/>
        <w:t>те без крыльев, то и на крылатой машине ме</w:t>
      </w:r>
      <w:r w:rsidRPr="00E14102">
        <w:rPr>
          <w:color w:val="000000" w:themeColor="text1"/>
          <w:sz w:val="16"/>
          <w:szCs w:val="16"/>
        </w:rPr>
        <w:softHyphen/>
        <w:t>сто ему найдется. На том и порешили (10715).</w:t>
      </w:r>
    </w:p>
    <w:p w14:paraId="350A39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684946E"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Весной 1935, согласно начальнику ЦАГИ Н.М. Харламову, началась техническая подготовка перелета Леваневского на АНТ-25достаточно подробно описал:</w:t>
      </w:r>
    </w:p>
    <w:p w14:paraId="073F3FCB"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«Весной этого года мне передали распоряжение наркома тов. Орджоникидзе ознакомить тов. Леваневского с нашим самолетом АНТ-25 и дать ему полетать на нем.</w:t>
      </w:r>
    </w:p>
    <w:p w14:paraId="207EFD94"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Я предоставил тов. Леваневскому возможность полного ознакомлении со всеми материалами об особенностях и свойствах АНТ-25…</w:t>
      </w:r>
    </w:p>
    <w:p w14:paraId="42D2DE66"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Он тщательно ознакомился с нашими материалами по конструкции, просмотрел все летные данные, протоколы испытаний и полетов, подробно проанализировал недочеты и дефекты, обнаруженные нами во время заводских полетов, и способы, которыми мы эти дефекты устраняли. Затем тов. Леваневский осмотрел машину и совершил на ней полет.</w:t>
      </w:r>
    </w:p>
    <w:p w14:paraId="2EAABB68"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Через некоторое время Сигизмунд Александрович пришел ко мне и заявил, что по его мнению, самолет вполне подходит для задуманного им перелета из Москвы в Сан-Франциско через Северный полюс.</w:t>
      </w:r>
    </w:p>
    <w:p w14:paraId="66E46224"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Вечером 28 феврали мне позвонил тов. Орджоникидзе и спросил:</w:t>
      </w:r>
    </w:p>
    <w:p w14:paraId="6295E55A"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 В каком состоянии самолет? Может ли ЦАГИ приготовить его для перелета товарища Леваневского?</w:t>
      </w:r>
    </w:p>
    <w:p w14:paraId="2B8CAB94"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Я ответил:</w:t>
      </w:r>
    </w:p>
    <w:p w14:paraId="4E9F063C"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 Если будет приказ, то ЦАГИ его, безусловно, выполнит и подготовит самолет для трансарктического перелета…</w:t>
      </w:r>
    </w:p>
    <w:p w14:paraId="45BF11D9"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Тов. Орджоникидзе предложил мне немедленно начать подготовку самолета, согласовав с тов. Леваневским вопрос о переделках и установке специального оборудования…</w:t>
      </w:r>
    </w:p>
    <w:p w14:paraId="4E1C9ACE"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4 марта мы устроили совещание с тов. Леваневским. Он предъявил нам семь требований: потребовал заменить ручное управление на штурвал, повысить эффективность элеронов и руля поворота, сделать отепление кабины, изменить систему сливного аварийного приспособления, повысить плавучесть самолета, лучше облизать хвостовое оперение и уменьшить щели между килем и рулем поворота, сделать подогрев воздуха и заменить деревянный винт металлическим. Все эти и другие изменения преследовали одну цель — сделать самолет наиболее надежным для арктического перелета.</w:t>
      </w:r>
    </w:p>
    <w:p w14:paraId="3A6BBD08"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Чтобы обеспечить надежную связь с материком, нужно было создать новую радиостанцию, небольшую по размеру и весу, но дальнего действия. Эту станцию изготовил завод им. Орджоникидзе...</w:t>
      </w:r>
    </w:p>
    <w:p w14:paraId="523FC0D5"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Нам надо было также предохранить все приборы от обмерзания...</w:t>
      </w:r>
    </w:p>
    <w:p w14:paraId="72D59EEA"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lastRenderedPageBreak/>
        <w:t>В винтомоторной группе мы изменили схему питания горючим и охлаждения, чтобы мотор мог надежно работать при любых условиях — в туман, дождь и мороз. Мы поставили радиатор новой системы, обеспечили подогрев смеси и устроили специальное отопление кабины экипажа, предварительно утеплив ее...</w:t>
      </w:r>
    </w:p>
    <w:p w14:paraId="083E7AA9"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Нарком тов. Орджоникидзе специальным приказом назначил лиц, ответственных за подготовку машины. Ответственный за конструкцию самолета в целом был назначен инженер (П.О.) Сухой … Общее техническое руководство было возложено на заместителя А.Н. Туполева, находившегося в это время за границей, — инженера (В.М.) Петлякова...</w:t>
      </w:r>
    </w:p>
    <w:p w14:paraId="5FF45E6A"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В своем приказе нарком тов. Орджоникидзе дал отдельным заводам поручения изготовить мотор, свечи, подобрать топливо и отрегулировать карбюратор, дать жароупорную сталь, изготовить штамповки для втулок, прессованные дюралевые лопасти, трубки красной меди для радиаторов, специальную проволоку, шарнирные электрические лампы, компасы, указатели оборотов, альтиметр до высоты 8000 метров, тахометры, манометры, термометры, жироскопы, радиостанцию, металлаческие рукава для экранирования, пневматику, колеса, специальное топливо и масло. Как видно из этого перечня материалов, который можно было бы продолжить, в подготовке самолета участвовало большое количество заводов тяжелой промышленности.</w:t>
      </w:r>
    </w:p>
    <w:p w14:paraId="3CD6EB1D"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Вскоре мы приступили к испытаниям самолета… Для сравнения были совершены полеты с деревянным двухлопастным винтом, металлическим двухлопастным и с металлическим трехлопастным. Последний оказался наилучшим: он дал очень спокойную работу мотора, показал наилучший коэффициент полезного действия, равномерный ход и надежность...</w:t>
      </w:r>
    </w:p>
    <w:p w14:paraId="1C0692E0"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Тов. Леваневский совершил многочисленные тренировочные полеты и взлеты с различной нагрузкой и специально проверял расход горючего в 18-часовом перелете...</w:t>
      </w:r>
    </w:p>
    <w:p w14:paraId="433D5EF6"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Мы произвели теоретические расчеты и дали на руки экипажу детальный график полета, в которой было указано, с какой скоростью, с каким числом оборотов мотора и на какой высоте наиболее рационально вести самолет по мере расходования горючего...»  [91]</w:t>
      </w:r>
    </w:p>
    <w:p w14:paraId="2470D710"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Интересно также, что рассматривалась возможность выбора в качестве начальной точки маршрута Ростова-на-Дону. Для этого планировали удлинение взлетной полосы ростовского аэродрома и устройство горки разбега в начале взлетной полосы. На это могло быть потрачено дополнительно 1,5 – 2 миллиона рублей. Вероятно, эти планы были отвергнуты в самом начале подготовки к перелету.</w:t>
      </w:r>
    </w:p>
    <w:p w14:paraId="17F75689"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Несмотря на все усилия инженеров, обеспечивших достижение самолетом АНТ-25 рекордной дальности, добиться комфортных условий работы экипажа в кабине не удалось. После выполнения серии дальних тренировочных полетов на АНТ-25 Байдуков рассказывал на страницах «Правды»:</w:t>
      </w:r>
    </w:p>
    <w:p w14:paraId="06BF7175"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«Работа людей на самолете, приспособленном к полетам на колоссальные расстояния без пополнения горючим, чрезвычайно тяжела, ибо здесь уже об удобствах говорить не приходится: все подчинено основной задаче дальности полета… В самолете настолько тесно, что Сигизмунд Александрович побаивается, чтобы штурман Левченко не ушиб ногой отдыхающего, и просил его ноги по-возможности держать привязанными к сидению. Дело в том, что постель (спальный мешок) будет лежать на полу и голова спящего будет находиться у ног штурмана.</w:t>
      </w:r>
    </w:p>
    <w:p w14:paraId="79704501"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Бедный Левченко! Ко всем его многочисленным обязанностям прибавляется еще одна забота — не наступить на спящего...»  [92]</w:t>
      </w:r>
    </w:p>
    <w:p w14:paraId="63143DB5"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Маршрут предстоящего перелета должен был пройти над территорией Канады (доминиона Великобритании) и США. Благодаря усилиям советских дипломатов разрешения от правительств этих стран на пролет и посадку очень скоро были получены. Кроме того была достигнута договоренность с Бюро метеорологической службы американской армии о предоставлении регулярных (каждые три часа) сводок погоды.</w:t>
      </w:r>
    </w:p>
    <w:p w14:paraId="1A903CD2"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Активную работу по подготовке к перелету Леваневского в США и Канаде развернули работники советской внешнеторговой организации «Амторг». Так, например, «начальник инженерной части» этой организации Н.А. Соколов-Соколенок «провел десятки совещаний с летчиками, работающими на линии Аляска — Канада. Он договорился о вызове самолетов, если это потребуется. Изучены все посадочные площадки, описание которых послано в Москву. Кроме того, собраны подробные материалы о местности и аэродромах на случай возможной перемены маршрута. Все готово для оказания содействия перелету... т. Соколов убедился в абсолютной невозможности перелета Леваневского по океанской стороне и берегу. Экипажу «USSR N 025» надо лететь над Канадой...</w:t>
      </w:r>
    </w:p>
    <w:p w14:paraId="2A7A05A1"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Установлена очередность связи радиостанций с самолетом в зависимости от его места нахождения. Следить же за передачей самолета будут все станции беспрерывно.</w:t>
      </w:r>
    </w:p>
    <w:p w14:paraId="2636B3F4"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Проведена тренировка персонала в составлении метеорологических сводок на русском языке в латинской транскрипции. В виду того, что персонал не знает русского языка, составлен специальный словарь всех, могущих понадобиться, слов, и даны примерные формы метеорологических сводок» . [93]</w:t>
      </w:r>
    </w:p>
    <w:p w14:paraId="1BA24F8A"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Предстоящий трехсуточный перелет через Северный полюс требовал от экипажа АНТ-25 безукоризненной физической формы. В самом начале подготовки все участники дальнего перелета прошли строгую врачебную комиссию. Требования авиационных медиков к авиаторам были сопоставимы с теми, которые предъявляли двадцать пять лет спустя к космонавтам. Однако преодоление хитроумных медицинских тестов оказалось только началом подготовки. Около трех месяцев члены экипажа жили в квартире неподалеку от аэродрома в подмосковном Щелково под неусыпным контролем доктора Н.А. Трофимука. Лишь изредка авиаторам позволялись встречи с женами и детьми. Соблюдение строгого режима благотворно сказалось на кондиции будущих рекордсменов. Доктор Трофимук не без гордости говорил: «Правильный режим и усиленное питание дали за последние месяцы блестящие результаты. Посмотрите, как замечательно выглядит Левченко. А разве хуже выглядит Байдуков? Оба они прибавили в весе по 12 кило…»</w:t>
      </w:r>
    </w:p>
    <w:p w14:paraId="3CD227F1"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Впрочем, на врача-гигиениста Трофимука была возложена ответственность за весь комплекс мероприятий, обеспечивающих здоровье и высокую работоспособность авиаторов. Он же отвечал за подбор, необходимых в полете (и в возможных аварийных ситуациях), продуктов питания и имущества. В одном из интервью он рассказывал:</w:t>
      </w:r>
    </w:p>
    <w:p w14:paraId="655314FA"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«Что мы даем нашим славным пилотам в их далекий путь?</w:t>
      </w:r>
    </w:p>
    <w:p w14:paraId="3F589F26"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В аптечках — перевязочный материал, таблетки против головной боли, нашатырный спирт, опий и другие фармацевтические препараты…</w:t>
      </w:r>
    </w:p>
    <w:p w14:paraId="45DE56F6"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В прорезиненных баулах находятся: мясные консервы, пемикан (питательный препарат из мясного порошка, овощей, пряностей и приправ), из которого можно приготовить разные блюда, колбаса-салями, молоко в порошке, мясной порошок, яйца в порошке, шоколад (частично с тонизирующими орехами «кола»), галеты, сахар, соль, чай, кофе, табак, витаминные концентраты, куриное рагу, копченый язык и коньяк, Объем специального запаса продуктов, несмотря на их высокую калорийность, в 4 раза меньше обычного набора.</w:t>
      </w:r>
    </w:p>
    <w:p w14:paraId="7DBAF341"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Кроме того, экипаж берет чай и какао в термосах, бутерброды с ветчиной, телятиной и свининой, свежие овощи, яблоке, абрикосы и лимоны. Участники перелета имеют возможность приготовить в кабине горячий чай. Ежедневный рацион каждого участника перелета определяется в 4000 калорий.</w:t>
      </w:r>
    </w:p>
    <w:p w14:paraId="0813074B"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Экипаж получил теплую и удобную одежду. В вещевом запасе — две пары шелкового белья, свитер из высококачественной шерсти, брюки и куртка на беличьем меху, кухлянка на пыжиковом меху, шлем на беличьем меху, шерстяные перчатки и краги, подбитые с двух сторон бараньим и собачьим мехом, шерстяные носки, носки из пыжикового меха, водонепроницаемые сапоги и оленьи унты. Специально изготовлены водонепроницаемые спальные мешки на пыжиковом меху, палатка из прорезиненной морозоустойчивой ткани и пневматическая резиновая лодка.</w:t>
      </w:r>
    </w:p>
    <w:p w14:paraId="5D0B7354" w14:textId="77777777" w:rsidR="00381125" w:rsidRPr="00E14102" w:rsidRDefault="00381125" w:rsidP="00E14102">
      <w:pPr>
        <w:shd w:val="clear" w:color="auto" w:fill="FFFFFF"/>
        <w:jc w:val="both"/>
        <w:textAlignment w:val="baseline"/>
        <w:rPr>
          <w:color w:val="0070C0"/>
          <w:sz w:val="16"/>
          <w:szCs w:val="16"/>
        </w:rPr>
      </w:pPr>
      <w:r w:rsidRPr="00E14102">
        <w:rPr>
          <w:color w:val="0070C0"/>
          <w:sz w:val="16"/>
          <w:szCs w:val="16"/>
        </w:rPr>
        <w:t>Экипаж обеспечен также специальными очками со светофильтрами для защиты глаз от ярких лучей солнца, отражаемых снежной и ледяной поверхностью…» (21249).</w:t>
      </w:r>
    </w:p>
    <w:p w14:paraId="1B54485E" w14:textId="77777777" w:rsidR="00381125" w:rsidRPr="00E14102" w:rsidRDefault="00381125" w:rsidP="00E14102">
      <w:pPr>
        <w:jc w:val="both"/>
        <w:rPr>
          <w:color w:val="0070C0"/>
          <w:sz w:val="16"/>
          <w:szCs w:val="16"/>
        </w:rPr>
      </w:pPr>
    </w:p>
    <w:p w14:paraId="7ABD8667" w14:textId="77777777" w:rsidR="00381125" w:rsidRPr="00E14102" w:rsidRDefault="00381125" w:rsidP="00E14102">
      <w:pPr>
        <w:jc w:val="both"/>
        <w:rPr>
          <w:color w:val="0070C0"/>
          <w:sz w:val="16"/>
          <w:szCs w:val="16"/>
        </w:rPr>
      </w:pPr>
      <w:r w:rsidRPr="00E14102">
        <w:rPr>
          <w:color w:val="0070C0"/>
          <w:sz w:val="16"/>
          <w:szCs w:val="16"/>
        </w:rPr>
        <w:t>Весной 1935 г., после ряда доделок и исправле</w:t>
      </w:r>
      <w:r w:rsidRPr="00E14102">
        <w:rPr>
          <w:color w:val="0070C0"/>
          <w:sz w:val="16"/>
          <w:szCs w:val="16"/>
        </w:rPr>
        <w:softHyphen/>
        <w:t>ний в конструкции, началась опытная эксплуата</w:t>
      </w:r>
      <w:r w:rsidRPr="00E14102">
        <w:rPr>
          <w:color w:val="0070C0"/>
          <w:sz w:val="16"/>
          <w:szCs w:val="16"/>
        </w:rPr>
        <w:softHyphen/>
        <w:t>ция «СССР В-6». Дирижабль совершил большое число полётов, в том числе несколько дальних беспосадочных по замкнутому маршруту (20120).</w:t>
      </w:r>
    </w:p>
    <w:p w14:paraId="53DA15C0" w14:textId="77777777" w:rsidR="00381125" w:rsidRPr="00E14102" w:rsidRDefault="00381125" w:rsidP="00E14102">
      <w:pPr>
        <w:jc w:val="both"/>
        <w:rPr>
          <w:color w:val="0070C0"/>
          <w:sz w:val="16"/>
          <w:szCs w:val="16"/>
        </w:rPr>
      </w:pPr>
    </w:p>
    <w:p w14:paraId="6446BB36" w14:textId="77777777" w:rsidR="006078DB" w:rsidRPr="00E14102" w:rsidRDefault="006078D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Весной 1935 года утвердили экипаж</w:t>
      </w:r>
      <w:r w:rsidRPr="00E14102">
        <w:rPr>
          <w:rFonts w:ascii="Times New Roman" w:hAnsi="Times New Roman" w:cs="Times New Roman"/>
          <w:color w:val="000000" w:themeColor="text1"/>
          <w:sz w:val="16"/>
          <w:szCs w:val="16"/>
          <w:shd w:val="clear" w:color="auto" w:fill="FFFFFF"/>
          <w:lang w:val="ru-RU"/>
        </w:rPr>
        <w:t xml:space="preserve"> стратостата «СССР-3</w:t>
      </w:r>
      <w:r w:rsidRPr="00E14102">
        <w:rPr>
          <w:rFonts w:ascii="Times New Roman" w:hAnsi="Times New Roman" w:cs="Times New Roman"/>
          <w:color w:val="000000" w:themeColor="text1"/>
          <w:sz w:val="16"/>
          <w:szCs w:val="16"/>
          <w:lang w:val="ru-RU"/>
        </w:rPr>
        <w:t>, состоящий из опытных аэронавтов:</w:t>
      </w:r>
    </w:p>
    <w:p w14:paraId="0888E315" w14:textId="77777777" w:rsidR="006078DB" w:rsidRPr="00E14102" w:rsidRDefault="006078D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полковник Прокофьев (командир);</w:t>
      </w:r>
    </w:p>
    <w:p w14:paraId="067C55A7" w14:textId="77777777" w:rsidR="006078DB" w:rsidRPr="00E14102" w:rsidRDefault="006078DB" w:rsidP="00E14102">
      <w:pPr>
        <w:pStyle w:val="ad"/>
        <w:shd w:val="clear" w:color="auto" w:fill="FFFFFF"/>
        <w:spacing w:before="0" w:after="0"/>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lang w:val="ru-RU"/>
        </w:rPr>
        <w:t xml:space="preserve">— бригадный инженер Семенов (начальник кафедры воздухоплавания Военно-воздушной академии им. </w:t>
      </w:r>
      <w:r w:rsidRPr="00E14102">
        <w:rPr>
          <w:rFonts w:ascii="Times New Roman" w:hAnsi="Times New Roman" w:cs="Times New Roman"/>
          <w:color w:val="000000" w:themeColor="text1"/>
          <w:sz w:val="16"/>
          <w:szCs w:val="16"/>
        </w:rPr>
        <w:t>Жуковского);</w:t>
      </w:r>
    </w:p>
    <w:p w14:paraId="6AEEA3E8" w14:textId="77777777" w:rsidR="006078DB" w:rsidRPr="00E14102" w:rsidRDefault="006078D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военный инженер 2-го ранга Прилуцкий.</w:t>
      </w:r>
    </w:p>
    <w:p w14:paraId="6012FCFB" w14:textId="77777777" w:rsidR="006078DB" w:rsidRPr="00E14102" w:rsidRDefault="006078D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shd w:val="clear" w:color="auto" w:fill="FFFFFF"/>
          <w:lang w:val="ru-RU"/>
        </w:rPr>
        <w:t>Постройка стратостата «СССР-3» началось под патронажем военных в 1934 году, завершилось в 1935 году. Аппарат был не столь грандиозен, как</w:t>
      </w:r>
      <w:r w:rsidRPr="00E14102">
        <w:rPr>
          <w:rFonts w:ascii="Times New Roman" w:hAnsi="Times New Roman" w:cs="Times New Roman"/>
          <w:color w:val="000000" w:themeColor="text1"/>
          <w:sz w:val="16"/>
          <w:szCs w:val="16"/>
          <w:shd w:val="clear" w:color="auto" w:fill="FFFFFF"/>
        </w:rPr>
        <w:t> </w:t>
      </w:r>
      <w:r w:rsidRPr="00E14102">
        <w:rPr>
          <w:rFonts w:ascii="Times New Roman" w:hAnsi="Times New Roman" w:cs="Times New Roman"/>
          <w:color w:val="000000" w:themeColor="text1"/>
          <w:sz w:val="16"/>
          <w:szCs w:val="16"/>
          <w:shd w:val="clear" w:color="auto" w:fill="FFFFFF"/>
          <w:lang w:val="ru-RU"/>
        </w:rPr>
        <w:t>СССР-2, однако достаточно внушителен. Объем оболочки составлял 157000 м3 и позволял рассчитывать на достижение максимальной расчетной высоты полета — 25-27 км. Оболочку выполнили из ткани производства комбината «Красная роза» из двухслойного прорезиненного шелка (в верхней части из четырех слоев). После пожара оболочки «СССР-2» признавалось, что ткань, покрытая серебристой краской, сильно электролизуется и становится пожароопасной. Поэтому использовалась неокрашенная, прорезиненная ткань желто — золотистого цвета.</w:t>
      </w:r>
    </w:p>
    <w:p w14:paraId="53801335" w14:textId="77777777" w:rsidR="006078DB" w:rsidRPr="00E14102" w:rsidRDefault="006078DB" w:rsidP="00E14102">
      <w:pPr>
        <w:pStyle w:val="ad"/>
        <w:shd w:val="clear" w:color="auto" w:fill="FFFFFF"/>
        <w:spacing w:before="0" w:after="0"/>
        <w:rPr>
          <w:rFonts w:ascii="Times New Roman" w:hAnsi="Times New Roman" w:cs="Times New Roman"/>
          <w:color w:val="000000" w:themeColor="text1"/>
          <w:sz w:val="16"/>
          <w:szCs w:val="16"/>
          <w:shd w:val="clear" w:color="auto" w:fill="FFFFFF"/>
          <w:lang w:val="ru-RU"/>
        </w:rPr>
      </w:pPr>
      <w:r w:rsidRPr="00E14102">
        <w:rPr>
          <w:rFonts w:ascii="Times New Roman" w:hAnsi="Times New Roman" w:cs="Times New Roman"/>
          <w:color w:val="000000" w:themeColor="text1"/>
          <w:sz w:val="16"/>
          <w:szCs w:val="16"/>
          <w:shd w:val="clear" w:color="auto" w:fill="FFFFFF"/>
          <w:lang w:val="ru-RU"/>
        </w:rPr>
        <w:t>Трехместная герметическая гондола, которую изготовили на авиазаводе № 39, имела уже освоенную конструкцию, однако диаметр ее в соответствии с полученным опытом увеличили до 2,5 м. С наружной части гондолу обшили перкалем. В нижней ее части крепился балласт — 500 кг дроби. Средства спасения включали один специальный гондольный парашют, снабженный шелковыми стропами длиной 36 м и три индивидуальных парашюта для каждого члена экипажа. Питание кислородом рассчитали на 45 часов полета для комплекта групповых баллонов и на 15 часов для индивидуальных баллонов. Вес всей системы (гондолы и оболочки) составлял 4,5 т.</w:t>
      </w:r>
    </w:p>
    <w:p w14:paraId="736DB2EA" w14:textId="77777777" w:rsidR="006078DB" w:rsidRPr="00E14102" w:rsidRDefault="006078D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Дата установления нового рекорда постоянно откладывалась, и для того имелись веские причины. Высота «СССР-3» при отрыве от земли составляла 123 м, поэтому осуществление старта представляло довольно сложную проблему. Требовались особые погодные условия — полный штиль или слабый ветер со скоростью до 2-3 м/сек вплоть до высоты над землей 150 м.</w:t>
      </w:r>
    </w:p>
    <w:p w14:paraId="5275B2F8" w14:textId="77777777" w:rsidR="006078DB" w:rsidRPr="00E14102" w:rsidRDefault="006078D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После готовности стратостата уже летом 1935 года его неоднократно пытались запустить, ловили погоду, но без особого успеха. Пытались взлететь из оврага, но, как оказалось, ветер даже 3 м/сек превращал подготовку старта в рискованное мероприятие. Различными специалистами в этот период предлагаются «надежные» безветренные места — Энгельс (школа летчиков), Вольск, «Николина гора» под Москвой. Последний из указанных вариантов представлял собой площадку в 16 км восточнее Звенигорода, окаймленную возвышенностью до 60-80 м.</w:t>
      </w:r>
    </w:p>
    <w:p w14:paraId="085FA698" w14:textId="77777777" w:rsidR="006078DB" w:rsidRPr="00E14102" w:rsidRDefault="006078D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lastRenderedPageBreak/>
        <w:t>Активная подготовка, в которой явно угадывалось нетерпение участников и готовность даже к самопожертвованию, начинала нервировать руководство (в частности Ворошилова), которое после произошедших неудач не хотело более рисковать и требовало максимальной уверенности в успехе. Наконец, 23 августа 1935 года последовало постановление СНК № 1872 «О полетах в стратосферу», которое утвердил Председатель Совета В.М.Молотов. Смысл постановления был прост и понятен: запретить все полеты в стратосферу без особого разрешения ЦК и СНК. Чуть более чем через две недели, 10 сентября 1935 года, нарком обороны К.Е.Ворошилов на докладе Я.И.Алксниса о готовности стратостата «СССР-3» к полету начертал:</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«Полет запретить. Если кто хочет летать, пусть сначала как следует подготовится, а потом уже «горит желанием получить орден».</w:t>
      </w:r>
    </w:p>
    <w:p w14:paraId="5886C82B" w14:textId="77777777" w:rsidR="006078DB" w:rsidRPr="00E14102" w:rsidRDefault="006078D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Отмена рекордного полета в 1935 году на самом деле не означала, что опыты с подъемом на высоту на аппаратах легче воздуха закончились. Жизнь, служба и полеты воздухоплавателей продолжались. 2 октября 1935 года Прокофьев и Семенов совершили полет на сферическом аэростате с открытой гондолой на высоту 9300 метров и приземлились в 80 км от Москвы у деревни Софьино. Это был опытный полет с новым кислородным оборудованием. Кроме того, посадку удалось осуществить с полностью заполненной, почти шарообразной оболочкой. При снижении пилоты впускали в оболочку воздух и смешивали его с газом. В соответствии с заранее разработанным планом часть полета проходила ночью, так как в 1936 году планировалось запустить аэростат для исследования солнечного затмения.</w:t>
      </w:r>
    </w:p>
    <w:p w14:paraId="45BA073E" w14:textId="77777777" w:rsidR="006078DB" w:rsidRPr="00E14102" w:rsidRDefault="006078D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Вся указанная деятельность и подготовка стратостатов происходили при Опытно-испытательном воздухоплавательном дивизионе, базирующемся в Кунцево. Это подразделение развилось из 2-го дивизиона аэростатов наблюдения, сформированного в 1926 году. Затем здесь стали экспериментировать с аэростатами заграждения, в 1935 году образовали стратосферное отделение. Командиром дивизиона являлся полковник Прокофьев, в его подчинении находились 20 инженеров, 70 человек командного и технического состава, 217 красноармейцев. Нужно отметить, что деятельность дивизиона происходила в непростых условиях, к личности Прокофьева в руководстве ВВС с определенного момента наметилось негативное отношение. В такой области как воздухоплавание, где далеко не все зависит от человеческих возможностей, весьма сложно было обойтись без летных происшествий. Именно такой случай произошел на учебных подъемах дивизиона в Звенигороде 20 июня 1936 года. В результате сильной грозы и последующего попадания молнии 9 аэростатов сгорело, еще 8 унесло шквалистым ветром. После этого дивизион обследовала специальная комиссия, которая припомнила многие другие происшествия и недостатки, в том числе и случай со сгоревшей оболочкой «СССР-2». В 1937 году обстановка еще более обострилась, участились проверки, арестовали директора завода № 39 Марголина, а Прокофьева 11 августа 1937 года личным приказом Я.И.Алксниса сняли с командования дивизионом. Однако он по-прежнему оставался командиром экипажа, определенного для осуществления рекордного полета.</w:t>
      </w:r>
    </w:p>
    <w:p w14:paraId="0CB4A567" w14:textId="77777777" w:rsidR="006078DB" w:rsidRPr="00E14102" w:rsidRDefault="006078D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Начиная с середины 1935 года для обеспечения безопасного старта «СССР-3» высказывалось много предложений, основной смысл которых сводился к уменьшению высоты стратостата в момент наполнения оболочки. После длительных обсуждений остановились на варианте, в котором на оболочку надевалась особая укорачивающая сетка — корсет, придающая всей системе большую неподвижность. Снималось приспособление выдергиванием специальной стропы, в ходе многократных испытаний его работоспособность вполне подтвердилась. Летом 1937 года «СССР-3» твердо решили запустить. Неоднократно проверяли оболочку и герметичность гондолы, заменили электропроводку, часть приборов. На авиазаводе № 84 изготовили новое приспособление с сеткой, уменьшающей высоту субстратостата на старте до 40-50 м. Герметическую гондолу экипажа для обеспечения аварийного спуска оснастили наружным парашютом.</w:t>
      </w:r>
    </w:p>
    <w:p w14:paraId="093A05A9" w14:textId="77777777" w:rsidR="006078DB" w:rsidRPr="00E14102" w:rsidRDefault="006078D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14 мая 1937 года Прокофьев доложил Начальнику ВВС Алкснису о готовности «СССР-3» к старту. Подготовка на этот раз велась весьма обстоятельно. В специальном постановлении ЦК ВКП (б) в отношении предстоящего запуска стратостата особо указывалось, что всякое освещение предстоящего события впредь до специального разрешения категорически запрещено. Старт должен был состояться за 30 минут до восхода солнца, стартовую команду определили в 326 человек, для связи с экипажем на длинных и коротких волнах изыскали 39 радиоточек, мобилизовали в том числе и радиолюбителей.</w:t>
      </w:r>
    </w:p>
    <w:p w14:paraId="11F7E270" w14:textId="77777777" w:rsidR="006078DB" w:rsidRPr="00E14102" w:rsidRDefault="006078D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ночь на 3 сентября 1937 года состоялась очередная попытка старта. Однако при соблюдении мер особой осторожности заполнение газом затянулось, поэтому вместо намеченных 04:00 часов готовность наступила лишь только в 5 часов утра. К этому времени ветер усилился до 4-5 м/сек, поэтому дальнейшие приготовления пришлось отменить: газ выпустили, оболочку снизили.</w:t>
      </w:r>
    </w:p>
    <w:p w14:paraId="6DB6A572" w14:textId="77777777" w:rsidR="006078DB" w:rsidRPr="00E14102" w:rsidRDefault="006078D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Утром 18 сентября 1937 года, в 7 часов 50 минут, на летном поле воздухоплавательного дивизиона в Кунцево в присутствии начальника ВВС Алксниса «СССР-3» вновь наполнили водородом. По причине повышенной влажности к гондоле подвесили увеличенный балласт — стартовый вес стратостата составил 5534 кг вместо 4894 кг.</w:t>
      </w:r>
    </w:p>
    <w:p w14:paraId="12F6008D" w14:textId="77777777" w:rsidR="006078DB" w:rsidRPr="00E14102" w:rsidRDefault="006078D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самый момент старта система полного раскрытия оболочки не сработала, стягивающая сетка — корсет заела. Как выяснилось, из разбухшей от влаги заплетенной косы не вышла стропа разрывного полотнища. Послали наверх на шаре — прыгуне красноармейца, который поднялся и разрезал злополучную стропу. После этого одновременно с отрывом от земли началось полное раскрытие стратостата. Очевидно, в указанный промежуток времени произошло самопроизвольное вскрытие разрывного полотнища оболочки, никем не замеченное.</w:t>
      </w:r>
    </w:p>
    <w:p w14:paraId="027FD7B3" w14:textId="77777777" w:rsidR="006078DB" w:rsidRPr="00E14102" w:rsidRDefault="006078D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На высоте 700-800 м, когда стратостат полностью раскрылся, наблюдатели с земли отметили начало его снижения, сначала медленного, затем все более ускоряющегося. Через 15 минут после старта «СССР-3» с вертикальной скоростью 7-8 м/сек (по другим данным, 10-12 м/сек) приземлился в четырех километрах от места старта на стадионе авиазавода № 22 в районе Филей. В момент аварийного приземления экипаж получил ранения, поэтому всех троих стратонавтов доставили в Кремлевскую больницу.</w:t>
      </w:r>
    </w:p>
    <w:p w14:paraId="7D82A386" w14:textId="77777777" w:rsidR="006078DB" w:rsidRPr="00E14102" w:rsidRDefault="006078DB" w:rsidP="00E14102">
      <w:pPr>
        <w:jc w:val="both"/>
        <w:rPr>
          <w:color w:val="000000" w:themeColor="text1"/>
          <w:sz w:val="16"/>
          <w:szCs w:val="16"/>
        </w:rPr>
      </w:pPr>
      <w:r w:rsidRPr="00E14102">
        <w:rPr>
          <w:color w:val="000000" w:themeColor="text1"/>
          <w:sz w:val="16"/>
          <w:szCs w:val="16"/>
          <w:shd w:val="clear" w:color="auto" w:fill="FFFFFF"/>
        </w:rPr>
        <w:t>Комиссия, расследовавшая аварию «СССР-3», определила: </w:t>
      </w:r>
      <w:r w:rsidRPr="00E14102">
        <w:rPr>
          <w:rStyle w:val="a6"/>
          <w:i w:val="0"/>
          <w:color w:val="000000" w:themeColor="text1"/>
          <w:sz w:val="16"/>
          <w:szCs w:val="16"/>
          <w:shd w:val="clear" w:color="auto" w:fill="FFFFFF"/>
        </w:rPr>
        <w:t>«…причиной аварии является самопроизвольное вскрытие разрывного полотнища. Предполагается, что расцепление косы (разрывной вожжи) вследствие ее намокания во время старта (стопроцентная влажность воздуха) происходило с трением, по величине равным усилию, требуемому для вскрытия разрывного полотнища.» (19614).</w:t>
      </w:r>
    </w:p>
    <w:p w14:paraId="17C8400C" w14:textId="77777777" w:rsidR="006078DB" w:rsidRPr="00E14102" w:rsidRDefault="006078DB" w:rsidP="00E14102">
      <w:pPr>
        <w:jc w:val="both"/>
        <w:rPr>
          <w:color w:val="000000" w:themeColor="text1"/>
          <w:sz w:val="16"/>
          <w:szCs w:val="16"/>
        </w:rPr>
      </w:pPr>
    </w:p>
    <w:p w14:paraId="784DDA3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DB918E4" w14:textId="77777777" w:rsidR="00D4105E" w:rsidRPr="00E14102" w:rsidRDefault="00D4105E" w:rsidP="00E14102">
      <w:pPr>
        <w:autoSpaceDE w:val="0"/>
        <w:autoSpaceDN w:val="0"/>
        <w:adjustRightInd w:val="0"/>
        <w:jc w:val="both"/>
        <w:rPr>
          <w:iCs/>
          <w:color w:val="000000" w:themeColor="text1"/>
          <w:sz w:val="16"/>
          <w:szCs w:val="16"/>
        </w:rPr>
      </w:pPr>
    </w:p>
    <w:p w14:paraId="20FCC3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года к 76-мм зенитной пушке Лендера в качестве танковой вернулись в КБ Кировского завода. Опытному образцу пушки был присвоен заводской индекс Л-7. (3861).</w:t>
      </w:r>
    </w:p>
    <w:p w14:paraId="1BE731E6" w14:textId="77777777" w:rsidR="00D4105E" w:rsidRPr="00E14102" w:rsidRDefault="00D4105E" w:rsidP="00E14102">
      <w:pPr>
        <w:autoSpaceDE w:val="0"/>
        <w:autoSpaceDN w:val="0"/>
        <w:adjustRightInd w:val="0"/>
        <w:jc w:val="both"/>
        <w:rPr>
          <w:color w:val="000000" w:themeColor="text1"/>
          <w:sz w:val="16"/>
          <w:szCs w:val="16"/>
        </w:rPr>
      </w:pPr>
    </w:p>
    <w:p w14:paraId="0F71FC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Когда весной 1935 г. на заводе «Новое Сормово» встал вопрос о повышении норм выработки, это поначалу вызвало массовый протест со стороны начальников цехов и мастеров. В частности, на заседании завкома 9 марта поднимался вопрос о саботаже новых норм. В числе прочих примеров называли начальника механического цеха № 1 Романова, который отказался выполнять требования прикрепленного нормировщика Ляпина, обматерил его и даже выгнал его из цеха. [36 — ГУ ЦАНО, Ф. 2491, Оп. 1, Д. 113, Л. 71.]. В дальнейшем нормы выработки неоднократно повышались, причем зачастую необоснованно, так как рост производительности труда шел неравномерно по цехам и профессиям. К 1937 г. они были увеличены по заводу в среднем на 35 %. Фонд оплаты труда по-прежнему значительно превышался, нарушалась плановая дисциплина. В результате себестоимость продукции выходила далеко за пределы первичной калькуляции. Начальники цехов беспорядочно и бесцельно расходовали государственные средства, не получая при этом эффективных результатов. В приказах директора завода отмечалось, что «работы выполнялись с опозданием в 3–6 раз, а фонд оплаты труда увеличивался в 3–4 раза». [37 — Там же, Д. 205, Л. 261.] Происходило это потому, что планы производства, спускавшиеся сверху, в силу ряда объективных причин были невыполнимыми, а руководители участков пытались повысить производительность труда путем денежного стимулирования. Впрочем, здесь не обходилось и без явных злоупотреблений. Начальники цехов незаконно выписывали доплатные наряды рабочим. Так, 3 июня 1937 г. было выявлено, что начальник инструментального цеха Штейнфельдт без всяких оснований выписал доплатные листки 50 рабочим, желая, видимо, таким образом премировать их. [38 — Там же, Д. 303, Л. 136.] Прогрессивная оплата часто вводилась на участках, где это не вызывалось необходимостью, без учета степени важности работы. Надо отметить, что нормы выработки и системы оплаты труда изменялись столь многократно и зачастую хаотично, что начальники цехов, видимо, просто не успевали приводить систему оплаты труда в соответствие с ними. Рост плановых заданий, многосменные и сверхурочные работы вели к большому износу оборудования. С перебоями работала система охлаждения станков, и зачастую они функционировали и без нее. Вместо предохранителей использовались жучки из проволоки. Естественно, что часто происходили поломки. Согласно статистике механического цеха № 1 за 1935 г., в январе было 13 серьезных аварий станков, в феврале — 7, в марте — 13, в апреле — 16, в мае — 12, в июне — 21. Всего за полгода 82 аварии с выходом станков из строя. [39 — ГУ ЦАНО, Ф. 2491, Оп. 1, Д. 200, Л. 104.]. В 1936 г. в целях упорядочения производственного процесса проводились мероприятия по полному переводу завода на диспетчерскую систему управления. Первоначально создавались семь диспетчерских пунктов в ключевых точках производства. Была введена должность главного диспетчера завода (11741).</w:t>
      </w:r>
    </w:p>
    <w:p w14:paraId="22E055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34089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был изготовлен опытный образец колесно-гусеничного танка БТ-5 с 132 мм ракетной установкой, разработанный в РНИИ В.И.Александровым (9527,100).</w:t>
      </w:r>
    </w:p>
    <w:p w14:paraId="2DDE3EB5" w14:textId="77777777" w:rsidR="00D4105E" w:rsidRPr="00E14102" w:rsidRDefault="00D4105E" w:rsidP="00E14102">
      <w:pPr>
        <w:autoSpaceDE w:val="0"/>
        <w:autoSpaceDN w:val="0"/>
        <w:adjustRightInd w:val="0"/>
        <w:jc w:val="both"/>
        <w:rPr>
          <w:color w:val="000000" w:themeColor="text1"/>
          <w:sz w:val="16"/>
          <w:szCs w:val="16"/>
        </w:rPr>
      </w:pPr>
    </w:p>
    <w:p w14:paraId="421873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в ЗабВО в 6мб на базе двухбашенного Т-26 был разработан и изготовлен образец самоходного химического миномета ХМ-31 - МХТ-1, который летом прошел испытания и был рекомендован к принятию на вооружение (не было выполнено) (9527,182).</w:t>
      </w:r>
    </w:p>
    <w:p w14:paraId="3F06915C" w14:textId="77777777" w:rsidR="00D4105E" w:rsidRPr="00E14102" w:rsidRDefault="00D4105E" w:rsidP="00E14102">
      <w:pPr>
        <w:autoSpaceDE w:val="0"/>
        <w:autoSpaceDN w:val="0"/>
        <w:adjustRightInd w:val="0"/>
        <w:jc w:val="both"/>
        <w:rPr>
          <w:color w:val="000000" w:themeColor="text1"/>
          <w:sz w:val="16"/>
          <w:szCs w:val="16"/>
        </w:rPr>
      </w:pPr>
    </w:p>
    <w:p w14:paraId="7A0349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в НИО ВАММ М.В.Данченко, Ж.Я.Котин, П.В.Сивков разработали ТТТ к Т-26, приспособленному для использования в условиях принменения ОВ и для движения под водой (9527,182).</w:t>
      </w:r>
    </w:p>
    <w:p w14:paraId="6B2277E8" w14:textId="77777777" w:rsidR="00D4105E" w:rsidRPr="00E14102" w:rsidRDefault="00D4105E" w:rsidP="00E14102">
      <w:pPr>
        <w:autoSpaceDE w:val="0"/>
        <w:autoSpaceDN w:val="0"/>
        <w:adjustRightInd w:val="0"/>
        <w:jc w:val="both"/>
        <w:rPr>
          <w:color w:val="000000" w:themeColor="text1"/>
          <w:sz w:val="16"/>
          <w:szCs w:val="16"/>
        </w:rPr>
      </w:pPr>
    </w:p>
    <w:p w14:paraId="245EFA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Весной 1935 г. опытный образец танка Шитикова, получившего индекс Т-37Б, был готов. От Т-37А он отличался меньшими габаритами, массой 2700 кг (на взвешиваниях от 2620 до 2690 кг) и конической башней. Кроме того, засос воздуха для охлаждения двига</w:t>
      </w:r>
      <w:r w:rsidRPr="00E14102">
        <w:rPr>
          <w:color w:val="000000" w:themeColor="text1"/>
          <w:sz w:val="16"/>
          <w:szCs w:val="16"/>
        </w:rPr>
        <w:softHyphen/>
        <w:t>теля осуществлялся через отверстия в нижней части баш</w:t>
      </w:r>
      <w:r w:rsidRPr="00E14102">
        <w:rPr>
          <w:color w:val="000000" w:themeColor="text1"/>
          <w:sz w:val="16"/>
          <w:szCs w:val="16"/>
        </w:rPr>
        <w:softHyphen/>
        <w:t>ни, что, по мнению конструктора, должно было положи</w:t>
      </w:r>
      <w:r w:rsidRPr="00E14102">
        <w:rPr>
          <w:color w:val="000000" w:themeColor="text1"/>
          <w:sz w:val="16"/>
          <w:szCs w:val="16"/>
        </w:rPr>
        <w:softHyphen/>
        <w:t xml:space="preserve">тельно сказаться на безопасности системы охлаждения к возможности ее заливания водой. Экипаж танка состоял </w:t>
      </w:r>
      <w:r w:rsidRPr="00E14102">
        <w:rPr>
          <w:color w:val="000000" w:themeColor="text1"/>
          <w:sz w:val="16"/>
          <w:szCs w:val="16"/>
        </w:rPr>
        <w:lastRenderedPageBreak/>
        <w:t>из двух человек, которые рас</w:t>
      </w:r>
      <w:r w:rsidRPr="00E14102">
        <w:rPr>
          <w:color w:val="000000" w:themeColor="text1"/>
          <w:sz w:val="16"/>
          <w:szCs w:val="16"/>
        </w:rPr>
        <w:softHyphen/>
        <w:t>полагались «в затылок» в боевом отделении под башней. Для посадки и высадки экипажа применялся башенный люк. Механик-водитель влезал в танк первым, и его рабо</w:t>
      </w:r>
      <w:r w:rsidRPr="00E14102">
        <w:rPr>
          <w:color w:val="000000" w:themeColor="text1"/>
          <w:sz w:val="16"/>
          <w:szCs w:val="16"/>
        </w:rPr>
        <w:softHyphen/>
        <w:t>чее место находилось в корпусе, а наблюдательный лю</w:t>
      </w:r>
      <w:r w:rsidRPr="00E14102">
        <w:rPr>
          <w:color w:val="000000" w:themeColor="text1"/>
          <w:sz w:val="16"/>
          <w:szCs w:val="16"/>
        </w:rPr>
        <w:softHyphen/>
        <w:t>чок-пробка - в подбашенной коробке. Командир танка входил в танк последним, а покидал его первым, так как его рабочее место находилось в башне позади и вверху от</w:t>
      </w:r>
      <w:r w:rsidRPr="00E14102">
        <w:rPr>
          <w:color w:val="000000" w:themeColor="text1"/>
          <w:sz w:val="16"/>
          <w:szCs w:val="16"/>
        </w:rPr>
        <w:softHyphen/>
        <w:t>носительно механика-водителя. В случае гибели коман</w:t>
      </w:r>
      <w:r w:rsidRPr="00E14102">
        <w:rPr>
          <w:color w:val="000000" w:themeColor="text1"/>
          <w:sz w:val="16"/>
          <w:szCs w:val="16"/>
        </w:rPr>
        <w:softHyphen/>
        <w:t>дира танка механик-водитель оказывался замурованным на своем месте, так как вытащить командира и освободить путь себе он не мог. Башня танка имела большие размеры и изготавлива</w:t>
      </w:r>
      <w:r w:rsidRPr="00E14102">
        <w:rPr>
          <w:color w:val="000000" w:themeColor="text1"/>
          <w:sz w:val="16"/>
          <w:szCs w:val="16"/>
        </w:rPr>
        <w:softHyphen/>
        <w:t>лась штамповкой. По заданию она должна была иметь кру</w:t>
      </w:r>
      <w:r w:rsidRPr="00E14102">
        <w:rPr>
          <w:color w:val="000000" w:themeColor="text1"/>
          <w:sz w:val="16"/>
          <w:szCs w:val="16"/>
        </w:rPr>
        <w:softHyphen/>
        <w:t>говое вращение, однако в ходе испытаний выяснилось, что развернуть башню и вести огонь назад по ходу нельзя, так как особенности посадки экипажа мешали этому. Кроме того, во время испытаний были обнаружены многочисленные поломки МТО, затекание воды в люк во</w:t>
      </w:r>
      <w:r w:rsidRPr="00E14102">
        <w:rPr>
          <w:color w:val="000000" w:themeColor="text1"/>
          <w:sz w:val="16"/>
          <w:szCs w:val="16"/>
        </w:rPr>
        <w:softHyphen/>
        <w:t>дителя при сходе в воду и выходе из нее, спадание гусенич</w:t>
      </w:r>
      <w:r w:rsidRPr="00E14102">
        <w:rPr>
          <w:color w:val="000000" w:themeColor="text1"/>
          <w:sz w:val="16"/>
          <w:szCs w:val="16"/>
        </w:rPr>
        <w:softHyphen/>
        <w:t>ных цепей, недостаточная маневренность на воде, «недора</w:t>
      </w:r>
      <w:r w:rsidRPr="00E14102">
        <w:rPr>
          <w:color w:val="000000" w:themeColor="text1"/>
          <w:sz w:val="16"/>
          <w:szCs w:val="16"/>
        </w:rPr>
        <w:softHyphen/>
        <w:t>ботки конструкции ходовой части». Вскоре после испытаний Т-37Б П. Шитиков подал проект нового танка Т-37В, который отличался от Т-37Б задним расположением ведущего колеса, дальнейшим об</w:t>
      </w:r>
      <w:r w:rsidRPr="00E14102">
        <w:rPr>
          <w:color w:val="000000" w:themeColor="text1"/>
          <w:sz w:val="16"/>
          <w:szCs w:val="16"/>
        </w:rPr>
        <w:softHyphen/>
        <w:t>легчением конструкции, улучшением размещения членов экипажа, увеличением бензиновых баков (10733,297).</w:t>
      </w:r>
    </w:p>
    <w:p w14:paraId="6AC412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EF618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весне 1935 г. оба танка Т-43-1 (ОЗ Кирова) и Т-43-2 (завод № 37) были закончены сборкой и по</w:t>
      </w:r>
      <w:r w:rsidRPr="00E14102">
        <w:rPr>
          <w:color w:val="000000" w:themeColor="text1"/>
          <w:sz w:val="16"/>
          <w:szCs w:val="16"/>
        </w:rPr>
        <w:softHyphen/>
        <w:t>ступили на заводские испытания. Однако эти испытания не показали преимуществ какой-то их них. Оба танка показали себя ненадежными, они больше ремонтировались, нежели испытывались. У Т-43-1 выявились большие проблемы при движении на плаву, так как танк не мог нормально двигаться на воде с надетыми гусеничными цепями (скорость перемотки их для плавания со скоростью идущего человека соответствовала скорости движения танка на земле около 35 км/ч). При выходе из воды гусеничные цепи часто рвались и соскакивали.</w:t>
      </w:r>
    </w:p>
    <w:p w14:paraId="420775F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Танк же Т-43-2 испытывал большие проблемы с движением на колесном ходу. После завершения испытаний обоих Т-43 стало ясно, что эти машины не годятся для принятия на вооружение. В конце 1935 г. работы по колесно-гусеничным плавающим танкам Т-43 были окончательно прекращены (10733,293).</w:t>
      </w:r>
    </w:p>
    <w:p w14:paraId="33443F9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C488807" w14:textId="77777777" w:rsidR="00AD6AFA" w:rsidRPr="00E14102" w:rsidRDefault="00AD6AFA" w:rsidP="00E14102">
      <w:pPr>
        <w:widowControl w:val="0"/>
        <w:jc w:val="both"/>
        <w:rPr>
          <w:color w:val="000000" w:themeColor="text1"/>
          <w:sz w:val="16"/>
          <w:szCs w:val="16"/>
        </w:rPr>
      </w:pPr>
      <w:r w:rsidRPr="00E14102">
        <w:rPr>
          <w:color w:val="000000" w:themeColor="text1"/>
          <w:sz w:val="16"/>
          <w:szCs w:val="16"/>
        </w:rPr>
        <w:t>Весной 1935 года нарком тяжелой промышленности Серго Орджоникидзе принимал в Москве 100-тысячную машину автозавода. За рулем ее – комсомольский секретарь ГАЗа и одновременно райкома ВЛКСМ Виктор Сорокин. В беседе с наркомом Сорокин сказал, что можно дать автомобилей и моторов больше. Орджоникидзе предложил:</w:t>
      </w:r>
    </w:p>
    <w:p w14:paraId="65975E44" w14:textId="77777777" w:rsidR="00AD6AFA" w:rsidRPr="00E14102" w:rsidRDefault="00AD6AFA" w:rsidP="00E14102">
      <w:pPr>
        <w:widowControl w:val="0"/>
        <w:jc w:val="both"/>
        <w:rPr>
          <w:color w:val="000000" w:themeColor="text1"/>
          <w:sz w:val="16"/>
          <w:szCs w:val="16"/>
        </w:rPr>
      </w:pPr>
      <w:r w:rsidRPr="00E14102">
        <w:rPr>
          <w:color w:val="000000" w:themeColor="text1"/>
          <w:sz w:val="16"/>
          <w:szCs w:val="16"/>
        </w:rPr>
        <w:t>– Давайте заключим с вами договор: мы вам – Дворец культуры. А вы – производительность труда!</w:t>
      </w:r>
    </w:p>
    <w:p w14:paraId="7B083BDA" w14:textId="77777777" w:rsidR="00AD6AFA" w:rsidRPr="00E14102" w:rsidRDefault="00AD6AFA" w:rsidP="00E14102">
      <w:pPr>
        <w:widowControl w:val="0"/>
        <w:jc w:val="both"/>
        <w:rPr>
          <w:color w:val="000000" w:themeColor="text1"/>
          <w:sz w:val="16"/>
          <w:szCs w:val="16"/>
        </w:rPr>
      </w:pPr>
      <w:r w:rsidRPr="00E14102">
        <w:rPr>
          <w:color w:val="000000" w:themeColor="text1"/>
          <w:sz w:val="16"/>
          <w:szCs w:val="16"/>
        </w:rPr>
        <w:t>В конце мая 1935-го комсомольская организация ГАЗа вручила наркому обязательство – дать сверх плана 3000 машин и 6000 моторов (к концу года было выпущено 45 000 автомобилей).</w:t>
      </w:r>
    </w:p>
    <w:p w14:paraId="05ED22A5" w14:textId="77777777" w:rsidR="00AD6AFA" w:rsidRPr="00E14102" w:rsidRDefault="00AD6AFA" w:rsidP="00E14102">
      <w:pPr>
        <w:widowControl w:val="0"/>
        <w:jc w:val="both"/>
        <w:rPr>
          <w:color w:val="000000" w:themeColor="text1"/>
          <w:sz w:val="16"/>
          <w:szCs w:val="16"/>
        </w:rPr>
      </w:pPr>
      <w:r w:rsidRPr="00E14102">
        <w:rPr>
          <w:color w:val="000000" w:themeColor="text1"/>
          <w:sz w:val="16"/>
          <w:szCs w:val="16"/>
        </w:rPr>
        <w:t>Потом, когда уже Серго приедет в Горький, он спросит «лохматого комсомольца», как он называл Сорокина: «Ну что, получил Дворец?» «Деньги – да», ответил Виктор, но Дворца еще не видать». «Какой нетерпеливый! – удивился нарком. – Теперь уж от вас зависит этот Дворец построить».</w:t>
      </w:r>
    </w:p>
    <w:p w14:paraId="7556BE93" w14:textId="77777777" w:rsidR="00AD6AFA" w:rsidRPr="00E14102" w:rsidRDefault="00AD6AFA" w:rsidP="00E14102">
      <w:pPr>
        <w:widowControl w:val="0"/>
        <w:jc w:val="both"/>
        <w:rPr>
          <w:color w:val="000000" w:themeColor="text1"/>
          <w:sz w:val="16"/>
          <w:szCs w:val="16"/>
        </w:rPr>
      </w:pPr>
      <w:r w:rsidRPr="00E14102">
        <w:rPr>
          <w:color w:val="000000" w:themeColor="text1"/>
          <w:sz w:val="16"/>
          <w:szCs w:val="16"/>
        </w:rPr>
        <w:t>На Х съезде ВЛКСМ весной 1936 года кавалер ордена Ленина В.Л. Сорокин говорил: «Мы в подарок съезду сделали самолет с мотором «ГАЗ», который, по меткому выражению конструктора этого самолета товарища Агитова, должен сыграть такую роль в подготовке авиационных кадров, какую сыграла мелкокалиберная винтовка в подготовке стрелковых кадров. Этот самолет прошел все испытания. Второй подарок – двухцилиндровый мотор для авиации…» (15218).</w:t>
      </w:r>
    </w:p>
    <w:p w14:paraId="1BD9F4CE" w14:textId="77777777" w:rsidR="00AD6AFA" w:rsidRPr="00E14102" w:rsidRDefault="00AD6AFA" w:rsidP="00E14102">
      <w:pPr>
        <w:widowControl w:val="0"/>
        <w:jc w:val="both"/>
        <w:rPr>
          <w:color w:val="000000" w:themeColor="text1"/>
          <w:sz w:val="16"/>
          <w:szCs w:val="16"/>
        </w:rPr>
      </w:pPr>
    </w:p>
    <w:p w14:paraId="13914FCA"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Весной 1935 закончили собирать опытный образец мотоцикла Л-500, летом испытали, а в сентябре опубликовали технические сведения.</w:t>
      </w:r>
    </w:p>
    <w:p w14:paraId="48AEC0C3"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Раму Л-500 (такое название получила новая советская модель) собирали из трех отштампованных швеллеров, соединяя их болтами. Цилиндр верхнеклапанного двигателя расположили вертикально. Толкатели приводили в движение рокеры, а те — клапаны, установленные с наклоном 45°. Камеру сжатия выполнили полусферической, а рокерную коробку — из алюминия. Магнето приводилось в движение от одного из распределительных валов, генератор постоянного тока — через роликовую цепь велосипедного типа.</w:t>
      </w:r>
    </w:p>
    <w:p w14:paraId="7325E482"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Любопытной была система циркуляционной смазки. Масло из бачка закачивалось первой ступенью помпы в двигатель, затем стекало на дно картера, там его забирала вторая ступень помпы, прокачивала через фильтр и оттуда подавала вновь в бачок, после чего цикл повторялся. Вилка переднего колеса была параллелограммной, штампованной, с двумя фрикционными демпферами. Колеса сделали взаимозаменяемыми, причем переставить их можно было всего за одну-две минуты, при этом тормозной барабан и цепь не смещались, а значит, не требовалась их дополнительная регулировка.</w:t>
      </w:r>
    </w:p>
    <w:p w14:paraId="0FBC501B"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систему электрооборудования ввели все, что было нужно для того, чтобы сделать мотоцикл максимально удобным — зажигание от магнето, аккумулятор, питавший мощную переднюю фару, и подзаряжавшийся от генератора постоянного тока, реле-регулятор, задний фонарь и электросигнал.</w:t>
      </w:r>
    </w:p>
    <w:p w14:paraId="4659DF78"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Так получилось, что к началу испытаний не успели изготовить «персональный» карбюратор, поэтому Л-500 обкатывали с карбюратором от менее мощного Л-300. Естественно, сказалось его заниженное проходное сечение: машина не продемонстрировала тех качеств, на которые рассчитывали разработчики. В частности, максимальная скорость оказалась ниже расчетной примерно на 15—20 км/ч, хотя сам двигатель обладал достаточным резервом для форсирования...</w:t>
      </w:r>
    </w:p>
    <w:p w14:paraId="00DED943"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«Мотоцикл показал хорошие ходовые свойства,— писал спустя три десятилетия один из его создателей, В. В. Бекман,— но в серию не пошел, так как технологические возможности завода «Красный Октябрь» уже не соответствовали сложной конструкции этой машины».</w:t>
      </w:r>
    </w:p>
    <w:p w14:paraId="00418A94"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Помешало внедрению Л-500 и освоение на Таганрогском инструментальном заводе серийного выпуска ТИЗ-АМ-600. Кстати, появление новой ленинградской машины неожиданным образом сказалось на творчестве таганрожцев — они сочли целесообразным перейти на двигатель меньшего рабочего объема и в 1940 году создали свою «пятисотку», технические характеристики которой были весьма близки к Л-500.</w:t>
      </w:r>
    </w:p>
    <w:p w14:paraId="6D6DFBD2"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Что же касается ленинградцев, то они, используя некоторые конструктивные решения, примененные на опытном мотоцикле, вскоре спроектировали машину, оснащенную двигателем с рабочим объемом 350 см3, но о ней речь пойдет в следующем выпуске «Исторической серии».</w:t>
      </w:r>
    </w:p>
    <w:p w14:paraId="2F62AB80"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истории отечественного мотоцик-лостроения Л-500 сыграл роль своеобразного катализатора работ по созданию серийного мотоцикла с одноцилиндровым четырехтактным двигателем. Вот только сам он, к величайшему сожалению, не сохранился...(11396).</w:t>
      </w:r>
    </w:p>
    <w:p w14:paraId="775A1368" w14:textId="77777777" w:rsidR="00D4105E" w:rsidRPr="00E14102" w:rsidRDefault="00D4105E" w:rsidP="00E14102">
      <w:pPr>
        <w:widowControl w:val="0"/>
        <w:autoSpaceDE w:val="0"/>
        <w:autoSpaceDN w:val="0"/>
        <w:adjustRightInd w:val="0"/>
        <w:jc w:val="both"/>
        <w:rPr>
          <w:color w:val="000000" w:themeColor="text1"/>
          <w:sz w:val="16"/>
          <w:szCs w:val="16"/>
        </w:rPr>
      </w:pPr>
    </w:p>
    <w:p w14:paraId="55A768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г. в лаборатории Б. К. Шембеля в ЛЭФИ были проведены важные работы, позволившие создать экспериментальную установку радиообнаружения для зенитной артиллерии. К ним относились: новые магнетроны с четырехсегментными анодами, отдававшими в антенну мощность более 10 Вт при волне 21–29 см. Разработанные в 1934 г. в ЛЭФИ и в ЦРЛ двухсегментные магнетроны работали неустойчиво, и от них пришлось отказаться. Успех новых магнетронов в значительной степени определился качеством их изготовления в электровакуумной мастерской института, возглавлявшейся М. Д. Гуревичем (младшим) (11026).</w:t>
      </w:r>
    </w:p>
    <w:p w14:paraId="1267A445" w14:textId="77777777" w:rsidR="00D4105E" w:rsidRPr="00E14102" w:rsidRDefault="00D4105E" w:rsidP="00E14102">
      <w:pPr>
        <w:autoSpaceDE w:val="0"/>
        <w:autoSpaceDN w:val="0"/>
        <w:adjustRightInd w:val="0"/>
        <w:jc w:val="both"/>
        <w:rPr>
          <w:color w:val="000000" w:themeColor="text1"/>
          <w:sz w:val="16"/>
          <w:szCs w:val="16"/>
        </w:rPr>
      </w:pPr>
    </w:p>
    <w:p w14:paraId="2D15A2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1935 года специалисты Севастопольского отряда ЭПРОН под руководством Н. Максимца с глубины 59 метров ступенчатым методом подняли подводную лодку "Кит" (водоизмещением 620 т), а осенью подводный минный заградитель "Краб" (водоизмещение 560 т). При буксировке "Краба" на второй ступени он зацепился на глубине 48 метров за затонувший болгарский пароход "Борис" (водоизмещение 1600 т). Судно лежало на каменистом грунте, что исключало промывку тоннелей под ним. По предложению главного инженера ЭПРОН В. Ф. Кюнстлера к корпусу "Бориса" подводной электросваркой приварили проушины, и подняли судно с помощью четырех понтонов, закрепленных поперек судна над его палубой (11630).</w:t>
      </w:r>
    </w:p>
    <w:p w14:paraId="3202A593" w14:textId="77777777" w:rsidR="00D4105E" w:rsidRPr="00E14102" w:rsidRDefault="00D4105E" w:rsidP="00E14102">
      <w:pPr>
        <w:autoSpaceDE w:val="0"/>
        <w:autoSpaceDN w:val="0"/>
        <w:adjustRightInd w:val="0"/>
        <w:jc w:val="both"/>
        <w:rPr>
          <w:color w:val="000000" w:themeColor="text1"/>
          <w:sz w:val="16"/>
          <w:szCs w:val="16"/>
        </w:rPr>
      </w:pPr>
    </w:p>
    <w:p w14:paraId="2A96BF70" w14:textId="77777777" w:rsidR="00AD6AF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743AE6A7" w14:textId="77777777" w:rsidR="00AD6AFA" w:rsidRPr="00E14102" w:rsidRDefault="00AD6AFA" w:rsidP="00E14102">
      <w:pPr>
        <w:autoSpaceDE w:val="0"/>
        <w:autoSpaceDN w:val="0"/>
        <w:adjustRightInd w:val="0"/>
        <w:jc w:val="both"/>
        <w:rPr>
          <w:iCs/>
          <w:color w:val="000000" w:themeColor="text1"/>
          <w:sz w:val="16"/>
          <w:szCs w:val="16"/>
        </w:rPr>
      </w:pPr>
    </w:p>
    <w:p w14:paraId="12AF9300" w14:textId="77777777" w:rsidR="00AD6AFA" w:rsidRPr="00E14102" w:rsidRDefault="00AD6AFA" w:rsidP="00E14102">
      <w:pPr>
        <w:jc w:val="both"/>
        <w:rPr>
          <w:color w:val="000000" w:themeColor="text1"/>
          <w:sz w:val="16"/>
          <w:szCs w:val="16"/>
        </w:rPr>
      </w:pPr>
      <w:r w:rsidRPr="00E14102">
        <w:rPr>
          <w:color w:val="000000" w:themeColor="text1"/>
          <w:sz w:val="16"/>
          <w:szCs w:val="16"/>
        </w:rPr>
        <w:t>Весной 1935 г. лётчики её 6-й лбаэ обладали такой техникой пилотирования, что не могли правильно рассчитать посадку и, приземляясь 22 апреля на московском Центральном аэродроме (куда бригада прилетела для участия в первомайском параде), заходили на неё по не</w:t>
      </w:r>
      <w:r w:rsidRPr="00E14102">
        <w:rPr>
          <w:color w:val="000000" w:themeColor="text1"/>
          <w:sz w:val="16"/>
          <w:szCs w:val="16"/>
        </w:rPr>
        <w:softHyphen/>
        <w:t xml:space="preserve">скольку раз. 27 апреля 1936 г. большинство садившихся на тот же аэродром витебских </w:t>
      </w:r>
      <w:r w:rsidRPr="00E14102">
        <w:rPr>
          <w:rStyle w:val="0pt0"/>
          <w:rFonts w:eastAsia="Arial"/>
          <w:b w:val="0"/>
          <w:color w:val="000000" w:themeColor="text1"/>
          <w:spacing w:val="0"/>
          <w:sz w:val="16"/>
          <w:szCs w:val="16"/>
        </w:rPr>
        <w:t>Р-5</w:t>
      </w:r>
      <w:r w:rsidRPr="00E14102">
        <w:rPr>
          <w:color w:val="000000" w:themeColor="text1"/>
          <w:sz w:val="16"/>
          <w:szCs w:val="16"/>
        </w:rPr>
        <w:t xml:space="preserve"> садились за ограничитель, а 15 из 84 машин ушли на второй круг. Однако командир бригады — будущий герой Испании и начальник УВВС Красной Армии комбриг Я.В. Смушкевич, — борясь за первенство в ВВС РККА, заставлял отрабатывать групповую слётан</w:t>
      </w:r>
      <w:r w:rsidRPr="00E14102">
        <w:rPr>
          <w:color w:val="000000" w:themeColor="text1"/>
          <w:sz w:val="16"/>
          <w:szCs w:val="16"/>
        </w:rPr>
        <w:softHyphen/>
        <w:t>ность, не добившись предварительно должной отработки индивидуальной техники пилотирования, и тренироваться в полетах эскадрильей, не отработав полёты в составе звена и отряда.</w:t>
      </w:r>
    </w:p>
    <w:p w14:paraId="74A72410" w14:textId="77777777" w:rsidR="00AD6AFA" w:rsidRPr="00E14102" w:rsidRDefault="00AD6AFA" w:rsidP="00E14102">
      <w:pPr>
        <w:jc w:val="both"/>
        <w:rPr>
          <w:color w:val="000000" w:themeColor="text1"/>
          <w:sz w:val="16"/>
          <w:szCs w:val="16"/>
        </w:rPr>
      </w:pPr>
      <w:r w:rsidRPr="00E14102">
        <w:rPr>
          <w:color w:val="000000" w:themeColor="text1"/>
          <w:sz w:val="16"/>
          <w:szCs w:val="16"/>
        </w:rPr>
        <w:t>Следствием этих (как весьма точно квалифицировали их особисты) «левацких заги</w:t>
      </w:r>
      <w:r w:rsidRPr="00E14102">
        <w:rPr>
          <w:color w:val="000000" w:themeColor="text1"/>
          <w:sz w:val="16"/>
          <w:szCs w:val="16"/>
        </w:rPr>
        <w:softHyphen/>
        <w:t>бов» стали аварии или катастрофы 12 из примерно 90 готовившихся к первомайскому параду 1936 г. в Москве витебских Р-5 и вскрывшаяся в конце апреля 1936 г. на пер</w:t>
      </w:r>
      <w:r w:rsidRPr="00E14102">
        <w:rPr>
          <w:color w:val="000000" w:themeColor="text1"/>
          <w:sz w:val="16"/>
          <w:szCs w:val="16"/>
        </w:rPr>
        <w:softHyphen/>
        <w:t>вомайском авиационном слете ВВС РККА плохая групповая слётанность бригады</w:t>
      </w:r>
      <w:r w:rsidRPr="00E14102">
        <w:rPr>
          <w:color w:val="000000" w:themeColor="text1"/>
          <w:sz w:val="16"/>
          <w:szCs w:val="16"/>
          <w:vertAlign w:val="superscript"/>
        </w:rPr>
        <w:t>39</w:t>
      </w:r>
      <w:r w:rsidRPr="00E14102">
        <w:rPr>
          <w:color w:val="000000" w:themeColor="text1"/>
          <w:sz w:val="16"/>
          <w:szCs w:val="16"/>
        </w:rPr>
        <w:t>... Судя по тому, что прилетевшие в сентябре 1936 г. на маневры Московского военного округа штурмовые части Киевской абр предъявляли чрезмерные требования к аэро</w:t>
      </w:r>
      <w:r w:rsidRPr="00E14102">
        <w:rPr>
          <w:color w:val="000000" w:themeColor="text1"/>
          <w:sz w:val="16"/>
          <w:szCs w:val="16"/>
        </w:rPr>
        <w:softHyphen/>
        <w:t>дромам, производить расчёт на посадку пилоты Р-5 и ССС плохо умели тогда и в КВО а в Витебской бригаде так было ещё и в первой половине 1937 г. (когда соединени</w:t>
      </w:r>
      <w:r w:rsidRPr="00E14102">
        <w:rPr>
          <w:color w:val="000000" w:themeColor="text1"/>
          <w:sz w:val="16"/>
          <w:szCs w:val="16"/>
        </w:rPr>
        <w:softHyphen/>
        <w:t>ем командовал уже полковник А.Ф. Курочкин). Больше того, при Курочкине часть пило</w:t>
      </w:r>
      <w:r w:rsidRPr="00E14102">
        <w:rPr>
          <w:color w:val="000000" w:themeColor="text1"/>
          <w:sz w:val="16"/>
          <w:szCs w:val="16"/>
        </w:rPr>
        <w:softHyphen/>
        <w:t>тов не умела и выдерживать направление при взлёте и посадке...(15803).</w:t>
      </w:r>
    </w:p>
    <w:p w14:paraId="4B1F7B70" w14:textId="77777777" w:rsidR="00AD6AFA" w:rsidRPr="00E14102" w:rsidRDefault="00AD6AFA" w:rsidP="00E14102">
      <w:pPr>
        <w:jc w:val="both"/>
        <w:rPr>
          <w:color w:val="000000" w:themeColor="text1"/>
          <w:sz w:val="16"/>
          <w:szCs w:val="16"/>
        </w:rPr>
      </w:pPr>
    </w:p>
    <w:p w14:paraId="11CF5AD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ADBE9AD" w14:textId="77777777" w:rsidR="00D4105E" w:rsidRPr="00E14102" w:rsidRDefault="00D4105E" w:rsidP="00E14102">
      <w:pPr>
        <w:autoSpaceDE w:val="0"/>
        <w:autoSpaceDN w:val="0"/>
        <w:adjustRightInd w:val="0"/>
        <w:jc w:val="both"/>
        <w:rPr>
          <w:iCs/>
          <w:color w:val="000000" w:themeColor="text1"/>
          <w:sz w:val="16"/>
          <w:szCs w:val="16"/>
        </w:rPr>
      </w:pPr>
    </w:p>
    <w:p w14:paraId="41A085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весны-лета 1935 г. франко-британские отношения вступили в полосу своеобразного вяло текущего кризиса доверия. Характерное для первых послевоенных лет франко-британское партнерство было сведено к более или менее ограниченным параллельным акциям (3871).</w:t>
      </w:r>
    </w:p>
    <w:p w14:paraId="46272461" w14:textId="77777777" w:rsidR="00D4105E" w:rsidRPr="00E14102" w:rsidRDefault="00D4105E" w:rsidP="00E14102">
      <w:pPr>
        <w:autoSpaceDE w:val="0"/>
        <w:autoSpaceDN w:val="0"/>
        <w:adjustRightInd w:val="0"/>
        <w:jc w:val="both"/>
        <w:rPr>
          <w:color w:val="000000" w:themeColor="text1"/>
          <w:sz w:val="16"/>
          <w:szCs w:val="16"/>
        </w:rPr>
      </w:pPr>
    </w:p>
    <w:p w14:paraId="66AB80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данным, оглашённым в английском парламенте весной 1935 года, Германия заказала в США части для 3 тыс. авиационных моторов, которые должны были устанавливаться на военных самолётах.</w:t>
      </w:r>
    </w:p>
    <w:p w14:paraId="5C73FB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 xml:space="preserve">После прихода Гитлера к власти поставки самолётов и моторов из Соединённых Штатов в Германию начали резко возрастать. По данным комиссии Конгресса США под председательством Ная, расследовавшей деятельность военных фирм, сумма экспорта американских самолётов и моторов в Германию увеличивалась следующим образом: </w:t>
      </w:r>
    </w:p>
    <w:p w14:paraId="687FC1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1931 год — 2 тыс. долл.; </w:t>
      </w:r>
    </w:p>
    <w:p w14:paraId="083248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1932 год — 6 тыс. долл.; </w:t>
      </w:r>
    </w:p>
    <w:p w14:paraId="0C2541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1933 год — 272 тыс. долл.; </w:t>
      </w:r>
    </w:p>
    <w:p w14:paraId="0C4556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 (по 31 августа) — 1445 тыс. долл. (11208).</w:t>
      </w:r>
    </w:p>
    <w:p w14:paraId="5B15FCF8" w14:textId="77777777" w:rsidR="00D4105E" w:rsidRPr="00E14102" w:rsidRDefault="00D4105E" w:rsidP="00E14102">
      <w:pPr>
        <w:autoSpaceDE w:val="0"/>
        <w:autoSpaceDN w:val="0"/>
        <w:adjustRightInd w:val="0"/>
        <w:jc w:val="both"/>
        <w:rPr>
          <w:color w:val="000000" w:themeColor="text1"/>
          <w:sz w:val="16"/>
          <w:szCs w:val="16"/>
        </w:rPr>
      </w:pPr>
    </w:p>
    <w:p w14:paraId="75969433" w14:textId="77777777" w:rsidR="008437C2" w:rsidRPr="00E14102" w:rsidRDefault="008437C2" w:rsidP="00E14102">
      <w:pPr>
        <w:jc w:val="both"/>
        <w:rPr>
          <w:color w:val="000000" w:themeColor="text1"/>
          <w:sz w:val="16"/>
          <w:szCs w:val="16"/>
        </w:rPr>
      </w:pPr>
      <w:r w:rsidRPr="00E14102">
        <w:rPr>
          <w:color w:val="000000" w:themeColor="text1"/>
          <w:sz w:val="16"/>
          <w:szCs w:val="16"/>
        </w:rPr>
        <w:t>Весной 1935 года по данным, оглашённым в английском парламенте, Германия заказала в США части для 3 тыс. авиационных моторов, которые должны были устанавливаться на военных самолётах [524].</w:t>
      </w:r>
    </w:p>
    <w:p w14:paraId="2CC06E20" w14:textId="77777777" w:rsidR="008437C2" w:rsidRPr="00E14102" w:rsidRDefault="008437C2" w:rsidP="00E14102">
      <w:pPr>
        <w:jc w:val="both"/>
        <w:rPr>
          <w:color w:val="000000" w:themeColor="text1"/>
          <w:sz w:val="16"/>
          <w:szCs w:val="16"/>
        </w:rPr>
      </w:pPr>
      <w:r w:rsidRPr="00E14102">
        <w:rPr>
          <w:color w:val="000000" w:themeColor="text1"/>
          <w:sz w:val="16"/>
          <w:szCs w:val="16"/>
        </w:rPr>
        <w:t>Ведущая роль в американских поставках принадлежала «Юнайтед эйркрафт корпорейшн» («United Aircraft Corporation») и её филиалу -- «Пратт энд Уитни компани» («Pratt amp; Whitney Company»). Так, в марте 1934 года Баварским моторостроительным заводам (БМВ) были проданы 420 американских моторов «Хорнет-Д». Усиленно снабжали Германию авиационным оборудованием и другие крупные американские компании -- «Кэртисс Райт», «Сперри гироскоп», «Дуглас» и прочие [525].</w:t>
      </w:r>
    </w:p>
    <w:p w14:paraId="6D4D965E" w14:textId="77777777" w:rsidR="008437C2" w:rsidRPr="00E14102" w:rsidRDefault="008437C2" w:rsidP="00E14102">
      <w:pPr>
        <w:jc w:val="both"/>
        <w:rPr>
          <w:color w:val="000000" w:themeColor="text1"/>
          <w:sz w:val="16"/>
          <w:szCs w:val="16"/>
        </w:rPr>
      </w:pPr>
      <w:r w:rsidRPr="00E14102">
        <w:rPr>
          <w:color w:val="000000" w:themeColor="text1"/>
          <w:sz w:val="16"/>
          <w:szCs w:val="16"/>
        </w:rPr>
        <w:t>Помимо готовой продукции, германские фирмы приобретали в США лицензии на производство авиамоторов новейших типов. Например, в феврале 1933 года «Пратт энд Уитни компани» предоставила БМВ лицензию на производство мотора «Хорнет-Д» [526].</w:t>
      </w:r>
    </w:p>
    <w:p w14:paraId="548E7EB2" w14:textId="77777777" w:rsidR="008437C2" w:rsidRPr="00E14102" w:rsidRDefault="008437C2" w:rsidP="00E14102">
      <w:pPr>
        <w:jc w:val="both"/>
        <w:rPr>
          <w:color w:val="000000" w:themeColor="text1"/>
          <w:sz w:val="16"/>
          <w:szCs w:val="16"/>
        </w:rPr>
      </w:pPr>
      <w:r w:rsidRPr="00E14102">
        <w:rPr>
          <w:color w:val="000000" w:themeColor="text1"/>
          <w:sz w:val="16"/>
          <w:szCs w:val="16"/>
        </w:rPr>
        <w:t>В результате в 1935 году из 28 типов германских военных самолётов 11 были оснащены английскими и американскими моторами фирм «Роллс-Ройс», «Армстронг-Сидли», «Пратт энд Уитни» и других [527] (18279).</w:t>
      </w:r>
    </w:p>
    <w:p w14:paraId="799F57E4" w14:textId="77777777" w:rsidR="008437C2" w:rsidRPr="00E14102" w:rsidRDefault="008437C2" w:rsidP="00E14102">
      <w:pPr>
        <w:jc w:val="both"/>
        <w:rPr>
          <w:color w:val="000000" w:themeColor="text1"/>
          <w:sz w:val="16"/>
          <w:szCs w:val="16"/>
        </w:rPr>
      </w:pPr>
    </w:p>
    <w:p w14:paraId="70FBAEE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270BAB2" w14:textId="77777777" w:rsidR="00D4105E" w:rsidRPr="00E14102" w:rsidRDefault="00D4105E" w:rsidP="00E14102">
      <w:pPr>
        <w:autoSpaceDE w:val="0"/>
        <w:autoSpaceDN w:val="0"/>
        <w:adjustRightInd w:val="0"/>
        <w:jc w:val="both"/>
        <w:rPr>
          <w:iCs/>
          <w:color w:val="000000" w:themeColor="text1"/>
          <w:sz w:val="16"/>
          <w:szCs w:val="16"/>
        </w:rPr>
      </w:pPr>
    </w:p>
    <w:p w14:paraId="39B6E0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июню 1935 были закончены заводские испытания СПЛ-1 в Севастополе (1076,901).</w:t>
      </w:r>
    </w:p>
    <w:p w14:paraId="37D93EC2" w14:textId="77777777" w:rsidR="00D4105E" w:rsidRPr="00E14102" w:rsidRDefault="00D4105E" w:rsidP="00E14102">
      <w:pPr>
        <w:autoSpaceDE w:val="0"/>
        <w:autoSpaceDN w:val="0"/>
        <w:adjustRightInd w:val="0"/>
        <w:jc w:val="both"/>
        <w:rPr>
          <w:color w:val="000000" w:themeColor="text1"/>
          <w:sz w:val="16"/>
          <w:szCs w:val="16"/>
        </w:rPr>
      </w:pPr>
    </w:p>
    <w:p w14:paraId="565D118A" w14:textId="2400E685" w:rsidR="00381125" w:rsidRPr="00E14102" w:rsidRDefault="00381125" w:rsidP="00E14102">
      <w:pPr>
        <w:pStyle w:val="631"/>
        <w:shd w:val="clear" w:color="auto" w:fill="auto"/>
        <w:spacing w:line="240" w:lineRule="auto"/>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rPr>
        <w:t>К июню 1935 полностью удалось выполнить только первый этап испытаний автожира А-7, что не поме</w:t>
      </w:r>
      <w:r w:rsidRPr="00E14102">
        <w:rPr>
          <w:rFonts w:ascii="Times New Roman" w:hAnsi="Times New Roman" w:cs="Times New Roman"/>
          <w:color w:val="0070C0"/>
          <w:sz w:val="16"/>
          <w:szCs w:val="16"/>
        </w:rPr>
        <w:softHyphen/>
        <w:t>шало продемонстрировать автожир на авиа</w:t>
      </w:r>
      <w:r w:rsidRPr="00E14102">
        <w:rPr>
          <w:rFonts w:ascii="Times New Roman" w:hAnsi="Times New Roman" w:cs="Times New Roman"/>
          <w:color w:val="0070C0"/>
          <w:sz w:val="16"/>
          <w:szCs w:val="16"/>
        </w:rPr>
        <w:softHyphen/>
        <w:t>ционном параде 18 августа под управлением К.К. Попова, а также выполнить в сентябре шесть полетов на артиллерийских испыта</w:t>
      </w:r>
      <w:r w:rsidRPr="00E14102">
        <w:rPr>
          <w:rFonts w:ascii="Times New Roman" w:hAnsi="Times New Roman" w:cs="Times New Roman"/>
          <w:color w:val="0070C0"/>
          <w:sz w:val="16"/>
          <w:szCs w:val="16"/>
        </w:rPr>
        <w:softHyphen/>
        <w:t>ниях в районе станции Фруктовая современ</w:t>
      </w:r>
      <w:r w:rsidRPr="00E14102">
        <w:rPr>
          <w:rFonts w:ascii="Times New Roman" w:hAnsi="Times New Roman" w:cs="Times New Roman"/>
          <w:color w:val="0070C0"/>
          <w:sz w:val="16"/>
          <w:szCs w:val="16"/>
        </w:rPr>
        <w:softHyphen/>
        <w:t>ного Луховицкого района, где кроме А-7 летал и автожир С-30, прибывший из Англии летом того же года. В ходе испытаний облик автожира несколько изменился. Добавились маслорадиатор с правого борта, весовые компенсаторы рулей высоты, дополнитель</w:t>
      </w:r>
      <w:r w:rsidRPr="00E14102">
        <w:rPr>
          <w:rFonts w:ascii="Times New Roman" w:hAnsi="Times New Roman" w:cs="Times New Roman"/>
          <w:color w:val="0070C0"/>
          <w:sz w:val="16"/>
          <w:szCs w:val="16"/>
        </w:rPr>
        <w:softHyphen/>
        <w:t>ные жалюзи охлаждения слева в передней части фюзеляжа, отгибная пластина на руле направления (19868).</w:t>
      </w:r>
    </w:p>
    <w:p w14:paraId="4B76B4BF" w14:textId="77777777" w:rsidR="00381125" w:rsidRPr="00E14102" w:rsidRDefault="00381125" w:rsidP="00E14102">
      <w:pPr>
        <w:pStyle w:val="631"/>
        <w:shd w:val="clear" w:color="auto" w:fill="auto"/>
        <w:spacing w:line="240" w:lineRule="auto"/>
        <w:jc w:val="both"/>
        <w:rPr>
          <w:rFonts w:ascii="Times New Roman" w:hAnsi="Times New Roman" w:cs="Times New Roman"/>
          <w:color w:val="0070C0"/>
          <w:sz w:val="16"/>
          <w:szCs w:val="16"/>
        </w:rPr>
      </w:pPr>
    </w:p>
    <w:p w14:paraId="24495F8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DE1DF8F" w14:textId="77777777" w:rsidR="00D4105E" w:rsidRPr="00E14102" w:rsidRDefault="00D4105E" w:rsidP="00E14102">
      <w:pPr>
        <w:autoSpaceDE w:val="0"/>
        <w:autoSpaceDN w:val="0"/>
        <w:adjustRightInd w:val="0"/>
        <w:jc w:val="both"/>
        <w:rPr>
          <w:iCs/>
          <w:color w:val="000000" w:themeColor="text1"/>
          <w:sz w:val="16"/>
          <w:szCs w:val="16"/>
        </w:rPr>
      </w:pPr>
    </w:p>
    <w:p w14:paraId="4D4A48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июню 1935 на танкоремонтном заводе 48 была закончена сборка БТ-ИС Цыганова. Все лето и осень ушли на испытания и доработки (3879,24).</w:t>
      </w:r>
    </w:p>
    <w:p w14:paraId="35DC1C4A" w14:textId="77777777" w:rsidR="00D4105E" w:rsidRPr="00E14102" w:rsidRDefault="00D4105E" w:rsidP="00E14102">
      <w:pPr>
        <w:autoSpaceDE w:val="0"/>
        <w:autoSpaceDN w:val="0"/>
        <w:adjustRightInd w:val="0"/>
        <w:jc w:val="both"/>
        <w:rPr>
          <w:color w:val="000000" w:themeColor="text1"/>
          <w:sz w:val="16"/>
          <w:szCs w:val="16"/>
        </w:rPr>
      </w:pPr>
    </w:p>
    <w:p w14:paraId="583610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июню 1935 г. три сборочных бригады под руководством Орла, Богуславского и Данченко в сжатые сроки осуществили монтаж опытного танка БТ-2-ИС. В отличие от серийного танка БТ-2, опытный образец отличался прежде всего, отсутствием вооружения, измененной конструкцией корпуса и установкой нового дополнительного привода на вторую, третью и четвертую пары опорных катков, являвшихся ведущими при движении танка на колесном ходу. Первая пара опорных катков, как и на серийной машине, была управляемой. Подвод крутящего момента к трем парам ведущих колес колесного хода осуществлялся от бортовых редукторов через полужесткую зубчатую муфту к валу угловой коробки и через муфту на промежуточный валик и вторую муфту к валу первой верхней коробки. От верхней коробки крутящий момент передавался последовательно ко второй и третьей верхним коробкам. От верхних коробок через телескопические карданные валы крутящий момент передавался к колесным редукторам опорных катков. В результате установки дополнительного привода в межбортовом пространстве, а также дополнительного топливного бака в корме танка, корпус машины претерпел некоторые изменения. Кроме того, была введена бронировка дополнительного привода. Помимо дополнительного привода в межбортовом пространстве были установлены дополнительные топливные баки (по одному с каждой стороны). В ходовой части машины были изменены балансиры опорных катков, элементы подвески и ведущие колеса гусеничного движителя. Все лето и осень ушли на испытания и доработку опытной машины. О достигнутых положительных результатах, полученных во время испытаний БТ-2-ИС, 15 ноября 1935 г. было доложено Наркому Обороны. Вскоре К.Е. Ворошилов и Г.К. Орджоникидзе подписали совместный приказ, обязывающий руководство ХПЗ оказать всемерную помощь группе Цыганова в дальнейшем проведении работ по усовершенствованию колесно-гусеничного хода танка БТ. И если «консервативные» военные всячески поддерживали идею Н.Ф.Цыганова, то, как показал ход дальнейших событий, руководство ХПЗ осталось, мягко говоря, равнодушным к ней. Ведь кому нужна была «чужая головная боль». Но это уже другая история, связанная в основном с созданием танков БТ-5-ИС и БТ-СВ. Нам же остается лишь констатировать, что танк БТ-2-ИС по сравнению с базовыми танками обладал более высокой маневренностью при движении на колесах и повышенной живучестью на поле боя при повреждениях ходовой части, однако надежность привода к колесам еще была низка. Танк БТ-2-ИС был изготовлен в единственном экземпляре (11715).</w:t>
      </w:r>
    </w:p>
    <w:p w14:paraId="2D18AC7A" w14:textId="77777777" w:rsidR="00D4105E" w:rsidRPr="00E14102" w:rsidRDefault="00D4105E" w:rsidP="00E14102">
      <w:pPr>
        <w:autoSpaceDE w:val="0"/>
        <w:autoSpaceDN w:val="0"/>
        <w:adjustRightInd w:val="0"/>
        <w:jc w:val="both"/>
        <w:rPr>
          <w:color w:val="000000" w:themeColor="text1"/>
          <w:sz w:val="16"/>
          <w:szCs w:val="16"/>
        </w:rPr>
      </w:pPr>
    </w:p>
    <w:p w14:paraId="269D9B64" w14:textId="77777777" w:rsidR="00DA70F3" w:rsidRPr="00E14102" w:rsidRDefault="00DA70F3" w:rsidP="00E14102">
      <w:pPr>
        <w:jc w:val="both"/>
        <w:rPr>
          <w:color w:val="000000" w:themeColor="text1"/>
          <w:sz w:val="16"/>
          <w:szCs w:val="16"/>
        </w:rPr>
      </w:pPr>
      <w:r w:rsidRPr="00E14102">
        <w:rPr>
          <w:color w:val="000000" w:themeColor="text1"/>
          <w:sz w:val="16"/>
          <w:szCs w:val="16"/>
        </w:rPr>
        <w:t>К июню 1935 года опытный образец БТ-ИС (на базе БТ-2) собрали на ремонтном заводе № 48 под Харьковом. В течение нескольких месяцев велись интенсивные испытания нового танка. Они показали, что по сравнению с серийными БТ машина обладает более высокой маневренностью на колесном ходу сохраняет подвижность при потере одного иди даже двух катков. Правда, надежность работы приводов колесного хода оставляла желать лучшего (12217).</w:t>
      </w:r>
    </w:p>
    <w:p w14:paraId="075F015B" w14:textId="77777777" w:rsidR="00DA70F3" w:rsidRPr="00E14102" w:rsidRDefault="00DA70F3" w:rsidP="00E14102">
      <w:pPr>
        <w:jc w:val="both"/>
        <w:rPr>
          <w:color w:val="000000" w:themeColor="text1"/>
          <w:sz w:val="16"/>
          <w:szCs w:val="16"/>
        </w:rPr>
      </w:pPr>
    </w:p>
    <w:p w14:paraId="62C3B21C" w14:textId="77777777" w:rsidR="00E473A5" w:rsidRPr="00E14102" w:rsidRDefault="00E473A5"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К началу июня 1935 года опытный образец АТ-1, который изготовили по наряду №1006 (согласно договору с Артиллерийским управлением №102471, пункт 2) собрали и подготовили к заводским испытаниям. При этом возникла некоторая задержка по оплате заказа, поскольку завод не выполнил обязательства по исправлению части чертежей. Это оказалось связано с перегрузкой по работе конструкторского бюро завода №185.</w:t>
      </w:r>
    </w:p>
    <w:p w14:paraId="0894C2E7" w14:textId="77777777" w:rsidR="00E473A5" w:rsidRPr="00E14102" w:rsidRDefault="00E473A5"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Имелись и некоторые отступления от первоначальных требований. Боковые пулемётные гнезда для стрельбы из запасного пулемёта ДТ вместо броневой стали изготовили из конструкционной, поскольку возникла проблема по кооперации со смежниками. Вместо усиленных рессор подвески на опытный образец поставили штатные рессоры Т-26 (дело в том, что с 1934 года они и так были усилены). Также в переписке довольно много внимания уделили установке гильзоулавливателя, с которым имелись некоторые проблемы. Как и предполагалось по проекту, боекомплект составил 41 патрон калибра 76 мм — по крайней мере, именно столько гнёзд имелось в укладках. Другой вопрос, что при попытке поставить 41-й патрон в укладку он задевал за маховик поворотного механизма и не доходил до своего гнезда. Наконец, при изготовлении пришлось делать некоторые отступления от утверждённых чертежей (19671).</w:t>
      </w:r>
    </w:p>
    <w:p w14:paraId="4E05CC84" w14:textId="77777777" w:rsidR="00E473A5" w:rsidRPr="00E14102" w:rsidRDefault="00E473A5"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4F83D16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F06048A" w14:textId="77777777" w:rsidR="00D4105E" w:rsidRPr="00E14102" w:rsidRDefault="00D4105E" w:rsidP="00E14102">
      <w:pPr>
        <w:autoSpaceDE w:val="0"/>
        <w:autoSpaceDN w:val="0"/>
        <w:adjustRightInd w:val="0"/>
        <w:jc w:val="both"/>
        <w:rPr>
          <w:iCs/>
          <w:color w:val="000000" w:themeColor="text1"/>
          <w:sz w:val="16"/>
          <w:szCs w:val="16"/>
        </w:rPr>
      </w:pPr>
    </w:p>
    <w:p w14:paraId="74E8CF9D" w14:textId="77777777" w:rsidR="00AD6AFA" w:rsidRPr="00E14102" w:rsidRDefault="00AD6AFA" w:rsidP="00E14102">
      <w:pPr>
        <w:jc w:val="both"/>
        <w:rPr>
          <w:color w:val="000000" w:themeColor="text1"/>
          <w:sz w:val="16"/>
          <w:szCs w:val="16"/>
        </w:rPr>
      </w:pPr>
      <w:r w:rsidRPr="00E14102">
        <w:rPr>
          <w:color w:val="000000" w:themeColor="text1"/>
          <w:sz w:val="16"/>
          <w:szCs w:val="16"/>
        </w:rPr>
        <w:t>К лету 1935 г. Завод опытных конструкций при НИИ ГВФ, где строили И-21, не получил от промышленности ни двигателя, ни пушки, ни заготовок из электрона. В сентябре «Аэрофлот» самостоятельно приобрёл во Франции два мотора «Испано-Сюиза», но ни вооружения, ни радиостанции, ни листов из электрона для крыльевых радиаторов по-прежнему не было. Срок выпуска самолёта был сорван.</w:t>
      </w:r>
    </w:p>
    <w:p w14:paraId="22719DB1" w14:textId="77777777" w:rsidR="00AD6AFA" w:rsidRPr="00E14102" w:rsidRDefault="00AD6AFA" w:rsidP="00E14102">
      <w:pPr>
        <w:jc w:val="both"/>
        <w:rPr>
          <w:color w:val="000000" w:themeColor="text1"/>
          <w:sz w:val="16"/>
          <w:szCs w:val="16"/>
        </w:rPr>
      </w:pPr>
      <w:r w:rsidRPr="00E14102">
        <w:rPr>
          <w:color w:val="000000" w:themeColor="text1"/>
          <w:sz w:val="16"/>
          <w:szCs w:val="16"/>
        </w:rPr>
        <w:t>Ситуация не изменилась и в следующем году. Занятых собственными задачами руко</w:t>
      </w:r>
      <w:r w:rsidRPr="00E14102">
        <w:rPr>
          <w:color w:val="000000" w:themeColor="text1"/>
          <w:sz w:val="16"/>
          <w:szCs w:val="16"/>
        </w:rPr>
        <w:softHyphen/>
        <w:t>водителей авиационной промышленности мало заботили проблемы «чужого» ведомства. Призыв купить необходимые для самолёта детали из электрона в Германии по специфи</w:t>
      </w:r>
      <w:r w:rsidRPr="00E14102">
        <w:rPr>
          <w:color w:val="000000" w:themeColor="text1"/>
          <w:sz w:val="16"/>
          <w:szCs w:val="16"/>
        </w:rPr>
        <w:softHyphen/>
        <w:t>кации СНИИ ГВФ остался без ответа. Тем не менее, «Сталь-8» вновь включили в план опытного самолётостроения под названием «пушечный истребитель» со сроком выпуска 1 июля 1936 г.</w:t>
      </w:r>
    </w:p>
    <w:p w14:paraId="7BBB5940" w14:textId="77777777" w:rsidR="00AD6AFA" w:rsidRPr="00E14102" w:rsidRDefault="00AD6AFA" w:rsidP="00E14102">
      <w:pPr>
        <w:jc w:val="both"/>
        <w:rPr>
          <w:color w:val="000000" w:themeColor="text1"/>
          <w:sz w:val="16"/>
          <w:szCs w:val="16"/>
        </w:rPr>
      </w:pPr>
      <w:r w:rsidRPr="00E14102">
        <w:rPr>
          <w:color w:val="000000" w:themeColor="text1"/>
          <w:sz w:val="16"/>
          <w:szCs w:val="16"/>
        </w:rPr>
        <w:t>Но к этому времени в КБ Бартини вовсю занимались постройкой новой машины - ско</w:t>
      </w:r>
      <w:r w:rsidRPr="00E14102">
        <w:rPr>
          <w:color w:val="000000" w:themeColor="text1"/>
          <w:sz w:val="16"/>
          <w:szCs w:val="16"/>
        </w:rPr>
        <w:softHyphen/>
        <w:t>ростного двухмоторного пассажирского самолёта «Сталь-7». Да и характеристики «пушеч</w:t>
      </w:r>
      <w:r w:rsidRPr="00E14102">
        <w:rPr>
          <w:color w:val="000000" w:themeColor="text1"/>
          <w:sz w:val="16"/>
          <w:szCs w:val="16"/>
        </w:rPr>
        <w:softHyphen/>
        <w:t>ного истребителя», разработанного два года назад, уже не впечатляли (15844).</w:t>
      </w:r>
    </w:p>
    <w:p w14:paraId="5D5BF72A" w14:textId="77777777" w:rsidR="00AD6AFA" w:rsidRPr="00E14102" w:rsidRDefault="00AD6AFA" w:rsidP="00E14102">
      <w:pPr>
        <w:jc w:val="both"/>
        <w:rPr>
          <w:color w:val="000000" w:themeColor="text1"/>
          <w:sz w:val="16"/>
          <w:szCs w:val="16"/>
        </w:rPr>
      </w:pPr>
    </w:p>
    <w:p w14:paraId="2C25FD78" w14:textId="77777777" w:rsidR="00DA70F3" w:rsidRPr="00E14102" w:rsidRDefault="00DA70F3" w:rsidP="00E14102">
      <w:pPr>
        <w:jc w:val="both"/>
        <w:rPr>
          <w:color w:val="000000" w:themeColor="text1"/>
          <w:sz w:val="16"/>
          <w:szCs w:val="16"/>
        </w:rPr>
      </w:pPr>
      <w:r w:rsidRPr="00E14102">
        <w:rPr>
          <w:color w:val="000000" w:themeColor="text1"/>
          <w:sz w:val="16"/>
          <w:szCs w:val="16"/>
        </w:rPr>
        <w:t>К лету 1935 следует отнести начало полноценной эксплуатации самолёта И-15. Первыми эти бипланы получила 92-я бри-гада спецприменения в Люберцах под Москвой (точнее, входившая в неё 116-я эскадрилья), эскадрильи в Киеве, Брянс-ке, Бобруйске и Спасске-Дальнем (12261).</w:t>
      </w:r>
    </w:p>
    <w:p w14:paraId="4879BE0F" w14:textId="77777777" w:rsidR="00DA70F3" w:rsidRPr="00E14102" w:rsidRDefault="00DA70F3" w:rsidP="00E14102">
      <w:pPr>
        <w:jc w:val="both"/>
        <w:rPr>
          <w:color w:val="000000" w:themeColor="text1"/>
          <w:sz w:val="16"/>
          <w:szCs w:val="16"/>
        </w:rPr>
      </w:pPr>
    </w:p>
    <w:p w14:paraId="017D1AA6" w14:textId="77777777" w:rsidR="000E0B14" w:rsidRPr="00E14102" w:rsidRDefault="000E0B14" w:rsidP="00E14102">
      <w:pPr>
        <w:jc w:val="both"/>
        <w:rPr>
          <w:color w:val="000000" w:themeColor="text1"/>
          <w:sz w:val="16"/>
          <w:szCs w:val="16"/>
        </w:rPr>
      </w:pPr>
      <w:r w:rsidRPr="00E14102">
        <w:rPr>
          <w:color w:val="000000" w:themeColor="text1"/>
          <w:sz w:val="16"/>
          <w:szCs w:val="16"/>
        </w:rPr>
        <w:t>К лету 1935 г. в РНИИ удалось подготовить необходимое оснащение для войсковых испытаний ТБ-1. Переезд лаборатории Дудакова в Москву обернулся значительной потерей времени. Лётные эксперименты проводили в НИИ ВВС на двух бомбардировщиках (заводские номера 651 и 726) с 20 августа по 5 сентября, длина разбега сократилась на 50–70 %.</w:t>
      </w:r>
    </w:p>
    <w:p w14:paraId="3773F393" w14:textId="77777777" w:rsidR="000E0B14" w:rsidRPr="00E14102" w:rsidRDefault="000E0B14" w:rsidP="00E14102">
      <w:pPr>
        <w:jc w:val="both"/>
        <w:rPr>
          <w:color w:val="000000" w:themeColor="text1"/>
          <w:sz w:val="16"/>
          <w:szCs w:val="16"/>
        </w:rPr>
      </w:pPr>
      <w:r w:rsidRPr="00E14102">
        <w:rPr>
          <w:color w:val="000000" w:themeColor="text1"/>
          <w:sz w:val="16"/>
          <w:szCs w:val="16"/>
        </w:rPr>
        <w:t xml:space="preserve">Вскоре программу испытаний пришлось прервать, так как выяснилось, что при многократном использовании стартовых ускорителей конструкция не выдерживает нагрузок от мощных реактивных импульсов (каждая из шести пороховых ракет в течение двух секунд создавала тягу 1700 кгс). «При испытании ракетных ускорителей </w:t>
      </w:r>
      <w:r w:rsidRPr="00E14102">
        <w:rPr>
          <w:color w:val="000000" w:themeColor="text1"/>
          <w:sz w:val="16"/>
          <w:szCs w:val="16"/>
        </w:rPr>
        <w:lastRenderedPageBreak/>
        <w:t xml:space="preserve">на ТБ-1 в НИИ ВВС установлено, что после 4–5 благополучных взлётов в дальнейшем стали лететь заклёпки у обшивки крыла самолёта. Получил серьёзные повреждения также руль высоты и подъёмник стабилизатора» </w:t>
      </w:r>
      <w:hyperlink r:id="rId118" w:history="1">
        <w:r w:rsidRPr="00E14102">
          <w:rPr>
            <w:color w:val="000000" w:themeColor="text1"/>
            <w:sz w:val="16"/>
            <w:szCs w:val="16"/>
          </w:rPr>
          <w:t>[68]</w:t>
        </w:r>
      </w:hyperlink>
      <w:r w:rsidRPr="00E14102">
        <w:rPr>
          <w:color w:val="000000" w:themeColor="text1"/>
          <w:sz w:val="16"/>
          <w:szCs w:val="16"/>
        </w:rPr>
        <w:t xml:space="preserve"> (17489).</w:t>
      </w:r>
    </w:p>
    <w:p w14:paraId="76541AC1" w14:textId="77777777" w:rsidR="000E0B14" w:rsidRPr="00E14102" w:rsidRDefault="000E0B14" w:rsidP="00E14102">
      <w:pPr>
        <w:jc w:val="both"/>
        <w:rPr>
          <w:color w:val="000000" w:themeColor="text1"/>
          <w:sz w:val="16"/>
          <w:szCs w:val="16"/>
        </w:rPr>
      </w:pPr>
    </w:p>
    <w:p w14:paraId="139346F1" w14:textId="77777777" w:rsidR="000E0B14" w:rsidRPr="00E14102" w:rsidRDefault="000E0B14" w:rsidP="00E14102">
      <w:pPr>
        <w:jc w:val="both"/>
        <w:rPr>
          <w:color w:val="000000" w:themeColor="text1"/>
          <w:sz w:val="16"/>
          <w:szCs w:val="16"/>
        </w:rPr>
      </w:pPr>
      <w:r w:rsidRPr="00E14102">
        <w:rPr>
          <w:color w:val="000000" w:themeColor="text1"/>
          <w:sz w:val="16"/>
          <w:szCs w:val="16"/>
        </w:rPr>
        <w:t>К лету 1935 г. Завод опытных конструкций при НИИ ГВФ, где строили И-21 (Сталь-8 Бартини), не получил от промышленности ни двигателя, ни пушки, ни заготовок из электрона. В сентябре «Аэрофлот» самостоятельно приобрёл во Франции два мотора «Испано-Сюиза», но вооружения, радиостанции и листов из электрона для крыльевых радиаторов по-прежнему не было. Срок выпуска самолёта был сорван.</w:t>
      </w:r>
    </w:p>
    <w:p w14:paraId="14154386" w14:textId="77777777" w:rsidR="000E0B14" w:rsidRPr="00E14102" w:rsidRDefault="000E0B14" w:rsidP="00E14102">
      <w:pPr>
        <w:jc w:val="both"/>
        <w:rPr>
          <w:color w:val="000000" w:themeColor="text1"/>
          <w:sz w:val="16"/>
          <w:szCs w:val="16"/>
        </w:rPr>
      </w:pPr>
      <w:r w:rsidRPr="00E14102">
        <w:rPr>
          <w:color w:val="000000" w:themeColor="text1"/>
          <w:sz w:val="16"/>
          <w:szCs w:val="16"/>
        </w:rPr>
        <w:t>Ситуация не изменилась и в следующем году. Занятых собственными задачами руководителей авиационной промышленности мало заботили проблемы «чужого» ведомства. Просьба купить необходимые для самолёта детали из электрона в Германии по спецификации СНИИ ГВФ осталась без ответа. Тем не менее, «Сталь-8» вновь включили в план опытного самолётостроения под названием «пушечный истребитель» со сроком выпуска 1 июля 1936 г.</w:t>
      </w:r>
    </w:p>
    <w:p w14:paraId="0ECC3975" w14:textId="77777777" w:rsidR="000E0B14" w:rsidRPr="00E14102" w:rsidRDefault="000E0B14" w:rsidP="00E14102">
      <w:pPr>
        <w:jc w:val="both"/>
        <w:rPr>
          <w:color w:val="000000" w:themeColor="text1"/>
          <w:sz w:val="16"/>
          <w:szCs w:val="16"/>
        </w:rPr>
      </w:pPr>
      <w:r w:rsidRPr="00E14102">
        <w:rPr>
          <w:color w:val="000000" w:themeColor="text1"/>
          <w:sz w:val="16"/>
          <w:szCs w:val="16"/>
        </w:rPr>
        <w:t>Но к этому времени в КБ Бартини вовсю занимались постройкой новой машины — скоростного двухмоторного пассажирского самолёта «Сталь-7». Характеристики «пушечного истребителя», разработанные два года назад, уже не впечатляли (17489).</w:t>
      </w:r>
    </w:p>
    <w:p w14:paraId="4BC505CF" w14:textId="77777777" w:rsidR="000E0B14" w:rsidRPr="00E14102" w:rsidRDefault="000E0B14" w:rsidP="00E14102">
      <w:pPr>
        <w:jc w:val="both"/>
        <w:rPr>
          <w:color w:val="000000" w:themeColor="text1"/>
          <w:sz w:val="16"/>
          <w:szCs w:val="16"/>
        </w:rPr>
      </w:pPr>
    </w:p>
    <w:p w14:paraId="607CBA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лету 1935 когда был детально проработан проект ХАИ-Авиавнито-4 С.И.Кузьмина началась постройка самолета, но вскоре прекратилась (553,160).</w:t>
      </w:r>
    </w:p>
    <w:p w14:paraId="2C1B0E8E" w14:textId="77777777" w:rsidR="00D4105E" w:rsidRPr="00E14102" w:rsidRDefault="00D4105E" w:rsidP="00E14102">
      <w:pPr>
        <w:autoSpaceDE w:val="0"/>
        <w:autoSpaceDN w:val="0"/>
        <w:adjustRightInd w:val="0"/>
        <w:jc w:val="both"/>
        <w:rPr>
          <w:color w:val="000000" w:themeColor="text1"/>
          <w:sz w:val="16"/>
          <w:szCs w:val="16"/>
        </w:rPr>
      </w:pPr>
    </w:p>
    <w:p w14:paraId="250A20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лету 1935 г. в ЛЭФИ под руководством Б. К. Шембеля инженерами М. Д. Гуревичем (младшим), Э. И. Голованевским и М. Г. Курилко была изготовлена экспериментальная установка радиообнаружения самолетов для ЗА с двумя параболическими антеннами диаметром 2 м, которые были укреплены рядом на общей опоре и могли вращаться в горизонтальной и вертикальной плоскостях. Приемник и передатчик были смонтированы у основания антенн. Двухпроводные фидерные линии в металлических трубах связывали приемник и передатчик с полуволновыми вибраторами, укрепленными в фокусах зеркал-параболоидов.</w:t>
      </w:r>
    </w:p>
    <w:p w14:paraId="109BE9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Генератор установки работал на магнетроне с четырехсегментным анодом на волне 21–29 см при анодном напряжении 900–1200 В и магнитном поле 850–1100 Гс, со средним к.п.д. 35–45%. В условиях оптимальной связи фидера с колебательной системой генератора и при согласовании сопротивления антенн и фидера мощность излучения достигала 8–15 Вт.</w:t>
      </w:r>
    </w:p>
    <w:p w14:paraId="484E09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Приемник с прямым детектированием был собран на лампах с настроенной сеткой, разработанных проф. М. Т. Греховой и успешно освоенных в лаборатории под руководством М. Д. Гуревича (младшего).</w:t>
      </w:r>
    </w:p>
    <w:p w14:paraId="74CA2B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установки показали, что она обладала чувствительностью, достаточной для обнаружения летящих стай ласточек на расстоянии 150–200 м. Легкий самолет У-2 обнаруживался на дальности 5–6 км.</w:t>
      </w:r>
    </w:p>
    <w:p w14:paraId="0AFB2F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итоге первых исследований, конструкторско-производственных работ по созданию магнетронов, магнетронных генераторов, приемников в ЦРЛ и в ЛЭФИ в середине 1935 г. были созданы и испытаны первые установки радиообнаружения самолетов для ЗА, определявшие две угловые координаты: азимут и угол места (ЦГАСА, ф. 20, оп. 41, ед. хр. 70, л. 228) (11026).</w:t>
      </w:r>
    </w:p>
    <w:p w14:paraId="615EA639" w14:textId="77777777" w:rsidR="00D4105E" w:rsidRPr="00E14102" w:rsidRDefault="00D4105E" w:rsidP="00E14102">
      <w:pPr>
        <w:autoSpaceDE w:val="0"/>
        <w:autoSpaceDN w:val="0"/>
        <w:adjustRightInd w:val="0"/>
        <w:jc w:val="both"/>
        <w:rPr>
          <w:color w:val="000000" w:themeColor="text1"/>
          <w:sz w:val="16"/>
          <w:szCs w:val="16"/>
        </w:rPr>
      </w:pPr>
    </w:p>
    <w:p w14:paraId="071BD32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17FDE46" w14:textId="77777777" w:rsidR="00D4105E" w:rsidRPr="00E14102" w:rsidRDefault="00D4105E" w:rsidP="00E14102">
      <w:pPr>
        <w:autoSpaceDE w:val="0"/>
        <w:autoSpaceDN w:val="0"/>
        <w:adjustRightInd w:val="0"/>
        <w:jc w:val="both"/>
        <w:rPr>
          <w:iCs/>
          <w:color w:val="000000" w:themeColor="text1"/>
          <w:sz w:val="16"/>
          <w:szCs w:val="16"/>
        </w:rPr>
      </w:pPr>
    </w:p>
    <w:p w14:paraId="317F07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лету 1935 г. в ЛЭФИ под руководством Б. К. Шембеля инженерами М. Д. Гуревичем (младшим), Э. И. Голованевским и М. Г. Курилко была изготовлена экспериментальная установка радиообнаружения самолетов для ЗА с двумя параболическими антеннами диаметром 2 м, которые были укреплены рядом на общей опоре и могли вращаться в горизонтальной и вертикальной плоскостях. Приемник и передатчик были смонтированы у основания антенн. Двухпроводные фидерные линии в металлических трубах связывали приемник и передатчик с полуволновыми вибраторами, укрепленными в фокусах зеркал-параболоидов.</w:t>
      </w:r>
    </w:p>
    <w:p w14:paraId="714560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Генератор установки работал на магнетроне с четырехсегментным анодом на волне 21–29 см при анодном напряжении 900–1200 В и магнитном поле 850–1100 Гс, со средним к.п.д. 35–45%. В условиях оптимальной связи фидера с колебательной системой генератора и при согласовании сопротивления антенн и фидера мощность излучения достигала 8–15 Вт.</w:t>
      </w:r>
    </w:p>
    <w:p w14:paraId="0D955C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Приемник с прямым детектированием был собран на лампах с настроенной сеткой, разработанных проф. М. Т. Греховой и успешно освоенных в лаборатории под руководством М. Д. Гуревича (младшего).</w:t>
      </w:r>
    </w:p>
    <w:p w14:paraId="360AC1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установки показали, что она обладала чувствительностью, достаточной для обнаружения летящих стай ласточек на расстоянии 150–200 м. Легкий самолет У-2 обнаруживался на дальности 5–6 км.</w:t>
      </w:r>
    </w:p>
    <w:p w14:paraId="559D7A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итоге первых исследований, конструкторско-производственных работ по созданию магнетронов, магнетронных генераторов, приемников в ЦРЛ и в ЛЭФИ в середине 1935 г. были созданы и испытаны первые установки радиообнаружения самолетов для ЗА, определявшие две угловые координаты: азимут и угол места (ЦГАСА, ф. 20, оп. 41, ед. хр. 70, л. 228) (11026).</w:t>
      </w:r>
    </w:p>
    <w:p w14:paraId="157EB039" w14:textId="77777777" w:rsidR="00D4105E" w:rsidRPr="00E14102" w:rsidRDefault="00D4105E" w:rsidP="00E14102">
      <w:pPr>
        <w:autoSpaceDE w:val="0"/>
        <w:autoSpaceDN w:val="0"/>
        <w:adjustRightInd w:val="0"/>
        <w:jc w:val="both"/>
        <w:rPr>
          <w:color w:val="000000" w:themeColor="text1"/>
          <w:sz w:val="16"/>
          <w:szCs w:val="16"/>
        </w:rPr>
      </w:pPr>
    </w:p>
    <w:p w14:paraId="383B48E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569C493" w14:textId="77777777" w:rsidR="00D4105E" w:rsidRPr="00E14102" w:rsidRDefault="00D4105E" w:rsidP="00E14102">
      <w:pPr>
        <w:autoSpaceDE w:val="0"/>
        <w:autoSpaceDN w:val="0"/>
        <w:adjustRightInd w:val="0"/>
        <w:jc w:val="both"/>
        <w:rPr>
          <w:iCs/>
          <w:color w:val="000000" w:themeColor="text1"/>
          <w:sz w:val="16"/>
          <w:szCs w:val="16"/>
        </w:rPr>
      </w:pPr>
    </w:p>
    <w:p w14:paraId="55A72D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1935 ЦКБ-26 выкатили на аэродром, и через несколько дней Владимир Константинович Коккинаки впервые поднял его в небо. Новая машина не привлекала пока пристального внимания партии и правительства, что позволяло вести испытания спокойно и без штурмовщины. Самолет показал высокие летные данные, был устойчив и нормально управлялся. Лишь после успешного окончания первого этапа испытаний ЦКБ-26 был показан руководству (1727).</w:t>
      </w:r>
    </w:p>
    <w:p w14:paraId="0992B2E9" w14:textId="77777777" w:rsidR="00D4105E" w:rsidRPr="00E14102" w:rsidRDefault="00D4105E" w:rsidP="00E14102">
      <w:pPr>
        <w:autoSpaceDE w:val="0"/>
        <w:autoSpaceDN w:val="0"/>
        <w:adjustRightInd w:val="0"/>
        <w:jc w:val="both"/>
        <w:rPr>
          <w:color w:val="000000" w:themeColor="text1"/>
          <w:sz w:val="16"/>
          <w:szCs w:val="16"/>
        </w:rPr>
      </w:pPr>
    </w:p>
    <w:p w14:paraId="5BE642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1935 Зам. дир. завода 22 по техчасти Фельдман и Нач. бригады 5 Вахмистров писали письмо N 99/1650с нач. ГУАП:</w:t>
      </w:r>
    </w:p>
    <w:p w14:paraId="2B9D88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Вашего распоряжения о передаче заводу 22 комплекта чертежей капота, выхлопного коллектора и воздушно-масляного радиатора самолета ЦКБ-27 Гном-Рон К-14 конструкции завода 39 (1 бригада), необходимых для применения на самолете И-3 конструкции и Вахмистрова." (2343,208).</w:t>
      </w:r>
    </w:p>
    <w:p w14:paraId="557BB1FA" w14:textId="77777777" w:rsidR="00D4105E" w:rsidRPr="00E14102" w:rsidRDefault="00D4105E" w:rsidP="00E14102">
      <w:pPr>
        <w:autoSpaceDE w:val="0"/>
        <w:autoSpaceDN w:val="0"/>
        <w:adjustRightInd w:val="0"/>
        <w:jc w:val="both"/>
        <w:rPr>
          <w:color w:val="000000" w:themeColor="text1"/>
          <w:sz w:val="16"/>
          <w:szCs w:val="16"/>
        </w:rPr>
      </w:pPr>
    </w:p>
    <w:p w14:paraId="05679D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1935 в Севастополе закончились гос. испытания АНТ-27бис, которые проводились с 7 апреля 1935 по по двум вариантам использования: дальний разведчик (ДР-4) и морской тяжелый бомбардировщик (МТБ-1) с большим летным весом. Во втором варианте ЛД снизились. Отметили почти те же дефекты, что были выявлены на заводских испытаниях. На фоне мировой техники - смотрелся блекло. Ревомендовали принять на вооружение, т.к. других - не было (6472, 33).</w:t>
      </w:r>
    </w:p>
    <w:p w14:paraId="731DEDCE" w14:textId="77777777" w:rsidR="00D4105E" w:rsidRPr="00E14102" w:rsidRDefault="00D4105E" w:rsidP="00E14102">
      <w:pPr>
        <w:autoSpaceDE w:val="0"/>
        <w:autoSpaceDN w:val="0"/>
        <w:adjustRightInd w:val="0"/>
        <w:jc w:val="both"/>
        <w:rPr>
          <w:color w:val="000000" w:themeColor="text1"/>
          <w:sz w:val="16"/>
          <w:szCs w:val="16"/>
        </w:rPr>
      </w:pPr>
    </w:p>
    <w:p w14:paraId="5E38EF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июня 1935 был подготовлен проект:</w:t>
      </w:r>
    </w:p>
    <w:p w14:paraId="4942F8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ПЛАН РАБОТЫ ОПЫТНОЙ ГРУППЫ САМОЛЕТНОГО ОТДЕЛА на 2 квартал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4590"/>
        <w:gridCol w:w="1131"/>
        <w:gridCol w:w="1131"/>
        <w:gridCol w:w="1131"/>
        <w:gridCol w:w="1287"/>
      </w:tblGrid>
      <w:tr w:rsidR="00E3599D" w:rsidRPr="00E14102" w14:paraId="61DF28FA" w14:textId="77777777">
        <w:tc>
          <w:tcPr>
            <w:tcW w:w="468" w:type="dxa"/>
            <w:tcBorders>
              <w:top w:val="single" w:sz="12" w:space="0" w:color="auto"/>
            </w:tcBorders>
          </w:tcPr>
          <w:p w14:paraId="293F93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п/п</w:t>
            </w:r>
          </w:p>
        </w:tc>
        <w:tc>
          <w:tcPr>
            <w:tcW w:w="4590" w:type="dxa"/>
            <w:tcBorders>
              <w:top w:val="single" w:sz="12" w:space="0" w:color="auto"/>
            </w:tcBorders>
          </w:tcPr>
          <w:p w14:paraId="0701F6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работ</w:t>
            </w:r>
          </w:p>
        </w:tc>
        <w:tc>
          <w:tcPr>
            <w:tcW w:w="1131" w:type="dxa"/>
            <w:tcBorders>
              <w:top w:val="single" w:sz="12" w:space="0" w:color="auto"/>
            </w:tcBorders>
          </w:tcPr>
          <w:p w14:paraId="714D8E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июль</w:t>
            </w:r>
          </w:p>
        </w:tc>
        <w:tc>
          <w:tcPr>
            <w:tcW w:w="1131" w:type="dxa"/>
            <w:tcBorders>
              <w:top w:val="single" w:sz="12" w:space="0" w:color="auto"/>
            </w:tcBorders>
          </w:tcPr>
          <w:p w14:paraId="475774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август</w:t>
            </w:r>
          </w:p>
        </w:tc>
        <w:tc>
          <w:tcPr>
            <w:tcW w:w="1131" w:type="dxa"/>
            <w:tcBorders>
              <w:top w:val="single" w:sz="12" w:space="0" w:color="auto"/>
            </w:tcBorders>
          </w:tcPr>
          <w:p w14:paraId="011C92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сентябрь</w:t>
            </w:r>
          </w:p>
        </w:tc>
        <w:tc>
          <w:tcPr>
            <w:tcW w:w="1287" w:type="dxa"/>
            <w:tcBorders>
              <w:top w:val="single" w:sz="12" w:space="0" w:color="auto"/>
            </w:tcBorders>
          </w:tcPr>
          <w:p w14:paraId="4024E1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Исполнители</w:t>
            </w:r>
          </w:p>
        </w:tc>
      </w:tr>
      <w:tr w:rsidR="00E3599D" w:rsidRPr="00E14102" w14:paraId="025F1D21" w14:textId="77777777">
        <w:tc>
          <w:tcPr>
            <w:tcW w:w="468" w:type="dxa"/>
          </w:tcPr>
          <w:p w14:paraId="4933FBE0"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6A52A04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Окончательная доработка плана опытного стр-ва ГВФ на 1935-36 г. и представление его на утверждение Правительства</w:t>
            </w:r>
          </w:p>
        </w:tc>
        <w:tc>
          <w:tcPr>
            <w:tcW w:w="1131" w:type="dxa"/>
          </w:tcPr>
          <w:p w14:paraId="7EDBD72C"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52DABE33"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2CBF9740"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4D1A3B3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w:t>
            </w:r>
          </w:p>
        </w:tc>
      </w:tr>
      <w:tr w:rsidR="00E3599D" w:rsidRPr="00E14102" w14:paraId="6206349A" w14:textId="77777777">
        <w:tc>
          <w:tcPr>
            <w:tcW w:w="468" w:type="dxa"/>
          </w:tcPr>
          <w:p w14:paraId="15ED3489"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4805326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Рассмотрение и дача заключения по техпромфинпланам опытных организаций</w:t>
            </w:r>
          </w:p>
        </w:tc>
        <w:tc>
          <w:tcPr>
            <w:tcW w:w="1131" w:type="dxa"/>
          </w:tcPr>
          <w:p w14:paraId="0A6C7B75"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7EC8F4A4"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7E5E402B"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00D0B6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МАШКЕВИЧ,-БОРОДАЧ</w:t>
            </w:r>
          </w:p>
        </w:tc>
      </w:tr>
      <w:tr w:rsidR="00E3599D" w:rsidRPr="00E14102" w14:paraId="6F8D35DA" w14:textId="77777777">
        <w:tc>
          <w:tcPr>
            <w:tcW w:w="468" w:type="dxa"/>
          </w:tcPr>
          <w:p w14:paraId="231CF2FB"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28A24F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Распредел.заданий по опытным организации спуск их в связи со вновь утвержд. планом</w:t>
            </w:r>
          </w:p>
        </w:tc>
        <w:tc>
          <w:tcPr>
            <w:tcW w:w="1131" w:type="dxa"/>
          </w:tcPr>
          <w:p w14:paraId="75DEB277"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7B716F9F"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49D41249"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67CE47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БОРОДАЧ</w:t>
            </w:r>
          </w:p>
        </w:tc>
      </w:tr>
      <w:tr w:rsidR="00E3599D" w:rsidRPr="00E14102" w14:paraId="4E7FB8D9" w14:textId="77777777">
        <w:tc>
          <w:tcPr>
            <w:tcW w:w="468" w:type="dxa"/>
          </w:tcPr>
          <w:p w14:paraId="1757E85B"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22799D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Составление заявок на моторы в соответствии с вновь утвержденным планом и согласование их с заинтересованными отделами и организаиями</w:t>
            </w:r>
          </w:p>
        </w:tc>
        <w:tc>
          <w:tcPr>
            <w:tcW w:w="1131" w:type="dxa"/>
          </w:tcPr>
          <w:p w14:paraId="2EA700BC"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57D40888"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7C583A3F"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5FBF71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 БОРОДАЧ</w:t>
            </w:r>
          </w:p>
        </w:tc>
      </w:tr>
      <w:tr w:rsidR="00E3599D" w:rsidRPr="00E14102" w14:paraId="748EDF9B" w14:textId="77777777">
        <w:tc>
          <w:tcPr>
            <w:tcW w:w="468" w:type="dxa"/>
          </w:tcPr>
          <w:p w14:paraId="14E331F4"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6B001E4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Наблюдение за ходом проект, постройки и испытаний опыт</w:t>
            </w:r>
            <w:r w:rsidRPr="00E14102">
              <w:rPr>
                <w:color w:val="000000" w:themeColor="text1"/>
                <w:sz w:val="16"/>
                <w:szCs w:val="16"/>
              </w:rPr>
              <w:softHyphen/>
              <w:t>ных самолетов. ЦАГИ - СБ опытн. После переделок, ДИП после переделок, СБ-РЦ, ДИ8, МДР-4, МК-1, ДБ2</w:t>
            </w:r>
          </w:p>
        </w:tc>
        <w:tc>
          <w:tcPr>
            <w:tcW w:w="1131" w:type="dxa"/>
          </w:tcPr>
          <w:p w14:paraId="7E9766CE"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114FF057"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42C3E4B0"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70291EC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 БОРОДАЧ</w:t>
            </w:r>
          </w:p>
        </w:tc>
      </w:tr>
      <w:tr w:rsidR="00E3599D" w:rsidRPr="00E14102" w14:paraId="5C861DBE" w14:textId="77777777">
        <w:tc>
          <w:tcPr>
            <w:tcW w:w="468" w:type="dxa"/>
          </w:tcPr>
          <w:p w14:paraId="28252E61"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3570F6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То-же до зав. № 39. И17, ДИ6, ТШЭ</w:t>
            </w:r>
          </w:p>
        </w:tc>
        <w:tc>
          <w:tcPr>
            <w:tcW w:w="1131" w:type="dxa"/>
          </w:tcPr>
          <w:p w14:paraId="49ABE1B0"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61FDE817"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64BD9B50"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58FC27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МАШКЕВИЧ,-БОРОДАЧ</w:t>
            </w:r>
          </w:p>
        </w:tc>
      </w:tr>
      <w:tr w:rsidR="00E3599D" w:rsidRPr="00E14102" w14:paraId="62E44241" w14:textId="77777777">
        <w:tc>
          <w:tcPr>
            <w:tcW w:w="468" w:type="dxa"/>
          </w:tcPr>
          <w:p w14:paraId="202FF3D7"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6AAA55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То-же по зав. № 1. ИП-3 и ПБ, СР, МИ, И, В.С.</w:t>
            </w:r>
          </w:p>
        </w:tc>
        <w:tc>
          <w:tcPr>
            <w:tcW w:w="1131" w:type="dxa"/>
          </w:tcPr>
          <w:p w14:paraId="23A1B368"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0D6C6FCE"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1409EF35"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5C2A6E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w:t>
            </w:r>
          </w:p>
        </w:tc>
      </w:tr>
      <w:tr w:rsidR="00E3599D" w:rsidRPr="00E14102" w14:paraId="7AE03B7D" w14:textId="77777777">
        <w:tc>
          <w:tcPr>
            <w:tcW w:w="468" w:type="dxa"/>
          </w:tcPr>
          <w:p w14:paraId="69CE90ED"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349AC1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То-же ло ХАИ. ХАИ-6 - дача заключения о техготовности и наблюдение за испытанием, ХАИ 4 - то же самое.</w:t>
            </w:r>
          </w:p>
        </w:tc>
        <w:tc>
          <w:tcPr>
            <w:tcW w:w="1131" w:type="dxa"/>
          </w:tcPr>
          <w:p w14:paraId="30067FB8"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045E8173"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3898D6D2"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5A75F9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МАШКЕВИЧ,-БОРОДАЧ</w:t>
            </w:r>
          </w:p>
        </w:tc>
      </w:tr>
      <w:tr w:rsidR="00E3599D" w:rsidRPr="00E14102" w14:paraId="03074A19" w14:textId="77777777">
        <w:tc>
          <w:tcPr>
            <w:tcW w:w="468" w:type="dxa"/>
          </w:tcPr>
          <w:p w14:paraId="07572D77"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3677D5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По КАИ -КАИ1, 3-1 экз. </w:t>
            </w:r>
          </w:p>
        </w:tc>
        <w:tc>
          <w:tcPr>
            <w:tcW w:w="1131" w:type="dxa"/>
          </w:tcPr>
          <w:p w14:paraId="2E5482DC"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7B2D0A42"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09EF8C1A"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45DE7A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w:t>
            </w:r>
          </w:p>
        </w:tc>
      </w:tr>
      <w:tr w:rsidR="00E3599D" w:rsidRPr="00E14102" w14:paraId="18A85493" w14:textId="77777777">
        <w:tc>
          <w:tcPr>
            <w:tcW w:w="468" w:type="dxa"/>
          </w:tcPr>
          <w:p w14:paraId="49B25E4C"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5AD872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Наблюдение за испытанием МАИ-1</w:t>
            </w:r>
          </w:p>
        </w:tc>
        <w:tc>
          <w:tcPr>
            <w:tcW w:w="1131" w:type="dxa"/>
          </w:tcPr>
          <w:p w14:paraId="3CB960F1"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2EC8CD0D"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686F3AD8"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0E3169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w:t>
            </w:r>
          </w:p>
        </w:tc>
      </w:tr>
      <w:tr w:rsidR="00E3599D" w:rsidRPr="00E14102" w14:paraId="7275E434" w14:textId="77777777">
        <w:tc>
          <w:tcPr>
            <w:tcW w:w="468" w:type="dxa"/>
          </w:tcPr>
          <w:p w14:paraId="0CC14A6C"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6E50BB7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Наблюдение за ходом проектирования и постройки самолетов в опытных организациях по плану, утв. Правительством</w:t>
            </w:r>
          </w:p>
        </w:tc>
        <w:tc>
          <w:tcPr>
            <w:tcW w:w="1131" w:type="dxa"/>
          </w:tcPr>
          <w:p w14:paraId="2A35BBB3"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6A6E7D4B"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2BC99A16"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702910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МАШКЕВИЧ,-БОРОДАЧ</w:t>
            </w:r>
          </w:p>
        </w:tc>
      </w:tr>
      <w:tr w:rsidR="00E3599D" w:rsidRPr="00E14102" w14:paraId="0E5566E9" w14:textId="77777777">
        <w:tc>
          <w:tcPr>
            <w:tcW w:w="468" w:type="dxa"/>
          </w:tcPr>
          <w:p w14:paraId="2FC0A264"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0C22A7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Составление краткого квар</w:t>
            </w:r>
            <w:r w:rsidRPr="00E14102">
              <w:rPr>
                <w:color w:val="000000" w:themeColor="text1"/>
                <w:sz w:val="16"/>
                <w:szCs w:val="16"/>
              </w:rPr>
              <w:softHyphen/>
              <w:t>тального отчета (за 2 кв.) и полугодового отчета</w:t>
            </w:r>
          </w:p>
        </w:tc>
        <w:tc>
          <w:tcPr>
            <w:tcW w:w="1131" w:type="dxa"/>
          </w:tcPr>
          <w:p w14:paraId="288B41C7"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016749E3"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728A2DBA"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3A09357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МАШКЕВИЧ,-БОРОДАЧ</w:t>
            </w:r>
          </w:p>
        </w:tc>
      </w:tr>
      <w:tr w:rsidR="00E3599D" w:rsidRPr="00E14102" w14:paraId="3907E47F" w14:textId="77777777">
        <w:tc>
          <w:tcPr>
            <w:tcW w:w="468" w:type="dxa"/>
          </w:tcPr>
          <w:p w14:paraId="7D59A719"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736C5B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Справки, увязки, совещания</w:t>
            </w:r>
          </w:p>
        </w:tc>
        <w:tc>
          <w:tcPr>
            <w:tcW w:w="1131" w:type="dxa"/>
          </w:tcPr>
          <w:p w14:paraId="1F02DD9E"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4BFCB291"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385B390C"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1EA849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БОРОДАЧ</w:t>
            </w:r>
          </w:p>
        </w:tc>
      </w:tr>
      <w:tr w:rsidR="00E3599D" w:rsidRPr="00E14102" w14:paraId="2A0A9B2A" w14:textId="77777777">
        <w:tc>
          <w:tcPr>
            <w:tcW w:w="468" w:type="dxa"/>
          </w:tcPr>
          <w:p w14:paraId="7ED5B55F"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679C0A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Текущая работа.</w:t>
            </w:r>
          </w:p>
        </w:tc>
        <w:tc>
          <w:tcPr>
            <w:tcW w:w="1131" w:type="dxa"/>
          </w:tcPr>
          <w:p w14:paraId="684CB12F"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6136579A"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7CCB8EA0"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282B8E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БОРОДАЧ</w:t>
            </w:r>
          </w:p>
        </w:tc>
      </w:tr>
      <w:tr w:rsidR="00E3599D" w:rsidRPr="00E14102" w14:paraId="22B67B25" w14:textId="77777777">
        <w:tc>
          <w:tcPr>
            <w:tcW w:w="468" w:type="dxa"/>
          </w:tcPr>
          <w:p w14:paraId="73EF5F57"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412978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Составление статистически: сведений и графиков по всем об"ектам опытного стр-ва.</w:t>
            </w:r>
          </w:p>
        </w:tc>
        <w:tc>
          <w:tcPr>
            <w:tcW w:w="1131" w:type="dxa"/>
          </w:tcPr>
          <w:p w14:paraId="6F0395DD"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77991FCA"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486586C9"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79F0B7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Свистов</w:t>
            </w:r>
          </w:p>
        </w:tc>
      </w:tr>
      <w:tr w:rsidR="00E3599D" w:rsidRPr="00E14102" w14:paraId="37AB3090" w14:textId="77777777">
        <w:tc>
          <w:tcPr>
            <w:tcW w:w="468" w:type="dxa"/>
          </w:tcPr>
          <w:p w14:paraId="4D9EFBB4"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672B0A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Учет состояния хода производства опытных самолетов</w:t>
            </w:r>
          </w:p>
        </w:tc>
        <w:tc>
          <w:tcPr>
            <w:tcW w:w="1131" w:type="dxa"/>
          </w:tcPr>
          <w:p w14:paraId="7934F544"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7FB21E7F"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6F48E472"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5A70E2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Свистов</w:t>
            </w:r>
          </w:p>
        </w:tc>
      </w:tr>
      <w:tr w:rsidR="00E3599D" w:rsidRPr="00E14102" w14:paraId="16528120" w14:textId="77777777">
        <w:tc>
          <w:tcPr>
            <w:tcW w:w="468" w:type="dxa"/>
          </w:tcPr>
          <w:p w14:paraId="3D72CA4C"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77C792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Ведение карточек техни</w:t>
            </w:r>
            <w:r w:rsidRPr="00E14102">
              <w:rPr>
                <w:color w:val="000000" w:themeColor="text1"/>
                <w:sz w:val="16"/>
                <w:szCs w:val="16"/>
              </w:rPr>
              <w:softHyphen/>
              <w:t>ческих данных опытных самолетов 1935 г.</w:t>
            </w:r>
          </w:p>
        </w:tc>
        <w:tc>
          <w:tcPr>
            <w:tcW w:w="1131" w:type="dxa"/>
          </w:tcPr>
          <w:p w14:paraId="3E3D2778"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4B2004A1"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265E6CC1"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0F7F00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Свистов</w:t>
            </w:r>
          </w:p>
        </w:tc>
      </w:tr>
      <w:tr w:rsidR="00E3599D" w:rsidRPr="00E14102" w14:paraId="4891FC72" w14:textId="77777777">
        <w:tc>
          <w:tcPr>
            <w:tcW w:w="468" w:type="dxa"/>
          </w:tcPr>
          <w:p w14:paraId="76306EFB"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3B1E82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Ведение таблицы конструкций и технических данных заграничных самоле</w:t>
            </w:r>
            <w:r w:rsidRPr="00E14102">
              <w:rPr>
                <w:color w:val="000000" w:themeColor="text1"/>
                <w:sz w:val="16"/>
                <w:szCs w:val="16"/>
              </w:rPr>
              <w:softHyphen/>
              <w:t>тов.</w:t>
            </w:r>
          </w:p>
        </w:tc>
        <w:tc>
          <w:tcPr>
            <w:tcW w:w="1131" w:type="dxa"/>
          </w:tcPr>
          <w:p w14:paraId="1C824BE3"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4DA60AF2"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75FECAB1"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4AB2CD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Свистов</w:t>
            </w:r>
          </w:p>
        </w:tc>
      </w:tr>
      <w:tr w:rsidR="00E3599D" w:rsidRPr="00E14102" w14:paraId="07C22B54" w14:textId="77777777">
        <w:tc>
          <w:tcPr>
            <w:tcW w:w="468" w:type="dxa"/>
            <w:tcBorders>
              <w:bottom w:val="single" w:sz="12" w:space="0" w:color="auto"/>
            </w:tcBorders>
          </w:tcPr>
          <w:p w14:paraId="238E7FFA"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Borders>
              <w:bottom w:val="single" w:sz="12" w:space="0" w:color="auto"/>
            </w:tcBorders>
          </w:tcPr>
          <w:p w14:paraId="2CD056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Подбор статистических сведений из газет (по материалам Госгорсправка)</w:t>
            </w:r>
          </w:p>
        </w:tc>
        <w:tc>
          <w:tcPr>
            <w:tcW w:w="1131" w:type="dxa"/>
            <w:tcBorders>
              <w:bottom w:val="single" w:sz="12" w:space="0" w:color="auto"/>
            </w:tcBorders>
          </w:tcPr>
          <w:p w14:paraId="4F855F05"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Borders>
              <w:bottom w:val="single" w:sz="12" w:space="0" w:color="auto"/>
            </w:tcBorders>
          </w:tcPr>
          <w:p w14:paraId="4A9B28A5"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Borders>
              <w:bottom w:val="single" w:sz="12" w:space="0" w:color="auto"/>
            </w:tcBorders>
          </w:tcPr>
          <w:p w14:paraId="3D731603"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Borders>
              <w:bottom w:val="single" w:sz="12" w:space="0" w:color="auto"/>
            </w:tcBorders>
          </w:tcPr>
          <w:p w14:paraId="032043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Свистов</w:t>
            </w:r>
          </w:p>
        </w:tc>
      </w:tr>
    </w:tbl>
    <w:p w14:paraId="3F04E6E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(2336,133).</w:t>
      </w:r>
    </w:p>
    <w:p w14:paraId="3A1AC4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СМЕТНАЯ КАЛЬКУЛЯЦИЯ НА РАБОТЫ ПО ИССЛЕДОВАНИЮ ПАРОВОГО ОХЛАЖДЕНИЯ МОТОРА М-34 на ТБ-3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E3599D" w:rsidRPr="00E14102" w14:paraId="4FE040B4" w14:textId="77777777">
        <w:tc>
          <w:tcPr>
            <w:tcW w:w="1915" w:type="dxa"/>
            <w:tcBorders>
              <w:top w:val="single" w:sz="12" w:space="0" w:color="auto"/>
            </w:tcBorders>
          </w:tcPr>
          <w:p w14:paraId="2FF389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Специальность</w:t>
            </w:r>
          </w:p>
        </w:tc>
        <w:tc>
          <w:tcPr>
            <w:tcW w:w="1915" w:type="dxa"/>
            <w:tcBorders>
              <w:top w:val="single" w:sz="12" w:space="0" w:color="auto"/>
            </w:tcBorders>
          </w:tcPr>
          <w:p w14:paraId="2CF48E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 час.</w:t>
            </w:r>
          </w:p>
        </w:tc>
        <w:tc>
          <w:tcPr>
            <w:tcW w:w="1915" w:type="dxa"/>
            <w:tcBorders>
              <w:top w:val="single" w:sz="12" w:space="0" w:color="auto"/>
            </w:tcBorders>
          </w:tcPr>
          <w:p w14:paraId="3CFD66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Среднемес. ЗП</w:t>
            </w:r>
          </w:p>
        </w:tc>
        <w:tc>
          <w:tcPr>
            <w:tcW w:w="1915" w:type="dxa"/>
            <w:tcBorders>
              <w:top w:val="single" w:sz="12" w:space="0" w:color="auto"/>
            </w:tcBorders>
          </w:tcPr>
          <w:p w14:paraId="60486C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работы</w:t>
            </w:r>
          </w:p>
        </w:tc>
        <w:tc>
          <w:tcPr>
            <w:tcW w:w="1915" w:type="dxa"/>
            <w:tcBorders>
              <w:top w:val="single" w:sz="12" w:space="0" w:color="auto"/>
            </w:tcBorders>
          </w:tcPr>
          <w:p w14:paraId="556647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Сумма</w:t>
            </w:r>
          </w:p>
        </w:tc>
      </w:tr>
      <w:tr w:rsidR="00E3599D" w:rsidRPr="00E14102" w14:paraId="72B1193D" w14:textId="77777777">
        <w:tc>
          <w:tcPr>
            <w:tcW w:w="1915" w:type="dxa"/>
          </w:tcPr>
          <w:p w14:paraId="691F1B8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Вед.инженер</w:t>
            </w:r>
          </w:p>
        </w:tc>
        <w:tc>
          <w:tcPr>
            <w:tcW w:w="1915" w:type="dxa"/>
          </w:tcPr>
          <w:p w14:paraId="6970A1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915" w:type="dxa"/>
          </w:tcPr>
          <w:p w14:paraId="20FA1F1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780</w:t>
            </w:r>
          </w:p>
        </w:tc>
        <w:tc>
          <w:tcPr>
            <w:tcW w:w="1915" w:type="dxa"/>
          </w:tcPr>
          <w:p w14:paraId="36867A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мес.</w:t>
            </w:r>
          </w:p>
        </w:tc>
        <w:tc>
          <w:tcPr>
            <w:tcW w:w="1915" w:type="dxa"/>
          </w:tcPr>
          <w:p w14:paraId="600D20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2340</w:t>
            </w:r>
          </w:p>
        </w:tc>
      </w:tr>
      <w:tr w:rsidR="00E3599D" w:rsidRPr="00E14102" w14:paraId="334A4E19" w14:textId="77777777">
        <w:tc>
          <w:tcPr>
            <w:tcW w:w="1915" w:type="dxa"/>
          </w:tcPr>
          <w:p w14:paraId="0F222A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Борт-техн.</w:t>
            </w:r>
          </w:p>
        </w:tc>
        <w:tc>
          <w:tcPr>
            <w:tcW w:w="1915" w:type="dxa"/>
          </w:tcPr>
          <w:p w14:paraId="2CB7F0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915" w:type="dxa"/>
          </w:tcPr>
          <w:p w14:paraId="279A48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560</w:t>
            </w:r>
          </w:p>
        </w:tc>
        <w:tc>
          <w:tcPr>
            <w:tcW w:w="1915" w:type="dxa"/>
          </w:tcPr>
          <w:p w14:paraId="64CC69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915" w:type="dxa"/>
          </w:tcPr>
          <w:p w14:paraId="10EEC6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1680</w:t>
            </w:r>
          </w:p>
        </w:tc>
      </w:tr>
      <w:tr w:rsidR="00E3599D" w:rsidRPr="00E14102" w14:paraId="6310F963" w14:textId="77777777">
        <w:tc>
          <w:tcPr>
            <w:tcW w:w="1915" w:type="dxa"/>
          </w:tcPr>
          <w:p w14:paraId="44A2D2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Техн./авио/</w:t>
            </w:r>
          </w:p>
        </w:tc>
        <w:tc>
          <w:tcPr>
            <w:tcW w:w="1915" w:type="dxa"/>
          </w:tcPr>
          <w:p w14:paraId="358475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915" w:type="dxa"/>
          </w:tcPr>
          <w:p w14:paraId="35A216F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350</w:t>
            </w:r>
          </w:p>
        </w:tc>
        <w:tc>
          <w:tcPr>
            <w:tcW w:w="1915" w:type="dxa"/>
          </w:tcPr>
          <w:p w14:paraId="26576A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915" w:type="dxa"/>
          </w:tcPr>
          <w:p w14:paraId="02A084B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4200</w:t>
            </w:r>
          </w:p>
        </w:tc>
      </w:tr>
      <w:tr w:rsidR="00E3599D" w:rsidRPr="00E14102" w14:paraId="1FF9AA7A" w14:textId="77777777">
        <w:tc>
          <w:tcPr>
            <w:tcW w:w="1915" w:type="dxa"/>
          </w:tcPr>
          <w:p w14:paraId="1D3C23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Моторист</w:t>
            </w:r>
          </w:p>
        </w:tc>
        <w:tc>
          <w:tcPr>
            <w:tcW w:w="1915" w:type="dxa"/>
          </w:tcPr>
          <w:p w14:paraId="2731BD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915" w:type="dxa"/>
          </w:tcPr>
          <w:p w14:paraId="3A3DCC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200</w:t>
            </w:r>
          </w:p>
        </w:tc>
        <w:tc>
          <w:tcPr>
            <w:tcW w:w="1915" w:type="dxa"/>
          </w:tcPr>
          <w:p w14:paraId="6FDD2D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915" w:type="dxa"/>
          </w:tcPr>
          <w:p w14:paraId="1314CC9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1200</w:t>
            </w:r>
          </w:p>
        </w:tc>
      </w:tr>
      <w:tr w:rsidR="00E3599D" w:rsidRPr="00E14102" w14:paraId="25838868" w14:textId="77777777">
        <w:tc>
          <w:tcPr>
            <w:tcW w:w="1915" w:type="dxa"/>
          </w:tcPr>
          <w:p w14:paraId="480DDA3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Летчик</w:t>
            </w:r>
          </w:p>
        </w:tc>
        <w:tc>
          <w:tcPr>
            <w:tcW w:w="1915" w:type="dxa"/>
          </w:tcPr>
          <w:p w14:paraId="56787B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915" w:type="dxa"/>
          </w:tcPr>
          <w:p w14:paraId="6730F29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680</w:t>
            </w:r>
          </w:p>
        </w:tc>
        <w:tc>
          <w:tcPr>
            <w:tcW w:w="1915" w:type="dxa"/>
          </w:tcPr>
          <w:p w14:paraId="5BD80D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915" w:type="dxa"/>
          </w:tcPr>
          <w:p w14:paraId="0A882F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680</w:t>
            </w:r>
          </w:p>
        </w:tc>
      </w:tr>
      <w:tr w:rsidR="00E3599D" w:rsidRPr="00E14102" w14:paraId="4E8EC914" w14:textId="77777777">
        <w:tc>
          <w:tcPr>
            <w:tcW w:w="1915" w:type="dxa"/>
          </w:tcPr>
          <w:p w14:paraId="4214CBB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Техники /специал./</w:t>
            </w:r>
          </w:p>
        </w:tc>
        <w:tc>
          <w:tcPr>
            <w:tcW w:w="1915" w:type="dxa"/>
          </w:tcPr>
          <w:p w14:paraId="32D7B4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915" w:type="dxa"/>
          </w:tcPr>
          <w:p w14:paraId="1847771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350</w:t>
            </w:r>
          </w:p>
        </w:tc>
        <w:tc>
          <w:tcPr>
            <w:tcW w:w="1915" w:type="dxa"/>
          </w:tcPr>
          <w:p w14:paraId="08B0D9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915" w:type="dxa"/>
          </w:tcPr>
          <w:p w14:paraId="03938C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1400</w:t>
            </w:r>
          </w:p>
        </w:tc>
      </w:tr>
      <w:tr w:rsidR="00E3599D" w:rsidRPr="00E14102" w14:paraId="63F59909" w14:textId="77777777">
        <w:tc>
          <w:tcPr>
            <w:tcW w:w="1915" w:type="dxa"/>
          </w:tcPr>
          <w:p w14:paraId="56C4EE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Слесаря-монтажники и медника</w:t>
            </w:r>
          </w:p>
        </w:tc>
        <w:tc>
          <w:tcPr>
            <w:tcW w:w="1915" w:type="dxa"/>
          </w:tcPr>
          <w:p w14:paraId="5BF387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915" w:type="dxa"/>
          </w:tcPr>
          <w:p w14:paraId="28A8CD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р.</w:t>
            </w:r>
          </w:p>
        </w:tc>
        <w:tc>
          <w:tcPr>
            <w:tcW w:w="1915" w:type="dxa"/>
          </w:tcPr>
          <w:p w14:paraId="6EE305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 час.</w:t>
            </w:r>
          </w:p>
        </w:tc>
        <w:tc>
          <w:tcPr>
            <w:tcW w:w="1915" w:type="dxa"/>
          </w:tcPr>
          <w:p w14:paraId="165F60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2800</w:t>
            </w:r>
          </w:p>
        </w:tc>
      </w:tr>
      <w:tr w:rsidR="00E3599D" w:rsidRPr="00E14102" w14:paraId="7D8DC9C5" w14:textId="77777777">
        <w:tc>
          <w:tcPr>
            <w:tcW w:w="1915" w:type="dxa"/>
          </w:tcPr>
          <w:p w14:paraId="5FFCC9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Итого:</w:t>
            </w:r>
          </w:p>
        </w:tc>
        <w:tc>
          <w:tcPr>
            <w:tcW w:w="1915" w:type="dxa"/>
          </w:tcPr>
          <w:p w14:paraId="7FD7C8DE" w14:textId="77777777" w:rsidR="00D4105E" w:rsidRPr="00E14102" w:rsidRDefault="00D4105E" w:rsidP="00E14102">
            <w:pPr>
              <w:autoSpaceDE w:val="0"/>
              <w:autoSpaceDN w:val="0"/>
              <w:adjustRightInd w:val="0"/>
              <w:jc w:val="both"/>
              <w:rPr>
                <w:color w:val="000000" w:themeColor="text1"/>
                <w:sz w:val="16"/>
                <w:szCs w:val="16"/>
              </w:rPr>
            </w:pPr>
          </w:p>
        </w:tc>
        <w:tc>
          <w:tcPr>
            <w:tcW w:w="1915" w:type="dxa"/>
          </w:tcPr>
          <w:p w14:paraId="1441DA59" w14:textId="77777777" w:rsidR="00D4105E" w:rsidRPr="00E14102" w:rsidRDefault="00D4105E" w:rsidP="00E14102">
            <w:pPr>
              <w:autoSpaceDE w:val="0"/>
              <w:autoSpaceDN w:val="0"/>
              <w:adjustRightInd w:val="0"/>
              <w:jc w:val="both"/>
              <w:rPr>
                <w:color w:val="000000" w:themeColor="text1"/>
                <w:sz w:val="16"/>
                <w:szCs w:val="16"/>
              </w:rPr>
            </w:pPr>
          </w:p>
        </w:tc>
        <w:tc>
          <w:tcPr>
            <w:tcW w:w="1915" w:type="dxa"/>
          </w:tcPr>
          <w:p w14:paraId="3D6238D0" w14:textId="77777777" w:rsidR="00D4105E" w:rsidRPr="00E14102" w:rsidRDefault="00D4105E" w:rsidP="00E14102">
            <w:pPr>
              <w:autoSpaceDE w:val="0"/>
              <w:autoSpaceDN w:val="0"/>
              <w:adjustRightInd w:val="0"/>
              <w:jc w:val="both"/>
              <w:rPr>
                <w:color w:val="000000" w:themeColor="text1"/>
                <w:sz w:val="16"/>
                <w:szCs w:val="16"/>
              </w:rPr>
            </w:pPr>
          </w:p>
        </w:tc>
        <w:tc>
          <w:tcPr>
            <w:tcW w:w="1915" w:type="dxa"/>
          </w:tcPr>
          <w:p w14:paraId="7C2A4B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14300</w:t>
            </w:r>
          </w:p>
        </w:tc>
      </w:tr>
      <w:tr w:rsidR="00E3599D" w:rsidRPr="00E14102" w14:paraId="47C33BF8" w14:textId="77777777">
        <w:tc>
          <w:tcPr>
            <w:tcW w:w="1915" w:type="dxa"/>
          </w:tcPr>
          <w:p w14:paraId="4382969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Трудоемкость ИТР</w:t>
            </w:r>
          </w:p>
        </w:tc>
        <w:tc>
          <w:tcPr>
            <w:tcW w:w="1915" w:type="dxa"/>
          </w:tcPr>
          <w:p w14:paraId="03D8A4E2" w14:textId="77777777" w:rsidR="00D4105E" w:rsidRPr="00E14102" w:rsidRDefault="00D4105E" w:rsidP="00E14102">
            <w:pPr>
              <w:autoSpaceDE w:val="0"/>
              <w:autoSpaceDN w:val="0"/>
              <w:adjustRightInd w:val="0"/>
              <w:jc w:val="both"/>
              <w:rPr>
                <w:color w:val="000000" w:themeColor="text1"/>
                <w:sz w:val="16"/>
                <w:szCs w:val="16"/>
              </w:rPr>
            </w:pPr>
          </w:p>
        </w:tc>
        <w:tc>
          <w:tcPr>
            <w:tcW w:w="1915" w:type="dxa"/>
          </w:tcPr>
          <w:p w14:paraId="293A2D26" w14:textId="77777777" w:rsidR="00D4105E" w:rsidRPr="00E14102" w:rsidRDefault="00D4105E" w:rsidP="00E14102">
            <w:pPr>
              <w:autoSpaceDE w:val="0"/>
              <w:autoSpaceDN w:val="0"/>
              <w:adjustRightInd w:val="0"/>
              <w:jc w:val="both"/>
              <w:rPr>
                <w:color w:val="000000" w:themeColor="text1"/>
                <w:sz w:val="16"/>
                <w:szCs w:val="16"/>
              </w:rPr>
            </w:pPr>
          </w:p>
        </w:tc>
        <w:tc>
          <w:tcPr>
            <w:tcW w:w="1915" w:type="dxa"/>
          </w:tcPr>
          <w:p w14:paraId="37E2C3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3864 ч/ч</w:t>
            </w:r>
          </w:p>
        </w:tc>
        <w:tc>
          <w:tcPr>
            <w:tcW w:w="1915" w:type="dxa"/>
          </w:tcPr>
          <w:p w14:paraId="116E19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3BE919D4" w14:textId="77777777">
        <w:tc>
          <w:tcPr>
            <w:tcW w:w="1915" w:type="dxa"/>
            <w:tcBorders>
              <w:bottom w:val="single" w:sz="12" w:space="0" w:color="auto"/>
            </w:tcBorders>
          </w:tcPr>
          <w:p w14:paraId="27E080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Рабочих</w:t>
            </w:r>
          </w:p>
        </w:tc>
        <w:tc>
          <w:tcPr>
            <w:tcW w:w="1915" w:type="dxa"/>
            <w:tcBorders>
              <w:bottom w:val="single" w:sz="12" w:space="0" w:color="auto"/>
            </w:tcBorders>
          </w:tcPr>
          <w:p w14:paraId="6AB9D492" w14:textId="77777777" w:rsidR="00D4105E" w:rsidRPr="00E14102" w:rsidRDefault="00D4105E" w:rsidP="00E14102">
            <w:pPr>
              <w:autoSpaceDE w:val="0"/>
              <w:autoSpaceDN w:val="0"/>
              <w:adjustRightInd w:val="0"/>
              <w:jc w:val="both"/>
              <w:rPr>
                <w:color w:val="000000" w:themeColor="text1"/>
                <w:sz w:val="16"/>
                <w:szCs w:val="16"/>
              </w:rPr>
            </w:pPr>
          </w:p>
        </w:tc>
        <w:tc>
          <w:tcPr>
            <w:tcW w:w="1915" w:type="dxa"/>
            <w:tcBorders>
              <w:bottom w:val="single" w:sz="12" w:space="0" w:color="auto"/>
            </w:tcBorders>
          </w:tcPr>
          <w:p w14:paraId="761CC34C" w14:textId="77777777" w:rsidR="00D4105E" w:rsidRPr="00E14102" w:rsidRDefault="00D4105E" w:rsidP="00E14102">
            <w:pPr>
              <w:autoSpaceDE w:val="0"/>
              <w:autoSpaceDN w:val="0"/>
              <w:adjustRightInd w:val="0"/>
              <w:jc w:val="both"/>
              <w:rPr>
                <w:color w:val="000000" w:themeColor="text1"/>
                <w:sz w:val="16"/>
                <w:szCs w:val="16"/>
              </w:rPr>
            </w:pPr>
          </w:p>
        </w:tc>
        <w:tc>
          <w:tcPr>
            <w:tcW w:w="1915" w:type="dxa"/>
            <w:tcBorders>
              <w:bottom w:val="single" w:sz="12" w:space="0" w:color="auto"/>
            </w:tcBorders>
          </w:tcPr>
          <w:p w14:paraId="487D27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3008</w:t>
            </w:r>
          </w:p>
        </w:tc>
        <w:tc>
          <w:tcPr>
            <w:tcW w:w="1915" w:type="dxa"/>
            <w:tcBorders>
              <w:bottom w:val="single" w:sz="12" w:space="0" w:color="auto"/>
            </w:tcBorders>
          </w:tcPr>
          <w:p w14:paraId="046BF02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bl>
    <w:p w14:paraId="7890B8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E3599D" w:rsidRPr="00E14102" w14:paraId="07703217" w14:textId="77777777">
        <w:tc>
          <w:tcPr>
            <w:tcW w:w="3192" w:type="dxa"/>
            <w:tcBorders>
              <w:top w:val="single" w:sz="12" w:space="0" w:color="auto"/>
            </w:tcBorders>
            <w:shd w:val="clear" w:color="auto" w:fill="FFFFFF"/>
          </w:tcPr>
          <w:p w14:paraId="62F1A2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Материал: Горючее на 30 летных часов по 145 кг на 4 мотора</w:t>
            </w:r>
          </w:p>
        </w:tc>
        <w:tc>
          <w:tcPr>
            <w:tcW w:w="3192" w:type="dxa"/>
            <w:tcBorders>
              <w:top w:val="single" w:sz="12" w:space="0" w:color="auto"/>
            </w:tcBorders>
            <w:shd w:val="clear" w:color="auto" w:fill="FFFFFF"/>
          </w:tcPr>
          <w:p w14:paraId="6B069C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17400х1р10к</w:t>
            </w:r>
          </w:p>
        </w:tc>
        <w:tc>
          <w:tcPr>
            <w:tcW w:w="3192" w:type="dxa"/>
            <w:tcBorders>
              <w:top w:val="single" w:sz="12" w:space="0" w:color="auto"/>
            </w:tcBorders>
            <w:shd w:val="clear" w:color="auto" w:fill="FFFFFF"/>
          </w:tcPr>
          <w:p w14:paraId="77BC21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19140 р.</w:t>
            </w:r>
          </w:p>
        </w:tc>
      </w:tr>
      <w:tr w:rsidR="00E3599D" w:rsidRPr="00E14102" w14:paraId="3FFF2CD3" w14:textId="77777777">
        <w:tc>
          <w:tcPr>
            <w:tcW w:w="3192" w:type="dxa"/>
            <w:shd w:val="clear" w:color="auto" w:fill="FFFFFF"/>
          </w:tcPr>
          <w:p w14:paraId="763E4D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Масла</w:t>
            </w:r>
          </w:p>
        </w:tc>
        <w:tc>
          <w:tcPr>
            <w:tcW w:w="3192" w:type="dxa"/>
            <w:shd w:val="clear" w:color="auto" w:fill="FFFFFF"/>
          </w:tcPr>
          <w:p w14:paraId="4F38F3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1760х1р</w:t>
            </w:r>
          </w:p>
        </w:tc>
        <w:tc>
          <w:tcPr>
            <w:tcW w:w="3192" w:type="dxa"/>
            <w:shd w:val="clear" w:color="auto" w:fill="FFFFFF"/>
          </w:tcPr>
          <w:p w14:paraId="56E8E7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1760 р.</w:t>
            </w:r>
          </w:p>
        </w:tc>
      </w:tr>
      <w:tr w:rsidR="00E3599D" w:rsidRPr="00E14102" w14:paraId="2A4510D9" w14:textId="77777777">
        <w:tc>
          <w:tcPr>
            <w:tcW w:w="3192" w:type="dxa"/>
            <w:shd w:val="clear" w:color="auto" w:fill="FFFFFF"/>
          </w:tcPr>
          <w:p w14:paraId="3B6774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Прочие материалы (30%)</w:t>
            </w:r>
          </w:p>
        </w:tc>
        <w:tc>
          <w:tcPr>
            <w:tcW w:w="3192" w:type="dxa"/>
            <w:shd w:val="clear" w:color="auto" w:fill="FFFFFF"/>
          </w:tcPr>
          <w:p w14:paraId="0ADB983A" w14:textId="77777777" w:rsidR="00D4105E" w:rsidRPr="00E14102" w:rsidRDefault="00D4105E" w:rsidP="00E14102">
            <w:pPr>
              <w:autoSpaceDE w:val="0"/>
              <w:autoSpaceDN w:val="0"/>
              <w:adjustRightInd w:val="0"/>
              <w:jc w:val="both"/>
              <w:rPr>
                <w:color w:val="000000" w:themeColor="text1"/>
                <w:sz w:val="16"/>
                <w:szCs w:val="16"/>
              </w:rPr>
            </w:pPr>
          </w:p>
        </w:tc>
        <w:tc>
          <w:tcPr>
            <w:tcW w:w="3192" w:type="dxa"/>
            <w:shd w:val="clear" w:color="auto" w:fill="FFFFFF"/>
          </w:tcPr>
          <w:p w14:paraId="256B8E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44000 р.</w:t>
            </w:r>
          </w:p>
        </w:tc>
      </w:tr>
      <w:tr w:rsidR="00E3599D" w:rsidRPr="00E14102" w14:paraId="51019034" w14:textId="77777777">
        <w:tc>
          <w:tcPr>
            <w:tcW w:w="3192" w:type="dxa"/>
            <w:tcBorders>
              <w:bottom w:val="single" w:sz="12" w:space="0" w:color="auto"/>
            </w:tcBorders>
            <w:shd w:val="clear" w:color="auto" w:fill="FFFFFF"/>
          </w:tcPr>
          <w:p w14:paraId="36A40F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3192" w:type="dxa"/>
            <w:tcBorders>
              <w:bottom w:val="single" w:sz="12" w:space="0" w:color="auto"/>
            </w:tcBorders>
            <w:shd w:val="clear" w:color="auto" w:fill="FFFFFF"/>
          </w:tcPr>
          <w:p w14:paraId="4EEDC437" w14:textId="77777777" w:rsidR="00D4105E" w:rsidRPr="00E14102" w:rsidRDefault="00D4105E" w:rsidP="00E14102">
            <w:pPr>
              <w:autoSpaceDE w:val="0"/>
              <w:autoSpaceDN w:val="0"/>
              <w:adjustRightInd w:val="0"/>
              <w:jc w:val="both"/>
              <w:rPr>
                <w:color w:val="000000" w:themeColor="text1"/>
                <w:sz w:val="16"/>
                <w:szCs w:val="16"/>
              </w:rPr>
            </w:pPr>
          </w:p>
        </w:tc>
        <w:tc>
          <w:tcPr>
            <w:tcW w:w="3192" w:type="dxa"/>
            <w:tcBorders>
              <w:bottom w:val="single" w:sz="12" w:space="0" w:color="auto"/>
            </w:tcBorders>
            <w:shd w:val="clear" w:color="auto" w:fill="FFFFFF"/>
          </w:tcPr>
          <w:p w14:paraId="128D47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25300 р.</w:t>
            </w:r>
          </w:p>
        </w:tc>
      </w:tr>
    </w:tbl>
    <w:p w14:paraId="4405F4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Летные испытания:</w:t>
      </w:r>
    </w:p>
    <w:p w14:paraId="33903B5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Исходная сумма 3200 + Многоыоторн. 20% - 640</w:t>
      </w:r>
    </w:p>
    <w:p w14:paraId="3F4196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Вес контр. 20% - 640</w:t>
      </w:r>
    </w:p>
    <w:p w14:paraId="5236BB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4480</w:t>
      </w:r>
    </w:p>
    <w:p w14:paraId="18CA07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Суммы 1-му летчику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3599D" w:rsidRPr="00E14102" w14:paraId="2B924F98" w14:textId="77777777">
        <w:tc>
          <w:tcPr>
            <w:tcW w:w="4788" w:type="dxa"/>
            <w:tcBorders>
              <w:top w:val="single" w:sz="12" w:space="0" w:color="auto"/>
            </w:tcBorders>
            <w:shd w:val="clear" w:color="auto" w:fill="FFFFFF"/>
          </w:tcPr>
          <w:p w14:paraId="197F5F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Первый вылет с новыми моторами 35%</w:t>
            </w:r>
          </w:p>
        </w:tc>
        <w:tc>
          <w:tcPr>
            <w:tcW w:w="4788" w:type="dxa"/>
            <w:tcBorders>
              <w:top w:val="single" w:sz="12" w:space="0" w:color="auto"/>
            </w:tcBorders>
            <w:shd w:val="clear" w:color="auto" w:fill="FFFFFF"/>
          </w:tcPr>
          <w:p w14:paraId="46905E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1568</w:t>
            </w:r>
          </w:p>
        </w:tc>
      </w:tr>
      <w:tr w:rsidR="00E3599D" w:rsidRPr="00E14102" w14:paraId="34D0DE8D" w14:textId="77777777">
        <w:tc>
          <w:tcPr>
            <w:tcW w:w="4788" w:type="dxa"/>
            <w:shd w:val="clear" w:color="auto" w:fill="FFFFFF"/>
          </w:tcPr>
          <w:p w14:paraId="270441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Исп. в гориз. полете на высот. 1000, 2000, 3000, 4000 мт. 15%</w:t>
            </w:r>
          </w:p>
        </w:tc>
        <w:tc>
          <w:tcPr>
            <w:tcW w:w="4788" w:type="dxa"/>
            <w:shd w:val="clear" w:color="auto" w:fill="FFFFFF"/>
          </w:tcPr>
          <w:p w14:paraId="695674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672</w:t>
            </w:r>
          </w:p>
        </w:tc>
      </w:tr>
      <w:tr w:rsidR="00E3599D" w:rsidRPr="00E14102" w14:paraId="09067FE9" w14:textId="77777777">
        <w:tc>
          <w:tcPr>
            <w:tcW w:w="4788" w:type="dxa"/>
            <w:shd w:val="clear" w:color="auto" w:fill="FFFFFF"/>
          </w:tcPr>
          <w:p w14:paraId="4BF686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Под"ем на потолок и длительное планирование 15%</w:t>
            </w:r>
          </w:p>
        </w:tc>
        <w:tc>
          <w:tcPr>
            <w:tcW w:w="4788" w:type="dxa"/>
            <w:shd w:val="clear" w:color="auto" w:fill="FFFFFF"/>
          </w:tcPr>
          <w:p w14:paraId="4B8003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672</w:t>
            </w:r>
          </w:p>
        </w:tc>
      </w:tr>
      <w:tr w:rsidR="00E3599D" w:rsidRPr="00E14102" w14:paraId="3FA27798" w14:textId="77777777">
        <w:tc>
          <w:tcPr>
            <w:tcW w:w="4788" w:type="dxa"/>
            <w:shd w:val="clear" w:color="auto" w:fill="FFFFFF"/>
          </w:tcPr>
          <w:p w14:paraId="5965C7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Испытание системы при возможно максим. положительн. и отрицател. углах и кренах 3%</w:t>
            </w:r>
          </w:p>
        </w:tc>
        <w:tc>
          <w:tcPr>
            <w:tcW w:w="4788" w:type="dxa"/>
            <w:shd w:val="clear" w:color="auto" w:fill="FFFFFF"/>
          </w:tcPr>
          <w:p w14:paraId="30AB88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134</w:t>
            </w:r>
          </w:p>
        </w:tc>
      </w:tr>
      <w:tr w:rsidR="00E3599D" w:rsidRPr="00E14102" w14:paraId="5F9B8278" w14:textId="77777777">
        <w:tc>
          <w:tcPr>
            <w:tcW w:w="4788" w:type="dxa"/>
            <w:shd w:val="clear" w:color="auto" w:fill="FFFFFF"/>
          </w:tcPr>
          <w:p w14:paraId="56D2CB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Дополнительные летныа испыта</w:t>
            </w:r>
            <w:r w:rsidRPr="00E14102">
              <w:rPr>
                <w:color w:val="000000" w:themeColor="text1"/>
                <w:sz w:val="16"/>
                <w:szCs w:val="16"/>
              </w:rPr>
              <w:softHyphen/>
              <w:t>ния /ориентировочно/</w:t>
            </w:r>
          </w:p>
        </w:tc>
        <w:tc>
          <w:tcPr>
            <w:tcW w:w="4788" w:type="dxa"/>
            <w:shd w:val="clear" w:color="auto" w:fill="FFFFFF"/>
          </w:tcPr>
          <w:p w14:paraId="6FC47A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r>
      <w:tr w:rsidR="00E3599D" w:rsidRPr="00E14102" w14:paraId="233E3310" w14:textId="77777777">
        <w:tc>
          <w:tcPr>
            <w:tcW w:w="4788" w:type="dxa"/>
            <w:tcBorders>
              <w:bottom w:val="single" w:sz="12" w:space="0" w:color="auto"/>
            </w:tcBorders>
            <w:shd w:val="clear" w:color="auto" w:fill="FFFFFF"/>
          </w:tcPr>
          <w:p w14:paraId="6BE922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4788" w:type="dxa"/>
            <w:tcBorders>
              <w:bottom w:val="single" w:sz="12" w:space="0" w:color="auto"/>
            </w:tcBorders>
            <w:shd w:val="clear" w:color="auto" w:fill="FFFFFF"/>
          </w:tcPr>
          <w:p w14:paraId="69CAC6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3546</w:t>
            </w:r>
          </w:p>
        </w:tc>
      </w:tr>
    </w:tbl>
    <w:p w14:paraId="2439B2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Летные испытания.</w:t>
      </w:r>
    </w:p>
    <w:p w14:paraId="548D089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Экипаж</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tblGrid>
      <w:tr w:rsidR="00E3599D" w:rsidRPr="00E14102" w14:paraId="664DBD40" w14:textId="77777777">
        <w:tc>
          <w:tcPr>
            <w:tcW w:w="3192" w:type="dxa"/>
            <w:tcBorders>
              <w:top w:val="single" w:sz="12" w:space="0" w:color="auto"/>
            </w:tcBorders>
            <w:shd w:val="clear" w:color="auto" w:fill="FFFFFF"/>
          </w:tcPr>
          <w:p w14:paraId="419033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Лётчик - 1</w:t>
            </w:r>
          </w:p>
        </w:tc>
        <w:tc>
          <w:tcPr>
            <w:tcW w:w="3192" w:type="dxa"/>
            <w:tcBorders>
              <w:top w:val="single" w:sz="12" w:space="0" w:color="auto"/>
            </w:tcBorders>
            <w:shd w:val="clear" w:color="auto" w:fill="FFFFFF"/>
          </w:tcPr>
          <w:p w14:paraId="54268F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0641017D" w14:textId="77777777">
        <w:tc>
          <w:tcPr>
            <w:tcW w:w="3192" w:type="dxa"/>
            <w:shd w:val="clear" w:color="auto" w:fill="FFFFFF"/>
          </w:tcPr>
          <w:p w14:paraId="4F623F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Вед-.иняанер 1</w:t>
            </w:r>
          </w:p>
        </w:tc>
        <w:tc>
          <w:tcPr>
            <w:tcW w:w="3192" w:type="dxa"/>
            <w:shd w:val="clear" w:color="auto" w:fill="FFFFFF"/>
          </w:tcPr>
          <w:p w14:paraId="072735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w:t>
            </w:r>
          </w:p>
        </w:tc>
      </w:tr>
      <w:tr w:rsidR="00E3599D" w:rsidRPr="00E14102" w14:paraId="4FE727B4" w14:textId="77777777">
        <w:tc>
          <w:tcPr>
            <w:tcW w:w="3192" w:type="dxa"/>
            <w:shd w:val="clear" w:color="auto" w:fill="FFFFFF"/>
          </w:tcPr>
          <w:p w14:paraId="06E2BB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 2</w:t>
            </w:r>
          </w:p>
        </w:tc>
        <w:tc>
          <w:tcPr>
            <w:tcW w:w="3192" w:type="dxa"/>
            <w:shd w:val="clear" w:color="auto" w:fill="FFFFFF"/>
          </w:tcPr>
          <w:p w14:paraId="432DD2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w:t>
            </w:r>
          </w:p>
        </w:tc>
      </w:tr>
      <w:tr w:rsidR="00E3599D" w:rsidRPr="00E14102" w14:paraId="60769C5B" w14:textId="77777777">
        <w:tc>
          <w:tcPr>
            <w:tcW w:w="3192" w:type="dxa"/>
            <w:shd w:val="clear" w:color="auto" w:fill="FFFFFF"/>
          </w:tcPr>
          <w:p w14:paraId="71EB11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В/техник 7</w:t>
            </w:r>
          </w:p>
        </w:tc>
        <w:tc>
          <w:tcPr>
            <w:tcW w:w="3192" w:type="dxa"/>
            <w:shd w:val="clear" w:color="auto" w:fill="FFFFFF"/>
          </w:tcPr>
          <w:p w14:paraId="6207CD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r>
      <w:tr w:rsidR="00E3599D" w:rsidRPr="00E14102" w14:paraId="1A922E15" w14:textId="77777777">
        <w:tc>
          <w:tcPr>
            <w:tcW w:w="3192" w:type="dxa"/>
            <w:shd w:val="clear" w:color="auto" w:fill="FFFFFF"/>
          </w:tcPr>
          <w:p w14:paraId="41593E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Техник/авио/ 2</w:t>
            </w:r>
          </w:p>
        </w:tc>
        <w:tc>
          <w:tcPr>
            <w:tcW w:w="3192" w:type="dxa"/>
            <w:shd w:val="clear" w:color="auto" w:fill="FFFFFF"/>
          </w:tcPr>
          <w:p w14:paraId="17BBCC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r>
      <w:tr w:rsidR="00E3599D" w:rsidRPr="00E14102" w14:paraId="33E8BC3C" w14:textId="77777777">
        <w:tc>
          <w:tcPr>
            <w:tcW w:w="3192" w:type="dxa"/>
            <w:shd w:val="clear" w:color="auto" w:fill="FFFFFF"/>
          </w:tcPr>
          <w:p w14:paraId="74FEA2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Техник /специалист/ 2</w:t>
            </w:r>
          </w:p>
        </w:tc>
        <w:tc>
          <w:tcPr>
            <w:tcW w:w="3192" w:type="dxa"/>
            <w:shd w:val="clear" w:color="auto" w:fill="FFFFFF"/>
          </w:tcPr>
          <w:p w14:paraId="67A4AF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r>
      <w:tr w:rsidR="00E3599D" w:rsidRPr="00E14102" w14:paraId="2A53CD76" w14:textId="77777777">
        <w:tc>
          <w:tcPr>
            <w:tcW w:w="3192" w:type="dxa"/>
            <w:tcBorders>
              <w:bottom w:val="single" w:sz="12" w:space="0" w:color="auto"/>
            </w:tcBorders>
            <w:shd w:val="clear" w:color="auto" w:fill="FFFFFF"/>
          </w:tcPr>
          <w:p w14:paraId="028A12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летающ. персон.</w:t>
            </w:r>
          </w:p>
        </w:tc>
        <w:tc>
          <w:tcPr>
            <w:tcW w:w="3192" w:type="dxa"/>
            <w:tcBorders>
              <w:bottom w:val="single" w:sz="12" w:space="0" w:color="auto"/>
            </w:tcBorders>
            <w:shd w:val="clear" w:color="auto" w:fill="FFFFFF"/>
          </w:tcPr>
          <w:p w14:paraId="05FF32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r>
    </w:tbl>
    <w:p w14:paraId="6BFDDF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335% или 11200 руб.</w:t>
      </w:r>
    </w:p>
    <w:p w14:paraId="0566CE1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распоряжение Нач. Отдела 1100 руб.</w:t>
      </w:r>
    </w:p>
    <w:p w14:paraId="53FC64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Всего 12300 руб.</w:t>
      </w:r>
    </w:p>
    <w:p w14:paraId="149BF1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Денежные расходы</w:t>
      </w:r>
    </w:p>
    <w:p w14:paraId="3D98556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Уплата 24 заводу за переборку моторов по 6000 рублей за 4 мотора - 24000</w:t>
      </w:r>
    </w:p>
    <w:p w14:paraId="1811745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Прочие 2500 руб.</w:t>
      </w:r>
    </w:p>
    <w:p w14:paraId="70A9D7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Накладные расходы.</w:t>
      </w:r>
    </w:p>
    <w:p w14:paraId="3EC68A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110% от зарплаты с летными 29400 руб.</w:t>
      </w:r>
    </w:p>
    <w:p w14:paraId="61BE77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ИТОГО ОТДЕЛЬСКАЯ СТОИМОСТЬ .107800 руб.</w:t>
      </w:r>
    </w:p>
    <w:p w14:paraId="62FE244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Общеинститутские расходы 18326</w:t>
      </w:r>
    </w:p>
    <w:p w14:paraId="4AC1DA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ВСЕГО: 126126 руб. (2336,106).</w:t>
      </w:r>
    </w:p>
    <w:p w14:paraId="09E2C1D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B33BE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состоянию на 1 июня 1935 состояние работ по опытногму самолето-моторостроению программы 1935 г. было следующим: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4536"/>
        <w:gridCol w:w="1422"/>
        <w:gridCol w:w="3582"/>
      </w:tblGrid>
      <w:tr w:rsidR="00E3599D" w:rsidRPr="00E14102" w14:paraId="08574DAE" w14:textId="77777777">
        <w:tc>
          <w:tcPr>
            <w:tcW w:w="1668" w:type="dxa"/>
            <w:tcBorders>
              <w:top w:val="single" w:sz="12" w:space="0" w:color="auto"/>
            </w:tcBorders>
          </w:tcPr>
          <w:p w14:paraId="6B2053C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объекта (завод производитель)</w:t>
            </w:r>
          </w:p>
        </w:tc>
        <w:tc>
          <w:tcPr>
            <w:tcW w:w="4536" w:type="dxa"/>
            <w:tcBorders>
              <w:top w:val="single" w:sz="12" w:space="0" w:color="auto"/>
            </w:tcBorders>
          </w:tcPr>
          <w:p w14:paraId="523B996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Характеристика машины (агрегата)</w:t>
            </w:r>
          </w:p>
        </w:tc>
        <w:tc>
          <w:tcPr>
            <w:tcW w:w="1422" w:type="dxa"/>
            <w:tcBorders>
              <w:top w:val="single" w:sz="12" w:space="0" w:color="auto"/>
            </w:tcBorders>
          </w:tcPr>
          <w:p w14:paraId="53787AE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готовности по пост. СТО</w:t>
            </w:r>
          </w:p>
        </w:tc>
        <w:tc>
          <w:tcPr>
            <w:tcW w:w="3582" w:type="dxa"/>
            <w:tcBorders>
              <w:top w:val="single" w:sz="12" w:space="0" w:color="auto"/>
            </w:tcBorders>
          </w:tcPr>
          <w:p w14:paraId="500FC72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Состояние работ на 1 июня 1935</w:t>
            </w:r>
          </w:p>
        </w:tc>
      </w:tr>
      <w:tr w:rsidR="00E3599D" w:rsidRPr="00E14102" w14:paraId="2B92C54B" w14:textId="77777777">
        <w:tc>
          <w:tcPr>
            <w:tcW w:w="11208" w:type="dxa"/>
            <w:gridSpan w:val="4"/>
          </w:tcPr>
          <w:p w14:paraId="184BB60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Достраиваемые по плану от 14 июля 1934 г.</w:t>
            </w:r>
          </w:p>
        </w:tc>
      </w:tr>
      <w:tr w:rsidR="00E3599D" w:rsidRPr="00E14102" w14:paraId="6D6813C3" w14:textId="77777777">
        <w:tc>
          <w:tcPr>
            <w:tcW w:w="1668" w:type="dxa"/>
          </w:tcPr>
          <w:p w14:paraId="38A7A22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И-17-М-100 (з-д № 39)</w:t>
            </w:r>
          </w:p>
        </w:tc>
        <w:tc>
          <w:tcPr>
            <w:tcW w:w="4536" w:type="dxa"/>
          </w:tcPr>
          <w:p w14:paraId="12050F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Скорость 425/5000</w:t>
            </w:r>
          </w:p>
          <w:p w14:paraId="673F16C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Потолок - 9500-10000, вооружение - 2-4 легк. пулемета.</w:t>
            </w:r>
          </w:p>
        </w:tc>
        <w:tc>
          <w:tcPr>
            <w:tcW w:w="1422" w:type="dxa"/>
          </w:tcPr>
          <w:p w14:paraId="7A59F40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1.1Х.35.</w:t>
            </w:r>
          </w:p>
        </w:tc>
        <w:tc>
          <w:tcPr>
            <w:tcW w:w="3582" w:type="dxa"/>
          </w:tcPr>
          <w:p w14:paraId="67F2EC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Первый экземпляр на заводских испытаниях. Показывает удовлетвор. данные. Второй, улучшен</w:t>
            </w:r>
            <w:r w:rsidRPr="00E14102">
              <w:rPr>
                <w:color w:val="000000" w:themeColor="text1"/>
                <w:sz w:val="16"/>
                <w:szCs w:val="16"/>
              </w:rPr>
              <w:softHyphen/>
              <w:t>ный - строится.Общая технич.готовность само</w:t>
            </w:r>
            <w:r w:rsidRPr="00E14102">
              <w:rPr>
                <w:color w:val="000000" w:themeColor="text1"/>
                <w:sz w:val="16"/>
                <w:szCs w:val="16"/>
              </w:rPr>
              <w:softHyphen/>
              <w:t>лета- 20%.</w:t>
            </w:r>
          </w:p>
        </w:tc>
      </w:tr>
      <w:tr w:rsidR="00E3599D" w:rsidRPr="00E14102" w14:paraId="2EDC3735" w14:textId="77777777">
        <w:tc>
          <w:tcPr>
            <w:tcW w:w="1668" w:type="dxa"/>
          </w:tcPr>
          <w:p w14:paraId="4CCB063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-18-П-100 (з-д № 39)</w:t>
            </w:r>
          </w:p>
        </w:tc>
        <w:tc>
          <w:tcPr>
            <w:tcW w:w="4536" w:type="dxa"/>
          </w:tcPr>
          <w:p w14:paraId="23B9647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Вариант И-17 с паровым охлаждештем и пушкой</w:t>
            </w:r>
          </w:p>
          <w:p w14:paraId="1A4EDF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Скорость - 380-400/0</w:t>
            </w:r>
          </w:p>
        </w:tc>
        <w:tc>
          <w:tcPr>
            <w:tcW w:w="1422" w:type="dxa"/>
          </w:tcPr>
          <w:p w14:paraId="5EF331A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1.1Х.35.</w:t>
            </w:r>
          </w:p>
        </w:tc>
        <w:tc>
          <w:tcPr>
            <w:tcW w:w="3582" w:type="dxa"/>
          </w:tcPr>
          <w:p w14:paraId="32C446C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Техническая готовность 10%. Задерживает недоработанность парового охлаждения (ЦИАМ) и пушечного вооружения (т. Шпитальпый).</w:t>
            </w:r>
          </w:p>
        </w:tc>
      </w:tr>
      <w:tr w:rsidR="00E3599D" w:rsidRPr="00E14102" w14:paraId="4BAA717F" w14:textId="77777777">
        <w:tc>
          <w:tcPr>
            <w:tcW w:w="1668" w:type="dxa"/>
          </w:tcPr>
          <w:p w14:paraId="513EA9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И-21-М-100 (НИИ ГУГВФ)</w:t>
            </w:r>
          </w:p>
          <w:p w14:paraId="6C06A92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536" w:type="dxa"/>
          </w:tcPr>
          <w:p w14:paraId="5693DCF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Скорость 500,4000, потолок-10000 вооружение- 1-2—пушки.</w:t>
            </w:r>
          </w:p>
        </w:tc>
        <w:tc>
          <w:tcPr>
            <w:tcW w:w="1422" w:type="dxa"/>
          </w:tcPr>
          <w:p w14:paraId="018FBDA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1.Х1.35.</w:t>
            </w:r>
          </w:p>
        </w:tc>
        <w:tc>
          <w:tcPr>
            <w:tcW w:w="3582" w:type="dxa"/>
          </w:tcPr>
          <w:p w14:paraId="026A86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Задершживает отсутствие материала, мотора и вооружения. Изготовляются к испытаниятл отдель</w:t>
            </w:r>
            <w:r w:rsidRPr="00E14102">
              <w:rPr>
                <w:color w:val="000000" w:themeColor="text1"/>
                <w:sz w:val="16"/>
                <w:szCs w:val="16"/>
              </w:rPr>
              <w:softHyphen/>
              <w:t>ные детали.</w:t>
            </w:r>
          </w:p>
        </w:tc>
      </w:tr>
      <w:tr w:rsidR="00E3599D" w:rsidRPr="00E14102" w14:paraId="17A05C83" w14:textId="77777777">
        <w:tc>
          <w:tcPr>
            <w:tcW w:w="1668" w:type="dxa"/>
          </w:tcPr>
          <w:p w14:paraId="64D0F1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МИ-3-М-25 (з-д № 1)</w:t>
            </w:r>
          </w:p>
        </w:tc>
        <w:tc>
          <w:tcPr>
            <w:tcW w:w="4536" w:type="dxa"/>
          </w:tcPr>
          <w:p w14:paraId="3EDB528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Скорость 400/3000, потолок-8000--8500 мтр., вооружение - 2 пуш</w:t>
            </w:r>
            <w:r w:rsidRPr="00E14102">
              <w:rPr>
                <w:color w:val="000000" w:themeColor="text1"/>
                <w:sz w:val="16"/>
                <w:szCs w:val="16"/>
              </w:rPr>
              <w:softHyphen/>
              <w:t>ки 76 мм и 2 пул.</w:t>
            </w:r>
          </w:p>
        </w:tc>
        <w:tc>
          <w:tcPr>
            <w:tcW w:w="1422" w:type="dxa"/>
          </w:tcPr>
          <w:p w14:paraId="7EFAA59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1.УШ.35.</w:t>
            </w:r>
          </w:p>
        </w:tc>
        <w:tc>
          <w:tcPr>
            <w:tcW w:w="3582" w:type="dxa"/>
          </w:tcPr>
          <w:p w14:paraId="70AF7E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Находится на заводских испытаниях.</w:t>
            </w:r>
          </w:p>
        </w:tc>
      </w:tr>
      <w:tr w:rsidR="00E3599D" w:rsidRPr="00E14102" w14:paraId="0D94C4FB" w14:textId="77777777">
        <w:tc>
          <w:tcPr>
            <w:tcW w:w="1668" w:type="dxa"/>
          </w:tcPr>
          <w:p w14:paraId="7E09BF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РД-2-2-М-85</w:t>
            </w:r>
          </w:p>
        </w:tc>
        <w:tc>
          <w:tcPr>
            <w:tcW w:w="4536" w:type="dxa"/>
          </w:tcPr>
          <w:p w14:paraId="5706FD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Перепроектирован с самолета РД. Дальность - 5000 клм., ско</w:t>
            </w:r>
            <w:r w:rsidRPr="00E14102">
              <w:rPr>
                <w:color w:val="000000" w:themeColor="text1"/>
                <w:sz w:val="16"/>
                <w:szCs w:val="16"/>
              </w:rPr>
              <w:softHyphen/>
              <w:t>рость- 300-320/4500, потолок 7000-7500, вооружение - 3 пуле</w:t>
            </w:r>
            <w:r w:rsidRPr="00E14102">
              <w:rPr>
                <w:color w:val="000000" w:themeColor="text1"/>
                <w:sz w:val="16"/>
                <w:szCs w:val="16"/>
              </w:rPr>
              <w:softHyphen/>
              <w:t>мета ШКАС и 1000 кгр. бомб. Производство на зав. № 18.</w:t>
            </w:r>
          </w:p>
        </w:tc>
        <w:tc>
          <w:tcPr>
            <w:tcW w:w="1422" w:type="dxa"/>
          </w:tcPr>
          <w:p w14:paraId="42356A8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15.УП.35.</w:t>
            </w:r>
          </w:p>
        </w:tc>
        <w:tc>
          <w:tcPr>
            <w:tcW w:w="3582" w:type="dxa"/>
          </w:tcPr>
          <w:p w14:paraId="1645C4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закончен постройкой и выводится на аэродром. Моторы опробованы.</w:t>
            </w:r>
          </w:p>
        </w:tc>
      </w:tr>
      <w:tr w:rsidR="00E3599D" w:rsidRPr="00E14102" w14:paraId="2DF21251" w14:textId="77777777">
        <w:tc>
          <w:tcPr>
            <w:tcW w:w="1668" w:type="dxa"/>
          </w:tcPr>
          <w:p w14:paraId="1F55940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ДБА-4М34 (з-д № 22)</w:t>
            </w:r>
          </w:p>
        </w:tc>
        <w:tc>
          <w:tcPr>
            <w:tcW w:w="4536" w:type="dxa"/>
          </w:tcPr>
          <w:p w14:paraId="311C5E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Бомбардир. дальнего действия. Скорость 310/4000, потолок - 6000-7000, бомб.нагрузка - 2000/1300 и с перегрузкой 1000/4000, вооружение - пулеметы и пушки.</w:t>
            </w:r>
          </w:p>
        </w:tc>
        <w:tc>
          <w:tcPr>
            <w:tcW w:w="1422" w:type="dxa"/>
          </w:tcPr>
          <w:p w14:paraId="2864462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1.1Х.35.</w:t>
            </w:r>
          </w:p>
        </w:tc>
        <w:tc>
          <w:tcPr>
            <w:tcW w:w="3582" w:type="dxa"/>
          </w:tcPr>
          <w:p w14:paraId="29E414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находится на заводских испытаниях и доводке.</w:t>
            </w:r>
          </w:p>
        </w:tc>
      </w:tr>
      <w:tr w:rsidR="00E3599D" w:rsidRPr="00E14102" w14:paraId="4BAA30A7" w14:textId="77777777">
        <w:tc>
          <w:tcPr>
            <w:tcW w:w="1668" w:type="dxa"/>
          </w:tcPr>
          <w:p w14:paraId="3AB5754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ФР-М-25 (ХАИ)</w:t>
            </w:r>
          </w:p>
        </w:tc>
        <w:tc>
          <w:tcPr>
            <w:tcW w:w="4536" w:type="dxa"/>
          </w:tcPr>
          <w:p w14:paraId="5E612C6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Фото-разведчик, скорость- 435/2000</w:t>
            </w:r>
          </w:p>
        </w:tc>
        <w:tc>
          <w:tcPr>
            <w:tcW w:w="1422" w:type="dxa"/>
          </w:tcPr>
          <w:p w14:paraId="50F1AF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1.У1.35.</w:t>
            </w:r>
          </w:p>
        </w:tc>
        <w:tc>
          <w:tcPr>
            <w:tcW w:w="3582" w:type="dxa"/>
          </w:tcPr>
          <w:p w14:paraId="62E6CF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подготовлен к запводским испытаниям</w:t>
            </w:r>
          </w:p>
        </w:tc>
      </w:tr>
      <w:tr w:rsidR="00E3599D" w:rsidRPr="00E14102" w14:paraId="69EE0EC7" w14:textId="77777777">
        <w:tc>
          <w:tcPr>
            <w:tcW w:w="1668" w:type="dxa"/>
          </w:tcPr>
          <w:p w14:paraId="5B19656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МБР-5-М25 (з-д № 31)</w:t>
            </w:r>
          </w:p>
        </w:tc>
        <w:tc>
          <w:tcPr>
            <w:tcW w:w="4536" w:type="dxa"/>
          </w:tcPr>
          <w:p w14:paraId="785458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Амфибия. Скорость 275/3000, потолок - 6000, 2 огневые точки, 400 кгр. Бомб</w:t>
            </w:r>
          </w:p>
        </w:tc>
        <w:tc>
          <w:tcPr>
            <w:tcW w:w="1422" w:type="dxa"/>
          </w:tcPr>
          <w:p w14:paraId="56E0247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1.УШ.35.</w:t>
            </w:r>
          </w:p>
        </w:tc>
        <w:tc>
          <w:tcPr>
            <w:tcW w:w="3582" w:type="dxa"/>
          </w:tcPr>
          <w:p w14:paraId="6FE2C6B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Заканчивается конструктивная разработка и параллельно идет строительство самолета. Техготовность - 75%</w:t>
            </w:r>
          </w:p>
        </w:tc>
      </w:tr>
      <w:tr w:rsidR="00E3599D" w:rsidRPr="00E14102" w14:paraId="78B82F4F" w14:textId="77777777">
        <w:tc>
          <w:tcPr>
            <w:tcW w:w="1668" w:type="dxa"/>
          </w:tcPr>
          <w:p w14:paraId="6CB9E0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ВС-2-М22 (з-д № 18)</w:t>
            </w:r>
          </w:p>
        </w:tc>
        <w:tc>
          <w:tcPr>
            <w:tcW w:w="4536" w:type="dxa"/>
          </w:tcPr>
          <w:p w14:paraId="31E2AF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Войсковой самолет.</w:t>
            </w:r>
          </w:p>
        </w:tc>
        <w:tc>
          <w:tcPr>
            <w:tcW w:w="1422" w:type="dxa"/>
          </w:tcPr>
          <w:p w14:paraId="607E2F8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1.Х.35.</w:t>
            </w:r>
          </w:p>
        </w:tc>
        <w:tc>
          <w:tcPr>
            <w:tcW w:w="3582" w:type="dxa"/>
          </w:tcPr>
          <w:p w14:paraId="63F2E7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производстве. Готов</w:t>
            </w:r>
            <w:r w:rsidRPr="00E14102">
              <w:rPr>
                <w:color w:val="000000" w:themeColor="text1"/>
                <w:sz w:val="16"/>
                <w:szCs w:val="16"/>
              </w:rPr>
              <w:softHyphen/>
              <w:t>ность - 20%.</w:t>
            </w:r>
          </w:p>
        </w:tc>
      </w:tr>
      <w:tr w:rsidR="00E3599D" w:rsidRPr="00E14102" w14:paraId="401018EE" w14:textId="77777777">
        <w:tc>
          <w:tcPr>
            <w:tcW w:w="1668" w:type="dxa"/>
          </w:tcPr>
          <w:p w14:paraId="4CFBDD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СС-М34 (з-д № 35)</w:t>
            </w:r>
          </w:p>
        </w:tc>
        <w:tc>
          <w:tcPr>
            <w:tcW w:w="4536" w:type="dxa"/>
          </w:tcPr>
          <w:p w14:paraId="755D8AB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Стратосферный самолет. Потолок -11.000-12.000 мтр.</w:t>
            </w:r>
          </w:p>
        </w:tc>
        <w:tc>
          <w:tcPr>
            <w:tcW w:w="1422" w:type="dxa"/>
          </w:tcPr>
          <w:p w14:paraId="209F02F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1.УШ.35.</w:t>
            </w:r>
          </w:p>
        </w:tc>
        <w:tc>
          <w:tcPr>
            <w:tcW w:w="3582" w:type="dxa"/>
          </w:tcPr>
          <w:p w14:paraId="0F40B29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в сборке. Испытывается высотная ка</w:t>
            </w:r>
            <w:r w:rsidRPr="00E14102">
              <w:rPr>
                <w:color w:val="000000" w:themeColor="text1"/>
                <w:sz w:val="16"/>
                <w:szCs w:val="16"/>
              </w:rPr>
              <w:softHyphen/>
              <w:t>бина и приборы на дав</w:t>
            </w:r>
            <w:r w:rsidRPr="00E14102">
              <w:rPr>
                <w:color w:val="000000" w:themeColor="text1"/>
                <w:sz w:val="16"/>
                <w:szCs w:val="16"/>
              </w:rPr>
              <w:softHyphen/>
              <w:t>ление. Техготовность - 85%.</w:t>
            </w:r>
          </w:p>
        </w:tc>
      </w:tr>
      <w:tr w:rsidR="00E3599D" w:rsidRPr="00E14102" w14:paraId="43859D7C" w14:textId="77777777">
        <w:tc>
          <w:tcPr>
            <w:tcW w:w="1668" w:type="dxa"/>
          </w:tcPr>
          <w:p w14:paraId="449946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Летающее крыло (з-д № 1), (Черановский)</w:t>
            </w:r>
          </w:p>
        </w:tc>
        <w:tc>
          <w:tcPr>
            <w:tcW w:w="4536" w:type="dxa"/>
          </w:tcPr>
          <w:p w14:paraId="4737D5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Истребитель. Экспериментальные работы. Технические требования не указаны.</w:t>
            </w:r>
          </w:p>
        </w:tc>
        <w:tc>
          <w:tcPr>
            <w:tcW w:w="1422" w:type="dxa"/>
          </w:tcPr>
          <w:p w14:paraId="4411D33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1.Х1.35.</w:t>
            </w:r>
          </w:p>
        </w:tc>
        <w:tc>
          <w:tcPr>
            <w:tcW w:w="3582" w:type="dxa"/>
          </w:tcPr>
          <w:p w14:paraId="7AE1CD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Проект готов. Черановскийпока находится у Курчевскрго, в связи с чем з-д № 1 не работа</w:t>
            </w:r>
            <w:r w:rsidRPr="00E14102">
              <w:rPr>
                <w:color w:val="000000" w:themeColor="text1"/>
                <w:sz w:val="16"/>
                <w:szCs w:val="16"/>
              </w:rPr>
              <w:softHyphen/>
              <w:t>ет над этой малиной.</w:t>
            </w:r>
          </w:p>
        </w:tc>
      </w:tr>
      <w:tr w:rsidR="00E3599D" w:rsidRPr="00E14102" w14:paraId="79EA8F3F" w14:textId="77777777">
        <w:tc>
          <w:tcPr>
            <w:tcW w:w="1668" w:type="dxa"/>
          </w:tcPr>
          <w:p w14:paraId="77F7657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Скоростной автожир (ЦАГИ), мотор М-25</w:t>
            </w:r>
          </w:p>
        </w:tc>
        <w:tc>
          <w:tcPr>
            <w:tcW w:w="4536" w:type="dxa"/>
          </w:tcPr>
          <w:p w14:paraId="68FBF0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Скорость - 360/3000, потолок - 6000, 2 пулемета.</w:t>
            </w:r>
          </w:p>
        </w:tc>
        <w:tc>
          <w:tcPr>
            <w:tcW w:w="1422" w:type="dxa"/>
          </w:tcPr>
          <w:p w14:paraId="2457840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1.Х11.35.</w:t>
            </w:r>
          </w:p>
        </w:tc>
        <w:tc>
          <w:tcPr>
            <w:tcW w:w="3582" w:type="dxa"/>
          </w:tcPr>
          <w:p w14:paraId="4C6FD9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Ведется конструктивн. и экспериментальная работа. В постройке отдельные детали и агрегаты.</w:t>
            </w:r>
          </w:p>
        </w:tc>
      </w:tr>
      <w:tr w:rsidR="00E3599D" w:rsidRPr="00E14102" w14:paraId="5B64876A" w14:textId="77777777">
        <w:tc>
          <w:tcPr>
            <w:tcW w:w="11208" w:type="dxa"/>
            <w:gridSpan w:val="4"/>
          </w:tcPr>
          <w:p w14:paraId="36865B2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Строящиеся по плану от 16.4.35г.</w:t>
            </w:r>
          </w:p>
        </w:tc>
      </w:tr>
      <w:tr w:rsidR="00E3599D" w:rsidRPr="00E14102" w14:paraId="4D932C1C" w14:textId="77777777">
        <w:tc>
          <w:tcPr>
            <w:tcW w:w="1668" w:type="dxa"/>
          </w:tcPr>
          <w:p w14:paraId="3AABE4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ДБ-2М34ФРН  (з-д № 18)</w:t>
            </w:r>
          </w:p>
        </w:tc>
        <w:tc>
          <w:tcPr>
            <w:tcW w:w="4536" w:type="dxa"/>
          </w:tcPr>
          <w:p w14:paraId="6F7ADFE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Вариант РД и пассажирского на 12 чел. Скорость 450-500, бое</w:t>
            </w:r>
            <w:r w:rsidRPr="00E14102">
              <w:rPr>
                <w:color w:val="000000" w:themeColor="text1"/>
                <w:sz w:val="16"/>
                <w:szCs w:val="16"/>
              </w:rPr>
              <w:softHyphen/>
              <w:t>вой потолок - 5000, дальность - 4.000 клм., вооружение - 2 пу</w:t>
            </w:r>
            <w:r w:rsidRPr="00E14102">
              <w:rPr>
                <w:color w:val="000000" w:themeColor="text1"/>
                <w:sz w:val="16"/>
                <w:szCs w:val="16"/>
              </w:rPr>
              <w:softHyphen/>
              <w:t>лемета, пушка 20 мм, бомбовая нагрузка- 3.000 кгр.</w:t>
            </w:r>
          </w:p>
        </w:tc>
        <w:tc>
          <w:tcPr>
            <w:tcW w:w="1422" w:type="dxa"/>
          </w:tcPr>
          <w:p w14:paraId="57ED299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1.1Х.35.</w:t>
            </w:r>
          </w:p>
        </w:tc>
        <w:tc>
          <w:tcPr>
            <w:tcW w:w="3582" w:type="dxa"/>
          </w:tcPr>
          <w:p w14:paraId="4060686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Эскизный проект и макет утверждены.Самллет в построике. Производ. Готовность - 55%. Работа замедлена в связи с переездом группы т. Ка</w:t>
            </w:r>
            <w:r w:rsidRPr="00E14102">
              <w:rPr>
                <w:color w:val="000000" w:themeColor="text1"/>
                <w:sz w:val="16"/>
                <w:szCs w:val="16"/>
              </w:rPr>
              <w:softHyphen/>
              <w:t>линина из Харькова в Воронеж.</w:t>
            </w:r>
          </w:p>
        </w:tc>
      </w:tr>
      <w:tr w:rsidR="00E3599D" w:rsidRPr="00E14102" w14:paraId="0B130313" w14:textId="77777777">
        <w:tc>
          <w:tcPr>
            <w:tcW w:w="1668" w:type="dxa"/>
          </w:tcPr>
          <w:p w14:paraId="22101A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ССС-М34ФН (з-д № 39)</w:t>
            </w:r>
          </w:p>
        </w:tc>
        <w:tc>
          <w:tcPr>
            <w:tcW w:w="4536" w:type="dxa"/>
          </w:tcPr>
          <w:p w14:paraId="5ED34C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Разведчик скоростной, приспосаб</w:t>
            </w:r>
            <w:r w:rsidRPr="00E14102">
              <w:rPr>
                <w:color w:val="000000" w:themeColor="text1"/>
                <w:sz w:val="16"/>
                <w:szCs w:val="16"/>
              </w:rPr>
              <w:softHyphen/>
              <w:t>ливается к варианту двухмест</w:t>
            </w:r>
            <w:r w:rsidRPr="00E14102">
              <w:rPr>
                <w:color w:val="000000" w:themeColor="text1"/>
                <w:sz w:val="16"/>
                <w:szCs w:val="16"/>
              </w:rPr>
              <w:softHyphen/>
              <w:t>ного истребителя. Скорость - 450-500, боевой потолок - 4500-5000, дальность - 1000 клм., вооружение 2-3 пулемета, 2 огнеметных прибора по 50 кгр. или ОВ.</w:t>
            </w:r>
          </w:p>
        </w:tc>
        <w:tc>
          <w:tcPr>
            <w:tcW w:w="1422" w:type="dxa"/>
          </w:tcPr>
          <w:p w14:paraId="6B3BCF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1.1Х.35.</w:t>
            </w:r>
          </w:p>
        </w:tc>
        <w:tc>
          <w:tcPr>
            <w:tcW w:w="3582" w:type="dxa"/>
          </w:tcPr>
          <w:p w14:paraId="708DCD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зав. № 39- конструктивные чертежи спуще</w:t>
            </w:r>
            <w:r w:rsidRPr="00E14102">
              <w:rPr>
                <w:color w:val="000000" w:themeColor="text1"/>
                <w:sz w:val="16"/>
                <w:szCs w:val="16"/>
              </w:rPr>
              <w:softHyphen/>
              <w:t>ны в производство. Идет заготовка деталей. Техготовность - 10%</w:t>
            </w:r>
          </w:p>
        </w:tc>
      </w:tr>
      <w:tr w:rsidR="00E3599D" w:rsidRPr="00E14102" w14:paraId="4345B40E" w14:textId="77777777">
        <w:tc>
          <w:tcPr>
            <w:tcW w:w="1668" w:type="dxa"/>
          </w:tcPr>
          <w:p w14:paraId="73699E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(з-д № 1)</w:t>
            </w:r>
          </w:p>
        </w:tc>
        <w:tc>
          <w:tcPr>
            <w:tcW w:w="4536" w:type="dxa"/>
          </w:tcPr>
          <w:p w14:paraId="35F59A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422" w:type="dxa"/>
          </w:tcPr>
          <w:p w14:paraId="2A28F82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3582" w:type="dxa"/>
          </w:tcPr>
          <w:p w14:paraId="00C5E7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з-ду № 1 - заканчивается эскизный проект</w:t>
            </w:r>
          </w:p>
        </w:tc>
      </w:tr>
      <w:tr w:rsidR="00E3599D" w:rsidRPr="00E14102" w14:paraId="0067DDA3" w14:textId="77777777">
        <w:tc>
          <w:tcPr>
            <w:tcW w:w="1668" w:type="dxa"/>
          </w:tcPr>
          <w:p w14:paraId="641958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ХАИ</w:t>
            </w:r>
          </w:p>
        </w:tc>
        <w:tc>
          <w:tcPr>
            <w:tcW w:w="4536" w:type="dxa"/>
          </w:tcPr>
          <w:p w14:paraId="3B597D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422" w:type="dxa"/>
          </w:tcPr>
          <w:p w14:paraId="731E9A4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3582" w:type="dxa"/>
          </w:tcPr>
          <w:p w14:paraId="7812B2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ХАИ - зскизный проект перерабатывает</w:t>
            </w:r>
            <w:r w:rsidRPr="00E14102">
              <w:rPr>
                <w:color w:val="000000" w:themeColor="text1"/>
                <w:sz w:val="16"/>
                <w:szCs w:val="16"/>
              </w:rPr>
              <w:softHyphen/>
              <w:t>ся.</w:t>
            </w:r>
          </w:p>
        </w:tc>
      </w:tr>
      <w:tr w:rsidR="00E3599D" w:rsidRPr="00E14102" w14:paraId="0A6431BE" w14:textId="77777777">
        <w:tc>
          <w:tcPr>
            <w:tcW w:w="1668" w:type="dxa"/>
          </w:tcPr>
          <w:p w14:paraId="2BAE63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КОР-М25 (з-д № 31)</w:t>
            </w:r>
          </w:p>
        </w:tc>
        <w:tc>
          <w:tcPr>
            <w:tcW w:w="4536" w:type="dxa"/>
          </w:tcPr>
          <w:p w14:paraId="5C1C88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корабельной службы. Ско</w:t>
            </w:r>
            <w:r w:rsidRPr="00E14102">
              <w:rPr>
                <w:color w:val="000000" w:themeColor="text1"/>
                <w:sz w:val="16"/>
                <w:szCs w:val="16"/>
              </w:rPr>
              <w:softHyphen/>
              <w:t>рость - 300, боевой потолок - 3000, дальность - 600 клм., вооружение - 2 пулемета, бак для ОВ - 250 кгр.</w:t>
            </w:r>
          </w:p>
        </w:tc>
        <w:tc>
          <w:tcPr>
            <w:tcW w:w="1422" w:type="dxa"/>
          </w:tcPr>
          <w:p w14:paraId="4DA7DDD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1.Х1.35.</w:t>
            </w:r>
          </w:p>
        </w:tc>
        <w:tc>
          <w:tcPr>
            <w:tcW w:w="3582" w:type="dxa"/>
          </w:tcPr>
          <w:p w14:paraId="3BF6E9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Ведется конструктивн. разработка и одновременно постройка. Техготовность - 15%.</w:t>
            </w:r>
          </w:p>
        </w:tc>
      </w:tr>
      <w:tr w:rsidR="00E3599D" w:rsidRPr="00E14102" w14:paraId="41976F94" w14:textId="77777777">
        <w:tc>
          <w:tcPr>
            <w:tcW w:w="1668" w:type="dxa"/>
          </w:tcPr>
          <w:p w14:paraId="40D4F1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Переходный тренировочный с-т УТИ-М-48 (з-д № 23 и КАИ)</w:t>
            </w:r>
          </w:p>
        </w:tc>
        <w:tc>
          <w:tcPr>
            <w:tcW w:w="4536" w:type="dxa"/>
          </w:tcPr>
          <w:p w14:paraId="442FA3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Скорость - 250-300, дальность - 800 клм., вооружение 1-2 пул.</w:t>
            </w:r>
          </w:p>
        </w:tc>
        <w:tc>
          <w:tcPr>
            <w:tcW w:w="1422" w:type="dxa"/>
          </w:tcPr>
          <w:p w14:paraId="72AB34B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1.Х.35.</w:t>
            </w:r>
          </w:p>
        </w:tc>
        <w:tc>
          <w:tcPr>
            <w:tcW w:w="3582" w:type="dxa"/>
          </w:tcPr>
          <w:p w14:paraId="2D12B4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зав. № 23. Эскизн. проект закончен. Часть деталей сдана в производство. Техготов. - 20%</w:t>
            </w:r>
          </w:p>
        </w:tc>
      </w:tr>
      <w:tr w:rsidR="00E3599D" w:rsidRPr="00E14102" w14:paraId="1721295D" w14:textId="77777777">
        <w:tc>
          <w:tcPr>
            <w:tcW w:w="1668" w:type="dxa"/>
            <w:tcBorders>
              <w:bottom w:val="single" w:sz="12" w:space="0" w:color="auto"/>
            </w:tcBorders>
          </w:tcPr>
          <w:p w14:paraId="69A047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4536" w:type="dxa"/>
            <w:tcBorders>
              <w:bottom w:val="single" w:sz="12" w:space="0" w:color="auto"/>
            </w:tcBorders>
          </w:tcPr>
          <w:p w14:paraId="44F4FE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422" w:type="dxa"/>
            <w:tcBorders>
              <w:bottom w:val="single" w:sz="12" w:space="0" w:color="auto"/>
            </w:tcBorders>
          </w:tcPr>
          <w:p w14:paraId="05C820C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3582" w:type="dxa"/>
            <w:tcBorders>
              <w:bottom w:val="single" w:sz="12" w:space="0" w:color="auto"/>
            </w:tcBorders>
          </w:tcPr>
          <w:p w14:paraId="699F162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КАИ - эскизн. Проект утвержден. Ведется конструктивная разработка</w:t>
            </w:r>
          </w:p>
        </w:tc>
      </w:tr>
    </w:tbl>
    <w:p w14:paraId="6E3C96C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(3517,5)</w:t>
      </w:r>
    </w:p>
    <w:p w14:paraId="2571EAE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E4E3F4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состоянию на 1 июня 1935 состояние работ по моторам и агрегатам по опытному плану 1935 г. было следующим: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3402"/>
        <w:gridCol w:w="1060"/>
        <w:gridCol w:w="5078"/>
      </w:tblGrid>
      <w:tr w:rsidR="00E3599D" w:rsidRPr="00E14102" w14:paraId="515512FC" w14:textId="77777777">
        <w:tc>
          <w:tcPr>
            <w:tcW w:w="1668" w:type="dxa"/>
            <w:tcBorders>
              <w:top w:val="single" w:sz="12" w:space="0" w:color="auto"/>
            </w:tcBorders>
          </w:tcPr>
          <w:p w14:paraId="3ADE043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объекта (завод производитель)</w:t>
            </w:r>
          </w:p>
        </w:tc>
        <w:tc>
          <w:tcPr>
            <w:tcW w:w="3402" w:type="dxa"/>
            <w:tcBorders>
              <w:top w:val="single" w:sz="12" w:space="0" w:color="auto"/>
            </w:tcBorders>
          </w:tcPr>
          <w:p w14:paraId="7255B7F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Характеристика машины (агрегата)</w:t>
            </w:r>
          </w:p>
        </w:tc>
        <w:tc>
          <w:tcPr>
            <w:tcW w:w="1060" w:type="dxa"/>
            <w:tcBorders>
              <w:top w:val="single" w:sz="12" w:space="0" w:color="auto"/>
            </w:tcBorders>
          </w:tcPr>
          <w:p w14:paraId="5D8002E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готовности по пост. СТО</w:t>
            </w:r>
          </w:p>
        </w:tc>
        <w:tc>
          <w:tcPr>
            <w:tcW w:w="5078" w:type="dxa"/>
            <w:tcBorders>
              <w:top w:val="single" w:sz="12" w:space="0" w:color="auto"/>
            </w:tcBorders>
          </w:tcPr>
          <w:p w14:paraId="12FB64C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Состояние работ на 1 июня 1935</w:t>
            </w:r>
          </w:p>
        </w:tc>
      </w:tr>
      <w:tr w:rsidR="00E3599D" w:rsidRPr="00E14102" w14:paraId="174699A0" w14:textId="77777777">
        <w:tc>
          <w:tcPr>
            <w:tcW w:w="11208" w:type="dxa"/>
            <w:gridSpan w:val="4"/>
          </w:tcPr>
          <w:p w14:paraId="47C6235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Моторы новые</w:t>
            </w:r>
          </w:p>
        </w:tc>
      </w:tr>
      <w:tr w:rsidR="00E3599D" w:rsidRPr="00E14102" w14:paraId="123EA886" w14:textId="77777777">
        <w:tc>
          <w:tcPr>
            <w:tcW w:w="1668" w:type="dxa"/>
          </w:tcPr>
          <w:p w14:paraId="0A803A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АН-3 (УНИАДИ)</w:t>
            </w:r>
          </w:p>
        </w:tc>
        <w:tc>
          <w:tcPr>
            <w:tcW w:w="3402" w:type="dxa"/>
          </w:tcPr>
          <w:p w14:paraId="74516D9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Дизель-мотор. Номиналъная мощшость 600 л.с./4-5000, вес - 650 кгр., расход горючего на л/с.ч. - 170 гр. Предназначается для дальних разведчиков.</w:t>
            </w:r>
          </w:p>
        </w:tc>
        <w:tc>
          <w:tcPr>
            <w:tcW w:w="1060" w:type="dxa"/>
          </w:tcPr>
          <w:p w14:paraId="72E5DD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1.Х1.35</w:t>
            </w:r>
          </w:p>
        </w:tc>
        <w:tc>
          <w:tcPr>
            <w:tcW w:w="5078" w:type="dxa"/>
          </w:tcPr>
          <w:p w14:paraId="777302C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Дизель показал мощность в 1430 л.с., проработав 20 час. на топливе. Т.Ткачевым поставлен вопрос об изготовлении на з-дах НКТП крупних поковок и литья для первой опытной партии дизелей Н-3.</w:t>
            </w:r>
          </w:p>
        </w:tc>
      </w:tr>
      <w:tr w:rsidR="00E3599D" w:rsidRPr="00E14102" w14:paraId="39C9E0F5" w14:textId="77777777">
        <w:tc>
          <w:tcPr>
            <w:tcW w:w="1668" w:type="dxa"/>
          </w:tcPr>
          <w:p w14:paraId="08D3C5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АН-1 (ЦИАМ)</w:t>
            </w:r>
          </w:p>
        </w:tc>
        <w:tc>
          <w:tcPr>
            <w:tcW w:w="3402" w:type="dxa"/>
          </w:tcPr>
          <w:p w14:paraId="3F4D329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Дизель-мотор. Номинальн. мощность 850 л.с./3000, вес - 950 - -975кгр., расход горючего - 170-180гр. на л/с.час. Может быть использован на ДБ, МДР и транспортном самолете.</w:t>
            </w:r>
          </w:p>
        </w:tc>
        <w:tc>
          <w:tcPr>
            <w:tcW w:w="1060" w:type="dxa"/>
          </w:tcPr>
          <w:p w14:paraId="0F99C7C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1.1.36</w:t>
            </w:r>
          </w:p>
        </w:tc>
        <w:tc>
          <w:tcPr>
            <w:tcW w:w="5078" w:type="dxa"/>
          </w:tcPr>
          <w:p w14:paraId="19930F9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 второй половине дизель проходил эксперимент.испыта</w:t>
            </w:r>
            <w:r w:rsidRPr="00E14102">
              <w:rPr>
                <w:color w:val="000000" w:themeColor="text1"/>
                <w:sz w:val="16"/>
                <w:szCs w:val="16"/>
              </w:rPr>
              <w:softHyphen/>
              <w:t>ния на форсированном режиме: максимал.моцность - 1000 л.с. при 1600 оборотов и 900 л.с. при 1540 оборот./м. После  30 час. работы сломался коленчатый вал. В настоящее время ведутся испытания.</w:t>
            </w:r>
          </w:p>
        </w:tc>
      </w:tr>
      <w:tr w:rsidR="00E3599D" w:rsidRPr="00E14102" w14:paraId="54EF4CB3" w14:textId="77777777">
        <w:tc>
          <w:tcPr>
            <w:tcW w:w="1668" w:type="dxa"/>
          </w:tcPr>
          <w:p w14:paraId="10C7ED5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ПТ-3 (ГУ ГВФ)</w:t>
            </w:r>
          </w:p>
        </w:tc>
        <w:tc>
          <w:tcPr>
            <w:tcW w:w="3402" w:type="dxa"/>
          </w:tcPr>
          <w:p w14:paraId="60E8463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Паровая турбина. Номинальная мощность 3.600 л.с./5000, вес - -3000 кгр. Предназначается для ДБ, МДР, крейсера</w:t>
            </w:r>
          </w:p>
        </w:tc>
        <w:tc>
          <w:tcPr>
            <w:tcW w:w="1060" w:type="dxa"/>
          </w:tcPr>
          <w:p w14:paraId="49DAAD9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1Х.35</w:t>
            </w:r>
          </w:p>
        </w:tc>
        <w:tc>
          <w:tcPr>
            <w:tcW w:w="5078" w:type="dxa"/>
          </w:tcPr>
          <w:p w14:paraId="6542F64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Испытаны турбины и редуктора на полном числе оборотов (15-16500 об/м. при редукции в 12,5). Опробованы турбонасосы и вентилятор. Котел испытан на давление пара в 20 атмосфер (требуется 30), при чем имели место разрывы труб (плохой материал). Установ</w:t>
            </w:r>
            <w:r w:rsidRPr="00E14102">
              <w:rPr>
                <w:color w:val="000000" w:themeColor="text1"/>
                <w:sz w:val="16"/>
                <w:szCs w:val="16"/>
              </w:rPr>
              <w:softHyphen/>
              <w:t>лен для испытания конденса</w:t>
            </w:r>
            <w:r w:rsidRPr="00E14102">
              <w:rPr>
                <w:color w:val="000000" w:themeColor="text1"/>
                <w:sz w:val="16"/>
                <w:szCs w:val="16"/>
              </w:rPr>
              <w:softHyphen/>
              <w:t>тор. Ведется изготовление автоматического регулирова</w:t>
            </w:r>
            <w:r w:rsidRPr="00E14102">
              <w:rPr>
                <w:color w:val="000000" w:themeColor="text1"/>
                <w:sz w:val="16"/>
                <w:szCs w:val="16"/>
              </w:rPr>
              <w:softHyphen/>
              <w:t>ния. Задерживается изготовле</w:t>
            </w:r>
            <w:r w:rsidRPr="00E14102">
              <w:rPr>
                <w:color w:val="000000" w:themeColor="text1"/>
                <w:sz w:val="16"/>
                <w:szCs w:val="16"/>
              </w:rPr>
              <w:softHyphen/>
              <w:t>ние новых редукторов ("Сев. Верфь"), парогенератора (ЛМЗ), запчастей. Недостаток конструторов и производственников по паросиловым установкам.</w:t>
            </w:r>
          </w:p>
        </w:tc>
      </w:tr>
      <w:tr w:rsidR="00E3599D" w:rsidRPr="00E14102" w14:paraId="6A71C614" w14:textId="77777777">
        <w:tc>
          <w:tcPr>
            <w:tcW w:w="11208" w:type="dxa"/>
            <w:gridSpan w:val="4"/>
          </w:tcPr>
          <w:p w14:paraId="7B5E445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Моторы модифицируемые</w:t>
            </w:r>
          </w:p>
        </w:tc>
      </w:tr>
      <w:tr w:rsidR="00E3599D" w:rsidRPr="00E14102" w14:paraId="09638C7C" w14:textId="77777777">
        <w:tc>
          <w:tcPr>
            <w:tcW w:w="1668" w:type="dxa"/>
          </w:tcPr>
          <w:p w14:paraId="29C8D7E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М-34ФРН (з-д № 24)</w:t>
            </w:r>
          </w:p>
        </w:tc>
        <w:tc>
          <w:tcPr>
            <w:tcW w:w="3402" w:type="dxa"/>
          </w:tcPr>
          <w:p w14:paraId="190F0B8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Мощность по высотам:</w:t>
            </w:r>
          </w:p>
          <w:p w14:paraId="713977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1150 л.с./0 1050 л.с./3000 м, 850 л.с./4500</w:t>
            </w:r>
          </w:p>
          <w:p w14:paraId="44AD648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редуктором - 710 кгр., без редуктора - 630 кгр., расход горючего 255-265 гр.</w:t>
            </w:r>
          </w:p>
        </w:tc>
        <w:tc>
          <w:tcPr>
            <w:tcW w:w="1060" w:type="dxa"/>
          </w:tcPr>
          <w:p w14:paraId="4AF72B6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1.1Х.35.</w:t>
            </w:r>
          </w:p>
        </w:tc>
        <w:tc>
          <w:tcPr>
            <w:tcW w:w="5078" w:type="dxa"/>
          </w:tcPr>
          <w:p w14:paraId="0748A80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Испытывались 3 мотора (2 с редукт.и нагнетателем, один с нагнетателем без редуктора), показавшие максим.мощность в 1250 л.с. при 1980 об/мин. Испытания - продолжаются.</w:t>
            </w:r>
          </w:p>
        </w:tc>
      </w:tr>
      <w:tr w:rsidR="00E3599D" w:rsidRPr="00E14102" w14:paraId="587FD210" w14:textId="77777777">
        <w:tc>
          <w:tcPr>
            <w:tcW w:w="1668" w:type="dxa"/>
          </w:tcPr>
          <w:p w14:paraId="4B11266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М-100 (ЦИАМ, зав. № 26)</w:t>
            </w:r>
          </w:p>
        </w:tc>
        <w:tc>
          <w:tcPr>
            <w:tcW w:w="3402" w:type="dxa"/>
          </w:tcPr>
          <w:p w14:paraId="6BFAD71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Доведение надежности ра</w:t>
            </w:r>
            <w:r w:rsidRPr="00E14102">
              <w:rPr>
                <w:color w:val="000000" w:themeColor="text1"/>
                <w:sz w:val="16"/>
                <w:szCs w:val="16"/>
              </w:rPr>
              <w:softHyphen/>
              <w:t>боты мотора в 750 л.с. до 200 час. Испытание М-100 в 860 л.с. и доведение в этой мощности до 100 час. надежности, изготовление нагнетателя, обеспечиваю</w:t>
            </w:r>
            <w:r w:rsidRPr="00E14102">
              <w:rPr>
                <w:color w:val="000000" w:themeColor="text1"/>
                <w:sz w:val="16"/>
                <w:szCs w:val="16"/>
              </w:rPr>
              <w:softHyphen/>
              <w:t>щего мощность в 860 л.с. на высоте.</w:t>
            </w:r>
          </w:p>
        </w:tc>
        <w:tc>
          <w:tcPr>
            <w:tcW w:w="1060" w:type="dxa"/>
          </w:tcPr>
          <w:p w14:paraId="111B7F5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1935</w:t>
            </w:r>
          </w:p>
        </w:tc>
        <w:tc>
          <w:tcPr>
            <w:tcW w:w="5078" w:type="dxa"/>
          </w:tcPr>
          <w:p w14:paraId="66F177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испытаниях М-100 на 860 л.с. После 52 час.работы треснул коленч. вал и малая шестерня редуктора. 25.5.35поставлен на испытания вто</w:t>
            </w:r>
            <w:r w:rsidRPr="00E14102">
              <w:rPr>
                <w:color w:val="000000" w:themeColor="text1"/>
                <w:sz w:val="16"/>
                <w:szCs w:val="16"/>
              </w:rPr>
              <w:softHyphen/>
              <w:t>рой мотор.</w:t>
            </w:r>
          </w:p>
        </w:tc>
      </w:tr>
      <w:tr w:rsidR="00E3599D" w:rsidRPr="00E14102" w14:paraId="460F324D" w14:textId="77777777">
        <w:tc>
          <w:tcPr>
            <w:tcW w:w="1668" w:type="dxa"/>
          </w:tcPr>
          <w:p w14:paraId="3AAA89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М-25 (з-д № 19)</w:t>
            </w:r>
          </w:p>
        </w:tc>
        <w:tc>
          <w:tcPr>
            <w:tcW w:w="3402" w:type="dxa"/>
          </w:tcPr>
          <w:p w14:paraId="3B69DD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Форсирование М-25 по обо</w:t>
            </w:r>
            <w:r w:rsidRPr="00E14102">
              <w:rPr>
                <w:color w:val="000000" w:themeColor="text1"/>
                <w:sz w:val="16"/>
                <w:szCs w:val="16"/>
              </w:rPr>
              <w:softHyphen/>
              <w:t>ротам и наддуву (цементированный коленчатый вал, азотированные цилин</w:t>
            </w:r>
            <w:r w:rsidRPr="00E14102">
              <w:rPr>
                <w:color w:val="000000" w:themeColor="text1"/>
                <w:sz w:val="16"/>
                <w:szCs w:val="16"/>
              </w:rPr>
              <w:softHyphen/>
              <w:t>дры, доводка нагнетателя) работа по агрегатам мотора М-25 (приводы к дина</w:t>
            </w:r>
            <w:r w:rsidRPr="00E14102">
              <w:rPr>
                <w:color w:val="000000" w:themeColor="text1"/>
                <w:sz w:val="16"/>
                <w:szCs w:val="16"/>
              </w:rPr>
              <w:softHyphen/>
              <w:t>мо, воздушный самопуск), работы по устранению де</w:t>
            </w:r>
            <w:r w:rsidRPr="00E14102">
              <w:rPr>
                <w:color w:val="000000" w:themeColor="text1"/>
                <w:sz w:val="16"/>
                <w:szCs w:val="16"/>
              </w:rPr>
              <w:softHyphen/>
              <w:t>фектов М-25.</w:t>
            </w:r>
          </w:p>
        </w:tc>
        <w:tc>
          <w:tcPr>
            <w:tcW w:w="1060" w:type="dxa"/>
          </w:tcPr>
          <w:p w14:paraId="6767183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1935</w:t>
            </w:r>
          </w:p>
        </w:tc>
        <w:tc>
          <w:tcPr>
            <w:tcW w:w="5078" w:type="dxa"/>
          </w:tcPr>
          <w:p w14:paraId="7918C3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Ведутся проектные работы.</w:t>
            </w:r>
          </w:p>
        </w:tc>
      </w:tr>
      <w:tr w:rsidR="00E3599D" w:rsidRPr="00E14102" w14:paraId="17EE891E" w14:textId="77777777">
        <w:tc>
          <w:tcPr>
            <w:tcW w:w="11208" w:type="dxa"/>
            <w:gridSpan w:val="4"/>
          </w:tcPr>
          <w:p w14:paraId="500982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Доводки моторов</w:t>
            </w:r>
          </w:p>
        </w:tc>
      </w:tr>
      <w:tr w:rsidR="00E3599D" w:rsidRPr="00E14102" w14:paraId="7B354B01" w14:textId="77777777">
        <w:tc>
          <w:tcPr>
            <w:tcW w:w="1668" w:type="dxa"/>
          </w:tcPr>
          <w:p w14:paraId="350F112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М-56 (ЦИАМ)</w:t>
            </w:r>
          </w:p>
        </w:tc>
        <w:tc>
          <w:tcPr>
            <w:tcW w:w="3402" w:type="dxa"/>
          </w:tcPr>
          <w:p w14:paraId="1E11C3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Двухрядная звезда, миним. мощность - 700 л.с./3500, вес 450 кгр., расход горючего - 280 гр.на л/с .ч.</w:t>
            </w:r>
          </w:p>
        </w:tc>
        <w:tc>
          <w:tcPr>
            <w:tcW w:w="1060" w:type="dxa"/>
          </w:tcPr>
          <w:p w14:paraId="2A74F1A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1.1Х.35.</w:t>
            </w:r>
          </w:p>
        </w:tc>
        <w:tc>
          <w:tcPr>
            <w:tcW w:w="5078" w:type="dxa"/>
          </w:tcPr>
          <w:p w14:paraId="6366D6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Сведений нет.</w:t>
            </w:r>
          </w:p>
        </w:tc>
      </w:tr>
      <w:tr w:rsidR="00E3599D" w:rsidRPr="00E14102" w14:paraId="3867423D" w14:textId="77777777">
        <w:tc>
          <w:tcPr>
            <w:tcW w:w="1668" w:type="dxa"/>
          </w:tcPr>
          <w:p w14:paraId="468B60B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М-58Н (зав. № 29)</w:t>
            </w:r>
          </w:p>
        </w:tc>
        <w:tc>
          <w:tcPr>
            <w:tcW w:w="3402" w:type="dxa"/>
          </w:tcPr>
          <w:p w14:paraId="6C0965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630-690 л.с., вес 440-500 кгр., расход го</w:t>
            </w:r>
            <w:r w:rsidRPr="00E14102">
              <w:rPr>
                <w:color w:val="000000" w:themeColor="text1"/>
                <w:sz w:val="16"/>
                <w:szCs w:val="16"/>
              </w:rPr>
              <w:softHyphen/>
              <w:t>рючего - 270 гр.на л/с.ч.</w:t>
            </w:r>
          </w:p>
        </w:tc>
        <w:tc>
          <w:tcPr>
            <w:tcW w:w="1060" w:type="dxa"/>
          </w:tcPr>
          <w:p w14:paraId="3F97359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1.УП.35.</w:t>
            </w:r>
          </w:p>
        </w:tc>
        <w:tc>
          <w:tcPr>
            <w:tcW w:w="5078" w:type="dxa"/>
          </w:tcPr>
          <w:p w14:paraId="26EEF6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 прошел завод. испыта</w:t>
            </w:r>
            <w:r w:rsidRPr="00E14102">
              <w:rPr>
                <w:color w:val="000000" w:themeColor="text1"/>
                <w:sz w:val="16"/>
                <w:szCs w:val="16"/>
              </w:rPr>
              <w:softHyphen/>
              <w:t>ния и 15.5.35 г. Пред'явлен на госуд. испытания с высотностью в 4.000 мтр.</w:t>
            </w:r>
          </w:p>
        </w:tc>
      </w:tr>
      <w:tr w:rsidR="00E3599D" w:rsidRPr="00E14102" w14:paraId="438F455A" w14:textId="77777777">
        <w:tc>
          <w:tcPr>
            <w:tcW w:w="1668" w:type="dxa"/>
          </w:tcPr>
          <w:p w14:paraId="6C64FD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МГ-31 и МГ-48 (ГУГВФ)</w:t>
            </w:r>
          </w:p>
        </w:tc>
        <w:tc>
          <w:tcPr>
            <w:tcW w:w="3402" w:type="dxa"/>
          </w:tcPr>
          <w:p w14:paraId="796B1F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Семья маломощных моторов в 100, 200 и 300 нр (МГ-11, МГ-21, МГ-31).</w:t>
            </w:r>
          </w:p>
        </w:tc>
        <w:tc>
          <w:tcPr>
            <w:tcW w:w="1060" w:type="dxa"/>
          </w:tcPr>
          <w:p w14:paraId="1DA788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1.1Х.35.</w:t>
            </w:r>
          </w:p>
        </w:tc>
        <w:tc>
          <w:tcPr>
            <w:tcW w:w="5078" w:type="dxa"/>
          </w:tcPr>
          <w:p w14:paraId="3F26837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 находятся на заводск испытаниях и к 1 августа передаются на гос. испытан.</w:t>
            </w:r>
          </w:p>
        </w:tc>
      </w:tr>
      <w:tr w:rsidR="00E3599D" w:rsidRPr="00E14102" w14:paraId="1EB879EA" w14:textId="77777777">
        <w:tc>
          <w:tcPr>
            <w:tcW w:w="1668" w:type="dxa"/>
          </w:tcPr>
          <w:p w14:paraId="6A6459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М-44 (ЦИАМ)</w:t>
            </w:r>
          </w:p>
        </w:tc>
        <w:tc>
          <w:tcPr>
            <w:tcW w:w="3402" w:type="dxa"/>
          </w:tcPr>
          <w:p w14:paraId="26CE1C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Мощный бензинов. мотор в 2000 нр, вес-1600 кгр., рас</w:t>
            </w:r>
            <w:r w:rsidRPr="00E14102">
              <w:rPr>
                <w:color w:val="000000" w:themeColor="text1"/>
                <w:sz w:val="16"/>
                <w:szCs w:val="16"/>
              </w:rPr>
              <w:softHyphen/>
              <w:t>ход горючего 250 гр.на л/с .ч.</w:t>
            </w:r>
          </w:p>
        </w:tc>
        <w:tc>
          <w:tcPr>
            <w:tcW w:w="1060" w:type="dxa"/>
          </w:tcPr>
          <w:p w14:paraId="4C280C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1.1.36.</w:t>
            </w:r>
          </w:p>
        </w:tc>
        <w:tc>
          <w:tcPr>
            <w:tcW w:w="5078" w:type="dxa"/>
          </w:tcPr>
          <w:p w14:paraId="377F03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Агрегаты морского варианта сданы в производство. Мотор № 1 будет собран к 1 августа с.г.</w:t>
            </w:r>
          </w:p>
        </w:tc>
      </w:tr>
      <w:tr w:rsidR="00E3599D" w:rsidRPr="00E14102" w14:paraId="2CD9D7E6" w14:textId="77777777">
        <w:tc>
          <w:tcPr>
            <w:tcW w:w="11208" w:type="dxa"/>
            <w:gridSpan w:val="4"/>
          </w:tcPr>
          <w:p w14:paraId="2629CE3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Новые агрегаты</w:t>
            </w:r>
          </w:p>
        </w:tc>
      </w:tr>
      <w:tr w:rsidR="00E3599D" w:rsidRPr="00E14102" w14:paraId="277AD024" w14:textId="77777777">
        <w:tc>
          <w:tcPr>
            <w:tcW w:w="1668" w:type="dxa"/>
          </w:tcPr>
          <w:p w14:paraId="3C3C4EF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ВИШ (з-д № 28, ЦАГИ, ЦИАМ)</w:t>
            </w:r>
          </w:p>
        </w:tc>
        <w:tc>
          <w:tcPr>
            <w:tcW w:w="3402" w:type="dxa"/>
          </w:tcPr>
          <w:p w14:paraId="70AD83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Винты переменного шага 7 типов.</w:t>
            </w:r>
          </w:p>
        </w:tc>
        <w:tc>
          <w:tcPr>
            <w:tcW w:w="1060" w:type="dxa"/>
          </w:tcPr>
          <w:p w14:paraId="4B8EAA2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1.ХП.35.</w:t>
            </w:r>
          </w:p>
        </w:tc>
        <w:tc>
          <w:tcPr>
            <w:tcW w:w="5078" w:type="dxa"/>
          </w:tcPr>
          <w:p w14:paraId="3B2221E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Находятся в производстве 3 экземпляра для М-34ФРН и к нему же 2 ВИШ-Э-2 (с электроприводом). Изготов</w:t>
            </w:r>
            <w:r w:rsidRPr="00E14102">
              <w:rPr>
                <w:color w:val="000000" w:themeColor="text1"/>
                <w:sz w:val="16"/>
                <w:szCs w:val="16"/>
              </w:rPr>
              <w:softHyphen/>
              <w:t>лен один ВИШ для М-25 и пред'является на гос. испы</w:t>
            </w:r>
            <w:r w:rsidRPr="00E14102">
              <w:rPr>
                <w:color w:val="000000" w:themeColor="text1"/>
                <w:sz w:val="16"/>
                <w:szCs w:val="16"/>
              </w:rPr>
              <w:softHyphen/>
              <w:t>тания.</w:t>
            </w:r>
          </w:p>
        </w:tc>
      </w:tr>
      <w:tr w:rsidR="00E3599D" w:rsidRPr="00E14102" w14:paraId="5CA83306" w14:textId="77777777">
        <w:tc>
          <w:tcPr>
            <w:tcW w:w="1668" w:type="dxa"/>
          </w:tcPr>
          <w:p w14:paraId="2D8FC4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М-34 (ЦИАМ)</w:t>
            </w:r>
          </w:p>
        </w:tc>
        <w:tc>
          <w:tcPr>
            <w:tcW w:w="3402" w:type="dxa"/>
          </w:tcPr>
          <w:p w14:paraId="7F69B1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Перевод на непосредств. Вспрыск мотора М-34.</w:t>
            </w:r>
          </w:p>
        </w:tc>
        <w:tc>
          <w:tcPr>
            <w:tcW w:w="1060" w:type="dxa"/>
          </w:tcPr>
          <w:p w14:paraId="14C7C5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1.1.36.</w:t>
            </w:r>
          </w:p>
        </w:tc>
        <w:tc>
          <w:tcPr>
            <w:tcW w:w="5078" w:type="dxa"/>
          </w:tcPr>
          <w:p w14:paraId="4F0061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Произведены испытания форсунок для непосредствен. вспрыска, давшие положит. результат. Форсунки и насос сданы в производство.</w:t>
            </w:r>
          </w:p>
        </w:tc>
      </w:tr>
      <w:tr w:rsidR="00E3599D" w:rsidRPr="00E14102" w14:paraId="4EB71A03" w14:textId="77777777">
        <w:tc>
          <w:tcPr>
            <w:tcW w:w="1668" w:type="dxa"/>
          </w:tcPr>
          <w:p w14:paraId="3BBA65B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М-34 (ЦИАМ)</w:t>
            </w:r>
          </w:p>
        </w:tc>
        <w:tc>
          <w:tcPr>
            <w:tcW w:w="3402" w:type="dxa"/>
          </w:tcPr>
          <w:p w14:paraId="78DDE7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Турбокомпрессор к мотору М-34 до высоты в 8.500 м.</w:t>
            </w:r>
          </w:p>
        </w:tc>
        <w:tc>
          <w:tcPr>
            <w:tcW w:w="1060" w:type="dxa"/>
          </w:tcPr>
          <w:p w14:paraId="740597F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1.1.36</w:t>
            </w:r>
          </w:p>
        </w:tc>
        <w:tc>
          <w:tcPr>
            <w:tcW w:w="5078" w:type="dxa"/>
          </w:tcPr>
          <w:p w14:paraId="15A3F9E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Ведутся эксперимент. работы и испытания турбокомпрессора конструкции ЦИАМа.</w:t>
            </w:r>
          </w:p>
        </w:tc>
      </w:tr>
      <w:tr w:rsidR="00E3599D" w:rsidRPr="00E14102" w14:paraId="11B57819" w14:textId="77777777">
        <w:tc>
          <w:tcPr>
            <w:tcW w:w="1668" w:type="dxa"/>
          </w:tcPr>
          <w:p w14:paraId="616DD20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М-34(ЦИАМ)</w:t>
            </w:r>
          </w:p>
        </w:tc>
        <w:tc>
          <w:tcPr>
            <w:tcW w:w="3402" w:type="dxa"/>
          </w:tcPr>
          <w:p w14:paraId="4D1F81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Двухступенчатый нагнегатель к мотору М-34 до высоты в 6000 м.</w:t>
            </w:r>
          </w:p>
        </w:tc>
        <w:tc>
          <w:tcPr>
            <w:tcW w:w="1060" w:type="dxa"/>
          </w:tcPr>
          <w:p w14:paraId="4CAAA5D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1.1.36</w:t>
            </w:r>
          </w:p>
        </w:tc>
        <w:tc>
          <w:tcPr>
            <w:tcW w:w="5078" w:type="dxa"/>
          </w:tcPr>
          <w:p w14:paraId="49A9C9F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Ведутся конструкт. работы. Компановка еще не утверждена.</w:t>
            </w:r>
          </w:p>
        </w:tc>
      </w:tr>
      <w:tr w:rsidR="00E3599D" w:rsidRPr="00E14102" w14:paraId="06BC8C1F" w14:textId="77777777">
        <w:tc>
          <w:tcPr>
            <w:tcW w:w="1668" w:type="dxa"/>
          </w:tcPr>
          <w:p w14:paraId="79CD24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М-34(ЦИАМ)</w:t>
            </w:r>
          </w:p>
        </w:tc>
        <w:tc>
          <w:tcPr>
            <w:tcW w:w="3402" w:type="dxa"/>
          </w:tcPr>
          <w:p w14:paraId="4DFD74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Перевод на паровое охлаждение мотора М-34.</w:t>
            </w:r>
          </w:p>
        </w:tc>
        <w:tc>
          <w:tcPr>
            <w:tcW w:w="1060" w:type="dxa"/>
          </w:tcPr>
          <w:p w14:paraId="0F79885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1.У1.35.</w:t>
            </w:r>
          </w:p>
        </w:tc>
        <w:tc>
          <w:tcPr>
            <w:tcW w:w="5078" w:type="dxa"/>
          </w:tcPr>
          <w:p w14:paraId="446F8E8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 испытан на станке и устанавливается на самолет для испытаний в воздухе.</w:t>
            </w:r>
          </w:p>
        </w:tc>
      </w:tr>
      <w:tr w:rsidR="00E3599D" w:rsidRPr="00E14102" w14:paraId="12FE80BD" w14:textId="77777777">
        <w:tc>
          <w:tcPr>
            <w:tcW w:w="1668" w:type="dxa"/>
          </w:tcPr>
          <w:p w14:paraId="0A582D0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М-100 (ЦИАМ)</w:t>
            </w:r>
          </w:p>
        </w:tc>
        <w:tc>
          <w:tcPr>
            <w:tcW w:w="3402" w:type="dxa"/>
          </w:tcPr>
          <w:p w14:paraId="73C3F5A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Тоже по мотору М-100</w:t>
            </w:r>
          </w:p>
        </w:tc>
        <w:tc>
          <w:tcPr>
            <w:tcW w:w="1060" w:type="dxa"/>
          </w:tcPr>
          <w:p w14:paraId="3FB3E38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1.Х.35</w:t>
            </w:r>
          </w:p>
        </w:tc>
        <w:tc>
          <w:tcPr>
            <w:tcW w:w="5078" w:type="dxa"/>
          </w:tcPr>
          <w:p w14:paraId="732CA6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Продолжаются лабораторные испытания. Изготавливаются аггрегаты для испытания и установки на самолете.</w:t>
            </w:r>
          </w:p>
        </w:tc>
      </w:tr>
      <w:tr w:rsidR="00E3599D" w:rsidRPr="00E14102" w14:paraId="175B370B" w14:textId="77777777">
        <w:tc>
          <w:tcPr>
            <w:tcW w:w="1668" w:type="dxa"/>
            <w:tcBorders>
              <w:bottom w:val="single" w:sz="12" w:space="0" w:color="auto"/>
            </w:tcBorders>
          </w:tcPr>
          <w:p w14:paraId="489D7C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М-34 (ЦИАМ)</w:t>
            </w:r>
          </w:p>
        </w:tc>
        <w:tc>
          <w:tcPr>
            <w:tcW w:w="3402" w:type="dxa"/>
            <w:tcBorders>
              <w:bottom w:val="single" w:sz="12" w:space="0" w:color="auto"/>
            </w:tcBorders>
          </w:tcPr>
          <w:p w14:paraId="5CBFCEF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Перевод мотора М-34 на водородное топливо</w:t>
            </w:r>
          </w:p>
        </w:tc>
        <w:tc>
          <w:tcPr>
            <w:tcW w:w="1060" w:type="dxa"/>
            <w:tcBorders>
              <w:bottom w:val="single" w:sz="12" w:space="0" w:color="auto"/>
            </w:tcBorders>
          </w:tcPr>
          <w:p w14:paraId="4572C3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1.1.36</w:t>
            </w:r>
          </w:p>
        </w:tc>
        <w:tc>
          <w:tcPr>
            <w:tcW w:w="5078" w:type="dxa"/>
            <w:tcBorders>
              <w:bottom w:val="single" w:sz="12" w:space="0" w:color="auto"/>
            </w:tcBorders>
          </w:tcPr>
          <w:p w14:paraId="5EBD185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Эксперимент. установка выполнена. Строятся помещения для хранения водородных баллонов.</w:t>
            </w:r>
          </w:p>
        </w:tc>
      </w:tr>
    </w:tbl>
    <w:p w14:paraId="215B63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(3517,8)</w:t>
      </w:r>
    </w:p>
    <w:p w14:paraId="4A007DE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FEA85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1 июня 1935 г. было следующее состоянии работ по плану опытного моторостроения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992"/>
        <w:gridCol w:w="993"/>
        <w:gridCol w:w="5572"/>
      </w:tblGrid>
      <w:tr w:rsidR="00E3599D" w:rsidRPr="00E14102" w14:paraId="3C2EDE08" w14:textId="77777777">
        <w:tc>
          <w:tcPr>
            <w:tcW w:w="3652" w:type="dxa"/>
            <w:tcBorders>
              <w:top w:val="single" w:sz="12" w:space="0" w:color="auto"/>
            </w:tcBorders>
          </w:tcPr>
          <w:p w14:paraId="3301C2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п/п, наименование, об"екты и технич. данные</w:t>
            </w:r>
          </w:p>
        </w:tc>
        <w:tc>
          <w:tcPr>
            <w:tcW w:w="992" w:type="dxa"/>
            <w:tcBorders>
              <w:top w:val="single" w:sz="12" w:space="0" w:color="auto"/>
            </w:tcBorders>
          </w:tcPr>
          <w:p w14:paraId="65885E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w:t>
            </w:r>
          </w:p>
        </w:tc>
        <w:tc>
          <w:tcPr>
            <w:tcW w:w="993" w:type="dxa"/>
            <w:tcBorders>
              <w:top w:val="single" w:sz="12" w:space="0" w:color="auto"/>
            </w:tcBorders>
          </w:tcPr>
          <w:p w14:paraId="3BAE07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Испытатель</w:t>
            </w:r>
          </w:p>
        </w:tc>
        <w:tc>
          <w:tcPr>
            <w:tcW w:w="5572" w:type="dxa"/>
            <w:tcBorders>
              <w:top w:val="single" w:sz="12" w:space="0" w:color="auto"/>
            </w:tcBorders>
          </w:tcPr>
          <w:p w14:paraId="1E5EF6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Состояние работ на 1 июня</w:t>
            </w:r>
          </w:p>
        </w:tc>
      </w:tr>
      <w:tr w:rsidR="00E3599D" w:rsidRPr="00E14102" w14:paraId="207CB3A9" w14:textId="77777777">
        <w:tc>
          <w:tcPr>
            <w:tcW w:w="3652" w:type="dxa"/>
          </w:tcPr>
          <w:p w14:paraId="6D089E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Бесклапанный мотор 550-700 л.с. высотн. 4000 мтр.</w:t>
            </w:r>
          </w:p>
        </w:tc>
        <w:tc>
          <w:tcPr>
            <w:tcW w:w="992" w:type="dxa"/>
          </w:tcPr>
          <w:p w14:paraId="7EAD5E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1/1-37</w:t>
            </w:r>
          </w:p>
        </w:tc>
        <w:tc>
          <w:tcPr>
            <w:tcW w:w="993" w:type="dxa"/>
          </w:tcPr>
          <w:p w14:paraId="5C09FB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060C49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Ведется подготовка к зкспериментальн. работам: выполнен проект одноцилиндоовой уста</w:t>
            </w:r>
            <w:r w:rsidRPr="00E14102">
              <w:rPr>
                <w:color w:val="000000" w:themeColor="text1"/>
                <w:sz w:val="16"/>
                <w:szCs w:val="16"/>
              </w:rPr>
              <w:softHyphen/>
              <w:t>новки, часть деталей дана в производство</w:t>
            </w:r>
          </w:p>
        </w:tc>
      </w:tr>
      <w:tr w:rsidR="00E3599D" w:rsidRPr="00E14102" w14:paraId="7FD54F59" w14:textId="77777777">
        <w:tc>
          <w:tcPr>
            <w:tcW w:w="3652" w:type="dxa"/>
          </w:tcPr>
          <w:p w14:paraId="6B0514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Развитие азиадизеля Н-1, доведение мощн. до850 л.с. высотность - 3000 мтр., вес 950-975 кг., расх. Горюч. 170/180</w:t>
            </w:r>
          </w:p>
        </w:tc>
        <w:tc>
          <w:tcPr>
            <w:tcW w:w="992" w:type="dxa"/>
          </w:tcPr>
          <w:p w14:paraId="3CEEEA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1/1-37</w:t>
            </w:r>
          </w:p>
        </w:tc>
        <w:tc>
          <w:tcPr>
            <w:tcW w:w="993" w:type="dxa"/>
          </w:tcPr>
          <w:p w14:paraId="349F7A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652B0A8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Проводились во 2-й половине мая с.г. эксперимент. испытания на форсированн. режиме макс. мощн. - 1000 л.с. при 1600 об/мин., номин. мощн. 900 л.с. при 1540 об/мин,</w:t>
            </w:r>
          </w:p>
          <w:p w14:paraId="3F4037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расх. горюч. 173/174 гр/лсч.</w:t>
            </w:r>
          </w:p>
          <w:p w14:paraId="1D8B30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проработал около 30 ч сломался кол/вал. .В настоящее время ведутся испытания</w:t>
            </w:r>
          </w:p>
        </w:tc>
      </w:tr>
      <w:tr w:rsidR="00E3599D" w:rsidRPr="00E14102" w14:paraId="33C62FF8" w14:textId="77777777">
        <w:tc>
          <w:tcPr>
            <w:tcW w:w="3652" w:type="dxa"/>
          </w:tcPr>
          <w:p w14:paraId="355218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Авиадизель АН-3, двухрядная 14 ц. Звезда, 600 л.с., высотн. 3000-4000 мтр, вес 650 кг, расз. Гор. 170 гр/лс/ч</w:t>
            </w:r>
          </w:p>
        </w:tc>
        <w:tc>
          <w:tcPr>
            <w:tcW w:w="992" w:type="dxa"/>
          </w:tcPr>
          <w:p w14:paraId="298C24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1/ХП-36</w:t>
            </w:r>
          </w:p>
        </w:tc>
        <w:tc>
          <w:tcPr>
            <w:tcW w:w="993" w:type="dxa"/>
          </w:tcPr>
          <w:p w14:paraId="005AE5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3A35E0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Проводятся испытания одноцилиндровой установки.</w:t>
            </w:r>
          </w:p>
          <w:p w14:paraId="3FE79E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 дизеля закончен, приступлеко к разработке рабочих чертежей.</w:t>
            </w:r>
          </w:p>
        </w:tc>
      </w:tr>
      <w:tr w:rsidR="00E3599D" w:rsidRPr="00E14102" w14:paraId="5A1A534A" w14:textId="77777777">
        <w:tc>
          <w:tcPr>
            <w:tcW w:w="3652" w:type="dxa"/>
          </w:tcPr>
          <w:p w14:paraId="552B12F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М-56 (доводка)</w:t>
            </w:r>
          </w:p>
          <w:p w14:paraId="7083475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700 л.с.</w:t>
            </w:r>
          </w:p>
          <w:p w14:paraId="775515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 мтр.</w:t>
            </w:r>
          </w:p>
        </w:tc>
        <w:tc>
          <w:tcPr>
            <w:tcW w:w="992" w:type="dxa"/>
          </w:tcPr>
          <w:p w14:paraId="161FCB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1/ХП-36 г.</w:t>
            </w:r>
          </w:p>
        </w:tc>
        <w:tc>
          <w:tcPr>
            <w:tcW w:w="993" w:type="dxa"/>
          </w:tcPr>
          <w:p w14:paraId="5CCF9A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2360BA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 1 поступил на сбор</w:t>
            </w:r>
            <w:r w:rsidRPr="00E14102">
              <w:rPr>
                <w:color w:val="000000" w:themeColor="text1"/>
                <w:sz w:val="16"/>
                <w:szCs w:val="16"/>
              </w:rPr>
              <w:softHyphen/>
              <w:t>ку. Мотор № 2 и 3-й в производстве</w:t>
            </w:r>
          </w:p>
          <w:p w14:paraId="50D017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Продолжаются испытания эксперим. Одноцилиндровой установки, показавшей мощность 61 л. с. при 2750 об/мин., что превышает проектные данные на 20%.</w:t>
            </w:r>
          </w:p>
        </w:tc>
      </w:tr>
      <w:tr w:rsidR="00E3599D" w:rsidRPr="00E14102" w14:paraId="186650D4" w14:textId="77777777">
        <w:tc>
          <w:tcPr>
            <w:tcW w:w="3652" w:type="dxa"/>
          </w:tcPr>
          <w:p w14:paraId="3EFA1C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ГМ-44 (для тарпедных катеров).</w:t>
            </w:r>
          </w:p>
        </w:tc>
        <w:tc>
          <w:tcPr>
            <w:tcW w:w="992" w:type="dxa"/>
          </w:tcPr>
          <w:p w14:paraId="1C305D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1/1-З6 г.</w:t>
            </w:r>
          </w:p>
        </w:tc>
        <w:tc>
          <w:tcPr>
            <w:tcW w:w="993" w:type="dxa"/>
          </w:tcPr>
          <w:p w14:paraId="066FE2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0D5888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Агрегаты, необходимые для морского варианта, сданы в. пр-во. Мотор № 1 предполагается собрать к 1/УШ.</w:t>
            </w:r>
          </w:p>
        </w:tc>
      </w:tr>
      <w:tr w:rsidR="00E3599D" w:rsidRPr="00E14102" w14:paraId="73671255" w14:textId="77777777">
        <w:tc>
          <w:tcPr>
            <w:tcW w:w="3652" w:type="dxa"/>
          </w:tcPr>
          <w:p w14:paraId="28378C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Перевод М-34 на испарит. охлаждение</w:t>
            </w:r>
          </w:p>
        </w:tc>
        <w:tc>
          <w:tcPr>
            <w:tcW w:w="992" w:type="dxa"/>
          </w:tcPr>
          <w:p w14:paraId="7625B3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1/У1-35 г.</w:t>
            </w:r>
          </w:p>
        </w:tc>
        <w:tc>
          <w:tcPr>
            <w:tcW w:w="993" w:type="dxa"/>
          </w:tcPr>
          <w:p w14:paraId="1F7025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2C55D2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испытан на станке и устанавливается на самолет для испытаний в воздухе.</w:t>
            </w:r>
          </w:p>
        </w:tc>
      </w:tr>
      <w:tr w:rsidR="00E3599D" w:rsidRPr="00E14102" w14:paraId="5B253A74" w14:textId="77777777">
        <w:tc>
          <w:tcPr>
            <w:tcW w:w="3652" w:type="dxa"/>
          </w:tcPr>
          <w:p w14:paraId="543745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Перевод М-100 на испарит. охл.</w:t>
            </w:r>
          </w:p>
        </w:tc>
        <w:tc>
          <w:tcPr>
            <w:tcW w:w="992" w:type="dxa"/>
          </w:tcPr>
          <w:p w14:paraId="676405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1/Х-36 г.</w:t>
            </w:r>
          </w:p>
        </w:tc>
        <w:tc>
          <w:tcPr>
            <w:tcW w:w="993" w:type="dxa"/>
          </w:tcPr>
          <w:p w14:paraId="033CFC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559F4B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Продолжаются лабораторные испытания по двум схемам. :Изготавлиаются агрегаты для испытания и установки на самолете.</w:t>
            </w:r>
          </w:p>
        </w:tc>
      </w:tr>
      <w:tr w:rsidR="00E3599D" w:rsidRPr="00E14102" w14:paraId="10E3E9A7" w14:textId="77777777">
        <w:tc>
          <w:tcPr>
            <w:tcW w:w="3652" w:type="dxa"/>
          </w:tcPr>
          <w:p w14:paraId="3E4052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Перевод М-34 на водородное топливо</w:t>
            </w:r>
          </w:p>
        </w:tc>
        <w:tc>
          <w:tcPr>
            <w:tcW w:w="992" w:type="dxa"/>
          </w:tcPr>
          <w:p w14:paraId="44A040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1/1-36 г.</w:t>
            </w:r>
          </w:p>
        </w:tc>
        <w:tc>
          <w:tcPr>
            <w:tcW w:w="993" w:type="dxa"/>
          </w:tcPr>
          <w:p w14:paraId="52D6A9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1039B5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Экспериментальная установка вьшолнепа. Строятся специальные помещения для хранения водородних баллонов</w:t>
            </w:r>
          </w:p>
        </w:tc>
      </w:tr>
      <w:tr w:rsidR="00E3599D" w:rsidRPr="00E14102" w14:paraId="76CDD733" w14:textId="77777777">
        <w:tc>
          <w:tcPr>
            <w:tcW w:w="3652" w:type="dxa"/>
          </w:tcPr>
          <w:p w14:paraId="128760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Мотор для рекордного скоростного самолета</w:t>
            </w:r>
          </w:p>
        </w:tc>
        <w:tc>
          <w:tcPr>
            <w:tcW w:w="992" w:type="dxa"/>
          </w:tcPr>
          <w:p w14:paraId="6E7C5E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НКТП и НКО в 2-х мес. срок представить тТУ и план работы</w:t>
            </w:r>
          </w:p>
        </w:tc>
        <w:tc>
          <w:tcPr>
            <w:tcW w:w="993" w:type="dxa"/>
          </w:tcPr>
          <w:p w14:paraId="344488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4439C1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Разрабатываются ТУ</w:t>
            </w:r>
          </w:p>
        </w:tc>
      </w:tr>
      <w:tr w:rsidR="00E3599D" w:rsidRPr="00E14102" w14:paraId="76BB67CD" w14:textId="77777777">
        <w:tc>
          <w:tcPr>
            <w:tcW w:w="3652" w:type="dxa"/>
          </w:tcPr>
          <w:p w14:paraId="51C5C3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Мотор для рекордного высотного самолета</w:t>
            </w:r>
          </w:p>
        </w:tc>
        <w:tc>
          <w:tcPr>
            <w:tcW w:w="992" w:type="dxa"/>
          </w:tcPr>
          <w:p w14:paraId="2AD7B4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НКТП и НКО в 2-х мес. срок представить тТУ и план работы</w:t>
            </w:r>
          </w:p>
        </w:tc>
        <w:tc>
          <w:tcPr>
            <w:tcW w:w="993" w:type="dxa"/>
          </w:tcPr>
          <w:p w14:paraId="304738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375945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Разрабатываются ТУ</w:t>
            </w:r>
          </w:p>
        </w:tc>
      </w:tr>
      <w:tr w:rsidR="00E3599D" w:rsidRPr="00E14102" w14:paraId="773D55E6" w14:textId="77777777">
        <w:tc>
          <w:tcPr>
            <w:tcW w:w="3652" w:type="dxa"/>
          </w:tcPr>
          <w:p w14:paraId="0E8A20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Перевод М-34 на непосредственный впрыск</w:t>
            </w:r>
          </w:p>
        </w:tc>
        <w:tc>
          <w:tcPr>
            <w:tcW w:w="992" w:type="dxa"/>
          </w:tcPr>
          <w:p w14:paraId="6408FB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1/1-36 г.</w:t>
            </w:r>
          </w:p>
        </w:tc>
        <w:tc>
          <w:tcPr>
            <w:tcW w:w="993" w:type="dxa"/>
          </w:tcPr>
          <w:p w14:paraId="479CF5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6B7EB6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Проведено испытание форсунки для непосредственного впрыска, давшее положиттельн. Результаты. Форсунка и насос сданы в пр-во</w:t>
            </w:r>
          </w:p>
        </w:tc>
      </w:tr>
      <w:tr w:rsidR="00E3599D" w:rsidRPr="00E14102" w14:paraId="0DD1893C" w14:textId="77777777">
        <w:tc>
          <w:tcPr>
            <w:tcW w:w="3652" w:type="dxa"/>
          </w:tcPr>
          <w:p w14:paraId="07155F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То же М-25</w:t>
            </w:r>
          </w:p>
        </w:tc>
        <w:tc>
          <w:tcPr>
            <w:tcW w:w="992" w:type="dxa"/>
          </w:tcPr>
          <w:p w14:paraId="5A0350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w:t>
            </w:r>
          </w:p>
        </w:tc>
        <w:tc>
          <w:tcPr>
            <w:tcW w:w="993" w:type="dxa"/>
          </w:tcPr>
          <w:p w14:paraId="4C2D65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0488C3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не начаты</w:t>
            </w:r>
          </w:p>
        </w:tc>
      </w:tr>
      <w:tr w:rsidR="00E3599D" w:rsidRPr="00E14102" w14:paraId="5F711CE2" w14:textId="77777777">
        <w:tc>
          <w:tcPr>
            <w:tcW w:w="3652" w:type="dxa"/>
          </w:tcPr>
          <w:p w14:paraId="3A8A7B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То же М-85</w:t>
            </w:r>
          </w:p>
        </w:tc>
        <w:tc>
          <w:tcPr>
            <w:tcW w:w="992" w:type="dxa"/>
          </w:tcPr>
          <w:p w14:paraId="6DABA4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w:t>
            </w:r>
          </w:p>
        </w:tc>
        <w:tc>
          <w:tcPr>
            <w:tcW w:w="993" w:type="dxa"/>
          </w:tcPr>
          <w:p w14:paraId="6CCB38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4B3F88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не начаты</w:t>
            </w:r>
          </w:p>
        </w:tc>
      </w:tr>
      <w:tr w:rsidR="00E3599D" w:rsidRPr="00E14102" w14:paraId="2352F83F" w14:textId="77777777">
        <w:tc>
          <w:tcPr>
            <w:tcW w:w="3652" w:type="dxa"/>
          </w:tcPr>
          <w:p w14:paraId="116DEB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То же М-100</w:t>
            </w:r>
          </w:p>
        </w:tc>
        <w:tc>
          <w:tcPr>
            <w:tcW w:w="992" w:type="dxa"/>
          </w:tcPr>
          <w:p w14:paraId="40E539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w:t>
            </w:r>
          </w:p>
        </w:tc>
        <w:tc>
          <w:tcPr>
            <w:tcW w:w="993" w:type="dxa"/>
          </w:tcPr>
          <w:p w14:paraId="34E291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72F45A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не начаты</w:t>
            </w:r>
          </w:p>
        </w:tc>
      </w:tr>
      <w:tr w:rsidR="00E3599D" w:rsidRPr="00E14102" w14:paraId="6F813377" w14:textId="77777777">
        <w:tc>
          <w:tcPr>
            <w:tcW w:w="3652" w:type="dxa"/>
          </w:tcPr>
          <w:p w14:paraId="410A51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15. ТК к мотору М-34 до 8500 м</w:t>
            </w:r>
          </w:p>
        </w:tc>
        <w:tc>
          <w:tcPr>
            <w:tcW w:w="992" w:type="dxa"/>
          </w:tcPr>
          <w:p w14:paraId="43D3E9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1/1-36 г.</w:t>
            </w:r>
          </w:p>
        </w:tc>
        <w:tc>
          <w:tcPr>
            <w:tcW w:w="993" w:type="dxa"/>
          </w:tcPr>
          <w:p w14:paraId="33BBC4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457689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Ведутся экспериментальн. Работы, испытания турбокомпрессора Дженерал-Электрик на самолетах (ВВА), лабораторн. Испытание турбокомпрессора конс. ЦИАМ</w:t>
            </w:r>
          </w:p>
        </w:tc>
      </w:tr>
      <w:tr w:rsidR="00E3599D" w:rsidRPr="00E14102" w14:paraId="4645252B" w14:textId="77777777">
        <w:tc>
          <w:tcPr>
            <w:tcW w:w="3652" w:type="dxa"/>
          </w:tcPr>
          <w:p w14:paraId="4AA045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Двухступенчатый нагнетатель к М-34 до 6000 м</w:t>
            </w:r>
          </w:p>
        </w:tc>
        <w:tc>
          <w:tcPr>
            <w:tcW w:w="992" w:type="dxa"/>
          </w:tcPr>
          <w:p w14:paraId="018EA8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1/1-36 г.</w:t>
            </w:r>
          </w:p>
        </w:tc>
        <w:tc>
          <w:tcPr>
            <w:tcW w:w="993" w:type="dxa"/>
          </w:tcPr>
          <w:p w14:paraId="58D402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5872C6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Ведутся конструкторские работы, компановка еще не утверждена.</w:t>
            </w:r>
          </w:p>
        </w:tc>
      </w:tr>
      <w:tr w:rsidR="00E3599D" w:rsidRPr="00E14102" w14:paraId="05DC5842" w14:textId="77777777">
        <w:tc>
          <w:tcPr>
            <w:tcW w:w="3652" w:type="dxa"/>
          </w:tcPr>
          <w:p w14:paraId="65AFC4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Тоже к М-25</w:t>
            </w:r>
          </w:p>
        </w:tc>
        <w:tc>
          <w:tcPr>
            <w:tcW w:w="992" w:type="dxa"/>
          </w:tcPr>
          <w:p w14:paraId="23171E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w:t>
            </w:r>
          </w:p>
        </w:tc>
        <w:tc>
          <w:tcPr>
            <w:tcW w:w="993" w:type="dxa"/>
          </w:tcPr>
          <w:p w14:paraId="48F7B9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629840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не начаты.</w:t>
            </w:r>
          </w:p>
        </w:tc>
      </w:tr>
      <w:tr w:rsidR="00E3599D" w:rsidRPr="00E14102" w14:paraId="05884DE6" w14:textId="77777777">
        <w:tc>
          <w:tcPr>
            <w:tcW w:w="3652" w:type="dxa"/>
          </w:tcPr>
          <w:p w14:paraId="713293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Тоже к М-35</w:t>
            </w:r>
          </w:p>
        </w:tc>
        <w:tc>
          <w:tcPr>
            <w:tcW w:w="992" w:type="dxa"/>
          </w:tcPr>
          <w:p w14:paraId="3C4020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w:t>
            </w:r>
          </w:p>
        </w:tc>
        <w:tc>
          <w:tcPr>
            <w:tcW w:w="993" w:type="dxa"/>
          </w:tcPr>
          <w:p w14:paraId="032FAD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572D72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Начато проектирование 2-х скоростного нагнетателя по договору з-дом № 29.</w:t>
            </w:r>
          </w:p>
        </w:tc>
      </w:tr>
      <w:tr w:rsidR="00E3599D" w:rsidRPr="00E14102" w14:paraId="502F3743" w14:textId="77777777">
        <w:tc>
          <w:tcPr>
            <w:tcW w:w="3652" w:type="dxa"/>
          </w:tcPr>
          <w:p w14:paraId="592136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Тоже к М-100</w:t>
            </w:r>
          </w:p>
        </w:tc>
        <w:tc>
          <w:tcPr>
            <w:tcW w:w="992" w:type="dxa"/>
          </w:tcPr>
          <w:p w14:paraId="6A2D79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w:t>
            </w:r>
          </w:p>
        </w:tc>
        <w:tc>
          <w:tcPr>
            <w:tcW w:w="993" w:type="dxa"/>
          </w:tcPr>
          <w:p w14:paraId="6D88AC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2F4DA1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не начаты.</w:t>
            </w:r>
          </w:p>
        </w:tc>
      </w:tr>
      <w:tr w:rsidR="00E3599D" w:rsidRPr="00E14102" w14:paraId="5A1F7F9D" w14:textId="77777777">
        <w:tc>
          <w:tcPr>
            <w:tcW w:w="3652" w:type="dxa"/>
          </w:tcPr>
          <w:p w14:paraId="3E67F5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2-х скоростной нагнетатель к М-34</w:t>
            </w:r>
          </w:p>
        </w:tc>
        <w:tc>
          <w:tcPr>
            <w:tcW w:w="992" w:type="dxa"/>
          </w:tcPr>
          <w:p w14:paraId="354532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1/1-36 г.</w:t>
            </w:r>
          </w:p>
        </w:tc>
        <w:tc>
          <w:tcPr>
            <w:tcW w:w="993" w:type="dxa"/>
          </w:tcPr>
          <w:p w14:paraId="3AB76B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299C34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Проводятся экспериментальные работы. В пр-ве 4 экз. механизма переключения. Нагнет № 1 в сборке. Выход предпол. к 10/У1.</w:t>
            </w:r>
          </w:p>
          <w:p w14:paraId="688890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2 - к 1/УП, № 3 - к 1/УШ</w:t>
            </w:r>
          </w:p>
        </w:tc>
      </w:tr>
      <w:tr w:rsidR="00E3599D" w:rsidRPr="00E14102" w14:paraId="3C5F739E" w14:textId="77777777">
        <w:tc>
          <w:tcPr>
            <w:tcW w:w="3652" w:type="dxa"/>
          </w:tcPr>
          <w:p w14:paraId="056FA1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ВИШ-3 - винт перем.шага для М-34ФРН</w:t>
            </w:r>
          </w:p>
        </w:tc>
        <w:tc>
          <w:tcPr>
            <w:tcW w:w="992" w:type="dxa"/>
          </w:tcPr>
          <w:p w14:paraId="26A3A6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1/ХП-35 г.</w:t>
            </w:r>
          </w:p>
        </w:tc>
        <w:tc>
          <w:tcPr>
            <w:tcW w:w="993" w:type="dxa"/>
          </w:tcPr>
          <w:p w14:paraId="6F2B55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6C8B70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начала мая впр-ве находятся 3 экз. Выход № 1 к 1/1Х-с..г.</w:t>
            </w:r>
          </w:p>
        </w:tc>
      </w:tr>
      <w:tr w:rsidR="00E3599D" w:rsidRPr="00E14102" w14:paraId="78D11DF6" w14:textId="77777777">
        <w:tc>
          <w:tcPr>
            <w:tcW w:w="3652" w:type="dxa"/>
          </w:tcPr>
          <w:p w14:paraId="34E338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ВИШ-Э-2 с электроприводом</w:t>
            </w:r>
          </w:p>
        </w:tc>
        <w:tc>
          <w:tcPr>
            <w:tcW w:w="992" w:type="dxa"/>
          </w:tcPr>
          <w:p w14:paraId="0C0730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Исп. 1/Х1-35 г.</w:t>
            </w:r>
          </w:p>
        </w:tc>
        <w:tc>
          <w:tcPr>
            <w:tcW w:w="993" w:type="dxa"/>
          </w:tcPr>
          <w:p w14:paraId="0AE8B7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1CC2D0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пр-ве 2 экз. Эксперимент. испытания дали положительн. результаты</w:t>
            </w:r>
          </w:p>
        </w:tc>
      </w:tr>
      <w:tr w:rsidR="00E3599D" w:rsidRPr="00E14102" w14:paraId="0760507F" w14:textId="77777777">
        <w:tc>
          <w:tcPr>
            <w:tcW w:w="3652" w:type="dxa"/>
          </w:tcPr>
          <w:p w14:paraId="097770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ВИШ-РЦ для М-25</w:t>
            </w:r>
          </w:p>
        </w:tc>
        <w:tc>
          <w:tcPr>
            <w:tcW w:w="992" w:type="dxa"/>
          </w:tcPr>
          <w:p w14:paraId="461990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1/УШ-35 г.</w:t>
            </w:r>
          </w:p>
        </w:tc>
        <w:tc>
          <w:tcPr>
            <w:tcW w:w="993" w:type="dxa"/>
          </w:tcPr>
          <w:p w14:paraId="5DB73B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596EB6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Изготовлен 1 зкз. Устанавлив. на моторе. № 2 впроизводстве назначен для предъявлен.на госиспытание.</w:t>
            </w:r>
          </w:p>
        </w:tc>
      </w:tr>
      <w:tr w:rsidR="00E3599D" w:rsidRPr="00E14102" w14:paraId="0D1A9662" w14:textId="77777777">
        <w:tc>
          <w:tcPr>
            <w:tcW w:w="3652" w:type="dxa"/>
          </w:tcPr>
          <w:p w14:paraId="14FCD9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М-34ФРН (форсированный с нагнетателем)</w:t>
            </w:r>
          </w:p>
          <w:p w14:paraId="432180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 1150/0, 1050/3000, 850/4800</w:t>
            </w:r>
          </w:p>
          <w:p w14:paraId="7748C8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710, час. расход горюч. 255-265 г/лс/ч</w:t>
            </w:r>
          </w:p>
        </w:tc>
        <w:tc>
          <w:tcPr>
            <w:tcW w:w="992" w:type="dxa"/>
          </w:tcPr>
          <w:p w14:paraId="3E3F42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1/1Х-35 г.</w:t>
            </w:r>
          </w:p>
        </w:tc>
        <w:tc>
          <w:tcPr>
            <w:tcW w:w="993" w:type="dxa"/>
          </w:tcPr>
          <w:p w14:paraId="1BDA23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24</w:t>
            </w:r>
          </w:p>
        </w:tc>
        <w:tc>
          <w:tcPr>
            <w:tcW w:w="5572" w:type="dxa"/>
          </w:tcPr>
          <w:p w14:paraId="1A88CC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Проводятся испытания трех моторов (2 с редуктором и нагнетателем, 1 - только с нагнетат, без редуктора), показавшие макс. мощность до 1250 л.с. при 1980 об./мин. Испытания продолжаются.</w:t>
            </w:r>
          </w:p>
        </w:tc>
      </w:tr>
      <w:tr w:rsidR="00E3599D" w:rsidRPr="00E14102" w14:paraId="5BFE1694" w14:textId="77777777">
        <w:tc>
          <w:tcPr>
            <w:tcW w:w="3652" w:type="dxa"/>
          </w:tcPr>
          <w:p w14:paraId="5007EA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М-34ФН (форсированный с нагнетателем).</w:t>
            </w:r>
          </w:p>
          <w:p w14:paraId="5AB9DD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та же, что и у М-34ФРН</w:t>
            </w:r>
          </w:p>
          <w:p w14:paraId="277DBD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630, час. расход горюч. 255-265 г/лс/ч</w:t>
            </w:r>
          </w:p>
        </w:tc>
        <w:tc>
          <w:tcPr>
            <w:tcW w:w="992" w:type="dxa"/>
          </w:tcPr>
          <w:p w14:paraId="1DEB6A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1/1Х-35 г.</w:t>
            </w:r>
          </w:p>
        </w:tc>
        <w:tc>
          <w:tcPr>
            <w:tcW w:w="993" w:type="dxa"/>
          </w:tcPr>
          <w:p w14:paraId="6B5B45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24</w:t>
            </w:r>
          </w:p>
        </w:tc>
        <w:tc>
          <w:tcPr>
            <w:tcW w:w="5572" w:type="dxa"/>
          </w:tcPr>
          <w:p w14:paraId="2778AF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Проводятся испытания трех моторов (2 с редуктором и нагнетателем, 1 - только с нагнетат, без редуктора), показавшие макс. мощность до 1250 л.с. при 1980 об./мин. Испытания продолжаются.</w:t>
            </w:r>
          </w:p>
        </w:tc>
      </w:tr>
      <w:tr w:rsidR="00E3599D" w:rsidRPr="00E14102" w14:paraId="790528BE" w14:textId="77777777">
        <w:tc>
          <w:tcPr>
            <w:tcW w:w="3652" w:type="dxa"/>
          </w:tcPr>
          <w:p w14:paraId="3DB51F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М-34ФРН второй этап</w:t>
            </w:r>
          </w:p>
          <w:p w14:paraId="687ED0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 1150/0, 1000/5000</w:t>
            </w:r>
          </w:p>
          <w:p w14:paraId="641643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680, час. расход горюч. 255-265 г/лс/ч</w:t>
            </w:r>
          </w:p>
        </w:tc>
        <w:tc>
          <w:tcPr>
            <w:tcW w:w="992" w:type="dxa"/>
          </w:tcPr>
          <w:p w14:paraId="4517E5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1/1У-36 г.</w:t>
            </w:r>
          </w:p>
        </w:tc>
        <w:tc>
          <w:tcPr>
            <w:tcW w:w="993" w:type="dxa"/>
          </w:tcPr>
          <w:p w14:paraId="40BFCE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24</w:t>
            </w:r>
          </w:p>
        </w:tc>
        <w:tc>
          <w:tcPr>
            <w:tcW w:w="5572" w:type="dxa"/>
          </w:tcPr>
          <w:p w14:paraId="196D9E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Запроектирован новый нагнетатель, чертежи сданы в пр-во.</w:t>
            </w:r>
          </w:p>
          <w:p w14:paraId="1D62F9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Проводились экспериментальн. Испытания мотора на форсированном режиме, была замерена макс. мощность - до 1400 л.с. при 2040 об/мин.</w:t>
            </w:r>
          </w:p>
        </w:tc>
      </w:tr>
      <w:tr w:rsidR="00E3599D" w:rsidRPr="00E14102" w14:paraId="49018A8B" w14:textId="77777777">
        <w:tc>
          <w:tcPr>
            <w:tcW w:w="3652" w:type="dxa"/>
          </w:tcPr>
          <w:p w14:paraId="55F8F7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М-34ФН второй этап</w:t>
            </w:r>
          </w:p>
          <w:p w14:paraId="4B3E10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 1150/0, 1000/5000</w:t>
            </w:r>
          </w:p>
          <w:p w14:paraId="270EB9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680, час. расход горюч. 255-265 г/лс/ч</w:t>
            </w:r>
          </w:p>
        </w:tc>
        <w:tc>
          <w:tcPr>
            <w:tcW w:w="992" w:type="dxa"/>
          </w:tcPr>
          <w:p w14:paraId="7AE5FB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1/1У-36 г.</w:t>
            </w:r>
          </w:p>
        </w:tc>
        <w:tc>
          <w:tcPr>
            <w:tcW w:w="993" w:type="dxa"/>
          </w:tcPr>
          <w:p w14:paraId="63E8BE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24</w:t>
            </w:r>
          </w:p>
        </w:tc>
        <w:tc>
          <w:tcPr>
            <w:tcW w:w="5572" w:type="dxa"/>
          </w:tcPr>
          <w:p w14:paraId="72EEA7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Запроектирован новый нагнетатель, чертежи сданы в пр-во.</w:t>
            </w:r>
          </w:p>
          <w:p w14:paraId="489CF8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Проводились экспериментальн. Испытания мотора на форсированном режиме, была замерена макс. мощность - до 1400 л.с. при 2040 об/мин.</w:t>
            </w:r>
          </w:p>
        </w:tc>
      </w:tr>
      <w:tr w:rsidR="00E3599D" w:rsidRPr="00E14102" w14:paraId="4BBDC675" w14:textId="77777777">
        <w:tc>
          <w:tcPr>
            <w:tcW w:w="3652" w:type="dxa"/>
          </w:tcPr>
          <w:p w14:paraId="5B2CC7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М-34ФРН (переход. по плану 1934 г.)</w:t>
            </w:r>
          </w:p>
          <w:p w14:paraId="5FF0F4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 950/0, 850/4000</w:t>
            </w:r>
          </w:p>
          <w:p w14:paraId="39CF39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730, час. расход горюч. 255-265 г/лс/ч</w:t>
            </w:r>
          </w:p>
        </w:tc>
        <w:tc>
          <w:tcPr>
            <w:tcW w:w="992" w:type="dxa"/>
          </w:tcPr>
          <w:p w14:paraId="5DD1D5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1/УШ-35 г.</w:t>
            </w:r>
          </w:p>
        </w:tc>
        <w:tc>
          <w:tcPr>
            <w:tcW w:w="993" w:type="dxa"/>
          </w:tcPr>
          <w:p w14:paraId="55FA90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24</w:t>
            </w:r>
          </w:p>
        </w:tc>
        <w:tc>
          <w:tcPr>
            <w:tcW w:w="5572" w:type="dxa"/>
          </w:tcPr>
          <w:p w14:paraId="088F68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Запущена- головная серия по 20 мот. редукторных и безредукт.</w:t>
            </w:r>
          </w:p>
          <w:p w14:paraId="00AB6E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июня первые экземпляры поступают в сборку.</w:t>
            </w:r>
          </w:p>
        </w:tc>
      </w:tr>
      <w:tr w:rsidR="00E3599D" w:rsidRPr="00E14102" w14:paraId="4A55A567" w14:textId="77777777">
        <w:tc>
          <w:tcPr>
            <w:tcW w:w="3652" w:type="dxa"/>
          </w:tcPr>
          <w:p w14:paraId="4A7354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М-34ФН (то же без редуктора)</w:t>
            </w:r>
          </w:p>
          <w:p w14:paraId="4570B6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650</w:t>
            </w:r>
          </w:p>
        </w:tc>
        <w:tc>
          <w:tcPr>
            <w:tcW w:w="992" w:type="dxa"/>
          </w:tcPr>
          <w:p w14:paraId="10167E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1/УШ-35 г.</w:t>
            </w:r>
          </w:p>
        </w:tc>
        <w:tc>
          <w:tcPr>
            <w:tcW w:w="993" w:type="dxa"/>
          </w:tcPr>
          <w:p w14:paraId="4A03D0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24</w:t>
            </w:r>
          </w:p>
        </w:tc>
        <w:tc>
          <w:tcPr>
            <w:tcW w:w="5572" w:type="dxa"/>
          </w:tcPr>
          <w:p w14:paraId="0F73256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Запущена- головная серяя по 20 мот. редукторных и безредукт.</w:t>
            </w:r>
          </w:p>
          <w:p w14:paraId="4F6E02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июня первые экземпляры поступают в сборку.</w:t>
            </w:r>
          </w:p>
        </w:tc>
      </w:tr>
      <w:tr w:rsidR="00E3599D" w:rsidRPr="00E14102" w14:paraId="3EA08B1D" w14:textId="77777777">
        <w:tc>
          <w:tcPr>
            <w:tcW w:w="3652" w:type="dxa"/>
          </w:tcPr>
          <w:p w14:paraId="52B737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М-34ФУРН с удлиненным носком вала</w:t>
            </w:r>
          </w:p>
          <w:p w14:paraId="59D2AC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 950/0, 850/4000</w:t>
            </w:r>
          </w:p>
          <w:p w14:paraId="0237E2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760, час. расход горюч. 255-265 г/лс/ч</w:t>
            </w:r>
          </w:p>
        </w:tc>
        <w:tc>
          <w:tcPr>
            <w:tcW w:w="992" w:type="dxa"/>
          </w:tcPr>
          <w:p w14:paraId="350AB6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1/ХП-35 г.</w:t>
            </w:r>
          </w:p>
        </w:tc>
        <w:tc>
          <w:tcPr>
            <w:tcW w:w="993" w:type="dxa"/>
          </w:tcPr>
          <w:p w14:paraId="771A9D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24</w:t>
            </w:r>
          </w:p>
        </w:tc>
        <w:tc>
          <w:tcPr>
            <w:tcW w:w="5572" w:type="dxa"/>
          </w:tcPr>
          <w:p w14:paraId="530D41C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Перерабатывается компоновка мотора. Удлиненннй вал редуктора находится в производстве</w:t>
            </w:r>
          </w:p>
        </w:tc>
      </w:tr>
      <w:tr w:rsidR="00E3599D" w:rsidRPr="00E14102" w14:paraId="261944DD" w14:textId="77777777">
        <w:tc>
          <w:tcPr>
            <w:tcW w:w="3652" w:type="dxa"/>
          </w:tcPr>
          <w:p w14:paraId="3005B6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ГМ-34Ф</w:t>
            </w:r>
          </w:p>
          <w:p w14:paraId="664A17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 900-950 л.с.</w:t>
            </w:r>
          </w:p>
        </w:tc>
        <w:tc>
          <w:tcPr>
            <w:tcW w:w="992" w:type="dxa"/>
          </w:tcPr>
          <w:p w14:paraId="4381B7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1/Х1-35</w:t>
            </w:r>
          </w:p>
        </w:tc>
        <w:tc>
          <w:tcPr>
            <w:tcW w:w="993" w:type="dxa"/>
          </w:tcPr>
          <w:p w14:paraId="625831AE" w14:textId="77777777" w:rsidR="00D4105E" w:rsidRPr="00E14102" w:rsidRDefault="00D4105E" w:rsidP="00E14102">
            <w:pPr>
              <w:autoSpaceDE w:val="0"/>
              <w:autoSpaceDN w:val="0"/>
              <w:adjustRightInd w:val="0"/>
              <w:jc w:val="both"/>
              <w:rPr>
                <w:color w:val="000000" w:themeColor="text1"/>
                <w:sz w:val="16"/>
                <w:szCs w:val="16"/>
              </w:rPr>
            </w:pPr>
          </w:p>
        </w:tc>
        <w:tc>
          <w:tcPr>
            <w:tcW w:w="5572" w:type="dxa"/>
          </w:tcPr>
          <w:p w14:paraId="6C76D6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Закончен проект форсированного мотора. Реверс оставлен прежней конструкции. ЦИАМ проектирует нагнетатель для наддува мотора</w:t>
            </w:r>
          </w:p>
        </w:tc>
      </w:tr>
      <w:tr w:rsidR="00E3599D" w:rsidRPr="00E14102" w14:paraId="6A03160A" w14:textId="77777777">
        <w:tc>
          <w:tcPr>
            <w:tcW w:w="3652" w:type="dxa"/>
          </w:tcPr>
          <w:p w14:paraId="3273A6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 М-86 (развитие К-9)</w:t>
            </w:r>
          </w:p>
        </w:tc>
        <w:tc>
          <w:tcPr>
            <w:tcW w:w="992" w:type="dxa"/>
          </w:tcPr>
          <w:p w14:paraId="19BEE363" w14:textId="77777777" w:rsidR="00D4105E" w:rsidRPr="00E14102" w:rsidRDefault="00D4105E" w:rsidP="00E14102">
            <w:pPr>
              <w:autoSpaceDE w:val="0"/>
              <w:autoSpaceDN w:val="0"/>
              <w:adjustRightInd w:val="0"/>
              <w:jc w:val="both"/>
              <w:rPr>
                <w:color w:val="000000" w:themeColor="text1"/>
                <w:sz w:val="16"/>
                <w:szCs w:val="16"/>
              </w:rPr>
            </w:pPr>
          </w:p>
        </w:tc>
        <w:tc>
          <w:tcPr>
            <w:tcW w:w="993" w:type="dxa"/>
          </w:tcPr>
          <w:p w14:paraId="4B260E87" w14:textId="77777777" w:rsidR="00D4105E" w:rsidRPr="00E14102" w:rsidRDefault="00D4105E" w:rsidP="00E14102">
            <w:pPr>
              <w:autoSpaceDE w:val="0"/>
              <w:autoSpaceDN w:val="0"/>
              <w:adjustRightInd w:val="0"/>
              <w:jc w:val="both"/>
              <w:rPr>
                <w:color w:val="000000" w:themeColor="text1"/>
                <w:sz w:val="16"/>
                <w:szCs w:val="16"/>
              </w:rPr>
            </w:pPr>
          </w:p>
        </w:tc>
        <w:tc>
          <w:tcPr>
            <w:tcW w:w="5572" w:type="dxa"/>
          </w:tcPr>
          <w:p w14:paraId="0E0828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63BB2F1F" w14:textId="77777777">
        <w:tc>
          <w:tcPr>
            <w:tcW w:w="3652" w:type="dxa"/>
          </w:tcPr>
          <w:p w14:paraId="13716BE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33. М-58 (доводка)</w:t>
            </w:r>
          </w:p>
          <w:p w14:paraId="01464B5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мощн. 630 л.с.</w:t>
            </w:r>
          </w:p>
          <w:p w14:paraId="00C47C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высотн. - 4000 м</w:t>
            </w:r>
          </w:p>
        </w:tc>
        <w:tc>
          <w:tcPr>
            <w:tcW w:w="992" w:type="dxa"/>
          </w:tcPr>
          <w:p w14:paraId="0CD700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1/УП-35 г.</w:t>
            </w:r>
          </w:p>
        </w:tc>
        <w:tc>
          <w:tcPr>
            <w:tcW w:w="993" w:type="dxa"/>
          </w:tcPr>
          <w:p w14:paraId="2F341E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29</w:t>
            </w:r>
          </w:p>
        </w:tc>
        <w:tc>
          <w:tcPr>
            <w:tcW w:w="5572" w:type="dxa"/>
          </w:tcPr>
          <w:p w14:paraId="7D8B4A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 прошел заводские испытания и предъявлен 15/У на госиспытания с высотностью 4000 м</w:t>
            </w:r>
          </w:p>
        </w:tc>
      </w:tr>
      <w:tr w:rsidR="00E3599D" w:rsidRPr="00E14102" w14:paraId="01A66A64" w14:textId="77777777">
        <w:tc>
          <w:tcPr>
            <w:tcW w:w="3652" w:type="dxa"/>
          </w:tcPr>
          <w:p w14:paraId="1F0BA5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 М-85 - доведение мощности до 1000 л.с.</w:t>
            </w:r>
          </w:p>
        </w:tc>
        <w:tc>
          <w:tcPr>
            <w:tcW w:w="992" w:type="dxa"/>
          </w:tcPr>
          <w:p w14:paraId="1CD0A0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1/У1-36 г.</w:t>
            </w:r>
          </w:p>
        </w:tc>
        <w:tc>
          <w:tcPr>
            <w:tcW w:w="993" w:type="dxa"/>
          </w:tcPr>
          <w:p w14:paraId="0A9759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29</w:t>
            </w:r>
          </w:p>
        </w:tc>
        <w:tc>
          <w:tcPr>
            <w:tcW w:w="5572" w:type="dxa"/>
          </w:tcPr>
          <w:p w14:paraId="6B499A0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Произведен расчет мотора на указанную мощность.</w:t>
            </w:r>
          </w:p>
        </w:tc>
      </w:tr>
      <w:tr w:rsidR="00E3599D" w:rsidRPr="00E14102" w14:paraId="24A4B5B8" w14:textId="77777777">
        <w:tc>
          <w:tcPr>
            <w:tcW w:w="3652" w:type="dxa"/>
          </w:tcPr>
          <w:p w14:paraId="684C37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 Перестановка карбюрпатора М-85 наверх</w:t>
            </w:r>
          </w:p>
        </w:tc>
        <w:tc>
          <w:tcPr>
            <w:tcW w:w="992" w:type="dxa"/>
          </w:tcPr>
          <w:p w14:paraId="4EEE74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1/У1-36 г.</w:t>
            </w:r>
          </w:p>
        </w:tc>
        <w:tc>
          <w:tcPr>
            <w:tcW w:w="993" w:type="dxa"/>
          </w:tcPr>
          <w:p w14:paraId="2CEC91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29</w:t>
            </w:r>
          </w:p>
        </w:tc>
        <w:tc>
          <w:tcPr>
            <w:tcW w:w="5572" w:type="dxa"/>
          </w:tcPr>
          <w:p w14:paraId="0A8B7F7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Ведется- проектирование</w:t>
            </w:r>
          </w:p>
        </w:tc>
      </w:tr>
      <w:tr w:rsidR="00E3599D" w:rsidRPr="00E14102" w14:paraId="6170A1E9" w14:textId="77777777">
        <w:tc>
          <w:tcPr>
            <w:tcW w:w="3652" w:type="dxa"/>
          </w:tcPr>
          <w:p w14:paraId="5DDC19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 ПТ6 - паровая турбина, мощн. 6000 л.с.</w:t>
            </w:r>
          </w:p>
        </w:tc>
        <w:tc>
          <w:tcPr>
            <w:tcW w:w="992" w:type="dxa"/>
          </w:tcPr>
          <w:p w14:paraId="5FB807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1/У-36 г.</w:t>
            </w:r>
          </w:p>
        </w:tc>
        <w:tc>
          <w:tcPr>
            <w:tcW w:w="993" w:type="dxa"/>
          </w:tcPr>
          <w:p w14:paraId="321574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5572" w:type="dxa"/>
          </w:tcPr>
          <w:p w14:paraId="7C2160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Котел готов. Турбина поступила в частичную сборку. Насосная гр. в производстве, стендовая группа в сбопке (топливн. насос собран), будет закончена в июне-июле с.г. Авиац.насосная гр.в пр-ве. Редуктор остается нарезка и азотизация шестерен и изготовл. нижнего картера, остальн. детали готовы.</w:t>
            </w:r>
          </w:p>
          <w:p w14:paraId="276ED1B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Конденсатор закончен проектировванием. В пр-во не сдан.'</w:t>
            </w:r>
          </w:p>
        </w:tc>
      </w:tr>
      <w:tr w:rsidR="00E3599D" w:rsidRPr="00E14102" w14:paraId="7EB88F3B" w14:textId="77777777">
        <w:tc>
          <w:tcPr>
            <w:tcW w:w="3652" w:type="dxa"/>
          </w:tcPr>
          <w:p w14:paraId="390063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 Г.Т.-1 газовая турбина</w:t>
            </w:r>
          </w:p>
          <w:p w14:paraId="5EF8E8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 1000 л.с.</w:t>
            </w:r>
          </w:p>
        </w:tc>
        <w:tc>
          <w:tcPr>
            <w:tcW w:w="992" w:type="dxa"/>
          </w:tcPr>
          <w:p w14:paraId="0E0AB7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1/У-36 г.</w:t>
            </w:r>
          </w:p>
        </w:tc>
        <w:tc>
          <w:tcPr>
            <w:tcW w:w="993" w:type="dxa"/>
          </w:tcPr>
          <w:p w14:paraId="4C2DEF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ВТИ</w:t>
            </w:r>
          </w:p>
        </w:tc>
        <w:tc>
          <w:tcPr>
            <w:tcW w:w="5572" w:type="dxa"/>
          </w:tcPr>
          <w:p w14:paraId="194171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Проведены экспериментальные испытания охлажд. Лопаток, начата разработка рабочих чертежей.</w:t>
            </w:r>
          </w:p>
        </w:tc>
      </w:tr>
      <w:tr w:rsidR="00E3599D" w:rsidRPr="00E14102" w14:paraId="3B3AD2BF" w14:textId="77777777">
        <w:tc>
          <w:tcPr>
            <w:tcW w:w="3652" w:type="dxa"/>
          </w:tcPr>
          <w:p w14:paraId="095BB3A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38. Н-1 авиадизель</w:t>
            </w:r>
          </w:p>
          <w:p w14:paraId="1E07289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мощн. 750 л.с.</w:t>
            </w:r>
          </w:p>
          <w:p w14:paraId="13AD01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высотн. 3000 мт.</w:t>
            </w:r>
          </w:p>
        </w:tc>
        <w:tc>
          <w:tcPr>
            <w:tcW w:w="992" w:type="dxa"/>
          </w:tcPr>
          <w:p w14:paraId="6F1C5A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1/1У-36 г.</w:t>
            </w:r>
          </w:p>
        </w:tc>
        <w:tc>
          <w:tcPr>
            <w:tcW w:w="993" w:type="dxa"/>
          </w:tcPr>
          <w:p w14:paraId="2DCA0C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3B4E05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 время госиспытаний в апреле была поломка колен. вала. В мае пред"явлен другой мотор, котор. в настоящ. время проходит испытания.</w:t>
            </w:r>
          </w:p>
        </w:tc>
      </w:tr>
      <w:tr w:rsidR="00E3599D" w:rsidRPr="00E14102" w14:paraId="7F91A6AE" w14:textId="77777777">
        <w:tc>
          <w:tcPr>
            <w:tcW w:w="3652" w:type="dxa"/>
          </w:tcPr>
          <w:p w14:paraId="5AB3BA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39. Н-4 авиадизель</w:t>
            </w:r>
          </w:p>
          <w:p w14:paraId="3C0229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мощн. 600 л.с.</w:t>
            </w:r>
          </w:p>
          <w:p w14:paraId="39EBD8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высотн. 3000-500 мт.</w:t>
            </w:r>
          </w:p>
        </w:tc>
        <w:tc>
          <w:tcPr>
            <w:tcW w:w="992" w:type="dxa"/>
          </w:tcPr>
          <w:p w14:paraId="27D663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1/У-36 г.</w:t>
            </w:r>
          </w:p>
        </w:tc>
        <w:tc>
          <w:tcPr>
            <w:tcW w:w="993" w:type="dxa"/>
          </w:tcPr>
          <w:p w14:paraId="66BFC1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5572" w:type="dxa"/>
          </w:tcPr>
          <w:p w14:paraId="656F72B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Находится в производстве на заводе № 24. Срок изготовления всех деталей и начало сборки 1/Х-35 г.</w:t>
            </w:r>
          </w:p>
        </w:tc>
      </w:tr>
      <w:tr w:rsidR="00E3599D" w:rsidRPr="00E14102" w14:paraId="498B5DB3" w14:textId="77777777">
        <w:tc>
          <w:tcPr>
            <w:tcW w:w="3652" w:type="dxa"/>
          </w:tcPr>
          <w:p w14:paraId="11B4623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40. ВИШ-РЦ - винт перем. Шага для М-25</w:t>
            </w:r>
          </w:p>
        </w:tc>
        <w:tc>
          <w:tcPr>
            <w:tcW w:w="992" w:type="dxa"/>
          </w:tcPr>
          <w:p w14:paraId="50298F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1/У1-35 г.</w:t>
            </w:r>
          </w:p>
        </w:tc>
        <w:tc>
          <w:tcPr>
            <w:tcW w:w="993" w:type="dxa"/>
          </w:tcPr>
          <w:p w14:paraId="658297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28</w:t>
            </w:r>
          </w:p>
        </w:tc>
        <w:tc>
          <w:tcPr>
            <w:tcW w:w="5572" w:type="dxa"/>
          </w:tcPr>
          <w:p w14:paraId="5E0038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мае предъявлен на гос. испытан., во время. которых произошла поломка втулки. Приступлено к изготовлению новой втулки.</w:t>
            </w:r>
          </w:p>
        </w:tc>
      </w:tr>
      <w:tr w:rsidR="00E3599D" w:rsidRPr="00E14102" w14:paraId="04B4E28F" w14:textId="77777777">
        <w:tc>
          <w:tcPr>
            <w:tcW w:w="3652" w:type="dxa"/>
          </w:tcPr>
          <w:p w14:paraId="02968A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41. ВИМ М-34</w:t>
            </w:r>
          </w:p>
        </w:tc>
        <w:tc>
          <w:tcPr>
            <w:tcW w:w="992" w:type="dxa"/>
          </w:tcPr>
          <w:p w14:paraId="645973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1/1-36 г.</w:t>
            </w:r>
          </w:p>
        </w:tc>
        <w:tc>
          <w:tcPr>
            <w:tcW w:w="993" w:type="dxa"/>
          </w:tcPr>
          <w:p w14:paraId="56A1CF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28</w:t>
            </w:r>
          </w:p>
        </w:tc>
        <w:tc>
          <w:tcPr>
            <w:tcW w:w="5572" w:type="dxa"/>
          </w:tcPr>
          <w:p w14:paraId="18A4C8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Ведется проектирование винта</w:t>
            </w:r>
          </w:p>
        </w:tc>
      </w:tr>
      <w:tr w:rsidR="00E3599D" w:rsidRPr="00E14102" w14:paraId="7EE5C69B" w14:textId="77777777">
        <w:tc>
          <w:tcPr>
            <w:tcW w:w="3652" w:type="dxa"/>
          </w:tcPr>
          <w:p w14:paraId="2A6445C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42. Модификация М-25 двойная звезда</w:t>
            </w:r>
          </w:p>
        </w:tc>
        <w:tc>
          <w:tcPr>
            <w:tcW w:w="992" w:type="dxa"/>
          </w:tcPr>
          <w:p w14:paraId="63D544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1/Х-36</w:t>
            </w:r>
          </w:p>
        </w:tc>
        <w:tc>
          <w:tcPr>
            <w:tcW w:w="993" w:type="dxa"/>
          </w:tcPr>
          <w:p w14:paraId="07AEC3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19</w:t>
            </w:r>
          </w:p>
        </w:tc>
        <w:tc>
          <w:tcPr>
            <w:tcW w:w="5572" w:type="dxa"/>
          </w:tcPr>
          <w:p w14:paraId="5689C8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Ведется проектирование</w:t>
            </w:r>
          </w:p>
        </w:tc>
      </w:tr>
      <w:tr w:rsidR="00E3599D" w:rsidRPr="00E14102" w14:paraId="1D434A82" w14:textId="77777777">
        <w:tc>
          <w:tcPr>
            <w:tcW w:w="3652" w:type="dxa"/>
          </w:tcPr>
          <w:p w14:paraId="500116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43. М-62 (форсир. М-25 до номин. мощн. 700 л.с. при 2000 об./мин.) высотн. 650 л.с. до 3850 м с перекл. нагнетателя</w:t>
            </w:r>
          </w:p>
        </w:tc>
        <w:tc>
          <w:tcPr>
            <w:tcW w:w="992" w:type="dxa"/>
          </w:tcPr>
          <w:p w14:paraId="54B5FB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Исп. 1/1-36 г.</w:t>
            </w:r>
          </w:p>
        </w:tc>
        <w:tc>
          <w:tcPr>
            <w:tcW w:w="993" w:type="dxa"/>
          </w:tcPr>
          <w:p w14:paraId="6472E7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19</w:t>
            </w:r>
          </w:p>
        </w:tc>
        <w:tc>
          <w:tcPr>
            <w:tcW w:w="5572" w:type="dxa"/>
          </w:tcPr>
          <w:p w14:paraId="2730FC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Проведены 25 час. испытания М25 на форсированном режиме, показ. Номин. мощн. на земле 650 л.с. при 2100 об/м., высотн.650 л.с. до 4400 мтр. при сохранении норм. наддува, а также 25 час. испыт. с повышенн. наддувом, показал мощн. 710-720 л.с. при 2100 об./мин.'</w:t>
            </w:r>
          </w:p>
        </w:tc>
      </w:tr>
      <w:tr w:rsidR="00E3599D" w:rsidRPr="00E14102" w14:paraId="208B9B37" w14:textId="77777777">
        <w:tc>
          <w:tcPr>
            <w:tcW w:w="3652" w:type="dxa"/>
          </w:tcPr>
          <w:p w14:paraId="398E1C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44. М-25Ф (форсир. М-25 до номин. мощн. 700 л.с. при 2400 об./мин.) высотн. 800 л.с. до 3250 м</w:t>
            </w:r>
          </w:p>
        </w:tc>
        <w:tc>
          <w:tcPr>
            <w:tcW w:w="992" w:type="dxa"/>
          </w:tcPr>
          <w:p w14:paraId="1BE406E4" w14:textId="77777777" w:rsidR="00D4105E" w:rsidRPr="00E14102" w:rsidRDefault="00D4105E" w:rsidP="00E14102">
            <w:pPr>
              <w:autoSpaceDE w:val="0"/>
              <w:autoSpaceDN w:val="0"/>
              <w:adjustRightInd w:val="0"/>
              <w:jc w:val="both"/>
              <w:rPr>
                <w:color w:val="000000" w:themeColor="text1"/>
                <w:sz w:val="16"/>
                <w:szCs w:val="16"/>
              </w:rPr>
            </w:pPr>
          </w:p>
        </w:tc>
        <w:tc>
          <w:tcPr>
            <w:tcW w:w="993" w:type="dxa"/>
          </w:tcPr>
          <w:p w14:paraId="15E915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19</w:t>
            </w:r>
          </w:p>
        </w:tc>
        <w:tc>
          <w:tcPr>
            <w:tcW w:w="5572" w:type="dxa"/>
          </w:tcPr>
          <w:p w14:paraId="29DD0EC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Ведется проектирование</w:t>
            </w:r>
          </w:p>
        </w:tc>
      </w:tr>
      <w:tr w:rsidR="00E3599D" w:rsidRPr="00E14102" w14:paraId="6767A699" w14:textId="77777777">
        <w:tc>
          <w:tcPr>
            <w:tcW w:w="3652" w:type="dxa"/>
          </w:tcPr>
          <w:p w14:paraId="26CE61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45. М-25У - увеличенного литража поср. Звезды 9 цил. Меньшего размера.</w:t>
            </w:r>
          </w:p>
          <w:p w14:paraId="566E01E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Мощно. Номин. 800 л.с. при числе оборо. 2000, высотн. 800/2800 м</w:t>
            </w:r>
          </w:p>
        </w:tc>
        <w:tc>
          <w:tcPr>
            <w:tcW w:w="992" w:type="dxa"/>
          </w:tcPr>
          <w:p w14:paraId="554C78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Исп.</w:t>
            </w:r>
          </w:p>
          <w:p w14:paraId="71AB2E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1/1У-36 г.</w:t>
            </w:r>
          </w:p>
        </w:tc>
        <w:tc>
          <w:tcPr>
            <w:tcW w:w="993" w:type="dxa"/>
          </w:tcPr>
          <w:p w14:paraId="4F13F6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19</w:t>
            </w:r>
          </w:p>
        </w:tc>
        <w:tc>
          <w:tcPr>
            <w:tcW w:w="5572" w:type="dxa"/>
          </w:tcPr>
          <w:p w14:paraId="4BED3D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Начато проектирование</w:t>
            </w:r>
          </w:p>
        </w:tc>
      </w:tr>
      <w:tr w:rsidR="00E3599D" w:rsidRPr="00E14102" w14:paraId="637658A5" w14:textId="77777777">
        <w:tc>
          <w:tcPr>
            <w:tcW w:w="3652" w:type="dxa"/>
            <w:tcBorders>
              <w:bottom w:val="single" w:sz="12" w:space="0" w:color="auto"/>
            </w:tcBorders>
          </w:tcPr>
          <w:p w14:paraId="0E6F3B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46. Доведение мощности М-100 до 860 л.с.</w:t>
            </w:r>
          </w:p>
        </w:tc>
        <w:tc>
          <w:tcPr>
            <w:tcW w:w="992" w:type="dxa"/>
            <w:tcBorders>
              <w:bottom w:val="single" w:sz="12" w:space="0" w:color="auto"/>
            </w:tcBorders>
          </w:tcPr>
          <w:p w14:paraId="5C4420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 кв. 35 г.</w:t>
            </w:r>
          </w:p>
        </w:tc>
        <w:tc>
          <w:tcPr>
            <w:tcW w:w="993" w:type="dxa"/>
            <w:tcBorders>
              <w:bottom w:val="single" w:sz="12" w:space="0" w:color="auto"/>
            </w:tcBorders>
          </w:tcPr>
          <w:p w14:paraId="3C9E67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26</w:t>
            </w:r>
          </w:p>
        </w:tc>
        <w:tc>
          <w:tcPr>
            <w:tcW w:w="5572" w:type="dxa"/>
            <w:tcBorders>
              <w:bottom w:val="single" w:sz="12" w:space="0" w:color="auto"/>
            </w:tcBorders>
          </w:tcPr>
          <w:p w14:paraId="23EF8D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мая один мотор смешанной сборки со своим коленвалом, шатунами и вкладышами прошел 52 час., после чего треснул коленвал и малая шестерня редуктора</w:t>
            </w:r>
          </w:p>
          <w:p w14:paraId="380CF0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25 мая постален на испытания второй мотор (3419,84).</w:t>
            </w:r>
          </w:p>
        </w:tc>
      </w:tr>
    </w:tbl>
    <w:p w14:paraId="4E33AD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FA50E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1 июня 1935 техническое состояние опытного самолетостроения было следующим:</w:t>
      </w:r>
    </w:p>
    <w:p w14:paraId="6A2493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39</w:t>
      </w:r>
    </w:p>
    <w:p w14:paraId="182A12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И17-М100. Срок пред"явления 1.1Х.35 г. утв. Пр-вом 16.17.35 г.</w:t>
      </w:r>
    </w:p>
    <w:p w14:paraId="2126853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Первый экземпляр находится на заводских испытаниях и дает данные, удовлетворяющие техтребованиям. Ввиду того, что в процессе постройки экземпляра встречалось много исправлений, как в чертежах, так и в производстве, самолет в построенном виде не может быть предъявлен на госиспытания, ибо не характеризует </w:t>
      </w:r>
      <w:r w:rsidRPr="00E14102">
        <w:rPr>
          <w:color w:val="000000" w:themeColor="text1"/>
          <w:sz w:val="16"/>
          <w:szCs w:val="16"/>
        </w:rPr>
        <w:lastRenderedPageBreak/>
        <w:t>полностью, всех данных этого типа. Поэтому строится второй экземпляр, улучшенный, которыйдолжен быть пред"явлен 1.</w:t>
      </w:r>
      <w:r w:rsidRPr="00E14102">
        <w:rPr>
          <w:color w:val="000000" w:themeColor="text1"/>
          <w:sz w:val="16"/>
          <w:szCs w:val="16"/>
          <w:lang w:val="en-US"/>
        </w:rPr>
        <w:t>IX</w:t>
      </w:r>
      <w:r w:rsidRPr="00E14102">
        <w:rPr>
          <w:color w:val="000000" w:themeColor="text1"/>
          <w:sz w:val="16"/>
          <w:szCs w:val="16"/>
        </w:rPr>
        <w:t>.35 г. и сейчас находится в процессе постройки. Чертежи спущены в производство в апреле месяце с.г. Общая техническая готовность самолета выражается в 20%.</w:t>
      </w:r>
    </w:p>
    <w:p w14:paraId="5DD26A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И19-М85. Срок предъявления 1.17.36 г. Ведется разработка эскизного проекта и исследовательские работы.</w:t>
      </w:r>
    </w:p>
    <w:p w14:paraId="6C4C753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И18 М-100 с пушкой через редуктор. Срок 1.1Хю35 г. Является вариантом И-17 с паровым охлаждением и пушкой. Задержками служит недоработанность вопросов парового охлаждение (ЦИАМ) и пушечного вооружения (т. Шпитальный), которые могут явиться причиной невыполления срока. Тёхническая готовность - 10%.</w:t>
      </w:r>
    </w:p>
    <w:p w14:paraId="4C3961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С.Р. М-85 Срок 1.1Х.35 г. Эскизный проект и макет утверждены до постановления Правительства от 16.17.35 г. Конструктивные чертежи спущены в производство. Идет заготовка деталей, узлов и частей. Общая техническая готшность 10%.</w:t>
      </w:r>
    </w:p>
    <w:p w14:paraId="5067C10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В.С. Срок 1.7.36 г. Задание новое и дано лишь 16.1У.35 г. Подбирается материал.</w:t>
      </w:r>
    </w:p>
    <w:p w14:paraId="37648E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С.В. - 2 М85. Срок 1.П.36 г., утвержденный Правительством 16.17.35 г. Эскизный проект и макет утверждены по требованиям, согласно плана утвержденного Пр-вом 14.УП. 34 г. со сроком пред "явления на госиспытания 1.Х1.35 г. Поэтому 1-ый экземпляр может выйти с данными устаковленнными 14.УП.34 г. Второй экземпляр с выпуском 1.3.36 г. имеется в виду дать с по данными соответственно постановлению от 16.1У.35 г.</w:t>
      </w:r>
    </w:p>
    <w:p w14:paraId="27AD02A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Готовность первого экземпляра по производству выражается в 20%.</w:t>
      </w:r>
    </w:p>
    <w:p w14:paraId="334C37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Второй экземпляр, как модификация первого, находится в конструктивной.</w:t>
      </w:r>
    </w:p>
    <w:p w14:paraId="0E0A8F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ДИ6-М25 Дан планом пр-ва от 14.УП.34 г. Построен в 2-х экземплярах, которые прошли заводские и госиспытания. Полученные летно-технические данные оказались значительно превосходящими заданные. В настоящее время строится небольшая серия на заводе № 39.</w:t>
      </w:r>
    </w:p>
    <w:p w14:paraId="4623E3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ТШ3-М34 Дан планом от 14.УП.34 г. Построен в двух экземплярах, из которых 1-ый прошел заводские испытания. Ввиду отсутствиясоответствующего типа пулеметов, первый самолет задерживается сдачей на госиспытания, 2-й заканчивается в производстве.</w:t>
      </w:r>
    </w:p>
    <w:p w14:paraId="69D10A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Требуются крыльевые Шкасы вместо турельных, установленных на первом экземпляре.</w:t>
      </w:r>
    </w:p>
    <w:p w14:paraId="137F4B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157091C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26. В.С. (Л.К.) - 1.У.36 г. В начальной стадии проектирования</w:t>
      </w:r>
    </w:p>
    <w:p w14:paraId="1A95C37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27. СР-М34ФН - 1.ХП35 г. Заканчивается эскизный проект.</w:t>
      </w:r>
    </w:p>
    <w:p w14:paraId="7E7827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 МИ (Л.К.) - 1.У1.36 г. Разрабатывается эскизный проект.</w:t>
      </w:r>
    </w:p>
    <w:p w14:paraId="6290956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29. Р</w:t>
      </w:r>
      <w:r w:rsidRPr="00E14102">
        <w:rPr>
          <w:color w:val="000000" w:themeColor="text1"/>
          <w:sz w:val="16"/>
          <w:szCs w:val="16"/>
          <w:lang w:val="en-US"/>
        </w:rPr>
        <w:t>z</w:t>
      </w:r>
      <w:r w:rsidRPr="00E14102">
        <w:rPr>
          <w:color w:val="000000" w:themeColor="text1"/>
          <w:sz w:val="16"/>
          <w:szCs w:val="16"/>
        </w:rPr>
        <w:t xml:space="preserve"> (Р5-М34Н). Дан планом от 14.УП.34 г. - на заводских испытаниях и доводке</w:t>
      </w:r>
    </w:p>
    <w:p w14:paraId="5FC118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 ИП-1 Р.Ц. Дан планом от 14.УП.34 г. Прошел госиспытания. Построен эталон для серии, который проходит испытания.</w:t>
      </w:r>
    </w:p>
    <w:p w14:paraId="0DE88A1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18</w:t>
      </w:r>
    </w:p>
    <w:p w14:paraId="2D054D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31. СБ-2М34ФРН. Срок госиспытаний 1.1Х.35 г.. Эскизный проект и макет утверждены. Самолет находится в постройке. Производственная готовность выражается в 55%.</w:t>
      </w:r>
    </w:p>
    <w:p w14:paraId="3F8377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Замедлением в работе служили перевод из Харькова и организация конструкторской группы на Заводе № 18 во главе с инж. Калининым.</w:t>
      </w:r>
    </w:p>
    <w:p w14:paraId="31957D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32. ВС-2М22. Срок 1.Х.35 г. Находится в производстве. Производственная готовность выражается в 20%.</w:t>
      </w:r>
    </w:p>
    <w:p w14:paraId="4EEC45E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33. Д.Б.-М85. Срок - 1.Ш.36 г. Находится в стадии проектирования.</w:t>
      </w:r>
    </w:p>
    <w:p w14:paraId="594370E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34. Т.С. он же санитарный. Срок 1.</w:t>
      </w:r>
      <w:r w:rsidRPr="00E14102">
        <w:rPr>
          <w:color w:val="000000" w:themeColor="text1"/>
          <w:sz w:val="16"/>
          <w:szCs w:val="16"/>
          <w:lang w:val="en-US"/>
        </w:rPr>
        <w:t>XI</w:t>
      </w:r>
      <w:r w:rsidRPr="00E14102">
        <w:rPr>
          <w:color w:val="000000" w:themeColor="text1"/>
          <w:sz w:val="16"/>
          <w:szCs w:val="16"/>
        </w:rPr>
        <w:t>.36 г. Подбирается материал.</w:t>
      </w:r>
    </w:p>
    <w:p w14:paraId="0B4E7B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22.</w:t>
      </w:r>
    </w:p>
    <w:p w14:paraId="5CE498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35. БДД-4М34ФРН. Срок 1.ХП.36 г. Подготавливается и прорабатывается материал.</w:t>
      </w:r>
    </w:p>
    <w:p w14:paraId="48BA0B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36. Истребитель "Звено". Срок 1.1.36 г. Заканчивается конструк</w:t>
      </w:r>
      <w:r w:rsidRPr="00E14102">
        <w:rPr>
          <w:color w:val="000000" w:themeColor="text1"/>
          <w:sz w:val="16"/>
          <w:szCs w:val="16"/>
        </w:rPr>
        <w:softHyphen/>
        <w:t>тивная разработка и в производстве находятся детали.</w:t>
      </w:r>
    </w:p>
    <w:p w14:paraId="245A503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37. ДБ-4М34РН Срок 1.1Х.35 г. Самолет находится на заводских и доводке.</w:t>
      </w:r>
    </w:p>
    <w:p w14:paraId="37C4B4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31</w:t>
      </w:r>
    </w:p>
    <w:p w14:paraId="105761B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38. МБР5-РЦ Срок 1УШю35 г. Заканчивается конструктивная разработка и параллельно идет постройка. Общая техническая готовность - 75%</w:t>
      </w:r>
    </w:p>
    <w:p w14:paraId="034BE7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39. КОР-РЦ Срок готовности 1.Х1.35 г . Ведется конструкттивная разработка и постройка. Общий процент готовности - 15%.</w:t>
      </w:r>
    </w:p>
    <w:p w14:paraId="11ED60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40. МДР5 - Срок 1.УШ.36 г. Закончен эскизный проект. Ведется дальнейшая разработка.</w:t>
      </w:r>
    </w:p>
    <w:p w14:paraId="5A8CC4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45.</w:t>
      </w:r>
    </w:p>
    <w:p w14:paraId="6550BC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41. МДР6 - Срок 1.1.36 г. Эскизный проект утвержден УВС в мае с.г. вместо января, что вызвало задержку в проектировании самолета. почти на 4 месяца. В виду этого срок 1.1.36 г. является чрезвычайно напряженным и может сдвинуться на 1.У.36 г.</w:t>
      </w:r>
    </w:p>
    <w:p w14:paraId="6559E6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42. АРК3-2РЦ. Срок 1.УП.35 г. Изготовляется на кооперированных началах, между ГУАП'ом и ГУГВФ'ом на основе договора с ГУСМПом. Общая техническая готовность - 60%.</w:t>
      </w:r>
    </w:p>
    <w:p w14:paraId="44EFD06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43. СПЛ - М11. Срок 1.7.35 г.. Проходит госиспытания</w:t>
      </w:r>
    </w:p>
    <w:p w14:paraId="3F1BA7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44. СС-М34ФРН. Срок 1.УШ.З5 г. Самолет в сборке. Проводится испытание высотной кабины и приборов на давление. Общая техническая готовность - 85%.</w:t>
      </w:r>
    </w:p>
    <w:p w14:paraId="22F426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21.</w:t>
      </w:r>
    </w:p>
    <w:p w14:paraId="0B7F2E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45. И16-М75. Срок 3-4 месяца после получения моторов К-9 из-за границы. Мотор еще не получен. Ожидается в первых числах июня.</w:t>
      </w:r>
    </w:p>
    <w:p w14:paraId="293337E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46. Одноместный истребитель. Срок не установлен. Завод впервые получает задание на новую опытную мапшну. Самолет в начальной стадии проектирования.</w:t>
      </w:r>
    </w:p>
    <w:p w14:paraId="2CF473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23</w:t>
      </w:r>
    </w:p>
    <w:p w14:paraId="38EECD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47. УТИ-М48. Срок 1.Х. 35 г. Эскизный проект закончен. Часть деталей сдана в производство. Общая техническая готовность - 20%. Ведутся экспериментальные работы на У-2.</w:t>
      </w:r>
    </w:p>
    <w:p w14:paraId="3C5388C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48. У3-М48. Срок 1.У1.35г. Самолет сдается на госиспытания 29.7.35 г.</w:t>
      </w:r>
    </w:p>
    <w:p w14:paraId="6BB24A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ХАИ</w:t>
      </w:r>
    </w:p>
    <w:p w14:paraId="31D56A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49. СР-М342РН. Срок 1.ХП.35 г. Эскизный проект по первоначальным требованиям (14.УП.34 г.) был закончен. В связи с повышением требования (16.17.35 г.) ) проект перепебатывается полностью. Ввиду очень слабой произволетвенной базы и загрузки конструкторского персонала другими самолетами (СР-К-9, ФР-РЦ). Срок сдачи на госиспытания 1.ХП.35 г. чрезвычайно напряженный и может при существующих условиях сдвинуться на 3-4 месяца.</w:t>
      </w:r>
    </w:p>
    <w:p w14:paraId="6365B6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50. ФР-М25. Срок 1.У1.35г. Самолет был подготовлен к заводским испытаниям к 10.У, но после обследования комиссией технической готовности его, к полетам не допущен, в виду необходимости внесения ряда исправлений. Заводские испытания должны начаться не позднее 10.У1. с.г.</w:t>
      </w:r>
    </w:p>
    <w:p w14:paraId="500FBD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51. СР-М25. Срок 1.УШ.35 г. Первоначально машина проектировалась под мотор М22. Ввиду несоответствия данных М22 современным требованиям к данному типу самолета, мотор заменен на М-75. Самолет в настоящее время проходит статиспытания и находится в сборке.</w:t>
      </w:r>
    </w:p>
    <w:p w14:paraId="06EC92E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КАИ</w:t>
      </w:r>
    </w:p>
    <w:p w14:paraId="3CCC87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52. УТИ-М48. Срок 1.Х.35 г. Эскизный проект утвержден. Макет предъявлен УВВС. Ведется конструктивная разработка.</w:t>
      </w:r>
    </w:p>
    <w:p w14:paraId="0D8396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53 УБП-2М11. Срок 1.У1.35 г. Самолет закончил заводские испытания и предъявляется с 25.У с.г. на госиспытания</w:t>
      </w:r>
    </w:p>
    <w:p w14:paraId="0C3829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Начальника ГУАП (3419,89).</w:t>
      </w:r>
    </w:p>
    <w:p w14:paraId="6196B4D0" w14:textId="77777777" w:rsidR="00D4105E" w:rsidRPr="00E14102" w:rsidRDefault="00D4105E" w:rsidP="00E14102">
      <w:pPr>
        <w:autoSpaceDE w:val="0"/>
        <w:autoSpaceDN w:val="0"/>
        <w:adjustRightInd w:val="0"/>
        <w:jc w:val="both"/>
        <w:rPr>
          <w:color w:val="000000" w:themeColor="text1"/>
          <w:sz w:val="16"/>
          <w:szCs w:val="16"/>
        </w:rPr>
      </w:pPr>
    </w:p>
    <w:p w14:paraId="6DA370F8" w14:textId="77777777" w:rsidR="00AD6AFA" w:rsidRPr="00E14102" w:rsidRDefault="00AD6AFA" w:rsidP="00E14102">
      <w:pPr>
        <w:pStyle w:val="rtejustify"/>
        <w:spacing w:before="0" w:after="0"/>
        <w:rPr>
          <w:color w:val="000000" w:themeColor="text1"/>
          <w:sz w:val="16"/>
          <w:szCs w:val="16"/>
        </w:rPr>
      </w:pPr>
      <w:r w:rsidRPr="00E14102">
        <w:rPr>
          <w:rStyle w:val="a6"/>
          <w:bCs/>
          <w:i w:val="0"/>
          <w:color w:val="000000" w:themeColor="text1"/>
          <w:sz w:val="16"/>
          <w:szCs w:val="16"/>
        </w:rPr>
        <w:t>1 июня 1935 вышел приказ НКТП № 101с.</w:t>
      </w:r>
      <w:r w:rsidRPr="00E14102">
        <w:rPr>
          <w:color w:val="000000" w:themeColor="text1"/>
          <w:sz w:val="16"/>
          <w:szCs w:val="16"/>
        </w:rPr>
        <w:t xml:space="preserve"> О награждении сотрудников ЦКБ за успешную работу. (РГАЭ. Ф. 7297. Оп. 38. Д. 171. Л. 160) (15246).</w:t>
      </w:r>
    </w:p>
    <w:p w14:paraId="3231B907" w14:textId="77777777" w:rsidR="00AD6AFA" w:rsidRPr="00E14102" w:rsidRDefault="00AD6AFA" w:rsidP="00E14102">
      <w:pPr>
        <w:pStyle w:val="rtejustify"/>
        <w:spacing w:before="0" w:after="0"/>
        <w:rPr>
          <w:color w:val="000000" w:themeColor="text1"/>
          <w:sz w:val="16"/>
          <w:szCs w:val="16"/>
        </w:rPr>
      </w:pPr>
    </w:p>
    <w:p w14:paraId="389420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1 июня 1935 г. на паротурбоустановке ПТ-1 были проверены под нагрузкой на полном числе оборотов турбины и и редуктора. При этом выявлена необходимость изготовления новых корпусов редукторов, т.к. ныне работающие по своим механическим качествам слабы и могут быть допущены к работе только на земле.</w:t>
      </w:r>
    </w:p>
    <w:p w14:paraId="25BA46F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ноябре 1934 г. начались испытания отдельных агрегатов Паротурбоустановки ПТ-1 на стенде Кировского завода. Паротурбоустановка созданная по проекту ООД НИАД ГВФ была построена в порядке кооперации. Турбины изготовлены- на Кировском заводе (бывш. "Красный Путиловец”/, котел - на ЛМЗ им.Сталина, трубонасос и вентиляторы на ЛМЗ им. Сталина, конденсатор - на заводах № 32 и 34 ГУАП, тонкостенные трубки на Днепропетровском заводе им. Ленина. Автонатическое управление разработано и изготовляется Осконбюро ВОТИ и только отдельные элеиенты его выписаны из-за границы. Наладка и испытание всех агрегатов сконцентрирована на Кировском заводе, где построен специальный стенд, представлявший собой макет самолета ТБ-3 /который предаазначен для установки на него паротурбины/ (3419,80).</w:t>
      </w:r>
    </w:p>
    <w:p w14:paraId="76412EF2" w14:textId="77777777" w:rsidR="00D4105E" w:rsidRPr="00E14102" w:rsidRDefault="00D4105E" w:rsidP="00E14102">
      <w:pPr>
        <w:autoSpaceDE w:val="0"/>
        <w:autoSpaceDN w:val="0"/>
        <w:adjustRightInd w:val="0"/>
        <w:jc w:val="both"/>
        <w:rPr>
          <w:color w:val="000000" w:themeColor="text1"/>
          <w:sz w:val="16"/>
          <w:szCs w:val="16"/>
        </w:rPr>
      </w:pPr>
    </w:p>
    <w:p w14:paraId="3DB2E31D" w14:textId="77777777" w:rsidR="00DA70F3"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2BFAA47" w14:textId="77777777" w:rsidR="00DA70F3" w:rsidRPr="00E14102" w:rsidRDefault="00DA70F3" w:rsidP="00E14102">
      <w:pPr>
        <w:autoSpaceDE w:val="0"/>
        <w:autoSpaceDN w:val="0"/>
        <w:adjustRightInd w:val="0"/>
        <w:jc w:val="both"/>
        <w:rPr>
          <w:iCs/>
          <w:color w:val="000000" w:themeColor="text1"/>
          <w:sz w:val="16"/>
          <w:szCs w:val="16"/>
        </w:rPr>
      </w:pPr>
    </w:p>
    <w:p w14:paraId="5DF417FE" w14:textId="77777777" w:rsidR="00AD6AFA" w:rsidRPr="00E14102" w:rsidRDefault="00AD6AFA" w:rsidP="00E14102">
      <w:pPr>
        <w:pStyle w:val="rtejustify"/>
        <w:spacing w:before="0" w:after="0"/>
        <w:rPr>
          <w:color w:val="000000" w:themeColor="text1"/>
          <w:sz w:val="16"/>
          <w:szCs w:val="16"/>
        </w:rPr>
      </w:pPr>
      <w:r w:rsidRPr="00E14102">
        <w:rPr>
          <w:rStyle w:val="a6"/>
          <w:bCs/>
          <w:i w:val="0"/>
          <w:color w:val="000000" w:themeColor="text1"/>
          <w:sz w:val="16"/>
          <w:szCs w:val="16"/>
        </w:rPr>
        <w:t>1 июня</w:t>
      </w:r>
      <w:r w:rsidRPr="00E14102">
        <w:rPr>
          <w:color w:val="000000" w:themeColor="text1"/>
          <w:sz w:val="16"/>
          <w:szCs w:val="16"/>
        </w:rPr>
        <w:t xml:space="preserve">1935 Решение Политбюро № 26. 36. Об олове (ПБ от 17 мая 1935 г.). — ОП. 97. Вопрос КО (ПБ от 22 мая 1935 г.). — ОП. </w:t>
      </w:r>
      <w:r w:rsidRPr="00E14102">
        <w:rPr>
          <w:rStyle w:val="a6"/>
          <w:i w:val="0"/>
          <w:color w:val="000000" w:themeColor="text1"/>
          <w:sz w:val="16"/>
          <w:szCs w:val="16"/>
        </w:rPr>
        <w:t>Постановили</w:t>
      </w:r>
      <w:r w:rsidRPr="00E14102">
        <w:rPr>
          <w:color w:val="000000" w:themeColor="text1"/>
          <w:sz w:val="16"/>
          <w:szCs w:val="16"/>
        </w:rPr>
        <w:t xml:space="preserve">: утвердить решение КО о назначении Н. И. Смирнова директором Института специального назначения НКТП и об отпуске из резервного фонда СНК СССР НКОбороны 1,5 млн. руб. и НКТП 4 млн. руб. для финансирования работ по лучистой энергии. 98. Об отпуске средств НКО и НКТП (ПБ от 22 мая 1935 г.). — ОП. 118. Об отпуске средств НКО (ПБ от 22 мая 1935 г.). — ОП. </w:t>
      </w:r>
      <w:r w:rsidRPr="00E14102">
        <w:rPr>
          <w:rStyle w:val="a6"/>
          <w:i w:val="0"/>
          <w:color w:val="000000" w:themeColor="text1"/>
          <w:sz w:val="16"/>
          <w:szCs w:val="16"/>
        </w:rPr>
        <w:t>Постановили</w:t>
      </w:r>
      <w:r w:rsidRPr="00E14102">
        <w:rPr>
          <w:color w:val="000000" w:themeColor="text1"/>
          <w:sz w:val="16"/>
          <w:szCs w:val="16"/>
        </w:rPr>
        <w:t>: утвердить решение КО об отпуске НКОбороны СССР в 1935 г. из резервного фонда СНК СССР — 303 308 тыс. руб. на обеспечение мероприятий по развитию ВС РККА. 156. Вопрос Ворошилова (о поездке в Англию представителя НКО) (ПБ от 26 мая 1935 г.). — ОП. (Политбюро ЦК РКП(б)-ВКП(Б). Повестки дня заседаний. 1919</w:t>
      </w:r>
      <w:r w:rsidRPr="00E14102">
        <w:rPr>
          <w:color w:val="000000" w:themeColor="text1"/>
          <w:sz w:val="16"/>
          <w:szCs w:val="16"/>
        </w:rPr>
        <w:noBreakHyphen/>
        <w:t>1952: Каталог / Т. 2. С. 651, 652, 653, 655; РГАСПИ. Ф. 17. Оп. 162. Д. 18. Л. 40, 44) (15462).</w:t>
      </w:r>
    </w:p>
    <w:p w14:paraId="78495FEF" w14:textId="77777777" w:rsidR="00AD6AFA" w:rsidRPr="00E14102" w:rsidRDefault="00AD6AFA" w:rsidP="00E14102">
      <w:pPr>
        <w:pStyle w:val="rtejustify"/>
        <w:spacing w:before="0" w:after="0"/>
        <w:rPr>
          <w:color w:val="000000" w:themeColor="text1"/>
          <w:sz w:val="16"/>
          <w:szCs w:val="16"/>
        </w:rPr>
      </w:pPr>
    </w:p>
    <w:p w14:paraId="31F24CE9" w14:textId="77777777" w:rsidR="00AD6AFA" w:rsidRPr="00E14102" w:rsidRDefault="00AD6AFA" w:rsidP="00E14102">
      <w:pPr>
        <w:pStyle w:val="rtejustify"/>
        <w:spacing w:before="0" w:after="0"/>
        <w:rPr>
          <w:color w:val="000000" w:themeColor="text1"/>
          <w:sz w:val="16"/>
          <w:szCs w:val="16"/>
        </w:rPr>
      </w:pPr>
      <w:r w:rsidRPr="00E14102">
        <w:rPr>
          <w:rStyle w:val="a6"/>
          <w:bCs/>
          <w:i w:val="0"/>
          <w:color w:val="000000" w:themeColor="text1"/>
          <w:sz w:val="16"/>
          <w:szCs w:val="16"/>
        </w:rPr>
        <w:t>1 июня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65сс «Об организации испытаний по теплоустойчивости дальномеров». (ГА РФ. Ф. Р</w:t>
      </w:r>
      <w:r w:rsidRPr="00E14102">
        <w:rPr>
          <w:color w:val="000000" w:themeColor="text1"/>
          <w:sz w:val="16"/>
          <w:szCs w:val="16"/>
        </w:rPr>
        <w:noBreakHyphen/>
        <w:t>8418. Оп. 28. Д. 6. Л. 200) (15460).</w:t>
      </w:r>
    </w:p>
    <w:p w14:paraId="377D4E80" w14:textId="77777777" w:rsidR="00AD6AFA" w:rsidRPr="00E14102" w:rsidRDefault="00AD6AFA" w:rsidP="00E14102">
      <w:pPr>
        <w:pStyle w:val="rtejustify"/>
        <w:spacing w:before="0" w:after="0"/>
        <w:rPr>
          <w:color w:val="000000" w:themeColor="text1"/>
          <w:sz w:val="16"/>
          <w:szCs w:val="16"/>
        </w:rPr>
      </w:pPr>
    </w:p>
    <w:p w14:paraId="5D3965C1" w14:textId="77777777" w:rsidR="00AD6AFA" w:rsidRPr="00E14102" w:rsidRDefault="00AD6AFA" w:rsidP="00E14102">
      <w:pPr>
        <w:pStyle w:val="rtejustify"/>
        <w:spacing w:before="0" w:after="0"/>
        <w:rPr>
          <w:color w:val="000000" w:themeColor="text1"/>
          <w:sz w:val="16"/>
          <w:szCs w:val="16"/>
        </w:rPr>
      </w:pPr>
      <w:r w:rsidRPr="00E14102">
        <w:rPr>
          <w:rStyle w:val="a6"/>
          <w:bCs/>
          <w:i w:val="0"/>
          <w:color w:val="000000" w:themeColor="text1"/>
          <w:sz w:val="16"/>
          <w:szCs w:val="16"/>
        </w:rPr>
        <w:t>1 июня 1935 вышел приказ НКТП № 100с.</w:t>
      </w:r>
      <w:r w:rsidRPr="00E14102">
        <w:rPr>
          <w:color w:val="000000" w:themeColor="text1"/>
          <w:sz w:val="16"/>
          <w:szCs w:val="16"/>
        </w:rPr>
        <w:t xml:space="preserve"> О мерах по обеспечению судовым оборудованием строящихся судов по программе 1935 и 1936 гг. (РГАЭ. Ф. 7297. Оп. 38. Д. 171. Л. 159) (15246).</w:t>
      </w:r>
    </w:p>
    <w:p w14:paraId="7E019478" w14:textId="77777777" w:rsidR="00AD6AFA" w:rsidRPr="00E14102" w:rsidRDefault="00AD6AFA" w:rsidP="00E14102">
      <w:pPr>
        <w:pStyle w:val="rtejustify"/>
        <w:spacing w:before="0" w:after="0"/>
        <w:rPr>
          <w:color w:val="000000" w:themeColor="text1"/>
          <w:sz w:val="16"/>
          <w:szCs w:val="16"/>
        </w:rPr>
      </w:pPr>
    </w:p>
    <w:p w14:paraId="1DA9CD5C" w14:textId="77777777" w:rsidR="00DA70F3" w:rsidRPr="00E14102" w:rsidRDefault="00DA70F3" w:rsidP="00E14102">
      <w:pPr>
        <w:jc w:val="both"/>
        <w:rPr>
          <w:color w:val="000000" w:themeColor="text1"/>
          <w:sz w:val="16"/>
          <w:szCs w:val="16"/>
        </w:rPr>
      </w:pPr>
      <w:r w:rsidRPr="00E14102">
        <w:rPr>
          <w:color w:val="000000" w:themeColor="text1"/>
          <w:sz w:val="16"/>
          <w:szCs w:val="16"/>
        </w:rPr>
        <w:t>1 июня 1935 г. Письмо заместителя председателя Амторга М. Сорокина наркому внешней торговли СССР А.П. Розенголъцу о работе в США</w:t>
      </w:r>
    </w:p>
    <w:p w14:paraId="16380F60" w14:textId="77777777" w:rsidR="00DA70F3" w:rsidRPr="00E14102" w:rsidRDefault="00DA70F3" w:rsidP="00E14102">
      <w:pPr>
        <w:jc w:val="both"/>
        <w:rPr>
          <w:color w:val="000000" w:themeColor="text1"/>
          <w:sz w:val="16"/>
          <w:szCs w:val="16"/>
        </w:rPr>
      </w:pPr>
      <w:r w:rsidRPr="00E14102">
        <w:rPr>
          <w:color w:val="000000" w:themeColor="text1"/>
          <w:sz w:val="16"/>
          <w:szCs w:val="16"/>
        </w:rPr>
        <w:t xml:space="preserve">Дорогой Аркадий Павлович! </w:t>
      </w:r>
    </w:p>
    <w:p w14:paraId="7FB29E41" w14:textId="77777777" w:rsidR="00DA70F3" w:rsidRPr="00E14102" w:rsidRDefault="00DA70F3" w:rsidP="00E14102">
      <w:pPr>
        <w:jc w:val="both"/>
        <w:rPr>
          <w:color w:val="000000" w:themeColor="text1"/>
          <w:sz w:val="16"/>
          <w:szCs w:val="16"/>
        </w:rPr>
      </w:pPr>
      <w:r w:rsidRPr="00E14102">
        <w:rPr>
          <w:color w:val="000000" w:themeColor="text1"/>
          <w:sz w:val="16"/>
          <w:szCs w:val="16"/>
        </w:rPr>
        <w:t xml:space="preserve">Кратко о состоянии дел по ЗИСу и ГАЗу. 1. </w:t>
      </w:r>
    </w:p>
    <w:p w14:paraId="026E0F4A" w14:textId="77777777" w:rsidR="00DA70F3" w:rsidRPr="00E14102" w:rsidRDefault="00DA70F3" w:rsidP="00E14102">
      <w:pPr>
        <w:jc w:val="both"/>
        <w:rPr>
          <w:color w:val="000000" w:themeColor="text1"/>
          <w:sz w:val="16"/>
          <w:szCs w:val="16"/>
        </w:rPr>
      </w:pPr>
      <w:r w:rsidRPr="00E14102">
        <w:rPr>
          <w:color w:val="000000" w:themeColor="text1"/>
          <w:sz w:val="16"/>
          <w:szCs w:val="16"/>
        </w:rPr>
        <w:t xml:space="preserve">Разработка спецификаций комиссией ЗИСа идет неплохо по большинству основных цехов, кроме механического цеха. Механический цех - главнейший, и здесь на 4 июня 85-90% станков еще не закончены технической проработкой комиссией. Я ставлю задачу закончить техническую проработку в один месяц. </w:t>
      </w:r>
    </w:p>
    <w:p w14:paraId="534D3E1B" w14:textId="77777777" w:rsidR="00DA70F3" w:rsidRPr="00E14102" w:rsidRDefault="00DA70F3" w:rsidP="00E14102">
      <w:pPr>
        <w:jc w:val="both"/>
        <w:rPr>
          <w:color w:val="000000" w:themeColor="text1"/>
          <w:sz w:val="16"/>
          <w:szCs w:val="16"/>
        </w:rPr>
      </w:pPr>
      <w:r w:rsidRPr="00E14102">
        <w:rPr>
          <w:color w:val="000000" w:themeColor="text1"/>
          <w:sz w:val="16"/>
          <w:szCs w:val="16"/>
        </w:rPr>
        <w:t xml:space="preserve">Потребуется крайнее форсирование. 2. </w:t>
      </w:r>
    </w:p>
    <w:p w14:paraId="555482CD" w14:textId="77777777" w:rsidR="00DA70F3" w:rsidRPr="00E14102" w:rsidRDefault="00DA70F3" w:rsidP="00E14102">
      <w:pPr>
        <w:jc w:val="both"/>
        <w:rPr>
          <w:color w:val="000000" w:themeColor="text1"/>
          <w:sz w:val="16"/>
          <w:szCs w:val="16"/>
        </w:rPr>
      </w:pPr>
      <w:r w:rsidRPr="00E14102">
        <w:rPr>
          <w:color w:val="000000" w:themeColor="text1"/>
          <w:sz w:val="16"/>
          <w:szCs w:val="16"/>
        </w:rPr>
        <w:t xml:space="preserve">Разработка спецификаций комиссией ГАЗа идет скверно, ибо вся работа задержалась из-за неприбытия Мерца, который появился только вчера. Он было собирался уехать в Детройт на неделю, что значило бы приступ к фактической работе по размещению отложить до 15 июня. После 3/4 часа ^увещеваний он кажется набрался смелости взяться за работу в Нью-Йорке несколько раньше. Я опасаюсь за ГАЗ больше всего, тем более, что у них и людей совершенно недостаточно для форсированной работы. ГАЗ опоздал настолько, что к 1 января доставить основное оборудование вряд ли удастся. 3. </w:t>
      </w:r>
    </w:p>
    <w:p w14:paraId="262AE005" w14:textId="77777777" w:rsidR="00DA70F3" w:rsidRPr="00E14102" w:rsidRDefault="00DA70F3" w:rsidP="00E14102">
      <w:pPr>
        <w:jc w:val="both"/>
        <w:rPr>
          <w:color w:val="000000" w:themeColor="text1"/>
          <w:sz w:val="16"/>
          <w:szCs w:val="16"/>
        </w:rPr>
      </w:pPr>
      <w:r w:rsidRPr="00E14102">
        <w:rPr>
          <w:color w:val="000000" w:themeColor="text1"/>
          <w:sz w:val="16"/>
          <w:szCs w:val="16"/>
        </w:rPr>
        <w:t xml:space="preserve">Станочный и другие машиностроительные рынки в САСШ находятся в несколько более оживленном состоянии, чем пару лет тому назад. Но по ряду признаков и из личных разговоров с несколькими фирмами ("Буллард Акмэ", "Пратт и Витает", "Натко", "Лэндис" и др.) я убедился, что интерес к нашим заказам у них очень большой. Сроки поставок даются приемлемые - 6-8 недель, до 3 месяцев. Цены в отдельных случаях дают базу для соглашения после уторгования, если не будем нервничать. И техническую помощь можно будет получить у ряда фирм. Например, по заказу на 2 молота мы кончили вчера на приемлемой цене и получили согласие снабдить нас рабочими чертежами и спецификацией материалов, а также посылку наших людей на завод фирмы. Такое требование я выставил также и на ковочные молоты и прессы. Думаю, что и здесь нам удастся кое-чего по техпомощи добиться. </w:t>
      </w:r>
    </w:p>
    <w:p w14:paraId="55E0E8B8" w14:textId="77777777" w:rsidR="00DA70F3" w:rsidRPr="00E14102" w:rsidRDefault="00DA70F3" w:rsidP="00E14102">
      <w:pPr>
        <w:jc w:val="both"/>
        <w:rPr>
          <w:color w:val="000000" w:themeColor="text1"/>
          <w:sz w:val="16"/>
          <w:szCs w:val="16"/>
        </w:rPr>
      </w:pPr>
      <w:r w:rsidRPr="00E14102">
        <w:rPr>
          <w:color w:val="000000" w:themeColor="text1"/>
          <w:sz w:val="16"/>
          <w:szCs w:val="16"/>
        </w:rPr>
        <w:t xml:space="preserve">Однако по основным и решающим фирмам к нашему приезду мы имеем совершенно неудовлетворительные предложения по ценам. Действительно, фирмы ценят ничтожно факт покупки за наличные. И мое подозрение, высказанное тебе в Москве, что публика приучилась наживать на нашем кредите, имеет, я вижу, веские основания. Тут мы должны прошибить сопротивление. Два обстоятельства затрудняют борьбу за цену: 1) спешка. Когда мы, наконец, научимся покупать как цивилизованные люди, то есть круглый год, постепенно, расшивая узкие места шаг за шагом. Это и есть планомерная рентабельная реконструкция, если она длится не три месяца и не один год; 2) то, что с фирмами начали разговор на базе укрупненного заказа. Получается так, что мы прижимаем фирму не со ступеньки на ступеньку, а сразу отдаем ей свои позиции, а заключив соглашение, выключаем из игры конкурентов на всю огромную, подчас, сумму заказа. Я предложил другую тактику: тактику мелких порций заказов. Ибо укрупненный заказ - это наше преимущество, а не обязательство. Пора торговаться за цену 1-2-5 станков, уторговывать это и видеть наяву компенсацию за дальнейшие заказы. Поверь, что это, в ряде случаев, даст гораздо лучшие результаты. Вообще, шаблон и схема вредны. И в данном случае, я вижу, что фирмы, которые имеют работу, должны быть атакованы не крупными суммами заказов, а другими, более гибкими, путями и, в частности, созданием соперничества и т. </w:t>
      </w:r>
    </w:p>
    <w:p w14:paraId="304CD0EF" w14:textId="77777777" w:rsidR="00DA70F3" w:rsidRPr="00E14102" w:rsidRDefault="00DA70F3" w:rsidP="00E14102">
      <w:pPr>
        <w:jc w:val="both"/>
        <w:rPr>
          <w:color w:val="000000" w:themeColor="text1"/>
          <w:sz w:val="16"/>
          <w:szCs w:val="16"/>
        </w:rPr>
      </w:pPr>
      <w:r w:rsidRPr="00E14102">
        <w:rPr>
          <w:color w:val="000000" w:themeColor="text1"/>
          <w:sz w:val="16"/>
          <w:szCs w:val="16"/>
        </w:rPr>
        <w:t xml:space="preserve">д. Тов. Боев, с которым я на эту тему говорил, согласился со мной. </w:t>
      </w:r>
    </w:p>
    <w:p w14:paraId="0DF81E7E" w14:textId="77777777" w:rsidR="00DA70F3" w:rsidRPr="00E14102" w:rsidRDefault="00DA70F3" w:rsidP="00E14102">
      <w:pPr>
        <w:jc w:val="both"/>
        <w:rPr>
          <w:color w:val="000000" w:themeColor="text1"/>
          <w:sz w:val="16"/>
          <w:szCs w:val="16"/>
        </w:rPr>
      </w:pPr>
      <w:r w:rsidRPr="00E14102">
        <w:rPr>
          <w:color w:val="000000" w:themeColor="text1"/>
          <w:sz w:val="16"/>
          <w:szCs w:val="16"/>
        </w:rPr>
        <w:t xml:space="preserve">Важным является вопрос о том, с чем сравнивать при оценке предложения: 1) не всегда есть возможность сравнить с прежними покупками; 2) за несколько лет были сделаны улуч[шения] в аналогичных станках. Короче, с ценой предстоит труднейшая работа. И сладкого я не ожидаю от нее, да при тропической нью-йоркской жаре. Но мы будем драться за цену зверски, ибо я не могу примириться с тем, чтоб за наличный расчет нас прокатили на тачке. И еще одно - как угодно, но я вмешиваюсь и в техническую сторону, в выбор оборудования. И тут с зисовцами я подробно говорил, заострив их внимание на тщательную проверку обещаемой фирмами производительности оборудования и фиксирование гарантий за эту производительность. 4. </w:t>
      </w:r>
    </w:p>
    <w:p w14:paraId="02B68E0F" w14:textId="77777777" w:rsidR="00DA70F3" w:rsidRPr="00E14102" w:rsidRDefault="00DA70F3" w:rsidP="00E14102">
      <w:pPr>
        <w:jc w:val="both"/>
        <w:rPr>
          <w:color w:val="000000" w:themeColor="text1"/>
          <w:sz w:val="16"/>
          <w:szCs w:val="16"/>
        </w:rPr>
      </w:pPr>
      <w:r w:rsidRPr="00E14102">
        <w:rPr>
          <w:color w:val="000000" w:themeColor="text1"/>
          <w:sz w:val="16"/>
          <w:szCs w:val="16"/>
        </w:rPr>
        <w:t xml:space="preserve">Амторг и Боев приняли нас с т. Альперовичем хорошо. Если пойдет так дальше, как установилось за эти три дня, я предвижу контактную работу с т. Боевым без серьезных недоразумений. Работу с Альперовичем мы делим по фирмам. Еще не развернули ее полным фронтом, но в ближайшие несколько дней она примет определенные формы и масштабы. Во всяком случае, я нашел свое место. Польза будет. 5. </w:t>
      </w:r>
    </w:p>
    <w:p w14:paraId="30749776" w14:textId="77777777" w:rsidR="00DA70F3" w:rsidRPr="00E14102" w:rsidRDefault="00DA70F3" w:rsidP="00E14102">
      <w:pPr>
        <w:jc w:val="both"/>
        <w:rPr>
          <w:color w:val="000000" w:themeColor="text1"/>
          <w:sz w:val="16"/>
          <w:szCs w:val="16"/>
        </w:rPr>
      </w:pPr>
      <w:r w:rsidRPr="00E14102">
        <w:rPr>
          <w:color w:val="000000" w:themeColor="text1"/>
          <w:sz w:val="16"/>
          <w:szCs w:val="16"/>
        </w:rPr>
        <w:t xml:space="preserve">Люди у амовцев неплохие, как техники. Недостаток, что языком многие не владеют, и людей вообще мало. По крайней мере двух-трех работников сюда бы - Демьянюка и Тайкова (последний в Лондоне). Оба крайне полезны бы были. По ГАЗу в отношении людей ничего сказать не могу. Но ясно, что очень мало (9 человек, включая Мерца). 6. </w:t>
      </w:r>
    </w:p>
    <w:p w14:paraId="03E364B0" w14:textId="77777777" w:rsidR="00DA70F3" w:rsidRPr="00E14102" w:rsidRDefault="00DA70F3" w:rsidP="00E14102">
      <w:pPr>
        <w:jc w:val="both"/>
        <w:rPr>
          <w:color w:val="000000" w:themeColor="text1"/>
          <w:sz w:val="16"/>
          <w:szCs w:val="16"/>
        </w:rPr>
      </w:pPr>
      <w:r w:rsidRPr="00E14102">
        <w:rPr>
          <w:color w:val="000000" w:themeColor="text1"/>
          <w:sz w:val="16"/>
          <w:szCs w:val="16"/>
        </w:rPr>
        <w:t xml:space="preserve">Обязательно надо прислать уже теперь детали (литье и поковки), подлежащие обработке на закупаемых станках - для целей приемки. Не только жаль денег тратить на покупку этих деталей у Бьюика и Форда, но хуже всего то, что наши детали могут оказаться нетождественными с купленными. И тогда в цехах будет скандал - приспособления окажутся неподходящими. Нажми, пожалуйста, по этому вопросу. Во всяком случае, по деталям ЗИС-5 (грузовик) не должно быть задержек с отправкой. </w:t>
      </w:r>
    </w:p>
    <w:p w14:paraId="459A5DBF" w14:textId="77777777" w:rsidR="00DA70F3" w:rsidRPr="00E14102" w:rsidRDefault="00DA70F3" w:rsidP="00E14102">
      <w:pPr>
        <w:jc w:val="both"/>
        <w:rPr>
          <w:color w:val="000000" w:themeColor="text1"/>
          <w:sz w:val="16"/>
          <w:szCs w:val="16"/>
        </w:rPr>
      </w:pPr>
      <w:r w:rsidRPr="00E14102">
        <w:rPr>
          <w:color w:val="000000" w:themeColor="text1"/>
          <w:sz w:val="16"/>
          <w:szCs w:val="16"/>
        </w:rPr>
        <w:t xml:space="preserve">7. Амторговский аппарат очень слабый: техники-оперативники не плохие, а некоторые и хорошие (Нарышкин, Шмидт). Но их до жалости мало. Двух-трех инженеров надо прислать сюда. </w:t>
      </w:r>
    </w:p>
    <w:p w14:paraId="4E0B4FDD" w14:textId="77777777" w:rsidR="00DA70F3" w:rsidRPr="00E14102" w:rsidRDefault="00DA70F3" w:rsidP="00E14102">
      <w:pPr>
        <w:jc w:val="both"/>
        <w:rPr>
          <w:color w:val="000000" w:themeColor="text1"/>
          <w:sz w:val="16"/>
          <w:szCs w:val="16"/>
        </w:rPr>
      </w:pPr>
      <w:r w:rsidRPr="00E14102">
        <w:rPr>
          <w:color w:val="000000" w:themeColor="text1"/>
          <w:sz w:val="16"/>
          <w:szCs w:val="16"/>
        </w:rPr>
        <w:t xml:space="preserve">8. Ищу - нельзя ли купить один-два готовых завода за бесценок. Кроме того, ряд других вопросов меня интересуют (нефть, удобрители и пр.). Все будет тебе известно. </w:t>
      </w:r>
    </w:p>
    <w:p w14:paraId="2303A535" w14:textId="77777777" w:rsidR="00DA70F3" w:rsidRPr="00E14102" w:rsidRDefault="00DA70F3" w:rsidP="00E14102">
      <w:pPr>
        <w:jc w:val="both"/>
        <w:rPr>
          <w:color w:val="000000" w:themeColor="text1"/>
          <w:sz w:val="16"/>
          <w:szCs w:val="16"/>
        </w:rPr>
      </w:pPr>
      <w:r w:rsidRPr="00E14102">
        <w:rPr>
          <w:color w:val="000000" w:themeColor="text1"/>
          <w:sz w:val="16"/>
          <w:szCs w:val="16"/>
        </w:rPr>
        <w:t xml:space="preserve">С товарищеским приветом М. Сорокин РГАЭ. Ф. 413. On. 13. Д. 1046. Л. 18-24. Подлинник. Рукописный текст (12152). </w:t>
      </w:r>
    </w:p>
    <w:p w14:paraId="5DE5A683" w14:textId="77777777" w:rsidR="00DA70F3" w:rsidRPr="00E14102" w:rsidRDefault="00DA70F3" w:rsidP="00E14102">
      <w:pPr>
        <w:jc w:val="both"/>
        <w:rPr>
          <w:color w:val="000000" w:themeColor="text1"/>
          <w:sz w:val="16"/>
          <w:szCs w:val="16"/>
        </w:rPr>
      </w:pPr>
    </w:p>
    <w:p w14:paraId="4E31DBA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9C3D334" w14:textId="77777777" w:rsidR="00D4105E" w:rsidRPr="00E14102" w:rsidRDefault="00D4105E" w:rsidP="00E14102">
      <w:pPr>
        <w:autoSpaceDE w:val="0"/>
        <w:autoSpaceDN w:val="0"/>
        <w:adjustRightInd w:val="0"/>
        <w:jc w:val="both"/>
        <w:rPr>
          <w:iCs/>
          <w:color w:val="000000" w:themeColor="text1"/>
          <w:sz w:val="16"/>
          <w:szCs w:val="16"/>
        </w:rPr>
      </w:pPr>
    </w:p>
    <w:p w14:paraId="188A6DAD" w14:textId="77777777" w:rsidR="00AD6AFA" w:rsidRPr="00E14102" w:rsidRDefault="00AD6AFA" w:rsidP="00E14102">
      <w:pPr>
        <w:jc w:val="both"/>
        <w:rPr>
          <w:color w:val="000000" w:themeColor="text1"/>
          <w:sz w:val="16"/>
          <w:szCs w:val="16"/>
        </w:rPr>
      </w:pPr>
      <w:r w:rsidRPr="00E14102">
        <w:rPr>
          <w:bCs/>
          <w:color w:val="000000" w:themeColor="text1"/>
          <w:sz w:val="16"/>
          <w:szCs w:val="16"/>
        </w:rPr>
        <w:t>1 июня</w:t>
      </w:r>
      <w:r w:rsidRPr="00E14102">
        <w:rPr>
          <w:color w:val="000000" w:themeColor="text1"/>
          <w:sz w:val="16"/>
          <w:szCs w:val="16"/>
        </w:rPr>
        <w:t xml:space="preserve"> в 1935 году первый полет самолета-амфибии </w:t>
      </w:r>
      <w:hyperlink r:id="rId119" w:tgtFrame="_blank" w:history="1">
        <w:r w:rsidRPr="00E14102">
          <w:rPr>
            <w:color w:val="000000" w:themeColor="text1"/>
            <w:sz w:val="16"/>
            <w:szCs w:val="16"/>
          </w:rPr>
          <w:t xml:space="preserve">«S-43». </w:t>
        </w:r>
      </w:hyperlink>
      <w:r w:rsidRPr="00E14102">
        <w:rPr>
          <w:color w:val="000000" w:themeColor="text1"/>
          <w:sz w:val="16"/>
          <w:szCs w:val="16"/>
        </w:rPr>
        <w:t>Самолет мог перевозить 15 пассажиров. Масимальная скорость - 290 км/ч, крейсерская - 257 км/ч. В апреле 1936 г. самолет установил четыре мировых рекорда высоты (7620 м) по классу амфибий. 17 амфибий приобрели ВМС США, 16 - "Пан Америкен", 2 - СССР. Эти самолеты участвовали в поисках пропавшего экипажа Леваневского (14909).</w:t>
      </w:r>
    </w:p>
    <w:p w14:paraId="119E3C06" w14:textId="77777777" w:rsidR="00AD6AFA" w:rsidRPr="00E14102" w:rsidRDefault="00AD6AFA" w:rsidP="00E14102">
      <w:pPr>
        <w:jc w:val="both"/>
        <w:rPr>
          <w:color w:val="000000" w:themeColor="text1"/>
          <w:sz w:val="16"/>
          <w:szCs w:val="16"/>
        </w:rPr>
      </w:pPr>
    </w:p>
    <w:p w14:paraId="7E7172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1935 в Германии были проведены стендовые испытания ракетных ускорителей для Heinkel He-112 (2990).</w:t>
      </w:r>
    </w:p>
    <w:p w14:paraId="6135BA1B" w14:textId="77777777" w:rsidR="00D4105E" w:rsidRPr="00E14102" w:rsidRDefault="00D4105E" w:rsidP="00E14102">
      <w:pPr>
        <w:autoSpaceDE w:val="0"/>
        <w:autoSpaceDN w:val="0"/>
        <w:adjustRightInd w:val="0"/>
        <w:jc w:val="both"/>
        <w:rPr>
          <w:color w:val="000000" w:themeColor="text1"/>
          <w:sz w:val="16"/>
          <w:szCs w:val="16"/>
        </w:rPr>
      </w:pPr>
    </w:p>
    <w:p w14:paraId="65317998" w14:textId="77777777" w:rsidR="00AD6AFA" w:rsidRPr="00E14102" w:rsidRDefault="00AD6AFA" w:rsidP="00E14102">
      <w:pPr>
        <w:jc w:val="both"/>
        <w:rPr>
          <w:color w:val="000000" w:themeColor="text1"/>
          <w:sz w:val="16"/>
          <w:szCs w:val="16"/>
        </w:rPr>
      </w:pPr>
      <w:r w:rsidRPr="00E14102">
        <w:rPr>
          <w:bCs/>
          <w:color w:val="000000" w:themeColor="text1"/>
          <w:sz w:val="16"/>
          <w:szCs w:val="16"/>
        </w:rPr>
        <w:t>1 июня</w:t>
      </w:r>
      <w:r w:rsidRPr="00E14102">
        <w:rPr>
          <w:color w:val="000000" w:themeColor="text1"/>
          <w:sz w:val="16"/>
          <w:szCs w:val="16"/>
        </w:rPr>
        <w:t xml:space="preserve"> в 1935 году в Германии проведены стендовые испытания ракетных ускорителей для самолета «Heinkel» «He-112». Для экспериментов на первом этапе выбрали истребитель «Не-112», который Хейнкель планировал запустить в серийное производство в 1936 году. На первом прототипе самолёта «V-1» сняли двигатель, а на его месте установили бак с окислителем. Непосредственно ускоритель монтировался в хвостовой части фюзеляжа. Хотя время полета составило всего 30 секунд были получены драгоценные данные о возможности использования ракетной тяги. За следующие два года подобной конверсии подверглись прототипы «V-7» и «V-8». Конечно, не обошлось без летных происшествий, но материала для разработки ракетного самолёта накопилось достаточно (14909).</w:t>
      </w:r>
    </w:p>
    <w:p w14:paraId="3612A99D" w14:textId="77777777" w:rsidR="00AD6AFA" w:rsidRPr="00E14102" w:rsidRDefault="00AD6AFA" w:rsidP="00E14102">
      <w:pPr>
        <w:jc w:val="both"/>
        <w:rPr>
          <w:color w:val="000000" w:themeColor="text1"/>
          <w:sz w:val="16"/>
          <w:szCs w:val="16"/>
        </w:rPr>
      </w:pPr>
    </w:p>
    <w:p w14:paraId="0501CD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1935 в Англии ввели экзамены на получение водительских прав (3481).</w:t>
      </w:r>
    </w:p>
    <w:p w14:paraId="3130671E" w14:textId="77777777" w:rsidR="00D4105E" w:rsidRPr="00E14102" w:rsidRDefault="00D4105E" w:rsidP="00E14102">
      <w:pPr>
        <w:autoSpaceDE w:val="0"/>
        <w:autoSpaceDN w:val="0"/>
        <w:adjustRightInd w:val="0"/>
        <w:jc w:val="both"/>
        <w:rPr>
          <w:color w:val="000000" w:themeColor="text1"/>
          <w:sz w:val="16"/>
          <w:szCs w:val="16"/>
        </w:rPr>
      </w:pPr>
    </w:p>
    <w:p w14:paraId="28F0A6D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июня 1935 в Англии введены автомобильные номера и экзамены на получение водительских прав (4962).</w:t>
      </w:r>
    </w:p>
    <w:p w14:paraId="333C6D4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0381B7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382C805" w14:textId="77777777" w:rsidR="00D4105E" w:rsidRPr="00E14102" w:rsidRDefault="00D4105E" w:rsidP="00E14102">
      <w:pPr>
        <w:autoSpaceDE w:val="0"/>
        <w:autoSpaceDN w:val="0"/>
        <w:adjustRightInd w:val="0"/>
        <w:jc w:val="both"/>
        <w:rPr>
          <w:iCs/>
          <w:color w:val="000000" w:themeColor="text1"/>
          <w:sz w:val="16"/>
          <w:szCs w:val="16"/>
        </w:rPr>
      </w:pPr>
    </w:p>
    <w:p w14:paraId="7B406A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июня 1935 состоялось совещание технического комитета, где Е.К.Стоман и К.В.Минкнер доложили о работах по подготовке к перелетам РД-2, а Плеханов - РД-1 (1077,265).</w:t>
      </w:r>
    </w:p>
    <w:p w14:paraId="7145152A" w14:textId="77777777" w:rsidR="00D4105E" w:rsidRPr="00E14102" w:rsidRDefault="00D4105E" w:rsidP="00E14102">
      <w:pPr>
        <w:autoSpaceDE w:val="0"/>
        <w:autoSpaceDN w:val="0"/>
        <w:adjustRightInd w:val="0"/>
        <w:jc w:val="both"/>
        <w:rPr>
          <w:color w:val="000000" w:themeColor="text1"/>
          <w:sz w:val="16"/>
          <w:szCs w:val="16"/>
        </w:rPr>
      </w:pPr>
    </w:p>
    <w:p w14:paraId="0249DA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июня 1935 Нач. Глававиапрома Королев писал письмо № 2/2609с в Секретариат СНК СССР тов. Бакулову (вход. № 1460 от 3 июня 1935):</w:t>
      </w:r>
    </w:p>
    <w:p w14:paraId="663E1C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сем препровождается справка технического состояния опытных работ по моторам и самолетам.</w:t>
      </w:r>
    </w:p>
    <w:p w14:paraId="77D572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 Справка на 2-х листах (3419,83).</w:t>
      </w:r>
    </w:p>
    <w:p w14:paraId="528E78E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июня 1935 была подготовлена</w:t>
      </w:r>
    </w:p>
    <w:p w14:paraId="3EC1A8E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СПРАВКА</w:t>
      </w:r>
    </w:p>
    <w:p w14:paraId="2679CE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 состоянии работ по плану опытного моторостроения на 1 июня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992"/>
        <w:gridCol w:w="993"/>
        <w:gridCol w:w="5572"/>
      </w:tblGrid>
      <w:tr w:rsidR="00E3599D" w:rsidRPr="00E14102" w14:paraId="2AF36E0D" w14:textId="77777777">
        <w:tc>
          <w:tcPr>
            <w:tcW w:w="3652" w:type="dxa"/>
            <w:tcBorders>
              <w:top w:val="single" w:sz="12" w:space="0" w:color="auto"/>
            </w:tcBorders>
          </w:tcPr>
          <w:p w14:paraId="29FF9E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п/п, наименование, об"екты и технич. данные</w:t>
            </w:r>
          </w:p>
        </w:tc>
        <w:tc>
          <w:tcPr>
            <w:tcW w:w="992" w:type="dxa"/>
            <w:tcBorders>
              <w:top w:val="single" w:sz="12" w:space="0" w:color="auto"/>
            </w:tcBorders>
          </w:tcPr>
          <w:p w14:paraId="4E7878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w:t>
            </w:r>
          </w:p>
        </w:tc>
        <w:tc>
          <w:tcPr>
            <w:tcW w:w="993" w:type="dxa"/>
            <w:tcBorders>
              <w:top w:val="single" w:sz="12" w:space="0" w:color="auto"/>
            </w:tcBorders>
          </w:tcPr>
          <w:p w14:paraId="7EC0D0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Испытатель</w:t>
            </w:r>
          </w:p>
        </w:tc>
        <w:tc>
          <w:tcPr>
            <w:tcW w:w="5572" w:type="dxa"/>
            <w:tcBorders>
              <w:top w:val="single" w:sz="12" w:space="0" w:color="auto"/>
            </w:tcBorders>
          </w:tcPr>
          <w:p w14:paraId="460438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Состояние работ на 1 июня</w:t>
            </w:r>
          </w:p>
        </w:tc>
      </w:tr>
      <w:tr w:rsidR="00E3599D" w:rsidRPr="00E14102" w14:paraId="1F562AC7" w14:textId="77777777">
        <w:tc>
          <w:tcPr>
            <w:tcW w:w="3652" w:type="dxa"/>
          </w:tcPr>
          <w:p w14:paraId="57D1C4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 Бесклапанный мотор 550-700 л.с. высотн. 4000 мтр.</w:t>
            </w:r>
          </w:p>
        </w:tc>
        <w:tc>
          <w:tcPr>
            <w:tcW w:w="992" w:type="dxa"/>
          </w:tcPr>
          <w:p w14:paraId="257AFB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1/1-37</w:t>
            </w:r>
          </w:p>
        </w:tc>
        <w:tc>
          <w:tcPr>
            <w:tcW w:w="993" w:type="dxa"/>
          </w:tcPr>
          <w:p w14:paraId="7A2172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70343E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Ведется подготовка к зкспериментальн. работам: выполнен проект одноцилиндоовой уста</w:t>
            </w:r>
            <w:r w:rsidRPr="00E14102">
              <w:rPr>
                <w:color w:val="000000" w:themeColor="text1"/>
                <w:sz w:val="16"/>
                <w:szCs w:val="16"/>
              </w:rPr>
              <w:softHyphen/>
              <w:t>новки, часть деталей дана в производство</w:t>
            </w:r>
          </w:p>
        </w:tc>
      </w:tr>
      <w:tr w:rsidR="00E3599D" w:rsidRPr="00E14102" w14:paraId="532CA813" w14:textId="77777777">
        <w:tc>
          <w:tcPr>
            <w:tcW w:w="3652" w:type="dxa"/>
          </w:tcPr>
          <w:p w14:paraId="47B3CE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Развитие азиадизеля Н-1, доведение мощн. до850 л.с. высотность - 3000 мтр., вес 950-975 кг., расх. Горюч. 170/180</w:t>
            </w:r>
          </w:p>
        </w:tc>
        <w:tc>
          <w:tcPr>
            <w:tcW w:w="992" w:type="dxa"/>
          </w:tcPr>
          <w:p w14:paraId="580096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1/1-37</w:t>
            </w:r>
          </w:p>
        </w:tc>
        <w:tc>
          <w:tcPr>
            <w:tcW w:w="993" w:type="dxa"/>
          </w:tcPr>
          <w:p w14:paraId="29A83D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365C9C4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Проводились во 2-й половине мая с.г. эксперимент. испытания на форсированн. режиме макс. мощн. - 1000 л.с. при 1600 об/мин., номин. мощн. 900 л.с. при 1540 об/мин,</w:t>
            </w:r>
          </w:p>
          <w:p w14:paraId="19E4B2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расх. горюч. 173/174 гр/лсч.</w:t>
            </w:r>
          </w:p>
          <w:p w14:paraId="758D92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проработал около 30 ч сломался кол/вал. .В настоящее время ведутся испытания</w:t>
            </w:r>
          </w:p>
        </w:tc>
      </w:tr>
      <w:tr w:rsidR="00E3599D" w:rsidRPr="00E14102" w14:paraId="4DD95E01" w14:textId="77777777">
        <w:tc>
          <w:tcPr>
            <w:tcW w:w="3652" w:type="dxa"/>
          </w:tcPr>
          <w:p w14:paraId="7338CC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Авиадизель АН-3, двухрядная 14 ц. Звезда, 600 л.с., высотн. 3000-4000 мтр, вес 650 кг, расз. Гор. 170 гр/лс/ч</w:t>
            </w:r>
          </w:p>
        </w:tc>
        <w:tc>
          <w:tcPr>
            <w:tcW w:w="992" w:type="dxa"/>
          </w:tcPr>
          <w:p w14:paraId="65187D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1/ХП-36</w:t>
            </w:r>
          </w:p>
        </w:tc>
        <w:tc>
          <w:tcPr>
            <w:tcW w:w="993" w:type="dxa"/>
          </w:tcPr>
          <w:p w14:paraId="778F8B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58EB22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Проводятся испытания одноцилиндровой установки.</w:t>
            </w:r>
          </w:p>
          <w:p w14:paraId="4F92CD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 дизеля закончен, приступлеко к разработке рабочих чертежей.</w:t>
            </w:r>
          </w:p>
        </w:tc>
      </w:tr>
      <w:tr w:rsidR="00E3599D" w:rsidRPr="00E14102" w14:paraId="3B9F7805" w14:textId="77777777">
        <w:tc>
          <w:tcPr>
            <w:tcW w:w="3652" w:type="dxa"/>
          </w:tcPr>
          <w:p w14:paraId="26F81DF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М-56 (доводка)</w:t>
            </w:r>
          </w:p>
          <w:p w14:paraId="17A238C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700 л.с.</w:t>
            </w:r>
          </w:p>
          <w:p w14:paraId="45696F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 мтр.</w:t>
            </w:r>
          </w:p>
        </w:tc>
        <w:tc>
          <w:tcPr>
            <w:tcW w:w="992" w:type="dxa"/>
          </w:tcPr>
          <w:p w14:paraId="78F024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1/ХП-36 г.</w:t>
            </w:r>
          </w:p>
        </w:tc>
        <w:tc>
          <w:tcPr>
            <w:tcW w:w="993" w:type="dxa"/>
          </w:tcPr>
          <w:p w14:paraId="2FADE0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3C8CC3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 1 поступил на сбор</w:t>
            </w:r>
            <w:r w:rsidRPr="00E14102">
              <w:rPr>
                <w:color w:val="000000" w:themeColor="text1"/>
                <w:sz w:val="16"/>
                <w:szCs w:val="16"/>
              </w:rPr>
              <w:softHyphen/>
              <w:t>ку. Мотор № 2 и 3-й в производстве</w:t>
            </w:r>
          </w:p>
          <w:p w14:paraId="7F3552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Продолжаются испытания эксперим. Одноцилиндровой установки, показавшей мощность 61 л. с. при 2750 об/мин., что превышает проектные данные на 20%.</w:t>
            </w:r>
          </w:p>
        </w:tc>
      </w:tr>
      <w:tr w:rsidR="00E3599D" w:rsidRPr="00E14102" w14:paraId="5816DFAC" w14:textId="77777777">
        <w:tc>
          <w:tcPr>
            <w:tcW w:w="3652" w:type="dxa"/>
          </w:tcPr>
          <w:p w14:paraId="6FCC3D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ГМ-44 (для тарпедных катеров).</w:t>
            </w:r>
          </w:p>
        </w:tc>
        <w:tc>
          <w:tcPr>
            <w:tcW w:w="992" w:type="dxa"/>
          </w:tcPr>
          <w:p w14:paraId="0965B7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1/1-З6 г.</w:t>
            </w:r>
          </w:p>
        </w:tc>
        <w:tc>
          <w:tcPr>
            <w:tcW w:w="993" w:type="dxa"/>
          </w:tcPr>
          <w:p w14:paraId="1E2AC0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692554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Агрегаты, необходимые для морского варианта, сданы в. пр-во. Мотор № 1 предполагается собрать к 1/УШ.</w:t>
            </w:r>
          </w:p>
        </w:tc>
      </w:tr>
      <w:tr w:rsidR="00E3599D" w:rsidRPr="00E14102" w14:paraId="4BBEB5CE" w14:textId="77777777">
        <w:tc>
          <w:tcPr>
            <w:tcW w:w="3652" w:type="dxa"/>
          </w:tcPr>
          <w:p w14:paraId="008FBE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Перевод М-34 на испарит. охлаждение</w:t>
            </w:r>
          </w:p>
        </w:tc>
        <w:tc>
          <w:tcPr>
            <w:tcW w:w="992" w:type="dxa"/>
          </w:tcPr>
          <w:p w14:paraId="259E29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1/У1-35 г.</w:t>
            </w:r>
          </w:p>
        </w:tc>
        <w:tc>
          <w:tcPr>
            <w:tcW w:w="993" w:type="dxa"/>
          </w:tcPr>
          <w:p w14:paraId="3F9BB1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52FCEA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испытан на станке и устанавливается на самолет для испытаний в воздухе.</w:t>
            </w:r>
          </w:p>
        </w:tc>
      </w:tr>
      <w:tr w:rsidR="00E3599D" w:rsidRPr="00E14102" w14:paraId="388E4493" w14:textId="77777777">
        <w:tc>
          <w:tcPr>
            <w:tcW w:w="3652" w:type="dxa"/>
          </w:tcPr>
          <w:p w14:paraId="6E517B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Перевод М-100 на испарит. охл.</w:t>
            </w:r>
          </w:p>
        </w:tc>
        <w:tc>
          <w:tcPr>
            <w:tcW w:w="992" w:type="dxa"/>
          </w:tcPr>
          <w:p w14:paraId="46FAB0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1/Х-36 г.</w:t>
            </w:r>
          </w:p>
        </w:tc>
        <w:tc>
          <w:tcPr>
            <w:tcW w:w="993" w:type="dxa"/>
          </w:tcPr>
          <w:p w14:paraId="1A4EBC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599808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Продолжаются лабораторные испытания по двум схемам. :Изготавлиаются агрегаты для испытания и установки на самолете.</w:t>
            </w:r>
          </w:p>
        </w:tc>
      </w:tr>
      <w:tr w:rsidR="00E3599D" w:rsidRPr="00E14102" w14:paraId="600EFB67" w14:textId="77777777">
        <w:tc>
          <w:tcPr>
            <w:tcW w:w="3652" w:type="dxa"/>
          </w:tcPr>
          <w:p w14:paraId="44E98C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Перевод М-34 на водородное топливо</w:t>
            </w:r>
          </w:p>
        </w:tc>
        <w:tc>
          <w:tcPr>
            <w:tcW w:w="992" w:type="dxa"/>
          </w:tcPr>
          <w:p w14:paraId="4EB92C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1/1-36 г.</w:t>
            </w:r>
          </w:p>
        </w:tc>
        <w:tc>
          <w:tcPr>
            <w:tcW w:w="993" w:type="dxa"/>
          </w:tcPr>
          <w:p w14:paraId="30F047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0CF64D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Экспериментальная установка вьшолнепа. Строятся специальные помещения для хранения водородних баллонов</w:t>
            </w:r>
          </w:p>
        </w:tc>
      </w:tr>
      <w:tr w:rsidR="00E3599D" w:rsidRPr="00E14102" w14:paraId="7FC6F75F" w14:textId="77777777">
        <w:tc>
          <w:tcPr>
            <w:tcW w:w="3652" w:type="dxa"/>
          </w:tcPr>
          <w:p w14:paraId="39CF8D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Мотор для рекордного скоростного самолета</w:t>
            </w:r>
          </w:p>
        </w:tc>
        <w:tc>
          <w:tcPr>
            <w:tcW w:w="992" w:type="dxa"/>
          </w:tcPr>
          <w:p w14:paraId="6A75A8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НКТП и НКО в 2-х мес. срок представить тТУ и план работы</w:t>
            </w:r>
          </w:p>
        </w:tc>
        <w:tc>
          <w:tcPr>
            <w:tcW w:w="993" w:type="dxa"/>
          </w:tcPr>
          <w:p w14:paraId="3EDE2B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6C3D1E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Разрабатываются ТУ</w:t>
            </w:r>
          </w:p>
        </w:tc>
      </w:tr>
      <w:tr w:rsidR="00E3599D" w:rsidRPr="00E14102" w14:paraId="77ED49DC" w14:textId="77777777">
        <w:tc>
          <w:tcPr>
            <w:tcW w:w="3652" w:type="dxa"/>
          </w:tcPr>
          <w:p w14:paraId="0F0CFB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Мотор для рекордного высотного самолета</w:t>
            </w:r>
          </w:p>
        </w:tc>
        <w:tc>
          <w:tcPr>
            <w:tcW w:w="992" w:type="dxa"/>
          </w:tcPr>
          <w:p w14:paraId="001D72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НКТП и НКО в 2-х мес. срок представить тТУ и план работы</w:t>
            </w:r>
          </w:p>
        </w:tc>
        <w:tc>
          <w:tcPr>
            <w:tcW w:w="993" w:type="dxa"/>
          </w:tcPr>
          <w:p w14:paraId="04BE88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1C90BE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Разрабатываются ТУ</w:t>
            </w:r>
          </w:p>
        </w:tc>
      </w:tr>
      <w:tr w:rsidR="00E3599D" w:rsidRPr="00E14102" w14:paraId="29027BAF" w14:textId="77777777">
        <w:tc>
          <w:tcPr>
            <w:tcW w:w="3652" w:type="dxa"/>
          </w:tcPr>
          <w:p w14:paraId="653779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Перевод М-34 на непосредственный впрыск</w:t>
            </w:r>
          </w:p>
        </w:tc>
        <w:tc>
          <w:tcPr>
            <w:tcW w:w="992" w:type="dxa"/>
          </w:tcPr>
          <w:p w14:paraId="1C2E3D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1/1-36 г.</w:t>
            </w:r>
          </w:p>
        </w:tc>
        <w:tc>
          <w:tcPr>
            <w:tcW w:w="993" w:type="dxa"/>
          </w:tcPr>
          <w:p w14:paraId="34F0B9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12141F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Проведено испытание форсунки для непосредственного впрыска, давшее положиттельн. Результаты. Форсунка и насос сданы в пр-во</w:t>
            </w:r>
          </w:p>
        </w:tc>
      </w:tr>
      <w:tr w:rsidR="00E3599D" w:rsidRPr="00E14102" w14:paraId="32A0A4C4" w14:textId="77777777">
        <w:tc>
          <w:tcPr>
            <w:tcW w:w="3652" w:type="dxa"/>
          </w:tcPr>
          <w:p w14:paraId="5F4FBB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То же М-25</w:t>
            </w:r>
          </w:p>
        </w:tc>
        <w:tc>
          <w:tcPr>
            <w:tcW w:w="992" w:type="dxa"/>
          </w:tcPr>
          <w:p w14:paraId="10E539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w:t>
            </w:r>
          </w:p>
        </w:tc>
        <w:tc>
          <w:tcPr>
            <w:tcW w:w="993" w:type="dxa"/>
          </w:tcPr>
          <w:p w14:paraId="44DE0D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15C145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не начаты</w:t>
            </w:r>
          </w:p>
        </w:tc>
      </w:tr>
      <w:tr w:rsidR="00E3599D" w:rsidRPr="00E14102" w14:paraId="03FEE89A" w14:textId="77777777">
        <w:tc>
          <w:tcPr>
            <w:tcW w:w="3652" w:type="dxa"/>
          </w:tcPr>
          <w:p w14:paraId="57DDC9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То же М-85</w:t>
            </w:r>
          </w:p>
        </w:tc>
        <w:tc>
          <w:tcPr>
            <w:tcW w:w="992" w:type="dxa"/>
          </w:tcPr>
          <w:p w14:paraId="728317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w:t>
            </w:r>
          </w:p>
        </w:tc>
        <w:tc>
          <w:tcPr>
            <w:tcW w:w="993" w:type="dxa"/>
          </w:tcPr>
          <w:p w14:paraId="2A1664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38287A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не начаты</w:t>
            </w:r>
          </w:p>
        </w:tc>
      </w:tr>
      <w:tr w:rsidR="00E3599D" w:rsidRPr="00E14102" w14:paraId="74D0D7E6" w14:textId="77777777">
        <w:tc>
          <w:tcPr>
            <w:tcW w:w="3652" w:type="dxa"/>
          </w:tcPr>
          <w:p w14:paraId="652E0D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То же М-100</w:t>
            </w:r>
          </w:p>
        </w:tc>
        <w:tc>
          <w:tcPr>
            <w:tcW w:w="992" w:type="dxa"/>
          </w:tcPr>
          <w:p w14:paraId="32D336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w:t>
            </w:r>
          </w:p>
        </w:tc>
        <w:tc>
          <w:tcPr>
            <w:tcW w:w="993" w:type="dxa"/>
          </w:tcPr>
          <w:p w14:paraId="6BE84B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499504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не начаты</w:t>
            </w:r>
          </w:p>
        </w:tc>
      </w:tr>
      <w:tr w:rsidR="00E3599D" w:rsidRPr="00E14102" w14:paraId="37E9903F" w14:textId="77777777">
        <w:tc>
          <w:tcPr>
            <w:tcW w:w="3652" w:type="dxa"/>
          </w:tcPr>
          <w:p w14:paraId="0AF78B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ТК к мотору М-34 до 8500 м</w:t>
            </w:r>
          </w:p>
        </w:tc>
        <w:tc>
          <w:tcPr>
            <w:tcW w:w="992" w:type="dxa"/>
          </w:tcPr>
          <w:p w14:paraId="55BA9A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1/1-36 г.</w:t>
            </w:r>
          </w:p>
        </w:tc>
        <w:tc>
          <w:tcPr>
            <w:tcW w:w="993" w:type="dxa"/>
          </w:tcPr>
          <w:p w14:paraId="72BF49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2F645A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Ведутся экспериментальн. Работы, испытания турбокомпрессора Дженерал-Электрик на самолетах (ВВА), лабораторн. испытание турбокомпрессора конс. ЦИАМ</w:t>
            </w:r>
          </w:p>
        </w:tc>
      </w:tr>
      <w:tr w:rsidR="00E3599D" w:rsidRPr="00E14102" w14:paraId="0C40F3B2" w14:textId="77777777">
        <w:tc>
          <w:tcPr>
            <w:tcW w:w="3652" w:type="dxa"/>
          </w:tcPr>
          <w:p w14:paraId="164F8A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Двухступенчатый нагнетатель к М-34 до 6000 м</w:t>
            </w:r>
          </w:p>
        </w:tc>
        <w:tc>
          <w:tcPr>
            <w:tcW w:w="992" w:type="dxa"/>
          </w:tcPr>
          <w:p w14:paraId="04911E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1/1-36 г.</w:t>
            </w:r>
          </w:p>
        </w:tc>
        <w:tc>
          <w:tcPr>
            <w:tcW w:w="993" w:type="dxa"/>
          </w:tcPr>
          <w:p w14:paraId="4E4D13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7E0476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Ведутся конструкторские работы, компановка еще не утверждена.</w:t>
            </w:r>
          </w:p>
        </w:tc>
      </w:tr>
      <w:tr w:rsidR="00E3599D" w:rsidRPr="00E14102" w14:paraId="642FC92F" w14:textId="77777777">
        <w:tc>
          <w:tcPr>
            <w:tcW w:w="3652" w:type="dxa"/>
          </w:tcPr>
          <w:p w14:paraId="32D1A5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Тоже к М-25</w:t>
            </w:r>
          </w:p>
        </w:tc>
        <w:tc>
          <w:tcPr>
            <w:tcW w:w="992" w:type="dxa"/>
          </w:tcPr>
          <w:p w14:paraId="2FD7E3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w:t>
            </w:r>
          </w:p>
        </w:tc>
        <w:tc>
          <w:tcPr>
            <w:tcW w:w="993" w:type="dxa"/>
          </w:tcPr>
          <w:p w14:paraId="084BBD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5CC09C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не начаты.</w:t>
            </w:r>
          </w:p>
        </w:tc>
      </w:tr>
      <w:tr w:rsidR="00E3599D" w:rsidRPr="00E14102" w14:paraId="498989A6" w14:textId="77777777">
        <w:tc>
          <w:tcPr>
            <w:tcW w:w="3652" w:type="dxa"/>
          </w:tcPr>
          <w:p w14:paraId="1845F2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Тоже к М-35</w:t>
            </w:r>
          </w:p>
        </w:tc>
        <w:tc>
          <w:tcPr>
            <w:tcW w:w="992" w:type="dxa"/>
          </w:tcPr>
          <w:p w14:paraId="4E8198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w:t>
            </w:r>
          </w:p>
        </w:tc>
        <w:tc>
          <w:tcPr>
            <w:tcW w:w="993" w:type="dxa"/>
          </w:tcPr>
          <w:p w14:paraId="5CBC30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3AA0E5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Начато проектирование 2-х скоростного нагнетателя по договору з-дом № 29.</w:t>
            </w:r>
          </w:p>
        </w:tc>
      </w:tr>
      <w:tr w:rsidR="00E3599D" w:rsidRPr="00E14102" w14:paraId="4CDE8882" w14:textId="77777777">
        <w:tc>
          <w:tcPr>
            <w:tcW w:w="3652" w:type="dxa"/>
          </w:tcPr>
          <w:p w14:paraId="3C7274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Тоже к М-100</w:t>
            </w:r>
          </w:p>
        </w:tc>
        <w:tc>
          <w:tcPr>
            <w:tcW w:w="992" w:type="dxa"/>
          </w:tcPr>
          <w:p w14:paraId="0DEC52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w:t>
            </w:r>
          </w:p>
        </w:tc>
        <w:tc>
          <w:tcPr>
            <w:tcW w:w="993" w:type="dxa"/>
          </w:tcPr>
          <w:p w14:paraId="3E24F5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2AE922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не начаты.</w:t>
            </w:r>
          </w:p>
        </w:tc>
      </w:tr>
      <w:tr w:rsidR="00E3599D" w:rsidRPr="00E14102" w14:paraId="08C63C9C" w14:textId="77777777">
        <w:tc>
          <w:tcPr>
            <w:tcW w:w="3652" w:type="dxa"/>
          </w:tcPr>
          <w:p w14:paraId="1027B9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2-х скоростной нагнетатель к М-34</w:t>
            </w:r>
          </w:p>
        </w:tc>
        <w:tc>
          <w:tcPr>
            <w:tcW w:w="992" w:type="dxa"/>
          </w:tcPr>
          <w:p w14:paraId="5F05EC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1/1-36 г.</w:t>
            </w:r>
          </w:p>
        </w:tc>
        <w:tc>
          <w:tcPr>
            <w:tcW w:w="993" w:type="dxa"/>
          </w:tcPr>
          <w:p w14:paraId="015F1B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38A97B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Проводятся экспериментальные работы. В пр-ве 4 экз. механизма переключения. Нагнет № 1 в сборке. Выход предпол. к 10/У1.</w:t>
            </w:r>
          </w:p>
          <w:p w14:paraId="58EFF6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2 - к 1/УП, № 3 - к 1/УШ</w:t>
            </w:r>
          </w:p>
        </w:tc>
      </w:tr>
      <w:tr w:rsidR="00E3599D" w:rsidRPr="00E14102" w14:paraId="312F9F35" w14:textId="77777777">
        <w:tc>
          <w:tcPr>
            <w:tcW w:w="3652" w:type="dxa"/>
          </w:tcPr>
          <w:p w14:paraId="380FD3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ВИШ-3 - винт перем.шага для М-34ФРН</w:t>
            </w:r>
          </w:p>
        </w:tc>
        <w:tc>
          <w:tcPr>
            <w:tcW w:w="992" w:type="dxa"/>
          </w:tcPr>
          <w:p w14:paraId="523F78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1/ХП-35 г.</w:t>
            </w:r>
          </w:p>
        </w:tc>
        <w:tc>
          <w:tcPr>
            <w:tcW w:w="993" w:type="dxa"/>
          </w:tcPr>
          <w:p w14:paraId="6805C2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4008EB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начала мая впр-ве находятся 3 экз. Выход № 1 к 1/1Х-с..г.</w:t>
            </w:r>
          </w:p>
        </w:tc>
      </w:tr>
      <w:tr w:rsidR="00E3599D" w:rsidRPr="00E14102" w14:paraId="36485957" w14:textId="77777777">
        <w:tc>
          <w:tcPr>
            <w:tcW w:w="3652" w:type="dxa"/>
          </w:tcPr>
          <w:p w14:paraId="0AFB83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ВИШ-Э-2 с электроприводом</w:t>
            </w:r>
          </w:p>
        </w:tc>
        <w:tc>
          <w:tcPr>
            <w:tcW w:w="992" w:type="dxa"/>
          </w:tcPr>
          <w:p w14:paraId="6DF1B2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Исп. 1/Х1-35 г.</w:t>
            </w:r>
          </w:p>
        </w:tc>
        <w:tc>
          <w:tcPr>
            <w:tcW w:w="993" w:type="dxa"/>
          </w:tcPr>
          <w:p w14:paraId="6C5E83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00D995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пр-ве 2 экз. Эксперимент. испытания дали положительн. результаты</w:t>
            </w:r>
          </w:p>
        </w:tc>
      </w:tr>
      <w:tr w:rsidR="00E3599D" w:rsidRPr="00E14102" w14:paraId="6D4B894A" w14:textId="77777777">
        <w:tc>
          <w:tcPr>
            <w:tcW w:w="3652" w:type="dxa"/>
          </w:tcPr>
          <w:p w14:paraId="109827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ВИШ-РЦ для М-25</w:t>
            </w:r>
          </w:p>
        </w:tc>
        <w:tc>
          <w:tcPr>
            <w:tcW w:w="992" w:type="dxa"/>
          </w:tcPr>
          <w:p w14:paraId="382808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1/УШ-35 г.</w:t>
            </w:r>
          </w:p>
        </w:tc>
        <w:tc>
          <w:tcPr>
            <w:tcW w:w="993" w:type="dxa"/>
          </w:tcPr>
          <w:p w14:paraId="72CE1B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6806F0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Изготовлен 1 зкз. Устанавлив. на моторе. № 2 впроизводстве назначен для предъявлен.на госиспытание.</w:t>
            </w:r>
          </w:p>
        </w:tc>
      </w:tr>
      <w:tr w:rsidR="00E3599D" w:rsidRPr="00E14102" w14:paraId="45B20BED" w14:textId="77777777">
        <w:tc>
          <w:tcPr>
            <w:tcW w:w="3652" w:type="dxa"/>
          </w:tcPr>
          <w:p w14:paraId="05DECC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М-34ФРН (форсированный с нагнетателем)</w:t>
            </w:r>
          </w:p>
          <w:p w14:paraId="4F5544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 1150/0, 1050/3000, 850/4800</w:t>
            </w:r>
          </w:p>
          <w:p w14:paraId="153EE4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710, час. расход горюч. 255-265 г/лс/ч</w:t>
            </w:r>
          </w:p>
        </w:tc>
        <w:tc>
          <w:tcPr>
            <w:tcW w:w="992" w:type="dxa"/>
          </w:tcPr>
          <w:p w14:paraId="28DA11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1/1Х-35 г.</w:t>
            </w:r>
          </w:p>
        </w:tc>
        <w:tc>
          <w:tcPr>
            <w:tcW w:w="993" w:type="dxa"/>
          </w:tcPr>
          <w:p w14:paraId="50DBA2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24</w:t>
            </w:r>
          </w:p>
        </w:tc>
        <w:tc>
          <w:tcPr>
            <w:tcW w:w="5572" w:type="dxa"/>
          </w:tcPr>
          <w:p w14:paraId="1506EC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Проводятся испытания трех моторов (2 с редуктором и нагнетателем, 1 - только с нагнетат, без редуктора), показавшие макс. мощность до 1250 л.с. при 1980 об./мин. Испытания продолжаются.</w:t>
            </w:r>
          </w:p>
        </w:tc>
      </w:tr>
      <w:tr w:rsidR="00E3599D" w:rsidRPr="00E14102" w14:paraId="73DE7298" w14:textId="77777777">
        <w:tc>
          <w:tcPr>
            <w:tcW w:w="3652" w:type="dxa"/>
          </w:tcPr>
          <w:p w14:paraId="5A8058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М-34ФН (форсированный с нагнетателем).</w:t>
            </w:r>
          </w:p>
          <w:p w14:paraId="08D37C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та же, что и у М-34ФРН</w:t>
            </w:r>
          </w:p>
          <w:p w14:paraId="3456B7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630, час. расход горюч. 255-265 г/лс/ч</w:t>
            </w:r>
          </w:p>
        </w:tc>
        <w:tc>
          <w:tcPr>
            <w:tcW w:w="992" w:type="dxa"/>
          </w:tcPr>
          <w:p w14:paraId="7DD060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1/1Х-35 г.</w:t>
            </w:r>
          </w:p>
        </w:tc>
        <w:tc>
          <w:tcPr>
            <w:tcW w:w="993" w:type="dxa"/>
          </w:tcPr>
          <w:p w14:paraId="3E13F3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24</w:t>
            </w:r>
          </w:p>
        </w:tc>
        <w:tc>
          <w:tcPr>
            <w:tcW w:w="5572" w:type="dxa"/>
          </w:tcPr>
          <w:p w14:paraId="1E6716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Проводятся испытания трех моторов (2 с редуктором и нагнетателем, 1 - только с нагнетат, без редуктора), показавшие макс. мощность до 1250 л.с. при 1980 об./мин. Испытания продолжаются.</w:t>
            </w:r>
          </w:p>
        </w:tc>
      </w:tr>
      <w:tr w:rsidR="00E3599D" w:rsidRPr="00E14102" w14:paraId="78FC2806" w14:textId="77777777">
        <w:tc>
          <w:tcPr>
            <w:tcW w:w="3652" w:type="dxa"/>
          </w:tcPr>
          <w:p w14:paraId="37DF19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М-34ФРН второй этап</w:t>
            </w:r>
          </w:p>
          <w:p w14:paraId="04DFF7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 1150/0, 1000/5000</w:t>
            </w:r>
          </w:p>
          <w:p w14:paraId="1F2199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680, час. расход горюч. 255-265 г/лс/ч</w:t>
            </w:r>
          </w:p>
        </w:tc>
        <w:tc>
          <w:tcPr>
            <w:tcW w:w="992" w:type="dxa"/>
          </w:tcPr>
          <w:p w14:paraId="670BBB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1/1У-36 г.</w:t>
            </w:r>
          </w:p>
        </w:tc>
        <w:tc>
          <w:tcPr>
            <w:tcW w:w="993" w:type="dxa"/>
          </w:tcPr>
          <w:p w14:paraId="482D35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24</w:t>
            </w:r>
          </w:p>
        </w:tc>
        <w:tc>
          <w:tcPr>
            <w:tcW w:w="5572" w:type="dxa"/>
          </w:tcPr>
          <w:p w14:paraId="097D3B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Запроектирован новый нагнетатель, чертежи сданы в пр-во.</w:t>
            </w:r>
          </w:p>
          <w:p w14:paraId="2458AD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Проводились экспериментальн. Испытания мотора на форсированном режиме, была замерена макс. мощность - до 1400 л.с. при 2040 об/мин.</w:t>
            </w:r>
          </w:p>
        </w:tc>
      </w:tr>
      <w:tr w:rsidR="00E3599D" w:rsidRPr="00E14102" w14:paraId="4778B456" w14:textId="77777777">
        <w:tc>
          <w:tcPr>
            <w:tcW w:w="3652" w:type="dxa"/>
          </w:tcPr>
          <w:p w14:paraId="7C9866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М-34ФН второй этап</w:t>
            </w:r>
          </w:p>
          <w:p w14:paraId="7DB2E4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 1150/0, 1000/5000</w:t>
            </w:r>
          </w:p>
          <w:p w14:paraId="52E49E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680, час. расход горюч. 255-265 г/лс/ч</w:t>
            </w:r>
          </w:p>
        </w:tc>
        <w:tc>
          <w:tcPr>
            <w:tcW w:w="992" w:type="dxa"/>
          </w:tcPr>
          <w:p w14:paraId="27A9CF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1/1У-36 г.</w:t>
            </w:r>
          </w:p>
        </w:tc>
        <w:tc>
          <w:tcPr>
            <w:tcW w:w="993" w:type="dxa"/>
          </w:tcPr>
          <w:p w14:paraId="3885DA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24</w:t>
            </w:r>
          </w:p>
        </w:tc>
        <w:tc>
          <w:tcPr>
            <w:tcW w:w="5572" w:type="dxa"/>
          </w:tcPr>
          <w:p w14:paraId="022CF8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Запроектирован новый нагнетатель, чертежи сданы в пр-во.</w:t>
            </w:r>
          </w:p>
          <w:p w14:paraId="123648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Проводились экспериментальн. Испытания мотора на форсированном режиме, была замерена макс. мощность - до 1400 л.с. при 2040 об/мин.</w:t>
            </w:r>
          </w:p>
        </w:tc>
      </w:tr>
      <w:tr w:rsidR="00E3599D" w:rsidRPr="00E14102" w14:paraId="70A4CA33" w14:textId="77777777">
        <w:tc>
          <w:tcPr>
            <w:tcW w:w="3652" w:type="dxa"/>
          </w:tcPr>
          <w:p w14:paraId="7CAB1C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М-34ФРН (переход. по плану 1934 г.)</w:t>
            </w:r>
          </w:p>
          <w:p w14:paraId="4B633C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 950/0, 850/4000</w:t>
            </w:r>
          </w:p>
          <w:p w14:paraId="3921BA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730, час. расход горюч. 255-265 г/лс/ч</w:t>
            </w:r>
          </w:p>
        </w:tc>
        <w:tc>
          <w:tcPr>
            <w:tcW w:w="992" w:type="dxa"/>
          </w:tcPr>
          <w:p w14:paraId="5DFF9B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1/УШ-35 г.</w:t>
            </w:r>
          </w:p>
        </w:tc>
        <w:tc>
          <w:tcPr>
            <w:tcW w:w="993" w:type="dxa"/>
          </w:tcPr>
          <w:p w14:paraId="32023D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24</w:t>
            </w:r>
          </w:p>
        </w:tc>
        <w:tc>
          <w:tcPr>
            <w:tcW w:w="5572" w:type="dxa"/>
          </w:tcPr>
          <w:p w14:paraId="1AFDC1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Запущена- головная серия по 20 мот. редукторных и безредукт.</w:t>
            </w:r>
          </w:p>
          <w:p w14:paraId="13F9C9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июня первые экземпляры поступают в сборку.</w:t>
            </w:r>
          </w:p>
        </w:tc>
      </w:tr>
      <w:tr w:rsidR="00E3599D" w:rsidRPr="00E14102" w14:paraId="3E644598" w14:textId="77777777">
        <w:tc>
          <w:tcPr>
            <w:tcW w:w="3652" w:type="dxa"/>
          </w:tcPr>
          <w:p w14:paraId="7CEE0B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М-34ФН (то же без редуктора)</w:t>
            </w:r>
          </w:p>
          <w:p w14:paraId="534E3C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650</w:t>
            </w:r>
          </w:p>
        </w:tc>
        <w:tc>
          <w:tcPr>
            <w:tcW w:w="992" w:type="dxa"/>
          </w:tcPr>
          <w:p w14:paraId="7B78B8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1/УШ-35 г.</w:t>
            </w:r>
          </w:p>
        </w:tc>
        <w:tc>
          <w:tcPr>
            <w:tcW w:w="993" w:type="dxa"/>
          </w:tcPr>
          <w:p w14:paraId="615DAD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24</w:t>
            </w:r>
          </w:p>
        </w:tc>
        <w:tc>
          <w:tcPr>
            <w:tcW w:w="5572" w:type="dxa"/>
          </w:tcPr>
          <w:p w14:paraId="61CAA84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Запущена- головная серяя по 20 мот. редукторных и безредукт.</w:t>
            </w:r>
          </w:p>
          <w:p w14:paraId="36A6F7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июня первые экземпляры поступают в сборку.</w:t>
            </w:r>
          </w:p>
        </w:tc>
      </w:tr>
      <w:tr w:rsidR="00E3599D" w:rsidRPr="00E14102" w14:paraId="0E9B6F05" w14:textId="77777777">
        <w:tc>
          <w:tcPr>
            <w:tcW w:w="3652" w:type="dxa"/>
          </w:tcPr>
          <w:p w14:paraId="27CEBB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М-34ФУРН с удлиненным носком вала</w:t>
            </w:r>
          </w:p>
          <w:p w14:paraId="40F90A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 950/0, 850/4000</w:t>
            </w:r>
          </w:p>
          <w:p w14:paraId="2D2621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760, час. расход горюч. 255-265 г/лс/ч</w:t>
            </w:r>
          </w:p>
        </w:tc>
        <w:tc>
          <w:tcPr>
            <w:tcW w:w="992" w:type="dxa"/>
          </w:tcPr>
          <w:p w14:paraId="2AF297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1/ХП-35 г.</w:t>
            </w:r>
          </w:p>
        </w:tc>
        <w:tc>
          <w:tcPr>
            <w:tcW w:w="993" w:type="dxa"/>
          </w:tcPr>
          <w:p w14:paraId="37A0DF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24</w:t>
            </w:r>
          </w:p>
        </w:tc>
        <w:tc>
          <w:tcPr>
            <w:tcW w:w="5572" w:type="dxa"/>
          </w:tcPr>
          <w:p w14:paraId="319A7C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Перерабатывается компоновка мотора. Удлиненннй вал редуктора находится в производстве</w:t>
            </w:r>
          </w:p>
        </w:tc>
      </w:tr>
      <w:tr w:rsidR="00E3599D" w:rsidRPr="00E14102" w14:paraId="35F65D17" w14:textId="77777777">
        <w:tc>
          <w:tcPr>
            <w:tcW w:w="3652" w:type="dxa"/>
          </w:tcPr>
          <w:p w14:paraId="7BFED9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ГМ-34Ф</w:t>
            </w:r>
          </w:p>
          <w:p w14:paraId="7AD89C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 900-950 л.с.</w:t>
            </w:r>
          </w:p>
        </w:tc>
        <w:tc>
          <w:tcPr>
            <w:tcW w:w="992" w:type="dxa"/>
          </w:tcPr>
          <w:p w14:paraId="62FC05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1/Х1-35</w:t>
            </w:r>
          </w:p>
        </w:tc>
        <w:tc>
          <w:tcPr>
            <w:tcW w:w="993" w:type="dxa"/>
          </w:tcPr>
          <w:p w14:paraId="796905D4" w14:textId="77777777" w:rsidR="00D4105E" w:rsidRPr="00E14102" w:rsidRDefault="00D4105E" w:rsidP="00E14102">
            <w:pPr>
              <w:autoSpaceDE w:val="0"/>
              <w:autoSpaceDN w:val="0"/>
              <w:adjustRightInd w:val="0"/>
              <w:jc w:val="both"/>
              <w:rPr>
                <w:color w:val="000000" w:themeColor="text1"/>
                <w:sz w:val="16"/>
                <w:szCs w:val="16"/>
              </w:rPr>
            </w:pPr>
          </w:p>
        </w:tc>
        <w:tc>
          <w:tcPr>
            <w:tcW w:w="5572" w:type="dxa"/>
          </w:tcPr>
          <w:p w14:paraId="4D1191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Закончен проект форсированного мотора. Реверс оставлен прежней конструкции. ЦИАМ проектирует нагнетатель для наддува мотора</w:t>
            </w:r>
          </w:p>
        </w:tc>
      </w:tr>
      <w:tr w:rsidR="00E3599D" w:rsidRPr="00E14102" w14:paraId="0BE4EEF3" w14:textId="77777777">
        <w:tc>
          <w:tcPr>
            <w:tcW w:w="3652" w:type="dxa"/>
          </w:tcPr>
          <w:p w14:paraId="475E0C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 М-86 (развитие К-9)</w:t>
            </w:r>
          </w:p>
        </w:tc>
        <w:tc>
          <w:tcPr>
            <w:tcW w:w="992" w:type="dxa"/>
          </w:tcPr>
          <w:p w14:paraId="7E04207B" w14:textId="77777777" w:rsidR="00D4105E" w:rsidRPr="00E14102" w:rsidRDefault="00D4105E" w:rsidP="00E14102">
            <w:pPr>
              <w:autoSpaceDE w:val="0"/>
              <w:autoSpaceDN w:val="0"/>
              <w:adjustRightInd w:val="0"/>
              <w:jc w:val="both"/>
              <w:rPr>
                <w:color w:val="000000" w:themeColor="text1"/>
                <w:sz w:val="16"/>
                <w:szCs w:val="16"/>
              </w:rPr>
            </w:pPr>
          </w:p>
        </w:tc>
        <w:tc>
          <w:tcPr>
            <w:tcW w:w="993" w:type="dxa"/>
          </w:tcPr>
          <w:p w14:paraId="7F5F0E5C" w14:textId="77777777" w:rsidR="00D4105E" w:rsidRPr="00E14102" w:rsidRDefault="00D4105E" w:rsidP="00E14102">
            <w:pPr>
              <w:autoSpaceDE w:val="0"/>
              <w:autoSpaceDN w:val="0"/>
              <w:adjustRightInd w:val="0"/>
              <w:jc w:val="both"/>
              <w:rPr>
                <w:color w:val="000000" w:themeColor="text1"/>
                <w:sz w:val="16"/>
                <w:szCs w:val="16"/>
              </w:rPr>
            </w:pPr>
          </w:p>
        </w:tc>
        <w:tc>
          <w:tcPr>
            <w:tcW w:w="5572" w:type="dxa"/>
          </w:tcPr>
          <w:p w14:paraId="7CB6CD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74823743" w14:textId="77777777">
        <w:tc>
          <w:tcPr>
            <w:tcW w:w="3652" w:type="dxa"/>
          </w:tcPr>
          <w:p w14:paraId="68AF8C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33. М-58 (доводка)</w:t>
            </w:r>
          </w:p>
          <w:p w14:paraId="31B031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мощн. 630 л.с.</w:t>
            </w:r>
          </w:p>
          <w:p w14:paraId="4F5C56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высотн. - 4000 м</w:t>
            </w:r>
          </w:p>
        </w:tc>
        <w:tc>
          <w:tcPr>
            <w:tcW w:w="992" w:type="dxa"/>
          </w:tcPr>
          <w:p w14:paraId="247ED2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1/УП-35 г.</w:t>
            </w:r>
          </w:p>
        </w:tc>
        <w:tc>
          <w:tcPr>
            <w:tcW w:w="993" w:type="dxa"/>
          </w:tcPr>
          <w:p w14:paraId="306DD2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29</w:t>
            </w:r>
          </w:p>
        </w:tc>
        <w:tc>
          <w:tcPr>
            <w:tcW w:w="5572" w:type="dxa"/>
          </w:tcPr>
          <w:p w14:paraId="003E63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 прошел заводские испытания и предъявлен 15/У на госиспытания с высотностью 4000 м</w:t>
            </w:r>
          </w:p>
        </w:tc>
      </w:tr>
      <w:tr w:rsidR="00E3599D" w:rsidRPr="00E14102" w14:paraId="77EE19B7" w14:textId="77777777">
        <w:tc>
          <w:tcPr>
            <w:tcW w:w="3652" w:type="dxa"/>
          </w:tcPr>
          <w:p w14:paraId="428F02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 М-85 - доведение мощности до 1000 л.с.</w:t>
            </w:r>
          </w:p>
        </w:tc>
        <w:tc>
          <w:tcPr>
            <w:tcW w:w="992" w:type="dxa"/>
          </w:tcPr>
          <w:p w14:paraId="03646A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1/У1-36 г.</w:t>
            </w:r>
          </w:p>
        </w:tc>
        <w:tc>
          <w:tcPr>
            <w:tcW w:w="993" w:type="dxa"/>
          </w:tcPr>
          <w:p w14:paraId="3E5A4B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29</w:t>
            </w:r>
          </w:p>
        </w:tc>
        <w:tc>
          <w:tcPr>
            <w:tcW w:w="5572" w:type="dxa"/>
          </w:tcPr>
          <w:p w14:paraId="290D226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Произведен расчет мотора на указанную мощность.</w:t>
            </w:r>
          </w:p>
        </w:tc>
      </w:tr>
      <w:tr w:rsidR="00E3599D" w:rsidRPr="00E14102" w14:paraId="43F41464" w14:textId="77777777">
        <w:tc>
          <w:tcPr>
            <w:tcW w:w="3652" w:type="dxa"/>
          </w:tcPr>
          <w:p w14:paraId="045D80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 Перестановка карбюрпатора М-85 наверх</w:t>
            </w:r>
          </w:p>
        </w:tc>
        <w:tc>
          <w:tcPr>
            <w:tcW w:w="992" w:type="dxa"/>
          </w:tcPr>
          <w:p w14:paraId="120B6A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1/У1-36 г.</w:t>
            </w:r>
          </w:p>
        </w:tc>
        <w:tc>
          <w:tcPr>
            <w:tcW w:w="993" w:type="dxa"/>
          </w:tcPr>
          <w:p w14:paraId="5B112C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29</w:t>
            </w:r>
          </w:p>
        </w:tc>
        <w:tc>
          <w:tcPr>
            <w:tcW w:w="5572" w:type="dxa"/>
          </w:tcPr>
          <w:p w14:paraId="3CDEA1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Ведется- проектирование</w:t>
            </w:r>
          </w:p>
        </w:tc>
      </w:tr>
      <w:tr w:rsidR="00E3599D" w:rsidRPr="00E14102" w14:paraId="15D770F8" w14:textId="77777777">
        <w:tc>
          <w:tcPr>
            <w:tcW w:w="3652" w:type="dxa"/>
          </w:tcPr>
          <w:p w14:paraId="05BF25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 ПТ6 - паровая турбина, мощн. 6000 л.с.</w:t>
            </w:r>
          </w:p>
        </w:tc>
        <w:tc>
          <w:tcPr>
            <w:tcW w:w="992" w:type="dxa"/>
          </w:tcPr>
          <w:p w14:paraId="110522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1/У-36 г.</w:t>
            </w:r>
          </w:p>
        </w:tc>
        <w:tc>
          <w:tcPr>
            <w:tcW w:w="993" w:type="dxa"/>
          </w:tcPr>
          <w:p w14:paraId="0CFC0F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5572" w:type="dxa"/>
          </w:tcPr>
          <w:p w14:paraId="3CE9B47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Котел готов. Турбина поступила в частичную сборку. Насосная гр. в производстве, стендовая группа в сбопке (топливн. насос собран), будет закончена в июне-июле с.г. Авиац.насосная гр.в пр-ве. Редуктор остается нарезка и азотизация шестерен и изготовл. нижнего картера, остальн. детали готовы.</w:t>
            </w:r>
          </w:p>
          <w:p w14:paraId="6CBC7B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Конденсатор закончен проектировванием. В пр-во не сдан.'</w:t>
            </w:r>
          </w:p>
        </w:tc>
      </w:tr>
      <w:tr w:rsidR="00E3599D" w:rsidRPr="00E14102" w14:paraId="2632A556" w14:textId="77777777">
        <w:tc>
          <w:tcPr>
            <w:tcW w:w="3652" w:type="dxa"/>
          </w:tcPr>
          <w:p w14:paraId="05159D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 Г.Т.-1 газовая турбина</w:t>
            </w:r>
          </w:p>
          <w:p w14:paraId="294650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 1000 л.с.</w:t>
            </w:r>
          </w:p>
        </w:tc>
        <w:tc>
          <w:tcPr>
            <w:tcW w:w="992" w:type="dxa"/>
          </w:tcPr>
          <w:p w14:paraId="09832F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1/У-36 г.</w:t>
            </w:r>
          </w:p>
        </w:tc>
        <w:tc>
          <w:tcPr>
            <w:tcW w:w="993" w:type="dxa"/>
          </w:tcPr>
          <w:p w14:paraId="08BB7A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ВТИ</w:t>
            </w:r>
          </w:p>
        </w:tc>
        <w:tc>
          <w:tcPr>
            <w:tcW w:w="5572" w:type="dxa"/>
          </w:tcPr>
          <w:p w14:paraId="1B54FB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Проведены экспериментальные испытания охлажд. Лопаток, начата разработка рабочих чертежей.</w:t>
            </w:r>
          </w:p>
        </w:tc>
      </w:tr>
      <w:tr w:rsidR="00E3599D" w:rsidRPr="00E14102" w14:paraId="08AB5369" w14:textId="77777777">
        <w:tc>
          <w:tcPr>
            <w:tcW w:w="3652" w:type="dxa"/>
          </w:tcPr>
          <w:p w14:paraId="7FFD9C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38. Н-1 авиадизель</w:t>
            </w:r>
          </w:p>
          <w:p w14:paraId="3F600C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мощн. 750 л.с.</w:t>
            </w:r>
          </w:p>
          <w:p w14:paraId="62BC4A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высотн. 3000 мт.</w:t>
            </w:r>
          </w:p>
        </w:tc>
        <w:tc>
          <w:tcPr>
            <w:tcW w:w="992" w:type="dxa"/>
          </w:tcPr>
          <w:p w14:paraId="6C7E79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1/1У-36 г.</w:t>
            </w:r>
          </w:p>
        </w:tc>
        <w:tc>
          <w:tcPr>
            <w:tcW w:w="993" w:type="dxa"/>
          </w:tcPr>
          <w:p w14:paraId="4B11A7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5572" w:type="dxa"/>
          </w:tcPr>
          <w:p w14:paraId="7F4156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 время госиспытаний в апреле была поломка колен. вала. В мае пред"явлен другой мотор, котор. в настоящ. время проходит испытания.</w:t>
            </w:r>
          </w:p>
        </w:tc>
      </w:tr>
      <w:tr w:rsidR="00E3599D" w:rsidRPr="00E14102" w14:paraId="463DED28" w14:textId="77777777">
        <w:tc>
          <w:tcPr>
            <w:tcW w:w="3652" w:type="dxa"/>
          </w:tcPr>
          <w:p w14:paraId="2FAB96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39. Н-4 авиадизель</w:t>
            </w:r>
          </w:p>
          <w:p w14:paraId="64B2A3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мощн. 600 л.с.</w:t>
            </w:r>
          </w:p>
          <w:p w14:paraId="34488B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высотн. 3000-500 мт.</w:t>
            </w:r>
          </w:p>
        </w:tc>
        <w:tc>
          <w:tcPr>
            <w:tcW w:w="992" w:type="dxa"/>
          </w:tcPr>
          <w:p w14:paraId="5E0F23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1/У-36 г.</w:t>
            </w:r>
          </w:p>
        </w:tc>
        <w:tc>
          <w:tcPr>
            <w:tcW w:w="993" w:type="dxa"/>
          </w:tcPr>
          <w:p w14:paraId="05E0E2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5572" w:type="dxa"/>
          </w:tcPr>
          <w:p w14:paraId="1F4C1E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Находится в производстве на заводе № 24. Срок изготовления всех деталей и начало сборки 1/Х-35 г.</w:t>
            </w:r>
          </w:p>
        </w:tc>
      </w:tr>
      <w:tr w:rsidR="00E3599D" w:rsidRPr="00E14102" w14:paraId="0728EFCF" w14:textId="77777777">
        <w:tc>
          <w:tcPr>
            <w:tcW w:w="3652" w:type="dxa"/>
          </w:tcPr>
          <w:p w14:paraId="50BFE5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40. ВИШ-РЦ - винт перем. Шага для М-25</w:t>
            </w:r>
          </w:p>
        </w:tc>
        <w:tc>
          <w:tcPr>
            <w:tcW w:w="992" w:type="dxa"/>
          </w:tcPr>
          <w:p w14:paraId="6CDE0F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1/У1-35 г.</w:t>
            </w:r>
          </w:p>
        </w:tc>
        <w:tc>
          <w:tcPr>
            <w:tcW w:w="993" w:type="dxa"/>
          </w:tcPr>
          <w:p w14:paraId="1DFB16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28</w:t>
            </w:r>
          </w:p>
        </w:tc>
        <w:tc>
          <w:tcPr>
            <w:tcW w:w="5572" w:type="dxa"/>
          </w:tcPr>
          <w:p w14:paraId="44979B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мае предъявлен на гос. испытан., во время. которых произошла поломка втулки. Приступлено к изготовлению новой втулки.</w:t>
            </w:r>
          </w:p>
        </w:tc>
      </w:tr>
      <w:tr w:rsidR="00E3599D" w:rsidRPr="00E14102" w14:paraId="60914AAE" w14:textId="77777777">
        <w:tc>
          <w:tcPr>
            <w:tcW w:w="3652" w:type="dxa"/>
          </w:tcPr>
          <w:p w14:paraId="48847F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41. ВИМ М-34</w:t>
            </w:r>
          </w:p>
        </w:tc>
        <w:tc>
          <w:tcPr>
            <w:tcW w:w="992" w:type="dxa"/>
          </w:tcPr>
          <w:p w14:paraId="1E1212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1/1-36 г.</w:t>
            </w:r>
          </w:p>
        </w:tc>
        <w:tc>
          <w:tcPr>
            <w:tcW w:w="993" w:type="dxa"/>
          </w:tcPr>
          <w:p w14:paraId="366F46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28</w:t>
            </w:r>
          </w:p>
        </w:tc>
        <w:tc>
          <w:tcPr>
            <w:tcW w:w="5572" w:type="dxa"/>
          </w:tcPr>
          <w:p w14:paraId="65FE1C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Ведется проектирование винта</w:t>
            </w:r>
          </w:p>
        </w:tc>
      </w:tr>
      <w:tr w:rsidR="00E3599D" w:rsidRPr="00E14102" w14:paraId="506DA93B" w14:textId="77777777">
        <w:tc>
          <w:tcPr>
            <w:tcW w:w="3652" w:type="dxa"/>
          </w:tcPr>
          <w:p w14:paraId="40EAEDB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42. Модификация М-25 двойная звезда</w:t>
            </w:r>
          </w:p>
        </w:tc>
        <w:tc>
          <w:tcPr>
            <w:tcW w:w="992" w:type="dxa"/>
          </w:tcPr>
          <w:p w14:paraId="0FADA2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1/Х-36</w:t>
            </w:r>
          </w:p>
        </w:tc>
        <w:tc>
          <w:tcPr>
            <w:tcW w:w="993" w:type="dxa"/>
          </w:tcPr>
          <w:p w14:paraId="133FE4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19</w:t>
            </w:r>
          </w:p>
        </w:tc>
        <w:tc>
          <w:tcPr>
            <w:tcW w:w="5572" w:type="dxa"/>
          </w:tcPr>
          <w:p w14:paraId="152891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Ведется проектирование</w:t>
            </w:r>
          </w:p>
        </w:tc>
      </w:tr>
      <w:tr w:rsidR="00E3599D" w:rsidRPr="00E14102" w14:paraId="2A2DD478" w14:textId="77777777">
        <w:tc>
          <w:tcPr>
            <w:tcW w:w="3652" w:type="dxa"/>
          </w:tcPr>
          <w:p w14:paraId="1A0214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43. М-62 (форсир. М-25 до номин. мощн. 700 л.с. при 2000 об./мин.) высотн. 650 л.с. до 3850 м с перекл. нагнетателя</w:t>
            </w:r>
          </w:p>
        </w:tc>
        <w:tc>
          <w:tcPr>
            <w:tcW w:w="992" w:type="dxa"/>
          </w:tcPr>
          <w:p w14:paraId="5CE3CF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Исп. 1/1-36 г.</w:t>
            </w:r>
          </w:p>
        </w:tc>
        <w:tc>
          <w:tcPr>
            <w:tcW w:w="993" w:type="dxa"/>
          </w:tcPr>
          <w:p w14:paraId="2AA372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19</w:t>
            </w:r>
          </w:p>
        </w:tc>
        <w:tc>
          <w:tcPr>
            <w:tcW w:w="5572" w:type="dxa"/>
          </w:tcPr>
          <w:p w14:paraId="5B5A16E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Проведены 25 час. испытания М25 на форсированном режиме, показ. Номин. мощн. на земле 650 л.с. при 2100 об/м., высотн.650 л.с. до 4400 мтр. при сохранении норм. наддува, а также 25 час. испыт. с повышенн. наддувом, показал мощн. 710-720 л.с. при 2100 об./мин.'</w:t>
            </w:r>
          </w:p>
        </w:tc>
      </w:tr>
      <w:tr w:rsidR="00E3599D" w:rsidRPr="00E14102" w14:paraId="10B2CB5A" w14:textId="77777777">
        <w:tc>
          <w:tcPr>
            <w:tcW w:w="3652" w:type="dxa"/>
          </w:tcPr>
          <w:p w14:paraId="3B3CC1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44. М-25Ф (форсир. М-25 до номин. мощн. 700 л.с. при 2400 об./мин.) высотн. 800 л.с. до 3250 м</w:t>
            </w:r>
          </w:p>
        </w:tc>
        <w:tc>
          <w:tcPr>
            <w:tcW w:w="992" w:type="dxa"/>
          </w:tcPr>
          <w:p w14:paraId="24DF11FF" w14:textId="77777777" w:rsidR="00D4105E" w:rsidRPr="00E14102" w:rsidRDefault="00D4105E" w:rsidP="00E14102">
            <w:pPr>
              <w:autoSpaceDE w:val="0"/>
              <w:autoSpaceDN w:val="0"/>
              <w:adjustRightInd w:val="0"/>
              <w:jc w:val="both"/>
              <w:rPr>
                <w:color w:val="000000" w:themeColor="text1"/>
                <w:sz w:val="16"/>
                <w:szCs w:val="16"/>
              </w:rPr>
            </w:pPr>
          </w:p>
        </w:tc>
        <w:tc>
          <w:tcPr>
            <w:tcW w:w="993" w:type="dxa"/>
          </w:tcPr>
          <w:p w14:paraId="1CC218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19</w:t>
            </w:r>
          </w:p>
        </w:tc>
        <w:tc>
          <w:tcPr>
            <w:tcW w:w="5572" w:type="dxa"/>
          </w:tcPr>
          <w:p w14:paraId="5D39E27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Ведется проектирование</w:t>
            </w:r>
          </w:p>
        </w:tc>
      </w:tr>
      <w:tr w:rsidR="00E3599D" w:rsidRPr="00E14102" w14:paraId="30A39BD2" w14:textId="77777777">
        <w:tc>
          <w:tcPr>
            <w:tcW w:w="3652" w:type="dxa"/>
          </w:tcPr>
          <w:p w14:paraId="362FEB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45. М-25У - увеличенного литража поср. Звезды 9 цил. Меньшего размера.</w:t>
            </w:r>
          </w:p>
          <w:p w14:paraId="676783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Мощно. Номин. 800 л.с. при числе оборо. 2000, высотн. 800/2800 м</w:t>
            </w:r>
          </w:p>
        </w:tc>
        <w:tc>
          <w:tcPr>
            <w:tcW w:w="992" w:type="dxa"/>
          </w:tcPr>
          <w:p w14:paraId="091E23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Исп.</w:t>
            </w:r>
          </w:p>
          <w:p w14:paraId="64539D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1/1У-36 г.</w:t>
            </w:r>
          </w:p>
        </w:tc>
        <w:tc>
          <w:tcPr>
            <w:tcW w:w="993" w:type="dxa"/>
          </w:tcPr>
          <w:p w14:paraId="76C735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19</w:t>
            </w:r>
          </w:p>
        </w:tc>
        <w:tc>
          <w:tcPr>
            <w:tcW w:w="5572" w:type="dxa"/>
          </w:tcPr>
          <w:p w14:paraId="534F9F6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Начато проектирование</w:t>
            </w:r>
          </w:p>
        </w:tc>
      </w:tr>
      <w:tr w:rsidR="00E3599D" w:rsidRPr="00E14102" w14:paraId="0B4D02A2" w14:textId="77777777">
        <w:tc>
          <w:tcPr>
            <w:tcW w:w="3652" w:type="dxa"/>
            <w:tcBorders>
              <w:bottom w:val="single" w:sz="12" w:space="0" w:color="auto"/>
            </w:tcBorders>
          </w:tcPr>
          <w:p w14:paraId="0F9D99D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46. Доведение мощности М-100 до 860 л.с.</w:t>
            </w:r>
          </w:p>
        </w:tc>
        <w:tc>
          <w:tcPr>
            <w:tcW w:w="992" w:type="dxa"/>
            <w:tcBorders>
              <w:bottom w:val="single" w:sz="12" w:space="0" w:color="auto"/>
            </w:tcBorders>
          </w:tcPr>
          <w:p w14:paraId="2C246D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1У кв. 35 г.</w:t>
            </w:r>
          </w:p>
        </w:tc>
        <w:tc>
          <w:tcPr>
            <w:tcW w:w="993" w:type="dxa"/>
            <w:tcBorders>
              <w:bottom w:val="single" w:sz="12" w:space="0" w:color="auto"/>
            </w:tcBorders>
          </w:tcPr>
          <w:p w14:paraId="0C7E4D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 26</w:t>
            </w:r>
          </w:p>
        </w:tc>
        <w:tc>
          <w:tcPr>
            <w:tcW w:w="5572" w:type="dxa"/>
            <w:tcBorders>
              <w:bottom w:val="single" w:sz="12" w:space="0" w:color="auto"/>
            </w:tcBorders>
          </w:tcPr>
          <w:p w14:paraId="646BC5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мая один мотор смешанной сборки со своим коленвалом, шатунами и вкладышами прошел 52 час., после чего треснул коленвал и малая шестерня редуктора</w:t>
            </w:r>
          </w:p>
          <w:p w14:paraId="158786D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25 мая постален на испытания второй мотор (3419,84).</w:t>
            </w:r>
          </w:p>
        </w:tc>
      </w:tr>
    </w:tbl>
    <w:p w14:paraId="246AC57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F270E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июня 1935 был подготовлен</w:t>
      </w:r>
    </w:p>
    <w:p w14:paraId="0866DFC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КРАТКИЙ ОТЧЕТ</w:t>
      </w:r>
    </w:p>
    <w:p w14:paraId="6DA41FA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технического состояния опытного самолетостроения на 1 июня 1935 г.</w:t>
      </w:r>
    </w:p>
    <w:p w14:paraId="4C5FFA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39</w:t>
      </w:r>
    </w:p>
    <w:p w14:paraId="1924705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И17-М100. Срок пред"явления 1.1Х.35 г. утв. Пр-вом 16.17.35 г.</w:t>
      </w:r>
    </w:p>
    <w:p w14:paraId="25F6C7D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Первый экземпляр находится на заводских испытаниях и дает данные, удовлетворяющие техтребованиям. Ввиду того, что в процессе постройки экземпляра встречалось много исправлений, как в чертежах, так и в производстве, самолет в построенном виде не может быть предъявлен на госиспытания, ибо не характеризует полностью, всех данных этого типа. Поэтому строится второй экземпляр, улучшенный, которыйдолжен быть пред"явлен 1.</w:t>
      </w:r>
      <w:r w:rsidRPr="00E14102">
        <w:rPr>
          <w:color w:val="000000" w:themeColor="text1"/>
          <w:sz w:val="16"/>
          <w:szCs w:val="16"/>
          <w:lang w:val="en-US"/>
        </w:rPr>
        <w:t>IX</w:t>
      </w:r>
      <w:r w:rsidRPr="00E14102">
        <w:rPr>
          <w:color w:val="000000" w:themeColor="text1"/>
          <w:sz w:val="16"/>
          <w:szCs w:val="16"/>
        </w:rPr>
        <w:t>.35 г. и сейчас находится в процессе постройки. Чертежи спущены в производство в апреле месяце с.г. Общая техническая готовность самолета выражается в 20%.</w:t>
      </w:r>
    </w:p>
    <w:p w14:paraId="075C93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И19-М85. Срок предъявления 1.17.36 г. Ведется разработка эскизного проекта и исследовательские работы.</w:t>
      </w:r>
    </w:p>
    <w:p w14:paraId="059A9CF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И18 М-100 с пушкой через редуктор. Срок 1.1Хю35 г. Является вариантом И-17 с паровым охлаждением и пушкой. Задержками служит недоработанность вопросов парового охлаждение (ЦИАМ) и пушечного вооружения (т. Шпитальный), которые могут явиться причиной невыполления срока. Тёхническая готовность - 10%.</w:t>
      </w:r>
    </w:p>
    <w:p w14:paraId="17842A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С.Р. М-85 Срок 1.1Х.35 г. Эскизный проект и макет утверждены до постановления Правительства от 16.17.35 г. Конструктивные чертежи спущены в производство. Идет заготовка деталей, узлов и частей. Общая техническая готшность 10%.</w:t>
      </w:r>
    </w:p>
    <w:p w14:paraId="44619BB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В.С. Срок 1.7.36 г. Задание новое и дано лишь 16.1У.35 г. Подбирается материал.</w:t>
      </w:r>
    </w:p>
    <w:p w14:paraId="6F9EDD2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С.В. - 2 М85. Срок 1.П.36 г., утвержденный Правительством 16.17.35 г. Эскизный проект и макет утверждены по требованиям, согласно плана утвержденного Пр-вом 14.УП. 34 г. со сроком пред "явления на госиспытания 1.Х1.35 г. Поэтому 1-ый экземпляр может выйти с данными устаковленнными 14.УП.34 г. Второй экземпляр с выпуском 1.3.36 г. имеется в виду дать с по данными соответственно постановлению от 16.1У.35 г.</w:t>
      </w:r>
    </w:p>
    <w:p w14:paraId="3C96BA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Готовность первого экземпляра по производству выражается в 20%.</w:t>
      </w:r>
    </w:p>
    <w:p w14:paraId="7D779D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Второй экземпляр, как модификация первого, находится в конструктивной.</w:t>
      </w:r>
    </w:p>
    <w:p w14:paraId="70CF23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ДИ6-М25 Дан планом пр-ва от 14.УП.34 г. Построен в 2-х экземплярах, которые прошли заводские и госиспытания. Полученные летно-технические данные оказались значительно превосходящими заданные. В настоящее время строится небольшая серия на заводе № 39.</w:t>
      </w:r>
    </w:p>
    <w:p w14:paraId="559D53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ТШ3-М34 Дан планом от 14.УП.34 г. Построен в двух экземплярах, из которых 1-ый прошел заводские испытания. Ввиду отсутствиясоответствующего типа пулеметов, первый самолет задерживается сдачей на госиспытания, 2-й заканчивается в производстве.</w:t>
      </w:r>
    </w:p>
    <w:p w14:paraId="0FA4C1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Требуются крыльевые Шкасы вместо турельных, установленных на первом экземпляре.</w:t>
      </w:r>
    </w:p>
    <w:p w14:paraId="3EA7F5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4C78707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26. В.С. (Л.К.) - 1.У.36 г. В начальной стадии проектирования</w:t>
      </w:r>
    </w:p>
    <w:p w14:paraId="437E70D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27. СР-М34ФН - 1.ХП35 г. Заканчивается эскизный проект.</w:t>
      </w:r>
    </w:p>
    <w:p w14:paraId="64BD025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 МИ (Л.К.) - 1.У1.36 г. Разрабатывается эскизный проект.</w:t>
      </w:r>
    </w:p>
    <w:p w14:paraId="420F899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29. Р</w:t>
      </w:r>
      <w:r w:rsidRPr="00E14102">
        <w:rPr>
          <w:color w:val="000000" w:themeColor="text1"/>
          <w:sz w:val="16"/>
          <w:szCs w:val="16"/>
          <w:lang w:val="en-US"/>
        </w:rPr>
        <w:t>z</w:t>
      </w:r>
      <w:r w:rsidRPr="00E14102">
        <w:rPr>
          <w:color w:val="000000" w:themeColor="text1"/>
          <w:sz w:val="16"/>
          <w:szCs w:val="16"/>
        </w:rPr>
        <w:t xml:space="preserve"> (Р5-М34Н). Дан планом от 14.УП.34 г. - на заводских испытаниях и доводке</w:t>
      </w:r>
    </w:p>
    <w:p w14:paraId="691E32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 ИП-1 Р.Ц. Дан планом от 14.УП.34 г. Прошел госиспытания. Построен эталон для серии, который проходит испытания.</w:t>
      </w:r>
    </w:p>
    <w:p w14:paraId="467EB8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18</w:t>
      </w:r>
    </w:p>
    <w:p w14:paraId="067359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31. СБ-2М34ФРН. Срок госиспытаний 1.1Х.35 г.. Эскизный проект и макет утверждены. Самолет находится в постройке. Производственная готовность выражается в 55%.</w:t>
      </w:r>
    </w:p>
    <w:p w14:paraId="122DC5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Замедлением в работе служили перевод из Харькова и организация конструкторской группы на Заводе № 18 во главе с инж. Калининым.</w:t>
      </w:r>
    </w:p>
    <w:p w14:paraId="01112D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32. ВС-2М22. Срок 1.Х.35 г. Находится в производстве. Производственная готовность выражается в 20%.</w:t>
      </w:r>
    </w:p>
    <w:p w14:paraId="0B051F7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33. Д.Б.-М85. Срок - 1.Ш.36 г. Находится в стадии проектирования.</w:t>
      </w:r>
    </w:p>
    <w:p w14:paraId="5E9445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34. Т.С. он же санитарный. Срок 1.</w:t>
      </w:r>
      <w:r w:rsidRPr="00E14102">
        <w:rPr>
          <w:color w:val="000000" w:themeColor="text1"/>
          <w:sz w:val="16"/>
          <w:szCs w:val="16"/>
          <w:lang w:val="en-US"/>
        </w:rPr>
        <w:t>XI</w:t>
      </w:r>
      <w:r w:rsidRPr="00E14102">
        <w:rPr>
          <w:color w:val="000000" w:themeColor="text1"/>
          <w:sz w:val="16"/>
          <w:szCs w:val="16"/>
        </w:rPr>
        <w:t>.36 г. Подбирается материал.</w:t>
      </w:r>
    </w:p>
    <w:p w14:paraId="792D243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22.</w:t>
      </w:r>
    </w:p>
    <w:p w14:paraId="53D277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35. БДД-4М34ФРН. Срок 1.ХП.36 г. Подготавливается и прорабатывается материал.</w:t>
      </w:r>
    </w:p>
    <w:p w14:paraId="4C3E00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36. Истребитель "Звено". Срок 1.1.36 г. Заканчивается конструк</w:t>
      </w:r>
      <w:r w:rsidRPr="00E14102">
        <w:rPr>
          <w:color w:val="000000" w:themeColor="text1"/>
          <w:sz w:val="16"/>
          <w:szCs w:val="16"/>
        </w:rPr>
        <w:softHyphen/>
        <w:t>тивная разработка и в производстве находятся детали.</w:t>
      </w:r>
    </w:p>
    <w:p w14:paraId="019C5F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37. ДБ-4М34РН Срок 1.1Х.35 г. Самолет находится на заводских и доводке.</w:t>
      </w:r>
    </w:p>
    <w:p w14:paraId="67190E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31</w:t>
      </w:r>
    </w:p>
    <w:p w14:paraId="475399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38. МБР5-РЦ Срок 1УШю35 г. Заканчивается конструктивная разработка и параллельно идет постройка. Общая техническая готовность - 75%</w:t>
      </w:r>
    </w:p>
    <w:p w14:paraId="6D46B6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39. КОР-РЦ Срок готовности 1.Х1.35 г . Ведется конструкттивная разработка и постройка. Общий процент готовности - 15%.</w:t>
      </w:r>
    </w:p>
    <w:p w14:paraId="4CC408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40. МДР5 - Срок 1.УШ.36 г. Закончен эскизный проект. Ведется дальнейшая разработка.</w:t>
      </w:r>
    </w:p>
    <w:p w14:paraId="177AFB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45.</w:t>
      </w:r>
    </w:p>
    <w:p w14:paraId="63FEAF0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41. МДР6 - Срок 1.1.36 г. Эскизный проект утвержден УВС в мае с.г. вместо января, что вызвало задержку в проектировании самолета. почти на 4 месяца. В виду этого срок 1.1.36 г. является чрезвычайно напряженным и может сдвинуться на 1.У.36 г.</w:t>
      </w:r>
    </w:p>
    <w:p w14:paraId="3C8CFF4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42. АРК3-2РЦ. Срок 1.УП.35 г. Изготовляется на кооперированных началах, между ГУАП'ом и ГУГВФ'ом на основе договора с ГУСМПом. Общая техническая готовность - 60%.</w:t>
      </w:r>
    </w:p>
    <w:p w14:paraId="082909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43. СПЛ - М11. Срок 1.7.35 г.. Проходит госиспытания</w:t>
      </w:r>
    </w:p>
    <w:p w14:paraId="294DFB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44. СС-М34ФРН. Срок 1.УШ.З5 г. Самолет в сборке. Проводится испытание высотной кабины и приборов на давление. Общая техническая готовность - 85%.</w:t>
      </w:r>
    </w:p>
    <w:p w14:paraId="2FA480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21.</w:t>
      </w:r>
    </w:p>
    <w:p w14:paraId="54CF8A3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45. И16-М75. Срок 3-4 месяца после получения моторов К-9 из-за границы. Мотор еще не получен. Ожидается в первых числах июня.</w:t>
      </w:r>
    </w:p>
    <w:p w14:paraId="38F74B3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46. Одноместный истребитель. Срок не установлен. Завод впервые получает задание на новую опытную мапшну. Самолет в начальной стадии проектирования.</w:t>
      </w:r>
    </w:p>
    <w:p w14:paraId="020E070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23</w:t>
      </w:r>
    </w:p>
    <w:p w14:paraId="6F3157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47. УТИ-М48. Срок 1.Х. 35 г. Эскизный проект закончен. Часть деталей сдана в производство. Общая техническая готовность - 20%. Ведутся экспериментальные работы на У-2.</w:t>
      </w:r>
    </w:p>
    <w:p w14:paraId="5301A0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48. У3-М48. Срок 1.У1.35г. Самолет сдается на госиспытания 29.7.35 г.</w:t>
      </w:r>
    </w:p>
    <w:p w14:paraId="007AF1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ХАИ</w:t>
      </w:r>
    </w:p>
    <w:p w14:paraId="0793DA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49. СР-М342РН. Срок 1.ХП.35 г. Эскизный проект по первоначальным требованиям (14.УП.34 г.) был закончен. В связи с повышением требования (16.17.35 г.) ) проект перепебатывается полностью. Ввиду очень слабой произволетвенной базы и загрузки конструкторского персонала другими самолетами (СР-К-9, ФР-РЦ). Срок сдачи на госиспытания 1.ХП.35 г. чрезвычайно напряженный и может при существующих условиях сдвинуться на 3-4 месяца.</w:t>
      </w:r>
    </w:p>
    <w:p w14:paraId="4E2B3D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50. ФР-М25. Срок 1.У1.35г. Самолет был подготовлен к заводским испытаниям к 10.У, но после обследования комиссией технической готовности его, к полетам не допущен, в виду необходимости внесения ряда исправлений. Заводские испытания должны начаться не позднее 10.У1. с.г.</w:t>
      </w:r>
    </w:p>
    <w:p w14:paraId="6BEEC7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51. СР-М25. Срок 1.УШ.35 г. Первоначально машина проектировалась под мотор М22. Ввиду несоответствия данных М22 современным требованиям к данному типу самолета, мотор заменен на М-75. Самолет в настоящее время проходит статиспытания и находится в сборке.</w:t>
      </w:r>
    </w:p>
    <w:p w14:paraId="427358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КАИ</w:t>
      </w:r>
    </w:p>
    <w:p w14:paraId="5E0A1DB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52. УТИ-М48. Срок 1.Х.35 г. Эскизный проект утвержден. Макет предъявлен УВВС. Ведется конструктивная разработка.</w:t>
      </w:r>
    </w:p>
    <w:p w14:paraId="452218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53 УБП-2М11. Срок 1.У1.35 г. Самолет закончил заводские испытания и предъявляется с 25.У с.г. на госиспытания</w:t>
      </w:r>
    </w:p>
    <w:p w14:paraId="481B29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Начальника ГУАП (3419,89).</w:t>
      </w:r>
    </w:p>
    <w:p w14:paraId="5518D6B6" w14:textId="77777777" w:rsidR="00D4105E" w:rsidRPr="00E14102" w:rsidRDefault="00D4105E" w:rsidP="00E14102">
      <w:pPr>
        <w:autoSpaceDE w:val="0"/>
        <w:autoSpaceDN w:val="0"/>
        <w:adjustRightInd w:val="0"/>
        <w:jc w:val="both"/>
        <w:rPr>
          <w:color w:val="000000" w:themeColor="text1"/>
          <w:sz w:val="16"/>
          <w:szCs w:val="16"/>
        </w:rPr>
      </w:pPr>
    </w:p>
    <w:p w14:paraId="34F1DA1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июня 1935 г. на заводе №75 и 31 мая в РНИИ и состоялось техниче</w:t>
      </w:r>
      <w:r w:rsidRPr="00E14102">
        <w:rPr>
          <w:color w:val="000000" w:themeColor="text1"/>
          <w:sz w:val="16"/>
          <w:szCs w:val="16"/>
        </w:rPr>
        <w:softHyphen/>
        <w:t>ское совещание по вопросам уточнения и внесения изменений в чертежи РС-82 модели 2-01171 и РС-132 модели 2-01172. На нем присутство</w:t>
      </w:r>
      <w:r w:rsidRPr="00E14102">
        <w:rPr>
          <w:color w:val="000000" w:themeColor="text1"/>
          <w:sz w:val="16"/>
          <w:szCs w:val="16"/>
        </w:rPr>
        <w:softHyphen/>
        <w:t>вали заместитель начальника РНИИ Лангемак, представитель ГВМУ НКТП Ворошнин, старший военпред АУ РККА Елисеев, технический директор завода №75 Толстов</w:t>
      </w:r>
      <w:r w:rsidRPr="00E14102">
        <w:rPr>
          <w:smallCaps/>
          <w:color w:val="000000" w:themeColor="text1"/>
          <w:sz w:val="16"/>
          <w:szCs w:val="16"/>
        </w:rPr>
        <w:t xml:space="preserve">, </w:t>
      </w:r>
      <w:r w:rsidRPr="00E14102">
        <w:rPr>
          <w:color w:val="000000" w:themeColor="text1"/>
          <w:sz w:val="16"/>
          <w:szCs w:val="16"/>
        </w:rPr>
        <w:t>начальник 1 сектора РНИИ Пойда и на</w:t>
      </w:r>
      <w:r w:rsidRPr="00E14102">
        <w:rPr>
          <w:color w:val="000000" w:themeColor="text1"/>
          <w:sz w:val="16"/>
          <w:szCs w:val="16"/>
        </w:rPr>
        <w:softHyphen/>
        <w:t>чальник 2 сектора РНИИ Петров. По итогам совещания постановили: чертежи ракетных снарядов, переданные из АУ РККА в ГВМУ НКТП в октябре 1934 г., до утверждения их в АУ РККА считать утратившими силу. В чертежах РС-82 модели 2-01171, утвержденных НТЖ №039') в 1934 г., считать необходимым внести следующие изменения и дополне</w:t>
      </w:r>
      <w:r w:rsidRPr="00E14102">
        <w:rPr>
          <w:color w:val="000000" w:themeColor="text1"/>
          <w:sz w:val="16"/>
          <w:szCs w:val="16"/>
        </w:rPr>
        <w:softHyphen/>
        <w:t>ния. В частности, для облегчения производства отверстия под устано</w:t>
      </w:r>
      <w:r w:rsidRPr="00E14102">
        <w:rPr>
          <w:color w:val="000000" w:themeColor="text1"/>
          <w:sz w:val="16"/>
          <w:szCs w:val="16"/>
        </w:rPr>
        <w:softHyphen/>
        <w:t>вочный винт, фиксирующий хвостовик головного взрывателя, сверлить канавку на глубину 12 мм, а в остальной части нарезать резьбу.</w:t>
      </w:r>
    </w:p>
    <w:p w14:paraId="3D4758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чертежах РС-132 модели 2-01172, утвержденных НТЖ №039') в 1934г., считать необходимым внести следующие изменения и дополне</w:t>
      </w:r>
      <w:r w:rsidRPr="00E14102">
        <w:rPr>
          <w:color w:val="000000" w:themeColor="text1"/>
          <w:sz w:val="16"/>
          <w:szCs w:val="16"/>
        </w:rPr>
        <w:softHyphen/>
        <w:t>ния. В частности, для облегчения производства отверстия под устано</w:t>
      </w:r>
      <w:r w:rsidRPr="00E14102">
        <w:rPr>
          <w:color w:val="000000" w:themeColor="text1"/>
          <w:sz w:val="16"/>
          <w:szCs w:val="16"/>
        </w:rPr>
        <w:softHyphen/>
        <w:t>вочный винт, фиксирующий хвостовик головного взрывателя, сверлить канавку на глубину 16 мм, а в остальной части нарезать резьбу. Угольники для крепления оперения гнуть по сопловому обтекателю, некоторые изменения коснулись также сопловой крышки, диафрагмы и пр. (11402)</w:t>
      </w:r>
    </w:p>
    <w:p w14:paraId="751730E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5BCAED8" w14:textId="77777777" w:rsidR="00D4105E" w:rsidRPr="00E14102" w:rsidRDefault="00D4105E" w:rsidP="00E14102">
      <w:pPr>
        <w:autoSpaceDE w:val="0"/>
        <w:autoSpaceDN w:val="0"/>
        <w:adjustRightInd w:val="0"/>
        <w:jc w:val="both"/>
        <w:rPr>
          <w:iCs/>
          <w:color w:val="000000" w:themeColor="text1"/>
          <w:sz w:val="16"/>
          <w:szCs w:val="16"/>
        </w:rPr>
      </w:pPr>
      <w:r w:rsidRPr="00E14102">
        <w:rPr>
          <w:iCs/>
          <w:color w:val="000000" w:themeColor="text1"/>
          <w:sz w:val="16"/>
          <w:szCs w:val="16"/>
        </w:rPr>
        <w:t>Жизнь и внутреняя политика:</w:t>
      </w:r>
    </w:p>
    <w:p w14:paraId="028C5789" w14:textId="77777777" w:rsidR="00D4105E" w:rsidRPr="00E14102" w:rsidRDefault="00D4105E" w:rsidP="00E14102">
      <w:pPr>
        <w:autoSpaceDE w:val="0"/>
        <w:autoSpaceDN w:val="0"/>
        <w:adjustRightInd w:val="0"/>
        <w:jc w:val="both"/>
        <w:rPr>
          <w:iCs/>
          <w:color w:val="000000" w:themeColor="text1"/>
          <w:sz w:val="16"/>
          <w:szCs w:val="16"/>
        </w:rPr>
      </w:pPr>
    </w:p>
    <w:p w14:paraId="5D06C5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 июня 1935 во время очередного посещения подданным Латвии Вольдемаром Перштейном станции Бигосово он был задержан и обыскан. При нём были обнаружены два подлинных разведывательных задания, составленные начальником Индринского поста латвийской разведки Бергмансом. Задания предусматривали сбор сведений о составе Полоцкого гарнизона, аэродромов, мотомеханизированных частей РККА и артиллерии. </w:t>
      </w:r>
    </w:p>
    <w:p w14:paraId="67DABD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Будучи уличён найденными при обыске документами, Перштейн на первом же допросе сознался, что является агентом латвийской разведки, и был завербован Бергмансом в октябре 1934 года. В ходе следствия Вольдемар Яковлевич сдал ещё троих латвийских шпионов… (11703).</w:t>
      </w:r>
    </w:p>
    <w:p w14:paraId="4D96F481" w14:textId="77777777" w:rsidR="00D4105E" w:rsidRPr="00E14102" w:rsidRDefault="00D4105E" w:rsidP="00E14102">
      <w:pPr>
        <w:autoSpaceDE w:val="0"/>
        <w:autoSpaceDN w:val="0"/>
        <w:adjustRightInd w:val="0"/>
        <w:jc w:val="both"/>
        <w:rPr>
          <w:color w:val="000000" w:themeColor="text1"/>
          <w:sz w:val="16"/>
          <w:szCs w:val="16"/>
        </w:rPr>
      </w:pPr>
    </w:p>
    <w:p w14:paraId="332EDE5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813A105" w14:textId="77777777" w:rsidR="00D4105E" w:rsidRPr="00E14102" w:rsidRDefault="00D4105E" w:rsidP="00E14102">
      <w:pPr>
        <w:autoSpaceDE w:val="0"/>
        <w:autoSpaceDN w:val="0"/>
        <w:adjustRightInd w:val="0"/>
        <w:jc w:val="both"/>
        <w:rPr>
          <w:iCs/>
          <w:color w:val="000000" w:themeColor="text1"/>
          <w:sz w:val="16"/>
          <w:szCs w:val="16"/>
        </w:rPr>
      </w:pPr>
    </w:p>
    <w:p w14:paraId="1414FD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3 июня по 7 июля 1935 на заводе 22 прошло испытании М-34Р NN 301358, 301758, 3012, 13974 с экранированным зажиганием, установленных на ТБ-3 N 22621. Цель испытания: выявить влияние экранированного зажигания на работу моторов и раций, УКВ РЭС и КВ 11СК-1, установленных на самолете ТБ-3 4М-34Р N 22621 (2947).</w:t>
      </w:r>
    </w:p>
    <w:p w14:paraId="0444888C" w14:textId="77777777" w:rsidR="00D4105E" w:rsidRPr="00E14102" w:rsidRDefault="00D4105E" w:rsidP="00E14102">
      <w:pPr>
        <w:autoSpaceDE w:val="0"/>
        <w:autoSpaceDN w:val="0"/>
        <w:adjustRightInd w:val="0"/>
        <w:jc w:val="both"/>
        <w:rPr>
          <w:color w:val="000000" w:themeColor="text1"/>
          <w:sz w:val="16"/>
          <w:szCs w:val="16"/>
        </w:rPr>
      </w:pPr>
    </w:p>
    <w:p w14:paraId="543725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июня 1935 предполагавшийся завод № 130 в Казани по приказу Наркома получил статус моторостроительного производства и зажил самостоятельной жизнью. Но так как он находился на территории авиакомбината, задачи перед ним ставились такие же, как и перед самолетостроителями, связанные с ремонтом тяжелых самолетов типа ТБ-1 и ТБ-3. В конце года, на втором, моторном производстве, работало полторы сотни человек, и занимались они ремонтом двигателей М-34.</w:t>
      </w:r>
    </w:p>
    <w:p w14:paraId="62B3B8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Авиастроители 124-го завода пока тоже занимались ремонтом прилетавших тяжелых туполевских машин. Кроме того, заводу запланировали заниматься изготовлением лыж для бомбардировщиков ТБ-3, хотя эти же лыжи выпускал по соседству казанский завод № 169. Но, как бы там ни было, производство лыж началось на деревообделочном комбинате завода № 124 и продолжалось несколько лет (12949).</w:t>
      </w:r>
    </w:p>
    <w:p w14:paraId="23AC33C4" w14:textId="77777777" w:rsidR="00D4105E" w:rsidRPr="00E14102" w:rsidRDefault="00D4105E" w:rsidP="00E14102">
      <w:pPr>
        <w:autoSpaceDE w:val="0"/>
        <w:autoSpaceDN w:val="0"/>
        <w:adjustRightInd w:val="0"/>
        <w:jc w:val="both"/>
        <w:rPr>
          <w:color w:val="000000" w:themeColor="text1"/>
          <w:sz w:val="16"/>
          <w:szCs w:val="16"/>
        </w:rPr>
      </w:pPr>
    </w:p>
    <w:p w14:paraId="204AB541" w14:textId="77777777" w:rsidR="00AD6AF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D184A4A" w14:textId="77777777" w:rsidR="00AD6AFA" w:rsidRPr="00E14102" w:rsidRDefault="00AD6AFA" w:rsidP="00E14102">
      <w:pPr>
        <w:autoSpaceDE w:val="0"/>
        <w:autoSpaceDN w:val="0"/>
        <w:adjustRightInd w:val="0"/>
        <w:jc w:val="both"/>
        <w:rPr>
          <w:iCs/>
          <w:color w:val="000000" w:themeColor="text1"/>
          <w:sz w:val="16"/>
          <w:szCs w:val="16"/>
        </w:rPr>
      </w:pPr>
    </w:p>
    <w:p w14:paraId="57E6E441" w14:textId="77777777" w:rsidR="00AD6AFA" w:rsidRPr="00E14102" w:rsidRDefault="00AD6AFA" w:rsidP="00E14102">
      <w:pPr>
        <w:shd w:val="clear" w:color="auto" w:fill="FFFFFF"/>
        <w:jc w:val="both"/>
        <w:rPr>
          <w:color w:val="000000" w:themeColor="text1"/>
          <w:sz w:val="16"/>
          <w:szCs w:val="16"/>
        </w:rPr>
      </w:pPr>
      <w:r w:rsidRPr="00E14102">
        <w:rPr>
          <w:bCs/>
          <w:iCs/>
          <w:color w:val="000000" w:themeColor="text1"/>
          <w:sz w:val="16"/>
          <w:szCs w:val="16"/>
        </w:rPr>
        <w:t>3 июня 1935 г.</w:t>
      </w:r>
      <w:r w:rsidRPr="00E14102">
        <w:rPr>
          <w:color w:val="000000" w:themeColor="text1"/>
          <w:sz w:val="16"/>
          <w:szCs w:val="16"/>
        </w:rPr>
        <w:t xml:space="preserve"> Эксперимент по преодолению танком опытного поля на полигоне Шиханы (Саратовская область), зараженного бромбензилцианидом (ББЦ). «</w:t>
      </w:r>
      <w:r w:rsidRPr="00E14102">
        <w:rPr>
          <w:iCs/>
          <w:color w:val="000000" w:themeColor="text1"/>
          <w:sz w:val="16"/>
          <w:szCs w:val="16"/>
        </w:rPr>
        <w:t xml:space="preserve">Для определения раздражающего действия ядовитой волны ББЦ </w:t>
      </w:r>
      <w:r w:rsidRPr="00E14102">
        <w:rPr>
          <w:bCs/>
          <w:iCs/>
          <w:color w:val="000000" w:themeColor="text1"/>
          <w:sz w:val="16"/>
          <w:szCs w:val="16"/>
        </w:rPr>
        <w:t>на людях</w:t>
      </w:r>
      <w:r w:rsidRPr="00E14102">
        <w:rPr>
          <w:iCs/>
          <w:color w:val="000000" w:themeColor="text1"/>
          <w:sz w:val="16"/>
          <w:szCs w:val="16"/>
        </w:rPr>
        <w:t>: а) Вне танка был выставлен подвижной пост биоконтроля в количестве 3-х бойцов,.. б) Внутри танка. Подопытные, незащищенные противогазом, водитель и командир машины, находились в машине танка,.. на расстоянии 500 м от подветренного края площадки</w:t>
      </w:r>
      <w:r w:rsidRPr="00E14102">
        <w:rPr>
          <w:color w:val="000000" w:themeColor="text1"/>
          <w:sz w:val="16"/>
          <w:szCs w:val="16"/>
        </w:rPr>
        <w:t>». Результаты: «</w:t>
      </w:r>
      <w:r w:rsidRPr="00E14102">
        <w:rPr>
          <w:iCs/>
          <w:color w:val="000000" w:themeColor="text1"/>
          <w:sz w:val="16"/>
          <w:szCs w:val="16"/>
        </w:rPr>
        <w:t xml:space="preserve">Вне танка — </w:t>
      </w:r>
      <w:r w:rsidRPr="00E14102">
        <w:rPr>
          <w:bCs/>
          <w:iCs/>
          <w:color w:val="000000" w:themeColor="text1"/>
          <w:sz w:val="16"/>
          <w:szCs w:val="16"/>
        </w:rPr>
        <w:t>подопытные лица</w:t>
      </w:r>
      <w:r w:rsidRPr="00E14102">
        <w:rPr>
          <w:iCs/>
          <w:color w:val="000000" w:themeColor="text1"/>
          <w:sz w:val="16"/>
          <w:szCs w:val="16"/>
        </w:rPr>
        <w:t>… получили слабое раздражение глаз на дистанции 630 метров.., среднее раздражение глаз на дистанции 270 метров и нетерпимое раздражение глаз на дистанции 200 метров. В танке. При движении танка со скоростью 10 км/час… находившиеся в танке водитель машины и командир т.т. Семов и Савинов включились в волну через 2 минуты… и получили раздражение глаз средней степени, а через 4 минуты… получили раздражение глаз сильной степени (нетерпимое) — машину вести не могли</w:t>
      </w:r>
      <w:r w:rsidRPr="00E14102">
        <w:rPr>
          <w:color w:val="000000" w:themeColor="text1"/>
          <w:sz w:val="16"/>
          <w:szCs w:val="16"/>
        </w:rPr>
        <w:t>» (17133).</w:t>
      </w:r>
    </w:p>
    <w:p w14:paraId="4FCF76B1" w14:textId="77777777" w:rsidR="00AD6AFA" w:rsidRPr="00E14102" w:rsidRDefault="00AD6AFA" w:rsidP="00E14102">
      <w:pPr>
        <w:shd w:val="clear" w:color="auto" w:fill="FFFFFF"/>
        <w:jc w:val="both"/>
        <w:rPr>
          <w:color w:val="000000" w:themeColor="text1"/>
          <w:sz w:val="16"/>
          <w:szCs w:val="16"/>
        </w:rPr>
      </w:pPr>
    </w:p>
    <w:p w14:paraId="65093F69" w14:textId="77777777" w:rsidR="00AD6AF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ED29A8E" w14:textId="77777777" w:rsidR="00AD6AFA" w:rsidRPr="00E14102" w:rsidRDefault="00AD6AFA" w:rsidP="00E14102">
      <w:pPr>
        <w:autoSpaceDE w:val="0"/>
        <w:autoSpaceDN w:val="0"/>
        <w:adjustRightInd w:val="0"/>
        <w:jc w:val="both"/>
        <w:rPr>
          <w:iCs/>
          <w:color w:val="000000" w:themeColor="text1"/>
          <w:sz w:val="16"/>
          <w:szCs w:val="16"/>
        </w:rPr>
      </w:pPr>
    </w:p>
    <w:p w14:paraId="607FF347" w14:textId="77777777" w:rsidR="00AD6AFA" w:rsidRPr="00E14102" w:rsidRDefault="00AD6AFA" w:rsidP="00E14102">
      <w:pPr>
        <w:jc w:val="both"/>
        <w:rPr>
          <w:color w:val="000000" w:themeColor="text1"/>
          <w:sz w:val="16"/>
          <w:szCs w:val="16"/>
        </w:rPr>
      </w:pPr>
      <w:r w:rsidRPr="00E14102">
        <w:rPr>
          <w:bCs/>
          <w:color w:val="000000" w:themeColor="text1"/>
          <w:sz w:val="16"/>
          <w:szCs w:val="16"/>
        </w:rPr>
        <w:t>3 июня</w:t>
      </w:r>
      <w:r w:rsidRPr="00E14102">
        <w:rPr>
          <w:color w:val="000000" w:themeColor="text1"/>
          <w:sz w:val="16"/>
          <w:szCs w:val="16"/>
        </w:rPr>
        <w:t xml:space="preserve"> 1935 году французский пассажирский самолёт </w:t>
      </w:r>
      <w:hyperlink r:id="rId120" w:tgtFrame="_blank" w:history="1">
        <w:r w:rsidRPr="00E14102">
          <w:rPr>
            <w:color w:val="000000" w:themeColor="text1"/>
            <w:sz w:val="16"/>
            <w:szCs w:val="16"/>
          </w:rPr>
          <w:t xml:space="preserve">«F.220-0» </w:t>
        </w:r>
      </w:hyperlink>
      <w:r w:rsidRPr="00E14102">
        <w:rPr>
          <w:color w:val="000000" w:themeColor="text1"/>
          <w:sz w:val="16"/>
          <w:szCs w:val="16"/>
        </w:rPr>
        <w:t>c собственным именем "Le Centaure" (регистрационный код F-ANLG) менее чем за 15 часов совершил перелет по маршруту Дакар-Натал. За следующие 13 месяцев экипажи «F.220» сделали 24 дальних полета, из них 16 - в первой четверти 1936 года (14911).</w:t>
      </w:r>
    </w:p>
    <w:p w14:paraId="27A4E5C1" w14:textId="77777777" w:rsidR="00AD6AFA" w:rsidRPr="00E14102" w:rsidRDefault="00AD6AFA" w:rsidP="00E14102">
      <w:pPr>
        <w:jc w:val="both"/>
        <w:rPr>
          <w:color w:val="000000" w:themeColor="text1"/>
          <w:sz w:val="16"/>
          <w:szCs w:val="16"/>
        </w:rPr>
      </w:pPr>
    </w:p>
    <w:p w14:paraId="7C0ED35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FCF5DBE" w14:textId="77777777" w:rsidR="00D4105E" w:rsidRPr="00E14102" w:rsidRDefault="00D4105E" w:rsidP="00E14102">
      <w:pPr>
        <w:autoSpaceDE w:val="0"/>
        <w:autoSpaceDN w:val="0"/>
        <w:adjustRightInd w:val="0"/>
        <w:jc w:val="both"/>
        <w:rPr>
          <w:iCs/>
          <w:color w:val="000000" w:themeColor="text1"/>
          <w:sz w:val="16"/>
          <w:szCs w:val="16"/>
        </w:rPr>
      </w:pPr>
    </w:p>
    <w:p w14:paraId="314C1C7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июня 1935 года вышел Приказ НИИ ВС № 0253 О гос. испытаниях самолета ДИ-6.</w:t>
      </w:r>
    </w:p>
    <w:p w14:paraId="4FECBD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ДИ-6 РЦ-3 с пулеметным вооружением и убирающимися в полете шасси, предъявленный заводом № 39.</w:t>
      </w:r>
    </w:p>
    <w:p w14:paraId="483EE5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проводить на Щелковском аэродроме и Ногинском полигоне.</w:t>
      </w:r>
    </w:p>
    <w:p w14:paraId="2FF7F08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Ведущий инженер-летчик – Федрови</w:t>
      </w:r>
    </w:p>
    <w:p w14:paraId="55D3B41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Ведущий летчик – Степанченок (6813, 55).</w:t>
      </w:r>
    </w:p>
    <w:p w14:paraId="35B023D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15C52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июня 1935 года вышел Приказ НИИ ВС № 0257 О проведении гос. испытаний опытного самолета У-3 и опытного мотора М48.</w:t>
      </w:r>
    </w:p>
    <w:p w14:paraId="0DC510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начать 4 июня 1935 года и закончить в 50 летных дней (6813, 70).</w:t>
      </w:r>
    </w:p>
    <w:p w14:paraId="5C26F0C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CF08B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июня 1935 вышло постановление СНК "О покрытии убытков завода 39 (в результате срочного внедрения в серию первых 50-ти самолетов И-16 и 30 самолетов И-15) В.М.М. (2161,138).</w:t>
      </w:r>
    </w:p>
    <w:p w14:paraId="13204789" w14:textId="77777777" w:rsidR="00D4105E" w:rsidRPr="00E14102" w:rsidRDefault="00D4105E" w:rsidP="00E14102">
      <w:pPr>
        <w:autoSpaceDE w:val="0"/>
        <w:autoSpaceDN w:val="0"/>
        <w:adjustRightInd w:val="0"/>
        <w:jc w:val="both"/>
        <w:rPr>
          <w:color w:val="000000" w:themeColor="text1"/>
          <w:sz w:val="16"/>
          <w:szCs w:val="16"/>
        </w:rPr>
      </w:pPr>
    </w:p>
    <w:p w14:paraId="5864FBD4" w14:textId="77777777" w:rsidR="007A6CAE" w:rsidRPr="00E14102" w:rsidRDefault="007A6CAE" w:rsidP="00E14102">
      <w:pPr>
        <w:pStyle w:val="rtejustify"/>
        <w:spacing w:before="0" w:after="0"/>
        <w:rPr>
          <w:color w:val="000000" w:themeColor="text1"/>
          <w:sz w:val="16"/>
          <w:szCs w:val="16"/>
        </w:rPr>
      </w:pPr>
      <w:r w:rsidRPr="00E14102">
        <w:rPr>
          <w:rStyle w:val="a6"/>
          <w:bCs/>
          <w:i w:val="0"/>
          <w:color w:val="000000" w:themeColor="text1"/>
          <w:sz w:val="16"/>
          <w:szCs w:val="16"/>
        </w:rPr>
        <w:t>4 июня</w:t>
      </w:r>
      <w:r w:rsidRPr="00E14102">
        <w:rPr>
          <w:color w:val="000000" w:themeColor="text1"/>
          <w:sz w:val="16"/>
          <w:szCs w:val="16"/>
        </w:rPr>
        <w:t xml:space="preserve"> 1935. Постановление СНК СССР № С</w:t>
      </w:r>
      <w:r w:rsidRPr="00E14102">
        <w:rPr>
          <w:color w:val="000000" w:themeColor="text1"/>
          <w:sz w:val="16"/>
          <w:szCs w:val="16"/>
        </w:rPr>
        <w:noBreakHyphen/>
        <w:t>28сс «О покрытии убытков завода № 39». (ГА РФ. Ф. Р</w:t>
      </w:r>
      <w:r w:rsidRPr="00E14102">
        <w:rPr>
          <w:color w:val="000000" w:themeColor="text1"/>
          <w:sz w:val="16"/>
          <w:szCs w:val="16"/>
        </w:rPr>
        <w:noBreakHyphen/>
        <w:t>8418. Оп. 28. Д. 17. Л. 63) (15460).</w:t>
      </w:r>
    </w:p>
    <w:p w14:paraId="351DE289" w14:textId="77777777" w:rsidR="007A6CAE" w:rsidRPr="00E14102" w:rsidRDefault="007A6CAE" w:rsidP="00E14102">
      <w:pPr>
        <w:pStyle w:val="rtejustify"/>
        <w:spacing w:before="0" w:after="0"/>
        <w:rPr>
          <w:color w:val="000000" w:themeColor="text1"/>
          <w:sz w:val="16"/>
          <w:szCs w:val="16"/>
        </w:rPr>
      </w:pPr>
    </w:p>
    <w:p w14:paraId="568878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июня 1935 года вышло постановление № С-28сс СНК</w:t>
      </w:r>
    </w:p>
    <w:p w14:paraId="4C8506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покрытии убытков завода № 39</w:t>
      </w:r>
    </w:p>
    <w:p w14:paraId="265CD0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СНК постановляет:</w:t>
      </w:r>
    </w:p>
    <w:p w14:paraId="51C4AD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Отпустить НКТП из резервного фонда СНК 3996000 рублей на погашение убытков завода № 39, понесенных в результате срочного внедрения в серию первых 50 самолетов И-16 и 30 самолетов И-15 (4170,1).</w:t>
      </w:r>
    </w:p>
    <w:p w14:paraId="013A7EEF" w14:textId="77777777" w:rsidR="00D4105E" w:rsidRPr="00E14102" w:rsidRDefault="00D4105E" w:rsidP="00E14102">
      <w:pPr>
        <w:autoSpaceDE w:val="0"/>
        <w:autoSpaceDN w:val="0"/>
        <w:adjustRightInd w:val="0"/>
        <w:jc w:val="both"/>
        <w:rPr>
          <w:color w:val="000000" w:themeColor="text1"/>
          <w:sz w:val="16"/>
          <w:szCs w:val="16"/>
        </w:rPr>
      </w:pPr>
    </w:p>
    <w:p w14:paraId="3C243D4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54F1426" w14:textId="77777777" w:rsidR="00D4105E" w:rsidRPr="00E14102" w:rsidRDefault="00D4105E" w:rsidP="00E14102">
      <w:pPr>
        <w:autoSpaceDE w:val="0"/>
        <w:autoSpaceDN w:val="0"/>
        <w:adjustRightInd w:val="0"/>
        <w:jc w:val="both"/>
        <w:rPr>
          <w:iCs/>
          <w:color w:val="000000" w:themeColor="text1"/>
          <w:sz w:val="16"/>
          <w:szCs w:val="16"/>
        </w:rPr>
      </w:pPr>
    </w:p>
    <w:p w14:paraId="55C4CED2" w14:textId="77777777" w:rsidR="007A6CAE" w:rsidRPr="00E14102" w:rsidRDefault="007A6CAE" w:rsidP="00E14102">
      <w:pPr>
        <w:jc w:val="both"/>
        <w:rPr>
          <w:bCs/>
          <w:color w:val="000000" w:themeColor="text1"/>
          <w:sz w:val="16"/>
          <w:szCs w:val="16"/>
        </w:rPr>
      </w:pPr>
      <w:r w:rsidRPr="00E14102">
        <w:rPr>
          <w:bCs/>
          <w:color w:val="000000" w:themeColor="text1"/>
          <w:sz w:val="16"/>
          <w:szCs w:val="16"/>
        </w:rPr>
        <w:t>4 июня</w:t>
      </w:r>
      <w:r w:rsidRPr="00E14102">
        <w:rPr>
          <w:color w:val="000000" w:themeColor="text1"/>
          <w:sz w:val="16"/>
          <w:szCs w:val="16"/>
        </w:rPr>
        <w:t xml:space="preserve"> в 1935 году состоялся первый полет прототипа «K3585» английского среднего бомбардировщика-транспортника </w:t>
      </w:r>
      <w:hyperlink r:id="rId121" w:tgtFrame="_blank" w:history="1">
        <w:r w:rsidRPr="00E14102">
          <w:rPr>
            <w:color w:val="000000" w:themeColor="text1"/>
            <w:sz w:val="16"/>
            <w:szCs w:val="16"/>
          </w:rPr>
          <w:t xml:space="preserve">«AW.23», </w:t>
        </w:r>
      </w:hyperlink>
      <w:r w:rsidRPr="00E14102">
        <w:rPr>
          <w:color w:val="000000" w:themeColor="text1"/>
          <w:sz w:val="16"/>
          <w:szCs w:val="16"/>
        </w:rPr>
        <w:t>разработанного английской фирмой «Sir W.G. Armstrong Whitworth Aircraft Ltd». Первый полет совершил шеф-пилот фирмы Кэмпбелл-Оурд. Вследствие ненадежности двигателей «Iger VI» самолет был отвергнут военными и на вооружение «A.W.23» так и не приняли. В серию пошли "Хэйдли-Пейдж" «Н.Р.51» (названный "Хэрроу") и "Бристоль 130" ("Бомбей"). Самолет остался на заводе «Armstrong Whitworth Aircraft Ltd». На его базе Джон Ллойд разработал проект более совершенного бомбардировщика – «AW.38» «Whitley» c двигателями «Siddeley» «Tiger IX» (920 л.с.)</w:t>
      </w:r>
    </w:p>
    <w:p w14:paraId="7A3F2008" w14:textId="77777777" w:rsidR="007A6CAE" w:rsidRPr="00E14102" w:rsidRDefault="007A6CAE" w:rsidP="00E14102">
      <w:pPr>
        <w:jc w:val="both"/>
        <w:rPr>
          <w:bCs/>
          <w:color w:val="000000" w:themeColor="text1"/>
          <w:sz w:val="16"/>
          <w:szCs w:val="16"/>
        </w:rPr>
      </w:pPr>
    </w:p>
    <w:p w14:paraId="21704E27" w14:textId="77777777" w:rsidR="00571369" w:rsidRPr="00E14102" w:rsidRDefault="00571369" w:rsidP="00E14102">
      <w:pPr>
        <w:jc w:val="both"/>
        <w:rPr>
          <w:color w:val="0070C0"/>
          <w:sz w:val="16"/>
          <w:szCs w:val="16"/>
        </w:rPr>
      </w:pPr>
      <w:r w:rsidRPr="00E14102">
        <w:rPr>
          <w:color w:val="0070C0"/>
          <w:sz w:val="16"/>
          <w:szCs w:val="16"/>
        </w:rPr>
        <w:t>4 июня 1935 состоялся первый полет Армстронг Уитворт AW.23 K3585  (20800).</w:t>
      </w:r>
    </w:p>
    <w:p w14:paraId="6C72E098" w14:textId="77777777" w:rsidR="00571369" w:rsidRPr="00E14102" w:rsidRDefault="00571369" w:rsidP="00E14102">
      <w:pPr>
        <w:jc w:val="both"/>
        <w:rPr>
          <w:color w:val="0070C0"/>
          <w:sz w:val="16"/>
          <w:szCs w:val="16"/>
        </w:rPr>
      </w:pPr>
    </w:p>
    <w:p w14:paraId="0E1F0A6D" w14:textId="77777777" w:rsidR="00571369" w:rsidRPr="00E14102" w:rsidRDefault="00571369" w:rsidP="00E14102">
      <w:pPr>
        <w:jc w:val="both"/>
        <w:rPr>
          <w:color w:val="0070C0"/>
          <w:sz w:val="16"/>
          <w:szCs w:val="16"/>
        </w:rPr>
      </w:pPr>
      <w:r w:rsidRPr="00E14102">
        <w:rPr>
          <w:color w:val="0070C0"/>
          <w:sz w:val="16"/>
          <w:szCs w:val="16"/>
        </w:rPr>
        <w:t>4 июня 1935 года — первый полёт бомбардировщика/транспортника Armstrong Whitworth A.W.23. /Великобритания/</w:t>
      </w:r>
    </w:p>
    <w:p w14:paraId="57DFBDF4" w14:textId="77777777" w:rsidR="00571369" w:rsidRPr="00E14102" w:rsidRDefault="00571369" w:rsidP="00E14102">
      <w:pPr>
        <w:jc w:val="both"/>
        <w:rPr>
          <w:color w:val="0070C0"/>
          <w:sz w:val="16"/>
          <w:szCs w:val="16"/>
        </w:rPr>
      </w:pPr>
      <w:r w:rsidRPr="00E14102">
        <w:rPr>
          <w:color w:val="0070C0"/>
          <w:sz w:val="16"/>
          <w:szCs w:val="16"/>
        </w:rPr>
        <w:t>Опубликованная в 1931 году спецификация C.26/31 британского авиационного министерства описывала требования к самолёту двойного назначения — бомбардировщику и транспортнику. Проекты на конкурс представили 4 компании. Среди них была и Armstrong Whitworth Aircraft со своим A.W.23.</w:t>
      </w:r>
    </w:p>
    <w:p w14:paraId="3D8728FC" w14:textId="77777777" w:rsidR="00571369" w:rsidRPr="00E14102" w:rsidRDefault="00571369" w:rsidP="00E14102">
      <w:pPr>
        <w:jc w:val="both"/>
        <w:rPr>
          <w:color w:val="0070C0"/>
          <w:sz w:val="16"/>
          <w:szCs w:val="16"/>
        </w:rPr>
      </w:pPr>
      <w:r w:rsidRPr="00E14102">
        <w:rPr>
          <w:color w:val="0070C0"/>
          <w:sz w:val="16"/>
          <w:szCs w:val="16"/>
        </w:rPr>
        <w:t>A.W.23 представлял собой цельнометаллический низкоплан с убирающимся шасси (впервые на самолётах Armstrong Whitworth). Устанавливались 2 × двигателя Armstrong Siddeley Tiger VI (810 л.с.) Максимальная скорость — 261 км/ч, дальность полёта — 1270 км. Планируемое вооружение — 2 × 7,7-мм пулемёта Lewis + до 907 кг бомб.</w:t>
      </w:r>
    </w:p>
    <w:p w14:paraId="053C223E" w14:textId="77777777" w:rsidR="00571369" w:rsidRPr="00E14102" w:rsidRDefault="00571369" w:rsidP="00E14102">
      <w:pPr>
        <w:jc w:val="both"/>
        <w:rPr>
          <w:color w:val="0070C0"/>
          <w:sz w:val="16"/>
          <w:szCs w:val="16"/>
        </w:rPr>
      </w:pPr>
      <w:r w:rsidRPr="00E14102">
        <w:rPr>
          <w:color w:val="0070C0"/>
          <w:sz w:val="16"/>
          <w:szCs w:val="16"/>
        </w:rPr>
        <w:t>Испытания показали ненадёжность двигателей, поэтому победителем конкурса стал Bristol Bombay. А единственный построенный A.W.23 использовался для экспериментов по заправке в воздухе и стал основой для более совершенного бомбардировщика AW.38 Whitley (22300).</w:t>
      </w:r>
    </w:p>
    <w:p w14:paraId="6EFA5E11" w14:textId="77777777" w:rsidR="00571369" w:rsidRPr="00E14102" w:rsidRDefault="00571369" w:rsidP="00E14102">
      <w:pPr>
        <w:jc w:val="both"/>
        <w:rPr>
          <w:color w:val="0070C0"/>
          <w:sz w:val="16"/>
          <w:szCs w:val="16"/>
        </w:rPr>
      </w:pPr>
    </w:p>
    <w:p w14:paraId="15F79F33" w14:textId="77777777" w:rsidR="00571369" w:rsidRPr="00E14102" w:rsidRDefault="00571369" w:rsidP="00E14102">
      <w:pPr>
        <w:jc w:val="both"/>
        <w:rPr>
          <w:color w:val="0070C0"/>
          <w:sz w:val="16"/>
          <w:szCs w:val="16"/>
        </w:rPr>
      </w:pPr>
      <w:r w:rsidRPr="00E14102">
        <w:rPr>
          <w:color w:val="0070C0"/>
          <w:sz w:val="16"/>
          <w:szCs w:val="16"/>
        </w:rPr>
        <w:t>4 июня 1935 - Состоялся первый полет прототипа K3585 английского среднего бомбардировщика-транспортника AW.23, разработанного английской фирмой Sir W.G. Armstrong Whitworth Aircraft Ltd. Первый полет совершил шеф-пилот фирмы Кэмпбелл-Оурд. Вследствие ненадежности двигателей Iger VI самолет был отвергнут военными и на вооружение A.W.23 так и не приняли. В серию пошли "Хэйдли-Пейдж" Н.Р.51 (названный "Хэрроу") и "Бристоль 130" ("Бомбей"). Самолет остался на заводе Armstrong Whitworth Aircraft Ltd. На его базе Джон Ллойд разработал проект более совершенного бомбардировщика - AW.38 Whitley c двигателями Siddeley Tiger IX (920 л.с.) (22471).</w:t>
      </w:r>
    </w:p>
    <w:p w14:paraId="57A32617" w14:textId="77777777" w:rsidR="00571369" w:rsidRPr="00E14102" w:rsidRDefault="00571369" w:rsidP="00E14102">
      <w:pPr>
        <w:jc w:val="both"/>
        <w:rPr>
          <w:color w:val="0070C0"/>
          <w:sz w:val="16"/>
          <w:szCs w:val="16"/>
        </w:rPr>
      </w:pPr>
    </w:p>
    <w:p w14:paraId="62BCD9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июня 1935 П.Лаваль во Франции сформировал правительство (3907,191).</w:t>
      </w:r>
    </w:p>
    <w:p w14:paraId="01F5BFBF" w14:textId="77777777" w:rsidR="00D4105E" w:rsidRPr="00E14102" w:rsidRDefault="00D4105E" w:rsidP="00E14102">
      <w:pPr>
        <w:autoSpaceDE w:val="0"/>
        <w:autoSpaceDN w:val="0"/>
        <w:adjustRightInd w:val="0"/>
        <w:jc w:val="both"/>
        <w:rPr>
          <w:color w:val="000000" w:themeColor="text1"/>
          <w:sz w:val="16"/>
          <w:szCs w:val="16"/>
        </w:rPr>
      </w:pPr>
    </w:p>
    <w:p w14:paraId="4BC9B61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июня 1935 Герберт Гувер (бывший президент США) обвинил президента Франклина Рузвельта в установлении в Америки европейской формы правления (4962).</w:t>
      </w:r>
    </w:p>
    <w:p w14:paraId="145B509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E2ED512" w14:textId="77777777" w:rsidR="007A6CAE" w:rsidRPr="00E14102" w:rsidRDefault="007A6CAE" w:rsidP="00E14102">
      <w:pPr>
        <w:jc w:val="both"/>
        <w:rPr>
          <w:color w:val="000000" w:themeColor="text1"/>
          <w:sz w:val="16"/>
          <w:szCs w:val="16"/>
        </w:rPr>
      </w:pPr>
      <w:r w:rsidRPr="00E14102">
        <w:rPr>
          <w:bCs/>
          <w:color w:val="000000" w:themeColor="text1"/>
          <w:sz w:val="16"/>
          <w:szCs w:val="16"/>
        </w:rPr>
        <w:t>4 июня</w:t>
      </w:r>
      <w:r w:rsidRPr="00E14102">
        <w:rPr>
          <w:color w:val="000000" w:themeColor="text1"/>
          <w:sz w:val="16"/>
          <w:szCs w:val="16"/>
        </w:rPr>
        <w:t xml:space="preserve"> в 1935 году американский биохимик, будущий лауреат Нобелевской премии Эдуард Келвин Кендалл выделил в чистом виде стероидный гормон кортизон из коры надпочечников (14912).</w:t>
      </w:r>
    </w:p>
    <w:p w14:paraId="35B0D9D3" w14:textId="77777777" w:rsidR="007A6CAE" w:rsidRPr="00E14102" w:rsidRDefault="007A6CAE" w:rsidP="00E14102">
      <w:pPr>
        <w:jc w:val="both"/>
        <w:rPr>
          <w:color w:val="000000" w:themeColor="text1"/>
          <w:sz w:val="16"/>
          <w:szCs w:val="16"/>
        </w:rPr>
      </w:pPr>
    </w:p>
    <w:p w14:paraId="5CA135A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F949592" w14:textId="77777777" w:rsidR="00D4105E" w:rsidRPr="00E14102" w:rsidRDefault="00D4105E" w:rsidP="00E14102">
      <w:pPr>
        <w:autoSpaceDE w:val="0"/>
        <w:autoSpaceDN w:val="0"/>
        <w:adjustRightInd w:val="0"/>
        <w:jc w:val="both"/>
        <w:rPr>
          <w:iCs/>
          <w:color w:val="000000" w:themeColor="text1"/>
          <w:sz w:val="16"/>
          <w:szCs w:val="16"/>
        </w:rPr>
      </w:pPr>
    </w:p>
    <w:p w14:paraId="723AE1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июня 1935 в ходе проводимых на заводе 22 испытаний М-34Р NN 301358, 301758, 3012, 13974 с экранированным зажиганием, установленных на ТБ-3 N 22621, которые шли с 3 июня 1935, был произведен контрольный полет на 2000 м для проверки связи по рации с землей (2947).</w:t>
      </w:r>
    </w:p>
    <w:p w14:paraId="57EC8E95" w14:textId="77777777" w:rsidR="00D4105E" w:rsidRPr="00E14102" w:rsidRDefault="00D4105E" w:rsidP="00E14102">
      <w:pPr>
        <w:autoSpaceDE w:val="0"/>
        <w:autoSpaceDN w:val="0"/>
        <w:adjustRightInd w:val="0"/>
        <w:jc w:val="both"/>
        <w:rPr>
          <w:color w:val="000000" w:themeColor="text1"/>
          <w:sz w:val="16"/>
          <w:szCs w:val="16"/>
        </w:rPr>
      </w:pPr>
    </w:p>
    <w:p w14:paraId="2926BD6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 июня 1935 года вышел Приказ НИИ ВС № 0258 Об испытаниях самолета И-5 на перевернутый штопор.</w:t>
      </w:r>
    </w:p>
    <w:p w14:paraId="4E3BDE2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7 июня в ЛИСе 1 Отдела произвести полетные испытания самолета И-5 на перевернутый штопор (6813, 78).</w:t>
      </w:r>
    </w:p>
    <w:p w14:paraId="69C61C3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0353D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июня 1935 г. в Евпатории в присутствии наркомвоенмора и под председательством начальника вооружений РККА М.Н.Тухачевского состоялись официальные испытания первого 132-мм ракетного осветительного парашютного снаряда, который был раз</w:t>
      </w:r>
      <w:r w:rsidRPr="00E14102">
        <w:rPr>
          <w:color w:val="000000" w:themeColor="text1"/>
          <w:sz w:val="16"/>
          <w:szCs w:val="16"/>
        </w:rPr>
        <w:softHyphen/>
        <w:t>работан по заказу УВМС РККА. По всей видимости, это были комбинированные снаряды «РС-132-0 и А» модели 140500 осветительного и агитационного действия. Агитационный и осветительный варианты снаряда отличала лишь оснастка внутри БЧ, предназначенная для размещения либо четырех осветительных факелов с парашютами, либо двух рулонов с листовками. Еще до полигонных испытаний постановлением Научно-технического журнала №035 ГАУ РККА по НТО УПВС от 15 января 1935 г. для производства опытно-валовой партии снарядам присвоили номер модели 2-01305 (11402).</w:t>
      </w:r>
    </w:p>
    <w:p w14:paraId="45890BB2" w14:textId="77777777" w:rsidR="00D4105E" w:rsidRPr="00E14102" w:rsidRDefault="00D4105E" w:rsidP="00E14102">
      <w:pPr>
        <w:autoSpaceDE w:val="0"/>
        <w:autoSpaceDN w:val="0"/>
        <w:adjustRightInd w:val="0"/>
        <w:jc w:val="both"/>
        <w:rPr>
          <w:iCs/>
          <w:color w:val="000000" w:themeColor="text1"/>
          <w:sz w:val="16"/>
          <w:szCs w:val="16"/>
        </w:rPr>
      </w:pPr>
    </w:p>
    <w:p w14:paraId="359281E8" w14:textId="77777777" w:rsidR="0051135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08E7DBE" w14:textId="77777777" w:rsidR="0051135A" w:rsidRPr="00E14102" w:rsidRDefault="0051135A" w:rsidP="00E14102">
      <w:pPr>
        <w:autoSpaceDE w:val="0"/>
        <w:autoSpaceDN w:val="0"/>
        <w:adjustRightInd w:val="0"/>
        <w:jc w:val="both"/>
        <w:rPr>
          <w:iCs/>
          <w:color w:val="000000" w:themeColor="text1"/>
          <w:sz w:val="16"/>
          <w:szCs w:val="16"/>
        </w:rPr>
      </w:pPr>
    </w:p>
    <w:p w14:paraId="057AC169" w14:textId="77777777" w:rsidR="0051135A" w:rsidRPr="00E14102" w:rsidRDefault="0051135A" w:rsidP="00E14102">
      <w:pPr>
        <w:pStyle w:val="rtejustify"/>
        <w:spacing w:before="0" w:after="0"/>
        <w:rPr>
          <w:color w:val="000000" w:themeColor="text1"/>
          <w:sz w:val="16"/>
          <w:szCs w:val="16"/>
        </w:rPr>
      </w:pPr>
      <w:r w:rsidRPr="00E14102">
        <w:rPr>
          <w:rStyle w:val="a6"/>
          <w:bCs/>
          <w:i w:val="0"/>
          <w:color w:val="000000" w:themeColor="text1"/>
          <w:sz w:val="16"/>
          <w:szCs w:val="16"/>
        </w:rPr>
        <w:t>5 июня 1935 вышел приказ НКО №</w:t>
      </w:r>
      <w:r w:rsidRPr="00E14102">
        <w:rPr>
          <w:color w:val="000000" w:themeColor="text1"/>
          <w:sz w:val="16"/>
          <w:szCs w:val="16"/>
        </w:rPr>
        <w:t> 090. О присвоении закладываемому в Ленинграде экспериментальному эсминцу имени Серго Орджоникидзе (15247).</w:t>
      </w:r>
    </w:p>
    <w:p w14:paraId="515A9563" w14:textId="77777777" w:rsidR="0051135A" w:rsidRPr="00E14102" w:rsidRDefault="0051135A" w:rsidP="00E14102">
      <w:pPr>
        <w:pStyle w:val="rtejustify"/>
        <w:spacing w:before="0" w:after="0"/>
        <w:rPr>
          <w:color w:val="000000" w:themeColor="text1"/>
          <w:sz w:val="16"/>
          <w:szCs w:val="16"/>
        </w:rPr>
      </w:pPr>
    </w:p>
    <w:p w14:paraId="1B21D24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7B8DBDEB" w14:textId="77777777" w:rsidR="00D4105E" w:rsidRPr="00E14102" w:rsidRDefault="00D4105E" w:rsidP="00E14102">
      <w:pPr>
        <w:autoSpaceDE w:val="0"/>
        <w:autoSpaceDN w:val="0"/>
        <w:adjustRightInd w:val="0"/>
        <w:jc w:val="both"/>
        <w:rPr>
          <w:iCs/>
          <w:color w:val="000000" w:themeColor="text1"/>
          <w:sz w:val="16"/>
          <w:szCs w:val="16"/>
        </w:rPr>
      </w:pPr>
    </w:p>
    <w:p w14:paraId="07BBDA6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 июня 1935 бывший секретарь ЦИК и соратник Сталина А. Енукидзе исключен из партии (4962).</w:t>
      </w:r>
    </w:p>
    <w:p w14:paraId="4CB783C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7465C21" w14:textId="77777777" w:rsidR="0051135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1492FBD" w14:textId="77777777" w:rsidR="0051135A" w:rsidRPr="00E14102" w:rsidRDefault="0051135A" w:rsidP="00E14102">
      <w:pPr>
        <w:autoSpaceDE w:val="0"/>
        <w:autoSpaceDN w:val="0"/>
        <w:adjustRightInd w:val="0"/>
        <w:jc w:val="both"/>
        <w:rPr>
          <w:iCs/>
          <w:color w:val="000000" w:themeColor="text1"/>
          <w:sz w:val="16"/>
          <w:szCs w:val="16"/>
        </w:rPr>
      </w:pPr>
    </w:p>
    <w:p w14:paraId="0FB91FA8" w14:textId="77777777" w:rsidR="0051135A" w:rsidRPr="00E14102" w:rsidRDefault="0051135A" w:rsidP="00E14102">
      <w:pPr>
        <w:jc w:val="both"/>
        <w:rPr>
          <w:color w:val="000000" w:themeColor="text1"/>
          <w:sz w:val="16"/>
          <w:szCs w:val="16"/>
        </w:rPr>
      </w:pPr>
      <w:r w:rsidRPr="00E14102">
        <w:rPr>
          <w:bCs/>
          <w:color w:val="000000" w:themeColor="text1"/>
          <w:sz w:val="16"/>
          <w:szCs w:val="16"/>
        </w:rPr>
        <w:t>5 июня</w:t>
      </w:r>
      <w:r w:rsidRPr="00E14102">
        <w:rPr>
          <w:color w:val="000000" w:themeColor="text1"/>
          <w:sz w:val="16"/>
          <w:szCs w:val="16"/>
        </w:rPr>
        <w:t xml:space="preserve"> в 1935 году завершился дальний перелет норвежского гидросмолета-разведчика </w:t>
      </w:r>
      <w:hyperlink r:id="rId122" w:tgtFrame="_blank" w:history="1">
        <w:r w:rsidRPr="00E14102">
          <w:rPr>
            <w:color w:val="000000" w:themeColor="text1"/>
            <w:sz w:val="16"/>
            <w:szCs w:val="16"/>
          </w:rPr>
          <w:t xml:space="preserve">«MF.11» </w:t>
        </w:r>
      </w:hyperlink>
      <w:r w:rsidRPr="00E14102">
        <w:rPr>
          <w:color w:val="000000" w:themeColor="text1"/>
          <w:sz w:val="16"/>
          <w:szCs w:val="16"/>
        </w:rPr>
        <w:t>(«Hover» «MF-11» или «Horten» «MF-11») из Хортена на Шпицберген и обратно, дальность которого составила 4600 км</w:t>
      </w:r>
    </w:p>
    <w:p w14:paraId="4C003A23" w14:textId="77777777" w:rsidR="0051135A" w:rsidRPr="00E14102" w:rsidRDefault="0051135A" w:rsidP="00E14102">
      <w:pPr>
        <w:jc w:val="both"/>
        <w:rPr>
          <w:color w:val="000000" w:themeColor="text1"/>
          <w:sz w:val="16"/>
          <w:szCs w:val="16"/>
        </w:rPr>
      </w:pPr>
    </w:p>
    <w:p w14:paraId="3FC31CD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B3652ED" w14:textId="77777777" w:rsidR="00D4105E" w:rsidRPr="00E14102" w:rsidRDefault="00D4105E" w:rsidP="00E14102">
      <w:pPr>
        <w:autoSpaceDE w:val="0"/>
        <w:autoSpaceDN w:val="0"/>
        <w:adjustRightInd w:val="0"/>
        <w:jc w:val="both"/>
        <w:rPr>
          <w:iCs/>
          <w:color w:val="000000" w:themeColor="text1"/>
          <w:sz w:val="16"/>
          <w:szCs w:val="16"/>
        </w:rPr>
      </w:pPr>
    </w:p>
    <w:p w14:paraId="2E181A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6 июня по 1 июля 1935 проходили гос. испытания АНТ-27бис в варианте МДР-4 м МТБ-1 с М-34Р (2072,75).</w:t>
      </w:r>
    </w:p>
    <w:p w14:paraId="6DB8AB44" w14:textId="77777777" w:rsidR="00D4105E" w:rsidRPr="00E14102" w:rsidRDefault="00D4105E" w:rsidP="00E14102">
      <w:pPr>
        <w:autoSpaceDE w:val="0"/>
        <w:autoSpaceDN w:val="0"/>
        <w:adjustRightInd w:val="0"/>
        <w:jc w:val="both"/>
        <w:rPr>
          <w:color w:val="000000" w:themeColor="text1"/>
          <w:sz w:val="16"/>
          <w:szCs w:val="16"/>
        </w:rPr>
      </w:pPr>
    </w:p>
    <w:p w14:paraId="608F3A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июня 1935 установили рекорд ночного высотного прыжка и Н.Лисичкин спрыгнул с 5500 м (271,152).</w:t>
      </w:r>
    </w:p>
    <w:p w14:paraId="71B4CE96" w14:textId="77777777" w:rsidR="00D4105E" w:rsidRPr="00E14102" w:rsidRDefault="00D4105E" w:rsidP="00E14102">
      <w:pPr>
        <w:autoSpaceDE w:val="0"/>
        <w:autoSpaceDN w:val="0"/>
        <w:adjustRightInd w:val="0"/>
        <w:jc w:val="both"/>
        <w:rPr>
          <w:color w:val="000000" w:themeColor="text1"/>
          <w:sz w:val="16"/>
          <w:szCs w:val="16"/>
        </w:rPr>
      </w:pPr>
    </w:p>
    <w:p w14:paraId="406633D9" w14:textId="77777777" w:rsidR="0051135A" w:rsidRPr="00E14102" w:rsidRDefault="0051135A" w:rsidP="00E14102">
      <w:pPr>
        <w:jc w:val="both"/>
        <w:rPr>
          <w:color w:val="000000" w:themeColor="text1"/>
          <w:sz w:val="16"/>
          <w:szCs w:val="16"/>
        </w:rPr>
      </w:pPr>
      <w:r w:rsidRPr="00E14102">
        <w:rPr>
          <w:bCs/>
          <w:color w:val="000000" w:themeColor="text1"/>
          <w:sz w:val="16"/>
          <w:szCs w:val="16"/>
        </w:rPr>
        <w:t>6 июня</w:t>
      </w:r>
      <w:r w:rsidRPr="00E14102">
        <w:rPr>
          <w:color w:val="000000" w:themeColor="text1"/>
          <w:sz w:val="16"/>
          <w:szCs w:val="16"/>
        </w:rPr>
        <w:t xml:space="preserve"> в 1935 году первый в СССР мировой рекорд ночного высотного парашютного прыжка с высоты 5500 м, М.Лисичкин (14914).</w:t>
      </w:r>
    </w:p>
    <w:p w14:paraId="2BDFE047" w14:textId="77777777" w:rsidR="0051135A" w:rsidRPr="00E14102" w:rsidRDefault="0051135A" w:rsidP="00E14102">
      <w:pPr>
        <w:jc w:val="both"/>
        <w:rPr>
          <w:color w:val="000000" w:themeColor="text1"/>
          <w:sz w:val="16"/>
          <w:szCs w:val="16"/>
        </w:rPr>
      </w:pPr>
    </w:p>
    <w:p w14:paraId="46ABD27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8B614CB" w14:textId="77777777" w:rsidR="00D4105E" w:rsidRPr="00E14102" w:rsidRDefault="00D4105E" w:rsidP="00E14102">
      <w:pPr>
        <w:autoSpaceDE w:val="0"/>
        <w:autoSpaceDN w:val="0"/>
        <w:adjustRightInd w:val="0"/>
        <w:jc w:val="both"/>
        <w:rPr>
          <w:iCs/>
          <w:color w:val="000000" w:themeColor="text1"/>
          <w:sz w:val="16"/>
          <w:szCs w:val="16"/>
        </w:rPr>
      </w:pPr>
    </w:p>
    <w:p w14:paraId="0C4889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июня 1935 ХАИ-6 (СФР) собрали в новом корпусе ЦОМ ХАИ и перевезли на аэродром 135 завода в Сокольниках. С.Я.Жолтовский поехал в Москву в ГУАП за летчиком и ему предложили С.А.Леваневского, но он выбрал известного ХАИ Б.Н.Кудрина (1166,28).</w:t>
      </w:r>
    </w:p>
    <w:p w14:paraId="55CA718D" w14:textId="77777777" w:rsidR="00D4105E" w:rsidRPr="00E14102" w:rsidRDefault="00D4105E" w:rsidP="00E14102">
      <w:pPr>
        <w:autoSpaceDE w:val="0"/>
        <w:autoSpaceDN w:val="0"/>
        <w:adjustRightInd w:val="0"/>
        <w:jc w:val="both"/>
        <w:rPr>
          <w:color w:val="000000" w:themeColor="text1"/>
          <w:sz w:val="16"/>
          <w:szCs w:val="16"/>
        </w:rPr>
      </w:pPr>
    </w:p>
    <w:p w14:paraId="527313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начале июня 1935 л В.И.Чулков и И.И.Нусберг летали на АНТ-14 в Иваново (8863,8).</w:t>
      </w:r>
    </w:p>
    <w:p w14:paraId="23D22AEC" w14:textId="77777777" w:rsidR="00D4105E" w:rsidRPr="00E14102" w:rsidRDefault="00D4105E" w:rsidP="00E14102">
      <w:pPr>
        <w:autoSpaceDE w:val="0"/>
        <w:autoSpaceDN w:val="0"/>
        <w:adjustRightInd w:val="0"/>
        <w:jc w:val="both"/>
        <w:rPr>
          <w:color w:val="000000" w:themeColor="text1"/>
          <w:sz w:val="16"/>
          <w:szCs w:val="16"/>
        </w:rPr>
      </w:pPr>
    </w:p>
    <w:p w14:paraId="50C576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началу июня 1935 г. мотор АД-1 УНИАДИ наработал 19 ч и показал мощность 427 л.с. при 1200...1300 об/мин, что соответствовало расчетам. Работы пришлось свернуть после изготовления трех экземпляров АД-1, когда стало очевидно, что задача создания авиадизеля большой мощности решена более опытным ЦИАМом, который начал летные испытания мотора АН-1 ("авиационный нефтяной") (9021).</w:t>
      </w:r>
    </w:p>
    <w:p w14:paraId="424EB427" w14:textId="77777777" w:rsidR="00D4105E" w:rsidRPr="00E14102" w:rsidRDefault="00D4105E" w:rsidP="00E14102">
      <w:pPr>
        <w:autoSpaceDE w:val="0"/>
        <w:autoSpaceDN w:val="0"/>
        <w:adjustRightInd w:val="0"/>
        <w:jc w:val="both"/>
        <w:rPr>
          <w:color w:val="000000" w:themeColor="text1"/>
          <w:sz w:val="16"/>
          <w:szCs w:val="16"/>
        </w:rPr>
      </w:pPr>
    </w:p>
    <w:p w14:paraId="6062176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E29B9F1" w14:textId="77777777" w:rsidR="00D4105E" w:rsidRPr="00E14102" w:rsidRDefault="00D4105E" w:rsidP="00E14102">
      <w:pPr>
        <w:autoSpaceDE w:val="0"/>
        <w:autoSpaceDN w:val="0"/>
        <w:adjustRightInd w:val="0"/>
        <w:jc w:val="both"/>
        <w:rPr>
          <w:iCs/>
          <w:color w:val="000000" w:themeColor="text1"/>
          <w:sz w:val="16"/>
          <w:szCs w:val="16"/>
        </w:rPr>
      </w:pPr>
    </w:p>
    <w:p w14:paraId="11CF2A5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 июня 1935 года Командир и комиссар Монинской авиабригады Тантлевский поднял вопрос об обследовании самолета ТБ3-4М34 № 22210 находящегося в части 1051, т.к. он:</w:t>
      </w:r>
    </w:p>
    <w:p w14:paraId="53992D7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При взлете имеет большой разбег.</w:t>
      </w:r>
    </w:p>
    <w:p w14:paraId="3673105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Очень плохо набирает высоту.</w:t>
      </w:r>
    </w:p>
    <w:p w14:paraId="7746C41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Планирует при скорости 155-160 км/час. При снижении скорости до 140 км/час парашютирует.</w:t>
      </w:r>
    </w:p>
    <w:p w14:paraId="70DD115F"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При выравнивании на посадку резко теряет скорость, имея большое вертикальное снижение.</w:t>
      </w:r>
    </w:p>
    <w:p w14:paraId="6BF06F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Провели соответствующие испытания и пришли к выводу, что причиной ненормального поведения испытанного самолета в Монинской бригаде надо отнести целиком за счет неудовлетворительной техники пилотирования летчиков давших о качестве самолета плохие заключения, что и подтверждается результатами испытания и отзывами всех четырех летчиков ЛИС 1-го отдела облетывавшими самолет. Самолет подлежит дальнейшей нормальной эксплуатации (6678).</w:t>
      </w:r>
    </w:p>
    <w:p w14:paraId="01E359E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9FD50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7-9 июня 1935 года в НИИ ВВС прошли испытания на перевернутый штопор самолета И-5</w:t>
      </w:r>
    </w:p>
    <w:p w14:paraId="560B1C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0352A1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Исследование перевернутого штопора на самолете И-5 для выработки указаний строевым частям по выполнению перевернутых штопоров в связи с имевшимися случаями в строевых частях не выхода самолета И-5 из такого штопора.</w:t>
      </w:r>
    </w:p>
    <w:p w14:paraId="14144C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9C94BC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Выход самолета И-5 из перевернутого штопора обеспечивается при нормальном вводе (нога до отказа, ручка вперед и в сторону обратную ноге) и нормальном выводе (обратная нога, ручка на себя и положение немного за нейтральное). При выполнении или выводе из перевернутого штопора, самолет переходит в опасный режим из которого при испытаниях не вышел.</w:t>
      </w:r>
    </w:p>
    <w:p w14:paraId="6A6C4B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8930"/>
      </w:tblGrid>
      <w:tr w:rsidR="00E3599D" w:rsidRPr="00E14102" w14:paraId="28BE89CE" w14:textId="77777777">
        <w:tc>
          <w:tcPr>
            <w:tcW w:w="1668" w:type="dxa"/>
            <w:tcBorders>
              <w:top w:val="single" w:sz="12" w:space="0" w:color="auto"/>
            </w:tcBorders>
          </w:tcPr>
          <w:p w14:paraId="5797BC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июня 1935 года</w:t>
            </w:r>
          </w:p>
        </w:tc>
        <w:tc>
          <w:tcPr>
            <w:tcW w:w="8930" w:type="dxa"/>
            <w:tcBorders>
              <w:top w:val="single" w:sz="12" w:space="0" w:color="auto"/>
            </w:tcBorders>
          </w:tcPr>
          <w:p w14:paraId="732BCF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Тренировочные полеты в нормальном штопоре и полете на спине инженером-летчиком Филиным и летчиком испытателем Стефановским.</w:t>
            </w:r>
          </w:p>
          <w:p w14:paraId="72C6C3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Филин – 1 полет</w:t>
            </w:r>
          </w:p>
          <w:p w14:paraId="4E3A2C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Стефановский – 2 полета</w:t>
            </w:r>
          </w:p>
        </w:tc>
      </w:tr>
      <w:tr w:rsidR="00E3599D" w:rsidRPr="00E14102" w14:paraId="6F61FB3E" w14:textId="77777777">
        <w:tc>
          <w:tcPr>
            <w:tcW w:w="1668" w:type="dxa"/>
            <w:tcBorders>
              <w:bottom w:val="single" w:sz="12" w:space="0" w:color="auto"/>
            </w:tcBorders>
          </w:tcPr>
          <w:p w14:paraId="30B95F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июня 1935 года</w:t>
            </w:r>
          </w:p>
        </w:tc>
        <w:tc>
          <w:tcPr>
            <w:tcW w:w="8930" w:type="dxa"/>
            <w:tcBorders>
              <w:bottom w:val="single" w:sz="12" w:space="0" w:color="auto"/>
            </w:tcBorders>
          </w:tcPr>
          <w:p w14:paraId="52853C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Тренировочные полеты инженера-летчика Филина и летчиков испытателей Стефановского и Степанченка.</w:t>
            </w:r>
          </w:p>
          <w:p w14:paraId="5C6199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Филин – 1 полет</w:t>
            </w:r>
          </w:p>
          <w:p w14:paraId="273F55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Стефановский – 2 полета, из них один на перевернутый штопор</w:t>
            </w:r>
          </w:p>
          <w:p w14:paraId="43BE1C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Степанченок – 3 полета (3988)</w:t>
            </w:r>
          </w:p>
        </w:tc>
      </w:tr>
    </w:tbl>
    <w:p w14:paraId="1CF05F47"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C83F40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 июня 1935 года вышел Приказ НИИ ВС № 0275 О производстве гос. испытаний самолетов У-2 (химический вариант) и Р-5 (транспортный вариант), предъявленных ГУГВФ.</w:t>
      </w:r>
    </w:p>
    <w:p w14:paraId="7D362E3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начать с 10 июня 1935 года и закончить в течении 6 летных дней (6813, 94).</w:t>
      </w:r>
    </w:p>
    <w:p w14:paraId="2299287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8B12C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июня 1935 опытный образец Р-Зет предъявили военной приёмке. Военпред сразу составил список ровно из 100 выявленных дефектов. Машину пришлось вернуть обратно в цех. Фактически Р-Зет сдали на государственные испытания 29 июня.</w:t>
      </w:r>
    </w:p>
    <w:p w14:paraId="700F8A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Р-Зет в НИИ ВВС провели в июле - сентябре 1935 г. Длительный срок объяснялся недоведенностью конструкции. Всё время что-нибудь ломалось или отказывалось работать так, как надо. В одной из сводок об испытаниях записано: "Больше простаивает и числится, чем испытывается..."</w:t>
      </w:r>
    </w:p>
    <w:p w14:paraId="1F4E04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Сравнение данных самолётов ЛP и Р-Зет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E3599D" w:rsidRPr="00E14102" w14:paraId="518F6E8B" w14:textId="77777777">
        <w:tc>
          <w:tcPr>
            <w:tcW w:w="2802" w:type="dxa"/>
            <w:tcBorders>
              <w:top w:val="single" w:sz="12" w:space="0" w:color="auto"/>
            </w:tcBorders>
          </w:tcPr>
          <w:p w14:paraId="0F12EE66"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Borders>
              <w:top w:val="single" w:sz="12" w:space="0" w:color="auto"/>
            </w:tcBorders>
          </w:tcPr>
          <w:p w14:paraId="645074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ЛР 1933 г.</w:t>
            </w:r>
          </w:p>
        </w:tc>
        <w:tc>
          <w:tcPr>
            <w:tcW w:w="2802" w:type="dxa"/>
            <w:tcBorders>
              <w:top w:val="single" w:sz="12" w:space="0" w:color="auto"/>
            </w:tcBorders>
          </w:tcPr>
          <w:p w14:paraId="7D9FB9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ЛР 1934 г.</w:t>
            </w:r>
          </w:p>
        </w:tc>
        <w:tc>
          <w:tcPr>
            <w:tcW w:w="2802" w:type="dxa"/>
            <w:tcBorders>
              <w:top w:val="single" w:sz="12" w:space="0" w:color="auto"/>
            </w:tcBorders>
          </w:tcPr>
          <w:p w14:paraId="738BB4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Р-Зет опытный</w:t>
            </w:r>
          </w:p>
        </w:tc>
      </w:tr>
      <w:tr w:rsidR="00E3599D" w:rsidRPr="00E14102" w14:paraId="287116EE" w14:textId="77777777">
        <w:tc>
          <w:tcPr>
            <w:tcW w:w="2802" w:type="dxa"/>
          </w:tcPr>
          <w:p w14:paraId="06909C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верхнего крыла, м</w:t>
            </w:r>
          </w:p>
        </w:tc>
        <w:tc>
          <w:tcPr>
            <w:tcW w:w="2802" w:type="dxa"/>
          </w:tcPr>
          <w:p w14:paraId="74C6D6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w:t>
            </w:r>
          </w:p>
        </w:tc>
        <w:tc>
          <w:tcPr>
            <w:tcW w:w="2802" w:type="dxa"/>
          </w:tcPr>
          <w:p w14:paraId="0B2E66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w:t>
            </w:r>
          </w:p>
        </w:tc>
        <w:tc>
          <w:tcPr>
            <w:tcW w:w="2802" w:type="dxa"/>
          </w:tcPr>
          <w:p w14:paraId="0E13CB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15,5</w:t>
            </w:r>
          </w:p>
        </w:tc>
      </w:tr>
      <w:tr w:rsidR="00E3599D" w:rsidRPr="00E14102" w14:paraId="14DE1F7B" w14:textId="77777777">
        <w:tc>
          <w:tcPr>
            <w:tcW w:w="2802" w:type="dxa"/>
          </w:tcPr>
          <w:p w14:paraId="158970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нижнего крыла, м</w:t>
            </w:r>
          </w:p>
        </w:tc>
        <w:tc>
          <w:tcPr>
            <w:tcW w:w="2802" w:type="dxa"/>
          </w:tcPr>
          <w:p w14:paraId="54B234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w:t>
            </w:r>
          </w:p>
        </w:tc>
        <w:tc>
          <w:tcPr>
            <w:tcW w:w="2802" w:type="dxa"/>
          </w:tcPr>
          <w:p w14:paraId="538816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w:t>
            </w:r>
          </w:p>
        </w:tc>
        <w:tc>
          <w:tcPr>
            <w:tcW w:w="2802" w:type="dxa"/>
          </w:tcPr>
          <w:p w14:paraId="26C5FF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11,6</w:t>
            </w:r>
          </w:p>
        </w:tc>
      </w:tr>
      <w:tr w:rsidR="00E3599D" w:rsidRPr="00E14102" w14:paraId="410F2C14" w14:textId="77777777">
        <w:tc>
          <w:tcPr>
            <w:tcW w:w="2802" w:type="dxa"/>
          </w:tcPr>
          <w:p w14:paraId="286A74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м</w:t>
            </w:r>
          </w:p>
        </w:tc>
        <w:tc>
          <w:tcPr>
            <w:tcW w:w="2802" w:type="dxa"/>
          </w:tcPr>
          <w:p w14:paraId="16FF2D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8,64</w:t>
            </w:r>
          </w:p>
        </w:tc>
        <w:tc>
          <w:tcPr>
            <w:tcW w:w="2802" w:type="dxa"/>
          </w:tcPr>
          <w:p w14:paraId="567A36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8,64</w:t>
            </w:r>
          </w:p>
        </w:tc>
        <w:tc>
          <w:tcPr>
            <w:tcW w:w="2802" w:type="dxa"/>
          </w:tcPr>
          <w:p w14:paraId="2997D6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9,7</w:t>
            </w:r>
          </w:p>
        </w:tc>
      </w:tr>
      <w:tr w:rsidR="00E3599D" w:rsidRPr="00E14102" w14:paraId="5DF03634" w14:textId="77777777">
        <w:tc>
          <w:tcPr>
            <w:tcW w:w="2802" w:type="dxa"/>
          </w:tcPr>
          <w:p w14:paraId="7E1AC5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крыла, м2</w:t>
            </w:r>
          </w:p>
        </w:tc>
        <w:tc>
          <w:tcPr>
            <w:tcW w:w="2802" w:type="dxa"/>
          </w:tcPr>
          <w:p w14:paraId="642998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36,52</w:t>
            </w:r>
          </w:p>
        </w:tc>
        <w:tc>
          <w:tcPr>
            <w:tcW w:w="2802" w:type="dxa"/>
          </w:tcPr>
          <w:p w14:paraId="2AD040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36,52</w:t>
            </w:r>
          </w:p>
        </w:tc>
        <w:tc>
          <w:tcPr>
            <w:tcW w:w="2802" w:type="dxa"/>
          </w:tcPr>
          <w:p w14:paraId="123A34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42,52</w:t>
            </w:r>
          </w:p>
        </w:tc>
      </w:tr>
      <w:tr w:rsidR="00E3599D" w:rsidRPr="00E14102" w14:paraId="63BA12D3" w14:textId="77777777">
        <w:tc>
          <w:tcPr>
            <w:tcW w:w="2802" w:type="dxa"/>
          </w:tcPr>
          <w:p w14:paraId="635C47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кг:</w:t>
            </w:r>
          </w:p>
        </w:tc>
        <w:tc>
          <w:tcPr>
            <w:tcW w:w="2802" w:type="dxa"/>
          </w:tcPr>
          <w:p w14:paraId="663F28AE"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20088B28"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02CF3F3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41BA6EE" w14:textId="77777777">
        <w:tc>
          <w:tcPr>
            <w:tcW w:w="2802" w:type="dxa"/>
          </w:tcPr>
          <w:p w14:paraId="747118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пустого</w:t>
            </w:r>
          </w:p>
        </w:tc>
        <w:tc>
          <w:tcPr>
            <w:tcW w:w="2802" w:type="dxa"/>
          </w:tcPr>
          <w:p w14:paraId="31CC5E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1734"</w:t>
            </w:r>
          </w:p>
        </w:tc>
        <w:tc>
          <w:tcPr>
            <w:tcW w:w="2802" w:type="dxa"/>
          </w:tcPr>
          <w:p w14:paraId="08456F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1812</w:t>
            </w:r>
          </w:p>
        </w:tc>
        <w:tc>
          <w:tcPr>
            <w:tcW w:w="2802" w:type="dxa"/>
          </w:tcPr>
          <w:p w14:paraId="6ADF50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2007</w:t>
            </w:r>
          </w:p>
        </w:tc>
      </w:tr>
      <w:tr w:rsidR="00E3599D" w:rsidRPr="00E14102" w14:paraId="29EDE126" w14:textId="77777777">
        <w:tc>
          <w:tcPr>
            <w:tcW w:w="2802" w:type="dxa"/>
          </w:tcPr>
          <w:p w14:paraId="03DFBE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взлётный</w:t>
            </w:r>
          </w:p>
        </w:tc>
        <w:tc>
          <w:tcPr>
            <w:tcW w:w="2802" w:type="dxa"/>
          </w:tcPr>
          <w:p w14:paraId="399CC7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2426</w:t>
            </w:r>
          </w:p>
        </w:tc>
        <w:tc>
          <w:tcPr>
            <w:tcW w:w="2802" w:type="dxa"/>
          </w:tcPr>
          <w:p w14:paraId="4EA951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2626</w:t>
            </w:r>
          </w:p>
        </w:tc>
        <w:tc>
          <w:tcPr>
            <w:tcW w:w="2802" w:type="dxa"/>
          </w:tcPr>
          <w:p w14:paraId="509CC9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3150</w:t>
            </w:r>
          </w:p>
        </w:tc>
      </w:tr>
      <w:tr w:rsidR="00E3599D" w:rsidRPr="00E14102" w14:paraId="64A9DEC3" w14:textId="77777777">
        <w:tc>
          <w:tcPr>
            <w:tcW w:w="2802" w:type="dxa"/>
          </w:tcPr>
          <w:p w14:paraId="25E332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км/ч:</w:t>
            </w:r>
          </w:p>
        </w:tc>
        <w:tc>
          <w:tcPr>
            <w:tcW w:w="2802" w:type="dxa"/>
          </w:tcPr>
          <w:p w14:paraId="1827F8FE"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5087DD06"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0737043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DEFEFD8" w14:textId="77777777">
        <w:tc>
          <w:tcPr>
            <w:tcW w:w="2802" w:type="dxa"/>
          </w:tcPr>
          <w:p w14:paraId="63D3D9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земли</w:t>
            </w:r>
          </w:p>
        </w:tc>
        <w:tc>
          <w:tcPr>
            <w:tcW w:w="2802" w:type="dxa"/>
          </w:tcPr>
          <w:p w14:paraId="515743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271</w:t>
            </w:r>
          </w:p>
        </w:tc>
        <w:tc>
          <w:tcPr>
            <w:tcW w:w="2802" w:type="dxa"/>
          </w:tcPr>
          <w:p w14:paraId="1BCDD7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282</w:t>
            </w:r>
          </w:p>
        </w:tc>
        <w:tc>
          <w:tcPr>
            <w:tcW w:w="2802" w:type="dxa"/>
          </w:tcPr>
          <w:p w14:paraId="42C440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276</w:t>
            </w:r>
          </w:p>
        </w:tc>
      </w:tr>
      <w:tr w:rsidR="00E3599D" w:rsidRPr="00E14102" w14:paraId="29E645A9" w14:textId="77777777">
        <w:tc>
          <w:tcPr>
            <w:tcW w:w="2802" w:type="dxa"/>
          </w:tcPr>
          <w:p w14:paraId="78D13A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высоте</w:t>
            </w:r>
          </w:p>
        </w:tc>
        <w:tc>
          <w:tcPr>
            <w:tcW w:w="2802" w:type="dxa"/>
          </w:tcPr>
          <w:p w14:paraId="0DC735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247</w:t>
            </w:r>
          </w:p>
        </w:tc>
        <w:tc>
          <w:tcPr>
            <w:tcW w:w="2802" w:type="dxa"/>
          </w:tcPr>
          <w:p w14:paraId="2E5C95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314</w:t>
            </w:r>
          </w:p>
        </w:tc>
        <w:tc>
          <w:tcPr>
            <w:tcW w:w="2802" w:type="dxa"/>
          </w:tcPr>
          <w:p w14:paraId="30EA5C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316</w:t>
            </w:r>
          </w:p>
        </w:tc>
      </w:tr>
      <w:tr w:rsidR="00E3599D" w:rsidRPr="00E14102" w14:paraId="528B528C" w14:textId="77777777">
        <w:tc>
          <w:tcPr>
            <w:tcW w:w="2802" w:type="dxa"/>
          </w:tcPr>
          <w:p w14:paraId="020B31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w:t>
            </w:r>
          </w:p>
        </w:tc>
        <w:tc>
          <w:tcPr>
            <w:tcW w:w="2802" w:type="dxa"/>
          </w:tcPr>
          <w:p w14:paraId="02684C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93</w:t>
            </w:r>
          </w:p>
        </w:tc>
        <w:tc>
          <w:tcPr>
            <w:tcW w:w="2802" w:type="dxa"/>
          </w:tcPr>
          <w:p w14:paraId="763C53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94</w:t>
            </w:r>
          </w:p>
        </w:tc>
        <w:tc>
          <w:tcPr>
            <w:tcW w:w="2802" w:type="dxa"/>
          </w:tcPr>
          <w:p w14:paraId="034D96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w:t>
            </w:r>
          </w:p>
        </w:tc>
      </w:tr>
      <w:tr w:rsidR="00E3599D" w:rsidRPr="00E14102" w14:paraId="06D13BDB" w14:textId="77777777">
        <w:tc>
          <w:tcPr>
            <w:tcW w:w="2802" w:type="dxa"/>
          </w:tcPr>
          <w:p w14:paraId="45EAB1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Практический потолок,м</w:t>
            </w:r>
          </w:p>
        </w:tc>
        <w:tc>
          <w:tcPr>
            <w:tcW w:w="2802" w:type="dxa"/>
          </w:tcPr>
          <w:p w14:paraId="57A8A1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7250"</w:t>
            </w:r>
          </w:p>
        </w:tc>
        <w:tc>
          <w:tcPr>
            <w:tcW w:w="2802" w:type="dxa"/>
          </w:tcPr>
          <w:p w14:paraId="7B3E99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9100</w:t>
            </w:r>
          </w:p>
        </w:tc>
        <w:tc>
          <w:tcPr>
            <w:tcW w:w="2802" w:type="dxa"/>
          </w:tcPr>
          <w:p w14:paraId="2B8ACC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8700</w:t>
            </w:r>
          </w:p>
        </w:tc>
      </w:tr>
      <w:tr w:rsidR="00E3599D" w:rsidRPr="00E14102" w14:paraId="438EAF27" w14:textId="77777777">
        <w:tc>
          <w:tcPr>
            <w:tcW w:w="2802" w:type="dxa"/>
          </w:tcPr>
          <w:p w14:paraId="23F1F4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полёта, м</w:t>
            </w:r>
          </w:p>
        </w:tc>
        <w:tc>
          <w:tcPr>
            <w:tcW w:w="2802" w:type="dxa"/>
          </w:tcPr>
          <w:p w14:paraId="14346E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8052'</w:t>
            </w:r>
          </w:p>
        </w:tc>
        <w:tc>
          <w:tcPr>
            <w:tcW w:w="2802" w:type="dxa"/>
          </w:tcPr>
          <w:p w14:paraId="3A820A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2802" w:type="dxa"/>
          </w:tcPr>
          <w:p w14:paraId="29DDF8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r>
      <w:tr w:rsidR="00E3599D" w:rsidRPr="00E14102" w14:paraId="53DE3A7F" w14:textId="77777777">
        <w:tc>
          <w:tcPr>
            <w:tcW w:w="2802" w:type="dxa"/>
          </w:tcPr>
          <w:p w14:paraId="53E246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Набор высоты 3000 м, мин</w:t>
            </w:r>
          </w:p>
        </w:tc>
        <w:tc>
          <w:tcPr>
            <w:tcW w:w="2802" w:type="dxa"/>
          </w:tcPr>
          <w:p w14:paraId="2AA66D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7,3</w:t>
            </w:r>
          </w:p>
        </w:tc>
        <w:tc>
          <w:tcPr>
            <w:tcW w:w="2802" w:type="dxa"/>
          </w:tcPr>
          <w:p w14:paraId="4DC6FF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w:t>
            </w:r>
          </w:p>
        </w:tc>
        <w:tc>
          <w:tcPr>
            <w:tcW w:w="2802" w:type="dxa"/>
          </w:tcPr>
          <w:p w14:paraId="665487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6,6</w:t>
            </w:r>
          </w:p>
        </w:tc>
      </w:tr>
      <w:tr w:rsidR="00E3599D" w:rsidRPr="00E14102" w14:paraId="1D2E6563" w14:textId="77777777">
        <w:tc>
          <w:tcPr>
            <w:tcW w:w="2802" w:type="dxa"/>
          </w:tcPr>
          <w:p w14:paraId="0F76F8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Разбег, м</w:t>
            </w:r>
          </w:p>
        </w:tc>
        <w:tc>
          <w:tcPr>
            <w:tcW w:w="2802" w:type="dxa"/>
          </w:tcPr>
          <w:p w14:paraId="6229E79A"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7CA6E9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210</w:t>
            </w:r>
          </w:p>
        </w:tc>
        <w:tc>
          <w:tcPr>
            <w:tcW w:w="2802" w:type="dxa"/>
          </w:tcPr>
          <w:p w14:paraId="2A586B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270</w:t>
            </w:r>
          </w:p>
        </w:tc>
      </w:tr>
      <w:tr w:rsidR="00E3599D" w:rsidRPr="00E14102" w14:paraId="5113E1A7" w14:textId="77777777">
        <w:tc>
          <w:tcPr>
            <w:tcW w:w="2802" w:type="dxa"/>
          </w:tcPr>
          <w:p w14:paraId="17F43C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Пробег, м</w:t>
            </w:r>
          </w:p>
        </w:tc>
        <w:tc>
          <w:tcPr>
            <w:tcW w:w="2802" w:type="dxa"/>
          </w:tcPr>
          <w:p w14:paraId="0FC62EFA"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4104DB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w:t>
            </w:r>
          </w:p>
        </w:tc>
        <w:tc>
          <w:tcPr>
            <w:tcW w:w="2802" w:type="dxa"/>
          </w:tcPr>
          <w:p w14:paraId="7262BD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220</w:t>
            </w:r>
          </w:p>
        </w:tc>
      </w:tr>
      <w:tr w:rsidR="00E3599D" w:rsidRPr="00E14102" w14:paraId="770597EF" w14:textId="77777777">
        <w:tc>
          <w:tcPr>
            <w:tcW w:w="2802" w:type="dxa"/>
          </w:tcPr>
          <w:p w14:paraId="02C49F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 кг</w:t>
            </w:r>
          </w:p>
        </w:tc>
        <w:tc>
          <w:tcPr>
            <w:tcW w:w="2802" w:type="dxa"/>
          </w:tcPr>
          <w:p w14:paraId="4C3751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2802" w:type="dxa"/>
          </w:tcPr>
          <w:p w14:paraId="01486E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2802" w:type="dxa"/>
          </w:tcPr>
          <w:p w14:paraId="52C1FC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r>
      <w:tr w:rsidR="00E3599D" w:rsidRPr="00E14102" w14:paraId="2FD58363" w14:textId="77777777">
        <w:tc>
          <w:tcPr>
            <w:tcW w:w="2802" w:type="dxa"/>
            <w:tcBorders>
              <w:bottom w:val="single" w:sz="12" w:space="0" w:color="auto"/>
            </w:tcBorders>
          </w:tcPr>
          <w:p w14:paraId="2CA2A3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w:t>
            </w:r>
          </w:p>
        </w:tc>
        <w:tc>
          <w:tcPr>
            <w:tcW w:w="2802" w:type="dxa"/>
            <w:tcBorders>
              <w:bottom w:val="single" w:sz="12" w:space="0" w:color="auto"/>
            </w:tcBorders>
          </w:tcPr>
          <w:p w14:paraId="765E09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2x7,62</w:t>
            </w:r>
          </w:p>
        </w:tc>
        <w:tc>
          <w:tcPr>
            <w:tcW w:w="2802" w:type="dxa"/>
            <w:tcBorders>
              <w:bottom w:val="single" w:sz="12" w:space="0" w:color="auto"/>
            </w:tcBorders>
          </w:tcPr>
          <w:p w14:paraId="109F23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2x7,62</w:t>
            </w:r>
          </w:p>
        </w:tc>
        <w:tc>
          <w:tcPr>
            <w:tcW w:w="2802" w:type="dxa"/>
            <w:tcBorders>
              <w:bottom w:val="single" w:sz="12" w:space="0" w:color="auto"/>
            </w:tcBorders>
          </w:tcPr>
          <w:p w14:paraId="44313B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2x7,62</w:t>
            </w:r>
          </w:p>
        </w:tc>
      </w:tr>
    </w:tbl>
    <w:p w14:paraId="2D1E49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Примечания: 1) - по другим данным - 7400 м; 2) - по другим данным 700 км: 3) - после доработки, первоначально - 1637 кг</w:t>
      </w:r>
    </w:p>
    <w:p w14:paraId="7E07D9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Выводы испытателей были весьма интересны. Лётные данные Р-Зет по сравнению с Р-5 улучшились, хотя до уровня проектных явно не дотягивали. Прирост в основном имел место на больших высотах за счёт наличия нагнетателя на моторе. Так, у земли разница в скорости со штурмовиком ССС (вариантом Р-5 с мотором М-17Ф) составляла всего 7 км/ч. И вообще в НИИ ВВС пришли к выводу, что все преимущества привнёс более мощный и высотный двигатель М-34Н, а изменения в конструкции планёра, с точки зрения аэродинамики, оказались неэффективны. В частности, уменьшение площади крыла повышению скорости вообще не способствовало.</w:t>
      </w:r>
    </w:p>
    <w:p w14:paraId="0E1F9A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Новый мотор мог обеспечить и большую тягу, но его увязали с двухлопастным винтом постоянного шага, имевшим слишком маленький диаметр и слишком большой шаг. Но простое увеличение диаметра не дало бы существенного выигрыша. Требовалось переходить на трёхлопастный винт и к тому же снабдить мотор редуктором.</w:t>
      </w:r>
    </w:p>
    <w:p w14:paraId="6D64B6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Взлётно-посадочные качества по сравнению с Р-5 ухудшились. Дистанция разбега стала больше. У P-Z оказалась более пологая глиссада планирования. Самолёт долго нёсся над землёй, требуя больших площадок, хотя собственно пробег был даже чуть меньше, чем у Р-5. Столь же медленно новый биплан поднимал хвост на взлёте.</w:t>
      </w:r>
    </w:p>
    <w:p w14:paraId="4BAF34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Резкую критику вызвал непривычный по тому времени закрытый фонарь кабины. Обзор единодушно признали плохим. В отчёте об испытаниях указано, что из-за этого "полёт ниже 50 м просто опасен". Кроме того, замки фонаря часто заедало: его не могли то открыть, то закрыть. Экипаж жаловался на духоту и попадание в кабину выхлопных газов. Кончилось тем, что фонарь полностью демонтировали и поставили перед каждой кабиной по козырьку. Скорость упала на 8 - 10 км/ч, но зато пилот мог ясно видеть, что происходит вокруг.Мотор М-34Н перегревался, особенно на рулении. На опытном образце машины проявились и другие дефекты: самопроизвольно выпускался радиатор (висевший всего в 300 мм от земли), протекали краны и баки, разбалтывался кок винта. Отметили также отказы тормозов колёс и ненадёжность турели Тур-32.</w:t>
      </w:r>
    </w:p>
    <w:p w14:paraId="1B742D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Но в целом вывод гласил: "признать удовлетворительным". Оговорки, конечно, были. Как обычно, перечислили все выявленные недостатки и потребовали их устранить на серийных машинах. Но деваться было уже некуда: завод № 1 получил план на 1935 г., в котором требовалось к сентябрю выпустить первую серию Р-Зет (11995).</w:t>
      </w:r>
    </w:p>
    <w:p w14:paraId="530EE8CB" w14:textId="77777777" w:rsidR="00D4105E" w:rsidRPr="00E14102" w:rsidRDefault="00D4105E" w:rsidP="00E14102">
      <w:pPr>
        <w:autoSpaceDE w:val="0"/>
        <w:autoSpaceDN w:val="0"/>
        <w:adjustRightInd w:val="0"/>
        <w:jc w:val="both"/>
        <w:rPr>
          <w:color w:val="000000" w:themeColor="text1"/>
          <w:sz w:val="16"/>
          <w:szCs w:val="16"/>
        </w:rPr>
      </w:pPr>
    </w:p>
    <w:p w14:paraId="7E0598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 июня 1935 Я.И.Алкснис писал НКО К.Е.В. по поволу ССС: “Без устранения главнейших дефектов вооружения он является небоеспособным и не может служить эталоном для серии.” (7456, 5).</w:t>
      </w:r>
    </w:p>
    <w:p w14:paraId="37ADB2C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DB132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июня Алкснис писал об ССС наркому К.Е. Ворошилову: "Без устранения главнейших дефектов вооружения он является небоеспособным и не может служить эталоном для серии". ВНИИ ВВС поспешно доводили все, что могли. Наконец, в июле УВВС приняло решение о проведении войсковых испытаний установочной серии. Их собирались начать в августе, но задержались из-за поломки на статических испытаниях коробки крыла одного из опытных образцов. Она разрушилась при перегрузке 6,5, в то время как нормами требовалась 7-кратная. Пришлось тут же внедрять усиления набора.</w:t>
      </w:r>
    </w:p>
    <w:p w14:paraId="31DCAC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Первые шесть серийных самолетов прошли военную приемку к 7 августа. 15 сентября 1935 г. десять машин прибыли в расположение 114-й (бывшей 252-й) авиабригады в Гомель. 22 сентября на одном из ССС первым вылетел комбриг А. А. Туржанский.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79CBB6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17274D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59D851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5AC7FF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45ACD7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12C2F26E" w14:textId="77777777" w:rsidR="00D4105E" w:rsidRPr="00E14102" w:rsidRDefault="00D4105E" w:rsidP="00E14102">
      <w:pPr>
        <w:autoSpaceDE w:val="0"/>
        <w:autoSpaceDN w:val="0"/>
        <w:adjustRightInd w:val="0"/>
        <w:jc w:val="both"/>
        <w:rPr>
          <w:color w:val="000000" w:themeColor="text1"/>
          <w:sz w:val="16"/>
          <w:szCs w:val="16"/>
        </w:rPr>
      </w:pPr>
    </w:p>
    <w:p w14:paraId="5BDB1E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июня 1935 была подготовлена для СТО т. Бакулова:</w:t>
      </w:r>
    </w:p>
    <w:p w14:paraId="0023A7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w:t>
      </w:r>
    </w:p>
    <w:p w14:paraId="72CDAE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 опытных моторах НАА авиадвигателей ГВФ /МГ-31, МГ-21, МГ-11 и М-61/.</w:t>
      </w:r>
    </w:p>
    <w:p w14:paraId="57B847C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Семья "МГ" спроектирована по типу американского семейства моторов. Отличительной особенностью семьи моторов "МГ" /31,21 и 11/ является-заменяемость до 94% деталей, что уменьшает стоимость производства, создает большие эксплоатационные удобства, снижает количество и стоимость запчастей.</w:t>
      </w:r>
    </w:p>
    <w:p w14:paraId="53A609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 МГ-31 - 9-цил индро вый, МГ-21 - 7 цилиндровый, МГ-11 - 5-цилиндровый</w:t>
      </w:r>
    </w:p>
    <w:p w14:paraId="23B962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Моторы снабжены устройствами, позволяющими эксплоатировать их в жарких и холодных поясах.</w:t>
      </w:r>
    </w:p>
    <w:p w14:paraId="1A12F9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Привожу сравнительные данные мотора МГ с аналогичными иностранными: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41"/>
        <w:gridCol w:w="2053"/>
        <w:gridCol w:w="1559"/>
        <w:gridCol w:w="1681"/>
        <w:gridCol w:w="1681"/>
        <w:gridCol w:w="1505"/>
      </w:tblGrid>
      <w:tr w:rsidR="00E3599D" w:rsidRPr="00E14102" w14:paraId="34F69044" w14:textId="77777777">
        <w:trPr>
          <w:trHeight w:val="353"/>
        </w:trPr>
        <w:tc>
          <w:tcPr>
            <w:tcW w:w="641" w:type="dxa"/>
            <w:tcBorders>
              <w:top w:val="single" w:sz="12" w:space="0" w:color="auto"/>
            </w:tcBorders>
          </w:tcPr>
          <w:p w14:paraId="64EA35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tc>
        <w:tc>
          <w:tcPr>
            <w:tcW w:w="2053" w:type="dxa"/>
            <w:tcBorders>
              <w:top w:val="single" w:sz="12" w:space="0" w:color="auto"/>
            </w:tcBorders>
          </w:tcPr>
          <w:p w14:paraId="08173D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Тип</w:t>
            </w:r>
          </w:p>
        </w:tc>
        <w:tc>
          <w:tcPr>
            <w:tcW w:w="1559" w:type="dxa"/>
            <w:tcBorders>
              <w:top w:val="single" w:sz="12" w:space="0" w:color="auto"/>
            </w:tcBorders>
          </w:tcPr>
          <w:p w14:paraId="7EA98C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Номинальная мощность л.с. </w:t>
            </w:r>
          </w:p>
        </w:tc>
        <w:tc>
          <w:tcPr>
            <w:tcW w:w="1681" w:type="dxa"/>
            <w:tcBorders>
              <w:top w:val="single" w:sz="12" w:space="0" w:color="auto"/>
            </w:tcBorders>
          </w:tcPr>
          <w:p w14:paraId="498C67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Сухой вес, кг</w:t>
            </w:r>
          </w:p>
        </w:tc>
        <w:tc>
          <w:tcPr>
            <w:tcW w:w="1681" w:type="dxa"/>
            <w:tcBorders>
              <w:top w:val="single" w:sz="12" w:space="0" w:color="auto"/>
            </w:tcBorders>
          </w:tcPr>
          <w:p w14:paraId="2A77D6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Удельный вес г/силу</w:t>
            </w:r>
          </w:p>
        </w:tc>
        <w:tc>
          <w:tcPr>
            <w:tcW w:w="1505" w:type="dxa"/>
            <w:tcBorders>
              <w:top w:val="single" w:sz="12" w:space="0" w:color="auto"/>
            </w:tcBorders>
          </w:tcPr>
          <w:p w14:paraId="525F81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Габаритный диаметр м.м.</w:t>
            </w:r>
          </w:p>
        </w:tc>
      </w:tr>
      <w:tr w:rsidR="00E3599D" w:rsidRPr="00E14102" w14:paraId="16049E0B" w14:textId="77777777">
        <w:trPr>
          <w:trHeight w:val="202"/>
        </w:trPr>
        <w:tc>
          <w:tcPr>
            <w:tcW w:w="641" w:type="dxa"/>
          </w:tcPr>
          <w:p w14:paraId="720958F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w:t>
            </w:r>
          </w:p>
        </w:tc>
        <w:tc>
          <w:tcPr>
            <w:tcW w:w="2053" w:type="dxa"/>
          </w:tcPr>
          <w:p w14:paraId="6BA6FAE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МГ-31</w:t>
            </w:r>
          </w:p>
        </w:tc>
        <w:tc>
          <w:tcPr>
            <w:tcW w:w="1559" w:type="dxa"/>
          </w:tcPr>
          <w:p w14:paraId="7FF393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270</w:t>
            </w:r>
          </w:p>
        </w:tc>
        <w:tc>
          <w:tcPr>
            <w:tcW w:w="1681" w:type="dxa"/>
          </w:tcPr>
          <w:p w14:paraId="3E69E4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250</w:t>
            </w:r>
          </w:p>
        </w:tc>
        <w:tc>
          <w:tcPr>
            <w:tcW w:w="1681" w:type="dxa"/>
          </w:tcPr>
          <w:p w14:paraId="7F5CC6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0,925</w:t>
            </w:r>
          </w:p>
        </w:tc>
        <w:tc>
          <w:tcPr>
            <w:tcW w:w="1505" w:type="dxa"/>
          </w:tcPr>
          <w:p w14:paraId="252EF8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1075</w:t>
            </w:r>
          </w:p>
        </w:tc>
      </w:tr>
      <w:tr w:rsidR="00E3599D" w:rsidRPr="00E14102" w14:paraId="47FA41A4" w14:textId="77777777">
        <w:trPr>
          <w:trHeight w:val="360"/>
        </w:trPr>
        <w:tc>
          <w:tcPr>
            <w:tcW w:w="641" w:type="dxa"/>
          </w:tcPr>
          <w:p w14:paraId="4A2FBAE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2. </w:t>
            </w:r>
          </w:p>
        </w:tc>
        <w:tc>
          <w:tcPr>
            <w:tcW w:w="2053" w:type="dxa"/>
          </w:tcPr>
          <w:p w14:paraId="2421FE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Вальтер-Мастер П</w:t>
            </w:r>
          </w:p>
        </w:tc>
        <w:tc>
          <w:tcPr>
            <w:tcW w:w="1559" w:type="dxa"/>
          </w:tcPr>
          <w:p w14:paraId="472DFC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275</w:t>
            </w:r>
          </w:p>
        </w:tc>
        <w:tc>
          <w:tcPr>
            <w:tcW w:w="1681" w:type="dxa"/>
          </w:tcPr>
          <w:p w14:paraId="4A3E649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278</w:t>
            </w:r>
          </w:p>
        </w:tc>
        <w:tc>
          <w:tcPr>
            <w:tcW w:w="1681" w:type="dxa"/>
          </w:tcPr>
          <w:p w14:paraId="56A5FD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1,01</w:t>
            </w:r>
          </w:p>
        </w:tc>
        <w:tc>
          <w:tcPr>
            <w:tcW w:w="1505" w:type="dxa"/>
          </w:tcPr>
          <w:p w14:paraId="390D22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1244</w:t>
            </w:r>
          </w:p>
        </w:tc>
      </w:tr>
      <w:tr w:rsidR="00E3599D" w:rsidRPr="00E14102" w14:paraId="5BBBD185" w14:textId="77777777">
        <w:trPr>
          <w:trHeight w:val="360"/>
        </w:trPr>
        <w:tc>
          <w:tcPr>
            <w:tcW w:w="641" w:type="dxa"/>
          </w:tcPr>
          <w:p w14:paraId="66B5050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w:t>
            </w:r>
          </w:p>
        </w:tc>
        <w:tc>
          <w:tcPr>
            <w:tcW w:w="2053" w:type="dxa"/>
          </w:tcPr>
          <w:p w14:paraId="498E85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Райт - 975Е</w:t>
            </w:r>
          </w:p>
        </w:tc>
        <w:tc>
          <w:tcPr>
            <w:tcW w:w="1559" w:type="dxa"/>
          </w:tcPr>
          <w:p w14:paraId="7BB1F1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300</w:t>
            </w:r>
          </w:p>
        </w:tc>
        <w:tc>
          <w:tcPr>
            <w:tcW w:w="1681" w:type="dxa"/>
          </w:tcPr>
          <w:p w14:paraId="749479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261</w:t>
            </w:r>
          </w:p>
        </w:tc>
        <w:tc>
          <w:tcPr>
            <w:tcW w:w="1681" w:type="dxa"/>
          </w:tcPr>
          <w:p w14:paraId="7EF64A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0,87</w:t>
            </w:r>
          </w:p>
        </w:tc>
        <w:tc>
          <w:tcPr>
            <w:tcW w:w="1505" w:type="dxa"/>
          </w:tcPr>
          <w:p w14:paraId="49945C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1146</w:t>
            </w:r>
          </w:p>
        </w:tc>
      </w:tr>
      <w:tr w:rsidR="00E3599D" w:rsidRPr="00E14102" w14:paraId="799B77D5" w14:textId="77777777">
        <w:trPr>
          <w:trHeight w:val="360"/>
        </w:trPr>
        <w:tc>
          <w:tcPr>
            <w:tcW w:w="641" w:type="dxa"/>
          </w:tcPr>
          <w:p w14:paraId="4F61B4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w:t>
            </w:r>
          </w:p>
        </w:tc>
        <w:tc>
          <w:tcPr>
            <w:tcW w:w="2053" w:type="dxa"/>
          </w:tcPr>
          <w:p w14:paraId="7255B25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Лайкоминг -680-5</w:t>
            </w:r>
          </w:p>
        </w:tc>
        <w:tc>
          <w:tcPr>
            <w:tcW w:w="1559" w:type="dxa"/>
          </w:tcPr>
          <w:p w14:paraId="5CA898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260</w:t>
            </w:r>
          </w:p>
        </w:tc>
        <w:tc>
          <w:tcPr>
            <w:tcW w:w="1681" w:type="dxa"/>
          </w:tcPr>
          <w:p w14:paraId="4AE633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230</w:t>
            </w:r>
          </w:p>
        </w:tc>
        <w:tc>
          <w:tcPr>
            <w:tcW w:w="1681" w:type="dxa"/>
          </w:tcPr>
          <w:p w14:paraId="7C54BA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0,885</w:t>
            </w:r>
          </w:p>
        </w:tc>
        <w:tc>
          <w:tcPr>
            <w:tcW w:w="1505" w:type="dxa"/>
          </w:tcPr>
          <w:p w14:paraId="5971B0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1100</w:t>
            </w:r>
          </w:p>
        </w:tc>
      </w:tr>
      <w:tr w:rsidR="00E3599D" w:rsidRPr="00E14102" w14:paraId="30B8AA8B" w14:textId="77777777">
        <w:trPr>
          <w:trHeight w:val="360"/>
        </w:trPr>
        <w:tc>
          <w:tcPr>
            <w:tcW w:w="641" w:type="dxa"/>
          </w:tcPr>
          <w:p w14:paraId="5C512D4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w:t>
            </w:r>
          </w:p>
        </w:tc>
        <w:tc>
          <w:tcPr>
            <w:tcW w:w="2053" w:type="dxa"/>
          </w:tcPr>
          <w:p w14:paraId="3141C84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МГ-21</w:t>
            </w:r>
          </w:p>
        </w:tc>
        <w:tc>
          <w:tcPr>
            <w:tcW w:w="1559" w:type="dxa"/>
          </w:tcPr>
          <w:p w14:paraId="43ADA9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200</w:t>
            </w:r>
          </w:p>
        </w:tc>
        <w:tc>
          <w:tcPr>
            <w:tcW w:w="1681" w:type="dxa"/>
          </w:tcPr>
          <w:p w14:paraId="783E46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212</w:t>
            </w:r>
          </w:p>
        </w:tc>
        <w:tc>
          <w:tcPr>
            <w:tcW w:w="1681" w:type="dxa"/>
          </w:tcPr>
          <w:p w14:paraId="0825A1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1,06</w:t>
            </w:r>
          </w:p>
        </w:tc>
        <w:tc>
          <w:tcPr>
            <w:tcW w:w="1505" w:type="dxa"/>
          </w:tcPr>
          <w:p w14:paraId="26A55B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1075</w:t>
            </w:r>
          </w:p>
        </w:tc>
      </w:tr>
      <w:tr w:rsidR="00E3599D" w:rsidRPr="00E14102" w14:paraId="28896193" w14:textId="77777777">
        <w:trPr>
          <w:trHeight w:val="360"/>
        </w:trPr>
        <w:tc>
          <w:tcPr>
            <w:tcW w:w="641" w:type="dxa"/>
          </w:tcPr>
          <w:p w14:paraId="377370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w:t>
            </w:r>
          </w:p>
        </w:tc>
        <w:tc>
          <w:tcPr>
            <w:tcW w:w="2053" w:type="dxa"/>
          </w:tcPr>
          <w:p w14:paraId="62BAA4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Лнкс 1УАрмст-Сидлей</w:t>
            </w:r>
          </w:p>
        </w:tc>
        <w:tc>
          <w:tcPr>
            <w:tcW w:w="1559" w:type="dxa"/>
          </w:tcPr>
          <w:p w14:paraId="2D37B9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215</w:t>
            </w:r>
          </w:p>
        </w:tc>
        <w:tc>
          <w:tcPr>
            <w:tcW w:w="1681" w:type="dxa"/>
          </w:tcPr>
          <w:p w14:paraId="4DDD7E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234</w:t>
            </w:r>
          </w:p>
        </w:tc>
        <w:tc>
          <w:tcPr>
            <w:tcW w:w="1681" w:type="dxa"/>
          </w:tcPr>
          <w:p w14:paraId="454AAB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1,09</w:t>
            </w:r>
          </w:p>
        </w:tc>
        <w:tc>
          <w:tcPr>
            <w:tcW w:w="1505" w:type="dxa"/>
          </w:tcPr>
          <w:p w14:paraId="5C93AE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1137</w:t>
            </w:r>
          </w:p>
        </w:tc>
      </w:tr>
      <w:tr w:rsidR="00E3599D" w:rsidRPr="00E14102" w14:paraId="169C55B7" w14:textId="77777777">
        <w:trPr>
          <w:trHeight w:val="360"/>
        </w:trPr>
        <w:tc>
          <w:tcPr>
            <w:tcW w:w="641" w:type="dxa"/>
          </w:tcPr>
          <w:p w14:paraId="3970FC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w:t>
            </w:r>
          </w:p>
        </w:tc>
        <w:tc>
          <w:tcPr>
            <w:tcW w:w="2053" w:type="dxa"/>
          </w:tcPr>
          <w:p w14:paraId="3E805D4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Райт - 760Е</w:t>
            </w:r>
          </w:p>
        </w:tc>
        <w:tc>
          <w:tcPr>
            <w:tcW w:w="1559" w:type="dxa"/>
          </w:tcPr>
          <w:p w14:paraId="5D8809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235</w:t>
            </w:r>
          </w:p>
        </w:tc>
        <w:tc>
          <w:tcPr>
            <w:tcW w:w="1681" w:type="dxa"/>
          </w:tcPr>
          <w:p w14:paraId="46E2162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227</w:t>
            </w:r>
          </w:p>
        </w:tc>
        <w:tc>
          <w:tcPr>
            <w:tcW w:w="1681" w:type="dxa"/>
          </w:tcPr>
          <w:p w14:paraId="6A7879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0,965</w:t>
            </w:r>
          </w:p>
        </w:tc>
        <w:tc>
          <w:tcPr>
            <w:tcW w:w="1505" w:type="dxa"/>
          </w:tcPr>
          <w:p w14:paraId="2AE10C2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1146</w:t>
            </w:r>
          </w:p>
        </w:tc>
      </w:tr>
      <w:tr w:rsidR="00E3599D" w:rsidRPr="00E14102" w14:paraId="49A960FB" w14:textId="77777777">
        <w:trPr>
          <w:trHeight w:val="360"/>
        </w:trPr>
        <w:tc>
          <w:tcPr>
            <w:tcW w:w="641" w:type="dxa"/>
          </w:tcPr>
          <w:p w14:paraId="069118A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w:t>
            </w:r>
          </w:p>
        </w:tc>
        <w:tc>
          <w:tcPr>
            <w:tcW w:w="2053" w:type="dxa"/>
          </w:tcPr>
          <w:p w14:paraId="076ADF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Континенталь -670</w:t>
            </w:r>
          </w:p>
        </w:tc>
        <w:tc>
          <w:tcPr>
            <w:tcW w:w="1559" w:type="dxa"/>
          </w:tcPr>
          <w:p w14:paraId="2A18E3B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210</w:t>
            </w:r>
          </w:p>
        </w:tc>
        <w:tc>
          <w:tcPr>
            <w:tcW w:w="1681" w:type="dxa"/>
          </w:tcPr>
          <w:p w14:paraId="17E3A8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193</w:t>
            </w:r>
          </w:p>
        </w:tc>
        <w:tc>
          <w:tcPr>
            <w:tcW w:w="1681" w:type="dxa"/>
          </w:tcPr>
          <w:p w14:paraId="13C2825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0,92</w:t>
            </w:r>
          </w:p>
        </w:tc>
        <w:tc>
          <w:tcPr>
            <w:tcW w:w="1505" w:type="dxa"/>
          </w:tcPr>
          <w:p w14:paraId="280E5A4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1050</w:t>
            </w:r>
          </w:p>
        </w:tc>
      </w:tr>
      <w:tr w:rsidR="00E3599D" w:rsidRPr="00E14102" w14:paraId="7988983A" w14:textId="77777777">
        <w:trPr>
          <w:trHeight w:val="360"/>
        </w:trPr>
        <w:tc>
          <w:tcPr>
            <w:tcW w:w="641" w:type="dxa"/>
          </w:tcPr>
          <w:p w14:paraId="01FA503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w:t>
            </w:r>
          </w:p>
        </w:tc>
        <w:tc>
          <w:tcPr>
            <w:tcW w:w="2053" w:type="dxa"/>
          </w:tcPr>
          <w:p w14:paraId="7AE3BE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МГ-11</w:t>
            </w:r>
          </w:p>
        </w:tc>
        <w:tc>
          <w:tcPr>
            <w:tcW w:w="1559" w:type="dxa"/>
          </w:tcPr>
          <w:p w14:paraId="0E14AA8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150</w:t>
            </w:r>
          </w:p>
        </w:tc>
        <w:tc>
          <w:tcPr>
            <w:tcW w:w="1681" w:type="dxa"/>
          </w:tcPr>
          <w:p w14:paraId="49DF33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180</w:t>
            </w:r>
          </w:p>
        </w:tc>
        <w:tc>
          <w:tcPr>
            <w:tcW w:w="1681" w:type="dxa"/>
          </w:tcPr>
          <w:p w14:paraId="12C18E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w:t>
            </w:r>
          </w:p>
        </w:tc>
        <w:tc>
          <w:tcPr>
            <w:tcW w:w="1505" w:type="dxa"/>
          </w:tcPr>
          <w:p w14:paraId="26788B6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1075</w:t>
            </w:r>
          </w:p>
        </w:tc>
      </w:tr>
      <w:tr w:rsidR="00E3599D" w:rsidRPr="00E14102" w14:paraId="7F61AA0E" w14:textId="77777777">
        <w:trPr>
          <w:trHeight w:val="360"/>
        </w:trPr>
        <w:tc>
          <w:tcPr>
            <w:tcW w:w="641" w:type="dxa"/>
          </w:tcPr>
          <w:p w14:paraId="0844D08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w:t>
            </w:r>
          </w:p>
        </w:tc>
        <w:tc>
          <w:tcPr>
            <w:tcW w:w="2053" w:type="dxa"/>
          </w:tcPr>
          <w:p w14:paraId="53015E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Райт - 540Е</w:t>
            </w:r>
          </w:p>
        </w:tc>
        <w:tc>
          <w:tcPr>
            <w:tcW w:w="1559" w:type="dxa"/>
          </w:tcPr>
          <w:p w14:paraId="76A0C2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163</w:t>
            </w:r>
          </w:p>
        </w:tc>
        <w:tc>
          <w:tcPr>
            <w:tcW w:w="1681" w:type="dxa"/>
          </w:tcPr>
          <w:p w14:paraId="105D80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185</w:t>
            </w:r>
          </w:p>
        </w:tc>
        <w:tc>
          <w:tcPr>
            <w:tcW w:w="1681" w:type="dxa"/>
          </w:tcPr>
          <w:p w14:paraId="6E289B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1,12</w:t>
            </w:r>
          </w:p>
        </w:tc>
        <w:tc>
          <w:tcPr>
            <w:tcW w:w="1505" w:type="dxa"/>
          </w:tcPr>
          <w:p w14:paraId="26DCCAE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1146</w:t>
            </w:r>
          </w:p>
        </w:tc>
      </w:tr>
      <w:tr w:rsidR="00E3599D" w:rsidRPr="00E14102" w14:paraId="521B446F" w14:textId="77777777">
        <w:trPr>
          <w:trHeight w:val="360"/>
        </w:trPr>
        <w:tc>
          <w:tcPr>
            <w:tcW w:w="641" w:type="dxa"/>
          </w:tcPr>
          <w:p w14:paraId="60C5D1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w:t>
            </w:r>
          </w:p>
        </w:tc>
        <w:tc>
          <w:tcPr>
            <w:tcW w:w="2053" w:type="dxa"/>
          </w:tcPr>
          <w:p w14:paraId="2007A8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Монгауз Армст-Сидлей</w:t>
            </w:r>
          </w:p>
        </w:tc>
        <w:tc>
          <w:tcPr>
            <w:tcW w:w="1559" w:type="dxa"/>
          </w:tcPr>
          <w:p w14:paraId="60D3BFD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150</w:t>
            </w:r>
          </w:p>
        </w:tc>
        <w:tc>
          <w:tcPr>
            <w:tcW w:w="1681" w:type="dxa"/>
          </w:tcPr>
          <w:p w14:paraId="3672BDA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166</w:t>
            </w:r>
          </w:p>
        </w:tc>
        <w:tc>
          <w:tcPr>
            <w:tcW w:w="1681" w:type="dxa"/>
          </w:tcPr>
          <w:p w14:paraId="6AE335E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1,106</w:t>
            </w:r>
          </w:p>
        </w:tc>
        <w:tc>
          <w:tcPr>
            <w:tcW w:w="1505" w:type="dxa"/>
          </w:tcPr>
          <w:p w14:paraId="299848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1137</w:t>
            </w:r>
          </w:p>
        </w:tc>
      </w:tr>
      <w:tr w:rsidR="00E3599D" w:rsidRPr="00E14102" w14:paraId="7CC40F83" w14:textId="77777777">
        <w:trPr>
          <w:trHeight w:val="360"/>
        </w:trPr>
        <w:tc>
          <w:tcPr>
            <w:tcW w:w="641" w:type="dxa"/>
            <w:tcBorders>
              <w:bottom w:val="single" w:sz="12" w:space="0" w:color="auto"/>
            </w:tcBorders>
          </w:tcPr>
          <w:p w14:paraId="7B1D3D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w:t>
            </w:r>
          </w:p>
        </w:tc>
        <w:tc>
          <w:tcPr>
            <w:tcW w:w="2053" w:type="dxa"/>
            <w:tcBorders>
              <w:bottom w:val="single" w:sz="12" w:space="0" w:color="auto"/>
            </w:tcBorders>
          </w:tcPr>
          <w:p w14:paraId="2BD015C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Вальтер -Реглус-П</w:t>
            </w:r>
          </w:p>
        </w:tc>
        <w:tc>
          <w:tcPr>
            <w:tcW w:w="1559" w:type="dxa"/>
            <w:tcBorders>
              <w:bottom w:val="single" w:sz="12" w:space="0" w:color="auto"/>
            </w:tcBorders>
          </w:tcPr>
          <w:p w14:paraId="68E06A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185</w:t>
            </w:r>
          </w:p>
        </w:tc>
        <w:tc>
          <w:tcPr>
            <w:tcW w:w="1681" w:type="dxa"/>
            <w:tcBorders>
              <w:bottom w:val="single" w:sz="12" w:space="0" w:color="auto"/>
            </w:tcBorders>
          </w:tcPr>
          <w:p w14:paraId="045CF09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210</w:t>
            </w:r>
          </w:p>
        </w:tc>
        <w:tc>
          <w:tcPr>
            <w:tcW w:w="1681" w:type="dxa"/>
            <w:tcBorders>
              <w:bottom w:val="single" w:sz="12" w:space="0" w:color="auto"/>
            </w:tcBorders>
          </w:tcPr>
          <w:p w14:paraId="7C8687E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1,13</w:t>
            </w:r>
          </w:p>
        </w:tc>
        <w:tc>
          <w:tcPr>
            <w:tcW w:w="1505" w:type="dxa"/>
            <w:tcBorders>
              <w:bottom w:val="single" w:sz="12" w:space="0" w:color="auto"/>
            </w:tcBorders>
          </w:tcPr>
          <w:p w14:paraId="50197C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1215</w:t>
            </w:r>
          </w:p>
        </w:tc>
      </w:tr>
    </w:tbl>
    <w:p w14:paraId="089402B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Семья МГ по удельному весу и мощности несколько уступает на сегодняшний день заграничным моторам, но предусмотренная замена головок цилиндров и повышение степени сжатия позволит в 1935 г. довести моторы до соответствующих заграничных моторов.</w:t>
      </w:r>
    </w:p>
    <w:p w14:paraId="3139C0B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дальнейшем намечено довести мощность моторов за счет повышение количества оборотов импеллера и степени сжатия до следуютей величины: МГ-31 - до 400 л.с., МГ-21 - до 300 л.с. и МГ-11 до 220 л.с. Число часов между переборками предположено довести до 500.</w:t>
      </w:r>
    </w:p>
    <w:p w14:paraId="0FA3CF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Моторы находятся в настоящее время на заводших испытаниях и должны быть переданы на госиспытание.</w:t>
      </w:r>
    </w:p>
    <w:p w14:paraId="1A568E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М-61 /по номенклатуре Аэрофлота МГ-40/ 4-х цилиндровый перевернутого типа. Мотор сдан в производство в марте 1934 г. Окончание изготовления деталей намечено на 15.УП-35 г. Мотор предположено поставить на испытания 20.1Х-35 г. (391ё4,78).</w:t>
      </w:r>
    </w:p>
    <w:p w14:paraId="05A4D5E9" w14:textId="77777777" w:rsidR="00D4105E" w:rsidRPr="00E14102" w:rsidRDefault="00D4105E" w:rsidP="00E14102">
      <w:pPr>
        <w:autoSpaceDE w:val="0"/>
        <w:autoSpaceDN w:val="0"/>
        <w:adjustRightInd w:val="0"/>
        <w:jc w:val="both"/>
        <w:rPr>
          <w:color w:val="000000" w:themeColor="text1"/>
          <w:sz w:val="16"/>
          <w:szCs w:val="16"/>
        </w:rPr>
      </w:pPr>
    </w:p>
    <w:p w14:paraId="1FAEFB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июня 1935 была подготовлена для СТО т. Бакулова:</w:t>
      </w:r>
    </w:p>
    <w:p w14:paraId="16E8A0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w:t>
      </w:r>
    </w:p>
    <w:p w14:paraId="75683C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состоянии работ по паротурбине ПТ-1</w:t>
      </w:r>
    </w:p>
    <w:p w14:paraId="3AF524A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Паротурбинная установка ПТ-1 состоит из котла /парогенератора/ прямоточного типа, двух быстроходных многоступенчатых турбин, двух редукторов, конденсатор и насосной группы /состоящей из насоса питающего котел, топливного насоса и маслонасоса/ и автоматического регулирования, позволяющего летчику одним рычагом осуществлять управление всеми органами установки.</w:t>
      </w:r>
    </w:p>
    <w:p w14:paraId="698C50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Преимущества паротурбинной установки перед бензиновым авиационные мотором следующие:</w:t>
      </w:r>
    </w:p>
    <w:p w14:paraId="470551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1. Простое решение задачи высотности /мощность сохраняется постоянной до 10 тыс. м/.</w:t>
      </w:r>
    </w:p>
    <w:p w14:paraId="32171A3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Получение в одном агрегате значительной мощности во много тыс. л.с. при большей экономичности.</w:t>
      </w:r>
    </w:p>
    <w:p w14:paraId="3B568B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Питание двигателя любым сортом жидкого топлива, включая мазут и твердыми топливами.</w:t>
      </w:r>
    </w:p>
    <w:p w14:paraId="0243B17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Отсутствие зажигания.</w:t>
      </w:r>
    </w:p>
    <w:p w14:paraId="79FAC6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Снижение более чем вдвое шума при работе двигателя.</w:t>
      </w:r>
    </w:p>
    <w:p w14:paraId="248E47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Почти полное отсутствие вибрации в самом двигателе.</w:t>
      </w:r>
    </w:p>
    <w:p w14:paraId="014FA2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Высокая надежность работы.</w:t>
      </w:r>
    </w:p>
    <w:p w14:paraId="671399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В 20-25 раз меньший расход смазочных материалов.</w:t>
      </w:r>
    </w:p>
    <w:p w14:paraId="75F0EE4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Уменьшение в 10-15 раз амортизационных расходов.</w:t>
      </w:r>
    </w:p>
    <w:p w14:paraId="36F28B7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 Обеспечение теплофикации самолета наиболее простым путем.</w:t>
      </w:r>
    </w:p>
    <w:p w14:paraId="11DC199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 Большая долговечность.</w:t>
      </w:r>
    </w:p>
    <w:p w14:paraId="43CE576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Паротурбоустановка ПТ-1 обладает следующими проектными данными:</w:t>
      </w:r>
    </w:p>
    <w:p w14:paraId="5DFCB27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Суммарная мощность турбоустановки 3500 л.с.</w:t>
      </w:r>
    </w:p>
    <w:p w14:paraId="425725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Число оборотов турбины от 15000 до 16500 в мин.при редукцир 12,5.</w:t>
      </w:r>
    </w:p>
    <w:p w14:paraId="244FD1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Вес установки в первом опытном образце 1.4-1,5 кг на л.с.</w:t>
      </w:r>
    </w:p>
    <w:p w14:paraId="25306EE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Прямо точный котел производительностью в 13 тыс. кг пара в час при давлении пара в 30 атмосфер и температуре пара в 475° С. Вес котла все-1080 кг /во много десятков раз меньше при той же мощности, чем у судовых котлов/.</w:t>
      </w:r>
    </w:p>
    <w:p w14:paraId="4E1B6E0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Паротурбоустановка созданная по проекту ООД НИАД ГВФ была построена в порядке кооперации. Турбины изготовлены- на Кировском заводе (бывш. "Красный Путиловец”/, котел - на ЛМЗ им.Сталина, трубонасос и вентиляторы на ЛМЗ им. Сталина, конденсатор - на заводах № 32 и 34 ГУАП, тонкостенные трубки на Днепропетровском заводе им. Ленина. Автонатическое управление разработано и изготовляется Осконбюро ВОТИ и только отдельные элеиенты его выписаны из-за границы. Наладка и испытание всех агрегатов сконцентрирована на Кировском заводе, где построен специальный стенд, представлявший собой макет самолета ТБ-3 /который предаазначен для установки на него паротурбины/. Испытание отдельных агрегатов на стенде началось в ноябре 1934 г. и продолжается до настоящего времени.</w:t>
      </w:r>
    </w:p>
    <w:p w14:paraId="0D59FC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1/У1-35 г.:</w:t>
      </w:r>
    </w:p>
    <w:p w14:paraId="503D9B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Проверены под нагрузкой на полном числе оборотов турбины и и редуктора. При этом выявлена необходимость изготовления новых корпусов редукторов, т.к. ныне работающие по своим механическим качествам слабы и могут быть допущены к работе только на земле...(3419,80).</w:t>
      </w:r>
    </w:p>
    <w:p w14:paraId="668D3133" w14:textId="77777777" w:rsidR="00D4105E" w:rsidRPr="00E14102" w:rsidRDefault="00D4105E" w:rsidP="00E14102">
      <w:pPr>
        <w:autoSpaceDE w:val="0"/>
        <w:autoSpaceDN w:val="0"/>
        <w:adjustRightInd w:val="0"/>
        <w:jc w:val="both"/>
        <w:rPr>
          <w:color w:val="000000" w:themeColor="text1"/>
          <w:sz w:val="16"/>
          <w:szCs w:val="16"/>
        </w:rPr>
      </w:pPr>
    </w:p>
    <w:p w14:paraId="51A555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период с 7-го июня по 6 июля 1935 г. Дорнье "Валь" СССР-Н26 выполнял транспортные рейсы. 11-го июля с экипажем в составе: командира самолета А.Д.Алексеева, второго пилота Ф.Г.Еременко, летнаба Н.М.Жукова, 1-го бортмеханика К.Н.Сугробова и 2-го механика А.Пидточенного, Н26 стартовал из Красноярска для проведения ледовых разведок в южной части Карского Моря. Кроме этого, велся поиск запасных посадочных площадок и мест для постройки новых баз. Подходящими командир и штурман самолета посчитали бухту Абросимова, озеро Тоиндо (Амдерма) и залив Тюлений.</w:t>
      </w:r>
    </w:p>
    <w:p w14:paraId="4ED015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23-го июля в 11 ч. 16 мин. СССР-Н26 вылетел для более полного обследования, и аэрофотосъемки озера Тоиндо, но туман, закрывающий все побережье, заставил вернуться обратно. 25-го июля экипаж Алексеева произвел до- разведку вдоль Ямала через Карские Ворота для первого каравана судов с ледоколом "Ленин".</w:t>
      </w:r>
    </w:p>
    <w:p w14:paraId="1FCB60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Закончив работы в юго-западной части Карского моря и налетав при этом 35 час. 52 мин., СССР-Н26 стартовал из бухты Варнека курсом на восток. Этот перелет был начат без одобрения командира морского отряда Махоткина, который имел свое мнение о необходимости перебазирования летающей лодки. Подойдя к острову Белому, самолет встретил низовой туман, покрывавший восточную часть пролива Малыгина, и Алексеев решил сесть и переждать туман. При посадке в заливе Пага острова Белого из-за малых глубин при отливе лодка оказалась на мели. Только через двое суток, 28-го июля, экипаж, переждав непогоду и дождавшись прилива, прилетел на Диксон.</w:t>
      </w:r>
    </w:p>
    <w:p w14:paraId="584DC0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Ледовую разведку в Восточной части Карского моря СССР-Н26 начал 31-го июля. В 13 ч. 05 мин. он вылетел с Диксона по маршруту Диксон - м. Стерлигова - о. Русский - м. Неупоко- ева - точка с координатами 78°55' х 90°20' - м. Стерлигова, где самолет и должен был базироваться. Полет проходил в хороших погодных условиях на высоте 1000 м. В точке с координатами 76° 55' х 88° 40' экипаж обнаружил архипелаг из 2 островов, покрытых растительностью и 3 острова без нее. Поначалу летчики посчитали, что открыли новую землю, но оказалось - острова Брюзевица (что такое о-ва Брюзевица, пока выяснить не удалось, а по указанным координатам расположены острова Сергея Кирова, открытые поэтапно во время плаваний "Красина" и "Малыгина" в 1934-1935 гг.).</w:t>
      </w:r>
    </w:p>
    <w:p w14:paraId="39CC12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3-го августа 1935 г. распоряжением начальника ГУСМП О.Ю.Шмидта и начальника УПА М.И.Шевелева, все тяжелые самолеты, к которым относились и Дорнье "Валь", были переключены на подстраховку перелета С.А.Леваневского. Но, так как вскоре перелет был отменен, 7-го августа Алексеев получил приказ вернуться на свою базу на мысе Стерлигова. Уже на следующий день лодка снова вылетела на разведку северо-восточной части Карского моря по маршруту м. Стерлигова - о. Русский - м. Неупокоева - фиорд Спартак - м. Неупокое- ва - о. Русский - м. Стерлигова.</w:t>
      </w:r>
    </w:p>
    <w:p w14:paraId="64F34E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базирования на Таймыре Алексеев получил задание на ледовую разведку для ледокола "Сибиряков", который подходил к мысу Оловянному, но, встретив у о. Гансена туман и шторм, самолет вернулся на р. Таймыру. Здесь экипажу пришлось жить на чердаке дома зимовки или в самолете. Первый механик Сугробов, не выдержал таких условий, простудился и заболел. Так как врача на базе не было, экипаж перелетел на мыс Стерлигова. Состояние больного не улучшилось, температура держалась высокой, доходя до 41,6°. Везти его в таком состоянии было невозможно, и 6-го сентября Алексеев привез врача с Диксона. Благодаря медицинской помощи больной начал быстро поправляться.</w:t>
      </w:r>
    </w:p>
    <w:p w14:paraId="650FD9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следующий день СССР-Н26 перелетел на Диксон, сдав Сугробова на попечение врачей.</w:t>
      </w:r>
    </w:p>
    <w:p w14:paraId="2C153B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11-го сентября пришло известие о пропаже самолета Ш-2 с Козловым и Линделем, вылетевших на поиски сухопутных аэродромов. 12-го сентября в 4 ч. 40 мин. лодка вылетела с Диксона в район возможной разведки Козлова. Подлетев к устью р. Таймыра, летчики увидели Ш-2, стоящий на берегу, недалеко от зимовки и пошли на посадку. При осмотре аварийного самолета, авиаторы решили эвакуировать его с места вынужденной посадки пароходом, а Линделя взять с собой и перевезти на м. Челюскина. Но из-за непогоды сделать это удалось только 16-го сентября. СССР-Н26 достиг мыса Челюскина, но приводниться из-за сильного прибоя не смог. Линделя высадили у мыса Вега, сообщив об этом на ледокол "Ермак" и мыс Челюскина.</w:t>
      </w:r>
    </w:p>
    <w:p w14:paraId="459E8F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23-го сентября СССР-Н26 выполнил рейс из Дудинки в Игарку и обратно. Затем с летающей лодки сняли морское снаряжение, и с 24-го сентября она перевозила грузы в Норильск. До 1 октября сделали 8 рейсов, доставили в Норильск 12000 кг грузов, а из Норильска в Дудинку 2000 кг горных образцов. Четвертого октября вернулись в Красноярск. Ресурс моторов практически закончился, и самолет по приказанию начальника УВС оставили на воде, как страховочный, а после того как необходимость в этом отпала, 15 октября вытащили на берег и сдали в Красноярские авиамастерские для ремонта.</w:t>
      </w:r>
    </w:p>
    <w:p w14:paraId="6EE292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 (11970).</w:t>
      </w:r>
    </w:p>
    <w:p w14:paraId="0510B73B" w14:textId="77777777" w:rsidR="00D4105E" w:rsidRPr="00E14102" w:rsidRDefault="00D4105E" w:rsidP="00E14102">
      <w:pPr>
        <w:autoSpaceDE w:val="0"/>
        <w:autoSpaceDN w:val="0"/>
        <w:adjustRightInd w:val="0"/>
        <w:jc w:val="both"/>
        <w:rPr>
          <w:color w:val="000000" w:themeColor="text1"/>
          <w:sz w:val="16"/>
          <w:szCs w:val="16"/>
        </w:rPr>
      </w:pPr>
    </w:p>
    <w:p w14:paraId="6D520528" w14:textId="77777777" w:rsidR="00E473A5" w:rsidRPr="00E14102" w:rsidRDefault="00E473A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E9CCE9B" w14:textId="77777777" w:rsidR="00E473A5" w:rsidRPr="00E14102" w:rsidRDefault="00E473A5" w:rsidP="00E14102">
      <w:pPr>
        <w:autoSpaceDE w:val="0"/>
        <w:autoSpaceDN w:val="0"/>
        <w:adjustRightInd w:val="0"/>
        <w:jc w:val="both"/>
        <w:rPr>
          <w:iCs/>
          <w:color w:val="000000" w:themeColor="text1"/>
          <w:sz w:val="16"/>
          <w:szCs w:val="16"/>
        </w:rPr>
      </w:pPr>
    </w:p>
    <w:p w14:paraId="60AF12E8" w14:textId="77777777" w:rsidR="00E473A5" w:rsidRPr="00E14102" w:rsidRDefault="00E473A5" w:rsidP="00E14102">
      <w:pPr>
        <w:jc w:val="both"/>
        <w:rPr>
          <w:color w:val="000000" w:themeColor="text1"/>
          <w:sz w:val="16"/>
          <w:szCs w:val="16"/>
        </w:rPr>
      </w:pPr>
      <w:r w:rsidRPr="00E14102">
        <w:rPr>
          <w:color w:val="000000" w:themeColor="text1"/>
          <w:sz w:val="16"/>
          <w:szCs w:val="16"/>
        </w:rPr>
        <w:t>7 июня 1935 г.</w:t>
      </w:r>
    </w:p>
    <w:p w14:paraId="37753F33" w14:textId="77777777" w:rsidR="00E473A5" w:rsidRPr="00E14102" w:rsidRDefault="00E473A5" w:rsidP="00E14102">
      <w:pPr>
        <w:jc w:val="both"/>
        <w:rPr>
          <w:color w:val="000000" w:themeColor="text1"/>
          <w:sz w:val="16"/>
          <w:szCs w:val="16"/>
        </w:rPr>
      </w:pPr>
      <w:r w:rsidRPr="00E14102">
        <w:rPr>
          <w:color w:val="000000" w:themeColor="text1"/>
          <w:sz w:val="16"/>
          <w:szCs w:val="16"/>
        </w:rPr>
        <w:t>О состоянии закупок оборудования станочного и машиностроительного рынка США для ЗИСа и ГАЗа</w:t>
      </w:r>
    </w:p>
    <w:p w14:paraId="2806571A" w14:textId="77777777" w:rsidR="00E473A5" w:rsidRPr="00E14102" w:rsidRDefault="00E473A5" w:rsidP="00E14102">
      <w:pPr>
        <w:jc w:val="both"/>
        <w:rPr>
          <w:color w:val="000000" w:themeColor="text1"/>
          <w:sz w:val="16"/>
          <w:szCs w:val="16"/>
        </w:rPr>
      </w:pPr>
      <w:r w:rsidRPr="00E14102">
        <w:rPr>
          <w:color w:val="000000" w:themeColor="text1"/>
          <w:sz w:val="16"/>
          <w:szCs w:val="16"/>
        </w:rPr>
        <w:t>Дорогой Аркадий Павлович! Кратко о состоянии дел по ЗИСу и ГАЗу.</w:t>
      </w:r>
    </w:p>
    <w:p w14:paraId="1648568A" w14:textId="77777777" w:rsidR="00E473A5" w:rsidRPr="00E14102" w:rsidRDefault="00E473A5" w:rsidP="00E14102">
      <w:pPr>
        <w:jc w:val="both"/>
        <w:rPr>
          <w:color w:val="000000" w:themeColor="text1"/>
          <w:sz w:val="16"/>
          <w:szCs w:val="16"/>
        </w:rPr>
      </w:pPr>
      <w:r w:rsidRPr="00E14102">
        <w:rPr>
          <w:color w:val="000000" w:themeColor="text1"/>
          <w:sz w:val="16"/>
          <w:szCs w:val="16"/>
        </w:rPr>
        <w:t>1. Разработка спецификаций комиссией ЗИСа идет неплохо по большинству основных цехов, кроме механического цеха. Механический цех - главнейший, и здесь на 4 июня 85-90% станков еще не закончены технической проработкой комиссией. Я ставлю задачу закончить техническую проработку в один месяц. Потребуется крайнее форсирование.</w:t>
      </w:r>
    </w:p>
    <w:p w14:paraId="702CBAA8" w14:textId="77777777" w:rsidR="00E473A5" w:rsidRPr="00E14102" w:rsidRDefault="00E473A5" w:rsidP="00E14102">
      <w:pPr>
        <w:jc w:val="both"/>
        <w:rPr>
          <w:color w:val="000000" w:themeColor="text1"/>
          <w:sz w:val="16"/>
          <w:szCs w:val="16"/>
        </w:rPr>
      </w:pPr>
      <w:r w:rsidRPr="00E14102">
        <w:rPr>
          <w:color w:val="000000" w:themeColor="text1"/>
          <w:sz w:val="16"/>
          <w:szCs w:val="16"/>
        </w:rPr>
        <w:t>2. Разработка спецификаций комиссией ГАЗа идет скверно, ибо вся работа задержалась из-за неприбытия Мерца, который появился только вчера. Он было собирался уехать в Детройт на неделю, что значило бы приступ к фактической работе по размещению отложить до 15 июня. После Ъ1А часа ^увещеваний он кажется набрался смелости взяться за работу в Нью-Йорке несколько раньше. Я опасаюсь за ГАЗ больше всего, тем более, что у них и людей совершенно недостаточно для форсированной работы. ГАЗ опоздал настолько, что к 1 января доставить основное оборудование вряд ли удастся.</w:t>
      </w:r>
    </w:p>
    <w:p w14:paraId="7F01A6A7" w14:textId="77777777" w:rsidR="00E473A5" w:rsidRPr="00E14102" w:rsidRDefault="00E473A5" w:rsidP="00E14102">
      <w:pPr>
        <w:jc w:val="both"/>
        <w:rPr>
          <w:color w:val="000000" w:themeColor="text1"/>
          <w:sz w:val="16"/>
          <w:szCs w:val="16"/>
        </w:rPr>
      </w:pPr>
      <w:r w:rsidRPr="00E14102">
        <w:rPr>
          <w:color w:val="000000" w:themeColor="text1"/>
          <w:sz w:val="16"/>
          <w:szCs w:val="16"/>
        </w:rPr>
        <w:t>3. Станочный и другие машиностроительные рынки в САСШ находятся в несколько более оживленном состоянии, чем пару лет тому назад. Но по ряду признаков и из личных разговоров с несколькими фирмами ("Буллард Акмэ", "Пратт и Витнет", "Натко", "Лэндис" и др.) я убедился, что интерес к нашим заказам у них очень большой. Сроки поставок даются приемлемые - 6-8 недель, до 3 месяцев. Цены в отдельных случаях дают базу для соглашения после уторгования, если не будем нервничать. И техническую помощь можно будет получить у ряда фирм. Например, по заказу на 2 молота мы кончили вчера на приемлемой цене и получили согласие снабдить нас рабочими чертежами и спецификацией материалов, а также посылку наших людей на завод фирмы. Такое требование я выставил также и на ковочные молоты и прессы. Думаю, что и здесь нам удастся кое-чего по техпомощи добиться.</w:t>
      </w:r>
    </w:p>
    <w:p w14:paraId="7D635CF6" w14:textId="77777777" w:rsidR="00E473A5" w:rsidRPr="00E14102" w:rsidRDefault="00E473A5" w:rsidP="00E14102">
      <w:pPr>
        <w:jc w:val="both"/>
        <w:rPr>
          <w:color w:val="000000" w:themeColor="text1"/>
          <w:sz w:val="16"/>
          <w:szCs w:val="16"/>
        </w:rPr>
      </w:pPr>
      <w:r w:rsidRPr="00E14102">
        <w:rPr>
          <w:color w:val="000000" w:themeColor="text1"/>
          <w:sz w:val="16"/>
          <w:szCs w:val="16"/>
        </w:rPr>
        <w:t xml:space="preserve">Однако по основным и решающим фирмам к нашему приезду мы имеем совершенно неудовлетворительные предложения по ценам. Действительно, фирмы ценят ничтожно факт покупки за наличные. И мое подозрение, высказанное тебе в Москве, что публика приучилась наживать на нашем кредите, имеет, я вижу, веские </w:t>
      </w:r>
      <w:r w:rsidRPr="00E14102">
        <w:rPr>
          <w:color w:val="000000" w:themeColor="text1"/>
          <w:sz w:val="16"/>
          <w:szCs w:val="16"/>
        </w:rPr>
        <w:lastRenderedPageBreak/>
        <w:t>основания. Тут мы должны прошибить сопротивление. Два обстоятельства затрудняют борьбу за цену: 1) спешка. Когда мы, наконец, научимся покупать как цивилизованные люди, то есть круглый год, постепенно, расшивая узкие места шаг за шагом. Это и есть планомерная рентабельная реконструкция, если она длится не три месяца и не один год; 2) то, что с фирмами начали разговор на базе укрупненного заказа. Получается так, что мы прижимаем фирму не со ступеньки на ступеньку, а сразу отдаем ей свои позиции, а заключив соглашение, выключаем из игры конкурентов на всю огромную, подчас, сумму заказа. Я предложил другую тактику: тактику мелких порций заказов. Ибо укрупненный заказ - это наше преимущество, а не обязательство. Пора торговаться за цену 1-2-5 станков, уторговывать это и видеть наяву компенсацию за дальнейшие заказы. Поверь, что это, в ряде случаев, даст гораздо лучшие результаты. Вообще, шаблон и схема вредны. И в данном случае, я вижу, что фирмы, которые имеют работу, должны быть атакованы не крупными суммами заказов, а другими, более гибкими, путями и, в частности, созданием соперничества и т.д. Тов. Боев, с которым я на эту тему говорил, согласился со мной.</w:t>
      </w:r>
    </w:p>
    <w:p w14:paraId="67F232CA" w14:textId="77777777" w:rsidR="00E473A5" w:rsidRPr="00E14102" w:rsidRDefault="00E473A5" w:rsidP="00E14102">
      <w:pPr>
        <w:jc w:val="both"/>
        <w:rPr>
          <w:color w:val="000000" w:themeColor="text1"/>
          <w:sz w:val="16"/>
          <w:szCs w:val="16"/>
        </w:rPr>
      </w:pPr>
      <w:r w:rsidRPr="00E14102">
        <w:rPr>
          <w:color w:val="000000" w:themeColor="text1"/>
          <w:sz w:val="16"/>
          <w:szCs w:val="16"/>
        </w:rPr>
        <w:t>Важным является вопрос о том, с чем сравнивать при оценке предложения: 1) не всегда есть возможность сравнить с прежними покупками; 2) за несколько лет были сделаны улуч[шения] в аналогичных станках. Короче, с ценой предстоит труднейшая работа. И сладкого я не ожидаю от нее, да при тропической нью-йоркской жаре. Но мы будем драться за цену зверски, ибо я не могу примириться с тем, чтоб за наличный расчет нас прокатили на тачке. И еще одно - как угодно, но я вмешиваюсь и в техническую сторону, в выбор оборудования. И тут с зисовцами я подробно говорил, заострив их внимание на тщательную проверку обещаемой фирмами производительности оборудования и фиксирование гарантий за эту производительность.</w:t>
      </w:r>
    </w:p>
    <w:p w14:paraId="51935F1A" w14:textId="77777777" w:rsidR="00E473A5" w:rsidRPr="00E14102" w:rsidRDefault="00E473A5" w:rsidP="00E14102">
      <w:pPr>
        <w:jc w:val="both"/>
        <w:rPr>
          <w:color w:val="000000" w:themeColor="text1"/>
          <w:sz w:val="16"/>
          <w:szCs w:val="16"/>
        </w:rPr>
      </w:pPr>
      <w:r w:rsidRPr="00E14102">
        <w:rPr>
          <w:color w:val="000000" w:themeColor="text1"/>
          <w:sz w:val="16"/>
          <w:szCs w:val="16"/>
        </w:rPr>
        <w:t>4. Амторг и Боев приняли нас с т. Альперовичем хорошо. Если пойдет так дальше, как установилось за эти три дня, я предвижу контактную работу с т. Боевым без серьезных недоразумений. Работу с Альперовичем мы делим по фирмам. Еще не развернули ее полным фронтом, но в ближайшие несколько дней она примет определенные формы и масштабы. Во всяком случае, я нашел свое место. Польза будет.</w:t>
      </w:r>
    </w:p>
    <w:p w14:paraId="1DB43B9E" w14:textId="77777777" w:rsidR="00E473A5" w:rsidRPr="00E14102" w:rsidRDefault="00E473A5" w:rsidP="00E14102">
      <w:pPr>
        <w:jc w:val="both"/>
        <w:rPr>
          <w:color w:val="000000" w:themeColor="text1"/>
          <w:sz w:val="16"/>
          <w:szCs w:val="16"/>
        </w:rPr>
      </w:pPr>
      <w:r w:rsidRPr="00E14102">
        <w:rPr>
          <w:color w:val="000000" w:themeColor="text1"/>
          <w:sz w:val="16"/>
          <w:szCs w:val="16"/>
        </w:rPr>
        <w:t>5. Люди у амовцев неплохие, как техники. Недостаток, что языком многие не владеют, и людей вообще мало. По крайней мере двух-трех работников сюда бы - Демьянюка и Тайкова (последний в Лондоне). Оба крайне полезны бы были. По ГАЗу в отношении людей ничего сказать не могу. Но ясно, что очень мало (9 человек, включая Мерца).</w:t>
      </w:r>
    </w:p>
    <w:p w14:paraId="265FE7B4" w14:textId="77777777" w:rsidR="00E473A5" w:rsidRPr="00E14102" w:rsidRDefault="00E473A5" w:rsidP="00E14102">
      <w:pPr>
        <w:jc w:val="both"/>
        <w:rPr>
          <w:color w:val="000000" w:themeColor="text1"/>
          <w:sz w:val="16"/>
          <w:szCs w:val="16"/>
        </w:rPr>
      </w:pPr>
      <w:r w:rsidRPr="00E14102">
        <w:rPr>
          <w:color w:val="000000" w:themeColor="text1"/>
          <w:sz w:val="16"/>
          <w:szCs w:val="16"/>
        </w:rPr>
        <w:t>6. Обязательно надо прислать уже теперь детали (литье и поковки), подлежащие обработке на закупаемых станках - для целей приемки. Не только жаль денег тратить на покупку этих деталей у Бьюика и Форда, но хуже всего то, что наши детали могут оказаться нетождественными с купленными. И тогда в цехах будет скандал - приспособления окажутся неподходящими. Нажми, пожалуйста, по этому вопросу. Во всяком случае, по деталям ЗИС-5 (грузовик) не должно быть задержек с отправкой.</w:t>
      </w:r>
    </w:p>
    <w:p w14:paraId="4848ACEC" w14:textId="77777777" w:rsidR="00E473A5" w:rsidRPr="00E14102" w:rsidRDefault="00E473A5" w:rsidP="00E14102">
      <w:pPr>
        <w:jc w:val="both"/>
        <w:rPr>
          <w:color w:val="000000" w:themeColor="text1"/>
          <w:sz w:val="16"/>
          <w:szCs w:val="16"/>
        </w:rPr>
      </w:pPr>
      <w:r w:rsidRPr="00E14102">
        <w:rPr>
          <w:color w:val="000000" w:themeColor="text1"/>
          <w:sz w:val="16"/>
          <w:szCs w:val="16"/>
        </w:rPr>
        <w:t>7. Амторговский аппарат очень слабый: техники-оперативники не плохие, а некоторые и хорошие (Нарышкин, Шмидт). Но их до жалости мало. Двух-трех инженеров надо прислать сюда.</w:t>
      </w:r>
    </w:p>
    <w:p w14:paraId="271EACFB" w14:textId="77777777" w:rsidR="00E473A5" w:rsidRPr="00E14102" w:rsidRDefault="00E473A5" w:rsidP="00E14102">
      <w:pPr>
        <w:jc w:val="both"/>
        <w:rPr>
          <w:color w:val="000000" w:themeColor="text1"/>
          <w:sz w:val="16"/>
          <w:szCs w:val="16"/>
        </w:rPr>
      </w:pPr>
      <w:r w:rsidRPr="00E14102">
        <w:rPr>
          <w:color w:val="000000" w:themeColor="text1"/>
          <w:sz w:val="16"/>
          <w:szCs w:val="16"/>
        </w:rPr>
        <w:t>8. Ищу - нельзя ли купить один-два готовых завода за бесценок. Кроме того, ряд других вопросов меня интересуют (нефть, удобрители и пр.). Все будет тебе известно.</w:t>
      </w:r>
    </w:p>
    <w:p w14:paraId="5EDEEB74" w14:textId="77777777" w:rsidR="00E473A5" w:rsidRPr="00E14102" w:rsidRDefault="00E473A5" w:rsidP="00E14102">
      <w:pPr>
        <w:jc w:val="both"/>
        <w:rPr>
          <w:color w:val="000000" w:themeColor="text1"/>
          <w:sz w:val="16"/>
          <w:szCs w:val="16"/>
        </w:rPr>
      </w:pPr>
      <w:r w:rsidRPr="00E14102">
        <w:rPr>
          <w:color w:val="000000" w:themeColor="text1"/>
          <w:sz w:val="16"/>
          <w:szCs w:val="16"/>
        </w:rPr>
        <w:t>С товарищеским приветом М. Сорокин РГАЭ. Ф. 413. On. 13. Д. 1046. Л. 18-24. Подлинник. Рукописный текст (18282).</w:t>
      </w:r>
    </w:p>
    <w:p w14:paraId="28FBABEA" w14:textId="77777777" w:rsidR="00E473A5" w:rsidRPr="00E14102" w:rsidRDefault="00E473A5" w:rsidP="00E14102">
      <w:pPr>
        <w:jc w:val="both"/>
        <w:rPr>
          <w:color w:val="000000" w:themeColor="text1"/>
          <w:sz w:val="16"/>
          <w:szCs w:val="16"/>
        </w:rPr>
      </w:pPr>
    </w:p>
    <w:p w14:paraId="59FF03A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73B063D" w14:textId="77777777" w:rsidR="00D4105E" w:rsidRPr="00E14102" w:rsidRDefault="00D4105E" w:rsidP="00E14102">
      <w:pPr>
        <w:autoSpaceDE w:val="0"/>
        <w:autoSpaceDN w:val="0"/>
        <w:adjustRightInd w:val="0"/>
        <w:jc w:val="both"/>
        <w:rPr>
          <w:iCs/>
          <w:color w:val="000000" w:themeColor="text1"/>
          <w:sz w:val="16"/>
          <w:szCs w:val="16"/>
        </w:rPr>
      </w:pPr>
    </w:p>
    <w:p w14:paraId="1E6B28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июня 1935 пленум ЦК ВКП(б) вывел из ЦК за бытовое разложение А.С.Енукидзе. В докладе Н.И.Ежова на него была возложена вина за подготовку заговора против И.В.С. (3908,347).</w:t>
      </w:r>
    </w:p>
    <w:p w14:paraId="0FF6F403" w14:textId="77777777" w:rsidR="00D4105E" w:rsidRPr="00E14102" w:rsidRDefault="00D4105E" w:rsidP="00E14102">
      <w:pPr>
        <w:autoSpaceDE w:val="0"/>
        <w:autoSpaceDN w:val="0"/>
        <w:adjustRightInd w:val="0"/>
        <w:jc w:val="both"/>
        <w:rPr>
          <w:color w:val="000000" w:themeColor="text1"/>
          <w:sz w:val="16"/>
          <w:szCs w:val="16"/>
        </w:rPr>
      </w:pPr>
    </w:p>
    <w:p w14:paraId="0FFBD4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июня 1935 приказом НКВД № 071 “Об организации работы по ликвидации детской беспризорности и безнадзорности” в составе АХУ НКВД был образован Отдел трудовых колоний для несовершеннолетних, в задачи которого входили: “а) организация приемников-распределителей и трудовых колоний НКВД; б) руководство всей их производственной, школьной и учебно-воспитательной работой, а также устройством воспитанников на работу по получении ими квалификации”. Начальником Отдела трудовых колоний для несовершеннолетних АХУ НКВД был назначен бывший управляющий Трудкоммуной № 2 НКВД (Люберецкой, помещалась в Николо-Угрешском монастыре) П. С. Перепелкин (7560).</w:t>
      </w:r>
    </w:p>
    <w:p w14:paraId="4B09BDAA" w14:textId="77777777" w:rsidR="00D4105E" w:rsidRPr="00E14102" w:rsidRDefault="00D4105E" w:rsidP="00E14102">
      <w:pPr>
        <w:autoSpaceDE w:val="0"/>
        <w:autoSpaceDN w:val="0"/>
        <w:adjustRightInd w:val="0"/>
        <w:jc w:val="both"/>
        <w:rPr>
          <w:color w:val="000000" w:themeColor="text1"/>
          <w:sz w:val="16"/>
          <w:szCs w:val="16"/>
        </w:rPr>
      </w:pPr>
    </w:p>
    <w:p w14:paraId="4FBE019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750E297" w14:textId="77777777" w:rsidR="00D4105E" w:rsidRPr="00E14102" w:rsidRDefault="00D4105E" w:rsidP="00E14102">
      <w:pPr>
        <w:autoSpaceDE w:val="0"/>
        <w:autoSpaceDN w:val="0"/>
        <w:adjustRightInd w:val="0"/>
        <w:jc w:val="both"/>
        <w:rPr>
          <w:iCs/>
          <w:color w:val="000000" w:themeColor="text1"/>
          <w:sz w:val="16"/>
          <w:szCs w:val="16"/>
        </w:rPr>
      </w:pPr>
    </w:p>
    <w:p w14:paraId="05118C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июня 1935 в Великобритании было сформировано новое правительство (3907,191).</w:t>
      </w:r>
    </w:p>
    <w:p w14:paraId="0D4EB02D" w14:textId="77777777" w:rsidR="00D4105E" w:rsidRPr="00E14102" w:rsidRDefault="00D4105E" w:rsidP="00E14102">
      <w:pPr>
        <w:autoSpaceDE w:val="0"/>
        <w:autoSpaceDN w:val="0"/>
        <w:adjustRightInd w:val="0"/>
        <w:jc w:val="both"/>
        <w:rPr>
          <w:color w:val="000000" w:themeColor="text1"/>
          <w:sz w:val="16"/>
          <w:szCs w:val="16"/>
        </w:rPr>
      </w:pPr>
    </w:p>
    <w:p w14:paraId="1EC9745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180AD62" w14:textId="77777777" w:rsidR="00D4105E" w:rsidRPr="00E14102" w:rsidRDefault="00D4105E" w:rsidP="00E14102">
      <w:pPr>
        <w:autoSpaceDE w:val="0"/>
        <w:autoSpaceDN w:val="0"/>
        <w:adjustRightInd w:val="0"/>
        <w:jc w:val="both"/>
        <w:rPr>
          <w:iCs/>
          <w:color w:val="000000" w:themeColor="text1"/>
          <w:sz w:val="16"/>
          <w:szCs w:val="16"/>
        </w:rPr>
      </w:pPr>
    </w:p>
    <w:p w14:paraId="30884D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июня 1935 состоялось заседание у врио начальника Глававиапрома Марголина о дефектах ТБ-3 (АНТ-6) (1077,131).</w:t>
      </w:r>
    </w:p>
    <w:p w14:paraId="78135ECD" w14:textId="77777777" w:rsidR="00D4105E" w:rsidRPr="00E14102" w:rsidRDefault="00D4105E" w:rsidP="00E14102">
      <w:pPr>
        <w:autoSpaceDE w:val="0"/>
        <w:autoSpaceDN w:val="0"/>
        <w:adjustRightInd w:val="0"/>
        <w:jc w:val="both"/>
        <w:rPr>
          <w:color w:val="000000" w:themeColor="text1"/>
          <w:sz w:val="16"/>
          <w:szCs w:val="16"/>
        </w:rPr>
      </w:pPr>
    </w:p>
    <w:p w14:paraId="1A28DD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8 июня по 29 июля 1935 в НИИ ВВС проводились гос. испытания доработанных машин ХАИ-1ВВ N 3211 и 44301 43 завода. Летали И.П.Белозеров и П.М.Стефановский (1148,29).</w:t>
      </w:r>
    </w:p>
    <w:p w14:paraId="2CB70763" w14:textId="77777777" w:rsidR="00D4105E" w:rsidRPr="00E14102" w:rsidRDefault="00D4105E" w:rsidP="00E14102">
      <w:pPr>
        <w:autoSpaceDE w:val="0"/>
        <w:autoSpaceDN w:val="0"/>
        <w:adjustRightInd w:val="0"/>
        <w:jc w:val="both"/>
        <w:rPr>
          <w:color w:val="000000" w:themeColor="text1"/>
          <w:sz w:val="16"/>
          <w:szCs w:val="16"/>
        </w:rPr>
      </w:pPr>
    </w:p>
    <w:p w14:paraId="04A32B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8 июня по 29 июля 1935 года проходили гос. испытания самолета ХАИ-1(в) (вооруженный вариант) с измененной конструкцией бомбардировочного вооружения (6817).</w:t>
      </w:r>
    </w:p>
    <w:p w14:paraId="02D1FC8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4CD0AA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Белозеров И.П.</w:t>
      </w:r>
    </w:p>
    <w:p w14:paraId="7C2D58D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72B730B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возможности использования самолета с измененной конструкцией бомбардировочного вооружения в качестве легкого бомбардировщика.</w:t>
      </w:r>
    </w:p>
    <w:p w14:paraId="78D49DE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летных и тактических данных самолета и сравнение их с данными предыдущих испытаний.</w:t>
      </w:r>
    </w:p>
    <w:p w14:paraId="0FBA23B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Возможность использования самолета в качестве учебной лаборатории – школах летнабов в Академии ВС.</w:t>
      </w:r>
    </w:p>
    <w:p w14:paraId="72F844D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Эксплуатационные испытания.</w:t>
      </w:r>
    </w:p>
    <w:p w14:paraId="397602D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F589D7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ХАИ-1(в), обладая хорошими летными данными: большой горизонтальной скоростью и достаточным потолком (со старым мотором М-22, освоенным нашей авиапромышленностью), при хороших эксплуатационных качествах (за исключением дефектов указанных в сводке испытаний), может быть использован в качестве скоростного учебного бомбардировщика в школах и строевых частях для обучения летнабов и штурманов бомбометанию с больших высот и на больших скоростях, а также для изучения вопросов боевого применения высотных и скоростных самолетов-бомбардировщиков.</w:t>
      </w:r>
    </w:p>
    <w:p w14:paraId="059CEAFF"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ХАИ-1(в) гос. испытания по бомбардировочному вооружению выдержал.</w:t>
      </w:r>
    </w:p>
    <w:p w14:paraId="6FEFDE5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Основным недостатком самолета ХАИ-1 (вооруженный вариант) является недостаточность огня задней огневой точки, не обеспечивающей надежной защиты задней полусферы, даже при групповом полете.</w:t>
      </w:r>
    </w:p>
    <w:p w14:paraId="6030FE0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p w14:paraId="528D3CE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Дневник проведения испытаний самолета ХАИ-1(в).</w:t>
      </w:r>
    </w:p>
    <w:p w14:paraId="0F669A9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ХАИ-1(в) № 3211</w:t>
      </w:r>
    </w:p>
    <w:p w14:paraId="6E45C54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 июня 1935 года</w:t>
      </w:r>
    </w:p>
    <w:p w14:paraId="05AD61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Осмотр самолета. Ознакомление с результатами испытаний самолета в 1933-34 годах и в 1934 году.</w:t>
      </w:r>
    </w:p>
    <w:p w14:paraId="6781396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Вылет самостоятельно на нем инженера-летчика Белозерова – 3 полета – 45 мин.</w:t>
      </w:r>
    </w:p>
    <w:p w14:paraId="6383BA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июня 1935 года</w:t>
      </w:r>
    </w:p>
    <w:p w14:paraId="4FA0102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на растряску бомб АФ-50 – 3 полета – 35 мин.</w:t>
      </w:r>
    </w:p>
    <w:p w14:paraId="4A99393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июня 1935 года</w:t>
      </w:r>
    </w:p>
    <w:p w14:paraId="73347C3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(АФ-50) и стрельба из переднего и заднего пулеметов – 1 полет 1 час. 10 мин.</w:t>
      </w:r>
    </w:p>
    <w:p w14:paraId="3F8D711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на растряску бомб АФ-100 – 2 полета – 25 мин.</w:t>
      </w:r>
    </w:p>
    <w:p w14:paraId="3039558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июня 1935 года</w:t>
      </w:r>
    </w:p>
    <w:p w14:paraId="2293F14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корпусами бомб АФ-100 с высоты 2500 м – 1 полет – 1 час. 20 мин.</w:t>
      </w:r>
    </w:p>
    <w:p w14:paraId="209B9EE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боевыми бомбами АФ с высоты 1200 м (4 бомбы). Стрельба из переднего и заднего пулемета. Экипаж -– 4 человека. Перегрузка 300 кг. – 1 полет – 1 час. 10 мин.</w:t>
      </w:r>
    </w:p>
    <w:p w14:paraId="0D2B347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июня 1935 года</w:t>
      </w:r>
    </w:p>
    <w:p w14:paraId="4D89B14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по земным мишеням из переднего и заднего пулеметов. 1 полет – 1 час. 10 мин.</w:t>
      </w:r>
    </w:p>
    <w:p w14:paraId="36637D3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с Н=5000 м. (4 бомбы АФ-50). Стрельба в воздухе на этой высоте из заднего турельного пулемета.</w:t>
      </w:r>
    </w:p>
    <w:p w14:paraId="21C6665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19 июня 1935 года</w:t>
      </w:r>
    </w:p>
    <w:p w14:paraId="5350F1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с Н=1500 м бомбами АФ-50. Стрельба по земным целям из заднего пулемета. 1 полет – 1 час.</w:t>
      </w:r>
    </w:p>
    <w:p w14:paraId="634E53F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июня 1935 года</w:t>
      </w:r>
    </w:p>
    <w:p w14:paraId="4EF7B34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начальником Института самолета –2 полета.</w:t>
      </w:r>
    </w:p>
    <w:p w14:paraId="0FA5530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июня 1935 года</w:t>
      </w:r>
    </w:p>
    <w:p w14:paraId="546F222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километраж Н=200 м. 1 полет – 40 мин.</w:t>
      </w:r>
    </w:p>
    <w:p w14:paraId="467D767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22 июня 1935 года</w:t>
      </w:r>
    </w:p>
    <w:p w14:paraId="5635FC8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самолета летчиками. 5 полетов – 2 часа.</w:t>
      </w:r>
    </w:p>
    <w:p w14:paraId="7025D6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июня 1935 года</w:t>
      </w:r>
    </w:p>
    <w:p w14:paraId="76A9B2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Съемка мотора для перестановки на второй самолет ХАИ-1 (в).</w:t>
      </w:r>
    </w:p>
    <w:p w14:paraId="6741B5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 июля 1935 года</w:t>
      </w:r>
    </w:p>
    <w:p w14:paraId="5EE8E1A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Эксплуатационные испытания по дополнительной программе (посадки) – 35 полетов – 2 час. 00 мин.</w:t>
      </w:r>
    </w:p>
    <w:p w14:paraId="272680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 июля 1935 года</w:t>
      </w:r>
    </w:p>
    <w:p w14:paraId="0B09EEF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Эксплуатационные испытания по дополнительной программе (посадки) – 111 полетов – 5 час. 51 мин.</w:t>
      </w:r>
    </w:p>
    <w:p w14:paraId="17209D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 11 июля 1935 года</w:t>
      </w:r>
    </w:p>
    <w:p w14:paraId="5943F41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Эксплуатационные испытания по дополнительной программе (посадки) – 67 полетов – 3 час. 45 мин.</w:t>
      </w:r>
    </w:p>
    <w:p w14:paraId="1EF8684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22 июля 1935 года</w:t>
      </w:r>
    </w:p>
    <w:p w14:paraId="3AC6508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боевое применение по маршруту Щелково-Серпухов-Владимир-Ногинск (бомбометание с Н=6550 м) – Щелково</w:t>
      </w:r>
    </w:p>
    <w:p w14:paraId="650C1CD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полет – 3 час. 10 мин.</w:t>
      </w:r>
    </w:p>
    <w:p w14:paraId="1CBC31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июля 1935 года</w:t>
      </w:r>
    </w:p>
    <w:p w14:paraId="7AC81A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испытание рации. – 1 полет – 25 мин.</w:t>
      </w:r>
    </w:p>
    <w:p w14:paraId="699AFE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июля 1935 года</w:t>
      </w:r>
    </w:p>
    <w:p w14:paraId="7A1B54C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замер расхода горючего Н=3000, 4000 м. 1 полет – 1 час.</w:t>
      </w:r>
    </w:p>
    <w:p w14:paraId="0590FB1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замер расхода горючего Н=1000, 2000 м. 1 полет- 50 мин.</w:t>
      </w:r>
    </w:p>
    <w:p w14:paraId="25FE5B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Проверка работы рации. 1 полет – 15 мин. (6817).</w:t>
      </w:r>
    </w:p>
    <w:p w14:paraId="2A0FFB6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ХАИ-1(в) № 44301</w:t>
      </w:r>
    </w:p>
    <w:p w14:paraId="422B718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 июня 1935 года</w:t>
      </w:r>
    </w:p>
    <w:p w14:paraId="17B0531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снятие девиации, фотографирование и проверка шага винта – 1 полет – 1 час.</w:t>
      </w:r>
    </w:p>
    <w:p w14:paraId="626F7E0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июня 1935 года</w:t>
      </w:r>
    </w:p>
    <w:p w14:paraId="6A42BD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километраж. 1 полет – 50 мин.</w:t>
      </w:r>
    </w:p>
    <w:p w14:paraId="1D7F7E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уничтожение девиации – 1 полет – 55 мин.</w:t>
      </w:r>
    </w:p>
    <w:p w14:paraId="3F33742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июня 1935 года</w:t>
      </w:r>
    </w:p>
    <w:p w14:paraId="33FAC92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подбор винта. 1 полет – 15 мин.</w:t>
      </w:r>
    </w:p>
    <w:p w14:paraId="37042C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июня 1935 года</w:t>
      </w:r>
    </w:p>
    <w:p w14:paraId="3628EE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и проба рации – 1 полет – 1 час. 10 мин.</w:t>
      </w:r>
    </w:p>
    <w:p w14:paraId="5B5BE21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июня 1935 года</w:t>
      </w:r>
    </w:p>
    <w:p w14:paraId="6EFE4C5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управляемость. – 1 полет – 1 час. 35 мин.</w:t>
      </w:r>
    </w:p>
    <w:p w14:paraId="2CC4D08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17 июня 1935 года</w:t>
      </w:r>
    </w:p>
    <w:p w14:paraId="1581646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инспектора ВС и начальника штаба НИИ ВС – 2 полета – 1 час. 55 мин.</w:t>
      </w:r>
    </w:p>
    <w:p w14:paraId="1FF5793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июня 1935 года</w:t>
      </w:r>
    </w:p>
    <w:p w14:paraId="27381CD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управляемость на Н=3000 м, 1000 м – 1 полет – 1 час. 10 мин.</w:t>
      </w:r>
    </w:p>
    <w:p w14:paraId="2EB7CA4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июня 1935 года</w:t>
      </w:r>
    </w:p>
    <w:p w14:paraId="5BD82C5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с Н=3000 м – 1 полет – 55 мин.</w:t>
      </w:r>
    </w:p>
    <w:p w14:paraId="0F2A971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замер расхода горючего по треугольнику: Щелково-Серпухов-Владимир-Щелково. 1 полет – 1 час. 52 мин.</w:t>
      </w:r>
    </w:p>
    <w:p w14:paraId="6FF34D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километраж на Н=200 м.</w:t>
      </w:r>
    </w:p>
    <w:p w14:paraId="63E1F96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июня 1935 года</w:t>
      </w:r>
    </w:p>
    <w:p w14:paraId="6F2989C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Опробование после замены мотора в воздухе и замер посадочных скоростей – 2 полета – 15 мин.</w:t>
      </w:r>
    </w:p>
    <w:p w14:paraId="2798962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 июня 1935 года</w:t>
      </w:r>
    </w:p>
    <w:p w14:paraId="23C61D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на замер посадочных скоростей – 4 полета. Полет на потолок (55000 м) – 1 полет.</w:t>
      </w:r>
    </w:p>
    <w:p w14:paraId="0261F4B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потолок (5850 м) – 1 полет.</w:t>
      </w:r>
    </w:p>
    <w:p w14:paraId="02F51E1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Итого: 6 полетов – 3 час. 25 мин.</w:t>
      </w:r>
    </w:p>
    <w:p w14:paraId="108F3E0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июня 1935 года</w:t>
      </w:r>
    </w:p>
    <w:p w14:paraId="624A964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километраж с убранным шасси – 1 полет – 50 мин.</w:t>
      </w:r>
    </w:p>
    <w:p w14:paraId="627520C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июля 1935 года</w:t>
      </w:r>
    </w:p>
    <w:p w14:paraId="4277058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Эксплуатационные испытания (посадки).</w:t>
      </w:r>
    </w:p>
    <w:p w14:paraId="6B1CBF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88 полетов – 6 час. 15 мин.</w:t>
      </w:r>
    </w:p>
    <w:p w14:paraId="48F8C89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 июля 1935 года</w:t>
      </w:r>
    </w:p>
    <w:p w14:paraId="0B33295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замер расходов горючего – 1 полет –1 час. 25 мин.</w:t>
      </w:r>
    </w:p>
    <w:p w14:paraId="44C586B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 июля 1935 года</w:t>
      </w:r>
    </w:p>
    <w:p w14:paraId="68CEA0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замер расходов горючего – 1 полет.</w:t>
      </w:r>
    </w:p>
    <w:p w14:paraId="59F0564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 июля 1935 года</w:t>
      </w:r>
    </w:p>
    <w:p w14:paraId="742A73F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Эксплуатационные испытания (посадки).</w:t>
      </w:r>
    </w:p>
    <w:p w14:paraId="1BB1032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72 посадки – 6 час. 05 мин.</w:t>
      </w:r>
    </w:p>
    <w:p w14:paraId="70D309B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 июля 1935 года</w:t>
      </w:r>
    </w:p>
    <w:p w14:paraId="6B29B3A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Эксплуатационные испытания, самолет при резком торможении стал на нос (летчик Стефановский) – 10 посадок –1 час. 10 мин.</w:t>
      </w:r>
    </w:p>
    <w:p w14:paraId="39DE3B2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 все время испытания на самолетах было сделано 466 посадок, налетано в воздухе 77 час. 34 мин., полетных дней – 24 (6817).</w:t>
      </w:r>
    </w:p>
    <w:p w14:paraId="1D8F27A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7F0C9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июня 1935 СНК СССР принял постановление о спецнаборе в летные и технические школы ВВС и местным органам поручили отобрать более 10 тыс. (438,688).</w:t>
      </w:r>
    </w:p>
    <w:p w14:paraId="0B7A5D52" w14:textId="77777777" w:rsidR="00D4105E" w:rsidRPr="00E14102" w:rsidRDefault="00D4105E" w:rsidP="00E14102">
      <w:pPr>
        <w:autoSpaceDE w:val="0"/>
        <w:autoSpaceDN w:val="0"/>
        <w:adjustRightInd w:val="0"/>
        <w:jc w:val="both"/>
        <w:rPr>
          <w:color w:val="000000" w:themeColor="text1"/>
          <w:sz w:val="16"/>
          <w:szCs w:val="16"/>
        </w:rPr>
      </w:pPr>
    </w:p>
    <w:p w14:paraId="705ACD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июня 1935 В.Д.Козуля установил всесоюзный рекорд высоты парашютного прыжка без КП, спустившись с 7445 м (438,688).</w:t>
      </w:r>
    </w:p>
    <w:p w14:paraId="66974350" w14:textId="77777777" w:rsidR="00D4105E" w:rsidRPr="00E14102" w:rsidRDefault="00D4105E" w:rsidP="00E14102">
      <w:pPr>
        <w:autoSpaceDE w:val="0"/>
        <w:autoSpaceDN w:val="0"/>
        <w:adjustRightInd w:val="0"/>
        <w:jc w:val="both"/>
        <w:rPr>
          <w:color w:val="000000" w:themeColor="text1"/>
          <w:sz w:val="16"/>
          <w:szCs w:val="16"/>
        </w:rPr>
      </w:pPr>
    </w:p>
    <w:p w14:paraId="53FE334C" w14:textId="77777777" w:rsidR="0051135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A02BF47" w14:textId="77777777" w:rsidR="0051135A" w:rsidRPr="00E14102" w:rsidRDefault="0051135A" w:rsidP="00E14102">
      <w:pPr>
        <w:autoSpaceDE w:val="0"/>
        <w:autoSpaceDN w:val="0"/>
        <w:adjustRightInd w:val="0"/>
        <w:jc w:val="both"/>
        <w:rPr>
          <w:iCs/>
          <w:color w:val="000000" w:themeColor="text1"/>
          <w:sz w:val="16"/>
          <w:szCs w:val="16"/>
        </w:rPr>
      </w:pPr>
    </w:p>
    <w:p w14:paraId="3670EA60" w14:textId="77777777" w:rsidR="0051135A" w:rsidRPr="00E14102" w:rsidRDefault="0051135A" w:rsidP="00E14102">
      <w:pPr>
        <w:pStyle w:val="rtejustify"/>
        <w:spacing w:before="0" w:after="0"/>
        <w:rPr>
          <w:color w:val="000000" w:themeColor="text1"/>
          <w:sz w:val="16"/>
          <w:szCs w:val="16"/>
        </w:rPr>
      </w:pPr>
      <w:r w:rsidRPr="00E14102">
        <w:rPr>
          <w:rStyle w:val="a6"/>
          <w:bCs/>
          <w:i w:val="0"/>
          <w:color w:val="000000" w:themeColor="text1"/>
          <w:sz w:val="16"/>
          <w:szCs w:val="16"/>
        </w:rPr>
        <w:t>8 июня 1935 вышел приказ НКО №</w:t>
      </w:r>
      <w:r w:rsidRPr="00E14102">
        <w:rPr>
          <w:color w:val="000000" w:themeColor="text1"/>
          <w:sz w:val="16"/>
          <w:szCs w:val="16"/>
        </w:rPr>
        <w:t> 093. О переименовании минного заградителя ТФ «Ставрополь» в «Ворошиловск» (15247).</w:t>
      </w:r>
    </w:p>
    <w:p w14:paraId="24DC27B7" w14:textId="77777777" w:rsidR="0051135A" w:rsidRPr="00E14102" w:rsidRDefault="0051135A" w:rsidP="00E14102">
      <w:pPr>
        <w:pStyle w:val="rtejustify"/>
        <w:spacing w:before="0" w:after="0"/>
        <w:rPr>
          <w:color w:val="000000" w:themeColor="text1"/>
          <w:sz w:val="16"/>
          <w:szCs w:val="16"/>
        </w:rPr>
      </w:pPr>
    </w:p>
    <w:p w14:paraId="2CEC4BD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026E921" w14:textId="77777777" w:rsidR="00D4105E" w:rsidRPr="00E14102" w:rsidRDefault="00D4105E" w:rsidP="00E14102">
      <w:pPr>
        <w:autoSpaceDE w:val="0"/>
        <w:autoSpaceDN w:val="0"/>
        <w:adjustRightInd w:val="0"/>
        <w:jc w:val="both"/>
        <w:rPr>
          <w:iCs/>
          <w:color w:val="000000" w:themeColor="text1"/>
          <w:sz w:val="16"/>
          <w:szCs w:val="16"/>
        </w:rPr>
      </w:pPr>
    </w:p>
    <w:p w14:paraId="6FCA3E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июня 1935 года Алкснис писал письмо N 40/0811 Орджоникидзе и Ворошилову.</w:t>
      </w:r>
    </w:p>
    <w:p w14:paraId="3CDCDC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дефектах самолетов ТБ3 М34Р делающих их опасными для полетов и не боеспособными.</w:t>
      </w:r>
    </w:p>
    <w:p w14:paraId="00103A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самолеты ТБ3 М34Р, изготовленные заводом N 22 в 1934 году в количестве 150 шт., имеют такие конструктивные и производственные дефекты, из-за которых они опасны для полетов и небоеспособны. (3104,127-130).</w:t>
      </w:r>
    </w:p>
    <w:p w14:paraId="09A24FDF" w14:textId="77777777" w:rsidR="00D4105E" w:rsidRPr="00E14102" w:rsidRDefault="00D4105E" w:rsidP="00E14102">
      <w:pPr>
        <w:autoSpaceDE w:val="0"/>
        <w:autoSpaceDN w:val="0"/>
        <w:adjustRightInd w:val="0"/>
        <w:jc w:val="both"/>
        <w:rPr>
          <w:color w:val="000000" w:themeColor="text1"/>
          <w:sz w:val="16"/>
          <w:szCs w:val="16"/>
        </w:rPr>
      </w:pPr>
    </w:p>
    <w:p w14:paraId="32DED7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июня 1935 года в НИИ ВВС закончились испытания на перевернутый штопор самолета И-5, которые проходили с 7 июня 1935</w:t>
      </w:r>
    </w:p>
    <w:p w14:paraId="29EC3E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6719CD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Исследование перевернутого штопора на самолете И-5 для выработки указаний строевым частям по выполнению перевернутых штопоров в связи с имевшимися случаями в строевых частях не выхода самолета И-5 из такого штопора.</w:t>
      </w:r>
    </w:p>
    <w:p w14:paraId="63E754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CA7608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Выход самолета И-5 из перевернутого штопора обеспечивается при нормальном вводе (нога до отказа, ручка вперед и в сторону обратную ноге) и нормальном выводе (обратная нога, ручка на себя и положение немного за нейтральное). При выполнении или выводе из перевернутого штопора, самолет переходит в опасный режим из которого при испытаниях не вышел.</w:t>
      </w:r>
    </w:p>
    <w:p w14:paraId="7C2F47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9213"/>
      </w:tblGrid>
      <w:tr w:rsidR="00E3599D" w:rsidRPr="00E14102" w14:paraId="6E13B0C1" w14:textId="77777777">
        <w:tc>
          <w:tcPr>
            <w:tcW w:w="1668" w:type="dxa"/>
            <w:tcBorders>
              <w:top w:val="single" w:sz="12" w:space="0" w:color="auto"/>
            </w:tcBorders>
          </w:tcPr>
          <w:p w14:paraId="3CE084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июня 1935 года</w:t>
            </w:r>
          </w:p>
        </w:tc>
        <w:tc>
          <w:tcPr>
            <w:tcW w:w="9213" w:type="dxa"/>
            <w:tcBorders>
              <w:top w:val="single" w:sz="12" w:space="0" w:color="auto"/>
            </w:tcBorders>
          </w:tcPr>
          <w:p w14:paraId="0C5127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Тренировочные полеты в нормальном штопоре и полете на спине инженером-летчиком Филиным и летчиком испытателем Стефановским.</w:t>
            </w:r>
          </w:p>
          <w:p w14:paraId="206114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Филин – 1 полет</w:t>
            </w:r>
          </w:p>
          <w:p w14:paraId="47539F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Стефановский – 2 полета</w:t>
            </w:r>
          </w:p>
        </w:tc>
      </w:tr>
      <w:tr w:rsidR="00E3599D" w:rsidRPr="00E14102" w14:paraId="68B25A10" w14:textId="77777777">
        <w:tc>
          <w:tcPr>
            <w:tcW w:w="1668" w:type="dxa"/>
            <w:tcBorders>
              <w:bottom w:val="single" w:sz="12" w:space="0" w:color="auto"/>
            </w:tcBorders>
          </w:tcPr>
          <w:p w14:paraId="0470BD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июня 1935 года</w:t>
            </w:r>
          </w:p>
        </w:tc>
        <w:tc>
          <w:tcPr>
            <w:tcW w:w="9213" w:type="dxa"/>
            <w:tcBorders>
              <w:bottom w:val="single" w:sz="12" w:space="0" w:color="auto"/>
            </w:tcBorders>
          </w:tcPr>
          <w:p w14:paraId="741516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Тренировочные полеты инженера-летчика Филина и летчиков испытателей Стефановского и Степанченка.</w:t>
            </w:r>
          </w:p>
          <w:p w14:paraId="681F22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Филин – 1 полет</w:t>
            </w:r>
          </w:p>
          <w:p w14:paraId="0D87E6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Стефановский – 2 полета, из них один на перевернутый штопор</w:t>
            </w:r>
          </w:p>
          <w:p w14:paraId="31B0DA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Степанченок – 3 полета (3988)</w:t>
            </w:r>
          </w:p>
        </w:tc>
      </w:tr>
    </w:tbl>
    <w:p w14:paraId="1D35FF37" w14:textId="77777777" w:rsidR="00D4105E" w:rsidRPr="00E14102" w:rsidRDefault="00D4105E" w:rsidP="00E14102">
      <w:pPr>
        <w:autoSpaceDE w:val="0"/>
        <w:autoSpaceDN w:val="0"/>
        <w:adjustRightInd w:val="0"/>
        <w:jc w:val="both"/>
        <w:rPr>
          <w:color w:val="000000" w:themeColor="text1"/>
          <w:sz w:val="16"/>
          <w:szCs w:val="16"/>
        </w:rPr>
      </w:pPr>
    </w:p>
    <w:p w14:paraId="3B8CAD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июня 1935 вышел приказ ГУАП НКТП N 30/188 в котором на основании постановления СТО от 26 апреля 1935 приказано развернуть строительство труб на Раменском участке (1024,98).</w:t>
      </w:r>
    </w:p>
    <w:p w14:paraId="1EF97235" w14:textId="77777777" w:rsidR="00D4105E" w:rsidRPr="00E14102" w:rsidRDefault="00D4105E" w:rsidP="00E14102">
      <w:pPr>
        <w:autoSpaceDE w:val="0"/>
        <w:autoSpaceDN w:val="0"/>
        <w:adjustRightInd w:val="0"/>
        <w:jc w:val="both"/>
        <w:rPr>
          <w:color w:val="000000" w:themeColor="text1"/>
          <w:sz w:val="16"/>
          <w:szCs w:val="16"/>
        </w:rPr>
      </w:pPr>
    </w:p>
    <w:p w14:paraId="629F20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июня 1935 года Алкснис писал письмо N нв/03328 Тухачевскому.</w:t>
      </w:r>
    </w:p>
    <w:p w14:paraId="0DB10E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Евпатории согласно приказа НКО за N 065 на самолетах "ЗЕТ" проводится работа с пушками АПК-4.(2484,14).</w:t>
      </w:r>
    </w:p>
    <w:p w14:paraId="5C929E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исполнение постановления СТО СССР от 7 апреля 1932 для определения тактики и боевогоприменения пушечной авиации и для отработки правил стрельбы приказом НКО № 065 создана особая группа: звено Зет, звено Р-5 и один ТБ-1, которая была направлена в Евпаторию. С 15 марта 1935 группа бездействует в Евпатории в ожидании пушек. Требуется 6 АПК-4М и одно 37-мм ружье Курчевского.” (3996, 94).</w:t>
      </w:r>
    </w:p>
    <w:p w14:paraId="7FDE2D82" w14:textId="77777777" w:rsidR="00D4105E" w:rsidRPr="00E14102" w:rsidRDefault="00D4105E" w:rsidP="00E14102">
      <w:pPr>
        <w:autoSpaceDE w:val="0"/>
        <w:autoSpaceDN w:val="0"/>
        <w:adjustRightInd w:val="0"/>
        <w:jc w:val="both"/>
        <w:rPr>
          <w:color w:val="000000" w:themeColor="text1"/>
          <w:sz w:val="16"/>
          <w:szCs w:val="16"/>
        </w:rPr>
      </w:pPr>
    </w:p>
    <w:p w14:paraId="0984CC31" w14:textId="77777777" w:rsidR="0051135A" w:rsidRPr="00E14102" w:rsidRDefault="0051135A" w:rsidP="00E14102">
      <w:pPr>
        <w:jc w:val="both"/>
        <w:rPr>
          <w:color w:val="000000" w:themeColor="text1"/>
          <w:sz w:val="16"/>
          <w:szCs w:val="16"/>
        </w:rPr>
      </w:pPr>
      <w:r w:rsidRPr="00E14102">
        <w:rPr>
          <w:color w:val="000000" w:themeColor="text1"/>
          <w:sz w:val="16"/>
          <w:szCs w:val="16"/>
        </w:rPr>
        <w:t>9 июня 1935 г. Алкснис направил Курчевскому письмо: «Во исполнение Постановления СТО СССР от 7.04.1935 г. для определения тактики и боевого применения пушечной авиации и для отработки правил стрельбы приказом НКО СССР № 065 создана особая группа: звено “ЗЕТ”, звено Р-5 и один ТБ-1, которая была направлена в Евпаторию. С 15.03.1935 г. группа бездействует в Евпатории в ожидании пушек. Требуется 6 АПК-4М и одно 37-мм ружье Курчевского» (15117).</w:t>
      </w:r>
    </w:p>
    <w:p w14:paraId="469A1FEF" w14:textId="77777777" w:rsidR="0051135A" w:rsidRPr="00E14102" w:rsidRDefault="0051135A" w:rsidP="00E14102">
      <w:pPr>
        <w:jc w:val="both"/>
        <w:rPr>
          <w:color w:val="000000" w:themeColor="text1"/>
          <w:sz w:val="16"/>
          <w:szCs w:val="16"/>
        </w:rPr>
      </w:pPr>
    </w:p>
    <w:p w14:paraId="21C7ED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нюня 1935 года городской комитет партии принял решение об организации в Таганроге аэроклуба. Был создан оргкомитет, куда вошли талантливые и энергичные инженеры и летчики — П. А. Номан, А.А. Ульсен, Г. М. Бериев, И. И. Чигирев и другие. За сравнительно короткий срок, всего за 22 дня, они сумели практически осуществить этот вопрос. Был организован ремонт трех планеров, и еще три планера были куплены.</w:t>
      </w:r>
    </w:p>
    <w:p w14:paraId="0DE145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позволило уже 5 августа открыть городскую планерную школу, ее курсантами стали первые 25 молодых рабочих и студентов. В августе того же года были получены с помощью прославленного летчика одного из первых Героев Советского Союза В. С. Молокова, побывавшего в гостях у таганрогских аэроклубовцев, два самолета У-2. Он понял, что желание летать у ребят есть, и желание огромное, но не хватало самого главного — не было самолетов.</w:t>
      </w:r>
    </w:p>
    <w:p w14:paraId="162DC4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Июль— август 1935 года — это весьма знаменательный этап в истории таганрогского аэроклубовского движения. В июле под руководством энергичного и опытного летчика, прекрасного организатора А. А. Ульсена в заводском аэроклубе стали самостоятельно летать первые учлеты — лучшие в учебе и ударники производства. Отлично выполнили все учебные взлеты, посадки, виражи на самолете У-2 Тимашпольский, Лапигин, Шаповалов, Феклюнин (11642).</w:t>
      </w:r>
    </w:p>
    <w:p w14:paraId="74C97E80" w14:textId="77777777" w:rsidR="00D4105E" w:rsidRPr="00E14102" w:rsidRDefault="00D4105E" w:rsidP="00E14102">
      <w:pPr>
        <w:autoSpaceDE w:val="0"/>
        <w:autoSpaceDN w:val="0"/>
        <w:adjustRightInd w:val="0"/>
        <w:jc w:val="both"/>
        <w:rPr>
          <w:color w:val="000000" w:themeColor="text1"/>
          <w:sz w:val="16"/>
          <w:szCs w:val="16"/>
        </w:rPr>
      </w:pPr>
    </w:p>
    <w:p w14:paraId="7106D8E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 июня 1935 начались полигонные испытания агитационных реактивных мин конструкции Тверского (6818).</w:t>
      </w:r>
    </w:p>
    <w:p w14:paraId="2EBBFF0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производились на Ногинском полигоне.</w:t>
      </w:r>
    </w:p>
    <w:p w14:paraId="7D341CD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534347C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Определить характер функционирования мины: реактивного заряда, раскрытия и площади залистовывания.</w:t>
      </w:r>
    </w:p>
    <w:p w14:paraId="5724CDC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9F7C94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Агитмина испытаний не выдержала (6818).</w:t>
      </w:r>
    </w:p>
    <w:p w14:paraId="71F25FA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7A4D150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 июня 1935 года вышел Приказ НИИ ВС № 0266 О проведении полигонных испытаний воздушно-реактивной торпеды и агитационных мин конструкции инженера Тверского.</w:t>
      </w:r>
    </w:p>
    <w:p w14:paraId="7A2BF18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начать 9 июня на Ногинском полигоне (6813, 88).</w:t>
      </w:r>
    </w:p>
    <w:p w14:paraId="02DD8F0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8C3CD7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июня 1935 во время огневых испытаний на Ногинском полигоне в момент старта первой торпеды произошел взрыв двига</w:t>
      </w:r>
      <w:r w:rsidRPr="00E14102">
        <w:rPr>
          <w:color w:val="000000" w:themeColor="text1"/>
          <w:sz w:val="16"/>
          <w:szCs w:val="16"/>
        </w:rPr>
        <w:softHyphen/>
        <w:t>теля в районе колосниковой диафрагмы. Крупные металлические фраг</w:t>
      </w:r>
      <w:r w:rsidRPr="00E14102">
        <w:rPr>
          <w:color w:val="000000" w:themeColor="text1"/>
          <w:sz w:val="16"/>
          <w:szCs w:val="16"/>
        </w:rPr>
        <w:softHyphen/>
        <w:t>менты корпуса боеприпаса и большую часть пороховых шашек частично сгоревшего РЗ разметало в радиусе до 150 м. Сопло с тяжелым стабили</w:t>
      </w:r>
      <w:r w:rsidRPr="00E14102">
        <w:rPr>
          <w:color w:val="000000" w:themeColor="text1"/>
          <w:sz w:val="16"/>
          <w:szCs w:val="16"/>
        </w:rPr>
        <w:softHyphen/>
        <w:t>затором улетело вперед на 15 м от станка. Взрыв повредил и сам станок. Причиной взрыва испытатели посчитали низкое качество материала ра</w:t>
      </w:r>
      <w:r w:rsidRPr="00E14102">
        <w:rPr>
          <w:color w:val="000000" w:themeColor="text1"/>
          <w:sz w:val="16"/>
          <w:szCs w:val="16"/>
        </w:rPr>
        <w:softHyphen/>
        <w:t>кетной камеры (плохо термически обработанная сталь с неравномерной структурой содержала много посторонних включений), а также негод</w:t>
      </w:r>
      <w:r w:rsidRPr="00E14102">
        <w:rPr>
          <w:color w:val="000000" w:themeColor="text1"/>
          <w:sz w:val="16"/>
          <w:szCs w:val="16"/>
        </w:rPr>
        <w:softHyphen/>
        <w:t>ный бракованный порох РЗ (шашки с наружными и внутренними тре</w:t>
      </w:r>
      <w:r w:rsidRPr="00E14102">
        <w:rPr>
          <w:color w:val="000000" w:themeColor="text1"/>
          <w:sz w:val="16"/>
          <w:szCs w:val="16"/>
        </w:rPr>
        <w:softHyphen/>
        <w:t>щинами и нежелатинизированными слоями).</w:t>
      </w:r>
    </w:p>
    <w:p w14:paraId="5AAD24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НИО завода №67 М.Н.Тверской работал со штатными фугасными и бронебойными авиабомбами. Для размещения ракетных двигателей в боевом заряде в районе заднего кока боеприпасов высверливали глухое отверстие, куда помещали блок ракетного ускорителя. На первый взгляд, меньше всего хлопот доставляли фугасные авиабомбы конструкции Орановского с кольцевыми стабилизаторами. Однако, если задняя часть корпуса боеприпаса отводилась под ракетную часть, то взрыватель при</w:t>
      </w:r>
      <w:r w:rsidRPr="00E14102">
        <w:rPr>
          <w:color w:val="000000" w:themeColor="text1"/>
          <w:sz w:val="16"/>
          <w:szCs w:val="16"/>
        </w:rPr>
        <w:softHyphen/>
        <w:t>ходилось перемещать в его головную часть.</w:t>
      </w:r>
    </w:p>
    <w:p w14:paraId="3F6782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БРАВ и ФАБ новых моделей было еще сложнее. Коробчатые стаби</w:t>
      </w:r>
      <w:r w:rsidRPr="00E14102">
        <w:rPr>
          <w:color w:val="000000" w:themeColor="text1"/>
          <w:sz w:val="16"/>
          <w:szCs w:val="16"/>
        </w:rPr>
        <w:softHyphen/>
        <w:t>лизаторы «американского типа» у нас начали использовать лишь с 1939 г., а в перистые крестообразные большого удлинения для отвода струи продуктов горения РЗ приходилось встраивать стальной трубча</w:t>
      </w:r>
      <w:r w:rsidRPr="00E14102">
        <w:rPr>
          <w:color w:val="000000" w:themeColor="text1"/>
          <w:sz w:val="16"/>
          <w:szCs w:val="16"/>
        </w:rPr>
        <w:softHyphen/>
        <w:t>тый патрубок. Именно так М.Н.Тверской поступил и при компоновке своей 1000-кг воздушно-реактивной торпеды. Ее огневые испытания провели на Ногинском полигоне в 1935 г. сотрудники НИИ ВВС - ответ</w:t>
      </w:r>
      <w:r w:rsidRPr="00E14102">
        <w:rPr>
          <w:color w:val="000000" w:themeColor="text1"/>
          <w:sz w:val="16"/>
          <w:szCs w:val="16"/>
        </w:rPr>
        <w:softHyphen/>
        <w:t>ственный руководитель ВРИД начальника 2 отделения 4 отдела НИИ ВВС РККА Г.И.Глушенко и техник 2 отделения 4 отдела А.Г.Губин.</w:t>
      </w:r>
    </w:p>
    <w:p w14:paraId="0111D1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испытаниях присутствовал и сам конструктор боеприпаса. Посмо</w:t>
      </w:r>
      <w:r w:rsidRPr="00E14102">
        <w:rPr>
          <w:color w:val="000000" w:themeColor="text1"/>
          <w:sz w:val="16"/>
          <w:szCs w:val="16"/>
        </w:rPr>
        <w:softHyphen/>
        <w:t>треть на старт «аэродинамического чудовища» со стартовой массой в тон</w:t>
      </w:r>
      <w:r w:rsidRPr="00E14102">
        <w:rPr>
          <w:color w:val="000000" w:themeColor="text1"/>
          <w:sz w:val="16"/>
          <w:szCs w:val="16"/>
        </w:rPr>
        <w:softHyphen/>
        <w:t>ну пришли начальник НИИ ВВС РККА комбриг Н.Н.Бажанов, ВРИД начальника 4 отдела военинженер 1 ранга С.Г.Онисько, представитель ОВИ НКО СССР инженер высшей категории Попков и представитель ОКО НКВД Ендаков. Целью испытаний было определить дальность и ха</w:t>
      </w:r>
      <w:r w:rsidRPr="00E14102">
        <w:rPr>
          <w:color w:val="000000" w:themeColor="text1"/>
          <w:sz w:val="16"/>
          <w:szCs w:val="16"/>
        </w:rPr>
        <w:softHyphen/>
        <w:t>рактер полета торпеды, а также работу РЗ «отстрелом со станка на земле».</w:t>
      </w:r>
    </w:p>
    <w:p w14:paraId="23A6E1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боевом варианте БЧ торпеды планировали снаряжать тротилом. За</w:t>
      </w:r>
      <w:r w:rsidRPr="00E14102">
        <w:rPr>
          <w:color w:val="000000" w:themeColor="text1"/>
          <w:sz w:val="16"/>
          <w:szCs w:val="16"/>
        </w:rPr>
        <w:softHyphen/>
        <w:t>пальный футляр дополнительного детонатора проходил от головного оч</w:t>
      </w:r>
      <w:r w:rsidRPr="00E14102">
        <w:rPr>
          <w:color w:val="000000" w:themeColor="text1"/>
          <w:sz w:val="16"/>
          <w:szCs w:val="16"/>
        </w:rPr>
        <w:softHyphen/>
        <w:t>ка БЧ до дна ракетной камеры. «Для уменьшения удара газовой волны» за выходным сечением сопла в цилиндрической трубе стабилизатора бы</w:t>
      </w:r>
      <w:r w:rsidRPr="00E14102">
        <w:rPr>
          <w:color w:val="000000" w:themeColor="text1"/>
          <w:sz w:val="16"/>
          <w:szCs w:val="16"/>
        </w:rPr>
        <w:softHyphen/>
        <w:t>ли выполнены четыре эллиптических отверстия, сквозь которые «час</w:t>
      </w:r>
      <w:r w:rsidRPr="00E14102">
        <w:rPr>
          <w:color w:val="000000" w:themeColor="text1"/>
          <w:sz w:val="16"/>
          <w:szCs w:val="16"/>
        </w:rPr>
        <w:softHyphen/>
        <w:t>тично отводились пороховые газы». Каждое из четырех перьев стабили</w:t>
      </w:r>
      <w:r w:rsidRPr="00E14102">
        <w:rPr>
          <w:color w:val="000000" w:themeColor="text1"/>
          <w:sz w:val="16"/>
          <w:szCs w:val="16"/>
        </w:rPr>
        <w:softHyphen/>
        <w:t>затора общей площадью 10400 см</w:t>
      </w:r>
      <w:r w:rsidRPr="00E14102">
        <w:rPr>
          <w:color w:val="000000" w:themeColor="text1"/>
          <w:sz w:val="16"/>
          <w:szCs w:val="16"/>
          <w:vertAlign w:val="superscript"/>
        </w:rPr>
        <w:t>2</w:t>
      </w:r>
      <w:r w:rsidRPr="00E14102">
        <w:rPr>
          <w:color w:val="000000" w:themeColor="text1"/>
          <w:sz w:val="16"/>
          <w:szCs w:val="16"/>
        </w:rPr>
        <w:t xml:space="preserve"> имело габариты 1170x220 мм. Воспла</w:t>
      </w:r>
      <w:r w:rsidRPr="00E14102">
        <w:rPr>
          <w:color w:val="000000" w:themeColor="text1"/>
          <w:sz w:val="16"/>
          <w:szCs w:val="16"/>
        </w:rPr>
        <w:softHyphen/>
        <w:t>менять РЗ пришлось электрозапалом перовой гальванической трубки от подрывной машинки.</w:t>
      </w:r>
    </w:p>
    <w:p w14:paraId="5422CF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Перед стрельбой еще раз проверили весь расчетный материал, пред</w:t>
      </w:r>
      <w:r w:rsidRPr="00E14102">
        <w:rPr>
          <w:color w:val="000000" w:themeColor="text1"/>
          <w:sz w:val="16"/>
          <w:szCs w:val="16"/>
        </w:rPr>
        <w:softHyphen/>
        <w:t>ставленный конструктором. Внутрибаллистический расчет ракетных ка</w:t>
      </w:r>
      <w:r w:rsidRPr="00E14102">
        <w:rPr>
          <w:color w:val="000000" w:themeColor="text1"/>
          <w:sz w:val="16"/>
          <w:szCs w:val="16"/>
        </w:rPr>
        <w:softHyphen/>
        <w:t>мер был проведен еще в 1932 г. начальником 1 отдела ГДЛ УВИ НВ РККА Г.Э.Лангемаком для 95-шашечного РЗ из пороховых элементов габаритами 46/8-57,5 мм. Предусматривались и запасные варианты ос</w:t>
      </w:r>
      <w:r w:rsidRPr="00E14102">
        <w:rPr>
          <w:color w:val="000000" w:themeColor="text1"/>
          <w:sz w:val="16"/>
          <w:szCs w:val="16"/>
        </w:rPr>
        <w:softHyphen/>
        <w:t>нащения двигателя ВРТ Тверского ракетными зарядами из штатного по</w:t>
      </w:r>
      <w:r w:rsidRPr="00E14102">
        <w:rPr>
          <w:color w:val="000000" w:themeColor="text1"/>
          <w:sz w:val="16"/>
          <w:szCs w:val="16"/>
        </w:rPr>
        <w:softHyphen/>
        <w:t>роха. Первый крупногабаритный вариант 120-шашечного РЗ, набранно</w:t>
      </w:r>
      <w:r w:rsidRPr="00E14102">
        <w:rPr>
          <w:color w:val="000000" w:themeColor="text1"/>
          <w:sz w:val="16"/>
          <w:szCs w:val="16"/>
        </w:rPr>
        <w:softHyphen/>
        <w:t>го из пороховых элементов 75/10-92 мм и второй крупногабаритный ва</w:t>
      </w:r>
      <w:r w:rsidRPr="00E14102">
        <w:rPr>
          <w:color w:val="000000" w:themeColor="text1"/>
          <w:sz w:val="16"/>
          <w:szCs w:val="16"/>
        </w:rPr>
        <w:softHyphen/>
        <w:t>риант 108-шашечного РЗ из пороховых элементов 75/10-92 мм, а также первый малогабаритный вариант 544-шашечного РЗ из пороховых элементов габаритами 46/8-57,5 мм и второй малогабаритный вариант 476-шашечного РЗ из пороховых элементов габаритами 46/8-57,5 мм.</w:t>
      </w:r>
    </w:p>
    <w:p w14:paraId="568B53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Перед выстрелом инертный боеприпас установили на станке и ос</w:t>
      </w:r>
      <w:r w:rsidRPr="00E14102">
        <w:rPr>
          <w:color w:val="000000" w:themeColor="text1"/>
          <w:sz w:val="16"/>
          <w:szCs w:val="16"/>
        </w:rPr>
        <w:softHyphen/>
        <w:t>мотрели ее основные узлы. Одна из стальных полос распорок стабили</w:t>
      </w:r>
      <w:r w:rsidRPr="00E14102">
        <w:rPr>
          <w:color w:val="000000" w:themeColor="text1"/>
          <w:sz w:val="16"/>
          <w:szCs w:val="16"/>
        </w:rPr>
        <w:softHyphen/>
        <w:t>затора оказалась приваренной недоброкачественно. При изгибе она оторвалась. Эллиптические отверстия «для уменьшения удара газовой волны» в трубе стабилизатора имели различные диагонали и были вы</w:t>
      </w:r>
      <w:r w:rsidRPr="00E14102">
        <w:rPr>
          <w:color w:val="000000" w:themeColor="text1"/>
          <w:sz w:val="16"/>
          <w:szCs w:val="16"/>
        </w:rPr>
        <w:softHyphen/>
        <w:t>полнены грубо - на неодинаковых расстояниях от соплового среза и с вогнутыми внутрь трубы краями. РЗ первой торпеды состоял из 90 шашек рецептуры ПТП габаритами 75/10-92 мм. Пороховые воспла</w:t>
      </w:r>
      <w:r w:rsidRPr="00E14102">
        <w:rPr>
          <w:color w:val="000000" w:themeColor="text1"/>
          <w:sz w:val="16"/>
          <w:szCs w:val="16"/>
        </w:rPr>
        <w:softHyphen/>
        <w:t>менители в двух картузах общей массой 0,48 кг ДРП охватывали весь РЗ снаружи. Угол раствора сопла составлял 12°. Диаметр критического сечения сопла для данного РЗ был подобран конструктором экспери</w:t>
      </w:r>
      <w:r w:rsidRPr="00E14102">
        <w:rPr>
          <w:color w:val="000000" w:themeColor="text1"/>
          <w:sz w:val="16"/>
          <w:szCs w:val="16"/>
        </w:rPr>
        <w:softHyphen/>
        <w:t>ментально.</w:t>
      </w:r>
    </w:p>
    <w:p w14:paraId="3A061A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Подрывную машинку расположили в блиндаже в 100 м от пускового станка (11402).</w:t>
      </w:r>
    </w:p>
    <w:p w14:paraId="173ABA9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315E95C" w14:textId="77777777" w:rsidR="0051135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lastRenderedPageBreak/>
        <w:t>Другие оборонные отрасли:</w:t>
      </w:r>
    </w:p>
    <w:p w14:paraId="3AA63D79" w14:textId="77777777" w:rsidR="0051135A" w:rsidRPr="00E14102" w:rsidRDefault="0051135A" w:rsidP="00E14102">
      <w:pPr>
        <w:autoSpaceDE w:val="0"/>
        <w:autoSpaceDN w:val="0"/>
        <w:adjustRightInd w:val="0"/>
        <w:jc w:val="both"/>
        <w:rPr>
          <w:iCs/>
          <w:color w:val="000000" w:themeColor="text1"/>
          <w:sz w:val="16"/>
          <w:szCs w:val="16"/>
        </w:rPr>
      </w:pPr>
    </w:p>
    <w:p w14:paraId="169116A3" w14:textId="77777777" w:rsidR="0051135A" w:rsidRPr="00E14102" w:rsidRDefault="0051135A" w:rsidP="00E14102">
      <w:pPr>
        <w:jc w:val="both"/>
        <w:rPr>
          <w:rStyle w:val="0pt0"/>
          <w:rFonts w:eastAsia="Arial Narrow"/>
          <w:b w:val="0"/>
          <w:color w:val="000000" w:themeColor="text1"/>
          <w:spacing w:val="0"/>
          <w:sz w:val="16"/>
          <w:szCs w:val="16"/>
        </w:rPr>
      </w:pPr>
      <w:r w:rsidRPr="00E14102">
        <w:rPr>
          <w:rStyle w:val="0pt0"/>
          <w:rFonts w:eastAsia="Arial Narrow"/>
          <w:b w:val="0"/>
          <w:color w:val="000000" w:themeColor="text1"/>
          <w:spacing w:val="0"/>
          <w:sz w:val="16"/>
          <w:szCs w:val="16"/>
        </w:rPr>
        <w:t>9 июня</w:t>
      </w:r>
      <w:r w:rsidRPr="00E14102">
        <w:rPr>
          <w:color w:val="000000" w:themeColor="text1"/>
          <w:sz w:val="16"/>
          <w:szCs w:val="16"/>
        </w:rPr>
        <w:t xml:space="preserve"> 1935 г. приказом наркома обороны </w:t>
      </w:r>
      <w:r w:rsidRPr="00E14102">
        <w:rPr>
          <w:rStyle w:val="0pt0"/>
          <w:rFonts w:eastAsia="Arial Narrow"/>
          <w:b w:val="0"/>
          <w:color w:val="000000" w:themeColor="text1"/>
          <w:spacing w:val="0"/>
          <w:sz w:val="16"/>
          <w:szCs w:val="16"/>
        </w:rPr>
        <w:t>СССР № 1043</w:t>
      </w:r>
      <w:r w:rsidRPr="00E14102">
        <w:rPr>
          <w:color w:val="000000" w:themeColor="text1"/>
          <w:sz w:val="16"/>
          <w:szCs w:val="16"/>
        </w:rPr>
        <w:t>-1935 г. на вооружение Красной армии</w:t>
      </w:r>
      <w:r w:rsidRPr="00E14102">
        <w:rPr>
          <w:rStyle w:val="0pt0"/>
          <w:rFonts w:eastAsia="Arial Narrow"/>
          <w:b w:val="0"/>
          <w:color w:val="000000" w:themeColor="text1"/>
          <w:spacing w:val="0"/>
          <w:sz w:val="16"/>
          <w:szCs w:val="16"/>
        </w:rPr>
        <w:t xml:space="preserve"> был</w:t>
      </w:r>
      <w:r w:rsidRPr="00E14102">
        <w:rPr>
          <w:color w:val="000000" w:themeColor="text1"/>
          <w:sz w:val="16"/>
          <w:szCs w:val="16"/>
        </w:rPr>
        <w:t xml:space="preserve"> принят «7,62-мм пистолет-пулемет </w:t>
      </w:r>
      <w:r w:rsidRPr="00E14102">
        <w:rPr>
          <w:rStyle w:val="0pt0"/>
          <w:rFonts w:eastAsia="Arial Narrow"/>
          <w:b w:val="0"/>
          <w:color w:val="000000" w:themeColor="text1"/>
          <w:spacing w:val="0"/>
          <w:sz w:val="16"/>
          <w:szCs w:val="16"/>
        </w:rPr>
        <w:t>Дегтярева обр.</w:t>
      </w:r>
      <w:r w:rsidRPr="00E14102">
        <w:rPr>
          <w:color w:val="000000" w:themeColor="text1"/>
          <w:sz w:val="16"/>
          <w:szCs w:val="16"/>
        </w:rPr>
        <w:t xml:space="preserve"> 1934 г. (ППД-34)». Прежде все</w:t>
      </w:r>
      <w:r w:rsidRPr="00E14102">
        <w:rPr>
          <w:color w:val="000000" w:themeColor="text1"/>
          <w:sz w:val="16"/>
          <w:szCs w:val="16"/>
        </w:rPr>
        <w:softHyphen/>
      </w:r>
      <w:r w:rsidRPr="00E14102">
        <w:rPr>
          <w:rStyle w:val="0pt0"/>
          <w:rFonts w:eastAsia="Arial Narrow"/>
          <w:b w:val="0"/>
          <w:color w:val="000000" w:themeColor="text1"/>
          <w:spacing w:val="0"/>
          <w:sz w:val="16"/>
          <w:szCs w:val="16"/>
        </w:rPr>
        <w:t>го, он</w:t>
      </w:r>
      <w:r w:rsidRPr="00E14102">
        <w:rPr>
          <w:color w:val="000000" w:themeColor="text1"/>
          <w:sz w:val="16"/>
          <w:szCs w:val="16"/>
        </w:rPr>
        <w:t xml:space="preserve"> предназначался для вооружения комсостава и рассматривался как вспомогательное </w:t>
      </w:r>
      <w:r w:rsidRPr="00E14102">
        <w:rPr>
          <w:rStyle w:val="0pt0"/>
          <w:rFonts w:eastAsia="Arial Narrow"/>
          <w:b w:val="0"/>
          <w:color w:val="000000" w:themeColor="text1"/>
          <w:spacing w:val="0"/>
          <w:sz w:val="16"/>
          <w:szCs w:val="16"/>
        </w:rPr>
        <w:t>оружие (15766).</w:t>
      </w:r>
    </w:p>
    <w:p w14:paraId="571E3039" w14:textId="77777777" w:rsidR="0051135A" w:rsidRPr="00E14102" w:rsidRDefault="0051135A" w:rsidP="00E14102">
      <w:pPr>
        <w:jc w:val="both"/>
        <w:rPr>
          <w:rStyle w:val="0pt0"/>
          <w:rFonts w:eastAsia="Arial Narrow"/>
          <w:b w:val="0"/>
          <w:color w:val="000000" w:themeColor="text1"/>
          <w:spacing w:val="0"/>
          <w:sz w:val="16"/>
          <w:szCs w:val="16"/>
        </w:rPr>
      </w:pPr>
    </w:p>
    <w:p w14:paraId="3C2CDFB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08F1D44" w14:textId="77777777" w:rsidR="00D4105E" w:rsidRPr="00E14102" w:rsidRDefault="00D4105E" w:rsidP="00E14102">
      <w:pPr>
        <w:autoSpaceDE w:val="0"/>
        <w:autoSpaceDN w:val="0"/>
        <w:adjustRightInd w:val="0"/>
        <w:jc w:val="both"/>
        <w:rPr>
          <w:iCs/>
          <w:color w:val="000000" w:themeColor="text1"/>
          <w:sz w:val="16"/>
          <w:szCs w:val="16"/>
        </w:rPr>
      </w:pPr>
    </w:p>
    <w:p w14:paraId="2D626C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июня 1935 в СССР вышел закон, установивший смертную казнь за побег за границу (3186).</w:t>
      </w:r>
    </w:p>
    <w:p w14:paraId="33E9708C" w14:textId="77777777" w:rsidR="00D4105E" w:rsidRPr="00E14102" w:rsidRDefault="00D4105E" w:rsidP="00E14102">
      <w:pPr>
        <w:autoSpaceDE w:val="0"/>
        <w:autoSpaceDN w:val="0"/>
        <w:adjustRightInd w:val="0"/>
        <w:jc w:val="both"/>
        <w:rPr>
          <w:color w:val="000000" w:themeColor="text1"/>
          <w:sz w:val="16"/>
          <w:szCs w:val="16"/>
        </w:rPr>
      </w:pPr>
    </w:p>
    <w:p w14:paraId="1D8F82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 июня 1935 в СССР принят декрет, по которому объявлялись преступниками родственники перебежчиков за границу (4962).</w:t>
      </w:r>
    </w:p>
    <w:p w14:paraId="25A07BA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8B560EF" w14:textId="77777777" w:rsidR="0051135A" w:rsidRPr="00E14102" w:rsidRDefault="0051135A" w:rsidP="00E14102">
      <w:pPr>
        <w:jc w:val="both"/>
        <w:rPr>
          <w:color w:val="000000" w:themeColor="text1"/>
          <w:sz w:val="16"/>
          <w:szCs w:val="16"/>
        </w:rPr>
      </w:pPr>
      <w:r w:rsidRPr="00E14102">
        <w:rPr>
          <w:bCs/>
          <w:color w:val="000000" w:themeColor="text1"/>
          <w:sz w:val="16"/>
          <w:szCs w:val="16"/>
        </w:rPr>
        <w:t>9 июня</w:t>
      </w:r>
      <w:r w:rsidRPr="00E14102">
        <w:rPr>
          <w:color w:val="000000" w:themeColor="text1"/>
          <w:sz w:val="16"/>
          <w:szCs w:val="16"/>
        </w:rPr>
        <w:t xml:space="preserve"> в 1935 году в СССР был принят закон, устанавливающий смертную казнь за побег через границу, родственники перебежчиков объявлялись преступниками (14917).</w:t>
      </w:r>
    </w:p>
    <w:p w14:paraId="01547670" w14:textId="77777777" w:rsidR="0051135A" w:rsidRPr="00E14102" w:rsidRDefault="0051135A" w:rsidP="00E14102">
      <w:pPr>
        <w:jc w:val="both"/>
        <w:rPr>
          <w:color w:val="000000" w:themeColor="text1"/>
          <w:sz w:val="16"/>
          <w:szCs w:val="16"/>
        </w:rPr>
      </w:pPr>
    </w:p>
    <w:p w14:paraId="2050505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44273FDF" w14:textId="77777777" w:rsidR="00D4105E" w:rsidRPr="00E14102" w:rsidRDefault="00D4105E" w:rsidP="00E14102">
      <w:pPr>
        <w:autoSpaceDE w:val="0"/>
        <w:autoSpaceDN w:val="0"/>
        <w:adjustRightInd w:val="0"/>
        <w:jc w:val="both"/>
        <w:rPr>
          <w:iCs/>
          <w:color w:val="000000" w:themeColor="text1"/>
          <w:sz w:val="16"/>
          <w:szCs w:val="16"/>
        </w:rPr>
      </w:pPr>
    </w:p>
    <w:p w14:paraId="30CA35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9 июня 1935 г были официально установлены дипотношения СССР и Чехословакии (3871).</w:t>
      </w:r>
    </w:p>
    <w:p w14:paraId="5879FFF8" w14:textId="77777777" w:rsidR="00D4105E" w:rsidRPr="00E14102" w:rsidRDefault="00D4105E" w:rsidP="00E14102">
      <w:pPr>
        <w:autoSpaceDE w:val="0"/>
        <w:autoSpaceDN w:val="0"/>
        <w:adjustRightInd w:val="0"/>
        <w:jc w:val="both"/>
        <w:rPr>
          <w:color w:val="000000" w:themeColor="text1"/>
          <w:sz w:val="16"/>
          <w:szCs w:val="16"/>
        </w:rPr>
      </w:pPr>
    </w:p>
    <w:p w14:paraId="5B5DA9E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34CEB53" w14:textId="77777777" w:rsidR="00D4105E" w:rsidRPr="00E14102" w:rsidRDefault="00D4105E" w:rsidP="00E14102">
      <w:pPr>
        <w:autoSpaceDE w:val="0"/>
        <w:autoSpaceDN w:val="0"/>
        <w:adjustRightInd w:val="0"/>
        <w:jc w:val="both"/>
        <w:rPr>
          <w:iCs/>
          <w:color w:val="000000" w:themeColor="text1"/>
          <w:sz w:val="16"/>
          <w:szCs w:val="16"/>
        </w:rPr>
      </w:pPr>
    </w:p>
    <w:p w14:paraId="28EC9D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июня 1935 в Греции прошли парламентские выборы и победили монархисты (3907,192).</w:t>
      </w:r>
    </w:p>
    <w:p w14:paraId="1855BE62" w14:textId="77777777" w:rsidR="00D4105E" w:rsidRPr="00E14102" w:rsidRDefault="00D4105E" w:rsidP="00E14102">
      <w:pPr>
        <w:autoSpaceDE w:val="0"/>
        <w:autoSpaceDN w:val="0"/>
        <w:adjustRightInd w:val="0"/>
        <w:jc w:val="both"/>
        <w:rPr>
          <w:color w:val="000000" w:themeColor="text1"/>
          <w:sz w:val="16"/>
          <w:szCs w:val="16"/>
        </w:rPr>
      </w:pPr>
    </w:p>
    <w:p w14:paraId="2C7567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июня 1935 биржевой маклер и доктор организовали в США первую группу анонимных алкоголиков (3263,316).</w:t>
      </w:r>
    </w:p>
    <w:p w14:paraId="2F137886" w14:textId="77777777" w:rsidR="00D4105E" w:rsidRPr="00E14102" w:rsidRDefault="00D4105E" w:rsidP="00E14102">
      <w:pPr>
        <w:autoSpaceDE w:val="0"/>
        <w:autoSpaceDN w:val="0"/>
        <w:adjustRightInd w:val="0"/>
        <w:jc w:val="both"/>
        <w:rPr>
          <w:color w:val="000000" w:themeColor="text1"/>
          <w:sz w:val="16"/>
          <w:szCs w:val="16"/>
        </w:rPr>
      </w:pPr>
    </w:p>
    <w:p w14:paraId="19038BC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815A4F0" w14:textId="77777777" w:rsidR="00D4105E" w:rsidRPr="00E14102" w:rsidRDefault="00D4105E" w:rsidP="00E14102">
      <w:pPr>
        <w:autoSpaceDE w:val="0"/>
        <w:autoSpaceDN w:val="0"/>
        <w:adjustRightInd w:val="0"/>
        <w:jc w:val="both"/>
        <w:rPr>
          <w:iCs/>
          <w:color w:val="000000" w:themeColor="text1"/>
          <w:sz w:val="16"/>
          <w:szCs w:val="16"/>
        </w:rPr>
      </w:pPr>
    </w:p>
    <w:p w14:paraId="3DFD5F16" w14:textId="77777777" w:rsidR="00571369" w:rsidRPr="00E14102" w:rsidRDefault="00571369" w:rsidP="00E14102">
      <w:pPr>
        <w:jc w:val="both"/>
        <w:rPr>
          <w:color w:val="0070C0"/>
          <w:sz w:val="16"/>
          <w:szCs w:val="16"/>
        </w:rPr>
      </w:pPr>
      <w:r w:rsidRPr="00E14102">
        <w:rPr>
          <w:rStyle w:val="176"/>
          <w:rFonts w:ascii="Times New Roman" w:hAnsi="Times New Roman" w:cs="Times New Roman"/>
          <w:color w:val="0070C0"/>
          <w:sz w:val="16"/>
          <w:szCs w:val="16"/>
        </w:rPr>
        <w:t>10 июня 1935 начались заводские испытания ФР-РЦ (ХАИ-6). В</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ходе этих испытаний выявилась необходи</w:t>
      </w:r>
      <w:r w:rsidRPr="00E14102">
        <w:rPr>
          <w:rStyle w:val="176"/>
          <w:rFonts w:ascii="Times New Roman" w:hAnsi="Times New Roman" w:cs="Times New Roman"/>
          <w:color w:val="0070C0"/>
          <w:sz w:val="16"/>
          <w:szCs w:val="16"/>
        </w:rPr>
        <w:softHyphen/>
        <w:t>мость переделки посадочных щитков, капо</w:t>
      </w:r>
      <w:r w:rsidRPr="00E14102">
        <w:rPr>
          <w:rStyle w:val="176"/>
          <w:rFonts w:ascii="Times New Roman" w:hAnsi="Times New Roman" w:cs="Times New Roman"/>
          <w:color w:val="0070C0"/>
          <w:sz w:val="16"/>
          <w:szCs w:val="16"/>
        </w:rPr>
        <w:softHyphen/>
        <w:t>тов и оперения. Работы затянулись до октяб</w:t>
      </w:r>
      <w:r w:rsidRPr="00E14102">
        <w:rPr>
          <w:rStyle w:val="176"/>
          <w:rFonts w:ascii="Times New Roman" w:hAnsi="Times New Roman" w:cs="Times New Roman"/>
          <w:color w:val="0070C0"/>
          <w:sz w:val="16"/>
          <w:szCs w:val="16"/>
        </w:rPr>
        <w:softHyphen/>
        <w:t>ря, что не могло не сказаться на других про</w:t>
      </w:r>
      <w:r w:rsidRPr="00E14102">
        <w:rPr>
          <w:rStyle w:val="176"/>
          <w:rFonts w:ascii="Times New Roman" w:hAnsi="Times New Roman" w:cs="Times New Roman"/>
          <w:color w:val="0070C0"/>
          <w:sz w:val="16"/>
          <w:szCs w:val="16"/>
        </w:rPr>
        <w:softHyphen/>
        <w:t>ектах. Маленький коллектив, ведущие кон</w:t>
      </w:r>
      <w:r w:rsidRPr="00E14102">
        <w:rPr>
          <w:rStyle w:val="176"/>
          <w:rFonts w:ascii="Times New Roman" w:hAnsi="Times New Roman" w:cs="Times New Roman"/>
          <w:color w:val="0070C0"/>
          <w:sz w:val="16"/>
          <w:szCs w:val="16"/>
        </w:rPr>
        <w:softHyphen/>
        <w:t>структоры которого были еще задействованы</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и в учебном процессе ХАИ, попросту захлебы</w:t>
      </w:r>
      <w:r w:rsidRPr="00E14102">
        <w:rPr>
          <w:rStyle w:val="176"/>
          <w:rFonts w:ascii="Times New Roman" w:hAnsi="Times New Roman" w:cs="Times New Roman"/>
          <w:color w:val="0070C0"/>
          <w:sz w:val="16"/>
          <w:szCs w:val="16"/>
        </w:rPr>
        <w:softHyphen/>
        <w:t>вался (19898).</w:t>
      </w:r>
    </w:p>
    <w:p w14:paraId="3C359234" w14:textId="77777777" w:rsidR="00571369" w:rsidRPr="00E14102" w:rsidRDefault="00571369" w:rsidP="00E14102">
      <w:pPr>
        <w:jc w:val="both"/>
        <w:rPr>
          <w:color w:val="0070C0"/>
          <w:sz w:val="16"/>
          <w:szCs w:val="16"/>
        </w:rPr>
      </w:pPr>
    </w:p>
    <w:p w14:paraId="316550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июня 1935 состоялось совещание технического комитета о подготовке к перелету РД-2 (1077,266) и РД-1 (1102).</w:t>
      </w:r>
    </w:p>
    <w:p w14:paraId="16D3B265" w14:textId="77777777" w:rsidR="00D4105E" w:rsidRPr="00E14102" w:rsidRDefault="00D4105E" w:rsidP="00E14102">
      <w:pPr>
        <w:autoSpaceDE w:val="0"/>
        <w:autoSpaceDN w:val="0"/>
        <w:adjustRightInd w:val="0"/>
        <w:jc w:val="both"/>
        <w:rPr>
          <w:color w:val="000000" w:themeColor="text1"/>
          <w:sz w:val="16"/>
          <w:szCs w:val="16"/>
        </w:rPr>
      </w:pPr>
    </w:p>
    <w:p w14:paraId="526F881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BC57596" w14:textId="77777777" w:rsidR="00D4105E" w:rsidRPr="00E14102" w:rsidRDefault="00D4105E" w:rsidP="00E14102">
      <w:pPr>
        <w:autoSpaceDE w:val="0"/>
        <w:autoSpaceDN w:val="0"/>
        <w:adjustRightInd w:val="0"/>
        <w:jc w:val="both"/>
        <w:rPr>
          <w:iCs/>
          <w:color w:val="000000" w:themeColor="text1"/>
          <w:sz w:val="16"/>
          <w:szCs w:val="16"/>
        </w:rPr>
      </w:pPr>
    </w:p>
    <w:p w14:paraId="013CC6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10 июня по 16 декабря 1935 г. проходили полигонные испытания всех трех образцов 76-мм дивизионной пушки Грабина Ф-22 (3861).</w:t>
      </w:r>
    </w:p>
    <w:p w14:paraId="138689F0" w14:textId="77777777" w:rsidR="00D4105E" w:rsidRPr="00E14102" w:rsidRDefault="00D4105E" w:rsidP="00E14102">
      <w:pPr>
        <w:autoSpaceDE w:val="0"/>
        <w:autoSpaceDN w:val="0"/>
        <w:adjustRightInd w:val="0"/>
        <w:jc w:val="both"/>
        <w:rPr>
          <w:color w:val="000000" w:themeColor="text1"/>
          <w:sz w:val="16"/>
          <w:szCs w:val="16"/>
        </w:rPr>
      </w:pPr>
    </w:p>
    <w:p w14:paraId="23B6F6CF" w14:textId="77777777" w:rsidR="004752C9" w:rsidRPr="00E14102" w:rsidRDefault="004752C9" w:rsidP="00E14102">
      <w:pPr>
        <w:shd w:val="clear" w:color="auto" w:fill="FFFFFF"/>
        <w:jc w:val="both"/>
        <w:rPr>
          <w:color w:val="0070C0"/>
          <w:sz w:val="16"/>
          <w:szCs w:val="16"/>
        </w:rPr>
      </w:pPr>
      <w:r w:rsidRPr="00E14102">
        <w:rPr>
          <w:color w:val="0070C0"/>
          <w:sz w:val="16"/>
          <w:szCs w:val="16"/>
          <w:shd w:val="clear" w:color="auto" w:fill="FFFFFF"/>
        </w:rPr>
        <w:t>10 июня 1935 года СУ-14-1 приняли на вооружение несмотря на то, что эталонный образец СУ-14-1 вышел на испытания лишь в 1936 году. Это решение приняли по итогам испытаний переработанного образца СУ-14. За СУ-14 создатели машины получили крупные премии (например, Сячинтов — 8000 рублей), при этом предполагалось, что уже в 1935 году будет построено первые 10 машин данного типа. Изготовителем машины являлся ХПЗ. Что же касается первого опытного образца, то в октябре 1935 года приняли решение об установке на него более совершенного орудия — Б-30. Установили это орудие в 1937 году, а в сентябре провели испытания стрельбой. В 1936 году начались работы по СУ-10 — по сути той же СУ-14, но для моряков, со 152-мм пушкой, предназначалась она для береговой обороны. Между тем, испытания СУ-14-1 оказались не столь уж и гладкими: по их итогам было выявлено 167 различных дефектов, при этом выводов и заключения по испытаниям не делалось. В ноябре 1936 года из АБТУ КА последовало указание о доработке эталонного образца (19857).</w:t>
      </w:r>
    </w:p>
    <w:p w14:paraId="3D27230A" w14:textId="77777777" w:rsidR="004752C9" w:rsidRPr="00E14102" w:rsidRDefault="004752C9" w:rsidP="00E14102">
      <w:pPr>
        <w:shd w:val="clear" w:color="auto" w:fill="FFFFFF"/>
        <w:jc w:val="both"/>
        <w:rPr>
          <w:color w:val="0070C0"/>
          <w:sz w:val="16"/>
          <w:szCs w:val="16"/>
        </w:rPr>
      </w:pPr>
    </w:p>
    <w:p w14:paraId="71283CD1" w14:textId="77777777" w:rsidR="004752C9" w:rsidRPr="00E14102" w:rsidRDefault="004752C9" w:rsidP="00E14102">
      <w:pPr>
        <w:jc w:val="both"/>
        <w:rPr>
          <w:color w:val="0070C0"/>
          <w:sz w:val="16"/>
          <w:szCs w:val="16"/>
        </w:rPr>
      </w:pPr>
      <w:r w:rsidRPr="00E14102">
        <w:rPr>
          <w:color w:val="0070C0"/>
          <w:sz w:val="16"/>
          <w:szCs w:val="16"/>
        </w:rPr>
        <w:t>10 июня 1935 г. в Слуцке, где радиозондирование стало основ</w:t>
      </w:r>
      <w:r w:rsidRPr="00E14102">
        <w:rPr>
          <w:color w:val="0070C0"/>
          <w:sz w:val="16"/>
          <w:szCs w:val="16"/>
        </w:rPr>
        <w:softHyphen/>
        <w:t>ным методом, выпу</w:t>
      </w:r>
      <w:r w:rsidRPr="00E14102">
        <w:rPr>
          <w:color w:val="0070C0"/>
          <w:sz w:val="16"/>
          <w:szCs w:val="16"/>
        </w:rPr>
        <w:softHyphen/>
        <w:t>стили 1001-й радиозонд. Принятый в 1934 г. план создания общесоюзной сети радиозондирования успешно выполнялся. Из этой сети в 1935 г. рабо</w:t>
      </w:r>
      <w:r w:rsidRPr="00E14102">
        <w:rPr>
          <w:color w:val="0070C0"/>
          <w:sz w:val="16"/>
          <w:szCs w:val="16"/>
        </w:rPr>
        <w:softHyphen/>
        <w:t>тало уже 10 пунктов, в 1937 г. — 27, а к 1940 г. их число достигло 40. Радиозонды использовались во всех климатических зонах СССР от Арктики до Кавказа. Росли высоты подъёмов радиозон</w:t>
      </w:r>
      <w:r w:rsidRPr="00E14102">
        <w:rPr>
          <w:color w:val="0070C0"/>
          <w:sz w:val="16"/>
          <w:szCs w:val="16"/>
        </w:rPr>
        <w:softHyphen/>
        <w:t>дов27. В ГГО состоялись две научные конферен</w:t>
      </w:r>
      <w:r w:rsidRPr="00E14102">
        <w:rPr>
          <w:color w:val="0070C0"/>
          <w:sz w:val="16"/>
          <w:szCs w:val="16"/>
        </w:rPr>
        <w:softHyphen/>
        <w:t>ции (в 1936 г. и в декабре 1938 г.), на которых, в частности, подводились итоги применения радиозондов на аэрологической сети и обсуж</w:t>
      </w:r>
      <w:r w:rsidRPr="00E14102">
        <w:rPr>
          <w:color w:val="0070C0"/>
          <w:sz w:val="16"/>
          <w:szCs w:val="16"/>
        </w:rPr>
        <w:softHyphen/>
        <w:t>дались пути их усовершенствования. Широкое распространение пунктов радиозондирования и шаропилотных наблюдений позволило с конца 1937 г. составлять высотные карты погоды, на ос</w:t>
      </w:r>
      <w:r w:rsidRPr="00E14102">
        <w:rPr>
          <w:color w:val="0070C0"/>
          <w:sz w:val="16"/>
          <w:szCs w:val="16"/>
        </w:rPr>
        <w:softHyphen/>
        <w:t>нове которых стало возможно подробно изучать синоптические процессы большого масштаба. Советские радиозонды вызвали большой инте</w:t>
      </w:r>
      <w:r w:rsidRPr="00E14102">
        <w:rPr>
          <w:color w:val="0070C0"/>
          <w:sz w:val="16"/>
          <w:szCs w:val="16"/>
        </w:rPr>
        <w:softHyphen/>
        <w:t>рес за рубежом. Их даже передали ряду стран.</w:t>
      </w:r>
    </w:p>
    <w:p w14:paraId="2FB21EBB" w14:textId="77777777" w:rsidR="004752C9" w:rsidRPr="00E14102" w:rsidRDefault="004752C9" w:rsidP="00E14102">
      <w:pPr>
        <w:jc w:val="both"/>
        <w:rPr>
          <w:color w:val="0070C0"/>
          <w:sz w:val="16"/>
          <w:szCs w:val="16"/>
        </w:rPr>
      </w:pPr>
      <w:r w:rsidRPr="00E14102">
        <w:rPr>
          <w:color w:val="0070C0"/>
          <w:sz w:val="16"/>
          <w:szCs w:val="16"/>
        </w:rPr>
        <w:t>Несмотря на неудобную систему кодировки сигналов метеорологических элементов, пере</w:t>
      </w:r>
      <w:r w:rsidRPr="00E14102">
        <w:rPr>
          <w:color w:val="0070C0"/>
          <w:sz w:val="16"/>
          <w:szCs w:val="16"/>
        </w:rPr>
        <w:softHyphen/>
        <w:t>кладывавшую задачу декодирования на метео</w:t>
      </w:r>
      <w:r w:rsidRPr="00E14102">
        <w:rPr>
          <w:color w:val="0070C0"/>
          <w:sz w:val="16"/>
          <w:szCs w:val="16"/>
        </w:rPr>
        <w:softHyphen/>
        <w:t>ролога, гребенчатый радиозонд П.А. Молчанова представлял собой удачный компромисс междуэффективностью и стоимостью и более 20 лет прослужил отечественной метеорологии (20120).</w:t>
      </w:r>
    </w:p>
    <w:p w14:paraId="5F51A8B3" w14:textId="77777777" w:rsidR="004752C9" w:rsidRPr="00E14102" w:rsidRDefault="004752C9" w:rsidP="00E14102">
      <w:pPr>
        <w:jc w:val="both"/>
        <w:rPr>
          <w:color w:val="0070C0"/>
          <w:sz w:val="16"/>
          <w:szCs w:val="16"/>
        </w:rPr>
      </w:pPr>
    </w:p>
    <w:p w14:paraId="2B666BEB" w14:textId="77777777" w:rsidR="0051135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346F067" w14:textId="77777777" w:rsidR="0051135A" w:rsidRPr="00E14102" w:rsidRDefault="0051135A" w:rsidP="00E14102">
      <w:pPr>
        <w:autoSpaceDE w:val="0"/>
        <w:autoSpaceDN w:val="0"/>
        <w:adjustRightInd w:val="0"/>
        <w:jc w:val="both"/>
        <w:rPr>
          <w:iCs/>
          <w:color w:val="000000" w:themeColor="text1"/>
          <w:sz w:val="16"/>
          <w:szCs w:val="16"/>
        </w:rPr>
      </w:pPr>
    </w:p>
    <w:p w14:paraId="238148F8" w14:textId="77777777" w:rsidR="0051135A" w:rsidRPr="00E14102" w:rsidRDefault="0051135A" w:rsidP="00E14102">
      <w:pPr>
        <w:jc w:val="both"/>
        <w:rPr>
          <w:color w:val="000000" w:themeColor="text1"/>
          <w:sz w:val="16"/>
          <w:szCs w:val="16"/>
        </w:rPr>
      </w:pPr>
      <w:r w:rsidRPr="00E14102">
        <w:rPr>
          <w:bCs/>
          <w:color w:val="000000" w:themeColor="text1"/>
          <w:sz w:val="16"/>
          <w:szCs w:val="16"/>
        </w:rPr>
        <w:t>10 июня</w:t>
      </w:r>
      <w:r w:rsidRPr="00E14102">
        <w:rPr>
          <w:color w:val="000000" w:themeColor="text1"/>
          <w:sz w:val="16"/>
          <w:szCs w:val="16"/>
        </w:rPr>
        <w:t xml:space="preserve"> в 1935 году биржевый маклер Уильям Уилсон и доктор Роберт Смит, бывшие раньше безнадежными пьяницами, в городке Эйкрон (штат Огайо) организовывают первую группу «Анонимных Алкоголиков» (14918).</w:t>
      </w:r>
    </w:p>
    <w:p w14:paraId="31D90E00" w14:textId="77777777" w:rsidR="0051135A" w:rsidRPr="00E14102" w:rsidRDefault="0051135A" w:rsidP="00E14102">
      <w:pPr>
        <w:jc w:val="both"/>
        <w:rPr>
          <w:color w:val="000000" w:themeColor="text1"/>
          <w:sz w:val="16"/>
          <w:szCs w:val="16"/>
        </w:rPr>
      </w:pPr>
    </w:p>
    <w:p w14:paraId="6EFAE52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A363F35" w14:textId="77777777" w:rsidR="00D4105E" w:rsidRPr="00E14102" w:rsidRDefault="00D4105E" w:rsidP="00E14102">
      <w:pPr>
        <w:autoSpaceDE w:val="0"/>
        <w:autoSpaceDN w:val="0"/>
        <w:adjustRightInd w:val="0"/>
        <w:jc w:val="both"/>
        <w:rPr>
          <w:iCs/>
          <w:color w:val="000000" w:themeColor="text1"/>
          <w:sz w:val="16"/>
          <w:szCs w:val="16"/>
        </w:rPr>
      </w:pPr>
    </w:p>
    <w:p w14:paraId="7E23A6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июня 1935 л И.П.Белозеров впервые сбросил с ХАИ-1ВВ бомба АФА-50 с 6550 м в Ногинске (1148,29).</w:t>
      </w:r>
    </w:p>
    <w:p w14:paraId="38AFADD7" w14:textId="77777777" w:rsidR="00D4105E" w:rsidRPr="00E14102" w:rsidRDefault="00D4105E" w:rsidP="00E14102">
      <w:pPr>
        <w:autoSpaceDE w:val="0"/>
        <w:autoSpaceDN w:val="0"/>
        <w:adjustRightInd w:val="0"/>
        <w:jc w:val="both"/>
        <w:rPr>
          <w:color w:val="000000" w:themeColor="text1"/>
          <w:sz w:val="16"/>
          <w:szCs w:val="16"/>
        </w:rPr>
      </w:pPr>
    </w:p>
    <w:p w14:paraId="46ACF1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июня 1935 был принят макет КОР-1 (1049,62). Получил внутренне обозначение ЦКБ МС-3 (2555,81).</w:t>
      </w:r>
    </w:p>
    <w:p w14:paraId="73AF8CB8" w14:textId="77777777" w:rsidR="00D4105E" w:rsidRPr="00E14102" w:rsidRDefault="00D4105E" w:rsidP="00E14102">
      <w:pPr>
        <w:autoSpaceDE w:val="0"/>
        <w:autoSpaceDN w:val="0"/>
        <w:adjustRightInd w:val="0"/>
        <w:jc w:val="both"/>
        <w:rPr>
          <w:color w:val="000000" w:themeColor="text1"/>
          <w:sz w:val="16"/>
          <w:szCs w:val="16"/>
        </w:rPr>
      </w:pPr>
    </w:p>
    <w:p w14:paraId="30B66D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июня 1935 г. был утвержден полномасштабный макет самолета КОР-1, а в декабре 1935 г. началась постройка опытной машины (9966). КОР-1 стал первым в практике ЦКБ МС самолетом с металлическим каркасом. Вместо американского двигателя “Райт-Циклон” R-1820-F3 на нем установили советский лицензионный аналог М-25, хотя такая замена и привела к некоторому снижению расчетных летных характеристик. Экипаж состоял из двух человек. КОР-1 вооружили тремя пулеметами ШКАС, два из которых находились в обтекателях на центроплане верхнего крыла, а третий - в кабине летчика-наблюдателя. Кроме того, самолет мог нести до 200 кг бомб.</w:t>
      </w:r>
    </w:p>
    <w:p w14:paraId="619B33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КОР-1 попытались применить новую проводку управления двигателем - так называемый “пуш-пул”. Это устройство представляло собой гибкую тягу, состоявшую из троса, на который впотную друг к другу надеты стальные шарики и закреплены наконечниками. Тяга помещалась в 10-мм трубку. “Пуш-пул” удобен тем, что можно вести проводку без традиционных роликов, изгибая трубку в любом направлении. Новинку решил использовать начальник бригады управления Г.А.Ляпустин. Однако быстро выяснилось, что подобная система предъявляет исключительно высокие требования к качеству обработки поверхности внутри трубки и самих шариков. В результате отечественный “пуш-пул”, смонтированный на самолете, работал с заеданиями и люфтом. Как вспоминал один из соратников Г.М.Бериева Я.С.Катураев, в связи с отсутствием Георгия Михайловича, нерешительностью Г.А.Ляпустина и технолога цеха, ему самому пришлось принимать решение о замене “пуш-пула” на обычную тросовую проводку. Чертежи, детали и монтаж сделали за два дня. Новая “старая” система работала безотказно (9966).</w:t>
      </w:r>
    </w:p>
    <w:p w14:paraId="1A110723" w14:textId="77777777" w:rsidR="00D4105E" w:rsidRPr="00E14102" w:rsidRDefault="00D4105E" w:rsidP="00E14102">
      <w:pPr>
        <w:autoSpaceDE w:val="0"/>
        <w:autoSpaceDN w:val="0"/>
        <w:adjustRightInd w:val="0"/>
        <w:jc w:val="both"/>
        <w:rPr>
          <w:color w:val="000000" w:themeColor="text1"/>
          <w:sz w:val="16"/>
          <w:szCs w:val="16"/>
        </w:rPr>
      </w:pPr>
    </w:p>
    <w:p w14:paraId="1A4B8D14" w14:textId="77777777" w:rsidR="00964959" w:rsidRPr="00E14102" w:rsidRDefault="00964959" w:rsidP="00E14102">
      <w:pPr>
        <w:jc w:val="both"/>
        <w:rPr>
          <w:color w:val="000000" w:themeColor="text1"/>
          <w:sz w:val="16"/>
          <w:szCs w:val="16"/>
        </w:rPr>
      </w:pPr>
      <w:r w:rsidRPr="00E14102">
        <w:rPr>
          <w:color w:val="000000" w:themeColor="text1"/>
          <w:sz w:val="16"/>
          <w:szCs w:val="16"/>
        </w:rPr>
        <w:t>11 июня 1935 г. был утвержден полномасштабный макет самолета КОР-1, а в декабре 1935 г. началась постройка первой опытной машины.</w:t>
      </w:r>
    </w:p>
    <w:p w14:paraId="5F6FF70E" w14:textId="77777777" w:rsidR="00964959" w:rsidRPr="00E14102" w:rsidRDefault="00964959" w:rsidP="00E14102">
      <w:pPr>
        <w:jc w:val="both"/>
        <w:rPr>
          <w:color w:val="000000" w:themeColor="text1"/>
          <w:sz w:val="16"/>
          <w:szCs w:val="16"/>
        </w:rPr>
      </w:pPr>
      <w:r w:rsidRPr="00E14102">
        <w:rPr>
          <w:color w:val="000000" w:themeColor="text1"/>
          <w:sz w:val="16"/>
          <w:szCs w:val="16"/>
        </w:rPr>
        <w:t>КОР-1 стал первым в практике ЦКБ МС самолетом с метал</w:t>
      </w:r>
      <w:r w:rsidRPr="00E14102">
        <w:rPr>
          <w:color w:val="000000" w:themeColor="text1"/>
          <w:sz w:val="16"/>
          <w:szCs w:val="16"/>
        </w:rPr>
        <w:softHyphen/>
        <w:t>лическим каркасом. Вместо американского двигателя «Райт- Циклон» К-1820-РЗ на нем установили его советский лицен</w:t>
      </w:r>
      <w:r w:rsidRPr="00E14102">
        <w:rPr>
          <w:color w:val="000000" w:themeColor="text1"/>
          <w:sz w:val="16"/>
          <w:szCs w:val="16"/>
        </w:rPr>
        <w:softHyphen/>
        <w:t>зионный аналог М-25, хотя такая замена и привела к неко</w:t>
      </w:r>
      <w:r w:rsidRPr="00E14102">
        <w:rPr>
          <w:color w:val="000000" w:themeColor="text1"/>
          <w:sz w:val="16"/>
          <w:szCs w:val="16"/>
        </w:rPr>
        <w:softHyphen/>
        <w:t>торому снижению расчетных летных характеристик. Экипаж состоял из двух человек. КОР-1 вооружили тремя пулеметами ШКАС, два из которых находились в обтекателях на цен</w:t>
      </w:r>
      <w:r w:rsidRPr="00E14102">
        <w:rPr>
          <w:color w:val="000000" w:themeColor="text1"/>
          <w:sz w:val="16"/>
          <w:szCs w:val="16"/>
        </w:rPr>
        <w:softHyphen/>
        <w:t>троплане верхнего крыла, а третий устанавливался в кабине летчика-наблюдателя на шкворневой установке конструкции завода №31. Бомбы общим весом до 200 кг подвешивались под нижними крыльями на балочных держателях Дер-31 (12279).</w:t>
      </w:r>
    </w:p>
    <w:p w14:paraId="6565B62A" w14:textId="77777777" w:rsidR="00964959" w:rsidRPr="00E14102" w:rsidRDefault="00964959" w:rsidP="00E14102">
      <w:pPr>
        <w:jc w:val="both"/>
        <w:rPr>
          <w:color w:val="000000" w:themeColor="text1"/>
          <w:sz w:val="16"/>
          <w:szCs w:val="16"/>
        </w:rPr>
      </w:pPr>
    </w:p>
    <w:p w14:paraId="0A0A608C" w14:textId="77777777" w:rsidR="00964959" w:rsidRPr="00E14102" w:rsidRDefault="00964959" w:rsidP="00E14102">
      <w:pPr>
        <w:pStyle w:val="61"/>
        <w:shd w:val="clear" w:color="auto" w:fill="auto"/>
        <w:spacing w:before="0" w:line="240" w:lineRule="auto"/>
        <w:rPr>
          <w:color w:val="000000" w:themeColor="text1"/>
          <w:sz w:val="16"/>
          <w:szCs w:val="16"/>
        </w:rPr>
      </w:pPr>
      <w:r w:rsidRPr="00E14102">
        <w:rPr>
          <w:color w:val="000000" w:themeColor="text1"/>
          <w:sz w:val="16"/>
          <w:szCs w:val="16"/>
        </w:rPr>
        <w:lastRenderedPageBreak/>
        <w:t>11 июня 1935 специ</w:t>
      </w:r>
      <w:r w:rsidRPr="00E14102">
        <w:rPr>
          <w:color w:val="000000" w:themeColor="text1"/>
          <w:sz w:val="16"/>
          <w:szCs w:val="16"/>
        </w:rPr>
        <w:softHyphen/>
        <w:t>альная комиссия рассмотрела полноразмер</w:t>
      </w:r>
      <w:r w:rsidRPr="00E14102">
        <w:rPr>
          <w:color w:val="000000" w:themeColor="text1"/>
          <w:sz w:val="16"/>
          <w:szCs w:val="16"/>
        </w:rPr>
        <w:softHyphen/>
        <w:t>ный макет самолета КОР-1 и утвердила его. Кон</w:t>
      </w:r>
      <w:r w:rsidRPr="00E14102">
        <w:rPr>
          <w:color w:val="000000" w:themeColor="text1"/>
          <w:sz w:val="16"/>
          <w:szCs w:val="16"/>
        </w:rPr>
        <w:softHyphen/>
        <w:t>структивная разработка в основном закончи</w:t>
      </w:r>
      <w:r w:rsidRPr="00E14102">
        <w:rPr>
          <w:color w:val="000000" w:themeColor="text1"/>
          <w:sz w:val="16"/>
          <w:szCs w:val="16"/>
        </w:rPr>
        <w:softHyphen/>
        <w:t>лась в декабре 1935 года, а к окончанию ле</w:t>
      </w:r>
      <w:r w:rsidRPr="00E14102">
        <w:rPr>
          <w:color w:val="000000" w:themeColor="text1"/>
          <w:sz w:val="16"/>
          <w:szCs w:val="16"/>
        </w:rPr>
        <w:softHyphen/>
        <w:t>та следующего года первый опытный экзем</w:t>
      </w:r>
      <w:r w:rsidRPr="00E14102">
        <w:rPr>
          <w:color w:val="000000" w:themeColor="text1"/>
          <w:sz w:val="16"/>
          <w:szCs w:val="16"/>
        </w:rPr>
        <w:softHyphen/>
        <w:t>пляр построили в Таганроге и подготовили к летным испытаниям.</w:t>
      </w:r>
    </w:p>
    <w:p w14:paraId="4B2694EE" w14:textId="77777777" w:rsidR="00964959" w:rsidRPr="00E14102" w:rsidRDefault="00964959" w:rsidP="00E14102">
      <w:pPr>
        <w:jc w:val="both"/>
        <w:rPr>
          <w:color w:val="000000" w:themeColor="text1"/>
          <w:sz w:val="16"/>
          <w:szCs w:val="16"/>
        </w:rPr>
      </w:pPr>
      <w:r w:rsidRPr="00E14102">
        <w:rPr>
          <w:color w:val="000000" w:themeColor="text1"/>
          <w:sz w:val="16"/>
          <w:szCs w:val="16"/>
        </w:rPr>
        <w:t>КОР-1 представлял собой нормальный, т.е. классический, биплан на одном цент</w:t>
      </w:r>
      <w:r w:rsidRPr="00E14102">
        <w:rPr>
          <w:color w:val="000000" w:themeColor="text1"/>
          <w:sz w:val="16"/>
          <w:szCs w:val="16"/>
        </w:rPr>
        <w:softHyphen/>
        <w:t>ральном поплавке с двумя поплавками боко</w:t>
      </w:r>
      <w:r w:rsidRPr="00E14102">
        <w:rPr>
          <w:color w:val="000000" w:themeColor="text1"/>
          <w:sz w:val="16"/>
          <w:szCs w:val="16"/>
        </w:rPr>
        <w:softHyphen/>
        <w:t>вой остойчивости. Конструкция полностью металлическая, с обшивкой из полотна. Был оснащен звездообразным двигателем М-25 мощностью 700 л.с. с трехлопастным воз</w:t>
      </w:r>
      <w:r w:rsidRPr="00E14102">
        <w:rPr>
          <w:color w:val="000000" w:themeColor="text1"/>
          <w:sz w:val="16"/>
          <w:szCs w:val="16"/>
        </w:rPr>
        <w:softHyphen/>
        <w:t>душным винтом постоянного шага. В серии обычно устанавливались двухлопастные воз</w:t>
      </w:r>
      <w:r w:rsidRPr="00E14102">
        <w:rPr>
          <w:color w:val="000000" w:themeColor="text1"/>
          <w:sz w:val="16"/>
          <w:szCs w:val="16"/>
        </w:rPr>
        <w:softHyphen/>
        <w:t>душные винты постоянного шага. Экипаж составляли два человека: летчик и воздушный стрелок-наблюдатель. Наступательное воо</w:t>
      </w:r>
      <w:r w:rsidRPr="00E14102">
        <w:rPr>
          <w:color w:val="000000" w:themeColor="text1"/>
          <w:sz w:val="16"/>
          <w:szCs w:val="16"/>
        </w:rPr>
        <w:softHyphen/>
        <w:t>ружение включало два пулемета ШКАС на верхнем крыле. Пулеметы выступали из кры</w:t>
      </w:r>
      <w:r w:rsidRPr="00E14102">
        <w:rPr>
          <w:color w:val="000000" w:themeColor="text1"/>
          <w:sz w:val="16"/>
          <w:szCs w:val="16"/>
        </w:rPr>
        <w:softHyphen/>
        <w:t>ла и были вынесены за пределы вращающе</w:t>
      </w:r>
      <w:r w:rsidRPr="00E14102">
        <w:rPr>
          <w:color w:val="000000" w:themeColor="text1"/>
          <w:sz w:val="16"/>
          <w:szCs w:val="16"/>
        </w:rPr>
        <w:softHyphen/>
        <w:t>гося воздушного винта. Оборонительное во</w:t>
      </w:r>
      <w:r w:rsidRPr="00E14102">
        <w:rPr>
          <w:color w:val="000000" w:themeColor="text1"/>
          <w:sz w:val="16"/>
          <w:szCs w:val="16"/>
        </w:rPr>
        <w:softHyphen/>
        <w:t>оружение — один пулемет ШКАС на шквор</w:t>
      </w:r>
      <w:r w:rsidRPr="00E14102">
        <w:rPr>
          <w:color w:val="000000" w:themeColor="text1"/>
          <w:sz w:val="16"/>
          <w:szCs w:val="16"/>
        </w:rPr>
        <w:softHyphen/>
        <w:t>невой установке у воздушного стрелка. Бом</w:t>
      </w:r>
      <w:r w:rsidRPr="00E14102">
        <w:rPr>
          <w:color w:val="000000" w:themeColor="text1"/>
          <w:sz w:val="16"/>
          <w:szCs w:val="16"/>
        </w:rPr>
        <w:softHyphen/>
        <w:t>бардировочное вооружение - две авиабомбы калибра 50 кг под нижним крылом на стан</w:t>
      </w:r>
      <w:r w:rsidRPr="00E14102">
        <w:rPr>
          <w:color w:val="000000" w:themeColor="text1"/>
          <w:sz w:val="16"/>
          <w:szCs w:val="16"/>
        </w:rPr>
        <w:softHyphen/>
        <w:t>дартных держателях (12301).</w:t>
      </w:r>
    </w:p>
    <w:p w14:paraId="222C3F89" w14:textId="77777777" w:rsidR="00964959" w:rsidRPr="00E14102" w:rsidRDefault="00964959" w:rsidP="00E14102">
      <w:pPr>
        <w:jc w:val="both"/>
        <w:rPr>
          <w:color w:val="000000" w:themeColor="text1"/>
          <w:sz w:val="16"/>
          <w:szCs w:val="16"/>
        </w:rPr>
      </w:pPr>
    </w:p>
    <w:p w14:paraId="168E32C7" w14:textId="77777777" w:rsidR="00964959" w:rsidRPr="00E14102" w:rsidRDefault="00964959" w:rsidP="00E14102">
      <w:pPr>
        <w:jc w:val="both"/>
        <w:rPr>
          <w:color w:val="000000" w:themeColor="text1"/>
          <w:sz w:val="16"/>
          <w:szCs w:val="16"/>
        </w:rPr>
      </w:pPr>
      <w:r w:rsidRPr="00E14102">
        <w:rPr>
          <w:color w:val="000000" w:themeColor="text1"/>
          <w:sz w:val="16"/>
          <w:szCs w:val="16"/>
        </w:rPr>
        <w:t>11 июня 1935 г. Статья инженера А. Аузана "Авиация США"</w:t>
      </w:r>
    </w:p>
    <w:p w14:paraId="683EC51F"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Американскую авиационную технику я довольно хорошо знаю по технической литературе. Но то, с чем мне пришлось познакомиться в США воочию, намного превзошло всякие ожидания. Американцы действительно опередили европейцев почти во всех отраслях авиации. И нашей стране нужно еще много и энергично работать, чтобы стать вровень с США, начиная с научно-исследовательских работ в авиации и кончая эксплуатацией самолетов. </w:t>
      </w:r>
    </w:p>
    <w:p w14:paraId="4B1D2561"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В длительной заграничной командировке я находился вместе с комиссией работников ЦАГИ, возглавляемой проф. А. Туполевым. Как это уже известно читателям "За индустриализацию" , мы побывали последовательно во Франции, США и Англии. Основной целью нашей поездки было знакомство с американской авиационной техникой. И большую часть времени - три с половиной месяца - мы провели в этой стране. Мы посетили все основные американские самолетостроительные и моторостроительные заводы ("Кертис-Райт", "Пратт-Уитней", "Кинер", "Глэн-Мартин", "Дуглас", "Нортроп", "Локхид", Сикорского, "Консолидейтед" и многие другие); ознакомились с работами научно- исследовательского института Ланглейфилд и научно-испытательного института Райтфилд; видели аэродинамическую лабораторию технологического института в Пассадене (Калифорния) и лаборатории Массачусетского университета. </w:t>
      </w:r>
    </w:p>
    <w:p w14:paraId="382FE264"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Путешествие через весь континент мы совершали чисто по-американски. Купили 7 автомобилей и объехали все, что нужно было, проделав таким образом свыше 17 тыс. км. </w:t>
      </w:r>
    </w:p>
    <w:p w14:paraId="200CDC3D"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Решительно во всех странах самолеты гражданского воздушного флота по своим летным качествам уступают самолетам военного назначения. Это кажется совершенно законным и понятным. В самом деле. Какой смысл предъявлять гражданскому флоту столь высокие технические требования, которым должен удовлетворять флот военный? У американцев — наоборот. Наиболее современные самолеты обслуживают гражданский флот. В этом проявляется своеобразие американской экономики. Дело в том, что в мирное время главным заказчиком авиационной промышленности США являются коммерческие воздушные линии. Парк гражданского воздушного флота насчитывает свыше 10 тыс. машин. Самолетов же военного ведомства несравненно меньше. Но предусмотрительные американцы перестраховали себя тем, что лучшие конструкции гражданских самолетов обязательно имеют свой военный проверенный вариант. Например, двухмоторный моноплан "Дуглас" на 12 пассажиров, широко распространенный в гражданской авиации и обслуживающий трансконтинентальные линии, имеет вариант бомбардировщика. "Дуглас" военного типа сохраняет все свои "гражданские" летные качества: максимальную скорость 340 км/ч, крейсерскую - 300 и довольно приличный "потолок". </w:t>
      </w:r>
    </w:p>
    <w:p w14:paraId="2869D5B2"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"Дуглас" снабжен двумя моторами "Райт-Циклон" воздушного охлаждения фирмы "Кертис-Райт". Это один из наиболее надежных и излюбленных американцами типов мотора. Двигателями этой фирмы и фирмы "Пратт-Уитней" снабжен почти весь американский воздушный флот. </w:t>
      </w:r>
    </w:p>
    <w:p w14:paraId="7F37D6B7"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Было время, когда американцы в области моторостроения отставали несколько от Европы, в особенности от Франции. Французские моторы "Испано-Сюиза" (водяное охлаждение) и "Гном-Рон" (воздушное охлаждение) мощностью в 860 л.с. действительно превосходили все, что нам известно в мировой практике моторостроения своей способностью сохранять мощность на относительно большой высоте (4—5 тыс. м). Но американцы, как только они заметили первые признаки отставания в этой области, немедленно использовали французские достижения и уверенно завоевывают первенство в авиационном моторостроении. В их воздушном флоте преобладают моторы воздушного охлаждения в 9 и 14 цилиндров, которые располагаются однорядной или двухрядной звездой. </w:t>
      </w:r>
    </w:p>
    <w:p w14:paraId="1C352E82"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Очень много американские конструкторы-мотористы работают над сохранением мощности двигателя на больших высотах. Есть все основания ожидать, что они уже близки к решению этой трудной задачи. Проблему полета в стратосфере они решают и с помощью принципиально иных по своей конструкции авиадвигателей, в частности паровых. Конкретно я имею в виду паровую авиационную машину бр[атьев] Бесслер, неоднократно проверявшуюся в полете. Но лично мне не довелось ее посмотреть. </w:t>
      </w:r>
    </w:p>
    <w:p w14:paraId="3F45E6CD"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Американские самолеты — какой бы тип вы ни взяли на выбор - превосходят европейские по законченности, утонченности аэродинамических форм. Во всех случаях это будут тщательно зализанные монопланы, имеющие закрылки (для уменьшения посадочной скорости) не только по всей длине крыла, но и под фюзеляжем. На всех самолетах стоят металлические винты переменного шага. Кстати, эта подробность чрезвычайно наглядно характеризует американскую авиацию. В Англии мы видели преимущественно обычные деревянные винты. Над винтом переменного шага англичане только лишь экспериментируют. А в Америке этот винт, дающий серьезные технические и экономические преимущества, вошел в обиход. </w:t>
      </w:r>
    </w:p>
    <w:p w14:paraId="77B41B70"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В Америке сошел со сцены и биплан. А в Европе, как в этом мы лишний раз лично убедились в Хендоне на авиационных торжествах, существует еще много самолетов устаревшей бипланной схемы. </w:t>
      </w:r>
    </w:p>
    <w:p w14:paraId="538D9724"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Нас могут спросить: чем объясняется столь высокий уровень американской авиационной техники? Почему американцы так быстро и уверенно ломают установившиеся технические принципы, смело вводят в широких масштабах всевозможные новшества? Этот вопрос, вполне законный, заслуживает подробного ответа. Весь секрет - в превосходной организации научно-исследовательских и экспериментальных работ, развернутых в необычайно широком объеме. Здесь, надо сказать прямо, американцы не имеют еще соперников. Советский Союз, с его исключительно благоприятной для науки системой социалистического планирования, должен с особой внимательностью изучить американский опыт научных исследований в авиации. </w:t>
      </w:r>
    </w:p>
    <w:p w14:paraId="79EC18DD"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Всеми исследованиями и экспериментами американской авиационной промышленности руководит NACA - национальный совещательный комитет по аэронавтике. В его состав входят 15 наиболее авторитетных специалистов - работников самых различных научно-исследо- вательских учреждений, связанных с авиацией. Комитет распределяет задания среди институтов и лабораторий, всячески избегая параллелизма и распыления сил, тем более в такой молодой и пока малоизведанной, несмотря на все свое могущество, как авиационная. </w:t>
      </w:r>
    </w:p>
    <w:p w14:paraId="7182DFDA"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NACA облечен законодательными правами. Он навязывает свои требования всей авиационной промышленности. Стандарты NACA обязательны для всех. Взять, к примеру, известные миру капоты NACA. Раз NACA нашел, что лучших, чем эти капоты, сегодня в технике нет, то они становятся всеобщим правилом. Недаром "репорты" - научные труды NACA стали настольной книгой авиационных конструкторов во всех странах. К сожалению, надо сказать, что сведения в этих репортах становятся с каждым днем все скуднее и скуднее. Комитет стал распространять свою основную научную литературу только среди заводских библиотек для "внутреннего потребления". </w:t>
      </w:r>
    </w:p>
    <w:p w14:paraId="44D29AEB"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Американцы, не расходующие напрасно ни одной копейки, не жалеют денег на научные эксперименты. Вот один из примеров, показывающий размах исследований. Для выяснения наивыгоднейшей формы соединения монопланного крыла с фюзеляжами американцы изготовили 150 вариантов моделей и продули их в аэродинамической трубе с переменной плотностью воздуха. Подумайте только - 150 моделей различных конструкций! Проделана огромная исследовательская работа. И все это ради того, чтобы выбрать потом лишь одну или несколько наиболее выгодных конструкций. </w:t>
      </w:r>
    </w:p>
    <w:p w14:paraId="5E8DF26D"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Этот опыт стоил очень дорого, но он дал блестящие результаты. Таков стиль американских авиационных конструкторов, не делающих ни одного шага на ощупь. Вы не найдете там ни одного самолета, построенного без достаточно предварительной научной проработки. Эклектика, свойственная еще многим советским авиационным конструкторам, совершенно изгнана из американской практики. Американец предпочитает проверить много раз каждую мелочь в лаборатории, чем действовать на авось. Ведь не случайно американцы первыми "продули" головки заклепок и нашли ту их форму, которая наиболее целесообразна с аэродинамической точки зрения. Теперь многие страны - в том числе и Советский Союз, - перешли на американский метод клепки в потай. У нас клепится в потай даже весь самолет. В Америке же мы увидели, что этот дорогой способ клепки на его родине применяется только в верхней части крыла, где наиболее сказывается лобовое сопротивление. Пока мы перенимали американскую клепку, американцы успели убедиться, что она оправдывает себя лишь в местах максимального действия воздушной струи. </w:t>
      </w:r>
    </w:p>
    <w:p w14:paraId="069A1D43"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Что и говорить, аэродинамическая наука в Америке - на исключительно высоком уровне. Американцы имеют возможность продувать самолет в аэродинамической трубе в натуральную величину47. Она, эта гигантская труба, сыграла исключительную роль в прогрессе конструкторской мысли США (В Англии такую трубу пустили в эксплуатацию в мае этого года; во Франции - мы видели - она лишь только заканчивается постройкой). Кроме этого, американский конструктор имеет возможность испытывать фюзеляж без крыльев, но с работающим винтом. У нас такого оборудования институты еще не имеют. </w:t>
      </w:r>
    </w:p>
    <w:p w14:paraId="616148C3"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Научно-исследовательская работа по аэродинамике в Америке хорошо поставлена не только в специально исследовательских институтах, но даже и в учебных заведениях. Примером может служить технологический институт в Пассадене. Аэродинамической лабораторией института руководит известный всему миру профессор аэродинамики Карман. Немец по происхождению, он до 1926 г. работал в Токио. Затем он переехал в Америку. Предварительно Карман побывал в нашей стране и детально ознакомился с аэродинамической трубой ЦАГИ. Показывая нам оборудование института, Карман между прочим сказал: </w:t>
      </w:r>
    </w:p>
    <w:p w14:paraId="6C314E3C"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 Вот смотрите. Узнаете ли вы цагинский образец трубы?.. </w:t>
      </w:r>
    </w:p>
    <w:p w14:paraId="3A933521"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Посещение института в Пассадене показало нам, что ученик Карман опередил своего учителя. </w:t>
      </w:r>
    </w:p>
    <w:p w14:paraId="3C6A0B08"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Американцы выпускают первоклассные сухопутные самолеты. Но это касается лишь двухмоторных машин. В области же многомоторного самолетостроения они отстали, в особенности от Советского Союза48. Но американцы почувствовали свою слабость и теперь сосредоточили силы на этом отстающем участке. На дальних </w:t>
      </w:r>
      <w:r w:rsidRPr="00E14102">
        <w:rPr>
          <w:color w:val="000000" w:themeColor="text1"/>
          <w:sz w:val="16"/>
          <w:szCs w:val="16"/>
        </w:rPr>
        <w:lastRenderedPageBreak/>
        <w:t xml:space="preserve">линиях гражданского воздушного флота уже появились четырехмоторные морские самолеты с мощными двигателями. Этот симптом свидетельствует о назревающих сдвигах в тяжелом самолетостроении США. </w:t>
      </w:r>
    </w:p>
    <w:p w14:paraId="4B35F5CA"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Когда я отлеживался после ранения в Сан-Франциско, с Гавайских островов вернулся четырехмоторный гидросамолет Сикорского С-42. В скором времени он должен был повторить свой рейс. Машина, покрывающая столь большие расстояния, безусловно, заслуживает внимания. </w:t>
      </w:r>
    </w:p>
    <w:p w14:paraId="702335F3"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Кстати о Сикорском. Интересной мне кажется еще и двухмоторная металлическая лодка-амфибия С-43. Это самая последняя модель Сикорского. Она в настоящее время проходит испытания. Конструкторы амфибии надеются выжать из нее не меньше 300 км в час. Для гидросамолета, с его неизбежно большим лобовым сопротивлением, это - приличная скорость. </w:t>
      </w:r>
    </w:p>
    <w:p w14:paraId="11D996E1"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В заключение хочется сказать, что нас больше всего поразила в авиационной промышленности США та смелость, с которой люди ломают производственно-технологические процессы, если это нужно для внедрения в серию конструкции нового образца. Форд, когда переходит на новую модель автомобиля, не щадит затрат. Он обновляет станочный парк, меняет штампы и приспособления. Такие же разительные примеры перестройки мы находили и на авиационных заводах. Стоит лишь фирме убедиться в том, что новый самолет надежен, что он превосходит своего предшественника летными качествами, - и очень быстро все производство приспособляется к выпуску новой серии, несмотря на то, что это сопряжено с большими расходами, с известным переоборудованием цехов и ломкой технологии. </w:t>
      </w:r>
    </w:p>
    <w:p w14:paraId="637DE2EB"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Освоить этот гибкий американский стиль, умело сочетать его с нашими социалистическими условиями работы - важнейшая задача советской авиационной промышленности и ее научно-исследовательских учреждений. В гибкости - вот в чем больше всего нуждается наша авиация. Если мы не хотим отстать, мы должны научиться перестраиваться на ходу, перестраиваться так же быстро, как это делают американцы. Ведь ни одна отрасль техники так стремительно не развивается, как авиация. </w:t>
      </w:r>
    </w:p>
    <w:p w14:paraId="6F773F83" w14:textId="77777777" w:rsidR="00964959" w:rsidRPr="00E14102" w:rsidRDefault="00964959" w:rsidP="00E14102">
      <w:pPr>
        <w:jc w:val="both"/>
        <w:rPr>
          <w:color w:val="000000" w:themeColor="text1"/>
          <w:sz w:val="16"/>
          <w:szCs w:val="16"/>
        </w:rPr>
      </w:pPr>
      <w:r w:rsidRPr="00E14102">
        <w:rPr>
          <w:color w:val="000000" w:themeColor="text1"/>
          <w:sz w:val="16"/>
          <w:szCs w:val="16"/>
        </w:rPr>
        <w:t>За индустриализацию. 1935. М158. С. 3 (12152).</w:t>
      </w:r>
    </w:p>
    <w:p w14:paraId="4CCC853E" w14:textId="77777777" w:rsidR="00964959" w:rsidRPr="00E14102" w:rsidRDefault="00964959" w:rsidP="00E14102">
      <w:pPr>
        <w:jc w:val="both"/>
        <w:rPr>
          <w:color w:val="000000" w:themeColor="text1"/>
          <w:sz w:val="16"/>
          <w:szCs w:val="16"/>
        </w:rPr>
      </w:pPr>
    </w:p>
    <w:p w14:paraId="5D2070B7" w14:textId="77777777" w:rsidR="0051135A" w:rsidRPr="00E14102" w:rsidRDefault="0051135A" w:rsidP="00E14102">
      <w:pPr>
        <w:pStyle w:val="rtejustify"/>
        <w:spacing w:before="0" w:after="0"/>
        <w:rPr>
          <w:color w:val="000000" w:themeColor="text1"/>
          <w:sz w:val="16"/>
          <w:szCs w:val="16"/>
        </w:rPr>
      </w:pPr>
      <w:r w:rsidRPr="00E14102">
        <w:rPr>
          <w:rStyle w:val="a6"/>
          <w:bCs/>
          <w:i w:val="0"/>
          <w:color w:val="000000" w:themeColor="text1"/>
          <w:sz w:val="16"/>
          <w:szCs w:val="16"/>
        </w:rPr>
        <w:t>11 июня 1935 вышел приказ НКО №</w:t>
      </w:r>
      <w:r w:rsidRPr="00E14102">
        <w:rPr>
          <w:color w:val="000000" w:themeColor="text1"/>
          <w:sz w:val="16"/>
          <w:szCs w:val="16"/>
        </w:rPr>
        <w:t> 0037. О проведении длительных испытаний прибора «Свеча» для зажигания по радио с самолета огней аэродрома (15247).</w:t>
      </w:r>
    </w:p>
    <w:p w14:paraId="40910A7A" w14:textId="77777777" w:rsidR="0051135A" w:rsidRPr="00E14102" w:rsidRDefault="0051135A" w:rsidP="00E14102">
      <w:pPr>
        <w:pStyle w:val="rtejustify"/>
        <w:spacing w:before="0" w:after="0"/>
        <w:rPr>
          <w:color w:val="000000" w:themeColor="text1"/>
          <w:sz w:val="16"/>
          <w:szCs w:val="16"/>
        </w:rPr>
      </w:pPr>
    </w:p>
    <w:p w14:paraId="174BB6AD" w14:textId="77777777" w:rsidR="0051135A" w:rsidRPr="00E14102" w:rsidRDefault="0051135A" w:rsidP="00E14102">
      <w:pPr>
        <w:jc w:val="both"/>
        <w:rPr>
          <w:color w:val="000000" w:themeColor="text1"/>
          <w:sz w:val="16"/>
          <w:szCs w:val="16"/>
        </w:rPr>
      </w:pPr>
      <w:r w:rsidRPr="00E14102">
        <w:rPr>
          <w:bCs/>
          <w:color w:val="000000" w:themeColor="text1"/>
          <w:sz w:val="16"/>
          <w:szCs w:val="16"/>
        </w:rPr>
        <w:t>11 июня</w:t>
      </w:r>
      <w:r w:rsidRPr="00E14102">
        <w:rPr>
          <w:color w:val="000000" w:themeColor="text1"/>
          <w:sz w:val="16"/>
          <w:szCs w:val="16"/>
        </w:rPr>
        <w:t xml:space="preserve"> в 1935 году пилот И.П.Белозеров впервые сбросил с «ХАИ-1ВВ» бомба 2АФА-50» с высоты 6550 м в Ногинске (14919).</w:t>
      </w:r>
    </w:p>
    <w:p w14:paraId="4EABC1D8" w14:textId="77777777" w:rsidR="0051135A" w:rsidRPr="00E14102" w:rsidRDefault="0051135A" w:rsidP="00E14102">
      <w:pPr>
        <w:jc w:val="both"/>
        <w:rPr>
          <w:color w:val="000000" w:themeColor="text1"/>
          <w:sz w:val="16"/>
          <w:szCs w:val="16"/>
        </w:rPr>
      </w:pPr>
    </w:p>
    <w:p w14:paraId="2E3861B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40AB3E7" w14:textId="77777777" w:rsidR="00D4105E" w:rsidRPr="00E14102" w:rsidRDefault="00D4105E" w:rsidP="00E14102">
      <w:pPr>
        <w:autoSpaceDE w:val="0"/>
        <w:autoSpaceDN w:val="0"/>
        <w:adjustRightInd w:val="0"/>
        <w:jc w:val="both"/>
        <w:rPr>
          <w:iCs/>
          <w:color w:val="000000" w:themeColor="text1"/>
          <w:sz w:val="16"/>
          <w:szCs w:val="16"/>
        </w:rPr>
      </w:pPr>
    </w:p>
    <w:p w14:paraId="69A484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11 по 13 июня 1935 г. в Софрино были проведены заводские испытания 76-мм полууниверсальной пушки 31-К. 76-мм полууниверсальная пушка 31-К представляла собой переделанную 76-мм пушку 25-К. Работами по 31-К занимались конструктор Бавыкин и начальник КБ Сидоренко. Пушки 31-К имели два типа тел: с лейнером и со свободной трубой. Кроме того, имелся кожух и казенник. Стволы со свободной трубой изготавливались в двух вариантах: с каморой под патрон 76-мм зенитной пушки обр. 1931 г. и с каморой под патрон 76-мм зенитной пушки обр. 1915/28 г. В первом случае ствол имел дульный тормоз. Вертикальный клиновой затвор с полуавтоматикой целиком взят от зенитной пушки обр. 1931 г.</w:t>
      </w:r>
    </w:p>
    <w:p w14:paraId="67859F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Интересной особенностью 31-К (как и последующих 32-К) было то, что ствол не скользил, как обычно, по люльке, а откатывался на роликах. Люлька типа "Бофорс" гидропневматический накатник расположен сверху, а гидравлический компрессор снизу. Длина отката переменная.</w:t>
      </w:r>
    </w:p>
    <w:p w14:paraId="0C5064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Лафет однобрусный. Стрельба могла вестись как с поддона (основное положение), так и с колес. Подъемный механизм имел один сектор. Уравновешивающий механизм пружинный.</w:t>
      </w:r>
    </w:p>
    <w:p w14:paraId="032A55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Особый интерес представлял собой поворотный механизм, точнее было два поворотных механизма с одним общим ручным приводом. При стрельбе с колес с помощью винтового механизма орудие передвигалось вдоль боевой оси, имея угол поворота 3 (то есть традиционный механизм для однобрусных систем).</w:t>
      </w:r>
    </w:p>
    <w:p w14:paraId="0A2326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стрельбе с поддона применялся другой поворотный механизм. В стальную хоботовую коробку был ввернут штырь, на котором укреплен балансир с гусеничным механизмом. Балансир опирался на гусеницу посредством четырех роликов (ведущего, натяжного и двух поддерживающих). Ведущий ролик шарнирным приводом был соединен с коробкой поворотного механизма. Таким образом наводчик крутил маховик, который посредством кулачной муфты соединялся или с валом, идущим к хоботу и вращающим гусеницу, или с валом, идущим к боевой оси.</w:t>
      </w:r>
    </w:p>
    <w:p w14:paraId="018CAF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Поддон в походном положении подвешивался под лафетом, а боковые сегменты поддона на станине. При переходе в боевое положение пушка накатывалась на поддон.</w:t>
      </w:r>
    </w:p>
    <w:p w14:paraId="0D272C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Лафет подрессорен. Колеса стальные дискового типа с резиновыми шинами шириной 100 мм , диаметром 1240 мм (3861).</w:t>
      </w:r>
    </w:p>
    <w:p w14:paraId="32E4977C" w14:textId="77777777" w:rsidR="00D4105E" w:rsidRPr="00E14102" w:rsidRDefault="00D4105E" w:rsidP="00E14102">
      <w:pPr>
        <w:autoSpaceDE w:val="0"/>
        <w:autoSpaceDN w:val="0"/>
        <w:adjustRightInd w:val="0"/>
        <w:jc w:val="both"/>
        <w:rPr>
          <w:color w:val="000000" w:themeColor="text1"/>
          <w:sz w:val="16"/>
          <w:szCs w:val="16"/>
        </w:rPr>
      </w:pPr>
    </w:p>
    <w:p w14:paraId="069436F6" w14:textId="77777777" w:rsidR="0051135A" w:rsidRPr="00E14102" w:rsidRDefault="0051135A" w:rsidP="00E14102">
      <w:pPr>
        <w:jc w:val="both"/>
        <w:rPr>
          <w:color w:val="000000" w:themeColor="text1"/>
          <w:sz w:val="16"/>
          <w:szCs w:val="16"/>
        </w:rPr>
      </w:pPr>
      <w:r w:rsidRPr="00E14102">
        <w:rPr>
          <w:color w:val="000000" w:themeColor="text1"/>
          <w:sz w:val="16"/>
          <w:szCs w:val="16"/>
          <w:lang w:val="en-US"/>
        </w:rPr>
        <w:t>C</w:t>
      </w:r>
      <w:r w:rsidRPr="00E14102">
        <w:rPr>
          <w:color w:val="000000" w:themeColor="text1"/>
          <w:sz w:val="16"/>
          <w:szCs w:val="16"/>
        </w:rPr>
        <w:t xml:space="preserve"> 11 по 13 июня 1935 г. в Софрино были проведены </w:t>
      </w:r>
      <w:r w:rsidRPr="00E14102">
        <w:rPr>
          <w:color w:val="000000" w:themeColor="text1"/>
          <w:sz w:val="16"/>
          <w:szCs w:val="16"/>
          <w:lang w:val="en-US"/>
        </w:rPr>
        <w:t>p</w:t>
      </w:r>
      <w:r w:rsidRPr="00E14102">
        <w:rPr>
          <w:color w:val="000000" w:themeColor="text1"/>
          <w:sz w:val="16"/>
          <w:szCs w:val="16"/>
        </w:rPr>
        <w:t>аводские испытания 31-К. 14 октября 1935 г. пушка 31-К прибыла на НИАП, где в январе 1936 г. были начаты полигонные испытания. Испытывался ствол со свободной трубой и каморой обр. 1915/28 г.</w:t>
      </w:r>
    </w:p>
    <w:p w14:paraId="7F0D2FD0" w14:textId="77777777" w:rsidR="0051135A" w:rsidRPr="00E14102" w:rsidRDefault="0051135A" w:rsidP="00E14102">
      <w:pPr>
        <w:jc w:val="both"/>
        <w:rPr>
          <w:color w:val="000000" w:themeColor="text1"/>
          <w:sz w:val="16"/>
          <w:szCs w:val="16"/>
        </w:rPr>
      </w:pPr>
      <w:r w:rsidRPr="00E14102">
        <w:rPr>
          <w:color w:val="000000" w:themeColor="text1"/>
          <w:sz w:val="16"/>
          <w:szCs w:val="16"/>
        </w:rPr>
        <w:t>76-мм полууниверсальная пушка 31-К представляла собой переделанную 76-мм пушку 25-К. Работами по 31-К занимались конструктор Бавыкин и начальник КБ Сидоренко.</w:t>
      </w:r>
    </w:p>
    <w:p w14:paraId="37F04476" w14:textId="77777777" w:rsidR="0051135A" w:rsidRPr="00E14102" w:rsidRDefault="0051135A" w:rsidP="00E14102">
      <w:pPr>
        <w:jc w:val="both"/>
        <w:rPr>
          <w:color w:val="000000" w:themeColor="text1"/>
          <w:sz w:val="16"/>
          <w:szCs w:val="16"/>
        </w:rPr>
      </w:pPr>
      <w:r w:rsidRPr="00E14102">
        <w:rPr>
          <w:color w:val="000000" w:themeColor="text1"/>
          <w:sz w:val="16"/>
          <w:szCs w:val="16"/>
        </w:rPr>
        <w:t>Пушки 31-К имели два типа тел: с лейнером и со свободной трубой. Кроме того, имелся кожух и казенник. Стволы со свободной трубой изготавливались в двух вариантах: с каморой под патрон 76-мм зенитной пушки обр. 1931 г. и с каморой под патрон 76-мм зенитной пушки обр. 1915/28 г. В первом случае ствол имел дульный тормоз. Вертикальный клиновой затвор с полуавтоматикой целиком взят от зенитной пушки обр. 1931 г.</w:t>
      </w:r>
    </w:p>
    <w:p w14:paraId="177F2D20" w14:textId="77777777" w:rsidR="0051135A" w:rsidRPr="00E14102" w:rsidRDefault="0051135A" w:rsidP="00E14102">
      <w:pPr>
        <w:jc w:val="both"/>
        <w:rPr>
          <w:color w:val="000000" w:themeColor="text1"/>
          <w:sz w:val="16"/>
          <w:szCs w:val="16"/>
        </w:rPr>
      </w:pPr>
      <w:r w:rsidRPr="00E14102">
        <w:rPr>
          <w:color w:val="000000" w:themeColor="text1"/>
          <w:sz w:val="16"/>
          <w:szCs w:val="16"/>
        </w:rPr>
        <w:t>Интересной особенностью 31-К (как и последующих 32-К) было то, что ствол не скользил, как обычно, по люльке, а откатывался на роликах. Люлька типа «Бофорс» — гидропневматический накатник расположен сверху, а гидравлический компрессор — снизу. Длина отката переменная.</w:t>
      </w:r>
    </w:p>
    <w:p w14:paraId="04F2D854" w14:textId="77777777" w:rsidR="0051135A" w:rsidRPr="00E14102" w:rsidRDefault="0051135A" w:rsidP="00E14102">
      <w:pPr>
        <w:jc w:val="both"/>
        <w:rPr>
          <w:color w:val="000000" w:themeColor="text1"/>
          <w:sz w:val="16"/>
          <w:szCs w:val="16"/>
        </w:rPr>
      </w:pPr>
      <w:r w:rsidRPr="00E14102">
        <w:rPr>
          <w:color w:val="000000" w:themeColor="text1"/>
          <w:sz w:val="16"/>
          <w:szCs w:val="16"/>
        </w:rPr>
        <w:t>Лафет однобрусный. Стрельба могла вестись как с поддона (основное положение), так и с колес.</w:t>
      </w:r>
    </w:p>
    <w:p w14:paraId="7361CEBA" w14:textId="77777777" w:rsidR="0051135A" w:rsidRPr="00E14102" w:rsidRDefault="0051135A" w:rsidP="00E14102">
      <w:pPr>
        <w:jc w:val="both"/>
        <w:rPr>
          <w:color w:val="000000" w:themeColor="text1"/>
          <w:sz w:val="16"/>
          <w:szCs w:val="16"/>
        </w:rPr>
      </w:pPr>
      <w:r w:rsidRPr="00E14102">
        <w:rPr>
          <w:color w:val="000000" w:themeColor="text1"/>
          <w:sz w:val="16"/>
          <w:szCs w:val="16"/>
        </w:rPr>
        <w:t>Подъемный механизм имел один сектор. Уравновешивающий механизм пружинный.</w:t>
      </w:r>
    </w:p>
    <w:p w14:paraId="0A44A8F7" w14:textId="77777777" w:rsidR="0051135A" w:rsidRPr="00E14102" w:rsidRDefault="0051135A" w:rsidP="00E14102">
      <w:pPr>
        <w:jc w:val="both"/>
        <w:rPr>
          <w:color w:val="000000" w:themeColor="text1"/>
          <w:sz w:val="16"/>
          <w:szCs w:val="16"/>
        </w:rPr>
      </w:pPr>
      <w:r w:rsidRPr="00E14102">
        <w:rPr>
          <w:color w:val="000000" w:themeColor="text1"/>
          <w:sz w:val="16"/>
          <w:szCs w:val="16"/>
        </w:rPr>
        <w:t>Особый интерес представлял собой поворотный механизм, точнее, было два поворотных механизма с одним общим ручным приводом. При стрельбе с колес с помощью винтового механизма орудие передвигалось вдоль боевой оси, имея угол поворота ±3° (то есть традиционный механизм для однобрусных систем).</w:t>
      </w:r>
    </w:p>
    <w:p w14:paraId="0712B4B8" w14:textId="77777777" w:rsidR="0051135A" w:rsidRPr="00E14102" w:rsidRDefault="0051135A" w:rsidP="00E14102">
      <w:pPr>
        <w:jc w:val="both"/>
        <w:rPr>
          <w:color w:val="000000" w:themeColor="text1"/>
          <w:sz w:val="16"/>
          <w:szCs w:val="16"/>
        </w:rPr>
      </w:pPr>
      <w:r w:rsidRPr="00E14102">
        <w:rPr>
          <w:color w:val="000000" w:themeColor="text1"/>
          <w:sz w:val="16"/>
          <w:szCs w:val="16"/>
        </w:rPr>
        <w:t>При стрельбе с поддона применялся другой поворотный механизм. В стальную хоботовую коробку был ввернут штырь, на котором укреплен балансир с гусеничным механизмом. Балансир опирался на гусеницу посредством четырех роликов (ведущего, натяжного и двух поддерживающих). Ведущий ролик шарнирным приводом был соединен с коробкой поворотного механизма. Таким образом, наводчик крутил маховик, который посредством кулачной муфты соединялся или с валом, идущим к хоботу и вращающим гусеницу, или с валом, идущим к боевой оси.</w:t>
      </w:r>
    </w:p>
    <w:p w14:paraId="73ABB807" w14:textId="77777777" w:rsidR="0051135A" w:rsidRPr="00E14102" w:rsidRDefault="0051135A" w:rsidP="00E14102">
      <w:pPr>
        <w:jc w:val="both"/>
        <w:rPr>
          <w:color w:val="000000" w:themeColor="text1"/>
          <w:sz w:val="16"/>
          <w:szCs w:val="16"/>
        </w:rPr>
      </w:pPr>
      <w:r w:rsidRPr="00E14102">
        <w:rPr>
          <w:color w:val="000000" w:themeColor="text1"/>
          <w:sz w:val="16"/>
          <w:szCs w:val="16"/>
        </w:rPr>
        <w:t>Поддон в походном положении подвешивался под лафетом, а боковые сегменты поддона — на станине. При переходе в боевое положение пушка накатывалась на поддон.</w:t>
      </w:r>
    </w:p>
    <w:p w14:paraId="1DBFE5CC" w14:textId="77777777" w:rsidR="0051135A" w:rsidRPr="00E14102" w:rsidRDefault="0051135A" w:rsidP="00E14102">
      <w:pPr>
        <w:jc w:val="both"/>
        <w:rPr>
          <w:color w:val="000000" w:themeColor="text1"/>
          <w:sz w:val="16"/>
          <w:szCs w:val="16"/>
        </w:rPr>
      </w:pPr>
      <w:r w:rsidRPr="00E14102">
        <w:rPr>
          <w:color w:val="000000" w:themeColor="text1"/>
          <w:sz w:val="16"/>
          <w:szCs w:val="16"/>
        </w:rPr>
        <w:t>Лафет подрессорен. Колеса стальные дискового типа с резиновыми шинами шириной 100 мм, диаметром 1240 мм.</w:t>
      </w:r>
    </w:p>
    <w:p w14:paraId="65DF8352" w14:textId="77777777" w:rsidR="0051135A" w:rsidRPr="00E14102" w:rsidRDefault="0051135A" w:rsidP="00E14102">
      <w:pPr>
        <w:jc w:val="both"/>
        <w:rPr>
          <w:color w:val="000000" w:themeColor="text1"/>
          <w:sz w:val="16"/>
          <w:szCs w:val="16"/>
        </w:rPr>
      </w:pPr>
      <w:r w:rsidRPr="00E14102">
        <w:rPr>
          <w:color w:val="000000" w:themeColor="text1"/>
          <w:sz w:val="16"/>
          <w:szCs w:val="16"/>
        </w:rPr>
        <w:t>Оказалось, что дальность стрельбы 31-К меньше расчетной, кучность неудовлетворительная. Выяснить причину обоих явлений НИАПу не удалось. В ходе испытаний на твердом грунте закреплять поддон неподвижно довольно трудно. При стрельбе с колес система вполне устойчива. Проходимость системы удовлетворительная. Шесть лошадей преодолевали канаву шириной до 2 м и глубиной 0,75—1,0 м, рвы шириной до 4 м и глубиной 1 м, а также подъем до 30°. Время перехода из походного положения в боевое: для стрельбы с поддона — 40—45 сек., для стрельбы с колес — 1,5 мин. (из-за рытья канавки для сошника).</w:t>
      </w:r>
    </w:p>
    <w:p w14:paraId="4ABDD42E" w14:textId="77777777" w:rsidR="0051135A" w:rsidRPr="00E14102" w:rsidRDefault="0051135A" w:rsidP="00E14102">
      <w:pPr>
        <w:jc w:val="both"/>
        <w:rPr>
          <w:color w:val="000000" w:themeColor="text1"/>
          <w:sz w:val="16"/>
          <w:szCs w:val="16"/>
        </w:rPr>
      </w:pPr>
      <w:r w:rsidRPr="00E14102">
        <w:rPr>
          <w:color w:val="000000" w:themeColor="text1"/>
          <w:sz w:val="16"/>
          <w:szCs w:val="16"/>
        </w:rPr>
        <w:t>Заключение комиссии НИАПа: велик вес системы (1729 кг), кучность плоха, недостаточная прочность станка (расходятся станины). Система 31-К полигонные испытания не выдержала (15117).</w:t>
      </w:r>
    </w:p>
    <w:p w14:paraId="6F81B80F" w14:textId="77777777" w:rsidR="0051135A" w:rsidRPr="00E14102" w:rsidRDefault="0051135A" w:rsidP="00E14102">
      <w:pPr>
        <w:jc w:val="both"/>
        <w:rPr>
          <w:color w:val="000000" w:themeColor="text1"/>
          <w:sz w:val="16"/>
          <w:szCs w:val="16"/>
        </w:rPr>
      </w:pPr>
    </w:p>
    <w:p w14:paraId="5E7EFF0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9097E0A" w14:textId="77777777" w:rsidR="00D4105E" w:rsidRPr="00E14102" w:rsidRDefault="00D4105E" w:rsidP="00E14102">
      <w:pPr>
        <w:autoSpaceDE w:val="0"/>
        <w:autoSpaceDN w:val="0"/>
        <w:adjustRightInd w:val="0"/>
        <w:jc w:val="both"/>
        <w:rPr>
          <w:iCs/>
          <w:color w:val="000000" w:themeColor="text1"/>
          <w:sz w:val="16"/>
          <w:szCs w:val="16"/>
        </w:rPr>
      </w:pPr>
    </w:p>
    <w:p w14:paraId="0C3513B6" w14:textId="77777777" w:rsidR="00F70A45" w:rsidRPr="00E14102" w:rsidRDefault="00F70A45" w:rsidP="00E14102">
      <w:pPr>
        <w:jc w:val="both"/>
        <w:rPr>
          <w:color w:val="000000" w:themeColor="text1"/>
          <w:sz w:val="16"/>
          <w:szCs w:val="16"/>
        </w:rPr>
      </w:pPr>
      <w:r w:rsidRPr="00E14102">
        <w:rPr>
          <w:bCs/>
          <w:color w:val="000000" w:themeColor="text1"/>
          <w:sz w:val="16"/>
          <w:szCs w:val="16"/>
        </w:rPr>
        <w:t>12 июня</w:t>
      </w:r>
      <w:r w:rsidRPr="00E14102">
        <w:rPr>
          <w:color w:val="000000" w:themeColor="text1"/>
          <w:sz w:val="16"/>
          <w:szCs w:val="16"/>
        </w:rPr>
        <w:t xml:space="preserve"> в 1935 году впервые взлетел немецкий многоцелевой вспомогательный самолет </w:t>
      </w:r>
      <w:hyperlink r:id="rId123" w:tgtFrame="_blank" w:history="1">
        <w:r w:rsidRPr="00E14102">
          <w:rPr>
            <w:color w:val="000000" w:themeColor="text1"/>
            <w:sz w:val="16"/>
            <w:szCs w:val="16"/>
          </w:rPr>
          <w:t xml:space="preserve">«FW-58» «V2», </w:t>
        </w:r>
      </w:hyperlink>
      <w:r w:rsidRPr="00E14102">
        <w:rPr>
          <w:color w:val="000000" w:themeColor="text1"/>
          <w:sz w:val="16"/>
          <w:szCs w:val="16"/>
        </w:rPr>
        <w:t>на нем устанавливался пулемет «MG15». Этот самолет послужил прототипом для модификаций А и В. Литера "V" (от немецкого Versuch - опытный) (14920).</w:t>
      </w:r>
    </w:p>
    <w:p w14:paraId="6B41EAEE" w14:textId="77777777" w:rsidR="00F70A45" w:rsidRPr="00E14102" w:rsidRDefault="00F70A45" w:rsidP="00E14102">
      <w:pPr>
        <w:jc w:val="both"/>
        <w:rPr>
          <w:color w:val="000000" w:themeColor="text1"/>
          <w:sz w:val="16"/>
          <w:szCs w:val="16"/>
        </w:rPr>
      </w:pPr>
    </w:p>
    <w:p w14:paraId="5ADEA70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июня 1935 Муссолини запретил в Италии продажу газеты “Нью-Йорк таймс” за необъективное освещение деятельности фашистов (4962).</w:t>
      </w:r>
    </w:p>
    <w:p w14:paraId="2ABB312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A589A8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июня 1935 подписан мирный договор между Боливией и Перу, завершивший войну Чако (4962).</w:t>
      </w:r>
    </w:p>
    <w:p w14:paraId="642DEBB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0B892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июня 1935 было официально заключено перемирие между Парагваем и Боливией - участниками Чакской войны, однако, мирный договор был подписан только в 1938 (3907,192).</w:t>
      </w:r>
    </w:p>
    <w:p w14:paraId="53E50C67" w14:textId="77777777" w:rsidR="00D4105E" w:rsidRPr="00E14102" w:rsidRDefault="00D4105E" w:rsidP="00E14102">
      <w:pPr>
        <w:autoSpaceDE w:val="0"/>
        <w:autoSpaceDN w:val="0"/>
        <w:adjustRightInd w:val="0"/>
        <w:jc w:val="both"/>
        <w:rPr>
          <w:color w:val="000000" w:themeColor="text1"/>
          <w:sz w:val="16"/>
          <w:szCs w:val="16"/>
        </w:rPr>
      </w:pPr>
    </w:p>
    <w:p w14:paraId="1519B94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6E5241F" w14:textId="77777777" w:rsidR="00D4105E" w:rsidRPr="00E14102" w:rsidRDefault="00D4105E" w:rsidP="00E14102">
      <w:pPr>
        <w:autoSpaceDE w:val="0"/>
        <w:autoSpaceDN w:val="0"/>
        <w:adjustRightInd w:val="0"/>
        <w:jc w:val="both"/>
        <w:rPr>
          <w:iCs/>
          <w:color w:val="000000" w:themeColor="text1"/>
          <w:sz w:val="16"/>
          <w:szCs w:val="16"/>
        </w:rPr>
      </w:pPr>
    </w:p>
    <w:p w14:paraId="6FA778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июня 1935 Директор ХАИ Красильников писал письмо N 666с Нач. ГУАП Г.Н.Королеву:</w:t>
      </w:r>
    </w:p>
    <w:p w14:paraId="06C6AC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"Прилагая положение и программу заводских испытаний самолетов ХАИ-6 и ХАИ-4, прошу таковые утвердить.</w:t>
      </w:r>
    </w:p>
    <w:p w14:paraId="0EC267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Состав комиссии по испытанию самолетов ХАИ-6 и ХАИ-4 утвержден Зам. Нач. ГУАП Ермолаевым.</w:t>
      </w:r>
    </w:p>
    <w:p w14:paraId="52FD12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Летные испытания начнем 15 июня 1935." (2343,229).</w:t>
      </w:r>
    </w:p>
    <w:p w14:paraId="51CE9ED2" w14:textId="77777777" w:rsidR="00D4105E" w:rsidRPr="00E14102" w:rsidRDefault="00D4105E" w:rsidP="00E14102">
      <w:pPr>
        <w:autoSpaceDE w:val="0"/>
        <w:autoSpaceDN w:val="0"/>
        <w:adjustRightInd w:val="0"/>
        <w:jc w:val="both"/>
        <w:rPr>
          <w:color w:val="000000" w:themeColor="text1"/>
          <w:sz w:val="16"/>
          <w:szCs w:val="16"/>
        </w:rPr>
      </w:pPr>
    </w:p>
    <w:p w14:paraId="7EAFC4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июня 1935 года Начальник и военком НИИ ВВС Бажанов утвердил Отчет по испытанию на перевернутый штопор самолета И-5</w:t>
      </w:r>
    </w:p>
    <w:p w14:paraId="3811E6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21BDBB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Исследование перевернутого штопора на самолете И-5 для выработки указаний строевым частям по выполнению перевернутых штопоров в связи с имевшимися случаями в строевых частях не выхода самолета И-5 из такого штопора.</w:t>
      </w:r>
    </w:p>
    <w:p w14:paraId="06DB2D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170226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Выход самолета И-5 из перевернутого штопора обеспечивается при нормальном вводе (нога до отказа, ручка вперед и в сторону обратную ноге) и нормальном выводе (обратная нога, ручка на себя и положение немного за нейтральное). При выполнении или выводе из перевернутого штопора, самолет переходит в опасный режим из которого при испытаниях не вышел.</w:t>
      </w:r>
    </w:p>
    <w:p w14:paraId="65E517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8930"/>
      </w:tblGrid>
      <w:tr w:rsidR="00E3599D" w:rsidRPr="00E14102" w14:paraId="658D470D" w14:textId="77777777">
        <w:tc>
          <w:tcPr>
            <w:tcW w:w="1668" w:type="dxa"/>
            <w:tcBorders>
              <w:top w:val="single" w:sz="12" w:space="0" w:color="auto"/>
            </w:tcBorders>
          </w:tcPr>
          <w:p w14:paraId="20BC84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июня 1935 года</w:t>
            </w:r>
          </w:p>
        </w:tc>
        <w:tc>
          <w:tcPr>
            <w:tcW w:w="8930" w:type="dxa"/>
            <w:tcBorders>
              <w:top w:val="single" w:sz="12" w:space="0" w:color="auto"/>
            </w:tcBorders>
          </w:tcPr>
          <w:p w14:paraId="7B2D2E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Тренировочные полеты в нормальном штопоре и полете на спине инженером-летчиком Филиным и летчиком испытателем Стефановским.</w:t>
            </w:r>
          </w:p>
          <w:p w14:paraId="0F5745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Филин – 1 полет</w:t>
            </w:r>
          </w:p>
          <w:p w14:paraId="22244C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Стефановский – 2 полета</w:t>
            </w:r>
          </w:p>
        </w:tc>
      </w:tr>
      <w:tr w:rsidR="00E3599D" w:rsidRPr="00E14102" w14:paraId="71A4C7AA" w14:textId="77777777">
        <w:tc>
          <w:tcPr>
            <w:tcW w:w="1668" w:type="dxa"/>
            <w:tcBorders>
              <w:bottom w:val="single" w:sz="12" w:space="0" w:color="auto"/>
            </w:tcBorders>
          </w:tcPr>
          <w:p w14:paraId="77EBB2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июня 1935 года</w:t>
            </w:r>
          </w:p>
        </w:tc>
        <w:tc>
          <w:tcPr>
            <w:tcW w:w="8930" w:type="dxa"/>
            <w:tcBorders>
              <w:bottom w:val="single" w:sz="12" w:space="0" w:color="auto"/>
            </w:tcBorders>
          </w:tcPr>
          <w:p w14:paraId="283891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Тренировочные полеты инженера-летчика Филина и летчиков испытателей Стефановского и Степанченка.</w:t>
            </w:r>
          </w:p>
          <w:p w14:paraId="1D426D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Филин – 1 полет</w:t>
            </w:r>
          </w:p>
          <w:p w14:paraId="18677A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Стефановский – 2 полета, из них один на перевернутый штопор</w:t>
            </w:r>
          </w:p>
          <w:p w14:paraId="54E509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Степанченок – 3 полета (3988)</w:t>
            </w:r>
          </w:p>
        </w:tc>
      </w:tr>
    </w:tbl>
    <w:p w14:paraId="598CBC44" w14:textId="77777777" w:rsidR="00D4105E" w:rsidRPr="00E14102" w:rsidRDefault="00D4105E" w:rsidP="00E14102">
      <w:pPr>
        <w:autoSpaceDE w:val="0"/>
        <w:autoSpaceDN w:val="0"/>
        <w:adjustRightInd w:val="0"/>
        <w:jc w:val="both"/>
        <w:rPr>
          <w:color w:val="000000" w:themeColor="text1"/>
          <w:sz w:val="16"/>
          <w:szCs w:val="16"/>
        </w:rPr>
      </w:pPr>
    </w:p>
    <w:p w14:paraId="071F721F" w14:textId="77777777" w:rsidR="00F70A45" w:rsidRPr="00E14102" w:rsidRDefault="00F70A45" w:rsidP="00E14102">
      <w:pPr>
        <w:pStyle w:val="rtejustify"/>
        <w:spacing w:before="0" w:after="0"/>
        <w:rPr>
          <w:color w:val="000000" w:themeColor="text1"/>
          <w:sz w:val="16"/>
          <w:szCs w:val="16"/>
        </w:rPr>
      </w:pPr>
      <w:r w:rsidRPr="00E14102">
        <w:rPr>
          <w:rStyle w:val="a6"/>
          <w:bCs/>
          <w:i w:val="0"/>
          <w:color w:val="000000" w:themeColor="text1"/>
          <w:sz w:val="16"/>
          <w:szCs w:val="16"/>
        </w:rPr>
        <w:t>13 июня 1935 вышел приказ НКО №</w:t>
      </w:r>
      <w:r w:rsidRPr="00E14102">
        <w:rPr>
          <w:color w:val="000000" w:themeColor="text1"/>
          <w:sz w:val="16"/>
          <w:szCs w:val="16"/>
        </w:rPr>
        <w:t> 098. О производстве испытания артиллерийских авиационных корректировщиков (15247).</w:t>
      </w:r>
    </w:p>
    <w:p w14:paraId="5C69B493" w14:textId="77777777" w:rsidR="00F70A45" w:rsidRPr="00E14102" w:rsidRDefault="00F70A45" w:rsidP="00E14102">
      <w:pPr>
        <w:pStyle w:val="rtejustify"/>
        <w:spacing w:before="0" w:after="0"/>
        <w:rPr>
          <w:color w:val="000000" w:themeColor="text1"/>
          <w:sz w:val="16"/>
          <w:szCs w:val="16"/>
        </w:rPr>
      </w:pPr>
    </w:p>
    <w:p w14:paraId="5E4156C6" w14:textId="77777777" w:rsidR="00F70A45"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BAACEF0" w14:textId="77777777" w:rsidR="00F70A45" w:rsidRPr="00E14102" w:rsidRDefault="00F70A45" w:rsidP="00E14102">
      <w:pPr>
        <w:autoSpaceDE w:val="0"/>
        <w:autoSpaceDN w:val="0"/>
        <w:adjustRightInd w:val="0"/>
        <w:jc w:val="both"/>
        <w:rPr>
          <w:iCs/>
          <w:color w:val="000000" w:themeColor="text1"/>
          <w:sz w:val="16"/>
          <w:szCs w:val="16"/>
        </w:rPr>
      </w:pPr>
    </w:p>
    <w:p w14:paraId="32D17AF8" w14:textId="77777777" w:rsidR="00F70A45" w:rsidRPr="00E14102" w:rsidRDefault="00F70A45" w:rsidP="00E14102">
      <w:pPr>
        <w:pStyle w:val="rtejustify"/>
        <w:spacing w:before="0" w:after="0"/>
        <w:rPr>
          <w:color w:val="000000" w:themeColor="text1"/>
          <w:sz w:val="16"/>
          <w:szCs w:val="16"/>
        </w:rPr>
      </w:pPr>
      <w:r w:rsidRPr="00E14102">
        <w:rPr>
          <w:rStyle w:val="a6"/>
          <w:bCs/>
          <w:i w:val="0"/>
          <w:color w:val="000000" w:themeColor="text1"/>
          <w:sz w:val="16"/>
          <w:szCs w:val="16"/>
        </w:rPr>
        <w:t>13 июня 1935 вышел приказ НКО №</w:t>
      </w:r>
      <w:r w:rsidRPr="00E14102">
        <w:rPr>
          <w:color w:val="000000" w:themeColor="text1"/>
          <w:sz w:val="16"/>
          <w:szCs w:val="16"/>
        </w:rPr>
        <w:t> 099. Об испытании 7,62</w:t>
      </w:r>
      <w:r w:rsidRPr="00E14102">
        <w:rPr>
          <w:color w:val="000000" w:themeColor="text1"/>
          <w:sz w:val="16"/>
          <w:szCs w:val="16"/>
        </w:rPr>
        <w:noBreakHyphen/>
        <w:t>мм патронов с суррогатированной пулей (15247).</w:t>
      </w:r>
    </w:p>
    <w:p w14:paraId="29675543" w14:textId="77777777" w:rsidR="00F70A45" w:rsidRPr="00E14102" w:rsidRDefault="00F70A45" w:rsidP="00E14102">
      <w:pPr>
        <w:pStyle w:val="rtejustify"/>
        <w:spacing w:before="0" w:after="0"/>
        <w:rPr>
          <w:color w:val="000000" w:themeColor="text1"/>
          <w:sz w:val="16"/>
          <w:szCs w:val="16"/>
        </w:rPr>
      </w:pPr>
    </w:p>
    <w:p w14:paraId="7C3EA4A8" w14:textId="77777777" w:rsidR="00F70A45" w:rsidRPr="00E14102" w:rsidRDefault="00F70A45" w:rsidP="00E14102">
      <w:pPr>
        <w:pStyle w:val="rtejustify"/>
        <w:spacing w:before="0" w:after="0"/>
        <w:rPr>
          <w:color w:val="000000" w:themeColor="text1"/>
          <w:sz w:val="16"/>
          <w:szCs w:val="16"/>
        </w:rPr>
      </w:pPr>
      <w:r w:rsidRPr="00E14102">
        <w:rPr>
          <w:rStyle w:val="a6"/>
          <w:bCs/>
          <w:i w:val="0"/>
          <w:color w:val="000000" w:themeColor="text1"/>
          <w:sz w:val="16"/>
          <w:szCs w:val="16"/>
        </w:rPr>
        <w:t>13 июня 1935 вышел приказ НКО №</w:t>
      </w:r>
      <w:r w:rsidRPr="00E14102">
        <w:rPr>
          <w:color w:val="000000" w:themeColor="text1"/>
          <w:sz w:val="16"/>
          <w:szCs w:val="16"/>
        </w:rPr>
        <w:t> 0100. О назначении комиссии для определения возможности представления к вводу на вооружения РККА противогаза для танкистов (15247).</w:t>
      </w:r>
    </w:p>
    <w:p w14:paraId="0A3FBF84" w14:textId="77777777" w:rsidR="00F70A45" w:rsidRPr="00E14102" w:rsidRDefault="00F70A45" w:rsidP="00E14102">
      <w:pPr>
        <w:pStyle w:val="rtejustify"/>
        <w:spacing w:before="0" w:after="0"/>
        <w:rPr>
          <w:color w:val="000000" w:themeColor="text1"/>
          <w:sz w:val="16"/>
          <w:szCs w:val="16"/>
        </w:rPr>
      </w:pPr>
    </w:p>
    <w:p w14:paraId="4AA2CF71" w14:textId="77777777" w:rsidR="00F70A45" w:rsidRPr="00E14102" w:rsidRDefault="00F70A45" w:rsidP="00E14102">
      <w:pPr>
        <w:pStyle w:val="rtejustify"/>
        <w:spacing w:before="0" w:after="0"/>
        <w:rPr>
          <w:color w:val="000000" w:themeColor="text1"/>
          <w:sz w:val="16"/>
          <w:szCs w:val="16"/>
        </w:rPr>
      </w:pPr>
      <w:r w:rsidRPr="00E14102">
        <w:rPr>
          <w:rStyle w:val="a6"/>
          <w:bCs/>
          <w:i w:val="0"/>
          <w:color w:val="000000" w:themeColor="text1"/>
          <w:sz w:val="16"/>
          <w:szCs w:val="16"/>
        </w:rPr>
        <w:t>13 июня 1935 вышел приказ НКО №</w:t>
      </w:r>
      <w:r w:rsidRPr="00E14102">
        <w:rPr>
          <w:color w:val="000000" w:themeColor="text1"/>
          <w:sz w:val="16"/>
          <w:szCs w:val="16"/>
        </w:rPr>
        <w:t> 0039. О назначении комиссии для производства войсковых испытаний телемеханической аппаратуры для постановки дымовых завес с торпедного катера (15247).</w:t>
      </w:r>
    </w:p>
    <w:p w14:paraId="62FD0D7F" w14:textId="77777777" w:rsidR="00F70A45" w:rsidRPr="00E14102" w:rsidRDefault="00F70A45" w:rsidP="00E14102">
      <w:pPr>
        <w:pStyle w:val="rtejustify"/>
        <w:spacing w:before="0" w:after="0"/>
        <w:rPr>
          <w:color w:val="000000" w:themeColor="text1"/>
          <w:sz w:val="16"/>
          <w:szCs w:val="16"/>
        </w:rPr>
      </w:pPr>
    </w:p>
    <w:p w14:paraId="20FBAD1C" w14:textId="77777777" w:rsidR="00F6686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722CDB31" w14:textId="77777777" w:rsidR="00F66860" w:rsidRPr="00E14102" w:rsidRDefault="00F66860" w:rsidP="00E14102">
      <w:pPr>
        <w:autoSpaceDE w:val="0"/>
        <w:autoSpaceDN w:val="0"/>
        <w:adjustRightInd w:val="0"/>
        <w:jc w:val="both"/>
        <w:rPr>
          <w:iCs/>
          <w:color w:val="000000" w:themeColor="text1"/>
          <w:sz w:val="16"/>
          <w:szCs w:val="16"/>
        </w:rPr>
      </w:pPr>
    </w:p>
    <w:p w14:paraId="3DE1E6B4" w14:textId="77777777" w:rsidR="00F66860" w:rsidRPr="00E14102" w:rsidRDefault="00F66860" w:rsidP="00E14102">
      <w:pPr>
        <w:jc w:val="both"/>
        <w:rPr>
          <w:color w:val="000000" w:themeColor="text1"/>
          <w:sz w:val="16"/>
          <w:szCs w:val="16"/>
        </w:rPr>
      </w:pPr>
      <w:r w:rsidRPr="00E14102">
        <w:rPr>
          <w:color w:val="000000" w:themeColor="text1"/>
          <w:sz w:val="16"/>
          <w:szCs w:val="16"/>
        </w:rPr>
        <w:t>13 июня 1935 г. Постановлением ЦК "О пропагандистской работе в ближайшее время" рекомендовалось изучать историю борьбы партии с антипартийными группировками. На следующий день Оргбюро ЦК разработало список книг, которые должны быть изъяты из библиотек, чтобы изучение внутрипартийной борьбы шло в нужном русле. 16 июня опросом нескольких членов Политбюро было принято решение "Об изъятии контрреволюционной зиновьевско-троцкистской литературы" и предложенный список книг утвержден. Исходя из этого, 19 июня 1935 г., в последний день работы в Главлите, Б.Волин подписал (а 21 июня его секретариат оформил) Приказ № 1323/сс по Главлиту, в котором отмечалось, что в библиотеках проводилась никем не контролируемая чистка. Поэтому предлагалось прекратить общую чистку и впредь изымать книги только по спискам Главлита.</w:t>
      </w:r>
    </w:p>
    <w:p w14:paraId="1E5C63A1" w14:textId="77777777" w:rsidR="00F66860" w:rsidRPr="00E14102" w:rsidRDefault="00F66860" w:rsidP="00E14102">
      <w:pPr>
        <w:jc w:val="both"/>
        <w:rPr>
          <w:color w:val="000000" w:themeColor="text1"/>
          <w:sz w:val="16"/>
          <w:szCs w:val="16"/>
        </w:rPr>
      </w:pPr>
      <w:r w:rsidRPr="00E14102">
        <w:rPr>
          <w:color w:val="000000" w:themeColor="text1"/>
          <w:sz w:val="16"/>
          <w:szCs w:val="16"/>
        </w:rPr>
        <w:t>Первый список на изъятие политической литературы прилагался к указанному приказу. В него вошли все книги Троцкого, 11 книг Зиновьева, три книги Шляпникова по истории 1917 г., книги по истории партии (В.Невского, В.Волосевича, Б.Вардина, М.Яворского), теоретические работы по ленинизму П.Залуцкого, Н.Майорского, Г.Сафарова, А.Слепкова и несколько книг Г.Преображенского... Всего в списке было указано 43 книги.</w:t>
      </w:r>
    </w:p>
    <w:p w14:paraId="5966E1F7" w14:textId="77777777" w:rsidR="00F66860" w:rsidRPr="00E14102" w:rsidRDefault="00F66860" w:rsidP="00E14102">
      <w:pPr>
        <w:jc w:val="both"/>
        <w:rPr>
          <w:color w:val="000000" w:themeColor="text1"/>
          <w:sz w:val="16"/>
          <w:szCs w:val="16"/>
        </w:rPr>
      </w:pPr>
      <w:r w:rsidRPr="00E14102">
        <w:rPr>
          <w:color w:val="000000" w:themeColor="text1"/>
          <w:sz w:val="16"/>
          <w:szCs w:val="16"/>
        </w:rPr>
        <w:t>Приказ № 1323/сс определил новый порядок изъятия литературы, который перечеркнул действующую до сих пор практику изъятия литературы под руководством Библиотечного управления Наркомпроса и его местных отделений в ОНО. Отныне чистка проводилась заведующим Край(обл)литом или его заместителем совместно с представителем НКВД, в районах - представителем край(обл)лита совместно с представителем от районного НКВД. Это привело к столкновениям ведомственных интересов на местах и недовольству библиотечных работников. Так, например, в 1936 г. книги из козельской районной библиотеки были изъяты работником НКВД без извещения директора библиотеки и районного отдела народного образования. Сколько и какие книги были взяты НКВД - не известно Никакие протесты не могли остановить вакханалию изъятия книг и перевод их в разряд секретных. Местные работники цензуры никак не могли понять, что из работ Троцкого нужно изымать, а что нет. Начальник Кулебакского Райлита просил ответить начальника Горьковского Крайлита, нужно ли изымать книгу Лурье «Красная Лодзь», если какой-то Лурье арестован в Москве. Следующий вопрос был такой – нужно ли изымать троцкистско-зиновьевскую литературу из личных библиотек коммунистов, а если изымать, то каким образом? Ответ был краток: «На личные библиотеки приказ Главлита не распространяется». Масса вопросов с мест побуждала Главлит рассылать дополнительные разъяснения (16273).</w:t>
      </w:r>
    </w:p>
    <w:p w14:paraId="5AF7AFB3" w14:textId="77777777" w:rsidR="00F66860" w:rsidRPr="00E14102" w:rsidRDefault="00F66860" w:rsidP="00E14102">
      <w:pPr>
        <w:autoSpaceDE w:val="0"/>
        <w:autoSpaceDN w:val="0"/>
        <w:adjustRightInd w:val="0"/>
        <w:jc w:val="both"/>
        <w:rPr>
          <w:iCs/>
          <w:color w:val="000000" w:themeColor="text1"/>
          <w:sz w:val="16"/>
          <w:szCs w:val="16"/>
        </w:rPr>
      </w:pPr>
    </w:p>
    <w:p w14:paraId="6B1C403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5D958AD" w14:textId="77777777" w:rsidR="00D4105E" w:rsidRPr="00E14102" w:rsidRDefault="00D4105E" w:rsidP="00E14102">
      <w:pPr>
        <w:autoSpaceDE w:val="0"/>
        <w:autoSpaceDN w:val="0"/>
        <w:adjustRightInd w:val="0"/>
        <w:jc w:val="both"/>
        <w:rPr>
          <w:iCs/>
          <w:color w:val="000000" w:themeColor="text1"/>
          <w:sz w:val="16"/>
          <w:szCs w:val="16"/>
        </w:rPr>
      </w:pPr>
    </w:p>
    <w:p w14:paraId="6E2BA9B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 июня 1935 года вышел Приказ НИИ ВС № 0279 О производстве войсковых испытаний самолета ТБ-1 М-17, оборудованных стартовыми ракетами.</w:t>
      </w:r>
    </w:p>
    <w:p w14:paraId="1C1A5BD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начать с 15 июня 1935 года и закончить в течении 10 летных дней (6813, 97).</w:t>
      </w:r>
    </w:p>
    <w:p w14:paraId="3A4163D4"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99F7C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июня 1935 состоялось совещание технического комитета о подготовке к перелету РД-2 (1077,266) и РД-1 (1102).</w:t>
      </w:r>
    </w:p>
    <w:p w14:paraId="766510D8" w14:textId="77777777" w:rsidR="00D4105E" w:rsidRPr="00E14102" w:rsidRDefault="00D4105E" w:rsidP="00E14102">
      <w:pPr>
        <w:autoSpaceDE w:val="0"/>
        <w:autoSpaceDN w:val="0"/>
        <w:adjustRightInd w:val="0"/>
        <w:jc w:val="both"/>
        <w:rPr>
          <w:color w:val="000000" w:themeColor="text1"/>
          <w:sz w:val="16"/>
          <w:szCs w:val="16"/>
        </w:rPr>
      </w:pPr>
    </w:p>
    <w:p w14:paraId="1E44309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 июня 1935 года вышел Приказ НИИ ВС № 0281 О проведении гос. испытаний 2-х самолетов ХАИ-1 в вооруженном варианте.</w:t>
      </w:r>
    </w:p>
    <w:p w14:paraId="390A0A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Самолеты завода № 43 за №№ 3211 и 44301.</w:t>
      </w:r>
    </w:p>
    <w:p w14:paraId="514FCEF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начать 8 июня 1935 года на аэродроме НИИ ВС (ст. Томская) и закончить 24 летных дня (6813, 99).</w:t>
      </w:r>
    </w:p>
    <w:p w14:paraId="7DC3141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FE7CC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июня 1935 года председатель Стратосферного комитета АВИАВНИТО К.В. Кривицкий и зам. Председателя Стратосферного комитета АВИАВНИТО К.И. Муратов писали письмо зам. Начальника УВС Хрипину В.В.</w:t>
      </w:r>
    </w:p>
    <w:p w14:paraId="3AAD1D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 о самолете СБ-1.</w:t>
      </w:r>
    </w:p>
    <w:p w14:paraId="1E4ADD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КБ Стратосферного комитета АВИАВНИТО разработан проект высотного самолета под мотор К-14. Одновременно ведутся работы по переделке нагнетателя этого мотора, значительно увеличивающие его высотность, также развернуты работы по изготовлению высотной одежды летчика (скафандра) и аппаратуры для обеспечения дыхания. Самолет имеет своим назначением установление рекорда высоты и проведение ряда экспериментальных работ, необходимых для повышения высотности советской авиации.</w:t>
      </w:r>
    </w:p>
    <w:p w14:paraId="392839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модификации самолет СБ-1 может быть применен как:</w:t>
      </w:r>
    </w:p>
    <w:p w14:paraId="5730E2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стратегической разведки (номенклатура специального оборудования устанавливается дополнительно).</w:t>
      </w:r>
    </w:p>
    <w:p w14:paraId="097497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Высотный аэрофотосъемщик (для мелкомасштабной съемки и съемки в горных местностях). На опытном образце самолета могут быть принципиально решены вопросы использования высотной фотоаппаратуры.</w:t>
      </w:r>
    </w:p>
    <w:p w14:paraId="58E70F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использования под перечисленные названия самолета, СБ-1 должен быть подвергнут некоторым конструктивным переделкам в пределах сохранения основной схемы и использования всех высотных агрегатов.</w:t>
      </w:r>
    </w:p>
    <w:p w14:paraId="335731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Достижение самолетом больших высот обеспечивается по следующим направлениям:</w:t>
      </w:r>
    </w:p>
    <w:p w14:paraId="331D59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Выбор типа высотного мотора советского производства.</w:t>
      </w:r>
    </w:p>
    <w:p w14:paraId="07F176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Форсирование нагнетателя мотора.</w:t>
      </w:r>
    </w:p>
    <w:p w14:paraId="555223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Обеспечение работы самого мотора и его схем в условиях форсирования нагнетателя и высотного полета.</w:t>
      </w:r>
    </w:p>
    <w:p w14:paraId="4B1F62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Выбор соответствующих параметров и схем самолета (нагрузок, удлинения и пр.).</w:t>
      </w:r>
    </w:p>
    <w:p w14:paraId="0E19A6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Высокие аэродинамические качества самолета.</w:t>
      </w:r>
    </w:p>
    <w:p w14:paraId="092478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Применение специального высотного винта регулируемого шага с высоким кпд на высоте и при подъеме.</w:t>
      </w:r>
    </w:p>
    <w:p w14:paraId="572CFA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Наличие минимальных весов самолетов и их деталей.</w:t>
      </w:r>
    </w:p>
    <w:p w14:paraId="73972D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Разработка эскизного проекта самолета СБ-1 производилась комплексной бригадой.</w:t>
      </w:r>
    </w:p>
    <w:p w14:paraId="09A757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 в частности руководителями отдельных работ являются:</w:t>
      </w:r>
    </w:p>
    <w:p w14:paraId="73C69B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253FCA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Самолет и руководство проектом в целом группа инженеров - Кривицкий К.В. - завод N39, Каштанов Н.Н. - завод N35, Муратов К.И. - завод N38, НКТП, Дубинин Н.С. - ЦАГИ.</w:t>
      </w:r>
    </w:p>
    <w:p w14:paraId="1B3B58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Разработка проекта, производившаяся с 3 мая 1934 года была закончена в конце 1934 года. Одновременно на заводе N1 им. Авиахима распоряжением директора завода на основании заключения НИИ ВВС и согласно решения совещания представителей ВВС с директором завода была развернута работа по подготовке производства с расчетом окончания постройки самолета к 1 мая 1935 года.</w:t>
      </w:r>
    </w:p>
    <w:p w14:paraId="4ECFEB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198747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Начата постройка макета.</w:t>
      </w:r>
    </w:p>
    <w:p w14:paraId="75DC6A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Надлежащее форсирование работ с 1 июля 1935 года обеспечивает выпуск самолета на заводские испытания к 1 января 1936 года с проведением этих испытаний на зимнем аэродроме в Каче.</w:t>
      </w:r>
    </w:p>
    <w:p w14:paraId="23E26D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Летные данные самолета СБ-1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E3599D" w:rsidRPr="00E14102" w14:paraId="52914AB7" w14:textId="77777777">
        <w:tc>
          <w:tcPr>
            <w:tcW w:w="3757" w:type="dxa"/>
            <w:tcBorders>
              <w:top w:val="single" w:sz="12" w:space="0" w:color="auto"/>
            </w:tcBorders>
          </w:tcPr>
          <w:p w14:paraId="409B64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у земли</w:t>
            </w:r>
          </w:p>
        </w:tc>
        <w:tc>
          <w:tcPr>
            <w:tcW w:w="3757" w:type="dxa"/>
            <w:tcBorders>
              <w:top w:val="single" w:sz="12" w:space="0" w:color="auto"/>
            </w:tcBorders>
          </w:tcPr>
          <w:p w14:paraId="24790A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301 км/час</w:t>
            </w:r>
          </w:p>
        </w:tc>
      </w:tr>
      <w:tr w:rsidR="00E3599D" w:rsidRPr="00E14102" w14:paraId="13FA8637" w14:textId="77777777">
        <w:tc>
          <w:tcPr>
            <w:tcW w:w="3757" w:type="dxa"/>
          </w:tcPr>
          <w:p w14:paraId="2AEC2F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на высоте 8000 м</w:t>
            </w:r>
          </w:p>
        </w:tc>
        <w:tc>
          <w:tcPr>
            <w:tcW w:w="3757" w:type="dxa"/>
          </w:tcPr>
          <w:p w14:paraId="41F5F6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308 км/час</w:t>
            </w:r>
          </w:p>
        </w:tc>
      </w:tr>
      <w:tr w:rsidR="00E3599D" w:rsidRPr="00E14102" w14:paraId="51ADE678" w14:textId="77777777">
        <w:tc>
          <w:tcPr>
            <w:tcW w:w="3757" w:type="dxa"/>
          </w:tcPr>
          <w:p w14:paraId="0CFBB9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Вертикальная скорость у земли</w:t>
            </w:r>
          </w:p>
        </w:tc>
        <w:tc>
          <w:tcPr>
            <w:tcW w:w="3757" w:type="dxa"/>
          </w:tcPr>
          <w:p w14:paraId="300F2F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 м/сек</w:t>
            </w:r>
          </w:p>
        </w:tc>
      </w:tr>
      <w:tr w:rsidR="00E3599D" w:rsidRPr="00E14102" w14:paraId="3DBDF993" w14:textId="77777777">
        <w:tc>
          <w:tcPr>
            <w:tcW w:w="3757" w:type="dxa"/>
          </w:tcPr>
          <w:p w14:paraId="176F67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Вертикальная скорость на высоте 8000 м</w:t>
            </w:r>
          </w:p>
        </w:tc>
        <w:tc>
          <w:tcPr>
            <w:tcW w:w="3757" w:type="dxa"/>
          </w:tcPr>
          <w:p w14:paraId="27F003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 м/сек</w:t>
            </w:r>
          </w:p>
        </w:tc>
      </w:tr>
      <w:tr w:rsidR="00E3599D" w:rsidRPr="00E14102" w14:paraId="5083F23F" w14:textId="77777777">
        <w:tc>
          <w:tcPr>
            <w:tcW w:w="3757" w:type="dxa"/>
          </w:tcPr>
          <w:p w14:paraId="3C1C60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подъема на 8000 м</w:t>
            </w:r>
          </w:p>
        </w:tc>
        <w:tc>
          <w:tcPr>
            <w:tcW w:w="3757" w:type="dxa"/>
          </w:tcPr>
          <w:p w14:paraId="27B7C8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 мин.</w:t>
            </w:r>
          </w:p>
        </w:tc>
      </w:tr>
      <w:tr w:rsidR="00E3599D" w:rsidRPr="00E14102" w14:paraId="46FDEB61" w14:textId="77777777">
        <w:tc>
          <w:tcPr>
            <w:tcW w:w="3757" w:type="dxa"/>
          </w:tcPr>
          <w:p w14:paraId="70F137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подъема на 15200 м</w:t>
            </w:r>
          </w:p>
        </w:tc>
        <w:tc>
          <w:tcPr>
            <w:tcW w:w="3757" w:type="dxa"/>
          </w:tcPr>
          <w:p w14:paraId="70DF70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 мин.</w:t>
            </w:r>
          </w:p>
        </w:tc>
      </w:tr>
      <w:tr w:rsidR="00E3599D" w:rsidRPr="00E14102" w14:paraId="668FB734" w14:textId="77777777">
        <w:tc>
          <w:tcPr>
            <w:tcW w:w="3757" w:type="dxa"/>
          </w:tcPr>
          <w:p w14:paraId="163BC9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посадочная</w:t>
            </w:r>
          </w:p>
        </w:tc>
        <w:tc>
          <w:tcPr>
            <w:tcW w:w="3757" w:type="dxa"/>
          </w:tcPr>
          <w:p w14:paraId="0EBC3D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68,0 км/час</w:t>
            </w:r>
          </w:p>
        </w:tc>
      </w:tr>
      <w:tr w:rsidR="00E3599D" w:rsidRPr="00E14102" w14:paraId="3C587FCA" w14:textId="77777777">
        <w:tc>
          <w:tcPr>
            <w:tcW w:w="3757" w:type="dxa"/>
            <w:tcBorders>
              <w:bottom w:val="single" w:sz="12" w:space="0" w:color="auto"/>
            </w:tcBorders>
          </w:tcPr>
          <w:p w14:paraId="32743B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w:t>
            </w:r>
          </w:p>
        </w:tc>
        <w:tc>
          <w:tcPr>
            <w:tcW w:w="3757" w:type="dxa"/>
            <w:tcBorders>
              <w:bottom w:val="single" w:sz="12" w:space="0" w:color="auto"/>
            </w:tcBorders>
          </w:tcPr>
          <w:p w14:paraId="300B4B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15200 м (3810)</w:t>
            </w:r>
          </w:p>
        </w:tc>
      </w:tr>
    </w:tbl>
    <w:p w14:paraId="2A2B4C44" w14:textId="77777777" w:rsidR="00D4105E" w:rsidRPr="00E14102" w:rsidRDefault="00D4105E" w:rsidP="00E14102">
      <w:pPr>
        <w:autoSpaceDE w:val="0"/>
        <w:autoSpaceDN w:val="0"/>
        <w:adjustRightInd w:val="0"/>
        <w:jc w:val="both"/>
        <w:rPr>
          <w:color w:val="000000" w:themeColor="text1"/>
          <w:sz w:val="16"/>
          <w:szCs w:val="16"/>
        </w:rPr>
      </w:pPr>
    </w:p>
    <w:p w14:paraId="5A1985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июня 1935-го письме руководителя НКВД Г.Г.Ягоды Сталину говорится:</w:t>
      </w:r>
    </w:p>
    <w:p w14:paraId="20120D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"Произведенным НКВД расследованием обстоятельств, предшествовавших катастрофе самолета "Максим Горький", установлено, что 18-го мая с.г. за час-полтора до полета в комнате летчиков летно-испытательной станции ЦАГИ собрались летчики Журов, Ры-бушкин, Благин и работники Московской кинофабрики военно-учебных фильмов Ряжский В. Г., Тер-Оганесов К.Я. и Пул-лин А.А. для обсуждения порядка полета самолетов и их киносъемки. Объясняя кинооператорам и вместе с ними делая наброски карандашом на бумаге о том, где какой самолет должен находиться во время полета, летчик Благин в присутствии Журова и Рыбушкина заявил о том, что он во время сопровождения "Максима Горького" для масштаба намерен на истребителе делать фигуры высшего пилотажа.</w:t>
      </w:r>
    </w:p>
    <w:p w14:paraId="6FAF09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Присутствовавший при обсуждении Журов возражал против предложения Благина, указав последнему, чтобы он не делал во время полета фигур. Несмотря на это, работники Московской кинофабрики военно-учебных фильмов Ряжский и Пуллин, продолжая, без участия Журова, обсуждение этого вопроса, вступили в прямые переговоры с Благиным, договорившись с последним о том, что он для киносъемки будет производить фигуры на истребителе...</w:t>
      </w:r>
    </w:p>
    <w:p w14:paraId="291B09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Нами привлечены к уголовной ответственности работники кинофабрики военно-учебных фильмов Ряжский В. Г. и Пуллин А.А., виновные в том, что, не имея никакого разрешения, договорились с Благиным о производстве им для киносъемки фигур высшего пилотажа, что явилось прямой причиной гибели самолета "Максим Горький" (4574).</w:t>
      </w:r>
    </w:p>
    <w:p w14:paraId="0D4F25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Этот документ кое в чем противоречит сообщению о гибели "Максима Горького", направленному Ягодой в Кремль в день катастрофы (в последнем, в частности, утверждалось, что летчики Журов и Рыбушкин разрешили Благину делать пилотажные фигуры, но не "бочки", а более простые - "боевые развороты) ясно, что приказа Благину не было; он предложил идею выполнения "фигур" вблизи агитсамолета и люди из киностудии ее поддержали.</w:t>
      </w:r>
    </w:p>
    <w:p w14:paraId="305744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тот же день, когда разбился "Максим Горький", правительство постановило взамен погибшего самолета построить три новых таких же машины - "Владимир Ленин", "Иосиф Сталин" и "Максим Горький". Первый из них должен был быть готов к 1 мая, два других - к 7 ноября 1936-го. Вновь начали всенародный сбор средств. Вскоре последовало новое решение: создать в 1937-1938 годах эскадрилью из 16 самолетов-гигантов, предназначавшихся как для пассажирских, так и для военных целей (4574).</w:t>
      </w:r>
    </w:p>
    <w:p w14:paraId="1EE720AC" w14:textId="77777777" w:rsidR="00D4105E" w:rsidRPr="00E14102" w:rsidRDefault="00D4105E" w:rsidP="00E14102">
      <w:pPr>
        <w:autoSpaceDE w:val="0"/>
        <w:autoSpaceDN w:val="0"/>
        <w:adjustRightInd w:val="0"/>
        <w:jc w:val="both"/>
        <w:rPr>
          <w:color w:val="000000" w:themeColor="text1"/>
          <w:sz w:val="16"/>
          <w:szCs w:val="16"/>
        </w:rPr>
      </w:pPr>
    </w:p>
    <w:p w14:paraId="23DD1B6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4706194" w14:textId="77777777" w:rsidR="00D4105E" w:rsidRPr="00E14102" w:rsidRDefault="00D4105E" w:rsidP="00E14102">
      <w:pPr>
        <w:autoSpaceDE w:val="0"/>
        <w:autoSpaceDN w:val="0"/>
        <w:adjustRightInd w:val="0"/>
        <w:jc w:val="both"/>
        <w:rPr>
          <w:iCs/>
          <w:color w:val="000000" w:themeColor="text1"/>
          <w:sz w:val="16"/>
          <w:szCs w:val="16"/>
        </w:rPr>
      </w:pPr>
    </w:p>
    <w:p w14:paraId="165C68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июня 1935 на одном из полигонов состоялся показ и испытания опытных образцов орудий в присутствии руководителей Партии и Правительства, а после показа - совещание, на котором были вскрыты недостатки, а порой и вредность универсализации, подчеркнуто, что орудие должно разрабатываться для выполнения определенной задачи. Подчеркнули, что при высокой маневренности, дальнобойности, скорострельности и меткости орудия д.б. простыми по устройству, надежными в бою и дешевыми в производстве (3846,36).</w:t>
      </w:r>
    </w:p>
    <w:p w14:paraId="7232E141" w14:textId="77777777" w:rsidR="00D4105E" w:rsidRPr="00E14102" w:rsidRDefault="00D4105E" w:rsidP="00E14102">
      <w:pPr>
        <w:autoSpaceDE w:val="0"/>
        <w:autoSpaceDN w:val="0"/>
        <w:adjustRightInd w:val="0"/>
        <w:jc w:val="both"/>
        <w:rPr>
          <w:color w:val="000000" w:themeColor="text1"/>
          <w:sz w:val="16"/>
          <w:szCs w:val="16"/>
        </w:rPr>
      </w:pPr>
    </w:p>
    <w:p w14:paraId="24F876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июня 1935 года был назначен показ на полигоне в Софрино. Представлены были многие образцы различных калибров. В калибре 76 мм показывалась широкая гамма орудий: универсальная пушка Кировского завода, полууниверсальная пушка Ф-20, специальная Ф-22 в двух вариантах (со складными и жесткими станинами), полууниверсальная К-25, дивизионная пушка, изготовленная по чертежам шведской фирмы «Бофорс». Конкуренция большая и ответственная, тем более что руководство ГАУ и начальник вооружения М.Н. Тухачевский не были приверженцами создания специальных 76-мм дивизионных орудий. Показ проводился в присутствии И.В. Сталина, К.Е. Ворошилова. В.М. Молотова, Г.К. Орджоникидзе, М.Н. Тухачевского, В.И. Межлаука, С.М. Буденного, многих руководителей Наркомата обороны и других наркоматов. Показ прошел хорошо. Пушка Ф-22 была признана лучшей в своей гамме (11818).</w:t>
      </w:r>
    </w:p>
    <w:p w14:paraId="6AE89D1E" w14:textId="77777777" w:rsidR="00D4105E" w:rsidRPr="00E14102" w:rsidRDefault="00D4105E" w:rsidP="00E14102">
      <w:pPr>
        <w:autoSpaceDE w:val="0"/>
        <w:autoSpaceDN w:val="0"/>
        <w:adjustRightInd w:val="0"/>
        <w:jc w:val="both"/>
        <w:rPr>
          <w:color w:val="000000" w:themeColor="text1"/>
          <w:sz w:val="16"/>
          <w:szCs w:val="16"/>
        </w:rPr>
      </w:pPr>
    </w:p>
    <w:p w14:paraId="78E073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14 июня 1935 года стал определяющим для развития советской артиллерии в целом и для завода «Новое Сормово» в частности. На подмосковном полигоне были представлены самые разные образцы орудий, в т. ч. несколько калибром 76 мм. На испытаниях присутствовали Сталин, Ворошилов, Тухачевский, Буденный и другие. Действуя наглее и хитрее конкурентов с Кировского завода в Ленинграде, Грабин сумел там эффектно подать пушку Ф-22, как лучшую в своей гамме орудий, и при этом понравиться лично самому товарищу Сталину. После этого завод № 92 получил правительственное задание на ее скорейшее освоение и запуск в производство. За создание пушки Ф-22 Грабин и Радкевич были награждены орденами Ленина и премированы личными автомашинами. Конструктор также получил денежную премию в 5000 рублей, а директор завода и начальник опытной мастерской Горшков — по 2000 рублей. [30 — Там же, Л. 156.] В общем, было выгодно создавать новые орудия, а главное, красиво преподнести их вождю. Сборка же пушек Ф-20, на радость всем, была прекращена. Однако эйфория от победы над «кировцами» быстро сменилась трудными буднями. Переход к серийному производству пушки по-прежнему представлял значительные трудности. На заводе не были достаточно освоены штамповка и тонкое литье. Заготовки с огромными припусками осложняли работу механических цехов. Имели место задержки в передаче деталей из одного цеха в другой. Например, цапфенная обойма орудия Ф-22 была закончена на расточном станке в 14.00 21 июля и до 08.30 23 июля так и не была передана на дальнейшую обработку. Боевая ось закончена под термическую обработку в 16.00 21 июля, а отправлена в термический цех только на следующий день. В то же время отдельные рабочие на отдельных участках добивались определенных достижений в освоении нового заказа. Так, в августе 1935 г. за досрочное выполнение работ по корпусам полуавтоматики, инерционным телам и ободьевым кольцам пушки Ф-22 по механическому цеху № 1 были премированы десять человек. Но в целом работа огромного завода явно пробуксовывала, вложенные огромные государственные средства, по сути, не приносили никакого эффекта. В августе 1935 г. стала ощущаться острая нехватка салазок для орудий. 31-го числа в механическом цехе № 1 даже был организован специальный отдел по обработке салазок с планом выпуска двух штук в сутки. За ним закрепили семь фрезерных, три расточных, восемь сверлильных, два продольно-строгальных, один полировочный и один долбежный станок. Отдел был обеспечен дополнительной рабочей силой. Из-за большой загруженности цехов плановыми заданиями оборудование постоянно работало в режиме перегрузки: насосы, подающие воздух, без фильтров, моторы — без охлаждения. Например, 16 сентября из-за этого сгорел ротор мотора № 1819. Быстрый износ резцов на станках приводил к тому, что их не успевали заменять, и работа часто шла с тупыми резцами. 7 сентября в механическом цехе № 1 в смене мастера Климова была произведена отрезка колец для проб от двух труб Ф-22, но затем их в этой же смене просто потеряли. На следующий день в эту же смену снова отрезали кольца от четырех моноблоков, а потом… выбросили в сборочный пролет. Все это сказывалось на качестве, оборудование часто выходило из строя, внедрение Ф-22 шло из ряда вон медленными темпами. Дополнительные трудности возникали из-за того, что, помимо Ф-22, «Новое Сормово» в первой половине 1936 г. по-прежнему выполняло заказы по комплектующим и модернизации целого ряда других артиллерийских систем: Ф-19, Ф-12, Ф-10, Ф-21, а также производило лейнеры, моноблоки, 11 наименований деталей для пушки Ф-10, 18 наименований деталей для пушки Ф-18, кожухи и цилиндры для пушки Ф-17 в количестве 750 и 1000 штук в месяц, </w:t>
      </w:r>
      <w:r w:rsidRPr="00E14102">
        <w:rPr>
          <w:color w:val="000000" w:themeColor="text1"/>
          <w:sz w:val="16"/>
          <w:szCs w:val="16"/>
        </w:rPr>
        <w:lastRenderedPageBreak/>
        <w:t>авиационные безоткатные пушки АПК-4 и АПК-100, [31 — Безоткатные (динамореактивные) 75-мм орудия АПК-4 и 102-мм АПК-100 в 1931–1936 гг. устанавливались на экспериментальных пушечных истребителях ПИ-1, И-12 (с тянущим и толкающим винтами), АНТ-29 и СБ-2. Пушки подвешивались под крылья. Однако в ходе испытаний выяснилось, что данное вооружение является ненадежным и опасным в эксплуатации. Кроме того, запас громоздких и тяжелых снарядов был крайне ограничен. Это привело к отказу от постановки на самолеты безоткатных пушек АПК и замене их 20-мм пушками ШВАК.] казенники для 82-мм минометов и др. Кроме того, завод поставлял «Красному Сормову» ежемесячно 4000 доньев для 107мм снарядов. [32 — Там же, Д. 206, Л. 287.] Нарком тяжпрома С. Орджоникидзе, замучавшись ждать, когда же появится на свет «гениальная» пушка, приказал заводу № 92 в июне 1936 г. выпустить первую партию Ф-22 в количестве 30 штук, а также 25 стволов с затворами для Кировского завода. Чтобы ускорить производственный процесс, в механических цехах были проведены перестановка оборудования и разбивка его на самостоятельные участки, построенные по поточному принципу. Механический цех № 1 теперь включал: обдирочное отделение, отделение тел орудий, отделение противооткатных устройств, отделение крупных лафетных деталей и отделение колес, а механический цех № 2: отделение поршневых затворов, отделение клиновых затворов с полуавтоматикой, отделение механизмов лафетов, отделение прицелов, револьверное отделение. [33 — Там же, Л. 47.]. Кроме того, в приказе по заводу от 7 мая 1936 г. для обеспечения надлежащего валового выпуска и ликвидации узких мест в производстве обозначались следующие мероприятия:</w:t>
      </w:r>
    </w:p>
    <w:p w14:paraId="55CCE20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установка нового оборудования, например, в литейном цехе 30-тонного крана;</w:t>
      </w:r>
    </w:p>
    <w:p w14:paraId="3009168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премирование 249 человек за добросовестную работу по выполнению опытных серий пушки Ф-22;</w:t>
      </w:r>
    </w:p>
    <w:p w14:paraId="67B1A1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организация специальной учебы по производству Ф-22;</w:t>
      </w:r>
    </w:p>
    <w:p w14:paraId="24829DF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организация специальной общезаводской и цеховых бригад по внедрению Ф-22, укомплектованных из работников технического отдела, технических бюро и мастеров;</w:t>
      </w:r>
    </w:p>
    <w:p w14:paraId="41F2BE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увеличение сдельных расценок по механическим цехам на 20 %, установление фонда премирования (11741).</w:t>
      </w:r>
    </w:p>
    <w:p w14:paraId="1876E66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4726C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14 июня 1935 года по результатам экспертизы АНИИ конструирование 100-мм "стратосферной" пушки Кировского завода Л-6 шло под начальную скорость 900 м/с и вес снаряда 15,6 кг (3861).</w:t>
      </w:r>
    </w:p>
    <w:p w14:paraId="54B6EF29" w14:textId="77777777" w:rsidR="00D4105E" w:rsidRPr="00E14102" w:rsidRDefault="00D4105E" w:rsidP="00E14102">
      <w:pPr>
        <w:autoSpaceDE w:val="0"/>
        <w:autoSpaceDN w:val="0"/>
        <w:adjustRightInd w:val="0"/>
        <w:jc w:val="both"/>
        <w:rPr>
          <w:color w:val="000000" w:themeColor="text1"/>
          <w:sz w:val="16"/>
          <w:szCs w:val="16"/>
        </w:rPr>
      </w:pPr>
    </w:p>
    <w:p w14:paraId="0901D602" w14:textId="77777777" w:rsidR="00964959" w:rsidRPr="00E14102" w:rsidRDefault="00964959" w:rsidP="00E14102">
      <w:pPr>
        <w:jc w:val="both"/>
        <w:rPr>
          <w:color w:val="000000" w:themeColor="text1"/>
          <w:sz w:val="16"/>
          <w:szCs w:val="16"/>
        </w:rPr>
      </w:pPr>
      <w:r w:rsidRPr="00E14102">
        <w:rPr>
          <w:color w:val="000000" w:themeColor="text1"/>
          <w:sz w:val="16"/>
          <w:szCs w:val="16"/>
        </w:rPr>
        <w:t>14 июня 1935 г. Приказ Наркомтяжпрома № 721 о переходе Енакиевского металлургического завода на работу без плановых дотаций</w:t>
      </w:r>
    </w:p>
    <w:p w14:paraId="267BC399"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Одобряя предложение директора Енакиевского металлургического завода тов. Пучкова об отказе от государственных дотаций, приказываю: </w:t>
      </w:r>
    </w:p>
    <w:p w14:paraId="750B9940"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Енакиевский металлургический завод с 1 июля перевести на работу без плановой дотации. На все выделенные в централизованном порядке фонды разрешить заводу заключить договор непосредственно с поставщиками. </w:t>
      </w:r>
    </w:p>
    <w:p w14:paraId="59030FD4"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Объединению «Сталь» и сбытовым организациям произвести твердое прикрепление Енакиевского металлургического завода к определенным предприятиям по снабжению материалами, топливом и полуфабрикатами. </w:t>
      </w:r>
    </w:p>
    <w:p w14:paraId="6583214A"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Директору завода тов. Пучкову и управляющему Стальсбытом тов. Бабаеву заключить договор на сбыт всей продукции завода по государственным отпускным ценам. </w:t>
      </w:r>
    </w:p>
    <w:p w14:paraId="72A0F596"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Моему заместителю рассмотреть баланс завода на 1 июля и произвести по этому балансу расчет необходимых оборотных средств согласно установленным нормативам и обеспечить завод таковыми. </w:t>
      </w:r>
    </w:p>
    <w:p w14:paraId="23FA764D"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Тов. Питерскому рассмотреть баланс ОРСа завода. Объединению «Сталь» с 1 июля прекратить выдачу плановой дотации Енакиевскому металлургическому заводу. </w:t>
      </w:r>
    </w:p>
    <w:p w14:paraId="5A9936B9"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Нарком тяжелой промышленности </w:t>
      </w:r>
    </w:p>
    <w:p w14:paraId="42D52D60"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С. Орджоникидзе </w:t>
      </w:r>
    </w:p>
    <w:p w14:paraId="073A915F" w14:textId="77777777" w:rsidR="00964959" w:rsidRPr="00E14102" w:rsidRDefault="00964959" w:rsidP="00E14102">
      <w:pPr>
        <w:jc w:val="both"/>
        <w:rPr>
          <w:color w:val="000000" w:themeColor="text1"/>
          <w:sz w:val="16"/>
          <w:szCs w:val="16"/>
        </w:rPr>
      </w:pPr>
      <w:r w:rsidRPr="00E14102">
        <w:rPr>
          <w:color w:val="000000" w:themeColor="text1"/>
          <w:sz w:val="16"/>
          <w:szCs w:val="16"/>
        </w:rPr>
        <w:t>ЦГАНХ СССР, ф. 7297, on. 1, д. 88, л. 2. Ротат. экз. (12212).</w:t>
      </w:r>
    </w:p>
    <w:p w14:paraId="6CE7A6A7" w14:textId="77777777" w:rsidR="00964959" w:rsidRPr="00E14102" w:rsidRDefault="00964959" w:rsidP="00E14102">
      <w:pPr>
        <w:jc w:val="both"/>
        <w:rPr>
          <w:color w:val="000000" w:themeColor="text1"/>
          <w:sz w:val="16"/>
          <w:szCs w:val="16"/>
        </w:rPr>
      </w:pPr>
    </w:p>
    <w:p w14:paraId="0DF136E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9D3F47C" w14:textId="77777777" w:rsidR="00D4105E" w:rsidRPr="00E14102" w:rsidRDefault="00D4105E" w:rsidP="00E14102">
      <w:pPr>
        <w:autoSpaceDE w:val="0"/>
        <w:autoSpaceDN w:val="0"/>
        <w:adjustRightInd w:val="0"/>
        <w:jc w:val="both"/>
        <w:rPr>
          <w:iCs/>
          <w:color w:val="000000" w:themeColor="text1"/>
          <w:sz w:val="16"/>
          <w:szCs w:val="16"/>
        </w:rPr>
      </w:pPr>
    </w:p>
    <w:p w14:paraId="53573E9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июня 1935 г. состоялся первый полет самолета АНТ-37 (ДБ-2) (6395).</w:t>
      </w:r>
    </w:p>
    <w:p w14:paraId="550834E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6E1DE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(16 - 237,174) июня 1935 состоялся первый полет АНТ-37 (ДБ-2). Летал К.К.Попов и ви М.М.Егоров, пока не разрушился в воздухе 20 июля 1935 (109,238).</w:t>
      </w:r>
    </w:p>
    <w:p w14:paraId="12126C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16 июня 1935 начались испытания ДБ-2, АНТ-37, т.к. ДБ-1 - уже устарел (92,489).</w:t>
      </w:r>
    </w:p>
    <w:p w14:paraId="67C727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был первый и его разбили 20 июня 1935 (1454,35).</w:t>
      </w:r>
    </w:p>
    <w:p w14:paraId="5E4532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третьим данным - постройка была закончена 1 июля, а на аэродром машина попала 16 июня 1935 и заводские испытания, начавшиеся в этот день, продолжались до 15 июля 1935, а 20 июля разбили уже на гос. испытаниях (2233,44).</w:t>
      </w:r>
    </w:p>
    <w:p w14:paraId="1FA97047" w14:textId="77777777" w:rsidR="00D4105E" w:rsidRPr="00E14102" w:rsidRDefault="00D4105E" w:rsidP="00E14102">
      <w:pPr>
        <w:autoSpaceDE w:val="0"/>
        <w:autoSpaceDN w:val="0"/>
        <w:adjustRightInd w:val="0"/>
        <w:jc w:val="both"/>
        <w:rPr>
          <w:color w:val="000000" w:themeColor="text1"/>
          <w:sz w:val="16"/>
          <w:szCs w:val="16"/>
        </w:rPr>
      </w:pPr>
    </w:p>
    <w:p w14:paraId="42451581" w14:textId="77777777" w:rsidR="00F70A45" w:rsidRPr="00E14102" w:rsidRDefault="00F70A45" w:rsidP="00E14102">
      <w:pPr>
        <w:jc w:val="both"/>
        <w:rPr>
          <w:color w:val="000000" w:themeColor="text1"/>
          <w:sz w:val="16"/>
          <w:szCs w:val="16"/>
        </w:rPr>
      </w:pPr>
      <w:r w:rsidRPr="00E14102">
        <w:rPr>
          <w:bCs/>
          <w:color w:val="000000" w:themeColor="text1"/>
          <w:sz w:val="16"/>
          <w:szCs w:val="16"/>
        </w:rPr>
        <w:t>15 июня</w:t>
      </w:r>
      <w:r w:rsidRPr="00E14102">
        <w:rPr>
          <w:color w:val="000000" w:themeColor="text1"/>
          <w:sz w:val="16"/>
          <w:szCs w:val="16"/>
        </w:rPr>
        <w:t xml:space="preserve"> в 1935 году первый полет самолета </w:t>
      </w:r>
      <w:hyperlink r:id="rId124" w:tgtFrame="_blank" w:history="1">
        <w:r w:rsidRPr="00E14102">
          <w:rPr>
            <w:color w:val="000000" w:themeColor="text1"/>
            <w:sz w:val="16"/>
            <w:szCs w:val="16"/>
          </w:rPr>
          <w:t xml:space="preserve">«АНТ-37» («ДБ-2»), </w:t>
        </w:r>
      </w:hyperlink>
      <w:r w:rsidRPr="00E14102">
        <w:rPr>
          <w:color w:val="000000" w:themeColor="text1"/>
          <w:sz w:val="16"/>
          <w:szCs w:val="16"/>
        </w:rPr>
        <w:t>пилот К.К.Попов. Двухмоторный дальний бомбардировщик «АНТ-37» разрушился в воздухе 20 июля 1935 года из-за вибрации горизонтального оперения. Построено было только две машины (14923).</w:t>
      </w:r>
    </w:p>
    <w:p w14:paraId="6F56DB2A" w14:textId="77777777" w:rsidR="00F70A45" w:rsidRPr="00E14102" w:rsidRDefault="00F70A45" w:rsidP="00E14102">
      <w:pPr>
        <w:jc w:val="both"/>
        <w:rPr>
          <w:color w:val="000000" w:themeColor="text1"/>
          <w:sz w:val="16"/>
          <w:szCs w:val="16"/>
        </w:rPr>
      </w:pPr>
    </w:p>
    <w:p w14:paraId="7222CA46" w14:textId="77777777" w:rsidR="0067434C" w:rsidRPr="00E14102" w:rsidRDefault="0067434C"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15 июня 1935 заканчивается постройка первого самолета ДБ-2. 16 июня самолет был вывезен на аэродром и начались заводские испытания, которые проводили летчик-испытатель К.</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К. Попов и ведущий инженер М.</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 Егоров. 15 июля заводские испытания заканчиваются и опытный самолет передается на государственные испытания. 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E14102">
        <w:rPr>
          <w:rFonts w:ascii="Times New Roman" w:hAnsi="Times New Roman" w:cs="Times New Roman"/>
          <w:color w:val="000000" w:themeColor="text1"/>
          <w:sz w:val="16"/>
          <w:szCs w:val="16"/>
          <w:lang w:val="ru-RU"/>
        </w:rPr>
        <w:softHyphen/>
        <w:t>ва</w:t>
      </w:r>
      <w:r w:rsidRPr="00E14102">
        <w:rPr>
          <w:rFonts w:ascii="Times New Roman" w:hAnsi="Times New Roman" w:cs="Times New Roman"/>
          <w:color w:val="000000" w:themeColor="text1"/>
          <w:sz w:val="16"/>
          <w:szCs w:val="16"/>
          <w:lang w:val="ru-RU"/>
        </w:rPr>
        <w:softHyphen/>
        <w:t>тель</w:t>
      </w:r>
      <w:r w:rsidRPr="00E14102">
        <w:rPr>
          <w:rFonts w:ascii="Times New Roman" w:hAnsi="Times New Roman" w:cs="Times New Roman"/>
          <w:color w:val="000000" w:themeColor="text1"/>
          <w:sz w:val="16"/>
          <w:szCs w:val="16"/>
          <w:lang w:val="ru-RU"/>
        </w:rPr>
        <w:softHyphen/>
        <w:t>ских работ по флаттеру и бафтингу (19185).</w:t>
      </w:r>
    </w:p>
    <w:p w14:paraId="3BB6CE8D" w14:textId="77777777" w:rsidR="0067434C" w:rsidRPr="00E14102" w:rsidRDefault="0067434C" w:rsidP="00E14102">
      <w:pPr>
        <w:pStyle w:val="rtecenter"/>
        <w:shd w:val="clear" w:color="auto" w:fill="FFFFFF"/>
        <w:spacing w:before="0" w:after="0"/>
        <w:jc w:val="both"/>
        <w:textAlignment w:val="baseline"/>
        <w:rPr>
          <w:color w:val="000000" w:themeColor="text1"/>
          <w:sz w:val="16"/>
          <w:szCs w:val="16"/>
        </w:rPr>
      </w:pPr>
    </w:p>
    <w:p w14:paraId="6F1EB9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июня 1935 состоялся первый полет невооруженного разведчика ХАИ-6 С.Я.Жолтовского. Летал Б.Н.Кудрин и показал скорость 429 км/час (553,144).</w:t>
      </w:r>
    </w:p>
    <w:p w14:paraId="08AF4D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аэродроме не оказалось высокооктанового бензина и нашли с трудом. В первом вылете участвовал и ви по ли Е.И.Бару (1166,29).</w:t>
      </w:r>
    </w:p>
    <w:p w14:paraId="484B25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- 15 июля 1935</w:t>
      </w:r>
    </w:p>
    <w:p w14:paraId="05ED4FC6" w14:textId="77777777" w:rsidR="00D4105E" w:rsidRPr="00E14102" w:rsidRDefault="00D4105E" w:rsidP="00E14102">
      <w:pPr>
        <w:autoSpaceDE w:val="0"/>
        <w:autoSpaceDN w:val="0"/>
        <w:adjustRightInd w:val="0"/>
        <w:jc w:val="both"/>
        <w:rPr>
          <w:iCs/>
          <w:color w:val="000000" w:themeColor="text1"/>
          <w:sz w:val="16"/>
          <w:szCs w:val="16"/>
        </w:rPr>
      </w:pPr>
    </w:p>
    <w:p w14:paraId="7C1A0A76" w14:textId="77777777" w:rsidR="00F70A45" w:rsidRPr="00E14102" w:rsidRDefault="00F70A45" w:rsidP="00E14102">
      <w:pPr>
        <w:jc w:val="both"/>
        <w:rPr>
          <w:color w:val="000000" w:themeColor="text1"/>
          <w:sz w:val="16"/>
          <w:szCs w:val="16"/>
        </w:rPr>
      </w:pPr>
      <w:r w:rsidRPr="00E14102">
        <w:rPr>
          <w:bCs/>
          <w:color w:val="000000" w:themeColor="text1"/>
          <w:sz w:val="16"/>
          <w:szCs w:val="16"/>
        </w:rPr>
        <w:t>15 июня</w:t>
      </w:r>
      <w:r w:rsidRPr="00E14102">
        <w:rPr>
          <w:color w:val="000000" w:themeColor="text1"/>
          <w:sz w:val="16"/>
          <w:szCs w:val="16"/>
        </w:rPr>
        <w:t xml:space="preserve"> в 1935 году летчик-испытатель Б.Н.Кудрин и ведущий инженер по летным испытаниям Е.И.Бару совершили на новой машине </w:t>
      </w:r>
      <w:hyperlink r:id="rId125" w:tgtFrame="_blank" w:history="1">
        <w:r w:rsidRPr="00E14102">
          <w:rPr>
            <w:color w:val="000000" w:themeColor="text1"/>
            <w:sz w:val="16"/>
            <w:szCs w:val="16"/>
          </w:rPr>
          <w:t xml:space="preserve">«ХАИ-6» </w:t>
        </w:r>
      </w:hyperlink>
      <w:r w:rsidRPr="00E14102">
        <w:rPr>
          <w:color w:val="000000" w:themeColor="text1"/>
          <w:sz w:val="16"/>
          <w:szCs w:val="16"/>
        </w:rPr>
        <w:t>первый полет. «ХАИ-6» успешно прошел весь объем заводских испытаний, показав скорость в 429 км/ч на высоте 2500 м - своеобразный мировой рекорд для машин подобного класса! Но идея невооруженного скоростного разведчика среди руководства ВВС поддерживалась не всеми. Влияние Б.Т.Горощенко и доводы И.Г.Немана не убедили противников проекта (14923).</w:t>
      </w:r>
    </w:p>
    <w:p w14:paraId="0E103F2A" w14:textId="77777777" w:rsidR="00F70A45" w:rsidRPr="00E14102" w:rsidRDefault="00F70A45" w:rsidP="00E14102">
      <w:pPr>
        <w:jc w:val="both"/>
        <w:rPr>
          <w:color w:val="000000" w:themeColor="text1"/>
          <w:sz w:val="16"/>
          <w:szCs w:val="16"/>
        </w:rPr>
      </w:pPr>
    </w:p>
    <w:p w14:paraId="2053F0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июня 1935 прямо около строяще</w:t>
      </w:r>
      <w:r w:rsidRPr="00E14102">
        <w:rPr>
          <w:color w:val="000000" w:themeColor="text1"/>
          <w:sz w:val="16"/>
          <w:szCs w:val="16"/>
        </w:rPr>
        <w:softHyphen/>
        <w:t>гося самолета состоялась защита дипломного проекта Смолина, который учился на заочном отделении Горьковского Политехнического института (его диплом</w:t>
      </w:r>
      <w:r w:rsidRPr="00E14102">
        <w:rPr>
          <w:color w:val="000000" w:themeColor="text1"/>
          <w:sz w:val="16"/>
          <w:szCs w:val="16"/>
        </w:rPr>
        <w:softHyphen/>
        <w:t>ным проектом и стал собственно КСМ). К тому времени название Кол</w:t>
      </w:r>
      <w:r w:rsidRPr="00E14102">
        <w:rPr>
          <w:color w:val="000000" w:themeColor="text1"/>
          <w:sz w:val="16"/>
          <w:szCs w:val="16"/>
        </w:rPr>
        <w:softHyphen/>
        <w:t>хозный Самолет (Маломощный) — КСМ — стали расшифровывать как Коммунистичес</w:t>
      </w:r>
      <w:r w:rsidRPr="00E14102">
        <w:rPr>
          <w:color w:val="000000" w:themeColor="text1"/>
          <w:sz w:val="16"/>
          <w:szCs w:val="16"/>
        </w:rPr>
        <w:softHyphen/>
        <w:t>кий Союз Молодежи, что придало всему про</w:t>
      </w:r>
      <w:r w:rsidRPr="00E14102">
        <w:rPr>
          <w:color w:val="000000" w:themeColor="text1"/>
          <w:sz w:val="16"/>
          <w:szCs w:val="16"/>
        </w:rPr>
        <w:softHyphen/>
        <w:t>екту мощную идеологическую поддержку. Однако руководство ГВФ также не дремало, решив не мытьём, так катаньем избавиться от конкурентов. В результате в недрах этого ве</w:t>
      </w:r>
      <w:r w:rsidRPr="00E14102">
        <w:rPr>
          <w:color w:val="000000" w:themeColor="text1"/>
          <w:sz w:val="16"/>
          <w:szCs w:val="16"/>
        </w:rPr>
        <w:softHyphen/>
        <w:t>домства появилось решение о закрытии тех</w:t>
      </w:r>
      <w:r w:rsidRPr="00E14102">
        <w:rPr>
          <w:color w:val="000000" w:themeColor="text1"/>
          <w:sz w:val="16"/>
          <w:szCs w:val="16"/>
        </w:rPr>
        <w:softHyphen/>
        <w:t>никума — срок аренды учебным заведением занимаемых помещений подходил к концу, а продлевать договора или подыскивать новые площади начальство ГВФ не желало. Это был самый радикальный способ раз</w:t>
      </w:r>
      <w:r w:rsidRPr="00E14102">
        <w:rPr>
          <w:color w:val="000000" w:themeColor="text1"/>
          <w:sz w:val="16"/>
          <w:szCs w:val="16"/>
        </w:rPr>
        <w:softHyphen/>
        <w:t>грома конкурентов ОСГА (10715).</w:t>
      </w:r>
    </w:p>
    <w:p w14:paraId="4F2FA2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16C007D"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15 июня 1935 прямо около строящегося самолета состоялась защита диплома Смолиным. К тому времени название Колхозный Самолет (Маломощный) — КСМ — стали расшифровывать как Коммунистический Союз Молодежи, что придало всему проекту мощную идеологическую поддержку. Однако руководство ГВФ также не дремало, решив не мытьём, так катаньем избавиться от конкурентов. В результате в недрах этого ведомства появилось решение о закрытии техникума — срок аренды учебным заведением занимаемых помещений подходил к концу, а продлевать договора или подыскивать новые площади начальство ГВФ не желало.</w:t>
      </w:r>
    </w:p>
    <w:p w14:paraId="575BAB34"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Это был самый радикальный способ разгрома конкурентов, и 23 июля из недр ГУ ГВФ появился приказ расформировать техникум, чем и занялись с 1 августа. Курсанты были переведены в Саратов, а имущество распределили между Авиаотрядом Спецприменения (был такой в Горьком) и другими авиатехникумами. Документы техникума были изъяты уполномоченным НКВД и поступили в Крайархив. Однако постройка самолета благодаря поддержке ВВС, ОАХ и Комсомола остановлена не была. В соответствии с договором между ГАЗом, в лице замдиректора АМРубина, и мастерскими техникума, в лице их начальника М.В.Веселовского, подписанным 15 июля, проведение испытаний самолета надлежало завершить к 15 сентября. Специально для КСМ в районе села Борисовское (дер. Борисово), что недалеко от Горького, был устроен ангар. Основную программу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профессии, особыми приметами самолетостроителям не запомнился...</w:t>
      </w:r>
    </w:p>
    <w:p w14:paraId="72C3C407"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lastRenderedPageBreak/>
        <w:t>По результатам испытаний самолет доработали — появилась закрытая кабина, подогнанная по размерам под чекиста-испытателя. 5 сентября доработка самолета закончилась, а 17 сентября был подведен бухгалтерский баланс. После чего процедура ликвидации техникума была успешно завершена, и к ноябрю М.В.Веселовский с ближайшими помощниками перешел на завод «Красный Металлист», где был организован аэросанный цех. Самолет же сдали заказчику — ГАЗ-у (12683).</w:t>
      </w:r>
    </w:p>
    <w:p w14:paraId="5B442E16" w14:textId="77777777" w:rsidR="00A45C9C" w:rsidRPr="00E14102" w:rsidRDefault="00A45C9C" w:rsidP="00E14102">
      <w:pPr>
        <w:shd w:val="clear" w:color="auto" w:fill="FFFFFF"/>
        <w:jc w:val="both"/>
        <w:rPr>
          <w:color w:val="000000" w:themeColor="text1"/>
          <w:sz w:val="16"/>
          <w:szCs w:val="16"/>
        </w:rPr>
      </w:pPr>
    </w:p>
    <w:p w14:paraId="61A8F16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июня 1935 года вышел Приказ НИИ ВС № 0284 О гос. испытаниях гидросамолета СПЛ-М11</w:t>
      </w:r>
    </w:p>
    <w:p w14:paraId="294226C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СПЛ-М11 построен НИИ Аэрофлота по договору УВС от 13 ноября 1933 года.</w:t>
      </w:r>
    </w:p>
    <w:p w14:paraId="69D7889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провести в Севастополе.</w:t>
      </w:r>
    </w:p>
    <w:p w14:paraId="0CA1292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закончить к 1 июля 1935 года (6813, 110).</w:t>
      </w:r>
    </w:p>
    <w:p w14:paraId="1DB4C4D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AF12A4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0EEBC87" w14:textId="77777777" w:rsidR="00D4105E" w:rsidRPr="00E14102" w:rsidRDefault="00D4105E" w:rsidP="00E14102">
      <w:pPr>
        <w:autoSpaceDE w:val="0"/>
        <w:autoSpaceDN w:val="0"/>
        <w:adjustRightInd w:val="0"/>
        <w:jc w:val="both"/>
        <w:rPr>
          <w:iCs/>
          <w:color w:val="000000" w:themeColor="text1"/>
          <w:sz w:val="16"/>
          <w:szCs w:val="16"/>
        </w:rPr>
      </w:pPr>
    </w:p>
    <w:p w14:paraId="71C37AB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середине июня 1935 бала подготовлена:</w:t>
      </w:r>
    </w:p>
    <w:p w14:paraId="7348432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Справка о состоянии работ по опытному самолето-моторостроению программы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4536"/>
        <w:gridCol w:w="1422"/>
        <w:gridCol w:w="3582"/>
      </w:tblGrid>
      <w:tr w:rsidR="00E3599D" w:rsidRPr="00E14102" w14:paraId="5CED3B2D" w14:textId="77777777">
        <w:tc>
          <w:tcPr>
            <w:tcW w:w="1668" w:type="dxa"/>
            <w:tcBorders>
              <w:top w:val="single" w:sz="12" w:space="0" w:color="auto"/>
            </w:tcBorders>
          </w:tcPr>
          <w:p w14:paraId="36452CA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объекта (завод производитель)</w:t>
            </w:r>
          </w:p>
        </w:tc>
        <w:tc>
          <w:tcPr>
            <w:tcW w:w="4536" w:type="dxa"/>
            <w:tcBorders>
              <w:top w:val="single" w:sz="12" w:space="0" w:color="auto"/>
            </w:tcBorders>
          </w:tcPr>
          <w:p w14:paraId="16CFA5E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Характеристика машины (агрегата)</w:t>
            </w:r>
          </w:p>
        </w:tc>
        <w:tc>
          <w:tcPr>
            <w:tcW w:w="1422" w:type="dxa"/>
            <w:tcBorders>
              <w:top w:val="single" w:sz="12" w:space="0" w:color="auto"/>
            </w:tcBorders>
          </w:tcPr>
          <w:p w14:paraId="371CDD4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готовности по пост. СТО</w:t>
            </w:r>
          </w:p>
        </w:tc>
        <w:tc>
          <w:tcPr>
            <w:tcW w:w="3582" w:type="dxa"/>
            <w:tcBorders>
              <w:top w:val="single" w:sz="12" w:space="0" w:color="auto"/>
            </w:tcBorders>
          </w:tcPr>
          <w:p w14:paraId="6961830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Состояние работ на 1 июня 1935</w:t>
            </w:r>
          </w:p>
        </w:tc>
      </w:tr>
      <w:tr w:rsidR="00E3599D" w:rsidRPr="00E14102" w14:paraId="78E815DE" w14:textId="77777777">
        <w:tc>
          <w:tcPr>
            <w:tcW w:w="11208" w:type="dxa"/>
            <w:gridSpan w:val="4"/>
          </w:tcPr>
          <w:p w14:paraId="140402B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Достраиваемые по плану от 14 июля 1934 г.</w:t>
            </w:r>
          </w:p>
        </w:tc>
      </w:tr>
      <w:tr w:rsidR="00E3599D" w:rsidRPr="00E14102" w14:paraId="76BD3487" w14:textId="77777777">
        <w:tc>
          <w:tcPr>
            <w:tcW w:w="1668" w:type="dxa"/>
          </w:tcPr>
          <w:p w14:paraId="7A9BD01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И-17-М-100 (з-д № 39)</w:t>
            </w:r>
          </w:p>
        </w:tc>
        <w:tc>
          <w:tcPr>
            <w:tcW w:w="4536" w:type="dxa"/>
          </w:tcPr>
          <w:p w14:paraId="468C137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Скорость 425/5000</w:t>
            </w:r>
          </w:p>
          <w:p w14:paraId="06D2E2B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Потолок - 9500-10000, вооружение - 2-4 легк. пулемета.</w:t>
            </w:r>
          </w:p>
        </w:tc>
        <w:tc>
          <w:tcPr>
            <w:tcW w:w="1422" w:type="dxa"/>
          </w:tcPr>
          <w:p w14:paraId="634F77D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1.1Х.35.</w:t>
            </w:r>
          </w:p>
        </w:tc>
        <w:tc>
          <w:tcPr>
            <w:tcW w:w="3582" w:type="dxa"/>
          </w:tcPr>
          <w:p w14:paraId="7AB46C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Первый экземпляр на заводских испытаниях. Показывает удовлетвор. данные. Второй, улучшен</w:t>
            </w:r>
            <w:r w:rsidRPr="00E14102">
              <w:rPr>
                <w:color w:val="000000" w:themeColor="text1"/>
                <w:sz w:val="16"/>
                <w:szCs w:val="16"/>
              </w:rPr>
              <w:softHyphen/>
              <w:t>ный - строится.Общая технич.готовность само</w:t>
            </w:r>
            <w:r w:rsidRPr="00E14102">
              <w:rPr>
                <w:color w:val="000000" w:themeColor="text1"/>
                <w:sz w:val="16"/>
                <w:szCs w:val="16"/>
              </w:rPr>
              <w:softHyphen/>
              <w:t>лета- 20%.</w:t>
            </w:r>
          </w:p>
        </w:tc>
      </w:tr>
      <w:tr w:rsidR="00E3599D" w:rsidRPr="00E14102" w14:paraId="68C95E62" w14:textId="77777777">
        <w:tc>
          <w:tcPr>
            <w:tcW w:w="1668" w:type="dxa"/>
          </w:tcPr>
          <w:p w14:paraId="5395082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-18-П-100 (з-д № 39)</w:t>
            </w:r>
          </w:p>
        </w:tc>
        <w:tc>
          <w:tcPr>
            <w:tcW w:w="4536" w:type="dxa"/>
          </w:tcPr>
          <w:p w14:paraId="17672D7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Вариант И-17 с паровым охлаждештем и пушкой</w:t>
            </w:r>
          </w:p>
          <w:p w14:paraId="6C4811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Скорость - 380-400/0</w:t>
            </w:r>
          </w:p>
        </w:tc>
        <w:tc>
          <w:tcPr>
            <w:tcW w:w="1422" w:type="dxa"/>
          </w:tcPr>
          <w:p w14:paraId="23E2FB4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1.1Х.35.</w:t>
            </w:r>
          </w:p>
        </w:tc>
        <w:tc>
          <w:tcPr>
            <w:tcW w:w="3582" w:type="dxa"/>
          </w:tcPr>
          <w:p w14:paraId="55CE5CC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Техническая готовность 10%. Задерживает недоработанность парового охлаждения (ЦИАМ) и пушечного вооружения (т. Шпитальпый).</w:t>
            </w:r>
          </w:p>
        </w:tc>
      </w:tr>
      <w:tr w:rsidR="00E3599D" w:rsidRPr="00E14102" w14:paraId="5EE444AA" w14:textId="77777777">
        <w:tc>
          <w:tcPr>
            <w:tcW w:w="1668" w:type="dxa"/>
          </w:tcPr>
          <w:p w14:paraId="1036C2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И-21-М-100 (НИИ ГУГВФ)</w:t>
            </w:r>
          </w:p>
          <w:p w14:paraId="1FD5329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536" w:type="dxa"/>
          </w:tcPr>
          <w:p w14:paraId="51039D9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Скорость 500,4000, потолок-10000 вооружение- 1-2—пушки.</w:t>
            </w:r>
          </w:p>
        </w:tc>
        <w:tc>
          <w:tcPr>
            <w:tcW w:w="1422" w:type="dxa"/>
          </w:tcPr>
          <w:p w14:paraId="12C224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1.Х1.35.</w:t>
            </w:r>
          </w:p>
        </w:tc>
        <w:tc>
          <w:tcPr>
            <w:tcW w:w="3582" w:type="dxa"/>
          </w:tcPr>
          <w:p w14:paraId="3D075F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Задершживает отсутствие материала, мотора и вооружения. Изготовляются к испытаниятл отдель</w:t>
            </w:r>
            <w:r w:rsidRPr="00E14102">
              <w:rPr>
                <w:color w:val="000000" w:themeColor="text1"/>
                <w:sz w:val="16"/>
                <w:szCs w:val="16"/>
              </w:rPr>
              <w:softHyphen/>
              <w:t>ные детали.</w:t>
            </w:r>
          </w:p>
        </w:tc>
      </w:tr>
      <w:tr w:rsidR="00E3599D" w:rsidRPr="00E14102" w14:paraId="110D64A1" w14:textId="77777777">
        <w:tc>
          <w:tcPr>
            <w:tcW w:w="1668" w:type="dxa"/>
          </w:tcPr>
          <w:p w14:paraId="762B21D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МИ-3-М-25 (з-д № 1)</w:t>
            </w:r>
          </w:p>
        </w:tc>
        <w:tc>
          <w:tcPr>
            <w:tcW w:w="4536" w:type="dxa"/>
          </w:tcPr>
          <w:p w14:paraId="6FBD5C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Скорость 400/3000, потолок-8000--8500 мтр., вооружение - 2 пуш</w:t>
            </w:r>
            <w:r w:rsidRPr="00E14102">
              <w:rPr>
                <w:color w:val="000000" w:themeColor="text1"/>
                <w:sz w:val="16"/>
                <w:szCs w:val="16"/>
              </w:rPr>
              <w:softHyphen/>
              <w:t>ки 76 мм и 2 пул.</w:t>
            </w:r>
          </w:p>
        </w:tc>
        <w:tc>
          <w:tcPr>
            <w:tcW w:w="1422" w:type="dxa"/>
          </w:tcPr>
          <w:p w14:paraId="4EA53EB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1.УШ.35.</w:t>
            </w:r>
          </w:p>
        </w:tc>
        <w:tc>
          <w:tcPr>
            <w:tcW w:w="3582" w:type="dxa"/>
          </w:tcPr>
          <w:p w14:paraId="346490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Находится на заводских испытаниях.</w:t>
            </w:r>
          </w:p>
        </w:tc>
      </w:tr>
      <w:tr w:rsidR="00E3599D" w:rsidRPr="00E14102" w14:paraId="068D30EF" w14:textId="77777777">
        <w:tc>
          <w:tcPr>
            <w:tcW w:w="1668" w:type="dxa"/>
          </w:tcPr>
          <w:p w14:paraId="49DA3CC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РД-2-2-М-85</w:t>
            </w:r>
          </w:p>
        </w:tc>
        <w:tc>
          <w:tcPr>
            <w:tcW w:w="4536" w:type="dxa"/>
          </w:tcPr>
          <w:p w14:paraId="545B1C7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Перепроектирован с самолета РД. Дальность - 5000 клм., ско</w:t>
            </w:r>
            <w:r w:rsidRPr="00E14102">
              <w:rPr>
                <w:color w:val="000000" w:themeColor="text1"/>
                <w:sz w:val="16"/>
                <w:szCs w:val="16"/>
              </w:rPr>
              <w:softHyphen/>
              <w:t>рость- 300-320/4500, потолок 7000-7500, вооружение - 3 пуле</w:t>
            </w:r>
            <w:r w:rsidRPr="00E14102">
              <w:rPr>
                <w:color w:val="000000" w:themeColor="text1"/>
                <w:sz w:val="16"/>
                <w:szCs w:val="16"/>
              </w:rPr>
              <w:softHyphen/>
              <w:t>мета ШКАС и 1000 кгр. бомб. Производство на зав. № 18.</w:t>
            </w:r>
          </w:p>
        </w:tc>
        <w:tc>
          <w:tcPr>
            <w:tcW w:w="1422" w:type="dxa"/>
          </w:tcPr>
          <w:p w14:paraId="465F466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15.УП.35.</w:t>
            </w:r>
          </w:p>
        </w:tc>
        <w:tc>
          <w:tcPr>
            <w:tcW w:w="3582" w:type="dxa"/>
          </w:tcPr>
          <w:p w14:paraId="501D13C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закончен постройкой и выводится на аэродром. Моторы опробованы.</w:t>
            </w:r>
          </w:p>
        </w:tc>
      </w:tr>
      <w:tr w:rsidR="00E3599D" w:rsidRPr="00E14102" w14:paraId="5431F656" w14:textId="77777777">
        <w:tc>
          <w:tcPr>
            <w:tcW w:w="1668" w:type="dxa"/>
          </w:tcPr>
          <w:p w14:paraId="719B00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ДБА-4М34 (з-д № 22)</w:t>
            </w:r>
          </w:p>
        </w:tc>
        <w:tc>
          <w:tcPr>
            <w:tcW w:w="4536" w:type="dxa"/>
          </w:tcPr>
          <w:p w14:paraId="62754A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Бомбардир. дальнего действия. Скорость 310/4000, потолок - 6000-7000, бомб.нагрузка - 2000/1300 и с перегрузкой 1000/4000, вооружение - пулеметы и пушки.</w:t>
            </w:r>
          </w:p>
        </w:tc>
        <w:tc>
          <w:tcPr>
            <w:tcW w:w="1422" w:type="dxa"/>
          </w:tcPr>
          <w:p w14:paraId="48B0765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1.1Х.35.</w:t>
            </w:r>
          </w:p>
        </w:tc>
        <w:tc>
          <w:tcPr>
            <w:tcW w:w="3582" w:type="dxa"/>
          </w:tcPr>
          <w:p w14:paraId="34B9BA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находится на заводских испытаниях и доводке.</w:t>
            </w:r>
          </w:p>
        </w:tc>
      </w:tr>
      <w:tr w:rsidR="00E3599D" w:rsidRPr="00E14102" w14:paraId="6D9ECDA3" w14:textId="77777777">
        <w:tc>
          <w:tcPr>
            <w:tcW w:w="1668" w:type="dxa"/>
          </w:tcPr>
          <w:p w14:paraId="1BC41C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ФР-М-25 (ХАИ)</w:t>
            </w:r>
          </w:p>
        </w:tc>
        <w:tc>
          <w:tcPr>
            <w:tcW w:w="4536" w:type="dxa"/>
          </w:tcPr>
          <w:p w14:paraId="4D7524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Фото-разведчик, скорость- 435/2000</w:t>
            </w:r>
          </w:p>
        </w:tc>
        <w:tc>
          <w:tcPr>
            <w:tcW w:w="1422" w:type="dxa"/>
          </w:tcPr>
          <w:p w14:paraId="220AB1F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1.У1.35.</w:t>
            </w:r>
          </w:p>
        </w:tc>
        <w:tc>
          <w:tcPr>
            <w:tcW w:w="3582" w:type="dxa"/>
          </w:tcPr>
          <w:p w14:paraId="0F593DA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подготовлен к запводским испытаниям</w:t>
            </w:r>
          </w:p>
        </w:tc>
      </w:tr>
      <w:tr w:rsidR="00E3599D" w:rsidRPr="00E14102" w14:paraId="2B389F7C" w14:textId="77777777">
        <w:tc>
          <w:tcPr>
            <w:tcW w:w="1668" w:type="dxa"/>
          </w:tcPr>
          <w:p w14:paraId="0043D93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МБР-5-М25 (з-д № 31)</w:t>
            </w:r>
          </w:p>
        </w:tc>
        <w:tc>
          <w:tcPr>
            <w:tcW w:w="4536" w:type="dxa"/>
          </w:tcPr>
          <w:p w14:paraId="45F17F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Амфибия. Скорость 275/3000, потолок - 6000, 2 огневые точки, 400 кгр. Бомб</w:t>
            </w:r>
          </w:p>
        </w:tc>
        <w:tc>
          <w:tcPr>
            <w:tcW w:w="1422" w:type="dxa"/>
          </w:tcPr>
          <w:p w14:paraId="5CB0890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1.УШ.35.</w:t>
            </w:r>
          </w:p>
        </w:tc>
        <w:tc>
          <w:tcPr>
            <w:tcW w:w="3582" w:type="dxa"/>
          </w:tcPr>
          <w:p w14:paraId="7B84A8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Заканчивается конструктивная разработка и параллельно идет строительство самолета. Техготовность - 75%</w:t>
            </w:r>
          </w:p>
        </w:tc>
      </w:tr>
      <w:tr w:rsidR="00E3599D" w:rsidRPr="00E14102" w14:paraId="6AC1AE92" w14:textId="77777777">
        <w:tc>
          <w:tcPr>
            <w:tcW w:w="1668" w:type="dxa"/>
          </w:tcPr>
          <w:p w14:paraId="364B1CE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ВС-2-М22 (з-д № 18)</w:t>
            </w:r>
          </w:p>
        </w:tc>
        <w:tc>
          <w:tcPr>
            <w:tcW w:w="4536" w:type="dxa"/>
          </w:tcPr>
          <w:p w14:paraId="7AA0C7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Войсковой самолет.</w:t>
            </w:r>
          </w:p>
        </w:tc>
        <w:tc>
          <w:tcPr>
            <w:tcW w:w="1422" w:type="dxa"/>
          </w:tcPr>
          <w:p w14:paraId="050C7DB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1.Х.35.</w:t>
            </w:r>
          </w:p>
        </w:tc>
        <w:tc>
          <w:tcPr>
            <w:tcW w:w="3582" w:type="dxa"/>
          </w:tcPr>
          <w:p w14:paraId="4B3FD4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производстве. Готов</w:t>
            </w:r>
            <w:r w:rsidRPr="00E14102">
              <w:rPr>
                <w:color w:val="000000" w:themeColor="text1"/>
                <w:sz w:val="16"/>
                <w:szCs w:val="16"/>
              </w:rPr>
              <w:softHyphen/>
              <w:t>ность - 20%.</w:t>
            </w:r>
          </w:p>
        </w:tc>
      </w:tr>
      <w:tr w:rsidR="00E3599D" w:rsidRPr="00E14102" w14:paraId="3322938E" w14:textId="77777777">
        <w:tc>
          <w:tcPr>
            <w:tcW w:w="1668" w:type="dxa"/>
          </w:tcPr>
          <w:p w14:paraId="235314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СС-М34 (з-д № 35)</w:t>
            </w:r>
          </w:p>
        </w:tc>
        <w:tc>
          <w:tcPr>
            <w:tcW w:w="4536" w:type="dxa"/>
          </w:tcPr>
          <w:p w14:paraId="453C7C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Стратосферный самолет. Потолок -11.000-12.000 мтр.</w:t>
            </w:r>
          </w:p>
        </w:tc>
        <w:tc>
          <w:tcPr>
            <w:tcW w:w="1422" w:type="dxa"/>
          </w:tcPr>
          <w:p w14:paraId="3C7C06E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1.УШ.35.</w:t>
            </w:r>
          </w:p>
        </w:tc>
        <w:tc>
          <w:tcPr>
            <w:tcW w:w="3582" w:type="dxa"/>
          </w:tcPr>
          <w:p w14:paraId="7D2297B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в сборке. Испытывается высотная ка</w:t>
            </w:r>
            <w:r w:rsidRPr="00E14102">
              <w:rPr>
                <w:color w:val="000000" w:themeColor="text1"/>
                <w:sz w:val="16"/>
                <w:szCs w:val="16"/>
              </w:rPr>
              <w:softHyphen/>
              <w:t>бина и приборы на дав</w:t>
            </w:r>
            <w:r w:rsidRPr="00E14102">
              <w:rPr>
                <w:color w:val="000000" w:themeColor="text1"/>
                <w:sz w:val="16"/>
                <w:szCs w:val="16"/>
              </w:rPr>
              <w:softHyphen/>
              <w:t>ление. Техготовность - 85%.</w:t>
            </w:r>
          </w:p>
        </w:tc>
      </w:tr>
      <w:tr w:rsidR="00E3599D" w:rsidRPr="00E14102" w14:paraId="6BF0624D" w14:textId="77777777">
        <w:tc>
          <w:tcPr>
            <w:tcW w:w="1668" w:type="dxa"/>
          </w:tcPr>
          <w:p w14:paraId="50838D3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Летающее крыло (з-д № 1), (Черановский)</w:t>
            </w:r>
          </w:p>
        </w:tc>
        <w:tc>
          <w:tcPr>
            <w:tcW w:w="4536" w:type="dxa"/>
          </w:tcPr>
          <w:p w14:paraId="61CD86F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Истребитель. Экспериментальные работы. Технические требования не указаны.</w:t>
            </w:r>
          </w:p>
        </w:tc>
        <w:tc>
          <w:tcPr>
            <w:tcW w:w="1422" w:type="dxa"/>
          </w:tcPr>
          <w:p w14:paraId="24C09C7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1.Х1.35.</w:t>
            </w:r>
          </w:p>
        </w:tc>
        <w:tc>
          <w:tcPr>
            <w:tcW w:w="3582" w:type="dxa"/>
          </w:tcPr>
          <w:p w14:paraId="0C3F1A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Проект готов. Черановскийпока находится у Курчевскрго, в связи с чем з-д № 1 не работа</w:t>
            </w:r>
            <w:r w:rsidRPr="00E14102">
              <w:rPr>
                <w:color w:val="000000" w:themeColor="text1"/>
                <w:sz w:val="16"/>
                <w:szCs w:val="16"/>
              </w:rPr>
              <w:softHyphen/>
              <w:t>ет над этой малиной.</w:t>
            </w:r>
          </w:p>
        </w:tc>
      </w:tr>
      <w:tr w:rsidR="00E3599D" w:rsidRPr="00E14102" w14:paraId="7699D2C5" w14:textId="77777777">
        <w:tc>
          <w:tcPr>
            <w:tcW w:w="1668" w:type="dxa"/>
          </w:tcPr>
          <w:p w14:paraId="7FF807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Скоростной автожир (ЦАГИ), мотор М-25</w:t>
            </w:r>
          </w:p>
        </w:tc>
        <w:tc>
          <w:tcPr>
            <w:tcW w:w="4536" w:type="dxa"/>
          </w:tcPr>
          <w:p w14:paraId="6954F4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Скорость - 360/3000, потолок - 6000, 2 пулемета.</w:t>
            </w:r>
          </w:p>
        </w:tc>
        <w:tc>
          <w:tcPr>
            <w:tcW w:w="1422" w:type="dxa"/>
          </w:tcPr>
          <w:p w14:paraId="7B44FC3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1.Х11.35.</w:t>
            </w:r>
          </w:p>
        </w:tc>
        <w:tc>
          <w:tcPr>
            <w:tcW w:w="3582" w:type="dxa"/>
          </w:tcPr>
          <w:p w14:paraId="208DAF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Ведется конструктивн. и экспериментальная работа. В постройке отдельные детали и агрегаты.</w:t>
            </w:r>
          </w:p>
        </w:tc>
      </w:tr>
      <w:tr w:rsidR="00E3599D" w:rsidRPr="00E14102" w14:paraId="223F5786" w14:textId="77777777">
        <w:tc>
          <w:tcPr>
            <w:tcW w:w="11208" w:type="dxa"/>
            <w:gridSpan w:val="4"/>
          </w:tcPr>
          <w:p w14:paraId="0637B59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Строящиеся по плану от 16.4.35г.</w:t>
            </w:r>
          </w:p>
        </w:tc>
      </w:tr>
      <w:tr w:rsidR="00E3599D" w:rsidRPr="00E14102" w14:paraId="41385C48" w14:textId="77777777">
        <w:tc>
          <w:tcPr>
            <w:tcW w:w="1668" w:type="dxa"/>
          </w:tcPr>
          <w:p w14:paraId="730D83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ДБ-2М34ФРН  (з-д № 18)</w:t>
            </w:r>
          </w:p>
        </w:tc>
        <w:tc>
          <w:tcPr>
            <w:tcW w:w="4536" w:type="dxa"/>
          </w:tcPr>
          <w:p w14:paraId="6878AF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Вариант РД и пассажирского на 12 чел. Скорость 450-500, бое</w:t>
            </w:r>
            <w:r w:rsidRPr="00E14102">
              <w:rPr>
                <w:color w:val="000000" w:themeColor="text1"/>
                <w:sz w:val="16"/>
                <w:szCs w:val="16"/>
              </w:rPr>
              <w:softHyphen/>
              <w:t>вой потолок - 5000, дальность - 4.000 клм., вооружение - 2 пу</w:t>
            </w:r>
            <w:r w:rsidRPr="00E14102">
              <w:rPr>
                <w:color w:val="000000" w:themeColor="text1"/>
                <w:sz w:val="16"/>
                <w:szCs w:val="16"/>
              </w:rPr>
              <w:softHyphen/>
              <w:t>лемета, пушка 20 мм, бомбовая нагрузка- 3.000 кгр.</w:t>
            </w:r>
          </w:p>
        </w:tc>
        <w:tc>
          <w:tcPr>
            <w:tcW w:w="1422" w:type="dxa"/>
          </w:tcPr>
          <w:p w14:paraId="78F036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1.1Х.35.</w:t>
            </w:r>
          </w:p>
        </w:tc>
        <w:tc>
          <w:tcPr>
            <w:tcW w:w="3582" w:type="dxa"/>
          </w:tcPr>
          <w:p w14:paraId="325D52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Эскизный проект и макет утверждены.Самллет в построике. Производ. Готовность - 55%. Работа замедлена в связи с переездом группы т. Ка</w:t>
            </w:r>
            <w:r w:rsidRPr="00E14102">
              <w:rPr>
                <w:color w:val="000000" w:themeColor="text1"/>
                <w:sz w:val="16"/>
                <w:szCs w:val="16"/>
              </w:rPr>
              <w:softHyphen/>
              <w:t>линина из Харькова в Воронеж.</w:t>
            </w:r>
          </w:p>
        </w:tc>
      </w:tr>
      <w:tr w:rsidR="00E3599D" w:rsidRPr="00E14102" w14:paraId="015C6D09" w14:textId="77777777">
        <w:tc>
          <w:tcPr>
            <w:tcW w:w="1668" w:type="dxa"/>
          </w:tcPr>
          <w:p w14:paraId="2A3915E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ССС-М34ФН (з-д № 39)</w:t>
            </w:r>
          </w:p>
        </w:tc>
        <w:tc>
          <w:tcPr>
            <w:tcW w:w="4536" w:type="dxa"/>
          </w:tcPr>
          <w:p w14:paraId="6B0A91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Разведчик скоростной, приспосаб</w:t>
            </w:r>
            <w:r w:rsidRPr="00E14102">
              <w:rPr>
                <w:color w:val="000000" w:themeColor="text1"/>
                <w:sz w:val="16"/>
                <w:szCs w:val="16"/>
              </w:rPr>
              <w:softHyphen/>
              <w:t>ливается к варианту двухмест</w:t>
            </w:r>
            <w:r w:rsidRPr="00E14102">
              <w:rPr>
                <w:color w:val="000000" w:themeColor="text1"/>
                <w:sz w:val="16"/>
                <w:szCs w:val="16"/>
              </w:rPr>
              <w:softHyphen/>
              <w:t>ного истребителя. Скорость - 450-500, боевой потолок - 4500-5000, дальность - 1000 клм., вооружение 2-3 пулемета, 2 огнеметных прибора по 50 кгр. или ОВ.</w:t>
            </w:r>
          </w:p>
        </w:tc>
        <w:tc>
          <w:tcPr>
            <w:tcW w:w="1422" w:type="dxa"/>
          </w:tcPr>
          <w:p w14:paraId="0F6D0C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1.1Х.35.</w:t>
            </w:r>
          </w:p>
        </w:tc>
        <w:tc>
          <w:tcPr>
            <w:tcW w:w="3582" w:type="dxa"/>
          </w:tcPr>
          <w:p w14:paraId="658383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зав. № 39- конструктивные чертежи спуще</w:t>
            </w:r>
            <w:r w:rsidRPr="00E14102">
              <w:rPr>
                <w:color w:val="000000" w:themeColor="text1"/>
                <w:sz w:val="16"/>
                <w:szCs w:val="16"/>
              </w:rPr>
              <w:softHyphen/>
              <w:t>ны в производство. Идет заготовка деталей. Техготовность - 10%</w:t>
            </w:r>
          </w:p>
        </w:tc>
      </w:tr>
      <w:tr w:rsidR="00E3599D" w:rsidRPr="00E14102" w14:paraId="1C98EF18" w14:textId="77777777">
        <w:tc>
          <w:tcPr>
            <w:tcW w:w="1668" w:type="dxa"/>
          </w:tcPr>
          <w:p w14:paraId="51CFADB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(з-д № 1)</w:t>
            </w:r>
          </w:p>
        </w:tc>
        <w:tc>
          <w:tcPr>
            <w:tcW w:w="4536" w:type="dxa"/>
          </w:tcPr>
          <w:p w14:paraId="274714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422" w:type="dxa"/>
          </w:tcPr>
          <w:p w14:paraId="6CE496B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3582" w:type="dxa"/>
          </w:tcPr>
          <w:p w14:paraId="1876B2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з-ду № 1 - заканчивается эскизный проект</w:t>
            </w:r>
          </w:p>
        </w:tc>
      </w:tr>
      <w:tr w:rsidR="00E3599D" w:rsidRPr="00E14102" w14:paraId="5E27F18C" w14:textId="77777777">
        <w:tc>
          <w:tcPr>
            <w:tcW w:w="1668" w:type="dxa"/>
          </w:tcPr>
          <w:p w14:paraId="32192D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ХАИ</w:t>
            </w:r>
          </w:p>
        </w:tc>
        <w:tc>
          <w:tcPr>
            <w:tcW w:w="4536" w:type="dxa"/>
          </w:tcPr>
          <w:p w14:paraId="0AFF19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422" w:type="dxa"/>
          </w:tcPr>
          <w:p w14:paraId="77869DC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3582" w:type="dxa"/>
          </w:tcPr>
          <w:p w14:paraId="0260FF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ХАИ - зскизный проект перерабатывает</w:t>
            </w:r>
            <w:r w:rsidRPr="00E14102">
              <w:rPr>
                <w:color w:val="000000" w:themeColor="text1"/>
                <w:sz w:val="16"/>
                <w:szCs w:val="16"/>
              </w:rPr>
              <w:softHyphen/>
              <w:t>ся.</w:t>
            </w:r>
          </w:p>
        </w:tc>
      </w:tr>
      <w:tr w:rsidR="00E3599D" w:rsidRPr="00E14102" w14:paraId="7AE571F3" w14:textId="77777777">
        <w:tc>
          <w:tcPr>
            <w:tcW w:w="1668" w:type="dxa"/>
          </w:tcPr>
          <w:p w14:paraId="3D6A64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КОР-М25 (з-д № 31)</w:t>
            </w:r>
          </w:p>
        </w:tc>
        <w:tc>
          <w:tcPr>
            <w:tcW w:w="4536" w:type="dxa"/>
          </w:tcPr>
          <w:p w14:paraId="35AE93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корабельной службы. Ско</w:t>
            </w:r>
            <w:r w:rsidRPr="00E14102">
              <w:rPr>
                <w:color w:val="000000" w:themeColor="text1"/>
                <w:sz w:val="16"/>
                <w:szCs w:val="16"/>
              </w:rPr>
              <w:softHyphen/>
              <w:t>рость - 300, боевой потолок - 3000, дальность - 600 клм., вооружение - 2 пулемета, бак для ОВ - 250 кгр.</w:t>
            </w:r>
          </w:p>
        </w:tc>
        <w:tc>
          <w:tcPr>
            <w:tcW w:w="1422" w:type="dxa"/>
          </w:tcPr>
          <w:p w14:paraId="054FAB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1.Х1.35.</w:t>
            </w:r>
          </w:p>
        </w:tc>
        <w:tc>
          <w:tcPr>
            <w:tcW w:w="3582" w:type="dxa"/>
          </w:tcPr>
          <w:p w14:paraId="5C6071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Ведется конструктивн. разработка и одновременно постройка. Техготовность - 15%.</w:t>
            </w:r>
          </w:p>
        </w:tc>
      </w:tr>
      <w:tr w:rsidR="00E3599D" w:rsidRPr="00E14102" w14:paraId="665BFD45" w14:textId="77777777">
        <w:tc>
          <w:tcPr>
            <w:tcW w:w="1668" w:type="dxa"/>
          </w:tcPr>
          <w:p w14:paraId="4F515EF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Переходный тренировочный с-т УТИ-М-48 (з-д № 23 и КАИ)</w:t>
            </w:r>
          </w:p>
        </w:tc>
        <w:tc>
          <w:tcPr>
            <w:tcW w:w="4536" w:type="dxa"/>
          </w:tcPr>
          <w:p w14:paraId="7FB585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Скорость - 250-300, дальность - 800 клм., вооружение 1-2 пул.</w:t>
            </w:r>
          </w:p>
        </w:tc>
        <w:tc>
          <w:tcPr>
            <w:tcW w:w="1422" w:type="dxa"/>
          </w:tcPr>
          <w:p w14:paraId="71D4E93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1.Х.35.</w:t>
            </w:r>
          </w:p>
        </w:tc>
        <w:tc>
          <w:tcPr>
            <w:tcW w:w="3582" w:type="dxa"/>
          </w:tcPr>
          <w:p w14:paraId="100336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зав. № 23. Эскизн. проект закончен. Часть деталей сдана в производство. Техготов. - 20%</w:t>
            </w:r>
          </w:p>
        </w:tc>
      </w:tr>
      <w:tr w:rsidR="00E3599D" w:rsidRPr="00E14102" w14:paraId="48769140" w14:textId="77777777">
        <w:tc>
          <w:tcPr>
            <w:tcW w:w="1668" w:type="dxa"/>
            <w:tcBorders>
              <w:bottom w:val="single" w:sz="12" w:space="0" w:color="auto"/>
            </w:tcBorders>
          </w:tcPr>
          <w:p w14:paraId="7210231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4536" w:type="dxa"/>
            <w:tcBorders>
              <w:bottom w:val="single" w:sz="12" w:space="0" w:color="auto"/>
            </w:tcBorders>
          </w:tcPr>
          <w:p w14:paraId="70203B0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422" w:type="dxa"/>
            <w:tcBorders>
              <w:bottom w:val="single" w:sz="12" w:space="0" w:color="auto"/>
            </w:tcBorders>
          </w:tcPr>
          <w:p w14:paraId="1F860CA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3582" w:type="dxa"/>
            <w:tcBorders>
              <w:bottom w:val="single" w:sz="12" w:space="0" w:color="auto"/>
            </w:tcBorders>
          </w:tcPr>
          <w:p w14:paraId="74A066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КАИ - эскизн. Проект утвержден. Ведется конструктивная разработка</w:t>
            </w:r>
          </w:p>
        </w:tc>
      </w:tr>
    </w:tbl>
    <w:p w14:paraId="07AF306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(3517,5)</w:t>
      </w:r>
    </w:p>
    <w:p w14:paraId="66DF8A7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8D0154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середине июня 1935 бала подготовлена:</w:t>
      </w:r>
    </w:p>
    <w:p w14:paraId="51CC3B8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Справка о моторах и агрегатах по опытному плану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3402"/>
        <w:gridCol w:w="1060"/>
        <w:gridCol w:w="5078"/>
      </w:tblGrid>
      <w:tr w:rsidR="00E3599D" w:rsidRPr="00E14102" w14:paraId="7C1A1F8E" w14:textId="77777777">
        <w:tc>
          <w:tcPr>
            <w:tcW w:w="1668" w:type="dxa"/>
            <w:tcBorders>
              <w:top w:val="single" w:sz="12" w:space="0" w:color="auto"/>
            </w:tcBorders>
          </w:tcPr>
          <w:p w14:paraId="231466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объекта (завод производитель)</w:t>
            </w:r>
          </w:p>
        </w:tc>
        <w:tc>
          <w:tcPr>
            <w:tcW w:w="3402" w:type="dxa"/>
            <w:tcBorders>
              <w:top w:val="single" w:sz="12" w:space="0" w:color="auto"/>
            </w:tcBorders>
          </w:tcPr>
          <w:p w14:paraId="60AD797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Характеристика машины (агрегата)</w:t>
            </w:r>
          </w:p>
        </w:tc>
        <w:tc>
          <w:tcPr>
            <w:tcW w:w="1060" w:type="dxa"/>
            <w:tcBorders>
              <w:top w:val="single" w:sz="12" w:space="0" w:color="auto"/>
            </w:tcBorders>
          </w:tcPr>
          <w:p w14:paraId="7A19CE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готовности по пост. СТО</w:t>
            </w:r>
          </w:p>
        </w:tc>
        <w:tc>
          <w:tcPr>
            <w:tcW w:w="5078" w:type="dxa"/>
            <w:tcBorders>
              <w:top w:val="single" w:sz="12" w:space="0" w:color="auto"/>
            </w:tcBorders>
          </w:tcPr>
          <w:p w14:paraId="4B078F8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Состояние работ на 1 июня 1935</w:t>
            </w:r>
          </w:p>
        </w:tc>
      </w:tr>
      <w:tr w:rsidR="00E3599D" w:rsidRPr="00E14102" w14:paraId="689F4CEB" w14:textId="77777777">
        <w:tc>
          <w:tcPr>
            <w:tcW w:w="11208" w:type="dxa"/>
            <w:gridSpan w:val="4"/>
          </w:tcPr>
          <w:p w14:paraId="113991E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Моторы новые</w:t>
            </w:r>
          </w:p>
        </w:tc>
      </w:tr>
      <w:tr w:rsidR="00E3599D" w:rsidRPr="00E14102" w14:paraId="6BA78A75" w14:textId="77777777">
        <w:tc>
          <w:tcPr>
            <w:tcW w:w="1668" w:type="dxa"/>
          </w:tcPr>
          <w:p w14:paraId="4256B2D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АН-3 (УНИАДИ)</w:t>
            </w:r>
          </w:p>
        </w:tc>
        <w:tc>
          <w:tcPr>
            <w:tcW w:w="3402" w:type="dxa"/>
          </w:tcPr>
          <w:p w14:paraId="131758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Дизель-мотор. Номиналъная мощшость 600 л.с./4-5000, вес - 650 кгр., расход горючего на л/с.ч. - 170 гр. Предназначается для дальних разведчиков.</w:t>
            </w:r>
          </w:p>
        </w:tc>
        <w:tc>
          <w:tcPr>
            <w:tcW w:w="1060" w:type="dxa"/>
          </w:tcPr>
          <w:p w14:paraId="01AE701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1.Х1.35</w:t>
            </w:r>
          </w:p>
        </w:tc>
        <w:tc>
          <w:tcPr>
            <w:tcW w:w="5078" w:type="dxa"/>
          </w:tcPr>
          <w:p w14:paraId="1C0E4CD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Дизель показал мощность в 1430 л.с., проработав 20 час. на топливе. Т.Ткачевым поставлен вопрос об изготовлении на з-дах НКТП крупних поковок и литья для первой опытной партии дизелей Н-3.</w:t>
            </w:r>
          </w:p>
        </w:tc>
      </w:tr>
      <w:tr w:rsidR="00E3599D" w:rsidRPr="00E14102" w14:paraId="5D6225FB" w14:textId="77777777">
        <w:tc>
          <w:tcPr>
            <w:tcW w:w="1668" w:type="dxa"/>
          </w:tcPr>
          <w:p w14:paraId="1577A8F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АН-1 (ЦИАМ)</w:t>
            </w:r>
          </w:p>
        </w:tc>
        <w:tc>
          <w:tcPr>
            <w:tcW w:w="3402" w:type="dxa"/>
          </w:tcPr>
          <w:p w14:paraId="2A9A966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Дизель-мотор. Номинальн. мощность 850 л.с./3000, вес - 950 - -975кгр., расход горючего - 170-180гр. на л/с.час. Может быть использован на ДБ, МДР и транспортном самолете.</w:t>
            </w:r>
          </w:p>
        </w:tc>
        <w:tc>
          <w:tcPr>
            <w:tcW w:w="1060" w:type="dxa"/>
          </w:tcPr>
          <w:p w14:paraId="0788B2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1.1.36</w:t>
            </w:r>
          </w:p>
        </w:tc>
        <w:tc>
          <w:tcPr>
            <w:tcW w:w="5078" w:type="dxa"/>
          </w:tcPr>
          <w:p w14:paraId="2234C4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 второй половине дизель проходил эксперимент.испыта</w:t>
            </w:r>
            <w:r w:rsidRPr="00E14102">
              <w:rPr>
                <w:color w:val="000000" w:themeColor="text1"/>
                <w:sz w:val="16"/>
                <w:szCs w:val="16"/>
              </w:rPr>
              <w:softHyphen/>
              <w:t>ния на форсированном режиме: максимал.моцность - 1000 л.с. при 1600 оборотов и 900 л.с. при 1540 оборот./м. После  30 час. работы сломался коленчатый вал. В настоящее время ведутся испытания.</w:t>
            </w:r>
          </w:p>
        </w:tc>
      </w:tr>
      <w:tr w:rsidR="00E3599D" w:rsidRPr="00E14102" w14:paraId="28AFC81F" w14:textId="77777777">
        <w:tc>
          <w:tcPr>
            <w:tcW w:w="1668" w:type="dxa"/>
          </w:tcPr>
          <w:p w14:paraId="1957E7B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ПТ-3 (ГУ ГВФ)</w:t>
            </w:r>
          </w:p>
        </w:tc>
        <w:tc>
          <w:tcPr>
            <w:tcW w:w="3402" w:type="dxa"/>
          </w:tcPr>
          <w:p w14:paraId="5C61805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Паровая турбина. Номинальная мощность 3.600 л.с./5000, вес - -3000 кгр. Предназначается для ДБ, МДР, крейсера</w:t>
            </w:r>
          </w:p>
        </w:tc>
        <w:tc>
          <w:tcPr>
            <w:tcW w:w="1060" w:type="dxa"/>
          </w:tcPr>
          <w:p w14:paraId="2386800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1Х.35</w:t>
            </w:r>
          </w:p>
        </w:tc>
        <w:tc>
          <w:tcPr>
            <w:tcW w:w="5078" w:type="dxa"/>
          </w:tcPr>
          <w:p w14:paraId="79EA32E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Испытаны турбины и редуктора на полном числе оборотов (15-16500 об/м. при редукции в 12,5). Опробованы турбонасосы и вентилятор. Котел испытан на давление пара в 20 атмосфер (требуется 30), при чем имели место разрывы труб (плохой материал). Установ</w:t>
            </w:r>
            <w:r w:rsidRPr="00E14102">
              <w:rPr>
                <w:color w:val="000000" w:themeColor="text1"/>
                <w:sz w:val="16"/>
                <w:szCs w:val="16"/>
              </w:rPr>
              <w:softHyphen/>
              <w:t>лен для испытания конденса</w:t>
            </w:r>
            <w:r w:rsidRPr="00E14102">
              <w:rPr>
                <w:color w:val="000000" w:themeColor="text1"/>
                <w:sz w:val="16"/>
                <w:szCs w:val="16"/>
              </w:rPr>
              <w:softHyphen/>
              <w:t>тор. Ведется изготовление автоматического регулирова</w:t>
            </w:r>
            <w:r w:rsidRPr="00E14102">
              <w:rPr>
                <w:color w:val="000000" w:themeColor="text1"/>
                <w:sz w:val="16"/>
                <w:szCs w:val="16"/>
              </w:rPr>
              <w:softHyphen/>
              <w:t>ния. Задерживается изготовле</w:t>
            </w:r>
            <w:r w:rsidRPr="00E14102">
              <w:rPr>
                <w:color w:val="000000" w:themeColor="text1"/>
                <w:sz w:val="16"/>
                <w:szCs w:val="16"/>
              </w:rPr>
              <w:softHyphen/>
              <w:t>ние новых редукторов ("Сев. Верфь"), парогенератора (ЛМЗ), запчастей. Недостаток конструторов и производственников по паросиловым установкам.</w:t>
            </w:r>
          </w:p>
        </w:tc>
      </w:tr>
      <w:tr w:rsidR="00E3599D" w:rsidRPr="00E14102" w14:paraId="78BB7015" w14:textId="77777777">
        <w:tc>
          <w:tcPr>
            <w:tcW w:w="11208" w:type="dxa"/>
            <w:gridSpan w:val="4"/>
          </w:tcPr>
          <w:p w14:paraId="7A9D1F0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Моторы модифицируемые</w:t>
            </w:r>
          </w:p>
        </w:tc>
      </w:tr>
      <w:tr w:rsidR="00E3599D" w:rsidRPr="00E14102" w14:paraId="59471CD3" w14:textId="77777777">
        <w:tc>
          <w:tcPr>
            <w:tcW w:w="1668" w:type="dxa"/>
          </w:tcPr>
          <w:p w14:paraId="49C7C63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М-34ФРН (з-д № 24)</w:t>
            </w:r>
          </w:p>
        </w:tc>
        <w:tc>
          <w:tcPr>
            <w:tcW w:w="3402" w:type="dxa"/>
          </w:tcPr>
          <w:p w14:paraId="100D390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Мощность по высотам:</w:t>
            </w:r>
          </w:p>
          <w:p w14:paraId="665188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1150 л.с./0 1050 л.с./3000 м, 850 л.с./4500</w:t>
            </w:r>
          </w:p>
          <w:p w14:paraId="60F7107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редуктором - 710 кгр., без редуктора - 630 кгр., расход горючего 255-265 гр.</w:t>
            </w:r>
          </w:p>
        </w:tc>
        <w:tc>
          <w:tcPr>
            <w:tcW w:w="1060" w:type="dxa"/>
          </w:tcPr>
          <w:p w14:paraId="013FE80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1.1Х.35.</w:t>
            </w:r>
          </w:p>
        </w:tc>
        <w:tc>
          <w:tcPr>
            <w:tcW w:w="5078" w:type="dxa"/>
          </w:tcPr>
          <w:p w14:paraId="0BB5D20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Испытывались 3 мотора (2 с редукт.и нагнетателем, один с нагнетателем без редуктора), показавшие максим.мощность в 1250 л.с. при 1980 об/мин. Испытания - продолжаются.</w:t>
            </w:r>
          </w:p>
        </w:tc>
      </w:tr>
      <w:tr w:rsidR="00E3599D" w:rsidRPr="00E14102" w14:paraId="7B3CCC8A" w14:textId="77777777">
        <w:tc>
          <w:tcPr>
            <w:tcW w:w="1668" w:type="dxa"/>
          </w:tcPr>
          <w:p w14:paraId="1829BE8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М-100 (ЦИАМ, зав. № 26)</w:t>
            </w:r>
          </w:p>
        </w:tc>
        <w:tc>
          <w:tcPr>
            <w:tcW w:w="3402" w:type="dxa"/>
          </w:tcPr>
          <w:p w14:paraId="147F2A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Доведение надежности ра</w:t>
            </w:r>
            <w:r w:rsidRPr="00E14102">
              <w:rPr>
                <w:color w:val="000000" w:themeColor="text1"/>
                <w:sz w:val="16"/>
                <w:szCs w:val="16"/>
              </w:rPr>
              <w:softHyphen/>
              <w:t>боты мотора в 750 л.с. до 200 час. Испытание М-100 в 860 л.с. и доведение в этой мощности до 100 час. надежности, изготовление нагнетателя, обеспечиваю</w:t>
            </w:r>
            <w:r w:rsidRPr="00E14102">
              <w:rPr>
                <w:color w:val="000000" w:themeColor="text1"/>
                <w:sz w:val="16"/>
                <w:szCs w:val="16"/>
              </w:rPr>
              <w:softHyphen/>
              <w:t>щего мощность в 860 л.с. на высоте.</w:t>
            </w:r>
          </w:p>
        </w:tc>
        <w:tc>
          <w:tcPr>
            <w:tcW w:w="1060" w:type="dxa"/>
          </w:tcPr>
          <w:p w14:paraId="6D8FE6B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1935</w:t>
            </w:r>
          </w:p>
        </w:tc>
        <w:tc>
          <w:tcPr>
            <w:tcW w:w="5078" w:type="dxa"/>
          </w:tcPr>
          <w:p w14:paraId="4493F5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испытаниях М-100 на 860 л.с. После 52 час.работы треснул коленч. вал и малая шестерня редуктора. 25.5.35поставлен на испытания вто</w:t>
            </w:r>
            <w:r w:rsidRPr="00E14102">
              <w:rPr>
                <w:color w:val="000000" w:themeColor="text1"/>
                <w:sz w:val="16"/>
                <w:szCs w:val="16"/>
              </w:rPr>
              <w:softHyphen/>
              <w:t>рой мотор.</w:t>
            </w:r>
          </w:p>
        </w:tc>
      </w:tr>
      <w:tr w:rsidR="00E3599D" w:rsidRPr="00E14102" w14:paraId="42781E86" w14:textId="77777777">
        <w:tc>
          <w:tcPr>
            <w:tcW w:w="1668" w:type="dxa"/>
          </w:tcPr>
          <w:p w14:paraId="667FC31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М-25 (з-д № 19)</w:t>
            </w:r>
          </w:p>
        </w:tc>
        <w:tc>
          <w:tcPr>
            <w:tcW w:w="3402" w:type="dxa"/>
          </w:tcPr>
          <w:p w14:paraId="4E6B439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Форсирование М-25 по обо</w:t>
            </w:r>
            <w:r w:rsidRPr="00E14102">
              <w:rPr>
                <w:color w:val="000000" w:themeColor="text1"/>
                <w:sz w:val="16"/>
                <w:szCs w:val="16"/>
              </w:rPr>
              <w:softHyphen/>
              <w:t>ротам и наддуву (цементированный коленчатый вал, азотированные цилин</w:t>
            </w:r>
            <w:r w:rsidRPr="00E14102">
              <w:rPr>
                <w:color w:val="000000" w:themeColor="text1"/>
                <w:sz w:val="16"/>
                <w:szCs w:val="16"/>
              </w:rPr>
              <w:softHyphen/>
              <w:t>дры, доводка нагнетателя) работа по агрегатам мотора М-25 (приводы к дина</w:t>
            </w:r>
            <w:r w:rsidRPr="00E14102">
              <w:rPr>
                <w:color w:val="000000" w:themeColor="text1"/>
                <w:sz w:val="16"/>
                <w:szCs w:val="16"/>
              </w:rPr>
              <w:softHyphen/>
              <w:t>мо, воздушный самопуск), работы по устранению де</w:t>
            </w:r>
            <w:r w:rsidRPr="00E14102">
              <w:rPr>
                <w:color w:val="000000" w:themeColor="text1"/>
                <w:sz w:val="16"/>
                <w:szCs w:val="16"/>
              </w:rPr>
              <w:softHyphen/>
              <w:t>фектов М-25.</w:t>
            </w:r>
          </w:p>
        </w:tc>
        <w:tc>
          <w:tcPr>
            <w:tcW w:w="1060" w:type="dxa"/>
          </w:tcPr>
          <w:p w14:paraId="040D88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1935</w:t>
            </w:r>
          </w:p>
        </w:tc>
        <w:tc>
          <w:tcPr>
            <w:tcW w:w="5078" w:type="dxa"/>
          </w:tcPr>
          <w:p w14:paraId="1643CF6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Ведутся проектные работы.</w:t>
            </w:r>
          </w:p>
        </w:tc>
      </w:tr>
      <w:tr w:rsidR="00E3599D" w:rsidRPr="00E14102" w14:paraId="1751617A" w14:textId="77777777">
        <w:tc>
          <w:tcPr>
            <w:tcW w:w="11208" w:type="dxa"/>
            <w:gridSpan w:val="4"/>
          </w:tcPr>
          <w:p w14:paraId="1537C37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Доводки моторов</w:t>
            </w:r>
          </w:p>
        </w:tc>
      </w:tr>
      <w:tr w:rsidR="00E3599D" w:rsidRPr="00E14102" w14:paraId="6190B604" w14:textId="77777777">
        <w:tc>
          <w:tcPr>
            <w:tcW w:w="1668" w:type="dxa"/>
          </w:tcPr>
          <w:p w14:paraId="28154B3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М-56 (ЦИАМ)</w:t>
            </w:r>
          </w:p>
        </w:tc>
        <w:tc>
          <w:tcPr>
            <w:tcW w:w="3402" w:type="dxa"/>
          </w:tcPr>
          <w:p w14:paraId="53F3DB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Двухрядная звезда, миним. мощность - 700 л.с./3500, вес 450 кгр., расход горючего - 280 гр.на л/с .ч.</w:t>
            </w:r>
          </w:p>
        </w:tc>
        <w:tc>
          <w:tcPr>
            <w:tcW w:w="1060" w:type="dxa"/>
          </w:tcPr>
          <w:p w14:paraId="4D4A822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1.1Х.35.</w:t>
            </w:r>
          </w:p>
        </w:tc>
        <w:tc>
          <w:tcPr>
            <w:tcW w:w="5078" w:type="dxa"/>
          </w:tcPr>
          <w:p w14:paraId="3E6FC9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Сведений нет.</w:t>
            </w:r>
          </w:p>
        </w:tc>
      </w:tr>
      <w:tr w:rsidR="00E3599D" w:rsidRPr="00E14102" w14:paraId="452EAD3C" w14:textId="77777777">
        <w:tc>
          <w:tcPr>
            <w:tcW w:w="1668" w:type="dxa"/>
          </w:tcPr>
          <w:p w14:paraId="07A3A4D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М-58Н (зав. № 29)</w:t>
            </w:r>
          </w:p>
        </w:tc>
        <w:tc>
          <w:tcPr>
            <w:tcW w:w="3402" w:type="dxa"/>
          </w:tcPr>
          <w:p w14:paraId="2BF7FA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630-690 л.с., вес 440-500 кгр., расход го</w:t>
            </w:r>
            <w:r w:rsidRPr="00E14102">
              <w:rPr>
                <w:color w:val="000000" w:themeColor="text1"/>
                <w:sz w:val="16"/>
                <w:szCs w:val="16"/>
              </w:rPr>
              <w:softHyphen/>
              <w:t>рючего - 270 гр.на л/с.ч.</w:t>
            </w:r>
          </w:p>
        </w:tc>
        <w:tc>
          <w:tcPr>
            <w:tcW w:w="1060" w:type="dxa"/>
          </w:tcPr>
          <w:p w14:paraId="6344F5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1.УП.35.</w:t>
            </w:r>
          </w:p>
        </w:tc>
        <w:tc>
          <w:tcPr>
            <w:tcW w:w="5078" w:type="dxa"/>
          </w:tcPr>
          <w:p w14:paraId="67806E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 прошел завод. испыта</w:t>
            </w:r>
            <w:r w:rsidRPr="00E14102">
              <w:rPr>
                <w:color w:val="000000" w:themeColor="text1"/>
                <w:sz w:val="16"/>
                <w:szCs w:val="16"/>
              </w:rPr>
              <w:softHyphen/>
              <w:t>ния и 15.5.35 г. Пред'явлен на госуд. испытания с высотностью в 4.000 мтр.</w:t>
            </w:r>
          </w:p>
        </w:tc>
      </w:tr>
      <w:tr w:rsidR="00E3599D" w:rsidRPr="00E14102" w14:paraId="7FD14660" w14:textId="77777777">
        <w:tc>
          <w:tcPr>
            <w:tcW w:w="1668" w:type="dxa"/>
          </w:tcPr>
          <w:p w14:paraId="2AB8C20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МГ-31 и МГ-48 (ГУГВФ)</w:t>
            </w:r>
          </w:p>
        </w:tc>
        <w:tc>
          <w:tcPr>
            <w:tcW w:w="3402" w:type="dxa"/>
          </w:tcPr>
          <w:p w14:paraId="0CF810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Семья маломощных моторов в 100, 200 и 300 нр (МГ-11, МГ-21, МГ-31).</w:t>
            </w:r>
          </w:p>
        </w:tc>
        <w:tc>
          <w:tcPr>
            <w:tcW w:w="1060" w:type="dxa"/>
          </w:tcPr>
          <w:p w14:paraId="23AC8A7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1.1Х.35.</w:t>
            </w:r>
          </w:p>
        </w:tc>
        <w:tc>
          <w:tcPr>
            <w:tcW w:w="5078" w:type="dxa"/>
          </w:tcPr>
          <w:p w14:paraId="2D49B5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 находятся на заводск испытаниях и к 1 августа передаются на гос. испытан.</w:t>
            </w:r>
          </w:p>
        </w:tc>
      </w:tr>
      <w:tr w:rsidR="00E3599D" w:rsidRPr="00E14102" w14:paraId="15384AF8" w14:textId="77777777">
        <w:tc>
          <w:tcPr>
            <w:tcW w:w="1668" w:type="dxa"/>
          </w:tcPr>
          <w:p w14:paraId="1A85D23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М-44 (ЦИАМ)</w:t>
            </w:r>
          </w:p>
        </w:tc>
        <w:tc>
          <w:tcPr>
            <w:tcW w:w="3402" w:type="dxa"/>
          </w:tcPr>
          <w:p w14:paraId="1ADDDC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Мощный бензинов. мотор в 2000 нр, вес-1600 кгр., рас</w:t>
            </w:r>
            <w:r w:rsidRPr="00E14102">
              <w:rPr>
                <w:color w:val="000000" w:themeColor="text1"/>
                <w:sz w:val="16"/>
                <w:szCs w:val="16"/>
              </w:rPr>
              <w:softHyphen/>
              <w:t>ход горючего 250 гр.на л/с .ч.</w:t>
            </w:r>
          </w:p>
        </w:tc>
        <w:tc>
          <w:tcPr>
            <w:tcW w:w="1060" w:type="dxa"/>
          </w:tcPr>
          <w:p w14:paraId="4C536D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1.1.36.</w:t>
            </w:r>
          </w:p>
        </w:tc>
        <w:tc>
          <w:tcPr>
            <w:tcW w:w="5078" w:type="dxa"/>
          </w:tcPr>
          <w:p w14:paraId="37A377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Агрегаты морского варианта сданы в производство. Мотор № 1 будет собран к 1 августа с.г.</w:t>
            </w:r>
          </w:p>
        </w:tc>
      </w:tr>
      <w:tr w:rsidR="00E3599D" w:rsidRPr="00E14102" w14:paraId="532C7B54" w14:textId="77777777">
        <w:tc>
          <w:tcPr>
            <w:tcW w:w="11208" w:type="dxa"/>
            <w:gridSpan w:val="4"/>
          </w:tcPr>
          <w:p w14:paraId="2BA0CED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Новые агрегаты</w:t>
            </w:r>
          </w:p>
        </w:tc>
      </w:tr>
      <w:tr w:rsidR="00E3599D" w:rsidRPr="00E14102" w14:paraId="7D8F7D02" w14:textId="77777777">
        <w:tc>
          <w:tcPr>
            <w:tcW w:w="1668" w:type="dxa"/>
          </w:tcPr>
          <w:p w14:paraId="6C84223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ВИШ (з-д № 28, ЦАГИ, ЦИАМ)</w:t>
            </w:r>
          </w:p>
        </w:tc>
        <w:tc>
          <w:tcPr>
            <w:tcW w:w="3402" w:type="dxa"/>
          </w:tcPr>
          <w:p w14:paraId="2420F2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Винты переменного шага 7 типов.</w:t>
            </w:r>
          </w:p>
        </w:tc>
        <w:tc>
          <w:tcPr>
            <w:tcW w:w="1060" w:type="dxa"/>
          </w:tcPr>
          <w:p w14:paraId="1F10122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1.ХП.35.</w:t>
            </w:r>
          </w:p>
        </w:tc>
        <w:tc>
          <w:tcPr>
            <w:tcW w:w="5078" w:type="dxa"/>
          </w:tcPr>
          <w:p w14:paraId="4695D8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Находятся в производстве 3 экземпляра для М-34ФРН и к нему же 2 ВИШ-Э-2 (с электроприводом). Изготов</w:t>
            </w:r>
            <w:r w:rsidRPr="00E14102">
              <w:rPr>
                <w:color w:val="000000" w:themeColor="text1"/>
                <w:sz w:val="16"/>
                <w:szCs w:val="16"/>
              </w:rPr>
              <w:softHyphen/>
              <w:t>лен один ВИШ для М-25 и пред'является на гос. испы</w:t>
            </w:r>
            <w:r w:rsidRPr="00E14102">
              <w:rPr>
                <w:color w:val="000000" w:themeColor="text1"/>
                <w:sz w:val="16"/>
                <w:szCs w:val="16"/>
              </w:rPr>
              <w:softHyphen/>
              <w:t>тания.</w:t>
            </w:r>
          </w:p>
        </w:tc>
      </w:tr>
      <w:tr w:rsidR="00E3599D" w:rsidRPr="00E14102" w14:paraId="10090641" w14:textId="77777777">
        <w:tc>
          <w:tcPr>
            <w:tcW w:w="1668" w:type="dxa"/>
          </w:tcPr>
          <w:p w14:paraId="04BBBEB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М-34 (ЦИАМ)</w:t>
            </w:r>
          </w:p>
        </w:tc>
        <w:tc>
          <w:tcPr>
            <w:tcW w:w="3402" w:type="dxa"/>
          </w:tcPr>
          <w:p w14:paraId="318F8E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Перевод на непосредств. Вспрыск мотора М-34.</w:t>
            </w:r>
          </w:p>
        </w:tc>
        <w:tc>
          <w:tcPr>
            <w:tcW w:w="1060" w:type="dxa"/>
          </w:tcPr>
          <w:p w14:paraId="6B477FF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1.1.36.</w:t>
            </w:r>
          </w:p>
        </w:tc>
        <w:tc>
          <w:tcPr>
            <w:tcW w:w="5078" w:type="dxa"/>
          </w:tcPr>
          <w:p w14:paraId="310460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Произведены испытания форсунок для непосредствен. вспрыска, давшие положит. результат. Форсунки и насос сданы в производство.</w:t>
            </w:r>
          </w:p>
        </w:tc>
      </w:tr>
      <w:tr w:rsidR="00E3599D" w:rsidRPr="00E14102" w14:paraId="5F603BEB" w14:textId="77777777">
        <w:tc>
          <w:tcPr>
            <w:tcW w:w="1668" w:type="dxa"/>
          </w:tcPr>
          <w:p w14:paraId="45419E4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М-34 (ЦИАМ)</w:t>
            </w:r>
          </w:p>
        </w:tc>
        <w:tc>
          <w:tcPr>
            <w:tcW w:w="3402" w:type="dxa"/>
          </w:tcPr>
          <w:p w14:paraId="016168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Турбокомпрессор к мотору М-34 до высоты в 8.500 м.</w:t>
            </w:r>
          </w:p>
        </w:tc>
        <w:tc>
          <w:tcPr>
            <w:tcW w:w="1060" w:type="dxa"/>
          </w:tcPr>
          <w:p w14:paraId="10F0E42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1.1.36</w:t>
            </w:r>
          </w:p>
        </w:tc>
        <w:tc>
          <w:tcPr>
            <w:tcW w:w="5078" w:type="dxa"/>
          </w:tcPr>
          <w:p w14:paraId="046CDC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Ведутся эксперимент. работы и испытания турбокомпрессора конструкции ЦИАМа.</w:t>
            </w:r>
          </w:p>
        </w:tc>
      </w:tr>
      <w:tr w:rsidR="00E3599D" w:rsidRPr="00E14102" w14:paraId="5C6127EA" w14:textId="77777777">
        <w:tc>
          <w:tcPr>
            <w:tcW w:w="1668" w:type="dxa"/>
          </w:tcPr>
          <w:p w14:paraId="09E77D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М-34(ЦИАМ)</w:t>
            </w:r>
          </w:p>
        </w:tc>
        <w:tc>
          <w:tcPr>
            <w:tcW w:w="3402" w:type="dxa"/>
          </w:tcPr>
          <w:p w14:paraId="10C57E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Двухступенчатый нагнегатель к мотору М-34 до высоты в 6000 м.</w:t>
            </w:r>
          </w:p>
        </w:tc>
        <w:tc>
          <w:tcPr>
            <w:tcW w:w="1060" w:type="dxa"/>
          </w:tcPr>
          <w:p w14:paraId="03816C3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1.1.36</w:t>
            </w:r>
          </w:p>
        </w:tc>
        <w:tc>
          <w:tcPr>
            <w:tcW w:w="5078" w:type="dxa"/>
          </w:tcPr>
          <w:p w14:paraId="1720B2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Ведутся конструкт. работы. Компановка еще не утверждена.</w:t>
            </w:r>
          </w:p>
        </w:tc>
      </w:tr>
      <w:tr w:rsidR="00E3599D" w:rsidRPr="00E14102" w14:paraId="58778A54" w14:textId="77777777">
        <w:tc>
          <w:tcPr>
            <w:tcW w:w="1668" w:type="dxa"/>
          </w:tcPr>
          <w:p w14:paraId="164530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М-34(ЦИАМ)</w:t>
            </w:r>
          </w:p>
        </w:tc>
        <w:tc>
          <w:tcPr>
            <w:tcW w:w="3402" w:type="dxa"/>
          </w:tcPr>
          <w:p w14:paraId="776629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Перевод на паровое охлаждение мотора М-34.</w:t>
            </w:r>
          </w:p>
        </w:tc>
        <w:tc>
          <w:tcPr>
            <w:tcW w:w="1060" w:type="dxa"/>
          </w:tcPr>
          <w:p w14:paraId="254C94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1.У1.35.</w:t>
            </w:r>
          </w:p>
        </w:tc>
        <w:tc>
          <w:tcPr>
            <w:tcW w:w="5078" w:type="dxa"/>
          </w:tcPr>
          <w:p w14:paraId="05DF09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 испытан на станке и устанавливается на самолет для испытаний в воздухе.</w:t>
            </w:r>
          </w:p>
        </w:tc>
      </w:tr>
      <w:tr w:rsidR="00E3599D" w:rsidRPr="00E14102" w14:paraId="2E937DAA" w14:textId="77777777">
        <w:tc>
          <w:tcPr>
            <w:tcW w:w="1668" w:type="dxa"/>
          </w:tcPr>
          <w:p w14:paraId="7D02AC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М-100 (ЦИАМ)</w:t>
            </w:r>
          </w:p>
        </w:tc>
        <w:tc>
          <w:tcPr>
            <w:tcW w:w="3402" w:type="dxa"/>
          </w:tcPr>
          <w:p w14:paraId="6A9811F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Тоже по мотору М-100</w:t>
            </w:r>
          </w:p>
        </w:tc>
        <w:tc>
          <w:tcPr>
            <w:tcW w:w="1060" w:type="dxa"/>
          </w:tcPr>
          <w:p w14:paraId="66F6C37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1.Х.35</w:t>
            </w:r>
          </w:p>
        </w:tc>
        <w:tc>
          <w:tcPr>
            <w:tcW w:w="5078" w:type="dxa"/>
          </w:tcPr>
          <w:p w14:paraId="23B695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Продолжаются лабораторные испытания. Изготавливаются аггрегаты для испытания и установки на самолете.</w:t>
            </w:r>
          </w:p>
        </w:tc>
      </w:tr>
      <w:tr w:rsidR="00E3599D" w:rsidRPr="00E14102" w14:paraId="75C7997D" w14:textId="77777777">
        <w:tc>
          <w:tcPr>
            <w:tcW w:w="1668" w:type="dxa"/>
            <w:tcBorders>
              <w:bottom w:val="single" w:sz="12" w:space="0" w:color="auto"/>
            </w:tcBorders>
          </w:tcPr>
          <w:p w14:paraId="6B48B4E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М-34 (ЦИАМ)</w:t>
            </w:r>
          </w:p>
        </w:tc>
        <w:tc>
          <w:tcPr>
            <w:tcW w:w="3402" w:type="dxa"/>
            <w:tcBorders>
              <w:bottom w:val="single" w:sz="12" w:space="0" w:color="auto"/>
            </w:tcBorders>
          </w:tcPr>
          <w:p w14:paraId="5F4FF8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Перевод мотора М-34 на водородное топливо</w:t>
            </w:r>
          </w:p>
        </w:tc>
        <w:tc>
          <w:tcPr>
            <w:tcW w:w="1060" w:type="dxa"/>
            <w:tcBorders>
              <w:bottom w:val="single" w:sz="12" w:space="0" w:color="auto"/>
            </w:tcBorders>
          </w:tcPr>
          <w:p w14:paraId="19FFFB5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1.1.36</w:t>
            </w:r>
          </w:p>
        </w:tc>
        <w:tc>
          <w:tcPr>
            <w:tcW w:w="5078" w:type="dxa"/>
            <w:tcBorders>
              <w:bottom w:val="single" w:sz="12" w:space="0" w:color="auto"/>
            </w:tcBorders>
          </w:tcPr>
          <w:p w14:paraId="0C5A0D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Эксперимент. установка выполнена. Строятся помещения для хранения водородных баллонов.</w:t>
            </w:r>
          </w:p>
        </w:tc>
      </w:tr>
    </w:tbl>
    <w:p w14:paraId="05584F7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(3517,8)</w:t>
      </w:r>
    </w:p>
    <w:p w14:paraId="27EE4AA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44601AE" w14:textId="77777777" w:rsidR="00E367EA" w:rsidRPr="00E14102" w:rsidRDefault="00E367EA"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CBB5331" w14:textId="77777777" w:rsidR="00E367EA" w:rsidRPr="00E14102" w:rsidRDefault="00E367EA" w:rsidP="00E14102">
      <w:pPr>
        <w:autoSpaceDE w:val="0"/>
        <w:autoSpaceDN w:val="0"/>
        <w:adjustRightInd w:val="0"/>
        <w:jc w:val="both"/>
        <w:rPr>
          <w:iCs/>
          <w:color w:val="000000" w:themeColor="text1"/>
          <w:sz w:val="16"/>
          <w:szCs w:val="16"/>
        </w:rPr>
      </w:pPr>
    </w:p>
    <w:p w14:paraId="3CF12A3A" w14:textId="77777777" w:rsidR="00E367EA" w:rsidRPr="00E14102" w:rsidRDefault="00E367EA" w:rsidP="00E14102">
      <w:pPr>
        <w:jc w:val="both"/>
        <w:rPr>
          <w:color w:val="0070C0"/>
          <w:sz w:val="16"/>
          <w:szCs w:val="16"/>
        </w:rPr>
      </w:pPr>
      <w:r w:rsidRPr="00E14102">
        <w:rPr>
          <w:color w:val="0070C0"/>
          <w:sz w:val="16"/>
          <w:szCs w:val="16"/>
        </w:rPr>
        <w:t>В середине июня 1935 г. после вне</w:t>
      </w:r>
      <w:r w:rsidRPr="00E14102">
        <w:rPr>
          <w:color w:val="0070C0"/>
          <w:sz w:val="16"/>
          <w:szCs w:val="16"/>
        </w:rPr>
        <w:softHyphen/>
        <w:t>сения изменений (для устранения частого забивания охладителей была изменена их установка. Грубый центробежный очиститель газа был поставлен перед охладителем, а не после него, как было сделано у автомобиля, участвовавшего в пробеге 1934, газогене</w:t>
      </w:r>
      <w:r w:rsidRPr="00E14102">
        <w:rPr>
          <w:color w:val="0070C0"/>
          <w:sz w:val="16"/>
          <w:szCs w:val="16"/>
        </w:rPr>
        <w:softHyphen/>
        <w:t>раторный грузовик совершил дальний пробег из Мос</w:t>
      </w:r>
      <w:r w:rsidRPr="00E14102">
        <w:rPr>
          <w:color w:val="0070C0"/>
          <w:sz w:val="16"/>
          <w:szCs w:val="16"/>
        </w:rPr>
        <w:softHyphen/>
        <w:t>квы до Ростова-на-Дону. Этот исключительный по своей интенсивности пробег машина прошла в тече</w:t>
      </w:r>
      <w:r w:rsidRPr="00E14102">
        <w:rPr>
          <w:color w:val="0070C0"/>
          <w:sz w:val="16"/>
          <w:szCs w:val="16"/>
        </w:rPr>
        <w:softHyphen/>
        <w:t>ние 40 часов 50 минут, покрыв расстояние в 1267 км. Грузовик находился в движении 37 часов и имел все</w:t>
      </w:r>
      <w:r w:rsidRPr="00E14102">
        <w:rPr>
          <w:color w:val="0070C0"/>
          <w:sz w:val="16"/>
          <w:szCs w:val="16"/>
        </w:rPr>
        <w:softHyphen/>
        <w:t>го 3 часа 50 минут простоев. Весь путь был пройден со средней технической скоростью 34,2 км/ч с коле</w:t>
      </w:r>
      <w:r w:rsidRPr="00E14102">
        <w:rPr>
          <w:color w:val="0070C0"/>
          <w:sz w:val="16"/>
          <w:szCs w:val="16"/>
        </w:rPr>
        <w:softHyphen/>
        <w:t>баниями на отдельных участках от 28,1 до 42,3 км/ч. При средней загрузке 1 300 кг грузовик израсходовал 600 кг чурок или 47,4 кг на 100 км пробега (22518).</w:t>
      </w:r>
    </w:p>
    <w:p w14:paraId="0AEDC02D" w14:textId="77777777" w:rsidR="00E367EA" w:rsidRPr="00E14102" w:rsidRDefault="00E367EA" w:rsidP="00E14102">
      <w:pPr>
        <w:jc w:val="both"/>
        <w:rPr>
          <w:color w:val="0070C0"/>
          <w:sz w:val="16"/>
          <w:szCs w:val="16"/>
        </w:rPr>
      </w:pPr>
    </w:p>
    <w:p w14:paraId="7BB28CC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BCFC3A1" w14:textId="77777777" w:rsidR="00D4105E" w:rsidRPr="00E14102" w:rsidRDefault="00D4105E" w:rsidP="00E14102">
      <w:pPr>
        <w:autoSpaceDE w:val="0"/>
        <w:autoSpaceDN w:val="0"/>
        <w:adjustRightInd w:val="0"/>
        <w:jc w:val="both"/>
        <w:rPr>
          <w:iCs/>
          <w:color w:val="000000" w:themeColor="text1"/>
          <w:sz w:val="16"/>
          <w:szCs w:val="16"/>
        </w:rPr>
      </w:pPr>
    </w:p>
    <w:p w14:paraId="3C90AB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июня 1935 г. СБ 2ИС снова передали в НИИ ВВС КА для проведения второго этапа государственных испытаний. Проводил их экипаж Миндера. Была зафиксирована максимальная скорость полета 404 км/ч на высоте 5000 м. Самолет показал хорошую скороподъемность и достаточно большой практический потолок. Но вместе с тем в отчете об испытаниях отмечались такие недостатки, как: недоведенность моторной установки, недостаточная продольная и поперечная устойчивость, тенденция появления крена при наборе скорости. Верхняя турель вследствие недостаточной жесткости давала большое рассеивание пуль при стрельбе. Обнаружились вибрации подмоторной рамы, передававшиеся на элементы конструкции планера. Существенными были и эксплуатационные недостатки самолета.</w:t>
      </w:r>
    </w:p>
    <w:p w14:paraId="150CD6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этим причинам самолет госиспытания не прошел, и его 18 июля вернули в ЦАГИ для очередных доработок (9501).</w:t>
      </w:r>
    </w:p>
    <w:p w14:paraId="28929F27" w14:textId="77777777" w:rsidR="00D4105E" w:rsidRPr="00E14102" w:rsidRDefault="00D4105E" w:rsidP="00E14102">
      <w:pPr>
        <w:autoSpaceDE w:val="0"/>
        <w:autoSpaceDN w:val="0"/>
        <w:adjustRightInd w:val="0"/>
        <w:jc w:val="both"/>
        <w:rPr>
          <w:color w:val="000000" w:themeColor="text1"/>
          <w:sz w:val="16"/>
          <w:szCs w:val="16"/>
        </w:rPr>
      </w:pPr>
    </w:p>
    <w:p w14:paraId="1BF06B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июня 1935 г. СБ-2ИС вновь сдали НИИ ВВС. Летал опять экипаж Миндера. Самолет испытывался на колесах и зафиксированная максимальная скорость дошла до 404 км/ч на высоте 5000 м. Бомбардировщик показал хорошую скороподъемность, большой практический потолок. Но вместе с тем в отчете об испытаниях отметили недоведенность мотоустановки, недостаточную продольную и поперечную устойчивость, тенденцию накреняться при наборе скорости. Верхняя турель была установлена нежестко, давая большой разброс пуль при стрельбе. Обнаружились вибрации подмоторной рамы, передававшиеся конструкции планера. А различные неудобства эксплуатационного свойства составили длинный-предлинный список. Желание предельно ужать мидель машины привело к очень плотной компоновке агрегатов и затрудненности доступа ко многим из них (7643).</w:t>
      </w:r>
    </w:p>
    <w:p w14:paraId="715E4F90" w14:textId="77777777" w:rsidR="00D4105E" w:rsidRPr="00E14102" w:rsidRDefault="00D4105E" w:rsidP="00E14102">
      <w:pPr>
        <w:autoSpaceDE w:val="0"/>
        <w:autoSpaceDN w:val="0"/>
        <w:adjustRightInd w:val="0"/>
        <w:jc w:val="both"/>
        <w:rPr>
          <w:color w:val="000000" w:themeColor="text1"/>
          <w:sz w:val="16"/>
          <w:szCs w:val="16"/>
        </w:rPr>
      </w:pPr>
    </w:p>
    <w:p w14:paraId="4A1F31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 16 июня по 17 июля 1935 года проходил второй этап госиспытаний АНТ-40ИС. Самолет летал с убранным колесным шасси, на высоте 4000 м удалось приблизиться к скорости 400 км/ч, на высоте 5000 м максимальная скорость составила 404 км/ч. Успех наращивался медленно, кроме того, в ответ на достижения появились серьезные претензии летчиков к устойчивости и управляемости в полете. В результате, АНТ-40ИС в очередной раз подвергся изменениям, на. сей раз значительным.</w:t>
      </w:r>
    </w:p>
    <w:p w14:paraId="29ABEB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Двигатели "Испано-Сюиза" передвинули вперед на 100 мм, стреловидность отъемных частей крыла по передней кромке увеличили с 4,5° до 9° , увеличили площадь оперения, установили аэродинамическую роговую компенсацию на рулях высоты, триммер на правом элероне. В таком виде машина проходила очередной этап госиспытаний до 14 февраля 1936 г., при этом была получена максимальная скорость 418 км/ч на высоте 5300 м. Похоже, настойчивая годовая эпопея доводок и улучшений давала свои результаты, бомбардировщик действительно получался скоростным.</w:t>
      </w:r>
    </w:p>
    <w:p w14:paraId="436E7A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Отмечалась его тактическая независимость, то есть возможность достигать цели атаки самостоятельно, без сопровождения истребителей. Среди прочего указывалось, что самолет способен продолжать горизонтальный полет на одном моторе до высоты 5000 метров.</w:t>
      </w:r>
    </w:p>
    <w:p w14:paraId="005314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Обычно считается, что после всех внесенных изменений и проведенных испытаний второй опытный экземпляр АНТ-40ИС предоставили авиазаводу №22 в качестве образца - эталона для серийного производства. Автору предлагаемого материала этот факт кажется сомнительным. Дело в том, что и первый и второй экземпляры машины имели в сечении своих крыльев аэродинамический профиль АНТ-6, разработанный в ЦАГИ. В июле-августе 1935 г. на родину из США вернулась советская делегация, в составе которой находились А.Н.Туполев и А.А.Архангельский. Среди прочих заграничных приобретений значились аэродинамические профили NASA серии 230 (в реальном выражении представляли собой математические таблицы для построения этих про филей и их аэродинамические параметры). Анализ показывал, что NASA-230 обладает более эффективными характеристиками, чем отечественный АНТ-6. "Американца" решили поставить на СБ, профиль получил обозначение ЦАГИ-40. Так как применение профиля ЦАГИ-40 вело к значительным изменениям крыла, вполне вероятно, что построили еше одну - третью опытную машину, не отображенную в официальных документах и переписке. Что касается первых двух опытных экземпляров, то 1 мая 1936 г. АНТ-40РЦ и АНТ-40ИС приняли участие в традиционном пролете над Красной площадью. Первые серийные СБ в это время уже приступили к испытаниям в войсках (12027).</w:t>
      </w:r>
    </w:p>
    <w:p w14:paraId="0E484223" w14:textId="77777777" w:rsidR="00D4105E" w:rsidRPr="00E14102" w:rsidRDefault="00D4105E" w:rsidP="00E14102">
      <w:pPr>
        <w:autoSpaceDE w:val="0"/>
        <w:autoSpaceDN w:val="0"/>
        <w:adjustRightInd w:val="0"/>
        <w:jc w:val="both"/>
        <w:rPr>
          <w:color w:val="000000" w:themeColor="text1"/>
          <w:sz w:val="16"/>
          <w:szCs w:val="16"/>
        </w:rPr>
      </w:pPr>
    </w:p>
    <w:p w14:paraId="051DF530" w14:textId="77777777" w:rsidR="0067434C" w:rsidRPr="00E14102" w:rsidRDefault="0067434C" w:rsidP="00E14102">
      <w:pPr>
        <w:jc w:val="both"/>
        <w:rPr>
          <w:color w:val="000000" w:themeColor="text1"/>
          <w:sz w:val="16"/>
          <w:szCs w:val="16"/>
        </w:rPr>
      </w:pPr>
      <w:r w:rsidRPr="00E14102">
        <w:rPr>
          <w:bCs/>
          <w:color w:val="000000" w:themeColor="text1"/>
          <w:sz w:val="16"/>
          <w:szCs w:val="16"/>
        </w:rPr>
        <w:t>16 июня</w:t>
      </w:r>
      <w:r w:rsidRPr="00E14102">
        <w:rPr>
          <w:color w:val="000000" w:themeColor="text1"/>
          <w:sz w:val="16"/>
          <w:szCs w:val="16"/>
        </w:rPr>
        <w:t xml:space="preserve"> в 1935 году начались заводские испытания дальнего бомбардировщика </w:t>
      </w:r>
      <w:hyperlink r:id="rId126" w:tgtFrame="_blank" w:history="1">
        <w:r w:rsidRPr="00E14102">
          <w:rPr>
            <w:color w:val="000000" w:themeColor="text1"/>
            <w:sz w:val="16"/>
            <w:szCs w:val="16"/>
          </w:rPr>
          <w:t xml:space="preserve">«АНТ-37» («ДБ-2»), </w:t>
        </w:r>
      </w:hyperlink>
      <w:r w:rsidRPr="00E14102">
        <w:rPr>
          <w:color w:val="000000" w:themeColor="text1"/>
          <w:sz w:val="16"/>
          <w:szCs w:val="16"/>
        </w:rPr>
        <w:t>оснащенного двумя звездообразными двигателями «М-85» (копия французского «Gnome-Rhone» «14K») мощностью 800 л.с., летчик-испытатель К.К.Попов и ведущий инженер М.М.Егоров (14924).</w:t>
      </w:r>
    </w:p>
    <w:p w14:paraId="6953E452" w14:textId="77777777" w:rsidR="0067434C" w:rsidRPr="00E14102" w:rsidRDefault="0067434C" w:rsidP="00E14102">
      <w:pPr>
        <w:jc w:val="both"/>
        <w:rPr>
          <w:color w:val="000000" w:themeColor="text1"/>
          <w:sz w:val="16"/>
          <w:szCs w:val="16"/>
        </w:rPr>
      </w:pPr>
    </w:p>
    <w:p w14:paraId="526AFE6D" w14:textId="77777777" w:rsidR="0067434C" w:rsidRPr="00E14102" w:rsidRDefault="0067434C"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16 июня 1935 самолет ДБ-2 был вывезен на аэродром и начались заводские испытания, которые проводили летчик-испытатель К.</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К. Попов и ведущий инженер М.</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 Егоров. 15 июля заводские испытания заканчиваются и опытный самолет передается на государственные испытания. 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E14102">
        <w:rPr>
          <w:rFonts w:ascii="Times New Roman" w:hAnsi="Times New Roman" w:cs="Times New Roman"/>
          <w:color w:val="000000" w:themeColor="text1"/>
          <w:sz w:val="16"/>
          <w:szCs w:val="16"/>
          <w:lang w:val="ru-RU"/>
        </w:rPr>
        <w:softHyphen/>
        <w:t>ва</w:t>
      </w:r>
      <w:r w:rsidRPr="00E14102">
        <w:rPr>
          <w:rFonts w:ascii="Times New Roman" w:hAnsi="Times New Roman" w:cs="Times New Roman"/>
          <w:color w:val="000000" w:themeColor="text1"/>
          <w:sz w:val="16"/>
          <w:szCs w:val="16"/>
          <w:lang w:val="ru-RU"/>
        </w:rPr>
        <w:softHyphen/>
        <w:t>тель</w:t>
      </w:r>
      <w:r w:rsidRPr="00E14102">
        <w:rPr>
          <w:rFonts w:ascii="Times New Roman" w:hAnsi="Times New Roman" w:cs="Times New Roman"/>
          <w:color w:val="000000" w:themeColor="text1"/>
          <w:sz w:val="16"/>
          <w:szCs w:val="16"/>
          <w:lang w:val="ru-RU"/>
        </w:rPr>
        <w:softHyphen/>
        <w:t>ских работ по флаттеру и бафтингу (19185).</w:t>
      </w:r>
    </w:p>
    <w:p w14:paraId="6DAF8971" w14:textId="77777777" w:rsidR="0067434C" w:rsidRPr="00E14102" w:rsidRDefault="0067434C" w:rsidP="00E14102">
      <w:pPr>
        <w:pStyle w:val="rtecenter"/>
        <w:shd w:val="clear" w:color="auto" w:fill="FFFFFF"/>
        <w:spacing w:before="0" w:after="0"/>
        <w:jc w:val="both"/>
        <w:textAlignment w:val="baseline"/>
        <w:rPr>
          <w:color w:val="000000" w:themeColor="text1"/>
          <w:sz w:val="16"/>
          <w:szCs w:val="16"/>
        </w:rPr>
      </w:pPr>
    </w:p>
    <w:p w14:paraId="023898D5" w14:textId="77777777" w:rsidR="0067434C" w:rsidRPr="00E14102" w:rsidRDefault="0067434C" w:rsidP="00E14102">
      <w:pPr>
        <w:jc w:val="both"/>
        <w:rPr>
          <w:color w:val="000000" w:themeColor="text1"/>
          <w:sz w:val="16"/>
          <w:szCs w:val="16"/>
        </w:rPr>
      </w:pPr>
      <w:r w:rsidRPr="00E14102">
        <w:rPr>
          <w:bCs/>
          <w:color w:val="000000" w:themeColor="text1"/>
          <w:sz w:val="16"/>
          <w:szCs w:val="16"/>
        </w:rPr>
        <w:t>16 июня</w:t>
      </w:r>
      <w:r w:rsidRPr="00E14102">
        <w:rPr>
          <w:color w:val="000000" w:themeColor="text1"/>
          <w:sz w:val="16"/>
          <w:szCs w:val="16"/>
        </w:rPr>
        <w:t xml:space="preserve"> в 1935 году </w:t>
      </w:r>
      <w:hyperlink r:id="rId127" w:tgtFrame="_blank" w:history="1">
        <w:r w:rsidRPr="00E14102">
          <w:rPr>
            <w:color w:val="000000" w:themeColor="text1"/>
            <w:sz w:val="16"/>
            <w:szCs w:val="16"/>
          </w:rPr>
          <w:t xml:space="preserve">«СБ- 2» «ИС» </w:t>
        </w:r>
      </w:hyperlink>
      <w:r w:rsidRPr="00E14102">
        <w:rPr>
          <w:color w:val="000000" w:themeColor="text1"/>
          <w:sz w:val="16"/>
          <w:szCs w:val="16"/>
        </w:rPr>
        <w:t>снова передали в НИИ ВВС КА для проведения второго этапа государственных испытаний. Проводил их экипаж Миндера. Была зафиксирована максимальная скорость полета 404 км/ч на высоте 5000 м. Самолет показал хорошую скороподъемность и достаточно большой практический потолок. Но вместе с тем в отчете об испытаниях отмечались такие недостатки, как: недоведенность моторной установки, недостаточная продольная и поперечная устойчивость, тенденция появления крена при наборе скорости. Верхняя турель вследствие недостаточной жесткости давала большое рассеивание пуль при стрельбе. Обнаружились вибрации подмоторной рамы, передававшиеся на элементы конструкции планера. Существенными были и эксплуатационные недостатки самолета. По этим причинам самолет госиспытания не прошел, и его 18 июля вернули в ЦАГИ для очередных доработок (14924).</w:t>
      </w:r>
    </w:p>
    <w:p w14:paraId="504BE2B1" w14:textId="77777777" w:rsidR="0067434C" w:rsidRPr="00E14102" w:rsidRDefault="0067434C" w:rsidP="00E14102">
      <w:pPr>
        <w:jc w:val="both"/>
        <w:rPr>
          <w:color w:val="000000" w:themeColor="text1"/>
          <w:sz w:val="16"/>
          <w:szCs w:val="16"/>
        </w:rPr>
      </w:pPr>
    </w:p>
    <w:p w14:paraId="578BBD44" w14:textId="77777777" w:rsidR="00F25FD8" w:rsidRPr="00E14102" w:rsidRDefault="00F25FD8" w:rsidP="00E14102">
      <w:pPr>
        <w:jc w:val="both"/>
        <w:rPr>
          <w:color w:val="0070C0"/>
          <w:sz w:val="16"/>
          <w:szCs w:val="16"/>
        </w:rPr>
      </w:pPr>
      <w:r w:rsidRPr="00E14102">
        <w:rPr>
          <w:color w:val="0070C0"/>
          <w:sz w:val="16"/>
          <w:szCs w:val="16"/>
        </w:rPr>
        <w:t>16 июня 1935 Х.Я. Зилле и Ю.Г. Прилуцкий под</w:t>
      </w:r>
      <w:r w:rsidRPr="00E14102">
        <w:rPr>
          <w:color w:val="0070C0"/>
          <w:sz w:val="16"/>
          <w:szCs w:val="16"/>
        </w:rPr>
        <w:softHyphen/>
        <w:t>нялись на высоту 8500 м, а 19 июня — на высоту 10500м (20120).</w:t>
      </w:r>
    </w:p>
    <w:p w14:paraId="26E8C3E1" w14:textId="77777777" w:rsidR="00F25FD8" w:rsidRPr="00E14102" w:rsidRDefault="00F25FD8" w:rsidP="00E14102">
      <w:pPr>
        <w:jc w:val="both"/>
        <w:rPr>
          <w:color w:val="0070C0"/>
          <w:sz w:val="16"/>
          <w:szCs w:val="16"/>
        </w:rPr>
      </w:pPr>
    </w:p>
    <w:p w14:paraId="0A448CCE" w14:textId="77777777" w:rsidR="0067434C" w:rsidRPr="00E14102" w:rsidRDefault="0067434C"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2DA5F8E" w14:textId="77777777" w:rsidR="0067434C" w:rsidRPr="00E14102" w:rsidRDefault="0067434C" w:rsidP="00E14102">
      <w:pPr>
        <w:autoSpaceDE w:val="0"/>
        <w:autoSpaceDN w:val="0"/>
        <w:adjustRightInd w:val="0"/>
        <w:jc w:val="both"/>
        <w:rPr>
          <w:iCs/>
          <w:color w:val="000000" w:themeColor="text1"/>
          <w:sz w:val="16"/>
          <w:szCs w:val="16"/>
        </w:rPr>
      </w:pPr>
    </w:p>
    <w:p w14:paraId="0E907E37" w14:textId="77777777" w:rsidR="0067434C" w:rsidRPr="00E14102" w:rsidRDefault="0067434C" w:rsidP="00E14102">
      <w:pPr>
        <w:jc w:val="both"/>
        <w:rPr>
          <w:color w:val="000000" w:themeColor="text1"/>
          <w:sz w:val="16"/>
          <w:szCs w:val="16"/>
        </w:rPr>
      </w:pPr>
      <w:r w:rsidRPr="00E14102">
        <w:rPr>
          <w:color w:val="000000" w:themeColor="text1"/>
          <w:sz w:val="16"/>
          <w:szCs w:val="16"/>
        </w:rPr>
        <w:t>16 июня 1935 г.</w:t>
      </w:r>
    </w:p>
    <w:p w14:paraId="5846BD3A" w14:textId="77777777" w:rsidR="0067434C" w:rsidRPr="00E14102" w:rsidRDefault="0067434C" w:rsidP="00E14102">
      <w:pPr>
        <w:jc w:val="both"/>
        <w:rPr>
          <w:color w:val="000000" w:themeColor="text1"/>
          <w:sz w:val="16"/>
          <w:szCs w:val="16"/>
        </w:rPr>
      </w:pPr>
      <w:r w:rsidRPr="00E14102">
        <w:rPr>
          <w:color w:val="000000" w:themeColor="text1"/>
          <w:sz w:val="16"/>
          <w:szCs w:val="16"/>
        </w:rPr>
        <w:t>Из отчета о работе комиссии Наркомсвязи СССР в США по изучению системы дальней междугородней связи в Америке</w:t>
      </w:r>
    </w:p>
    <w:p w14:paraId="2CD64239" w14:textId="77777777" w:rsidR="0067434C" w:rsidRPr="00E14102" w:rsidRDefault="0067434C" w:rsidP="00E14102">
      <w:pPr>
        <w:jc w:val="both"/>
        <w:rPr>
          <w:color w:val="000000" w:themeColor="text1"/>
          <w:sz w:val="16"/>
          <w:szCs w:val="16"/>
        </w:rPr>
      </w:pPr>
      <w:r w:rsidRPr="00E14102">
        <w:rPr>
          <w:color w:val="000000" w:themeColor="text1"/>
          <w:sz w:val="16"/>
          <w:szCs w:val="16"/>
        </w:rPr>
        <w:t>Ответ на 1-й вопрос: осмотренная нами аппаратура многократного телефонирования, находящаяся в эксплуатации в перечисленных выше усилительных и оконечных пунктах, представляет собою уже известный тип аппаратуры CN; CS и СТ; на три телефонных разговора, занимающий диапазон частот от 5 тыс. до 30 тыс. п/с.</w:t>
      </w:r>
    </w:p>
    <w:p w14:paraId="32B74A9E" w14:textId="77777777" w:rsidR="0067434C" w:rsidRPr="00E14102" w:rsidRDefault="0067434C" w:rsidP="00E14102">
      <w:pPr>
        <w:jc w:val="both"/>
        <w:rPr>
          <w:color w:val="000000" w:themeColor="text1"/>
          <w:sz w:val="16"/>
          <w:szCs w:val="16"/>
        </w:rPr>
      </w:pPr>
      <w:r w:rsidRPr="00E14102">
        <w:rPr>
          <w:color w:val="000000" w:themeColor="text1"/>
          <w:sz w:val="16"/>
          <w:szCs w:val="16"/>
        </w:rPr>
        <w:t>Аппаратуры на большее число телефонных разговоров в эксплуатации мы не видели, а выше перечисленные представители компании заявили, что такой аппаратуры у них нет и в лаборатории. Это заявление, как ниже будет указано, не подтвердилось.</w:t>
      </w:r>
    </w:p>
    <w:p w14:paraId="3CB654EF" w14:textId="77777777" w:rsidR="0067434C" w:rsidRPr="00E14102" w:rsidRDefault="0067434C" w:rsidP="00E14102">
      <w:pPr>
        <w:jc w:val="both"/>
        <w:rPr>
          <w:color w:val="000000" w:themeColor="text1"/>
          <w:sz w:val="16"/>
          <w:szCs w:val="16"/>
        </w:rPr>
      </w:pPr>
      <w:r w:rsidRPr="00E14102">
        <w:rPr>
          <w:color w:val="000000" w:themeColor="text1"/>
          <w:sz w:val="16"/>
          <w:szCs w:val="16"/>
        </w:rPr>
        <w:t>Наблюдения, проведенные нами, за работой аппаратуры, находящейся в эксплуатации на усилительной станции в Ларами и узловой станции Денвер, показывают весьма высокую устойчивость этой работы и высокое качество связи. Аппаратура почти не требует ухода.</w:t>
      </w:r>
    </w:p>
    <w:p w14:paraId="39E51DE1" w14:textId="77777777" w:rsidR="0067434C" w:rsidRPr="00E14102" w:rsidRDefault="0067434C" w:rsidP="00E14102">
      <w:pPr>
        <w:jc w:val="both"/>
        <w:rPr>
          <w:color w:val="000000" w:themeColor="text1"/>
          <w:sz w:val="16"/>
          <w:szCs w:val="16"/>
        </w:rPr>
      </w:pPr>
      <w:r w:rsidRPr="00E14102">
        <w:rPr>
          <w:color w:val="000000" w:themeColor="text1"/>
          <w:sz w:val="16"/>
          <w:szCs w:val="16"/>
        </w:rPr>
        <w:t>Что касается максимально возможной дальности телефонной связи, числа высококачественных трансляций и максимально возможного количества переприемов, то из представленных здесь принципиальных схем** видно, что при первом опыте (фиг. 1), организованном из Нью-Йорка, общая длина телефонной связи, как уже указывалось, равна 10 352 км. При этом от Нью-Йорка до Омахи телефонная связь проходила по 4-проводной системе пупинизированного кабеля, где на протяжении 2160 км установлено 30 4-проводных усилителей тональной частоты. В усилительном пункте Омаха был осуществлен переприем с тональной частоты на высокую. От Омаха до Сакраменто, на протяжении 2800 км, разговор проходил на высокой частоте через 9 усилителей высокой частоты. В Сакраменто разговор переходил снова с высокой частоты на тональную, и далее до Сан-Франциско и обратно до Сакраменто разговор проходил по 4-проводной системе пупинизированного кабеля. На этом протяжении было включено два 4-проводных усилителя тональной частоты. В Сакраменто разговор снова переходил с тональной частоты на высокую и проходил далее до Давенпорта по воздушной линии на протяжении 3424 км через 11 усилителей высокой частоты.</w:t>
      </w:r>
    </w:p>
    <w:p w14:paraId="25B81E67" w14:textId="77777777" w:rsidR="0067434C" w:rsidRPr="00E14102" w:rsidRDefault="0067434C" w:rsidP="00E14102">
      <w:pPr>
        <w:jc w:val="both"/>
        <w:rPr>
          <w:color w:val="000000" w:themeColor="text1"/>
          <w:sz w:val="16"/>
          <w:szCs w:val="16"/>
        </w:rPr>
      </w:pPr>
      <w:r w:rsidRPr="00E14102">
        <w:rPr>
          <w:color w:val="000000" w:themeColor="text1"/>
          <w:sz w:val="16"/>
          <w:szCs w:val="16"/>
        </w:rPr>
        <w:t>В Давенпорте снова разговор переходил с высокой на тональную частоту и проходил до Нью-Йорка по 4-проводной системе пупинизированного кабеля. Здесь на протяжении 1680 км было установлено 24 4-проводных усилителя тональной частоты.</w:t>
      </w:r>
    </w:p>
    <w:p w14:paraId="23730AD8" w14:textId="77777777" w:rsidR="0067434C" w:rsidRPr="00E14102" w:rsidRDefault="0067434C" w:rsidP="00E14102">
      <w:pPr>
        <w:jc w:val="both"/>
        <w:rPr>
          <w:color w:val="000000" w:themeColor="text1"/>
          <w:sz w:val="16"/>
          <w:szCs w:val="16"/>
        </w:rPr>
      </w:pPr>
      <w:r w:rsidRPr="00E14102">
        <w:rPr>
          <w:color w:val="000000" w:themeColor="text1"/>
          <w:sz w:val="16"/>
          <w:szCs w:val="16"/>
        </w:rPr>
        <w:t>Следовательно, из общей длины телефонной связи 10 352 км было пупинизированного кабеля (для тональной частоты) 4-проводной системы 4128 км, воздушной линии 6224 км.</w:t>
      </w:r>
    </w:p>
    <w:p w14:paraId="0F73C781" w14:textId="77777777" w:rsidR="0067434C" w:rsidRPr="00E14102" w:rsidRDefault="0067434C" w:rsidP="00E14102">
      <w:pPr>
        <w:jc w:val="both"/>
        <w:rPr>
          <w:color w:val="000000" w:themeColor="text1"/>
          <w:sz w:val="16"/>
          <w:szCs w:val="16"/>
        </w:rPr>
      </w:pPr>
      <w:r w:rsidRPr="00E14102">
        <w:rPr>
          <w:color w:val="000000" w:themeColor="text1"/>
          <w:sz w:val="16"/>
          <w:szCs w:val="16"/>
        </w:rPr>
        <w:t>На кабеле было установлено 56 усилителей тональной частоты 4-проводной системы, на воздушной линии установлено 20 усилителей высокой частоты. Переприемов с тональной на высокую частоту и обратно - четыре; переходных вилок 4-проводной системы - также четыре. Качество связи, как по слышимости, так и по внятности, было весьма хорошее. Разговор проходил совершенно без помех и без заметных искажений.</w:t>
      </w:r>
    </w:p>
    <w:p w14:paraId="67B95AD4" w14:textId="77777777" w:rsidR="0067434C" w:rsidRPr="00E14102" w:rsidRDefault="0067434C" w:rsidP="00E14102">
      <w:pPr>
        <w:jc w:val="both"/>
        <w:rPr>
          <w:color w:val="000000" w:themeColor="text1"/>
          <w:sz w:val="16"/>
          <w:szCs w:val="16"/>
        </w:rPr>
      </w:pPr>
      <w:r w:rsidRPr="00E14102">
        <w:rPr>
          <w:color w:val="000000" w:themeColor="text1"/>
          <w:sz w:val="16"/>
          <w:szCs w:val="16"/>
        </w:rPr>
        <w:t>При проведении второго опыта телефонная связь проходила по пути, представленному на фиг. 2. Из Чикаго разговор проходил на тональной частоте по пупинизированному кабелю 2-проводной системы до парка Моррель на протяжении 11,2 км. В парке Моррель разговор переходил с тональной частоты на высокую и проходил по воздушной линии до Сакраменто через 12 усилителей высокой частоты на протяжении 3645 км. В Сакраменто был сделан переприем по 4-проводной системе с высокой частоты на тональную и обратно. Из Сакраменто до Денвера на протяжении 1880 км разговор проходил также по воздушной линии на высокой частоте, где было включено 5 усилителей высокой частоты. В Денвере так же, как и в Сакраменто, производился переприем по 4-проводной системе с высокой на тональную частоту и обратно, и разговор проходил обратно в Сакраменто по воздушной линии еще через 5 усилителей.</w:t>
      </w:r>
    </w:p>
    <w:p w14:paraId="4CDE7558" w14:textId="77777777" w:rsidR="0067434C" w:rsidRPr="00E14102" w:rsidRDefault="0067434C" w:rsidP="00E14102">
      <w:pPr>
        <w:jc w:val="both"/>
        <w:rPr>
          <w:color w:val="000000" w:themeColor="text1"/>
          <w:sz w:val="16"/>
          <w:szCs w:val="16"/>
        </w:rPr>
      </w:pPr>
      <w:r w:rsidRPr="00E14102">
        <w:rPr>
          <w:color w:val="000000" w:themeColor="text1"/>
          <w:sz w:val="16"/>
          <w:szCs w:val="16"/>
        </w:rPr>
        <w:t>Здесь снова производился переприем с высокой на тональную частоту и обратно по 4-проводной системе, и разговор возвращался из Сакраменто в парк Моррель по воздушной линии и на высокой частоте через 12 усилителей. В парке Моррель производился переход с высокой частоты на тональную по 2-проводной системе, и разговор направлялся до Чикаго на тональной частоте по пупинизированному кабелю 2-проводной системы.</w:t>
      </w:r>
    </w:p>
    <w:p w14:paraId="0D489441" w14:textId="77777777" w:rsidR="0067434C" w:rsidRPr="00E14102" w:rsidRDefault="0067434C" w:rsidP="00E14102">
      <w:pPr>
        <w:jc w:val="both"/>
        <w:rPr>
          <w:color w:val="000000" w:themeColor="text1"/>
          <w:sz w:val="16"/>
          <w:szCs w:val="16"/>
        </w:rPr>
      </w:pPr>
      <w:r w:rsidRPr="00E14102">
        <w:rPr>
          <w:color w:val="000000" w:themeColor="text1"/>
          <w:sz w:val="16"/>
          <w:szCs w:val="16"/>
        </w:rPr>
        <w:t>Таким образом, во втором опыте имелось: 22,4 пупинизированного кабеля 2-проводной системы (для тональной частоты) и 11 050 км воздушной линии. На всем этом протяжении было установлено 34 усилителя высокой частоты, 3 переприема с высокой частоты на тональную и обратно по 4-проводной системе (в Сакраменто, Денвере, Сакраменто) и 2 переприема с высокой на тональную частоту по 2-проводной системе (в парке Моррель).</w:t>
      </w:r>
    </w:p>
    <w:p w14:paraId="346C2894" w14:textId="77777777" w:rsidR="0067434C" w:rsidRPr="00E14102" w:rsidRDefault="0067434C" w:rsidP="00E14102">
      <w:pPr>
        <w:jc w:val="both"/>
        <w:rPr>
          <w:color w:val="000000" w:themeColor="text1"/>
          <w:sz w:val="16"/>
          <w:szCs w:val="16"/>
        </w:rPr>
      </w:pPr>
      <w:r w:rsidRPr="00E14102">
        <w:rPr>
          <w:color w:val="000000" w:themeColor="text1"/>
          <w:sz w:val="16"/>
          <w:szCs w:val="16"/>
        </w:rPr>
        <w:t>Во время этого опыта слышимость также была хорошая и разговор проходил без практически заметных шумов и искажений.</w:t>
      </w:r>
    </w:p>
    <w:p w14:paraId="345D7AA0" w14:textId="77777777" w:rsidR="0067434C" w:rsidRPr="00E14102" w:rsidRDefault="0067434C" w:rsidP="00E14102">
      <w:pPr>
        <w:jc w:val="both"/>
        <w:rPr>
          <w:color w:val="000000" w:themeColor="text1"/>
          <w:sz w:val="16"/>
          <w:szCs w:val="16"/>
        </w:rPr>
      </w:pPr>
      <w:r w:rsidRPr="00E14102">
        <w:rPr>
          <w:color w:val="000000" w:themeColor="text1"/>
          <w:sz w:val="16"/>
          <w:szCs w:val="16"/>
        </w:rPr>
        <w:t>Из фиг. 3 видно, что передача разговора с востока на запад (из Чикаго в Сакраменто) проходила на частоте 13,9 тыс. п/с и с запада на восток на частоте 27,5 тыс. п/с.</w:t>
      </w:r>
    </w:p>
    <w:p w14:paraId="01362332" w14:textId="77777777" w:rsidR="0067434C" w:rsidRPr="00E14102" w:rsidRDefault="0067434C" w:rsidP="00E14102">
      <w:pPr>
        <w:jc w:val="both"/>
        <w:rPr>
          <w:color w:val="000000" w:themeColor="text1"/>
          <w:sz w:val="16"/>
          <w:szCs w:val="16"/>
        </w:rPr>
      </w:pPr>
      <w:r w:rsidRPr="00E14102">
        <w:rPr>
          <w:color w:val="000000" w:themeColor="text1"/>
          <w:sz w:val="16"/>
          <w:szCs w:val="16"/>
        </w:rPr>
        <w:t>Исходящий уровень передачи поддерживался на всех усилительных станциях одинаковым и ровным +18 децибел. Величина входящего (приемного) уровня находится в зависимости от затухания усилительного участка.</w:t>
      </w:r>
    </w:p>
    <w:p w14:paraId="14F0EB31" w14:textId="77777777" w:rsidR="0067434C" w:rsidRPr="00E14102" w:rsidRDefault="0067434C" w:rsidP="00E14102">
      <w:pPr>
        <w:jc w:val="both"/>
        <w:rPr>
          <w:color w:val="000000" w:themeColor="text1"/>
          <w:sz w:val="16"/>
          <w:szCs w:val="16"/>
        </w:rPr>
      </w:pPr>
      <w:r w:rsidRPr="00E14102">
        <w:rPr>
          <w:color w:val="000000" w:themeColor="text1"/>
          <w:sz w:val="16"/>
          <w:szCs w:val="16"/>
        </w:rPr>
        <w:t>Из таблицы, приведенной на фиг. 3, видно, что минимальный приемный уровень при частоте 13,9 тыс. п/с равен 9,8 децибел (в усилительном пункте Рено).</w:t>
      </w:r>
    </w:p>
    <w:p w14:paraId="797B68DA" w14:textId="77777777" w:rsidR="0067434C" w:rsidRPr="00E14102" w:rsidRDefault="0067434C" w:rsidP="00E14102">
      <w:pPr>
        <w:jc w:val="both"/>
        <w:rPr>
          <w:color w:val="000000" w:themeColor="text1"/>
          <w:sz w:val="16"/>
          <w:szCs w:val="16"/>
        </w:rPr>
      </w:pPr>
      <w:r w:rsidRPr="00E14102">
        <w:rPr>
          <w:color w:val="000000" w:themeColor="text1"/>
          <w:sz w:val="16"/>
          <w:szCs w:val="16"/>
        </w:rPr>
        <w:t>Следовательно, максимальное затухание усилительного участка при этой частоте равно 27,8 децибел (3,2 непера ).</w:t>
      </w:r>
    </w:p>
    <w:p w14:paraId="0E72656D" w14:textId="77777777" w:rsidR="0067434C" w:rsidRPr="00E14102" w:rsidRDefault="0067434C" w:rsidP="00E14102">
      <w:pPr>
        <w:jc w:val="both"/>
        <w:rPr>
          <w:color w:val="000000" w:themeColor="text1"/>
          <w:sz w:val="16"/>
          <w:szCs w:val="16"/>
        </w:rPr>
      </w:pPr>
      <w:r w:rsidRPr="00E14102">
        <w:rPr>
          <w:color w:val="000000" w:themeColor="text1"/>
          <w:sz w:val="16"/>
          <w:szCs w:val="16"/>
        </w:rPr>
        <w:t>При передаче разговора на частоте 27,5 тыс. п/с минимальный приемный уровень был на том же усилительном участке (в усилительном пункте Елько) равный 20,2 децибел. Следовательно, максимальное затухание усилительного участка на этой частоте равнялось 38,2 децибел (4,39 непера).</w:t>
      </w:r>
    </w:p>
    <w:p w14:paraId="55A9C9F5" w14:textId="77777777" w:rsidR="0067434C" w:rsidRPr="00E14102" w:rsidRDefault="0067434C" w:rsidP="00E14102">
      <w:pPr>
        <w:jc w:val="both"/>
        <w:rPr>
          <w:color w:val="000000" w:themeColor="text1"/>
          <w:sz w:val="16"/>
          <w:szCs w:val="16"/>
        </w:rPr>
      </w:pPr>
      <w:r w:rsidRPr="00E14102">
        <w:rPr>
          <w:color w:val="000000" w:themeColor="text1"/>
          <w:sz w:val="16"/>
          <w:szCs w:val="16"/>
        </w:rPr>
        <w:t>Если же взять средний уровень приема по всем усилительным станциям, то оказывается, что при частоте 13,9 тыс. п/с эта средняя величина равна 1 децибелу. Следовательно, средняя величина затухания усилительного участка равна 19 децибел (2,19 непера).</w:t>
      </w:r>
    </w:p>
    <w:p w14:paraId="6DB5A128" w14:textId="77777777" w:rsidR="0067434C" w:rsidRPr="00E14102" w:rsidRDefault="0067434C" w:rsidP="00E14102">
      <w:pPr>
        <w:jc w:val="both"/>
        <w:rPr>
          <w:color w:val="000000" w:themeColor="text1"/>
          <w:sz w:val="16"/>
          <w:szCs w:val="16"/>
        </w:rPr>
      </w:pPr>
      <w:r w:rsidRPr="00E14102">
        <w:rPr>
          <w:color w:val="000000" w:themeColor="text1"/>
          <w:sz w:val="16"/>
          <w:szCs w:val="16"/>
        </w:rPr>
        <w:t>При частоте 27,6 тыс. п/с средний уровень приема равен 10,2 децибел. Отсюда средняя величина затухания усилительного участка равна 28,2 децибела (3,24 непера).</w:t>
      </w:r>
    </w:p>
    <w:p w14:paraId="6BF45D9C" w14:textId="77777777" w:rsidR="0067434C" w:rsidRPr="00E14102" w:rsidRDefault="0067434C" w:rsidP="00E14102">
      <w:pPr>
        <w:jc w:val="both"/>
        <w:rPr>
          <w:color w:val="000000" w:themeColor="text1"/>
          <w:sz w:val="16"/>
          <w:szCs w:val="16"/>
        </w:rPr>
      </w:pPr>
      <w:r w:rsidRPr="00E14102">
        <w:rPr>
          <w:color w:val="000000" w:themeColor="text1"/>
          <w:sz w:val="16"/>
          <w:szCs w:val="16"/>
        </w:rPr>
        <w:lastRenderedPageBreak/>
        <w:t>Средняя длина усилительного участка, как это видно на фиг. 2, равна 280 км. Диаметр медных проводов на некоторых участках был равен 4,19 мм, а на некоторых 3,24 мм. Точных данных нет.</w:t>
      </w:r>
    </w:p>
    <w:p w14:paraId="18B82109" w14:textId="77777777" w:rsidR="0067434C" w:rsidRPr="00E14102" w:rsidRDefault="0067434C" w:rsidP="00E14102">
      <w:pPr>
        <w:jc w:val="both"/>
        <w:rPr>
          <w:color w:val="000000" w:themeColor="text1"/>
          <w:sz w:val="16"/>
          <w:szCs w:val="16"/>
        </w:rPr>
      </w:pPr>
      <w:r w:rsidRPr="00E14102">
        <w:rPr>
          <w:color w:val="000000" w:themeColor="text1"/>
          <w:sz w:val="16"/>
          <w:szCs w:val="16"/>
        </w:rPr>
        <w:t>Из всего сказанного заключаем, что расстановка усилительных пунктов и затухание усилительных участков на данной связи значительно меньше, чем это имеется на наших высокочастотных связях. Благодаря этому высокие уровни приема, имеющиеся на большинстве усилительных станций, обеспечивают высокое качество телефонной связи без заметных помех.</w:t>
      </w:r>
    </w:p>
    <w:p w14:paraId="6AD81761" w14:textId="77777777" w:rsidR="0067434C" w:rsidRPr="00E14102" w:rsidRDefault="0067434C" w:rsidP="00E14102">
      <w:pPr>
        <w:jc w:val="both"/>
        <w:rPr>
          <w:color w:val="000000" w:themeColor="text1"/>
          <w:sz w:val="16"/>
          <w:szCs w:val="16"/>
        </w:rPr>
      </w:pPr>
      <w:r w:rsidRPr="00E14102">
        <w:rPr>
          <w:color w:val="000000" w:themeColor="text1"/>
          <w:sz w:val="16"/>
          <w:szCs w:val="16"/>
        </w:rPr>
        <w:t>На фиг. 4 представлено количество подвешенных проводов на столбовой линии по отдельным участкам от Чикаго до Сакраменто. Из этой таблицы видно, что из существующих телефонных цепей на данной столбовой линии всего только около половины используется токами высокой частоты.</w:t>
      </w:r>
    </w:p>
    <w:p w14:paraId="7F05DE85" w14:textId="77777777" w:rsidR="0067434C" w:rsidRPr="00E14102" w:rsidRDefault="0067434C" w:rsidP="00E14102">
      <w:pPr>
        <w:jc w:val="both"/>
        <w:rPr>
          <w:color w:val="000000" w:themeColor="text1"/>
          <w:sz w:val="16"/>
          <w:szCs w:val="16"/>
        </w:rPr>
      </w:pPr>
      <w:r w:rsidRPr="00E14102">
        <w:rPr>
          <w:color w:val="000000" w:themeColor="text1"/>
          <w:sz w:val="16"/>
          <w:szCs w:val="16"/>
        </w:rPr>
        <w:t>Осмотр линии показал, что все цепи подвешены на 10 штырных траверсах (подробно о линейных сооружениях будет сказано ниже).</w:t>
      </w:r>
    </w:p>
    <w:p w14:paraId="1F367EF1" w14:textId="77777777" w:rsidR="0067434C" w:rsidRPr="00E14102" w:rsidRDefault="0067434C" w:rsidP="00E14102">
      <w:pPr>
        <w:jc w:val="both"/>
        <w:rPr>
          <w:color w:val="000000" w:themeColor="text1"/>
          <w:sz w:val="16"/>
          <w:szCs w:val="16"/>
        </w:rPr>
      </w:pPr>
      <w:r w:rsidRPr="00E14102">
        <w:rPr>
          <w:color w:val="000000" w:themeColor="text1"/>
          <w:sz w:val="16"/>
          <w:szCs w:val="16"/>
        </w:rPr>
        <w:t>Результаты описанных опытов с полной очевидностью показали, что телефонная связь на магистрали Москва-Хабаровск может быть вполне осуществлена на существующей в настоящее время в эксплуатации американской аппаратуре высокой частоты  .</w:t>
      </w:r>
    </w:p>
    <w:p w14:paraId="08B0A950" w14:textId="77777777" w:rsidR="0067434C" w:rsidRPr="00E14102" w:rsidRDefault="0067434C" w:rsidP="00E14102">
      <w:pPr>
        <w:jc w:val="both"/>
        <w:rPr>
          <w:color w:val="000000" w:themeColor="text1"/>
          <w:sz w:val="16"/>
          <w:szCs w:val="16"/>
        </w:rPr>
      </w:pPr>
      <w:r w:rsidRPr="00E14102">
        <w:rPr>
          <w:color w:val="000000" w:themeColor="text1"/>
          <w:sz w:val="16"/>
          <w:szCs w:val="16"/>
        </w:rPr>
        <w:t>Ответ на 2-й вопрос: ответ на второй вопрос о количестве телефонных разговоров, существующих в эксплуатации по одной цепи, получен уже тем, что на осмотренных нами усилительных и узловых станциях мы не видели аппаратуры иной, чем на 3 телефонных разговора. Однако необходимо здесь же отметить, что во время бесед с представителями Американской телефонной компании (Джермен, Дринк); Интернациональной Т.Т. корпорации (Кепин и Грей); Канадской телефонной компании (Кларк и Сидней Бонневиль), а также на основании осмотренных нами линейных и кабельных сооружений установлено следующее:</w:t>
      </w:r>
    </w:p>
    <w:p w14:paraId="7C5C19A8" w14:textId="77777777" w:rsidR="0067434C" w:rsidRPr="00E14102" w:rsidRDefault="0067434C" w:rsidP="00E14102">
      <w:pPr>
        <w:jc w:val="both"/>
        <w:rPr>
          <w:color w:val="000000" w:themeColor="text1"/>
          <w:sz w:val="16"/>
          <w:szCs w:val="16"/>
        </w:rPr>
      </w:pPr>
      <w:r w:rsidRPr="00E14102">
        <w:rPr>
          <w:color w:val="000000" w:themeColor="text1"/>
          <w:sz w:val="16"/>
          <w:szCs w:val="16"/>
        </w:rPr>
        <w:t>а) Американская Т.Т. компания еще в 1929 г. разработала систему скрещивания телефонных цепей и имеющую название "К-8". Схема скрещивания предусматривает возможность передачи по всем телефонным цепям токов высокой частоты до 55 тыс. п/с. В настоящее время на запад от Денвера, где исключительно воздушные линии, существуют в эксплуатации несколько линий, скрещенных по этой системе.</w:t>
      </w:r>
    </w:p>
    <w:p w14:paraId="745139B0" w14:textId="77777777" w:rsidR="0067434C" w:rsidRPr="00E14102" w:rsidRDefault="0067434C" w:rsidP="00E14102">
      <w:pPr>
        <w:jc w:val="both"/>
        <w:rPr>
          <w:color w:val="000000" w:themeColor="text1"/>
          <w:sz w:val="16"/>
          <w:szCs w:val="16"/>
        </w:rPr>
      </w:pPr>
      <w:r w:rsidRPr="00E14102">
        <w:rPr>
          <w:color w:val="000000" w:themeColor="text1"/>
          <w:sz w:val="16"/>
          <w:szCs w:val="16"/>
        </w:rPr>
        <w:t>б) Одновременно с постройкой воздушных линий, скрещенных по системе "К-8", американцами разработана новая система пупинизация кабелей для вставок в эту линию. Предельная частота этих кабелей равна 65 тыс. п/с, а следовательно, пропускаемая для эксплуатации частота будет равна 50 тыс. п/с. Эти кабели также проложены и находятся в эксплуатации.</w:t>
      </w:r>
    </w:p>
    <w:p w14:paraId="6B1F1849" w14:textId="77777777" w:rsidR="0067434C" w:rsidRPr="00E14102" w:rsidRDefault="0067434C" w:rsidP="00E14102">
      <w:pPr>
        <w:jc w:val="both"/>
        <w:rPr>
          <w:color w:val="000000" w:themeColor="text1"/>
          <w:sz w:val="16"/>
          <w:szCs w:val="16"/>
        </w:rPr>
      </w:pPr>
      <w:r w:rsidRPr="00E14102">
        <w:rPr>
          <w:color w:val="000000" w:themeColor="text1"/>
          <w:sz w:val="16"/>
          <w:szCs w:val="16"/>
        </w:rPr>
        <w:t>в) Далее, на наш вопрос о том, не наблюдается ли увеличение повреждений цепей вследствие уменьшения расстояния между проводами с 30 на 20 см, г-н Джермен ответил, что они этого не замечают. Наоборот, они ведут работу по дальнейшему уменьшению этого расстояния до 15 см. Правда, они в этом случае предполагают, во избежание сообщения между проводами, на середине пролета ставить распорку между проводами из изолирующего материала. Г-н Джермен заявил, что с уменьшением расстояния между проводами взаимное влияние между цепями уменьшится и будет возможность передавать токи частот выше 55 тыс. п/с, как это предусмотрено в системе "К-8".</w:t>
      </w:r>
    </w:p>
    <w:p w14:paraId="22F39265" w14:textId="77777777" w:rsidR="0067434C" w:rsidRPr="00E14102" w:rsidRDefault="0067434C" w:rsidP="00E14102">
      <w:pPr>
        <w:jc w:val="both"/>
        <w:rPr>
          <w:color w:val="000000" w:themeColor="text1"/>
          <w:sz w:val="16"/>
          <w:szCs w:val="16"/>
        </w:rPr>
      </w:pPr>
      <w:r w:rsidRPr="00E14102">
        <w:rPr>
          <w:color w:val="000000" w:themeColor="text1"/>
          <w:sz w:val="16"/>
          <w:szCs w:val="16"/>
        </w:rPr>
        <w:t>Инженер Кларк (Канада) подтвердил слова Джермена, добавив, что в случае уменьшения расстояния между проводами до 15 см они предполагают на одной существующей десятиштырной траверсе разместить только 2 цепи, по концам этой траверсы. Расстояние же между соседними траверсами установить вдвое больше существующего, то есть 120 см (см. фиг. 6). Скрещивание цепей при этом предполагается производить через два пролета. Для увеличения механической прочности столбовой линии длину пролета предполагается сделать около 25 м. На каждой цепи предполагается передавать до 10 телефонных разговоров в диапазоне частот до 100 тыс. п/с или даже несколько выше.</w:t>
      </w:r>
    </w:p>
    <w:p w14:paraId="7543F97D" w14:textId="77777777" w:rsidR="0067434C" w:rsidRPr="00E14102" w:rsidRDefault="0067434C" w:rsidP="00E14102">
      <w:pPr>
        <w:jc w:val="both"/>
        <w:rPr>
          <w:color w:val="000000" w:themeColor="text1"/>
          <w:sz w:val="16"/>
          <w:szCs w:val="16"/>
        </w:rPr>
      </w:pPr>
      <w:r w:rsidRPr="00E14102">
        <w:rPr>
          <w:color w:val="000000" w:themeColor="text1"/>
          <w:sz w:val="16"/>
          <w:szCs w:val="16"/>
        </w:rPr>
        <w:t>г) Возвращаясь из Канады, мы в 200 км от Нью-Йорка, мы видели столбовую линию, на которой помимо других цепей были подвешены на концах третьей траверсы две особых цепи. При этом расстояние между проводами одной из этих цепей было около 15 см и у другой около 10 см (юбки изоляторов Пайрекс почти касались друг друга).</w:t>
      </w:r>
    </w:p>
    <w:p w14:paraId="4BC73795" w14:textId="77777777" w:rsidR="0067434C" w:rsidRPr="00E14102" w:rsidRDefault="0067434C" w:rsidP="00E14102">
      <w:pPr>
        <w:jc w:val="both"/>
        <w:rPr>
          <w:color w:val="000000" w:themeColor="text1"/>
          <w:sz w:val="16"/>
          <w:szCs w:val="16"/>
        </w:rPr>
      </w:pPr>
      <w:r w:rsidRPr="00E14102">
        <w:rPr>
          <w:color w:val="000000" w:themeColor="text1"/>
          <w:sz w:val="16"/>
          <w:szCs w:val="16"/>
        </w:rPr>
        <w:t>Во избежание сообщения между проводами цепи с расстоянием 20 см один из ее проводов, на середине пролета, проходит через центр диска, имеющего диаметр около 10 см. Этот диск, надо полагать, сделан из изолирующего материала.</w:t>
      </w:r>
    </w:p>
    <w:p w14:paraId="34AC1CAE" w14:textId="77777777" w:rsidR="0067434C" w:rsidRPr="00E14102" w:rsidRDefault="0067434C" w:rsidP="00E14102">
      <w:pPr>
        <w:jc w:val="both"/>
        <w:rPr>
          <w:color w:val="000000" w:themeColor="text1"/>
          <w:sz w:val="16"/>
          <w:szCs w:val="16"/>
        </w:rPr>
      </w:pPr>
      <w:r w:rsidRPr="00E14102">
        <w:rPr>
          <w:color w:val="000000" w:themeColor="text1"/>
          <w:sz w:val="16"/>
          <w:szCs w:val="16"/>
        </w:rPr>
        <w:t>д) Из первых разговоров с представителем интернациональной Т.Т. корпорации Греем, когда мы вели переговоры о возможной закупке аппаратуры в Америке, можно было заключить, что аппаратура на 5 телефонных каналов может быть получена, поскольку для этого требовался диапазон частот до 50-55 тыс. п/с, что и предусмотрено системой скрещивания ("К-8") и новыми вводными пупинизированны-ми кабелями. Однако когда мы конкретно заговорили о покупке аппаратуры для Хабаровской магистрали в количестве, необходимом для этого, то Грей и Кепин заявили, что аппаратуры на 5 каналов еще нет и разрабатывать ее в лаборатории из-за такого малого количества нет смысла.</w:t>
      </w:r>
    </w:p>
    <w:p w14:paraId="49D518FA" w14:textId="77777777" w:rsidR="0067434C" w:rsidRPr="00E14102" w:rsidRDefault="0067434C" w:rsidP="00E14102">
      <w:pPr>
        <w:jc w:val="both"/>
        <w:rPr>
          <w:color w:val="000000" w:themeColor="text1"/>
          <w:sz w:val="16"/>
          <w:szCs w:val="16"/>
        </w:rPr>
      </w:pPr>
      <w:r w:rsidRPr="00E14102">
        <w:rPr>
          <w:color w:val="000000" w:themeColor="text1"/>
          <w:sz w:val="16"/>
          <w:szCs w:val="16"/>
        </w:rPr>
        <w:t>е) Отсутствие в эксплуатации аппаратуры высокой частоты на большее число каналов, чем 3 разговора, объясняется тем, что при существующем в настоящее время кризисе наступил сильный застой в хозяйственной жизни страны и значительно снизился спрос на связь. Из существующих медных цепей, подвешенных на столбах, очень много цепей совсем не оборудованы даже аппаратурой нормальной часто-ты...</w:t>
      </w:r>
    </w:p>
    <w:p w14:paraId="0F2BF987" w14:textId="77777777" w:rsidR="0067434C" w:rsidRPr="00E14102" w:rsidRDefault="0067434C" w:rsidP="00E14102">
      <w:pPr>
        <w:jc w:val="both"/>
        <w:rPr>
          <w:color w:val="000000" w:themeColor="text1"/>
          <w:sz w:val="16"/>
          <w:szCs w:val="16"/>
        </w:rPr>
      </w:pPr>
      <w:r w:rsidRPr="00E14102">
        <w:rPr>
          <w:color w:val="000000" w:themeColor="text1"/>
          <w:sz w:val="16"/>
          <w:szCs w:val="16"/>
        </w:rPr>
        <w:t>Заведующий линейно-кабельной лаборатории НИИС НКСвязи**</w:t>
      </w:r>
    </w:p>
    <w:p w14:paraId="25106731" w14:textId="77777777" w:rsidR="0067434C" w:rsidRPr="00E14102" w:rsidRDefault="0067434C" w:rsidP="00E14102">
      <w:pPr>
        <w:jc w:val="both"/>
        <w:rPr>
          <w:color w:val="000000" w:themeColor="text1"/>
          <w:sz w:val="16"/>
          <w:szCs w:val="16"/>
        </w:rPr>
      </w:pPr>
      <w:r w:rsidRPr="00E14102">
        <w:rPr>
          <w:color w:val="000000" w:themeColor="text1"/>
          <w:sz w:val="16"/>
          <w:szCs w:val="16"/>
        </w:rPr>
        <w:t>РГАЭ. Ф. 3527. On. 13. Д. 852. Л 62-68. Подлинник (18282).</w:t>
      </w:r>
    </w:p>
    <w:p w14:paraId="015390A8" w14:textId="77777777" w:rsidR="0067434C" w:rsidRPr="00E14102" w:rsidRDefault="0067434C" w:rsidP="00E14102">
      <w:pPr>
        <w:jc w:val="both"/>
        <w:rPr>
          <w:color w:val="000000" w:themeColor="text1"/>
          <w:sz w:val="16"/>
          <w:szCs w:val="16"/>
        </w:rPr>
      </w:pPr>
    </w:p>
    <w:p w14:paraId="7DE125F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1796F23" w14:textId="77777777" w:rsidR="00D4105E" w:rsidRPr="00E14102" w:rsidRDefault="00D4105E" w:rsidP="00E14102">
      <w:pPr>
        <w:autoSpaceDE w:val="0"/>
        <w:autoSpaceDN w:val="0"/>
        <w:adjustRightInd w:val="0"/>
        <w:jc w:val="both"/>
        <w:rPr>
          <w:iCs/>
          <w:color w:val="000000" w:themeColor="text1"/>
          <w:sz w:val="16"/>
          <w:szCs w:val="16"/>
        </w:rPr>
      </w:pPr>
    </w:p>
    <w:p w14:paraId="6AA955F9" w14:textId="77777777" w:rsidR="00F70A45" w:rsidRPr="00E14102" w:rsidRDefault="00F70A45" w:rsidP="00E14102">
      <w:pPr>
        <w:pStyle w:val="rtejustify"/>
        <w:spacing w:before="0" w:after="0"/>
        <w:rPr>
          <w:color w:val="000000" w:themeColor="text1"/>
          <w:sz w:val="16"/>
          <w:szCs w:val="16"/>
        </w:rPr>
      </w:pPr>
      <w:r w:rsidRPr="00E14102">
        <w:rPr>
          <w:rStyle w:val="a6"/>
          <w:bCs/>
          <w:i w:val="0"/>
          <w:color w:val="000000" w:themeColor="text1"/>
          <w:sz w:val="16"/>
          <w:szCs w:val="16"/>
        </w:rPr>
        <w:t>17 июня 1935 вышел приказ НКО №</w:t>
      </w:r>
      <w:r w:rsidRPr="00E14102">
        <w:rPr>
          <w:color w:val="000000" w:themeColor="text1"/>
          <w:sz w:val="16"/>
          <w:szCs w:val="16"/>
        </w:rPr>
        <w:t> 0042. О монтаже автопилота на ТБ</w:t>
      </w:r>
      <w:r w:rsidRPr="00E14102">
        <w:rPr>
          <w:color w:val="000000" w:themeColor="text1"/>
          <w:sz w:val="16"/>
          <w:szCs w:val="16"/>
        </w:rPr>
        <w:noBreakHyphen/>
        <w:t>3 (15247).</w:t>
      </w:r>
    </w:p>
    <w:p w14:paraId="7D541D80" w14:textId="77777777" w:rsidR="00F70A45" w:rsidRPr="00E14102" w:rsidRDefault="00F70A45" w:rsidP="00E14102">
      <w:pPr>
        <w:pStyle w:val="rtejustify"/>
        <w:spacing w:before="0" w:after="0"/>
        <w:rPr>
          <w:color w:val="000000" w:themeColor="text1"/>
          <w:sz w:val="16"/>
          <w:szCs w:val="16"/>
        </w:rPr>
      </w:pPr>
    </w:p>
    <w:p w14:paraId="1EFCB4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июня 1935 закончился первый этап испытаний моторов М-34РН на ТБ-3 N 22631 и 22632, который шел с 28 мая 1935. Отв. исполнители: Нач. ЛЭС завода 22 Фролов, и заводов 22 и 24. Цель испытаний: Исследовать и устранить дефекты в работе серийных моторов М-34РН, выявленных при испытаниях ТБ-3 4М-34РН N 22202, проведенных с 8 марта по 7 сентября 1934 в ЦАГИ, ТБ-3 N 22566, проведенных в марте 1935 и ДБ-2, проведенных в мае 1935 на заводе 22. Заключение: 1. Основной причиной ненормальной работы М-34РН в летных условиях является подсос масла в цилиндры через уплотнения нагнетателя... (2932).</w:t>
      </w:r>
    </w:p>
    <w:p w14:paraId="5FB30B0D" w14:textId="77777777" w:rsidR="00D4105E" w:rsidRPr="00E14102" w:rsidRDefault="00D4105E" w:rsidP="00E14102">
      <w:pPr>
        <w:autoSpaceDE w:val="0"/>
        <w:autoSpaceDN w:val="0"/>
        <w:adjustRightInd w:val="0"/>
        <w:jc w:val="both"/>
        <w:rPr>
          <w:color w:val="000000" w:themeColor="text1"/>
          <w:sz w:val="16"/>
          <w:szCs w:val="16"/>
        </w:rPr>
      </w:pPr>
    </w:p>
    <w:p w14:paraId="72BBD5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июня 1935 О.Яковлева, Н.Бабушкина, С.Блохина, А.Николаева, М.Барцева и М.Малиновская совершили прыжок с 7035 м и установили рекорд высоты группового прыжка (438,689).</w:t>
      </w:r>
    </w:p>
    <w:p w14:paraId="2AEFF44E" w14:textId="77777777" w:rsidR="00D4105E" w:rsidRPr="00E14102" w:rsidRDefault="00D4105E" w:rsidP="00E14102">
      <w:pPr>
        <w:autoSpaceDE w:val="0"/>
        <w:autoSpaceDN w:val="0"/>
        <w:adjustRightInd w:val="0"/>
        <w:jc w:val="both"/>
        <w:rPr>
          <w:color w:val="000000" w:themeColor="text1"/>
          <w:sz w:val="16"/>
          <w:szCs w:val="16"/>
        </w:rPr>
      </w:pPr>
    </w:p>
    <w:p w14:paraId="527C0CE8" w14:textId="77777777" w:rsidR="00217FA4" w:rsidRPr="00E14102" w:rsidRDefault="00217FA4" w:rsidP="00E14102">
      <w:pPr>
        <w:autoSpaceDE w:val="0"/>
        <w:autoSpaceDN w:val="0"/>
        <w:adjustRightInd w:val="0"/>
        <w:jc w:val="both"/>
        <w:rPr>
          <w:iCs/>
          <w:color w:val="000000" w:themeColor="text1"/>
          <w:sz w:val="16"/>
          <w:szCs w:val="16"/>
        </w:rPr>
      </w:pPr>
      <w:r w:rsidRPr="00E14102">
        <w:rPr>
          <w:color w:val="000000" w:themeColor="text1"/>
          <w:sz w:val="16"/>
          <w:szCs w:val="16"/>
        </w:rPr>
        <w:t>17 июня 1935 г. отважные советские девушки — парашютистки О.Яковлева, Н.Бабушкина, С.Блохина, А.Николаева, М.Барцева, М.Малиновская установили мировой рекорд по групповым высотным прыжкам, спрыгнув с высоты 7035 метров без кислородного прибора (17328).</w:t>
      </w:r>
    </w:p>
    <w:p w14:paraId="7C07FF70" w14:textId="77777777" w:rsidR="00217FA4" w:rsidRPr="00E14102" w:rsidRDefault="00217FA4" w:rsidP="00E14102">
      <w:pPr>
        <w:autoSpaceDE w:val="0"/>
        <w:autoSpaceDN w:val="0"/>
        <w:adjustRightInd w:val="0"/>
        <w:jc w:val="both"/>
        <w:rPr>
          <w:iCs/>
          <w:color w:val="000000" w:themeColor="text1"/>
          <w:sz w:val="16"/>
          <w:szCs w:val="16"/>
        </w:rPr>
      </w:pPr>
    </w:p>
    <w:p w14:paraId="338AA185" w14:textId="77777777" w:rsidR="00F25FD8" w:rsidRPr="00E14102" w:rsidRDefault="00F25FD8" w:rsidP="00E14102">
      <w:pPr>
        <w:jc w:val="both"/>
        <w:rPr>
          <w:color w:val="0070C0"/>
          <w:sz w:val="16"/>
          <w:szCs w:val="16"/>
        </w:rPr>
      </w:pPr>
      <w:r w:rsidRPr="00E14102">
        <w:rPr>
          <w:color w:val="0070C0"/>
          <w:sz w:val="16"/>
          <w:szCs w:val="16"/>
        </w:rPr>
        <w:t>17 июня 1935 - женский мировой рекорд группового высотного парашютного прыжка - 7035 м, А. Николаева, Н. Бабушкина, О. Яковлева, М. Барцева, М. Малиновская, С. Блохина (22458).</w:t>
      </w:r>
    </w:p>
    <w:p w14:paraId="6863369E" w14:textId="77777777" w:rsidR="00F25FD8" w:rsidRPr="00E14102" w:rsidRDefault="00F25FD8" w:rsidP="00E14102">
      <w:pPr>
        <w:jc w:val="both"/>
        <w:rPr>
          <w:color w:val="0070C0"/>
          <w:sz w:val="16"/>
          <w:szCs w:val="16"/>
        </w:rPr>
      </w:pPr>
    </w:p>
    <w:p w14:paraId="59DF5FC0" w14:textId="77777777" w:rsidR="00C30317"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9693086" w14:textId="77777777" w:rsidR="00C30317" w:rsidRPr="00E14102" w:rsidRDefault="00C30317" w:rsidP="00E14102">
      <w:pPr>
        <w:autoSpaceDE w:val="0"/>
        <w:autoSpaceDN w:val="0"/>
        <w:adjustRightInd w:val="0"/>
        <w:jc w:val="both"/>
        <w:rPr>
          <w:iCs/>
          <w:color w:val="000000" w:themeColor="text1"/>
          <w:sz w:val="16"/>
          <w:szCs w:val="16"/>
        </w:rPr>
      </w:pPr>
    </w:p>
    <w:p w14:paraId="0377747A" w14:textId="77777777" w:rsidR="00C30317" w:rsidRPr="00E14102" w:rsidRDefault="00C30317" w:rsidP="00E14102">
      <w:pPr>
        <w:autoSpaceDE w:val="0"/>
        <w:autoSpaceDN w:val="0"/>
        <w:adjustRightInd w:val="0"/>
        <w:jc w:val="both"/>
        <w:rPr>
          <w:color w:val="000000" w:themeColor="text1"/>
          <w:sz w:val="16"/>
          <w:szCs w:val="16"/>
        </w:rPr>
      </w:pPr>
      <w:r w:rsidRPr="00E14102">
        <w:rPr>
          <w:color w:val="000000" w:themeColor="text1"/>
          <w:sz w:val="16"/>
          <w:szCs w:val="16"/>
        </w:rPr>
        <w:t>17 июня 1935 г. было принято постановле</w:t>
      </w:r>
      <w:r w:rsidRPr="00E14102">
        <w:rPr>
          <w:color w:val="000000" w:themeColor="text1"/>
          <w:sz w:val="16"/>
          <w:szCs w:val="16"/>
        </w:rPr>
        <w:softHyphen/>
        <w:t>ние СНК СССР и ЦК ВКП(б) "О порядке производства аре</w:t>
      </w:r>
      <w:r w:rsidRPr="00E14102">
        <w:rPr>
          <w:color w:val="000000" w:themeColor="text1"/>
          <w:sz w:val="16"/>
          <w:szCs w:val="16"/>
        </w:rPr>
        <w:softHyphen/>
        <w:t>стов". Более радикальное, чем зна</w:t>
      </w:r>
      <w:r w:rsidRPr="00E14102">
        <w:rPr>
          <w:color w:val="000000" w:themeColor="text1"/>
          <w:sz w:val="16"/>
          <w:szCs w:val="16"/>
        </w:rPr>
        <w:softHyphen/>
        <w:t>менитая инструкция от 8 мая 1933 г., постановление предус</w:t>
      </w:r>
      <w:r w:rsidRPr="00E14102">
        <w:rPr>
          <w:color w:val="000000" w:themeColor="text1"/>
          <w:sz w:val="16"/>
          <w:szCs w:val="16"/>
        </w:rPr>
        <w:softHyphen/>
        <w:t>матривало, что "аресты по всем без исключения делам органы НКВД впредь могут производить лишь с согласия соответству</w:t>
      </w:r>
      <w:r w:rsidRPr="00E14102">
        <w:rPr>
          <w:color w:val="000000" w:themeColor="text1"/>
          <w:sz w:val="16"/>
          <w:szCs w:val="16"/>
        </w:rPr>
        <w:softHyphen/>
        <w:t>ющего прокурора", а также устанавливало сложный порядок согласования арестов руководящих работников, специалистов и членов партии с руководителями наркоматов, ведомств и партийных комитетов. Разрешения на аресты руководящих работников союзных и республиканских наркоматов, а также состоящих на службе в учреждениях инженеров, агрономов, профессоров, врачей, руководителей научных учреждений давались по согласованию с соответствующим наркомом; раз</w:t>
      </w:r>
      <w:r w:rsidRPr="00E14102">
        <w:rPr>
          <w:color w:val="000000" w:themeColor="text1"/>
          <w:sz w:val="16"/>
          <w:szCs w:val="16"/>
        </w:rPr>
        <w:softHyphen/>
        <w:t>решения на аресты членов и кандидатов ВКП (б) — по согласо</w:t>
      </w:r>
      <w:r w:rsidRPr="00E14102">
        <w:rPr>
          <w:color w:val="000000" w:themeColor="text1"/>
          <w:sz w:val="16"/>
          <w:szCs w:val="16"/>
        </w:rPr>
        <w:softHyphen/>
        <w:t>ванию с секретарями районных, краевых, областных комите</w:t>
      </w:r>
      <w:r w:rsidRPr="00E14102">
        <w:rPr>
          <w:color w:val="000000" w:themeColor="text1"/>
          <w:sz w:val="16"/>
          <w:szCs w:val="16"/>
        </w:rPr>
        <w:softHyphen/>
        <w:t>тов, ЦК нацкомпартий, а коммунистов, занимавших руково</w:t>
      </w:r>
      <w:r w:rsidRPr="00E14102">
        <w:rPr>
          <w:color w:val="000000" w:themeColor="text1"/>
          <w:sz w:val="16"/>
          <w:szCs w:val="16"/>
        </w:rPr>
        <w:softHyphen/>
        <w:t>дящие должности в наркоматах СССР, — по получении согла</w:t>
      </w:r>
      <w:r w:rsidRPr="00E14102">
        <w:rPr>
          <w:color w:val="000000" w:themeColor="text1"/>
          <w:sz w:val="16"/>
          <w:szCs w:val="16"/>
        </w:rPr>
        <w:softHyphen/>
        <w:t>сия председателя Комиссии партийного контроля и т.д. Но</w:t>
      </w:r>
      <w:r w:rsidRPr="00E14102">
        <w:rPr>
          <w:color w:val="000000" w:themeColor="text1"/>
          <w:sz w:val="16"/>
          <w:szCs w:val="16"/>
        </w:rPr>
        <w:softHyphen/>
        <w:t>вые порядки несколько осложняли работу НКВД и создавали хоть какую-то гарантию от массового произвола. Не случай</w:t>
      </w:r>
      <w:r w:rsidRPr="00E14102">
        <w:rPr>
          <w:color w:val="000000" w:themeColor="text1"/>
          <w:sz w:val="16"/>
          <w:szCs w:val="16"/>
        </w:rPr>
        <w:softHyphen/>
        <w:t>но, в 1937-1938 гг. это постановление было фактически отме</w:t>
      </w:r>
      <w:r w:rsidRPr="00E14102">
        <w:rPr>
          <w:color w:val="000000" w:themeColor="text1"/>
          <w:sz w:val="16"/>
          <w:szCs w:val="16"/>
        </w:rPr>
        <w:softHyphen/>
        <w:t>нено (17306).</w:t>
      </w:r>
    </w:p>
    <w:p w14:paraId="18BC2019" w14:textId="77777777" w:rsidR="00C30317" w:rsidRPr="00E14102" w:rsidRDefault="00C30317" w:rsidP="00E14102">
      <w:pPr>
        <w:autoSpaceDE w:val="0"/>
        <w:autoSpaceDN w:val="0"/>
        <w:adjustRightInd w:val="0"/>
        <w:jc w:val="both"/>
        <w:rPr>
          <w:color w:val="000000" w:themeColor="text1"/>
          <w:sz w:val="16"/>
          <w:szCs w:val="16"/>
        </w:rPr>
      </w:pPr>
    </w:p>
    <w:p w14:paraId="04282645" w14:textId="77777777" w:rsidR="000E0B14" w:rsidRPr="00E14102" w:rsidRDefault="000E0B14" w:rsidP="00E14102">
      <w:pPr>
        <w:jc w:val="both"/>
        <w:rPr>
          <w:color w:val="000000" w:themeColor="text1"/>
          <w:sz w:val="16"/>
          <w:szCs w:val="16"/>
        </w:rPr>
      </w:pPr>
      <w:r w:rsidRPr="00E14102">
        <w:rPr>
          <w:color w:val="000000" w:themeColor="text1"/>
          <w:sz w:val="16"/>
          <w:szCs w:val="16"/>
        </w:rPr>
        <w:t>17 июня 1935 г. вышло постановление СНК и ЦК ВКП(б) от «О порядке производства арестов», согласно которому во изменении Инструкции от 8 мая 1933 г. (см. прим. 47) аресты по всем без исключения делам органы НКВД могли производить лишь с согласия соответствующего прокурора. Разрешения на аресты членов ЦИК СССР и союзных республик давались лишь с согласия председателей ЦИК СССР или союзных республик. Разрешение на аресты руководящих работников наркоматов и приравненных к ним работников центральных учреждений, а также руководителей трестов, промышленных предприятий и совхозов и т.п. давались по согласованию с соответствующими народными комиссарами.</w:t>
      </w:r>
    </w:p>
    <w:p w14:paraId="1350C79D" w14:textId="77777777" w:rsidR="000E0B14" w:rsidRPr="00E14102" w:rsidRDefault="000E0B14" w:rsidP="00E14102">
      <w:pPr>
        <w:jc w:val="both"/>
        <w:rPr>
          <w:color w:val="000000" w:themeColor="text1"/>
          <w:sz w:val="16"/>
          <w:szCs w:val="16"/>
        </w:rPr>
      </w:pPr>
      <w:r w:rsidRPr="00E14102">
        <w:rPr>
          <w:color w:val="000000" w:themeColor="text1"/>
          <w:sz w:val="16"/>
          <w:szCs w:val="16"/>
        </w:rPr>
        <w:t>Разрешения на аресты коммунистов давались по согласованию с секретарями вышестоящих партийных органов, а в отношении коммунистов, занимающих руководящие должности в наркоматах СССР и приравненных к ним учреждений — по согласованию с председателем Комиссии партийного контроля при ЦК ВКП(б). Разрешения на аресты военнослужащих высшего и среднего комсостава давались с согласия наркома обороны (Трагедия советской деревни... Т. 4. 1934—1936. М., 2002. С. 537—538) (18067).</w:t>
      </w:r>
    </w:p>
    <w:p w14:paraId="1D067B66" w14:textId="77777777" w:rsidR="000E0B14" w:rsidRPr="00E14102" w:rsidRDefault="000E0B14" w:rsidP="00E14102">
      <w:pPr>
        <w:jc w:val="both"/>
        <w:rPr>
          <w:color w:val="000000" w:themeColor="text1"/>
          <w:sz w:val="16"/>
          <w:szCs w:val="16"/>
        </w:rPr>
      </w:pPr>
    </w:p>
    <w:p w14:paraId="1CB8B5B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lastRenderedPageBreak/>
        <w:t>За рубежом:</w:t>
      </w:r>
    </w:p>
    <w:p w14:paraId="7520407D" w14:textId="77777777" w:rsidR="00D4105E" w:rsidRPr="00E14102" w:rsidRDefault="00D4105E" w:rsidP="00E14102">
      <w:pPr>
        <w:autoSpaceDE w:val="0"/>
        <w:autoSpaceDN w:val="0"/>
        <w:adjustRightInd w:val="0"/>
        <w:jc w:val="both"/>
        <w:rPr>
          <w:iCs/>
          <w:color w:val="000000" w:themeColor="text1"/>
          <w:sz w:val="16"/>
          <w:szCs w:val="16"/>
        </w:rPr>
      </w:pPr>
    </w:p>
    <w:p w14:paraId="33BDA730" w14:textId="77777777" w:rsidR="00F25FD8" w:rsidRPr="00E14102" w:rsidRDefault="00F25FD8" w:rsidP="00E14102">
      <w:pPr>
        <w:jc w:val="both"/>
        <w:rPr>
          <w:color w:val="0070C0"/>
          <w:sz w:val="16"/>
          <w:szCs w:val="16"/>
        </w:rPr>
      </w:pPr>
      <w:r w:rsidRPr="00E14102">
        <w:rPr>
          <w:color w:val="0070C0"/>
          <w:sz w:val="16"/>
          <w:szCs w:val="16"/>
        </w:rPr>
        <w:t>17 июня 1935 на Орфорд-Нессе произведено первое радиообнаружение самолета наземным радаром (20800).</w:t>
      </w:r>
    </w:p>
    <w:p w14:paraId="0DC3AB31" w14:textId="77777777" w:rsidR="00F25FD8" w:rsidRPr="00E14102" w:rsidRDefault="00F25FD8" w:rsidP="00E14102">
      <w:pPr>
        <w:jc w:val="both"/>
        <w:rPr>
          <w:color w:val="0070C0"/>
          <w:sz w:val="16"/>
          <w:szCs w:val="16"/>
        </w:rPr>
      </w:pPr>
    </w:p>
    <w:p w14:paraId="268B269B" w14:textId="77777777" w:rsidR="00F25FD8" w:rsidRPr="00E14102" w:rsidRDefault="00F25FD8" w:rsidP="00E14102">
      <w:pPr>
        <w:jc w:val="both"/>
        <w:rPr>
          <w:color w:val="0070C0"/>
          <w:sz w:val="16"/>
          <w:szCs w:val="16"/>
        </w:rPr>
      </w:pPr>
      <w:r w:rsidRPr="00E14102">
        <w:rPr>
          <w:color w:val="0070C0"/>
          <w:sz w:val="16"/>
          <w:szCs w:val="16"/>
        </w:rPr>
        <w:t>17 июня 1935 Уотсон-Уатт и его коллеги Арнольд Уилкинс и Эдвард Боуэн с помощью радиолокационной станции станции импульсного действия, разработанной и изготовленной ими в очень короткие сроки в лаборатории, построенной Министерство авиации Великобритании на берегу Северного моря в мае, засекли гидросамолет, пролетавший в 27 километрах от них. В ходе дальнейших испытаний радиус обнаружения движущегося объекта увеличился до 65 километров (22738).</w:t>
      </w:r>
    </w:p>
    <w:p w14:paraId="4354DDCD" w14:textId="77777777" w:rsidR="00F25FD8" w:rsidRPr="00E14102" w:rsidRDefault="00F25FD8" w:rsidP="00E14102">
      <w:pPr>
        <w:jc w:val="both"/>
        <w:rPr>
          <w:color w:val="0070C0"/>
          <w:sz w:val="16"/>
          <w:szCs w:val="16"/>
        </w:rPr>
      </w:pPr>
    </w:p>
    <w:p w14:paraId="7156E3C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17 июня 1935 создана американская кинокомпания “Парамаунт пикчерз” (4962).</w:t>
      </w:r>
    </w:p>
    <w:p w14:paraId="2D6D70E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A915ADB" w14:textId="77777777" w:rsidR="00F70A45" w:rsidRPr="00E14102" w:rsidRDefault="00F70A45" w:rsidP="00E14102">
      <w:pPr>
        <w:jc w:val="both"/>
        <w:rPr>
          <w:color w:val="000000" w:themeColor="text1"/>
          <w:sz w:val="16"/>
          <w:szCs w:val="16"/>
        </w:rPr>
      </w:pPr>
      <w:r w:rsidRPr="00E14102">
        <w:rPr>
          <w:bCs/>
          <w:color w:val="000000" w:themeColor="text1"/>
          <w:sz w:val="16"/>
          <w:szCs w:val="16"/>
        </w:rPr>
        <w:t>17 июня</w:t>
      </w:r>
      <w:r w:rsidRPr="00E14102">
        <w:rPr>
          <w:color w:val="000000" w:themeColor="text1"/>
          <w:sz w:val="16"/>
          <w:szCs w:val="16"/>
        </w:rPr>
        <w:t xml:space="preserve"> в 1935 году создана американская кинокомпания «Парамаунт пикчерз». Точнее,- обанкротившаяся в 1933 американская кинокомпания "Paramount Publix Corporation" реорганизована в компанию "Paramount Pictures" (14925).</w:t>
      </w:r>
    </w:p>
    <w:p w14:paraId="155776F3" w14:textId="77777777" w:rsidR="00F70A45" w:rsidRPr="00E14102" w:rsidRDefault="00F70A45" w:rsidP="00E14102">
      <w:pPr>
        <w:jc w:val="both"/>
        <w:rPr>
          <w:color w:val="000000" w:themeColor="text1"/>
          <w:sz w:val="16"/>
          <w:szCs w:val="16"/>
        </w:rPr>
      </w:pPr>
    </w:p>
    <w:p w14:paraId="577B17A0" w14:textId="77777777" w:rsidR="0090737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28463CAD" w14:textId="77777777" w:rsidR="0090737B" w:rsidRPr="00E14102" w:rsidRDefault="0090737B" w:rsidP="00E14102">
      <w:pPr>
        <w:autoSpaceDE w:val="0"/>
        <w:autoSpaceDN w:val="0"/>
        <w:adjustRightInd w:val="0"/>
        <w:jc w:val="both"/>
        <w:rPr>
          <w:iCs/>
          <w:color w:val="000000" w:themeColor="text1"/>
          <w:sz w:val="16"/>
          <w:szCs w:val="16"/>
        </w:rPr>
      </w:pPr>
    </w:p>
    <w:p w14:paraId="299293BD" w14:textId="77777777" w:rsidR="0090737B" w:rsidRPr="00E14102" w:rsidRDefault="0090737B" w:rsidP="00E14102">
      <w:pPr>
        <w:autoSpaceDE w:val="0"/>
        <w:autoSpaceDN w:val="0"/>
        <w:adjustRightInd w:val="0"/>
        <w:jc w:val="both"/>
        <w:rPr>
          <w:iCs/>
          <w:color w:val="000000" w:themeColor="text1"/>
          <w:sz w:val="16"/>
          <w:szCs w:val="16"/>
        </w:rPr>
      </w:pPr>
      <w:r w:rsidRPr="00E14102">
        <w:rPr>
          <w:color w:val="000000" w:themeColor="text1"/>
          <w:sz w:val="16"/>
          <w:szCs w:val="16"/>
        </w:rPr>
        <w:t>18 июня 1935 года</w:t>
      </w:r>
      <w:r w:rsidRPr="00E14102">
        <w:rPr>
          <w:bCs/>
          <w:color w:val="000000" w:themeColor="text1"/>
          <w:sz w:val="16"/>
          <w:szCs w:val="16"/>
        </w:rPr>
        <w:t xml:space="preserve"> Сталин употребил неожиданное для большевиков выражение «Мать-Родина»: «Не сомневаюсь, что бойцы, командиры и политработники дивизии с честью выполнят свой долг, когда этого потребуют интересы защиты нашей Матери-Родины от нападения врагов» (17328).</w:t>
      </w:r>
    </w:p>
    <w:p w14:paraId="773A79CC" w14:textId="77777777" w:rsidR="0090737B" w:rsidRPr="00E14102" w:rsidRDefault="0090737B" w:rsidP="00E14102">
      <w:pPr>
        <w:autoSpaceDE w:val="0"/>
        <w:autoSpaceDN w:val="0"/>
        <w:adjustRightInd w:val="0"/>
        <w:jc w:val="both"/>
        <w:rPr>
          <w:iCs/>
          <w:color w:val="000000" w:themeColor="text1"/>
          <w:sz w:val="16"/>
          <w:szCs w:val="16"/>
        </w:rPr>
      </w:pPr>
    </w:p>
    <w:p w14:paraId="195F738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DDFFBF3" w14:textId="77777777" w:rsidR="00D4105E" w:rsidRPr="00E14102" w:rsidRDefault="00D4105E" w:rsidP="00E14102">
      <w:pPr>
        <w:autoSpaceDE w:val="0"/>
        <w:autoSpaceDN w:val="0"/>
        <w:adjustRightInd w:val="0"/>
        <w:jc w:val="both"/>
        <w:rPr>
          <w:iCs/>
          <w:color w:val="000000" w:themeColor="text1"/>
          <w:sz w:val="16"/>
          <w:szCs w:val="16"/>
        </w:rPr>
      </w:pPr>
    </w:p>
    <w:p w14:paraId="14D1876D" w14:textId="77777777" w:rsidR="00F70A45" w:rsidRPr="00E14102" w:rsidRDefault="00F70A45" w:rsidP="00E14102">
      <w:pPr>
        <w:jc w:val="both"/>
        <w:rPr>
          <w:color w:val="000000" w:themeColor="text1"/>
          <w:sz w:val="16"/>
          <w:szCs w:val="16"/>
        </w:rPr>
      </w:pPr>
      <w:r w:rsidRPr="00E14102">
        <w:rPr>
          <w:bCs/>
          <w:color w:val="000000" w:themeColor="text1"/>
          <w:sz w:val="16"/>
          <w:szCs w:val="16"/>
        </w:rPr>
        <w:t>18 июня</w:t>
      </w:r>
      <w:r w:rsidRPr="00E14102">
        <w:rPr>
          <w:color w:val="000000" w:themeColor="text1"/>
          <w:sz w:val="16"/>
          <w:szCs w:val="16"/>
        </w:rPr>
        <w:t xml:space="preserve"> в 1935 году американский двухместный истребитель «SEV-2XP» предназначенный для участия в конкурсе, был сильно поврежден, якобы в результате несчастного случая в ходе транспортировки на «Wright Field» для участия в соревновании, и самолет возвратили на завод в Фармингдейл для ремонта. Но вскоре появились слухи, что этот "несчастный случай" был специально придуман Северским, чтобы выиграть время на изменение проекта (14926).</w:t>
      </w:r>
    </w:p>
    <w:p w14:paraId="454514AC" w14:textId="77777777" w:rsidR="00F70A45" w:rsidRPr="00E14102" w:rsidRDefault="00F70A45" w:rsidP="00E14102">
      <w:pPr>
        <w:jc w:val="both"/>
        <w:rPr>
          <w:color w:val="000000" w:themeColor="text1"/>
          <w:sz w:val="16"/>
          <w:szCs w:val="16"/>
        </w:rPr>
      </w:pPr>
    </w:p>
    <w:p w14:paraId="0636ED8B" w14:textId="77777777" w:rsidR="00D4105E" w:rsidRPr="00E14102" w:rsidRDefault="00D4105E" w:rsidP="00E14102">
      <w:pPr>
        <w:autoSpaceDE w:val="0"/>
        <w:autoSpaceDN w:val="0"/>
        <w:adjustRightInd w:val="0"/>
        <w:jc w:val="both"/>
        <w:rPr>
          <w:color w:val="000000" w:themeColor="text1"/>
          <w:sz w:val="16"/>
          <w:szCs w:val="16"/>
          <w:lang w:val="en-US"/>
        </w:rPr>
      </w:pPr>
      <w:r w:rsidRPr="00E14102">
        <w:rPr>
          <w:color w:val="000000" w:themeColor="text1"/>
          <w:sz w:val="16"/>
          <w:szCs w:val="16"/>
          <w:lang w:val="en-US"/>
        </w:rPr>
        <w:t>June 18 1935 Anglo-German naval agreement is signed (1037).</w:t>
      </w:r>
    </w:p>
    <w:p w14:paraId="0443A5EC" w14:textId="77777777" w:rsidR="00D4105E" w:rsidRPr="00E14102" w:rsidRDefault="00D4105E" w:rsidP="00E14102">
      <w:pPr>
        <w:autoSpaceDE w:val="0"/>
        <w:autoSpaceDN w:val="0"/>
        <w:adjustRightInd w:val="0"/>
        <w:jc w:val="both"/>
        <w:rPr>
          <w:color w:val="000000" w:themeColor="text1"/>
          <w:sz w:val="16"/>
          <w:szCs w:val="16"/>
          <w:lang w:val="en-US"/>
        </w:rPr>
      </w:pPr>
    </w:p>
    <w:p w14:paraId="3240F9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июня 1935 было подписана англо-германское морское соглашение (1037). В нарушение Версальского соглашения Германия получила право иметь флот в 35% по тоннажу от английского и по 45% по подводным лодкам. Это обеспечивало превосходство немецкого флота над нашим Балтийским (2438,36).</w:t>
      </w:r>
    </w:p>
    <w:p w14:paraId="01B4122A" w14:textId="77777777" w:rsidR="00D4105E" w:rsidRPr="00E14102" w:rsidRDefault="00D4105E" w:rsidP="00E14102">
      <w:pPr>
        <w:autoSpaceDE w:val="0"/>
        <w:autoSpaceDN w:val="0"/>
        <w:adjustRightInd w:val="0"/>
        <w:jc w:val="both"/>
        <w:rPr>
          <w:color w:val="000000" w:themeColor="text1"/>
          <w:sz w:val="16"/>
          <w:szCs w:val="16"/>
        </w:rPr>
      </w:pPr>
    </w:p>
    <w:p w14:paraId="742995D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18 июня 1935 было заключено англо-германское морское соглашение. В нарушении Версальского мирного договора Германия получила право иметь военный флот по тоннажу , равный 35% тоннажа ВМС Британской империи , а по подводному флоту - 45%. Это соглашение стало одним из первых актов "умиротворения" фашистской Германии (4963 ).</w:t>
      </w:r>
    </w:p>
    <w:p w14:paraId="7A666F5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6CA2E5A" w14:textId="77777777" w:rsidR="00F70A45" w:rsidRPr="00E14102" w:rsidRDefault="00F70A45" w:rsidP="00E14102">
      <w:pPr>
        <w:jc w:val="both"/>
        <w:rPr>
          <w:color w:val="000000" w:themeColor="text1"/>
          <w:sz w:val="16"/>
          <w:szCs w:val="16"/>
        </w:rPr>
      </w:pPr>
      <w:r w:rsidRPr="00E14102">
        <w:rPr>
          <w:bCs/>
          <w:color w:val="000000" w:themeColor="text1"/>
          <w:sz w:val="16"/>
          <w:szCs w:val="16"/>
        </w:rPr>
        <w:t>18 июня</w:t>
      </w:r>
      <w:r w:rsidRPr="00E14102">
        <w:rPr>
          <w:color w:val="000000" w:themeColor="text1"/>
          <w:sz w:val="16"/>
          <w:szCs w:val="16"/>
        </w:rPr>
        <w:t xml:space="preserve"> в 1935 году было заключено англо-германское морское соглашение. В нарушении Версальского мирного договора Германия получила право иметь военный флот по тоннажу, равный 35% тоннажа ВМС Британской империи, а по подводному флоту - 45%. Это соглашение стало одним из первых актов "умиротворения" фашистской Германии (14926).</w:t>
      </w:r>
    </w:p>
    <w:p w14:paraId="55611321" w14:textId="77777777" w:rsidR="00F70A45" w:rsidRPr="00E14102" w:rsidRDefault="00F70A45" w:rsidP="00E14102">
      <w:pPr>
        <w:jc w:val="both"/>
        <w:rPr>
          <w:color w:val="000000" w:themeColor="text1"/>
          <w:sz w:val="16"/>
          <w:szCs w:val="16"/>
        </w:rPr>
      </w:pPr>
    </w:p>
    <w:p w14:paraId="0827AA1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4B3EFD1" w14:textId="77777777" w:rsidR="00D4105E" w:rsidRPr="00E14102" w:rsidRDefault="00D4105E" w:rsidP="00E14102">
      <w:pPr>
        <w:autoSpaceDE w:val="0"/>
        <w:autoSpaceDN w:val="0"/>
        <w:adjustRightInd w:val="0"/>
        <w:jc w:val="both"/>
        <w:rPr>
          <w:iCs/>
          <w:color w:val="000000" w:themeColor="text1"/>
          <w:sz w:val="16"/>
          <w:szCs w:val="16"/>
        </w:rPr>
      </w:pPr>
    </w:p>
    <w:p w14:paraId="360414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июня 1935 года после переделок и исследований, для устранения дефектов (устойчивость, элероны, охлаждение моторов, исследования обтекателей, монококов, триммера) самолет СБ-2 Испано сдан на повторные госиспытания. В первых числах августа самолет поступил в ЦАГИ для новых испытаний. Согласно постановления Правительства от 4 августа (новое оперение, переделка крыльев, капотов, мотооборудование и пр.), после внесенных исправлений, выведен на аэродром – 11 сентября 1935 года (3475,103).</w:t>
      </w:r>
    </w:p>
    <w:p w14:paraId="5584B204" w14:textId="77777777" w:rsidR="00D4105E" w:rsidRPr="00E14102" w:rsidRDefault="00D4105E" w:rsidP="00E14102">
      <w:pPr>
        <w:autoSpaceDE w:val="0"/>
        <w:autoSpaceDN w:val="0"/>
        <w:adjustRightInd w:val="0"/>
        <w:jc w:val="both"/>
        <w:rPr>
          <w:color w:val="000000" w:themeColor="text1"/>
          <w:sz w:val="16"/>
          <w:szCs w:val="16"/>
        </w:rPr>
      </w:pPr>
    </w:p>
    <w:p w14:paraId="7DAE119B" w14:textId="77777777" w:rsidR="00F25FD8" w:rsidRPr="00E14102" w:rsidRDefault="00F25FD8" w:rsidP="00E14102">
      <w:pPr>
        <w:jc w:val="both"/>
        <w:rPr>
          <w:color w:val="0070C0"/>
          <w:sz w:val="16"/>
          <w:szCs w:val="16"/>
        </w:rPr>
      </w:pPr>
      <w:r w:rsidRPr="00E14102">
        <w:rPr>
          <w:color w:val="0070C0"/>
          <w:sz w:val="16"/>
          <w:szCs w:val="16"/>
          <w:lang w:bidi="ru-RU"/>
        </w:rPr>
        <w:t>19 июня 1935 при возвращении В-6 из Арзамаса случился инцидент, напомнивший, что даже такой передовой дирижабль не менее уязвим, чем маленькие мягкие корабли, которые бросает вверх и вниз воздушными потоками.</w:t>
      </w:r>
    </w:p>
    <w:p w14:paraId="19E67500" w14:textId="77777777" w:rsidR="00F25FD8" w:rsidRPr="00E14102" w:rsidRDefault="00F25FD8" w:rsidP="00E14102">
      <w:pPr>
        <w:jc w:val="both"/>
        <w:rPr>
          <w:color w:val="0070C0"/>
          <w:sz w:val="16"/>
          <w:szCs w:val="16"/>
        </w:rPr>
      </w:pPr>
      <w:r w:rsidRPr="00E14102">
        <w:rPr>
          <w:color w:val="0070C0"/>
          <w:sz w:val="16"/>
          <w:szCs w:val="16"/>
          <w:lang w:bidi="ru-RU"/>
        </w:rPr>
        <w:t>Во время посадки на Долгопрудной «СССР-В6» сильным порывом ветра внезапно вырвало из рук причальной команды. Случалось, в подобных ситуациях срабатывал эффект домино: чувствуя, как огромная туша неумолимо тащит верёвку вверх, кто-то первым пугался и бросал её, чтобы самому не взмыть в небо. Нагрузка на оставшихся увеличивалась, и вот уже не выдерживал следующий, за ним ещё и ещё. Иногда дирижабль утаскивал за собой не успевших вовремя отпустить верёвку, и те разбивались, падая с высоты.</w:t>
      </w:r>
    </w:p>
    <w:p w14:paraId="3923470F" w14:textId="77777777" w:rsidR="00F25FD8" w:rsidRPr="00E14102" w:rsidRDefault="00F25FD8" w:rsidP="00E14102">
      <w:pPr>
        <w:jc w:val="both"/>
        <w:rPr>
          <w:color w:val="0070C0"/>
          <w:sz w:val="16"/>
          <w:szCs w:val="16"/>
        </w:rPr>
      </w:pPr>
      <w:r w:rsidRPr="00E14102">
        <w:rPr>
          <w:color w:val="0070C0"/>
          <w:sz w:val="16"/>
          <w:szCs w:val="16"/>
          <w:lang w:bidi="ru-RU"/>
        </w:rPr>
        <w:t>В тот день «СССР-В6» унёс и поднял на 400 метров стартовика Орищенко. Однако тот не потерял самообладания, привязался к канату, пролетел на нём за 25 минут около 15 километров и благополучно сбросился в пруд. За своё героическое поведение Орищенко был премирован [60]. Примечательно, что экипаж либо не заметил висящего внизу человека, либо не сумел ни поднять его к себе, ни снизиться на безопасную высоту, чтобы тот мог спрыгнуть на землю (23192).</w:t>
      </w:r>
    </w:p>
    <w:p w14:paraId="1969DDEC" w14:textId="77777777" w:rsidR="00F25FD8" w:rsidRPr="00E14102" w:rsidRDefault="00F25FD8" w:rsidP="00E14102">
      <w:pPr>
        <w:jc w:val="both"/>
        <w:rPr>
          <w:color w:val="0070C0"/>
          <w:sz w:val="16"/>
          <w:szCs w:val="16"/>
        </w:rPr>
      </w:pPr>
    </w:p>
    <w:p w14:paraId="5EAE2B9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ACB9F37" w14:textId="77777777" w:rsidR="00D4105E" w:rsidRPr="00E14102" w:rsidRDefault="00D4105E" w:rsidP="00E14102">
      <w:pPr>
        <w:autoSpaceDE w:val="0"/>
        <w:autoSpaceDN w:val="0"/>
        <w:adjustRightInd w:val="0"/>
        <w:jc w:val="both"/>
        <w:rPr>
          <w:iCs/>
          <w:color w:val="000000" w:themeColor="text1"/>
          <w:sz w:val="16"/>
          <w:szCs w:val="16"/>
        </w:rPr>
      </w:pPr>
    </w:p>
    <w:p w14:paraId="50A7ECE0" w14:textId="77777777" w:rsidR="00F70A45" w:rsidRPr="00E14102" w:rsidRDefault="00F70A45" w:rsidP="00E14102">
      <w:pPr>
        <w:jc w:val="both"/>
        <w:rPr>
          <w:rStyle w:val="a6"/>
          <w:i w:val="0"/>
          <w:color w:val="000000" w:themeColor="text1"/>
          <w:sz w:val="16"/>
          <w:szCs w:val="16"/>
        </w:rPr>
      </w:pPr>
      <w:r w:rsidRPr="00E14102">
        <w:rPr>
          <w:rStyle w:val="a6"/>
          <w:i w:val="0"/>
          <w:color w:val="000000" w:themeColor="text1"/>
          <w:sz w:val="16"/>
          <w:szCs w:val="16"/>
        </w:rPr>
        <w:t xml:space="preserve">19 июня 1935 г. </w:t>
      </w:r>
      <w:r w:rsidRPr="00E14102">
        <w:rPr>
          <w:color w:val="000000" w:themeColor="text1"/>
          <w:sz w:val="16"/>
          <w:szCs w:val="16"/>
        </w:rPr>
        <w:t>Постановление СТО СССР № С-70сс «О реализации системы артиллерийского вооружения»</w:t>
      </w:r>
    </w:p>
    <w:p w14:paraId="55373CCB" w14:textId="77777777" w:rsidR="00F70A45" w:rsidRPr="00E14102" w:rsidRDefault="00F70A45"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43241568"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Совет труда и обороны постановляет:</w:t>
      </w:r>
    </w:p>
    <w:p w14:paraId="5A561291"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1. Отказаться от требования создания универсальной дивизионной пушки и признать необходимым иметь на вооружении дивизии две пушки: а) 76</w:t>
      </w:r>
      <w:r w:rsidRPr="00E14102">
        <w:rPr>
          <w:color w:val="000000" w:themeColor="text1"/>
          <w:sz w:val="16"/>
          <w:szCs w:val="16"/>
        </w:rPr>
        <w:noBreakHyphen/>
        <w:t>мм наземную пушку с дальностью 14</w:t>
      </w:r>
      <w:r w:rsidRPr="00E14102">
        <w:rPr>
          <w:color w:val="000000" w:themeColor="text1"/>
          <w:sz w:val="16"/>
          <w:szCs w:val="16"/>
        </w:rPr>
        <w:noBreakHyphen/>
        <w:t>15 км, приспособленную для конной тяги на шестерке лошадей и для механической тяги со скоростью до 30 км; б) 37</w:t>
      </w:r>
      <w:r w:rsidRPr="00E14102">
        <w:rPr>
          <w:color w:val="000000" w:themeColor="text1"/>
          <w:sz w:val="16"/>
          <w:szCs w:val="16"/>
        </w:rPr>
        <w:noBreakHyphen/>
        <w:t>мм </w:t>
      </w:r>
      <w:r w:rsidRPr="00E14102">
        <w:rPr>
          <w:color w:val="000000" w:themeColor="text1"/>
          <w:sz w:val="16"/>
          <w:szCs w:val="16"/>
        </w:rPr>
        <w:noBreakHyphen/>
        <w:t>45</w:t>
      </w:r>
      <w:r w:rsidRPr="00E14102">
        <w:rPr>
          <w:color w:val="000000" w:themeColor="text1"/>
          <w:sz w:val="16"/>
          <w:szCs w:val="16"/>
        </w:rPr>
        <w:noBreakHyphen/>
        <w:t>мм автоматическую зенитную пушку.</w:t>
      </w:r>
    </w:p>
    <w:p w14:paraId="33133212"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2. Считать наиболее приемлемым типом наземной дивизионной пушки системы завода № 92 с раздвижными станинами (Ф</w:t>
      </w:r>
      <w:r w:rsidRPr="00E14102">
        <w:rPr>
          <w:color w:val="000000" w:themeColor="text1"/>
          <w:sz w:val="16"/>
          <w:szCs w:val="16"/>
        </w:rPr>
        <w:noBreakHyphen/>
        <w:t>22)¹*. Испытания изготовленных опытных образцов этих систем (полигонные и войсковые) НКОбороны провести с привлечением конструкторов в двухмесячный срок — к 20 августа с. г.</w:t>
      </w:r>
    </w:p>
    <w:p w14:paraId="0274BDE0"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3. Обязать директора завода № 92 т. Радкевича изготовить к 1 ноября с. г. опытные серии систем Ф</w:t>
      </w:r>
      <w:r w:rsidRPr="00E14102">
        <w:rPr>
          <w:color w:val="000000" w:themeColor="text1"/>
          <w:sz w:val="16"/>
          <w:szCs w:val="16"/>
        </w:rPr>
        <w:noBreakHyphen/>
        <w:t>22 в количестве 9 орудий (3 батареи).</w:t>
      </w:r>
    </w:p>
    <w:p w14:paraId="53A4EBFA"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4. Поручить комиссии в составе тт. Тухачевского²*, Павлуновского, Ефимова, Роговского, Железнякова, Артамонова, Радкевича, Грабина разработать указания заводу № 92 об исправлениях и улучшениях, которые необходимо внести в опытную серию систем. Срок работы комиссии — 21 июня с. г.</w:t>
      </w:r>
    </w:p>
    <w:p w14:paraId="78FDB919"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5. Поручить тт. Тухачевскому, Павлуновскому и Ефимову разработать требования к малокалиберной автоматической зенитной дивизионной пушке и определить заводы-изготовители и сроки изготовления опытных образцов. В частности, предусмотреть задачу создания малокалиберной пушки с начальной скоростью 1500 м/с. Предложения комиссии заслушать на следующем заседании СТО с вызовом конструкторов (тт. Шпитального, Сидоренко, Маханова).</w:t>
      </w:r>
    </w:p>
    <w:p w14:paraId="38B2FEC6"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6. Принять на вооружение корпуса 122</w:t>
      </w:r>
      <w:r w:rsidRPr="00E14102">
        <w:rPr>
          <w:color w:val="000000" w:themeColor="text1"/>
          <w:sz w:val="16"/>
          <w:szCs w:val="16"/>
        </w:rPr>
        <w:noBreakHyphen/>
        <w:t>мм пушку и 152</w:t>
      </w:r>
      <w:r w:rsidRPr="00E14102">
        <w:rPr>
          <w:color w:val="000000" w:themeColor="text1"/>
          <w:sz w:val="16"/>
          <w:szCs w:val="16"/>
        </w:rPr>
        <w:noBreakHyphen/>
        <w:t>мм гаубицу на общем лафете (А</w:t>
      </w:r>
      <w:r w:rsidRPr="00E14102">
        <w:rPr>
          <w:color w:val="000000" w:themeColor="text1"/>
          <w:sz w:val="16"/>
          <w:szCs w:val="16"/>
        </w:rPr>
        <w:noBreakHyphen/>
        <w:t>19).</w:t>
      </w:r>
    </w:p>
    <w:p w14:paraId="45E4D429"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7. Обязать директора завода им. Молотова т. Премудрова изготовить в декабре с. г. опытный образец лафета к этой системе с увеличенным углом возвышения до 65°.</w:t>
      </w:r>
    </w:p>
    <w:p w14:paraId="76AC07C0"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8. Предложить НКТПрому изготовить опытные образцы корпусных мощных зенитных пушек: а) 100</w:t>
      </w:r>
      <w:r w:rsidRPr="00E14102">
        <w:rPr>
          <w:color w:val="000000" w:themeColor="text1"/>
          <w:sz w:val="16"/>
          <w:szCs w:val="16"/>
        </w:rPr>
        <w:noBreakHyphen/>
        <w:t>мм пушки на Кировском заводе со сроком изготовления 1 января 1936 г.; б) 76</w:t>
      </w:r>
      <w:r w:rsidRPr="00E14102">
        <w:rPr>
          <w:color w:val="000000" w:themeColor="text1"/>
          <w:sz w:val="16"/>
          <w:szCs w:val="16"/>
        </w:rPr>
        <w:noBreakHyphen/>
        <w:t>мм пушки с начальной скоростью 1100</w:t>
      </w:r>
      <w:r w:rsidRPr="00E14102">
        <w:rPr>
          <w:color w:val="000000" w:themeColor="text1"/>
          <w:sz w:val="16"/>
          <w:szCs w:val="16"/>
        </w:rPr>
        <w:noBreakHyphen/>
        <w:t>1200 м/с на заводе № 8 со сроком изготовления 1 января 1936 г.; в) 76</w:t>
      </w:r>
      <w:r w:rsidRPr="00E14102">
        <w:rPr>
          <w:color w:val="000000" w:themeColor="text1"/>
          <w:sz w:val="16"/>
          <w:szCs w:val="16"/>
        </w:rPr>
        <w:noBreakHyphen/>
        <w:t>мм пушки с начальной скоростью 1500 м/с, наложенной на один из существующих зенитных лафетов, на заводе № 92 со сроком изготовления сентябрь 1935 г.</w:t>
      </w:r>
    </w:p>
    <w:p w14:paraId="40B24F4E"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9. Обязать директора завода «Большевик» т. Руда сдать 1 июля с. г. образец 152</w:t>
      </w:r>
      <w:r w:rsidRPr="00E14102">
        <w:rPr>
          <w:color w:val="000000" w:themeColor="text1"/>
          <w:sz w:val="16"/>
          <w:szCs w:val="16"/>
        </w:rPr>
        <w:noBreakHyphen/>
        <w:t>мм пушки на лафете 203</w:t>
      </w:r>
      <w:r w:rsidRPr="00E14102">
        <w:rPr>
          <w:color w:val="000000" w:themeColor="text1"/>
          <w:sz w:val="16"/>
          <w:szCs w:val="16"/>
        </w:rPr>
        <w:noBreakHyphen/>
        <w:t>мм гаубицы (Б</w:t>
      </w:r>
      <w:r w:rsidRPr="00E14102">
        <w:rPr>
          <w:color w:val="000000" w:themeColor="text1"/>
          <w:sz w:val="16"/>
          <w:szCs w:val="16"/>
        </w:rPr>
        <w:noBreakHyphen/>
        <w:t>30) на полигонные испытания НКО. НКОбороны закончить испытания этой системы к 1 августа с. г.</w:t>
      </w:r>
    </w:p>
    <w:p w14:paraId="1399353C"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10. Принять предложение завода «Большевик» (тт. Руда и Магдесиев) об изготовлении опытного образца 280</w:t>
      </w:r>
      <w:r w:rsidRPr="00E14102">
        <w:rPr>
          <w:color w:val="000000" w:themeColor="text1"/>
          <w:sz w:val="16"/>
          <w:szCs w:val="16"/>
        </w:rPr>
        <w:noBreakHyphen/>
        <w:t>мм мортиры на лафете гаубицы Б</w:t>
      </w:r>
      <w:r w:rsidRPr="00E14102">
        <w:rPr>
          <w:color w:val="000000" w:themeColor="text1"/>
          <w:sz w:val="16"/>
          <w:szCs w:val="16"/>
        </w:rPr>
        <w:noBreakHyphen/>
        <w:t>4 со сроком изготовления декабрь с. г.</w:t>
      </w:r>
    </w:p>
    <w:p w14:paraId="779C06BA"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11. Предложить директору завода «Большевик» т. Руда, начальнику конструкторского бюро завода «Большевик» т. Магдесиеву и директору опытного завода Спецмаштреста им. т. Кирова т. Барыкову изготовить рабочие чертежи и организовать изготовление опытного образца мощной системы 203</w:t>
      </w:r>
      <w:r w:rsidRPr="00E14102">
        <w:rPr>
          <w:color w:val="000000" w:themeColor="text1"/>
          <w:sz w:val="16"/>
          <w:szCs w:val="16"/>
        </w:rPr>
        <w:noBreakHyphen/>
        <w:t>мм пушки и 305</w:t>
      </w:r>
      <w:r w:rsidRPr="00E14102">
        <w:rPr>
          <w:color w:val="000000" w:themeColor="text1"/>
          <w:sz w:val="16"/>
          <w:szCs w:val="16"/>
        </w:rPr>
        <w:noBreakHyphen/>
        <w:t>мм гаубицы на общем самоходном лафете с расчетом сдачи образца на испытание в конце 1936 г.</w:t>
      </w:r>
    </w:p>
    <w:p w14:paraId="37BAF5CC"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12. Обязать НКТП принятые промышленностью заказы на новые системы 122</w:t>
      </w:r>
      <w:r w:rsidRPr="00E14102">
        <w:rPr>
          <w:color w:val="000000" w:themeColor="text1"/>
          <w:sz w:val="16"/>
          <w:szCs w:val="16"/>
        </w:rPr>
        <w:noBreakHyphen/>
        <w:t>мм пушек, 152</w:t>
      </w:r>
      <w:r w:rsidRPr="00E14102">
        <w:rPr>
          <w:color w:val="000000" w:themeColor="text1"/>
          <w:sz w:val="16"/>
          <w:szCs w:val="16"/>
        </w:rPr>
        <w:noBreakHyphen/>
        <w:t>мм гаубиц, 152</w:t>
      </w:r>
      <w:r w:rsidRPr="00E14102">
        <w:rPr>
          <w:color w:val="000000" w:themeColor="text1"/>
          <w:sz w:val="16"/>
          <w:szCs w:val="16"/>
        </w:rPr>
        <w:noBreakHyphen/>
        <w:t>мм пушек и 203</w:t>
      </w:r>
      <w:r w:rsidRPr="00E14102">
        <w:rPr>
          <w:color w:val="000000" w:themeColor="text1"/>
          <w:sz w:val="16"/>
          <w:szCs w:val="16"/>
        </w:rPr>
        <w:noBreakHyphen/>
        <w:t>мм гаубиц выполнить полностью в 1935 г.</w:t>
      </w:r>
    </w:p>
    <w:p w14:paraId="1A746010"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lastRenderedPageBreak/>
        <w:t>13. Разрешить НКТП импортировать из САСШ 60³* шт. моторов для трехосных автомобилей ЯГ</w:t>
      </w:r>
      <w:r w:rsidRPr="00E14102">
        <w:rPr>
          <w:color w:val="000000" w:themeColor="text1"/>
          <w:sz w:val="16"/>
          <w:szCs w:val="16"/>
        </w:rPr>
        <w:noBreakHyphen/>
        <w:t>10, с целью использования их для установки 76</w:t>
      </w:r>
      <w:r w:rsidRPr="00E14102">
        <w:rPr>
          <w:color w:val="000000" w:themeColor="text1"/>
          <w:sz w:val="16"/>
          <w:szCs w:val="16"/>
        </w:rPr>
        <w:noBreakHyphen/>
        <w:t>мм зенитных пушек образца 1931 г. НКТПрому внести предложение о типе мотора в трехдневный срок.</w:t>
      </w:r>
    </w:p>
    <w:p w14:paraId="7D960E31"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14. Обязать директора ХПЗ т. Бондаренко изготовить к 1 января 1936 г. два образца мощных тракторов весом около 16 т для возки тяжелых артиллерийских орудий (12</w:t>
      </w:r>
      <w:r w:rsidRPr="00E14102">
        <w:rPr>
          <w:color w:val="000000" w:themeColor="text1"/>
          <w:sz w:val="16"/>
          <w:szCs w:val="16"/>
        </w:rPr>
        <w:noBreakHyphen/>
        <w:t>18 т). Изготовляемые в настоящем году на ХПЗ тракторы «Коминтерн» в количестве 50 шт. использовать в качестве тягачей артиллерийских систем АРГК.</w:t>
      </w:r>
    </w:p>
    <w:p w14:paraId="00AB597A"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15. Признать необходимым иметь на вооружении дивизионной и корпусной артиллерии специальный самолет — артиллерийский корректировщик. Поручить комиссии в составе тт. Роговского (председатель), Алксниса, Марголина разработать в декадный срок тактико-технические требования к этому самолету.</w:t>
      </w:r>
    </w:p>
    <w:p w14:paraId="4894518C"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16. Поручить т. Орджоникидзе представить предложения о награждении конструкторов и работников заводов, участвовавших в создании новых образцов артиллерийского вооружения.</w:t>
      </w:r>
    </w:p>
    <w:p w14:paraId="7D09327C" w14:textId="77777777" w:rsidR="00F70A45" w:rsidRPr="00E14102" w:rsidRDefault="00F70A45"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Председатель Совета труда и обороны В.</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Молотов</w:t>
      </w:r>
    </w:p>
    <w:p w14:paraId="64E2C76A" w14:textId="77777777" w:rsidR="00F70A45" w:rsidRPr="00E14102" w:rsidRDefault="00F70A45"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6B091DD3" w14:textId="77777777" w:rsidR="00F70A45" w:rsidRPr="00E14102" w:rsidRDefault="00F70A45"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57CA0C34"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¹* В 1934 г. конструкторское бюро, возглавляемое В. Г. Грабиным, получило приказ на разработку новой 76,2</w:t>
      </w:r>
      <w:r w:rsidRPr="00E14102">
        <w:rPr>
          <w:color w:val="000000" w:themeColor="text1"/>
          <w:sz w:val="16"/>
          <w:szCs w:val="16"/>
        </w:rPr>
        <w:noBreakHyphen/>
        <w:t xml:space="preserve">мм пушки, позже названной </w:t>
      </w:r>
      <w:r w:rsidRPr="00E14102">
        <w:rPr>
          <w:rStyle w:val="a6"/>
          <w:bCs/>
          <w:i w:val="0"/>
          <w:color w:val="000000" w:themeColor="text1"/>
          <w:sz w:val="16"/>
          <w:szCs w:val="16"/>
        </w:rPr>
        <w:t>Ф</w:t>
      </w:r>
      <w:r w:rsidRPr="00E14102">
        <w:rPr>
          <w:rStyle w:val="a6"/>
          <w:bCs/>
          <w:i w:val="0"/>
          <w:color w:val="000000" w:themeColor="text1"/>
          <w:sz w:val="16"/>
          <w:szCs w:val="16"/>
        </w:rPr>
        <w:noBreakHyphen/>
        <w:t>22</w:t>
      </w:r>
      <w:r w:rsidRPr="00E14102">
        <w:rPr>
          <w:color w:val="000000" w:themeColor="text1"/>
          <w:sz w:val="16"/>
          <w:szCs w:val="16"/>
        </w:rPr>
        <w:t>. Это было первое орудие, которое полностью разработало конструкторское бюро Грабина. Ф</w:t>
      </w:r>
      <w:r w:rsidRPr="00E14102">
        <w:rPr>
          <w:color w:val="000000" w:themeColor="text1"/>
          <w:sz w:val="16"/>
          <w:szCs w:val="16"/>
        </w:rPr>
        <w:noBreakHyphen/>
        <w:t>22 имела превосходные баллистические свойства. Первоначально была создана как полевое орудие, но фактически использовалась как дивизионная пушка, могла также использоваться в противоздушной обороне. В начале 1935 г., были изготовлены 3 опытных образца, которые были испытаны на полигоне в июле-декабре 1935 г. После испытаний Ф</w:t>
      </w:r>
      <w:r w:rsidRPr="00E14102">
        <w:rPr>
          <w:color w:val="000000" w:themeColor="text1"/>
          <w:sz w:val="16"/>
          <w:szCs w:val="16"/>
        </w:rPr>
        <w:noBreakHyphen/>
        <w:t>22 была принята на вооружение как «дивизионная 76,2</w:t>
      </w:r>
      <w:r w:rsidRPr="00E14102">
        <w:rPr>
          <w:color w:val="000000" w:themeColor="text1"/>
          <w:sz w:val="16"/>
          <w:szCs w:val="16"/>
        </w:rPr>
        <w:noBreakHyphen/>
        <w:t>мм пушка». Во время эксплуатации пушки Ф</w:t>
      </w:r>
      <w:r w:rsidRPr="00E14102">
        <w:rPr>
          <w:color w:val="000000" w:themeColor="text1"/>
          <w:sz w:val="16"/>
          <w:szCs w:val="16"/>
        </w:rPr>
        <w:noBreakHyphen/>
        <w:t>22 выявлялись недостатки, которые устранялись заводами-производителями. Всего до конца 1937 г. было произведено 3 тыс. орудий.</w:t>
      </w:r>
    </w:p>
    <w:p w14:paraId="7D431E19"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²* Далее над строкой от руки вписано: «созыв».</w:t>
      </w:r>
    </w:p>
    <w:p w14:paraId="12E6A4EA"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³* Цифра 100 от руки исправлена на 60.</w:t>
      </w:r>
    </w:p>
    <w:p w14:paraId="355153FD" w14:textId="77777777" w:rsidR="00F70A45" w:rsidRPr="00E14102" w:rsidRDefault="00F70A45" w:rsidP="00E14102">
      <w:pPr>
        <w:pStyle w:val="ad"/>
        <w:spacing w:before="0" w:after="0"/>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lang w:val="ru-RU"/>
        </w:rPr>
        <w:t xml:space="preserve">ГА РФ. Ф. Р-8418. Оп. 28. Д. 6. Л. 210-212. </w:t>
      </w:r>
      <w:r w:rsidRPr="00E14102">
        <w:rPr>
          <w:rFonts w:ascii="Times New Roman" w:hAnsi="Times New Roman" w:cs="Times New Roman"/>
          <w:color w:val="000000" w:themeColor="text1"/>
          <w:sz w:val="16"/>
          <w:szCs w:val="16"/>
        </w:rPr>
        <w:t>Подлинник (15349).</w:t>
      </w:r>
    </w:p>
    <w:p w14:paraId="0C0FE67B" w14:textId="77777777" w:rsidR="00F70A45" w:rsidRPr="00E14102" w:rsidRDefault="00F70A45" w:rsidP="00E14102">
      <w:pPr>
        <w:jc w:val="both"/>
        <w:rPr>
          <w:rStyle w:val="a6"/>
          <w:i w:val="0"/>
          <w:color w:val="000000" w:themeColor="text1"/>
          <w:sz w:val="16"/>
          <w:szCs w:val="16"/>
        </w:rPr>
      </w:pPr>
    </w:p>
    <w:p w14:paraId="5909C0CB" w14:textId="77777777" w:rsidR="00F70A45" w:rsidRPr="00E14102" w:rsidRDefault="00F70A45" w:rsidP="00E14102">
      <w:pPr>
        <w:pStyle w:val="rtejustify"/>
        <w:spacing w:before="0" w:after="0"/>
        <w:rPr>
          <w:color w:val="000000" w:themeColor="text1"/>
          <w:sz w:val="16"/>
          <w:szCs w:val="16"/>
        </w:rPr>
      </w:pPr>
      <w:r w:rsidRPr="00E14102">
        <w:rPr>
          <w:rStyle w:val="a6"/>
          <w:bCs/>
          <w:i w:val="0"/>
          <w:color w:val="000000" w:themeColor="text1"/>
          <w:sz w:val="16"/>
          <w:szCs w:val="16"/>
        </w:rPr>
        <w:t>19 июня</w:t>
      </w:r>
      <w:r w:rsidRPr="00E14102">
        <w:rPr>
          <w:color w:val="000000" w:themeColor="text1"/>
          <w:sz w:val="16"/>
          <w:szCs w:val="16"/>
        </w:rPr>
        <w:t xml:space="preserve"> 1935. Постановление СТО СССР №С</w:t>
      </w:r>
      <w:r w:rsidRPr="00E14102">
        <w:rPr>
          <w:color w:val="000000" w:themeColor="text1"/>
          <w:sz w:val="16"/>
          <w:szCs w:val="16"/>
        </w:rPr>
        <w:noBreakHyphen/>
        <w:t>69сс «Об изобретении Файнциммера и Симагина». (ГА РФ. Ф. Р</w:t>
      </w:r>
      <w:r w:rsidRPr="00E14102">
        <w:rPr>
          <w:color w:val="000000" w:themeColor="text1"/>
          <w:sz w:val="16"/>
          <w:szCs w:val="16"/>
        </w:rPr>
        <w:noBreakHyphen/>
        <w:t>8418. Он. 28. Д. 6. Л. 205</w:t>
      </w:r>
      <w:r w:rsidRPr="00E14102">
        <w:rPr>
          <w:color w:val="000000" w:themeColor="text1"/>
          <w:sz w:val="16"/>
          <w:szCs w:val="16"/>
        </w:rPr>
        <w:noBreakHyphen/>
        <w:t>209) (15460).</w:t>
      </w:r>
    </w:p>
    <w:p w14:paraId="663609DB" w14:textId="77777777" w:rsidR="00F70A45" w:rsidRPr="00E14102" w:rsidRDefault="00F70A45" w:rsidP="00E14102">
      <w:pPr>
        <w:pStyle w:val="rtejustify"/>
        <w:spacing w:before="0" w:after="0"/>
        <w:rPr>
          <w:color w:val="000000" w:themeColor="text1"/>
          <w:sz w:val="16"/>
          <w:szCs w:val="16"/>
        </w:rPr>
      </w:pPr>
    </w:p>
    <w:p w14:paraId="4224F5CB" w14:textId="77777777" w:rsidR="00F70A45" w:rsidRPr="00E14102" w:rsidRDefault="00F70A45" w:rsidP="00E14102">
      <w:pPr>
        <w:pStyle w:val="rtejustify"/>
        <w:spacing w:before="0" w:after="0"/>
        <w:rPr>
          <w:color w:val="000000" w:themeColor="text1"/>
          <w:sz w:val="16"/>
          <w:szCs w:val="16"/>
        </w:rPr>
      </w:pPr>
      <w:r w:rsidRPr="00E14102">
        <w:rPr>
          <w:rStyle w:val="a6"/>
          <w:bCs/>
          <w:i w:val="0"/>
          <w:color w:val="000000" w:themeColor="text1"/>
          <w:sz w:val="16"/>
          <w:szCs w:val="16"/>
        </w:rPr>
        <w:t>19 июня</w:t>
      </w:r>
      <w:r w:rsidRPr="00E14102">
        <w:rPr>
          <w:color w:val="000000" w:themeColor="text1"/>
          <w:sz w:val="16"/>
          <w:szCs w:val="16"/>
        </w:rPr>
        <w:t xml:space="preserve">. </w:t>
      </w:r>
      <w:hyperlink r:id="rId128" w:history="1">
        <w:r w:rsidRPr="00E14102">
          <w:rPr>
            <w:rStyle w:val="a4"/>
            <w:color w:val="000000" w:themeColor="text1"/>
            <w:sz w:val="16"/>
            <w:szCs w:val="16"/>
            <w:u w:val="none"/>
          </w:rPr>
          <w:t>Постановление СТО СССР №С</w:t>
        </w:r>
        <w:r w:rsidRPr="00E14102">
          <w:rPr>
            <w:rStyle w:val="a4"/>
            <w:color w:val="000000" w:themeColor="text1"/>
            <w:sz w:val="16"/>
            <w:szCs w:val="16"/>
            <w:u w:val="none"/>
          </w:rPr>
          <w:noBreakHyphen/>
          <w:t>70сс «О реализации системы артиллерийского вооружения»</w:t>
        </w:r>
      </w:hyperlink>
      <w:r w:rsidRPr="00E14102">
        <w:rPr>
          <w:color w:val="000000" w:themeColor="text1"/>
          <w:sz w:val="16"/>
          <w:szCs w:val="16"/>
        </w:rPr>
        <w:t>. (ГА РФ. Ф. Р</w:t>
      </w:r>
      <w:r w:rsidRPr="00E14102">
        <w:rPr>
          <w:color w:val="000000" w:themeColor="text1"/>
          <w:sz w:val="16"/>
          <w:szCs w:val="16"/>
        </w:rPr>
        <w:noBreakHyphen/>
        <w:t>8418. Оп. 28. Д. 6. Л. 210</w:t>
      </w:r>
      <w:r w:rsidRPr="00E14102">
        <w:rPr>
          <w:color w:val="000000" w:themeColor="text1"/>
          <w:sz w:val="16"/>
          <w:szCs w:val="16"/>
        </w:rPr>
        <w:noBreakHyphen/>
        <w:t>212) (15460).</w:t>
      </w:r>
    </w:p>
    <w:p w14:paraId="1EF6416B" w14:textId="77777777" w:rsidR="00F70A45" w:rsidRPr="00E14102" w:rsidRDefault="00F70A45" w:rsidP="00E14102">
      <w:pPr>
        <w:pStyle w:val="rtejustify"/>
        <w:spacing w:before="0" w:after="0"/>
        <w:rPr>
          <w:color w:val="000000" w:themeColor="text1"/>
          <w:sz w:val="16"/>
          <w:szCs w:val="16"/>
        </w:rPr>
      </w:pPr>
    </w:p>
    <w:p w14:paraId="68386316" w14:textId="77777777" w:rsidR="00F70A45" w:rsidRPr="00E14102" w:rsidRDefault="00F70A45" w:rsidP="00E14102">
      <w:pPr>
        <w:pStyle w:val="rtejustify"/>
        <w:spacing w:before="0" w:after="0"/>
        <w:rPr>
          <w:color w:val="000000" w:themeColor="text1"/>
          <w:sz w:val="16"/>
          <w:szCs w:val="16"/>
        </w:rPr>
      </w:pPr>
      <w:r w:rsidRPr="00E14102">
        <w:rPr>
          <w:rStyle w:val="a6"/>
          <w:bCs/>
          <w:i w:val="0"/>
          <w:color w:val="000000" w:themeColor="text1"/>
          <w:sz w:val="16"/>
          <w:szCs w:val="16"/>
        </w:rPr>
        <w:t>19 июня</w:t>
      </w:r>
      <w:r w:rsidRPr="00E14102">
        <w:rPr>
          <w:color w:val="000000" w:themeColor="text1"/>
          <w:sz w:val="16"/>
          <w:szCs w:val="16"/>
        </w:rPr>
        <w:t xml:space="preserve">. </w:t>
      </w:r>
      <w:hyperlink r:id="rId129" w:history="1">
        <w:r w:rsidRPr="00E14102">
          <w:rPr>
            <w:rStyle w:val="a4"/>
            <w:color w:val="000000" w:themeColor="text1"/>
            <w:sz w:val="16"/>
            <w:szCs w:val="16"/>
            <w:u w:val="none"/>
          </w:rPr>
          <w:t>Постановление СТО СССР № С</w:t>
        </w:r>
        <w:r w:rsidRPr="00E14102">
          <w:rPr>
            <w:rStyle w:val="a4"/>
            <w:color w:val="000000" w:themeColor="text1"/>
            <w:sz w:val="16"/>
            <w:szCs w:val="16"/>
            <w:u w:val="none"/>
          </w:rPr>
          <w:noBreakHyphen/>
          <w:t>71сс «О выполнении НКТяжпромом системы танкового вооружения на основании постановления СТО СССР от 13 августа 1933 г.»</w:t>
        </w:r>
      </w:hyperlink>
      <w:r w:rsidRPr="00E14102">
        <w:rPr>
          <w:color w:val="000000" w:themeColor="text1"/>
          <w:sz w:val="16"/>
          <w:szCs w:val="16"/>
        </w:rPr>
        <w:t>. (ГА РФ. Ф. Р</w:t>
      </w:r>
      <w:r w:rsidRPr="00E14102">
        <w:rPr>
          <w:color w:val="000000" w:themeColor="text1"/>
          <w:sz w:val="16"/>
          <w:szCs w:val="16"/>
        </w:rPr>
        <w:noBreakHyphen/>
        <w:t>8418. Оп. 28. Д. 6. Л. 213</w:t>
      </w:r>
      <w:r w:rsidRPr="00E14102">
        <w:rPr>
          <w:color w:val="000000" w:themeColor="text1"/>
          <w:sz w:val="16"/>
          <w:szCs w:val="16"/>
        </w:rPr>
        <w:noBreakHyphen/>
        <w:t>215) (15460).</w:t>
      </w:r>
    </w:p>
    <w:p w14:paraId="563E2C31" w14:textId="77777777" w:rsidR="00F70A45" w:rsidRPr="00E14102" w:rsidRDefault="00F70A45" w:rsidP="00E14102">
      <w:pPr>
        <w:pStyle w:val="rtejustify"/>
        <w:spacing w:before="0" w:after="0"/>
        <w:rPr>
          <w:color w:val="000000" w:themeColor="text1"/>
          <w:sz w:val="16"/>
          <w:szCs w:val="16"/>
        </w:rPr>
      </w:pPr>
    </w:p>
    <w:p w14:paraId="2A322E8A" w14:textId="77777777" w:rsidR="00F70A45" w:rsidRPr="00E14102" w:rsidRDefault="00F70A45" w:rsidP="00E14102">
      <w:pPr>
        <w:jc w:val="both"/>
        <w:rPr>
          <w:rStyle w:val="a6"/>
          <w:i w:val="0"/>
          <w:color w:val="000000" w:themeColor="text1"/>
          <w:sz w:val="16"/>
          <w:szCs w:val="16"/>
        </w:rPr>
      </w:pPr>
      <w:r w:rsidRPr="00E14102">
        <w:rPr>
          <w:rStyle w:val="a6"/>
          <w:i w:val="0"/>
          <w:color w:val="000000" w:themeColor="text1"/>
          <w:sz w:val="16"/>
          <w:szCs w:val="16"/>
        </w:rPr>
        <w:t xml:space="preserve">19 июня 1935 г. </w:t>
      </w:r>
      <w:r w:rsidRPr="00E14102">
        <w:rPr>
          <w:color w:val="000000" w:themeColor="text1"/>
          <w:sz w:val="16"/>
          <w:szCs w:val="16"/>
        </w:rPr>
        <w:t>Постановление СТО СССР № С-71сс «О выполнении НКТПромом системы танкового вооружения на основании постановления СТО от 13 августа 1933 г.»¹*</w:t>
      </w:r>
    </w:p>
    <w:p w14:paraId="62303CB2" w14:textId="77777777" w:rsidR="00F70A45" w:rsidRPr="00E14102" w:rsidRDefault="00F70A45"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6F956D53"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Совет труда и обороны постановляет:</w:t>
      </w:r>
    </w:p>
    <w:p w14:paraId="5290023C"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I. Отметить, что согласно требованиям утвержденной правительством системы танкового вооружения (постановление СТО № 71сс от 13 августа 1933 г.) НКТПромом выполнены и предъявлены опытные образцы танков: а) 2 образца легких танков (плавающих) под маркой Т</w:t>
      </w:r>
      <w:r w:rsidRPr="00E14102">
        <w:rPr>
          <w:color w:val="000000" w:themeColor="text1"/>
          <w:sz w:val="16"/>
          <w:szCs w:val="16"/>
        </w:rPr>
        <w:noBreakHyphen/>
        <w:t>43, колесно-гусеничные; 1 образец легкого танка (плавающий), только гусеничный, под маркой Т</w:t>
      </w:r>
      <w:r w:rsidRPr="00E14102">
        <w:rPr>
          <w:color w:val="000000" w:themeColor="text1"/>
          <w:sz w:val="16"/>
          <w:szCs w:val="16"/>
        </w:rPr>
        <w:noBreakHyphen/>
        <w:t>38²*; б) 1 образец колесно-гусеничного танка под маркой Т</w:t>
      </w:r>
      <w:r w:rsidRPr="00E14102">
        <w:rPr>
          <w:color w:val="000000" w:themeColor="text1"/>
          <w:sz w:val="16"/>
          <w:szCs w:val="16"/>
        </w:rPr>
        <w:noBreakHyphen/>
        <w:t>46³*, общевойсковой; в) 2 образца средних быстроходных танков под маркой БТ с дизелем и под маркой ПТ</w:t>
      </w:r>
      <w:r w:rsidRPr="00E14102">
        <w:rPr>
          <w:color w:val="000000" w:themeColor="text1"/>
          <w:sz w:val="16"/>
          <w:szCs w:val="16"/>
        </w:rPr>
        <w:noBreakHyphen/>
        <w:t>1 плавающий; г) 1 образец танка БТ с мотором М</w:t>
      </w:r>
      <w:r w:rsidRPr="00E14102">
        <w:rPr>
          <w:color w:val="000000" w:themeColor="text1"/>
          <w:sz w:val="16"/>
          <w:szCs w:val="16"/>
        </w:rPr>
        <w:noBreakHyphen/>
        <w:t>17; д) 2 образца тяжелых танков под маркой Т</w:t>
      </w:r>
      <w:r w:rsidRPr="00E14102">
        <w:rPr>
          <w:color w:val="000000" w:themeColor="text1"/>
          <w:sz w:val="16"/>
          <w:szCs w:val="16"/>
        </w:rPr>
        <w:noBreakHyphen/>
        <w:t>29</w:t>
      </w:r>
      <w:r w:rsidRPr="00E14102">
        <w:rPr>
          <w:color w:val="000000" w:themeColor="text1"/>
          <w:sz w:val="16"/>
          <w:szCs w:val="16"/>
        </w:rPr>
        <w:noBreakHyphen/>
        <w:t>4 и Т</w:t>
      </w:r>
      <w:r w:rsidRPr="00E14102">
        <w:rPr>
          <w:color w:val="000000" w:themeColor="text1"/>
          <w:sz w:val="16"/>
          <w:szCs w:val="16"/>
        </w:rPr>
        <w:noBreakHyphen/>
        <w:t>29</w:t>
      </w:r>
      <w:r w:rsidRPr="00E14102">
        <w:rPr>
          <w:color w:val="000000" w:themeColor="text1"/>
          <w:sz w:val="16"/>
          <w:szCs w:val="16"/>
        </w:rPr>
        <w:noBreakHyphen/>
        <w:t>5⁴*; е) самоходные установки на шасси Т</w:t>
      </w:r>
      <w:r w:rsidRPr="00E14102">
        <w:rPr>
          <w:color w:val="000000" w:themeColor="text1"/>
          <w:sz w:val="16"/>
          <w:szCs w:val="16"/>
        </w:rPr>
        <w:noBreakHyphen/>
        <w:t>26, с универсальным лафетом под 76</w:t>
      </w:r>
      <w:r w:rsidRPr="00E14102">
        <w:rPr>
          <w:color w:val="000000" w:themeColor="text1"/>
          <w:sz w:val="16"/>
          <w:szCs w:val="16"/>
        </w:rPr>
        <w:noBreakHyphen/>
        <w:t>мм пушку, под 122</w:t>
      </w:r>
      <w:r w:rsidRPr="00E14102">
        <w:rPr>
          <w:color w:val="000000" w:themeColor="text1"/>
          <w:sz w:val="16"/>
          <w:szCs w:val="16"/>
        </w:rPr>
        <w:noBreakHyphen/>
        <w:t>мм гаубицу и 152[</w:t>
      </w:r>
      <w:r w:rsidRPr="00E14102">
        <w:rPr>
          <w:color w:val="000000" w:themeColor="text1"/>
          <w:sz w:val="16"/>
          <w:szCs w:val="16"/>
        </w:rPr>
        <w:noBreakHyphen/>
        <w:t>мм] мортиру; ж) одна самоходная установка на шасси Т</w:t>
      </w:r>
      <w:r w:rsidRPr="00E14102">
        <w:rPr>
          <w:color w:val="000000" w:themeColor="text1"/>
          <w:sz w:val="16"/>
          <w:szCs w:val="16"/>
        </w:rPr>
        <w:noBreakHyphen/>
        <w:t>35 под 8</w:t>
      </w:r>
      <w:r w:rsidRPr="00E14102">
        <w:rPr>
          <w:color w:val="000000" w:themeColor="text1"/>
          <w:sz w:val="16"/>
          <w:szCs w:val="16"/>
        </w:rPr>
        <w:noBreakHyphen/>
        <w:t>дюймовую гаубицу.</w:t>
      </w:r>
    </w:p>
    <w:p w14:paraId="79B2A603"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II. Установить на вооружение РККА следующие 5 типов танков: 1. Принять на вооружение Т</w:t>
      </w:r>
      <w:r w:rsidRPr="00E14102">
        <w:rPr>
          <w:color w:val="000000" w:themeColor="text1"/>
          <w:sz w:val="16"/>
          <w:szCs w:val="16"/>
        </w:rPr>
        <w:noBreakHyphen/>
        <w:t>38 завода № 37; улучшить размещение водителя машины и поднять клиренс на 15 мм с тем, чтобы вес танка не увеличился более, чем 150</w:t>
      </w:r>
      <w:r w:rsidRPr="00E14102">
        <w:rPr>
          <w:color w:val="000000" w:themeColor="text1"/>
          <w:sz w:val="16"/>
          <w:szCs w:val="16"/>
        </w:rPr>
        <w:noBreakHyphen/>
        <w:t>200 кг против представленного опытного образца. 2. Предрешить принятие на вооружение Т</w:t>
      </w:r>
      <w:r w:rsidRPr="00E14102">
        <w:rPr>
          <w:color w:val="000000" w:themeColor="text1"/>
          <w:sz w:val="16"/>
          <w:szCs w:val="16"/>
        </w:rPr>
        <w:noBreakHyphen/>
        <w:t>46 опытного завода им. Кирова вместо танка Т</w:t>
      </w:r>
      <w:r w:rsidRPr="00E14102">
        <w:rPr>
          <w:color w:val="000000" w:themeColor="text1"/>
          <w:sz w:val="16"/>
          <w:szCs w:val="16"/>
        </w:rPr>
        <w:noBreakHyphen/>
        <w:t>26; закончить заводские и войсковые испытания с тем, чтобы поставить на производство в 1936 г. на заводе им. Ворошилова. 3. Оставить на вооружении танк БТ. Отказаться от замены его на танк ПТ</w:t>
      </w:r>
      <w:r w:rsidRPr="00E14102">
        <w:rPr>
          <w:color w:val="000000" w:themeColor="text1"/>
          <w:sz w:val="16"/>
          <w:szCs w:val="16"/>
        </w:rPr>
        <w:noBreakHyphen/>
        <w:t>1. В 1935 г. танк БТ изготовлять с мотором М</w:t>
      </w:r>
      <w:r w:rsidRPr="00E14102">
        <w:rPr>
          <w:color w:val="000000" w:themeColor="text1"/>
          <w:sz w:val="16"/>
          <w:szCs w:val="16"/>
        </w:rPr>
        <w:noBreakHyphen/>
        <w:t>17, и в 1936 г. перевести производство этого же танка БТ на дизель-мотор на Харьковском паровозостроительном заводе. 4. Предрешить принятие на вооружение колесно-гусеничного танка Т</w:t>
      </w:r>
      <w:r w:rsidRPr="00E14102">
        <w:rPr>
          <w:color w:val="000000" w:themeColor="text1"/>
          <w:sz w:val="16"/>
          <w:szCs w:val="16"/>
        </w:rPr>
        <w:noBreakHyphen/>
        <w:t>29 вместо Т</w:t>
      </w:r>
      <w:r w:rsidRPr="00E14102">
        <w:rPr>
          <w:color w:val="000000" w:themeColor="text1"/>
          <w:sz w:val="16"/>
          <w:szCs w:val="16"/>
        </w:rPr>
        <w:noBreakHyphen/>
        <w:t>28; закончить его заводские и войсковые испытания с тем, чтобы в 1936 г. поставить на производство на Кировском заводе. 5. Оставить на вооружении танк Т</w:t>
      </w:r>
      <w:r w:rsidRPr="00E14102">
        <w:rPr>
          <w:color w:val="000000" w:themeColor="text1"/>
          <w:sz w:val="16"/>
          <w:szCs w:val="16"/>
        </w:rPr>
        <w:noBreakHyphen/>
        <w:t>35 с производством его на Харьковском паровозостроительном заводе.</w:t>
      </w:r>
    </w:p>
    <w:p w14:paraId="5597C8B6"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III. По самоходным установкам: Принять на вооружение самоходную установку 8</w:t>
      </w:r>
      <w:r w:rsidRPr="00E14102">
        <w:rPr>
          <w:color w:val="000000" w:themeColor="text1"/>
          <w:sz w:val="16"/>
          <w:szCs w:val="16"/>
        </w:rPr>
        <w:noBreakHyphen/>
        <w:t>дюймовой гаубицы на шасси Т</w:t>
      </w:r>
      <w:r w:rsidRPr="00E14102">
        <w:rPr>
          <w:color w:val="000000" w:themeColor="text1"/>
          <w:sz w:val="16"/>
          <w:szCs w:val="16"/>
        </w:rPr>
        <w:noBreakHyphen/>
        <w:t>35 и в 1936 г. изготовить на Харьковском паровозостроительном заводе 10 шт. этих самоходных установок.</w:t>
      </w:r>
    </w:p>
    <w:p w14:paraId="3AFBBF44"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IV. НКТПрому и НКОбороны после окончания испытаний представить к награждению лиц, непосредственно осуществивших выполнение утвержденной правительством танковой системы вооружения.</w:t>
      </w:r>
    </w:p>
    <w:p w14:paraId="66E562AD"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V. По НАТИ⁵*. 1. Выделить НАТИ из системы ГУТАПа и подчинить его непосредственно наркому тяжелой промышленности т. Орджоникидзе. 2. В составе НАТИ организовать 3 отдела: танковый, тракторный, автомобильный⁶*. 3. Назначить заместителем директора института т. Барыкова. 4. Оборудование и личный состав опытного завода им. Кирова передать на организацию танкового отдела НАТИ.</w:t>
      </w:r>
    </w:p>
    <w:p w14:paraId="090771ED" w14:textId="77777777" w:rsidR="00F70A45" w:rsidRPr="00E14102" w:rsidRDefault="00F70A45"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Председатель Совета труда и обороны В.</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Молотов</w:t>
      </w:r>
    </w:p>
    <w:p w14:paraId="7DAA33DC" w14:textId="77777777" w:rsidR="00F70A45" w:rsidRPr="00E14102" w:rsidRDefault="00F70A45"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059489EB" w14:textId="77777777" w:rsidR="00F70A45" w:rsidRPr="00E14102" w:rsidRDefault="00F70A45"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2E7BADC0"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 xml:space="preserve">¹* См. документ от 13 августа 1933 г. — </w:t>
      </w:r>
      <w:hyperlink r:id="rId130" w:history="1">
        <w:r w:rsidRPr="00E14102">
          <w:rPr>
            <w:rStyle w:val="a4"/>
            <w:color w:val="000000" w:themeColor="text1"/>
            <w:sz w:val="16"/>
            <w:szCs w:val="16"/>
            <w:u w:val="none"/>
          </w:rPr>
          <w:t>Постановление СТО СССР № 71сс/о «О системе танкового вооружения РККА»</w:t>
        </w:r>
      </w:hyperlink>
      <w:r w:rsidRPr="00E14102">
        <w:rPr>
          <w:color w:val="000000" w:themeColor="text1"/>
          <w:sz w:val="16"/>
          <w:szCs w:val="16"/>
        </w:rPr>
        <w:t>.</w:t>
      </w:r>
    </w:p>
    <w:p w14:paraId="59C56D20"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 xml:space="preserve">²* Плавающий </w:t>
      </w:r>
      <w:r w:rsidRPr="00E14102">
        <w:rPr>
          <w:rStyle w:val="a6"/>
          <w:bCs/>
          <w:i w:val="0"/>
          <w:color w:val="000000" w:themeColor="text1"/>
          <w:sz w:val="16"/>
          <w:szCs w:val="16"/>
        </w:rPr>
        <w:t>танк Т</w:t>
      </w:r>
      <w:r w:rsidRPr="00E14102">
        <w:rPr>
          <w:rStyle w:val="a6"/>
          <w:bCs/>
          <w:i w:val="0"/>
          <w:color w:val="000000" w:themeColor="text1"/>
          <w:sz w:val="16"/>
          <w:szCs w:val="16"/>
        </w:rPr>
        <w:noBreakHyphen/>
        <w:t>38</w:t>
      </w:r>
      <w:r w:rsidRPr="00E14102">
        <w:rPr>
          <w:color w:val="000000" w:themeColor="text1"/>
          <w:sz w:val="16"/>
          <w:szCs w:val="16"/>
        </w:rPr>
        <w:t xml:space="preserve"> был разработан в 1935 г. в Москве конструкторским бюро завода № 37 под руководством Н. А. Астрова. Был принят на вооружение в феврале 1936 г. в качестве разведывательного танка и находился в серийном производстве на заводе № 37 в 1936, 1937 и 1939 г. Неоднократно подвергался модернизации и явился базовой машиной для создания ряда опытных образцов.</w:t>
      </w:r>
    </w:p>
    <w:p w14:paraId="05F83E51"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 xml:space="preserve">³* Проект </w:t>
      </w:r>
      <w:r w:rsidRPr="00E14102">
        <w:rPr>
          <w:rStyle w:val="a6"/>
          <w:bCs/>
          <w:i w:val="0"/>
          <w:color w:val="000000" w:themeColor="text1"/>
          <w:sz w:val="16"/>
          <w:szCs w:val="16"/>
        </w:rPr>
        <w:t>танка Т</w:t>
      </w:r>
      <w:r w:rsidRPr="00E14102">
        <w:rPr>
          <w:rStyle w:val="a6"/>
          <w:bCs/>
          <w:i w:val="0"/>
          <w:color w:val="000000" w:themeColor="text1"/>
          <w:sz w:val="16"/>
          <w:szCs w:val="16"/>
        </w:rPr>
        <w:noBreakHyphen/>
        <w:t>46</w:t>
      </w:r>
      <w:r w:rsidRPr="00E14102">
        <w:rPr>
          <w:color w:val="000000" w:themeColor="text1"/>
          <w:sz w:val="16"/>
          <w:szCs w:val="16"/>
        </w:rPr>
        <w:t xml:space="preserve"> был разработан в конструкторском бюро машиностроительного завода № 174 им. Ворошилова в Ленинграде в 1933 г. Опытный образец изготовлен и испытан в 1935 г. В ходе дальнейших работ были сконструированы различные модификации этого танка, последняя из них была разработана в 1934 г. в конструкторском бюро Опытного завода Спецмаштреста в Ленинграде. После заводских испытаний именно этот образец был принят на вооружение. Изготовление опытной партии из 50 машин было поручено заводу № 174. Однако в сентябре 1937 г. производство танка Т</w:t>
      </w:r>
      <w:r w:rsidRPr="00E14102">
        <w:rPr>
          <w:color w:val="000000" w:themeColor="text1"/>
          <w:sz w:val="16"/>
          <w:szCs w:val="16"/>
        </w:rPr>
        <w:noBreakHyphen/>
        <w:t>46</w:t>
      </w:r>
      <w:r w:rsidRPr="00E14102">
        <w:rPr>
          <w:color w:val="000000" w:themeColor="text1"/>
          <w:sz w:val="16"/>
          <w:szCs w:val="16"/>
        </w:rPr>
        <w:noBreakHyphen/>
        <w:t>1 прекратилось по решению правительства. Вместо него было вновь развернуто производство танков Т</w:t>
      </w:r>
      <w:r w:rsidRPr="00E14102">
        <w:rPr>
          <w:color w:val="000000" w:themeColor="text1"/>
          <w:sz w:val="16"/>
          <w:szCs w:val="16"/>
        </w:rPr>
        <w:noBreakHyphen/>
        <w:t>26.</w:t>
      </w:r>
    </w:p>
    <w:p w14:paraId="1F7B6D2A"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 xml:space="preserve">⁴* Проект эталонного образца </w:t>
      </w:r>
      <w:r w:rsidRPr="00E14102">
        <w:rPr>
          <w:rStyle w:val="a6"/>
          <w:bCs/>
          <w:i w:val="0"/>
          <w:color w:val="000000" w:themeColor="text1"/>
          <w:sz w:val="16"/>
          <w:szCs w:val="16"/>
        </w:rPr>
        <w:t>танка Т</w:t>
      </w:r>
      <w:r w:rsidRPr="00E14102">
        <w:rPr>
          <w:rStyle w:val="a6"/>
          <w:bCs/>
          <w:i w:val="0"/>
          <w:color w:val="000000" w:themeColor="text1"/>
          <w:sz w:val="16"/>
          <w:szCs w:val="16"/>
        </w:rPr>
        <w:noBreakHyphen/>
        <w:t>29</w:t>
      </w:r>
      <w:r w:rsidRPr="00E14102">
        <w:rPr>
          <w:color w:val="000000" w:themeColor="text1"/>
          <w:sz w:val="16"/>
          <w:szCs w:val="16"/>
        </w:rPr>
        <w:t xml:space="preserve"> был разработан в 1934 г. автотанковым бюро технического отдела (АБТО) Экономического отдела ОГПУ. После расформирования АБТО проект был передан на завод им. С. М. Кирова, где проводили его дальнейшую разработку. Опытный образец танка Т</w:t>
      </w:r>
      <w:r w:rsidRPr="00E14102">
        <w:rPr>
          <w:color w:val="000000" w:themeColor="text1"/>
          <w:sz w:val="16"/>
          <w:szCs w:val="16"/>
        </w:rPr>
        <w:noBreakHyphen/>
        <w:t>29 был изготовлен в 1935 г. Танк имел противопульную броню. Был принят на вооружение в 1936 г. Его серийное производство было организовано на заводе им. Кирова. Однако в 1937 г. завод выпустил только два танка, после чего его производство было прекращено вследствие ненадежной конструкции.</w:t>
      </w:r>
    </w:p>
    <w:p w14:paraId="5D179F86"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 xml:space="preserve">⁵* Датой основания </w:t>
      </w:r>
      <w:r w:rsidRPr="00E14102">
        <w:rPr>
          <w:rStyle w:val="a6"/>
          <w:bCs/>
          <w:i w:val="0"/>
          <w:color w:val="000000" w:themeColor="text1"/>
          <w:sz w:val="16"/>
          <w:szCs w:val="16"/>
        </w:rPr>
        <w:t>Научного автотракторного института (НАТИ)</w:t>
      </w:r>
      <w:r w:rsidRPr="00E14102">
        <w:rPr>
          <w:color w:val="000000" w:themeColor="text1"/>
          <w:sz w:val="16"/>
          <w:szCs w:val="16"/>
        </w:rPr>
        <w:t xml:space="preserve"> признано 31 декабря 1925 г., когда постановлением ВСНХ СССР № 244 в автомоторном институте (НАМИ) был организован тракторный отдел, на который возлагалось проведение научно-исследовательской работы по тракторам. В 1931 г. постановлением ВСНХ СССР № 57 от 7 февраля 1931 г. НАМИ преобразован в Научный автотракторный институт. Приказом Наркомата тяжелой промышленности СССР от 25 марта 1935 г. после объединения с Государственным институтом проектирования заводов автотракторной промышленности институт стал называться: Научно-экспериментальный и проектный институт автотракторной промышленности (НАТИ). В 1939 г. переименован в Государственный союзный научно-исследовательский и экспериментальный автотракторный институт (НАТИ).</w:t>
      </w:r>
    </w:p>
    <w:p w14:paraId="6E4FCB84"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⁶* Над словом «танковый» от руки вписана цифра 3; над словом «тракторный» от руки вписана цифра 2; над словом «автомобильный» от руки вписана цифра 1.</w:t>
      </w:r>
    </w:p>
    <w:p w14:paraId="063F801E" w14:textId="77777777" w:rsidR="00F70A45" w:rsidRPr="00E14102" w:rsidRDefault="00F70A45" w:rsidP="00E14102">
      <w:pPr>
        <w:pStyle w:val="rtejustify"/>
        <w:spacing w:before="0" w:after="0"/>
        <w:rPr>
          <w:color w:val="000000" w:themeColor="text1"/>
          <w:sz w:val="16"/>
          <w:szCs w:val="16"/>
        </w:rPr>
      </w:pPr>
      <w:r w:rsidRPr="00E14102">
        <w:rPr>
          <w:color w:val="000000" w:themeColor="text1"/>
          <w:sz w:val="16"/>
          <w:szCs w:val="16"/>
        </w:rPr>
        <w:t>ГА РФ. Ф. Р-8418. Оп. 28. Д. 6. Л. 230-232. Подлинник (15348).</w:t>
      </w:r>
    </w:p>
    <w:p w14:paraId="4D22A76F" w14:textId="77777777" w:rsidR="00F70A45" w:rsidRPr="00E14102" w:rsidRDefault="00F70A45" w:rsidP="00E14102">
      <w:pPr>
        <w:jc w:val="both"/>
        <w:rPr>
          <w:bCs/>
          <w:color w:val="000000" w:themeColor="text1"/>
          <w:sz w:val="16"/>
          <w:szCs w:val="16"/>
        </w:rPr>
      </w:pPr>
    </w:p>
    <w:p w14:paraId="457E316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 июня 1935 года было издано Постановление СТО № С-71 со «О выполнении НКТПромом системы танкового вооружения на основании постановления СТО от 13.</w:t>
      </w:r>
      <w:r w:rsidRPr="00E14102">
        <w:rPr>
          <w:color w:val="000000" w:themeColor="text1"/>
          <w:sz w:val="16"/>
          <w:szCs w:val="16"/>
          <w:lang w:val="en-US"/>
        </w:rPr>
        <w:t>VI</w:t>
      </w:r>
      <w:r w:rsidRPr="00E14102">
        <w:rPr>
          <w:color w:val="000000" w:themeColor="text1"/>
          <w:sz w:val="16"/>
          <w:szCs w:val="16"/>
        </w:rPr>
        <w:t>П. 1933 г.».</w:t>
      </w:r>
    </w:p>
    <w:p w14:paraId="153B16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Судя по этому постановлению во время испытаний ставился вопрос о возможности замены быстроходного колесно-гусеничного танка БТ-7, колесно-гусеничным плавающим танком ПТ-1. Это было явное желание Тухачевского, который писал в своем труде «Новые вопросы войны», что «при прочих равных условиях колесно-гусеничный танк имеет преиму</w:t>
      </w:r>
      <w:r w:rsidRPr="00E14102">
        <w:rPr>
          <w:color w:val="000000" w:themeColor="text1"/>
          <w:sz w:val="16"/>
          <w:szCs w:val="16"/>
        </w:rPr>
        <w:softHyphen/>
        <w:t>щества перед гусеничным» и «точно также амфибия имеет преимущества перед неплавающим танком».</w:t>
      </w:r>
    </w:p>
    <w:p w14:paraId="16CFF9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Однако, колесно-гусеничный плавающий танк ПТ-1 был на порядок сложнее неплавающего колесно-гусеничного танка БТ-7. Кроме того, БТ-7 уже был освоен промышленностью и с конца 1934 года выпускался се</w:t>
      </w:r>
      <w:r w:rsidRPr="00E14102">
        <w:rPr>
          <w:color w:val="000000" w:themeColor="text1"/>
          <w:sz w:val="16"/>
          <w:szCs w:val="16"/>
        </w:rPr>
        <w:softHyphen/>
        <w:t>рийно, а ПТ-1 нужно было еще осваивать.</w:t>
      </w:r>
    </w:p>
    <w:p w14:paraId="43B1BB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Поэтому в Постановлении СТО от 19 июня 1935 года указывалось:</w:t>
      </w:r>
    </w:p>
    <w:p w14:paraId="14676F8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«...3. Оставить на вооружении танк БТ. Отказаться от его замены на танк ПТ-1.</w:t>
      </w:r>
    </w:p>
    <w:p w14:paraId="5F2EDD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В 1935 году танк БТ изготовить с мотором М-17 и в 1936 году перевести </w:t>
      </w:r>
      <w:r w:rsidRPr="00E14102">
        <w:rPr>
          <w:smallCaps/>
          <w:color w:val="000000" w:themeColor="text1"/>
          <w:sz w:val="16"/>
          <w:szCs w:val="16"/>
          <w:lang w:val="en-US"/>
        </w:rPr>
        <w:t>v</w:t>
      </w:r>
      <w:r w:rsidRPr="00E14102">
        <w:rPr>
          <w:color w:val="000000" w:themeColor="text1"/>
          <w:sz w:val="16"/>
          <w:szCs w:val="16"/>
        </w:rPr>
        <w:t>На производство этого же танка БТ на дизель-мотор на Харьковском паровозостроительном заводе.</w:t>
      </w:r>
    </w:p>
    <w:p w14:paraId="23E3D08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Предрешить принятие на вооружение колесно-гусеничного танка Т-29 вместо Т-28; закончить его заводские и войсковые испытания с тем, Чтобы в 1936 году поставить на производство на Кировском заводе» (11504).</w:t>
      </w:r>
    </w:p>
    <w:p w14:paraId="75C2E4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0BDD024"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19 июня 1935 г., после принятия Постановления СТО № 71сс, состоялось заседание Совета Труда и Обороны, на котором были подведены предварительные итоги проделанной работы по исполнению системы бронетанкового вооружения на вторую пятилетку. На заседании было отмечено, что за прошедшее время промышленностью была проделана большая работа по созданию новых образцов бронетанкового вооружения. В Ленинграде на Опытном заводе им. Кирова были разработаны и изготовлены опытные образцы легкого колесно-гусеничного танка Т-46 с двумя парами ведущих колес – для замены танка Т-26, и два варианта среднего колесно-гусеничного танка с четырьмя парами ведущих колес – танки Т-29-4 и Т-29-5 – для замены танка Т-28. Для замены танка Т-37 было разработано три варианта опытных образцов разведывательного плавающего танка – два из них колесно-гусеничные с двумя парами ведущих колес, оба под индексом Т-43 – один конструкции завода № 37, другой конструкции Опытного завода им. Кирова, и гусеничный танк Т-38 конструкции завода № 37. На ХПЗ были проведены работы по дальнейшему совершенствованию танков БТ, в 1935 г. на серийное производство вместо танка БТ-5 ставился танк БТ-7 с более мощным двигателем М-17. Кроме этого на ХПЗ были успешно проведены испытания специального танкового дизеля БД-2 (впоследствии получившего индекс В-2) в танке БТ-5 (17501). </w:t>
      </w:r>
    </w:p>
    <w:p w14:paraId="1CE6D151"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По результатам заседания Советом Труда и Обороны было принято Постановлениями СТО С-71сс от 19 июня 1935 г., которым на вооружение РККА устанавливались следующие 5 типов танков: </w:t>
      </w:r>
    </w:p>
    <w:p w14:paraId="5DF8DAE7" w14:textId="77777777" w:rsidR="00075416" w:rsidRPr="00E14102" w:rsidRDefault="00075416" w:rsidP="00E14102">
      <w:pPr>
        <w:jc w:val="both"/>
        <w:rPr>
          <w:iCs/>
          <w:color w:val="000000" w:themeColor="text1"/>
          <w:sz w:val="16"/>
          <w:szCs w:val="16"/>
        </w:rPr>
      </w:pPr>
      <w:r w:rsidRPr="00E14102">
        <w:rPr>
          <w:iCs/>
          <w:color w:val="000000" w:themeColor="text1"/>
          <w:sz w:val="16"/>
          <w:szCs w:val="16"/>
        </w:rPr>
        <w:t xml:space="preserve">«1. Принять на вооружение танк Т-38 завода № 37; улучшить размещение водителя машины и поднять клиренс на 15 мм с тем, чтобы вес танка не увеличился более чем на 150 – 200 кг против представленного опытного образца. </w:t>
      </w:r>
    </w:p>
    <w:p w14:paraId="2EF2BEE3" w14:textId="77777777" w:rsidR="00075416" w:rsidRPr="00E14102" w:rsidRDefault="00075416" w:rsidP="00E14102">
      <w:pPr>
        <w:jc w:val="both"/>
        <w:rPr>
          <w:iCs/>
          <w:color w:val="000000" w:themeColor="text1"/>
          <w:sz w:val="16"/>
          <w:szCs w:val="16"/>
        </w:rPr>
      </w:pPr>
      <w:r w:rsidRPr="00E14102">
        <w:rPr>
          <w:iCs/>
          <w:color w:val="000000" w:themeColor="text1"/>
          <w:sz w:val="16"/>
          <w:szCs w:val="16"/>
        </w:rPr>
        <w:t xml:space="preserve">2. Предрешить принятие на вооружение танка Т-46 опытного завода им. Кирова вместо танка Т-26; закончить заводские и войсковые испытания с тем, чтобы поставить на производство в 1936 году на заводе им. Ворошилова. </w:t>
      </w:r>
    </w:p>
    <w:p w14:paraId="3191E4AE" w14:textId="77777777" w:rsidR="00075416" w:rsidRPr="00E14102" w:rsidRDefault="00075416" w:rsidP="00E14102">
      <w:pPr>
        <w:jc w:val="both"/>
        <w:rPr>
          <w:iCs/>
          <w:color w:val="000000" w:themeColor="text1"/>
          <w:sz w:val="16"/>
          <w:szCs w:val="16"/>
        </w:rPr>
      </w:pPr>
      <w:r w:rsidRPr="00E14102">
        <w:rPr>
          <w:iCs/>
          <w:color w:val="000000" w:themeColor="text1"/>
          <w:sz w:val="16"/>
          <w:szCs w:val="16"/>
        </w:rPr>
        <w:t xml:space="preserve">3. Оставить на вооружении танк БТ. Отказаться от замены его на танк ПТ-1. </w:t>
      </w:r>
    </w:p>
    <w:p w14:paraId="44FEB55C" w14:textId="77777777" w:rsidR="00075416" w:rsidRPr="00E14102" w:rsidRDefault="00075416" w:rsidP="00E14102">
      <w:pPr>
        <w:jc w:val="both"/>
        <w:rPr>
          <w:iCs/>
          <w:color w:val="000000" w:themeColor="text1"/>
          <w:sz w:val="16"/>
          <w:szCs w:val="16"/>
        </w:rPr>
      </w:pPr>
      <w:r w:rsidRPr="00E14102">
        <w:rPr>
          <w:iCs/>
          <w:color w:val="000000" w:themeColor="text1"/>
          <w:sz w:val="16"/>
          <w:szCs w:val="16"/>
        </w:rPr>
        <w:t xml:space="preserve">В 1935 году танк БТ изготавливать с мотором М-17 и в 1936 году перевести производство этого же танка БТ на дизель-мотор на Харьковском Паровозостроительном заводе. </w:t>
      </w:r>
    </w:p>
    <w:p w14:paraId="7A807591" w14:textId="77777777" w:rsidR="00075416" w:rsidRPr="00E14102" w:rsidRDefault="00075416" w:rsidP="00E14102">
      <w:pPr>
        <w:jc w:val="both"/>
        <w:rPr>
          <w:iCs/>
          <w:color w:val="000000" w:themeColor="text1"/>
          <w:sz w:val="16"/>
          <w:szCs w:val="16"/>
        </w:rPr>
      </w:pPr>
      <w:r w:rsidRPr="00E14102">
        <w:rPr>
          <w:iCs/>
          <w:color w:val="000000" w:themeColor="text1"/>
          <w:sz w:val="16"/>
          <w:szCs w:val="16"/>
        </w:rPr>
        <w:t xml:space="preserve">4. Предрешить принятие на вооружение колесно-гусеничного танка Т-29 вместо танка Т-28; закончить его заводские и войсковые испытания с тем, чтобы в 1936 году поставить на производство на Кировском заводе. </w:t>
      </w:r>
    </w:p>
    <w:p w14:paraId="2D2B3224" w14:textId="77777777" w:rsidR="00075416" w:rsidRPr="00E14102" w:rsidRDefault="00075416" w:rsidP="00E14102">
      <w:pPr>
        <w:jc w:val="both"/>
        <w:rPr>
          <w:color w:val="000000" w:themeColor="text1"/>
          <w:sz w:val="16"/>
          <w:szCs w:val="16"/>
        </w:rPr>
      </w:pPr>
      <w:r w:rsidRPr="00E14102">
        <w:rPr>
          <w:iCs/>
          <w:color w:val="000000" w:themeColor="text1"/>
          <w:sz w:val="16"/>
          <w:szCs w:val="16"/>
        </w:rPr>
        <w:t xml:space="preserve">5. Оставить на вооружении танк Т-35 с производством его на Харьковском Паровозостроительном заводе». </w:t>
      </w:r>
    </w:p>
    <w:p w14:paraId="6D2F494C" w14:textId="77777777" w:rsidR="00075416" w:rsidRPr="00E14102" w:rsidRDefault="00075416" w:rsidP="00E14102">
      <w:pPr>
        <w:jc w:val="both"/>
        <w:rPr>
          <w:color w:val="000000" w:themeColor="text1"/>
          <w:sz w:val="16"/>
          <w:szCs w:val="16"/>
        </w:rPr>
      </w:pPr>
      <w:r w:rsidRPr="00E14102">
        <w:rPr>
          <w:bCs/>
          <w:color w:val="000000" w:themeColor="text1"/>
          <w:sz w:val="16"/>
          <w:szCs w:val="16"/>
        </w:rPr>
        <w:t>[ГА РФ. Ф. Р-8418. Оп. 28. Д. 6. Л. 213 – 214]</w:t>
      </w:r>
    </w:p>
    <w:p w14:paraId="4A1BC79E"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Необходимо отметить, что плавающий колесно-гусеничный танк ПТ-1 не был принят на вооружение, так как не имел существенных преимуществ перед танком БТ-7. Основные характеристики танков ПТ-1 и БТ-7 (вооружение, защищенность и подвижность) были практически одинаковыми, но из-за низкого запаса плавучести танк ПТ-1 не имел необходимого резерва для увеличения боевой массы, и, кроме этого, танк ПТ-1 был значительно сложнее в производстве (17501). </w:t>
      </w:r>
    </w:p>
    <w:p w14:paraId="26C5DE87" w14:textId="77777777" w:rsidR="00075416" w:rsidRPr="00E14102" w:rsidRDefault="00075416" w:rsidP="00E14102">
      <w:pPr>
        <w:jc w:val="both"/>
        <w:rPr>
          <w:color w:val="000000" w:themeColor="text1"/>
          <w:sz w:val="16"/>
          <w:szCs w:val="16"/>
        </w:rPr>
      </w:pPr>
    </w:p>
    <w:p w14:paraId="0FF6AAA0" w14:textId="77777777" w:rsidR="00075416" w:rsidRPr="00E14102" w:rsidRDefault="00075416" w:rsidP="00E14102">
      <w:pPr>
        <w:jc w:val="both"/>
        <w:rPr>
          <w:color w:val="000000" w:themeColor="text1"/>
          <w:sz w:val="16"/>
          <w:szCs w:val="16"/>
        </w:rPr>
      </w:pPr>
      <w:r w:rsidRPr="00E14102">
        <w:rPr>
          <w:color w:val="000000" w:themeColor="text1"/>
          <w:sz w:val="16"/>
          <w:szCs w:val="16"/>
        </w:rPr>
        <w:t>19 июня 1935 г. вышло Постановление СТО СССР № С-71сс</w:t>
      </w:r>
    </w:p>
    <w:p w14:paraId="04FC7DD7" w14:textId="77777777" w:rsidR="00075416" w:rsidRPr="00E14102" w:rsidRDefault="00075416" w:rsidP="00E14102">
      <w:pPr>
        <w:jc w:val="both"/>
        <w:rPr>
          <w:color w:val="000000" w:themeColor="text1"/>
          <w:sz w:val="16"/>
          <w:szCs w:val="16"/>
        </w:rPr>
      </w:pPr>
      <w:r w:rsidRPr="00E14102">
        <w:rPr>
          <w:color w:val="000000" w:themeColor="text1"/>
          <w:sz w:val="16"/>
          <w:szCs w:val="16"/>
        </w:rPr>
        <w:t>"О выполнении НКТПромом системы танкового вооружения на основании постановления СТО от 13 августа 1933 г."</w:t>
      </w:r>
    </w:p>
    <w:p w14:paraId="6574600B"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Совет труда и обороны постановляет: </w:t>
      </w:r>
    </w:p>
    <w:p w14:paraId="3C957604"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I. Отметить, что согласно требованиям утвержденной правительством системы танкового вооружения (постановление СТО № 71сс от 13 августа 1933 г.) НКТПромом выполнены и предъявлены опытные образцы танков: </w:t>
      </w:r>
    </w:p>
    <w:p w14:paraId="4CDD4022"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а) 2 образца легких танков (плавающих) под маркой Т-43, колесно-гусеничные; 1 образец легкого танка (плавающий), только гусеничный, под маркой Т-38; </w:t>
      </w:r>
    </w:p>
    <w:p w14:paraId="5EF23988"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б) 1 образец колесно-гусеничного танка под маркой Т-46, общевойсковой; </w:t>
      </w:r>
    </w:p>
    <w:p w14:paraId="0D9606CD"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в) 2 образца средних быстроходных танков под маркой БТ с дизелем и под маркой ПТ-1 плавающий; </w:t>
      </w:r>
    </w:p>
    <w:p w14:paraId="4F8FABA1"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г) 1 образец танка БТ с мотором М-17; </w:t>
      </w:r>
    </w:p>
    <w:p w14:paraId="55B8326D"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д) 2 образца тяжелых танков под маркой Т-29-4 и Т-29-5; </w:t>
      </w:r>
    </w:p>
    <w:p w14:paraId="167371DE"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е) самоходные установки на шасси Т-26, с универсальным лафетом под 76-мм пушку, под 122-мм гаубицу и 152-мм мортиру; </w:t>
      </w:r>
    </w:p>
    <w:p w14:paraId="65E40532"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ж) одна самоходная установка на шасси Т-35 под 8 дюймовую гаубицу. </w:t>
      </w:r>
    </w:p>
    <w:p w14:paraId="77A84E2A"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II. Установить на вооружение РККА следующие 5 типов танков: </w:t>
      </w:r>
    </w:p>
    <w:p w14:paraId="0ECB9CE5"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1. Принять на вооружение Т-38 завода № 37; улучшить размещение водителя машины и поднять клиренс на 15 мм с тем, чтобы вес танка не увеличился более, чем 150 – 200 кг против представленного опытного образца. </w:t>
      </w:r>
    </w:p>
    <w:p w14:paraId="344EA594"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2. Предрешить принятие на вооружение Т-46 опытного завода им. Кирова вместо танка Т-26; закончить заводские и войсковые испытания с тем, чтобы поставить на производство в 1936 г. на заводе им. Ворошилова. </w:t>
      </w:r>
    </w:p>
    <w:p w14:paraId="4832F4EF"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3. Оставить на вооружении танк БТ. Отказаться от замены его на танк ПТ-1. В 1935 г. танк БТ изготовлять с мотором М-17, и в 1936 г. перевести производство этого же танка БТ на дизель-мотор на Харьковском паровозостроительном заводе. </w:t>
      </w:r>
    </w:p>
    <w:p w14:paraId="65EB4A51"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4. Предрешить принятие на вооружение колесно-гусеничного танка Т-29 вместо Т-28; закончить его заводские и войсковые испытания с тем, чтобы в 1936 г. поставить на производство на Кировском заводе. </w:t>
      </w:r>
    </w:p>
    <w:p w14:paraId="0E8EE8EF"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5. Оставить на вооружении танк Т-35 с производством его на Харьковском паровозостроительном заводе. </w:t>
      </w:r>
    </w:p>
    <w:p w14:paraId="1B8AD4B2"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III. По самоходным установкам: </w:t>
      </w:r>
    </w:p>
    <w:p w14:paraId="380E6929"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Принять на вооружение самоходную установку 8 дюймовой гаубицы на шасси Т-35 и в 1936 г. изготовить на Харьковском паровозостроительном заводе 10 шт. этих самоходных установок. </w:t>
      </w:r>
    </w:p>
    <w:p w14:paraId="1BE52216"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IV. НКТПрому и НКОбороны после окончания испытаний представить к награждению лиц, непосредственно осуществивших выполнение утвержденной правительством танковой системы вооружения. </w:t>
      </w:r>
    </w:p>
    <w:p w14:paraId="405977D0"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V. По НАТИ. </w:t>
      </w:r>
    </w:p>
    <w:p w14:paraId="43564DE4"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1. Выделить НАТИ из системы ГУТАПа и подчинить его непосредственно наркому тяжелой промышленности т. Орджоникидзе. </w:t>
      </w:r>
    </w:p>
    <w:p w14:paraId="60F6E9CF"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2. В составе НАТИ организовать 3 отдела: танковый, тракторный, автомобильный. </w:t>
      </w:r>
    </w:p>
    <w:p w14:paraId="7B749D10"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3. Назначить заместителем директора института т. Барыкова. </w:t>
      </w:r>
    </w:p>
    <w:p w14:paraId="43BA5A1C" w14:textId="77777777" w:rsidR="00075416" w:rsidRPr="00E14102" w:rsidRDefault="00075416" w:rsidP="00E14102">
      <w:pPr>
        <w:jc w:val="both"/>
        <w:rPr>
          <w:color w:val="000000" w:themeColor="text1"/>
          <w:sz w:val="16"/>
          <w:szCs w:val="16"/>
        </w:rPr>
      </w:pPr>
      <w:r w:rsidRPr="00E14102">
        <w:rPr>
          <w:color w:val="000000" w:themeColor="text1"/>
          <w:sz w:val="16"/>
          <w:szCs w:val="16"/>
        </w:rPr>
        <w:t xml:space="preserve">4. Оборудование и личный состав опытного завода им. Кирова передать на организацию танкового отдела НАТИ. </w:t>
      </w:r>
    </w:p>
    <w:p w14:paraId="5F1FC235" w14:textId="77777777" w:rsidR="00075416" w:rsidRPr="00E14102" w:rsidRDefault="00075416" w:rsidP="00E14102">
      <w:pPr>
        <w:jc w:val="both"/>
        <w:rPr>
          <w:color w:val="000000" w:themeColor="text1"/>
          <w:sz w:val="16"/>
          <w:szCs w:val="16"/>
        </w:rPr>
      </w:pPr>
      <w:r w:rsidRPr="00E14102">
        <w:rPr>
          <w:color w:val="000000" w:themeColor="text1"/>
          <w:sz w:val="16"/>
          <w:szCs w:val="16"/>
        </w:rPr>
        <w:t>Председатель Совета труда и обороны подпись В. Молотов</w:t>
      </w:r>
    </w:p>
    <w:p w14:paraId="606A4385" w14:textId="77777777" w:rsidR="00075416" w:rsidRPr="00E14102" w:rsidRDefault="00075416" w:rsidP="00E14102">
      <w:pPr>
        <w:jc w:val="both"/>
        <w:rPr>
          <w:color w:val="000000" w:themeColor="text1"/>
          <w:sz w:val="16"/>
          <w:szCs w:val="16"/>
        </w:rPr>
      </w:pPr>
      <w:r w:rsidRPr="00E14102">
        <w:rPr>
          <w:color w:val="000000" w:themeColor="text1"/>
          <w:sz w:val="16"/>
          <w:szCs w:val="16"/>
        </w:rPr>
        <w:t>Cекретарь Совета труда и обороны подпись Базилевич</w:t>
      </w:r>
    </w:p>
    <w:p w14:paraId="67AD1E1B" w14:textId="77777777" w:rsidR="00075416" w:rsidRPr="00E14102" w:rsidRDefault="00075416" w:rsidP="00E14102">
      <w:pPr>
        <w:jc w:val="both"/>
        <w:rPr>
          <w:color w:val="000000" w:themeColor="text1"/>
          <w:sz w:val="16"/>
          <w:szCs w:val="16"/>
        </w:rPr>
      </w:pPr>
      <w:r w:rsidRPr="00E14102">
        <w:rPr>
          <w:bCs/>
          <w:iCs/>
          <w:color w:val="000000" w:themeColor="text1"/>
          <w:sz w:val="16"/>
          <w:szCs w:val="16"/>
        </w:rPr>
        <w:t>ГАРФ Фонд Р-8418 Опись 28 Дело 6 Лист 230 – 232</w:t>
      </w:r>
      <w:r w:rsidRPr="00E14102">
        <w:rPr>
          <w:color w:val="000000" w:themeColor="text1"/>
          <w:sz w:val="16"/>
          <w:szCs w:val="16"/>
        </w:rPr>
        <w:t xml:space="preserve"> (17507).</w:t>
      </w:r>
    </w:p>
    <w:p w14:paraId="7768D503" w14:textId="77777777" w:rsidR="00075416" w:rsidRPr="00E14102" w:rsidRDefault="00075416" w:rsidP="00E14102">
      <w:pPr>
        <w:jc w:val="both"/>
        <w:rPr>
          <w:color w:val="000000" w:themeColor="text1"/>
          <w:sz w:val="16"/>
          <w:szCs w:val="16"/>
        </w:rPr>
      </w:pPr>
    </w:p>
    <w:p w14:paraId="0BC0C0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июня 1935 вышло постановление СТО № 71, согласно которому было решено: “оставить на вооружении танк БТ. Отказаться от замены его на танк ПТ-1” (7615, 23).</w:t>
      </w:r>
    </w:p>
    <w:p w14:paraId="7CB1B49D" w14:textId="77777777" w:rsidR="00D4105E" w:rsidRPr="00E14102" w:rsidRDefault="00D4105E" w:rsidP="00E14102">
      <w:pPr>
        <w:autoSpaceDE w:val="0"/>
        <w:autoSpaceDN w:val="0"/>
        <w:adjustRightInd w:val="0"/>
        <w:jc w:val="both"/>
        <w:rPr>
          <w:color w:val="000000" w:themeColor="text1"/>
          <w:sz w:val="16"/>
          <w:szCs w:val="16"/>
        </w:rPr>
      </w:pPr>
    </w:p>
    <w:p w14:paraId="486AEF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июня 1935 вышло постановление СТО N 71, согласно которому: “оставить на вооружении танк БТ. Отказаться от замены его на танк ПТ-1.” (3881,3).</w:t>
      </w:r>
    </w:p>
    <w:p w14:paraId="4961EE63" w14:textId="77777777" w:rsidR="00D4105E" w:rsidRPr="00E14102" w:rsidRDefault="00D4105E" w:rsidP="00E14102">
      <w:pPr>
        <w:autoSpaceDE w:val="0"/>
        <w:autoSpaceDN w:val="0"/>
        <w:adjustRightInd w:val="0"/>
        <w:jc w:val="both"/>
        <w:rPr>
          <w:color w:val="000000" w:themeColor="text1"/>
          <w:sz w:val="16"/>
          <w:szCs w:val="16"/>
        </w:rPr>
      </w:pPr>
    </w:p>
    <w:p w14:paraId="4D0320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 июня 1935 г. постановление СТО № 71 от предписывало «оставить на вооружении танк БТ. Отказаться от замены его на танк ПТ-1». Шедший на замену ПТ-1А танк Т-29 планировалось выпускать на Ки</w:t>
      </w:r>
      <w:r w:rsidRPr="00E14102">
        <w:rPr>
          <w:color w:val="000000" w:themeColor="text1"/>
          <w:sz w:val="16"/>
          <w:szCs w:val="16"/>
        </w:rPr>
        <w:softHyphen/>
        <w:t>ровском заводе, и, таким образом, на долю ХПЗ вновь дос</w:t>
      </w:r>
      <w:r w:rsidRPr="00E14102">
        <w:rPr>
          <w:color w:val="000000" w:themeColor="text1"/>
          <w:sz w:val="16"/>
          <w:szCs w:val="16"/>
        </w:rPr>
        <w:softHyphen/>
        <w:t>тался старый добрый БТ, сменивший номер с 5 на 7 (10733,344).</w:t>
      </w:r>
    </w:p>
    <w:p w14:paraId="0C1349E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B076EB9" w14:textId="77777777" w:rsidR="00B304CF"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72F8B72" w14:textId="77777777" w:rsidR="00B304CF" w:rsidRPr="00E14102" w:rsidRDefault="00B304CF" w:rsidP="00E14102">
      <w:pPr>
        <w:autoSpaceDE w:val="0"/>
        <w:autoSpaceDN w:val="0"/>
        <w:adjustRightInd w:val="0"/>
        <w:jc w:val="both"/>
        <w:rPr>
          <w:iCs/>
          <w:color w:val="000000" w:themeColor="text1"/>
          <w:sz w:val="16"/>
          <w:szCs w:val="16"/>
        </w:rPr>
      </w:pPr>
    </w:p>
    <w:p w14:paraId="06055EE6" w14:textId="77777777" w:rsidR="00B304CF" w:rsidRPr="00E14102" w:rsidRDefault="00B304CF" w:rsidP="00E14102">
      <w:pPr>
        <w:jc w:val="both"/>
        <w:rPr>
          <w:color w:val="000000" w:themeColor="text1"/>
          <w:sz w:val="16"/>
          <w:szCs w:val="16"/>
        </w:rPr>
      </w:pPr>
      <w:r w:rsidRPr="00E14102">
        <w:rPr>
          <w:color w:val="000000" w:themeColor="text1"/>
          <w:sz w:val="16"/>
          <w:szCs w:val="16"/>
        </w:rPr>
        <w:t>19 июня 1935 г., в последний день работы в Главлите, Б.Волин подписал (а 21 июня его секретариат оформил) Приказ № 1323/сс по Главлиту, в котором отмечалось, что в библиотеках проводилась никем не контролируемая чистка. Поэтому предлагалось прекратить общую чистку и впредь изымать книги только по спискам Главлита.</w:t>
      </w:r>
    </w:p>
    <w:p w14:paraId="17163FCD" w14:textId="77777777" w:rsidR="00B304CF" w:rsidRPr="00E14102" w:rsidRDefault="00B304CF" w:rsidP="00E14102">
      <w:pPr>
        <w:jc w:val="both"/>
        <w:rPr>
          <w:color w:val="000000" w:themeColor="text1"/>
          <w:sz w:val="16"/>
          <w:szCs w:val="16"/>
        </w:rPr>
      </w:pPr>
      <w:r w:rsidRPr="00E14102">
        <w:rPr>
          <w:color w:val="000000" w:themeColor="text1"/>
          <w:sz w:val="16"/>
          <w:szCs w:val="16"/>
        </w:rPr>
        <w:t>Первый список на изъятие политической литературы прилагался к указанному приказу. В него вошли все книги Троцкого, 11 книг Зиновьева, три книги Шляпникова по истории 1917 г., книги по истории партии (В.Невского, В.Волосевича, Б.Вардина, М.Яворского), теоретические работы по ленинизму П.Залуцкого, Н.Майорского, Г.Сафарова, А.Слепкова и несколько книг Г.Преображенского... Всего в списке было указано 43 книги.</w:t>
      </w:r>
    </w:p>
    <w:p w14:paraId="4B9A4F53" w14:textId="77777777" w:rsidR="00B304CF" w:rsidRPr="00E14102" w:rsidRDefault="00B304CF" w:rsidP="00E14102">
      <w:pPr>
        <w:jc w:val="both"/>
        <w:rPr>
          <w:color w:val="000000" w:themeColor="text1"/>
          <w:sz w:val="16"/>
          <w:szCs w:val="16"/>
        </w:rPr>
      </w:pPr>
      <w:r w:rsidRPr="00E14102">
        <w:rPr>
          <w:color w:val="000000" w:themeColor="text1"/>
          <w:sz w:val="16"/>
          <w:szCs w:val="16"/>
        </w:rPr>
        <w:lastRenderedPageBreak/>
        <w:t>Приказ № 1323/сс определил новый порядок изъятия литературы, который перечеркнул действующую до сих пор практику изъятия литературы под руководством Библиотечного управления Наркомпроса и его местных отделений в ОНО. Отныне чистка проводилась заведующим Край(обл)литом или его заместителем совместно с представителем НКВД, в районах - представителем край(обл)лита совместно с представителем от районного НКВД. Это привело к столкновениям ведомственных интересов на местах и недовольству библиотечных работников. Так, например, в 1936 г. книги из козельской районной библиотеки были изъяты работником НКВД без извещения директора библиотеки и районного отдела народного образования. Сколько и какие книги были взяты НКВД - не известно Никакие протесты не могли остановить вакханалию изъятия книг и перевод их в разряд секретных. Местные работники цензуры никак не могли понять, что из работ Троцкого нужно изымать, а что нет. Начальник Кулебакского Райлита просил ответить начальника Горьковского Крайлита, нужно ли изымать книгу Лурье «Красная Лодзь», если какой-то Лурье арестован в Москве. Следующий вопрос был такой – нужно ли изымать троцкистско-зиновьевскую литературу из личных библиотек коммунистов, а если изымать, то каким образом? Ответ был краток: «На личные библиотеки приказ Главлита не распространяется». Масса вопросов с мест побуждала Главлит рассылать дополнительные разъяснения (16273).</w:t>
      </w:r>
    </w:p>
    <w:p w14:paraId="79E1F14D" w14:textId="77777777" w:rsidR="00B304CF" w:rsidRPr="00E14102" w:rsidRDefault="00B304CF" w:rsidP="00E14102">
      <w:pPr>
        <w:autoSpaceDE w:val="0"/>
        <w:autoSpaceDN w:val="0"/>
        <w:adjustRightInd w:val="0"/>
        <w:jc w:val="both"/>
        <w:rPr>
          <w:iCs/>
          <w:color w:val="000000" w:themeColor="text1"/>
          <w:sz w:val="16"/>
          <w:szCs w:val="16"/>
        </w:rPr>
      </w:pPr>
    </w:p>
    <w:p w14:paraId="6BF3021E" w14:textId="77777777" w:rsidR="00B304CF"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4A52F82" w14:textId="77777777" w:rsidR="00B304CF" w:rsidRPr="00E14102" w:rsidRDefault="00B304CF" w:rsidP="00E14102">
      <w:pPr>
        <w:autoSpaceDE w:val="0"/>
        <w:autoSpaceDN w:val="0"/>
        <w:adjustRightInd w:val="0"/>
        <w:jc w:val="both"/>
        <w:rPr>
          <w:iCs/>
          <w:color w:val="000000" w:themeColor="text1"/>
          <w:sz w:val="16"/>
          <w:szCs w:val="16"/>
        </w:rPr>
      </w:pPr>
    </w:p>
    <w:p w14:paraId="301C7CBF" w14:textId="77777777" w:rsidR="00B304CF" w:rsidRPr="00E14102" w:rsidRDefault="00B304CF" w:rsidP="00E14102">
      <w:pPr>
        <w:jc w:val="both"/>
        <w:rPr>
          <w:color w:val="000000" w:themeColor="text1"/>
          <w:sz w:val="16"/>
          <w:szCs w:val="16"/>
        </w:rPr>
      </w:pPr>
      <w:r w:rsidRPr="00E14102">
        <w:rPr>
          <w:bCs/>
          <w:color w:val="000000" w:themeColor="text1"/>
          <w:sz w:val="16"/>
          <w:szCs w:val="16"/>
        </w:rPr>
        <w:t xml:space="preserve">19 июня </w:t>
      </w:r>
      <w:r w:rsidRPr="00E14102">
        <w:rPr>
          <w:color w:val="000000" w:themeColor="text1"/>
          <w:sz w:val="16"/>
          <w:szCs w:val="16"/>
        </w:rPr>
        <w:t>в 1935 году в Брукленде, Англия, через 10 месяцев после биплана «тип 253» взлетел прототип моноплана «тип 246», несущий заводское обозначение 0-9, английского среднего бомбардировщика «Vickers Wellesley» (14927).</w:t>
      </w:r>
    </w:p>
    <w:p w14:paraId="4FEA8227" w14:textId="77777777" w:rsidR="00B304CF" w:rsidRPr="00E14102" w:rsidRDefault="00B304CF" w:rsidP="00E14102">
      <w:pPr>
        <w:jc w:val="both"/>
        <w:rPr>
          <w:color w:val="000000" w:themeColor="text1"/>
          <w:sz w:val="16"/>
          <w:szCs w:val="16"/>
        </w:rPr>
      </w:pPr>
    </w:p>
    <w:p w14:paraId="12626E78" w14:textId="77777777" w:rsidR="00F25FD8" w:rsidRPr="00E14102" w:rsidRDefault="00F25FD8" w:rsidP="00E14102">
      <w:pPr>
        <w:jc w:val="both"/>
        <w:rPr>
          <w:color w:val="0070C0"/>
          <w:sz w:val="16"/>
          <w:szCs w:val="16"/>
        </w:rPr>
      </w:pPr>
      <w:r w:rsidRPr="00E14102">
        <w:rPr>
          <w:color w:val="0070C0"/>
          <w:sz w:val="16"/>
          <w:szCs w:val="16"/>
        </w:rPr>
        <w:t>19 июня 1935 состоялся первый полет Виккерс Уэлсли (20800).</w:t>
      </w:r>
    </w:p>
    <w:p w14:paraId="6534A657" w14:textId="77777777" w:rsidR="00F25FD8" w:rsidRPr="00E14102" w:rsidRDefault="00F25FD8" w:rsidP="00E14102">
      <w:pPr>
        <w:jc w:val="both"/>
        <w:rPr>
          <w:color w:val="0070C0"/>
          <w:sz w:val="16"/>
          <w:szCs w:val="16"/>
        </w:rPr>
      </w:pPr>
    </w:p>
    <w:p w14:paraId="2FDE5304" w14:textId="77777777" w:rsidR="00F25FD8" w:rsidRPr="00E14102" w:rsidRDefault="00F25FD8" w:rsidP="00E14102">
      <w:pPr>
        <w:jc w:val="both"/>
        <w:rPr>
          <w:color w:val="0070C0"/>
          <w:sz w:val="16"/>
          <w:szCs w:val="16"/>
        </w:rPr>
      </w:pPr>
      <w:r w:rsidRPr="00E14102">
        <w:rPr>
          <w:color w:val="0070C0"/>
          <w:sz w:val="16"/>
          <w:szCs w:val="16"/>
        </w:rPr>
        <w:t>19 июня 1935 - Первый полёт прототипа Vickers Wellesley, в воздух его поднял капитан Саммерс, шеф-пилот фирмы. В серии построено 177 самолётов (22456).</w:t>
      </w:r>
    </w:p>
    <w:p w14:paraId="7F237A25" w14:textId="77777777" w:rsidR="00F25FD8" w:rsidRPr="00E14102" w:rsidRDefault="00F25FD8" w:rsidP="00E14102">
      <w:pPr>
        <w:jc w:val="both"/>
        <w:rPr>
          <w:color w:val="0070C0"/>
          <w:sz w:val="16"/>
          <w:szCs w:val="16"/>
        </w:rPr>
      </w:pPr>
    </w:p>
    <w:p w14:paraId="728FF90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85203E6" w14:textId="77777777" w:rsidR="00D4105E" w:rsidRPr="00E14102" w:rsidRDefault="00D4105E" w:rsidP="00E14102">
      <w:pPr>
        <w:autoSpaceDE w:val="0"/>
        <w:autoSpaceDN w:val="0"/>
        <w:adjustRightInd w:val="0"/>
        <w:jc w:val="both"/>
        <w:rPr>
          <w:iCs/>
          <w:color w:val="000000" w:themeColor="text1"/>
          <w:sz w:val="16"/>
          <w:szCs w:val="16"/>
        </w:rPr>
      </w:pPr>
    </w:p>
    <w:p w14:paraId="1D6C4D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июня 1935 на заводе 22 было выполнено серийное испытание ТБ-3 4М-34Р N 22550. Цель испытаний:</w:t>
      </w:r>
    </w:p>
    <w:p w14:paraId="5EE2EA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Проверить летные качества серийного ТБ-3 4М-34Р и соответствие ТК УВС</w:t>
      </w:r>
    </w:p>
    <w:p w14:paraId="425B2C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Проверить весовые данные и центровку</w:t>
      </w:r>
    </w:p>
    <w:p w14:paraId="3EC864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Выявить конструктивные и производственные дефекты серийного самолета</w:t>
      </w:r>
    </w:p>
    <w:p w14:paraId="28C74F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13AB0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ТБ-3 4М-34Р N 22550 по своим ЛД соответствует ТУ 1934 на поставку самолетов</w:t>
      </w:r>
    </w:p>
    <w:p w14:paraId="438612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На самолете и представленной им серии помимо устранения приведенных в отчете дефектов д.б. произведено:</w:t>
      </w:r>
    </w:p>
    <w:p w14:paraId="0980BC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замена воздушных винтов на кондиционные</w:t>
      </w:r>
    </w:p>
    <w:p w14:paraId="2AC788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замена радиаторов с латунными трубками на радиаторы с трубками из красной меди</w:t>
      </w:r>
    </w:p>
    <w:p w14:paraId="43C087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усиление подмоторных рам по чертежам серийного усиления</w:t>
      </w:r>
    </w:p>
    <w:p w14:paraId="4C0A1A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окраска</w:t>
      </w:r>
    </w:p>
    <w:p w14:paraId="3AA0AD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По устранению перечисленных в п. 2 дефектов, самолеты м.б. допущены к эксплуатации в строевые части ВВС (2947).</w:t>
      </w:r>
    </w:p>
    <w:p w14:paraId="4136A984" w14:textId="77777777" w:rsidR="00D4105E" w:rsidRPr="00E14102" w:rsidRDefault="00D4105E" w:rsidP="00E14102">
      <w:pPr>
        <w:autoSpaceDE w:val="0"/>
        <w:autoSpaceDN w:val="0"/>
        <w:adjustRightInd w:val="0"/>
        <w:jc w:val="both"/>
        <w:rPr>
          <w:color w:val="000000" w:themeColor="text1"/>
          <w:sz w:val="16"/>
          <w:szCs w:val="16"/>
        </w:rPr>
      </w:pPr>
    </w:p>
    <w:p w14:paraId="691216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июня 1935 в результате производственного дефекта разбили первый РД-2 (АНТ-37) П.О.С. Л К.Попов и м М.Егоров спаслись, а т - погиб (1454,35).</w:t>
      </w:r>
    </w:p>
    <w:p w14:paraId="75E5D108" w14:textId="77777777" w:rsidR="00D4105E" w:rsidRPr="00E14102" w:rsidRDefault="00D4105E" w:rsidP="00E14102">
      <w:pPr>
        <w:autoSpaceDE w:val="0"/>
        <w:autoSpaceDN w:val="0"/>
        <w:adjustRightInd w:val="0"/>
        <w:jc w:val="both"/>
        <w:rPr>
          <w:color w:val="000000" w:themeColor="text1"/>
          <w:sz w:val="16"/>
          <w:szCs w:val="16"/>
        </w:rPr>
      </w:pPr>
    </w:p>
    <w:p w14:paraId="0C9122F6" w14:textId="77777777" w:rsidR="00964959" w:rsidRPr="00E14102" w:rsidRDefault="004B7965" w:rsidP="00E14102">
      <w:pPr>
        <w:shd w:val="clear" w:color="auto" w:fill="FFFFFF"/>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6F6DF01" w14:textId="77777777" w:rsidR="00964959" w:rsidRPr="00E14102" w:rsidRDefault="00964959" w:rsidP="00E14102">
      <w:pPr>
        <w:shd w:val="clear" w:color="auto" w:fill="FFFFFF"/>
        <w:autoSpaceDE w:val="0"/>
        <w:autoSpaceDN w:val="0"/>
        <w:adjustRightInd w:val="0"/>
        <w:jc w:val="both"/>
        <w:rPr>
          <w:iCs/>
          <w:color w:val="000000" w:themeColor="text1"/>
          <w:sz w:val="16"/>
          <w:szCs w:val="16"/>
        </w:rPr>
      </w:pPr>
    </w:p>
    <w:p w14:paraId="37D60693" w14:textId="77777777" w:rsidR="00964959" w:rsidRPr="00E14102" w:rsidRDefault="00964959" w:rsidP="00E14102">
      <w:pPr>
        <w:jc w:val="both"/>
        <w:rPr>
          <w:color w:val="000000" w:themeColor="text1"/>
          <w:sz w:val="16"/>
          <w:szCs w:val="16"/>
        </w:rPr>
      </w:pPr>
      <w:r w:rsidRPr="00E14102">
        <w:rPr>
          <w:color w:val="000000" w:themeColor="text1"/>
          <w:sz w:val="16"/>
          <w:szCs w:val="16"/>
        </w:rPr>
        <w:t>20 июня 1935 г. Статья П. Богданова "Как изучать американскую технику"</w:t>
      </w:r>
    </w:p>
    <w:p w14:paraId="28C70DBF"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"Из месяца в месяц, из года в год мы должны поднимать свою технику и свою промышленность на все большую и большую высоту...Техника, товарищи, все время движется и движется вперед, и тот, кто сколько-нибудь замешкался по дороге движения вперед, тот отстает". </w:t>
      </w:r>
    </w:p>
    <w:p w14:paraId="776711C7"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Эти слова т. Орджоникидзе44 заставляют всех работников промышленности поставить перед собой вопрос: как наилучшим образом и в наиболее короткие сроки подняться на новые, высшие ступени техники? </w:t>
      </w:r>
    </w:p>
    <w:p w14:paraId="482204BD"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Повышая свою технику, мы должны взять самое лучшее из опыта Западной Европы и особенно Америки. Десятки комиссий и сотни инженеров, побывавших в США, говорили: осмотрев европейские предприятия, мы, однако, только в Америке нашли то, что сможет быть действительно наилучшим образом применено в Советском Союзе. </w:t>
      </w:r>
    </w:p>
    <w:p w14:paraId="5C1CB3D4"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Опущен текст Подпись неразборчива. </w:t>
      </w:r>
    </w:p>
    <w:p w14:paraId="542BBECE"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И все же, хотя каждая наша комиссия вывозила с собой из Америки как будто последнее слово техники, мы продолжали отставать в ряде отраслей. По-видимому, нужно принять еще какие-то меры, чтобы не отстать от американцев. </w:t>
      </w:r>
    </w:p>
    <w:p w14:paraId="2D43C92B"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Перед началом первой пятилетки мы заключили несколько десятков договоров о технической помощи и закупали там большое количество оборудования. Этим самым мы 5-6 лет назад взяли "сегодняшний день" американской техники. К 1933 г. договоры о технической помощи были в основном использованы и закончены. А к 1935 г. у нас оставались только три крупных договора о технической помощи: договор с Фордом, с авиафирмой "Кертис Райт" и договор по коксовому делу с фирмой Копперса. Покупка оборудования сократилась, и за последние два года передача американского опыта производилась довольно слабо, причем метод нашей работы сконцентрировался на посылке технических комиссий по самым различным отраслям промышленности. При этом каждая комиссия старалась за короткий промежуток времени осмотреть как можно больше объектов. Каждая такая комиссия могла пробыть на заводе не более чем 2-3 дня и, как правило, ограничивалась экскурсионным осмотром предприятий. </w:t>
      </w:r>
    </w:p>
    <w:p w14:paraId="1C89326B"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Некоторым из наших крупных специалистов удалось благодаря своим знаниям настолько заинтересовать американцев, что получился своеобразный обоюдный обмен опытом. Так случилось с товарищами, приезжавшими по вопросам связи, так было, например, с молодым металлургом т. Самариным. Приехав на заводы "Беттлехемстиль" и просмотрев один из процессов производства стали, т. Самарин указал на недостатки, которые, по его мнению, имелись в этом процессе. Американские металлурги ухватились за ценные указания т. Самарина, и в результате он имел возможность более длительно и подробно ознакомиться с их работой. </w:t>
      </w:r>
    </w:p>
    <w:p w14:paraId="565FE466"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Наибольшие результаты получены нашими комиссиями на предприятиях, с которыми мы связаны договорами технической помощи. Поскольку мы имеем договор с фирмой "Кертис Райт", наши инженеры детально изучают производственные процессы на заводе фирмы. Но, кроме этого, мы связаны с десятком фирм, которые обслуживают заводы Райта. При американской специализации это особенно ценно, и наши товарищи имеют возможность знакомиться с производством ряда аппаратов, а также с эксплуатацией самолетов. </w:t>
      </w:r>
    </w:p>
    <w:p w14:paraId="37C9F95E"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Значительный интерес представляет для нас также технический опыт Форда. </w:t>
      </w:r>
    </w:p>
    <w:p w14:paraId="5A705C98"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Форд - предприятие-уникум в Америке. Из чисто коммерческих соображений Форд хочет освободиться от зависимости банков и других крупных фирм, поэтому он поставил у себя целый ряд подсобных производств. Не желая зависеть от концернов, которые снабжают автомобильные заводы материалами, Форд заводит у себя собственные домны, мартены, прокат, производство стекла и т.д. Недавно он купил даже непрерывно-прокатный листовой стан. Установка стана дает ему возможность сэкономить 6-8 долл. на каждой машине, и в 1-1,5 года стан себя окупит. </w:t>
      </w:r>
    </w:p>
    <w:p w14:paraId="239D1E12"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Экскурсионные комиссии, получив общее впечатление об американском производстве, увозили свои материалы в Союз и после этого отрывались от Америки. Наш аппарат, представляющий промышленность в Америке, очень мал - всего 3-4 человека. Для такого штата физически невозможно следить за достижениями всей промышленности. Проходит некоторое время, американская техника снова уходит вперед, и то, что наши комиссии в свое время изучили, становиться устаревшим. Таких примеров приводится в печати много за последнее время. Их можно найти в нефтяной промышленности, в автостроении, в электропромышленности, в производстве котлов высокого давления и т. </w:t>
      </w:r>
    </w:p>
    <w:p w14:paraId="5D974CC3"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д. </w:t>
      </w:r>
    </w:p>
    <w:p w14:paraId="1068C5D6"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Даже в такой отрасли, как тракторостроение, полностью освоенной нами 2-3 года назад, наша техника не знает американских новинок. В годы наибольшего кризиса тракторная промышленность в Америке совершенно замерла, но за это время заводы, производившие колесные тракторы, перестроились и сейчас выпустили несколько новых типов тракторов - легких и малолитражных. Они рациональны на садовых, огородных и специальных работах, каких у нас немало. Америка выпускает каждый год новые оригинальные типы станков, как, например, станки бесцентровой шлифовки или станки с внешней протяжкой (бро- шинг-процесс), типичные для 1934 г., и т.д. </w:t>
      </w:r>
    </w:p>
    <w:p w14:paraId="1E7A52EC" w14:textId="77777777" w:rsidR="00964959" w:rsidRPr="00E14102" w:rsidRDefault="00964959" w:rsidP="00E14102">
      <w:pPr>
        <w:jc w:val="both"/>
        <w:rPr>
          <w:color w:val="000000" w:themeColor="text1"/>
          <w:sz w:val="16"/>
          <w:szCs w:val="16"/>
        </w:rPr>
      </w:pPr>
      <w:r w:rsidRPr="00E14102">
        <w:rPr>
          <w:color w:val="000000" w:themeColor="text1"/>
          <w:sz w:val="16"/>
          <w:szCs w:val="16"/>
        </w:rPr>
        <w:t>Отставание в различных областях техники вызвано вовсе не нашим неумением или нежеланием освоить технику. Наша промышленность за последние годы показала блестящие образцы в постановке новых производств и в изобретательстве. Но у нас пока нет еще своей достаточной технической культуры. Под такой культурой нужно понимать прежде всего громадный десятилетиями накопленный опыт и кадры, умеющие быстро претворять в жизнь новые идеи техники. Американцы имеют сложившиеся навыки, позволяющие быстро находить наиболее целесообразное и простое решение; к их услугам ценнейшие архивы чертежей, лаборатории, научно-</w:t>
      </w:r>
      <w:r w:rsidRPr="00E14102">
        <w:rPr>
          <w:color w:val="000000" w:themeColor="text1"/>
          <w:sz w:val="16"/>
          <w:szCs w:val="16"/>
        </w:rPr>
        <w:lastRenderedPageBreak/>
        <w:t xml:space="preserve">исследовательские институты, тесно связанные с промышленностью. Все это можно накопить только за известный период времени, этого нельзя создать одним волевым напряжением. </w:t>
      </w:r>
    </w:p>
    <w:p w14:paraId="55CBF9B4"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Метод работы американцев - широкая специализация, механизация процессов, стандартизация, массовое поточное производство, конвейеры, специальные станки и автоматы, сложнейшие приспособления. Эти методы могут и должны быть восприняты нами. Но у нас для этого еще не хватает инженеров вообще, а опытных инженеров в особенности. </w:t>
      </w:r>
    </w:p>
    <w:p w14:paraId="0D3763A8"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Чтобы скорее создать свою техническую культуру, нам необходимо постоянно изучать то, что происходит за границей. Я подчеркиваю слово - постоянно. </w:t>
      </w:r>
    </w:p>
    <w:p w14:paraId="20F6E1C6"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Грамотный инженер только тогда сможет полностью применить свои способности, когда он непрерывно следит за достижениями мировой техники. Для этого, в частности, совершенно необходимым является знание иностранных языков. В особенности изучение английского языка должно стать обязательным во всех высших учебных заведениях. Кстати сказать, незнание языка - одна из причин, мешающих приезжающим в Америку комиссиям и инженерам быстро и полно ознакомиться с производством. </w:t>
      </w:r>
    </w:p>
    <w:p w14:paraId="3A40362E"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Наши научно-исследовательские институты должны быть тесно связаны с научно-исследовательскими учреждениями Америки. Американские научные учреждения и инженерные общества очень охотно идут на обмен своими исследованиями и литературными трудами. Установить связь с ними легко. Для лучшей организации этой связи было бы очень полезно иметь в Америке организованную ячейку. Это весьма облегчило бы связь и обмен материалами. </w:t>
      </w:r>
    </w:p>
    <w:p w14:paraId="4C6B66F7"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Американское общество инженеров-механиков, охватывающее широкие круги специалистов, предложило нам установить постоянную связь. Оно хотело созвать даже специальную конференцию, на которую приехали бы представители наших обществ. К сожалению, это предложение не встретило отклика с нашей стороны. </w:t>
      </w:r>
    </w:p>
    <w:p w14:paraId="4F59ECEB"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Ежегодные конференции таких обществ в Америке сопровождаются выставками новинок и большим количеством чрезвычайно интересных докладов. Они подводят итоги работ того или другого инженера или фирмы, они насыщены практическими материалами, из которых можно почерпнуть богатые данные. Правда, последних секретов инженер в этих докладах, может быть, и не раскроет, но для развитого техника не так важно знать последние секреты, как важно усвоить самое направление работы и методику, по которой идет развитие. </w:t>
      </w:r>
    </w:p>
    <w:p w14:paraId="47E2CF62"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Для того чтобы сократить срок изучения и освоения американского опыта, чтобы ускорить темпы накопления нашего опыта, было бы крайне важно иметь в Америке несколько опорных производственных баз, через которые велось бы изучение американского производства. Договор с Фордом дал возможность пропустить через его заводы сотни наших инженеров и техников, освоивших организацию производства и технологические процессы этого образцового американского завода. Такое практическое ознакомление необходимо наряду с теоретическими знаниями. </w:t>
      </w:r>
    </w:p>
    <w:p w14:paraId="633ABE89"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Осмотрев производство автомобильных рам на заводе Смита, вы получаете громадное впечатление от необычайно высокой техники автоматизированного процесса. </w:t>
      </w:r>
    </w:p>
    <w:p w14:paraId="5FAC891A"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Но чтобы пересадить такой процесс к нам, нужно познакомиться на практике со всеми стадиями его организации. </w:t>
      </w:r>
    </w:p>
    <w:p w14:paraId="79148388"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Такие производственные базы в Америке могли бы превратиться в школу для наших работников, которые на практике будут осваивать американскую технику. Где и в каких отраслях промышленности создавать такие базы, это могут решить практически наши руководящие организации. Затем, чтобы наладить постоянное изучение различных проблем американской техники, необходимо иметь в США достаточно солидную, хорошо организованную группу или бюро, представляющую отдельные отрасли нашей промышленности. Тут должны быть представлены и Наркомтяжпром, и Наркомлегпром, и Наркомат местной промышленности. До сих пор мы в Америке обращали главное внимание на тяжелую индустрию. Но сейчас перед нами стоит задача насытить рынок предметами широкого потребления, предметами ежедневного обихода. Нам нужны будут заводы, которые смогут выпускать в массовом количестве и пуговицы, и галантерею, и стекло, и фурнитуру. Америка в этом отношении — классическая страна, и нам очень важно именно там изучить массовое производство предметов широкого потребления. </w:t>
      </w:r>
    </w:p>
    <w:p w14:paraId="2306F77D"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Посылку наших технических комиссий для изучения иностранной техники надо лучше организовывать. Во всяком случае следует принять меры, чтобы в будущем не могли повториться курьезы, имевшие место в нашей практике. </w:t>
      </w:r>
    </w:p>
    <w:p w14:paraId="5D512C48"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Так, например, в один прекрасный день 1934 г. приезжает в Америку инженер для изучения добычи и производства дефицитных металлов. Во время своей поездки по Западной Америке этот товарищ, между прочим, попал в руки опытных американских корреспондентов. И сразу же в газете небольшого городка, где он вел работу, появилось широковещательное интервью с этим инженером. Газета рекомендовала его как видного представителя советской техники, а в прошлом — крупного работника Красной Армии. Его называли чуть ли не красным генералом. Чему научился этот товарищ в Америке - неизвестно, но не успел он приехать в Союз, как был отозван с той отрасли работы, ради которой ездил в командировку. </w:t>
      </w:r>
    </w:p>
    <w:p w14:paraId="0E1CB700"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Был и такой случай, когда во главе комиссии, приехавшей в Америку, чтобы изучать скотоводство, стоял совершенно неопытный в вопросах животноводства бывший управляющий делами одного из крайисполкомов. Вполне возможно, что это был хороший партиец и хороший управделами, но во главе комиссии он себя, конечно, не оправдал. Неужели нельзя было для этого найти видного специалиста-животно- вода? </w:t>
      </w:r>
    </w:p>
    <w:p w14:paraId="7EA5439A"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Для того чтобы обеспечить наиболее продуктивную работу посылаемых комиссий, надо не только подобрать подходящих людей, но и подготовить заранее их маршруты и научные материалы в Америке и строго наладить учет проделанной ими работы. И, наконец, необходимо обеспечить использование привезенных из Америки материалов и передачу опыта для всех заинтересованных. Надо ликвидировать всякое дублирование работы комиссий, приезжающих в Америку, осмотр тех же самых заводов и постановку аналогичных вопросов. Надо внести плановость и учет в работу комиссий, и продуктивность этой работы значительно повысится. Надо ликвидировать и такое положение, которое иногда приходится наблюдать: приезжает в Америку комиссия, чтобы ознакомиться с какой-нибудь отраслью производства, люди осматривают заводы, приходят в восторг, благодарят, а потом возвращаются в Союз и - как в воду канули. Они не сообщают, что же они сделали в результате своей поездки и чего им не хватает. Вернувшись в Союз, комиссии должны добиваться применения американского опыта на практике, не рвать связи с Америкой, а, наоборот, неустанно следить за развитием отрасли, с которой они знакомились. </w:t>
      </w:r>
    </w:p>
    <w:p w14:paraId="251F6B86" w14:textId="77777777" w:rsidR="00964959" w:rsidRPr="00E14102" w:rsidRDefault="00964959" w:rsidP="00E14102">
      <w:pPr>
        <w:jc w:val="both"/>
        <w:rPr>
          <w:color w:val="000000" w:themeColor="text1"/>
          <w:sz w:val="16"/>
          <w:szCs w:val="16"/>
        </w:rPr>
      </w:pPr>
      <w:r w:rsidRPr="00E14102">
        <w:rPr>
          <w:color w:val="000000" w:themeColor="text1"/>
          <w:sz w:val="16"/>
          <w:szCs w:val="16"/>
        </w:rPr>
        <w:t xml:space="preserve">То, что в Америке делается под нажимом кризиса для эксплуатации рабочего, должно и может быть использовано нами для облегчения процессов труда и в интересах трудящихся. Мы должны, как говорил т. Орджоникидзе, "своими силами решать мировые технические проблемы, укрепляя господство человечества над природой". И это будет тем скорее, чем быстрее и лучше мы овладеем уже накопленными богатствами американской техники. </w:t>
      </w:r>
    </w:p>
    <w:p w14:paraId="416CC1D5" w14:textId="77777777" w:rsidR="00964959" w:rsidRPr="00E14102" w:rsidRDefault="00964959" w:rsidP="00E14102">
      <w:pPr>
        <w:jc w:val="both"/>
        <w:rPr>
          <w:color w:val="000000" w:themeColor="text1"/>
          <w:sz w:val="16"/>
          <w:szCs w:val="16"/>
        </w:rPr>
      </w:pPr>
      <w:r w:rsidRPr="00E14102">
        <w:rPr>
          <w:color w:val="000000" w:themeColor="text1"/>
          <w:sz w:val="16"/>
          <w:szCs w:val="16"/>
        </w:rPr>
        <w:t>Правда. 1935. 20 июня. № 168. Л. 2 (12152).</w:t>
      </w:r>
    </w:p>
    <w:p w14:paraId="0454CD2B" w14:textId="77777777" w:rsidR="00964959" w:rsidRPr="00E14102" w:rsidRDefault="00964959" w:rsidP="00E14102">
      <w:pPr>
        <w:jc w:val="both"/>
        <w:rPr>
          <w:color w:val="000000" w:themeColor="text1"/>
          <w:sz w:val="16"/>
          <w:szCs w:val="16"/>
        </w:rPr>
      </w:pPr>
    </w:p>
    <w:p w14:paraId="444F945B" w14:textId="77777777" w:rsidR="00131656" w:rsidRPr="00E14102" w:rsidRDefault="00131656" w:rsidP="00E14102">
      <w:pPr>
        <w:pStyle w:val="rtejustify"/>
        <w:spacing w:before="0" w:after="0"/>
        <w:rPr>
          <w:color w:val="000000" w:themeColor="text1"/>
          <w:sz w:val="16"/>
          <w:szCs w:val="16"/>
        </w:rPr>
      </w:pPr>
      <w:r w:rsidRPr="00E14102">
        <w:rPr>
          <w:rStyle w:val="a6"/>
          <w:bCs/>
          <w:i w:val="0"/>
          <w:color w:val="000000" w:themeColor="text1"/>
          <w:sz w:val="16"/>
          <w:szCs w:val="16"/>
        </w:rPr>
        <w:t>20 июня 1935 вышел приказ НКО №</w:t>
      </w:r>
      <w:r w:rsidRPr="00E14102">
        <w:rPr>
          <w:color w:val="000000" w:themeColor="text1"/>
          <w:sz w:val="16"/>
          <w:szCs w:val="16"/>
        </w:rPr>
        <w:t> 0106. О зачислении двух пароходов НКВода «Игнатий Сергеев» и «Демьян Бедный» в состав МС РККА (15247).</w:t>
      </w:r>
    </w:p>
    <w:p w14:paraId="3BFB4791" w14:textId="77777777" w:rsidR="00131656" w:rsidRPr="00E14102" w:rsidRDefault="00131656" w:rsidP="00E14102">
      <w:pPr>
        <w:pStyle w:val="rtejustify"/>
        <w:spacing w:before="0" w:after="0"/>
        <w:rPr>
          <w:color w:val="000000" w:themeColor="text1"/>
          <w:sz w:val="16"/>
          <w:szCs w:val="16"/>
        </w:rPr>
      </w:pPr>
    </w:p>
    <w:p w14:paraId="31F55DB8" w14:textId="77777777" w:rsidR="00217FA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D191FBB" w14:textId="77777777" w:rsidR="00217FA4" w:rsidRPr="00E14102" w:rsidRDefault="00217FA4" w:rsidP="00E14102">
      <w:pPr>
        <w:autoSpaceDE w:val="0"/>
        <w:autoSpaceDN w:val="0"/>
        <w:adjustRightInd w:val="0"/>
        <w:jc w:val="both"/>
        <w:rPr>
          <w:iCs/>
          <w:color w:val="000000" w:themeColor="text1"/>
          <w:sz w:val="16"/>
          <w:szCs w:val="16"/>
        </w:rPr>
      </w:pPr>
    </w:p>
    <w:p w14:paraId="37E31224" w14:textId="77777777" w:rsidR="00217FA4" w:rsidRPr="00E14102" w:rsidRDefault="00217FA4" w:rsidP="00E14102">
      <w:pPr>
        <w:pStyle w:val="rtejustify"/>
        <w:spacing w:before="0" w:after="0"/>
        <w:rPr>
          <w:color w:val="000000" w:themeColor="text1"/>
          <w:sz w:val="16"/>
          <w:szCs w:val="16"/>
        </w:rPr>
      </w:pPr>
      <w:r w:rsidRPr="00E14102">
        <w:rPr>
          <w:bCs/>
          <w:color w:val="000000" w:themeColor="text1"/>
          <w:sz w:val="16"/>
          <w:szCs w:val="16"/>
        </w:rPr>
        <w:t xml:space="preserve">20 июня 1933 года была учреждена Прокуратура Союза. Первым Прокурором СССР стал известный революционер и политический деятель И.А. Акулов, а его заместителем — Вышинский. Не совсем понятен смысл назначения Акулова — он не только не был юристом, но даже не имел высшего образования. Так что вся практическая работа все равно легла на плечи Вышинского. Фактически он с самого начала исполнял обязанности союзного прокурора. 3 марта </w:t>
      </w:r>
      <w:r w:rsidRPr="00E14102">
        <w:rPr>
          <w:color w:val="000000" w:themeColor="text1"/>
          <w:sz w:val="16"/>
          <w:szCs w:val="16"/>
        </w:rPr>
        <w:t>1935 года</w:t>
      </w:r>
      <w:r w:rsidRPr="00E14102">
        <w:rPr>
          <w:bCs/>
          <w:color w:val="000000" w:themeColor="text1"/>
          <w:sz w:val="16"/>
          <w:szCs w:val="16"/>
        </w:rPr>
        <w:t xml:space="preserve"> он и официально стал Прокурором СССР (17328).</w:t>
      </w:r>
    </w:p>
    <w:p w14:paraId="1D3BB450" w14:textId="77777777" w:rsidR="00217FA4" w:rsidRPr="00E14102" w:rsidRDefault="00217FA4" w:rsidP="00E14102">
      <w:pPr>
        <w:pStyle w:val="rtejustify"/>
        <w:spacing w:before="0" w:after="0"/>
        <w:rPr>
          <w:color w:val="000000" w:themeColor="text1"/>
          <w:sz w:val="16"/>
          <w:szCs w:val="16"/>
        </w:rPr>
      </w:pPr>
    </w:p>
    <w:p w14:paraId="1681349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5CC0C73" w14:textId="77777777" w:rsidR="00D4105E" w:rsidRPr="00E14102" w:rsidRDefault="00D4105E" w:rsidP="00E14102">
      <w:pPr>
        <w:autoSpaceDE w:val="0"/>
        <w:autoSpaceDN w:val="0"/>
        <w:adjustRightInd w:val="0"/>
        <w:jc w:val="both"/>
        <w:rPr>
          <w:iCs/>
          <w:color w:val="000000" w:themeColor="text1"/>
          <w:sz w:val="16"/>
          <w:szCs w:val="16"/>
        </w:rPr>
      </w:pPr>
    </w:p>
    <w:p w14:paraId="3006986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 июня 1935 г. руководство бригады № 2 (Поликар</w:t>
      </w:r>
      <w:r w:rsidRPr="00E14102">
        <w:rPr>
          <w:color w:val="000000" w:themeColor="text1"/>
          <w:sz w:val="16"/>
          <w:szCs w:val="16"/>
        </w:rPr>
        <w:softHyphen/>
        <w:t>пов, Таиров, Бисноват) написало докладную записку, посвященную анализу путей проблемы рекордного самолета. В ней говорилось:</w:t>
      </w:r>
    </w:p>
    <w:p w14:paraId="081289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“Согласно задания зам. начальника ГУАП'а тов. Марголина от 7 мая 1935 г. за № 242/201с 2-я бригада прора</w:t>
      </w:r>
      <w:r w:rsidRPr="00E14102">
        <w:rPr>
          <w:color w:val="000000" w:themeColor="text1"/>
          <w:sz w:val="16"/>
          <w:szCs w:val="16"/>
        </w:rPr>
        <w:softHyphen/>
        <w:t>ботала вопрос о возможности проектирования и пос</w:t>
      </w:r>
      <w:r w:rsidRPr="00E14102">
        <w:rPr>
          <w:color w:val="000000" w:themeColor="text1"/>
          <w:sz w:val="16"/>
          <w:szCs w:val="16"/>
        </w:rPr>
        <w:softHyphen/>
        <w:t>тройки рекордных скоростных самолетов: сухопутного на 600 км/ч у земли и морского на 800 км/ч на уровне мо</w:t>
      </w:r>
      <w:r w:rsidRPr="00E14102">
        <w:rPr>
          <w:color w:val="000000" w:themeColor="text1"/>
          <w:sz w:val="16"/>
          <w:szCs w:val="16"/>
        </w:rPr>
        <w:softHyphen/>
        <w:t>ря и пришла к нижеследующим выводам:</w:t>
      </w:r>
    </w:p>
    <w:p w14:paraId="4A248B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Сроки проектирования и постройки рекордных ско</w:t>
      </w:r>
      <w:r w:rsidRPr="00E14102">
        <w:rPr>
          <w:color w:val="000000" w:themeColor="text1"/>
          <w:sz w:val="16"/>
          <w:szCs w:val="16"/>
        </w:rPr>
        <w:softHyphen/>
        <w:t>ростных самолетов, а также летных испытаний таковых ориентировочно указывают, что рекорд скорости в луч</w:t>
      </w:r>
      <w:r w:rsidRPr="00E14102">
        <w:rPr>
          <w:color w:val="000000" w:themeColor="text1"/>
          <w:sz w:val="16"/>
          <w:szCs w:val="16"/>
        </w:rPr>
        <w:softHyphen/>
        <w:t>шем случае может быть побит весной или летом 1937 го</w:t>
      </w:r>
      <w:r w:rsidRPr="00E14102">
        <w:rPr>
          <w:color w:val="000000" w:themeColor="text1"/>
          <w:sz w:val="16"/>
          <w:szCs w:val="16"/>
        </w:rPr>
        <w:softHyphen/>
        <w:t>да при условии начала работ с осени 1935 г. и срока подачи мотора в первой половине 1936 г. В настоящее время рекордными цифрами по скорости являются по сухопутным - скорость 504 км/ч, а по морским - 709 км/ч. Исследуя динамику роста скорости за время с 1920 г., мы видим, что на 1937 г. цифра, указанная в задании ГУАП'а по сухопутным самолетам в 600 км/ч, занижена, так как наиболее вероятно ожидать на 1937 год рекордной скоро</w:t>
      </w:r>
      <w:r w:rsidRPr="00E14102">
        <w:rPr>
          <w:color w:val="000000" w:themeColor="text1"/>
          <w:sz w:val="16"/>
          <w:szCs w:val="16"/>
        </w:rPr>
        <w:softHyphen/>
        <w:t>сти для сухопутных самолетов свыше 600 км/ч, в то вре</w:t>
      </w:r>
      <w:r w:rsidRPr="00E14102">
        <w:rPr>
          <w:color w:val="000000" w:themeColor="text1"/>
          <w:sz w:val="16"/>
          <w:szCs w:val="16"/>
        </w:rPr>
        <w:softHyphen/>
        <w:t>мя, как по морским таковая едва ли превысит 800 км/ч.</w:t>
      </w:r>
    </w:p>
    <w:p w14:paraId="76FB969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Это обстоятельство диктует нам, что по сухопутным самолетам надо брать в задание рекордную скорость не 600 км/ч, а 700 км/ч, по морским задание скорости 800 км/ч, по-видимому, будет достаточно...”.</w:t>
      </w:r>
    </w:p>
    <w:p w14:paraId="2CCDBC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Далее отмечалось:</w:t>
      </w:r>
    </w:p>
    <w:p w14:paraId="6BB365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Скоростной сухопутный самолет с мотором жид</w:t>
      </w:r>
      <w:r w:rsidRPr="00E14102">
        <w:rPr>
          <w:color w:val="000000" w:themeColor="text1"/>
          <w:sz w:val="16"/>
          <w:szCs w:val="16"/>
        </w:rPr>
        <w:softHyphen/>
        <w:t>костного охлаждения возможно создать по схеме И-17 (И-18), используя испарительное охлаждение. Для пред</w:t>
      </w:r>
      <w:r w:rsidRPr="00E14102">
        <w:rPr>
          <w:color w:val="000000" w:themeColor="text1"/>
          <w:sz w:val="16"/>
          <w:szCs w:val="16"/>
        </w:rPr>
        <w:softHyphen/>
        <w:t>варительных оценок вес мотора принимался равным 500-550 кг.</w:t>
      </w:r>
    </w:p>
    <w:p w14:paraId="5C4353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Звездообразный двигатель воздушного охлажде</w:t>
      </w:r>
      <w:r w:rsidRPr="00E14102">
        <w:rPr>
          <w:color w:val="000000" w:themeColor="text1"/>
          <w:sz w:val="16"/>
          <w:szCs w:val="16"/>
        </w:rPr>
        <w:softHyphen/>
        <w:t>ния также подходит для этой цели.</w:t>
      </w:r>
    </w:p>
    <w:p w14:paraId="1DE0BB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Морской самолет с мотором жидкостного охлаж</w:t>
      </w:r>
      <w:r w:rsidRPr="00E14102">
        <w:rPr>
          <w:color w:val="000000" w:themeColor="text1"/>
          <w:sz w:val="16"/>
          <w:szCs w:val="16"/>
        </w:rPr>
        <w:softHyphen/>
        <w:t>дения можно выполнить по двухпоплавковой схеме.</w:t>
      </w:r>
    </w:p>
    <w:p w14:paraId="518A91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Для достижения скорости у земли в 600 км/ч ми</w:t>
      </w:r>
      <w:r w:rsidRPr="00E14102">
        <w:rPr>
          <w:color w:val="000000" w:themeColor="text1"/>
          <w:sz w:val="16"/>
          <w:szCs w:val="16"/>
        </w:rPr>
        <w:softHyphen/>
        <w:t>нимальная мощность мотора должна составлять 1350 л.с., 700 км/ч - 2000 л.с., 800 км/ч - около 3000 л.с.</w:t>
      </w:r>
    </w:p>
    <w:p w14:paraId="4BEEC5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Мощность поршневого авиационного двигателя свыше 5000 л.с. нереальна.</w:t>
      </w:r>
    </w:p>
    <w:p w14:paraId="2217EA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Для создания рекордных самолетов можно форси</w:t>
      </w:r>
      <w:r w:rsidRPr="00E14102">
        <w:rPr>
          <w:color w:val="000000" w:themeColor="text1"/>
          <w:sz w:val="16"/>
          <w:szCs w:val="16"/>
        </w:rPr>
        <w:softHyphen/>
        <w:t>ровать существующие двигатели, например, М-100 - с 750 л.с. до 2100 л.с., М-34 - с 750 л.с. до 2250 л.с.</w:t>
      </w:r>
    </w:p>
    <w:p w14:paraId="0A8CAB9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7) Необходимо оперативно решить: а) проблему винта: сохранение его КПД, гашение реакции винта гру</w:t>
      </w:r>
      <w:r w:rsidRPr="00E14102">
        <w:rPr>
          <w:color w:val="000000" w:themeColor="text1"/>
          <w:sz w:val="16"/>
          <w:szCs w:val="16"/>
        </w:rPr>
        <w:softHyphen/>
        <w:t>зом или противовращением; б) выбор аэродинамичес</w:t>
      </w:r>
      <w:r w:rsidRPr="00E14102">
        <w:rPr>
          <w:color w:val="000000" w:themeColor="text1"/>
          <w:sz w:val="16"/>
          <w:szCs w:val="16"/>
        </w:rPr>
        <w:softHyphen/>
        <w:t>кой формы; в) проблему безупречной отделки поверхности; г) проблему подготовки производства, аэ</w:t>
      </w:r>
      <w:r w:rsidRPr="00E14102">
        <w:rPr>
          <w:color w:val="000000" w:themeColor="text1"/>
          <w:sz w:val="16"/>
          <w:szCs w:val="16"/>
        </w:rPr>
        <w:softHyphen/>
        <w:t>родрома, оснащения его необходимыми измерительны</w:t>
      </w:r>
      <w:r w:rsidRPr="00E14102">
        <w:rPr>
          <w:color w:val="000000" w:themeColor="text1"/>
          <w:sz w:val="16"/>
          <w:szCs w:val="16"/>
        </w:rPr>
        <w:softHyphen/>
        <w:t>ми приборами.</w:t>
      </w:r>
    </w:p>
    <w:p w14:paraId="519F66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ЦКБ может взять на себя проектирование и пост</w:t>
      </w:r>
      <w:r w:rsidRPr="00E14102">
        <w:rPr>
          <w:color w:val="000000" w:themeColor="text1"/>
          <w:sz w:val="16"/>
          <w:szCs w:val="16"/>
        </w:rPr>
        <w:softHyphen/>
        <w:t>ройку сухопутного самолета, морской следует создавать в кооперации с заводом № 31.</w:t>
      </w:r>
    </w:p>
    <w:p w14:paraId="6B3E0AE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Для решения поставленных вопросов требуется выдача наркоматом соответствующим организациям своевременных заданий, т.е. для создания самолета, спо</w:t>
      </w:r>
      <w:r w:rsidRPr="00E14102">
        <w:rPr>
          <w:color w:val="000000" w:themeColor="text1"/>
          <w:sz w:val="16"/>
          <w:szCs w:val="16"/>
        </w:rPr>
        <w:softHyphen/>
        <w:t>собного установить мировой рекорд скорости, требуют</w:t>
      </w:r>
      <w:r w:rsidRPr="00E14102">
        <w:rPr>
          <w:color w:val="000000" w:themeColor="text1"/>
          <w:sz w:val="16"/>
          <w:szCs w:val="16"/>
        </w:rPr>
        <w:softHyphen/>
        <w:t>ся координированные усилия всей отечественной авиа</w:t>
      </w:r>
      <w:r w:rsidRPr="00E14102">
        <w:rPr>
          <w:color w:val="000000" w:themeColor="text1"/>
          <w:sz w:val="16"/>
          <w:szCs w:val="16"/>
        </w:rPr>
        <w:softHyphen/>
        <w:t>промышленности.</w:t>
      </w:r>
    </w:p>
    <w:p w14:paraId="46349BA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 Всего на проектирование потребуется 12 месяцев работы 2-й бригады (10667).</w:t>
      </w:r>
    </w:p>
    <w:p w14:paraId="6B4432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25DDA36" w14:textId="77777777" w:rsidR="00131656" w:rsidRPr="00E14102" w:rsidRDefault="00131656" w:rsidP="00E14102">
      <w:pPr>
        <w:pStyle w:val="rtejustify"/>
        <w:spacing w:before="0" w:after="0"/>
        <w:rPr>
          <w:color w:val="000000" w:themeColor="text1"/>
          <w:sz w:val="16"/>
          <w:szCs w:val="16"/>
        </w:rPr>
      </w:pPr>
      <w:r w:rsidRPr="00E14102">
        <w:rPr>
          <w:rStyle w:val="a6"/>
          <w:bCs/>
          <w:i w:val="0"/>
          <w:color w:val="000000" w:themeColor="text1"/>
          <w:sz w:val="16"/>
          <w:szCs w:val="16"/>
        </w:rPr>
        <w:t>21 июня</w:t>
      </w:r>
      <w:r w:rsidRPr="00E14102">
        <w:rPr>
          <w:color w:val="000000" w:themeColor="text1"/>
          <w:sz w:val="16"/>
          <w:szCs w:val="16"/>
        </w:rPr>
        <w:t xml:space="preserve">1935 Решение Политбюро № 27. 2. О покрытии убытков завода № 39 (ПБ от 3 июня 1935 г.). — ОП. </w:t>
      </w:r>
      <w:r w:rsidRPr="00E14102">
        <w:rPr>
          <w:rStyle w:val="a6"/>
          <w:i w:val="0"/>
          <w:color w:val="000000" w:themeColor="text1"/>
          <w:sz w:val="16"/>
          <w:szCs w:val="16"/>
        </w:rPr>
        <w:t>Постановили</w:t>
      </w:r>
      <w:r w:rsidRPr="00E14102">
        <w:rPr>
          <w:color w:val="000000" w:themeColor="text1"/>
          <w:sz w:val="16"/>
          <w:szCs w:val="16"/>
        </w:rPr>
        <w:t>: утвердить постановление СНК СССР об отпуске НКТПрому из резервного фонда СНК 3996 тыс. руб. на погашение убытков завода № 39, понесенных в результате внедрения в серию первых 50 самолетов И</w:t>
      </w:r>
      <w:r w:rsidRPr="00E14102">
        <w:rPr>
          <w:color w:val="000000" w:themeColor="text1"/>
          <w:sz w:val="16"/>
          <w:szCs w:val="16"/>
        </w:rPr>
        <w:noBreakHyphen/>
        <w:t>16 и 30 самолетов И</w:t>
      </w:r>
      <w:r w:rsidRPr="00E14102">
        <w:rPr>
          <w:color w:val="000000" w:themeColor="text1"/>
          <w:sz w:val="16"/>
          <w:szCs w:val="16"/>
        </w:rPr>
        <w:noBreakHyphen/>
        <w:t>15. 69. Вопрос НКО (ПБ от 13 июня 1935 г.). — ОП. 71. О доке для Камчатского судоремонтного завода (ПБ от 12 июня 1935 г.). — ОП. 76. Вопрос Ворошилова (о командировке в Англию военных специалистов) (ПБ от 13 июня 1936 г.). — ОП. 78. Вопрос Ворошилова (о поездке военных специалистов во Францию) (ПБ от 13 июня 1935 г.). — ОП. 138. Вопрос НКО. (ПБ от 13 июня 1935 г., пр. № 27, п. 69.), (ПБ от 16 июня 1935 г.). — ОП. 168. Предложение Ворошилова (о военно-техническом сотрудничестве с Чехословакией) (ПБ от 17 июня 1935 г.). — ОП. 182. Об изобретении Файнциммера и Симагина. (ПБ от 20 июня 1935 г.). 200. О постройке судоремонтных мастерских в Советской Гавани (ПБ от 29 мая 1934 г., пр. № 8, п. 34/22, из приложений п. 3), (ПБ от 20 июня 1935 г.). 201. О строительстве дока для Черноморского пароходства (ПБ от 20 июня 1935 г.). 203. О развитии Норильского никелево-кобальто-платинового месторождения (ПБ от 29 апреля 1935 г., пр. № 25., п. 48), (ПБ от 20 июня 1935 г.). — ОП. (Политбюро ЦК РКП(б)-ВКП(Б). Повестки дня заседаний. 1919</w:t>
      </w:r>
      <w:r w:rsidRPr="00E14102">
        <w:rPr>
          <w:color w:val="000000" w:themeColor="text1"/>
          <w:sz w:val="16"/>
          <w:szCs w:val="16"/>
        </w:rPr>
        <w:noBreakHyphen/>
        <w:t>1952: Каталог / Т. 2. С. 657, 659, 660, 661, 662, 663; РГАСПИ. Ф. 17. Оп. 162. Д. 18. Л. 53, 58, 61, 62) (15462).</w:t>
      </w:r>
    </w:p>
    <w:p w14:paraId="55890748" w14:textId="77777777" w:rsidR="00131656" w:rsidRPr="00E14102" w:rsidRDefault="00131656" w:rsidP="00E14102">
      <w:pPr>
        <w:pStyle w:val="rtejustify"/>
        <w:spacing w:before="0" w:after="0"/>
        <w:rPr>
          <w:color w:val="000000" w:themeColor="text1"/>
          <w:sz w:val="16"/>
          <w:szCs w:val="16"/>
        </w:rPr>
      </w:pPr>
    </w:p>
    <w:p w14:paraId="04E941CE" w14:textId="77777777" w:rsidR="00131656" w:rsidRPr="00E14102" w:rsidRDefault="00131656" w:rsidP="00E14102">
      <w:pPr>
        <w:shd w:val="clear" w:color="auto" w:fill="FFFFFF"/>
        <w:jc w:val="both"/>
        <w:rPr>
          <w:color w:val="000000" w:themeColor="text1"/>
          <w:sz w:val="16"/>
          <w:szCs w:val="16"/>
        </w:rPr>
      </w:pPr>
      <w:r w:rsidRPr="00E14102">
        <w:rPr>
          <w:color w:val="000000" w:themeColor="text1"/>
          <w:sz w:val="16"/>
          <w:szCs w:val="16"/>
        </w:rPr>
        <w:t>21-го июня 1935 года руководство бригады № 2 (Поликарпов, Таиров, Бисноват) написало докладную записку, содержащую анализ проблем создания скоростных рекордных самолетов. В ней говорилось (126):</w:t>
      </w:r>
    </w:p>
    <w:p w14:paraId="038E3DDA" w14:textId="77777777" w:rsidR="00131656" w:rsidRPr="00E14102" w:rsidRDefault="00131656" w:rsidP="00E14102">
      <w:pPr>
        <w:shd w:val="clear" w:color="auto" w:fill="FFFFFF"/>
        <w:jc w:val="both"/>
        <w:rPr>
          <w:iCs/>
          <w:color w:val="000000" w:themeColor="text1"/>
          <w:sz w:val="16"/>
          <w:szCs w:val="16"/>
        </w:rPr>
      </w:pPr>
      <w:r w:rsidRPr="00E14102">
        <w:rPr>
          <w:iCs/>
          <w:color w:val="000000" w:themeColor="text1"/>
          <w:sz w:val="16"/>
          <w:szCs w:val="16"/>
        </w:rPr>
        <w:t>… В настоящее время рекордными цифрами по скорости являются по сухопутным – скорость 504 км/ч, а по морским – 709 км/ч. Исследуя динамику роста скорости за время с 1920 г., мы видим, что на 1937 г. цифра, указанная в задании ГУАПа по сухопутным самолетам в 600 км/ч, занижена, так как наиболее вероятно ожидать на 1937 г. рекордной скорости для сухопутных самолетов свыше 600 км/ч, в то время как по морским таковая едва ли превысит 800 км/ч.</w:t>
      </w:r>
    </w:p>
    <w:p w14:paraId="02E788A6" w14:textId="77777777" w:rsidR="00131656" w:rsidRPr="00E14102" w:rsidRDefault="00131656" w:rsidP="00E14102">
      <w:pPr>
        <w:shd w:val="clear" w:color="auto" w:fill="FFFFFF"/>
        <w:jc w:val="both"/>
        <w:rPr>
          <w:color w:val="000000" w:themeColor="text1"/>
          <w:sz w:val="16"/>
          <w:szCs w:val="16"/>
        </w:rPr>
      </w:pPr>
      <w:r w:rsidRPr="00E14102">
        <w:rPr>
          <w:iCs/>
          <w:color w:val="000000" w:themeColor="text1"/>
          <w:sz w:val="16"/>
          <w:szCs w:val="16"/>
        </w:rPr>
        <w:t>Это обстоятельство диктует нам, что по сухопутным самолетам надо брать в задание скорость не 600 км/ч, а 700 км/ч, по морским задание скорости 800 км/ч, по-видимому, будет достаточно...</w:t>
      </w:r>
    </w:p>
    <w:p w14:paraId="0772017B" w14:textId="77777777" w:rsidR="00131656" w:rsidRPr="00E14102" w:rsidRDefault="00131656" w:rsidP="00E14102">
      <w:pPr>
        <w:shd w:val="clear" w:color="auto" w:fill="FFFFFF"/>
        <w:jc w:val="both"/>
        <w:rPr>
          <w:color w:val="000000" w:themeColor="text1"/>
          <w:sz w:val="16"/>
          <w:szCs w:val="16"/>
        </w:rPr>
      </w:pPr>
      <w:r w:rsidRPr="00E14102">
        <w:rPr>
          <w:color w:val="000000" w:themeColor="text1"/>
          <w:sz w:val="16"/>
          <w:szCs w:val="16"/>
        </w:rPr>
        <w:t>Далее в записке отмечалось, что для достижения скорости у земли в 600 км/ч, минимальная мощность двигателя должна составлять 1350 л.с., 700 км/ч – 2000 л.с., 800 км/ч – около 3000 л.с. ЦКБ завода № 39 может взять на себя проектирование и постройку сухопутного самолета, а морской самолет следует создавать в кооперации с заводом № 31. В записке также говорилось, что всего на проектирование потребуется 12 месяцев работы 2-й бригады.</w:t>
      </w:r>
    </w:p>
    <w:p w14:paraId="3BAF6F81" w14:textId="77777777" w:rsidR="00131656" w:rsidRPr="00E14102" w:rsidRDefault="00131656" w:rsidP="00E14102">
      <w:pPr>
        <w:shd w:val="clear" w:color="auto" w:fill="FFFFFF"/>
        <w:jc w:val="both"/>
        <w:rPr>
          <w:color w:val="000000" w:themeColor="text1"/>
          <w:sz w:val="16"/>
          <w:szCs w:val="16"/>
        </w:rPr>
      </w:pPr>
      <w:r w:rsidRPr="00E14102">
        <w:rPr>
          <w:color w:val="000000" w:themeColor="text1"/>
          <w:sz w:val="16"/>
          <w:szCs w:val="16"/>
        </w:rPr>
        <w:t>С учетом вышеизложенного Н.Н. Поликарпов предусматривал создание рекордных машин с двигателем «Испано-Сюиза» (М-100) и двигателем АМ-34ФРН. Эти двигатели необходимо было форсировать по мощности более чем вдвое, аэродинамику довести до возможного совершенства, путем использования крыльев с малой площадью и высокой удельной нагрузкой, применением пароиспарительного охлаждения.</w:t>
      </w:r>
    </w:p>
    <w:p w14:paraId="54556B97" w14:textId="77777777" w:rsidR="00131656" w:rsidRPr="00E14102" w:rsidRDefault="00131656" w:rsidP="00E14102">
      <w:pPr>
        <w:shd w:val="clear" w:color="auto" w:fill="FFFFFF"/>
        <w:jc w:val="both"/>
        <w:rPr>
          <w:color w:val="000000" w:themeColor="text1"/>
          <w:sz w:val="16"/>
          <w:szCs w:val="16"/>
        </w:rPr>
      </w:pPr>
      <w:r w:rsidRPr="00E14102">
        <w:rPr>
          <w:color w:val="000000" w:themeColor="text1"/>
          <w:sz w:val="16"/>
          <w:szCs w:val="16"/>
        </w:rPr>
        <w:t>Рекордный самолет вначале решили создавать на базе проекта ЦКБ-25 (истребитель И-18 с двигателем «Испано-Сюиза») полагая, что накопленный опыт можно будет использовать при создании перспективных истребителей. Однако в сентябре руководство авиационной промышленности пришло к выводу, что построить двигатель необходимой мощности моторостроители не смогут, и «наскоком» установить рекорд скорости не удастся. Задание на соответствующие разработки было отменено (15223).</w:t>
      </w:r>
    </w:p>
    <w:p w14:paraId="6C0D5233" w14:textId="77777777" w:rsidR="00131656" w:rsidRPr="00E14102" w:rsidRDefault="00131656" w:rsidP="00E14102">
      <w:pPr>
        <w:shd w:val="clear" w:color="auto" w:fill="FFFFFF"/>
        <w:jc w:val="both"/>
        <w:rPr>
          <w:color w:val="000000" w:themeColor="text1"/>
          <w:sz w:val="16"/>
          <w:szCs w:val="16"/>
        </w:rPr>
      </w:pPr>
    </w:p>
    <w:p w14:paraId="56176044" w14:textId="77777777" w:rsidR="00131656" w:rsidRPr="00E14102" w:rsidRDefault="00131656" w:rsidP="00E14102">
      <w:pPr>
        <w:pStyle w:val="3f"/>
        <w:shd w:val="clear" w:color="auto" w:fill="auto"/>
        <w:spacing w:after="0" w:line="240" w:lineRule="auto"/>
        <w:jc w:val="both"/>
        <w:outlineLvl w:val="9"/>
        <w:rPr>
          <w:color w:val="000000" w:themeColor="text1"/>
          <w:sz w:val="16"/>
          <w:szCs w:val="16"/>
        </w:rPr>
      </w:pPr>
      <w:r w:rsidRPr="00E14102">
        <w:rPr>
          <w:color w:val="000000" w:themeColor="text1"/>
          <w:sz w:val="16"/>
          <w:szCs w:val="16"/>
        </w:rPr>
        <w:t>21 июля 1935 г. Решение IV секции Бюро новизны Комитета по изобретательству при СТО СССР о выдаче П.И. Гроховскому авторского свидетельства по заявке № 165948/13607 «Самолет»</w:t>
      </w:r>
    </w:p>
    <w:p w14:paraId="59D506B7" w14:textId="77777777" w:rsidR="00131656" w:rsidRPr="00E14102" w:rsidRDefault="00131656" w:rsidP="00E14102">
      <w:pPr>
        <w:jc w:val="both"/>
        <w:rPr>
          <w:color w:val="000000" w:themeColor="text1"/>
          <w:sz w:val="16"/>
          <w:szCs w:val="16"/>
        </w:rPr>
      </w:pPr>
      <w:r w:rsidRPr="00E14102">
        <w:rPr>
          <w:color w:val="000000" w:themeColor="text1"/>
          <w:sz w:val="16"/>
          <w:szCs w:val="16"/>
        </w:rPr>
        <w:t>По рассмотрении описания, чертежей и всех относящихся к де</w:t>
      </w:r>
      <w:r w:rsidRPr="00E14102">
        <w:rPr>
          <w:color w:val="000000" w:themeColor="text1"/>
          <w:sz w:val="16"/>
          <w:szCs w:val="16"/>
        </w:rPr>
        <w:softHyphen/>
        <w:t>лу документов 4 секция Бюро новизны, принимая во внимание, что самолеты треугольной формы в плане новизны не представляют, так как известны, например, из французского] пат[ента] кл[асс] 62</w:t>
      </w:r>
      <w:r w:rsidRPr="00E14102">
        <w:rPr>
          <w:rStyle w:val="4f"/>
          <w:rFonts w:eastAsia="Arial Unicode MS"/>
          <w:color w:val="000000" w:themeColor="text1"/>
          <w:sz w:val="16"/>
          <w:szCs w:val="16"/>
        </w:rPr>
        <w:t>-В</w:t>
      </w:r>
      <w:r w:rsidRPr="00E14102">
        <w:rPr>
          <w:color w:val="000000" w:themeColor="text1"/>
          <w:sz w:val="16"/>
          <w:szCs w:val="16"/>
        </w:rPr>
        <w:t>-5, № 56314, 1923 г. и дополнительного патента] № 26969, 1924 г. (треу</w:t>
      </w:r>
      <w:r w:rsidRPr="00E14102">
        <w:rPr>
          <w:color w:val="000000" w:themeColor="text1"/>
          <w:sz w:val="16"/>
          <w:szCs w:val="16"/>
        </w:rPr>
        <w:softHyphen/>
        <w:t>гольное крыло в плане см. тоже № 675313, 1930 г.), постановила вы</w:t>
      </w:r>
      <w:r w:rsidRPr="00E14102">
        <w:rPr>
          <w:color w:val="000000" w:themeColor="text1"/>
          <w:sz w:val="16"/>
          <w:szCs w:val="16"/>
        </w:rPr>
        <w:softHyphen/>
        <w:t>дать неподлежащее опубликованию авторское свидетельство на САМОЛЕТ ТИПА ЛЕТАЮЩЕЕ КРЫЛО, ТРЕУГОЛЬНОЙ ФОРМЫ В ПЛАНЕ лишь в следующей редакции предмета изобретения:</w:t>
      </w:r>
    </w:p>
    <w:p w14:paraId="5C6F778A" w14:textId="77777777" w:rsidR="00131656" w:rsidRPr="00E14102" w:rsidRDefault="00131656" w:rsidP="00E14102">
      <w:pPr>
        <w:jc w:val="both"/>
        <w:rPr>
          <w:color w:val="000000" w:themeColor="text1"/>
          <w:sz w:val="16"/>
          <w:szCs w:val="16"/>
        </w:rPr>
      </w:pPr>
      <w:r w:rsidRPr="00E14102">
        <w:rPr>
          <w:color w:val="000000" w:themeColor="text1"/>
          <w:sz w:val="16"/>
          <w:szCs w:val="16"/>
        </w:rPr>
        <w:t>Самолет типа летающее крыло, треугольной формы в плане, от</w:t>
      </w:r>
      <w:r w:rsidRPr="00E14102">
        <w:rPr>
          <w:color w:val="000000" w:themeColor="text1"/>
          <w:sz w:val="16"/>
          <w:szCs w:val="16"/>
        </w:rPr>
        <w:softHyphen/>
        <w:t>личающееся тем, что концы крыла выполнены в виде свободнонесущего биплана.</w:t>
      </w:r>
    </w:p>
    <w:p w14:paraId="3B49D9E7" w14:textId="77777777" w:rsidR="00131656" w:rsidRPr="00E14102" w:rsidRDefault="00131656" w:rsidP="00E14102">
      <w:pPr>
        <w:jc w:val="both"/>
        <w:rPr>
          <w:color w:val="000000" w:themeColor="text1"/>
          <w:sz w:val="16"/>
          <w:szCs w:val="16"/>
        </w:rPr>
      </w:pPr>
      <w:r w:rsidRPr="00E14102">
        <w:rPr>
          <w:color w:val="000000" w:themeColor="text1"/>
          <w:sz w:val="16"/>
          <w:szCs w:val="16"/>
        </w:rPr>
        <w:t>Калинин</w:t>
      </w:r>
    </w:p>
    <w:p w14:paraId="1B39348F" w14:textId="77777777" w:rsidR="00131656" w:rsidRPr="00E14102" w:rsidRDefault="00131656" w:rsidP="00E14102">
      <w:pPr>
        <w:jc w:val="both"/>
        <w:rPr>
          <w:color w:val="000000" w:themeColor="text1"/>
          <w:sz w:val="16"/>
          <w:szCs w:val="16"/>
        </w:rPr>
      </w:pPr>
      <w:r w:rsidRPr="00E14102">
        <w:rPr>
          <w:color w:val="000000" w:themeColor="text1"/>
          <w:sz w:val="16"/>
          <w:szCs w:val="16"/>
        </w:rPr>
        <w:t>Левинтова</w:t>
      </w:r>
    </w:p>
    <w:p w14:paraId="7CA209EB" w14:textId="77777777" w:rsidR="00131656" w:rsidRPr="00E14102" w:rsidRDefault="00131656" w:rsidP="00E14102">
      <w:pPr>
        <w:jc w:val="both"/>
        <w:rPr>
          <w:color w:val="000000" w:themeColor="text1"/>
          <w:sz w:val="16"/>
          <w:szCs w:val="16"/>
        </w:rPr>
      </w:pPr>
      <w:r w:rsidRPr="00E14102">
        <w:rPr>
          <w:color w:val="000000" w:themeColor="text1"/>
          <w:sz w:val="16"/>
          <w:szCs w:val="16"/>
        </w:rPr>
        <w:t>Филиал РГАНТД. Ф. Р-1. Оп. 47-5. Д. 2689. Л. 15. Подлинник (15633).</w:t>
      </w:r>
    </w:p>
    <w:p w14:paraId="6F637082" w14:textId="77777777" w:rsidR="00131656" w:rsidRPr="00E14102" w:rsidRDefault="00131656" w:rsidP="00E14102">
      <w:pPr>
        <w:pStyle w:val="3f"/>
        <w:shd w:val="clear" w:color="auto" w:fill="auto"/>
        <w:spacing w:after="0" w:line="240" w:lineRule="auto"/>
        <w:jc w:val="both"/>
        <w:outlineLvl w:val="9"/>
        <w:rPr>
          <w:color w:val="000000" w:themeColor="text1"/>
          <w:sz w:val="16"/>
          <w:szCs w:val="16"/>
        </w:rPr>
      </w:pPr>
    </w:p>
    <w:p w14:paraId="54E01A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июня 1935 И.Л.Карташев установил всесоюзный рекорд дальности на планере, пролетев на Г-9 171 км между ст. первомайская (Планерная) до д в Калининской области (438,689).</w:t>
      </w:r>
    </w:p>
    <w:p w14:paraId="34540AB6" w14:textId="77777777" w:rsidR="00D4105E" w:rsidRPr="00E14102" w:rsidRDefault="00D4105E" w:rsidP="00E14102">
      <w:pPr>
        <w:autoSpaceDE w:val="0"/>
        <w:autoSpaceDN w:val="0"/>
        <w:adjustRightInd w:val="0"/>
        <w:jc w:val="both"/>
        <w:rPr>
          <w:color w:val="000000" w:themeColor="text1"/>
          <w:sz w:val="16"/>
          <w:szCs w:val="16"/>
        </w:rPr>
      </w:pPr>
    </w:p>
    <w:p w14:paraId="172BC57B" w14:textId="77777777" w:rsidR="00131656" w:rsidRPr="00E14102" w:rsidRDefault="004B7965" w:rsidP="00E14102">
      <w:pPr>
        <w:shd w:val="clear" w:color="auto" w:fill="FFFFFF"/>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543BF9A" w14:textId="77777777" w:rsidR="00131656" w:rsidRPr="00E14102" w:rsidRDefault="00131656" w:rsidP="00E14102">
      <w:pPr>
        <w:shd w:val="clear" w:color="auto" w:fill="FFFFFF"/>
        <w:autoSpaceDE w:val="0"/>
        <w:autoSpaceDN w:val="0"/>
        <w:adjustRightInd w:val="0"/>
        <w:jc w:val="both"/>
        <w:rPr>
          <w:iCs/>
          <w:color w:val="000000" w:themeColor="text1"/>
          <w:sz w:val="16"/>
          <w:szCs w:val="16"/>
        </w:rPr>
      </w:pPr>
    </w:p>
    <w:p w14:paraId="131A281A" w14:textId="77777777" w:rsidR="00131656" w:rsidRPr="00E14102" w:rsidRDefault="00131656" w:rsidP="00E14102">
      <w:pPr>
        <w:pStyle w:val="rtejustify"/>
        <w:spacing w:before="0" w:after="0"/>
        <w:rPr>
          <w:color w:val="000000" w:themeColor="text1"/>
          <w:sz w:val="16"/>
          <w:szCs w:val="16"/>
        </w:rPr>
      </w:pPr>
      <w:r w:rsidRPr="00E14102">
        <w:rPr>
          <w:rStyle w:val="a6"/>
          <w:bCs/>
          <w:i w:val="0"/>
          <w:color w:val="000000" w:themeColor="text1"/>
          <w:sz w:val="16"/>
          <w:szCs w:val="16"/>
        </w:rPr>
        <w:t>21 июня 1935 вышел приказ НКТП № 97с.</w:t>
      </w:r>
      <w:r w:rsidRPr="00E14102">
        <w:rPr>
          <w:color w:val="000000" w:themeColor="text1"/>
          <w:sz w:val="16"/>
          <w:szCs w:val="16"/>
        </w:rPr>
        <w:t xml:space="preserve"> О передаче ВХТОП из Главоргхимпрома в ведение ГВМУ. (РГАЭ. Ф. 7297. Оп. 38. Д. 171. Л. 156) (15246).</w:t>
      </w:r>
    </w:p>
    <w:p w14:paraId="6D8126EA" w14:textId="77777777" w:rsidR="00131656" w:rsidRPr="00E14102" w:rsidRDefault="00131656" w:rsidP="00E14102">
      <w:pPr>
        <w:pStyle w:val="rtejustify"/>
        <w:spacing w:before="0" w:after="0"/>
        <w:rPr>
          <w:color w:val="000000" w:themeColor="text1"/>
          <w:sz w:val="16"/>
          <w:szCs w:val="16"/>
        </w:rPr>
      </w:pPr>
    </w:p>
    <w:p w14:paraId="0EBEC51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79AB993" w14:textId="77777777" w:rsidR="00D4105E" w:rsidRPr="00E14102" w:rsidRDefault="00D4105E" w:rsidP="00E14102">
      <w:pPr>
        <w:autoSpaceDE w:val="0"/>
        <w:autoSpaceDN w:val="0"/>
        <w:adjustRightInd w:val="0"/>
        <w:jc w:val="both"/>
        <w:rPr>
          <w:iCs/>
          <w:color w:val="000000" w:themeColor="text1"/>
          <w:sz w:val="16"/>
          <w:szCs w:val="16"/>
        </w:rPr>
      </w:pPr>
    </w:p>
    <w:p w14:paraId="22847FF1" w14:textId="77777777" w:rsidR="00E75A10" w:rsidRPr="00E14102" w:rsidRDefault="00E75A10" w:rsidP="00E14102">
      <w:pPr>
        <w:jc w:val="both"/>
        <w:rPr>
          <w:color w:val="0070C0"/>
          <w:sz w:val="16"/>
          <w:szCs w:val="16"/>
        </w:rPr>
      </w:pPr>
      <w:r w:rsidRPr="00E14102">
        <w:rPr>
          <w:color w:val="0070C0"/>
          <w:sz w:val="16"/>
          <w:szCs w:val="16"/>
        </w:rPr>
        <w:t>21 июня 1935 на основании личного указания Нар</w:t>
      </w:r>
      <w:r w:rsidRPr="00E14102">
        <w:rPr>
          <w:color w:val="0070C0"/>
          <w:sz w:val="16"/>
          <w:szCs w:val="16"/>
        </w:rPr>
        <w:softHyphen/>
        <w:t>кома тяжелой промышленности ГК. Орджоникидзе вышло распоряжение по Главному управлению ав</w:t>
      </w:r>
      <w:r w:rsidRPr="00E14102">
        <w:rPr>
          <w:color w:val="0070C0"/>
          <w:sz w:val="16"/>
          <w:szCs w:val="16"/>
        </w:rPr>
        <w:softHyphen/>
        <w:t>тотракторной промышленности ГУТАП-НКТП об организации в 1936 г. производства 250 троллейбу</w:t>
      </w:r>
      <w:r w:rsidRPr="00E14102">
        <w:rPr>
          <w:color w:val="0070C0"/>
          <w:sz w:val="16"/>
          <w:szCs w:val="16"/>
        </w:rPr>
        <w:softHyphen/>
        <w:t>сов нового типа. НАТИ и Ярославскому автомобиль</w:t>
      </w:r>
      <w:r w:rsidRPr="00E14102">
        <w:rPr>
          <w:color w:val="0070C0"/>
          <w:sz w:val="16"/>
          <w:szCs w:val="16"/>
        </w:rPr>
        <w:softHyphen/>
        <w:t>ному заводу поручались их разработка и изготовле</w:t>
      </w:r>
      <w:r w:rsidRPr="00E14102">
        <w:rPr>
          <w:color w:val="0070C0"/>
          <w:sz w:val="16"/>
          <w:szCs w:val="16"/>
        </w:rPr>
        <w:softHyphen/>
        <w:t>ние.</w:t>
      </w:r>
    </w:p>
    <w:p w14:paraId="502D05EF" w14:textId="77777777" w:rsidR="00E75A10" w:rsidRPr="00E14102" w:rsidRDefault="00E75A10" w:rsidP="00E14102">
      <w:pPr>
        <w:jc w:val="both"/>
        <w:rPr>
          <w:color w:val="0070C0"/>
          <w:sz w:val="16"/>
          <w:szCs w:val="16"/>
        </w:rPr>
      </w:pPr>
      <w:r w:rsidRPr="00E14102">
        <w:rPr>
          <w:color w:val="0070C0"/>
          <w:sz w:val="16"/>
          <w:szCs w:val="16"/>
        </w:rPr>
        <w:t>Директору НАТИ В.Б. Ваксову предписыва</w:t>
      </w:r>
      <w:r w:rsidRPr="00E14102">
        <w:rPr>
          <w:color w:val="0070C0"/>
          <w:sz w:val="16"/>
          <w:szCs w:val="16"/>
        </w:rPr>
        <w:softHyphen/>
        <w:t>лось немедленно создать в институте специальную конструкторскую группу. При проектировании нового троллейбуса следовало руководствоваться техни</w:t>
      </w:r>
      <w:r w:rsidRPr="00E14102">
        <w:rPr>
          <w:color w:val="0070C0"/>
          <w:sz w:val="16"/>
          <w:szCs w:val="16"/>
        </w:rPr>
        <w:softHyphen/>
        <w:t>ческим заданием на уже разработанный НАТИ со</w:t>
      </w:r>
      <w:r w:rsidRPr="00E14102">
        <w:rPr>
          <w:color w:val="0070C0"/>
          <w:sz w:val="16"/>
          <w:szCs w:val="16"/>
        </w:rPr>
        <w:softHyphen/>
        <w:t>вместно с Мострамвайтрестом троллейбус (22518).</w:t>
      </w:r>
    </w:p>
    <w:p w14:paraId="6A49834E" w14:textId="77777777" w:rsidR="00E75A10" w:rsidRPr="00E14102" w:rsidRDefault="00E75A10" w:rsidP="00E14102">
      <w:pPr>
        <w:jc w:val="both"/>
        <w:rPr>
          <w:color w:val="0070C0"/>
          <w:sz w:val="16"/>
          <w:szCs w:val="16"/>
        </w:rPr>
      </w:pPr>
    </w:p>
    <w:p w14:paraId="15CE10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июня 1935 в СССР велено изъять из библиотек книги советского революционера, экономиста Е. Преображенского (4962).</w:t>
      </w:r>
    </w:p>
    <w:p w14:paraId="1D4F44A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50A486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688BA62" w14:textId="77777777" w:rsidR="00D4105E" w:rsidRPr="00E14102" w:rsidRDefault="00D4105E" w:rsidP="00E14102">
      <w:pPr>
        <w:autoSpaceDE w:val="0"/>
        <w:autoSpaceDN w:val="0"/>
        <w:adjustRightInd w:val="0"/>
        <w:jc w:val="both"/>
        <w:rPr>
          <w:iCs/>
          <w:color w:val="000000" w:themeColor="text1"/>
          <w:sz w:val="16"/>
          <w:szCs w:val="16"/>
        </w:rPr>
      </w:pPr>
    </w:p>
    <w:p w14:paraId="7663446C" w14:textId="77777777" w:rsidR="00CC3E78" w:rsidRPr="00E14102" w:rsidRDefault="00CC3E78" w:rsidP="00E14102">
      <w:pPr>
        <w:jc w:val="both"/>
        <w:rPr>
          <w:color w:val="000000" w:themeColor="text1"/>
          <w:sz w:val="16"/>
          <w:szCs w:val="16"/>
        </w:rPr>
      </w:pPr>
      <w:r w:rsidRPr="00E14102">
        <w:rPr>
          <w:bCs/>
          <w:color w:val="000000" w:themeColor="text1"/>
          <w:sz w:val="16"/>
          <w:szCs w:val="16"/>
        </w:rPr>
        <w:t>21 июня</w:t>
      </w:r>
      <w:r w:rsidRPr="00E14102">
        <w:rPr>
          <w:color w:val="000000" w:themeColor="text1"/>
          <w:sz w:val="16"/>
          <w:szCs w:val="16"/>
        </w:rPr>
        <w:t xml:space="preserve"> в 1935 году подписано официальное соглашение о разработке транспортной модификации </w:t>
      </w:r>
      <w:hyperlink r:id="rId131" w:tgtFrame="_blank" w:history="1">
        <w:r w:rsidRPr="00E14102">
          <w:rPr>
            <w:color w:val="000000" w:themeColor="text1"/>
            <w:sz w:val="16"/>
            <w:szCs w:val="16"/>
          </w:rPr>
          <w:t xml:space="preserve">«МВ.220» </w:t>
        </w:r>
      </w:hyperlink>
      <w:r w:rsidRPr="00E14102">
        <w:rPr>
          <w:color w:val="000000" w:themeColor="text1"/>
          <w:sz w:val="16"/>
          <w:szCs w:val="16"/>
        </w:rPr>
        <w:t>ночного бомбардировщика «МВ.210». Имевшиеся на тот момент трехмоторные самолёты «МВ.120» неплохо потрудились в Северной Африке на вооружении колониальных ВВС (Rйgie Air Afrique), но их характеристики скорости и грузоподъёмности уже не устраивали авиационное командование. Чтобы сократить время на проектирование нового самолёта за основу взяли конструкцию ночного бомбардировщика «МВ.210», принятого на вооружение в 1934 году (14929).</w:t>
      </w:r>
    </w:p>
    <w:p w14:paraId="5944E921" w14:textId="77777777" w:rsidR="00CC3E78" w:rsidRPr="00E14102" w:rsidRDefault="00CC3E78" w:rsidP="00E14102">
      <w:pPr>
        <w:jc w:val="both"/>
        <w:rPr>
          <w:color w:val="000000" w:themeColor="text1"/>
          <w:sz w:val="16"/>
          <w:szCs w:val="16"/>
        </w:rPr>
      </w:pPr>
    </w:p>
    <w:p w14:paraId="43B087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21-25 июня 1935 в Париже прошел международный конгресс защиты культуры (3186).</w:t>
      </w:r>
    </w:p>
    <w:p w14:paraId="664F1F5F" w14:textId="77777777" w:rsidR="00D4105E" w:rsidRPr="00E14102" w:rsidRDefault="00D4105E" w:rsidP="00E14102">
      <w:pPr>
        <w:autoSpaceDE w:val="0"/>
        <w:autoSpaceDN w:val="0"/>
        <w:adjustRightInd w:val="0"/>
        <w:jc w:val="both"/>
        <w:rPr>
          <w:color w:val="000000" w:themeColor="text1"/>
          <w:sz w:val="16"/>
          <w:szCs w:val="16"/>
        </w:rPr>
      </w:pPr>
    </w:p>
    <w:p w14:paraId="0473661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A204D61" w14:textId="77777777" w:rsidR="00D4105E" w:rsidRPr="00E14102" w:rsidRDefault="00D4105E" w:rsidP="00E14102">
      <w:pPr>
        <w:autoSpaceDE w:val="0"/>
        <w:autoSpaceDN w:val="0"/>
        <w:adjustRightInd w:val="0"/>
        <w:jc w:val="both"/>
        <w:rPr>
          <w:iCs/>
          <w:color w:val="000000" w:themeColor="text1"/>
          <w:sz w:val="16"/>
          <w:szCs w:val="16"/>
        </w:rPr>
      </w:pPr>
    </w:p>
    <w:p w14:paraId="244577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июня 1935 состоялся первый полет доработанного АНТ-25, А.Н.Т. докладывал коллегии ЦАГИ 15 августа 1935 (44,117).</w:t>
      </w:r>
    </w:p>
    <w:p w14:paraId="18178CD5" w14:textId="77777777" w:rsidR="00D4105E" w:rsidRPr="00E14102" w:rsidRDefault="00D4105E" w:rsidP="00E14102">
      <w:pPr>
        <w:autoSpaceDE w:val="0"/>
        <w:autoSpaceDN w:val="0"/>
        <w:adjustRightInd w:val="0"/>
        <w:jc w:val="both"/>
        <w:rPr>
          <w:color w:val="000000" w:themeColor="text1"/>
          <w:sz w:val="16"/>
          <w:szCs w:val="16"/>
        </w:rPr>
      </w:pPr>
    </w:p>
    <w:p w14:paraId="5A827B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22-24 июня 1935 летчик Дальневосточного управления ГВФ А.И.Романов на ПС-7 с тремя пассажирами и 110 кг почты совершил скоростной рейс из Хабаровска в Москву за 46 часов (438,689).</w:t>
      </w:r>
    </w:p>
    <w:p w14:paraId="5AD8336B" w14:textId="77777777" w:rsidR="00D4105E" w:rsidRPr="00E14102" w:rsidRDefault="00D4105E" w:rsidP="00E14102">
      <w:pPr>
        <w:autoSpaceDE w:val="0"/>
        <w:autoSpaceDN w:val="0"/>
        <w:adjustRightInd w:val="0"/>
        <w:jc w:val="both"/>
        <w:rPr>
          <w:color w:val="000000" w:themeColor="text1"/>
          <w:sz w:val="16"/>
          <w:szCs w:val="16"/>
        </w:rPr>
      </w:pPr>
    </w:p>
    <w:p w14:paraId="33397C4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3F621CB7" w14:textId="77777777" w:rsidR="00D4105E" w:rsidRPr="00E14102" w:rsidRDefault="00D4105E" w:rsidP="00E14102">
      <w:pPr>
        <w:autoSpaceDE w:val="0"/>
        <w:autoSpaceDN w:val="0"/>
        <w:adjustRightInd w:val="0"/>
        <w:jc w:val="both"/>
        <w:rPr>
          <w:iCs/>
          <w:color w:val="000000" w:themeColor="text1"/>
          <w:sz w:val="16"/>
          <w:szCs w:val="16"/>
        </w:rPr>
      </w:pPr>
    </w:p>
    <w:p w14:paraId="31F47F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июня 1935 года склад в Очакове проинспектировал лично нарком К.Е.Ворошилов и интересовался он, помимо прочего, "переливкой БХВ" (9065).</w:t>
      </w:r>
    </w:p>
    <w:p w14:paraId="0BD22E72" w14:textId="77777777" w:rsidR="00D4105E" w:rsidRPr="00E14102" w:rsidRDefault="00D4105E" w:rsidP="00E14102">
      <w:pPr>
        <w:autoSpaceDE w:val="0"/>
        <w:autoSpaceDN w:val="0"/>
        <w:adjustRightInd w:val="0"/>
        <w:jc w:val="both"/>
        <w:rPr>
          <w:color w:val="000000" w:themeColor="text1"/>
          <w:sz w:val="16"/>
          <w:szCs w:val="16"/>
        </w:rPr>
      </w:pPr>
    </w:p>
    <w:p w14:paraId="194C79C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5E94B4C" w14:textId="77777777" w:rsidR="00D4105E" w:rsidRPr="00E14102" w:rsidRDefault="00D4105E" w:rsidP="00E14102">
      <w:pPr>
        <w:autoSpaceDE w:val="0"/>
        <w:autoSpaceDN w:val="0"/>
        <w:adjustRightInd w:val="0"/>
        <w:jc w:val="both"/>
        <w:rPr>
          <w:iCs/>
          <w:color w:val="000000" w:themeColor="text1"/>
          <w:sz w:val="16"/>
          <w:szCs w:val="16"/>
        </w:rPr>
      </w:pPr>
    </w:p>
    <w:p w14:paraId="01FA61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23-25 июня 1935 ДВ СССР-Н8 облетали, удостоверились, что лодка не протекает и дефектов не имеет. На самолете были установлены новые двигатели М-17 с ресурсом 300 часов, гирополукомпас "Сперри", работающий от двух спаренных трубок Вентури, радиостанция "Телефункен" с приемником В-1 и пеленгаторной рамкой. После проведения заводских испытаний заменили толкающий воздушный винт второго двигателя и 27 июня вылетели, наконец, до Дудинки.</w:t>
      </w:r>
    </w:p>
    <w:p w14:paraId="7D7488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Согласно намеченному плану, самолет должен был прибыть в Тикси 25 июля для проведения ледовых разведок в море Лаптевых, а поначалу машину предполагалось передать на реку Лена в распоряжение Галышева. </w:t>
      </w:r>
    </w:p>
    <w:p w14:paraId="7A9C6D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практике события развивались несколько иначе. 18 июля СССР-Н8 перевез пассажиров и груз в Хатангу, 20-21 совершил еще один такой рейс. Посадка на гидродроме в Крестах (Хатанга) совершалась на абсолютно гладкую воду ("зеркало"), и самолет сильно ударился. В результате лодка стала заметно протекать. После оценки ситуации решили вернуться в Красноярск для проведения ремонта. Согласно записям Штепенко, на базе в Красноярске их ждали: "На берег вышли все, кто мог, в надежде наблюдать, как мы будем тонуть". Тонуть не получилось, поэтому все быстро разошлись по своим делам - "вытаскивать лодку на берег пришлось экипажу да двум хромым рабочим, которые по причине своей хромоты не смогли быстро ретироваться".</w:t>
      </w:r>
    </w:p>
    <w:p w14:paraId="5E2B2F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Несколько дней находились на базе, особых повреждений днища не обнаружили и после небольшого ремонта 28-го вновь вылетели вдоль Енисея на север. Однако, по прибытию в Игарку, вновь стала протекать лодка. На этот раз все подозрительные места замазали цементом, после чего поступление воды прекратилось.</w:t>
      </w:r>
    </w:p>
    <w:p w14:paraId="39C81A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Еще на пути в Игарку самолет попал в сплошной дождь, который сильно побил тянущий воздушный винт переднего двигателя - имелись даже трещины. Наиболее заметные замазали титанином (шпаклевка), однако для спокойствия решили посоветоваться с оказавшимся здесь механиком Крутским, имеющим большой опыт эксплуатации "Валей". Крутский осмотрел винт и прямо на нем нацарапал - "годен 300 часов". Штепенко по этому поводу заметил - "а подписи не оставил".</w:t>
      </w:r>
    </w:p>
    <w:p w14:paraId="4CA8DF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Наконец 1 августа СССР-Н8 вылетел к месту назначенной дислокации и 2 августа прибыл в бухту Нордвик, расположенную в восточной части моря Лаптевых. В западной части Нор- двика имелось две небольшие бухты - Правда и Пионер. Именно здесь, как и в прошлый год, предстояло базироваться при проведении разведок. Первая стоянка в бухте Правда ознаменовалась налетевшим штормом, который пережидали до 6 августа. Самолет стоял на якорях в наиболее спокойном и глубоком месте, в просторечье именуемом "ямой".</w:t>
      </w:r>
    </w:p>
    <w:p w14:paraId="05987F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Далее Штепенко записал: "6 августа погода улучшилась, ясное небо, хорошая видимость, остовый ветер 30 км/час, есть барашки. Вывели самолет из ямы, запустили моторы, в зажигании какие-то неисправности, пока возились, погода пошла на ухудшение, с востока надвигается мура, ветер усиливается.</w:t>
      </w:r>
    </w:p>
    <w:p w14:paraId="4667F0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Запустили моторы, пошли от берега, море 5 баллов, самолет был по ветру и ни на малом, ни на среднем газу разворачиваться не хочет, при полном газе зарывается в воду. Выключили моторы и во время дрейфа развернулись против ветра. Быстро запустили моторы, полный газ и... что было... Самолет сразу зарылся носом в воду, и набежавшим валом захлестнуло вместе с гондолой и до выхода на редан 4 вала обрушивались на самолет, заливало кабины, людей и винты. После выхода на редан волной поддало, и самолет раньше времени оказался в воздухе, не имея нужной скорости, медленно оседал, пока следующая волна не подбила его обратно вверх. Таких ударов было три, - взлетели - крепка лодка у Дорнье-Валя".</w:t>
      </w:r>
    </w:p>
    <w:p w14:paraId="1C7531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Попытки вылететь на разведку в течение нескольких дней оказались безуспешными по причине отсутствия погоды. Наконец, вылетели 13-го августа, в 20-ти милях юго-восточнее острова Петра обнаружили "Ермак" с караваном судов. Разведали чистую воду и вывели суда. Вторая разведка состоялась на следующий день. В условиях облачности ледокол обнаружили при помощи пеленгаторной рамки. Штепенко отметил, что дальность обнаружения радиостанции мощностью 1 киловатт составляет 200 км.</w:t>
      </w:r>
    </w:p>
    <w:p w14:paraId="56FBEF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Означенные два полета в сезоне 1935 г. оказались единственными в интересах каравана, ведомого "Ермаком". Все остальные полеты предпринимались в интересах других экспедиций. 26 августа СССР-Н8 вылетел на остров Котельный. Через 1 час 20 минут полета лопнули 2 болта на мотораме кормового мотора, поэтому, не долетая до Котельного, у мыса Баркин- Стан, в 3-х милях от берега пришлось совершить вынужденную посадку. Место оказалось очень мелким, глубина всего 40 сантиметров, 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1A0EC2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4341ECFA" w14:textId="77777777" w:rsidR="00D4105E" w:rsidRPr="00E14102" w:rsidRDefault="00D4105E" w:rsidP="00E14102">
      <w:pPr>
        <w:autoSpaceDE w:val="0"/>
        <w:autoSpaceDN w:val="0"/>
        <w:adjustRightInd w:val="0"/>
        <w:jc w:val="both"/>
        <w:rPr>
          <w:color w:val="000000" w:themeColor="text1"/>
          <w:sz w:val="16"/>
          <w:szCs w:val="16"/>
        </w:rPr>
      </w:pPr>
    </w:p>
    <w:p w14:paraId="532D1234" w14:textId="77777777" w:rsidR="00A92719" w:rsidRPr="00E14102" w:rsidRDefault="00A92719" w:rsidP="00E14102">
      <w:pPr>
        <w:jc w:val="both"/>
        <w:rPr>
          <w:color w:val="000000" w:themeColor="text1"/>
          <w:sz w:val="16"/>
          <w:szCs w:val="16"/>
        </w:rPr>
      </w:pPr>
      <w:r w:rsidRPr="00E14102">
        <w:rPr>
          <w:bCs/>
          <w:color w:val="000000" w:themeColor="text1"/>
          <w:sz w:val="16"/>
          <w:szCs w:val="16"/>
        </w:rPr>
        <w:t>23 июня</w:t>
      </w:r>
      <w:r w:rsidRPr="00E14102">
        <w:rPr>
          <w:color w:val="000000" w:themeColor="text1"/>
          <w:sz w:val="16"/>
          <w:szCs w:val="16"/>
        </w:rPr>
        <w:t xml:space="preserve"> в 1935 году коллектив РНИИ избрал К.Э.Циолковского почетным членом технического Совета института (14931).</w:t>
      </w:r>
    </w:p>
    <w:p w14:paraId="03203780" w14:textId="77777777" w:rsidR="00A92719" w:rsidRPr="00E14102" w:rsidRDefault="00A92719" w:rsidP="00E14102">
      <w:pPr>
        <w:jc w:val="both"/>
        <w:rPr>
          <w:color w:val="000000" w:themeColor="text1"/>
          <w:sz w:val="16"/>
          <w:szCs w:val="16"/>
        </w:rPr>
      </w:pPr>
    </w:p>
    <w:p w14:paraId="05FDDE7A" w14:textId="77777777" w:rsidR="00A92719" w:rsidRPr="00E14102" w:rsidRDefault="00A92719" w:rsidP="00E14102">
      <w:pPr>
        <w:jc w:val="both"/>
        <w:rPr>
          <w:color w:val="000000" w:themeColor="text1"/>
          <w:sz w:val="16"/>
          <w:szCs w:val="16"/>
        </w:rPr>
      </w:pPr>
      <w:r w:rsidRPr="00E14102">
        <w:rPr>
          <w:bCs/>
          <w:color w:val="000000" w:themeColor="text1"/>
          <w:sz w:val="16"/>
          <w:szCs w:val="16"/>
        </w:rPr>
        <w:t>23 июня</w:t>
      </w:r>
      <w:r w:rsidRPr="00E14102">
        <w:rPr>
          <w:color w:val="000000" w:themeColor="text1"/>
          <w:sz w:val="16"/>
          <w:szCs w:val="16"/>
        </w:rPr>
        <w:t xml:space="preserve"> в 1935 году мировой рекорд высотного парашютного прыжка - 7612 м, М.Аминтаев (14931).</w:t>
      </w:r>
    </w:p>
    <w:p w14:paraId="774CB1E8" w14:textId="77777777" w:rsidR="00A92719" w:rsidRPr="00E14102" w:rsidRDefault="00A92719" w:rsidP="00E14102">
      <w:pPr>
        <w:jc w:val="both"/>
        <w:rPr>
          <w:color w:val="000000" w:themeColor="text1"/>
          <w:sz w:val="16"/>
          <w:szCs w:val="16"/>
        </w:rPr>
      </w:pPr>
    </w:p>
    <w:p w14:paraId="5451FBF8" w14:textId="77777777" w:rsidR="00A92719" w:rsidRPr="00E14102" w:rsidRDefault="004B7965" w:rsidP="00E14102">
      <w:pPr>
        <w:shd w:val="clear" w:color="auto" w:fill="FFFFFF"/>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83C3CF9" w14:textId="77777777" w:rsidR="00A92719" w:rsidRPr="00E14102" w:rsidRDefault="00A92719" w:rsidP="00E14102">
      <w:pPr>
        <w:shd w:val="clear" w:color="auto" w:fill="FFFFFF"/>
        <w:autoSpaceDE w:val="0"/>
        <w:autoSpaceDN w:val="0"/>
        <w:adjustRightInd w:val="0"/>
        <w:jc w:val="both"/>
        <w:rPr>
          <w:iCs/>
          <w:color w:val="000000" w:themeColor="text1"/>
          <w:sz w:val="16"/>
          <w:szCs w:val="16"/>
        </w:rPr>
      </w:pPr>
    </w:p>
    <w:p w14:paraId="69FBFB2A" w14:textId="71F2F657" w:rsidR="00D46357" w:rsidRPr="00E14102" w:rsidRDefault="00E75A10" w:rsidP="00E14102">
      <w:pPr>
        <w:jc w:val="both"/>
        <w:rPr>
          <w:color w:val="000000" w:themeColor="text1"/>
          <w:sz w:val="16"/>
          <w:szCs w:val="16"/>
        </w:rPr>
      </w:pPr>
      <w:r w:rsidRPr="00E14102">
        <w:rPr>
          <w:color w:val="000000" w:themeColor="text1"/>
          <w:sz w:val="16"/>
          <w:szCs w:val="16"/>
        </w:rPr>
        <w:t>*</w:t>
      </w:r>
      <w:r w:rsidR="00D46357" w:rsidRPr="00E14102">
        <w:rPr>
          <w:color w:val="000000" w:themeColor="text1"/>
          <w:sz w:val="16"/>
          <w:szCs w:val="16"/>
        </w:rPr>
        <w:t>23 июня 1935 г. состоялись испытания на озере Главного Красногвардейского лагеря танковых частей ЛВО мины «Ремин» и определение магнитного поля танка-амфибии типа Т-37. Цель испытания - выяснить проходимость или непроходимость рек с неконтактными минами (18667).</w:t>
      </w:r>
    </w:p>
    <w:p w14:paraId="02DF6AE1" w14:textId="77777777" w:rsidR="00D46357" w:rsidRPr="00E14102" w:rsidRDefault="00D46357" w:rsidP="00E14102">
      <w:pPr>
        <w:jc w:val="both"/>
        <w:rPr>
          <w:color w:val="000000" w:themeColor="text1"/>
          <w:sz w:val="16"/>
          <w:szCs w:val="16"/>
        </w:rPr>
      </w:pPr>
    </w:p>
    <w:p w14:paraId="5013ED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июня 1935 вышло Постановление СНК СССР № 1275-198сс “О строительстве Норильского никелевого комбината”, которым предписывалось таковое “признать ударным и возложить его на Главное управление лагерями Наркомвнудела, обязав его организовать для этой цели специальный лагерь”. 25 июня приказом НКВД № 00239 был образован Норильский исправительно-трудовой лагерь, начальником Норильского строительства и лагеря был назначен В. З. Матвеев (прежде руководивший Ахунским лагерем), главным инженером - А. Е. Воронцов (из системы “Союззолота”). Норильский ИТЛ был подчинен непосредственно начальнику ГУЛАГа (7560).</w:t>
      </w:r>
    </w:p>
    <w:p w14:paraId="2788C845" w14:textId="77777777" w:rsidR="00D4105E" w:rsidRPr="00E14102" w:rsidRDefault="00D4105E" w:rsidP="00E14102">
      <w:pPr>
        <w:autoSpaceDE w:val="0"/>
        <w:autoSpaceDN w:val="0"/>
        <w:adjustRightInd w:val="0"/>
        <w:jc w:val="both"/>
        <w:rPr>
          <w:color w:val="000000" w:themeColor="text1"/>
          <w:sz w:val="16"/>
          <w:szCs w:val="16"/>
        </w:rPr>
      </w:pPr>
    </w:p>
    <w:p w14:paraId="4577BCBB" w14:textId="77777777" w:rsidR="00A92719" w:rsidRPr="00E14102" w:rsidRDefault="00A92719" w:rsidP="00E14102">
      <w:pPr>
        <w:jc w:val="both"/>
        <w:rPr>
          <w:color w:val="000000" w:themeColor="text1"/>
          <w:sz w:val="16"/>
          <w:szCs w:val="16"/>
        </w:rPr>
      </w:pPr>
      <w:r w:rsidRPr="00E14102">
        <w:rPr>
          <w:bCs/>
          <w:color w:val="000000" w:themeColor="text1"/>
          <w:sz w:val="16"/>
          <w:szCs w:val="16"/>
        </w:rPr>
        <w:t>23 июня</w:t>
      </w:r>
      <w:r w:rsidRPr="00E14102">
        <w:rPr>
          <w:color w:val="000000" w:themeColor="text1"/>
          <w:sz w:val="16"/>
          <w:szCs w:val="16"/>
        </w:rPr>
        <w:t xml:space="preserve"> в 1935 году Совнарком СССР принял постановление «О строительстве Норильского комбината» и о передаче «Норильскстроя» в состав НКВД СССР, что положило начало созданию крупнейшего в стране горно-металлургического комплекса (с 1957 г. имени А.П.Завенягина, директора комбината в 1933-1941 гг.). Теперь – головное предприятие ОАО «Горно-металлургическая компания «Норильский никель»/ГМК «Норильский никель» – крупнейшей в России и одной из крупнейших в мире компаний по производству цветных и драгоценных металлов (14931).</w:t>
      </w:r>
    </w:p>
    <w:p w14:paraId="1D903E95" w14:textId="77777777" w:rsidR="00A92719" w:rsidRPr="00E14102" w:rsidRDefault="00A92719" w:rsidP="00E14102">
      <w:pPr>
        <w:jc w:val="both"/>
        <w:rPr>
          <w:color w:val="000000" w:themeColor="text1"/>
          <w:sz w:val="16"/>
          <w:szCs w:val="16"/>
        </w:rPr>
      </w:pPr>
    </w:p>
    <w:p w14:paraId="41BD9C24" w14:textId="77777777" w:rsidR="00A92719"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21BEBE5" w14:textId="77777777" w:rsidR="00A92719" w:rsidRPr="00E14102" w:rsidRDefault="00A92719" w:rsidP="00E14102">
      <w:pPr>
        <w:autoSpaceDE w:val="0"/>
        <w:autoSpaceDN w:val="0"/>
        <w:adjustRightInd w:val="0"/>
        <w:jc w:val="both"/>
        <w:rPr>
          <w:iCs/>
          <w:color w:val="000000" w:themeColor="text1"/>
          <w:sz w:val="16"/>
          <w:szCs w:val="16"/>
        </w:rPr>
      </w:pPr>
    </w:p>
    <w:p w14:paraId="2435695D" w14:textId="77777777" w:rsidR="00A92719" w:rsidRPr="00E14102" w:rsidRDefault="00A92719" w:rsidP="00E14102">
      <w:pPr>
        <w:jc w:val="both"/>
        <w:rPr>
          <w:color w:val="000000" w:themeColor="text1"/>
          <w:sz w:val="16"/>
          <w:szCs w:val="16"/>
        </w:rPr>
      </w:pPr>
      <w:r w:rsidRPr="00E14102">
        <w:rPr>
          <w:bCs/>
          <w:color w:val="000000" w:themeColor="text1"/>
          <w:sz w:val="16"/>
          <w:szCs w:val="16"/>
        </w:rPr>
        <w:t>23 июня</w:t>
      </w:r>
      <w:r w:rsidRPr="00E14102">
        <w:rPr>
          <w:color w:val="000000" w:themeColor="text1"/>
          <w:sz w:val="16"/>
          <w:szCs w:val="16"/>
        </w:rPr>
        <w:t xml:space="preserve"> в 1935 году в Москву приехал французский писатель Ромен Роллан. Как писала «Правда», «Роллан решил предпринять путешествие в Советский Союз для установления непосредственного контакта с людьми нашей культуры и политики. Ромен Роллан намерен встретиться с Максимом Горьким, с которым он состоит в переписке в продолжение двух десятков лет». В своем приветствии Роллан сказал: «Дорогие товарищи из СССР, вот уже много лет, как мне хотелось приехать к вам. Есть старая итальянская поговорка: «увидеть Неаполь и умереть!» Я же говорю: увидеть Москву и снова возродиться. Почерпнуть у вас новую энергию, чтобы действовать!..» </w:t>
      </w:r>
    </w:p>
    <w:p w14:paraId="3017DEF7" w14:textId="77777777" w:rsidR="00A92719" w:rsidRPr="00E14102" w:rsidRDefault="00A92719" w:rsidP="00E14102">
      <w:pPr>
        <w:jc w:val="both"/>
        <w:rPr>
          <w:color w:val="000000" w:themeColor="text1"/>
          <w:sz w:val="16"/>
          <w:szCs w:val="16"/>
        </w:rPr>
      </w:pPr>
    </w:p>
    <w:p w14:paraId="1ED17CD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5AE9559" w14:textId="77777777" w:rsidR="00D4105E" w:rsidRPr="00E14102" w:rsidRDefault="00D4105E" w:rsidP="00E14102">
      <w:pPr>
        <w:autoSpaceDE w:val="0"/>
        <w:autoSpaceDN w:val="0"/>
        <w:adjustRightInd w:val="0"/>
        <w:jc w:val="both"/>
        <w:rPr>
          <w:iCs/>
          <w:color w:val="000000" w:themeColor="text1"/>
          <w:sz w:val="16"/>
          <w:szCs w:val="16"/>
        </w:rPr>
      </w:pPr>
    </w:p>
    <w:p w14:paraId="75A46A58" w14:textId="77777777" w:rsidR="00A92719" w:rsidRPr="00E14102" w:rsidRDefault="00A92719" w:rsidP="00E14102">
      <w:pPr>
        <w:jc w:val="both"/>
        <w:rPr>
          <w:color w:val="000000" w:themeColor="text1"/>
          <w:sz w:val="16"/>
          <w:szCs w:val="16"/>
        </w:rPr>
      </w:pPr>
      <w:r w:rsidRPr="00E14102">
        <w:rPr>
          <w:bCs/>
          <w:color w:val="000000" w:themeColor="text1"/>
          <w:sz w:val="16"/>
          <w:szCs w:val="16"/>
        </w:rPr>
        <w:t>23 июня</w:t>
      </w:r>
      <w:r w:rsidRPr="00E14102">
        <w:rPr>
          <w:color w:val="000000" w:themeColor="text1"/>
          <w:sz w:val="16"/>
          <w:szCs w:val="16"/>
        </w:rPr>
        <w:t xml:space="preserve"> в 1935 году впервые взлетел первый прототип </w:t>
      </w:r>
      <w:hyperlink r:id="rId132" w:tgtFrame="_blank" w:history="1">
        <w:r w:rsidRPr="00E14102">
          <w:rPr>
            <w:color w:val="000000" w:themeColor="text1"/>
            <w:sz w:val="16"/>
            <w:szCs w:val="16"/>
          </w:rPr>
          <w:t xml:space="preserve">«Бристоль-130» </w:t>
        </w:r>
      </w:hyperlink>
      <w:r w:rsidRPr="00E14102">
        <w:rPr>
          <w:color w:val="000000" w:themeColor="text1"/>
          <w:sz w:val="16"/>
          <w:szCs w:val="16"/>
        </w:rPr>
        <w:t>с бортовым номером «К3583». При размахе крыла более 29 м, это был в то время самый большой самолет фирмы Бристоль. Испытания проходили не очень гладко, мощности двигателей явно не хватало; пробные полеты продолжались в течение всего 1936 года - сперва на заводском аэродроме в Филтоне, затем на опытном аэродроме в Мартлшем Хейс. По результатам испытаний, в конструкцию внесли существенные изменения: в частности, подверглось коррекции разнесенное оперение и шасси, с которого убрали красивые, но в данном случае совсем бесполезные обтекатели-колодки. В марте 1933 фирма получила серийный заказ 47/36, предусматривающий постройку 50 серийных самолетов. Так как завод в Филтоне был загружен серийным выпуском ''Бленхеймов'', постройку Бристоль-130 доверили заводам Шорт в Белфасте. На первых порах, самолет именовался ''Бедфорд'', но в феврале 1937 года имя заменили, на ''Бомбей'' (14931).</w:t>
      </w:r>
    </w:p>
    <w:p w14:paraId="3F90AB34" w14:textId="77777777" w:rsidR="00A92719" w:rsidRPr="00E14102" w:rsidRDefault="00A92719" w:rsidP="00E14102">
      <w:pPr>
        <w:jc w:val="both"/>
        <w:rPr>
          <w:color w:val="000000" w:themeColor="text1"/>
          <w:sz w:val="16"/>
          <w:szCs w:val="16"/>
        </w:rPr>
      </w:pPr>
    </w:p>
    <w:p w14:paraId="31462EBF" w14:textId="77777777" w:rsidR="00F25FD8" w:rsidRPr="00E14102" w:rsidRDefault="00F25FD8" w:rsidP="00E14102">
      <w:pPr>
        <w:jc w:val="both"/>
        <w:rPr>
          <w:color w:val="0070C0"/>
          <w:sz w:val="16"/>
          <w:szCs w:val="16"/>
        </w:rPr>
      </w:pPr>
      <w:r w:rsidRPr="00E14102">
        <w:rPr>
          <w:color w:val="0070C0"/>
          <w:sz w:val="16"/>
          <w:szCs w:val="16"/>
        </w:rPr>
        <w:t>23 июня 1935 состоялся первый полет Бристоль Бомбей K3583 (20800).</w:t>
      </w:r>
    </w:p>
    <w:p w14:paraId="6C7C1CA5" w14:textId="77777777" w:rsidR="00F25FD8" w:rsidRPr="00E14102" w:rsidRDefault="00F25FD8" w:rsidP="00E14102">
      <w:pPr>
        <w:jc w:val="both"/>
        <w:rPr>
          <w:color w:val="0070C0"/>
          <w:sz w:val="16"/>
          <w:szCs w:val="16"/>
        </w:rPr>
      </w:pPr>
    </w:p>
    <w:p w14:paraId="2C04BF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июня 1935 министр иностранных дел Иден предложил Муссолини уступить Абиссинию в обмен на земли в Сомалиленде. Тот отказался (3481).</w:t>
      </w:r>
    </w:p>
    <w:p w14:paraId="4D403554" w14:textId="77777777" w:rsidR="00D4105E" w:rsidRPr="00E14102" w:rsidRDefault="00D4105E" w:rsidP="00E14102">
      <w:pPr>
        <w:autoSpaceDE w:val="0"/>
        <w:autoSpaceDN w:val="0"/>
        <w:adjustRightInd w:val="0"/>
        <w:jc w:val="both"/>
        <w:rPr>
          <w:color w:val="000000" w:themeColor="text1"/>
          <w:sz w:val="16"/>
          <w:szCs w:val="16"/>
        </w:rPr>
      </w:pPr>
    </w:p>
    <w:p w14:paraId="334AC762" w14:textId="77777777" w:rsidR="00A92719" w:rsidRPr="00E14102" w:rsidRDefault="00A92719" w:rsidP="00E14102">
      <w:pPr>
        <w:jc w:val="both"/>
        <w:rPr>
          <w:color w:val="000000" w:themeColor="text1"/>
          <w:sz w:val="16"/>
          <w:szCs w:val="16"/>
        </w:rPr>
      </w:pPr>
      <w:r w:rsidRPr="00E14102">
        <w:rPr>
          <w:bCs/>
          <w:color w:val="000000" w:themeColor="text1"/>
          <w:sz w:val="16"/>
          <w:szCs w:val="16"/>
        </w:rPr>
        <w:t>23 июня</w:t>
      </w:r>
      <w:r w:rsidRPr="00E14102">
        <w:rPr>
          <w:color w:val="000000" w:themeColor="text1"/>
          <w:sz w:val="16"/>
          <w:szCs w:val="16"/>
        </w:rPr>
        <w:t xml:space="preserve"> в 1935 году британский министр по связям с Лигой Наций Энтони Иден в ответ на итальянские угрозы в Восточной Африке предлагает премьер-министру Италии Бенито Муссолини земли в Сомалиленде при условии, что Италия откажется от своих планов в Эфиопии. Муссолини отвергает это предложение (14931).</w:t>
      </w:r>
    </w:p>
    <w:p w14:paraId="56CFDBB5" w14:textId="77777777" w:rsidR="00A92719" w:rsidRPr="00E14102" w:rsidRDefault="00A92719" w:rsidP="00E14102">
      <w:pPr>
        <w:jc w:val="both"/>
        <w:rPr>
          <w:color w:val="000000" w:themeColor="text1"/>
          <w:sz w:val="16"/>
          <w:szCs w:val="16"/>
        </w:rPr>
      </w:pPr>
    </w:p>
    <w:p w14:paraId="7F2C982D" w14:textId="77777777" w:rsidR="00A40EC8"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lastRenderedPageBreak/>
        <w:t>Авиапромышленность:</w:t>
      </w:r>
    </w:p>
    <w:p w14:paraId="6CD6E5FD" w14:textId="77777777" w:rsidR="00A40EC8" w:rsidRPr="00E14102" w:rsidRDefault="00A40EC8" w:rsidP="00E14102">
      <w:pPr>
        <w:autoSpaceDE w:val="0"/>
        <w:autoSpaceDN w:val="0"/>
        <w:adjustRightInd w:val="0"/>
        <w:jc w:val="both"/>
        <w:rPr>
          <w:iCs/>
          <w:color w:val="000000" w:themeColor="text1"/>
          <w:sz w:val="16"/>
          <w:szCs w:val="16"/>
        </w:rPr>
      </w:pPr>
    </w:p>
    <w:p w14:paraId="0B420DA1" w14:textId="77777777" w:rsidR="00A40EC8" w:rsidRPr="00E14102" w:rsidRDefault="00A40EC8" w:rsidP="00E14102">
      <w:pPr>
        <w:jc w:val="both"/>
        <w:rPr>
          <w:bCs/>
          <w:color w:val="000000" w:themeColor="text1"/>
          <w:sz w:val="16"/>
          <w:szCs w:val="16"/>
        </w:rPr>
      </w:pPr>
      <w:r w:rsidRPr="00E14102">
        <w:rPr>
          <w:bCs/>
          <w:color w:val="000000" w:themeColor="text1"/>
          <w:sz w:val="16"/>
          <w:szCs w:val="16"/>
        </w:rPr>
        <w:t>24 июня</w:t>
      </w:r>
      <w:r w:rsidRPr="00E14102">
        <w:rPr>
          <w:color w:val="000000" w:themeColor="text1"/>
          <w:sz w:val="16"/>
          <w:szCs w:val="16"/>
        </w:rPr>
        <w:t xml:space="preserve"> в 1935 году летчик Дальневосточного управления ГВФ А.И.Романов на «ПС-7» с тремя пассажирами и 110 кг почты совершил скоростной рейс из Хабаровска в Москву за 46 часов (14932).</w:t>
      </w:r>
    </w:p>
    <w:p w14:paraId="00119091" w14:textId="77777777" w:rsidR="00A40EC8" w:rsidRPr="00E14102" w:rsidRDefault="00A40EC8" w:rsidP="00E14102">
      <w:pPr>
        <w:jc w:val="both"/>
        <w:rPr>
          <w:bCs/>
          <w:color w:val="000000" w:themeColor="text1"/>
          <w:sz w:val="16"/>
          <w:szCs w:val="16"/>
        </w:rPr>
      </w:pPr>
    </w:p>
    <w:p w14:paraId="365FAE82" w14:textId="77777777" w:rsidR="007E0310" w:rsidRPr="00E14102" w:rsidRDefault="007E0310" w:rsidP="00E14102">
      <w:pPr>
        <w:jc w:val="both"/>
        <w:rPr>
          <w:color w:val="0070C0"/>
          <w:sz w:val="16"/>
          <w:szCs w:val="16"/>
        </w:rPr>
      </w:pPr>
      <w:r w:rsidRPr="00E14102">
        <w:rPr>
          <w:color w:val="0070C0"/>
          <w:sz w:val="16"/>
          <w:szCs w:val="16"/>
        </w:rPr>
        <w:t>24 июня 1935 - Пилот Дальневосточного управления ГВФ А.И. Романов на ПС-7 с трёмя пассажирами и 110 кг почты совершил скоростной рейс из Хабаровска в Москву - за 46 часов. Гражданская модификация Р-6 (АНТ-7) для перевозки грузов и пассажиров сначала была с открытой кабиной, но позже начали делать с закрытой. Кабины лётчика и бортмеханика были в передней части самолёта, пассажирский салон вместимостью 8 - 10 пассажиров. Самолёты летали со скоростью 170 - 180 км/час (22450).</w:t>
      </w:r>
    </w:p>
    <w:p w14:paraId="0FB689B9" w14:textId="77777777" w:rsidR="007E0310" w:rsidRPr="00E14102" w:rsidRDefault="007E0310" w:rsidP="00E14102">
      <w:pPr>
        <w:jc w:val="both"/>
        <w:rPr>
          <w:color w:val="0070C0"/>
          <w:sz w:val="16"/>
          <w:szCs w:val="16"/>
        </w:rPr>
      </w:pPr>
    </w:p>
    <w:p w14:paraId="3CE3AB32" w14:textId="77777777" w:rsidR="00A40EC8"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52B7091" w14:textId="77777777" w:rsidR="00A40EC8" w:rsidRPr="00E14102" w:rsidRDefault="00A40EC8" w:rsidP="00E14102">
      <w:pPr>
        <w:autoSpaceDE w:val="0"/>
        <w:autoSpaceDN w:val="0"/>
        <w:adjustRightInd w:val="0"/>
        <w:jc w:val="both"/>
        <w:rPr>
          <w:iCs/>
          <w:color w:val="000000" w:themeColor="text1"/>
          <w:sz w:val="16"/>
          <w:szCs w:val="16"/>
        </w:rPr>
      </w:pPr>
    </w:p>
    <w:p w14:paraId="6E8A0BCB" w14:textId="77777777" w:rsidR="00A40EC8" w:rsidRPr="00E14102" w:rsidRDefault="00A40EC8" w:rsidP="00E14102">
      <w:pPr>
        <w:jc w:val="both"/>
        <w:rPr>
          <w:color w:val="000000" w:themeColor="text1"/>
          <w:sz w:val="16"/>
          <w:szCs w:val="16"/>
        </w:rPr>
      </w:pPr>
      <w:r w:rsidRPr="00E14102">
        <w:rPr>
          <w:bCs/>
          <w:color w:val="000000" w:themeColor="text1"/>
          <w:sz w:val="16"/>
          <w:szCs w:val="16"/>
        </w:rPr>
        <w:t>24 июня</w:t>
      </w:r>
      <w:r w:rsidRPr="00E14102">
        <w:rPr>
          <w:color w:val="000000" w:themeColor="text1"/>
          <w:sz w:val="16"/>
          <w:szCs w:val="16"/>
        </w:rPr>
        <w:t xml:space="preserve"> в 1935 году в Тбилиси открылась первая в СССР детская железная дорога (14932).</w:t>
      </w:r>
    </w:p>
    <w:p w14:paraId="40F34F86" w14:textId="77777777" w:rsidR="00A40EC8" w:rsidRPr="00E14102" w:rsidRDefault="00A40EC8" w:rsidP="00E14102">
      <w:pPr>
        <w:jc w:val="both"/>
        <w:rPr>
          <w:color w:val="000000" w:themeColor="text1"/>
          <w:sz w:val="16"/>
          <w:szCs w:val="16"/>
        </w:rPr>
      </w:pPr>
    </w:p>
    <w:p w14:paraId="513EAD5B" w14:textId="77777777" w:rsidR="00A40EC8"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C8D688D" w14:textId="77777777" w:rsidR="00A40EC8" w:rsidRPr="00E14102" w:rsidRDefault="00A40EC8" w:rsidP="00E14102">
      <w:pPr>
        <w:autoSpaceDE w:val="0"/>
        <w:autoSpaceDN w:val="0"/>
        <w:adjustRightInd w:val="0"/>
        <w:jc w:val="both"/>
        <w:rPr>
          <w:iCs/>
          <w:color w:val="000000" w:themeColor="text1"/>
          <w:sz w:val="16"/>
          <w:szCs w:val="16"/>
        </w:rPr>
      </w:pPr>
    </w:p>
    <w:p w14:paraId="07F0EA07" w14:textId="77777777" w:rsidR="00A40EC8" w:rsidRPr="00E14102" w:rsidRDefault="00A40EC8" w:rsidP="00E14102">
      <w:pPr>
        <w:jc w:val="both"/>
        <w:rPr>
          <w:color w:val="000000" w:themeColor="text1"/>
          <w:sz w:val="16"/>
          <w:szCs w:val="16"/>
        </w:rPr>
      </w:pPr>
      <w:r w:rsidRPr="00E14102">
        <w:rPr>
          <w:bCs/>
          <w:color w:val="000000" w:themeColor="text1"/>
          <w:sz w:val="16"/>
          <w:szCs w:val="16"/>
        </w:rPr>
        <w:t>24 июня</w:t>
      </w:r>
      <w:r w:rsidRPr="00E14102">
        <w:rPr>
          <w:color w:val="000000" w:themeColor="text1"/>
          <w:sz w:val="16"/>
          <w:szCs w:val="16"/>
        </w:rPr>
        <w:t xml:space="preserve"> в 1935 году летчица Контесса Карина на рекордном </w:t>
      </w:r>
      <w:hyperlink r:id="rId133" w:tgtFrame="_blank" w:history="1">
        <w:r w:rsidRPr="00E14102">
          <w:rPr>
            <w:color w:val="000000" w:themeColor="text1"/>
            <w:sz w:val="16"/>
            <w:szCs w:val="16"/>
          </w:rPr>
          <w:t xml:space="preserve">«Ca.113» «AQ» («Alta Quota»). </w:t>
        </w:r>
      </w:hyperlink>
      <w:r w:rsidRPr="00E14102">
        <w:rPr>
          <w:color w:val="000000" w:themeColor="text1"/>
          <w:sz w:val="16"/>
          <w:szCs w:val="16"/>
        </w:rPr>
        <w:t>установила женский рекорд - 12 043 м. Самолет получил двигатель «Alfa Romeo» «Pegasus» «SAQ2 мощностью 500 л.с., новые крылья (размах - 14.15 м) (14932).</w:t>
      </w:r>
    </w:p>
    <w:p w14:paraId="404ECB4F" w14:textId="77777777" w:rsidR="00A40EC8" w:rsidRPr="00E14102" w:rsidRDefault="00A40EC8" w:rsidP="00E14102">
      <w:pPr>
        <w:jc w:val="both"/>
        <w:rPr>
          <w:bCs/>
          <w:color w:val="000000" w:themeColor="text1"/>
          <w:sz w:val="16"/>
          <w:szCs w:val="16"/>
        </w:rPr>
      </w:pPr>
    </w:p>
    <w:p w14:paraId="5E9BF542" w14:textId="77777777" w:rsidR="007E0310" w:rsidRPr="00E14102" w:rsidRDefault="007E0310" w:rsidP="00E14102">
      <w:pPr>
        <w:jc w:val="both"/>
        <w:rPr>
          <w:color w:val="0070C0"/>
          <w:sz w:val="16"/>
          <w:szCs w:val="16"/>
        </w:rPr>
      </w:pPr>
      <w:r w:rsidRPr="00E14102">
        <w:rPr>
          <w:color w:val="0070C0"/>
          <w:sz w:val="16"/>
          <w:szCs w:val="16"/>
        </w:rPr>
        <w:t>24 июня 1935 - Летчица Контесса Карина на рекордном итальянском самолете Caproni Ca.113 AQ (Alta Quota). установила женский рекорд - 12 043 м (22450).</w:t>
      </w:r>
    </w:p>
    <w:p w14:paraId="201CD4FF" w14:textId="77777777" w:rsidR="007E0310" w:rsidRPr="00E14102" w:rsidRDefault="007E0310" w:rsidP="00E14102">
      <w:pPr>
        <w:jc w:val="both"/>
        <w:rPr>
          <w:color w:val="0070C0"/>
          <w:sz w:val="16"/>
          <w:szCs w:val="16"/>
        </w:rPr>
      </w:pPr>
    </w:p>
    <w:p w14:paraId="29BAC1B6" w14:textId="0D240352" w:rsidR="007E0310" w:rsidRPr="00E14102" w:rsidRDefault="007E0310" w:rsidP="00E14102">
      <w:pPr>
        <w:jc w:val="both"/>
        <w:rPr>
          <w:color w:val="0070C0"/>
          <w:sz w:val="16"/>
          <w:szCs w:val="16"/>
        </w:rPr>
      </w:pPr>
      <w:r w:rsidRPr="00E14102">
        <w:rPr>
          <w:color w:val="0070C0"/>
          <w:sz w:val="16"/>
          <w:szCs w:val="16"/>
        </w:rPr>
        <w:t>24 июня 1935 Один Ford Trimotor Servicio Aéreo Colombiano ( SACO ) сталкивается с другим Ford Trimotor Sociedad Colombo Alemana de Transporte Aéreo ( SCADTA) в Медельине, Колумбия. Пятнадцать человек погибли, в том числе всемирно известный исполнитель танго Карлос Гардель, журналист, драматург и автор текстов Альфредо Ле Пера, а также другие музыканты, путешествовавшие с ними для продвижения нового фильма El día que me quieras («День, который ты полюбишь » Меня") (20800).</w:t>
      </w:r>
    </w:p>
    <w:p w14:paraId="7CA62666" w14:textId="77777777" w:rsidR="007E0310" w:rsidRPr="00E14102" w:rsidRDefault="007E0310" w:rsidP="00E14102">
      <w:pPr>
        <w:jc w:val="both"/>
        <w:rPr>
          <w:color w:val="0070C0"/>
          <w:sz w:val="16"/>
          <w:szCs w:val="16"/>
        </w:rPr>
      </w:pPr>
    </w:p>
    <w:p w14:paraId="29DA7B7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DBEDE3E" w14:textId="77777777" w:rsidR="00D4105E" w:rsidRPr="00E14102" w:rsidRDefault="00D4105E" w:rsidP="00E14102">
      <w:pPr>
        <w:autoSpaceDE w:val="0"/>
        <w:autoSpaceDN w:val="0"/>
        <w:adjustRightInd w:val="0"/>
        <w:jc w:val="both"/>
        <w:rPr>
          <w:iCs/>
          <w:color w:val="000000" w:themeColor="text1"/>
          <w:sz w:val="16"/>
          <w:szCs w:val="16"/>
        </w:rPr>
      </w:pPr>
    </w:p>
    <w:p w14:paraId="5E60C6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июня 1935 г. начальник ВВС командармом 2 ранга Алкснис утвердил отчет испытаниям И-16 с 4-мя пулеметами Шкас конструкции завода N 21 согласно акта N 25 (3193).</w:t>
      </w:r>
    </w:p>
    <w:p w14:paraId="41B90989" w14:textId="77777777" w:rsidR="00D4105E" w:rsidRPr="00E14102" w:rsidRDefault="00D4105E" w:rsidP="00E14102">
      <w:pPr>
        <w:autoSpaceDE w:val="0"/>
        <w:autoSpaceDN w:val="0"/>
        <w:adjustRightInd w:val="0"/>
        <w:jc w:val="both"/>
        <w:rPr>
          <w:color w:val="000000" w:themeColor="text1"/>
          <w:sz w:val="16"/>
          <w:szCs w:val="16"/>
        </w:rPr>
      </w:pPr>
    </w:p>
    <w:p w14:paraId="72AFA8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июня 1935 Пред. стратосферного комитета АВИАВНИТО К.В.Кривицкий и Зам. пред. К.И.Муратов писали письмо N 186с Зам. НКО Тухачевскому о том, что на заводе 1 им. Авиахима были прекращены подготовительные работы по самолету СБ-1 К-14 вследствие нерешенности вопроса о включении этого стратосферного самолета в план ГУАП. Работа началась 3 мая 1934 и был положительный отзыв от НИИ ВВС. В работе приняли участие П.М.Крейсон, и ЦКБ-39 - ТТ, В.И.Дмитриевский из ЦИАМ - выбор мотора, Г.И.Кузьмин, ВВА и и 39 завода - винт, Н.М.Добротворский, АНИИСИ РККА - скафандр, К.В.Кривицкий, завод 39, Н.Н.Каштанов, завод 35, К.И.Муратов, 38 завод, Н.С.Дубинин, ЦАГИ - самолет и руководство проектом (2343,248).</w:t>
      </w:r>
    </w:p>
    <w:p w14:paraId="57CE1DE3" w14:textId="77777777" w:rsidR="00D4105E" w:rsidRPr="00E14102" w:rsidRDefault="00D4105E" w:rsidP="00E14102">
      <w:pPr>
        <w:autoSpaceDE w:val="0"/>
        <w:autoSpaceDN w:val="0"/>
        <w:adjustRightInd w:val="0"/>
        <w:jc w:val="both"/>
        <w:rPr>
          <w:color w:val="000000" w:themeColor="text1"/>
          <w:sz w:val="16"/>
          <w:szCs w:val="16"/>
        </w:rPr>
      </w:pPr>
    </w:p>
    <w:p w14:paraId="195D65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июня 1935 в РНИИ был старт ракеты 07, разработанной в ГИРД (1136,266).</w:t>
      </w:r>
    </w:p>
    <w:p w14:paraId="2F06305F" w14:textId="77777777" w:rsidR="00D4105E" w:rsidRPr="00E14102" w:rsidRDefault="00D4105E" w:rsidP="00E14102">
      <w:pPr>
        <w:autoSpaceDE w:val="0"/>
        <w:autoSpaceDN w:val="0"/>
        <w:adjustRightInd w:val="0"/>
        <w:jc w:val="both"/>
        <w:rPr>
          <w:color w:val="000000" w:themeColor="text1"/>
          <w:sz w:val="16"/>
          <w:szCs w:val="16"/>
        </w:rPr>
      </w:pPr>
    </w:p>
    <w:p w14:paraId="1B7A7D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июня 1935 при полете стратостата СССР-1бис произошел первый случай практического применения парашютов в стратонавтике. При снижении экипаж через верхний иллюминатор заметил, что нижняя часть оболочки стала разрушаться и командир экипажа К.И.Зилле принял решение сбросить большую часть баланса и на высоте 5000 м покинуть гондолу с парашютами ПЛВО конструкции И.Л.Глушкова и И.Кадышева с ранцем М.Савицкого. Первым стал А.А.Вериго, затем и Ю.Г.Прилуцкий. На грузовых парашютах сбросили приборы. Командир К.И.Зилле вылез через верхний люк и наблюдал. Сумел посадить в 120 км от Тулы (1226,17).</w:t>
      </w:r>
    </w:p>
    <w:p w14:paraId="453F0ADA" w14:textId="77777777" w:rsidR="00D4105E" w:rsidRPr="00E14102" w:rsidRDefault="00D4105E" w:rsidP="00E14102">
      <w:pPr>
        <w:autoSpaceDE w:val="0"/>
        <w:autoSpaceDN w:val="0"/>
        <w:adjustRightInd w:val="0"/>
        <w:jc w:val="both"/>
        <w:rPr>
          <w:color w:val="000000" w:themeColor="text1"/>
          <w:sz w:val="16"/>
          <w:szCs w:val="16"/>
        </w:rPr>
      </w:pPr>
    </w:p>
    <w:p w14:paraId="1E9027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июня 1935 Н.А.Аминтаев установил рекорд высотного прыжка, спустившись с 8126 м без КП (438,690).</w:t>
      </w:r>
    </w:p>
    <w:p w14:paraId="1B5314A7" w14:textId="77777777" w:rsidR="00D4105E" w:rsidRPr="00E14102" w:rsidRDefault="00D4105E" w:rsidP="00E14102">
      <w:pPr>
        <w:autoSpaceDE w:val="0"/>
        <w:autoSpaceDN w:val="0"/>
        <w:adjustRightInd w:val="0"/>
        <w:jc w:val="both"/>
        <w:rPr>
          <w:color w:val="000000" w:themeColor="text1"/>
          <w:sz w:val="16"/>
          <w:szCs w:val="16"/>
        </w:rPr>
      </w:pPr>
    </w:p>
    <w:p w14:paraId="5D4BFA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25 июня 1935 г. совместным научно-техническим журналом НКО и НКТП СССР были утверждены и приняты на вооружение цветные пи</w:t>
      </w:r>
      <w:r w:rsidRPr="00E14102">
        <w:rPr>
          <w:color w:val="000000" w:themeColor="text1"/>
          <w:sz w:val="16"/>
          <w:szCs w:val="16"/>
        </w:rPr>
        <w:softHyphen/>
        <w:t>роксилиновые пороха ЦПП, изготовленные из пироксилина и органического красителя на спирто-эфирном или других летучих растворителях. Цветные дымовые смеси по заказам РНИИ ГУБ НКТП изготавливали в специализированных пиротехнических лабораториях на основе штатного армейского дымового состава А-12 с введением в него соответствующих красителей типа паранитрометатолуидита, хризоидина и пр.</w:t>
      </w:r>
    </w:p>
    <w:p w14:paraId="46E328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Этот класс боеприпасов, предназначенный для подачи цветовых сиг</w:t>
      </w:r>
      <w:r w:rsidRPr="00E14102">
        <w:rPr>
          <w:color w:val="000000" w:themeColor="text1"/>
          <w:sz w:val="16"/>
          <w:szCs w:val="16"/>
        </w:rPr>
        <w:softHyphen/>
        <w:t>налов и постановки ориентиров, можно разделить на две основные груп</w:t>
      </w:r>
      <w:r w:rsidRPr="00E14102">
        <w:rPr>
          <w:color w:val="000000" w:themeColor="text1"/>
          <w:sz w:val="16"/>
          <w:szCs w:val="16"/>
        </w:rPr>
        <w:softHyphen/>
        <w:t>пы - снаряды ночного и дневного действия. Функционирование первых основывалось на выбросе на траектории большого количества так назы</w:t>
      </w:r>
      <w:r w:rsidRPr="00E14102">
        <w:rPr>
          <w:color w:val="000000" w:themeColor="text1"/>
          <w:sz w:val="16"/>
          <w:szCs w:val="16"/>
        </w:rPr>
        <w:softHyphen/>
        <w:t>ваемых «звездок» огня определенного цвета. По сути, это были многофа</w:t>
      </w:r>
      <w:r w:rsidRPr="00E14102">
        <w:rPr>
          <w:color w:val="000000" w:themeColor="text1"/>
          <w:sz w:val="16"/>
          <w:szCs w:val="16"/>
        </w:rPr>
        <w:softHyphen/>
        <w:t>кельные осветительные беспарашютные снаряды, по своему действию практически не отличающиеся от всем известных салютных зарядов. Широкого распространения в УВС РККА, в отличие от УМС РККА та</w:t>
      </w:r>
      <w:r w:rsidRPr="00E14102">
        <w:rPr>
          <w:color w:val="000000" w:themeColor="text1"/>
          <w:sz w:val="16"/>
          <w:szCs w:val="16"/>
        </w:rPr>
        <w:softHyphen/>
        <w:t>кие боеприпасы не получили. Однако в сводках о выполнении НИИ-3 НКТП заказов авиаторов на боеприпасы небольшие партии 132-мм ракетных сигнальных снарядов значились.</w:t>
      </w:r>
    </w:p>
    <w:p w14:paraId="13A135B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Вторая группа ракетных сигнальных снарядов - дневного действия — разделялась на снаряды «цветных дымов» и ракетно-трассирующие. В основном их использовали в исследовательских целях при отработке на полигонах различных задач внутренней баллистики (трассирующие двигатели) и внешней баллистики (трассирующее наполнение). «Вся прелесть» ракетного исполнения таких боеприпасов за</w:t>
      </w:r>
      <w:r w:rsidRPr="00E14102">
        <w:rPr>
          <w:color w:val="000000" w:themeColor="text1"/>
          <w:sz w:val="16"/>
          <w:szCs w:val="16"/>
        </w:rPr>
        <w:softHyphen/>
        <w:t>далась в возможности объединить эти две функции в одном боеприпасе. Тогда двигатель снаряжали РЗ, дающим контрастную трассу на протяжении активного участка траектории, а в конце пассивного, когда срабатывал взрыватель, образовывалось достаточно заметное цветное дымовое облако от сработавшей БЧ.</w:t>
      </w:r>
    </w:p>
    <w:p w14:paraId="2A9751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Подобные опыты начались в РНИИ ГУБ НКТП еще с 1935 г., когда рамках темы 45в было проведено исследование дымовых составов, а также цветных порохов. В отчете упоминалось, что тогда удалось получить цветное дымообразованис для создания мощных сигналов путем прессования шашек из измельченного пороха рецептуры ПТП с добавлением красителей.</w:t>
      </w:r>
    </w:p>
    <w:p w14:paraId="0A1AA9A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этот же период для «трассирующих двигателей» изготавливали пороховые шашки рецептуры ПТП габаритов 24/6-57,5 мм из обычного пироксилинового пороха с примесью 3% угля. Снаряженные такими РЗ ракетные боеприпасы продемонстрировали нормальное горение. Следу</w:t>
      </w:r>
      <w:r w:rsidRPr="00E14102">
        <w:rPr>
          <w:color w:val="000000" w:themeColor="text1"/>
          <w:sz w:val="16"/>
          <w:szCs w:val="16"/>
        </w:rPr>
        <w:softHyphen/>
        <w:t>ет отметить, что новые РЗ из порохов рецептуры НГВ с подобными до</w:t>
      </w:r>
      <w:r w:rsidRPr="00E14102">
        <w:rPr>
          <w:color w:val="000000" w:themeColor="text1"/>
          <w:sz w:val="16"/>
          <w:szCs w:val="16"/>
        </w:rPr>
        <w:softHyphen/>
        <w:t>бавками оказались куда менее эффективными.</w:t>
      </w:r>
    </w:p>
    <w:p w14:paraId="3BEBE9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Любопытен и такой факт, что для составления баллистических таб</w:t>
      </w:r>
      <w:r w:rsidRPr="00E14102">
        <w:rPr>
          <w:color w:val="000000" w:themeColor="text1"/>
          <w:sz w:val="16"/>
          <w:szCs w:val="16"/>
        </w:rPr>
        <w:softHyphen/>
        <w:t>лиц стрельбы пришлось изготовить специальные РС (11402).</w:t>
      </w:r>
    </w:p>
    <w:p w14:paraId="6464E31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D67B8D4" w14:textId="77777777" w:rsidR="00A40EC8" w:rsidRPr="00E14102" w:rsidRDefault="00A40EC8" w:rsidP="00E14102">
      <w:pPr>
        <w:jc w:val="both"/>
        <w:rPr>
          <w:color w:val="000000" w:themeColor="text1"/>
          <w:sz w:val="16"/>
          <w:szCs w:val="16"/>
        </w:rPr>
      </w:pPr>
      <w:r w:rsidRPr="00E14102">
        <w:rPr>
          <w:bCs/>
          <w:color w:val="000000" w:themeColor="text1"/>
          <w:sz w:val="16"/>
          <w:szCs w:val="16"/>
        </w:rPr>
        <w:t>25 июня</w:t>
      </w:r>
      <w:r w:rsidRPr="00E14102">
        <w:rPr>
          <w:color w:val="000000" w:themeColor="text1"/>
          <w:sz w:val="16"/>
          <w:szCs w:val="16"/>
        </w:rPr>
        <w:t xml:space="preserve"> в 1935 году мировой рекорд высотного парашютного прыжка - 8126 м, М.Аминтаев (14933).</w:t>
      </w:r>
    </w:p>
    <w:p w14:paraId="5F2A5296" w14:textId="77777777" w:rsidR="00A40EC8" w:rsidRPr="00E14102" w:rsidRDefault="00A40EC8" w:rsidP="00E14102">
      <w:pPr>
        <w:jc w:val="both"/>
        <w:rPr>
          <w:color w:val="000000" w:themeColor="text1"/>
          <w:sz w:val="16"/>
          <w:szCs w:val="16"/>
        </w:rPr>
      </w:pPr>
    </w:p>
    <w:p w14:paraId="75AF3FD2" w14:textId="77777777" w:rsidR="00A40EC8" w:rsidRPr="00E14102" w:rsidRDefault="00A40EC8" w:rsidP="00E14102">
      <w:pPr>
        <w:jc w:val="both"/>
        <w:rPr>
          <w:color w:val="000000" w:themeColor="text1"/>
          <w:sz w:val="16"/>
          <w:szCs w:val="16"/>
        </w:rPr>
      </w:pPr>
      <w:r w:rsidRPr="00E14102">
        <w:rPr>
          <w:bCs/>
          <w:color w:val="000000" w:themeColor="text1"/>
          <w:sz w:val="16"/>
          <w:szCs w:val="16"/>
        </w:rPr>
        <w:t>25 июня</w:t>
      </w:r>
      <w:r w:rsidRPr="00E14102">
        <w:rPr>
          <w:color w:val="000000" w:themeColor="text1"/>
          <w:sz w:val="16"/>
          <w:szCs w:val="16"/>
        </w:rPr>
        <w:t xml:space="preserve"> в 1935 году при полете стратостата «СССР-1бис» произошел первый случай практического применения парашютов в стратонавтике. При снижении экипаж через верхний иллюминатор заметил, что нижняя часть оболочки стала разрушаться, командир экипажа К.И.Зилле принял решение сбросить большую часть баланса и на высоте 5000 м покинуть гондолу с парашютами ПЛВО конструкции И.Л.Глушкова и И.Кадышева с ранцем М.Савицкого. Первым стал А.А.Вериго, затем и Ю.Г.Прилуцкий. На грузовых парашютах сбросили приборы. Командир К.И.Зилле вылез через верхний люк и наблюдал. Сумел посадить стратостат в 120 км от Тулы (14933).</w:t>
      </w:r>
    </w:p>
    <w:p w14:paraId="5F305ABE" w14:textId="77777777" w:rsidR="00A40EC8" w:rsidRPr="00E14102" w:rsidRDefault="00A40EC8" w:rsidP="00E14102">
      <w:pPr>
        <w:jc w:val="both"/>
        <w:rPr>
          <w:color w:val="000000" w:themeColor="text1"/>
          <w:sz w:val="16"/>
          <w:szCs w:val="16"/>
        </w:rPr>
      </w:pPr>
    </w:p>
    <w:p w14:paraId="5D1603D0" w14:textId="77777777" w:rsidR="00A40EC8" w:rsidRPr="00E14102" w:rsidRDefault="004B7965" w:rsidP="00E14102">
      <w:pPr>
        <w:shd w:val="clear" w:color="auto" w:fill="FFFFFF"/>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09D25C5" w14:textId="77777777" w:rsidR="00A40EC8" w:rsidRPr="00E14102" w:rsidRDefault="00A40EC8" w:rsidP="00E14102">
      <w:pPr>
        <w:shd w:val="clear" w:color="auto" w:fill="FFFFFF"/>
        <w:autoSpaceDE w:val="0"/>
        <w:autoSpaceDN w:val="0"/>
        <w:adjustRightInd w:val="0"/>
        <w:jc w:val="both"/>
        <w:rPr>
          <w:iCs/>
          <w:color w:val="000000" w:themeColor="text1"/>
          <w:sz w:val="16"/>
          <w:szCs w:val="16"/>
        </w:rPr>
      </w:pPr>
    </w:p>
    <w:p w14:paraId="17BEBCED" w14:textId="77777777" w:rsidR="00A40EC8" w:rsidRPr="00E14102" w:rsidRDefault="00A40EC8" w:rsidP="00E14102">
      <w:pPr>
        <w:pStyle w:val="rtejustify"/>
        <w:spacing w:before="0" w:after="0"/>
        <w:rPr>
          <w:color w:val="000000" w:themeColor="text1"/>
          <w:sz w:val="16"/>
          <w:szCs w:val="16"/>
        </w:rPr>
      </w:pPr>
      <w:r w:rsidRPr="00E14102">
        <w:rPr>
          <w:rStyle w:val="a6"/>
          <w:bCs/>
          <w:i w:val="0"/>
          <w:color w:val="000000" w:themeColor="text1"/>
          <w:sz w:val="16"/>
          <w:szCs w:val="16"/>
        </w:rPr>
        <w:t>25 июня 1935 вышел приказ НКО №</w:t>
      </w:r>
      <w:r w:rsidRPr="00E14102">
        <w:rPr>
          <w:color w:val="000000" w:themeColor="text1"/>
          <w:sz w:val="16"/>
          <w:szCs w:val="16"/>
        </w:rPr>
        <w:t> 0107. Об испытаниях опытных образцов 76</w:t>
      </w:r>
      <w:r w:rsidRPr="00E14102">
        <w:rPr>
          <w:color w:val="000000" w:themeColor="text1"/>
          <w:sz w:val="16"/>
          <w:szCs w:val="16"/>
        </w:rPr>
        <w:noBreakHyphen/>
        <w:t>мм дивизионных пушек (15247).</w:t>
      </w:r>
    </w:p>
    <w:p w14:paraId="0B629915" w14:textId="77777777" w:rsidR="00A40EC8" w:rsidRPr="00E14102" w:rsidRDefault="00A40EC8" w:rsidP="00E14102">
      <w:pPr>
        <w:pStyle w:val="rtejustify"/>
        <w:spacing w:before="0" w:after="0"/>
        <w:rPr>
          <w:color w:val="000000" w:themeColor="text1"/>
          <w:sz w:val="16"/>
          <w:szCs w:val="16"/>
        </w:rPr>
      </w:pPr>
    </w:p>
    <w:p w14:paraId="60976AF5" w14:textId="77777777" w:rsidR="00A40EC8" w:rsidRPr="00E14102" w:rsidRDefault="00A40EC8" w:rsidP="00E14102">
      <w:pPr>
        <w:pStyle w:val="rtejustify"/>
        <w:spacing w:before="0" w:after="0"/>
        <w:rPr>
          <w:color w:val="000000" w:themeColor="text1"/>
          <w:sz w:val="16"/>
          <w:szCs w:val="16"/>
        </w:rPr>
      </w:pPr>
      <w:r w:rsidRPr="00E14102">
        <w:rPr>
          <w:rStyle w:val="a6"/>
          <w:bCs/>
          <w:i w:val="0"/>
          <w:color w:val="000000" w:themeColor="text1"/>
          <w:sz w:val="16"/>
          <w:szCs w:val="16"/>
        </w:rPr>
        <w:t>25 июня 1935 вышел приказ НКО №</w:t>
      </w:r>
      <w:r w:rsidRPr="00E14102">
        <w:rPr>
          <w:color w:val="000000" w:themeColor="text1"/>
          <w:sz w:val="16"/>
          <w:szCs w:val="16"/>
        </w:rPr>
        <w:t> 0108. О назначении комиссий для производства войсковых испытаний на ЧФ и БФ катерного прицела системы Остехбюро (15247).</w:t>
      </w:r>
    </w:p>
    <w:p w14:paraId="2BEF18EA" w14:textId="77777777" w:rsidR="00A40EC8" w:rsidRPr="00E14102" w:rsidRDefault="00A40EC8" w:rsidP="00E14102">
      <w:pPr>
        <w:pStyle w:val="rtejustify"/>
        <w:spacing w:before="0" w:after="0"/>
        <w:rPr>
          <w:color w:val="000000" w:themeColor="text1"/>
          <w:sz w:val="16"/>
          <w:szCs w:val="16"/>
        </w:rPr>
      </w:pPr>
    </w:p>
    <w:p w14:paraId="0E9B8FA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0E3519E" w14:textId="77777777" w:rsidR="00D4105E" w:rsidRPr="00E14102" w:rsidRDefault="00D4105E" w:rsidP="00E14102">
      <w:pPr>
        <w:autoSpaceDE w:val="0"/>
        <w:autoSpaceDN w:val="0"/>
        <w:adjustRightInd w:val="0"/>
        <w:jc w:val="both"/>
        <w:rPr>
          <w:iCs/>
          <w:color w:val="000000" w:themeColor="text1"/>
          <w:sz w:val="16"/>
          <w:szCs w:val="16"/>
        </w:rPr>
      </w:pPr>
    </w:p>
    <w:p w14:paraId="2BBEBA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25 июня 1935 было распущено общество бывших политссыльных и политкаторжан (3908,347).</w:t>
      </w:r>
    </w:p>
    <w:p w14:paraId="4EFBBDEE" w14:textId="77777777" w:rsidR="00D4105E" w:rsidRPr="00E14102" w:rsidRDefault="00D4105E" w:rsidP="00E14102">
      <w:pPr>
        <w:autoSpaceDE w:val="0"/>
        <w:autoSpaceDN w:val="0"/>
        <w:adjustRightInd w:val="0"/>
        <w:jc w:val="both"/>
        <w:rPr>
          <w:color w:val="000000" w:themeColor="text1"/>
          <w:sz w:val="16"/>
          <w:szCs w:val="16"/>
        </w:rPr>
      </w:pPr>
    </w:p>
    <w:p w14:paraId="2AB23DE6" w14:textId="77777777" w:rsidR="00A40EC8" w:rsidRPr="00E14102" w:rsidRDefault="00A40EC8" w:rsidP="00E14102">
      <w:pPr>
        <w:jc w:val="both"/>
        <w:rPr>
          <w:color w:val="000000" w:themeColor="text1"/>
          <w:sz w:val="16"/>
          <w:szCs w:val="16"/>
        </w:rPr>
      </w:pPr>
      <w:r w:rsidRPr="00E14102">
        <w:rPr>
          <w:bCs/>
          <w:color w:val="000000" w:themeColor="text1"/>
          <w:sz w:val="16"/>
          <w:szCs w:val="16"/>
        </w:rPr>
        <w:t>25 июня</w:t>
      </w:r>
      <w:r w:rsidRPr="00E14102">
        <w:rPr>
          <w:color w:val="000000" w:themeColor="text1"/>
          <w:sz w:val="16"/>
          <w:szCs w:val="16"/>
        </w:rPr>
        <w:t xml:space="preserve"> в 1935 году в СССР распущено Общество бывших политкаторжан и ссыльнопереселенцев. Ранее в этом же году было закрыто и Общество старых большевиков. Многие из членов обществ вновь оказались в застенках и лагерях (14933).</w:t>
      </w:r>
    </w:p>
    <w:p w14:paraId="12FD680A" w14:textId="77777777" w:rsidR="00A40EC8" w:rsidRPr="00E14102" w:rsidRDefault="00A40EC8" w:rsidP="00E14102">
      <w:pPr>
        <w:jc w:val="both"/>
        <w:rPr>
          <w:color w:val="000000" w:themeColor="text1"/>
          <w:sz w:val="16"/>
          <w:szCs w:val="16"/>
        </w:rPr>
      </w:pPr>
    </w:p>
    <w:p w14:paraId="1E8D060D" w14:textId="77777777" w:rsidR="00A40EC8"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32DDFF7" w14:textId="77777777" w:rsidR="00A40EC8" w:rsidRPr="00E14102" w:rsidRDefault="00A40EC8" w:rsidP="00E14102">
      <w:pPr>
        <w:autoSpaceDE w:val="0"/>
        <w:autoSpaceDN w:val="0"/>
        <w:adjustRightInd w:val="0"/>
        <w:jc w:val="both"/>
        <w:rPr>
          <w:iCs/>
          <w:color w:val="000000" w:themeColor="text1"/>
          <w:sz w:val="16"/>
          <w:szCs w:val="16"/>
        </w:rPr>
      </w:pPr>
    </w:p>
    <w:p w14:paraId="31F5C5E5" w14:textId="77777777" w:rsidR="00A40EC8" w:rsidRPr="00E14102" w:rsidRDefault="00A40EC8" w:rsidP="00E14102">
      <w:pPr>
        <w:jc w:val="both"/>
        <w:rPr>
          <w:color w:val="000000" w:themeColor="text1"/>
          <w:sz w:val="16"/>
          <w:szCs w:val="16"/>
        </w:rPr>
      </w:pPr>
      <w:r w:rsidRPr="00E14102">
        <w:rPr>
          <w:bCs/>
          <w:color w:val="000000" w:themeColor="text1"/>
          <w:sz w:val="16"/>
          <w:szCs w:val="16"/>
        </w:rPr>
        <w:t>25 июня</w:t>
      </w:r>
      <w:r w:rsidRPr="00E14102">
        <w:rPr>
          <w:color w:val="000000" w:themeColor="text1"/>
          <w:sz w:val="16"/>
          <w:szCs w:val="16"/>
        </w:rPr>
        <w:t xml:space="preserve"> в 1935 году первый полет прототипа </w:t>
      </w:r>
      <w:hyperlink r:id="rId134" w:tgtFrame="_blank" w:history="1">
        <w:r w:rsidRPr="00E14102">
          <w:rPr>
            <w:color w:val="000000" w:themeColor="text1"/>
            <w:sz w:val="16"/>
            <w:szCs w:val="16"/>
          </w:rPr>
          <w:t xml:space="preserve">«XJ2F-1» </w:t>
        </w:r>
      </w:hyperlink>
      <w:r w:rsidRPr="00E14102">
        <w:rPr>
          <w:color w:val="000000" w:themeColor="text1"/>
          <w:sz w:val="16"/>
          <w:szCs w:val="16"/>
        </w:rPr>
        <w:t>с двигателем «R-1820-20» мощностью 1000 л.с., мало отличавшийся внешне от основного «JF Duck». Единственным заметным отличием стало отсутствие стойки, соединявшей элероны верхнего и нижнего крыла (14933).</w:t>
      </w:r>
    </w:p>
    <w:p w14:paraId="3CB5C0C0" w14:textId="77777777" w:rsidR="00A40EC8" w:rsidRPr="00E14102" w:rsidRDefault="00A40EC8" w:rsidP="00E14102">
      <w:pPr>
        <w:jc w:val="both"/>
        <w:rPr>
          <w:color w:val="000000" w:themeColor="text1"/>
          <w:sz w:val="16"/>
          <w:szCs w:val="16"/>
        </w:rPr>
      </w:pPr>
    </w:p>
    <w:p w14:paraId="29E7E12C" w14:textId="77777777" w:rsidR="00AF4487" w:rsidRPr="00E14102" w:rsidRDefault="00AF4487" w:rsidP="00E14102">
      <w:pPr>
        <w:jc w:val="both"/>
        <w:rPr>
          <w:color w:val="0070C0"/>
          <w:sz w:val="16"/>
          <w:szCs w:val="16"/>
        </w:rPr>
      </w:pPr>
      <w:r w:rsidRPr="00E14102">
        <w:rPr>
          <w:color w:val="0070C0"/>
          <w:sz w:val="16"/>
          <w:szCs w:val="16"/>
        </w:rPr>
        <w:t>25 июня 1935 состоялся первый полет Grumman J2F-1, первой версии Grumman J2F Duck  (20800).</w:t>
      </w:r>
    </w:p>
    <w:p w14:paraId="3FB6238B" w14:textId="77777777" w:rsidR="00AF4487" w:rsidRPr="00E14102" w:rsidRDefault="00AF4487" w:rsidP="00E14102">
      <w:pPr>
        <w:jc w:val="both"/>
        <w:rPr>
          <w:color w:val="0070C0"/>
          <w:sz w:val="16"/>
          <w:szCs w:val="16"/>
        </w:rPr>
      </w:pPr>
    </w:p>
    <w:p w14:paraId="497E5BC8" w14:textId="77777777" w:rsidR="00AF4487" w:rsidRPr="00E14102" w:rsidRDefault="00AF4487" w:rsidP="00E14102">
      <w:pPr>
        <w:jc w:val="both"/>
        <w:rPr>
          <w:color w:val="0070C0"/>
          <w:sz w:val="16"/>
          <w:szCs w:val="16"/>
        </w:rPr>
      </w:pPr>
      <w:r w:rsidRPr="00E14102">
        <w:rPr>
          <w:color w:val="0070C0"/>
          <w:sz w:val="16"/>
          <w:szCs w:val="16"/>
        </w:rPr>
        <w:t>25 июня 1935 лейтенант береговой охраны США Ричард Л. Берк устанавливает мировой рекорд скорости гидросамолета, перевозящего груз массой 500 кг (1102 фунта) на дистанции 100 км (62,1 мили) со средней скоростью 280,105 км в час (174,049 миль / ч) на Grumman JF-2 Duck  (29800).</w:t>
      </w:r>
    </w:p>
    <w:p w14:paraId="0F93E65E" w14:textId="77777777" w:rsidR="00AF4487" w:rsidRPr="00E14102" w:rsidRDefault="00AF4487" w:rsidP="00E14102">
      <w:pPr>
        <w:jc w:val="both"/>
        <w:rPr>
          <w:color w:val="0070C0"/>
          <w:sz w:val="16"/>
          <w:szCs w:val="16"/>
        </w:rPr>
      </w:pPr>
    </w:p>
    <w:p w14:paraId="23B0686F" w14:textId="77777777" w:rsidR="00E55099" w:rsidRPr="00E14102" w:rsidRDefault="00E55099" w:rsidP="00E14102">
      <w:pPr>
        <w:shd w:val="clear" w:color="auto" w:fill="FFFFFF"/>
        <w:jc w:val="both"/>
        <w:rPr>
          <w:color w:val="000000" w:themeColor="text1"/>
          <w:sz w:val="16"/>
          <w:szCs w:val="16"/>
        </w:rPr>
      </w:pPr>
      <w:r w:rsidRPr="00E14102">
        <w:rPr>
          <w:color w:val="000000" w:themeColor="text1"/>
          <w:sz w:val="16"/>
          <w:szCs w:val="16"/>
        </w:rPr>
        <w:t>25 июня 1935 года стальной шлем нового образца был принят на вооружение сухопутной армии и флота Германии, получив наименование «стальной шлем модели 1935 года», сокращённо М1935 или просто М35. Базовая конструкция М35 была подобна шлему образца 1916 года М16, но новая модель имела более короткие поля и козырёк, иные вентиляционные втулки и меньший вес (17495).</w:t>
      </w:r>
    </w:p>
    <w:p w14:paraId="41A32644" w14:textId="77777777" w:rsidR="00E55099" w:rsidRPr="00E14102" w:rsidRDefault="00E55099" w:rsidP="00E14102">
      <w:pPr>
        <w:jc w:val="both"/>
        <w:rPr>
          <w:color w:val="000000" w:themeColor="text1"/>
          <w:sz w:val="16"/>
          <w:szCs w:val="16"/>
        </w:rPr>
      </w:pPr>
    </w:p>
    <w:p w14:paraId="2AFFE48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5EF097A" w14:textId="77777777" w:rsidR="00D4105E" w:rsidRPr="00E14102" w:rsidRDefault="00D4105E" w:rsidP="00E14102">
      <w:pPr>
        <w:autoSpaceDE w:val="0"/>
        <w:autoSpaceDN w:val="0"/>
        <w:adjustRightInd w:val="0"/>
        <w:jc w:val="both"/>
        <w:rPr>
          <w:iCs/>
          <w:color w:val="000000" w:themeColor="text1"/>
          <w:sz w:val="16"/>
          <w:szCs w:val="16"/>
        </w:rPr>
      </w:pPr>
    </w:p>
    <w:p w14:paraId="2E4B5F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26 июня по 20 июля 1935 в НИИ ВВС проходили испытания И-5 на штопор (222,14). Летал Степанченок (2921,111).</w:t>
      </w:r>
    </w:p>
    <w:p w14:paraId="1C9C2EC3" w14:textId="77777777" w:rsidR="00D4105E" w:rsidRPr="00E14102" w:rsidRDefault="00D4105E" w:rsidP="00E14102">
      <w:pPr>
        <w:autoSpaceDE w:val="0"/>
        <w:autoSpaceDN w:val="0"/>
        <w:adjustRightInd w:val="0"/>
        <w:jc w:val="both"/>
        <w:rPr>
          <w:color w:val="000000" w:themeColor="text1"/>
          <w:sz w:val="16"/>
          <w:szCs w:val="16"/>
        </w:rPr>
      </w:pPr>
    </w:p>
    <w:p w14:paraId="2EBAA0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июня 1935 г. лодка Савойя С.55 Л-840 с экипажем А.П.Святогорова вылетела из Александровска в Хабаровск с девятью пассажирами (в том числе один ребенок) и 157 кг почты. Над проливом машина попала в плотную облачность и прижалась к воде. Последнюю радиограмму с борта “Савойи” приняли около 12 часов дня - экипаж запрашивал сводку погоды. Примерно в это же время самолет видели с катера “Москалызо” у мыса Чихачева. Далее лодка исчезла. Начались поиски. Привлекли моряков и авиацию. Пролив прочесывали и две оставшиеся “Савойи”. Но ничего не нашли. Впоследствии отыскали красноармейца из топографической партии, показавшего, что видел, как большая летающая лодка приблизилась к берегу материка, но не рискнула лететь через сопки в тумане и повернула обратно. Случай расследовала специальная комиссия, которая перебрала немало версий, но ничем не смогла их подтвердить. Наиболее экзотической из них являлось предположение, что С-55 сбила японская подводная лодка, забравшаяся в наши территориальные воды для разведки (последнюю действительно видел пограничный дозор) (5486,6).</w:t>
      </w:r>
    </w:p>
    <w:p w14:paraId="48A152B8" w14:textId="77777777" w:rsidR="00D4105E" w:rsidRPr="00E14102" w:rsidRDefault="00D4105E" w:rsidP="00E14102">
      <w:pPr>
        <w:autoSpaceDE w:val="0"/>
        <w:autoSpaceDN w:val="0"/>
        <w:adjustRightInd w:val="0"/>
        <w:jc w:val="both"/>
        <w:rPr>
          <w:color w:val="000000" w:themeColor="text1"/>
          <w:sz w:val="16"/>
          <w:szCs w:val="16"/>
        </w:rPr>
      </w:pPr>
    </w:p>
    <w:p w14:paraId="6FEF36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период с 26 июня по 2 июля 1935 г. экипаж ДВ СССР-Н10 выполнил 11 полетов в Норильск, Хатангу, Черную. В 1935 г. экипаж СССР-Н10 состоял из командира В.М.Махоткина, второго пилота Г.Д.Бубнова, 1-го бортмеханика В.Л.Ивашины, 2-го бортмеханика Г.Афендульева и работников Аэрографии - Вердеревского и Жадрин- ского. Позднее в состав экипажа вошли штурман В.И.Аккуратов и радист М.Ф.Зибрев. 19 июля прибыли на Диксон и приступили к разведке ледовой обстановки в интересах Ленско-Карской экспедиции. В разгар работы, 2 августа поступила телеграмма следующего содержания:</w:t>
      </w:r>
    </w:p>
    <w:p w14:paraId="470BE9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"Диксон. Командиру Н26 Алексееву, НЮ Молокову.</w:t>
      </w:r>
    </w:p>
    <w:p w14:paraId="2F09DB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Леваневский вскоре вылетает. Предлагаю впредь до распоряжения прекратить все полеты. Привести самолеты в полную боевую готовность к немедленному вылету по маршруту Диксон - бухта Тихая. В случае вынужденной посадки Леваневского руководство спасательными операциями кораблей и самолетов возлагается на Алексеева.</w:t>
      </w:r>
    </w:p>
    <w:p w14:paraId="283664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Шмидт, Шевелев".</w:t>
      </w:r>
    </w:p>
    <w:p w14:paraId="49BEAD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Телеграммы подобного содержания отправили командирам ледоколов "Ермак" и "Красин", в готовности предстояло быть и авиазвену, расположенному на Чукотке. В телеграмме командиром СССР-НЮ ошибочно указали Молокова, но не это было главное. В навигацию 1935 г. командиром отряда назначили В.М.Махоткина, между ним и Алексеевым отношения, мягко говоря, не складывались, оба пилота очень критично оценивали друг друга, особенно по части летного мастерства. А тут телеграмма. И не поймешь, кто командир, а кто подчиненный.</w:t>
      </w:r>
    </w:p>
    <w:p w14:paraId="331F93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результате, уже на следующий день Махоткин на Н10 вылетел в западном направлении. 0 том, что перелет Леваневского отложен, стало известно лишь через несколько дней. Путь был неблизкий, добрались с приключениями - сдал один мотор. В Мурманск прибыли 12 августа, когда о несостоявшемся перелете Леваневского в США уже перестали писать газеты. Из Москвы заказали новый М-17, который прибыл по железной дороге 27 августа. Для его установки использовали плавучий кран грузоподъемностью 40 тонн с неподвижной стрелой. В своем отчете Махоткин писал об этой операции: "Эта махина хорошо бы поднимала паровозы, а мотор ставить было неловко. (...) Пришлось подгонять самолет к висячему мотору".</w:t>
      </w:r>
    </w:p>
    <w:p w14:paraId="5D5F0F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Через три дня после установки этого мотора вылетели на Диксон. Там продолжили выполнение заданий по ледовой разведке.</w:t>
      </w:r>
    </w:p>
    <w:p w14:paraId="22D050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сентября экипаж выполнил транспортный рейс в Норильск. На обратном пути с пассажиром на борту, на высоте 150-200 метров вдруг началась тряска, сначала весьма незначительная. Махоткин, манипулируя РУДами, определил, что неисправен задний мотор, который, впрочем, вскоре после этого остановился сам. Самолет как раз проходил над озером, и летчик пошел на посадку. Осмотр мотора показал, что сломан вал и пробит картер.</w:t>
      </w:r>
    </w:p>
    <w:p w14:paraId="2CBD04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 командира самолета начал мучить вопрос - зачем сел? Вспомнилось, что похожий случай был у М.И.Козлова над тайгой, и он на одном моторе дотянул до Енисея. Дотянуть можно было и в этом случае. До Дудинки было примерно 70 км, до Норильска - 40 км.</w:t>
      </w:r>
    </w:p>
    <w:p w14:paraId="6A7157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Правда, сейчас ситуация была несколько иной: мотор встал, внизу озеро, кругом тундра, высота 100 метров - инстинкт заставил сесть.</w:t>
      </w:r>
    </w:p>
    <w:p w14:paraId="192A23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тем, дело было сделано, а нового мотора в эту навигацию ждать уже не приходилось. Оставаться на зимовку не хотелось, поэтому решили попробовать взлететь на одном двигателе. Из машины выгрузили все инструменты и багаж, слили лишнее горючее и масло.</w:t>
      </w:r>
    </w:p>
    <w:p w14:paraId="00A4A5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Сначала Махоткин попытался взлететь один. Самолет начал разбег, но мотор не давал оборотов - падало давление бензина. Летчик, подрулив к берегу, взял на борт бортмеханика Ивашину, который быстро восстановил давление. Снова разбег - лодка вышла на редан, но озеро для взлета оказалось мало, почти круглое, диаметром не более километра. Следующая попытка - то же самое.</w:t>
      </w:r>
    </w:p>
    <w:p w14:paraId="475B24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Тогда Махоткин начал разбег в противоположную сторону, вывел машину на редан, после чего развернулся против ветра и, уже имея значительную скорость, стал разбегаться для взлета. Скорость растет, пилот "подрывает" машину, она снова плюхается, подпрыгивает, и, у самого берега уходит в воздух. Впереди холмы, вверх самолет не идет, поэтому Махоткин "блинчиком" развернулся на 180° и взял курс на Дудинку. На озере остались пассажир и механик Афендульев со всем самолетным имуществом и без грамма продовольствия. Впрочем, в этот же день летчик Липп вывез их с места вынужденной посадки.</w:t>
      </w:r>
    </w:p>
    <w:p w14:paraId="0E8C91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сентября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41B177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504608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этого экипаж сделал еще два рейса: до Дудинки и в Игарку.</w:t>
      </w:r>
    </w:p>
    <w:p w14:paraId="29B231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34119F5D" w14:textId="77777777" w:rsidR="00D4105E" w:rsidRPr="00E14102" w:rsidRDefault="00D4105E" w:rsidP="00E14102">
      <w:pPr>
        <w:autoSpaceDE w:val="0"/>
        <w:autoSpaceDN w:val="0"/>
        <w:adjustRightInd w:val="0"/>
        <w:jc w:val="both"/>
        <w:rPr>
          <w:color w:val="000000" w:themeColor="text1"/>
          <w:sz w:val="16"/>
          <w:szCs w:val="16"/>
        </w:rPr>
      </w:pPr>
    </w:p>
    <w:p w14:paraId="231B771F"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26 июня 1935 года стратостат «СССР-1 бис» поднялся на рассвете в 05:25 из Кунцева. Позывной стратостата «Луна», позывной наземной радиостанции — «Венера». Начальник старта — комбриг Г.А.Прокофьев, под руководством которого проходил летную подготовку К.Я.Зилле. Научная программа полета включала исследование космических лучей, в том числе изучение изменения их интенсивности с высотой и выяснение характера изменения коэффициента поглощения. Подъем проходил несколько быстрее обычного, и уже через полтора часа после старта стратостат достиг потолка — 16000 м. Экипаж провел все необходимые замеры, сделал снимки следов космических лучей с помощью камеры Вильсона.</w:t>
      </w:r>
    </w:p>
    <w:p w14:paraId="6FB5ACE9"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lastRenderedPageBreak/>
        <w:t>Казалось, ничто не предвещало беды, но внезапно начался самопроизвольный спуск. После отметки 15000 м скорость спуска резко возросла. Стало ясно, что из оболочки идет утечка водорода. Гондолу трясло и мотало из стороны в сторону. После аварийного сброса балласта скорость снижения несколько уменьшилась, но все же оставалась угрожающе большой. Так как в случае применения забортного парашюта не была исключена вероятность потери гондолы с ценной аппаратурой и результатами исследований, то К.Я.Зилле отдал приказ другим участникам полета прыгать с парашютом.</w:t>
      </w:r>
    </w:p>
    <w:p w14:paraId="27B75FE1"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Первым на высоте 3500 м покинул гондолу профессор Вериго, за ним на высоте 2500 м последовал Ю.Г.Прилуцкий. Он прыгнул с затяжкой, проявив мужество и хладнокровие. К.Я.Зилле остался в гондоле один. Отдав балласт, он уменьшил скорость снижения. В оболочке еще оставался газ, и скорость снижения не превышала трех метров в секунду, но Зилле решил все-таки принять все меры предосторожности. Когда высота достигла 2000 м, он вылез из гондолы и встал на ступеньках внешней металлической лестницы. Гондола мягко коснулась земли, а оболочка легла по ветру. Научная аппаратура оказалась в полной исправности. Спуск стратостата произошел у деревни Труфаново, под Тулой.</w:t>
      </w:r>
    </w:p>
    <w:p w14:paraId="40E610AE"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«СССР-1 бис» свое название получил потому, что на нем использовались оболочка и гондола стратостата</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СССР-1. Вместе с тем он был оборудован гондольным (забортным) парашютом диаметром 34 м и площадью до 1000 м2, разработанным военным инженером М.А.Савицким и инженером И.Л.Глушковым. Такой парашют включался в комплект стратостата впервые в мировой практике. С его помощью гондола могла в аварийной ситуации спуститься, отделившись от оболочки стратостата.</w:t>
      </w:r>
    </w:p>
    <w:p w14:paraId="551ACA29"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Полет не преследовал достижения рекордных высот, а предназначался для продолжения программы исследований космических лучей, начатой полетами «СССР-1» и "ОСОАВИАХИМ-1".</w:t>
      </w:r>
    </w:p>
    <w:p w14:paraId="7FCA76C2"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 Гондола стратостата представляла собой современную летающую обсерваторию, разделенную на восемь отсеков:</w:t>
      </w:r>
    </w:p>
    <w:p w14:paraId="153AF7F3"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в первом находилась коротковолновая радиостанция;</w:t>
      </w:r>
    </w:p>
    <w:p w14:paraId="1246E857"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во втором — оптическая аппаратура — спектрограф для изучения спектра неба, приборы для измерения яркости неба под различными углами к горизонту;</w:t>
      </w:r>
    </w:p>
    <w:p w14:paraId="454C1AE3"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в третьем и четвертом — баллон с кислородом, патрон для поглощения углекислоты, инструменты для отбора проб воздуха и фотоаппаратура;</w:t>
      </w:r>
    </w:p>
    <w:p w14:paraId="13B042AC"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в пятом — два электрометра Гесса, один из них — под 60-миллиметровым свинцовым кожухом, две камеры Вильсона и барограф;</w:t>
      </w:r>
    </w:p>
    <w:p w14:paraId="6BFA698B"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в шестом и седьмом — термометр для регистрации наружной температуры с точностью до трех десятых долей градуса, ртутный сифонный барометр и два альтиметра;</w:t>
      </w:r>
    </w:p>
    <w:p w14:paraId="00AFE805"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восьмой отсек был свободен — здесь находился входной люк.</w:t>
      </w:r>
    </w:p>
    <w:p w14:paraId="7764B84B"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Вне гондолы были подвешены пятнадцать сосудов для отбора проб воздуха, вариометр — показатель вертикальной скорости полета, спиртовой термометр, две антенны для приемника и передатчика радиостанции, метеорограф конструкции Молчанова и другие приборы.</w:t>
      </w:r>
    </w:p>
    <w:p w14:paraId="6DFF0317"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состав экипажа стратостата входили:</w:t>
      </w:r>
    </w:p>
    <w:p w14:paraId="6B2679AC"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командир, военный пилот-воздухоплаватель, начальник штаба 4-го воздушного дивизиона К.Я.Зилле;</w:t>
      </w:r>
    </w:p>
    <w:p w14:paraId="3E16A01D"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второй пилот, военный инженер Ю.Г.Прилуцкий (изначально был младший воздухоплаватель 4-го воздушного дивизиона Сорока);</w:t>
      </w:r>
    </w:p>
    <w:p w14:paraId="05095048"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научный сотрудник, исследователь космических лучей, профессор Государственной геофизической обсерватории А.Б.Вериго.</w:t>
      </w:r>
    </w:p>
    <w:p w14:paraId="5159822B"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До подъема на стратостате К.Я.Зилле и Ю.Г.Прилуцкий в июне 1935 года совершили два высотных полета на аэростате с открытой гондолой. 16 июня они поднялись на высоту 8500 м, а 19 июня — на высоту 10500 м (19614).</w:t>
      </w:r>
    </w:p>
    <w:p w14:paraId="71E3854F" w14:textId="77777777" w:rsidR="00D46357" w:rsidRPr="00E14102" w:rsidRDefault="00D46357" w:rsidP="00E14102">
      <w:pPr>
        <w:jc w:val="both"/>
        <w:rPr>
          <w:color w:val="000000" w:themeColor="text1"/>
          <w:sz w:val="16"/>
          <w:szCs w:val="16"/>
        </w:rPr>
      </w:pPr>
    </w:p>
    <w:p w14:paraId="407E11CC"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26 июня 1935 года профессор А.В. Верига, инженер Ю.Г. Прилуцкий и командир экипажа К.И. Зилле поднялись на высоту 16 км. В официальном сообщении подчеркивалось, что «полет «СССР-бис», проводившийся для изучения космических лучей, окончился благополучно». Но…</w:t>
      </w:r>
    </w:p>
    <w:p w14:paraId="3F7DA0BE"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Как следует из доклада начальнику ВВС РККА Я.И. Алкснису: «После вполне нормально протекавшего подъема стратостата на высоту 16 000 метров начался форсированный спуск, вызванный частичным разрушением оболочки в нижней ее части. На высоте 4000 метров &lt;. . .&gt; Зилле приказал покинуть кабину Вериго и Прилуцкому на парашютах. Был сброшен балласт.</w:t>
      </w:r>
    </w:p>
    <w:p w14:paraId="518C6680"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Зилле, с целью сохранения достижений полета, продолжал спуск на оболочке, находясь на лестнице снаружи кабины, и безукоризненно приземлился. Приборы целы».</w:t>
      </w:r>
    </w:p>
    <w:p w14:paraId="12450F4D"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Комиссия во главе с членом РВС СССР Р.П. Эйдеманом со своей стороны констатировала: «Одной из причин пожара могли быть не изученные до настоящего времени явления атмосферного электричества и электризации ткани».</w:t>
      </w:r>
    </w:p>
    <w:p w14:paraId="7E68A56E"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Из проекта приказа наркома обороны К.Е. Ворошилова: «Правительство и партия отметили большое научное значение этого полета, спокойствие и отвагу, проявленные в трудных условиях».</w:t>
      </w:r>
    </w:p>
    <w:p w14:paraId="0F9F7077" w14:textId="77777777" w:rsidR="00D46357" w:rsidRPr="00E14102" w:rsidRDefault="00D46357"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Экипаж удостоили орденов Ленина, представили к наградам и наземный персонал, однако на стол Алксниса легла записка начальника 7 отдела УВС Хрусталева: «Считаю, что дополнительно награждать кого-либо из наземных работников за неудачный полет в стратосферу не следует. Катастрофа не произошла, но только благодаря находчивости самого экипажа, за что они и награждены» (19613).</w:t>
      </w:r>
    </w:p>
    <w:p w14:paraId="72AA3050" w14:textId="77777777" w:rsidR="00D46357" w:rsidRPr="00E14102" w:rsidRDefault="00D46357" w:rsidP="00E14102">
      <w:pPr>
        <w:jc w:val="both"/>
        <w:rPr>
          <w:color w:val="000000" w:themeColor="text1"/>
          <w:sz w:val="16"/>
          <w:szCs w:val="16"/>
        </w:rPr>
      </w:pPr>
    </w:p>
    <w:p w14:paraId="060C57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июня 1935 РНИИ провел испытания ракеты ГИРД-07 М.К.Тихонравова (1136,27).</w:t>
      </w:r>
    </w:p>
    <w:p w14:paraId="22956063" w14:textId="77777777" w:rsidR="00D4105E" w:rsidRPr="00E14102" w:rsidRDefault="00D4105E" w:rsidP="00E14102">
      <w:pPr>
        <w:autoSpaceDE w:val="0"/>
        <w:autoSpaceDN w:val="0"/>
        <w:adjustRightInd w:val="0"/>
        <w:jc w:val="both"/>
        <w:rPr>
          <w:color w:val="000000" w:themeColor="text1"/>
          <w:sz w:val="16"/>
          <w:szCs w:val="16"/>
        </w:rPr>
      </w:pPr>
    </w:p>
    <w:p w14:paraId="579F68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июня 1935 на сферическом аэростате СССР-1бис пилот Д.Г.Григорьев и профессор А.Б.Вериго поднялись на 16 км для исследования космических лучей (237,174).</w:t>
      </w:r>
    </w:p>
    <w:p w14:paraId="196C07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воздухоплаватели К.И.Зилло и Ю.Г.Прилуцкий и проф. А.Б.Вериго. Спуск был в аварийных условиях и Вериго и Прилуцкий спаслись на парашютах, а облегченный стратостат приземлился сам. Летали 2:37 (438,690).</w:t>
      </w:r>
    </w:p>
    <w:p w14:paraId="6078BB74" w14:textId="77777777" w:rsidR="00D4105E" w:rsidRPr="00E14102" w:rsidRDefault="00D4105E" w:rsidP="00E14102">
      <w:pPr>
        <w:autoSpaceDE w:val="0"/>
        <w:autoSpaceDN w:val="0"/>
        <w:adjustRightInd w:val="0"/>
        <w:jc w:val="both"/>
        <w:rPr>
          <w:color w:val="000000" w:themeColor="text1"/>
          <w:sz w:val="16"/>
          <w:szCs w:val="16"/>
        </w:rPr>
      </w:pPr>
    </w:p>
    <w:p w14:paraId="12BC3F5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26 июня 1935 г. было письмо начальнику ОБИ НКО СССР от помошника начальника НТО-1 ОБАА АУ РККА М.М.Зандера по поводу предложений инженеров М.Н.Тверского и Ворошнина на 500- и 1000-кг бронебойные и бетонобойные авиабомбы. Зандср, не</w:t>
      </w:r>
      <w:r w:rsidRPr="00E14102">
        <w:rPr>
          <w:color w:val="000000" w:themeColor="text1"/>
          <w:sz w:val="16"/>
          <w:szCs w:val="16"/>
        </w:rPr>
        <w:softHyphen/>
        <w:t>смотря на то, что был военным интендантом, хорошо разбирался и бое</w:t>
      </w:r>
      <w:r w:rsidRPr="00E14102">
        <w:rPr>
          <w:color w:val="000000" w:themeColor="text1"/>
          <w:sz w:val="16"/>
          <w:szCs w:val="16"/>
        </w:rPr>
        <w:softHyphen/>
        <w:t>припасах, баллистике, обладал широким кругозором и часто выдавал экспертные заключения на изобретения, поступающие в Наркомат обо</w:t>
      </w:r>
      <w:r w:rsidRPr="00E14102">
        <w:rPr>
          <w:color w:val="000000" w:themeColor="text1"/>
          <w:sz w:val="16"/>
          <w:szCs w:val="16"/>
        </w:rPr>
        <w:softHyphen/>
        <w:t>роны. Вот один из образцов его «специфического жанра».</w:t>
      </w:r>
    </w:p>
    <w:p w14:paraId="5AD78D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«Рассмотрев проект, НТО-1 ОБАА АУ РККА по этому поводу может сообщить следующее. Идея сообщения авиабомбам дополнительной скорости — не нова. К ней имеется германский патент от 1912 г., опубли</w:t>
      </w:r>
      <w:r w:rsidRPr="00E14102">
        <w:rPr>
          <w:color w:val="000000" w:themeColor="text1"/>
          <w:sz w:val="16"/>
          <w:szCs w:val="16"/>
        </w:rPr>
        <w:softHyphen/>
        <w:t>кованный в трудах профессора Рынина «Междупланетные сообщения». Кроме того, этот вопрос неоднократно обсуждался в 1934 г. в РНИИ. Именно перед этим институтом поставлена задача определения метко</w:t>
      </w:r>
      <w:r w:rsidRPr="00E14102">
        <w:rPr>
          <w:color w:val="000000" w:themeColor="text1"/>
          <w:sz w:val="16"/>
          <w:szCs w:val="16"/>
        </w:rPr>
        <w:softHyphen/>
        <w:t>сти авиабомб с дополнительной скоростью.</w:t>
      </w:r>
    </w:p>
    <w:p w14:paraId="1A631D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Идея применения дистанционной трубки для запуска двигателя авиабомбы не принадлежит инженеру Тверскому, ибо это применяется уже для взрыва авиабомб на траектории в зависимости от времени уста</w:t>
      </w:r>
      <w:r w:rsidRPr="00E14102">
        <w:rPr>
          <w:color w:val="000000" w:themeColor="text1"/>
          <w:sz w:val="16"/>
          <w:szCs w:val="16"/>
        </w:rPr>
        <w:softHyphen/>
        <w:t>новки трубки. Кроме того, в 1934 г. АУ РККА дало указание РНИИ при обсуждении вопроса по опыту определения рассеивания бомб с допол</w:t>
      </w:r>
      <w:r w:rsidRPr="00E14102">
        <w:rPr>
          <w:color w:val="000000" w:themeColor="text1"/>
          <w:sz w:val="16"/>
          <w:szCs w:val="16"/>
        </w:rPr>
        <w:softHyphen/>
        <w:t>нительной скоростью, трубки применять. Причем, считаем наиболее це</w:t>
      </w:r>
      <w:r w:rsidRPr="00E14102">
        <w:rPr>
          <w:color w:val="000000" w:themeColor="text1"/>
          <w:sz w:val="16"/>
          <w:szCs w:val="16"/>
        </w:rPr>
        <w:softHyphen/>
        <w:t>лесообразным применять трубку ТМ-4, которая авторам неизвестна».</w:t>
      </w:r>
    </w:p>
    <w:p w14:paraId="676461A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Эту проблему неоднократно обсуждали в НИО завода №67 и СТБ ГВМУ с работниками АУ РККА задолго до начала работ инженера Твер</w:t>
      </w:r>
      <w:r w:rsidRPr="00E14102">
        <w:rPr>
          <w:color w:val="000000" w:themeColor="text1"/>
          <w:sz w:val="16"/>
          <w:szCs w:val="16"/>
        </w:rPr>
        <w:softHyphen/>
        <w:t>ского, что отражено в докладе НИИ ВВС по результатам севастополь</w:t>
      </w:r>
      <w:r w:rsidRPr="00E14102">
        <w:rPr>
          <w:color w:val="000000" w:themeColor="text1"/>
          <w:sz w:val="16"/>
          <w:szCs w:val="16"/>
        </w:rPr>
        <w:softHyphen/>
        <w:t>ских испытаний: «На основании изложенного, НТО-1 ОБАА АУ РККА считает, что патентование идеи сообщения бомбам скорости с помощью реактивного заряда и воспламенения ракетного снаряда с помощью дис</w:t>
      </w:r>
      <w:r w:rsidRPr="00E14102">
        <w:rPr>
          <w:color w:val="000000" w:themeColor="text1"/>
          <w:sz w:val="16"/>
          <w:szCs w:val="16"/>
        </w:rPr>
        <w:softHyphen/>
        <w:t>танционной трубки не является идеей инженеров Тверского и Ворошни</w:t>
      </w:r>
      <w:r w:rsidRPr="00E14102">
        <w:rPr>
          <w:color w:val="000000" w:themeColor="text1"/>
          <w:sz w:val="16"/>
          <w:szCs w:val="16"/>
        </w:rPr>
        <w:softHyphen/>
        <w:t>на, и в авторстве им отказать.</w:t>
      </w:r>
    </w:p>
    <w:p w14:paraId="110336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предложении ничего не сказано о том, с каких высот данные кон</w:t>
      </w:r>
      <w:r w:rsidRPr="00E14102">
        <w:rPr>
          <w:color w:val="000000" w:themeColor="text1"/>
          <w:sz w:val="16"/>
          <w:szCs w:val="16"/>
        </w:rPr>
        <w:softHyphen/>
        <w:t>струкции реально будут пробивать какие преграды, их вес, вес разрывно</w:t>
      </w:r>
      <w:r w:rsidRPr="00E14102">
        <w:rPr>
          <w:color w:val="000000" w:themeColor="text1"/>
          <w:sz w:val="16"/>
          <w:szCs w:val="16"/>
        </w:rPr>
        <w:softHyphen/>
        <w:t>го заряда. Если исходить из скорости 80 м/с, то не соответствует дейст</w:t>
      </w:r>
      <w:r w:rsidRPr="00E14102">
        <w:rPr>
          <w:color w:val="000000" w:themeColor="text1"/>
          <w:sz w:val="16"/>
          <w:szCs w:val="16"/>
        </w:rPr>
        <w:softHyphen/>
        <w:t>вительности приведенная цифра увеличения пробивной способности на 40% против нормальной конструкции авиабомб. Надо указать, что эти 40% необходимо указывать в сантиметрах. Необходимо от авторов в этой части получить следующие дополнительные данные. Пробивание брони, толщину плиты при бомбометании с высот 1000, 2000, 3000, 4000 и 5000 и без ракетного заряда и с условием запуска ракетного заряда. То же самое в отношении железобетона. Данные необходимо рассчитать при скорости самолета в 50, 100 и 150 м/с.</w:t>
      </w:r>
    </w:p>
    <w:p w14:paraId="436129E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мнению НТО-1 АУ РККА, конструктивно нецелесообразно ис</w:t>
      </w:r>
      <w:r w:rsidRPr="00E14102">
        <w:rPr>
          <w:color w:val="000000" w:themeColor="text1"/>
          <w:sz w:val="16"/>
          <w:szCs w:val="16"/>
        </w:rPr>
        <w:softHyphen/>
        <w:t>пользовать корпуса существующих бронебойных авиабомб, и в частности устройство камеры двигателя с установкой в боевом заряде, как это предложено инженером Тверским. Ибо такое расположение им уже при</w:t>
      </w:r>
      <w:r w:rsidRPr="00E14102">
        <w:rPr>
          <w:color w:val="000000" w:themeColor="text1"/>
          <w:sz w:val="16"/>
          <w:szCs w:val="16"/>
        </w:rPr>
        <w:softHyphen/>
        <w:t>менялось на ФАБ-100 и ФАБ-1000, испытания которых не дали положительных результатов. Для окончательного суждения о преимуществе устройства ракетного двигателя, предложенного инженерами Тверским и Ворошниным, перед обычно принятыми конструкциями, необходимо представление авторами отчетов о полигонных отстрелах ФАБ-100, переделанной по проекту инженера Тверского, и ФАБ-1000, с которыми производились опыты, как указано в письме авторов. (сам Тверской считал эту разработку не ракетной авиабомбой, а «воздушной торпедой»).</w:t>
      </w:r>
    </w:p>
    <w:p w14:paraId="019254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Одновременно НТО-1 УБАА АУ РККА ставит Вас в известность, что ракетными снарядами (они же и авиабомбы) для разрушения железобетона работают в РНИИ и в Военно-воздушной академии (спецгруппа тов. Львова еще с 1934 г.) по нашему заданию. НТО-1 не известны результаты больших опытов, проведенных на Кунцевском полигоне в 1932-1934 гг., а также результаты испытаний стрельбой 1000-кг авиабомб. Одновременно с представлением материалов о пробивной способности новых авиабомб просим представить и результаты опытов по отстрелу авиабомб с ракетным зарядом по проекту инженера Тверского. На основании изложенного, НТО считает, что предложение не может претендовать на новизну и может рассматриваться как вариант конструктивного рсшения одной из поставленных задач».</w:t>
      </w:r>
    </w:p>
    <w:p w14:paraId="65CAE4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В отношении упомянутых работ полковника Львова, сведений край</w:t>
      </w:r>
      <w:r w:rsidRPr="00E14102">
        <w:rPr>
          <w:color w:val="000000" w:themeColor="text1"/>
          <w:sz w:val="16"/>
          <w:szCs w:val="16"/>
        </w:rPr>
        <w:softHyphen/>
        <w:t>не мало. В плане работ НТО ОБАА АУ РККА по авиабомбам и ракетным нарядам на 1935 г. под номером 71 значилась тема «Авиабомба для отвесного пикирования с реактивным зарядом». В течение года требова</w:t>
      </w:r>
      <w:r w:rsidRPr="00E14102">
        <w:rPr>
          <w:color w:val="000000" w:themeColor="text1"/>
          <w:sz w:val="16"/>
          <w:szCs w:val="16"/>
        </w:rPr>
        <w:softHyphen/>
        <w:t>лось составить ТТТ. разработать чертежи, изготовить 20 авиабомб и в ноябре испытать. К сожалению, о ходе данных работ в академии сведений не осталось (11402).</w:t>
      </w:r>
    </w:p>
    <w:p w14:paraId="339CBD4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F16A603" w14:textId="77777777" w:rsidR="00A40EC8" w:rsidRPr="00E14102" w:rsidRDefault="00A40EC8" w:rsidP="00E14102">
      <w:pPr>
        <w:jc w:val="both"/>
        <w:rPr>
          <w:color w:val="000000" w:themeColor="text1"/>
          <w:sz w:val="16"/>
          <w:szCs w:val="16"/>
        </w:rPr>
      </w:pPr>
      <w:r w:rsidRPr="00E14102">
        <w:rPr>
          <w:bCs/>
          <w:color w:val="000000" w:themeColor="text1"/>
          <w:sz w:val="16"/>
          <w:szCs w:val="16"/>
        </w:rPr>
        <w:t>26 июня</w:t>
      </w:r>
      <w:r w:rsidRPr="00E14102">
        <w:rPr>
          <w:color w:val="000000" w:themeColor="text1"/>
          <w:sz w:val="16"/>
          <w:szCs w:val="16"/>
        </w:rPr>
        <w:t xml:space="preserve"> в 1935 году cтарт стратостата «СССР-1-бис», который достигнет высоты 16 тысяч метров (14934).</w:t>
      </w:r>
    </w:p>
    <w:p w14:paraId="42EB8AAB" w14:textId="77777777" w:rsidR="00A40EC8" w:rsidRPr="00E14102" w:rsidRDefault="00A40EC8" w:rsidP="00E14102">
      <w:pPr>
        <w:jc w:val="both"/>
        <w:rPr>
          <w:color w:val="000000" w:themeColor="text1"/>
          <w:sz w:val="16"/>
          <w:szCs w:val="16"/>
        </w:rPr>
      </w:pPr>
    </w:p>
    <w:p w14:paraId="2D67C404" w14:textId="77777777" w:rsidR="00AF4487" w:rsidRPr="00E14102" w:rsidRDefault="00AF4487" w:rsidP="00E14102">
      <w:pPr>
        <w:jc w:val="both"/>
        <w:rPr>
          <w:color w:val="0070C0"/>
          <w:sz w:val="16"/>
          <w:szCs w:val="16"/>
        </w:rPr>
      </w:pPr>
      <w:r w:rsidRPr="00E14102">
        <w:rPr>
          <w:color w:val="0070C0"/>
          <w:sz w:val="16"/>
          <w:szCs w:val="16"/>
        </w:rPr>
        <w:t>26 июня 1935 г. в 5.32 стратостат «СССР-1 бис» старто</w:t>
      </w:r>
      <w:r w:rsidRPr="00E14102">
        <w:rPr>
          <w:color w:val="0070C0"/>
          <w:sz w:val="16"/>
          <w:szCs w:val="16"/>
        </w:rPr>
        <w:softHyphen/>
        <w:t>вал из Кунцева. Начальником старта был комбриг Г.А. Прокофьев, руководивший лётной подготовкой Х.Я. Зилле. Планировалось в те</w:t>
      </w:r>
      <w:r w:rsidRPr="00E14102">
        <w:rPr>
          <w:color w:val="0070C0"/>
          <w:sz w:val="16"/>
          <w:szCs w:val="16"/>
        </w:rPr>
        <w:softHyphen/>
        <w:t>чение двух часов подняться до предельной вы</w:t>
      </w:r>
      <w:r w:rsidRPr="00E14102">
        <w:rPr>
          <w:color w:val="0070C0"/>
          <w:sz w:val="16"/>
          <w:szCs w:val="16"/>
        </w:rPr>
        <w:softHyphen/>
        <w:t>соты, несколько часов пробыть на высоте 16</w:t>
      </w:r>
      <w:r w:rsidRPr="00E14102">
        <w:rPr>
          <w:color w:val="0070C0"/>
          <w:sz w:val="16"/>
          <w:szCs w:val="16"/>
        </w:rPr>
        <w:softHyphen/>
        <w:t>17 км и затем спуститься. При подъёме наме</w:t>
      </w:r>
      <w:r w:rsidRPr="00E14102">
        <w:rPr>
          <w:color w:val="0070C0"/>
          <w:sz w:val="16"/>
          <w:szCs w:val="16"/>
        </w:rPr>
        <w:softHyphen/>
        <w:t>чалось производить измерения интенсивности космических лучей при помощи электрометров и вести аэрофотосъёмку, что вследствие распо</w:t>
      </w:r>
      <w:r w:rsidRPr="00E14102">
        <w:rPr>
          <w:color w:val="0070C0"/>
          <w:sz w:val="16"/>
          <w:szCs w:val="16"/>
        </w:rPr>
        <w:softHyphen/>
        <w:t>ложения приборов исключало работу с камерой Вильсона.</w:t>
      </w:r>
    </w:p>
    <w:p w14:paraId="00D78DD2" w14:textId="77777777" w:rsidR="00AF4487" w:rsidRPr="00E14102" w:rsidRDefault="00AF4487" w:rsidP="00E14102">
      <w:pPr>
        <w:jc w:val="both"/>
        <w:rPr>
          <w:color w:val="0070C0"/>
          <w:sz w:val="16"/>
          <w:szCs w:val="16"/>
        </w:rPr>
      </w:pPr>
      <w:r w:rsidRPr="00E14102">
        <w:rPr>
          <w:color w:val="0070C0"/>
          <w:sz w:val="16"/>
          <w:szCs w:val="16"/>
        </w:rPr>
        <w:t>Подъём проходил несколько быстрее обыч</w:t>
      </w:r>
      <w:r w:rsidRPr="00E14102">
        <w:rPr>
          <w:color w:val="0070C0"/>
          <w:sz w:val="16"/>
          <w:szCs w:val="16"/>
        </w:rPr>
        <w:softHyphen/>
        <w:t>ного, и уже в 6.55 стратостат уравновесился на высоте 16 000 м, где оставался 10 минут. В 7.05 внезапно начался самопроизвольный спуск из-за повреждения оболочки и утечки из неё водорода. Первоначально незначительная скорость спуска на высоте 15 км резко возросла. Работу по аэро</w:t>
      </w:r>
      <w:r w:rsidRPr="00E14102">
        <w:rPr>
          <w:color w:val="0070C0"/>
          <w:sz w:val="16"/>
          <w:szCs w:val="16"/>
        </w:rPr>
        <w:softHyphen/>
        <w:t>фотосъёмке прекратили, и в 7.17 на высоте 14 км А.Б. Вериго приступил к работе с камерой Виль</w:t>
      </w:r>
      <w:r w:rsidRPr="00E14102">
        <w:rPr>
          <w:color w:val="0070C0"/>
          <w:sz w:val="16"/>
          <w:szCs w:val="16"/>
        </w:rPr>
        <w:softHyphen/>
        <w:t>сона. Несколько минут ушло на её регулировку и прогрев, после чего при визуальных наблюде</w:t>
      </w:r>
      <w:r w:rsidRPr="00E14102">
        <w:rPr>
          <w:color w:val="0070C0"/>
          <w:sz w:val="16"/>
          <w:szCs w:val="16"/>
        </w:rPr>
        <w:softHyphen/>
        <w:t>ниях в камере Вильсона удалось заметить отдель</w:t>
      </w:r>
      <w:r w:rsidRPr="00E14102">
        <w:rPr>
          <w:color w:val="0070C0"/>
          <w:sz w:val="16"/>
          <w:szCs w:val="16"/>
        </w:rPr>
        <w:softHyphen/>
        <w:t>ные треки, напоминавшие треки электронов. Из-за быстрого спуска и тряски фотографирова</w:t>
      </w:r>
      <w:r w:rsidRPr="00E14102">
        <w:rPr>
          <w:color w:val="0070C0"/>
          <w:sz w:val="16"/>
          <w:szCs w:val="16"/>
        </w:rPr>
        <w:softHyphen/>
        <w:t>ние треков произвести не удалось. В 7.23 работу с камерой Вильсона прекратили, так как нача</w:t>
      </w:r>
      <w:r w:rsidRPr="00E14102">
        <w:rPr>
          <w:color w:val="0070C0"/>
          <w:sz w:val="16"/>
          <w:szCs w:val="16"/>
        </w:rPr>
        <w:softHyphen/>
        <w:t>лась подготовка к разгрузке стратостата от бал</w:t>
      </w:r>
      <w:r w:rsidRPr="00E14102">
        <w:rPr>
          <w:color w:val="0070C0"/>
          <w:sz w:val="16"/>
          <w:szCs w:val="16"/>
        </w:rPr>
        <w:softHyphen/>
        <w:t>ласта, находившегося внутри гондолы (балласт вне гондолы уже сбросили) и аккумуляторов. На высоте 9000 м открыли оба люка гондолы и вы</w:t>
      </w:r>
      <w:r w:rsidRPr="00E14102">
        <w:rPr>
          <w:color w:val="0070C0"/>
          <w:sz w:val="16"/>
          <w:szCs w:val="16"/>
        </w:rPr>
        <w:softHyphen/>
        <w:t>бросили балласт и аккумуляторы. Так как при применении забортного парашюта существовала опасность потери гондолы с ценной аппарату</w:t>
      </w:r>
      <w:r w:rsidRPr="00E14102">
        <w:rPr>
          <w:color w:val="0070C0"/>
          <w:sz w:val="16"/>
          <w:szCs w:val="16"/>
        </w:rPr>
        <w:softHyphen/>
        <w:t>рой и результатами исследований, то Х.Я Зилле отдал приказ другим участникам полёта прыгать с парашютом. Первым на высоте 3500 м покинул гондолу профессор А.Б. Вериго, за ним на высоте 2500 м последовал Ю.Г. Прилуцкий.</w:t>
      </w:r>
    </w:p>
    <w:p w14:paraId="686865E3" w14:textId="77777777" w:rsidR="00AF4487" w:rsidRPr="00E14102" w:rsidRDefault="00AF4487" w:rsidP="00E14102">
      <w:pPr>
        <w:jc w:val="both"/>
        <w:rPr>
          <w:color w:val="0070C0"/>
          <w:sz w:val="16"/>
          <w:szCs w:val="16"/>
        </w:rPr>
      </w:pPr>
      <w:r w:rsidRPr="00E14102">
        <w:rPr>
          <w:color w:val="0070C0"/>
          <w:sz w:val="16"/>
          <w:szCs w:val="16"/>
        </w:rPr>
        <w:t>Х.Я Зилле сбросил остатки балласта и умень</w:t>
      </w:r>
      <w:r w:rsidRPr="00E14102">
        <w:rPr>
          <w:color w:val="0070C0"/>
          <w:sz w:val="16"/>
          <w:szCs w:val="16"/>
        </w:rPr>
        <w:softHyphen/>
        <w:t>шил скорость снижения до 3 м/с. На высоте 2000 м он вышел из гондолы и стал на ступеньки внешней металлической лестницы. В 8.02 гондо</w:t>
      </w:r>
      <w:r w:rsidRPr="00E14102">
        <w:rPr>
          <w:color w:val="0070C0"/>
          <w:sz w:val="16"/>
          <w:szCs w:val="16"/>
        </w:rPr>
        <w:softHyphen/>
        <w:t>ла мягко коснулась земли, а оболочка легла по ветру. Научная аппаратура оказалась в полной исправности. «СССР-1 бис» спустился у д. Тру- фаново под Тулой.</w:t>
      </w:r>
    </w:p>
    <w:p w14:paraId="0819A2F1" w14:textId="77777777" w:rsidR="00AF4487" w:rsidRPr="00E14102" w:rsidRDefault="00AF4487" w:rsidP="00E14102">
      <w:pPr>
        <w:jc w:val="both"/>
        <w:rPr>
          <w:color w:val="0070C0"/>
          <w:sz w:val="16"/>
          <w:szCs w:val="16"/>
        </w:rPr>
      </w:pPr>
      <w:r w:rsidRPr="00E14102">
        <w:rPr>
          <w:color w:val="0070C0"/>
          <w:sz w:val="16"/>
          <w:szCs w:val="16"/>
        </w:rPr>
        <w:t>Результаты измерений подтвердили данные, полученные американскими стратонавтами и О. Пиккаром. А.Б. Вериго пришёл также к вы</w:t>
      </w:r>
      <w:r w:rsidRPr="00E14102">
        <w:rPr>
          <w:color w:val="0070C0"/>
          <w:sz w:val="16"/>
          <w:szCs w:val="16"/>
        </w:rPr>
        <w:softHyphen/>
        <w:t>воду, что спектральный состав (отношение жёст</w:t>
      </w:r>
      <w:r w:rsidRPr="00E14102">
        <w:rPr>
          <w:color w:val="0070C0"/>
          <w:sz w:val="16"/>
          <w:szCs w:val="16"/>
        </w:rPr>
        <w:softHyphen/>
        <w:t>кой и мягкой компонент) космических лучей до высоты 16 км близок к их составу на уров</w:t>
      </w:r>
      <w:r w:rsidRPr="00E14102">
        <w:rPr>
          <w:color w:val="0070C0"/>
          <w:sz w:val="16"/>
          <w:szCs w:val="16"/>
        </w:rPr>
        <w:softHyphen/>
        <w:t>не моря.</w:t>
      </w:r>
    </w:p>
    <w:p w14:paraId="5A8C9E96" w14:textId="77777777" w:rsidR="00AF4487" w:rsidRPr="00E14102" w:rsidRDefault="00AF4487" w:rsidP="00E14102">
      <w:pPr>
        <w:jc w:val="both"/>
        <w:rPr>
          <w:color w:val="0070C0"/>
          <w:sz w:val="16"/>
          <w:szCs w:val="16"/>
        </w:rPr>
      </w:pPr>
      <w:r w:rsidRPr="00E14102">
        <w:rPr>
          <w:color w:val="0070C0"/>
          <w:sz w:val="16"/>
          <w:szCs w:val="16"/>
        </w:rPr>
        <w:t>В ходе полёта «СССР-1 бис» провели генети</w:t>
      </w:r>
      <w:r w:rsidRPr="00E14102">
        <w:rPr>
          <w:color w:val="0070C0"/>
          <w:sz w:val="16"/>
          <w:szCs w:val="16"/>
        </w:rPr>
        <w:softHyphen/>
        <w:t>ческий эксперимент по определению мутагенной активности космических лучей. В гондоле нахо</w:t>
      </w:r>
      <w:r w:rsidRPr="00E14102">
        <w:rPr>
          <w:color w:val="0070C0"/>
          <w:sz w:val="16"/>
          <w:szCs w:val="16"/>
        </w:rPr>
        <w:softHyphen/>
        <w:t>дилось 300 самцов дрозофилы, которые в течение двух часов пребывали под воздействием косми</w:t>
      </w:r>
      <w:r w:rsidRPr="00E14102">
        <w:rPr>
          <w:color w:val="0070C0"/>
          <w:sz w:val="16"/>
          <w:szCs w:val="16"/>
        </w:rPr>
        <w:softHyphen/>
        <w:t>ческой радиации, в среднем в 100 раз превосхо</w:t>
      </w:r>
      <w:r w:rsidRPr="00E14102">
        <w:rPr>
          <w:color w:val="0070C0"/>
          <w:sz w:val="16"/>
          <w:szCs w:val="16"/>
        </w:rPr>
        <w:softHyphen/>
        <w:t>дящей по интенсивности таковую на поверхно</w:t>
      </w:r>
      <w:r w:rsidRPr="00E14102">
        <w:rPr>
          <w:color w:val="0070C0"/>
          <w:sz w:val="16"/>
          <w:szCs w:val="16"/>
        </w:rPr>
        <w:softHyphen/>
        <w:t>сти Земли. После полёта их проанализировали на наличие рецессивных летальных мутаций в по</w:t>
      </w:r>
      <w:r w:rsidRPr="00E14102">
        <w:rPr>
          <w:color w:val="0070C0"/>
          <w:sz w:val="16"/>
          <w:szCs w:val="16"/>
        </w:rPr>
        <w:softHyphen/>
        <w:t>ловой хромосоме. Их частота статистически не отличалась от частоты мутаций в контрольной группе, что позволило сделать вывод о несуще</w:t>
      </w:r>
      <w:r w:rsidRPr="00E14102">
        <w:rPr>
          <w:color w:val="0070C0"/>
          <w:sz w:val="16"/>
          <w:szCs w:val="16"/>
        </w:rPr>
        <w:softHyphen/>
        <w:t>ственной роли космической радиации в эволю</w:t>
      </w:r>
      <w:r w:rsidRPr="00E14102">
        <w:rPr>
          <w:color w:val="0070C0"/>
          <w:sz w:val="16"/>
          <w:szCs w:val="16"/>
        </w:rPr>
        <w:softHyphen/>
        <w:t>ционных процессах на Земле (20120).</w:t>
      </w:r>
    </w:p>
    <w:p w14:paraId="5FACD2AE" w14:textId="77777777" w:rsidR="00AF4487" w:rsidRPr="00E14102" w:rsidRDefault="00AF4487" w:rsidP="00E14102">
      <w:pPr>
        <w:jc w:val="both"/>
        <w:rPr>
          <w:color w:val="0070C0"/>
          <w:sz w:val="16"/>
          <w:szCs w:val="16"/>
        </w:rPr>
      </w:pPr>
    </w:p>
    <w:p w14:paraId="66101928" w14:textId="77777777" w:rsidR="00AF4487" w:rsidRPr="00E14102" w:rsidRDefault="00AF4487" w:rsidP="00E14102">
      <w:pPr>
        <w:jc w:val="both"/>
        <w:rPr>
          <w:color w:val="0070C0"/>
          <w:sz w:val="16"/>
          <w:szCs w:val="16"/>
        </w:rPr>
      </w:pPr>
      <w:r w:rsidRPr="00E14102">
        <w:rPr>
          <w:color w:val="0070C0"/>
          <w:sz w:val="16"/>
          <w:szCs w:val="16"/>
        </w:rPr>
        <w:t>26 июня 1935 г. парашютом восполь</w:t>
      </w:r>
      <w:r w:rsidRPr="00E14102">
        <w:rPr>
          <w:color w:val="0070C0"/>
          <w:sz w:val="16"/>
          <w:szCs w:val="16"/>
        </w:rPr>
        <w:softHyphen/>
        <w:t>зовались профессор А.Б. Вериго и Ю.Г. Прилуцкий при аварии стратостата «СССР-1 бис» (20120).</w:t>
      </w:r>
    </w:p>
    <w:p w14:paraId="12A20C05" w14:textId="77777777" w:rsidR="00AF4487" w:rsidRPr="00E14102" w:rsidRDefault="00AF4487" w:rsidP="00E14102">
      <w:pPr>
        <w:jc w:val="both"/>
        <w:rPr>
          <w:color w:val="0070C0"/>
          <w:sz w:val="16"/>
          <w:szCs w:val="16"/>
        </w:rPr>
      </w:pPr>
    </w:p>
    <w:p w14:paraId="6133AA32" w14:textId="77777777" w:rsidR="00D4105E" w:rsidRPr="00E14102" w:rsidRDefault="004B7965" w:rsidP="00E14102">
      <w:pPr>
        <w:shd w:val="clear" w:color="auto" w:fill="FFFFFF"/>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6152578" w14:textId="77777777" w:rsidR="00D4105E" w:rsidRPr="00E14102" w:rsidRDefault="00D4105E" w:rsidP="00E14102">
      <w:pPr>
        <w:shd w:val="clear" w:color="auto" w:fill="FFFFFF"/>
        <w:autoSpaceDE w:val="0"/>
        <w:autoSpaceDN w:val="0"/>
        <w:adjustRightInd w:val="0"/>
        <w:jc w:val="both"/>
        <w:rPr>
          <w:iCs/>
          <w:color w:val="000000" w:themeColor="text1"/>
          <w:sz w:val="16"/>
          <w:szCs w:val="16"/>
        </w:rPr>
      </w:pPr>
    </w:p>
    <w:p w14:paraId="444B364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26 июня 1935 г. в присутствии началь</w:t>
      </w:r>
      <w:r w:rsidRPr="00E14102">
        <w:rPr>
          <w:color w:val="000000" w:themeColor="text1"/>
          <w:sz w:val="16"/>
          <w:szCs w:val="16"/>
        </w:rPr>
        <w:softHyphen/>
        <w:t>ника 5 отдела АБТУ РККА Андреева и инженера 7 отдела АБТУ РККА Реаусова. Машину БТ-5 уже оборудовали новым воздухоочистителем, защит</w:t>
      </w:r>
      <w:r w:rsidRPr="00E14102">
        <w:rPr>
          <w:color w:val="000000" w:themeColor="text1"/>
          <w:sz w:val="16"/>
          <w:szCs w:val="16"/>
        </w:rPr>
        <w:softHyphen/>
        <w:t>ными угольниками на жалюзи и измененной всасывающей трубой. От</w:t>
      </w:r>
      <w:r w:rsidRPr="00E14102">
        <w:rPr>
          <w:color w:val="000000" w:themeColor="text1"/>
          <w:sz w:val="16"/>
          <w:szCs w:val="16"/>
        </w:rPr>
        <w:softHyphen/>
        <w:t>стреляли шесть РС (четыре фугасных и два агитационных). В первом вы</w:t>
      </w:r>
      <w:r w:rsidRPr="00E14102">
        <w:rPr>
          <w:color w:val="000000" w:themeColor="text1"/>
          <w:sz w:val="16"/>
          <w:szCs w:val="16"/>
        </w:rPr>
        <w:softHyphen/>
        <w:t>стреле струю направили в правый бензобак при неработающем моторе. На баке слегка обгорела краска. Второй выстрел выполнили, направив струю в воздухоочиститель. В третьем выстреле струю направили в левый бензобак. Она, ударив в задние жалюзи, согнула переднюю планку кар</w:t>
      </w:r>
      <w:r w:rsidRPr="00E14102">
        <w:rPr>
          <w:color w:val="000000" w:themeColor="text1"/>
          <w:sz w:val="16"/>
          <w:szCs w:val="16"/>
        </w:rPr>
        <w:softHyphen/>
        <w:t>каса и в нескольких местах оторвала от каркаса сетку. Четвертый выстрел при работающем моторе не изменил его бесперебойной работы. Пятый и шестой выстрелы агитационными снарядами при неработающем мото</w:t>
      </w:r>
      <w:r w:rsidRPr="00E14102">
        <w:rPr>
          <w:color w:val="000000" w:themeColor="text1"/>
          <w:sz w:val="16"/>
          <w:szCs w:val="16"/>
        </w:rPr>
        <w:softHyphen/>
        <w:t>ре с направлением струи в правый бензобак и воздухоочиститель также не были чреваты последствиями.</w:t>
      </w:r>
    </w:p>
    <w:p w14:paraId="146CFD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Таким образом, незначительные конструктивные изменения танка полностью себя оправдали. Танкисты признали, что подобным образом необходимо доработать все машины при условии оборудования их ракет</w:t>
      </w:r>
      <w:r w:rsidRPr="00E14102">
        <w:rPr>
          <w:color w:val="000000" w:themeColor="text1"/>
          <w:sz w:val="16"/>
          <w:szCs w:val="16"/>
        </w:rPr>
        <w:softHyphen/>
        <w:t>ными установками.</w:t>
      </w:r>
    </w:p>
    <w:p w14:paraId="345674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Примерно по той же схеме «агитационного танка» в 1934 г. был постро</w:t>
      </w:r>
      <w:r w:rsidRPr="00E14102">
        <w:rPr>
          <w:color w:val="000000" w:themeColor="text1"/>
          <w:sz w:val="16"/>
          <w:szCs w:val="16"/>
        </w:rPr>
        <w:softHyphen/>
        <w:t>ен и «химический танк» БТ-5 с двумя 245-мм воздушно-реактивными хи</w:t>
      </w:r>
      <w:r w:rsidRPr="00E14102">
        <w:rPr>
          <w:color w:val="000000" w:themeColor="text1"/>
          <w:sz w:val="16"/>
          <w:szCs w:val="16"/>
        </w:rPr>
        <w:softHyphen/>
        <w:t>мическими торпедами, установленными по обеим сторонам башни. В се</w:t>
      </w:r>
      <w:r w:rsidRPr="00E14102">
        <w:rPr>
          <w:color w:val="000000" w:themeColor="text1"/>
          <w:sz w:val="16"/>
          <w:szCs w:val="16"/>
        </w:rPr>
        <w:softHyphen/>
        <w:t>рию она не пошла, хотя в металле опытный образец существовал. И если 132-мм ракетные боеприпасы потребовали усилить конструкцию танка, не трудно представить себе, как терзали корпус легкого БТ-5 старты 245-мм снарядов! В третьей главе уже упоминалось о том, что 245-мм ракетную си</w:t>
      </w:r>
      <w:r w:rsidRPr="00E14102">
        <w:rPr>
          <w:color w:val="000000" w:themeColor="text1"/>
          <w:sz w:val="16"/>
          <w:szCs w:val="16"/>
        </w:rPr>
        <w:softHyphen/>
        <w:t>стему на тяжелом бомбардировщике ТБ-3 пришлось заменить 203-мм из-за разрушений обшивки планера при старте РС. Здесь же мощность струи продуктов горения РЗ была бы достаточной, чтобы оторвать и надгусенич-ные полки, и бензобаки, а возможно, и порвать гусеничные ленты.</w:t>
      </w:r>
    </w:p>
    <w:p w14:paraId="73C5A7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Некоторые авторы утверждают, что штатная танковая пушка на по</w:t>
      </w:r>
      <w:r w:rsidRPr="00E14102">
        <w:rPr>
          <w:color w:val="000000" w:themeColor="text1"/>
          <w:sz w:val="16"/>
          <w:szCs w:val="16"/>
        </w:rPr>
        <w:softHyphen/>
        <w:t>добных машинах использовалась для пристрелки перед пуском ракетно</w:t>
      </w:r>
      <w:r w:rsidRPr="00E14102">
        <w:rPr>
          <w:color w:val="000000" w:themeColor="text1"/>
          <w:sz w:val="16"/>
          <w:szCs w:val="16"/>
        </w:rPr>
        <w:softHyphen/>
        <w:t>го снаряда. Но это не совсем корректно, поскольку баллистика ракетной системы малой дальности и дальнобойной артсистемы разнились на</w:t>
      </w:r>
      <w:r w:rsidRPr="00E14102">
        <w:rPr>
          <w:color w:val="000000" w:themeColor="text1"/>
          <w:sz w:val="16"/>
          <w:szCs w:val="16"/>
        </w:rPr>
        <w:softHyphen/>
        <w:t>столько, что даже с большими поправочными коэффициентами сопоста</w:t>
      </w:r>
      <w:r w:rsidRPr="00E14102">
        <w:rPr>
          <w:color w:val="000000" w:themeColor="text1"/>
          <w:sz w:val="16"/>
          <w:szCs w:val="16"/>
        </w:rPr>
        <w:softHyphen/>
        <w:t>влять их было невозможно. Хотя, теоретически, танковую пушку с ее оп</w:t>
      </w:r>
      <w:r w:rsidRPr="00E14102">
        <w:rPr>
          <w:color w:val="000000" w:themeColor="text1"/>
          <w:sz w:val="16"/>
          <w:szCs w:val="16"/>
        </w:rPr>
        <w:softHyphen/>
        <w:t>тическим прицелом возможно было использовать в качестве дальномера (11402).</w:t>
      </w:r>
    </w:p>
    <w:p w14:paraId="00C9C0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6EF3A0D" w14:textId="77777777" w:rsidR="00A40EC8"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3292D798" w14:textId="77777777" w:rsidR="00A40EC8" w:rsidRPr="00E14102" w:rsidRDefault="00A40EC8" w:rsidP="00E14102">
      <w:pPr>
        <w:autoSpaceDE w:val="0"/>
        <w:autoSpaceDN w:val="0"/>
        <w:adjustRightInd w:val="0"/>
        <w:jc w:val="both"/>
        <w:rPr>
          <w:iCs/>
          <w:color w:val="000000" w:themeColor="text1"/>
          <w:sz w:val="16"/>
          <w:szCs w:val="16"/>
        </w:rPr>
      </w:pPr>
    </w:p>
    <w:p w14:paraId="4665C37A" w14:textId="77777777" w:rsidR="00A40EC8" w:rsidRPr="00E14102" w:rsidRDefault="00A40EC8" w:rsidP="00E14102">
      <w:pPr>
        <w:jc w:val="both"/>
        <w:rPr>
          <w:color w:val="000000" w:themeColor="text1"/>
          <w:sz w:val="16"/>
          <w:szCs w:val="16"/>
        </w:rPr>
      </w:pPr>
      <w:r w:rsidRPr="00E14102">
        <w:rPr>
          <w:color w:val="000000" w:themeColor="text1"/>
          <w:sz w:val="16"/>
          <w:szCs w:val="16"/>
        </w:rPr>
        <w:t>26 июня — 5 июля 1935 г. проверка Ф.А. Ингаунисом бо</w:t>
      </w:r>
      <w:r w:rsidRPr="00E14102">
        <w:rPr>
          <w:color w:val="000000" w:themeColor="text1"/>
          <w:sz w:val="16"/>
          <w:szCs w:val="16"/>
        </w:rPr>
        <w:softHyphen/>
        <w:t>евой подготовки Киевской абр выявила, что «вполне удовлетворительно» стреляет толь</w:t>
      </w:r>
      <w:r w:rsidRPr="00E14102">
        <w:rPr>
          <w:color w:val="000000" w:themeColor="text1"/>
          <w:sz w:val="16"/>
          <w:szCs w:val="16"/>
        </w:rPr>
        <w:softHyphen/>
        <w:t>ко 14-я шаэ по наземным целям, а «воздушно-стрелковая подготовка авиабригады в целом неудовлетворительна». Из 94 проверенных летчиков и летнабов 52 отстрелялись на «неуд», 12 — на «тройку» и только 30 — на «хорошо» и «отлично». При этом в числе худ</w:t>
      </w:r>
      <w:r w:rsidRPr="00E14102">
        <w:rPr>
          <w:color w:val="000000" w:themeColor="text1"/>
          <w:sz w:val="16"/>
          <w:szCs w:val="16"/>
        </w:rPr>
        <w:softHyphen/>
        <w:t>ших оказались четыре из семи истребительных отрядов бригады — 5-я иаэ и 74-й от</w:t>
      </w:r>
      <w:r w:rsidRPr="00E14102">
        <w:rPr>
          <w:color w:val="000000" w:themeColor="text1"/>
          <w:sz w:val="16"/>
          <w:szCs w:val="16"/>
        </w:rPr>
        <w:softHyphen/>
        <w:t>дельный истребительный авиаотряд. Причиной тому, указывалось в приказе И.Э. Якира № 0118 от 20 июля 1935 г., является «исключительно плохая отработка воздушного ма</w:t>
      </w:r>
      <w:r w:rsidRPr="00E14102">
        <w:rPr>
          <w:color w:val="000000" w:themeColor="text1"/>
          <w:sz w:val="16"/>
          <w:szCs w:val="16"/>
        </w:rPr>
        <w:softHyphen/>
        <w:t>невра. Лётный состав и командиры частей совсем не обращают внимания, а многие не имеют понятия о значении правильного маневра в воздухе во время стрельбы», откры</w:t>
      </w:r>
      <w:r w:rsidRPr="00E14102">
        <w:rPr>
          <w:color w:val="000000" w:themeColor="text1"/>
          <w:sz w:val="16"/>
          <w:szCs w:val="16"/>
        </w:rPr>
        <w:softHyphen/>
        <w:t>вают огонь со слишком больших дистанций, не занимают правильно исходное положе</w:t>
      </w:r>
      <w:r w:rsidRPr="00E14102">
        <w:rPr>
          <w:color w:val="000000" w:themeColor="text1"/>
          <w:sz w:val="16"/>
          <w:szCs w:val="16"/>
        </w:rPr>
        <w:softHyphen/>
        <w:t>ние перед открытием огня, маневрируют безо всякого расчета</w:t>
      </w:r>
      <w:r w:rsidRPr="00E14102">
        <w:rPr>
          <w:color w:val="000000" w:themeColor="text1"/>
          <w:sz w:val="16"/>
          <w:szCs w:val="16"/>
          <w:vertAlign w:val="superscript"/>
        </w:rPr>
        <w:t>32</w:t>
      </w:r>
      <w:r w:rsidRPr="00E14102">
        <w:rPr>
          <w:color w:val="000000" w:themeColor="text1"/>
          <w:sz w:val="16"/>
          <w:szCs w:val="16"/>
        </w:rPr>
        <w:t>... Легкобомбардировоч</w:t>
      </w:r>
      <w:r w:rsidRPr="00E14102">
        <w:rPr>
          <w:color w:val="000000" w:themeColor="text1"/>
          <w:sz w:val="16"/>
          <w:szCs w:val="16"/>
        </w:rPr>
        <w:softHyphen/>
        <w:t>ная авиация КВО — окажись она тогда в бою — потеряла бы немало машин от атак из пе</w:t>
      </w:r>
      <w:r w:rsidRPr="00E14102">
        <w:rPr>
          <w:color w:val="000000" w:themeColor="text1"/>
          <w:sz w:val="16"/>
          <w:szCs w:val="16"/>
        </w:rPr>
        <w:softHyphen/>
        <w:t>редней полусферы: из 35 лётчиков, проверенных в июле 1935 г. комиссией Ф.А. Ингау- ниса в Конотопской абр, 17 получили за стрельбу из синхронного пулемёта Р-5 «неуд», 7 — «тройку» и лишь 11 — «хорошо» и «отлично». Причины были те же: «У большинства летного состава бригады стрелковый маневр в воздухе отработан плохо. Мало того, лёт</w:t>
      </w:r>
      <w:r w:rsidRPr="00E14102">
        <w:rPr>
          <w:color w:val="000000" w:themeColor="text1"/>
          <w:sz w:val="16"/>
          <w:szCs w:val="16"/>
        </w:rPr>
        <w:softHyphen/>
        <w:t>чики и некоторые командиры частей и неотдельных отрядов не знают, как нужно выпол</w:t>
      </w:r>
      <w:r w:rsidRPr="00E14102">
        <w:rPr>
          <w:color w:val="000000" w:themeColor="text1"/>
          <w:sz w:val="16"/>
          <w:szCs w:val="16"/>
        </w:rPr>
        <w:softHyphen/>
        <w:t>нять маневр и какие особенности и требования к нему предъявляются» (15803).</w:t>
      </w:r>
    </w:p>
    <w:p w14:paraId="4908F051" w14:textId="77777777" w:rsidR="00A40EC8" w:rsidRPr="00E14102" w:rsidRDefault="00A40EC8" w:rsidP="00E14102">
      <w:pPr>
        <w:jc w:val="both"/>
        <w:rPr>
          <w:color w:val="000000" w:themeColor="text1"/>
          <w:sz w:val="16"/>
          <w:szCs w:val="16"/>
        </w:rPr>
      </w:pPr>
    </w:p>
    <w:p w14:paraId="76F83AD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BF5A3F8" w14:textId="77777777" w:rsidR="00D4105E" w:rsidRPr="00E14102" w:rsidRDefault="00D4105E" w:rsidP="00E14102">
      <w:pPr>
        <w:autoSpaceDE w:val="0"/>
        <w:autoSpaceDN w:val="0"/>
        <w:adjustRightInd w:val="0"/>
        <w:jc w:val="both"/>
        <w:rPr>
          <w:iCs/>
          <w:color w:val="000000" w:themeColor="text1"/>
          <w:sz w:val="16"/>
          <w:szCs w:val="16"/>
        </w:rPr>
      </w:pPr>
    </w:p>
    <w:p w14:paraId="09A0298E" w14:textId="77777777" w:rsidR="00A40EC8" w:rsidRPr="00E14102" w:rsidRDefault="00A40EC8" w:rsidP="00E14102">
      <w:pPr>
        <w:jc w:val="both"/>
        <w:rPr>
          <w:color w:val="000000" w:themeColor="text1"/>
          <w:sz w:val="16"/>
          <w:szCs w:val="16"/>
        </w:rPr>
      </w:pPr>
      <w:r w:rsidRPr="00E14102">
        <w:rPr>
          <w:bCs/>
          <w:color w:val="000000" w:themeColor="text1"/>
          <w:sz w:val="16"/>
          <w:szCs w:val="16"/>
        </w:rPr>
        <w:t>26 июня</w:t>
      </w:r>
      <w:r w:rsidRPr="00E14102">
        <w:rPr>
          <w:color w:val="000000" w:themeColor="text1"/>
          <w:sz w:val="16"/>
          <w:szCs w:val="16"/>
        </w:rPr>
        <w:t xml:space="preserve"> в 1935 году взлетел прототип «PV.3» с двигателем «Goshawk» «B.41». Именно с последним английский истребитель </w:t>
      </w:r>
      <w:hyperlink r:id="rId135" w:tgtFrame="_blank" w:history="1">
        <w:r w:rsidRPr="00E14102">
          <w:rPr>
            <w:color w:val="000000" w:themeColor="text1"/>
            <w:sz w:val="16"/>
            <w:szCs w:val="16"/>
          </w:rPr>
          <w:t xml:space="preserve">«Hawker» «PV.3» </w:t>
        </w:r>
      </w:hyperlink>
      <w:r w:rsidRPr="00E14102">
        <w:rPr>
          <w:color w:val="000000" w:themeColor="text1"/>
          <w:sz w:val="16"/>
          <w:szCs w:val="16"/>
        </w:rPr>
        <w:t>(«Private Venture 3») в конечном итоге передали в испытательный центр «Martlesham Heath». Несмотря на положительную оценку летных качеств самолета в серийное производство он не пошел, так как военные посчитали двигатель «Rolls-Royce» «Goshawk» слишком уязвимым для ведения воздушного боя. К тому же уже был подписан контракт на серийное производство истребителя «Gloster Gladiator» (14934).</w:t>
      </w:r>
    </w:p>
    <w:p w14:paraId="6066D27F" w14:textId="77777777" w:rsidR="00A40EC8" w:rsidRPr="00E14102" w:rsidRDefault="00A40EC8" w:rsidP="00E14102">
      <w:pPr>
        <w:jc w:val="both"/>
        <w:rPr>
          <w:color w:val="000000" w:themeColor="text1"/>
          <w:sz w:val="16"/>
          <w:szCs w:val="16"/>
        </w:rPr>
      </w:pPr>
    </w:p>
    <w:p w14:paraId="63A64EE4" w14:textId="77777777" w:rsidR="00A40EC8" w:rsidRPr="00E14102" w:rsidRDefault="00A40EC8" w:rsidP="00E14102">
      <w:pPr>
        <w:jc w:val="both"/>
        <w:rPr>
          <w:color w:val="000000" w:themeColor="text1"/>
          <w:sz w:val="16"/>
          <w:szCs w:val="16"/>
        </w:rPr>
      </w:pPr>
      <w:r w:rsidRPr="00E14102">
        <w:rPr>
          <w:bCs/>
          <w:color w:val="000000" w:themeColor="text1"/>
          <w:sz w:val="16"/>
          <w:szCs w:val="16"/>
        </w:rPr>
        <w:t>26 июня</w:t>
      </w:r>
      <w:r w:rsidRPr="00E14102">
        <w:rPr>
          <w:color w:val="000000" w:themeColor="text1"/>
          <w:sz w:val="16"/>
          <w:szCs w:val="16"/>
        </w:rPr>
        <w:t xml:space="preserve"> в 1935 году в Германии принят закон о трудовой повинности, по которому все лиц в возрасте от 18 до 25 лет должны полгода отслужить в рабочих батальонах: работать в поле, прокладывать дороги, строить казармы, осушать болота и готовить себя морально и физически к выполнению наивысшего долга германского гражданина - службе в вооруженных силах (14934).</w:t>
      </w:r>
    </w:p>
    <w:p w14:paraId="7E2D6B39" w14:textId="77777777" w:rsidR="00A40EC8" w:rsidRPr="00E14102" w:rsidRDefault="00A40EC8" w:rsidP="00E14102">
      <w:pPr>
        <w:jc w:val="both"/>
        <w:rPr>
          <w:color w:val="000000" w:themeColor="text1"/>
          <w:sz w:val="16"/>
          <w:szCs w:val="16"/>
        </w:rPr>
      </w:pPr>
    </w:p>
    <w:p w14:paraId="2F7767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июня 1935 нацисты приняли закон, разрешающий насильственный аборт для предотвращения генетических болезней (1798).</w:t>
      </w:r>
    </w:p>
    <w:p w14:paraId="12BF660D" w14:textId="77777777" w:rsidR="00D4105E" w:rsidRPr="00E14102" w:rsidRDefault="00D4105E" w:rsidP="00E14102">
      <w:pPr>
        <w:autoSpaceDE w:val="0"/>
        <w:autoSpaceDN w:val="0"/>
        <w:adjustRightInd w:val="0"/>
        <w:jc w:val="both"/>
        <w:rPr>
          <w:color w:val="000000" w:themeColor="text1"/>
          <w:sz w:val="16"/>
          <w:szCs w:val="16"/>
        </w:rPr>
      </w:pPr>
    </w:p>
    <w:p w14:paraId="53BAB59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CD677BE" w14:textId="77777777" w:rsidR="00D4105E" w:rsidRPr="00E14102" w:rsidRDefault="00D4105E" w:rsidP="00E14102">
      <w:pPr>
        <w:autoSpaceDE w:val="0"/>
        <w:autoSpaceDN w:val="0"/>
        <w:adjustRightInd w:val="0"/>
        <w:jc w:val="both"/>
        <w:rPr>
          <w:iCs/>
          <w:color w:val="000000" w:themeColor="text1"/>
          <w:sz w:val="16"/>
          <w:szCs w:val="16"/>
        </w:rPr>
      </w:pPr>
    </w:p>
    <w:p w14:paraId="0ABC8B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27 июня 1935 проходили гос. испытания АНТ-22 (МК-1) в варианте тяжелого бомбардировщика с полным комплектом вооружения (2072,69).</w:t>
      </w:r>
    </w:p>
    <w:p w14:paraId="7E4D8C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 с 27 июля 1935.</w:t>
      </w:r>
    </w:p>
    <w:p w14:paraId="0011ED5A" w14:textId="77777777" w:rsidR="00D4105E" w:rsidRPr="00E14102" w:rsidRDefault="00D4105E" w:rsidP="00E14102">
      <w:pPr>
        <w:autoSpaceDE w:val="0"/>
        <w:autoSpaceDN w:val="0"/>
        <w:adjustRightInd w:val="0"/>
        <w:jc w:val="both"/>
        <w:rPr>
          <w:color w:val="000000" w:themeColor="text1"/>
          <w:sz w:val="16"/>
          <w:szCs w:val="16"/>
        </w:rPr>
      </w:pPr>
    </w:p>
    <w:p w14:paraId="4ACB33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июня 1935 была подготовлена справка N 2987с о потребных денежных средствах на опытное строительство 1935-1936 для ГВФ</w:t>
      </w:r>
    </w:p>
    <w:p w14:paraId="708713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Ассигнования ГВФ на опытное строительство 1935, передаваемые ГУАП в связи с передачей завода 81, составляют 2502000 руб.</w:t>
      </w:r>
    </w:p>
    <w:p w14:paraId="091369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эту сумму входят проектирование и постройка:</w:t>
      </w:r>
    </w:p>
    <w:p w14:paraId="48C4F7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 Сталь 7 (11) с выпуском 1 ноября 1935</w:t>
      </w:r>
    </w:p>
    <w:p w14:paraId="475B9D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Сталь 5 с выпуском 1 августа 1936</w:t>
      </w:r>
    </w:p>
    <w:p w14:paraId="20AF2C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 основная сумма 2500000 падает на проектирование и строительство Сталь 11, ибо Сталь 5 по плану, согласованному УВВС с ГУАП, снимается.</w:t>
      </w:r>
    </w:p>
    <w:p w14:paraId="7B4A2E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1935 ГУАП потребны ассигнования для проектирования и постройки следующих объектов: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E3599D" w:rsidRPr="00E14102" w14:paraId="39ADB646" w14:textId="77777777">
        <w:tc>
          <w:tcPr>
            <w:tcW w:w="3757" w:type="dxa"/>
            <w:tcBorders>
              <w:top w:val="single" w:sz="12" w:space="0" w:color="auto"/>
            </w:tcBorders>
          </w:tcPr>
          <w:p w14:paraId="67E3A0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ЗИГ-2</w:t>
            </w:r>
          </w:p>
        </w:tc>
        <w:tc>
          <w:tcPr>
            <w:tcW w:w="3757" w:type="dxa"/>
            <w:tcBorders>
              <w:top w:val="single" w:sz="12" w:space="0" w:color="auto"/>
            </w:tcBorders>
          </w:tcPr>
          <w:p w14:paraId="229142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2000000</w:t>
            </w:r>
          </w:p>
        </w:tc>
      </w:tr>
      <w:tr w:rsidR="00E3599D" w:rsidRPr="00E14102" w14:paraId="21160323" w14:textId="77777777">
        <w:tc>
          <w:tcPr>
            <w:tcW w:w="3757" w:type="dxa"/>
          </w:tcPr>
          <w:p w14:paraId="583666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Сталь-11</w:t>
            </w:r>
          </w:p>
        </w:tc>
        <w:tc>
          <w:tcPr>
            <w:tcW w:w="3757" w:type="dxa"/>
          </w:tcPr>
          <w:p w14:paraId="39F903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1600000</w:t>
            </w:r>
          </w:p>
        </w:tc>
      </w:tr>
      <w:tr w:rsidR="00E3599D" w:rsidRPr="00E14102" w14:paraId="1F1A66C9" w14:textId="77777777">
        <w:tc>
          <w:tcPr>
            <w:tcW w:w="3757" w:type="dxa"/>
          </w:tcPr>
          <w:p w14:paraId="648324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СХ</w:t>
            </w:r>
          </w:p>
        </w:tc>
        <w:tc>
          <w:tcPr>
            <w:tcW w:w="3757" w:type="dxa"/>
          </w:tcPr>
          <w:p w14:paraId="162EDE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300000</w:t>
            </w:r>
          </w:p>
        </w:tc>
      </w:tr>
      <w:tr w:rsidR="00E3599D" w:rsidRPr="00E14102" w14:paraId="41EC69A8" w14:textId="77777777">
        <w:tc>
          <w:tcPr>
            <w:tcW w:w="3757" w:type="dxa"/>
          </w:tcPr>
          <w:p w14:paraId="52E5EC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ДКЛ-1</w:t>
            </w:r>
          </w:p>
        </w:tc>
        <w:tc>
          <w:tcPr>
            <w:tcW w:w="3757" w:type="dxa"/>
          </w:tcPr>
          <w:p w14:paraId="59B9A4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400000</w:t>
            </w:r>
          </w:p>
        </w:tc>
      </w:tr>
      <w:tr w:rsidR="00E3599D" w:rsidRPr="00E14102" w14:paraId="23DEEB3D" w14:textId="77777777">
        <w:tc>
          <w:tcPr>
            <w:tcW w:w="3757" w:type="dxa"/>
          </w:tcPr>
          <w:p w14:paraId="259E37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ПМ-2</w:t>
            </w:r>
          </w:p>
        </w:tc>
        <w:tc>
          <w:tcPr>
            <w:tcW w:w="3757" w:type="dxa"/>
          </w:tcPr>
          <w:p w14:paraId="41BDA7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200000</w:t>
            </w:r>
          </w:p>
        </w:tc>
      </w:tr>
      <w:tr w:rsidR="00E3599D" w:rsidRPr="00E14102" w14:paraId="0EB25325" w14:textId="77777777">
        <w:tc>
          <w:tcPr>
            <w:tcW w:w="3757" w:type="dxa"/>
          </w:tcPr>
          <w:p w14:paraId="39F33D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АРК-3</w:t>
            </w:r>
          </w:p>
        </w:tc>
        <w:tc>
          <w:tcPr>
            <w:tcW w:w="3757" w:type="dxa"/>
          </w:tcPr>
          <w:p w14:paraId="439D90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2500000</w:t>
            </w:r>
          </w:p>
        </w:tc>
      </w:tr>
      <w:tr w:rsidR="00E3599D" w:rsidRPr="00E14102" w14:paraId="5C94DABD" w14:textId="77777777">
        <w:tc>
          <w:tcPr>
            <w:tcW w:w="3757" w:type="dxa"/>
          </w:tcPr>
          <w:p w14:paraId="6A2C58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w:t>
            </w:r>
          </w:p>
        </w:tc>
        <w:tc>
          <w:tcPr>
            <w:tcW w:w="3757" w:type="dxa"/>
          </w:tcPr>
          <w:p w14:paraId="4251F0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300000</w:t>
            </w:r>
          </w:p>
        </w:tc>
      </w:tr>
      <w:tr w:rsidR="00E3599D" w:rsidRPr="00E14102" w14:paraId="2554A120" w14:textId="77777777">
        <w:tc>
          <w:tcPr>
            <w:tcW w:w="3757" w:type="dxa"/>
          </w:tcPr>
          <w:p w14:paraId="55985D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АНТ-35</w:t>
            </w:r>
          </w:p>
        </w:tc>
        <w:tc>
          <w:tcPr>
            <w:tcW w:w="3757" w:type="dxa"/>
          </w:tcPr>
          <w:p w14:paraId="514028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2000000</w:t>
            </w:r>
          </w:p>
        </w:tc>
      </w:tr>
      <w:tr w:rsidR="00E3599D" w:rsidRPr="00E14102" w14:paraId="356D4301" w14:textId="77777777">
        <w:tc>
          <w:tcPr>
            <w:tcW w:w="3757" w:type="dxa"/>
          </w:tcPr>
          <w:p w14:paraId="3AB610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СБ-39</w:t>
            </w:r>
          </w:p>
        </w:tc>
        <w:tc>
          <w:tcPr>
            <w:tcW w:w="3757" w:type="dxa"/>
          </w:tcPr>
          <w:p w14:paraId="75B17F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2000000</w:t>
            </w:r>
          </w:p>
        </w:tc>
      </w:tr>
      <w:tr w:rsidR="00E3599D" w:rsidRPr="00E14102" w14:paraId="03D8A9F2" w14:textId="77777777">
        <w:tc>
          <w:tcPr>
            <w:tcW w:w="3757" w:type="dxa"/>
          </w:tcPr>
          <w:p w14:paraId="3BB040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ДБ (сер. ТБ-3)</w:t>
            </w:r>
          </w:p>
        </w:tc>
        <w:tc>
          <w:tcPr>
            <w:tcW w:w="3757" w:type="dxa"/>
          </w:tcPr>
          <w:p w14:paraId="73A45E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DD5D67B" w14:textId="77777777">
        <w:tc>
          <w:tcPr>
            <w:tcW w:w="3757" w:type="dxa"/>
          </w:tcPr>
          <w:p w14:paraId="29FC52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АНТ-27</w:t>
            </w:r>
          </w:p>
        </w:tc>
        <w:tc>
          <w:tcPr>
            <w:tcW w:w="3757" w:type="dxa"/>
          </w:tcPr>
          <w:p w14:paraId="4FE48B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200000</w:t>
            </w:r>
          </w:p>
        </w:tc>
      </w:tr>
      <w:tr w:rsidR="00E3599D" w:rsidRPr="00E14102" w14:paraId="38AEDC7F" w14:textId="77777777">
        <w:tc>
          <w:tcPr>
            <w:tcW w:w="3757" w:type="dxa"/>
            <w:tcBorders>
              <w:bottom w:val="single" w:sz="12" w:space="0" w:color="auto"/>
            </w:tcBorders>
          </w:tcPr>
          <w:p w14:paraId="5F91ED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АНТ-44</w:t>
            </w:r>
          </w:p>
        </w:tc>
        <w:tc>
          <w:tcPr>
            <w:tcW w:w="3757" w:type="dxa"/>
            <w:tcBorders>
              <w:bottom w:val="single" w:sz="12" w:space="0" w:color="auto"/>
            </w:tcBorders>
          </w:tcPr>
          <w:p w14:paraId="7C53DF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3500000...(2336)</w:t>
            </w:r>
          </w:p>
        </w:tc>
      </w:tr>
    </w:tbl>
    <w:p w14:paraId="274DB8B3" w14:textId="77777777" w:rsidR="00D4105E" w:rsidRPr="00E14102" w:rsidRDefault="00D4105E" w:rsidP="00E14102">
      <w:pPr>
        <w:autoSpaceDE w:val="0"/>
        <w:autoSpaceDN w:val="0"/>
        <w:adjustRightInd w:val="0"/>
        <w:jc w:val="both"/>
        <w:rPr>
          <w:color w:val="000000" w:themeColor="text1"/>
          <w:sz w:val="16"/>
          <w:szCs w:val="16"/>
        </w:rPr>
      </w:pPr>
    </w:p>
    <w:p w14:paraId="6BB366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июня 1935 года Начальник и военком НИИ ВС Бажанов утвердил Отчет по испытанию пулестойких бензобаков</w:t>
      </w:r>
    </w:p>
    <w:p w14:paraId="5C655F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380297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по изысканию и разработке пулестойкой обкладки (брони) для бензобаков поставлена с целью устранения взрыва, течи, пожара бензина при обстреле бензобаков пулями различного действия. Проведенными испытаниями преследовалось:</w:t>
      </w:r>
    </w:p>
    <w:p w14:paraId="568D00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Выявление возможности получить минимальный вес обкладки;</w:t>
      </w:r>
    </w:p>
    <w:p w14:paraId="7A676D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Получение экспериментальных данных, необходимых для работ по дальнейшему усовершенствованию обкладки.</w:t>
      </w:r>
    </w:p>
    <w:p w14:paraId="6CF069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испытание были предъявлены два бензобака - ТБ-3 и И-15.</w:t>
      </w:r>
    </w:p>
    <w:p w14:paraId="5E1F3A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Выводы:</w:t>
      </w:r>
    </w:p>
    <w:p w14:paraId="6F0B52C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Опыт показал. Что облегченная оболочка в днищах бака при обстреле пулями разного действия не дала ни одной капли течи бензина. Это указывает на достаточную надежность оболочки и на возможность ее дальнейшего облегчения.</w:t>
      </w:r>
    </w:p>
    <w:p w14:paraId="2073F48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Совершенно не разработан способ крепления оболочки на баке (3930).</w:t>
      </w:r>
    </w:p>
    <w:p w14:paraId="1B790E01"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0E1AF4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июня 1935 ДВ СССР-Н8, на котором были установлены новые двигатели М-17 с ресурсом 300 часов, гирополукомпас "Сперри", работающий от двух спаренных трубок Вентури, радиостанция "Телефункен" с приемником В-1 и пеленгаторной рамкой, после проведения заводских испытаний заменили толкающий воздушный винт второго двигателя, вылетел, наконец, до Дудинки.</w:t>
      </w:r>
    </w:p>
    <w:p w14:paraId="3B3074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намеченному плану, самолет должен был прибыть в Тикси 25 июля для проведения ледовых разведок в море Лаптевых, а поначалу машину предполагалось передать на реку Лена в распоряжение Галышева.</w:t>
      </w:r>
    </w:p>
    <w:p w14:paraId="4CE34E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практике события развивались несколько иначе. 18 июля СССР-Н8 перевез пассажиров и груз в Хатангу, 20-21 совершил еще один такой рейс. Посадка на гидродроме в Крестах (Хатанга) совершалась на абсолютно гладкую воду ("зеркало"), и самолет сильно ударился. В результате лодка стала заметно протекать. После оценки ситуации решили вернуться в Красноярск для проведения ремонта. Согласно записям Штепенко, на базе в Красноярске их ждали: "На берег вышли все, кто мог, в надежде наблюдать, как мы будем тонуть". Тонуть не получилось, поэтому все быстро разошлись по своим делам - "вытаскивать лодку на берег пришлось экипажу да двум хромым рабочим, которые по причине своей хромоты не смогли быстро ретироваться".</w:t>
      </w:r>
    </w:p>
    <w:p w14:paraId="4741E0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Несколько дней находились на базе, особых повреждений днища не обнаружили и после небольшого ремонта 28-го вновь вылетели вдоль Енисея на север. Однако, по прибытию в Игарку, вновь стала протекать лодка. На этот раз все подозрительные места замазали цементом, после чего поступление воды прекратилось.</w:t>
      </w:r>
    </w:p>
    <w:p w14:paraId="4549FB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Еще на пути в Игарку самолет попал в сплошной дождь, который сильно побил тянущий воздушный винт переднего двигателя - имелись даже трещины. Наиболее заметные замазали титанином (шпаклевка), однако для спокойствия решили посоветоваться с оказавшимся здесь механиком Крутским, имеющим большой опыт эксплуатации "Валей". Крутский осмотрел винт и прямо на нем нацарапал - "годен 300 часов". Штепенко по этому поводу заметил - "а подписи не оставил".</w:t>
      </w:r>
    </w:p>
    <w:p w14:paraId="425365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Наконец 1 августа СССР-Н8 вылетел к месту назначенной дислокации и 2 августа прибыл в бухту Нордвик, расположенную в восточной части моря Лаптевых. В западной части Нор- двика имелось две небольшие бухты - Правда и Пионер. Именно здесь, как и в прошлый год, предстояло базироваться при проведении разведок. Первая стоянка в бухте Правда ознаменовалась налетевшим штормом, который пережидали до 6 августа. Самолет стоял на якорях в наиболее спокойном и глубоком месте, в просторечье именуемом "ямой".</w:t>
      </w:r>
    </w:p>
    <w:p w14:paraId="14746E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Далее Штепенко записал: "6 августа погода улучшилась, ясное небо, хорошая видимость, остовый ветер 30 км/час, есть барашки. Вывели самолет из ямы, запустили моторы, в зажигании какие-то неисправности, пока возились, погода пошла на ухудшение, с востока надвигается мура, ветер усиливается.</w:t>
      </w:r>
    </w:p>
    <w:p w14:paraId="51C374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Запустили моторы, пошли от берега, море 5 баллов, самолет был по ветру и ни на малом, ни на среднем газу разворачиваться не хочет, при полном газе зарывается в воду. Выключили моторы и во время дрейфа развернулись против ветра. Быстро запустили моторы, полный газ и... что было... Самолет сразу зарылся носом в воду, и набежавшим валом захлестнуло вместе с гондолой и до выхода на редан 4 вала обрушивались на самолет, заливало кабины, людей и винты. После выхода на редан волной поддало, и самолет раньше времени оказался в воздухе, не имея нужной скорости, медленно оседал, пока следующая волна не подбила его обратно вверх. Таких ударов было три, - взлетели - крепка лодка у Дорнье-Валя".</w:t>
      </w:r>
    </w:p>
    <w:p w14:paraId="526827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Попытки вылететь на разведку в течение нескольких дней оказались безуспешными по причине отсутствия погоды. Наконец, вылетели 13-го августа, в 20-ти милях юго-восточнее острова Петра обнаружили "Ермак" с караваном судов. Разведали чистую воду и вывели суда. Вторая разведка состоялась на следующий день. В условиях облачности ледокол обнаружили при помощи пеленгаторной рамки. Штепенко отметил, что дальность обнаружения радиостанции мощностью 1 киловатт составляет 200 км.</w:t>
      </w:r>
    </w:p>
    <w:p w14:paraId="00B09C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Означенные два полета в сезоне 1935 г. оказались единственными в интересах каравана, ведомого "Ермаком". Все остальные полеты предпринимались в интересах других экспедиций. 26 августа СССР-Н8 вылетел на остров Котельный. Через 1 час 20 минут полета лопнули 2 болта на мотораме кормового мотора, поэтому, не долетая до Котельного, у мыса Баркин- Стан, в 3-х милях от берега пришлось совершить вынужденную посадку. Место оказалось очень мелким, глубина всего 40 сантиметров, 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12710A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15AA0AB0" w14:textId="77777777" w:rsidR="00D4105E" w:rsidRPr="00E14102" w:rsidRDefault="00D4105E" w:rsidP="00E14102">
      <w:pPr>
        <w:autoSpaceDE w:val="0"/>
        <w:autoSpaceDN w:val="0"/>
        <w:adjustRightInd w:val="0"/>
        <w:jc w:val="both"/>
        <w:rPr>
          <w:color w:val="000000" w:themeColor="text1"/>
          <w:sz w:val="16"/>
          <w:szCs w:val="16"/>
        </w:rPr>
      </w:pPr>
    </w:p>
    <w:p w14:paraId="3768B00F" w14:textId="77777777" w:rsidR="00D4105E" w:rsidRPr="00E14102" w:rsidRDefault="004B7965" w:rsidP="00E14102">
      <w:pPr>
        <w:tabs>
          <w:tab w:val="left" w:pos="360"/>
        </w:tabs>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636EE6D" w14:textId="77777777" w:rsidR="00D4105E" w:rsidRPr="00E14102" w:rsidRDefault="00D4105E" w:rsidP="00E14102">
      <w:pPr>
        <w:tabs>
          <w:tab w:val="left" w:pos="360"/>
        </w:tabs>
        <w:autoSpaceDE w:val="0"/>
        <w:autoSpaceDN w:val="0"/>
        <w:adjustRightInd w:val="0"/>
        <w:jc w:val="both"/>
        <w:rPr>
          <w:iCs/>
          <w:color w:val="000000" w:themeColor="text1"/>
          <w:sz w:val="16"/>
          <w:szCs w:val="16"/>
        </w:rPr>
      </w:pPr>
    </w:p>
    <w:p w14:paraId="4465ABF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27 июня 1935 г., согласно воспоминаний Алексея Васильевича Дворниченко: «Когда я при</w:t>
      </w:r>
      <w:r w:rsidRPr="00E14102">
        <w:rPr>
          <w:color w:val="000000" w:themeColor="text1"/>
          <w:sz w:val="16"/>
          <w:szCs w:val="16"/>
        </w:rPr>
        <w:softHyphen/>
        <w:t>шел на завод, то попал в дизельный отдел (ДЗО). Руководил отделом К.Ф. Челпан. Отдел занимался разработкой дизеля в трех моди</w:t>
      </w:r>
      <w:r w:rsidRPr="00E14102">
        <w:rPr>
          <w:color w:val="000000" w:themeColor="text1"/>
          <w:sz w:val="16"/>
          <w:szCs w:val="16"/>
        </w:rPr>
        <w:softHyphen/>
        <w:t>фикациях: танкового БД-2 во главе с Я.Е.Вихманом, авиационного БД-2А во главе с Г.И.Алтекманом и двухтактного дизеля во главе с П.С.Яриным.</w:t>
      </w:r>
    </w:p>
    <w:p w14:paraId="0B82A0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 без веских оснований Бондаренко сделал кое-какие перемещения на заводе. Для непосредственного участия в разработке и руководства проект</w:t>
      </w:r>
      <w:r w:rsidRPr="00E14102">
        <w:rPr>
          <w:color w:val="000000" w:themeColor="text1"/>
          <w:sz w:val="16"/>
          <w:szCs w:val="16"/>
        </w:rPr>
        <w:softHyphen/>
        <w:t>ными работами, а также авторского надзора за изготовлением опытных об</w:t>
      </w:r>
      <w:r w:rsidRPr="00E14102">
        <w:rPr>
          <w:color w:val="000000" w:themeColor="text1"/>
          <w:sz w:val="16"/>
          <w:szCs w:val="16"/>
        </w:rPr>
        <w:softHyphen/>
        <w:t>разцов 2-х тактного дизеля с 16 августа 1935 года К.И.Цереквицкий был на</w:t>
      </w:r>
      <w:r w:rsidRPr="00E14102">
        <w:rPr>
          <w:color w:val="000000" w:themeColor="text1"/>
          <w:sz w:val="16"/>
          <w:szCs w:val="16"/>
        </w:rPr>
        <w:softHyphen/>
        <w:t>значен заместителем начальника дизельного отдела (ДЗО), то есть замом ЬСФ.Челпана. Затем с 1 сентября 1937 года он стал главным технологом, вто</w:t>
      </w:r>
      <w:r w:rsidRPr="00E14102">
        <w:rPr>
          <w:color w:val="000000" w:themeColor="text1"/>
          <w:sz w:val="16"/>
          <w:szCs w:val="16"/>
        </w:rPr>
        <w:softHyphen/>
        <w:t>рым заместителем начальника отдела «400», опять-таки замом Челпана.</w:t>
      </w:r>
    </w:p>
    <w:p w14:paraId="2D451E4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Прийдя на ХПЗ, К.И.Цереквицкий стал одним из ведущих техноло</w:t>
      </w:r>
      <w:r w:rsidRPr="00E14102">
        <w:rPr>
          <w:color w:val="000000" w:themeColor="text1"/>
          <w:sz w:val="16"/>
          <w:szCs w:val="16"/>
        </w:rPr>
        <w:softHyphen/>
        <w:t>гов и его роль в «проталкивании» идеи о необходимости установки в танк БТ дизеля вместо авиационного бензинового мотора, а затем вклад в раз</w:t>
      </w:r>
      <w:r w:rsidRPr="00E14102">
        <w:rPr>
          <w:color w:val="000000" w:themeColor="text1"/>
          <w:sz w:val="16"/>
          <w:szCs w:val="16"/>
        </w:rPr>
        <w:softHyphen/>
        <w:t>работку четырехтактного танкового дизеля БД-2 и создании ему альтер</w:t>
      </w:r>
      <w:r w:rsidRPr="00E14102">
        <w:rPr>
          <w:color w:val="000000" w:themeColor="text1"/>
          <w:sz w:val="16"/>
          <w:szCs w:val="16"/>
        </w:rPr>
        <w:softHyphen/>
        <w:t>нативного двухтактного дизеля, не меньше, чем у Фирсова и других кон</w:t>
      </w:r>
      <w:r w:rsidRPr="00E14102">
        <w:rPr>
          <w:color w:val="000000" w:themeColor="text1"/>
          <w:sz w:val="16"/>
          <w:szCs w:val="16"/>
        </w:rPr>
        <w:softHyphen/>
        <w:t>структоров дизельного отдела. Это подтверждает, например, заседание парткома ХПЗ 27 октября 1936 года, на котором рассматривался вопрос о дизелемоторостроении. Согласно протоколу «выступающие дали объек</w:t>
      </w:r>
      <w:r w:rsidRPr="00E14102">
        <w:rPr>
          <w:color w:val="000000" w:themeColor="text1"/>
          <w:sz w:val="16"/>
          <w:szCs w:val="16"/>
        </w:rPr>
        <w:softHyphen/>
        <w:t>тивную оценку работе дизельного отдела, деятельности Челпана, а также Цереквицкого, как старого специалиста по дизелестроению» (11504).</w:t>
      </w:r>
    </w:p>
    <w:p w14:paraId="4FA838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389A03E" w14:textId="77777777" w:rsidR="00A40EC8" w:rsidRPr="00E14102" w:rsidRDefault="00A40EC8" w:rsidP="00E14102">
      <w:pPr>
        <w:pStyle w:val="rtejustify"/>
        <w:spacing w:before="0" w:after="0"/>
        <w:rPr>
          <w:color w:val="000000" w:themeColor="text1"/>
          <w:sz w:val="16"/>
          <w:szCs w:val="16"/>
        </w:rPr>
      </w:pPr>
      <w:r w:rsidRPr="00E14102">
        <w:rPr>
          <w:rStyle w:val="a6"/>
          <w:bCs/>
          <w:i w:val="0"/>
          <w:color w:val="000000" w:themeColor="text1"/>
          <w:sz w:val="16"/>
          <w:szCs w:val="16"/>
        </w:rPr>
        <w:lastRenderedPageBreak/>
        <w:t>27 июня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74сс «Об утверждении технических требований к опытным образцам 76</w:t>
      </w:r>
      <w:r w:rsidRPr="00E14102">
        <w:rPr>
          <w:color w:val="000000" w:themeColor="text1"/>
          <w:sz w:val="16"/>
          <w:szCs w:val="16"/>
        </w:rPr>
        <w:noBreakHyphen/>
        <w:t>мм дивизионной пушки». (ГА РФ. Ф. Р</w:t>
      </w:r>
      <w:r w:rsidRPr="00E14102">
        <w:rPr>
          <w:color w:val="000000" w:themeColor="text1"/>
          <w:sz w:val="16"/>
          <w:szCs w:val="16"/>
        </w:rPr>
        <w:noBreakHyphen/>
        <w:t>8418. Оп. 28. Д. 7. Л. 4</w:t>
      </w:r>
      <w:r w:rsidRPr="00E14102">
        <w:rPr>
          <w:color w:val="000000" w:themeColor="text1"/>
          <w:sz w:val="16"/>
          <w:szCs w:val="16"/>
        </w:rPr>
        <w:noBreakHyphen/>
        <w:t>7) (15460).</w:t>
      </w:r>
    </w:p>
    <w:p w14:paraId="51D51A8D" w14:textId="77777777" w:rsidR="00A40EC8" w:rsidRPr="00E14102" w:rsidRDefault="00A40EC8" w:rsidP="00E14102">
      <w:pPr>
        <w:pStyle w:val="rtejustify"/>
        <w:spacing w:before="0" w:after="0"/>
        <w:rPr>
          <w:color w:val="000000" w:themeColor="text1"/>
          <w:sz w:val="16"/>
          <w:szCs w:val="16"/>
        </w:rPr>
      </w:pPr>
    </w:p>
    <w:p w14:paraId="77687D9E" w14:textId="77777777" w:rsidR="00A40EC8" w:rsidRPr="00E14102" w:rsidRDefault="00A40EC8" w:rsidP="00E14102">
      <w:pPr>
        <w:shd w:val="clear" w:color="auto" w:fill="FFFFFF"/>
        <w:jc w:val="both"/>
        <w:rPr>
          <w:color w:val="000000" w:themeColor="text1"/>
          <w:sz w:val="16"/>
          <w:szCs w:val="16"/>
        </w:rPr>
      </w:pPr>
      <w:r w:rsidRPr="00E14102">
        <w:rPr>
          <w:bCs/>
          <w:iCs/>
          <w:color w:val="000000" w:themeColor="text1"/>
          <w:sz w:val="16"/>
          <w:szCs w:val="16"/>
        </w:rPr>
        <w:t>27 июня 1935 г.</w:t>
      </w:r>
      <w:r w:rsidRPr="00E14102">
        <w:rPr>
          <w:color w:val="000000" w:themeColor="text1"/>
          <w:sz w:val="16"/>
          <w:szCs w:val="16"/>
        </w:rPr>
        <w:t xml:space="preserve"> Постановление СТО СССР о доведении в НКТП СССР мощностей по выпуску ОВ до 200 тысяч тонн в год. В частности, предусмотрено создание производства незамерзающего иприта мощностью 40 000 тонн в год (17133).</w:t>
      </w:r>
    </w:p>
    <w:p w14:paraId="7EA813E6" w14:textId="05163279" w:rsidR="00A40EC8" w:rsidRPr="00E14102" w:rsidRDefault="00A40EC8" w:rsidP="00E14102">
      <w:pPr>
        <w:shd w:val="clear" w:color="auto" w:fill="FFFFFF"/>
        <w:jc w:val="both"/>
        <w:rPr>
          <w:color w:val="000000" w:themeColor="text1"/>
          <w:sz w:val="16"/>
          <w:szCs w:val="16"/>
        </w:rPr>
      </w:pPr>
    </w:p>
    <w:p w14:paraId="3F9B061A" w14:textId="70C424B4" w:rsidR="00AF4487" w:rsidRPr="00E14102" w:rsidRDefault="00AF4487" w:rsidP="00E14102">
      <w:pPr>
        <w:shd w:val="clear" w:color="auto" w:fill="FFFFFF"/>
        <w:jc w:val="both"/>
        <w:rPr>
          <w:i/>
          <w:iCs/>
          <w:color w:val="000000" w:themeColor="text1"/>
          <w:sz w:val="16"/>
          <w:szCs w:val="16"/>
        </w:rPr>
      </w:pPr>
      <w:r w:rsidRPr="00E14102">
        <w:rPr>
          <w:i/>
          <w:iCs/>
          <w:color w:val="000000" w:themeColor="text1"/>
          <w:sz w:val="16"/>
          <w:szCs w:val="16"/>
        </w:rPr>
        <w:t>За рубежом:</w:t>
      </w:r>
    </w:p>
    <w:p w14:paraId="4A67DE4B" w14:textId="77777777" w:rsidR="00AF4487" w:rsidRPr="00E14102" w:rsidRDefault="00AF4487" w:rsidP="00E14102">
      <w:pPr>
        <w:shd w:val="clear" w:color="auto" w:fill="FFFFFF"/>
        <w:jc w:val="both"/>
        <w:rPr>
          <w:i/>
          <w:iCs/>
          <w:color w:val="000000" w:themeColor="text1"/>
          <w:sz w:val="16"/>
          <w:szCs w:val="16"/>
        </w:rPr>
      </w:pPr>
    </w:p>
    <w:p w14:paraId="1302398A" w14:textId="77777777" w:rsidR="00AF4487" w:rsidRPr="00E14102" w:rsidRDefault="00AF4487" w:rsidP="00E14102">
      <w:pPr>
        <w:jc w:val="both"/>
        <w:rPr>
          <w:color w:val="0070C0"/>
          <w:sz w:val="16"/>
          <w:szCs w:val="16"/>
        </w:rPr>
      </w:pPr>
      <w:r w:rsidRPr="00E14102">
        <w:rPr>
          <w:color w:val="0070C0"/>
          <w:sz w:val="16"/>
          <w:szCs w:val="16"/>
        </w:rPr>
        <w:t>27 июня 1935 лейтенант береговой охраны США Ричард Л. Берк устанавливает мировой рекорд высоты для гидросамолета - 5 449 050 метров (17 877,46 футов) с грузом массой 500 кг (1102 фунта) на борту Grumman JF-2 Duck (20800).</w:t>
      </w:r>
    </w:p>
    <w:p w14:paraId="576627EA" w14:textId="77777777" w:rsidR="00AF4487" w:rsidRPr="00E14102" w:rsidRDefault="00AF4487" w:rsidP="00E14102">
      <w:pPr>
        <w:jc w:val="both"/>
        <w:rPr>
          <w:color w:val="0070C0"/>
          <w:sz w:val="16"/>
          <w:szCs w:val="16"/>
        </w:rPr>
      </w:pPr>
    </w:p>
    <w:p w14:paraId="1110685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D7FF9AC" w14:textId="77777777" w:rsidR="00D4105E" w:rsidRPr="00E14102" w:rsidRDefault="00D4105E" w:rsidP="00E14102">
      <w:pPr>
        <w:autoSpaceDE w:val="0"/>
        <w:autoSpaceDN w:val="0"/>
        <w:adjustRightInd w:val="0"/>
        <w:jc w:val="both"/>
        <w:rPr>
          <w:iCs/>
          <w:color w:val="000000" w:themeColor="text1"/>
          <w:sz w:val="16"/>
          <w:szCs w:val="16"/>
        </w:rPr>
      </w:pPr>
    </w:p>
    <w:p w14:paraId="7199FF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28 июня по 10 сентября 1935 года проходили испытания серийных самолетов "Зет" постройки завода 135 за NN 13533, 13534 и 13535 на предмет определения разрушающего действия выстрелов из пушек "АПК-4м" (3074).</w:t>
      </w:r>
    </w:p>
    <w:p w14:paraId="3BDB293C" w14:textId="77777777" w:rsidR="00D4105E" w:rsidRPr="00E14102" w:rsidRDefault="00D4105E" w:rsidP="00E14102">
      <w:pPr>
        <w:autoSpaceDE w:val="0"/>
        <w:autoSpaceDN w:val="0"/>
        <w:adjustRightInd w:val="0"/>
        <w:jc w:val="both"/>
        <w:rPr>
          <w:color w:val="000000" w:themeColor="text1"/>
          <w:sz w:val="16"/>
          <w:szCs w:val="16"/>
        </w:rPr>
      </w:pPr>
    </w:p>
    <w:p w14:paraId="171898FA" w14:textId="77777777" w:rsidR="00AF4487" w:rsidRPr="00E14102" w:rsidRDefault="00AF4487" w:rsidP="00E14102">
      <w:pPr>
        <w:jc w:val="both"/>
        <w:rPr>
          <w:color w:val="0070C0"/>
          <w:sz w:val="16"/>
          <w:szCs w:val="16"/>
        </w:rPr>
      </w:pPr>
      <w:r w:rsidRPr="00E14102">
        <w:rPr>
          <w:color w:val="0070C0"/>
          <w:sz w:val="16"/>
          <w:szCs w:val="16"/>
        </w:rPr>
        <w:t>28 июня 1935 заверши</w:t>
      </w:r>
      <w:r w:rsidRPr="00E14102">
        <w:rPr>
          <w:color w:val="0070C0"/>
          <w:sz w:val="16"/>
          <w:szCs w:val="16"/>
        </w:rPr>
        <w:softHyphen/>
        <w:t>лись все полеты ДИ-6 по программе войсковых испытаний. В отчете по проведенным испытаниям от</w:t>
      </w:r>
      <w:r w:rsidRPr="00E14102">
        <w:rPr>
          <w:color w:val="0070C0"/>
          <w:sz w:val="16"/>
          <w:szCs w:val="16"/>
        </w:rPr>
        <w:softHyphen/>
        <w:t>мечалось, что «По маневренности ДИ-6 М-25 стоит даже выше одноместных скоростных истребителей. Наличие задней огневой точки, при отмеченных выше качествах, да</w:t>
      </w:r>
      <w:r w:rsidRPr="00E14102">
        <w:rPr>
          <w:color w:val="0070C0"/>
          <w:sz w:val="16"/>
          <w:szCs w:val="16"/>
        </w:rPr>
        <w:softHyphen/>
        <w:t>ет ему значительные преимущества при ведении воздуш</w:t>
      </w:r>
      <w:r w:rsidRPr="00E14102">
        <w:rPr>
          <w:color w:val="0070C0"/>
          <w:sz w:val="16"/>
          <w:szCs w:val="16"/>
        </w:rPr>
        <w:softHyphen/>
        <w:t>ного боя со всеми типами самолетов. Однако наличие целого ряда недостатков задней кабины стрелка на ДИ-6 М-25 снижает его боевую ценность как истребителя». В за</w:t>
      </w:r>
      <w:r w:rsidRPr="00E14102">
        <w:rPr>
          <w:color w:val="0070C0"/>
          <w:sz w:val="16"/>
          <w:szCs w:val="16"/>
        </w:rPr>
        <w:softHyphen/>
        <w:t>ключении указывалось, что двухместный истребитель ДИ- 6 М-25 войсковые испытания выдержал удовлетворитель</w:t>
      </w:r>
      <w:r w:rsidRPr="00E14102">
        <w:rPr>
          <w:color w:val="0070C0"/>
          <w:sz w:val="16"/>
          <w:szCs w:val="16"/>
        </w:rPr>
        <w:softHyphen/>
        <w:t>но. Серийное производство самолета решили продол</w:t>
      </w:r>
      <w:r w:rsidRPr="00E14102">
        <w:rPr>
          <w:color w:val="0070C0"/>
          <w:sz w:val="16"/>
          <w:szCs w:val="16"/>
        </w:rPr>
        <w:softHyphen/>
        <w:t>жить на авиазаводе №81 в Москве.</w:t>
      </w:r>
    </w:p>
    <w:p w14:paraId="25B15C27" w14:textId="77777777" w:rsidR="00AF4487" w:rsidRPr="00E14102" w:rsidRDefault="00AF4487" w:rsidP="00E14102">
      <w:pPr>
        <w:jc w:val="both"/>
        <w:rPr>
          <w:color w:val="0070C0"/>
          <w:sz w:val="16"/>
          <w:szCs w:val="16"/>
        </w:rPr>
      </w:pPr>
      <w:r w:rsidRPr="00E14102">
        <w:rPr>
          <w:color w:val="0070C0"/>
          <w:sz w:val="16"/>
          <w:szCs w:val="16"/>
        </w:rPr>
        <w:t>Вполне успешные испытания ДИ-6 в 1935 г. совпали по времени с прекращением серийного производства поли- карповского истребителя И-15. Поэтому до конца года рассматривалось предложение Кочеригина создать на ба</w:t>
      </w:r>
      <w:r w:rsidRPr="00E14102">
        <w:rPr>
          <w:color w:val="0070C0"/>
          <w:sz w:val="16"/>
          <w:szCs w:val="16"/>
        </w:rPr>
        <w:softHyphen/>
        <w:t>зе двухместной машины одноместный вариант истребите</w:t>
      </w:r>
      <w:r w:rsidRPr="00E14102">
        <w:rPr>
          <w:color w:val="0070C0"/>
          <w:sz w:val="16"/>
          <w:szCs w:val="16"/>
        </w:rPr>
        <w:softHyphen/>
        <w:t>ля. Такой самолет под обозначением ЦКБ-41 разрабаты</w:t>
      </w:r>
      <w:r w:rsidRPr="00E14102">
        <w:rPr>
          <w:color w:val="0070C0"/>
          <w:sz w:val="16"/>
          <w:szCs w:val="16"/>
        </w:rPr>
        <w:softHyphen/>
        <w:t>вался, однако до практического воплощения дело не до</w:t>
      </w:r>
      <w:r w:rsidRPr="00E14102">
        <w:rPr>
          <w:color w:val="0070C0"/>
          <w:sz w:val="16"/>
          <w:szCs w:val="16"/>
        </w:rPr>
        <w:softHyphen/>
        <w:t>шло (20362).</w:t>
      </w:r>
    </w:p>
    <w:p w14:paraId="202919E3" w14:textId="77777777" w:rsidR="00AF4487" w:rsidRPr="00E14102" w:rsidRDefault="00AF4487" w:rsidP="00E14102">
      <w:pPr>
        <w:shd w:val="clear" w:color="auto" w:fill="FFFFFF"/>
        <w:jc w:val="both"/>
        <w:rPr>
          <w:color w:val="0070C0"/>
          <w:sz w:val="16"/>
          <w:szCs w:val="16"/>
        </w:rPr>
      </w:pPr>
    </w:p>
    <w:p w14:paraId="61C9B8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июня 1935 г. Начальник УВВС РККА Я. И. Алкснис утвердил разработанные специалистами НИИ ВВС тактико-технические требования к "войсковому самолету общего назначения" в вариантах разведчика-корректировщика и штурмовика. Согласно ТТТ, разведчик-корректировщик должен был вести "разведку визуально-фотографическую и фотографическую и корректировку огня своей артиллерии", а штурмовик - выполнять атаку наземных целей. При этом для разведчика-корректировщика требовалось предусмотреть "лучший обзор летчику-наблюдателю для разведки малых целей на всяких высотах днем и ночью", а "установка пулеметной батареи" на штурмовике "должна давать возможность обстрела целей, лежащих впереди самолета с высоты 50-100 м на максимальной горизонтальной скорости полета у земли". Кроме того, "особым свойством всех этих самолетов должно быть обязательное выдерживание минимальной заданной посадочной скорости и очень малого разбега при старте, так как самолет, как правило, будет действовать с необорудованных аэродромов".</w:t>
      </w:r>
    </w:p>
    <w:p w14:paraId="12BB51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Экипаж самолета в варианте штурмовика - 2 человека (летчик и летнаб), в варианте разведчика- 3 (те же и стрелок).</w:t>
      </w:r>
    </w:p>
    <w:p w14:paraId="3740A9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горизонтальная скорость "войскового самолета" на высоте 3000-5000 м при полетном весе, обеспечивающем техническую дальность на скорости не ниже 0,8 максимальной, должна была быть не менее 350-400 км/ч, посадочная - не более 70-80 км/ч. Пробег на посадке в безветренную погоду с применением тормозов не должен был превышать 100 м, а разбег-90-100 м. Предельная техническая дальность полета предполагалась не менее 1200 км.</w:t>
      </w:r>
    </w:p>
    <w:p w14:paraId="46BD57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"Самолету должна быть обеспечена устойчивость на всех режимах полета и во всех направлениях (продольной, поперечной, пути) для всех присущих ему вариантов нагрузки", "самолет должен позволять полет с брошенной ручкой в течение времени не менее 5 минут на крейсерской скорости" и, кроме этого, "допускать производство пикирования под углом до 60° со снижением по высоте не менее 600 м".</w:t>
      </w:r>
    </w:p>
    <w:p w14:paraId="68DF76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Бензобаки новой машины требовалось снабдить "протекторами, обеспечивающими невозгораемость баков при пробоинах от зажигательных пуль".</w:t>
      </w:r>
    </w:p>
    <w:p w14:paraId="5FDF2E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варианте штурмовика предусматривался следующий состав вооружения: "а) 2 пулеметные крыльевые батареи, состоящие из двух пулеметов ШКАС... боезапас - 4000 выстрелов. б) Один пулемет ШКАС...на экранированной установке с боезапасом 1000 выстрелов... "</w:t>
      </w:r>
    </w:p>
    <w:p w14:paraId="10195B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предполагалось иметь 5 основных вариантов загрузки штурмовика бомбами и другими средствами поражения общим весом до 400 кг, среди которых и такие как выливные авиаприборы и "огнеструеметы для зажигания целей".</w:t>
      </w:r>
    </w:p>
    <w:p w14:paraId="37E479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Комплект бортового оборудования самолета-штурмовика должен был: позволять полеты в СМУ днем и ночью; обеспечивать радиосвязь экипажа в полете как с землей, так и с другими своими самолетами; позволять вести перспективную аэрофотосъемку в неблагоприятных условиях с помощью полуавтоматического аэрофотоаппарата АФА-15, а также обеспечивать "потребное время пребывания на высоте боевого применения".</w:t>
      </w:r>
    </w:p>
    <w:p w14:paraId="532675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 разведчика-корректировщика предполагалось, естественно, значительно слабее - один ШКАС в крыле и 60 кг авиабомб на внутренней подвеске. В бомбовую зарядку входили и 28-кг ФОТАБы для выполнения ночных съемок. Оборонительное вооружение - то же, что и у штурмовика.</w:t>
      </w:r>
    </w:p>
    <w:p w14:paraId="058416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Фотооборудование самолета должно было включать в себя аэрофотоаппарат АФА-17 с фокусными расстояниями 300 и 500 мм, обеспечивающий планово-перспективную фотосъемку с высоты до 8000 м "днем и ночью в целях войскового командования". Для выполнения ночной фотосъемки АФА-17 мог быть заменен на НАФА. В остальном бортовой комплект оборудования разведчика-корректировщика ничем не отличался от такового для штурмовика.</w:t>
      </w:r>
    </w:p>
    <w:p w14:paraId="37639C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Как следует из анализа ТТТ и последующей переписки между УВВС и ГУАП, при том, что военные предлагали на базе конструкции одного самолета создать два типа боевых машин - штурмовик и разведчик-корректировщик, которые практически полностью охватывали бы задачи непосредственной авиационной поддержки наземных войск, явное предпочтение отдается разведчику (3451).</w:t>
      </w:r>
    </w:p>
    <w:p w14:paraId="037258C8" w14:textId="77777777" w:rsidR="00D4105E" w:rsidRPr="00E14102" w:rsidRDefault="00D4105E" w:rsidP="00E14102">
      <w:pPr>
        <w:autoSpaceDE w:val="0"/>
        <w:autoSpaceDN w:val="0"/>
        <w:adjustRightInd w:val="0"/>
        <w:jc w:val="both"/>
        <w:rPr>
          <w:color w:val="000000" w:themeColor="text1"/>
          <w:sz w:val="16"/>
          <w:szCs w:val="16"/>
        </w:rPr>
      </w:pPr>
    </w:p>
    <w:p w14:paraId="54C49E96"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r w:rsidRPr="00E14102">
        <w:rPr>
          <w:color w:val="000000" w:themeColor="text1"/>
          <w:sz w:val="16"/>
          <w:szCs w:val="16"/>
        </w:rPr>
        <w:t>28 июня 1935 г. Начальник У ВВС КА Я.И.Алкснис утвердил разработан</w:t>
      </w:r>
      <w:r w:rsidRPr="00E14102">
        <w:rPr>
          <w:color w:val="000000" w:themeColor="text1"/>
          <w:sz w:val="16"/>
          <w:szCs w:val="16"/>
        </w:rPr>
        <w:softHyphen/>
        <w:t>ные специалистами НИИ ВВС такти</w:t>
      </w:r>
      <w:r w:rsidRPr="00E14102">
        <w:rPr>
          <w:color w:val="000000" w:themeColor="text1"/>
          <w:sz w:val="16"/>
          <w:szCs w:val="16"/>
        </w:rPr>
        <w:softHyphen/>
        <w:t xml:space="preserve">ко-технические требования </w:t>
      </w:r>
      <w:r w:rsidRPr="00E14102">
        <w:rPr>
          <w:iCs/>
          <w:color w:val="000000" w:themeColor="text1"/>
          <w:sz w:val="16"/>
          <w:szCs w:val="16"/>
        </w:rPr>
        <w:t>“к войско</w:t>
      </w:r>
      <w:r w:rsidRPr="00E14102">
        <w:rPr>
          <w:iCs/>
          <w:color w:val="000000" w:themeColor="text1"/>
          <w:sz w:val="16"/>
          <w:szCs w:val="16"/>
        </w:rPr>
        <w:softHyphen/>
        <w:t xml:space="preserve">вому самолету общего назначения” </w:t>
      </w:r>
      <w:r w:rsidRPr="00E14102">
        <w:rPr>
          <w:color w:val="000000" w:themeColor="text1"/>
          <w:sz w:val="16"/>
          <w:szCs w:val="16"/>
        </w:rPr>
        <w:t>в двух вариантах: разведчик-коррек</w:t>
      </w:r>
      <w:r w:rsidRPr="00E14102">
        <w:rPr>
          <w:color w:val="000000" w:themeColor="text1"/>
          <w:sz w:val="16"/>
          <w:szCs w:val="16"/>
        </w:rPr>
        <w:softHyphen/>
        <w:t>тировщик и штурмовик. Как следует из анализа ТТТ и пос</w:t>
      </w:r>
      <w:r w:rsidRPr="00E14102">
        <w:rPr>
          <w:color w:val="000000" w:themeColor="text1"/>
          <w:sz w:val="16"/>
          <w:szCs w:val="16"/>
        </w:rPr>
        <w:softHyphen/>
        <w:t>ледующей переписки между УВВС и ГУАП, военные предлагали на базе конструкции одного самолета создать два типа боевых машин - штурмовик и разведчик-корректировщик, которые практически полностью “накрыли” бы задачи непосредственной авиационной поддержки наземных войск при прове</w:t>
      </w:r>
      <w:r w:rsidRPr="00E14102">
        <w:rPr>
          <w:color w:val="000000" w:themeColor="text1"/>
          <w:sz w:val="16"/>
          <w:szCs w:val="16"/>
        </w:rPr>
        <w:softHyphen/>
        <w:t>дении последними глубокой наступа</w:t>
      </w:r>
      <w:r w:rsidRPr="00E14102">
        <w:rPr>
          <w:color w:val="000000" w:themeColor="text1"/>
          <w:sz w:val="16"/>
          <w:szCs w:val="16"/>
        </w:rPr>
        <w:softHyphen/>
        <w:t>тельной операции. До конца года ТТТ к перспектив</w:t>
      </w:r>
      <w:r w:rsidRPr="00E14102">
        <w:rPr>
          <w:color w:val="000000" w:themeColor="text1"/>
          <w:sz w:val="16"/>
          <w:szCs w:val="16"/>
        </w:rPr>
        <w:softHyphen/>
        <w:t xml:space="preserve">ному </w:t>
      </w:r>
      <w:r w:rsidRPr="00E14102">
        <w:rPr>
          <w:iCs/>
          <w:color w:val="000000" w:themeColor="text1"/>
          <w:sz w:val="16"/>
          <w:szCs w:val="16"/>
        </w:rPr>
        <w:t>“войсковому самолету общего назначения”</w:t>
      </w:r>
      <w:r w:rsidRPr="00E14102">
        <w:rPr>
          <w:color w:val="000000" w:themeColor="text1"/>
          <w:sz w:val="16"/>
          <w:szCs w:val="16"/>
        </w:rPr>
        <w:t xml:space="preserve"> ВВС КА проходили процедуру согласования и уточнения с ведущими авиационными специалистами (6269).</w:t>
      </w:r>
    </w:p>
    <w:p w14:paraId="1604C799"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p>
    <w:p w14:paraId="5069E9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июня 1935 г. Начальник УВВС КА Я. И. Алкснис утвердил разработанные специалистами НИИ ВВС тактико-технические требования “к войсковому самолету общего назначения” в двух вариантах: разведчик-корректировщик и штурмовик.</w:t>
      </w:r>
    </w:p>
    <w:p w14:paraId="0A35D1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ТТТ разведчик-корректировщик должен был вести “разведку визуально-фотографическую и фотографическую и корректировку огня своей артиллерии”, а штурмовик -выполнять атаку наземных целей.</w:t>
      </w:r>
    </w:p>
    <w:p w14:paraId="4DA9BB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этом для разведчика-корректировщика требовалось предусмотреть“лучший обзор летчику-наблюдателю для разведки малых целей на всяких высотах днем и ночью”, а “установка пулеметной батареи” на штурмовике “должна давать возможность обстрела целей, лежащих впереди самолета с высоты 50-100 м на максимальной горизонтальной скорости полета у земли”.</w:t>
      </w:r>
    </w:p>
    <w:p w14:paraId="037D89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этого, “особым свойством всех этих самолетов должно быть обязательное выдерживание минимальной заданной посадочной скорости и очень малого разбега при старте, так как самолет, как правило, будет действовать с необорудованных аэродромов”.</w:t>
      </w:r>
    </w:p>
    <w:p w14:paraId="020D24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Экипаж самолета в варианте штурмовика - два человека (летчик и лет-наб), в варианте разведчика - три человека (летчик, летнаб и стрелок).</w:t>
      </w:r>
    </w:p>
    <w:p w14:paraId="4D3025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горизонтальная скорость “войскового самолета” на высоте 3000-5000 м при полетном весе, обеспечивающем техническую дальность полета на скорости не ниже 0,8 максимальной должна была быть не менее 350-400 км/ч, посадочная -не более 70-80 км/ч. Пробег самолета на посадке в безветренную погоду с применением тормозов не должна превышать 100 м, а разбег самолета при взлете в тех же условиях - 90-100 м.</w:t>
      </w:r>
    </w:p>
    <w:p w14:paraId="4B2A40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емкость бензобаков должна соответствовать предельной технической дальности полета не менее 1200 км.</w:t>
      </w:r>
    </w:p>
    <w:p w14:paraId="2F03A5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“Самолету должна быть обеспечена устойчивость на всех режимах полета и во всех направлениях (продольной, поперечной, пути) для всех присущих ему вариантов нагрузки”, “самолет должен позволять полет с брошенной ручкой в течение времени не менее 5 минут на крейсерской скорости” и, кроме того, “допускать производство пикирования под углом до 60° со снижением по высоте не менее 600 м”.</w:t>
      </w:r>
    </w:p>
    <w:p w14:paraId="39E1A0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Бензобаки новой машины снабжались “протекторами, обеспечивающими невозгораемость баков при пробоинах от зажигательных пуль”.</w:t>
      </w:r>
    </w:p>
    <w:p w14:paraId="1FDBED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Прочность самолета должна была соответствовать нормам IV группы военных самолетов, по нормам прочности 1934 г., с расчетной перегрузкой для случая Акр - 9,5.</w:t>
      </w:r>
    </w:p>
    <w:p w14:paraId="532868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службы машины до капитального ремонта определялся в 400 часов налета.</w:t>
      </w:r>
    </w:p>
    <w:p w14:paraId="502C3A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варианте штурмовика предусматривался следующий состав вооружения:</w:t>
      </w:r>
    </w:p>
    <w:p w14:paraId="4BD2C5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“а) две пулеметные крыльевые батареи, состоящие из двух пулеметов ШКАС калибра 7,62 мм с соответствующей прицельной аппаратурой, механизмом перезаряжания и автоматического устранения задержек, сигнальным щитком, боезапас - 4000 выстрелов (1000 патронов на пулемет).</w:t>
      </w:r>
    </w:p>
    <w:p w14:paraId="6FE325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Один пулемет ШКАС калибра 7,62 мм на экранированной установке с боезапасом 1000 выстрелов.</w:t>
      </w:r>
    </w:p>
    <w:p w14:paraId="7814AF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Бомбардировочное и химическое оборудование емкостью 400 кг, калибр бомб от 8 кг до 250 кг... ”</w:t>
      </w:r>
    </w:p>
    <w:p w14:paraId="4C8DFD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этом установка наступательных пулеметов (по два пулемета в крыле вне плоскости, сметаемой винтом) должна допускать на земле регулировку в вертикальной плоскости от +3° до -10°, в горизонтальной плоскости до 3° (вправо и влево) относительно оси самолета. Рассеивание при стрельбе - не более две тысячных дальности.</w:t>
      </w:r>
    </w:p>
    <w:p w14:paraId="7E419E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свою очередь, турельная оборо-нительная установка под пулемет ШКАС должна обеспечивать свободный поворот пулемета для стрельбы в горизонтальной плоскости на 360°, допускать угол возвышения пулемета для прицельной стрельбы вперед (в направлении линии полета) от 30° до 60° относительно оси самолета, для стрельбы вниз с борта с углом снижения 60° со свободным переносом пулемета с одного борта на другой, для обстрела задней полусферы угол возвышения 60°, обстрел вниз под хвост с углом снижения пулемета 30°.</w:t>
      </w:r>
    </w:p>
    <w:p w14:paraId="3670B0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 (нормальная нагрузка 300 кг, в перегрузку - 400 кг) позволяло подвешивать на штурмовик: осколочные бомбы от 8 кг (АО-8) до 25 кг (АО-25) внутри фюзеляжа в кассетных лег-косъемных бомбодержателях Дер-30; бомбы калибра от 50 кг до 100 кг (4 шт.) - на балки-нервюры, вделанные в плоскости с замками Дер-31; бомбы весом 250 кг (ДРП-250 и РРАБ-250) - под фюзеляжем на легкосъем-ных поясных подвесках в замках Дер-31, которые крепятся на лонжеронах фюзеляжа.</w:t>
      </w:r>
    </w:p>
    <w:p w14:paraId="1C3CA3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Предполагалось иметь пять основных вариантов загрузки штурмовика бомбами и другими средствами поражения весом от 60 до 400 кг. При этом один из вариантов загрузки штурмовика предусматривал подвеску 200 кг бомб в кассетах и подвеску под крыльями двух выливных авиаприборов по 100 кг или двух “огнеструеметов для зажигания целей - по 100 кг”.</w:t>
      </w:r>
    </w:p>
    <w:p w14:paraId="5D5A95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Комплект бортового оборудования самолета-штурмовика должен был обеспечивать слепой полет в сложных метеоусловиях, в том числе и ночью, надежную радиосвязь экипажа в полете как с землей, так и “с самолетами своего соединения в воздухе”, перспективную аэрофотосъемку в неблагоприятных условиях с помощью полуавтоматического аэрофотоаппарата АФА-15 (высота боевого применения до 4500 м, количество снимков - 80), а также “потребное время пребывания но высоте боевого применения”.</w:t>
      </w:r>
    </w:p>
    <w:p w14:paraId="77278F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Наступательное вооружение разведчика-корректировщика было, естественно, значительно слабее - один пулемет ШКАС (боекомплект 750 патронов) в крыле, вне плоскости омета-емой винтом, и 60 кг авиабомб (калибр 8-25 кг) на внутренней подвеске.</w:t>
      </w:r>
    </w:p>
    <w:p w14:paraId="43BE95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Оборонительное вооружение со стороны верхней задней полусферы такое же как у штурмовика, но, кроме этого, было “желательно снабжение стрелка люковой установкой с пулеметом ШКАС кал. 7,62 с 500 патронами”.</w:t>
      </w:r>
    </w:p>
    <w:p w14:paraId="01873E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отличие от штурмовика в бомбовую зарядку разведчика-корректировщика также входили фотоавиабомбы по 28 кг (до 10 шт. в перегрузку). Фотобомбы предполагалось использовать только при выполнении ночной аэрофотосъемки.</w:t>
      </w:r>
    </w:p>
    <w:p w14:paraId="3C6F2B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Фотооборудование разведчика-корректировщика включало в себя установку автоматического электрифицированного аэрофотоаппарата АФА-17 с фокусными расстояниями в 300 и 500 мм (в зависимости от задания), обеспечивающую планово-перспективную фотосъемку с высоты до 8000 м (всего 200 снимков) “днем и ночью в целях войскового командования”.</w:t>
      </w:r>
    </w:p>
    <w:p w14:paraId="0FF516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выполнения ночной фотосъемки АФА-17 мог быть заменен на НАФА с фокусным расстоянием 250 мм (высота боевого применения - до 100 м летом и 2000 м - зимой).</w:t>
      </w:r>
    </w:p>
    <w:p w14:paraId="4863F4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остальном бортовой комплект оборудования разведчика-корректировщика ничем не отличался от такового для самолета-штурмовика.</w:t>
      </w:r>
    </w:p>
    <w:p w14:paraId="3DABF0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Как следует из анализа ТТТ и последующей переписки между УВВС и ГУАП, военные предлагали на базе конструкции одного самолета создать два типа боевых машин - штурмовик и разведчик-корректировщик, которые практически полностью “накрыли” бы задачи непосредственной авиационной поддержки наземных войск при проведении последними глубокой наступательной операции.</w:t>
      </w:r>
    </w:p>
    <w:p w14:paraId="0838DA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конца года ТТТ к перспективному “войсковому самолету общего назначения” ВВС КА проходили мучительную процедуру согласования и уточнения с ведущими авиационными специалистами (9649).</w:t>
      </w:r>
    </w:p>
    <w:p w14:paraId="0813A862" w14:textId="77777777" w:rsidR="00D4105E" w:rsidRPr="00E14102" w:rsidRDefault="00D4105E" w:rsidP="00E14102">
      <w:pPr>
        <w:autoSpaceDE w:val="0"/>
        <w:autoSpaceDN w:val="0"/>
        <w:adjustRightInd w:val="0"/>
        <w:jc w:val="both"/>
        <w:rPr>
          <w:color w:val="000000" w:themeColor="text1"/>
          <w:sz w:val="16"/>
          <w:szCs w:val="16"/>
        </w:rPr>
      </w:pPr>
    </w:p>
    <w:p w14:paraId="752F6D0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 28 июня 1935 г. имеется отчет о стрельбе ракет</w:t>
      </w:r>
      <w:r w:rsidRPr="00E14102">
        <w:rPr>
          <w:color w:val="000000" w:themeColor="text1"/>
          <w:sz w:val="16"/>
          <w:szCs w:val="16"/>
        </w:rPr>
        <w:softHyphen/>
        <w:t>ными 74-мм агитационными снарядами модели 571. Номер модели гово</w:t>
      </w:r>
      <w:r w:rsidRPr="00E14102">
        <w:rPr>
          <w:color w:val="000000" w:themeColor="text1"/>
          <w:sz w:val="16"/>
          <w:szCs w:val="16"/>
        </w:rPr>
        <w:softHyphen/>
        <w:t>рит о том, что это была также разработка ГДЛ, но куда более ранняя, не</w:t>
      </w:r>
      <w:r w:rsidRPr="00E14102">
        <w:rPr>
          <w:color w:val="000000" w:themeColor="text1"/>
          <w:sz w:val="16"/>
          <w:szCs w:val="16"/>
        </w:rPr>
        <w:softHyphen/>
        <w:t>жели упомянутый РС-74А. На Софринском КИАП их проведением ру</w:t>
      </w:r>
      <w:r w:rsidRPr="00E14102">
        <w:rPr>
          <w:color w:val="000000" w:themeColor="text1"/>
          <w:sz w:val="16"/>
          <w:szCs w:val="16"/>
        </w:rPr>
        <w:softHyphen/>
        <w:t>ководили начальник 1 отдела РНИИ Ф.Н.Пойда и старший инженер 1 отдела РНИИ В.А.Артемьев. Цель стрельбы, как ни странно, — опреде</w:t>
      </w:r>
      <w:r w:rsidRPr="00E14102">
        <w:rPr>
          <w:color w:val="000000" w:themeColor="text1"/>
          <w:sz w:val="16"/>
          <w:szCs w:val="16"/>
        </w:rPr>
        <w:softHyphen/>
        <w:t>ление дальности и меткости, проверка действия вышибного заряда. Хо</w:t>
      </w:r>
      <w:r w:rsidRPr="00E14102">
        <w:rPr>
          <w:color w:val="000000" w:themeColor="text1"/>
          <w:sz w:val="16"/>
          <w:szCs w:val="16"/>
        </w:rPr>
        <w:softHyphen/>
        <w:t>тя, для агитационных РС «меткость» - понятие третьестепенное. Для ис</w:t>
      </w:r>
      <w:r w:rsidRPr="00E14102">
        <w:rPr>
          <w:color w:val="000000" w:themeColor="text1"/>
          <w:sz w:val="16"/>
          <w:szCs w:val="16"/>
        </w:rPr>
        <w:softHyphen/>
        <w:t>пытаний приготовили 10 снарядов.</w:t>
      </w:r>
    </w:p>
    <w:p w14:paraId="37766C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Дело в том, что положительные результаты, полученные при опыт</w:t>
      </w:r>
      <w:r w:rsidRPr="00E14102">
        <w:rPr>
          <w:color w:val="000000" w:themeColor="text1"/>
          <w:sz w:val="16"/>
          <w:szCs w:val="16"/>
        </w:rPr>
        <w:softHyphen/>
        <w:t>ной стрельбе «безубойными агитационными РС-132-А модели 148000», у которых корпус БЧ был облегчен, привели к мысли уменьшить массу головной части и 74-мм РС специального назначения, тем самым увели</w:t>
      </w:r>
      <w:r w:rsidRPr="00E14102">
        <w:rPr>
          <w:color w:val="000000" w:themeColor="text1"/>
          <w:sz w:val="16"/>
          <w:szCs w:val="16"/>
        </w:rPr>
        <w:softHyphen/>
        <w:t>чив полезный груз боеприпаса. Понятие «безубойности», применитель</w:t>
      </w:r>
      <w:r w:rsidRPr="00E14102">
        <w:rPr>
          <w:color w:val="000000" w:themeColor="text1"/>
          <w:sz w:val="16"/>
          <w:szCs w:val="16"/>
        </w:rPr>
        <w:softHyphen/>
        <w:t>но к РС вспомогательного назначения, как упоминалось выше, появи</w:t>
      </w:r>
      <w:r w:rsidRPr="00E14102">
        <w:rPr>
          <w:color w:val="000000" w:themeColor="text1"/>
          <w:sz w:val="16"/>
          <w:szCs w:val="16"/>
        </w:rPr>
        <w:softHyphen/>
        <w:t>лось в требованиях военных с 1934 г. Им была необходима гарантия ис</w:t>
      </w:r>
      <w:r w:rsidRPr="00E14102">
        <w:rPr>
          <w:color w:val="000000" w:themeColor="text1"/>
          <w:sz w:val="16"/>
          <w:szCs w:val="16"/>
        </w:rPr>
        <w:softHyphen/>
        <w:t>ключения возможности травмировать свой личный состав падающими на землю элементами конструкции боеприпаса после срабатывания БЧ на траектории.</w:t>
      </w:r>
    </w:p>
    <w:p w14:paraId="553024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Это же требование подхватили и политрабочие, посчитавшие нелогич</w:t>
      </w:r>
      <w:r w:rsidRPr="00E14102">
        <w:rPr>
          <w:color w:val="000000" w:themeColor="text1"/>
          <w:sz w:val="16"/>
          <w:szCs w:val="16"/>
        </w:rPr>
        <w:softHyphen/>
        <w:t>ным призывать солдат противника в листовках сдаваться и при этом сы</w:t>
      </w:r>
      <w:r w:rsidRPr="00E14102">
        <w:rPr>
          <w:color w:val="000000" w:themeColor="text1"/>
          <w:sz w:val="16"/>
          <w:szCs w:val="16"/>
        </w:rPr>
        <w:softHyphen/>
        <w:t>пать им на головы отработавшие многокилограммовые ракетные двигате</w:t>
      </w:r>
      <w:r w:rsidRPr="00E14102">
        <w:rPr>
          <w:color w:val="000000" w:themeColor="text1"/>
          <w:sz w:val="16"/>
          <w:szCs w:val="16"/>
        </w:rPr>
        <w:softHyphen/>
        <w:t>ли. Кстати, в ствольной полевой артиллерии эта проблема решалась тоже не совсем оригинально. Корпуса агитационных артснарядов были более толстостенными и не менее тяжелыми, но летели они по более настильной траектории. Поэтому листовки они разбрасывали над линией фронта, а тяжелым стаканом кого-то било в тактическом тылу за несколько кило</w:t>
      </w:r>
      <w:r w:rsidRPr="00E14102">
        <w:rPr>
          <w:color w:val="000000" w:themeColor="text1"/>
          <w:sz w:val="16"/>
          <w:szCs w:val="16"/>
        </w:rPr>
        <w:softHyphen/>
        <w:t>метров. Но, как говорят специалисты по статистической теории, для на</w:t>
      </w:r>
      <w:r w:rsidRPr="00E14102">
        <w:rPr>
          <w:color w:val="000000" w:themeColor="text1"/>
          <w:sz w:val="16"/>
          <w:szCs w:val="16"/>
        </w:rPr>
        <w:softHyphen/>
        <w:t>блюдателей по ту сторону фронта это были два независимых события...</w:t>
      </w:r>
    </w:p>
    <w:p w14:paraId="32FE18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Позже в мастерской РНИИ корпуса чугунных головных частей РС массой 1,78 кг для агитационных боеприпасов и 0,89 кг для осветитель</w:t>
      </w:r>
      <w:r w:rsidRPr="00E14102">
        <w:rPr>
          <w:color w:val="000000" w:themeColor="text1"/>
          <w:sz w:val="16"/>
          <w:szCs w:val="16"/>
        </w:rPr>
        <w:softHyphen/>
        <w:t>ных заменили деревянными массой около 0,30 кг. РЗ этих боеприпасов состоял из 8 шашек габаритами 24/6-57,5 мм производства 1933 г. По его торцам располагались донный и сопловой воспламенители из 3-граммо</w:t>
      </w:r>
      <w:r w:rsidRPr="00E14102">
        <w:rPr>
          <w:color w:val="000000" w:themeColor="text1"/>
          <w:sz w:val="16"/>
          <w:szCs w:val="16"/>
        </w:rPr>
        <w:softHyphen/>
        <w:t>вых навесок ДРП. Воспламеняли РЗ от «капсюля охотничье-ружейного центрового боя». БЧ были снаряжены агитлитературой в виде рулона ли</w:t>
      </w:r>
      <w:r w:rsidRPr="00E14102">
        <w:rPr>
          <w:color w:val="000000" w:themeColor="text1"/>
          <w:sz w:val="16"/>
          <w:szCs w:val="16"/>
        </w:rPr>
        <w:softHyphen/>
        <w:t>стовок размерами 256x134 мм из бумаги с удельной массой 200 мг/м</w:t>
      </w:r>
      <w:r w:rsidRPr="00E14102">
        <w:rPr>
          <w:color w:val="000000" w:themeColor="text1"/>
          <w:sz w:val="16"/>
          <w:szCs w:val="16"/>
          <w:vertAlign w:val="superscript"/>
        </w:rPr>
        <w:t>2</w:t>
      </w:r>
      <w:r w:rsidRPr="00E14102">
        <w:rPr>
          <w:color w:val="000000" w:themeColor="text1"/>
          <w:sz w:val="16"/>
          <w:szCs w:val="16"/>
        </w:rPr>
        <w:t>. У шести боеприпасов на дно стакана БЧ было уложено по мешочку вы</w:t>
      </w:r>
      <w:r w:rsidRPr="00E14102">
        <w:rPr>
          <w:color w:val="000000" w:themeColor="text1"/>
          <w:sz w:val="16"/>
          <w:szCs w:val="16"/>
        </w:rPr>
        <w:softHyphen/>
        <w:t>шибного заряда из 5 г ДРП. У остальных снарядов, предназначенных для стрельбы на дальность, вышибной заряд отсутствовал.</w:t>
      </w:r>
    </w:p>
    <w:p w14:paraId="58F5A5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Пламя на вышибной заряд передавалось от дистанционного кольца, которое, в свою очередь, зажигалось от огня из ракетной камеры, поступающего сквозь отверстие в донной части двигателя. Установка дистан</w:t>
      </w:r>
      <w:r w:rsidRPr="00E14102">
        <w:rPr>
          <w:color w:val="000000" w:themeColor="text1"/>
          <w:sz w:val="16"/>
          <w:szCs w:val="16"/>
        </w:rPr>
        <w:softHyphen/>
        <w:t>ционного кольца у всех боеприпасов была на полное время горения дис</w:t>
      </w:r>
      <w:r w:rsidRPr="00E14102">
        <w:rPr>
          <w:color w:val="000000" w:themeColor="text1"/>
          <w:sz w:val="16"/>
          <w:szCs w:val="16"/>
        </w:rPr>
        <w:softHyphen/>
        <w:t>танционного состава — 15 с. Отстреливали снаряды из станка «герман</w:t>
      </w:r>
      <w:r w:rsidRPr="00E14102">
        <w:rPr>
          <w:color w:val="000000" w:themeColor="text1"/>
          <w:sz w:val="16"/>
          <w:szCs w:val="16"/>
        </w:rPr>
        <w:softHyphen/>
        <w:t>ский гранатомет», который устанавливали на деревянном настиле без крепления.</w:t>
      </w:r>
    </w:p>
    <w:p w14:paraId="62DF921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Первые шесть снарядов отстреляли для проверки безотказности дей</w:t>
      </w:r>
      <w:r w:rsidRPr="00E14102">
        <w:rPr>
          <w:color w:val="000000" w:themeColor="text1"/>
          <w:sz w:val="16"/>
          <w:szCs w:val="16"/>
        </w:rPr>
        <w:softHyphen/>
        <w:t>ствия дистанционного устройства, последующие — для определения дальности боковых отклонений. При действии вышибного заряда бое</w:t>
      </w:r>
      <w:r w:rsidRPr="00E14102">
        <w:rPr>
          <w:color w:val="000000" w:themeColor="text1"/>
          <w:sz w:val="16"/>
          <w:szCs w:val="16"/>
        </w:rPr>
        <w:softHyphen/>
        <w:t>припасы срабатывали на высоте 1000-1500 м. Таким образом, замена чу</w:t>
      </w:r>
      <w:r w:rsidRPr="00E14102">
        <w:rPr>
          <w:color w:val="000000" w:themeColor="text1"/>
          <w:sz w:val="16"/>
          <w:szCs w:val="16"/>
        </w:rPr>
        <w:softHyphen/>
        <w:t>гунного корпуса БЧ деревянным не снизила баллистических качеств снаряда. Дальность падения снарядов при стрельбе с углами возвышения 45° соответствовала 2600 м. По мнению испытателей, горение дистанци</w:t>
      </w:r>
      <w:r w:rsidRPr="00E14102">
        <w:rPr>
          <w:color w:val="000000" w:themeColor="text1"/>
          <w:sz w:val="16"/>
          <w:szCs w:val="16"/>
        </w:rPr>
        <w:softHyphen/>
        <w:t>онного состава следовало увеличить до 20 с, «чтобы получать разрывы на высоте не более 500 м». Действие вышибного заряда и разброс агитлитературы — нормальные. Отклонение снарядов в сторону в начале полета объяснили неустойчивостью станка при выстреле. Было признано, чти в дальнейшем боеприпасы модели 571 необходимо проектировать с об</w:t>
      </w:r>
      <w:r w:rsidRPr="00E14102">
        <w:rPr>
          <w:color w:val="000000" w:themeColor="text1"/>
          <w:sz w:val="16"/>
          <w:szCs w:val="16"/>
        </w:rPr>
        <w:softHyphen/>
        <w:t>легченными БЧ (11402).</w:t>
      </w:r>
    </w:p>
    <w:p w14:paraId="35F441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676B20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29952BF" w14:textId="77777777" w:rsidR="00D4105E" w:rsidRPr="00E14102" w:rsidRDefault="00D4105E" w:rsidP="00E14102">
      <w:pPr>
        <w:autoSpaceDE w:val="0"/>
        <w:autoSpaceDN w:val="0"/>
        <w:adjustRightInd w:val="0"/>
        <w:jc w:val="both"/>
        <w:rPr>
          <w:iCs/>
          <w:color w:val="000000" w:themeColor="text1"/>
          <w:sz w:val="16"/>
          <w:szCs w:val="16"/>
        </w:rPr>
      </w:pPr>
    </w:p>
    <w:p w14:paraId="0F0841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 июня 1935 г. в письме зам. начальника АБТУ РККА Г. Бокису Шитиков писал:</w:t>
      </w:r>
    </w:p>
    <w:p w14:paraId="4AD41C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«Информирую Вас, что мною уже окончательно законче</w:t>
      </w:r>
      <w:r w:rsidRPr="00E14102">
        <w:rPr>
          <w:color w:val="000000" w:themeColor="text1"/>
          <w:sz w:val="16"/>
          <w:szCs w:val="16"/>
        </w:rPr>
        <w:softHyphen/>
        <w:t>на модернизация Т-37А, которая содержит:</w:t>
      </w:r>
    </w:p>
    <w:p w14:paraId="4645B5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по весу легче, следовательно, скорость выше;</w:t>
      </w:r>
    </w:p>
    <w:p w14:paraId="7B4C38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имеет лучшую пулестойкость;</w:t>
      </w:r>
    </w:p>
    <w:p w14:paraId="3610626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изготовление значительно проще;</w:t>
      </w:r>
    </w:p>
    <w:p w14:paraId="2D9C15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свободно размещены командир и водитель, они могут свободно обмениваться местами, не выходя из танка;</w:t>
      </w:r>
    </w:p>
    <w:p w14:paraId="57F016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лучшая плавучесть.</w:t>
      </w:r>
    </w:p>
    <w:p w14:paraId="3088D87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Прошу посмотреть эту работу. Она проделана в порядке социалистического соревнования по рабочему проекту».</w:t>
      </w:r>
    </w:p>
    <w:p w14:paraId="0CE423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 новая модификация Т-37 уже не вызвала одобрения 'У руководства УММ, и потому работы по изготовлению Т-37В не проводились (10733,297).</w:t>
      </w:r>
    </w:p>
    <w:p w14:paraId="273C0E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610EC6C" w14:textId="77777777" w:rsidR="00A92F4D" w:rsidRPr="00E14102" w:rsidRDefault="00A92F4D" w:rsidP="00E14102">
      <w:pPr>
        <w:pStyle w:val="rtejustify"/>
        <w:spacing w:before="0" w:after="0"/>
        <w:rPr>
          <w:color w:val="000000" w:themeColor="text1"/>
          <w:sz w:val="16"/>
          <w:szCs w:val="16"/>
        </w:rPr>
      </w:pPr>
      <w:r w:rsidRPr="00E14102">
        <w:rPr>
          <w:rStyle w:val="a6"/>
          <w:bCs/>
          <w:i w:val="0"/>
          <w:color w:val="000000" w:themeColor="text1"/>
          <w:sz w:val="16"/>
          <w:szCs w:val="16"/>
        </w:rPr>
        <w:t>28 июня 1935 вышел приказ НКТП № 107сс.</w:t>
      </w:r>
      <w:r w:rsidRPr="00E14102">
        <w:rPr>
          <w:color w:val="000000" w:themeColor="text1"/>
          <w:sz w:val="16"/>
          <w:szCs w:val="16"/>
        </w:rPr>
        <w:t xml:space="preserve"> О мерах по обеспечению выполнения правительственного задания по изготовлению Заводом опытного машиностроения им. С. М. Кирова трех машин СУ</w:t>
      </w:r>
      <w:r w:rsidRPr="00E14102">
        <w:rPr>
          <w:color w:val="000000" w:themeColor="text1"/>
          <w:sz w:val="16"/>
          <w:szCs w:val="16"/>
        </w:rPr>
        <w:noBreakHyphen/>
        <w:t>14</w:t>
      </w:r>
      <w:r w:rsidRPr="00E14102">
        <w:rPr>
          <w:color w:val="000000" w:themeColor="text1"/>
          <w:sz w:val="16"/>
          <w:szCs w:val="16"/>
        </w:rPr>
        <w:noBreakHyphen/>
        <w:t>1. (РГАЭ. Ф. 7297. Оп. 38. Д. 171. Л. 173</w:t>
      </w:r>
      <w:r w:rsidRPr="00E14102">
        <w:rPr>
          <w:color w:val="000000" w:themeColor="text1"/>
          <w:sz w:val="16"/>
          <w:szCs w:val="16"/>
        </w:rPr>
        <w:noBreakHyphen/>
        <w:t>170) (15246).</w:t>
      </w:r>
    </w:p>
    <w:p w14:paraId="124AC12E" w14:textId="77777777" w:rsidR="00A92F4D" w:rsidRPr="00E14102" w:rsidRDefault="00A92F4D" w:rsidP="00E14102">
      <w:pPr>
        <w:pStyle w:val="rtejustify"/>
        <w:spacing w:before="0" w:after="0"/>
        <w:rPr>
          <w:color w:val="000000" w:themeColor="text1"/>
          <w:sz w:val="16"/>
          <w:szCs w:val="16"/>
        </w:rPr>
      </w:pPr>
    </w:p>
    <w:p w14:paraId="58E1C24C" w14:textId="77777777" w:rsidR="00A92F4D"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7E7CD7A" w14:textId="77777777" w:rsidR="00A92F4D" w:rsidRPr="00E14102" w:rsidRDefault="00A92F4D" w:rsidP="00E14102">
      <w:pPr>
        <w:autoSpaceDE w:val="0"/>
        <w:autoSpaceDN w:val="0"/>
        <w:adjustRightInd w:val="0"/>
        <w:jc w:val="both"/>
        <w:rPr>
          <w:iCs/>
          <w:color w:val="000000" w:themeColor="text1"/>
          <w:sz w:val="16"/>
          <w:szCs w:val="16"/>
        </w:rPr>
      </w:pPr>
    </w:p>
    <w:p w14:paraId="42C2A26D" w14:textId="77777777" w:rsidR="00A92F4D" w:rsidRPr="00E14102" w:rsidRDefault="00A92F4D" w:rsidP="00E14102">
      <w:pPr>
        <w:jc w:val="both"/>
        <w:rPr>
          <w:color w:val="000000" w:themeColor="text1"/>
          <w:sz w:val="16"/>
          <w:szCs w:val="16"/>
        </w:rPr>
      </w:pPr>
      <w:r w:rsidRPr="00E14102">
        <w:rPr>
          <w:bCs/>
          <w:color w:val="000000" w:themeColor="text1"/>
          <w:sz w:val="16"/>
          <w:szCs w:val="16"/>
        </w:rPr>
        <w:lastRenderedPageBreak/>
        <w:t>28 июня</w:t>
      </w:r>
      <w:r w:rsidRPr="00E14102">
        <w:rPr>
          <w:color w:val="000000" w:themeColor="text1"/>
          <w:sz w:val="16"/>
          <w:szCs w:val="16"/>
        </w:rPr>
        <w:t xml:space="preserve"> в 1935 году И.В.Сталин принимает французского писателя Ромена Роллана. Поскольку их разговор не предполагается опубликовывать (на русском языке он будет напечатан только в 1989), И.В.Сталин предельно откровенен. На вопрос Ролана, как понять постановление ЦИК СССР от 7 апреля 1935, разрешающее применение смертной казни к детям, начиная с 12-летнего возраста, И.В.Сталин отвечает: "Необходимо внушить страх. Мы должны были принять этот репрессивный закон, грозящий смертной казнью детям-преступникам и особенно их подстрекателям. На самом деле этот закон мы не применяем. Надеюсь, он и не будет применен. Естественно, публично мы этого признать не можем; потеряется нужный эффект, эффект устрашения" (14936).</w:t>
      </w:r>
    </w:p>
    <w:p w14:paraId="3FDE1906" w14:textId="77777777" w:rsidR="00A92F4D" w:rsidRPr="00E14102" w:rsidRDefault="00A92F4D" w:rsidP="00E14102">
      <w:pPr>
        <w:jc w:val="both"/>
        <w:rPr>
          <w:color w:val="000000" w:themeColor="text1"/>
          <w:sz w:val="16"/>
          <w:szCs w:val="16"/>
        </w:rPr>
      </w:pPr>
    </w:p>
    <w:p w14:paraId="4672C476" w14:textId="77777777" w:rsidR="00A92F4D"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BE7AF12" w14:textId="77777777" w:rsidR="00A92F4D" w:rsidRPr="00E14102" w:rsidRDefault="00A92F4D" w:rsidP="00E14102">
      <w:pPr>
        <w:autoSpaceDE w:val="0"/>
        <w:autoSpaceDN w:val="0"/>
        <w:adjustRightInd w:val="0"/>
        <w:jc w:val="both"/>
        <w:rPr>
          <w:iCs/>
          <w:color w:val="000000" w:themeColor="text1"/>
          <w:sz w:val="16"/>
          <w:szCs w:val="16"/>
        </w:rPr>
      </w:pPr>
    </w:p>
    <w:p w14:paraId="423414F7" w14:textId="77777777" w:rsidR="00A92F4D" w:rsidRPr="00E14102" w:rsidRDefault="00A92F4D" w:rsidP="00E14102">
      <w:pPr>
        <w:jc w:val="both"/>
        <w:rPr>
          <w:color w:val="000000" w:themeColor="text1"/>
          <w:sz w:val="16"/>
          <w:szCs w:val="16"/>
        </w:rPr>
      </w:pPr>
      <w:r w:rsidRPr="00E14102">
        <w:rPr>
          <w:bCs/>
          <w:color w:val="000000" w:themeColor="text1"/>
          <w:sz w:val="16"/>
          <w:szCs w:val="16"/>
        </w:rPr>
        <w:t>28 июня</w:t>
      </w:r>
      <w:r w:rsidRPr="00E14102">
        <w:rPr>
          <w:color w:val="000000" w:themeColor="text1"/>
          <w:sz w:val="16"/>
          <w:szCs w:val="16"/>
        </w:rPr>
        <w:t xml:space="preserve"> в 1935 году совершил первый полет головной самолет малой серии, изготовленной на заводе "Хаукер" в Лэнгли. </w:t>
      </w:r>
      <w:hyperlink r:id="rId136" w:tgtFrame="_blank" w:history="1">
        <w:r w:rsidRPr="00E14102">
          <w:rPr>
            <w:color w:val="000000" w:themeColor="text1"/>
            <w:sz w:val="16"/>
            <w:szCs w:val="16"/>
          </w:rPr>
          <w:t xml:space="preserve">«Hawker Hartbeest» </w:t>
        </w:r>
      </w:hyperlink>
      <w:r w:rsidRPr="00E14102">
        <w:rPr>
          <w:color w:val="000000" w:themeColor="text1"/>
          <w:sz w:val="16"/>
          <w:szCs w:val="16"/>
        </w:rPr>
        <w:t>(«Hartebeest», «Hartbees») - многоцелевой самолет взаимодействия с сухопутными войсками. Одномоторный цельнометаллический биплан с неубирающимся шасси. Модернизированный вариант самолета "Одэкс" для ВВС Южно-Африканского Союза (ЮАС). Спроектирован в КБ фирмы "Хаукер эйркрафт" под руководством С.Кэмма. От "Одэкса" отличался введением бронезащиты, дополнительным радиатором, измененным оборудованием. Опытного экземпляра не было. Основное производство начали на предприятии "Роберте хейтсверк" (Претория, ЮАС) весной 1937 года. Всего изготовили 69 экземпляров, завершив выпуск в 1938 году. Поздние серии отличались улучшенной вентиляцией капота, измененными выхлопными патрубками. В 1939 году самолеты прошли модернизацию бомбового вооружения (14936).</w:t>
      </w:r>
    </w:p>
    <w:p w14:paraId="63150FE2" w14:textId="77777777" w:rsidR="00A92F4D" w:rsidRPr="00E14102" w:rsidRDefault="00A92F4D" w:rsidP="00E14102">
      <w:pPr>
        <w:jc w:val="both"/>
        <w:rPr>
          <w:color w:val="000000" w:themeColor="text1"/>
          <w:sz w:val="16"/>
          <w:szCs w:val="16"/>
        </w:rPr>
      </w:pPr>
    </w:p>
    <w:p w14:paraId="53E7CC2B" w14:textId="77777777" w:rsidR="00AC71A9" w:rsidRPr="00E14102" w:rsidRDefault="00AC71A9" w:rsidP="00E14102">
      <w:pPr>
        <w:jc w:val="both"/>
        <w:rPr>
          <w:color w:val="0070C0"/>
          <w:sz w:val="16"/>
          <w:szCs w:val="16"/>
        </w:rPr>
      </w:pPr>
      <w:r w:rsidRPr="00E14102">
        <w:rPr>
          <w:color w:val="0070C0"/>
          <w:sz w:val="16"/>
          <w:szCs w:val="16"/>
        </w:rPr>
        <w:t>28 июня 1935 - Совершил первый полёт головной самолёт малой серии Hawker Hartbees, изготовленной на заводе "Хаукер" в Лэнгли. Hawker Hartbeest (Hartebeest, Hartbees) - многоцелевой самолёт взаимодействия с сухопутными войсками. Одномоторный цельнометаллический биплан с неубирающимся шасси. Модернизированный вариант самолёта "Одэкс" для ВВС Южно-Африканского Союза (ЮАС). Спроектирован в КБ фирмы "Хаукер эйркрафт" под руководством С. Кэмма. От "Одэкса" отличался введением бронезащиты, дополнительным радиатором, изменённым оборудованием. Опытного экземпляра не было. Основное производство начали на предприятии "Роберте хейтсверк" (Претория, ЮАС) весной 1937 года. Всего изготовили 69 экз., завершив выпуск в 1938 году. Поздние серии отличались улучшенной вентиляцией капота, изменёнными выхлопными патрубками. В 1939 году самолёты прошли модернизацию бомбового вооружения (22446).</w:t>
      </w:r>
    </w:p>
    <w:p w14:paraId="7E907A57" w14:textId="77777777" w:rsidR="00AC71A9" w:rsidRPr="00E14102" w:rsidRDefault="00AC71A9" w:rsidP="00E14102">
      <w:pPr>
        <w:shd w:val="clear" w:color="auto" w:fill="FFFFFF"/>
        <w:jc w:val="both"/>
        <w:rPr>
          <w:color w:val="0070C0"/>
          <w:sz w:val="16"/>
          <w:szCs w:val="16"/>
        </w:rPr>
      </w:pPr>
    </w:p>
    <w:p w14:paraId="3A0F4E3C" w14:textId="77777777" w:rsidR="00A92F4D" w:rsidRPr="00E14102" w:rsidRDefault="00A92F4D" w:rsidP="00E14102">
      <w:pPr>
        <w:jc w:val="both"/>
        <w:rPr>
          <w:color w:val="000000" w:themeColor="text1"/>
          <w:sz w:val="16"/>
          <w:szCs w:val="16"/>
        </w:rPr>
      </w:pPr>
      <w:r w:rsidRPr="00E14102">
        <w:rPr>
          <w:bCs/>
          <w:color w:val="000000" w:themeColor="text1"/>
          <w:sz w:val="16"/>
          <w:szCs w:val="16"/>
        </w:rPr>
        <w:t>28 июня</w:t>
      </w:r>
      <w:r w:rsidRPr="00E14102">
        <w:rPr>
          <w:color w:val="000000" w:themeColor="text1"/>
          <w:sz w:val="16"/>
          <w:szCs w:val="16"/>
        </w:rPr>
        <w:t xml:space="preserve"> в 1935 году опытный образец бомбардировщика </w:t>
      </w:r>
      <w:hyperlink r:id="rId137" w:tgtFrame="_blank" w:history="1">
        <w:r w:rsidRPr="00E14102">
          <w:rPr>
            <w:color w:val="000000" w:themeColor="text1"/>
            <w:sz w:val="16"/>
            <w:szCs w:val="16"/>
          </w:rPr>
          <w:t xml:space="preserve">«Boeing» «F-9» </w:t>
        </w:r>
      </w:hyperlink>
      <w:r w:rsidRPr="00E14102">
        <w:rPr>
          <w:color w:val="000000" w:themeColor="text1"/>
          <w:sz w:val="16"/>
          <w:szCs w:val="16"/>
        </w:rPr>
        <w:t>совершил первый полет. «F-9» являлся разведывательным вариантом тяжелого бомбардировщика «В-17» "Флайинг Фортресс" ("Летающая крепость"). Последний под названием "модель 299" был сконструирован в КБ фирмы "Боинг эйрплейн" под руководством Э.Уэллса. «Boeing» «F-9» - дальний разведчик, четырехмоторный цельнометаллический моноплан с убирающимся шасси. Экипаж - 9 - 10 человек. С декабря 1936 года эта машина под обозначением «В-17» начала серийно выпускаться на заводе "Боинг" в Сиэттле и в марте 1937 года была принята на вооружение Авиационного корпуса армии США (14936).</w:t>
      </w:r>
    </w:p>
    <w:p w14:paraId="7839144F" w14:textId="77777777" w:rsidR="00A92F4D" w:rsidRPr="00E14102" w:rsidRDefault="00A92F4D" w:rsidP="00E14102">
      <w:pPr>
        <w:jc w:val="both"/>
        <w:rPr>
          <w:color w:val="000000" w:themeColor="text1"/>
          <w:sz w:val="16"/>
          <w:szCs w:val="16"/>
        </w:rPr>
      </w:pPr>
    </w:p>
    <w:p w14:paraId="40CD039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40FE9D0" w14:textId="77777777" w:rsidR="00D4105E" w:rsidRPr="00E14102" w:rsidRDefault="00D4105E" w:rsidP="00E14102">
      <w:pPr>
        <w:autoSpaceDE w:val="0"/>
        <w:autoSpaceDN w:val="0"/>
        <w:adjustRightInd w:val="0"/>
        <w:jc w:val="both"/>
        <w:rPr>
          <w:iCs/>
          <w:color w:val="000000" w:themeColor="text1"/>
          <w:sz w:val="16"/>
          <w:szCs w:val="16"/>
        </w:rPr>
      </w:pPr>
    </w:p>
    <w:p w14:paraId="418993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июня 1935 разведчик Р Зет М-34Н был передан на гос. испытания (3072).</w:t>
      </w:r>
    </w:p>
    <w:p w14:paraId="55E2CB0D" w14:textId="77777777" w:rsidR="00D4105E" w:rsidRPr="00E14102" w:rsidRDefault="00D4105E" w:rsidP="00E14102">
      <w:pPr>
        <w:autoSpaceDE w:val="0"/>
        <w:autoSpaceDN w:val="0"/>
        <w:adjustRightInd w:val="0"/>
        <w:jc w:val="both"/>
        <w:rPr>
          <w:color w:val="000000" w:themeColor="text1"/>
          <w:sz w:val="16"/>
          <w:szCs w:val="16"/>
        </w:rPr>
      </w:pPr>
    </w:p>
    <w:p w14:paraId="789492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июня 1935 Р-Зет сдали на государственные испытания. В июле - сентябре 1935 г. провели испытания Р-Зет в НИИ ВВС. Длительный срок объяснялся недоведенностью конструкции. Всё время что-нибудь ломалось или отказывалось работать так, как надо. В одной из сводок об испытаниях записано: "Больше простаивает и числится, чем испытывается..."</w:t>
      </w:r>
    </w:p>
    <w:p w14:paraId="76C638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Сравнение данных самолётов ЛP и Р-Зет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E3599D" w:rsidRPr="00E14102" w14:paraId="26009F3F" w14:textId="77777777">
        <w:tc>
          <w:tcPr>
            <w:tcW w:w="2802" w:type="dxa"/>
            <w:tcBorders>
              <w:top w:val="single" w:sz="12" w:space="0" w:color="auto"/>
            </w:tcBorders>
          </w:tcPr>
          <w:p w14:paraId="2D83E8D8"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Borders>
              <w:top w:val="single" w:sz="12" w:space="0" w:color="auto"/>
            </w:tcBorders>
          </w:tcPr>
          <w:p w14:paraId="388878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ЛР 1933 г.</w:t>
            </w:r>
          </w:p>
        </w:tc>
        <w:tc>
          <w:tcPr>
            <w:tcW w:w="2802" w:type="dxa"/>
            <w:tcBorders>
              <w:top w:val="single" w:sz="12" w:space="0" w:color="auto"/>
            </w:tcBorders>
          </w:tcPr>
          <w:p w14:paraId="6678B6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ЛР 1934 г.</w:t>
            </w:r>
          </w:p>
        </w:tc>
        <w:tc>
          <w:tcPr>
            <w:tcW w:w="2802" w:type="dxa"/>
            <w:tcBorders>
              <w:top w:val="single" w:sz="12" w:space="0" w:color="auto"/>
            </w:tcBorders>
          </w:tcPr>
          <w:p w14:paraId="3FF7F1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Р-Зет опытный</w:t>
            </w:r>
          </w:p>
        </w:tc>
      </w:tr>
      <w:tr w:rsidR="00E3599D" w:rsidRPr="00E14102" w14:paraId="0F25680F" w14:textId="77777777">
        <w:tc>
          <w:tcPr>
            <w:tcW w:w="2802" w:type="dxa"/>
          </w:tcPr>
          <w:p w14:paraId="00E9FC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верхнего крыла, м</w:t>
            </w:r>
          </w:p>
        </w:tc>
        <w:tc>
          <w:tcPr>
            <w:tcW w:w="2802" w:type="dxa"/>
          </w:tcPr>
          <w:p w14:paraId="2B8288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w:t>
            </w:r>
          </w:p>
        </w:tc>
        <w:tc>
          <w:tcPr>
            <w:tcW w:w="2802" w:type="dxa"/>
          </w:tcPr>
          <w:p w14:paraId="49B1AF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w:t>
            </w:r>
          </w:p>
        </w:tc>
        <w:tc>
          <w:tcPr>
            <w:tcW w:w="2802" w:type="dxa"/>
          </w:tcPr>
          <w:p w14:paraId="409E2C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15,5</w:t>
            </w:r>
          </w:p>
        </w:tc>
      </w:tr>
      <w:tr w:rsidR="00E3599D" w:rsidRPr="00E14102" w14:paraId="0E98409C" w14:textId="77777777">
        <w:tc>
          <w:tcPr>
            <w:tcW w:w="2802" w:type="dxa"/>
          </w:tcPr>
          <w:p w14:paraId="2915AE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нижнего крыла, м</w:t>
            </w:r>
          </w:p>
        </w:tc>
        <w:tc>
          <w:tcPr>
            <w:tcW w:w="2802" w:type="dxa"/>
          </w:tcPr>
          <w:p w14:paraId="3FC83D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w:t>
            </w:r>
          </w:p>
        </w:tc>
        <w:tc>
          <w:tcPr>
            <w:tcW w:w="2802" w:type="dxa"/>
          </w:tcPr>
          <w:p w14:paraId="7FF5F8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w:t>
            </w:r>
          </w:p>
        </w:tc>
        <w:tc>
          <w:tcPr>
            <w:tcW w:w="2802" w:type="dxa"/>
          </w:tcPr>
          <w:p w14:paraId="1A4CC7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11,6</w:t>
            </w:r>
          </w:p>
        </w:tc>
      </w:tr>
      <w:tr w:rsidR="00E3599D" w:rsidRPr="00E14102" w14:paraId="67F2678F" w14:textId="77777777">
        <w:tc>
          <w:tcPr>
            <w:tcW w:w="2802" w:type="dxa"/>
          </w:tcPr>
          <w:p w14:paraId="01F360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м</w:t>
            </w:r>
          </w:p>
        </w:tc>
        <w:tc>
          <w:tcPr>
            <w:tcW w:w="2802" w:type="dxa"/>
          </w:tcPr>
          <w:p w14:paraId="70B912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8,64</w:t>
            </w:r>
          </w:p>
        </w:tc>
        <w:tc>
          <w:tcPr>
            <w:tcW w:w="2802" w:type="dxa"/>
          </w:tcPr>
          <w:p w14:paraId="071771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8,64</w:t>
            </w:r>
          </w:p>
        </w:tc>
        <w:tc>
          <w:tcPr>
            <w:tcW w:w="2802" w:type="dxa"/>
          </w:tcPr>
          <w:p w14:paraId="296377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9,7</w:t>
            </w:r>
          </w:p>
        </w:tc>
      </w:tr>
      <w:tr w:rsidR="00E3599D" w:rsidRPr="00E14102" w14:paraId="26850A44" w14:textId="77777777">
        <w:tc>
          <w:tcPr>
            <w:tcW w:w="2802" w:type="dxa"/>
          </w:tcPr>
          <w:p w14:paraId="597BB8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крыла, м2</w:t>
            </w:r>
          </w:p>
        </w:tc>
        <w:tc>
          <w:tcPr>
            <w:tcW w:w="2802" w:type="dxa"/>
          </w:tcPr>
          <w:p w14:paraId="7A66F6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36,52</w:t>
            </w:r>
          </w:p>
        </w:tc>
        <w:tc>
          <w:tcPr>
            <w:tcW w:w="2802" w:type="dxa"/>
          </w:tcPr>
          <w:p w14:paraId="5B1D52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36,52</w:t>
            </w:r>
          </w:p>
        </w:tc>
        <w:tc>
          <w:tcPr>
            <w:tcW w:w="2802" w:type="dxa"/>
          </w:tcPr>
          <w:p w14:paraId="0F03F9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42,52</w:t>
            </w:r>
          </w:p>
        </w:tc>
      </w:tr>
      <w:tr w:rsidR="00E3599D" w:rsidRPr="00E14102" w14:paraId="79E79E8B" w14:textId="77777777">
        <w:tc>
          <w:tcPr>
            <w:tcW w:w="2802" w:type="dxa"/>
          </w:tcPr>
          <w:p w14:paraId="58E79E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кг:</w:t>
            </w:r>
          </w:p>
        </w:tc>
        <w:tc>
          <w:tcPr>
            <w:tcW w:w="2802" w:type="dxa"/>
          </w:tcPr>
          <w:p w14:paraId="48BC7A39"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01A9B55A"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669EEC9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6A393C7" w14:textId="77777777">
        <w:tc>
          <w:tcPr>
            <w:tcW w:w="2802" w:type="dxa"/>
          </w:tcPr>
          <w:p w14:paraId="45BA34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пустого</w:t>
            </w:r>
          </w:p>
        </w:tc>
        <w:tc>
          <w:tcPr>
            <w:tcW w:w="2802" w:type="dxa"/>
          </w:tcPr>
          <w:p w14:paraId="137F01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1734"</w:t>
            </w:r>
          </w:p>
        </w:tc>
        <w:tc>
          <w:tcPr>
            <w:tcW w:w="2802" w:type="dxa"/>
          </w:tcPr>
          <w:p w14:paraId="0A64BF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1812</w:t>
            </w:r>
          </w:p>
        </w:tc>
        <w:tc>
          <w:tcPr>
            <w:tcW w:w="2802" w:type="dxa"/>
          </w:tcPr>
          <w:p w14:paraId="5609F2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2007</w:t>
            </w:r>
          </w:p>
        </w:tc>
      </w:tr>
      <w:tr w:rsidR="00E3599D" w:rsidRPr="00E14102" w14:paraId="4FCDAD0B" w14:textId="77777777">
        <w:tc>
          <w:tcPr>
            <w:tcW w:w="2802" w:type="dxa"/>
          </w:tcPr>
          <w:p w14:paraId="5C6929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взлётный</w:t>
            </w:r>
          </w:p>
        </w:tc>
        <w:tc>
          <w:tcPr>
            <w:tcW w:w="2802" w:type="dxa"/>
          </w:tcPr>
          <w:p w14:paraId="4973E9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2426</w:t>
            </w:r>
          </w:p>
        </w:tc>
        <w:tc>
          <w:tcPr>
            <w:tcW w:w="2802" w:type="dxa"/>
          </w:tcPr>
          <w:p w14:paraId="7EE397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2626</w:t>
            </w:r>
          </w:p>
        </w:tc>
        <w:tc>
          <w:tcPr>
            <w:tcW w:w="2802" w:type="dxa"/>
          </w:tcPr>
          <w:p w14:paraId="7C39C8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3150</w:t>
            </w:r>
          </w:p>
        </w:tc>
      </w:tr>
      <w:tr w:rsidR="00E3599D" w:rsidRPr="00E14102" w14:paraId="53777108" w14:textId="77777777">
        <w:tc>
          <w:tcPr>
            <w:tcW w:w="2802" w:type="dxa"/>
          </w:tcPr>
          <w:p w14:paraId="207451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км/ч:</w:t>
            </w:r>
          </w:p>
        </w:tc>
        <w:tc>
          <w:tcPr>
            <w:tcW w:w="2802" w:type="dxa"/>
          </w:tcPr>
          <w:p w14:paraId="2955E8DE"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5FD34644"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473B92B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213B3BA" w14:textId="77777777">
        <w:tc>
          <w:tcPr>
            <w:tcW w:w="2802" w:type="dxa"/>
          </w:tcPr>
          <w:p w14:paraId="28382C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земли</w:t>
            </w:r>
          </w:p>
        </w:tc>
        <w:tc>
          <w:tcPr>
            <w:tcW w:w="2802" w:type="dxa"/>
          </w:tcPr>
          <w:p w14:paraId="0E1D85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271</w:t>
            </w:r>
          </w:p>
        </w:tc>
        <w:tc>
          <w:tcPr>
            <w:tcW w:w="2802" w:type="dxa"/>
          </w:tcPr>
          <w:p w14:paraId="1D8740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282</w:t>
            </w:r>
          </w:p>
        </w:tc>
        <w:tc>
          <w:tcPr>
            <w:tcW w:w="2802" w:type="dxa"/>
          </w:tcPr>
          <w:p w14:paraId="68D3D8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276</w:t>
            </w:r>
          </w:p>
        </w:tc>
      </w:tr>
      <w:tr w:rsidR="00E3599D" w:rsidRPr="00E14102" w14:paraId="4A31FC2B" w14:textId="77777777">
        <w:tc>
          <w:tcPr>
            <w:tcW w:w="2802" w:type="dxa"/>
          </w:tcPr>
          <w:p w14:paraId="68E2B3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высоте</w:t>
            </w:r>
          </w:p>
        </w:tc>
        <w:tc>
          <w:tcPr>
            <w:tcW w:w="2802" w:type="dxa"/>
          </w:tcPr>
          <w:p w14:paraId="5C1F23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247</w:t>
            </w:r>
          </w:p>
        </w:tc>
        <w:tc>
          <w:tcPr>
            <w:tcW w:w="2802" w:type="dxa"/>
          </w:tcPr>
          <w:p w14:paraId="31997A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314</w:t>
            </w:r>
          </w:p>
        </w:tc>
        <w:tc>
          <w:tcPr>
            <w:tcW w:w="2802" w:type="dxa"/>
          </w:tcPr>
          <w:p w14:paraId="67FC03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316</w:t>
            </w:r>
          </w:p>
        </w:tc>
      </w:tr>
      <w:tr w:rsidR="00E3599D" w:rsidRPr="00E14102" w14:paraId="291A52CA" w14:textId="77777777">
        <w:tc>
          <w:tcPr>
            <w:tcW w:w="2802" w:type="dxa"/>
          </w:tcPr>
          <w:p w14:paraId="7AA3CF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w:t>
            </w:r>
          </w:p>
        </w:tc>
        <w:tc>
          <w:tcPr>
            <w:tcW w:w="2802" w:type="dxa"/>
          </w:tcPr>
          <w:p w14:paraId="796588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93</w:t>
            </w:r>
          </w:p>
        </w:tc>
        <w:tc>
          <w:tcPr>
            <w:tcW w:w="2802" w:type="dxa"/>
          </w:tcPr>
          <w:p w14:paraId="47403B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94</w:t>
            </w:r>
          </w:p>
        </w:tc>
        <w:tc>
          <w:tcPr>
            <w:tcW w:w="2802" w:type="dxa"/>
          </w:tcPr>
          <w:p w14:paraId="06453B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w:t>
            </w:r>
          </w:p>
        </w:tc>
      </w:tr>
      <w:tr w:rsidR="00E3599D" w:rsidRPr="00E14102" w14:paraId="5153C167" w14:textId="77777777">
        <w:tc>
          <w:tcPr>
            <w:tcW w:w="2802" w:type="dxa"/>
          </w:tcPr>
          <w:p w14:paraId="71E6E3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Практический потолок,м</w:t>
            </w:r>
          </w:p>
        </w:tc>
        <w:tc>
          <w:tcPr>
            <w:tcW w:w="2802" w:type="dxa"/>
          </w:tcPr>
          <w:p w14:paraId="41C4CA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7250"</w:t>
            </w:r>
          </w:p>
        </w:tc>
        <w:tc>
          <w:tcPr>
            <w:tcW w:w="2802" w:type="dxa"/>
          </w:tcPr>
          <w:p w14:paraId="3596CB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9100</w:t>
            </w:r>
          </w:p>
        </w:tc>
        <w:tc>
          <w:tcPr>
            <w:tcW w:w="2802" w:type="dxa"/>
          </w:tcPr>
          <w:p w14:paraId="750163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8700</w:t>
            </w:r>
          </w:p>
        </w:tc>
      </w:tr>
      <w:tr w:rsidR="00E3599D" w:rsidRPr="00E14102" w14:paraId="4011FB99" w14:textId="77777777">
        <w:tc>
          <w:tcPr>
            <w:tcW w:w="2802" w:type="dxa"/>
          </w:tcPr>
          <w:p w14:paraId="152F6F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полёта, м</w:t>
            </w:r>
          </w:p>
        </w:tc>
        <w:tc>
          <w:tcPr>
            <w:tcW w:w="2802" w:type="dxa"/>
          </w:tcPr>
          <w:p w14:paraId="57D173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8052'</w:t>
            </w:r>
          </w:p>
        </w:tc>
        <w:tc>
          <w:tcPr>
            <w:tcW w:w="2802" w:type="dxa"/>
          </w:tcPr>
          <w:p w14:paraId="195707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2802" w:type="dxa"/>
          </w:tcPr>
          <w:p w14:paraId="3AC203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r>
      <w:tr w:rsidR="00E3599D" w:rsidRPr="00E14102" w14:paraId="0A0FE4E8" w14:textId="77777777">
        <w:tc>
          <w:tcPr>
            <w:tcW w:w="2802" w:type="dxa"/>
          </w:tcPr>
          <w:p w14:paraId="0CEDFA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Набор высоты 3000 м, мин</w:t>
            </w:r>
          </w:p>
        </w:tc>
        <w:tc>
          <w:tcPr>
            <w:tcW w:w="2802" w:type="dxa"/>
          </w:tcPr>
          <w:p w14:paraId="20B737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7,3</w:t>
            </w:r>
          </w:p>
        </w:tc>
        <w:tc>
          <w:tcPr>
            <w:tcW w:w="2802" w:type="dxa"/>
          </w:tcPr>
          <w:p w14:paraId="2FDA57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w:t>
            </w:r>
          </w:p>
        </w:tc>
        <w:tc>
          <w:tcPr>
            <w:tcW w:w="2802" w:type="dxa"/>
          </w:tcPr>
          <w:p w14:paraId="665947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6,6</w:t>
            </w:r>
          </w:p>
        </w:tc>
      </w:tr>
      <w:tr w:rsidR="00E3599D" w:rsidRPr="00E14102" w14:paraId="38344E82" w14:textId="77777777">
        <w:tc>
          <w:tcPr>
            <w:tcW w:w="2802" w:type="dxa"/>
          </w:tcPr>
          <w:p w14:paraId="1ECD4C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Разбег, м</w:t>
            </w:r>
          </w:p>
        </w:tc>
        <w:tc>
          <w:tcPr>
            <w:tcW w:w="2802" w:type="dxa"/>
          </w:tcPr>
          <w:p w14:paraId="4502A199"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10FE38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210</w:t>
            </w:r>
          </w:p>
        </w:tc>
        <w:tc>
          <w:tcPr>
            <w:tcW w:w="2802" w:type="dxa"/>
          </w:tcPr>
          <w:p w14:paraId="03D908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270</w:t>
            </w:r>
          </w:p>
        </w:tc>
      </w:tr>
      <w:tr w:rsidR="00E3599D" w:rsidRPr="00E14102" w14:paraId="107B181C" w14:textId="77777777">
        <w:tc>
          <w:tcPr>
            <w:tcW w:w="2802" w:type="dxa"/>
          </w:tcPr>
          <w:p w14:paraId="49B4B2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Пробег, м</w:t>
            </w:r>
          </w:p>
        </w:tc>
        <w:tc>
          <w:tcPr>
            <w:tcW w:w="2802" w:type="dxa"/>
          </w:tcPr>
          <w:p w14:paraId="3430100C"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32E45D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w:t>
            </w:r>
          </w:p>
        </w:tc>
        <w:tc>
          <w:tcPr>
            <w:tcW w:w="2802" w:type="dxa"/>
          </w:tcPr>
          <w:p w14:paraId="7DDFDF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220</w:t>
            </w:r>
          </w:p>
        </w:tc>
      </w:tr>
      <w:tr w:rsidR="00E3599D" w:rsidRPr="00E14102" w14:paraId="4BA4B5C8" w14:textId="77777777">
        <w:tc>
          <w:tcPr>
            <w:tcW w:w="2802" w:type="dxa"/>
          </w:tcPr>
          <w:p w14:paraId="5D58AF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 кг</w:t>
            </w:r>
          </w:p>
        </w:tc>
        <w:tc>
          <w:tcPr>
            <w:tcW w:w="2802" w:type="dxa"/>
          </w:tcPr>
          <w:p w14:paraId="2E569B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2802" w:type="dxa"/>
          </w:tcPr>
          <w:p w14:paraId="4BA927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2802" w:type="dxa"/>
          </w:tcPr>
          <w:p w14:paraId="336F30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r>
      <w:tr w:rsidR="00E3599D" w:rsidRPr="00E14102" w14:paraId="76AF90D3" w14:textId="77777777">
        <w:tc>
          <w:tcPr>
            <w:tcW w:w="2802" w:type="dxa"/>
            <w:tcBorders>
              <w:bottom w:val="single" w:sz="12" w:space="0" w:color="auto"/>
            </w:tcBorders>
          </w:tcPr>
          <w:p w14:paraId="08DE89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w:t>
            </w:r>
          </w:p>
        </w:tc>
        <w:tc>
          <w:tcPr>
            <w:tcW w:w="2802" w:type="dxa"/>
            <w:tcBorders>
              <w:bottom w:val="single" w:sz="12" w:space="0" w:color="auto"/>
            </w:tcBorders>
          </w:tcPr>
          <w:p w14:paraId="5C4372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2x7,62</w:t>
            </w:r>
          </w:p>
        </w:tc>
        <w:tc>
          <w:tcPr>
            <w:tcW w:w="2802" w:type="dxa"/>
            <w:tcBorders>
              <w:bottom w:val="single" w:sz="12" w:space="0" w:color="auto"/>
            </w:tcBorders>
          </w:tcPr>
          <w:p w14:paraId="228D73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2x7,62</w:t>
            </w:r>
          </w:p>
        </w:tc>
        <w:tc>
          <w:tcPr>
            <w:tcW w:w="2802" w:type="dxa"/>
            <w:tcBorders>
              <w:bottom w:val="single" w:sz="12" w:space="0" w:color="auto"/>
            </w:tcBorders>
          </w:tcPr>
          <w:p w14:paraId="279769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2x7,62</w:t>
            </w:r>
          </w:p>
        </w:tc>
      </w:tr>
    </w:tbl>
    <w:p w14:paraId="4853F7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Примечания: 1) - по другим данным - 7400 м; 2) - по другим данным 700 км: 3) - после доработки, первоначально - 1637 кг</w:t>
      </w:r>
    </w:p>
    <w:p w14:paraId="5846CA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Выводы испытателей были весьма интересны. Лётные данные Р-Зет по сравнению с Р-5 улучшились, хотя до уровня проектных явно не дотягивали. Прирост в основном имел место на больших высотах за счёт наличия нагнетателя на моторе. Так, у земли разница в скорости со штурмовиком ССС (вариантом Р-5 с мотором М-17Ф) составляла всего 7 км/ч. И вообще в НИИ ВВС пришли к выводу, что все преимущества привнёс более мощный и высотный двигатель М-34Н, а изменения в конструкции планёра, с точки зрения аэродинамики, оказались неэффективны. В частности, уменьшение площади крыла повышению скорости вообще не способствовало.</w:t>
      </w:r>
    </w:p>
    <w:p w14:paraId="2ED5CD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Новый мотор мог обеспечить и большую тягу, но его увязали с двухлопастным винтом постоянного шага, имевшим слишком маленький диаметр и слишком большой шаг. Но простое увеличение диаметра не дало бы существенного выигрыша. Требовалось переходить на трёхлопастный винт и к тому же снабдить мотор редуктором.</w:t>
      </w:r>
    </w:p>
    <w:p w14:paraId="5B2F1E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Взлётно-посадочные качества по сравнению с Р-5 ухудшились. Дистанция разбега стала больше. У P-Z оказалась более пологая глиссада планирования. Самолёт долго нёсся над землёй, требуя больших площадок, хотя собственно пробег был даже чуть меньше, чем у Р-5. Столь же медленно новый биплан поднимал хвост на взлёте.</w:t>
      </w:r>
    </w:p>
    <w:p w14:paraId="39C0A4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Резкую критику вызвал непривычный по тому времени закрытый фонарь кабины. Обзор единодушно признали плохим. В отчёте об испытаниях указано, что из-за этого "полёт ниже 50 м просто опасен". Кроме того, замки фонаря часто заедало: его не могли то открыть, то закрыть. Экипаж жаловался на духоту и попадание в кабину выхлопных газов. Кончилось тем, что фонарь полностью демонтировали и поставили перед каждой кабиной по козырьку. Скорость упала на 8 - 10 км/ч, но зато пилот мог ясно видеть, что происходит вокруг.Мотор М-34Н перегревался, особенно на рулении. На опытном образце машины проявились и другие дефекты: самопроизвольно выпускался радиатор (висевший всего в 300 мм от земли), протекали краны и баки, разбалтывался кок винта. Отметили также отказы тормозов колёс и ненадёжность турели Тур-32.</w:t>
      </w:r>
    </w:p>
    <w:p w14:paraId="2E7D8C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в целом вывод гласил: "признать удовлетворительным". Оговорки, конечно, были. Как обычно, перечислили все выявленные недостатки и потребовали их устранить на серийных машинах. Но деваться было уже некуда: завод № 1 получил план на 1935 г., в котором требовалось к сентябрю выпустить первую серию Р-Зет (11995).</w:t>
      </w:r>
    </w:p>
    <w:p w14:paraId="21822026" w14:textId="77777777" w:rsidR="00D4105E" w:rsidRPr="00E14102" w:rsidRDefault="00D4105E" w:rsidP="00E14102">
      <w:pPr>
        <w:autoSpaceDE w:val="0"/>
        <w:autoSpaceDN w:val="0"/>
        <w:adjustRightInd w:val="0"/>
        <w:jc w:val="both"/>
        <w:rPr>
          <w:color w:val="000000" w:themeColor="text1"/>
          <w:sz w:val="16"/>
          <w:szCs w:val="16"/>
        </w:rPr>
      </w:pPr>
    </w:p>
    <w:p w14:paraId="18181B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июня 1935 в НИИ ВВС на гос. испытания пушечного вооружения был передан пушечный истребитель ПИ-1 РЦ Ф-3 (3072).</w:t>
      </w:r>
    </w:p>
    <w:p w14:paraId="6FEDC607" w14:textId="77777777" w:rsidR="00D4105E" w:rsidRPr="00E14102" w:rsidRDefault="00D4105E" w:rsidP="00E14102">
      <w:pPr>
        <w:autoSpaceDE w:val="0"/>
        <w:autoSpaceDN w:val="0"/>
        <w:adjustRightInd w:val="0"/>
        <w:jc w:val="both"/>
        <w:rPr>
          <w:color w:val="000000" w:themeColor="text1"/>
          <w:sz w:val="16"/>
          <w:szCs w:val="16"/>
        </w:rPr>
      </w:pPr>
    </w:p>
    <w:p w14:paraId="0FD2F1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июня 1935 у Г.Н.Королева в ГУАП было совещание "О производстве металлических винтов" (1025,128).</w:t>
      </w:r>
    </w:p>
    <w:p w14:paraId="2A8B92EA" w14:textId="77777777" w:rsidR="00D4105E" w:rsidRPr="00E14102" w:rsidRDefault="00D4105E" w:rsidP="00E14102">
      <w:pPr>
        <w:autoSpaceDE w:val="0"/>
        <w:autoSpaceDN w:val="0"/>
        <w:adjustRightInd w:val="0"/>
        <w:jc w:val="both"/>
        <w:rPr>
          <w:color w:val="000000" w:themeColor="text1"/>
          <w:sz w:val="16"/>
          <w:szCs w:val="16"/>
        </w:rPr>
      </w:pPr>
    </w:p>
    <w:p w14:paraId="478FD9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29 июня 1935 г. на основании приказа начальника Морских сил РККА от 13 июня 1935 г. и приказа командующего Черноморским флотом от 21 июня 1935 г. провели официальные испытания 132-мм осветительных снарядов на торпедном катере в присутствии комиссии под председательством флагмана артиллерийского штаба </w:t>
      </w:r>
      <w:r w:rsidRPr="00E14102">
        <w:rPr>
          <w:color w:val="000000" w:themeColor="text1"/>
          <w:sz w:val="16"/>
          <w:szCs w:val="16"/>
        </w:rPr>
        <w:lastRenderedPageBreak/>
        <w:t>Черноморского флота товарища Рулль. На их основании как АУ, так и УВМС признали необходимым ввести эти снаряды на вооружение. Отработанные чертежи поступили в НТО-1 ОБАА АУ РККА 13 июля 1935 г., но не были ут</w:t>
      </w:r>
      <w:r w:rsidRPr="00E14102">
        <w:rPr>
          <w:color w:val="000000" w:themeColor="text1"/>
          <w:sz w:val="16"/>
          <w:szCs w:val="16"/>
        </w:rPr>
        <w:softHyphen/>
        <w:t>верждены.</w:t>
      </w:r>
    </w:p>
    <w:p w14:paraId="74868A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Очевидно, причину этого объясняет сообщение о том, что в течение 1935 г. В РНИИ ГУБ Н КТП в рамках темы 45в было проведено исследо</w:t>
      </w:r>
      <w:r w:rsidRPr="00E14102">
        <w:rPr>
          <w:color w:val="000000" w:themeColor="text1"/>
          <w:sz w:val="16"/>
          <w:szCs w:val="16"/>
        </w:rPr>
        <w:softHyphen/>
        <w:t>вание в том числе осветительных составов. Исследовали светосилу осве</w:t>
      </w:r>
      <w:r w:rsidRPr="00E14102">
        <w:rPr>
          <w:color w:val="000000" w:themeColor="text1"/>
          <w:sz w:val="16"/>
          <w:szCs w:val="16"/>
        </w:rPr>
        <w:softHyphen/>
        <w:t>тительных факелов ракетно-осветительно-сигнальных снарядов РОСС-74 и РОСС-132. Можно предположить, что на вооружение УМС 'РККА боеприпас не поступил из-за недостаточной светосилы факелов. Во всяком случае, УВС РККА постоянно было в курсе разработок и ис</w:t>
      </w:r>
      <w:r w:rsidRPr="00E14102">
        <w:rPr>
          <w:color w:val="000000" w:themeColor="text1"/>
          <w:sz w:val="16"/>
          <w:szCs w:val="16"/>
        </w:rPr>
        <w:softHyphen/>
        <w:t>следований по РОСС-132. Только спустя два года авиаторы проявили за</w:t>
      </w:r>
      <w:r w:rsidRPr="00E14102">
        <w:rPr>
          <w:color w:val="000000" w:themeColor="text1"/>
          <w:sz w:val="16"/>
          <w:szCs w:val="16"/>
        </w:rPr>
        <w:softHyphen/>
        <w:t>интересованность в боеприпасах этого назначения (11402).</w:t>
      </w:r>
    </w:p>
    <w:p w14:paraId="687B8A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68950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29 июня 1935 г. на основании приказа начальника Морских Сил РККА и приказа командующего ЧФ, комиссия в составе флагманского артиллериста Штаба ЧФ А.А.Рулль, заместителя начальника РНИИ НКТП Г.Э.Лангемака, помощника начальника 6 отдела УМС РККА Мирошкина, начальника артслужбы УМС РККА Вертовика, начальника от</w:t>
      </w:r>
      <w:r w:rsidRPr="00E14102">
        <w:rPr>
          <w:color w:val="000000" w:themeColor="text1"/>
          <w:sz w:val="16"/>
          <w:szCs w:val="16"/>
        </w:rPr>
        <w:softHyphen/>
        <w:t>дела вооружения Севвоенпорта Артемьева, начальника 2 отделения от</w:t>
      </w:r>
      <w:r w:rsidRPr="00E14102">
        <w:rPr>
          <w:color w:val="000000" w:themeColor="text1"/>
          <w:sz w:val="16"/>
          <w:szCs w:val="16"/>
        </w:rPr>
        <w:softHyphen/>
        <w:t>дела вооружений СГВП Антошина, ВРИД начштаба ЧФ Сиряченко про</w:t>
      </w:r>
      <w:r w:rsidRPr="00E14102">
        <w:rPr>
          <w:color w:val="000000" w:themeColor="text1"/>
          <w:sz w:val="16"/>
          <w:szCs w:val="16"/>
        </w:rPr>
        <w:softHyphen/>
        <w:t>вела заводские испытания стрельбой ракетной установки на торпедном катере №103 второй бригады торпедных катеров ЧФ.</w:t>
      </w:r>
    </w:p>
    <w:p w14:paraId="3CEC24B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испытаниях использовали по 10 РС конструкции и производства РНИИ НКТП калибра 132 мм фугасно-осколочного и осветительного действия. РО на катере установили в кормовой части на расстоянии 1.5 м от флагштока на деревянной платформе. В качестве станка использо</w:t>
      </w:r>
      <w:r w:rsidRPr="00E14102">
        <w:rPr>
          <w:color w:val="000000" w:themeColor="text1"/>
          <w:sz w:val="16"/>
          <w:szCs w:val="16"/>
        </w:rPr>
        <w:softHyphen/>
        <w:t>вали треногу зенитного пулемета. Из фугасно-осколочных снарядов два были инертными, остальные — с боевым снаряжением. Окончательного их снаряжания не проводили - головном очке боеприпасов оставались мастичные пробки. Осветительные снаряды были оснащены четырьмя факелами каждый (масса факела с парашютом — 1 кг). РЗ боеприпасов состоял из шашек рецептуры ПТП, изготовленных в РНИИ. Ракетный боезапас разместили в специальных деревянных секциях, установлен</w:t>
      </w:r>
      <w:r w:rsidRPr="00E14102">
        <w:rPr>
          <w:color w:val="000000" w:themeColor="text1"/>
          <w:sz w:val="16"/>
          <w:szCs w:val="16"/>
        </w:rPr>
        <w:softHyphen/>
        <w:t>ных на торпедных желобах, и накрыли деревянным щитом. Воспламене</w:t>
      </w:r>
      <w:r w:rsidRPr="00E14102">
        <w:rPr>
          <w:color w:val="000000" w:themeColor="text1"/>
          <w:sz w:val="16"/>
          <w:szCs w:val="16"/>
        </w:rPr>
        <w:softHyphen/>
        <w:t>ние РЗ проводили от индуктора с помощью перовой гальванической трубки, установленной в сопловой тарели снаряда.</w:t>
      </w:r>
    </w:p>
    <w:p w14:paraId="4A48DB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стесненных условиях на катере при стрельбе часть комиссии разме</w:t>
      </w:r>
      <w:r w:rsidRPr="00E14102">
        <w:rPr>
          <w:color w:val="000000" w:themeColor="text1"/>
          <w:sz w:val="16"/>
          <w:szCs w:val="16"/>
        </w:rPr>
        <w:softHyphen/>
        <w:t>щалась в рубке, остальные - на баке катера. Целью испытаний было про</w:t>
      </w:r>
      <w:r w:rsidRPr="00E14102">
        <w:rPr>
          <w:color w:val="000000" w:themeColor="text1"/>
          <w:sz w:val="16"/>
          <w:szCs w:val="16"/>
        </w:rPr>
        <w:softHyphen/>
        <w:t>верить действие выстрела РС-132 на катер как стоящий на якоре, так и на ходу. А также определить предельные курсовые углы, при которых возможна стрельба без повреждения катера. У осветительных снарядов, кроме того, проверяли действие факелов и дальность освещения. Вопро</w:t>
      </w:r>
      <w:r w:rsidRPr="00E14102">
        <w:rPr>
          <w:color w:val="000000" w:themeColor="text1"/>
          <w:sz w:val="16"/>
          <w:szCs w:val="16"/>
        </w:rPr>
        <w:softHyphen/>
        <w:t>сы точности стрельбы не исследовали, поскольку пробный образец установки не имел прицела и механизмов наведения. Ее монтаж на катере выполнил инженер РНИИ Е.С.Петров, а огонь вели инженеры РНИИ Л.П.Лобачев и В.А.Артемьев.</w:t>
      </w:r>
    </w:p>
    <w:p w14:paraId="681568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Из десяти РС-132 фугасно-осколочного действия восемь выпустили при углах возвышения 40°. При стрельбе на максимальную дальность струя продуктов горения РЗ проходила рядом с катером. Курсовые углы изменяли в пределах от 23 до 135°, что соответствовало сектору обстрела в 112° на каждый борт. При курсовом угле 23° струя была направлена пря</w:t>
      </w:r>
      <w:r w:rsidRPr="00E14102">
        <w:rPr>
          <w:color w:val="000000" w:themeColor="text1"/>
          <w:sz w:val="16"/>
          <w:szCs w:val="16"/>
        </w:rPr>
        <w:softHyphen/>
        <w:t>мо в борт и палубу катера, причем, расстояние от среза сопла до борта составляло 1,2 м. В остальных случаях оно было около 1,3 м.</w:t>
      </w:r>
    </w:p>
    <w:p w14:paraId="18584E7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ходу катера (при скорости около 10 и 20 узлов) выполнили веет три выстрела. Затем его мотор по иным причинам основательно испор</w:t>
      </w:r>
      <w:r w:rsidRPr="00E14102">
        <w:rPr>
          <w:color w:val="000000" w:themeColor="text1"/>
          <w:sz w:val="16"/>
          <w:szCs w:val="16"/>
        </w:rPr>
        <w:softHyphen/>
        <w:t>тился. Далее стрельбу проводили на якоре, причем, катер был пришвар</w:t>
      </w:r>
      <w:r w:rsidRPr="00E14102">
        <w:rPr>
          <w:color w:val="000000" w:themeColor="text1"/>
          <w:sz w:val="16"/>
          <w:szCs w:val="16"/>
        </w:rPr>
        <w:softHyphen/>
        <w:t>тован к бочке в Карантинной бухте. Было отмечено, что выстрелы РС катер и его механизмы не сотрясали. Звук выстрела был настолько слабым, что на малом ходу его практически не слышно из рубки. Струя, направ</w:t>
      </w:r>
      <w:r w:rsidRPr="00E14102">
        <w:rPr>
          <w:color w:val="000000" w:themeColor="text1"/>
          <w:sz w:val="16"/>
          <w:szCs w:val="16"/>
        </w:rPr>
        <w:softHyphen/>
        <w:t>ленная в воду, «производила слабый всплеск». Отстреляв половину бое</w:t>
      </w:r>
      <w:r w:rsidRPr="00E14102">
        <w:rPr>
          <w:color w:val="000000" w:themeColor="text1"/>
          <w:sz w:val="16"/>
          <w:szCs w:val="16"/>
        </w:rPr>
        <w:softHyphen/>
        <w:t>запаса, моряки не обнаружили следов разрушительного действия РС на матчасть.</w:t>
      </w:r>
    </w:p>
    <w:p w14:paraId="0EC757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Поскольку при стрельбе с углами возвышения 40° падение боеприпа</w:t>
      </w:r>
      <w:r w:rsidRPr="00E14102">
        <w:rPr>
          <w:color w:val="000000" w:themeColor="text1"/>
          <w:sz w:val="16"/>
          <w:szCs w:val="16"/>
        </w:rPr>
        <w:softHyphen/>
        <w:t>сов проходило вне пределов видимого горизонта, на волнении 4-5 бал</w:t>
      </w:r>
      <w:r w:rsidRPr="00E14102">
        <w:rPr>
          <w:color w:val="000000" w:themeColor="text1"/>
          <w:sz w:val="16"/>
          <w:szCs w:val="16"/>
        </w:rPr>
        <w:softHyphen/>
        <w:t>лов два выстрела сделали с углом возвышения орудия 15 и 20°. На месте падения снарядов образовались всплески высотой 10 м на расстоянии 3500 и 4500 м. При стрельбе с места и на ходу «снаряды имели правиль</w:t>
      </w:r>
      <w:r w:rsidRPr="00E14102">
        <w:rPr>
          <w:color w:val="000000" w:themeColor="text1"/>
          <w:sz w:val="16"/>
          <w:szCs w:val="16"/>
        </w:rPr>
        <w:softHyphen/>
        <w:t>ный и устойчивый полет». В ходе стрельбы с курсовым углом 23° в рубке чувствовалось движение теплой струи воздуха.</w:t>
      </w:r>
    </w:p>
    <w:p w14:paraId="107CE6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десяти осветительных снарядов два выпустили днем, семь — но</w:t>
      </w:r>
      <w:r w:rsidRPr="00E14102">
        <w:rPr>
          <w:color w:val="000000" w:themeColor="text1"/>
          <w:sz w:val="16"/>
          <w:szCs w:val="16"/>
        </w:rPr>
        <w:softHyphen/>
        <w:t>чью и один оставили для фотографирования в отчет по испытаниям.</w:t>
      </w:r>
    </w:p>
    <w:p w14:paraId="22A60F6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вечерней стрельбы в море на расстоянии 25 кабельтовых от катера на якоре установили щит, на который РО наводили на глаз. Характер выст</w:t>
      </w:r>
      <w:r w:rsidRPr="00E14102">
        <w:rPr>
          <w:color w:val="000000" w:themeColor="text1"/>
          <w:sz w:val="16"/>
          <w:szCs w:val="16"/>
        </w:rPr>
        <w:softHyphen/>
        <w:t>релов и параметры полета осветительных снарядов практически не отли</w:t>
      </w:r>
      <w:r w:rsidRPr="00E14102">
        <w:rPr>
          <w:color w:val="000000" w:themeColor="text1"/>
          <w:sz w:val="16"/>
          <w:szCs w:val="16"/>
        </w:rPr>
        <w:softHyphen/>
        <w:t>чались от фугасно-осколочных.</w:t>
      </w:r>
    </w:p>
    <w:p w14:paraId="57A9F4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одном из выстрелов отказала дистанционная трубка, и факелы не сработали. В некоторых случаях было отмечено быстрое снижение одно</w:t>
      </w:r>
      <w:r w:rsidRPr="00E14102">
        <w:rPr>
          <w:color w:val="000000" w:themeColor="text1"/>
          <w:sz w:val="16"/>
          <w:szCs w:val="16"/>
        </w:rPr>
        <w:softHyphen/>
        <w:t>го или двух факелов из-за неполного раскрытия или подгорания купола парашюта. При нормальном действии парашюта освещение продолжа</w:t>
      </w:r>
      <w:r w:rsidRPr="00E14102">
        <w:rPr>
          <w:color w:val="000000" w:themeColor="text1"/>
          <w:sz w:val="16"/>
          <w:szCs w:val="16"/>
        </w:rPr>
        <w:softHyphen/>
        <w:t>лось в течение 60 с. Снаряды окончательно снаряжали дистанционными трубками АГДТ. Однако, их предельное замедление в 22 с не обеспечива</w:t>
      </w:r>
      <w:r w:rsidRPr="00E14102">
        <w:rPr>
          <w:color w:val="000000" w:themeColor="text1"/>
          <w:sz w:val="16"/>
          <w:szCs w:val="16"/>
        </w:rPr>
        <w:softHyphen/>
        <w:t>ло полной дальности полета РС. Испытатели констатировали, что в этом случае необходима трубка с максимальным временем действия в 38 с.</w:t>
      </w:r>
    </w:p>
    <w:p w14:paraId="2E19A06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итоге комиссия признала, что применение на торпедных катерах РС калибра 132 мм фугасно-осколочного и осветительного действия вполне возможно и целесообразно. Корабельная установка для стрельбы этими снарядами должна иметь прицел и механизмы для точного наве</w:t>
      </w:r>
      <w:r w:rsidRPr="00E14102">
        <w:rPr>
          <w:color w:val="000000" w:themeColor="text1"/>
          <w:sz w:val="16"/>
          <w:szCs w:val="16"/>
        </w:rPr>
        <w:softHyphen/>
        <w:t>дения в горизонтальной и вертикальной плоскостях, а также (для удоб</w:t>
      </w:r>
      <w:r w:rsidRPr="00E14102">
        <w:rPr>
          <w:color w:val="000000" w:themeColor="text1"/>
          <w:sz w:val="16"/>
          <w:szCs w:val="16"/>
        </w:rPr>
        <w:softHyphen/>
        <w:t>ства заряжания) - площадку, сидение и щиток для наводчика, стреляю</w:t>
      </w:r>
      <w:r w:rsidRPr="00E14102">
        <w:rPr>
          <w:color w:val="000000" w:themeColor="text1"/>
          <w:sz w:val="16"/>
          <w:szCs w:val="16"/>
        </w:rPr>
        <w:softHyphen/>
        <w:t>щее приспособление и пр. Скорострельность установки необходимо до</w:t>
      </w:r>
      <w:r w:rsidRPr="00E14102">
        <w:rPr>
          <w:color w:val="000000" w:themeColor="text1"/>
          <w:sz w:val="16"/>
          <w:szCs w:val="16"/>
        </w:rPr>
        <w:softHyphen/>
        <w:t>вести до 6-10 выстр./мин.</w:t>
      </w:r>
    </w:p>
    <w:p w14:paraId="282B24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Моряки посчитали наиболее оптимальным выполнить установку для залповой стрельбы тремя снарядами, разместив ее на корме над торпед</w:t>
      </w:r>
      <w:r w:rsidRPr="00E14102">
        <w:rPr>
          <w:color w:val="000000" w:themeColor="text1"/>
          <w:sz w:val="16"/>
          <w:szCs w:val="16"/>
        </w:rPr>
        <w:softHyphen/>
        <w:t>ными аппаратами, что обеспечило бы наибольшие углы обстрела вплоть до стрельбы через рубку. Единственное ограничение было связано с опа</w:t>
      </w:r>
      <w:r w:rsidRPr="00E14102">
        <w:rPr>
          <w:color w:val="000000" w:themeColor="text1"/>
          <w:sz w:val="16"/>
          <w:szCs w:val="16"/>
        </w:rPr>
        <w:softHyphen/>
        <w:t>сениями задеть при этом радиомачту. Как вариант, предлагали вынести орудийную установку на площадке за борт. Однако, это требовало бы уравновесить катер от крена. Комиссия сочла весьма целесообразным применять фугасные и осветительные РС на судах любого типа и на рей</w:t>
      </w:r>
      <w:r w:rsidRPr="00E14102">
        <w:rPr>
          <w:color w:val="000000" w:themeColor="text1"/>
          <w:sz w:val="16"/>
          <w:szCs w:val="16"/>
        </w:rPr>
        <w:softHyphen/>
        <w:t>довых батареях. «Необходимо оснастить все корабли, в особенности большие, достаточным количеством ракетных установок для стрельбы осветительными снарядами с целью освобождения судовых орудий от стрельбы осветительными артснарядами и тем самым от использования их в небоевых целях ночью».</w:t>
      </w:r>
    </w:p>
    <w:p w14:paraId="1A23115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Новый вид вооружения произвел на моряков довольно сильное впе</w:t>
      </w:r>
      <w:r w:rsidRPr="00E14102">
        <w:rPr>
          <w:color w:val="000000" w:themeColor="text1"/>
          <w:sz w:val="16"/>
          <w:szCs w:val="16"/>
        </w:rPr>
        <w:softHyphen/>
        <w:t>чатление, тем более что широкая номенклатура ракетных боеприпасов обещала в перспективе расширить круг боевых задач, решаемых реак</w:t>
      </w:r>
      <w:r w:rsidRPr="00E14102">
        <w:rPr>
          <w:color w:val="000000" w:themeColor="text1"/>
          <w:sz w:val="16"/>
          <w:szCs w:val="16"/>
        </w:rPr>
        <w:softHyphen/>
        <w:t>тивными системами: «желательно проработать также вопрос примене</w:t>
      </w:r>
      <w:r w:rsidRPr="00E14102">
        <w:rPr>
          <w:color w:val="000000" w:themeColor="text1"/>
          <w:sz w:val="16"/>
          <w:szCs w:val="16"/>
        </w:rPr>
        <w:softHyphen/>
        <w:t>ния ракетных установок для стрельбы по воздушным и подводным целям для отражения атак штурмовой авиации и подводных лодок. Необходи</w:t>
      </w:r>
      <w:r w:rsidRPr="00E14102">
        <w:rPr>
          <w:color w:val="000000" w:themeColor="text1"/>
          <w:sz w:val="16"/>
          <w:szCs w:val="16"/>
        </w:rPr>
        <w:softHyphen/>
        <w:t>мо форсировать работы по повышению скоростей РС и увеличению их калибров вплоть до 450 мм. В частности, для метания по воздуху заряд</w:t>
      </w:r>
      <w:r w:rsidRPr="00E14102">
        <w:rPr>
          <w:color w:val="000000" w:themeColor="text1"/>
          <w:sz w:val="16"/>
          <w:szCs w:val="16"/>
        </w:rPr>
        <w:softHyphen/>
        <w:t>ных отделений торпед с помощью ракет» (11402).</w:t>
      </w:r>
    </w:p>
    <w:p w14:paraId="4E5E34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F003FC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79A7ED8" w14:textId="77777777" w:rsidR="00D4105E" w:rsidRPr="00E14102" w:rsidRDefault="00D4105E" w:rsidP="00E14102">
      <w:pPr>
        <w:autoSpaceDE w:val="0"/>
        <w:autoSpaceDN w:val="0"/>
        <w:adjustRightInd w:val="0"/>
        <w:jc w:val="both"/>
        <w:rPr>
          <w:iCs/>
          <w:color w:val="000000" w:themeColor="text1"/>
          <w:sz w:val="16"/>
          <w:szCs w:val="16"/>
        </w:rPr>
      </w:pPr>
    </w:p>
    <w:p w14:paraId="1D00F2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июня 1935 года Галактионов писал письмо № 1245/ко в АУ РККА Ефимову</w:t>
      </w:r>
    </w:p>
    <w:p w14:paraId="4876E1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дать Ваше заключение по записке Ратайчака о порядке комплектования выстрелами 305 и 152 мм систем Курчевского (постановление СТО № С-34сс от 7 апреля 1935 года) (2426,57).</w:t>
      </w:r>
    </w:p>
    <w:p w14:paraId="13C5166A" w14:textId="77777777" w:rsidR="00D4105E" w:rsidRPr="00E14102" w:rsidRDefault="00D4105E" w:rsidP="00E14102">
      <w:pPr>
        <w:autoSpaceDE w:val="0"/>
        <w:autoSpaceDN w:val="0"/>
        <w:adjustRightInd w:val="0"/>
        <w:jc w:val="both"/>
        <w:rPr>
          <w:color w:val="000000" w:themeColor="text1"/>
          <w:sz w:val="16"/>
          <w:szCs w:val="16"/>
        </w:rPr>
      </w:pPr>
    </w:p>
    <w:p w14:paraId="0AF99C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июня 1935 г. трест «Азнефть» разукрупнен на четыре треста: «Сталиннефть», «Орджоникидзенефть», «Лениннефть», «Азизбековнефть». К 1936 г. «Азнефть» реорганизуется в Азнефтекомбинат, которому подчинялись районные промысловые тресты: «Лениннефть» (балахано-раманино-сабунчинские площади), «Сталиннефть» (БибиЭйбат и Бухта Ильича), «Орджоникидзенефть» (Сураханы), «Азизбековнефть» (Кала), «Кагановичнефть» (Кара-Чухур, Зых), «Молотовнефть» (Лок-Батан, Пута и Шабаны), «Кировнефть» (Бинагады), «Артемнефть», «Кергезнефть» и «Алятнефть» (11232). В 1935 г. в системе Главгормаша был создан трест «Азнефтемаш», куда входили заводы: им. лейтенанта Шмидта, им. Ф.Э. Дзержинского, «Бакинский рабочий», авторемонтный завод и специализированные мастерские «Азнефти» (11232).</w:t>
      </w:r>
    </w:p>
    <w:p w14:paraId="24F6AD7A" w14:textId="77777777" w:rsidR="00D4105E" w:rsidRPr="00E14102" w:rsidRDefault="00D4105E" w:rsidP="00E14102">
      <w:pPr>
        <w:autoSpaceDE w:val="0"/>
        <w:autoSpaceDN w:val="0"/>
        <w:adjustRightInd w:val="0"/>
        <w:jc w:val="both"/>
        <w:rPr>
          <w:color w:val="000000" w:themeColor="text1"/>
          <w:sz w:val="16"/>
          <w:szCs w:val="16"/>
        </w:rPr>
      </w:pPr>
    </w:p>
    <w:p w14:paraId="2669F14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959B6A3" w14:textId="77777777" w:rsidR="00D4105E" w:rsidRPr="00E14102" w:rsidRDefault="00D4105E" w:rsidP="00E14102">
      <w:pPr>
        <w:autoSpaceDE w:val="0"/>
        <w:autoSpaceDN w:val="0"/>
        <w:adjustRightInd w:val="0"/>
        <w:jc w:val="both"/>
        <w:rPr>
          <w:iCs/>
          <w:color w:val="000000" w:themeColor="text1"/>
          <w:sz w:val="16"/>
          <w:szCs w:val="16"/>
        </w:rPr>
      </w:pPr>
    </w:p>
    <w:p w14:paraId="11C06B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июня 1935 приказом НКВД № 194 “Об установлении в ИТЛ на летний период лимитов лагобслуги” предписывалось:</w:t>
      </w:r>
    </w:p>
    <w:p w14:paraId="1DE8D0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целях высвобождения из непроизводственных участков лагерей максимального количества рабочей силы, необходимой для летнего разворота работ, приказываю:</w:t>
      </w:r>
    </w:p>
    <w:p w14:paraId="0798CD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Во всех лагерях, кроме Саровского, установить на летний период (июль-октябрь) предельный лимит лагобслуги 9%, вместо существующих теперь лимитов от 11 до 12,5%, включая третью категорию, используемую на лагобслуге (7560).</w:t>
      </w:r>
    </w:p>
    <w:p w14:paraId="0C0F16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Сокращение лагобслуги произвести в первую очередь за счет полноценной рабочей силы (7560).</w:t>
      </w:r>
    </w:p>
    <w:p w14:paraId="39D7CA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Всю рабсилу, высвобожденную из лагобслуги, немедленно и полностью перебросить на производство (7560).</w:t>
      </w:r>
    </w:p>
    <w:p w14:paraId="268E44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Ответственность за своевременное проведение этого мероприятия возлагаю лично на начальников лагерей (7560).</w:t>
      </w:r>
    </w:p>
    <w:p w14:paraId="3AF6D3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Начальникам Управлений НКВД, в ведении которых находятся лагеря, наблюсти за проведением в жизнь настоящего приказа и не позже 15 июля донести мне через ГУЛАГ о результатах (7560).</w:t>
      </w:r>
    </w:p>
    <w:p w14:paraId="2A2BE0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По лагерям, не входящим в ведение Управлений НКВД, начальникам лагерей в тот же срок донести в ГУЛАГ о результатах сокращения лагобслуги (7560).</w:t>
      </w:r>
    </w:p>
    <w:p w14:paraId="706154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Народный комиссар внутренних дел СССР Г. Ягода” (7560).</w:t>
      </w:r>
    </w:p>
    <w:p w14:paraId="6100AD65" w14:textId="77777777" w:rsidR="00D4105E" w:rsidRPr="00E14102" w:rsidRDefault="00D4105E" w:rsidP="00E14102">
      <w:pPr>
        <w:autoSpaceDE w:val="0"/>
        <w:autoSpaceDN w:val="0"/>
        <w:adjustRightInd w:val="0"/>
        <w:jc w:val="both"/>
        <w:rPr>
          <w:color w:val="000000" w:themeColor="text1"/>
          <w:sz w:val="16"/>
          <w:szCs w:val="16"/>
        </w:rPr>
      </w:pPr>
    </w:p>
    <w:p w14:paraId="7208EE1B" w14:textId="77777777" w:rsidR="00A92F4D"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BA369A8" w14:textId="77777777" w:rsidR="00A92F4D" w:rsidRPr="00E14102" w:rsidRDefault="00A92F4D" w:rsidP="00E14102">
      <w:pPr>
        <w:autoSpaceDE w:val="0"/>
        <w:autoSpaceDN w:val="0"/>
        <w:adjustRightInd w:val="0"/>
        <w:jc w:val="both"/>
        <w:rPr>
          <w:iCs/>
          <w:color w:val="000000" w:themeColor="text1"/>
          <w:sz w:val="16"/>
          <w:szCs w:val="16"/>
        </w:rPr>
      </w:pPr>
    </w:p>
    <w:p w14:paraId="271948F2" w14:textId="77777777" w:rsidR="00A92F4D" w:rsidRPr="00E14102" w:rsidRDefault="00A92F4D" w:rsidP="00E14102">
      <w:pPr>
        <w:jc w:val="both"/>
        <w:rPr>
          <w:color w:val="000000" w:themeColor="text1"/>
          <w:sz w:val="16"/>
          <w:szCs w:val="16"/>
        </w:rPr>
      </w:pPr>
      <w:r w:rsidRPr="00E14102">
        <w:rPr>
          <w:bCs/>
          <w:color w:val="000000" w:themeColor="text1"/>
          <w:sz w:val="16"/>
          <w:szCs w:val="16"/>
        </w:rPr>
        <w:t>29 июня</w:t>
      </w:r>
      <w:r w:rsidRPr="00E14102">
        <w:rPr>
          <w:color w:val="000000" w:themeColor="text1"/>
          <w:sz w:val="16"/>
          <w:szCs w:val="16"/>
        </w:rPr>
        <w:t xml:space="preserve"> в 1935 году прототип </w:t>
      </w:r>
      <w:hyperlink r:id="rId138" w:tgtFrame="_blank" w:history="1">
        <w:r w:rsidRPr="00E14102">
          <w:rPr>
            <w:color w:val="000000" w:themeColor="text1"/>
            <w:sz w:val="16"/>
            <w:szCs w:val="16"/>
          </w:rPr>
          <w:t xml:space="preserve">«A.W.23» </w:t>
        </w:r>
      </w:hyperlink>
      <w:r w:rsidRPr="00E14102">
        <w:rPr>
          <w:color w:val="000000" w:themeColor="text1"/>
          <w:sz w:val="16"/>
          <w:szCs w:val="16"/>
        </w:rPr>
        <w:t xml:space="preserve">английского бомбардировщика «Armstrong Whitworth Whitley» продемонстрировали на воздушном параде в Хэндоне. Правда, в ходе испытаний произошли две аварии, но обе закончились относительно благополучно. В первом случае, 9 марта 1936 года, отказал один из моторов. Летчик сел </w:t>
      </w:r>
      <w:r w:rsidRPr="00E14102">
        <w:rPr>
          <w:color w:val="000000" w:themeColor="text1"/>
          <w:sz w:val="16"/>
          <w:szCs w:val="16"/>
        </w:rPr>
        <w:lastRenderedPageBreak/>
        <w:t>на аэродром, но шасси при этом сложилось, т.к. вышел из строя именно тот двигатель, на котором монтировалась гидропомпа. Во второй раз сорвало большую часть полотна с задней части фюзеляжа (почти весь фюзеляж, крыло и оперение «A.W.23» обшивались полотном), но, по уверениям испытателей, на полете это никак не сказалось. Однако на вооружение «A.W.23» так и не приняли. В серию пошли "Хэйдли-Пейдж" «Н.Р.51» (названный "Хэрроу") и "Бристоль 130" ("Бомбей") (14937).</w:t>
      </w:r>
    </w:p>
    <w:p w14:paraId="10102982" w14:textId="77777777" w:rsidR="00A92F4D" w:rsidRPr="00E14102" w:rsidRDefault="00A92F4D" w:rsidP="00E14102">
      <w:pPr>
        <w:jc w:val="both"/>
        <w:rPr>
          <w:color w:val="000000" w:themeColor="text1"/>
          <w:sz w:val="16"/>
          <w:szCs w:val="16"/>
        </w:rPr>
      </w:pPr>
    </w:p>
    <w:p w14:paraId="57151F8A" w14:textId="77777777" w:rsidR="00A92F4D" w:rsidRPr="00E14102" w:rsidRDefault="00A92F4D" w:rsidP="00E14102">
      <w:pPr>
        <w:jc w:val="both"/>
        <w:rPr>
          <w:color w:val="000000" w:themeColor="text1"/>
          <w:sz w:val="16"/>
          <w:szCs w:val="16"/>
        </w:rPr>
      </w:pPr>
      <w:r w:rsidRPr="00E14102">
        <w:rPr>
          <w:bCs/>
          <w:color w:val="000000" w:themeColor="text1"/>
          <w:sz w:val="16"/>
          <w:szCs w:val="16"/>
        </w:rPr>
        <w:t>29 июня</w:t>
      </w:r>
      <w:r w:rsidRPr="00E14102">
        <w:rPr>
          <w:color w:val="000000" w:themeColor="text1"/>
          <w:sz w:val="16"/>
          <w:szCs w:val="16"/>
        </w:rPr>
        <w:t xml:space="preserve"> в 1935 году фирма «Консолидейтед» получила заказ на 60 </w:t>
      </w:r>
      <w:hyperlink r:id="rId139" w:tgtFrame="_blank" w:history="1">
        <w:r w:rsidRPr="00E14102">
          <w:rPr>
            <w:color w:val="000000" w:themeColor="text1"/>
            <w:sz w:val="16"/>
            <w:szCs w:val="16"/>
          </w:rPr>
          <w:t xml:space="preserve">«P3Y-1» </w:t>
        </w:r>
      </w:hyperlink>
      <w:r w:rsidRPr="00E14102">
        <w:rPr>
          <w:color w:val="000000" w:themeColor="text1"/>
          <w:sz w:val="16"/>
          <w:szCs w:val="16"/>
        </w:rPr>
        <w:t>и на новом заводе в Сан-Диего началась подготовка к серийному производству. В конструкцию этих машин внесли изменения рекомендованные Комитетом по летным испытаниям: установили новый руль направления, изменив форму хвостовой части фюзеляжа, оборудовали дополнительную стрелковую точку в хвостовом отсеке (которая вскоре получила ставшее в дальнейшем название "туннельная"), доработали носовую турель, изменили форму мотогондол и установили серийные моторы «Пратт Уитни» «R-1830-64». «XP3Y» был доставлен в Сан-Диего для проведения соответствующих доработок, по окончании которых он получил новое обозначение «XPBY-1», но сохранил свой первоначальный серийный номер (BuNo) 9459. Добавление литеры "В" к обозначению свидетельствовало о возможности самолета нести значительную бомбовую нагрузку (14937).</w:t>
      </w:r>
    </w:p>
    <w:p w14:paraId="6067DDA1" w14:textId="77777777" w:rsidR="00A92F4D" w:rsidRPr="00E14102" w:rsidRDefault="00A92F4D" w:rsidP="00E14102">
      <w:pPr>
        <w:jc w:val="both"/>
        <w:rPr>
          <w:color w:val="000000" w:themeColor="text1"/>
          <w:sz w:val="16"/>
          <w:szCs w:val="16"/>
        </w:rPr>
      </w:pPr>
    </w:p>
    <w:p w14:paraId="0BAE43EE" w14:textId="77777777" w:rsidR="00A92F4D" w:rsidRPr="00E14102" w:rsidRDefault="00A92F4D" w:rsidP="00E14102">
      <w:pPr>
        <w:jc w:val="both"/>
        <w:rPr>
          <w:color w:val="000000" w:themeColor="text1"/>
          <w:sz w:val="16"/>
          <w:szCs w:val="16"/>
        </w:rPr>
      </w:pPr>
      <w:r w:rsidRPr="00E14102">
        <w:rPr>
          <w:bCs/>
          <w:color w:val="000000" w:themeColor="text1"/>
          <w:sz w:val="16"/>
          <w:szCs w:val="16"/>
        </w:rPr>
        <w:t>29 июня</w:t>
      </w:r>
      <w:r w:rsidRPr="00E14102">
        <w:rPr>
          <w:color w:val="000000" w:themeColor="text1"/>
          <w:sz w:val="16"/>
          <w:szCs w:val="16"/>
        </w:rPr>
        <w:t xml:space="preserve"> в 1935 году в Германии на кильской верфи «Дойче верке» тайно спущена на воду подводная лодка «U-1» «типа IIA» — первая немецкая субмарина, построенная после Первой мировой войны (14937).</w:t>
      </w:r>
    </w:p>
    <w:p w14:paraId="3770BE27" w14:textId="77777777" w:rsidR="00A92F4D" w:rsidRPr="00E14102" w:rsidRDefault="00A92F4D" w:rsidP="00E14102">
      <w:pPr>
        <w:jc w:val="both"/>
        <w:rPr>
          <w:color w:val="000000" w:themeColor="text1"/>
          <w:sz w:val="16"/>
          <w:szCs w:val="16"/>
        </w:rPr>
      </w:pPr>
    </w:p>
    <w:p w14:paraId="7B3BBCF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DCCADDD" w14:textId="77777777" w:rsidR="00D4105E" w:rsidRPr="00E14102" w:rsidRDefault="00D4105E" w:rsidP="00E14102">
      <w:pPr>
        <w:autoSpaceDE w:val="0"/>
        <w:autoSpaceDN w:val="0"/>
        <w:adjustRightInd w:val="0"/>
        <w:jc w:val="both"/>
        <w:rPr>
          <w:iCs/>
          <w:color w:val="000000" w:themeColor="text1"/>
          <w:sz w:val="16"/>
          <w:szCs w:val="16"/>
        </w:rPr>
      </w:pPr>
    </w:p>
    <w:p w14:paraId="7036CD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июня 1935 экипаж в составе Громова, Филина и Спирина отправился в первый продолжительный экспериментальный полет, одной из целей которого было “выяснение вопроса о выполнении технических требований к военному варианту самолета” РД. В начале все шло хорошо. Взлетев со Щелковского аэродрома (Чкаловская). самолет долетел до Качи. вернулся в Москву, сбросив по пути над ногинским полигоном условный бомбовый груз - 1000 кг дроби, и снова устремился к Каче. Через 27 часов 21 минуту из-за нарушения работы топливопитания полет прекратили с посадкой в Каче. И хотя попытка длительного полета не удалась, был получен первый практический результат- подтверждена возможность использования РД в качестве бомбардировщика с радиусом действия 2000 км (160).</w:t>
      </w:r>
    </w:p>
    <w:p w14:paraId="016C1107" w14:textId="77777777" w:rsidR="00D4105E" w:rsidRPr="00E14102" w:rsidRDefault="00D4105E" w:rsidP="00E14102">
      <w:pPr>
        <w:autoSpaceDE w:val="0"/>
        <w:autoSpaceDN w:val="0"/>
        <w:adjustRightInd w:val="0"/>
        <w:jc w:val="both"/>
        <w:rPr>
          <w:color w:val="000000" w:themeColor="text1"/>
          <w:sz w:val="16"/>
          <w:szCs w:val="16"/>
        </w:rPr>
      </w:pPr>
    </w:p>
    <w:p w14:paraId="29D5DC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июня 1935 Т.А.Куталова установила женский рекорд высотного прыжка - 7750 м без КП. Наградили ОКЗв (438,690).</w:t>
      </w:r>
    </w:p>
    <w:p w14:paraId="0C85C66D" w14:textId="77777777" w:rsidR="00D4105E" w:rsidRPr="00E14102" w:rsidRDefault="00D4105E" w:rsidP="00E14102">
      <w:pPr>
        <w:autoSpaceDE w:val="0"/>
        <w:autoSpaceDN w:val="0"/>
        <w:adjustRightInd w:val="0"/>
        <w:jc w:val="both"/>
        <w:rPr>
          <w:color w:val="000000" w:themeColor="text1"/>
          <w:sz w:val="16"/>
          <w:szCs w:val="16"/>
        </w:rPr>
      </w:pPr>
    </w:p>
    <w:p w14:paraId="031A09E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8FB550D" w14:textId="77777777" w:rsidR="00D4105E" w:rsidRPr="00E14102" w:rsidRDefault="00D4105E" w:rsidP="00E14102">
      <w:pPr>
        <w:autoSpaceDE w:val="0"/>
        <w:autoSpaceDN w:val="0"/>
        <w:adjustRightInd w:val="0"/>
        <w:jc w:val="both"/>
        <w:rPr>
          <w:iCs/>
          <w:color w:val="000000" w:themeColor="text1"/>
          <w:sz w:val="16"/>
          <w:szCs w:val="16"/>
        </w:rPr>
      </w:pPr>
    </w:p>
    <w:p w14:paraId="7CFA994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 июня 1935 на параде физкультурников в Москве Сталин назван “лучшим другом пионеров” (4962).</w:t>
      </w:r>
    </w:p>
    <w:p w14:paraId="34D7C8F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A7064E3" w14:textId="77777777" w:rsidR="00AC71A9" w:rsidRPr="00E14102" w:rsidRDefault="00AC71A9" w:rsidP="00E14102">
      <w:pPr>
        <w:jc w:val="both"/>
        <w:rPr>
          <w:color w:val="0070C0"/>
          <w:sz w:val="16"/>
          <w:szCs w:val="16"/>
        </w:rPr>
      </w:pPr>
      <w:r w:rsidRPr="00E14102">
        <w:rPr>
          <w:color w:val="0070C0"/>
          <w:sz w:val="16"/>
          <w:szCs w:val="16"/>
        </w:rPr>
        <w:t>30 июня 1935 года на параде физкультурников в Москве Иосифа Виссарионовича Сталина назвали «лучшим другом пионеров» (21179).</w:t>
      </w:r>
    </w:p>
    <w:p w14:paraId="54DB3094" w14:textId="77777777" w:rsidR="00AC71A9" w:rsidRPr="00E14102" w:rsidRDefault="00AC71A9" w:rsidP="00E14102">
      <w:pPr>
        <w:jc w:val="both"/>
        <w:rPr>
          <w:color w:val="0070C0"/>
          <w:sz w:val="16"/>
          <w:szCs w:val="16"/>
        </w:rPr>
      </w:pPr>
    </w:p>
    <w:p w14:paraId="5545B7E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EADACCD" w14:textId="77777777" w:rsidR="00D4105E" w:rsidRPr="00E14102" w:rsidRDefault="00D4105E" w:rsidP="00E14102">
      <w:pPr>
        <w:autoSpaceDE w:val="0"/>
        <w:autoSpaceDN w:val="0"/>
        <w:adjustRightInd w:val="0"/>
        <w:jc w:val="both"/>
        <w:rPr>
          <w:iCs/>
          <w:color w:val="000000" w:themeColor="text1"/>
          <w:sz w:val="16"/>
          <w:szCs w:val="16"/>
        </w:rPr>
      </w:pPr>
    </w:p>
    <w:p w14:paraId="17CB2D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июня 1935 г. первый АНТ-37 вывели на аэродром. После выполнения нескольких благополучных полетов по программе заводских испытаний было решено, что с незначительной задержкой по срокам самолет можно будет передать для продолжения тестирования испытателям НИИ ВВС. Однако, при совершении очередного полета, 20 августа 1935 г. первый опытный экземпляр АНТ-37 разрушился в воздухе по причине вибрации хвостового оперения. Летчик-испытатель К.К. Попов и бортинженер М.М. Егоров спаслись на парашютах, еще один член экипажа погиб. Катастрофа послужила основанием для проведения целого ряда исследований по флаттеру и баф- тингу конструкции, призванных устранить эти опасные явления на всех последующих экземплярах.</w:t>
      </w:r>
    </w:p>
    <w:p w14:paraId="688B6F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Уже позднее, при разборе аварий и катастроф, произошедших с самолетами АНТ-37, АНТ-40 и АНТ-41, в специальной справке, подготовленной 26 мая 1937 г. за подписью главного конструктора завода №156 В.М. Петлякова, говорилось:</w:t>
      </w:r>
    </w:p>
    <w:p w14:paraId="484C50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"Катастрофа с самолетом АНТ-37 произошла по причине вибраций фюзеляжа вместе с вертикальным оперением, причем согласно акту аварийной комиссии, начальный толчок вибрации дала аэродинамическая перекомпенсация системы руля и серворуля. После того как на самолете этого типа аэродинамическая перекомпенсация была исправлена, фюзеляж сделали прочнее и жестче, проведена полная весовая компенсация рулей, никаких неприятных случаев с этими самолетами не было". Добавить к сказанному следует то, что зачастую причинами летных происшествий оказывались не только новые, неисследованные явления авиации. В частности, катастрофа самолета АНТ-41 (во многом схожему с АНТ-37) произошла из-за разрушения триммера руля высоты, в системе управления которым обнаружили производственный дефект.</w:t>
      </w:r>
    </w:p>
    <w:p w14:paraId="32C1E0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неудачи первого АНТ-37 продолжилось строительство второго опытного экземпляра, который получил обозначение ДБ-2бис (АНТ-37бис). Заказ на изготовление этого аппарата, также называемого "Дублер", открыли еще 2 августа 1935 г. Почти год спустя, 27 июля 1936 г., заместитель председателя СНК СССР Г.К. Орджоникидзе задним числом дал согласие на включение АНТ-37бис в план строительства взамен погибшего самолета (11945).</w:t>
      </w:r>
    </w:p>
    <w:p w14:paraId="52C26B80" w14:textId="77777777" w:rsidR="00D4105E" w:rsidRPr="00E14102" w:rsidRDefault="00D4105E" w:rsidP="00E14102">
      <w:pPr>
        <w:autoSpaceDE w:val="0"/>
        <w:autoSpaceDN w:val="0"/>
        <w:adjustRightInd w:val="0"/>
        <w:jc w:val="both"/>
        <w:rPr>
          <w:color w:val="000000" w:themeColor="text1"/>
          <w:sz w:val="16"/>
          <w:szCs w:val="16"/>
        </w:rPr>
      </w:pPr>
    </w:p>
    <w:p w14:paraId="1030F29D" w14:textId="77777777" w:rsidR="00AC71A9" w:rsidRPr="00E14102" w:rsidRDefault="00AC71A9" w:rsidP="00E14102">
      <w:pPr>
        <w:jc w:val="both"/>
        <w:rPr>
          <w:color w:val="0070C0"/>
          <w:sz w:val="16"/>
          <w:szCs w:val="16"/>
        </w:rPr>
      </w:pPr>
      <w:r w:rsidRPr="00E14102">
        <w:rPr>
          <w:color w:val="0070C0"/>
          <w:sz w:val="16"/>
          <w:szCs w:val="16"/>
        </w:rPr>
        <w:t>В конце июня 1935 г. Первый АНТ-37 вывели на аэродром. При постройке первого экземпляра АНТ-37 пытались использовать конструк</w:t>
      </w:r>
      <w:r w:rsidRPr="00E14102">
        <w:rPr>
          <w:color w:val="0070C0"/>
          <w:sz w:val="16"/>
          <w:szCs w:val="16"/>
        </w:rPr>
        <w:softHyphen/>
        <w:t>тивные элементы одномоторного ДБ-1 — центроплан, хвостовую часть фюзеляжа, шасси, лонжероны отъемных частей кры</w:t>
      </w:r>
      <w:r w:rsidRPr="00E14102">
        <w:rPr>
          <w:color w:val="0070C0"/>
          <w:sz w:val="16"/>
          <w:szCs w:val="16"/>
        </w:rPr>
        <w:softHyphen/>
        <w:t>ла и т.д. Изготовление самолета велось в цехах завода опытных конструкций ЦАГИ, построенного в Москве на участке между ул. Радио и рекой Яуза После выполнения не</w:t>
      </w:r>
      <w:r w:rsidRPr="00E14102">
        <w:rPr>
          <w:color w:val="0070C0"/>
          <w:sz w:val="16"/>
          <w:szCs w:val="16"/>
        </w:rPr>
        <w:softHyphen/>
        <w:t>скольких благополучных полетов по про</w:t>
      </w:r>
      <w:r w:rsidRPr="00E14102">
        <w:rPr>
          <w:color w:val="0070C0"/>
          <w:sz w:val="16"/>
          <w:szCs w:val="16"/>
        </w:rPr>
        <w:softHyphen/>
        <w:t>грамме заводских испытаний появилась надежда, что опытный самолет можно будет передать для продолжения тести</w:t>
      </w:r>
      <w:r w:rsidRPr="00E14102">
        <w:rPr>
          <w:color w:val="0070C0"/>
          <w:sz w:val="16"/>
          <w:szCs w:val="16"/>
        </w:rPr>
        <w:softHyphen/>
        <w:t>рования в НИИ ВВС с незначительной за</w:t>
      </w:r>
      <w:r w:rsidRPr="00E14102">
        <w:rPr>
          <w:color w:val="0070C0"/>
          <w:sz w:val="16"/>
          <w:szCs w:val="16"/>
        </w:rPr>
        <w:softHyphen/>
        <w:t>держкой по срокам. Однако 20 августа этот АНТ-37 разрушился в воздухе из-за вибраций хвостового оперения и фюзе</w:t>
      </w:r>
      <w:r w:rsidRPr="00E14102">
        <w:rPr>
          <w:color w:val="0070C0"/>
          <w:sz w:val="16"/>
          <w:szCs w:val="16"/>
        </w:rPr>
        <w:softHyphen/>
        <w:t>ляжа. Летчик-испытатель К.К. Попов и бортинженер М.М. Егоров спаслись на парашютах, еще один член экипажа, бортэлектрик И.В. Титов, погиб. Катаст</w:t>
      </w:r>
      <w:r w:rsidRPr="00E14102">
        <w:rPr>
          <w:color w:val="0070C0"/>
          <w:sz w:val="16"/>
          <w:szCs w:val="16"/>
        </w:rPr>
        <w:softHyphen/>
        <w:t>рофа послужила толчком для проведения целого ряда исследований по флаттеру и бафтингу, призванных устранить такие опасные явления на всех последующих летательных аппаратах (22285).</w:t>
      </w:r>
    </w:p>
    <w:p w14:paraId="40D828B5" w14:textId="77777777" w:rsidR="00AC71A9" w:rsidRPr="00E14102" w:rsidRDefault="00AC71A9" w:rsidP="00E14102">
      <w:pPr>
        <w:jc w:val="both"/>
        <w:rPr>
          <w:color w:val="0070C0"/>
          <w:sz w:val="16"/>
          <w:szCs w:val="16"/>
        </w:rPr>
      </w:pPr>
    </w:p>
    <w:p w14:paraId="07A2F4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последних днях июня 1935 начальник УВС Алкснис вызвал к себе конструктора самолета Кривицкого и заслушал в присутствии начальника НТО IV отдела УВС Горощенко доклад о самолете. После обсуждения вопроса начальник УВС дал установку Кривицкому переработать проект с целью повышения потолка до 18-20 тыс. Метров (3810,32).</w:t>
      </w:r>
    </w:p>
    <w:p w14:paraId="117A704C" w14:textId="77777777" w:rsidR="00D4105E" w:rsidRPr="00E14102" w:rsidRDefault="00D4105E" w:rsidP="00E14102">
      <w:pPr>
        <w:autoSpaceDE w:val="0"/>
        <w:autoSpaceDN w:val="0"/>
        <w:adjustRightInd w:val="0"/>
        <w:jc w:val="both"/>
        <w:rPr>
          <w:color w:val="000000" w:themeColor="text1"/>
          <w:sz w:val="16"/>
          <w:szCs w:val="16"/>
        </w:rPr>
      </w:pPr>
    </w:p>
    <w:p w14:paraId="2132BC99" w14:textId="77777777" w:rsidR="00E55099" w:rsidRPr="00E14102" w:rsidRDefault="00E55099"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279FAC5" w14:textId="77777777" w:rsidR="00E55099" w:rsidRPr="00E14102" w:rsidRDefault="00E55099" w:rsidP="00E14102">
      <w:pPr>
        <w:autoSpaceDE w:val="0"/>
        <w:autoSpaceDN w:val="0"/>
        <w:adjustRightInd w:val="0"/>
        <w:jc w:val="both"/>
        <w:rPr>
          <w:iCs/>
          <w:color w:val="000000" w:themeColor="text1"/>
          <w:sz w:val="16"/>
          <w:szCs w:val="16"/>
        </w:rPr>
      </w:pPr>
    </w:p>
    <w:p w14:paraId="0C963275" w14:textId="77777777" w:rsidR="00E55099" w:rsidRPr="00E14102" w:rsidRDefault="00E55099"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конце июня 1935 года в адрес НКО и АБТУ ушло письмо, подписанное Барыковым и Гинзбургом. Оно касалось конструкции орудийной башни Т-29-5. Завод спроектировал башню улучшенной конструкции, расширенную с 1410 до 1520 мм. Как и предыдущая, эта башня должна была быть двухместной.</w:t>
      </w:r>
    </w:p>
    <w:p w14:paraId="791A72A4" w14:textId="77777777" w:rsidR="00E55099" w:rsidRPr="00E14102" w:rsidRDefault="00E55099"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Вместе с тем, не остался незамеченным тот факт, что командир, выполнявший одновременно роль радиста, башенного пулемётчика и заряжающего, был явно перегружен. В связи с этим руководство завода №185 предлагало ещё два варианта башни. Первый вариант предполагал установку на танк командирской башенки, общая высота машины с ней вырастала до 3000 мм. Второй вариант предполагал расширение корпуса на 360 мм и установку на танк башни от Т-28. Во всех случаях боевая масса танка возрастала. С модернизированной башней или с первым вариантом переделки она составляла 25 тонн, а с башней от Т-28 и расширенным корпусом — 26 тонн. К слову, на тот момент боевая масса Т-28 составляла 25,2 тонны. Помимо изменения башни, конструкторы предлагали заменить в одной из пулемётных башен пулемёт ДТ на крупнокалиберный пулемёт ДК или малокалиберную пушку.</w:t>
      </w:r>
    </w:p>
    <w:p w14:paraId="06ACEA01" w14:textId="77777777" w:rsidR="00E55099" w:rsidRPr="00E14102" w:rsidRDefault="00E55099"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Параллельно с переделками продолжались работы по налаживанию кооперации предприятий для выпуска первой партии серийных Т-29. Без проблем здесь не обошлось. Например, Ижорский завод летом 1935 года настойчиво предлагал заниматься проектированием корпусов силами собственного КБ, а не на заводе №185. Весьма бурной была переписка по коробке передач. Неудивительно, что произошел серьёзный сдвиг сроков изготовления Т-29-5. В конце октября 1935 года, когда завод №185 передавал на Ижорский завод техусловия на изготовление корпусов и башен, речь шла уже всего об одном комплекте (17708).</w:t>
      </w:r>
    </w:p>
    <w:p w14:paraId="3299D58C" w14:textId="77777777" w:rsidR="00E55099" w:rsidRPr="00E14102" w:rsidRDefault="00E55099" w:rsidP="00E14102">
      <w:pPr>
        <w:jc w:val="both"/>
        <w:rPr>
          <w:color w:val="000000" w:themeColor="text1"/>
          <w:sz w:val="16"/>
          <w:szCs w:val="16"/>
        </w:rPr>
      </w:pPr>
    </w:p>
    <w:p w14:paraId="52A223A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13E24DE" w14:textId="77777777" w:rsidR="00D4105E" w:rsidRPr="00E14102" w:rsidRDefault="00D4105E" w:rsidP="00E14102">
      <w:pPr>
        <w:autoSpaceDE w:val="0"/>
        <w:autoSpaceDN w:val="0"/>
        <w:adjustRightInd w:val="0"/>
        <w:jc w:val="both"/>
        <w:rPr>
          <w:iCs/>
          <w:color w:val="000000" w:themeColor="text1"/>
          <w:sz w:val="16"/>
          <w:szCs w:val="16"/>
        </w:rPr>
      </w:pPr>
    </w:p>
    <w:p w14:paraId="38192D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 второй половине июня 1935 г. три сборочных бригады Орла, Богуславского и Донченко под общим руководством комб</w:t>
      </w:r>
      <w:r w:rsidRPr="00E14102">
        <w:rPr>
          <w:color w:val="000000" w:themeColor="text1"/>
          <w:sz w:val="16"/>
          <w:szCs w:val="16"/>
        </w:rPr>
        <w:softHyphen/>
        <w:t>рига Лисицына, работающие на заводе № 48, до</w:t>
      </w:r>
      <w:r w:rsidRPr="00E14102">
        <w:rPr>
          <w:color w:val="000000" w:themeColor="text1"/>
          <w:sz w:val="16"/>
          <w:szCs w:val="16"/>
        </w:rPr>
        <w:softHyphen/>
        <w:t>ложили о готовности опытного образца БТ-ИС к испытаниям (10733,360).</w:t>
      </w:r>
    </w:p>
    <w:p w14:paraId="38FD9F3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4D26AE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75C2344" w14:textId="77777777" w:rsidR="00D4105E" w:rsidRPr="00E14102" w:rsidRDefault="00D4105E" w:rsidP="00E14102">
      <w:pPr>
        <w:autoSpaceDE w:val="0"/>
        <w:autoSpaceDN w:val="0"/>
        <w:adjustRightInd w:val="0"/>
        <w:jc w:val="both"/>
        <w:rPr>
          <w:iCs/>
          <w:color w:val="000000" w:themeColor="text1"/>
          <w:sz w:val="16"/>
          <w:szCs w:val="16"/>
        </w:rPr>
      </w:pPr>
    </w:p>
    <w:p w14:paraId="34C1D1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состоялся первый полет опытного ЦКБ-26 с двумя М-85 с ЦА. Летал В.К.К. По скорости превосходил заданный ББ-2 и опытный ДБ-2 (АНТ-37) (3846,6).</w:t>
      </w:r>
    </w:p>
    <w:p w14:paraId="0A91E77F" w14:textId="77777777" w:rsidR="00D4105E" w:rsidRPr="00E14102" w:rsidRDefault="00D4105E" w:rsidP="00E14102">
      <w:pPr>
        <w:autoSpaceDE w:val="0"/>
        <w:autoSpaceDN w:val="0"/>
        <w:adjustRightInd w:val="0"/>
        <w:jc w:val="both"/>
        <w:rPr>
          <w:color w:val="000000" w:themeColor="text1"/>
          <w:sz w:val="16"/>
          <w:szCs w:val="16"/>
        </w:rPr>
      </w:pPr>
    </w:p>
    <w:p w14:paraId="1A6AA6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июне 1935 были отработаны ТТ на агрегат центрального наддува (АЦН) для АНТ-42 (ТБ-7), приводимый от ИС 12 ybrs (1076,510).</w:t>
      </w:r>
    </w:p>
    <w:p w14:paraId="0886A6B6" w14:textId="77777777" w:rsidR="00D4105E" w:rsidRPr="00E14102" w:rsidRDefault="00D4105E" w:rsidP="00E14102">
      <w:pPr>
        <w:autoSpaceDE w:val="0"/>
        <w:autoSpaceDN w:val="0"/>
        <w:adjustRightInd w:val="0"/>
        <w:jc w:val="both"/>
        <w:rPr>
          <w:color w:val="000000" w:themeColor="text1"/>
          <w:sz w:val="16"/>
          <w:szCs w:val="16"/>
        </w:rPr>
      </w:pPr>
    </w:p>
    <w:p w14:paraId="30B647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началась постройка АНТ-42 (ТБ-7) (1076,510).</w:t>
      </w:r>
    </w:p>
    <w:p w14:paraId="5BD424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более вероятно, учитывая, что рабочие чертежи стали поступать еще в мае.</w:t>
      </w:r>
    </w:p>
    <w:p w14:paraId="748F7F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постройка АНТ-42 (ТБ-7) началась 15 июля 1935</w:t>
      </w:r>
    </w:p>
    <w:p w14:paraId="4029805A" w14:textId="77777777" w:rsidR="00D4105E" w:rsidRPr="00E14102" w:rsidRDefault="00D4105E" w:rsidP="00E14102">
      <w:pPr>
        <w:autoSpaceDE w:val="0"/>
        <w:autoSpaceDN w:val="0"/>
        <w:adjustRightInd w:val="0"/>
        <w:jc w:val="both"/>
        <w:rPr>
          <w:color w:val="000000" w:themeColor="text1"/>
          <w:sz w:val="16"/>
          <w:szCs w:val="16"/>
        </w:rPr>
      </w:pPr>
    </w:p>
    <w:p w14:paraId="132DDD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были отработаны технические требования на АЦН к ТБ-7 (АНТ-42) (4,159).</w:t>
      </w:r>
    </w:p>
    <w:p w14:paraId="61A00B06" w14:textId="77777777" w:rsidR="00D4105E" w:rsidRPr="00E14102" w:rsidRDefault="00D4105E" w:rsidP="00E14102">
      <w:pPr>
        <w:autoSpaceDE w:val="0"/>
        <w:autoSpaceDN w:val="0"/>
        <w:adjustRightInd w:val="0"/>
        <w:jc w:val="both"/>
        <w:rPr>
          <w:color w:val="000000" w:themeColor="text1"/>
          <w:sz w:val="16"/>
          <w:szCs w:val="16"/>
        </w:rPr>
      </w:pPr>
    </w:p>
    <w:p w14:paraId="53D3D8F1" w14:textId="77777777" w:rsidR="00872260" w:rsidRPr="00E14102" w:rsidRDefault="00872260" w:rsidP="00E14102">
      <w:pPr>
        <w:jc w:val="both"/>
        <w:rPr>
          <w:color w:val="000000" w:themeColor="text1"/>
          <w:sz w:val="16"/>
          <w:szCs w:val="16"/>
        </w:rPr>
      </w:pPr>
      <w:r w:rsidRPr="00E14102">
        <w:rPr>
          <w:color w:val="000000" w:themeColor="text1"/>
          <w:sz w:val="16"/>
          <w:szCs w:val="16"/>
        </w:rPr>
        <w:t>В июне 1935 года от ВВС приходят новые уточненные требования к самолету ТБ-7, в июле ВВС требуют установки на самолет протектированных топливных баков. В конце августа ЦАГИ и завод № 24 вырабатывают и согласовывают технические данные двигателя АМ-34ФРН, завод обязывают предоставить к 1 марта 1935 года 5 двигателей (12726).</w:t>
      </w:r>
    </w:p>
    <w:p w14:paraId="013687BF" w14:textId="77777777" w:rsidR="00872260" w:rsidRPr="00E14102" w:rsidRDefault="00872260" w:rsidP="00E14102">
      <w:pPr>
        <w:jc w:val="both"/>
        <w:rPr>
          <w:color w:val="000000" w:themeColor="text1"/>
          <w:sz w:val="16"/>
          <w:szCs w:val="16"/>
        </w:rPr>
      </w:pPr>
    </w:p>
    <w:p w14:paraId="240256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немного изменили цифры по лётным данным ТБ-7, в июле 1935 УВВС потребовало протектирования бензобаков ТБ-7. В середине ноября 1935 уточнили комплектацию вооружения, оборудования и винтомоторной группы ТБ-7. К маю 1935 г. некоторые бригады были уже близки к завершению рабочих чертежей (11996).</w:t>
      </w:r>
    </w:p>
    <w:p w14:paraId="08CF44DC" w14:textId="77777777" w:rsidR="00D4105E" w:rsidRPr="00E14102" w:rsidRDefault="00D4105E" w:rsidP="00E14102">
      <w:pPr>
        <w:autoSpaceDE w:val="0"/>
        <w:autoSpaceDN w:val="0"/>
        <w:adjustRightInd w:val="0"/>
        <w:jc w:val="both"/>
        <w:rPr>
          <w:color w:val="000000" w:themeColor="text1"/>
          <w:sz w:val="16"/>
          <w:szCs w:val="16"/>
        </w:rPr>
      </w:pPr>
    </w:p>
    <w:p w14:paraId="129165F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июне 1935 г. ДБ-2, спроектированный бригадой П.О. Сухо</w:t>
      </w:r>
      <w:r w:rsidRPr="00E14102">
        <w:rPr>
          <w:color w:val="000000" w:themeColor="text1"/>
          <w:sz w:val="16"/>
          <w:szCs w:val="16"/>
        </w:rPr>
        <w:softHyphen/>
        <w:t>го, вышел на испытания. Вопреки заданию, туполевцы сделали ставку на моторы «Гном-Рон». В АНТ-37 использовали многие уже про</w:t>
      </w:r>
      <w:r w:rsidRPr="00E14102">
        <w:rPr>
          <w:color w:val="000000" w:themeColor="text1"/>
          <w:sz w:val="16"/>
          <w:szCs w:val="16"/>
        </w:rPr>
        <w:softHyphen/>
        <w:t>веренные на АНТ-25 конструктивные решения, следуя в целом той же концеп</w:t>
      </w:r>
      <w:r w:rsidRPr="00E14102">
        <w:rPr>
          <w:color w:val="000000" w:themeColor="text1"/>
          <w:sz w:val="16"/>
          <w:szCs w:val="16"/>
        </w:rPr>
        <w:softHyphen/>
        <w:t>ции, что у ДБ-1 — «дальность превыше всего». Самолет Сухого имел узкое крыло большого удлинения с довольно толстым аэродинамическим профилем, считавшимся наивыгоднейшим для до</w:t>
      </w:r>
      <w:r w:rsidRPr="00E14102">
        <w:rPr>
          <w:color w:val="000000" w:themeColor="text1"/>
          <w:sz w:val="16"/>
          <w:szCs w:val="16"/>
        </w:rPr>
        <w:softHyphen/>
        <w:t>стижения большой дальности. Руководство ГУАП еще до окончания испытаний приняло решение о запуске его в серию. Завод № 39 начал готовить оснастку для его производства — ему поставили задачу выпустить в 1936 г. головной серийный ДБ-2. Освоение выпуска этой машины намечалось еще на двух заводах: № 18 в Воронеже и № 126 в Комсомольске-на-Амуре. Но ДБ-2 в серию не пошел. «Ножку» ему подставили два обстоятельства. В июле 1935 г., через месяц после перво</w:t>
      </w:r>
      <w:r w:rsidRPr="00E14102">
        <w:rPr>
          <w:color w:val="000000" w:themeColor="text1"/>
          <w:sz w:val="16"/>
          <w:szCs w:val="16"/>
        </w:rPr>
        <w:softHyphen/>
        <w:t>го полета, опытный АНТ-37 разрушил</w:t>
      </w:r>
      <w:r w:rsidRPr="00E14102">
        <w:rPr>
          <w:color w:val="000000" w:themeColor="text1"/>
          <w:sz w:val="16"/>
          <w:szCs w:val="16"/>
        </w:rPr>
        <w:softHyphen/>
        <w:t>ся в воздухе. Причиной явился бафтинг хвостового оперения. Опасная тряска проявлялась и на дублере АНТ-37, вы</w:t>
      </w:r>
      <w:r w:rsidRPr="00E14102">
        <w:rPr>
          <w:color w:val="000000" w:themeColor="text1"/>
          <w:sz w:val="16"/>
          <w:szCs w:val="16"/>
        </w:rPr>
        <w:softHyphen/>
        <w:t>пущенном в начале 1936 г. Устранение бафтинга, в те годы довольно плохо изу</w:t>
      </w:r>
      <w:r w:rsidRPr="00E14102">
        <w:rPr>
          <w:color w:val="000000" w:themeColor="text1"/>
          <w:sz w:val="16"/>
          <w:szCs w:val="16"/>
        </w:rPr>
        <w:softHyphen/>
        <w:t>ченного, было непростым делом. Из-за многочисленных дефектов НИИ ВВС отказался принять эту машину на госи</w:t>
      </w:r>
      <w:r w:rsidRPr="00E14102">
        <w:rPr>
          <w:color w:val="000000" w:themeColor="text1"/>
          <w:sz w:val="16"/>
          <w:szCs w:val="16"/>
        </w:rPr>
        <w:softHyphen/>
        <w:t>спытания. А вторым обстоятельством, «похоронившим» ДБ-2, стали успехи коллектива, возглавлявшегося Илью</w:t>
      </w:r>
      <w:r w:rsidRPr="00E14102">
        <w:rPr>
          <w:color w:val="000000" w:themeColor="text1"/>
          <w:sz w:val="16"/>
          <w:szCs w:val="16"/>
        </w:rPr>
        <w:softHyphen/>
        <w:t>шиным (10734,4).</w:t>
      </w:r>
    </w:p>
    <w:p w14:paraId="6F0122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991F365" w14:textId="77777777" w:rsidR="0063005B" w:rsidRPr="00E14102" w:rsidRDefault="0063005B" w:rsidP="00E14102">
      <w:pPr>
        <w:jc w:val="both"/>
        <w:rPr>
          <w:color w:val="000000" w:themeColor="text1"/>
          <w:sz w:val="16"/>
          <w:szCs w:val="16"/>
        </w:rPr>
      </w:pPr>
      <w:r w:rsidRPr="00E14102">
        <w:rPr>
          <w:color w:val="000000" w:themeColor="text1"/>
          <w:sz w:val="16"/>
          <w:szCs w:val="16"/>
        </w:rPr>
        <w:t>В июне 1935 года лет</w:t>
      </w:r>
      <w:r w:rsidRPr="00E14102">
        <w:rPr>
          <w:color w:val="000000" w:themeColor="text1"/>
          <w:sz w:val="16"/>
          <w:szCs w:val="16"/>
        </w:rPr>
        <w:softHyphen/>
        <w:t>чик К.К. Попов начал заводские лет</w:t>
      </w:r>
      <w:r w:rsidRPr="00E14102">
        <w:rPr>
          <w:color w:val="000000" w:themeColor="text1"/>
          <w:sz w:val="16"/>
          <w:szCs w:val="16"/>
        </w:rPr>
        <w:softHyphen/>
        <w:t>ные испытания АНТ-37. Самолет построили в Москве на Заво</w:t>
      </w:r>
      <w:r w:rsidRPr="00E14102">
        <w:rPr>
          <w:color w:val="000000" w:themeColor="text1"/>
          <w:sz w:val="16"/>
          <w:szCs w:val="16"/>
        </w:rPr>
        <w:softHyphen/>
        <w:t>де опытных конструкций (ЗОК НАГИ, с 1936 года — № 156), но век ДБ-2 был не долог. Спустя месяц машина разрушилась в воз</w:t>
      </w:r>
      <w:r w:rsidRPr="00E14102">
        <w:rPr>
          <w:color w:val="000000" w:themeColor="text1"/>
          <w:sz w:val="16"/>
          <w:szCs w:val="16"/>
        </w:rPr>
        <w:softHyphen/>
        <w:t>духе вследствие вибраций хвостовой части фюзеляжа и оперения. В итоге из трех чле</w:t>
      </w:r>
      <w:r w:rsidRPr="00E14102">
        <w:rPr>
          <w:color w:val="000000" w:themeColor="text1"/>
          <w:sz w:val="16"/>
          <w:szCs w:val="16"/>
        </w:rPr>
        <w:softHyphen/>
        <w:t>нов экипажа спаслись лишь летчик-испы</w:t>
      </w:r>
      <w:r w:rsidRPr="00E14102">
        <w:rPr>
          <w:color w:val="000000" w:themeColor="text1"/>
          <w:sz w:val="16"/>
          <w:szCs w:val="16"/>
        </w:rPr>
        <w:softHyphen/>
        <w:t>татель Попов и бортинженер М.М. Егоров. Надо сказать, что до сих пор нет ответа на вопрос: что это были за вибрации? Тогда посчитали, что причиной тому стала пе</w:t>
      </w:r>
      <w:r w:rsidRPr="00E14102">
        <w:rPr>
          <w:color w:val="000000" w:themeColor="text1"/>
          <w:sz w:val="16"/>
          <w:szCs w:val="16"/>
        </w:rPr>
        <w:softHyphen/>
        <w:t>рекомпенсация руля направления вместе с серворулем. Так ли это?</w:t>
      </w:r>
    </w:p>
    <w:p w14:paraId="0F333273" w14:textId="77777777" w:rsidR="0063005B" w:rsidRPr="00E14102" w:rsidRDefault="0063005B" w:rsidP="00E14102">
      <w:pPr>
        <w:jc w:val="both"/>
        <w:rPr>
          <w:color w:val="000000" w:themeColor="text1"/>
          <w:sz w:val="16"/>
          <w:szCs w:val="16"/>
        </w:rPr>
      </w:pPr>
      <w:r w:rsidRPr="00E14102">
        <w:rPr>
          <w:color w:val="000000" w:themeColor="text1"/>
          <w:sz w:val="16"/>
          <w:szCs w:val="16"/>
        </w:rPr>
        <w:t>Ясно одно, что на самолете РД вибраций, тем более опасных, не было, они появились у ДБ-2, на котором, как известно, опере</w:t>
      </w:r>
      <w:r w:rsidRPr="00E14102">
        <w:rPr>
          <w:color w:val="000000" w:themeColor="text1"/>
          <w:sz w:val="16"/>
          <w:szCs w:val="16"/>
        </w:rPr>
        <w:softHyphen/>
        <w:t>ние сохранилось от АНТ-25. Возможно, это связано с тем, что на ДБ-2 оперение нахо</w:t>
      </w:r>
      <w:r w:rsidRPr="00E14102">
        <w:rPr>
          <w:color w:val="000000" w:themeColor="text1"/>
          <w:sz w:val="16"/>
          <w:szCs w:val="16"/>
        </w:rPr>
        <w:softHyphen/>
        <w:t>дилось в индуктивном потоке от пропелле</w:t>
      </w:r>
      <w:r w:rsidRPr="00E14102">
        <w:rPr>
          <w:color w:val="000000" w:themeColor="text1"/>
          <w:sz w:val="16"/>
          <w:szCs w:val="16"/>
        </w:rPr>
        <w:softHyphen/>
        <w:t>ров, и имел место бафтинг (от английско</w:t>
      </w:r>
      <w:r w:rsidRPr="00E14102">
        <w:rPr>
          <w:color w:val="000000" w:themeColor="text1"/>
          <w:sz w:val="16"/>
          <w:szCs w:val="16"/>
        </w:rPr>
        <w:softHyphen/>
        <w:t xml:space="preserve">го слова </w:t>
      </w:r>
      <w:r w:rsidRPr="00E14102">
        <w:rPr>
          <w:color w:val="000000" w:themeColor="text1"/>
          <w:sz w:val="16"/>
          <w:szCs w:val="16"/>
          <w:lang w:val="en-US"/>
        </w:rPr>
        <w:t>buffet</w:t>
      </w:r>
      <w:r w:rsidRPr="00E14102">
        <w:rPr>
          <w:color w:val="000000" w:themeColor="text1"/>
          <w:sz w:val="16"/>
          <w:szCs w:val="16"/>
        </w:rPr>
        <w:t xml:space="preserve"> - ударять, бить) - вынужден</w:t>
      </w:r>
      <w:r w:rsidRPr="00E14102">
        <w:rPr>
          <w:color w:val="000000" w:themeColor="text1"/>
          <w:sz w:val="16"/>
          <w:szCs w:val="16"/>
        </w:rPr>
        <w:softHyphen/>
        <w:t>ные колебания всего летательного аппара</w:t>
      </w:r>
      <w:r w:rsidRPr="00E14102">
        <w:rPr>
          <w:color w:val="000000" w:themeColor="text1"/>
          <w:sz w:val="16"/>
          <w:szCs w:val="16"/>
        </w:rPr>
        <w:softHyphen/>
        <w:t>та или его частей под действием нестацио</w:t>
      </w:r>
      <w:r w:rsidRPr="00E14102">
        <w:rPr>
          <w:color w:val="000000" w:themeColor="text1"/>
          <w:sz w:val="16"/>
          <w:szCs w:val="16"/>
        </w:rPr>
        <w:softHyphen/>
        <w:t>нарных аэродинамических сил, которыми и были воздушные потоки от винтов. Се</w:t>
      </w:r>
      <w:r w:rsidRPr="00E14102">
        <w:rPr>
          <w:color w:val="000000" w:themeColor="text1"/>
          <w:sz w:val="16"/>
          <w:szCs w:val="16"/>
        </w:rPr>
        <w:softHyphen/>
        <w:t>годня почувствовать на себе, что такое баф</w:t>
      </w:r>
      <w:r w:rsidRPr="00E14102">
        <w:rPr>
          <w:color w:val="000000" w:themeColor="text1"/>
          <w:sz w:val="16"/>
          <w:szCs w:val="16"/>
        </w:rPr>
        <w:softHyphen/>
        <w:t>тинг, может любой желающий. Достаточ</w:t>
      </w:r>
      <w:r w:rsidRPr="00E14102">
        <w:rPr>
          <w:color w:val="000000" w:themeColor="text1"/>
          <w:sz w:val="16"/>
          <w:szCs w:val="16"/>
        </w:rPr>
        <w:softHyphen/>
        <w:t>но лишь оказаться на боргу самолета Ан-72 или Ан-74. Когда эта машина находится на исполнительном старте и при зажатых тор</w:t>
      </w:r>
      <w:r w:rsidRPr="00E14102">
        <w:rPr>
          <w:color w:val="000000" w:themeColor="text1"/>
          <w:sz w:val="16"/>
          <w:szCs w:val="16"/>
        </w:rPr>
        <w:softHyphen/>
        <w:t>мозах двигатели выводят на взлетный ре</w:t>
      </w:r>
      <w:r w:rsidRPr="00E14102">
        <w:rPr>
          <w:color w:val="000000" w:themeColor="text1"/>
          <w:sz w:val="16"/>
          <w:szCs w:val="16"/>
        </w:rPr>
        <w:softHyphen/>
        <w:t>жим, ее из-за несимметричного обтекания фюзеляжа газовыми струями от двигателей начинает раскачивать. Это явление усугу</w:t>
      </w:r>
      <w:r w:rsidRPr="00E14102">
        <w:rPr>
          <w:color w:val="000000" w:themeColor="text1"/>
          <w:sz w:val="16"/>
          <w:szCs w:val="16"/>
        </w:rPr>
        <w:softHyphen/>
        <w:t>бляется большим «ходом» амортизаторов шасси, но стоит самолету побороть земное притяжение, как раскачка прекращается.</w:t>
      </w:r>
    </w:p>
    <w:p w14:paraId="3A232791" w14:textId="77777777" w:rsidR="0063005B" w:rsidRPr="00E14102" w:rsidRDefault="0063005B" w:rsidP="00E14102">
      <w:pPr>
        <w:jc w:val="both"/>
        <w:rPr>
          <w:color w:val="000000" w:themeColor="text1"/>
          <w:sz w:val="16"/>
          <w:szCs w:val="16"/>
        </w:rPr>
      </w:pPr>
      <w:r w:rsidRPr="00E14102">
        <w:rPr>
          <w:color w:val="000000" w:themeColor="text1"/>
          <w:sz w:val="16"/>
          <w:szCs w:val="16"/>
        </w:rPr>
        <w:t xml:space="preserve">Что касается флаттера (от английского слова </w:t>
      </w:r>
      <w:r w:rsidRPr="00E14102">
        <w:rPr>
          <w:color w:val="000000" w:themeColor="text1"/>
          <w:sz w:val="16"/>
          <w:szCs w:val="16"/>
          <w:lang w:val="en-US"/>
        </w:rPr>
        <w:t>flutter</w:t>
      </w:r>
      <w:r w:rsidRPr="00E14102">
        <w:rPr>
          <w:color w:val="000000" w:themeColor="text1"/>
          <w:sz w:val="16"/>
          <w:szCs w:val="16"/>
        </w:rPr>
        <w:t xml:space="preserve"> — трепыхаться) — явления аэ</w:t>
      </w:r>
      <w:r w:rsidRPr="00E14102">
        <w:rPr>
          <w:color w:val="000000" w:themeColor="text1"/>
          <w:sz w:val="16"/>
          <w:szCs w:val="16"/>
        </w:rPr>
        <w:softHyphen/>
        <w:t>роупругости, одна из разновидностей ви</w:t>
      </w:r>
      <w:r w:rsidRPr="00E14102">
        <w:rPr>
          <w:color w:val="000000" w:themeColor="text1"/>
          <w:sz w:val="16"/>
          <w:szCs w:val="16"/>
        </w:rPr>
        <w:softHyphen/>
        <w:t>браций — незатухающих упругих колеба</w:t>
      </w:r>
      <w:r w:rsidRPr="00E14102">
        <w:rPr>
          <w:color w:val="000000" w:themeColor="text1"/>
          <w:sz w:val="16"/>
          <w:szCs w:val="16"/>
        </w:rPr>
        <w:softHyphen/>
        <w:t>ний частей летательного аппарата, возни</w:t>
      </w:r>
      <w:r w:rsidRPr="00E14102">
        <w:rPr>
          <w:color w:val="000000" w:themeColor="text1"/>
          <w:sz w:val="16"/>
          <w:szCs w:val="16"/>
        </w:rPr>
        <w:softHyphen/>
        <w:t>кающих в полете при скорости, достигшей некоторого критического значения, то он здесь ни при чем.</w:t>
      </w:r>
    </w:p>
    <w:p w14:paraId="71B1AB95" w14:textId="77777777" w:rsidR="0063005B" w:rsidRPr="00E14102" w:rsidRDefault="0063005B" w:rsidP="00E14102">
      <w:pPr>
        <w:jc w:val="both"/>
        <w:rPr>
          <w:color w:val="000000" w:themeColor="text1"/>
          <w:sz w:val="16"/>
          <w:szCs w:val="16"/>
        </w:rPr>
      </w:pPr>
      <w:r w:rsidRPr="00E14102">
        <w:rPr>
          <w:color w:val="000000" w:themeColor="text1"/>
          <w:sz w:val="16"/>
          <w:szCs w:val="16"/>
        </w:rPr>
        <w:t>То же самое повторилось и на второй опытной машине (дублере) ДБ-2бис (АНТ- 37бис) с теми же двигателями, построен</w:t>
      </w:r>
      <w:r w:rsidRPr="00E14102">
        <w:rPr>
          <w:color w:val="000000" w:themeColor="text1"/>
          <w:sz w:val="16"/>
          <w:szCs w:val="16"/>
        </w:rPr>
        <w:softHyphen/>
        <w:t>ной 18 февраля 1936 года и отличавшейся от предшественницы усиленным фюзеляжем и измененной весовой компенсацией рулей (2725).</w:t>
      </w:r>
    </w:p>
    <w:p w14:paraId="48105F07" w14:textId="77777777" w:rsidR="0063005B" w:rsidRPr="00E14102" w:rsidRDefault="0063005B" w:rsidP="00E14102">
      <w:pPr>
        <w:jc w:val="both"/>
        <w:rPr>
          <w:color w:val="000000" w:themeColor="text1"/>
          <w:sz w:val="16"/>
          <w:szCs w:val="16"/>
        </w:rPr>
      </w:pPr>
    </w:p>
    <w:p w14:paraId="371A58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года Алкснис писал письмо N 42/0766 наркому обороны и наркому Тяжпрома.</w:t>
      </w:r>
    </w:p>
    <w:p w14:paraId="08C5C3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результатах гос. испытаний самолета Р5 штурмовика со ШКАСами (ССС).</w:t>
      </w:r>
    </w:p>
    <w:p w14:paraId="25DFFD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правительства N 189сс от 20 декабря 1934 года утвержден план заказа на 1935 год на самолет Р5 штурмовик со ШКАСами в количестве 400 единиц.</w:t>
      </w:r>
    </w:p>
    <w:p w14:paraId="1D05AD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Договор с заводом N 1 не заключен до сих пор из-за отсутствия эталона, прошедшего гос. испытания.</w:t>
      </w:r>
    </w:p>
    <w:p w14:paraId="7DCE53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СТО N К27 от 2 марта 1934 года ГУАП обязан был выпустить к 1-му мая 1934 года эталон самолета Р5 штурмовик с крыльевыми пулеметами ШКАС. Фактически на гос. испытания самолет Р5 штурмовик со ШКАСами (ССС) завод N 1 предъявил в НИИ ВС лишь в ноябре 1934 года, но последние не могли быть проведены, так как вооружение самолета оказалось недоведенным и не работало.</w:t>
      </w:r>
    </w:p>
    <w:p w14:paraId="6F54F1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1 19 апреля 1935 года вновь предъявил самолет на гос. испытания, но ввиду обнаружения ряда дефектов вооружения, самолет гос. испытания не выдержал.</w:t>
      </w:r>
    </w:p>
    <w:p w14:paraId="28C8D0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Обязать ГУАП передать к 1-му июля с.г. на гос. испытания второй экземпляр самолета с устранением на нем дефектов, согласно отчета гос. испытаний. (3104,117).</w:t>
      </w:r>
    </w:p>
    <w:p w14:paraId="3AEE817D" w14:textId="77777777" w:rsidR="00D4105E" w:rsidRPr="00E14102" w:rsidRDefault="00D4105E" w:rsidP="00E14102">
      <w:pPr>
        <w:autoSpaceDE w:val="0"/>
        <w:autoSpaceDN w:val="0"/>
        <w:adjustRightInd w:val="0"/>
        <w:jc w:val="both"/>
        <w:rPr>
          <w:color w:val="000000" w:themeColor="text1"/>
          <w:sz w:val="16"/>
          <w:szCs w:val="16"/>
        </w:rPr>
      </w:pPr>
    </w:p>
    <w:p w14:paraId="6AEA5B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был готов Ди-8 АНТ-46 - облегченный СБ (АНТ-40) в качестве истребителя (1076,491).</w:t>
      </w:r>
    </w:p>
    <w:p w14:paraId="3BD81955" w14:textId="77777777" w:rsidR="00D4105E" w:rsidRPr="00E14102" w:rsidRDefault="00D4105E" w:rsidP="00E14102">
      <w:pPr>
        <w:autoSpaceDE w:val="0"/>
        <w:autoSpaceDN w:val="0"/>
        <w:adjustRightInd w:val="0"/>
        <w:jc w:val="both"/>
        <w:rPr>
          <w:color w:val="000000" w:themeColor="text1"/>
          <w:sz w:val="16"/>
          <w:szCs w:val="16"/>
        </w:rPr>
      </w:pPr>
    </w:p>
    <w:p w14:paraId="1952818F" w14:textId="77777777" w:rsidR="00227AF0" w:rsidRPr="00E14102" w:rsidRDefault="00227AF0" w:rsidP="00E14102">
      <w:pPr>
        <w:jc w:val="both"/>
        <w:rPr>
          <w:color w:val="0070C0"/>
          <w:sz w:val="16"/>
          <w:szCs w:val="16"/>
        </w:rPr>
      </w:pPr>
      <w:r w:rsidRPr="00E14102">
        <w:rPr>
          <w:color w:val="0070C0"/>
          <w:sz w:val="16"/>
          <w:szCs w:val="16"/>
        </w:rPr>
        <w:t>В июне 1935 завод № 21 пытался предъявить на испытания И-16 № 421230, но самолет был забракован из-за большого количества дефектов, а госиспытания он прошел только в ноябре 1935 года, то есть, фактически после прекращения выпуска И-16 тип 4. Правда, эталон И-16М-25 на испытания заводом и вовсе предъявлен не был (23033).</w:t>
      </w:r>
    </w:p>
    <w:p w14:paraId="0D411C2D" w14:textId="77777777" w:rsidR="00227AF0" w:rsidRPr="00E14102" w:rsidRDefault="00227AF0" w:rsidP="00E14102">
      <w:pPr>
        <w:jc w:val="both"/>
        <w:rPr>
          <w:color w:val="0070C0"/>
          <w:sz w:val="16"/>
          <w:szCs w:val="16"/>
        </w:rPr>
      </w:pPr>
    </w:p>
    <w:p w14:paraId="6C50A7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было начало проектирование 7211 Боровкова и Флорова и работа велась до мая 1936 (2399,50).</w:t>
      </w:r>
    </w:p>
    <w:p w14:paraId="6D3D4A7F" w14:textId="77777777" w:rsidR="00D4105E" w:rsidRPr="00E14102" w:rsidRDefault="00D4105E" w:rsidP="00E14102">
      <w:pPr>
        <w:autoSpaceDE w:val="0"/>
        <w:autoSpaceDN w:val="0"/>
        <w:adjustRightInd w:val="0"/>
        <w:jc w:val="both"/>
        <w:rPr>
          <w:color w:val="000000" w:themeColor="text1"/>
          <w:sz w:val="16"/>
          <w:szCs w:val="16"/>
        </w:rPr>
      </w:pPr>
    </w:p>
    <w:p w14:paraId="635FE2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года была подготовлена Справка:</w:t>
      </w:r>
    </w:p>
    <w:p w14:paraId="70776B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 о легкомоторной авиации разработан Ткачевым, Алкснисом и Эйдеманом.</w:t>
      </w:r>
    </w:p>
    <w:p w14:paraId="305CF9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Королев возражает против проекта постановления по следующим основаниям:</w:t>
      </w:r>
    </w:p>
    <w:p w14:paraId="79EA5B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 линии ГУАПа производится конструирование маломощного мотора в 15 л.с. (завод № 26), а по ГУГВФ – заканчиваются производством моторы в 100-120 л.с. (М-61), 150 л.с. (МГ-11), 200 л.с. (МГ-21), 270 л.с. (МГ-31).</w:t>
      </w:r>
    </w:p>
    <w:p w14:paraId="2EC2D4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Семья "МГ" спроектирована по типу аналогичных моторов Райт и уступает им только в удельном весе и мощности, что легко устранить путем повышения степени сжатия и облегчения материала.</w:t>
      </w:r>
    </w:p>
    <w:p w14:paraId="036B3C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этим – покупка моторов за границей нецелесообразна.</w:t>
      </w:r>
    </w:p>
    <w:p w14:paraId="440E2D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Нынешнее состояние авиапромышленности позволяет сделать любой маломощный самолет, если имеется платежеспособный заказчик. Отдельные авиазаводы (завод № 1) изготовили уже авиэтки с моторами в 18-20 л.с. (импортные), с предельной с коростью 100 км и посадочной скоростью – 30-35 км (4149, 47).</w:t>
      </w:r>
    </w:p>
    <w:p w14:paraId="6EE58E85" w14:textId="77777777" w:rsidR="00D4105E" w:rsidRPr="00E14102" w:rsidRDefault="00D4105E" w:rsidP="00E14102">
      <w:pPr>
        <w:autoSpaceDE w:val="0"/>
        <w:autoSpaceDN w:val="0"/>
        <w:adjustRightInd w:val="0"/>
        <w:jc w:val="both"/>
        <w:rPr>
          <w:color w:val="000000" w:themeColor="text1"/>
          <w:sz w:val="16"/>
          <w:szCs w:val="16"/>
        </w:rPr>
      </w:pPr>
    </w:p>
    <w:p w14:paraId="77996E1D" w14:textId="77777777" w:rsidR="003911E9" w:rsidRPr="00E14102" w:rsidRDefault="003911E9" w:rsidP="00E14102">
      <w:pPr>
        <w:shd w:val="clear" w:color="auto" w:fill="FFFFFF"/>
        <w:jc w:val="both"/>
        <w:rPr>
          <w:color w:val="000000" w:themeColor="text1"/>
          <w:sz w:val="16"/>
          <w:szCs w:val="16"/>
        </w:rPr>
      </w:pPr>
      <w:r w:rsidRPr="00E14102">
        <w:rPr>
          <w:color w:val="000000" w:themeColor="text1"/>
          <w:sz w:val="16"/>
          <w:szCs w:val="16"/>
        </w:rPr>
        <w:t>В июне 1935 г. председатель Стратосферного комитета Авиавнито К.В.Кривицкий и зам. председателя этого комитета К.И.Муратов обратились к зам. наркома обороны Тухачевскому с письмом, в котором они жаловались на то, что подготовительные работы  к постройке самолёта СБ-1, начатые на заводе  № 1 им. Авиахима, «</w:t>
      </w:r>
      <w:r w:rsidRPr="00E14102">
        <w:rPr>
          <w:iCs/>
          <w:color w:val="000000" w:themeColor="text1"/>
          <w:sz w:val="16"/>
          <w:szCs w:val="16"/>
        </w:rPr>
        <w:t>были прекращены вследствие неразрешённости вопроса о включении в план ГУАП’а</w:t>
      </w:r>
      <w:r w:rsidRPr="00E14102">
        <w:rPr>
          <w:color w:val="000000" w:themeColor="text1"/>
          <w:sz w:val="16"/>
          <w:szCs w:val="16"/>
        </w:rPr>
        <w:t>». Они писали:</w:t>
      </w:r>
    </w:p>
    <w:p w14:paraId="54223AA8" w14:textId="77777777" w:rsidR="003911E9" w:rsidRPr="00E14102" w:rsidRDefault="003911E9" w:rsidP="00E14102">
      <w:pPr>
        <w:shd w:val="clear" w:color="auto" w:fill="FFFFFF"/>
        <w:jc w:val="both"/>
        <w:rPr>
          <w:color w:val="000000" w:themeColor="text1"/>
          <w:sz w:val="16"/>
          <w:szCs w:val="16"/>
        </w:rPr>
      </w:pPr>
      <w:r w:rsidRPr="00E14102">
        <w:rPr>
          <w:color w:val="000000" w:themeColor="text1"/>
          <w:sz w:val="16"/>
          <w:szCs w:val="16"/>
        </w:rPr>
        <w:t>«…</w:t>
      </w:r>
      <w:r w:rsidRPr="00E14102">
        <w:rPr>
          <w:iCs/>
          <w:color w:val="000000" w:themeColor="text1"/>
          <w:sz w:val="16"/>
          <w:szCs w:val="16"/>
        </w:rPr>
        <w:t>Несмотря на наличие целого ряда решений, положительных отзывов и разрешений на постройку  со стороны НИИ ВВС РККА, мы не можем добиться ни принятия решения о срочной постройке этой машины, ни мотивированного отказа.</w:t>
      </w:r>
    </w:p>
    <w:p w14:paraId="40311D11" w14:textId="77777777" w:rsidR="003911E9" w:rsidRPr="00E14102" w:rsidRDefault="003911E9" w:rsidP="00E14102">
      <w:pPr>
        <w:shd w:val="clear" w:color="auto" w:fill="FFFFFF"/>
        <w:jc w:val="both"/>
        <w:rPr>
          <w:color w:val="000000" w:themeColor="text1"/>
          <w:sz w:val="16"/>
          <w:szCs w:val="16"/>
        </w:rPr>
      </w:pPr>
      <w:r w:rsidRPr="00E14102">
        <w:rPr>
          <w:iCs/>
          <w:color w:val="000000" w:themeColor="text1"/>
          <w:sz w:val="16"/>
          <w:szCs w:val="16"/>
        </w:rPr>
        <w:t>При учёте работ, ведущихся в том же направлении за рубежом, считаем со своей стороны необходимым реализовать проект Стратосферного Комитета в кратчайший срок</w:t>
      </w:r>
      <w:r w:rsidRPr="00E14102">
        <w:rPr>
          <w:color w:val="000000" w:themeColor="text1"/>
          <w:sz w:val="16"/>
          <w:szCs w:val="16"/>
        </w:rPr>
        <w:t>». (</w:t>
      </w:r>
      <w:r w:rsidRPr="00E14102">
        <w:rPr>
          <w:iCs/>
          <w:color w:val="000000" w:themeColor="text1"/>
          <w:sz w:val="16"/>
          <w:szCs w:val="16"/>
        </w:rPr>
        <w:t>РГАЭ Ф. 3823 оп. 1 д. 796 л. 248</w:t>
      </w:r>
      <w:r w:rsidRPr="00E14102">
        <w:rPr>
          <w:color w:val="000000" w:themeColor="text1"/>
          <w:sz w:val="16"/>
          <w:szCs w:val="16"/>
        </w:rPr>
        <w:t>). Они писали далее: «</w:t>
      </w:r>
      <w:r w:rsidRPr="00E14102">
        <w:rPr>
          <w:iCs/>
          <w:color w:val="000000" w:themeColor="text1"/>
          <w:sz w:val="16"/>
          <w:szCs w:val="16"/>
        </w:rPr>
        <w:t>Надлежащее форсирование работ с 1/VII-35 г. обеспечивает выпуск самолёта на заводские испытания к 1 января 36 г. с проведением этих испытаний на зимнем аэродроме в Каче</w:t>
      </w:r>
      <w:r w:rsidRPr="00E14102">
        <w:rPr>
          <w:color w:val="000000" w:themeColor="text1"/>
          <w:sz w:val="16"/>
          <w:szCs w:val="16"/>
        </w:rPr>
        <w:t>». (</w:t>
      </w:r>
      <w:r w:rsidRPr="00E14102">
        <w:rPr>
          <w:iCs/>
          <w:color w:val="000000" w:themeColor="text1"/>
          <w:sz w:val="16"/>
          <w:szCs w:val="16"/>
        </w:rPr>
        <w:t>РГАЭ Ф. 3823 оп. 1 д. 796 л. 244-245</w:t>
      </w:r>
      <w:r w:rsidRPr="00E14102">
        <w:rPr>
          <w:color w:val="000000" w:themeColor="text1"/>
          <w:sz w:val="16"/>
          <w:szCs w:val="16"/>
        </w:rPr>
        <w:t>). Отметим этот сдвиг в намётках по срокам постройки самолёта (19528).</w:t>
      </w:r>
    </w:p>
    <w:p w14:paraId="3734ED71" w14:textId="77777777" w:rsidR="003911E9" w:rsidRPr="00E14102" w:rsidRDefault="003911E9" w:rsidP="00E14102">
      <w:pPr>
        <w:shd w:val="clear" w:color="auto" w:fill="FFFFFF"/>
        <w:jc w:val="both"/>
        <w:rPr>
          <w:color w:val="000000" w:themeColor="text1"/>
          <w:sz w:val="16"/>
          <w:szCs w:val="16"/>
        </w:rPr>
      </w:pPr>
    </w:p>
    <w:p w14:paraId="0485E0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начались испытания мускололета, построенного в Новочеркасском АИ под руководством С.Ченчиковского. Пилот вращал винт (1040,200).</w:t>
      </w:r>
    </w:p>
    <w:p w14:paraId="1F0F7B50" w14:textId="77777777" w:rsidR="00D4105E" w:rsidRPr="00E14102" w:rsidRDefault="00D4105E" w:rsidP="00E14102">
      <w:pPr>
        <w:autoSpaceDE w:val="0"/>
        <w:autoSpaceDN w:val="0"/>
        <w:adjustRightInd w:val="0"/>
        <w:jc w:val="both"/>
        <w:rPr>
          <w:color w:val="000000" w:themeColor="text1"/>
          <w:sz w:val="16"/>
          <w:szCs w:val="16"/>
        </w:rPr>
      </w:pPr>
    </w:p>
    <w:p w14:paraId="2FFA72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года были закончены доработки МК-6 М34Р морской крейсер для устранения недостатков, выявленных в процессе испытаний и доводок -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С июля по 15 августа 1935 проходил госиспытания (3475,103).</w:t>
      </w:r>
    </w:p>
    <w:p w14:paraId="36046237" w14:textId="77777777" w:rsidR="00D4105E" w:rsidRPr="00E14102" w:rsidRDefault="00D4105E" w:rsidP="00E14102">
      <w:pPr>
        <w:autoSpaceDE w:val="0"/>
        <w:autoSpaceDN w:val="0"/>
        <w:adjustRightInd w:val="0"/>
        <w:jc w:val="both"/>
        <w:rPr>
          <w:color w:val="000000" w:themeColor="text1"/>
          <w:sz w:val="16"/>
          <w:szCs w:val="16"/>
        </w:rPr>
      </w:pPr>
    </w:p>
    <w:p w14:paraId="6138AEAC"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июне 1935 года Главное Управление ГВФ согласилось временно выделить для проведения опытов И. Варшавского самолет «Фанера-2». Все работы по переделке и испытаниям самолета планировалось провести в Учебном Комбинате ГВФ в Ленинграде до октября того же года. Но когда дошло до дела, возникли вопросы: кто предоставит мотор и кого считать виновником аварии, если таковая случится? В результате договор об аренде самолета так и не был заключен.</w:t>
      </w:r>
    </w:p>
    <w:p w14:paraId="5691DC64"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Но главная проблема была в материале для обшивки – армированной фанере. Суть нового материала состояла в том, что к обычной авиационной фанере приклеивалась тонкая (0,15-0,2 мм) фольга из нержавеющей стали. Разработать технологию изготовления материала поручалось ВИАМ.</w:t>
      </w:r>
    </w:p>
    <w:p w14:paraId="34C0D55A"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 ряду причин (ремонт пресса, болезнь специалиста) к работе в ВИАМ приступили только в августе 1935 г. Первые образцы получились неудачными. Они были покрыты волнами и вмятинами из-за того, что при прессовке сталь вдавливается в дерево, имеющее неоднородную твердость по годичным кольцам.</w:t>
      </w:r>
    </w:p>
    <w:p w14:paraId="64C59C2F"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Отработка армированной фанеры в ВИАМ затянулась на весь 1935-й, т.к. технология оказалась неожиданно трудной, и только к концу года этот вопрос можно было считать решенным. Но после этого выяснилось, что нержавеющей стали для самолетостроения в стране недостаток, а, следовательно, применять ее для армирования нецелесообразно и Варшавскому предложили подумать о «зеркальном оксидировании» дюраля.</w:t>
      </w:r>
    </w:p>
    <w:p w14:paraId="0C05A3A6"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К этому времени деятельность Варшавского в отношении маскировки самолетов перешла уже в вялотекущую фазу. В 1937 году он, видя все более угасающий интерес к нему у военных, обратился в Наркомат Оборонной промышленности, куда и были пересланы все материалы о его работах (12703).</w:t>
      </w:r>
    </w:p>
    <w:p w14:paraId="4F63D259"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p>
    <w:p w14:paraId="43897F4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июне 1935 был подготовлен Отчет по выполнению плана работ за 1934 год по службе главного инженера механика НИИ ВВС (6808)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542"/>
        <w:gridCol w:w="1683"/>
        <w:gridCol w:w="4430"/>
      </w:tblGrid>
      <w:tr w:rsidR="00E3599D" w:rsidRPr="00E14102" w14:paraId="4A6C2560" w14:textId="77777777">
        <w:tc>
          <w:tcPr>
            <w:tcW w:w="2943" w:type="dxa"/>
          </w:tcPr>
          <w:p w14:paraId="0CE432D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работ</w:t>
            </w:r>
          </w:p>
        </w:tc>
        <w:tc>
          <w:tcPr>
            <w:tcW w:w="1542" w:type="dxa"/>
          </w:tcPr>
          <w:p w14:paraId="298015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Намеченные сроки</w:t>
            </w:r>
          </w:p>
        </w:tc>
        <w:tc>
          <w:tcPr>
            <w:tcW w:w="1683" w:type="dxa"/>
          </w:tcPr>
          <w:p w14:paraId="31D84C4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Действительные сроки</w:t>
            </w:r>
          </w:p>
        </w:tc>
        <w:tc>
          <w:tcPr>
            <w:tcW w:w="4430" w:type="dxa"/>
          </w:tcPr>
          <w:p w14:paraId="51F1F5B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выполнения и краткие результаты выполнения работы или ее состояние на 1 января 1935 года</w:t>
            </w:r>
          </w:p>
        </w:tc>
      </w:tr>
    </w:tbl>
    <w:p w14:paraId="31E2C10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Сухопутные самолеты</w:t>
      </w:r>
    </w:p>
    <w:p w14:paraId="6314B5C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Тяжелое отделение</w:t>
      </w:r>
    </w:p>
    <w:p w14:paraId="2C8EC45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Опытные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E3599D" w:rsidRPr="00E14102" w14:paraId="23B97657" w14:textId="77777777">
        <w:tc>
          <w:tcPr>
            <w:tcW w:w="2943" w:type="dxa"/>
          </w:tcPr>
          <w:p w14:paraId="7C0F6C7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Участие в разработках и постройка самолета ДБР-4М34 ФРН (завод № 22).</w:t>
            </w:r>
          </w:p>
        </w:tc>
        <w:tc>
          <w:tcPr>
            <w:tcW w:w="1652" w:type="dxa"/>
          </w:tcPr>
          <w:p w14:paraId="76C1CF4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043A995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571A36E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Макет построен, работа по самолету закончена на 20%.</w:t>
            </w:r>
          </w:p>
        </w:tc>
      </w:tr>
      <w:tr w:rsidR="00E3599D" w:rsidRPr="00E14102" w14:paraId="72727401" w14:textId="77777777">
        <w:tc>
          <w:tcPr>
            <w:tcW w:w="2943" w:type="dxa"/>
          </w:tcPr>
          <w:p w14:paraId="1CFDBE7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ТБ3-4М34Р. Участие в работах по вибрациям и подбору новых винтов (ЦАГИ, завод № 22).</w:t>
            </w:r>
          </w:p>
        </w:tc>
        <w:tc>
          <w:tcPr>
            <w:tcW w:w="1652" w:type="dxa"/>
          </w:tcPr>
          <w:p w14:paraId="4D80094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43F00DC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6B4C8AB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90%. Остались летные испытания с новым винтом на заводе № 22. Пока нет винтов.</w:t>
            </w:r>
          </w:p>
        </w:tc>
      </w:tr>
      <w:tr w:rsidR="00E3599D" w:rsidRPr="00E14102" w14:paraId="37DCADE5" w14:textId="77777777">
        <w:tc>
          <w:tcPr>
            <w:tcW w:w="2943" w:type="dxa"/>
          </w:tcPr>
          <w:p w14:paraId="2BD94F5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ТБ3-4М34РН. Участие в доводке и заводских испытаниях опытного образца.</w:t>
            </w:r>
          </w:p>
        </w:tc>
        <w:tc>
          <w:tcPr>
            <w:tcW w:w="1652" w:type="dxa"/>
          </w:tcPr>
          <w:p w14:paraId="4AC6662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38497E9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768A6F4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Работа закончена.</w:t>
            </w:r>
          </w:p>
        </w:tc>
      </w:tr>
      <w:tr w:rsidR="00E3599D" w:rsidRPr="00E14102" w14:paraId="14C8D9B4" w14:textId="77777777">
        <w:tc>
          <w:tcPr>
            <w:tcW w:w="2943" w:type="dxa"/>
          </w:tcPr>
          <w:p w14:paraId="28080AA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Участие в гос. испытаниях подвесок Гроховского.</w:t>
            </w:r>
          </w:p>
        </w:tc>
        <w:tc>
          <w:tcPr>
            <w:tcW w:w="1652" w:type="dxa"/>
          </w:tcPr>
          <w:p w14:paraId="578C6D3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4146058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364F219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3899C04F" w14:textId="77777777">
        <w:tc>
          <w:tcPr>
            <w:tcW w:w="2943" w:type="dxa"/>
          </w:tcPr>
          <w:p w14:paraId="785490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Наблюдение за доводкой и участие в заводских испытаниях Г37-2М17 (Гроховский).</w:t>
            </w:r>
          </w:p>
        </w:tc>
        <w:tc>
          <w:tcPr>
            <w:tcW w:w="1652" w:type="dxa"/>
          </w:tcPr>
          <w:p w14:paraId="5F2BFA9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353A6B5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1D35EB8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Работа не выполнена из-за аварии самолета. В дальнейшем с плана снята.</w:t>
            </w:r>
          </w:p>
        </w:tc>
      </w:tr>
      <w:tr w:rsidR="00E3599D" w:rsidRPr="00E14102" w14:paraId="7FDB33B0" w14:textId="77777777">
        <w:tc>
          <w:tcPr>
            <w:tcW w:w="2943" w:type="dxa"/>
          </w:tcPr>
          <w:p w14:paraId="7D7372D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СБ-2РЦ. Наблюдение за доводкой и участие в заводских испытаниях.</w:t>
            </w:r>
          </w:p>
        </w:tc>
        <w:tc>
          <w:tcPr>
            <w:tcW w:w="1652" w:type="dxa"/>
          </w:tcPr>
          <w:p w14:paraId="510A4BC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130A9DE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1958D4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Работа не выполнена из-за аварии самолета. С плана пока снята.</w:t>
            </w:r>
          </w:p>
        </w:tc>
      </w:tr>
      <w:tr w:rsidR="00E3599D" w:rsidRPr="00E14102" w14:paraId="1B024821" w14:textId="77777777">
        <w:tc>
          <w:tcPr>
            <w:tcW w:w="2943" w:type="dxa"/>
          </w:tcPr>
          <w:p w14:paraId="175AE71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СБ-2 Испано убрс. Наблюдение за доводкой и участие в заводских испытаниях.</w:t>
            </w:r>
          </w:p>
        </w:tc>
        <w:tc>
          <w:tcPr>
            <w:tcW w:w="1652" w:type="dxa"/>
          </w:tcPr>
          <w:p w14:paraId="155F420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0274F1F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5B7462E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Работа только начата.</w:t>
            </w:r>
          </w:p>
        </w:tc>
      </w:tr>
    </w:tbl>
    <w:p w14:paraId="4195E42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E3599D" w:rsidRPr="00E14102" w14:paraId="26D9C0FA" w14:textId="77777777">
        <w:tc>
          <w:tcPr>
            <w:tcW w:w="2943" w:type="dxa"/>
          </w:tcPr>
          <w:p w14:paraId="2E5F18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ТБ3-4М34 на перегрузку и расход горючего.</w:t>
            </w:r>
          </w:p>
        </w:tc>
        <w:tc>
          <w:tcPr>
            <w:tcW w:w="1652" w:type="dxa"/>
          </w:tcPr>
          <w:p w14:paraId="11440F2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7B07245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5C0AD6A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7B576451" w14:textId="77777777">
        <w:tc>
          <w:tcPr>
            <w:tcW w:w="2943" w:type="dxa"/>
          </w:tcPr>
          <w:p w14:paraId="0ACCF76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ТБ3-4М34Р на предельную дальность и расход горючего.</w:t>
            </w:r>
          </w:p>
        </w:tc>
        <w:tc>
          <w:tcPr>
            <w:tcW w:w="1652" w:type="dxa"/>
          </w:tcPr>
          <w:p w14:paraId="743C40A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4689016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1108029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5C1AF32F" w14:textId="77777777">
        <w:tc>
          <w:tcPr>
            <w:tcW w:w="2943" w:type="dxa"/>
          </w:tcPr>
          <w:p w14:paraId="62B069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ТБ3-4М17-М22. Тягач гос. испытания.</w:t>
            </w:r>
          </w:p>
        </w:tc>
        <w:tc>
          <w:tcPr>
            <w:tcW w:w="1652" w:type="dxa"/>
          </w:tcPr>
          <w:p w14:paraId="24DF04C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1AC6EF0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5CCDBEB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7514DD8F" w14:textId="77777777">
        <w:tc>
          <w:tcPr>
            <w:tcW w:w="2943" w:type="dxa"/>
          </w:tcPr>
          <w:p w14:paraId="10F0377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ТБ3-4М17-М22. Тягач на перегрузку.</w:t>
            </w:r>
          </w:p>
        </w:tc>
        <w:tc>
          <w:tcPr>
            <w:tcW w:w="1652" w:type="dxa"/>
          </w:tcPr>
          <w:p w14:paraId="6A8C2DC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1EC47CC4"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72F3266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162ADEB9" w14:textId="77777777">
        <w:tc>
          <w:tcPr>
            <w:tcW w:w="2943" w:type="dxa"/>
          </w:tcPr>
          <w:p w14:paraId="3C84B44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КР6-2М17 гос. испытания эталона 1 пол.</w:t>
            </w:r>
          </w:p>
        </w:tc>
        <w:tc>
          <w:tcPr>
            <w:tcW w:w="1652" w:type="dxa"/>
          </w:tcPr>
          <w:p w14:paraId="4A05E9D4"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5FE84D8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6DF2C9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45962530" w14:textId="77777777">
        <w:tc>
          <w:tcPr>
            <w:tcW w:w="2943" w:type="dxa"/>
          </w:tcPr>
          <w:p w14:paraId="05AF113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КР6-2М17 гос. испытания эталона 2 пол.</w:t>
            </w:r>
          </w:p>
        </w:tc>
        <w:tc>
          <w:tcPr>
            <w:tcW w:w="1652" w:type="dxa"/>
          </w:tcPr>
          <w:p w14:paraId="283317D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4B26257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11780CF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624B629D" w14:textId="77777777">
        <w:tc>
          <w:tcPr>
            <w:tcW w:w="2943" w:type="dxa"/>
          </w:tcPr>
          <w:p w14:paraId="2C1D8AE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КР6-2М17 на предельную дальность и расход.</w:t>
            </w:r>
          </w:p>
        </w:tc>
        <w:tc>
          <w:tcPr>
            <w:tcW w:w="1652" w:type="dxa"/>
          </w:tcPr>
          <w:p w14:paraId="0466084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5957344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017E388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605BA749" w14:textId="77777777">
        <w:tc>
          <w:tcPr>
            <w:tcW w:w="2943" w:type="dxa"/>
          </w:tcPr>
          <w:p w14:paraId="01131D7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КР6-2М17 с клапаном Нортроп.</w:t>
            </w:r>
          </w:p>
        </w:tc>
        <w:tc>
          <w:tcPr>
            <w:tcW w:w="1652" w:type="dxa"/>
          </w:tcPr>
          <w:p w14:paraId="555F44C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42DDCC7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51F9346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1E8F0664" w14:textId="77777777">
        <w:tc>
          <w:tcPr>
            <w:tcW w:w="2943" w:type="dxa"/>
          </w:tcPr>
          <w:p w14:paraId="372D75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КР6-2М17 с тормозными колесами.</w:t>
            </w:r>
          </w:p>
        </w:tc>
        <w:tc>
          <w:tcPr>
            <w:tcW w:w="1652" w:type="dxa"/>
          </w:tcPr>
          <w:p w14:paraId="66103B3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17BB835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0FAA97D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23F5D9ED" w14:textId="77777777">
        <w:tc>
          <w:tcPr>
            <w:tcW w:w="2943" w:type="dxa"/>
          </w:tcPr>
          <w:p w14:paraId="6FF4FF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Р6-2М17 самолет Северного морского пути. Испытания с одним мотором. Вне плана.</w:t>
            </w:r>
          </w:p>
        </w:tc>
        <w:tc>
          <w:tcPr>
            <w:tcW w:w="1652" w:type="dxa"/>
          </w:tcPr>
          <w:p w14:paraId="24FB7F5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5F4FEC6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182D7B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Работа не выполнена из-за аварии самолета.</w:t>
            </w:r>
          </w:p>
        </w:tc>
      </w:tr>
      <w:tr w:rsidR="00E3599D" w:rsidRPr="00E14102" w14:paraId="05186046" w14:textId="77777777">
        <w:tc>
          <w:tcPr>
            <w:tcW w:w="2943" w:type="dxa"/>
          </w:tcPr>
          <w:p w14:paraId="29B6309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Р5-М17 с тормозными колесами.</w:t>
            </w:r>
          </w:p>
        </w:tc>
        <w:tc>
          <w:tcPr>
            <w:tcW w:w="1652" w:type="dxa"/>
          </w:tcPr>
          <w:p w14:paraId="4D73D6D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7006E8B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541A040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7F6C3407" w14:textId="77777777">
        <w:tc>
          <w:tcPr>
            <w:tcW w:w="2943" w:type="dxa"/>
          </w:tcPr>
          <w:p w14:paraId="133222F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И7-М17 с новым хвостовым оперением.</w:t>
            </w:r>
          </w:p>
        </w:tc>
        <w:tc>
          <w:tcPr>
            <w:tcW w:w="1652" w:type="dxa"/>
          </w:tcPr>
          <w:p w14:paraId="057426C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5400CAA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3D6C510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bl>
    <w:p w14:paraId="7514F83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Работы по обеспечению серийного производства.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E3599D" w:rsidRPr="00E14102" w14:paraId="153C640C" w14:textId="77777777">
        <w:tc>
          <w:tcPr>
            <w:tcW w:w="2943" w:type="dxa"/>
          </w:tcPr>
          <w:p w14:paraId="4084143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Подготовка эталона ТБ3-4М34Р на 1934 год.</w:t>
            </w:r>
          </w:p>
        </w:tc>
        <w:tc>
          <w:tcPr>
            <w:tcW w:w="1652" w:type="dxa"/>
          </w:tcPr>
          <w:p w14:paraId="2607D2D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1530C55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0B108EA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4971ACEF" w14:textId="77777777">
        <w:tc>
          <w:tcPr>
            <w:tcW w:w="2943" w:type="dxa"/>
          </w:tcPr>
          <w:p w14:paraId="48D6E49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Подготовка эталона ТБ3-4М34РН на 1934 год.</w:t>
            </w:r>
          </w:p>
        </w:tc>
        <w:tc>
          <w:tcPr>
            <w:tcW w:w="1652" w:type="dxa"/>
          </w:tcPr>
          <w:p w14:paraId="770D6D7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592C856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1C06BC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60%. Работы задержаны заводом № 22 из-за отсутствия моторов М34РН. Сейчас моторы получены и идет их монтаж.</w:t>
            </w:r>
          </w:p>
        </w:tc>
      </w:tr>
      <w:tr w:rsidR="00E3599D" w:rsidRPr="00E14102" w14:paraId="48E47ED0" w14:textId="77777777">
        <w:tc>
          <w:tcPr>
            <w:tcW w:w="2943" w:type="dxa"/>
          </w:tcPr>
          <w:p w14:paraId="29042F0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Подготовка эталонов КР6-2М17 на 1 и 2 половину 1934 года.</w:t>
            </w:r>
          </w:p>
        </w:tc>
        <w:tc>
          <w:tcPr>
            <w:tcW w:w="1652" w:type="dxa"/>
          </w:tcPr>
          <w:p w14:paraId="208E0AF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0446BE1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28F7E3A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60CC4703" w14:textId="77777777">
        <w:tc>
          <w:tcPr>
            <w:tcW w:w="2943" w:type="dxa"/>
          </w:tcPr>
          <w:p w14:paraId="00E1DD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Наблюдение за постройкой головного самолета РД (заводы №№ 18 и 22).</w:t>
            </w:r>
          </w:p>
        </w:tc>
        <w:tc>
          <w:tcPr>
            <w:tcW w:w="1652" w:type="dxa"/>
          </w:tcPr>
          <w:p w14:paraId="740B002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651176B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6A051A3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Работы по постройке самолета сейчас выполнены в общем % на 30.</w:t>
            </w:r>
          </w:p>
        </w:tc>
      </w:tr>
    </w:tbl>
    <w:p w14:paraId="17CD286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Разведывательное отделение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E3599D" w:rsidRPr="00E14102" w14:paraId="6D7363C1" w14:textId="77777777">
        <w:tc>
          <w:tcPr>
            <w:tcW w:w="2943" w:type="dxa"/>
          </w:tcPr>
          <w:p w14:paraId="34943AA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У2-М11 эталона на 2 пол. 1934 года.</w:t>
            </w:r>
          </w:p>
        </w:tc>
        <w:tc>
          <w:tcPr>
            <w:tcW w:w="1652" w:type="dxa"/>
          </w:tcPr>
          <w:p w14:paraId="359C0CB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 мая 1934 года</w:t>
            </w:r>
          </w:p>
        </w:tc>
        <w:tc>
          <w:tcPr>
            <w:tcW w:w="1652" w:type="dxa"/>
          </w:tcPr>
          <w:p w14:paraId="3E9F8FD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мая 1934 года</w:t>
            </w:r>
          </w:p>
        </w:tc>
        <w:tc>
          <w:tcPr>
            <w:tcW w:w="4351" w:type="dxa"/>
          </w:tcPr>
          <w:p w14:paraId="0A5EAF2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Забраковано.</w:t>
            </w:r>
          </w:p>
        </w:tc>
      </w:tr>
      <w:tr w:rsidR="00E3599D" w:rsidRPr="00E14102" w14:paraId="467C3CE6" w14:textId="77777777">
        <w:tc>
          <w:tcPr>
            <w:tcW w:w="2943" w:type="dxa"/>
          </w:tcPr>
          <w:p w14:paraId="7EC6E07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планера Г-31.</w:t>
            </w:r>
          </w:p>
        </w:tc>
        <w:tc>
          <w:tcPr>
            <w:tcW w:w="1652" w:type="dxa"/>
          </w:tcPr>
          <w:p w14:paraId="2E9E311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июня 1934 года</w:t>
            </w:r>
          </w:p>
        </w:tc>
        <w:tc>
          <w:tcPr>
            <w:tcW w:w="1652" w:type="dxa"/>
          </w:tcPr>
          <w:p w14:paraId="05CDFC9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Не закончены.</w:t>
            </w:r>
          </w:p>
        </w:tc>
        <w:tc>
          <w:tcPr>
            <w:tcW w:w="4351" w:type="dxa"/>
          </w:tcPr>
          <w:p w14:paraId="4A5F563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прекращены вследствие аварии.</w:t>
            </w:r>
          </w:p>
        </w:tc>
      </w:tr>
      <w:tr w:rsidR="00E3599D" w:rsidRPr="00E14102" w14:paraId="073AA3E3" w14:textId="77777777">
        <w:tc>
          <w:tcPr>
            <w:tcW w:w="2943" w:type="dxa"/>
          </w:tcPr>
          <w:p w14:paraId="27391C1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планера Г-31.</w:t>
            </w:r>
          </w:p>
        </w:tc>
        <w:tc>
          <w:tcPr>
            <w:tcW w:w="1652" w:type="dxa"/>
          </w:tcPr>
          <w:p w14:paraId="54F89F9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610E2A0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Не закончены.</w:t>
            </w:r>
          </w:p>
        </w:tc>
        <w:tc>
          <w:tcPr>
            <w:tcW w:w="4351" w:type="dxa"/>
          </w:tcPr>
          <w:p w14:paraId="776F631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прекращены вследствие аварии.</w:t>
            </w:r>
          </w:p>
        </w:tc>
      </w:tr>
      <w:tr w:rsidR="00E3599D" w:rsidRPr="00E14102" w14:paraId="12C57561" w14:textId="77777777">
        <w:tc>
          <w:tcPr>
            <w:tcW w:w="2943" w:type="dxa"/>
          </w:tcPr>
          <w:p w14:paraId="6FADE63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Р5-М17 эталона на 2 пол. 1934 года.</w:t>
            </w:r>
          </w:p>
        </w:tc>
        <w:tc>
          <w:tcPr>
            <w:tcW w:w="1652" w:type="dxa"/>
          </w:tcPr>
          <w:p w14:paraId="7D66F4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 августа 1934 года</w:t>
            </w:r>
          </w:p>
        </w:tc>
        <w:tc>
          <w:tcPr>
            <w:tcW w:w="1652" w:type="dxa"/>
          </w:tcPr>
          <w:p w14:paraId="71B419E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 сентября 1934 года</w:t>
            </w:r>
          </w:p>
        </w:tc>
        <w:tc>
          <w:tcPr>
            <w:tcW w:w="4351" w:type="dxa"/>
          </w:tcPr>
          <w:p w14:paraId="2553969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Принят на вооружение.</w:t>
            </w:r>
          </w:p>
        </w:tc>
      </w:tr>
      <w:tr w:rsidR="00E3599D" w:rsidRPr="00E14102" w14:paraId="3807CE1D" w14:textId="77777777">
        <w:tc>
          <w:tcPr>
            <w:tcW w:w="2943" w:type="dxa"/>
          </w:tcPr>
          <w:p w14:paraId="3C34BF2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ЛШ-Р5 эталона на 2 пол. 1934 года.</w:t>
            </w:r>
          </w:p>
        </w:tc>
        <w:tc>
          <w:tcPr>
            <w:tcW w:w="1652" w:type="dxa"/>
          </w:tcPr>
          <w:p w14:paraId="4E9584B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 августа 1934 года</w:t>
            </w:r>
          </w:p>
        </w:tc>
        <w:tc>
          <w:tcPr>
            <w:tcW w:w="1652" w:type="dxa"/>
          </w:tcPr>
          <w:p w14:paraId="591078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октября 1934 года</w:t>
            </w:r>
          </w:p>
        </w:tc>
        <w:tc>
          <w:tcPr>
            <w:tcW w:w="4351" w:type="dxa"/>
          </w:tcPr>
          <w:p w14:paraId="67EADC0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Принят.</w:t>
            </w:r>
          </w:p>
        </w:tc>
      </w:tr>
      <w:tr w:rsidR="00E3599D" w:rsidRPr="00E14102" w14:paraId="3CF3ABEF" w14:textId="77777777">
        <w:tc>
          <w:tcPr>
            <w:tcW w:w="2943" w:type="dxa"/>
          </w:tcPr>
          <w:p w14:paraId="1E7AF2A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ЛР-М34Н.</w:t>
            </w:r>
          </w:p>
        </w:tc>
        <w:tc>
          <w:tcPr>
            <w:tcW w:w="1652" w:type="dxa"/>
          </w:tcPr>
          <w:p w14:paraId="6DBB820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4D790BF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сентября 1934 года</w:t>
            </w:r>
          </w:p>
        </w:tc>
        <w:tc>
          <w:tcPr>
            <w:tcW w:w="4351" w:type="dxa"/>
          </w:tcPr>
          <w:p w14:paraId="37CC8A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Принимается на повторные гос. испытания после доводки.</w:t>
            </w:r>
          </w:p>
        </w:tc>
      </w:tr>
      <w:tr w:rsidR="00E3599D" w:rsidRPr="00E14102" w14:paraId="7D6189D5" w14:textId="77777777">
        <w:tc>
          <w:tcPr>
            <w:tcW w:w="2943" w:type="dxa"/>
          </w:tcPr>
          <w:p w14:paraId="6B17D4E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ХАИ-1 ВМ22.</w:t>
            </w:r>
          </w:p>
        </w:tc>
        <w:tc>
          <w:tcPr>
            <w:tcW w:w="1652" w:type="dxa"/>
          </w:tcPr>
          <w:p w14:paraId="0C4F7D0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607C70F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сентября 1934 года</w:t>
            </w:r>
          </w:p>
        </w:tc>
        <w:tc>
          <w:tcPr>
            <w:tcW w:w="4351" w:type="dxa"/>
          </w:tcPr>
          <w:p w14:paraId="2105FA5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Производится доводка вооружения на 43 заводе. Повторные гос. испытания в январе 1935 года.</w:t>
            </w:r>
          </w:p>
        </w:tc>
      </w:tr>
      <w:tr w:rsidR="00E3599D" w:rsidRPr="00E14102" w14:paraId="5F108BFE" w14:textId="77777777">
        <w:tc>
          <w:tcPr>
            <w:tcW w:w="2943" w:type="dxa"/>
          </w:tcPr>
          <w:p w14:paraId="21F1B35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Гос. испытания У3-М48.</w:t>
            </w:r>
          </w:p>
        </w:tc>
        <w:tc>
          <w:tcPr>
            <w:tcW w:w="1652" w:type="dxa"/>
          </w:tcPr>
          <w:p w14:paraId="507A71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августа 1934 года</w:t>
            </w:r>
          </w:p>
        </w:tc>
        <w:tc>
          <w:tcPr>
            <w:tcW w:w="1652" w:type="dxa"/>
          </w:tcPr>
          <w:p w14:paraId="044E80D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сентября 1934 года</w:t>
            </w:r>
          </w:p>
        </w:tc>
        <w:tc>
          <w:tcPr>
            <w:tcW w:w="4351" w:type="dxa"/>
          </w:tcPr>
          <w:p w14:paraId="52B0AE0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Не принят. Переделывается в вариант для учебно-боевых целей.</w:t>
            </w:r>
          </w:p>
        </w:tc>
      </w:tr>
      <w:tr w:rsidR="00E3599D" w:rsidRPr="00E14102" w14:paraId="23E59306" w14:textId="77777777">
        <w:tc>
          <w:tcPr>
            <w:tcW w:w="2943" w:type="dxa"/>
          </w:tcPr>
          <w:p w14:paraId="18D7867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ХАИ-1.</w:t>
            </w:r>
          </w:p>
        </w:tc>
        <w:tc>
          <w:tcPr>
            <w:tcW w:w="1652" w:type="dxa"/>
          </w:tcPr>
          <w:p w14:paraId="1F4F1C8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3905A2C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октября 1934 года</w:t>
            </w:r>
          </w:p>
        </w:tc>
        <w:tc>
          <w:tcPr>
            <w:tcW w:w="4351" w:type="dxa"/>
          </w:tcPr>
          <w:p w14:paraId="2842C0A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Изготавливается военный вариант для учебных целей. Срок к маю.</w:t>
            </w:r>
          </w:p>
        </w:tc>
      </w:tr>
      <w:tr w:rsidR="00E3599D" w:rsidRPr="00E14102" w14:paraId="6D45FA32" w14:textId="77777777">
        <w:tc>
          <w:tcPr>
            <w:tcW w:w="2943" w:type="dxa"/>
          </w:tcPr>
          <w:p w14:paraId="3946042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2-х серийных самолетов Р5-М17 прибывших из УВО.</w:t>
            </w:r>
          </w:p>
        </w:tc>
        <w:tc>
          <w:tcPr>
            <w:tcW w:w="1652" w:type="dxa"/>
          </w:tcPr>
          <w:p w14:paraId="4E1B18A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октября 1934 года</w:t>
            </w:r>
          </w:p>
        </w:tc>
        <w:tc>
          <w:tcPr>
            <w:tcW w:w="1652" w:type="dxa"/>
          </w:tcPr>
          <w:p w14:paraId="008C89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октября 1934 года</w:t>
            </w:r>
          </w:p>
        </w:tc>
        <w:tc>
          <w:tcPr>
            <w:tcW w:w="4351" w:type="dxa"/>
          </w:tcPr>
          <w:p w14:paraId="2A89386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76A68C7E" w14:textId="77777777">
        <w:tc>
          <w:tcPr>
            <w:tcW w:w="2943" w:type="dxa"/>
          </w:tcPr>
          <w:p w14:paraId="309C44A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Специальные гос. испытания самолета Р5 с разрезным крылом.</w:t>
            </w:r>
          </w:p>
        </w:tc>
        <w:tc>
          <w:tcPr>
            <w:tcW w:w="1652" w:type="dxa"/>
          </w:tcPr>
          <w:p w14:paraId="76021C2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49FFA09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6EC0D48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На облете потерпел аварию.</w:t>
            </w:r>
          </w:p>
        </w:tc>
      </w:tr>
      <w:tr w:rsidR="00E3599D" w:rsidRPr="00E14102" w14:paraId="5A34A3B3" w14:textId="77777777">
        <w:tc>
          <w:tcPr>
            <w:tcW w:w="2943" w:type="dxa"/>
          </w:tcPr>
          <w:p w14:paraId="6E68C05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2Р-5М17 из завода № 1 – поверка серийной продукции.</w:t>
            </w:r>
          </w:p>
        </w:tc>
        <w:tc>
          <w:tcPr>
            <w:tcW w:w="1652" w:type="dxa"/>
          </w:tcPr>
          <w:p w14:paraId="43A8ED6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42A9649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778591B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7CD4810C" w14:textId="77777777">
        <w:tc>
          <w:tcPr>
            <w:tcW w:w="2943" w:type="dxa"/>
          </w:tcPr>
          <w:p w14:paraId="3078F2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Р-5М17 (Триес).</w:t>
            </w:r>
          </w:p>
        </w:tc>
        <w:tc>
          <w:tcPr>
            <w:tcW w:w="1652" w:type="dxa"/>
          </w:tcPr>
          <w:p w14:paraId="2AECB4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декабря 1934 года</w:t>
            </w:r>
          </w:p>
        </w:tc>
        <w:tc>
          <w:tcPr>
            <w:tcW w:w="1652" w:type="dxa"/>
          </w:tcPr>
          <w:p w14:paraId="55DEF36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Снят.</w:t>
            </w:r>
          </w:p>
        </w:tc>
        <w:tc>
          <w:tcPr>
            <w:tcW w:w="4351" w:type="dxa"/>
          </w:tcPr>
          <w:p w14:paraId="652CA57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гос. испытания не принят, не доведено вооружение, будет готово II или III.</w:t>
            </w:r>
          </w:p>
        </w:tc>
      </w:tr>
      <w:tr w:rsidR="00E3599D" w:rsidRPr="00E14102" w14:paraId="4AE3944B" w14:textId="77777777">
        <w:tc>
          <w:tcPr>
            <w:tcW w:w="2943" w:type="dxa"/>
          </w:tcPr>
          <w:p w14:paraId="7F6799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У2-М11 с хвостовым оперением.</w:t>
            </w:r>
          </w:p>
        </w:tc>
        <w:tc>
          <w:tcPr>
            <w:tcW w:w="1652" w:type="dxa"/>
          </w:tcPr>
          <w:p w14:paraId="4482464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февраля 1934 года</w:t>
            </w:r>
          </w:p>
        </w:tc>
        <w:tc>
          <w:tcPr>
            <w:tcW w:w="1652" w:type="dxa"/>
          </w:tcPr>
          <w:p w14:paraId="54CEB81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 марта 1934 года</w:t>
            </w:r>
          </w:p>
        </w:tc>
        <w:tc>
          <w:tcPr>
            <w:tcW w:w="4351" w:type="dxa"/>
          </w:tcPr>
          <w:p w14:paraId="1978D0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327FC49A" w14:textId="77777777">
        <w:tc>
          <w:tcPr>
            <w:tcW w:w="2943" w:type="dxa"/>
          </w:tcPr>
          <w:p w14:paraId="17BCDA4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Р5-ТМ17 (торпедоносец).</w:t>
            </w:r>
          </w:p>
        </w:tc>
        <w:tc>
          <w:tcPr>
            <w:tcW w:w="1652" w:type="dxa"/>
          </w:tcPr>
          <w:p w14:paraId="430E0E1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 февраля 1934 года</w:t>
            </w:r>
          </w:p>
        </w:tc>
        <w:tc>
          <w:tcPr>
            <w:tcW w:w="1652" w:type="dxa"/>
          </w:tcPr>
          <w:p w14:paraId="0D3F425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февраля 1934 года</w:t>
            </w:r>
          </w:p>
        </w:tc>
        <w:tc>
          <w:tcPr>
            <w:tcW w:w="4351" w:type="dxa"/>
          </w:tcPr>
          <w:p w14:paraId="4EE140C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7D6D7521" w14:textId="77777777">
        <w:tc>
          <w:tcPr>
            <w:tcW w:w="2943" w:type="dxa"/>
          </w:tcPr>
          <w:p w14:paraId="6AA6106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Специальные войсковые испытания 5У2М11. Тормозные шасси.</w:t>
            </w:r>
          </w:p>
        </w:tc>
        <w:tc>
          <w:tcPr>
            <w:tcW w:w="1652" w:type="dxa"/>
          </w:tcPr>
          <w:p w14:paraId="7FD00BB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6B5D82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декабря 1934 года</w:t>
            </w:r>
          </w:p>
        </w:tc>
        <w:tc>
          <w:tcPr>
            <w:tcW w:w="4351" w:type="dxa"/>
          </w:tcPr>
          <w:p w14:paraId="7D533D8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Находится на доводке.</w:t>
            </w:r>
          </w:p>
        </w:tc>
      </w:tr>
    </w:tbl>
    <w:p w14:paraId="6B337FA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Истребительное отделение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E3599D" w:rsidRPr="00E14102" w14:paraId="1D201F7C" w14:textId="77777777">
        <w:tc>
          <w:tcPr>
            <w:tcW w:w="2943" w:type="dxa"/>
          </w:tcPr>
          <w:p w14:paraId="31B41B1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И14-БН.</w:t>
            </w:r>
          </w:p>
        </w:tc>
        <w:tc>
          <w:tcPr>
            <w:tcW w:w="1652" w:type="dxa"/>
          </w:tcPr>
          <w:p w14:paraId="657FB524"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6F550EF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2D2C720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Выполнено, за исключением испытаний механизма убирания шасси, т.к. попытка посадки на расчищенную бетонную дорожку привела к аварии самолета.</w:t>
            </w:r>
          </w:p>
        </w:tc>
      </w:tr>
      <w:tr w:rsidR="00E3599D" w:rsidRPr="00E14102" w14:paraId="755E2305" w14:textId="77777777">
        <w:tc>
          <w:tcPr>
            <w:tcW w:w="2943" w:type="dxa"/>
          </w:tcPr>
          <w:p w14:paraId="7464AB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И14 РЦФ2.</w:t>
            </w:r>
          </w:p>
        </w:tc>
        <w:tc>
          <w:tcPr>
            <w:tcW w:w="1652" w:type="dxa"/>
          </w:tcPr>
          <w:p w14:paraId="55204D9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 – 25 февраля 1934 года</w:t>
            </w:r>
          </w:p>
        </w:tc>
        <w:tc>
          <w:tcPr>
            <w:tcW w:w="1652" w:type="dxa"/>
          </w:tcPr>
          <w:p w14:paraId="534E4E0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5–25 февраля 1934 года</w:t>
            </w:r>
          </w:p>
        </w:tc>
        <w:tc>
          <w:tcPr>
            <w:tcW w:w="4351" w:type="dxa"/>
          </w:tcPr>
          <w:p w14:paraId="7E148C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Только на лыжах. Выполнено. Совместно с ОЭ ЦАГИ.</w:t>
            </w:r>
          </w:p>
        </w:tc>
      </w:tr>
      <w:tr w:rsidR="00E3599D" w:rsidRPr="00E14102" w14:paraId="635A1A80" w14:textId="77777777">
        <w:tc>
          <w:tcPr>
            <w:tcW w:w="2943" w:type="dxa"/>
          </w:tcPr>
          <w:p w14:paraId="37727D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И16-М22.</w:t>
            </w:r>
          </w:p>
        </w:tc>
        <w:tc>
          <w:tcPr>
            <w:tcW w:w="1652" w:type="dxa"/>
          </w:tcPr>
          <w:p w14:paraId="3E32C23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3C51A7E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17-27 февраля 1934 года</w:t>
            </w:r>
          </w:p>
        </w:tc>
        <w:tc>
          <w:tcPr>
            <w:tcW w:w="4351" w:type="dxa"/>
          </w:tcPr>
          <w:p w14:paraId="23A3F0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Выполнено только на лыжах и без испытаний вооружения – не было готово.</w:t>
            </w:r>
          </w:p>
        </w:tc>
      </w:tr>
      <w:tr w:rsidR="00E3599D" w:rsidRPr="00E14102" w14:paraId="02B135F4" w14:textId="77777777">
        <w:tc>
          <w:tcPr>
            <w:tcW w:w="2943" w:type="dxa"/>
          </w:tcPr>
          <w:p w14:paraId="12B790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И16-ЦФ2.</w:t>
            </w:r>
          </w:p>
        </w:tc>
        <w:tc>
          <w:tcPr>
            <w:tcW w:w="1652" w:type="dxa"/>
          </w:tcPr>
          <w:p w14:paraId="2730070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788945D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17-27 февраля 1934 года</w:t>
            </w:r>
          </w:p>
        </w:tc>
        <w:tc>
          <w:tcPr>
            <w:tcW w:w="4351" w:type="dxa"/>
          </w:tcPr>
          <w:p w14:paraId="454853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Выполнено только на лыжах и без испытаний вооружения – не было доведено.</w:t>
            </w:r>
          </w:p>
        </w:tc>
      </w:tr>
      <w:tr w:rsidR="00E3599D" w:rsidRPr="00E14102" w14:paraId="58EB224F" w14:textId="77777777">
        <w:tc>
          <w:tcPr>
            <w:tcW w:w="2943" w:type="dxa"/>
          </w:tcPr>
          <w:p w14:paraId="636F77D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И16М22 на штопор (на ввод).</w:t>
            </w:r>
          </w:p>
        </w:tc>
        <w:tc>
          <w:tcPr>
            <w:tcW w:w="1652" w:type="dxa"/>
          </w:tcPr>
          <w:p w14:paraId="4655D877"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665E17C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42C349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Выполнено.</w:t>
            </w:r>
          </w:p>
        </w:tc>
      </w:tr>
      <w:tr w:rsidR="00E3599D" w:rsidRPr="00E14102" w14:paraId="683A2391" w14:textId="77777777">
        <w:tc>
          <w:tcPr>
            <w:tcW w:w="2943" w:type="dxa"/>
          </w:tcPr>
          <w:p w14:paraId="4F90259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Государственные эксплуатационные испытания самолета И15-РЦ.</w:t>
            </w:r>
          </w:p>
        </w:tc>
        <w:tc>
          <w:tcPr>
            <w:tcW w:w="1652" w:type="dxa"/>
          </w:tcPr>
          <w:p w14:paraId="67FED31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35F607C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3A94597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лыжах не закончено в связи с переброской самолета на Качу, где и было доведено до конца на колесах.</w:t>
            </w:r>
          </w:p>
        </w:tc>
      </w:tr>
      <w:tr w:rsidR="00E3599D" w:rsidRPr="00E14102" w14:paraId="3419A18E" w14:textId="77777777">
        <w:tc>
          <w:tcPr>
            <w:tcW w:w="2943" w:type="dxa"/>
          </w:tcPr>
          <w:p w14:paraId="197367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И14-РЦ2 на колесах с убиранием шасси испытание тормозных колес, покрышек 700х100 и испытание АПК.</w:t>
            </w:r>
          </w:p>
        </w:tc>
        <w:tc>
          <w:tcPr>
            <w:tcW w:w="1652" w:type="dxa"/>
          </w:tcPr>
          <w:p w14:paraId="7B69277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0C1C79F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3B7FE24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Выполнено полностью. Самолет подлежит вторичным гос. испытаниям для снятия летной характеристики с мотором РЦ-3 и доведением АПК и проверки усиления подъемного механизма шасси.</w:t>
            </w:r>
          </w:p>
        </w:tc>
      </w:tr>
      <w:tr w:rsidR="00E3599D" w:rsidRPr="00E14102" w14:paraId="0B47B8D0" w14:textId="77777777">
        <w:tc>
          <w:tcPr>
            <w:tcW w:w="2943" w:type="dxa"/>
          </w:tcPr>
          <w:p w14:paraId="565788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И16М22.</w:t>
            </w:r>
          </w:p>
        </w:tc>
        <w:tc>
          <w:tcPr>
            <w:tcW w:w="1652" w:type="dxa"/>
          </w:tcPr>
          <w:p w14:paraId="771E330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5C98A16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667400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Снята летная характеристика с убранным шасси. Остальная часть работы не могла быть закончена из-за доводки подъемного механизма и его ненадежной работы, после доводки, а также работ по усилению шасси подлежит повторным гос. испытаниям.</w:t>
            </w:r>
          </w:p>
        </w:tc>
      </w:tr>
      <w:tr w:rsidR="00E3599D" w:rsidRPr="00E14102" w14:paraId="56C5ED3B" w14:textId="77777777">
        <w:tc>
          <w:tcPr>
            <w:tcW w:w="2943" w:type="dxa"/>
          </w:tcPr>
          <w:p w14:paraId="5989C52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И16-РЦФ3.</w:t>
            </w:r>
          </w:p>
        </w:tc>
        <w:tc>
          <w:tcPr>
            <w:tcW w:w="1652" w:type="dxa"/>
          </w:tcPr>
          <w:p w14:paraId="155C33F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0D43692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6E2684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60% по государственным эксплуатационным испытаниям. Самолет испытывался только без убирания шасси, при котором потерпел аварию из-за непрочности шасси. Подлежит повторным гос. испытаниям.</w:t>
            </w:r>
          </w:p>
        </w:tc>
      </w:tr>
      <w:tr w:rsidR="00E3599D" w:rsidRPr="00E14102" w14:paraId="69761D99" w14:textId="77777777">
        <w:tc>
          <w:tcPr>
            <w:tcW w:w="2943" w:type="dxa"/>
          </w:tcPr>
          <w:p w14:paraId="022AE3C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И14БМ с убирающимся шасси.</w:t>
            </w:r>
          </w:p>
        </w:tc>
        <w:tc>
          <w:tcPr>
            <w:tcW w:w="1652" w:type="dxa"/>
          </w:tcPr>
          <w:p w14:paraId="4270052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5E81AEA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30167A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Выполнено. Снята летная характеристика с убирающимися шасси.</w:t>
            </w:r>
          </w:p>
        </w:tc>
      </w:tr>
      <w:tr w:rsidR="00E3599D" w:rsidRPr="00E14102" w14:paraId="5A6F89C8" w14:textId="77777777">
        <w:tc>
          <w:tcPr>
            <w:tcW w:w="2943" w:type="dxa"/>
          </w:tcPr>
          <w:p w14:paraId="735A786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головного серийного самолета завода № 39 И15РЦ3.</w:t>
            </w:r>
          </w:p>
        </w:tc>
        <w:tc>
          <w:tcPr>
            <w:tcW w:w="1652" w:type="dxa"/>
          </w:tcPr>
          <w:p w14:paraId="70CB0BD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38924F4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5FF87A0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Выполнено. Снята летная характеристика с убирающимися шасси.</w:t>
            </w:r>
          </w:p>
        </w:tc>
      </w:tr>
      <w:tr w:rsidR="00E3599D" w:rsidRPr="00E14102" w14:paraId="3A2CFF6F" w14:textId="77777777">
        <w:tc>
          <w:tcPr>
            <w:tcW w:w="2943" w:type="dxa"/>
          </w:tcPr>
          <w:p w14:paraId="0405B2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СТАЛЬ-6.</w:t>
            </w:r>
          </w:p>
        </w:tc>
        <w:tc>
          <w:tcPr>
            <w:tcW w:w="1652" w:type="dxa"/>
          </w:tcPr>
          <w:p w14:paraId="69ADC57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4A7DA69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516C134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Не закончено из-за неисправной работы испарительного охлаждения.</w:t>
            </w:r>
          </w:p>
        </w:tc>
      </w:tr>
      <w:tr w:rsidR="00E3599D" w:rsidRPr="00E14102" w14:paraId="12095574" w14:textId="77777777">
        <w:tc>
          <w:tcPr>
            <w:tcW w:w="2943" w:type="dxa"/>
          </w:tcPr>
          <w:p w14:paraId="6B5021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И16РЦ3.</w:t>
            </w:r>
          </w:p>
        </w:tc>
        <w:tc>
          <w:tcPr>
            <w:tcW w:w="1652" w:type="dxa"/>
          </w:tcPr>
          <w:p w14:paraId="7C1BBC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 сентября – 1 октября 1934 года</w:t>
            </w:r>
          </w:p>
        </w:tc>
        <w:tc>
          <w:tcPr>
            <w:tcW w:w="1652" w:type="dxa"/>
          </w:tcPr>
          <w:p w14:paraId="4F0F05C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 сентября – 1 октября 1934 года</w:t>
            </w:r>
          </w:p>
        </w:tc>
        <w:tc>
          <w:tcPr>
            <w:tcW w:w="4351" w:type="dxa"/>
          </w:tcPr>
          <w:p w14:paraId="0E5C9D4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Выполнено. Самолет подлежит эксплуатационным испытаниям.</w:t>
            </w:r>
          </w:p>
        </w:tc>
      </w:tr>
      <w:tr w:rsidR="00E3599D" w:rsidRPr="00E14102" w14:paraId="0D171334" w14:textId="77777777">
        <w:tc>
          <w:tcPr>
            <w:tcW w:w="2943" w:type="dxa"/>
          </w:tcPr>
          <w:p w14:paraId="0B1FF54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двухместного учебно-тренировочного истребителя УГ-1.</w:t>
            </w:r>
          </w:p>
        </w:tc>
        <w:tc>
          <w:tcPr>
            <w:tcW w:w="1652" w:type="dxa"/>
          </w:tcPr>
          <w:p w14:paraId="64111F6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7FEE62E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7754D90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Выполнено. Желательна постройка небольшой серии.</w:t>
            </w:r>
          </w:p>
        </w:tc>
      </w:tr>
      <w:tr w:rsidR="00E3599D" w:rsidRPr="00E14102" w14:paraId="666D6C64" w14:textId="77777777">
        <w:tc>
          <w:tcPr>
            <w:tcW w:w="2943" w:type="dxa"/>
          </w:tcPr>
          <w:p w14:paraId="494858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МИ3.</w:t>
            </w:r>
          </w:p>
        </w:tc>
        <w:tc>
          <w:tcPr>
            <w:tcW w:w="1652" w:type="dxa"/>
          </w:tcPr>
          <w:p w14:paraId="7782AE8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6B6F0C0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1E2E047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Выполнено. Самолет в предъявленном виде для серийной постройки не пригоден.</w:t>
            </w:r>
          </w:p>
        </w:tc>
      </w:tr>
      <w:tr w:rsidR="00E3599D" w:rsidRPr="00E14102" w14:paraId="7D6E76C3" w14:textId="77777777">
        <w:tc>
          <w:tcPr>
            <w:tcW w:w="2943" w:type="dxa"/>
          </w:tcPr>
          <w:p w14:paraId="0EE436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головного серийного самолета И15-РЦФ3 постройки завода № 1.</w:t>
            </w:r>
          </w:p>
        </w:tc>
        <w:tc>
          <w:tcPr>
            <w:tcW w:w="1652" w:type="dxa"/>
          </w:tcPr>
          <w:p w14:paraId="640BEE9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38CC2C9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0BD820C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95%. Не закончена эксплуатационная часть испытания из-за аварии самолета.</w:t>
            </w:r>
          </w:p>
        </w:tc>
      </w:tr>
      <w:tr w:rsidR="00E3599D" w:rsidRPr="00E14102" w14:paraId="4C146E73" w14:textId="77777777">
        <w:tc>
          <w:tcPr>
            <w:tcW w:w="2943" w:type="dxa"/>
          </w:tcPr>
          <w:p w14:paraId="11CF1C7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(полные) двухместного истребителя ДИ6-РЦФ3. Вне плана.</w:t>
            </w:r>
          </w:p>
        </w:tc>
        <w:tc>
          <w:tcPr>
            <w:tcW w:w="1652" w:type="dxa"/>
          </w:tcPr>
          <w:p w14:paraId="5182C96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21766B8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57073F4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Выполнено. Довести конструкцию самолета и вооружение на втором экземпляре для постройки в серии.</w:t>
            </w:r>
          </w:p>
        </w:tc>
      </w:tr>
    </w:tbl>
    <w:p w14:paraId="46DE06D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Отделение летательных аппаратов</w:t>
      </w:r>
    </w:p>
    <w:p w14:paraId="4EB886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Опытные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E3599D" w:rsidRPr="00E14102" w14:paraId="2CD880CB" w14:textId="77777777">
        <w:tc>
          <w:tcPr>
            <w:tcW w:w="2943" w:type="dxa"/>
          </w:tcPr>
          <w:p w14:paraId="1806D8E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Проектирование и постройка автожиров А-13, А-12 (ОА) и А-10.</w:t>
            </w:r>
          </w:p>
        </w:tc>
        <w:tc>
          <w:tcPr>
            <w:tcW w:w="1652" w:type="dxa"/>
          </w:tcPr>
          <w:p w14:paraId="59BCD8B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3CD2851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734804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100%. А-13 заканчивается постройкой. А-12 ведется проектирование. </w:t>
            </w:r>
          </w:p>
        </w:tc>
      </w:tr>
      <w:tr w:rsidR="00E3599D" w:rsidRPr="00E14102" w14:paraId="2ED0BE33" w14:textId="77777777">
        <w:tc>
          <w:tcPr>
            <w:tcW w:w="2943" w:type="dxa"/>
          </w:tcPr>
          <w:p w14:paraId="08D1A85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Проектирование и постройка геликоптера 11-ЭА.</w:t>
            </w:r>
          </w:p>
        </w:tc>
        <w:tc>
          <w:tcPr>
            <w:tcW w:w="1652" w:type="dxa"/>
          </w:tcPr>
          <w:p w14:paraId="6E34CF9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7B0D1C4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4103188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Проектирование заканчивается. Часть чертежей сдана в производство.</w:t>
            </w:r>
          </w:p>
        </w:tc>
      </w:tr>
      <w:tr w:rsidR="00E3599D" w:rsidRPr="00E14102" w14:paraId="40706092" w14:textId="77777777">
        <w:tc>
          <w:tcPr>
            <w:tcW w:w="2943" w:type="dxa"/>
          </w:tcPr>
          <w:p w14:paraId="191D652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Установка стартовых ракет на самолете ТБ3-4М17.</w:t>
            </w:r>
          </w:p>
        </w:tc>
        <w:tc>
          <w:tcPr>
            <w:tcW w:w="1652" w:type="dxa"/>
          </w:tcPr>
          <w:p w14:paraId="17BD31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января 1935 года</w:t>
            </w:r>
          </w:p>
        </w:tc>
        <w:tc>
          <w:tcPr>
            <w:tcW w:w="1652" w:type="dxa"/>
          </w:tcPr>
          <w:p w14:paraId="502A644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мая 1935 года</w:t>
            </w:r>
          </w:p>
        </w:tc>
        <w:tc>
          <w:tcPr>
            <w:tcW w:w="4351" w:type="dxa"/>
          </w:tcPr>
          <w:p w14:paraId="05559CE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Заканчиваются работы по проектированию.</w:t>
            </w:r>
          </w:p>
        </w:tc>
      </w:tr>
      <w:tr w:rsidR="00E3599D" w:rsidRPr="00E14102" w14:paraId="73A1B47A" w14:textId="77777777">
        <w:tc>
          <w:tcPr>
            <w:tcW w:w="2943" w:type="dxa"/>
          </w:tcPr>
          <w:p w14:paraId="32358C0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Установка стартовых ракет на 2-х самолетах ТБ1-2М17.</w:t>
            </w:r>
          </w:p>
        </w:tc>
        <w:tc>
          <w:tcPr>
            <w:tcW w:w="1652" w:type="dxa"/>
          </w:tcPr>
          <w:p w14:paraId="4B4A55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октября 1934 года</w:t>
            </w:r>
          </w:p>
        </w:tc>
        <w:tc>
          <w:tcPr>
            <w:tcW w:w="1652" w:type="dxa"/>
          </w:tcPr>
          <w:p w14:paraId="7DAC5E2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февраля 1935 года</w:t>
            </w:r>
          </w:p>
        </w:tc>
        <w:tc>
          <w:tcPr>
            <w:tcW w:w="4351" w:type="dxa"/>
          </w:tcPr>
          <w:p w14:paraId="58A601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Окончание работы задерживается из-за отсутствия деталей, заказанных промышленностью.</w:t>
            </w:r>
          </w:p>
        </w:tc>
      </w:tr>
      <w:tr w:rsidR="00E3599D" w:rsidRPr="00E14102" w14:paraId="4B108CB3" w14:textId="77777777">
        <w:tc>
          <w:tcPr>
            <w:tcW w:w="2943" w:type="dxa"/>
          </w:tcPr>
          <w:p w14:paraId="1D95939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Заводские испытания автожира А-7.</w:t>
            </w:r>
          </w:p>
        </w:tc>
        <w:tc>
          <w:tcPr>
            <w:tcW w:w="1652" w:type="dxa"/>
          </w:tcPr>
          <w:p w14:paraId="0E4B2D9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751FF23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659CCA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Закончена первая часть летных испытаний.</w:t>
            </w:r>
          </w:p>
        </w:tc>
      </w:tr>
      <w:tr w:rsidR="00E3599D" w:rsidRPr="00E14102" w14:paraId="7721F609" w14:textId="77777777">
        <w:tc>
          <w:tcPr>
            <w:tcW w:w="2943" w:type="dxa"/>
          </w:tcPr>
          <w:p w14:paraId="54F29BD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Заводские испытания автожира А-8.</w:t>
            </w:r>
          </w:p>
        </w:tc>
        <w:tc>
          <w:tcPr>
            <w:tcW w:w="1652" w:type="dxa"/>
          </w:tcPr>
          <w:p w14:paraId="7A50BD9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06868F8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733C9B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Проводятся летные испытания.</w:t>
            </w:r>
          </w:p>
        </w:tc>
      </w:tr>
      <w:tr w:rsidR="00E3599D" w:rsidRPr="00E14102" w14:paraId="050FF67F" w14:textId="77777777">
        <w:tc>
          <w:tcPr>
            <w:tcW w:w="2943" w:type="dxa"/>
          </w:tcPr>
          <w:p w14:paraId="6CE8A5C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Заводские испытания геликоптера 5-ЭА.</w:t>
            </w:r>
          </w:p>
        </w:tc>
        <w:tc>
          <w:tcPr>
            <w:tcW w:w="1652" w:type="dxa"/>
          </w:tcPr>
          <w:p w14:paraId="342D0D3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3F6131A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0EB9B2E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Проведено несколько полетов.</w:t>
            </w:r>
          </w:p>
        </w:tc>
      </w:tr>
    </w:tbl>
    <w:p w14:paraId="507025A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E3599D" w:rsidRPr="00E14102" w14:paraId="5285DF12" w14:textId="77777777">
        <w:tc>
          <w:tcPr>
            <w:tcW w:w="2943" w:type="dxa"/>
          </w:tcPr>
          <w:p w14:paraId="796238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автожира А-6.</w:t>
            </w:r>
          </w:p>
        </w:tc>
        <w:tc>
          <w:tcPr>
            <w:tcW w:w="1652" w:type="dxa"/>
          </w:tcPr>
          <w:p w14:paraId="482D2A8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1652" w:type="dxa"/>
          </w:tcPr>
          <w:p w14:paraId="07C5D477"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4B74950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прекращены вследствие аварии автожира 5 января 1934 года.</w:t>
            </w:r>
          </w:p>
        </w:tc>
      </w:tr>
      <w:tr w:rsidR="00E3599D" w:rsidRPr="00E14102" w14:paraId="5ED690F5" w14:textId="77777777">
        <w:tc>
          <w:tcPr>
            <w:tcW w:w="2943" w:type="dxa"/>
          </w:tcPr>
          <w:p w14:paraId="74CB91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Войсковые испытания автожира А-4 в частях ВС.</w:t>
            </w:r>
          </w:p>
        </w:tc>
        <w:tc>
          <w:tcPr>
            <w:tcW w:w="1652" w:type="dxa"/>
          </w:tcPr>
          <w:p w14:paraId="40A729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Окончание испытаний 15 сентября 1934 года</w:t>
            </w:r>
          </w:p>
        </w:tc>
        <w:tc>
          <w:tcPr>
            <w:tcW w:w="1652" w:type="dxa"/>
          </w:tcPr>
          <w:p w14:paraId="67F5638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4BF707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Войсковые испытания ни в одной из строевых частей ВС полностью не проведены.</w:t>
            </w:r>
          </w:p>
        </w:tc>
      </w:tr>
    </w:tbl>
    <w:p w14:paraId="6883DDE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Гидросамолеты</w:t>
      </w:r>
    </w:p>
    <w:p w14:paraId="25E5753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опытным работам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E3599D" w:rsidRPr="00E14102" w14:paraId="25B8A135" w14:textId="77777777">
        <w:tc>
          <w:tcPr>
            <w:tcW w:w="2943" w:type="dxa"/>
          </w:tcPr>
          <w:p w14:paraId="6ECD6CB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МК1-6М34Р. Наблюдение за постройкой и заводскими испытаниями, подготовка и прием самолета на гос. испытания.</w:t>
            </w:r>
          </w:p>
        </w:tc>
        <w:tc>
          <w:tcPr>
            <w:tcW w:w="1652" w:type="dxa"/>
          </w:tcPr>
          <w:p w14:paraId="59D127E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августа 1934 года</w:t>
            </w:r>
          </w:p>
        </w:tc>
        <w:tc>
          <w:tcPr>
            <w:tcW w:w="1652" w:type="dxa"/>
          </w:tcPr>
          <w:p w14:paraId="47F4F7B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1BD06B7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Устранение вибрации хвостового оперения, недостатков охлаждения и авария при рулежке оттянули срок окончания заводских испытаний на 3,5 месяца начать нормальные заводские испытания. Приемка самолета на гос. испытания предполагается в середине февраля.</w:t>
            </w:r>
          </w:p>
        </w:tc>
      </w:tr>
      <w:tr w:rsidR="00E3599D" w:rsidRPr="00E14102" w14:paraId="31AB641F" w14:textId="77777777">
        <w:tc>
          <w:tcPr>
            <w:tcW w:w="2943" w:type="dxa"/>
          </w:tcPr>
          <w:p w14:paraId="370D3F5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МДР4бис-3М34Р. Наблюдение за постройкой и заводскими испытаниями</w:t>
            </w:r>
          </w:p>
        </w:tc>
        <w:tc>
          <w:tcPr>
            <w:tcW w:w="1652" w:type="dxa"/>
          </w:tcPr>
          <w:p w14:paraId="1243418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марта 1935 года</w:t>
            </w:r>
          </w:p>
        </w:tc>
        <w:tc>
          <w:tcPr>
            <w:tcW w:w="1652" w:type="dxa"/>
          </w:tcPr>
          <w:p w14:paraId="39357A8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53A9BC5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Самолет к нормальным заводским испытаниям не приступил, ведутся работы по устранению вибраций хвостового оперения. Дублер строится взамен потерпевшего катастрофу первого экземпляра.</w:t>
            </w:r>
          </w:p>
        </w:tc>
      </w:tr>
      <w:tr w:rsidR="00E3599D" w:rsidRPr="00E14102" w14:paraId="11FC54C6" w14:textId="77777777">
        <w:tc>
          <w:tcPr>
            <w:tcW w:w="2943" w:type="dxa"/>
          </w:tcPr>
          <w:p w14:paraId="172CBF2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МБР5-РЦ3Ф. Утверждение эскизного проекта и макета самолета, наблюдение за производством.</w:t>
            </w:r>
          </w:p>
        </w:tc>
        <w:tc>
          <w:tcPr>
            <w:tcW w:w="1652" w:type="dxa"/>
          </w:tcPr>
          <w:p w14:paraId="2AAEC0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апреля 1935 года</w:t>
            </w:r>
          </w:p>
        </w:tc>
        <w:tc>
          <w:tcPr>
            <w:tcW w:w="1652" w:type="dxa"/>
          </w:tcPr>
          <w:p w14:paraId="0D1C776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октября 1934 года</w:t>
            </w:r>
          </w:p>
        </w:tc>
        <w:tc>
          <w:tcPr>
            <w:tcW w:w="4351" w:type="dxa"/>
          </w:tcPr>
          <w:p w14:paraId="181C55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Начало производства самолета в связи с переездом бригады завода № 39 в Таганрог опоздали на 2,5 месяца. Самолет находится в постройке.</w:t>
            </w:r>
          </w:p>
        </w:tc>
      </w:tr>
      <w:tr w:rsidR="00E3599D" w:rsidRPr="00E14102" w14:paraId="099461EA" w14:textId="77777777">
        <w:tc>
          <w:tcPr>
            <w:tcW w:w="2943" w:type="dxa"/>
          </w:tcPr>
          <w:p w14:paraId="184CF6F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КОР1-РЦ3Ф. Разработка тактико-технических требований, утверждение эскизного проекта и наблюдение за ходом проектирования.</w:t>
            </w:r>
          </w:p>
        </w:tc>
        <w:tc>
          <w:tcPr>
            <w:tcW w:w="1652" w:type="dxa"/>
          </w:tcPr>
          <w:p w14:paraId="5BAB1CB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1652" w:type="dxa"/>
          </w:tcPr>
          <w:p w14:paraId="4E78D6F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июля 1934 года</w:t>
            </w:r>
          </w:p>
        </w:tc>
        <w:tc>
          <w:tcPr>
            <w:tcW w:w="4351" w:type="dxa"/>
          </w:tcPr>
          <w:p w14:paraId="0CDCB18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Ведется постройка макета и проектирование самолета.</w:t>
            </w:r>
          </w:p>
        </w:tc>
      </w:tr>
      <w:tr w:rsidR="00E3599D" w:rsidRPr="00E14102" w14:paraId="3D3E968A" w14:textId="77777777">
        <w:tc>
          <w:tcPr>
            <w:tcW w:w="2943" w:type="dxa"/>
          </w:tcPr>
          <w:p w14:paraId="1C7D12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МДР6-2М22 (2РЦ3Ф). Разработка требований, утверждение эскизного проекта и наблюдение за проектированием.</w:t>
            </w:r>
          </w:p>
        </w:tc>
        <w:tc>
          <w:tcPr>
            <w:tcW w:w="1652" w:type="dxa"/>
          </w:tcPr>
          <w:p w14:paraId="0549A5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апреля 1935 года</w:t>
            </w:r>
          </w:p>
        </w:tc>
        <w:tc>
          <w:tcPr>
            <w:tcW w:w="1652" w:type="dxa"/>
          </w:tcPr>
          <w:p w14:paraId="756739D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января 1935 года</w:t>
            </w:r>
          </w:p>
        </w:tc>
        <w:tc>
          <w:tcPr>
            <w:tcW w:w="4351" w:type="dxa"/>
          </w:tcPr>
          <w:p w14:paraId="1423D21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Эскизный проект готов.</w:t>
            </w:r>
          </w:p>
        </w:tc>
      </w:tr>
      <w:tr w:rsidR="00E3599D" w:rsidRPr="00E14102" w14:paraId="188EFC85" w14:textId="77777777">
        <w:tc>
          <w:tcPr>
            <w:tcW w:w="2943" w:type="dxa"/>
          </w:tcPr>
          <w:p w14:paraId="2522071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МДР-5. Разработка требований, утверждение эскизного проекта.</w:t>
            </w:r>
          </w:p>
        </w:tc>
        <w:tc>
          <w:tcPr>
            <w:tcW w:w="1652" w:type="dxa"/>
          </w:tcPr>
          <w:p w14:paraId="2577113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декабря 1935 года.</w:t>
            </w:r>
          </w:p>
        </w:tc>
        <w:tc>
          <w:tcPr>
            <w:tcW w:w="1652" w:type="dxa"/>
          </w:tcPr>
          <w:p w14:paraId="63DB46B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6E3594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Тактико-технические требования переданы в ЦАГИ. Самолет отодвинут на год согласно постановления СТО № 10 от 13 декабря 1934 года.</w:t>
            </w:r>
          </w:p>
        </w:tc>
      </w:tr>
      <w:tr w:rsidR="00E3599D" w:rsidRPr="00E14102" w14:paraId="57DCC120" w14:textId="77777777">
        <w:tc>
          <w:tcPr>
            <w:tcW w:w="2943" w:type="dxa"/>
          </w:tcPr>
          <w:p w14:paraId="407A444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СПЛ-М11. Рассмотрение макета, наблюдение за постройкой и заводскими испытаниями.</w:t>
            </w:r>
          </w:p>
        </w:tc>
        <w:tc>
          <w:tcPr>
            <w:tcW w:w="1652" w:type="dxa"/>
          </w:tcPr>
          <w:p w14:paraId="2D99EF9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ноября 1934 года</w:t>
            </w:r>
          </w:p>
        </w:tc>
        <w:tc>
          <w:tcPr>
            <w:tcW w:w="1652" w:type="dxa"/>
          </w:tcPr>
          <w:p w14:paraId="058A777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ноября 1934 года</w:t>
            </w:r>
          </w:p>
        </w:tc>
        <w:tc>
          <w:tcPr>
            <w:tcW w:w="4351" w:type="dxa"/>
          </w:tcPr>
          <w:p w14:paraId="2C15B56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Самолет вышел на заводские испытания, приемка на гос. испытания ожидается в январе.</w:t>
            </w:r>
          </w:p>
        </w:tc>
      </w:tr>
      <w:tr w:rsidR="00E3599D" w:rsidRPr="00E14102" w14:paraId="3D83D76C" w14:textId="77777777">
        <w:tc>
          <w:tcPr>
            <w:tcW w:w="2943" w:type="dxa"/>
          </w:tcPr>
          <w:p w14:paraId="4AE9D5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МК2. Разработка тактико-технических требований и проведение расчетов по эскизному проекту.</w:t>
            </w:r>
          </w:p>
        </w:tc>
        <w:tc>
          <w:tcPr>
            <w:tcW w:w="1652" w:type="dxa"/>
          </w:tcPr>
          <w:p w14:paraId="07BE9F6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мая 1934 года</w:t>
            </w:r>
          </w:p>
        </w:tc>
        <w:tc>
          <w:tcPr>
            <w:tcW w:w="1652" w:type="dxa"/>
          </w:tcPr>
          <w:p w14:paraId="36F638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мая 1934 года</w:t>
            </w:r>
          </w:p>
        </w:tc>
        <w:tc>
          <w:tcPr>
            <w:tcW w:w="4351" w:type="dxa"/>
          </w:tcPr>
          <w:p w14:paraId="1EF5247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снят с плана опытного строительства.</w:t>
            </w:r>
          </w:p>
        </w:tc>
      </w:tr>
      <w:tr w:rsidR="00E3599D" w:rsidRPr="00E14102" w14:paraId="0875CFEB" w14:textId="77777777">
        <w:tc>
          <w:tcPr>
            <w:tcW w:w="2943" w:type="dxa"/>
          </w:tcPr>
          <w:p w14:paraId="05EC11F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МТБ-4ГР 14К. Разработка самолета в эскизном проекте и составление тактико-технических требований.</w:t>
            </w:r>
          </w:p>
        </w:tc>
        <w:tc>
          <w:tcPr>
            <w:tcW w:w="1652" w:type="dxa"/>
          </w:tcPr>
          <w:p w14:paraId="4C791D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декабря 1934 года</w:t>
            </w:r>
          </w:p>
        </w:tc>
        <w:tc>
          <w:tcPr>
            <w:tcW w:w="1652" w:type="dxa"/>
          </w:tcPr>
          <w:p w14:paraId="5D7BCD4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декабря 1934 года</w:t>
            </w:r>
          </w:p>
        </w:tc>
        <w:tc>
          <w:tcPr>
            <w:tcW w:w="4351" w:type="dxa"/>
          </w:tcPr>
          <w:p w14:paraId="717DF6E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ЦАГИ начато проектирование самолета, основные летно-тактические данные утверждены. Вне плана.</w:t>
            </w:r>
          </w:p>
        </w:tc>
      </w:tr>
    </w:tbl>
    <w:p w14:paraId="2AB60F5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испытаниям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E3599D" w:rsidRPr="00E14102" w14:paraId="2AE03F0D" w14:textId="77777777">
        <w:tc>
          <w:tcPr>
            <w:tcW w:w="2943" w:type="dxa"/>
          </w:tcPr>
          <w:p w14:paraId="257638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МБР2-М17. Испытания доведенного опытного самолета.</w:t>
            </w:r>
          </w:p>
        </w:tc>
        <w:tc>
          <w:tcPr>
            <w:tcW w:w="1652" w:type="dxa"/>
          </w:tcPr>
          <w:p w14:paraId="4365F27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января 1934 года</w:t>
            </w:r>
          </w:p>
        </w:tc>
        <w:tc>
          <w:tcPr>
            <w:tcW w:w="1652" w:type="dxa"/>
          </w:tcPr>
          <w:p w14:paraId="391391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января 1934 года</w:t>
            </w:r>
          </w:p>
        </w:tc>
        <w:tc>
          <w:tcPr>
            <w:tcW w:w="4351" w:type="dxa"/>
          </w:tcPr>
          <w:p w14:paraId="3EC1C64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1005. самолет испытан и передан заводу № 31.</w:t>
            </w:r>
          </w:p>
        </w:tc>
      </w:tr>
      <w:tr w:rsidR="00E3599D" w:rsidRPr="00E14102" w14:paraId="3F25E46E" w14:textId="77777777">
        <w:tc>
          <w:tcPr>
            <w:tcW w:w="2943" w:type="dxa"/>
          </w:tcPr>
          <w:p w14:paraId="77DFA47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МБР2-М17. Испытания головного серийного самолета.</w:t>
            </w:r>
          </w:p>
        </w:tc>
        <w:tc>
          <w:tcPr>
            <w:tcW w:w="1652" w:type="dxa"/>
          </w:tcPr>
          <w:p w14:paraId="59B58C2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апреля 1934 года</w:t>
            </w:r>
          </w:p>
        </w:tc>
        <w:tc>
          <w:tcPr>
            <w:tcW w:w="1652" w:type="dxa"/>
          </w:tcPr>
          <w:p w14:paraId="24CD7D4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июня 1934 года</w:t>
            </w:r>
          </w:p>
        </w:tc>
        <w:tc>
          <w:tcPr>
            <w:tcW w:w="4351" w:type="dxa"/>
          </w:tcPr>
          <w:p w14:paraId="7A4B8B2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Самолет после испытаний возвращен на завод № 31 для исправления дефектов, после чего назначен эталон серии 1934 года.</w:t>
            </w:r>
          </w:p>
        </w:tc>
      </w:tr>
      <w:tr w:rsidR="00E3599D" w:rsidRPr="00E14102" w14:paraId="2F7568B7" w14:textId="77777777">
        <w:tc>
          <w:tcPr>
            <w:tcW w:w="2943" w:type="dxa"/>
          </w:tcPr>
          <w:p w14:paraId="2BB92F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МДР4-3М34Р гос. испытания опытного образца.</w:t>
            </w:r>
          </w:p>
        </w:tc>
        <w:tc>
          <w:tcPr>
            <w:tcW w:w="1652" w:type="dxa"/>
          </w:tcPr>
          <w:p w14:paraId="7A65A5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мая 1934 года</w:t>
            </w:r>
          </w:p>
        </w:tc>
        <w:tc>
          <w:tcPr>
            <w:tcW w:w="1652" w:type="dxa"/>
          </w:tcPr>
          <w:p w14:paraId="2879FB4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6AAAA47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Задание снято, самолет потерпел катастрофу.</w:t>
            </w:r>
          </w:p>
        </w:tc>
      </w:tr>
      <w:tr w:rsidR="00E3599D" w:rsidRPr="00E14102" w14:paraId="2AF862E2" w14:textId="77777777">
        <w:tc>
          <w:tcPr>
            <w:tcW w:w="2943" w:type="dxa"/>
          </w:tcPr>
          <w:p w14:paraId="463F00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КР6а-2М17 – испытание головного серийного.</w:t>
            </w:r>
          </w:p>
        </w:tc>
        <w:tc>
          <w:tcPr>
            <w:tcW w:w="1652" w:type="dxa"/>
          </w:tcPr>
          <w:p w14:paraId="79FE89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сентября 1934 года</w:t>
            </w:r>
          </w:p>
        </w:tc>
        <w:tc>
          <w:tcPr>
            <w:tcW w:w="1652" w:type="dxa"/>
          </w:tcPr>
          <w:p w14:paraId="34EE659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c>
          <w:tcPr>
            <w:tcW w:w="4351" w:type="dxa"/>
          </w:tcPr>
          <w:p w14:paraId="38BC4D9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Задание не выполнено вследствие обнаружившейся непрочности поплавков.</w:t>
            </w:r>
          </w:p>
        </w:tc>
      </w:tr>
      <w:tr w:rsidR="00E3599D" w:rsidRPr="00E14102" w14:paraId="75D13271" w14:textId="77777777">
        <w:tc>
          <w:tcPr>
            <w:tcW w:w="2943" w:type="dxa"/>
          </w:tcPr>
          <w:p w14:paraId="15F63C3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Р5а-М17 – испытание головного серийного.</w:t>
            </w:r>
          </w:p>
        </w:tc>
        <w:tc>
          <w:tcPr>
            <w:tcW w:w="1652" w:type="dxa"/>
          </w:tcPr>
          <w:p w14:paraId="2270C1B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февраля 1934 года</w:t>
            </w:r>
          </w:p>
        </w:tc>
        <w:tc>
          <w:tcPr>
            <w:tcW w:w="1652" w:type="dxa"/>
          </w:tcPr>
          <w:p w14:paraId="5AC4DBC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января 1934 года</w:t>
            </w:r>
          </w:p>
        </w:tc>
        <w:tc>
          <w:tcPr>
            <w:tcW w:w="4351" w:type="dxa"/>
          </w:tcPr>
          <w:p w14:paraId="4D3142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Самолет подвергнут эксплуатационным испытаниям.</w:t>
            </w:r>
          </w:p>
        </w:tc>
      </w:tr>
      <w:tr w:rsidR="00E3599D" w:rsidRPr="00E14102" w14:paraId="1A6F3760" w14:textId="77777777">
        <w:tc>
          <w:tcPr>
            <w:tcW w:w="2943" w:type="dxa"/>
          </w:tcPr>
          <w:p w14:paraId="7589023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Р5а-М17 – эксплуатационные испытания.</w:t>
            </w:r>
          </w:p>
        </w:tc>
        <w:tc>
          <w:tcPr>
            <w:tcW w:w="1652" w:type="dxa"/>
          </w:tcPr>
          <w:p w14:paraId="24282B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марта 1934 года</w:t>
            </w:r>
          </w:p>
        </w:tc>
        <w:tc>
          <w:tcPr>
            <w:tcW w:w="1652" w:type="dxa"/>
          </w:tcPr>
          <w:p w14:paraId="342C618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мая 1934 года</w:t>
            </w:r>
          </w:p>
        </w:tc>
        <w:tc>
          <w:tcPr>
            <w:tcW w:w="4351" w:type="dxa"/>
          </w:tcPr>
          <w:p w14:paraId="25A7337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80%. Испытания не закончены вследствие недостаточной прочности поплавков.</w:t>
            </w:r>
          </w:p>
        </w:tc>
      </w:tr>
      <w:tr w:rsidR="00E3599D" w:rsidRPr="00E14102" w14:paraId="4312B863" w14:textId="77777777">
        <w:tc>
          <w:tcPr>
            <w:tcW w:w="2943" w:type="dxa"/>
          </w:tcPr>
          <w:p w14:paraId="37AC26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МБР2-М17 - эксплуатационные испытания.</w:t>
            </w:r>
          </w:p>
        </w:tc>
        <w:tc>
          <w:tcPr>
            <w:tcW w:w="1652" w:type="dxa"/>
          </w:tcPr>
          <w:p w14:paraId="623EB7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января 1935 года</w:t>
            </w:r>
          </w:p>
        </w:tc>
        <w:tc>
          <w:tcPr>
            <w:tcW w:w="1652" w:type="dxa"/>
          </w:tcPr>
          <w:p w14:paraId="1B14324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декабря 1934 года</w:t>
            </w:r>
          </w:p>
        </w:tc>
        <w:tc>
          <w:tcPr>
            <w:tcW w:w="4351" w:type="dxa"/>
          </w:tcPr>
          <w:p w14:paraId="70D8AA8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 Испытания проведены.</w:t>
            </w:r>
          </w:p>
        </w:tc>
      </w:tr>
    </w:tbl>
    <w:p w14:paraId="4038826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2EFC4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в докладной записке Н.Н.П. указывал: “цифры, указанные в задании ГУАП по сухопутным самолетам в 600 км/час, занижены, т.к. наиболее вероятно ожидать в 1937 рекордную скорость свыше 600 км/час, в то время как по морским самолетам таковая едва ли превысит 800 км/час. Это обстоятельство диктует нам, что по сухопутным самолетам надо брать в задание рекордную скорость не 600, а 700 км/час (4207, 89).</w:t>
      </w:r>
    </w:p>
    <w:p w14:paraId="535E7B7D" w14:textId="77777777" w:rsidR="00D4105E" w:rsidRPr="00E14102" w:rsidRDefault="00D4105E" w:rsidP="00E14102">
      <w:pPr>
        <w:autoSpaceDE w:val="0"/>
        <w:autoSpaceDN w:val="0"/>
        <w:adjustRightInd w:val="0"/>
        <w:jc w:val="both"/>
        <w:rPr>
          <w:color w:val="000000" w:themeColor="text1"/>
          <w:sz w:val="16"/>
          <w:szCs w:val="16"/>
        </w:rPr>
      </w:pPr>
    </w:p>
    <w:p w14:paraId="6AB444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года заводу № 47 удалось выпустить всего лишь три И-5, один ТБ-1 и четырнадцать У-2. Административные и структурные преобразования негативно отразились на организации производственного процесса и выполнении плановых заданий. Правда, в это время выполнялся крупный производственный заказ от Авиационного треста на изготовление авиационных двигателей (в том же месяце были выпущены 80 лицензионных авиационных двигателей «Либерти»). Учитывая все обстоятельства, план по выпуску самолетов заводу № 47 снизили, одновременно увеличив число заказов на производство авиационных моторов. Например, в сентябре 1935 на заводе № 47 был собран всего один самолет Р-1 при 120 произведенных моторах. Тогда же последовали очередные структурные и технологические изменения: осуществляя переход на производство экспериментальных образцов новой авиационной техники, завод № 47 стал значиться как филиал Экспериментального института (Там же. Д. 133. Л. 11.) (11176).</w:t>
      </w:r>
    </w:p>
    <w:p w14:paraId="20A27D50" w14:textId="77777777" w:rsidR="00D4105E" w:rsidRPr="00E14102" w:rsidRDefault="00D4105E" w:rsidP="00E14102">
      <w:pPr>
        <w:autoSpaceDE w:val="0"/>
        <w:autoSpaceDN w:val="0"/>
        <w:adjustRightInd w:val="0"/>
        <w:jc w:val="both"/>
        <w:rPr>
          <w:color w:val="000000" w:themeColor="text1"/>
          <w:sz w:val="16"/>
          <w:szCs w:val="16"/>
        </w:rPr>
      </w:pPr>
    </w:p>
    <w:p w14:paraId="14AE25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июне 1935 г. самолет Ш-2, заводской №31211, который эксплуатировался в агитэскадрилье им. Горького с опознавательным знаком СССР-N1986 перерегистрировали и с опозна</w:t>
      </w:r>
      <w:r w:rsidRPr="00E14102">
        <w:rPr>
          <w:color w:val="000000" w:themeColor="text1"/>
          <w:sz w:val="16"/>
          <w:szCs w:val="16"/>
        </w:rPr>
        <w:softHyphen/>
        <w:t>вательным знаком СССР-Н91 передали в Управление полярной авиации (11107).</w:t>
      </w:r>
    </w:p>
    <w:p w14:paraId="77DFA0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91340D7" w14:textId="77777777" w:rsidR="00ED41D9" w:rsidRPr="00E14102" w:rsidRDefault="00ED41D9" w:rsidP="00E14102">
      <w:pPr>
        <w:jc w:val="both"/>
        <w:rPr>
          <w:color w:val="000000" w:themeColor="text1"/>
          <w:sz w:val="16"/>
          <w:szCs w:val="16"/>
        </w:rPr>
      </w:pPr>
      <w:r w:rsidRPr="00E14102">
        <w:rPr>
          <w:color w:val="000000" w:themeColor="text1"/>
          <w:sz w:val="16"/>
          <w:szCs w:val="16"/>
        </w:rPr>
        <w:t>В июне 1935 г. самолет перерегистри</w:t>
      </w:r>
      <w:r w:rsidRPr="00E14102">
        <w:rPr>
          <w:color w:val="000000" w:themeColor="text1"/>
          <w:sz w:val="16"/>
          <w:szCs w:val="16"/>
        </w:rPr>
        <w:softHyphen/>
        <w:t>ровали с опознавательным знаком СССР-Н91 и передали в Управление полярной авиации. Ш -2 ССС Р- Н91, заводской №31211, в 1936 г. участвовал в Беломорской экспедиции с бази</w:t>
      </w:r>
      <w:r w:rsidRPr="00E14102">
        <w:rPr>
          <w:color w:val="000000" w:themeColor="text1"/>
          <w:sz w:val="16"/>
          <w:szCs w:val="16"/>
        </w:rPr>
        <w:softHyphen/>
        <w:t>рованием на борту судна. Первоначально са</w:t>
      </w:r>
      <w:r w:rsidRPr="00E14102">
        <w:rPr>
          <w:color w:val="000000" w:themeColor="text1"/>
          <w:sz w:val="16"/>
          <w:szCs w:val="16"/>
        </w:rPr>
        <w:softHyphen/>
        <w:t>молет эксплуатировался в агитэскадрилье им. Горького с опознавательным знаком СССР- №1986 (12301).</w:t>
      </w:r>
    </w:p>
    <w:p w14:paraId="52AB5B89" w14:textId="77777777" w:rsidR="00ED41D9" w:rsidRPr="00E14102" w:rsidRDefault="00ED41D9" w:rsidP="00E14102">
      <w:pPr>
        <w:jc w:val="both"/>
        <w:rPr>
          <w:color w:val="000000" w:themeColor="text1"/>
          <w:sz w:val="16"/>
          <w:szCs w:val="16"/>
        </w:rPr>
      </w:pPr>
    </w:p>
    <w:p w14:paraId="12E372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июне 1935 года Главное Управление ГВФ согласилось временно выделить для проведения опытов самолет «Фанера-2». Все работы по переделке и испытаниям самолета планировалось провести в Учебном Комбинате ГВФ в Ленинграде до октября того же года. Но когда дошло до дела, возникли вопросы: кто предоставит мотор и кого считать виновником аварии, если таковая случится? В результате договор об аренде самолета так и не был заключен. </w:t>
      </w:r>
    </w:p>
    <w:p w14:paraId="3A9A7F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Но главная проблема была в материале для обшивки — армированной фанере. Суть нового материала состояла в том, что к обычной авиационной фанере приклеивалась тонкая (0,15-0,2 мм) фольга из нержавеющей стали. Разработать технологию изготовления материала поручалось ВИАМ. </w:t>
      </w:r>
    </w:p>
    <w:p w14:paraId="5428FF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 ряду причин (ремонт пресса, болезнь специалиста) к работе в ВИАМ приступили только в августе 1935 г. Первые образцы получились неудачными. Они были покрыты волнами и вмятинами из-за того, что при прессовке сталь вдавливается в дерево, имеющее неоднородную твердость по годичным кольцам. </w:t>
      </w:r>
    </w:p>
    <w:p w14:paraId="43D642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Отработка армированной фанеры в ВИАМ затянулась на весь 1935-й, т.к. технология оказалась неожиданно трудной, и только к концу года этот вопрос можно было считать решенным. Но после этого выяснилось, что нержавеющей стали для самолетостроения в стране недостаток, а, следовательно, применять ее для армирования нецелесообразно и Варшавскому предложили подумать о «зеркальном оксидировании» дюраля. </w:t>
      </w:r>
    </w:p>
    <w:p w14:paraId="0DC1FE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 этому времени деятельность Варшавского в отношении маскировки самолетов перешла уже в вялотекущую фазу. В 1937 году он, видя все более угасающий интерес к нему у военных, обратился в Наркомат Оборонной промышленности, куда и были пересланы все материалы о его работах. </w:t>
      </w:r>
    </w:p>
    <w:p w14:paraId="663CBC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Последние сведения о работах И.И. Варшавского относятся к июлю 1937 г. В справке Отдела Изобретений НКО сказано: «Результаты в этом направлении у нас ничтожны. Таким образом, отсутствие необходимого материала для покрытия плоскостей самолета и недостаточная оценка этой работы со стороны ГУАП привела к тому, что данная проблема и до сих пор практически (постройка самолета) не решена» (11505).</w:t>
      </w:r>
    </w:p>
    <w:p w14:paraId="431E0A6A" w14:textId="77777777" w:rsidR="00D4105E" w:rsidRPr="00E14102" w:rsidRDefault="00D4105E" w:rsidP="00E14102">
      <w:pPr>
        <w:autoSpaceDE w:val="0"/>
        <w:autoSpaceDN w:val="0"/>
        <w:adjustRightInd w:val="0"/>
        <w:jc w:val="both"/>
        <w:rPr>
          <w:color w:val="000000" w:themeColor="text1"/>
          <w:sz w:val="16"/>
          <w:szCs w:val="16"/>
        </w:rPr>
      </w:pPr>
    </w:p>
    <w:p w14:paraId="728263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г. филиал завода № 132, на котором размещалось КПБ А.С.Я., преобразуется в Государственный союзный завод № 115. Яковлев назначается директором и главным конструктором завода. В 1939 г. в штате числилось 45 конструкторов и чертежников и 152 рабочих, вся производственная база состояла из 44-х станков (11650).</w:t>
      </w:r>
    </w:p>
    <w:p w14:paraId="0F3944B2" w14:textId="77777777" w:rsidR="00D4105E" w:rsidRPr="00E14102" w:rsidRDefault="00D4105E" w:rsidP="00E14102">
      <w:pPr>
        <w:autoSpaceDE w:val="0"/>
        <w:autoSpaceDN w:val="0"/>
        <w:adjustRightInd w:val="0"/>
        <w:jc w:val="both"/>
        <w:rPr>
          <w:color w:val="000000" w:themeColor="text1"/>
          <w:sz w:val="16"/>
          <w:szCs w:val="16"/>
        </w:rPr>
      </w:pPr>
    </w:p>
    <w:p w14:paraId="230D1E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ЦАК СССР им Косарева был принят в ФАИ и получил право оформления в качестве мировых и международных рекордов достижения в области воздушного спорта. Регистрацию рекордов начали 1 февраля 1936 (237,173).</w:t>
      </w:r>
    </w:p>
    <w:p w14:paraId="4945E9AE" w14:textId="77777777" w:rsidR="00D4105E" w:rsidRPr="00E14102" w:rsidRDefault="00D4105E" w:rsidP="00E14102">
      <w:pPr>
        <w:autoSpaceDE w:val="0"/>
        <w:autoSpaceDN w:val="0"/>
        <w:adjustRightInd w:val="0"/>
        <w:jc w:val="both"/>
        <w:rPr>
          <w:color w:val="000000" w:themeColor="text1"/>
          <w:sz w:val="16"/>
          <w:szCs w:val="16"/>
        </w:rPr>
      </w:pPr>
    </w:p>
    <w:p w14:paraId="1A228A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был расширен состав особая авиагруппа, созданная приказом НКО во исполнение постановления СТО от 7 апреля 1935 об определении тактики боевого применения пушечной авиации и отработки правил стрельбы, была расширена. Группа сначала была в составе звена И-зет (NN 13533, 13534, 13535), звена Р-5 для буксировки конусов и одного ТБ-1 для испытания турельной 37-мм ДРП и 15 мая 1935 начала полеты в Евпатории. Добавили 6 И-зет NN 13532, 13536, 13539, 13540, 13541, 13544. Основной целью было определение живучести и продление срока службы. В среднем выполнили по 240 выстрелов из каждой пушки. лишь отдельные машины смогли выдержать 340-360 выстрелов и признали, что более 400 не выдержит ни одна из машин (2692,7).</w:t>
      </w:r>
    </w:p>
    <w:p w14:paraId="3A301B12" w14:textId="77777777" w:rsidR="00D4105E" w:rsidRPr="00E14102" w:rsidRDefault="00D4105E" w:rsidP="00E14102">
      <w:pPr>
        <w:autoSpaceDE w:val="0"/>
        <w:autoSpaceDN w:val="0"/>
        <w:adjustRightInd w:val="0"/>
        <w:jc w:val="both"/>
        <w:rPr>
          <w:color w:val="000000" w:themeColor="text1"/>
          <w:sz w:val="16"/>
          <w:szCs w:val="16"/>
        </w:rPr>
      </w:pPr>
    </w:p>
    <w:p w14:paraId="628B48C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июне 1935 был утвержден Отчет О полигонных испытаниях агитационных реактивных мин конструкции Тверского (6818).</w:t>
      </w:r>
    </w:p>
    <w:p w14:paraId="147489F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производились на Ногинском полигоне с 9 июня 1935 года.</w:t>
      </w:r>
    </w:p>
    <w:p w14:paraId="55DE542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4D4F1A3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Определить характер функционирования мины: реактивного заряда, раскрытия и площади залистовывания.</w:t>
      </w:r>
    </w:p>
    <w:p w14:paraId="6EAD4C6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957F90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Агитмина испытаний не выдержала (6818).</w:t>
      </w:r>
    </w:p>
    <w:p w14:paraId="0EF89E9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72E7D6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г. прибор дымопуска Х-23 провалился на испытаниях: его управление оказалось ненадежным, поставленная завеса плохой и неустойчивой. Х-3 проходил испытания в июле и тоже показал себя не очень хорошо, но его сочли годным для доработки. В октябре аппарат опробовали повторно и заказали 20 комплектов для войсковых испытаний. Дальнейшая их судьба неизвестна (9964).</w:t>
      </w:r>
    </w:p>
    <w:p w14:paraId="43104A59" w14:textId="77777777" w:rsidR="00D4105E" w:rsidRPr="00E14102" w:rsidRDefault="00D4105E" w:rsidP="00E14102">
      <w:pPr>
        <w:autoSpaceDE w:val="0"/>
        <w:autoSpaceDN w:val="0"/>
        <w:adjustRightInd w:val="0"/>
        <w:jc w:val="both"/>
        <w:rPr>
          <w:color w:val="000000" w:themeColor="text1"/>
          <w:sz w:val="16"/>
          <w:szCs w:val="16"/>
        </w:rPr>
      </w:pPr>
    </w:p>
    <w:p w14:paraId="6301159E"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июне 1935 конструкторы По</w:t>
      </w:r>
      <w:r w:rsidRPr="00E14102">
        <w:rPr>
          <w:color w:val="000000" w:themeColor="text1"/>
          <w:sz w:val="16"/>
          <w:szCs w:val="16"/>
        </w:rPr>
        <w:softHyphen/>
        <w:t>левого отдела НИХИ предъявили на испытания третий вариант зажигательного прибора на базе ВАП-4м, после чего разрешили выпустить малую серию и начать войсковые испытания (12022).</w:t>
      </w:r>
    </w:p>
    <w:p w14:paraId="3BA72DB5" w14:textId="77777777" w:rsidR="00D4105E" w:rsidRPr="00E14102" w:rsidRDefault="00D4105E" w:rsidP="00E14102">
      <w:pPr>
        <w:widowControl w:val="0"/>
        <w:autoSpaceDE w:val="0"/>
        <w:autoSpaceDN w:val="0"/>
        <w:adjustRightInd w:val="0"/>
        <w:jc w:val="both"/>
        <w:rPr>
          <w:color w:val="000000" w:themeColor="text1"/>
          <w:sz w:val="16"/>
          <w:szCs w:val="16"/>
        </w:rPr>
      </w:pPr>
    </w:p>
    <w:p w14:paraId="179154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1935г. на НИ ПАВ опробовали сразу два типа ампульных кассет: конструкции инженера Можаровского и завода № 39. Первый тип был одноразовым сбрасываемым. Самолет Р-5 нес на бомбодержателях под крылом и фюзеляжем десять кассет деревянной конструкции ("деревянных дистанционных бомб") с 24 ампулами каждая; всего получалось 240 штук. Дистанционная трубка обеспечивала после сброса раскрытие в 100-200 м от земли. Всего самолет поднимал 434 кг груза. Кассеты же завода № 39 размещались в отсеке фюзеляжа. Шесть кассет вмещали 160 ампул. Для их раскрытия на самолете монтироваюя дополнительный бомбосбрасыватель АСБР-1. Суммарная загрузка кассетами завода № 39 получалась меньше - 270 кг.</w:t>
      </w:r>
    </w:p>
    <w:p w14:paraId="3D5F5F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Оба типа обладали своими достоинствами и недостатками. Ампулы застревали, раскрытие кассет иногда задерживалось или происходило не полностью. В одноразовых кассетах часть ампул не выпадала, а оставалась в корпусе. На вооружение ни один из предложенных вариантов не приняли (12034).</w:t>
      </w:r>
    </w:p>
    <w:p w14:paraId="0EEA8B99" w14:textId="77777777" w:rsidR="00D4105E" w:rsidRPr="00E14102" w:rsidRDefault="00D4105E" w:rsidP="00E14102">
      <w:pPr>
        <w:autoSpaceDE w:val="0"/>
        <w:autoSpaceDN w:val="0"/>
        <w:adjustRightInd w:val="0"/>
        <w:jc w:val="both"/>
        <w:rPr>
          <w:color w:val="000000" w:themeColor="text1"/>
          <w:sz w:val="16"/>
          <w:szCs w:val="16"/>
        </w:rPr>
      </w:pPr>
    </w:p>
    <w:p w14:paraId="56FA1D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г. на Центральном военно-химическом полигоне в Шиханах на Р-5 опробовали "деревянные дистанционные бомбы". Они снабжались механизмом, срабатывавшим от артиллерийской дистанционной трубки. Кассета открывалась в 100 - 200 м от земли и начинала выбрасывать по четыре ампулы из каждого отсека. При необходимости "деревянная бомба" сбрасывалась целиком (12043).</w:t>
      </w:r>
    </w:p>
    <w:p w14:paraId="544815A6" w14:textId="77777777" w:rsidR="00D4105E" w:rsidRPr="00E14102" w:rsidRDefault="00D4105E" w:rsidP="00E14102">
      <w:pPr>
        <w:autoSpaceDE w:val="0"/>
        <w:autoSpaceDN w:val="0"/>
        <w:adjustRightInd w:val="0"/>
        <w:jc w:val="both"/>
        <w:rPr>
          <w:color w:val="000000" w:themeColor="text1"/>
          <w:sz w:val="16"/>
          <w:szCs w:val="16"/>
        </w:rPr>
      </w:pPr>
    </w:p>
    <w:p w14:paraId="769C01B4" w14:textId="77777777" w:rsidR="00227AF0" w:rsidRPr="00E14102" w:rsidRDefault="00227AF0" w:rsidP="00E14102">
      <w:pPr>
        <w:jc w:val="both"/>
        <w:rPr>
          <w:color w:val="0070C0"/>
          <w:sz w:val="16"/>
          <w:szCs w:val="16"/>
        </w:rPr>
      </w:pPr>
      <w:r w:rsidRPr="00E14102">
        <w:rPr>
          <w:color w:val="0070C0"/>
          <w:sz w:val="16"/>
          <w:szCs w:val="16"/>
        </w:rPr>
        <w:t>В июне 1935 г. директор РНИИ, военинженер 1-го ранга И.Т.Клейменов направил на рассмотрение начальнику ГУ СМП академику О.Ю. Шмидту проекты, а также свои соображения по вопросу приме</w:t>
      </w:r>
      <w:r w:rsidRPr="00E14102">
        <w:rPr>
          <w:color w:val="0070C0"/>
          <w:sz w:val="16"/>
          <w:szCs w:val="16"/>
        </w:rPr>
        <w:softHyphen/>
        <w:t>нения ракетных ускорителей. В случае заинтересо</w:t>
      </w:r>
      <w:r w:rsidRPr="00E14102">
        <w:rPr>
          <w:color w:val="0070C0"/>
          <w:sz w:val="16"/>
          <w:szCs w:val="16"/>
        </w:rPr>
        <w:softHyphen/>
        <w:t>ванности он просил об «отпуске соответствующих средств и при</w:t>
      </w:r>
      <w:r w:rsidRPr="00E14102">
        <w:rPr>
          <w:color w:val="0070C0"/>
          <w:sz w:val="16"/>
          <w:szCs w:val="16"/>
        </w:rPr>
        <w:softHyphen/>
        <w:t>командировании к институту 10-15 конструкторов» для проекти</w:t>
      </w:r>
      <w:r w:rsidRPr="00E14102">
        <w:rPr>
          <w:color w:val="0070C0"/>
          <w:sz w:val="16"/>
          <w:szCs w:val="16"/>
        </w:rPr>
        <w:softHyphen/>
        <w:t>рования самолета «с указанными в настоящей докладной записке требованиями».</w:t>
      </w:r>
    </w:p>
    <w:p w14:paraId="59FA5684" w14:textId="77777777" w:rsidR="00227AF0" w:rsidRPr="00E14102" w:rsidRDefault="00227AF0" w:rsidP="00E14102">
      <w:pPr>
        <w:jc w:val="both"/>
        <w:rPr>
          <w:color w:val="0070C0"/>
          <w:sz w:val="16"/>
          <w:szCs w:val="16"/>
        </w:rPr>
      </w:pPr>
      <w:r w:rsidRPr="00E14102">
        <w:rPr>
          <w:color w:val="0070C0"/>
          <w:sz w:val="16"/>
          <w:szCs w:val="16"/>
        </w:rPr>
        <w:t>В РНИИ при проектировании Д-2 основ</w:t>
      </w:r>
      <w:r w:rsidRPr="00E14102">
        <w:rPr>
          <w:color w:val="0070C0"/>
          <w:sz w:val="16"/>
          <w:szCs w:val="16"/>
        </w:rPr>
        <w:softHyphen/>
        <w:t>ной целью являлось достижение «вездеходности», т.е. способности взлетать с любого грунта (снег, лед, грязь, трава, песок, тающий снег и т.п.), а также садиться на воду и взлетать с нее. И все эле</w:t>
      </w:r>
      <w:r w:rsidRPr="00E14102">
        <w:rPr>
          <w:color w:val="0070C0"/>
          <w:sz w:val="16"/>
          <w:szCs w:val="16"/>
        </w:rPr>
        <w:softHyphen/>
        <w:t>менты конструкции просчитывались с учетом выполнения этого требования.</w:t>
      </w:r>
    </w:p>
    <w:p w14:paraId="73D5F72B" w14:textId="77777777" w:rsidR="00227AF0" w:rsidRPr="00E14102" w:rsidRDefault="00227AF0" w:rsidP="00E14102">
      <w:pPr>
        <w:jc w:val="both"/>
        <w:rPr>
          <w:color w:val="0070C0"/>
          <w:sz w:val="16"/>
          <w:szCs w:val="16"/>
        </w:rPr>
      </w:pPr>
      <w:r w:rsidRPr="00E14102">
        <w:rPr>
          <w:color w:val="0070C0"/>
          <w:sz w:val="16"/>
          <w:szCs w:val="16"/>
        </w:rPr>
        <w:t>Д-2 представлял собой моноплан-парасоль с фюзеляжем по</w:t>
      </w:r>
      <w:r w:rsidRPr="00E14102">
        <w:rPr>
          <w:color w:val="0070C0"/>
          <w:sz w:val="16"/>
          <w:szCs w:val="16"/>
        </w:rPr>
        <w:softHyphen/>
        <w:t>чти прямоугольного сечения. Боковая проекция напоминала дужку крыла, что, по мнению проектировщиков, должно было обеспечи</w:t>
      </w:r>
      <w:r w:rsidRPr="00E14102">
        <w:rPr>
          <w:color w:val="0070C0"/>
          <w:sz w:val="16"/>
          <w:szCs w:val="16"/>
        </w:rPr>
        <w:softHyphen/>
        <w:t>вать хорошее обтекание потоком. Шасси отсутствовало. Самолет взлетал и садился на днище фюзеляжа, усиленные скуловые линии которого играли роль полозков.</w:t>
      </w:r>
    </w:p>
    <w:p w14:paraId="72781811" w14:textId="77777777" w:rsidR="00227AF0" w:rsidRPr="00E14102" w:rsidRDefault="00227AF0" w:rsidP="00E14102">
      <w:pPr>
        <w:jc w:val="both"/>
        <w:rPr>
          <w:color w:val="0070C0"/>
          <w:sz w:val="16"/>
          <w:szCs w:val="16"/>
        </w:rPr>
      </w:pPr>
      <w:r w:rsidRPr="00E14102">
        <w:rPr>
          <w:color w:val="0070C0"/>
          <w:sz w:val="16"/>
          <w:szCs w:val="16"/>
        </w:rPr>
        <w:t>Сам фюзеляж представлял собой металлический водонепрони</w:t>
      </w:r>
      <w:r w:rsidRPr="00E14102">
        <w:rPr>
          <w:color w:val="0070C0"/>
          <w:sz w:val="16"/>
          <w:szCs w:val="16"/>
        </w:rPr>
        <w:softHyphen/>
        <w:t>цаемый понтон, обеспечивавший плавучесть. Спроектировали его по типу летающих лодок «Savoia», т.е. с вогнутым днищем. Попе</w:t>
      </w:r>
      <w:r w:rsidRPr="00E14102">
        <w:rPr>
          <w:color w:val="0070C0"/>
          <w:sz w:val="16"/>
          <w:szCs w:val="16"/>
        </w:rPr>
        <w:softHyphen/>
        <w:t>речная остойчивость на плаву обеспечива</w:t>
      </w:r>
      <w:r w:rsidRPr="00E14102">
        <w:rPr>
          <w:color w:val="0070C0"/>
          <w:sz w:val="16"/>
          <w:szCs w:val="16"/>
        </w:rPr>
        <w:softHyphen/>
        <w:t>лась двумя боковыми резиновыми мешками, надуваемыми воздухом. В его носовой части находились запасные пороховые заряды ра</w:t>
      </w:r>
      <w:r w:rsidRPr="00E14102">
        <w:rPr>
          <w:color w:val="0070C0"/>
          <w:sz w:val="16"/>
          <w:szCs w:val="16"/>
        </w:rPr>
        <w:softHyphen/>
        <w:t>кетных ускорителей и морское оборудова</w:t>
      </w:r>
      <w:r w:rsidRPr="00E14102">
        <w:rPr>
          <w:color w:val="0070C0"/>
          <w:sz w:val="16"/>
          <w:szCs w:val="16"/>
        </w:rPr>
        <w:softHyphen/>
        <w:t>ние. Затем шел отсек переднего ускорителя, основной бак для горючего и пилотская ка</w:t>
      </w:r>
      <w:r w:rsidRPr="00E14102">
        <w:rPr>
          <w:color w:val="0070C0"/>
          <w:sz w:val="16"/>
          <w:szCs w:val="16"/>
        </w:rPr>
        <w:softHyphen/>
        <w:t>бина. В хвостовой части имелся свободный отсек, который мог быть использован под размещение груза (190 кг) или как спальное помещение экипажа в случае вынужденной посадки в необитаемой местности.</w:t>
      </w:r>
    </w:p>
    <w:p w14:paraId="0440304D" w14:textId="77777777" w:rsidR="00227AF0" w:rsidRPr="00E14102" w:rsidRDefault="00227AF0" w:rsidP="00E14102">
      <w:pPr>
        <w:jc w:val="both"/>
        <w:rPr>
          <w:color w:val="0070C0"/>
          <w:sz w:val="16"/>
          <w:szCs w:val="16"/>
        </w:rPr>
      </w:pPr>
      <w:r w:rsidRPr="00E14102">
        <w:rPr>
          <w:color w:val="0070C0"/>
          <w:sz w:val="16"/>
          <w:szCs w:val="16"/>
        </w:rPr>
        <w:t>Два ускорителя «лежачего типа» раз</w:t>
      </w:r>
      <w:r w:rsidRPr="00E14102">
        <w:rPr>
          <w:color w:val="0070C0"/>
          <w:sz w:val="16"/>
          <w:szCs w:val="16"/>
        </w:rPr>
        <w:softHyphen/>
        <w:t>мещались в носовой и хвостовой частях. Основным являлся передний, т.к. именно при совместной тяге его и винта самолет в течение двух секунд должен разогнаться до скорости 120 км/ч. Он был установлен под углом к направлению движения с тем, чтобы сила тяги не только толкала самолет вперед, но и «приподнимала» его за счет вертикаль</w:t>
      </w:r>
      <w:r w:rsidRPr="00E14102">
        <w:rPr>
          <w:color w:val="0070C0"/>
          <w:sz w:val="16"/>
          <w:szCs w:val="16"/>
        </w:rPr>
        <w:softHyphen/>
        <w:t>ной составляющей. Кроме того, истекающие из сопла газы, попав в канал, образуемый вогнутым днищем фюзеляжа и опорной по</w:t>
      </w:r>
      <w:r w:rsidRPr="00E14102">
        <w:rPr>
          <w:color w:val="0070C0"/>
          <w:sz w:val="16"/>
          <w:szCs w:val="16"/>
        </w:rPr>
        <w:softHyphen/>
        <w:t>верхностью, должны были способствовать уменьшению сцепления с грунтом. Задний ускоритель служил для «подталкивания» самолета и исключения его просадки после отрыва. Агрегат расположили так, что вектор тяги, проходя через центр тяжести самоле</w:t>
      </w:r>
      <w:r w:rsidRPr="00E14102">
        <w:rPr>
          <w:color w:val="0070C0"/>
          <w:sz w:val="16"/>
          <w:szCs w:val="16"/>
        </w:rPr>
        <w:softHyphen/>
        <w:t>та, не оказывал влияния на его продольную устойчивость. Вредное воздействие газовых струй на крыло и оперение при таком рас</w:t>
      </w:r>
      <w:r w:rsidRPr="00E14102">
        <w:rPr>
          <w:color w:val="0070C0"/>
          <w:sz w:val="16"/>
          <w:szCs w:val="16"/>
        </w:rPr>
        <w:softHyphen/>
        <w:t>положении ускорителей совершенно исклю</w:t>
      </w:r>
      <w:r w:rsidRPr="00E14102">
        <w:rPr>
          <w:color w:val="0070C0"/>
          <w:sz w:val="16"/>
          <w:szCs w:val="16"/>
        </w:rPr>
        <w:softHyphen/>
        <w:t>чалось. Жестко закрепленные в фюзеляже, они должны были применяться при каждом взлете. Снаряжать их планировалось с тор</w:t>
      </w:r>
      <w:r w:rsidRPr="00E14102">
        <w:rPr>
          <w:color w:val="0070C0"/>
          <w:sz w:val="16"/>
          <w:szCs w:val="16"/>
        </w:rPr>
        <w:softHyphen/>
        <w:t>цов через боковые люки в бортах фюзеляжа и отвинчивающиеся боковые крышки.</w:t>
      </w:r>
    </w:p>
    <w:p w14:paraId="2D89B1A5" w14:textId="77777777" w:rsidR="00227AF0" w:rsidRPr="00E14102" w:rsidRDefault="00227AF0" w:rsidP="00E14102">
      <w:pPr>
        <w:jc w:val="both"/>
        <w:rPr>
          <w:color w:val="0070C0"/>
          <w:sz w:val="16"/>
          <w:szCs w:val="16"/>
        </w:rPr>
      </w:pPr>
      <w:r w:rsidRPr="00E14102">
        <w:rPr>
          <w:color w:val="0070C0"/>
          <w:sz w:val="16"/>
          <w:szCs w:val="16"/>
        </w:rPr>
        <w:t>Для крыла выбрали аэродинамический профиль РПа Ц АГИ, дающий при выпущен ных закрылках довольно высокий коэффициент подъемной силы. Центр давления у дужки РПа сравнительно мало перемещается при изменении угла атаки как при выпущенной, так и при убранной механизации. Поэтому крыло спроектировано однолонжеронным, а его пустотелый трубчатый лонжерон предполагалось использо</w:t>
      </w:r>
      <w:r w:rsidRPr="00E14102">
        <w:rPr>
          <w:color w:val="0070C0"/>
          <w:sz w:val="16"/>
          <w:szCs w:val="16"/>
        </w:rPr>
        <w:softHyphen/>
        <w:t>вать в качестве дополнительной топливной емкости.</w:t>
      </w:r>
    </w:p>
    <w:p w14:paraId="1670DF36" w14:textId="77777777" w:rsidR="00227AF0" w:rsidRPr="00E14102" w:rsidRDefault="00227AF0" w:rsidP="00E14102">
      <w:pPr>
        <w:jc w:val="both"/>
        <w:rPr>
          <w:color w:val="0070C0"/>
          <w:sz w:val="16"/>
          <w:szCs w:val="16"/>
        </w:rPr>
      </w:pPr>
      <w:r w:rsidRPr="00E14102">
        <w:rPr>
          <w:color w:val="0070C0"/>
          <w:sz w:val="16"/>
          <w:szCs w:val="16"/>
        </w:rPr>
        <w:t>Поскольку для получения возможно большего коэффициента подъемной силы Cy на посадке закрылок пустили по всему размаху, то элероны сде</w:t>
      </w:r>
      <w:r w:rsidRPr="00E14102">
        <w:rPr>
          <w:color w:val="0070C0"/>
          <w:sz w:val="16"/>
          <w:szCs w:val="16"/>
        </w:rPr>
        <w:softHyphen/>
        <w:t>лали концевые плавающие. Их ось вращения совпадает с осью лонжерона крыла. Уборка и выпуск закрылков обеспечиваются пнев</w:t>
      </w:r>
      <w:r w:rsidRPr="00E14102">
        <w:rPr>
          <w:color w:val="0070C0"/>
          <w:sz w:val="16"/>
          <w:szCs w:val="16"/>
        </w:rPr>
        <w:softHyphen/>
        <w:t>мосистемой.</w:t>
      </w:r>
    </w:p>
    <w:p w14:paraId="032FCD0C" w14:textId="77777777" w:rsidR="00227AF0" w:rsidRPr="00E14102" w:rsidRDefault="00227AF0" w:rsidP="00E14102">
      <w:pPr>
        <w:jc w:val="both"/>
        <w:rPr>
          <w:color w:val="0070C0"/>
          <w:sz w:val="16"/>
          <w:szCs w:val="16"/>
        </w:rPr>
      </w:pPr>
      <w:r w:rsidRPr="00E14102">
        <w:rPr>
          <w:color w:val="0070C0"/>
          <w:sz w:val="16"/>
          <w:szCs w:val="16"/>
        </w:rPr>
        <w:t>Крыло было установлено над фюзеля</w:t>
      </w:r>
      <w:r w:rsidRPr="00E14102">
        <w:rPr>
          <w:color w:val="0070C0"/>
          <w:sz w:val="16"/>
          <w:szCs w:val="16"/>
        </w:rPr>
        <w:softHyphen/>
        <w:t>жем на пилоне (одновременно являющимся основанием моторамы) и составляло одно целое с центропланом, который расчалили лентами к бортам фюзеляжа.</w:t>
      </w:r>
    </w:p>
    <w:p w14:paraId="5BDA0233" w14:textId="77777777" w:rsidR="00227AF0" w:rsidRPr="00E14102" w:rsidRDefault="00227AF0" w:rsidP="00E14102">
      <w:pPr>
        <w:jc w:val="both"/>
        <w:rPr>
          <w:color w:val="0070C0"/>
          <w:sz w:val="16"/>
          <w:szCs w:val="16"/>
        </w:rPr>
      </w:pPr>
      <w:r w:rsidRPr="00E14102">
        <w:rPr>
          <w:color w:val="0070C0"/>
          <w:sz w:val="16"/>
          <w:szCs w:val="16"/>
        </w:rPr>
        <w:t>Отсутствие шасси делало невозможным придание самолету взлетного угла при его движении по земле во время разбега. По-</w:t>
      </w:r>
    </w:p>
    <w:p w14:paraId="55934B40" w14:textId="77777777" w:rsidR="00227AF0" w:rsidRPr="00E14102" w:rsidRDefault="00227AF0" w:rsidP="00E14102">
      <w:pPr>
        <w:jc w:val="both"/>
        <w:rPr>
          <w:color w:val="0070C0"/>
          <w:sz w:val="16"/>
          <w:szCs w:val="16"/>
        </w:rPr>
      </w:pPr>
      <w:r w:rsidRPr="00E14102">
        <w:rPr>
          <w:color w:val="0070C0"/>
          <w:sz w:val="16"/>
          <w:szCs w:val="16"/>
        </w:rPr>
        <w:t>счет лучшего обтекания фюзеляжа, не имеющего шасси, одинаковую посадочную скорость и большую дальность. Потолок Д-2 в нагружен</w:t>
      </w:r>
      <w:r w:rsidRPr="00E14102">
        <w:rPr>
          <w:color w:val="0070C0"/>
          <w:sz w:val="16"/>
          <w:szCs w:val="16"/>
        </w:rPr>
        <w:softHyphen/>
        <w:t>ном состоянии меньше, чем у «Фэйрчальда», а в облегченном виде превосходит последнего. Правда, амфибия «Фэйрчальд» - пасса</w:t>
      </w:r>
      <w:r w:rsidRPr="00E14102">
        <w:rPr>
          <w:color w:val="0070C0"/>
          <w:sz w:val="16"/>
          <w:szCs w:val="16"/>
        </w:rPr>
        <w:softHyphen/>
        <w:t>жирская (8 мест, а наш самолет - двухместный. Однако, в случае нужды, Д-2 может захватить и 3 пассажира (1 в переднем отсеке фюзеляжа и 2 в заднем).</w:t>
      </w:r>
    </w:p>
    <w:p w14:paraId="0EBAB63D" w14:textId="77777777" w:rsidR="00227AF0" w:rsidRPr="00E14102" w:rsidRDefault="00227AF0" w:rsidP="00E14102">
      <w:pPr>
        <w:jc w:val="both"/>
        <w:rPr>
          <w:color w:val="0070C0"/>
          <w:sz w:val="16"/>
          <w:szCs w:val="16"/>
        </w:rPr>
      </w:pPr>
      <w:r w:rsidRPr="00E14102">
        <w:rPr>
          <w:color w:val="0070C0"/>
          <w:sz w:val="16"/>
          <w:szCs w:val="16"/>
        </w:rPr>
        <w:t>Итак, по летным данным Д-2 не хуже «Фэйрчальда» (самолет выпуска 1935 г.), при этом Д-2 имеет основные преимущества пе</w:t>
      </w:r>
      <w:r w:rsidRPr="00E14102">
        <w:rPr>
          <w:color w:val="0070C0"/>
          <w:sz w:val="16"/>
          <w:szCs w:val="16"/>
        </w:rPr>
        <w:softHyphen/>
        <w:t>ред «Фэйрчайльдом» - он может взлетать с суши при любом со</w:t>
      </w:r>
      <w:r w:rsidRPr="00E14102">
        <w:rPr>
          <w:color w:val="0070C0"/>
          <w:sz w:val="16"/>
          <w:szCs w:val="16"/>
        </w:rPr>
        <w:softHyphen/>
        <w:t>стоянии земной поверхности и не требует посадки на лыжи (если «Фэйрчальд» снабдить лыжами (а убирать их в крыло невозможно), то его скорость снизится до 270 км/ч, т.е. он станет значительно хуже нашего самолета)»</w:t>
      </w:r>
    </w:p>
    <w:p w14:paraId="2BEDE96D" w14:textId="77777777" w:rsidR="00227AF0" w:rsidRPr="00E14102" w:rsidRDefault="00227AF0" w:rsidP="00E14102">
      <w:pPr>
        <w:jc w:val="both"/>
        <w:rPr>
          <w:color w:val="0070C0"/>
          <w:sz w:val="16"/>
          <w:szCs w:val="16"/>
        </w:rPr>
      </w:pPr>
      <w:r w:rsidRPr="00E14102">
        <w:rPr>
          <w:color w:val="0070C0"/>
          <w:sz w:val="16"/>
          <w:szCs w:val="16"/>
        </w:rPr>
        <w:t>В заключение разработчики отметили, что самолет Д-2 может применяться не только как арктический разведчик, но и как экспедиционный, для воздушных изысканий и аэрофотосъемки.</w:t>
      </w:r>
    </w:p>
    <w:p w14:paraId="6120B4F7" w14:textId="77777777" w:rsidR="00227AF0" w:rsidRPr="00E14102" w:rsidRDefault="00227AF0" w:rsidP="00E14102">
      <w:pPr>
        <w:jc w:val="both"/>
        <w:rPr>
          <w:color w:val="0070C0"/>
          <w:sz w:val="16"/>
          <w:szCs w:val="16"/>
        </w:rPr>
      </w:pPr>
      <w:r w:rsidRPr="00E14102">
        <w:rPr>
          <w:color w:val="0070C0"/>
          <w:sz w:val="16"/>
          <w:szCs w:val="16"/>
        </w:rPr>
        <w:t>Управление Воздушной Службы Главсевморпути заинте</w:t>
      </w:r>
      <w:r w:rsidRPr="00E14102">
        <w:rPr>
          <w:color w:val="0070C0"/>
          <w:sz w:val="16"/>
          <w:szCs w:val="16"/>
        </w:rPr>
        <w:softHyphen/>
        <w:t>ресованности не проявило. В Заключении на имя начальника УВС М.И. Шевелева Главный инженер Управления М.И. Шелухин писал, что «...применение ракет на существующей у нас материальной ча</w:t>
      </w:r>
      <w:r w:rsidRPr="00E14102">
        <w:rPr>
          <w:color w:val="0070C0"/>
          <w:sz w:val="16"/>
          <w:szCs w:val="16"/>
        </w:rPr>
        <w:softHyphen/>
        <w:t>сти невозможно, т.к. расположение ракет под крылом дает прямой поток на хвостовое оперение, что создает явление бафтинга». Про</w:t>
      </w:r>
      <w:r w:rsidRPr="00E14102">
        <w:rPr>
          <w:color w:val="0070C0"/>
          <w:sz w:val="16"/>
          <w:szCs w:val="16"/>
        </w:rPr>
        <w:softHyphen/>
        <w:t>ект самолетов «Д» он считал «.мало для нас пригодным по причи</w:t>
      </w:r>
      <w:r w:rsidRPr="00E14102">
        <w:rPr>
          <w:color w:val="0070C0"/>
          <w:sz w:val="16"/>
          <w:szCs w:val="16"/>
        </w:rPr>
        <w:softHyphen/>
        <w:t>не совершенного отсутствия учета гидродинамических условий» и что «.более точные и всесторонние данные по этому вопросу даст ЦАГИ, так как эксплуатационникам строить чисто опытную машину нерационально» (23028).</w:t>
      </w:r>
    </w:p>
    <w:p w14:paraId="3ECB54AD" w14:textId="77777777" w:rsidR="00227AF0" w:rsidRPr="00E14102" w:rsidRDefault="00227AF0" w:rsidP="00E14102">
      <w:pPr>
        <w:jc w:val="both"/>
        <w:rPr>
          <w:color w:val="0070C0"/>
          <w:sz w:val="16"/>
          <w:szCs w:val="16"/>
        </w:rPr>
      </w:pPr>
    </w:p>
    <w:p w14:paraId="1593EA82" w14:textId="77777777" w:rsidR="001B5618" w:rsidRPr="00E14102" w:rsidRDefault="001B5618" w:rsidP="00E14102">
      <w:pPr>
        <w:jc w:val="both"/>
        <w:rPr>
          <w:color w:val="0070C0"/>
          <w:sz w:val="16"/>
          <w:szCs w:val="16"/>
        </w:rPr>
      </w:pPr>
      <w:r w:rsidRPr="00E14102">
        <w:rPr>
          <w:color w:val="0070C0"/>
          <w:sz w:val="16"/>
          <w:szCs w:val="16"/>
        </w:rPr>
        <w:t>В июне 1935 г. Х.Я. Зилле и Ю.Г. Прилуцкий выполнили два высотных полёта на субстра</w:t>
      </w:r>
      <w:r w:rsidRPr="00E14102">
        <w:rPr>
          <w:color w:val="0070C0"/>
          <w:sz w:val="16"/>
          <w:szCs w:val="16"/>
        </w:rPr>
        <w:softHyphen/>
        <w:t>тостате с открытой гондолой (20120).</w:t>
      </w:r>
    </w:p>
    <w:p w14:paraId="66983E30" w14:textId="77777777" w:rsidR="001B5618" w:rsidRPr="00E14102" w:rsidRDefault="001B5618" w:rsidP="00E14102">
      <w:pPr>
        <w:jc w:val="both"/>
        <w:rPr>
          <w:color w:val="0070C0"/>
          <w:sz w:val="16"/>
          <w:szCs w:val="16"/>
        </w:rPr>
      </w:pPr>
    </w:p>
    <w:p w14:paraId="197C4EBC" w14:textId="77777777" w:rsidR="00227AF0" w:rsidRPr="00E14102" w:rsidRDefault="00227AF0" w:rsidP="00E14102">
      <w:pPr>
        <w:jc w:val="both"/>
        <w:rPr>
          <w:color w:val="0070C0"/>
          <w:sz w:val="16"/>
          <w:szCs w:val="16"/>
        </w:rPr>
      </w:pPr>
      <w:r w:rsidRPr="00E14102">
        <w:rPr>
          <w:color w:val="0070C0"/>
          <w:sz w:val="16"/>
          <w:szCs w:val="16"/>
        </w:rPr>
        <w:t>В июне 1935 г. ЦАК СССР вступил в ФАИ и получил право оформлять в качестве мировых и международ</w:t>
      </w:r>
      <w:r w:rsidRPr="00E14102">
        <w:rPr>
          <w:color w:val="0070C0"/>
          <w:sz w:val="16"/>
          <w:szCs w:val="16"/>
        </w:rPr>
        <w:softHyphen/>
        <w:t>ных рекордов советские достижения в области воздушного спорта. Регистрация рекордов нача</w:t>
      </w:r>
      <w:r w:rsidRPr="00E14102">
        <w:rPr>
          <w:color w:val="0070C0"/>
          <w:sz w:val="16"/>
          <w:szCs w:val="16"/>
        </w:rPr>
        <w:softHyphen/>
        <w:t>лась с 1 февраля 1936 г. 5 марта 1936 г. СНК СССР установил порядок, «при котором впредь будут признаваться только те мировые (абсолютные) и международные (по классу) авиационные ре</w:t>
      </w:r>
      <w:r w:rsidRPr="00E14102">
        <w:rPr>
          <w:color w:val="0070C0"/>
          <w:sz w:val="16"/>
          <w:szCs w:val="16"/>
        </w:rPr>
        <w:softHyphen/>
        <w:t>корды, которые зарегистрированы Центральным аэроклубом и утверждены Международной авиа</w:t>
      </w:r>
      <w:r w:rsidRPr="00E14102">
        <w:rPr>
          <w:color w:val="0070C0"/>
          <w:sz w:val="16"/>
          <w:szCs w:val="16"/>
        </w:rPr>
        <w:softHyphen/>
        <w:t>ционной федерацией (ФАИ)» (20120).</w:t>
      </w:r>
    </w:p>
    <w:p w14:paraId="50E54CA0" w14:textId="77777777" w:rsidR="00227AF0" w:rsidRPr="00E14102" w:rsidRDefault="00227AF0" w:rsidP="00E14102">
      <w:pPr>
        <w:jc w:val="both"/>
        <w:rPr>
          <w:color w:val="0070C0"/>
          <w:sz w:val="16"/>
          <w:szCs w:val="16"/>
        </w:rPr>
      </w:pPr>
    </w:p>
    <w:p w14:paraId="6C73517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F099CCC" w14:textId="77777777" w:rsidR="00D4105E" w:rsidRPr="00E14102" w:rsidRDefault="00D4105E" w:rsidP="00E14102">
      <w:pPr>
        <w:autoSpaceDE w:val="0"/>
        <w:autoSpaceDN w:val="0"/>
        <w:adjustRightInd w:val="0"/>
        <w:jc w:val="both"/>
        <w:rPr>
          <w:iCs/>
          <w:color w:val="000000" w:themeColor="text1"/>
          <w:sz w:val="16"/>
          <w:szCs w:val="16"/>
        </w:rPr>
      </w:pPr>
    </w:p>
    <w:p w14:paraId="4ED112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на полигоне руководителям партии и правительства демонстрировали опытные образцы орудий. На состоявшемся вскоре совещании вскрыли недостатки и вредность универсализации и решили, что орудия должны разрабатываться для выполнения отдельных тактико-технических задач. После этого была разработана программа коренного перевооружения артиллерии (177,36).</w:t>
      </w:r>
    </w:p>
    <w:p w14:paraId="45B06109" w14:textId="77777777" w:rsidR="00D4105E" w:rsidRPr="00E14102" w:rsidRDefault="00D4105E" w:rsidP="00E14102">
      <w:pPr>
        <w:autoSpaceDE w:val="0"/>
        <w:autoSpaceDN w:val="0"/>
        <w:adjustRightInd w:val="0"/>
        <w:jc w:val="both"/>
        <w:rPr>
          <w:color w:val="000000" w:themeColor="text1"/>
          <w:sz w:val="16"/>
          <w:szCs w:val="16"/>
        </w:rPr>
      </w:pPr>
    </w:p>
    <w:p w14:paraId="1A877E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г., согласно воспоминаниям Грабина: «В этот день Тухачевский предложил Магдасееву, начальнику КБ одного артиллерийского завода („Большевик“), и мне ехать в Москву в его машине. В дороге Тухачевский обратился ко мне с вопросом, как я расцениваю динамореактивную артиллерию, иначе говоря, безоткатные орудия.</w:t>
      </w:r>
    </w:p>
    <w:p w14:paraId="5B011B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 ответил приблизительно так: безоткатные орудия имеют то преимущество, что при одинаковой мощности они легче классических пушек. Но у них есть и ряд недостатков, при этом существенных, которые совершенно исключают возможность создания всей артиллерии на этом принципе. Динамореактивный принцип не годится для танковых пушек, казематных, полуавтоматических и автоматических зенитных, потому что при выстреле орудийный расчет должен уходить в укрытие — специально вырытый ровик. По этой же причине динамореактивный принцип не годится и для дивизионных пушек: они не смогут сопровождать пехоту огнем и колесами. Безоткатные пушки могут и должны найти широкое применение, но только как пушки специального назначения.</w:t>
      </w:r>
    </w:p>
    <w:p w14:paraId="548A02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Тухачевский заговорил не сразу, видимо, он размышлял над моими словами, которые шли вразрез с его взглядами.</w:t>
      </w:r>
    </w:p>
    <w:p w14:paraId="4D8732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Спустя некоторое время он спросил:</w:t>
      </w:r>
    </w:p>
    <w:p w14:paraId="56A042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А не ошибаетесь ли вы?</w:t>
      </w:r>
    </w:p>
    <w:p w14:paraId="5D3471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Я много раз обдумывал этот вопрос и всегда приходил к одному и тому же выводу.</w:t>
      </w:r>
    </w:p>
    <w:p w14:paraId="3FECD8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Вы только поймите, какие громадные преимущества дает динамореактивный принцип! — с горячностью заговорил Тухачевский. — Артиллерия приобретает большую маневренность на марше и на поле боя, и к тому же такие орудия значительно экономичнее в изготовлении. Это надо понять и по достоинству оценить!</w:t>
      </w:r>
    </w:p>
    <w:p w14:paraId="7C2801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Согласен, что меньший вес пушки увеличивает ее подвижность, я к этому тоже стремлюсь и полагаю, что применение дульных тормозов может очень помочь конструктору. Что же касается экономичности, то заряд динамореактивного орудия приблизительно в три-четыре раза больше — это, во-первых. Во-вторых, кучность боя у безоткатной пушки значительно ниже, чем у классической пушки. Поэтому для решения одной и той же задачи безоткатной пушке потребуется гораздо больше времени и снарядов, чем классической. Так что безоткатная пушка не в ладах с экономикой. Не говорю уже о том, что скорострельность безоткатной пушки значительно ниже. И точность наведения на цель меньше.</w:t>
      </w:r>
    </w:p>
    <w:p w14:paraId="25C4A8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Разговор становился все острее и острее. Не мог я согласиться с доводами Тухачевского, они были слабо аргументированы. Но и мои доводы, по-видимому, не убеждали его. После долгих дебатов Михаил Николаевич сказал:</w:t>
      </w:r>
    </w:p>
    <w:p w14:paraId="046EDB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Вы молодой конструктор, подающий большие надежды, но вы не замечаете того, что тормозите развитие артиллерии. Я бы посоветовал вам еще раз более тщательно проанализировать вопрос широкого применения динамореактивного принципа, изменить свои взгляды и взяться за создание безоткатных орудий. Как военный человек, обязанный соблюдать субординацию, я должен был прекратить полемику. Конечно, мои доводы вызвали у Тухачевского неудовольствие.</w:t>
      </w:r>
    </w:p>
    <w:p w14:paraId="2BF317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артиллерии главным всегда считалось эффективное разрушение цели противника. Орудие, легко доставленное на огневую позицию, но не способное в короткий срок решить боевую задачу, никому не нужно.</w:t>
      </w:r>
    </w:p>
    <w:p w14:paraId="27D37C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Подчеркну еще раз: мы никогда не утверждали, что безоткатные орудия не нужны. Требовалось разумное сочетание тех и других орудий, а не огульное исключение классических.</w:t>
      </w:r>
    </w:p>
    <w:p w14:paraId="776CC1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Автомашина катила вперед, а наш разговор больше не клеился.</w:t>
      </w:r>
    </w:p>
    <w:p w14:paraId="223DB7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безмолвии доехали до дачи Тухачевского в Покровско-Стрешневе. Михаил Николаевич пригласил нас на чашку кофе. Он оказался на редкость гостеприимным. У него дома мы быстро нашли общие темы, и чем дольше сидели, тем оживленнее становилась беседа, но артиллерии не касались. Так и пошло у нас с ним: мы были в прекрасных отношениях, пока не касались артиллерии. Как только доходило до артиллерии, занимали разные позиции и становились противниками. По молчаливому уговору, мы оба старались не задевать этой темы.</w:t>
      </w:r>
    </w:p>
    <w:p w14:paraId="34A9CD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Уже поздней ночью мы с Магдасеевым уезжали из Покровско-Стрешнева. Прощаясь, Тухачевский посоветовал мне еще раз подумать о безоткатных орудиях. Я не стал повторять, что этот вопрос для меня достаточно ясен. По дороге в гостиницу, да и придя в свой номер, я думал о другом: конечно, начиная разговор, он не ожидал встретить с моей стороны серьезных возражений. По-видимому, искренне убежденный в своей правоте, он не мог доказать ее, но, человек увлекающийся, горячий, отступать не считал для себя возможным.</w:t>
      </w:r>
    </w:p>
    <w:p w14:paraId="712AA9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Как я понял, ему до сих пор не только никто не возражал относительно его идеи перевода всей артиллерии на динамореактивный принцип, но даже поддакивали. Еще сильны пережитки прошлого в людях: не все решаются говорить начальству правду, тем более если знают, что эта правда будет начальству неприятна. Я же, как специалист, не мог, не имел права не возражать ему» (12091).</w:t>
      </w:r>
    </w:p>
    <w:p w14:paraId="0CB0DE69" w14:textId="77777777" w:rsidR="00D4105E" w:rsidRPr="00E14102" w:rsidRDefault="00D4105E" w:rsidP="00E14102">
      <w:pPr>
        <w:autoSpaceDE w:val="0"/>
        <w:autoSpaceDN w:val="0"/>
        <w:adjustRightInd w:val="0"/>
        <w:jc w:val="both"/>
        <w:rPr>
          <w:color w:val="000000" w:themeColor="text1"/>
          <w:sz w:val="16"/>
          <w:szCs w:val="16"/>
        </w:rPr>
      </w:pPr>
    </w:p>
    <w:p w14:paraId="78511278" w14:textId="77777777" w:rsidR="00026948" w:rsidRPr="00E14102" w:rsidRDefault="00026948" w:rsidP="00E14102">
      <w:pPr>
        <w:jc w:val="both"/>
        <w:rPr>
          <w:color w:val="000000" w:themeColor="text1"/>
          <w:sz w:val="16"/>
          <w:szCs w:val="16"/>
        </w:rPr>
      </w:pPr>
      <w:r w:rsidRPr="00E14102">
        <w:rPr>
          <w:color w:val="000000" w:themeColor="text1"/>
          <w:sz w:val="16"/>
          <w:szCs w:val="16"/>
        </w:rPr>
        <w:t>В июне-августе 1935 г. проводились стрельбы изготовленными в начале 1935 г. заводом «Большевик» новыми 220/368-мм подкалиберными снарядами чертежей 3217 и 3218 с поясковыми поддонами. Вес конструкции составлял 262 кг, а вес 220-мм активного снаряда — 142 кг, заряд пороха — 255 кг. На испытаниях была получена скорость 1254—1265 м/с. При стрельбе 2 августа 1935 г. получена средняя дальность 88 720 м при угле возвышения около 50°. Боковое отклонение при стрельбах составило 100—150 м. Для дальнейшего увеличения дальности стрельбы были начаты работы по уменьшению веса поддона (15117).</w:t>
      </w:r>
    </w:p>
    <w:p w14:paraId="593E8BDD" w14:textId="77777777" w:rsidR="00026948" w:rsidRPr="00E14102" w:rsidRDefault="00026948" w:rsidP="00E14102">
      <w:pPr>
        <w:jc w:val="both"/>
        <w:rPr>
          <w:color w:val="000000" w:themeColor="text1"/>
          <w:sz w:val="16"/>
          <w:szCs w:val="16"/>
        </w:rPr>
      </w:pPr>
    </w:p>
    <w:p w14:paraId="4F888A4E" w14:textId="77777777" w:rsidR="00026948" w:rsidRPr="00E14102" w:rsidRDefault="00026948" w:rsidP="00E14102">
      <w:pPr>
        <w:jc w:val="both"/>
        <w:rPr>
          <w:color w:val="000000" w:themeColor="text1"/>
          <w:sz w:val="16"/>
          <w:szCs w:val="16"/>
        </w:rPr>
      </w:pPr>
      <w:r w:rsidRPr="00E14102">
        <w:rPr>
          <w:color w:val="000000" w:themeColor="text1"/>
          <w:sz w:val="16"/>
          <w:szCs w:val="16"/>
        </w:rPr>
        <w:t>В июне 1935 года опытный образец 76-мм полууниверсальным пушки завода им. Калинина 25-К участвовал в конкурсных испытаниях с Ф-20, Ф-22 и другими пушками на НИАПе (15117).</w:t>
      </w:r>
    </w:p>
    <w:p w14:paraId="442EB731" w14:textId="77777777" w:rsidR="00026948" w:rsidRPr="00E14102" w:rsidRDefault="00026948" w:rsidP="00E14102">
      <w:pPr>
        <w:jc w:val="both"/>
        <w:rPr>
          <w:color w:val="000000" w:themeColor="text1"/>
          <w:sz w:val="16"/>
          <w:szCs w:val="16"/>
        </w:rPr>
      </w:pPr>
    </w:p>
    <w:p w14:paraId="4F3699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года была принята на вооружение следующая батарея из трех ТМ-1-14. Она значилась под № 11 и была дислоцирована на Балтике. Перед Великой Отечественной войной местом ее базирования был полуостров Пактри (Эстония). Параллельно в Николаеве, на судостроительном заводе имени Марти (НМЗ) было развернуто сооружение железнодорожных артустановок ти­па ТМ-II-12 с использованием 305-мм орудий длиной 40 калибров. Они были спроектированы также под руководством А. Г. Дукельского в Центральном конструкторском бюро судостроения № 3 (ЦКБС-3). На ТМ-II-12 были использованы стволы, также сделанные в Англии заводом «Виккерс», но уже для броненосцев типа «Андрей Первозванный». Всего на НМЗ было изготовлено шесть таких установок. Они были объединены в батареи №№ 7 и 8 и тоже направлены на Дальний Восток (11454).</w:t>
      </w:r>
    </w:p>
    <w:p w14:paraId="7C98C321" w14:textId="77777777" w:rsidR="00D4105E" w:rsidRPr="00E14102" w:rsidRDefault="00D4105E" w:rsidP="00E14102">
      <w:pPr>
        <w:autoSpaceDE w:val="0"/>
        <w:autoSpaceDN w:val="0"/>
        <w:adjustRightInd w:val="0"/>
        <w:jc w:val="both"/>
        <w:rPr>
          <w:color w:val="000000" w:themeColor="text1"/>
          <w:sz w:val="16"/>
          <w:szCs w:val="16"/>
        </w:rPr>
      </w:pPr>
    </w:p>
    <w:p w14:paraId="0B82CE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г. на Ленинградском металлическом заводе завершено изготовление еще трех железнодорожных артиллерийских установок ТМ-1-14. Они составили батарею №11 (11454).</w:t>
      </w:r>
    </w:p>
    <w:p w14:paraId="3430A5C1" w14:textId="77777777" w:rsidR="00D4105E" w:rsidRPr="00E14102" w:rsidRDefault="00D4105E" w:rsidP="00E14102">
      <w:pPr>
        <w:autoSpaceDE w:val="0"/>
        <w:autoSpaceDN w:val="0"/>
        <w:adjustRightInd w:val="0"/>
        <w:jc w:val="both"/>
        <w:rPr>
          <w:color w:val="000000" w:themeColor="text1"/>
          <w:sz w:val="16"/>
          <w:szCs w:val="16"/>
        </w:rPr>
      </w:pPr>
    </w:p>
    <w:p w14:paraId="4953B1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года полууниверсальная пушка 25-К Спецгруппы завода N 8 участвовала в конкурсных испытаниях с Ф-20, Ф-22 и другими пушками на НИАПе (3861).</w:t>
      </w:r>
    </w:p>
    <w:p w14:paraId="2AD8293D" w14:textId="77777777" w:rsidR="00D4105E" w:rsidRPr="00E14102" w:rsidRDefault="00D4105E" w:rsidP="00E14102">
      <w:pPr>
        <w:autoSpaceDE w:val="0"/>
        <w:autoSpaceDN w:val="0"/>
        <w:adjustRightInd w:val="0"/>
        <w:jc w:val="both"/>
        <w:rPr>
          <w:color w:val="000000" w:themeColor="text1"/>
          <w:sz w:val="16"/>
          <w:szCs w:val="16"/>
        </w:rPr>
      </w:pPr>
    </w:p>
    <w:p w14:paraId="41B2CB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июню 1935 в автобронетанковых мастерских Харьковского ВО был построен опытный образец колесно-гусеничномого танка БТ-2 ИС, модернизации БТ по проекту вт2р Н.Ф.Цыганова, проведенной по заданию командующего войсками УВО И.Э.Якира, выданному весной 1934 (9527,102).</w:t>
      </w:r>
    </w:p>
    <w:p w14:paraId="0348D061" w14:textId="77777777" w:rsidR="00D4105E" w:rsidRPr="00E14102" w:rsidRDefault="00D4105E" w:rsidP="00E14102">
      <w:pPr>
        <w:autoSpaceDE w:val="0"/>
        <w:autoSpaceDN w:val="0"/>
        <w:adjustRightInd w:val="0"/>
        <w:jc w:val="both"/>
        <w:rPr>
          <w:color w:val="000000" w:themeColor="text1"/>
          <w:sz w:val="16"/>
          <w:szCs w:val="16"/>
        </w:rPr>
      </w:pPr>
    </w:p>
    <w:p w14:paraId="1B6ECB7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июне 1935 г. опытный образец танка КБ завода № 37 под руководством Н. Астрова, получившего армейский индекс Т-38, вышел на испытания Но, несмотря на то что новый танк создавался с широ</w:t>
      </w:r>
      <w:r w:rsidRPr="00E14102">
        <w:rPr>
          <w:color w:val="000000" w:themeColor="text1"/>
          <w:sz w:val="16"/>
          <w:szCs w:val="16"/>
        </w:rPr>
        <w:softHyphen/>
        <w:t>ким использованием задела по серийному Т-37А, Т-38 об</w:t>
      </w:r>
      <w:r w:rsidRPr="00E14102">
        <w:rPr>
          <w:color w:val="000000" w:themeColor="text1"/>
          <w:sz w:val="16"/>
          <w:szCs w:val="16"/>
        </w:rPr>
        <w:softHyphen/>
        <w:t>наружил большое количество недоработок. Он ломался с поразительной регулярностью — практически во время каждого выхода на пробег. По этой причине испытания но</w:t>
      </w:r>
      <w:r w:rsidRPr="00E14102">
        <w:rPr>
          <w:color w:val="000000" w:themeColor="text1"/>
          <w:sz w:val="16"/>
          <w:szCs w:val="16"/>
        </w:rPr>
        <w:softHyphen/>
        <w:t>вого танка с перерывами на ремонт продлились до зимы 1935 г., и лишь 29 февраля 1936 г. постановлением Совета труда и обороны (СТО) СССР танк Т-38 был принят на во</w:t>
      </w:r>
      <w:r w:rsidRPr="00E14102">
        <w:rPr>
          <w:color w:val="000000" w:themeColor="text1"/>
          <w:sz w:val="16"/>
          <w:szCs w:val="16"/>
        </w:rPr>
        <w:softHyphen/>
        <w:t>оружение Красной армии взамен Т-37А (10733,298).</w:t>
      </w:r>
    </w:p>
    <w:p w14:paraId="047F7C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9D2726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июне 1935 года новый броневик изгото</w:t>
      </w:r>
      <w:r w:rsidRPr="00E14102">
        <w:rPr>
          <w:color w:val="000000" w:themeColor="text1"/>
          <w:sz w:val="16"/>
          <w:szCs w:val="16"/>
        </w:rPr>
        <w:softHyphen/>
        <w:t>вили на заводе № 38. В документах он именовался как «бронеавтомобиль ГАЗ-ТК», или сокра</w:t>
      </w:r>
      <w:r w:rsidRPr="00E14102">
        <w:rPr>
          <w:color w:val="000000" w:themeColor="text1"/>
          <w:sz w:val="16"/>
          <w:szCs w:val="16"/>
        </w:rPr>
        <w:softHyphen/>
        <w:t>щенно БА ГАЗ-ТК. Никаких других индексов эта машина не имела (11284).</w:t>
      </w:r>
    </w:p>
    <w:p w14:paraId="097C580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249C04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июне - сентябре 1935 года машина «бронеавтомобиль ГАЗ-ТК», или сокра</w:t>
      </w:r>
      <w:r w:rsidRPr="00E14102">
        <w:rPr>
          <w:color w:val="000000" w:themeColor="text1"/>
          <w:sz w:val="16"/>
          <w:szCs w:val="16"/>
        </w:rPr>
        <w:softHyphen/>
        <w:t>щенно БА ГАЗ-ТК прошла за</w:t>
      </w:r>
      <w:r w:rsidRPr="00E14102">
        <w:rPr>
          <w:color w:val="000000" w:themeColor="text1"/>
          <w:sz w:val="16"/>
          <w:szCs w:val="16"/>
        </w:rPr>
        <w:softHyphen/>
        <w:t>водские испытания в окрестностях Москвы (ее пробег со</w:t>
      </w:r>
      <w:r w:rsidRPr="00E14102">
        <w:rPr>
          <w:color w:val="000000" w:themeColor="text1"/>
          <w:sz w:val="16"/>
          <w:szCs w:val="16"/>
        </w:rPr>
        <w:softHyphen/>
        <w:t>ставил 1565 км) и после небольшого ремонта и устране</w:t>
      </w:r>
      <w:r w:rsidRPr="00E14102">
        <w:rPr>
          <w:color w:val="000000" w:themeColor="text1"/>
          <w:sz w:val="16"/>
          <w:szCs w:val="16"/>
        </w:rPr>
        <w:softHyphen/>
        <w:t>ния выявленных недостатков 16 октября поступила на НИБТ полигон. В ходе испытаний бронеавтомобиль про</w:t>
      </w:r>
      <w:r w:rsidRPr="00E14102">
        <w:rPr>
          <w:color w:val="000000" w:themeColor="text1"/>
          <w:sz w:val="16"/>
          <w:szCs w:val="16"/>
        </w:rPr>
        <w:softHyphen/>
        <w:t>шел 571 км, из них «по щебенчатому шоссе среднего каче</w:t>
      </w:r>
      <w:r w:rsidRPr="00E14102">
        <w:rPr>
          <w:color w:val="000000" w:themeColor="text1"/>
          <w:sz w:val="16"/>
          <w:szCs w:val="16"/>
        </w:rPr>
        <w:softHyphen/>
        <w:t>ства 394 км, по проселку среднего качества с цепями 177 км». Машина уверенно преодолевала подъемы и скаты до 25 градусов, а также канавы шириной до 4 м и глубиной до метра. Максимальная скорость броневика ГАЗ-ТК составила 63,2 км/ч, средняя техническая по щебенчато</w:t>
      </w:r>
      <w:r w:rsidRPr="00E14102">
        <w:rPr>
          <w:color w:val="000000" w:themeColor="text1"/>
          <w:sz w:val="16"/>
          <w:szCs w:val="16"/>
        </w:rPr>
        <w:softHyphen/>
        <w:t>му шоссе 32 км/ч, запас хода по шоссе 230 км, по просел</w:t>
      </w:r>
      <w:r w:rsidRPr="00E14102">
        <w:rPr>
          <w:color w:val="000000" w:themeColor="text1"/>
          <w:sz w:val="16"/>
          <w:szCs w:val="16"/>
        </w:rPr>
        <w:softHyphen/>
        <w:t>ку 190 км.</w:t>
      </w:r>
    </w:p>
    <w:p w14:paraId="62619B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своем заключении по бронеавтомобилю представите</w:t>
      </w:r>
      <w:r w:rsidRPr="00E14102">
        <w:rPr>
          <w:color w:val="000000" w:themeColor="text1"/>
          <w:sz w:val="16"/>
          <w:szCs w:val="16"/>
        </w:rPr>
        <w:softHyphen/>
        <w:t>ли полигона писали следующее:</w:t>
      </w:r>
    </w:p>
    <w:p w14:paraId="558E39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окончании проведения войсковых испытаний на НИБТ полигоне АБТУ РККА бронемашины ГАЗ-ТК мож</w:t>
      </w:r>
      <w:r w:rsidRPr="00E14102">
        <w:rPr>
          <w:color w:val="000000" w:themeColor="text1"/>
          <w:sz w:val="16"/>
          <w:szCs w:val="16"/>
        </w:rPr>
        <w:softHyphen/>
        <w:t>но сделать следующие выводы:</w:t>
      </w:r>
    </w:p>
    <w:p w14:paraId="4C4B49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Шасси ТК не может быть изготовлено из типовых Деталей ГАЗ-А и ГАЗ-АА.</w:t>
      </w:r>
    </w:p>
    <w:p w14:paraId="7F3C90A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Комплект бронекорпуса ФАИ не может быть ис</w:t>
      </w:r>
      <w:r w:rsidRPr="00E14102">
        <w:rPr>
          <w:color w:val="000000" w:themeColor="text1"/>
          <w:sz w:val="16"/>
          <w:szCs w:val="16"/>
        </w:rPr>
        <w:softHyphen/>
        <w:t>пользован для изготоштения бронекорпуса ГАЗ-ТК.</w:t>
      </w:r>
    </w:p>
    <w:p w14:paraId="5186B9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По вооружению — принимая во внимание, что бро</w:t>
      </w:r>
      <w:r w:rsidRPr="00E14102">
        <w:rPr>
          <w:color w:val="000000" w:themeColor="text1"/>
          <w:sz w:val="16"/>
          <w:szCs w:val="16"/>
        </w:rPr>
        <w:softHyphen/>
        <w:t>неавтомобиль ГАЗ-ТК является машиной повышенной проходимости и может быть использована в различной бо</w:t>
      </w:r>
      <w:r w:rsidRPr="00E14102">
        <w:rPr>
          <w:color w:val="000000" w:themeColor="text1"/>
          <w:sz w:val="16"/>
          <w:szCs w:val="16"/>
        </w:rPr>
        <w:softHyphen/>
        <w:t>евой обстановке считать, что вооружение ее не достаточно. Кроме того, вооружение поставленное в настоящее время страдает целым рядом недостатков...</w:t>
      </w:r>
    </w:p>
    <w:p w14:paraId="3891D0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По проселку и пересеченной местности бронема</w:t>
      </w:r>
      <w:r w:rsidRPr="00E14102">
        <w:rPr>
          <w:color w:val="000000" w:themeColor="text1"/>
          <w:sz w:val="16"/>
          <w:szCs w:val="16"/>
        </w:rPr>
        <w:softHyphen/>
        <w:t>шина ГАЗ-ТК с цепями противоскольжения имеет хоро</w:t>
      </w:r>
      <w:r w:rsidRPr="00E14102">
        <w:rPr>
          <w:color w:val="000000" w:themeColor="text1"/>
          <w:sz w:val="16"/>
          <w:szCs w:val="16"/>
        </w:rPr>
        <w:softHyphen/>
        <w:t>шую проходимость. Но по сравнению с автомобилями по</w:t>
      </w:r>
      <w:r w:rsidRPr="00E14102">
        <w:rPr>
          <w:color w:val="000000" w:themeColor="text1"/>
          <w:sz w:val="16"/>
          <w:szCs w:val="16"/>
        </w:rPr>
        <w:softHyphen/>
        <w:t>вышенной проходимости, например ГАЗ-ААА и ЗИС-6, ГАЗ-ТК обладает худшей проходимостью и приспособляе</w:t>
      </w:r>
      <w:r w:rsidRPr="00E14102">
        <w:rPr>
          <w:color w:val="000000" w:themeColor="text1"/>
          <w:sz w:val="16"/>
          <w:szCs w:val="16"/>
        </w:rPr>
        <w:softHyphen/>
        <w:t>мостью.</w:t>
      </w:r>
    </w:p>
    <w:p w14:paraId="4CE744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По сравнению с ФАИ ГАЗ-ТК обладает: а. Хорошей проходимостью при движении на участках грязного проселка и подъемах;</w:t>
      </w:r>
    </w:p>
    <w:p w14:paraId="5F3C1B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Большим радиусом поворота (6,5 м против 5,5 м у ФАИ);</w:t>
      </w:r>
    </w:p>
    <w:p w14:paraId="1FF7C3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Меньшей максимальной скоростью (63,5 км/ч, ФАИ 85 км/ч);</w:t>
      </w:r>
    </w:p>
    <w:p w14:paraId="7F01F9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Запас хода ГАЗ ТК - 230 км, у ФАИ - 200 км;</w:t>
      </w:r>
    </w:p>
    <w:p w14:paraId="09C6C2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 ГАЗ-ТК преодолевает препятствия, непреодолимые для ФАИ (канавы);</w:t>
      </w:r>
    </w:p>
    <w:p w14:paraId="292C81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 Брод и крен одинаковы;</w:t>
      </w:r>
    </w:p>
    <w:p w14:paraId="2B70E0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ж. Броневой корпус ГАЗ-ТК свободнее, что дает воз</w:t>
      </w:r>
      <w:r w:rsidRPr="00E14102">
        <w:rPr>
          <w:color w:val="000000" w:themeColor="text1"/>
          <w:sz w:val="16"/>
          <w:szCs w:val="16"/>
        </w:rPr>
        <w:softHyphen/>
        <w:t>можность удобного размещения радиостанции.</w:t>
      </w:r>
    </w:p>
    <w:p w14:paraId="246034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Но бронеавтомобиль ГАЗ-ТК имеет ряд существен</w:t>
      </w:r>
      <w:r w:rsidRPr="00E14102">
        <w:rPr>
          <w:color w:val="000000" w:themeColor="text1"/>
          <w:sz w:val="16"/>
          <w:szCs w:val="16"/>
        </w:rPr>
        <w:softHyphen/>
        <w:t>ных недостатков:</w:t>
      </w:r>
    </w:p>
    <w:p w14:paraId="19D1F64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Автомобиль перегружен, в особенности его передняя ось, а при прохождении препятствий при вывешивании од</w:t>
      </w:r>
      <w:r w:rsidRPr="00E14102">
        <w:rPr>
          <w:color w:val="000000" w:themeColor="text1"/>
          <w:sz w:val="16"/>
          <w:szCs w:val="16"/>
        </w:rPr>
        <w:softHyphen/>
        <w:t>ного из мостов перегружается другой;</w:t>
      </w:r>
    </w:p>
    <w:p w14:paraId="26E251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Отсутствие приспособляемости подвески ведущих мостов при движении по проселку и пересеченной местно</w:t>
      </w:r>
      <w:r w:rsidRPr="00E14102">
        <w:rPr>
          <w:color w:val="000000" w:themeColor="text1"/>
          <w:sz w:val="16"/>
          <w:szCs w:val="16"/>
        </w:rPr>
        <w:softHyphen/>
        <w:t>сти — угол взаимного перекоса не более 7 градусов, тогда как к автомобилям предъявляется требование по углу пере</w:t>
      </w:r>
      <w:r w:rsidRPr="00E14102">
        <w:rPr>
          <w:color w:val="000000" w:themeColor="text1"/>
          <w:sz w:val="16"/>
          <w:szCs w:val="16"/>
        </w:rPr>
        <w:softHyphen/>
        <w:t>коса не меньше 24 градусов.</w:t>
      </w:r>
    </w:p>
    <w:p w14:paraId="534EDCB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тому же неправильно технически выполнена кинемати</w:t>
      </w:r>
      <w:r w:rsidRPr="00E14102">
        <w:rPr>
          <w:color w:val="000000" w:themeColor="text1"/>
          <w:sz w:val="16"/>
          <w:szCs w:val="16"/>
        </w:rPr>
        <w:softHyphen/>
        <w:t>ческая схема главной силовой передачи к ведущим осям при данной конструкции подвески. Отсюда, как следствие, корон</w:t>
      </w:r>
      <w:r w:rsidRPr="00E14102">
        <w:rPr>
          <w:color w:val="000000" w:themeColor="text1"/>
          <w:sz w:val="16"/>
          <w:szCs w:val="16"/>
        </w:rPr>
        <w:softHyphen/>
        <w:t>ные шестерни, сателлиты, малые конические шестерни вто</w:t>
      </w:r>
      <w:r w:rsidRPr="00E14102">
        <w:rPr>
          <w:color w:val="000000" w:themeColor="text1"/>
          <w:sz w:val="16"/>
          <w:szCs w:val="16"/>
        </w:rPr>
        <w:softHyphen/>
        <w:t>рого карданного вала и полуоси воспринимают периодически неровные динамические нагрузки, и как следствие — сильный износ и поломки даже при небольшом пробеге (600 км).</w:t>
      </w:r>
    </w:p>
    <w:p w14:paraId="13772D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основании результатов испытаний считаем, что бро</w:t>
      </w:r>
      <w:r w:rsidRPr="00E14102">
        <w:rPr>
          <w:color w:val="000000" w:themeColor="text1"/>
          <w:sz w:val="16"/>
          <w:szCs w:val="16"/>
        </w:rPr>
        <w:softHyphen/>
        <w:t>неавтомобиль ГАЗ-ТК к автомобилям повышенной прохо</w:t>
      </w:r>
      <w:r w:rsidRPr="00E14102">
        <w:rPr>
          <w:color w:val="000000" w:themeColor="text1"/>
          <w:sz w:val="16"/>
          <w:szCs w:val="16"/>
        </w:rPr>
        <w:softHyphen/>
        <w:t>димости, отвечающим предъявляемым к данному типу ма</w:t>
      </w:r>
      <w:r w:rsidRPr="00E14102">
        <w:rPr>
          <w:color w:val="000000" w:themeColor="text1"/>
          <w:sz w:val="16"/>
          <w:szCs w:val="16"/>
        </w:rPr>
        <w:softHyphen/>
        <w:t>шин требованиям, отнесен быть не может. Также не соот</w:t>
      </w:r>
      <w:r w:rsidRPr="00E14102">
        <w:rPr>
          <w:color w:val="000000" w:themeColor="text1"/>
          <w:sz w:val="16"/>
          <w:szCs w:val="16"/>
        </w:rPr>
        <w:softHyphen/>
        <w:t>ветствует стрелково-тактическим требованиям по огневой мощи и углам обстрела. Для применения в РККА в качест</w:t>
      </w:r>
      <w:r w:rsidRPr="00E14102">
        <w:rPr>
          <w:color w:val="000000" w:themeColor="text1"/>
          <w:sz w:val="16"/>
          <w:szCs w:val="16"/>
        </w:rPr>
        <w:softHyphen/>
        <w:t>ве боевой машины не пригоден».</w:t>
      </w:r>
    </w:p>
    <w:p w14:paraId="5E1E53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столь нелестного мнения о бронеавтомобиле ГАЗ-ТК все дальнейшие работы по этой машине были пре</w:t>
      </w:r>
      <w:r w:rsidRPr="00E14102">
        <w:rPr>
          <w:color w:val="000000" w:themeColor="text1"/>
          <w:sz w:val="16"/>
          <w:szCs w:val="16"/>
        </w:rPr>
        <w:softHyphen/>
        <w:t>кращены (11284).</w:t>
      </w:r>
    </w:p>
    <w:p w14:paraId="4C7DEE8A" w14:textId="77777777" w:rsidR="00D4105E" w:rsidRPr="00E14102" w:rsidRDefault="00D4105E" w:rsidP="00E14102">
      <w:pPr>
        <w:autoSpaceDE w:val="0"/>
        <w:autoSpaceDN w:val="0"/>
        <w:adjustRightInd w:val="0"/>
        <w:jc w:val="both"/>
        <w:rPr>
          <w:color w:val="000000" w:themeColor="text1"/>
          <w:sz w:val="16"/>
          <w:szCs w:val="16"/>
        </w:rPr>
      </w:pPr>
    </w:p>
    <w:p w14:paraId="16350F48" w14:textId="77777777" w:rsidR="003911E9" w:rsidRPr="00E14102" w:rsidRDefault="003911E9" w:rsidP="00E14102">
      <w:pPr>
        <w:jc w:val="both"/>
        <w:rPr>
          <w:color w:val="000000" w:themeColor="text1"/>
          <w:sz w:val="16"/>
          <w:szCs w:val="16"/>
        </w:rPr>
      </w:pPr>
      <w:r w:rsidRPr="00E14102">
        <w:rPr>
          <w:color w:val="000000" w:themeColor="text1"/>
          <w:sz w:val="16"/>
          <w:szCs w:val="16"/>
        </w:rPr>
        <w:t>В июне 1935 года СКБ-2 Кировского завода получило задание на проектирование нового образца мотоброневагона. Согласно тактико-техническим требованиям АБТУ РККА (с 1 января 1935 года УММ РККА переименовали в АБТУ - автобронетанковое управление), предполагалось изготовить мотоброневагон со следующими характеристиками: </w:t>
      </w:r>
    </w:p>
    <w:p w14:paraId="0C980D42" w14:textId="77777777" w:rsidR="003911E9" w:rsidRPr="00E14102" w:rsidRDefault="003911E9" w:rsidP="00E14102">
      <w:pPr>
        <w:jc w:val="both"/>
        <w:rPr>
          <w:color w:val="000000" w:themeColor="text1"/>
          <w:sz w:val="16"/>
          <w:szCs w:val="16"/>
        </w:rPr>
      </w:pPr>
      <w:r w:rsidRPr="00E14102">
        <w:rPr>
          <w:color w:val="000000" w:themeColor="text1"/>
          <w:sz w:val="16"/>
          <w:szCs w:val="16"/>
        </w:rPr>
        <w:t>«Бронирование: </w:t>
      </w:r>
    </w:p>
    <w:p w14:paraId="4041571F" w14:textId="77777777" w:rsidR="003911E9" w:rsidRPr="00E14102" w:rsidRDefault="003911E9" w:rsidP="00E14102">
      <w:pPr>
        <w:jc w:val="both"/>
        <w:rPr>
          <w:color w:val="000000" w:themeColor="text1"/>
          <w:sz w:val="16"/>
          <w:szCs w:val="16"/>
        </w:rPr>
      </w:pPr>
      <w:r w:rsidRPr="00E14102">
        <w:rPr>
          <w:color w:val="000000" w:themeColor="text1"/>
          <w:sz w:val="16"/>
          <w:szCs w:val="16"/>
        </w:rPr>
        <w:t>Лобовые листы корпуса, башни и командирской рубки - 20 мм; </w:t>
      </w:r>
    </w:p>
    <w:p w14:paraId="25B8184E" w14:textId="77777777" w:rsidR="003911E9" w:rsidRPr="00E14102" w:rsidRDefault="003911E9" w:rsidP="00E14102">
      <w:pPr>
        <w:jc w:val="both"/>
        <w:rPr>
          <w:color w:val="000000" w:themeColor="text1"/>
          <w:sz w:val="16"/>
          <w:szCs w:val="16"/>
        </w:rPr>
      </w:pPr>
      <w:r w:rsidRPr="00E14102">
        <w:rPr>
          <w:color w:val="000000" w:themeColor="text1"/>
          <w:sz w:val="16"/>
          <w:szCs w:val="16"/>
        </w:rPr>
        <w:t>Бортовые листы - 16 мм; </w:t>
      </w:r>
    </w:p>
    <w:p w14:paraId="22892C39" w14:textId="77777777" w:rsidR="003911E9" w:rsidRPr="00E14102" w:rsidRDefault="003911E9" w:rsidP="00E14102">
      <w:pPr>
        <w:jc w:val="both"/>
        <w:rPr>
          <w:color w:val="000000" w:themeColor="text1"/>
          <w:sz w:val="16"/>
          <w:szCs w:val="16"/>
        </w:rPr>
      </w:pPr>
      <w:r w:rsidRPr="00E14102">
        <w:rPr>
          <w:color w:val="000000" w:themeColor="text1"/>
          <w:sz w:val="16"/>
          <w:szCs w:val="16"/>
        </w:rPr>
        <w:t>Крыша - 10 мм; </w:t>
      </w:r>
    </w:p>
    <w:p w14:paraId="03724FEA" w14:textId="77777777" w:rsidR="003911E9" w:rsidRPr="00E14102" w:rsidRDefault="003911E9" w:rsidP="00E14102">
      <w:pPr>
        <w:jc w:val="both"/>
        <w:rPr>
          <w:color w:val="000000" w:themeColor="text1"/>
          <w:sz w:val="16"/>
          <w:szCs w:val="16"/>
        </w:rPr>
      </w:pPr>
      <w:r w:rsidRPr="00E14102">
        <w:rPr>
          <w:color w:val="000000" w:themeColor="text1"/>
          <w:sz w:val="16"/>
          <w:szCs w:val="16"/>
        </w:rPr>
        <w:t>Боевой вес - около 80 т; </w:t>
      </w:r>
    </w:p>
    <w:p w14:paraId="5370893E" w14:textId="77777777" w:rsidR="003911E9" w:rsidRPr="00E14102" w:rsidRDefault="003911E9" w:rsidP="00E14102">
      <w:pPr>
        <w:jc w:val="both"/>
        <w:rPr>
          <w:color w:val="000000" w:themeColor="text1"/>
          <w:sz w:val="16"/>
          <w:szCs w:val="16"/>
        </w:rPr>
      </w:pPr>
      <w:r w:rsidRPr="00E14102">
        <w:rPr>
          <w:color w:val="000000" w:themeColor="text1"/>
          <w:sz w:val="16"/>
          <w:szCs w:val="16"/>
        </w:rPr>
        <w:t>Вооружение - 3 башни танка Т-28; </w:t>
      </w:r>
    </w:p>
    <w:p w14:paraId="1F4DE312" w14:textId="77777777" w:rsidR="003911E9" w:rsidRPr="00E14102" w:rsidRDefault="003911E9" w:rsidP="00E14102">
      <w:pPr>
        <w:jc w:val="both"/>
        <w:rPr>
          <w:color w:val="000000" w:themeColor="text1"/>
          <w:sz w:val="16"/>
          <w:szCs w:val="16"/>
        </w:rPr>
      </w:pPr>
      <w:r w:rsidRPr="00E14102">
        <w:rPr>
          <w:color w:val="000000" w:themeColor="text1"/>
          <w:sz w:val="16"/>
          <w:szCs w:val="16"/>
        </w:rPr>
        <w:t>Число осей - 5; </w:t>
      </w:r>
    </w:p>
    <w:p w14:paraId="0A0CF153" w14:textId="77777777" w:rsidR="003911E9" w:rsidRPr="00E14102" w:rsidRDefault="003911E9" w:rsidP="00E14102">
      <w:pPr>
        <w:jc w:val="both"/>
        <w:rPr>
          <w:color w:val="000000" w:themeColor="text1"/>
          <w:sz w:val="16"/>
          <w:szCs w:val="16"/>
        </w:rPr>
      </w:pPr>
      <w:r w:rsidRPr="00E14102">
        <w:rPr>
          <w:color w:val="000000" w:themeColor="text1"/>
          <w:sz w:val="16"/>
          <w:szCs w:val="16"/>
        </w:rPr>
        <w:t>Общая длина по буферам - 19220 мм </w:t>
      </w:r>
    </w:p>
    <w:p w14:paraId="2D92B114" w14:textId="77777777" w:rsidR="003911E9" w:rsidRPr="00E14102" w:rsidRDefault="003911E9" w:rsidP="00E14102">
      <w:pPr>
        <w:jc w:val="both"/>
        <w:rPr>
          <w:color w:val="000000" w:themeColor="text1"/>
          <w:sz w:val="16"/>
          <w:szCs w:val="16"/>
        </w:rPr>
      </w:pPr>
      <w:r w:rsidRPr="00E14102">
        <w:rPr>
          <w:color w:val="000000" w:themeColor="text1"/>
          <w:sz w:val="16"/>
          <w:szCs w:val="16"/>
        </w:rPr>
        <w:t>Двигатель - М-17, мощностью 500 л.с.; </w:t>
      </w:r>
    </w:p>
    <w:p w14:paraId="6FA02162" w14:textId="77777777" w:rsidR="003911E9" w:rsidRPr="00E14102" w:rsidRDefault="003911E9" w:rsidP="00E14102">
      <w:pPr>
        <w:jc w:val="both"/>
        <w:rPr>
          <w:color w:val="000000" w:themeColor="text1"/>
          <w:sz w:val="16"/>
          <w:szCs w:val="16"/>
        </w:rPr>
      </w:pPr>
      <w:r w:rsidRPr="00E14102">
        <w:rPr>
          <w:color w:val="000000" w:themeColor="text1"/>
          <w:sz w:val="16"/>
          <w:szCs w:val="16"/>
        </w:rPr>
        <w:t>Максимальная скорость - 125 км/ч; </w:t>
      </w:r>
    </w:p>
    <w:p w14:paraId="6D2D93A0" w14:textId="77777777" w:rsidR="003911E9" w:rsidRPr="00E14102" w:rsidRDefault="003911E9" w:rsidP="00E14102">
      <w:pPr>
        <w:jc w:val="both"/>
        <w:rPr>
          <w:color w:val="000000" w:themeColor="text1"/>
          <w:sz w:val="16"/>
          <w:szCs w:val="16"/>
        </w:rPr>
      </w:pPr>
      <w:r w:rsidRPr="00E14102">
        <w:rPr>
          <w:color w:val="000000" w:themeColor="text1"/>
          <w:sz w:val="16"/>
          <w:szCs w:val="16"/>
        </w:rPr>
        <w:t>Максимальная скорость с железнодорожным составом - 100 км/ч; </w:t>
      </w:r>
    </w:p>
    <w:p w14:paraId="0885580A" w14:textId="77777777" w:rsidR="003911E9" w:rsidRPr="00E14102" w:rsidRDefault="003911E9" w:rsidP="00E14102">
      <w:pPr>
        <w:jc w:val="both"/>
        <w:rPr>
          <w:color w:val="000000" w:themeColor="text1"/>
          <w:sz w:val="16"/>
          <w:szCs w:val="16"/>
        </w:rPr>
      </w:pPr>
      <w:r w:rsidRPr="00E14102">
        <w:rPr>
          <w:color w:val="000000" w:themeColor="text1"/>
          <w:sz w:val="16"/>
          <w:szCs w:val="16"/>
        </w:rPr>
        <w:t>Запас хода - 500 км; </w:t>
      </w:r>
    </w:p>
    <w:p w14:paraId="7E8F354C" w14:textId="77777777" w:rsidR="003911E9" w:rsidRPr="00E14102" w:rsidRDefault="003911E9" w:rsidP="00E14102">
      <w:pPr>
        <w:jc w:val="both"/>
        <w:rPr>
          <w:color w:val="000000" w:themeColor="text1"/>
          <w:sz w:val="16"/>
          <w:szCs w:val="16"/>
        </w:rPr>
      </w:pPr>
      <w:r w:rsidRPr="00E14102">
        <w:rPr>
          <w:color w:val="000000" w:themeColor="text1"/>
          <w:sz w:val="16"/>
          <w:szCs w:val="16"/>
        </w:rPr>
        <w:t>Экипаж - 34 человека». </w:t>
      </w:r>
    </w:p>
    <w:p w14:paraId="56FC9141" w14:textId="77777777" w:rsidR="003911E9" w:rsidRPr="00E14102" w:rsidRDefault="003911E9" w:rsidP="00E14102">
      <w:pPr>
        <w:jc w:val="both"/>
        <w:rPr>
          <w:color w:val="000000" w:themeColor="text1"/>
          <w:sz w:val="16"/>
          <w:szCs w:val="16"/>
        </w:rPr>
      </w:pPr>
      <w:r w:rsidRPr="00E14102">
        <w:rPr>
          <w:color w:val="000000" w:themeColor="text1"/>
          <w:sz w:val="16"/>
          <w:szCs w:val="16"/>
        </w:rPr>
        <w:t>Первоначально предполагалось изготовить опытный образец в начале 1936 года, однако сделать это не удалось - и без того немногочисленное СКБ-2 большую часть своих кадров вынуждено было использовать для обеспечения серийного производства танков Т-28 и разработку скоростной машины Т-28А. </w:t>
      </w:r>
    </w:p>
    <w:p w14:paraId="325D5324" w14:textId="77777777" w:rsidR="003911E9" w:rsidRPr="00E14102" w:rsidRDefault="003911E9" w:rsidP="00E14102">
      <w:pPr>
        <w:jc w:val="both"/>
        <w:rPr>
          <w:color w:val="000000" w:themeColor="text1"/>
          <w:sz w:val="16"/>
          <w:szCs w:val="16"/>
        </w:rPr>
      </w:pPr>
      <w:r w:rsidRPr="00E14102">
        <w:rPr>
          <w:color w:val="000000" w:themeColor="text1"/>
          <w:sz w:val="16"/>
          <w:szCs w:val="16"/>
        </w:rPr>
        <w:t>В проектировании мотоброневагона были задействованы конструкторы СП. Богомолов, П.П. Ермолаев, Л.Е. Сычев, Н.В. Халкиопов, КИ. Кузьмин, П.П. Михайлов, СВ. Федоренко, П.Т Сосов, Н.Т. Федорчук и СН. Старшим инженером по мотовагону был А.Е Ефимов, общее руководство осуществлял начальник СКБ-2 ОМ Иванов. Следует сказать, что мото-броневагон был первой самостоятельной разработкой конструкторского бюро Кировского завода, которое позднее стало ведущим КБ по тяжелым танкам KB и ИС (18526).</w:t>
      </w:r>
    </w:p>
    <w:p w14:paraId="414B4E77" w14:textId="77777777" w:rsidR="003911E9" w:rsidRPr="00E14102" w:rsidRDefault="003911E9" w:rsidP="00E14102">
      <w:pPr>
        <w:jc w:val="both"/>
        <w:rPr>
          <w:color w:val="000000" w:themeColor="text1"/>
          <w:sz w:val="16"/>
          <w:szCs w:val="16"/>
        </w:rPr>
      </w:pPr>
    </w:p>
    <w:p w14:paraId="010E02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г. Управление ПВО РККА заключило с радиозаводом договор на разработку и изготовление в 1935–1936 гг. аппаратуры радиообнаружения «Вега» и «Конус», которые должны были войти в систему «Электровизор» (11026).</w:t>
      </w:r>
    </w:p>
    <w:p w14:paraId="1183999C" w14:textId="77777777" w:rsidR="00D4105E" w:rsidRPr="00E14102" w:rsidRDefault="00D4105E" w:rsidP="00E14102">
      <w:pPr>
        <w:autoSpaceDE w:val="0"/>
        <w:autoSpaceDN w:val="0"/>
        <w:adjustRightInd w:val="0"/>
        <w:jc w:val="both"/>
        <w:rPr>
          <w:color w:val="000000" w:themeColor="text1"/>
          <w:sz w:val="16"/>
          <w:szCs w:val="16"/>
        </w:rPr>
      </w:pPr>
    </w:p>
    <w:p w14:paraId="00A8C1BB" w14:textId="77777777" w:rsidR="00026948" w:rsidRPr="00E14102" w:rsidRDefault="00026948" w:rsidP="00E14102">
      <w:pPr>
        <w:jc w:val="both"/>
        <w:rPr>
          <w:color w:val="000000" w:themeColor="text1"/>
          <w:sz w:val="16"/>
          <w:szCs w:val="16"/>
        </w:rPr>
      </w:pPr>
      <w:r w:rsidRPr="00E14102">
        <w:rPr>
          <w:color w:val="000000" w:themeColor="text1"/>
          <w:sz w:val="16"/>
          <w:szCs w:val="16"/>
        </w:rPr>
        <w:t>В июне 1935 года Мордовщиковской судоверфью была построена цельносварная баржа «Комсомолка Судоплатова» грузоподъемностью 6000 тонн, чем был обусловлен переход от клепки к сварке. Судоверфь доказала, что она может перейти на постройку целиком сварных судов без ограничения их размеров и назначения. Архивные документы свидетельствуют о большой помощи заводу в деле освоения сварки со стороны видного советского ученого в области электросварки члена-корреспондента Академии наук СССР, академика Академии наук Украинской ССР К.К. Хренова. Бывший в те годы профессором и заведующим сварочной лабораторией Московского электромеханического института инженеров транспорта им. Ф.Э. Дзержинского, он неоднократно приезжал на завод, давал консультации по сварке конструкций барж, проводил для завода в сварочной лаборатории испытания образцов сварных швов и сварочной проволоки. К этому времени на судомостовом заводе была уже освоена и внедрена электросварка тонколистовой стали. Учитывая это, приказом заместителя наркома тяжелой промышленности, сюда был переведен с Коломенского машиностроительного завода заказ на понтонные парки, где их освоение шло с большим трудом. Изготовление полупонтонов нового понтонного парка Н2П, которые должны были поставлять заводчане, как раз и требовало освоенной технологии сварки тонколистовой стали. Как свидетельствуют архивные документы, работы по производству понтонных парков начались на заводе в 1933 году. Менее всего завод известен выпуском этой продукции. Объясняется это секретностью, которая распространялась на все виды выпускаемой военной техники. Ведь все, что делалось для нужд армии, считалось секретным (15218).</w:t>
      </w:r>
    </w:p>
    <w:p w14:paraId="651CC98F" w14:textId="77777777" w:rsidR="00026948" w:rsidRPr="00E14102" w:rsidRDefault="00026948" w:rsidP="00E14102">
      <w:pPr>
        <w:jc w:val="both"/>
        <w:rPr>
          <w:color w:val="000000" w:themeColor="text1"/>
          <w:sz w:val="16"/>
          <w:szCs w:val="16"/>
        </w:rPr>
      </w:pPr>
    </w:p>
    <w:p w14:paraId="1C6D52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года в Пермское (Комсомольск на Амуре) прибыла большая группа судостроителей с николаевского завода им. А. Март</w:t>
      </w:r>
      <w:r w:rsidR="00026948" w:rsidRPr="00E14102">
        <w:rPr>
          <w:color w:val="000000" w:themeColor="text1"/>
          <w:sz w:val="16"/>
          <w:szCs w:val="16"/>
        </w:rPr>
        <w:t>и</w:t>
      </w:r>
      <w:r w:rsidRPr="00E14102">
        <w:rPr>
          <w:color w:val="000000" w:themeColor="text1"/>
          <w:sz w:val="16"/>
          <w:szCs w:val="16"/>
        </w:rPr>
        <w:t xml:space="preserve"> для сборки на временном ста</w:t>
      </w:r>
      <w:r w:rsidRPr="00E14102">
        <w:rPr>
          <w:color w:val="000000" w:themeColor="text1"/>
          <w:sz w:val="16"/>
          <w:szCs w:val="16"/>
        </w:rPr>
        <w:softHyphen/>
        <w:t>пеле первого корабля (подводной лодки XI серии) из сещий, кото</w:t>
      </w:r>
      <w:r w:rsidRPr="00E14102">
        <w:rPr>
          <w:color w:val="000000" w:themeColor="text1"/>
          <w:sz w:val="16"/>
          <w:szCs w:val="16"/>
        </w:rPr>
        <w:softHyphen/>
        <w:t>рые начали поступать по железной дороге с того же завода (3898).</w:t>
      </w:r>
    </w:p>
    <w:p w14:paraId="28EF8592" w14:textId="77777777" w:rsidR="00D4105E" w:rsidRPr="00E14102" w:rsidRDefault="00D4105E" w:rsidP="00E14102">
      <w:pPr>
        <w:autoSpaceDE w:val="0"/>
        <w:autoSpaceDN w:val="0"/>
        <w:adjustRightInd w:val="0"/>
        <w:jc w:val="both"/>
        <w:rPr>
          <w:color w:val="000000" w:themeColor="text1"/>
          <w:sz w:val="16"/>
          <w:szCs w:val="16"/>
        </w:rPr>
      </w:pPr>
    </w:p>
    <w:p w14:paraId="07E3F5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г. на Северной верфи был заложен экспериментальный эсминец, получивший название "Серго Орджоникидзе", Учитывая важность заказа, Муклевич назначил Бжезинского по со</w:t>
      </w:r>
      <w:r w:rsidRPr="00E14102">
        <w:rPr>
          <w:color w:val="000000" w:themeColor="text1"/>
          <w:sz w:val="16"/>
          <w:szCs w:val="16"/>
        </w:rPr>
        <w:softHyphen/>
        <w:t>вместительству и строителем корабля. Стоимость заказа оценива</w:t>
      </w:r>
      <w:r w:rsidRPr="00E14102">
        <w:rPr>
          <w:color w:val="000000" w:themeColor="text1"/>
          <w:sz w:val="16"/>
          <w:szCs w:val="16"/>
        </w:rPr>
        <w:softHyphen/>
        <w:t>лась в 20 млн руб. — значительно выше лидеров и будущих серий</w:t>
      </w:r>
      <w:r w:rsidRPr="00E14102">
        <w:rPr>
          <w:color w:val="000000" w:themeColor="text1"/>
          <w:sz w:val="16"/>
          <w:szCs w:val="16"/>
        </w:rPr>
        <w:softHyphen/>
        <w:t>ных эсминцев. Преодолев технологические трудности освоения сварки (что не обошлось без брака), Бжезинский обеспечил спуск эсминца на воду в декабре 1935 г., поставив рекорд стапельного пе</w:t>
      </w:r>
      <w:r w:rsidRPr="00E14102">
        <w:rPr>
          <w:color w:val="000000" w:themeColor="text1"/>
          <w:sz w:val="16"/>
          <w:szCs w:val="16"/>
        </w:rPr>
        <w:softHyphen/>
        <w:t>риода постройки корпуса на этом заводе (5 месяцев) (3898).</w:t>
      </w:r>
    </w:p>
    <w:p w14:paraId="4F3BCFDB" w14:textId="77777777" w:rsidR="00D4105E" w:rsidRPr="00E14102" w:rsidRDefault="00D4105E" w:rsidP="00E14102">
      <w:pPr>
        <w:autoSpaceDE w:val="0"/>
        <w:autoSpaceDN w:val="0"/>
        <w:adjustRightInd w:val="0"/>
        <w:jc w:val="both"/>
        <w:rPr>
          <w:color w:val="000000" w:themeColor="text1"/>
          <w:sz w:val="16"/>
          <w:szCs w:val="16"/>
        </w:rPr>
      </w:pPr>
    </w:p>
    <w:p w14:paraId="44A1D4E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0F70B127" w14:textId="77777777" w:rsidR="00D4105E" w:rsidRPr="00E14102" w:rsidRDefault="00D4105E" w:rsidP="00E14102">
      <w:pPr>
        <w:autoSpaceDE w:val="0"/>
        <w:autoSpaceDN w:val="0"/>
        <w:adjustRightInd w:val="0"/>
        <w:jc w:val="both"/>
        <w:rPr>
          <w:iCs/>
          <w:color w:val="000000" w:themeColor="text1"/>
          <w:sz w:val="16"/>
          <w:szCs w:val="16"/>
        </w:rPr>
      </w:pPr>
    </w:p>
    <w:p w14:paraId="7148F0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июне 1935 группа испытателей, в которую вошли А.И. Филин, В.А. Степанчёнок и П.М. Стефановский, выполнила 13 перевёрнутых штопоров, чтобы определить характерные ошибки строевых лётчиков, вызывающие срыв. В итоге выяснилось, что причиной является неправильное выполнение переворота или иммельмана. Выйти из штопора оказалось вполне возможно, но резкая дача педали и ручки могла перевести самолёт в обратный штопор, выведение же одной ручкой приводило к </w:t>
      </w:r>
      <w:r w:rsidRPr="00E14102">
        <w:rPr>
          <w:color w:val="000000" w:themeColor="text1"/>
          <w:sz w:val="16"/>
          <w:szCs w:val="16"/>
        </w:rPr>
        <w:lastRenderedPageBreak/>
        <w:t>ещё более опасному плоскому штопору. В последний попал Степанчёнок, и ему пришлось покинуть машину с парашютом. Это оказалось нелегко, поскольку заело замок привязных ремней. К счастью для пилота, всё закончилось благополучно. Рекомендации были выработаны, но полностью недостатки истребителя они, конечно, не исправили (11997).</w:t>
      </w:r>
    </w:p>
    <w:p w14:paraId="164C79D8" w14:textId="77777777" w:rsidR="00D4105E" w:rsidRPr="00E14102" w:rsidRDefault="00D4105E" w:rsidP="00E14102">
      <w:pPr>
        <w:autoSpaceDE w:val="0"/>
        <w:autoSpaceDN w:val="0"/>
        <w:adjustRightInd w:val="0"/>
        <w:jc w:val="both"/>
        <w:rPr>
          <w:color w:val="000000" w:themeColor="text1"/>
          <w:sz w:val="16"/>
          <w:szCs w:val="16"/>
        </w:rPr>
      </w:pPr>
    </w:p>
    <w:p w14:paraId="0EEB123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B25702F" w14:textId="77777777" w:rsidR="00D4105E" w:rsidRPr="00E14102" w:rsidRDefault="00D4105E" w:rsidP="00E14102">
      <w:pPr>
        <w:autoSpaceDE w:val="0"/>
        <w:autoSpaceDN w:val="0"/>
        <w:adjustRightInd w:val="0"/>
        <w:jc w:val="both"/>
        <w:rPr>
          <w:iCs/>
          <w:color w:val="000000" w:themeColor="text1"/>
          <w:sz w:val="16"/>
          <w:szCs w:val="16"/>
        </w:rPr>
      </w:pPr>
    </w:p>
    <w:p w14:paraId="164DB6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А.Я.Вышинский был назначен Генпрокурором СССР (1348,120).</w:t>
      </w:r>
    </w:p>
    <w:p w14:paraId="3E5E6CD1" w14:textId="77777777" w:rsidR="00D4105E" w:rsidRPr="00E14102" w:rsidRDefault="00D4105E" w:rsidP="00E14102">
      <w:pPr>
        <w:autoSpaceDE w:val="0"/>
        <w:autoSpaceDN w:val="0"/>
        <w:adjustRightInd w:val="0"/>
        <w:jc w:val="both"/>
        <w:rPr>
          <w:color w:val="000000" w:themeColor="text1"/>
          <w:sz w:val="16"/>
          <w:szCs w:val="16"/>
        </w:rPr>
      </w:pPr>
    </w:p>
    <w:p w14:paraId="478169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вышло постановление ЦК и СНК о плане реконструкции Москвы (3908,347).</w:t>
      </w:r>
    </w:p>
    <w:p w14:paraId="4AB8B8E6" w14:textId="77777777" w:rsidR="00D4105E" w:rsidRPr="00E14102" w:rsidRDefault="00D4105E" w:rsidP="00E14102">
      <w:pPr>
        <w:autoSpaceDE w:val="0"/>
        <w:autoSpaceDN w:val="0"/>
        <w:adjustRightInd w:val="0"/>
        <w:jc w:val="both"/>
        <w:rPr>
          <w:color w:val="000000" w:themeColor="text1"/>
          <w:sz w:val="16"/>
          <w:szCs w:val="16"/>
        </w:rPr>
      </w:pPr>
    </w:p>
    <w:p w14:paraId="2B9A3D4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572C9717" w14:textId="77777777" w:rsidR="00D4105E" w:rsidRPr="00E14102" w:rsidRDefault="00D4105E" w:rsidP="00E14102">
      <w:pPr>
        <w:autoSpaceDE w:val="0"/>
        <w:autoSpaceDN w:val="0"/>
        <w:adjustRightInd w:val="0"/>
        <w:jc w:val="both"/>
        <w:rPr>
          <w:iCs/>
          <w:color w:val="000000" w:themeColor="text1"/>
          <w:sz w:val="16"/>
          <w:szCs w:val="16"/>
        </w:rPr>
      </w:pPr>
    </w:p>
    <w:p w14:paraId="64AD3B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7 конгресс Коминтерна одобрил тактику Народного фронта (2283).</w:t>
      </w:r>
    </w:p>
    <w:p w14:paraId="64C4F84E" w14:textId="77777777" w:rsidR="00D4105E" w:rsidRPr="00E14102" w:rsidRDefault="00D4105E" w:rsidP="00E14102">
      <w:pPr>
        <w:autoSpaceDE w:val="0"/>
        <w:autoSpaceDN w:val="0"/>
        <w:adjustRightInd w:val="0"/>
        <w:jc w:val="both"/>
        <w:rPr>
          <w:color w:val="000000" w:themeColor="text1"/>
          <w:sz w:val="16"/>
          <w:szCs w:val="16"/>
        </w:rPr>
      </w:pPr>
    </w:p>
    <w:p w14:paraId="7376ADF0" w14:textId="77777777" w:rsidR="00D4105E" w:rsidRPr="00E14102" w:rsidRDefault="004B7965" w:rsidP="00E14102">
      <w:pPr>
        <w:autoSpaceDE w:val="0"/>
        <w:autoSpaceDN w:val="0"/>
        <w:adjustRightInd w:val="0"/>
        <w:jc w:val="both"/>
        <w:rPr>
          <w:iCs/>
          <w:color w:val="000000" w:themeColor="text1"/>
          <w:sz w:val="16"/>
          <w:szCs w:val="16"/>
          <w:lang w:val="en-US"/>
        </w:rPr>
      </w:pPr>
      <w:r w:rsidRPr="00E14102">
        <w:rPr>
          <w:i/>
          <w:iCs/>
          <w:color w:val="000000" w:themeColor="text1"/>
          <w:sz w:val="16"/>
          <w:szCs w:val="16"/>
        </w:rPr>
        <w:t>За</w:t>
      </w:r>
      <w:r w:rsidRPr="00E14102">
        <w:rPr>
          <w:i/>
          <w:iCs/>
          <w:color w:val="000000" w:themeColor="text1"/>
          <w:sz w:val="16"/>
          <w:szCs w:val="16"/>
          <w:lang w:val="en-US"/>
        </w:rPr>
        <w:t xml:space="preserve"> </w:t>
      </w:r>
      <w:r w:rsidRPr="00E14102">
        <w:rPr>
          <w:i/>
          <w:iCs/>
          <w:color w:val="000000" w:themeColor="text1"/>
          <w:sz w:val="16"/>
          <w:szCs w:val="16"/>
        </w:rPr>
        <w:t>рубежом</w:t>
      </w:r>
      <w:r w:rsidRPr="00E14102">
        <w:rPr>
          <w:i/>
          <w:iCs/>
          <w:color w:val="000000" w:themeColor="text1"/>
          <w:sz w:val="16"/>
          <w:szCs w:val="16"/>
          <w:lang w:val="en-US"/>
        </w:rPr>
        <w:t>:</w:t>
      </w:r>
    </w:p>
    <w:p w14:paraId="2AFBB5B8" w14:textId="77777777" w:rsidR="00D4105E" w:rsidRPr="00E14102" w:rsidRDefault="00D4105E" w:rsidP="00E14102">
      <w:pPr>
        <w:autoSpaceDE w:val="0"/>
        <w:autoSpaceDN w:val="0"/>
        <w:adjustRightInd w:val="0"/>
        <w:jc w:val="both"/>
        <w:rPr>
          <w:iCs/>
          <w:color w:val="000000" w:themeColor="text1"/>
          <w:sz w:val="16"/>
          <w:szCs w:val="16"/>
          <w:lang w:val="en-US"/>
        </w:rPr>
      </w:pPr>
    </w:p>
    <w:p w14:paraId="013E0644" w14:textId="77777777" w:rsidR="00C77577" w:rsidRPr="00E14102" w:rsidRDefault="00C77577" w:rsidP="00E14102">
      <w:pPr>
        <w:jc w:val="both"/>
        <w:rPr>
          <w:color w:val="0070C0"/>
          <w:sz w:val="16"/>
          <w:szCs w:val="16"/>
        </w:rPr>
      </w:pPr>
      <w:r w:rsidRPr="00E14102">
        <w:rPr>
          <w:color w:val="0070C0"/>
          <w:sz w:val="16"/>
          <w:szCs w:val="16"/>
        </w:rPr>
        <w:t xml:space="preserve">Июнь 1935 состоялся первый полет </w:t>
      </w:r>
      <w:r w:rsidRPr="00E14102">
        <w:rPr>
          <w:color w:val="0070C0"/>
          <w:sz w:val="16"/>
          <w:szCs w:val="16"/>
          <w:lang w:val="en-US"/>
        </w:rPr>
        <w:t>Cessna</w:t>
      </w:r>
      <w:r w:rsidRPr="00E14102">
        <w:rPr>
          <w:color w:val="0070C0"/>
          <w:sz w:val="16"/>
          <w:szCs w:val="16"/>
        </w:rPr>
        <w:t xml:space="preserve"> </w:t>
      </w:r>
      <w:r w:rsidRPr="00E14102">
        <w:rPr>
          <w:color w:val="0070C0"/>
          <w:sz w:val="16"/>
          <w:szCs w:val="16"/>
          <w:lang w:val="en-US"/>
        </w:rPr>
        <w:t>C</w:t>
      </w:r>
      <w:r w:rsidRPr="00E14102">
        <w:rPr>
          <w:color w:val="0070C0"/>
          <w:sz w:val="16"/>
          <w:szCs w:val="16"/>
        </w:rPr>
        <w:t xml:space="preserve">-34 </w:t>
      </w:r>
      <w:r w:rsidRPr="00E14102">
        <w:rPr>
          <w:color w:val="0070C0"/>
          <w:sz w:val="16"/>
          <w:szCs w:val="16"/>
          <w:lang w:val="en-US"/>
        </w:rPr>
        <w:t>Airmaster</w:t>
      </w:r>
      <w:r w:rsidRPr="00E14102">
        <w:rPr>
          <w:color w:val="0070C0"/>
          <w:sz w:val="16"/>
          <w:szCs w:val="16"/>
        </w:rPr>
        <w:t xml:space="preserve"> (20800).</w:t>
      </w:r>
    </w:p>
    <w:p w14:paraId="43831613" w14:textId="77777777" w:rsidR="00C77577" w:rsidRPr="00E14102" w:rsidRDefault="00C77577" w:rsidP="00E14102">
      <w:pPr>
        <w:jc w:val="both"/>
        <w:rPr>
          <w:color w:val="0070C0"/>
          <w:sz w:val="16"/>
          <w:szCs w:val="16"/>
        </w:rPr>
      </w:pPr>
    </w:p>
    <w:p w14:paraId="16F2B9A9" w14:textId="77777777" w:rsidR="00C77577" w:rsidRPr="00E14102" w:rsidRDefault="00C77577" w:rsidP="00E14102">
      <w:pPr>
        <w:jc w:val="both"/>
        <w:rPr>
          <w:color w:val="0070C0"/>
          <w:sz w:val="16"/>
          <w:szCs w:val="16"/>
        </w:rPr>
      </w:pPr>
      <w:r w:rsidRPr="00E14102">
        <w:rPr>
          <w:color w:val="0070C0"/>
          <w:sz w:val="16"/>
          <w:szCs w:val="16"/>
        </w:rPr>
        <w:t xml:space="preserve">Июнь 1935 состоялся первый полет Фарман </w:t>
      </w:r>
      <w:r w:rsidRPr="00E14102">
        <w:rPr>
          <w:color w:val="0070C0"/>
          <w:sz w:val="16"/>
          <w:szCs w:val="16"/>
          <w:lang w:val="en-US"/>
        </w:rPr>
        <w:t>F</w:t>
      </w:r>
      <w:r w:rsidRPr="00E14102">
        <w:rPr>
          <w:color w:val="0070C0"/>
          <w:sz w:val="16"/>
          <w:szCs w:val="16"/>
        </w:rPr>
        <w:t>.1001  (20800).</w:t>
      </w:r>
    </w:p>
    <w:p w14:paraId="78C956C4" w14:textId="77777777" w:rsidR="00C77577" w:rsidRPr="00E14102" w:rsidRDefault="00C77577" w:rsidP="00E14102">
      <w:pPr>
        <w:jc w:val="both"/>
        <w:rPr>
          <w:color w:val="0070C0"/>
          <w:sz w:val="16"/>
          <w:szCs w:val="16"/>
        </w:rPr>
      </w:pPr>
    </w:p>
    <w:p w14:paraId="15770C1E" w14:textId="77777777" w:rsidR="00D4105E" w:rsidRPr="00E14102" w:rsidRDefault="00D4105E" w:rsidP="00E14102">
      <w:pPr>
        <w:autoSpaceDE w:val="0"/>
        <w:autoSpaceDN w:val="0"/>
        <w:adjustRightInd w:val="0"/>
        <w:jc w:val="both"/>
        <w:rPr>
          <w:color w:val="000000" w:themeColor="text1"/>
          <w:sz w:val="16"/>
          <w:szCs w:val="16"/>
          <w:lang w:val="en-US"/>
        </w:rPr>
      </w:pPr>
      <w:r w:rsidRPr="00E14102">
        <w:rPr>
          <w:color w:val="000000" w:themeColor="text1"/>
          <w:sz w:val="16"/>
          <w:szCs w:val="16"/>
          <w:lang w:val="en-US"/>
        </w:rPr>
        <w:t>June 1935 - British agree to allow Ger. navy at 35% of Brit. navy (1052).</w:t>
      </w:r>
    </w:p>
    <w:p w14:paraId="13189E30" w14:textId="77777777" w:rsidR="00D4105E" w:rsidRPr="00E14102" w:rsidRDefault="00D4105E" w:rsidP="00E14102">
      <w:pPr>
        <w:autoSpaceDE w:val="0"/>
        <w:autoSpaceDN w:val="0"/>
        <w:adjustRightInd w:val="0"/>
        <w:jc w:val="both"/>
        <w:rPr>
          <w:color w:val="000000" w:themeColor="text1"/>
          <w:sz w:val="16"/>
          <w:szCs w:val="16"/>
          <w:lang w:val="en-US"/>
        </w:rPr>
      </w:pPr>
    </w:p>
    <w:p w14:paraId="32794F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после победы консервативной партии на выборах ее лидер С.Болдуин сам возглавил кабинет. Самуэл Хор с июня 1935 г. получил пост министра иностранных дел (3871).</w:t>
      </w:r>
    </w:p>
    <w:p w14:paraId="72E27D2D" w14:textId="77777777" w:rsidR="00D4105E" w:rsidRPr="00E14102" w:rsidRDefault="00D4105E" w:rsidP="00E14102">
      <w:pPr>
        <w:autoSpaceDE w:val="0"/>
        <w:autoSpaceDN w:val="0"/>
        <w:adjustRightInd w:val="0"/>
        <w:jc w:val="both"/>
        <w:rPr>
          <w:color w:val="000000" w:themeColor="text1"/>
          <w:sz w:val="16"/>
          <w:szCs w:val="16"/>
        </w:rPr>
      </w:pPr>
    </w:p>
    <w:p w14:paraId="75E91E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министр иностранных дел Великобритании С.Хор и посол Германии в Лондоне Иоахим фон Риббентроп путем обмена письмами оформили двустороннее соглашение по военно-морским вопросам. Это соглашение было подготовлено в тайне от Франции и оформлено вопреки ее официальному протесту.</w:t>
      </w:r>
    </w:p>
    <w:p w14:paraId="0B3AAE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Соглашение предусматривало признание права Германии иметь флот, тоннаж которого будет составлять 35 процентов британского. Кроме того, разрешалось создавать германский подводный флот, который не должен был превосходить совокупный подводный флот Британского содружества; временно Германия обязывалась сохранять свой подводный флот на уровне 45 процентов британского. Таким образом, Германия согласилась ограничить масштабы своей военно-морской мощи, признав преимущества Великобритании в этой области. Но одновременно британская сторона фактически признала право Германии на односторонний отказ от ограничений, налагаемых Версальским договором. По существу, Великобритания выразила свою лояльность ревизионистским устремлениям Берлина (3871).</w:t>
      </w:r>
    </w:p>
    <w:p w14:paraId="65324915" w14:textId="77777777" w:rsidR="00D4105E" w:rsidRPr="00E14102" w:rsidRDefault="00D4105E" w:rsidP="00E14102">
      <w:pPr>
        <w:autoSpaceDE w:val="0"/>
        <w:autoSpaceDN w:val="0"/>
        <w:adjustRightInd w:val="0"/>
        <w:jc w:val="both"/>
        <w:rPr>
          <w:color w:val="000000" w:themeColor="text1"/>
          <w:sz w:val="16"/>
          <w:szCs w:val="16"/>
        </w:rPr>
      </w:pPr>
    </w:p>
    <w:p w14:paraId="552A99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1935 Англия согласилась с тем, чтобы Германия имела военный флот в объеме до 35% от английского (1052).</w:t>
      </w:r>
    </w:p>
    <w:p w14:paraId="5E61BC26" w14:textId="77777777" w:rsidR="00D4105E" w:rsidRPr="00E14102" w:rsidRDefault="00D4105E" w:rsidP="00E14102">
      <w:pPr>
        <w:autoSpaceDE w:val="0"/>
        <w:autoSpaceDN w:val="0"/>
        <w:adjustRightInd w:val="0"/>
        <w:jc w:val="both"/>
        <w:rPr>
          <w:color w:val="000000" w:themeColor="text1"/>
          <w:sz w:val="16"/>
          <w:szCs w:val="16"/>
        </w:rPr>
      </w:pPr>
    </w:p>
    <w:p w14:paraId="667BDDB6" w14:textId="77777777" w:rsidR="00BF0488" w:rsidRPr="00E14102" w:rsidRDefault="00BF0488" w:rsidP="00E14102">
      <w:pPr>
        <w:jc w:val="both"/>
        <w:rPr>
          <w:color w:val="000000" w:themeColor="text1"/>
          <w:sz w:val="16"/>
          <w:szCs w:val="16"/>
        </w:rPr>
      </w:pPr>
      <w:r w:rsidRPr="00E14102">
        <w:rPr>
          <w:color w:val="000000" w:themeColor="text1"/>
          <w:sz w:val="16"/>
          <w:szCs w:val="16"/>
        </w:rPr>
        <w:t>В июне 1935 года в рамках Имперской службы труда была введена обязательная трудовая повинность, просуществовавшая до 1941 года, и которую работники отбывали по большей части на сельскохозяйственных работах и в муниципальном хозяйстве. Подобный метод создания новых рабочих мест считался населением и зарубежной прессой более предпочтительным по сравнению с наращиванием вооружений. Повинности подлежали юноши в возрасте от 19 до 24 лет, а с 1 сентября 1939 года и девушки. Территория страны была разделена на 30 трудовых гау, в которых до 1938 года отбыли повинность 350000 юношей. После начала войны повинность все более приобретала военный характер, в частности, в её рамках выполнялось строительство бункеров (18291).</w:t>
      </w:r>
    </w:p>
    <w:p w14:paraId="38F57C23" w14:textId="77777777" w:rsidR="00BF0488" w:rsidRPr="00E14102" w:rsidRDefault="00BF0488" w:rsidP="00E14102">
      <w:pPr>
        <w:jc w:val="both"/>
        <w:rPr>
          <w:color w:val="000000" w:themeColor="text1"/>
          <w:sz w:val="16"/>
          <w:szCs w:val="16"/>
        </w:rPr>
      </w:pPr>
    </w:p>
    <w:p w14:paraId="29E4ACF5" w14:textId="77777777" w:rsidR="00C77577" w:rsidRPr="00E14102" w:rsidRDefault="00C77577"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4CC01C1" w14:textId="77777777" w:rsidR="00C77577" w:rsidRPr="00E14102" w:rsidRDefault="00C77577" w:rsidP="00E14102">
      <w:pPr>
        <w:autoSpaceDE w:val="0"/>
        <w:autoSpaceDN w:val="0"/>
        <w:adjustRightInd w:val="0"/>
        <w:jc w:val="both"/>
        <w:rPr>
          <w:iCs/>
          <w:color w:val="000000" w:themeColor="text1"/>
          <w:sz w:val="16"/>
          <w:szCs w:val="16"/>
        </w:rPr>
      </w:pPr>
    </w:p>
    <w:p w14:paraId="52E64A11" w14:textId="77777777" w:rsidR="00C77577" w:rsidRPr="00E14102" w:rsidRDefault="00C77577" w:rsidP="00E14102">
      <w:pPr>
        <w:jc w:val="both"/>
        <w:rPr>
          <w:color w:val="0070C0"/>
          <w:sz w:val="16"/>
          <w:szCs w:val="16"/>
        </w:rPr>
      </w:pPr>
      <w:r w:rsidRPr="00E14102">
        <w:rPr>
          <w:color w:val="0070C0"/>
          <w:sz w:val="16"/>
          <w:szCs w:val="16"/>
        </w:rPr>
        <w:t>В июне 1935 г. — марте 1936 г. на первом этапе программы полётов на субстратостатах в ниж</w:t>
      </w:r>
      <w:r w:rsidRPr="00E14102">
        <w:rPr>
          <w:color w:val="0070C0"/>
          <w:sz w:val="16"/>
          <w:szCs w:val="16"/>
        </w:rPr>
        <w:softHyphen/>
        <w:t>ние слои атмосферы, носившим «чисто изы</w:t>
      </w:r>
      <w:r w:rsidRPr="00E14102">
        <w:rPr>
          <w:color w:val="0070C0"/>
          <w:sz w:val="16"/>
          <w:szCs w:val="16"/>
        </w:rPr>
        <w:softHyphen/>
        <w:t>скательский» характер, воздухоплаватели ОИВД выполнили 16 полётов, в шести из которых про</w:t>
      </w:r>
      <w:r w:rsidRPr="00E14102">
        <w:rPr>
          <w:color w:val="0070C0"/>
          <w:sz w:val="16"/>
          <w:szCs w:val="16"/>
        </w:rPr>
        <w:softHyphen/>
        <w:t>водились научные исследования.</w:t>
      </w:r>
    </w:p>
    <w:p w14:paraId="67B45FD7" w14:textId="77777777" w:rsidR="00C77577" w:rsidRPr="00E14102" w:rsidRDefault="00C77577" w:rsidP="00E14102">
      <w:pPr>
        <w:jc w:val="both"/>
        <w:rPr>
          <w:color w:val="0070C0"/>
          <w:sz w:val="16"/>
          <w:szCs w:val="16"/>
        </w:rPr>
      </w:pPr>
      <w:r w:rsidRPr="00E14102">
        <w:rPr>
          <w:color w:val="0070C0"/>
          <w:sz w:val="16"/>
          <w:szCs w:val="16"/>
        </w:rPr>
        <w:t>Как признавал Г.А. Прокофьев, первоначаль</w:t>
      </w:r>
      <w:r w:rsidRPr="00E14102">
        <w:rPr>
          <w:color w:val="0070C0"/>
          <w:sz w:val="16"/>
          <w:szCs w:val="16"/>
        </w:rPr>
        <w:softHyphen/>
        <w:t>но пилотам ОИВД многое казалось неясным как в смысле тематики, так и в смысле пилотирова</w:t>
      </w:r>
      <w:r w:rsidRPr="00E14102">
        <w:rPr>
          <w:color w:val="0070C0"/>
          <w:sz w:val="16"/>
          <w:szCs w:val="16"/>
        </w:rPr>
        <w:softHyphen/>
        <w:t>ния. Поэтому главными задачами первого этапа были: «подготовка пилотов-наблюдателей вы</w:t>
      </w:r>
      <w:r w:rsidRPr="00E14102">
        <w:rPr>
          <w:color w:val="0070C0"/>
          <w:sz w:val="16"/>
          <w:szCs w:val="16"/>
        </w:rPr>
        <w:softHyphen/>
        <w:t>сотников», «изучение физиологического режи</w:t>
      </w:r>
      <w:r w:rsidRPr="00E14102">
        <w:rPr>
          <w:color w:val="0070C0"/>
          <w:sz w:val="16"/>
          <w:szCs w:val="16"/>
        </w:rPr>
        <w:softHyphen/>
        <w:t>ма», «испытание конструкций и изучение режи</w:t>
      </w:r>
      <w:r w:rsidRPr="00E14102">
        <w:rPr>
          <w:color w:val="0070C0"/>
          <w:sz w:val="16"/>
          <w:szCs w:val="16"/>
        </w:rPr>
        <w:softHyphen/>
        <w:t>ма пилотирования» и «создание тематики наблю</w:t>
      </w:r>
      <w:r w:rsidRPr="00E14102">
        <w:rPr>
          <w:color w:val="0070C0"/>
          <w:sz w:val="16"/>
          <w:szCs w:val="16"/>
        </w:rPr>
        <w:softHyphen/>
        <w:t>дений и методики съемки».</w:t>
      </w:r>
    </w:p>
    <w:p w14:paraId="0DCDAA01" w14:textId="77777777" w:rsidR="00C77577" w:rsidRPr="00E14102" w:rsidRDefault="00C77577" w:rsidP="00E14102">
      <w:pPr>
        <w:jc w:val="both"/>
        <w:rPr>
          <w:color w:val="0070C0"/>
          <w:sz w:val="16"/>
          <w:szCs w:val="16"/>
        </w:rPr>
      </w:pPr>
      <w:r w:rsidRPr="00E14102">
        <w:rPr>
          <w:color w:val="0070C0"/>
          <w:sz w:val="16"/>
          <w:szCs w:val="16"/>
        </w:rPr>
        <w:t>Первые высотные полёты ОИВД начинались во второй половине дня (после 18.00), что при отказе кислородного оборудования исключало длительное пребывание на высоте благодаря са</w:t>
      </w:r>
      <w:r w:rsidRPr="00E14102">
        <w:rPr>
          <w:color w:val="0070C0"/>
          <w:sz w:val="16"/>
          <w:szCs w:val="16"/>
        </w:rPr>
        <w:softHyphen/>
        <w:t>мопроизвольному спуску аэростата вследствие уменьшения солнечного нагрева (20120).</w:t>
      </w:r>
    </w:p>
    <w:p w14:paraId="25FF953F" w14:textId="77777777" w:rsidR="00C77577" w:rsidRPr="00E14102" w:rsidRDefault="00C77577" w:rsidP="00E14102">
      <w:pPr>
        <w:jc w:val="both"/>
        <w:rPr>
          <w:color w:val="0070C0"/>
          <w:sz w:val="16"/>
          <w:szCs w:val="16"/>
        </w:rPr>
      </w:pPr>
    </w:p>
    <w:p w14:paraId="3CA82F9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B35BA40" w14:textId="77777777" w:rsidR="00D4105E" w:rsidRPr="00E14102" w:rsidRDefault="00D4105E" w:rsidP="00E14102">
      <w:pPr>
        <w:autoSpaceDE w:val="0"/>
        <w:autoSpaceDN w:val="0"/>
        <w:adjustRightInd w:val="0"/>
        <w:jc w:val="both"/>
        <w:rPr>
          <w:iCs/>
          <w:color w:val="000000" w:themeColor="text1"/>
          <w:sz w:val="16"/>
          <w:szCs w:val="16"/>
        </w:rPr>
      </w:pPr>
    </w:p>
    <w:p w14:paraId="7736E4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июне-августе 1935 года были произведены стрельбы новыми 220/368-мм подкалиберными снарядами чертежей 3217 и 3218 для 356/52-мм пушки. Вес конструкции составлял 262 кг, а вес 220-мм активного снаряда 142 кг, заряд пороха 255 кг. На испытаниях была получена начальная скорость 1254-1265 м/с. (3861).</w:t>
      </w:r>
    </w:p>
    <w:p w14:paraId="0FE0F02F" w14:textId="77777777" w:rsidR="00D4105E" w:rsidRPr="00E14102" w:rsidRDefault="00D4105E" w:rsidP="00E14102">
      <w:pPr>
        <w:autoSpaceDE w:val="0"/>
        <w:autoSpaceDN w:val="0"/>
        <w:adjustRightInd w:val="0"/>
        <w:jc w:val="both"/>
        <w:rPr>
          <w:color w:val="000000" w:themeColor="text1"/>
          <w:sz w:val="16"/>
          <w:szCs w:val="16"/>
        </w:rPr>
      </w:pPr>
    </w:p>
    <w:p w14:paraId="436AF3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июне-июле 1935 прошли полигонные испытания трех универсальных пушек Ф-22 з-да 92, изготовленных в марте Две со складными станинами немецкого типа и одна - с цельными (5161, 43).</w:t>
      </w:r>
    </w:p>
    <w:p w14:paraId="791D5F94" w14:textId="77777777" w:rsidR="00D4105E" w:rsidRPr="00E14102" w:rsidRDefault="00D4105E" w:rsidP="00E14102">
      <w:pPr>
        <w:autoSpaceDE w:val="0"/>
        <w:autoSpaceDN w:val="0"/>
        <w:adjustRightInd w:val="0"/>
        <w:jc w:val="both"/>
        <w:rPr>
          <w:color w:val="000000" w:themeColor="text1"/>
          <w:sz w:val="16"/>
          <w:szCs w:val="16"/>
        </w:rPr>
      </w:pPr>
    </w:p>
    <w:p w14:paraId="76E8BAB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94F9B07" w14:textId="77777777" w:rsidR="00D4105E" w:rsidRPr="00E14102" w:rsidRDefault="00D4105E" w:rsidP="00E14102">
      <w:pPr>
        <w:autoSpaceDE w:val="0"/>
        <w:autoSpaceDN w:val="0"/>
        <w:adjustRightInd w:val="0"/>
        <w:jc w:val="both"/>
        <w:rPr>
          <w:iCs/>
          <w:color w:val="000000" w:themeColor="text1"/>
          <w:sz w:val="16"/>
          <w:szCs w:val="16"/>
        </w:rPr>
      </w:pPr>
    </w:p>
    <w:p w14:paraId="5DFB3D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июне-декабре 1935 г. после ряда столкновений на границе Монголии и Маньчжоу-Го монгольские власти приняли меры но усилению обороны на юге страны. Правительство Маньчжоу-Го, инспирируемое из Токио, заявляло претензии на некоторые участки монгольской территории. Японцы и маньчжуры периодически переходили границу и пытались закрепиться в стратегически важных пунктах. В январе 1936 г. эскадрилью монгольских самолетов Р-5 п У-2 перебросили из-под Улан-Батора на передовой аэродром Тамцак-Булак. Туда же подтянули два отряда из состава советской смешанной эскадрильи, уже довольно давно дислоцированной на монгольской территории. 7 января Р-5 провели первую разведку позиций противника, а со следующего дня начали регулярное патрулирование. 15 января маньчжурские солдаты пересекли границу у озера Хар. но были остановлены при поддержке монгольских и советских самолетов, поднявшихся с аэродрома Матад. После нескольких дней боевых действий 22 января маньчжуры п японцы отошли к границе. Авиация следила за их отступлением до заката. Затем последовал целый ряд стычек с участием авиации обеих сторон (12034).</w:t>
      </w:r>
    </w:p>
    <w:p w14:paraId="0A6C7492" w14:textId="77777777" w:rsidR="00D4105E" w:rsidRPr="00E14102" w:rsidRDefault="00D4105E" w:rsidP="00E14102">
      <w:pPr>
        <w:autoSpaceDE w:val="0"/>
        <w:autoSpaceDN w:val="0"/>
        <w:adjustRightInd w:val="0"/>
        <w:jc w:val="both"/>
        <w:rPr>
          <w:color w:val="000000" w:themeColor="text1"/>
          <w:sz w:val="16"/>
          <w:szCs w:val="16"/>
        </w:rPr>
      </w:pPr>
    </w:p>
    <w:p w14:paraId="7DC0A93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3290C01" w14:textId="77777777" w:rsidR="00D4105E" w:rsidRPr="00E14102" w:rsidRDefault="00D4105E" w:rsidP="00E14102">
      <w:pPr>
        <w:autoSpaceDE w:val="0"/>
        <w:autoSpaceDN w:val="0"/>
        <w:adjustRightInd w:val="0"/>
        <w:jc w:val="both"/>
        <w:rPr>
          <w:iCs/>
          <w:color w:val="000000" w:themeColor="text1"/>
          <w:sz w:val="16"/>
          <w:szCs w:val="16"/>
        </w:rPr>
      </w:pPr>
    </w:p>
    <w:p w14:paraId="38BE7E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первой половине 1935 г. началась сборка двигателей М-85, соот</w:t>
      </w:r>
      <w:r w:rsidRPr="00E14102">
        <w:rPr>
          <w:color w:val="000000" w:themeColor="text1"/>
          <w:sz w:val="16"/>
          <w:szCs w:val="16"/>
        </w:rPr>
        <w:softHyphen/>
        <w:t>ветствовавших типу 14Кёг8. В ранних двигателях было много француз</w:t>
      </w:r>
      <w:r w:rsidRPr="00E14102">
        <w:rPr>
          <w:color w:val="000000" w:themeColor="text1"/>
          <w:sz w:val="16"/>
          <w:szCs w:val="16"/>
        </w:rPr>
        <w:softHyphen/>
        <w:t>ских деталей, включая выхлопные патрубки и коллектора, бензонасосы, компрессоры и все электрооборудование. Первую серию начали прини</w:t>
      </w:r>
      <w:r w:rsidRPr="00E14102">
        <w:rPr>
          <w:color w:val="000000" w:themeColor="text1"/>
          <w:sz w:val="16"/>
          <w:szCs w:val="16"/>
        </w:rPr>
        <w:softHyphen/>
        <w:t>мать в июле. Два двигателя в августе прошли длительные испытания. К 1 ноября через военную приемку прошли 57 моторов. Не хватало импортных магнето. Советское ВМ-14, которое должно было заменить французский оригинал, до конца года так и не было доведено до рабо</w:t>
      </w:r>
      <w:r w:rsidRPr="00E14102">
        <w:rPr>
          <w:color w:val="000000" w:themeColor="text1"/>
          <w:sz w:val="16"/>
          <w:szCs w:val="16"/>
        </w:rPr>
        <w:softHyphen/>
        <w:t>тоспособного состояния. Велик был брак клапанных пружин. В октябре 1935 г. М-85 впервые выставили на 100-часовые стендовые госиспыта</w:t>
      </w:r>
      <w:r w:rsidRPr="00E14102">
        <w:rPr>
          <w:color w:val="000000" w:themeColor="text1"/>
          <w:sz w:val="16"/>
          <w:szCs w:val="16"/>
        </w:rPr>
        <w:softHyphen/>
        <w:t>ния в НИИ ВВС. Но последовали две аварии подряд. 8 декабря 1935 г. на испытания предъявили два новых мотора, которые прошли испытания с оценкой «удовлетворительно». Советская копия соответствовала ори</w:t>
      </w:r>
      <w:r w:rsidRPr="00E14102">
        <w:rPr>
          <w:color w:val="000000" w:themeColor="text1"/>
          <w:sz w:val="16"/>
          <w:szCs w:val="16"/>
        </w:rPr>
        <w:softHyphen/>
        <w:t>гиналу по мощности и расходу топлива, но отличалась большим рас</w:t>
      </w:r>
      <w:r w:rsidRPr="00E14102">
        <w:rPr>
          <w:color w:val="000000" w:themeColor="text1"/>
          <w:sz w:val="16"/>
          <w:szCs w:val="16"/>
        </w:rPr>
        <w:softHyphen/>
        <w:t>ходом масла и имела существенно более низкий межремонтный ресурс. ГУА.П требовало от завода 150 часов, завод официально заявлял о ре</w:t>
      </w:r>
      <w:r w:rsidRPr="00E14102">
        <w:rPr>
          <w:color w:val="000000" w:themeColor="text1"/>
          <w:sz w:val="16"/>
          <w:szCs w:val="16"/>
        </w:rPr>
        <w:softHyphen/>
        <w:t>сурсе 100 часов. Фактически же в воинских частях М-85 ранних серий вырабатывали 50-60 часов. Мотор М-85 был хорош для 1933 г., но для конца 1935 г. он уже не</w:t>
      </w:r>
      <w:r w:rsidRPr="00E14102">
        <w:rPr>
          <w:color w:val="000000" w:themeColor="text1"/>
          <w:sz w:val="16"/>
          <w:szCs w:val="16"/>
        </w:rPr>
        <w:softHyphen/>
        <w:t>сколько устарел. Началась модернизация конструкции, которая привела к созданию довольно большого семейства двигателей на его базе. Этот процесс был своеобразен тем, что на разных стадиях им руководили со</w:t>
      </w:r>
      <w:r w:rsidRPr="00E14102">
        <w:rPr>
          <w:color w:val="000000" w:themeColor="text1"/>
          <w:sz w:val="16"/>
          <w:szCs w:val="16"/>
        </w:rPr>
        <w:softHyphen/>
        <w:t>вершенно разные люди, зачастую ранее не имевшие никакого отношения к работам по М-85 и его «потомкам». Если совершенствование М-25 от начала до конца вел А.Д. Швецов, аналогичную работу по М-100 — В.Я. Климов, то в Запорожье за этот период сменилось около десятка главных конструкторов. Для дальнейшего совершенствования М-85 еще 1 января 1935 г. сфор</w:t>
      </w:r>
      <w:r w:rsidRPr="00E14102">
        <w:rPr>
          <w:color w:val="000000" w:themeColor="text1"/>
          <w:sz w:val="16"/>
          <w:szCs w:val="16"/>
        </w:rPr>
        <w:softHyphen/>
        <w:t>мировали ОКБ-29, руководимое А.С. Назаровым. Назаров к этому време</w:t>
      </w:r>
      <w:r w:rsidRPr="00E14102">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E14102">
        <w:rPr>
          <w:color w:val="000000" w:themeColor="text1"/>
          <w:sz w:val="16"/>
          <w:szCs w:val="16"/>
        </w:rPr>
        <w:softHyphen/>
        <w:t xml:space="preserve">гинальных </w:t>
      </w:r>
      <w:r w:rsidRPr="00E14102">
        <w:rPr>
          <w:color w:val="000000" w:themeColor="text1"/>
          <w:sz w:val="16"/>
          <w:szCs w:val="16"/>
        </w:rPr>
        <w:lastRenderedPageBreak/>
        <w:t>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E14102">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Назарова возник серьезный конфликт с подчинен</w:t>
      </w:r>
      <w:r w:rsidRPr="00E14102">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E14102">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E14102">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E14102">
        <w:rPr>
          <w:color w:val="000000" w:themeColor="text1"/>
          <w:sz w:val="16"/>
          <w:szCs w:val="16"/>
        </w:rPr>
        <w:softHyphen/>
        <w:t>ным нагнетателем» и исходно не предусматривала внесения других изме</w:t>
      </w:r>
      <w:r w:rsidRPr="00E14102">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E14102">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E14102">
        <w:rPr>
          <w:color w:val="000000" w:themeColor="text1"/>
          <w:sz w:val="16"/>
          <w:szCs w:val="16"/>
        </w:rPr>
        <w:softHyphen/>
        <w:t>стояло довести до серийного производства М-87 и двигатель с двухско</w:t>
      </w:r>
      <w:r w:rsidRPr="00E14102">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E14102">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E14102">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E14102">
        <w:rPr>
          <w:color w:val="000000" w:themeColor="text1"/>
          <w:sz w:val="16"/>
          <w:szCs w:val="16"/>
        </w:rPr>
        <w:softHyphen/>
        <w:t>енную приемку. До конца года сдали 711 таких двигателей. Старые М-85 и М-86 строить перестали (11852).</w:t>
      </w:r>
    </w:p>
    <w:p w14:paraId="7F19CC8D" w14:textId="77777777" w:rsidR="00D4105E" w:rsidRPr="00E14102" w:rsidRDefault="00D4105E" w:rsidP="00E14102">
      <w:pPr>
        <w:autoSpaceDE w:val="0"/>
        <w:autoSpaceDN w:val="0"/>
        <w:adjustRightInd w:val="0"/>
        <w:jc w:val="both"/>
        <w:rPr>
          <w:color w:val="000000" w:themeColor="text1"/>
          <w:sz w:val="16"/>
          <w:szCs w:val="16"/>
        </w:rPr>
      </w:pPr>
    </w:p>
    <w:p w14:paraId="5AFFC262" w14:textId="77777777" w:rsidR="00705486" w:rsidRPr="00E14102" w:rsidRDefault="00705486"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0D1162D" w14:textId="77777777" w:rsidR="00705486" w:rsidRPr="00E14102" w:rsidRDefault="00705486" w:rsidP="00E14102">
      <w:pPr>
        <w:autoSpaceDE w:val="0"/>
        <w:autoSpaceDN w:val="0"/>
        <w:adjustRightInd w:val="0"/>
        <w:jc w:val="both"/>
        <w:rPr>
          <w:iCs/>
          <w:color w:val="000000" w:themeColor="text1"/>
          <w:sz w:val="16"/>
          <w:szCs w:val="16"/>
        </w:rPr>
      </w:pPr>
    </w:p>
    <w:p w14:paraId="2155307D" w14:textId="77777777" w:rsidR="00705486" w:rsidRPr="00E14102" w:rsidRDefault="00705486" w:rsidP="00E14102">
      <w:pPr>
        <w:jc w:val="both"/>
        <w:rPr>
          <w:color w:val="0070C0"/>
          <w:sz w:val="16"/>
          <w:szCs w:val="16"/>
        </w:rPr>
      </w:pPr>
      <w:r w:rsidRPr="00E14102">
        <w:rPr>
          <w:color w:val="0070C0"/>
          <w:sz w:val="16"/>
          <w:szCs w:val="16"/>
        </w:rPr>
        <w:t>В первой половине 1935 г. в Германии был разработан и изготовлен GEMA импульсный радиолокатор. Комплекс, работающий на 50-сантиметровой волне, впоследствии известный как Seetakt, на испытаниях обнаруживал крейсер «Кенигсберг» на дистанции до восьми километров и определял расстояние до него с точностью 50 метров. Этого было вполне достаточно для навигации при плохой видимости и для наведения орудий.</w:t>
      </w:r>
    </w:p>
    <w:p w14:paraId="5C31E64D" w14:textId="77777777" w:rsidR="00705486" w:rsidRPr="00E14102" w:rsidRDefault="00705486" w:rsidP="00E14102">
      <w:pPr>
        <w:jc w:val="both"/>
        <w:rPr>
          <w:color w:val="0070C0"/>
          <w:sz w:val="16"/>
          <w:szCs w:val="16"/>
        </w:rPr>
      </w:pPr>
      <w:r w:rsidRPr="00E14102">
        <w:rPr>
          <w:color w:val="0070C0"/>
          <w:sz w:val="16"/>
          <w:szCs w:val="16"/>
        </w:rPr>
        <w:t xml:space="preserve">В начале Второй мировой войны радиолокаторы Seetakt в их улучшенном варианте стали основными радиолокаторами крупных военных кораблей германского флота. Эти радары имели следующие характеристики: </w:t>
      </w:r>
    </w:p>
    <w:p w14:paraId="015D0F56" w14:textId="77777777" w:rsidR="00705486" w:rsidRPr="00E14102" w:rsidRDefault="00705486" w:rsidP="00E14102">
      <w:pPr>
        <w:jc w:val="both"/>
        <w:rPr>
          <w:color w:val="0070C0"/>
          <w:sz w:val="16"/>
          <w:szCs w:val="16"/>
        </w:rPr>
      </w:pPr>
      <w:r w:rsidRPr="00E14102">
        <w:rPr>
          <w:color w:val="0070C0"/>
          <w:sz w:val="16"/>
          <w:szCs w:val="16"/>
        </w:rPr>
        <w:t>- максимальная дальность обнаружения корабля — цели при любой погоде до 35 км;</w:t>
      </w:r>
    </w:p>
    <w:p w14:paraId="6A221747" w14:textId="77777777" w:rsidR="00705486" w:rsidRPr="00E14102" w:rsidRDefault="00705486" w:rsidP="00E14102">
      <w:pPr>
        <w:jc w:val="both"/>
        <w:rPr>
          <w:color w:val="0070C0"/>
          <w:sz w:val="16"/>
          <w:szCs w:val="16"/>
        </w:rPr>
      </w:pPr>
      <w:r w:rsidRPr="00E14102">
        <w:rPr>
          <w:color w:val="0070C0"/>
          <w:sz w:val="16"/>
          <w:szCs w:val="16"/>
        </w:rPr>
        <w:t>- ошибка дистанции — 50–70 м;</w:t>
      </w:r>
    </w:p>
    <w:p w14:paraId="38E3F21C" w14:textId="77777777" w:rsidR="00705486" w:rsidRPr="00E14102" w:rsidRDefault="00705486" w:rsidP="00E14102">
      <w:pPr>
        <w:jc w:val="both"/>
        <w:rPr>
          <w:color w:val="0070C0"/>
          <w:sz w:val="16"/>
          <w:szCs w:val="16"/>
        </w:rPr>
      </w:pPr>
      <w:r w:rsidRPr="00E14102">
        <w:rPr>
          <w:color w:val="0070C0"/>
          <w:sz w:val="16"/>
          <w:szCs w:val="16"/>
        </w:rPr>
        <w:t>- точность определения пеленга +/3º; 3 длина волны 71 и 81,5 см;</w:t>
      </w:r>
    </w:p>
    <w:p w14:paraId="1BCBF005" w14:textId="77777777" w:rsidR="00705486" w:rsidRPr="00E14102" w:rsidRDefault="00705486" w:rsidP="00E14102">
      <w:pPr>
        <w:jc w:val="both"/>
        <w:rPr>
          <w:color w:val="0070C0"/>
          <w:sz w:val="16"/>
          <w:szCs w:val="16"/>
        </w:rPr>
      </w:pPr>
      <w:r w:rsidRPr="00E14102">
        <w:rPr>
          <w:color w:val="0070C0"/>
          <w:sz w:val="16"/>
          <w:szCs w:val="16"/>
        </w:rPr>
        <w:t>- мощность излучения в импульсе — 8 кВт;</w:t>
      </w:r>
    </w:p>
    <w:p w14:paraId="79C3AD1B" w14:textId="77777777" w:rsidR="00705486" w:rsidRPr="00E14102" w:rsidRDefault="00705486" w:rsidP="00E14102">
      <w:pPr>
        <w:jc w:val="both"/>
        <w:rPr>
          <w:color w:val="0070C0"/>
          <w:sz w:val="16"/>
          <w:szCs w:val="16"/>
        </w:rPr>
      </w:pPr>
      <w:r w:rsidRPr="00E14102">
        <w:rPr>
          <w:color w:val="0070C0"/>
          <w:sz w:val="16"/>
          <w:szCs w:val="16"/>
        </w:rPr>
        <w:t>- частота повторения зондирующих импульсов — 500 Гц.</w:t>
      </w:r>
    </w:p>
    <w:p w14:paraId="62D4D4F9" w14:textId="77777777" w:rsidR="00705486" w:rsidRPr="00E14102" w:rsidRDefault="00705486" w:rsidP="00E14102">
      <w:pPr>
        <w:jc w:val="both"/>
        <w:rPr>
          <w:color w:val="0070C0"/>
          <w:sz w:val="16"/>
          <w:szCs w:val="16"/>
        </w:rPr>
      </w:pPr>
      <w:r w:rsidRPr="00E14102">
        <w:rPr>
          <w:color w:val="0070C0"/>
          <w:sz w:val="16"/>
          <w:szCs w:val="16"/>
        </w:rPr>
        <w:t>Антенна радиолокатора Seetakt «матрасного типа» размером 6 х 3 метра с отдельными массивами излучения и приема закреплялась неподвижно на башенке директора управления огнем главного калибра корабля и вращалась вместе с башенкой (33738).</w:t>
      </w:r>
    </w:p>
    <w:p w14:paraId="19FB5184" w14:textId="77777777" w:rsidR="00705486" w:rsidRPr="00E14102" w:rsidRDefault="00705486" w:rsidP="00E14102">
      <w:pPr>
        <w:jc w:val="both"/>
        <w:rPr>
          <w:color w:val="0070C0"/>
          <w:sz w:val="16"/>
          <w:szCs w:val="16"/>
        </w:rPr>
      </w:pPr>
    </w:p>
    <w:p w14:paraId="1BC942F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31B06C7" w14:textId="77777777" w:rsidR="00D4105E" w:rsidRPr="00E14102" w:rsidRDefault="00D4105E" w:rsidP="00E14102">
      <w:pPr>
        <w:autoSpaceDE w:val="0"/>
        <w:autoSpaceDN w:val="0"/>
        <w:adjustRightInd w:val="0"/>
        <w:jc w:val="both"/>
        <w:rPr>
          <w:iCs/>
          <w:color w:val="000000" w:themeColor="text1"/>
          <w:sz w:val="16"/>
          <w:szCs w:val="16"/>
        </w:rPr>
      </w:pPr>
    </w:p>
    <w:p w14:paraId="0EDFBC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раз ЦКБ-26 выкатили из цеха на Центральный аэродром в начале лета 1935 г (80,344). Летом 1935 В.К.Коккинаки впервые поднял ЦКБ-26 в воздух и испытательные полеты подтвердили высокие данные проекта С.В.Ильюшина (80,344).</w:t>
      </w:r>
    </w:p>
    <w:p w14:paraId="38452F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машину выкатили на аэродром в мае, а первые полеты В.К.К. совершил в начале лета (2467,2).</w:t>
      </w:r>
    </w:p>
    <w:p w14:paraId="5140E132" w14:textId="77777777" w:rsidR="00D4105E" w:rsidRPr="00E14102" w:rsidRDefault="00D4105E" w:rsidP="00E14102">
      <w:pPr>
        <w:autoSpaceDE w:val="0"/>
        <w:autoSpaceDN w:val="0"/>
        <w:adjustRightInd w:val="0"/>
        <w:jc w:val="both"/>
        <w:rPr>
          <w:color w:val="000000" w:themeColor="text1"/>
          <w:sz w:val="16"/>
          <w:szCs w:val="16"/>
        </w:rPr>
      </w:pPr>
    </w:p>
    <w:p w14:paraId="410C0D5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669663B" w14:textId="77777777" w:rsidR="00D4105E" w:rsidRPr="00E14102" w:rsidRDefault="00D4105E" w:rsidP="00E14102">
      <w:pPr>
        <w:autoSpaceDE w:val="0"/>
        <w:autoSpaceDN w:val="0"/>
        <w:adjustRightInd w:val="0"/>
        <w:jc w:val="both"/>
        <w:rPr>
          <w:iCs/>
          <w:color w:val="000000" w:themeColor="text1"/>
          <w:sz w:val="16"/>
          <w:szCs w:val="16"/>
        </w:rPr>
      </w:pPr>
    </w:p>
    <w:p w14:paraId="148396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лета 1935 был испытан железнодорожный вариант бронеавтомобиля БА-3, но серийно не строился, т.к. Выксинский завод был перегружен заказами (7501, 24).</w:t>
      </w:r>
    </w:p>
    <w:p w14:paraId="173D77F1" w14:textId="77777777" w:rsidR="00D4105E" w:rsidRPr="00E14102" w:rsidRDefault="00D4105E" w:rsidP="00E14102">
      <w:pPr>
        <w:autoSpaceDE w:val="0"/>
        <w:autoSpaceDN w:val="0"/>
        <w:adjustRightInd w:val="0"/>
        <w:jc w:val="both"/>
        <w:rPr>
          <w:color w:val="000000" w:themeColor="text1"/>
          <w:sz w:val="16"/>
          <w:szCs w:val="16"/>
        </w:rPr>
      </w:pPr>
    </w:p>
    <w:p w14:paraId="2C2F0BE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3E77A7A" w14:textId="77777777" w:rsidR="00D4105E" w:rsidRPr="00E14102" w:rsidRDefault="00D4105E" w:rsidP="00E14102">
      <w:pPr>
        <w:autoSpaceDE w:val="0"/>
        <w:autoSpaceDN w:val="0"/>
        <w:adjustRightInd w:val="0"/>
        <w:jc w:val="both"/>
        <w:rPr>
          <w:iCs/>
          <w:color w:val="000000" w:themeColor="text1"/>
          <w:sz w:val="16"/>
          <w:szCs w:val="16"/>
        </w:rPr>
      </w:pPr>
    </w:p>
    <w:p w14:paraId="025255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лета 1935 года представителям Авиационного корпуса армии США был показан легкий бомбардировщик-штурмовик V-11. Конструктор полностью сохранил крыло и шасси V-1A, но соединил их с совершенно новым фюзеляжем-монококом. Он стал уже и короче. За противопожарной перегородкой двигателя теперь находилась кабина нилота, под полом которой стояли два бензобака, за пилотским сиденьем стоял еще одни бак, значительно большего размера, а под баком расположили бомбоотсек. Ближе к хвосту разместили кабину стрелка-наблюдателя. Обе кабины закрывались единым длинным прозрачным фонарем. Крыло практически целиком соответствовало предыдущей машине, за исключением введения двух дополнительных баков для горючего в консолях. На опытном самолете стоял звездообразный двигатель Райт SK-1820-F52 взлетной мощностью 775 л.с., вращавший трехлопастной винт изменяемого шага "Гамильтон стандард". В варианте штурмовика V-11 нес внутри бомбоотсека в специальной кассете 20 мелких бомб. В бомбардировочном - вся бомбовая нагрузка подвешивалась под центропланом: одна бомба в 515 кг или две но 284 кг, или три но 129 кг, или десять но 55 кг. Стрелковое вооружение состояло из четырех 7,62-мм пулеметов в крыльях и одною подвижной), тот же калибр, па шкворневой установке у наблюдателя. Ознакомившись с V-11, военные все же предпочли ему конкурента - штурмовик Нортроп 8А, поступивший на вооружение1 под обозначением А-17. Потерпев неудачу в попытке продать машину авиации собственной страны, конструктор не бросил заниматься ей, а стал модернизировать, рассчитывая на зарубежные заказы (3457,39).</w:t>
      </w:r>
    </w:p>
    <w:p w14:paraId="2BAA4F55" w14:textId="77777777" w:rsidR="00D4105E" w:rsidRPr="00E14102" w:rsidRDefault="00D4105E" w:rsidP="00E14102">
      <w:pPr>
        <w:autoSpaceDE w:val="0"/>
        <w:autoSpaceDN w:val="0"/>
        <w:adjustRightInd w:val="0"/>
        <w:jc w:val="both"/>
        <w:rPr>
          <w:color w:val="000000" w:themeColor="text1"/>
          <w:sz w:val="16"/>
          <w:szCs w:val="16"/>
        </w:rPr>
      </w:pPr>
    </w:p>
    <w:p w14:paraId="3FB242A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4B4CCAD" w14:textId="77777777" w:rsidR="00D4105E" w:rsidRPr="00E14102" w:rsidRDefault="00D4105E" w:rsidP="00E14102">
      <w:pPr>
        <w:autoSpaceDE w:val="0"/>
        <w:autoSpaceDN w:val="0"/>
        <w:adjustRightInd w:val="0"/>
        <w:jc w:val="both"/>
        <w:rPr>
          <w:iCs/>
          <w:color w:val="000000" w:themeColor="text1"/>
          <w:sz w:val="16"/>
          <w:szCs w:val="16"/>
        </w:rPr>
      </w:pPr>
    </w:p>
    <w:p w14:paraId="171CDC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г. летчик-испытатель В.К.Коккинаки впервые поднял ЦКБ-26 в воздух. Испытательные полеты подтвердили высокие данные самолета. По ряду лет-но-технических характеристик он существенно превосходил ДБ-2, особенно по максимальной скорости (примерно на 60 км/ч), хотя и уступал по дальности полета. ЦКБ-26 отличался также хорошей устойчивостью и управляемостью, мог совершать полет с одним отказавшим двигателем, его маневренные характеристики были выше уровня требований, предъявлявшихся к таким самолетам (первая в СССР петля Нестерова на двухдвигательном самолете была выполнена В.К.Коккинаки на ЦКБ-26). Это стало возможным благодаря большой прочности конструкции планера самолета, рассчитанной на повышенные значения эксплуатационных перегрузок, которые С.В.Ильюшин установил, предвидя неизбежное увеличение полетного веса самолета в эксплуатации вследствие установки оборудования и усиления вооружения (9528).</w:t>
      </w:r>
    </w:p>
    <w:p w14:paraId="4953F591" w14:textId="77777777" w:rsidR="00D4105E" w:rsidRPr="00E14102" w:rsidRDefault="00D4105E" w:rsidP="00E14102">
      <w:pPr>
        <w:autoSpaceDE w:val="0"/>
        <w:autoSpaceDN w:val="0"/>
        <w:adjustRightInd w:val="0"/>
        <w:jc w:val="both"/>
        <w:rPr>
          <w:color w:val="000000" w:themeColor="text1"/>
          <w:sz w:val="16"/>
          <w:szCs w:val="16"/>
        </w:rPr>
      </w:pPr>
    </w:p>
    <w:p w14:paraId="35009F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г. успешно испытали “Звено-6”, в определенной степени повторявшее “Звено-3”, но под крыльями теперь находилась пара И-16 (9807).</w:t>
      </w:r>
    </w:p>
    <w:p w14:paraId="73F3096C" w14:textId="77777777" w:rsidR="00D4105E" w:rsidRPr="00E14102" w:rsidRDefault="00D4105E" w:rsidP="00E14102">
      <w:pPr>
        <w:autoSpaceDE w:val="0"/>
        <w:autoSpaceDN w:val="0"/>
        <w:adjustRightInd w:val="0"/>
        <w:jc w:val="both"/>
        <w:rPr>
          <w:color w:val="000000" w:themeColor="text1"/>
          <w:sz w:val="16"/>
          <w:szCs w:val="16"/>
        </w:rPr>
      </w:pPr>
    </w:p>
    <w:p w14:paraId="233733B1" w14:textId="77777777" w:rsidR="001B5618" w:rsidRPr="00E14102" w:rsidRDefault="001B5618" w:rsidP="00E14102">
      <w:pPr>
        <w:shd w:val="clear" w:color="auto" w:fill="FFFFFF"/>
        <w:jc w:val="both"/>
        <w:rPr>
          <w:color w:val="0070C0"/>
          <w:sz w:val="16"/>
          <w:szCs w:val="16"/>
        </w:rPr>
      </w:pPr>
      <w:r w:rsidRPr="00E14102">
        <w:rPr>
          <w:color w:val="0070C0"/>
          <w:sz w:val="16"/>
          <w:szCs w:val="16"/>
        </w:rPr>
        <w:t xml:space="preserve">Летом 1935 был готов самолет ВВА-1, который разрабатывался в соответствии с требованиями конкурса легких безопасных самолетов Осоавиахима 1934 г. Основное внимание при его проектировании было обращено на оснащение машины средствами для уменьшения посадочной скорости, на обеспечение удобства и комфорта пассажиров, а также на внешнюю отделку самолета. По своему назначению ВВА-1 мог использоваться как самолет связи, самолет для обучения и тренировки, самолет местного транспорта. По аэродинамической схеме ВВА-1 являлся подкосным полуторапланом с крыльями равной ширины и закрытой кабиной. В качестве основного конструкционного материала использовалось дерево (сосна, фанера), а также применялись листовая сталь (капот) и полотно (обшивка). Фюзеляж представлял собой монокок круглого сечения. Его силовой набор состоял из 17 кольцевых шпангоутов, четырех лонжеронов с переменным сечением (20х20 у хвоста, 30х30 у моторамы) и 10 стрингеров сечением 10х15. Обшивался фюзеляж фанерными листами, толщина которых составляла 3 мм в передней и хвостовой части и 2 мм в средней. Для обеспечения большей жесткости в фюзеляже почти не было отверстий (люков и т.п.). Силовая схема коробки крыльев была выполнена в виде буквы «W» с использованием жестких подкосов. Крылья в плане имели прямоугольную форму с круглыми законцовками. Силовой каркас состоял из двух коробчатых лонжеронов (полки склеены из трех сосновых реек, стенки из 3 мм фанеры), набора простых и усиленных нервюр и лент-расчалок. Носок крыла, до переднего лонжерона, изготавливался отдельно и пристыковывался после обтяжки крыла полотном. Склеенные из сосны подкосы имели обтекаемое сечение. Стык подкосов и крыла закрывался обтекателями. Элероны располагались на верхнем крыле. Профиль крыла комбинированный. Форма средней линии была взята по профилю ЦАГИ Р-II, но с уменьшенной кривизной, а толщины с профилей американской серии NACA с относительной толщиной 10,5%. Последнее было сделано в целях увеличения </w:t>
      </w:r>
      <w:r w:rsidRPr="00E14102">
        <w:rPr>
          <w:color w:val="0070C0"/>
          <w:sz w:val="16"/>
          <w:szCs w:val="16"/>
        </w:rPr>
        <w:lastRenderedPageBreak/>
        <w:t>высоты заднего лонжерона. Поперечное «V» крыльев составляло 3°, угол установки – 0°. Консоли верхнего крыла крепились к небольшому центроплану, расположенному сверху закрытой кабины, а нижнего – к фюзеляжу. В целях уменьшения интерференции нижнее крыло в месте сопряжения с фюзеляжем имело «обратную чайку». Кроме этого, для компактного хранения и удобной транспортировки коробка крыльев могла складываться назад путем ее вращения вокруг стыка задних лонжеронов. Размах со сложенными крыльями составлял 3,4 м. Хвостовое оперение в аэродинамическом отношении имело свои особенности. Во-первых, оно было несколько больше среднестатистических значений. Во-вторых, стабилизатор относительно киля значительно выдвинут вперед и приподнят. Это делалось с целью улучшить работу оперения при штопоре, путем уменьшения взаимного заслонения его поверхностей. Стабилизатор имел один основной лонжерон, лежавший примерно на расстоянии около 27% хорды, и дополнительный лонжерон, расположенный у шарниров руля высоты. Основной лонжерон имел подкосы и дополнительные расчалки. Передняя часть стабилизатора, воспринимающая кручение, обшивалась фанерой, а остальная полотном. Руль высоты имел деревянный каркас и полотняную обшивку. Крепление стабилизатора осуществлялось в четырех точках, из которых одна находилась на его передней кромке и три на основном лонжероне – одна центральная на фюзеляже и две боковые на подкосах. На земле установочный угол стабилизатора мог регулироваться с помощью специального ключа путем вращения подъемника, соединенного с узлом крепления на передней кромке. Вертикальное оперение свободнонесущее. Оно крепилось хомутами к концевым шпангоутам фюзеляжа и имело силовую схему и конструкцию, аналогичную горизонтальному оперению. Для контроля состояния узлов крепления вертикального оперения и костыля необходимо было снимать хвостовой обтекатель фюзеляжа (на испытаниях не устанавливался). Управление самолетом сделано двойным, причем вторая ручка съемная. Управление рулем высоты смешанное – под кабиной и багажником жесткое, далее тросовое и после качалки жесткие тяги шли к рулю. Управление элеронами жесткое, а рулем направления тросовое. Педали двойного управления связаны вместе поперечной трубой. Тяги, идущие к элеронам, имели специальные легкоразъемные замки, что облегчало их расстыковку при складывании коробки крыльев. Взлетно-посадочные устройства самолета ВВА-1 включали в себя основные опоры шасси, костыльную установку, щелевые закрылки на верхнем крыле и щитки типа Нортон-Шренк на нижнем. Максимальный угол открытия закрылков 30°, щитков – 45°. Основные опоры шасси имели обтекаемую форму. Они оснащались резиновыми амортизаторами (работающие на сжатие резиновые кольца, ход около 150 мм) и не тормозными колесами 700х100. Полуоси изготавливались из труб хромомолибденовой термически обработанной стали размером 44х40. Костыль также имел резиновую амортизацию (шесть колец 16-мм резинового шнура) и мог свободно ориентироваться во все стороны. Вместо вилки с колесом мог устанавливаться костыльный наконечник. Колея шасси составляла 1,8 м, стояночный угол – 11° (20108).</w:t>
      </w:r>
    </w:p>
    <w:p w14:paraId="17C6CBF2" w14:textId="77777777" w:rsidR="001B5618" w:rsidRPr="00E14102" w:rsidRDefault="001B5618" w:rsidP="00E14102">
      <w:pPr>
        <w:shd w:val="clear" w:color="auto" w:fill="FFFFFF"/>
        <w:jc w:val="both"/>
        <w:rPr>
          <w:color w:val="0070C0"/>
          <w:sz w:val="16"/>
          <w:szCs w:val="16"/>
        </w:rPr>
      </w:pPr>
    </w:p>
    <w:p w14:paraId="4DBD68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еще до возвращения И.Г.Немана из США и Франции поступило указание из НИИ ВВС об установке в хвосте ХАИ-6 СФР защитной огневой точки. Из НИИ ВВС прислали чертежи (сс) шкворневой установки в виде выдвигающейся корзины, но мидель был слишком мал. Где то в это же время ЦОМ ХАИ посетил М.М.Тухачевский, попросил показать самолет, чертежи и макет стрелковой установки и прикидки по размещению. С ним был А.И.Путилов с двумя ромбами и адъютант. У самолета встретили директор ХАИ П.П.Красильников, вк Л.Д.Арсон, ви Е.И.Бару, нач. бр. по вооружению И.Дьяченко. Докладывал С.Я.Жолтовский. Сняв шинель М.М.Т. залез под самолет и стал примерять макеты. Убедился, что не возможно без снижения скорости, подтвердил заключение конструкторов. Потом через несколько месяцев приехал С.В.И. как начальник самолетного отдела ГУАП и сообщил, что ВВС от разведчика без вооружения отказывается и цель его визита - убедиться в правильности решения (1166,29).</w:t>
      </w:r>
    </w:p>
    <w:p w14:paraId="7670F24B" w14:textId="77777777" w:rsidR="00D4105E" w:rsidRPr="00E14102" w:rsidRDefault="00D4105E" w:rsidP="00E14102">
      <w:pPr>
        <w:autoSpaceDE w:val="0"/>
        <w:autoSpaceDN w:val="0"/>
        <w:adjustRightInd w:val="0"/>
        <w:jc w:val="both"/>
        <w:rPr>
          <w:color w:val="000000" w:themeColor="text1"/>
          <w:sz w:val="16"/>
          <w:szCs w:val="16"/>
        </w:rPr>
      </w:pPr>
    </w:p>
    <w:p w14:paraId="660C1F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испытывался ХАИ-ВВ, первый советский легкий разведчик и бомбардировщик-моноплан с убирающимися шасси. В 1933 это задание был поручено ОКБ С.А.Кочеригина и в 1933-34 машина была построена. Мало отличался от обычного ХАИ (80,191).</w:t>
      </w:r>
    </w:p>
    <w:p w14:paraId="7A18E6B1" w14:textId="77777777" w:rsidR="00D4105E" w:rsidRPr="00E14102" w:rsidRDefault="00D4105E" w:rsidP="00E14102">
      <w:pPr>
        <w:autoSpaceDE w:val="0"/>
        <w:autoSpaceDN w:val="0"/>
        <w:adjustRightInd w:val="0"/>
        <w:jc w:val="both"/>
        <w:rPr>
          <w:color w:val="000000" w:themeColor="text1"/>
          <w:sz w:val="16"/>
          <w:szCs w:val="16"/>
        </w:rPr>
      </w:pPr>
    </w:p>
    <w:p w14:paraId="285716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ЦКБ-27 (Р-9) Кочеригина вышел на испытания в НИИ ВВС и с убранным шасси показал скорость с ГР ММ 14 krds 670-720 нр скорость 460 км/час, однако уборка шасси работала плохо. Кочеригин ради внедрения в серию отказался от уборки. Испытывали в 1936, но скорость с М-85 уменьшилась до 447 км/час и начатую серию прекратили (1335,28).</w:t>
      </w:r>
    </w:p>
    <w:p w14:paraId="301386AD" w14:textId="77777777" w:rsidR="00D4105E" w:rsidRPr="00E14102" w:rsidRDefault="00D4105E" w:rsidP="00E14102">
      <w:pPr>
        <w:autoSpaceDE w:val="0"/>
        <w:autoSpaceDN w:val="0"/>
        <w:adjustRightInd w:val="0"/>
        <w:jc w:val="both"/>
        <w:rPr>
          <w:color w:val="000000" w:themeColor="text1"/>
          <w:sz w:val="16"/>
          <w:szCs w:val="16"/>
        </w:rPr>
      </w:pPr>
    </w:p>
    <w:p w14:paraId="78227582" w14:textId="77777777" w:rsidR="00026948" w:rsidRPr="00E14102" w:rsidRDefault="00026948" w:rsidP="00E14102">
      <w:pPr>
        <w:shd w:val="clear" w:color="auto" w:fill="FFFFFF"/>
        <w:jc w:val="both"/>
        <w:rPr>
          <w:color w:val="000000" w:themeColor="text1"/>
          <w:sz w:val="16"/>
          <w:szCs w:val="16"/>
        </w:rPr>
      </w:pPr>
      <w:r w:rsidRPr="00E14102">
        <w:rPr>
          <w:color w:val="000000" w:themeColor="text1"/>
          <w:sz w:val="16"/>
          <w:szCs w:val="16"/>
        </w:rPr>
        <w:t>Летом 1935 самолет ЦКБ-27 ЛР передали на летные испытания в НИИ ВВС.</w:t>
      </w:r>
    </w:p>
    <w:p w14:paraId="5D02F42F" w14:textId="77777777" w:rsidR="00026948" w:rsidRPr="00E14102" w:rsidRDefault="00026948" w:rsidP="00E14102">
      <w:pPr>
        <w:shd w:val="clear" w:color="auto" w:fill="FFFFFF"/>
        <w:jc w:val="both"/>
        <w:rPr>
          <w:color w:val="000000" w:themeColor="text1"/>
          <w:sz w:val="16"/>
          <w:szCs w:val="16"/>
        </w:rPr>
      </w:pPr>
      <w:r w:rsidRPr="00E14102">
        <w:rPr>
          <w:color w:val="000000" w:themeColor="text1"/>
          <w:sz w:val="16"/>
          <w:szCs w:val="16"/>
        </w:rPr>
        <w:t>Самолет СР (скоростной разведчик, Р-9, ЦКБ-27) создавался в рамках конкурса, объявленного в 1933 году Главным управлением авиационной промышленности и Управлением ВВС с целью замены устаревших разведчиков-бипланов. В плане развития опытного самолетостроения ГУАП на 1933-34 годы, разработка нового самолета-разведчика, кроме конструкторской бригады С.А. Кочеригина ЦКБ завода № 39, поручалась также и конструкторскому бюро И.Г. Немана из Харьковского авиационного института.</w:t>
      </w:r>
    </w:p>
    <w:p w14:paraId="555EA7EF" w14:textId="77777777" w:rsidR="00026948" w:rsidRPr="00E14102" w:rsidRDefault="00026948" w:rsidP="00E14102">
      <w:pPr>
        <w:shd w:val="clear" w:color="auto" w:fill="FFFFFF"/>
        <w:jc w:val="both"/>
        <w:rPr>
          <w:color w:val="000000" w:themeColor="text1"/>
          <w:sz w:val="16"/>
          <w:szCs w:val="16"/>
        </w:rPr>
      </w:pPr>
      <w:r w:rsidRPr="00E14102">
        <w:rPr>
          <w:color w:val="000000" w:themeColor="text1"/>
          <w:sz w:val="16"/>
          <w:szCs w:val="16"/>
        </w:rPr>
        <w:t>Опытный самолет, созданный в короткие сроки коллективом бригады Кочеригина, задумывался как многоцелевой скоростной разведчик, двухместный истребитель и легкий бомбардировщик. Схема ЦКБ-27 – свободнонесущий среднеплан. Самолет оснащался легким и надежным двигателем воздушного охлаждения Гном-Рон «Мистраль-Мажор» 14Кrsd с номинальной мощностью 780-800 л.с., серийное производство которого под обозначением М-85 разворачивалась на заводе № 29 в Запорожье. Цилиндры двигателя закрывались капотом NACA, аэродинамически более эффективным, чем кольцо Тауненда. Трехлопастной воздушный винт имел изменяемый на земле шаг. Втулка винта закрывалась коком. Среднепланная схема позволила разместить бомбовый отсек с кассетами под лонжеронами крыла на 400 кг бомб. Кабина летнаба, смещенная почти к самому хвосту фюзеляжа, закрывалась продолговатым телескопическим прозрачным обтекателем, являвшимся продолжением заголовника фонаря кабины летчика и плавно переходившим в киль. В кабине находилось специальное оборудование, а также подвижный пулемет ШКАС на шкворневой установке, который в случае воздушных атак противника выставлялся наружу.</w:t>
      </w:r>
    </w:p>
    <w:p w14:paraId="2B5D5524" w14:textId="77777777" w:rsidR="00026948" w:rsidRPr="00E14102" w:rsidRDefault="00026948" w:rsidP="00E14102">
      <w:pPr>
        <w:shd w:val="clear" w:color="auto" w:fill="FFFFFF"/>
        <w:jc w:val="both"/>
        <w:rPr>
          <w:color w:val="000000" w:themeColor="text1"/>
          <w:sz w:val="16"/>
          <w:szCs w:val="16"/>
        </w:rPr>
      </w:pPr>
      <w:r w:rsidRPr="00E14102">
        <w:rPr>
          <w:color w:val="000000" w:themeColor="text1"/>
          <w:sz w:val="16"/>
          <w:szCs w:val="16"/>
        </w:rPr>
        <w:t>Конструкция самолета была смешанная. Фюзеляж – деревянный монокок. Крыло металлическое, лонжероны ферменные из стальных труб. Нервюры и обшивка из листового дюралюминия от от 0,6 до 1,5 мм, клепка потайная. Элероны и оперение – дюралюминий с полотном. На рулях высоты - триммеры, применяемые для продольной балансировки самолета. Шасси одностоечное, убираемое от бортовой гидросистемы, источником энергии в которой был сжатый воздух в баллоне. Чтобы убрать или выпустить шасси, летчику требовалось выполнить пять-семь операций, но после установки многоходового крана, их число удалось сократить до одной. Колеса 800х150 мм с масляно-воздушной амортизацией, костыль – убираемый, ложечный, с цилиндром-амортизатором (105).</w:t>
      </w:r>
    </w:p>
    <w:p w14:paraId="36980D56" w14:textId="77777777" w:rsidR="00026948" w:rsidRPr="00E14102" w:rsidRDefault="00026948" w:rsidP="00E14102">
      <w:pPr>
        <w:shd w:val="clear" w:color="auto" w:fill="FFFFFF"/>
        <w:jc w:val="both"/>
        <w:rPr>
          <w:color w:val="000000" w:themeColor="text1"/>
          <w:sz w:val="16"/>
          <w:szCs w:val="16"/>
        </w:rPr>
      </w:pPr>
      <w:r w:rsidRPr="00E14102">
        <w:rPr>
          <w:color w:val="000000" w:themeColor="text1"/>
          <w:sz w:val="16"/>
          <w:szCs w:val="16"/>
        </w:rPr>
        <w:t>Первый экземпляр ЦКБ-27 на заводе № 39 построили в 1935 году.</w:t>
      </w:r>
    </w:p>
    <w:p w14:paraId="02446C1F" w14:textId="77777777" w:rsidR="00026948" w:rsidRPr="00E14102" w:rsidRDefault="00026948" w:rsidP="00E14102">
      <w:pPr>
        <w:shd w:val="clear" w:color="auto" w:fill="FFFFFF"/>
        <w:jc w:val="both"/>
        <w:rPr>
          <w:color w:val="000000" w:themeColor="text1"/>
          <w:sz w:val="16"/>
          <w:szCs w:val="16"/>
        </w:rPr>
      </w:pPr>
      <w:r w:rsidRPr="00E14102">
        <w:rPr>
          <w:color w:val="000000" w:themeColor="text1"/>
          <w:sz w:val="16"/>
          <w:szCs w:val="16"/>
        </w:rPr>
        <w:t>Первые полеты показали, что по скорости среди разведчиков самолет не имеет себе равных. С убранным шасси скорость достигала 460 км/ч, а с выпущенным шасси скорость была около 360 км/ч. Однако механизм уборки-выпуска шасси самолета оказался недоведенным. В полете случались отказы или неполная уборка шасси, при которой искажалась нижняя поверхность крыла и фюзеляжа. Срочная доработка, выполненная в процессе испытаний, не привела к желаемым результатам. Стремление Кочеригина любой ценой довести разведчик до серийного производства заставило конструктора пойти на компромисс. Было принято решение выпустить самолет с жестким неубирающимся шасси в обтекателях «калошах», и, кроме того, в кабине летнаба, вместо шкворневой установить экранированную турельную установку с подвижным пулеметом ШКАС.</w:t>
      </w:r>
    </w:p>
    <w:p w14:paraId="15F48681" w14:textId="77777777" w:rsidR="00026948" w:rsidRPr="00E14102" w:rsidRDefault="00026948" w:rsidP="00E14102">
      <w:pPr>
        <w:shd w:val="clear" w:color="auto" w:fill="FFFFFF"/>
        <w:jc w:val="both"/>
        <w:rPr>
          <w:color w:val="000000" w:themeColor="text1"/>
          <w:sz w:val="16"/>
          <w:szCs w:val="16"/>
        </w:rPr>
      </w:pPr>
      <w:r w:rsidRPr="00E14102">
        <w:rPr>
          <w:color w:val="000000" w:themeColor="text1"/>
          <w:sz w:val="16"/>
          <w:szCs w:val="16"/>
        </w:rPr>
        <w:t>В 1936 году завод № 39 приступил к строительству трех модифицированных ЦКБ-27. Работы по самолетам практически были завершены, однако распоряжением правительства конструкторская бригада С.А. Кочеригина к началу июля переводится на завод № 1.</w:t>
      </w:r>
    </w:p>
    <w:p w14:paraId="60D8C0E8" w14:textId="77777777" w:rsidR="00026948" w:rsidRPr="00E14102" w:rsidRDefault="00026948" w:rsidP="00E14102">
      <w:pPr>
        <w:shd w:val="clear" w:color="auto" w:fill="FFFFFF"/>
        <w:jc w:val="both"/>
        <w:rPr>
          <w:color w:val="000000" w:themeColor="text1"/>
          <w:sz w:val="16"/>
          <w:szCs w:val="16"/>
        </w:rPr>
      </w:pPr>
      <w:r w:rsidRPr="00E14102">
        <w:rPr>
          <w:color w:val="000000" w:themeColor="text1"/>
          <w:sz w:val="16"/>
          <w:szCs w:val="16"/>
        </w:rPr>
        <w:t>В отчете о работе завода № 39 за 1936 год говорится:</w:t>
      </w:r>
    </w:p>
    <w:p w14:paraId="766D5E0B" w14:textId="77777777" w:rsidR="00026948" w:rsidRPr="00E14102" w:rsidRDefault="00026948" w:rsidP="00E14102">
      <w:pPr>
        <w:shd w:val="clear" w:color="auto" w:fill="FFFFFF"/>
        <w:jc w:val="both"/>
        <w:rPr>
          <w:color w:val="000000" w:themeColor="text1"/>
          <w:sz w:val="16"/>
          <w:szCs w:val="16"/>
        </w:rPr>
      </w:pPr>
      <w:r w:rsidRPr="00E14102">
        <w:rPr>
          <w:iCs/>
          <w:color w:val="000000" w:themeColor="text1"/>
          <w:sz w:val="16"/>
          <w:szCs w:val="16"/>
        </w:rPr>
        <w:t>Из опытных объектов, переданных заводу № 1, но исполненных заводом № 39, должен быть отмечен самолет СР (ЦКБ-27) Главного Конструктора Кочеригина; благодаря своим высоким качествам он был назначен к исполнению в порядке опытной серии (3 экз.), к которой завод № 39 и приступил, но по ходу передал, согласно соответствующего распоряжения – заводу № 1.</w:t>
      </w:r>
    </w:p>
    <w:p w14:paraId="5CBDBD10" w14:textId="77777777" w:rsidR="00026948" w:rsidRPr="00E14102" w:rsidRDefault="00026948" w:rsidP="00E14102">
      <w:pPr>
        <w:shd w:val="clear" w:color="auto" w:fill="FFFFFF"/>
        <w:jc w:val="both"/>
        <w:rPr>
          <w:color w:val="000000" w:themeColor="text1"/>
          <w:sz w:val="16"/>
          <w:szCs w:val="16"/>
        </w:rPr>
      </w:pPr>
      <w:r w:rsidRPr="00E14102">
        <w:rPr>
          <w:color w:val="000000" w:themeColor="text1"/>
          <w:sz w:val="16"/>
          <w:szCs w:val="16"/>
        </w:rPr>
        <w:t>Дальнейшие испытания ЦКБ-27 в НИИ ВВС проходили одновременно с другим опытным разведчиком ХАИ-5, созданным в Харьковском авиационном институте под руководством И.Г. Немана. Поскольку после переделок скоростной разведчик Кочеригина значительно утратил скоростные качества, предпочтение было отдано самолету ХАИ-5. Под индексом Р-10 его производство развернули на Харьковском и Саратовском авиационных заводах (15223).</w:t>
      </w:r>
    </w:p>
    <w:p w14:paraId="760AEC65" w14:textId="77777777" w:rsidR="00026948" w:rsidRPr="00E14102" w:rsidRDefault="00026948" w:rsidP="00E14102">
      <w:pPr>
        <w:shd w:val="clear" w:color="auto" w:fill="FFFFFF"/>
        <w:jc w:val="both"/>
        <w:rPr>
          <w:color w:val="000000" w:themeColor="text1"/>
          <w:sz w:val="16"/>
          <w:szCs w:val="16"/>
        </w:rPr>
      </w:pPr>
    </w:p>
    <w:p w14:paraId="1C1BD9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г. велись испытания Р-5 с V-образным оперением по первому варианту, в ходе которых признали недостаточную эффективность рулей, и ухудшение характеристик штопора. Изобретение развития не получило. В 1935 г. было построено два варианта конструкции. Первый вариант имел крепление в нижней части фюзеляжа с подкреплением подкосами. Разрабатывался в Военно-Воздушной Академии им. Н.Е.Жуковского с участием А.Н.Журавченко(ЦАГИ). Второй вариант с креплением в верхней части фюзеляжа был предложен техником Филатовым на авиазаводе № 1. При испытаниях в сентябре 1935 г. этот самолет по причине разрушения V-образного оперения потерпел катастрофу. Погибли автор изобретения и летчик Гродзь (5016).</w:t>
      </w:r>
    </w:p>
    <w:p w14:paraId="73823186" w14:textId="77777777" w:rsidR="00D4105E" w:rsidRPr="00E14102" w:rsidRDefault="00D4105E" w:rsidP="00E14102">
      <w:pPr>
        <w:autoSpaceDE w:val="0"/>
        <w:autoSpaceDN w:val="0"/>
        <w:adjustRightInd w:val="0"/>
        <w:jc w:val="both"/>
        <w:rPr>
          <w:color w:val="000000" w:themeColor="text1"/>
          <w:sz w:val="16"/>
          <w:szCs w:val="16"/>
        </w:rPr>
      </w:pPr>
    </w:p>
    <w:p w14:paraId="64B2E9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г. велись государственные испытания ЦКБ—3 №7, основной целью которых стало определение ус</w:t>
      </w:r>
      <w:r w:rsidRPr="00E14102">
        <w:rPr>
          <w:color w:val="000000" w:themeColor="text1"/>
          <w:sz w:val="16"/>
          <w:szCs w:val="16"/>
        </w:rPr>
        <w:softHyphen/>
        <w:t>тойчивости пути на максимальных скоростях, По мнению летчиков—ис</w:t>
      </w:r>
      <w:r w:rsidRPr="00E14102">
        <w:rPr>
          <w:color w:val="000000" w:themeColor="text1"/>
          <w:sz w:val="16"/>
          <w:szCs w:val="16"/>
        </w:rPr>
        <w:softHyphen/>
        <w:t>пытателей В.П.Чкалова и В.К.Коккинаки, при</w:t>
      </w:r>
      <w:r w:rsidRPr="00E14102">
        <w:rPr>
          <w:color w:val="000000" w:themeColor="text1"/>
          <w:sz w:val="16"/>
          <w:szCs w:val="16"/>
        </w:rPr>
        <w:softHyphen/>
        <w:t>менение нормального центроплана улучшило обзор, устранило рысканье самолета на макси</w:t>
      </w:r>
      <w:r w:rsidRPr="00E14102">
        <w:rPr>
          <w:color w:val="000000" w:themeColor="text1"/>
          <w:sz w:val="16"/>
          <w:szCs w:val="16"/>
        </w:rPr>
        <w:softHyphen/>
        <w:t>мальных скоростях и пикировании, облегчи</w:t>
      </w:r>
      <w:r w:rsidRPr="00E14102">
        <w:rPr>
          <w:color w:val="000000" w:themeColor="text1"/>
          <w:sz w:val="16"/>
          <w:szCs w:val="16"/>
        </w:rPr>
        <w:softHyphen/>
        <w:t>лось прицеливание и ведение огня из бортовых пулеметов. В заключении по результатам госи</w:t>
      </w:r>
      <w:r w:rsidRPr="00E14102">
        <w:rPr>
          <w:color w:val="000000" w:themeColor="text1"/>
          <w:sz w:val="16"/>
          <w:szCs w:val="16"/>
        </w:rPr>
        <w:softHyphen/>
        <w:t xml:space="preserve">спытаний ЦКБ—3 №7 говорилось: </w:t>
      </w:r>
      <w:r w:rsidRPr="00E14102">
        <w:rPr>
          <w:iCs/>
          <w:color w:val="000000" w:themeColor="text1"/>
          <w:sz w:val="16"/>
          <w:szCs w:val="16"/>
        </w:rPr>
        <w:t>“Рекомендо</w:t>
      </w:r>
      <w:r w:rsidRPr="00E14102">
        <w:rPr>
          <w:iCs/>
          <w:color w:val="000000" w:themeColor="text1"/>
          <w:sz w:val="16"/>
          <w:szCs w:val="16"/>
        </w:rPr>
        <w:softHyphen/>
        <w:t xml:space="preserve">вать к серийной постройке И—15 с нормальным центропланом”. </w:t>
      </w:r>
      <w:r w:rsidRPr="00E14102">
        <w:rPr>
          <w:color w:val="000000" w:themeColor="text1"/>
          <w:sz w:val="16"/>
          <w:szCs w:val="16"/>
        </w:rPr>
        <w:t>Проведенные испытания модифициро</w:t>
      </w:r>
      <w:r w:rsidRPr="00E14102">
        <w:rPr>
          <w:color w:val="000000" w:themeColor="text1"/>
          <w:sz w:val="16"/>
          <w:szCs w:val="16"/>
        </w:rPr>
        <w:softHyphen/>
        <w:t>ванного И—15 оказались, однако, излишними. По предложению руководства ВВС РККА заказ на самолеты типа И—15 снимался и их произ</w:t>
      </w:r>
      <w:r w:rsidRPr="00E14102">
        <w:rPr>
          <w:color w:val="000000" w:themeColor="text1"/>
          <w:sz w:val="16"/>
          <w:szCs w:val="16"/>
        </w:rPr>
        <w:softHyphen/>
        <w:t>водство уже с середины 1935 г. прекращалось. Считалось, что другой истребитель Поликарпо</w:t>
      </w:r>
      <w:r w:rsidRPr="00E14102">
        <w:rPr>
          <w:color w:val="000000" w:themeColor="text1"/>
          <w:sz w:val="16"/>
          <w:szCs w:val="16"/>
        </w:rPr>
        <w:softHyphen/>
        <w:t>ва, моноплан И—16, оснащенный тем же двига</w:t>
      </w:r>
      <w:r w:rsidRPr="00E14102">
        <w:rPr>
          <w:color w:val="000000" w:themeColor="text1"/>
          <w:sz w:val="16"/>
          <w:szCs w:val="16"/>
        </w:rPr>
        <w:softHyphen/>
        <w:t>телем М—25, обладает более высокими летны</w:t>
      </w:r>
      <w:r w:rsidRPr="00E14102">
        <w:rPr>
          <w:color w:val="000000" w:themeColor="text1"/>
          <w:sz w:val="16"/>
          <w:szCs w:val="16"/>
        </w:rPr>
        <w:softHyphen/>
        <w:t>ми характеристиками и вполне удовлетворяет потребности авиации армии и флота (10547).</w:t>
      </w:r>
    </w:p>
    <w:p w14:paraId="3EA180A3" w14:textId="77777777" w:rsidR="00D4105E" w:rsidRPr="00E14102" w:rsidRDefault="00D4105E" w:rsidP="00E14102">
      <w:pPr>
        <w:autoSpaceDE w:val="0"/>
        <w:autoSpaceDN w:val="0"/>
        <w:adjustRightInd w:val="0"/>
        <w:jc w:val="both"/>
        <w:rPr>
          <w:color w:val="000000" w:themeColor="text1"/>
          <w:sz w:val="16"/>
          <w:szCs w:val="16"/>
        </w:rPr>
      </w:pPr>
    </w:p>
    <w:p w14:paraId="01251C26" w14:textId="77777777" w:rsidR="001B5618" w:rsidRPr="00E14102" w:rsidRDefault="001B5618" w:rsidP="00E14102">
      <w:pPr>
        <w:jc w:val="both"/>
        <w:rPr>
          <w:color w:val="0070C0"/>
          <w:sz w:val="16"/>
          <w:szCs w:val="16"/>
        </w:rPr>
      </w:pPr>
      <w:r w:rsidRPr="00E14102">
        <w:rPr>
          <w:color w:val="0070C0"/>
          <w:sz w:val="16"/>
          <w:szCs w:val="16"/>
        </w:rPr>
        <w:t>Летом 1935 года повышение огневой мощи самолета 4 типа отрабатывалось на машине № 421161. Летные испытания 4 пулеметной установки провело военное представительство. Летал Дательбаум.</w:t>
      </w:r>
    </w:p>
    <w:p w14:paraId="07B5824C" w14:textId="77777777" w:rsidR="001B5618" w:rsidRPr="00E14102" w:rsidRDefault="001B5618" w:rsidP="00E14102">
      <w:pPr>
        <w:jc w:val="both"/>
        <w:rPr>
          <w:color w:val="0070C0"/>
          <w:sz w:val="16"/>
          <w:szCs w:val="16"/>
        </w:rPr>
      </w:pPr>
      <w:r w:rsidRPr="00E14102">
        <w:rPr>
          <w:color w:val="0070C0"/>
          <w:sz w:val="16"/>
          <w:szCs w:val="16"/>
        </w:rPr>
        <w:t>В 1935 году завод выпустил 464 самолета против 41 в 1934. (21100).</w:t>
      </w:r>
    </w:p>
    <w:p w14:paraId="595462B1" w14:textId="77777777" w:rsidR="001B5618" w:rsidRPr="00E14102" w:rsidRDefault="001B5618" w:rsidP="00E14102">
      <w:pPr>
        <w:jc w:val="both"/>
        <w:rPr>
          <w:color w:val="0070C0"/>
          <w:sz w:val="16"/>
          <w:szCs w:val="16"/>
        </w:rPr>
      </w:pPr>
    </w:p>
    <w:p w14:paraId="54D0CC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лету 1935 г. Николай Николаевич разработал разработал еще один проект И-15 с более существенными изменени</w:t>
      </w:r>
      <w:r w:rsidRPr="00E14102">
        <w:rPr>
          <w:color w:val="000000" w:themeColor="text1"/>
          <w:sz w:val="16"/>
          <w:szCs w:val="16"/>
        </w:rPr>
        <w:softHyphen/>
        <w:t>ями аэродинамики. Машина получила обозначение ЦКБ-3 № 1 дублер (иногда в документации она называлась “И-15 с вынесенной "чайкой"”). Предполагалось, что в случае успешного завершения испытаний, ЦКБ-3 № 1 дублер будет внедряться в серийное производство как эталон первого полугодия 1936 г. От опытного ЦКБ-3 и серий</w:t>
      </w:r>
      <w:r w:rsidRPr="00E14102">
        <w:rPr>
          <w:color w:val="000000" w:themeColor="text1"/>
          <w:sz w:val="16"/>
          <w:szCs w:val="16"/>
        </w:rPr>
        <w:softHyphen/>
        <w:t>ных И-15 новый самолет отличался следующим:</w:t>
      </w:r>
    </w:p>
    <w:p w14:paraId="6948CC0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Вместо кольца Тауненда на ЦКБ-3 № 1 дублер по</w:t>
      </w:r>
      <w:r w:rsidRPr="00E14102">
        <w:rPr>
          <w:color w:val="000000" w:themeColor="text1"/>
          <w:sz w:val="16"/>
          <w:szCs w:val="16"/>
        </w:rPr>
        <w:softHyphen/>
        <w:t>ставили оправдавший себя на И-16 с двигателем Райт “Циклон” капот NАСА, снижающий лобовое сопротив</w:t>
      </w:r>
      <w:r w:rsidRPr="00E14102">
        <w:rPr>
          <w:color w:val="000000" w:themeColor="text1"/>
          <w:sz w:val="16"/>
          <w:szCs w:val="16"/>
        </w:rPr>
        <w:softHyphen/>
        <w:t>ление машины и дающий возможность регулировать охлаждение мотора.</w:t>
      </w:r>
    </w:p>
    <w:p w14:paraId="28C932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Вместо мотора Райт “Циклон” SGR-1820 Р-3 на са</w:t>
      </w:r>
      <w:r w:rsidRPr="00E14102">
        <w:rPr>
          <w:color w:val="000000" w:themeColor="text1"/>
          <w:sz w:val="16"/>
          <w:szCs w:val="16"/>
        </w:rPr>
        <w:softHyphen/>
        <w:t>молет установили его высотную модификацию Р-54.</w:t>
      </w:r>
    </w:p>
    <w:p w14:paraId="49A98E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Для сохранения центровки и улучшения устойчи</w:t>
      </w:r>
      <w:r w:rsidRPr="00E14102">
        <w:rPr>
          <w:color w:val="000000" w:themeColor="text1"/>
          <w:sz w:val="16"/>
          <w:szCs w:val="16"/>
        </w:rPr>
        <w:softHyphen/>
        <w:t>вости вынос верхнего крыла увеличили на 75 мм. Это позволило закрыть кабину пилота сдвижным вперед фонарем, улучшив обтекание за головой пилота.</w:t>
      </w:r>
    </w:p>
    <w:p w14:paraId="08BC8B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Предусматривалась установка специального винта под мотор “Циклон” Р-54 (10667).</w:t>
      </w:r>
    </w:p>
    <w:p w14:paraId="444C1EF3" w14:textId="77777777" w:rsidR="00D4105E" w:rsidRPr="00E14102" w:rsidRDefault="00D4105E" w:rsidP="00E14102">
      <w:pPr>
        <w:autoSpaceDE w:val="0"/>
        <w:autoSpaceDN w:val="0"/>
        <w:adjustRightInd w:val="0"/>
        <w:jc w:val="both"/>
        <w:rPr>
          <w:color w:val="000000" w:themeColor="text1"/>
          <w:sz w:val="16"/>
          <w:szCs w:val="16"/>
        </w:rPr>
      </w:pPr>
    </w:p>
    <w:p w14:paraId="374C24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Летом 1935 г. на совещании главных конструкторов Н.Н.Поликарпов обратил внимание присутствовавших на то, что мы гораздо лучше знаем зарубежный опыт, чем собственный (10667).</w:t>
      </w:r>
    </w:p>
    <w:p w14:paraId="7F157C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66117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на совещении в ГУАП по вопросам создания скоростного рекордного с-та Н.Н.П. выступил с докладом: “Как мы представленм себе рекордный самолет” (4207, 89).</w:t>
      </w:r>
    </w:p>
    <w:p w14:paraId="05BEBE52" w14:textId="77777777" w:rsidR="00D4105E" w:rsidRPr="00E14102" w:rsidRDefault="00D4105E" w:rsidP="00E14102">
      <w:pPr>
        <w:autoSpaceDE w:val="0"/>
        <w:autoSpaceDN w:val="0"/>
        <w:adjustRightInd w:val="0"/>
        <w:jc w:val="both"/>
        <w:rPr>
          <w:color w:val="000000" w:themeColor="text1"/>
          <w:sz w:val="16"/>
          <w:szCs w:val="16"/>
        </w:rPr>
      </w:pPr>
    </w:p>
    <w:p w14:paraId="01980C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г. предложения Н.Н.Поликарпова были изложены в докладных записках и на совещаниях в ГУАП. Они предполагали машину с "Испано Сюиза" HS 12Ybrs и машину с АМ-34ФРН. Оба двигателя предполагалось форсировать по мощности более чем вдвое, аэродинамику довести до возможного совершенства, для чего использовать крылья с малой площадью и высокой удельной нагрузкой, применить пароиспа-рительное охлаждение. До конца года были подготовлены эскизные проекты рекордных самолётов И-19 (скорость 530 км/ч) и И-18 (скорость 600 км/ч). И-18 (ЦКБ-43) предполагалось переделать из строящегося ЦКБ-25 (И-19). Работа над рекордными машинами продолжалась в КБ Поликарпова и в 1936 г., однако в связи с последующим их изъятием из плана и дальнейшим перебазированием самого КБ прекратилась. Сам Поликарпов надеялся продолжить данную работу, в частности, в июне 1936 г. он обращался к начальнику ГУАП M. Кагановичу: "По заданию Сталина нами были сконструированы рекордные самолёты И-18 (М-100, М-103) с расчётной скоростью 530 км/ч и И-19 (М-34ФРН) с расчётной скоростью 600 км/ч. Конструктивные чертежи этих самолётов были закончены ещё на заводе №39 и началась их постройка, однако ГУАП не ввёл их в план 1936 г. и изготовление прекратили....Нужно продолжить работу с И-19, это гарантирует нам побитие рекорда и выполнение личного задания тов. Сталина" (9630).</w:t>
      </w:r>
    </w:p>
    <w:p w14:paraId="413208D2" w14:textId="77777777" w:rsidR="00D4105E" w:rsidRPr="00E14102" w:rsidRDefault="00D4105E" w:rsidP="00E14102">
      <w:pPr>
        <w:autoSpaceDE w:val="0"/>
        <w:autoSpaceDN w:val="0"/>
        <w:adjustRightInd w:val="0"/>
        <w:jc w:val="both"/>
        <w:rPr>
          <w:color w:val="000000" w:themeColor="text1"/>
          <w:sz w:val="16"/>
          <w:szCs w:val="16"/>
        </w:rPr>
      </w:pPr>
    </w:p>
    <w:p w14:paraId="37894345" w14:textId="77777777" w:rsidR="00026948" w:rsidRPr="00E14102" w:rsidRDefault="00026948" w:rsidP="00E14102">
      <w:pPr>
        <w:shd w:val="clear" w:color="auto" w:fill="FFFFFF"/>
        <w:jc w:val="both"/>
        <w:rPr>
          <w:color w:val="000000" w:themeColor="text1"/>
          <w:sz w:val="16"/>
          <w:szCs w:val="16"/>
        </w:rPr>
      </w:pPr>
      <w:r w:rsidRPr="00E14102">
        <w:rPr>
          <w:color w:val="000000" w:themeColor="text1"/>
          <w:sz w:val="16"/>
          <w:szCs w:val="16"/>
        </w:rPr>
        <w:t>Летом 1935 года бригада Н.Н.Поликарпова приступила к проектированию рекордных скоростных самолетов. Отправной точкой для развертывания работ по этой тематике стал упомянутый выше день 2-го мая 1935 года, когда проходил смотр достижений отечественной авиационной техники. Тогда И.В. Сталин в беседе с летчиками и конструкторами определил программу создания новых скоростных самолетов (морских и сухопутных) для советских ВВС. Устное высказывание вождя воспринималось как руководство к действию. Уже 7-го мая 1935 года заместитель начальника ГУАП С.Л. Марголин направляет задание в ЦКБ завода № 39 исследовать возможность создания рекордных самолетов: сухопутного со скоростью 600 км/ч и морского со скоростью 800 км/ч. К реализации этого документа приступила бригада № 2 Н.Н. Поликарпова и бригада № 3 под руководством начальника ЦКБ С.В. Ильюшина (15223).</w:t>
      </w:r>
    </w:p>
    <w:p w14:paraId="27E69159" w14:textId="77777777" w:rsidR="00026948" w:rsidRPr="00E14102" w:rsidRDefault="00026948" w:rsidP="00E14102">
      <w:pPr>
        <w:shd w:val="clear" w:color="auto" w:fill="FFFFFF"/>
        <w:jc w:val="both"/>
        <w:rPr>
          <w:color w:val="000000" w:themeColor="text1"/>
          <w:sz w:val="16"/>
          <w:szCs w:val="16"/>
        </w:rPr>
      </w:pPr>
    </w:p>
    <w:p w14:paraId="5362D0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был выпущен АИР-14 - УТ-1. Ю.И.Пионтковский за день сделал 305 взлет-посадок для проверки (74,80).</w:t>
      </w:r>
    </w:p>
    <w:p w14:paraId="10EBA842" w14:textId="77777777" w:rsidR="00D4105E" w:rsidRPr="00E14102" w:rsidRDefault="00D4105E" w:rsidP="00E14102">
      <w:pPr>
        <w:autoSpaceDE w:val="0"/>
        <w:autoSpaceDN w:val="0"/>
        <w:adjustRightInd w:val="0"/>
        <w:jc w:val="both"/>
        <w:rPr>
          <w:color w:val="000000" w:themeColor="text1"/>
          <w:sz w:val="16"/>
          <w:szCs w:val="16"/>
        </w:rPr>
      </w:pPr>
    </w:p>
    <w:p w14:paraId="3BA29C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Летом 1935 г. самолет ВВА-1 был готов к испыта</w:t>
      </w:r>
      <w:r w:rsidRPr="00E14102">
        <w:rPr>
          <w:color w:val="000000" w:themeColor="text1"/>
          <w:sz w:val="16"/>
          <w:szCs w:val="16"/>
        </w:rPr>
        <w:softHyphen/>
        <w:t>ниям. Ее отличал современный вид и высокое качество внешней отделки. Но, к сожалению, по сравнению с расчет</w:t>
      </w:r>
      <w:r w:rsidRPr="00E14102">
        <w:rPr>
          <w:color w:val="000000" w:themeColor="text1"/>
          <w:sz w:val="16"/>
          <w:szCs w:val="16"/>
        </w:rPr>
        <w:softHyphen/>
        <w:t>ными данными ВВА-1 оказался пере</w:t>
      </w:r>
      <w:r w:rsidRPr="00E14102">
        <w:rPr>
          <w:color w:val="000000" w:themeColor="text1"/>
          <w:sz w:val="16"/>
          <w:szCs w:val="16"/>
        </w:rPr>
        <w:softHyphen/>
        <w:t>тяжеленным. Масса пустой машины составила 845 кг вместо запланиро</w:t>
      </w:r>
      <w:r w:rsidRPr="00E14102">
        <w:rPr>
          <w:color w:val="000000" w:themeColor="text1"/>
          <w:sz w:val="16"/>
          <w:szCs w:val="16"/>
        </w:rPr>
        <w:softHyphen/>
        <w:t>ванных 580-600 кг. При полетной мас</w:t>
      </w:r>
      <w:r w:rsidRPr="00E14102">
        <w:rPr>
          <w:color w:val="000000" w:themeColor="text1"/>
          <w:sz w:val="16"/>
          <w:szCs w:val="16"/>
        </w:rPr>
        <w:softHyphen/>
        <w:t>се 1146 кг центровка самолета соста</w:t>
      </w:r>
      <w:r w:rsidRPr="00E14102">
        <w:rPr>
          <w:color w:val="000000" w:themeColor="text1"/>
          <w:sz w:val="16"/>
          <w:szCs w:val="16"/>
        </w:rPr>
        <w:softHyphen/>
        <w:t>вила 34,2% САХ.</w:t>
      </w:r>
    </w:p>
    <w:p w14:paraId="68619B9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ВВА-1 разрабатывался в соответствии с требованиями конкур</w:t>
      </w:r>
      <w:r w:rsidRPr="00E14102">
        <w:rPr>
          <w:color w:val="000000" w:themeColor="text1"/>
          <w:sz w:val="16"/>
          <w:szCs w:val="16"/>
        </w:rPr>
        <w:softHyphen/>
        <w:t>са легких безопасных самолетов Осоавиахима 1934 г. Основное внимание при его проектировании было обращено на оснащение машины средствами для уменьшения посадочной скорости, на обеспечение удобства и комфорта пас</w:t>
      </w:r>
      <w:r w:rsidRPr="00E14102">
        <w:rPr>
          <w:color w:val="000000" w:themeColor="text1"/>
          <w:sz w:val="16"/>
          <w:szCs w:val="16"/>
        </w:rPr>
        <w:softHyphen/>
        <w:t>сажиров, а также на внешнюю отделку самолета. По своему назначению ВВА-1 мог использоваться как самолет связи, самолет для обучения и трени</w:t>
      </w:r>
      <w:r w:rsidRPr="00E14102">
        <w:rPr>
          <w:color w:val="000000" w:themeColor="text1"/>
          <w:sz w:val="16"/>
          <w:szCs w:val="16"/>
        </w:rPr>
        <w:softHyphen/>
        <w:t>ровки, самолет местного транспорта.</w:t>
      </w:r>
    </w:p>
    <w:p w14:paraId="039B15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аэродинамической схеме ВВА-1 являлся подкосным полуторапланом с крыльями равной ширины и закрытой кабиной. В качестве основного кон лось дерево (сосна, фанера), а также применялись листовая сталь (капот) и полотно (обшивка).</w:t>
      </w:r>
    </w:p>
    <w:p w14:paraId="6F81615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Фюзеляж представлял собой моно-кок круглого сечения. Его силовой на</w:t>
      </w:r>
      <w:r w:rsidRPr="00E14102">
        <w:rPr>
          <w:color w:val="000000" w:themeColor="text1"/>
          <w:sz w:val="16"/>
          <w:szCs w:val="16"/>
        </w:rPr>
        <w:softHyphen/>
        <w:t>бор состоял из 17 кольцевых шпангоу</w:t>
      </w:r>
      <w:r w:rsidRPr="00E14102">
        <w:rPr>
          <w:color w:val="000000" w:themeColor="text1"/>
          <w:sz w:val="16"/>
          <w:szCs w:val="16"/>
        </w:rPr>
        <w:softHyphen/>
        <w:t>тов, четырехлонжеронов с переменным сечением (20x20 у хвоста, 30x30 у мо</w:t>
      </w:r>
      <w:r w:rsidRPr="00E14102">
        <w:rPr>
          <w:color w:val="000000" w:themeColor="text1"/>
          <w:sz w:val="16"/>
          <w:szCs w:val="16"/>
        </w:rPr>
        <w:softHyphen/>
        <w:t>торамы) и 10 стрингеров сечением 10x15. Обшивался фюзеляж фанерны</w:t>
      </w:r>
      <w:r w:rsidRPr="00E14102">
        <w:rPr>
          <w:color w:val="000000" w:themeColor="text1"/>
          <w:sz w:val="16"/>
          <w:szCs w:val="16"/>
        </w:rPr>
        <w:softHyphen/>
        <w:t>ми листами, толщина которых состав</w:t>
      </w:r>
      <w:r w:rsidRPr="00E14102">
        <w:rPr>
          <w:color w:val="000000" w:themeColor="text1"/>
          <w:sz w:val="16"/>
          <w:szCs w:val="16"/>
        </w:rPr>
        <w:softHyphen/>
        <w:t>ляла 3 мм в передней и хвостовой части и 2 мм в средней. Для обеспечения боль</w:t>
      </w:r>
      <w:r w:rsidRPr="00E14102">
        <w:rPr>
          <w:color w:val="000000" w:themeColor="text1"/>
          <w:sz w:val="16"/>
          <w:szCs w:val="16"/>
        </w:rPr>
        <w:softHyphen/>
        <w:t>шей жесткости в фюзеляже почти не было отверстий (люков и т.п.).</w:t>
      </w:r>
    </w:p>
    <w:p w14:paraId="518107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Силовая схема коробки крыльев была выполнена в виде буквы «№» с использованием жестких подкосов. Крылья в плане имели прямоугольную форму с круглыми законцовками. Си</w:t>
      </w:r>
      <w:r w:rsidRPr="00E14102">
        <w:rPr>
          <w:color w:val="000000" w:themeColor="text1"/>
          <w:sz w:val="16"/>
          <w:szCs w:val="16"/>
        </w:rPr>
        <w:softHyphen/>
        <w:t>ловой каркас состоял из двух короб</w:t>
      </w:r>
      <w:r w:rsidRPr="00E14102">
        <w:rPr>
          <w:color w:val="000000" w:themeColor="text1"/>
          <w:sz w:val="16"/>
          <w:szCs w:val="16"/>
        </w:rPr>
        <w:softHyphen/>
        <w:t>чатых лонжеронов (полки склеены из трех сосновых реек, стенки из 3 мм фанеры), набора простых и усиленных нервюр и лент-расчалок. Носок кры</w:t>
      </w:r>
      <w:r w:rsidRPr="00E14102">
        <w:rPr>
          <w:color w:val="000000" w:themeColor="text1"/>
          <w:sz w:val="16"/>
          <w:szCs w:val="16"/>
        </w:rPr>
        <w:softHyphen/>
        <w:t>ла, до переднего лонжерона, изготав</w:t>
      </w:r>
      <w:r w:rsidRPr="00E14102">
        <w:rPr>
          <w:color w:val="000000" w:themeColor="text1"/>
          <w:sz w:val="16"/>
          <w:szCs w:val="16"/>
        </w:rPr>
        <w:softHyphen/>
        <w:t>ливался отдельно и пристыковывался после обтяжки крыла полотном. Скле</w:t>
      </w:r>
      <w:r w:rsidRPr="00E14102">
        <w:rPr>
          <w:color w:val="000000" w:themeColor="text1"/>
          <w:sz w:val="16"/>
          <w:szCs w:val="16"/>
        </w:rPr>
        <w:softHyphen/>
        <w:t>енные из сосны подкосы имели обте</w:t>
      </w:r>
      <w:r w:rsidRPr="00E14102">
        <w:rPr>
          <w:color w:val="000000" w:themeColor="text1"/>
          <w:sz w:val="16"/>
          <w:szCs w:val="16"/>
        </w:rPr>
        <w:softHyphen/>
        <w:t>каемое сечение. Стык подкосов и кры</w:t>
      </w:r>
      <w:r w:rsidRPr="00E14102">
        <w:rPr>
          <w:color w:val="000000" w:themeColor="text1"/>
          <w:sz w:val="16"/>
          <w:szCs w:val="16"/>
        </w:rPr>
        <w:softHyphen/>
        <w:t>ла закрывался обтекателями. Элероны располагались на верхнем крыле.</w:t>
      </w:r>
    </w:p>
    <w:p w14:paraId="5E1318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Профиль крыла комбинирован</w:t>
      </w:r>
      <w:r w:rsidRPr="00E14102">
        <w:rPr>
          <w:color w:val="000000" w:themeColor="text1"/>
          <w:sz w:val="16"/>
          <w:szCs w:val="16"/>
        </w:rPr>
        <w:softHyphen/>
        <w:t>ный. Форма средней линии была взята по профилю ЦАГИ Р-П, но суменьшен-ной кривизной, а толщины с профи</w:t>
      </w:r>
      <w:r w:rsidRPr="00E14102">
        <w:rPr>
          <w:color w:val="000000" w:themeColor="text1"/>
          <w:sz w:val="16"/>
          <w:szCs w:val="16"/>
        </w:rPr>
        <w:softHyphen/>
        <w:t>лей американской серии МАСА с отно</w:t>
      </w:r>
      <w:r w:rsidRPr="00E14102">
        <w:rPr>
          <w:color w:val="000000" w:themeColor="text1"/>
          <w:sz w:val="16"/>
          <w:szCs w:val="16"/>
        </w:rPr>
        <w:softHyphen/>
        <w:t>сительной толщиной 10,5%. После</w:t>
      </w:r>
      <w:r w:rsidRPr="00E14102">
        <w:rPr>
          <w:color w:val="000000" w:themeColor="text1"/>
          <w:sz w:val="16"/>
          <w:szCs w:val="16"/>
        </w:rPr>
        <w:softHyphen/>
        <w:t>днее было сделано в целях увеличения высоты заднего лонжерона. Попереч</w:t>
      </w:r>
      <w:r w:rsidRPr="00E14102">
        <w:rPr>
          <w:color w:val="000000" w:themeColor="text1"/>
          <w:sz w:val="16"/>
          <w:szCs w:val="16"/>
        </w:rPr>
        <w:softHyphen/>
        <w:t>ное «V» крыльев составляло 3°, угол установки - 0°.</w:t>
      </w:r>
    </w:p>
    <w:p w14:paraId="1D8CD4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Консоли верхнего крыла крепи</w:t>
      </w:r>
      <w:r w:rsidRPr="00E14102">
        <w:rPr>
          <w:color w:val="000000" w:themeColor="text1"/>
          <w:sz w:val="16"/>
          <w:szCs w:val="16"/>
        </w:rPr>
        <w:softHyphen/>
        <w:t>лись к небольшому центроплану, рас</w:t>
      </w:r>
      <w:r w:rsidRPr="00E14102">
        <w:rPr>
          <w:color w:val="000000" w:themeColor="text1"/>
          <w:sz w:val="16"/>
          <w:szCs w:val="16"/>
        </w:rPr>
        <w:softHyphen/>
        <w:t>положенному сверху закрытой каби</w:t>
      </w:r>
      <w:r w:rsidRPr="00E14102">
        <w:rPr>
          <w:color w:val="000000" w:themeColor="text1"/>
          <w:sz w:val="16"/>
          <w:szCs w:val="16"/>
        </w:rPr>
        <w:softHyphen/>
        <w:t>ны, а нижнего - к фюзеляжу. В целях уменьшения интерференции нижнее крыло в месте сопряжения с фюзеля</w:t>
      </w:r>
      <w:r w:rsidRPr="00E14102">
        <w:rPr>
          <w:color w:val="000000" w:themeColor="text1"/>
          <w:sz w:val="16"/>
          <w:szCs w:val="16"/>
        </w:rPr>
        <w:softHyphen/>
        <w:t>жем имело «обратную чайку». Кроме этого, для компактного хранения и удобной транспортировки коробка крыльев могла складываться назад пу</w:t>
      </w:r>
      <w:r w:rsidRPr="00E14102">
        <w:rPr>
          <w:color w:val="000000" w:themeColor="text1"/>
          <w:sz w:val="16"/>
          <w:szCs w:val="16"/>
        </w:rPr>
        <w:softHyphen/>
        <w:t>тем ее вращения вокруг стыка задних лонжеронов. Размах со сложенными крыльями составлял 3,4 м.</w:t>
      </w:r>
    </w:p>
    <w:p w14:paraId="3EC4E3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Хвостовое оперение в аэродинами</w:t>
      </w:r>
      <w:r w:rsidRPr="00E14102">
        <w:rPr>
          <w:color w:val="000000" w:themeColor="text1"/>
          <w:sz w:val="16"/>
          <w:szCs w:val="16"/>
        </w:rPr>
        <w:softHyphen/>
        <w:t>ческом отношении имело свои особен</w:t>
      </w:r>
      <w:r w:rsidRPr="00E14102">
        <w:rPr>
          <w:color w:val="000000" w:themeColor="text1"/>
          <w:sz w:val="16"/>
          <w:szCs w:val="16"/>
        </w:rPr>
        <w:softHyphen/>
        <w:t>ности. Во-первых, оно было несколько больше среднестатистических значений. Во-вторых, стабилизатор относи</w:t>
      </w:r>
      <w:r w:rsidRPr="00E14102">
        <w:rPr>
          <w:color w:val="000000" w:themeColor="text1"/>
          <w:sz w:val="16"/>
          <w:szCs w:val="16"/>
        </w:rPr>
        <w:softHyphen/>
        <w:t>тельно киля значительно выдвинут впе</w:t>
      </w:r>
      <w:r w:rsidRPr="00E14102">
        <w:rPr>
          <w:color w:val="000000" w:themeColor="text1"/>
          <w:sz w:val="16"/>
          <w:szCs w:val="16"/>
        </w:rPr>
        <w:softHyphen/>
        <w:t>ред и приподнят. Это делалось для улучшения работы оперения при што</w:t>
      </w:r>
      <w:r w:rsidRPr="00E14102">
        <w:rPr>
          <w:color w:val="000000" w:themeColor="text1"/>
          <w:sz w:val="16"/>
          <w:szCs w:val="16"/>
        </w:rPr>
        <w:softHyphen/>
        <w:t>поре, путем уменьшения взаимного зас</w:t>
      </w:r>
      <w:r w:rsidRPr="00E14102">
        <w:rPr>
          <w:color w:val="000000" w:themeColor="text1"/>
          <w:sz w:val="16"/>
          <w:szCs w:val="16"/>
        </w:rPr>
        <w:softHyphen/>
        <w:t>лонения его поверхностей.</w:t>
      </w:r>
    </w:p>
    <w:p w14:paraId="225A564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Стабилизатор имел один основной лонжерон, лежавший примерно на расстоянии около 27% хорды, и допол</w:t>
      </w:r>
      <w:r w:rsidRPr="00E14102">
        <w:rPr>
          <w:color w:val="000000" w:themeColor="text1"/>
          <w:sz w:val="16"/>
          <w:szCs w:val="16"/>
        </w:rPr>
        <w:softHyphen/>
        <w:t>нительный лонжерон, расположенный у шарниров руля высоты. Основной лонжерон имел подкосы и дополни</w:t>
      </w:r>
      <w:r w:rsidRPr="00E14102">
        <w:rPr>
          <w:color w:val="000000" w:themeColor="text1"/>
          <w:sz w:val="16"/>
          <w:szCs w:val="16"/>
        </w:rPr>
        <w:softHyphen/>
        <w:t>тельные расчалки. Передняя часть ста</w:t>
      </w:r>
      <w:r w:rsidRPr="00E14102">
        <w:rPr>
          <w:color w:val="000000" w:themeColor="text1"/>
          <w:sz w:val="16"/>
          <w:szCs w:val="16"/>
        </w:rPr>
        <w:softHyphen/>
        <w:t>билизатора, воспринимающая круче</w:t>
      </w:r>
      <w:r w:rsidRPr="00E14102">
        <w:rPr>
          <w:color w:val="000000" w:themeColor="text1"/>
          <w:sz w:val="16"/>
          <w:szCs w:val="16"/>
        </w:rPr>
        <w:softHyphen/>
        <w:t>ние, обшивалась фанерой, а остальная полотном. Руль высоты имел деревян</w:t>
      </w:r>
      <w:r w:rsidRPr="00E14102">
        <w:rPr>
          <w:color w:val="000000" w:themeColor="text1"/>
          <w:sz w:val="16"/>
          <w:szCs w:val="16"/>
        </w:rPr>
        <w:softHyphen/>
        <w:t>ный каркас и полотняную обшивку.</w:t>
      </w:r>
    </w:p>
    <w:p w14:paraId="7EAC31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Крепление стабилизатора осуще</w:t>
      </w:r>
      <w:r w:rsidRPr="00E14102">
        <w:rPr>
          <w:color w:val="000000" w:themeColor="text1"/>
          <w:sz w:val="16"/>
          <w:szCs w:val="16"/>
        </w:rPr>
        <w:softHyphen/>
        <w:t>ствлялось в четырех точках, из кото</w:t>
      </w:r>
      <w:r w:rsidRPr="00E14102">
        <w:rPr>
          <w:color w:val="000000" w:themeColor="text1"/>
          <w:sz w:val="16"/>
          <w:szCs w:val="16"/>
        </w:rPr>
        <w:softHyphen/>
        <w:t>рых одна находилась на его передней кромке и три на основном лонжероне - одна центральная на фюзеляже и две боковые на подкосах. На земле уста</w:t>
      </w:r>
      <w:r w:rsidRPr="00E14102">
        <w:rPr>
          <w:color w:val="000000" w:themeColor="text1"/>
          <w:sz w:val="16"/>
          <w:szCs w:val="16"/>
        </w:rPr>
        <w:softHyphen/>
        <w:t>новочный угол стабилизатора мог ре</w:t>
      </w:r>
      <w:r w:rsidRPr="00E14102">
        <w:rPr>
          <w:color w:val="000000" w:themeColor="text1"/>
          <w:sz w:val="16"/>
          <w:szCs w:val="16"/>
        </w:rPr>
        <w:softHyphen/>
        <w:t>гулироваться с помощью специально-</w:t>
      </w:r>
    </w:p>
    <w:p w14:paraId="2EF276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го ключа путем вращения подъемника соединенного с узлом крепления на передней кромке.</w:t>
      </w:r>
    </w:p>
    <w:p w14:paraId="26A5BA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Вертикальное оперение свободно-несущее. Оно крепилось хомутами к концевым шпангоутам фюзеляжа и имело силовую схему и конструкцию аналогичную горизонтальному опере</w:t>
      </w:r>
      <w:r w:rsidRPr="00E14102">
        <w:rPr>
          <w:color w:val="000000" w:themeColor="text1"/>
          <w:sz w:val="16"/>
          <w:szCs w:val="16"/>
        </w:rPr>
        <w:softHyphen/>
        <w:t>нию. Для контроля состояния узлов крепления вертикального оперения и костыля необходимо было снимать хвостовой обтекатель фюзеляжа (на испытаниях не устанавливался).</w:t>
      </w:r>
    </w:p>
    <w:p w14:paraId="3EFD7F9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Управление самолетом сделано двойным, причем вторая ручка съем</w:t>
      </w:r>
      <w:r w:rsidRPr="00E14102">
        <w:rPr>
          <w:color w:val="000000" w:themeColor="text1"/>
          <w:sz w:val="16"/>
          <w:szCs w:val="16"/>
        </w:rPr>
        <w:softHyphen/>
        <w:t>ная. Управление рулем высоты смешан</w:t>
      </w:r>
      <w:r w:rsidRPr="00E14102">
        <w:rPr>
          <w:color w:val="000000" w:themeColor="text1"/>
          <w:sz w:val="16"/>
          <w:szCs w:val="16"/>
        </w:rPr>
        <w:softHyphen/>
        <w:t>ное - под кабиной и багажником жес</w:t>
      </w:r>
      <w:r w:rsidRPr="00E14102">
        <w:rPr>
          <w:color w:val="000000" w:themeColor="text1"/>
          <w:sz w:val="16"/>
          <w:szCs w:val="16"/>
        </w:rPr>
        <w:softHyphen/>
        <w:t>ткое, далее тросовое и после качалки жесткие тяги шли к рулю. Управление элеронами жесткое, а рулем направ</w:t>
      </w:r>
      <w:r w:rsidRPr="00E14102">
        <w:rPr>
          <w:color w:val="000000" w:themeColor="text1"/>
          <w:sz w:val="16"/>
          <w:szCs w:val="16"/>
        </w:rPr>
        <w:softHyphen/>
        <w:t>ления тросовое. Педали двойного уп</w:t>
      </w:r>
      <w:r w:rsidRPr="00E14102">
        <w:rPr>
          <w:color w:val="000000" w:themeColor="text1"/>
          <w:sz w:val="16"/>
          <w:szCs w:val="16"/>
        </w:rPr>
        <w:softHyphen/>
        <w:t>равления связаны поперечной тру</w:t>
      </w:r>
      <w:r w:rsidRPr="00E14102">
        <w:rPr>
          <w:color w:val="000000" w:themeColor="text1"/>
          <w:sz w:val="16"/>
          <w:szCs w:val="16"/>
        </w:rPr>
        <w:softHyphen/>
        <w:t>бой. Тяги идущие к элеронам имели специальные легкоразъемные замки, что облегчало их расстыковку при Взлетно-посадочные устройства самолета ВВА-1 включали в себя ос</w:t>
      </w:r>
      <w:r w:rsidRPr="00E14102">
        <w:rPr>
          <w:color w:val="000000" w:themeColor="text1"/>
          <w:sz w:val="16"/>
          <w:szCs w:val="16"/>
        </w:rPr>
        <w:softHyphen/>
        <w:t>новные опоры шасси, костыльную ус</w:t>
      </w:r>
      <w:r w:rsidRPr="00E14102">
        <w:rPr>
          <w:color w:val="000000" w:themeColor="text1"/>
          <w:sz w:val="16"/>
          <w:szCs w:val="16"/>
        </w:rPr>
        <w:softHyphen/>
        <w:t>тановку, щелевые закрылки на верхнем крыле и щитки типа Нортон-Шренк на нижнем. Максимальный угол открытия закрылков 30°, щитков - 45°. Основ</w:t>
      </w:r>
      <w:r w:rsidRPr="00E14102">
        <w:rPr>
          <w:color w:val="000000" w:themeColor="text1"/>
          <w:sz w:val="16"/>
          <w:szCs w:val="16"/>
        </w:rPr>
        <w:softHyphen/>
        <w:t>ные опоры шасси имели обтекаемую форму. Они оснащались резиновыми амортизаторами (работающие на сжа</w:t>
      </w:r>
      <w:r w:rsidRPr="00E14102">
        <w:rPr>
          <w:color w:val="000000" w:themeColor="text1"/>
          <w:sz w:val="16"/>
          <w:szCs w:val="16"/>
        </w:rPr>
        <w:softHyphen/>
        <w:t>тие резиновые кольца, ход около 150 мм) и нетормозными колесами 700x100. Полуоси изготавливались из труб хромомолибденовой термически обработанной стали размером 44x40. Костыль также имел резиновую амор</w:t>
      </w:r>
      <w:r w:rsidRPr="00E14102">
        <w:rPr>
          <w:color w:val="000000" w:themeColor="text1"/>
          <w:sz w:val="16"/>
          <w:szCs w:val="16"/>
        </w:rPr>
        <w:softHyphen/>
        <w:t>тизацию (шесть колец 1б-мм резино</w:t>
      </w:r>
      <w:r w:rsidRPr="00E14102">
        <w:rPr>
          <w:color w:val="000000" w:themeColor="text1"/>
          <w:sz w:val="16"/>
          <w:szCs w:val="16"/>
        </w:rPr>
        <w:softHyphen/>
        <w:t>вого шнура) и свободно ориентиро</w:t>
      </w:r>
      <w:r w:rsidRPr="00E14102">
        <w:rPr>
          <w:color w:val="000000" w:themeColor="text1"/>
          <w:sz w:val="16"/>
          <w:szCs w:val="16"/>
        </w:rPr>
        <w:softHyphen/>
        <w:t>вался во все стороны. Вместо вилки с колесом могустанавливаться костыль</w:t>
      </w:r>
      <w:r w:rsidRPr="00E14102">
        <w:rPr>
          <w:color w:val="000000" w:themeColor="text1"/>
          <w:sz w:val="16"/>
          <w:szCs w:val="16"/>
        </w:rPr>
        <w:softHyphen/>
        <w:t>ный наконечник. Колея шасси состав</w:t>
      </w:r>
      <w:r w:rsidRPr="00E14102">
        <w:rPr>
          <w:color w:val="000000" w:themeColor="text1"/>
          <w:sz w:val="16"/>
          <w:szCs w:val="16"/>
        </w:rPr>
        <w:softHyphen/>
        <w:t>ляла 1,8 м, стояночный угол - 11°, угол капотажа -24°.</w:t>
      </w:r>
    </w:p>
    <w:p w14:paraId="1E152B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в соответствии с условиями конкурса оснащался отечественным мотором воздушного охлаждения М-11 с взлетной мощностью 110 л.с. Он кре</w:t>
      </w:r>
      <w:r w:rsidRPr="00E14102">
        <w:rPr>
          <w:color w:val="000000" w:themeColor="text1"/>
          <w:sz w:val="16"/>
          <w:szCs w:val="16"/>
        </w:rPr>
        <w:softHyphen/>
        <w:t>пился к фюзеляжу в четырех точках с помощью восьмистержневой моторамы, изготовленной из стали марки «М». Си</w:t>
      </w:r>
      <w:r w:rsidRPr="00E14102">
        <w:rPr>
          <w:color w:val="000000" w:themeColor="text1"/>
          <w:sz w:val="16"/>
          <w:szCs w:val="16"/>
        </w:rPr>
        <w:softHyphen/>
        <w:t>ловая установка оснащалась двумя ка</w:t>
      </w:r>
      <w:r w:rsidRPr="00E14102">
        <w:rPr>
          <w:color w:val="000000" w:themeColor="text1"/>
          <w:sz w:val="16"/>
          <w:szCs w:val="16"/>
        </w:rPr>
        <w:softHyphen/>
        <w:t xml:space="preserve">потами - </w:t>
      </w:r>
      <w:r w:rsidRPr="00E14102">
        <w:rPr>
          <w:color w:val="000000" w:themeColor="text1"/>
          <w:sz w:val="16"/>
          <w:szCs w:val="16"/>
        </w:rPr>
        <w:lastRenderedPageBreak/>
        <w:t>внутренним и внешним. Для охлаждения мотора внешний капот имел передние регулируемые отверстия, ко</w:t>
      </w:r>
      <w:r w:rsidRPr="00E14102">
        <w:rPr>
          <w:color w:val="000000" w:themeColor="text1"/>
          <w:sz w:val="16"/>
          <w:szCs w:val="16"/>
        </w:rPr>
        <w:softHyphen/>
        <w:t>торые располагались напротив цилин</w:t>
      </w:r>
      <w:r w:rsidRPr="00E14102">
        <w:rPr>
          <w:color w:val="000000" w:themeColor="text1"/>
          <w:sz w:val="16"/>
          <w:szCs w:val="16"/>
        </w:rPr>
        <w:softHyphen/>
        <w:t>дров, и заднюю кольцевую щель. Полет можно было осуществлять также при наличии только внутреннего капота. Специально для самолета ВВА-1 был разработан новый деревянный винт постоянного шага.</w:t>
      </w:r>
    </w:p>
    <w:p w14:paraId="2D2B52E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Питание мотора горючим обеспе</w:t>
      </w:r>
      <w:r w:rsidRPr="00E14102">
        <w:rPr>
          <w:color w:val="000000" w:themeColor="text1"/>
          <w:sz w:val="16"/>
          <w:szCs w:val="16"/>
        </w:rPr>
        <w:softHyphen/>
        <w:t>чивали два бензобака. Главный бак ем</w:t>
      </w:r>
      <w:r w:rsidRPr="00E14102">
        <w:rPr>
          <w:color w:val="000000" w:themeColor="text1"/>
          <w:sz w:val="16"/>
          <w:szCs w:val="16"/>
        </w:rPr>
        <w:softHyphen/>
        <w:t>костью около 100 л располагался в</w:t>
      </w:r>
    </w:p>
    <w:p w14:paraId="72188CF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центроплане над кабиной, а второй бак находился в фюзеляже перед прибор</w:t>
      </w:r>
      <w:r w:rsidRPr="00E14102">
        <w:rPr>
          <w:color w:val="000000" w:themeColor="text1"/>
          <w:sz w:val="16"/>
          <w:szCs w:val="16"/>
        </w:rPr>
        <w:softHyphen/>
        <w:t>ной доской. Подача топлива осуществ</w:t>
      </w:r>
      <w:r w:rsidRPr="00E14102">
        <w:rPr>
          <w:color w:val="000000" w:themeColor="text1"/>
          <w:sz w:val="16"/>
          <w:szCs w:val="16"/>
        </w:rPr>
        <w:softHyphen/>
        <w:t>лялась самотеком. Специальный трой</w:t>
      </w:r>
      <w:r w:rsidRPr="00E14102">
        <w:rPr>
          <w:color w:val="000000" w:themeColor="text1"/>
          <w:sz w:val="16"/>
          <w:szCs w:val="16"/>
        </w:rPr>
        <w:softHyphen/>
        <w:t>ник обеспечивал возможность рабо</w:t>
      </w:r>
      <w:r w:rsidRPr="00E14102">
        <w:rPr>
          <w:color w:val="000000" w:themeColor="text1"/>
          <w:sz w:val="16"/>
          <w:szCs w:val="16"/>
        </w:rPr>
        <w:softHyphen/>
        <w:t>ты от каждого бака отдельно или от обоих вместе. Маслосистема была ана</w:t>
      </w:r>
      <w:r w:rsidRPr="00E14102">
        <w:rPr>
          <w:color w:val="000000" w:themeColor="text1"/>
          <w:sz w:val="16"/>
          <w:szCs w:val="16"/>
        </w:rPr>
        <w:softHyphen/>
        <w:t>логична таковой у самолета У-2.</w:t>
      </w:r>
    </w:p>
    <w:p w14:paraId="32E57F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ВВА-1 имел закрытую кабину. В нормальном варианте в ней размеща</w:t>
      </w:r>
      <w:r w:rsidRPr="00E14102">
        <w:rPr>
          <w:color w:val="000000" w:themeColor="text1"/>
          <w:sz w:val="16"/>
          <w:szCs w:val="16"/>
        </w:rPr>
        <w:softHyphen/>
        <w:t>лось три человека. Кресло пилота на</w:t>
      </w:r>
      <w:r w:rsidRPr="00E14102">
        <w:rPr>
          <w:color w:val="000000" w:themeColor="text1"/>
          <w:sz w:val="16"/>
          <w:szCs w:val="16"/>
        </w:rPr>
        <w:softHyphen/>
        <w:t>ходилось впереди слева, а сзади него диван для двух пассажиров. Кроме этого, предусматривалась установка откидного сиденья справа от пилота, что давало возможность пользовать</w:t>
      </w:r>
      <w:r w:rsidRPr="00E14102">
        <w:rPr>
          <w:color w:val="000000" w:themeColor="text1"/>
          <w:sz w:val="16"/>
          <w:szCs w:val="16"/>
        </w:rPr>
        <w:softHyphen/>
        <w:t>ся вторым управлением. Вход в каби</w:t>
      </w:r>
      <w:r w:rsidRPr="00E14102">
        <w:rPr>
          <w:color w:val="000000" w:themeColor="text1"/>
          <w:sz w:val="16"/>
          <w:szCs w:val="16"/>
        </w:rPr>
        <w:softHyphen/>
        <w:t>ну осуществлялся через две двери, рас</w:t>
      </w:r>
      <w:r w:rsidRPr="00E14102">
        <w:rPr>
          <w:color w:val="000000" w:themeColor="text1"/>
          <w:sz w:val="16"/>
          <w:szCs w:val="16"/>
        </w:rPr>
        <w:softHyphen/>
        <w:t>положенные по обоим бортам фюзе</w:t>
      </w:r>
      <w:r w:rsidRPr="00E14102">
        <w:rPr>
          <w:color w:val="000000" w:themeColor="text1"/>
          <w:sz w:val="16"/>
          <w:szCs w:val="16"/>
        </w:rPr>
        <w:softHyphen/>
        <w:t>ляжа. Окна на дверях имели сдвигаю</w:t>
      </w:r>
      <w:r w:rsidRPr="00E14102">
        <w:rPr>
          <w:color w:val="000000" w:themeColor="text1"/>
          <w:sz w:val="16"/>
          <w:szCs w:val="16"/>
        </w:rPr>
        <w:softHyphen/>
        <w:t>щиеся форточки.</w:t>
      </w:r>
    </w:p>
    <w:p w14:paraId="2951B2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Приборное оборудование включа</w:t>
      </w:r>
      <w:r w:rsidRPr="00E14102">
        <w:rPr>
          <w:color w:val="000000" w:themeColor="text1"/>
          <w:sz w:val="16"/>
          <w:szCs w:val="16"/>
        </w:rPr>
        <w:softHyphen/>
        <w:t>ло: указатель скорости, указатель пово</w:t>
      </w:r>
      <w:r w:rsidRPr="00E14102">
        <w:rPr>
          <w:color w:val="000000" w:themeColor="text1"/>
          <w:sz w:val="16"/>
          <w:szCs w:val="16"/>
        </w:rPr>
        <w:softHyphen/>
        <w:t>рота и скольжения, вариометр, часы, компас, моторный счетчик оборотов, указатели температуры и давления мас</w:t>
      </w:r>
      <w:r w:rsidRPr="00E14102">
        <w:rPr>
          <w:color w:val="000000" w:themeColor="text1"/>
          <w:sz w:val="16"/>
          <w:szCs w:val="16"/>
        </w:rPr>
        <w:softHyphen/>
        <w:t>ла, переключатель магнето и кнопку пус</w:t>
      </w:r>
      <w:r w:rsidRPr="00E14102">
        <w:rPr>
          <w:color w:val="000000" w:themeColor="text1"/>
          <w:sz w:val="16"/>
          <w:szCs w:val="16"/>
        </w:rPr>
        <w:softHyphen/>
        <w:t>кового вибратора. Освещение обеспе</w:t>
      </w:r>
      <w:r w:rsidRPr="00E14102">
        <w:rPr>
          <w:color w:val="000000" w:themeColor="text1"/>
          <w:sz w:val="16"/>
          <w:szCs w:val="16"/>
        </w:rPr>
        <w:softHyphen/>
        <w:t>чивали приборная и кабинная лампы.</w:t>
      </w:r>
    </w:p>
    <w:p w14:paraId="3E3C5FB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строился в мастерских Во</w:t>
      </w:r>
      <w:r w:rsidRPr="00E14102">
        <w:rPr>
          <w:color w:val="000000" w:themeColor="text1"/>
          <w:sz w:val="16"/>
          <w:szCs w:val="16"/>
        </w:rPr>
        <w:softHyphen/>
        <w:t>енной Воздушной Академии (10742).</w:t>
      </w:r>
    </w:p>
    <w:p w14:paraId="2D30865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99E54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в Иркутске был выпущен АРК-Z А.И.Злоказова (1076,630).</w:t>
      </w:r>
    </w:p>
    <w:p w14:paraId="0A0C5E02" w14:textId="77777777" w:rsidR="00D4105E" w:rsidRPr="00E14102" w:rsidRDefault="00D4105E" w:rsidP="00E14102">
      <w:pPr>
        <w:autoSpaceDE w:val="0"/>
        <w:autoSpaceDN w:val="0"/>
        <w:adjustRightInd w:val="0"/>
        <w:jc w:val="both"/>
        <w:rPr>
          <w:color w:val="000000" w:themeColor="text1"/>
          <w:sz w:val="16"/>
          <w:szCs w:val="16"/>
        </w:rPr>
      </w:pPr>
    </w:p>
    <w:p w14:paraId="177F24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г. на Балтике в вариант МБР-2ВУ переоборудовали летающие лодки с серийными №№ 31004 и 31008. Всего потребность морской авиации на 1935 г., с учётом вновь формируемых частей торпедных катеров ВУ, определялась в 19 самолётов.</w:t>
      </w:r>
    </w:p>
    <w:p w14:paraId="03B88C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 запуском в серию МБР-2 с двигателем М-34, вариант ВУ строился уже на его базе. Одновременно продолжалось совершенствование аппаратуры волнового управления. в 1938 г. после испытаний на вооружение приняли усовершенствованную систему ЦЛПС, получившую обозначение "Вольт-Р". Самолётная часть аппаратуры включала в себя приборы "Кварц-3", "Кварц-4", "То- паз-3" и "Вольт-Р" (12003). </w:t>
      </w:r>
    </w:p>
    <w:p w14:paraId="59FCE78F" w14:textId="77777777" w:rsidR="00D4105E" w:rsidRPr="00E14102" w:rsidRDefault="00D4105E" w:rsidP="00E14102">
      <w:pPr>
        <w:autoSpaceDE w:val="0"/>
        <w:autoSpaceDN w:val="0"/>
        <w:adjustRightInd w:val="0"/>
        <w:jc w:val="both"/>
        <w:rPr>
          <w:color w:val="000000" w:themeColor="text1"/>
          <w:sz w:val="16"/>
          <w:szCs w:val="16"/>
        </w:rPr>
      </w:pPr>
    </w:p>
    <w:p w14:paraId="564C47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г. испытали "Звено-6", в определенной степени повторявшее "Звено-3", но под крыльями теперь находилась пара монопланов И-16. В январе следующего года Я.И. Алкснис предложил вооружить такими машинами целую бригаду (12036).</w:t>
      </w:r>
    </w:p>
    <w:p w14:paraId="47531DE1" w14:textId="77777777" w:rsidR="00D4105E" w:rsidRPr="00E14102" w:rsidRDefault="00D4105E" w:rsidP="00E14102">
      <w:pPr>
        <w:autoSpaceDE w:val="0"/>
        <w:autoSpaceDN w:val="0"/>
        <w:adjustRightInd w:val="0"/>
        <w:jc w:val="both"/>
        <w:rPr>
          <w:color w:val="000000" w:themeColor="text1"/>
          <w:sz w:val="16"/>
          <w:szCs w:val="16"/>
        </w:rPr>
      </w:pPr>
    </w:p>
    <w:p w14:paraId="34BEC2FD" w14:textId="77777777" w:rsidR="00705486" w:rsidRPr="00E14102" w:rsidRDefault="00705486" w:rsidP="00E14102">
      <w:pPr>
        <w:jc w:val="both"/>
        <w:rPr>
          <w:color w:val="0070C0"/>
          <w:sz w:val="16"/>
          <w:szCs w:val="16"/>
        </w:rPr>
      </w:pPr>
      <w:r w:rsidRPr="00E14102">
        <w:rPr>
          <w:color w:val="0070C0"/>
          <w:sz w:val="16"/>
          <w:szCs w:val="16"/>
        </w:rPr>
        <w:t>Летом 1935 г. на первом экземпляре А-8 при проведе</w:t>
      </w:r>
      <w:r w:rsidRPr="00E14102">
        <w:rPr>
          <w:color w:val="0070C0"/>
          <w:sz w:val="16"/>
          <w:szCs w:val="16"/>
        </w:rPr>
        <w:softHyphen/>
        <w:t>нии ремонта после аварии решили установить V-образное хвостовое оперение, обычно называемое «оперением Рудлицкого». Такое оперение изготовили и установили на ав</w:t>
      </w:r>
      <w:r w:rsidRPr="00E14102">
        <w:rPr>
          <w:color w:val="0070C0"/>
          <w:sz w:val="16"/>
          <w:szCs w:val="16"/>
        </w:rPr>
        <w:softHyphen/>
        <w:t>тожир, однако параллельно нововведение применительно к А-8 подверглось подробным аэродинамическим иссле</w:t>
      </w:r>
      <w:r w:rsidRPr="00E14102">
        <w:rPr>
          <w:color w:val="0070C0"/>
          <w:sz w:val="16"/>
          <w:szCs w:val="16"/>
        </w:rPr>
        <w:softHyphen/>
        <w:t>дованиям в ЦАГИ. Выяснилось, что при установке «оперения Рудлицкого» на А-8 при повышении путевой устойчи</w:t>
      </w:r>
      <w:r w:rsidRPr="00E14102">
        <w:rPr>
          <w:color w:val="0070C0"/>
          <w:sz w:val="16"/>
          <w:szCs w:val="16"/>
        </w:rPr>
        <w:softHyphen/>
        <w:t>вости заметно уменьшится запас рулей высоты и их эф</w:t>
      </w:r>
      <w:r w:rsidRPr="00E14102">
        <w:rPr>
          <w:color w:val="0070C0"/>
          <w:sz w:val="16"/>
          <w:szCs w:val="16"/>
        </w:rPr>
        <w:softHyphen/>
        <w:t>фективность. Использование такого оперения на автожи</w:t>
      </w:r>
      <w:r w:rsidRPr="00E14102">
        <w:rPr>
          <w:color w:val="0070C0"/>
          <w:sz w:val="16"/>
          <w:szCs w:val="16"/>
        </w:rPr>
        <w:softHyphen/>
        <w:t>ре признали нецелесообразным, поэтому А-8 с V-образ</w:t>
      </w:r>
      <w:r w:rsidRPr="00E14102">
        <w:rPr>
          <w:color w:val="0070C0"/>
          <w:sz w:val="16"/>
          <w:szCs w:val="16"/>
        </w:rPr>
        <w:softHyphen/>
        <w:t>ным хвостовым оперением на испытания не передавался (20361).</w:t>
      </w:r>
    </w:p>
    <w:p w14:paraId="154B26AD" w14:textId="77777777" w:rsidR="00705486" w:rsidRPr="00E14102" w:rsidRDefault="00705486" w:rsidP="00E14102">
      <w:pPr>
        <w:shd w:val="clear" w:color="auto" w:fill="FFFFFF"/>
        <w:jc w:val="both"/>
        <w:rPr>
          <w:color w:val="0070C0"/>
          <w:sz w:val="16"/>
          <w:szCs w:val="16"/>
        </w:rPr>
      </w:pPr>
    </w:p>
    <w:p w14:paraId="5AAE11BC" w14:textId="77777777" w:rsidR="00E55099" w:rsidRPr="00E14102" w:rsidRDefault="00E55099" w:rsidP="00E14102">
      <w:pPr>
        <w:jc w:val="both"/>
        <w:rPr>
          <w:color w:val="000000" w:themeColor="text1"/>
          <w:sz w:val="16"/>
          <w:szCs w:val="16"/>
        </w:rPr>
      </w:pPr>
      <w:r w:rsidRPr="00E14102">
        <w:rPr>
          <w:color w:val="000000" w:themeColor="text1"/>
          <w:sz w:val="16"/>
          <w:szCs w:val="16"/>
        </w:rPr>
        <w:t>Летом 1935 г. начались летные испытания высотных планеров. Начали с разработки буксировочной лебёдки, которою необходимо было установить на самолёт П-5 и на второе место планера Г-14. Барабан лебёдки должен был вмещать до 7 км проволоки марки ОВС диаметром от 1,2 до 2 мм. Вес этой стальной нити составлял около 70 кг, то есть равнялся весу человека. В начале проволоки закреплялся трос длиной в 100 метров и диаметром 6 мм. При взлёте буксировочного поезда, когда в связи появляются повышенные нагрузки, использовался этот участок троса, затем планер удерживался на стальной проволоке. Лебёдка должна была иметь надёжный тормоз и устройство для измерения усилий в буксировочной связи.</w:t>
      </w:r>
    </w:p>
    <w:p w14:paraId="62EB40B2" w14:textId="77777777" w:rsidR="00E55099" w:rsidRPr="00E14102" w:rsidRDefault="00E55099" w:rsidP="00E14102">
      <w:pPr>
        <w:jc w:val="both"/>
        <w:rPr>
          <w:color w:val="000000" w:themeColor="text1"/>
          <w:sz w:val="16"/>
          <w:szCs w:val="16"/>
        </w:rPr>
      </w:pPr>
      <w:r w:rsidRPr="00E14102">
        <w:rPr>
          <w:color w:val="000000" w:themeColor="text1"/>
          <w:sz w:val="16"/>
          <w:szCs w:val="16"/>
        </w:rPr>
        <w:t>Первый буксировочный поезд состоял из самолёта П-5 и планера Г-9. В полёте на высоте 1000 м была опробована лебёдка, выпущена проволока на 300–400 м и дана команда планеристу набирать максимальное превышение над самолётом. Эффект был поразительный: планер летел почти в зените над самолётом, имея 300 м превышения. В следующих восьми полётах техника буксировки совершенствовалась и высота полётов увеличивалась. В сентябре 1935 г. лётчик К.М. Венслав на Г-9 достиг высоты 7000 м, при этом он поднялся над буксирующим его самолётом на рекордные 4000 м. На этой высоте Венслав отцепил трос и спланировал к месту взлёта (17489).</w:t>
      </w:r>
    </w:p>
    <w:p w14:paraId="761DDFFA" w14:textId="77777777" w:rsidR="00E55099" w:rsidRPr="00E14102" w:rsidRDefault="00E55099" w:rsidP="00E14102">
      <w:pPr>
        <w:jc w:val="both"/>
        <w:rPr>
          <w:color w:val="000000" w:themeColor="text1"/>
          <w:sz w:val="16"/>
          <w:szCs w:val="16"/>
        </w:rPr>
      </w:pPr>
    </w:p>
    <w:p w14:paraId="732668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Летом 1935 г. один М-5 в мастерских НИИ ВВС под руководством П.Н. Павлючука был оснащен турбонагнетателем «Дженерал электрик». Летные испытания проходили на самолете Р-1 в июле — октябре 1935 г. в НИИ ВВС. Это были первые полеты с турбонаддувом в Советском Союзе. Всего в июле - октябре 1935 г. Р-1 с таким двигателем совершил 17 полетов. Но М-5 для этого эксперимента использовали, видимо, просто потому, что он подходил к параметрам нагнетателя. Экспериментаторов интересовал исключительно сам турбонагнетатель и его возможности (11852).</w:t>
      </w:r>
    </w:p>
    <w:p w14:paraId="238648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18A28E0" w14:textId="77777777" w:rsidR="00A45C9C" w:rsidRPr="00E14102" w:rsidRDefault="00A45C9C" w:rsidP="00E14102">
      <w:pPr>
        <w:jc w:val="both"/>
        <w:rPr>
          <w:color w:val="000000" w:themeColor="text1"/>
          <w:sz w:val="16"/>
          <w:szCs w:val="16"/>
        </w:rPr>
      </w:pPr>
      <w:r w:rsidRPr="00E14102">
        <w:rPr>
          <w:color w:val="000000" w:themeColor="text1"/>
          <w:sz w:val="16"/>
          <w:szCs w:val="16"/>
        </w:rPr>
        <w:t>С лета 1935 г. в КБ-2 УВИ проектировался безкривошипный дизель компрессор (турбина) БК-3. Рабочие чертежи на один опытный цилиндр дизель компрессора были закончены в 1936 г. и переданы на завод «Русский дизель» для изготовления. По договору завод был обязан сдать работу к 1 августа 1937 г. (12702).</w:t>
      </w:r>
    </w:p>
    <w:p w14:paraId="5C4F0220"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p>
    <w:p w14:paraId="5E115D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1935-го в НИИ ВВС проходил испытания бортовой переносный шкворень под пулемет ДА для РД - АНТ-36 (160).</w:t>
      </w:r>
    </w:p>
    <w:p w14:paraId="5B2C2E0A" w14:textId="77777777" w:rsidR="00D4105E" w:rsidRPr="00E14102" w:rsidRDefault="00D4105E" w:rsidP="00E14102">
      <w:pPr>
        <w:autoSpaceDE w:val="0"/>
        <w:autoSpaceDN w:val="0"/>
        <w:adjustRightInd w:val="0"/>
        <w:jc w:val="both"/>
        <w:rPr>
          <w:color w:val="000000" w:themeColor="text1"/>
          <w:sz w:val="16"/>
          <w:szCs w:val="16"/>
        </w:rPr>
      </w:pPr>
    </w:p>
    <w:p w14:paraId="48EF1F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Летом 1935с г. был построен дирижабль ЦАГИ полужесткой схемы об"емом 20-25,000 м</w:t>
      </w:r>
      <w:r w:rsidRPr="00E14102">
        <w:rPr>
          <w:color w:val="000000" w:themeColor="text1"/>
          <w:sz w:val="16"/>
          <w:szCs w:val="16"/>
          <w:vertAlign w:val="superscript"/>
        </w:rPr>
        <w:t>3,</w:t>
      </w:r>
      <w:r w:rsidRPr="00E14102">
        <w:rPr>
          <w:color w:val="000000" w:themeColor="text1"/>
          <w:sz w:val="16"/>
          <w:szCs w:val="16"/>
        </w:rPr>
        <w:t xml:space="preserve"> Дирижабли обоих указанных типов могут быть использованы на службе военного ведомства.Что касается постройки дири</w:t>
      </w:r>
      <w:r w:rsidRPr="00E14102">
        <w:rPr>
          <w:color w:val="000000" w:themeColor="text1"/>
          <w:sz w:val="16"/>
          <w:szCs w:val="16"/>
        </w:rPr>
        <w:softHyphen/>
        <w:t>жаблей жесткой системы, то первый опытный жесткий дирижабль об"емом до 15,000 м ЦАГИ дает летом 1933 г. года, а дирижабль этой же системы об"емом до 50,000 м - летом 1935 года. Последним указанным дирижаблем ЦАГИ заканчивает свои опытные работы по дирижаблестроению, каковые работы, выявив в своем конечном результате наиболее приемлемую в условиях нашего Союза конструкцию, должны послужить в дальнейшем базой для развития в СССР постройки дирижаблей нужных нам типов.</w:t>
      </w:r>
    </w:p>
    <w:p w14:paraId="18A40A7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Приняв план работ и смету ЦАГИ, НТУ ВСНХ возбуждает ходатайство перед Президиумом ВСНХ СССР о разрешении те</w:t>
      </w:r>
      <w:r w:rsidRPr="00E14102">
        <w:rPr>
          <w:color w:val="000000" w:themeColor="text1"/>
          <w:sz w:val="16"/>
          <w:szCs w:val="16"/>
        </w:rPr>
        <w:softHyphen/>
        <w:t>перь же приступить к развертыванию в Союзе научно-исследовательские работы и опытно-конструкторской работы воб</w:t>
      </w:r>
      <w:r w:rsidRPr="00E14102">
        <w:rPr>
          <w:color w:val="000000" w:themeColor="text1"/>
          <w:sz w:val="16"/>
          <w:szCs w:val="16"/>
        </w:rPr>
        <w:softHyphen/>
        <w:t>ласти дирижаблестроения, поручив в основном и целом органи</w:t>
      </w:r>
      <w:r w:rsidRPr="00E14102">
        <w:rPr>
          <w:color w:val="000000" w:themeColor="text1"/>
          <w:sz w:val="16"/>
          <w:szCs w:val="16"/>
        </w:rPr>
        <w:softHyphen/>
        <w:t>зацию и проведение этих работ ЦАГИ.</w:t>
      </w:r>
    </w:p>
    <w:p w14:paraId="683134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Считая вполне целесообразные и своевременным присту</w:t>
      </w:r>
      <w:r w:rsidRPr="00E14102">
        <w:rPr>
          <w:color w:val="000000" w:themeColor="text1"/>
          <w:sz w:val="16"/>
          <w:szCs w:val="16"/>
        </w:rPr>
        <w:softHyphen/>
        <w:t>пить к развитию дирижаблестроения вСССР, УВВС РККА присо</w:t>
      </w:r>
      <w:r w:rsidRPr="00E14102">
        <w:rPr>
          <w:color w:val="000000" w:themeColor="text1"/>
          <w:sz w:val="16"/>
          <w:szCs w:val="16"/>
        </w:rPr>
        <w:softHyphen/>
        <w:t>единяется к ходатайству НТУ ВСНХ и просит вас поддержать это ходатайство перед Президиумом ВСНХ СССР, с тем.чтобы, дав ЦАГИ отпуском необходимых средств возможность уже осенью текущего года приступить к работам по опытному дирижаблестроению, обеспечить в дальнейшем плановость на</w:t>
      </w:r>
      <w:r w:rsidRPr="00E14102">
        <w:rPr>
          <w:color w:val="000000" w:themeColor="text1"/>
          <w:sz w:val="16"/>
          <w:szCs w:val="16"/>
        </w:rPr>
        <w:softHyphen/>
        <w:t>меченных работ и тем гарантировать своевременное созда</w:t>
      </w:r>
      <w:r w:rsidRPr="00E14102">
        <w:rPr>
          <w:color w:val="000000" w:themeColor="text1"/>
          <w:sz w:val="16"/>
          <w:szCs w:val="16"/>
        </w:rPr>
        <w:softHyphen/>
        <w:t>ние в СССР на прочных основаниях производственного центра по дирижаблестроению.</w:t>
      </w:r>
    </w:p>
    <w:p w14:paraId="42A65D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Размер средств, в соответствии с представленным планом, на 1928/29 г., определяется суммой 1.700.000 рублей.</w:t>
      </w:r>
    </w:p>
    <w:p w14:paraId="035105E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ПРИЛОЖЕНИЕ: проект сношения Председателя РВС СССР на имя Президиума ВСНХ СССР.</w:t>
      </w:r>
    </w:p>
    <w:p w14:paraId="565D1D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НАЧАЛЬНИК ВОЕННЫХ ВОЗДУШНЫХ СИЛ РККА /БАРАНОВ/</w:t>
      </w:r>
    </w:p>
    <w:p w14:paraId="4D467C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ЦАСА, ф. 4, оп. 2, д.. 398, л.л. 1-6 (1026,64).</w:t>
      </w:r>
    </w:p>
    <w:p w14:paraId="242C21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C10BF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на испытания был передан первый экспериментальный аппарат на воздушной подушке Л-1 В.И.Левкова и испытывал А.Коршунов на Плещеевом озере недалеко от Переяславля-Залесского. Цельнодеревянный с 3хМ-11 (1040,25).</w:t>
      </w:r>
    </w:p>
    <w:p w14:paraId="3998D6D5" w14:textId="77777777" w:rsidR="00D4105E" w:rsidRPr="00E14102" w:rsidRDefault="00D4105E" w:rsidP="00E14102">
      <w:pPr>
        <w:autoSpaceDE w:val="0"/>
        <w:autoSpaceDN w:val="0"/>
        <w:adjustRightInd w:val="0"/>
        <w:jc w:val="both"/>
        <w:rPr>
          <w:color w:val="000000" w:themeColor="text1"/>
          <w:sz w:val="16"/>
          <w:szCs w:val="16"/>
        </w:rPr>
      </w:pPr>
    </w:p>
    <w:p w14:paraId="377678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Летом 1935 г. экспериментальный аппарат на воздушной подушке Л-1 был передан на испытания. Они проводились в Переславле-Залесском, на знаменитом Плещеевом озере, где 240 лет назад учился строить корабли Петр I. Испытывал Л-1 А. Коршунов. Максимальная масса аппарата 1,5 т; кабина трехместная. Конструкция — цельнодеревянная, с фанерной обшивкой. Аппарат имел три звездообразных пятицилиндровых двигателя М-11 (по ПО л.с.) и был выполнен по камерной схеме. По бортам корпуса воздушную подушку ограничивали два водоизмещающих по-плавка-скега. В носовой и хвостовой частях корпуса ее ограничивала струйная завеса, создаваемая двумя двухлопастными деревянными воздушными винтами с горизонтальной плоскостью вращения. Воздушные винты, расположенные непосредственно на валах двух двигателей, нагнетали воздух под платформу, соединяющую скеги, обеспечивая заданное давление в воздушной подушке и охлаждая двигатели. Третий —маршевый — двигатель находился на пилоне и обеспечивал горизонтальное перемещение аппарата с помощью тянущего воздушного винта. Система управления Л-1 состояла из воздушных рулей, расположенных в воздушном потоке от винтов. При вертикальном расположении поток, не отклоняясь, шел вниз, и аппарат зависал над землей на воздушной подушке. При отклонении рулей воздушный поток отклонялся и заставлял аппарат двигаться вперед, если рули направляли поток назад. Для движения назад воздух из-под корпуса направлялся вперед. Для изменения дифферента (продольного угла наклона) и для управления по крену имелись кили с рулями поворота и стабилизатор с горизонтальным рулем. Рулевые органы, расположенные снаружи и внутри корпуса, имели сложную зависимую систему отклонения. При испытаниях Л-1, которые прошли успешно и продемонстрировали перспективность нового вида транспорта, были выявлены возможности упрощения конструкции. Например, третья тянущая винтомоторная установка оказалась лишней, и ее сняли. Упростили систему наружных и внутренних рулей, мощность двух подъемных двигателей увеличили, установив более мощные моторы М-11Е (по 140 л.с). Об удачных испытаниях первого в мире аппарата на </w:t>
      </w:r>
      <w:r w:rsidRPr="00E14102">
        <w:rPr>
          <w:color w:val="000000" w:themeColor="text1"/>
          <w:sz w:val="16"/>
          <w:szCs w:val="16"/>
        </w:rPr>
        <w:lastRenderedPageBreak/>
        <w:t>воздушной подушке в научно-мемориальном музее Н. Е. Жуковского имеется снятый в 1935 г. документальный фильм. Л-1 стал прототипом учебно-тренировочного аппарата Л-9 деревянной конструкции (максимальная полетная масса 2250 кг), который строился серийно (около десяти аппаратов) в 1938— 1939 гг. Двигатели М-11 были заменены на новом аппарате специально конвертированными, приспособленными для работы в горизонтальном положении в морских условиях (в частности, была изменена маслосистема). Этот двигатель получил обозначение МГ-21. Вскоре после испытаний Л-1 под руководством Левкова начато проектирование нового аппарата на воздушной подушке Л-5 металлической конструкции. Аппарат катамаранного типа, корпус длиной 24 м, шириной 5,35 м из алюминиевых сплавов. В средней части корпуса — кабина пилота-оператора и бортмеханика, за ней — небольшой салон для пассажиров. Аппарат Л-5 строился в УПМ МАИ. В 1937 г. он был передан на испытания, проводившиеся на Балтийском море, в районе Ленинграда. Головной опытный аппарат на воздушной подушке Л-5 имел два мотора М-25 мощностью 890 л.с. Максимальная взлетная масса 8600 кг. Серийные образцы аппаратов обозначались Л-5с, имели более мощные двигатели М-62 (1000 л.с), водоизмещение — 11300 кг. Несколько серийных аппаратов на воздушной подушке Л-5с вошли в состав дивизиона торпедных катеров Балтийского флота. Аппарат имел довольно простое управление, обладал заданной устойчивостью и управляемостью. В кабине располагались органы управления самолетного типа — штурвал и пост управления двигателями. Аппарат хорошо маневрировал как над водой, так и над сушей. Максимальная высота парения 0,2—0,3 м. Л-5 легко преодолевал болота, прибрежные отмели и низкорослый кустарник. На скоростных испытаниях Л-5 удалось показать исключительную максимальную скорость хода на воде — 72,8 узла (131 км/ч). Перед испытаниями была предельно (до 8100 кг) уменьшена полетная масса. Главными достоинствами Л-5 были: высокая мореходность (4 балла), большая скорость, хорошая маневренность и высокие амфибийные свойства. В 1938 г. было решено использовать аппарат Левкова для снятия папанинцев с дрейфующей станции «Северный полюс». Для этого серийный аппарат Л-5с предполагалось доставить в район дрейфа станции на борту ледокола «Ермак». Однако, когда Л-5с шел из Кронштадта по льду к ледоколу, он получил сильные повреждения при столкновении с ледяным торосом. От использования Л-5с в спасательной экспедиции пришлось отказаться. В 1939 г. ОКБ Левкова выделилось из МАИ, и В. И. Левков возглавил специальное конструкторское бюро аппаратов на воздушной подушке. Трудно переоценить значение аппаратов на воздушной подушке, созданных в МАИ. Это были не только первые в мире суда на воздушной подушке: важно и то, что они строились серийно и эксплуатировались систематически, решая определенные транспортные задачи. За рубежом первые аппараты на воздушной подушке появились лишь в 1959 г. Необходимо отметить и выполненные в МАИ первые теоретические работы по аппаратам на динамической воздушной подушке, которые используют в полете эффект влияния близости земли. В 1937 г. студент-дипломник Я. Серебрийский представил к защите работу «О влиянии близости земли на аэродинамические характеристики ЛА, летящего над землей». Следующая работа Я. М. Серебрийского, уже аспиранта МАИ, «Аэродинамика упругого крыла» стала победительницей в конкурсе научных работ, организованных ЦК ВЛКСМ и АН СССР. Успешные работы В. И. Левкова по созданию аппаратов на воздушной подушке явились наглядным примером для многих изобретателей и энтузиастов нового направления техники (12075).</w:t>
      </w:r>
    </w:p>
    <w:p w14:paraId="56E88049" w14:textId="77777777" w:rsidR="00D4105E" w:rsidRPr="00E14102" w:rsidRDefault="00D4105E" w:rsidP="00E14102">
      <w:pPr>
        <w:autoSpaceDE w:val="0"/>
        <w:autoSpaceDN w:val="0"/>
        <w:adjustRightInd w:val="0"/>
        <w:jc w:val="both"/>
        <w:rPr>
          <w:color w:val="000000" w:themeColor="text1"/>
          <w:sz w:val="16"/>
          <w:szCs w:val="16"/>
        </w:rPr>
      </w:pPr>
    </w:p>
    <w:p w14:paraId="308E4A23" w14:textId="77777777" w:rsidR="00BF0488" w:rsidRPr="00E14102" w:rsidRDefault="00BF0488"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Летом 1935 года стартовал «СССР-16ис». Его экипаж – Х.Я. Зилле, Ю.П. Прилуцкий и А.Б. Вериго – достиг высоты 16 000</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 Внезапно начался самопроизвольный спуск. Скорость падения стратостата нарастала. Гондолу трясло и мотало во все стороны. Стало ясно, что из оболочки уходит водород. По приказу командира на высоте 3000</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 Прилуцкий и профессор Вериго покинули борт стратостата, а Зилле мягко посадил аварийный воздухоплавательный аппарат (19611).</w:t>
      </w:r>
    </w:p>
    <w:p w14:paraId="5DBEDD7B" w14:textId="77777777" w:rsidR="00BF0488" w:rsidRPr="00E14102" w:rsidRDefault="00BF0488" w:rsidP="00E14102">
      <w:pPr>
        <w:pStyle w:val="ad"/>
        <w:shd w:val="clear" w:color="auto" w:fill="FFFFFF"/>
        <w:spacing w:before="0" w:after="0"/>
        <w:rPr>
          <w:rFonts w:ascii="Times New Roman" w:hAnsi="Times New Roman" w:cs="Times New Roman"/>
          <w:color w:val="000000" w:themeColor="text1"/>
          <w:sz w:val="16"/>
          <w:szCs w:val="16"/>
          <w:lang w:val="ru-RU"/>
        </w:rPr>
      </w:pPr>
    </w:p>
    <w:p w14:paraId="7E439D6F" w14:textId="77777777" w:rsidR="00BF0488" w:rsidRPr="00E14102" w:rsidRDefault="00BF0488"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Летом 1935 года после готовности стратостата СССР-3 его неоднократно пытались запустить, ловили погоду, но без особого успеха. Пытались взлететь из оврага, но, как оказалось, ветер даже 3 м/сек превращал подготовку старта в рискованное мероприятие. Различными специалистами в этот период предлагаются «надежные» безветренные места — Энгельс (школа летчиков), Вольск, «Николина гора» под Москвой. Последний из указанных вариантов представлял собой площадку в 16 км восточнее Звенигорода, окаймленную возвышенностью до 60-80 м.</w:t>
      </w:r>
    </w:p>
    <w:p w14:paraId="02FB9ECB" w14:textId="77777777" w:rsidR="00BF0488" w:rsidRPr="00E14102" w:rsidRDefault="00BF0488"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Активная подготовка, в которой явно угадывалось нетерпение участников и готовность даже к самопожертвованию, начинала нервировать руководство (в частности Ворошилова), которое после произошедших неудач не хотело более рисковать и требовало максимальной уверенности в успехе. Наконец, 23 августа 1935 года последовало постановление СНК № 1872 «О полетах в стратосферу», которое утвердил Председатель Совета В.М.Молотов. Смысл постановления был прост и понятен: запретить все полеты в стратосферу без особого разрешения ЦК и СНК. Чуть более чем через две недели, 10 сентября 1935 года, нарком обороны К.Е.Ворошилов на докладе Я.И.Алксниса о готовности стратостата «СССР-3» к полету начертал:</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«Полет запретить. Если кто хочет летать, пусть сначала как следует подготовится, а потом уже «горит желанием получить орден».</w:t>
      </w:r>
    </w:p>
    <w:p w14:paraId="0A0781C7" w14:textId="77777777" w:rsidR="00BF0488" w:rsidRPr="00E14102" w:rsidRDefault="00BF0488"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Отмена рекордного полета в 1935 году на самом деле не означала, что опыты с подъемом на высоту на аппаратах легче воздуха закончились. Жизнь, служба и полеты воздухоплавателей продолжались. 2 октября 1935 года Прокофьев и Семенов совершили полет на сферическом аэростате с открытой гондолой на высоту 9300 метров и приземлились в 80 км от Москвы у деревни Софьино. Это был опытный полет с новым кислородным оборудованием. Кроме того, посадку удалось осуществить с полностью заполненной, почти шарообразной оболочкой. При снижении пилоты впускали в оболочку воздух и смешивали его с газом. В соответствии с заранее разработанным планом часть полета проходила ночью, так как в 1936 году планировалось запустить аэростат для исследования солнечного затмения.</w:t>
      </w:r>
    </w:p>
    <w:p w14:paraId="5D0A7354" w14:textId="77777777" w:rsidR="00BF0488" w:rsidRPr="00E14102" w:rsidRDefault="00BF0488"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Вся указанная деятельность и подготовка стратостатов происходили при Опытно-испытательном воздухоплавательном дивизионе, базирующемся в Кунцево. Это подразделение развилось из 2-го дивизиона аэростатов наблюдения, сформированного в 1926 году. Затем здесь стали экспериментировать с аэростатами заграждения, в 1935 году образовали стратосферное отделение. Командиром дивизиона являлся полковник Прокофьев, в его подчинении находились 20 инженеров, 70 человек командного и технического состава, 217 красноармейцев. Нужно отметить, что деятельность дивизиона происходила в непростых условиях, к личности Прокофьева в руководстве ВВС с определенного момента наметилось негативное отношение. В такой области как воздухоплавание, где далеко не все зависит от человеческих возможностей, весьма сложно было обойтись без летных происшествий. Именно такой случай произошел на учебных подъемах дивизиона в Звенигороде 20 июня 1936 года. В результате сильной грозы и последующего попадания молнии 9 аэростатов сгорело, еще 8 унесло шквалистым ветром. После этого дивизион обследовала специальная комиссия, которая припомнила многие другие происшествия и недостатки, в том числе и случай со сгоревшей оболочкой «СССР-2». В 1937 году обстановка еще более обострилась, участились проверки, арестовали директора завода № 39 Марголина, а Прокофьева 11 августа 1937 года личным приказом Я.И.Алксниса сняли с командования дивизионом. Однако он по-прежнему оставался командиром экипажа, определенного для осуществления рекордного полета.</w:t>
      </w:r>
    </w:p>
    <w:p w14:paraId="74F74BA6" w14:textId="77777777" w:rsidR="00BF0488" w:rsidRPr="00E14102" w:rsidRDefault="00BF0488"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Начиная с середины 1935 года для обеспечения безопасного старта «СССР-3» высказывалось много предложений, основной смысл которых сводился к уменьшению высоты стратостата в момент наполнения оболочки. После длительных обсуждений остановились на варианте, в котором на оболочку надевалась особая укорачивающая сетка — корсет, придающая всей системе большую неподвижность. Снималось приспособление выдергиванием специальной стропы, в ходе многократных испытаний его работоспособность вполне подтвердилась. Летом 1937 года «СССР-3» твердо решили запустить. Неоднократно проверяли оболочку и герметичность гондолы, заменили электропроводку, часть приборов. На авиазаводе № 84 изготовили новое приспособление с сеткой, уменьшающей высоту субстратостата на старте до 40-50 м. Герметическую гондолу экипажа для обеспечения аварийного спуска оснастили наружным парашютом.</w:t>
      </w:r>
    </w:p>
    <w:p w14:paraId="4E1E10AC" w14:textId="77777777" w:rsidR="00BF0488" w:rsidRPr="00E14102" w:rsidRDefault="00BF0488"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14 мая 1937 года Прокофьев доложил Начальнику ВВС Алкснису о готовности «СССР-3» к старту. Подготовка на этот раз велась весьма обстоятельно. В специальном постановлении ЦК ВКП (б) в отношении предстоящего запуска стратостата особо указывалось, что всякое освещение предстоящего события впредь до специального разрешения категорически запрещено. Старт должен был состояться за 30 минут до восхода солнца, стартовую команду определили в 326 человек, для связи с экипажем на длинных и коротких волнах изыскали 39 радиоточек, мобилизовали в том числе и радиолюбителей.</w:t>
      </w:r>
    </w:p>
    <w:p w14:paraId="72726994" w14:textId="77777777" w:rsidR="00BF0488" w:rsidRPr="00E14102" w:rsidRDefault="00BF0488"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ночь на 3 сентября 1937 года состоялась очередная попытка старта. Однако при соблюдении мер особой осторожности заполнение газом затянулось, поэтому вместо намеченных 04:00 часов готовность наступила лишь только в 5 часов утра. К этому времени ветер усилился до 4-5 м/сек, поэтому дальнейшие приготовления пришлось отменить: газ выпустили, оболочку снизили.</w:t>
      </w:r>
    </w:p>
    <w:p w14:paraId="2A493D77" w14:textId="77777777" w:rsidR="00BF0488" w:rsidRPr="00E14102" w:rsidRDefault="00BF0488"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Утром 18 сентября 1937 года, в 7 часов 50 минут, на летном поле воздухоплавательного дивизиона в Кунцево в присутствии начальника ВВС Алксниса «СССР-3» вновь наполнили водородом. По причине повышенной влажности к гондоле подвесили увеличенный балласт — стартовый вес стратостата составил 5534 кг вместо 4894 кг.</w:t>
      </w:r>
    </w:p>
    <w:p w14:paraId="56C7CAE2" w14:textId="77777777" w:rsidR="00BF0488" w:rsidRPr="00E14102" w:rsidRDefault="00BF0488"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самый момент старта система полного раскрытия оболочки не сработала, стягивающая сетка — корсет заела. Как выяснилось, из разбухшей от влаги заплетенной косы не вышла стропа разрывного полотнища. Послали наверх на шаре — прыгуне красноармейца, который поднялся и разрезал злополучную стропу. После этого одновременно с отрывом от земли началось полное раскрытие стратостата. Очевидно, в указанный промежуток времени произошло самопроизвольное вскрытие разрывного полотнища оболочки, никем не замеченное.</w:t>
      </w:r>
    </w:p>
    <w:p w14:paraId="49BF12F9" w14:textId="77777777" w:rsidR="00BF0488" w:rsidRPr="00E14102" w:rsidRDefault="00BF0488"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На высоте 700-800 м, когда стратостат полностью раскрылся, наблюдатели с земли отметили начало его снижения, сначала медленного, затем все более ускоряющегося. Через 15 минут после старта «СССР-3» с вертикальной скоростью 7-8 м/сек (по другим данным, 10-12 м/сек) приземлился в четырех километрах от места старта на стадионе авиазавода № 22 в районе Филей. В момент аварийного приземления экипаж получил ранения, поэтому всех троих стратонавтов доставили в Кремлевскую больницу.</w:t>
      </w:r>
    </w:p>
    <w:p w14:paraId="4247B040" w14:textId="77777777" w:rsidR="00BF0488" w:rsidRPr="00E14102" w:rsidRDefault="00BF0488" w:rsidP="00E14102">
      <w:pPr>
        <w:jc w:val="both"/>
        <w:rPr>
          <w:color w:val="000000" w:themeColor="text1"/>
          <w:sz w:val="16"/>
          <w:szCs w:val="16"/>
        </w:rPr>
      </w:pPr>
      <w:r w:rsidRPr="00E14102">
        <w:rPr>
          <w:color w:val="000000" w:themeColor="text1"/>
          <w:sz w:val="16"/>
          <w:szCs w:val="16"/>
          <w:shd w:val="clear" w:color="auto" w:fill="FFFFFF"/>
        </w:rPr>
        <w:t>Комиссия, расследовавшая аварию «СССР-3», определила: </w:t>
      </w:r>
      <w:r w:rsidRPr="00E14102">
        <w:rPr>
          <w:rStyle w:val="a6"/>
          <w:i w:val="0"/>
          <w:color w:val="000000" w:themeColor="text1"/>
          <w:sz w:val="16"/>
          <w:szCs w:val="16"/>
          <w:shd w:val="clear" w:color="auto" w:fill="FFFFFF"/>
        </w:rPr>
        <w:t>«…причиной аварии является самопроизвольное вскрытие разрывного полотнища. Предполагается, что расцепление косы (разрывной вожжи) вследствие ее намокания во время старта (стопроцентная влажность воздуха) происходило с трением, по величине равным усилию, требуемому для вскрытия разрывного полотнища.» (19614).</w:t>
      </w:r>
    </w:p>
    <w:p w14:paraId="53416044" w14:textId="77777777" w:rsidR="00BF0488" w:rsidRPr="00E14102" w:rsidRDefault="00BF0488" w:rsidP="00E14102">
      <w:pPr>
        <w:jc w:val="both"/>
        <w:rPr>
          <w:color w:val="000000" w:themeColor="text1"/>
          <w:sz w:val="16"/>
          <w:szCs w:val="16"/>
        </w:rPr>
      </w:pPr>
    </w:p>
    <w:p w14:paraId="436178B2" w14:textId="77777777" w:rsidR="00705486" w:rsidRPr="00E14102" w:rsidRDefault="00705486" w:rsidP="00E14102">
      <w:pPr>
        <w:jc w:val="both"/>
        <w:rPr>
          <w:color w:val="0070C0"/>
          <w:sz w:val="16"/>
          <w:szCs w:val="16"/>
        </w:rPr>
      </w:pPr>
      <w:r w:rsidRPr="00E14102">
        <w:rPr>
          <w:color w:val="0070C0"/>
          <w:sz w:val="16"/>
          <w:szCs w:val="16"/>
        </w:rPr>
        <w:t>Летом 1935 г. по заданию ГВФ в конструкторском отделе «Дирижаблестроя» началось проектирование полужёсткого дирижа</w:t>
      </w:r>
      <w:r w:rsidRPr="00E14102">
        <w:rPr>
          <w:color w:val="0070C0"/>
          <w:sz w:val="16"/>
          <w:szCs w:val="16"/>
        </w:rPr>
        <w:softHyphen/>
        <w:t>бля ДП-9 объёмом 25 000 м3 для пассажирских перевозок.</w:t>
      </w:r>
    </w:p>
    <w:p w14:paraId="0D602F24" w14:textId="77777777" w:rsidR="00705486" w:rsidRPr="00E14102" w:rsidRDefault="00705486" w:rsidP="00E14102">
      <w:pPr>
        <w:jc w:val="both"/>
        <w:rPr>
          <w:color w:val="0070C0"/>
          <w:sz w:val="16"/>
          <w:szCs w:val="16"/>
        </w:rPr>
      </w:pPr>
      <w:r w:rsidRPr="00E14102">
        <w:rPr>
          <w:color w:val="0070C0"/>
          <w:sz w:val="16"/>
          <w:szCs w:val="16"/>
        </w:rPr>
        <w:lastRenderedPageBreak/>
        <w:t>По сравнению с «СССР В-6» ДП-9 имел более совершенную конструкцию кормового развития, надёжно поддерживавшего всё оперение, не от</w:t>
      </w:r>
      <w:r w:rsidRPr="00E14102">
        <w:rPr>
          <w:color w:val="0070C0"/>
          <w:sz w:val="16"/>
          <w:szCs w:val="16"/>
        </w:rPr>
        <w:softHyphen/>
        <w:t>нимая в то же время газового пространства. Для пассажиров имелась большая комфортабельная кабина, сконструированное как одно целое с ко</w:t>
      </w:r>
      <w:r w:rsidRPr="00E14102">
        <w:rPr>
          <w:color w:val="0070C0"/>
          <w:sz w:val="16"/>
          <w:szCs w:val="16"/>
        </w:rPr>
        <w:softHyphen/>
        <w:t>мандирской рубкой. Винтомоторная группа со</w:t>
      </w:r>
      <w:r w:rsidRPr="00E14102">
        <w:rPr>
          <w:color w:val="0070C0"/>
          <w:sz w:val="16"/>
          <w:szCs w:val="16"/>
        </w:rPr>
        <w:softHyphen/>
        <w:t>стояла из двух дизелей, что значительно увеличи</w:t>
      </w:r>
      <w:r w:rsidRPr="00E14102">
        <w:rPr>
          <w:color w:val="0070C0"/>
          <w:sz w:val="16"/>
          <w:szCs w:val="16"/>
        </w:rPr>
        <w:softHyphen/>
        <w:t>вало автономность и безопасность эксплуатации.</w:t>
      </w:r>
    </w:p>
    <w:p w14:paraId="3DFD2FD3" w14:textId="77777777" w:rsidR="00705486" w:rsidRPr="00E14102" w:rsidRDefault="00705486" w:rsidP="00E14102">
      <w:pPr>
        <w:jc w:val="both"/>
        <w:rPr>
          <w:color w:val="0070C0"/>
          <w:sz w:val="16"/>
          <w:szCs w:val="16"/>
        </w:rPr>
      </w:pPr>
      <w:r w:rsidRPr="00E14102">
        <w:rPr>
          <w:color w:val="0070C0"/>
          <w:sz w:val="16"/>
          <w:szCs w:val="16"/>
        </w:rPr>
        <w:t>К весне 1937 г. проект ДП-9 полностью закон</w:t>
      </w:r>
      <w:r w:rsidRPr="00E14102">
        <w:rPr>
          <w:color w:val="0070C0"/>
          <w:sz w:val="16"/>
          <w:szCs w:val="16"/>
        </w:rPr>
        <w:softHyphen/>
        <w:t>чили, и началось строительство дирижабля. Одна</w:t>
      </w:r>
      <w:r w:rsidRPr="00E14102">
        <w:rPr>
          <w:color w:val="0070C0"/>
          <w:sz w:val="16"/>
          <w:szCs w:val="16"/>
        </w:rPr>
        <w:softHyphen/>
        <w:t>ко оно затянулось, и дирижабль так и не собрали (20120).</w:t>
      </w:r>
    </w:p>
    <w:p w14:paraId="352090E3" w14:textId="77777777" w:rsidR="00705486" w:rsidRPr="00E14102" w:rsidRDefault="00705486" w:rsidP="00E14102">
      <w:pPr>
        <w:jc w:val="both"/>
        <w:rPr>
          <w:color w:val="0070C0"/>
          <w:sz w:val="16"/>
          <w:szCs w:val="16"/>
        </w:rPr>
      </w:pPr>
    </w:p>
    <w:p w14:paraId="3D632922" w14:textId="77777777" w:rsidR="00705486" w:rsidRPr="00E14102" w:rsidRDefault="00705486" w:rsidP="00E14102">
      <w:pPr>
        <w:jc w:val="both"/>
        <w:rPr>
          <w:color w:val="0070C0"/>
          <w:sz w:val="16"/>
          <w:szCs w:val="16"/>
        </w:rPr>
      </w:pPr>
      <w:r w:rsidRPr="00E14102">
        <w:rPr>
          <w:color w:val="0070C0"/>
          <w:sz w:val="16"/>
          <w:szCs w:val="16"/>
        </w:rPr>
        <w:t xml:space="preserve">Летом 1935 г. утвердили экипаж «СССР-3» (командир — Г.А. Прокофьев). </w:t>
      </w:r>
    </w:p>
    <w:p w14:paraId="202DE0EF" w14:textId="77777777" w:rsidR="00705486" w:rsidRPr="00E14102" w:rsidRDefault="00705486" w:rsidP="00E14102">
      <w:pPr>
        <w:jc w:val="both"/>
        <w:rPr>
          <w:color w:val="0070C0"/>
          <w:sz w:val="16"/>
          <w:szCs w:val="16"/>
        </w:rPr>
      </w:pPr>
      <w:r w:rsidRPr="00E14102">
        <w:rPr>
          <w:color w:val="0070C0"/>
          <w:sz w:val="16"/>
          <w:szCs w:val="16"/>
        </w:rPr>
        <w:t>Выполненная из нескольких слоёв прорезинен</w:t>
      </w:r>
      <w:r w:rsidRPr="00E14102">
        <w:rPr>
          <w:color w:val="0070C0"/>
          <w:sz w:val="16"/>
          <w:szCs w:val="16"/>
        </w:rPr>
        <w:softHyphen/>
        <w:t>ного шёлка оболочка стратостата имела объём 157 000 м3. Герметическую гондолу со шлюзом для выхода в стратосферу оборудовали большим гондольным парашютом. Для членов экипажа предусматривались индивидуальные парашюты. Расчётная высота подъёма стратостата составля</w:t>
      </w:r>
      <w:r w:rsidRPr="00E14102">
        <w:rPr>
          <w:color w:val="0070C0"/>
          <w:sz w:val="16"/>
          <w:szCs w:val="16"/>
        </w:rPr>
        <w:softHyphen/>
        <w:t>ла 25-27 км.</w:t>
      </w:r>
    </w:p>
    <w:p w14:paraId="1B1AF3AA" w14:textId="77777777" w:rsidR="00705486" w:rsidRPr="00E14102" w:rsidRDefault="00705486" w:rsidP="00E14102">
      <w:pPr>
        <w:jc w:val="both"/>
        <w:rPr>
          <w:color w:val="0070C0"/>
          <w:sz w:val="16"/>
          <w:szCs w:val="16"/>
        </w:rPr>
      </w:pPr>
      <w:r w:rsidRPr="00E14102">
        <w:rPr>
          <w:color w:val="0070C0"/>
          <w:sz w:val="16"/>
          <w:szCs w:val="16"/>
        </w:rPr>
        <w:t>Рекорд</w:t>
      </w:r>
      <w:r w:rsidRPr="00E14102">
        <w:rPr>
          <w:color w:val="0070C0"/>
          <w:sz w:val="16"/>
          <w:szCs w:val="16"/>
        </w:rPr>
        <w:softHyphen/>
        <w:t>ный полёт наметили на апрель 1936 г. Старт, од</w:t>
      </w:r>
      <w:r w:rsidRPr="00E14102">
        <w:rPr>
          <w:color w:val="0070C0"/>
          <w:sz w:val="16"/>
          <w:szCs w:val="16"/>
        </w:rPr>
        <w:softHyphen/>
        <w:t>нако, постоянно откладывался, так как для под</w:t>
      </w:r>
      <w:r w:rsidRPr="00E14102">
        <w:rPr>
          <w:color w:val="0070C0"/>
          <w:sz w:val="16"/>
          <w:szCs w:val="16"/>
        </w:rPr>
        <w:softHyphen/>
        <w:t>готовки к взлёту стратостата высотой 130 м тре</w:t>
      </w:r>
      <w:r w:rsidRPr="00E14102">
        <w:rPr>
          <w:color w:val="0070C0"/>
          <w:sz w:val="16"/>
          <w:szCs w:val="16"/>
        </w:rPr>
        <w:softHyphen/>
        <w:t>бовался полный штиль. В США эта проблема тогда решалась использованием для старта боль</w:t>
      </w:r>
      <w:r w:rsidRPr="00E14102">
        <w:rPr>
          <w:color w:val="0070C0"/>
          <w:sz w:val="16"/>
          <w:szCs w:val="16"/>
        </w:rPr>
        <w:softHyphen/>
        <w:t>ших каньонов или выработанных карьеров, по</w:t>
      </w:r>
      <w:r w:rsidRPr="00E14102">
        <w:rPr>
          <w:color w:val="0070C0"/>
          <w:sz w:val="16"/>
          <w:szCs w:val="16"/>
        </w:rPr>
        <w:softHyphen/>
        <w:t>зволявших наполнять оболочку стратостата без опасения опрокидывания его порывами ветра. Однако в окрестностях Москвы таких каньонов и карьеров не было.</w:t>
      </w:r>
    </w:p>
    <w:p w14:paraId="74027521" w14:textId="77777777" w:rsidR="00705486" w:rsidRPr="00E14102" w:rsidRDefault="00705486" w:rsidP="00E14102">
      <w:pPr>
        <w:jc w:val="both"/>
        <w:rPr>
          <w:color w:val="0070C0"/>
          <w:sz w:val="16"/>
          <w:szCs w:val="16"/>
        </w:rPr>
      </w:pPr>
      <w:r w:rsidRPr="00E14102">
        <w:rPr>
          <w:color w:val="0070C0"/>
          <w:sz w:val="16"/>
          <w:szCs w:val="16"/>
        </w:rPr>
        <w:t>Г.А. Прокофьев предложил подтянуть обо</w:t>
      </w:r>
      <w:r w:rsidRPr="00E14102">
        <w:rPr>
          <w:color w:val="0070C0"/>
          <w:sz w:val="16"/>
          <w:szCs w:val="16"/>
        </w:rPr>
        <w:softHyphen/>
        <w:t>лочку к гондоле за счёт системы плетёных ве</w:t>
      </w:r>
      <w:r w:rsidRPr="00E14102">
        <w:rPr>
          <w:color w:val="0070C0"/>
          <w:sz w:val="16"/>
          <w:szCs w:val="16"/>
        </w:rPr>
        <w:softHyphen/>
        <w:t>рёвочных «кос» и резиновых амортизаторов. Стропы крепились к сети, накинутой на оболоч</w:t>
      </w:r>
      <w:r w:rsidRPr="00E14102">
        <w:rPr>
          <w:color w:val="0070C0"/>
          <w:sz w:val="16"/>
          <w:szCs w:val="16"/>
        </w:rPr>
        <w:softHyphen/>
        <w:t>ку стратостата. Вверху сеть собиралась шнуров</w:t>
      </w:r>
      <w:r w:rsidRPr="00E14102">
        <w:rPr>
          <w:color w:val="0070C0"/>
          <w:sz w:val="16"/>
          <w:szCs w:val="16"/>
        </w:rPr>
        <w:softHyphen/>
        <w:t>кой, распустить которую можно было с помо</w:t>
      </w:r>
      <w:r w:rsidRPr="00E14102">
        <w:rPr>
          <w:color w:val="0070C0"/>
          <w:sz w:val="16"/>
          <w:szCs w:val="16"/>
        </w:rPr>
        <w:softHyphen/>
        <w:t>щью специального каната. После взлета «косы» рассоединялись, и стратостат распрямлялся на всю свою высоту. Первое испытание этого устройства производилось на аэростате объёмом в 900 м3 и закончилось катастрофой: не выдержав рывка, стропы разорвались, и А.М. Тропин, запу</w:t>
      </w:r>
      <w:r w:rsidRPr="00E14102">
        <w:rPr>
          <w:color w:val="0070C0"/>
          <w:sz w:val="16"/>
          <w:szCs w:val="16"/>
        </w:rPr>
        <w:softHyphen/>
        <w:t>тавшийся в них, не смог выпрыгнуть с парашю</w:t>
      </w:r>
      <w:r w:rsidRPr="00E14102">
        <w:rPr>
          <w:color w:val="0070C0"/>
          <w:sz w:val="16"/>
          <w:szCs w:val="16"/>
        </w:rPr>
        <w:softHyphen/>
        <w:t>том. Вскоре опыт повторил, на этот раз вполне благополучно, Г.А. Прокофьев на субстратоста</w:t>
      </w:r>
      <w:r w:rsidRPr="00E14102">
        <w:rPr>
          <w:color w:val="0070C0"/>
          <w:sz w:val="16"/>
          <w:szCs w:val="16"/>
        </w:rPr>
        <w:softHyphen/>
        <w:t>те объёмом 2200 м3. После этого «косы» решили применить на стратостате (20120).</w:t>
      </w:r>
    </w:p>
    <w:p w14:paraId="1D5471EB" w14:textId="77777777" w:rsidR="00705486" w:rsidRPr="00E14102" w:rsidRDefault="00705486" w:rsidP="00E14102">
      <w:pPr>
        <w:jc w:val="both"/>
        <w:rPr>
          <w:color w:val="0070C0"/>
          <w:sz w:val="16"/>
          <w:szCs w:val="16"/>
        </w:rPr>
      </w:pPr>
    </w:p>
    <w:p w14:paraId="0E16E27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EFA3623" w14:textId="77777777" w:rsidR="00D4105E" w:rsidRPr="00E14102" w:rsidRDefault="00D4105E" w:rsidP="00E14102">
      <w:pPr>
        <w:autoSpaceDE w:val="0"/>
        <w:autoSpaceDN w:val="0"/>
        <w:adjustRightInd w:val="0"/>
        <w:jc w:val="both"/>
        <w:rPr>
          <w:iCs/>
          <w:color w:val="000000" w:themeColor="text1"/>
          <w:sz w:val="16"/>
          <w:szCs w:val="16"/>
        </w:rPr>
      </w:pPr>
    </w:p>
    <w:p w14:paraId="7FFBA6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Харьковский паровозостроительный заводу имени Коминтерна (завод № 183) приступил к проектированию тяжелого артиллерийского тягача с танковым двигателем, ставшего потом знаменитым тягача, названного "Ворошиловец". Трудился большой коллектив конструкторов тракторного отдела "200" (ТРО). Компоновку вел Д.М. Иванов; моторную группу - П.Е. Либенко и И.3. Ставцев; трансмиссию - В.М. Кричевский, С.3. Сидельников и В.П. Каплин; ходовую часть - П.Г. Ефременко и А.И. Автомонов; вспомогательное оборудование - И.В. Дудко и Ю.С. Миронов. Разработка велась под руководством главного конструктора Н.Г. Зубарева и его заместителя Д.Ф. Боброва. Работали быстро и много, оставались сверхурочно. К концу 1935 года, буквально за несколько месяцев, выпустили всю техдокументацию (9640).</w:t>
      </w:r>
    </w:p>
    <w:p w14:paraId="743B926A" w14:textId="77777777" w:rsidR="00D4105E" w:rsidRPr="00E14102" w:rsidRDefault="00D4105E" w:rsidP="00E14102">
      <w:pPr>
        <w:autoSpaceDE w:val="0"/>
        <w:autoSpaceDN w:val="0"/>
        <w:adjustRightInd w:val="0"/>
        <w:jc w:val="both"/>
        <w:rPr>
          <w:color w:val="000000" w:themeColor="text1"/>
          <w:sz w:val="16"/>
          <w:szCs w:val="16"/>
        </w:rPr>
      </w:pPr>
    </w:p>
    <w:p w14:paraId="2C6CDB5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Летом 1935 г. нач. КБ ГХПЗ писал в ОКМО:</w:t>
      </w:r>
    </w:p>
    <w:p w14:paraId="6726F1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«Тов Гинзбург!</w:t>
      </w:r>
    </w:p>
    <w:p w14:paraId="5C19AF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Позвольте доложить о мероприятиях по улучшению кон</w:t>
      </w:r>
      <w:r w:rsidRPr="00E14102">
        <w:rPr>
          <w:color w:val="000000" w:themeColor="text1"/>
          <w:sz w:val="16"/>
          <w:szCs w:val="16"/>
        </w:rPr>
        <w:softHyphen/>
        <w:t>струкции башни 26-4 при ее установке в танк Б-Т...</w:t>
      </w:r>
    </w:p>
    <w:p w14:paraId="605BC6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Увеличено пространство внутри башни за счет неко</w:t>
      </w:r>
      <w:r w:rsidRPr="00E14102">
        <w:rPr>
          <w:color w:val="000000" w:themeColor="text1"/>
          <w:sz w:val="16"/>
          <w:szCs w:val="16"/>
        </w:rPr>
        <w:softHyphen/>
        <w:t>торого увеличения ее внешних габаритов.</w:t>
      </w:r>
    </w:p>
    <w:p w14:paraId="3BC7EB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Усилен башенный погон по типу погона танка БТ- 7.</w:t>
      </w:r>
    </w:p>
    <w:p w14:paraId="7FB0F6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Увеличена толщина листов крыши корпуса, усилены стыки броневых листов наваркой дополнительных угольников...</w:t>
      </w:r>
    </w:p>
    <w:p w14:paraId="42F025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Применен двухскоростной поворотный механизм по типу поворотного механизма танка Т-29.</w:t>
      </w:r>
    </w:p>
    <w:p w14:paraId="11CBCC7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Ожидается готовность опытного образца танка к испытаниям не позднее 7 ноября с.г. Просим вас командировать Вашего представителя для приемки чертежей танка...» (10733,352).</w:t>
      </w:r>
    </w:p>
    <w:p w14:paraId="52705E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BE464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Летом 1935 года на танке Т-37А (заводской номер 4183) прошло испытание 4-цилиндрового дизельного двигателя “Perkins” мощностью 40,5 л.с. (несколько таких двигателей закупили в 1934 году за границей для проведения испытаний). Установка двигателя была проведена в мастерских НИИБТ полигона. До монтажа в танк этот дизель, установленный на грузовике ГАЗ-АА, участвовал в автопробеге Москва – Тифлис – Москва, затем прошел испытания под Москвой и в лаборатории НАТИ. В общей сложности, к моменту поступления на полигон двигатель прошел более 10000 километров и был уже сильно изношен. В результате этого во время испытаний дизель почти не тянул на IV передаче и часто выходил из строя. </w:t>
      </w:r>
    </w:p>
    <w:p w14:paraId="43FCE6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 заключению работников полигона </w:t>
      </w:r>
      <w:r w:rsidRPr="00E14102">
        <w:rPr>
          <w:iCs/>
          <w:color w:val="000000" w:themeColor="text1"/>
          <w:sz w:val="16"/>
          <w:szCs w:val="16"/>
        </w:rPr>
        <w:t>“сравнительные испытания моторов “Perkins”, прошедшего 10000 километров и “Форд-АА”, прошедшего 4000 километров на линейном Т-37А, выявили некоторые преимущества на стороне дизеля, но эти преимущества недостаточны”</w:t>
      </w:r>
      <w:r w:rsidRPr="00E14102">
        <w:rPr>
          <w:color w:val="000000" w:themeColor="text1"/>
          <w:sz w:val="16"/>
          <w:szCs w:val="16"/>
        </w:rPr>
        <w:t>.</w:t>
      </w:r>
    </w:p>
    <w:p w14:paraId="583481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Почти параллельно с испытанием дизеля “Perkins” на полигоне, такой же двигатель (только новый) экспериментальным отделом завода №37 был установлен в танк Т-37А. Проведенные заводские пробеги этого танка показали, что “Perkins” вполне годится для Т-37А, причем инженеры предлагали повысить мощность двигателя до 48 л.с. путем увеличения диаметра поршня с 85 до 90 мм. При этом высказывались предложения и об установке дизелей на серийные танки. Но из-за отсутствия собственного производства аналогичных двигателей в СССР и проблем их закупки за границей, этот вопрос отпал сам собой (11237).</w:t>
      </w:r>
    </w:p>
    <w:p w14:paraId="71642534" w14:textId="77777777" w:rsidR="00D4105E" w:rsidRPr="00E14102" w:rsidRDefault="00D4105E" w:rsidP="00E14102">
      <w:pPr>
        <w:autoSpaceDE w:val="0"/>
        <w:autoSpaceDN w:val="0"/>
        <w:adjustRightInd w:val="0"/>
        <w:jc w:val="both"/>
        <w:rPr>
          <w:color w:val="000000" w:themeColor="text1"/>
          <w:sz w:val="16"/>
          <w:szCs w:val="16"/>
        </w:rPr>
      </w:pPr>
    </w:p>
    <w:p w14:paraId="29F441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г. был разработан и утвержден технический проект реконструкции ЧТЗ. К существующим цехам – литейному, кузнечному, механосборочному – было решено добавить цехи пусковых моторов и топливной аппаратуры. Топливная система, состоящая из массы прецизионных деталей, – сердце дизельного мотора. Организация цеха топливной аппаратуры была очень сложным делом, для производства прецизионных деталей требовались высокоточные станки и, как сейчас говорят, высокие технологии. Здесь начальнику дизельного управления ЧТЗ Гуревичу очень пригодился опыт предыдущей работы на ленинградском заводе точного машиностроения им. Макса Гельца. Однако, необходимо было ознакомиться и с зарубежными достижениями, благо, фирм, специализирующихся в этой области, было немного: «Бош» в Германии и «Катерпиллер» в США.</w:t>
      </w:r>
    </w:p>
    <w:p w14:paraId="1A86EC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этой цели в европейские страны и США в марте 1936 г. вновь была командирована группа из 11 специалистов во главе с Э.И. Гуревичем: Ю.И. Вержинский, К.С. Митревич, Б.Л. Фрадкин, М.А. Храпко, В.Т. Ломоносов, Н. Межевич, Б.С. Филимонов и другие. В Москве задержались на две недели: не были готовы заграничные паспорта. Пришлось руководителю группы Гуревичу взять на себя смелость и позвонить из НКТП в НКВД, после чего задержек не было, и группа отправилась через Берлин в Гамбург, далее морем в Нью-Йорк. Плыли 6 дней, на этот раз на корабле «Deutschland» («Германия»). Э.И., как опытный путешественник, качку переносил хорошо и инструктировал новичков, как держаться, когда в океане случился шторм. Прибыли в Нью-Йорк 19 марта. Советским инженерам в США платили по 150 долларов в месяц плюс 80 долларов единовременно, для экипировки (костюмы шили в Москве). Обедали обычно в столовой Амторга на 5-й авеню или в венгерском ресторане поблизости (11627).</w:t>
      </w:r>
    </w:p>
    <w:p w14:paraId="453AEF7F" w14:textId="77777777" w:rsidR="00D4105E" w:rsidRPr="00E14102" w:rsidRDefault="00D4105E" w:rsidP="00E14102">
      <w:pPr>
        <w:autoSpaceDE w:val="0"/>
        <w:autoSpaceDN w:val="0"/>
        <w:adjustRightInd w:val="0"/>
        <w:jc w:val="both"/>
        <w:rPr>
          <w:color w:val="000000" w:themeColor="text1"/>
          <w:sz w:val="16"/>
          <w:szCs w:val="16"/>
        </w:rPr>
      </w:pPr>
    </w:p>
    <w:p w14:paraId="0102C0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года было проведено совещание начальников управлений Наркомата обороны и командующих войсками военных округов. После выступления одного из докладчиков — начальника Автобронетанкового управления И. А. Халепского — Сталин спросил у оратора о достижениях Запада в сфере танкостроения. В частности он упомянул про немецкий танк Х-111, о котором ему несколько месяцев назад доложила разведка, и попросил подробнее рассказать об отличии этой машины от отечественной модели БТ. Выступивший не располагал такими данными. Тогда вопрос был адресован руководителям военной разведки, присутствующим на совещании. Начальник Разведуправ-ления тоже не смог ничего доложить, а его заместитель А. X. Артузов пообещал добыть образец Т-111. Свою уверенность в успешной реализации этой авантюры он объяснил тем, что на Западе все можно купить. Даже секретный образец танка. Через два месяца обещанная модель была доставлена на один из подмосковных полигонов. Советские конструкторы не нашли в новом образце ничего интересного для себя, кроме пушки (Гладков Т. Награда за верность — казнь. М., 2000, с. 471— 476.) (11765).</w:t>
      </w:r>
    </w:p>
    <w:p w14:paraId="61B197CC" w14:textId="77777777" w:rsidR="00D4105E" w:rsidRPr="00E14102" w:rsidRDefault="00D4105E" w:rsidP="00E14102">
      <w:pPr>
        <w:autoSpaceDE w:val="0"/>
        <w:autoSpaceDN w:val="0"/>
        <w:adjustRightInd w:val="0"/>
        <w:jc w:val="both"/>
        <w:rPr>
          <w:color w:val="000000" w:themeColor="text1"/>
          <w:sz w:val="16"/>
          <w:szCs w:val="16"/>
        </w:rPr>
      </w:pPr>
    </w:p>
    <w:p w14:paraId="751965AB"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Летом 1935 испытали опытный образец мотоцикла Л-500, а в сентябре опубликовали технические сведения.</w:t>
      </w:r>
    </w:p>
    <w:p w14:paraId="6A5E4063"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Раму Л-500 (такое название получила новая советская модель) собирали из трех отштампованных швеллеров, соединяя их болтами. Цилиндр верхнеклапанного двигателя расположили вертикально. Толкатели приводили в движение рокеры, а те — клапаны, установленные с наклоном 45°. Камеру сжатия выполнили полусферической, а рокерную коробку — из алюминия. Магнето приводилось в движение от одного из распределительных валов, генератор постоянного тока — через роликовую цепь велосипедного типа.</w:t>
      </w:r>
    </w:p>
    <w:p w14:paraId="3CD90C21"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Любопытной была система циркуляционной смазки. Масло из бачка закачивалось первой ступенью помпы в двигатель, затем стекало на дно картера, там его забирала вторая ступень помпы, прокачивала через фильтр и оттуда подавала вновь в бачок, после чего цикл повторялся. Вилка переднего колеса была параллелограммной, штампованной, с двумя фрикционными демпферами. Колеса сделали взаимозаменяемыми, причем переставить их можно было всего за одну-две минуты, при этом тормозной барабан и цепь не смещались, а значит, не требовалась их дополнительная регулировка.</w:t>
      </w:r>
    </w:p>
    <w:p w14:paraId="6DB3129F"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систему электрооборудования ввели все, что было нужно для того, чтобы сделать мотоцикл максимально удобным — зажигание от магнето, аккумулятор, питавший мощную переднюю фару, и подзаряжавшийся от генератора постоянного тока, реле-регулятор, задний фонарь и электросигнал.</w:t>
      </w:r>
    </w:p>
    <w:p w14:paraId="09DE464A"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 xml:space="preserve">Так получилось, что к началу испытаний не успели изготовить «персональный» карбюратор, поэтому Л-500 обкатывали с карбюратором от менее мощного Л-300. Естественно, сказалось его заниженное проходное сечение: машина не продемонстрировала тех качеств, на которые рассчитывали разработчики. В частности, </w:t>
      </w:r>
      <w:r w:rsidRPr="00E14102">
        <w:rPr>
          <w:color w:val="000000" w:themeColor="text1"/>
          <w:sz w:val="16"/>
          <w:szCs w:val="16"/>
        </w:rPr>
        <w:lastRenderedPageBreak/>
        <w:t>максимальная скорость оказалась ниже расчетной примерно на 15—20 км/ч, хотя сам двигатель обладал достаточным резервом для форсирования...</w:t>
      </w:r>
    </w:p>
    <w:p w14:paraId="2F3B4758"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«Мотоцикл показал хорошие ходовые свойства,— писал спустя три десятилетия один из его создателей, В. В. Бекман,— но в серию не пошел, так как технологические возможности завода «Красный Октябрь» уже не соответствовали сложной конструкции этой машины».</w:t>
      </w:r>
    </w:p>
    <w:p w14:paraId="102CD93B"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Помешало внедрению Л-500 и освоение на Таганрогском инструментальном заводе серийного выпуска ТИЗ-АМ-600. Кстати, появление новой ленинградской машины неожиданным образом сказалось на творчестве таганрожцев — они сочли целесообразным перейти на двигатель меньшего рабочего объема и в 1940 году создали свою «пятисотку», технические характеристики которой были весьма близки к Л-500.</w:t>
      </w:r>
    </w:p>
    <w:p w14:paraId="2396733E"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Что же касается ленинградцев, то они, используя некоторые конструктивные решения, примененные на опытном мотоцикле, вскоре спроектировали машину, оснащенную двигателем с рабочим объемом 350 см3, но о ней речь пойдет в следующем выпуске «Исторической серии».</w:t>
      </w:r>
    </w:p>
    <w:p w14:paraId="5DCFDDF3"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истории отечественного мотоцик-лостроения Л-500 сыграл роль своеобразного катализатора работ по созданию серийного мотоцикла с одноцилиндровым четырехтактным двигателем. Вот только сам он, к величайшему сожалению, не сохранился...(11396).</w:t>
      </w:r>
    </w:p>
    <w:p w14:paraId="0A82979C" w14:textId="77777777" w:rsidR="00D4105E" w:rsidRPr="00E14102" w:rsidRDefault="00D4105E" w:rsidP="00E14102">
      <w:pPr>
        <w:widowControl w:val="0"/>
        <w:autoSpaceDE w:val="0"/>
        <w:autoSpaceDN w:val="0"/>
        <w:adjustRightInd w:val="0"/>
        <w:jc w:val="both"/>
        <w:rPr>
          <w:color w:val="000000" w:themeColor="text1"/>
          <w:sz w:val="16"/>
          <w:szCs w:val="16"/>
        </w:rPr>
      </w:pPr>
    </w:p>
    <w:p w14:paraId="09A174BB" w14:textId="77777777" w:rsidR="001B5618" w:rsidRPr="00E14102" w:rsidRDefault="001B5618" w:rsidP="00E14102">
      <w:pPr>
        <w:jc w:val="both"/>
        <w:rPr>
          <w:color w:val="0070C0"/>
          <w:sz w:val="16"/>
          <w:szCs w:val="16"/>
        </w:rPr>
      </w:pPr>
      <w:r w:rsidRPr="00E14102">
        <w:rPr>
          <w:color w:val="0070C0"/>
          <w:sz w:val="16"/>
          <w:szCs w:val="16"/>
        </w:rPr>
        <w:t>Летом 1935-го, года была готова экспериментальная установка радиообнаружения самолетов для зенитной артиллерии, созданная работавшими под руководством Бориса Константиновича Шембеля инженерами Марком Давыдовичем Гуревичем, Эммануилом Иосифовичем Голованевским и М.Г. Курилко (к сожалению, на момент сдачи материала автору не удалось установить точные имя и отчество последнего специалиста). Данная установка имела две параболические антенны диаметром 2 метра, которые размещались рядом на общей опоре и могли вращатьсяв горизонтальной и вертикальной плоскостях, а также приемник и передатчик, смонтированные у основания антенн, и двухпроводные фидерные линии в металлических трубах, которые связывали приемник и передатчик с полуволновыми вибраторами, укрепленными в фокусах зеркал-параболоидов. Генератор установки работал на магнетроне с четырехсегментным анодом на волне 21-29 сантиметров и при согласовании сопротивления антенн и фидера обеспечивал мощность излучения 8-15 Вт. В ходе испытаний установка, определявшая азимут и угол места воздушной цели, продемонстрировала способность уверенно обнаруживать самолет типа У-2 на дальности 5-6 километров, а стаю ласточек засекала на расстоянии 150-200 метров. На ее основе впоследствии был создан подвижный двухантенный зенитный радиоискатель «Буря», который в ходе полигонных испытаний в сентябре-октябре 1936 года по одиночным самолетам и звену самолетов Р-5 показал максимальную дальность обнаружения 10-11 километров, при этом срединные ошибки по азимуту достигали 3°, а по углу места 4,1°. Позже были созданы и более совершенные образцы таких систем, включавшие уже и радиодальномеры, что позволило зенитчикам вести не просто заградительный огонь, а огонь на поражение – это на порядок снизило расход снарядов. (22709).</w:t>
      </w:r>
    </w:p>
    <w:p w14:paraId="1207D851" w14:textId="77777777" w:rsidR="001B5618" w:rsidRPr="00E14102" w:rsidRDefault="001B5618" w:rsidP="00E14102">
      <w:pPr>
        <w:jc w:val="both"/>
        <w:rPr>
          <w:color w:val="0070C0"/>
          <w:sz w:val="16"/>
          <w:szCs w:val="16"/>
        </w:rPr>
      </w:pPr>
    </w:p>
    <w:p w14:paraId="4EFEF77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26686820" w14:textId="77777777" w:rsidR="00D4105E" w:rsidRPr="00E14102" w:rsidRDefault="00D4105E" w:rsidP="00E14102">
      <w:pPr>
        <w:autoSpaceDE w:val="0"/>
        <w:autoSpaceDN w:val="0"/>
        <w:adjustRightInd w:val="0"/>
        <w:jc w:val="both"/>
        <w:rPr>
          <w:iCs/>
          <w:color w:val="000000" w:themeColor="text1"/>
          <w:sz w:val="16"/>
          <w:szCs w:val="16"/>
        </w:rPr>
      </w:pPr>
    </w:p>
    <w:p w14:paraId="0E6F49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года в ходе учений Р-5Ш уже имитировали налет на аэродром в Омске.</w:t>
      </w:r>
    </w:p>
    <w:p w14:paraId="5E665D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Одним из основных видов оружия для штурмовиков считаюсь химическое. Предусматриваюсь применение ВАП-4 против пехоты, кавалерии, артиллерии и обозов, в первую очередь, на конной тяге. Особенно уязвимыми считали обозы и артиллерию, где лошадей много, а людей сравнительно мало. При неожиданной атаке они не успели бы надеть на всех лошадей противогазы. У обозников не имелось и эффективных средств борьбы с низколетящими самолетами.</w:t>
      </w:r>
    </w:p>
    <w:p w14:paraId="182B38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переделка бомбодержателей на Р-5Ш усложнила подвеску ВАП-4. Чтобы подвесить два прибора, требовалось снять дополнительные балочки с двух бомбодержателей с каждой стороны. Подвеске второй пары ВАП-4 мешали "дирижаблики" - коробки для сбора звеньев из дополнительных пулеметов.</w:t>
      </w:r>
    </w:p>
    <w:p w14:paraId="4D2A45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Один Р-5 нес примерно 160 кг чистого иприта или люизита, Р-5Ш - в два раза меньше. Тем не менее при высоте полета около 50 м он накрывал ядовитым дождем всю ширину дороги. На поле боя предусматривалось нанесение ударов с малых высот в строю звена и отряда, со средних высот - эскадрильей. Штурмовая бригада могла за два вылета сбросить 9 т иприта. Две бригады за один вылет могли перебить всех лошадей в польском пехотном корпусе (12034).</w:t>
      </w:r>
    </w:p>
    <w:p w14:paraId="69C49419" w14:textId="77777777" w:rsidR="00D4105E" w:rsidRPr="00E14102" w:rsidRDefault="00D4105E" w:rsidP="00E14102">
      <w:pPr>
        <w:autoSpaceDE w:val="0"/>
        <w:autoSpaceDN w:val="0"/>
        <w:adjustRightInd w:val="0"/>
        <w:jc w:val="both"/>
        <w:rPr>
          <w:color w:val="000000" w:themeColor="text1"/>
          <w:sz w:val="16"/>
          <w:szCs w:val="16"/>
        </w:rPr>
      </w:pPr>
    </w:p>
    <w:p w14:paraId="35727F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г. 209-я бригада легких бомбардировщиков в ходе больших учений участвовала в массированном налете на военно-морскую базу во Владивостоке. По основным целям "работали" четырехмоторные ТБ-3, а Р-5 должны были подавлять зенитные средства перед их появлением (12034).</w:t>
      </w:r>
    </w:p>
    <w:p w14:paraId="04A4DEE3" w14:textId="77777777" w:rsidR="00D4105E" w:rsidRPr="00E14102" w:rsidRDefault="00D4105E" w:rsidP="00E14102">
      <w:pPr>
        <w:autoSpaceDE w:val="0"/>
        <w:autoSpaceDN w:val="0"/>
        <w:adjustRightInd w:val="0"/>
        <w:jc w:val="both"/>
        <w:rPr>
          <w:color w:val="000000" w:themeColor="text1"/>
          <w:sz w:val="16"/>
          <w:szCs w:val="16"/>
        </w:rPr>
      </w:pPr>
    </w:p>
    <w:p w14:paraId="440753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летних маневров 1935 г. "синие" форсировали Днепр и успешно продвигались к Киеву. В ответ "красная" сторона высадила десант в районе Бровар. С ТБ-1 и ТБ-3 сбросили 1200 парашютистов под командованием комбрига Индзера. Вместе с людьми с неба опустились пулеметы и безоткатные пушки. Затем на "захваченную" площадку начали принимать самолеты с посадочным десантом. Менее чем за два часа выгрузили около 3000 человек, танки, броневики, артиллерию и автомобили. Десант выдвинулся к реке и занял переправы. "Синие", лишенные подхода подкреплений и подвоза снабжения, были вынуждены отойти.</w:t>
      </w:r>
    </w:p>
    <w:p w14:paraId="68080B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Маневры под Киевом были откровенно демонстративными. На них пригласили военных наблюдателей из разных стран мира. Выгрузку посадочного десанта производили вблизи заранее построенных трибун, где разместили и гостей, и различные делегации. Об учениях снимался кинофильм, показывавший всем мощь Красной армии. Но в то же время в Белоруссии без всякой помпы шли другие маневры, где воздушно-десантные войска действовали еще более впечатляюще. Там в общей сложности перебросили и высадили 5700 человек. Для этого пришлось стянуть большую часть тяжелых бомбардировщиков, имевшихся у ВВС.</w:t>
      </w:r>
    </w:p>
    <w:p w14:paraId="179ED8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Первые крупные десанты с массовой перевозкой людей и техники выявили и неизвестные ранее недостатки. Например, оказалось, что быстрый выезд танков и автомашин из- под самолета невозможен. Смазка от холода на высоте замерзала так, что мотор можно было завести только через 15-20 минут. Требовались средства утепления или погрузка техники внутрь самолетов, для ТБ-1 и ТБ-3 недоступная. Из-за недостаточного количества люков и дверей десантников разбрасывало на большой территории. Как уже говорилось, в то время парашютисты обычно прыгали без оружия, приземлявшегося в грузовых мешках. Бывали случаи, когда десантникам приходилось топать за своим имуществом до 5-7 км (12036).</w:t>
      </w:r>
    </w:p>
    <w:p w14:paraId="43D39BB4" w14:textId="77777777" w:rsidR="00D4105E" w:rsidRPr="00E14102" w:rsidRDefault="00D4105E" w:rsidP="00E14102">
      <w:pPr>
        <w:autoSpaceDE w:val="0"/>
        <w:autoSpaceDN w:val="0"/>
        <w:adjustRightInd w:val="0"/>
        <w:jc w:val="both"/>
        <w:rPr>
          <w:color w:val="000000" w:themeColor="text1"/>
          <w:sz w:val="16"/>
          <w:szCs w:val="16"/>
        </w:rPr>
      </w:pPr>
    </w:p>
    <w:p w14:paraId="280923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мехкорпус им. К.Б.Калиновского стал первым, укомплектованным танками БТ-7 (3881,33).</w:t>
      </w:r>
    </w:p>
    <w:p w14:paraId="01A6C0C8" w14:textId="77777777" w:rsidR="00D4105E" w:rsidRPr="00E14102" w:rsidRDefault="00D4105E" w:rsidP="00E14102">
      <w:pPr>
        <w:autoSpaceDE w:val="0"/>
        <w:autoSpaceDN w:val="0"/>
        <w:adjustRightInd w:val="0"/>
        <w:jc w:val="both"/>
        <w:rPr>
          <w:color w:val="000000" w:themeColor="text1"/>
          <w:sz w:val="16"/>
          <w:szCs w:val="16"/>
        </w:rPr>
      </w:pPr>
    </w:p>
    <w:p w14:paraId="753E6E3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717A267" w14:textId="77777777" w:rsidR="00D4105E" w:rsidRPr="00E14102" w:rsidRDefault="00D4105E" w:rsidP="00E14102">
      <w:pPr>
        <w:autoSpaceDE w:val="0"/>
        <w:autoSpaceDN w:val="0"/>
        <w:adjustRightInd w:val="0"/>
        <w:jc w:val="both"/>
        <w:rPr>
          <w:iCs/>
          <w:color w:val="000000" w:themeColor="text1"/>
          <w:sz w:val="16"/>
          <w:szCs w:val="16"/>
        </w:rPr>
      </w:pPr>
    </w:p>
    <w:p w14:paraId="60BE2E0C" w14:textId="77777777" w:rsidR="00BF0488" w:rsidRPr="00E14102" w:rsidRDefault="00BF0488"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Летом 1935 г. состоялся первый полёт опытного образца </w:t>
      </w:r>
      <w:r w:rsidRPr="00E14102">
        <w:rPr>
          <w:rFonts w:ascii="Times New Roman" w:hAnsi="Times New Roman" w:cs="Times New Roman"/>
          <w:color w:val="000000" w:themeColor="text1"/>
          <w:sz w:val="16"/>
          <w:szCs w:val="16"/>
        </w:rPr>
        <w:t>Vultee</w:t>
      </w:r>
      <w:r w:rsidRPr="00E14102">
        <w:rPr>
          <w:rFonts w:ascii="Times New Roman" w:hAnsi="Times New Roman" w:cs="Times New Roman"/>
          <w:color w:val="000000" w:themeColor="text1"/>
          <w:sz w:val="16"/>
          <w:szCs w:val="16"/>
          <w:lang w:val="ru-RU"/>
        </w:rPr>
        <w:t xml:space="preserve"> </w:t>
      </w:r>
      <w:r w:rsidRPr="00E14102">
        <w:rPr>
          <w:rFonts w:ascii="Times New Roman" w:hAnsi="Times New Roman" w:cs="Times New Roman"/>
          <w:color w:val="000000" w:themeColor="text1"/>
          <w:sz w:val="16"/>
          <w:szCs w:val="16"/>
        </w:rPr>
        <w:t>V</w:t>
      </w:r>
      <w:r w:rsidRPr="00E14102">
        <w:rPr>
          <w:rFonts w:ascii="Times New Roman" w:hAnsi="Times New Roman" w:cs="Times New Roman"/>
          <w:color w:val="000000" w:themeColor="text1"/>
          <w:sz w:val="16"/>
          <w:szCs w:val="16"/>
          <w:lang w:val="ru-RU"/>
        </w:rPr>
        <w:t xml:space="preserve">-11. Конструкция крыла и шасси у него была такой же, как у </w:t>
      </w:r>
      <w:r w:rsidRPr="00E14102">
        <w:rPr>
          <w:rFonts w:ascii="Times New Roman" w:hAnsi="Times New Roman" w:cs="Times New Roman"/>
          <w:color w:val="000000" w:themeColor="text1"/>
          <w:sz w:val="16"/>
          <w:szCs w:val="16"/>
        </w:rPr>
        <w:t>V</w:t>
      </w:r>
      <w:r w:rsidRPr="00E14102">
        <w:rPr>
          <w:rFonts w:ascii="Times New Roman" w:hAnsi="Times New Roman" w:cs="Times New Roman"/>
          <w:color w:val="000000" w:themeColor="text1"/>
          <w:sz w:val="16"/>
          <w:szCs w:val="16"/>
          <w:lang w:val="ru-RU"/>
        </w:rPr>
        <w:t>-1А, но хвостовое оперение было изменено; кроме того, новый фюзеляж имел эллиптическое поперечное сечение и длинный высокий фонарь (19183).</w:t>
      </w:r>
    </w:p>
    <w:p w14:paraId="7AF95A19" w14:textId="77777777" w:rsidR="00BF0488" w:rsidRPr="00E14102" w:rsidRDefault="00BF0488"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4B0265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в полете компании Central Airlines впервые демонстрировался звуковой фильм (3101).</w:t>
      </w:r>
    </w:p>
    <w:p w14:paraId="36090321" w14:textId="77777777" w:rsidR="00D4105E" w:rsidRPr="00E14102" w:rsidRDefault="00D4105E" w:rsidP="00E14102">
      <w:pPr>
        <w:autoSpaceDE w:val="0"/>
        <w:autoSpaceDN w:val="0"/>
        <w:adjustRightInd w:val="0"/>
        <w:jc w:val="both"/>
        <w:rPr>
          <w:color w:val="000000" w:themeColor="text1"/>
          <w:sz w:val="16"/>
          <w:szCs w:val="16"/>
        </w:rPr>
      </w:pPr>
    </w:p>
    <w:p w14:paraId="12C9DAA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4D65EC8" w14:textId="77777777" w:rsidR="00D4105E" w:rsidRPr="00E14102" w:rsidRDefault="00D4105E" w:rsidP="00E14102">
      <w:pPr>
        <w:autoSpaceDE w:val="0"/>
        <w:autoSpaceDN w:val="0"/>
        <w:adjustRightInd w:val="0"/>
        <w:jc w:val="both"/>
        <w:rPr>
          <w:iCs/>
          <w:color w:val="000000" w:themeColor="text1"/>
          <w:sz w:val="16"/>
          <w:szCs w:val="16"/>
        </w:rPr>
      </w:pPr>
    </w:p>
    <w:p w14:paraId="0EFF13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середине 1935 испытывали ТБ-3 (АНТ-6) с тремя 76 пушками. Отчет пока не нашли. С лафета сняли короткоствольные полковые 1927 года и зенитную 1931 сохранив системы отката - люльки. Несмотря на длинный ствол пришлось обрезать нос ТБ, включая кабину штурмана. Выступал ствол на 250 мм а казенная - доходила до 2 лонжерона. 2 других - в консолях за крайними моторами вне винтов. На стержнях + накладки. Заряжали вручную. У командира был трехцветный пульт. Из крыльевых - можно было нажать спуск и из кабины (153,18).</w:t>
      </w:r>
    </w:p>
    <w:p w14:paraId="6A9223A3" w14:textId="77777777" w:rsidR="00D4105E" w:rsidRPr="00E14102" w:rsidRDefault="00D4105E" w:rsidP="00E14102">
      <w:pPr>
        <w:autoSpaceDE w:val="0"/>
        <w:autoSpaceDN w:val="0"/>
        <w:adjustRightInd w:val="0"/>
        <w:jc w:val="both"/>
        <w:rPr>
          <w:color w:val="000000" w:themeColor="text1"/>
          <w:sz w:val="16"/>
          <w:szCs w:val="16"/>
        </w:rPr>
      </w:pPr>
    </w:p>
    <w:p w14:paraId="036E16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середине 1935 г. государственные испытания проходил уже не экспериментальный. а боевой вариант пушечного ТБ-3. В носовой части его фюзеляжа разместили 76-мм зенитное орудие, а в консолях - по одной полковой пушке обр. 1927 г. Орудия заряжались вручную. Толщина крыла позволила укомплектовать крыльевые огневые точки артиллеристами, а потому сложные механические системы димтанционной перезарядки проектировать не потребовались. Вот только обслуживать обе артсистемы им приходилось, стоя на коленях. Для размещения центральной пушки кабину штурмана перенесли з фюзеляж, нос укоротили. Ствол проходил по коридору между сиденьями пилотов и торчал на 250 мм наружу. Наводка могла осуществляться только разворотом всего самолета, поскольку пушки закрепили неподвижно. Стреляли залпом, а сигналом служило загорание на командном щитке красной лампочки. Неприятным сюрпризом оказался разворот самолета за счет несинхронной стрельбы пушек в крыле - один дернул за шнур чуть раньше, другой - чуть позже. Избавиться от этого при подобной схеме управления огнем было невозможно (9807).</w:t>
      </w:r>
    </w:p>
    <w:p w14:paraId="31642678" w14:textId="77777777" w:rsidR="00D4105E" w:rsidRPr="00E14102" w:rsidRDefault="00D4105E" w:rsidP="00E14102">
      <w:pPr>
        <w:autoSpaceDE w:val="0"/>
        <w:autoSpaceDN w:val="0"/>
        <w:adjustRightInd w:val="0"/>
        <w:jc w:val="both"/>
        <w:rPr>
          <w:color w:val="000000" w:themeColor="text1"/>
          <w:sz w:val="16"/>
          <w:szCs w:val="16"/>
        </w:rPr>
      </w:pPr>
    </w:p>
    <w:p w14:paraId="6A249E1C" w14:textId="77777777" w:rsidR="00DA4A08" w:rsidRPr="00E14102" w:rsidRDefault="00DA4A08" w:rsidP="00E14102">
      <w:pPr>
        <w:autoSpaceDE w:val="0"/>
        <w:autoSpaceDN w:val="0"/>
        <w:adjustRightInd w:val="0"/>
        <w:jc w:val="both"/>
        <w:rPr>
          <w:color w:val="000000" w:themeColor="text1"/>
          <w:sz w:val="16"/>
          <w:szCs w:val="16"/>
        </w:rPr>
      </w:pPr>
      <w:r w:rsidRPr="00E14102">
        <w:rPr>
          <w:color w:val="000000" w:themeColor="text1"/>
          <w:sz w:val="16"/>
          <w:szCs w:val="16"/>
        </w:rPr>
        <w:t>В середине 1935 г. государственные испытания проходил уже не экспериментальный, а боевой вариант пушечного ТБ-3 - "объект Г-52". В носовой части его фюзеляжа разместили 76-мм зенитное орудие обр. 1931 г. (в доработанном виде - Г-52/л), а в консолях - по одной полковой пушке обр. 1927 г. (Г-52/к). В крыле пушки крепили к лонжеронам. Крыло дополнительно усилили трубчатыми тягами и дюралевыми профилями. Орудия заряжались вручную. Толщина крыла позволяла артиллеристам находиться у пушек. Только работать им приходилось сидя с вытянутыми ногами, спиной к носку крыла. Снаряды лежали на стойках, прикрепленных к верхним и нижним стрингерам крыла. На каждую пушку имелось 12 снарядов.</w:t>
      </w:r>
    </w:p>
    <w:p w14:paraId="19D2942E" w14:textId="77777777" w:rsidR="00DA4A08" w:rsidRPr="00E14102" w:rsidRDefault="00DA4A08"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Для размещения центральной пушки кабину штурмана перенесли в фюзеляж, к первой задней турели, а нос самолета укоротили и полностью лишили остекления. Ствол проходил по коридору между сиденьями пилотов и торчал на 250 мм наружу. Во время отката дульный срез уходил назад до 4-го шпангоута. Артиллерист располагался в центроплане. Там ему было весьма просторно. Боезапас у центральной пушки был больше, чем у крыльевых - 20 снарядов.</w:t>
      </w:r>
    </w:p>
    <w:p w14:paraId="3E8B73CA" w14:textId="77777777" w:rsidR="00DA4A08" w:rsidRPr="00E14102" w:rsidRDefault="00DA4A08" w:rsidP="00E14102">
      <w:pPr>
        <w:autoSpaceDE w:val="0"/>
        <w:autoSpaceDN w:val="0"/>
        <w:adjustRightInd w:val="0"/>
        <w:jc w:val="both"/>
        <w:rPr>
          <w:color w:val="000000" w:themeColor="text1"/>
          <w:sz w:val="16"/>
          <w:szCs w:val="16"/>
        </w:rPr>
      </w:pPr>
      <w:r w:rsidRPr="00E14102">
        <w:rPr>
          <w:color w:val="000000" w:themeColor="text1"/>
          <w:sz w:val="16"/>
          <w:szCs w:val="16"/>
        </w:rPr>
        <w:t>Самолет сохранял бомбовые кассеты в фюзеляже и мог взять 1000 кг бомб.</w:t>
      </w:r>
    </w:p>
    <w:p w14:paraId="06E5E660" w14:textId="77777777" w:rsidR="00DA4A08" w:rsidRPr="00E14102" w:rsidRDefault="00DA4A08" w:rsidP="00E14102">
      <w:pPr>
        <w:autoSpaceDE w:val="0"/>
        <w:autoSpaceDN w:val="0"/>
        <w:adjustRightInd w:val="0"/>
        <w:jc w:val="both"/>
        <w:rPr>
          <w:color w:val="000000" w:themeColor="text1"/>
          <w:sz w:val="16"/>
          <w:szCs w:val="16"/>
        </w:rPr>
      </w:pPr>
      <w:r w:rsidRPr="00E14102">
        <w:rPr>
          <w:color w:val="000000" w:themeColor="text1"/>
          <w:sz w:val="16"/>
          <w:szCs w:val="16"/>
        </w:rPr>
        <w:t>Предполагалось, что группы "летающих батарей" будут идти впереди основного соединения бомбардировщиков и расчищать им дорогу. Залп трех пушек поражал осколками 10000 куб.м - примерно такое пространство занимало звено тогдашних истребителей. Перед ними ставилась также задача уничтожения аэростатов заграждения, либо непосредственно осколочными снарядами, либо перебивая их тросы шрапнелью Гарфа (части которой скреплялись тросиками).</w:t>
      </w:r>
    </w:p>
    <w:p w14:paraId="3CC3AA1F" w14:textId="77777777" w:rsidR="00DA4A08" w:rsidRPr="00E14102" w:rsidRDefault="00DA4A08" w:rsidP="00E14102">
      <w:pPr>
        <w:autoSpaceDE w:val="0"/>
        <w:autoSpaceDN w:val="0"/>
        <w:adjustRightInd w:val="0"/>
        <w:jc w:val="both"/>
        <w:rPr>
          <w:color w:val="000000" w:themeColor="text1"/>
          <w:sz w:val="16"/>
          <w:szCs w:val="16"/>
        </w:rPr>
      </w:pPr>
      <w:r w:rsidRPr="00E14102">
        <w:rPr>
          <w:color w:val="000000" w:themeColor="text1"/>
          <w:sz w:val="16"/>
          <w:szCs w:val="16"/>
        </w:rPr>
        <w:t>"Летающие батареи" могли использоваться и в обороне. Имея большую дальность стрельбы, они могли стрелять по бомбардировщикам противника из-за пределов эффективного поражения их вооружением. В первую очередь, они могли расстроить боевое построение, после чего вдело вступали обычные истребители или машины, стартовавшие с других ТБ-3 - "летающих авианосцев".</w:t>
      </w:r>
    </w:p>
    <w:p w14:paraId="39623869" w14:textId="77777777" w:rsidR="00DA4A08" w:rsidRPr="00E14102" w:rsidRDefault="00DA4A08" w:rsidP="00E14102">
      <w:pPr>
        <w:autoSpaceDE w:val="0"/>
        <w:autoSpaceDN w:val="0"/>
        <w:adjustRightInd w:val="0"/>
        <w:jc w:val="both"/>
        <w:rPr>
          <w:color w:val="000000" w:themeColor="text1"/>
          <w:sz w:val="16"/>
          <w:szCs w:val="16"/>
        </w:rPr>
      </w:pPr>
      <w:r w:rsidRPr="00E14102">
        <w:rPr>
          <w:color w:val="000000" w:themeColor="text1"/>
          <w:sz w:val="16"/>
          <w:szCs w:val="16"/>
        </w:rPr>
        <w:t>Г-52 мог работать и против наземных целей. Стреляя сверху вниз, он получал преимущества в дальности полета снаряда. Центральная пушка могла поразить цель за 18 км от самолета, не входя в зону стрельбы зенитной артиллерии, обороняющей объект. Конструкторы считали, что целями могут являться аэродромы, корабли, мосты, железнодорожные узлы, нефтепромыслы, города (12036).</w:t>
      </w:r>
    </w:p>
    <w:p w14:paraId="081AE31F" w14:textId="77777777" w:rsidR="00DA4A08" w:rsidRPr="00E14102" w:rsidRDefault="00DA4A08" w:rsidP="00E14102">
      <w:pPr>
        <w:autoSpaceDE w:val="0"/>
        <w:autoSpaceDN w:val="0"/>
        <w:adjustRightInd w:val="0"/>
        <w:jc w:val="both"/>
        <w:rPr>
          <w:color w:val="000000" w:themeColor="text1"/>
          <w:sz w:val="16"/>
          <w:szCs w:val="16"/>
        </w:rPr>
      </w:pPr>
    </w:p>
    <w:p w14:paraId="0A87E0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середины 1935 г. велась подготовка к выпуску ТБ-3РН и завод № 22 лишь ждал окончательного утверждения эталона. На 1936 г. ВВС заказали 185 ТБ-ЗРН. На 1 сентября 60 машин уже состыковали и на 20 из них установили моторы. Но на бомбардировщиках не хватало винтов, колес, бомбодержателей. Самолет считался особо важным для ВВС наряду с СБ, поэтому на стол к Алкснису ежедневно ложились сводки о состоянии производства и приемке готовых машин. На 1 февраля 1936 г. на заводской аэродром вывели уже 82 ТБ-ЗРН, на которых производили различные доделки. 27 февраля три первых машины облетали, а уже 3 марта они отправились в Монино на войсковые испытания.</w:t>
      </w:r>
    </w:p>
    <w:p w14:paraId="19CE79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7 июня 1936 г. 18 самолетов отправились в различные строевые части. Приоритет в получении новых бомбардировщиков получили 23-я тбаб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тбаб, прошедшая переподготовку в Москве. Самолеты, отправлявшиеся на Дальний Восток, комплектовали пеленгаторами АПР-1 или АГ1Р-3.</w:t>
      </w:r>
    </w:p>
    <w:p w14:paraId="211B54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законцовками стабилизатора, развитыми зализами между крылом и фюзеляжем.</w:t>
      </w:r>
    </w:p>
    <w:p w14:paraId="307700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неубираю- шееся шасси и открытая пилотская кабина выглядели анахронизмом.</w:t>
      </w:r>
    </w:p>
    <w:p w14:paraId="606B71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14FC2F76" w14:textId="77777777" w:rsidR="00D4105E" w:rsidRPr="00E14102" w:rsidRDefault="00D4105E" w:rsidP="00E14102">
      <w:pPr>
        <w:autoSpaceDE w:val="0"/>
        <w:autoSpaceDN w:val="0"/>
        <w:adjustRightInd w:val="0"/>
        <w:jc w:val="both"/>
        <w:rPr>
          <w:color w:val="000000" w:themeColor="text1"/>
          <w:sz w:val="16"/>
          <w:szCs w:val="16"/>
        </w:rPr>
      </w:pPr>
    </w:p>
    <w:p w14:paraId="29B585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середине 1935 г. работы по тяжелому бомбардировщику ТБ-4 на базе МГ полностью прекратили. 26 августа все материалы по этой машине сдали в архив конструкторского отдела ЦАГИ.</w:t>
      </w:r>
    </w:p>
    <w:p w14:paraId="33C4E7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16 новых гигантов решили передать в гражданскую авиацию. При этом никто не отдавал себе отчета, где и как их будут эксплуатировать. Экономическая эффективность лайнеров большой вместимости при тогдашнем пассажиропотоке, когда летали практически только начальники и командировочные, была весьма сомнительна. В то же время проблем эскадрилья многомоторных монстров создавала множество. Им требовались большие аэродромы с твердым покрытием, специальная техника для заправки и обслуживания. Например, тягача, способного буксировать подобный самолет, в стране вообще не существовало.</w:t>
      </w:r>
    </w:p>
    <w:p w14:paraId="23E757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основному назначению машины теперь считались пассажирскими на 60 мест. Но в военное время их собирались мобилизовать и использовать как тяжелые ночные бомбардировщики и военно-транспортные самолеты. В соответствии с таким подходом установка стрелкового и бомбового вооружения предусматривалась конструкцией, но само оно не монтировалось. А вот бомбовый прицел ОПБ-1 и самолетное переговорное устройство собирались устанавливать сразу. От первого "Максима Горького" новые машины, названные АНТ-20бис, должны были отличаться наличием шести, а не восьми моторов, но большей мощности, типа М-34РН с металлическими трехлопастными винтами. Доставлявшую столько хлопот верхнюю мотоустановку намеревались ликвидировать. Площадь крыла немного, на 6 кв.м, уменьшили. В список оборудования входили американский автопилот фирмы "Сперри", современные гироскопические приборы, радиополукомпас, пусковые трубы для парашютных осветительных ракет ПАР-13 (12024).</w:t>
      </w:r>
    </w:p>
    <w:p w14:paraId="7D1FB14D" w14:textId="77777777" w:rsidR="00D4105E" w:rsidRPr="00E14102" w:rsidRDefault="00D4105E" w:rsidP="00E14102">
      <w:pPr>
        <w:autoSpaceDE w:val="0"/>
        <w:autoSpaceDN w:val="0"/>
        <w:adjustRightInd w:val="0"/>
        <w:jc w:val="both"/>
        <w:rPr>
          <w:color w:val="000000" w:themeColor="text1"/>
          <w:sz w:val="16"/>
          <w:szCs w:val="16"/>
        </w:rPr>
      </w:pPr>
    </w:p>
    <w:p w14:paraId="43E1DD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середине 1935 г. работы по бомбардировщику ТБ-4 на базе МГ прекратили. 26 августа все материалы по этой машине сдали в архив конструкторского отдела ЦАГИ.</w:t>
      </w:r>
    </w:p>
    <w:p w14:paraId="4B059F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16 новых гигантов решили передать в гражданскую авиацию. По основному назначению они теперь считались пассажирскими. Но в военное время их собирались мобилизовать и использовать как тяжелые ночные бомбардировщики и военно-транспортные самолеты. В соответствии с таким подходом установка стрелкового и бомбового вооружения предусматривалась конструкцией, но само оно не монтировалось. А вот бомбовый прицел ОПБ-1 и самолетное переговорное устройство собирались устанавливать сразу. От первого "Максима Горького" новые машины, названные АНТ-20бис, должны были отличаться наличием шести, а не восьми моторов, но большей мощности, типа М-34РН. Доставлявшую столько хлопот верхнюю мотоустановку намеревались ликвидировать. Площадь крыла немного уменьшили. В список оборудования входили американский автопилот "Сперри", современные гироприборы, радиополукомпас, пусковые трубы для парашютных осветительных ракет ПАР-13 (12036).</w:t>
      </w:r>
    </w:p>
    <w:p w14:paraId="31CCFE75" w14:textId="77777777" w:rsidR="00D4105E" w:rsidRPr="00E14102" w:rsidRDefault="00D4105E" w:rsidP="00E14102">
      <w:pPr>
        <w:autoSpaceDE w:val="0"/>
        <w:autoSpaceDN w:val="0"/>
        <w:adjustRightInd w:val="0"/>
        <w:jc w:val="both"/>
        <w:rPr>
          <w:color w:val="000000" w:themeColor="text1"/>
          <w:sz w:val="16"/>
          <w:szCs w:val="16"/>
        </w:rPr>
      </w:pPr>
    </w:p>
    <w:p w14:paraId="4EA72144" w14:textId="77777777" w:rsidR="00705486" w:rsidRPr="00E14102" w:rsidRDefault="00705486" w:rsidP="00E14102">
      <w:pPr>
        <w:jc w:val="both"/>
        <w:rPr>
          <w:color w:val="0070C0"/>
          <w:sz w:val="16"/>
          <w:szCs w:val="16"/>
        </w:rPr>
      </w:pPr>
      <w:r w:rsidRPr="00E14102">
        <w:rPr>
          <w:color w:val="0070C0"/>
          <w:sz w:val="16"/>
          <w:szCs w:val="16"/>
        </w:rPr>
        <w:t>В середине 1935 г. построили и выкатили на аэродром штурмовой вари</w:t>
      </w:r>
      <w:r w:rsidRPr="00E14102">
        <w:rPr>
          <w:color w:val="0070C0"/>
          <w:sz w:val="16"/>
          <w:szCs w:val="16"/>
        </w:rPr>
        <w:softHyphen/>
        <w:t>ант ЛШ-2 РЦ (Легкий Штурмовик - 2 с двигателем Райт «Циклон»), который в период проектирования обозначался как ЦКБ-38. В период с 31 октября по 29 ноября самолет под обозначением ДИ-6Ш проходил сов</w:t>
      </w:r>
      <w:r w:rsidRPr="00E14102">
        <w:rPr>
          <w:color w:val="0070C0"/>
          <w:sz w:val="16"/>
          <w:szCs w:val="16"/>
        </w:rPr>
        <w:softHyphen/>
        <w:t>местные (т.е. заводские и государственные) испытания ис</w:t>
      </w:r>
      <w:r w:rsidRPr="00E14102">
        <w:rPr>
          <w:color w:val="0070C0"/>
          <w:sz w:val="16"/>
          <w:szCs w:val="16"/>
        </w:rPr>
        <w:softHyphen/>
        <w:t>требителя. ДИ-6Ш был вооружен батареей из четырех пулеметов ПВ-1, размещенных попарно под нижним крылом и закры</w:t>
      </w:r>
      <w:r w:rsidRPr="00E14102">
        <w:rPr>
          <w:color w:val="0070C0"/>
          <w:sz w:val="16"/>
          <w:szCs w:val="16"/>
        </w:rPr>
        <w:softHyphen/>
        <w:t>тых обтекателями. Бомбы внутри фюзеляжа общим весом до 40 кг, под крылом - до 80 кг (20362).</w:t>
      </w:r>
    </w:p>
    <w:p w14:paraId="7CB41241" w14:textId="77777777" w:rsidR="00705486" w:rsidRPr="00E14102" w:rsidRDefault="00705486" w:rsidP="00E14102">
      <w:pPr>
        <w:shd w:val="clear" w:color="auto" w:fill="FFFFFF"/>
        <w:jc w:val="both"/>
        <w:rPr>
          <w:color w:val="0070C0"/>
          <w:sz w:val="16"/>
          <w:szCs w:val="16"/>
        </w:rPr>
      </w:pPr>
    </w:p>
    <w:p w14:paraId="204A93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середине 1935 г. несмотря на успешные полеты И-15 и его перспек</w:t>
      </w:r>
      <w:r w:rsidRPr="00E14102">
        <w:rPr>
          <w:color w:val="000000" w:themeColor="text1"/>
          <w:sz w:val="16"/>
          <w:szCs w:val="16"/>
        </w:rPr>
        <w:softHyphen/>
        <w:t>тивность у руководства ВВС сложи</w:t>
      </w:r>
      <w:r w:rsidRPr="00E14102">
        <w:rPr>
          <w:color w:val="000000" w:themeColor="text1"/>
          <w:sz w:val="16"/>
          <w:szCs w:val="16"/>
        </w:rPr>
        <w:softHyphen/>
        <w:t>лось отрицательное отношение к самолету (10667).</w:t>
      </w:r>
    </w:p>
    <w:p w14:paraId="67FE6E1C" w14:textId="77777777" w:rsidR="00D4105E" w:rsidRPr="00E14102" w:rsidRDefault="00D4105E" w:rsidP="00E14102">
      <w:pPr>
        <w:autoSpaceDE w:val="0"/>
        <w:autoSpaceDN w:val="0"/>
        <w:adjustRightInd w:val="0"/>
        <w:jc w:val="both"/>
        <w:rPr>
          <w:color w:val="000000" w:themeColor="text1"/>
          <w:sz w:val="16"/>
          <w:szCs w:val="16"/>
        </w:rPr>
      </w:pPr>
    </w:p>
    <w:p w14:paraId="3E3147D3" w14:textId="77777777" w:rsidR="00705486" w:rsidRPr="00E14102" w:rsidRDefault="00705486" w:rsidP="00E14102">
      <w:pPr>
        <w:jc w:val="both"/>
        <w:rPr>
          <w:color w:val="0070C0"/>
          <w:sz w:val="16"/>
          <w:szCs w:val="16"/>
        </w:rPr>
      </w:pPr>
      <w:r w:rsidRPr="00E14102">
        <w:rPr>
          <w:color w:val="0070C0"/>
          <w:sz w:val="16"/>
          <w:szCs w:val="16"/>
        </w:rPr>
        <w:t>В первой по</w:t>
      </w:r>
      <w:r w:rsidRPr="00E14102">
        <w:rPr>
          <w:color w:val="0070C0"/>
          <w:sz w:val="16"/>
          <w:szCs w:val="16"/>
        </w:rPr>
        <w:softHyphen/>
        <w:t>ловине 1935 г. после произведенных доработок Сталь-3 с двигателем М-22 запустили в се</w:t>
      </w:r>
      <w:r w:rsidRPr="00E14102">
        <w:rPr>
          <w:color w:val="0070C0"/>
          <w:sz w:val="16"/>
          <w:szCs w:val="16"/>
        </w:rPr>
        <w:softHyphen/>
        <w:t>рию на заводе №81, где он должен был полностью заме</w:t>
      </w:r>
      <w:r w:rsidRPr="00E14102">
        <w:rPr>
          <w:color w:val="0070C0"/>
          <w:sz w:val="16"/>
          <w:szCs w:val="16"/>
        </w:rPr>
        <w:softHyphen/>
        <w:t>нить Сталь-2. В 1935 г. построили 29 новых транспортни</w:t>
      </w:r>
      <w:r w:rsidRPr="00E14102">
        <w:rPr>
          <w:color w:val="0070C0"/>
          <w:sz w:val="16"/>
          <w:szCs w:val="16"/>
        </w:rPr>
        <w:softHyphen/>
        <w:t>ков, в 1936 г. — 50 самолетов. Суммарный выпуск Сталь-3 составил 79 экземпляров (20365).</w:t>
      </w:r>
    </w:p>
    <w:p w14:paraId="039D346F" w14:textId="77777777" w:rsidR="00705486" w:rsidRPr="00E14102" w:rsidRDefault="00705486" w:rsidP="00E14102">
      <w:pPr>
        <w:jc w:val="both"/>
        <w:rPr>
          <w:color w:val="0070C0"/>
          <w:sz w:val="16"/>
          <w:szCs w:val="16"/>
        </w:rPr>
      </w:pPr>
    </w:p>
    <w:p w14:paraId="26D30C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сере</w:t>
      </w:r>
      <w:r w:rsidRPr="00E14102">
        <w:rPr>
          <w:color w:val="000000" w:themeColor="text1"/>
          <w:sz w:val="16"/>
          <w:szCs w:val="16"/>
        </w:rPr>
        <w:softHyphen/>
        <w:t>дине 1935 г. сформировался окончательный облик КОР-1 11 июня специальная комиссия рассмотре</w:t>
      </w:r>
      <w:r w:rsidRPr="00E14102">
        <w:rPr>
          <w:color w:val="000000" w:themeColor="text1"/>
          <w:sz w:val="16"/>
          <w:szCs w:val="16"/>
        </w:rPr>
        <w:softHyphen/>
        <w:t>ла полноразмерный макет самолета и утвердила его. Кон</w:t>
      </w:r>
      <w:r w:rsidRPr="00E14102">
        <w:rPr>
          <w:color w:val="000000" w:themeColor="text1"/>
          <w:sz w:val="16"/>
          <w:szCs w:val="16"/>
        </w:rPr>
        <w:softHyphen/>
        <w:t>структивная разработка в основном закончилась в декаб</w:t>
      </w:r>
      <w:r w:rsidRPr="00E14102">
        <w:rPr>
          <w:color w:val="000000" w:themeColor="text1"/>
          <w:sz w:val="16"/>
          <w:szCs w:val="16"/>
        </w:rPr>
        <w:softHyphen/>
        <w:t>ре 1935 г., к окончанию лета 1936 г. в Таганроге построили первый опытный экземпляр и подготовили его к летным испытаниям (11107).</w:t>
      </w:r>
    </w:p>
    <w:p w14:paraId="099EEC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0D5E87C" w14:textId="77777777" w:rsidR="00DA4A08" w:rsidRPr="00E14102" w:rsidRDefault="00DA4A08" w:rsidP="00E14102">
      <w:pPr>
        <w:pStyle w:val="61"/>
        <w:shd w:val="clear" w:color="auto" w:fill="auto"/>
        <w:spacing w:before="0" w:line="240" w:lineRule="auto"/>
        <w:rPr>
          <w:color w:val="000000" w:themeColor="text1"/>
          <w:sz w:val="16"/>
          <w:szCs w:val="16"/>
        </w:rPr>
      </w:pPr>
      <w:r w:rsidRPr="00E14102">
        <w:rPr>
          <w:color w:val="000000" w:themeColor="text1"/>
          <w:sz w:val="16"/>
          <w:szCs w:val="16"/>
        </w:rPr>
        <w:t>К середине 1935 года сформиро</w:t>
      </w:r>
      <w:r w:rsidRPr="00E14102">
        <w:rPr>
          <w:color w:val="000000" w:themeColor="text1"/>
          <w:sz w:val="16"/>
          <w:szCs w:val="16"/>
        </w:rPr>
        <w:softHyphen/>
        <w:t>вался окончательный облик КОР-1 - 11 июня специ</w:t>
      </w:r>
      <w:r w:rsidRPr="00E14102">
        <w:rPr>
          <w:color w:val="000000" w:themeColor="text1"/>
          <w:sz w:val="16"/>
          <w:szCs w:val="16"/>
        </w:rPr>
        <w:softHyphen/>
        <w:t>альная комиссия рассмотрела полноразмер</w:t>
      </w:r>
      <w:r w:rsidRPr="00E14102">
        <w:rPr>
          <w:color w:val="000000" w:themeColor="text1"/>
          <w:sz w:val="16"/>
          <w:szCs w:val="16"/>
        </w:rPr>
        <w:softHyphen/>
        <w:t>ный макет самолета и утвердила его. Кон</w:t>
      </w:r>
      <w:r w:rsidRPr="00E14102">
        <w:rPr>
          <w:color w:val="000000" w:themeColor="text1"/>
          <w:sz w:val="16"/>
          <w:szCs w:val="16"/>
        </w:rPr>
        <w:softHyphen/>
        <w:t>структивная разработка в основном закончи</w:t>
      </w:r>
      <w:r w:rsidRPr="00E14102">
        <w:rPr>
          <w:color w:val="000000" w:themeColor="text1"/>
          <w:sz w:val="16"/>
          <w:szCs w:val="16"/>
        </w:rPr>
        <w:softHyphen/>
        <w:t>лась в декабре 1935 года, а к окончанию ле</w:t>
      </w:r>
      <w:r w:rsidRPr="00E14102">
        <w:rPr>
          <w:color w:val="000000" w:themeColor="text1"/>
          <w:sz w:val="16"/>
          <w:szCs w:val="16"/>
        </w:rPr>
        <w:softHyphen/>
        <w:t>та следующего года первый опытный экзем</w:t>
      </w:r>
      <w:r w:rsidRPr="00E14102">
        <w:rPr>
          <w:color w:val="000000" w:themeColor="text1"/>
          <w:sz w:val="16"/>
          <w:szCs w:val="16"/>
        </w:rPr>
        <w:softHyphen/>
        <w:t>пляр построили в Таганроге и подготовили к летным испытаниям.</w:t>
      </w:r>
    </w:p>
    <w:p w14:paraId="1944BADC" w14:textId="77777777" w:rsidR="00DA4A08" w:rsidRPr="00E14102" w:rsidRDefault="00DA4A08" w:rsidP="00E14102">
      <w:pPr>
        <w:jc w:val="both"/>
        <w:rPr>
          <w:color w:val="000000" w:themeColor="text1"/>
          <w:sz w:val="16"/>
          <w:szCs w:val="16"/>
        </w:rPr>
      </w:pPr>
      <w:r w:rsidRPr="00E14102">
        <w:rPr>
          <w:color w:val="000000" w:themeColor="text1"/>
          <w:sz w:val="16"/>
          <w:szCs w:val="16"/>
        </w:rPr>
        <w:t>КОР-1 представлял собой нормальный, т.е. классический, биплан на одном цент</w:t>
      </w:r>
      <w:r w:rsidRPr="00E14102">
        <w:rPr>
          <w:color w:val="000000" w:themeColor="text1"/>
          <w:sz w:val="16"/>
          <w:szCs w:val="16"/>
        </w:rPr>
        <w:softHyphen/>
        <w:t>ральном поплавке с двумя поплавками боко</w:t>
      </w:r>
      <w:r w:rsidRPr="00E14102">
        <w:rPr>
          <w:color w:val="000000" w:themeColor="text1"/>
          <w:sz w:val="16"/>
          <w:szCs w:val="16"/>
        </w:rPr>
        <w:softHyphen/>
        <w:t>вой остойчивости. Конструкция полностью металлическая, с обшивкой из полотна. Был оснащен звездообразным двигателем М-25 мощностью 700 л.с. с трехлопастным воз</w:t>
      </w:r>
      <w:r w:rsidRPr="00E14102">
        <w:rPr>
          <w:color w:val="000000" w:themeColor="text1"/>
          <w:sz w:val="16"/>
          <w:szCs w:val="16"/>
        </w:rPr>
        <w:softHyphen/>
        <w:t>душным винтом постоянного шага. В серии обычно устанавливались двухлопастные воз</w:t>
      </w:r>
      <w:r w:rsidRPr="00E14102">
        <w:rPr>
          <w:color w:val="000000" w:themeColor="text1"/>
          <w:sz w:val="16"/>
          <w:szCs w:val="16"/>
        </w:rPr>
        <w:softHyphen/>
        <w:t>душные винты постоянного шага. Экипаж составляли два человека: летчик и воздушный стрелок-наблюдатель. Наступательное воо</w:t>
      </w:r>
      <w:r w:rsidRPr="00E14102">
        <w:rPr>
          <w:color w:val="000000" w:themeColor="text1"/>
          <w:sz w:val="16"/>
          <w:szCs w:val="16"/>
        </w:rPr>
        <w:softHyphen/>
        <w:t>ружение включало два пулемета ШКАС на верхнем крыле. Пулеметы выступали из кры</w:t>
      </w:r>
      <w:r w:rsidRPr="00E14102">
        <w:rPr>
          <w:color w:val="000000" w:themeColor="text1"/>
          <w:sz w:val="16"/>
          <w:szCs w:val="16"/>
        </w:rPr>
        <w:softHyphen/>
        <w:t>ла и были вынесены за пределы вращающе</w:t>
      </w:r>
      <w:r w:rsidRPr="00E14102">
        <w:rPr>
          <w:color w:val="000000" w:themeColor="text1"/>
          <w:sz w:val="16"/>
          <w:szCs w:val="16"/>
        </w:rPr>
        <w:softHyphen/>
        <w:t>гося воздушного винта. Оборонительное во</w:t>
      </w:r>
      <w:r w:rsidRPr="00E14102">
        <w:rPr>
          <w:color w:val="000000" w:themeColor="text1"/>
          <w:sz w:val="16"/>
          <w:szCs w:val="16"/>
        </w:rPr>
        <w:softHyphen/>
        <w:t>оружение — один пулемет ШКАС на шквор</w:t>
      </w:r>
      <w:r w:rsidRPr="00E14102">
        <w:rPr>
          <w:color w:val="000000" w:themeColor="text1"/>
          <w:sz w:val="16"/>
          <w:szCs w:val="16"/>
        </w:rPr>
        <w:softHyphen/>
        <w:t>невой установке у воздушного стрелка. Бом</w:t>
      </w:r>
      <w:r w:rsidRPr="00E14102">
        <w:rPr>
          <w:color w:val="000000" w:themeColor="text1"/>
          <w:sz w:val="16"/>
          <w:szCs w:val="16"/>
        </w:rPr>
        <w:softHyphen/>
        <w:t>бардировочное вооружение - две авиабомбы калибра 50 кг под нижним крылом на стан</w:t>
      </w:r>
      <w:r w:rsidRPr="00E14102">
        <w:rPr>
          <w:color w:val="000000" w:themeColor="text1"/>
          <w:sz w:val="16"/>
          <w:szCs w:val="16"/>
        </w:rPr>
        <w:softHyphen/>
        <w:t>дартных держателях (12301).</w:t>
      </w:r>
    </w:p>
    <w:p w14:paraId="7CC14D47" w14:textId="77777777" w:rsidR="00DA4A08" w:rsidRPr="00E14102" w:rsidRDefault="00DA4A08" w:rsidP="00E14102">
      <w:pPr>
        <w:jc w:val="both"/>
        <w:rPr>
          <w:color w:val="000000" w:themeColor="text1"/>
          <w:sz w:val="16"/>
          <w:szCs w:val="16"/>
        </w:rPr>
      </w:pPr>
    </w:p>
    <w:p w14:paraId="1EBEA850" w14:textId="77777777" w:rsidR="00026948" w:rsidRPr="00E14102" w:rsidRDefault="00026948" w:rsidP="00E14102">
      <w:pPr>
        <w:jc w:val="both"/>
        <w:rPr>
          <w:color w:val="000000" w:themeColor="text1"/>
          <w:sz w:val="16"/>
          <w:szCs w:val="16"/>
        </w:rPr>
      </w:pPr>
      <w:r w:rsidRPr="00E14102">
        <w:rPr>
          <w:color w:val="000000" w:themeColor="text1"/>
          <w:sz w:val="16"/>
          <w:szCs w:val="16"/>
        </w:rPr>
        <w:t>В середине 1935 г. работы над МК-1 были прекращены, так как во второй половине 1930-х гг. его летные качества выглядели анахронизмом, и МК-1 мог стать легкой добычей не только истребителя, но и современной «летающей лодки». Кроме того, для обслуживания такого гиганта требовалось большое количество технических средств и наземного персонала. Подготовка к полету и само его обеспечение оказались слишком сложными и длительными (15117).</w:t>
      </w:r>
    </w:p>
    <w:p w14:paraId="134BC0EF" w14:textId="77777777" w:rsidR="00026948" w:rsidRPr="00E14102" w:rsidRDefault="00026948" w:rsidP="00E14102">
      <w:pPr>
        <w:jc w:val="both"/>
        <w:rPr>
          <w:color w:val="000000" w:themeColor="text1"/>
          <w:sz w:val="16"/>
          <w:szCs w:val="16"/>
        </w:rPr>
      </w:pPr>
    </w:p>
    <w:p w14:paraId="656D30A0" w14:textId="77777777" w:rsidR="00705486" w:rsidRPr="00E14102" w:rsidRDefault="00705486" w:rsidP="00E14102">
      <w:pPr>
        <w:jc w:val="both"/>
        <w:rPr>
          <w:color w:val="0070C0"/>
          <w:sz w:val="16"/>
          <w:szCs w:val="16"/>
        </w:rPr>
      </w:pPr>
      <w:r w:rsidRPr="00E14102">
        <w:rPr>
          <w:rStyle w:val="641"/>
          <w:rFonts w:ascii="Times New Roman" w:hAnsi="Times New Roman" w:cs="Times New Roman"/>
          <w:color w:val="0070C0"/>
          <w:sz w:val="16"/>
          <w:szCs w:val="16"/>
        </w:rPr>
        <w:lastRenderedPageBreak/>
        <w:t>В середине 1935 года, после появления в апреле предварительного отчета заводских испыта</w:t>
      </w:r>
      <w:r w:rsidRPr="00E14102">
        <w:rPr>
          <w:rStyle w:val="641"/>
          <w:rFonts w:ascii="Times New Roman" w:hAnsi="Times New Roman" w:cs="Times New Roman"/>
          <w:color w:val="0070C0"/>
          <w:sz w:val="16"/>
          <w:szCs w:val="16"/>
        </w:rPr>
        <w:softHyphen/>
        <w:t>ний началась проработка модернизированного вари</w:t>
      </w:r>
      <w:r w:rsidRPr="00E14102">
        <w:rPr>
          <w:rStyle w:val="641"/>
          <w:rFonts w:ascii="Times New Roman" w:hAnsi="Times New Roman" w:cs="Times New Roman"/>
          <w:color w:val="0070C0"/>
          <w:sz w:val="16"/>
          <w:szCs w:val="16"/>
        </w:rPr>
        <w:softHyphen/>
        <w:t>анта А-7. Отдельного технического задания, похо</w:t>
      </w:r>
      <w:r w:rsidRPr="00E14102">
        <w:rPr>
          <w:rStyle w:val="641"/>
          <w:rFonts w:ascii="Times New Roman" w:hAnsi="Times New Roman" w:cs="Times New Roman"/>
          <w:color w:val="0070C0"/>
          <w:sz w:val="16"/>
          <w:szCs w:val="16"/>
        </w:rPr>
        <w:softHyphen/>
        <w:t>же, не было - его заменили замечания, предъявленные на государственных испыта</w:t>
      </w:r>
      <w:r w:rsidRPr="00E14102">
        <w:rPr>
          <w:rStyle w:val="641"/>
          <w:rFonts w:ascii="Times New Roman" w:hAnsi="Times New Roman" w:cs="Times New Roman"/>
          <w:color w:val="0070C0"/>
          <w:sz w:val="16"/>
          <w:szCs w:val="16"/>
        </w:rPr>
        <w:softHyphen/>
        <w:t>ниях, во многом перекликавшиеся с резуль</w:t>
      </w:r>
      <w:r w:rsidRPr="00E14102">
        <w:rPr>
          <w:rStyle w:val="641"/>
          <w:rFonts w:ascii="Times New Roman" w:hAnsi="Times New Roman" w:cs="Times New Roman"/>
          <w:color w:val="0070C0"/>
          <w:sz w:val="16"/>
          <w:szCs w:val="16"/>
        </w:rPr>
        <w:softHyphen/>
        <w:t>татами заводских. Объем работ предстоял действительно колоссальный. Доработать или полностью переделать надо было кабан ротора, фюзеляж, переднюю ногу шасси, систему механического запуска, механизм складывания крыла, оперение и значитель</w:t>
      </w:r>
      <w:r w:rsidRPr="00E14102">
        <w:rPr>
          <w:rStyle w:val="641"/>
          <w:rFonts w:ascii="Times New Roman" w:hAnsi="Times New Roman" w:cs="Times New Roman"/>
          <w:color w:val="0070C0"/>
          <w:sz w:val="16"/>
          <w:szCs w:val="16"/>
        </w:rPr>
        <w:softHyphen/>
        <w:t>ную часть оборудования.</w:t>
      </w:r>
    </w:p>
    <w:p w14:paraId="28EF4936" w14:textId="77777777" w:rsidR="00705486" w:rsidRPr="00E14102" w:rsidRDefault="00705486" w:rsidP="00E14102">
      <w:pPr>
        <w:jc w:val="both"/>
        <w:rPr>
          <w:color w:val="0070C0"/>
          <w:sz w:val="16"/>
          <w:szCs w:val="16"/>
        </w:rPr>
      </w:pPr>
      <w:r w:rsidRPr="00E14102">
        <w:rPr>
          <w:rStyle w:val="641"/>
          <w:rFonts w:ascii="Times New Roman" w:hAnsi="Times New Roman" w:cs="Times New Roman"/>
          <w:color w:val="0070C0"/>
          <w:sz w:val="16"/>
          <w:szCs w:val="16"/>
        </w:rPr>
        <w:t>Проектированием начал заниматься все тот же отдел особых конструкций ЦАГИ (ООК) во главе с А.М. Изаксоном. В ООК было четы</w:t>
      </w:r>
      <w:r w:rsidRPr="00E14102">
        <w:rPr>
          <w:rStyle w:val="641"/>
          <w:rFonts w:ascii="Times New Roman" w:hAnsi="Times New Roman" w:cs="Times New Roman"/>
          <w:color w:val="0070C0"/>
          <w:sz w:val="16"/>
          <w:szCs w:val="16"/>
        </w:rPr>
        <w:softHyphen/>
        <w:t>ре автожирные бригады: М.Л. Миля, В.А. Куз</w:t>
      </w:r>
      <w:r w:rsidRPr="00E14102">
        <w:rPr>
          <w:rStyle w:val="641"/>
          <w:rFonts w:ascii="Times New Roman" w:hAnsi="Times New Roman" w:cs="Times New Roman"/>
          <w:color w:val="0070C0"/>
          <w:sz w:val="16"/>
          <w:szCs w:val="16"/>
        </w:rPr>
        <w:softHyphen/>
        <w:t>нецова, Н.И. Камова, Н.К. Скржинского. И еще две чисто вертолетных бригады: В.П. Лаписова - экспериментальные исследова</w:t>
      </w:r>
      <w:r w:rsidRPr="00E14102">
        <w:rPr>
          <w:rStyle w:val="641"/>
          <w:rFonts w:ascii="Times New Roman" w:hAnsi="Times New Roman" w:cs="Times New Roman"/>
          <w:color w:val="0070C0"/>
          <w:sz w:val="16"/>
          <w:szCs w:val="16"/>
        </w:rPr>
        <w:softHyphen/>
        <w:t>ния и летные испытания и И.П. Братухина - конструкторская. Также в ООК имелись еще и две вспомогательных бригады. 1 июля 1936 года приказом НКТП за подписью А.Н. Тупо</w:t>
      </w:r>
      <w:r w:rsidRPr="00E14102">
        <w:rPr>
          <w:rStyle w:val="641"/>
          <w:rFonts w:ascii="Times New Roman" w:hAnsi="Times New Roman" w:cs="Times New Roman"/>
          <w:color w:val="0070C0"/>
          <w:sz w:val="16"/>
          <w:szCs w:val="16"/>
        </w:rPr>
        <w:softHyphen/>
        <w:t>лева из ЦАГИ были выделены завод опытных конструкций (ЗОК) и конструкторский отдел. ООК преобразовали в КБ № 3 по винтовым аппаратам.</w:t>
      </w:r>
    </w:p>
    <w:p w14:paraId="7ED86359" w14:textId="77777777" w:rsidR="00705486" w:rsidRPr="00E14102" w:rsidRDefault="00705486" w:rsidP="00E14102">
      <w:pPr>
        <w:jc w:val="both"/>
        <w:rPr>
          <w:color w:val="0070C0"/>
          <w:sz w:val="16"/>
          <w:szCs w:val="16"/>
        </w:rPr>
      </w:pPr>
      <w:r w:rsidRPr="00E14102">
        <w:rPr>
          <w:rStyle w:val="641"/>
          <w:rFonts w:ascii="Times New Roman" w:hAnsi="Times New Roman" w:cs="Times New Roman"/>
          <w:color w:val="0070C0"/>
          <w:sz w:val="16"/>
          <w:szCs w:val="16"/>
        </w:rPr>
        <w:t>Так уж получилось, что конструкторскую документацию разработали «хозспособом» при полном отсутствии финансирования со стороны заказчика. На постройку денег военные тоже дали только под конец. Заказ</w:t>
      </w:r>
      <w:r w:rsidRPr="00E14102">
        <w:rPr>
          <w:rStyle w:val="641"/>
          <w:rFonts w:ascii="Times New Roman" w:hAnsi="Times New Roman" w:cs="Times New Roman"/>
          <w:color w:val="0070C0"/>
          <w:sz w:val="16"/>
          <w:szCs w:val="16"/>
        </w:rPr>
        <w:softHyphen/>
        <w:t>чиком формально выступало УМТС ВВС, в котором кто-то посчитал, что речь идет о доводке опытной машины и финансирование за ГУАПом, хотя строящая организация - ЗОК, вскоре переименованный в завод № 156, позиционировал А-7бис как головную серий</w:t>
      </w:r>
      <w:r w:rsidRPr="00E14102">
        <w:rPr>
          <w:rStyle w:val="641"/>
          <w:rFonts w:ascii="Times New Roman" w:hAnsi="Times New Roman" w:cs="Times New Roman"/>
          <w:color w:val="0070C0"/>
          <w:sz w:val="16"/>
          <w:szCs w:val="16"/>
        </w:rPr>
        <w:softHyphen/>
        <w:t>ную машину. Споры тянулись до февраля 1937-го года, и наконец-то подписанный договор выглядел весьма абсурдно. Букваль</w:t>
      </w:r>
      <w:r w:rsidRPr="00E14102">
        <w:rPr>
          <w:rStyle w:val="641"/>
          <w:rFonts w:ascii="Times New Roman" w:hAnsi="Times New Roman" w:cs="Times New Roman"/>
          <w:color w:val="0070C0"/>
          <w:sz w:val="16"/>
          <w:szCs w:val="16"/>
        </w:rPr>
        <w:softHyphen/>
        <w:t>но через месяц, не позднее 1 апреля, «голов</w:t>
      </w:r>
      <w:r w:rsidRPr="00E14102">
        <w:rPr>
          <w:rStyle w:val="641"/>
          <w:rFonts w:ascii="Times New Roman" w:hAnsi="Times New Roman" w:cs="Times New Roman"/>
          <w:color w:val="0070C0"/>
          <w:sz w:val="16"/>
          <w:szCs w:val="16"/>
        </w:rPr>
        <w:softHyphen/>
        <w:t>ной автожир А-7 под мотор М-22» следовало предъявить на совместные испытания. Общая сумма контракта составляла 1 300 000 руб</w:t>
      </w:r>
      <w:r w:rsidRPr="00E14102">
        <w:rPr>
          <w:rStyle w:val="641"/>
          <w:rFonts w:ascii="Times New Roman" w:hAnsi="Times New Roman" w:cs="Times New Roman"/>
          <w:color w:val="0070C0"/>
          <w:sz w:val="16"/>
          <w:szCs w:val="16"/>
        </w:rPr>
        <w:softHyphen/>
        <w:t>лей.</w:t>
      </w:r>
    </w:p>
    <w:p w14:paraId="4E683927" w14:textId="77777777" w:rsidR="00705486" w:rsidRPr="00E14102" w:rsidRDefault="00705486" w:rsidP="00E14102">
      <w:pPr>
        <w:jc w:val="both"/>
        <w:rPr>
          <w:rStyle w:val="641"/>
          <w:rFonts w:ascii="Times New Roman" w:hAnsi="Times New Roman" w:cs="Times New Roman"/>
          <w:color w:val="0070C0"/>
          <w:sz w:val="16"/>
          <w:szCs w:val="16"/>
        </w:rPr>
      </w:pPr>
      <w:r w:rsidRPr="00E14102">
        <w:rPr>
          <w:rStyle w:val="641"/>
          <w:rFonts w:ascii="Times New Roman" w:hAnsi="Times New Roman" w:cs="Times New Roman"/>
          <w:color w:val="0070C0"/>
          <w:sz w:val="16"/>
          <w:szCs w:val="16"/>
        </w:rPr>
        <w:t>Проблема была не только в нехватке денег. Работы шли в обстановке серьезного конфликта Изаксона с Туполевым (19896).</w:t>
      </w:r>
    </w:p>
    <w:p w14:paraId="0F6575B2" w14:textId="77777777" w:rsidR="00705486" w:rsidRPr="00E14102" w:rsidRDefault="00705486" w:rsidP="00E14102">
      <w:pPr>
        <w:jc w:val="both"/>
        <w:rPr>
          <w:rStyle w:val="641"/>
          <w:rFonts w:ascii="Times New Roman" w:hAnsi="Times New Roman" w:cs="Times New Roman"/>
          <w:color w:val="0070C0"/>
          <w:sz w:val="16"/>
          <w:szCs w:val="16"/>
        </w:rPr>
      </w:pPr>
    </w:p>
    <w:p w14:paraId="5C3549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середи</w:t>
      </w:r>
      <w:r w:rsidRPr="00E14102">
        <w:rPr>
          <w:color w:val="000000" w:themeColor="text1"/>
          <w:sz w:val="16"/>
          <w:szCs w:val="16"/>
        </w:rPr>
        <w:softHyphen/>
        <w:t>не 1935 года первые опытные образны бомб на основе РС-345 были готовы (11402).</w:t>
      </w:r>
    </w:p>
    <w:p w14:paraId="034AA6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1F4BD01" w14:textId="77777777" w:rsidR="00026948" w:rsidRPr="00E14102" w:rsidRDefault="00026948" w:rsidP="00E14102">
      <w:pPr>
        <w:jc w:val="both"/>
        <w:rPr>
          <w:color w:val="000000" w:themeColor="text1"/>
          <w:sz w:val="16"/>
          <w:szCs w:val="16"/>
        </w:rPr>
      </w:pPr>
      <w:r w:rsidRPr="00E14102">
        <w:rPr>
          <w:color w:val="000000" w:themeColor="text1"/>
          <w:sz w:val="16"/>
          <w:szCs w:val="16"/>
        </w:rPr>
        <w:t>В середине 1935 г. дирижабль В-7бис был построен и вступил в заводские испытания, о чем было сообщено в рапорте от 19 июля 1935 г. начальника Дирижаблестроя Хорькова на имя тт. Сталина и Андреева [5, л.15] (15797).</w:t>
      </w:r>
    </w:p>
    <w:p w14:paraId="0503B6B2" w14:textId="77777777" w:rsidR="00026948" w:rsidRPr="00E14102" w:rsidRDefault="00026948" w:rsidP="00E14102">
      <w:pPr>
        <w:jc w:val="both"/>
        <w:rPr>
          <w:color w:val="000000" w:themeColor="text1"/>
          <w:sz w:val="16"/>
          <w:szCs w:val="16"/>
        </w:rPr>
      </w:pPr>
    </w:p>
    <w:p w14:paraId="36E9044E" w14:textId="77777777" w:rsidR="00705486" w:rsidRPr="00E14102" w:rsidRDefault="00705486" w:rsidP="00E14102">
      <w:pPr>
        <w:shd w:val="clear" w:color="auto" w:fill="FFFFFF"/>
        <w:jc w:val="both"/>
        <w:rPr>
          <w:color w:val="0070C0"/>
          <w:sz w:val="16"/>
          <w:szCs w:val="16"/>
        </w:rPr>
      </w:pPr>
      <w:r w:rsidRPr="00E14102">
        <w:rPr>
          <w:color w:val="0070C0"/>
          <w:sz w:val="16"/>
          <w:szCs w:val="16"/>
        </w:rPr>
        <w:t>В середине 1935 год вышло решение Совнаркома СССР о строительстве гелиевого завода мощностью 50 000 куб. м в год вблизи деревни Крутая Ухтинского района (что в 90 км от современного г. Ухты – в те времена посёлка Чибью) на базе Седъельского газового месторождения - что и начало реализовываться от ноября 1935 года (21449).</w:t>
      </w:r>
    </w:p>
    <w:p w14:paraId="24570167" w14:textId="77777777" w:rsidR="00705486" w:rsidRPr="00E14102" w:rsidRDefault="00705486" w:rsidP="00E14102">
      <w:pPr>
        <w:pStyle w:val="ad"/>
        <w:shd w:val="clear" w:color="auto" w:fill="FFFFFF"/>
        <w:spacing w:before="0" w:after="0"/>
        <w:rPr>
          <w:rFonts w:ascii="Times New Roman" w:hAnsi="Times New Roman" w:cs="Times New Roman"/>
          <w:color w:val="0070C0"/>
          <w:sz w:val="16"/>
          <w:szCs w:val="16"/>
          <w:lang w:val="ru-RU"/>
        </w:rPr>
      </w:pPr>
    </w:p>
    <w:p w14:paraId="7A84814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860B751" w14:textId="77777777" w:rsidR="00D4105E" w:rsidRPr="00E14102" w:rsidRDefault="00D4105E" w:rsidP="00E14102">
      <w:pPr>
        <w:autoSpaceDE w:val="0"/>
        <w:autoSpaceDN w:val="0"/>
        <w:adjustRightInd w:val="0"/>
        <w:jc w:val="both"/>
        <w:rPr>
          <w:iCs/>
          <w:color w:val="000000" w:themeColor="text1"/>
          <w:sz w:val="16"/>
          <w:szCs w:val="16"/>
        </w:rPr>
      </w:pPr>
    </w:p>
    <w:p w14:paraId="41658A8C" w14:textId="77777777" w:rsidR="00026948" w:rsidRPr="00E14102" w:rsidRDefault="00026948" w:rsidP="00E14102">
      <w:pPr>
        <w:jc w:val="both"/>
        <w:rPr>
          <w:bCs/>
          <w:color w:val="000000" w:themeColor="text1"/>
          <w:sz w:val="16"/>
          <w:szCs w:val="16"/>
        </w:rPr>
      </w:pPr>
      <w:r w:rsidRPr="00E14102">
        <w:rPr>
          <w:color w:val="000000" w:themeColor="text1"/>
          <w:sz w:val="16"/>
          <w:szCs w:val="16"/>
        </w:rPr>
        <w:t>В середине 1935 г. правительством принято решение о производстве колесно-гусеничных танков Т</w:t>
      </w:r>
      <w:r w:rsidRPr="00E14102">
        <w:rPr>
          <w:color w:val="000000" w:themeColor="text1"/>
          <w:sz w:val="16"/>
          <w:szCs w:val="16"/>
        </w:rPr>
        <w:noBreakHyphen/>
        <w:t>46 и Т</w:t>
      </w:r>
      <w:r w:rsidRPr="00E14102">
        <w:rPr>
          <w:color w:val="000000" w:themeColor="text1"/>
          <w:sz w:val="16"/>
          <w:szCs w:val="16"/>
        </w:rPr>
        <w:noBreakHyphen/>
        <w:t>29. В январе месяце 1936 г., после окончания войсковых испытаний, правительство предложило организовать производство и начать выпуск этих танков на Кировском заводе и заводе № 174 им. т. Ворошилова. Однако в 1936 г. промышленность не выпустила ни одного серийного танка Т</w:t>
      </w:r>
      <w:r w:rsidRPr="00E14102">
        <w:rPr>
          <w:color w:val="000000" w:themeColor="text1"/>
          <w:sz w:val="16"/>
          <w:szCs w:val="16"/>
        </w:rPr>
        <w:noBreakHyphen/>
        <w:t>46 и Т</w:t>
      </w:r>
      <w:r w:rsidRPr="00E14102">
        <w:rPr>
          <w:color w:val="000000" w:themeColor="text1"/>
          <w:sz w:val="16"/>
          <w:szCs w:val="16"/>
        </w:rPr>
        <w:noBreakHyphen/>
        <w:t>29 (15438).</w:t>
      </w:r>
    </w:p>
    <w:p w14:paraId="6F80FAD1" w14:textId="77777777" w:rsidR="00026948" w:rsidRPr="00E14102" w:rsidRDefault="00026948" w:rsidP="00E14102">
      <w:pPr>
        <w:jc w:val="both"/>
        <w:rPr>
          <w:bCs/>
          <w:color w:val="000000" w:themeColor="text1"/>
          <w:sz w:val="16"/>
          <w:szCs w:val="16"/>
        </w:rPr>
      </w:pPr>
    </w:p>
    <w:p w14:paraId="42231B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итоге первых исследований, конструкторско-производственных работ по созданию магнетронов, магнетронных генераторов, приемников в ЦРЛ и в ЛЭФИ в середине 1935 г. были созданы и испытаны первые установки радиообнаружения самолетов для ЗА, определявшие две угловые координаты: азимут и угол места (ЦГАСА, ф. 20, оп. 41, ед. хр. 70, л. 228) (11026).</w:t>
      </w:r>
    </w:p>
    <w:p w14:paraId="57E6267A" w14:textId="77777777" w:rsidR="00D4105E" w:rsidRPr="00E14102" w:rsidRDefault="00D4105E" w:rsidP="00E14102">
      <w:pPr>
        <w:autoSpaceDE w:val="0"/>
        <w:autoSpaceDN w:val="0"/>
        <w:adjustRightInd w:val="0"/>
        <w:jc w:val="both"/>
        <w:rPr>
          <w:color w:val="000000" w:themeColor="text1"/>
          <w:sz w:val="16"/>
          <w:szCs w:val="16"/>
        </w:rPr>
      </w:pPr>
    </w:p>
    <w:p w14:paraId="335F001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5E946B05" w14:textId="77777777" w:rsidR="00D4105E" w:rsidRPr="00E14102" w:rsidRDefault="00D4105E" w:rsidP="00E14102">
      <w:pPr>
        <w:autoSpaceDE w:val="0"/>
        <w:autoSpaceDN w:val="0"/>
        <w:adjustRightInd w:val="0"/>
        <w:jc w:val="both"/>
        <w:rPr>
          <w:iCs/>
          <w:color w:val="000000" w:themeColor="text1"/>
          <w:sz w:val="16"/>
          <w:szCs w:val="16"/>
        </w:rPr>
      </w:pPr>
    </w:p>
    <w:p w14:paraId="7EDA7CC6"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r w:rsidRPr="00E14102">
        <w:rPr>
          <w:color w:val="000000" w:themeColor="text1"/>
          <w:sz w:val="16"/>
          <w:szCs w:val="16"/>
        </w:rPr>
        <w:t>К середине 1935 ГШ была завершена разработка теории глубокой на</w:t>
      </w:r>
      <w:r w:rsidRPr="00E14102">
        <w:rPr>
          <w:color w:val="000000" w:themeColor="text1"/>
          <w:sz w:val="16"/>
          <w:szCs w:val="16"/>
        </w:rPr>
        <w:softHyphen/>
        <w:t>ступательной операции. Основные положения глубокой на</w:t>
      </w:r>
      <w:r w:rsidRPr="00E14102">
        <w:rPr>
          <w:color w:val="000000" w:themeColor="text1"/>
          <w:sz w:val="16"/>
          <w:szCs w:val="16"/>
        </w:rPr>
        <w:softHyphen/>
        <w:t>ступательной операции во всей широ</w:t>
      </w:r>
      <w:r w:rsidRPr="00E14102">
        <w:rPr>
          <w:color w:val="000000" w:themeColor="text1"/>
          <w:sz w:val="16"/>
          <w:szCs w:val="16"/>
        </w:rPr>
        <w:softHyphen/>
        <w:t>те впервые проверялись осенью 1935 г. (с 12.09 по 15.09) в Киевском осо</w:t>
      </w:r>
      <w:r w:rsidRPr="00E14102">
        <w:rPr>
          <w:color w:val="000000" w:themeColor="text1"/>
          <w:sz w:val="16"/>
          <w:szCs w:val="16"/>
        </w:rPr>
        <w:softHyphen/>
        <w:t>бом военном округе во время маневров. На маневрах в присутствии воен</w:t>
      </w:r>
      <w:r w:rsidRPr="00E14102">
        <w:rPr>
          <w:color w:val="000000" w:themeColor="text1"/>
          <w:sz w:val="16"/>
          <w:szCs w:val="16"/>
        </w:rPr>
        <w:softHyphen/>
        <w:t>ных специалистов ведущих мировых держав был осуществлен прорыв обо</w:t>
      </w:r>
      <w:r w:rsidRPr="00E14102">
        <w:rPr>
          <w:color w:val="000000" w:themeColor="text1"/>
          <w:sz w:val="16"/>
          <w:szCs w:val="16"/>
        </w:rPr>
        <w:softHyphen/>
        <w:t>роны противника пехотой при поддер</w:t>
      </w:r>
      <w:r w:rsidRPr="00E14102">
        <w:rPr>
          <w:color w:val="000000" w:themeColor="text1"/>
          <w:sz w:val="16"/>
          <w:szCs w:val="16"/>
        </w:rPr>
        <w:softHyphen/>
        <w:t>жке тяжелых танков, ввод в прорыв под прикрытием дымовой завесы крупной танковой группы, поддержанной штур</w:t>
      </w:r>
      <w:r w:rsidRPr="00E14102">
        <w:rPr>
          <w:color w:val="000000" w:themeColor="text1"/>
          <w:sz w:val="16"/>
          <w:szCs w:val="16"/>
        </w:rPr>
        <w:softHyphen/>
        <w:t>мовиками, а затем окружение и унич</w:t>
      </w:r>
      <w:r w:rsidRPr="00E14102">
        <w:rPr>
          <w:color w:val="000000" w:themeColor="text1"/>
          <w:sz w:val="16"/>
          <w:szCs w:val="16"/>
        </w:rPr>
        <w:softHyphen/>
        <w:t>тожение кавалерийского корпуса про</w:t>
      </w:r>
      <w:r w:rsidRPr="00E14102">
        <w:rPr>
          <w:color w:val="000000" w:themeColor="text1"/>
          <w:sz w:val="16"/>
          <w:szCs w:val="16"/>
        </w:rPr>
        <w:softHyphen/>
        <w:t>тивника. Кроме этого, в тыл “синим” с самолетов было десантировано 1200 парашютистов, которые после призем</w:t>
      </w:r>
      <w:r w:rsidRPr="00E14102">
        <w:rPr>
          <w:color w:val="000000" w:themeColor="text1"/>
          <w:sz w:val="16"/>
          <w:szCs w:val="16"/>
        </w:rPr>
        <w:softHyphen/>
        <w:t>ления организовали круговую оборону и обеспечили высадку с транспортных самолетов посадочным способом еще 2500 бойцов с вооружением и техни</w:t>
      </w:r>
      <w:r w:rsidRPr="00E14102">
        <w:rPr>
          <w:color w:val="000000" w:themeColor="text1"/>
          <w:sz w:val="16"/>
          <w:szCs w:val="16"/>
        </w:rPr>
        <w:softHyphen/>
        <w:t>кой...(6269).</w:t>
      </w:r>
    </w:p>
    <w:p w14:paraId="1EF1AF98"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p>
    <w:p w14:paraId="38EA10D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694F1E8" w14:textId="77777777" w:rsidR="00D4105E" w:rsidRPr="00E14102" w:rsidRDefault="00D4105E" w:rsidP="00E14102">
      <w:pPr>
        <w:autoSpaceDE w:val="0"/>
        <w:autoSpaceDN w:val="0"/>
        <w:adjustRightInd w:val="0"/>
        <w:jc w:val="both"/>
        <w:rPr>
          <w:iCs/>
          <w:color w:val="000000" w:themeColor="text1"/>
          <w:sz w:val="16"/>
          <w:szCs w:val="16"/>
        </w:rPr>
      </w:pPr>
    </w:p>
    <w:p w14:paraId="1B11170B"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r w:rsidRPr="00E14102">
        <w:rPr>
          <w:color w:val="000000" w:themeColor="text1"/>
          <w:sz w:val="16"/>
          <w:szCs w:val="16"/>
        </w:rPr>
        <w:t>В середине 1930-х в СССР про</w:t>
      </w:r>
      <w:r w:rsidRPr="00E14102">
        <w:rPr>
          <w:color w:val="000000" w:themeColor="text1"/>
          <w:sz w:val="16"/>
          <w:szCs w:val="16"/>
        </w:rPr>
        <w:softHyphen/>
        <w:t>должались работы по разработке двух</w:t>
      </w:r>
      <w:r w:rsidRPr="00E14102">
        <w:rPr>
          <w:color w:val="000000" w:themeColor="text1"/>
          <w:sz w:val="16"/>
          <w:szCs w:val="16"/>
        </w:rPr>
        <w:softHyphen/>
        <w:t>местных легких скоростных самолетов-штурмовиков, как специально создан</w:t>
      </w:r>
      <w:r w:rsidRPr="00E14102">
        <w:rPr>
          <w:color w:val="000000" w:themeColor="text1"/>
          <w:sz w:val="16"/>
          <w:szCs w:val="16"/>
        </w:rPr>
        <w:softHyphen/>
        <w:t>ных, так и разработанных на базе са</w:t>
      </w:r>
      <w:r w:rsidRPr="00E14102">
        <w:rPr>
          <w:color w:val="000000" w:themeColor="text1"/>
          <w:sz w:val="16"/>
          <w:szCs w:val="16"/>
        </w:rPr>
        <w:softHyphen/>
        <w:t>молетов-разведчиков, и доведению кон</w:t>
      </w:r>
      <w:r w:rsidRPr="00E14102">
        <w:rPr>
          <w:color w:val="000000" w:themeColor="text1"/>
          <w:sz w:val="16"/>
          <w:szCs w:val="16"/>
        </w:rPr>
        <w:softHyphen/>
        <w:t>цепции такого самолета до логической завершенности (6269).</w:t>
      </w:r>
    </w:p>
    <w:p w14:paraId="79ADB897"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p>
    <w:p w14:paraId="188F708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1DC54F0" w14:textId="77777777" w:rsidR="00D4105E" w:rsidRPr="00E14102" w:rsidRDefault="00D4105E" w:rsidP="00E14102">
      <w:pPr>
        <w:autoSpaceDE w:val="0"/>
        <w:autoSpaceDN w:val="0"/>
        <w:adjustRightInd w:val="0"/>
        <w:jc w:val="both"/>
        <w:rPr>
          <w:iCs/>
          <w:color w:val="000000" w:themeColor="text1"/>
          <w:sz w:val="16"/>
          <w:szCs w:val="16"/>
        </w:rPr>
      </w:pPr>
    </w:p>
    <w:p w14:paraId="0CB364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июлю 1935 года по требованию УВВС завод № 21 установил в крыльях самолета И-16 к двум имеющимся пулеметам ШКАС еще два пулемета ШКАС дополнительно, т.е. всего четыре ШКАСа, стреляющих вне плоскости винта. Эта установка была предъявлена на испытания 22 июля 1935 года. Испытания проведены в четыре дня и уже 26 июля 1935 года был дан ответ заводу.</w:t>
      </w:r>
    </w:p>
    <w:p w14:paraId="593603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Установка испытаний не выдержала, ибо оба добавочные пулемета ШКАС после фигур высшего пилотажа не стреляют, сама установка снижает темп стрельбы этих ШКАСов до 1100 выстрелов в минуту против 1800, далее установка дает частые задержки, неустранимые в полете и т.д. (3959, 38-53).</w:t>
      </w:r>
    </w:p>
    <w:p w14:paraId="08379516" w14:textId="77777777" w:rsidR="00D4105E" w:rsidRPr="00E14102" w:rsidRDefault="00D4105E" w:rsidP="00E14102">
      <w:pPr>
        <w:autoSpaceDE w:val="0"/>
        <w:autoSpaceDN w:val="0"/>
        <w:adjustRightInd w:val="0"/>
        <w:jc w:val="both"/>
        <w:rPr>
          <w:color w:val="000000" w:themeColor="text1"/>
          <w:sz w:val="16"/>
          <w:szCs w:val="16"/>
        </w:rPr>
      </w:pPr>
    </w:p>
    <w:p w14:paraId="575F17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июлю 1937 г. Последние сведения о работах И.И. Варшавского относятся В справке Отдела Изобретений НКО сказано: «Результаты в этом направлении у нас ничтожны. Таким образом, отсутствие необходимого материала для покрытия плоскостей самолета и недостаточная оценка этой работы со стороны ГУАП привела к тому, что данная проблема и до сих пор практически (постройка самолета) не решена».</w:t>
      </w:r>
    </w:p>
    <w:p w14:paraId="7625BC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Конечно, трудно точно сказать дала бы зеркальная маскировка какой-либо эффект или нет. Но опыты показали, да и сам Варшавский не отрицал того, что луч, отраженный от самолета, хорошо виден ночью. Не менее заметен и прямой луч от прожектора. А, следовательно, по месту излома луча, можно определить и точку, в которой находится самолет. В пользу такой маскировки можно отметить лишь то, что удержать в луче прожектора самолет было бы сложнее. Ориентируясь на звук моторов, можно наткнуться лучом прожектора на самолет и засечь его положение по появлению излома луча. Но, не видя самолета, нельзя определить направление, в котором он летит, и, следовательно, труднее сопровождать его лучом (11505).</w:t>
      </w:r>
    </w:p>
    <w:p w14:paraId="20AA7B8F" w14:textId="77777777" w:rsidR="00D4105E" w:rsidRPr="00E14102" w:rsidRDefault="00D4105E" w:rsidP="00E14102">
      <w:pPr>
        <w:autoSpaceDE w:val="0"/>
        <w:autoSpaceDN w:val="0"/>
        <w:adjustRightInd w:val="0"/>
        <w:jc w:val="both"/>
        <w:rPr>
          <w:color w:val="000000" w:themeColor="text1"/>
          <w:sz w:val="16"/>
          <w:szCs w:val="16"/>
        </w:rPr>
      </w:pPr>
    </w:p>
    <w:p w14:paraId="4752E6E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2711079" w14:textId="77777777" w:rsidR="00D4105E" w:rsidRPr="00E14102" w:rsidRDefault="00D4105E" w:rsidP="00E14102">
      <w:pPr>
        <w:autoSpaceDE w:val="0"/>
        <w:autoSpaceDN w:val="0"/>
        <w:adjustRightInd w:val="0"/>
        <w:jc w:val="both"/>
        <w:rPr>
          <w:iCs/>
          <w:color w:val="000000" w:themeColor="text1"/>
          <w:sz w:val="16"/>
          <w:szCs w:val="16"/>
        </w:rPr>
      </w:pPr>
    </w:p>
    <w:p w14:paraId="5691C2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июлю 1935 с осени 1932 г. на николаевском заводе им. А. Марти было заложено и построено 20 лодок: М-1, М-3, М-8, М-9, М-11— М-13, М-16-М-22, М-27, М-28, М-51 и М-52. Одновременно за</w:t>
      </w:r>
      <w:r w:rsidRPr="00E14102">
        <w:rPr>
          <w:color w:val="000000" w:themeColor="text1"/>
          <w:sz w:val="16"/>
          <w:szCs w:val="16"/>
        </w:rPr>
        <w:softHyphen/>
        <w:t>вод им. 61 Коммунара построил М-2. М-4—М-7, М-10, М-14, М-15, М-23 и М-26 — всего 10 кораблей (3898).</w:t>
      </w:r>
    </w:p>
    <w:p w14:paraId="30E5728F" w14:textId="77777777" w:rsidR="00D4105E" w:rsidRPr="00E14102" w:rsidRDefault="00D4105E" w:rsidP="00E14102">
      <w:pPr>
        <w:autoSpaceDE w:val="0"/>
        <w:autoSpaceDN w:val="0"/>
        <w:adjustRightInd w:val="0"/>
        <w:jc w:val="both"/>
        <w:rPr>
          <w:color w:val="000000" w:themeColor="text1"/>
          <w:sz w:val="16"/>
          <w:szCs w:val="16"/>
        </w:rPr>
      </w:pPr>
    </w:p>
    <w:p w14:paraId="6D68B5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Лодки типа "М" VI серии имели однокорпусную архитектуру. Коробчатый киль снаружи прочного корпуса служил осушительной магистралью. Две концевые ЦГБ располагались вне прочного кор</w:t>
      </w:r>
      <w:r w:rsidRPr="00E14102">
        <w:rPr>
          <w:color w:val="000000" w:themeColor="text1"/>
          <w:sz w:val="16"/>
          <w:szCs w:val="16"/>
        </w:rPr>
        <w:softHyphen/>
        <w:t>пуса, одна — бортовая — внутри его. Тремя плоскими поперечны</w:t>
      </w:r>
      <w:r w:rsidRPr="00E14102">
        <w:rPr>
          <w:color w:val="000000" w:themeColor="text1"/>
          <w:sz w:val="16"/>
          <w:szCs w:val="16"/>
        </w:rPr>
        <w:softHyphen/>
        <w:t>ми переборками, рассчитанными на давление 1 кгс/см</w:t>
      </w:r>
      <w:r w:rsidRPr="00E14102">
        <w:rPr>
          <w:color w:val="000000" w:themeColor="text1"/>
          <w:sz w:val="16"/>
          <w:szCs w:val="16"/>
          <w:vertAlign w:val="superscript"/>
        </w:rPr>
        <w:t>2</w:t>
      </w:r>
      <w:r w:rsidRPr="00E14102">
        <w:rPr>
          <w:color w:val="000000" w:themeColor="text1"/>
          <w:sz w:val="16"/>
          <w:szCs w:val="16"/>
        </w:rPr>
        <w:t>, прочный корпус подразделялся на 4 отсека. В центральном посту (II отсек) под настилом из деревянных щитов помещалась вся аккумулятор</w:t>
      </w:r>
      <w:r w:rsidRPr="00E14102">
        <w:rPr>
          <w:color w:val="000000" w:themeColor="text1"/>
          <w:sz w:val="16"/>
          <w:szCs w:val="16"/>
        </w:rPr>
        <w:softHyphen/>
        <w:t>ная батарея (56 элементов).</w:t>
      </w:r>
    </w:p>
    <w:p w14:paraId="65035DD8" w14:textId="77777777" w:rsidR="00D4105E" w:rsidRPr="00E14102" w:rsidRDefault="00D4105E" w:rsidP="00E14102">
      <w:pPr>
        <w:autoSpaceDE w:val="0"/>
        <w:autoSpaceDN w:val="0"/>
        <w:adjustRightInd w:val="0"/>
        <w:jc w:val="both"/>
        <w:rPr>
          <w:color w:val="000000" w:themeColor="text1"/>
          <w:sz w:val="16"/>
          <w:szCs w:val="16"/>
        </w:rPr>
      </w:pPr>
    </w:p>
    <w:p w14:paraId="4D3421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Дизель, аналогичный примененному на "щуках", и главный гребной электродвигатель работали на один вал. Ограждение рубки и мостик выполнялись из дюралюминия. В проекте Асафова был впервые предусмотрен полностью сварной прочный корпус, однако на заводе им. А. Марти применили традиционные заклепочные со</w:t>
      </w:r>
      <w:r w:rsidRPr="00E14102">
        <w:rPr>
          <w:color w:val="000000" w:themeColor="text1"/>
          <w:sz w:val="16"/>
          <w:szCs w:val="16"/>
        </w:rPr>
        <w:softHyphen/>
        <w:t>единения из-за нерешенности ряда проблем технологии сварки. Для обеспечения начальной остойчивости в пределах 16—18 см в трюм пришлось погрузить 20 т чугунного балласта (3898).</w:t>
      </w:r>
    </w:p>
    <w:p w14:paraId="63F14E05" w14:textId="77777777" w:rsidR="00D4105E" w:rsidRPr="00E14102" w:rsidRDefault="00D4105E" w:rsidP="00E14102">
      <w:pPr>
        <w:autoSpaceDE w:val="0"/>
        <w:autoSpaceDN w:val="0"/>
        <w:adjustRightInd w:val="0"/>
        <w:jc w:val="both"/>
        <w:rPr>
          <w:color w:val="000000" w:themeColor="text1"/>
          <w:sz w:val="16"/>
          <w:szCs w:val="16"/>
        </w:rPr>
      </w:pPr>
    </w:p>
    <w:p w14:paraId="3B4AF01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4EA10ED" w14:textId="77777777" w:rsidR="00D4105E" w:rsidRPr="00E14102" w:rsidRDefault="00D4105E" w:rsidP="00E14102">
      <w:pPr>
        <w:autoSpaceDE w:val="0"/>
        <w:autoSpaceDN w:val="0"/>
        <w:adjustRightInd w:val="0"/>
        <w:jc w:val="both"/>
        <w:rPr>
          <w:iCs/>
          <w:color w:val="000000" w:themeColor="text1"/>
          <w:sz w:val="16"/>
          <w:szCs w:val="16"/>
        </w:rPr>
      </w:pPr>
    </w:p>
    <w:p w14:paraId="62983B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1935 г. или в начале лета 1935 согласно некоторым публикациям самолет ЦКБ-26 ушел в свой первый полет. Некоторые авторы считают, что это произошло не ранее апреля 1936 (9501).</w:t>
      </w:r>
    </w:p>
    <w:p w14:paraId="05210B1A" w14:textId="77777777" w:rsidR="00D4105E" w:rsidRPr="00E14102" w:rsidRDefault="00D4105E" w:rsidP="00E14102">
      <w:pPr>
        <w:autoSpaceDE w:val="0"/>
        <w:autoSpaceDN w:val="0"/>
        <w:adjustRightInd w:val="0"/>
        <w:jc w:val="both"/>
        <w:rPr>
          <w:color w:val="000000" w:themeColor="text1"/>
          <w:sz w:val="16"/>
          <w:szCs w:val="16"/>
        </w:rPr>
      </w:pPr>
    </w:p>
    <w:p w14:paraId="5FB39B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начале лета 1935 или 1 июля 1935 г. согласно некоторым публикациям самолет ЦКБ-26 ушел в свой первый полет. Некоторые авторы считают, что это произошло не ранее апреля 1936 (9501).</w:t>
      </w:r>
    </w:p>
    <w:p w14:paraId="0850C4FA" w14:textId="77777777" w:rsidR="00D4105E" w:rsidRPr="00E14102" w:rsidRDefault="00D4105E" w:rsidP="00E14102">
      <w:pPr>
        <w:autoSpaceDE w:val="0"/>
        <w:autoSpaceDN w:val="0"/>
        <w:adjustRightInd w:val="0"/>
        <w:jc w:val="both"/>
        <w:rPr>
          <w:color w:val="000000" w:themeColor="text1"/>
          <w:sz w:val="16"/>
          <w:szCs w:val="16"/>
        </w:rPr>
      </w:pPr>
    </w:p>
    <w:p w14:paraId="1DA1709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июля 1935 г. опытный ЦКБ-26 выкатили на летное поле Центрального аэродрома. На самолете стояли два импортных мотора “Гном-Рон”14К. Заводские испытания проводил В.К.Коккинаки. Машина оправдала надежды конструкторов, продемонстрировав высокие летные данные, хорошую маневренность и управляемость. Правда, зафиксировали тряску мотоустановок на некоторых режимах, но это сочли не очень опасным. ДБ-2 (АНТ-37), спроектированный бригадой П.О.Сухого, вышел на испытания практически одновременно со своим соперником - в июне 1935 г. Вопреки заданию, туполевцы сделали ставку на те же моторы - “Гном-Рон”, а не РЦ, как предусматривалось планом. В АНТ-37 использовали многие уже проверенные на АНТ-25 конструктивные решения, следуя в целом той же концепции, что у ДБ-1 - “дальность превыше всего". В результате, Самолет Сухого получил узкое крыло большого удлинения с довольно толстым аэродинамическим профилем, что считалось в то время наиболее простым способом достижения большой дальности полета, по которой ДБ-2 существенно превзошел ЦКБ-26. Учитывая огромное влияние Туполева в ГУАПе, можно было не сомневаться а скором запуске его детища в серийное производство. тем более, что соответствующее решение было вскоре принято и завод №39 начал готовить оснастку для его производства. Уже з 1936 г. предприятие должно было выпустить головной серийный ДБ-2. Следом к программе должны были подключиться завод №18 з Воронеже и №126 в Комсомольске-на-Амуре. Но ДБ-2 в серию не пошел. “Ножку” явному фавориту подставили два обстоятельства. В июне 1935 г.. через месяц после первого полета, опытный АНТ-37 разрушился в воздухе. Причиной оказался бафтинг хвостового оперения. Опасная тряска проявлялась и на дублере АНТ-37, выпущенном в начале 1936 г. Устранение бафтинга, в те годы довольно плохо изученного, было непростым делом. Из-за многочисленных дефектов НИИ ВВС отказался принять эту машину на гос. испытания. А вторым обстоятельством стали успехи самолета Ильюшина. Он продолжал летать, демонстрируя существенный перевес в крейсерской скорости, скороподъемности и маневренности по сравнению с ДБ-2 (6474).</w:t>
      </w:r>
    </w:p>
    <w:p w14:paraId="5568BBB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DF69FD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июля 1935 г. начались испытания экспериментального самолета ЦКБ-26 (6395).</w:t>
      </w:r>
    </w:p>
    <w:p w14:paraId="695FE48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ED024C8" w14:textId="77777777" w:rsidR="006D10EE" w:rsidRPr="00E14102" w:rsidRDefault="006D10EE" w:rsidP="00E14102">
      <w:pPr>
        <w:jc w:val="both"/>
        <w:rPr>
          <w:color w:val="000000" w:themeColor="text1"/>
          <w:sz w:val="16"/>
          <w:szCs w:val="16"/>
        </w:rPr>
      </w:pPr>
      <w:r w:rsidRPr="00E14102">
        <w:rPr>
          <w:bCs/>
          <w:color w:val="000000" w:themeColor="text1"/>
          <w:sz w:val="16"/>
          <w:szCs w:val="16"/>
        </w:rPr>
        <w:t>1 июля</w:t>
      </w:r>
      <w:r w:rsidRPr="00E14102">
        <w:rPr>
          <w:color w:val="000000" w:themeColor="text1"/>
          <w:sz w:val="16"/>
          <w:szCs w:val="16"/>
        </w:rPr>
        <w:t xml:space="preserve"> в 1935 году начались испытания экспериментального самолета </w:t>
      </w:r>
      <w:hyperlink r:id="rId140" w:tgtFrame="_blank" w:history="1">
        <w:r w:rsidRPr="00E14102">
          <w:rPr>
            <w:color w:val="000000" w:themeColor="text1"/>
            <w:sz w:val="16"/>
            <w:szCs w:val="16"/>
          </w:rPr>
          <w:t xml:space="preserve">«ЦКБ-26». </w:t>
        </w:r>
      </w:hyperlink>
      <w:r w:rsidRPr="00E14102">
        <w:rPr>
          <w:color w:val="000000" w:themeColor="text1"/>
          <w:sz w:val="16"/>
          <w:szCs w:val="16"/>
        </w:rPr>
        <w:t>На самолете стояли два импортных мотора «Гном-Pон» «14Kdrs». Заводские испытания проводил В.К.Коккинаки. Машина оправдала надежды конструкторов, продемонстрировав высокие летные данные, хорошую маневренность и управляемость. Правда, зафиксировали тряску мотоустановок на некоторых режимах, но это сочли не очень опасным. Его развитием стали дальние бомбардировщики «ДБ-32 и «ДБ-3Ф» («Ил-4») (14939).</w:t>
      </w:r>
    </w:p>
    <w:p w14:paraId="321FD689" w14:textId="77777777" w:rsidR="006D10EE" w:rsidRPr="00E14102" w:rsidRDefault="006D10EE" w:rsidP="00E14102">
      <w:pPr>
        <w:jc w:val="both"/>
        <w:rPr>
          <w:color w:val="000000" w:themeColor="text1"/>
          <w:sz w:val="16"/>
          <w:szCs w:val="16"/>
        </w:rPr>
      </w:pPr>
    </w:p>
    <w:p w14:paraId="0A76235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июля 1935 года Начальник и военком НИИ ВС Бажанов утвердил Отчет по испытанию самолета ТБ3-4М34 № 22210 в/ч 1051 (Монинский аэропорт) на предмет выявления и устранения причин понижающих его летно-тактические данные (667).</w:t>
      </w:r>
    </w:p>
    <w:p w14:paraId="71372EE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6D0E38E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Летчик-испытатель ЛИС 1-го отдела НИИ ВС Стефановский</w:t>
      </w:r>
    </w:p>
    <w:p w14:paraId="55A963D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 в/к 1-го отдела НИИ ВС Лосюков</w:t>
      </w:r>
    </w:p>
    <w:p w14:paraId="5E68D17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7638238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Командир и комиссар Монинской авиабригады Тантлевский 7 июня 1935 года поднял вопрос об обследовании самолета ТБ3-4М34 № 22210 находящегося в части 1051, т.к. он:</w:t>
      </w:r>
    </w:p>
    <w:p w14:paraId="62B7204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При взлете имеет большой разбег.</w:t>
      </w:r>
    </w:p>
    <w:p w14:paraId="265ED70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Очень плохо набирает высоту.</w:t>
      </w:r>
    </w:p>
    <w:p w14:paraId="1F6B219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Планирует при скорости 155-160 км/час. При снижении скорости до 140 км/час парашютирует.</w:t>
      </w:r>
    </w:p>
    <w:p w14:paraId="6BF3C09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При выравнивании на посадку резко теряет скорость, имея большое вертикальное снижение.</w:t>
      </w:r>
    </w:p>
    <w:p w14:paraId="012F756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 – выявить причины перечисленному и устранить их.</w:t>
      </w:r>
    </w:p>
    <w:p w14:paraId="14B8050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Выводы и заключение</w:t>
      </w:r>
    </w:p>
    <w:p w14:paraId="72A4B24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p w14:paraId="33576A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Причиной ненормального поведения испытанного самолета в Монинской бригаде надо отнести целиком за счет неудовлетворительной техники пилотирования летчиков давших о качестве самолета плохие заключения, что и подтверждается результатами испытания и отзывами всех четырех летчиков ЛИС 1-го отдела облетывавшими самолет.</w:t>
      </w:r>
    </w:p>
    <w:p w14:paraId="3B9C9A1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подлежит дальнейшей нормальной эксплуатации (6678).</w:t>
      </w:r>
    </w:p>
    <w:p w14:paraId="01D15BE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7BF48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1935 в ходе проводимых на заводе 22 испытаний М-34Р NN 301358, 301758, 3012, 13974 с экранированным зажиганием, установленных на ТБ-3 N 22621, которые шли с 3 июня 1935 по 9 июля 1935, был произведен 2-й контрольный полет и произведено 30 взлетов и посадок для испытания полуоси и опытных покрышек (2947).</w:t>
      </w:r>
    </w:p>
    <w:p w14:paraId="60557D3B" w14:textId="77777777" w:rsidR="00D4105E" w:rsidRPr="00E14102" w:rsidRDefault="00D4105E" w:rsidP="00E14102">
      <w:pPr>
        <w:autoSpaceDE w:val="0"/>
        <w:autoSpaceDN w:val="0"/>
        <w:adjustRightInd w:val="0"/>
        <w:jc w:val="both"/>
        <w:rPr>
          <w:color w:val="000000" w:themeColor="text1"/>
          <w:sz w:val="16"/>
          <w:szCs w:val="16"/>
        </w:rPr>
      </w:pPr>
    </w:p>
    <w:p w14:paraId="4AB22E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1935 года Алкснис писал письмо N 40/01563 наркому обороны.</w:t>
      </w:r>
    </w:p>
    <w:p w14:paraId="30B77D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награждение экипажа опытного самолета СБ 2М-100 за предотвращение катастрофы.</w:t>
      </w:r>
    </w:p>
    <w:p w14:paraId="0A61C7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производстве испытаний самолета СБ 2М-100 3 марта 1935 года, благодаря исключительному самообладанию и находчивости экипажа: летчика Миндера, летнаба Бряндинского и инженера Нольде удалось избежать катастрофы (3104,125).</w:t>
      </w:r>
    </w:p>
    <w:p w14:paraId="6441F652" w14:textId="77777777" w:rsidR="00D4105E" w:rsidRPr="00E14102" w:rsidRDefault="00D4105E" w:rsidP="00E14102">
      <w:pPr>
        <w:autoSpaceDE w:val="0"/>
        <w:autoSpaceDN w:val="0"/>
        <w:adjustRightInd w:val="0"/>
        <w:jc w:val="both"/>
        <w:rPr>
          <w:color w:val="000000" w:themeColor="text1"/>
          <w:sz w:val="16"/>
          <w:szCs w:val="16"/>
        </w:rPr>
      </w:pPr>
    </w:p>
    <w:p w14:paraId="519397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период в 1 июля по 16 августа 1935 г. провели испытания УТ-2 №8211 (учебно-тренировочного И-16). Полетный вес составлял 1370.5 кг. вес пустого 970,3 кг, полетная центровка 31,3% САХ, максимальная скорость у земли 349 км/ч, посадочная скорость 127 км/ч. Летали Павлушсв и Ларюшкин, которые отмстили приемлемую устойчивость самолета. К недостаткам отнесли стремление к кабрированию на скоростях свыше 220 км/ч и попадание выхлопных газов в кабину пилота. Самолет предлагалось совершенствовать и далее использовать для переучивания на И-16.</w:t>
      </w:r>
    </w:p>
    <w:p w14:paraId="262B09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Впоследствии построили еще два таких самолета. Известно, что один из них. УТ-2 №82120. выпущенный в декабре 1935 г. потерпел катастрофу 17 июля 1936 г. Летчик- сдатчик завода Ф.Ф.Меч обучал пилотированию на этой машине летчика Д.М.Чебо- тенко. При заходе на посадку на малой высоте самолет сорвался в штопор и в короткое мгновение похоронил обоих пилотов (12015).</w:t>
      </w:r>
    </w:p>
    <w:p w14:paraId="5C0F633F" w14:textId="77777777" w:rsidR="00D4105E" w:rsidRPr="00E14102" w:rsidRDefault="00D4105E" w:rsidP="00E14102">
      <w:pPr>
        <w:autoSpaceDE w:val="0"/>
        <w:autoSpaceDN w:val="0"/>
        <w:adjustRightInd w:val="0"/>
        <w:jc w:val="both"/>
        <w:rPr>
          <w:color w:val="000000" w:themeColor="text1"/>
          <w:sz w:val="16"/>
          <w:szCs w:val="16"/>
        </w:rPr>
      </w:pPr>
    </w:p>
    <w:p w14:paraId="44D9F5C4" w14:textId="77777777" w:rsidR="009B3B0C" w:rsidRPr="00E14102" w:rsidRDefault="009B3B0C" w:rsidP="00E14102">
      <w:pPr>
        <w:jc w:val="both"/>
        <w:rPr>
          <w:color w:val="0070C0"/>
          <w:sz w:val="16"/>
          <w:szCs w:val="16"/>
        </w:rPr>
      </w:pPr>
      <w:r w:rsidRPr="00E14102">
        <w:rPr>
          <w:color w:val="0070C0"/>
          <w:sz w:val="16"/>
          <w:szCs w:val="16"/>
        </w:rPr>
        <w:t>С 1 по 4 июля 1935 года военпреды завода № 21 провели совместные специальные испытания УТИ-2 М-22 типа 8, спроектированного конструкторским отделом. Летали смешанные экипажи: за летчиков Дательбаум и Павлушов, а за летчиков-наблюдателей (или летнабов) старший военпред Сладков и его заместитель Францев. Была отмечена теснота первой кабины и неудобство посадки в нее.</w:t>
      </w:r>
    </w:p>
    <w:p w14:paraId="78B64AE6" w14:textId="77777777" w:rsidR="009B3B0C" w:rsidRPr="00E14102" w:rsidRDefault="009B3B0C" w:rsidP="00E14102">
      <w:pPr>
        <w:jc w:val="both"/>
        <w:rPr>
          <w:color w:val="0070C0"/>
          <w:sz w:val="16"/>
          <w:szCs w:val="16"/>
        </w:rPr>
      </w:pPr>
      <w:r w:rsidRPr="00E14102">
        <w:rPr>
          <w:color w:val="0070C0"/>
          <w:sz w:val="16"/>
          <w:szCs w:val="16"/>
        </w:rPr>
        <w:t>Первый самолет № 8211 прошел до этого заводские испытания летчиком Павлушовым.</w:t>
      </w:r>
    </w:p>
    <w:p w14:paraId="04644C93" w14:textId="77777777" w:rsidR="009B3B0C" w:rsidRPr="00E14102" w:rsidRDefault="009B3B0C" w:rsidP="00E14102">
      <w:pPr>
        <w:jc w:val="both"/>
        <w:rPr>
          <w:color w:val="0070C0"/>
          <w:sz w:val="16"/>
          <w:szCs w:val="16"/>
        </w:rPr>
      </w:pPr>
      <w:r w:rsidRPr="00E14102">
        <w:rPr>
          <w:color w:val="0070C0"/>
          <w:sz w:val="16"/>
          <w:szCs w:val="16"/>
        </w:rPr>
        <w:t>В заключение акта государственных испытаний этот самолет не был рекомендован частям ВВС как переходно-тренировочный тип из-за сложной техники пилотирования и ограниченного количества моторов М-22.</w:t>
      </w:r>
    </w:p>
    <w:p w14:paraId="16DA4FFD" w14:textId="77777777" w:rsidR="009B3B0C" w:rsidRPr="00E14102" w:rsidRDefault="009B3B0C" w:rsidP="00E14102">
      <w:pPr>
        <w:jc w:val="both"/>
        <w:rPr>
          <w:color w:val="0070C0"/>
          <w:sz w:val="16"/>
          <w:szCs w:val="16"/>
        </w:rPr>
      </w:pPr>
      <w:r w:rsidRPr="00E14102">
        <w:rPr>
          <w:color w:val="0070C0"/>
          <w:sz w:val="16"/>
          <w:szCs w:val="16"/>
        </w:rPr>
        <w:t>Однако из-за неимения лучшего его начали изготавливать. Программа по нему в 1935 году была перевыполнена. Выпущено в 1935 год 22 самолета УТИ-2 - с №8211 по №82122. Один самолет УТИ-2 обходился ВВС в 93000 рублей.</w:t>
      </w:r>
    </w:p>
    <w:p w14:paraId="503B534F" w14:textId="77777777" w:rsidR="009B3B0C" w:rsidRPr="00E14102" w:rsidRDefault="009B3B0C" w:rsidP="00E14102">
      <w:pPr>
        <w:jc w:val="both"/>
        <w:rPr>
          <w:color w:val="0070C0"/>
          <w:sz w:val="16"/>
          <w:szCs w:val="16"/>
        </w:rPr>
      </w:pPr>
      <w:r w:rsidRPr="00E14102">
        <w:rPr>
          <w:color w:val="0070C0"/>
          <w:sz w:val="16"/>
          <w:szCs w:val="16"/>
        </w:rPr>
        <w:t>В результате годичной усиленной эксплуатации, по заключению воинских частей и лично начальника У ВВС РККА командарма 2 ранга Алксниса, спарка УТИ-2 показала прекрасные результаты. На основании соглашения наркома тяжелой промышленности Орджоникидзе и наркома обороны Маршала Советского Союза Ворошилова завод был обязан в ударном порядке в 1936 году выпускать машины этого типа. Но, несмотря на неоднократные просьбы начальника УВВС РККА Алксниса о скорейшем выпуске машин указанного типа, а также личные просьбы Ворошилова и всех командующих округами во время посещения завода, несмотря на неоднократные распоряжения руководства завода о форсировании производства указанных машин, работа по ним шла крайне слабо (21100).</w:t>
      </w:r>
    </w:p>
    <w:p w14:paraId="0EF7D299" w14:textId="77777777" w:rsidR="009B3B0C" w:rsidRPr="00E14102" w:rsidRDefault="009B3B0C" w:rsidP="00E14102">
      <w:pPr>
        <w:jc w:val="both"/>
        <w:rPr>
          <w:color w:val="0070C0"/>
          <w:sz w:val="16"/>
          <w:szCs w:val="16"/>
        </w:rPr>
      </w:pPr>
    </w:p>
    <w:p w14:paraId="555F57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1935 в НИИ ВВС проходили учебные бои между И-5 и Файрфлай IIM, закупленного в октябре 1932. Маневренность - хуже, но за счет скорости атакует по вертикали. В общем лучше (2611,23).</w:t>
      </w:r>
    </w:p>
    <w:p w14:paraId="459F6941" w14:textId="77777777" w:rsidR="00D4105E" w:rsidRPr="00E14102" w:rsidRDefault="00D4105E" w:rsidP="00E14102">
      <w:pPr>
        <w:autoSpaceDE w:val="0"/>
        <w:autoSpaceDN w:val="0"/>
        <w:adjustRightInd w:val="0"/>
        <w:jc w:val="both"/>
        <w:rPr>
          <w:color w:val="000000" w:themeColor="text1"/>
          <w:sz w:val="16"/>
          <w:szCs w:val="16"/>
        </w:rPr>
      </w:pPr>
    </w:p>
    <w:p w14:paraId="0F95C6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1935 закончились госиспытания второго МДР4-3М34Р морского дальнего разведчика, которые проходили с 17 марта 1935 года. После чего произведена была установка новых моторов М-34. Заводские испытания с М34РН начались 14 сентября 1935 года и 23 сентября самолет потерпел аварию (3475,103).</w:t>
      </w:r>
    </w:p>
    <w:p w14:paraId="7FF26E38" w14:textId="77777777" w:rsidR="00D4105E" w:rsidRPr="00E14102" w:rsidRDefault="00D4105E" w:rsidP="00E14102">
      <w:pPr>
        <w:autoSpaceDE w:val="0"/>
        <w:autoSpaceDN w:val="0"/>
        <w:adjustRightInd w:val="0"/>
        <w:jc w:val="both"/>
        <w:rPr>
          <w:color w:val="000000" w:themeColor="text1"/>
          <w:sz w:val="16"/>
          <w:szCs w:val="16"/>
        </w:rPr>
      </w:pPr>
    </w:p>
    <w:p w14:paraId="127B691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июля 1935 года была подготовлена</w:t>
      </w:r>
    </w:p>
    <w:p w14:paraId="237B25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Справка о выполнении плана заказов по авиации</w:t>
      </w:r>
    </w:p>
    <w:p w14:paraId="465B1F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Выполнение программы 1935 года по самолетам как с количественной, так и с качественной стороны идет крайне неудовлетворительно, что видно из следующей таблицы (3157):</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43"/>
        <w:gridCol w:w="1418"/>
        <w:gridCol w:w="1275"/>
        <w:gridCol w:w="6521"/>
      </w:tblGrid>
      <w:tr w:rsidR="00E3599D" w:rsidRPr="00E14102" w14:paraId="7DF59A20" w14:textId="77777777">
        <w:tc>
          <w:tcPr>
            <w:tcW w:w="1843" w:type="dxa"/>
          </w:tcPr>
          <w:p w14:paraId="30D2919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машины</w:t>
            </w:r>
          </w:p>
        </w:tc>
        <w:tc>
          <w:tcPr>
            <w:tcW w:w="1418" w:type="dxa"/>
          </w:tcPr>
          <w:p w14:paraId="192714C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План 1935 года</w:t>
            </w:r>
          </w:p>
        </w:tc>
        <w:tc>
          <w:tcPr>
            <w:tcW w:w="1275" w:type="dxa"/>
          </w:tcPr>
          <w:p w14:paraId="0B5523D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Сдано</w:t>
            </w:r>
          </w:p>
        </w:tc>
        <w:tc>
          <w:tcPr>
            <w:tcW w:w="6521" w:type="dxa"/>
          </w:tcPr>
          <w:p w14:paraId="5C4C80C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57DB138A" w14:textId="77777777">
        <w:tc>
          <w:tcPr>
            <w:tcW w:w="1843" w:type="dxa"/>
          </w:tcPr>
          <w:p w14:paraId="5226A82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И-14 М25</w:t>
            </w:r>
          </w:p>
        </w:tc>
        <w:tc>
          <w:tcPr>
            <w:tcW w:w="1418" w:type="dxa"/>
          </w:tcPr>
          <w:p w14:paraId="300E853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w:t>
            </w:r>
          </w:p>
        </w:tc>
        <w:tc>
          <w:tcPr>
            <w:tcW w:w="1275" w:type="dxa"/>
          </w:tcPr>
          <w:p w14:paraId="381951A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0</w:t>
            </w:r>
          </w:p>
        </w:tc>
        <w:tc>
          <w:tcPr>
            <w:tcW w:w="6521" w:type="dxa"/>
          </w:tcPr>
          <w:p w14:paraId="3E5ED9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 до сего времени не освоил производства машин.</w:t>
            </w:r>
          </w:p>
        </w:tc>
      </w:tr>
      <w:tr w:rsidR="00E3599D" w:rsidRPr="00E14102" w14:paraId="3C72DB65" w14:textId="77777777">
        <w:tc>
          <w:tcPr>
            <w:tcW w:w="1843" w:type="dxa"/>
          </w:tcPr>
          <w:p w14:paraId="0A89890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И-15 М25</w:t>
            </w:r>
          </w:p>
        </w:tc>
        <w:tc>
          <w:tcPr>
            <w:tcW w:w="1418" w:type="dxa"/>
          </w:tcPr>
          <w:p w14:paraId="595B6B1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250</w:t>
            </w:r>
          </w:p>
        </w:tc>
        <w:tc>
          <w:tcPr>
            <w:tcW w:w="1275" w:type="dxa"/>
          </w:tcPr>
          <w:p w14:paraId="232975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110 (156)</w:t>
            </w:r>
          </w:p>
        </w:tc>
        <w:tc>
          <w:tcPr>
            <w:tcW w:w="6521" w:type="dxa"/>
          </w:tcPr>
          <w:p w14:paraId="0886F50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Из них недодел 1934 года – 74 ед. Большой брак по синхронизаторам, шасси и медленность в темпах производства.</w:t>
            </w:r>
          </w:p>
        </w:tc>
      </w:tr>
      <w:tr w:rsidR="00E3599D" w:rsidRPr="00E14102" w14:paraId="1C5A51B4" w14:textId="77777777">
        <w:tc>
          <w:tcPr>
            <w:tcW w:w="1843" w:type="dxa"/>
          </w:tcPr>
          <w:p w14:paraId="1D5780F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И-16 М-22</w:t>
            </w:r>
          </w:p>
        </w:tc>
        <w:tc>
          <w:tcPr>
            <w:tcW w:w="1418" w:type="dxa"/>
          </w:tcPr>
          <w:p w14:paraId="40FB645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600 (500)</w:t>
            </w:r>
          </w:p>
        </w:tc>
        <w:tc>
          <w:tcPr>
            <w:tcW w:w="1275" w:type="dxa"/>
          </w:tcPr>
          <w:p w14:paraId="0744301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198 (500)</w:t>
            </w:r>
          </w:p>
        </w:tc>
        <w:tc>
          <w:tcPr>
            <w:tcW w:w="6521" w:type="dxa"/>
          </w:tcPr>
          <w:p w14:paraId="5DF508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Из них недодел 1934 года – 184 ед.</w:t>
            </w:r>
          </w:p>
        </w:tc>
      </w:tr>
      <w:tr w:rsidR="00E3599D" w:rsidRPr="00E14102" w14:paraId="297E9733" w14:textId="77777777">
        <w:tc>
          <w:tcPr>
            <w:tcW w:w="1843" w:type="dxa"/>
          </w:tcPr>
          <w:p w14:paraId="4FFD281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И-16 М-25</w:t>
            </w:r>
          </w:p>
        </w:tc>
        <w:tc>
          <w:tcPr>
            <w:tcW w:w="1418" w:type="dxa"/>
          </w:tcPr>
          <w:p w14:paraId="3DF852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480</w:t>
            </w:r>
          </w:p>
        </w:tc>
        <w:tc>
          <w:tcPr>
            <w:tcW w:w="1275" w:type="dxa"/>
          </w:tcPr>
          <w:p w14:paraId="7A8B596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0</w:t>
            </w:r>
          </w:p>
        </w:tc>
        <w:tc>
          <w:tcPr>
            <w:tcW w:w="6521" w:type="dxa"/>
          </w:tcPr>
          <w:p w14:paraId="4EF1B37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Пока еще не заключен договор.</w:t>
            </w:r>
          </w:p>
        </w:tc>
      </w:tr>
      <w:tr w:rsidR="00E3599D" w:rsidRPr="00E14102" w14:paraId="114E781C" w14:textId="77777777">
        <w:tc>
          <w:tcPr>
            <w:tcW w:w="1843" w:type="dxa"/>
          </w:tcPr>
          <w:p w14:paraId="787B577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И-П1 М25</w:t>
            </w:r>
          </w:p>
        </w:tc>
        <w:tc>
          <w:tcPr>
            <w:tcW w:w="1418" w:type="dxa"/>
          </w:tcPr>
          <w:p w14:paraId="2ED860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c>
          <w:tcPr>
            <w:tcW w:w="1275" w:type="dxa"/>
          </w:tcPr>
          <w:p w14:paraId="3DE9C67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0</w:t>
            </w:r>
          </w:p>
        </w:tc>
        <w:tc>
          <w:tcPr>
            <w:tcW w:w="6521" w:type="dxa"/>
          </w:tcPr>
          <w:p w14:paraId="4C70753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Машины пока не освоены производством.</w:t>
            </w:r>
          </w:p>
        </w:tc>
      </w:tr>
      <w:tr w:rsidR="00E3599D" w:rsidRPr="00E14102" w14:paraId="558B7CB0" w14:textId="77777777">
        <w:tc>
          <w:tcPr>
            <w:tcW w:w="1843" w:type="dxa"/>
          </w:tcPr>
          <w:p w14:paraId="0A62809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ТБ-3 М34Р</w:t>
            </w:r>
          </w:p>
        </w:tc>
        <w:tc>
          <w:tcPr>
            <w:tcW w:w="1418" w:type="dxa"/>
          </w:tcPr>
          <w:p w14:paraId="7FEB35E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w:t>
            </w:r>
          </w:p>
        </w:tc>
        <w:tc>
          <w:tcPr>
            <w:tcW w:w="1275" w:type="dxa"/>
          </w:tcPr>
          <w:p w14:paraId="7D80E3F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0 (25)</w:t>
            </w:r>
          </w:p>
        </w:tc>
        <w:tc>
          <w:tcPr>
            <w:tcW w:w="6521" w:type="dxa"/>
          </w:tcPr>
          <w:p w14:paraId="54B597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Дефекты в креплении, течь радиаторов, трещины в воздушных винтах и проч.</w:t>
            </w:r>
          </w:p>
        </w:tc>
      </w:tr>
      <w:tr w:rsidR="00E3599D" w:rsidRPr="00E14102" w14:paraId="1254A842" w14:textId="77777777">
        <w:tc>
          <w:tcPr>
            <w:tcW w:w="1843" w:type="dxa"/>
          </w:tcPr>
          <w:p w14:paraId="633B40E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ТБ-3 М34РН</w:t>
            </w:r>
          </w:p>
        </w:tc>
        <w:tc>
          <w:tcPr>
            <w:tcW w:w="1418" w:type="dxa"/>
          </w:tcPr>
          <w:p w14:paraId="7335DD5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130 </w:t>
            </w:r>
          </w:p>
        </w:tc>
        <w:tc>
          <w:tcPr>
            <w:tcW w:w="1275" w:type="dxa"/>
          </w:tcPr>
          <w:p w14:paraId="747A5E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0 (130)</w:t>
            </w:r>
          </w:p>
        </w:tc>
        <w:tc>
          <w:tcPr>
            <w:tcW w:w="6521" w:type="dxa"/>
          </w:tcPr>
          <w:p w14:paraId="157DB34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Дефекты в креплениях, течь радиаторов, трещины в воздушных винтах и проч.</w:t>
            </w:r>
          </w:p>
        </w:tc>
      </w:tr>
      <w:tr w:rsidR="00E3599D" w:rsidRPr="00E14102" w14:paraId="24E1E6ED" w14:textId="77777777">
        <w:tc>
          <w:tcPr>
            <w:tcW w:w="1843" w:type="dxa"/>
          </w:tcPr>
          <w:p w14:paraId="54C7953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СБ-2 М100</w:t>
            </w:r>
          </w:p>
        </w:tc>
        <w:tc>
          <w:tcPr>
            <w:tcW w:w="1418" w:type="dxa"/>
          </w:tcPr>
          <w:p w14:paraId="07B3288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400</w:t>
            </w:r>
          </w:p>
        </w:tc>
        <w:tc>
          <w:tcPr>
            <w:tcW w:w="1275" w:type="dxa"/>
          </w:tcPr>
          <w:p w14:paraId="7F26B7E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0</w:t>
            </w:r>
          </w:p>
        </w:tc>
        <w:tc>
          <w:tcPr>
            <w:tcW w:w="6521" w:type="dxa"/>
          </w:tcPr>
          <w:p w14:paraId="0B6B0D1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См. постановление СТО по СБ.</w:t>
            </w:r>
          </w:p>
        </w:tc>
      </w:tr>
      <w:tr w:rsidR="00E3599D" w:rsidRPr="00E14102" w14:paraId="7705E617" w14:textId="77777777">
        <w:tc>
          <w:tcPr>
            <w:tcW w:w="1843" w:type="dxa"/>
          </w:tcPr>
          <w:p w14:paraId="0964D51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КР-6 2 М17</w:t>
            </w:r>
          </w:p>
        </w:tc>
        <w:tc>
          <w:tcPr>
            <w:tcW w:w="1418" w:type="dxa"/>
          </w:tcPr>
          <w:p w14:paraId="7C4F6F4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w:t>
            </w:r>
          </w:p>
        </w:tc>
        <w:tc>
          <w:tcPr>
            <w:tcW w:w="1275" w:type="dxa"/>
          </w:tcPr>
          <w:p w14:paraId="0E6DD3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(20)</w:t>
            </w:r>
          </w:p>
        </w:tc>
        <w:tc>
          <w:tcPr>
            <w:tcW w:w="6521" w:type="dxa"/>
          </w:tcPr>
          <w:p w14:paraId="265DC97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r>
      <w:tr w:rsidR="00E3599D" w:rsidRPr="00E14102" w14:paraId="0239BC12" w14:textId="77777777">
        <w:tc>
          <w:tcPr>
            <w:tcW w:w="1843" w:type="dxa"/>
          </w:tcPr>
          <w:p w14:paraId="3858EBB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КР6 А 2 М17</w:t>
            </w:r>
          </w:p>
        </w:tc>
        <w:tc>
          <w:tcPr>
            <w:tcW w:w="1418" w:type="dxa"/>
          </w:tcPr>
          <w:p w14:paraId="465823A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w:t>
            </w:r>
          </w:p>
        </w:tc>
        <w:tc>
          <w:tcPr>
            <w:tcW w:w="1275" w:type="dxa"/>
          </w:tcPr>
          <w:p w14:paraId="3E5C726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0 (25)</w:t>
            </w:r>
          </w:p>
        </w:tc>
        <w:tc>
          <w:tcPr>
            <w:tcW w:w="6521" w:type="dxa"/>
          </w:tcPr>
          <w:p w14:paraId="7B9E47E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Технические неполадки.</w:t>
            </w:r>
          </w:p>
        </w:tc>
      </w:tr>
      <w:tr w:rsidR="00E3599D" w:rsidRPr="00E14102" w14:paraId="33F37132" w14:textId="77777777">
        <w:tc>
          <w:tcPr>
            <w:tcW w:w="1843" w:type="dxa"/>
          </w:tcPr>
          <w:p w14:paraId="7BF0ACE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МБР-2 2М17Ф</w:t>
            </w:r>
          </w:p>
        </w:tc>
        <w:tc>
          <w:tcPr>
            <w:tcW w:w="1418" w:type="dxa"/>
          </w:tcPr>
          <w:p w14:paraId="5B269D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w:t>
            </w:r>
          </w:p>
        </w:tc>
        <w:tc>
          <w:tcPr>
            <w:tcW w:w="1275" w:type="dxa"/>
          </w:tcPr>
          <w:p w14:paraId="73853C8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0 (50)</w:t>
            </w:r>
          </w:p>
        </w:tc>
        <w:tc>
          <w:tcPr>
            <w:tcW w:w="6521" w:type="dxa"/>
          </w:tcPr>
          <w:p w14:paraId="596FE0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Отсутствие шасси, некомплектность лыж.</w:t>
            </w:r>
          </w:p>
        </w:tc>
      </w:tr>
      <w:tr w:rsidR="00E3599D" w:rsidRPr="00E14102" w14:paraId="71FD5C9D" w14:textId="77777777">
        <w:tc>
          <w:tcPr>
            <w:tcW w:w="1843" w:type="dxa"/>
          </w:tcPr>
          <w:p w14:paraId="1D4A6B8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БДР-4 4М34</w:t>
            </w:r>
          </w:p>
        </w:tc>
        <w:tc>
          <w:tcPr>
            <w:tcW w:w="1418" w:type="dxa"/>
          </w:tcPr>
          <w:p w14:paraId="4B0BBDC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w:t>
            </w:r>
          </w:p>
        </w:tc>
        <w:tc>
          <w:tcPr>
            <w:tcW w:w="1275" w:type="dxa"/>
          </w:tcPr>
          <w:p w14:paraId="1C7C942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0</w:t>
            </w:r>
          </w:p>
        </w:tc>
        <w:tc>
          <w:tcPr>
            <w:tcW w:w="6521" w:type="dxa"/>
          </w:tcPr>
          <w:p w14:paraId="724C3E4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Производственные неполадки.</w:t>
            </w:r>
          </w:p>
        </w:tc>
      </w:tr>
      <w:tr w:rsidR="00E3599D" w:rsidRPr="00E14102" w14:paraId="3875BA77" w14:textId="77777777">
        <w:tc>
          <w:tcPr>
            <w:tcW w:w="1843" w:type="dxa"/>
          </w:tcPr>
          <w:p w14:paraId="1FD6EFF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Р5 М17 штурм. (ССС)</w:t>
            </w:r>
          </w:p>
        </w:tc>
        <w:tc>
          <w:tcPr>
            <w:tcW w:w="1418" w:type="dxa"/>
          </w:tcPr>
          <w:p w14:paraId="13BFC29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400</w:t>
            </w:r>
          </w:p>
        </w:tc>
        <w:tc>
          <w:tcPr>
            <w:tcW w:w="1275" w:type="dxa"/>
          </w:tcPr>
          <w:p w14:paraId="3E993D7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0 (95)</w:t>
            </w:r>
          </w:p>
        </w:tc>
        <w:tc>
          <w:tcPr>
            <w:tcW w:w="6521" w:type="dxa"/>
          </w:tcPr>
          <w:p w14:paraId="17D744C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Договор не заключен. (Ни одной машины не сдано).</w:t>
            </w:r>
          </w:p>
        </w:tc>
      </w:tr>
      <w:tr w:rsidR="00E3599D" w:rsidRPr="00E14102" w14:paraId="3F741257" w14:textId="77777777">
        <w:tc>
          <w:tcPr>
            <w:tcW w:w="1843" w:type="dxa"/>
          </w:tcPr>
          <w:p w14:paraId="177F47F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Р-Зет М34 (ЛР)</w:t>
            </w:r>
          </w:p>
        </w:tc>
        <w:tc>
          <w:tcPr>
            <w:tcW w:w="1418" w:type="dxa"/>
          </w:tcPr>
          <w:p w14:paraId="08F895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600</w:t>
            </w:r>
          </w:p>
        </w:tc>
        <w:tc>
          <w:tcPr>
            <w:tcW w:w="1275" w:type="dxa"/>
          </w:tcPr>
          <w:p w14:paraId="4384FBF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0</w:t>
            </w:r>
          </w:p>
        </w:tc>
        <w:tc>
          <w:tcPr>
            <w:tcW w:w="6521" w:type="dxa"/>
          </w:tcPr>
          <w:p w14:paraId="5FC2639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Договор не заключен.</w:t>
            </w:r>
          </w:p>
        </w:tc>
      </w:tr>
      <w:tr w:rsidR="00E3599D" w:rsidRPr="00E14102" w14:paraId="34274647" w14:textId="77777777">
        <w:tc>
          <w:tcPr>
            <w:tcW w:w="1843" w:type="dxa"/>
          </w:tcPr>
          <w:p w14:paraId="62F0760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У-2 М11</w:t>
            </w:r>
          </w:p>
        </w:tc>
        <w:tc>
          <w:tcPr>
            <w:tcW w:w="1418" w:type="dxa"/>
          </w:tcPr>
          <w:p w14:paraId="3DEE113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150</w:t>
            </w:r>
          </w:p>
        </w:tc>
        <w:tc>
          <w:tcPr>
            <w:tcW w:w="1275" w:type="dxa"/>
          </w:tcPr>
          <w:p w14:paraId="711736C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150</w:t>
            </w:r>
          </w:p>
        </w:tc>
        <w:tc>
          <w:tcPr>
            <w:tcW w:w="6521" w:type="dxa"/>
          </w:tcPr>
          <w:p w14:paraId="229E762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r>
      <w:tr w:rsidR="00E3599D" w:rsidRPr="00E14102" w14:paraId="4E0892EB" w14:textId="77777777">
        <w:tc>
          <w:tcPr>
            <w:tcW w:w="1843" w:type="dxa"/>
          </w:tcPr>
          <w:p w14:paraId="61BFEDA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У-23 М11</w:t>
            </w:r>
          </w:p>
        </w:tc>
        <w:tc>
          <w:tcPr>
            <w:tcW w:w="1418" w:type="dxa"/>
          </w:tcPr>
          <w:p w14:paraId="1B0D140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150</w:t>
            </w:r>
          </w:p>
        </w:tc>
        <w:tc>
          <w:tcPr>
            <w:tcW w:w="1275" w:type="dxa"/>
          </w:tcPr>
          <w:p w14:paraId="5FC6541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148</w:t>
            </w:r>
          </w:p>
        </w:tc>
        <w:tc>
          <w:tcPr>
            <w:tcW w:w="6521" w:type="dxa"/>
          </w:tcPr>
          <w:p w14:paraId="5695DB3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r>
    </w:tbl>
    <w:p w14:paraId="39F9207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(3517,1).</w:t>
      </w:r>
    </w:p>
    <w:p w14:paraId="255EEF3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60CBC9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1ACE1D9" w14:textId="77777777" w:rsidR="00D4105E" w:rsidRPr="00E14102" w:rsidRDefault="00D4105E" w:rsidP="00E14102">
      <w:pPr>
        <w:autoSpaceDE w:val="0"/>
        <w:autoSpaceDN w:val="0"/>
        <w:adjustRightInd w:val="0"/>
        <w:jc w:val="both"/>
        <w:rPr>
          <w:iCs/>
          <w:color w:val="000000" w:themeColor="text1"/>
          <w:sz w:val="16"/>
          <w:szCs w:val="16"/>
        </w:rPr>
      </w:pPr>
    </w:p>
    <w:p w14:paraId="106123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июля 1935 г. приказом Наркомата тяжелой промышленности СССР в Москве создан Государственный институт по проектированию предприятий искусственного волокна (ГИПРОИВ). В 1936 г. переведен в г. Мытищи Московской обл. В 1941 - 1943 гг. находился в эвакуации в г. Намангане Узбекской ССР. Приказом Министерства химической промышленности СССР от 31 августа 1976 г. на базе ГИПРОИВ и ВНИИВ был создан Всесоюзный научно-исследовательский и проектный институт искусственного волокна (ВНИИВпроект) (12102). </w:t>
      </w:r>
    </w:p>
    <w:p w14:paraId="79A01985" w14:textId="77777777" w:rsidR="006D10EE" w:rsidRPr="00E14102" w:rsidRDefault="006D10EE" w:rsidP="00E14102">
      <w:pPr>
        <w:autoSpaceDE w:val="0"/>
        <w:autoSpaceDN w:val="0"/>
        <w:adjustRightInd w:val="0"/>
        <w:jc w:val="both"/>
        <w:rPr>
          <w:iCs/>
          <w:color w:val="000000" w:themeColor="text1"/>
          <w:sz w:val="16"/>
          <w:szCs w:val="16"/>
        </w:rPr>
      </w:pPr>
    </w:p>
    <w:p w14:paraId="0DFFFB3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054C558" w14:textId="77777777" w:rsidR="00D4105E" w:rsidRPr="00E14102" w:rsidRDefault="00D4105E" w:rsidP="00E14102">
      <w:pPr>
        <w:autoSpaceDE w:val="0"/>
        <w:autoSpaceDN w:val="0"/>
        <w:adjustRightInd w:val="0"/>
        <w:jc w:val="both"/>
        <w:rPr>
          <w:iCs/>
          <w:color w:val="000000" w:themeColor="text1"/>
          <w:sz w:val="16"/>
          <w:szCs w:val="16"/>
        </w:rPr>
      </w:pPr>
    </w:p>
    <w:p w14:paraId="387FAA88" w14:textId="77777777" w:rsidR="009B3B0C" w:rsidRPr="00E14102" w:rsidRDefault="009B3B0C" w:rsidP="00E14102">
      <w:pPr>
        <w:jc w:val="both"/>
        <w:rPr>
          <w:color w:val="0070C0"/>
          <w:sz w:val="16"/>
          <w:szCs w:val="16"/>
        </w:rPr>
      </w:pPr>
      <w:r w:rsidRPr="00E14102">
        <w:rPr>
          <w:color w:val="0070C0"/>
          <w:sz w:val="16"/>
          <w:szCs w:val="16"/>
        </w:rPr>
        <w:t>1 июля 1935 американская летная команда The Flying Keys устанавливает рекорд выносливости, пролетая без остановок на Curtiss Robin 653 часа 34 минуты в окрестностях Меридиана, штат Миссисипи. Во время полета, который начался 4 июня, экипаж из двух человек получает питание, другие припасы и топливо в воздухе от аналогичного самолета. Полет на 52 320 миль (84 251 км) использует более 6000 галлонов (4996 имперских галлонов; 22 712 литров) бензина (20800).</w:t>
      </w:r>
    </w:p>
    <w:p w14:paraId="14BDE84E" w14:textId="77777777" w:rsidR="009B3B0C" w:rsidRPr="00E14102" w:rsidRDefault="009B3B0C" w:rsidP="00E14102">
      <w:pPr>
        <w:jc w:val="both"/>
        <w:rPr>
          <w:color w:val="0070C0"/>
          <w:sz w:val="16"/>
          <w:szCs w:val="16"/>
        </w:rPr>
      </w:pPr>
    </w:p>
    <w:p w14:paraId="5485BFAB" w14:textId="77777777" w:rsidR="009B3B0C" w:rsidRPr="00E14102" w:rsidRDefault="009B3B0C" w:rsidP="00E14102">
      <w:pPr>
        <w:jc w:val="both"/>
        <w:rPr>
          <w:color w:val="0070C0"/>
          <w:sz w:val="16"/>
          <w:szCs w:val="16"/>
        </w:rPr>
      </w:pPr>
      <w:r w:rsidRPr="00E14102">
        <w:rPr>
          <w:color w:val="0070C0"/>
          <w:sz w:val="16"/>
          <w:szCs w:val="16"/>
        </w:rPr>
        <w:t>1 июля 1935 - Братья Fred и Al Key установили рекорд длительности полёта на самолёте Curtiss Robin - 653 часа, 34 минут. Чтобы обеспечть дозаправку самолёта, братья Ки вместе с изобретателем и механиком А. Д. Хантером изобрели систему заправки, которая состояла из клапана на конце топливной форсунки, открыющимся зондом в горловине топливного бака. Клапан не пропускал топливо, если оно не было вставлено в топливный бак. Во время заправки, если форсунка была извлечена из бака, топливо автоматически переставало течь. Эта насадка позже была принята на вооружение ВВС армии США и используется до сих пор с некоторыми модификациями.</w:t>
      </w:r>
    </w:p>
    <w:p w14:paraId="2A16D9F7" w14:textId="77777777" w:rsidR="009B3B0C" w:rsidRPr="00E14102" w:rsidRDefault="009B3B0C" w:rsidP="00E14102">
      <w:pPr>
        <w:jc w:val="both"/>
        <w:rPr>
          <w:color w:val="0070C0"/>
          <w:sz w:val="16"/>
          <w:szCs w:val="16"/>
        </w:rPr>
      </w:pPr>
      <w:r w:rsidRPr="00E14102">
        <w:rPr>
          <w:color w:val="0070C0"/>
          <w:sz w:val="16"/>
          <w:szCs w:val="16"/>
        </w:rPr>
        <w:t>После двух неудачных попыток в 1934 году братья Фред и Элджин Ки вылетели из Меридиана, штат Миссисипи  4 июня 1935 года и приземлились 1 июля - 27 дней спустя, пролетев примерно 52 320 миль и израсходовав более 6000 галлонов бензина. Несколько раз в день экипаж аналогичного самолёта опускал еду и припасы братьям на конце веревки, а также подавал топливо по длинной гибкой трубке (22443). </w:t>
      </w:r>
    </w:p>
    <w:p w14:paraId="49B4A036" w14:textId="77777777" w:rsidR="009B3B0C" w:rsidRPr="00E14102" w:rsidRDefault="009B3B0C" w:rsidP="00E14102">
      <w:pPr>
        <w:jc w:val="both"/>
        <w:rPr>
          <w:color w:val="0070C0"/>
          <w:sz w:val="16"/>
          <w:szCs w:val="16"/>
        </w:rPr>
      </w:pPr>
    </w:p>
    <w:p w14:paraId="3F2397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июля 1935 в Великобритании прошла конференция Совета действий за мир и реконструкцию, основанного бывшим премьером Ллойд Джорджем (3907,192).</w:t>
      </w:r>
    </w:p>
    <w:p w14:paraId="53756EB1" w14:textId="77777777" w:rsidR="00D4105E" w:rsidRPr="00E14102" w:rsidRDefault="00D4105E" w:rsidP="00E14102">
      <w:pPr>
        <w:autoSpaceDE w:val="0"/>
        <w:autoSpaceDN w:val="0"/>
        <w:adjustRightInd w:val="0"/>
        <w:jc w:val="both"/>
        <w:rPr>
          <w:color w:val="000000" w:themeColor="text1"/>
          <w:sz w:val="16"/>
          <w:szCs w:val="16"/>
        </w:rPr>
      </w:pPr>
    </w:p>
    <w:p w14:paraId="5B244F52" w14:textId="77777777" w:rsidR="006D10EE" w:rsidRPr="00E14102" w:rsidRDefault="006D10EE" w:rsidP="00E14102">
      <w:pPr>
        <w:jc w:val="both"/>
        <w:rPr>
          <w:color w:val="000000" w:themeColor="text1"/>
          <w:sz w:val="16"/>
          <w:szCs w:val="16"/>
        </w:rPr>
      </w:pPr>
      <w:r w:rsidRPr="00E14102">
        <w:rPr>
          <w:bCs/>
          <w:color w:val="000000" w:themeColor="text1"/>
          <w:sz w:val="16"/>
          <w:szCs w:val="16"/>
        </w:rPr>
        <w:t>1 июля</w:t>
      </w:r>
      <w:r w:rsidRPr="00E14102">
        <w:rPr>
          <w:color w:val="000000" w:themeColor="text1"/>
          <w:sz w:val="16"/>
          <w:szCs w:val="16"/>
        </w:rPr>
        <w:t xml:space="preserve"> в 1935 году в Великобритании проходит конференция Совета действий за мир и реконструкцию, основанного бывшим премьер-министром Дэвидом Ллойдом Джорджем (работает до 2 июля). Совет обещает поддержку на парламентских выборах кандидатам, разделяющим его цели (14939).</w:t>
      </w:r>
    </w:p>
    <w:p w14:paraId="1B03E085" w14:textId="77777777" w:rsidR="006D10EE" w:rsidRPr="00E14102" w:rsidRDefault="006D10EE" w:rsidP="00E14102">
      <w:pPr>
        <w:jc w:val="both"/>
        <w:rPr>
          <w:color w:val="000000" w:themeColor="text1"/>
          <w:sz w:val="16"/>
          <w:szCs w:val="16"/>
        </w:rPr>
      </w:pPr>
    </w:p>
    <w:p w14:paraId="7EC91F1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4BA87DB" w14:textId="77777777" w:rsidR="00D4105E" w:rsidRPr="00E14102" w:rsidRDefault="00D4105E" w:rsidP="00E14102">
      <w:pPr>
        <w:autoSpaceDE w:val="0"/>
        <w:autoSpaceDN w:val="0"/>
        <w:adjustRightInd w:val="0"/>
        <w:jc w:val="both"/>
        <w:rPr>
          <w:iCs/>
          <w:color w:val="000000" w:themeColor="text1"/>
          <w:sz w:val="16"/>
          <w:szCs w:val="16"/>
        </w:rPr>
      </w:pPr>
    </w:p>
    <w:p w14:paraId="02FA8F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июля 1935 года в донесении НКВД указывалось: “Конструкция самолета ТБ-3 М-34Р была явно недоработана и кроме того в производстве на заводе № 22 - выполнена явно небрежно...” (9086,22).</w:t>
      </w:r>
    </w:p>
    <w:p w14:paraId="61633BB7" w14:textId="77777777" w:rsidR="00D4105E" w:rsidRPr="00E14102" w:rsidRDefault="00D4105E" w:rsidP="00E14102">
      <w:pPr>
        <w:autoSpaceDE w:val="0"/>
        <w:autoSpaceDN w:val="0"/>
        <w:adjustRightInd w:val="0"/>
        <w:jc w:val="both"/>
        <w:rPr>
          <w:color w:val="000000" w:themeColor="text1"/>
          <w:sz w:val="16"/>
          <w:szCs w:val="16"/>
        </w:rPr>
      </w:pPr>
    </w:p>
    <w:p w14:paraId="36F6CD99" w14:textId="77777777" w:rsidR="006D10EE" w:rsidRPr="00E14102" w:rsidRDefault="006D10EE" w:rsidP="00E14102">
      <w:pPr>
        <w:pStyle w:val="a7"/>
        <w:rPr>
          <w:color w:val="000000" w:themeColor="text1"/>
          <w:sz w:val="16"/>
          <w:szCs w:val="16"/>
          <w:lang w:val="ru-RU"/>
        </w:rPr>
      </w:pPr>
      <w:r w:rsidRPr="00E14102">
        <w:rPr>
          <w:color w:val="000000" w:themeColor="text1"/>
          <w:sz w:val="16"/>
          <w:szCs w:val="16"/>
          <w:lang w:val="ru-RU"/>
        </w:rPr>
        <w:t>2 июля 1935 г. Начальник ОКУ заво</w:t>
      </w:r>
      <w:r w:rsidRPr="00E14102">
        <w:rPr>
          <w:color w:val="000000" w:themeColor="text1"/>
          <w:sz w:val="16"/>
          <w:szCs w:val="16"/>
          <w:lang w:val="ru-RU"/>
        </w:rPr>
        <w:softHyphen/>
        <w:t>да №1 им. Авиахима Д.П. Григорович сообщил об окончании постройки свое</w:t>
      </w:r>
      <w:r w:rsidRPr="00E14102">
        <w:rPr>
          <w:color w:val="000000" w:themeColor="text1"/>
          <w:sz w:val="16"/>
          <w:szCs w:val="16"/>
          <w:lang w:val="ru-RU"/>
        </w:rPr>
        <w:softHyphen/>
        <w:t>го нового истребителя начальнику ГУАП Г.Н. Королеву: «Самолет ИП-3 с РЦ готов к заводским испытаниям и принят ЛИС завода №1 для производства испытаний.</w:t>
      </w:r>
    </w:p>
    <w:p w14:paraId="353A4990" w14:textId="77777777" w:rsidR="006D10EE" w:rsidRPr="00E14102" w:rsidRDefault="006D10EE" w:rsidP="00E14102">
      <w:pPr>
        <w:pStyle w:val="a7"/>
        <w:rPr>
          <w:color w:val="000000" w:themeColor="text1"/>
          <w:sz w:val="16"/>
          <w:szCs w:val="16"/>
          <w:lang w:val="ru-RU"/>
        </w:rPr>
      </w:pPr>
      <w:r w:rsidRPr="00E14102">
        <w:rPr>
          <w:color w:val="000000" w:themeColor="text1"/>
          <w:sz w:val="16"/>
          <w:szCs w:val="16"/>
          <w:lang w:val="ru-RU"/>
        </w:rPr>
        <w:t>Прошу Вашего согласия на начало испыта</w:t>
      </w:r>
      <w:r w:rsidRPr="00E14102">
        <w:rPr>
          <w:color w:val="000000" w:themeColor="text1"/>
          <w:sz w:val="16"/>
          <w:szCs w:val="16"/>
          <w:lang w:val="ru-RU"/>
        </w:rPr>
        <w:softHyphen/>
        <w:t>ний».</w:t>
      </w:r>
    </w:p>
    <w:p w14:paraId="1824F122" w14:textId="77777777" w:rsidR="006D10EE" w:rsidRPr="00E14102" w:rsidRDefault="006D10EE" w:rsidP="00E14102">
      <w:pPr>
        <w:pStyle w:val="a7"/>
        <w:rPr>
          <w:color w:val="000000" w:themeColor="text1"/>
          <w:sz w:val="16"/>
          <w:szCs w:val="16"/>
          <w:lang w:val="ru-RU"/>
        </w:rPr>
      </w:pPr>
      <w:r w:rsidRPr="00E14102">
        <w:rPr>
          <w:color w:val="000000" w:themeColor="text1"/>
          <w:sz w:val="16"/>
          <w:szCs w:val="16"/>
          <w:lang w:val="ru-RU"/>
        </w:rPr>
        <w:t>Этот самолет, который на этапе про</w:t>
      </w:r>
      <w:r w:rsidRPr="00E14102">
        <w:rPr>
          <w:color w:val="000000" w:themeColor="text1"/>
          <w:sz w:val="16"/>
          <w:szCs w:val="16"/>
          <w:lang w:val="ru-RU"/>
        </w:rPr>
        <w:softHyphen/>
        <w:t>ектирования получил обозначение ДГ-53, по сравнению с ДГ-52 (ИП-1) отличался уменьшенными геометрическими разме</w:t>
      </w:r>
      <w:r w:rsidRPr="00E14102">
        <w:rPr>
          <w:color w:val="000000" w:themeColor="text1"/>
          <w:sz w:val="16"/>
          <w:szCs w:val="16"/>
          <w:lang w:val="ru-RU"/>
        </w:rPr>
        <w:softHyphen/>
        <w:t>рами, площадью несущих поверхностей и, соответственно, снизившимся полетным весом. В отношении него можно предпо</w:t>
      </w:r>
      <w:r w:rsidRPr="00E14102">
        <w:rPr>
          <w:color w:val="000000" w:themeColor="text1"/>
          <w:sz w:val="16"/>
          <w:szCs w:val="16"/>
          <w:lang w:val="ru-RU"/>
        </w:rPr>
        <w:softHyphen/>
        <w:t>ложить, что Григорович решил создать на базе первой опытной машины ДГ-52 «обычный» истребитель воздушного боя, вооруженный лишь пулеметами. Однако на самом деле это также был в некотором роде утилитарный аппарат, ориентирован</w:t>
      </w:r>
      <w:r w:rsidRPr="00E14102">
        <w:rPr>
          <w:color w:val="000000" w:themeColor="text1"/>
          <w:sz w:val="16"/>
          <w:szCs w:val="16"/>
          <w:lang w:val="ru-RU"/>
        </w:rPr>
        <w:softHyphen/>
        <w:t>ный на динамореактивные пушки Курчев</w:t>
      </w:r>
      <w:r w:rsidRPr="00E14102">
        <w:rPr>
          <w:color w:val="000000" w:themeColor="text1"/>
          <w:sz w:val="16"/>
          <w:szCs w:val="16"/>
          <w:lang w:val="ru-RU"/>
        </w:rPr>
        <w:softHyphen/>
        <w:t>ского. Просто пушки были меньше - как по калибру, так и по весу и размерам.</w:t>
      </w:r>
    </w:p>
    <w:p w14:paraId="5C435455" w14:textId="77777777" w:rsidR="006D10EE" w:rsidRPr="00E14102" w:rsidRDefault="006D10EE" w:rsidP="00E14102">
      <w:pPr>
        <w:pStyle w:val="rtejustify"/>
        <w:spacing w:before="0" w:after="0"/>
        <w:rPr>
          <w:color w:val="000000" w:themeColor="text1"/>
          <w:sz w:val="16"/>
          <w:szCs w:val="16"/>
        </w:rPr>
      </w:pPr>
      <w:r w:rsidRPr="00E14102">
        <w:rPr>
          <w:color w:val="000000" w:themeColor="text1"/>
          <w:sz w:val="16"/>
          <w:szCs w:val="16"/>
        </w:rPr>
        <w:t>ДГ-53 создавался под 37-мм автома</w:t>
      </w:r>
      <w:r w:rsidRPr="00E14102">
        <w:rPr>
          <w:color w:val="000000" w:themeColor="text1"/>
          <w:sz w:val="16"/>
          <w:szCs w:val="16"/>
        </w:rPr>
        <w:softHyphen/>
        <w:t>тические пушки АПК-11, которые конструк</w:t>
      </w:r>
      <w:r w:rsidRPr="00E14102">
        <w:rPr>
          <w:color w:val="000000" w:themeColor="text1"/>
          <w:sz w:val="16"/>
          <w:szCs w:val="16"/>
        </w:rPr>
        <w:softHyphen/>
        <w:t>тор Курчевский предложил в 1932 г. Они отличались магазинным боепитанием и увеличенным запасов снарядов на каждое орудие до 25 штук. По 12 снарядов разме</w:t>
      </w:r>
      <w:r w:rsidRPr="00E14102">
        <w:rPr>
          <w:color w:val="000000" w:themeColor="text1"/>
          <w:sz w:val="16"/>
          <w:szCs w:val="16"/>
        </w:rPr>
        <w:softHyphen/>
        <w:t>щались в двух магазинах (кассетах) и еще один снаряд перед стрельбой устанавли</w:t>
      </w:r>
      <w:r w:rsidRPr="00E14102">
        <w:rPr>
          <w:color w:val="000000" w:themeColor="text1"/>
          <w:sz w:val="16"/>
          <w:szCs w:val="16"/>
        </w:rPr>
        <w:softHyphen/>
        <w:t>вался в стволе. Вес АПК-11 с кассетами составлял 39,1 кг, вес осколочного сна</w:t>
      </w:r>
      <w:r w:rsidRPr="00E14102">
        <w:rPr>
          <w:color w:val="000000" w:themeColor="text1"/>
          <w:sz w:val="16"/>
          <w:szCs w:val="16"/>
        </w:rPr>
        <w:softHyphen/>
        <w:t>ряда с головным ударным взрывателем - 475-500 г. Начальная скорость снарядов, зафиксированная на испытаниях, соста</w:t>
      </w:r>
      <w:r w:rsidRPr="00E14102">
        <w:rPr>
          <w:color w:val="000000" w:themeColor="text1"/>
          <w:sz w:val="16"/>
          <w:szCs w:val="16"/>
        </w:rPr>
        <w:softHyphen/>
        <w:t>вила 438-475 м/с. Перезарядка пушек при стрельбе осуществлялась сжатым возду</w:t>
      </w:r>
      <w:r w:rsidRPr="00E14102">
        <w:rPr>
          <w:color w:val="000000" w:themeColor="text1"/>
          <w:sz w:val="16"/>
          <w:szCs w:val="16"/>
        </w:rPr>
        <w:softHyphen/>
        <w:t>хом, размещенным в бортовом пятилитро</w:t>
      </w:r>
      <w:r w:rsidRPr="00E14102">
        <w:rPr>
          <w:color w:val="000000" w:themeColor="text1"/>
          <w:sz w:val="16"/>
          <w:szCs w:val="16"/>
        </w:rPr>
        <w:softHyphen/>
        <w:t>вом баллоне. (15742).</w:t>
      </w:r>
    </w:p>
    <w:p w14:paraId="1E071673" w14:textId="77777777" w:rsidR="006D10EE" w:rsidRPr="00E14102" w:rsidRDefault="006D10EE" w:rsidP="00E14102">
      <w:pPr>
        <w:pStyle w:val="rtejustify"/>
        <w:spacing w:before="0" w:after="0"/>
        <w:rPr>
          <w:color w:val="000000" w:themeColor="text1"/>
          <w:sz w:val="16"/>
          <w:szCs w:val="16"/>
        </w:rPr>
      </w:pPr>
    </w:p>
    <w:p w14:paraId="7DE0432A" w14:textId="77777777" w:rsidR="00837403" w:rsidRPr="00E14102" w:rsidRDefault="00837403" w:rsidP="00E14102">
      <w:pPr>
        <w:jc w:val="both"/>
        <w:rPr>
          <w:color w:val="0070C0"/>
          <w:sz w:val="16"/>
          <w:szCs w:val="16"/>
        </w:rPr>
      </w:pPr>
      <w:r w:rsidRPr="00E14102">
        <w:rPr>
          <w:color w:val="0070C0"/>
          <w:sz w:val="16"/>
          <w:szCs w:val="16"/>
        </w:rPr>
        <w:t>2 июля 1935 хавод № 21 предъявил четырехпулеметный И-16, получивший полуофициальный индекс И-161, военпредам, которые испытывали новую машину с 3 по 10 июля. 11 числа самолет перегнали в НИИ ВВС. Внешне И-161 выглядел не очень импозантно. Казалось, что вооружение в крыло «воткнули» впопыхах. Заводские конструкторы, без изменений сохранив установки центропланных ШКАСов, не сумели компактно разместить дополнительные пулеметы. Исходя из «компоновочных соображений», расстояние между пулеметами в левой плоскости составляла 346 мм, а в правой – 722 мм. Пулеметы крепились к лонжеронам на кронштейнах с приспособлениями для горизонтальной и вертикальной регулировки. Патронные ящики дополнительных ШКАСов емкостью по 400 патронов изготавливались из жести и располагались с левой стороны от пулеметов. Доступ к оружию осуществлялся через большие люки на нижней поверхности крыла. Зарядка и перезарядка производилась при помощи четырех рычагов на полу кабины слева от пилота, соединенных боуденовскими тросами с пулеметами. Управление огнем – при помощи четырех гашеток, размещавшихся в центре баранки (в отчете написано – калача) ручки управления и связанных боуденовскими тросами со спусками пулеметов. Стреляные гильзы выбрасывались вперед через изогнутые трубки гильзоотводов, укрепленные на распорках лонжеронов, а звенья – вниз, через жестяные рукава на передних стенках патронных ящиков (23033).</w:t>
      </w:r>
    </w:p>
    <w:p w14:paraId="1F7D9F8B" w14:textId="77777777" w:rsidR="00837403" w:rsidRPr="00E14102" w:rsidRDefault="00837403" w:rsidP="00E14102">
      <w:pPr>
        <w:jc w:val="both"/>
        <w:rPr>
          <w:color w:val="0070C0"/>
          <w:sz w:val="16"/>
          <w:szCs w:val="16"/>
        </w:rPr>
      </w:pPr>
    </w:p>
    <w:p w14:paraId="10F4FD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июля 1935 года Курчевский писал:</w:t>
      </w:r>
    </w:p>
    <w:p w14:paraId="21BCCB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Вашего указания сообщаю Вам о положении с работами по системам К.</w:t>
      </w:r>
    </w:p>
    <w:p w14:paraId="62DAA5A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Завод № 8 по нашим чертежам и эталону изготовил ранее правительственного срока десять систем АПК-4 как установочную партию. Качество работы хорошее.</w:t>
      </w:r>
    </w:p>
    <w:p w14:paraId="791132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систем задерживается из-за полного отсутствия снаряженных патронов.</w:t>
      </w:r>
    </w:p>
    <w:p w14:paraId="23D9EBA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lastRenderedPageBreak/>
        <w:t>Завод № 38 изготовил согласно постановления СТО к 1 мая 1935 года тридцать систем АПК-4. Сдано только 12 штук, сдача остальных прекращена из-за отсутствия выстрелов.</w:t>
      </w:r>
    </w:p>
    <w:p w14:paraId="7A335B7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Производится испытание двух эталонных образцов АПК-11, изготовленных заводом № 38. Испытание протекает успешно, сделано 1140 выстрелов, получена отличная меткость, однако стрельба остановилась из-за отсутствия снарядов.</w:t>
      </w:r>
    </w:p>
    <w:p w14:paraId="1F4985C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отработки тактического применения авиационных пушек в Евпаторию отправлены три самолета вооруженных модернизированными АПК-4, программа стрельб патронами не обеспечена, так как от промышленности выстрелов не получено.</w:t>
      </w:r>
    </w:p>
    <w:p w14:paraId="629D118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Находящийся на госиспытаниях самолет ИП-1 выстрелами не обеспечен совершенно, нужно (500 штук).</w:t>
      </w:r>
    </w:p>
    <w:p w14:paraId="3EB769A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Изготовленные заводом № 38 системы СПК не могут быть сданы АУ из-за отсутствия выстрелов.</w:t>
      </w:r>
    </w:p>
    <w:p w14:paraId="1D5BEE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Положение с выстрелами для систем К на сегодняшний день явно не благополучное. Вся программа этого года может быть сорвана отсутствием выстрелов.</w:t>
      </w:r>
    </w:p>
    <w:p w14:paraId="6AD2BFC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Производилось испытание 76 мм самоходных пушек СПК пробегом из Москвы в Житомир с учениями там и стрельбой. Заключение командира корпуса в результате испытаний: “Введение СПК на вооружение является большим достижением, необходимо поставить вопрос о замене полковой пушки 1927 года на СПК”.</w:t>
      </w:r>
    </w:p>
    <w:p w14:paraId="3213A5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Общая обстановка моей работы в ГВМУ в последнее время, особенно в связи с уходом Ермана явно неблагоприятна, склока на заводе продолжается, работать почти невозможно. Особенно остро стоит вопрос с кадрами, так как НКВД чрезвычайно затрудняет наем и требует увольнения некоторых совершенно незаменимых работников.</w:t>
      </w:r>
    </w:p>
    <w:p w14:paraId="36BA93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постановления СТО от 7 апреля ГВМУ должно подготовить изготовление 12 систем железнодорожных транспортеров 305 мм пушек К, между тем совершенно не обеспечено изготовление даже первого образца и начальник ГВМУ сказал, что никакой подготовки он делать не будет. Нет снарядов для отстрела 12-ти дюймовой системы на эсминце без чего невозможно составление таблицы стрельбы (2426, 45).</w:t>
      </w:r>
    </w:p>
    <w:p w14:paraId="2EC15AD3" w14:textId="77777777" w:rsidR="00D4105E" w:rsidRPr="00E14102" w:rsidRDefault="00D4105E" w:rsidP="00E14102">
      <w:pPr>
        <w:autoSpaceDE w:val="0"/>
        <w:autoSpaceDN w:val="0"/>
        <w:adjustRightInd w:val="0"/>
        <w:jc w:val="both"/>
        <w:rPr>
          <w:color w:val="000000" w:themeColor="text1"/>
          <w:sz w:val="16"/>
          <w:szCs w:val="16"/>
        </w:rPr>
      </w:pPr>
    </w:p>
    <w:p w14:paraId="4AC622D9" w14:textId="77777777" w:rsidR="006D10E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E33C2A3" w14:textId="77777777" w:rsidR="006D10EE" w:rsidRPr="00E14102" w:rsidRDefault="006D10EE" w:rsidP="00E14102">
      <w:pPr>
        <w:autoSpaceDE w:val="0"/>
        <w:autoSpaceDN w:val="0"/>
        <w:adjustRightInd w:val="0"/>
        <w:jc w:val="both"/>
        <w:rPr>
          <w:iCs/>
          <w:color w:val="000000" w:themeColor="text1"/>
          <w:sz w:val="16"/>
          <w:szCs w:val="16"/>
        </w:rPr>
      </w:pPr>
    </w:p>
    <w:p w14:paraId="12BEBEF5" w14:textId="77777777" w:rsidR="006D10EE" w:rsidRPr="00E14102" w:rsidRDefault="006D10EE" w:rsidP="00E14102">
      <w:pPr>
        <w:pStyle w:val="rtejustify"/>
        <w:spacing w:before="0" w:after="0"/>
        <w:rPr>
          <w:color w:val="000000" w:themeColor="text1"/>
          <w:sz w:val="16"/>
          <w:szCs w:val="16"/>
          <w:lang w:val="en-US"/>
        </w:rPr>
      </w:pPr>
      <w:r w:rsidRPr="00E14102">
        <w:rPr>
          <w:rStyle w:val="a6"/>
          <w:bCs/>
          <w:i w:val="0"/>
          <w:color w:val="000000" w:themeColor="text1"/>
          <w:sz w:val="16"/>
          <w:szCs w:val="16"/>
        </w:rPr>
        <w:t>2 июля</w:t>
      </w:r>
      <w:r w:rsidRPr="00E14102">
        <w:rPr>
          <w:color w:val="000000" w:themeColor="text1"/>
          <w:sz w:val="16"/>
          <w:szCs w:val="16"/>
        </w:rPr>
        <w:t xml:space="preserve">1935 Решение Политбюро № 29. 8. Вопрос КО (ПБ от 28 июня 1935 г.). — ОП. </w:t>
      </w:r>
      <w:r w:rsidRPr="00E14102">
        <w:rPr>
          <w:rStyle w:val="a6"/>
          <w:i w:val="0"/>
          <w:color w:val="000000" w:themeColor="text1"/>
          <w:sz w:val="16"/>
          <w:szCs w:val="16"/>
        </w:rPr>
        <w:t>Постановили</w:t>
      </w:r>
      <w:r w:rsidRPr="00E14102">
        <w:rPr>
          <w:color w:val="000000" w:themeColor="text1"/>
          <w:sz w:val="16"/>
          <w:szCs w:val="16"/>
        </w:rPr>
        <w:t>: утвердить решение КО об ассигновании НКТП в 1935 г. дополнительно на расширение мощностей по боеприпасам 250 млн. руб. из резервного фонда СНК. 13. Об авиавыставке в Англии (ПБ от 27 июня 1935 г., пр. № 30., п. 120гс), (ПБ от 29 июня 1935 г.). 17. Вопрос НКО (ПБ от 13 июня 1935 г., пр. № 27, п. 69). 34. О посылке представителей НКО на маневры в Чехословакию (ПБ от 17 июня 1935 г., пр. № 27, п. 168), (ПБ от 1 июля 1935 г.). — ОП. 59. О заказах в Германии (ПБ от 1 июля 1935 г.). — ОП. (Политбюро ЦК РКП(б)-ВКП(Б). Повестки дня заседаний. 1919</w:t>
      </w:r>
      <w:r w:rsidRPr="00E14102">
        <w:rPr>
          <w:color w:val="000000" w:themeColor="text1"/>
          <w:sz w:val="16"/>
          <w:szCs w:val="16"/>
        </w:rPr>
        <w:noBreakHyphen/>
        <w:t>1952: Каталог / Т. 2. С. 667, 668; РГАСПИ. Ф. 17. Оп. 162. Д. 18. Л</w:t>
      </w:r>
      <w:r w:rsidRPr="00E14102">
        <w:rPr>
          <w:color w:val="000000" w:themeColor="text1"/>
          <w:sz w:val="16"/>
          <w:szCs w:val="16"/>
          <w:lang w:val="en-US"/>
        </w:rPr>
        <w:t>. 72) (15462).</w:t>
      </w:r>
    </w:p>
    <w:p w14:paraId="3AB08B61" w14:textId="77777777" w:rsidR="006D10EE" w:rsidRPr="00E14102" w:rsidRDefault="006D10EE" w:rsidP="00E14102">
      <w:pPr>
        <w:pStyle w:val="rtejustify"/>
        <w:spacing w:before="0" w:after="0"/>
        <w:rPr>
          <w:color w:val="000000" w:themeColor="text1"/>
          <w:sz w:val="16"/>
          <w:szCs w:val="16"/>
          <w:lang w:val="en-US"/>
        </w:rPr>
      </w:pPr>
    </w:p>
    <w:p w14:paraId="21DFE1EE" w14:textId="77777777" w:rsidR="00D4105E" w:rsidRPr="00E14102" w:rsidRDefault="004B7965" w:rsidP="00E14102">
      <w:pPr>
        <w:autoSpaceDE w:val="0"/>
        <w:autoSpaceDN w:val="0"/>
        <w:adjustRightInd w:val="0"/>
        <w:jc w:val="both"/>
        <w:rPr>
          <w:iCs/>
          <w:color w:val="000000" w:themeColor="text1"/>
          <w:sz w:val="16"/>
          <w:szCs w:val="16"/>
          <w:lang w:val="en-US"/>
        </w:rPr>
      </w:pPr>
      <w:r w:rsidRPr="00E14102">
        <w:rPr>
          <w:i/>
          <w:iCs/>
          <w:color w:val="000000" w:themeColor="text1"/>
          <w:sz w:val="16"/>
          <w:szCs w:val="16"/>
        </w:rPr>
        <w:t>За</w:t>
      </w:r>
      <w:r w:rsidRPr="00E14102">
        <w:rPr>
          <w:i/>
          <w:iCs/>
          <w:color w:val="000000" w:themeColor="text1"/>
          <w:sz w:val="16"/>
          <w:szCs w:val="16"/>
          <w:lang w:val="en-US"/>
        </w:rPr>
        <w:t xml:space="preserve"> </w:t>
      </w:r>
      <w:r w:rsidRPr="00E14102">
        <w:rPr>
          <w:i/>
          <w:iCs/>
          <w:color w:val="000000" w:themeColor="text1"/>
          <w:sz w:val="16"/>
          <w:szCs w:val="16"/>
        </w:rPr>
        <w:t>рубежом</w:t>
      </w:r>
      <w:r w:rsidRPr="00E14102">
        <w:rPr>
          <w:i/>
          <w:iCs/>
          <w:color w:val="000000" w:themeColor="text1"/>
          <w:sz w:val="16"/>
          <w:szCs w:val="16"/>
          <w:lang w:val="en-US"/>
        </w:rPr>
        <w:t>:</w:t>
      </w:r>
    </w:p>
    <w:p w14:paraId="24EB2B33" w14:textId="77777777" w:rsidR="00D4105E" w:rsidRPr="00E14102" w:rsidRDefault="00D4105E" w:rsidP="00E14102">
      <w:pPr>
        <w:autoSpaceDE w:val="0"/>
        <w:autoSpaceDN w:val="0"/>
        <w:adjustRightInd w:val="0"/>
        <w:jc w:val="both"/>
        <w:rPr>
          <w:iCs/>
          <w:color w:val="000000" w:themeColor="text1"/>
          <w:sz w:val="16"/>
          <w:szCs w:val="16"/>
          <w:lang w:val="en-US"/>
        </w:rPr>
      </w:pPr>
    </w:p>
    <w:p w14:paraId="6CE4FECB" w14:textId="77777777" w:rsidR="00D4105E" w:rsidRPr="00E14102" w:rsidRDefault="00D4105E" w:rsidP="00E14102">
      <w:pPr>
        <w:autoSpaceDE w:val="0"/>
        <w:autoSpaceDN w:val="0"/>
        <w:adjustRightInd w:val="0"/>
        <w:jc w:val="both"/>
        <w:rPr>
          <w:color w:val="000000" w:themeColor="text1"/>
          <w:sz w:val="16"/>
          <w:szCs w:val="16"/>
          <w:lang w:val="en-US"/>
        </w:rPr>
      </w:pPr>
      <w:r w:rsidRPr="00E14102">
        <w:rPr>
          <w:color w:val="000000" w:themeColor="text1"/>
          <w:sz w:val="16"/>
          <w:szCs w:val="16"/>
          <w:lang w:val="en-US"/>
        </w:rPr>
        <w:t>July 2 1935 Historic report on radio direction finding (radar) was presented to the British Air Defense Research Committee (1038).</w:t>
      </w:r>
    </w:p>
    <w:p w14:paraId="280FA596" w14:textId="77777777" w:rsidR="00D4105E" w:rsidRPr="00E14102" w:rsidRDefault="00D4105E" w:rsidP="00E14102">
      <w:pPr>
        <w:autoSpaceDE w:val="0"/>
        <w:autoSpaceDN w:val="0"/>
        <w:adjustRightInd w:val="0"/>
        <w:jc w:val="both"/>
        <w:rPr>
          <w:color w:val="000000" w:themeColor="text1"/>
          <w:sz w:val="16"/>
          <w:szCs w:val="16"/>
          <w:lang w:val="en-US"/>
        </w:rPr>
      </w:pPr>
    </w:p>
    <w:p w14:paraId="7B503E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июля 1935 британскому комитету по исследованиям в области ПВО был предъявлен радар (1038).</w:t>
      </w:r>
    </w:p>
    <w:p w14:paraId="50782B73" w14:textId="77777777" w:rsidR="00D4105E" w:rsidRPr="00E14102" w:rsidRDefault="00D4105E" w:rsidP="00E14102">
      <w:pPr>
        <w:autoSpaceDE w:val="0"/>
        <w:autoSpaceDN w:val="0"/>
        <w:adjustRightInd w:val="0"/>
        <w:jc w:val="both"/>
        <w:rPr>
          <w:color w:val="000000" w:themeColor="text1"/>
          <w:sz w:val="16"/>
          <w:szCs w:val="16"/>
        </w:rPr>
      </w:pPr>
    </w:p>
    <w:p w14:paraId="2D27AFD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690EB58" w14:textId="77777777" w:rsidR="00D4105E" w:rsidRPr="00E14102" w:rsidRDefault="00D4105E" w:rsidP="00E14102">
      <w:pPr>
        <w:autoSpaceDE w:val="0"/>
        <w:autoSpaceDN w:val="0"/>
        <w:adjustRightInd w:val="0"/>
        <w:jc w:val="both"/>
        <w:rPr>
          <w:iCs/>
          <w:color w:val="000000" w:themeColor="text1"/>
          <w:sz w:val="16"/>
          <w:szCs w:val="16"/>
        </w:rPr>
      </w:pPr>
    </w:p>
    <w:p w14:paraId="60A189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июля 1935 года Начальник НИИ ВВС Бажанов утвердил Отчет по исследованию повышения летных качеств самолета за счет применения винта регулируемого шага (Испытание самолета И-15 с мотором РЦ 3 с разными углами установки лопастей винта во втулке).</w:t>
      </w:r>
    </w:p>
    <w:p w14:paraId="303525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01F47E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 Часовиков</w:t>
      </w:r>
    </w:p>
    <w:p w14:paraId="1B9579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летчик Филин</w:t>
      </w:r>
    </w:p>
    <w:p w14:paraId="505A01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28039C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Определение повышения летных данных самолета И-15 с мотором Райт Циклон Ф-3 625 НР при применении винта регулируемого шага в полете.</w:t>
      </w:r>
    </w:p>
    <w:p w14:paraId="2D8FB1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C8733D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Несмотря на увеличение веса самолета на 37 кг за счет установки винта регулируемого в полете шага, прирост летных данных указывает на необходимость быстрейшего применения винтов регулируемого в полете шага на всех самолетах снабженных моторами с нагнетателем.</w:t>
      </w:r>
    </w:p>
    <w:p w14:paraId="69DC47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Календарь</w:t>
      </w:r>
    </w:p>
    <w:p w14:paraId="42AFBA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Проведения испытаний по программе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766"/>
        <w:gridCol w:w="766"/>
        <w:gridCol w:w="2153"/>
      </w:tblGrid>
      <w:tr w:rsidR="00E3599D" w:rsidRPr="00E14102" w14:paraId="1FAF07B8" w14:textId="77777777">
        <w:tc>
          <w:tcPr>
            <w:tcW w:w="1771" w:type="dxa"/>
            <w:tcBorders>
              <w:top w:val="single" w:sz="12" w:space="0" w:color="auto"/>
            </w:tcBorders>
          </w:tcPr>
          <w:p w14:paraId="6A85AD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Дата</w:t>
            </w:r>
          </w:p>
        </w:tc>
        <w:tc>
          <w:tcPr>
            <w:tcW w:w="5141" w:type="dxa"/>
            <w:tcBorders>
              <w:top w:val="single" w:sz="12" w:space="0" w:color="auto"/>
            </w:tcBorders>
          </w:tcPr>
          <w:p w14:paraId="2566BB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программы</w:t>
            </w:r>
          </w:p>
        </w:tc>
        <w:tc>
          <w:tcPr>
            <w:tcW w:w="766" w:type="dxa"/>
            <w:tcBorders>
              <w:top w:val="single" w:sz="12" w:space="0" w:color="auto"/>
            </w:tcBorders>
          </w:tcPr>
          <w:p w14:paraId="714410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Число полетов</w:t>
            </w:r>
          </w:p>
        </w:tc>
        <w:tc>
          <w:tcPr>
            <w:tcW w:w="766" w:type="dxa"/>
            <w:tcBorders>
              <w:top w:val="single" w:sz="12" w:space="0" w:color="auto"/>
            </w:tcBorders>
          </w:tcPr>
          <w:p w14:paraId="5B2D2D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Налет в часах</w:t>
            </w:r>
          </w:p>
        </w:tc>
        <w:tc>
          <w:tcPr>
            <w:tcW w:w="2153" w:type="dxa"/>
            <w:tcBorders>
              <w:top w:val="single" w:sz="12" w:space="0" w:color="auto"/>
            </w:tcBorders>
          </w:tcPr>
          <w:p w14:paraId="6F40B0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w:t>
            </w:r>
          </w:p>
        </w:tc>
      </w:tr>
      <w:tr w:rsidR="00E3599D" w:rsidRPr="00E14102" w14:paraId="0806A735" w14:textId="77777777">
        <w:tc>
          <w:tcPr>
            <w:tcW w:w="1771" w:type="dxa"/>
          </w:tcPr>
          <w:p w14:paraId="18C7D0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мая 1935 года</w:t>
            </w:r>
          </w:p>
        </w:tc>
        <w:tc>
          <w:tcPr>
            <w:tcW w:w="5141" w:type="dxa"/>
          </w:tcPr>
          <w:p w14:paraId="44938A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по определению посадочн. Скорости.</w:t>
            </w:r>
          </w:p>
        </w:tc>
        <w:tc>
          <w:tcPr>
            <w:tcW w:w="766" w:type="dxa"/>
          </w:tcPr>
          <w:p w14:paraId="6B2279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w:t>
            </w:r>
          </w:p>
        </w:tc>
        <w:tc>
          <w:tcPr>
            <w:tcW w:w="766" w:type="dxa"/>
          </w:tcPr>
          <w:p w14:paraId="249E9F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–30</w:t>
            </w:r>
          </w:p>
        </w:tc>
        <w:tc>
          <w:tcPr>
            <w:tcW w:w="2153" w:type="dxa"/>
          </w:tcPr>
          <w:p w14:paraId="746418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Филин</w:t>
            </w:r>
          </w:p>
          <w:p w14:paraId="3F01D3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Петров</w:t>
            </w:r>
          </w:p>
          <w:p w14:paraId="440A17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Белозеров</w:t>
            </w:r>
          </w:p>
          <w:p w14:paraId="52364B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Миндер</w:t>
            </w:r>
          </w:p>
        </w:tc>
      </w:tr>
      <w:tr w:rsidR="00E3599D" w:rsidRPr="00E14102" w14:paraId="08019EB1" w14:textId="77777777">
        <w:tc>
          <w:tcPr>
            <w:tcW w:w="1771" w:type="dxa"/>
          </w:tcPr>
          <w:p w14:paraId="024944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мая 1935 года</w:t>
            </w:r>
          </w:p>
        </w:tc>
        <w:tc>
          <w:tcPr>
            <w:tcW w:w="5141" w:type="dxa"/>
          </w:tcPr>
          <w:p w14:paraId="4FD27E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Посадки с опущенными элеронами.</w:t>
            </w:r>
          </w:p>
        </w:tc>
        <w:tc>
          <w:tcPr>
            <w:tcW w:w="766" w:type="dxa"/>
          </w:tcPr>
          <w:p w14:paraId="593DC0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w:t>
            </w:r>
          </w:p>
        </w:tc>
        <w:tc>
          <w:tcPr>
            <w:tcW w:w="766" w:type="dxa"/>
          </w:tcPr>
          <w:p w14:paraId="3103AA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0-20</w:t>
            </w:r>
          </w:p>
        </w:tc>
        <w:tc>
          <w:tcPr>
            <w:tcW w:w="2153" w:type="dxa"/>
          </w:tcPr>
          <w:p w14:paraId="74B612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Филин</w:t>
            </w:r>
          </w:p>
        </w:tc>
      </w:tr>
      <w:tr w:rsidR="00E3599D" w:rsidRPr="00E14102" w14:paraId="238BED38" w14:textId="77777777">
        <w:tc>
          <w:tcPr>
            <w:tcW w:w="1771" w:type="dxa"/>
          </w:tcPr>
          <w:p w14:paraId="413198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мая 1935 года</w:t>
            </w:r>
          </w:p>
        </w:tc>
        <w:tc>
          <w:tcPr>
            <w:tcW w:w="5141" w:type="dxa"/>
          </w:tcPr>
          <w:p w14:paraId="26B773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Определение скорости у земли на мерном километре.</w:t>
            </w:r>
          </w:p>
        </w:tc>
        <w:tc>
          <w:tcPr>
            <w:tcW w:w="766" w:type="dxa"/>
          </w:tcPr>
          <w:p w14:paraId="66D235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6" w:type="dxa"/>
          </w:tcPr>
          <w:p w14:paraId="295FBF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w:t>
            </w:r>
          </w:p>
        </w:tc>
        <w:tc>
          <w:tcPr>
            <w:tcW w:w="2153" w:type="dxa"/>
          </w:tcPr>
          <w:p w14:paraId="59300D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Филин</w:t>
            </w:r>
          </w:p>
        </w:tc>
      </w:tr>
      <w:tr w:rsidR="00E3599D" w:rsidRPr="00E14102" w14:paraId="0FCDC1A8" w14:textId="77777777">
        <w:tc>
          <w:tcPr>
            <w:tcW w:w="1771" w:type="dxa"/>
          </w:tcPr>
          <w:p w14:paraId="4A1843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мая 1935 года</w:t>
            </w:r>
          </w:p>
        </w:tc>
        <w:tc>
          <w:tcPr>
            <w:tcW w:w="5141" w:type="dxa"/>
          </w:tcPr>
          <w:p w14:paraId="1FEFD9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зубцы на высотах 300, 2400, 5000, 7000</w:t>
            </w:r>
          </w:p>
        </w:tc>
        <w:tc>
          <w:tcPr>
            <w:tcW w:w="766" w:type="dxa"/>
          </w:tcPr>
          <w:p w14:paraId="4F68FB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6" w:type="dxa"/>
          </w:tcPr>
          <w:p w14:paraId="0997D3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2153" w:type="dxa"/>
          </w:tcPr>
          <w:p w14:paraId="208E57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Белозеров</w:t>
            </w:r>
          </w:p>
        </w:tc>
      </w:tr>
      <w:tr w:rsidR="00E3599D" w:rsidRPr="00E14102" w14:paraId="5B3A9847" w14:textId="77777777">
        <w:tc>
          <w:tcPr>
            <w:tcW w:w="1771" w:type="dxa"/>
          </w:tcPr>
          <w:p w14:paraId="638B13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мая 1935 года</w:t>
            </w:r>
          </w:p>
        </w:tc>
        <w:tc>
          <w:tcPr>
            <w:tcW w:w="5141" w:type="dxa"/>
          </w:tcPr>
          <w:p w14:paraId="698A8F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Вечером полет на высоту.</w:t>
            </w:r>
          </w:p>
          <w:p w14:paraId="03A0A9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Задание не выполнено, плохо работал мотор.</w:t>
            </w:r>
          </w:p>
        </w:tc>
        <w:tc>
          <w:tcPr>
            <w:tcW w:w="766" w:type="dxa"/>
          </w:tcPr>
          <w:p w14:paraId="4585BB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6" w:type="dxa"/>
          </w:tcPr>
          <w:p w14:paraId="3688F6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0-30</w:t>
            </w:r>
          </w:p>
        </w:tc>
        <w:tc>
          <w:tcPr>
            <w:tcW w:w="2153" w:type="dxa"/>
          </w:tcPr>
          <w:p w14:paraId="3F6686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Белозеров</w:t>
            </w:r>
          </w:p>
        </w:tc>
      </w:tr>
      <w:tr w:rsidR="00E3599D" w:rsidRPr="00E14102" w14:paraId="41F39B3C" w14:textId="77777777">
        <w:tc>
          <w:tcPr>
            <w:tcW w:w="1771" w:type="dxa"/>
          </w:tcPr>
          <w:p w14:paraId="71F0BC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мая 1935 года</w:t>
            </w:r>
          </w:p>
        </w:tc>
        <w:tc>
          <w:tcPr>
            <w:tcW w:w="5141" w:type="dxa"/>
          </w:tcPr>
          <w:p w14:paraId="3B692E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8000 м угол +1 градус.</w:t>
            </w:r>
          </w:p>
        </w:tc>
        <w:tc>
          <w:tcPr>
            <w:tcW w:w="766" w:type="dxa"/>
          </w:tcPr>
          <w:p w14:paraId="4D2AEB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6" w:type="dxa"/>
          </w:tcPr>
          <w:p w14:paraId="02A6D8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w:t>
            </w:r>
          </w:p>
        </w:tc>
        <w:tc>
          <w:tcPr>
            <w:tcW w:w="2153" w:type="dxa"/>
          </w:tcPr>
          <w:p w14:paraId="55DAB2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Филин</w:t>
            </w:r>
          </w:p>
        </w:tc>
      </w:tr>
      <w:tr w:rsidR="00E3599D" w:rsidRPr="00E14102" w14:paraId="6C1942A2" w14:textId="77777777">
        <w:tc>
          <w:tcPr>
            <w:tcW w:w="1771" w:type="dxa"/>
          </w:tcPr>
          <w:p w14:paraId="399720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мая 1935 года</w:t>
            </w:r>
          </w:p>
        </w:tc>
        <w:tc>
          <w:tcPr>
            <w:tcW w:w="5141" w:type="dxa"/>
          </w:tcPr>
          <w:p w14:paraId="75C937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Второй контрольный полет с тем же углом.</w:t>
            </w:r>
          </w:p>
        </w:tc>
        <w:tc>
          <w:tcPr>
            <w:tcW w:w="766" w:type="dxa"/>
          </w:tcPr>
          <w:p w14:paraId="435DB8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6" w:type="dxa"/>
          </w:tcPr>
          <w:p w14:paraId="7D83F4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2153" w:type="dxa"/>
          </w:tcPr>
          <w:p w14:paraId="4A4249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Петров</w:t>
            </w:r>
          </w:p>
        </w:tc>
      </w:tr>
      <w:tr w:rsidR="00E3599D" w:rsidRPr="00E14102" w14:paraId="086D8643" w14:textId="77777777">
        <w:tc>
          <w:tcPr>
            <w:tcW w:w="1771" w:type="dxa"/>
          </w:tcPr>
          <w:p w14:paraId="201E31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мая 1935 года</w:t>
            </w:r>
          </w:p>
        </w:tc>
        <w:tc>
          <w:tcPr>
            <w:tcW w:w="5141" w:type="dxa"/>
          </w:tcPr>
          <w:p w14:paraId="4159C2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в Москве на демонстрации согласно приказания начальника ВС Алкснис.</w:t>
            </w:r>
          </w:p>
        </w:tc>
        <w:tc>
          <w:tcPr>
            <w:tcW w:w="766" w:type="dxa"/>
          </w:tcPr>
          <w:p w14:paraId="2B984376" w14:textId="77777777" w:rsidR="00D4105E" w:rsidRPr="00E14102" w:rsidRDefault="00D4105E" w:rsidP="00E14102">
            <w:pPr>
              <w:autoSpaceDE w:val="0"/>
              <w:autoSpaceDN w:val="0"/>
              <w:adjustRightInd w:val="0"/>
              <w:jc w:val="both"/>
              <w:rPr>
                <w:color w:val="000000" w:themeColor="text1"/>
                <w:sz w:val="16"/>
                <w:szCs w:val="16"/>
              </w:rPr>
            </w:pPr>
          </w:p>
        </w:tc>
        <w:tc>
          <w:tcPr>
            <w:tcW w:w="766" w:type="dxa"/>
          </w:tcPr>
          <w:p w14:paraId="0B60CA48" w14:textId="77777777" w:rsidR="00D4105E" w:rsidRPr="00E14102" w:rsidRDefault="00D4105E" w:rsidP="00E14102">
            <w:pPr>
              <w:autoSpaceDE w:val="0"/>
              <w:autoSpaceDN w:val="0"/>
              <w:adjustRightInd w:val="0"/>
              <w:jc w:val="both"/>
              <w:rPr>
                <w:color w:val="000000" w:themeColor="text1"/>
                <w:sz w:val="16"/>
                <w:szCs w:val="16"/>
              </w:rPr>
            </w:pPr>
          </w:p>
        </w:tc>
        <w:tc>
          <w:tcPr>
            <w:tcW w:w="2153" w:type="dxa"/>
          </w:tcPr>
          <w:p w14:paraId="1B3CD96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28C35B" w14:textId="77777777">
        <w:tc>
          <w:tcPr>
            <w:tcW w:w="1771" w:type="dxa"/>
          </w:tcPr>
          <w:p w14:paraId="6CC468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мая 1935 года</w:t>
            </w:r>
          </w:p>
        </w:tc>
        <w:tc>
          <w:tcPr>
            <w:tcW w:w="5141" w:type="dxa"/>
          </w:tcPr>
          <w:p w14:paraId="45DC28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8000 м угол +1 градус. Второго полета не было из-за нехватки кислорода.</w:t>
            </w:r>
          </w:p>
        </w:tc>
        <w:tc>
          <w:tcPr>
            <w:tcW w:w="766" w:type="dxa"/>
          </w:tcPr>
          <w:p w14:paraId="2A1B3C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6" w:type="dxa"/>
          </w:tcPr>
          <w:p w14:paraId="71E924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2153" w:type="dxa"/>
          </w:tcPr>
          <w:p w14:paraId="182E9C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Филин</w:t>
            </w:r>
          </w:p>
        </w:tc>
      </w:tr>
      <w:tr w:rsidR="00E3599D" w:rsidRPr="00E14102" w14:paraId="1AFB97A5" w14:textId="77777777">
        <w:tc>
          <w:tcPr>
            <w:tcW w:w="1771" w:type="dxa"/>
          </w:tcPr>
          <w:p w14:paraId="69DB4F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мая 1935 года</w:t>
            </w:r>
          </w:p>
        </w:tc>
        <w:tc>
          <w:tcPr>
            <w:tcW w:w="5141" w:type="dxa"/>
          </w:tcPr>
          <w:p w14:paraId="1D7F18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8000 м угол +1 градус.</w:t>
            </w:r>
          </w:p>
        </w:tc>
        <w:tc>
          <w:tcPr>
            <w:tcW w:w="766" w:type="dxa"/>
          </w:tcPr>
          <w:p w14:paraId="2FCCFF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6" w:type="dxa"/>
          </w:tcPr>
          <w:p w14:paraId="666472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2153" w:type="dxa"/>
          </w:tcPr>
          <w:p w14:paraId="369205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Белозеров</w:t>
            </w:r>
          </w:p>
        </w:tc>
      </w:tr>
      <w:tr w:rsidR="00E3599D" w:rsidRPr="00E14102" w14:paraId="374A053E" w14:textId="77777777">
        <w:tc>
          <w:tcPr>
            <w:tcW w:w="1771" w:type="dxa"/>
          </w:tcPr>
          <w:p w14:paraId="40F550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мая 1935 года</w:t>
            </w:r>
          </w:p>
        </w:tc>
        <w:tc>
          <w:tcPr>
            <w:tcW w:w="5141" w:type="dxa"/>
          </w:tcPr>
          <w:p w14:paraId="1E15D4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8000 м угол – 3 градуса. Установка капота на цилиндры.</w:t>
            </w:r>
          </w:p>
        </w:tc>
        <w:tc>
          <w:tcPr>
            <w:tcW w:w="766" w:type="dxa"/>
          </w:tcPr>
          <w:p w14:paraId="4697D6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6" w:type="dxa"/>
          </w:tcPr>
          <w:p w14:paraId="4A0922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0-45</w:t>
            </w:r>
          </w:p>
        </w:tc>
        <w:tc>
          <w:tcPr>
            <w:tcW w:w="2153" w:type="dxa"/>
          </w:tcPr>
          <w:p w14:paraId="5B8FD0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Филин</w:t>
            </w:r>
          </w:p>
        </w:tc>
      </w:tr>
      <w:tr w:rsidR="00E3599D" w:rsidRPr="00E14102" w14:paraId="57C5F26A" w14:textId="77777777">
        <w:tc>
          <w:tcPr>
            <w:tcW w:w="1771" w:type="dxa"/>
          </w:tcPr>
          <w:p w14:paraId="2DB7DA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мая 1935 года</w:t>
            </w:r>
          </w:p>
        </w:tc>
        <w:tc>
          <w:tcPr>
            <w:tcW w:w="5141" w:type="dxa"/>
          </w:tcPr>
          <w:p w14:paraId="015610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7000 м угол – 4 градуса.</w:t>
            </w:r>
          </w:p>
        </w:tc>
        <w:tc>
          <w:tcPr>
            <w:tcW w:w="766" w:type="dxa"/>
          </w:tcPr>
          <w:p w14:paraId="5DB4D8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6" w:type="dxa"/>
          </w:tcPr>
          <w:p w14:paraId="7DE216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0-40</w:t>
            </w:r>
          </w:p>
        </w:tc>
        <w:tc>
          <w:tcPr>
            <w:tcW w:w="2153" w:type="dxa"/>
          </w:tcPr>
          <w:p w14:paraId="65931C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Филин</w:t>
            </w:r>
          </w:p>
        </w:tc>
      </w:tr>
      <w:tr w:rsidR="00E3599D" w:rsidRPr="00E14102" w14:paraId="35891930" w14:textId="77777777">
        <w:tc>
          <w:tcPr>
            <w:tcW w:w="1771" w:type="dxa"/>
          </w:tcPr>
          <w:p w14:paraId="5FF1C0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мая 1935 года</w:t>
            </w:r>
          </w:p>
        </w:tc>
        <w:tc>
          <w:tcPr>
            <w:tcW w:w="5141" w:type="dxa"/>
          </w:tcPr>
          <w:p w14:paraId="5883E8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8000 м угол – 1 градус.</w:t>
            </w:r>
          </w:p>
        </w:tc>
        <w:tc>
          <w:tcPr>
            <w:tcW w:w="766" w:type="dxa"/>
          </w:tcPr>
          <w:p w14:paraId="576BB4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6" w:type="dxa"/>
          </w:tcPr>
          <w:p w14:paraId="5A093B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2153" w:type="dxa"/>
          </w:tcPr>
          <w:p w14:paraId="2F3594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Филин</w:t>
            </w:r>
          </w:p>
        </w:tc>
      </w:tr>
      <w:tr w:rsidR="00E3599D" w:rsidRPr="00E14102" w14:paraId="197D6CD9" w14:textId="77777777">
        <w:tc>
          <w:tcPr>
            <w:tcW w:w="1771" w:type="dxa"/>
          </w:tcPr>
          <w:p w14:paraId="67980D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мая 1935 года</w:t>
            </w:r>
          </w:p>
        </w:tc>
        <w:tc>
          <w:tcPr>
            <w:tcW w:w="5141" w:type="dxa"/>
          </w:tcPr>
          <w:p w14:paraId="4F5515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8000 м угол +1 градус.</w:t>
            </w:r>
          </w:p>
        </w:tc>
        <w:tc>
          <w:tcPr>
            <w:tcW w:w="766" w:type="dxa"/>
          </w:tcPr>
          <w:p w14:paraId="0E2324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6" w:type="dxa"/>
          </w:tcPr>
          <w:p w14:paraId="7540F2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w:t>
            </w:r>
          </w:p>
        </w:tc>
        <w:tc>
          <w:tcPr>
            <w:tcW w:w="2153" w:type="dxa"/>
          </w:tcPr>
          <w:p w14:paraId="57B36D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Филин</w:t>
            </w:r>
          </w:p>
        </w:tc>
      </w:tr>
      <w:tr w:rsidR="00E3599D" w:rsidRPr="00E14102" w14:paraId="65BB6D73" w14:textId="77777777">
        <w:tc>
          <w:tcPr>
            <w:tcW w:w="1771" w:type="dxa"/>
            <w:tcBorders>
              <w:bottom w:val="single" w:sz="12" w:space="0" w:color="auto"/>
            </w:tcBorders>
          </w:tcPr>
          <w:p w14:paraId="7BC579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мая 1935 года</w:t>
            </w:r>
          </w:p>
        </w:tc>
        <w:tc>
          <w:tcPr>
            <w:tcW w:w="5141" w:type="dxa"/>
            <w:tcBorders>
              <w:bottom w:val="single" w:sz="12" w:space="0" w:color="auto"/>
            </w:tcBorders>
          </w:tcPr>
          <w:p w14:paraId="61C0E4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8000 м угол +1 градус.</w:t>
            </w:r>
          </w:p>
        </w:tc>
        <w:tc>
          <w:tcPr>
            <w:tcW w:w="766" w:type="dxa"/>
            <w:tcBorders>
              <w:bottom w:val="single" w:sz="12" w:space="0" w:color="auto"/>
            </w:tcBorders>
          </w:tcPr>
          <w:p w14:paraId="400041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6" w:type="dxa"/>
            <w:tcBorders>
              <w:bottom w:val="single" w:sz="12" w:space="0" w:color="auto"/>
            </w:tcBorders>
          </w:tcPr>
          <w:p w14:paraId="64CDD5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w:t>
            </w:r>
          </w:p>
        </w:tc>
        <w:tc>
          <w:tcPr>
            <w:tcW w:w="2153" w:type="dxa"/>
            <w:tcBorders>
              <w:bottom w:val="single" w:sz="12" w:space="0" w:color="auto"/>
            </w:tcBorders>
          </w:tcPr>
          <w:p w14:paraId="478F76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Филин</w:t>
            </w:r>
          </w:p>
        </w:tc>
      </w:tr>
    </w:tbl>
    <w:p w14:paraId="6262B5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(3976).</w:t>
      </w:r>
    </w:p>
    <w:p w14:paraId="7FC8E9F2" w14:textId="77777777" w:rsidR="00D4105E" w:rsidRPr="00E14102" w:rsidRDefault="00D4105E" w:rsidP="00E14102">
      <w:pPr>
        <w:autoSpaceDE w:val="0"/>
        <w:autoSpaceDN w:val="0"/>
        <w:adjustRightInd w:val="0"/>
        <w:jc w:val="both"/>
        <w:rPr>
          <w:color w:val="000000" w:themeColor="text1"/>
          <w:sz w:val="16"/>
          <w:szCs w:val="16"/>
        </w:rPr>
      </w:pPr>
    </w:p>
    <w:p w14:paraId="59C3DF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июля 1935 года выписка из протокола № 7 КО</w:t>
      </w:r>
    </w:p>
    <w:p w14:paraId="4A63063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 строительстве мощных самолетов.</w:t>
      </w:r>
    </w:p>
    <w:p w14:paraId="53F1A94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Построить 12 больших шестимоторных самолетов: "Владимир Ленин", "Иосиф Сталин", "Максим Горький", "Вячеслав Молотов", "Сергей Киров", "Серго Орджоникидзе", "Лазарь Каганович", "Клим Ворошилов", "Михаил Фрунзе", "Феликс Дзержинский", "Валериан Куйбышев", "Михаил Калинин". Самолеты строить той же мощности и размеров, как "Максим Горький".</w:t>
      </w:r>
    </w:p>
    <w:p w14:paraId="78F8891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Установить распределение самолетов по городам: Москва –3, Ленинград, Киев, Ташкент, Хабаровск, Минск, Тифлис, Харьков, Свердловск, Ростов-на-Дону.</w:t>
      </w:r>
    </w:p>
    <w:p w14:paraId="71B1532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НКТП и ГУГВФ внести в СТО к 25 июля 1935 года предложения о сроках и месте постройки самолетов.</w:t>
      </w:r>
    </w:p>
    <w:p w14:paraId="3AD031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……………………….(7516, 88).</w:t>
      </w:r>
    </w:p>
    <w:p w14:paraId="5FF95B62" w14:textId="77777777" w:rsidR="00D4105E" w:rsidRPr="00E14102" w:rsidRDefault="00D4105E" w:rsidP="00E14102">
      <w:pPr>
        <w:autoSpaceDE w:val="0"/>
        <w:autoSpaceDN w:val="0"/>
        <w:adjustRightInd w:val="0"/>
        <w:jc w:val="both"/>
        <w:rPr>
          <w:color w:val="000000" w:themeColor="text1"/>
          <w:sz w:val="16"/>
          <w:szCs w:val="16"/>
        </w:rPr>
      </w:pPr>
    </w:p>
    <w:p w14:paraId="7C33B8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июля 1935 года начальник НТО 4 отдела Горощенко писал письмо начальнику УВС Справку о невыполнении ГУАПом постановлений СТО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4394"/>
        <w:gridCol w:w="4820"/>
      </w:tblGrid>
      <w:tr w:rsidR="00E3599D" w:rsidRPr="00E14102" w14:paraId="3E7A3BE1" w14:textId="77777777">
        <w:tc>
          <w:tcPr>
            <w:tcW w:w="1384" w:type="dxa"/>
            <w:tcBorders>
              <w:top w:val="single" w:sz="12" w:space="0" w:color="auto"/>
            </w:tcBorders>
          </w:tcPr>
          <w:p w14:paraId="6742E0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N и дата</w:t>
            </w:r>
          </w:p>
        </w:tc>
        <w:tc>
          <w:tcPr>
            <w:tcW w:w="4394" w:type="dxa"/>
            <w:tcBorders>
              <w:top w:val="single" w:sz="12" w:space="0" w:color="auto"/>
            </w:tcBorders>
          </w:tcPr>
          <w:p w14:paraId="0BBDF1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w:t>
            </w:r>
          </w:p>
        </w:tc>
        <w:tc>
          <w:tcPr>
            <w:tcW w:w="4820" w:type="dxa"/>
            <w:tcBorders>
              <w:top w:val="single" w:sz="12" w:space="0" w:color="auto"/>
            </w:tcBorders>
          </w:tcPr>
          <w:p w14:paraId="10E865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w:t>
            </w:r>
          </w:p>
        </w:tc>
      </w:tr>
      <w:tr w:rsidR="00E3599D" w:rsidRPr="00E14102" w14:paraId="40E47E61" w14:textId="77777777">
        <w:tc>
          <w:tcPr>
            <w:tcW w:w="1384" w:type="dxa"/>
          </w:tcPr>
          <w:p w14:paraId="725806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17сс от</w:t>
            </w:r>
          </w:p>
        </w:tc>
        <w:tc>
          <w:tcPr>
            <w:tcW w:w="4394" w:type="dxa"/>
          </w:tcPr>
          <w:p w14:paraId="35FE15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Обязать ЦИАМ выпустить в 4-м квартале 33 г.</w:t>
            </w:r>
          </w:p>
        </w:tc>
        <w:tc>
          <w:tcPr>
            <w:tcW w:w="4820" w:type="dxa"/>
          </w:tcPr>
          <w:p w14:paraId="6F80F2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Двухступенчатый импеллер до сих пор не построен.</w:t>
            </w:r>
          </w:p>
        </w:tc>
      </w:tr>
      <w:tr w:rsidR="00E3599D" w:rsidRPr="00E14102" w14:paraId="53928561" w14:textId="77777777">
        <w:tc>
          <w:tcPr>
            <w:tcW w:w="1384" w:type="dxa"/>
          </w:tcPr>
          <w:p w14:paraId="18D133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27.04.33 г.</w:t>
            </w:r>
          </w:p>
        </w:tc>
        <w:tc>
          <w:tcPr>
            <w:tcW w:w="4394" w:type="dxa"/>
          </w:tcPr>
          <w:p w14:paraId="2CB423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опытный образец М-34 с двухступенчатым</w:t>
            </w:r>
          </w:p>
        </w:tc>
        <w:tc>
          <w:tcPr>
            <w:tcW w:w="4820" w:type="dxa"/>
          </w:tcPr>
          <w:p w14:paraId="15CF7A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плане утвержденном 16.04.35 г. срок для него</w:t>
            </w:r>
          </w:p>
        </w:tc>
      </w:tr>
      <w:tr w:rsidR="00E3599D" w:rsidRPr="00E14102" w14:paraId="39584948" w14:textId="77777777">
        <w:tc>
          <w:tcPr>
            <w:tcW w:w="1384" w:type="dxa"/>
          </w:tcPr>
          <w:p w14:paraId="3713ABB0" w14:textId="77777777" w:rsidR="00D4105E" w:rsidRPr="00E14102" w:rsidRDefault="00D4105E" w:rsidP="00E14102">
            <w:pPr>
              <w:autoSpaceDE w:val="0"/>
              <w:autoSpaceDN w:val="0"/>
              <w:adjustRightInd w:val="0"/>
              <w:jc w:val="both"/>
              <w:rPr>
                <w:color w:val="000000" w:themeColor="text1"/>
                <w:sz w:val="16"/>
                <w:szCs w:val="16"/>
              </w:rPr>
            </w:pPr>
          </w:p>
        </w:tc>
        <w:tc>
          <w:tcPr>
            <w:tcW w:w="4394" w:type="dxa"/>
          </w:tcPr>
          <w:p w14:paraId="08AE43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импеллером, редуктором и винтом с поворотными</w:t>
            </w:r>
          </w:p>
        </w:tc>
        <w:tc>
          <w:tcPr>
            <w:tcW w:w="4820" w:type="dxa"/>
          </w:tcPr>
          <w:p w14:paraId="205D60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1.01.36 г., но и к этому сроку ЦИАМ вряд ли работу</w:t>
            </w:r>
          </w:p>
        </w:tc>
      </w:tr>
      <w:tr w:rsidR="00E3599D" w:rsidRPr="00E14102" w14:paraId="5A4477A8" w14:textId="77777777">
        <w:tc>
          <w:tcPr>
            <w:tcW w:w="1384" w:type="dxa"/>
          </w:tcPr>
          <w:p w14:paraId="0B0025B4" w14:textId="77777777" w:rsidR="00D4105E" w:rsidRPr="00E14102" w:rsidRDefault="00D4105E" w:rsidP="00E14102">
            <w:pPr>
              <w:autoSpaceDE w:val="0"/>
              <w:autoSpaceDN w:val="0"/>
              <w:adjustRightInd w:val="0"/>
              <w:jc w:val="both"/>
              <w:rPr>
                <w:color w:val="000000" w:themeColor="text1"/>
                <w:sz w:val="16"/>
                <w:szCs w:val="16"/>
              </w:rPr>
            </w:pPr>
          </w:p>
        </w:tc>
        <w:tc>
          <w:tcPr>
            <w:tcW w:w="4394" w:type="dxa"/>
          </w:tcPr>
          <w:p w14:paraId="1FB316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лопастями, предназначенным для полетов в</w:t>
            </w:r>
          </w:p>
        </w:tc>
        <w:tc>
          <w:tcPr>
            <w:tcW w:w="4820" w:type="dxa"/>
          </w:tcPr>
          <w:p w14:paraId="345FCC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выполнит, так как к ней еще не приступали.</w:t>
            </w:r>
          </w:p>
        </w:tc>
      </w:tr>
      <w:tr w:rsidR="00E3599D" w:rsidRPr="00E14102" w14:paraId="3D6882B5" w14:textId="77777777">
        <w:tc>
          <w:tcPr>
            <w:tcW w:w="1384" w:type="dxa"/>
          </w:tcPr>
          <w:p w14:paraId="0FAF5BA6" w14:textId="77777777" w:rsidR="00D4105E" w:rsidRPr="00E14102" w:rsidRDefault="00D4105E" w:rsidP="00E14102">
            <w:pPr>
              <w:autoSpaceDE w:val="0"/>
              <w:autoSpaceDN w:val="0"/>
              <w:adjustRightInd w:val="0"/>
              <w:jc w:val="both"/>
              <w:rPr>
                <w:color w:val="000000" w:themeColor="text1"/>
                <w:sz w:val="16"/>
                <w:szCs w:val="16"/>
              </w:rPr>
            </w:pPr>
          </w:p>
        </w:tc>
        <w:tc>
          <w:tcPr>
            <w:tcW w:w="4394" w:type="dxa"/>
          </w:tcPr>
          <w:p w14:paraId="555BAD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Стратосфере.</w:t>
            </w:r>
          </w:p>
        </w:tc>
        <w:tc>
          <w:tcPr>
            <w:tcW w:w="4820" w:type="dxa"/>
          </w:tcPr>
          <w:p w14:paraId="391032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над винтом с переменным в полете шагом</w:t>
            </w:r>
          </w:p>
        </w:tc>
      </w:tr>
      <w:tr w:rsidR="00E3599D" w:rsidRPr="00E14102" w14:paraId="3C3A82FD" w14:textId="77777777">
        <w:tc>
          <w:tcPr>
            <w:tcW w:w="1384" w:type="dxa"/>
          </w:tcPr>
          <w:p w14:paraId="6D6B35B0" w14:textId="77777777" w:rsidR="00D4105E" w:rsidRPr="00E14102" w:rsidRDefault="00D4105E" w:rsidP="00E14102">
            <w:pPr>
              <w:autoSpaceDE w:val="0"/>
              <w:autoSpaceDN w:val="0"/>
              <w:adjustRightInd w:val="0"/>
              <w:jc w:val="both"/>
              <w:rPr>
                <w:color w:val="000000" w:themeColor="text1"/>
                <w:sz w:val="16"/>
                <w:szCs w:val="16"/>
              </w:rPr>
            </w:pPr>
          </w:p>
        </w:tc>
        <w:tc>
          <w:tcPr>
            <w:tcW w:w="4394" w:type="dxa"/>
          </w:tcPr>
          <w:p w14:paraId="44F79C45"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6A32DC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ведется, но до сих пор еще ни один винт не прошел</w:t>
            </w:r>
          </w:p>
        </w:tc>
      </w:tr>
      <w:tr w:rsidR="00E3599D" w:rsidRPr="00E14102" w14:paraId="532AC09C" w14:textId="77777777">
        <w:tc>
          <w:tcPr>
            <w:tcW w:w="1384" w:type="dxa"/>
          </w:tcPr>
          <w:p w14:paraId="2BBFF7E8" w14:textId="77777777" w:rsidR="00D4105E" w:rsidRPr="00E14102" w:rsidRDefault="00D4105E" w:rsidP="00E14102">
            <w:pPr>
              <w:autoSpaceDE w:val="0"/>
              <w:autoSpaceDN w:val="0"/>
              <w:adjustRightInd w:val="0"/>
              <w:jc w:val="both"/>
              <w:rPr>
                <w:color w:val="000000" w:themeColor="text1"/>
                <w:sz w:val="16"/>
                <w:szCs w:val="16"/>
              </w:rPr>
            </w:pPr>
          </w:p>
        </w:tc>
        <w:tc>
          <w:tcPr>
            <w:tcW w:w="4394" w:type="dxa"/>
          </w:tcPr>
          <w:p w14:paraId="7E964A81"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66B545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 испытаний на самолете.</w:t>
            </w:r>
          </w:p>
        </w:tc>
      </w:tr>
      <w:tr w:rsidR="00E3599D" w:rsidRPr="00E14102" w14:paraId="77D86585" w14:textId="77777777">
        <w:tc>
          <w:tcPr>
            <w:tcW w:w="1384" w:type="dxa"/>
          </w:tcPr>
          <w:p w14:paraId="2A2BF9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22.11.33</w:t>
            </w:r>
          </w:p>
        </w:tc>
        <w:tc>
          <w:tcPr>
            <w:tcW w:w="4394" w:type="dxa"/>
          </w:tcPr>
          <w:p w14:paraId="7410E6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НКТП закупить аппаратуру и в частности 150</w:t>
            </w:r>
          </w:p>
        </w:tc>
        <w:tc>
          <w:tcPr>
            <w:tcW w:w="4820" w:type="dxa"/>
          </w:tcPr>
          <w:p w14:paraId="477894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ГУАПом было куплено 5 винтов, эти винты после получения</w:t>
            </w:r>
          </w:p>
        </w:tc>
      </w:tr>
      <w:tr w:rsidR="00E3599D" w:rsidRPr="00E14102" w14:paraId="2B1B32EF" w14:textId="77777777">
        <w:tc>
          <w:tcPr>
            <w:tcW w:w="1384" w:type="dxa"/>
          </w:tcPr>
          <w:p w14:paraId="43BB98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N 188сс</w:t>
            </w:r>
          </w:p>
        </w:tc>
        <w:tc>
          <w:tcPr>
            <w:tcW w:w="4394" w:type="dxa"/>
          </w:tcPr>
          <w:p w14:paraId="0EE3AE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металлических винтов с переменным в полете</w:t>
            </w:r>
          </w:p>
        </w:tc>
        <w:tc>
          <w:tcPr>
            <w:tcW w:w="4820" w:type="dxa"/>
          </w:tcPr>
          <w:p w14:paraId="4FAFEC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из-за границы более чем полгода не ставились на истребители</w:t>
            </w:r>
          </w:p>
        </w:tc>
      </w:tr>
      <w:tr w:rsidR="00E3599D" w:rsidRPr="00E14102" w14:paraId="3BC4B09F" w14:textId="77777777">
        <w:tc>
          <w:tcPr>
            <w:tcW w:w="1384" w:type="dxa"/>
          </w:tcPr>
          <w:p w14:paraId="4D7DCDD8" w14:textId="77777777" w:rsidR="00D4105E" w:rsidRPr="00E14102" w:rsidRDefault="00D4105E" w:rsidP="00E14102">
            <w:pPr>
              <w:autoSpaceDE w:val="0"/>
              <w:autoSpaceDN w:val="0"/>
              <w:adjustRightInd w:val="0"/>
              <w:jc w:val="both"/>
              <w:rPr>
                <w:color w:val="000000" w:themeColor="text1"/>
                <w:sz w:val="16"/>
                <w:szCs w:val="16"/>
              </w:rPr>
            </w:pPr>
          </w:p>
        </w:tc>
        <w:tc>
          <w:tcPr>
            <w:tcW w:w="4394" w:type="dxa"/>
          </w:tcPr>
          <w:p w14:paraId="6E4EBB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шагом к моторам для самолетов истребителей.</w:t>
            </w:r>
          </w:p>
        </w:tc>
        <w:tc>
          <w:tcPr>
            <w:tcW w:w="4820" w:type="dxa"/>
          </w:tcPr>
          <w:p w14:paraId="5D7064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испытания. Лишь один винт фирмы Гамильтон в мае</w:t>
            </w:r>
          </w:p>
        </w:tc>
      </w:tr>
      <w:tr w:rsidR="00E3599D" w:rsidRPr="00E14102" w14:paraId="77924C15" w14:textId="77777777">
        <w:tc>
          <w:tcPr>
            <w:tcW w:w="1384" w:type="dxa"/>
          </w:tcPr>
          <w:p w14:paraId="03B884A7" w14:textId="77777777" w:rsidR="00D4105E" w:rsidRPr="00E14102" w:rsidRDefault="00D4105E" w:rsidP="00E14102">
            <w:pPr>
              <w:autoSpaceDE w:val="0"/>
              <w:autoSpaceDN w:val="0"/>
              <w:adjustRightInd w:val="0"/>
              <w:jc w:val="both"/>
              <w:rPr>
                <w:color w:val="000000" w:themeColor="text1"/>
                <w:sz w:val="16"/>
                <w:szCs w:val="16"/>
              </w:rPr>
            </w:pPr>
          </w:p>
        </w:tc>
        <w:tc>
          <w:tcPr>
            <w:tcW w:w="4394" w:type="dxa"/>
          </w:tcPr>
          <w:p w14:paraId="58C5B9AE"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34713F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сего года передан в НИИ ВС, установлен на И15 и </w:t>
            </w:r>
          </w:p>
        </w:tc>
      </w:tr>
      <w:tr w:rsidR="00E3599D" w:rsidRPr="00E14102" w14:paraId="50E08593" w14:textId="77777777">
        <w:tc>
          <w:tcPr>
            <w:tcW w:w="1384" w:type="dxa"/>
          </w:tcPr>
          <w:p w14:paraId="427DC98D" w14:textId="77777777" w:rsidR="00D4105E" w:rsidRPr="00E14102" w:rsidRDefault="00D4105E" w:rsidP="00E14102">
            <w:pPr>
              <w:autoSpaceDE w:val="0"/>
              <w:autoSpaceDN w:val="0"/>
              <w:adjustRightInd w:val="0"/>
              <w:jc w:val="both"/>
              <w:rPr>
                <w:color w:val="000000" w:themeColor="text1"/>
                <w:sz w:val="16"/>
                <w:szCs w:val="16"/>
              </w:rPr>
            </w:pPr>
          </w:p>
        </w:tc>
        <w:tc>
          <w:tcPr>
            <w:tcW w:w="4394" w:type="dxa"/>
          </w:tcPr>
          <w:p w14:paraId="6EA9ECE1"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07F158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проходит испытания.</w:t>
            </w:r>
          </w:p>
        </w:tc>
      </w:tr>
      <w:tr w:rsidR="00E3599D" w:rsidRPr="00E14102" w14:paraId="5B4B9101" w14:textId="77777777">
        <w:tc>
          <w:tcPr>
            <w:tcW w:w="1384" w:type="dxa"/>
          </w:tcPr>
          <w:p w14:paraId="507147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91сс</w:t>
            </w:r>
          </w:p>
        </w:tc>
        <w:tc>
          <w:tcPr>
            <w:tcW w:w="4394" w:type="dxa"/>
          </w:tcPr>
          <w:p w14:paraId="24DA41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обеспечения воздушного флота металлич.</w:t>
            </w:r>
          </w:p>
        </w:tc>
        <w:tc>
          <w:tcPr>
            <w:tcW w:w="4820" w:type="dxa"/>
          </w:tcPr>
          <w:p w14:paraId="63FF7C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28 продолжает строить деревянные винты. Даже</w:t>
            </w:r>
          </w:p>
        </w:tc>
      </w:tr>
      <w:tr w:rsidR="00E3599D" w:rsidRPr="00E14102" w14:paraId="15502B4C" w14:textId="77777777">
        <w:tc>
          <w:tcPr>
            <w:tcW w:w="1384" w:type="dxa"/>
          </w:tcPr>
          <w:p w14:paraId="7D06B8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14.06.34 г.</w:t>
            </w:r>
          </w:p>
        </w:tc>
        <w:tc>
          <w:tcPr>
            <w:tcW w:w="4394" w:type="dxa"/>
          </w:tcPr>
          <w:p w14:paraId="05D602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винтами перевести завод N 28 на производство</w:t>
            </w:r>
          </w:p>
        </w:tc>
        <w:tc>
          <w:tcPr>
            <w:tcW w:w="4820" w:type="dxa"/>
          </w:tcPr>
          <w:p w14:paraId="7E2CBC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такие дорогие и ценные самолеты как ТБ3-4М34РН не</w:t>
            </w:r>
          </w:p>
        </w:tc>
      </w:tr>
      <w:tr w:rsidR="00E3599D" w:rsidRPr="00E14102" w14:paraId="7B55FD45" w14:textId="77777777">
        <w:tc>
          <w:tcPr>
            <w:tcW w:w="1384" w:type="dxa"/>
          </w:tcPr>
          <w:p w14:paraId="3F99B749" w14:textId="77777777" w:rsidR="00D4105E" w:rsidRPr="00E14102" w:rsidRDefault="00D4105E" w:rsidP="00E14102">
            <w:pPr>
              <w:autoSpaceDE w:val="0"/>
              <w:autoSpaceDN w:val="0"/>
              <w:adjustRightInd w:val="0"/>
              <w:jc w:val="both"/>
              <w:rPr>
                <w:color w:val="000000" w:themeColor="text1"/>
                <w:sz w:val="16"/>
                <w:szCs w:val="16"/>
              </w:rPr>
            </w:pPr>
          </w:p>
        </w:tc>
        <w:tc>
          <w:tcPr>
            <w:tcW w:w="4394" w:type="dxa"/>
          </w:tcPr>
          <w:p w14:paraId="071939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металлич. винтов. Производство деревянных</w:t>
            </w:r>
          </w:p>
        </w:tc>
        <w:tc>
          <w:tcPr>
            <w:tcW w:w="4820" w:type="dxa"/>
          </w:tcPr>
          <w:p w14:paraId="6DC360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переведены на металлические винты. Из самолетов</w:t>
            </w:r>
          </w:p>
        </w:tc>
      </w:tr>
      <w:tr w:rsidR="00E3599D" w:rsidRPr="00E14102" w14:paraId="30FE2006" w14:textId="77777777">
        <w:tc>
          <w:tcPr>
            <w:tcW w:w="1384" w:type="dxa"/>
          </w:tcPr>
          <w:p w14:paraId="2CE24690" w14:textId="77777777" w:rsidR="00D4105E" w:rsidRPr="00E14102" w:rsidRDefault="00D4105E" w:rsidP="00E14102">
            <w:pPr>
              <w:autoSpaceDE w:val="0"/>
              <w:autoSpaceDN w:val="0"/>
              <w:adjustRightInd w:val="0"/>
              <w:jc w:val="both"/>
              <w:rPr>
                <w:color w:val="000000" w:themeColor="text1"/>
                <w:sz w:val="16"/>
                <w:szCs w:val="16"/>
              </w:rPr>
            </w:pPr>
          </w:p>
        </w:tc>
        <w:tc>
          <w:tcPr>
            <w:tcW w:w="4394" w:type="dxa"/>
          </w:tcPr>
          <w:p w14:paraId="7FB9DD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винтов поставить на предприятиях</w:t>
            </w:r>
          </w:p>
        </w:tc>
        <w:tc>
          <w:tcPr>
            <w:tcW w:w="4820" w:type="dxa"/>
          </w:tcPr>
          <w:p w14:paraId="188492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строящихся в настоящее время серийно только истребители</w:t>
            </w:r>
          </w:p>
        </w:tc>
      </w:tr>
      <w:tr w:rsidR="00E3599D" w:rsidRPr="00E14102" w14:paraId="334FEA80" w14:textId="77777777">
        <w:tc>
          <w:tcPr>
            <w:tcW w:w="1384" w:type="dxa"/>
          </w:tcPr>
          <w:p w14:paraId="201F44F9" w14:textId="77777777" w:rsidR="00D4105E" w:rsidRPr="00E14102" w:rsidRDefault="00D4105E" w:rsidP="00E14102">
            <w:pPr>
              <w:autoSpaceDE w:val="0"/>
              <w:autoSpaceDN w:val="0"/>
              <w:adjustRightInd w:val="0"/>
              <w:jc w:val="both"/>
              <w:rPr>
                <w:color w:val="000000" w:themeColor="text1"/>
                <w:sz w:val="16"/>
                <w:szCs w:val="16"/>
              </w:rPr>
            </w:pPr>
          </w:p>
        </w:tc>
        <w:tc>
          <w:tcPr>
            <w:tcW w:w="4394" w:type="dxa"/>
          </w:tcPr>
          <w:p w14:paraId="6AA5C0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Наркомлеспрома.</w:t>
            </w:r>
          </w:p>
        </w:tc>
        <w:tc>
          <w:tcPr>
            <w:tcW w:w="4820" w:type="dxa"/>
          </w:tcPr>
          <w:p w14:paraId="73CA4F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выпускаются с металлическими винтами.</w:t>
            </w:r>
          </w:p>
        </w:tc>
      </w:tr>
      <w:tr w:rsidR="00E3599D" w:rsidRPr="00E14102" w14:paraId="24D60FC8" w14:textId="77777777">
        <w:tc>
          <w:tcPr>
            <w:tcW w:w="1384" w:type="dxa"/>
          </w:tcPr>
          <w:p w14:paraId="1BE401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91сс</w:t>
            </w:r>
          </w:p>
        </w:tc>
        <w:tc>
          <w:tcPr>
            <w:tcW w:w="4394" w:type="dxa"/>
          </w:tcPr>
          <w:p w14:paraId="15200C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первую очередь улучшить окраску и лакировку</w:t>
            </w:r>
          </w:p>
        </w:tc>
        <w:tc>
          <w:tcPr>
            <w:tcW w:w="4820" w:type="dxa"/>
          </w:tcPr>
          <w:p w14:paraId="0983EA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Лаки и краски продолжают оставаться неудовлетворительными.</w:t>
            </w:r>
          </w:p>
        </w:tc>
      </w:tr>
      <w:tr w:rsidR="00E3599D" w:rsidRPr="00E14102" w14:paraId="1A3B848A" w14:textId="77777777">
        <w:tc>
          <w:tcPr>
            <w:tcW w:w="1384" w:type="dxa"/>
          </w:tcPr>
          <w:p w14:paraId="432829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14.06.34 г.</w:t>
            </w:r>
          </w:p>
        </w:tc>
        <w:tc>
          <w:tcPr>
            <w:tcW w:w="4394" w:type="dxa"/>
          </w:tcPr>
          <w:p w14:paraId="76DD1A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металлических и деревянных самолетов, для чего</w:t>
            </w:r>
          </w:p>
        </w:tc>
        <w:tc>
          <w:tcPr>
            <w:tcW w:w="4820" w:type="dxa"/>
          </w:tcPr>
          <w:p w14:paraId="1B4AA8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Промышленность только в отдельных образцах и то обычно</w:t>
            </w:r>
          </w:p>
        </w:tc>
      </w:tr>
      <w:tr w:rsidR="00E3599D" w:rsidRPr="00E14102" w14:paraId="004B3571" w14:textId="77777777">
        <w:tc>
          <w:tcPr>
            <w:tcW w:w="1384" w:type="dxa"/>
          </w:tcPr>
          <w:p w14:paraId="78586C75" w14:textId="77777777" w:rsidR="00D4105E" w:rsidRPr="00E14102" w:rsidRDefault="00D4105E" w:rsidP="00E14102">
            <w:pPr>
              <w:autoSpaceDE w:val="0"/>
              <w:autoSpaceDN w:val="0"/>
              <w:adjustRightInd w:val="0"/>
              <w:jc w:val="both"/>
              <w:rPr>
                <w:color w:val="000000" w:themeColor="text1"/>
                <w:sz w:val="16"/>
                <w:szCs w:val="16"/>
              </w:rPr>
            </w:pPr>
          </w:p>
        </w:tc>
        <w:tc>
          <w:tcPr>
            <w:tcW w:w="4394" w:type="dxa"/>
          </w:tcPr>
          <w:p w14:paraId="7345CB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обеспечить авиапромышленность высокосортными</w:t>
            </w:r>
          </w:p>
        </w:tc>
        <w:tc>
          <w:tcPr>
            <w:tcW w:w="4820" w:type="dxa"/>
          </w:tcPr>
          <w:p w14:paraId="57AC19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опытных добилась хорошей лакировки (с целью увеличения</w:t>
            </w:r>
          </w:p>
        </w:tc>
      </w:tr>
      <w:tr w:rsidR="00E3599D" w:rsidRPr="00E14102" w14:paraId="04765E33" w14:textId="77777777">
        <w:tc>
          <w:tcPr>
            <w:tcW w:w="1384" w:type="dxa"/>
          </w:tcPr>
          <w:p w14:paraId="604DD85C" w14:textId="77777777" w:rsidR="00D4105E" w:rsidRPr="00E14102" w:rsidRDefault="00D4105E" w:rsidP="00E14102">
            <w:pPr>
              <w:autoSpaceDE w:val="0"/>
              <w:autoSpaceDN w:val="0"/>
              <w:adjustRightInd w:val="0"/>
              <w:jc w:val="both"/>
              <w:rPr>
                <w:color w:val="000000" w:themeColor="text1"/>
                <w:sz w:val="16"/>
                <w:szCs w:val="16"/>
              </w:rPr>
            </w:pPr>
          </w:p>
        </w:tc>
        <w:tc>
          <w:tcPr>
            <w:tcW w:w="4394" w:type="dxa"/>
          </w:tcPr>
          <w:p w14:paraId="257236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лаками и красками.</w:t>
            </w:r>
          </w:p>
        </w:tc>
        <w:tc>
          <w:tcPr>
            <w:tcW w:w="4820" w:type="dxa"/>
          </w:tcPr>
          <w:p w14:paraId="29B449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скорости), серийная же продукция выходит по-прежнему с</w:t>
            </w:r>
          </w:p>
        </w:tc>
      </w:tr>
      <w:tr w:rsidR="00E3599D" w:rsidRPr="00E14102" w14:paraId="489D08F9" w14:textId="77777777">
        <w:tc>
          <w:tcPr>
            <w:tcW w:w="1384" w:type="dxa"/>
            <w:tcBorders>
              <w:bottom w:val="single" w:sz="12" w:space="0" w:color="auto"/>
            </w:tcBorders>
          </w:tcPr>
          <w:p w14:paraId="4C0871F0" w14:textId="77777777" w:rsidR="00D4105E" w:rsidRPr="00E14102" w:rsidRDefault="00D4105E" w:rsidP="00E14102">
            <w:pPr>
              <w:autoSpaceDE w:val="0"/>
              <w:autoSpaceDN w:val="0"/>
              <w:adjustRightInd w:val="0"/>
              <w:jc w:val="both"/>
              <w:rPr>
                <w:color w:val="000000" w:themeColor="text1"/>
                <w:sz w:val="16"/>
                <w:szCs w:val="16"/>
              </w:rPr>
            </w:pPr>
          </w:p>
        </w:tc>
        <w:tc>
          <w:tcPr>
            <w:tcW w:w="4394" w:type="dxa"/>
            <w:tcBorders>
              <w:bottom w:val="single" w:sz="12" w:space="0" w:color="auto"/>
            </w:tcBorders>
          </w:tcPr>
          <w:p w14:paraId="7B07F2DA"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Borders>
              <w:bottom w:val="single" w:sz="12" w:space="0" w:color="auto"/>
            </w:tcBorders>
          </w:tcPr>
          <w:p w14:paraId="7AFCA0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плохой окраской и лакировкой (3120,79).</w:t>
            </w:r>
          </w:p>
        </w:tc>
      </w:tr>
    </w:tbl>
    <w:p w14:paraId="4B6E222E" w14:textId="77777777" w:rsidR="00D4105E" w:rsidRPr="00E14102" w:rsidRDefault="00D4105E" w:rsidP="00E14102">
      <w:pPr>
        <w:autoSpaceDE w:val="0"/>
        <w:autoSpaceDN w:val="0"/>
        <w:adjustRightInd w:val="0"/>
        <w:jc w:val="both"/>
        <w:rPr>
          <w:color w:val="000000" w:themeColor="text1"/>
          <w:sz w:val="16"/>
          <w:szCs w:val="16"/>
        </w:rPr>
      </w:pPr>
    </w:p>
    <w:p w14:paraId="5B2223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июля 1935 года Начальник и военком НИИ ВВС Бажанов утвердил Отчет по определению поляры самолета Р-5 из полетов с работающим винтом</w:t>
      </w:r>
    </w:p>
    <w:p w14:paraId="47C6B7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2D7562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 Доброхотов</w:t>
      </w:r>
    </w:p>
    <w:p w14:paraId="0B402C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w:t>
      </w:r>
    </w:p>
    <w:p w14:paraId="380A1D8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Определение поляры самолета Р-5, как основной характеристики аэродинамического совершенства самолета, позволяющей иметь цифровую величину коэффициентов подъемной силы, лобового сопротивления и качества самолета. Определение влияния обдувки от винта на поляру и качество самолета.</w:t>
      </w:r>
    </w:p>
    <w:p w14:paraId="771BB26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Разработка методики снятия поляры из полетов с работающим винтом и освоение интегратора тяги винта как специфического прибора этой методики.</w:t>
      </w:r>
    </w:p>
    <w:p w14:paraId="7C9855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B0EB35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Результаты летного эксперимента в части определения поляры самолета Р-5 признать удовлетворительными (3965).</w:t>
      </w:r>
    </w:p>
    <w:p w14:paraId="7E03B8A5"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6FCF85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июля 1935 года заместитель начальника вооружений и начальник АУ РККА Ефимов писал письмо № 94842сс наркому обороны Ворошилову К.Е., наркому тяжелой промышленности Орджоникидзе, начальнику УВС РККА Алкснису</w:t>
      </w:r>
    </w:p>
    <w:p w14:paraId="0737FD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Докладываю об угрожающем положении с подачей боекомплекта к системам Курчевского.</w:t>
      </w:r>
    </w:p>
    <w:p w14:paraId="0A0257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76 мм авиационной пушке АПК-4.</w:t>
      </w:r>
    </w:p>
    <w:p w14:paraId="16EA65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обеспечения вооружения самолетов “ЗЕТ” Курчевский должен был на заводе № 38 произвести переделку и исправление 100 систем АПК-4 не законченных производством на заводе № 7 в 1934 году. Из этих систем принято от Курчевского только 12, предъявлено к приему еще 24. Однако, приемка их и дальнейшее выполнение заказа оказывается невозможным из-за отсутствия выстрелов, необходимых для заводских испытаний.</w:t>
      </w:r>
    </w:p>
    <w:p w14:paraId="393988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Обеспечение заводских испытаний выстрелами лежит на обязанности ГВМУ, которое до сих пор не подало на завод № 38 ни одного выстрела. Обеспечить испытания патронами по нашему заказу мы не можем, так как из 9000 выстрелов, которые завод № 14 должен был, согласно постановления СТО от 7 апреля сдать к 1 июня, пока изготовлено лишь 2,5 тысячи штук, которые мы должны полностью направить в эскадрилью особого назначения (часть Сузи) для выполнения задания Правительства по отработке технических форм ……….. заказа тормозится тем, что промышленность не подает снаряжательному заводу корпусов снарядов.</w:t>
      </w:r>
    </w:p>
    <w:p w14:paraId="6F37A0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Также плохо выполняется опытный заказ на 2000 выстрелов, согласно новым техническим условиям (с латунными гильзами), ибо снаряжательный завод до сих пор не обеспечен со стороны ГВМУ необходимыми элементами для сборки выстрелов.</w:t>
      </w:r>
    </w:p>
    <w:p w14:paraId="44255D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Положение усугубляется еще и тем, что в настоящее время готовятся к предъявлению на заводах №№ 7 и 8 по 10 систем проверочных партий, которые промышленность постановлением Правительства от 7 апреля обязалась изготовить к 1 июля.</w:t>
      </w:r>
    </w:p>
    <w:p w14:paraId="688369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этих систем, необходимые для утверждения чертежей валового производства, уже сорваны из-за отсутствия выстрелов.</w:t>
      </w:r>
    </w:p>
    <w:p w14:paraId="147ECD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37 мм пушке АПК-11.</w:t>
      </w:r>
    </w:p>
    <w:p w14:paraId="5F9B43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двух опытных образцов этой системы, изготовленных Курчевским, также задержались из-за необеспеченности выстрелами. Ввиду неподачи выстрелов со стороны ГВМУ, АУ пришлось обеспечить заводские испытания зарядами и снарядами за счет заказа НКО.</w:t>
      </w:r>
    </w:p>
    <w:p w14:paraId="627C90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заказа АУ на 2000 выстрелов по новым техническим условиям (с латунной гильзой), который промышленность согласно постановления Правительства от 7 апреля должна была выполнить к 1 июля, также не производится.</w:t>
      </w:r>
    </w:p>
    <w:p w14:paraId="5FBDBB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Отсутствие выстрелов не позволяет нам произвести воздушные испытания этих систем.</w:t>
      </w:r>
    </w:p>
    <w:p w14:paraId="0CE154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системам 37 мм ружье Курчевского, 76 мм БПК и 76 мм СПК.</w:t>
      </w:r>
    </w:p>
    <w:p w14:paraId="3B8183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Валовые заказы АУ на выстрелы выполняются следующим образом: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E3599D" w:rsidRPr="00E14102" w14:paraId="2E8F655A" w14:textId="77777777">
        <w:tc>
          <w:tcPr>
            <w:tcW w:w="2817" w:type="dxa"/>
          </w:tcPr>
          <w:p w14:paraId="729D5C9F"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19F72B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Годовая программа</w:t>
            </w:r>
          </w:p>
        </w:tc>
        <w:tc>
          <w:tcPr>
            <w:tcW w:w="2817" w:type="dxa"/>
          </w:tcPr>
          <w:p w14:paraId="3A445C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Подлежало сдаче за 5 месяцев</w:t>
            </w:r>
          </w:p>
        </w:tc>
        <w:tc>
          <w:tcPr>
            <w:tcW w:w="2817" w:type="dxa"/>
          </w:tcPr>
          <w:p w14:paraId="6B90D6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Сдано за 5 месяцев</w:t>
            </w:r>
          </w:p>
        </w:tc>
      </w:tr>
      <w:tr w:rsidR="00E3599D" w:rsidRPr="00E14102" w14:paraId="13EA2ADC" w14:textId="77777777">
        <w:tc>
          <w:tcPr>
            <w:tcW w:w="2817" w:type="dxa"/>
          </w:tcPr>
          <w:p w14:paraId="4E3006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 мм выстрелы к ружью “К”</w:t>
            </w:r>
          </w:p>
        </w:tc>
        <w:tc>
          <w:tcPr>
            <w:tcW w:w="2817" w:type="dxa"/>
          </w:tcPr>
          <w:p w14:paraId="238125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131000</w:t>
            </w:r>
          </w:p>
        </w:tc>
        <w:tc>
          <w:tcPr>
            <w:tcW w:w="2817" w:type="dxa"/>
          </w:tcPr>
          <w:p w14:paraId="2C9179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30000</w:t>
            </w:r>
          </w:p>
        </w:tc>
        <w:tc>
          <w:tcPr>
            <w:tcW w:w="2817" w:type="dxa"/>
          </w:tcPr>
          <w:p w14:paraId="63F047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r>
      <w:tr w:rsidR="00E3599D" w:rsidRPr="00E14102" w14:paraId="74185DD0" w14:textId="77777777">
        <w:tc>
          <w:tcPr>
            <w:tcW w:w="2817" w:type="dxa"/>
          </w:tcPr>
          <w:p w14:paraId="197AED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76 мм выстрелы к БПК и СПК</w:t>
            </w:r>
          </w:p>
        </w:tc>
        <w:tc>
          <w:tcPr>
            <w:tcW w:w="2817" w:type="dxa"/>
          </w:tcPr>
          <w:p w14:paraId="1C0093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150000</w:t>
            </w:r>
          </w:p>
        </w:tc>
        <w:tc>
          <w:tcPr>
            <w:tcW w:w="2817" w:type="dxa"/>
          </w:tcPr>
          <w:p w14:paraId="5D1751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95000</w:t>
            </w:r>
          </w:p>
        </w:tc>
        <w:tc>
          <w:tcPr>
            <w:tcW w:w="2817" w:type="dxa"/>
          </w:tcPr>
          <w:p w14:paraId="629B1F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109000</w:t>
            </w:r>
          </w:p>
        </w:tc>
      </w:tr>
    </w:tbl>
    <w:p w14:paraId="65D3F2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и по этим системам ГВМУ не обеспечило орудийные заводы выстрелами для заводских испытаний.</w:t>
      </w:r>
    </w:p>
    <w:p w14:paraId="0F1CD8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развертывание производства систем Курчевского может быть полностью сорвано из-за крайнего неблагополучия с производством выстрелов.</w:t>
      </w:r>
    </w:p>
    <w:p w14:paraId="609961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того, что все мои усилия обеспечить налаживание производства выстрелов через ГВМУ и Главхимпром не привели ни к каким результатам, прошу Вашей помощи (2426,46-48).</w:t>
      </w:r>
    </w:p>
    <w:p w14:paraId="77350873" w14:textId="77777777" w:rsidR="00D4105E" w:rsidRPr="00E14102" w:rsidRDefault="00D4105E" w:rsidP="00E14102">
      <w:pPr>
        <w:autoSpaceDE w:val="0"/>
        <w:autoSpaceDN w:val="0"/>
        <w:adjustRightInd w:val="0"/>
        <w:jc w:val="both"/>
        <w:rPr>
          <w:color w:val="000000" w:themeColor="text1"/>
          <w:sz w:val="16"/>
          <w:szCs w:val="16"/>
        </w:rPr>
      </w:pPr>
    </w:p>
    <w:p w14:paraId="48921E0F" w14:textId="77777777" w:rsidR="006D10E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8981013" w14:textId="77777777" w:rsidR="006D10EE" w:rsidRPr="00E14102" w:rsidRDefault="006D10EE" w:rsidP="00E14102">
      <w:pPr>
        <w:autoSpaceDE w:val="0"/>
        <w:autoSpaceDN w:val="0"/>
        <w:adjustRightInd w:val="0"/>
        <w:jc w:val="both"/>
        <w:rPr>
          <w:iCs/>
          <w:color w:val="000000" w:themeColor="text1"/>
          <w:sz w:val="16"/>
          <w:szCs w:val="16"/>
        </w:rPr>
      </w:pPr>
    </w:p>
    <w:p w14:paraId="6CAD6E95" w14:textId="77777777" w:rsidR="006D10EE" w:rsidRPr="00E14102" w:rsidRDefault="006D10EE" w:rsidP="00E14102">
      <w:pPr>
        <w:pStyle w:val="rtejustify"/>
        <w:spacing w:before="0" w:after="0"/>
        <w:rPr>
          <w:color w:val="000000" w:themeColor="text1"/>
          <w:sz w:val="16"/>
          <w:szCs w:val="16"/>
        </w:rPr>
      </w:pPr>
      <w:r w:rsidRPr="00E14102">
        <w:rPr>
          <w:rStyle w:val="a6"/>
          <w:bCs/>
          <w:i w:val="0"/>
          <w:color w:val="000000" w:themeColor="text1"/>
          <w:sz w:val="16"/>
          <w:szCs w:val="16"/>
        </w:rPr>
        <w:t>3/4 июля 1935 вышел приказ НКТП № 114с.</w:t>
      </w:r>
      <w:r w:rsidRPr="00E14102">
        <w:rPr>
          <w:color w:val="000000" w:themeColor="text1"/>
          <w:sz w:val="16"/>
          <w:szCs w:val="16"/>
        </w:rPr>
        <w:t xml:space="preserve"> Об обеспечении новых строительств НКТП СССР оборудованием и станками. (РГАЭ. Ф. 7297. Оп. 38. Д. 171. Л. 179</w:t>
      </w:r>
      <w:r w:rsidRPr="00E14102">
        <w:rPr>
          <w:color w:val="000000" w:themeColor="text1"/>
          <w:sz w:val="16"/>
          <w:szCs w:val="16"/>
        </w:rPr>
        <w:noBreakHyphen/>
        <w:t>178) (15246).</w:t>
      </w:r>
    </w:p>
    <w:p w14:paraId="5478477C" w14:textId="77777777" w:rsidR="006D10EE" w:rsidRPr="00E14102" w:rsidRDefault="006D10EE" w:rsidP="00E14102">
      <w:pPr>
        <w:pStyle w:val="rtejustify"/>
        <w:spacing w:before="0" w:after="0"/>
        <w:rPr>
          <w:color w:val="000000" w:themeColor="text1"/>
          <w:sz w:val="16"/>
          <w:szCs w:val="16"/>
        </w:rPr>
      </w:pPr>
    </w:p>
    <w:p w14:paraId="255B358B" w14:textId="77777777" w:rsidR="004B14DA" w:rsidRPr="00E14102" w:rsidRDefault="004B14DA"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721D2A3" w14:textId="77777777" w:rsidR="004B14DA" w:rsidRPr="00E14102" w:rsidRDefault="004B14DA" w:rsidP="00E14102">
      <w:pPr>
        <w:autoSpaceDE w:val="0"/>
        <w:autoSpaceDN w:val="0"/>
        <w:adjustRightInd w:val="0"/>
        <w:jc w:val="both"/>
        <w:rPr>
          <w:iCs/>
          <w:color w:val="000000" w:themeColor="text1"/>
          <w:sz w:val="16"/>
          <w:szCs w:val="16"/>
        </w:rPr>
      </w:pPr>
    </w:p>
    <w:p w14:paraId="279A9973" w14:textId="77777777" w:rsidR="004B14DA" w:rsidRPr="00E14102" w:rsidRDefault="004B14DA" w:rsidP="00E14102">
      <w:pPr>
        <w:jc w:val="both"/>
        <w:rPr>
          <w:color w:val="000000" w:themeColor="text1"/>
          <w:sz w:val="16"/>
          <w:szCs w:val="16"/>
        </w:rPr>
      </w:pPr>
      <w:r w:rsidRPr="00E14102">
        <w:rPr>
          <w:color w:val="000000" w:themeColor="text1"/>
          <w:sz w:val="16"/>
          <w:szCs w:val="16"/>
        </w:rPr>
        <w:t>3 июля 1935. В Краснопресненском парке культуры и отдыха начала работать 37-метровая парашютная вышка. Особенность этой вышки заключалась в том, что прыгающему давался полураскрытый парашют. Первый момент падения почти ничем не отличался от прыжка с самолета. Примерно на высоте 15 метров парашют полностью раскрывался, и происходил обычный медленный спуск (18720).</w:t>
      </w:r>
    </w:p>
    <w:p w14:paraId="70FD8945" w14:textId="77777777" w:rsidR="004B14DA" w:rsidRPr="00E14102" w:rsidRDefault="004B14DA" w:rsidP="00E14102">
      <w:pPr>
        <w:jc w:val="both"/>
        <w:rPr>
          <w:color w:val="000000" w:themeColor="text1"/>
          <w:sz w:val="16"/>
          <w:szCs w:val="16"/>
        </w:rPr>
      </w:pPr>
    </w:p>
    <w:p w14:paraId="49881A9F" w14:textId="77777777" w:rsidR="006D10E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57217AA" w14:textId="77777777" w:rsidR="006D10EE" w:rsidRPr="00E14102" w:rsidRDefault="006D10EE" w:rsidP="00E14102">
      <w:pPr>
        <w:autoSpaceDE w:val="0"/>
        <w:autoSpaceDN w:val="0"/>
        <w:adjustRightInd w:val="0"/>
        <w:jc w:val="both"/>
        <w:rPr>
          <w:iCs/>
          <w:color w:val="000000" w:themeColor="text1"/>
          <w:sz w:val="16"/>
          <w:szCs w:val="16"/>
        </w:rPr>
      </w:pPr>
    </w:p>
    <w:p w14:paraId="05027654" w14:textId="77777777" w:rsidR="006D10EE" w:rsidRPr="00E14102" w:rsidRDefault="006D10EE" w:rsidP="00E14102">
      <w:pPr>
        <w:jc w:val="both"/>
        <w:rPr>
          <w:color w:val="000000" w:themeColor="text1"/>
          <w:sz w:val="16"/>
          <w:szCs w:val="16"/>
        </w:rPr>
      </w:pPr>
      <w:r w:rsidRPr="00E14102">
        <w:rPr>
          <w:bCs/>
          <w:color w:val="000000" w:themeColor="text1"/>
          <w:sz w:val="16"/>
          <w:szCs w:val="16"/>
        </w:rPr>
        <w:t>3 июля</w:t>
      </w:r>
      <w:r w:rsidRPr="00E14102">
        <w:rPr>
          <w:color w:val="000000" w:themeColor="text1"/>
          <w:sz w:val="16"/>
          <w:szCs w:val="16"/>
        </w:rPr>
        <w:t xml:space="preserve"> в 1935 году в США был продан первый телевизор (14941).</w:t>
      </w:r>
    </w:p>
    <w:p w14:paraId="4A823661" w14:textId="77777777" w:rsidR="006D10EE" w:rsidRPr="00E14102" w:rsidRDefault="006D10EE" w:rsidP="00E14102">
      <w:pPr>
        <w:jc w:val="both"/>
        <w:rPr>
          <w:color w:val="000000" w:themeColor="text1"/>
          <w:sz w:val="16"/>
          <w:szCs w:val="16"/>
        </w:rPr>
      </w:pPr>
    </w:p>
    <w:p w14:paraId="006CF41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EDDE44F" w14:textId="77777777" w:rsidR="00D4105E" w:rsidRPr="00E14102" w:rsidRDefault="00D4105E" w:rsidP="00E14102">
      <w:pPr>
        <w:autoSpaceDE w:val="0"/>
        <w:autoSpaceDN w:val="0"/>
        <w:adjustRightInd w:val="0"/>
        <w:jc w:val="both"/>
        <w:rPr>
          <w:iCs/>
          <w:color w:val="000000" w:themeColor="text1"/>
          <w:sz w:val="16"/>
          <w:szCs w:val="16"/>
        </w:rPr>
      </w:pPr>
    </w:p>
    <w:p w14:paraId="518C9A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июля 1935 состоялось совещание технического комитета, где Е.К.Стоман доложил о летном состоянии РД-2 (1077,266) и РД-1 (1102).</w:t>
      </w:r>
    </w:p>
    <w:p w14:paraId="1A0FB974" w14:textId="77777777" w:rsidR="00D4105E" w:rsidRPr="00E14102" w:rsidRDefault="00D4105E" w:rsidP="00E14102">
      <w:pPr>
        <w:autoSpaceDE w:val="0"/>
        <w:autoSpaceDN w:val="0"/>
        <w:adjustRightInd w:val="0"/>
        <w:jc w:val="both"/>
        <w:rPr>
          <w:color w:val="000000" w:themeColor="text1"/>
          <w:sz w:val="16"/>
          <w:szCs w:val="16"/>
        </w:rPr>
      </w:pPr>
    </w:p>
    <w:p w14:paraId="684A5D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4 июля 1935 года начальник IV отдела УВС Базенков писал письмо N 41/204635 зам. Начальника УВС Хрипину и пом. Начальника УВС Астахову.</w:t>
      </w:r>
    </w:p>
    <w:p w14:paraId="07E920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вопросу о стратосферном самолете АВИАВНИТО согласно Вашего приказания докладываю:</w:t>
      </w:r>
    </w:p>
    <w:p w14:paraId="159EC7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последних днях июня начальник УВС Алкснис вызвал к себе конструктора самолета Кривицкого и заслушал в присутствии начальника НТО IV отдела УВС Горощенко доклад о самолете.</w:t>
      </w:r>
    </w:p>
    <w:p w14:paraId="076023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обсуждения вопроса начальник УВС дал установку Кривицкому переработать проект с целью повышения потолка до 18-20 тыс. Метров (3810,32).</w:t>
      </w:r>
    </w:p>
    <w:p w14:paraId="0E324693" w14:textId="77777777" w:rsidR="00D4105E" w:rsidRPr="00E14102" w:rsidRDefault="00D4105E" w:rsidP="00E14102">
      <w:pPr>
        <w:autoSpaceDE w:val="0"/>
        <w:autoSpaceDN w:val="0"/>
        <w:adjustRightInd w:val="0"/>
        <w:jc w:val="both"/>
        <w:rPr>
          <w:color w:val="000000" w:themeColor="text1"/>
          <w:sz w:val="16"/>
          <w:szCs w:val="16"/>
        </w:rPr>
      </w:pPr>
    </w:p>
    <w:p w14:paraId="7AF7A286" w14:textId="77777777" w:rsidR="00E67152" w:rsidRPr="00E14102" w:rsidRDefault="00E67152" w:rsidP="00E14102">
      <w:pPr>
        <w:jc w:val="both"/>
        <w:rPr>
          <w:rStyle w:val="442"/>
          <w:rFonts w:ascii="Times New Roman" w:hAnsi="Times New Roman" w:cs="Times New Roman"/>
          <w:color w:val="0070C0"/>
          <w:sz w:val="16"/>
          <w:szCs w:val="16"/>
        </w:rPr>
      </w:pPr>
      <w:r w:rsidRPr="00E14102">
        <w:rPr>
          <w:rStyle w:val="441"/>
          <w:rFonts w:ascii="Times New Roman" w:hAnsi="Times New Roman" w:cs="Times New Roman"/>
          <w:i w:val="0"/>
          <w:iCs w:val="0"/>
          <w:color w:val="0070C0"/>
          <w:sz w:val="16"/>
          <w:szCs w:val="16"/>
        </w:rPr>
        <w:t>4 июля 1935 года вышло постановление № С-80сс СТО</w:t>
      </w:r>
      <w:r w:rsidRPr="00E14102">
        <w:rPr>
          <w:rStyle w:val="442"/>
          <w:rFonts w:ascii="Times New Roman" w:hAnsi="Times New Roman" w:cs="Times New Roman"/>
          <w:i/>
          <w:iCs/>
          <w:color w:val="0070C0"/>
          <w:sz w:val="16"/>
          <w:szCs w:val="16"/>
        </w:rPr>
        <w:t xml:space="preserve"> </w:t>
      </w:r>
      <w:r w:rsidRPr="00E14102">
        <w:rPr>
          <w:rStyle w:val="442"/>
          <w:rFonts w:ascii="Times New Roman" w:hAnsi="Times New Roman" w:cs="Times New Roman"/>
          <w:color w:val="0070C0"/>
          <w:sz w:val="16"/>
          <w:szCs w:val="16"/>
        </w:rPr>
        <w:t>«О выполнении НКТП заказа НКО по самолетам и моторам» за 1-е полугодие 1935 года. В целях увеличения выпуска само</w:t>
      </w:r>
      <w:r w:rsidRPr="00E14102">
        <w:rPr>
          <w:rStyle w:val="442"/>
          <w:rFonts w:ascii="Times New Roman" w:hAnsi="Times New Roman" w:cs="Times New Roman"/>
          <w:color w:val="0070C0"/>
          <w:sz w:val="16"/>
          <w:szCs w:val="16"/>
        </w:rPr>
        <w:softHyphen/>
        <w:t>летов И-16 с мотором РЦ и в связи с трудно</w:t>
      </w:r>
      <w:r w:rsidRPr="00E14102">
        <w:rPr>
          <w:rStyle w:val="442"/>
          <w:rFonts w:ascii="Times New Roman" w:hAnsi="Times New Roman" w:cs="Times New Roman"/>
          <w:color w:val="0070C0"/>
          <w:sz w:val="16"/>
          <w:szCs w:val="16"/>
        </w:rPr>
        <w:softHyphen/>
        <w:t>стями освоения самолета И-14 на заводе № 125 было решено сократить программу за</w:t>
      </w:r>
      <w:r w:rsidRPr="00E14102">
        <w:rPr>
          <w:rStyle w:val="442"/>
          <w:rFonts w:ascii="Times New Roman" w:hAnsi="Times New Roman" w:cs="Times New Roman"/>
          <w:color w:val="0070C0"/>
          <w:sz w:val="16"/>
          <w:szCs w:val="16"/>
        </w:rPr>
        <w:softHyphen/>
        <w:t>вода № 125 по И-14 со 180 машин до 50, уве</w:t>
      </w:r>
      <w:r w:rsidRPr="00E14102">
        <w:rPr>
          <w:rStyle w:val="442"/>
          <w:rFonts w:ascii="Times New Roman" w:hAnsi="Times New Roman" w:cs="Times New Roman"/>
          <w:color w:val="0070C0"/>
          <w:sz w:val="16"/>
          <w:szCs w:val="16"/>
        </w:rPr>
        <w:softHyphen/>
        <w:t>личив, соответственно, программу про</w:t>
      </w:r>
      <w:r w:rsidRPr="00E14102">
        <w:rPr>
          <w:rStyle w:val="442"/>
          <w:rFonts w:ascii="Times New Roman" w:hAnsi="Times New Roman" w:cs="Times New Roman"/>
          <w:color w:val="0070C0"/>
          <w:sz w:val="16"/>
          <w:szCs w:val="16"/>
        </w:rPr>
        <w:softHyphen/>
        <w:t>изводства по И-16 на 80 штук и по ИП-1 на 50 штук по 1935 году (19871).</w:t>
      </w:r>
    </w:p>
    <w:p w14:paraId="0922F4BB" w14:textId="77777777" w:rsidR="00E67152" w:rsidRPr="00E14102" w:rsidRDefault="00E67152" w:rsidP="00E14102">
      <w:pPr>
        <w:jc w:val="both"/>
        <w:rPr>
          <w:color w:val="0070C0"/>
          <w:sz w:val="16"/>
          <w:szCs w:val="16"/>
        </w:rPr>
      </w:pPr>
    </w:p>
    <w:p w14:paraId="39CA24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4 июля 1935 на счетах находилось 68 миллионов рублей на постройку десяти, а затем 16 новых самолетов типа АНТ- 20. Еще не существующим гигантам даже имена подобрали. Первый самолет должен был называться "Владимир Ленин". Следующим, разумеется, шел "Иосиф Сталин". А вот третьей машине намеревались повторно присвоить имя "Максим Горький". Далее по рангу перечислялись высшие руководители страны: и легендарные герои, прах которых уже покоился в земле, и еще благополучно здравствовавшие: "Михаил Калинин", "Вячеслав Молотов", "Климент Ворошилов", "Серго Орджоникидзе", "Лазарь Каганович", "Станислав Косиор", "Влас Чу- барь", "Анастас Микоян", "Андрей Андреев", "Сергей Киров", "Михаил Фрунзе", "Феликс Дзержинский" и "Валериан Куйбышев". По этому поводу 4 августа 1935 г. вышло специальное постановление Совета труда и обороны (СТО).</w:t>
      </w:r>
    </w:p>
    <w:p w14:paraId="1AF998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Хотя "Максим Горький" был агит- самолетом (что-то вроде летающего дома культуры), все 16 новых гигантов решили передать в гражданскую авиацию. При этом никто не отдавал себе отчета, где и как их будут эксплуатировать. Экономическая эффективность лайнеров большой вместимости при тогдашнем пассажиропотоке, когда летали практически только начальники и командировочные, была весьма сомнительна. В то же время проблем эскадрилья многомоторных монстров создавала множество. Им требовались большие аэродромы с твердым покрытием, специальная техника для заправки и обслуживания. Например, тягача, способного буксировать подобный самолет, в стране вообще не существовало.</w:t>
      </w:r>
    </w:p>
    <w:p w14:paraId="744E40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Работой по проектированию новых гигантов занялся тот же коллектив, который создавал "Максима Горького" - конструкторы КО- СОС ЦАГИ во главе с А.Н. Туполевым. Хотя они были заняты другими немаловажными работами, такими как скоростной бомбардировщик СБ, пришлось выкроить время и на проект, названный АНТ- 20бис или МГ-бис.</w:t>
      </w:r>
    </w:p>
    <w:p w14:paraId="790285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основному назначению эти машины считались пассажирскими на 60 мест. Но в военное время их собирались мобилизовать и использовать как тяжелые ночные бомбардировщики и военно-транс- портные самолеты. В соответствии с таким подходом установка стрелкового и бомбового вооружения предусматривалась конструкцией, но само оно не монтировалось. А вот бомбовый прицел ОПБ-1 и самолетное переговорное устройство собирались устанавливать сразу. От первого "Максима Горького" новые машины должны были отличаться наличием шести, а не восьми моторов, но большей мощности, типа М-34РН с металлическими трехлопастными винтами. Доставлявшую ранее много хлопот верхнюю тандем- ную мотоустановку МГ намеревались ликвидировать. Площадь крыла немного уменьшили (на 6 м2). В список оборудования входили американский автопилот фирмы "Сперри", современные гироскопические приборы, радиополукомпас, пусковые трубы для парашютных, осветительных ракет ПАР-13 (11926).</w:t>
      </w:r>
    </w:p>
    <w:p w14:paraId="70C67633" w14:textId="77777777" w:rsidR="00D4105E" w:rsidRPr="00E14102" w:rsidRDefault="00D4105E" w:rsidP="00E14102">
      <w:pPr>
        <w:autoSpaceDE w:val="0"/>
        <w:autoSpaceDN w:val="0"/>
        <w:adjustRightInd w:val="0"/>
        <w:jc w:val="both"/>
        <w:rPr>
          <w:color w:val="000000" w:themeColor="text1"/>
          <w:sz w:val="16"/>
          <w:szCs w:val="16"/>
        </w:rPr>
      </w:pPr>
    </w:p>
    <w:p w14:paraId="046F074A" w14:textId="77777777" w:rsidR="00E67152" w:rsidRPr="00E14102" w:rsidRDefault="00E67152" w:rsidP="00E14102">
      <w:pPr>
        <w:jc w:val="both"/>
        <w:rPr>
          <w:color w:val="0070C0"/>
          <w:sz w:val="16"/>
          <w:szCs w:val="16"/>
        </w:rPr>
      </w:pPr>
      <w:r w:rsidRPr="00E14102">
        <w:rPr>
          <w:color w:val="0070C0"/>
          <w:sz w:val="16"/>
          <w:szCs w:val="16"/>
        </w:rPr>
        <w:t>По состоянию на 4 июля 1935, согласно журналу «Самолет» № 101 (7) за 1935 г.: «Добровольный сбор средств среди тру</w:t>
      </w:r>
      <w:r w:rsidRPr="00E14102">
        <w:rPr>
          <w:color w:val="0070C0"/>
          <w:sz w:val="16"/>
          <w:szCs w:val="16"/>
        </w:rPr>
        <w:softHyphen/>
        <w:t>дящихся СССР, предназначенный для пост</w:t>
      </w:r>
      <w:r w:rsidRPr="00E14102">
        <w:rPr>
          <w:color w:val="0070C0"/>
          <w:sz w:val="16"/>
          <w:szCs w:val="16"/>
        </w:rPr>
        <w:softHyphen/>
        <w:t>ройки мощных самолетов взамен погибшего самолета «Максим Горький», на 4 июля со</w:t>
      </w:r>
      <w:r w:rsidRPr="00E14102">
        <w:rPr>
          <w:color w:val="0070C0"/>
          <w:sz w:val="16"/>
          <w:szCs w:val="16"/>
        </w:rPr>
        <w:softHyphen/>
        <w:t>ставил сумму в 68 /13 26 7 рублей и !4 242 рубля в иностранной валюте. Вся эта сум</w:t>
      </w:r>
      <w:r w:rsidRPr="00E14102">
        <w:rPr>
          <w:color w:val="0070C0"/>
          <w:sz w:val="16"/>
          <w:szCs w:val="16"/>
        </w:rPr>
        <w:softHyphen/>
        <w:t>ма передана в распоряжение Совнаркома СССР в специальный фонд.</w:t>
      </w:r>
    </w:p>
    <w:p w14:paraId="327756EF" w14:textId="77777777" w:rsidR="00E67152" w:rsidRPr="00E14102" w:rsidRDefault="00E67152" w:rsidP="00E14102">
      <w:pPr>
        <w:jc w:val="both"/>
        <w:rPr>
          <w:color w:val="0070C0"/>
          <w:sz w:val="16"/>
          <w:szCs w:val="16"/>
        </w:rPr>
      </w:pPr>
      <w:r w:rsidRPr="00E14102">
        <w:rPr>
          <w:color w:val="0070C0"/>
          <w:sz w:val="16"/>
          <w:szCs w:val="16"/>
        </w:rPr>
        <w:t>Совнарком постановил: в соответст</w:t>
      </w:r>
      <w:r w:rsidRPr="00E14102">
        <w:rPr>
          <w:color w:val="0070C0"/>
          <w:sz w:val="16"/>
          <w:szCs w:val="16"/>
        </w:rPr>
        <w:softHyphen/>
        <w:t>вии с пожеланиями, выраженными трудя</w:t>
      </w:r>
      <w:r w:rsidRPr="00E14102">
        <w:rPr>
          <w:color w:val="0070C0"/>
          <w:sz w:val="16"/>
          <w:szCs w:val="16"/>
        </w:rPr>
        <w:softHyphen/>
        <w:t>щимися при сборе средств на постройку мощных самолетов взамен погибшего само</w:t>
      </w:r>
      <w:r w:rsidRPr="00E14102">
        <w:rPr>
          <w:color w:val="0070C0"/>
          <w:sz w:val="16"/>
          <w:szCs w:val="16"/>
        </w:rPr>
        <w:softHyphen/>
        <w:t>лета «Максим Горький», построить 16 мощных самолетов той же мощности и размеров, как «Максим Горький», присвоив им следующие наименования: «Владимир Ленин», «Иосиф Сталин», «Максим Горь кий», «Михаил Калинин», «Вячеслав Моло</w:t>
      </w:r>
      <w:r w:rsidRPr="00E14102">
        <w:rPr>
          <w:color w:val="0070C0"/>
          <w:sz w:val="16"/>
          <w:szCs w:val="16"/>
        </w:rPr>
        <w:softHyphen/>
        <w:t>тов», «Климент Ворошилов», «Серго Орд</w:t>
      </w:r>
      <w:r w:rsidRPr="00E14102">
        <w:rPr>
          <w:color w:val="0070C0"/>
          <w:sz w:val="16"/>
          <w:szCs w:val="16"/>
        </w:rPr>
        <w:softHyphen/>
        <w:t>жоникидзе», «Лазарь Каганович», «Стани</w:t>
      </w:r>
      <w:r w:rsidRPr="00E14102">
        <w:rPr>
          <w:color w:val="0070C0"/>
          <w:sz w:val="16"/>
          <w:szCs w:val="16"/>
        </w:rPr>
        <w:softHyphen/>
        <w:t>слав Косиор», «Влас Чубарь», «Анастас Микоян», «Андрей Андреев», «Сергей Ки</w:t>
      </w:r>
      <w:r w:rsidRPr="00E14102">
        <w:rPr>
          <w:color w:val="0070C0"/>
          <w:sz w:val="16"/>
          <w:szCs w:val="16"/>
        </w:rPr>
        <w:softHyphen/>
        <w:t>ров», «Михаил Фрунзе», «Феликс Дзержин</w:t>
      </w:r>
      <w:r w:rsidRPr="00E14102">
        <w:rPr>
          <w:color w:val="0070C0"/>
          <w:sz w:val="16"/>
          <w:szCs w:val="16"/>
        </w:rPr>
        <w:softHyphen/>
        <w:t>ский», «Валериан Куйбышев» (21240).</w:t>
      </w:r>
    </w:p>
    <w:p w14:paraId="274ED961" w14:textId="77777777" w:rsidR="00E67152" w:rsidRPr="00E14102" w:rsidRDefault="00E67152" w:rsidP="00E14102">
      <w:pPr>
        <w:jc w:val="both"/>
        <w:rPr>
          <w:color w:val="0070C0"/>
          <w:sz w:val="16"/>
          <w:szCs w:val="16"/>
        </w:rPr>
      </w:pPr>
    </w:p>
    <w:p w14:paraId="08B172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4 июля 1935 на счетах находилось 68 миллионов рублей. Катастрофа всколыхнула всю страну. Начался сбор средств на постройку десяти, а затем 16 АНТ-20. Еще не существующим гигантам даже имена подобрали; первый самолет должен был называться "Владимир Ленин". Следующим, разумеется, шел "Иосиф Сталин". А вот третьей машине намеревались повторно присвоить имя "Максим Горький". Далее по рангу перечислялись высшие руководители страны, в основном еще благополучно здравствовавшие: "Михаил Калинин", "Вячеслав Молотов", "Климент Ворошилов", "Серго Орджоникидзе", "Лазарь Каганович", "Станислав Косиор", "Влас Чу- барь", "Анастас Микоян", "Андрей Андреев", "Сергей Киров", "Михаил Фрунзе", "Феликс Дзержинский" и "Валериан Куйбышев". По этому поводу 4 августа 1935 г. вышло специальное постановление Совета труда и обороны (СТО). Но в это время взгляды военных на ценность огромных супербомбардировщиков постепенно начали меняться. Управление ВВС постепенно отходило от идеи использования флотов огромных тихоходных бомбовозов. Уже с 1935 г. центр тяжести всех планов опытного самолетостроения переносится на меньшие по размерам машины, но с резким повышением требований к их летным данным. Это дало стране знаменитый скоростной бомбардировщик СБ. А время ТБ-4 ушло...(12024).</w:t>
      </w:r>
    </w:p>
    <w:p w14:paraId="1A78AE22" w14:textId="77777777" w:rsidR="00D4105E" w:rsidRPr="00E14102" w:rsidRDefault="00D4105E" w:rsidP="00E14102">
      <w:pPr>
        <w:autoSpaceDE w:val="0"/>
        <w:autoSpaceDN w:val="0"/>
        <w:adjustRightInd w:val="0"/>
        <w:jc w:val="both"/>
        <w:rPr>
          <w:color w:val="000000" w:themeColor="text1"/>
          <w:sz w:val="16"/>
          <w:szCs w:val="16"/>
        </w:rPr>
      </w:pPr>
    </w:p>
    <w:p w14:paraId="22BD20A0" w14:textId="77777777" w:rsidR="006D10EE" w:rsidRPr="00E14102" w:rsidRDefault="006D10EE" w:rsidP="00E14102">
      <w:pPr>
        <w:pStyle w:val="rtejustify"/>
        <w:spacing w:before="0" w:after="0"/>
        <w:rPr>
          <w:color w:val="000000" w:themeColor="text1"/>
          <w:sz w:val="16"/>
          <w:szCs w:val="16"/>
        </w:rPr>
      </w:pPr>
      <w:r w:rsidRPr="00E14102">
        <w:rPr>
          <w:rStyle w:val="a6"/>
          <w:bCs/>
          <w:i w:val="0"/>
          <w:color w:val="000000" w:themeColor="text1"/>
          <w:sz w:val="16"/>
          <w:szCs w:val="16"/>
        </w:rPr>
        <w:t>4 июля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80сс «О выполнении НКТП заказа НКО по самолетам и моторам». (ГА РФ. Ф. Р</w:t>
      </w:r>
      <w:r w:rsidRPr="00E14102">
        <w:rPr>
          <w:color w:val="000000" w:themeColor="text1"/>
          <w:sz w:val="16"/>
          <w:szCs w:val="16"/>
        </w:rPr>
        <w:noBreakHyphen/>
        <w:t>8418. Оп. 28. Д. 7. Л. 26</w:t>
      </w:r>
      <w:r w:rsidRPr="00E14102">
        <w:rPr>
          <w:color w:val="000000" w:themeColor="text1"/>
          <w:sz w:val="16"/>
          <w:szCs w:val="16"/>
        </w:rPr>
        <w:noBreakHyphen/>
        <w:t>28) (15460).</w:t>
      </w:r>
    </w:p>
    <w:p w14:paraId="4C995E89" w14:textId="77777777" w:rsidR="006D10EE" w:rsidRPr="00E14102" w:rsidRDefault="006D10EE" w:rsidP="00E14102">
      <w:pPr>
        <w:pStyle w:val="rtejustify"/>
        <w:spacing w:before="0" w:after="0"/>
        <w:rPr>
          <w:color w:val="000000" w:themeColor="text1"/>
          <w:sz w:val="16"/>
          <w:szCs w:val="16"/>
        </w:rPr>
      </w:pPr>
    </w:p>
    <w:p w14:paraId="32CC81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июля 1935 вышло постановление СТО N С-81сс "О плане опытного строительства самолетов для ГВФ на 1935-1936 гг."</w:t>
      </w:r>
    </w:p>
    <w:p w14:paraId="6A8CA8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3118DD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Утвердить прилагаемый план опытного строительства самолетов для ГВФ на 1935-36 гг (см. Приложение). В.М.М. (2161,101).</w:t>
      </w:r>
    </w:p>
    <w:p w14:paraId="21F3C0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 отпечатанный 10 июня 1935 План опытного строительства самолетов для ГВФ на 1935-1936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98"/>
        <w:gridCol w:w="898"/>
        <w:gridCol w:w="898"/>
        <w:gridCol w:w="898"/>
        <w:gridCol w:w="898"/>
        <w:gridCol w:w="898"/>
        <w:gridCol w:w="898"/>
        <w:gridCol w:w="898"/>
        <w:gridCol w:w="2596"/>
      </w:tblGrid>
      <w:tr w:rsidR="00E3599D" w:rsidRPr="00E14102" w14:paraId="0C06E406" w14:textId="77777777">
        <w:tc>
          <w:tcPr>
            <w:tcW w:w="1384" w:type="dxa"/>
            <w:tcBorders>
              <w:top w:val="single" w:sz="12" w:space="0" w:color="auto"/>
            </w:tcBorders>
          </w:tcPr>
          <w:p w14:paraId="1F38F5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N и Наименован.</w:t>
            </w:r>
          </w:p>
        </w:tc>
        <w:tc>
          <w:tcPr>
            <w:tcW w:w="898" w:type="dxa"/>
            <w:tcBorders>
              <w:top w:val="single" w:sz="12" w:space="0" w:color="auto"/>
            </w:tcBorders>
          </w:tcPr>
          <w:p w14:paraId="672C5F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Военный</w:t>
            </w:r>
          </w:p>
        </w:tc>
        <w:tc>
          <w:tcPr>
            <w:tcW w:w="898" w:type="dxa"/>
            <w:tcBorders>
              <w:top w:val="single" w:sz="12" w:space="0" w:color="auto"/>
            </w:tcBorders>
          </w:tcPr>
          <w:p w14:paraId="2C4CB9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w:t>
            </w:r>
          </w:p>
        </w:tc>
        <w:tc>
          <w:tcPr>
            <w:tcW w:w="898" w:type="dxa"/>
            <w:tcBorders>
              <w:top w:val="single" w:sz="12" w:space="0" w:color="auto"/>
            </w:tcBorders>
          </w:tcPr>
          <w:p w14:paraId="167B60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w:t>
            </w:r>
          </w:p>
        </w:tc>
        <w:tc>
          <w:tcPr>
            <w:tcW w:w="898" w:type="dxa"/>
            <w:tcBorders>
              <w:top w:val="single" w:sz="12" w:space="0" w:color="auto"/>
            </w:tcBorders>
          </w:tcPr>
          <w:p w14:paraId="16352C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w:t>
            </w:r>
          </w:p>
        </w:tc>
        <w:tc>
          <w:tcPr>
            <w:tcW w:w="898" w:type="dxa"/>
            <w:tcBorders>
              <w:top w:val="single" w:sz="12" w:space="0" w:color="auto"/>
            </w:tcBorders>
          </w:tcPr>
          <w:p w14:paraId="10F1E0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Нагр.</w:t>
            </w:r>
          </w:p>
        </w:tc>
        <w:tc>
          <w:tcPr>
            <w:tcW w:w="898" w:type="dxa"/>
            <w:tcBorders>
              <w:top w:val="single" w:sz="12" w:space="0" w:color="auto"/>
            </w:tcBorders>
          </w:tcPr>
          <w:p w14:paraId="2A3A22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Кол-во</w:t>
            </w:r>
          </w:p>
        </w:tc>
        <w:tc>
          <w:tcPr>
            <w:tcW w:w="898" w:type="dxa"/>
            <w:tcBorders>
              <w:top w:val="single" w:sz="12" w:space="0" w:color="auto"/>
            </w:tcBorders>
          </w:tcPr>
          <w:p w14:paraId="134323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w:t>
            </w:r>
          </w:p>
        </w:tc>
        <w:tc>
          <w:tcPr>
            <w:tcW w:w="898" w:type="dxa"/>
            <w:tcBorders>
              <w:top w:val="single" w:sz="12" w:space="0" w:color="auto"/>
            </w:tcBorders>
          </w:tcPr>
          <w:p w14:paraId="11B836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w:t>
            </w:r>
          </w:p>
        </w:tc>
        <w:tc>
          <w:tcPr>
            <w:tcW w:w="2596" w:type="dxa"/>
            <w:tcBorders>
              <w:top w:val="single" w:sz="12" w:space="0" w:color="auto"/>
            </w:tcBorders>
          </w:tcPr>
          <w:p w14:paraId="6313DC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1D5D6B54" w14:textId="77777777">
        <w:tc>
          <w:tcPr>
            <w:tcW w:w="1384" w:type="dxa"/>
          </w:tcPr>
          <w:p w14:paraId="7F666C9A"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176159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вариант</w:t>
            </w:r>
          </w:p>
        </w:tc>
        <w:tc>
          <w:tcPr>
            <w:tcW w:w="898" w:type="dxa"/>
          </w:tcPr>
          <w:p w14:paraId="0CB3E350"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C243D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w:t>
            </w:r>
          </w:p>
        </w:tc>
        <w:tc>
          <w:tcPr>
            <w:tcW w:w="898" w:type="dxa"/>
          </w:tcPr>
          <w:p w14:paraId="4546A5B0"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424F30EC"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3149B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пассаж./</w:t>
            </w:r>
          </w:p>
        </w:tc>
        <w:tc>
          <w:tcPr>
            <w:tcW w:w="898" w:type="dxa"/>
          </w:tcPr>
          <w:p w14:paraId="7898F9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w:t>
            </w:r>
          </w:p>
        </w:tc>
        <w:tc>
          <w:tcPr>
            <w:tcW w:w="898" w:type="dxa"/>
          </w:tcPr>
          <w:p w14:paraId="1F9B3A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w:t>
            </w:r>
          </w:p>
        </w:tc>
        <w:tc>
          <w:tcPr>
            <w:tcW w:w="2596" w:type="dxa"/>
          </w:tcPr>
          <w:p w14:paraId="2114285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E753212" w14:textId="77777777">
        <w:tc>
          <w:tcPr>
            <w:tcW w:w="1384" w:type="dxa"/>
          </w:tcPr>
          <w:p w14:paraId="23EB2C71"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1014A400"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02E44947"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0ADBE1E4"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075AB0B"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D2F8CD8"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143B0C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экипаж</w:t>
            </w:r>
          </w:p>
        </w:tc>
        <w:tc>
          <w:tcPr>
            <w:tcW w:w="898" w:type="dxa"/>
          </w:tcPr>
          <w:p w14:paraId="385A89E3"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04689855"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3BA89BF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991DF5" w14:textId="77777777">
        <w:tc>
          <w:tcPr>
            <w:tcW w:w="1384" w:type="dxa"/>
          </w:tcPr>
          <w:p w14:paraId="010EAB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Пассажирские магистральные</w:t>
            </w:r>
          </w:p>
        </w:tc>
        <w:tc>
          <w:tcPr>
            <w:tcW w:w="898" w:type="dxa"/>
          </w:tcPr>
          <w:p w14:paraId="2AD0EBEC"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BF78E1C"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3139130"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0B5CBCC"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49581BBD"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42CF834"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C3AB4DC"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339512F"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58EC5C2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12394A" w14:textId="77777777">
        <w:tc>
          <w:tcPr>
            <w:tcW w:w="1384" w:type="dxa"/>
          </w:tcPr>
          <w:p w14:paraId="531F4A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АНТ-35</w:t>
            </w:r>
          </w:p>
        </w:tc>
        <w:tc>
          <w:tcPr>
            <w:tcW w:w="898" w:type="dxa"/>
          </w:tcPr>
          <w:p w14:paraId="727E91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ББ</w:t>
            </w:r>
          </w:p>
        </w:tc>
        <w:tc>
          <w:tcPr>
            <w:tcW w:w="898" w:type="dxa"/>
          </w:tcPr>
          <w:p w14:paraId="7C9156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2К-14/</w:t>
            </w:r>
          </w:p>
        </w:tc>
        <w:tc>
          <w:tcPr>
            <w:tcW w:w="898" w:type="dxa"/>
          </w:tcPr>
          <w:p w14:paraId="6E9E44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w:t>
            </w:r>
          </w:p>
        </w:tc>
        <w:tc>
          <w:tcPr>
            <w:tcW w:w="898" w:type="dxa"/>
          </w:tcPr>
          <w:p w14:paraId="48C05D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898" w:type="dxa"/>
          </w:tcPr>
          <w:p w14:paraId="16CF08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898" w:type="dxa"/>
          </w:tcPr>
          <w:p w14:paraId="1F8722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10/2</w:t>
            </w:r>
          </w:p>
        </w:tc>
        <w:tc>
          <w:tcPr>
            <w:tcW w:w="898" w:type="dxa"/>
          </w:tcPr>
          <w:p w14:paraId="1E519A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898" w:type="dxa"/>
          </w:tcPr>
          <w:p w14:paraId="3B95AA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01.11.35</w:t>
            </w:r>
          </w:p>
        </w:tc>
        <w:tc>
          <w:tcPr>
            <w:tcW w:w="2596" w:type="dxa"/>
          </w:tcPr>
          <w:p w14:paraId="77C992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Гражд. вар. будет под ИС</w:t>
            </w:r>
          </w:p>
        </w:tc>
      </w:tr>
      <w:tr w:rsidR="00E3599D" w:rsidRPr="00E14102" w14:paraId="251A44C1" w14:textId="77777777">
        <w:tc>
          <w:tcPr>
            <w:tcW w:w="1384" w:type="dxa"/>
          </w:tcPr>
          <w:p w14:paraId="552C8BF2"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901A85E"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FA4F5BD"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6743A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2ИС</w:t>
            </w:r>
          </w:p>
        </w:tc>
        <w:tc>
          <w:tcPr>
            <w:tcW w:w="898" w:type="dxa"/>
          </w:tcPr>
          <w:p w14:paraId="23F3A2CD"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4B955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tc>
        <w:tc>
          <w:tcPr>
            <w:tcW w:w="898" w:type="dxa"/>
          </w:tcPr>
          <w:p w14:paraId="6510522D"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E2D7F09"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26F4B51"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32A9547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BB230D4" w14:textId="77777777">
        <w:tc>
          <w:tcPr>
            <w:tcW w:w="1384" w:type="dxa"/>
          </w:tcPr>
          <w:p w14:paraId="7BCC6C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СБ-39</w:t>
            </w:r>
          </w:p>
        </w:tc>
        <w:tc>
          <w:tcPr>
            <w:tcW w:w="898" w:type="dxa"/>
          </w:tcPr>
          <w:p w14:paraId="6C728E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ББ</w:t>
            </w:r>
          </w:p>
        </w:tc>
        <w:tc>
          <w:tcPr>
            <w:tcW w:w="898" w:type="dxa"/>
          </w:tcPr>
          <w:p w14:paraId="01C63A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2РЦ/</w:t>
            </w:r>
          </w:p>
        </w:tc>
        <w:tc>
          <w:tcPr>
            <w:tcW w:w="898" w:type="dxa"/>
          </w:tcPr>
          <w:p w14:paraId="2CCDA9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898" w:type="dxa"/>
          </w:tcPr>
          <w:p w14:paraId="68E96C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w:t>
            </w:r>
          </w:p>
        </w:tc>
        <w:tc>
          <w:tcPr>
            <w:tcW w:w="898" w:type="dxa"/>
          </w:tcPr>
          <w:p w14:paraId="5DEE9A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898" w:type="dxa"/>
          </w:tcPr>
          <w:p w14:paraId="25ABF5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10/2-3</w:t>
            </w:r>
          </w:p>
        </w:tc>
        <w:tc>
          <w:tcPr>
            <w:tcW w:w="898" w:type="dxa"/>
          </w:tcPr>
          <w:p w14:paraId="50FA01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898" w:type="dxa"/>
          </w:tcPr>
          <w:p w14:paraId="2221A5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01.11.35</w:t>
            </w:r>
          </w:p>
        </w:tc>
        <w:tc>
          <w:tcPr>
            <w:tcW w:w="2596" w:type="dxa"/>
          </w:tcPr>
          <w:p w14:paraId="7FE914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 строят под К-14, а гр.</w:t>
            </w:r>
          </w:p>
        </w:tc>
      </w:tr>
      <w:tr w:rsidR="00E3599D" w:rsidRPr="00E14102" w14:paraId="3DF61465" w14:textId="77777777">
        <w:tc>
          <w:tcPr>
            <w:tcW w:w="1384" w:type="dxa"/>
          </w:tcPr>
          <w:p w14:paraId="6E07F839"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42CAA049"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273FA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2К-14</w:t>
            </w:r>
          </w:p>
        </w:tc>
        <w:tc>
          <w:tcPr>
            <w:tcW w:w="898" w:type="dxa"/>
          </w:tcPr>
          <w:p w14:paraId="666B00A4"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2047B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1700</w:t>
            </w:r>
          </w:p>
        </w:tc>
        <w:tc>
          <w:tcPr>
            <w:tcW w:w="898" w:type="dxa"/>
          </w:tcPr>
          <w:p w14:paraId="70F75BBF"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C8790C4"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7C99C13"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C755BD1"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6D5055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д.б. под РЦ и скорость сниз.</w:t>
            </w:r>
          </w:p>
        </w:tc>
      </w:tr>
      <w:tr w:rsidR="00E3599D" w:rsidRPr="00E14102" w14:paraId="4006D90C" w14:textId="77777777">
        <w:tc>
          <w:tcPr>
            <w:tcW w:w="1384" w:type="dxa"/>
          </w:tcPr>
          <w:p w14:paraId="24792D5A"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7CD942F"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04BABBA6"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0ABD8A5A"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4715745"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B2DAADD"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1200ADFD"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F1F843F"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7214DB6"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13AF1D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370 км/час</w:t>
            </w:r>
          </w:p>
        </w:tc>
      </w:tr>
      <w:tr w:rsidR="00E3599D" w:rsidRPr="00E14102" w14:paraId="59644F52" w14:textId="77777777">
        <w:tc>
          <w:tcPr>
            <w:tcW w:w="1384" w:type="dxa"/>
          </w:tcPr>
          <w:p w14:paraId="61C16D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Сталь-7</w:t>
            </w:r>
          </w:p>
        </w:tc>
        <w:tc>
          <w:tcPr>
            <w:tcW w:w="898" w:type="dxa"/>
          </w:tcPr>
          <w:p w14:paraId="549D9C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ББ</w:t>
            </w:r>
          </w:p>
        </w:tc>
        <w:tc>
          <w:tcPr>
            <w:tcW w:w="898" w:type="dxa"/>
          </w:tcPr>
          <w:p w14:paraId="3D83E4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2ИС</w:t>
            </w:r>
          </w:p>
        </w:tc>
        <w:tc>
          <w:tcPr>
            <w:tcW w:w="898" w:type="dxa"/>
          </w:tcPr>
          <w:p w14:paraId="07E167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370</w:t>
            </w:r>
          </w:p>
        </w:tc>
        <w:tc>
          <w:tcPr>
            <w:tcW w:w="898" w:type="dxa"/>
          </w:tcPr>
          <w:p w14:paraId="6D44D1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1400/</w:t>
            </w:r>
          </w:p>
        </w:tc>
        <w:tc>
          <w:tcPr>
            <w:tcW w:w="898" w:type="dxa"/>
          </w:tcPr>
          <w:p w14:paraId="041DAE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w:t>
            </w:r>
          </w:p>
        </w:tc>
        <w:tc>
          <w:tcPr>
            <w:tcW w:w="898" w:type="dxa"/>
          </w:tcPr>
          <w:p w14:paraId="01CE24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12/2</w:t>
            </w:r>
          </w:p>
        </w:tc>
        <w:tc>
          <w:tcPr>
            <w:tcW w:w="898" w:type="dxa"/>
          </w:tcPr>
          <w:p w14:paraId="5C60FC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СНИИ</w:t>
            </w:r>
          </w:p>
        </w:tc>
        <w:tc>
          <w:tcPr>
            <w:tcW w:w="898" w:type="dxa"/>
          </w:tcPr>
          <w:p w14:paraId="0FB903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01.11.35</w:t>
            </w:r>
          </w:p>
        </w:tc>
        <w:tc>
          <w:tcPr>
            <w:tcW w:w="2596" w:type="dxa"/>
          </w:tcPr>
          <w:p w14:paraId="47CB32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 и под 2М-17 и сними</w:t>
            </w:r>
          </w:p>
        </w:tc>
      </w:tr>
      <w:tr w:rsidR="00E3599D" w:rsidRPr="00E14102" w14:paraId="0945B6C7" w14:textId="77777777">
        <w:tc>
          <w:tcPr>
            <w:tcW w:w="1384" w:type="dxa"/>
          </w:tcPr>
          <w:p w14:paraId="7843DE45"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EB2E2F8"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0FBA1F23"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249296D"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BC71E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1800</w:t>
            </w:r>
          </w:p>
        </w:tc>
        <w:tc>
          <w:tcPr>
            <w:tcW w:w="898" w:type="dxa"/>
          </w:tcPr>
          <w:p w14:paraId="20F48C97"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0C23DAB"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16C4A7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ГВФ</w:t>
            </w:r>
          </w:p>
        </w:tc>
        <w:tc>
          <w:tcPr>
            <w:tcW w:w="898" w:type="dxa"/>
          </w:tcPr>
          <w:p w14:paraId="115BE127"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0CD959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будет вып. в первую очередь</w:t>
            </w:r>
          </w:p>
        </w:tc>
      </w:tr>
      <w:tr w:rsidR="00E3599D" w:rsidRPr="00E14102" w14:paraId="6CA45EBD" w14:textId="77777777">
        <w:tc>
          <w:tcPr>
            <w:tcW w:w="1384" w:type="dxa"/>
          </w:tcPr>
          <w:p w14:paraId="5281A5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ЗИГ-2</w:t>
            </w:r>
          </w:p>
        </w:tc>
        <w:tc>
          <w:tcPr>
            <w:tcW w:w="898" w:type="dxa"/>
          </w:tcPr>
          <w:p w14:paraId="52A56C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трансп.</w:t>
            </w:r>
          </w:p>
        </w:tc>
        <w:tc>
          <w:tcPr>
            <w:tcW w:w="898" w:type="dxa"/>
          </w:tcPr>
          <w:p w14:paraId="2F2E9B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2М-34</w:t>
            </w:r>
          </w:p>
        </w:tc>
        <w:tc>
          <w:tcPr>
            <w:tcW w:w="898" w:type="dxa"/>
          </w:tcPr>
          <w:p w14:paraId="2A17A9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898" w:type="dxa"/>
          </w:tcPr>
          <w:p w14:paraId="68DD92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898" w:type="dxa"/>
          </w:tcPr>
          <w:p w14:paraId="1755AF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w:t>
            </w:r>
          </w:p>
        </w:tc>
        <w:tc>
          <w:tcPr>
            <w:tcW w:w="898" w:type="dxa"/>
          </w:tcPr>
          <w:p w14:paraId="4D45D9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12/2</w:t>
            </w:r>
          </w:p>
        </w:tc>
        <w:tc>
          <w:tcPr>
            <w:tcW w:w="898" w:type="dxa"/>
          </w:tcPr>
          <w:p w14:paraId="0BA6E3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w:t>
            </w:r>
          </w:p>
        </w:tc>
        <w:tc>
          <w:tcPr>
            <w:tcW w:w="898" w:type="dxa"/>
          </w:tcPr>
          <w:p w14:paraId="1C693D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96" w:type="dxa"/>
          </w:tcPr>
          <w:p w14:paraId="0C77D7F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05F56FC" w14:textId="77777777">
        <w:tc>
          <w:tcPr>
            <w:tcW w:w="1384" w:type="dxa"/>
          </w:tcPr>
          <w:p w14:paraId="78D374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Почтово-пассажирские</w:t>
            </w:r>
          </w:p>
        </w:tc>
        <w:tc>
          <w:tcPr>
            <w:tcW w:w="898" w:type="dxa"/>
          </w:tcPr>
          <w:p w14:paraId="631E500C"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1CF1D61F"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04B01D1C"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3597756"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4A4418F9"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17EF6AE"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ECA2C1A"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D0AD8CE"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042C3E5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5981DD3" w14:textId="77777777">
        <w:tc>
          <w:tcPr>
            <w:tcW w:w="1384" w:type="dxa"/>
          </w:tcPr>
          <w:p w14:paraId="5498C5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Сталь-11</w:t>
            </w:r>
          </w:p>
        </w:tc>
        <w:tc>
          <w:tcPr>
            <w:tcW w:w="898" w:type="dxa"/>
          </w:tcPr>
          <w:p w14:paraId="03E95B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развед.</w:t>
            </w:r>
          </w:p>
        </w:tc>
        <w:tc>
          <w:tcPr>
            <w:tcW w:w="898" w:type="dxa"/>
          </w:tcPr>
          <w:p w14:paraId="2A76C4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w:t>
            </w:r>
          </w:p>
        </w:tc>
        <w:tc>
          <w:tcPr>
            <w:tcW w:w="898" w:type="dxa"/>
          </w:tcPr>
          <w:p w14:paraId="294DA2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430</w:t>
            </w:r>
          </w:p>
        </w:tc>
        <w:tc>
          <w:tcPr>
            <w:tcW w:w="898" w:type="dxa"/>
          </w:tcPr>
          <w:p w14:paraId="2251F5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1300</w:t>
            </w:r>
          </w:p>
        </w:tc>
        <w:tc>
          <w:tcPr>
            <w:tcW w:w="898" w:type="dxa"/>
          </w:tcPr>
          <w:p w14:paraId="3D3A7E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550</w:t>
            </w:r>
          </w:p>
        </w:tc>
        <w:tc>
          <w:tcPr>
            <w:tcW w:w="898" w:type="dxa"/>
          </w:tcPr>
          <w:p w14:paraId="0817B8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w:t>
            </w:r>
          </w:p>
        </w:tc>
        <w:tc>
          <w:tcPr>
            <w:tcW w:w="898" w:type="dxa"/>
          </w:tcPr>
          <w:p w14:paraId="110B2F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81</w:t>
            </w:r>
          </w:p>
        </w:tc>
        <w:tc>
          <w:tcPr>
            <w:tcW w:w="898" w:type="dxa"/>
          </w:tcPr>
          <w:p w14:paraId="7530BF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01.10.35</w:t>
            </w:r>
          </w:p>
        </w:tc>
        <w:tc>
          <w:tcPr>
            <w:tcW w:w="2596" w:type="dxa"/>
          </w:tcPr>
          <w:p w14:paraId="6A3F33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воен. вар. - СР</w:t>
            </w:r>
          </w:p>
        </w:tc>
      </w:tr>
      <w:tr w:rsidR="00E3599D" w:rsidRPr="00E14102" w14:paraId="78B34FA6" w14:textId="77777777">
        <w:tc>
          <w:tcPr>
            <w:tcW w:w="1384" w:type="dxa"/>
          </w:tcPr>
          <w:p w14:paraId="07BCF608"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737443B"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1E417589"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046C40A"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45DB811C"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10F4E1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898" w:type="dxa"/>
          </w:tcPr>
          <w:p w14:paraId="1D8DB5EC"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088D581"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C73AD98"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7CD7AA7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74D5AEE" w14:textId="77777777">
        <w:tc>
          <w:tcPr>
            <w:tcW w:w="1384" w:type="dxa"/>
          </w:tcPr>
          <w:p w14:paraId="12038A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ПП-1</w:t>
            </w:r>
          </w:p>
        </w:tc>
        <w:tc>
          <w:tcPr>
            <w:tcW w:w="898" w:type="dxa"/>
          </w:tcPr>
          <w:p w14:paraId="2CF702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 и тр.</w:t>
            </w:r>
          </w:p>
        </w:tc>
        <w:tc>
          <w:tcPr>
            <w:tcW w:w="898" w:type="dxa"/>
          </w:tcPr>
          <w:p w14:paraId="1B3010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РЦ/К-9</w:t>
            </w:r>
          </w:p>
        </w:tc>
        <w:tc>
          <w:tcPr>
            <w:tcW w:w="898" w:type="dxa"/>
          </w:tcPr>
          <w:p w14:paraId="1DED5F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380</w:t>
            </w:r>
          </w:p>
        </w:tc>
        <w:tc>
          <w:tcPr>
            <w:tcW w:w="898" w:type="dxa"/>
          </w:tcPr>
          <w:p w14:paraId="368571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900</w:t>
            </w:r>
          </w:p>
        </w:tc>
        <w:tc>
          <w:tcPr>
            <w:tcW w:w="898" w:type="dxa"/>
          </w:tcPr>
          <w:p w14:paraId="387208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898" w:type="dxa"/>
          </w:tcPr>
          <w:p w14:paraId="09B8C1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6/2</w:t>
            </w:r>
          </w:p>
        </w:tc>
        <w:tc>
          <w:tcPr>
            <w:tcW w:w="898" w:type="dxa"/>
          </w:tcPr>
          <w:p w14:paraId="0FDA23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СНИИ</w:t>
            </w:r>
          </w:p>
        </w:tc>
        <w:tc>
          <w:tcPr>
            <w:tcW w:w="898" w:type="dxa"/>
          </w:tcPr>
          <w:p w14:paraId="3EA391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96" w:type="dxa"/>
          </w:tcPr>
          <w:p w14:paraId="240462C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838016B" w14:textId="77777777">
        <w:tc>
          <w:tcPr>
            <w:tcW w:w="1384" w:type="dxa"/>
          </w:tcPr>
          <w:p w14:paraId="4DA64DFA"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000A50C8"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6C9BDC8"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482732E"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B8984CD"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5B88531"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2DA5EAD"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E6EDD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ГВФ</w:t>
            </w:r>
          </w:p>
        </w:tc>
        <w:tc>
          <w:tcPr>
            <w:tcW w:w="898" w:type="dxa"/>
          </w:tcPr>
          <w:p w14:paraId="7E2DA81E"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3897878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11CB1FF" w14:textId="77777777">
        <w:tc>
          <w:tcPr>
            <w:tcW w:w="1384" w:type="dxa"/>
          </w:tcPr>
          <w:p w14:paraId="079B2D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Линейные краевой</w:t>
            </w:r>
          </w:p>
        </w:tc>
        <w:tc>
          <w:tcPr>
            <w:tcW w:w="898" w:type="dxa"/>
          </w:tcPr>
          <w:p w14:paraId="672D7A37"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6B66D57"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F8D88E2"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3C91D9E"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582163C"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A9BBB7C"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3746D06"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44874503"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146F690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792EB52" w14:textId="77777777">
        <w:tc>
          <w:tcPr>
            <w:tcW w:w="1384" w:type="dxa"/>
          </w:tcPr>
          <w:p w14:paraId="14E53A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ДКЛ-1</w:t>
            </w:r>
          </w:p>
        </w:tc>
        <w:tc>
          <w:tcPr>
            <w:tcW w:w="898" w:type="dxa"/>
          </w:tcPr>
          <w:p w14:paraId="39045F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тран. и штаб.</w:t>
            </w:r>
          </w:p>
        </w:tc>
        <w:tc>
          <w:tcPr>
            <w:tcW w:w="898" w:type="dxa"/>
          </w:tcPr>
          <w:p w14:paraId="77C742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2МГ-31</w:t>
            </w:r>
          </w:p>
        </w:tc>
        <w:tc>
          <w:tcPr>
            <w:tcW w:w="898" w:type="dxa"/>
          </w:tcPr>
          <w:p w14:paraId="325360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320</w:t>
            </w:r>
          </w:p>
        </w:tc>
        <w:tc>
          <w:tcPr>
            <w:tcW w:w="898" w:type="dxa"/>
          </w:tcPr>
          <w:p w14:paraId="43A9AB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898" w:type="dxa"/>
          </w:tcPr>
          <w:p w14:paraId="5F250C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898" w:type="dxa"/>
          </w:tcPr>
          <w:p w14:paraId="2B5554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6/2</w:t>
            </w:r>
          </w:p>
        </w:tc>
        <w:tc>
          <w:tcPr>
            <w:tcW w:w="898" w:type="dxa"/>
          </w:tcPr>
          <w:p w14:paraId="03A958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КАИ</w:t>
            </w:r>
          </w:p>
        </w:tc>
        <w:tc>
          <w:tcPr>
            <w:tcW w:w="898" w:type="dxa"/>
          </w:tcPr>
          <w:p w14:paraId="12BADF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01.08.36</w:t>
            </w:r>
          </w:p>
        </w:tc>
        <w:tc>
          <w:tcPr>
            <w:tcW w:w="2596" w:type="dxa"/>
          </w:tcPr>
          <w:p w14:paraId="260DB98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B9888C7" w14:textId="77777777">
        <w:tc>
          <w:tcPr>
            <w:tcW w:w="1384" w:type="dxa"/>
          </w:tcPr>
          <w:p w14:paraId="5A5A97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Грузовые</w:t>
            </w:r>
          </w:p>
        </w:tc>
        <w:tc>
          <w:tcPr>
            <w:tcW w:w="898" w:type="dxa"/>
          </w:tcPr>
          <w:p w14:paraId="6085674D"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8D8DD1F"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2A7DA89"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C777F60"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F5E7C43"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6D1EFE2"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EEC66E6"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E346F6E"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2CA39BB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2B27E94" w14:textId="77777777">
        <w:tc>
          <w:tcPr>
            <w:tcW w:w="1384" w:type="dxa"/>
          </w:tcPr>
          <w:p w14:paraId="45C40B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8. ДБ</w:t>
            </w:r>
          </w:p>
        </w:tc>
        <w:tc>
          <w:tcPr>
            <w:tcW w:w="898" w:type="dxa"/>
          </w:tcPr>
          <w:p w14:paraId="0D0BDC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w:t>
            </w:r>
          </w:p>
        </w:tc>
        <w:tc>
          <w:tcPr>
            <w:tcW w:w="898" w:type="dxa"/>
          </w:tcPr>
          <w:p w14:paraId="1B085F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4М-34</w:t>
            </w:r>
          </w:p>
        </w:tc>
        <w:tc>
          <w:tcPr>
            <w:tcW w:w="898" w:type="dxa"/>
          </w:tcPr>
          <w:p w14:paraId="2B440A2A"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C46B93C"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03D13AD"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228CECD"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2929186"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BE58FAD"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60C5E3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машина военного варианта используется для ГВФ без переделок</w:t>
            </w:r>
          </w:p>
        </w:tc>
      </w:tr>
      <w:tr w:rsidR="00E3599D" w:rsidRPr="00E14102" w14:paraId="66F49EA4" w14:textId="77777777">
        <w:tc>
          <w:tcPr>
            <w:tcW w:w="1384" w:type="dxa"/>
          </w:tcPr>
          <w:p w14:paraId="34AEAD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Спецприменения и местной связи</w:t>
            </w:r>
          </w:p>
        </w:tc>
        <w:tc>
          <w:tcPr>
            <w:tcW w:w="898" w:type="dxa"/>
          </w:tcPr>
          <w:p w14:paraId="2C35DCFB"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96B4FEB"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14E5AFD5"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4A974077"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790F704"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F610980"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48B6646B"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18372C86"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17B3C76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F1E17C6" w14:textId="77777777">
        <w:tc>
          <w:tcPr>
            <w:tcW w:w="1384" w:type="dxa"/>
          </w:tcPr>
          <w:p w14:paraId="5176E1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СХ</w:t>
            </w:r>
          </w:p>
        </w:tc>
        <w:tc>
          <w:tcPr>
            <w:tcW w:w="898" w:type="dxa"/>
          </w:tcPr>
          <w:p w14:paraId="58B8C9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w:t>
            </w:r>
          </w:p>
        </w:tc>
        <w:tc>
          <w:tcPr>
            <w:tcW w:w="898" w:type="dxa"/>
          </w:tcPr>
          <w:p w14:paraId="4407B8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МГ-31</w:t>
            </w:r>
          </w:p>
        </w:tc>
        <w:tc>
          <w:tcPr>
            <w:tcW w:w="898" w:type="dxa"/>
          </w:tcPr>
          <w:p w14:paraId="77332B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200/260</w:t>
            </w:r>
          </w:p>
        </w:tc>
        <w:tc>
          <w:tcPr>
            <w:tcW w:w="898" w:type="dxa"/>
          </w:tcPr>
          <w:p w14:paraId="0105F6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898" w:type="dxa"/>
          </w:tcPr>
          <w:p w14:paraId="5CD9A8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600/400</w:t>
            </w:r>
          </w:p>
        </w:tc>
        <w:tc>
          <w:tcPr>
            <w:tcW w:w="898" w:type="dxa"/>
          </w:tcPr>
          <w:p w14:paraId="251D7A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0/2</w:t>
            </w:r>
          </w:p>
        </w:tc>
        <w:tc>
          <w:tcPr>
            <w:tcW w:w="898" w:type="dxa"/>
          </w:tcPr>
          <w:p w14:paraId="770040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ОКБ</w:t>
            </w:r>
          </w:p>
        </w:tc>
        <w:tc>
          <w:tcPr>
            <w:tcW w:w="898" w:type="dxa"/>
          </w:tcPr>
          <w:p w14:paraId="5FA876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96" w:type="dxa"/>
          </w:tcPr>
          <w:p w14:paraId="5CDF57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исп. в мертвые сезоны</w:t>
            </w:r>
          </w:p>
        </w:tc>
      </w:tr>
      <w:tr w:rsidR="00E3599D" w:rsidRPr="00E14102" w14:paraId="3816B0BE" w14:textId="77777777">
        <w:tc>
          <w:tcPr>
            <w:tcW w:w="1384" w:type="dxa"/>
          </w:tcPr>
          <w:p w14:paraId="40830D20"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E9B6AC0"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B5B37B2"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5746986"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E012CEB"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4E251B25"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008F4A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w:t>
            </w:r>
          </w:p>
        </w:tc>
        <w:tc>
          <w:tcPr>
            <w:tcW w:w="898" w:type="dxa"/>
          </w:tcPr>
          <w:p w14:paraId="141FB9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ЛИИ</w:t>
            </w:r>
          </w:p>
        </w:tc>
        <w:tc>
          <w:tcPr>
            <w:tcW w:w="898" w:type="dxa"/>
          </w:tcPr>
          <w:p w14:paraId="202CF35F"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778157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имеет 2 назначения - с/х и</w:t>
            </w:r>
          </w:p>
        </w:tc>
      </w:tr>
      <w:tr w:rsidR="00E3599D" w:rsidRPr="00E14102" w14:paraId="42D5B122" w14:textId="77777777">
        <w:tc>
          <w:tcPr>
            <w:tcW w:w="1384" w:type="dxa"/>
          </w:tcPr>
          <w:p w14:paraId="59874D80"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6B51798"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C56F1DE"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0E89AEB6"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3004685"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4C9E4451"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EAFB5C2"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5DCC7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ГВФ</w:t>
            </w:r>
          </w:p>
        </w:tc>
        <w:tc>
          <w:tcPr>
            <w:tcW w:w="898" w:type="dxa"/>
          </w:tcPr>
          <w:p w14:paraId="61E2C0DA"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530D5D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пассажирское</w:t>
            </w:r>
          </w:p>
        </w:tc>
      </w:tr>
      <w:tr w:rsidR="00E3599D" w:rsidRPr="00E14102" w14:paraId="558BF92E" w14:textId="77777777">
        <w:tc>
          <w:tcPr>
            <w:tcW w:w="1384" w:type="dxa"/>
          </w:tcPr>
          <w:p w14:paraId="1AF94F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МП-2</w:t>
            </w:r>
          </w:p>
        </w:tc>
        <w:tc>
          <w:tcPr>
            <w:tcW w:w="898" w:type="dxa"/>
          </w:tcPr>
          <w:p w14:paraId="69754F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связь</w:t>
            </w:r>
          </w:p>
        </w:tc>
        <w:tc>
          <w:tcPr>
            <w:tcW w:w="898" w:type="dxa"/>
          </w:tcPr>
          <w:p w14:paraId="5486C1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МГ-21</w:t>
            </w:r>
          </w:p>
        </w:tc>
        <w:tc>
          <w:tcPr>
            <w:tcW w:w="898" w:type="dxa"/>
          </w:tcPr>
          <w:p w14:paraId="50ADFC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210</w:t>
            </w:r>
          </w:p>
        </w:tc>
        <w:tc>
          <w:tcPr>
            <w:tcW w:w="898" w:type="dxa"/>
          </w:tcPr>
          <w:p w14:paraId="3DB789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898" w:type="dxa"/>
          </w:tcPr>
          <w:p w14:paraId="451933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w:t>
            </w:r>
          </w:p>
        </w:tc>
        <w:tc>
          <w:tcPr>
            <w:tcW w:w="898" w:type="dxa"/>
          </w:tcPr>
          <w:p w14:paraId="72E0E6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898" w:type="dxa"/>
          </w:tcPr>
          <w:p w14:paraId="38EAC3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ОКБ</w:t>
            </w:r>
          </w:p>
        </w:tc>
        <w:tc>
          <w:tcPr>
            <w:tcW w:w="898" w:type="dxa"/>
          </w:tcPr>
          <w:p w14:paraId="21583B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96" w:type="dxa"/>
          </w:tcPr>
          <w:p w14:paraId="50F4AC8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5A35965" w14:textId="77777777">
        <w:tc>
          <w:tcPr>
            <w:tcW w:w="1384" w:type="dxa"/>
          </w:tcPr>
          <w:p w14:paraId="75E34BC0"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BDDF020"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C51BA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(М-48)</w:t>
            </w:r>
          </w:p>
        </w:tc>
        <w:tc>
          <w:tcPr>
            <w:tcW w:w="898" w:type="dxa"/>
          </w:tcPr>
          <w:p w14:paraId="666676B7"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03E545E4"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0DB6F587"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EF5EA46"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B295C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ЛИИ</w:t>
            </w:r>
          </w:p>
        </w:tc>
        <w:tc>
          <w:tcPr>
            <w:tcW w:w="898" w:type="dxa"/>
          </w:tcPr>
          <w:p w14:paraId="7CBCD8F3"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73DBE31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20B4033" w14:textId="77777777">
        <w:tc>
          <w:tcPr>
            <w:tcW w:w="1384" w:type="dxa"/>
          </w:tcPr>
          <w:p w14:paraId="76A95D84"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A758B62"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A71274F"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11FDF372"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671058C"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48EEC159"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0A7C45FB"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C956F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ГУАП</w:t>
            </w:r>
          </w:p>
        </w:tc>
        <w:tc>
          <w:tcPr>
            <w:tcW w:w="898" w:type="dxa"/>
          </w:tcPr>
          <w:p w14:paraId="6BD2EAEA"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158B09F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2F1EBB1" w14:textId="77777777">
        <w:tc>
          <w:tcPr>
            <w:tcW w:w="1384" w:type="dxa"/>
          </w:tcPr>
          <w:p w14:paraId="54AA9FB8"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0BE42B7"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0E123D67"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CCA4081"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6197586"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9BE5572"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5E0BFFE"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A325B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А.С.Я.</w:t>
            </w:r>
          </w:p>
        </w:tc>
        <w:tc>
          <w:tcPr>
            <w:tcW w:w="898" w:type="dxa"/>
          </w:tcPr>
          <w:p w14:paraId="68E74AA2"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0C2718D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BCBEF34" w14:textId="77777777">
        <w:tc>
          <w:tcPr>
            <w:tcW w:w="1384" w:type="dxa"/>
          </w:tcPr>
          <w:p w14:paraId="25EBC6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Автожир</w:t>
            </w:r>
          </w:p>
        </w:tc>
        <w:tc>
          <w:tcPr>
            <w:tcW w:w="898" w:type="dxa"/>
          </w:tcPr>
          <w:p w14:paraId="612A4D13"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EDBBD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К-9/РЦ</w:t>
            </w:r>
          </w:p>
        </w:tc>
        <w:tc>
          <w:tcPr>
            <w:tcW w:w="898" w:type="dxa"/>
          </w:tcPr>
          <w:p w14:paraId="3EFECB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898" w:type="dxa"/>
          </w:tcPr>
          <w:p w14:paraId="4FC549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898" w:type="dxa"/>
          </w:tcPr>
          <w:p w14:paraId="5E97F6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898" w:type="dxa"/>
          </w:tcPr>
          <w:p w14:paraId="06CB81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w:t>
            </w:r>
          </w:p>
        </w:tc>
        <w:tc>
          <w:tcPr>
            <w:tcW w:w="898" w:type="dxa"/>
          </w:tcPr>
          <w:p w14:paraId="484329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898" w:type="dxa"/>
          </w:tcPr>
          <w:p w14:paraId="53A852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01.10.36</w:t>
            </w:r>
          </w:p>
        </w:tc>
        <w:tc>
          <w:tcPr>
            <w:tcW w:w="2596" w:type="dxa"/>
          </w:tcPr>
          <w:p w14:paraId="7B684FD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27F163B" w14:textId="77777777">
        <w:tc>
          <w:tcPr>
            <w:tcW w:w="1384" w:type="dxa"/>
          </w:tcPr>
          <w:p w14:paraId="09A480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Гидросамолеты</w:t>
            </w:r>
          </w:p>
        </w:tc>
        <w:tc>
          <w:tcPr>
            <w:tcW w:w="898" w:type="dxa"/>
          </w:tcPr>
          <w:p w14:paraId="06EB032A"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00E52074"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11AAC79"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7578FDA"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53660CE"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22CAB08"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6AA36D6"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B067CFE"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02F6008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912987A" w14:textId="77777777">
        <w:tc>
          <w:tcPr>
            <w:tcW w:w="1384" w:type="dxa"/>
          </w:tcPr>
          <w:p w14:paraId="5084B1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АРК-3</w:t>
            </w:r>
          </w:p>
        </w:tc>
        <w:tc>
          <w:tcPr>
            <w:tcW w:w="898" w:type="dxa"/>
          </w:tcPr>
          <w:p w14:paraId="0D9855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МДР-6</w:t>
            </w:r>
          </w:p>
        </w:tc>
        <w:tc>
          <w:tcPr>
            <w:tcW w:w="898" w:type="dxa"/>
          </w:tcPr>
          <w:p w14:paraId="280F4F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2РЦ</w:t>
            </w:r>
          </w:p>
        </w:tc>
        <w:tc>
          <w:tcPr>
            <w:tcW w:w="898" w:type="dxa"/>
          </w:tcPr>
          <w:p w14:paraId="6E7B6A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w:t>
            </w:r>
          </w:p>
        </w:tc>
        <w:tc>
          <w:tcPr>
            <w:tcW w:w="898" w:type="dxa"/>
          </w:tcPr>
          <w:p w14:paraId="0FA924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898" w:type="dxa"/>
          </w:tcPr>
          <w:p w14:paraId="66F57B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898" w:type="dxa"/>
          </w:tcPr>
          <w:p w14:paraId="728DE6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10/2</w:t>
            </w:r>
          </w:p>
        </w:tc>
        <w:tc>
          <w:tcPr>
            <w:tcW w:w="898" w:type="dxa"/>
          </w:tcPr>
          <w:p w14:paraId="48D898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СНИИ</w:t>
            </w:r>
          </w:p>
        </w:tc>
        <w:tc>
          <w:tcPr>
            <w:tcW w:w="898" w:type="dxa"/>
          </w:tcPr>
          <w:p w14:paraId="3854C7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02.07.35</w:t>
            </w:r>
          </w:p>
        </w:tc>
        <w:tc>
          <w:tcPr>
            <w:tcW w:w="2596" w:type="dxa"/>
          </w:tcPr>
          <w:p w14:paraId="276CEED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640324" w14:textId="77777777">
        <w:tc>
          <w:tcPr>
            <w:tcW w:w="1384" w:type="dxa"/>
          </w:tcPr>
          <w:p w14:paraId="79703DE8"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203F952"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4D80AB5C"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C3AC9D4"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65DA8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898" w:type="dxa"/>
          </w:tcPr>
          <w:p w14:paraId="6227516F"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196C0364"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FCAD4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ГВФ</w:t>
            </w:r>
          </w:p>
        </w:tc>
        <w:tc>
          <w:tcPr>
            <w:tcW w:w="898" w:type="dxa"/>
          </w:tcPr>
          <w:p w14:paraId="034D6696"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4B65406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2D816DE" w14:textId="77777777">
        <w:tc>
          <w:tcPr>
            <w:tcW w:w="1384" w:type="dxa"/>
          </w:tcPr>
          <w:p w14:paraId="45D93925"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9721BB4"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99DAB5E"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0C43353"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1F1F2DB"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19FEB77E"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BD220E2"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7445C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898" w:type="dxa"/>
          </w:tcPr>
          <w:p w14:paraId="049262DB"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7EE719D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F26B0D1" w14:textId="77777777">
        <w:tc>
          <w:tcPr>
            <w:tcW w:w="1384" w:type="dxa"/>
          </w:tcPr>
          <w:p w14:paraId="36F205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АНТ-27</w:t>
            </w:r>
          </w:p>
        </w:tc>
        <w:tc>
          <w:tcPr>
            <w:tcW w:w="898" w:type="dxa"/>
          </w:tcPr>
          <w:p w14:paraId="7DCC20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w:t>
            </w:r>
          </w:p>
        </w:tc>
        <w:tc>
          <w:tcPr>
            <w:tcW w:w="898" w:type="dxa"/>
          </w:tcPr>
          <w:p w14:paraId="1B0DB8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3М-34</w:t>
            </w:r>
          </w:p>
        </w:tc>
        <w:tc>
          <w:tcPr>
            <w:tcW w:w="898" w:type="dxa"/>
          </w:tcPr>
          <w:p w14:paraId="786B0C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непосред. приспос. воен. вар</w:t>
            </w:r>
          </w:p>
        </w:tc>
        <w:tc>
          <w:tcPr>
            <w:tcW w:w="898" w:type="dxa"/>
          </w:tcPr>
          <w:p w14:paraId="3DC92903"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93729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898" w:type="dxa"/>
          </w:tcPr>
          <w:p w14:paraId="044157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мес. после</w:t>
            </w:r>
          </w:p>
        </w:tc>
        <w:tc>
          <w:tcPr>
            <w:tcW w:w="898" w:type="dxa"/>
          </w:tcPr>
          <w:p w14:paraId="59CB22FC"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10A0E89"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59DC9AA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B98C706" w14:textId="77777777">
        <w:tc>
          <w:tcPr>
            <w:tcW w:w="1384" w:type="dxa"/>
          </w:tcPr>
          <w:p w14:paraId="0A5A3731"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4204109E"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30FE519E"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78DFA89"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0CD10EF9"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4B381895"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4213F9D3"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1363EA7F"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B27D19D"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41A17F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 серии</w:t>
            </w:r>
          </w:p>
        </w:tc>
      </w:tr>
      <w:tr w:rsidR="00E3599D" w:rsidRPr="00E14102" w14:paraId="418CACA8" w14:textId="77777777">
        <w:tc>
          <w:tcPr>
            <w:tcW w:w="1384" w:type="dxa"/>
          </w:tcPr>
          <w:p w14:paraId="5F181D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АНТ-44</w:t>
            </w:r>
          </w:p>
        </w:tc>
        <w:tc>
          <w:tcPr>
            <w:tcW w:w="898" w:type="dxa"/>
          </w:tcPr>
          <w:p w14:paraId="3B3750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МТБ-2</w:t>
            </w:r>
          </w:p>
        </w:tc>
        <w:tc>
          <w:tcPr>
            <w:tcW w:w="898" w:type="dxa"/>
          </w:tcPr>
          <w:p w14:paraId="540FE3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4К-14</w:t>
            </w:r>
          </w:p>
        </w:tc>
        <w:tc>
          <w:tcPr>
            <w:tcW w:w="898" w:type="dxa"/>
          </w:tcPr>
          <w:p w14:paraId="009A5D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898" w:type="dxa"/>
          </w:tcPr>
          <w:p w14:paraId="3CF5CB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898" w:type="dxa"/>
          </w:tcPr>
          <w:p w14:paraId="3C92E8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898" w:type="dxa"/>
          </w:tcPr>
          <w:p w14:paraId="6AE81D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16/3</w:t>
            </w:r>
          </w:p>
        </w:tc>
        <w:tc>
          <w:tcPr>
            <w:tcW w:w="898" w:type="dxa"/>
          </w:tcPr>
          <w:p w14:paraId="65C69D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898" w:type="dxa"/>
          </w:tcPr>
          <w:p w14:paraId="0FA3B7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96" w:type="dxa"/>
          </w:tcPr>
          <w:p w14:paraId="16C93F4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C234B1" w14:textId="77777777">
        <w:tc>
          <w:tcPr>
            <w:tcW w:w="1384" w:type="dxa"/>
          </w:tcPr>
          <w:p w14:paraId="4CC86F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ТА (тр. амф.)</w:t>
            </w:r>
          </w:p>
        </w:tc>
        <w:tc>
          <w:tcPr>
            <w:tcW w:w="898" w:type="dxa"/>
          </w:tcPr>
          <w:p w14:paraId="405D78B2"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CEC27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2МГ-31</w:t>
            </w:r>
          </w:p>
        </w:tc>
        <w:tc>
          <w:tcPr>
            <w:tcW w:w="898" w:type="dxa"/>
          </w:tcPr>
          <w:p w14:paraId="6ABC9C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w:t>
            </w:r>
          </w:p>
        </w:tc>
        <w:tc>
          <w:tcPr>
            <w:tcW w:w="898" w:type="dxa"/>
          </w:tcPr>
          <w:p w14:paraId="60D19D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898" w:type="dxa"/>
          </w:tcPr>
          <w:p w14:paraId="649C25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898" w:type="dxa"/>
          </w:tcPr>
          <w:p w14:paraId="554697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w:t>
            </w:r>
          </w:p>
        </w:tc>
        <w:tc>
          <w:tcPr>
            <w:tcW w:w="898" w:type="dxa"/>
          </w:tcPr>
          <w:p w14:paraId="102B13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898" w:type="dxa"/>
          </w:tcPr>
          <w:p w14:paraId="5FA825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01.06.36</w:t>
            </w:r>
          </w:p>
        </w:tc>
        <w:tc>
          <w:tcPr>
            <w:tcW w:w="2596" w:type="dxa"/>
          </w:tcPr>
          <w:p w14:paraId="50C0928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B0F9FA6" w14:textId="77777777">
        <w:tc>
          <w:tcPr>
            <w:tcW w:w="1384" w:type="dxa"/>
          </w:tcPr>
          <w:p w14:paraId="636C10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МА (мес. амф.)</w:t>
            </w:r>
          </w:p>
        </w:tc>
        <w:tc>
          <w:tcPr>
            <w:tcW w:w="898" w:type="dxa"/>
          </w:tcPr>
          <w:p w14:paraId="43B40481"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6C1D91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МГ-21</w:t>
            </w:r>
          </w:p>
        </w:tc>
        <w:tc>
          <w:tcPr>
            <w:tcW w:w="898" w:type="dxa"/>
          </w:tcPr>
          <w:p w14:paraId="455143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w:t>
            </w:r>
          </w:p>
        </w:tc>
        <w:tc>
          <w:tcPr>
            <w:tcW w:w="898" w:type="dxa"/>
          </w:tcPr>
          <w:p w14:paraId="599A92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898" w:type="dxa"/>
          </w:tcPr>
          <w:p w14:paraId="19E5D9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898" w:type="dxa"/>
          </w:tcPr>
          <w:p w14:paraId="21C2D8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898" w:type="dxa"/>
          </w:tcPr>
          <w:p w14:paraId="4AF2B8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ОКБ</w:t>
            </w:r>
          </w:p>
        </w:tc>
        <w:tc>
          <w:tcPr>
            <w:tcW w:w="898" w:type="dxa"/>
          </w:tcPr>
          <w:p w14:paraId="5C8EB6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01.08.36 (2398,93)</w:t>
            </w:r>
          </w:p>
        </w:tc>
        <w:tc>
          <w:tcPr>
            <w:tcW w:w="2596" w:type="dxa"/>
          </w:tcPr>
          <w:p w14:paraId="69ED2E2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8990266" w14:textId="77777777">
        <w:tc>
          <w:tcPr>
            <w:tcW w:w="1384" w:type="dxa"/>
          </w:tcPr>
          <w:p w14:paraId="316C8038"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2A7FA0D0"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7D4915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(М-48)</w:t>
            </w:r>
          </w:p>
        </w:tc>
        <w:tc>
          <w:tcPr>
            <w:tcW w:w="898" w:type="dxa"/>
          </w:tcPr>
          <w:p w14:paraId="77C86DA2"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F22DB1B"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73C935E"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49EE60F4"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Pr>
          <w:p w14:paraId="590A48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ЛИИ</w:t>
            </w:r>
          </w:p>
        </w:tc>
        <w:tc>
          <w:tcPr>
            <w:tcW w:w="898" w:type="dxa"/>
          </w:tcPr>
          <w:p w14:paraId="7A87A5F9"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Pr>
          <w:p w14:paraId="40F7418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E008221" w14:textId="77777777">
        <w:tc>
          <w:tcPr>
            <w:tcW w:w="1384" w:type="dxa"/>
            <w:tcBorders>
              <w:bottom w:val="single" w:sz="12" w:space="0" w:color="auto"/>
            </w:tcBorders>
          </w:tcPr>
          <w:p w14:paraId="50FDEBA7"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Borders>
              <w:bottom w:val="single" w:sz="12" w:space="0" w:color="auto"/>
            </w:tcBorders>
          </w:tcPr>
          <w:p w14:paraId="38465563"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Borders>
              <w:bottom w:val="single" w:sz="12" w:space="0" w:color="auto"/>
            </w:tcBorders>
          </w:tcPr>
          <w:p w14:paraId="7D468A22"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Borders>
              <w:bottom w:val="single" w:sz="12" w:space="0" w:color="auto"/>
            </w:tcBorders>
          </w:tcPr>
          <w:p w14:paraId="162E2C05"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Borders>
              <w:bottom w:val="single" w:sz="12" w:space="0" w:color="auto"/>
            </w:tcBorders>
          </w:tcPr>
          <w:p w14:paraId="045B846D"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Borders>
              <w:bottom w:val="single" w:sz="12" w:space="0" w:color="auto"/>
            </w:tcBorders>
          </w:tcPr>
          <w:p w14:paraId="45F3FD73"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Borders>
              <w:bottom w:val="single" w:sz="12" w:space="0" w:color="auto"/>
            </w:tcBorders>
          </w:tcPr>
          <w:p w14:paraId="3C4EF2EE" w14:textId="77777777" w:rsidR="00D4105E" w:rsidRPr="00E14102" w:rsidRDefault="00D4105E" w:rsidP="00E14102">
            <w:pPr>
              <w:autoSpaceDE w:val="0"/>
              <w:autoSpaceDN w:val="0"/>
              <w:adjustRightInd w:val="0"/>
              <w:jc w:val="both"/>
              <w:rPr>
                <w:color w:val="000000" w:themeColor="text1"/>
                <w:sz w:val="16"/>
                <w:szCs w:val="16"/>
              </w:rPr>
            </w:pPr>
          </w:p>
        </w:tc>
        <w:tc>
          <w:tcPr>
            <w:tcW w:w="898" w:type="dxa"/>
            <w:tcBorders>
              <w:bottom w:val="single" w:sz="12" w:space="0" w:color="auto"/>
            </w:tcBorders>
          </w:tcPr>
          <w:p w14:paraId="3BCA59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ГВФ</w:t>
            </w:r>
          </w:p>
        </w:tc>
        <w:tc>
          <w:tcPr>
            <w:tcW w:w="898" w:type="dxa"/>
            <w:tcBorders>
              <w:bottom w:val="single" w:sz="12" w:space="0" w:color="auto"/>
            </w:tcBorders>
          </w:tcPr>
          <w:p w14:paraId="5CCE95FC" w14:textId="77777777" w:rsidR="00D4105E" w:rsidRPr="00E14102" w:rsidRDefault="00D4105E" w:rsidP="00E14102">
            <w:pPr>
              <w:autoSpaceDE w:val="0"/>
              <w:autoSpaceDN w:val="0"/>
              <w:adjustRightInd w:val="0"/>
              <w:jc w:val="both"/>
              <w:rPr>
                <w:color w:val="000000" w:themeColor="text1"/>
                <w:sz w:val="16"/>
                <w:szCs w:val="16"/>
              </w:rPr>
            </w:pPr>
          </w:p>
        </w:tc>
        <w:tc>
          <w:tcPr>
            <w:tcW w:w="2596" w:type="dxa"/>
            <w:tcBorders>
              <w:bottom w:val="single" w:sz="12" w:space="0" w:color="auto"/>
            </w:tcBorders>
          </w:tcPr>
          <w:p w14:paraId="7C5CC50D" w14:textId="77777777" w:rsidR="00D4105E" w:rsidRPr="00E14102" w:rsidRDefault="00D4105E" w:rsidP="00E14102">
            <w:pPr>
              <w:autoSpaceDE w:val="0"/>
              <w:autoSpaceDN w:val="0"/>
              <w:adjustRightInd w:val="0"/>
              <w:jc w:val="both"/>
              <w:rPr>
                <w:color w:val="000000" w:themeColor="text1"/>
                <w:sz w:val="16"/>
                <w:szCs w:val="16"/>
              </w:rPr>
            </w:pPr>
          </w:p>
        </w:tc>
      </w:tr>
    </w:tbl>
    <w:p w14:paraId="448CEFF3" w14:textId="77777777" w:rsidR="00D4105E" w:rsidRPr="00E14102" w:rsidRDefault="00D4105E" w:rsidP="00E14102">
      <w:pPr>
        <w:autoSpaceDE w:val="0"/>
        <w:autoSpaceDN w:val="0"/>
        <w:adjustRightInd w:val="0"/>
        <w:jc w:val="both"/>
        <w:rPr>
          <w:color w:val="000000" w:themeColor="text1"/>
          <w:sz w:val="16"/>
          <w:szCs w:val="16"/>
        </w:rPr>
      </w:pPr>
    </w:p>
    <w:p w14:paraId="6DDE0D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июля 1935 года (№ 81сс) правительством был утвержден план опытного строительства гражданских самолетов на 1936 год (7727, 35).</w:t>
      </w:r>
    </w:p>
    <w:p w14:paraId="7AB6DC40" w14:textId="77777777" w:rsidR="00D4105E" w:rsidRPr="00E14102" w:rsidRDefault="00D4105E" w:rsidP="00E14102">
      <w:pPr>
        <w:autoSpaceDE w:val="0"/>
        <w:autoSpaceDN w:val="0"/>
        <w:adjustRightInd w:val="0"/>
        <w:jc w:val="both"/>
        <w:rPr>
          <w:color w:val="000000" w:themeColor="text1"/>
          <w:sz w:val="16"/>
          <w:szCs w:val="16"/>
        </w:rPr>
      </w:pPr>
    </w:p>
    <w:p w14:paraId="542C7D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июля 1935 вышло постановление СТО N С-80сс "О выполнении НКТП заказа НКО по самолетам и моторам" В.М.М. (2161,101).</w:t>
      </w:r>
    </w:p>
    <w:p w14:paraId="49DB94F9" w14:textId="77777777" w:rsidR="00D4105E" w:rsidRPr="00E14102" w:rsidRDefault="00D4105E" w:rsidP="00E14102">
      <w:pPr>
        <w:autoSpaceDE w:val="0"/>
        <w:autoSpaceDN w:val="0"/>
        <w:adjustRightInd w:val="0"/>
        <w:jc w:val="both"/>
        <w:rPr>
          <w:color w:val="000000" w:themeColor="text1"/>
          <w:sz w:val="16"/>
          <w:szCs w:val="16"/>
        </w:rPr>
      </w:pPr>
    </w:p>
    <w:p w14:paraId="07EF03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июля 1935 года постановление № С-80сс СТО</w:t>
      </w:r>
    </w:p>
    <w:p w14:paraId="776066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выполнении НКТП заказа НКО по самолетам и моторам</w:t>
      </w:r>
    </w:p>
    <w:p w14:paraId="4859FD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Заслушав доклад НКТП о ходе выполнения заказа НКО по самолетам и моторам за 1 полугодие 1935 года, СТО постановляет:</w:t>
      </w:r>
    </w:p>
    <w:p w14:paraId="3F6B4C3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ГКАП произвести смену моторов Испано-Сюиза на опытном образце самолета С-Б в 5-ти дневный срок, а УВС в 10-ти дневный срок испытать самолет СБ и дать заключение. Результаты этих испытаний рассмотреть и утвердить наркому обороны Ворошилову и наркому тяжелой промышленности Орджоникидзе.</w:t>
      </w:r>
    </w:p>
    <w:p w14:paraId="1257952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НКТП (ГУАП) в течение III квартала 1935 года привести в полную исправность и пригодность для эксплуатации 150 самолетов ТБ-3 М-34Р, производства 1934 года.</w:t>
      </w:r>
    </w:p>
    <w:p w14:paraId="4502A5D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Разрешить заводу № 26 выпустить, а УВС принять:</w:t>
      </w:r>
    </w:p>
    <w:p w14:paraId="11A199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30 моторов М-100 первой головной серии с невзаимозаменяемыми деталями (с отступлением от чертежей) на мощности 750 НР со сроком службы до первой переборки в 50 часов, после удовлетворительных результатов испытаний;</w:t>
      </w:r>
    </w:p>
    <w:p w14:paraId="7F89AB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50 моторов точно изготовленных по чертежам и техусловиям на мощности 750 НР и 50 моторов на мощности 860 НР со сроком службы до первой переборки 50 часов.</w:t>
      </w:r>
    </w:p>
    <w:p w14:paraId="5F8F85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завод № 26 30 моторов головной серии капитально отремонтировать на заводе по истечении срока службы.</w:t>
      </w:r>
    </w:p>
    <w:p w14:paraId="1FF6C1D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целях увеличения выпуска самолетов И-16 с мотором РЦ и в связи с трудностями освоения самолета И-14 на заводе № 125 сократить программу завода № 125 по И-14 со 180 машин до 50, увеличив соответственно программу производства по И-16 на 80 штук и по ИП-1 на 50 штук по 1935 году.</w:t>
      </w:r>
    </w:p>
    <w:p w14:paraId="5876F85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Разрешить ГУАПу произвести сдачу дополнительных 200 разведчиков-штурмовиков (пост. СТО № С-11сс) по заводу № 1 в I квартале 1936 года.</w:t>
      </w:r>
    </w:p>
    <w:p w14:paraId="672149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……………………………………..(7516, 89-91).</w:t>
      </w:r>
    </w:p>
    <w:p w14:paraId="031B8898" w14:textId="77777777" w:rsidR="00D4105E" w:rsidRPr="00E14102" w:rsidRDefault="00D4105E" w:rsidP="00E14102">
      <w:pPr>
        <w:autoSpaceDE w:val="0"/>
        <w:autoSpaceDN w:val="0"/>
        <w:adjustRightInd w:val="0"/>
        <w:jc w:val="both"/>
        <w:rPr>
          <w:color w:val="000000" w:themeColor="text1"/>
          <w:sz w:val="16"/>
          <w:szCs w:val="16"/>
        </w:rPr>
      </w:pPr>
    </w:p>
    <w:p w14:paraId="5253D282" w14:textId="77777777" w:rsidR="006D10E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4BFB445" w14:textId="77777777" w:rsidR="006D10EE" w:rsidRPr="00E14102" w:rsidRDefault="006D10EE" w:rsidP="00E14102">
      <w:pPr>
        <w:autoSpaceDE w:val="0"/>
        <w:autoSpaceDN w:val="0"/>
        <w:adjustRightInd w:val="0"/>
        <w:jc w:val="both"/>
        <w:rPr>
          <w:iCs/>
          <w:color w:val="000000" w:themeColor="text1"/>
          <w:sz w:val="16"/>
          <w:szCs w:val="16"/>
        </w:rPr>
      </w:pPr>
    </w:p>
    <w:p w14:paraId="7973B340" w14:textId="77777777" w:rsidR="006D10EE" w:rsidRPr="00E14102" w:rsidRDefault="006D10EE" w:rsidP="00E14102">
      <w:pPr>
        <w:pStyle w:val="rtejustify"/>
        <w:spacing w:before="0" w:after="0"/>
        <w:rPr>
          <w:color w:val="000000" w:themeColor="text1"/>
          <w:sz w:val="16"/>
          <w:szCs w:val="16"/>
        </w:rPr>
      </w:pPr>
      <w:r w:rsidRPr="00E14102">
        <w:rPr>
          <w:rStyle w:val="a6"/>
          <w:bCs/>
          <w:i w:val="0"/>
          <w:color w:val="000000" w:themeColor="text1"/>
          <w:sz w:val="16"/>
          <w:szCs w:val="16"/>
        </w:rPr>
        <w:t>4 июля 1935 вышел приказ НКО №</w:t>
      </w:r>
      <w:r w:rsidRPr="00E14102">
        <w:rPr>
          <w:color w:val="000000" w:themeColor="text1"/>
          <w:sz w:val="16"/>
          <w:szCs w:val="16"/>
        </w:rPr>
        <w:t> 0115. О назначении комиссий для проведения войсковых испытаний образцов выстрела с автоматическим электрозапалом, разработанным и изготовленным Осконбюро ВОТИ (15247).</w:t>
      </w:r>
    </w:p>
    <w:p w14:paraId="66B08593" w14:textId="77777777" w:rsidR="006D10EE" w:rsidRPr="00E14102" w:rsidRDefault="006D10EE" w:rsidP="00E14102">
      <w:pPr>
        <w:pStyle w:val="rtejustify"/>
        <w:spacing w:before="0" w:after="0"/>
        <w:rPr>
          <w:color w:val="000000" w:themeColor="text1"/>
          <w:sz w:val="16"/>
          <w:szCs w:val="16"/>
        </w:rPr>
      </w:pPr>
    </w:p>
    <w:p w14:paraId="1D0144D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4BA261F" w14:textId="77777777" w:rsidR="00D4105E" w:rsidRPr="00E14102" w:rsidRDefault="00D4105E" w:rsidP="00E14102">
      <w:pPr>
        <w:autoSpaceDE w:val="0"/>
        <w:autoSpaceDN w:val="0"/>
        <w:adjustRightInd w:val="0"/>
        <w:jc w:val="both"/>
        <w:rPr>
          <w:iCs/>
          <w:color w:val="000000" w:themeColor="text1"/>
          <w:sz w:val="16"/>
          <w:szCs w:val="16"/>
        </w:rPr>
      </w:pPr>
    </w:p>
    <w:p w14:paraId="04555A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июля 1935 австрийские власти, поощряемые Муссолини, отменили антигабсбургские законы и возвратили часть имперской собственности бывшим владельцам (3907,192).</w:t>
      </w:r>
    </w:p>
    <w:p w14:paraId="597B5919" w14:textId="77777777" w:rsidR="00D4105E" w:rsidRPr="00E14102" w:rsidRDefault="00D4105E" w:rsidP="00E14102">
      <w:pPr>
        <w:autoSpaceDE w:val="0"/>
        <w:autoSpaceDN w:val="0"/>
        <w:adjustRightInd w:val="0"/>
        <w:jc w:val="both"/>
        <w:rPr>
          <w:color w:val="000000" w:themeColor="text1"/>
          <w:sz w:val="16"/>
          <w:szCs w:val="16"/>
        </w:rPr>
      </w:pPr>
    </w:p>
    <w:p w14:paraId="6C15E8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июля 1935 Правительство К.Шушнига отменило "антигабсбургские" законы и возвратило часть имперской собственности прежним владельцам (7444).</w:t>
      </w:r>
    </w:p>
    <w:p w14:paraId="1F91D134" w14:textId="77777777" w:rsidR="00D4105E" w:rsidRPr="00E14102" w:rsidRDefault="00D4105E" w:rsidP="00E14102">
      <w:pPr>
        <w:autoSpaceDE w:val="0"/>
        <w:autoSpaceDN w:val="0"/>
        <w:adjustRightInd w:val="0"/>
        <w:jc w:val="both"/>
        <w:rPr>
          <w:color w:val="000000" w:themeColor="text1"/>
          <w:sz w:val="16"/>
          <w:szCs w:val="16"/>
        </w:rPr>
      </w:pPr>
    </w:p>
    <w:p w14:paraId="381376C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DBFB329" w14:textId="77777777" w:rsidR="00D4105E" w:rsidRPr="00E14102" w:rsidRDefault="00D4105E" w:rsidP="00E14102">
      <w:pPr>
        <w:autoSpaceDE w:val="0"/>
        <w:autoSpaceDN w:val="0"/>
        <w:adjustRightInd w:val="0"/>
        <w:jc w:val="both"/>
        <w:rPr>
          <w:iCs/>
          <w:color w:val="000000" w:themeColor="text1"/>
          <w:sz w:val="16"/>
          <w:szCs w:val="16"/>
        </w:rPr>
      </w:pPr>
    </w:p>
    <w:p w14:paraId="1E491F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 5 июля по 1 августа 1935 на заводе 22 проходили испытания радиаторов с красномедными трубками СЕРК и серийных радиаторов с латунными трубками АНДРЕ на ТБ-3 4М-34Р N 22563 и ТБ-3 4М-34РН N 22632. Отв. исполнители: Нач. ЛЭС Фролов, ви - и 8 бр. ЦАГИ Кочетов и ви Баклунов (2937).</w:t>
      </w:r>
    </w:p>
    <w:p w14:paraId="76396341" w14:textId="77777777" w:rsidR="00D4105E" w:rsidRPr="00E14102" w:rsidRDefault="00D4105E" w:rsidP="00E14102">
      <w:pPr>
        <w:autoSpaceDE w:val="0"/>
        <w:autoSpaceDN w:val="0"/>
        <w:adjustRightInd w:val="0"/>
        <w:jc w:val="both"/>
        <w:rPr>
          <w:color w:val="000000" w:themeColor="text1"/>
          <w:sz w:val="16"/>
          <w:szCs w:val="16"/>
        </w:rPr>
      </w:pPr>
    </w:p>
    <w:p w14:paraId="12A1A8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июля 1935 состоялось совещание у начальника УВВС Я.И.Алксниса о готовности самолета к перелету С.А.Леваневского (1077,266).</w:t>
      </w:r>
    </w:p>
    <w:p w14:paraId="5ECB1CE1" w14:textId="77777777" w:rsidR="00D4105E" w:rsidRPr="00E14102" w:rsidRDefault="00D4105E" w:rsidP="00E14102">
      <w:pPr>
        <w:autoSpaceDE w:val="0"/>
        <w:autoSpaceDN w:val="0"/>
        <w:adjustRightInd w:val="0"/>
        <w:jc w:val="both"/>
        <w:rPr>
          <w:color w:val="000000" w:themeColor="text1"/>
          <w:sz w:val="16"/>
          <w:szCs w:val="16"/>
        </w:rPr>
      </w:pPr>
    </w:p>
    <w:p w14:paraId="311FDB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июля 1935 Нач. УВВС Алкснис писал письмо 44/01196 Врид. Нач. ГУАП Марголину (копии: Дир. ХАИ и Дир. завода 135):</w:t>
      </w:r>
    </w:p>
    <w:p w14:paraId="2E3F14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"Придавая особое значение скорейшему выпуску в воздух и предъявлению на гос. испытания разведывательного варианта (ХАИ-5 М-75), прошу принять все меры к тому, чтобы постройка самолета на заводе 135 была закончена не позднее 1 августа 1935 и самолет был предъявлен на гос. испытания 1 сентября с.г." (2343,222).</w:t>
      </w:r>
    </w:p>
    <w:p w14:paraId="44FB5C04" w14:textId="77777777" w:rsidR="00D4105E" w:rsidRPr="00E14102" w:rsidRDefault="00D4105E" w:rsidP="00E14102">
      <w:pPr>
        <w:autoSpaceDE w:val="0"/>
        <w:autoSpaceDN w:val="0"/>
        <w:adjustRightInd w:val="0"/>
        <w:jc w:val="both"/>
        <w:rPr>
          <w:color w:val="000000" w:themeColor="text1"/>
          <w:sz w:val="16"/>
          <w:szCs w:val="16"/>
        </w:rPr>
      </w:pPr>
    </w:p>
    <w:p w14:paraId="7A05D1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июля 1935 было подписано Заключение комиссии по гос. испытаниям парашюта точного сбрасывания (ПТП) Г-44 ЭИ Гроховского (два купола - сначала маленький, сокращающий время падения, потом большой, нормальный):</w:t>
      </w:r>
    </w:p>
    <w:p w14:paraId="4C37AA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Парашют гос. испытания выдержал.</w:t>
      </w:r>
    </w:p>
    <w:p w14:paraId="0E8A7A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Заказать серию парашютов ПТП для войсковых испытаний." (2186,17).</w:t>
      </w:r>
    </w:p>
    <w:p w14:paraId="718909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Начальник отдела вооружения НИИ ВС РККА Петров. Вр. нач. отделения Шадский.</w:t>
      </w:r>
    </w:p>
    <w:p w14:paraId="314572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„УТВЕРЖДАЮ" Нач. НИИ ВС..РККА Бажанов</w:t>
      </w:r>
    </w:p>
    <w:p w14:paraId="50403F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Парашют точного приземления — предназначен для высотных прыжков и обеспечивает точность приземления парашютиста, сокра</w:t>
      </w:r>
      <w:r w:rsidRPr="00E14102">
        <w:rPr>
          <w:color w:val="000000" w:themeColor="text1"/>
          <w:sz w:val="16"/>
          <w:szCs w:val="16"/>
        </w:rPr>
        <w:softHyphen/>
        <w:t>щая время снижения в три раза по сравнению с обычными людскими парашютами.</w:t>
      </w:r>
    </w:p>
    <w:p w14:paraId="4BD138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Комплект 'ПТП состоит из двух куполов, последовательно раскры</w:t>
      </w:r>
      <w:r w:rsidRPr="00E14102">
        <w:rPr>
          <w:color w:val="000000" w:themeColor="text1"/>
          <w:sz w:val="16"/>
          <w:szCs w:val="16"/>
        </w:rPr>
        <w:softHyphen/>
        <w:t>вающихся в воздухе. Вслед за отделением от самолета, — парашю</w:t>
      </w:r>
      <w:r w:rsidRPr="00E14102">
        <w:rPr>
          <w:color w:val="000000" w:themeColor="text1"/>
          <w:sz w:val="16"/>
          <w:szCs w:val="16"/>
        </w:rPr>
        <w:softHyphen/>
        <w:t>тист раскрывает малый купол (д=2 м), и идя к земле со скоростью до 25 м/сек., — раскрывает второй купол (д=7,6 м), продолжая нор</w:t>
      </w:r>
      <w:r w:rsidRPr="00E14102">
        <w:rPr>
          <w:color w:val="000000" w:themeColor="text1"/>
          <w:sz w:val="16"/>
          <w:szCs w:val="16"/>
        </w:rPr>
        <w:softHyphen/>
        <w:t>мальное приземление.</w:t>
      </w:r>
    </w:p>
    <w:p w14:paraId="346395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Время снижения на малом куполе определяется высотой, с кото</w:t>
      </w:r>
      <w:r w:rsidRPr="00E14102">
        <w:rPr>
          <w:color w:val="000000" w:themeColor="text1"/>
          <w:sz w:val="16"/>
          <w:szCs w:val="16"/>
        </w:rPr>
        <w:softHyphen/>
        <w:t>рой произведен прыжок.</w:t>
      </w:r>
    </w:p>
    <w:p w14:paraId="6B7389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Испытания парашюта ПТП показали: Безотказность его действия.</w:t>
      </w:r>
    </w:p>
    <w:p w14:paraId="4A5FEC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прыжке отсутствует штопорное положение тела, чего нель</w:t>
      </w:r>
      <w:r w:rsidRPr="00E14102">
        <w:rPr>
          <w:color w:val="000000" w:themeColor="text1"/>
          <w:sz w:val="16"/>
          <w:szCs w:val="16"/>
        </w:rPr>
        <w:softHyphen/>
        <w:t>зя избежать при затяжных прыжках на парашютах других систем.</w:t>
      </w:r>
    </w:p>
    <w:p w14:paraId="5CF2C30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 для высотного сбрасывания не требует особой допол</w:t>
      </w:r>
      <w:r w:rsidRPr="00E14102">
        <w:rPr>
          <w:color w:val="000000" w:themeColor="text1"/>
          <w:sz w:val="16"/>
          <w:szCs w:val="16"/>
        </w:rPr>
        <w:softHyphen/>
        <w:t>нительной подготовки бойца-парашютиста.</w:t>
      </w:r>
    </w:p>
    <w:p w14:paraId="68307B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Техника прыжка — обычна.</w:t>
      </w:r>
    </w:p>
    <w:p w14:paraId="26FF7BF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Укладка парашюта по времени, — одинакова с укладкой пара</w:t>
      </w:r>
      <w:r w:rsidRPr="00E14102">
        <w:rPr>
          <w:color w:val="000000" w:themeColor="text1"/>
          <w:sz w:val="16"/>
          <w:szCs w:val="16"/>
        </w:rPr>
        <w:softHyphen/>
        <w:t>шютов существующих систем. . . ..</w:t>
      </w:r>
    </w:p>
    <w:p w14:paraId="324302E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Ориентировка при снижении на малом куполе — нормальная.</w:t>
      </w:r>
    </w:p>
    <w:p w14:paraId="4FD41C4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Преимуществом ПТП является возможность поворота парашюти</w:t>
      </w:r>
      <w:r w:rsidRPr="00E14102">
        <w:rPr>
          <w:color w:val="000000" w:themeColor="text1"/>
          <w:sz w:val="16"/>
          <w:szCs w:val="16"/>
        </w:rPr>
        <w:softHyphen/>
        <w:t>ста в воздухе в любом направлении (до 360°) посредством выбрасыва</w:t>
      </w:r>
      <w:r w:rsidRPr="00E14102">
        <w:rPr>
          <w:color w:val="000000" w:themeColor="text1"/>
          <w:sz w:val="16"/>
          <w:szCs w:val="16"/>
        </w:rPr>
        <w:softHyphen/>
        <w:t>ния правой руки в сторону.</w:t>
      </w:r>
    </w:p>
    <w:p w14:paraId="174DDC5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сравнению с парашютами, принятыми на снабжение в ВС РККА, парашют ПТП имеет следующие преимущества:</w:t>
      </w:r>
    </w:p>
    <w:p w14:paraId="210B85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При наличии ветра скоростью 6—7 м/сек., сокращается относ парашюта при снижении, более чем в три раза, чем значительно по</w:t>
      </w:r>
      <w:r w:rsidRPr="00E14102">
        <w:rPr>
          <w:color w:val="000000" w:themeColor="text1"/>
          <w:sz w:val="16"/>
          <w:szCs w:val="16"/>
        </w:rPr>
        <w:softHyphen/>
        <w:t>вышается точность приземления, как отдельного бойца, так и куч</w:t>
      </w:r>
      <w:r w:rsidRPr="00E14102">
        <w:rPr>
          <w:color w:val="000000" w:themeColor="text1"/>
          <w:sz w:val="16"/>
          <w:szCs w:val="16"/>
        </w:rPr>
        <w:softHyphen/>
        <w:t>ность приземления десантной группы, повышая в то же время мораль-ное состояние бойцов.</w:t>
      </w:r>
    </w:p>
    <w:p w14:paraId="521F5F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При спуске с 4000 м, время снижения сокращается более чем в три раза.</w:t>
      </w:r>
    </w:p>
    <w:p w14:paraId="188E35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Динамический удар при раскрытии малого купола ощущается слабо, в виду небольшой его поверхности (2186).</w:t>
      </w:r>
    </w:p>
    <w:p w14:paraId="229586C5" w14:textId="77777777" w:rsidR="00D4105E" w:rsidRPr="00E14102" w:rsidRDefault="00D4105E" w:rsidP="00E14102">
      <w:pPr>
        <w:autoSpaceDE w:val="0"/>
        <w:autoSpaceDN w:val="0"/>
        <w:adjustRightInd w:val="0"/>
        <w:jc w:val="both"/>
        <w:rPr>
          <w:color w:val="000000" w:themeColor="text1"/>
          <w:sz w:val="16"/>
          <w:szCs w:val="16"/>
        </w:rPr>
      </w:pPr>
    </w:p>
    <w:p w14:paraId="5D5FE7A4" w14:textId="77777777" w:rsidR="006D10E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34661A2" w14:textId="77777777" w:rsidR="006D10EE" w:rsidRPr="00E14102" w:rsidRDefault="006D10EE" w:rsidP="00E14102">
      <w:pPr>
        <w:autoSpaceDE w:val="0"/>
        <w:autoSpaceDN w:val="0"/>
        <w:adjustRightInd w:val="0"/>
        <w:jc w:val="both"/>
        <w:rPr>
          <w:iCs/>
          <w:color w:val="000000" w:themeColor="text1"/>
          <w:sz w:val="16"/>
          <w:szCs w:val="16"/>
        </w:rPr>
      </w:pPr>
    </w:p>
    <w:p w14:paraId="7E1C62A2" w14:textId="77777777" w:rsidR="006D10EE" w:rsidRPr="00E14102" w:rsidRDefault="006D10EE" w:rsidP="00E14102">
      <w:pPr>
        <w:pStyle w:val="rtejustify"/>
        <w:spacing w:before="0" w:after="0"/>
        <w:rPr>
          <w:color w:val="000000" w:themeColor="text1"/>
          <w:sz w:val="16"/>
          <w:szCs w:val="16"/>
        </w:rPr>
      </w:pPr>
      <w:r w:rsidRPr="00E14102">
        <w:rPr>
          <w:rStyle w:val="a6"/>
          <w:bCs/>
          <w:i w:val="0"/>
          <w:color w:val="000000" w:themeColor="text1"/>
          <w:sz w:val="16"/>
          <w:szCs w:val="16"/>
        </w:rPr>
        <w:t>5 июля 1935 вышел приказ НКТП № 116с.</w:t>
      </w:r>
      <w:r w:rsidRPr="00E14102">
        <w:rPr>
          <w:color w:val="000000" w:themeColor="text1"/>
          <w:sz w:val="16"/>
          <w:szCs w:val="16"/>
        </w:rPr>
        <w:t xml:space="preserve"> О подчинении корпуса военно-строительных частей НКТП СССР уполномоченному НКТП по Дальнему Востоку И. В. Косиору. (РГАЭ. Ф. 7297. Оп.38. Д. 171. Л. 180) (15246).</w:t>
      </w:r>
    </w:p>
    <w:p w14:paraId="2200D870" w14:textId="77777777" w:rsidR="006D10EE" w:rsidRPr="00E14102" w:rsidRDefault="006D10EE" w:rsidP="00E14102">
      <w:pPr>
        <w:pStyle w:val="rtejustify"/>
        <w:spacing w:before="0" w:after="0"/>
        <w:rPr>
          <w:color w:val="000000" w:themeColor="text1"/>
          <w:sz w:val="16"/>
          <w:szCs w:val="16"/>
        </w:rPr>
      </w:pPr>
    </w:p>
    <w:p w14:paraId="157C16A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47D0570" w14:textId="77777777" w:rsidR="00D4105E" w:rsidRPr="00E14102" w:rsidRDefault="00D4105E" w:rsidP="00E14102">
      <w:pPr>
        <w:autoSpaceDE w:val="0"/>
        <w:autoSpaceDN w:val="0"/>
        <w:adjustRightInd w:val="0"/>
        <w:jc w:val="both"/>
        <w:rPr>
          <w:iCs/>
          <w:color w:val="000000" w:themeColor="text1"/>
          <w:sz w:val="16"/>
          <w:szCs w:val="16"/>
        </w:rPr>
      </w:pPr>
    </w:p>
    <w:p w14:paraId="5B4689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июля 1935 в США принят национальный акт о трудовых отношениях (закон Вагнера) (3960, 261).</w:t>
      </w:r>
    </w:p>
    <w:p w14:paraId="3C17EDB2" w14:textId="77777777" w:rsidR="00D4105E" w:rsidRPr="00E14102" w:rsidRDefault="00D4105E" w:rsidP="00E14102">
      <w:pPr>
        <w:autoSpaceDE w:val="0"/>
        <w:autoSpaceDN w:val="0"/>
        <w:adjustRightInd w:val="0"/>
        <w:jc w:val="both"/>
        <w:rPr>
          <w:color w:val="000000" w:themeColor="text1"/>
          <w:sz w:val="16"/>
          <w:szCs w:val="16"/>
        </w:rPr>
      </w:pPr>
    </w:p>
    <w:p w14:paraId="7D0688B9" w14:textId="77777777" w:rsidR="006D10EE" w:rsidRPr="00E14102" w:rsidRDefault="006D10EE" w:rsidP="00E14102">
      <w:pPr>
        <w:jc w:val="both"/>
        <w:rPr>
          <w:color w:val="000000" w:themeColor="text1"/>
          <w:sz w:val="16"/>
          <w:szCs w:val="16"/>
        </w:rPr>
      </w:pPr>
      <w:r w:rsidRPr="00E14102">
        <w:rPr>
          <w:bCs/>
          <w:color w:val="000000" w:themeColor="text1"/>
          <w:sz w:val="16"/>
          <w:szCs w:val="16"/>
        </w:rPr>
        <w:t>5 июля</w:t>
      </w:r>
      <w:r w:rsidRPr="00E14102">
        <w:rPr>
          <w:color w:val="000000" w:themeColor="text1"/>
          <w:sz w:val="16"/>
          <w:szCs w:val="16"/>
        </w:rPr>
        <w:t xml:space="preserve"> в 1935 году в русле политики "нового курса" президента Франклина Рузвельта в США принят Национальный акт о трудовых отношениях (закон Вагнера), закрепивший право рабочих на вступление в профсоюзы, заключение коллективных договоров, проведение стачек и пикетирования. Закон также предусматривал введение 40-часовой рабочей недели, устанавливал минимальный размер заработной платы (14943).</w:t>
      </w:r>
    </w:p>
    <w:p w14:paraId="7EB810D9" w14:textId="77777777" w:rsidR="006D10EE" w:rsidRPr="00E14102" w:rsidRDefault="006D10EE" w:rsidP="00E14102">
      <w:pPr>
        <w:jc w:val="both"/>
        <w:rPr>
          <w:color w:val="000000" w:themeColor="text1"/>
          <w:sz w:val="16"/>
          <w:szCs w:val="16"/>
        </w:rPr>
      </w:pPr>
    </w:p>
    <w:p w14:paraId="766B478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CA4A34C" w14:textId="77777777" w:rsidR="00D4105E" w:rsidRPr="00E14102" w:rsidRDefault="00D4105E" w:rsidP="00E14102">
      <w:pPr>
        <w:autoSpaceDE w:val="0"/>
        <w:autoSpaceDN w:val="0"/>
        <w:adjustRightInd w:val="0"/>
        <w:jc w:val="both"/>
        <w:rPr>
          <w:iCs/>
          <w:color w:val="000000" w:themeColor="text1"/>
          <w:sz w:val="16"/>
          <w:szCs w:val="16"/>
        </w:rPr>
      </w:pPr>
    </w:p>
    <w:p w14:paraId="231961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июля 1935 в ходе проводимых на заводе 22 испытаний М-34Р NN 301358, 301758, 3012, 13974 с экранированным зажиганием, установленных на ТБ-3 N 22621, которые шли с 3 июня 1935 по 9 июля 1935, был произведен полет и на проверку связи с другими самолетами (2947).</w:t>
      </w:r>
    </w:p>
    <w:p w14:paraId="1FC0D20B" w14:textId="77777777" w:rsidR="00D4105E" w:rsidRPr="00E14102" w:rsidRDefault="00D4105E" w:rsidP="00E14102">
      <w:pPr>
        <w:autoSpaceDE w:val="0"/>
        <w:autoSpaceDN w:val="0"/>
        <w:adjustRightInd w:val="0"/>
        <w:jc w:val="both"/>
        <w:rPr>
          <w:color w:val="000000" w:themeColor="text1"/>
          <w:sz w:val="16"/>
          <w:szCs w:val="16"/>
        </w:rPr>
      </w:pPr>
    </w:p>
    <w:p w14:paraId="4346A5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июля 1935 г. Алкснис при</w:t>
      </w:r>
      <w:r w:rsidRPr="00E14102">
        <w:rPr>
          <w:color w:val="000000" w:themeColor="text1"/>
          <w:sz w:val="16"/>
          <w:szCs w:val="16"/>
        </w:rPr>
        <w:softHyphen/>
        <w:t>нял по проекту окончательное решение: одноместный ЦКБ-18 нам не нужен, а в качестве штурмовика лучше использовать соответствующий вариант двухместного истребителя ДИ-6.(10667).</w:t>
      </w:r>
    </w:p>
    <w:p w14:paraId="085066C1" w14:textId="77777777" w:rsidR="00D4105E" w:rsidRPr="00E14102" w:rsidRDefault="00D4105E" w:rsidP="00E14102">
      <w:pPr>
        <w:autoSpaceDE w:val="0"/>
        <w:autoSpaceDN w:val="0"/>
        <w:adjustRightInd w:val="0"/>
        <w:jc w:val="both"/>
        <w:rPr>
          <w:color w:val="000000" w:themeColor="text1"/>
          <w:sz w:val="16"/>
          <w:szCs w:val="16"/>
        </w:rPr>
      </w:pPr>
    </w:p>
    <w:p w14:paraId="0F82A4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июля 1935 г. было датировано первое предложение о запуске ИП-1 в серию. Им предусматривался выпуск 50 самолётов, вооружённых ДРП АПК-4. Но доводка пушек Курчевского шла не очень гладко. В марте 1935 г. провели полигонные испытания эталонного образца АПК-4. В ходе их проведения отмечались некоторые отрицательные явления. После 182 выстрелов техник Моргунов "слёг с сотрясением головного мозга", а остальные участники испытаний получили лёгкие контузии. Существенным недостатком считалось то, что во время ночной стрельбы вспышка от выстрела ослепляла участников испытаний на расстоянии до 200 м. Тем не менее последовал вывод о "бесспорной боевой ценности" предъявленной пушки. В мае 1935 г. на артиллерийских заводах № 7 в Ленинграде и № 8 в Подлипках началось производство АПК-4. Заказ на 1935 г. составлял 200 экземпляров (12005).</w:t>
      </w:r>
    </w:p>
    <w:p w14:paraId="21F15B0C" w14:textId="77777777" w:rsidR="00D4105E" w:rsidRPr="00E14102" w:rsidRDefault="00D4105E" w:rsidP="00E14102">
      <w:pPr>
        <w:autoSpaceDE w:val="0"/>
        <w:autoSpaceDN w:val="0"/>
        <w:adjustRightInd w:val="0"/>
        <w:jc w:val="both"/>
        <w:rPr>
          <w:color w:val="000000" w:themeColor="text1"/>
          <w:sz w:val="16"/>
          <w:szCs w:val="16"/>
        </w:rPr>
      </w:pPr>
    </w:p>
    <w:p w14:paraId="433EB08E" w14:textId="77777777" w:rsidR="00DA4A08" w:rsidRPr="00E14102" w:rsidRDefault="00DA4A08" w:rsidP="00E14102">
      <w:pPr>
        <w:jc w:val="both"/>
        <w:rPr>
          <w:color w:val="000000" w:themeColor="text1"/>
          <w:sz w:val="16"/>
          <w:szCs w:val="16"/>
        </w:rPr>
      </w:pPr>
      <w:r w:rsidRPr="00E14102">
        <w:rPr>
          <w:color w:val="000000" w:themeColor="text1"/>
          <w:sz w:val="16"/>
          <w:szCs w:val="16"/>
        </w:rPr>
        <w:t>6 июля 1935 г. Из статьи С. Каневского "На авиационных заводах Америки, Франции, Англии"</w:t>
      </w:r>
    </w:p>
    <w:p w14:paraId="5707FF37" w14:textId="77777777" w:rsidR="00DA4A08" w:rsidRPr="00E14102" w:rsidRDefault="00DA4A08" w:rsidP="00E14102">
      <w:pPr>
        <w:jc w:val="both"/>
        <w:rPr>
          <w:color w:val="000000" w:themeColor="text1"/>
          <w:sz w:val="16"/>
          <w:szCs w:val="16"/>
        </w:rPr>
      </w:pPr>
      <w:r w:rsidRPr="00E14102">
        <w:rPr>
          <w:color w:val="000000" w:themeColor="text1"/>
          <w:sz w:val="16"/>
          <w:szCs w:val="16"/>
        </w:rPr>
        <w:t xml:space="preserve">**...Всего мы пробыли во Франции 11 дней, после чего направились в США. Здесь на знакомство с высоко развитой авиационной промышленностью мы потратили, примерно, три месяца. Следует отметить, что решительно всюду нам был оказан хороший прием. Особенно детально мы изучили постановку производства на моторо-самолетостро- ительных предприятиях всемирно известной фирмы "Кертис-Райт", — фирмы, особенно популярной, благодаря своим блестящим по качеству звездообразным моторам. Были мы также на заводах фирмы "Глен-Мартин", строящей пассажирские сухопутные самолеты, и на заводе конструктора Сикорского46, известного производством многомоторных гидросамолетов. В частности, на последнем заводе мы имели возможность познакомиться с конструкцией гидросамолетов С-42, предназначенных для тихоокеанских авиационных авиалиний. </w:t>
      </w:r>
    </w:p>
    <w:p w14:paraId="68D6D3B2" w14:textId="77777777" w:rsidR="00DA4A08" w:rsidRPr="00E14102" w:rsidRDefault="00DA4A08" w:rsidP="00E14102">
      <w:pPr>
        <w:jc w:val="both"/>
        <w:rPr>
          <w:color w:val="000000" w:themeColor="text1"/>
          <w:sz w:val="16"/>
          <w:szCs w:val="16"/>
        </w:rPr>
      </w:pPr>
      <w:r w:rsidRPr="00E14102">
        <w:rPr>
          <w:color w:val="000000" w:themeColor="text1"/>
          <w:sz w:val="16"/>
          <w:szCs w:val="16"/>
        </w:rPr>
        <w:t xml:space="preserve">В большинстве случаев свои поездки по США мы совершали на автомобилях, на которых проехали свыше 17 тыс. км. Из Нью-Йорка, где мы закончили довольно быстро осмотр авиационных заводов и научно- исследовательских институтов, мы направились на автомобилях во Флориду, Лос-Анджелес, Сан-Франциско, район Чикаго, Детройт и затем снова в Нью-Йорк. </w:t>
      </w:r>
    </w:p>
    <w:p w14:paraId="14843107" w14:textId="77777777" w:rsidR="00DA4A08" w:rsidRPr="00E14102" w:rsidRDefault="00DA4A08" w:rsidP="00E14102">
      <w:pPr>
        <w:jc w:val="both"/>
        <w:rPr>
          <w:color w:val="000000" w:themeColor="text1"/>
          <w:sz w:val="16"/>
          <w:szCs w:val="16"/>
        </w:rPr>
      </w:pPr>
      <w:r w:rsidRPr="00E14102">
        <w:rPr>
          <w:color w:val="000000" w:themeColor="text1"/>
          <w:sz w:val="16"/>
          <w:szCs w:val="16"/>
        </w:rPr>
        <w:t xml:space="preserve">Что нас особенно поразило в США - это исключительная по своему качеству организация службы на воздушных пассажирских линиях. Состояние аэродромов выше всякой похвалы. Метеорологическая служба и радиосвязь между аэродромами в высшей степени образцовые. Мы можем смело заявить, что в этом смысле американцы занимают, безусловно, первое место в мире, и не только нам - Советскому Союзу, - но и передовым капиталистическим странам Европы есть чему поучиться у американцев в этой области. В качестве примера я хочу привести следующий небольшой факт, свидетелями которого мы были и который нас необычайно удивил. </w:t>
      </w:r>
    </w:p>
    <w:p w14:paraId="2E599975" w14:textId="77777777" w:rsidR="00DA4A08" w:rsidRPr="00E14102" w:rsidRDefault="00DA4A08" w:rsidP="00E14102">
      <w:pPr>
        <w:jc w:val="both"/>
        <w:rPr>
          <w:color w:val="000000" w:themeColor="text1"/>
          <w:sz w:val="16"/>
          <w:szCs w:val="16"/>
        </w:rPr>
      </w:pPr>
      <w:r w:rsidRPr="00E14102">
        <w:rPr>
          <w:color w:val="000000" w:themeColor="text1"/>
          <w:sz w:val="16"/>
          <w:szCs w:val="16"/>
        </w:rPr>
        <w:t xml:space="preserve">Мы остановились во время своего путешествия - это было в 20-х числах апреля - в одном небольшом городке Лас-Вегас. Здесь мы ждали уполномоченного Наркомтяжпрома в США т. Браило, который вместе с доктором торопился прибыть к профессору Некрасову, раненому во время автомобильной катастрофы. Приехали на аэродром, ждем наших товарищей. Неожиданно нам сообщают, что пронесшаяся снежная буря заставила товарищей прервать полет и отсиживаться где- то в пути. </w:t>
      </w:r>
    </w:p>
    <w:p w14:paraId="3E60F505" w14:textId="77777777" w:rsidR="00DA4A08" w:rsidRPr="00E14102" w:rsidRDefault="00DA4A08" w:rsidP="00E14102">
      <w:pPr>
        <w:jc w:val="both"/>
        <w:rPr>
          <w:color w:val="000000" w:themeColor="text1"/>
          <w:sz w:val="16"/>
          <w:szCs w:val="16"/>
        </w:rPr>
      </w:pPr>
      <w:r w:rsidRPr="00E14102">
        <w:rPr>
          <w:color w:val="000000" w:themeColor="text1"/>
          <w:sz w:val="16"/>
          <w:szCs w:val="16"/>
        </w:rPr>
        <w:t xml:space="preserve">Мы попросили начальника аэродрома навести справку, где же сел Браило. Не прошло и пяти минут, как начальник аэродрома Лас-Вегас запросил по радио все промежуточные аэродромы и дал нам точную справку: пассажир Браило и его спутник доктор находятся от вас на расстоянии 1600 км, откуда не могли вылететь, потому что аэродром занесен снегом. Товарищи решили выехать к нам скорым поездом. Вот область, в которой мы еще сильно отстаем от Америки. Тут нам нужно еще очень много и настойчиво работать, чтобы в организации летного дела достигнуть высот американской техники. </w:t>
      </w:r>
    </w:p>
    <w:p w14:paraId="28A4A0A7" w14:textId="77777777" w:rsidR="00DA4A08" w:rsidRPr="00E14102" w:rsidRDefault="00DA4A08" w:rsidP="00E14102">
      <w:pPr>
        <w:jc w:val="both"/>
        <w:rPr>
          <w:color w:val="000000" w:themeColor="text1"/>
          <w:sz w:val="16"/>
          <w:szCs w:val="16"/>
        </w:rPr>
      </w:pPr>
      <w:r w:rsidRPr="00E14102">
        <w:rPr>
          <w:color w:val="000000" w:themeColor="text1"/>
          <w:sz w:val="16"/>
          <w:szCs w:val="16"/>
        </w:rPr>
        <w:t xml:space="preserve">В последний раз я был в Америке пять лет тому назад. Срок достаточно большой для того, чтобы техника, тем более авиационная, резко выросла. Особенно отчетливо бросается в глаза тот факт, что американское самолетостроение взяло курс на постройку монопланов. </w:t>
      </w:r>
    </w:p>
    <w:p w14:paraId="4EB3E65B" w14:textId="77777777" w:rsidR="00DA4A08" w:rsidRPr="00E14102" w:rsidRDefault="00DA4A08" w:rsidP="00E14102">
      <w:pPr>
        <w:jc w:val="both"/>
        <w:rPr>
          <w:color w:val="000000" w:themeColor="text1"/>
          <w:sz w:val="16"/>
          <w:szCs w:val="16"/>
        </w:rPr>
      </w:pPr>
      <w:r w:rsidRPr="00E14102">
        <w:rPr>
          <w:color w:val="000000" w:themeColor="text1"/>
          <w:sz w:val="16"/>
          <w:szCs w:val="16"/>
        </w:rPr>
        <w:t xml:space="preserve">Бипланы45 начинают исчезать во всех разновидностях самолетостроения — гражданского и военного. Следует также отметить, что на пассажирских воздушных линиях преобладают самолеты фирмы "Дуглас", "Боинг", "Локхид-Электро". В подавляющем большинстве случаев это двухмоторные машины, вооруженные моторами "Кертис- Райт" и "Пратт-Уитней", мощностью от 450 до 750 л.с. Благодаря своим выдающимся конструктивным качествам, эти самолеты, имея на борту от 10 до 17 человек, развивают максимальную скорость 320-330 км/ч и среднюю крейсерскую скорость - 270-280 км/ч. </w:t>
      </w:r>
    </w:p>
    <w:p w14:paraId="66991A08" w14:textId="77777777" w:rsidR="00DA4A08" w:rsidRPr="00E14102" w:rsidRDefault="00DA4A08" w:rsidP="00E14102">
      <w:pPr>
        <w:jc w:val="both"/>
        <w:rPr>
          <w:color w:val="000000" w:themeColor="text1"/>
          <w:sz w:val="16"/>
          <w:szCs w:val="16"/>
        </w:rPr>
      </w:pPr>
      <w:r w:rsidRPr="00E14102">
        <w:rPr>
          <w:color w:val="000000" w:themeColor="text1"/>
          <w:sz w:val="16"/>
          <w:szCs w:val="16"/>
        </w:rPr>
        <w:t xml:space="preserve">Все же в американской авиации, несмотря на высокий уровень ее техники, имеются слабые места. В частности, это относится к многомоторным тяжелым самолетам. Здесь американцам особенно похвастать нечем. </w:t>
      </w:r>
    </w:p>
    <w:p w14:paraId="1A88911B" w14:textId="77777777" w:rsidR="00DA4A08" w:rsidRPr="00E14102" w:rsidRDefault="00DA4A08" w:rsidP="00E14102">
      <w:pPr>
        <w:jc w:val="both"/>
        <w:rPr>
          <w:color w:val="000000" w:themeColor="text1"/>
          <w:sz w:val="16"/>
          <w:szCs w:val="16"/>
        </w:rPr>
      </w:pPr>
      <w:r w:rsidRPr="00E14102">
        <w:rPr>
          <w:color w:val="000000" w:themeColor="text1"/>
          <w:sz w:val="16"/>
          <w:szCs w:val="16"/>
        </w:rPr>
        <w:t xml:space="preserve">Считаю нужным отметить одно очень интересное обстоятельство в области авиационных материалов. В американском самолетостроении дерево находит все меньшее применение. Металл, всевозможные дюралевые сплавы все больше и больше вытесняют другие виды конструктивных авиационных материалов...46 </w:t>
      </w:r>
    </w:p>
    <w:p w14:paraId="04337761" w14:textId="77777777" w:rsidR="00DA4A08" w:rsidRPr="00E14102" w:rsidRDefault="00DA4A08" w:rsidP="00E14102">
      <w:pPr>
        <w:jc w:val="both"/>
        <w:rPr>
          <w:color w:val="000000" w:themeColor="text1"/>
          <w:sz w:val="16"/>
          <w:szCs w:val="16"/>
        </w:rPr>
      </w:pPr>
      <w:r w:rsidRPr="00E14102">
        <w:rPr>
          <w:color w:val="000000" w:themeColor="text1"/>
          <w:sz w:val="16"/>
          <w:szCs w:val="16"/>
        </w:rPr>
        <w:t xml:space="preserve">В общем, резюмирует т. Туполев, наша поездка за границу дала очень много ценного. Особенно полезным оказалось знакомство с американской авиацией. </w:t>
      </w:r>
    </w:p>
    <w:p w14:paraId="45776B0D" w14:textId="77777777" w:rsidR="00DA4A08" w:rsidRPr="00E14102" w:rsidRDefault="00DA4A08" w:rsidP="00E14102">
      <w:pPr>
        <w:jc w:val="both"/>
        <w:rPr>
          <w:color w:val="000000" w:themeColor="text1"/>
          <w:sz w:val="16"/>
          <w:szCs w:val="16"/>
        </w:rPr>
      </w:pPr>
      <w:r w:rsidRPr="00E14102">
        <w:rPr>
          <w:color w:val="000000" w:themeColor="text1"/>
          <w:sz w:val="16"/>
          <w:szCs w:val="16"/>
        </w:rPr>
        <w:t>За индустриализацию. 1935. № 154. С. 3 (12152).</w:t>
      </w:r>
    </w:p>
    <w:p w14:paraId="1152AF03" w14:textId="77777777" w:rsidR="00DA4A08" w:rsidRPr="00E14102" w:rsidRDefault="00DA4A08" w:rsidP="00E14102">
      <w:pPr>
        <w:jc w:val="both"/>
        <w:rPr>
          <w:color w:val="000000" w:themeColor="text1"/>
          <w:sz w:val="16"/>
          <w:szCs w:val="16"/>
        </w:rPr>
      </w:pPr>
    </w:p>
    <w:p w14:paraId="2C10BF0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97D97E9" w14:textId="77777777" w:rsidR="00D4105E" w:rsidRPr="00E14102" w:rsidRDefault="00D4105E" w:rsidP="00E14102">
      <w:pPr>
        <w:autoSpaceDE w:val="0"/>
        <w:autoSpaceDN w:val="0"/>
        <w:adjustRightInd w:val="0"/>
        <w:jc w:val="both"/>
        <w:rPr>
          <w:iCs/>
          <w:color w:val="000000" w:themeColor="text1"/>
          <w:sz w:val="16"/>
          <w:szCs w:val="16"/>
        </w:rPr>
      </w:pPr>
    </w:p>
    <w:p w14:paraId="02397E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июля 1935 после прошедших в июне-июле полигонных испытаний трех универсальных пушек Ф-22, изготовленных в марте, з-д 92 получил заказ на серию из 10 (5161, 43).</w:t>
      </w:r>
    </w:p>
    <w:p w14:paraId="72C0023B" w14:textId="77777777" w:rsidR="00D4105E" w:rsidRPr="00E14102" w:rsidRDefault="00D4105E" w:rsidP="00E14102">
      <w:pPr>
        <w:autoSpaceDE w:val="0"/>
        <w:autoSpaceDN w:val="0"/>
        <w:adjustRightInd w:val="0"/>
        <w:jc w:val="both"/>
        <w:rPr>
          <w:color w:val="000000" w:themeColor="text1"/>
          <w:sz w:val="16"/>
          <w:szCs w:val="16"/>
        </w:rPr>
      </w:pPr>
    </w:p>
    <w:p w14:paraId="4B228F04"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lastRenderedPageBreak/>
        <w:t>В самом начале июля 1935 года опытный образец АТ-1 вышел на заводские испытания. По результатам взвешивания боевая масса оказалась даже чуть ниже расчётной — 9600 кг. 3-4 июля происходила обкатка машины, по результатам которой обнаружился целый букет дефектов. Из-за забрасывания свечей маслом, вытекавшим через крышку картера, двигатель плохо заводился, наблюдался повышенный шум в шестерёнчатой передаче от сцепления двигателя к карданному валу и перегрев барабанов бортовых фрикционов. Перегрев удалось устранить путём регулировки механизмов управления. Средняя скорость составила 16 км/ч, при этом на мерном участке максимальная скорость составила 27 км/ч (19671).</w:t>
      </w:r>
    </w:p>
    <w:p w14:paraId="07D5677F"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20F01ADA" w14:textId="77777777" w:rsidR="006D10EE" w:rsidRPr="00E14102" w:rsidRDefault="006D10EE" w:rsidP="00E14102">
      <w:pPr>
        <w:autoSpaceDE w:val="0"/>
        <w:autoSpaceDN w:val="0"/>
        <w:adjustRightInd w:val="0"/>
        <w:jc w:val="both"/>
        <w:rPr>
          <w:color w:val="000000" w:themeColor="text1"/>
          <w:sz w:val="16"/>
          <w:szCs w:val="16"/>
        </w:rPr>
      </w:pPr>
      <w:r w:rsidRPr="00E14102">
        <w:rPr>
          <w:color w:val="000000" w:themeColor="text1"/>
          <w:sz w:val="16"/>
          <w:szCs w:val="16"/>
        </w:rPr>
        <w:t>6 июля 1935 вступил в строй Уральский вагоноремонтный завод (3481).</w:t>
      </w:r>
    </w:p>
    <w:p w14:paraId="3642DB03" w14:textId="77777777" w:rsidR="006D10EE" w:rsidRPr="00E14102" w:rsidRDefault="006D10EE" w:rsidP="00E14102">
      <w:pPr>
        <w:autoSpaceDE w:val="0"/>
        <w:autoSpaceDN w:val="0"/>
        <w:adjustRightInd w:val="0"/>
        <w:jc w:val="both"/>
        <w:rPr>
          <w:color w:val="000000" w:themeColor="text1"/>
          <w:sz w:val="16"/>
          <w:szCs w:val="16"/>
        </w:rPr>
      </w:pPr>
    </w:p>
    <w:p w14:paraId="3DD8D64F" w14:textId="77777777" w:rsidR="006D10EE" w:rsidRPr="00E14102" w:rsidRDefault="006D10EE" w:rsidP="00E14102">
      <w:pPr>
        <w:pStyle w:val="rtejustify"/>
        <w:spacing w:before="0" w:after="0"/>
        <w:rPr>
          <w:color w:val="000000" w:themeColor="text1"/>
          <w:sz w:val="16"/>
          <w:szCs w:val="16"/>
        </w:rPr>
      </w:pPr>
      <w:r w:rsidRPr="00E14102">
        <w:rPr>
          <w:rStyle w:val="a6"/>
          <w:bCs/>
          <w:i w:val="0"/>
          <w:color w:val="000000" w:themeColor="text1"/>
          <w:sz w:val="16"/>
          <w:szCs w:val="16"/>
        </w:rPr>
        <w:t>6/10 июля 1935 вышел приказ НКТП № 122сс.</w:t>
      </w:r>
      <w:r w:rsidRPr="00E14102">
        <w:rPr>
          <w:color w:val="000000" w:themeColor="text1"/>
          <w:sz w:val="16"/>
          <w:szCs w:val="16"/>
        </w:rPr>
        <w:t xml:space="preserve"> О порядке перевооружения эсминца «Карл Маркс». (РГАЭ. Ф. 7297. Оп. 38. Д. 171. Л. 192</w:t>
      </w:r>
      <w:r w:rsidRPr="00E14102">
        <w:rPr>
          <w:color w:val="000000" w:themeColor="text1"/>
          <w:sz w:val="16"/>
          <w:szCs w:val="16"/>
        </w:rPr>
        <w:noBreakHyphen/>
        <w:t>191) (15246).</w:t>
      </w:r>
    </w:p>
    <w:p w14:paraId="42A274D5" w14:textId="77777777" w:rsidR="006D10EE" w:rsidRPr="00E14102" w:rsidRDefault="006D10EE" w:rsidP="00E14102">
      <w:pPr>
        <w:pStyle w:val="rtejustify"/>
        <w:spacing w:before="0" w:after="0"/>
        <w:rPr>
          <w:color w:val="000000" w:themeColor="text1"/>
          <w:sz w:val="16"/>
          <w:szCs w:val="16"/>
        </w:rPr>
      </w:pPr>
    </w:p>
    <w:p w14:paraId="6D68EAF0" w14:textId="77777777" w:rsidR="006D10EE" w:rsidRPr="00E14102" w:rsidRDefault="006D10EE" w:rsidP="00E14102">
      <w:pPr>
        <w:jc w:val="both"/>
        <w:rPr>
          <w:color w:val="000000" w:themeColor="text1"/>
          <w:sz w:val="16"/>
          <w:szCs w:val="16"/>
        </w:rPr>
      </w:pPr>
      <w:r w:rsidRPr="00E14102">
        <w:rPr>
          <w:bCs/>
          <w:color w:val="000000" w:themeColor="text1"/>
          <w:sz w:val="16"/>
          <w:szCs w:val="16"/>
        </w:rPr>
        <w:t>6 июля</w:t>
      </w:r>
      <w:r w:rsidRPr="00E14102">
        <w:rPr>
          <w:color w:val="000000" w:themeColor="text1"/>
          <w:sz w:val="16"/>
          <w:szCs w:val="16"/>
        </w:rPr>
        <w:t xml:space="preserve"> в 1935 году из Архангельска стартовала первая советская морская высокоширотная экспедиция на ледоколе «Садко». Судно водоизмещением 3 800 тонн было построено в Англии в 1912 году, в 1916-м оно затонуло в Кандалакшском заливе Белого моря, а в 1933-м его подняли сотрудники легендарного ЭПРОНа (Экспедиции подводных работ особого назначения). Цель плавания сводилась к исследованию Арктического бассейна от Шпицбергена до Северной Земли и в регионе севернее этих архипелагов. Возглавляли экспедицию опытнейшие полярники Георгий Алексеевич Ушаков (1901–1963) и Николай Николаевич Зубов (1885–1960). Специалисты получили множество важных и зачастую неожиданных результатов: обнаружились «отроги» так называемого подводного порога Нансена — повышение дна, отделяющее Гренландское море от Арктического бассейна и играющее роль своеобразного клапана-терморегулятора. Завершилась 27 сентября (14944).</w:t>
      </w:r>
    </w:p>
    <w:p w14:paraId="6D09F80A" w14:textId="77777777" w:rsidR="006D10EE" w:rsidRPr="00E14102" w:rsidRDefault="006D10EE" w:rsidP="00E14102">
      <w:pPr>
        <w:jc w:val="both"/>
        <w:rPr>
          <w:color w:val="000000" w:themeColor="text1"/>
          <w:sz w:val="16"/>
          <w:szCs w:val="16"/>
        </w:rPr>
      </w:pPr>
    </w:p>
    <w:p w14:paraId="327D856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4739E4E" w14:textId="77777777" w:rsidR="00D4105E" w:rsidRPr="00E14102" w:rsidRDefault="00D4105E" w:rsidP="00E14102">
      <w:pPr>
        <w:autoSpaceDE w:val="0"/>
        <w:autoSpaceDN w:val="0"/>
        <w:adjustRightInd w:val="0"/>
        <w:jc w:val="both"/>
        <w:rPr>
          <w:iCs/>
          <w:color w:val="000000" w:themeColor="text1"/>
          <w:sz w:val="16"/>
          <w:szCs w:val="16"/>
        </w:rPr>
      </w:pPr>
    </w:p>
    <w:p w14:paraId="328CE0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июля 1935 из Архангельска на ледокольном пароходе Садко вышла первая советская высокоширотная экспедиция под руководством Н.Н.Зубова и Г.А.Ушакова (3263,372).</w:t>
      </w:r>
    </w:p>
    <w:p w14:paraId="6193BACA" w14:textId="77777777" w:rsidR="00D4105E" w:rsidRPr="00E14102" w:rsidRDefault="00D4105E" w:rsidP="00E14102">
      <w:pPr>
        <w:autoSpaceDE w:val="0"/>
        <w:autoSpaceDN w:val="0"/>
        <w:adjustRightInd w:val="0"/>
        <w:jc w:val="both"/>
        <w:rPr>
          <w:color w:val="000000" w:themeColor="text1"/>
          <w:sz w:val="16"/>
          <w:szCs w:val="16"/>
        </w:rPr>
      </w:pPr>
    </w:p>
    <w:p w14:paraId="7B71B9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 6 июля по 28 сентября 1935 была первая высокоширотная экспедиция Главного управления Севморпути на л/п «Садко». </w:t>
      </w:r>
    </w:p>
    <w:p w14:paraId="54F33A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Целью экспедиции было обследование обширного района от Шпицбергена до Северной Земли, а также выполнение ряда других задач. Руководил экспедицией опытный полярник Г. А. Ушаков. Выйдя из Архангельска, «Садко» (капитан Н. М. Николаев) отправился вдоль Мурманского берега до м. Нордкап, откуда лег на курс к о. Медвежий, а затем к Шпицбергену. Обогнув архипелаг с севера, «Садко» пошел к Новой Земле, а затем к Северной Земле. 13.9 судно достигло точки 82°41,6' с. ш., 87°04' в. д., впервые в истории мореплавания выйдя в глубоководную часть Северного Ледовитого океана. 28.9 оно возвратилось в Архангельск. Участники экспедиции провели важные океанографические и метеорологические наблюдения и открыли остров, названный именем Ушакова (11712).</w:t>
      </w:r>
    </w:p>
    <w:p w14:paraId="12185922" w14:textId="77777777" w:rsidR="00D4105E" w:rsidRPr="00E14102" w:rsidRDefault="00D4105E" w:rsidP="00E14102">
      <w:pPr>
        <w:autoSpaceDE w:val="0"/>
        <w:autoSpaceDN w:val="0"/>
        <w:adjustRightInd w:val="0"/>
        <w:jc w:val="both"/>
        <w:rPr>
          <w:color w:val="000000" w:themeColor="text1"/>
          <w:sz w:val="16"/>
          <w:szCs w:val="16"/>
        </w:rPr>
      </w:pPr>
    </w:p>
    <w:p w14:paraId="2232E9BE" w14:textId="77777777" w:rsidR="00C90970" w:rsidRPr="00E14102" w:rsidRDefault="00C90970" w:rsidP="00E14102">
      <w:pPr>
        <w:jc w:val="both"/>
        <w:rPr>
          <w:color w:val="0070C0"/>
          <w:sz w:val="16"/>
          <w:szCs w:val="16"/>
        </w:rPr>
      </w:pPr>
      <w:r w:rsidRPr="00E14102">
        <w:rPr>
          <w:color w:val="0070C0"/>
          <w:sz w:val="16"/>
          <w:szCs w:val="16"/>
        </w:rPr>
        <w:t>6 июля 1935 года ледокол «Садко» начал первую советскую арктическую высокоширотную экспедицию под руководством Г. А. Ушакова в целях исследования глубоководных районов Арктического бассейна (6 июля — 27 сентября).</w:t>
      </w:r>
    </w:p>
    <w:p w14:paraId="163DEA14" w14:textId="77777777" w:rsidR="00C90970" w:rsidRPr="00E14102" w:rsidRDefault="00C90970" w:rsidP="00E14102">
      <w:pPr>
        <w:jc w:val="both"/>
        <w:rPr>
          <w:color w:val="0070C0"/>
          <w:sz w:val="16"/>
          <w:szCs w:val="16"/>
        </w:rPr>
      </w:pPr>
      <w:r w:rsidRPr="00E14102">
        <w:rPr>
          <w:color w:val="0070C0"/>
          <w:sz w:val="16"/>
          <w:szCs w:val="16"/>
        </w:rPr>
        <w:t>16 июня 1916 года при перевозке груза для строительства железной дороги Кандалакша-Мурманск «Садко» затонул в Кандалакшской губе, наскочив на подводный камень.</w:t>
      </w:r>
    </w:p>
    <w:p w14:paraId="6049C2C0" w14:textId="77777777" w:rsidR="00C90970" w:rsidRPr="00E14102" w:rsidRDefault="00C90970" w:rsidP="00E14102">
      <w:pPr>
        <w:jc w:val="both"/>
        <w:rPr>
          <w:color w:val="0070C0"/>
          <w:sz w:val="16"/>
          <w:szCs w:val="16"/>
        </w:rPr>
      </w:pPr>
      <w:r w:rsidRPr="00E14102">
        <w:rPr>
          <w:color w:val="0070C0"/>
          <w:sz w:val="16"/>
          <w:szCs w:val="16"/>
        </w:rPr>
        <w:t>Через 17 лет, 14 октября 1933 года поднят силами ЭПРОН. Год спустя, 9 июля 1934 года состоялся первый выход «Садко» в море после ремонта.</w:t>
      </w:r>
    </w:p>
    <w:p w14:paraId="08C13684" w14:textId="77777777" w:rsidR="00C90970" w:rsidRPr="00E14102" w:rsidRDefault="00C90970" w:rsidP="00E14102">
      <w:pPr>
        <w:jc w:val="both"/>
        <w:rPr>
          <w:color w:val="0070C0"/>
          <w:sz w:val="16"/>
          <w:szCs w:val="16"/>
        </w:rPr>
      </w:pPr>
      <w:r w:rsidRPr="00E14102">
        <w:rPr>
          <w:color w:val="0070C0"/>
          <w:sz w:val="16"/>
          <w:szCs w:val="16"/>
        </w:rPr>
        <w:t>7 сентября 1934 года экспедиция на «Садко» под командованием капитана А. К. Бурке, в сопровождении ледокола «Ермак», основала полярную станцию на острове Уединения.</w:t>
      </w:r>
    </w:p>
    <w:p w14:paraId="7755159B" w14:textId="77777777" w:rsidR="00C90970" w:rsidRPr="00E14102" w:rsidRDefault="00C90970" w:rsidP="00E14102">
      <w:pPr>
        <w:jc w:val="both"/>
        <w:rPr>
          <w:color w:val="0070C0"/>
          <w:sz w:val="16"/>
          <w:szCs w:val="16"/>
        </w:rPr>
      </w:pPr>
      <w:r w:rsidRPr="00E14102">
        <w:rPr>
          <w:color w:val="0070C0"/>
          <w:sz w:val="16"/>
          <w:szCs w:val="16"/>
        </w:rPr>
        <w:t>Оборудование и персонал были предназначены для станции на мысе Оловянный (Северная Земля), но ледовая обстановка не позволила туда пробиться и по распоряжению Главсевморпути место выгрузки было перенесено. Начало строительства станции и первую зимовку на острове провели 18 человек (в том числе 9 строительных рабочих) под руководством С. В. Шманева.</w:t>
      </w:r>
    </w:p>
    <w:p w14:paraId="162AC93B" w14:textId="77777777" w:rsidR="00C90970" w:rsidRPr="00E14102" w:rsidRDefault="00C90970" w:rsidP="00E14102">
      <w:pPr>
        <w:jc w:val="both"/>
        <w:rPr>
          <w:color w:val="0070C0"/>
          <w:sz w:val="16"/>
          <w:szCs w:val="16"/>
        </w:rPr>
      </w:pPr>
      <w:r w:rsidRPr="00E14102">
        <w:rPr>
          <w:color w:val="0070C0"/>
          <w:sz w:val="16"/>
          <w:szCs w:val="16"/>
        </w:rPr>
        <w:t>В 1935 году на «Садко» предпринята Первая Высокоширотная экспедиция Главсевморпути под руководством Г. А. Ушакова. Установлен мировой рекорд свободного плавания за Полярным кругом (82°4’с.ш.). Открыт остров Ушакова.</w:t>
      </w:r>
    </w:p>
    <w:p w14:paraId="0276A1E5" w14:textId="77777777" w:rsidR="00C90970" w:rsidRPr="00E14102" w:rsidRDefault="00C90970" w:rsidP="00E14102">
      <w:pPr>
        <w:jc w:val="both"/>
        <w:rPr>
          <w:color w:val="0070C0"/>
          <w:sz w:val="16"/>
          <w:szCs w:val="16"/>
        </w:rPr>
      </w:pPr>
      <w:r w:rsidRPr="00E14102">
        <w:rPr>
          <w:color w:val="0070C0"/>
          <w:sz w:val="16"/>
          <w:szCs w:val="16"/>
        </w:rPr>
        <w:t>Летом 1937 года экспедиция на «Садко» (капитан Николай Иванович Хромцов) под руководством профессора Визе, отплыла из Мурманска к островам Де-Лонга. Однако задачи были изменены и ледокол направлен для помощи судам в Карском море и море Лаптевых. Попытка преодолеть льды оказалась неудачой и «Садко» также оказался блокирован льдами в районе Новосибирских островов 75°17' с.ш. 132°28' в. д. (G) (O).</w:t>
      </w:r>
      <w:r w:rsidRPr="00E14102">
        <w:rPr>
          <w:color w:val="0070C0"/>
          <w:sz w:val="16"/>
          <w:szCs w:val="16"/>
        </w:rPr>
        <w:br/>
        <w:t>Вместе с ледокольными пароходами «Малыгин» и «Георгий Седов», «Садко» дрейфовал во льдах на север от Бельковского острова до 83°05' северной широты.</w:t>
      </w:r>
    </w:p>
    <w:p w14:paraId="1C2D9048" w14:textId="77777777" w:rsidR="00C90970" w:rsidRPr="00E14102" w:rsidRDefault="00C90970" w:rsidP="00E14102">
      <w:pPr>
        <w:jc w:val="both"/>
        <w:rPr>
          <w:color w:val="0070C0"/>
          <w:sz w:val="16"/>
          <w:szCs w:val="16"/>
        </w:rPr>
      </w:pPr>
      <w:r w:rsidRPr="00E14102">
        <w:rPr>
          <w:color w:val="0070C0"/>
          <w:sz w:val="16"/>
          <w:szCs w:val="16"/>
        </w:rPr>
        <w:t>Экспедиция на «Садко» не имела достаточных припасов для столь долгой зимовки, однако из-за сложных метеоусловий часть членов экспедиции и экипажа удалось эвакуировать лишь в апреле 1938 года.</w:t>
      </w:r>
    </w:p>
    <w:p w14:paraId="1B04D594" w14:textId="77777777" w:rsidR="00C90970" w:rsidRPr="00E14102" w:rsidRDefault="00C90970" w:rsidP="00E14102">
      <w:pPr>
        <w:jc w:val="both"/>
        <w:rPr>
          <w:color w:val="0070C0"/>
          <w:sz w:val="16"/>
          <w:szCs w:val="16"/>
        </w:rPr>
      </w:pPr>
      <w:r w:rsidRPr="00E14102">
        <w:rPr>
          <w:color w:val="0070C0"/>
          <w:sz w:val="16"/>
          <w:szCs w:val="16"/>
        </w:rPr>
        <w:t>Сам «Садко» освободился от ледового плена только в сентябре 1938 года с помощью ледокола «Ермак» 83°04' с. ш. 138°22' в. д. (G) (O).</w:t>
      </w:r>
    </w:p>
    <w:p w14:paraId="23825AD2" w14:textId="77777777" w:rsidR="00C90970" w:rsidRPr="00E14102" w:rsidRDefault="00C90970" w:rsidP="00E14102">
      <w:pPr>
        <w:jc w:val="both"/>
        <w:rPr>
          <w:color w:val="0070C0"/>
          <w:sz w:val="16"/>
          <w:szCs w:val="16"/>
        </w:rPr>
      </w:pPr>
      <w:r w:rsidRPr="00E14102">
        <w:rPr>
          <w:color w:val="0070C0"/>
          <w:sz w:val="16"/>
          <w:szCs w:val="16"/>
        </w:rPr>
        <w:t>11 сентября 1941 года, на пути из Диксона на Землю Франца-Иосифа, «Садко» наскочил на ранее неизвестную подводную банку вблизи островов Известий ЦИК в Карском море и затонул. Погиб один человек, остальной экипаж спасен ледоколом «Ленин» (21179).</w:t>
      </w:r>
    </w:p>
    <w:p w14:paraId="5AE2EBC6" w14:textId="4E7C01B1" w:rsidR="00C90970" w:rsidRPr="00E14102" w:rsidRDefault="00C90970" w:rsidP="00E14102">
      <w:pPr>
        <w:pStyle w:val="1080"/>
        <w:shd w:val="clear" w:color="auto" w:fill="auto"/>
        <w:spacing w:after="0" w:line="240" w:lineRule="auto"/>
        <w:ind w:firstLine="0"/>
        <w:jc w:val="both"/>
        <w:rPr>
          <w:rStyle w:val="820"/>
          <w:rFonts w:ascii="Times New Roman" w:hAnsi="Times New Roman" w:cs="Times New Roman"/>
          <w:color w:val="0070C0"/>
          <w:sz w:val="16"/>
          <w:szCs w:val="16"/>
        </w:rPr>
      </w:pPr>
    </w:p>
    <w:p w14:paraId="0659B953" w14:textId="394B3E93" w:rsidR="00C90970" w:rsidRPr="00E14102" w:rsidRDefault="00C90970" w:rsidP="00E14102">
      <w:pPr>
        <w:pStyle w:val="1080"/>
        <w:shd w:val="clear" w:color="auto" w:fill="auto"/>
        <w:spacing w:after="0" w:line="240" w:lineRule="auto"/>
        <w:ind w:firstLine="0"/>
        <w:jc w:val="both"/>
        <w:rPr>
          <w:rStyle w:val="820"/>
          <w:rFonts w:ascii="Times New Roman" w:hAnsi="Times New Roman" w:cs="Times New Roman"/>
          <w:i/>
          <w:iCs/>
          <w:color w:val="0070C0"/>
          <w:sz w:val="16"/>
          <w:szCs w:val="16"/>
          <w:lang w:val="ru-RU"/>
        </w:rPr>
      </w:pPr>
      <w:r w:rsidRPr="00E14102">
        <w:rPr>
          <w:rStyle w:val="820"/>
          <w:rFonts w:ascii="Times New Roman" w:hAnsi="Times New Roman" w:cs="Times New Roman"/>
          <w:i/>
          <w:iCs/>
          <w:color w:val="0070C0"/>
          <w:sz w:val="16"/>
          <w:szCs w:val="16"/>
          <w:lang w:val="ru-RU"/>
        </w:rPr>
        <w:t>За рубежом:</w:t>
      </w:r>
    </w:p>
    <w:p w14:paraId="6CC289B7" w14:textId="77777777" w:rsidR="00C90970" w:rsidRPr="00E14102" w:rsidRDefault="00C90970" w:rsidP="00E14102">
      <w:pPr>
        <w:pStyle w:val="1080"/>
        <w:shd w:val="clear" w:color="auto" w:fill="auto"/>
        <w:spacing w:after="0" w:line="240" w:lineRule="auto"/>
        <w:ind w:firstLine="0"/>
        <w:jc w:val="both"/>
        <w:rPr>
          <w:rStyle w:val="820"/>
          <w:rFonts w:ascii="Times New Roman" w:hAnsi="Times New Roman" w:cs="Times New Roman"/>
          <w:i/>
          <w:iCs/>
          <w:color w:val="0070C0"/>
          <w:sz w:val="16"/>
          <w:szCs w:val="16"/>
        </w:rPr>
      </w:pPr>
    </w:p>
    <w:p w14:paraId="152B093A" w14:textId="77777777" w:rsidR="00C90970" w:rsidRPr="00E14102" w:rsidRDefault="00C90970" w:rsidP="00E14102">
      <w:pPr>
        <w:jc w:val="both"/>
        <w:rPr>
          <w:color w:val="0070C0"/>
          <w:sz w:val="16"/>
          <w:szCs w:val="16"/>
        </w:rPr>
      </w:pPr>
      <w:r w:rsidRPr="00E14102">
        <w:rPr>
          <w:color w:val="0070C0"/>
          <w:sz w:val="16"/>
          <w:szCs w:val="16"/>
        </w:rPr>
        <w:t>6 июля 1935 состоялся первый полет Fairchild 82  (20800).</w:t>
      </w:r>
    </w:p>
    <w:p w14:paraId="2F0DBBFB" w14:textId="77777777" w:rsidR="00C90970" w:rsidRPr="00E14102" w:rsidRDefault="00C90970" w:rsidP="00E14102">
      <w:pPr>
        <w:jc w:val="both"/>
        <w:rPr>
          <w:color w:val="0070C0"/>
          <w:sz w:val="16"/>
          <w:szCs w:val="16"/>
        </w:rPr>
      </w:pPr>
    </w:p>
    <w:p w14:paraId="4B2020E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A9B168F" w14:textId="77777777" w:rsidR="00D4105E" w:rsidRPr="00E14102" w:rsidRDefault="00D4105E" w:rsidP="00E14102">
      <w:pPr>
        <w:autoSpaceDE w:val="0"/>
        <w:autoSpaceDN w:val="0"/>
        <w:adjustRightInd w:val="0"/>
        <w:jc w:val="both"/>
        <w:rPr>
          <w:iCs/>
          <w:color w:val="000000" w:themeColor="text1"/>
          <w:sz w:val="16"/>
          <w:szCs w:val="16"/>
        </w:rPr>
      </w:pPr>
    </w:p>
    <w:p w14:paraId="1ABD4138" w14:textId="77777777" w:rsidR="006D10EE" w:rsidRPr="00E14102" w:rsidRDefault="006D10EE" w:rsidP="00E14102">
      <w:pPr>
        <w:jc w:val="both"/>
        <w:rPr>
          <w:color w:val="000000" w:themeColor="text1"/>
          <w:sz w:val="16"/>
          <w:szCs w:val="16"/>
        </w:rPr>
      </w:pPr>
      <w:r w:rsidRPr="00E14102">
        <w:rPr>
          <w:color w:val="000000" w:themeColor="text1"/>
          <w:sz w:val="16"/>
          <w:szCs w:val="16"/>
        </w:rPr>
        <w:t>В начале июля 1935, в связи с тем, что срывались сроки начала серийного производства истребителей И-14 на заводе N9 125, правительство приняло решение сократить программу завода по И-14 со 150 машин до 50. Такая ситуация была хара</w:t>
      </w:r>
      <w:r w:rsidRPr="00E14102">
        <w:rPr>
          <w:color w:val="000000" w:themeColor="text1"/>
          <w:sz w:val="16"/>
          <w:szCs w:val="16"/>
        </w:rPr>
        <w:softHyphen/>
        <w:t>ктерна в целом и для всей авиационной промышлен</w:t>
      </w:r>
      <w:r w:rsidRPr="00E14102">
        <w:rPr>
          <w:color w:val="000000" w:themeColor="text1"/>
          <w:sz w:val="16"/>
          <w:szCs w:val="16"/>
        </w:rPr>
        <w:softHyphen/>
        <w:t>ности (15823).</w:t>
      </w:r>
    </w:p>
    <w:p w14:paraId="697BCFF1" w14:textId="77777777" w:rsidR="006D10EE" w:rsidRPr="00E14102" w:rsidRDefault="006D10EE" w:rsidP="00E14102">
      <w:pPr>
        <w:jc w:val="both"/>
        <w:rPr>
          <w:color w:val="000000" w:themeColor="text1"/>
          <w:sz w:val="16"/>
          <w:szCs w:val="16"/>
        </w:rPr>
      </w:pPr>
    </w:p>
    <w:p w14:paraId="738C4DB6" w14:textId="77777777" w:rsidR="00B64ECD" w:rsidRPr="00E14102" w:rsidRDefault="00B64ECD" w:rsidP="00E14102">
      <w:pPr>
        <w:pStyle w:val="1080"/>
        <w:shd w:val="clear" w:color="auto" w:fill="auto"/>
        <w:spacing w:after="0" w:line="240" w:lineRule="auto"/>
        <w:ind w:firstLine="0"/>
        <w:jc w:val="both"/>
        <w:rPr>
          <w:rStyle w:val="820"/>
          <w:rFonts w:ascii="Times New Roman" w:hAnsi="Times New Roman" w:cs="Times New Roman"/>
          <w:color w:val="0070C0"/>
          <w:sz w:val="16"/>
          <w:szCs w:val="16"/>
        </w:rPr>
      </w:pPr>
      <w:r w:rsidRPr="00E14102">
        <w:rPr>
          <w:rStyle w:val="820"/>
          <w:rFonts w:ascii="Times New Roman" w:hAnsi="Times New Roman" w:cs="Times New Roman"/>
          <w:color w:val="0070C0"/>
          <w:sz w:val="16"/>
          <w:szCs w:val="16"/>
        </w:rPr>
        <w:t>К началу июля 1935 года эталон ИП-1 с АПК-4М облетали и даже предъявили воен</w:t>
      </w:r>
      <w:r w:rsidRPr="00E14102">
        <w:rPr>
          <w:rStyle w:val="820"/>
          <w:rFonts w:ascii="Times New Roman" w:hAnsi="Times New Roman" w:cs="Times New Roman"/>
          <w:color w:val="0070C0"/>
          <w:sz w:val="16"/>
          <w:szCs w:val="16"/>
        </w:rPr>
        <w:softHyphen/>
        <w:t>преду, и формально он находился на доводке вооружения. На самолет установили новый капот, ликвидировали индивидуальные вы</w:t>
      </w:r>
      <w:r w:rsidRPr="00E14102">
        <w:rPr>
          <w:rStyle w:val="820"/>
          <w:rFonts w:ascii="Times New Roman" w:hAnsi="Times New Roman" w:cs="Times New Roman"/>
          <w:color w:val="0070C0"/>
          <w:sz w:val="16"/>
          <w:szCs w:val="16"/>
        </w:rPr>
        <w:softHyphen/>
        <w:t>хлопные патрубки и вместо них поставили два выхлопных коллектора, которые вывели вниз, под брюхо фюзеляжа. Машину оснасти</w:t>
      </w:r>
      <w:r w:rsidRPr="00E14102">
        <w:rPr>
          <w:rStyle w:val="820"/>
          <w:rFonts w:ascii="Times New Roman" w:hAnsi="Times New Roman" w:cs="Times New Roman"/>
          <w:color w:val="0070C0"/>
          <w:sz w:val="16"/>
          <w:szCs w:val="16"/>
        </w:rPr>
        <w:softHyphen/>
        <w:t>ли электроинерционным самопуском «Эклипс», установили шестидюймовый маслорадиатор, убрали бензоотстойник - бензо</w:t>
      </w:r>
      <w:r w:rsidRPr="00E14102">
        <w:rPr>
          <w:rStyle w:val="820"/>
          <w:rFonts w:ascii="Times New Roman" w:hAnsi="Times New Roman" w:cs="Times New Roman"/>
          <w:color w:val="0070C0"/>
          <w:sz w:val="16"/>
          <w:szCs w:val="16"/>
        </w:rPr>
        <w:softHyphen/>
        <w:t>фильтр занимал меньше места, и ему не тре</w:t>
      </w:r>
      <w:r w:rsidRPr="00E14102">
        <w:rPr>
          <w:rStyle w:val="820"/>
          <w:rFonts w:ascii="Times New Roman" w:hAnsi="Times New Roman" w:cs="Times New Roman"/>
          <w:color w:val="0070C0"/>
          <w:sz w:val="16"/>
          <w:szCs w:val="16"/>
        </w:rPr>
        <w:softHyphen/>
        <w:t>бовался громоздкий обтекатель на брюхе по оси симметрии самолета. Сиденье пилота сделали регулируемым по высоте, причем у спинки появился некоторый наклон, что должно было снизить утомляемость летчи</w:t>
      </w:r>
      <w:r w:rsidRPr="00E14102">
        <w:rPr>
          <w:rStyle w:val="820"/>
          <w:rFonts w:ascii="Times New Roman" w:hAnsi="Times New Roman" w:cs="Times New Roman"/>
          <w:color w:val="0070C0"/>
          <w:sz w:val="16"/>
          <w:szCs w:val="16"/>
        </w:rPr>
        <w:softHyphen/>
        <w:t>ков. Радиостанцию 15-СК заменили РИ-Зет. Насос уборки-выпуска шасси с правого борта перенесли на левый, установили подвижный козырек кабины и стандартные факелодер- жатели для посадки ночью</w:t>
      </w:r>
      <w:r w:rsidRPr="00E14102">
        <w:rPr>
          <w:rStyle w:val="820"/>
          <w:rFonts w:ascii="Times New Roman" w:hAnsi="Times New Roman" w:cs="Times New Roman"/>
          <w:color w:val="0070C0"/>
          <w:sz w:val="16"/>
          <w:szCs w:val="16"/>
          <w:lang w:val="ru-RU"/>
        </w:rPr>
        <w:t xml:space="preserve"> (19871)</w:t>
      </w:r>
      <w:r w:rsidRPr="00E14102">
        <w:rPr>
          <w:rStyle w:val="820"/>
          <w:rFonts w:ascii="Times New Roman" w:hAnsi="Times New Roman" w:cs="Times New Roman"/>
          <w:color w:val="0070C0"/>
          <w:sz w:val="16"/>
          <w:szCs w:val="16"/>
        </w:rPr>
        <w:t>.</w:t>
      </w:r>
    </w:p>
    <w:p w14:paraId="688E26BE" w14:textId="77777777" w:rsidR="00B64ECD" w:rsidRPr="00E14102" w:rsidRDefault="00B64ECD" w:rsidP="00E14102">
      <w:pPr>
        <w:pStyle w:val="1080"/>
        <w:shd w:val="clear" w:color="auto" w:fill="auto"/>
        <w:spacing w:after="0" w:line="240" w:lineRule="auto"/>
        <w:ind w:firstLine="0"/>
        <w:jc w:val="both"/>
        <w:rPr>
          <w:rFonts w:ascii="Times New Roman" w:hAnsi="Times New Roman" w:cs="Times New Roman"/>
          <w:color w:val="0070C0"/>
          <w:sz w:val="16"/>
          <w:szCs w:val="16"/>
        </w:rPr>
      </w:pPr>
    </w:p>
    <w:p w14:paraId="4DE53F2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нача</w:t>
      </w:r>
      <w:r w:rsidRPr="00E14102">
        <w:rPr>
          <w:color w:val="000000" w:themeColor="text1"/>
          <w:sz w:val="16"/>
          <w:szCs w:val="16"/>
        </w:rPr>
        <w:softHyphen/>
        <w:t>лу июля 1935 завод № 24 полностью перешел на выпуск дви</w:t>
      </w:r>
      <w:r w:rsidRPr="00E14102">
        <w:rPr>
          <w:color w:val="000000" w:themeColor="text1"/>
          <w:sz w:val="16"/>
          <w:szCs w:val="16"/>
        </w:rPr>
        <w:softHyphen/>
        <w:t>гателей М-34 с экранированным зажиганием, не создающим помехи для радиостанции. Вторая стадия модернизации М-34 именовалась «типом Б». В ее рамках «ужесточили» картер, ввели облегченный коленчатый вал с изменен</w:t>
      </w:r>
      <w:r w:rsidRPr="00E14102">
        <w:rPr>
          <w:color w:val="000000" w:themeColor="text1"/>
          <w:sz w:val="16"/>
          <w:szCs w:val="16"/>
        </w:rPr>
        <w:softHyphen/>
        <w:t>ным носком, поставили карбюратор К-34Б и доработали нагнетатель. Так появились М-34НБ и М-34РНБ, за</w:t>
      </w:r>
      <w:r w:rsidRPr="00E14102">
        <w:rPr>
          <w:color w:val="000000" w:themeColor="text1"/>
          <w:sz w:val="16"/>
          <w:szCs w:val="16"/>
        </w:rPr>
        <w:softHyphen/>
        <w:t>пущенные в серию в октябре 1935 г. На последнем внедрили облегченный редуктор, так что при равной мощ</w:t>
      </w:r>
      <w:r w:rsidRPr="00E14102">
        <w:rPr>
          <w:color w:val="000000" w:themeColor="text1"/>
          <w:sz w:val="16"/>
          <w:szCs w:val="16"/>
        </w:rPr>
        <w:softHyphen/>
        <w:t>ности вес получился меньше, чем у М-34РНА - 725 кг. Вариант М-34РБ выпускался в не</w:t>
      </w:r>
      <w:r w:rsidRPr="00E14102">
        <w:rPr>
          <w:color w:val="000000" w:themeColor="text1"/>
          <w:sz w:val="16"/>
          <w:szCs w:val="16"/>
        </w:rPr>
        <w:softHyphen/>
        <w:t>больших количествах, но впослед</w:t>
      </w:r>
      <w:r w:rsidRPr="00E14102">
        <w:rPr>
          <w:color w:val="000000" w:themeColor="text1"/>
          <w:sz w:val="16"/>
          <w:szCs w:val="16"/>
        </w:rPr>
        <w:softHyphen/>
        <w:t>ствии их много «всплыло» в ходе ремонтов (в 1938-39 годах с М-34РНБ на предприятиях ГВФ снимали нагне</w:t>
      </w:r>
      <w:r w:rsidRPr="00E14102">
        <w:rPr>
          <w:color w:val="000000" w:themeColor="text1"/>
          <w:sz w:val="16"/>
          <w:szCs w:val="16"/>
        </w:rPr>
        <w:softHyphen/>
        <w:t>татели, чтобы продлить ресурс дви</w:t>
      </w:r>
      <w:r w:rsidRPr="00E14102">
        <w:rPr>
          <w:color w:val="000000" w:themeColor="text1"/>
          <w:sz w:val="16"/>
          <w:szCs w:val="16"/>
        </w:rPr>
        <w:softHyphen/>
        <w:t>гателей. Так получались дополнитель</w:t>
      </w:r>
      <w:r w:rsidRPr="00E14102">
        <w:rPr>
          <w:color w:val="000000" w:themeColor="text1"/>
          <w:sz w:val="16"/>
          <w:szCs w:val="16"/>
        </w:rPr>
        <w:softHyphen/>
        <w:t>ные М-34РБ) (11848).</w:t>
      </w:r>
    </w:p>
    <w:p w14:paraId="6EB44C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5DB3D1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6C3F7DF" w14:textId="77777777" w:rsidR="00D4105E" w:rsidRPr="00E14102" w:rsidRDefault="00D4105E" w:rsidP="00E14102">
      <w:pPr>
        <w:autoSpaceDE w:val="0"/>
        <w:autoSpaceDN w:val="0"/>
        <w:adjustRightInd w:val="0"/>
        <w:jc w:val="both"/>
        <w:rPr>
          <w:iCs/>
          <w:color w:val="000000" w:themeColor="text1"/>
          <w:sz w:val="16"/>
          <w:szCs w:val="16"/>
        </w:rPr>
      </w:pPr>
    </w:p>
    <w:p w14:paraId="7708EF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июля 1935 года завод № 92 получил срочный правительственный заказ на изготовление опытно-валовой партии из 10 76-мм дивизионных пушек Ф-22 в течение 4-х месяцев (3861).</w:t>
      </w:r>
    </w:p>
    <w:p w14:paraId="2CD0DC73" w14:textId="77777777" w:rsidR="00D4105E" w:rsidRPr="00E14102" w:rsidRDefault="00D4105E" w:rsidP="00E14102">
      <w:pPr>
        <w:autoSpaceDE w:val="0"/>
        <w:autoSpaceDN w:val="0"/>
        <w:adjustRightInd w:val="0"/>
        <w:jc w:val="both"/>
        <w:rPr>
          <w:color w:val="000000" w:themeColor="text1"/>
          <w:sz w:val="16"/>
          <w:szCs w:val="16"/>
        </w:rPr>
      </w:pPr>
    </w:p>
    <w:p w14:paraId="63A5F74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10C2DEA" w14:textId="77777777" w:rsidR="00D4105E" w:rsidRPr="00E14102" w:rsidRDefault="00D4105E" w:rsidP="00E14102">
      <w:pPr>
        <w:autoSpaceDE w:val="0"/>
        <w:autoSpaceDN w:val="0"/>
        <w:adjustRightInd w:val="0"/>
        <w:jc w:val="both"/>
        <w:rPr>
          <w:iCs/>
          <w:color w:val="000000" w:themeColor="text1"/>
          <w:sz w:val="16"/>
          <w:szCs w:val="16"/>
        </w:rPr>
      </w:pPr>
    </w:p>
    <w:p w14:paraId="7B4A63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июля 1935 в ходе проводимых на заводе 22 испытаний М-34Р NN 301358, 301758, 3012, 13974 с экранированным зажиганием, установленных на ТБ-3 N 22621, которые шли с 3 июня 1935 по 9 июля 1935, был произведен 2-й полет и на проверку связи с другими самолетами (2947).</w:t>
      </w:r>
    </w:p>
    <w:p w14:paraId="6FC577C7" w14:textId="77777777" w:rsidR="00D4105E" w:rsidRPr="00E14102" w:rsidRDefault="00D4105E" w:rsidP="00E14102">
      <w:pPr>
        <w:autoSpaceDE w:val="0"/>
        <w:autoSpaceDN w:val="0"/>
        <w:adjustRightInd w:val="0"/>
        <w:jc w:val="both"/>
        <w:rPr>
          <w:color w:val="000000" w:themeColor="text1"/>
          <w:sz w:val="16"/>
          <w:szCs w:val="16"/>
        </w:rPr>
      </w:pPr>
    </w:p>
    <w:p w14:paraId="0590F9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7 июля 1935 на заводе 22 закончились испытания М-34Р NN 301358, 301758, 3012, 13974 с экранированным зажиганием, установленных на ТБ-3 N 22621, которые шли с 3 июня 1935. Зключение:</w:t>
      </w:r>
    </w:p>
    <w:p w14:paraId="25C8B5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Моторы с экранированным зажиганием в летных условиях работают нормально</w:t>
      </w:r>
    </w:p>
    <w:p w14:paraId="1FD595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Произведенная экранировка зажигания обеспечивает устранение значительной части помех приему на рациях со стороны системы зажигания моторов</w:t>
      </w:r>
    </w:p>
    <w:p w14:paraId="5FCE6B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определения влияния экранировки на запуск и работу моторов в зимних условиях необходимо провести дополнительные испытания (2947).</w:t>
      </w:r>
    </w:p>
    <w:p w14:paraId="0CFCA32C" w14:textId="77777777" w:rsidR="00D4105E" w:rsidRPr="00E14102" w:rsidRDefault="00D4105E" w:rsidP="00E14102">
      <w:pPr>
        <w:autoSpaceDE w:val="0"/>
        <w:autoSpaceDN w:val="0"/>
        <w:adjustRightInd w:val="0"/>
        <w:jc w:val="both"/>
        <w:rPr>
          <w:color w:val="000000" w:themeColor="text1"/>
          <w:sz w:val="16"/>
          <w:szCs w:val="16"/>
        </w:rPr>
      </w:pPr>
    </w:p>
    <w:p w14:paraId="2C91EBB5" w14:textId="77777777" w:rsidR="009803C3" w:rsidRPr="00E14102" w:rsidRDefault="009803C3" w:rsidP="00E14102">
      <w:pPr>
        <w:jc w:val="both"/>
        <w:rPr>
          <w:color w:val="0070C0"/>
          <w:sz w:val="16"/>
          <w:szCs w:val="16"/>
        </w:rPr>
      </w:pPr>
      <w:r w:rsidRPr="00E14102">
        <w:rPr>
          <w:color w:val="0070C0"/>
          <w:sz w:val="16"/>
          <w:szCs w:val="16"/>
        </w:rPr>
        <w:t>7 апреля 1935 г. вышло постановление Совета Труда и Обороны по дальнейшим работы по телемеханическим самолётам (22873).</w:t>
      </w:r>
    </w:p>
    <w:p w14:paraId="750C554B" w14:textId="77777777" w:rsidR="009803C3" w:rsidRPr="00E14102" w:rsidRDefault="009803C3" w:rsidP="00E14102">
      <w:pPr>
        <w:jc w:val="both"/>
        <w:rPr>
          <w:color w:val="0070C0"/>
          <w:sz w:val="16"/>
          <w:szCs w:val="16"/>
        </w:rPr>
      </w:pPr>
    </w:p>
    <w:p w14:paraId="530C8FA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3EFA3C8" w14:textId="77777777" w:rsidR="00D4105E" w:rsidRPr="00E14102" w:rsidRDefault="00D4105E" w:rsidP="00E14102">
      <w:pPr>
        <w:autoSpaceDE w:val="0"/>
        <w:autoSpaceDN w:val="0"/>
        <w:adjustRightInd w:val="0"/>
        <w:jc w:val="both"/>
        <w:rPr>
          <w:iCs/>
          <w:color w:val="000000" w:themeColor="text1"/>
          <w:sz w:val="16"/>
          <w:szCs w:val="16"/>
        </w:rPr>
      </w:pPr>
    </w:p>
    <w:p w14:paraId="3B6AE6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июля 1935 года вышел Приказ НКТП № 833 о передаче заводов №№ 52, 59 и 6 им. Морозова из Вохимтреста Пороховому тресту (9137, 9138, 9139).</w:t>
      </w:r>
    </w:p>
    <w:p w14:paraId="0F111B98" w14:textId="77777777" w:rsidR="00D4105E" w:rsidRPr="00E14102" w:rsidRDefault="00D4105E" w:rsidP="00E14102">
      <w:pPr>
        <w:autoSpaceDE w:val="0"/>
        <w:autoSpaceDN w:val="0"/>
        <w:adjustRightInd w:val="0"/>
        <w:jc w:val="both"/>
        <w:rPr>
          <w:color w:val="000000" w:themeColor="text1"/>
          <w:sz w:val="16"/>
          <w:szCs w:val="16"/>
        </w:rPr>
      </w:pPr>
    </w:p>
    <w:p w14:paraId="1E5C5BF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84163C7" w14:textId="77777777" w:rsidR="00D4105E" w:rsidRPr="00E14102" w:rsidRDefault="00D4105E" w:rsidP="00E14102">
      <w:pPr>
        <w:autoSpaceDE w:val="0"/>
        <w:autoSpaceDN w:val="0"/>
        <w:adjustRightInd w:val="0"/>
        <w:jc w:val="both"/>
        <w:rPr>
          <w:iCs/>
          <w:color w:val="000000" w:themeColor="text1"/>
          <w:sz w:val="16"/>
          <w:szCs w:val="16"/>
        </w:rPr>
      </w:pPr>
    </w:p>
    <w:p w14:paraId="5F9DC0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июля 1935 СНК СССР принял постановление О выдаче с/х артелям госактов на бессрочное (вечное) пользование землей (3960, 264).</w:t>
      </w:r>
    </w:p>
    <w:p w14:paraId="42002D8D" w14:textId="77777777" w:rsidR="00D4105E" w:rsidRPr="00E14102" w:rsidRDefault="00D4105E" w:rsidP="00E14102">
      <w:pPr>
        <w:autoSpaceDE w:val="0"/>
        <w:autoSpaceDN w:val="0"/>
        <w:adjustRightInd w:val="0"/>
        <w:jc w:val="both"/>
        <w:rPr>
          <w:color w:val="000000" w:themeColor="text1"/>
          <w:sz w:val="16"/>
          <w:szCs w:val="16"/>
        </w:rPr>
      </w:pPr>
    </w:p>
    <w:p w14:paraId="58D1AD76" w14:textId="77777777" w:rsidR="009803C3" w:rsidRPr="00E14102" w:rsidRDefault="009803C3" w:rsidP="00E14102">
      <w:pPr>
        <w:jc w:val="both"/>
        <w:rPr>
          <w:color w:val="0070C0"/>
          <w:sz w:val="16"/>
          <w:szCs w:val="16"/>
        </w:rPr>
      </w:pPr>
      <w:r w:rsidRPr="00E14102">
        <w:rPr>
          <w:color w:val="0070C0"/>
          <w:sz w:val="16"/>
          <w:szCs w:val="16"/>
        </w:rPr>
        <w:t>7 июля 1935 вышло Постановление СНК СССР "О выдаче сельскохозяйственным артелям государственных актов на бессрочное (вечное) пользование землёй" (21179).</w:t>
      </w:r>
    </w:p>
    <w:p w14:paraId="7EF87A47" w14:textId="77777777" w:rsidR="009803C3" w:rsidRPr="00E14102" w:rsidRDefault="009803C3" w:rsidP="00E14102">
      <w:pPr>
        <w:jc w:val="both"/>
        <w:rPr>
          <w:color w:val="0070C0"/>
          <w:sz w:val="16"/>
          <w:szCs w:val="16"/>
        </w:rPr>
      </w:pPr>
    </w:p>
    <w:p w14:paraId="4C91CC21" w14:textId="77777777" w:rsidR="009803C3" w:rsidRPr="00E14102" w:rsidRDefault="009803C3"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050F4B8" w14:textId="77777777" w:rsidR="009803C3" w:rsidRPr="00E14102" w:rsidRDefault="009803C3" w:rsidP="00E14102">
      <w:pPr>
        <w:autoSpaceDE w:val="0"/>
        <w:autoSpaceDN w:val="0"/>
        <w:adjustRightInd w:val="0"/>
        <w:jc w:val="both"/>
        <w:rPr>
          <w:iCs/>
          <w:color w:val="000000" w:themeColor="text1"/>
          <w:sz w:val="16"/>
          <w:szCs w:val="16"/>
        </w:rPr>
      </w:pPr>
    </w:p>
    <w:p w14:paraId="1B580E63" w14:textId="77777777" w:rsidR="009803C3" w:rsidRPr="00E14102" w:rsidRDefault="009803C3" w:rsidP="00E14102">
      <w:pPr>
        <w:jc w:val="both"/>
        <w:rPr>
          <w:color w:val="0070C0"/>
          <w:sz w:val="16"/>
          <w:szCs w:val="16"/>
        </w:rPr>
      </w:pPr>
      <w:r w:rsidRPr="00E14102">
        <w:rPr>
          <w:color w:val="0070C0"/>
          <w:sz w:val="16"/>
          <w:szCs w:val="16"/>
        </w:rPr>
        <w:t>7 июля 1936 - Первый прототип пассажирского Z.506, борт "I CANT", установил восемь рекордов скорости для гидросамолётов на различных дистанциях. Затем "пятьсот шестой" перевели на 750-сильные "Альфа-Ромео"126 RC.34. 29 ноября и 1 декабря CANT смог улучшить мировые достижения, поднявшись на высоту 7800 м. с нагрузкой в 2 т и на 6920 м с 5 т на борту (22437).</w:t>
      </w:r>
    </w:p>
    <w:p w14:paraId="1C2CAB48" w14:textId="77777777" w:rsidR="009803C3" w:rsidRPr="00E14102" w:rsidRDefault="009803C3" w:rsidP="00E14102">
      <w:pPr>
        <w:jc w:val="both"/>
        <w:rPr>
          <w:color w:val="0070C0"/>
          <w:sz w:val="16"/>
          <w:szCs w:val="16"/>
        </w:rPr>
      </w:pPr>
    </w:p>
    <w:p w14:paraId="1BE05D0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95EABF8" w14:textId="77777777" w:rsidR="00D4105E" w:rsidRPr="00E14102" w:rsidRDefault="00D4105E" w:rsidP="00E14102">
      <w:pPr>
        <w:autoSpaceDE w:val="0"/>
        <w:autoSpaceDN w:val="0"/>
        <w:adjustRightInd w:val="0"/>
        <w:jc w:val="both"/>
        <w:rPr>
          <w:iCs/>
          <w:color w:val="000000" w:themeColor="text1"/>
          <w:sz w:val="16"/>
          <w:szCs w:val="16"/>
        </w:rPr>
      </w:pPr>
    </w:p>
    <w:p w14:paraId="0FF800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1935, ХАИ-1В N 3211, изготовленный 21 заводом в 1934, и ХАИ-1 N 44301 43 завода передали в НИИ ВВС в Щелково. С 8 по 29 июля 1935 Белозеров и П.М.Стефановский испытывали и 22 июля ХАИ-1 21 завода совершил контрольное бомбометание под Ногинском после пролета маршрута Щелково - Серпухов - Ногинск (562,46).</w:t>
      </w:r>
    </w:p>
    <w:p w14:paraId="3830F83F" w14:textId="77777777" w:rsidR="00D4105E" w:rsidRPr="00E14102" w:rsidRDefault="00D4105E" w:rsidP="00E14102">
      <w:pPr>
        <w:autoSpaceDE w:val="0"/>
        <w:autoSpaceDN w:val="0"/>
        <w:adjustRightInd w:val="0"/>
        <w:jc w:val="both"/>
        <w:rPr>
          <w:color w:val="000000" w:themeColor="text1"/>
          <w:sz w:val="16"/>
          <w:szCs w:val="16"/>
        </w:rPr>
      </w:pPr>
    </w:p>
    <w:p w14:paraId="49B054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июля 1935 в ЦАГИ было проведено взвешивание СБ 2 ИС перед гос. испытаниями (2913).</w:t>
      </w:r>
    </w:p>
    <w:p w14:paraId="0C94E498" w14:textId="77777777" w:rsidR="00D4105E" w:rsidRPr="00E14102" w:rsidRDefault="00D4105E" w:rsidP="00E14102">
      <w:pPr>
        <w:autoSpaceDE w:val="0"/>
        <w:autoSpaceDN w:val="0"/>
        <w:adjustRightInd w:val="0"/>
        <w:jc w:val="both"/>
        <w:rPr>
          <w:color w:val="000000" w:themeColor="text1"/>
          <w:sz w:val="16"/>
          <w:szCs w:val="16"/>
        </w:rPr>
      </w:pPr>
    </w:p>
    <w:p w14:paraId="471250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июля 1935 В.Д.Козуля установил рекорд высотного прыжка, спустившись с 8421 м (438,691).</w:t>
      </w:r>
    </w:p>
    <w:p w14:paraId="24A1117E" w14:textId="77777777" w:rsidR="00D4105E" w:rsidRPr="00E14102" w:rsidRDefault="00D4105E" w:rsidP="00E14102">
      <w:pPr>
        <w:autoSpaceDE w:val="0"/>
        <w:autoSpaceDN w:val="0"/>
        <w:adjustRightInd w:val="0"/>
        <w:jc w:val="both"/>
        <w:rPr>
          <w:color w:val="000000" w:themeColor="text1"/>
          <w:sz w:val="16"/>
          <w:szCs w:val="16"/>
        </w:rPr>
      </w:pPr>
    </w:p>
    <w:p w14:paraId="5228DA3A" w14:textId="77777777" w:rsidR="006D10EE" w:rsidRPr="00E14102" w:rsidRDefault="006D10EE" w:rsidP="00E14102">
      <w:pPr>
        <w:pStyle w:val="rtejustify"/>
        <w:spacing w:before="0" w:after="0"/>
        <w:rPr>
          <w:color w:val="000000" w:themeColor="text1"/>
          <w:sz w:val="16"/>
          <w:szCs w:val="16"/>
        </w:rPr>
      </w:pPr>
      <w:r w:rsidRPr="00E14102">
        <w:rPr>
          <w:rStyle w:val="a6"/>
          <w:bCs/>
          <w:i w:val="0"/>
          <w:color w:val="000000" w:themeColor="text1"/>
          <w:sz w:val="16"/>
          <w:szCs w:val="16"/>
        </w:rPr>
        <w:t>8/10 июля 1935 вышел приказ НКТП № 119сс.</w:t>
      </w:r>
      <w:r w:rsidRPr="00E14102">
        <w:rPr>
          <w:color w:val="000000" w:themeColor="text1"/>
          <w:sz w:val="16"/>
          <w:szCs w:val="16"/>
        </w:rPr>
        <w:t xml:space="preserve"> О заданиях трестам и предприятиям НКТП СССР по выполнению программы по авиационным системам Курчевского. (РГАЭ. Ф. 7297. Оп. 38. Д. 171. Л. 186</w:t>
      </w:r>
      <w:r w:rsidRPr="00E14102">
        <w:rPr>
          <w:color w:val="000000" w:themeColor="text1"/>
          <w:sz w:val="16"/>
          <w:szCs w:val="16"/>
        </w:rPr>
        <w:noBreakHyphen/>
        <w:t>183) (15246).</w:t>
      </w:r>
    </w:p>
    <w:p w14:paraId="0448B98B" w14:textId="77777777" w:rsidR="006D10EE" w:rsidRPr="00E14102" w:rsidRDefault="006D10EE" w:rsidP="00E14102">
      <w:pPr>
        <w:pStyle w:val="rtejustify"/>
        <w:spacing w:before="0" w:after="0"/>
        <w:rPr>
          <w:color w:val="000000" w:themeColor="text1"/>
          <w:sz w:val="16"/>
          <w:szCs w:val="16"/>
        </w:rPr>
      </w:pPr>
    </w:p>
    <w:p w14:paraId="7502AE22" w14:textId="77777777" w:rsidR="006D10EE" w:rsidRPr="00E14102" w:rsidRDefault="006D10EE" w:rsidP="00E14102">
      <w:pPr>
        <w:pStyle w:val="rtejustify"/>
        <w:spacing w:before="0" w:after="0"/>
        <w:rPr>
          <w:color w:val="000000" w:themeColor="text1"/>
          <w:sz w:val="16"/>
          <w:szCs w:val="16"/>
        </w:rPr>
      </w:pPr>
      <w:r w:rsidRPr="00E14102">
        <w:rPr>
          <w:rStyle w:val="a6"/>
          <w:bCs/>
          <w:i w:val="0"/>
          <w:color w:val="000000" w:themeColor="text1"/>
          <w:sz w:val="16"/>
          <w:szCs w:val="16"/>
        </w:rPr>
        <w:t>8 июля 1935 вышел приказ НКО №</w:t>
      </w:r>
      <w:r w:rsidRPr="00E14102">
        <w:rPr>
          <w:color w:val="000000" w:themeColor="text1"/>
          <w:sz w:val="16"/>
          <w:szCs w:val="16"/>
        </w:rPr>
        <w:t> 0120. О проведении полигонных испытаний авиационных взрывателей универсального действия марки АПУВ</w:t>
      </w:r>
      <w:r w:rsidRPr="00E14102">
        <w:rPr>
          <w:color w:val="000000" w:themeColor="text1"/>
          <w:sz w:val="16"/>
          <w:szCs w:val="16"/>
        </w:rPr>
        <w:noBreakHyphen/>
        <w:t>2 и испытания действия взрывателей АПУВ бомбометанием по воде (15247).</w:t>
      </w:r>
    </w:p>
    <w:p w14:paraId="02DF47BD" w14:textId="77777777" w:rsidR="006D10EE" w:rsidRPr="00E14102" w:rsidRDefault="006D10EE" w:rsidP="00E14102">
      <w:pPr>
        <w:pStyle w:val="rtejustify"/>
        <w:spacing w:before="0" w:after="0"/>
        <w:rPr>
          <w:color w:val="000000" w:themeColor="text1"/>
          <w:sz w:val="16"/>
          <w:szCs w:val="16"/>
        </w:rPr>
      </w:pPr>
    </w:p>
    <w:p w14:paraId="4ACFDB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июля 1935 года Начальник НИИ ВВС Бажанов утвердил Отчет об испытаниях аэронавигационной ночной бомбы для моря (ННБМ-2).</w:t>
      </w:r>
    </w:p>
    <w:p w14:paraId="23126C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14D248E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Установить продолжительность непрерывного горения бомбы и выяснить возможность производства промеров угла сноса в ночном полете над водной поверхностью.</w:t>
      </w:r>
    </w:p>
    <w:p w14:paraId="62447C5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баллистические качества нового образца бомбы в отношении времени падения, угла отставания, а также угла видимости в момент появления огня.</w:t>
      </w:r>
    </w:p>
    <w:p w14:paraId="78632A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F5EF4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Необходимо данный образец бомбы передать в промышленность для изготовления массовой опытной серии (3929).</w:t>
      </w:r>
    </w:p>
    <w:p w14:paraId="48CF3F69" w14:textId="77777777" w:rsidR="00D4105E" w:rsidRPr="00E14102" w:rsidRDefault="00D4105E" w:rsidP="00E14102">
      <w:pPr>
        <w:autoSpaceDE w:val="0"/>
        <w:autoSpaceDN w:val="0"/>
        <w:adjustRightInd w:val="0"/>
        <w:jc w:val="both"/>
        <w:rPr>
          <w:color w:val="000000" w:themeColor="text1"/>
          <w:sz w:val="16"/>
          <w:szCs w:val="16"/>
        </w:rPr>
      </w:pPr>
    </w:p>
    <w:p w14:paraId="51C0684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8 по 11 июля 1935 прошли полигонные испытания 1000 кг воздушной реактивной торпеды конструкции Тверского (6818).</w:t>
      </w:r>
    </w:p>
    <w:p w14:paraId="5D6D2A0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производились на Ногинском полигоне с 9 июня по 11 июля 1935 года.</w:t>
      </w:r>
    </w:p>
    <w:p w14:paraId="3FF3591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75AE9B4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Определить дальность, характер полета и работу реактивного заряда, стрельбой со станка на земле.</w:t>
      </w:r>
    </w:p>
    <w:p w14:paraId="4688DD2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Выводы</w:t>
      </w:r>
    </w:p>
    <w:p w14:paraId="0B98BE2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Воздушная реактивная торпеда испытаний не выдержала.</w:t>
      </w:r>
    </w:p>
    <w:p w14:paraId="7DC4366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1-й опыт – воздушно-реактивная ракета взорвалась, 2-й опыт – воздушно-реактивная торпеда не дала правильного полета (6818).</w:t>
      </w:r>
    </w:p>
    <w:p w14:paraId="6B683C3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8DB4E1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04EC9A7" w14:textId="77777777" w:rsidR="00D4105E" w:rsidRPr="00E14102" w:rsidRDefault="00D4105E" w:rsidP="00E14102">
      <w:pPr>
        <w:autoSpaceDE w:val="0"/>
        <w:autoSpaceDN w:val="0"/>
        <w:adjustRightInd w:val="0"/>
        <w:jc w:val="both"/>
        <w:rPr>
          <w:iCs/>
          <w:color w:val="000000" w:themeColor="text1"/>
          <w:sz w:val="16"/>
          <w:szCs w:val="16"/>
        </w:rPr>
      </w:pPr>
    </w:p>
    <w:p w14:paraId="599ADF96" w14:textId="77777777" w:rsidR="006D10EE" w:rsidRPr="00E14102" w:rsidRDefault="006D10EE" w:rsidP="00E14102">
      <w:pPr>
        <w:pStyle w:val="rtejustify"/>
        <w:spacing w:before="0" w:after="0"/>
        <w:rPr>
          <w:color w:val="000000" w:themeColor="text1"/>
          <w:sz w:val="16"/>
          <w:szCs w:val="16"/>
        </w:rPr>
      </w:pPr>
      <w:r w:rsidRPr="00E14102">
        <w:rPr>
          <w:rStyle w:val="a6"/>
          <w:bCs/>
          <w:i w:val="0"/>
          <w:color w:val="000000" w:themeColor="text1"/>
          <w:sz w:val="16"/>
          <w:szCs w:val="16"/>
        </w:rPr>
        <w:t>8 июля 1935 вышел приказ НКТП № 118с.</w:t>
      </w:r>
      <w:r w:rsidRPr="00E14102">
        <w:rPr>
          <w:color w:val="000000" w:themeColor="text1"/>
          <w:sz w:val="16"/>
          <w:szCs w:val="16"/>
        </w:rPr>
        <w:t xml:space="preserve"> О работах Днепропетровского института металлов по отливке стальных заготовок. (РГАЭ. Ф. 7297. Оп. 38. Д. 171. Л. 182</w:t>
      </w:r>
      <w:r w:rsidRPr="00E14102">
        <w:rPr>
          <w:color w:val="000000" w:themeColor="text1"/>
          <w:sz w:val="16"/>
          <w:szCs w:val="16"/>
        </w:rPr>
        <w:noBreakHyphen/>
        <w:t>181) (15246).</w:t>
      </w:r>
    </w:p>
    <w:p w14:paraId="2580681E" w14:textId="77777777" w:rsidR="006D10EE" w:rsidRPr="00E14102" w:rsidRDefault="006D10EE" w:rsidP="00E14102">
      <w:pPr>
        <w:pStyle w:val="rtejustify"/>
        <w:spacing w:before="0" w:after="0"/>
        <w:rPr>
          <w:color w:val="000000" w:themeColor="text1"/>
          <w:sz w:val="16"/>
          <w:szCs w:val="16"/>
        </w:rPr>
      </w:pPr>
    </w:p>
    <w:p w14:paraId="4A270C95" w14:textId="77777777" w:rsidR="006D10EE" w:rsidRPr="00E14102" w:rsidRDefault="006D10EE" w:rsidP="00E14102">
      <w:pPr>
        <w:pStyle w:val="rtejustify"/>
        <w:spacing w:before="0" w:after="0"/>
        <w:rPr>
          <w:color w:val="000000" w:themeColor="text1"/>
          <w:sz w:val="16"/>
          <w:szCs w:val="16"/>
        </w:rPr>
      </w:pPr>
      <w:r w:rsidRPr="00E14102">
        <w:rPr>
          <w:rStyle w:val="a6"/>
          <w:bCs/>
          <w:i w:val="0"/>
          <w:color w:val="000000" w:themeColor="text1"/>
          <w:sz w:val="16"/>
          <w:szCs w:val="16"/>
        </w:rPr>
        <w:t>8/10 июля 1935 вышел приказ НКТП № 120сс.</w:t>
      </w:r>
      <w:r w:rsidRPr="00E14102">
        <w:rPr>
          <w:color w:val="000000" w:themeColor="text1"/>
          <w:sz w:val="16"/>
          <w:szCs w:val="16"/>
        </w:rPr>
        <w:t xml:space="preserve"> Об обеспечении выполнения дополнительного заказа НКО СССР на 1935 г. (РГАЭ. Ф. 7297. Оп. 38. Д. 171. Л. 188</w:t>
      </w:r>
      <w:r w:rsidRPr="00E14102">
        <w:rPr>
          <w:color w:val="000000" w:themeColor="text1"/>
          <w:sz w:val="16"/>
          <w:szCs w:val="16"/>
        </w:rPr>
        <w:noBreakHyphen/>
        <w:t>187) (15246).</w:t>
      </w:r>
    </w:p>
    <w:p w14:paraId="571A871F" w14:textId="77777777" w:rsidR="006D10EE" w:rsidRPr="00E14102" w:rsidRDefault="006D10EE" w:rsidP="00E14102">
      <w:pPr>
        <w:pStyle w:val="rtejustify"/>
        <w:spacing w:before="0" w:after="0"/>
        <w:rPr>
          <w:color w:val="000000" w:themeColor="text1"/>
          <w:sz w:val="16"/>
          <w:szCs w:val="16"/>
        </w:rPr>
      </w:pPr>
    </w:p>
    <w:p w14:paraId="2FBE85AE" w14:textId="77777777" w:rsidR="006D10EE" w:rsidRPr="00E14102" w:rsidRDefault="006D10EE" w:rsidP="00E14102">
      <w:pPr>
        <w:pStyle w:val="rtejustify"/>
        <w:spacing w:before="0" w:after="0"/>
        <w:rPr>
          <w:color w:val="000000" w:themeColor="text1"/>
          <w:sz w:val="16"/>
          <w:szCs w:val="16"/>
        </w:rPr>
      </w:pPr>
      <w:r w:rsidRPr="00E14102">
        <w:rPr>
          <w:rStyle w:val="a6"/>
          <w:bCs/>
          <w:i w:val="0"/>
          <w:color w:val="000000" w:themeColor="text1"/>
          <w:sz w:val="16"/>
          <w:szCs w:val="16"/>
        </w:rPr>
        <w:t>8/10 июля 1935 вышел приказ НКТП № 121сс.</w:t>
      </w:r>
      <w:r w:rsidRPr="00E14102">
        <w:rPr>
          <w:color w:val="000000" w:themeColor="text1"/>
          <w:sz w:val="16"/>
          <w:szCs w:val="16"/>
        </w:rPr>
        <w:t xml:space="preserve"> О постройке 305</w:t>
      </w:r>
      <w:r w:rsidRPr="00E14102">
        <w:rPr>
          <w:color w:val="000000" w:themeColor="text1"/>
          <w:sz w:val="16"/>
          <w:szCs w:val="16"/>
        </w:rPr>
        <w:noBreakHyphen/>
        <w:t>мм железнодорожной установки системы «К». (РГАЭ. Ф. 7297. Оп. 38. Д. 171. Л. 190</w:t>
      </w:r>
      <w:r w:rsidRPr="00E14102">
        <w:rPr>
          <w:color w:val="000000" w:themeColor="text1"/>
          <w:sz w:val="16"/>
          <w:szCs w:val="16"/>
        </w:rPr>
        <w:noBreakHyphen/>
        <w:t>189) (15246).</w:t>
      </w:r>
    </w:p>
    <w:p w14:paraId="3B1B40BF" w14:textId="77777777" w:rsidR="006D10EE" w:rsidRPr="00E14102" w:rsidRDefault="006D10EE" w:rsidP="00E14102">
      <w:pPr>
        <w:pStyle w:val="rtejustify"/>
        <w:spacing w:before="0" w:after="0"/>
        <w:rPr>
          <w:color w:val="000000" w:themeColor="text1"/>
          <w:sz w:val="16"/>
          <w:szCs w:val="16"/>
        </w:rPr>
      </w:pPr>
    </w:p>
    <w:p w14:paraId="1F8FC5BE" w14:textId="77777777" w:rsidR="006D10EE" w:rsidRPr="00E14102" w:rsidRDefault="006D10EE" w:rsidP="00E14102">
      <w:pPr>
        <w:pStyle w:val="rtejustify"/>
        <w:spacing w:before="0" w:after="0"/>
        <w:rPr>
          <w:color w:val="000000" w:themeColor="text1"/>
          <w:sz w:val="16"/>
          <w:szCs w:val="16"/>
        </w:rPr>
      </w:pPr>
      <w:r w:rsidRPr="00E14102">
        <w:rPr>
          <w:rStyle w:val="a6"/>
          <w:bCs/>
          <w:i w:val="0"/>
          <w:color w:val="000000" w:themeColor="text1"/>
          <w:sz w:val="16"/>
          <w:szCs w:val="16"/>
        </w:rPr>
        <w:t>8/10 июля 1935 вышел приказ НКТП № 123сс.</w:t>
      </w:r>
      <w:r w:rsidRPr="00E14102">
        <w:rPr>
          <w:color w:val="000000" w:themeColor="text1"/>
          <w:sz w:val="16"/>
          <w:szCs w:val="16"/>
        </w:rPr>
        <w:t xml:space="preserve"> О заказах для Химинститута № 2. (РГАЭ. Ф. 7297. Оп. 38. Д. 171. Л. 194</w:t>
      </w:r>
      <w:r w:rsidRPr="00E14102">
        <w:rPr>
          <w:color w:val="000000" w:themeColor="text1"/>
          <w:sz w:val="16"/>
          <w:szCs w:val="16"/>
        </w:rPr>
        <w:noBreakHyphen/>
        <w:t>193) (15246).</w:t>
      </w:r>
    </w:p>
    <w:p w14:paraId="69A1C224" w14:textId="77777777" w:rsidR="006D10EE" w:rsidRPr="00E14102" w:rsidRDefault="006D10EE" w:rsidP="00E14102">
      <w:pPr>
        <w:pStyle w:val="rtejustify"/>
        <w:spacing w:before="0" w:after="0"/>
        <w:rPr>
          <w:color w:val="000000" w:themeColor="text1"/>
          <w:sz w:val="16"/>
          <w:szCs w:val="16"/>
        </w:rPr>
      </w:pPr>
    </w:p>
    <w:p w14:paraId="7DA1E1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июля 1935 г. на месте бывшего Байцуровского чугунолитейного завода, основанного в 1879 г. во Фроловской слободе, был создан завод № 535.</w:t>
      </w:r>
    </w:p>
    <w:p w14:paraId="46477B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2000 г. выполнена НИР «Адаптация» по адаптации малогабаритных дизельных двигателей при эксплуатации в экстремальных климатических условиях.</w:t>
      </w:r>
    </w:p>
    <w:p w14:paraId="3F5D5B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решению правительства № 22-р от 9.01.2004 г. вошло в перечень стратегических предприятий.</w:t>
      </w:r>
    </w:p>
    <w:p w14:paraId="7B958C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Гендиректора (2004 г.)- В. Арефьев.</w:t>
      </w:r>
    </w:p>
    <w:p w14:paraId="334D02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Технический директор (2002 г.)- Е.Дронов.</w:t>
      </w:r>
    </w:p>
    <w:p w14:paraId="2C6963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пулемет «Максима»; зенитные корабельные артиллерийские орудия: 2М-3 и 2М-3М (1949~80 г.); 2М-8 для ПЛ; АК-230 (1959- 84 г.), А-231М, АК-630 и АК-630М, АК-639; пушки: 2А38, для ЗСУ «Тунгуска», ГШ-6-23, для Ка-50, Ми-28, 2А14 и 2А7 для ЗСУ «Шилка», 2А28 для БМП-1; ПТУР «Шексна» 9М117; ЗРАК «Каштан» (2002); выстрел ЗУБК10м (2002); дизель ТМЗ-450; мотоциклы, грузовые мотороллеры.</w:t>
      </w:r>
    </w:p>
    <w:p w14:paraId="621ED1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535, Тульский машиностроительный завод им. Рябикова, ОАО «Акционерная компания (АК) "Туламашзавод им. Рябикова"»</w:t>
      </w:r>
    </w:p>
    <w:p w14:paraId="535346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300002 г. Тула ул. Мосина, 2 тел. 32-11-24, 36-24-65 www.tulamash.ru (10776).</w:t>
      </w:r>
    </w:p>
    <w:p w14:paraId="3CB87202" w14:textId="77777777" w:rsidR="00D4105E" w:rsidRPr="00E14102" w:rsidRDefault="00D4105E" w:rsidP="00E14102">
      <w:pPr>
        <w:autoSpaceDE w:val="0"/>
        <w:autoSpaceDN w:val="0"/>
        <w:adjustRightInd w:val="0"/>
        <w:jc w:val="both"/>
        <w:rPr>
          <w:color w:val="000000" w:themeColor="text1"/>
          <w:sz w:val="16"/>
          <w:szCs w:val="16"/>
        </w:rPr>
      </w:pPr>
    </w:p>
    <w:p w14:paraId="0AFA97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июля 1935 г. на месте бывшего Байцуровского завода, основанного в 1879, был создан завод, который далее получил № 535. (возможно, затем он вошел в состав ТОЗа). Далее- это Тульский машиностроительный завод им. Рябикова, с 1996 г.- ОАО «АК «Туламашзавод». В 1996 г. вошел в состав ТПФГ «Точность».</w:t>
      </w:r>
    </w:p>
    <w:p w14:paraId="4A8011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8.07.1939 г. Тульский станкостроительный завод выделился из состава завода в самостоятельное предприятие.</w:t>
      </w:r>
      <w:r w:rsidRPr="00E14102">
        <w:rPr>
          <w:color w:val="000000" w:themeColor="text1"/>
          <w:sz w:val="16"/>
          <w:szCs w:val="16"/>
          <w:vertAlign w:val="superscript"/>
        </w:rPr>
        <w:t>101</w:t>
      </w:r>
    </w:p>
    <w:p w14:paraId="2E21AE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1980-е  г. начато освоение производства ПТУРС.</w:t>
      </w:r>
    </w:p>
    <w:p w14:paraId="5D2947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1990-е  г. разработан и внедрен в производство малогабаритный дизель ТМЗ-450.</w:t>
      </w:r>
    </w:p>
    <w:p w14:paraId="13B705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2000 г. выполнена НИР «Адаптация» по адаптации малогабаритных дизельных двигателей при эксплуатации в экстремальных климатических условиях.</w:t>
      </w:r>
    </w:p>
    <w:p w14:paraId="6F66C1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2002 г. на заводе действовало НПП «Лазер» (директор- С. Усов).</w:t>
      </w:r>
    </w:p>
    <w:p w14:paraId="540E83B0"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lastRenderedPageBreak/>
        <w:t>Создано:</w:t>
      </w:r>
      <w:r w:rsidRPr="00E14102">
        <w:rPr>
          <w:color w:val="000000" w:themeColor="text1"/>
          <w:sz w:val="16"/>
          <w:szCs w:val="16"/>
        </w:rPr>
        <w:t xml:space="preserve"> лазерная установка для резки металла ТУЛО-01; лазерный технологический комплекс КЛТ-01; медицинские лазерные установки «УЛЭ-01-Т-маш», перфоратор «Сигма», лазерный дозиметр «Ладин», комплекс для флюоресцентной диагностики рака; установка УЛПОС для предпосевной обработки семян.</w:t>
      </w:r>
    </w:p>
    <w:p w14:paraId="4BDEDF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(2003 г.): автоматические пушки 30 мм, зенитные артиллерийские установки, ракетно- артиллерийские комплексы для кораблей ВМФ; противотанковые управляемые выстрелы с лазерно-лучевым наведением.</w:t>
      </w:r>
    </w:p>
    <w:p w14:paraId="403B1A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решению правительства № 22-р от 9.01.2004 г. вошло в перечень стратегических предприятий.</w:t>
      </w:r>
    </w:p>
    <w:p w14:paraId="36651E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Гендиректор (2002 г.)- В. Усов, (04.2002-07 г.-)- Е.А. Дронов.</w:t>
      </w:r>
    </w:p>
    <w:p w14:paraId="604670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Гендиректора (2004 г.)- В. Арефьев.</w:t>
      </w:r>
    </w:p>
    <w:p w14:paraId="094513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Технический директор (2002 г.)- Е.А. Дронов.</w:t>
      </w:r>
    </w:p>
    <w:p w14:paraId="3A1BA6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конструктор (2002 г.)- С. Усов.</w:t>
      </w:r>
    </w:p>
    <w:p w14:paraId="51D03A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цехов: (1980-е)- Е.А. Дронов.</w:t>
      </w:r>
    </w:p>
    <w:p w14:paraId="3C63CF5A"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Производство:</w:t>
      </w:r>
      <w:r w:rsidRPr="00E14102">
        <w:rPr>
          <w:color w:val="000000" w:themeColor="text1"/>
          <w:sz w:val="16"/>
          <w:szCs w:val="16"/>
        </w:rPr>
        <w:t xml:space="preserve"> пулемет «Максима»; зенитные корабельные артиллерийские орудия: 25-мм 2М-3 и 2М-ЗМ (1949-80), 25-мм БЛ-120 (1950)- 2, 2М-8 для ПЛ; АК-230 (1959-84), А-231М; 30-мм АК-630, АК-630М, -630М1; АК-639;</w:t>
      </w:r>
      <w:r w:rsidRPr="00E14102">
        <w:rPr>
          <w:iCs/>
          <w:color w:val="000000" w:themeColor="text1"/>
          <w:sz w:val="16"/>
          <w:szCs w:val="16"/>
        </w:rPr>
        <w:t xml:space="preserve"> пушки:</w:t>
      </w:r>
      <w:r w:rsidRPr="00E14102">
        <w:rPr>
          <w:color w:val="000000" w:themeColor="text1"/>
          <w:sz w:val="16"/>
          <w:szCs w:val="16"/>
        </w:rPr>
        <w:t xml:space="preserve"> 2А38, для ЗСУ «Тунгуска», ГШ-6-23, для Ка-50, Ми-28, 2А14 и 2А7 для ЗСУ «Шилка», 2А28 для БМП-1; ПТУР «Шексна» 9М117; морской ЗРАК «Каштан» (2002); боевое отделение ЗРАК «Панцирь-С1»; унифицированное боевое отделение для бронетанковой техники «Бахча»; выстрелы: ЗУБКЮм (2002), «Аркан»; детали для минометов (1942); дизели ТМЗ-450 (1990-е), ТМЗ-520Д (2002); мотоциклы, грузовые мотороллеры;</w:t>
      </w:r>
      <w:r w:rsidRPr="00E14102">
        <w:rPr>
          <w:color w:val="000000" w:themeColor="text1"/>
          <w:sz w:val="16"/>
          <w:szCs w:val="16"/>
          <w:vertAlign w:val="superscript"/>
        </w:rPr>
        <w:t>69</w:t>
      </w:r>
      <w:r w:rsidRPr="00E14102">
        <w:rPr>
          <w:color w:val="000000" w:themeColor="text1"/>
          <w:sz w:val="16"/>
          <w:szCs w:val="16"/>
        </w:rPr>
        <w:t xml:space="preserve"> угольный комбайн, пневматические перфораторы для бурения шурфов (1990-е), бурильная установка УБТУ-1; нефтяные глубинные насосы; электроприводы для швейной промышленности; мотокультиваторы (1990-е); промышленные и технологические лазеры, лазерные дозиметры, медицинские лазерные приборы (11982).</w:t>
      </w:r>
    </w:p>
    <w:p w14:paraId="5C168124" w14:textId="77777777" w:rsidR="00B22440" w:rsidRPr="00E14102" w:rsidRDefault="00B22440" w:rsidP="00E14102">
      <w:pPr>
        <w:autoSpaceDE w:val="0"/>
        <w:autoSpaceDN w:val="0"/>
        <w:adjustRightInd w:val="0"/>
        <w:jc w:val="both"/>
        <w:rPr>
          <w:iCs/>
          <w:color w:val="000000" w:themeColor="text1"/>
          <w:sz w:val="16"/>
          <w:szCs w:val="16"/>
        </w:rPr>
      </w:pPr>
    </w:p>
    <w:p w14:paraId="62CA4AEE" w14:textId="77777777" w:rsidR="00E13838" w:rsidRPr="00E14102" w:rsidRDefault="00E13838"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5A96DDF" w14:textId="77777777" w:rsidR="00E13838" w:rsidRPr="00E14102" w:rsidRDefault="00E13838" w:rsidP="00E14102">
      <w:pPr>
        <w:autoSpaceDE w:val="0"/>
        <w:autoSpaceDN w:val="0"/>
        <w:adjustRightInd w:val="0"/>
        <w:jc w:val="both"/>
        <w:rPr>
          <w:iCs/>
          <w:color w:val="000000" w:themeColor="text1"/>
          <w:sz w:val="16"/>
          <w:szCs w:val="16"/>
        </w:rPr>
      </w:pPr>
    </w:p>
    <w:p w14:paraId="74A5CCA4" w14:textId="77777777" w:rsidR="00E13838" w:rsidRPr="00E14102" w:rsidRDefault="00E13838" w:rsidP="00E14102">
      <w:pPr>
        <w:jc w:val="both"/>
        <w:rPr>
          <w:color w:val="0070C0"/>
          <w:sz w:val="16"/>
          <w:szCs w:val="16"/>
        </w:rPr>
      </w:pPr>
      <w:r w:rsidRPr="00E14102">
        <w:rPr>
          <w:color w:val="0070C0"/>
          <w:sz w:val="16"/>
          <w:szCs w:val="16"/>
        </w:rPr>
        <w:t>С 8 июля по 9 октября 1935 года состоялась первая транспортная операция на Северном морском пути, выполненная лесовозами «Искра» (капитан В.Ф.Федотов) и «Ванцетти» (капитан Г.П.Бютнер), которые доставил груз из Ленинграда во Владивосток (21181).</w:t>
      </w:r>
    </w:p>
    <w:p w14:paraId="17A8B5DA" w14:textId="77777777" w:rsidR="00E13838" w:rsidRPr="00E14102" w:rsidRDefault="00E13838" w:rsidP="00E14102">
      <w:pPr>
        <w:jc w:val="both"/>
        <w:rPr>
          <w:color w:val="0070C0"/>
          <w:sz w:val="16"/>
          <w:szCs w:val="16"/>
        </w:rPr>
      </w:pPr>
    </w:p>
    <w:p w14:paraId="66652CE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2795AAF" w14:textId="77777777" w:rsidR="00D4105E" w:rsidRPr="00E14102" w:rsidRDefault="00D4105E" w:rsidP="00E14102">
      <w:pPr>
        <w:autoSpaceDE w:val="0"/>
        <w:autoSpaceDN w:val="0"/>
        <w:adjustRightInd w:val="0"/>
        <w:jc w:val="both"/>
        <w:rPr>
          <w:iCs/>
          <w:color w:val="000000" w:themeColor="text1"/>
          <w:sz w:val="16"/>
          <w:szCs w:val="16"/>
        </w:rPr>
      </w:pPr>
    </w:p>
    <w:p w14:paraId="1498DC9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9 по 16 июля 1935 года проходили гос. испытания самолета СБ с 2-мя моторами Испано-Сюиза 12 ydrs и стрелкового вооружения на самолете СБ-2РЦ (6697).</w:t>
      </w:r>
    </w:p>
    <w:p w14:paraId="47527D3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Начато – 9 июля 1935 года</w:t>
      </w:r>
    </w:p>
    <w:p w14:paraId="429A9F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Закончено 12 июля 1935 года</w:t>
      </w:r>
    </w:p>
    <w:p w14:paraId="40DEB55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12 по 16 – самолет в ремонте. Стрелковое вооружение испытано на самолете СБ с РЦ в течение 12-15 и 16 июля 1935 года.</w:t>
      </w:r>
    </w:p>
    <w:p w14:paraId="3ADF154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1B3F523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1 отдела Петров И.Ф.</w:t>
      </w:r>
    </w:p>
    <w:p w14:paraId="67425F5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4 отдела Шевченко</w:t>
      </w:r>
    </w:p>
    <w:p w14:paraId="784FCE5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 Подлесецкий</w:t>
      </w:r>
    </w:p>
    <w:p w14:paraId="28ABBB9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5F4978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Летно-тактических, боевых и эксплуатационных данных самолета СБ (скоростной бомбардировщик) в летних условиях (на колесах).</w:t>
      </w:r>
    </w:p>
    <w:p w14:paraId="209A503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B0400B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основании произведенных испытаний самолета СБ НИИ ВС считает:</w:t>
      </w:r>
    </w:p>
    <w:p w14:paraId="439BF87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Наличие у самолета СБ большой максимальной скорости, скороподъемности, большого практического потолка и сравнительно сильного вооружения при этих данных, ставит его в разряд одного из лучших в мире скоростных бомбардировщиков.</w:t>
      </w:r>
    </w:p>
    <w:p w14:paraId="5197EFD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Указанные в отчете дефекты, выявленные в процессе кратковременных испытаний, проведенных в феврале и июле 1935 года, а также невыполнение ряда пунктов тактико-технических требований делают самолет СБ в предъявленном виде практически небоеспособным. Без устранения перечисленных в отчете дефектов самолет СБ не может быть принят на вооружение ВС.</w:t>
      </w:r>
    </w:p>
    <w:p w14:paraId="4CD888D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Дневник работ на самолете СБ-2ИС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4698"/>
        <w:gridCol w:w="1055"/>
        <w:gridCol w:w="2489"/>
      </w:tblGrid>
      <w:tr w:rsidR="00E3599D" w:rsidRPr="00E14102" w14:paraId="45D94CF9" w14:textId="77777777">
        <w:tc>
          <w:tcPr>
            <w:tcW w:w="2214" w:type="dxa"/>
          </w:tcPr>
          <w:p w14:paraId="2A07288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Дата</w:t>
            </w:r>
          </w:p>
        </w:tc>
        <w:tc>
          <w:tcPr>
            <w:tcW w:w="4698" w:type="dxa"/>
          </w:tcPr>
          <w:p w14:paraId="6FAA9D4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Работы</w:t>
            </w:r>
          </w:p>
        </w:tc>
        <w:tc>
          <w:tcPr>
            <w:tcW w:w="1055" w:type="dxa"/>
          </w:tcPr>
          <w:p w14:paraId="7F5FBB2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Кол-во полетов</w:t>
            </w:r>
          </w:p>
        </w:tc>
        <w:tc>
          <w:tcPr>
            <w:tcW w:w="2489" w:type="dxa"/>
          </w:tcPr>
          <w:p w14:paraId="169AA5D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Кол-во часов</w:t>
            </w:r>
          </w:p>
        </w:tc>
      </w:tr>
      <w:tr w:rsidR="00E3599D" w:rsidRPr="00E14102" w14:paraId="42939E9B" w14:textId="77777777">
        <w:tc>
          <w:tcPr>
            <w:tcW w:w="2214" w:type="dxa"/>
          </w:tcPr>
          <w:p w14:paraId="3C6ACF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 июля 1935 года</w:t>
            </w:r>
          </w:p>
        </w:tc>
        <w:tc>
          <w:tcPr>
            <w:tcW w:w="4698" w:type="dxa"/>
          </w:tcPr>
          <w:p w14:paraId="68B332D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на выпуск на самолете Летчика Стефановского.</w:t>
            </w:r>
          </w:p>
        </w:tc>
        <w:tc>
          <w:tcPr>
            <w:tcW w:w="1055" w:type="dxa"/>
          </w:tcPr>
          <w:p w14:paraId="3DB2E2A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w:t>
            </w:r>
          </w:p>
        </w:tc>
        <w:tc>
          <w:tcPr>
            <w:tcW w:w="2489" w:type="dxa"/>
          </w:tcPr>
          <w:p w14:paraId="12AE44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53 мин.</w:t>
            </w:r>
          </w:p>
        </w:tc>
      </w:tr>
      <w:tr w:rsidR="00E3599D" w:rsidRPr="00E14102" w14:paraId="084F9809" w14:textId="77777777">
        <w:tc>
          <w:tcPr>
            <w:tcW w:w="2214" w:type="dxa"/>
          </w:tcPr>
          <w:p w14:paraId="34388A7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июля 1935 года</w:t>
            </w:r>
          </w:p>
        </w:tc>
        <w:tc>
          <w:tcPr>
            <w:tcW w:w="4698" w:type="dxa"/>
          </w:tcPr>
          <w:p w14:paraId="7825794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зубцы.</w:t>
            </w:r>
          </w:p>
        </w:tc>
        <w:tc>
          <w:tcPr>
            <w:tcW w:w="1055" w:type="dxa"/>
          </w:tcPr>
          <w:p w14:paraId="50AAAEE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3F039A9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мин.</w:t>
            </w:r>
          </w:p>
        </w:tc>
      </w:tr>
      <w:tr w:rsidR="00E3599D" w:rsidRPr="00E14102" w14:paraId="0C9B6907" w14:textId="77777777">
        <w:tc>
          <w:tcPr>
            <w:tcW w:w="2214" w:type="dxa"/>
          </w:tcPr>
          <w:p w14:paraId="708855A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июля 1935 года</w:t>
            </w:r>
          </w:p>
        </w:tc>
        <w:tc>
          <w:tcPr>
            <w:tcW w:w="4698" w:type="dxa"/>
          </w:tcPr>
          <w:p w14:paraId="394BC7D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вибрации.</w:t>
            </w:r>
          </w:p>
        </w:tc>
        <w:tc>
          <w:tcPr>
            <w:tcW w:w="1055" w:type="dxa"/>
          </w:tcPr>
          <w:p w14:paraId="2B3E052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0557992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 мин.</w:t>
            </w:r>
          </w:p>
        </w:tc>
      </w:tr>
      <w:tr w:rsidR="00E3599D" w:rsidRPr="00E14102" w14:paraId="3BFE911F" w14:textId="77777777">
        <w:tc>
          <w:tcPr>
            <w:tcW w:w="2214" w:type="dxa"/>
          </w:tcPr>
          <w:p w14:paraId="4118EEA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июля 1935 года</w:t>
            </w:r>
          </w:p>
        </w:tc>
        <w:tc>
          <w:tcPr>
            <w:tcW w:w="4698" w:type="dxa"/>
          </w:tcPr>
          <w:p w14:paraId="748991C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километраж.</w:t>
            </w:r>
          </w:p>
        </w:tc>
        <w:tc>
          <w:tcPr>
            <w:tcW w:w="1055" w:type="dxa"/>
          </w:tcPr>
          <w:p w14:paraId="5CAB6AB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3729070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16 мин.</w:t>
            </w:r>
          </w:p>
        </w:tc>
      </w:tr>
      <w:tr w:rsidR="00E3599D" w:rsidRPr="00E14102" w14:paraId="7F23A9C0" w14:textId="77777777">
        <w:tc>
          <w:tcPr>
            <w:tcW w:w="2214" w:type="dxa"/>
          </w:tcPr>
          <w:p w14:paraId="301231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июля 1935 года</w:t>
            </w:r>
          </w:p>
        </w:tc>
        <w:tc>
          <w:tcPr>
            <w:tcW w:w="4698" w:type="dxa"/>
          </w:tcPr>
          <w:p w14:paraId="44FBEA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управляемость.</w:t>
            </w:r>
          </w:p>
        </w:tc>
        <w:tc>
          <w:tcPr>
            <w:tcW w:w="1055" w:type="dxa"/>
          </w:tcPr>
          <w:p w14:paraId="0F4F53A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7148564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 мин.</w:t>
            </w:r>
          </w:p>
        </w:tc>
      </w:tr>
      <w:tr w:rsidR="00E3599D" w:rsidRPr="00E14102" w14:paraId="0BD25E3A" w14:textId="77777777">
        <w:tc>
          <w:tcPr>
            <w:tcW w:w="2214" w:type="dxa"/>
          </w:tcPr>
          <w:p w14:paraId="16342C9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июля 1935 года</w:t>
            </w:r>
          </w:p>
        </w:tc>
        <w:tc>
          <w:tcPr>
            <w:tcW w:w="4698" w:type="dxa"/>
          </w:tcPr>
          <w:p w14:paraId="6A9FE18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зубцы.</w:t>
            </w:r>
          </w:p>
        </w:tc>
        <w:tc>
          <w:tcPr>
            <w:tcW w:w="1055" w:type="dxa"/>
          </w:tcPr>
          <w:p w14:paraId="129C63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14B200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40 мин.</w:t>
            </w:r>
          </w:p>
        </w:tc>
      </w:tr>
      <w:tr w:rsidR="00E3599D" w:rsidRPr="00E14102" w14:paraId="0FD4A614" w14:textId="77777777">
        <w:tc>
          <w:tcPr>
            <w:tcW w:w="2214" w:type="dxa"/>
          </w:tcPr>
          <w:p w14:paraId="2075803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июля 1935 года</w:t>
            </w:r>
          </w:p>
        </w:tc>
        <w:tc>
          <w:tcPr>
            <w:tcW w:w="4698" w:type="dxa"/>
          </w:tcPr>
          <w:p w14:paraId="56C4406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w:t>
            </w:r>
          </w:p>
        </w:tc>
        <w:tc>
          <w:tcPr>
            <w:tcW w:w="1055" w:type="dxa"/>
          </w:tcPr>
          <w:p w14:paraId="41E69B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46F7145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39 мин.</w:t>
            </w:r>
          </w:p>
        </w:tc>
      </w:tr>
      <w:tr w:rsidR="00E3599D" w:rsidRPr="00E14102" w14:paraId="74944B51" w14:textId="77777777">
        <w:tc>
          <w:tcPr>
            <w:tcW w:w="2214" w:type="dxa"/>
          </w:tcPr>
          <w:p w14:paraId="6BF3F78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июля 1935 года</w:t>
            </w:r>
          </w:p>
        </w:tc>
        <w:tc>
          <w:tcPr>
            <w:tcW w:w="4698" w:type="dxa"/>
          </w:tcPr>
          <w:p w14:paraId="096BBA9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w:t>
            </w:r>
          </w:p>
        </w:tc>
        <w:tc>
          <w:tcPr>
            <w:tcW w:w="1055" w:type="dxa"/>
          </w:tcPr>
          <w:p w14:paraId="04E2879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0178063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 мин.</w:t>
            </w:r>
          </w:p>
        </w:tc>
      </w:tr>
      <w:tr w:rsidR="00E3599D" w:rsidRPr="00E14102" w14:paraId="24009904" w14:textId="77777777">
        <w:tc>
          <w:tcPr>
            <w:tcW w:w="2214" w:type="dxa"/>
          </w:tcPr>
          <w:p w14:paraId="781A57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25A00AB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на растряску бомб АФ-500.</w:t>
            </w:r>
          </w:p>
        </w:tc>
        <w:tc>
          <w:tcPr>
            <w:tcW w:w="1055" w:type="dxa"/>
          </w:tcPr>
          <w:p w14:paraId="07C7B8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w:t>
            </w:r>
          </w:p>
        </w:tc>
        <w:tc>
          <w:tcPr>
            <w:tcW w:w="2489" w:type="dxa"/>
          </w:tcPr>
          <w:p w14:paraId="13FE75F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 мин.</w:t>
            </w:r>
          </w:p>
        </w:tc>
      </w:tr>
      <w:tr w:rsidR="00E3599D" w:rsidRPr="00E14102" w14:paraId="67F69531" w14:textId="77777777">
        <w:tc>
          <w:tcPr>
            <w:tcW w:w="2214" w:type="dxa"/>
          </w:tcPr>
          <w:p w14:paraId="45FAF3D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47693A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w:t>
            </w:r>
          </w:p>
        </w:tc>
        <w:tc>
          <w:tcPr>
            <w:tcW w:w="1055" w:type="dxa"/>
          </w:tcPr>
          <w:p w14:paraId="2AEB829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27FE75B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1 час. 05 мин.</w:t>
            </w:r>
          </w:p>
        </w:tc>
      </w:tr>
      <w:tr w:rsidR="00E3599D" w:rsidRPr="00E14102" w14:paraId="6FB1DB82" w14:textId="77777777">
        <w:tc>
          <w:tcPr>
            <w:tcW w:w="2214" w:type="dxa"/>
          </w:tcPr>
          <w:p w14:paraId="79C65C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49E9DD6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управляемость и стрельбу по земным целям.</w:t>
            </w:r>
          </w:p>
        </w:tc>
        <w:tc>
          <w:tcPr>
            <w:tcW w:w="1055" w:type="dxa"/>
          </w:tcPr>
          <w:p w14:paraId="2BDF988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3BEC34C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45 мин.</w:t>
            </w:r>
          </w:p>
        </w:tc>
      </w:tr>
      <w:tr w:rsidR="00E3599D" w:rsidRPr="00E14102" w14:paraId="458E485C" w14:textId="77777777">
        <w:tc>
          <w:tcPr>
            <w:tcW w:w="2214" w:type="dxa"/>
          </w:tcPr>
          <w:p w14:paraId="153EF7E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2BB9EF9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w:t>
            </w:r>
          </w:p>
        </w:tc>
        <w:tc>
          <w:tcPr>
            <w:tcW w:w="1055" w:type="dxa"/>
          </w:tcPr>
          <w:p w14:paraId="1728C84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1296FDA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05 мин.</w:t>
            </w:r>
          </w:p>
        </w:tc>
      </w:tr>
      <w:tr w:rsidR="00E3599D" w:rsidRPr="00E14102" w14:paraId="02CC46E5" w14:textId="77777777">
        <w:tc>
          <w:tcPr>
            <w:tcW w:w="2214" w:type="dxa"/>
          </w:tcPr>
          <w:p w14:paraId="7E7AD6F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499506D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до 8000 м и бомбометание.</w:t>
            </w:r>
          </w:p>
        </w:tc>
        <w:tc>
          <w:tcPr>
            <w:tcW w:w="1055" w:type="dxa"/>
          </w:tcPr>
          <w:p w14:paraId="7534229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6C1F2B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20 мин.</w:t>
            </w:r>
          </w:p>
        </w:tc>
      </w:tr>
      <w:tr w:rsidR="00E3599D" w:rsidRPr="00E14102" w14:paraId="261913E9" w14:textId="77777777">
        <w:tc>
          <w:tcPr>
            <w:tcW w:w="2214" w:type="dxa"/>
          </w:tcPr>
          <w:p w14:paraId="71C87BA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июля 1935 года</w:t>
            </w:r>
          </w:p>
        </w:tc>
        <w:tc>
          <w:tcPr>
            <w:tcW w:w="4698" w:type="dxa"/>
          </w:tcPr>
          <w:p w14:paraId="333CCC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1055" w:type="dxa"/>
          </w:tcPr>
          <w:p w14:paraId="3E758E1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3ED9017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11 мин.</w:t>
            </w:r>
          </w:p>
        </w:tc>
      </w:tr>
      <w:tr w:rsidR="00E3599D" w:rsidRPr="00E14102" w14:paraId="5F90BF89" w14:textId="77777777">
        <w:tc>
          <w:tcPr>
            <w:tcW w:w="2214" w:type="dxa"/>
          </w:tcPr>
          <w:p w14:paraId="2B1D8C8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июля 1935 года</w:t>
            </w:r>
          </w:p>
        </w:tc>
        <w:tc>
          <w:tcPr>
            <w:tcW w:w="4698" w:type="dxa"/>
          </w:tcPr>
          <w:p w14:paraId="27A55B2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1055" w:type="dxa"/>
          </w:tcPr>
          <w:p w14:paraId="0DA5E86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30D1114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 мин.</w:t>
            </w:r>
          </w:p>
        </w:tc>
      </w:tr>
      <w:tr w:rsidR="00E3599D" w:rsidRPr="00E14102" w14:paraId="1727CFE2" w14:textId="77777777">
        <w:tc>
          <w:tcPr>
            <w:tcW w:w="2214" w:type="dxa"/>
          </w:tcPr>
          <w:p w14:paraId="4F10D67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июля 1935 года</w:t>
            </w:r>
          </w:p>
        </w:tc>
        <w:tc>
          <w:tcPr>
            <w:tcW w:w="4698" w:type="dxa"/>
          </w:tcPr>
          <w:p w14:paraId="53FF879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1055" w:type="dxa"/>
          </w:tcPr>
          <w:p w14:paraId="0D00895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68A182E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45 мин.</w:t>
            </w:r>
          </w:p>
        </w:tc>
      </w:tr>
      <w:tr w:rsidR="00E3599D" w:rsidRPr="00E14102" w14:paraId="265D77E3" w14:textId="77777777">
        <w:tc>
          <w:tcPr>
            <w:tcW w:w="2214" w:type="dxa"/>
          </w:tcPr>
          <w:p w14:paraId="6D5EBD2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 июля 1935 года</w:t>
            </w:r>
          </w:p>
        </w:tc>
        <w:tc>
          <w:tcPr>
            <w:tcW w:w="4698" w:type="dxa"/>
          </w:tcPr>
          <w:p w14:paraId="668BA03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Перегонка самолета на аэродром Томская.</w:t>
            </w:r>
          </w:p>
        </w:tc>
        <w:tc>
          <w:tcPr>
            <w:tcW w:w="1055" w:type="dxa"/>
          </w:tcPr>
          <w:p w14:paraId="158F35F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32168E4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18 мин.</w:t>
            </w:r>
          </w:p>
        </w:tc>
      </w:tr>
      <w:tr w:rsidR="00E3599D" w:rsidRPr="00E14102" w14:paraId="0ACE34B1" w14:textId="77777777">
        <w:tc>
          <w:tcPr>
            <w:tcW w:w="2214" w:type="dxa"/>
          </w:tcPr>
          <w:p w14:paraId="6ACD127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 июля 1935 года</w:t>
            </w:r>
          </w:p>
        </w:tc>
        <w:tc>
          <w:tcPr>
            <w:tcW w:w="4698" w:type="dxa"/>
          </w:tcPr>
          <w:p w14:paraId="584B02C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1055" w:type="dxa"/>
          </w:tcPr>
          <w:p w14:paraId="50B65D2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7F20078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 мин.</w:t>
            </w:r>
          </w:p>
        </w:tc>
      </w:tr>
    </w:tbl>
    <w:p w14:paraId="23C8320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Всего на самолете СБ-2ИС за время испытаний выполнено 18 полетов с налетом 11 час. 33 мин.</w:t>
      </w:r>
    </w:p>
    <w:p w14:paraId="52334A0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самолете СБ-2РЦ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4698"/>
        <w:gridCol w:w="1055"/>
        <w:gridCol w:w="2489"/>
      </w:tblGrid>
      <w:tr w:rsidR="00E3599D" w:rsidRPr="00E14102" w14:paraId="1ED54A63" w14:textId="77777777">
        <w:tc>
          <w:tcPr>
            <w:tcW w:w="2214" w:type="dxa"/>
          </w:tcPr>
          <w:p w14:paraId="14AC879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39DADF3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Вылет летчика Белозерова. Полеты на выявление вибраций и стрельбу из носовой точки.</w:t>
            </w:r>
          </w:p>
        </w:tc>
        <w:tc>
          <w:tcPr>
            <w:tcW w:w="1055" w:type="dxa"/>
          </w:tcPr>
          <w:p w14:paraId="1CB2D4C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w:t>
            </w:r>
          </w:p>
        </w:tc>
        <w:tc>
          <w:tcPr>
            <w:tcW w:w="2489" w:type="dxa"/>
          </w:tcPr>
          <w:p w14:paraId="139A3A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15 мин.</w:t>
            </w:r>
          </w:p>
        </w:tc>
      </w:tr>
      <w:tr w:rsidR="00E3599D" w:rsidRPr="00E14102" w14:paraId="62170389" w14:textId="77777777">
        <w:tc>
          <w:tcPr>
            <w:tcW w:w="2214" w:type="dxa"/>
          </w:tcPr>
          <w:p w14:paraId="779368F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6D2EC3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по земным целям.</w:t>
            </w:r>
          </w:p>
        </w:tc>
        <w:tc>
          <w:tcPr>
            <w:tcW w:w="1055" w:type="dxa"/>
          </w:tcPr>
          <w:p w14:paraId="3621AF4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454E26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03 мин.</w:t>
            </w:r>
          </w:p>
        </w:tc>
      </w:tr>
      <w:tr w:rsidR="00E3599D" w:rsidRPr="00E14102" w14:paraId="1B4EF43E" w14:textId="77777777">
        <w:tc>
          <w:tcPr>
            <w:tcW w:w="2214" w:type="dxa"/>
          </w:tcPr>
          <w:p w14:paraId="27EF82C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2A79B8C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1055" w:type="dxa"/>
          </w:tcPr>
          <w:p w14:paraId="1AB1AC7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2D3312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40 мин.</w:t>
            </w:r>
          </w:p>
        </w:tc>
      </w:tr>
      <w:tr w:rsidR="00E3599D" w:rsidRPr="00E14102" w14:paraId="4A2187E4" w14:textId="77777777">
        <w:tc>
          <w:tcPr>
            <w:tcW w:w="2214" w:type="dxa"/>
          </w:tcPr>
          <w:p w14:paraId="3EFCB8B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0046A47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 по конусу.</w:t>
            </w:r>
          </w:p>
        </w:tc>
        <w:tc>
          <w:tcPr>
            <w:tcW w:w="1055" w:type="dxa"/>
          </w:tcPr>
          <w:p w14:paraId="312113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5CFF530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 мин.</w:t>
            </w:r>
          </w:p>
        </w:tc>
      </w:tr>
      <w:tr w:rsidR="00E3599D" w:rsidRPr="00E14102" w14:paraId="2382A0C4" w14:textId="77777777">
        <w:tc>
          <w:tcPr>
            <w:tcW w:w="2214" w:type="dxa"/>
          </w:tcPr>
          <w:p w14:paraId="036706D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227DB4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1055" w:type="dxa"/>
          </w:tcPr>
          <w:p w14:paraId="4B714A0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54322A0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05 мин.</w:t>
            </w:r>
          </w:p>
        </w:tc>
      </w:tr>
      <w:tr w:rsidR="00E3599D" w:rsidRPr="00E14102" w14:paraId="01074314" w14:textId="77777777">
        <w:tc>
          <w:tcPr>
            <w:tcW w:w="2214" w:type="dxa"/>
          </w:tcPr>
          <w:p w14:paraId="655E335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69E4EDB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1055" w:type="dxa"/>
          </w:tcPr>
          <w:p w14:paraId="0E8086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73B4FAD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45 мин.</w:t>
            </w:r>
          </w:p>
        </w:tc>
      </w:tr>
      <w:tr w:rsidR="00E3599D" w:rsidRPr="00E14102" w14:paraId="6B2561F0" w14:textId="77777777">
        <w:tc>
          <w:tcPr>
            <w:tcW w:w="2214" w:type="dxa"/>
          </w:tcPr>
          <w:p w14:paraId="0EA5024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6B541CA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1055" w:type="dxa"/>
          </w:tcPr>
          <w:p w14:paraId="14DB277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3686C44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мин.</w:t>
            </w:r>
          </w:p>
        </w:tc>
      </w:tr>
      <w:tr w:rsidR="00E3599D" w:rsidRPr="00E14102" w14:paraId="561CA70A" w14:textId="77777777">
        <w:tc>
          <w:tcPr>
            <w:tcW w:w="2214" w:type="dxa"/>
          </w:tcPr>
          <w:p w14:paraId="142B15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июля 1935 года</w:t>
            </w:r>
          </w:p>
        </w:tc>
        <w:tc>
          <w:tcPr>
            <w:tcW w:w="4698" w:type="dxa"/>
          </w:tcPr>
          <w:p w14:paraId="53D9E7E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двух точек и тактическое задание.</w:t>
            </w:r>
          </w:p>
        </w:tc>
        <w:tc>
          <w:tcPr>
            <w:tcW w:w="1055" w:type="dxa"/>
          </w:tcPr>
          <w:p w14:paraId="69A150B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6CA3771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 мин.</w:t>
            </w:r>
          </w:p>
        </w:tc>
      </w:tr>
      <w:tr w:rsidR="00E3599D" w:rsidRPr="00E14102" w14:paraId="50D1C967" w14:textId="77777777">
        <w:tc>
          <w:tcPr>
            <w:tcW w:w="2214" w:type="dxa"/>
          </w:tcPr>
          <w:p w14:paraId="244103E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июля 1935 года</w:t>
            </w:r>
          </w:p>
        </w:tc>
        <w:tc>
          <w:tcPr>
            <w:tcW w:w="4698" w:type="dxa"/>
          </w:tcPr>
          <w:p w14:paraId="6D3E68A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двух точек и тактическое задание.</w:t>
            </w:r>
          </w:p>
        </w:tc>
        <w:tc>
          <w:tcPr>
            <w:tcW w:w="1055" w:type="dxa"/>
          </w:tcPr>
          <w:p w14:paraId="0E4215C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489" w:type="dxa"/>
          </w:tcPr>
          <w:p w14:paraId="1849586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 мин.</w:t>
            </w:r>
          </w:p>
        </w:tc>
      </w:tr>
    </w:tbl>
    <w:p w14:paraId="1B2847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Всего на самолете СБ-2РЦ за время испытаний выполнено 16 полетов с налетом 10 час. 09 мин.</w:t>
      </w:r>
    </w:p>
    <w:p w14:paraId="7352170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Всего за время испытаний на обоих самолетах выполнено 34 полета с налетом 21 час. 42 мин. (6697).</w:t>
      </w:r>
    </w:p>
    <w:p w14:paraId="2F4A525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144C1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9 июля по 12 августа 1935 проходили гос. испытания СБ с 2ИС-12 и стрелкового вооружения на СБ 2РЦ. Собственно испытание вооружения было с 12 по 16 августа 1935. Отв. исполнители: Нач. 1 отд. И.Ф.Петров, Нач. 4 Отд. Шевченко, ви Подлесецкий.</w:t>
      </w:r>
    </w:p>
    <w:p w14:paraId="55B197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 проверка летно-тактических, боевых и эксплуатационных данных СБ в летных условиях (на колесах) (2913).</w:t>
      </w:r>
    </w:p>
    <w:p w14:paraId="19204A3C" w14:textId="77777777" w:rsidR="00D4105E" w:rsidRPr="00E14102" w:rsidRDefault="00D4105E" w:rsidP="00E14102">
      <w:pPr>
        <w:autoSpaceDE w:val="0"/>
        <w:autoSpaceDN w:val="0"/>
        <w:adjustRightInd w:val="0"/>
        <w:jc w:val="both"/>
        <w:rPr>
          <w:color w:val="000000" w:themeColor="text1"/>
          <w:sz w:val="16"/>
          <w:szCs w:val="16"/>
        </w:rPr>
      </w:pPr>
    </w:p>
    <w:p w14:paraId="06CC8F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9 июля 1935 в ходе гос. испытаний СБ 2ИС-12 с 6:00 до 19:40 была проведена проверка вооружения, спец. оборудования и замерены емкости системы. Потом с 19:40 до 21:30 было выполнено 4 полета общей продолжительностью 0:53 (2913).</w:t>
      </w:r>
    </w:p>
    <w:p w14:paraId="70A25CF4" w14:textId="77777777" w:rsidR="00D4105E" w:rsidRPr="00E14102" w:rsidRDefault="00D4105E" w:rsidP="00E14102">
      <w:pPr>
        <w:autoSpaceDE w:val="0"/>
        <w:autoSpaceDN w:val="0"/>
        <w:adjustRightInd w:val="0"/>
        <w:jc w:val="both"/>
        <w:rPr>
          <w:color w:val="000000" w:themeColor="text1"/>
          <w:sz w:val="16"/>
          <w:szCs w:val="16"/>
        </w:rPr>
      </w:pPr>
    </w:p>
    <w:p w14:paraId="1FD4F0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9 по 12 июля 1935 в НИИ ВВС проходили гос. испытания СБ. Самолет испытаний не прошел (7717, 16).</w:t>
      </w:r>
    </w:p>
    <w:p w14:paraId="47203138" w14:textId="77777777" w:rsidR="00D4105E" w:rsidRPr="00E14102" w:rsidRDefault="00D4105E" w:rsidP="00E14102">
      <w:pPr>
        <w:autoSpaceDE w:val="0"/>
        <w:autoSpaceDN w:val="0"/>
        <w:adjustRightInd w:val="0"/>
        <w:jc w:val="both"/>
        <w:rPr>
          <w:color w:val="000000" w:themeColor="text1"/>
          <w:sz w:val="16"/>
          <w:szCs w:val="16"/>
        </w:rPr>
      </w:pPr>
    </w:p>
    <w:p w14:paraId="390D1E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июля 1935 состоялось совещание у начальника УВВС РККА Я.И.Алксниса по вопросу готовности самолета к перелету 9 июля 1935. От ЦАГИ был П.О.С. (1102).</w:t>
      </w:r>
    </w:p>
    <w:p w14:paraId="474FDAC5" w14:textId="77777777" w:rsidR="00D4105E" w:rsidRPr="00E14102" w:rsidRDefault="00D4105E" w:rsidP="00E14102">
      <w:pPr>
        <w:autoSpaceDE w:val="0"/>
        <w:autoSpaceDN w:val="0"/>
        <w:adjustRightInd w:val="0"/>
        <w:jc w:val="both"/>
        <w:rPr>
          <w:color w:val="000000" w:themeColor="text1"/>
          <w:sz w:val="16"/>
          <w:szCs w:val="16"/>
        </w:rPr>
      </w:pPr>
    </w:p>
    <w:p w14:paraId="5D8881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июня 1935 г. Алкснис направил Курчевскому письмо: «Во исполнение постановления СТО СССР от 7.04.1935 г. для определения тактики и боевого применения пушечной авиации и для отработки правил стрельбы приказом НКО СССР № 065 создана особая группа: звено „ЗЕТ“, звено Р-5 и один ТБ-1, которая была направлена в Евпаторию. С 15.03.1935 г. группа бездействует в Евпатории в ожидании пушек. Требуется 6 АПК-4М и одно 37-мм ружье Курчевского».</w:t>
      </w:r>
    </w:p>
    <w:p w14:paraId="58EC0F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любом случае признавалось, что даже при соответствующих усилениях конструкции срок службы И-Z при стрельбе из ДРП составляет не более 400 выстрелов. Пока проводили всевозможные испытания, большую часть серийных ЗЕТов довели до нелетного состояния (12091). </w:t>
      </w:r>
    </w:p>
    <w:p w14:paraId="7310E029" w14:textId="77777777" w:rsidR="00D4105E" w:rsidRPr="00E14102" w:rsidRDefault="00D4105E" w:rsidP="00E14102">
      <w:pPr>
        <w:autoSpaceDE w:val="0"/>
        <w:autoSpaceDN w:val="0"/>
        <w:adjustRightInd w:val="0"/>
        <w:jc w:val="both"/>
        <w:rPr>
          <w:color w:val="000000" w:themeColor="text1"/>
          <w:sz w:val="16"/>
          <w:szCs w:val="16"/>
        </w:rPr>
      </w:pPr>
    </w:p>
    <w:p w14:paraId="697478A8" w14:textId="77777777" w:rsidR="00B22440" w:rsidRPr="00E14102" w:rsidRDefault="00B22440" w:rsidP="00E14102">
      <w:pPr>
        <w:jc w:val="both"/>
        <w:rPr>
          <w:color w:val="000000" w:themeColor="text1"/>
          <w:sz w:val="16"/>
          <w:szCs w:val="16"/>
        </w:rPr>
      </w:pPr>
      <w:r w:rsidRPr="00E14102">
        <w:rPr>
          <w:color w:val="000000" w:themeColor="text1"/>
          <w:sz w:val="16"/>
          <w:szCs w:val="16"/>
        </w:rPr>
        <w:t>9 июля в 1935 году воспитанница аэроклуба города Ростова-на-Дону К.А.Степанова совершила первый в мире ночной прыжок с высоты 700 метров (14947).</w:t>
      </w:r>
    </w:p>
    <w:p w14:paraId="3445B74C" w14:textId="77777777" w:rsidR="00B22440" w:rsidRPr="00E14102" w:rsidRDefault="00B22440" w:rsidP="00E14102">
      <w:pPr>
        <w:jc w:val="both"/>
        <w:rPr>
          <w:color w:val="000000" w:themeColor="text1"/>
          <w:sz w:val="16"/>
          <w:szCs w:val="16"/>
        </w:rPr>
      </w:pPr>
    </w:p>
    <w:p w14:paraId="7195B88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7D4C553" w14:textId="77777777" w:rsidR="00D4105E" w:rsidRPr="00E14102" w:rsidRDefault="00D4105E" w:rsidP="00E14102">
      <w:pPr>
        <w:autoSpaceDE w:val="0"/>
        <w:autoSpaceDN w:val="0"/>
        <w:adjustRightInd w:val="0"/>
        <w:jc w:val="both"/>
        <w:rPr>
          <w:iCs/>
          <w:color w:val="000000" w:themeColor="text1"/>
          <w:sz w:val="16"/>
          <w:szCs w:val="16"/>
        </w:rPr>
      </w:pPr>
    </w:p>
    <w:p w14:paraId="58A2B022" w14:textId="77777777" w:rsidR="00B22440" w:rsidRPr="00E14102" w:rsidRDefault="00B22440" w:rsidP="00E14102">
      <w:pPr>
        <w:pStyle w:val="rtejustify"/>
        <w:spacing w:before="0" w:after="0"/>
        <w:rPr>
          <w:color w:val="000000" w:themeColor="text1"/>
          <w:sz w:val="16"/>
          <w:szCs w:val="16"/>
        </w:rPr>
      </w:pPr>
      <w:r w:rsidRPr="00E14102">
        <w:rPr>
          <w:rStyle w:val="a6"/>
          <w:bCs/>
          <w:i w:val="0"/>
          <w:color w:val="000000" w:themeColor="text1"/>
          <w:sz w:val="16"/>
          <w:szCs w:val="16"/>
        </w:rPr>
        <w:t>9 июля 1935 вышел приказ НКО №</w:t>
      </w:r>
      <w:r w:rsidRPr="00E14102">
        <w:rPr>
          <w:color w:val="000000" w:themeColor="text1"/>
          <w:sz w:val="16"/>
          <w:szCs w:val="16"/>
        </w:rPr>
        <w:t> 0048. О вводе на вооружение новых образцов артиллерийского вооружения (15247).</w:t>
      </w:r>
    </w:p>
    <w:p w14:paraId="744BDDEB" w14:textId="77777777" w:rsidR="00B22440" w:rsidRPr="00E14102" w:rsidRDefault="00B22440" w:rsidP="00E14102">
      <w:pPr>
        <w:pStyle w:val="rtejustify"/>
        <w:spacing w:before="0" w:after="0"/>
        <w:rPr>
          <w:color w:val="000000" w:themeColor="text1"/>
          <w:sz w:val="16"/>
          <w:szCs w:val="16"/>
        </w:rPr>
      </w:pPr>
    </w:p>
    <w:p w14:paraId="1D8D6AD9" w14:textId="77777777" w:rsidR="00B22440" w:rsidRPr="00E14102" w:rsidRDefault="00B22440" w:rsidP="00E14102">
      <w:pPr>
        <w:jc w:val="both"/>
        <w:rPr>
          <w:color w:val="000000" w:themeColor="text1"/>
          <w:sz w:val="16"/>
          <w:szCs w:val="16"/>
        </w:rPr>
      </w:pPr>
      <w:r w:rsidRPr="00E14102">
        <w:rPr>
          <w:color w:val="000000" w:themeColor="text1"/>
          <w:sz w:val="16"/>
          <w:szCs w:val="16"/>
        </w:rPr>
        <w:t>9 июля 1935 г. на НИАП прибыл второй образец ГПК</w:t>
      </w:r>
    </w:p>
    <w:p w14:paraId="5548BEA7" w14:textId="77777777" w:rsidR="00B22440" w:rsidRPr="00E14102" w:rsidRDefault="00B22440" w:rsidP="00E14102">
      <w:pPr>
        <w:jc w:val="both"/>
        <w:rPr>
          <w:color w:val="000000" w:themeColor="text1"/>
          <w:sz w:val="16"/>
          <w:szCs w:val="16"/>
        </w:rPr>
      </w:pPr>
      <w:r w:rsidRPr="00E14102">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62C6F2DE" w14:textId="77777777" w:rsidR="00B22440" w:rsidRPr="00E14102" w:rsidRDefault="00B22440" w:rsidP="00E14102">
      <w:pPr>
        <w:jc w:val="both"/>
        <w:rPr>
          <w:color w:val="000000" w:themeColor="text1"/>
          <w:sz w:val="16"/>
          <w:szCs w:val="16"/>
        </w:rPr>
      </w:pPr>
      <w:r w:rsidRPr="00E14102">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05602590" w14:textId="77777777" w:rsidR="00B22440" w:rsidRPr="00E14102" w:rsidRDefault="00B22440" w:rsidP="00E14102">
      <w:pPr>
        <w:jc w:val="both"/>
        <w:rPr>
          <w:color w:val="000000" w:themeColor="text1"/>
          <w:sz w:val="16"/>
          <w:szCs w:val="16"/>
        </w:rPr>
      </w:pPr>
      <w:r w:rsidRPr="00E14102">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548DC2E7" w14:textId="77777777" w:rsidR="00B22440" w:rsidRPr="00E14102" w:rsidRDefault="00B22440" w:rsidP="00E14102">
      <w:pPr>
        <w:jc w:val="both"/>
        <w:rPr>
          <w:color w:val="000000" w:themeColor="text1"/>
          <w:sz w:val="16"/>
          <w:szCs w:val="16"/>
        </w:rPr>
      </w:pPr>
      <w:r w:rsidRPr="00E14102">
        <w:rPr>
          <w:color w:val="000000" w:themeColor="text1"/>
          <w:sz w:val="16"/>
          <w:szCs w:val="16"/>
        </w:rPr>
        <w:t>У обоих образцов станины и шворневая лапа располагались перед щитом (с дульной стороны). Колеса деревянные. Подрессоривания не было. Система разбиралась на три вьюка, не считая патронных.</w:t>
      </w:r>
    </w:p>
    <w:p w14:paraId="5D7AFD98" w14:textId="77777777" w:rsidR="00B22440" w:rsidRPr="00E14102" w:rsidRDefault="00B22440" w:rsidP="00E14102">
      <w:pPr>
        <w:jc w:val="both"/>
        <w:rPr>
          <w:bCs/>
          <w:color w:val="000000" w:themeColor="text1"/>
          <w:sz w:val="16"/>
          <w:szCs w:val="16"/>
        </w:rPr>
      </w:pPr>
      <w:r w:rsidRPr="00E14102">
        <w:rPr>
          <w:bCs/>
          <w:color w:val="000000" w:themeColor="text1"/>
          <w:sz w:val="16"/>
          <w:szCs w:val="16"/>
        </w:rPr>
        <w:t>Результаты испытаний ГПК</w:t>
      </w:r>
    </w:p>
    <w:p w14:paraId="525F9CB7" w14:textId="77777777" w:rsidR="00B22440" w:rsidRPr="00E14102" w:rsidRDefault="00B22440" w:rsidP="00E14102">
      <w:pPr>
        <w:jc w:val="both"/>
        <w:rPr>
          <w:bCs/>
          <w:color w:val="000000" w:themeColor="text1"/>
          <w:sz w:val="16"/>
          <w:szCs w:val="16"/>
        </w:rPr>
      </w:pPr>
      <w:r w:rsidRPr="00E14102">
        <w:rPr>
          <w:bCs/>
          <w:color w:val="000000" w:themeColor="text1"/>
          <w:sz w:val="16"/>
          <w:szCs w:val="16"/>
          <w:vertAlign w:val="superscript"/>
        </w:rPr>
        <w:t>Снаряд …… Вес снаряда, кг / Заряд / Дальность, м / Угол, град.</w:t>
      </w:r>
    </w:p>
    <w:p w14:paraId="390BF2EB" w14:textId="77777777" w:rsidR="00B22440" w:rsidRPr="00E14102" w:rsidRDefault="00B22440" w:rsidP="00E14102">
      <w:pPr>
        <w:jc w:val="both"/>
        <w:rPr>
          <w:color w:val="000000" w:themeColor="text1"/>
          <w:sz w:val="16"/>
          <w:szCs w:val="16"/>
        </w:rPr>
      </w:pPr>
      <w:r w:rsidRPr="00E14102">
        <w:rPr>
          <w:color w:val="000000" w:themeColor="text1"/>
          <w:sz w:val="16"/>
          <w:szCs w:val="16"/>
        </w:rPr>
        <w:t>Штатная граната …… 6,5 / 0,95 кг ПКО / — / —</w:t>
      </w:r>
    </w:p>
    <w:p w14:paraId="1A73046E" w14:textId="77777777" w:rsidR="00B22440" w:rsidRPr="00E14102" w:rsidRDefault="00B22440" w:rsidP="00E14102">
      <w:pPr>
        <w:jc w:val="both"/>
        <w:rPr>
          <w:color w:val="000000" w:themeColor="text1"/>
          <w:sz w:val="16"/>
          <w:szCs w:val="16"/>
        </w:rPr>
      </w:pPr>
      <w:r w:rsidRPr="00E14102">
        <w:rPr>
          <w:color w:val="000000" w:themeColor="text1"/>
          <w:sz w:val="16"/>
          <w:szCs w:val="16"/>
        </w:rPr>
        <w:t>Осколочная граната черт. 2-01129 с КТ-1 …… 4,72 / 1,06 кг ПКО / 7461 / 45°</w:t>
      </w:r>
    </w:p>
    <w:p w14:paraId="497DA862" w14:textId="77777777" w:rsidR="00B22440" w:rsidRPr="00E14102" w:rsidRDefault="00B22440" w:rsidP="00E14102">
      <w:pPr>
        <w:jc w:val="both"/>
        <w:rPr>
          <w:color w:val="000000" w:themeColor="text1"/>
          <w:sz w:val="16"/>
          <w:szCs w:val="16"/>
        </w:rPr>
      </w:pPr>
      <w:r w:rsidRPr="00E14102">
        <w:rPr>
          <w:color w:val="000000" w:themeColor="text1"/>
          <w:sz w:val="16"/>
          <w:szCs w:val="16"/>
        </w:rPr>
        <w:t>Заключение комиссии:</w:t>
      </w:r>
    </w:p>
    <w:p w14:paraId="74B188D2" w14:textId="77777777" w:rsidR="00B22440" w:rsidRPr="00E14102" w:rsidRDefault="00B22440" w:rsidP="00E14102">
      <w:pPr>
        <w:jc w:val="both"/>
        <w:rPr>
          <w:color w:val="000000" w:themeColor="text1"/>
          <w:sz w:val="16"/>
          <w:szCs w:val="16"/>
        </w:rPr>
      </w:pPr>
      <w:r w:rsidRPr="00E14102">
        <w:rPr>
          <w:color w:val="000000" w:themeColor="text1"/>
          <w:sz w:val="16"/>
          <w:szCs w:val="16"/>
        </w:rPr>
        <w:t>а)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59DADC98" w14:textId="77777777" w:rsidR="00B22440" w:rsidRPr="00E14102" w:rsidRDefault="00B22440" w:rsidP="00E14102">
      <w:pPr>
        <w:jc w:val="both"/>
        <w:rPr>
          <w:color w:val="000000" w:themeColor="text1"/>
          <w:sz w:val="16"/>
          <w:szCs w:val="16"/>
        </w:rPr>
      </w:pPr>
      <w:r w:rsidRPr="00E14102">
        <w:rPr>
          <w:color w:val="000000" w:themeColor="text1"/>
          <w:sz w:val="16"/>
          <w:szCs w:val="16"/>
        </w:rPr>
        <w:t>б) Сбиваемость установки прицела после выстрела не наблюдалась. Прыжки и наброски системы не превышали 10-15 см. Разницы в устойчивости системы в обоих положениях нет.</w:t>
      </w:r>
    </w:p>
    <w:p w14:paraId="3C4D9A3F" w14:textId="77777777" w:rsidR="00B22440" w:rsidRPr="00E14102" w:rsidRDefault="00B22440" w:rsidP="00E14102">
      <w:pPr>
        <w:jc w:val="both"/>
        <w:rPr>
          <w:color w:val="000000" w:themeColor="text1"/>
          <w:sz w:val="16"/>
          <w:szCs w:val="16"/>
        </w:rPr>
      </w:pPr>
      <w:r w:rsidRPr="00E14102">
        <w:rPr>
          <w:color w:val="000000" w:themeColor="text1"/>
          <w:sz w:val="16"/>
          <w:szCs w:val="16"/>
        </w:rPr>
        <w:t>в) При возке лафет недостаточно прочен.</w:t>
      </w:r>
    </w:p>
    <w:p w14:paraId="0823335D" w14:textId="77777777" w:rsidR="00B22440" w:rsidRPr="00E14102" w:rsidRDefault="00B22440" w:rsidP="00E14102">
      <w:pPr>
        <w:jc w:val="both"/>
        <w:rPr>
          <w:color w:val="000000" w:themeColor="text1"/>
          <w:sz w:val="16"/>
          <w:szCs w:val="16"/>
        </w:rPr>
      </w:pPr>
      <w:r w:rsidRPr="00E14102">
        <w:rPr>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49762D68" w14:textId="77777777" w:rsidR="00B22440" w:rsidRPr="00E14102" w:rsidRDefault="00B22440" w:rsidP="00E14102">
      <w:pPr>
        <w:jc w:val="both"/>
        <w:rPr>
          <w:color w:val="000000" w:themeColor="text1"/>
          <w:sz w:val="16"/>
          <w:szCs w:val="16"/>
        </w:rPr>
      </w:pPr>
      <w:r w:rsidRPr="00E14102">
        <w:rPr>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w:t>
      </w:r>
    </w:p>
    <w:p w14:paraId="55B8D894" w14:textId="77777777" w:rsidR="00B22440" w:rsidRPr="00E14102" w:rsidRDefault="00B22440" w:rsidP="00E14102">
      <w:pPr>
        <w:jc w:val="both"/>
        <w:rPr>
          <w:color w:val="000000" w:themeColor="text1"/>
          <w:sz w:val="16"/>
          <w:szCs w:val="16"/>
        </w:rPr>
      </w:pPr>
      <w:r w:rsidRPr="00E14102">
        <w:rPr>
          <w:color w:val="000000" w:themeColor="text1"/>
          <w:sz w:val="16"/>
          <w:szCs w:val="16"/>
        </w:rPr>
        <w:t>В план работ на 1935 г. Курчевский включил себе разработку 107-мм горной гаубицы ГПК-107. В 1935 г. планировалось изготовить два опытных образца.</w:t>
      </w:r>
    </w:p>
    <w:p w14:paraId="2F5991E3" w14:textId="77777777" w:rsidR="00B22440" w:rsidRPr="00E14102" w:rsidRDefault="00B22440" w:rsidP="00E14102">
      <w:pPr>
        <w:jc w:val="both"/>
        <w:rPr>
          <w:bCs/>
          <w:color w:val="000000" w:themeColor="text1"/>
          <w:sz w:val="16"/>
          <w:szCs w:val="16"/>
        </w:rPr>
      </w:pPr>
      <w:r w:rsidRPr="00E14102">
        <w:rPr>
          <w:bCs/>
          <w:color w:val="000000" w:themeColor="text1"/>
          <w:sz w:val="16"/>
          <w:szCs w:val="16"/>
        </w:rPr>
        <w:t>Данные двух опытных образцов ГПК</w:t>
      </w:r>
    </w:p>
    <w:p w14:paraId="1A3E8F6D" w14:textId="77777777" w:rsidR="00B22440" w:rsidRPr="00E14102" w:rsidRDefault="00B22440" w:rsidP="00E14102">
      <w:pPr>
        <w:jc w:val="both"/>
        <w:rPr>
          <w:bCs/>
          <w:color w:val="000000" w:themeColor="text1"/>
          <w:sz w:val="16"/>
          <w:szCs w:val="16"/>
        </w:rPr>
      </w:pPr>
      <w:r w:rsidRPr="00E14102">
        <w:rPr>
          <w:bCs/>
          <w:color w:val="000000" w:themeColor="text1"/>
          <w:sz w:val="16"/>
          <w:szCs w:val="16"/>
          <w:vertAlign w:val="superscript"/>
        </w:rPr>
        <w:t>(Образец …… 1-й — 2-й)</w:t>
      </w:r>
    </w:p>
    <w:p w14:paraId="6D1119E4" w14:textId="77777777" w:rsidR="00B22440" w:rsidRPr="00E14102" w:rsidRDefault="00B22440" w:rsidP="00E14102">
      <w:pPr>
        <w:jc w:val="both"/>
        <w:rPr>
          <w:color w:val="000000" w:themeColor="text1"/>
          <w:sz w:val="16"/>
          <w:szCs w:val="16"/>
        </w:rPr>
      </w:pPr>
      <w:r w:rsidRPr="00E14102">
        <w:rPr>
          <w:color w:val="000000" w:themeColor="text1"/>
          <w:sz w:val="16"/>
          <w:szCs w:val="16"/>
        </w:rPr>
        <w:t>Калибр, мм …… 76,2 — 76,2</w:t>
      </w:r>
    </w:p>
    <w:p w14:paraId="441B431A" w14:textId="77777777" w:rsidR="00B22440" w:rsidRPr="00E14102" w:rsidRDefault="00B22440" w:rsidP="00E14102">
      <w:pPr>
        <w:jc w:val="both"/>
        <w:rPr>
          <w:color w:val="000000" w:themeColor="text1"/>
          <w:sz w:val="16"/>
          <w:szCs w:val="16"/>
        </w:rPr>
      </w:pPr>
      <w:r w:rsidRPr="00E14102">
        <w:rPr>
          <w:color w:val="000000" w:themeColor="text1"/>
          <w:sz w:val="16"/>
          <w:szCs w:val="16"/>
        </w:rPr>
        <w:t>Длина ствола с воронкой, откинутой вверх, мм/клб …… 1625/21,4 — 1625/21,4</w:t>
      </w:r>
    </w:p>
    <w:p w14:paraId="64EA1F46" w14:textId="77777777" w:rsidR="00B22440" w:rsidRPr="00E14102" w:rsidRDefault="00B22440" w:rsidP="00E14102">
      <w:pPr>
        <w:jc w:val="both"/>
        <w:rPr>
          <w:color w:val="000000" w:themeColor="text1"/>
          <w:sz w:val="16"/>
          <w:szCs w:val="16"/>
        </w:rPr>
      </w:pPr>
      <w:r w:rsidRPr="00E14102">
        <w:rPr>
          <w:color w:val="000000" w:themeColor="text1"/>
          <w:sz w:val="16"/>
          <w:szCs w:val="16"/>
        </w:rPr>
        <w:t>Диаметр сопла (внутренний), мм …… 60,87 — 63,68</w:t>
      </w:r>
    </w:p>
    <w:p w14:paraId="04BEB0AD" w14:textId="77777777" w:rsidR="00B22440" w:rsidRPr="00E14102" w:rsidRDefault="00B22440" w:rsidP="00E14102">
      <w:pPr>
        <w:jc w:val="both"/>
        <w:rPr>
          <w:color w:val="000000" w:themeColor="text1"/>
          <w:sz w:val="16"/>
          <w:szCs w:val="16"/>
        </w:rPr>
      </w:pPr>
      <w:r w:rsidRPr="00E14102">
        <w:rPr>
          <w:color w:val="000000" w:themeColor="text1"/>
          <w:sz w:val="16"/>
          <w:szCs w:val="16"/>
        </w:rPr>
        <w:t xml:space="preserve">Угол ВГ, град.: </w:t>
      </w:r>
    </w:p>
    <w:p w14:paraId="228C9412" w14:textId="77777777" w:rsidR="00B22440" w:rsidRPr="00E14102" w:rsidRDefault="00B22440" w:rsidP="00E14102">
      <w:pPr>
        <w:jc w:val="both"/>
        <w:rPr>
          <w:color w:val="000000" w:themeColor="text1"/>
          <w:sz w:val="16"/>
          <w:szCs w:val="16"/>
        </w:rPr>
      </w:pPr>
      <w:r w:rsidRPr="00E14102">
        <w:rPr>
          <w:color w:val="000000" w:themeColor="text1"/>
          <w:sz w:val="16"/>
          <w:szCs w:val="16"/>
        </w:rPr>
        <w:t>в верхнем положении …… 5°15';+12°30' — -32°;+40°15'</w:t>
      </w:r>
    </w:p>
    <w:p w14:paraId="06194B5D" w14:textId="77777777" w:rsidR="00B22440" w:rsidRPr="00E14102" w:rsidRDefault="00B22440" w:rsidP="00E14102">
      <w:pPr>
        <w:jc w:val="both"/>
        <w:rPr>
          <w:color w:val="000000" w:themeColor="text1"/>
          <w:sz w:val="16"/>
          <w:szCs w:val="16"/>
        </w:rPr>
      </w:pPr>
      <w:r w:rsidRPr="00E14102">
        <w:rPr>
          <w:color w:val="000000" w:themeColor="text1"/>
          <w:sz w:val="16"/>
          <w:szCs w:val="16"/>
        </w:rPr>
        <w:t>в нижнем положении …… -32°;+39° - — -5°30';+13°12'</w:t>
      </w:r>
    </w:p>
    <w:p w14:paraId="136CD394" w14:textId="77777777" w:rsidR="00B22440" w:rsidRPr="00E14102" w:rsidRDefault="00B22440" w:rsidP="00E14102">
      <w:pPr>
        <w:jc w:val="both"/>
        <w:rPr>
          <w:color w:val="000000" w:themeColor="text1"/>
          <w:sz w:val="16"/>
          <w:szCs w:val="16"/>
        </w:rPr>
      </w:pPr>
      <w:r w:rsidRPr="00E14102">
        <w:rPr>
          <w:color w:val="000000" w:themeColor="text1"/>
          <w:sz w:val="16"/>
          <w:szCs w:val="16"/>
        </w:rPr>
        <w:t>Угол ГН, град. …… ±7°12' — ±7°15'</w:t>
      </w:r>
    </w:p>
    <w:p w14:paraId="50FD8F5C" w14:textId="77777777" w:rsidR="00B22440" w:rsidRPr="00E14102" w:rsidRDefault="00B22440" w:rsidP="00E14102">
      <w:pPr>
        <w:jc w:val="both"/>
        <w:rPr>
          <w:color w:val="000000" w:themeColor="text1"/>
          <w:sz w:val="16"/>
          <w:szCs w:val="16"/>
        </w:rPr>
      </w:pPr>
      <w:r w:rsidRPr="00E14102">
        <w:rPr>
          <w:color w:val="000000" w:themeColor="text1"/>
          <w:sz w:val="16"/>
          <w:szCs w:val="16"/>
        </w:rPr>
        <w:t>Высота линии огня, мм: в верхнем боевом положении …… 1450 — 1450</w:t>
      </w:r>
    </w:p>
    <w:p w14:paraId="2A7197E9" w14:textId="77777777" w:rsidR="00B22440" w:rsidRPr="00E14102" w:rsidRDefault="00B22440" w:rsidP="00E14102">
      <w:pPr>
        <w:jc w:val="both"/>
        <w:rPr>
          <w:color w:val="000000" w:themeColor="text1"/>
          <w:sz w:val="16"/>
          <w:szCs w:val="16"/>
        </w:rPr>
      </w:pPr>
      <w:r w:rsidRPr="00E14102">
        <w:rPr>
          <w:color w:val="000000" w:themeColor="text1"/>
          <w:sz w:val="16"/>
          <w:szCs w:val="16"/>
        </w:rPr>
        <w:t>в нижнем боевом положении …… 650 — 650</w:t>
      </w:r>
    </w:p>
    <w:p w14:paraId="62DD972A" w14:textId="77777777" w:rsidR="00B22440" w:rsidRPr="00E14102" w:rsidRDefault="00B22440" w:rsidP="00E14102">
      <w:pPr>
        <w:jc w:val="both"/>
        <w:rPr>
          <w:color w:val="000000" w:themeColor="text1"/>
          <w:sz w:val="16"/>
          <w:szCs w:val="16"/>
        </w:rPr>
      </w:pPr>
      <w:r w:rsidRPr="00E14102">
        <w:rPr>
          <w:color w:val="000000" w:themeColor="text1"/>
          <w:sz w:val="16"/>
          <w:szCs w:val="16"/>
        </w:rPr>
        <w:t>Длина сложенного станка, мм …… 1400 — 1400</w:t>
      </w:r>
    </w:p>
    <w:p w14:paraId="69FD1812" w14:textId="77777777" w:rsidR="00B22440" w:rsidRPr="00E14102" w:rsidRDefault="00B22440" w:rsidP="00E14102">
      <w:pPr>
        <w:jc w:val="both"/>
        <w:rPr>
          <w:color w:val="000000" w:themeColor="text1"/>
          <w:sz w:val="16"/>
          <w:szCs w:val="16"/>
        </w:rPr>
      </w:pPr>
      <w:r w:rsidRPr="00E14102">
        <w:rPr>
          <w:color w:val="000000" w:themeColor="text1"/>
          <w:sz w:val="16"/>
          <w:szCs w:val="16"/>
        </w:rPr>
        <w:t>Длина системы на колесном ходу, мм …… 2490 — 2490</w:t>
      </w:r>
    </w:p>
    <w:p w14:paraId="2D91675F" w14:textId="77777777" w:rsidR="00B22440" w:rsidRPr="00E14102" w:rsidRDefault="00B22440" w:rsidP="00E14102">
      <w:pPr>
        <w:jc w:val="both"/>
        <w:rPr>
          <w:color w:val="000000" w:themeColor="text1"/>
          <w:sz w:val="16"/>
          <w:szCs w:val="16"/>
        </w:rPr>
      </w:pPr>
      <w:r w:rsidRPr="00E14102">
        <w:rPr>
          <w:color w:val="000000" w:themeColor="text1"/>
          <w:sz w:val="16"/>
          <w:szCs w:val="16"/>
        </w:rPr>
        <w:t>Ширина системы, мм …… 1120 — 1120</w:t>
      </w:r>
    </w:p>
    <w:p w14:paraId="3E377284" w14:textId="77777777" w:rsidR="00B22440" w:rsidRPr="00E14102" w:rsidRDefault="00B22440" w:rsidP="00E14102">
      <w:pPr>
        <w:jc w:val="both"/>
        <w:rPr>
          <w:color w:val="000000" w:themeColor="text1"/>
          <w:sz w:val="16"/>
          <w:szCs w:val="16"/>
        </w:rPr>
      </w:pPr>
      <w:r w:rsidRPr="00E14102">
        <w:rPr>
          <w:color w:val="000000" w:themeColor="text1"/>
          <w:sz w:val="16"/>
          <w:szCs w:val="16"/>
        </w:rPr>
        <w:t>Ширина хода, мм …… 1020 — 1020</w:t>
      </w:r>
    </w:p>
    <w:p w14:paraId="703104F9" w14:textId="77777777" w:rsidR="00B22440" w:rsidRPr="00E14102" w:rsidRDefault="00B22440" w:rsidP="00E14102">
      <w:pPr>
        <w:jc w:val="both"/>
        <w:rPr>
          <w:color w:val="000000" w:themeColor="text1"/>
          <w:sz w:val="16"/>
          <w:szCs w:val="16"/>
        </w:rPr>
      </w:pPr>
      <w:r w:rsidRPr="00E14102">
        <w:rPr>
          <w:color w:val="000000" w:themeColor="text1"/>
          <w:sz w:val="16"/>
          <w:szCs w:val="16"/>
        </w:rPr>
        <w:t>Клиренс, мм …… 230 — 230</w:t>
      </w:r>
    </w:p>
    <w:p w14:paraId="2398A830" w14:textId="77777777" w:rsidR="00B22440" w:rsidRPr="00E14102" w:rsidRDefault="00B22440" w:rsidP="00E14102">
      <w:pPr>
        <w:jc w:val="both"/>
        <w:rPr>
          <w:color w:val="000000" w:themeColor="text1"/>
          <w:sz w:val="16"/>
          <w:szCs w:val="16"/>
        </w:rPr>
      </w:pPr>
      <w:r w:rsidRPr="00E14102">
        <w:rPr>
          <w:color w:val="000000" w:themeColor="text1"/>
          <w:sz w:val="16"/>
          <w:szCs w:val="16"/>
        </w:rPr>
        <w:t>Вес орудия с воронкой, но без прицела, кг …… 104 — 96</w:t>
      </w:r>
    </w:p>
    <w:p w14:paraId="32790A49" w14:textId="77777777" w:rsidR="00B22440" w:rsidRPr="00E14102" w:rsidRDefault="00B22440" w:rsidP="00E14102">
      <w:pPr>
        <w:jc w:val="both"/>
        <w:rPr>
          <w:color w:val="000000" w:themeColor="text1"/>
          <w:sz w:val="16"/>
          <w:szCs w:val="16"/>
        </w:rPr>
      </w:pPr>
      <w:r w:rsidRPr="00E14102">
        <w:rPr>
          <w:color w:val="000000" w:themeColor="text1"/>
          <w:sz w:val="16"/>
          <w:szCs w:val="16"/>
        </w:rPr>
        <w:t>Вес орудия с воронкой и прицелом, кг …… 108,16 — —</w:t>
      </w:r>
    </w:p>
    <w:p w14:paraId="688C6BFB" w14:textId="77777777" w:rsidR="00B22440" w:rsidRPr="00E14102" w:rsidRDefault="00B22440" w:rsidP="00E14102">
      <w:pPr>
        <w:jc w:val="both"/>
        <w:rPr>
          <w:color w:val="000000" w:themeColor="text1"/>
          <w:sz w:val="16"/>
          <w:szCs w:val="16"/>
        </w:rPr>
      </w:pPr>
      <w:r w:rsidRPr="00E14102">
        <w:rPr>
          <w:color w:val="000000" w:themeColor="text1"/>
          <w:sz w:val="16"/>
          <w:szCs w:val="16"/>
        </w:rPr>
        <w:t>Вес системы в боевом положении, кг …… 224 — 237</w:t>
      </w:r>
    </w:p>
    <w:p w14:paraId="6E1777BD" w14:textId="77777777" w:rsidR="00B22440" w:rsidRPr="00E14102" w:rsidRDefault="00B22440" w:rsidP="00E14102">
      <w:pPr>
        <w:jc w:val="both"/>
        <w:rPr>
          <w:color w:val="000000" w:themeColor="text1"/>
          <w:sz w:val="16"/>
          <w:szCs w:val="16"/>
        </w:rPr>
      </w:pPr>
      <w:r w:rsidRPr="00E14102">
        <w:rPr>
          <w:color w:val="000000" w:themeColor="text1"/>
          <w:sz w:val="16"/>
          <w:szCs w:val="16"/>
        </w:rPr>
        <w:t>Вес вьюков</w:t>
      </w:r>
    </w:p>
    <w:p w14:paraId="15597BA8" w14:textId="77777777" w:rsidR="00B22440" w:rsidRPr="00E14102" w:rsidRDefault="00B22440" w:rsidP="00E14102">
      <w:pPr>
        <w:jc w:val="both"/>
        <w:rPr>
          <w:color w:val="000000" w:themeColor="text1"/>
          <w:sz w:val="16"/>
          <w:szCs w:val="16"/>
        </w:rPr>
      </w:pPr>
      <w:r w:rsidRPr="00E14102">
        <w:rPr>
          <w:color w:val="000000" w:themeColor="text1"/>
          <w:sz w:val="16"/>
          <w:szCs w:val="16"/>
        </w:rPr>
        <w:t>Вьюк со стволом, кг …… Без седла 96 — С седлом 122</w:t>
      </w:r>
    </w:p>
    <w:p w14:paraId="24E9A863" w14:textId="77777777" w:rsidR="00B22440" w:rsidRPr="00E14102" w:rsidRDefault="00B22440" w:rsidP="00E14102">
      <w:pPr>
        <w:jc w:val="both"/>
        <w:rPr>
          <w:color w:val="000000" w:themeColor="text1"/>
          <w:sz w:val="16"/>
          <w:szCs w:val="16"/>
        </w:rPr>
      </w:pPr>
      <w:r w:rsidRPr="00E14102">
        <w:rPr>
          <w:color w:val="000000" w:themeColor="text1"/>
          <w:sz w:val="16"/>
          <w:szCs w:val="16"/>
        </w:rPr>
        <w:t>Вьюк со станком, соплом и парой колес с полуосями, кг …… 72,5 — 106,5</w:t>
      </w:r>
    </w:p>
    <w:p w14:paraId="32ED94F7" w14:textId="77777777" w:rsidR="00B22440" w:rsidRPr="00E14102" w:rsidRDefault="00B22440" w:rsidP="00E14102">
      <w:pPr>
        <w:jc w:val="both"/>
        <w:rPr>
          <w:color w:val="000000" w:themeColor="text1"/>
          <w:sz w:val="16"/>
          <w:szCs w:val="16"/>
        </w:rPr>
      </w:pPr>
      <w:r w:rsidRPr="00E14102">
        <w:rPr>
          <w:color w:val="000000" w:themeColor="text1"/>
          <w:sz w:val="16"/>
          <w:szCs w:val="16"/>
        </w:rPr>
        <w:t>Вьюк со щитом, кг …… 75,5 — 106,0</w:t>
      </w:r>
    </w:p>
    <w:p w14:paraId="5F7887A5" w14:textId="77777777" w:rsidR="00B22440" w:rsidRPr="00E14102" w:rsidRDefault="00B22440" w:rsidP="00E14102">
      <w:pPr>
        <w:jc w:val="both"/>
        <w:rPr>
          <w:color w:val="000000" w:themeColor="text1"/>
          <w:sz w:val="16"/>
          <w:szCs w:val="16"/>
        </w:rPr>
      </w:pPr>
      <w:r w:rsidRPr="00E14102">
        <w:rPr>
          <w:color w:val="000000" w:themeColor="text1"/>
          <w:sz w:val="16"/>
          <w:szCs w:val="16"/>
        </w:rPr>
        <w:t xml:space="preserve">Вьюк с 8 патронами, кг …… 92,5 — 103,5 </w:t>
      </w:r>
    </w:p>
    <w:p w14:paraId="2DF89C76" w14:textId="77777777" w:rsidR="00B22440" w:rsidRPr="00E14102" w:rsidRDefault="00B22440" w:rsidP="00E14102">
      <w:pPr>
        <w:jc w:val="both"/>
        <w:rPr>
          <w:color w:val="000000" w:themeColor="text1"/>
          <w:sz w:val="16"/>
          <w:szCs w:val="16"/>
        </w:rPr>
      </w:pPr>
      <w:r w:rsidRPr="00E14102">
        <w:rPr>
          <w:color w:val="000000" w:themeColor="text1"/>
          <w:sz w:val="16"/>
          <w:szCs w:val="16"/>
        </w:rPr>
        <w:t>Время перехода из верхнего положения в нижнее, с …… 1,0-1,5 — 1,0-1,5 (15117).</w:t>
      </w:r>
    </w:p>
    <w:p w14:paraId="35971457" w14:textId="77777777" w:rsidR="00B22440" w:rsidRPr="00E14102" w:rsidRDefault="00B22440" w:rsidP="00E14102">
      <w:pPr>
        <w:jc w:val="both"/>
        <w:rPr>
          <w:color w:val="000000" w:themeColor="text1"/>
          <w:sz w:val="16"/>
          <w:szCs w:val="16"/>
        </w:rPr>
      </w:pPr>
    </w:p>
    <w:p w14:paraId="7FF40D4A" w14:textId="77777777" w:rsidR="00857CDA" w:rsidRPr="00E14102" w:rsidRDefault="00857CDA" w:rsidP="00E14102">
      <w:pPr>
        <w:jc w:val="both"/>
        <w:rPr>
          <w:color w:val="000000" w:themeColor="text1"/>
          <w:sz w:val="16"/>
          <w:szCs w:val="16"/>
        </w:rPr>
      </w:pPr>
      <w:r w:rsidRPr="00E14102">
        <w:rPr>
          <w:color w:val="000000" w:themeColor="text1"/>
          <w:sz w:val="16"/>
          <w:szCs w:val="16"/>
        </w:rPr>
        <w:t>9 июля 1935 г. пистолет-пулемет В. А. Дегтярева, который он представил в 1929 г.,  приняли на вооружение под обозначением “7,62</w:t>
      </w:r>
      <w:r w:rsidRPr="00E14102">
        <w:rPr>
          <w:color w:val="000000" w:themeColor="text1"/>
          <w:sz w:val="16"/>
          <w:szCs w:val="16"/>
        </w:rPr>
        <w:noBreakHyphen/>
        <w:t>мм пистолет-пулемет системы Дегтярева обр. 1934 г.”. В 1938 г. после проведенной модернизации пистолет-пулемет получил название ППД</w:t>
      </w:r>
      <w:r w:rsidRPr="00E14102">
        <w:rPr>
          <w:color w:val="000000" w:themeColor="text1"/>
          <w:sz w:val="16"/>
          <w:szCs w:val="16"/>
        </w:rPr>
        <w:noBreakHyphen/>
        <w:t>34/38. В 1940 г. Дегтярев  продолжил усовершенствование оружия. Пистолет-пулемет обр. 1940 г. был построен на основе автоматики со свободным затвором. При  конструировании дисковых магазинов в качестве образца были использованы барабанные магазины финского пистолета-пулемета “Суоми”, однако были и существенные отличия от прототипа. 15 февраля 1940 г. Дегтярев представил усовершенствованный образец оружия, который 21 февраля 1940 г. был утвержден Комитетом обороны и принят на вооружение как “пистолет-пулемет образца 1940 г. системы Дегтярева”. В марте начался его выпуск, объем которого в 1940 г. составил 81,1 тыс. шт. (17877).</w:t>
      </w:r>
    </w:p>
    <w:p w14:paraId="50AEDF38" w14:textId="77777777" w:rsidR="00857CDA" w:rsidRPr="00E14102" w:rsidRDefault="00857CDA" w:rsidP="00E14102">
      <w:pPr>
        <w:jc w:val="both"/>
        <w:rPr>
          <w:color w:val="000000" w:themeColor="text1"/>
          <w:sz w:val="16"/>
          <w:szCs w:val="16"/>
        </w:rPr>
      </w:pPr>
    </w:p>
    <w:p w14:paraId="5FB653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июля 1935 г. вступил в строй Могилевский ГАРЗ № 7, который строился с 1932 г. До войны являлся основной ремонтной базой автомобильных и бронетанковых частей Западного Особого военного округа.</w:t>
      </w:r>
    </w:p>
    <w:p w14:paraId="70B299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приказу 604с/505с от 26.10.1940 г. Могилевский завод им. Димитрова НКМП передан в ЗГУ НКАП и получил наименование завод № 459. Перед войной налаживалось производство мотора АМ-35А.</w:t>
      </w:r>
    </w:p>
    <w:p w14:paraId="0EC82E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приказу от 25.06.1941 г. завод № 459 эвакуирован в Куйбышев на площадку завода № 337 НКАП и по приказу № 726сс от 18.07.1941 г. влит в его состав.</w:t>
      </w:r>
    </w:p>
    <w:p w14:paraId="30BB4B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(10.1940 г.-)- И.А. Ермаков.</w:t>
      </w:r>
    </w:p>
    <w:p w14:paraId="1C4B43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СКО (12.1940 г.-)- С.К. Кольцов.</w:t>
      </w:r>
    </w:p>
    <w:p w14:paraId="0E7186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Могилевский автомобильный завод, ОАО «Могилевский автомобильный завод» /Белоруссия 212601  г. Могилев Витебский пр., 5/</w:t>
      </w:r>
    </w:p>
    <w:p w14:paraId="343D8C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восстановлен на месте эвакуированного завода № 459 НКАП. Распоряжением правительства от 11.01.1946 г. завод преобразован в локомобильный, в 04.1946 г. собраны первые локомобили.</w:t>
      </w:r>
    </w:p>
    <w:p w14:paraId="383209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 1955 г. выпускал паросиловые установки мощностью от 10 до 100 л.с. для электрификации и теплофикации сельского хозяйства и местной промышленности. В 1955-68 г. выпускал электромостовые краны грузоподъемностью 5 т, маслозаправщики на шасси ГАЗ; с 1960 г. завод перешел на производство землеройно- транспортной и автомобильной техники при участии Минского автозавода. В 1960 г. с МАЗа переведена группа конструкторов, ставшая основой конструкторско-экспериментальной базы завода.</w:t>
      </w:r>
    </w:p>
    <w:p w14:paraId="72AB80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1966 г. завод переименован в автомобильный.</w:t>
      </w:r>
    </w:p>
    <w:p w14:paraId="38604D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являлся одним из крупнейших (1990-е  г.) разработчиком и производителем землеройно-транспортной техники в странах СН Г.</w:t>
      </w:r>
    </w:p>
    <w:p w14:paraId="6192D8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(1990-е): строительно-дорожная техника (самоходные скреперы); автомобили спецназначения (подземные автопоезда, самосвалы, аэродромные тягачи для буксировки самолетов).</w:t>
      </w:r>
    </w:p>
    <w:p w14:paraId="598D35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заводе имелись производства (1990-е): литейное, заготовительное, сварочное, инструментальное, механообрабатывающее, сборочное.</w:t>
      </w:r>
    </w:p>
    <w:p w14:paraId="19581A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Гендиректор (2007 г.)- Н. Г. Михалкович.</w:t>
      </w:r>
    </w:p>
    <w:p w14:paraId="63FF870F"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Производство:</w:t>
      </w:r>
      <w:r w:rsidRPr="00E14102">
        <w:rPr>
          <w:color w:val="000000" w:themeColor="text1"/>
          <w:sz w:val="16"/>
          <w:szCs w:val="16"/>
        </w:rPr>
        <w:t xml:space="preserve"> тягач МАЗ-529 (1958-); самоходный скрепер МоАЗ-546Е-Э57Г (1959-); автомобили: МоАЗ- 6401, МоАЗ-522, МоАЗ-75051, МоАЗ-6442, МоАЗ-6014, МоАЗ-4048 (11982).</w:t>
      </w:r>
    </w:p>
    <w:p w14:paraId="5CED439B" w14:textId="77777777" w:rsidR="00D4105E" w:rsidRPr="00E14102" w:rsidRDefault="00D4105E" w:rsidP="00E14102">
      <w:pPr>
        <w:autoSpaceDE w:val="0"/>
        <w:autoSpaceDN w:val="0"/>
        <w:adjustRightInd w:val="0"/>
        <w:jc w:val="both"/>
        <w:rPr>
          <w:color w:val="000000" w:themeColor="text1"/>
          <w:sz w:val="16"/>
          <w:szCs w:val="16"/>
        </w:rPr>
      </w:pPr>
    </w:p>
    <w:p w14:paraId="15478680" w14:textId="77777777" w:rsidR="00B2244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3FF9345" w14:textId="77777777" w:rsidR="00B22440" w:rsidRPr="00E14102" w:rsidRDefault="00B22440" w:rsidP="00E14102">
      <w:pPr>
        <w:autoSpaceDE w:val="0"/>
        <w:autoSpaceDN w:val="0"/>
        <w:adjustRightInd w:val="0"/>
        <w:jc w:val="both"/>
        <w:rPr>
          <w:iCs/>
          <w:color w:val="000000" w:themeColor="text1"/>
          <w:sz w:val="16"/>
          <w:szCs w:val="16"/>
        </w:rPr>
      </w:pPr>
    </w:p>
    <w:p w14:paraId="2EC1B5CE" w14:textId="77777777" w:rsidR="00B22440" w:rsidRPr="00E14102" w:rsidRDefault="00B22440" w:rsidP="00E14102">
      <w:pPr>
        <w:jc w:val="both"/>
        <w:rPr>
          <w:color w:val="000000" w:themeColor="text1"/>
          <w:sz w:val="16"/>
          <w:szCs w:val="16"/>
        </w:rPr>
      </w:pPr>
      <w:r w:rsidRPr="00E14102">
        <w:rPr>
          <w:color w:val="000000" w:themeColor="text1"/>
          <w:sz w:val="16"/>
          <w:szCs w:val="16"/>
        </w:rPr>
        <w:t xml:space="preserve">9 июля в 1935 году первый полет прототипа английского истребителя </w:t>
      </w:r>
      <w:hyperlink r:id="rId141" w:tgtFrame="_blank" w:history="1">
        <w:r w:rsidRPr="00E14102">
          <w:rPr>
            <w:color w:val="000000" w:themeColor="text1"/>
            <w:sz w:val="16"/>
            <w:szCs w:val="16"/>
          </w:rPr>
          <w:t xml:space="preserve">«Hawker» «PV.3», </w:t>
        </w:r>
      </w:hyperlink>
      <w:r w:rsidRPr="00E14102">
        <w:rPr>
          <w:color w:val="000000" w:themeColor="text1"/>
          <w:sz w:val="16"/>
          <w:szCs w:val="16"/>
        </w:rPr>
        <w:t>оснащенного двигателем «Goshawk» «B.43». Именно с двигателем «Goshawk» «B.43» истребитель «PV.3» в конечном счете передали в испытательный центр «Martlesham Heath». Несмотря на положительную оценку летных качеств самолета в серийное производство он не пошел, так как военные посчитали двигатель «Rolls-Royce» «Goshawk» слишком уязвимым для ведения воздушного боя. К тому же уже был подписан контракт на серийное производство истребителя «Gloster» «Gladiator» (14947).</w:t>
      </w:r>
    </w:p>
    <w:p w14:paraId="58685D80" w14:textId="77777777" w:rsidR="00B22440" w:rsidRPr="00E14102" w:rsidRDefault="00B22440" w:rsidP="00E14102">
      <w:pPr>
        <w:jc w:val="both"/>
        <w:rPr>
          <w:color w:val="000000" w:themeColor="text1"/>
          <w:sz w:val="16"/>
          <w:szCs w:val="16"/>
        </w:rPr>
      </w:pPr>
    </w:p>
    <w:p w14:paraId="36D7E426" w14:textId="77777777" w:rsidR="00B22440" w:rsidRPr="00E14102" w:rsidRDefault="00B22440" w:rsidP="00E14102">
      <w:pPr>
        <w:jc w:val="both"/>
        <w:rPr>
          <w:bCs/>
          <w:color w:val="000000" w:themeColor="text1"/>
          <w:sz w:val="16"/>
          <w:szCs w:val="16"/>
          <w:vertAlign w:val="subscript"/>
        </w:rPr>
      </w:pPr>
      <w:r w:rsidRPr="00E14102">
        <w:rPr>
          <w:color w:val="000000" w:themeColor="text1"/>
          <w:sz w:val="16"/>
          <w:szCs w:val="16"/>
        </w:rPr>
        <w:t xml:space="preserve">9 июля в 1935 году начались испытания прототипа аргентинского легкого бомбардировщика </w:t>
      </w:r>
      <w:hyperlink r:id="rId142" w:tgtFrame="_blank" w:history="1">
        <w:r w:rsidRPr="00E14102">
          <w:rPr>
            <w:color w:val="000000" w:themeColor="text1"/>
            <w:sz w:val="16"/>
            <w:szCs w:val="16"/>
          </w:rPr>
          <w:t xml:space="preserve">«Ае.М.В.1» </w:t>
        </w:r>
      </w:hyperlink>
      <w:r w:rsidRPr="00E14102">
        <w:rPr>
          <w:color w:val="000000" w:themeColor="text1"/>
          <w:sz w:val="16"/>
          <w:szCs w:val="16"/>
        </w:rPr>
        <w:t>и выявили массу недостатков и недоработок в конструкции машины. Радикальных изменений вносить не стали. Прежде всего установили новый, более мощный, мотор «Wright» «SGR-1820-F3» "Cyclone", радиостанцию фирмы «Telefunken» и фотооборудование фирмы «Nistri». В средней части фюзеляжа выкроили место для верхней стрелковой установки.</w:t>
      </w:r>
    </w:p>
    <w:p w14:paraId="135847D2" w14:textId="77777777" w:rsidR="00B22440" w:rsidRPr="00E14102" w:rsidRDefault="00B22440" w:rsidP="00E14102">
      <w:pPr>
        <w:jc w:val="both"/>
        <w:rPr>
          <w:color w:val="000000" w:themeColor="text1"/>
          <w:sz w:val="16"/>
          <w:szCs w:val="16"/>
        </w:rPr>
      </w:pPr>
      <w:r w:rsidRPr="00E14102">
        <w:rPr>
          <w:color w:val="000000" w:themeColor="text1"/>
          <w:sz w:val="16"/>
          <w:szCs w:val="16"/>
        </w:rPr>
        <w:t>В таком виде самолёт приняли к серийному производству под обозначением «Ae.M.B.2». Легкие бомбардировщики «Ae.M.B.2» стали первыми и единственными военными самолётами собственной конструкции, принятыми на вооружение аргентинскими ВВС в предвоенный период (14947).</w:t>
      </w:r>
    </w:p>
    <w:p w14:paraId="3CC7F7BD" w14:textId="77777777" w:rsidR="00B22440" w:rsidRPr="00E14102" w:rsidRDefault="00B22440" w:rsidP="00E14102">
      <w:pPr>
        <w:jc w:val="both"/>
        <w:rPr>
          <w:color w:val="000000" w:themeColor="text1"/>
          <w:sz w:val="16"/>
          <w:szCs w:val="16"/>
        </w:rPr>
      </w:pPr>
    </w:p>
    <w:p w14:paraId="5E77ED3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9D36158" w14:textId="77777777" w:rsidR="00D4105E" w:rsidRPr="00E14102" w:rsidRDefault="00D4105E" w:rsidP="00E14102">
      <w:pPr>
        <w:autoSpaceDE w:val="0"/>
        <w:autoSpaceDN w:val="0"/>
        <w:adjustRightInd w:val="0"/>
        <w:jc w:val="both"/>
        <w:rPr>
          <w:iCs/>
          <w:color w:val="000000" w:themeColor="text1"/>
          <w:sz w:val="16"/>
          <w:szCs w:val="16"/>
        </w:rPr>
      </w:pPr>
    </w:p>
    <w:p w14:paraId="7D4A40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июля 1935 в ходе гос. испытаний СБ 2ИС-12 с 9:00 до 9:15 был выполнен полет на зубцы продолжительностью 0:15, из которого машину вернули из-за неисправности шасси, а потом - после ремонта шасси - с 16:30 до 17:20 35 мин. полет на вибрации, а с 19:00 до 20:30 1:16 полет на километраж и с 21:00 до 21:50 0:35 мин. полет на управляемость. 10 июля 1935 был подготовлен акт осмотра самолета (2913).</w:t>
      </w:r>
    </w:p>
    <w:p w14:paraId="24889083" w14:textId="77777777" w:rsidR="00D4105E" w:rsidRPr="00E14102" w:rsidRDefault="00D4105E" w:rsidP="00E14102">
      <w:pPr>
        <w:autoSpaceDE w:val="0"/>
        <w:autoSpaceDN w:val="0"/>
        <w:adjustRightInd w:val="0"/>
        <w:jc w:val="both"/>
        <w:rPr>
          <w:color w:val="000000" w:themeColor="text1"/>
          <w:sz w:val="16"/>
          <w:szCs w:val="16"/>
        </w:rPr>
      </w:pPr>
    </w:p>
    <w:p w14:paraId="261CBE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10-14 июля 1935 состоялось всесоюзное совещание работников ГВФ в связи с постановлением Правительства, признавшим работу ГВФ неудовлетворительной из-за аварийности и низкой регулярности полетов (438,691).</w:t>
      </w:r>
    </w:p>
    <w:p w14:paraId="37BB2365" w14:textId="77777777" w:rsidR="00D4105E" w:rsidRPr="00E14102" w:rsidRDefault="00D4105E" w:rsidP="00E14102">
      <w:pPr>
        <w:autoSpaceDE w:val="0"/>
        <w:autoSpaceDN w:val="0"/>
        <w:adjustRightInd w:val="0"/>
        <w:jc w:val="both"/>
        <w:rPr>
          <w:color w:val="000000" w:themeColor="text1"/>
          <w:sz w:val="16"/>
          <w:szCs w:val="16"/>
        </w:rPr>
      </w:pPr>
    </w:p>
    <w:p w14:paraId="2149AF7D" w14:textId="77777777" w:rsidR="00B2244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2DE0110" w14:textId="77777777" w:rsidR="00B22440" w:rsidRPr="00E14102" w:rsidRDefault="00B22440" w:rsidP="00E14102">
      <w:pPr>
        <w:autoSpaceDE w:val="0"/>
        <w:autoSpaceDN w:val="0"/>
        <w:adjustRightInd w:val="0"/>
        <w:jc w:val="both"/>
        <w:rPr>
          <w:iCs/>
          <w:color w:val="000000" w:themeColor="text1"/>
          <w:sz w:val="16"/>
          <w:szCs w:val="16"/>
        </w:rPr>
      </w:pPr>
    </w:p>
    <w:p w14:paraId="39DB948F" w14:textId="77777777" w:rsidR="00B22440" w:rsidRPr="00E14102" w:rsidRDefault="00B22440" w:rsidP="00E14102">
      <w:pPr>
        <w:pStyle w:val="rtejustify"/>
        <w:spacing w:before="0" w:after="0"/>
        <w:rPr>
          <w:color w:val="000000" w:themeColor="text1"/>
          <w:sz w:val="16"/>
          <w:szCs w:val="16"/>
        </w:rPr>
      </w:pPr>
      <w:r w:rsidRPr="00E14102">
        <w:rPr>
          <w:rStyle w:val="a6"/>
          <w:bCs/>
          <w:i w:val="0"/>
          <w:color w:val="000000" w:themeColor="text1"/>
          <w:sz w:val="16"/>
          <w:szCs w:val="16"/>
        </w:rPr>
        <w:t>10 июля 1935 вышел приказ НКО №</w:t>
      </w:r>
      <w:r w:rsidRPr="00E14102">
        <w:rPr>
          <w:color w:val="000000" w:themeColor="text1"/>
          <w:sz w:val="16"/>
          <w:szCs w:val="16"/>
        </w:rPr>
        <w:t> 0122. О назначении комиссии для проведения войсковых испытаний 76</w:t>
      </w:r>
      <w:r w:rsidRPr="00E14102">
        <w:rPr>
          <w:color w:val="000000" w:themeColor="text1"/>
          <w:sz w:val="16"/>
          <w:szCs w:val="16"/>
        </w:rPr>
        <w:noBreakHyphen/>
        <w:t>мм дивизионных пушек (15247).</w:t>
      </w:r>
    </w:p>
    <w:p w14:paraId="37DF124F" w14:textId="77777777" w:rsidR="00B22440" w:rsidRPr="00E14102" w:rsidRDefault="00B22440" w:rsidP="00E14102">
      <w:pPr>
        <w:pStyle w:val="rtejustify"/>
        <w:spacing w:before="0" w:after="0"/>
        <w:rPr>
          <w:color w:val="000000" w:themeColor="text1"/>
          <w:sz w:val="16"/>
          <w:szCs w:val="16"/>
        </w:rPr>
      </w:pPr>
    </w:p>
    <w:p w14:paraId="03CE2AC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74CECF7" w14:textId="77777777" w:rsidR="00D4105E" w:rsidRPr="00E14102" w:rsidRDefault="00D4105E" w:rsidP="00E14102">
      <w:pPr>
        <w:autoSpaceDE w:val="0"/>
        <w:autoSpaceDN w:val="0"/>
        <w:adjustRightInd w:val="0"/>
        <w:jc w:val="both"/>
        <w:rPr>
          <w:iCs/>
          <w:color w:val="000000" w:themeColor="text1"/>
          <w:sz w:val="16"/>
          <w:szCs w:val="16"/>
        </w:rPr>
      </w:pPr>
    </w:p>
    <w:p w14:paraId="7D2B882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июля 1935 ЦК ВКП(б) принял постановление о генеральном плане реконструкции Москвы (4962).</w:t>
      </w:r>
    </w:p>
    <w:p w14:paraId="0A1465B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B8EF4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июля 1935 года вышло постановление СНК СССР и ЦК ВКП(б) "О генеральном плане реконструкции Москвы", которым планировалось изменение границ столицы пролетарского государства с включением в нее ряда загородных районов, в том числе Кузьминок и Очакова (9065).</w:t>
      </w:r>
    </w:p>
    <w:p w14:paraId="46345C27" w14:textId="77777777" w:rsidR="00D4105E" w:rsidRPr="00E14102" w:rsidRDefault="00D4105E" w:rsidP="00E14102">
      <w:pPr>
        <w:autoSpaceDE w:val="0"/>
        <w:autoSpaceDN w:val="0"/>
        <w:adjustRightInd w:val="0"/>
        <w:jc w:val="both"/>
        <w:rPr>
          <w:color w:val="000000" w:themeColor="text1"/>
          <w:sz w:val="16"/>
          <w:szCs w:val="16"/>
        </w:rPr>
      </w:pPr>
    </w:p>
    <w:p w14:paraId="61C01311" w14:textId="77777777" w:rsidR="00B22440" w:rsidRPr="00E14102" w:rsidRDefault="00B22440" w:rsidP="00E14102">
      <w:pPr>
        <w:jc w:val="both"/>
        <w:rPr>
          <w:color w:val="000000" w:themeColor="text1"/>
          <w:sz w:val="16"/>
          <w:szCs w:val="16"/>
        </w:rPr>
      </w:pPr>
      <w:r w:rsidRPr="00E14102">
        <w:rPr>
          <w:color w:val="000000" w:themeColor="text1"/>
          <w:sz w:val="16"/>
          <w:szCs w:val="16"/>
        </w:rPr>
        <w:t>10 июля в 1935 году принято постановление «О Генеральном плане реконструкции Москвы». В нем наказано: «...строить и создавать высококачественные сооружения для трудящихся, чтобы строительство столицы СССР и архитектурное оформление столицы полностью отражали величие и красоту социалистической эпохи» (14948).</w:t>
      </w:r>
    </w:p>
    <w:p w14:paraId="20A85748" w14:textId="77777777" w:rsidR="00B22440" w:rsidRPr="00E14102" w:rsidRDefault="00B22440" w:rsidP="00E14102">
      <w:pPr>
        <w:jc w:val="both"/>
        <w:rPr>
          <w:color w:val="000000" w:themeColor="text1"/>
          <w:sz w:val="16"/>
          <w:szCs w:val="16"/>
        </w:rPr>
      </w:pPr>
    </w:p>
    <w:p w14:paraId="630E7029" w14:textId="77777777" w:rsidR="00E13838" w:rsidRPr="00E14102" w:rsidRDefault="00E13838" w:rsidP="00E14102">
      <w:pPr>
        <w:jc w:val="both"/>
        <w:rPr>
          <w:color w:val="0070C0"/>
          <w:sz w:val="16"/>
          <w:szCs w:val="16"/>
        </w:rPr>
      </w:pPr>
      <w:r w:rsidRPr="00E14102">
        <w:rPr>
          <w:color w:val="0070C0"/>
          <w:sz w:val="16"/>
          <w:szCs w:val="16"/>
        </w:rPr>
        <w:t>10 июля 1935 года — принято постановление «О Генеральном плане реконструкции Москвы». В нём сказано: «…строить и создавать высококачественные сооружения для трудящихся, чтобы строительство столицы СССР и архитектурное оформление столицы полностью отражали величие и красоту социалистической эпохи».</w:t>
      </w:r>
    </w:p>
    <w:p w14:paraId="3BF1B6AD" w14:textId="77777777" w:rsidR="00E13838" w:rsidRPr="00E14102" w:rsidRDefault="00E13838" w:rsidP="00E14102">
      <w:pPr>
        <w:jc w:val="both"/>
        <w:rPr>
          <w:color w:val="0070C0"/>
          <w:sz w:val="16"/>
          <w:szCs w:val="16"/>
        </w:rPr>
      </w:pPr>
      <w:r w:rsidRPr="00E14102">
        <w:rPr>
          <w:color w:val="0070C0"/>
          <w:sz w:val="16"/>
          <w:szCs w:val="16"/>
        </w:rPr>
        <w:t xml:space="preserve">Генеральный план реконструкции Москвы — первый комплексный план реконструкции Москвы, в котором исторически сложившаяся радиально-кольцевая структура города сочеталась с освоением новых районов, созданием кольцевых и радиальных магистралей. Разработан архитекторами В. Н. Семёновым и С. Е. Чернышёвым. Утверждён 10 июля 1935 года постановлением ЦК ВКП(б) и СНК СССР № 1435 «О генеральном плане реконструкции города Москвы». Послужил основой для сталинской реконструкции Москвы. Включал в себя новаторский план обводнения города Москвы по образу и подобию Ленинграда. </w:t>
      </w:r>
    </w:p>
    <w:p w14:paraId="42F9E643" w14:textId="77777777" w:rsidR="00E13838" w:rsidRPr="00E14102" w:rsidRDefault="00E13838" w:rsidP="00E14102">
      <w:pPr>
        <w:jc w:val="both"/>
        <w:rPr>
          <w:color w:val="0070C0"/>
          <w:sz w:val="16"/>
          <w:szCs w:val="16"/>
        </w:rPr>
      </w:pPr>
      <w:r w:rsidRPr="00E14102">
        <w:rPr>
          <w:color w:val="0070C0"/>
          <w:sz w:val="16"/>
          <w:szCs w:val="16"/>
        </w:rPr>
        <w:t>Предполагалось, что новый генеральный план будет воплощён в жизнь за десятилетие. Генеральный план предусматривал строительство новых широких транспортных магистралей и расширение имеющихся. Существующие мосты предполагалось обновить и расширить, дополнив новыми (в их числе знаменитый Крымский мост). Приоритетным направлением признавалось строительство Московского метрополитена, который получил имя Кагановича.</w:t>
      </w:r>
    </w:p>
    <w:p w14:paraId="080362E6" w14:textId="77777777" w:rsidR="00E13838" w:rsidRPr="00E14102" w:rsidRDefault="00E13838" w:rsidP="00E14102">
      <w:pPr>
        <w:jc w:val="both"/>
        <w:rPr>
          <w:color w:val="0070C0"/>
          <w:sz w:val="16"/>
          <w:szCs w:val="16"/>
        </w:rPr>
      </w:pPr>
      <w:r w:rsidRPr="00E14102">
        <w:rPr>
          <w:color w:val="0070C0"/>
          <w:sz w:val="16"/>
          <w:szCs w:val="16"/>
        </w:rPr>
        <w:t>Большое значение придавалось озеленению города, созданию новых парков и реконструкции существующих. Планировалось создание пяти «зелёных» колец вокруг центра города. Для отдыха социалистических трудящихся были организованы рекреационно-парковые пространства нового типа — парк Горького и Выставка достижений народного хозяйства.</w:t>
      </w:r>
    </w:p>
    <w:p w14:paraId="04F5BAC5" w14:textId="77777777" w:rsidR="00E13838" w:rsidRPr="00E14102" w:rsidRDefault="00E13838" w:rsidP="00E14102">
      <w:pPr>
        <w:jc w:val="both"/>
        <w:rPr>
          <w:color w:val="0070C0"/>
          <w:sz w:val="16"/>
          <w:szCs w:val="16"/>
        </w:rPr>
      </w:pPr>
      <w:r w:rsidRPr="00E14102">
        <w:rPr>
          <w:color w:val="0070C0"/>
          <w:sz w:val="16"/>
          <w:szCs w:val="16"/>
        </w:rPr>
        <w:t>Оригинальная черта генерального плана 1935 года — идея обводнения столицы. С севера Москву должны были огибать два кольцевых канала. Излучины Москвы-реки для целей судоходства предполагалось спрямить. Широкие каналы должны были соединить Москву с основными реками Русской равнины, превратив советскую столицу в «порт пяти морей».</w:t>
      </w:r>
    </w:p>
    <w:p w14:paraId="620AC74B" w14:textId="77777777" w:rsidR="00E13838" w:rsidRPr="00E14102" w:rsidRDefault="00E13838" w:rsidP="00E14102">
      <w:pPr>
        <w:jc w:val="both"/>
        <w:rPr>
          <w:color w:val="0070C0"/>
          <w:sz w:val="16"/>
          <w:szCs w:val="16"/>
        </w:rPr>
      </w:pPr>
      <w:r w:rsidRPr="00E14102">
        <w:rPr>
          <w:color w:val="0070C0"/>
          <w:sz w:val="16"/>
          <w:szCs w:val="16"/>
        </w:rPr>
        <w:t>Реализация грандиозных планов создания Новой Москвы была остановлена войной с Германией в 1941 году.  (21179).</w:t>
      </w:r>
    </w:p>
    <w:p w14:paraId="528C7D22" w14:textId="77777777" w:rsidR="00E13838" w:rsidRPr="00E14102" w:rsidRDefault="00E13838" w:rsidP="00E14102">
      <w:pPr>
        <w:jc w:val="both"/>
        <w:rPr>
          <w:color w:val="0070C0"/>
          <w:sz w:val="16"/>
          <w:szCs w:val="16"/>
        </w:rPr>
      </w:pPr>
    </w:p>
    <w:p w14:paraId="75293268" w14:textId="77777777" w:rsidR="00B2244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87FA409" w14:textId="77777777" w:rsidR="00B22440" w:rsidRPr="00E14102" w:rsidRDefault="00B22440" w:rsidP="00E14102">
      <w:pPr>
        <w:autoSpaceDE w:val="0"/>
        <w:autoSpaceDN w:val="0"/>
        <w:adjustRightInd w:val="0"/>
        <w:jc w:val="both"/>
        <w:rPr>
          <w:iCs/>
          <w:color w:val="000000" w:themeColor="text1"/>
          <w:sz w:val="16"/>
          <w:szCs w:val="16"/>
        </w:rPr>
      </w:pPr>
    </w:p>
    <w:p w14:paraId="63C4C89B" w14:textId="77777777" w:rsidR="00B22440" w:rsidRPr="00E14102" w:rsidRDefault="00B22440" w:rsidP="00E14102">
      <w:pPr>
        <w:jc w:val="both"/>
        <w:rPr>
          <w:color w:val="000000" w:themeColor="text1"/>
          <w:sz w:val="16"/>
          <w:szCs w:val="16"/>
        </w:rPr>
      </w:pPr>
      <w:r w:rsidRPr="00E14102">
        <w:rPr>
          <w:color w:val="000000" w:themeColor="text1"/>
          <w:sz w:val="16"/>
          <w:szCs w:val="16"/>
        </w:rPr>
        <w:t xml:space="preserve">10 июля в 1935 году начались летные испытания третьего палубного истребителя </w:t>
      </w:r>
      <w:hyperlink r:id="rId143" w:tgtFrame="_blank" w:history="1">
        <w:r w:rsidRPr="00E14102">
          <w:rPr>
            <w:color w:val="000000" w:themeColor="text1"/>
            <w:sz w:val="16"/>
            <w:szCs w:val="16"/>
          </w:rPr>
          <w:t xml:space="preserve">«Grumman» «F3F», </w:t>
        </w:r>
      </w:hyperlink>
      <w:r w:rsidRPr="00E14102">
        <w:rPr>
          <w:color w:val="000000" w:themeColor="text1"/>
          <w:sz w:val="16"/>
          <w:szCs w:val="16"/>
        </w:rPr>
        <w:t>при этом использовались некоторые детали от второго. Фирма торопилась не зря: флоту срочно требовались новые истребители. В строй недавно вошел авианосец "Рэйнжер", были заложены еще два тяжелых авианосца типа "Йорктаун", так что общие потребности флота в истребителях оценивались в 150-200 самолетов. 24 августа 1935 года ВМС США заказали фирме «Grumman» 54 истребителя «F3F-1». Испытания доработанного третьего опытного образца «XF3F-1» успешно завершились в марте 1936 года (14948).</w:t>
      </w:r>
    </w:p>
    <w:p w14:paraId="0F50CC43" w14:textId="77777777" w:rsidR="00B22440" w:rsidRPr="00E14102" w:rsidRDefault="00B22440" w:rsidP="00E14102">
      <w:pPr>
        <w:jc w:val="both"/>
        <w:rPr>
          <w:color w:val="000000" w:themeColor="text1"/>
          <w:sz w:val="16"/>
          <w:szCs w:val="16"/>
        </w:rPr>
      </w:pPr>
    </w:p>
    <w:p w14:paraId="29B8D3AC" w14:textId="77777777" w:rsidR="00B22440" w:rsidRPr="00E14102" w:rsidRDefault="00B22440" w:rsidP="00E14102">
      <w:pPr>
        <w:jc w:val="both"/>
        <w:rPr>
          <w:color w:val="000000" w:themeColor="text1"/>
          <w:sz w:val="16"/>
          <w:szCs w:val="16"/>
        </w:rPr>
      </w:pPr>
      <w:r w:rsidRPr="00E14102">
        <w:rPr>
          <w:color w:val="000000" w:themeColor="text1"/>
          <w:sz w:val="16"/>
          <w:szCs w:val="16"/>
        </w:rPr>
        <w:t xml:space="preserve">10 июля в 1935 году первый полет транспортного гидросамолета </w:t>
      </w:r>
      <w:hyperlink r:id="rId144" w:tgtFrame="_blank" w:history="1">
        <w:r w:rsidRPr="00E14102">
          <w:rPr>
            <w:color w:val="000000" w:themeColor="text1"/>
            <w:sz w:val="16"/>
            <w:szCs w:val="16"/>
          </w:rPr>
          <w:t xml:space="preserve">«Z.505». </w:t>
        </w:r>
      </w:hyperlink>
      <w:r w:rsidRPr="00E14102">
        <w:rPr>
          <w:color w:val="000000" w:themeColor="text1"/>
          <w:sz w:val="16"/>
          <w:szCs w:val="16"/>
        </w:rPr>
        <w:t>Испытания самолета выявили недостаточную мощность двигателей, неспособных обеспечить расчетные характеристики. На самолет так же обратили внимание и военные, присвоив ему регистрационный номер MM.268. Не добившись хороших характеристик от гидросамолета фирма решила испытать Z.505 на обычном колесном шасси. Проведенные параллельно с «Cant» «Z.1011» испытания показали, что и в таком виде самолет явно не вызовет интереса у заказчиков, после чего было решено заняться более перспективной разработкой –« Z.506». В 1934 году Филиппе Дзаппата, главный инженер фирмы «C.R.d.A.» «CANT» начал проектировать по заказу авиакомпании «Ala Littoria» новый транспортный гидросамолет. Проектом предусматривалось установить на него три двенадцатицилидровых двигателя «Isotta Fraschini» «Asso XI» «R2C16» мощностью 840 л.с. Самолет, получивший обозначение «Z.505», мог перевозить четырех членов экипажа (двух пилотов, радиста и механика) и до восьми пассажиров.Единственный экземпляр «Z.505» стал использоваться с 1936 года как почтовый, получив регистрационный номер I-ZAPP (в честь своего конструктора). В 1938 году его передали «Comando Aeronautica dell'Egeo» где он использовался как личный самолет губернатора Cesare Maria de Vecchi (сменив регистрационный номер на I-VACI). Самолет эксплуатировался до лета 1941 года (14948).</w:t>
      </w:r>
    </w:p>
    <w:p w14:paraId="329D4334" w14:textId="77777777" w:rsidR="00B22440" w:rsidRPr="00E14102" w:rsidRDefault="00B22440" w:rsidP="00E14102">
      <w:pPr>
        <w:jc w:val="both"/>
        <w:rPr>
          <w:color w:val="000000" w:themeColor="text1"/>
          <w:sz w:val="16"/>
          <w:szCs w:val="16"/>
        </w:rPr>
      </w:pPr>
    </w:p>
    <w:p w14:paraId="0B76215B" w14:textId="77777777" w:rsidR="00147A88" w:rsidRPr="00E14102" w:rsidRDefault="00147A88" w:rsidP="00E14102">
      <w:pPr>
        <w:jc w:val="both"/>
        <w:rPr>
          <w:color w:val="0070C0"/>
          <w:sz w:val="16"/>
          <w:szCs w:val="16"/>
        </w:rPr>
      </w:pPr>
      <w:r w:rsidRPr="00E14102">
        <w:rPr>
          <w:color w:val="0070C0"/>
          <w:sz w:val="16"/>
          <w:szCs w:val="16"/>
        </w:rPr>
        <w:t>10 июля 1935 была основана Bell Aircraft Corporation в Буффало, Нью-Йорк (20800).</w:t>
      </w:r>
    </w:p>
    <w:p w14:paraId="4DEA44FF" w14:textId="77777777" w:rsidR="00147A88" w:rsidRPr="00E14102" w:rsidRDefault="00147A88" w:rsidP="00E14102">
      <w:pPr>
        <w:jc w:val="both"/>
        <w:rPr>
          <w:color w:val="0070C0"/>
          <w:sz w:val="16"/>
          <w:szCs w:val="16"/>
        </w:rPr>
      </w:pPr>
    </w:p>
    <w:p w14:paraId="2F65D988" w14:textId="77777777" w:rsidR="00147A88" w:rsidRPr="00E14102" w:rsidRDefault="00147A88" w:rsidP="00E14102">
      <w:pPr>
        <w:jc w:val="both"/>
        <w:rPr>
          <w:color w:val="0070C0"/>
          <w:sz w:val="16"/>
          <w:szCs w:val="16"/>
        </w:rPr>
      </w:pPr>
      <w:r w:rsidRPr="00E14102">
        <w:rPr>
          <w:color w:val="0070C0"/>
          <w:sz w:val="16"/>
          <w:szCs w:val="16"/>
        </w:rPr>
        <w:t>10 июля 1935 - В Буффало, штат Нью-Йорк, Лоренс Дейл Белл основал Bell Aircraft Corporation. Это американская авиационно-космическая корпорация, выпустила несколько типов истребителей периода Второй мировой войны (P-39 Airacobra хорошо себя зарекомендовал на службе в советских ВВС), первый сверхзвуковой самолёт Bell X-1, а также гражданские и военные вертолёты. Разработала реактивную систему управления для космического корабля «Меркурий», самолёт-ракетоплан North American X-15 и реактивный ранец Bell Rocket Belt. В 1960 году компания была приобретена фирмой Textron, и в настоящее время существует как Bell Helicopter Textron (22434).</w:t>
      </w:r>
    </w:p>
    <w:p w14:paraId="715709A6" w14:textId="77777777" w:rsidR="00147A88" w:rsidRPr="00E14102" w:rsidRDefault="00147A88" w:rsidP="00E14102">
      <w:pPr>
        <w:jc w:val="both"/>
        <w:rPr>
          <w:color w:val="0070C0"/>
          <w:sz w:val="16"/>
          <w:szCs w:val="16"/>
        </w:rPr>
      </w:pPr>
    </w:p>
    <w:p w14:paraId="5627F3F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5C6140E" w14:textId="77777777" w:rsidR="00D4105E" w:rsidRPr="00E14102" w:rsidRDefault="00D4105E" w:rsidP="00E14102">
      <w:pPr>
        <w:autoSpaceDE w:val="0"/>
        <w:autoSpaceDN w:val="0"/>
        <w:adjustRightInd w:val="0"/>
        <w:jc w:val="both"/>
        <w:rPr>
          <w:iCs/>
          <w:color w:val="000000" w:themeColor="text1"/>
          <w:sz w:val="16"/>
          <w:szCs w:val="16"/>
        </w:rPr>
      </w:pPr>
    </w:p>
    <w:p w14:paraId="2AFC3D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июля 1935 в ходе гос. испытаний СБ 2ИС-12 с 8:00 до 9:55 был выполнен полет на зубцы продолжительностью 1:40, с 16:15 до 17:10 39 мин. полет на бомбометание корпусами АФ-250 с высоты 2000 м на скорости 250 км/час и стрельбу из задних установок - турельной и нижней, а т. с 19:20 до 20:05 еще один полет продолжительностью 0:50 на бомбометание корпусами АФ-250 с 3000 м на скорости 300 км/час и стрельбу из задних установок (2913).</w:t>
      </w:r>
    </w:p>
    <w:p w14:paraId="29BFA92B" w14:textId="77777777" w:rsidR="00D4105E" w:rsidRPr="00E14102" w:rsidRDefault="00D4105E" w:rsidP="00E14102">
      <w:pPr>
        <w:autoSpaceDE w:val="0"/>
        <w:autoSpaceDN w:val="0"/>
        <w:adjustRightInd w:val="0"/>
        <w:jc w:val="both"/>
        <w:rPr>
          <w:color w:val="000000" w:themeColor="text1"/>
          <w:sz w:val="16"/>
          <w:szCs w:val="16"/>
        </w:rPr>
      </w:pPr>
    </w:p>
    <w:p w14:paraId="38C990FE"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11 июля 1935 самолет ДИП возвратили в ОЭЛИД для проведения дальнейших испытаний. Полеты возобновились 5 сентября и с перерывами на доработки и доводки самолета и оборудования продолжались до марта 1936 года. 28 марта поступило распоряжение о прекращении работ на самолете ДИП. За время испытаний самолета летчики-испытатели Н. П. Благин, С. А. Корзинщиков, М. М. Громов, К. К. Попов и А. П. Чернавский выполнили 41 полет общей продолжительностью </w:t>
      </w:r>
      <w:r w:rsidRPr="00E14102">
        <w:rPr>
          <w:rFonts w:ascii="Times New Roman" w:hAnsi="Times New Roman" w:cs="Times New Roman"/>
          <w:color w:val="000000" w:themeColor="text1"/>
          <w:sz w:val="16"/>
          <w:szCs w:val="16"/>
        </w:rPr>
        <w:t xml:space="preserve">21 час 41 минута. </w:t>
      </w:r>
      <w:r w:rsidRPr="00E14102">
        <w:rPr>
          <w:rFonts w:ascii="Times New Roman" w:hAnsi="Times New Roman" w:cs="Times New Roman"/>
          <w:color w:val="000000" w:themeColor="text1"/>
          <w:sz w:val="16"/>
          <w:szCs w:val="16"/>
          <w:lang w:val="ru-RU"/>
        </w:rPr>
        <w:t>По результатам испытаний составили отчет, в выводах которого было отмечено:</w:t>
      </w:r>
    </w:p>
    <w:p w14:paraId="27CC26DC"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«1. Скороподъемность самолета на лыжах до высоты 5000 м при полетном весе 5300 кг равна 9,6 мин.</w:t>
      </w:r>
    </w:p>
    <w:p w14:paraId="5DFB7D71"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2. Максимальная скорость горизонтального полета на пределе высотности (4100 м) равна 352 км/ч.</w:t>
      </w:r>
    </w:p>
    <w:p w14:paraId="140848BF"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 xml:space="preserve">ПРИМЕЧАНИЕ: Самолет на колесах и с убранными шасси на скороподъемность и </w:t>
      </w:r>
      <w:r w:rsidRPr="00E14102">
        <w:rPr>
          <w:rStyle w:val="a6"/>
          <w:rFonts w:ascii="Times New Roman" w:hAnsi="Times New Roman" w:cs="Times New Roman"/>
          <w:i w:val="0"/>
          <w:color w:val="000000" w:themeColor="text1"/>
          <w:sz w:val="16"/>
          <w:szCs w:val="16"/>
          <w:bdr w:val="none" w:sz="0" w:space="0" w:color="auto" w:frame="1"/>
        </w:rPr>
        <w:t>Vmax</w:t>
      </w:r>
      <w:r w:rsidRPr="00E14102">
        <w:rPr>
          <w:rStyle w:val="a6"/>
          <w:rFonts w:ascii="Times New Roman" w:hAnsi="Times New Roman" w:cs="Times New Roman"/>
          <w:i w:val="0"/>
          <w:color w:val="000000" w:themeColor="text1"/>
          <w:sz w:val="16"/>
          <w:szCs w:val="16"/>
          <w:bdr w:val="none" w:sz="0" w:space="0" w:color="auto" w:frame="1"/>
          <w:lang w:val="ru-RU"/>
        </w:rPr>
        <w:t xml:space="preserve"> не испытан.</w:t>
      </w:r>
    </w:p>
    <w:p w14:paraId="1CDB820F"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3. При нормальной нагрузке (5300 кг) положение центра тяжести соответствует ~ 35% х.р., устойчив же самолет только при центровке 29% х.р. (нейтрален при центровке 29,7%).</w:t>
      </w:r>
    </w:p>
    <w:p w14:paraId="2C19358B"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Необходимо обеспечить устойчивость самолета на более задних центровках.</w:t>
      </w:r>
    </w:p>
    <w:p w14:paraId="5E27E2E5"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4. Горизонтальное хвостовое оперение не доведено: стабилизатор не обеспечивает устойчивость самолета на эксплуатационных центровках, при этом руль высоты велик.</w:t>
      </w:r>
    </w:p>
    <w:p w14:paraId="3B385D62"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Необходимо увеличить стабилизатор и уменьшить руль высоты.</w:t>
      </w:r>
    </w:p>
    <w:p w14:paraId="7C634B8B"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5. Руль поворотов доведен, но не имеет запаса на случай полета с одним мотором.</w:t>
      </w:r>
    </w:p>
    <w:p w14:paraId="085616A0"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Необходимо увеличить эффективность руля.</w:t>
      </w:r>
    </w:p>
    <w:p w14:paraId="69AEA6CE"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 xml:space="preserve">6. Элероны доведены до </w:t>
      </w:r>
      <w:r w:rsidRPr="00E14102">
        <w:rPr>
          <w:rStyle w:val="a6"/>
          <w:rFonts w:ascii="Times New Roman" w:hAnsi="Times New Roman" w:cs="Times New Roman"/>
          <w:i w:val="0"/>
          <w:color w:val="000000" w:themeColor="text1"/>
          <w:sz w:val="16"/>
          <w:szCs w:val="16"/>
          <w:bdr w:val="none" w:sz="0" w:space="0" w:color="auto" w:frame="1"/>
        </w:rPr>
        <w:t>V</w:t>
      </w:r>
      <w:r w:rsidRPr="00E14102">
        <w:rPr>
          <w:rStyle w:val="a6"/>
          <w:rFonts w:ascii="Times New Roman" w:hAnsi="Times New Roman" w:cs="Times New Roman"/>
          <w:i w:val="0"/>
          <w:color w:val="000000" w:themeColor="text1"/>
          <w:sz w:val="16"/>
          <w:szCs w:val="16"/>
          <w:bdr w:val="none" w:sz="0" w:space="0" w:color="auto" w:frame="1"/>
          <w:lang w:val="ru-RU"/>
        </w:rPr>
        <w:t>=350 км/ч, за исключением необходимости постановки на одном из них триммера для уничтожения заваливания самолета вправо.</w:t>
      </w:r>
    </w:p>
    <w:p w14:paraId="6C420CE4"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7. Водяные радиаторы не обеспечивают нормального охлаждения моторам (малы) и чрезвычайно не надежны в эксплуатации (течь после каждой посадки).</w:t>
      </w:r>
    </w:p>
    <w:p w14:paraId="3CF581C9"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Необходимо поставить на самолет новые увеличенные радиаторы.</w:t>
      </w:r>
    </w:p>
    <w:p w14:paraId="3180D8B5"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8. Необходимо увеличить капотажный угол самолета на лыжах, сделав вынос их равными выносу колес.</w:t>
      </w:r>
    </w:p>
    <w:p w14:paraId="370665AE"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9. Необходимо резко увеличить долговечность лыж.</w:t>
      </w:r>
    </w:p>
    <w:p w14:paraId="0B779A75"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10. Гидропневматические тормоза не надежны и неудобны в эксплуатации.</w:t>
      </w:r>
    </w:p>
    <w:p w14:paraId="066D309B"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Необходимо поставить на самолет новые колеса с тормозами последней конструкции.</w:t>
      </w:r>
    </w:p>
    <w:p w14:paraId="25EE6355"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11. Подъем шасси, вооружение, радиооборудование и т.п. испытанию не подвергалось.</w:t>
      </w:r>
    </w:p>
    <w:p w14:paraId="4565701F"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12. По данным испытаний, проведенных ОПАК-ом по вибрации крыла и хвостового оперения самолета ДИП получены следующие критические скорости:</w:t>
      </w:r>
    </w:p>
    <w:p w14:paraId="5F8B3099"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 xml:space="preserve">а) </w:t>
      </w:r>
      <w:r w:rsidRPr="00E14102">
        <w:rPr>
          <w:rStyle w:val="a6"/>
          <w:rFonts w:ascii="Times New Roman" w:hAnsi="Times New Roman" w:cs="Times New Roman"/>
          <w:i w:val="0"/>
          <w:color w:val="000000" w:themeColor="text1"/>
          <w:sz w:val="16"/>
          <w:szCs w:val="16"/>
          <w:bdr w:val="none" w:sz="0" w:space="0" w:color="auto" w:frame="1"/>
        </w:rPr>
        <w:t>V</w:t>
      </w:r>
      <w:r w:rsidRPr="00E14102">
        <w:rPr>
          <w:rStyle w:val="a6"/>
          <w:rFonts w:ascii="Times New Roman" w:hAnsi="Times New Roman" w:cs="Times New Roman"/>
          <w:i w:val="0"/>
          <w:color w:val="000000" w:themeColor="text1"/>
          <w:sz w:val="16"/>
          <w:szCs w:val="16"/>
          <w:bdr w:val="none" w:sz="0" w:space="0" w:color="auto" w:frame="1"/>
          <w:lang w:val="ru-RU"/>
        </w:rPr>
        <w:t xml:space="preserve"> критич. крыла = 832 км/ч</w:t>
      </w:r>
    </w:p>
    <w:p w14:paraId="79D44787"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 xml:space="preserve">б) </w:t>
      </w:r>
      <w:r w:rsidRPr="00E14102">
        <w:rPr>
          <w:rStyle w:val="a6"/>
          <w:rFonts w:ascii="Times New Roman" w:hAnsi="Times New Roman" w:cs="Times New Roman"/>
          <w:i w:val="0"/>
          <w:color w:val="000000" w:themeColor="text1"/>
          <w:sz w:val="16"/>
          <w:szCs w:val="16"/>
          <w:bdr w:val="none" w:sz="0" w:space="0" w:color="auto" w:frame="1"/>
        </w:rPr>
        <w:t>V</w:t>
      </w:r>
      <w:r w:rsidRPr="00E14102">
        <w:rPr>
          <w:rStyle w:val="a6"/>
          <w:rFonts w:ascii="Times New Roman" w:hAnsi="Times New Roman" w:cs="Times New Roman"/>
          <w:i w:val="0"/>
          <w:color w:val="000000" w:themeColor="text1"/>
          <w:sz w:val="16"/>
          <w:szCs w:val="16"/>
          <w:bdr w:val="none" w:sz="0" w:space="0" w:color="auto" w:frame="1"/>
          <w:lang w:val="ru-RU"/>
        </w:rPr>
        <w:t xml:space="preserve"> критич. стабилиз. =435 км/ч</w:t>
      </w:r>
    </w:p>
    <w:p w14:paraId="5FC90019"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 xml:space="preserve">в) </w:t>
      </w:r>
      <w:r w:rsidRPr="00E14102">
        <w:rPr>
          <w:rStyle w:val="a6"/>
          <w:rFonts w:ascii="Times New Roman" w:hAnsi="Times New Roman" w:cs="Times New Roman"/>
          <w:i w:val="0"/>
          <w:color w:val="000000" w:themeColor="text1"/>
          <w:sz w:val="16"/>
          <w:szCs w:val="16"/>
          <w:bdr w:val="none" w:sz="0" w:space="0" w:color="auto" w:frame="1"/>
        </w:rPr>
        <w:t>V</w:t>
      </w:r>
      <w:r w:rsidRPr="00E14102">
        <w:rPr>
          <w:rStyle w:val="a6"/>
          <w:rFonts w:ascii="Times New Roman" w:hAnsi="Times New Roman" w:cs="Times New Roman"/>
          <w:i w:val="0"/>
          <w:color w:val="000000" w:themeColor="text1"/>
          <w:sz w:val="16"/>
          <w:szCs w:val="16"/>
          <w:bdr w:val="none" w:sz="0" w:space="0" w:color="auto" w:frame="1"/>
          <w:lang w:val="ru-RU"/>
        </w:rPr>
        <w:t xml:space="preserve"> критич. киля = 532 км/ч »</w:t>
      </w:r>
    </w:p>
    <w:p w14:paraId="3D15BB3D"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Заключении отчета указано:</w:t>
      </w:r>
    </w:p>
    <w:p w14:paraId="05BCEC2E"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«…2. Считаем рациональным в дальнейшем использовать самолет ДИП для производства различных экспериментальных и научно-исследовательских работ, предварительно устранив указанные в отчете недостатки.»</w:t>
      </w:r>
    </w:p>
    <w:p w14:paraId="3BBD4C18"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Двухместный истребитель пушечный (в шутку прозванный Д. А. Ромейко-Гурко «жуком с соломинкой») представлял собой двухмоторный цельнометаллический моноплан с низко расположенным крылом.</w:t>
      </w:r>
    </w:p>
    <w:p w14:paraId="681D1513"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Фюзеляж овального сечения технологически делился на три части: переднюю, центральную и хвостовую. В передней части с носовым обтекателем размещалась пилотская кабина, закрытая стеклянным (триплекс) фонарем. Центральная – крепилась к центроплану крыла. Хвостовая часть с кабиной стрелка-радиста переходила в нижнюю часть киля и заканчивалась колонкой, к которой крепилось вертикальное оперение. Силовой каркас фюзеляжа состоял из: двух (четырех) лонжеронов; шести рам; тринадцати шпангоутов; девяти дуг; трех ободов; пяти (двадцати двух) стрингеров; шести раскосов и гладкой обшивки, с клепкой впотай.</w:t>
      </w:r>
    </w:p>
    <w:p w14:paraId="3EBE6A5F"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Крыло состояло из трех частей – центроплана и двух отъемных частей. Каркас крыла образовывали: четыре (шесть) лонжеронов; восемь (шестнадцать) нервюр; десять (тридцать восемь) формеров, стрингеры и гладкая обшивка, с клепкой впотай. На задней кромке центроплана имелись посадочные щитки типа Шренк, отклонявшиеся на 60°. На отъемных частях крыла размещались компенсированные щелевые элероны, состоявшие из двух частей.</w:t>
      </w:r>
    </w:p>
    <w:p w14:paraId="2A038AA4"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Хвостовое оперение. Вертикальное оперение состояло из верхнего, съемного киля, расположенного выше стабилизатора, и нижнего киля, выполненного за одно целое с фюзеляжем. На трех кронштейнах к колонке подвешивался руль поворота с роговой аэродинамической компенсацией и балансиром, вынесенным вперед на стальной трубе. Горизонтальное – двухлонжеронный стабилизатор крепился к колонке и подъемному механизму. Руль высоты с весовой компенсацией подвешивался в шести точках. Обшивка каркаса оперения – гладкая с клепкой впотай.</w:t>
      </w:r>
    </w:p>
    <w:p w14:paraId="64EA7E08"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Шасси – трехопорное с хвостовым самоориентирующимся костылем. Основные опоры – вильчатого типа, с масляно-пневматической амортизацией. Тормозные колеса 900×200, в полете убирались наполовину назад по полету в нишу крыла, а выступающая часть закрывалась створками мотогондолы. Зимой имелась возможность установки неубирающихся лыж. Уборка и выпуск основных опор шасси осуществлялись при помощи гидросистемы, питающейся от двухступенчатой помпы с электроприводом. Аварийный выпуск производился тросовой передачей от штурвала в задней кабине.</w:t>
      </w:r>
    </w:p>
    <w:p w14:paraId="12F1EB8D"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Управление самолетом: элеронами – жесткое, рулем высоты – смешанное, рулем поворота, стабилизатором, щитками и флетнерами – тросовое.</w:t>
      </w:r>
    </w:p>
    <w:p w14:paraId="65E63040"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Силовая установка состояла из двух 12-цилиндровых </w:t>
      </w:r>
      <w:r w:rsidRPr="00E14102">
        <w:rPr>
          <w:rFonts w:ascii="Times New Roman" w:hAnsi="Times New Roman" w:cs="Times New Roman"/>
          <w:color w:val="000000" w:themeColor="text1"/>
          <w:sz w:val="16"/>
          <w:szCs w:val="16"/>
        </w:rPr>
        <w:t>V</w:t>
      </w:r>
      <w:r w:rsidRPr="00E14102">
        <w:rPr>
          <w:rFonts w:ascii="Times New Roman" w:hAnsi="Times New Roman" w:cs="Times New Roman"/>
          <w:color w:val="000000" w:themeColor="text1"/>
          <w:sz w:val="16"/>
          <w:szCs w:val="16"/>
          <w:lang w:val="ru-RU"/>
        </w:rPr>
        <w:t>-образных моторов жидкостного охлаждения М-100 мощностью 760 л.с, установленных на клепанных дюралевых рамах со стальными подкосами. Моторы крепились перед передними лонжеронами центроплана крыла. Туннельные радиаторы системы охлаждения устанавливались под задней частью каждого мотора, охлаждение масла осуществлялось при помощи водомасляных радиаторов типа «РД-3», подключенных к магистрали системы охлаждения моторов. Управление моторами – жесткое. Бензобаки (1072 л) размещались в отъемных частях крыла, а масляные баки (72 л) – в центроплане. Винты – деревянные диаметром 3,4 м. Ставили и французские металлические трехлопастные винты «Ратье», с изменяемым на земле шагом.</w:t>
      </w:r>
    </w:p>
    <w:p w14:paraId="4AD5F1A6"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Вооружение пушечное – АПК-8100 мм, располагалась по всей длине нижней части фюзеляжа. Одна точка крепления АПК была неподвижной, остальные три позволяли регулировать угол установки при монтаже. Боезапас состоял из 6 снарядов, размещенных в трубчатом магазине и 10 – в дополнительной кассете. Стрелковое вооружение – 2 неподвижных пулемета ШКАС с боезапасом 2×1000 патронов устанавливались в центроплане крыла вне зоны вращения винта и один пулемет ШКАС на турели Тур-9, в кабине стрелка-радиста.</w:t>
      </w:r>
    </w:p>
    <w:p w14:paraId="0CA44473" w14:textId="77777777" w:rsidR="00E97DBB" w:rsidRPr="00E14102" w:rsidRDefault="00E97DBB"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Оборудование состояло из стандартного аэронавигационного, радиооборудования (р/с ВСК-2 или 13СК), электрооборудования, кислородного и спецоборудования (19175).</w:t>
      </w:r>
    </w:p>
    <w:p w14:paraId="14E2ACC6" w14:textId="77777777" w:rsidR="00E97DBB" w:rsidRPr="00E14102" w:rsidRDefault="00E97DBB" w:rsidP="00E14102">
      <w:pPr>
        <w:jc w:val="both"/>
        <w:rPr>
          <w:color w:val="000000" w:themeColor="text1"/>
          <w:sz w:val="16"/>
          <w:szCs w:val="16"/>
        </w:rPr>
      </w:pPr>
    </w:p>
    <w:p w14:paraId="0DAB5E36" w14:textId="77777777" w:rsidR="00AB0D75" w:rsidRPr="00E14102" w:rsidRDefault="00AB0D75" w:rsidP="00E14102">
      <w:pPr>
        <w:jc w:val="both"/>
        <w:rPr>
          <w:color w:val="0070C0"/>
          <w:sz w:val="16"/>
          <w:szCs w:val="16"/>
        </w:rPr>
      </w:pPr>
      <w:r w:rsidRPr="00E14102">
        <w:rPr>
          <w:color w:val="0070C0"/>
          <w:sz w:val="16"/>
          <w:szCs w:val="16"/>
        </w:rPr>
        <w:t>11 июля 1935 числа четырехпулеметный И-16, получивший полуофициальный индекс И-161 перегнали с завода № 21 в НИИ ВВС. Внешне И-161 выглядел не очень импозантно. Казалось, что вооружение в крыло «воткнули» впопыхах. Заводские конструкторы, без изменений сохранив установки центропланных ШКАСов, не сумели компактно разместить дополнительные пулеметы. Исходя из «компоновочных соображений», расстояние между пулеметами в левой плоскости составляла 346 мм, а в правой – 722 мм. Пулеметы крепились к лонжеронам на кронштейнах с приспособлениями для горизонтальной и вертикальной регулировки. Патронные ящики дополнительных ШКАСов емкостью по 400 патронов изготавливались из жести и располагались с левой стороны от пулеметов. Доступ к оружию осуществлялся через большие люки на нижней поверхности крыла. Зарядка и перезарядка производилась при помощи четырех рычагов на полу кабины слева от пилота, соединенных боуденовскими тросами с пулеметами. Управление огнем – при помощи четырех гашеток, размещавшихся в центре баранки (в отчете написано – калача) ручки управления и связанных боуденовскими тросами со спусками пулеметов. Стреляные гильзы выбрасывались вперед через изогнутые трубки гильзоотводов, укрепленные на распорках лонжеронов, а звенья – вниз, через жестяные рукава на передних стенках патронных ящиков (23033).</w:t>
      </w:r>
    </w:p>
    <w:p w14:paraId="0249F3B8" w14:textId="77777777" w:rsidR="00AB0D75" w:rsidRPr="00E14102" w:rsidRDefault="00AB0D75" w:rsidP="00E14102">
      <w:pPr>
        <w:jc w:val="both"/>
        <w:rPr>
          <w:color w:val="0070C0"/>
          <w:sz w:val="16"/>
          <w:szCs w:val="16"/>
        </w:rPr>
      </w:pPr>
    </w:p>
    <w:p w14:paraId="570AD5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июля 1935 состоялся первый полет УТ-2 (АИР-10), который выполнил тот же Ю.И.Пионтковский. Потом было выпущено 7 тыс. с 1936 по 1946 (74,76). 7150 (237,174).</w:t>
      </w:r>
    </w:p>
    <w:p w14:paraId="55BB40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Нет, это не УТ-2, а АИР-10, так как АИР-20 был цельнодеревянным (4,87).</w:t>
      </w:r>
    </w:p>
    <w:p w14:paraId="0B93FDA0" w14:textId="77777777" w:rsidR="00D4105E" w:rsidRPr="00E14102" w:rsidRDefault="00D4105E" w:rsidP="00E14102">
      <w:pPr>
        <w:autoSpaceDE w:val="0"/>
        <w:autoSpaceDN w:val="0"/>
        <w:adjustRightInd w:val="0"/>
        <w:jc w:val="both"/>
        <w:rPr>
          <w:color w:val="000000" w:themeColor="text1"/>
          <w:sz w:val="16"/>
          <w:szCs w:val="16"/>
        </w:rPr>
      </w:pPr>
    </w:p>
    <w:p w14:paraId="7030BF2B" w14:textId="77777777" w:rsidR="00AB0D75" w:rsidRPr="00E14102" w:rsidRDefault="00AB0D75" w:rsidP="00E14102">
      <w:pPr>
        <w:shd w:val="clear" w:color="auto" w:fill="FFFFFF"/>
        <w:jc w:val="both"/>
        <w:rPr>
          <w:color w:val="0070C0"/>
          <w:sz w:val="16"/>
          <w:szCs w:val="16"/>
        </w:rPr>
      </w:pPr>
      <w:r w:rsidRPr="00E14102">
        <w:rPr>
          <w:color w:val="0070C0"/>
          <w:sz w:val="16"/>
          <w:szCs w:val="16"/>
        </w:rPr>
        <w:t>11 июля 1935 года лётчик-испытатель Ю. И. Пионтковский впервые поднял в воздух АИР-10 (УТ-2). В первом же полёте самолёт развил максимальную скорость в 210 км/час. Совершив посадку, Пионтковский был в восторге от пилотажных качеств нового самолёта. Тогда же он произнёс слова, которые стали пророческими: «Вот то, что надо для подготовки лётчиков современной авиации! Машина устойчива, маневренна и легка в управлении. Я предсказываю ей большое будущее» (19907).</w:t>
      </w:r>
    </w:p>
    <w:p w14:paraId="1922B582" w14:textId="77777777" w:rsidR="00AB0D75" w:rsidRPr="00E14102" w:rsidRDefault="00AB0D75" w:rsidP="00E14102">
      <w:pPr>
        <w:shd w:val="clear" w:color="auto" w:fill="FFFFFF"/>
        <w:jc w:val="both"/>
        <w:rPr>
          <w:color w:val="0070C0"/>
          <w:sz w:val="16"/>
          <w:szCs w:val="16"/>
        </w:rPr>
      </w:pPr>
    </w:p>
    <w:p w14:paraId="477595A0" w14:textId="77777777" w:rsidR="00B22440" w:rsidRPr="00E14102" w:rsidRDefault="00B22440" w:rsidP="00E14102">
      <w:pPr>
        <w:jc w:val="both"/>
        <w:rPr>
          <w:color w:val="000000" w:themeColor="text1"/>
          <w:sz w:val="16"/>
          <w:szCs w:val="16"/>
        </w:rPr>
      </w:pPr>
      <w:r w:rsidRPr="00E14102">
        <w:rPr>
          <w:color w:val="000000" w:themeColor="text1"/>
          <w:sz w:val="16"/>
          <w:szCs w:val="16"/>
        </w:rPr>
        <w:t>11 июля 1935 самолёт ДИП возвратили в ОЭЛИД для проведения дальнейших испытаний (15823).</w:t>
      </w:r>
    </w:p>
    <w:p w14:paraId="04FA054D" w14:textId="77777777" w:rsidR="00B22440" w:rsidRPr="00E14102" w:rsidRDefault="00B22440" w:rsidP="00E14102">
      <w:pPr>
        <w:jc w:val="both"/>
        <w:rPr>
          <w:color w:val="000000" w:themeColor="text1"/>
          <w:sz w:val="16"/>
          <w:szCs w:val="16"/>
        </w:rPr>
      </w:pPr>
    </w:p>
    <w:p w14:paraId="06AA1D3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июля 1935 г. состоялся первый полет самолета АИР-10 А.С.Яковлева, прототипа УТ-2 (6395).</w:t>
      </w:r>
    </w:p>
    <w:p w14:paraId="472F69F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10148A2" w14:textId="77777777" w:rsidR="00B22440" w:rsidRPr="00E14102" w:rsidRDefault="00B22440" w:rsidP="00E14102">
      <w:pPr>
        <w:jc w:val="both"/>
        <w:rPr>
          <w:color w:val="000000" w:themeColor="text1"/>
          <w:sz w:val="16"/>
          <w:szCs w:val="16"/>
        </w:rPr>
      </w:pPr>
      <w:r w:rsidRPr="00E14102">
        <w:rPr>
          <w:color w:val="000000" w:themeColor="text1"/>
          <w:sz w:val="16"/>
          <w:szCs w:val="16"/>
        </w:rPr>
        <w:t xml:space="preserve">11 июля в 1935 году первый полет самолета </w:t>
      </w:r>
      <w:hyperlink r:id="rId145" w:tgtFrame="_blank" w:history="1">
        <w:r w:rsidRPr="00E14102">
          <w:rPr>
            <w:color w:val="000000" w:themeColor="text1"/>
            <w:sz w:val="16"/>
            <w:szCs w:val="16"/>
          </w:rPr>
          <w:t xml:space="preserve">«АИР-10» </w:t>
        </w:r>
      </w:hyperlink>
      <w:r w:rsidRPr="00E14102">
        <w:rPr>
          <w:color w:val="000000" w:themeColor="text1"/>
          <w:sz w:val="16"/>
          <w:szCs w:val="16"/>
        </w:rPr>
        <w:t>ОКБ А.С.Яковлева с «М-11Е», прототипа «У-2», Ю.И.Пионтковский; Построено 7.323 самолёта, в том числе за 1941-1945 годы – 4.955 (14949).</w:t>
      </w:r>
    </w:p>
    <w:p w14:paraId="294C13CB" w14:textId="77777777" w:rsidR="00B22440" w:rsidRPr="00E14102" w:rsidRDefault="00B22440" w:rsidP="00E14102">
      <w:pPr>
        <w:jc w:val="both"/>
        <w:rPr>
          <w:color w:val="000000" w:themeColor="text1"/>
          <w:sz w:val="16"/>
          <w:szCs w:val="16"/>
        </w:rPr>
      </w:pPr>
    </w:p>
    <w:p w14:paraId="66A01B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июля 1935 на ЦА начались сравнительные испытания автожиров С-30 Сиервы и А-8 и А-4. Летал С.А.Корзинщиков (438,691).</w:t>
      </w:r>
    </w:p>
    <w:p w14:paraId="2743518B" w14:textId="77777777" w:rsidR="00D4105E" w:rsidRPr="00E14102" w:rsidRDefault="00D4105E" w:rsidP="00E14102">
      <w:pPr>
        <w:autoSpaceDE w:val="0"/>
        <w:autoSpaceDN w:val="0"/>
        <w:adjustRightInd w:val="0"/>
        <w:jc w:val="both"/>
        <w:rPr>
          <w:color w:val="000000" w:themeColor="text1"/>
          <w:sz w:val="16"/>
          <w:szCs w:val="16"/>
        </w:rPr>
      </w:pPr>
    </w:p>
    <w:p w14:paraId="5C9BFC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11-го июля 1935 ДВ СССР-Н26 с экипажем в составе: командира самолета А.Д.Алексеева, второго пилота Ф.Г.Еременко, летнаба Н.М.Жукова, 1-го бортмеханика К.Н.Сугробова и 2-го механика А.Пидточенного, стартовал из Красноярска для проведения ледовых разведок в южной части Карского Моря. Кроме этого, велся поиск запасных посадочных площадок и мест для постройки новых баз. Подходящими командир и штурман самолета посчитали бухту Абросимова, озеро Тоиндо (Амдерма) и залив Тюлений.</w:t>
      </w:r>
    </w:p>
    <w:p w14:paraId="6722D9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23-го июля в 11 ч. 16 мин. СССР-Н26 вылетел для более полного обследования, и аэрофотосъемки озера Тоиндо, но туман, закрывающий все побережье, заставил вернуться обратно. 25-го июля экипаж Алексеева произвел до- разведку вдоль Ямала через Карские Ворота для первого каравана судов с ледоколом "Ленин".</w:t>
      </w:r>
    </w:p>
    <w:p w14:paraId="3F0C04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Закончив работы в юго-западной части Карского моря и налетав при этом 35 час. 52 мин., СССР-Н26 стартовал из бухты Варнека курсом на восток. Этот перелет был начат без одобрения командира морского отряда Махоткина, который имел свое мнение о необходимости перебазирования летающей лодки. Подойдя к острову Белому, самолет встретил низовой туман, покрывавший восточную часть пролива Малыгина, и Алексеев решил сесть и переждать туман. При посадке в заливе Пага острова Белого из-за малых глубин при отливе лодка оказалась на мели. Только через двое суток, 28-го июля, экипаж, переждав непогоду и дождавшись прилива, прилетел на Диксон.</w:t>
      </w:r>
    </w:p>
    <w:p w14:paraId="4B284F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Ледовую разведку в Восточной части Карского моря СССР-Н26 начал 31-го июля. В 13 ч. 05 мин. он вылетел с Диксона по маршруту Диксон - м. Стерлигова - о. Русский - м. Неупоко- ева - точка с координатами 78°55' х 90°20' - м. Стерлигова, где самолет и должен был базироваться. Полет проходил в хороших погодных условиях на высоте 1000 м. В точке с координатами 76° 55' х 88° 40' экипаж обнаружил архипелаг из 2 островов, покрытых растительностью и 3 острова без нее. Поначалу летчики посчитали, что открыли новую землю, но оказалось - острова Брюзевица (что такое о-ва Брюзевица, пока выяснить не удалось, а по указанным координатам расположены острова Сергея Кирова, открытые поэтапно во время плаваний "Красина" и "Малыгина" в 1934-1935 гг.).</w:t>
      </w:r>
    </w:p>
    <w:p w14:paraId="648769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3-го августа 1935 г. распоряжением начальника ГУСМП О.Ю.Шмидта и начальника УПА М.И.Шевелева, все тяжелые самолеты, к которым относились и Дорнье "Валь", были переключены на подстраховку перелета С.А.Леваневского. Но, так как вскоре перелет был отменен, 7-го августа Алексеев получил приказ вернуться на свою базу на мысе Стерлигова. Уже на следующий день лодка снова вылетела на разведку северо-восточной части Карского моря по маршруту м. Стерлигова - о. Русский - м. Неупокоева - фиорд Спартак - м. Неупокое- ва - о. Русский - м. Стерлигова.</w:t>
      </w:r>
    </w:p>
    <w:p w14:paraId="39D56F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базирования на Таймыре Алексеев получил задание на ледовую разведку для ледокола "Сибиряков", который подходил к мысу Оловянному, но, встретив у о. Гансена туман и шторм, самолет вернулся на р. Таймыру. Здесь экипажу пришлось жить на чердаке дома зимовки или в самолете. Первый механик Сугробов, не выдержал таких условий, простудился и заболел. Так как врача на базе не было, экипаж перелетел на мыс Стерлигова. Состояние больного не улучшилось, температура держалась высокой, доходя до 41,6°. Везти его в таком состоянии было невозможно, и 6-го сентября Алексеев привез врача с Диксона. Благодаря медицинской помощи больной начал быстро поправляться.</w:t>
      </w:r>
    </w:p>
    <w:p w14:paraId="4C2893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следующий день СССР-Н26 перелетел на Диксон, сдав Сугробова на попечение врачей.</w:t>
      </w:r>
    </w:p>
    <w:p w14:paraId="4BA548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11-го сентября пришло известие о пропаже самолета Ш-2 с Козловым и Линделем, вылетевших на поиски сухопутных аэродромов. 12-го сентября в 4 ч. 40 мин. лодка вылетела с Диксона в район возможной разведки Козлова. Подлетев к устью р. Таймыра, летчики увидели Ш-2, стоящий на берегу, недалеко от зимовки и пошли на посадку. При осмотре аварийного самолета, авиаторы решили эвакуировать его с места вынужденной посадки пароходом, а Линделя взять с собой и перевезти на м. Челюскина. Но из-за непогоды сделать это удалось только 16-го сентября. СССР-Н26 достиг мыса Челюскина, но приводниться из-за сильного прибоя не смог. Линделя высадили у мыса Вега, сообщив об этом на ледокол "Ермак" и мыс Челюскина.</w:t>
      </w:r>
    </w:p>
    <w:p w14:paraId="1EDC33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23-го сентября СССР-Н26 выполнил рейс из Дудинки в Игарку и обратно. Затем с летающей лодки сняли морское снаряжение, и с 24-го сентября она перевозила грузы в Норильск. До 1 октября сделали 8 рейсов, доставили в Норильск 12000 кг грузов, а из Норильска в Дудинку 2000 кг горных образцов. Четвертого октября вернулись в Красноярск. Ресурс моторов практически закончился, и самолет по приказанию начальника УВС оставили на воде, как страховочный, а после того как необходимость в этом отпала, 15 октября вытащили на берег и сдали в Красноярские авиамастерские для ремонта.</w:t>
      </w:r>
    </w:p>
    <w:p w14:paraId="00BCAB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 (11970).</w:t>
      </w:r>
    </w:p>
    <w:p w14:paraId="6109278C" w14:textId="77777777" w:rsidR="00D4105E" w:rsidRPr="00E14102" w:rsidRDefault="00D4105E" w:rsidP="00E14102">
      <w:pPr>
        <w:autoSpaceDE w:val="0"/>
        <w:autoSpaceDN w:val="0"/>
        <w:adjustRightInd w:val="0"/>
        <w:jc w:val="both"/>
        <w:rPr>
          <w:color w:val="000000" w:themeColor="text1"/>
          <w:sz w:val="16"/>
          <w:szCs w:val="16"/>
        </w:rPr>
      </w:pPr>
    </w:p>
    <w:p w14:paraId="373F13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июля 1935 закончились полигонные испытания 1000 кг воздушной реактивной торпеды конструкции Тверского, которые проходили с 8 июля 1935 (6818).</w:t>
      </w:r>
    </w:p>
    <w:p w14:paraId="09DB310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производились на Ногинском полигоне с 9 июня по 11 июля 1935 года.</w:t>
      </w:r>
    </w:p>
    <w:p w14:paraId="38F476C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157D10E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Определить дальность, характер полета и работу реактивного заряда, стрельбой со станка на земле.</w:t>
      </w:r>
    </w:p>
    <w:p w14:paraId="79FE1D4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Выводы</w:t>
      </w:r>
    </w:p>
    <w:p w14:paraId="24B5D87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Воздушная реактивная торпеда испытаний не выдержала.</w:t>
      </w:r>
    </w:p>
    <w:p w14:paraId="6F3E96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1-й опыт – воздушно-реактивная ракета взорвалась, 2-й опыт – воздушно-реактивная торпеда не дала правильного полета (6818).</w:t>
      </w:r>
    </w:p>
    <w:p w14:paraId="4F176F4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11559E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 июля 1935 во втором опыте РЗ торпеды состоял из 81 порохового элемен</w:t>
      </w:r>
      <w:r w:rsidRPr="00E14102">
        <w:rPr>
          <w:color w:val="000000" w:themeColor="text1"/>
          <w:sz w:val="16"/>
          <w:szCs w:val="16"/>
        </w:rPr>
        <w:softHyphen/>
        <w:t>та рецептуры ПТП габаритами 75/10-92 мм, уложенными в 9 рядов по 9 ша</w:t>
      </w:r>
      <w:r w:rsidRPr="00E14102">
        <w:rPr>
          <w:color w:val="000000" w:themeColor="text1"/>
          <w:sz w:val="16"/>
          <w:szCs w:val="16"/>
        </w:rPr>
        <w:softHyphen/>
        <w:t>шек. Его общая масса составила 49 кг. Перед пуском обнаружили, что пе</w:t>
      </w:r>
      <w:r w:rsidRPr="00E14102">
        <w:rPr>
          <w:color w:val="000000" w:themeColor="text1"/>
          <w:sz w:val="16"/>
          <w:szCs w:val="16"/>
        </w:rPr>
        <w:softHyphen/>
        <w:t>редняя кромка одного из перьев стабилизатора загнута на угол 20°, а боль</w:t>
      </w:r>
      <w:r w:rsidRPr="00E14102">
        <w:rPr>
          <w:color w:val="000000" w:themeColor="text1"/>
          <w:sz w:val="16"/>
          <w:szCs w:val="16"/>
        </w:rPr>
        <w:softHyphen/>
        <w:t>шинство распорок крыльев стабилизатора оторваны в местах сварного крепления. В этот раз торпеду пришлось запускать со станка для стрельбы 100-кг РС. Ее просто прислонили к нему под углом 40° к горизонту.</w:t>
      </w:r>
    </w:p>
    <w:p w14:paraId="3B26BB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Как и в первом опыте, выстрел произвели от подрывной машинки из блиндажа. Торпеда поднялась на 50-60 м и, пролетев около 150 м, упала на землю, оставив след около трех метров длиной и 15-20 см глубиной. Затем боеприпас поднялся на высоту 5-10 м и пролетел еще 150-200 м. Потом он снова упал, потеряв часть стабилизатора, и «продолжил движе</w:t>
      </w:r>
      <w:r w:rsidRPr="00E14102">
        <w:rPr>
          <w:color w:val="000000" w:themeColor="text1"/>
          <w:sz w:val="16"/>
          <w:szCs w:val="16"/>
        </w:rPr>
        <w:softHyphen/>
        <w:t>ние скачками». Начиная со второго приземления, по пути движения «торпеда разбрасывала куски алюминиевого корпуса». На всем пути из его сопла вырывалось пламя. То есть, РЗ горел практически до конца. Абсолютно целая ракетная камера с соплом остановилась в 700-800 м от стартовой позиции. Возле пускового станка после выстрела от удара струи продуктов горения РЗ образовалась воронка глубиной 0,75 м, дли</w:t>
      </w:r>
      <w:r w:rsidRPr="00E14102">
        <w:rPr>
          <w:color w:val="000000" w:themeColor="text1"/>
          <w:sz w:val="16"/>
          <w:szCs w:val="16"/>
        </w:rPr>
        <w:softHyphen/>
        <w:t>ной 1,5 м и шириной 1 м.</w:t>
      </w:r>
    </w:p>
    <w:p w14:paraId="57F7BD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Столь продолжительное время горения, а также скачкообразный ха</w:t>
      </w:r>
      <w:r w:rsidRPr="00E14102">
        <w:rPr>
          <w:color w:val="000000" w:themeColor="text1"/>
          <w:sz w:val="16"/>
          <w:szCs w:val="16"/>
        </w:rPr>
        <w:softHyphen/>
        <w:t>рактер полета испытатели объяснили большой длиной РЗ. Опыты РНИИ по влиянию длины камеры двигателя на характер горения РЗ из пороха заданной рецептуры показали, что в протяженной трубе получа</w:t>
      </w:r>
      <w:r w:rsidRPr="00E14102">
        <w:rPr>
          <w:color w:val="000000" w:themeColor="text1"/>
          <w:sz w:val="16"/>
          <w:szCs w:val="16"/>
        </w:rPr>
        <w:softHyphen/>
        <w:t>ется его недогорание, а пороховые остатки выбрасывает через сопло. При слишком длинной камере был зафиксирован случай самопроиз</w:t>
      </w:r>
      <w:r w:rsidRPr="00E14102">
        <w:rPr>
          <w:color w:val="000000" w:themeColor="text1"/>
          <w:sz w:val="16"/>
          <w:szCs w:val="16"/>
        </w:rPr>
        <w:softHyphen/>
        <w:t>вольного затухания РЗ.</w:t>
      </w:r>
    </w:p>
    <w:p w14:paraId="5637D23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Авария во втором пуске, по мнению военных, произошла вследствие неправильного расположения РЗ. «Можно считать, что работа еще не вышла из стадии экспериментального авторского периода. Для доказа</w:t>
      </w:r>
      <w:r w:rsidRPr="00E14102">
        <w:rPr>
          <w:color w:val="000000" w:themeColor="text1"/>
          <w:sz w:val="16"/>
          <w:szCs w:val="16"/>
        </w:rPr>
        <w:softHyphen/>
        <w:t>тельства дальнейшей целесообразности работы над этим объектом и применения его в авиации необходимо получить от автора теоретиче</w:t>
      </w:r>
      <w:r w:rsidRPr="00E14102">
        <w:rPr>
          <w:color w:val="000000" w:themeColor="text1"/>
          <w:sz w:val="16"/>
          <w:szCs w:val="16"/>
        </w:rPr>
        <w:softHyphen/>
        <w:t>ские расчеты». И без того удрученному очередной неудачей изобретате</w:t>
      </w:r>
      <w:r w:rsidRPr="00E14102">
        <w:rPr>
          <w:color w:val="000000" w:themeColor="text1"/>
          <w:sz w:val="16"/>
          <w:szCs w:val="16"/>
        </w:rPr>
        <w:softHyphen/>
        <w:t>лю они еще раз напомнили, что торпеда «не оформлена для применения в авиации». То есть, отсутствовали проекты спускового приспособления, а также «орудия для пуска и крепления к самолету». Авиаторов интересо</w:t>
      </w:r>
      <w:r w:rsidRPr="00E14102">
        <w:rPr>
          <w:color w:val="000000" w:themeColor="text1"/>
          <w:sz w:val="16"/>
          <w:szCs w:val="16"/>
        </w:rPr>
        <w:softHyphen/>
        <w:t>вали и проблемы «влияния газовой струи, выходящей с большой скоро</w:t>
      </w:r>
      <w:r w:rsidRPr="00E14102">
        <w:rPr>
          <w:color w:val="000000" w:themeColor="text1"/>
          <w:sz w:val="16"/>
          <w:szCs w:val="16"/>
        </w:rPr>
        <w:softHyphen/>
        <w:t>стью и температурой из сопла, на расположенные в непосредственной близости части самолета», а также величина потери скорости самолета после размещения реактивной системы на его внешней подвеске (11402).</w:t>
      </w:r>
    </w:p>
    <w:p w14:paraId="36890CF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2C2DF95" w14:textId="02CDFB39" w:rsidR="00D4105E" w:rsidRPr="00E14102" w:rsidRDefault="00D4105E" w:rsidP="00E14102">
      <w:pPr>
        <w:autoSpaceDE w:val="0"/>
        <w:autoSpaceDN w:val="0"/>
        <w:adjustRightInd w:val="0"/>
        <w:jc w:val="both"/>
        <w:rPr>
          <w:i/>
          <w:color w:val="000000" w:themeColor="text1"/>
          <w:sz w:val="16"/>
          <w:szCs w:val="16"/>
        </w:rPr>
      </w:pPr>
      <w:r w:rsidRPr="00E14102">
        <w:rPr>
          <w:i/>
          <w:color w:val="000000" w:themeColor="text1"/>
          <w:sz w:val="16"/>
          <w:szCs w:val="16"/>
        </w:rPr>
        <w:t>Жизнь и внутрен</w:t>
      </w:r>
      <w:r w:rsidR="00195837" w:rsidRPr="00E14102">
        <w:rPr>
          <w:i/>
          <w:color w:val="000000" w:themeColor="text1"/>
          <w:sz w:val="16"/>
          <w:szCs w:val="16"/>
        </w:rPr>
        <w:t>н</w:t>
      </w:r>
      <w:r w:rsidRPr="00E14102">
        <w:rPr>
          <w:i/>
          <w:color w:val="000000" w:themeColor="text1"/>
          <w:sz w:val="16"/>
          <w:szCs w:val="16"/>
        </w:rPr>
        <w:t>яя политика:</w:t>
      </w:r>
    </w:p>
    <w:p w14:paraId="49082308" w14:textId="77777777" w:rsidR="00D4105E" w:rsidRPr="00E14102" w:rsidRDefault="00D4105E" w:rsidP="00E14102">
      <w:pPr>
        <w:autoSpaceDE w:val="0"/>
        <w:autoSpaceDN w:val="0"/>
        <w:adjustRightInd w:val="0"/>
        <w:jc w:val="both"/>
        <w:rPr>
          <w:i/>
          <w:color w:val="000000" w:themeColor="text1"/>
          <w:sz w:val="16"/>
          <w:szCs w:val="16"/>
        </w:rPr>
      </w:pPr>
    </w:p>
    <w:p w14:paraId="5834C3D2" w14:textId="77777777" w:rsidR="00B22440" w:rsidRPr="00E14102" w:rsidRDefault="00B22440" w:rsidP="00E14102">
      <w:pPr>
        <w:pStyle w:val="rtejustify"/>
        <w:spacing w:before="0" w:after="0"/>
        <w:rPr>
          <w:color w:val="000000" w:themeColor="text1"/>
          <w:sz w:val="16"/>
          <w:szCs w:val="16"/>
        </w:rPr>
      </w:pPr>
      <w:r w:rsidRPr="00E14102">
        <w:rPr>
          <w:rStyle w:val="a6"/>
          <w:bCs/>
          <w:i w:val="0"/>
          <w:color w:val="000000" w:themeColor="text1"/>
          <w:sz w:val="16"/>
          <w:szCs w:val="16"/>
        </w:rPr>
        <w:t>11 июля 1935 вышел приказ НКТП № 104с.</w:t>
      </w:r>
      <w:r w:rsidRPr="00E14102">
        <w:rPr>
          <w:color w:val="000000" w:themeColor="text1"/>
          <w:sz w:val="16"/>
          <w:szCs w:val="16"/>
        </w:rPr>
        <w:t xml:space="preserve"> О мерах по обеспечению оборудованием и материалами строительств бензохранилищ на Дальнем Востоке и в Восточной Сибири. (РГАЭ. Ф. 7297. Оп. 38. Д. 171. Л. 165</w:t>
      </w:r>
      <w:r w:rsidRPr="00E14102">
        <w:rPr>
          <w:color w:val="000000" w:themeColor="text1"/>
          <w:sz w:val="16"/>
          <w:szCs w:val="16"/>
        </w:rPr>
        <w:noBreakHyphen/>
        <w:t>161) (15246).</w:t>
      </w:r>
    </w:p>
    <w:p w14:paraId="7B4927ED" w14:textId="77777777" w:rsidR="00B22440" w:rsidRPr="00E14102" w:rsidRDefault="00B22440" w:rsidP="00E14102">
      <w:pPr>
        <w:pStyle w:val="rtejustify"/>
        <w:spacing w:before="0" w:after="0"/>
        <w:rPr>
          <w:color w:val="000000" w:themeColor="text1"/>
          <w:sz w:val="16"/>
          <w:szCs w:val="16"/>
        </w:rPr>
      </w:pPr>
    </w:p>
    <w:p w14:paraId="408DAA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июля 1935 года была докладная записка замнаркома внутренних дел СССР Г.Е.Прокофьева №56423 на имя И.В.Сталина об итогах операции:</w:t>
      </w:r>
    </w:p>
    <w:p w14:paraId="15DB96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«Следствием по делу арестованных японских диверсантов Кобылкина и Переладова (сообщено в ЦК ВКП(б) №56121 от 23/V–1935 года), проведённым в Москве, полностью установлено, что полковник Кобылкин И.В. и хорунжий Переладов Е.Л. переброшены нелегально на советскую территорию японской военной миссией в Харбине.</w:t>
      </w:r>
    </w:p>
    <w:p w14:paraId="24308D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Арестованный полковник Кобылкин Иннокентий Васильевич в момент выброски его на советскую территорию являлся официальным служащим японо-маньчжурской полиции в качестве надзирателя на станции Чжалайнор КВЖД (в 9 километрах от советской границы).</w:t>
      </w:r>
    </w:p>
    <w:p w14:paraId="75BA87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Кобылкин показывает, что вышел на советскую территорию по прямому поручению секретаря японской военной миссии в Харбине — Суда для связи с существующей на территории Забайкалья контрреволюционной организацией, которую японцы считали необходимым переключить на осуществление террористических и диверсионных актов. В этих целях Кобылкин был снабжён японской военной миссией оружием (2 больших маузера и 70 патрон к ним и 1 браунинг с 24 патронами) и 2-мя зажигательными снарядами «Термит» (при аресте изъято).</w:t>
      </w:r>
    </w:p>
    <w:p w14:paraId="0FEDB6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проведения широкой пропаганды контрреволюционных идей на территории Восточной Сибири Кобылкин принёс с собой 4769 различных листовок, изданных известной террористической организацией за границей «Братство Русской Правды» («БРП»).</w:t>
      </w:r>
    </w:p>
    <w:p w14:paraId="2D7D88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Арестованный по этому делу хорунжий Переладов Евлампий Лукьянович, прибывший нелегально на советскую территорию ранее Кобылкина, показывает, что был завербован для японской разведки Кобылкиным, по поручению которого вышел нелегально на советскую территорию для личного участия в террористических и диверсионных актах, которые должна была осуществлять существовавшая антисоветская организация в Забайкалье. При аресте Переладова при нем были обнаружены 2 браунинга с патронами и 8 зажигательных снарядов «Термит».</w:t>
      </w:r>
    </w:p>
    <w:p w14:paraId="43F373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Наряду с этим Переладов показывает, что перед своим отъездом в СССР он, будучи членом так называемого Красновского филиала «БРП» (Шанхайский отдел), посетил в Харбине представителя этого филиала Курочкина Николая Ивановича, который поручил ему приступить к созданию небольших, но хорошо законспирированных и не связанных между собой ячеек «БРП» на советской территории.</w:t>
      </w:r>
    </w:p>
    <w:p w14:paraId="6D959D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Антисоветская организация, для связи с которой от японской разведки прибыли Кобылкин и Переладов, фактически представляет из себя небольшую группу лиц, подставленных специально нами для перехвата деятельности японской разведки в Забайкалье.</w:t>
      </w:r>
    </w:p>
    <w:p w14:paraId="1FD094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тем, что арест Переладова и Кобылкина был произведён секретно, японская разведка, полагая, что они находятся на свободе, перебросила в распоряжение Кобылкина в ночь на 28 мая 1935 г. в районе Даурского погранотряда (Восточно-Сибирский Край) вооружённую группу террористов в составе 3-х человек — Кустов Владимир (эмигрант, инженер, член «БРП») и Олейниковы Михаил и Виктор (братья, граждане СССР, сыновья священника, без определённых занятий, завербованы японской разведкой, неоднократно нелегально переходили границу).</w:t>
      </w:r>
    </w:p>
    <w:p w14:paraId="1FCBB7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Столкнувшись с резервным нарядом нашей погранохраны в районе поселка Абагайтуй (Даурский погранотряд, ВСК), террористы открыли стрельбу, в результате перестрелки ответным огнём пограничников Кустов Владимир и Олейников Михаил были убиты. Скрывшийся во время перестрелки Олейников Виктор был наутро задержан по дороге к Чите. У убитых обнаружены письма от японского агента Тимофеева и членов «БРП» в Харбине Курочкина и Петунова, адресованные Кобылкину и Переладову.</w:t>
      </w:r>
    </w:p>
    <w:p w14:paraId="6559AB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Задержанный Олейников Виктор сознался, что сотрудничает с японской разведкой в течение года и по её заданиям неоднократно нелегально нарушал нашу границу. Последний приход Олейникова на советскую территорию был связан с прямым заданием японской военной миссии в Харбине, поручившей передать письма Кобылкину и оказать ему содействие при осуществлении террористических и диверсионных актов. По показаниям Олейникова, вышедшие с ним террористы (Кустов и Олейников Михаил), так же как и он, были вооружены браунингами с коробкой запасных патрон к каждому. (Всё оружие изъято). Олейников конвоируется в Москву.</w:t>
      </w:r>
    </w:p>
    <w:p w14:paraId="3C2822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Учитывая, что Кобылкин и Переладов являются активными агентами японской разведки, состоя одновременно членами монархических белогвардейских организаций, как «РОВС» (Российский Общевоинский Союз) и «БРП», и то, что Кобылкин до своего выхода на советскую территорию был официальным служащим маньчжурской полиции, считаю целесообразным передать это дело в Военную Коллегию Верховного суда СССР для слушания в открытом порядке.</w:t>
      </w:r>
    </w:p>
    <w:p w14:paraId="6AB284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Процесс должен быть проведён под углом разоблачения деятельности японских разведывательных органов на территории Маньчжоу-Го, питающих и широко использующих участников различных белогвардейских организаций, для осуществления на нашей территории террористических и диверсионных актов.</w:t>
      </w:r>
    </w:p>
    <w:p w14:paraId="5D7F45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Народный Комиссариат по Иностранным Делам с открытой постановкой этого процесса согласен, считая только необходимым проведение его в Иркутске. Прошу указаний». (АПРФ. Ф.3. Оп.58. Д.247. Л.105–107. Цит. по: Лубянка. Сталин и ВЧК–ГПУ–ОГПУ–НКВД. Январь 1922 — декабрь 1936... С.679–681) (11703).</w:t>
      </w:r>
    </w:p>
    <w:p w14:paraId="768BB4E3" w14:textId="77777777" w:rsidR="00D4105E" w:rsidRPr="00E14102" w:rsidRDefault="00D4105E" w:rsidP="00E14102">
      <w:pPr>
        <w:autoSpaceDE w:val="0"/>
        <w:autoSpaceDN w:val="0"/>
        <w:adjustRightInd w:val="0"/>
        <w:jc w:val="both"/>
        <w:rPr>
          <w:color w:val="000000" w:themeColor="text1"/>
          <w:sz w:val="16"/>
          <w:szCs w:val="16"/>
        </w:rPr>
      </w:pPr>
    </w:p>
    <w:p w14:paraId="68A7679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793EFBAD" w14:textId="77777777" w:rsidR="00D4105E" w:rsidRPr="00E14102" w:rsidRDefault="00D4105E" w:rsidP="00E14102">
      <w:pPr>
        <w:autoSpaceDE w:val="0"/>
        <w:autoSpaceDN w:val="0"/>
        <w:adjustRightInd w:val="0"/>
        <w:jc w:val="both"/>
        <w:rPr>
          <w:iCs/>
          <w:color w:val="000000" w:themeColor="text1"/>
          <w:sz w:val="16"/>
          <w:szCs w:val="16"/>
        </w:rPr>
      </w:pPr>
    </w:p>
    <w:p w14:paraId="004A0F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июля 1935 были восстановлены дипотношения с Бельгией (3908,347).</w:t>
      </w:r>
    </w:p>
    <w:p w14:paraId="3442E5FE" w14:textId="77777777" w:rsidR="00D4105E" w:rsidRPr="00E14102" w:rsidRDefault="00D4105E" w:rsidP="00E14102">
      <w:pPr>
        <w:autoSpaceDE w:val="0"/>
        <w:autoSpaceDN w:val="0"/>
        <w:adjustRightInd w:val="0"/>
        <w:jc w:val="both"/>
        <w:rPr>
          <w:color w:val="000000" w:themeColor="text1"/>
          <w:sz w:val="16"/>
          <w:szCs w:val="16"/>
        </w:rPr>
      </w:pPr>
    </w:p>
    <w:p w14:paraId="057E1858" w14:textId="77777777" w:rsidR="00B2244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178AC61" w14:textId="77777777" w:rsidR="00B22440" w:rsidRPr="00E14102" w:rsidRDefault="00B22440" w:rsidP="00E14102">
      <w:pPr>
        <w:autoSpaceDE w:val="0"/>
        <w:autoSpaceDN w:val="0"/>
        <w:adjustRightInd w:val="0"/>
        <w:jc w:val="both"/>
        <w:rPr>
          <w:iCs/>
          <w:color w:val="000000" w:themeColor="text1"/>
          <w:sz w:val="16"/>
          <w:szCs w:val="16"/>
        </w:rPr>
      </w:pPr>
    </w:p>
    <w:p w14:paraId="1D79D8DC" w14:textId="77777777" w:rsidR="00B22440" w:rsidRPr="00E14102" w:rsidRDefault="00B22440" w:rsidP="00E14102">
      <w:pPr>
        <w:jc w:val="both"/>
        <w:rPr>
          <w:color w:val="000000" w:themeColor="text1"/>
          <w:sz w:val="16"/>
          <w:szCs w:val="16"/>
        </w:rPr>
      </w:pPr>
      <w:r w:rsidRPr="00E14102">
        <w:rPr>
          <w:color w:val="000000" w:themeColor="text1"/>
          <w:sz w:val="16"/>
          <w:szCs w:val="16"/>
        </w:rPr>
        <w:t>11 июля в 1935 году штаб ВВС японской армии (Коку хомбу ), выдал фирме "Мицубиси дзюкоге" техническое задание на проектирование нового самолета-разведчика "тип 97". Новый разведчик по первоначальному замыслу тоже должен был применяться только тактически, то есть в пределах относительно небольшого радиуса действия. Но, учитывая быстрое развитие авиатехники, японские военные захотели получить гораздо более быстроходную и высотную машину. Для этого решили отказаться от выполнения "второстепенных" задач, облегчив самолет за счет лишнего оборудования. В японской системе обозначений выражение "тип 97" соответствует русскому словосочетанию "образца 1937 г.", поскольку "97" - это год поступления на вооружение по принятому тогда в Японии летосчислению от начала "эпохи Мэйдзи". Проектированием нового разведчика, названного «Ки.15», занимался коллектив из инженеров Ф.Коно, Т.Кубо и С.Мидзумо. Ими был создан современный цельнометаллический свободнонесущий моноплан с нижним расположением крыла. Тогда императорская армия получила первый в мире специализированный самолет оперативно-стратегической разведки, что немало поспособствовало ее дальнейшим успехам (14949).</w:t>
      </w:r>
    </w:p>
    <w:p w14:paraId="66813EAB" w14:textId="77777777" w:rsidR="00B22440" w:rsidRPr="00E14102" w:rsidRDefault="00B22440" w:rsidP="00E14102">
      <w:pPr>
        <w:jc w:val="both"/>
        <w:rPr>
          <w:color w:val="000000" w:themeColor="text1"/>
          <w:sz w:val="16"/>
          <w:szCs w:val="16"/>
        </w:rPr>
      </w:pPr>
    </w:p>
    <w:p w14:paraId="074E22A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B943629" w14:textId="77777777" w:rsidR="00D4105E" w:rsidRPr="00E14102" w:rsidRDefault="00D4105E" w:rsidP="00E14102">
      <w:pPr>
        <w:autoSpaceDE w:val="0"/>
        <w:autoSpaceDN w:val="0"/>
        <w:adjustRightInd w:val="0"/>
        <w:jc w:val="both"/>
        <w:rPr>
          <w:iCs/>
          <w:color w:val="000000" w:themeColor="text1"/>
          <w:sz w:val="16"/>
          <w:szCs w:val="16"/>
        </w:rPr>
      </w:pPr>
    </w:p>
    <w:p w14:paraId="5FEEA6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июля 1935 в НИИ ВВС закончились гос. испытания СБ, которые проходили с 9 июля 1935. Самолет испытаний не прошел (7717, 16).</w:t>
      </w:r>
    </w:p>
    <w:p w14:paraId="61727949" w14:textId="77777777" w:rsidR="00D4105E" w:rsidRPr="00E14102" w:rsidRDefault="00D4105E" w:rsidP="00E14102">
      <w:pPr>
        <w:autoSpaceDE w:val="0"/>
        <w:autoSpaceDN w:val="0"/>
        <w:adjustRightInd w:val="0"/>
        <w:jc w:val="both"/>
        <w:rPr>
          <w:color w:val="000000" w:themeColor="text1"/>
          <w:sz w:val="16"/>
          <w:szCs w:val="16"/>
        </w:rPr>
      </w:pPr>
    </w:p>
    <w:p w14:paraId="7FA3C4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июля 1935 в ходе гос. испытаний СБ 2ИС-12 с 8:30 до 9:12 был выполнен полет на растряску бомб АФ-500 продолжительностью 35 мин., с 9:45 до 10:55 полет продолжительностью 1:05 на бомбометание корпусами АФ-500 с высоты 2000 м на скорости 300 км/час и стрельбу из задних установок - турельной и нижней, с 15:55 до 16:50 полет продолжительностью 0:45 на управляемость и стрельбу по земным целям, с 17:55 до 19:10 полет продолжительностью 1:05 на бомбометание корпусами АФ-250 с 500 м на скорости 300 км/час, и с 20:15 до 21:45 полет на скороподъемность до 8000 м и бомбометание (2913).</w:t>
      </w:r>
    </w:p>
    <w:p w14:paraId="48B1956E" w14:textId="77777777" w:rsidR="00D4105E" w:rsidRPr="00E14102" w:rsidRDefault="00D4105E" w:rsidP="00E14102">
      <w:pPr>
        <w:autoSpaceDE w:val="0"/>
        <w:autoSpaceDN w:val="0"/>
        <w:adjustRightInd w:val="0"/>
        <w:jc w:val="both"/>
        <w:rPr>
          <w:color w:val="000000" w:themeColor="text1"/>
          <w:sz w:val="16"/>
          <w:szCs w:val="16"/>
        </w:rPr>
      </w:pPr>
    </w:p>
    <w:p w14:paraId="5FBE6E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июля 1935 для руководителей партии и Правительства состоялся показ достижений воздушных спортсменов РПП (74,76). При гонках УТ-2 был первым, привлек внимание И.В.С. и А.С.Я. представил К.Е.В. А.С.Я. рассказал о трудностях в кроватной мастерской, положил руку на плече на снимке (74,78).</w:t>
      </w:r>
    </w:p>
    <w:p w14:paraId="27AFB5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Был большой перелет 34 легких машин между аэроклубами (74,79).</w:t>
      </w:r>
    </w:p>
    <w:p w14:paraId="1AE054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был последний приезд И.В.С. на Ходынку и потом ездили в Тушино (1836,113).</w:t>
      </w:r>
    </w:p>
    <w:p w14:paraId="2B1380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Демонстрировал и Гроховский - в т.ч. воздушный автобус (1848,72) и надувной планер за У-2 (2628,8).</w:t>
      </w:r>
    </w:p>
    <w:p w14:paraId="262699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Накрапывал дождь (1848,73).</w:t>
      </w:r>
    </w:p>
    <w:p w14:paraId="31ECC8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И.В.С. попросил В.Малюгина залезть в рекордный планер И.Уншлихт и тот не смог, т.к. был высоким (1848,73).</w:t>
      </w:r>
    </w:p>
    <w:p w14:paraId="63DCA1E4" w14:textId="77777777" w:rsidR="00D4105E" w:rsidRPr="00E14102" w:rsidRDefault="00D4105E" w:rsidP="00E14102">
      <w:pPr>
        <w:autoSpaceDE w:val="0"/>
        <w:autoSpaceDN w:val="0"/>
        <w:adjustRightInd w:val="0"/>
        <w:jc w:val="both"/>
        <w:rPr>
          <w:color w:val="000000" w:themeColor="text1"/>
          <w:sz w:val="16"/>
          <w:szCs w:val="16"/>
        </w:rPr>
      </w:pPr>
    </w:p>
    <w:p w14:paraId="223B9560" w14:textId="77777777" w:rsidR="00197738" w:rsidRPr="00E14102" w:rsidRDefault="00197738"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12 июля 1935 г. на показе новых легких самолетов в Тушино с АИР-6 ознакомились И.В. Сталин и К.Е. Ворошилов. «Воздушный «форд» продемонстрировали на земле и в воздухе. Сталин побеседовал с Яковлевым и Пионтковским (19099).</w:t>
      </w:r>
    </w:p>
    <w:p w14:paraId="62DE4CC7" w14:textId="77777777" w:rsidR="00197738" w:rsidRPr="00E14102" w:rsidRDefault="00197738" w:rsidP="00E14102">
      <w:pPr>
        <w:pStyle w:val="aa"/>
        <w:jc w:val="both"/>
        <w:rPr>
          <w:rFonts w:ascii="Times New Roman" w:hAnsi="Times New Roman" w:cs="Times New Roman"/>
          <w:color w:val="000000" w:themeColor="text1"/>
          <w:sz w:val="16"/>
          <w:szCs w:val="16"/>
          <w:lang w:val="ru-RU"/>
        </w:rPr>
      </w:pPr>
    </w:p>
    <w:p w14:paraId="053464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июля 1935 на параде в Тушино демонстрировали пневматический (надувной) планер П.И.Гроховского на буксире за У-2 (147,13).</w:t>
      </w:r>
    </w:p>
    <w:p w14:paraId="45FBC1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Пожалуй, правильнее не надувной - а планер-чайку П.А.Ивенсена Иосиф Уншлихт, который сейчас в Монино (1101,172).</w:t>
      </w:r>
    </w:p>
    <w:p w14:paraId="66323A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М.Алексеев на У-2 демонстрировал комический номер "полет ученика", а потом - посадку из штопора и врезался в воду Москвы-реки. И.В.С. дал свою машину, т.к. санитарная не завелась (2628,9).</w:t>
      </w:r>
    </w:p>
    <w:p w14:paraId="2FF550B5" w14:textId="77777777" w:rsidR="00D4105E" w:rsidRPr="00E14102" w:rsidRDefault="00D4105E" w:rsidP="00E14102">
      <w:pPr>
        <w:autoSpaceDE w:val="0"/>
        <w:autoSpaceDN w:val="0"/>
        <w:adjustRightInd w:val="0"/>
        <w:jc w:val="both"/>
        <w:rPr>
          <w:color w:val="000000" w:themeColor="text1"/>
          <w:sz w:val="16"/>
          <w:szCs w:val="16"/>
        </w:rPr>
      </w:pPr>
    </w:p>
    <w:p w14:paraId="71260A90" w14:textId="77777777" w:rsidR="00B22440" w:rsidRPr="00E14102" w:rsidRDefault="00B22440" w:rsidP="00E14102">
      <w:pPr>
        <w:jc w:val="both"/>
        <w:rPr>
          <w:color w:val="000000" w:themeColor="text1"/>
          <w:sz w:val="16"/>
          <w:szCs w:val="16"/>
        </w:rPr>
      </w:pPr>
      <w:r w:rsidRPr="00E14102">
        <w:rPr>
          <w:color w:val="000000" w:themeColor="text1"/>
          <w:sz w:val="16"/>
          <w:szCs w:val="16"/>
        </w:rPr>
        <w:t xml:space="preserve">12 июля в 1935 году на параде в Тушино продемонстрирован пневматический (надувной) планер П.И.Гроховского на буксире за «У-2». [В середине 1930-х, незадолго до Второй мировой, Советский Союз активно искал средства для доставки десантников к точке назначения. Самолеты для этой цели были дороговаты, а вот планеры </w:t>
      </w:r>
      <w:r w:rsidRPr="00E14102">
        <w:rPr>
          <w:color w:val="000000" w:themeColor="text1"/>
          <w:sz w:val="16"/>
          <w:szCs w:val="16"/>
        </w:rPr>
        <w:lastRenderedPageBreak/>
        <w:t>вполне подходили. Советские конструкторы откликнулись на призыв партии целым каскадом проектов, но всех удивил талантливый и эксцентричный инженер Павел Игнатьевич Гроховский, предложивший делать планеры… надувными. Заказ на изготовление новинки принял ленинградский завод «Красный треугольник», где вскоре и был сконструирован «летающий матрац». Первые испытания прошли успешно: летчик-испытатель, пристегнувший «пневматические крылья» (как официально именовалось изделие), благополучно оторвался от кузова набирающего скорость грузовика и пролетел несколько десятков метров. Затем задание усложнили: грузовик буксировал планериста, как воздушного змея, – на привязи. Когда во время очередного теста при приземлении испытатель не удержался на ногах и упал на бок, то надутое крыло, самортизировав, мягко подняло комсомольца на ноги – тот не получил даже ушиба. «Безопасность на все сто! – засмеялся наблюдавший за своим детищем Гроховский. – Пожалуй, на нем можно будет летать даже без парашюта…» От «летающего матраца» было решено перейти к полноценному планеру. Аппарат спроектировали в рекордные сроки и передали для постройки на ленинградский завод «Промтехника». Готовая модель отличалась простотой: она не имела даже элеронов и рулей – управление совершалось перекосом консолей крыла и хвостового оперения (наклоном корпуса пилота в ту или иную сторону– так же, как делали братья Райт на своем первом аэроплане). На этом планере в воздух поднимались и сам Гроховский, и целый ряд сотрудников бюро.12 июля 1935 года аппарат был официально продемонстрирован членам правительства на параде в Тушино. Газеты поспешили дать планеру весьма лестную оценку, однако дело дальше не пошло. Готовый планер был передан МАИ для изучения и тренировки, но почти сразу попал на склад. Гроховский был бы рад продолжать изучение столь перспективного направления, но получил отказ в финансировании. Официальное решение гласило: «Вы доказали, что подобные аппараты летать могут, но, несмотря на их транспортабельность на земле, в воздухе они непригодны для десантников из-за громоздкости и недостаточной прочности». Действительно, для десанта планер не годился, зато был бы незаменим для разведки, спецопераций или базирования на подводных лодках и кораблях. Перспективную тему закрыли на полпути (14950).</w:t>
      </w:r>
    </w:p>
    <w:p w14:paraId="5B703C35" w14:textId="77777777" w:rsidR="00B22440" w:rsidRPr="00E14102" w:rsidRDefault="00B22440" w:rsidP="00E14102">
      <w:pPr>
        <w:jc w:val="both"/>
        <w:rPr>
          <w:color w:val="000000" w:themeColor="text1"/>
          <w:sz w:val="16"/>
          <w:szCs w:val="16"/>
        </w:rPr>
      </w:pPr>
    </w:p>
    <w:p w14:paraId="332B74C0" w14:textId="77777777" w:rsidR="00195837" w:rsidRPr="00E14102" w:rsidRDefault="00195837" w:rsidP="00E14102">
      <w:pPr>
        <w:jc w:val="both"/>
        <w:rPr>
          <w:color w:val="0070C0"/>
          <w:sz w:val="16"/>
          <w:szCs w:val="16"/>
        </w:rPr>
      </w:pPr>
      <w:r w:rsidRPr="00E14102">
        <w:rPr>
          <w:color w:val="0070C0"/>
          <w:sz w:val="16"/>
          <w:szCs w:val="16"/>
        </w:rPr>
        <w:t>12 июля 1935 - На параде в Тушино продемонстрирован пневматический (надувной) планер П.И. Гроховского на буксире за У-2;</w:t>
      </w:r>
    </w:p>
    <w:p w14:paraId="018318C7" w14:textId="77777777" w:rsidR="00195837" w:rsidRPr="00E14102" w:rsidRDefault="00195837" w:rsidP="00E14102">
      <w:pPr>
        <w:jc w:val="both"/>
        <w:rPr>
          <w:color w:val="0070C0"/>
          <w:sz w:val="16"/>
          <w:szCs w:val="16"/>
        </w:rPr>
      </w:pPr>
      <w:r w:rsidRPr="00E14102">
        <w:rPr>
          <w:color w:val="0070C0"/>
          <w:sz w:val="16"/>
          <w:szCs w:val="16"/>
        </w:rPr>
        <w:t>[В середине 1930-х, незадолго до Второй мировой, Советский Союз активно искал средства для доставки десантников к точке назначения. Самолеты для этой цели были дороговаты, а вот планеры вполне подходили. Советские конструкторы откликнулись на призыв партии целым каскадом проектов, но всех удивил талантливый и эксцентричный инженер Павел Игнатьевич Гроховский, предложивший делать планеры… надувными.</w:t>
      </w:r>
    </w:p>
    <w:p w14:paraId="252AC8B0" w14:textId="1D5A2FFC" w:rsidR="00195837" w:rsidRPr="00E14102" w:rsidRDefault="00195837" w:rsidP="00E14102">
      <w:pPr>
        <w:jc w:val="both"/>
        <w:rPr>
          <w:color w:val="0070C0"/>
          <w:sz w:val="16"/>
          <w:szCs w:val="16"/>
        </w:rPr>
      </w:pPr>
      <w:r w:rsidRPr="00E14102">
        <w:rPr>
          <w:color w:val="0070C0"/>
          <w:sz w:val="16"/>
          <w:szCs w:val="16"/>
        </w:rPr>
        <w:t>Заказ на изготовление новинки принял ленинградский завод «Красный треугольник», где вскоре и был сконструирован «летающий матрац». Первые испытания прошли успешно: летчик-испытатель, пристегнувший «пневматические крылья» (как официально именовалось изделие), благополучно оторвался от кузова набирающего скорость грузовика и пролетел несколько десятков метров. Затем задание усложнили: грузовик буксировал планериста, как воздушного змея, – на привязи. Когда во время очередного теста при приземлении испытатель не удержался на ногах и упал на бок, то надутое крыло, самортизировав, мягко подняло комсомольца на ноги – тот не получил даже ушиба. «Безопасность на все сто!– засмеялся наблюдавший за своим детищем Гроховский. – Пожалуй, на нем можно будет летать даже без парашюта…»</w:t>
      </w:r>
    </w:p>
    <w:p w14:paraId="7561D7BC" w14:textId="77777777" w:rsidR="00195837" w:rsidRPr="00E14102" w:rsidRDefault="00195837" w:rsidP="00E14102">
      <w:pPr>
        <w:jc w:val="both"/>
        <w:rPr>
          <w:color w:val="0070C0"/>
          <w:sz w:val="16"/>
          <w:szCs w:val="16"/>
        </w:rPr>
      </w:pPr>
      <w:r w:rsidRPr="00E14102">
        <w:rPr>
          <w:color w:val="0070C0"/>
          <w:sz w:val="16"/>
          <w:szCs w:val="16"/>
        </w:rPr>
        <w:t>От «летающего матраца» было решено перейти к полноценному планеру. Аппарат спроектировали в рекордные сроки и передали для постройки на ленинградский завод «Промтехника». Готовая модель отличалась простотой: она не имела даже элеронов и рулей – управление совершалось перекосом консолей крыла и хвостового оперения (наклоном корпуса пилота в ту или иную сторону– так же, как делали братья Райт на своем первом аэроплане). На этом планере в воздух поднимались и сам Гроховский, и целый ряд сотрудников бюро.12 июля 1935 года аппарат был официально продемонстрирован членам правительства на параде в Тушино. Газеты поспешили дать планеру весьма лестную оценку, однако дело дальше не пошло. Готовый планер был передан МАИ для изучения и тренировки, но почти сразу попал на склад. Гроховский был бы рад продолжать изучение столь перспективного направления, но получил отказ в финансировании. Официальное решение гласило: «Вы доказали, что подобные аппараты летать могут, но, несмотря на их транспортабельность на земле, в воздухе они непригодны для десантников из-за громоздкости и недостаточной прочности». Действительно, для десанта планер не годился, зато был бы незаменим для разведки, спецопераций или базирования на подводных лодках и кораблях (22432).</w:t>
      </w:r>
    </w:p>
    <w:p w14:paraId="459E324B" w14:textId="77777777" w:rsidR="00195837" w:rsidRPr="00E14102" w:rsidRDefault="00195837" w:rsidP="00E14102">
      <w:pPr>
        <w:jc w:val="both"/>
        <w:rPr>
          <w:color w:val="0070C0"/>
          <w:sz w:val="16"/>
          <w:szCs w:val="16"/>
        </w:rPr>
      </w:pPr>
    </w:p>
    <w:p w14:paraId="60FC4FC5" w14:textId="77777777" w:rsidR="00195837" w:rsidRPr="00E14102" w:rsidRDefault="00195837" w:rsidP="00E14102">
      <w:pPr>
        <w:jc w:val="both"/>
        <w:rPr>
          <w:color w:val="0070C0"/>
          <w:sz w:val="16"/>
          <w:szCs w:val="16"/>
        </w:rPr>
      </w:pPr>
      <w:r w:rsidRPr="00E14102">
        <w:rPr>
          <w:color w:val="0070C0"/>
          <w:sz w:val="16"/>
          <w:szCs w:val="16"/>
        </w:rPr>
        <w:t>12 июля 1935 года члены Политбюро ЦК ВКП(б) во главе с И.В. Сталиным посетили ЦАК, а 6 августа клуб посетили делегаты конгресса Коминтерна. Полеты летчиков и прыжки парашютистов получили высокую оценку и одобрение руководителей страны (Из отчета о работе Центрального аэроклуба им. Косарева за январь-август 1935 г. // РГАСПИ. Ф.М – 1. Оп. 23. Д. 1137. Л. 30.). Председатель Исполкома Коминтерна Г. Димитров сказал: «Крылатая страна воспитывает крылатых храбрецов» (Гости о слете // Красная Звезда. 1935. 8 августа. С. 4). (21402).</w:t>
      </w:r>
    </w:p>
    <w:p w14:paraId="4A8D2151" w14:textId="77777777" w:rsidR="00195837" w:rsidRPr="00E14102" w:rsidRDefault="00195837" w:rsidP="00E14102">
      <w:pPr>
        <w:jc w:val="both"/>
        <w:rPr>
          <w:color w:val="0070C0"/>
          <w:sz w:val="16"/>
          <w:szCs w:val="16"/>
        </w:rPr>
      </w:pPr>
    </w:p>
    <w:p w14:paraId="7BC2AD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июля 1935 л В.И.Чулков и И.И.Нусберг летали на АНТ-14 в Киев на 15-летие освобождения города от белополяков. Садился в Харькове, забрал делегацию рабочих и через 3 дня вернулся в Москву (8863,8).</w:t>
      </w:r>
    </w:p>
    <w:p w14:paraId="76951E13" w14:textId="77777777" w:rsidR="00D4105E" w:rsidRPr="00E14102" w:rsidRDefault="00D4105E" w:rsidP="00E14102">
      <w:pPr>
        <w:autoSpaceDE w:val="0"/>
        <w:autoSpaceDN w:val="0"/>
        <w:adjustRightInd w:val="0"/>
        <w:jc w:val="both"/>
        <w:rPr>
          <w:color w:val="000000" w:themeColor="text1"/>
          <w:sz w:val="16"/>
          <w:szCs w:val="16"/>
        </w:rPr>
      </w:pPr>
    </w:p>
    <w:p w14:paraId="51AFA5A1" w14:textId="77777777" w:rsidR="00197738" w:rsidRPr="00E14102" w:rsidRDefault="00197738" w:rsidP="00E14102">
      <w:pPr>
        <w:jc w:val="both"/>
        <w:rPr>
          <w:color w:val="000000" w:themeColor="text1"/>
          <w:sz w:val="16"/>
          <w:szCs w:val="16"/>
        </w:rPr>
      </w:pPr>
      <w:r w:rsidRPr="00E14102">
        <w:rPr>
          <w:color w:val="000000" w:themeColor="text1"/>
          <w:sz w:val="16"/>
          <w:szCs w:val="16"/>
        </w:rPr>
        <w:t>12 июля 1935 года, запуск в крымском Коктебеле в ходе XI Всесоюзного слёта планеристов планера ПИ-6 «Иосиф Уншлихт». Пилотировал аппарат Дмитрий Александрович Кошиц (1902-1943) – советский планерист-рекордсмен, краском ВВС РККА. Фото ИНСАРОВА. Оригинал данного фотоплаката хранится в фондах Федерального государственного бюджетного учреждения культуры «Государственный центральный музей современной истории России»: номер в Госкаталоге – 5443689; номер по ГИК (КП) – 19098/37.</w:t>
      </w:r>
    </w:p>
    <w:p w14:paraId="5A71EC86" w14:textId="77777777" w:rsidR="00197738" w:rsidRPr="00E14102" w:rsidRDefault="00197738" w:rsidP="00E14102">
      <w:pPr>
        <w:jc w:val="both"/>
        <w:rPr>
          <w:color w:val="000000" w:themeColor="text1"/>
          <w:sz w:val="16"/>
          <w:szCs w:val="16"/>
        </w:rPr>
      </w:pPr>
      <w:r w:rsidRPr="00E14102">
        <w:rPr>
          <w:color w:val="000000" w:themeColor="text1"/>
          <w:sz w:val="16"/>
          <w:szCs w:val="16"/>
        </w:rPr>
        <w:t>В качестве справки: планер ПИ-6 «Иосиф Уншлихт» был построен авиаконструктора Павлом Альбертовичем Ивенсеном (1908-1999) в 1934 году по заказу Центрального совета Осоавиахима и НИИ ГВФ. Осоебенностью планера были крылья типа «Чайка». По мнению специалистов, планер ПИ-6 оказал определённое влияние на развитие таких параметров конструкции отечественных планеров, как удлинение крыла и относительная нагрузка на крыло, которые существенно превосходили одноименные параметры большинства планеров, современников ПИ-6. В настоящее время планер ПИ-6 является одним из экспонатов в хранилище музея ВВС в Монино, но, правда, он серьёзно пострадал в результате аварийного обвала крыши ангара, в котором хранился (18092).</w:t>
      </w:r>
    </w:p>
    <w:p w14:paraId="5F8BC51E" w14:textId="77777777" w:rsidR="00197738" w:rsidRPr="00E14102" w:rsidRDefault="00197738" w:rsidP="00E14102">
      <w:pPr>
        <w:jc w:val="both"/>
        <w:rPr>
          <w:color w:val="000000" w:themeColor="text1"/>
          <w:sz w:val="16"/>
          <w:szCs w:val="16"/>
        </w:rPr>
      </w:pPr>
    </w:p>
    <w:p w14:paraId="1015F415" w14:textId="77777777" w:rsidR="00B2244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3541777C" w14:textId="77777777" w:rsidR="00B22440" w:rsidRPr="00E14102" w:rsidRDefault="00B22440" w:rsidP="00E14102">
      <w:pPr>
        <w:autoSpaceDE w:val="0"/>
        <w:autoSpaceDN w:val="0"/>
        <w:adjustRightInd w:val="0"/>
        <w:jc w:val="both"/>
        <w:rPr>
          <w:iCs/>
          <w:color w:val="000000" w:themeColor="text1"/>
          <w:sz w:val="16"/>
          <w:szCs w:val="16"/>
        </w:rPr>
      </w:pPr>
    </w:p>
    <w:p w14:paraId="2B91B02E" w14:textId="77777777" w:rsidR="00B22440" w:rsidRPr="00E14102" w:rsidRDefault="00B22440" w:rsidP="00E14102">
      <w:pPr>
        <w:jc w:val="both"/>
        <w:rPr>
          <w:color w:val="000000" w:themeColor="text1"/>
          <w:sz w:val="16"/>
          <w:szCs w:val="16"/>
        </w:rPr>
      </w:pPr>
      <w:r w:rsidRPr="00E14102">
        <w:rPr>
          <w:color w:val="000000" w:themeColor="text1"/>
          <w:sz w:val="16"/>
          <w:szCs w:val="16"/>
        </w:rPr>
        <w:t>12 июля 1935 г. согласно приказ И. Якира № 0112, в ВВС КВО, штурманская служба «не стоит на должной высоте, а в некоторых частях поставлена совсем плохо»; проверками Я. Алксниса и флагштурмана воздушных сил КВО выявлено, что пилоты Р-5 и И-5 «не знают особенностей самолётовождения на малых высотах, в затруднённых условиях и на одноместном са[молё]те» (15803).</w:t>
      </w:r>
    </w:p>
    <w:p w14:paraId="0F20B047" w14:textId="77777777" w:rsidR="00B22440" w:rsidRPr="00E14102" w:rsidRDefault="00B22440" w:rsidP="00E14102">
      <w:pPr>
        <w:jc w:val="both"/>
        <w:rPr>
          <w:color w:val="000000" w:themeColor="text1"/>
          <w:sz w:val="16"/>
          <w:szCs w:val="16"/>
        </w:rPr>
      </w:pPr>
    </w:p>
    <w:p w14:paraId="741745E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3BE23611" w14:textId="77777777" w:rsidR="00D4105E" w:rsidRPr="00E14102" w:rsidRDefault="00D4105E" w:rsidP="00E14102">
      <w:pPr>
        <w:autoSpaceDE w:val="0"/>
        <w:autoSpaceDN w:val="0"/>
        <w:adjustRightInd w:val="0"/>
        <w:jc w:val="both"/>
        <w:rPr>
          <w:iCs/>
          <w:color w:val="000000" w:themeColor="text1"/>
          <w:sz w:val="16"/>
          <w:szCs w:val="16"/>
        </w:rPr>
      </w:pPr>
    </w:p>
    <w:p w14:paraId="704101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июля 1935 были установлены дип. отношения с Бельгией (1348,243).</w:t>
      </w:r>
    </w:p>
    <w:p w14:paraId="08D0E44D" w14:textId="77777777" w:rsidR="00D4105E" w:rsidRPr="00E14102" w:rsidRDefault="00D4105E" w:rsidP="00E14102">
      <w:pPr>
        <w:autoSpaceDE w:val="0"/>
        <w:autoSpaceDN w:val="0"/>
        <w:adjustRightInd w:val="0"/>
        <w:jc w:val="both"/>
        <w:rPr>
          <w:color w:val="000000" w:themeColor="text1"/>
          <w:sz w:val="16"/>
          <w:szCs w:val="16"/>
        </w:rPr>
      </w:pPr>
    </w:p>
    <w:p w14:paraId="00F26DEC" w14:textId="77777777" w:rsidR="00195837" w:rsidRPr="00E14102" w:rsidRDefault="00195837"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F6FB8E5" w14:textId="77777777" w:rsidR="00195837" w:rsidRPr="00E14102" w:rsidRDefault="00195837" w:rsidP="00E14102">
      <w:pPr>
        <w:autoSpaceDE w:val="0"/>
        <w:autoSpaceDN w:val="0"/>
        <w:adjustRightInd w:val="0"/>
        <w:jc w:val="both"/>
        <w:rPr>
          <w:iCs/>
          <w:color w:val="000000" w:themeColor="text1"/>
          <w:sz w:val="16"/>
          <w:szCs w:val="16"/>
        </w:rPr>
      </w:pPr>
    </w:p>
    <w:p w14:paraId="3170EF4A" w14:textId="77777777" w:rsidR="00195837" w:rsidRPr="00E14102" w:rsidRDefault="00195837" w:rsidP="00E14102">
      <w:pPr>
        <w:jc w:val="both"/>
        <w:rPr>
          <w:color w:val="0070C0"/>
          <w:sz w:val="16"/>
          <w:szCs w:val="16"/>
        </w:rPr>
      </w:pPr>
      <w:r w:rsidRPr="00E14102">
        <w:rPr>
          <w:color w:val="0070C0"/>
          <w:sz w:val="16"/>
          <w:szCs w:val="16"/>
        </w:rPr>
        <w:t>12 июля 1935 совершая полет на биплане Waco JYM в Чикаго, штат Иллинойс, пилот Northwest Airways Мал Фрибург видит, что эстакада железной дороги Чикаго, Берлингтон и Куинси возле Тревино, штат Висконсин, горит вскоре после того, как он пролетел над пассажирским экспрессом Берлингтон Блэкхок, направлявшимся к эстакаде. Он летит на малой высоте обратно по рельсам и делает три низких прохода, чтобы предупредить поезд, мигая посадочными огнями и сбрасывая посадочные сигнальные ракеты. Поезд останавливается всего в 400 ярдах (366 м) от горящей эстакады (20805).</w:t>
      </w:r>
    </w:p>
    <w:p w14:paraId="5498B1DA" w14:textId="77777777" w:rsidR="00195837" w:rsidRPr="00E14102" w:rsidRDefault="00195837" w:rsidP="00E14102">
      <w:pPr>
        <w:jc w:val="both"/>
        <w:rPr>
          <w:color w:val="0070C0"/>
          <w:sz w:val="16"/>
          <w:szCs w:val="16"/>
        </w:rPr>
      </w:pPr>
    </w:p>
    <w:p w14:paraId="50D31C8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DFAA74F" w14:textId="77777777" w:rsidR="00D4105E" w:rsidRPr="00E14102" w:rsidRDefault="00D4105E" w:rsidP="00E14102">
      <w:pPr>
        <w:autoSpaceDE w:val="0"/>
        <w:autoSpaceDN w:val="0"/>
        <w:adjustRightInd w:val="0"/>
        <w:jc w:val="both"/>
        <w:rPr>
          <w:iCs/>
          <w:color w:val="000000" w:themeColor="text1"/>
          <w:sz w:val="16"/>
          <w:szCs w:val="16"/>
        </w:rPr>
      </w:pPr>
    </w:p>
    <w:p w14:paraId="23F15E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июля 1935 гос. испытания СБ 2ИС-12 были прерваны и до 17 шел ремонт (2913).</w:t>
      </w:r>
    </w:p>
    <w:p w14:paraId="7DD5C8DA" w14:textId="77777777" w:rsidR="00D4105E" w:rsidRPr="00E14102" w:rsidRDefault="00D4105E" w:rsidP="00E14102">
      <w:pPr>
        <w:autoSpaceDE w:val="0"/>
        <w:autoSpaceDN w:val="0"/>
        <w:adjustRightInd w:val="0"/>
        <w:jc w:val="both"/>
        <w:rPr>
          <w:color w:val="000000" w:themeColor="text1"/>
          <w:sz w:val="16"/>
          <w:szCs w:val="16"/>
        </w:rPr>
      </w:pPr>
    </w:p>
    <w:p w14:paraId="0D8755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июля 1935 во время отстрела пулеметов наСБ на полигоне неожиданно упало давление в бензосистеме. Вследствие этого В.А. Степанчонок совершил вынужденную посадку у деревни Горки. Ни самолет, ни экипаж при этом не пострадали (9501).</w:t>
      </w:r>
    </w:p>
    <w:p w14:paraId="1BDC3EB3" w14:textId="77777777" w:rsidR="00D4105E" w:rsidRPr="00E14102" w:rsidRDefault="00D4105E" w:rsidP="00E14102">
      <w:pPr>
        <w:autoSpaceDE w:val="0"/>
        <w:autoSpaceDN w:val="0"/>
        <w:adjustRightInd w:val="0"/>
        <w:jc w:val="both"/>
        <w:rPr>
          <w:color w:val="000000" w:themeColor="text1"/>
          <w:sz w:val="16"/>
          <w:szCs w:val="16"/>
        </w:rPr>
      </w:pPr>
    </w:p>
    <w:p w14:paraId="6B5E23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июля 1935 при отстреле пулеметов СБ-2РЦ на полигоне неожиданно упало давление в бензосистеме. Пилот В.А. Степанчонок совершил вынужденную посадку у деревни Горки в 2 км от аэродрома. Ни самолет, ни экипаж не пострадали (7643).</w:t>
      </w:r>
    </w:p>
    <w:p w14:paraId="15797B5A" w14:textId="77777777" w:rsidR="00D4105E" w:rsidRPr="00E14102" w:rsidRDefault="00D4105E" w:rsidP="00E14102">
      <w:pPr>
        <w:autoSpaceDE w:val="0"/>
        <w:autoSpaceDN w:val="0"/>
        <w:adjustRightInd w:val="0"/>
        <w:jc w:val="both"/>
        <w:rPr>
          <w:color w:val="000000" w:themeColor="text1"/>
          <w:sz w:val="16"/>
          <w:szCs w:val="16"/>
        </w:rPr>
      </w:pPr>
    </w:p>
    <w:p w14:paraId="707DF01A" w14:textId="77777777" w:rsidR="00B22440" w:rsidRPr="00E14102" w:rsidRDefault="00B22440" w:rsidP="00E14102">
      <w:pPr>
        <w:jc w:val="both"/>
        <w:rPr>
          <w:color w:val="000000" w:themeColor="text1"/>
          <w:sz w:val="16"/>
          <w:szCs w:val="16"/>
        </w:rPr>
      </w:pPr>
      <w:r w:rsidRPr="00E14102">
        <w:rPr>
          <w:color w:val="000000" w:themeColor="text1"/>
          <w:sz w:val="16"/>
          <w:szCs w:val="16"/>
        </w:rPr>
        <w:t>13 июля в 1935 году у опытного скоростного бомбардировщика «СБ-2РЦ» («АНТ-40») во время отстрела пулеметов на полигоне неожиданно упало давление в бензосистеме. Вследствие этого В.А.Степанчонок совершил вынужденную посадку у деревни Горки. Ни самолет, ни экипаж при этом не пострадали (14951).</w:t>
      </w:r>
    </w:p>
    <w:p w14:paraId="2A710F6E" w14:textId="77777777" w:rsidR="00B22440" w:rsidRPr="00E14102" w:rsidRDefault="00B22440" w:rsidP="00E14102">
      <w:pPr>
        <w:jc w:val="both"/>
        <w:rPr>
          <w:color w:val="000000" w:themeColor="text1"/>
          <w:sz w:val="16"/>
          <w:szCs w:val="16"/>
        </w:rPr>
      </w:pPr>
    </w:p>
    <w:p w14:paraId="4E69BD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13 июля 1935 г. окончательные чертежи морского варианта ракетных осветительных парашютных снарядов РС-132-О модели 140500 представили в НТО-1 ОБАА АУ РККА Однако, там их по каким-то причинам не утвердили. Правда, в планах РНИИ на 1937 г. упоминается РОСС-132 для УМС. Что любопытно, на Шлиссельбургском пороховом заводе №6 для этих боеприпасов заказали шашки рецептуры ПТП, но габаритами 48/8-57,5 мм. Здесь либо допущена опечатка, и цилиндрические шашки должны были иметь внешний диаметр 40, а не 48 мм, либо морской ва</w:t>
      </w:r>
      <w:r w:rsidRPr="00E14102">
        <w:rPr>
          <w:color w:val="000000" w:themeColor="text1"/>
          <w:sz w:val="16"/>
          <w:szCs w:val="16"/>
        </w:rPr>
        <w:softHyphen/>
        <w:t>риант боеприпасов оснащали «слабым двигателем» с многорядным че-тырехшашечным составным РЗ. Что тоже похоже на истину, поскольку боеприпасам подобного назначения не требовалось летать на дальность 6000 м.</w:t>
      </w:r>
    </w:p>
    <w:p w14:paraId="499FC54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Кроме того, в 1935 г. в РНИИ проводили работу по темам объектов 27фм и 27 м. Это была заказанная Управлением морских сил РККА 245-мм корабельная ракетная система (боеприпас и пусковая к нему). Тогда заказ на изготовление партии ракетно-фугасных снарядов размес</w:t>
      </w:r>
      <w:r w:rsidRPr="00E14102">
        <w:rPr>
          <w:color w:val="000000" w:themeColor="text1"/>
          <w:sz w:val="16"/>
          <w:szCs w:val="16"/>
        </w:rPr>
        <w:softHyphen/>
        <w:t>тили на Сумском машиностроительном заводе, но в ходе приемки пред</w:t>
      </w:r>
      <w:r w:rsidRPr="00E14102">
        <w:rPr>
          <w:color w:val="000000" w:themeColor="text1"/>
          <w:sz w:val="16"/>
          <w:szCs w:val="16"/>
        </w:rPr>
        <w:softHyphen/>
        <w:t>ставители РНИИ забраковали ее всю полностью. Моряки, не дожидаясь разбирательств между заводчанами и проектировщиками в арбитражном суде, изъяли документацию и сами передали заказ на изготовление РФС-245 Усманскому машиностроительному заводу (11402).</w:t>
      </w:r>
    </w:p>
    <w:p w14:paraId="1160570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F42D41F" w14:textId="77777777" w:rsidR="00195837" w:rsidRPr="00E14102" w:rsidRDefault="00195837" w:rsidP="00E14102">
      <w:pPr>
        <w:jc w:val="both"/>
        <w:rPr>
          <w:color w:val="0070C0"/>
          <w:sz w:val="16"/>
          <w:szCs w:val="16"/>
        </w:rPr>
      </w:pPr>
      <w:r w:rsidRPr="00E14102">
        <w:rPr>
          <w:color w:val="0070C0"/>
          <w:sz w:val="16"/>
          <w:szCs w:val="16"/>
        </w:rPr>
        <w:t>13 июля 1935 г. впервые в истории мирового воздухоплавания «СССР В-1» (командир Дёмин) принял на борт дирижа</w:t>
      </w:r>
      <w:r w:rsidRPr="00E14102">
        <w:rPr>
          <w:color w:val="0070C0"/>
          <w:sz w:val="16"/>
          <w:szCs w:val="16"/>
        </w:rPr>
        <w:softHyphen/>
        <w:t>бля человека с воды (20120).</w:t>
      </w:r>
    </w:p>
    <w:p w14:paraId="41D092D6" w14:textId="77777777" w:rsidR="00195837" w:rsidRPr="00E14102" w:rsidRDefault="00195837" w:rsidP="00E14102">
      <w:pPr>
        <w:jc w:val="both"/>
        <w:rPr>
          <w:color w:val="0070C0"/>
          <w:sz w:val="16"/>
          <w:szCs w:val="16"/>
        </w:rPr>
      </w:pPr>
    </w:p>
    <w:p w14:paraId="37F6F19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79F3674" w14:textId="77777777" w:rsidR="00D4105E" w:rsidRPr="00E14102" w:rsidRDefault="00D4105E" w:rsidP="00E14102">
      <w:pPr>
        <w:autoSpaceDE w:val="0"/>
        <w:autoSpaceDN w:val="0"/>
        <w:adjustRightInd w:val="0"/>
        <w:jc w:val="both"/>
        <w:rPr>
          <w:iCs/>
          <w:color w:val="000000" w:themeColor="text1"/>
          <w:sz w:val="16"/>
          <w:szCs w:val="16"/>
        </w:rPr>
      </w:pPr>
    </w:p>
    <w:p w14:paraId="51F8B8A3" w14:textId="77777777" w:rsidR="00B22440" w:rsidRPr="00E14102" w:rsidRDefault="00B22440" w:rsidP="00E14102">
      <w:pPr>
        <w:pStyle w:val="rtejustify"/>
        <w:spacing w:before="0" w:after="0"/>
        <w:rPr>
          <w:color w:val="000000" w:themeColor="text1"/>
          <w:sz w:val="16"/>
          <w:szCs w:val="16"/>
        </w:rPr>
      </w:pPr>
      <w:r w:rsidRPr="00E14102">
        <w:rPr>
          <w:rStyle w:val="a6"/>
          <w:bCs/>
          <w:i w:val="0"/>
          <w:color w:val="000000" w:themeColor="text1"/>
          <w:sz w:val="16"/>
          <w:szCs w:val="16"/>
        </w:rPr>
        <w:t>13 июля 1935 вышел приказ НКТП № 124сс.</w:t>
      </w:r>
      <w:r w:rsidRPr="00E14102">
        <w:rPr>
          <w:color w:val="000000" w:themeColor="text1"/>
          <w:sz w:val="16"/>
          <w:szCs w:val="16"/>
        </w:rPr>
        <w:t xml:space="preserve"> О мерах по обеспечению работ ОКБ № 2 ГВМУ по автоматическому оружию. (РГАЭ. Ф. 7297. Оп. 38. Д. 171. Л. 195) (15246).</w:t>
      </w:r>
    </w:p>
    <w:p w14:paraId="4DD01D68" w14:textId="77777777" w:rsidR="00B22440" w:rsidRPr="00E14102" w:rsidRDefault="00B22440" w:rsidP="00E14102">
      <w:pPr>
        <w:pStyle w:val="rtejustify"/>
        <w:spacing w:before="0" w:after="0"/>
        <w:rPr>
          <w:color w:val="000000" w:themeColor="text1"/>
          <w:sz w:val="16"/>
          <w:szCs w:val="16"/>
        </w:rPr>
      </w:pPr>
    </w:p>
    <w:p w14:paraId="4404F0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июля 1935 г. по пр. ВООМП № 99 и по пр. ГВМУ № 97 от 7.07.1935 г. строительство ЗОМЗ (Завод № 355 НКВ, МОП, Загорский оптико-механический завод (ЗОМЗ) НКТП, НКОП, НКВ, МОП, ОАО «ЗОМЗ» /г. Загорск;  г. Томск;  г. Загорск/ /141300  г. Сергиев Посад Московской обл. пр. Красной Армии, 212В тел. 69-390/) включено в состав ВООМП. Пр. ВООМП № 116 от 20.10.1935 г. требовалось к 15.11.1935 г. приступить к закладке оптического цеха; к 25.10.1935 г. организовать Опытную мастерскую, обеспечив начало ее работы к 5.11.1935 г. и немедленно организовать работы по освоению трех типов оптических приборов. В 12.1936 г. завод передан в ЖОП. По пр. № 09с от 23.01.1937 г. завод передан в ведение 9ГУ НКОП. В 01.1937 г. планировалось переименовать ЗОМЗ в завод № 230, но это не было реализовано. В 02.1939 г. передан из 9ГУ НКОП в ведение 9ГУ НКВ и получил статус особорежимного предприятия, а к 05.1940 г. переименован в завод № 355. в 06.1940 г. - в ведении 2ГУ НКВ.</w:t>
      </w:r>
    </w:p>
    <w:p w14:paraId="0C8F2B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Освоен серийный выпуск наблюдательных оптико-механических приборов для армии.</w:t>
      </w:r>
    </w:p>
    <w:p w14:paraId="6B7BE2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 № 295с от 7.08.1938 г. необходимо было ввести в эксплуатацию в 1938 г.: корпус № 2 - к 25 августа, корпус № 1 - в 12.1938 г.</w:t>
      </w:r>
    </w:p>
    <w:p w14:paraId="0AA9C9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исполнение решения правительства № 194сс от 5.08.1938 г. пр. № 341сс от 28.08.1938 г. заводу поручено к 10.08.1938 г. изготовить 5 опытных прицелов ОП-2-</w:t>
      </w:r>
      <w:r w:rsidRPr="00E14102">
        <w:rPr>
          <w:color w:val="000000" w:themeColor="text1"/>
          <w:sz w:val="16"/>
          <w:szCs w:val="16"/>
          <w:lang w:val="en-US"/>
        </w:rPr>
        <w:t>JI</w:t>
      </w:r>
      <w:r w:rsidRPr="00E14102">
        <w:rPr>
          <w:color w:val="000000" w:themeColor="text1"/>
          <w:sz w:val="16"/>
          <w:szCs w:val="16"/>
        </w:rPr>
        <w:t>.</w:t>
      </w:r>
    </w:p>
    <w:p w14:paraId="2E913D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1941 г. после начала войны эвакуирован в Томск и продолжил действовать под прежним номером. В 1943 г. в состав завода № 355 влит завод № 353 НКВ. В соответствии с пост. ГКО № 3824 от 27.07.1943 г. начата реэвакуация завода на прежнее место в Загорск, в 1944 г. перебазирование завода № 355 было завершено.</w:t>
      </w:r>
    </w:p>
    <w:p w14:paraId="14E1CD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войны освоены новые направления: офтальмологические приборы, лабораторные, аналитические и общепромышленные приборы, ТНП (бинокли, лупы). В 1945 г. подготовлен к выпуску оптический прицел фирмы «Цейс-Икон» под шифром «ПВС», но в 1946 г. производство передано на завод № 297.</w:t>
      </w:r>
    </w:p>
    <w:p w14:paraId="358599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(2002 г.): бинокли: спецназначения, ночного видения, широкоугольные, призменные, астрономические; дневные и ночные прицелы; тепловизионная техника; поляриметры, фотометры; медоборудование.</w:t>
      </w:r>
    </w:p>
    <w:p w14:paraId="6150AC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1990 г.- в ведении МОП. По Указу Президента РФ № 1009 от 4.08.2004 г. вошло в число стратегических оборонных предприятий.</w:t>
      </w:r>
    </w:p>
    <w:p w14:paraId="6F0513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(-27.03.1937 г.)- С.М. Будник, (27.03.1937-8.01.1938 г.)- Е.Я. Евгеньев (снят); и.о. (1938 г.)- Н.С. Бессонов; (1938 г.)- Н.С. Бессонов, (29.07.1938-41 г.-&gt; А.И. Песков. Гендиректор (2002 г.)- Л.Ф. Сочилов.</w:t>
      </w:r>
    </w:p>
    <w:p w14:paraId="30C6EE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строительства (10.1935 г.)- Будник, (-8.01.1938 г.)- Е.Я. Евгеньев, (29.07.1938 г.-)- А.И. Песков. Зам. директора (15.12.1937 г.-)- Н.С. Бессонов.</w:t>
      </w:r>
    </w:p>
    <w:p w14:paraId="5AB2BD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(15.12.1937 г.-)- Н.С. Бессонов, (2002 г.)- В.И. Душин.</w:t>
      </w:r>
    </w:p>
    <w:p w14:paraId="161E8F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по коммерческим вопросам (2002 г.)- А.И. Волга; по финансам (2002 г.)- И.Д. Норов; по производству и экономике (2002 г.)- А.П. Дамарацкий.</w:t>
      </w:r>
    </w:p>
    <w:p w14:paraId="2D6C8F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директора по ВЭС и маркетингу (2002 г.)- О.А. Начкебия.</w:t>
      </w:r>
      <w:r w:rsidRPr="00E14102">
        <w:rPr>
          <w:color w:val="000000" w:themeColor="text1"/>
          <w:sz w:val="16"/>
          <w:szCs w:val="16"/>
          <w:vertAlign w:val="superscript"/>
        </w:rPr>
        <w:t>69</w:t>
      </w:r>
    </w:p>
    <w:p w14:paraId="38C299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Технический директор (09.1936 г.)-  Г.А. Вильгельмсон.</w:t>
      </w:r>
    </w:p>
    <w:p w14:paraId="1C9027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бюро: технического (09.1936 г.)- М.А. Петровский.</w:t>
      </w:r>
    </w:p>
    <w:p w14:paraId="6151A68C"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Производство:</w:t>
      </w:r>
      <w:r w:rsidRPr="00E14102">
        <w:rPr>
          <w:color w:val="000000" w:themeColor="text1"/>
          <w:sz w:val="16"/>
          <w:szCs w:val="16"/>
        </w:rPr>
        <w:t xml:space="preserve"> прицелы: ПО-1, </w:t>
      </w:r>
      <w:r w:rsidRPr="00E14102">
        <w:rPr>
          <w:color w:val="000000" w:themeColor="text1"/>
          <w:sz w:val="16"/>
          <w:szCs w:val="16"/>
          <w:lang w:val="en-US"/>
        </w:rPr>
        <w:t>TP</w:t>
      </w:r>
      <w:r w:rsidRPr="00E14102">
        <w:rPr>
          <w:color w:val="000000" w:themeColor="text1"/>
          <w:sz w:val="16"/>
          <w:szCs w:val="16"/>
        </w:rPr>
        <w:t xml:space="preserve">, РГ, оптический для неподвижных пулеметов ОП-2, для подвижных пулеметов ПАЛ-3, для люковых установок </w:t>
      </w:r>
      <w:r w:rsidRPr="00E14102">
        <w:rPr>
          <w:color w:val="000000" w:themeColor="text1"/>
          <w:sz w:val="16"/>
          <w:szCs w:val="16"/>
          <w:lang w:val="en-US"/>
        </w:rPr>
        <w:t>IIAJI</w:t>
      </w:r>
      <w:r w:rsidRPr="00E14102">
        <w:rPr>
          <w:color w:val="000000" w:themeColor="text1"/>
          <w:sz w:val="16"/>
          <w:szCs w:val="16"/>
        </w:rPr>
        <w:t>-5 (1936), ТР-1 (-1936-38-), ОП-2-</w:t>
      </w:r>
      <w:r w:rsidRPr="00E14102">
        <w:rPr>
          <w:color w:val="000000" w:themeColor="text1"/>
          <w:sz w:val="16"/>
          <w:szCs w:val="16"/>
          <w:lang w:val="en-US"/>
        </w:rPr>
        <w:t>JI</w:t>
      </w:r>
      <w:r w:rsidRPr="00E14102">
        <w:rPr>
          <w:color w:val="000000" w:themeColor="text1"/>
          <w:sz w:val="16"/>
          <w:szCs w:val="16"/>
        </w:rPr>
        <w:t xml:space="preserve"> (1938); корректировщик артогня с самолета (1936); приборы ПАЮ, ПП1 (1938).</w:t>
      </w:r>
    </w:p>
    <w:p w14:paraId="146F32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ОКБ-355 </w:t>
      </w:r>
      <w:r w:rsidRPr="00E14102">
        <w:rPr>
          <w:color w:val="000000" w:themeColor="text1"/>
          <w:sz w:val="16"/>
          <w:szCs w:val="16"/>
          <w:lang w:val="en-US"/>
        </w:rPr>
        <w:t>MB</w:t>
      </w:r>
    </w:p>
    <w:p w14:paraId="08FA23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1949 г. ОКБ-355- в ведении </w:t>
      </w:r>
      <w:r w:rsidRPr="00E14102">
        <w:rPr>
          <w:color w:val="000000" w:themeColor="text1"/>
          <w:sz w:val="16"/>
          <w:szCs w:val="16"/>
          <w:lang w:val="en-US"/>
        </w:rPr>
        <w:t>MB</w:t>
      </w:r>
      <w:r w:rsidRPr="00E14102">
        <w:rPr>
          <w:color w:val="000000" w:themeColor="text1"/>
          <w:sz w:val="16"/>
          <w:szCs w:val="16"/>
        </w:rPr>
        <w:t>.</w:t>
      </w:r>
    </w:p>
    <w:p w14:paraId="7F1E77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Разработка прицелов. Работы по приборам ночного видения.</w:t>
      </w:r>
    </w:p>
    <w:p w14:paraId="4EC8CC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конструктор (после ВОВ)- И. Г. Лурье.</w:t>
      </w:r>
    </w:p>
    <w:p w14:paraId="0859B0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(ВОВ)- И. Г. Лурье.</w:t>
      </w:r>
    </w:p>
    <w:p w14:paraId="73E63670"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Создано:</w:t>
      </w:r>
      <w:r w:rsidRPr="00E14102">
        <w:rPr>
          <w:color w:val="000000" w:themeColor="text1"/>
          <w:sz w:val="16"/>
          <w:szCs w:val="16"/>
        </w:rPr>
        <w:t xml:space="preserve"> прицелы: авиационный коллиматорный ПАК-1 (ВОВ), авиационный заднего обзора КПП! (ВОВ), ПБП-1А и -1Б (ВОВ), зенитного орудия К-37 (ВОВ), турельной установки К-81(ВОВ), АСИ-ЗИ (11982).</w:t>
      </w:r>
    </w:p>
    <w:p w14:paraId="61C3508F" w14:textId="77777777" w:rsidR="00D4105E" w:rsidRPr="00E14102" w:rsidRDefault="00D4105E" w:rsidP="00E14102">
      <w:pPr>
        <w:autoSpaceDE w:val="0"/>
        <w:autoSpaceDN w:val="0"/>
        <w:adjustRightInd w:val="0"/>
        <w:jc w:val="both"/>
        <w:rPr>
          <w:color w:val="000000" w:themeColor="text1"/>
          <w:sz w:val="16"/>
          <w:szCs w:val="16"/>
        </w:rPr>
      </w:pPr>
    </w:p>
    <w:p w14:paraId="1CF6711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355E4658" w14:textId="77777777" w:rsidR="00D4105E" w:rsidRPr="00E14102" w:rsidRDefault="00D4105E" w:rsidP="00E14102">
      <w:pPr>
        <w:autoSpaceDE w:val="0"/>
        <w:autoSpaceDN w:val="0"/>
        <w:adjustRightInd w:val="0"/>
        <w:jc w:val="both"/>
        <w:rPr>
          <w:iCs/>
          <w:color w:val="000000" w:themeColor="text1"/>
          <w:sz w:val="16"/>
          <w:szCs w:val="16"/>
        </w:rPr>
      </w:pPr>
    </w:p>
    <w:p w14:paraId="7CBD6B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июля 1935 было заключено торговое соглашение с США (1348,243) и потом продлевалось ежегодно вплоть до 1941 и доля США в импорте выросла с 7.7% в 1934 до 28.5% в 1938 (3908,347).</w:t>
      </w:r>
    </w:p>
    <w:p w14:paraId="09D2A716" w14:textId="77777777" w:rsidR="00D4105E" w:rsidRPr="00E14102" w:rsidRDefault="00D4105E" w:rsidP="00E14102">
      <w:pPr>
        <w:autoSpaceDE w:val="0"/>
        <w:autoSpaceDN w:val="0"/>
        <w:adjustRightInd w:val="0"/>
        <w:jc w:val="both"/>
        <w:rPr>
          <w:color w:val="000000" w:themeColor="text1"/>
          <w:sz w:val="16"/>
          <w:szCs w:val="16"/>
        </w:rPr>
      </w:pPr>
    </w:p>
    <w:p w14:paraId="71609B7B" w14:textId="77777777" w:rsidR="00B33D27" w:rsidRPr="00E14102" w:rsidRDefault="00B33D27" w:rsidP="00E14102">
      <w:pPr>
        <w:jc w:val="both"/>
        <w:rPr>
          <w:color w:val="000000" w:themeColor="text1"/>
          <w:sz w:val="16"/>
          <w:szCs w:val="16"/>
        </w:rPr>
      </w:pPr>
      <w:r w:rsidRPr="00E14102">
        <w:rPr>
          <w:color w:val="000000" w:themeColor="text1"/>
          <w:sz w:val="16"/>
          <w:szCs w:val="16"/>
        </w:rPr>
        <w:t>13 июля 1935 г. Советская нота</w:t>
      </w:r>
    </w:p>
    <w:p w14:paraId="2239A922" w14:textId="77777777" w:rsidR="00B33D27" w:rsidRPr="00E14102" w:rsidRDefault="00B33D27" w:rsidP="00E14102">
      <w:pPr>
        <w:jc w:val="both"/>
        <w:rPr>
          <w:color w:val="000000" w:themeColor="text1"/>
          <w:sz w:val="16"/>
          <w:szCs w:val="16"/>
        </w:rPr>
      </w:pPr>
      <w:r w:rsidRPr="00E14102">
        <w:rPr>
          <w:color w:val="000000" w:themeColor="text1"/>
          <w:sz w:val="16"/>
          <w:szCs w:val="16"/>
        </w:rPr>
        <w:t xml:space="preserve">Господин посол, я имею честь сослаться на недавние беседы по вопросу о торговле между Союзом Советских Социалистических Республик и Соединенными Штатами Америки и о торгово-договорной программе Соединенных Штатов Америки и подтвердить и зафиксировать настоящей нотой следующее соглашение, которое было достигнуто между правительствами наших соответственных стран: 1. </w:t>
      </w:r>
    </w:p>
    <w:p w14:paraId="191A431D" w14:textId="77777777" w:rsidR="00B33D27" w:rsidRPr="00E14102" w:rsidRDefault="00B33D27" w:rsidP="00E14102">
      <w:pPr>
        <w:jc w:val="both"/>
        <w:rPr>
          <w:color w:val="000000" w:themeColor="text1"/>
          <w:sz w:val="16"/>
          <w:szCs w:val="16"/>
        </w:rPr>
      </w:pPr>
      <w:r w:rsidRPr="00E14102">
        <w:rPr>
          <w:color w:val="000000" w:themeColor="text1"/>
          <w:sz w:val="16"/>
          <w:szCs w:val="16"/>
        </w:rPr>
        <w:t xml:space="preserve">Таможенные тарифы, установленные президентом Соединенных Штатов Америки на основе торговых соглашений, заключенных с иностранными правительствами или их органами на основе полномочий акта, озаглавленного "Акт об изменении Тарифного акта от 1930 г.", принятого 12 июня 1934 г., будут на время действия настоящего соглашения применяться к произведениям почвы и промышленности СССР. Условлено, что ничто в настоящем соглашении не будет служить основанием для требования применения к произведениям почвы и промышленности СССР тарифов или изъятий из тарифов, установленных согласно любому торговому соглашению между Соединенными Штатами Америки и Республикой Кубы, которое было или будет в дальнейшем заключено. 2. </w:t>
      </w:r>
    </w:p>
    <w:p w14:paraId="1F8D6722" w14:textId="77777777" w:rsidR="00B33D27" w:rsidRPr="00E14102" w:rsidRDefault="00B33D27" w:rsidP="00E14102">
      <w:pPr>
        <w:jc w:val="both"/>
        <w:rPr>
          <w:color w:val="000000" w:themeColor="text1"/>
          <w:sz w:val="16"/>
          <w:szCs w:val="16"/>
        </w:rPr>
      </w:pPr>
      <w:r w:rsidRPr="00E14102">
        <w:rPr>
          <w:color w:val="000000" w:themeColor="text1"/>
          <w:sz w:val="16"/>
          <w:szCs w:val="16"/>
        </w:rPr>
        <w:t xml:space="preserve">Со своей стороны, правительство СССР предпримет меры к существенному увеличению размера закупок в США для экспорта в СССР произведений почвы и промышленности США. </w:t>
      </w:r>
    </w:p>
    <w:p w14:paraId="0EBA54A7" w14:textId="77777777" w:rsidR="00B33D27" w:rsidRPr="00E14102" w:rsidRDefault="00B33D27" w:rsidP="00E14102">
      <w:pPr>
        <w:jc w:val="both"/>
        <w:rPr>
          <w:color w:val="000000" w:themeColor="text1"/>
          <w:sz w:val="16"/>
          <w:szCs w:val="16"/>
        </w:rPr>
      </w:pPr>
      <w:r w:rsidRPr="00E14102">
        <w:rPr>
          <w:color w:val="000000" w:themeColor="text1"/>
          <w:sz w:val="16"/>
          <w:szCs w:val="16"/>
        </w:rPr>
        <w:t xml:space="preserve">3. Настоящее соглашение вступит в силу со дня его подписания. Оно будет действовать в течение 12 месяцев. Обе стороны соглашаются, что не позже чем за 30 дней до истечения упомянутого 12-месячного периода, они начнут переговоры относительно периода, на который будет продлен срок действия настоящего соглашения. </w:t>
      </w:r>
    </w:p>
    <w:p w14:paraId="1D4E4138" w14:textId="77777777" w:rsidR="00B33D27" w:rsidRPr="00E14102" w:rsidRDefault="00B33D27" w:rsidP="00E14102">
      <w:pPr>
        <w:jc w:val="both"/>
        <w:rPr>
          <w:color w:val="000000" w:themeColor="text1"/>
          <w:sz w:val="16"/>
          <w:szCs w:val="16"/>
        </w:rPr>
      </w:pPr>
      <w:r w:rsidRPr="00E14102">
        <w:rPr>
          <w:color w:val="000000" w:themeColor="text1"/>
          <w:sz w:val="16"/>
          <w:szCs w:val="16"/>
        </w:rPr>
        <w:t xml:space="preserve">Примите, г-н посол, вновь уверения в моем высоком к Вам уважении. </w:t>
      </w:r>
    </w:p>
    <w:p w14:paraId="5E28BDCF" w14:textId="77777777" w:rsidR="00B33D27" w:rsidRPr="00E14102" w:rsidRDefault="00B33D27" w:rsidP="00E14102">
      <w:pPr>
        <w:jc w:val="both"/>
        <w:rPr>
          <w:color w:val="000000" w:themeColor="text1"/>
          <w:sz w:val="16"/>
          <w:szCs w:val="16"/>
        </w:rPr>
      </w:pPr>
      <w:r w:rsidRPr="00E14102">
        <w:rPr>
          <w:color w:val="000000" w:themeColor="text1"/>
          <w:sz w:val="16"/>
          <w:szCs w:val="16"/>
        </w:rPr>
        <w:t xml:space="preserve">Литвинов </w:t>
      </w:r>
    </w:p>
    <w:p w14:paraId="5C069E71" w14:textId="77777777" w:rsidR="00B33D27" w:rsidRPr="00E14102" w:rsidRDefault="00B33D27" w:rsidP="00E14102">
      <w:pPr>
        <w:jc w:val="both"/>
        <w:rPr>
          <w:color w:val="000000" w:themeColor="text1"/>
          <w:sz w:val="16"/>
          <w:szCs w:val="16"/>
        </w:rPr>
      </w:pPr>
      <w:r w:rsidRPr="00E14102">
        <w:rPr>
          <w:color w:val="000000" w:themeColor="text1"/>
          <w:sz w:val="16"/>
          <w:szCs w:val="16"/>
        </w:rPr>
        <w:t>Сборник действующих торговых договоров и иных хозяйственных соглашений СССР, заключенных с иностранными государствами. Действующие торговые договоры и иные хозяйственные оглашения, заключенные по 15 июля 1935 г. М„ 1935. Вып. 1. С. 269-270 (12152).</w:t>
      </w:r>
    </w:p>
    <w:p w14:paraId="04F932A4" w14:textId="77777777" w:rsidR="00B33D27" w:rsidRPr="00E14102" w:rsidRDefault="00B33D27" w:rsidP="00E14102">
      <w:pPr>
        <w:jc w:val="both"/>
        <w:rPr>
          <w:color w:val="000000" w:themeColor="text1"/>
          <w:sz w:val="16"/>
          <w:szCs w:val="16"/>
        </w:rPr>
      </w:pPr>
    </w:p>
    <w:p w14:paraId="67186C08" w14:textId="77777777" w:rsidR="00B33D27" w:rsidRPr="00E14102" w:rsidRDefault="00B33D27" w:rsidP="00E14102">
      <w:pPr>
        <w:jc w:val="both"/>
        <w:rPr>
          <w:color w:val="000000" w:themeColor="text1"/>
          <w:sz w:val="16"/>
          <w:szCs w:val="16"/>
        </w:rPr>
      </w:pPr>
      <w:r w:rsidRPr="00E14102">
        <w:rPr>
          <w:color w:val="000000" w:themeColor="text1"/>
          <w:sz w:val="16"/>
          <w:szCs w:val="16"/>
        </w:rPr>
        <w:t xml:space="preserve">13 июля 1935 г. Американская нота </w:t>
      </w:r>
    </w:p>
    <w:p w14:paraId="2EF5606D" w14:textId="77777777" w:rsidR="00B33D27" w:rsidRPr="00E14102" w:rsidRDefault="00B33D27" w:rsidP="00E14102">
      <w:pPr>
        <w:jc w:val="both"/>
        <w:rPr>
          <w:color w:val="000000" w:themeColor="text1"/>
          <w:sz w:val="16"/>
          <w:szCs w:val="16"/>
        </w:rPr>
      </w:pPr>
      <w:r w:rsidRPr="00E14102">
        <w:rPr>
          <w:color w:val="000000" w:themeColor="text1"/>
          <w:sz w:val="16"/>
          <w:szCs w:val="16"/>
        </w:rPr>
        <w:t xml:space="preserve">Ваше Превосходительство, я имею честь сослаться на недавние беседы по вопросу о торговле между Соединенными Штатами Америки и Союзом Советских Социалистических Республик и о торгово-договорной программе Соединенных Штатов Америки и подтвердить и зафиксировать настоящей нотой следующее соглашение, которое было достигнуто между правительствами наших соответственных стран: </w:t>
      </w:r>
    </w:p>
    <w:p w14:paraId="1680F032" w14:textId="77777777" w:rsidR="00B33D27" w:rsidRPr="00E14102" w:rsidRDefault="00B33D27" w:rsidP="00E14102">
      <w:pPr>
        <w:jc w:val="both"/>
        <w:rPr>
          <w:color w:val="000000" w:themeColor="text1"/>
          <w:sz w:val="16"/>
          <w:szCs w:val="16"/>
        </w:rPr>
      </w:pPr>
      <w:r w:rsidRPr="00E14102">
        <w:rPr>
          <w:color w:val="000000" w:themeColor="text1"/>
          <w:sz w:val="16"/>
          <w:szCs w:val="16"/>
        </w:rPr>
        <w:t>1. Таможенные тарифы, установленные президентом Соединенных Штатов Америки на основе торговых соглашений, заключенных с иностранными правительствами или их органами на основе полномочий акта, озаглавленного "Акт об изменении Тарифного акта от 1930 г.", принятого 12 июня 1934 г., будут на время действия настоящего соглашения применяться к произведениям почвы и промышленности СССР. Условлено, что ничто в настоящем соглашении не будет служить основанием для требования применения к произведениям почвы и промышленности СССР тарифов или изъятий из тарифов, установленных согласно любому торговому соглашению между Соединенными Штатами Америки и Республикой Кубы, которое было или будет в дальнейшем заключено. 2. Со своей стороны, правительство СССР предпримет меры к существенному увеличению размера закупок в США для экспорта в СССР произведений почвы и промышленности США.</w:t>
      </w:r>
    </w:p>
    <w:p w14:paraId="6B8B6349" w14:textId="77777777" w:rsidR="00B33D27" w:rsidRPr="00E14102" w:rsidRDefault="00B33D27" w:rsidP="00E14102">
      <w:pPr>
        <w:jc w:val="both"/>
        <w:rPr>
          <w:color w:val="000000" w:themeColor="text1"/>
          <w:sz w:val="16"/>
          <w:szCs w:val="16"/>
        </w:rPr>
      </w:pPr>
      <w:r w:rsidRPr="00E14102">
        <w:rPr>
          <w:color w:val="000000" w:themeColor="text1"/>
          <w:sz w:val="16"/>
          <w:szCs w:val="16"/>
        </w:rPr>
        <w:lastRenderedPageBreak/>
        <w:t xml:space="preserve">3. Настоящее соглашение вступит в силу со дня его подписания. Оно будет действовать в течение 12 месяцев. Обе стороны соглашаются, что не позже чем за 30 дней до истечения упомянутого 12-месячного периода они начнут переговоры относительно периода, на который будет продлен срок действия настоящего соглашения. </w:t>
      </w:r>
    </w:p>
    <w:p w14:paraId="5D6CDF67" w14:textId="77777777" w:rsidR="00B33D27" w:rsidRPr="00E14102" w:rsidRDefault="00B33D27" w:rsidP="00E14102">
      <w:pPr>
        <w:jc w:val="both"/>
        <w:rPr>
          <w:color w:val="000000" w:themeColor="text1"/>
          <w:sz w:val="16"/>
          <w:szCs w:val="16"/>
        </w:rPr>
      </w:pPr>
      <w:r w:rsidRPr="00E14102">
        <w:rPr>
          <w:color w:val="000000" w:themeColor="text1"/>
          <w:sz w:val="16"/>
          <w:szCs w:val="16"/>
        </w:rPr>
        <w:t xml:space="preserve">Примите, Ваше Превосходительство, вновь уверения в моем высоком к Вам уважении. </w:t>
      </w:r>
    </w:p>
    <w:p w14:paraId="34C3643C" w14:textId="77777777" w:rsidR="00B33D27" w:rsidRPr="00E14102" w:rsidRDefault="00B33D27" w:rsidP="00E14102">
      <w:pPr>
        <w:jc w:val="both"/>
        <w:rPr>
          <w:color w:val="000000" w:themeColor="text1"/>
          <w:sz w:val="16"/>
          <w:szCs w:val="16"/>
        </w:rPr>
      </w:pPr>
      <w:r w:rsidRPr="00E14102">
        <w:rPr>
          <w:color w:val="000000" w:themeColor="text1"/>
          <w:sz w:val="16"/>
          <w:szCs w:val="16"/>
        </w:rPr>
        <w:t xml:space="preserve">Уильям Ч. Буллит </w:t>
      </w:r>
    </w:p>
    <w:p w14:paraId="46E92844" w14:textId="77777777" w:rsidR="00B33D27" w:rsidRPr="00E14102" w:rsidRDefault="00B33D27" w:rsidP="00E14102">
      <w:pPr>
        <w:jc w:val="both"/>
        <w:rPr>
          <w:color w:val="000000" w:themeColor="text1"/>
          <w:sz w:val="16"/>
          <w:szCs w:val="16"/>
        </w:rPr>
      </w:pPr>
      <w:r w:rsidRPr="00E14102">
        <w:rPr>
          <w:color w:val="000000" w:themeColor="text1"/>
          <w:sz w:val="16"/>
          <w:szCs w:val="16"/>
        </w:rPr>
        <w:t>Сборник действующих торговых договоров и иных хозяйственных соглашений СССР, заключенных с иностранными государствами. Действующие торговые договоры и иные хозяйственные оглашения, заключенные по 15 июля 1935 г. М„ 1935. Вып. 1. С. 271 (1212).</w:t>
      </w:r>
    </w:p>
    <w:p w14:paraId="79BA83B4" w14:textId="0BDC25F3" w:rsidR="00B33D27" w:rsidRPr="00E14102" w:rsidRDefault="00B33D27" w:rsidP="00E14102">
      <w:pPr>
        <w:jc w:val="both"/>
        <w:rPr>
          <w:color w:val="000000" w:themeColor="text1"/>
          <w:sz w:val="16"/>
          <w:szCs w:val="16"/>
        </w:rPr>
      </w:pPr>
    </w:p>
    <w:p w14:paraId="17A898DF" w14:textId="3241B897" w:rsidR="00195837" w:rsidRPr="00E14102" w:rsidRDefault="00195837" w:rsidP="00E14102">
      <w:pPr>
        <w:jc w:val="both"/>
        <w:rPr>
          <w:i/>
          <w:iCs/>
          <w:color w:val="000000" w:themeColor="text1"/>
          <w:sz w:val="16"/>
          <w:szCs w:val="16"/>
        </w:rPr>
      </w:pPr>
      <w:r w:rsidRPr="00E14102">
        <w:rPr>
          <w:i/>
          <w:iCs/>
          <w:color w:val="000000" w:themeColor="text1"/>
          <w:sz w:val="16"/>
          <w:szCs w:val="16"/>
        </w:rPr>
        <w:t>За рубежом:</w:t>
      </w:r>
    </w:p>
    <w:p w14:paraId="48B1F6A6" w14:textId="77777777" w:rsidR="00195837" w:rsidRPr="00E14102" w:rsidRDefault="00195837" w:rsidP="00E14102">
      <w:pPr>
        <w:jc w:val="both"/>
        <w:rPr>
          <w:i/>
          <w:iCs/>
          <w:color w:val="000000" w:themeColor="text1"/>
          <w:sz w:val="16"/>
          <w:szCs w:val="16"/>
        </w:rPr>
      </w:pPr>
    </w:p>
    <w:p w14:paraId="6EFA4F94" w14:textId="77777777" w:rsidR="00195837" w:rsidRPr="00E14102" w:rsidRDefault="00195837" w:rsidP="00E14102">
      <w:pPr>
        <w:jc w:val="both"/>
        <w:rPr>
          <w:color w:val="0070C0"/>
          <w:sz w:val="16"/>
          <w:szCs w:val="16"/>
        </w:rPr>
      </w:pPr>
      <w:r w:rsidRPr="00E14102">
        <w:rPr>
          <w:color w:val="0070C0"/>
          <w:sz w:val="16"/>
          <w:szCs w:val="16"/>
        </w:rPr>
        <w:t>13 июля 1935 - открытие здания терминала аэропорта Шорхэм в Лансинге, Англия</w:t>
      </w:r>
    </w:p>
    <w:p w14:paraId="13CBC89F" w14:textId="77777777" w:rsidR="00195837" w:rsidRPr="00E14102" w:rsidRDefault="00195837" w:rsidP="00E14102">
      <w:pPr>
        <w:jc w:val="both"/>
        <w:rPr>
          <w:color w:val="0070C0"/>
          <w:sz w:val="16"/>
          <w:szCs w:val="16"/>
        </w:rPr>
      </w:pPr>
    </w:p>
    <w:p w14:paraId="035B89C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9C154A8" w14:textId="77777777" w:rsidR="00D4105E" w:rsidRPr="00E14102" w:rsidRDefault="00D4105E" w:rsidP="00E14102">
      <w:pPr>
        <w:autoSpaceDE w:val="0"/>
        <w:autoSpaceDN w:val="0"/>
        <w:adjustRightInd w:val="0"/>
        <w:jc w:val="both"/>
        <w:rPr>
          <w:iCs/>
          <w:color w:val="000000" w:themeColor="text1"/>
          <w:sz w:val="16"/>
          <w:szCs w:val="16"/>
        </w:rPr>
      </w:pPr>
    </w:p>
    <w:p w14:paraId="38D9A8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июля 1935 года ГК завода 1 Д.П.Г. направил письмо N 405/сов/сек. зам начальника ГУАП"а Марголину С.Л.:</w:t>
      </w:r>
    </w:p>
    <w:p w14:paraId="11154C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СТО увеличен заказ на самолеты ПИ-1.</w:t>
      </w:r>
    </w:p>
    <w:p w14:paraId="7915F4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Ходатайствую о следующем дополнении к этому постановлению.</w:t>
      </w:r>
    </w:p>
    <w:p w14:paraId="5A46A9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ПИ-1 по своим высоким летным качествам имеет целый ряд боевых применений значительно более важных в боевом отношении чем первый вариант его вооружения с 2-мя пушками АПК-4.</w:t>
      </w:r>
    </w:p>
    <w:p w14:paraId="63D759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Боевые применения эти устанавливаются следующими видами вооружения которые придают самолету исключительную боевую мощность превосходящую современные боевые самолеты.</w:t>
      </w:r>
    </w:p>
    <w:p w14:paraId="578259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Многопулеметный истребитель, имеющий кроме основных двух пулеметов Шкасс две батареи по два пулемета Шкасс в каждой батареи и по 2000 патронов на каждую батарею, а всего 6 пулеметов Шкасс и 5000 патронов. Эта машина по своим летно-тактическим качествам и связи с мощностью пулеметного огня превосходит все современные боевые средства этого назначения.</w:t>
      </w:r>
    </w:p>
    <w:p w14:paraId="3EB9AE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Одноместный пулеметный штурмовик с специальной (жидкостной) бронировкой, эта машина благодаря своей конструкции и особенностям своей компоновки и грузоподъемности допускает почти полную бронировку летчика при выполнении боевых штурмовых операций, бронировку значительно более полную чем имеющиеся на вооружении штурмовики, при мощности пулеметного огня и летных качествах также значительно превосходящих.</w:t>
      </w:r>
    </w:p>
    <w:p w14:paraId="7460CF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Пикирующий бомбардировщик вооруженный кроме нормального пулеметного огня - бомбовой нагрузкой сбрасываемой на пикировании. Грузоподъемность машины допускает постановку бомб калибров от 32 кг до 100 кг и выше за счет перегрузки.</w:t>
      </w:r>
    </w:p>
    <w:p w14:paraId="411214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Эта машина кроме своего несомненного боевого значения является первым в Союзе реально-существующим пикирующим бомбардировщиком на котором должна быть изучена техника бомбометания, с пикирования, обучен личный состав, выработана аппаратура и изучены особенности конструкции как автоматики, прицельно-контрольные приборы и тормоза.</w:t>
      </w:r>
    </w:p>
    <w:p w14:paraId="6DBC1C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Истребитель с реактивными снарядами. Указанные выше летно-тактические качества самолета, а также особенности конструкции цельно-металлической с толстой обшивкой допускают постановку на машину батарей реактивных снарядов с значительно большей выгодой чем постановка пушек АПК имеющих огромный мертвый вес и очень небольшой боезапас.</w:t>
      </w:r>
    </w:p>
    <w:p w14:paraId="649B7E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Эта машина будет первым реальным опытом специальной машины с реактивным вооружением.</w:t>
      </w:r>
    </w:p>
    <w:p w14:paraId="3C598C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Истребитель с пушками Швак или Шкасс 3.</w:t>
      </w:r>
    </w:p>
    <w:p w14:paraId="52739A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постановкой крупнокалиберных пушек-пулеметов мы отстали по сравнению с заграницей на несколько лет.</w:t>
      </w:r>
    </w:p>
    <w:p w14:paraId="37E9E8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Пи-1 даст возможность это отставание ликвидировать так как особенности машины допускают без особых изменений конструкции установку таких пушек-пулеметов, приобрести необходимый опыт и овладеть им.</w:t>
      </w:r>
    </w:p>
    <w:p w14:paraId="2378E4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своим боевым качествам и по боезапасам этот вариант должен значительно превосходить вооружение системами АПК-4.</w:t>
      </w:r>
    </w:p>
    <w:p w14:paraId="6FDCA3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Перечисленные здесь самолеты вполне реальны, все они базируются на вполне реальной и испытанной машине, которую было бы правильнее наименовать не пушечным, а универсальным истребителем в следующих боевых исполнениях или вариантах вооружения:</w:t>
      </w:r>
    </w:p>
    <w:p w14:paraId="7E7404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Многопулеметный истребитель "МПИ".</w:t>
      </w:r>
    </w:p>
    <w:p w14:paraId="43E6E4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Пулеметный штурмовик "ПШ".</w:t>
      </w:r>
    </w:p>
    <w:p w14:paraId="0BE5AA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Пикирующий бомбардировщик "ПБ".</w:t>
      </w:r>
    </w:p>
    <w:p w14:paraId="04C32D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Истребитель с реактивными снарядами "ИРС".</w:t>
      </w:r>
    </w:p>
    <w:p w14:paraId="4EB680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Истребитель с пушками-пулеметами "ИП-П".</w:t>
      </w:r>
    </w:p>
    <w:p w14:paraId="4A7C67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Истребитель с пушками АПК "ИП".</w:t>
      </w:r>
    </w:p>
    <w:p w14:paraId="21ABBD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Многопулеметный вариант исполнения одобрен Народным комиссариатом обороны Ворошиловым и работы по этому варианту развернуты полностью.</w:t>
      </w:r>
    </w:p>
    <w:p w14:paraId="549384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Вариант с реактивными снарядами предложен начальнику УВВС Алкснис, однако ни один из этих вариантов не включен в программу опытных работ и в качестве внеплановых заданий не обеспечен ни конструкторскими силами ни денежными средствами.</w:t>
      </w:r>
    </w:p>
    <w:p w14:paraId="3A4FA1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Придавая огромное значение всем этим исполнениям этой машины - ходатайствуют:</w:t>
      </w:r>
    </w:p>
    <w:p w14:paraId="1C0409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Включить в программу опытных работ завода N 1 проектировку и постройку перечисленных вариантов исполнения этой машины, хотя бы за счет пересмотра опытной программы завода и усиления его конструкторскими силами.</w:t>
      </w:r>
    </w:p>
    <w:p w14:paraId="61EC0A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признать за этими работами особую важность и срочность.</w:t>
      </w:r>
    </w:p>
    <w:p w14:paraId="375D81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включить в программу серийной постройки завода N 1 совместно с заводом N 135 выпуск хотя бы малых серий этих машин начиная с первого квартала 1936 года. (Гл. конструктор з-да N 1 им. Авиахима Григорович) (2336,149).</w:t>
      </w:r>
    </w:p>
    <w:p w14:paraId="193A9035" w14:textId="77777777" w:rsidR="00D4105E" w:rsidRPr="00E14102" w:rsidRDefault="00D4105E" w:rsidP="00E14102">
      <w:pPr>
        <w:autoSpaceDE w:val="0"/>
        <w:autoSpaceDN w:val="0"/>
        <w:adjustRightInd w:val="0"/>
        <w:jc w:val="both"/>
        <w:rPr>
          <w:color w:val="000000" w:themeColor="text1"/>
          <w:sz w:val="16"/>
          <w:szCs w:val="16"/>
        </w:rPr>
      </w:pPr>
    </w:p>
    <w:p w14:paraId="76BB0C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июля 1935 г. Д.П.Г. направил письмо заместителю начальника ГУАП С.Л. Марголину, в котором предлагал несколько возможных модификаций самолёта. "Многопулемётный" истребитель МПИ должен был нести шесть пулемётов ШКАС в крыле. Какое вооружение планировалось для одноместного бронированного пушечного штурмовика ПШ, в документе не указывалось. Пикирующий бомбардировщик ПБ представлял собой ИП-1 с бомбами весом до 100 кг. ИРС - истребитель с реактивными снарядами, которые позднее стали известны как РС-82. Истребитель ИП-П вооружался и пушками, и пулемётами. И, наконец, предусматривалась модификация с автоматическими дина- мореактивными пушками АПК-11 калибра 37 мм.</w:t>
      </w:r>
    </w:p>
    <w:p w14:paraId="00E632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своего обращения Григорович писал: "Ходатайствую включить в программу опытных работ завода № 1 проектировку и постройку перечисленных вариантов, признать за этими работами особую важность и срочность. Включить в программу серийной постройки завода № 1, совместно с заводом № 135, выпуск хотя бы малых серий этих машин начиная с первого квартала 1936 г.". Он указывал также, что "многопулемётный" вариант ИП-1 был одобрен наркомом обороны К.Е. Ворошиловым и работы по нему развёрнуты полностью, но до сих пор машина не включена в план ГУАП (12005).</w:t>
      </w:r>
    </w:p>
    <w:p w14:paraId="1A1C89AE" w14:textId="77777777" w:rsidR="00D4105E" w:rsidRPr="00E14102" w:rsidRDefault="00D4105E" w:rsidP="00E14102">
      <w:pPr>
        <w:autoSpaceDE w:val="0"/>
        <w:autoSpaceDN w:val="0"/>
        <w:adjustRightInd w:val="0"/>
        <w:jc w:val="both"/>
        <w:rPr>
          <w:color w:val="000000" w:themeColor="text1"/>
          <w:sz w:val="16"/>
          <w:szCs w:val="16"/>
        </w:rPr>
      </w:pPr>
    </w:p>
    <w:p w14:paraId="53DA8C36" w14:textId="77777777" w:rsidR="00B22440" w:rsidRPr="00E14102" w:rsidRDefault="00B22440" w:rsidP="00E14102">
      <w:pPr>
        <w:jc w:val="both"/>
        <w:rPr>
          <w:color w:val="000000" w:themeColor="text1"/>
          <w:sz w:val="16"/>
          <w:szCs w:val="16"/>
        </w:rPr>
      </w:pPr>
      <w:r w:rsidRPr="00E14102">
        <w:rPr>
          <w:color w:val="000000" w:themeColor="text1"/>
          <w:sz w:val="16"/>
          <w:szCs w:val="16"/>
        </w:rPr>
        <w:t>14 июля 1935 г. Григорович, в письме за</w:t>
      </w:r>
      <w:r w:rsidRPr="00E14102">
        <w:rPr>
          <w:color w:val="000000" w:themeColor="text1"/>
          <w:sz w:val="16"/>
          <w:szCs w:val="16"/>
        </w:rPr>
        <w:softHyphen/>
        <w:t>местителю начальника ГУАП СЛ. Марголину, предлагал модифицировать истребитель ИП-1 в пикирующий бомбардировщик ПБ с бомбами весом 100 кг.</w:t>
      </w:r>
    </w:p>
    <w:p w14:paraId="0241DB36" w14:textId="77777777" w:rsidR="00B22440" w:rsidRPr="00E14102" w:rsidRDefault="00B22440" w:rsidP="00E14102">
      <w:pPr>
        <w:jc w:val="both"/>
        <w:rPr>
          <w:color w:val="000000" w:themeColor="text1"/>
          <w:sz w:val="16"/>
          <w:szCs w:val="16"/>
        </w:rPr>
      </w:pPr>
      <w:r w:rsidRPr="00E14102">
        <w:rPr>
          <w:color w:val="000000" w:themeColor="text1"/>
          <w:sz w:val="16"/>
          <w:szCs w:val="16"/>
        </w:rPr>
        <w:t>В  том же 1935 году, ОКБ-1 Д.П.Григоровича приступило к разработке проект одномоторного двухместного пикирующего бомбардировщика, который получил внутрифирменное название ДГ-58, по документам НКАП ПБ-1.</w:t>
      </w:r>
    </w:p>
    <w:p w14:paraId="33834B7C" w14:textId="77777777" w:rsidR="00B22440" w:rsidRPr="00E14102" w:rsidRDefault="00B22440" w:rsidP="00E14102">
      <w:pPr>
        <w:jc w:val="both"/>
        <w:rPr>
          <w:color w:val="000000" w:themeColor="text1"/>
          <w:sz w:val="16"/>
          <w:szCs w:val="16"/>
        </w:rPr>
      </w:pPr>
      <w:r w:rsidRPr="00E14102">
        <w:rPr>
          <w:color w:val="000000" w:themeColor="text1"/>
          <w:sz w:val="16"/>
          <w:szCs w:val="16"/>
        </w:rPr>
        <w:t>На его базе Григорович разрабатывал и скоростного разведчик (названия в документах: СР, Р-9, ДГ-58Р, ДГ-58бис), который должен был стать конкурентом проектам Немана (ХАИ-6), Кочеригина (СР)и Поликарпова.</w:t>
      </w:r>
    </w:p>
    <w:p w14:paraId="4EF3959C" w14:textId="77777777" w:rsidR="00B22440" w:rsidRPr="00E14102" w:rsidRDefault="00B22440" w:rsidP="00E14102">
      <w:pPr>
        <w:jc w:val="both"/>
        <w:rPr>
          <w:color w:val="000000" w:themeColor="text1"/>
          <w:sz w:val="16"/>
          <w:szCs w:val="16"/>
        </w:rPr>
      </w:pPr>
      <w:r w:rsidRPr="00E14102">
        <w:rPr>
          <w:color w:val="000000" w:themeColor="text1"/>
          <w:sz w:val="16"/>
          <w:szCs w:val="16"/>
        </w:rPr>
        <w:t>Конструктивно машина являлась развитием серийного истребителя ИП-1 (ДГ-52).</w:t>
      </w:r>
    </w:p>
    <w:p w14:paraId="71BF700A" w14:textId="77777777" w:rsidR="00B22440" w:rsidRPr="00E14102" w:rsidRDefault="00B22440" w:rsidP="00E14102">
      <w:pPr>
        <w:jc w:val="both"/>
        <w:rPr>
          <w:color w:val="000000" w:themeColor="text1"/>
          <w:sz w:val="16"/>
          <w:szCs w:val="16"/>
        </w:rPr>
      </w:pPr>
      <w:r w:rsidRPr="00E14102">
        <w:rPr>
          <w:color w:val="000000" w:themeColor="text1"/>
          <w:sz w:val="16"/>
          <w:szCs w:val="16"/>
        </w:rPr>
        <w:t>В качестве двигателя планировался использовать новый мотор М-85 (лицензионный Gnome-Rhone K-14), мощностью 800 л.с.</w:t>
      </w:r>
    </w:p>
    <w:p w14:paraId="583A1ED3" w14:textId="77777777" w:rsidR="00B22440" w:rsidRPr="00E14102" w:rsidRDefault="00B22440" w:rsidP="00E14102">
      <w:pPr>
        <w:jc w:val="both"/>
        <w:rPr>
          <w:color w:val="000000" w:themeColor="text1"/>
          <w:sz w:val="16"/>
          <w:szCs w:val="16"/>
        </w:rPr>
      </w:pPr>
      <w:r w:rsidRPr="00E14102">
        <w:rPr>
          <w:color w:val="000000" w:themeColor="text1"/>
          <w:sz w:val="16"/>
          <w:szCs w:val="16"/>
        </w:rPr>
        <w:t>Это должен был быть двухместный моноплан цельнометаллической конструкции. Фюзеляж — с высоко поднятым горизонтальным оперением  и удлиненным назад капотом НАСА .Винт — металлический с изменяемым  шагом.</w:t>
      </w:r>
    </w:p>
    <w:p w14:paraId="48BD73C5" w14:textId="77777777" w:rsidR="00B22440" w:rsidRPr="00E14102" w:rsidRDefault="00B22440" w:rsidP="00E14102">
      <w:pPr>
        <w:jc w:val="both"/>
        <w:rPr>
          <w:color w:val="000000" w:themeColor="text1"/>
          <w:sz w:val="16"/>
          <w:szCs w:val="16"/>
        </w:rPr>
      </w:pPr>
      <w:r w:rsidRPr="00E14102">
        <w:rPr>
          <w:color w:val="000000" w:themeColor="text1"/>
          <w:sz w:val="16"/>
          <w:szCs w:val="16"/>
        </w:rPr>
        <w:t>В центре фюзеляжа располагалась двухместная, остекленная кабина летчика и хвостового стрелка, закрытая блистером.</w:t>
      </w:r>
    </w:p>
    <w:p w14:paraId="270F34B8" w14:textId="77777777" w:rsidR="00B22440" w:rsidRPr="00E14102" w:rsidRDefault="00B22440" w:rsidP="00E14102">
      <w:pPr>
        <w:jc w:val="both"/>
        <w:rPr>
          <w:color w:val="000000" w:themeColor="text1"/>
          <w:sz w:val="16"/>
          <w:szCs w:val="16"/>
        </w:rPr>
      </w:pPr>
      <w:r w:rsidRPr="00E14102">
        <w:rPr>
          <w:color w:val="000000" w:themeColor="text1"/>
          <w:sz w:val="16"/>
          <w:szCs w:val="16"/>
        </w:rPr>
        <w:t>Крыло имело эллиптическую форму в виде обратной “чайки”. Полки лонжеронов крыла - трубы ХМА. Нервюры - форменные из листовых профилей, стрингеры - немногочисленные, под полками нервюр. Данная конструкция получила в будущем название- “бесстрингерное крыло Григоровича”.</w:t>
      </w:r>
    </w:p>
    <w:p w14:paraId="0D663CC1" w14:textId="77777777" w:rsidR="00B22440" w:rsidRPr="00E14102" w:rsidRDefault="00B22440" w:rsidP="00E14102">
      <w:pPr>
        <w:jc w:val="both"/>
        <w:rPr>
          <w:color w:val="000000" w:themeColor="text1"/>
          <w:sz w:val="16"/>
          <w:szCs w:val="16"/>
        </w:rPr>
      </w:pPr>
      <w:r w:rsidRPr="00E14102">
        <w:rPr>
          <w:color w:val="000000" w:themeColor="text1"/>
          <w:sz w:val="16"/>
          <w:szCs w:val="16"/>
        </w:rPr>
        <w:t>Клепка была везде потайная, как и в фюзеляже. Элероны и посадочные щитки — щелевые. Оперение — цельнометаллическое.</w:t>
      </w:r>
    </w:p>
    <w:p w14:paraId="26357DA6" w14:textId="77777777" w:rsidR="00B22440" w:rsidRPr="00E14102" w:rsidRDefault="00B22440" w:rsidP="00E14102">
      <w:pPr>
        <w:jc w:val="both"/>
        <w:rPr>
          <w:color w:val="000000" w:themeColor="text1"/>
          <w:sz w:val="16"/>
          <w:szCs w:val="16"/>
        </w:rPr>
      </w:pPr>
      <w:r w:rsidRPr="00E14102">
        <w:rPr>
          <w:color w:val="000000" w:themeColor="text1"/>
          <w:sz w:val="16"/>
          <w:szCs w:val="16"/>
        </w:rPr>
        <w:t>Шасси было сделано полуубираемым. Стойки полностью, а колеса выступали из центроплана наполовину своего диаметра. Гондолы. Амортизация шасси, масляно-воздушная. Уборка — гидравлическая. В пояснительной записке говорится, что при установки лыж, они будут подтягиваться вплотную к обтекателям.</w:t>
      </w:r>
    </w:p>
    <w:p w14:paraId="6D22125B" w14:textId="77777777" w:rsidR="00B22440" w:rsidRPr="00E14102" w:rsidRDefault="00B22440" w:rsidP="00E14102">
      <w:pPr>
        <w:jc w:val="both"/>
        <w:rPr>
          <w:color w:val="000000" w:themeColor="text1"/>
          <w:sz w:val="16"/>
          <w:szCs w:val="16"/>
        </w:rPr>
      </w:pPr>
      <w:r w:rsidRPr="00E14102">
        <w:rPr>
          <w:color w:val="000000" w:themeColor="text1"/>
          <w:sz w:val="16"/>
          <w:szCs w:val="16"/>
        </w:rPr>
        <w:t>Самолет планировалось оснастить мощным вооружением: 2 х 20 мм пушки ШВАК и оборонительным пулеметом ШКАС в кормовой установке.</w:t>
      </w:r>
    </w:p>
    <w:p w14:paraId="4F273115" w14:textId="77777777" w:rsidR="00B22440" w:rsidRPr="00E14102" w:rsidRDefault="00B22440" w:rsidP="00E14102">
      <w:pPr>
        <w:jc w:val="both"/>
        <w:rPr>
          <w:color w:val="000000" w:themeColor="text1"/>
          <w:sz w:val="16"/>
          <w:szCs w:val="16"/>
        </w:rPr>
      </w:pPr>
      <w:r w:rsidRPr="00E14102">
        <w:rPr>
          <w:color w:val="000000" w:themeColor="text1"/>
          <w:sz w:val="16"/>
          <w:szCs w:val="16"/>
        </w:rPr>
        <w:lastRenderedPageBreak/>
        <w:t>ПБ-1 должен был нести на внешней подвеске под фюзеляжем и крылом бомбы массой до 500 кг.. Калибр бомб: 50, 100, 250, 500 кг.</w:t>
      </w:r>
    </w:p>
    <w:p w14:paraId="2D92CE91" w14:textId="77777777" w:rsidR="00B22440" w:rsidRPr="00E14102" w:rsidRDefault="00B22440" w:rsidP="00E14102">
      <w:pPr>
        <w:jc w:val="both"/>
        <w:rPr>
          <w:color w:val="000000" w:themeColor="text1"/>
          <w:sz w:val="16"/>
          <w:szCs w:val="16"/>
        </w:rPr>
      </w:pPr>
      <w:r w:rsidRPr="00E14102">
        <w:rPr>
          <w:color w:val="000000" w:themeColor="text1"/>
          <w:sz w:val="16"/>
          <w:szCs w:val="16"/>
        </w:rPr>
        <w:t>ПБ-1 по расчетам должен был обладать следующими характеристиками:</w:t>
      </w:r>
    </w:p>
    <w:tbl>
      <w:tblPr>
        <w:tblW w:w="5000" w:type="pct"/>
        <w:tblCellSpacing w:w="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271"/>
        <w:gridCol w:w="3052"/>
      </w:tblGrid>
      <w:tr w:rsidR="00E3599D" w:rsidRPr="00E14102" w14:paraId="6D09BFB2" w14:textId="77777777" w:rsidTr="00BB09AB">
        <w:trPr>
          <w:trHeight w:val="420"/>
          <w:tblHeader/>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0B65A4" w14:textId="77777777" w:rsidR="00B22440" w:rsidRPr="00E14102" w:rsidRDefault="00B22440" w:rsidP="00E14102">
            <w:pPr>
              <w:jc w:val="both"/>
              <w:rPr>
                <w:color w:val="000000" w:themeColor="text1"/>
                <w:sz w:val="16"/>
                <w:szCs w:val="16"/>
              </w:rPr>
            </w:pPr>
            <w:r w:rsidRPr="00E14102">
              <w:rPr>
                <w:color w:val="000000" w:themeColor="text1"/>
                <w:sz w:val="16"/>
                <w:szCs w:val="16"/>
              </w:rPr>
              <w:t> </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474407" w14:textId="77777777" w:rsidR="00B22440" w:rsidRPr="00E14102" w:rsidRDefault="00B22440" w:rsidP="00E14102">
            <w:pPr>
              <w:jc w:val="both"/>
              <w:rPr>
                <w:color w:val="000000" w:themeColor="text1"/>
                <w:sz w:val="16"/>
                <w:szCs w:val="16"/>
              </w:rPr>
            </w:pPr>
            <w:r w:rsidRPr="00E14102">
              <w:rPr>
                <w:color w:val="000000" w:themeColor="text1"/>
                <w:sz w:val="16"/>
                <w:szCs w:val="16"/>
              </w:rPr>
              <w:t> ПБ-1 ДГ-58(проект)</w:t>
            </w:r>
          </w:p>
        </w:tc>
      </w:tr>
      <w:tr w:rsidR="00E3599D" w:rsidRPr="00E14102" w14:paraId="277D1E41"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A0BF2F2" w14:textId="77777777" w:rsidR="00B22440" w:rsidRPr="00E14102" w:rsidRDefault="00B22440" w:rsidP="00E14102">
            <w:pPr>
              <w:jc w:val="both"/>
              <w:rPr>
                <w:color w:val="000000" w:themeColor="text1"/>
                <w:sz w:val="16"/>
                <w:szCs w:val="16"/>
              </w:rPr>
            </w:pPr>
            <w:r w:rsidRPr="00E14102">
              <w:rPr>
                <w:color w:val="000000" w:themeColor="text1"/>
                <w:sz w:val="16"/>
                <w:szCs w:val="16"/>
              </w:rPr>
              <w:t>Мощность двигателя, л. с.</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773FB51" w14:textId="77777777" w:rsidR="00B22440" w:rsidRPr="00E14102" w:rsidRDefault="00B22440" w:rsidP="00E14102">
            <w:pPr>
              <w:jc w:val="both"/>
              <w:rPr>
                <w:color w:val="000000" w:themeColor="text1"/>
                <w:sz w:val="16"/>
                <w:szCs w:val="16"/>
              </w:rPr>
            </w:pPr>
            <w:r w:rsidRPr="00E14102">
              <w:rPr>
                <w:color w:val="000000" w:themeColor="text1"/>
                <w:sz w:val="16"/>
                <w:szCs w:val="16"/>
              </w:rPr>
              <w:t>800</w:t>
            </w:r>
          </w:p>
        </w:tc>
      </w:tr>
      <w:tr w:rsidR="00E3599D" w:rsidRPr="00E14102" w14:paraId="2981A303"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FE7690" w14:textId="77777777" w:rsidR="00B22440" w:rsidRPr="00E14102" w:rsidRDefault="00B22440" w:rsidP="00E14102">
            <w:pPr>
              <w:jc w:val="both"/>
              <w:rPr>
                <w:color w:val="000000" w:themeColor="text1"/>
                <w:sz w:val="16"/>
                <w:szCs w:val="16"/>
              </w:rPr>
            </w:pPr>
            <w:r w:rsidRPr="00E14102">
              <w:rPr>
                <w:color w:val="000000" w:themeColor="text1"/>
                <w:sz w:val="16"/>
                <w:szCs w:val="16"/>
              </w:rPr>
              <w:t>Размах крыла, 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E1728B7" w14:textId="77777777" w:rsidR="00B22440" w:rsidRPr="00E14102" w:rsidRDefault="00B22440" w:rsidP="00E14102">
            <w:pPr>
              <w:jc w:val="both"/>
              <w:rPr>
                <w:color w:val="000000" w:themeColor="text1"/>
                <w:sz w:val="16"/>
                <w:szCs w:val="16"/>
              </w:rPr>
            </w:pPr>
            <w:r w:rsidRPr="00E14102">
              <w:rPr>
                <w:color w:val="000000" w:themeColor="text1"/>
                <w:sz w:val="16"/>
                <w:szCs w:val="16"/>
              </w:rPr>
              <w:t>12,5</w:t>
            </w:r>
          </w:p>
        </w:tc>
      </w:tr>
      <w:tr w:rsidR="00E3599D" w:rsidRPr="00E14102" w14:paraId="022F3E15"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D577C35" w14:textId="77777777" w:rsidR="00B22440" w:rsidRPr="00E14102" w:rsidRDefault="00B22440" w:rsidP="00E14102">
            <w:pPr>
              <w:jc w:val="both"/>
              <w:rPr>
                <w:color w:val="000000" w:themeColor="text1"/>
                <w:sz w:val="16"/>
                <w:szCs w:val="16"/>
              </w:rPr>
            </w:pPr>
            <w:r w:rsidRPr="00E14102">
              <w:rPr>
                <w:color w:val="000000" w:themeColor="text1"/>
                <w:sz w:val="16"/>
                <w:szCs w:val="16"/>
              </w:rPr>
              <w:t>Длина самолета, 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0450074" w14:textId="77777777" w:rsidR="00B22440" w:rsidRPr="00E14102" w:rsidRDefault="00B22440" w:rsidP="00E14102">
            <w:pPr>
              <w:jc w:val="both"/>
              <w:rPr>
                <w:color w:val="000000" w:themeColor="text1"/>
                <w:sz w:val="16"/>
                <w:szCs w:val="16"/>
              </w:rPr>
            </w:pPr>
            <w:r w:rsidRPr="00E14102">
              <w:rPr>
                <w:color w:val="000000" w:themeColor="text1"/>
                <w:sz w:val="16"/>
                <w:szCs w:val="16"/>
              </w:rPr>
              <w:t>8,8</w:t>
            </w:r>
          </w:p>
        </w:tc>
      </w:tr>
      <w:tr w:rsidR="00E3599D" w:rsidRPr="00E14102" w14:paraId="582F5C2F" w14:textId="77777777" w:rsidTr="00BB09AB">
        <w:trPr>
          <w:trHeight w:val="255"/>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96D5A3B" w14:textId="77777777" w:rsidR="00B22440" w:rsidRPr="00E14102" w:rsidRDefault="00B22440" w:rsidP="00E14102">
            <w:pPr>
              <w:jc w:val="both"/>
              <w:rPr>
                <w:color w:val="000000" w:themeColor="text1"/>
                <w:sz w:val="16"/>
                <w:szCs w:val="16"/>
              </w:rPr>
            </w:pPr>
            <w:r w:rsidRPr="00E14102">
              <w:rPr>
                <w:color w:val="000000" w:themeColor="text1"/>
                <w:sz w:val="16"/>
                <w:szCs w:val="16"/>
              </w:rPr>
              <w:t>Площадь крыла, м2</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32B88E4" w14:textId="77777777" w:rsidR="00B22440" w:rsidRPr="00E14102" w:rsidRDefault="00B22440" w:rsidP="00E14102">
            <w:pPr>
              <w:jc w:val="both"/>
              <w:rPr>
                <w:color w:val="000000" w:themeColor="text1"/>
                <w:sz w:val="16"/>
                <w:szCs w:val="16"/>
              </w:rPr>
            </w:pPr>
            <w:r w:rsidRPr="00E14102">
              <w:rPr>
                <w:color w:val="000000" w:themeColor="text1"/>
                <w:sz w:val="16"/>
                <w:szCs w:val="16"/>
              </w:rPr>
              <w:t>24</w:t>
            </w:r>
          </w:p>
        </w:tc>
      </w:tr>
      <w:tr w:rsidR="00E3599D" w:rsidRPr="00E14102" w14:paraId="5B5C0654"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BF04A3F" w14:textId="77777777" w:rsidR="00B22440" w:rsidRPr="00E14102" w:rsidRDefault="00B22440" w:rsidP="00E14102">
            <w:pPr>
              <w:jc w:val="both"/>
              <w:rPr>
                <w:color w:val="000000" w:themeColor="text1"/>
                <w:sz w:val="16"/>
                <w:szCs w:val="16"/>
              </w:rPr>
            </w:pPr>
            <w:r w:rsidRPr="00E14102">
              <w:rPr>
                <w:color w:val="000000" w:themeColor="text1"/>
                <w:sz w:val="16"/>
                <w:szCs w:val="16"/>
              </w:rPr>
              <w:t>Взлетный вес, кг</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C5D1E31" w14:textId="77777777" w:rsidR="00B22440" w:rsidRPr="00E14102" w:rsidRDefault="00B22440" w:rsidP="00E14102">
            <w:pPr>
              <w:jc w:val="both"/>
              <w:rPr>
                <w:color w:val="000000" w:themeColor="text1"/>
                <w:sz w:val="16"/>
                <w:szCs w:val="16"/>
              </w:rPr>
            </w:pPr>
            <w:r w:rsidRPr="00E14102">
              <w:rPr>
                <w:color w:val="000000" w:themeColor="text1"/>
                <w:sz w:val="16"/>
                <w:szCs w:val="16"/>
              </w:rPr>
              <w:t> </w:t>
            </w:r>
          </w:p>
        </w:tc>
      </w:tr>
      <w:tr w:rsidR="00E3599D" w:rsidRPr="00E14102" w14:paraId="43C1731D"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6BBE1F" w14:textId="77777777" w:rsidR="00B22440" w:rsidRPr="00E14102" w:rsidRDefault="00B22440" w:rsidP="00E14102">
            <w:pPr>
              <w:jc w:val="both"/>
              <w:rPr>
                <w:color w:val="000000" w:themeColor="text1"/>
                <w:sz w:val="16"/>
                <w:szCs w:val="16"/>
              </w:rPr>
            </w:pPr>
            <w:r w:rsidRPr="00E14102">
              <w:rPr>
                <w:color w:val="000000" w:themeColor="text1"/>
                <w:sz w:val="16"/>
                <w:szCs w:val="16"/>
              </w:rPr>
              <w:t>Вес пустого, кг</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69A3E5" w14:textId="77777777" w:rsidR="00B22440" w:rsidRPr="00E14102" w:rsidRDefault="00B22440" w:rsidP="00E14102">
            <w:pPr>
              <w:jc w:val="both"/>
              <w:rPr>
                <w:color w:val="000000" w:themeColor="text1"/>
                <w:sz w:val="16"/>
                <w:szCs w:val="16"/>
              </w:rPr>
            </w:pPr>
            <w:r w:rsidRPr="00E14102">
              <w:rPr>
                <w:color w:val="000000" w:themeColor="text1"/>
                <w:sz w:val="16"/>
                <w:szCs w:val="16"/>
              </w:rPr>
              <w:t> </w:t>
            </w:r>
          </w:p>
        </w:tc>
      </w:tr>
      <w:tr w:rsidR="00E3599D" w:rsidRPr="00E14102" w14:paraId="5A19D410"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F6A0117" w14:textId="77777777" w:rsidR="00B22440" w:rsidRPr="00E14102" w:rsidRDefault="00B22440" w:rsidP="00E14102">
            <w:pPr>
              <w:jc w:val="both"/>
              <w:rPr>
                <w:color w:val="000000" w:themeColor="text1"/>
                <w:sz w:val="16"/>
                <w:szCs w:val="16"/>
              </w:rPr>
            </w:pPr>
            <w:r w:rsidRPr="00E14102">
              <w:rPr>
                <w:color w:val="000000" w:themeColor="text1"/>
                <w:sz w:val="16"/>
                <w:szCs w:val="16"/>
              </w:rPr>
              <w:t>Максимальная скорость на большой высоте, км/ч</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0B8BC3A" w14:textId="77777777" w:rsidR="00B22440" w:rsidRPr="00E14102" w:rsidRDefault="00B22440" w:rsidP="00E14102">
            <w:pPr>
              <w:jc w:val="both"/>
              <w:rPr>
                <w:color w:val="000000" w:themeColor="text1"/>
                <w:sz w:val="16"/>
                <w:szCs w:val="16"/>
              </w:rPr>
            </w:pPr>
            <w:r w:rsidRPr="00E14102">
              <w:rPr>
                <w:color w:val="000000" w:themeColor="text1"/>
                <w:sz w:val="16"/>
                <w:szCs w:val="16"/>
              </w:rPr>
              <w:t>450</w:t>
            </w:r>
          </w:p>
        </w:tc>
      </w:tr>
      <w:tr w:rsidR="00E3599D" w:rsidRPr="00E14102" w14:paraId="594B8E72"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BE93F3B" w14:textId="77777777" w:rsidR="00B22440" w:rsidRPr="00E14102" w:rsidRDefault="00B22440" w:rsidP="00E14102">
            <w:pPr>
              <w:jc w:val="both"/>
              <w:rPr>
                <w:color w:val="000000" w:themeColor="text1"/>
                <w:sz w:val="16"/>
                <w:szCs w:val="16"/>
              </w:rPr>
            </w:pPr>
            <w:r w:rsidRPr="00E14102">
              <w:rPr>
                <w:color w:val="000000" w:themeColor="text1"/>
                <w:sz w:val="16"/>
                <w:szCs w:val="16"/>
              </w:rPr>
              <w:t>Максимальная скорость у земли, км/ч</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E2B96F9" w14:textId="77777777" w:rsidR="00B22440" w:rsidRPr="00E14102" w:rsidRDefault="00B22440" w:rsidP="00E14102">
            <w:pPr>
              <w:jc w:val="both"/>
              <w:rPr>
                <w:color w:val="000000" w:themeColor="text1"/>
                <w:sz w:val="16"/>
                <w:szCs w:val="16"/>
              </w:rPr>
            </w:pPr>
            <w:r w:rsidRPr="00E14102">
              <w:rPr>
                <w:color w:val="000000" w:themeColor="text1"/>
                <w:sz w:val="16"/>
                <w:szCs w:val="16"/>
              </w:rPr>
              <w:t> </w:t>
            </w:r>
          </w:p>
        </w:tc>
      </w:tr>
      <w:tr w:rsidR="00E3599D" w:rsidRPr="00E14102" w14:paraId="04EECF22"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2A489E6" w14:textId="77777777" w:rsidR="00B22440" w:rsidRPr="00E14102" w:rsidRDefault="00B22440" w:rsidP="00E14102">
            <w:pPr>
              <w:jc w:val="both"/>
              <w:rPr>
                <w:color w:val="000000" w:themeColor="text1"/>
                <w:sz w:val="16"/>
                <w:szCs w:val="16"/>
              </w:rPr>
            </w:pPr>
            <w:r w:rsidRPr="00E14102">
              <w:rPr>
                <w:color w:val="000000" w:themeColor="text1"/>
                <w:sz w:val="16"/>
                <w:szCs w:val="16"/>
              </w:rPr>
              <w:t>Время набора высоты 5000 м, мин</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D4B1844" w14:textId="77777777" w:rsidR="00B22440" w:rsidRPr="00E14102" w:rsidRDefault="00B22440" w:rsidP="00E14102">
            <w:pPr>
              <w:jc w:val="both"/>
              <w:rPr>
                <w:color w:val="000000" w:themeColor="text1"/>
                <w:sz w:val="16"/>
                <w:szCs w:val="16"/>
              </w:rPr>
            </w:pPr>
            <w:r w:rsidRPr="00E14102">
              <w:rPr>
                <w:color w:val="000000" w:themeColor="text1"/>
                <w:sz w:val="16"/>
                <w:szCs w:val="16"/>
              </w:rPr>
              <w:t> </w:t>
            </w:r>
          </w:p>
        </w:tc>
      </w:tr>
      <w:tr w:rsidR="00E3599D" w:rsidRPr="00E14102" w14:paraId="7D794260"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88D0A71" w14:textId="77777777" w:rsidR="00B22440" w:rsidRPr="00E14102" w:rsidRDefault="00B22440" w:rsidP="00E14102">
            <w:pPr>
              <w:jc w:val="both"/>
              <w:rPr>
                <w:color w:val="000000" w:themeColor="text1"/>
                <w:sz w:val="16"/>
                <w:szCs w:val="16"/>
              </w:rPr>
            </w:pPr>
            <w:r w:rsidRPr="00E14102">
              <w:rPr>
                <w:color w:val="000000" w:themeColor="text1"/>
                <w:sz w:val="16"/>
                <w:szCs w:val="16"/>
              </w:rPr>
              <w:t>Потолок, 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5D668A5" w14:textId="77777777" w:rsidR="00B22440" w:rsidRPr="00E14102" w:rsidRDefault="00B22440" w:rsidP="00E14102">
            <w:pPr>
              <w:jc w:val="both"/>
              <w:rPr>
                <w:color w:val="000000" w:themeColor="text1"/>
                <w:sz w:val="16"/>
                <w:szCs w:val="16"/>
              </w:rPr>
            </w:pPr>
            <w:r w:rsidRPr="00E14102">
              <w:rPr>
                <w:color w:val="000000" w:themeColor="text1"/>
                <w:sz w:val="16"/>
                <w:szCs w:val="16"/>
              </w:rPr>
              <w:t>9 850</w:t>
            </w:r>
          </w:p>
        </w:tc>
      </w:tr>
      <w:tr w:rsidR="00E3599D" w:rsidRPr="00E14102" w14:paraId="410CF1A4"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FF4652C" w14:textId="77777777" w:rsidR="00B22440" w:rsidRPr="00E14102" w:rsidRDefault="00B22440" w:rsidP="00E14102">
            <w:pPr>
              <w:jc w:val="both"/>
              <w:rPr>
                <w:color w:val="000000" w:themeColor="text1"/>
                <w:sz w:val="16"/>
                <w:szCs w:val="16"/>
              </w:rPr>
            </w:pPr>
            <w:r w:rsidRPr="00E14102">
              <w:rPr>
                <w:color w:val="000000" w:themeColor="text1"/>
                <w:sz w:val="16"/>
                <w:szCs w:val="16"/>
              </w:rPr>
              <w:t>Дальность полета, км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DDA0C0B" w14:textId="77777777" w:rsidR="00B22440" w:rsidRPr="00E14102" w:rsidRDefault="00B22440" w:rsidP="00E14102">
            <w:pPr>
              <w:jc w:val="both"/>
              <w:rPr>
                <w:color w:val="000000" w:themeColor="text1"/>
                <w:sz w:val="16"/>
                <w:szCs w:val="16"/>
              </w:rPr>
            </w:pPr>
            <w:r w:rsidRPr="00E14102">
              <w:rPr>
                <w:color w:val="000000" w:themeColor="text1"/>
                <w:sz w:val="16"/>
                <w:szCs w:val="16"/>
              </w:rPr>
              <w:t>1 050</w:t>
            </w:r>
          </w:p>
        </w:tc>
      </w:tr>
      <w:tr w:rsidR="00E3599D" w:rsidRPr="00E14102" w14:paraId="204DE1CA"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9EECC8" w14:textId="77777777" w:rsidR="00B22440" w:rsidRPr="00E14102" w:rsidRDefault="00B22440" w:rsidP="00E14102">
            <w:pPr>
              <w:jc w:val="both"/>
              <w:rPr>
                <w:color w:val="000000" w:themeColor="text1"/>
                <w:sz w:val="16"/>
                <w:szCs w:val="16"/>
              </w:rPr>
            </w:pPr>
            <w:r w:rsidRPr="00E14102">
              <w:rPr>
                <w:color w:val="000000" w:themeColor="text1"/>
                <w:sz w:val="16"/>
                <w:szCs w:val="16"/>
              </w:rPr>
              <w:t>Вооружение:</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3EE8414" w14:textId="77777777" w:rsidR="00B22440" w:rsidRPr="00E14102" w:rsidRDefault="00B22440" w:rsidP="00E14102">
            <w:pPr>
              <w:jc w:val="both"/>
              <w:rPr>
                <w:color w:val="000000" w:themeColor="text1"/>
                <w:sz w:val="16"/>
                <w:szCs w:val="16"/>
              </w:rPr>
            </w:pPr>
            <w:r w:rsidRPr="00E14102">
              <w:rPr>
                <w:color w:val="000000" w:themeColor="text1"/>
                <w:sz w:val="16"/>
                <w:szCs w:val="16"/>
              </w:rPr>
              <w:t> </w:t>
            </w:r>
          </w:p>
        </w:tc>
      </w:tr>
      <w:tr w:rsidR="00E3599D" w:rsidRPr="00E14102" w14:paraId="0DBD36FC"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6DBB2DC" w14:textId="77777777" w:rsidR="00B22440" w:rsidRPr="00E14102" w:rsidRDefault="00B22440" w:rsidP="00E14102">
            <w:pPr>
              <w:jc w:val="both"/>
              <w:rPr>
                <w:color w:val="000000" w:themeColor="text1"/>
                <w:sz w:val="16"/>
                <w:szCs w:val="16"/>
              </w:rPr>
            </w:pPr>
            <w:r w:rsidRPr="00E14102">
              <w:rPr>
                <w:color w:val="000000" w:themeColor="text1"/>
                <w:sz w:val="16"/>
                <w:szCs w:val="16"/>
              </w:rPr>
              <w:t>пушки (калибр, мм)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5698FC5" w14:textId="77777777" w:rsidR="00B22440" w:rsidRPr="00E14102" w:rsidRDefault="00B22440" w:rsidP="00E14102">
            <w:pPr>
              <w:jc w:val="both"/>
              <w:rPr>
                <w:color w:val="000000" w:themeColor="text1"/>
                <w:sz w:val="16"/>
                <w:szCs w:val="16"/>
              </w:rPr>
            </w:pPr>
            <w:r w:rsidRPr="00E14102">
              <w:rPr>
                <w:color w:val="000000" w:themeColor="text1"/>
                <w:sz w:val="16"/>
                <w:szCs w:val="16"/>
              </w:rPr>
              <w:t>2(20)</w:t>
            </w:r>
          </w:p>
        </w:tc>
      </w:tr>
      <w:tr w:rsidR="00E3599D" w:rsidRPr="00E14102" w14:paraId="17DE6D6C"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EF320CA" w14:textId="77777777" w:rsidR="00B22440" w:rsidRPr="00E14102" w:rsidRDefault="00B22440" w:rsidP="00E14102">
            <w:pPr>
              <w:jc w:val="both"/>
              <w:rPr>
                <w:color w:val="000000" w:themeColor="text1"/>
                <w:sz w:val="16"/>
                <w:szCs w:val="16"/>
              </w:rPr>
            </w:pPr>
            <w:r w:rsidRPr="00E14102">
              <w:rPr>
                <w:color w:val="000000" w:themeColor="text1"/>
                <w:sz w:val="16"/>
                <w:szCs w:val="16"/>
              </w:rPr>
              <w:t>пулеметы (калибр, мм)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03DA48C" w14:textId="77777777" w:rsidR="00B22440" w:rsidRPr="00E14102" w:rsidRDefault="00B22440" w:rsidP="00E14102">
            <w:pPr>
              <w:jc w:val="both"/>
              <w:rPr>
                <w:color w:val="000000" w:themeColor="text1"/>
                <w:sz w:val="16"/>
                <w:szCs w:val="16"/>
              </w:rPr>
            </w:pPr>
            <w:r w:rsidRPr="00E14102">
              <w:rPr>
                <w:color w:val="000000" w:themeColor="text1"/>
                <w:sz w:val="16"/>
                <w:szCs w:val="16"/>
              </w:rPr>
              <w:t>1(7,62)</w:t>
            </w:r>
          </w:p>
        </w:tc>
      </w:tr>
    </w:tbl>
    <w:p w14:paraId="4B18848D" w14:textId="77777777" w:rsidR="00B22440" w:rsidRPr="00E14102" w:rsidRDefault="00B22440" w:rsidP="00E14102">
      <w:pPr>
        <w:jc w:val="both"/>
        <w:rPr>
          <w:color w:val="000000" w:themeColor="text1"/>
          <w:sz w:val="16"/>
          <w:szCs w:val="16"/>
        </w:rPr>
      </w:pPr>
      <w:r w:rsidRPr="00E14102">
        <w:rPr>
          <w:color w:val="000000" w:themeColor="text1"/>
          <w:sz w:val="16"/>
          <w:szCs w:val="16"/>
        </w:rPr>
        <w:t>(15588).</w:t>
      </w:r>
    </w:p>
    <w:p w14:paraId="06A1F788" w14:textId="77777777" w:rsidR="00B22440" w:rsidRPr="00E14102" w:rsidRDefault="00B22440" w:rsidP="00E14102">
      <w:pPr>
        <w:jc w:val="both"/>
        <w:rPr>
          <w:color w:val="000000" w:themeColor="text1"/>
          <w:sz w:val="16"/>
          <w:szCs w:val="16"/>
        </w:rPr>
      </w:pPr>
    </w:p>
    <w:p w14:paraId="0EA1DBE0" w14:textId="77777777" w:rsidR="00B22440" w:rsidRPr="00E14102" w:rsidRDefault="00B22440" w:rsidP="00E14102">
      <w:pPr>
        <w:pStyle w:val="a7"/>
        <w:rPr>
          <w:color w:val="000000" w:themeColor="text1"/>
          <w:sz w:val="16"/>
          <w:szCs w:val="16"/>
          <w:lang w:val="ru-RU"/>
        </w:rPr>
      </w:pPr>
      <w:r w:rsidRPr="00E14102">
        <w:rPr>
          <w:color w:val="000000" w:themeColor="text1"/>
          <w:sz w:val="16"/>
          <w:szCs w:val="16"/>
          <w:lang w:val="ru-RU"/>
        </w:rPr>
        <w:t>14 июля 1935 г. Д.П.Г. направляет письмо заместителю начальника ГУАП С.Л. Марголину, в котором предлагает несколько воз</w:t>
      </w:r>
      <w:r w:rsidRPr="00E14102">
        <w:rPr>
          <w:color w:val="000000" w:themeColor="text1"/>
          <w:sz w:val="16"/>
          <w:szCs w:val="16"/>
          <w:lang w:val="ru-RU"/>
        </w:rPr>
        <w:softHyphen/>
        <w:t>можных модификаций самолета ИП-1:</w:t>
      </w:r>
    </w:p>
    <w:p w14:paraId="727CCE14" w14:textId="77777777" w:rsidR="00B22440" w:rsidRPr="00E14102" w:rsidRDefault="00B22440" w:rsidP="00E14102">
      <w:pPr>
        <w:pStyle w:val="a7"/>
        <w:tabs>
          <w:tab w:val="left" w:pos="562"/>
        </w:tabs>
        <w:rPr>
          <w:color w:val="000000" w:themeColor="text1"/>
          <w:sz w:val="16"/>
          <w:szCs w:val="16"/>
          <w:lang w:val="ru-RU"/>
        </w:rPr>
      </w:pPr>
      <w:r w:rsidRPr="00E14102">
        <w:rPr>
          <w:color w:val="000000" w:themeColor="text1"/>
          <w:sz w:val="16"/>
          <w:szCs w:val="16"/>
          <w:lang w:val="ru-RU"/>
        </w:rPr>
        <w:t>1. Многопулеметный истребитель «МПИ». Вооружение 6 пулеметов ШКАС в крыле.</w:t>
      </w:r>
    </w:p>
    <w:p w14:paraId="38FACDD3" w14:textId="77777777" w:rsidR="00B22440" w:rsidRPr="00E14102" w:rsidRDefault="00B22440" w:rsidP="00E14102">
      <w:pPr>
        <w:pStyle w:val="a7"/>
        <w:tabs>
          <w:tab w:val="left" w:pos="567"/>
        </w:tabs>
        <w:rPr>
          <w:color w:val="000000" w:themeColor="text1"/>
          <w:sz w:val="16"/>
          <w:szCs w:val="16"/>
          <w:lang w:val="ru-RU"/>
        </w:rPr>
      </w:pPr>
      <w:r w:rsidRPr="00E14102">
        <w:rPr>
          <w:color w:val="000000" w:themeColor="text1"/>
          <w:sz w:val="16"/>
          <w:szCs w:val="16"/>
          <w:lang w:val="ru-RU"/>
        </w:rPr>
        <w:t>2. Одноместный бронированный пушечный штурмовик «ПШ».</w:t>
      </w:r>
    </w:p>
    <w:p w14:paraId="08B6FB89" w14:textId="77777777" w:rsidR="00B22440" w:rsidRPr="00E14102" w:rsidRDefault="00B22440" w:rsidP="00E14102">
      <w:pPr>
        <w:pStyle w:val="a7"/>
        <w:tabs>
          <w:tab w:val="left" w:pos="510"/>
        </w:tabs>
        <w:rPr>
          <w:color w:val="000000" w:themeColor="text1"/>
          <w:sz w:val="16"/>
          <w:szCs w:val="16"/>
          <w:lang w:val="ru-RU"/>
        </w:rPr>
      </w:pPr>
      <w:r w:rsidRPr="00E14102">
        <w:rPr>
          <w:color w:val="000000" w:themeColor="text1"/>
          <w:sz w:val="16"/>
          <w:szCs w:val="16"/>
          <w:lang w:val="ru-RU"/>
        </w:rPr>
        <w:t>3. Пикирующий бомбардировщик «ПБ» с бомбами до 100 кг.</w:t>
      </w:r>
    </w:p>
    <w:p w14:paraId="6EDC6F1D" w14:textId="77777777" w:rsidR="00B22440" w:rsidRPr="00E14102" w:rsidRDefault="00B22440" w:rsidP="00E14102">
      <w:pPr>
        <w:pStyle w:val="a7"/>
        <w:tabs>
          <w:tab w:val="left" w:pos="529"/>
        </w:tabs>
        <w:rPr>
          <w:color w:val="000000" w:themeColor="text1"/>
          <w:sz w:val="16"/>
          <w:szCs w:val="16"/>
          <w:lang w:val="ru-RU"/>
        </w:rPr>
      </w:pPr>
      <w:r w:rsidRPr="00E14102">
        <w:rPr>
          <w:color w:val="000000" w:themeColor="text1"/>
          <w:sz w:val="16"/>
          <w:szCs w:val="16"/>
          <w:lang w:val="ru-RU"/>
        </w:rPr>
        <w:t>4. Истребитель с реактивными снаря</w:t>
      </w:r>
      <w:r w:rsidRPr="00E14102">
        <w:rPr>
          <w:color w:val="000000" w:themeColor="text1"/>
          <w:sz w:val="16"/>
          <w:szCs w:val="16"/>
          <w:lang w:val="ru-RU"/>
        </w:rPr>
        <w:softHyphen/>
        <w:t>дами «ИРС» (позднее эти снаряды стали известны как РС-82).</w:t>
      </w:r>
    </w:p>
    <w:p w14:paraId="199F9C28" w14:textId="77777777" w:rsidR="00B22440" w:rsidRPr="00E14102" w:rsidRDefault="00B22440" w:rsidP="00E14102">
      <w:pPr>
        <w:pStyle w:val="a7"/>
        <w:tabs>
          <w:tab w:val="left" w:pos="519"/>
        </w:tabs>
        <w:rPr>
          <w:color w:val="000000" w:themeColor="text1"/>
          <w:sz w:val="16"/>
          <w:szCs w:val="16"/>
          <w:lang w:val="ru-RU"/>
        </w:rPr>
      </w:pPr>
      <w:r w:rsidRPr="00E14102">
        <w:rPr>
          <w:color w:val="000000" w:themeColor="text1"/>
          <w:sz w:val="16"/>
          <w:szCs w:val="16"/>
          <w:lang w:val="ru-RU"/>
        </w:rPr>
        <w:t>5. Истребитель, вооруженный пушка</w:t>
      </w:r>
      <w:r w:rsidRPr="00E14102">
        <w:rPr>
          <w:color w:val="000000" w:themeColor="text1"/>
          <w:sz w:val="16"/>
          <w:szCs w:val="16"/>
          <w:lang w:val="ru-RU"/>
        </w:rPr>
        <w:softHyphen/>
        <w:t>ми и пулеметами «ИП-П».</w:t>
      </w:r>
    </w:p>
    <w:p w14:paraId="1B365E4F" w14:textId="77777777" w:rsidR="00B22440" w:rsidRPr="00E14102" w:rsidRDefault="00B22440" w:rsidP="00E14102">
      <w:pPr>
        <w:pStyle w:val="a7"/>
        <w:tabs>
          <w:tab w:val="left" w:pos="506"/>
        </w:tabs>
        <w:rPr>
          <w:color w:val="000000" w:themeColor="text1"/>
          <w:sz w:val="16"/>
          <w:szCs w:val="16"/>
          <w:lang w:val="ru-RU"/>
        </w:rPr>
      </w:pPr>
      <w:r w:rsidRPr="00E14102">
        <w:rPr>
          <w:color w:val="000000" w:themeColor="text1"/>
          <w:sz w:val="16"/>
          <w:szCs w:val="16"/>
          <w:lang w:val="ru-RU"/>
        </w:rPr>
        <w:t>6. Истребитель с пушками АПК - «ИП».</w:t>
      </w:r>
    </w:p>
    <w:p w14:paraId="0FCCC3E2" w14:textId="77777777" w:rsidR="00B22440" w:rsidRPr="00E14102" w:rsidRDefault="00B22440" w:rsidP="00E14102">
      <w:pPr>
        <w:pStyle w:val="a7"/>
        <w:rPr>
          <w:color w:val="000000" w:themeColor="text1"/>
          <w:sz w:val="16"/>
          <w:szCs w:val="16"/>
          <w:lang w:val="ru-RU"/>
        </w:rPr>
      </w:pPr>
      <w:r w:rsidRPr="00E14102">
        <w:rPr>
          <w:color w:val="000000" w:themeColor="text1"/>
          <w:sz w:val="16"/>
          <w:szCs w:val="16"/>
          <w:lang w:val="ru-RU"/>
        </w:rPr>
        <w:t>В конце письма Григорович пишет,</w:t>
      </w:r>
    </w:p>
    <w:p w14:paraId="3D837E02" w14:textId="77777777" w:rsidR="00B22440" w:rsidRPr="00E14102" w:rsidRDefault="00B22440" w:rsidP="00E14102">
      <w:pPr>
        <w:pStyle w:val="a7"/>
        <w:rPr>
          <w:color w:val="000000" w:themeColor="text1"/>
          <w:sz w:val="16"/>
          <w:szCs w:val="16"/>
          <w:lang w:val="ru-RU"/>
        </w:rPr>
      </w:pPr>
      <w:r w:rsidRPr="00E14102">
        <w:rPr>
          <w:color w:val="000000" w:themeColor="text1"/>
          <w:sz w:val="16"/>
          <w:szCs w:val="16"/>
          <w:lang w:val="ru-RU"/>
        </w:rPr>
        <w:t>что «многопулеметный» вариант ИП-1 был одобрен Наркомом обороны Воро</w:t>
      </w:r>
      <w:r w:rsidRPr="00E14102">
        <w:rPr>
          <w:color w:val="000000" w:themeColor="text1"/>
          <w:sz w:val="16"/>
          <w:szCs w:val="16"/>
          <w:lang w:val="ru-RU"/>
        </w:rPr>
        <w:softHyphen/>
        <w:t>шиловым и работы по нему развернуты полностью. Однако до сих пор эта работа не включена в план промышленности: «Ходатайствую включить в программу опытных работ завода №1 проектирование и постройку перечисленных вариантов, признать за этими работами особую важ</w:t>
      </w:r>
      <w:r w:rsidRPr="00E14102">
        <w:rPr>
          <w:color w:val="000000" w:themeColor="text1"/>
          <w:sz w:val="16"/>
          <w:szCs w:val="16"/>
          <w:lang w:val="ru-RU"/>
        </w:rPr>
        <w:softHyphen/>
        <w:t>ность и срочность. Включить в программу серийной постройки завода №1, совмест</w:t>
      </w:r>
      <w:r w:rsidRPr="00E14102">
        <w:rPr>
          <w:color w:val="000000" w:themeColor="text1"/>
          <w:sz w:val="16"/>
          <w:szCs w:val="16"/>
          <w:lang w:val="ru-RU"/>
        </w:rPr>
        <w:softHyphen/>
        <w:t>но с заводом №135, выпуск хотя бы малых серий этих машин начиная с первого квар</w:t>
      </w:r>
      <w:r w:rsidRPr="00E14102">
        <w:rPr>
          <w:color w:val="000000" w:themeColor="text1"/>
          <w:sz w:val="16"/>
          <w:szCs w:val="16"/>
          <w:lang w:val="ru-RU"/>
        </w:rPr>
        <w:softHyphen/>
        <w:t>тала 1936 г.» (15742).</w:t>
      </w:r>
    </w:p>
    <w:p w14:paraId="7885E272" w14:textId="77777777" w:rsidR="00B22440" w:rsidRPr="00E14102" w:rsidRDefault="00B22440" w:rsidP="00E14102">
      <w:pPr>
        <w:pStyle w:val="a7"/>
        <w:rPr>
          <w:color w:val="000000" w:themeColor="text1"/>
          <w:sz w:val="16"/>
          <w:szCs w:val="16"/>
          <w:lang w:val="ru-RU"/>
        </w:rPr>
      </w:pPr>
    </w:p>
    <w:p w14:paraId="434D39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 14 июля по 29 августа 1935 л А.В.Кржижевский проводил гос. испытания СПЛ-1 в Севастополе (1076,901).</w:t>
      </w:r>
    </w:p>
    <w:p w14:paraId="04AF8090" w14:textId="77777777" w:rsidR="00D4105E" w:rsidRPr="00E14102" w:rsidRDefault="00D4105E" w:rsidP="00E14102">
      <w:pPr>
        <w:autoSpaceDE w:val="0"/>
        <w:autoSpaceDN w:val="0"/>
        <w:adjustRightInd w:val="0"/>
        <w:jc w:val="both"/>
        <w:rPr>
          <w:color w:val="000000" w:themeColor="text1"/>
          <w:sz w:val="16"/>
          <w:szCs w:val="16"/>
        </w:rPr>
      </w:pPr>
    </w:p>
    <w:p w14:paraId="5BE3B6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июля 1935 года выписка из постановления №К№91сс СТО</w:t>
      </w:r>
    </w:p>
    <w:p w14:paraId="49ED9F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плане опытного самолетостроения и об улучшении боевых свойств самолетов.</w:t>
      </w:r>
    </w:p>
    <w:p w14:paraId="3BFF7B1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целях облегчения и ускорения темпов опытного строительства и серийного производства самолетов обязать НКОбороны разработать четкую систему вооружения самолетов всех видов и назначений. Развернутую систему вооружения самолетов НКОбороны внести на утверждение СТО в месячный срок (2426,9).</w:t>
      </w:r>
    </w:p>
    <w:p w14:paraId="532174EC"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458F669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95F7511" w14:textId="77777777" w:rsidR="00D4105E" w:rsidRPr="00E14102" w:rsidRDefault="00D4105E" w:rsidP="00E14102">
      <w:pPr>
        <w:autoSpaceDE w:val="0"/>
        <w:autoSpaceDN w:val="0"/>
        <w:adjustRightInd w:val="0"/>
        <w:jc w:val="both"/>
        <w:rPr>
          <w:iCs/>
          <w:color w:val="000000" w:themeColor="text1"/>
          <w:sz w:val="16"/>
          <w:szCs w:val="16"/>
        </w:rPr>
      </w:pPr>
    </w:p>
    <w:p w14:paraId="4E1AC8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14 июля 1935 года был первый крупный смотр. На Софринском полигоне были собраны все имевшиеся в стране образцы артиллерии, в том числе 76 мм универсальная пушка конструкции И.А.Маханова (Кировский завод Ленинграда), полуавтоматическая пушка Ф-22 конструкции В.Г.Грабина, 76 мм зенитная пушка на шасси грузового автомобиля, 122 мм корпусная пушка А-19, 76 мм самоходная пушка, 203 мм гаубица Б-4 и др. После осмотра представленных орудий состоялись показательные стрельбы, на которых присутствовали руководители страны. Коллективная фотография участников первого смотра на Софринском полигоне прилагается. Позднее в кремле по результатам смотра состоялось специальное совещание, на котором были определены главные направления программы коренного перевооружения артиллерии страны. Особо подчёркивалось, что артиллерийские системы должны разрабатываться целенаправленно для выполнения конкретных </w:t>
      </w:r>
      <w:r w:rsidRPr="00E14102">
        <w:rPr>
          <w:color w:val="000000" w:themeColor="text1"/>
          <w:sz w:val="16"/>
          <w:szCs w:val="16"/>
        </w:rPr>
        <w:lastRenderedPageBreak/>
        <w:t>боевых задач и обеспечивать при этом требуемые дальнобойность и точность, скорострельность и манёвренность, простоту устройства и эксплуатации, высокую надёжность в бою, технологичность и экономичность при изготовлении, а также иметь высокую эффективность снарядов у цели. Все эти требования в дальнейшем были учтены и успешно реализованы отечественными конструкторами при проектировании и изготовлении новых артиллерийских систем (12071).</w:t>
      </w:r>
    </w:p>
    <w:p w14:paraId="747FEB46" w14:textId="77777777" w:rsidR="00D4105E" w:rsidRPr="00E14102" w:rsidRDefault="00D4105E" w:rsidP="00E14102">
      <w:pPr>
        <w:autoSpaceDE w:val="0"/>
        <w:autoSpaceDN w:val="0"/>
        <w:adjustRightInd w:val="0"/>
        <w:jc w:val="both"/>
        <w:rPr>
          <w:color w:val="000000" w:themeColor="text1"/>
          <w:sz w:val="16"/>
          <w:szCs w:val="16"/>
        </w:rPr>
      </w:pPr>
    </w:p>
    <w:p w14:paraId="6A71E1F3" w14:textId="77777777" w:rsidR="00B22440" w:rsidRPr="00E14102" w:rsidRDefault="00B22440" w:rsidP="00E14102">
      <w:pPr>
        <w:jc w:val="both"/>
        <w:rPr>
          <w:rStyle w:val="a6"/>
          <w:i w:val="0"/>
          <w:color w:val="000000" w:themeColor="text1"/>
          <w:sz w:val="16"/>
          <w:szCs w:val="16"/>
        </w:rPr>
      </w:pPr>
      <w:r w:rsidRPr="00E14102">
        <w:rPr>
          <w:rStyle w:val="a6"/>
          <w:i w:val="0"/>
          <w:color w:val="000000" w:themeColor="text1"/>
          <w:sz w:val="16"/>
          <w:szCs w:val="16"/>
        </w:rPr>
        <w:t xml:space="preserve">Не позднее 14 июля 1935 г.²* </w:t>
      </w:r>
      <w:r w:rsidRPr="00E14102">
        <w:rPr>
          <w:color w:val="000000" w:themeColor="text1"/>
          <w:sz w:val="16"/>
          <w:szCs w:val="16"/>
        </w:rPr>
        <w:t>Докладная записка сектора химической промышленности Промышленного отдела ЦК ВКП(б) секретарю ЦК ВКП(б) А. А. Андрееву о реорганизации управления военно-химической промышленностью¹*</w:t>
      </w:r>
    </w:p>
    <w:p w14:paraId="2DF61B7E" w14:textId="77777777" w:rsidR="00B22440" w:rsidRPr="00E14102" w:rsidRDefault="00B22440" w:rsidP="00E14102">
      <w:pPr>
        <w:jc w:val="both"/>
        <w:rPr>
          <w:color w:val="000000" w:themeColor="text1"/>
          <w:sz w:val="16"/>
          <w:szCs w:val="16"/>
        </w:rPr>
      </w:pPr>
      <w:r w:rsidRPr="00E14102">
        <w:rPr>
          <w:rStyle w:val="a6"/>
          <w:i w:val="0"/>
          <w:color w:val="000000" w:themeColor="text1"/>
          <w:sz w:val="16"/>
          <w:szCs w:val="16"/>
        </w:rPr>
        <w:t>Секретно.</w:t>
      </w:r>
    </w:p>
    <w:p w14:paraId="5589800C" w14:textId="77777777" w:rsidR="00B22440" w:rsidRPr="00E14102" w:rsidRDefault="00B22440" w:rsidP="00E14102">
      <w:pPr>
        <w:pStyle w:val="rtejustify"/>
        <w:spacing w:before="0" w:after="0"/>
        <w:rPr>
          <w:color w:val="000000" w:themeColor="text1"/>
          <w:sz w:val="16"/>
          <w:szCs w:val="16"/>
        </w:rPr>
      </w:pPr>
      <w:r w:rsidRPr="00E14102">
        <w:rPr>
          <w:color w:val="000000" w:themeColor="text1"/>
          <w:sz w:val="16"/>
          <w:szCs w:val="16"/>
        </w:rPr>
        <w:t>По решению ЦК ВКП(б) предприятия по производству искусственного волокна из треста ВИВ выделяется и создается главк промышленности искусственного волокна. Вопрос об управлении пороховыми заводами, находящимися в ВИВе, оставлен пока открытым. Поскольку предстоит обсуждение вопроса о формах управления пороховыми заводами, мы считаем, что этот частный вопрос необходимо рассмотреть одновременно с вопросом об управлении всей военно-химической промышленностью.</w:t>
      </w:r>
    </w:p>
    <w:p w14:paraId="17022CF2" w14:textId="77777777" w:rsidR="00B22440" w:rsidRPr="00E14102" w:rsidRDefault="00B22440" w:rsidP="00E14102">
      <w:pPr>
        <w:pStyle w:val="rtejustify"/>
        <w:spacing w:before="0" w:after="0"/>
        <w:rPr>
          <w:color w:val="000000" w:themeColor="text1"/>
          <w:sz w:val="16"/>
          <w:szCs w:val="16"/>
        </w:rPr>
      </w:pPr>
      <w:r w:rsidRPr="00E14102">
        <w:rPr>
          <w:color w:val="000000" w:themeColor="text1"/>
          <w:sz w:val="16"/>
          <w:szCs w:val="16"/>
        </w:rPr>
        <w:t>За последние годы ЦК и правительство неоднократно отмечали отставание военной химии. Это отставание выражается не только в количестве, но и в качестве (неудовлетворительная организация производства и труда, недостаточная работа по выращиванию кадров, затяжка строительства, слабая работа по механизации трудоемких процессов и др.). Особенно отстают заводы Вохимтреста, где управляющий треста т. Сырцов С. И., который за три года не освоил производства, не желает осваивать, и руководство его не укрепляет, а ослабляет заводы.</w:t>
      </w:r>
    </w:p>
    <w:p w14:paraId="4982F88F" w14:textId="77777777" w:rsidR="00B22440" w:rsidRPr="00E14102" w:rsidRDefault="00B22440" w:rsidP="00E14102">
      <w:pPr>
        <w:pStyle w:val="rtejustify"/>
        <w:spacing w:before="0" w:after="0"/>
        <w:rPr>
          <w:color w:val="000000" w:themeColor="text1"/>
          <w:sz w:val="16"/>
          <w:szCs w:val="16"/>
        </w:rPr>
      </w:pPr>
      <w:r w:rsidRPr="00E14102">
        <w:rPr>
          <w:color w:val="000000" w:themeColor="text1"/>
          <w:sz w:val="16"/>
          <w:szCs w:val="16"/>
        </w:rPr>
        <w:t>Главхимпром, несмотря на то, что возглавляется круп[ным] руководителем (т. Ратайчак) все же не в состоянии охватить всех вопросов, возникающих в быстро и всесторонне растущей химии. Военная химия, заводы которой работают не вполне удовлетворительно, с ее большим хозяйством и огромными задачами, несомненно нуждается в систематическом конкретном руководстве. Программа 1935 г. по порохам, снаряжению и ВВ составляет свыше 550 млн. руб., капиталовложения — свыше 250 млн. руб., потребует от рабочих и служащих военной химии большого напряжения и, кроме того, необходимо хорошо подготовиться к будущему году.</w:t>
      </w:r>
    </w:p>
    <w:p w14:paraId="40866C14" w14:textId="77777777" w:rsidR="00B22440" w:rsidRPr="00E14102" w:rsidRDefault="00B22440" w:rsidP="00E14102">
      <w:pPr>
        <w:pStyle w:val="rtejustify"/>
        <w:spacing w:before="0" w:after="0"/>
        <w:rPr>
          <w:color w:val="000000" w:themeColor="text1"/>
          <w:sz w:val="16"/>
          <w:szCs w:val="16"/>
        </w:rPr>
      </w:pPr>
      <w:r w:rsidRPr="00E14102">
        <w:rPr>
          <w:color w:val="000000" w:themeColor="text1"/>
          <w:sz w:val="16"/>
          <w:szCs w:val="16"/>
        </w:rPr>
        <w:t>Для обеспечения систематического конкретного руководства работой военной химии целесообразно создать главк военно-химической промышленности, ликвидировать тресты ВИВ и Вохимтрест, а заводы подчинить непосредственно главку. В качестве начальника этого главка мы считаем возможным рекомендовать следующих кандидатов: т. Котта Д. Я. — управляющий треста ВИВ, т. Тодорского И. И. — зам. начальника Главхимпрома, т. Козеницкого Е. К. — помощника начальника Главхимпрома и главного инженера по военной химии. Все это работники военно-химической промышленности. В качестве заместителя начальника главка военно-химической промышленности и главного инженера главка можно назначить того же т. Козеницкого Е. К. или т. Березницкого, работающего главным инженером Военно-химического научно-исследовательского института (ВХНИИ).</w:t>
      </w:r>
    </w:p>
    <w:p w14:paraId="7FED04D7" w14:textId="77777777" w:rsidR="00B22440" w:rsidRPr="00E14102" w:rsidRDefault="00B22440" w:rsidP="00E14102">
      <w:pPr>
        <w:pStyle w:val="rtejustify"/>
        <w:spacing w:before="0" w:after="0"/>
        <w:rPr>
          <w:color w:val="000000" w:themeColor="text1"/>
          <w:sz w:val="16"/>
          <w:szCs w:val="16"/>
        </w:rPr>
      </w:pPr>
      <w:r w:rsidRPr="00E14102">
        <w:rPr>
          <w:color w:val="000000" w:themeColor="text1"/>
          <w:sz w:val="16"/>
          <w:szCs w:val="16"/>
        </w:rPr>
        <w:t>Возвращаясь к частному вопросу об управлении пороховыми заводами необходимо отметить, что пороховое производство до сих пор было разъединено. В тресте ВИВ находилось производство пироксилиновых порохов — заводы №№ 40, 9, 29 и «Красный боевик», а в Вохимтресте нитроглицериновые и черные (охотничьи) пороха — заводы №№ 59, 52 и 6. Это разъединение было искусственное, и пороховое производство Вохимтреста фактически было в загоне. Необходимо, чтобы все пороховое производство было сосредоточено под одним оперативно-хозяйственным и техническим руководством.</w:t>
      </w:r>
    </w:p>
    <w:p w14:paraId="42DFBA8B" w14:textId="77777777" w:rsidR="00B22440" w:rsidRPr="00E14102" w:rsidRDefault="00B22440"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Зав. сектором химпром[ышленности] Промотдела ЦК</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ВКП</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(б) Белов</w:t>
      </w:r>
    </w:p>
    <w:p w14:paraId="1C044BE0" w14:textId="77777777" w:rsidR="00B22440" w:rsidRPr="00E14102" w:rsidRDefault="00B22440"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6BDFA0FF" w14:textId="77777777" w:rsidR="00B22440" w:rsidRPr="00E14102" w:rsidRDefault="00B22440" w:rsidP="00E14102">
      <w:pPr>
        <w:pStyle w:val="rtejustify"/>
        <w:spacing w:before="0" w:after="0"/>
        <w:rPr>
          <w:color w:val="000000" w:themeColor="text1"/>
          <w:sz w:val="16"/>
          <w:szCs w:val="16"/>
        </w:rPr>
      </w:pPr>
      <w:r w:rsidRPr="00E14102">
        <w:rPr>
          <w:color w:val="000000" w:themeColor="text1"/>
          <w:sz w:val="16"/>
          <w:szCs w:val="16"/>
        </w:rPr>
        <w:t>¹* Копия направлена С. Орджоникидзе.</w:t>
      </w:r>
    </w:p>
    <w:p w14:paraId="7D30418E" w14:textId="77777777" w:rsidR="00B22440" w:rsidRPr="00E14102" w:rsidRDefault="00B22440" w:rsidP="00E14102">
      <w:pPr>
        <w:pStyle w:val="rtejustify"/>
        <w:spacing w:before="0" w:after="0"/>
        <w:rPr>
          <w:color w:val="000000" w:themeColor="text1"/>
          <w:sz w:val="16"/>
          <w:szCs w:val="16"/>
        </w:rPr>
      </w:pPr>
      <w:r w:rsidRPr="00E14102">
        <w:rPr>
          <w:color w:val="000000" w:themeColor="text1"/>
          <w:sz w:val="16"/>
          <w:szCs w:val="16"/>
        </w:rPr>
        <w:t>²* Датируется по сопроводительному документу.</w:t>
      </w:r>
    </w:p>
    <w:p w14:paraId="3F4FEC95" w14:textId="77777777" w:rsidR="00B22440" w:rsidRPr="00E14102" w:rsidRDefault="00B22440"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РГАСПИ. Ф. 85. Оп. 29. Д. 406. Л. 2-3. Копия (15350).</w:t>
      </w:r>
    </w:p>
    <w:p w14:paraId="7833DDAD" w14:textId="77777777" w:rsidR="00B22440" w:rsidRPr="00E14102" w:rsidRDefault="00B22440" w:rsidP="00E14102">
      <w:pPr>
        <w:jc w:val="both"/>
        <w:rPr>
          <w:color w:val="000000" w:themeColor="text1"/>
          <w:sz w:val="16"/>
          <w:szCs w:val="16"/>
        </w:rPr>
      </w:pPr>
    </w:p>
    <w:p w14:paraId="78CC35F9" w14:textId="77777777" w:rsidR="000557F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D3F82AC" w14:textId="77777777" w:rsidR="000557FA" w:rsidRPr="00E14102" w:rsidRDefault="000557FA" w:rsidP="00E14102">
      <w:pPr>
        <w:autoSpaceDE w:val="0"/>
        <w:autoSpaceDN w:val="0"/>
        <w:adjustRightInd w:val="0"/>
        <w:jc w:val="both"/>
        <w:rPr>
          <w:iCs/>
          <w:color w:val="000000" w:themeColor="text1"/>
          <w:sz w:val="16"/>
          <w:szCs w:val="16"/>
        </w:rPr>
      </w:pPr>
    </w:p>
    <w:p w14:paraId="1884EC02" w14:textId="77777777" w:rsidR="000557FA" w:rsidRPr="00E14102" w:rsidRDefault="000557FA" w:rsidP="00E14102">
      <w:pPr>
        <w:jc w:val="both"/>
        <w:rPr>
          <w:color w:val="000000" w:themeColor="text1"/>
          <w:sz w:val="16"/>
          <w:szCs w:val="16"/>
        </w:rPr>
      </w:pPr>
      <w:r w:rsidRPr="00E14102">
        <w:rPr>
          <w:color w:val="000000" w:themeColor="text1"/>
          <w:sz w:val="16"/>
          <w:szCs w:val="16"/>
        </w:rPr>
        <w:t>14 июля в 1935 году Амстердам, Нидерланды. Самолет «Fokker F-XII» компании «KLM Royal Dutch Airlines» разбивается на взлете после возгорания в двигателе. Погибают 6 человек из 19, находящихся на борту (14952).</w:t>
      </w:r>
    </w:p>
    <w:p w14:paraId="3E5ED54E" w14:textId="77777777" w:rsidR="000557FA" w:rsidRPr="00E14102" w:rsidRDefault="000557FA" w:rsidP="00E14102">
      <w:pPr>
        <w:jc w:val="both"/>
        <w:rPr>
          <w:color w:val="000000" w:themeColor="text1"/>
          <w:sz w:val="16"/>
          <w:szCs w:val="16"/>
        </w:rPr>
      </w:pPr>
    </w:p>
    <w:p w14:paraId="5729DD3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C194712" w14:textId="77777777" w:rsidR="00D4105E" w:rsidRPr="00E14102" w:rsidRDefault="00D4105E" w:rsidP="00E14102">
      <w:pPr>
        <w:autoSpaceDE w:val="0"/>
        <w:autoSpaceDN w:val="0"/>
        <w:adjustRightInd w:val="0"/>
        <w:jc w:val="both"/>
        <w:rPr>
          <w:iCs/>
          <w:color w:val="000000" w:themeColor="text1"/>
          <w:sz w:val="16"/>
          <w:szCs w:val="16"/>
        </w:rPr>
      </w:pPr>
    </w:p>
    <w:p w14:paraId="70C87C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июля 1935 началась постройка АНТ-42 (ТБ-7) (514). Ясно, что это было на 156 заводе в ЗОК.</w:t>
      </w:r>
    </w:p>
    <w:p w14:paraId="565EB5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постройка АНТ-42 (ТБ-7) началась в июне и это более вероятно, так как рабочие чертежи стали поступать еще в мае 1935.</w:t>
      </w:r>
    </w:p>
    <w:p w14:paraId="0A72CEC1" w14:textId="77777777" w:rsidR="00D4105E" w:rsidRPr="00E14102" w:rsidRDefault="00D4105E" w:rsidP="00E14102">
      <w:pPr>
        <w:autoSpaceDE w:val="0"/>
        <w:autoSpaceDN w:val="0"/>
        <w:adjustRightInd w:val="0"/>
        <w:jc w:val="both"/>
        <w:rPr>
          <w:color w:val="000000" w:themeColor="text1"/>
          <w:sz w:val="16"/>
          <w:szCs w:val="16"/>
        </w:rPr>
      </w:pPr>
    </w:p>
    <w:p w14:paraId="717266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июля 1935 закончились заводские испытания АНТ-37 ДБ-2 (2233,44).</w:t>
      </w:r>
    </w:p>
    <w:p w14:paraId="4CDFAD01" w14:textId="77777777" w:rsidR="00D4105E" w:rsidRPr="00E14102" w:rsidRDefault="00D4105E" w:rsidP="00E14102">
      <w:pPr>
        <w:autoSpaceDE w:val="0"/>
        <w:autoSpaceDN w:val="0"/>
        <w:adjustRightInd w:val="0"/>
        <w:jc w:val="both"/>
        <w:rPr>
          <w:color w:val="000000" w:themeColor="text1"/>
          <w:sz w:val="16"/>
          <w:szCs w:val="16"/>
        </w:rPr>
      </w:pPr>
    </w:p>
    <w:p w14:paraId="3BFCDF0C" w14:textId="77777777" w:rsidR="00927678" w:rsidRPr="00E14102" w:rsidRDefault="00927678" w:rsidP="00E14102">
      <w:pPr>
        <w:jc w:val="both"/>
        <w:rPr>
          <w:color w:val="000000" w:themeColor="text1"/>
          <w:sz w:val="16"/>
          <w:szCs w:val="16"/>
        </w:rPr>
      </w:pPr>
      <w:r w:rsidRPr="00E14102">
        <w:rPr>
          <w:color w:val="000000" w:themeColor="text1"/>
          <w:sz w:val="16"/>
          <w:szCs w:val="16"/>
        </w:rPr>
        <w:t>15 июля 1935 г. самолёт ДБ2 — 2К14 построили и передали на заводские летные испытания. 20 ию</w:t>
      </w:r>
      <w:r w:rsidRPr="00E14102">
        <w:rPr>
          <w:color w:val="000000" w:themeColor="text1"/>
          <w:sz w:val="16"/>
          <w:szCs w:val="16"/>
        </w:rPr>
        <w:softHyphen/>
        <w:t>ля опытный экземпляр ДБ-2 потерпел катастрофу, причиной стали вибрации хвостово</w:t>
      </w:r>
      <w:r w:rsidRPr="00E14102">
        <w:rPr>
          <w:color w:val="000000" w:themeColor="text1"/>
          <w:sz w:val="16"/>
          <w:szCs w:val="16"/>
        </w:rPr>
        <w:softHyphen/>
        <w:t>го оперения, приведшие к его разрушению (15812).</w:t>
      </w:r>
    </w:p>
    <w:p w14:paraId="6F05A779" w14:textId="77777777" w:rsidR="00927678" w:rsidRPr="00E14102" w:rsidRDefault="00927678" w:rsidP="00E14102">
      <w:pPr>
        <w:jc w:val="both"/>
        <w:rPr>
          <w:color w:val="000000" w:themeColor="text1"/>
          <w:sz w:val="16"/>
          <w:szCs w:val="16"/>
        </w:rPr>
      </w:pPr>
    </w:p>
    <w:p w14:paraId="46F6BE2C" w14:textId="77777777" w:rsidR="00197738" w:rsidRPr="00E14102" w:rsidRDefault="00197738"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15 июля 1935 заводские испытания ДБ-2 заканчиваются и опытный самолет передается на государственные испытания. 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E14102">
        <w:rPr>
          <w:rFonts w:ascii="Times New Roman" w:hAnsi="Times New Roman" w:cs="Times New Roman"/>
          <w:color w:val="000000" w:themeColor="text1"/>
          <w:sz w:val="16"/>
          <w:szCs w:val="16"/>
          <w:lang w:val="ru-RU"/>
        </w:rPr>
        <w:softHyphen/>
        <w:t>ва</w:t>
      </w:r>
      <w:r w:rsidRPr="00E14102">
        <w:rPr>
          <w:rFonts w:ascii="Times New Roman" w:hAnsi="Times New Roman" w:cs="Times New Roman"/>
          <w:color w:val="000000" w:themeColor="text1"/>
          <w:sz w:val="16"/>
          <w:szCs w:val="16"/>
          <w:lang w:val="ru-RU"/>
        </w:rPr>
        <w:softHyphen/>
        <w:t>тель</w:t>
      </w:r>
      <w:r w:rsidRPr="00E14102">
        <w:rPr>
          <w:rFonts w:ascii="Times New Roman" w:hAnsi="Times New Roman" w:cs="Times New Roman"/>
          <w:color w:val="000000" w:themeColor="text1"/>
          <w:sz w:val="16"/>
          <w:szCs w:val="16"/>
          <w:lang w:val="ru-RU"/>
        </w:rPr>
        <w:softHyphen/>
        <w:t>ских работ по флаттеру и бафтингу (19185).</w:t>
      </w:r>
    </w:p>
    <w:p w14:paraId="02EA8983" w14:textId="77777777" w:rsidR="00197738" w:rsidRPr="00E14102" w:rsidRDefault="00197738" w:rsidP="00E14102">
      <w:pPr>
        <w:pStyle w:val="rtecenter"/>
        <w:shd w:val="clear" w:color="auto" w:fill="FFFFFF"/>
        <w:spacing w:before="0" w:after="0"/>
        <w:jc w:val="both"/>
        <w:textAlignment w:val="baseline"/>
        <w:rPr>
          <w:color w:val="000000" w:themeColor="text1"/>
          <w:sz w:val="16"/>
          <w:szCs w:val="16"/>
        </w:rPr>
      </w:pPr>
    </w:p>
    <w:p w14:paraId="7AAA0C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июля 1935 состоялся первый полет самолета ХАИ-6 (274). Летал Б.Н.Кудрин.</w:t>
      </w:r>
    </w:p>
    <w:p w14:paraId="68BA06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- 15 июня 1935</w:t>
      </w:r>
    </w:p>
    <w:p w14:paraId="43A171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по 19 июля 1935 проводилось учение:</w:t>
      </w:r>
    </w:p>
    <w:p w14:paraId="238F0A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Затем было приступлено к сбрасыванию с бреющего полета (в 10-15 м) 107 мм снарядов с АГДТ.</w:t>
      </w:r>
    </w:p>
    <w:p w14:paraId="418C81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же снаряд-бомба при прямом попадании в танк взорвался мгновенно, хотя взрыватель был установлен с замедлением и сбрасывавший его самолет получил 177 пробоин. Летчик получил ранение в ноги, причем ударом осколка нога была сброшена с педали. Летнаб получил легкое ранение. Самолет и экипаж сохранены невредимыми.</w:t>
      </w:r>
    </w:p>
    <w:p w14:paraId="46587E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15 часов другой отряд с высоты 25-30 м сбросил два 122 мм снаряда-бомбы. Оба снаряда взорвались мгновенно. Осколки бомб пробили бензиновые баки ведущего самолета. Самолет немедленно вспыхнул и упал на землю.</w:t>
      </w:r>
    </w:p>
    <w:p w14:paraId="4BFBCE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этого учение было прервано.</w:t>
      </w:r>
    </w:p>
    <w:p w14:paraId="163B3C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произошло потому что взрыватель АГДТ предназначен только для бомбометания по воздушным целям.</w:t>
      </w:r>
    </w:p>
    <w:p w14:paraId="79940E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у нас нет взрывателя с замедлителем для осколочных авиабомб. (2484,24-27).</w:t>
      </w:r>
    </w:p>
    <w:p w14:paraId="3FF62639" w14:textId="77777777" w:rsidR="00D4105E" w:rsidRPr="00E14102" w:rsidRDefault="00D4105E" w:rsidP="00E14102">
      <w:pPr>
        <w:autoSpaceDE w:val="0"/>
        <w:autoSpaceDN w:val="0"/>
        <w:adjustRightInd w:val="0"/>
        <w:jc w:val="both"/>
        <w:rPr>
          <w:color w:val="000000" w:themeColor="text1"/>
          <w:sz w:val="16"/>
          <w:szCs w:val="16"/>
        </w:rPr>
      </w:pPr>
    </w:p>
    <w:p w14:paraId="612528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15 июля 1935 года по 1937 год включительно, по мере строительства, на заводе № 84 вводились в эксплуатацию новые площади. В этот период завод выполнял различные ремонтные и опытные работы: ремонт самолетов ТБ-1, металлические детали лыж для самолетов, опытные объекты Л-4 и Л-5 проф. Левкова, опытный самолет СВБ Поликарпова и т.д. В конце 1936 года завод был ориентирован на постановку производства лицензионного самолета ДС-3 американской фирмы “Дуглас”. С середины 1937 года КБ Мясищева начало подготовку чертежей ДС-3 для серийного производства. В конце 1937 года было приступлено к изготовлению плазов и шаблонов.</w:t>
      </w:r>
    </w:p>
    <w:p w14:paraId="699587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этом же году заводу присвоено имя Чкалова. В 1938 году велась подготовка производства самолета ДС-3. В августе 1938 года прибыл из Америки набор готовых деталей.</w:t>
      </w:r>
    </w:p>
    <w:p w14:paraId="287FFF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американских деталей к 1 ноября 1938 года был собран один самолет и к концу года создан задел из деталей своего производства в объеме 2,4 условных машин.</w:t>
      </w:r>
    </w:p>
    <w:p w14:paraId="516F3D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Кроме самолета ДС-3 завод построил опытный самолет ВИТ-2. В 1939 году завод осваивал плазово-шаблонный метод производства, импортное оборудование и серийную технологию самолета ДС-3, которому было присвоено обозначение ПС-84. За год завод изготовил 6 самолетов ПС-84 и вышел на 1 января 1940 года с заделом в 6,2 условных машин. Кроме самолета ПС-84 завод собрал три опытных самолета “С” конструктора Болховитинова; оборудовал три самолета УВВС под санитарные машины, изготавливал баки для самолета БОК-15 и др. Одновременно завод работал над модификацией самолета ДС-3 в виде самолета многоцелевого назначения (транспортный, санитарный, десантный) и построил один опытный экземпляр такого самолета. В 1940 году был изготовлен и сдан 51 пассажирский самолет ПС-84 и закончена подготовка завода к серийному производству. К концу мая 1941 года завод довел выпуск до одной машины в день. После начала ВОВ с июля 1941 года перешел на выпуск модернизированного самолета ПС-84, приспособленного для десантных и грузовых операций, а с октября 1941 года этот самолет выпускался приспособленным также и для перевозки раненых. В августе 1941 года самолет был вооружен одним турельным пулеметом, а в сентябре дополнительно еще двумя бортовыми и одним носовым пулеметами. В августе 1941 года завод довел выпуск самолетов до 1,5 машин в день. В октябре завод начал свертываться для </w:t>
      </w:r>
      <w:r w:rsidRPr="00E14102">
        <w:rPr>
          <w:color w:val="000000" w:themeColor="text1"/>
          <w:sz w:val="16"/>
          <w:szCs w:val="16"/>
        </w:rPr>
        <w:lastRenderedPageBreak/>
        <w:t>эвакуации и 18 октября была сдана последняя машина изготовленная в г. Химки. За 1941 год, с января до октября включительно, было изготовлено и сдано 237 самолетов, а всего а г. Химки завод изготовил 295 самолетов ПС-84.</w:t>
      </w:r>
    </w:p>
    <w:p w14:paraId="3399DA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постановлению СНК № 2160-98с от 31 октября 1941 года завод эвакуировался из г. Химки в г. Ташкент. Эвакуация началась 14 октября 1941 года, последний эшелон со ст. Химки 12 ноября 1941 года (9461).</w:t>
      </w:r>
    </w:p>
    <w:p w14:paraId="305810F7" w14:textId="77777777" w:rsidR="00D4105E" w:rsidRPr="00E14102" w:rsidRDefault="00D4105E" w:rsidP="00E14102">
      <w:pPr>
        <w:autoSpaceDE w:val="0"/>
        <w:autoSpaceDN w:val="0"/>
        <w:adjustRightInd w:val="0"/>
        <w:jc w:val="both"/>
        <w:rPr>
          <w:color w:val="000000" w:themeColor="text1"/>
          <w:sz w:val="16"/>
          <w:szCs w:val="16"/>
        </w:rPr>
      </w:pPr>
    </w:p>
    <w:p w14:paraId="3D8FA388" w14:textId="77777777" w:rsidR="00B33D27" w:rsidRPr="00E14102" w:rsidRDefault="00B33D27" w:rsidP="00E14102">
      <w:pPr>
        <w:jc w:val="both"/>
        <w:rPr>
          <w:color w:val="000000" w:themeColor="text1"/>
          <w:sz w:val="16"/>
          <w:szCs w:val="16"/>
        </w:rPr>
      </w:pPr>
      <w:r w:rsidRPr="00E14102">
        <w:rPr>
          <w:color w:val="000000" w:themeColor="text1"/>
          <w:sz w:val="16"/>
          <w:szCs w:val="16"/>
        </w:rPr>
        <w:t xml:space="preserve">15 июля 1935 г. первым был введен в строй цех № 9 — инструментальный завода № 126. В сентябре — № 1 — механический — первый производственный цех. Затем — № 14 — слесарно — сборочный, № 15 — термический, № 13 — штампо-заготовительный, № 18 — цех покрытий. К концу 1935 г. были сформированы основные производственные и вспомогательные цехи, определившие облик завода. Площадь построенной части главного корпуса превышала 20 тыс. кв. м. В августе 1935 г. началось оснащение агрегатных цехов. Всего за 1935 г. было установлено свыше 270 единиц оборудования. В 1936 г. площадь построенной части главного корпуса составляла около 44 тыс. кв. м., было установлено около 470 единиц оборудования. </w:t>
      </w:r>
    </w:p>
    <w:p w14:paraId="4A815D0A" w14:textId="77777777" w:rsidR="00B33D27" w:rsidRPr="00E14102" w:rsidRDefault="00B33D27" w:rsidP="00E14102">
      <w:pPr>
        <w:jc w:val="both"/>
        <w:rPr>
          <w:color w:val="000000" w:themeColor="text1"/>
          <w:sz w:val="16"/>
          <w:szCs w:val="16"/>
        </w:rPr>
      </w:pPr>
      <w:r w:rsidRPr="00E14102">
        <w:rPr>
          <w:color w:val="000000" w:themeColor="text1"/>
          <w:sz w:val="16"/>
          <w:szCs w:val="16"/>
        </w:rPr>
        <w:t xml:space="preserve">Сдерживала темпы строительства и нормальный ход работ в механическом, инструментальном и др. цехах нехватка электроэнергии. Завод пользовался э/энергией временной э/станции (ВЭС). В генеральном проекте авиационного завода, а затем в последующих заданиях главка, наркомата и правительства с самого начала строительства завода постройка в системе завода электростанции не предусматривалась. Более крупные энергообъекты на то время еще не были построены. </w:t>
      </w:r>
    </w:p>
    <w:p w14:paraId="5FDB3128" w14:textId="77777777" w:rsidR="00B33D27" w:rsidRPr="00E14102" w:rsidRDefault="00B33D27" w:rsidP="00E14102">
      <w:pPr>
        <w:jc w:val="both"/>
        <w:rPr>
          <w:color w:val="000000" w:themeColor="text1"/>
          <w:sz w:val="16"/>
          <w:szCs w:val="16"/>
        </w:rPr>
      </w:pPr>
      <w:r w:rsidRPr="00E14102">
        <w:rPr>
          <w:color w:val="000000" w:themeColor="text1"/>
          <w:sz w:val="16"/>
          <w:szCs w:val="16"/>
        </w:rPr>
        <w:t>В достаточном количестве завод стал получать э/энергию лишь в январе 1936 г. с введением новых мощностей на ТЭЦ судостроительного завода, откуда к авиационному заводу была протянута ЛЭП (12211).</w:t>
      </w:r>
    </w:p>
    <w:p w14:paraId="76F9B447" w14:textId="77777777" w:rsidR="00B33D27" w:rsidRPr="00E14102" w:rsidRDefault="00B33D27" w:rsidP="00E14102">
      <w:pPr>
        <w:jc w:val="both"/>
        <w:rPr>
          <w:color w:val="000000" w:themeColor="text1"/>
          <w:sz w:val="16"/>
          <w:szCs w:val="16"/>
        </w:rPr>
      </w:pPr>
    </w:p>
    <w:p w14:paraId="648605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июля 1935 г. был заключен договор между ГАЗом и техникумом, согласно которому испытания КСМ надлежало завершить к 15 сентября. Специально для КСМ в районе села Борисовское, что недалеко от Горького, был построен ангар. Основную программу испытаний выполнил И.А.Квасов. Доработка самолета закончилась к 5 сентября с появлением закрытой кабины, а 17 сентября подвели бухгалтерский баланс, после чего техникум был ликвидирован. Веселовский с ближайшими соратниками перешел на завод “Красный Металлист”, где организовал аэросанный цех. Самолет сдали ГАЗу (10212).</w:t>
      </w:r>
    </w:p>
    <w:p w14:paraId="048BD7C9" w14:textId="77777777" w:rsidR="00D4105E" w:rsidRPr="00E14102" w:rsidRDefault="00D4105E" w:rsidP="00E14102">
      <w:pPr>
        <w:autoSpaceDE w:val="0"/>
        <w:autoSpaceDN w:val="0"/>
        <w:adjustRightInd w:val="0"/>
        <w:jc w:val="both"/>
        <w:rPr>
          <w:color w:val="000000" w:themeColor="text1"/>
          <w:sz w:val="16"/>
          <w:szCs w:val="16"/>
        </w:rPr>
      </w:pPr>
    </w:p>
    <w:p w14:paraId="03E1E6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июля 1935 был подписан договор между ГАЗом, в лице замдиректо</w:t>
      </w:r>
      <w:r w:rsidRPr="00E14102">
        <w:rPr>
          <w:color w:val="000000" w:themeColor="text1"/>
          <w:sz w:val="16"/>
          <w:szCs w:val="16"/>
        </w:rPr>
        <w:softHyphen/>
        <w:t>ра А.М.Рубина, и мастерскими ГГАТ ГВФ, в лице их начальника М.В.Веселовского, о проведение испытаний са</w:t>
      </w:r>
      <w:r w:rsidRPr="00E14102">
        <w:rPr>
          <w:color w:val="000000" w:themeColor="text1"/>
          <w:sz w:val="16"/>
          <w:szCs w:val="16"/>
        </w:rPr>
        <w:softHyphen/>
        <w:t>молета, которые надлежало завершить к 15 сентября. Специально для КСМ в районе села Борисов</w:t>
      </w:r>
      <w:r w:rsidRPr="00E14102">
        <w:rPr>
          <w:color w:val="000000" w:themeColor="text1"/>
          <w:sz w:val="16"/>
          <w:szCs w:val="16"/>
        </w:rPr>
        <w:softHyphen/>
        <w:t>ское (дер. Борисово), что недалеко от Горь</w:t>
      </w:r>
      <w:r w:rsidRPr="00E14102">
        <w:rPr>
          <w:color w:val="000000" w:themeColor="text1"/>
          <w:sz w:val="16"/>
          <w:szCs w:val="16"/>
        </w:rPr>
        <w:softHyphen/>
        <w:t>кого, был устроен ангар. Основную програм</w:t>
      </w:r>
      <w:r w:rsidRPr="00E14102">
        <w:rPr>
          <w:color w:val="000000" w:themeColor="text1"/>
          <w:sz w:val="16"/>
          <w:szCs w:val="16"/>
        </w:rPr>
        <w:softHyphen/>
        <w:t>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w:t>
      </w:r>
      <w:r w:rsidRPr="00E14102">
        <w:rPr>
          <w:color w:val="000000" w:themeColor="text1"/>
          <w:sz w:val="16"/>
          <w:szCs w:val="16"/>
        </w:rPr>
        <w:softHyphen/>
        <w:t>фессии, особыми приметами самолетострои</w:t>
      </w:r>
      <w:r w:rsidRPr="00E14102">
        <w:rPr>
          <w:color w:val="000000" w:themeColor="text1"/>
          <w:sz w:val="16"/>
          <w:szCs w:val="16"/>
        </w:rPr>
        <w:softHyphen/>
        <w:t>телям не запомнился...(10715).</w:t>
      </w:r>
    </w:p>
    <w:p w14:paraId="0C5B5E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848248A"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15 июля 1935 в соответствии с договором между ГАЗом, в лице замдиректора АМРубина, и мастерскими техникума (ГГАТ), в лице их начальника М.В.Веселовского, подписанным, проведение испытаний самолета КСМ надлежало завершить к 15 сентября. Специально для КСМ в районе села Борисовское (дер. Борисово), что недалеко от Горького, был устроен ангар. Основную программу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профессии, особыми приметами самолетостроителям не запомнился...</w:t>
      </w:r>
    </w:p>
    <w:p w14:paraId="72AE94A0"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 результатам испытаний самолет доработали — появилась закрытая кабина, подогнанная по размерам под чекиста-испытателя. 5 сентября доработка самолета закончилась, а 17 сентября был подведен бухгалтерский баланс. После чего процедура ликвидации техникума была успешно завершена, и к ноябрю М.В.Веселовский с ближайшими помощниками перешел на завод «Красный Металлист», где был организован аэросанный цех. Самолет же сдали заказчику — ГАЗ-у (12683).</w:t>
      </w:r>
    </w:p>
    <w:p w14:paraId="2E88BDCE" w14:textId="77777777" w:rsidR="00A45C9C" w:rsidRPr="00E14102" w:rsidRDefault="00A45C9C" w:rsidP="00E14102">
      <w:pPr>
        <w:shd w:val="clear" w:color="auto" w:fill="FFFFFF"/>
        <w:jc w:val="both"/>
        <w:rPr>
          <w:color w:val="000000" w:themeColor="text1"/>
          <w:sz w:val="16"/>
          <w:szCs w:val="16"/>
        </w:rPr>
      </w:pPr>
    </w:p>
    <w:p w14:paraId="4EE64F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июля 1935 приказом № 8 наркома обороны Ворошилова началась подготовка к перелету на продолжительность и дальность по замкнутому кругу. Для обеспечения этого и последующих полетов тяжелонагруженных самолетов впервые в СССР соорудили бетонную взлетно-посадочную полосу со стартовой горкой. Одновременно со строительством полосы 2000 рабочих и красноармейцев в течение 15 суток сравнивали большой земляной холм. лежащий на пути самолета. Вертикальная скорость в момент отрыва гяжелонагруженной машины была настолько мала, что она не успевала преодолеть это естественное препятствие (160).</w:t>
      </w:r>
    </w:p>
    <w:p w14:paraId="74751B97" w14:textId="77777777" w:rsidR="00D4105E" w:rsidRPr="00E14102" w:rsidRDefault="00D4105E" w:rsidP="00E14102">
      <w:pPr>
        <w:autoSpaceDE w:val="0"/>
        <w:autoSpaceDN w:val="0"/>
        <w:adjustRightInd w:val="0"/>
        <w:jc w:val="both"/>
        <w:rPr>
          <w:color w:val="000000" w:themeColor="text1"/>
          <w:sz w:val="16"/>
          <w:szCs w:val="16"/>
        </w:rPr>
      </w:pPr>
    </w:p>
    <w:p w14:paraId="4BB061D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июля 1935 г. «Ермак» вышел в плавание. Через че</w:t>
      </w:r>
      <w:r w:rsidRPr="00E14102">
        <w:rPr>
          <w:color w:val="000000" w:themeColor="text1"/>
          <w:sz w:val="16"/>
          <w:szCs w:val="16"/>
        </w:rPr>
        <w:softHyphen/>
        <w:t>тыре дня, 19 июля, на чистой спокойной воде в Карском море летчикам, наконец, удалось опробовать Ш-2. Его опускали на воду и поднимали бортовым двухтонным кра</w:t>
      </w:r>
      <w:r w:rsidRPr="00E14102">
        <w:rPr>
          <w:color w:val="000000" w:themeColor="text1"/>
          <w:sz w:val="16"/>
          <w:szCs w:val="16"/>
        </w:rPr>
        <w:softHyphen/>
        <w:t>ном, который оказался недостаточно прочным, деформи</w:t>
      </w:r>
      <w:r w:rsidRPr="00E14102">
        <w:rPr>
          <w:color w:val="000000" w:themeColor="text1"/>
          <w:sz w:val="16"/>
          <w:szCs w:val="16"/>
        </w:rPr>
        <w:softHyphen/>
        <w:t>ровался и его приходилось укреплять (11107).</w:t>
      </w:r>
    </w:p>
    <w:p w14:paraId="48A599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408E44D" w14:textId="77777777" w:rsidR="00B33D27" w:rsidRPr="00E14102" w:rsidRDefault="00B33D27" w:rsidP="00E14102">
      <w:pPr>
        <w:jc w:val="both"/>
        <w:rPr>
          <w:color w:val="000000" w:themeColor="text1"/>
          <w:sz w:val="16"/>
          <w:szCs w:val="16"/>
        </w:rPr>
      </w:pPr>
      <w:r w:rsidRPr="00E14102">
        <w:rPr>
          <w:color w:val="000000" w:themeColor="text1"/>
          <w:sz w:val="16"/>
          <w:szCs w:val="16"/>
        </w:rPr>
        <w:t>15 июля 1935 г. «Ермак» вышел в плавание. Через четыре дня, 19 июля, на чистой спокой</w:t>
      </w:r>
      <w:r w:rsidRPr="00E14102">
        <w:rPr>
          <w:color w:val="000000" w:themeColor="text1"/>
          <w:sz w:val="16"/>
          <w:szCs w:val="16"/>
        </w:rPr>
        <w:softHyphen/>
        <w:t>ной воде в Карском море летчикам, наконец, &gt;лалось опробовать Ш-2. Опускали на воду и поднимали бортовым двухтонным краном, который оказался недостаточно прочным, де</w:t>
      </w:r>
      <w:r w:rsidRPr="00E14102">
        <w:rPr>
          <w:color w:val="000000" w:themeColor="text1"/>
          <w:sz w:val="16"/>
          <w:szCs w:val="16"/>
        </w:rPr>
        <w:softHyphen/>
        <w:t>формировался, приходилось его укреплять.</w:t>
      </w:r>
    </w:p>
    <w:p w14:paraId="342B0742" w14:textId="77777777" w:rsidR="00B33D27" w:rsidRPr="00E14102" w:rsidRDefault="00B33D27" w:rsidP="00E14102">
      <w:pPr>
        <w:jc w:val="both"/>
        <w:rPr>
          <w:color w:val="000000" w:themeColor="text1"/>
          <w:sz w:val="16"/>
          <w:szCs w:val="16"/>
        </w:rPr>
      </w:pPr>
      <w:r w:rsidRPr="00E14102">
        <w:rPr>
          <w:color w:val="000000" w:themeColor="text1"/>
          <w:sz w:val="16"/>
          <w:szCs w:val="16"/>
        </w:rPr>
        <w:t>Всего за период летней навигации Ш-2 СССР-Н64 совершил 8 полетов с общим на</w:t>
      </w:r>
      <w:r w:rsidRPr="00E14102">
        <w:rPr>
          <w:color w:val="000000" w:themeColor="text1"/>
          <w:sz w:val="16"/>
          <w:szCs w:val="16"/>
        </w:rPr>
        <w:softHyphen/>
        <w:t>летом 12 часов 28 минут. 5 вылетов на развед</w:t>
      </w:r>
      <w:r w:rsidRPr="00E14102">
        <w:rPr>
          <w:color w:val="000000" w:themeColor="text1"/>
          <w:sz w:val="16"/>
          <w:szCs w:val="16"/>
        </w:rPr>
        <w:softHyphen/>
        <w:t xml:space="preserve">ал ледовой обстановки выполнил Козлов, 3 </w:t>
      </w:r>
      <w:r w:rsidRPr="00E14102">
        <w:rPr>
          <w:rStyle w:val="9pt"/>
          <w:color w:val="000000" w:themeColor="text1"/>
          <w:spacing w:val="0"/>
          <w:sz w:val="16"/>
          <w:szCs w:val="16"/>
        </w:rPr>
        <w:t>полета в районе мыса Челюскин</w:t>
      </w:r>
      <w:r w:rsidRPr="00E14102">
        <w:rPr>
          <w:color w:val="000000" w:themeColor="text1"/>
          <w:sz w:val="16"/>
          <w:szCs w:val="16"/>
        </w:rPr>
        <w:t xml:space="preserve"> и в устье ре- см Таймыра совершил летчик Линдель (12301).</w:t>
      </w:r>
    </w:p>
    <w:p w14:paraId="71C24C09" w14:textId="77777777" w:rsidR="00B33D27" w:rsidRPr="00E14102" w:rsidRDefault="00B33D27" w:rsidP="00E14102">
      <w:pPr>
        <w:jc w:val="both"/>
        <w:rPr>
          <w:color w:val="000000" w:themeColor="text1"/>
          <w:sz w:val="16"/>
          <w:szCs w:val="16"/>
        </w:rPr>
      </w:pPr>
    </w:p>
    <w:p w14:paraId="45EBE6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15 июля по 15 августа 1935 в соответствии с Приказом наркома обороны от 8-го мая 1935 N 076 на УВС проходили испытания эффективности всех калибров авиабомб, вероятных отклонений, технического рассеивания в залпах и работы электрифицированного бомбардировочного вооружения на самолетах ТБ3-М34Р и Р5 в Оренбурге в период (3126).</w:t>
      </w:r>
    </w:p>
    <w:p w14:paraId="05E4CF59" w14:textId="77777777" w:rsidR="00D4105E" w:rsidRPr="00E14102" w:rsidRDefault="00D4105E" w:rsidP="00E14102">
      <w:pPr>
        <w:autoSpaceDE w:val="0"/>
        <w:autoSpaceDN w:val="0"/>
        <w:adjustRightInd w:val="0"/>
        <w:jc w:val="both"/>
        <w:rPr>
          <w:color w:val="000000" w:themeColor="text1"/>
          <w:sz w:val="16"/>
          <w:szCs w:val="16"/>
        </w:rPr>
      </w:pPr>
    </w:p>
    <w:p w14:paraId="35F3484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июля 1935 отстреляли четыре новых боеприпаса ТРС-40С, снаряженных сигнальными звездками. Три снаряда «дали пра</w:t>
      </w:r>
      <w:r w:rsidRPr="00E14102">
        <w:rPr>
          <w:color w:val="000000" w:themeColor="text1"/>
          <w:sz w:val="16"/>
          <w:szCs w:val="16"/>
        </w:rPr>
        <w:softHyphen/>
        <w:t>вильный полет с высотой подъема 500 м». У одного все же сорвало обте</w:t>
      </w:r>
      <w:r w:rsidRPr="00E14102">
        <w:rPr>
          <w:color w:val="000000" w:themeColor="text1"/>
          <w:sz w:val="16"/>
          <w:szCs w:val="16"/>
        </w:rPr>
        <w:softHyphen/>
        <w:t>катель головной части. 17 сентября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E14102">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E14102">
        <w:rPr>
          <w:color w:val="000000" w:themeColor="text1"/>
          <w:sz w:val="16"/>
          <w:szCs w:val="16"/>
        </w:rPr>
        <w:softHyphen/>
        <w:t>нейшем в чертежи внесли изменения, улучшив крепление алюминиево</w:t>
      </w:r>
      <w:r w:rsidRPr="00E14102">
        <w:rPr>
          <w:color w:val="000000" w:themeColor="text1"/>
          <w:sz w:val="16"/>
          <w:szCs w:val="16"/>
        </w:rPr>
        <w:softHyphen/>
        <w:t>го головного обтекателя с дном. Готовые образцы 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E14102">
        <w:rPr>
          <w:color w:val="000000" w:themeColor="text1"/>
          <w:sz w:val="16"/>
          <w:szCs w:val="16"/>
        </w:rPr>
        <w:softHyphen/>
        <w:t>сов модели 140900 и четыре пусковых трубы модели 101700 для полигон</w:t>
      </w:r>
      <w:r w:rsidRPr="00E14102">
        <w:rPr>
          <w:color w:val="000000" w:themeColor="text1"/>
          <w:sz w:val="16"/>
          <w:szCs w:val="16"/>
        </w:rPr>
        <w:softHyphen/>
        <w:t>ных испытаний (11402).</w:t>
      </w:r>
    </w:p>
    <w:p w14:paraId="51286F15" w14:textId="77777777" w:rsidR="00D4105E" w:rsidRPr="00E14102" w:rsidRDefault="00D4105E" w:rsidP="00E14102">
      <w:pPr>
        <w:autoSpaceDE w:val="0"/>
        <w:autoSpaceDN w:val="0"/>
        <w:adjustRightInd w:val="0"/>
        <w:jc w:val="both"/>
        <w:rPr>
          <w:color w:val="000000" w:themeColor="text1"/>
          <w:sz w:val="16"/>
          <w:szCs w:val="16"/>
        </w:rPr>
      </w:pPr>
    </w:p>
    <w:p w14:paraId="173A67A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6A812AB" w14:textId="77777777" w:rsidR="00D4105E" w:rsidRPr="00E14102" w:rsidRDefault="00D4105E" w:rsidP="00E14102">
      <w:pPr>
        <w:autoSpaceDE w:val="0"/>
        <w:autoSpaceDN w:val="0"/>
        <w:adjustRightInd w:val="0"/>
        <w:jc w:val="both"/>
        <w:rPr>
          <w:iCs/>
          <w:color w:val="000000" w:themeColor="text1"/>
          <w:sz w:val="16"/>
          <w:szCs w:val="16"/>
        </w:rPr>
      </w:pPr>
    </w:p>
    <w:p w14:paraId="68E0F4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июля 1935 на ЧТЗ закончилась сборка первого дизельного двигателя, а 1 августа прошла его обкатка на стенде. 14 августа первый дизельный трактор совершил первый 15-километровый пробег на площадке завода. А 11 декабря 1935 года вся Москва стала свидетелем своеобразного парада новой техники ЧТЗ. По улицам столицы прошла колонна опытных образцов челябинских дизельных тракторов. Потом колонна машин въехала в Кремль, где их осматривали Сталин и члены правительства. Колонну ЧТЗ возглавляли директор Опытного завода ЧТЗ Треубов и начальник Дизельного управления Гуревич (11627).</w:t>
      </w:r>
    </w:p>
    <w:p w14:paraId="19034154" w14:textId="77777777" w:rsidR="00D4105E" w:rsidRPr="00E14102" w:rsidRDefault="00D4105E" w:rsidP="00E14102">
      <w:pPr>
        <w:autoSpaceDE w:val="0"/>
        <w:autoSpaceDN w:val="0"/>
        <w:adjustRightInd w:val="0"/>
        <w:jc w:val="both"/>
        <w:rPr>
          <w:color w:val="000000" w:themeColor="text1"/>
          <w:sz w:val="16"/>
          <w:szCs w:val="16"/>
        </w:rPr>
      </w:pPr>
    </w:p>
    <w:p w14:paraId="2CEE0018" w14:textId="77777777" w:rsidR="00197738" w:rsidRPr="00E14102" w:rsidRDefault="00197738" w:rsidP="00E14102">
      <w:pPr>
        <w:jc w:val="both"/>
        <w:rPr>
          <w:color w:val="000000" w:themeColor="text1"/>
          <w:sz w:val="16"/>
          <w:szCs w:val="16"/>
        </w:rPr>
      </w:pPr>
      <w:r w:rsidRPr="00E14102">
        <w:rPr>
          <w:color w:val="000000" w:themeColor="text1"/>
          <w:sz w:val="16"/>
          <w:szCs w:val="16"/>
        </w:rPr>
        <w:t>15 июля 1935 года, еще в ходе заводских испытаний новых образцов бронедрезин, руководство УММ РККА направило начальнику штаба РККА Егорову проект новой организации бронепоездных частей. Согласно этому документу в состав каждого дивизиона бронепоездов включались 3 бронедрезины-транспортера (ДТР), 1 штабная бронедрезина (ДШ) и 4 бронемашины на железнодорожном ходу (1 БА-6 жд и 3 ФАИ-жд). А каждый отдельный бронепоезд, не входивший в состав дивизионов, должен был иметь в своем составе 1 тяжелую бронедрезину (БДТ), 1 ДТР и 3 бронемашины на железнодорожном ходу (2 БА-6 жд и 1 ФАИ-жд) (18626).</w:t>
      </w:r>
    </w:p>
    <w:p w14:paraId="4186649F" w14:textId="77777777" w:rsidR="00197738" w:rsidRPr="00E14102" w:rsidRDefault="00197738" w:rsidP="00E14102">
      <w:pPr>
        <w:jc w:val="both"/>
        <w:rPr>
          <w:color w:val="000000" w:themeColor="text1"/>
          <w:sz w:val="16"/>
          <w:szCs w:val="16"/>
        </w:rPr>
      </w:pPr>
    </w:p>
    <w:p w14:paraId="5BCF01A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F80227D" w14:textId="77777777" w:rsidR="00D4105E" w:rsidRPr="00E14102" w:rsidRDefault="00D4105E" w:rsidP="00E14102">
      <w:pPr>
        <w:autoSpaceDE w:val="0"/>
        <w:autoSpaceDN w:val="0"/>
        <w:adjustRightInd w:val="0"/>
        <w:jc w:val="both"/>
        <w:rPr>
          <w:iCs/>
          <w:color w:val="000000" w:themeColor="text1"/>
          <w:sz w:val="16"/>
          <w:szCs w:val="16"/>
        </w:rPr>
      </w:pPr>
    </w:p>
    <w:p w14:paraId="61B7EA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июля 1935 г. Постановлением Совета Народных Комиссаров СССР в составе НКВД организовано Главное управление государственной съемки и картографии (ГУГСК) НКВД СССР (10303).</w:t>
      </w:r>
    </w:p>
    <w:p w14:paraId="67B2E3CF" w14:textId="77777777" w:rsidR="00D4105E" w:rsidRPr="00E14102" w:rsidRDefault="00D4105E" w:rsidP="00E14102">
      <w:pPr>
        <w:autoSpaceDE w:val="0"/>
        <w:autoSpaceDN w:val="0"/>
        <w:adjustRightInd w:val="0"/>
        <w:jc w:val="both"/>
        <w:rPr>
          <w:color w:val="000000" w:themeColor="text1"/>
          <w:sz w:val="16"/>
          <w:szCs w:val="16"/>
        </w:rPr>
      </w:pPr>
    </w:p>
    <w:p w14:paraId="54DA6ACB" w14:textId="77777777" w:rsidR="0087226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A3FCB7B" w14:textId="77777777" w:rsidR="00872260" w:rsidRPr="00E14102" w:rsidRDefault="00872260" w:rsidP="00E14102">
      <w:pPr>
        <w:autoSpaceDE w:val="0"/>
        <w:autoSpaceDN w:val="0"/>
        <w:adjustRightInd w:val="0"/>
        <w:jc w:val="both"/>
        <w:rPr>
          <w:iCs/>
          <w:color w:val="000000" w:themeColor="text1"/>
          <w:sz w:val="16"/>
          <w:szCs w:val="16"/>
        </w:rPr>
      </w:pPr>
    </w:p>
    <w:p w14:paraId="4BD78F78" w14:textId="77777777" w:rsidR="00195837" w:rsidRPr="00E14102" w:rsidRDefault="00195837" w:rsidP="00E14102">
      <w:pPr>
        <w:pStyle w:val="1080"/>
        <w:shd w:val="clear" w:color="auto" w:fill="auto"/>
        <w:spacing w:after="0" w:line="240" w:lineRule="auto"/>
        <w:ind w:firstLine="0"/>
        <w:jc w:val="both"/>
        <w:rPr>
          <w:rStyle w:val="820"/>
          <w:rFonts w:ascii="Times New Roman" w:hAnsi="Times New Roman" w:cs="Times New Roman"/>
          <w:color w:val="0070C0"/>
          <w:sz w:val="16"/>
          <w:szCs w:val="16"/>
        </w:rPr>
      </w:pPr>
      <w:r w:rsidRPr="00E14102">
        <w:rPr>
          <w:rStyle w:val="820"/>
          <w:rFonts w:ascii="Times New Roman" w:hAnsi="Times New Roman" w:cs="Times New Roman"/>
          <w:color w:val="0070C0"/>
          <w:sz w:val="16"/>
          <w:szCs w:val="16"/>
        </w:rPr>
        <w:t xml:space="preserve">К середине июля </w:t>
      </w:r>
      <w:r w:rsidRPr="00E14102">
        <w:rPr>
          <w:rStyle w:val="820"/>
          <w:rFonts w:ascii="Times New Roman" w:hAnsi="Times New Roman" w:cs="Times New Roman"/>
          <w:color w:val="0070C0"/>
          <w:sz w:val="16"/>
          <w:szCs w:val="16"/>
          <w:lang w:val="ru-RU"/>
        </w:rPr>
        <w:t xml:space="preserve">1935 </w:t>
      </w:r>
      <w:r w:rsidRPr="00E14102">
        <w:rPr>
          <w:rStyle w:val="820"/>
          <w:rFonts w:ascii="Times New Roman" w:hAnsi="Times New Roman" w:cs="Times New Roman"/>
          <w:color w:val="0070C0"/>
          <w:sz w:val="16"/>
          <w:szCs w:val="16"/>
        </w:rPr>
        <w:t xml:space="preserve">документация и эталон </w:t>
      </w:r>
      <w:r w:rsidRPr="00E14102">
        <w:rPr>
          <w:rStyle w:val="820"/>
          <w:rFonts w:ascii="Times New Roman" w:hAnsi="Times New Roman" w:cs="Times New Roman"/>
          <w:color w:val="0070C0"/>
          <w:sz w:val="16"/>
          <w:szCs w:val="16"/>
          <w:lang w:val="ru-RU"/>
        </w:rPr>
        <w:t xml:space="preserve">ХАИ </w:t>
      </w:r>
      <w:r w:rsidRPr="00E14102">
        <w:rPr>
          <w:rStyle w:val="820"/>
          <w:rFonts w:ascii="Times New Roman" w:hAnsi="Times New Roman" w:cs="Times New Roman"/>
          <w:color w:val="0070C0"/>
          <w:sz w:val="16"/>
          <w:szCs w:val="16"/>
        </w:rPr>
        <w:t>были готовы для передачи харьковчанам. Проблема была лишь в том, что для выполне</w:t>
      </w:r>
      <w:r w:rsidRPr="00E14102">
        <w:rPr>
          <w:rStyle w:val="820"/>
          <w:rFonts w:ascii="Times New Roman" w:hAnsi="Times New Roman" w:cs="Times New Roman"/>
          <w:color w:val="0070C0"/>
          <w:sz w:val="16"/>
          <w:szCs w:val="16"/>
        </w:rPr>
        <w:softHyphen/>
        <w:t>ния программы 1935 года в 100 машин уже в сентябре 135-му заводу надо было сдать 12 ИП-1, а к концу октября - еще 29. Задача ока</w:t>
      </w:r>
      <w:r w:rsidRPr="00E14102">
        <w:rPr>
          <w:rStyle w:val="820"/>
          <w:rFonts w:ascii="Times New Roman" w:hAnsi="Times New Roman" w:cs="Times New Roman"/>
          <w:color w:val="0070C0"/>
          <w:sz w:val="16"/>
          <w:szCs w:val="16"/>
        </w:rPr>
        <w:softHyphen/>
        <w:t>залась практически невыполнимой для заво</w:t>
      </w:r>
      <w:r w:rsidRPr="00E14102">
        <w:rPr>
          <w:rStyle w:val="820"/>
          <w:rFonts w:ascii="Times New Roman" w:hAnsi="Times New Roman" w:cs="Times New Roman"/>
          <w:color w:val="0070C0"/>
          <w:sz w:val="16"/>
          <w:szCs w:val="16"/>
        </w:rPr>
        <w:softHyphen/>
        <w:t>да</w:t>
      </w:r>
      <w:r w:rsidRPr="00E14102">
        <w:rPr>
          <w:rStyle w:val="820"/>
          <w:rFonts w:ascii="Times New Roman" w:hAnsi="Times New Roman" w:cs="Times New Roman"/>
          <w:color w:val="0070C0"/>
          <w:sz w:val="16"/>
          <w:szCs w:val="16"/>
          <w:lang w:val="ru-RU"/>
        </w:rPr>
        <w:t xml:space="preserve"> (19871)</w:t>
      </w:r>
      <w:r w:rsidRPr="00E14102">
        <w:rPr>
          <w:rStyle w:val="820"/>
          <w:rFonts w:ascii="Times New Roman" w:hAnsi="Times New Roman" w:cs="Times New Roman"/>
          <w:color w:val="0070C0"/>
          <w:sz w:val="16"/>
          <w:szCs w:val="16"/>
        </w:rPr>
        <w:t>.</w:t>
      </w:r>
    </w:p>
    <w:p w14:paraId="27A7DA58" w14:textId="77777777" w:rsidR="00195837" w:rsidRPr="00E14102" w:rsidRDefault="00195837" w:rsidP="00E14102">
      <w:pPr>
        <w:pStyle w:val="1080"/>
        <w:shd w:val="clear" w:color="auto" w:fill="auto"/>
        <w:spacing w:after="0" w:line="240" w:lineRule="auto"/>
        <w:ind w:firstLine="0"/>
        <w:jc w:val="both"/>
        <w:rPr>
          <w:rStyle w:val="820"/>
          <w:rFonts w:ascii="Times New Roman" w:hAnsi="Times New Roman" w:cs="Times New Roman"/>
          <w:color w:val="0070C0"/>
          <w:sz w:val="16"/>
          <w:szCs w:val="16"/>
        </w:rPr>
      </w:pPr>
    </w:p>
    <w:p w14:paraId="6D701D16" w14:textId="77777777" w:rsidR="00195837" w:rsidRPr="00E14102" w:rsidRDefault="00195837" w:rsidP="00E14102">
      <w:pPr>
        <w:jc w:val="both"/>
        <w:rPr>
          <w:color w:val="0070C0"/>
          <w:sz w:val="16"/>
          <w:szCs w:val="16"/>
        </w:rPr>
      </w:pPr>
      <w:r w:rsidRPr="00E14102">
        <w:rPr>
          <w:rStyle w:val="176"/>
          <w:rFonts w:ascii="Times New Roman" w:hAnsi="Times New Roman" w:cs="Times New Roman"/>
          <w:color w:val="0070C0"/>
          <w:sz w:val="16"/>
          <w:szCs w:val="16"/>
        </w:rPr>
        <w:t>К</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середине июля 1935 в ХАИ сумели изготовить все детали</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для статиспытаний ХАИ-5. Сами испытания были</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проведены по всем частям самолета кроме</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фюзеляжа. На летный экземпляр были гото</w:t>
      </w:r>
      <w:r w:rsidRPr="00E14102">
        <w:rPr>
          <w:rStyle w:val="176"/>
          <w:rFonts w:ascii="Times New Roman" w:hAnsi="Times New Roman" w:cs="Times New Roman"/>
          <w:color w:val="0070C0"/>
          <w:sz w:val="16"/>
          <w:szCs w:val="16"/>
        </w:rPr>
        <w:softHyphen/>
        <w:t>вы все агрегаты. Оставалось закончить уста</w:t>
      </w:r>
      <w:r w:rsidRPr="00E14102">
        <w:rPr>
          <w:rStyle w:val="176"/>
          <w:rFonts w:ascii="Times New Roman" w:hAnsi="Times New Roman" w:cs="Times New Roman"/>
          <w:color w:val="0070C0"/>
          <w:sz w:val="16"/>
          <w:szCs w:val="16"/>
        </w:rPr>
        <w:softHyphen/>
        <w:t>новку мотора с подводками, оборудование</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кабин, специальное оборудование и воору</w:t>
      </w:r>
      <w:r w:rsidRPr="00E14102">
        <w:rPr>
          <w:rStyle w:val="176"/>
          <w:rFonts w:ascii="Times New Roman" w:hAnsi="Times New Roman" w:cs="Times New Roman"/>
          <w:color w:val="0070C0"/>
          <w:sz w:val="16"/>
          <w:szCs w:val="16"/>
        </w:rPr>
        <w:softHyphen/>
        <w:t xml:space="preserve">жение. </w:t>
      </w:r>
      <w:r w:rsidRPr="00E14102">
        <w:rPr>
          <w:rStyle w:val="176"/>
          <w:rFonts w:ascii="Times New Roman" w:hAnsi="Times New Roman" w:cs="Times New Roman"/>
          <w:color w:val="0070C0"/>
          <w:sz w:val="16"/>
          <w:szCs w:val="16"/>
        </w:rPr>
        <w:lastRenderedPageBreak/>
        <w:t>Кроме того, был разработан эскизный</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проект цельнометаллического СР-К14, наи</w:t>
      </w:r>
      <w:r w:rsidRPr="00E14102">
        <w:rPr>
          <w:rStyle w:val="176"/>
          <w:rFonts w:ascii="Times New Roman" w:hAnsi="Times New Roman" w:cs="Times New Roman"/>
          <w:color w:val="0070C0"/>
          <w:sz w:val="16"/>
          <w:szCs w:val="16"/>
        </w:rPr>
        <w:softHyphen/>
        <w:t>более полно отвечающего текущим возмож</w:t>
      </w:r>
      <w:r w:rsidRPr="00E14102">
        <w:rPr>
          <w:rStyle w:val="176"/>
          <w:rFonts w:ascii="Times New Roman" w:hAnsi="Times New Roman" w:cs="Times New Roman"/>
          <w:color w:val="0070C0"/>
          <w:sz w:val="16"/>
          <w:szCs w:val="16"/>
        </w:rPr>
        <w:softHyphen/>
        <w:t>ностям завода № 135. Одновременно строил</w:t>
      </w:r>
      <w:r w:rsidRPr="00E14102">
        <w:rPr>
          <w:rStyle w:val="176"/>
          <w:rFonts w:ascii="Times New Roman" w:hAnsi="Times New Roman" w:cs="Times New Roman"/>
          <w:color w:val="0070C0"/>
          <w:sz w:val="16"/>
          <w:szCs w:val="16"/>
        </w:rPr>
        <w:softHyphen/>
        <w:t>ся его макет (19898).</w:t>
      </w:r>
    </w:p>
    <w:p w14:paraId="0118BAE6" w14:textId="77777777" w:rsidR="00195837" w:rsidRPr="00E14102" w:rsidRDefault="00195837" w:rsidP="00E14102">
      <w:pPr>
        <w:shd w:val="clear" w:color="auto" w:fill="FFFFFF"/>
        <w:jc w:val="both"/>
        <w:textAlignment w:val="baseline"/>
        <w:rPr>
          <w:color w:val="0070C0"/>
          <w:sz w:val="16"/>
          <w:szCs w:val="16"/>
        </w:rPr>
      </w:pPr>
    </w:p>
    <w:p w14:paraId="2CC6BE3B" w14:textId="77777777" w:rsidR="00195837" w:rsidRPr="00E14102" w:rsidRDefault="00195837" w:rsidP="00E14102">
      <w:pPr>
        <w:shd w:val="clear" w:color="auto" w:fill="FFFFFF"/>
        <w:jc w:val="both"/>
        <w:textAlignment w:val="baseline"/>
        <w:rPr>
          <w:color w:val="0070C0"/>
          <w:sz w:val="16"/>
          <w:szCs w:val="16"/>
        </w:rPr>
      </w:pPr>
      <w:r w:rsidRPr="00E14102">
        <w:rPr>
          <w:color w:val="0070C0"/>
          <w:sz w:val="16"/>
          <w:szCs w:val="16"/>
        </w:rPr>
        <w:t>В середине июля 1935 года в советских газетах было объявлено: «Главное управление Северного морского пути подготавливает в ближайшее время при благоприятных метеорологических условиях перелет одномоторного самолета из Москвы в Сан-Франциско через Северный полюс без посадки…».</w:t>
      </w:r>
    </w:p>
    <w:p w14:paraId="5F7CAB82" w14:textId="77777777" w:rsidR="00195837" w:rsidRPr="00E14102" w:rsidRDefault="00195837" w:rsidP="00E14102">
      <w:pPr>
        <w:shd w:val="clear" w:color="auto" w:fill="FFFFFF"/>
        <w:jc w:val="both"/>
        <w:textAlignment w:val="baseline"/>
        <w:rPr>
          <w:color w:val="0070C0"/>
          <w:sz w:val="16"/>
          <w:szCs w:val="16"/>
        </w:rPr>
      </w:pPr>
      <w:r w:rsidRPr="00E14102">
        <w:rPr>
          <w:color w:val="0070C0"/>
          <w:sz w:val="16"/>
          <w:szCs w:val="16"/>
        </w:rPr>
        <w:t>Вероятно, когда выполнение плана подготовки дошло до пункта о «метео и радиообслуживании» перелета стало понятно, что единственной организацией в СССР, которая успешно могла бы решить подобные задачи в Арктике, был Главсевморпуть. Впрочем, и координацию усилий спасателей в случае необходимости смог бы также обеспечить только ГУСМП. Поэтому к моменту объявления в прессе о перелете Леваневского генеральным организатором и координатором перелета был заявлен Главсевморпуть во главе с О.Ю. Шмидтом.</w:t>
      </w:r>
    </w:p>
    <w:p w14:paraId="4CCC89E8" w14:textId="77777777" w:rsidR="00195837" w:rsidRPr="00E14102" w:rsidRDefault="00195837" w:rsidP="00E14102">
      <w:pPr>
        <w:shd w:val="clear" w:color="auto" w:fill="FFFFFF"/>
        <w:jc w:val="both"/>
        <w:textAlignment w:val="baseline"/>
        <w:rPr>
          <w:color w:val="0070C0"/>
          <w:sz w:val="16"/>
          <w:szCs w:val="16"/>
        </w:rPr>
      </w:pPr>
      <w:r w:rsidRPr="00E14102">
        <w:rPr>
          <w:color w:val="0070C0"/>
          <w:sz w:val="16"/>
          <w:szCs w:val="16"/>
        </w:rPr>
        <w:t>Вполне естественно, что первый трансконтенинтальный перелет самолета через Северный полюс вызвал интерес в мире. Особое расположение к перелету советских летчиков во главе с Леваневским выказывали в Соединенных Штатах. Так, например руководитель правительственного бюро гражданской авиации США Видаль (Eugene Vidal) заявил представителю ТАСС: «Летчики гражданского флота США с нетерпением ожидают вылета героического советского летчика … Мы уверены, что советские летчики с успехом выполнят свою отважную задачу…».</w:t>
      </w:r>
    </w:p>
    <w:p w14:paraId="5DD36C2F" w14:textId="77777777" w:rsidR="00195837" w:rsidRPr="00E14102" w:rsidRDefault="00195837" w:rsidP="00E14102">
      <w:pPr>
        <w:shd w:val="clear" w:color="auto" w:fill="FFFFFF"/>
        <w:jc w:val="both"/>
        <w:textAlignment w:val="baseline"/>
        <w:rPr>
          <w:color w:val="0070C0"/>
          <w:sz w:val="16"/>
          <w:szCs w:val="16"/>
        </w:rPr>
      </w:pPr>
      <w:r w:rsidRPr="00E14102">
        <w:rPr>
          <w:color w:val="0070C0"/>
          <w:sz w:val="16"/>
          <w:szCs w:val="16"/>
        </w:rPr>
        <w:t>Выдающийся американский летчик Кларенс Чемберлен (Clarence D. Chamberlin), осуществивший в 1927 году первый трансатлантический пассажирский перелет, говорил: «Предпринимаемый Леваневским и товарищами полет поражает воображение летчика. Это подвиг исключительной трудности и поразительной смелости…».</w:t>
      </w:r>
    </w:p>
    <w:p w14:paraId="12EA3E4A" w14:textId="77777777" w:rsidR="00195837" w:rsidRPr="00E14102" w:rsidRDefault="00195837" w:rsidP="00E14102">
      <w:pPr>
        <w:shd w:val="clear" w:color="auto" w:fill="FFFFFF"/>
        <w:jc w:val="both"/>
        <w:textAlignment w:val="baseline"/>
        <w:rPr>
          <w:color w:val="0070C0"/>
          <w:sz w:val="16"/>
          <w:szCs w:val="16"/>
        </w:rPr>
      </w:pPr>
      <w:r w:rsidRPr="00E14102">
        <w:rPr>
          <w:color w:val="0070C0"/>
          <w:sz w:val="16"/>
          <w:szCs w:val="16"/>
        </w:rPr>
        <w:t>Мэр Нью-Йорка Ла Гуардия (Fiorello Henry La Guardia) обратился к генеральному консулу СССР в Нью-Йорке И.Л. Аренсу с письмом, в котором приглашал Леваневского после завершения перелета прилететь в Нью-Йорк.</w:t>
      </w:r>
    </w:p>
    <w:p w14:paraId="3F644FFC" w14:textId="77777777" w:rsidR="00195837" w:rsidRPr="00E14102" w:rsidRDefault="00195837" w:rsidP="00E14102">
      <w:pPr>
        <w:shd w:val="clear" w:color="auto" w:fill="FFFFFF"/>
        <w:jc w:val="both"/>
        <w:textAlignment w:val="baseline"/>
        <w:rPr>
          <w:color w:val="0070C0"/>
          <w:sz w:val="16"/>
          <w:szCs w:val="16"/>
        </w:rPr>
      </w:pPr>
      <w:r w:rsidRPr="00E14102">
        <w:rPr>
          <w:color w:val="0070C0"/>
          <w:sz w:val="16"/>
          <w:szCs w:val="16"/>
        </w:rPr>
        <w:t>После объявления о предстоящем трансполярном перелете Леваневского, любые новости по этой теме для всех иностранных журналистов работавших в Советском Союзе стали сенсационными и для того чтобы удовлетворить любопытство «прогрессивной мировой общественности» в конце июля О.Ю. Шмидт собрал пресс-конференцию. В присутствии более 30-ти иностранных корреспондентов он рассказал:</w:t>
      </w:r>
    </w:p>
    <w:p w14:paraId="065D4BBF" w14:textId="77777777" w:rsidR="00195837" w:rsidRPr="00E14102" w:rsidRDefault="00195837" w:rsidP="00E14102">
      <w:pPr>
        <w:shd w:val="clear" w:color="auto" w:fill="FFFFFF"/>
        <w:jc w:val="both"/>
        <w:textAlignment w:val="baseline"/>
        <w:rPr>
          <w:color w:val="0070C0"/>
          <w:sz w:val="16"/>
          <w:szCs w:val="16"/>
        </w:rPr>
      </w:pPr>
      <w:r w:rsidRPr="00E14102">
        <w:rPr>
          <w:color w:val="0070C0"/>
          <w:sz w:val="16"/>
          <w:szCs w:val="16"/>
        </w:rPr>
        <w:t>«Более половины трассы полета … проходит в сфере северного полярного побережья СССР. Отсюда совершенно понятно, какая громадная роль радиостанций в Арктике по обслуживанию полета Леваневского...</w:t>
      </w:r>
    </w:p>
    <w:p w14:paraId="442F7FA8" w14:textId="77777777" w:rsidR="00195837" w:rsidRPr="00E14102" w:rsidRDefault="00195837" w:rsidP="00E14102">
      <w:pPr>
        <w:shd w:val="clear" w:color="auto" w:fill="FFFFFF"/>
        <w:jc w:val="both"/>
        <w:textAlignment w:val="baseline"/>
        <w:rPr>
          <w:color w:val="0070C0"/>
          <w:sz w:val="16"/>
          <w:szCs w:val="16"/>
        </w:rPr>
      </w:pPr>
      <w:r w:rsidRPr="00E14102">
        <w:rPr>
          <w:color w:val="0070C0"/>
          <w:sz w:val="16"/>
          <w:szCs w:val="16"/>
        </w:rPr>
        <w:t>Выделено 17 полярных радиостанций, которые будут вести беспрерывное круглосуточное наблюдение за самолетом, передавая в Москву все, что будет сообщать и запрашивать самолет в продолжение более двух суток с начала перелета. Готовность к выполнению этого задания была уже неоднократно проверена во время пробных полетов. Сейчас мы будем иметь возможность получать в Москве сведения от самых отдаленных радиостанций не более чем через 10 – 15 минут…</w:t>
      </w:r>
    </w:p>
    <w:p w14:paraId="6D411C61" w14:textId="77777777" w:rsidR="00195837" w:rsidRPr="00E14102" w:rsidRDefault="00195837" w:rsidP="00E14102">
      <w:pPr>
        <w:shd w:val="clear" w:color="auto" w:fill="FFFFFF"/>
        <w:jc w:val="both"/>
        <w:textAlignment w:val="baseline"/>
        <w:rPr>
          <w:color w:val="0070C0"/>
          <w:sz w:val="16"/>
          <w:szCs w:val="16"/>
        </w:rPr>
      </w:pPr>
      <w:r w:rsidRPr="00E14102">
        <w:rPr>
          <w:color w:val="0070C0"/>
          <w:sz w:val="16"/>
          <w:szCs w:val="16"/>
        </w:rPr>
        <w:t>Если в океане случится вынужденная посадка, то на помощь Леваневскому вылетит самолет либо с Земли Франца-Иосифа, либо эта помощь ему сможет быть оказана из Аляски или Канады, если посадка будет совершена ближе к американским берегам.</w:t>
      </w:r>
    </w:p>
    <w:p w14:paraId="75EAB8F6" w14:textId="77777777" w:rsidR="00195837" w:rsidRPr="00E14102" w:rsidRDefault="00195837" w:rsidP="00E14102">
      <w:pPr>
        <w:shd w:val="clear" w:color="auto" w:fill="FFFFFF"/>
        <w:jc w:val="both"/>
        <w:textAlignment w:val="baseline"/>
        <w:rPr>
          <w:color w:val="0070C0"/>
          <w:sz w:val="16"/>
          <w:szCs w:val="16"/>
        </w:rPr>
      </w:pPr>
      <w:r w:rsidRPr="00E14102">
        <w:rPr>
          <w:color w:val="0070C0"/>
          <w:sz w:val="16"/>
          <w:szCs w:val="16"/>
        </w:rPr>
        <w:t>Во всяком случае у нас в Арктике имеются самолеты, ведущие там постоянную работу … Кроме того, большую помощь смогут оказать наши ледоколы «Ермак», «Ленин», «Красин» и «Садко»… Экипаж Леваневского имеет запас продовольствия на три месяца, палатки, лодки и т. п.</w:t>
      </w:r>
    </w:p>
    <w:p w14:paraId="48C69BCB" w14:textId="77777777" w:rsidR="00195837" w:rsidRPr="00E14102" w:rsidRDefault="00195837" w:rsidP="00E14102">
      <w:pPr>
        <w:shd w:val="clear" w:color="auto" w:fill="FFFFFF"/>
        <w:jc w:val="both"/>
        <w:textAlignment w:val="baseline"/>
        <w:rPr>
          <w:color w:val="0070C0"/>
          <w:sz w:val="16"/>
          <w:szCs w:val="16"/>
        </w:rPr>
      </w:pPr>
      <w:r w:rsidRPr="00E14102">
        <w:rPr>
          <w:color w:val="0070C0"/>
          <w:sz w:val="16"/>
          <w:szCs w:val="16"/>
        </w:rPr>
        <w:t>В настоящее время вся подготовительная работа для полета Леваневского закончена. В частности, обеспечена надежная радиосвязь с помощью полярных станций СССР, Канады и США. Ежедневно донесения о погоде в советской Арктике и Северной Америке обрабатываются ГУСМП, и на основании этих данных определяется прогноз погоды на ближайшие дни… День вылета зависит только от погоды» (21249).]</w:t>
      </w:r>
    </w:p>
    <w:p w14:paraId="0653A047" w14:textId="77777777" w:rsidR="00195837" w:rsidRPr="00E14102" w:rsidRDefault="00195837" w:rsidP="00E14102">
      <w:pPr>
        <w:autoSpaceDE w:val="0"/>
        <w:autoSpaceDN w:val="0"/>
        <w:adjustRightInd w:val="0"/>
        <w:jc w:val="both"/>
        <w:rPr>
          <w:color w:val="0070C0"/>
          <w:sz w:val="16"/>
          <w:szCs w:val="16"/>
        </w:rPr>
      </w:pPr>
    </w:p>
    <w:p w14:paraId="5C6E1070" w14:textId="77777777" w:rsidR="00872260" w:rsidRPr="00E14102" w:rsidRDefault="00872260" w:rsidP="00E14102">
      <w:pPr>
        <w:pStyle w:val="a7"/>
        <w:rPr>
          <w:color w:val="000000" w:themeColor="text1"/>
          <w:sz w:val="16"/>
          <w:szCs w:val="16"/>
          <w:lang w:val="ru-RU"/>
        </w:rPr>
      </w:pPr>
      <w:r w:rsidRPr="00E14102">
        <w:rPr>
          <w:color w:val="000000" w:themeColor="text1"/>
          <w:sz w:val="16"/>
          <w:szCs w:val="16"/>
          <w:lang w:val="ru-RU"/>
        </w:rPr>
        <w:t>В середине июля 1935 г. состоялся пер</w:t>
      </w:r>
      <w:r w:rsidRPr="00E14102">
        <w:rPr>
          <w:color w:val="000000" w:themeColor="text1"/>
          <w:sz w:val="16"/>
          <w:szCs w:val="16"/>
          <w:lang w:val="ru-RU"/>
        </w:rPr>
        <w:softHyphen/>
        <w:t>вый полет воспроизведенного по чертежам В-7 (конструктор Ф. Трояни) дирижабля СССР В-7 бис, собранного исключительно советскими специалистами. После второго полета корабля отбыл на родину и сам его создатель (в связи^ окончанием контракта). Классный инженер, при этом активный член Фашистской национальной партии, не скрывавший своего отношения к</w:t>
      </w:r>
      <w:r w:rsidRPr="00E14102">
        <w:rPr>
          <w:rStyle w:val="41"/>
          <w:rFonts w:ascii="Times New Roman" w:hAnsi="Times New Roman" w:cs="Times New Roman"/>
          <w:i w:val="0"/>
          <w:color w:val="000000" w:themeColor="text1"/>
          <w:sz w:val="16"/>
          <w:szCs w:val="16"/>
          <w:lang w:val="ru-RU"/>
        </w:rPr>
        <w:t xml:space="preserve"> социали</w:t>
      </w:r>
      <w:r w:rsidRPr="00E14102">
        <w:rPr>
          <w:rStyle w:val="41"/>
          <w:rFonts w:ascii="Times New Roman" w:hAnsi="Times New Roman" w:cs="Times New Roman"/>
          <w:i w:val="0"/>
          <w:color w:val="000000" w:themeColor="text1"/>
          <w:sz w:val="16"/>
          <w:szCs w:val="16"/>
          <w:lang w:val="ru-RU"/>
        </w:rPr>
        <w:softHyphen/>
        <w:t>стическому строительству</w:t>
      </w:r>
      <w:r w:rsidRPr="00E14102">
        <w:rPr>
          <w:color w:val="000000" w:themeColor="text1"/>
          <w:sz w:val="16"/>
          <w:szCs w:val="16"/>
          <w:lang w:val="ru-RU"/>
        </w:rPr>
        <w:t xml:space="preserve"> и укладу жизни в СССР, вероятно, перенес ауру своей личности и на собственные творения. Иначе трудно понять и гибель на земле от пожара почти готового В-7, и феноменально скорую катастрофу в воздухе (уже 24 октября этого же года) новенького В-7 бис.1936 г. в истории советского дири</w:t>
      </w:r>
      <w:r w:rsidRPr="00E14102">
        <w:rPr>
          <w:color w:val="000000" w:themeColor="text1"/>
          <w:sz w:val="16"/>
          <w:szCs w:val="16"/>
          <w:lang w:val="ru-RU"/>
        </w:rPr>
        <w:softHyphen/>
        <w:t>жаблестроения остался годом разочаро</w:t>
      </w:r>
      <w:r w:rsidRPr="00E14102">
        <w:rPr>
          <w:color w:val="000000" w:themeColor="text1"/>
          <w:sz w:val="16"/>
          <w:szCs w:val="16"/>
          <w:lang w:val="ru-RU"/>
        </w:rPr>
        <w:softHyphen/>
        <w:t>вания и горечи от несбывшихся надежд (12732).</w:t>
      </w:r>
    </w:p>
    <w:p w14:paraId="057981F7" w14:textId="77777777" w:rsidR="00872260" w:rsidRPr="00E14102" w:rsidRDefault="00872260" w:rsidP="00E14102">
      <w:pPr>
        <w:pStyle w:val="a7"/>
        <w:rPr>
          <w:color w:val="000000" w:themeColor="text1"/>
          <w:sz w:val="16"/>
          <w:szCs w:val="16"/>
          <w:lang w:val="ru-RU"/>
        </w:rPr>
      </w:pPr>
    </w:p>
    <w:p w14:paraId="217B9C1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E1F5959" w14:textId="77777777" w:rsidR="00D4105E" w:rsidRPr="00E14102" w:rsidRDefault="00D4105E" w:rsidP="00E14102">
      <w:pPr>
        <w:autoSpaceDE w:val="0"/>
        <w:autoSpaceDN w:val="0"/>
        <w:adjustRightInd w:val="0"/>
        <w:jc w:val="both"/>
        <w:rPr>
          <w:iCs/>
          <w:color w:val="000000" w:themeColor="text1"/>
          <w:sz w:val="16"/>
          <w:szCs w:val="16"/>
        </w:rPr>
      </w:pPr>
    </w:p>
    <w:p w14:paraId="33B37A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июля 1935 года на заводские испытания вышел ДБ2-2К14 дальний бомбардировщик. На 11-м полете 20 июля из-за наступивших вибраций произошла авария. Постановлением Правительства от 4 августа строился второй экземпляр со сроком окончания постройки 1 марта 1936 года (3475,103).</w:t>
      </w:r>
    </w:p>
    <w:p w14:paraId="075C6DEE" w14:textId="77777777" w:rsidR="00D4105E" w:rsidRPr="00E14102" w:rsidRDefault="00D4105E" w:rsidP="00E14102">
      <w:pPr>
        <w:autoSpaceDE w:val="0"/>
        <w:autoSpaceDN w:val="0"/>
        <w:adjustRightInd w:val="0"/>
        <w:jc w:val="both"/>
        <w:rPr>
          <w:color w:val="000000" w:themeColor="text1"/>
          <w:sz w:val="16"/>
          <w:szCs w:val="16"/>
        </w:rPr>
      </w:pPr>
    </w:p>
    <w:p w14:paraId="7FF1F6B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июля 1935 года закончилось гос. испытание самолета СБ с 2-мя моторами Испано-Сюиза 12 ydrs и стрелкового вооружения на самолете СБ-2РЦ, которое проходило с 9 июля 1935 (6697).</w:t>
      </w:r>
    </w:p>
    <w:p w14:paraId="0092874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Начато – 9 июля 1935 года</w:t>
      </w:r>
    </w:p>
    <w:p w14:paraId="105B61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Закончено 12 июля 1935 года</w:t>
      </w:r>
    </w:p>
    <w:p w14:paraId="1CC07D8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12 по 16 – самолет в ремонте. Стрелковое вооружение испытано на самолете СБ с РЦ в течение 12-15 и 16 июля 1935 года.</w:t>
      </w:r>
    </w:p>
    <w:p w14:paraId="1F9D67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74A894D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1 отдела Петров И.Ф.</w:t>
      </w:r>
    </w:p>
    <w:p w14:paraId="02623AC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4 отдела Шевченко</w:t>
      </w:r>
    </w:p>
    <w:p w14:paraId="0D76D27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 Подлесецкий</w:t>
      </w:r>
    </w:p>
    <w:p w14:paraId="2275131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0069835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Летно-тактических, боевых и эксплуатационных данных самолета СБ (скоростной бомбардировщик) в летних условиях (на колесах).</w:t>
      </w:r>
    </w:p>
    <w:p w14:paraId="6AE0665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DC3DB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основании произведенных испытаний самолета СБ НИИ ВС считает:</w:t>
      </w:r>
    </w:p>
    <w:p w14:paraId="1DD20E1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Наличие у самолета СБ большой максимальной скорости, скороподъемности, большого практического потолка и сравнительно сильного вооружения при этих данных, ставит его в разряд одного из лучших в мире скоростных бомбардировщиков.</w:t>
      </w:r>
    </w:p>
    <w:p w14:paraId="1E72A0A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Указанные в отчете дефекты, выявленные в процессе кратковременных испытаний, проведенных в феврале и июле 1935 года, а также невыполнение ряда пунктов тактико-технических требований делают самолет СБ в предъявленном виде практически небоеспособным. Без устранения перечисленных в отчете дефектов самолет СБ не может быть принят на вооружение ВС.</w:t>
      </w:r>
    </w:p>
    <w:p w14:paraId="2E8A17E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Дневник работ на самолете СБ-2ИС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4698"/>
        <w:gridCol w:w="1063"/>
        <w:gridCol w:w="2623"/>
      </w:tblGrid>
      <w:tr w:rsidR="00E3599D" w:rsidRPr="00E14102" w14:paraId="65EDE876" w14:textId="77777777">
        <w:tc>
          <w:tcPr>
            <w:tcW w:w="2214" w:type="dxa"/>
          </w:tcPr>
          <w:p w14:paraId="02C3248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Дата</w:t>
            </w:r>
          </w:p>
        </w:tc>
        <w:tc>
          <w:tcPr>
            <w:tcW w:w="4698" w:type="dxa"/>
          </w:tcPr>
          <w:p w14:paraId="135DFAD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Работы</w:t>
            </w:r>
          </w:p>
        </w:tc>
        <w:tc>
          <w:tcPr>
            <w:tcW w:w="1063" w:type="dxa"/>
          </w:tcPr>
          <w:p w14:paraId="176C8D6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Кол-во полетов</w:t>
            </w:r>
          </w:p>
        </w:tc>
        <w:tc>
          <w:tcPr>
            <w:tcW w:w="2623" w:type="dxa"/>
          </w:tcPr>
          <w:p w14:paraId="3A7998F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Кол-во часов</w:t>
            </w:r>
          </w:p>
        </w:tc>
      </w:tr>
      <w:tr w:rsidR="00E3599D" w:rsidRPr="00E14102" w14:paraId="7BA63961" w14:textId="77777777">
        <w:tc>
          <w:tcPr>
            <w:tcW w:w="2214" w:type="dxa"/>
          </w:tcPr>
          <w:p w14:paraId="72FBE19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 июля 1935 года</w:t>
            </w:r>
          </w:p>
        </w:tc>
        <w:tc>
          <w:tcPr>
            <w:tcW w:w="4698" w:type="dxa"/>
          </w:tcPr>
          <w:p w14:paraId="4409445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на выпуск на самолете Летчика Стефановского.</w:t>
            </w:r>
          </w:p>
        </w:tc>
        <w:tc>
          <w:tcPr>
            <w:tcW w:w="1063" w:type="dxa"/>
          </w:tcPr>
          <w:p w14:paraId="328F1D7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w:t>
            </w:r>
          </w:p>
        </w:tc>
        <w:tc>
          <w:tcPr>
            <w:tcW w:w="2623" w:type="dxa"/>
          </w:tcPr>
          <w:p w14:paraId="376A14A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53 мин.</w:t>
            </w:r>
          </w:p>
        </w:tc>
      </w:tr>
      <w:tr w:rsidR="00E3599D" w:rsidRPr="00E14102" w14:paraId="72C418F1" w14:textId="77777777">
        <w:tc>
          <w:tcPr>
            <w:tcW w:w="2214" w:type="dxa"/>
          </w:tcPr>
          <w:p w14:paraId="32F436B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июля 1935 года</w:t>
            </w:r>
          </w:p>
        </w:tc>
        <w:tc>
          <w:tcPr>
            <w:tcW w:w="4698" w:type="dxa"/>
          </w:tcPr>
          <w:p w14:paraId="5DE4340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зубцы.</w:t>
            </w:r>
          </w:p>
        </w:tc>
        <w:tc>
          <w:tcPr>
            <w:tcW w:w="1063" w:type="dxa"/>
          </w:tcPr>
          <w:p w14:paraId="16AD65D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152976E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мин.</w:t>
            </w:r>
          </w:p>
        </w:tc>
      </w:tr>
      <w:tr w:rsidR="00E3599D" w:rsidRPr="00E14102" w14:paraId="56EBF516" w14:textId="77777777">
        <w:tc>
          <w:tcPr>
            <w:tcW w:w="2214" w:type="dxa"/>
          </w:tcPr>
          <w:p w14:paraId="67FDD44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июля 1935 года</w:t>
            </w:r>
          </w:p>
        </w:tc>
        <w:tc>
          <w:tcPr>
            <w:tcW w:w="4698" w:type="dxa"/>
          </w:tcPr>
          <w:p w14:paraId="0FC4A17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вибрации.</w:t>
            </w:r>
          </w:p>
        </w:tc>
        <w:tc>
          <w:tcPr>
            <w:tcW w:w="1063" w:type="dxa"/>
          </w:tcPr>
          <w:p w14:paraId="0572787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1384563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 мин.</w:t>
            </w:r>
          </w:p>
        </w:tc>
      </w:tr>
      <w:tr w:rsidR="00E3599D" w:rsidRPr="00E14102" w14:paraId="70363833" w14:textId="77777777">
        <w:tc>
          <w:tcPr>
            <w:tcW w:w="2214" w:type="dxa"/>
          </w:tcPr>
          <w:p w14:paraId="352631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июля 1935 года</w:t>
            </w:r>
          </w:p>
        </w:tc>
        <w:tc>
          <w:tcPr>
            <w:tcW w:w="4698" w:type="dxa"/>
          </w:tcPr>
          <w:p w14:paraId="1555F7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километраж.</w:t>
            </w:r>
          </w:p>
        </w:tc>
        <w:tc>
          <w:tcPr>
            <w:tcW w:w="1063" w:type="dxa"/>
          </w:tcPr>
          <w:p w14:paraId="1E1482E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13EFC3C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16 мин.</w:t>
            </w:r>
          </w:p>
        </w:tc>
      </w:tr>
      <w:tr w:rsidR="00E3599D" w:rsidRPr="00E14102" w14:paraId="30A8E335" w14:textId="77777777">
        <w:tc>
          <w:tcPr>
            <w:tcW w:w="2214" w:type="dxa"/>
          </w:tcPr>
          <w:p w14:paraId="6B1702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июля 1935 года</w:t>
            </w:r>
          </w:p>
        </w:tc>
        <w:tc>
          <w:tcPr>
            <w:tcW w:w="4698" w:type="dxa"/>
          </w:tcPr>
          <w:p w14:paraId="6CC1FA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управляемость.</w:t>
            </w:r>
          </w:p>
        </w:tc>
        <w:tc>
          <w:tcPr>
            <w:tcW w:w="1063" w:type="dxa"/>
          </w:tcPr>
          <w:p w14:paraId="68A2D05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491E763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 мин.</w:t>
            </w:r>
          </w:p>
        </w:tc>
      </w:tr>
      <w:tr w:rsidR="00E3599D" w:rsidRPr="00E14102" w14:paraId="21F2E451" w14:textId="77777777">
        <w:tc>
          <w:tcPr>
            <w:tcW w:w="2214" w:type="dxa"/>
          </w:tcPr>
          <w:p w14:paraId="5A2144F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июля 1935 года</w:t>
            </w:r>
          </w:p>
        </w:tc>
        <w:tc>
          <w:tcPr>
            <w:tcW w:w="4698" w:type="dxa"/>
          </w:tcPr>
          <w:p w14:paraId="495E9F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зубцы.</w:t>
            </w:r>
          </w:p>
        </w:tc>
        <w:tc>
          <w:tcPr>
            <w:tcW w:w="1063" w:type="dxa"/>
          </w:tcPr>
          <w:p w14:paraId="4E18E19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2B922D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40 мин.</w:t>
            </w:r>
          </w:p>
        </w:tc>
      </w:tr>
      <w:tr w:rsidR="00E3599D" w:rsidRPr="00E14102" w14:paraId="71889E59" w14:textId="77777777">
        <w:tc>
          <w:tcPr>
            <w:tcW w:w="2214" w:type="dxa"/>
          </w:tcPr>
          <w:p w14:paraId="7E2DB3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июля 1935 года</w:t>
            </w:r>
          </w:p>
        </w:tc>
        <w:tc>
          <w:tcPr>
            <w:tcW w:w="4698" w:type="dxa"/>
          </w:tcPr>
          <w:p w14:paraId="3A52827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w:t>
            </w:r>
          </w:p>
        </w:tc>
        <w:tc>
          <w:tcPr>
            <w:tcW w:w="1063" w:type="dxa"/>
          </w:tcPr>
          <w:p w14:paraId="0A63AC8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2CDE91B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39 мин.</w:t>
            </w:r>
          </w:p>
        </w:tc>
      </w:tr>
      <w:tr w:rsidR="00E3599D" w:rsidRPr="00E14102" w14:paraId="0A951005" w14:textId="77777777">
        <w:tc>
          <w:tcPr>
            <w:tcW w:w="2214" w:type="dxa"/>
          </w:tcPr>
          <w:p w14:paraId="212FB51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июля 1935 года</w:t>
            </w:r>
          </w:p>
        </w:tc>
        <w:tc>
          <w:tcPr>
            <w:tcW w:w="4698" w:type="dxa"/>
          </w:tcPr>
          <w:p w14:paraId="3E44123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w:t>
            </w:r>
          </w:p>
        </w:tc>
        <w:tc>
          <w:tcPr>
            <w:tcW w:w="1063" w:type="dxa"/>
          </w:tcPr>
          <w:p w14:paraId="547CC6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51CEEE3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 мин.</w:t>
            </w:r>
          </w:p>
        </w:tc>
      </w:tr>
      <w:tr w:rsidR="00E3599D" w:rsidRPr="00E14102" w14:paraId="5E01A881" w14:textId="77777777">
        <w:tc>
          <w:tcPr>
            <w:tcW w:w="2214" w:type="dxa"/>
          </w:tcPr>
          <w:p w14:paraId="13943C1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38D272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на растряску бомб АФ-500.</w:t>
            </w:r>
          </w:p>
        </w:tc>
        <w:tc>
          <w:tcPr>
            <w:tcW w:w="1063" w:type="dxa"/>
          </w:tcPr>
          <w:p w14:paraId="7C790C4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w:t>
            </w:r>
          </w:p>
        </w:tc>
        <w:tc>
          <w:tcPr>
            <w:tcW w:w="2623" w:type="dxa"/>
          </w:tcPr>
          <w:p w14:paraId="4AD810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 мин.</w:t>
            </w:r>
          </w:p>
        </w:tc>
      </w:tr>
      <w:tr w:rsidR="00E3599D" w:rsidRPr="00E14102" w14:paraId="643D46D7" w14:textId="77777777">
        <w:tc>
          <w:tcPr>
            <w:tcW w:w="2214" w:type="dxa"/>
          </w:tcPr>
          <w:p w14:paraId="00AA3E6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1E297B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w:t>
            </w:r>
          </w:p>
        </w:tc>
        <w:tc>
          <w:tcPr>
            <w:tcW w:w="1063" w:type="dxa"/>
          </w:tcPr>
          <w:p w14:paraId="387CFEF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2E4D3D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1 час. 05 мин.</w:t>
            </w:r>
          </w:p>
        </w:tc>
      </w:tr>
      <w:tr w:rsidR="00E3599D" w:rsidRPr="00E14102" w14:paraId="650588B2" w14:textId="77777777">
        <w:tc>
          <w:tcPr>
            <w:tcW w:w="2214" w:type="dxa"/>
          </w:tcPr>
          <w:p w14:paraId="1DD3A32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5B273BC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управляемость и стрельбу по земным целям.</w:t>
            </w:r>
          </w:p>
        </w:tc>
        <w:tc>
          <w:tcPr>
            <w:tcW w:w="1063" w:type="dxa"/>
          </w:tcPr>
          <w:p w14:paraId="0B2E147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01D50AA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45 мин.</w:t>
            </w:r>
          </w:p>
        </w:tc>
      </w:tr>
      <w:tr w:rsidR="00E3599D" w:rsidRPr="00E14102" w14:paraId="734F1387" w14:textId="77777777">
        <w:tc>
          <w:tcPr>
            <w:tcW w:w="2214" w:type="dxa"/>
          </w:tcPr>
          <w:p w14:paraId="2059F61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364206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w:t>
            </w:r>
          </w:p>
        </w:tc>
        <w:tc>
          <w:tcPr>
            <w:tcW w:w="1063" w:type="dxa"/>
          </w:tcPr>
          <w:p w14:paraId="1DFF4C6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66234D0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05 мин.</w:t>
            </w:r>
          </w:p>
        </w:tc>
      </w:tr>
      <w:tr w:rsidR="00E3599D" w:rsidRPr="00E14102" w14:paraId="1CAD01C3" w14:textId="77777777">
        <w:tc>
          <w:tcPr>
            <w:tcW w:w="2214" w:type="dxa"/>
          </w:tcPr>
          <w:p w14:paraId="3BAD2A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7D3B2ED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до 8000 м и бомбометание.</w:t>
            </w:r>
          </w:p>
        </w:tc>
        <w:tc>
          <w:tcPr>
            <w:tcW w:w="1063" w:type="dxa"/>
          </w:tcPr>
          <w:p w14:paraId="6281F56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2EAF787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20 мин.</w:t>
            </w:r>
          </w:p>
        </w:tc>
      </w:tr>
      <w:tr w:rsidR="00E3599D" w:rsidRPr="00E14102" w14:paraId="70B43835" w14:textId="77777777">
        <w:tc>
          <w:tcPr>
            <w:tcW w:w="2214" w:type="dxa"/>
          </w:tcPr>
          <w:p w14:paraId="342966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июля 1935 года</w:t>
            </w:r>
          </w:p>
        </w:tc>
        <w:tc>
          <w:tcPr>
            <w:tcW w:w="4698" w:type="dxa"/>
          </w:tcPr>
          <w:p w14:paraId="335B072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1063" w:type="dxa"/>
          </w:tcPr>
          <w:p w14:paraId="462DE36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6979621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11 мин.</w:t>
            </w:r>
          </w:p>
        </w:tc>
      </w:tr>
      <w:tr w:rsidR="00E3599D" w:rsidRPr="00E14102" w14:paraId="0652EC8B" w14:textId="77777777">
        <w:tc>
          <w:tcPr>
            <w:tcW w:w="2214" w:type="dxa"/>
          </w:tcPr>
          <w:p w14:paraId="4CDD4A2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июля 1935 года</w:t>
            </w:r>
          </w:p>
        </w:tc>
        <w:tc>
          <w:tcPr>
            <w:tcW w:w="4698" w:type="dxa"/>
          </w:tcPr>
          <w:p w14:paraId="6071BE0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1063" w:type="dxa"/>
          </w:tcPr>
          <w:p w14:paraId="069353C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5D00E4B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 мин.</w:t>
            </w:r>
          </w:p>
        </w:tc>
      </w:tr>
      <w:tr w:rsidR="00E3599D" w:rsidRPr="00E14102" w14:paraId="2949DB16" w14:textId="77777777">
        <w:tc>
          <w:tcPr>
            <w:tcW w:w="2214" w:type="dxa"/>
          </w:tcPr>
          <w:p w14:paraId="36493C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июля 1935 года</w:t>
            </w:r>
          </w:p>
        </w:tc>
        <w:tc>
          <w:tcPr>
            <w:tcW w:w="4698" w:type="dxa"/>
          </w:tcPr>
          <w:p w14:paraId="32A206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1063" w:type="dxa"/>
          </w:tcPr>
          <w:p w14:paraId="0CCF63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0B21C33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45 мин.</w:t>
            </w:r>
          </w:p>
        </w:tc>
      </w:tr>
      <w:tr w:rsidR="00E3599D" w:rsidRPr="00E14102" w14:paraId="05D77DCC" w14:textId="77777777">
        <w:tc>
          <w:tcPr>
            <w:tcW w:w="2214" w:type="dxa"/>
          </w:tcPr>
          <w:p w14:paraId="11669B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 июля 1935 года</w:t>
            </w:r>
          </w:p>
        </w:tc>
        <w:tc>
          <w:tcPr>
            <w:tcW w:w="4698" w:type="dxa"/>
          </w:tcPr>
          <w:p w14:paraId="2876EC1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Перегонка самолета на аэродром Томская.</w:t>
            </w:r>
          </w:p>
        </w:tc>
        <w:tc>
          <w:tcPr>
            <w:tcW w:w="1063" w:type="dxa"/>
          </w:tcPr>
          <w:p w14:paraId="754D0B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27BFD83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18 мин.</w:t>
            </w:r>
          </w:p>
        </w:tc>
      </w:tr>
      <w:tr w:rsidR="00E3599D" w:rsidRPr="00E14102" w14:paraId="1E076147" w14:textId="77777777">
        <w:tc>
          <w:tcPr>
            <w:tcW w:w="2214" w:type="dxa"/>
          </w:tcPr>
          <w:p w14:paraId="3701A2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14 июля 1935 года</w:t>
            </w:r>
          </w:p>
        </w:tc>
        <w:tc>
          <w:tcPr>
            <w:tcW w:w="4698" w:type="dxa"/>
          </w:tcPr>
          <w:p w14:paraId="54B9378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1063" w:type="dxa"/>
          </w:tcPr>
          <w:p w14:paraId="60931EB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070D231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 мин.</w:t>
            </w:r>
          </w:p>
        </w:tc>
      </w:tr>
    </w:tbl>
    <w:p w14:paraId="1C2B9E5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Всего на самолете СБ-2ИС за время испытаний выполнено 18 полетов с налетом 11 час. 33 мин.</w:t>
      </w:r>
    </w:p>
    <w:p w14:paraId="50651B6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самолете СБ-2РЦ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4698"/>
        <w:gridCol w:w="1063"/>
        <w:gridCol w:w="2623"/>
      </w:tblGrid>
      <w:tr w:rsidR="00E3599D" w:rsidRPr="00E14102" w14:paraId="454227AE" w14:textId="77777777">
        <w:tc>
          <w:tcPr>
            <w:tcW w:w="2214" w:type="dxa"/>
          </w:tcPr>
          <w:p w14:paraId="51D9556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19AE041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Вылет летчика Белозерова. Полеты на выявление вибраций и стрельбу из носовой точки.</w:t>
            </w:r>
          </w:p>
        </w:tc>
        <w:tc>
          <w:tcPr>
            <w:tcW w:w="1063" w:type="dxa"/>
          </w:tcPr>
          <w:p w14:paraId="43E0D9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w:t>
            </w:r>
          </w:p>
        </w:tc>
        <w:tc>
          <w:tcPr>
            <w:tcW w:w="2623" w:type="dxa"/>
          </w:tcPr>
          <w:p w14:paraId="2403EA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15 мин.</w:t>
            </w:r>
          </w:p>
        </w:tc>
      </w:tr>
      <w:tr w:rsidR="00E3599D" w:rsidRPr="00E14102" w14:paraId="467820D6" w14:textId="77777777">
        <w:tc>
          <w:tcPr>
            <w:tcW w:w="2214" w:type="dxa"/>
          </w:tcPr>
          <w:p w14:paraId="15F925C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122A84B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по земным целям.</w:t>
            </w:r>
          </w:p>
        </w:tc>
        <w:tc>
          <w:tcPr>
            <w:tcW w:w="1063" w:type="dxa"/>
          </w:tcPr>
          <w:p w14:paraId="0432BA1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291930F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03 мин.</w:t>
            </w:r>
          </w:p>
        </w:tc>
      </w:tr>
      <w:tr w:rsidR="00E3599D" w:rsidRPr="00E14102" w14:paraId="6874F605" w14:textId="77777777">
        <w:tc>
          <w:tcPr>
            <w:tcW w:w="2214" w:type="dxa"/>
          </w:tcPr>
          <w:p w14:paraId="099098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0B474DC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1063" w:type="dxa"/>
          </w:tcPr>
          <w:p w14:paraId="497FC66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45EB219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40 мин.</w:t>
            </w:r>
          </w:p>
        </w:tc>
      </w:tr>
      <w:tr w:rsidR="00E3599D" w:rsidRPr="00E14102" w14:paraId="778E210D" w14:textId="77777777">
        <w:tc>
          <w:tcPr>
            <w:tcW w:w="2214" w:type="dxa"/>
          </w:tcPr>
          <w:p w14:paraId="6A0F1F4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6130554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 по конусу.</w:t>
            </w:r>
          </w:p>
        </w:tc>
        <w:tc>
          <w:tcPr>
            <w:tcW w:w="1063" w:type="dxa"/>
          </w:tcPr>
          <w:p w14:paraId="1644D7F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6A1D0D2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 мин.</w:t>
            </w:r>
          </w:p>
        </w:tc>
      </w:tr>
      <w:tr w:rsidR="00E3599D" w:rsidRPr="00E14102" w14:paraId="412ED968" w14:textId="77777777">
        <w:tc>
          <w:tcPr>
            <w:tcW w:w="2214" w:type="dxa"/>
          </w:tcPr>
          <w:p w14:paraId="2296DD0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10AAC97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1063" w:type="dxa"/>
          </w:tcPr>
          <w:p w14:paraId="02FE8A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7A0F8A0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05 мин.</w:t>
            </w:r>
          </w:p>
        </w:tc>
      </w:tr>
      <w:tr w:rsidR="00E3599D" w:rsidRPr="00E14102" w14:paraId="7BB7EF0A" w14:textId="77777777">
        <w:tc>
          <w:tcPr>
            <w:tcW w:w="2214" w:type="dxa"/>
          </w:tcPr>
          <w:p w14:paraId="3D57317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55107A8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1063" w:type="dxa"/>
          </w:tcPr>
          <w:p w14:paraId="7439ECB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6D3A96C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45 мин.</w:t>
            </w:r>
          </w:p>
        </w:tc>
      </w:tr>
      <w:tr w:rsidR="00E3599D" w:rsidRPr="00E14102" w14:paraId="71AEEC40" w14:textId="77777777">
        <w:tc>
          <w:tcPr>
            <w:tcW w:w="2214" w:type="dxa"/>
          </w:tcPr>
          <w:p w14:paraId="5A5A583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4698" w:type="dxa"/>
          </w:tcPr>
          <w:p w14:paraId="56F7A4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1063" w:type="dxa"/>
          </w:tcPr>
          <w:p w14:paraId="75623CE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54C7024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мин.</w:t>
            </w:r>
          </w:p>
        </w:tc>
      </w:tr>
      <w:tr w:rsidR="00E3599D" w:rsidRPr="00E14102" w14:paraId="39AE822D" w14:textId="77777777">
        <w:tc>
          <w:tcPr>
            <w:tcW w:w="2214" w:type="dxa"/>
          </w:tcPr>
          <w:p w14:paraId="5EAA55A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июля 1935 года</w:t>
            </w:r>
          </w:p>
        </w:tc>
        <w:tc>
          <w:tcPr>
            <w:tcW w:w="4698" w:type="dxa"/>
          </w:tcPr>
          <w:p w14:paraId="47A3B7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двух точек и тактическое задание.</w:t>
            </w:r>
          </w:p>
        </w:tc>
        <w:tc>
          <w:tcPr>
            <w:tcW w:w="1063" w:type="dxa"/>
          </w:tcPr>
          <w:p w14:paraId="6EB2B5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58F492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 мин.</w:t>
            </w:r>
          </w:p>
        </w:tc>
      </w:tr>
      <w:tr w:rsidR="00E3599D" w:rsidRPr="00E14102" w14:paraId="5067AAD8" w14:textId="77777777">
        <w:tc>
          <w:tcPr>
            <w:tcW w:w="2214" w:type="dxa"/>
          </w:tcPr>
          <w:p w14:paraId="76C4DB8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июля 1935 года</w:t>
            </w:r>
          </w:p>
        </w:tc>
        <w:tc>
          <w:tcPr>
            <w:tcW w:w="4698" w:type="dxa"/>
          </w:tcPr>
          <w:p w14:paraId="79279CF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двух точек и тактическое задание.</w:t>
            </w:r>
          </w:p>
        </w:tc>
        <w:tc>
          <w:tcPr>
            <w:tcW w:w="1063" w:type="dxa"/>
          </w:tcPr>
          <w:p w14:paraId="7FBCB8F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623" w:type="dxa"/>
          </w:tcPr>
          <w:p w14:paraId="0610DFD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 мин.</w:t>
            </w:r>
          </w:p>
        </w:tc>
      </w:tr>
    </w:tbl>
    <w:p w14:paraId="341210B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Всего на самолете СБ-2РЦ за время испытаний выполнено 16 полетов с налетом 10 час. 09 мин.</w:t>
      </w:r>
    </w:p>
    <w:p w14:paraId="3417F3B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Всего за время испытаний на обоих самолетах выполнено 34 полета с налетом 21 час. 42 мин. (6697).</w:t>
      </w:r>
    </w:p>
    <w:p w14:paraId="15ED153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35383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июля - 12 сентября 1935 В.С.Молоковым на СССР-Н12 (на Валь - 272,377) с М-17 был совершен перелет по маршруту Красноярск-Якутск-Нижне-Колымск-Медвежьи острова-Мыс Шмидта-Уэлен-остров Врангеля-район земли Андреева-Мыс Шмидта на 21000 км (271,154).</w:t>
      </w:r>
    </w:p>
    <w:p w14:paraId="75F2FD85" w14:textId="77777777" w:rsidR="00D4105E" w:rsidRPr="00E14102" w:rsidRDefault="00D4105E" w:rsidP="00E14102">
      <w:pPr>
        <w:autoSpaceDE w:val="0"/>
        <w:autoSpaceDN w:val="0"/>
        <w:adjustRightInd w:val="0"/>
        <w:jc w:val="both"/>
        <w:rPr>
          <w:color w:val="000000" w:themeColor="text1"/>
          <w:sz w:val="16"/>
          <w:szCs w:val="16"/>
        </w:rPr>
      </w:pPr>
    </w:p>
    <w:p w14:paraId="05F4D9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июля 1935 г. в навигацию 1935 г. после капитального ремонта ДВ СССР-Н2, который принял новый экипаж из шести человек: командира самолета В.С.Молокова, второго пилота Фурсова, штурмана А.А.Ритслянда, первого бортмеханика Г.Т.Побежимова, второго бортмеханика Исаева и научного работника Г.Д.Красинского, лодка вылетел для обследования района к северо-западу от острова Врангеля и пролива Лонга. Маршрут перелета: Красноярск - Киренск - Якутск - бухта Нагаево - Нижне-Колымск - о. Врангеля. Базой для своей летающей лодки Молоков выбрал Уэлен. Впрочем, базироваться приходилось и в других местах: на острове Врангеля, в бухте Роджерса...</w:t>
      </w:r>
    </w:p>
    <w:p w14:paraId="1D3C18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августа СССР-Н2, вылетев с о. Врангеля, достиг точки с координатами 7°30' северной широты и 176° западной долготы и ушел к мысу Шмидта. Через день провели разведку в обратном направлении, к острову Врангеля, а оттуда снова до 72° северной широты. Таким образом, экипаж СССР-Н2 впервые обследовал зону, ранее недоступную для кораблей и самолетов.</w:t>
      </w:r>
    </w:p>
    <w:p w14:paraId="2579EE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августа самолет вылетел вдоль арктического побережья на зимовку Шалаурова в 30 километрах ниже бухты Амбарчик, по правому берегу реки Колымы. По пути гидроплан садился на мысе Шмидта для заправки горючим.</w:t>
      </w:r>
    </w:p>
    <w:p w14:paraId="51C9A7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8 сентября экипаж просидел на зимовке к северу от Медвежьих островов в ожидании улучшения погоды. Три попытки пройти в район к северу от Медвежьих островов оказались неудачными, заряды тумана и снегопада сводили на нет результат полета. 7 сентября Молоков вылетал к устью реки Индигирки на поиски 7 человек, унесенных на кунгасе, но ничего не обнаружил. Вскоре командир самолета получил разрешение вернуться в Красноярск по маршруту Колыма - Тикси - Нордвик - Хатанга - Дудинка.</w:t>
      </w:r>
    </w:p>
    <w:p w14:paraId="402D97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сентября СССР-Н2 вылетел в Тикси. До Индигирки шли в удаление до 80 миль от берега в тщетной надежде найти унесенный кунгас.</w:t>
      </w:r>
    </w:p>
    <w:p w14:paraId="301DBE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из Тикси на Нордвик проходил при плохой видимости. Заряды тумана прекратились только на середине перелета. Из Нордвика самолет шел по системе рек и 12 сентября прибыл в Дудинку.</w:t>
      </w:r>
    </w:p>
    <w:p w14:paraId="001FEA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14 сентября по 1 октября экипаж сделал 10 полетов на Волочанск: перевезли 93 пассажира, 3590 кг груза и 1290 кг почты. 1-го октября река Дудинка и озера в тундре покрылись льдом. Самолет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637582C7" w14:textId="77777777" w:rsidR="00D4105E" w:rsidRPr="00E14102" w:rsidRDefault="00D4105E" w:rsidP="00E14102">
      <w:pPr>
        <w:autoSpaceDE w:val="0"/>
        <w:autoSpaceDN w:val="0"/>
        <w:adjustRightInd w:val="0"/>
        <w:jc w:val="both"/>
        <w:rPr>
          <w:color w:val="000000" w:themeColor="text1"/>
          <w:sz w:val="16"/>
          <w:szCs w:val="16"/>
        </w:rPr>
      </w:pPr>
    </w:p>
    <w:p w14:paraId="2E26F38C" w14:textId="77777777" w:rsidR="00927678" w:rsidRPr="00E14102" w:rsidRDefault="00927678" w:rsidP="00E14102">
      <w:pPr>
        <w:jc w:val="both"/>
        <w:rPr>
          <w:color w:val="000000" w:themeColor="text1"/>
          <w:sz w:val="16"/>
          <w:szCs w:val="16"/>
        </w:rPr>
      </w:pPr>
      <w:r w:rsidRPr="00E14102">
        <w:rPr>
          <w:color w:val="000000" w:themeColor="text1"/>
          <w:sz w:val="16"/>
          <w:szCs w:val="16"/>
        </w:rPr>
        <w:t>16 июля 1935 г. началась эксплуатация дирижабля В-7 бис и закончилась катастрофой в ночь с 23 на 24 октября 1935 г., вследствие ошибки пилотирования, зацепившись за провода, дирижабль сгорел [</w:t>
      </w:r>
      <w:r w:rsidRPr="00E14102">
        <w:rPr>
          <w:bCs/>
          <w:color w:val="000000" w:themeColor="text1"/>
          <w:sz w:val="16"/>
          <w:szCs w:val="16"/>
        </w:rPr>
        <w:t xml:space="preserve">Арие М.Я. </w:t>
      </w:r>
      <w:r w:rsidRPr="00E14102">
        <w:rPr>
          <w:color w:val="000000" w:themeColor="text1"/>
          <w:sz w:val="16"/>
          <w:szCs w:val="16"/>
        </w:rPr>
        <w:t>Дирижабли. - Киев: Наукова думка, 1986, с. 144, 223; Окончание постройки «СССР В-7» - «Челюскинец» // Технический бюллетень Дирижаблестроя. - 1935. - № 2, с. 64] (15234).</w:t>
      </w:r>
    </w:p>
    <w:p w14:paraId="275A0F43" w14:textId="77777777" w:rsidR="00927678" w:rsidRPr="00E14102" w:rsidRDefault="00927678" w:rsidP="00E14102">
      <w:pPr>
        <w:jc w:val="both"/>
        <w:rPr>
          <w:color w:val="000000" w:themeColor="text1"/>
          <w:sz w:val="16"/>
          <w:szCs w:val="16"/>
        </w:rPr>
      </w:pPr>
    </w:p>
    <w:p w14:paraId="64AA4EF6" w14:textId="77777777" w:rsidR="00195837" w:rsidRPr="00E14102" w:rsidRDefault="00195837" w:rsidP="00E14102">
      <w:pPr>
        <w:jc w:val="both"/>
        <w:rPr>
          <w:color w:val="0070C0"/>
          <w:sz w:val="16"/>
          <w:szCs w:val="16"/>
        </w:rPr>
      </w:pPr>
      <w:r w:rsidRPr="00E14102">
        <w:rPr>
          <w:color w:val="0070C0"/>
          <w:sz w:val="16"/>
          <w:szCs w:val="16"/>
        </w:rPr>
        <w:t>16 июля 1935 г. началась эксплуатация дирижабля В-7 бис и закончилась катастрофой в ночь с 23 на 24 октября 1935 г., вследствие ошибки пилотирования, зацепившись за провода, дирижабль сгорел [Арие М.Я. Дирижабли. - Киев: Наукова думка, 1986, с. 144, 223; 5, с. 64] (22295).</w:t>
      </w:r>
    </w:p>
    <w:p w14:paraId="74A41DB0" w14:textId="77777777" w:rsidR="00195837" w:rsidRPr="00E14102" w:rsidRDefault="00195837" w:rsidP="00E14102">
      <w:pPr>
        <w:jc w:val="both"/>
        <w:rPr>
          <w:rFonts w:eastAsia="TimesNewRomanPSMT"/>
          <w:color w:val="0070C0"/>
          <w:sz w:val="16"/>
          <w:szCs w:val="16"/>
        </w:rPr>
      </w:pPr>
    </w:p>
    <w:p w14:paraId="5713DF79" w14:textId="77777777" w:rsidR="00195837" w:rsidRPr="00E14102" w:rsidRDefault="00195837" w:rsidP="00E14102">
      <w:pPr>
        <w:jc w:val="both"/>
        <w:rPr>
          <w:color w:val="0070C0"/>
          <w:sz w:val="16"/>
          <w:szCs w:val="16"/>
        </w:rPr>
      </w:pPr>
      <w:r w:rsidRPr="00E14102">
        <w:rPr>
          <w:color w:val="0070C0"/>
          <w:sz w:val="16"/>
          <w:szCs w:val="16"/>
        </w:rPr>
        <w:t>16 июля 1935 состоялся запуск модернизирован</w:t>
      </w:r>
      <w:r w:rsidRPr="00E14102">
        <w:rPr>
          <w:color w:val="0070C0"/>
          <w:sz w:val="16"/>
          <w:szCs w:val="16"/>
        </w:rPr>
        <w:softHyphen/>
        <w:t>ного автостратостата с изменённой схемой пе</w:t>
      </w:r>
      <w:r w:rsidRPr="00E14102">
        <w:rPr>
          <w:color w:val="0070C0"/>
          <w:sz w:val="16"/>
          <w:szCs w:val="16"/>
        </w:rPr>
        <w:softHyphen/>
        <w:t>редачи данных о высоте. По сигналу барографа к передатчику попеременно подключались либо оба счётчика Гейгера-Мюллера, имевшие разные размеры, либо меньший из них. Таким образом, число радиосигналов периодически резко изме</w:t>
      </w:r>
      <w:r w:rsidRPr="00E14102">
        <w:rPr>
          <w:color w:val="0070C0"/>
          <w:sz w:val="16"/>
          <w:szCs w:val="16"/>
        </w:rPr>
        <w:softHyphen/>
        <w:t>нялось (примерно в три раза). Моменты резкого изменения числа радиосигналов соответствовали переключениям барографа. Прибор имел значи</w:t>
      </w:r>
      <w:r w:rsidRPr="00E14102">
        <w:rPr>
          <w:color w:val="0070C0"/>
          <w:sz w:val="16"/>
          <w:szCs w:val="16"/>
        </w:rPr>
        <w:softHyphen/>
        <w:t>тельно меньший вес (11 кг), чем первый вариант станции, что позволяло вести измерения на боль</w:t>
      </w:r>
      <w:r w:rsidRPr="00E14102">
        <w:rPr>
          <w:color w:val="0070C0"/>
          <w:sz w:val="16"/>
          <w:szCs w:val="16"/>
        </w:rPr>
        <w:softHyphen/>
        <w:t>ших высотах. Полёты в Слуцке показали удов</w:t>
      </w:r>
      <w:r w:rsidRPr="00E14102">
        <w:rPr>
          <w:color w:val="0070C0"/>
          <w:sz w:val="16"/>
          <w:szCs w:val="16"/>
        </w:rPr>
        <w:softHyphen/>
        <w:t>летворительное согласие полученных данных о росте интенсивности космических лучей с вы</w:t>
      </w:r>
      <w:r w:rsidRPr="00E14102">
        <w:rPr>
          <w:color w:val="0070C0"/>
          <w:sz w:val="16"/>
          <w:szCs w:val="16"/>
        </w:rPr>
        <w:softHyphen/>
        <w:t>сотой с данными Регенера. В одном из полётов данные не только передавались по радио, но и ре</w:t>
      </w:r>
      <w:r w:rsidRPr="00E14102">
        <w:rPr>
          <w:color w:val="0070C0"/>
          <w:sz w:val="16"/>
          <w:szCs w:val="16"/>
        </w:rPr>
        <w:softHyphen/>
        <w:t>гистрировались помещённым на шаре самопис</w:t>
      </w:r>
      <w:r w:rsidRPr="00E14102">
        <w:rPr>
          <w:color w:val="0070C0"/>
          <w:sz w:val="16"/>
          <w:szCs w:val="16"/>
        </w:rPr>
        <w:softHyphen/>
        <w:t>цем. Совпадение результатов обработки данных радиоприёма с записями самописца показали, что передача по радио не внесла искажений (20120).</w:t>
      </w:r>
    </w:p>
    <w:p w14:paraId="30710C96" w14:textId="77777777" w:rsidR="00195837" w:rsidRPr="00E14102" w:rsidRDefault="00195837" w:rsidP="00E14102">
      <w:pPr>
        <w:jc w:val="both"/>
        <w:rPr>
          <w:color w:val="0070C0"/>
          <w:sz w:val="16"/>
          <w:szCs w:val="16"/>
        </w:rPr>
      </w:pPr>
    </w:p>
    <w:p w14:paraId="4508492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9EBC991" w14:textId="77777777" w:rsidR="00D4105E" w:rsidRPr="00E14102" w:rsidRDefault="00D4105E" w:rsidP="00E14102">
      <w:pPr>
        <w:autoSpaceDE w:val="0"/>
        <w:autoSpaceDN w:val="0"/>
        <w:adjustRightInd w:val="0"/>
        <w:jc w:val="both"/>
        <w:rPr>
          <w:iCs/>
          <w:color w:val="000000" w:themeColor="text1"/>
          <w:sz w:val="16"/>
          <w:szCs w:val="16"/>
        </w:rPr>
      </w:pPr>
    </w:p>
    <w:p w14:paraId="1DEDD2D9" w14:textId="77777777" w:rsidR="00195837" w:rsidRPr="00E14102" w:rsidRDefault="00195837" w:rsidP="00E14102">
      <w:pPr>
        <w:autoSpaceDE w:val="0"/>
        <w:autoSpaceDN w:val="0"/>
        <w:adjustRightInd w:val="0"/>
        <w:jc w:val="both"/>
        <w:rPr>
          <w:color w:val="0070C0"/>
          <w:sz w:val="16"/>
          <w:szCs w:val="16"/>
        </w:rPr>
      </w:pPr>
      <w:r w:rsidRPr="00E14102">
        <w:rPr>
          <w:color w:val="0070C0"/>
          <w:sz w:val="16"/>
          <w:szCs w:val="16"/>
        </w:rPr>
        <w:t>16 июля 1935 г. был издан приказ Наркома тяжелой промышленности С. Орджоникидзе № 873, в котором говорилось о том, что «конструкторская работа должна быть теснейшим образом связана с производственным предприятием, где каждый конструктор должен быть такой же центральной фигурой, как начальник цеха и мастер». В связи с этим должны были быть увеличены объемы присутствия конструкторов в цехах и их участия в изготовлении опытных образцов, их испытаниях и последующем серийном производстве, а руководителям предприятий было предписано обеспечить надлежащие условия для работы конструкторских кадров. Предполагались и различные формы материального поощрения инженеров - конструкторов.</w:t>
      </w:r>
    </w:p>
    <w:p w14:paraId="47BE9B7C" w14:textId="77777777" w:rsidR="00195837" w:rsidRPr="00E14102" w:rsidRDefault="00195837" w:rsidP="00E14102">
      <w:pPr>
        <w:pStyle w:val="Default"/>
        <w:jc w:val="both"/>
        <w:rPr>
          <w:rFonts w:eastAsia="TimesNewRomanPSMT"/>
          <w:color w:val="0070C0"/>
          <w:sz w:val="16"/>
          <w:szCs w:val="16"/>
        </w:rPr>
      </w:pPr>
      <w:r w:rsidRPr="00E14102">
        <w:rPr>
          <w:color w:val="0070C0"/>
          <w:sz w:val="16"/>
          <w:szCs w:val="16"/>
        </w:rPr>
        <w:t>Во исполнение положений данного приказа на машиностроительном заводе №7 с 1 августа 1935 г. были введены новые ставки оплаты труда конструкторов, запрещены сдельные работы, выполнение конструкторами заданий других секторов в нерабочее время, введен запрет на совместительство (за исключением педагогической и литературной работы) (20074).</w:t>
      </w:r>
    </w:p>
    <w:p w14:paraId="765FB6EA" w14:textId="77777777" w:rsidR="00195837" w:rsidRPr="00E14102" w:rsidRDefault="00195837" w:rsidP="00E14102">
      <w:pPr>
        <w:jc w:val="both"/>
        <w:rPr>
          <w:rFonts w:eastAsia="TimesNewRomanPSMT"/>
          <w:color w:val="0070C0"/>
          <w:sz w:val="16"/>
          <w:szCs w:val="16"/>
        </w:rPr>
      </w:pPr>
    </w:p>
    <w:p w14:paraId="15A09C71" w14:textId="77777777" w:rsidR="00927678" w:rsidRPr="00E14102" w:rsidRDefault="00927678" w:rsidP="00E14102">
      <w:pPr>
        <w:pStyle w:val="rtejustify"/>
        <w:spacing w:before="0" w:after="0"/>
        <w:rPr>
          <w:color w:val="000000" w:themeColor="text1"/>
          <w:sz w:val="16"/>
          <w:szCs w:val="16"/>
        </w:rPr>
      </w:pPr>
      <w:r w:rsidRPr="00E14102">
        <w:rPr>
          <w:rStyle w:val="a6"/>
          <w:bCs/>
          <w:i w:val="0"/>
          <w:color w:val="000000" w:themeColor="text1"/>
          <w:sz w:val="16"/>
          <w:szCs w:val="16"/>
        </w:rPr>
        <w:t>16 июля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84сс «О дополнительных ассигнованиях на капитальное строительство по военной промышленности». (ГА РФ. Ф. Р</w:t>
      </w:r>
      <w:r w:rsidRPr="00E14102">
        <w:rPr>
          <w:color w:val="000000" w:themeColor="text1"/>
          <w:sz w:val="16"/>
          <w:szCs w:val="16"/>
        </w:rPr>
        <w:noBreakHyphen/>
        <w:t>8418. Оп. 28. Д. 7. Л. 34</w:t>
      </w:r>
      <w:r w:rsidRPr="00E14102">
        <w:rPr>
          <w:color w:val="000000" w:themeColor="text1"/>
          <w:sz w:val="16"/>
          <w:szCs w:val="16"/>
        </w:rPr>
        <w:noBreakHyphen/>
        <w:t>39) (15460).</w:t>
      </w:r>
    </w:p>
    <w:p w14:paraId="4D9E4995" w14:textId="77777777" w:rsidR="00927678" w:rsidRPr="00E14102" w:rsidRDefault="00927678" w:rsidP="00E14102">
      <w:pPr>
        <w:pStyle w:val="rtejustify"/>
        <w:spacing w:before="0" w:after="0"/>
        <w:rPr>
          <w:color w:val="000000" w:themeColor="text1"/>
          <w:sz w:val="16"/>
          <w:szCs w:val="16"/>
        </w:rPr>
      </w:pPr>
    </w:p>
    <w:p w14:paraId="4C79AB40" w14:textId="77777777" w:rsidR="00927678" w:rsidRPr="00E14102" w:rsidRDefault="00927678" w:rsidP="00E14102">
      <w:pPr>
        <w:pStyle w:val="rtejustify"/>
        <w:spacing w:before="0" w:after="0"/>
        <w:rPr>
          <w:color w:val="000000" w:themeColor="text1"/>
          <w:sz w:val="16"/>
          <w:szCs w:val="16"/>
        </w:rPr>
      </w:pPr>
      <w:r w:rsidRPr="00E14102">
        <w:rPr>
          <w:rStyle w:val="a6"/>
          <w:bCs/>
          <w:i w:val="0"/>
          <w:color w:val="000000" w:themeColor="text1"/>
          <w:sz w:val="16"/>
          <w:szCs w:val="16"/>
        </w:rPr>
        <w:t>16 июля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85сс «О дополнительном заказе НКО по боевой технике по прочим наркоматам, кроме НКТП». (ГА РФ. Ф. Р</w:t>
      </w:r>
      <w:r w:rsidRPr="00E14102">
        <w:rPr>
          <w:color w:val="000000" w:themeColor="text1"/>
          <w:sz w:val="16"/>
          <w:szCs w:val="16"/>
        </w:rPr>
        <w:noBreakHyphen/>
        <w:t>8418. Оп. 28. Д. 7. Л. 41</w:t>
      </w:r>
      <w:r w:rsidRPr="00E14102">
        <w:rPr>
          <w:color w:val="000000" w:themeColor="text1"/>
          <w:sz w:val="16"/>
          <w:szCs w:val="16"/>
        </w:rPr>
        <w:noBreakHyphen/>
        <w:t>42) (15460).</w:t>
      </w:r>
    </w:p>
    <w:p w14:paraId="72AB9315" w14:textId="77777777" w:rsidR="00927678" w:rsidRPr="00E14102" w:rsidRDefault="00927678" w:rsidP="00E14102">
      <w:pPr>
        <w:pStyle w:val="rtejustify"/>
        <w:spacing w:before="0" w:after="0"/>
        <w:rPr>
          <w:color w:val="000000" w:themeColor="text1"/>
          <w:sz w:val="16"/>
          <w:szCs w:val="16"/>
        </w:rPr>
      </w:pPr>
    </w:p>
    <w:p w14:paraId="3B368EDB" w14:textId="77777777" w:rsidR="00927678" w:rsidRPr="00E14102" w:rsidRDefault="00927678" w:rsidP="00E14102">
      <w:pPr>
        <w:pStyle w:val="rtejustify"/>
        <w:spacing w:before="0" w:after="0"/>
        <w:rPr>
          <w:color w:val="000000" w:themeColor="text1"/>
          <w:sz w:val="16"/>
          <w:szCs w:val="16"/>
        </w:rPr>
      </w:pPr>
      <w:r w:rsidRPr="00E14102">
        <w:rPr>
          <w:rStyle w:val="a6"/>
          <w:bCs/>
          <w:i w:val="0"/>
          <w:color w:val="000000" w:themeColor="text1"/>
          <w:sz w:val="16"/>
          <w:szCs w:val="16"/>
        </w:rPr>
        <w:t>16 июля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86с «О беспроектном строительстве военно-химических предприятий». (ГА РФ. Ф. Р</w:t>
      </w:r>
      <w:r w:rsidRPr="00E14102">
        <w:rPr>
          <w:color w:val="000000" w:themeColor="text1"/>
          <w:sz w:val="16"/>
          <w:szCs w:val="16"/>
        </w:rPr>
        <w:noBreakHyphen/>
        <w:t>8418. Оп. 28. Д. 7. Л. 43) (15460).</w:t>
      </w:r>
    </w:p>
    <w:p w14:paraId="371335B6" w14:textId="77777777" w:rsidR="00927678" w:rsidRPr="00E14102" w:rsidRDefault="00927678" w:rsidP="00E14102">
      <w:pPr>
        <w:pStyle w:val="rtejustify"/>
        <w:spacing w:before="0" w:after="0"/>
        <w:rPr>
          <w:color w:val="000000" w:themeColor="text1"/>
          <w:sz w:val="16"/>
          <w:szCs w:val="16"/>
        </w:rPr>
      </w:pPr>
    </w:p>
    <w:p w14:paraId="77004B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июля 1935 на опытном поле НАТИ руководители партии и правительства осматривали новые машины. Из Сталинграда прибыли сельскохозяйственный и транспортный варианты дизельного трактора СТЗ-НАТИ, из Харькова — модернизированный В-30/40 с дизелем и ГТ-35/50 — точная копия трактора «Мак Кормик», дизель которого заменили керосиновым двигателем. СТЗ-НАТИ вышел победителем. Однако и у него обнаружились некоторые неполадки. Приказом наркома тяжелой промышленности Г. Орджоникидзе было образовано объединенное конструкторское бюро из представителей СТЗ, НАТИ и ХТЗ. ОКБ должно было довести конструкцию и подготовить трактор к массовому производству. Из-за отсутствия отечественной топливной аппаратуры дизель СТЗ-НАТИ переделали на керосиновый двигатель (11418).</w:t>
      </w:r>
    </w:p>
    <w:p w14:paraId="616CAD04" w14:textId="77777777" w:rsidR="00D4105E" w:rsidRPr="00E14102" w:rsidRDefault="00D4105E" w:rsidP="00E14102">
      <w:pPr>
        <w:autoSpaceDE w:val="0"/>
        <w:autoSpaceDN w:val="0"/>
        <w:adjustRightInd w:val="0"/>
        <w:jc w:val="both"/>
        <w:rPr>
          <w:color w:val="000000" w:themeColor="text1"/>
          <w:sz w:val="16"/>
          <w:szCs w:val="16"/>
        </w:rPr>
      </w:pPr>
    </w:p>
    <w:p w14:paraId="080FCE06" w14:textId="77777777" w:rsidR="00431E03" w:rsidRPr="00E14102" w:rsidRDefault="00431E03" w:rsidP="00E14102">
      <w:pPr>
        <w:jc w:val="both"/>
        <w:rPr>
          <w:color w:val="0070C0"/>
          <w:sz w:val="16"/>
          <w:szCs w:val="16"/>
        </w:rPr>
      </w:pPr>
      <w:r w:rsidRPr="00E14102">
        <w:rPr>
          <w:color w:val="0070C0"/>
          <w:sz w:val="16"/>
          <w:szCs w:val="16"/>
        </w:rPr>
        <w:lastRenderedPageBreak/>
        <w:t>16 июля 1935 И.В. Сталин в сопровождении М.И. Ка</w:t>
      </w:r>
      <w:r w:rsidRPr="00E14102">
        <w:rPr>
          <w:color w:val="0070C0"/>
          <w:sz w:val="16"/>
          <w:szCs w:val="16"/>
        </w:rPr>
        <w:softHyphen/>
        <w:t>линина, А.А. Жданова, Л.М. Кагановича, ГК. Орджони</w:t>
      </w:r>
      <w:r w:rsidRPr="00E14102">
        <w:rPr>
          <w:color w:val="0070C0"/>
          <w:sz w:val="16"/>
          <w:szCs w:val="16"/>
        </w:rPr>
        <w:softHyphen/>
        <w:t>кидзе и других партийных и государственных деятелей посетил опытное поле НАТИ, где испытывались трак</w:t>
      </w:r>
      <w:r w:rsidRPr="00E14102">
        <w:rPr>
          <w:color w:val="0070C0"/>
          <w:sz w:val="16"/>
          <w:szCs w:val="16"/>
        </w:rPr>
        <w:softHyphen/>
        <w:t>тора. От шоссе до опытного поля руководители партии и страны доехали на транспортном тракторе СТЭ</w:t>
      </w:r>
      <w:r w:rsidRPr="00E14102">
        <w:rPr>
          <w:color w:val="0070C0"/>
          <w:sz w:val="16"/>
          <w:szCs w:val="16"/>
        </w:rPr>
        <w:softHyphen/>
        <w:t>НАМИ. (Сейчас опытное поле застроено жилыми зда</w:t>
      </w:r>
      <w:r w:rsidRPr="00E14102">
        <w:rPr>
          <w:color w:val="0070C0"/>
          <w:sz w:val="16"/>
          <w:szCs w:val="16"/>
        </w:rPr>
        <w:softHyphen/>
        <w:t>ниями. Этот уголок Москвы называется Лихоборскими буграми.)</w:t>
      </w:r>
    </w:p>
    <w:p w14:paraId="615F5FB2" w14:textId="77777777" w:rsidR="00431E03" w:rsidRPr="00E14102" w:rsidRDefault="00431E03" w:rsidP="00E14102">
      <w:pPr>
        <w:jc w:val="both"/>
        <w:rPr>
          <w:color w:val="0070C0"/>
          <w:sz w:val="16"/>
          <w:szCs w:val="16"/>
        </w:rPr>
      </w:pPr>
      <w:r w:rsidRPr="00E14102">
        <w:rPr>
          <w:color w:val="0070C0"/>
          <w:sz w:val="16"/>
          <w:szCs w:val="16"/>
        </w:rPr>
        <w:t>Вождь осмотрел экспериментальные образцы тракторов СТЗ-НАТИ и ХТЗ. В середине 30-х годов внимание власти к тракторам было особенным, не</w:t>
      </w:r>
      <w:r w:rsidRPr="00E14102">
        <w:rPr>
          <w:color w:val="0070C0"/>
          <w:sz w:val="16"/>
          <w:szCs w:val="16"/>
        </w:rPr>
        <w:softHyphen/>
        <w:t>посредственно связанным с механизацией арми'</w:t>
      </w:r>
    </w:p>
    <w:p w14:paraId="22E70D40" w14:textId="77777777" w:rsidR="00431E03" w:rsidRPr="00E14102" w:rsidRDefault="00431E03" w:rsidP="00E14102">
      <w:pPr>
        <w:jc w:val="both"/>
        <w:rPr>
          <w:color w:val="0070C0"/>
          <w:sz w:val="16"/>
          <w:szCs w:val="16"/>
        </w:rPr>
      </w:pPr>
      <w:r w:rsidRPr="00E14102">
        <w:rPr>
          <w:color w:val="0070C0"/>
          <w:sz w:val="16"/>
          <w:szCs w:val="16"/>
        </w:rPr>
        <w:t>В угоду этому гусеничные тракто</w:t>
      </w:r>
      <w:r w:rsidRPr="00E14102">
        <w:rPr>
          <w:color w:val="0070C0"/>
          <w:sz w:val="16"/>
          <w:szCs w:val="16"/>
        </w:rPr>
        <w:softHyphen/>
        <w:t>ры должны были заменить колес</w:t>
      </w:r>
      <w:r w:rsidRPr="00E14102">
        <w:rPr>
          <w:color w:val="0070C0"/>
          <w:sz w:val="16"/>
          <w:szCs w:val="16"/>
        </w:rPr>
        <w:softHyphen/>
        <w:t>ные, производство которых было налажено совсем недавно. К тому же сельское хозяйство лишалось трактора средней мощности.</w:t>
      </w:r>
    </w:p>
    <w:p w14:paraId="14F42512" w14:textId="77777777" w:rsidR="00431E03" w:rsidRPr="00E14102" w:rsidRDefault="00431E03" w:rsidP="00E14102">
      <w:pPr>
        <w:jc w:val="both"/>
        <w:rPr>
          <w:color w:val="0070C0"/>
          <w:sz w:val="16"/>
          <w:szCs w:val="16"/>
        </w:rPr>
      </w:pPr>
      <w:r w:rsidRPr="00E14102">
        <w:rPr>
          <w:color w:val="0070C0"/>
          <w:sz w:val="16"/>
          <w:szCs w:val="16"/>
        </w:rPr>
        <w:t>18 июля через партийную газету «Правда» коллективы СТЗ, ХТЗ и НАТИ за хорошо и быстро проведенную работу по конструи</w:t>
      </w:r>
      <w:r w:rsidRPr="00E14102">
        <w:rPr>
          <w:color w:val="0070C0"/>
          <w:sz w:val="16"/>
          <w:szCs w:val="16"/>
        </w:rPr>
        <w:softHyphen/>
        <w:t>рованию новых образцов гусенич</w:t>
      </w:r>
      <w:r w:rsidRPr="00E14102">
        <w:rPr>
          <w:color w:val="0070C0"/>
          <w:sz w:val="16"/>
          <w:szCs w:val="16"/>
        </w:rPr>
        <w:softHyphen/>
        <w:t>ных тракторов получили прави</w:t>
      </w:r>
      <w:r w:rsidRPr="00E14102">
        <w:rPr>
          <w:color w:val="0070C0"/>
          <w:sz w:val="16"/>
          <w:szCs w:val="16"/>
        </w:rPr>
        <w:softHyphen/>
        <w:t>тельственную благодарность от Центрального Комитета ВКП(б) и Совета Народных Комиссаров СССР (22518).</w:t>
      </w:r>
    </w:p>
    <w:p w14:paraId="753EEEB0" w14:textId="77777777" w:rsidR="00431E03" w:rsidRPr="00E14102" w:rsidRDefault="00431E03" w:rsidP="00E14102">
      <w:pPr>
        <w:jc w:val="both"/>
        <w:rPr>
          <w:color w:val="0070C0"/>
          <w:sz w:val="16"/>
          <w:szCs w:val="16"/>
        </w:rPr>
      </w:pPr>
    </w:p>
    <w:p w14:paraId="213653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16 июля 1935 транспортный трактор СТЗ-5вместе с сельскохозяйственным трактором СТЗ-3 был показан высшему руководству страны во главе с И.В.Сталиным, получили полное одобрение, а в кузове СТЗ-5 члены Политбюро даже проехались по опытному полю НАТИ. 10 декабря 1935 года два СТЗ-5, участвовавших в зимнем пробеге Сталинград— Москва, успешно продемонстрировали в Кремле. </w:t>
      </w:r>
    </w:p>
    <w:p w14:paraId="3C1C5F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Обнаруженные во время испытаний недостатки транспортного трактора устранили к 1936 году. Но на подготовку его к производству, вслед за СТЗ-3, на Сталинградском тракторном заводе ушло два года. </w:t>
      </w:r>
    </w:p>
    <w:p w14:paraId="27800C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Машина имела уже ставшую традиционной для транспортных тракторов компоновку с передним расположением двухместной (водитель и командир орудия) закрытой дерево-металлической кабины, установленной над двигателем. За кабиной и топливными баками находилась двухметровая грузовая деревянная платформа с откидными бортами и съемным брезентовым верхом с целлулоидными окнами. Здесь на четырех откидных полумягких сиденьях размещался орудийный расчет, а на полу — боеприпасы и артиллерийское снаряжение. Легкая и рациональная рама трактора состояла из двух продольных швеллеров, связанных четырьмя различными поперечинами. Двигатель 1МА — типично тракторный, четырехцилин-дровый, карбюраторный (от дизеля пришлось отказаться), с зажиганием от магнето, малооборотный и относительно тяжелый, но выносливый и надежный (выпускался до 1953 года). Заводился он и мог работать на бензине (бак — 14 л), переходя потом (после прогрева до 90°) на керосин или лигроин (бак — 148 л), то есть был фактически многотопливным. Для предупреждения детонации и для повышения мощности, особенно при работе на керосине с большой нагрузкой в жаркое время года, в цилиндры через специальную сиcтему карбюратора впрыскивалась иода, пока в 1941 году не была введена питиде-гонационная камера сгорания. Диигатель имел полноценные системы смазки, охлаждения, питания, электрооборудования. Запуск — электростартером (ею не было на СТЗ-3) или безопасной (при обратном ударе) пусковой рукояткой; управление - ножной педалью «по-автомобильному". В коробке передач, стыкуемой с задним мостом, были изменены передаточные числа с целью увеличения силового диапазона (до 9,81 против 2,1 у СТЗ-3) и скоростей движения, введена еще одна (понижающая) передача. При движении на ней со скоростью 1,9 км/ч СТЗ-5 развивал гягу 4850 кгс, то есть на пределе сцепления гусениц с грунтом. </w:t>
      </w:r>
    </w:p>
    <w:p w14:paraId="767C83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Задний мост с бортовыми фрикционами и тормозами (дополнены общим ножным приводом) вместе с конечными передачами полностью заимствовались от СТЗ-3, что оказалось очень важным при их совместном массовом производстве. Ходовая часть была более приспособленной к движению С высокими скоростями: введены обрезиненные опорные и поддерживающие катки и мелкозвенчатая гусеница с вдвое уменьшенным шагом. Ведущая звездочка осталась прежней, а потому быстро изнашивалась. На картере заднего моста под платформой устанавливался вертикальный кабестан с тросом длиной 40 м для подтягивания прицепов (при раздельном преодолении тяжелых участков), самовытаскивания трактора и буксировки других машин. Тяговое усилие кабестана составляло 4000 кгс, хотя мощность двигателя позволяла развивать до 12 000 кгс, но это было небезопасно для прочности трактора. Такое довольно простое и эффективное устройство вполне заменяло лебедку, которая уже тогда считалась обязательной для каждого артиллерийского тягача, кроме легкого. Кабина имела открывающиеся передние и боковые стекла, а также регулируемые жалюзи в передней и задней части — для организации ее проточной вентиляции; в противном случае летом температура здесь от нагрева массивным двигателем достигала 50°. </w:t>
      </w:r>
    </w:p>
    <w:p w14:paraId="21C67C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1939 году специально для СТЗ-5 на Харьковском тракторном заводе был построен дизельный двигатель Д-8Т (транспортный) мощностью 58,5 л.с. при 1350 об/мин, рабочим обьемом 6,876 л, со стартерным запуском (затем — с пусковым двигателем СТЗ). Но из-за присущих ему недостатков и технологических трудностей в производство он не пошел.</w:t>
      </w:r>
    </w:p>
    <w:p w14:paraId="569530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1937 году были выпущены первые 173 транспортных СТЗ-5, в 1938-м— 136, в 1939-м-уже 1256 и в 1940 году- 1274. В артиллерийских частях они буксировали артсистемы массой до 3400 кг, в том числе 76-мм полковые и дивизионные пушки, 122-мм и 152-мм гаубицы, а также 76-мм (позже и 85-мм) зенитные орудия. Скоро в РККА СТЗ-5 стал наиболее распространенным и доступным артиллерийским тягачом, успешно работавшим во всех климатических зонах СССР. Летом 1939 года машина проходила армейские испытания в районе города Медведь Новгородской области. Были определены параметры ее геометрической проходимости: ров — до 1 м, стенка — до 0,6 м, брод — до 0,8 м. Это же подтвердили испытания СТЗ-5, проведенные в 1939— 1940 годах на НИБТПолигоне ГАБТУ КА. </w:t>
      </w:r>
    </w:p>
    <w:p w14:paraId="3462D9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Средне-техническая скорость движения тягача с прицепом по шоссе в составе батареи достигала 14 км/ч; в составе полка — 11 км/ч; по грунту — 10 км/ч. При эксплуатации сильно сказывалось его сельскохозяйственное происхождение: из всех отечественных машин этого назначения он имел самую плохую проходимость, небольшую удельную мощность, узкую колею {выбранную для работы с четырехкорпусным плугом), малый клиренс, недостаточные сцепные возможности гусениц с мелкими грунтозацепами высотой всего 35 мм, значительное удельное давление на грунт из-за малой ширины траков, сильную продольную раскачку при движении на больших скоростях — стоял даже вопрос о добавлении пятого опорного катка для увеличения базы (амортизаторы тогда еще не применялись). На зимних обледенелых дорогах сцепления гусениц с грунтом было недостаточно для устойчивого движения. </w:t>
      </w:r>
    </w:p>
    <w:p w14:paraId="4F38C9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выносливость тягача не вызывала сомнений — он дважды (в ноябре —декабре 1935 года и в марте — апреле 1939-го) совершал безостановочные пробеги Сталинград — Москва и обратно без поломок и недопустимых износов. Дополнительные испытания СТЗ-5, проведенные в НАТИ летом-осенью 1943 года, показали низкие тяговые свойства машины. При движении на высшей, пятой передаче максимальное тяговое усилие на крюке не превышало 240 — 270 кгс, что позволяло тягачу уверенно работать без прицепа или тянуть его только по хорошим дорогам с подъемами оказался крайне незначительным (2 — 6%) и при перегрузке скорость резко падала. Поэтому приходилось работать в основном на четвертой (нагрузка на крюке — 585 кгс) и на третьей (нагрузка — до 1230 кгс) передачах. Движение в условиях бездорожья или при буксировке тяжелых прицепов было возможно только на второй передаче (тяговое усилие — 2720 кгс). Отмечался также очень низкий коэффициент сцепления гусенице грунтом (f = 0,599) (11639).</w:t>
      </w:r>
    </w:p>
    <w:p w14:paraId="50982199" w14:textId="77777777" w:rsidR="00D4105E" w:rsidRPr="00E14102" w:rsidRDefault="00D4105E" w:rsidP="00E14102">
      <w:pPr>
        <w:autoSpaceDE w:val="0"/>
        <w:autoSpaceDN w:val="0"/>
        <w:adjustRightInd w:val="0"/>
        <w:jc w:val="both"/>
        <w:rPr>
          <w:color w:val="000000" w:themeColor="text1"/>
          <w:sz w:val="16"/>
          <w:szCs w:val="16"/>
        </w:rPr>
      </w:pPr>
    </w:p>
    <w:p w14:paraId="774DD773" w14:textId="77777777" w:rsidR="00CE5061" w:rsidRPr="00E14102" w:rsidRDefault="00CE5061" w:rsidP="00E14102">
      <w:pPr>
        <w:jc w:val="both"/>
        <w:rPr>
          <w:color w:val="000000" w:themeColor="text1"/>
          <w:sz w:val="16"/>
          <w:szCs w:val="16"/>
        </w:rPr>
      </w:pPr>
      <w:r w:rsidRPr="00E14102">
        <w:rPr>
          <w:color w:val="000000" w:themeColor="text1"/>
          <w:sz w:val="16"/>
          <w:szCs w:val="16"/>
          <w:shd w:val="clear" w:color="auto" w:fill="FFFFFF"/>
        </w:rPr>
        <w:t xml:space="preserve">16 июля 1935 г. на опытном поле НАТИ в Лихоборах под Москвой состоялась демонстрация руководству страны как тракторов СТЗ, так и разработанных ХТЗ на конкурсной основе тракторов В-30/40 (собственной конструкции) и ГТ-35/50 (точная копия трактора американской фирмы «МcCormick»). По результатам испытаний и сравнительного показа предпочтение было отдано тракторам СТЗ, во многом благодаря применению эластичной, а не полужесткой подвески. Специалистам СТЗ, ХТЗ и НАТИ поручалось сформировать объединенное конструкторское бюро, его силами довести конструкцию и подготовить трактор СТЗ-3 к массовому производству </w:t>
      </w:r>
      <w:r w:rsidRPr="00E14102">
        <w:rPr>
          <w:color w:val="000000" w:themeColor="text1"/>
          <w:sz w:val="16"/>
          <w:szCs w:val="16"/>
        </w:rPr>
        <w:t>(19591).</w:t>
      </w:r>
    </w:p>
    <w:p w14:paraId="004F5410" w14:textId="77777777" w:rsidR="00CE5061" w:rsidRPr="00E14102" w:rsidRDefault="00CE5061" w:rsidP="00E14102">
      <w:pPr>
        <w:jc w:val="both"/>
        <w:rPr>
          <w:color w:val="000000" w:themeColor="text1"/>
          <w:sz w:val="16"/>
          <w:szCs w:val="16"/>
        </w:rPr>
      </w:pPr>
    </w:p>
    <w:p w14:paraId="7E5891E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6E20537" w14:textId="77777777" w:rsidR="00D4105E" w:rsidRPr="00E14102" w:rsidRDefault="00D4105E" w:rsidP="00E14102">
      <w:pPr>
        <w:autoSpaceDE w:val="0"/>
        <w:autoSpaceDN w:val="0"/>
        <w:adjustRightInd w:val="0"/>
        <w:jc w:val="both"/>
        <w:rPr>
          <w:iCs/>
          <w:color w:val="000000" w:themeColor="text1"/>
          <w:sz w:val="16"/>
          <w:szCs w:val="16"/>
        </w:rPr>
      </w:pPr>
    </w:p>
    <w:p w14:paraId="47EEDCFB" w14:textId="77777777" w:rsidR="00F14DE2" w:rsidRPr="00E14102" w:rsidRDefault="00F14DE2" w:rsidP="00E14102">
      <w:pPr>
        <w:jc w:val="both"/>
        <w:rPr>
          <w:color w:val="000000" w:themeColor="text1"/>
          <w:sz w:val="16"/>
          <w:szCs w:val="16"/>
        </w:rPr>
      </w:pPr>
      <w:r w:rsidRPr="00E14102">
        <w:rPr>
          <w:color w:val="000000" w:themeColor="text1"/>
          <w:sz w:val="16"/>
          <w:szCs w:val="16"/>
        </w:rPr>
        <w:t xml:space="preserve">16 июля в 1935 году французский экипаж Стоппани - Суриано - Бабби на гидроплане </w:t>
      </w:r>
      <w:hyperlink r:id="rId146" w:tgtFrame="_blank" w:history="1">
        <w:r w:rsidRPr="00E14102">
          <w:rPr>
            <w:color w:val="000000" w:themeColor="text1"/>
            <w:sz w:val="16"/>
            <w:szCs w:val="16"/>
          </w:rPr>
          <w:t xml:space="preserve">«CANT» «Z.501» «Gabbiano» </w:t>
        </w:r>
      </w:hyperlink>
      <w:r w:rsidRPr="00E14102">
        <w:rPr>
          <w:color w:val="000000" w:themeColor="text1"/>
          <w:sz w:val="16"/>
          <w:szCs w:val="16"/>
        </w:rPr>
        <w:t>приводнились в Бербере (тогдашняя британская колония Сомали). Расстояние между Берберой и Монфальконе составляло 4929,697 км! Рекорд дальности в классе «I-AGIL» был официально признан (14954).</w:t>
      </w:r>
    </w:p>
    <w:p w14:paraId="31A06665" w14:textId="77777777" w:rsidR="00F14DE2" w:rsidRPr="00E14102" w:rsidRDefault="00F14DE2" w:rsidP="00E14102">
      <w:pPr>
        <w:jc w:val="both"/>
        <w:rPr>
          <w:color w:val="000000" w:themeColor="text1"/>
          <w:sz w:val="16"/>
          <w:szCs w:val="16"/>
        </w:rPr>
      </w:pPr>
    </w:p>
    <w:p w14:paraId="71850907" w14:textId="77777777" w:rsidR="00F14DE2" w:rsidRPr="00E14102" w:rsidRDefault="00F14DE2" w:rsidP="00E14102">
      <w:pPr>
        <w:jc w:val="both"/>
        <w:rPr>
          <w:color w:val="000000" w:themeColor="text1"/>
          <w:sz w:val="16"/>
          <w:szCs w:val="16"/>
        </w:rPr>
      </w:pPr>
      <w:r w:rsidRPr="00E14102">
        <w:rPr>
          <w:color w:val="000000" w:themeColor="text1"/>
          <w:sz w:val="16"/>
          <w:szCs w:val="16"/>
        </w:rPr>
        <w:t xml:space="preserve">16 июля в 1935 году лейтенант Alexandru Papana на истребителе </w:t>
      </w:r>
      <w:hyperlink r:id="rId147" w:tgtFrame="_blank" w:history="1">
        <w:r w:rsidRPr="00E14102">
          <w:rPr>
            <w:color w:val="000000" w:themeColor="text1"/>
            <w:sz w:val="16"/>
            <w:szCs w:val="16"/>
          </w:rPr>
          <w:t xml:space="preserve">«IAR-16» </w:t>
        </w:r>
      </w:hyperlink>
      <w:r w:rsidRPr="00E14102">
        <w:rPr>
          <w:color w:val="000000" w:themeColor="text1"/>
          <w:sz w:val="16"/>
          <w:szCs w:val="16"/>
        </w:rPr>
        <w:t>установил новый национальный рекорд высоты поднявшись на 11631 метр. Истребитель «IAR-16» разрабатывался конструктором Elie Carafoli параллельно с «IAR-15». Он стал первым цельномателлическим истребителем конструктора. Первый прототип самолета, оборудованный двигателем «Bristol» «Mercury IVS.2» мощностью 500 л.с., был выпущен в 1934 году. Несмотря на хорошие летные характеристики он так и остался в единственном экземпляре (14954).</w:t>
      </w:r>
    </w:p>
    <w:p w14:paraId="17B857AB" w14:textId="77777777" w:rsidR="00F14DE2" w:rsidRPr="00E14102" w:rsidRDefault="00F14DE2" w:rsidP="00E14102">
      <w:pPr>
        <w:jc w:val="both"/>
        <w:rPr>
          <w:color w:val="000000" w:themeColor="text1"/>
          <w:sz w:val="16"/>
          <w:szCs w:val="16"/>
        </w:rPr>
      </w:pPr>
    </w:p>
    <w:p w14:paraId="1607F3FF" w14:textId="77777777" w:rsidR="00F14DE2" w:rsidRPr="00E14102" w:rsidRDefault="00F14DE2" w:rsidP="00E14102">
      <w:pPr>
        <w:jc w:val="both"/>
        <w:rPr>
          <w:color w:val="000000" w:themeColor="text1"/>
          <w:sz w:val="16"/>
          <w:szCs w:val="16"/>
        </w:rPr>
      </w:pPr>
      <w:r w:rsidRPr="00E14102">
        <w:rPr>
          <w:color w:val="000000" w:themeColor="text1"/>
          <w:sz w:val="16"/>
          <w:szCs w:val="16"/>
        </w:rPr>
        <w:t xml:space="preserve">16 июля в 1935 году первый образец </w:t>
      </w:r>
      <w:hyperlink r:id="rId148" w:tgtFrame="_blank" w:history="1">
        <w:r w:rsidRPr="00E14102">
          <w:rPr>
            <w:color w:val="000000" w:themeColor="text1"/>
            <w:sz w:val="16"/>
            <w:szCs w:val="16"/>
          </w:rPr>
          <w:t xml:space="preserve">«B-17» «Model 299» </w:t>
        </w:r>
      </w:hyperlink>
      <w:r w:rsidRPr="00E14102">
        <w:rPr>
          <w:color w:val="000000" w:themeColor="text1"/>
          <w:sz w:val="16"/>
          <w:szCs w:val="16"/>
        </w:rPr>
        <w:t>выкатили на испытательную взлетно-посадочную полосу компании (14954).</w:t>
      </w:r>
    </w:p>
    <w:p w14:paraId="4A282BF1" w14:textId="77777777" w:rsidR="00F14DE2" w:rsidRPr="00E14102" w:rsidRDefault="00F14DE2" w:rsidP="00E14102">
      <w:pPr>
        <w:jc w:val="both"/>
        <w:rPr>
          <w:color w:val="000000" w:themeColor="text1"/>
          <w:sz w:val="16"/>
          <w:szCs w:val="16"/>
        </w:rPr>
      </w:pPr>
    </w:p>
    <w:p w14:paraId="022AA02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июля 1935 в Оклахоме (США) установлены первые в мире счетчики на платных автостоянках (4962).</w:t>
      </w:r>
    </w:p>
    <w:p w14:paraId="384DFB3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2AA3B2E" w14:textId="77777777" w:rsidR="00F14DE2" w:rsidRPr="00E14102" w:rsidRDefault="00F14DE2" w:rsidP="00E14102">
      <w:pPr>
        <w:jc w:val="both"/>
        <w:rPr>
          <w:color w:val="000000" w:themeColor="text1"/>
          <w:sz w:val="16"/>
          <w:szCs w:val="16"/>
        </w:rPr>
      </w:pPr>
      <w:r w:rsidRPr="00E14102">
        <w:rPr>
          <w:color w:val="000000" w:themeColor="text1"/>
          <w:sz w:val="16"/>
          <w:szCs w:val="16"/>
        </w:rPr>
        <w:t>16 июля в 1935 году на автостоянке в деловой части американского города Оклахома-Сити, (штат Оклахома), впервые появились парковочные счетчики, изобретенные неким Карлом Мейги (14954).</w:t>
      </w:r>
    </w:p>
    <w:p w14:paraId="77AD1CEA" w14:textId="77777777" w:rsidR="00F14DE2" w:rsidRPr="00E14102" w:rsidRDefault="00F14DE2" w:rsidP="00E14102">
      <w:pPr>
        <w:jc w:val="both"/>
        <w:rPr>
          <w:color w:val="000000" w:themeColor="text1"/>
          <w:sz w:val="16"/>
          <w:szCs w:val="16"/>
        </w:rPr>
      </w:pPr>
    </w:p>
    <w:p w14:paraId="473B289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39195DB" w14:textId="77777777" w:rsidR="00D4105E" w:rsidRPr="00E14102" w:rsidRDefault="00D4105E" w:rsidP="00E14102">
      <w:pPr>
        <w:autoSpaceDE w:val="0"/>
        <w:autoSpaceDN w:val="0"/>
        <w:adjustRightInd w:val="0"/>
        <w:jc w:val="both"/>
        <w:rPr>
          <w:iCs/>
          <w:color w:val="000000" w:themeColor="text1"/>
          <w:sz w:val="16"/>
          <w:szCs w:val="16"/>
        </w:rPr>
      </w:pPr>
    </w:p>
    <w:p w14:paraId="432EBA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июля 1935 в ходе гос. испытаний СБ 2ИС-12 после осмотра и подготовки был выполнен перелет в Москву (2913).</w:t>
      </w:r>
    </w:p>
    <w:p w14:paraId="72AF75E4" w14:textId="77777777" w:rsidR="00D4105E" w:rsidRPr="00E14102" w:rsidRDefault="00D4105E" w:rsidP="00E14102">
      <w:pPr>
        <w:autoSpaceDE w:val="0"/>
        <w:autoSpaceDN w:val="0"/>
        <w:adjustRightInd w:val="0"/>
        <w:jc w:val="both"/>
        <w:rPr>
          <w:color w:val="000000" w:themeColor="text1"/>
          <w:sz w:val="16"/>
          <w:szCs w:val="16"/>
        </w:rPr>
      </w:pPr>
    </w:p>
    <w:p w14:paraId="504AA7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июля 1935 года закончился второй этап госиспытаний АНТ-40ИС, которые проходил с 16 июня. Самолет летал с убранным колесным шасси, на высоте 4000 м удалось приблизиться к скорости 400 км/ч, на высоте 5000 м максимальная скорость составила 404 км/ч. Успех наращивался медленно, кроме того, в ответ на достижения появились серьезные претензии летчиков к устойчивости и управляемости в полете. В результате, АНТ-40ИС в очередной раз подвергся изменениям, на. сей раз значительным.</w:t>
      </w:r>
    </w:p>
    <w:p w14:paraId="5B0168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Двигатели "Испано-Сюиза" передвинули вперед на 100 мм, стреловидность отъемных частей крыла по передней кромке увеличили с 4,5° до 9° , увеличили площадь оперения, установили аэродинамическую роговую компенсацию на рулях высоты, триммер на правом элероне. В таком виде машина проходила очередной этап госиспытаний до 14 февраля 1936 г., при этом была получена максимальная скорость 418 км/ч на высоте 5300 м. Похоже, настойчивая годовая эпопея доводок и улучшений давала свои результаты, бомбардировщик действительно получался скоростным.</w:t>
      </w:r>
    </w:p>
    <w:p w14:paraId="601B78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Отмечалась его тактическая независимость, то есть возможность достигать цели атаки самостоятельно, без сопровождения истребителей. Среди прочего указывалось, что самолет способен продолжать горизонтальный полет на одном моторе до высоты 5000 метров.</w:t>
      </w:r>
    </w:p>
    <w:p w14:paraId="18D91A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Обычно считается, что после всех внесенных изменений и проведенных испытаний второй опытный экземпляр АНТ-40ИС предоставили авиазаводу №22 в качестве образца - эталона для серийного производства. Автору предлагаемого материала этот факт кажется сомнительным. Дело в том, что и первый и второй экземпляры машины имели в сечении своих крыльев аэродинамический профиль АНТ-6, разработанный в ЦАГИ. В июле-августе 1935 г. на родину из США вернулась советская делегация, в составе которой находились А.Н.Туполев и А.А.Архангельский. Среди прочих заграничных приобретений значились аэродинамические профили NASA серии 230 (в реальном выражении представляли собой математические таблицы для построения этих про филей и их аэродинамические параметры). Анализ показывал, что NASA-230 обладает более эффективными характеристиками, чем отечественный АНТ-6. "Американца" решили поставить на СБ, профиль получил обозначение ЦАГИ-40. Так как применение профиля ЦАГИ-40 вело к значительным изменениям крыла, вполне вероятно, что построили еше одну - третью опытную машину, не отображенную в официальных документах и переписке. Что касается первых двух опытных экземпляров, то 1 мая 1936 г. АНТ-40РЦ и АНТ-40ИС приняли участие в традиционном пролете над Красной площадью. Первые серийные СБ в это время уже приступили к испытаниям в войсках (12027).</w:t>
      </w:r>
    </w:p>
    <w:p w14:paraId="5BECF8FB" w14:textId="77777777" w:rsidR="00D4105E" w:rsidRPr="00E14102" w:rsidRDefault="00D4105E" w:rsidP="00E14102">
      <w:pPr>
        <w:autoSpaceDE w:val="0"/>
        <w:autoSpaceDN w:val="0"/>
        <w:adjustRightInd w:val="0"/>
        <w:jc w:val="both"/>
        <w:rPr>
          <w:color w:val="000000" w:themeColor="text1"/>
          <w:sz w:val="16"/>
          <w:szCs w:val="16"/>
        </w:rPr>
      </w:pPr>
    </w:p>
    <w:p w14:paraId="2D18A1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(18 - 1076,491) июля 1935 начались испытания и доводки ДИ-8 (МИ 2М-85), но гос. испытания были перенесены с 1 августа 1935 на 1 апреля 1936 (320).</w:t>
      </w:r>
    </w:p>
    <w:p w14:paraId="24F10B4C" w14:textId="77777777" w:rsidR="00D4105E" w:rsidRPr="00E14102" w:rsidRDefault="00D4105E" w:rsidP="00E14102">
      <w:pPr>
        <w:autoSpaceDE w:val="0"/>
        <w:autoSpaceDN w:val="0"/>
        <w:adjustRightInd w:val="0"/>
        <w:jc w:val="both"/>
        <w:rPr>
          <w:color w:val="000000" w:themeColor="text1"/>
          <w:sz w:val="16"/>
          <w:szCs w:val="16"/>
        </w:rPr>
      </w:pPr>
    </w:p>
    <w:p w14:paraId="4E4B33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июля 1935 ДИ8-2К14 двухмоторный истребитель вышел на аэродром. Во время испытания обнаружена необходимость изменений концевых частей крыла. В настоящее время находится в производственной доводке. В первой половине октября испытания продолжались (3475,103).</w:t>
      </w:r>
    </w:p>
    <w:p w14:paraId="36132831" w14:textId="77777777" w:rsidR="00D4105E" w:rsidRPr="00E14102" w:rsidRDefault="00D4105E" w:rsidP="00E14102">
      <w:pPr>
        <w:autoSpaceDE w:val="0"/>
        <w:autoSpaceDN w:val="0"/>
        <w:adjustRightInd w:val="0"/>
        <w:jc w:val="both"/>
        <w:rPr>
          <w:color w:val="000000" w:themeColor="text1"/>
          <w:sz w:val="16"/>
          <w:szCs w:val="16"/>
        </w:rPr>
      </w:pPr>
    </w:p>
    <w:p w14:paraId="17F9C2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июля 1935 года самолет МН-2М85 (ДИ-8) (ЦАГИ) вышел на заводские испытания В результате этих испытаний изменены были капоты моторов, поставлены новые винты, установлена новая носовая часть фюзеляжа (3574,212-216).</w:t>
      </w:r>
    </w:p>
    <w:p w14:paraId="63AC8ABB" w14:textId="77777777" w:rsidR="00D4105E" w:rsidRPr="00E14102" w:rsidRDefault="00D4105E" w:rsidP="00E14102">
      <w:pPr>
        <w:autoSpaceDE w:val="0"/>
        <w:autoSpaceDN w:val="0"/>
        <w:adjustRightInd w:val="0"/>
        <w:jc w:val="both"/>
        <w:rPr>
          <w:color w:val="000000" w:themeColor="text1"/>
          <w:sz w:val="16"/>
          <w:szCs w:val="16"/>
        </w:rPr>
      </w:pPr>
    </w:p>
    <w:p w14:paraId="6D5305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июля 1935 был утвержден Отчет по испытанию самолета ФЭЙРИ “ФАЙРФЛЯЙ” N 5024 мотор Роллс-Ройсс “Кестрель” FXIVS с нагнетателем и редуктором. Металлический винт ФЭЙРИ Д=3.1 м</w:t>
      </w:r>
    </w:p>
    <w:p w14:paraId="250794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2ECACDD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Снятие летных характеристик самолета Фейри Фарфляй с мотором Рольсс Ройс – “Кестрель” FXIVS.</w:t>
      </w:r>
    </w:p>
    <w:p w14:paraId="35489E9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Изучение самолета с эксплуатационной точки зрения.</w:t>
      </w:r>
    </w:p>
    <w:p w14:paraId="3DF97BC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Получение опыта в эксплуатации мотора Кестрель 2 оборудованными новейшими агрегатами: редуктор и нагнетатель.</w:t>
      </w:r>
    </w:p>
    <w:p w14:paraId="270F12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84A9C4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Фейри Фарфляй, строящийся серийно и стоящий на вооружении ряда стран является серьезным противником превосходящим по своим данным серийные советские истребители, последнее в основном вызвано постановкой на самолете высотного мотора (3978).</w:t>
      </w:r>
    </w:p>
    <w:p w14:paraId="315B32CE"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12B8D3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июля 1935 года. Начальник 1 отдела НИИ ВС Петров, начальник 4 отдела НИИ ВС Шевченко, командир научно-испытательной эскадрильи НИИ ВС.</w:t>
      </w:r>
    </w:p>
    <w:p w14:paraId="57A3B2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Дневник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5"/>
        <w:gridCol w:w="863"/>
        <w:gridCol w:w="3155"/>
        <w:gridCol w:w="985"/>
        <w:gridCol w:w="986"/>
        <w:gridCol w:w="3520"/>
      </w:tblGrid>
      <w:tr w:rsidR="00E3599D" w:rsidRPr="00E14102" w14:paraId="1CE16F21" w14:textId="77777777">
        <w:tc>
          <w:tcPr>
            <w:tcW w:w="805" w:type="dxa"/>
            <w:tcBorders>
              <w:top w:val="single" w:sz="12" w:space="0" w:color="auto"/>
            </w:tcBorders>
          </w:tcPr>
          <w:p w14:paraId="3DF559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На самолете Сб-2ИС</w:t>
            </w:r>
          </w:p>
        </w:tc>
        <w:tc>
          <w:tcPr>
            <w:tcW w:w="863" w:type="dxa"/>
            <w:tcBorders>
              <w:top w:val="single" w:sz="12" w:space="0" w:color="auto"/>
            </w:tcBorders>
          </w:tcPr>
          <w:p w14:paraId="0871C8D6"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Borders>
              <w:top w:val="single" w:sz="12" w:space="0" w:color="auto"/>
            </w:tcBorders>
          </w:tcPr>
          <w:p w14:paraId="103265E1"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Borders>
              <w:top w:val="single" w:sz="12" w:space="0" w:color="auto"/>
            </w:tcBorders>
          </w:tcPr>
          <w:p w14:paraId="787B1BB0"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Borders>
              <w:top w:val="single" w:sz="12" w:space="0" w:color="auto"/>
            </w:tcBorders>
          </w:tcPr>
          <w:p w14:paraId="25E21C8F"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Borders>
              <w:top w:val="single" w:sz="12" w:space="0" w:color="auto"/>
            </w:tcBorders>
          </w:tcPr>
          <w:p w14:paraId="6E6E69E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243C38E" w14:textId="77777777">
        <w:tc>
          <w:tcPr>
            <w:tcW w:w="805" w:type="dxa"/>
          </w:tcPr>
          <w:p w14:paraId="0F70FF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Дата</w:t>
            </w:r>
          </w:p>
        </w:tc>
        <w:tc>
          <w:tcPr>
            <w:tcW w:w="863" w:type="dxa"/>
          </w:tcPr>
          <w:p w14:paraId="7CF5B3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Часы</w:t>
            </w:r>
          </w:p>
        </w:tc>
        <w:tc>
          <w:tcPr>
            <w:tcW w:w="3155" w:type="dxa"/>
          </w:tcPr>
          <w:p w14:paraId="78F4E3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w:t>
            </w:r>
          </w:p>
        </w:tc>
        <w:tc>
          <w:tcPr>
            <w:tcW w:w="985" w:type="dxa"/>
          </w:tcPr>
          <w:p w14:paraId="65CF9F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Количество</w:t>
            </w:r>
          </w:p>
        </w:tc>
        <w:tc>
          <w:tcPr>
            <w:tcW w:w="986" w:type="dxa"/>
          </w:tcPr>
          <w:p w14:paraId="6933F144"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08BBA8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034EEA8D" w14:textId="77777777">
        <w:tc>
          <w:tcPr>
            <w:tcW w:w="805" w:type="dxa"/>
          </w:tcPr>
          <w:p w14:paraId="1CB1E0FA"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F1087BF"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68349BAD"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45452E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w:t>
            </w:r>
          </w:p>
        </w:tc>
        <w:tc>
          <w:tcPr>
            <w:tcW w:w="986" w:type="dxa"/>
          </w:tcPr>
          <w:p w14:paraId="0A0CA8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часов</w:t>
            </w:r>
          </w:p>
        </w:tc>
        <w:tc>
          <w:tcPr>
            <w:tcW w:w="3520" w:type="dxa"/>
          </w:tcPr>
          <w:p w14:paraId="229D303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B4377BA" w14:textId="77777777">
        <w:tc>
          <w:tcPr>
            <w:tcW w:w="805" w:type="dxa"/>
          </w:tcPr>
          <w:p w14:paraId="0588C4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8.7</w:t>
            </w:r>
          </w:p>
        </w:tc>
        <w:tc>
          <w:tcPr>
            <w:tcW w:w="863" w:type="dxa"/>
          </w:tcPr>
          <w:p w14:paraId="6AE40241"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483770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Проведено взвешивание в ЦАГИ.</w:t>
            </w:r>
          </w:p>
        </w:tc>
        <w:tc>
          <w:tcPr>
            <w:tcW w:w="985" w:type="dxa"/>
          </w:tcPr>
          <w:p w14:paraId="11D3F0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86" w:type="dxa"/>
          </w:tcPr>
          <w:p w14:paraId="0AAD30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3520" w:type="dxa"/>
          </w:tcPr>
          <w:p w14:paraId="313577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Взвесили в ОЭЛИД при приемке </w:t>
            </w:r>
          </w:p>
        </w:tc>
      </w:tr>
      <w:tr w:rsidR="00E3599D" w:rsidRPr="00E14102" w14:paraId="5A912141" w14:textId="77777777">
        <w:tc>
          <w:tcPr>
            <w:tcW w:w="805" w:type="dxa"/>
          </w:tcPr>
          <w:p w14:paraId="165507BE"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5716D086"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214A8FFB"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448247DB"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550B74D3"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338D9B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самолета.</w:t>
            </w:r>
          </w:p>
        </w:tc>
      </w:tr>
      <w:tr w:rsidR="00E3599D" w:rsidRPr="00E14102" w14:paraId="2AE0CE5F" w14:textId="77777777">
        <w:tc>
          <w:tcPr>
            <w:tcW w:w="805" w:type="dxa"/>
          </w:tcPr>
          <w:p w14:paraId="0CB5A7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9.7</w:t>
            </w:r>
          </w:p>
        </w:tc>
        <w:tc>
          <w:tcPr>
            <w:tcW w:w="863" w:type="dxa"/>
          </w:tcPr>
          <w:p w14:paraId="2FE157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6-19.40</w:t>
            </w:r>
          </w:p>
        </w:tc>
        <w:tc>
          <w:tcPr>
            <w:tcW w:w="3155" w:type="dxa"/>
          </w:tcPr>
          <w:p w14:paraId="72DBFC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Проверено вооруж., спец. Оборудован....</w:t>
            </w:r>
          </w:p>
        </w:tc>
        <w:tc>
          <w:tcPr>
            <w:tcW w:w="985" w:type="dxa"/>
          </w:tcPr>
          <w:p w14:paraId="7C6EB4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86" w:type="dxa"/>
          </w:tcPr>
          <w:p w14:paraId="3E212E63"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19FD70E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0A07510" w14:textId="77777777">
        <w:tc>
          <w:tcPr>
            <w:tcW w:w="805" w:type="dxa"/>
          </w:tcPr>
          <w:p w14:paraId="0D59C970"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489186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19.40-21.30</w:t>
            </w:r>
          </w:p>
        </w:tc>
        <w:tc>
          <w:tcPr>
            <w:tcW w:w="3155" w:type="dxa"/>
          </w:tcPr>
          <w:p w14:paraId="11E6D0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выпуск на самолете летчика</w:t>
            </w:r>
          </w:p>
        </w:tc>
        <w:tc>
          <w:tcPr>
            <w:tcW w:w="985" w:type="dxa"/>
          </w:tcPr>
          <w:p w14:paraId="5ED92ADE"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4C4E7039"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783411E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592C125" w14:textId="77777777">
        <w:tc>
          <w:tcPr>
            <w:tcW w:w="805" w:type="dxa"/>
          </w:tcPr>
          <w:p w14:paraId="26B790B3"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B36EB1B"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34E66C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Стефановского.</w:t>
            </w:r>
          </w:p>
        </w:tc>
        <w:tc>
          <w:tcPr>
            <w:tcW w:w="985" w:type="dxa"/>
          </w:tcPr>
          <w:p w14:paraId="06DC31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986" w:type="dxa"/>
          </w:tcPr>
          <w:p w14:paraId="485E29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53 м.</w:t>
            </w:r>
          </w:p>
        </w:tc>
        <w:tc>
          <w:tcPr>
            <w:tcW w:w="3520" w:type="dxa"/>
          </w:tcPr>
          <w:p w14:paraId="5F7A657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67997EE" w14:textId="77777777">
        <w:tc>
          <w:tcPr>
            <w:tcW w:w="805" w:type="dxa"/>
          </w:tcPr>
          <w:p w14:paraId="1A089684"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5682F2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21.30-22</w:t>
            </w:r>
          </w:p>
        </w:tc>
        <w:tc>
          <w:tcPr>
            <w:tcW w:w="3155" w:type="dxa"/>
          </w:tcPr>
          <w:p w14:paraId="78B08D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Уборка самолета.</w:t>
            </w:r>
          </w:p>
        </w:tc>
        <w:tc>
          <w:tcPr>
            <w:tcW w:w="985" w:type="dxa"/>
          </w:tcPr>
          <w:p w14:paraId="283B07A5"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7BA11962"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E57B9A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DD1692" w14:textId="77777777">
        <w:tc>
          <w:tcPr>
            <w:tcW w:w="805" w:type="dxa"/>
          </w:tcPr>
          <w:p w14:paraId="71C646B9"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5E9409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3155" w:type="dxa"/>
          </w:tcPr>
          <w:p w14:paraId="702C8D57"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78373D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986" w:type="dxa"/>
          </w:tcPr>
          <w:p w14:paraId="7A38FA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53 м.</w:t>
            </w:r>
          </w:p>
        </w:tc>
        <w:tc>
          <w:tcPr>
            <w:tcW w:w="3520" w:type="dxa"/>
          </w:tcPr>
          <w:p w14:paraId="76ED623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C34B91E" w14:textId="77777777">
        <w:tc>
          <w:tcPr>
            <w:tcW w:w="805" w:type="dxa"/>
          </w:tcPr>
          <w:p w14:paraId="3BB7A3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10.7</w:t>
            </w:r>
          </w:p>
        </w:tc>
        <w:tc>
          <w:tcPr>
            <w:tcW w:w="863" w:type="dxa"/>
          </w:tcPr>
          <w:p w14:paraId="0EF507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6-9.15</w:t>
            </w:r>
          </w:p>
        </w:tc>
        <w:tc>
          <w:tcPr>
            <w:tcW w:w="3155" w:type="dxa"/>
          </w:tcPr>
          <w:p w14:paraId="69210A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Подготовка самолета к полету.</w:t>
            </w:r>
          </w:p>
        </w:tc>
        <w:tc>
          <w:tcPr>
            <w:tcW w:w="985" w:type="dxa"/>
          </w:tcPr>
          <w:p w14:paraId="339B24CA"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61DF1DA4"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478108A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6712696" w14:textId="77777777">
        <w:tc>
          <w:tcPr>
            <w:tcW w:w="805" w:type="dxa"/>
          </w:tcPr>
          <w:p w14:paraId="4DAE8951"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3BD6C4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9.15-9.40</w:t>
            </w:r>
          </w:p>
        </w:tc>
        <w:tc>
          <w:tcPr>
            <w:tcW w:w="3155" w:type="dxa"/>
          </w:tcPr>
          <w:p w14:paraId="394EF7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зубцы.</w:t>
            </w:r>
          </w:p>
        </w:tc>
        <w:tc>
          <w:tcPr>
            <w:tcW w:w="985" w:type="dxa"/>
          </w:tcPr>
          <w:p w14:paraId="25822C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0DEB6E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м.</w:t>
            </w:r>
          </w:p>
        </w:tc>
        <w:tc>
          <w:tcPr>
            <w:tcW w:w="3520" w:type="dxa"/>
          </w:tcPr>
          <w:p w14:paraId="1BF08D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вернулся не выполнив</w:t>
            </w:r>
          </w:p>
        </w:tc>
      </w:tr>
      <w:tr w:rsidR="00E3599D" w:rsidRPr="00E14102" w14:paraId="410F5745" w14:textId="77777777">
        <w:tc>
          <w:tcPr>
            <w:tcW w:w="805" w:type="dxa"/>
          </w:tcPr>
          <w:p w14:paraId="6DE24672"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1CB56A4B"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76BB81DB"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12719AC2"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2B4AC30B"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E294A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задания из-за неисправности </w:t>
            </w:r>
          </w:p>
        </w:tc>
      </w:tr>
      <w:tr w:rsidR="00E3599D" w:rsidRPr="00E14102" w14:paraId="1775FD56" w14:textId="77777777">
        <w:tc>
          <w:tcPr>
            <w:tcW w:w="805" w:type="dxa"/>
          </w:tcPr>
          <w:p w14:paraId="0493D174"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35D70B62"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15DC89F1"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48A4A623"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6F866068"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112D71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механизма шасси.</w:t>
            </w:r>
          </w:p>
        </w:tc>
      </w:tr>
      <w:tr w:rsidR="00E3599D" w:rsidRPr="00E14102" w14:paraId="63D5391A" w14:textId="77777777">
        <w:tc>
          <w:tcPr>
            <w:tcW w:w="805" w:type="dxa"/>
          </w:tcPr>
          <w:p w14:paraId="24847BC0"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098C2E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9.40-16.30</w:t>
            </w:r>
          </w:p>
        </w:tc>
        <w:tc>
          <w:tcPr>
            <w:tcW w:w="3155" w:type="dxa"/>
          </w:tcPr>
          <w:p w14:paraId="61DBC0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Ремонт шасси.</w:t>
            </w:r>
          </w:p>
        </w:tc>
        <w:tc>
          <w:tcPr>
            <w:tcW w:w="985" w:type="dxa"/>
          </w:tcPr>
          <w:p w14:paraId="4666DF72"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7397055B"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03B5785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4349091" w14:textId="77777777">
        <w:tc>
          <w:tcPr>
            <w:tcW w:w="805" w:type="dxa"/>
          </w:tcPr>
          <w:p w14:paraId="05FC8273"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43252D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16.30-17.20</w:t>
            </w:r>
          </w:p>
        </w:tc>
        <w:tc>
          <w:tcPr>
            <w:tcW w:w="3155" w:type="dxa"/>
          </w:tcPr>
          <w:p w14:paraId="0458EC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вибрации.</w:t>
            </w:r>
          </w:p>
        </w:tc>
        <w:tc>
          <w:tcPr>
            <w:tcW w:w="985" w:type="dxa"/>
          </w:tcPr>
          <w:p w14:paraId="6276BF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00979E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 м.</w:t>
            </w:r>
          </w:p>
        </w:tc>
        <w:tc>
          <w:tcPr>
            <w:tcW w:w="3520" w:type="dxa"/>
          </w:tcPr>
          <w:p w14:paraId="53969DE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03A214C" w14:textId="77777777">
        <w:tc>
          <w:tcPr>
            <w:tcW w:w="805" w:type="dxa"/>
          </w:tcPr>
          <w:p w14:paraId="7F9AF452"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769BF2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17.20-19.00</w:t>
            </w:r>
          </w:p>
        </w:tc>
        <w:tc>
          <w:tcPr>
            <w:tcW w:w="3155" w:type="dxa"/>
          </w:tcPr>
          <w:p w14:paraId="57ACB3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на самолете.</w:t>
            </w:r>
          </w:p>
        </w:tc>
        <w:tc>
          <w:tcPr>
            <w:tcW w:w="985" w:type="dxa"/>
          </w:tcPr>
          <w:p w14:paraId="176FCCE9"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714C715"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3326529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AE0ABEF" w14:textId="77777777">
        <w:tc>
          <w:tcPr>
            <w:tcW w:w="805" w:type="dxa"/>
          </w:tcPr>
          <w:p w14:paraId="311C4949"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253445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19.00-20.30</w:t>
            </w:r>
          </w:p>
        </w:tc>
        <w:tc>
          <w:tcPr>
            <w:tcW w:w="3155" w:type="dxa"/>
          </w:tcPr>
          <w:p w14:paraId="61683E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километраж.</w:t>
            </w:r>
          </w:p>
        </w:tc>
        <w:tc>
          <w:tcPr>
            <w:tcW w:w="985" w:type="dxa"/>
          </w:tcPr>
          <w:p w14:paraId="77333F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042ADE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ч. 16 м.</w:t>
            </w:r>
          </w:p>
        </w:tc>
        <w:tc>
          <w:tcPr>
            <w:tcW w:w="3520" w:type="dxa"/>
          </w:tcPr>
          <w:p w14:paraId="7BAC450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B1280E2" w14:textId="77777777">
        <w:tc>
          <w:tcPr>
            <w:tcW w:w="805" w:type="dxa"/>
          </w:tcPr>
          <w:p w14:paraId="38309E81"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3C3D9A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20.30-21.00</w:t>
            </w:r>
          </w:p>
        </w:tc>
        <w:tc>
          <w:tcPr>
            <w:tcW w:w="3155" w:type="dxa"/>
          </w:tcPr>
          <w:p w14:paraId="226D24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Просмотр и подготовка самолета.</w:t>
            </w:r>
          </w:p>
        </w:tc>
        <w:tc>
          <w:tcPr>
            <w:tcW w:w="985" w:type="dxa"/>
          </w:tcPr>
          <w:p w14:paraId="50178720"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1A7C3F2"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0C14F54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65ED263" w14:textId="77777777">
        <w:tc>
          <w:tcPr>
            <w:tcW w:w="805" w:type="dxa"/>
          </w:tcPr>
          <w:p w14:paraId="2FE71AA5"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4FF5FC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21.00-21.50</w:t>
            </w:r>
          </w:p>
        </w:tc>
        <w:tc>
          <w:tcPr>
            <w:tcW w:w="3155" w:type="dxa"/>
          </w:tcPr>
          <w:p w14:paraId="2AEFAA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управляемость.</w:t>
            </w:r>
          </w:p>
        </w:tc>
        <w:tc>
          <w:tcPr>
            <w:tcW w:w="985" w:type="dxa"/>
          </w:tcPr>
          <w:p w14:paraId="477A1C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329200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 м.</w:t>
            </w:r>
          </w:p>
        </w:tc>
        <w:tc>
          <w:tcPr>
            <w:tcW w:w="3520" w:type="dxa"/>
          </w:tcPr>
          <w:p w14:paraId="261D8AB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66E6700" w14:textId="77777777">
        <w:tc>
          <w:tcPr>
            <w:tcW w:w="805" w:type="dxa"/>
          </w:tcPr>
          <w:p w14:paraId="0EBA063F"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118E50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22.00-24.00</w:t>
            </w:r>
          </w:p>
        </w:tc>
        <w:tc>
          <w:tcPr>
            <w:tcW w:w="3155" w:type="dxa"/>
          </w:tcPr>
          <w:p w14:paraId="1BA16F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Ремонт замков ДЕР.</w:t>
            </w:r>
          </w:p>
        </w:tc>
        <w:tc>
          <w:tcPr>
            <w:tcW w:w="985" w:type="dxa"/>
          </w:tcPr>
          <w:p w14:paraId="1B3E0E49"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6B6C922"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1D4EE33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5F5335" w14:textId="77777777">
        <w:tc>
          <w:tcPr>
            <w:tcW w:w="805" w:type="dxa"/>
          </w:tcPr>
          <w:p w14:paraId="04725E8B"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32A1B1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3155" w:type="dxa"/>
          </w:tcPr>
          <w:p w14:paraId="0025F4ED"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4B31D5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986" w:type="dxa"/>
          </w:tcPr>
          <w:p w14:paraId="51CA33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ч. 41 м.</w:t>
            </w:r>
          </w:p>
        </w:tc>
        <w:tc>
          <w:tcPr>
            <w:tcW w:w="3520" w:type="dxa"/>
          </w:tcPr>
          <w:p w14:paraId="551AF61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63755CA" w14:textId="77777777">
        <w:tc>
          <w:tcPr>
            <w:tcW w:w="805" w:type="dxa"/>
          </w:tcPr>
          <w:p w14:paraId="1207C7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11.7</w:t>
            </w:r>
          </w:p>
        </w:tc>
        <w:tc>
          <w:tcPr>
            <w:tcW w:w="863" w:type="dxa"/>
          </w:tcPr>
          <w:p w14:paraId="4F8FDD12"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5D20E3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Ремонт и подготовка к вылету.</w:t>
            </w:r>
          </w:p>
        </w:tc>
        <w:tc>
          <w:tcPr>
            <w:tcW w:w="985" w:type="dxa"/>
          </w:tcPr>
          <w:p w14:paraId="51B7A41D"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0D1FCEEB"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1851D3C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A6C3FC0" w14:textId="77777777">
        <w:tc>
          <w:tcPr>
            <w:tcW w:w="805" w:type="dxa"/>
          </w:tcPr>
          <w:p w14:paraId="63E2D297"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0FB5CB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8-9.55</w:t>
            </w:r>
          </w:p>
        </w:tc>
        <w:tc>
          <w:tcPr>
            <w:tcW w:w="3155" w:type="dxa"/>
          </w:tcPr>
          <w:p w14:paraId="4C3EE7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зубцы</w:t>
            </w:r>
          </w:p>
        </w:tc>
        <w:tc>
          <w:tcPr>
            <w:tcW w:w="985" w:type="dxa"/>
          </w:tcPr>
          <w:p w14:paraId="2438F9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38BE14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ч. 40 м.</w:t>
            </w:r>
          </w:p>
        </w:tc>
        <w:tc>
          <w:tcPr>
            <w:tcW w:w="3520" w:type="dxa"/>
          </w:tcPr>
          <w:p w14:paraId="6F25DBC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B9280F" w14:textId="77777777">
        <w:tc>
          <w:tcPr>
            <w:tcW w:w="805" w:type="dxa"/>
          </w:tcPr>
          <w:p w14:paraId="45D66AE9"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4DD055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9.55-16.15</w:t>
            </w:r>
          </w:p>
        </w:tc>
        <w:tc>
          <w:tcPr>
            <w:tcW w:w="3155" w:type="dxa"/>
          </w:tcPr>
          <w:p w14:paraId="4C68DA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Осмотр и подготовка самолета к полету.</w:t>
            </w:r>
          </w:p>
        </w:tc>
        <w:tc>
          <w:tcPr>
            <w:tcW w:w="985" w:type="dxa"/>
          </w:tcPr>
          <w:p w14:paraId="6DA5C079"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0AD5D460"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4841287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40D1909" w14:textId="77777777">
        <w:tc>
          <w:tcPr>
            <w:tcW w:w="805" w:type="dxa"/>
          </w:tcPr>
          <w:p w14:paraId="084272FC"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7841F5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16.15-17.10</w:t>
            </w:r>
          </w:p>
        </w:tc>
        <w:tc>
          <w:tcPr>
            <w:tcW w:w="3155" w:type="dxa"/>
          </w:tcPr>
          <w:p w14:paraId="157331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Полет на бомбометание корп. АФ-250 </w:t>
            </w:r>
          </w:p>
        </w:tc>
        <w:tc>
          <w:tcPr>
            <w:tcW w:w="985" w:type="dxa"/>
          </w:tcPr>
          <w:p w14:paraId="7F4094CF"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6B99B7F1"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0332846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6D66DFE" w14:textId="77777777">
        <w:tc>
          <w:tcPr>
            <w:tcW w:w="805" w:type="dxa"/>
          </w:tcPr>
          <w:p w14:paraId="45865706"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4DC5491C"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24929F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Н-2000 м; V-250 км/час и стрельбу из</w:t>
            </w:r>
          </w:p>
        </w:tc>
        <w:tc>
          <w:tcPr>
            <w:tcW w:w="985" w:type="dxa"/>
          </w:tcPr>
          <w:p w14:paraId="27F9D8EF"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7040A3D"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31098F9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340A612" w14:textId="77777777">
        <w:tc>
          <w:tcPr>
            <w:tcW w:w="805" w:type="dxa"/>
          </w:tcPr>
          <w:p w14:paraId="7B4696D1"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5E14BF31"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5CF7B0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задних установок (тур. и люк.)</w:t>
            </w:r>
          </w:p>
        </w:tc>
        <w:tc>
          <w:tcPr>
            <w:tcW w:w="985" w:type="dxa"/>
          </w:tcPr>
          <w:p w14:paraId="254CB8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0B49B0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 м.</w:t>
            </w:r>
          </w:p>
        </w:tc>
        <w:tc>
          <w:tcPr>
            <w:tcW w:w="3520" w:type="dxa"/>
          </w:tcPr>
          <w:p w14:paraId="24FDAF7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731CCFC" w14:textId="77777777">
        <w:tc>
          <w:tcPr>
            <w:tcW w:w="805" w:type="dxa"/>
          </w:tcPr>
          <w:p w14:paraId="522FCB77"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0E9D86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17.10-19.00</w:t>
            </w:r>
          </w:p>
        </w:tc>
        <w:tc>
          <w:tcPr>
            <w:tcW w:w="3155" w:type="dxa"/>
          </w:tcPr>
          <w:p w14:paraId="4C434F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Ремонт и подготовка.</w:t>
            </w:r>
          </w:p>
        </w:tc>
        <w:tc>
          <w:tcPr>
            <w:tcW w:w="985" w:type="dxa"/>
          </w:tcPr>
          <w:p w14:paraId="4D58EF25"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67DB3475"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5F785A6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1E1D397" w14:textId="77777777">
        <w:tc>
          <w:tcPr>
            <w:tcW w:w="805" w:type="dxa"/>
          </w:tcPr>
          <w:p w14:paraId="3C919AAA"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38E751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19-20.05</w:t>
            </w:r>
          </w:p>
        </w:tc>
        <w:tc>
          <w:tcPr>
            <w:tcW w:w="3155" w:type="dxa"/>
          </w:tcPr>
          <w:p w14:paraId="1D349B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корпусами АФ-250</w:t>
            </w:r>
          </w:p>
        </w:tc>
        <w:tc>
          <w:tcPr>
            <w:tcW w:w="985" w:type="dxa"/>
          </w:tcPr>
          <w:p w14:paraId="063BBF67"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D2A903C"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24EC220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974E719" w14:textId="77777777">
        <w:tc>
          <w:tcPr>
            <w:tcW w:w="805" w:type="dxa"/>
          </w:tcPr>
          <w:p w14:paraId="1F7EFD0F"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5BEDA93"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65D427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Н-3000 м V=300 км/час и стрельбу из</w:t>
            </w:r>
          </w:p>
        </w:tc>
        <w:tc>
          <w:tcPr>
            <w:tcW w:w="985" w:type="dxa"/>
          </w:tcPr>
          <w:p w14:paraId="16ECC0ED"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13B20B95"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3073118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9D2C263" w14:textId="77777777">
        <w:tc>
          <w:tcPr>
            <w:tcW w:w="805" w:type="dxa"/>
          </w:tcPr>
          <w:p w14:paraId="24D28F9D"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3CDC323B"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667FE4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задних установок.</w:t>
            </w:r>
          </w:p>
        </w:tc>
        <w:tc>
          <w:tcPr>
            <w:tcW w:w="985" w:type="dxa"/>
          </w:tcPr>
          <w:p w14:paraId="535F0E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00C933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 м.</w:t>
            </w:r>
          </w:p>
        </w:tc>
        <w:tc>
          <w:tcPr>
            <w:tcW w:w="3520" w:type="dxa"/>
          </w:tcPr>
          <w:p w14:paraId="41DA2BE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6F3A7C2" w14:textId="77777777">
        <w:tc>
          <w:tcPr>
            <w:tcW w:w="805" w:type="dxa"/>
          </w:tcPr>
          <w:p w14:paraId="55783F3B"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011EB0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20.05-22.30</w:t>
            </w:r>
          </w:p>
        </w:tc>
        <w:tc>
          <w:tcPr>
            <w:tcW w:w="3155" w:type="dxa"/>
          </w:tcPr>
          <w:p w14:paraId="1166C2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Осмотр самолета и подготовка.</w:t>
            </w:r>
          </w:p>
        </w:tc>
        <w:tc>
          <w:tcPr>
            <w:tcW w:w="985" w:type="dxa"/>
          </w:tcPr>
          <w:p w14:paraId="2E3A969E"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18B0F8EA"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5849EC1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D776EB5" w14:textId="77777777">
        <w:tc>
          <w:tcPr>
            <w:tcW w:w="805" w:type="dxa"/>
          </w:tcPr>
          <w:p w14:paraId="6C777479"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3DBC2C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3155" w:type="dxa"/>
          </w:tcPr>
          <w:p w14:paraId="76F9D163"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68E2A9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986" w:type="dxa"/>
          </w:tcPr>
          <w:p w14:paraId="5A97A6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ч. 9м.</w:t>
            </w:r>
          </w:p>
        </w:tc>
        <w:tc>
          <w:tcPr>
            <w:tcW w:w="3520" w:type="dxa"/>
          </w:tcPr>
          <w:p w14:paraId="06CD4FB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67056E3" w14:textId="77777777">
        <w:tc>
          <w:tcPr>
            <w:tcW w:w="805" w:type="dxa"/>
          </w:tcPr>
          <w:p w14:paraId="39DEBF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12.7</w:t>
            </w:r>
          </w:p>
        </w:tc>
        <w:tc>
          <w:tcPr>
            <w:tcW w:w="863" w:type="dxa"/>
          </w:tcPr>
          <w:p w14:paraId="316D9E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6-8.30</w:t>
            </w:r>
          </w:p>
        </w:tc>
        <w:tc>
          <w:tcPr>
            <w:tcW w:w="3155" w:type="dxa"/>
          </w:tcPr>
          <w:p w14:paraId="556793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Подготовка самолета к полету.</w:t>
            </w:r>
          </w:p>
        </w:tc>
        <w:tc>
          <w:tcPr>
            <w:tcW w:w="985" w:type="dxa"/>
          </w:tcPr>
          <w:p w14:paraId="01827801"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05427D02"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2C2638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23E466F" w14:textId="77777777">
        <w:tc>
          <w:tcPr>
            <w:tcW w:w="805" w:type="dxa"/>
          </w:tcPr>
          <w:p w14:paraId="2EC22931"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9B317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8.30-9.12</w:t>
            </w:r>
          </w:p>
        </w:tc>
        <w:tc>
          <w:tcPr>
            <w:tcW w:w="3155" w:type="dxa"/>
          </w:tcPr>
          <w:p w14:paraId="16A381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растряску бомб АФ-500.</w:t>
            </w:r>
          </w:p>
        </w:tc>
        <w:tc>
          <w:tcPr>
            <w:tcW w:w="985" w:type="dxa"/>
          </w:tcPr>
          <w:p w14:paraId="19A49C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986" w:type="dxa"/>
          </w:tcPr>
          <w:p w14:paraId="5B017F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 м.</w:t>
            </w:r>
          </w:p>
        </w:tc>
        <w:tc>
          <w:tcPr>
            <w:tcW w:w="3520" w:type="dxa"/>
          </w:tcPr>
          <w:p w14:paraId="6392651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403B70E" w14:textId="77777777">
        <w:tc>
          <w:tcPr>
            <w:tcW w:w="805" w:type="dxa"/>
          </w:tcPr>
          <w:p w14:paraId="2A20C094"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4588C6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9.12-9.45</w:t>
            </w:r>
          </w:p>
        </w:tc>
        <w:tc>
          <w:tcPr>
            <w:tcW w:w="3155" w:type="dxa"/>
          </w:tcPr>
          <w:p w14:paraId="2B3BEF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Подготовка самолета к полету.</w:t>
            </w:r>
          </w:p>
        </w:tc>
        <w:tc>
          <w:tcPr>
            <w:tcW w:w="985" w:type="dxa"/>
          </w:tcPr>
          <w:p w14:paraId="3561362F"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6D6873A0"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5B28B71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46799CD" w14:textId="77777777">
        <w:tc>
          <w:tcPr>
            <w:tcW w:w="805" w:type="dxa"/>
          </w:tcPr>
          <w:p w14:paraId="5D92708C"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55F48A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9.45-10.55</w:t>
            </w:r>
          </w:p>
        </w:tc>
        <w:tc>
          <w:tcPr>
            <w:tcW w:w="3155" w:type="dxa"/>
          </w:tcPr>
          <w:p w14:paraId="21684F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корпусами АФ-500,</w:t>
            </w:r>
          </w:p>
        </w:tc>
        <w:tc>
          <w:tcPr>
            <w:tcW w:w="985" w:type="dxa"/>
          </w:tcPr>
          <w:p w14:paraId="39B08054"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4337DA1A"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50B6EB2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84D7FE9" w14:textId="77777777">
        <w:tc>
          <w:tcPr>
            <w:tcW w:w="805" w:type="dxa"/>
          </w:tcPr>
          <w:p w14:paraId="6583F927"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12FA4967"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26DEAE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стрельбу из задних точек Н-2000 м </w:t>
            </w:r>
          </w:p>
        </w:tc>
        <w:tc>
          <w:tcPr>
            <w:tcW w:w="985" w:type="dxa"/>
          </w:tcPr>
          <w:p w14:paraId="47C78342"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4C035BB5"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37E21BB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2444F0D" w14:textId="77777777">
        <w:tc>
          <w:tcPr>
            <w:tcW w:w="805" w:type="dxa"/>
          </w:tcPr>
          <w:p w14:paraId="5030FE56"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029A0A47"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6A8901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V-300 км/час.</w:t>
            </w:r>
          </w:p>
        </w:tc>
        <w:tc>
          <w:tcPr>
            <w:tcW w:w="985" w:type="dxa"/>
          </w:tcPr>
          <w:p w14:paraId="251A2E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7884DD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ч. 05 м.</w:t>
            </w:r>
          </w:p>
        </w:tc>
        <w:tc>
          <w:tcPr>
            <w:tcW w:w="3520" w:type="dxa"/>
          </w:tcPr>
          <w:p w14:paraId="1C31819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A52BFD6" w14:textId="77777777">
        <w:tc>
          <w:tcPr>
            <w:tcW w:w="805" w:type="dxa"/>
          </w:tcPr>
          <w:p w14:paraId="0199621E"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7455DB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10.55-15.55</w:t>
            </w:r>
          </w:p>
        </w:tc>
        <w:tc>
          <w:tcPr>
            <w:tcW w:w="3155" w:type="dxa"/>
          </w:tcPr>
          <w:p w14:paraId="1CDE75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Просмотр, подготовка самолета и</w:t>
            </w:r>
          </w:p>
        </w:tc>
        <w:tc>
          <w:tcPr>
            <w:tcW w:w="985" w:type="dxa"/>
          </w:tcPr>
          <w:p w14:paraId="1D5E2544"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FC86F54"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0763CA4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1A2FE0D" w14:textId="77777777">
        <w:tc>
          <w:tcPr>
            <w:tcW w:w="805" w:type="dxa"/>
          </w:tcPr>
          <w:p w14:paraId="73962C43"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32CF708"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4F0DCE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задержка из-за погоды.</w:t>
            </w:r>
          </w:p>
        </w:tc>
        <w:tc>
          <w:tcPr>
            <w:tcW w:w="985" w:type="dxa"/>
          </w:tcPr>
          <w:p w14:paraId="5FC8AFA4"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1071A58"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788A6DC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92F707A" w14:textId="77777777">
        <w:tc>
          <w:tcPr>
            <w:tcW w:w="805" w:type="dxa"/>
          </w:tcPr>
          <w:p w14:paraId="14F93BED"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387CA8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15.55-16.50</w:t>
            </w:r>
          </w:p>
        </w:tc>
        <w:tc>
          <w:tcPr>
            <w:tcW w:w="3155" w:type="dxa"/>
          </w:tcPr>
          <w:p w14:paraId="215FA3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управляемость и стрельбу по</w:t>
            </w:r>
          </w:p>
        </w:tc>
        <w:tc>
          <w:tcPr>
            <w:tcW w:w="985" w:type="dxa"/>
          </w:tcPr>
          <w:p w14:paraId="6D0E723A"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5E411A26"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0295000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1F61768" w14:textId="77777777">
        <w:tc>
          <w:tcPr>
            <w:tcW w:w="805" w:type="dxa"/>
          </w:tcPr>
          <w:p w14:paraId="1BFAC0EE"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7DC83550"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04B229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земным целям.</w:t>
            </w:r>
          </w:p>
        </w:tc>
        <w:tc>
          <w:tcPr>
            <w:tcW w:w="985" w:type="dxa"/>
          </w:tcPr>
          <w:p w14:paraId="41EF4C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1450D0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 м.</w:t>
            </w:r>
          </w:p>
        </w:tc>
        <w:tc>
          <w:tcPr>
            <w:tcW w:w="3520" w:type="dxa"/>
          </w:tcPr>
          <w:p w14:paraId="7B539E8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D5B8C9A" w14:textId="77777777">
        <w:tc>
          <w:tcPr>
            <w:tcW w:w="805" w:type="dxa"/>
          </w:tcPr>
          <w:p w14:paraId="68ECD39C"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07EF7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16.50-17.55</w:t>
            </w:r>
          </w:p>
        </w:tc>
        <w:tc>
          <w:tcPr>
            <w:tcW w:w="3155" w:type="dxa"/>
          </w:tcPr>
          <w:p w14:paraId="01F9A9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Просмотр и подготовка самолета.</w:t>
            </w:r>
          </w:p>
        </w:tc>
        <w:tc>
          <w:tcPr>
            <w:tcW w:w="985" w:type="dxa"/>
          </w:tcPr>
          <w:p w14:paraId="61EC0109"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5F0A7CA"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C61C1F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F778F6B" w14:textId="77777777">
        <w:tc>
          <w:tcPr>
            <w:tcW w:w="805" w:type="dxa"/>
          </w:tcPr>
          <w:p w14:paraId="3C2DE8A8"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484340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17.55-19.10</w:t>
            </w:r>
          </w:p>
        </w:tc>
        <w:tc>
          <w:tcPr>
            <w:tcW w:w="3155" w:type="dxa"/>
          </w:tcPr>
          <w:p w14:paraId="570DAB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Н-5000 м боев.</w:t>
            </w:r>
          </w:p>
        </w:tc>
        <w:tc>
          <w:tcPr>
            <w:tcW w:w="985" w:type="dxa"/>
          </w:tcPr>
          <w:p w14:paraId="4279B1F5"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51ACD706"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EC1E4E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C8EB830" w14:textId="77777777">
        <w:tc>
          <w:tcPr>
            <w:tcW w:w="805" w:type="dxa"/>
          </w:tcPr>
          <w:p w14:paraId="48C5CE84"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7908534"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2E5301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АФ-250.</w:t>
            </w:r>
          </w:p>
        </w:tc>
        <w:tc>
          <w:tcPr>
            <w:tcW w:w="985" w:type="dxa"/>
          </w:tcPr>
          <w:p w14:paraId="416484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48433E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ч. 5 м.</w:t>
            </w:r>
          </w:p>
        </w:tc>
        <w:tc>
          <w:tcPr>
            <w:tcW w:w="3520" w:type="dxa"/>
          </w:tcPr>
          <w:p w14:paraId="56CF5F7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5A8F33C" w14:textId="77777777">
        <w:tc>
          <w:tcPr>
            <w:tcW w:w="805" w:type="dxa"/>
          </w:tcPr>
          <w:p w14:paraId="3A3D06B8"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52378F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19.10-20.15</w:t>
            </w:r>
          </w:p>
        </w:tc>
        <w:tc>
          <w:tcPr>
            <w:tcW w:w="3155" w:type="dxa"/>
          </w:tcPr>
          <w:p w14:paraId="388110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Просмотр и подготовка самолета.</w:t>
            </w:r>
          </w:p>
        </w:tc>
        <w:tc>
          <w:tcPr>
            <w:tcW w:w="985" w:type="dxa"/>
          </w:tcPr>
          <w:p w14:paraId="4A7253E5"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1F095A33"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44D6207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74E3266" w14:textId="77777777">
        <w:tc>
          <w:tcPr>
            <w:tcW w:w="805" w:type="dxa"/>
          </w:tcPr>
          <w:p w14:paraId="1D883BDC"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0E6D32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20.15-21.45</w:t>
            </w:r>
          </w:p>
        </w:tc>
        <w:tc>
          <w:tcPr>
            <w:tcW w:w="3155" w:type="dxa"/>
          </w:tcPr>
          <w:p w14:paraId="0E3543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до 8000 м</w:t>
            </w:r>
          </w:p>
        </w:tc>
        <w:tc>
          <w:tcPr>
            <w:tcW w:w="985" w:type="dxa"/>
          </w:tcPr>
          <w:p w14:paraId="2C605BDD"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07B100AF"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2C73F36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71FA43A" w14:textId="77777777">
        <w:tc>
          <w:tcPr>
            <w:tcW w:w="805" w:type="dxa"/>
          </w:tcPr>
          <w:p w14:paraId="0DF06DCA"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5BB0A63D"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22E653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бомбометание.</w:t>
            </w:r>
          </w:p>
        </w:tc>
        <w:tc>
          <w:tcPr>
            <w:tcW w:w="985" w:type="dxa"/>
          </w:tcPr>
          <w:p w14:paraId="791B00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1BFD2C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ч. 20 м.</w:t>
            </w:r>
          </w:p>
        </w:tc>
        <w:tc>
          <w:tcPr>
            <w:tcW w:w="3520" w:type="dxa"/>
          </w:tcPr>
          <w:p w14:paraId="5A8FBBA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F5701C2" w14:textId="77777777">
        <w:tc>
          <w:tcPr>
            <w:tcW w:w="805" w:type="dxa"/>
          </w:tcPr>
          <w:p w14:paraId="73EC30BD"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4716C3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21.45-24.00</w:t>
            </w:r>
          </w:p>
        </w:tc>
        <w:tc>
          <w:tcPr>
            <w:tcW w:w="3155" w:type="dxa"/>
          </w:tcPr>
          <w:p w14:paraId="4F5848CB"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08ED6E6A"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17B183BF"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1017E27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01BF83D" w14:textId="77777777">
        <w:tc>
          <w:tcPr>
            <w:tcW w:w="805" w:type="dxa"/>
          </w:tcPr>
          <w:p w14:paraId="47EB6138"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2BFD70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3155" w:type="dxa"/>
          </w:tcPr>
          <w:p w14:paraId="34E49D56"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4174B6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w:t>
            </w:r>
          </w:p>
        </w:tc>
        <w:tc>
          <w:tcPr>
            <w:tcW w:w="986" w:type="dxa"/>
          </w:tcPr>
          <w:p w14:paraId="358FBF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ч. 50 м.</w:t>
            </w:r>
          </w:p>
        </w:tc>
        <w:tc>
          <w:tcPr>
            <w:tcW w:w="3520" w:type="dxa"/>
          </w:tcPr>
          <w:p w14:paraId="66C35EE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40843A9" w14:textId="77777777">
        <w:tc>
          <w:tcPr>
            <w:tcW w:w="805" w:type="dxa"/>
          </w:tcPr>
          <w:p w14:paraId="7C0F2A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13.7</w:t>
            </w:r>
          </w:p>
        </w:tc>
        <w:tc>
          <w:tcPr>
            <w:tcW w:w="863" w:type="dxa"/>
          </w:tcPr>
          <w:p w14:paraId="6CEAEB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6-8.54</w:t>
            </w:r>
          </w:p>
        </w:tc>
        <w:tc>
          <w:tcPr>
            <w:tcW w:w="3155" w:type="dxa"/>
          </w:tcPr>
          <w:p w14:paraId="0B64B0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Подготовка самолета и вооружения</w:t>
            </w:r>
          </w:p>
        </w:tc>
        <w:tc>
          <w:tcPr>
            <w:tcW w:w="985" w:type="dxa"/>
          </w:tcPr>
          <w:p w14:paraId="30D10BCF"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5EBEBF3E"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56BB8C7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E3A8271" w14:textId="77777777">
        <w:tc>
          <w:tcPr>
            <w:tcW w:w="805" w:type="dxa"/>
          </w:tcPr>
          <w:p w14:paraId="7C189E75"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5783D647"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77C051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полету.</w:t>
            </w:r>
          </w:p>
        </w:tc>
        <w:tc>
          <w:tcPr>
            <w:tcW w:w="985" w:type="dxa"/>
          </w:tcPr>
          <w:p w14:paraId="2809A181"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148594ED"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3AF116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CEE4557" w14:textId="77777777">
        <w:tc>
          <w:tcPr>
            <w:tcW w:w="805" w:type="dxa"/>
          </w:tcPr>
          <w:p w14:paraId="35AAF87A"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7B0B28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8.54-10.05</w:t>
            </w:r>
          </w:p>
        </w:tc>
        <w:tc>
          <w:tcPr>
            <w:tcW w:w="3155" w:type="dxa"/>
          </w:tcPr>
          <w:p w14:paraId="761CA7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985" w:type="dxa"/>
          </w:tcPr>
          <w:p w14:paraId="4442DE05"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544C365D"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0ACE71B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77EBF2A" w14:textId="77777777">
        <w:tc>
          <w:tcPr>
            <w:tcW w:w="805" w:type="dxa"/>
          </w:tcPr>
          <w:p w14:paraId="4BE6E0BD"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73488D19"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4159DB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Н-3000.</w:t>
            </w:r>
          </w:p>
        </w:tc>
        <w:tc>
          <w:tcPr>
            <w:tcW w:w="985" w:type="dxa"/>
          </w:tcPr>
          <w:p w14:paraId="2F38AC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2C443B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ч. 11 м.</w:t>
            </w:r>
          </w:p>
        </w:tc>
        <w:tc>
          <w:tcPr>
            <w:tcW w:w="3520" w:type="dxa"/>
          </w:tcPr>
          <w:p w14:paraId="50AA11E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9DF727E" w14:textId="77777777">
        <w:tc>
          <w:tcPr>
            <w:tcW w:w="805" w:type="dxa"/>
          </w:tcPr>
          <w:p w14:paraId="447870B8"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5B8921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10.05-12.00</w:t>
            </w:r>
          </w:p>
        </w:tc>
        <w:tc>
          <w:tcPr>
            <w:tcW w:w="3155" w:type="dxa"/>
          </w:tcPr>
          <w:p w14:paraId="36C7CF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Подготовка самолета к полету.</w:t>
            </w:r>
          </w:p>
        </w:tc>
        <w:tc>
          <w:tcPr>
            <w:tcW w:w="985" w:type="dxa"/>
          </w:tcPr>
          <w:p w14:paraId="2A74ACD4"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5916FEFB"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240C55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7E2C2A6" w14:textId="77777777">
        <w:tc>
          <w:tcPr>
            <w:tcW w:w="805" w:type="dxa"/>
          </w:tcPr>
          <w:p w14:paraId="3C384E73"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572663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12-12.50</w:t>
            </w:r>
          </w:p>
        </w:tc>
        <w:tc>
          <w:tcPr>
            <w:tcW w:w="3155" w:type="dxa"/>
          </w:tcPr>
          <w:p w14:paraId="76B96C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985" w:type="dxa"/>
          </w:tcPr>
          <w:p w14:paraId="42865E2D"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7D7AF0D"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863633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0035A15" w14:textId="77777777">
        <w:tc>
          <w:tcPr>
            <w:tcW w:w="805" w:type="dxa"/>
          </w:tcPr>
          <w:p w14:paraId="61522994"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2811F35A"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53B17C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Н-3000.</w:t>
            </w:r>
          </w:p>
        </w:tc>
        <w:tc>
          <w:tcPr>
            <w:tcW w:w="985" w:type="dxa"/>
          </w:tcPr>
          <w:p w14:paraId="5AFBFB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0FF524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 м.</w:t>
            </w:r>
          </w:p>
        </w:tc>
        <w:tc>
          <w:tcPr>
            <w:tcW w:w="3520" w:type="dxa"/>
          </w:tcPr>
          <w:p w14:paraId="4A948D7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8D6BB9B" w14:textId="77777777">
        <w:tc>
          <w:tcPr>
            <w:tcW w:w="805" w:type="dxa"/>
          </w:tcPr>
          <w:p w14:paraId="5BA3A148"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2F6F36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12.50-14.05</w:t>
            </w:r>
          </w:p>
        </w:tc>
        <w:tc>
          <w:tcPr>
            <w:tcW w:w="3155" w:type="dxa"/>
          </w:tcPr>
          <w:p w14:paraId="587F23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Подготовка самолета к полету.</w:t>
            </w:r>
          </w:p>
        </w:tc>
        <w:tc>
          <w:tcPr>
            <w:tcW w:w="985" w:type="dxa"/>
          </w:tcPr>
          <w:p w14:paraId="2089C726"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60A9C1F6"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B82ED4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51316F2" w14:textId="77777777">
        <w:tc>
          <w:tcPr>
            <w:tcW w:w="805" w:type="dxa"/>
          </w:tcPr>
          <w:p w14:paraId="00E7DCF0"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5A139C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14.05-14.50</w:t>
            </w:r>
          </w:p>
        </w:tc>
        <w:tc>
          <w:tcPr>
            <w:tcW w:w="3155" w:type="dxa"/>
          </w:tcPr>
          <w:p w14:paraId="3D651F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985" w:type="dxa"/>
          </w:tcPr>
          <w:p w14:paraId="6B753F65"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0C0DE8C0"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0CA6C65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443D6BB" w14:textId="77777777">
        <w:tc>
          <w:tcPr>
            <w:tcW w:w="805" w:type="dxa"/>
          </w:tcPr>
          <w:p w14:paraId="786435FA"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37779F99"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03327A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Н-3000 м.</w:t>
            </w:r>
          </w:p>
        </w:tc>
        <w:tc>
          <w:tcPr>
            <w:tcW w:w="985" w:type="dxa"/>
          </w:tcPr>
          <w:p w14:paraId="42827F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2352CB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 м.</w:t>
            </w:r>
          </w:p>
        </w:tc>
        <w:tc>
          <w:tcPr>
            <w:tcW w:w="3520" w:type="dxa"/>
          </w:tcPr>
          <w:p w14:paraId="3A561A8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739EDBA" w14:textId="77777777">
        <w:tc>
          <w:tcPr>
            <w:tcW w:w="805" w:type="dxa"/>
          </w:tcPr>
          <w:p w14:paraId="09916DD2"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2B2ED95F"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3F55E1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вынужденно сел из-за</w:t>
            </w:r>
          </w:p>
        </w:tc>
        <w:tc>
          <w:tcPr>
            <w:tcW w:w="985" w:type="dxa"/>
          </w:tcPr>
          <w:p w14:paraId="5CB17EB2"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20565B31"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2BF5293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D41D4D9" w14:textId="77777777">
        <w:tc>
          <w:tcPr>
            <w:tcW w:w="805" w:type="dxa"/>
          </w:tcPr>
          <w:p w14:paraId="0461E9DE"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3B558F57"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5C68BE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отказа бензопитания.</w:t>
            </w:r>
          </w:p>
        </w:tc>
        <w:tc>
          <w:tcPr>
            <w:tcW w:w="985" w:type="dxa"/>
          </w:tcPr>
          <w:p w14:paraId="39516F1E"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0420A7EC"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73D6A9E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D4C0BE6" w14:textId="77777777">
        <w:tc>
          <w:tcPr>
            <w:tcW w:w="805" w:type="dxa"/>
          </w:tcPr>
          <w:p w14:paraId="318F441A"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03466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14.50-24.00</w:t>
            </w:r>
          </w:p>
        </w:tc>
        <w:tc>
          <w:tcPr>
            <w:tcW w:w="3155" w:type="dxa"/>
          </w:tcPr>
          <w:p w14:paraId="555D3E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на месте вынужденной посадки</w:t>
            </w:r>
          </w:p>
        </w:tc>
        <w:tc>
          <w:tcPr>
            <w:tcW w:w="985" w:type="dxa"/>
          </w:tcPr>
          <w:p w14:paraId="7534B63A"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023FD293"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57DFC7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8E093FD" w14:textId="77777777">
        <w:tc>
          <w:tcPr>
            <w:tcW w:w="805" w:type="dxa"/>
          </w:tcPr>
          <w:p w14:paraId="597141C8"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8F57D94"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2CDF94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перегонки самолета.</w:t>
            </w:r>
          </w:p>
        </w:tc>
        <w:tc>
          <w:tcPr>
            <w:tcW w:w="985" w:type="dxa"/>
          </w:tcPr>
          <w:p w14:paraId="18509E09"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67CB8733"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060E97C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2D714A2" w14:textId="77777777">
        <w:tc>
          <w:tcPr>
            <w:tcW w:w="805" w:type="dxa"/>
          </w:tcPr>
          <w:p w14:paraId="5A9A38AF"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97D81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3155" w:type="dxa"/>
          </w:tcPr>
          <w:p w14:paraId="0EDBAD29"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1C8EC0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986" w:type="dxa"/>
          </w:tcPr>
          <w:p w14:paraId="2B8D40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ч. 46 м.</w:t>
            </w:r>
          </w:p>
        </w:tc>
        <w:tc>
          <w:tcPr>
            <w:tcW w:w="3520" w:type="dxa"/>
          </w:tcPr>
          <w:p w14:paraId="64E7FCB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CA2366F" w14:textId="77777777">
        <w:tc>
          <w:tcPr>
            <w:tcW w:w="805" w:type="dxa"/>
          </w:tcPr>
          <w:p w14:paraId="003F53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14.7</w:t>
            </w:r>
          </w:p>
        </w:tc>
        <w:tc>
          <w:tcPr>
            <w:tcW w:w="863" w:type="dxa"/>
          </w:tcPr>
          <w:p w14:paraId="18604A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0-19.15</w:t>
            </w:r>
          </w:p>
        </w:tc>
        <w:tc>
          <w:tcPr>
            <w:tcW w:w="3155" w:type="dxa"/>
          </w:tcPr>
          <w:p w14:paraId="4116AA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Подготовка самолета и площадки на</w:t>
            </w:r>
          </w:p>
        </w:tc>
        <w:tc>
          <w:tcPr>
            <w:tcW w:w="985" w:type="dxa"/>
          </w:tcPr>
          <w:p w14:paraId="1D9D9993"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42195E57"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245037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508154A" w14:textId="77777777">
        <w:tc>
          <w:tcPr>
            <w:tcW w:w="805" w:type="dxa"/>
          </w:tcPr>
          <w:p w14:paraId="460F0A21"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4A046A9B"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267A95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месте вынужденной посадки.</w:t>
            </w:r>
          </w:p>
        </w:tc>
        <w:tc>
          <w:tcPr>
            <w:tcW w:w="985" w:type="dxa"/>
          </w:tcPr>
          <w:p w14:paraId="47BC8307"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25FB8806"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3D9E17E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E1118BE" w14:textId="77777777">
        <w:tc>
          <w:tcPr>
            <w:tcW w:w="805" w:type="dxa"/>
          </w:tcPr>
          <w:p w14:paraId="5225BB4E"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0C8F90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19.15-19.33</w:t>
            </w:r>
          </w:p>
        </w:tc>
        <w:tc>
          <w:tcPr>
            <w:tcW w:w="3155" w:type="dxa"/>
          </w:tcPr>
          <w:p w14:paraId="7A9DDD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Перегонка самолета на аэродром</w:t>
            </w:r>
          </w:p>
        </w:tc>
        <w:tc>
          <w:tcPr>
            <w:tcW w:w="985" w:type="dxa"/>
          </w:tcPr>
          <w:p w14:paraId="153B5088"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1F8D4002"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08DD54F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9F4AB21" w14:textId="77777777">
        <w:tc>
          <w:tcPr>
            <w:tcW w:w="805" w:type="dxa"/>
          </w:tcPr>
          <w:p w14:paraId="60EEED6A"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4916E4C8"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0E53AE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Томская.</w:t>
            </w:r>
          </w:p>
        </w:tc>
        <w:tc>
          <w:tcPr>
            <w:tcW w:w="985" w:type="dxa"/>
          </w:tcPr>
          <w:p w14:paraId="3B54FA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461078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м.</w:t>
            </w:r>
          </w:p>
        </w:tc>
        <w:tc>
          <w:tcPr>
            <w:tcW w:w="3520" w:type="dxa"/>
          </w:tcPr>
          <w:p w14:paraId="00DC996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CAB4143" w14:textId="77777777">
        <w:tc>
          <w:tcPr>
            <w:tcW w:w="805" w:type="dxa"/>
          </w:tcPr>
          <w:p w14:paraId="2A55CDC2"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38C356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19.33-21.00</w:t>
            </w:r>
          </w:p>
        </w:tc>
        <w:tc>
          <w:tcPr>
            <w:tcW w:w="3155" w:type="dxa"/>
          </w:tcPr>
          <w:p w14:paraId="38D52F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Подготовка самолета к полету.</w:t>
            </w:r>
          </w:p>
        </w:tc>
        <w:tc>
          <w:tcPr>
            <w:tcW w:w="985" w:type="dxa"/>
          </w:tcPr>
          <w:p w14:paraId="659B6152"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14F16DAB"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0D08FBA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16FD5C1" w14:textId="77777777">
        <w:tc>
          <w:tcPr>
            <w:tcW w:w="805" w:type="dxa"/>
          </w:tcPr>
          <w:p w14:paraId="40F36A07"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55375B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21.00-21.27</w:t>
            </w:r>
          </w:p>
        </w:tc>
        <w:tc>
          <w:tcPr>
            <w:tcW w:w="3155" w:type="dxa"/>
          </w:tcPr>
          <w:p w14:paraId="47B81F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985" w:type="dxa"/>
          </w:tcPr>
          <w:p w14:paraId="7DA7E2D7"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2CB6523C"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97D92A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9162007" w14:textId="77777777">
        <w:tc>
          <w:tcPr>
            <w:tcW w:w="805" w:type="dxa"/>
          </w:tcPr>
          <w:p w14:paraId="0A6812BA"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55A3133B"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6C2597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Н-2000 м.</w:t>
            </w:r>
          </w:p>
        </w:tc>
        <w:tc>
          <w:tcPr>
            <w:tcW w:w="985" w:type="dxa"/>
          </w:tcPr>
          <w:p w14:paraId="794407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41E522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м.</w:t>
            </w:r>
          </w:p>
        </w:tc>
        <w:tc>
          <w:tcPr>
            <w:tcW w:w="3520" w:type="dxa"/>
          </w:tcPr>
          <w:p w14:paraId="0E6663F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2FFC0D1" w14:textId="77777777">
        <w:tc>
          <w:tcPr>
            <w:tcW w:w="805" w:type="dxa"/>
          </w:tcPr>
          <w:p w14:paraId="30D7547B"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4FD0C5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21.27-22.00</w:t>
            </w:r>
          </w:p>
        </w:tc>
        <w:tc>
          <w:tcPr>
            <w:tcW w:w="3155" w:type="dxa"/>
          </w:tcPr>
          <w:p w14:paraId="1731EE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Зарядка самолета горючим.</w:t>
            </w:r>
          </w:p>
        </w:tc>
        <w:tc>
          <w:tcPr>
            <w:tcW w:w="985" w:type="dxa"/>
          </w:tcPr>
          <w:p w14:paraId="719CC478"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262A26F5"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3A25461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0E97122" w14:textId="77777777">
        <w:tc>
          <w:tcPr>
            <w:tcW w:w="805" w:type="dxa"/>
          </w:tcPr>
          <w:p w14:paraId="6894FC8C"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36A972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22-24</w:t>
            </w:r>
          </w:p>
        </w:tc>
        <w:tc>
          <w:tcPr>
            <w:tcW w:w="3155" w:type="dxa"/>
          </w:tcPr>
          <w:p w14:paraId="1DAA05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Замена задней турели.</w:t>
            </w:r>
          </w:p>
        </w:tc>
        <w:tc>
          <w:tcPr>
            <w:tcW w:w="985" w:type="dxa"/>
          </w:tcPr>
          <w:p w14:paraId="1E9923DA"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7401185E"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910B48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3F024A0" w14:textId="77777777">
        <w:tc>
          <w:tcPr>
            <w:tcW w:w="805" w:type="dxa"/>
          </w:tcPr>
          <w:p w14:paraId="56A60F00"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3B9A51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3155" w:type="dxa"/>
          </w:tcPr>
          <w:p w14:paraId="2A295E47"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10129A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986" w:type="dxa"/>
          </w:tcPr>
          <w:p w14:paraId="34B7DF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 м.</w:t>
            </w:r>
          </w:p>
        </w:tc>
        <w:tc>
          <w:tcPr>
            <w:tcW w:w="3520" w:type="dxa"/>
          </w:tcPr>
          <w:p w14:paraId="0D0856A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C2DC043" w14:textId="77777777">
        <w:tc>
          <w:tcPr>
            <w:tcW w:w="805" w:type="dxa"/>
          </w:tcPr>
          <w:p w14:paraId="7EB9C2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15.7</w:t>
            </w:r>
          </w:p>
        </w:tc>
        <w:tc>
          <w:tcPr>
            <w:tcW w:w="863" w:type="dxa"/>
          </w:tcPr>
          <w:p w14:paraId="375C01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0-6</w:t>
            </w:r>
          </w:p>
        </w:tc>
        <w:tc>
          <w:tcPr>
            <w:tcW w:w="3155" w:type="dxa"/>
          </w:tcPr>
          <w:p w14:paraId="5FB590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Замена задней турели.</w:t>
            </w:r>
          </w:p>
        </w:tc>
        <w:tc>
          <w:tcPr>
            <w:tcW w:w="985" w:type="dxa"/>
          </w:tcPr>
          <w:p w14:paraId="536494F8"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54B3E228"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13F8003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7444224" w14:textId="77777777">
        <w:tc>
          <w:tcPr>
            <w:tcW w:w="805" w:type="dxa"/>
          </w:tcPr>
          <w:p w14:paraId="7235823C"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09D224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6-9.30</w:t>
            </w:r>
          </w:p>
        </w:tc>
        <w:tc>
          <w:tcPr>
            <w:tcW w:w="3155" w:type="dxa"/>
          </w:tcPr>
          <w:p w14:paraId="5DE10A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Нелетная погода. Работы на самолете.</w:t>
            </w:r>
          </w:p>
        </w:tc>
        <w:tc>
          <w:tcPr>
            <w:tcW w:w="985" w:type="dxa"/>
          </w:tcPr>
          <w:p w14:paraId="1D605485"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139729FE"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2932A72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06A0B80" w14:textId="77777777">
        <w:tc>
          <w:tcPr>
            <w:tcW w:w="805" w:type="dxa"/>
          </w:tcPr>
          <w:p w14:paraId="30AA1B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13.7</w:t>
            </w:r>
          </w:p>
        </w:tc>
        <w:tc>
          <w:tcPr>
            <w:tcW w:w="863" w:type="dxa"/>
          </w:tcPr>
          <w:p w14:paraId="08FDF3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0-24</w:t>
            </w:r>
          </w:p>
        </w:tc>
        <w:tc>
          <w:tcPr>
            <w:tcW w:w="3155" w:type="dxa"/>
          </w:tcPr>
          <w:p w14:paraId="1163A8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прерваны.</w:t>
            </w:r>
          </w:p>
        </w:tc>
        <w:tc>
          <w:tcPr>
            <w:tcW w:w="985" w:type="dxa"/>
          </w:tcPr>
          <w:p w14:paraId="374BB1B8"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6DEDBFC0"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54E215C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129EE0B" w14:textId="77777777">
        <w:tc>
          <w:tcPr>
            <w:tcW w:w="805" w:type="dxa"/>
          </w:tcPr>
          <w:p w14:paraId="7F47D44F"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01A8DE5B"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4666EA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осмотре после полетов 12.7 выявлено</w:t>
            </w:r>
          </w:p>
        </w:tc>
        <w:tc>
          <w:tcPr>
            <w:tcW w:w="985" w:type="dxa"/>
          </w:tcPr>
          <w:p w14:paraId="752FC541"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44AF43CD"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12C8EC9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8A46DDE" w14:textId="77777777">
        <w:tc>
          <w:tcPr>
            <w:tcW w:w="805" w:type="dxa"/>
          </w:tcPr>
          <w:p w14:paraId="009DFFE1"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486E1316"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41DEFD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ряд крупных дефектов.</w:t>
            </w:r>
          </w:p>
        </w:tc>
        <w:tc>
          <w:tcPr>
            <w:tcW w:w="985" w:type="dxa"/>
          </w:tcPr>
          <w:p w14:paraId="22A63F6B"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5EDBA411"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2B3202D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8EE9D49" w14:textId="77777777">
        <w:tc>
          <w:tcPr>
            <w:tcW w:w="805" w:type="dxa"/>
          </w:tcPr>
          <w:p w14:paraId="17179D1E"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7FF3359A"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305C4D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Вызваны самолеты ЦАГИ.</w:t>
            </w:r>
          </w:p>
        </w:tc>
        <w:tc>
          <w:tcPr>
            <w:tcW w:w="985" w:type="dxa"/>
          </w:tcPr>
          <w:p w14:paraId="601631BE"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4E7F24BB"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7EB10A8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75386F3" w14:textId="77777777">
        <w:tc>
          <w:tcPr>
            <w:tcW w:w="805" w:type="dxa"/>
          </w:tcPr>
          <w:p w14:paraId="2514E040"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2CEBABDA"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682C91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 ремонт.</w:t>
            </w:r>
          </w:p>
        </w:tc>
        <w:tc>
          <w:tcPr>
            <w:tcW w:w="985" w:type="dxa"/>
          </w:tcPr>
          <w:p w14:paraId="10CF1F47"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74EF9446"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2618251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DE1D3ED" w14:textId="77777777">
        <w:tc>
          <w:tcPr>
            <w:tcW w:w="805" w:type="dxa"/>
          </w:tcPr>
          <w:p w14:paraId="2A6CD678"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2C6C8A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w:t>
            </w:r>
          </w:p>
        </w:tc>
        <w:tc>
          <w:tcPr>
            <w:tcW w:w="3155" w:type="dxa"/>
          </w:tcPr>
          <w:p w14:paraId="5B022AC6"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7D2FCB5D"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2D999C08"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7903B27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A299839" w14:textId="77777777">
        <w:tc>
          <w:tcPr>
            <w:tcW w:w="805" w:type="dxa"/>
          </w:tcPr>
          <w:p w14:paraId="7B8BDF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14.7</w:t>
            </w:r>
          </w:p>
        </w:tc>
        <w:tc>
          <w:tcPr>
            <w:tcW w:w="863" w:type="dxa"/>
          </w:tcPr>
          <w:p w14:paraId="3FFD7E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0-24</w:t>
            </w:r>
          </w:p>
        </w:tc>
        <w:tc>
          <w:tcPr>
            <w:tcW w:w="3155" w:type="dxa"/>
          </w:tcPr>
          <w:p w14:paraId="7AD924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Идет ремонт самолета.</w:t>
            </w:r>
          </w:p>
        </w:tc>
        <w:tc>
          <w:tcPr>
            <w:tcW w:w="985" w:type="dxa"/>
          </w:tcPr>
          <w:p w14:paraId="775CADD5"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985B898"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5A076E9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F4BE329" w14:textId="77777777">
        <w:tc>
          <w:tcPr>
            <w:tcW w:w="805" w:type="dxa"/>
          </w:tcPr>
          <w:p w14:paraId="58C1C3F5"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1C8774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w:t>
            </w:r>
          </w:p>
        </w:tc>
        <w:tc>
          <w:tcPr>
            <w:tcW w:w="3155" w:type="dxa"/>
          </w:tcPr>
          <w:p w14:paraId="138D654A"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327374FE"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125BF517"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CD62B6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E27AD1B" w14:textId="77777777">
        <w:tc>
          <w:tcPr>
            <w:tcW w:w="805" w:type="dxa"/>
          </w:tcPr>
          <w:p w14:paraId="4D5686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15.7</w:t>
            </w:r>
          </w:p>
        </w:tc>
        <w:tc>
          <w:tcPr>
            <w:tcW w:w="863" w:type="dxa"/>
          </w:tcPr>
          <w:p w14:paraId="0B7362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0-13</w:t>
            </w:r>
          </w:p>
        </w:tc>
        <w:tc>
          <w:tcPr>
            <w:tcW w:w="3155" w:type="dxa"/>
          </w:tcPr>
          <w:p w14:paraId="648650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Ремонт самолета и подготовка к</w:t>
            </w:r>
          </w:p>
        </w:tc>
        <w:tc>
          <w:tcPr>
            <w:tcW w:w="985" w:type="dxa"/>
          </w:tcPr>
          <w:p w14:paraId="0FD8FF96"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12D1D40B"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16C0667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6F7A233" w14:textId="77777777">
        <w:tc>
          <w:tcPr>
            <w:tcW w:w="805" w:type="dxa"/>
          </w:tcPr>
          <w:p w14:paraId="0328E8C3"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53762F5F"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780421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полетам.</w:t>
            </w:r>
          </w:p>
        </w:tc>
        <w:tc>
          <w:tcPr>
            <w:tcW w:w="985" w:type="dxa"/>
          </w:tcPr>
          <w:p w14:paraId="518B37B1"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64E4543F"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2680D1A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E4AB997" w14:textId="77777777">
        <w:tc>
          <w:tcPr>
            <w:tcW w:w="805" w:type="dxa"/>
          </w:tcPr>
          <w:p w14:paraId="551650A6"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5420CD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13-24</w:t>
            </w:r>
          </w:p>
        </w:tc>
        <w:tc>
          <w:tcPr>
            <w:tcW w:w="3155" w:type="dxa"/>
          </w:tcPr>
          <w:p w14:paraId="096AB9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не выполнены. Поломка моторов.</w:t>
            </w:r>
          </w:p>
        </w:tc>
        <w:tc>
          <w:tcPr>
            <w:tcW w:w="985" w:type="dxa"/>
          </w:tcPr>
          <w:p w14:paraId="5E6C208D"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75299E6E"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58AFE0A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6AFAF9E" w14:textId="77777777">
        <w:tc>
          <w:tcPr>
            <w:tcW w:w="805" w:type="dxa"/>
          </w:tcPr>
          <w:p w14:paraId="43BEBBE8"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073B9C69"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14EC15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Вызваны специалисты ЦАГИ.</w:t>
            </w:r>
          </w:p>
        </w:tc>
        <w:tc>
          <w:tcPr>
            <w:tcW w:w="985" w:type="dxa"/>
          </w:tcPr>
          <w:p w14:paraId="40039EE9"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65F41E91"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1459D4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2F06749" w14:textId="77777777">
        <w:tc>
          <w:tcPr>
            <w:tcW w:w="805" w:type="dxa"/>
          </w:tcPr>
          <w:p w14:paraId="5CF11FC8"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295D1E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w:t>
            </w:r>
          </w:p>
        </w:tc>
        <w:tc>
          <w:tcPr>
            <w:tcW w:w="3155" w:type="dxa"/>
          </w:tcPr>
          <w:p w14:paraId="745ECBAD"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73B895CB"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0B5786F5"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37E1225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A38BF4B" w14:textId="77777777">
        <w:tc>
          <w:tcPr>
            <w:tcW w:w="805" w:type="dxa"/>
          </w:tcPr>
          <w:p w14:paraId="6BB72E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16.7</w:t>
            </w:r>
          </w:p>
        </w:tc>
        <w:tc>
          <w:tcPr>
            <w:tcW w:w="863" w:type="dxa"/>
          </w:tcPr>
          <w:p w14:paraId="6D6D28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0-23</w:t>
            </w:r>
          </w:p>
        </w:tc>
        <w:tc>
          <w:tcPr>
            <w:tcW w:w="3155" w:type="dxa"/>
          </w:tcPr>
          <w:p w14:paraId="0FC1D4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Ремонт и опробование самолета. Анероид</w:t>
            </w:r>
          </w:p>
        </w:tc>
        <w:tc>
          <w:tcPr>
            <w:tcW w:w="985" w:type="dxa"/>
          </w:tcPr>
          <w:p w14:paraId="1A0E729A"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74F5084"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78D0B83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21D29FB" w14:textId="77777777">
        <w:tc>
          <w:tcPr>
            <w:tcW w:w="805" w:type="dxa"/>
          </w:tcPr>
          <w:p w14:paraId="6E0F96DB"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71B3E13"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1B295C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исправить не успели.</w:t>
            </w:r>
          </w:p>
        </w:tc>
        <w:tc>
          <w:tcPr>
            <w:tcW w:w="985" w:type="dxa"/>
          </w:tcPr>
          <w:p w14:paraId="1CBF65A8"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75AB9C72"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539DA70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7037853" w14:textId="77777777">
        <w:tc>
          <w:tcPr>
            <w:tcW w:w="805" w:type="dxa"/>
          </w:tcPr>
          <w:p w14:paraId="13E060BF"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21EC3B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3155" w:type="dxa"/>
          </w:tcPr>
          <w:p w14:paraId="7EBB4AB1"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722D747D"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54DAD9EB"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AE6E59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4D3BE84" w14:textId="77777777">
        <w:tc>
          <w:tcPr>
            <w:tcW w:w="805" w:type="dxa"/>
          </w:tcPr>
          <w:p w14:paraId="1B2BDC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17.7</w:t>
            </w:r>
          </w:p>
        </w:tc>
        <w:tc>
          <w:tcPr>
            <w:tcW w:w="863" w:type="dxa"/>
          </w:tcPr>
          <w:p w14:paraId="7CAF28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6-12</w:t>
            </w:r>
          </w:p>
        </w:tc>
        <w:tc>
          <w:tcPr>
            <w:tcW w:w="3155" w:type="dxa"/>
          </w:tcPr>
          <w:p w14:paraId="66BC13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Осмотр и подготовка самолета к</w:t>
            </w:r>
          </w:p>
        </w:tc>
        <w:tc>
          <w:tcPr>
            <w:tcW w:w="985" w:type="dxa"/>
          </w:tcPr>
          <w:p w14:paraId="58494639"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0E17F0E5"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4781422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3CE0FC8" w14:textId="77777777">
        <w:tc>
          <w:tcPr>
            <w:tcW w:w="805" w:type="dxa"/>
          </w:tcPr>
          <w:p w14:paraId="0A409A75"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B723F70"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18F889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перелету в Москву.</w:t>
            </w:r>
          </w:p>
        </w:tc>
        <w:tc>
          <w:tcPr>
            <w:tcW w:w="985" w:type="dxa"/>
          </w:tcPr>
          <w:p w14:paraId="11C8568D"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4DAD189E"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0496447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E7FD7A3" w14:textId="77777777">
        <w:tc>
          <w:tcPr>
            <w:tcW w:w="805" w:type="dxa"/>
          </w:tcPr>
          <w:p w14:paraId="6340311D"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30A90D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w:t>
            </w:r>
          </w:p>
        </w:tc>
        <w:tc>
          <w:tcPr>
            <w:tcW w:w="3155" w:type="dxa"/>
          </w:tcPr>
          <w:p w14:paraId="608A5E54"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375197EE"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503E5004"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0190790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0BB9A54" w14:textId="77777777">
        <w:tc>
          <w:tcPr>
            <w:tcW w:w="805" w:type="dxa"/>
          </w:tcPr>
          <w:p w14:paraId="298056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на самолете СБ-2ИС за время испытания с 9.7.35</w:t>
            </w:r>
          </w:p>
        </w:tc>
        <w:tc>
          <w:tcPr>
            <w:tcW w:w="863" w:type="dxa"/>
          </w:tcPr>
          <w:p w14:paraId="3B8C83CA"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18A8A687"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19094570"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13B99C9A"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52B97B4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0B5BC32" w14:textId="77777777">
        <w:tc>
          <w:tcPr>
            <w:tcW w:w="805" w:type="dxa"/>
          </w:tcPr>
          <w:p w14:paraId="281C5731"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249C2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151-30</w:t>
            </w:r>
          </w:p>
        </w:tc>
        <w:tc>
          <w:tcPr>
            <w:tcW w:w="3155" w:type="dxa"/>
          </w:tcPr>
          <w:p w14:paraId="42A4539D"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352891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986" w:type="dxa"/>
          </w:tcPr>
          <w:p w14:paraId="7055DE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11-33</w:t>
            </w:r>
          </w:p>
        </w:tc>
        <w:tc>
          <w:tcPr>
            <w:tcW w:w="3520" w:type="dxa"/>
          </w:tcPr>
          <w:p w14:paraId="2932E63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ECC46C4" w14:textId="77777777">
        <w:tc>
          <w:tcPr>
            <w:tcW w:w="805" w:type="dxa"/>
          </w:tcPr>
          <w:p w14:paraId="77018E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На самолете СБ-2РЦ.</w:t>
            </w:r>
          </w:p>
        </w:tc>
        <w:tc>
          <w:tcPr>
            <w:tcW w:w="863" w:type="dxa"/>
          </w:tcPr>
          <w:p w14:paraId="11B911AC"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03E7B08E"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6A6CEC7C"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6FB93406"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2F0DC85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0BF7F84" w14:textId="77777777">
        <w:tc>
          <w:tcPr>
            <w:tcW w:w="805" w:type="dxa"/>
          </w:tcPr>
          <w:p w14:paraId="3DC3A2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12.7</w:t>
            </w:r>
          </w:p>
        </w:tc>
        <w:tc>
          <w:tcPr>
            <w:tcW w:w="863" w:type="dxa"/>
          </w:tcPr>
          <w:p w14:paraId="15484A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6-20</w:t>
            </w:r>
          </w:p>
        </w:tc>
        <w:tc>
          <w:tcPr>
            <w:tcW w:w="3155" w:type="dxa"/>
          </w:tcPr>
          <w:p w14:paraId="114D3F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Отстрелка носовой и хвостовой точек</w:t>
            </w:r>
          </w:p>
        </w:tc>
        <w:tc>
          <w:tcPr>
            <w:tcW w:w="985" w:type="dxa"/>
          </w:tcPr>
          <w:p w14:paraId="5B933B42"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A5527A5"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FDEC88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4CE31ED" w14:textId="77777777">
        <w:tc>
          <w:tcPr>
            <w:tcW w:w="805" w:type="dxa"/>
          </w:tcPr>
          <w:p w14:paraId="5D8BC5B1"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562BEFDD"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6E9DE5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тире.</w:t>
            </w:r>
          </w:p>
        </w:tc>
        <w:tc>
          <w:tcPr>
            <w:tcW w:w="985" w:type="dxa"/>
          </w:tcPr>
          <w:p w14:paraId="3A8B6E00"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1207BDDC"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4E0B5BD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FC3C68F" w14:textId="77777777">
        <w:tc>
          <w:tcPr>
            <w:tcW w:w="805" w:type="dxa"/>
          </w:tcPr>
          <w:p w14:paraId="155E1223"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54EA95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20-21.15</w:t>
            </w:r>
          </w:p>
        </w:tc>
        <w:tc>
          <w:tcPr>
            <w:tcW w:w="3155" w:type="dxa"/>
          </w:tcPr>
          <w:p w14:paraId="467C89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Вылет летчика Белозерова. Полеты </w:t>
            </w:r>
          </w:p>
        </w:tc>
        <w:tc>
          <w:tcPr>
            <w:tcW w:w="985" w:type="dxa"/>
          </w:tcPr>
          <w:p w14:paraId="32B3DF2C"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9857580"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4FF9732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2B0D7FB" w14:textId="77777777">
        <w:tc>
          <w:tcPr>
            <w:tcW w:w="805" w:type="dxa"/>
          </w:tcPr>
          <w:p w14:paraId="04A52D8D"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4FD12648"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25B66A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выявление вибраций и стрельбу из</w:t>
            </w:r>
          </w:p>
        </w:tc>
        <w:tc>
          <w:tcPr>
            <w:tcW w:w="985" w:type="dxa"/>
          </w:tcPr>
          <w:p w14:paraId="6220A23D"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18FCF406"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3B2A594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CF0867B" w14:textId="77777777">
        <w:tc>
          <w:tcPr>
            <w:tcW w:w="805" w:type="dxa"/>
          </w:tcPr>
          <w:p w14:paraId="355A9F70"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70A34AB3"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4375AC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носовой точки Н-2000 м.</w:t>
            </w:r>
          </w:p>
        </w:tc>
        <w:tc>
          <w:tcPr>
            <w:tcW w:w="985" w:type="dxa"/>
          </w:tcPr>
          <w:p w14:paraId="1454DA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986" w:type="dxa"/>
          </w:tcPr>
          <w:p w14:paraId="163C86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ч. 15 м.</w:t>
            </w:r>
          </w:p>
        </w:tc>
        <w:tc>
          <w:tcPr>
            <w:tcW w:w="3520" w:type="dxa"/>
          </w:tcPr>
          <w:p w14:paraId="2B0654D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A7B340F" w14:textId="77777777">
        <w:tc>
          <w:tcPr>
            <w:tcW w:w="805" w:type="dxa"/>
          </w:tcPr>
          <w:p w14:paraId="2263EB23"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E4058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21.15-22</w:t>
            </w:r>
          </w:p>
        </w:tc>
        <w:tc>
          <w:tcPr>
            <w:tcW w:w="3155" w:type="dxa"/>
          </w:tcPr>
          <w:p w14:paraId="357D2A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Подготовка самолета к следующему</w:t>
            </w:r>
          </w:p>
        </w:tc>
        <w:tc>
          <w:tcPr>
            <w:tcW w:w="985" w:type="dxa"/>
          </w:tcPr>
          <w:p w14:paraId="1DDC1D79"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20637BE2"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2394472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4273FB7" w14:textId="77777777">
        <w:tc>
          <w:tcPr>
            <w:tcW w:w="805" w:type="dxa"/>
          </w:tcPr>
          <w:p w14:paraId="3388EB75"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26BDB056"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56229B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полету.</w:t>
            </w:r>
          </w:p>
        </w:tc>
        <w:tc>
          <w:tcPr>
            <w:tcW w:w="985" w:type="dxa"/>
          </w:tcPr>
          <w:p w14:paraId="08C76DCA"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65CBA44A"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506A96C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BC9AA0C" w14:textId="77777777">
        <w:tc>
          <w:tcPr>
            <w:tcW w:w="805" w:type="dxa"/>
          </w:tcPr>
          <w:p w14:paraId="10C406C8"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4B44DC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9.30-10.33</w:t>
            </w:r>
          </w:p>
        </w:tc>
        <w:tc>
          <w:tcPr>
            <w:tcW w:w="3155" w:type="dxa"/>
          </w:tcPr>
          <w:p w14:paraId="2BBBD8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стрельбу по земным целям</w:t>
            </w:r>
          </w:p>
        </w:tc>
        <w:tc>
          <w:tcPr>
            <w:tcW w:w="985" w:type="dxa"/>
          </w:tcPr>
          <w:p w14:paraId="6073ACBA"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50B63389"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78E3F20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19BA8EF" w14:textId="77777777">
        <w:tc>
          <w:tcPr>
            <w:tcW w:w="805" w:type="dxa"/>
          </w:tcPr>
          <w:p w14:paraId="628D7994"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87E2032"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49A5FA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Н-3000 м.</w:t>
            </w:r>
          </w:p>
        </w:tc>
        <w:tc>
          <w:tcPr>
            <w:tcW w:w="985" w:type="dxa"/>
          </w:tcPr>
          <w:p w14:paraId="7F89CB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645612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ч. 03 м.</w:t>
            </w:r>
          </w:p>
        </w:tc>
        <w:tc>
          <w:tcPr>
            <w:tcW w:w="3520" w:type="dxa"/>
          </w:tcPr>
          <w:p w14:paraId="5521829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0FC9889" w14:textId="77777777">
        <w:tc>
          <w:tcPr>
            <w:tcW w:w="805" w:type="dxa"/>
          </w:tcPr>
          <w:p w14:paraId="4BAC96A4"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371BE5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10.33-12.30</w:t>
            </w:r>
          </w:p>
        </w:tc>
        <w:tc>
          <w:tcPr>
            <w:tcW w:w="3155" w:type="dxa"/>
          </w:tcPr>
          <w:p w14:paraId="444BAE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Подготовка к полету.</w:t>
            </w:r>
          </w:p>
        </w:tc>
        <w:tc>
          <w:tcPr>
            <w:tcW w:w="985" w:type="dxa"/>
          </w:tcPr>
          <w:p w14:paraId="267A294D"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78F36C1"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0C34646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D54E3AA" w14:textId="77777777">
        <w:tc>
          <w:tcPr>
            <w:tcW w:w="805" w:type="dxa"/>
          </w:tcPr>
          <w:p w14:paraId="0574A6CD"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72FB0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12.30--13710</w:t>
            </w:r>
          </w:p>
        </w:tc>
        <w:tc>
          <w:tcPr>
            <w:tcW w:w="3155" w:type="dxa"/>
          </w:tcPr>
          <w:p w14:paraId="2B9621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985" w:type="dxa"/>
          </w:tcPr>
          <w:p w14:paraId="39813F56"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2E678C00"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5572B9F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150E798" w14:textId="77777777">
        <w:tc>
          <w:tcPr>
            <w:tcW w:w="805" w:type="dxa"/>
          </w:tcPr>
          <w:p w14:paraId="2CAECDAC"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4914FBF4"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451289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Н-2500 м.</w:t>
            </w:r>
          </w:p>
        </w:tc>
        <w:tc>
          <w:tcPr>
            <w:tcW w:w="985" w:type="dxa"/>
          </w:tcPr>
          <w:p w14:paraId="733290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75EDC2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 м.</w:t>
            </w:r>
          </w:p>
        </w:tc>
        <w:tc>
          <w:tcPr>
            <w:tcW w:w="3520" w:type="dxa"/>
          </w:tcPr>
          <w:p w14:paraId="3D5497D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3FFBD4A" w14:textId="77777777">
        <w:tc>
          <w:tcPr>
            <w:tcW w:w="805" w:type="dxa"/>
          </w:tcPr>
          <w:p w14:paraId="47D194AD"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4E417E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13.10-15.50</w:t>
            </w:r>
          </w:p>
        </w:tc>
        <w:tc>
          <w:tcPr>
            <w:tcW w:w="3155" w:type="dxa"/>
          </w:tcPr>
          <w:p w14:paraId="419AE8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Замена задней турели.</w:t>
            </w:r>
          </w:p>
        </w:tc>
        <w:tc>
          <w:tcPr>
            <w:tcW w:w="985" w:type="dxa"/>
          </w:tcPr>
          <w:p w14:paraId="6EE28AFD"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03FB0FCA"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51995FD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F47AA14" w14:textId="77777777">
        <w:tc>
          <w:tcPr>
            <w:tcW w:w="805" w:type="dxa"/>
          </w:tcPr>
          <w:p w14:paraId="050D7A1B"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711216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15.50-16.20</w:t>
            </w:r>
          </w:p>
        </w:tc>
        <w:tc>
          <w:tcPr>
            <w:tcW w:w="3155" w:type="dxa"/>
          </w:tcPr>
          <w:p w14:paraId="5DF446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стрельбу из обеих точек</w:t>
            </w:r>
          </w:p>
        </w:tc>
        <w:tc>
          <w:tcPr>
            <w:tcW w:w="985" w:type="dxa"/>
          </w:tcPr>
          <w:p w14:paraId="7F388EB8"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7C817E3"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124940C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8D96244" w14:textId="77777777">
        <w:tc>
          <w:tcPr>
            <w:tcW w:w="805" w:type="dxa"/>
          </w:tcPr>
          <w:p w14:paraId="1B547E2F"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13799E67"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3BBE9A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конусу Н-3000 м.</w:t>
            </w:r>
          </w:p>
        </w:tc>
        <w:tc>
          <w:tcPr>
            <w:tcW w:w="985" w:type="dxa"/>
          </w:tcPr>
          <w:p w14:paraId="1A316C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752A10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м.</w:t>
            </w:r>
          </w:p>
        </w:tc>
        <w:tc>
          <w:tcPr>
            <w:tcW w:w="3520" w:type="dxa"/>
          </w:tcPr>
          <w:p w14:paraId="69C07F1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3A4FD0D" w14:textId="77777777">
        <w:tc>
          <w:tcPr>
            <w:tcW w:w="805" w:type="dxa"/>
          </w:tcPr>
          <w:p w14:paraId="669B7F4D"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766F9A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16.20-17.30</w:t>
            </w:r>
          </w:p>
        </w:tc>
        <w:tc>
          <w:tcPr>
            <w:tcW w:w="3155" w:type="dxa"/>
          </w:tcPr>
          <w:p w14:paraId="3284C9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Подготовка к полету.</w:t>
            </w:r>
          </w:p>
        </w:tc>
        <w:tc>
          <w:tcPr>
            <w:tcW w:w="985" w:type="dxa"/>
          </w:tcPr>
          <w:p w14:paraId="2B2D558B"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053772CB"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3B3B793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28C8F97" w14:textId="77777777">
        <w:tc>
          <w:tcPr>
            <w:tcW w:w="805" w:type="dxa"/>
          </w:tcPr>
          <w:p w14:paraId="1B8CDB07"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05BB66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17.30-18.35</w:t>
            </w:r>
          </w:p>
        </w:tc>
        <w:tc>
          <w:tcPr>
            <w:tcW w:w="3155" w:type="dxa"/>
          </w:tcPr>
          <w:p w14:paraId="01541C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985" w:type="dxa"/>
          </w:tcPr>
          <w:p w14:paraId="12C856B1"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2AB26DF7"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1A315B6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70184E3" w14:textId="77777777">
        <w:tc>
          <w:tcPr>
            <w:tcW w:w="805" w:type="dxa"/>
          </w:tcPr>
          <w:p w14:paraId="156D7E25"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248D0B10"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51EE32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Н-5000 м.</w:t>
            </w:r>
          </w:p>
        </w:tc>
        <w:tc>
          <w:tcPr>
            <w:tcW w:w="985" w:type="dxa"/>
          </w:tcPr>
          <w:p w14:paraId="3A11D3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58E89C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ч. 05 м.</w:t>
            </w:r>
          </w:p>
        </w:tc>
        <w:tc>
          <w:tcPr>
            <w:tcW w:w="3520" w:type="dxa"/>
          </w:tcPr>
          <w:p w14:paraId="6ED4DBC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B2BDBF3" w14:textId="77777777">
        <w:tc>
          <w:tcPr>
            <w:tcW w:w="805" w:type="dxa"/>
          </w:tcPr>
          <w:p w14:paraId="1053FFDD"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018B7D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18.35-20.00</w:t>
            </w:r>
          </w:p>
        </w:tc>
        <w:tc>
          <w:tcPr>
            <w:tcW w:w="3155" w:type="dxa"/>
          </w:tcPr>
          <w:p w14:paraId="5F589F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Подготовка к полету на стрельбу.</w:t>
            </w:r>
          </w:p>
        </w:tc>
        <w:tc>
          <w:tcPr>
            <w:tcW w:w="985" w:type="dxa"/>
          </w:tcPr>
          <w:p w14:paraId="65EC2C4C"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06C3E65"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43A279E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38F3894" w14:textId="77777777">
        <w:tc>
          <w:tcPr>
            <w:tcW w:w="805" w:type="dxa"/>
          </w:tcPr>
          <w:p w14:paraId="6CA1E03A"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192400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20-20.45</w:t>
            </w:r>
          </w:p>
        </w:tc>
        <w:tc>
          <w:tcPr>
            <w:tcW w:w="3155" w:type="dxa"/>
          </w:tcPr>
          <w:p w14:paraId="1544D8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985" w:type="dxa"/>
          </w:tcPr>
          <w:p w14:paraId="0D2D7E8B"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255C5FA8"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63CE7C9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5285FF0" w14:textId="77777777">
        <w:tc>
          <w:tcPr>
            <w:tcW w:w="805" w:type="dxa"/>
          </w:tcPr>
          <w:p w14:paraId="287A3951"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73F5B110"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3396AE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Н-4500 м.</w:t>
            </w:r>
          </w:p>
        </w:tc>
        <w:tc>
          <w:tcPr>
            <w:tcW w:w="985" w:type="dxa"/>
          </w:tcPr>
          <w:p w14:paraId="36AF1A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768B93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 м.</w:t>
            </w:r>
          </w:p>
        </w:tc>
        <w:tc>
          <w:tcPr>
            <w:tcW w:w="3520" w:type="dxa"/>
          </w:tcPr>
          <w:p w14:paraId="63A3921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03F79F3" w14:textId="77777777">
        <w:tc>
          <w:tcPr>
            <w:tcW w:w="805" w:type="dxa"/>
          </w:tcPr>
          <w:p w14:paraId="48F53D06"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0332E9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20.45-21.15</w:t>
            </w:r>
          </w:p>
        </w:tc>
        <w:tc>
          <w:tcPr>
            <w:tcW w:w="3155" w:type="dxa"/>
          </w:tcPr>
          <w:p w14:paraId="5344B4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Подготовка к полету на стрельбу.</w:t>
            </w:r>
          </w:p>
        </w:tc>
        <w:tc>
          <w:tcPr>
            <w:tcW w:w="985" w:type="dxa"/>
          </w:tcPr>
          <w:p w14:paraId="0DDE297E"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1EEA8A23"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26C21F8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8DF4B73" w14:textId="77777777">
        <w:tc>
          <w:tcPr>
            <w:tcW w:w="805" w:type="dxa"/>
          </w:tcPr>
          <w:p w14:paraId="1E3609D7"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1A2437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21.15-21.30</w:t>
            </w:r>
          </w:p>
        </w:tc>
        <w:tc>
          <w:tcPr>
            <w:tcW w:w="3155" w:type="dxa"/>
          </w:tcPr>
          <w:p w14:paraId="7A6598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985" w:type="dxa"/>
          </w:tcPr>
          <w:p w14:paraId="26A40069"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7CB0936F"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1D14FA9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10808A3" w14:textId="77777777">
        <w:tc>
          <w:tcPr>
            <w:tcW w:w="805" w:type="dxa"/>
          </w:tcPr>
          <w:p w14:paraId="395E62A1"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74FA8AE2"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4AAEFC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Н-1000 м.</w:t>
            </w:r>
          </w:p>
        </w:tc>
        <w:tc>
          <w:tcPr>
            <w:tcW w:w="985" w:type="dxa"/>
          </w:tcPr>
          <w:p w14:paraId="3618E8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74A047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м.</w:t>
            </w:r>
          </w:p>
        </w:tc>
        <w:tc>
          <w:tcPr>
            <w:tcW w:w="3520" w:type="dxa"/>
          </w:tcPr>
          <w:p w14:paraId="43EB32C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CEE825D" w14:textId="77777777">
        <w:tc>
          <w:tcPr>
            <w:tcW w:w="805" w:type="dxa"/>
          </w:tcPr>
          <w:p w14:paraId="1C4010DC"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0D391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21.30-22.30</w:t>
            </w:r>
          </w:p>
        </w:tc>
        <w:tc>
          <w:tcPr>
            <w:tcW w:w="3155" w:type="dxa"/>
          </w:tcPr>
          <w:p w14:paraId="2F9022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Зарядка самолета.</w:t>
            </w:r>
          </w:p>
        </w:tc>
        <w:tc>
          <w:tcPr>
            <w:tcW w:w="985" w:type="dxa"/>
          </w:tcPr>
          <w:p w14:paraId="4798D529"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4D36516C"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37DE79A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7FF67A6" w14:textId="77777777">
        <w:tc>
          <w:tcPr>
            <w:tcW w:w="805" w:type="dxa"/>
          </w:tcPr>
          <w:p w14:paraId="150C238C"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0DBC6B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22.30-24</w:t>
            </w:r>
          </w:p>
        </w:tc>
        <w:tc>
          <w:tcPr>
            <w:tcW w:w="3155" w:type="dxa"/>
          </w:tcPr>
          <w:p w14:paraId="107F9A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Установка кислородного оборудования.</w:t>
            </w:r>
          </w:p>
        </w:tc>
        <w:tc>
          <w:tcPr>
            <w:tcW w:w="985" w:type="dxa"/>
          </w:tcPr>
          <w:p w14:paraId="0A622DFF"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738B57B7"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43B0FDA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622A592" w14:textId="77777777">
        <w:tc>
          <w:tcPr>
            <w:tcW w:w="805" w:type="dxa"/>
          </w:tcPr>
          <w:p w14:paraId="1C383ACD"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343488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w:t>
            </w:r>
          </w:p>
        </w:tc>
        <w:tc>
          <w:tcPr>
            <w:tcW w:w="3155" w:type="dxa"/>
          </w:tcPr>
          <w:p w14:paraId="5E6E9253"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52F067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w:t>
            </w:r>
          </w:p>
        </w:tc>
        <w:tc>
          <w:tcPr>
            <w:tcW w:w="986" w:type="dxa"/>
          </w:tcPr>
          <w:p w14:paraId="6BCFA6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ч. 13 м.</w:t>
            </w:r>
          </w:p>
        </w:tc>
        <w:tc>
          <w:tcPr>
            <w:tcW w:w="3520" w:type="dxa"/>
          </w:tcPr>
          <w:p w14:paraId="18350C3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6706A9D" w14:textId="77777777">
        <w:tc>
          <w:tcPr>
            <w:tcW w:w="805" w:type="dxa"/>
          </w:tcPr>
          <w:p w14:paraId="3A36BB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16.7</w:t>
            </w:r>
          </w:p>
        </w:tc>
        <w:tc>
          <w:tcPr>
            <w:tcW w:w="863" w:type="dxa"/>
          </w:tcPr>
          <w:p w14:paraId="60B42E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0-6</w:t>
            </w:r>
          </w:p>
        </w:tc>
        <w:tc>
          <w:tcPr>
            <w:tcW w:w="3155" w:type="dxa"/>
          </w:tcPr>
          <w:p w14:paraId="7B5B95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Установка кислородного оборудования.</w:t>
            </w:r>
          </w:p>
        </w:tc>
        <w:tc>
          <w:tcPr>
            <w:tcW w:w="985" w:type="dxa"/>
          </w:tcPr>
          <w:p w14:paraId="037CF829"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6C48F05E"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453A3E2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96CA329" w14:textId="77777777">
        <w:tc>
          <w:tcPr>
            <w:tcW w:w="805" w:type="dxa"/>
          </w:tcPr>
          <w:p w14:paraId="01B6E533"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08399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6-11.50</w:t>
            </w:r>
          </w:p>
        </w:tc>
        <w:tc>
          <w:tcPr>
            <w:tcW w:w="3155" w:type="dxa"/>
          </w:tcPr>
          <w:p w14:paraId="3392E1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Нелетная погода.</w:t>
            </w:r>
          </w:p>
        </w:tc>
        <w:tc>
          <w:tcPr>
            <w:tcW w:w="985" w:type="dxa"/>
          </w:tcPr>
          <w:p w14:paraId="24DC7744"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8D8344F"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595B94E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9C21C34" w14:textId="77777777">
        <w:tc>
          <w:tcPr>
            <w:tcW w:w="805" w:type="dxa"/>
          </w:tcPr>
          <w:p w14:paraId="47BC20AE"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173E83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11.50-12.25</w:t>
            </w:r>
          </w:p>
        </w:tc>
        <w:tc>
          <w:tcPr>
            <w:tcW w:w="3155" w:type="dxa"/>
          </w:tcPr>
          <w:p w14:paraId="54404E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стрельбу из двух точек</w:t>
            </w:r>
          </w:p>
        </w:tc>
        <w:tc>
          <w:tcPr>
            <w:tcW w:w="985" w:type="dxa"/>
          </w:tcPr>
          <w:p w14:paraId="42051F4B"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598E6A7E"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4798535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0974D88" w14:textId="77777777">
        <w:tc>
          <w:tcPr>
            <w:tcW w:w="805" w:type="dxa"/>
          </w:tcPr>
          <w:p w14:paraId="66C0CA6F"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0D22F279"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10BCBF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Н-200 м и тактическое задание.</w:t>
            </w:r>
          </w:p>
        </w:tc>
        <w:tc>
          <w:tcPr>
            <w:tcW w:w="985" w:type="dxa"/>
          </w:tcPr>
          <w:p w14:paraId="341A16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67D349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 м.</w:t>
            </w:r>
          </w:p>
        </w:tc>
        <w:tc>
          <w:tcPr>
            <w:tcW w:w="3520" w:type="dxa"/>
          </w:tcPr>
          <w:p w14:paraId="2FB291F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D4D5ADF" w14:textId="77777777">
        <w:tc>
          <w:tcPr>
            <w:tcW w:w="805" w:type="dxa"/>
          </w:tcPr>
          <w:p w14:paraId="77864434"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74F36B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12.25-14.30</w:t>
            </w:r>
          </w:p>
        </w:tc>
        <w:tc>
          <w:tcPr>
            <w:tcW w:w="3155" w:type="dxa"/>
          </w:tcPr>
          <w:p w14:paraId="395D30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Подготовка самолета.</w:t>
            </w:r>
          </w:p>
        </w:tc>
        <w:tc>
          <w:tcPr>
            <w:tcW w:w="985" w:type="dxa"/>
          </w:tcPr>
          <w:p w14:paraId="470C13F7"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3566CA7D"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4372FC7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89D1986" w14:textId="77777777">
        <w:tc>
          <w:tcPr>
            <w:tcW w:w="805" w:type="dxa"/>
          </w:tcPr>
          <w:p w14:paraId="0BA3E279"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2933FE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14.30-15.05</w:t>
            </w:r>
          </w:p>
        </w:tc>
        <w:tc>
          <w:tcPr>
            <w:tcW w:w="3155" w:type="dxa"/>
          </w:tcPr>
          <w:p w14:paraId="4AA5CD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стрельбу из двух точек и</w:t>
            </w:r>
          </w:p>
        </w:tc>
        <w:tc>
          <w:tcPr>
            <w:tcW w:w="985" w:type="dxa"/>
          </w:tcPr>
          <w:p w14:paraId="55D426B4"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46DDB84F"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42F47E4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39407C" w14:textId="77777777">
        <w:tc>
          <w:tcPr>
            <w:tcW w:w="805" w:type="dxa"/>
          </w:tcPr>
          <w:p w14:paraId="7DE8F833"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D86CA84"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67140B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тактическое задание.</w:t>
            </w:r>
          </w:p>
        </w:tc>
        <w:tc>
          <w:tcPr>
            <w:tcW w:w="985" w:type="dxa"/>
          </w:tcPr>
          <w:p w14:paraId="0718C6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86" w:type="dxa"/>
          </w:tcPr>
          <w:p w14:paraId="5C84F2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 м.</w:t>
            </w:r>
          </w:p>
        </w:tc>
        <w:tc>
          <w:tcPr>
            <w:tcW w:w="3520" w:type="dxa"/>
          </w:tcPr>
          <w:p w14:paraId="7351265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89B829" w14:textId="77777777">
        <w:tc>
          <w:tcPr>
            <w:tcW w:w="805" w:type="dxa"/>
          </w:tcPr>
          <w:p w14:paraId="2E6B9D34"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717AAA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15.05-22.00</w:t>
            </w:r>
          </w:p>
        </w:tc>
        <w:tc>
          <w:tcPr>
            <w:tcW w:w="3155" w:type="dxa"/>
          </w:tcPr>
          <w:p w14:paraId="09F1D5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Осмотр самолета и подготовка.</w:t>
            </w:r>
          </w:p>
        </w:tc>
        <w:tc>
          <w:tcPr>
            <w:tcW w:w="985" w:type="dxa"/>
          </w:tcPr>
          <w:p w14:paraId="1DA80E42"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5337BFCF"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1CC64D2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64E4397" w14:textId="77777777">
        <w:tc>
          <w:tcPr>
            <w:tcW w:w="805" w:type="dxa"/>
          </w:tcPr>
          <w:p w14:paraId="046B008C"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1800B3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3155" w:type="dxa"/>
          </w:tcPr>
          <w:p w14:paraId="6E01A157"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4F9788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986" w:type="dxa"/>
          </w:tcPr>
          <w:p w14:paraId="035502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ч. 10 м.</w:t>
            </w:r>
          </w:p>
        </w:tc>
        <w:tc>
          <w:tcPr>
            <w:tcW w:w="3520" w:type="dxa"/>
          </w:tcPr>
          <w:p w14:paraId="6F485E1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86C22A1" w14:textId="77777777">
        <w:tc>
          <w:tcPr>
            <w:tcW w:w="805" w:type="dxa"/>
          </w:tcPr>
          <w:p w14:paraId="4383E1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Всего на самолете СБ-2РЦ на время </w:t>
            </w:r>
            <w:r w:rsidRPr="00E14102">
              <w:rPr>
                <w:color w:val="000000" w:themeColor="text1"/>
                <w:sz w:val="16"/>
                <w:szCs w:val="16"/>
              </w:rPr>
              <w:lastRenderedPageBreak/>
              <w:t>испытаний с 12.7.35 г.</w:t>
            </w:r>
          </w:p>
        </w:tc>
        <w:tc>
          <w:tcPr>
            <w:tcW w:w="863" w:type="dxa"/>
          </w:tcPr>
          <w:p w14:paraId="35665070"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3128A4E4"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7F4A8E40"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6A401BC4"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38762B6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FB69FD9" w14:textId="77777777">
        <w:tc>
          <w:tcPr>
            <w:tcW w:w="805" w:type="dxa"/>
          </w:tcPr>
          <w:p w14:paraId="577938E7"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Pr>
          <w:p w14:paraId="6088DB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102</w:t>
            </w:r>
          </w:p>
        </w:tc>
        <w:tc>
          <w:tcPr>
            <w:tcW w:w="3155" w:type="dxa"/>
          </w:tcPr>
          <w:p w14:paraId="7D5A62D7"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0F8ED7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986" w:type="dxa"/>
          </w:tcPr>
          <w:p w14:paraId="75DC0A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ч. 9 м.</w:t>
            </w:r>
          </w:p>
        </w:tc>
        <w:tc>
          <w:tcPr>
            <w:tcW w:w="3520" w:type="dxa"/>
          </w:tcPr>
          <w:p w14:paraId="1586CEC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C06EA3C" w14:textId="77777777">
        <w:tc>
          <w:tcPr>
            <w:tcW w:w="805" w:type="dxa"/>
          </w:tcPr>
          <w:p w14:paraId="4C1F2A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за все время испытаний на обоих самолетах</w:t>
            </w:r>
          </w:p>
        </w:tc>
        <w:tc>
          <w:tcPr>
            <w:tcW w:w="863" w:type="dxa"/>
          </w:tcPr>
          <w:p w14:paraId="62B1A5EA" w14:textId="77777777" w:rsidR="00D4105E" w:rsidRPr="00E14102" w:rsidRDefault="00D4105E" w:rsidP="00E14102">
            <w:pPr>
              <w:autoSpaceDE w:val="0"/>
              <w:autoSpaceDN w:val="0"/>
              <w:adjustRightInd w:val="0"/>
              <w:jc w:val="both"/>
              <w:rPr>
                <w:color w:val="000000" w:themeColor="text1"/>
                <w:sz w:val="16"/>
                <w:szCs w:val="16"/>
              </w:rPr>
            </w:pPr>
          </w:p>
        </w:tc>
        <w:tc>
          <w:tcPr>
            <w:tcW w:w="3155" w:type="dxa"/>
          </w:tcPr>
          <w:p w14:paraId="5436F1A6"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Pr>
          <w:p w14:paraId="5AE15FDE" w14:textId="77777777" w:rsidR="00D4105E" w:rsidRPr="00E14102" w:rsidRDefault="00D4105E" w:rsidP="00E14102">
            <w:pPr>
              <w:autoSpaceDE w:val="0"/>
              <w:autoSpaceDN w:val="0"/>
              <w:adjustRightInd w:val="0"/>
              <w:jc w:val="both"/>
              <w:rPr>
                <w:color w:val="000000" w:themeColor="text1"/>
                <w:sz w:val="16"/>
                <w:szCs w:val="16"/>
              </w:rPr>
            </w:pPr>
          </w:p>
        </w:tc>
        <w:tc>
          <w:tcPr>
            <w:tcW w:w="986" w:type="dxa"/>
          </w:tcPr>
          <w:p w14:paraId="1327BD70" w14:textId="77777777" w:rsidR="00D4105E" w:rsidRPr="00E14102" w:rsidRDefault="00D4105E" w:rsidP="00E14102">
            <w:pPr>
              <w:autoSpaceDE w:val="0"/>
              <w:autoSpaceDN w:val="0"/>
              <w:adjustRightInd w:val="0"/>
              <w:jc w:val="both"/>
              <w:rPr>
                <w:color w:val="000000" w:themeColor="text1"/>
                <w:sz w:val="16"/>
                <w:szCs w:val="16"/>
              </w:rPr>
            </w:pPr>
          </w:p>
        </w:tc>
        <w:tc>
          <w:tcPr>
            <w:tcW w:w="3520" w:type="dxa"/>
          </w:tcPr>
          <w:p w14:paraId="769B39D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6258316" w14:textId="77777777">
        <w:tc>
          <w:tcPr>
            <w:tcW w:w="805" w:type="dxa"/>
            <w:tcBorders>
              <w:bottom w:val="single" w:sz="12" w:space="0" w:color="auto"/>
            </w:tcBorders>
          </w:tcPr>
          <w:p w14:paraId="7054E6D2" w14:textId="77777777" w:rsidR="00D4105E" w:rsidRPr="00E14102" w:rsidRDefault="00D4105E" w:rsidP="00E14102">
            <w:pPr>
              <w:autoSpaceDE w:val="0"/>
              <w:autoSpaceDN w:val="0"/>
              <w:adjustRightInd w:val="0"/>
              <w:jc w:val="both"/>
              <w:rPr>
                <w:color w:val="000000" w:themeColor="text1"/>
                <w:sz w:val="16"/>
                <w:szCs w:val="16"/>
              </w:rPr>
            </w:pPr>
          </w:p>
        </w:tc>
        <w:tc>
          <w:tcPr>
            <w:tcW w:w="863" w:type="dxa"/>
            <w:tcBorders>
              <w:bottom w:val="single" w:sz="12" w:space="0" w:color="auto"/>
            </w:tcBorders>
          </w:tcPr>
          <w:p w14:paraId="0427FD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253-30</w:t>
            </w:r>
          </w:p>
        </w:tc>
        <w:tc>
          <w:tcPr>
            <w:tcW w:w="3155" w:type="dxa"/>
            <w:tcBorders>
              <w:bottom w:val="single" w:sz="12" w:space="0" w:color="auto"/>
            </w:tcBorders>
          </w:tcPr>
          <w:p w14:paraId="0D2691C4" w14:textId="77777777" w:rsidR="00D4105E" w:rsidRPr="00E14102" w:rsidRDefault="00D4105E" w:rsidP="00E14102">
            <w:pPr>
              <w:autoSpaceDE w:val="0"/>
              <w:autoSpaceDN w:val="0"/>
              <w:adjustRightInd w:val="0"/>
              <w:jc w:val="both"/>
              <w:rPr>
                <w:color w:val="000000" w:themeColor="text1"/>
                <w:sz w:val="16"/>
                <w:szCs w:val="16"/>
              </w:rPr>
            </w:pPr>
          </w:p>
        </w:tc>
        <w:tc>
          <w:tcPr>
            <w:tcW w:w="985" w:type="dxa"/>
            <w:tcBorders>
              <w:bottom w:val="single" w:sz="12" w:space="0" w:color="auto"/>
            </w:tcBorders>
          </w:tcPr>
          <w:p w14:paraId="1BB2B7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w:t>
            </w:r>
          </w:p>
        </w:tc>
        <w:tc>
          <w:tcPr>
            <w:tcW w:w="986" w:type="dxa"/>
            <w:tcBorders>
              <w:bottom w:val="single" w:sz="12" w:space="0" w:color="auto"/>
            </w:tcBorders>
          </w:tcPr>
          <w:p w14:paraId="322B76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ч. 42 м.</w:t>
            </w:r>
          </w:p>
        </w:tc>
        <w:tc>
          <w:tcPr>
            <w:tcW w:w="3520" w:type="dxa"/>
            <w:tcBorders>
              <w:bottom w:val="single" w:sz="12" w:space="0" w:color="auto"/>
            </w:tcBorders>
          </w:tcPr>
          <w:p w14:paraId="486DC4D9" w14:textId="77777777" w:rsidR="00D4105E" w:rsidRPr="00E14102" w:rsidRDefault="00D4105E" w:rsidP="00E14102">
            <w:pPr>
              <w:autoSpaceDE w:val="0"/>
              <w:autoSpaceDN w:val="0"/>
              <w:adjustRightInd w:val="0"/>
              <w:jc w:val="both"/>
              <w:rPr>
                <w:color w:val="000000" w:themeColor="text1"/>
                <w:sz w:val="16"/>
                <w:szCs w:val="16"/>
              </w:rPr>
            </w:pPr>
          </w:p>
        </w:tc>
      </w:tr>
    </w:tbl>
    <w:p w14:paraId="5822BD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испытании были заняты 4 экипажа летно-технического состава и 6 бригад разных специальностей общей численностью до 40 человек (2964).</w:t>
      </w:r>
    </w:p>
    <w:p w14:paraId="47BBA8AA" w14:textId="77777777" w:rsidR="00D4105E" w:rsidRPr="00E14102" w:rsidRDefault="00D4105E" w:rsidP="00E14102">
      <w:pPr>
        <w:autoSpaceDE w:val="0"/>
        <w:autoSpaceDN w:val="0"/>
        <w:adjustRightInd w:val="0"/>
        <w:jc w:val="both"/>
        <w:rPr>
          <w:color w:val="000000" w:themeColor="text1"/>
          <w:sz w:val="16"/>
          <w:szCs w:val="16"/>
        </w:rPr>
      </w:pPr>
    </w:p>
    <w:p w14:paraId="05424ECA" w14:textId="77777777" w:rsidR="00E61348" w:rsidRPr="00E14102" w:rsidRDefault="00E61348" w:rsidP="00E14102">
      <w:pPr>
        <w:jc w:val="both"/>
        <w:rPr>
          <w:color w:val="000000" w:themeColor="text1"/>
          <w:sz w:val="16"/>
          <w:szCs w:val="16"/>
        </w:rPr>
      </w:pPr>
      <w:r w:rsidRPr="00E14102">
        <w:rPr>
          <w:color w:val="000000" w:themeColor="text1"/>
          <w:sz w:val="16"/>
          <w:szCs w:val="16"/>
        </w:rPr>
        <w:t>17 июля в 1935 году студентки Государственного центрального института физической культуры (город Москва) О.Яковлева, Н.Бабушкина, С.Блохина, А.Николаева, М.Барцева, М.Малиновская установили мировой рекорд в прыжках с парашютом - 7035 м. (без кислородных приборов) (14955).</w:t>
      </w:r>
    </w:p>
    <w:p w14:paraId="5BD5445E" w14:textId="77777777" w:rsidR="00E61348" w:rsidRPr="00E14102" w:rsidRDefault="00E61348" w:rsidP="00E14102">
      <w:pPr>
        <w:jc w:val="both"/>
        <w:rPr>
          <w:color w:val="000000" w:themeColor="text1"/>
          <w:sz w:val="16"/>
          <w:szCs w:val="16"/>
        </w:rPr>
      </w:pPr>
    </w:p>
    <w:p w14:paraId="1FACB1B4" w14:textId="77777777" w:rsidR="00F14DE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F29FAEA" w14:textId="77777777" w:rsidR="00F14DE2" w:rsidRPr="00E14102" w:rsidRDefault="00F14DE2" w:rsidP="00E14102">
      <w:pPr>
        <w:autoSpaceDE w:val="0"/>
        <w:autoSpaceDN w:val="0"/>
        <w:adjustRightInd w:val="0"/>
        <w:jc w:val="both"/>
        <w:rPr>
          <w:iCs/>
          <w:color w:val="000000" w:themeColor="text1"/>
          <w:sz w:val="16"/>
          <w:szCs w:val="16"/>
        </w:rPr>
      </w:pPr>
    </w:p>
    <w:p w14:paraId="488BC982" w14:textId="77777777" w:rsidR="00F14DE2" w:rsidRPr="00E14102" w:rsidRDefault="00F14DE2" w:rsidP="00E14102">
      <w:pPr>
        <w:pStyle w:val="rtejustify"/>
        <w:spacing w:before="0" w:after="0"/>
        <w:rPr>
          <w:color w:val="000000" w:themeColor="text1"/>
          <w:sz w:val="16"/>
          <w:szCs w:val="16"/>
        </w:rPr>
      </w:pPr>
      <w:r w:rsidRPr="00E14102">
        <w:rPr>
          <w:rStyle w:val="a6"/>
          <w:bCs/>
          <w:i w:val="0"/>
          <w:color w:val="000000" w:themeColor="text1"/>
          <w:sz w:val="16"/>
          <w:szCs w:val="16"/>
        </w:rPr>
        <w:t>17 июля</w:t>
      </w:r>
      <w:r w:rsidRPr="00E14102">
        <w:rPr>
          <w:color w:val="000000" w:themeColor="text1"/>
          <w:sz w:val="16"/>
          <w:szCs w:val="16"/>
        </w:rPr>
        <w:t xml:space="preserve">1935 Решение Политбюро № 30. Вопрос НКО (ПБ от 5 июля 1935 г.). — ОП. 78. Об оборудовании для ЗИС (ПБ от 23 апреля 1935 г., пр. № 24, п. 184). — ОП. </w:t>
      </w:r>
      <w:r w:rsidRPr="00E14102">
        <w:rPr>
          <w:rStyle w:val="a6"/>
          <w:i w:val="0"/>
          <w:color w:val="000000" w:themeColor="text1"/>
          <w:sz w:val="16"/>
          <w:szCs w:val="16"/>
        </w:rPr>
        <w:t>Постановили</w:t>
      </w:r>
      <w:r w:rsidRPr="00E14102">
        <w:rPr>
          <w:color w:val="000000" w:themeColor="text1"/>
          <w:sz w:val="16"/>
          <w:szCs w:val="16"/>
        </w:rPr>
        <w:t xml:space="preserve">: разрешить переключить импортный контингент для закупки оборудования для завода ЗИС в сумме 1 650 000 руб. из Германии на Америку. 90. О приемке парохода в Голландии (ПБ от 10 июля 1935 г.). — ОП. 113. О заказах НКО (ПБ от 15 июля 1935 г.). — ОП. </w:t>
      </w:r>
      <w:r w:rsidRPr="00E14102">
        <w:rPr>
          <w:rStyle w:val="a6"/>
          <w:i w:val="0"/>
          <w:color w:val="000000" w:themeColor="text1"/>
          <w:sz w:val="16"/>
          <w:szCs w:val="16"/>
        </w:rPr>
        <w:t>Постановили</w:t>
      </w:r>
      <w:r w:rsidRPr="00E14102">
        <w:rPr>
          <w:color w:val="000000" w:themeColor="text1"/>
          <w:sz w:val="16"/>
          <w:szCs w:val="16"/>
        </w:rPr>
        <w:t xml:space="preserve">: утвердить постановление СТО об отпуске из резервного фонда СНК СССР 13 840 тыс. руб. на оплату дополнительного заказа НКО по боевой технике по прочим наркоматам, кроме НКТП. 138. О заводе № 16. — ОП. </w:t>
      </w:r>
      <w:r w:rsidRPr="00E14102">
        <w:rPr>
          <w:rStyle w:val="a6"/>
          <w:i w:val="0"/>
          <w:color w:val="000000" w:themeColor="text1"/>
          <w:sz w:val="16"/>
          <w:szCs w:val="16"/>
        </w:rPr>
        <w:t>Постановили</w:t>
      </w:r>
      <w:r w:rsidRPr="00E14102">
        <w:rPr>
          <w:color w:val="000000" w:themeColor="text1"/>
          <w:sz w:val="16"/>
          <w:szCs w:val="16"/>
        </w:rPr>
        <w:t>: утвердить следующее постановление СТО: в соответствии с постановлением СТО от 10 мая 1935 г. № С</w:t>
      </w:r>
      <w:r w:rsidRPr="00E14102">
        <w:rPr>
          <w:color w:val="000000" w:themeColor="text1"/>
          <w:sz w:val="16"/>
          <w:szCs w:val="16"/>
        </w:rPr>
        <w:noBreakHyphen/>
        <w:t>50сс установить на 1935 г. дотацию заводу № 16 на каждый выпущенный мотор М</w:t>
      </w:r>
      <w:r w:rsidRPr="00E14102">
        <w:rPr>
          <w:color w:val="000000" w:themeColor="text1"/>
          <w:sz w:val="16"/>
          <w:szCs w:val="16"/>
        </w:rPr>
        <w:noBreakHyphen/>
        <w:t>11 3 тыс. руб., выделив на эту цель из резервного фонда СНК СССР 2115 тыс. руб. Обязать НКФин СССР отпускать установленную дотацию в 3000 руб. только за каждый фактически выпущенный мотор. (Политбюро ЦК РКП(б)-ВКП(Б). Повестки дня заседаний. 1919</w:t>
      </w:r>
      <w:r w:rsidRPr="00E14102">
        <w:rPr>
          <w:color w:val="000000" w:themeColor="text1"/>
          <w:sz w:val="16"/>
          <w:szCs w:val="16"/>
        </w:rPr>
        <w:noBreakHyphen/>
        <w:t>1952: Каталог / Т. 2. С. 669, 671, 672, 673; РГАСПИ. Ф. 17. Оп. 162. Д. 18. Л. 80, 83, 84, 85) (15462).</w:t>
      </w:r>
    </w:p>
    <w:p w14:paraId="35BE6CA6" w14:textId="77777777" w:rsidR="00F14DE2" w:rsidRPr="00E14102" w:rsidRDefault="00F14DE2" w:rsidP="00E14102">
      <w:pPr>
        <w:pStyle w:val="rtejustify"/>
        <w:spacing w:before="0" w:after="0"/>
        <w:rPr>
          <w:color w:val="000000" w:themeColor="text1"/>
          <w:sz w:val="16"/>
          <w:szCs w:val="16"/>
        </w:rPr>
      </w:pPr>
    </w:p>
    <w:p w14:paraId="655AEFC6" w14:textId="77777777" w:rsidR="00F14DE2" w:rsidRPr="00E14102" w:rsidRDefault="00F14DE2" w:rsidP="00E14102">
      <w:pPr>
        <w:pStyle w:val="rtejustify"/>
        <w:spacing w:before="0" w:after="0"/>
        <w:rPr>
          <w:color w:val="000000" w:themeColor="text1"/>
          <w:sz w:val="16"/>
          <w:szCs w:val="16"/>
        </w:rPr>
      </w:pPr>
      <w:r w:rsidRPr="00E14102">
        <w:rPr>
          <w:rStyle w:val="a6"/>
          <w:bCs/>
          <w:i w:val="0"/>
          <w:color w:val="000000" w:themeColor="text1"/>
          <w:sz w:val="16"/>
          <w:szCs w:val="16"/>
        </w:rPr>
        <w:t>17 июля 1935 вышел приказ НКТП № 127сс.</w:t>
      </w:r>
      <w:r w:rsidRPr="00E14102">
        <w:rPr>
          <w:color w:val="000000" w:themeColor="text1"/>
          <w:sz w:val="16"/>
          <w:szCs w:val="16"/>
        </w:rPr>
        <w:t xml:space="preserve"> Об организации в системе НКТП СССР Химического института № 2. (РГАЭ. Ф. 7297. Оп. 38. Д. 171. Л. 200) (15246).</w:t>
      </w:r>
    </w:p>
    <w:p w14:paraId="6CAD661B" w14:textId="77777777" w:rsidR="00F14DE2" w:rsidRPr="00E14102" w:rsidRDefault="00F14DE2" w:rsidP="00E14102">
      <w:pPr>
        <w:pStyle w:val="rtejustify"/>
        <w:spacing w:before="0" w:after="0"/>
        <w:rPr>
          <w:color w:val="000000" w:themeColor="text1"/>
          <w:sz w:val="16"/>
          <w:szCs w:val="16"/>
        </w:rPr>
      </w:pPr>
    </w:p>
    <w:p w14:paraId="5332F83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65695116" w14:textId="77777777" w:rsidR="00D4105E" w:rsidRPr="00E14102" w:rsidRDefault="00D4105E" w:rsidP="00E14102">
      <w:pPr>
        <w:autoSpaceDE w:val="0"/>
        <w:autoSpaceDN w:val="0"/>
        <w:adjustRightInd w:val="0"/>
        <w:jc w:val="both"/>
        <w:rPr>
          <w:iCs/>
          <w:color w:val="000000" w:themeColor="text1"/>
          <w:sz w:val="16"/>
          <w:szCs w:val="16"/>
        </w:rPr>
      </w:pPr>
    </w:p>
    <w:p w14:paraId="1458A3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17/19 июля 1935 года в докладе Командующего КБФ Л. М. Галлера начальнику штаба РККА отмечалось: «...План стро­ ительства позиций на Балтийском театре к концу 1935 г. будет выполнен менее, чем на 50 процентов».</w:t>
      </w:r>
    </w:p>
    <w:p w14:paraId="2786CA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Планом строительства позиций и железнодорожных путей для тяжелой артиллерии БО КБФ на 36—37 гг.», также подписанным командующим КБФ Л. М. Галлером, было намечено построить в 1936 году позиции для 180-мм железнодорожных батарей у д. Колгомпя и д. Липово, проложить железнодорожные пути от д. Косколово до д. Колгонпя и от д. Алютино до д. Липово. В 1937 году — соорудить позиции для 356-мм батареи уд. Колгонпя.</w:t>
      </w:r>
    </w:p>
    <w:p w14:paraId="790854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планом строительства на 1936 год предусматривалось строительство «на месте, указанном в генеральном плане позиций в р-не Колгонпя», типового станционного здания, разъезда с четырьмя станционными путями длиною по 520 м каждый, треугольника для «обгона» паровозов серии «Эм» и артсистем, разгрузочной площадки с высокой платформой длиною 100 метров у восточного пути для разгрузки эшелонов подвижной базы: средств ПВО, тракторов с прицепами и прожекторов...</w:t>
      </w:r>
    </w:p>
    <w:p w14:paraId="4FA75E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РГАВМФ, ф. Р-92, оп. 2, дело 268, л. 1. </w:t>
      </w:r>
    </w:p>
    <w:p w14:paraId="62F37C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РГАВМФ, ф. Р-92, оп. 2, д. 268, л. 3 (11454).</w:t>
      </w:r>
    </w:p>
    <w:p w14:paraId="320D7834" w14:textId="77777777" w:rsidR="00D4105E" w:rsidRPr="00E14102" w:rsidRDefault="00D4105E" w:rsidP="00E14102">
      <w:pPr>
        <w:autoSpaceDE w:val="0"/>
        <w:autoSpaceDN w:val="0"/>
        <w:adjustRightInd w:val="0"/>
        <w:jc w:val="both"/>
        <w:rPr>
          <w:color w:val="000000" w:themeColor="text1"/>
          <w:sz w:val="16"/>
          <w:szCs w:val="16"/>
        </w:rPr>
      </w:pPr>
    </w:p>
    <w:p w14:paraId="49C93B61" w14:textId="77777777" w:rsidR="00E61348"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7F7E5EF" w14:textId="77777777" w:rsidR="00E61348" w:rsidRPr="00E14102" w:rsidRDefault="00E61348" w:rsidP="00E14102">
      <w:pPr>
        <w:autoSpaceDE w:val="0"/>
        <w:autoSpaceDN w:val="0"/>
        <w:adjustRightInd w:val="0"/>
        <w:jc w:val="both"/>
        <w:rPr>
          <w:iCs/>
          <w:color w:val="000000" w:themeColor="text1"/>
          <w:sz w:val="16"/>
          <w:szCs w:val="16"/>
        </w:rPr>
      </w:pPr>
    </w:p>
    <w:p w14:paraId="4D5EBA78" w14:textId="77777777" w:rsidR="00485494" w:rsidRPr="00E14102" w:rsidRDefault="00485494" w:rsidP="00E14102">
      <w:pPr>
        <w:jc w:val="both"/>
        <w:rPr>
          <w:color w:val="0070C0"/>
          <w:sz w:val="16"/>
          <w:szCs w:val="16"/>
        </w:rPr>
      </w:pPr>
      <w:r w:rsidRPr="00E14102">
        <w:rPr>
          <w:color w:val="0070C0"/>
          <w:sz w:val="16"/>
          <w:szCs w:val="16"/>
        </w:rPr>
        <w:t>17 июля 1935 г. (по американскому тихоокеанскому времени было 16 июля) состоялась выкатка самолета Боинг Модель 299 (Model X-299, B-299, “XB-17”, “Multiengine Bomber”, “aerial battle-cruiser", "flying fortress”, зав. № 1963, рег. № ВВС 35-X-13372) 1-й опытный. С того момента фирма повела широкую рекламную кампанию самолета. Освещавший это событие журналист газеты «Сиэтл Таймс» Р. Уильямс назвал самолет «летающей крепостью», что в дальнейшем прижилось, хотя самолет выделялся не бронированием, которого не было вовсе, и не вооружением (в США были самолеты и с более мощным вооружением), а высокими летными данными, на которые некомпетентный репортер как раз и не обратил внимание.</w:t>
      </w:r>
    </w:p>
    <w:p w14:paraId="46246D0D" w14:textId="77777777" w:rsidR="00485494" w:rsidRPr="00E14102" w:rsidRDefault="00485494" w:rsidP="00E14102">
      <w:pPr>
        <w:jc w:val="both"/>
        <w:rPr>
          <w:color w:val="0070C0"/>
          <w:sz w:val="16"/>
          <w:szCs w:val="16"/>
        </w:rPr>
      </w:pPr>
      <w:r w:rsidRPr="00E14102">
        <w:rPr>
          <w:color w:val="0070C0"/>
          <w:sz w:val="16"/>
          <w:szCs w:val="16"/>
        </w:rPr>
        <w:t>На проектирование и постройку самолета, включая работы, заказываемые др. предприятиям и учреждениям, закупку результатов их НИОКР, патентов, материалов и комплектующих, было израсходовано 432034 долл. (по данным ресурса  в пересчете на потребительские цены это 7865304 долл. по курсу на декабрь 2019 г., но по книге [Bowers P. M. Boeing Aircraft since 1916. Annapolis, USA, Naval Institute Press - London, UK, Putnam Aviation Series, - 1989] по курсу для кредитования промышленности эта сумма уже на 1988 г. была бы равна примерно 100 млн. долл.).   Один бомбардировочный прицел «Норден» стоил в ценах предвоенного периода была 6000 долл., а время обучения штурмана пользованию прицелом составляло 18 недель.   Эти затраты практически израсходовали все оборотные средства фирмы. При этом получить кредит не представлялось возможным (23158).</w:t>
      </w:r>
    </w:p>
    <w:p w14:paraId="7E78754B" w14:textId="77777777" w:rsidR="00485494" w:rsidRPr="00E14102" w:rsidRDefault="00485494" w:rsidP="00E14102">
      <w:pPr>
        <w:jc w:val="both"/>
        <w:rPr>
          <w:color w:val="0070C0"/>
          <w:sz w:val="16"/>
          <w:szCs w:val="16"/>
        </w:rPr>
      </w:pPr>
    </w:p>
    <w:p w14:paraId="3345420A" w14:textId="77777777" w:rsidR="00E66EBA" w:rsidRPr="00E14102" w:rsidRDefault="00E66EBA" w:rsidP="00E14102">
      <w:pPr>
        <w:jc w:val="both"/>
        <w:rPr>
          <w:color w:val="0070C0"/>
          <w:sz w:val="16"/>
          <w:szCs w:val="16"/>
        </w:rPr>
      </w:pPr>
      <w:r w:rsidRPr="00E14102">
        <w:rPr>
          <w:color w:val="0070C0"/>
          <w:sz w:val="16"/>
          <w:szCs w:val="16"/>
        </w:rPr>
        <w:t>17 июля 1935 состоялся первый полет Boeing Model 299 (гражданский "экспериментальный" регистрационный номер NX13372 в США ), прототип B-17 Flying Fortress (20800).</w:t>
      </w:r>
    </w:p>
    <w:p w14:paraId="03034384" w14:textId="77777777" w:rsidR="00E66EBA" w:rsidRPr="00E14102" w:rsidRDefault="00E66EBA" w:rsidP="00E14102">
      <w:pPr>
        <w:jc w:val="both"/>
        <w:rPr>
          <w:color w:val="0070C0"/>
          <w:sz w:val="16"/>
          <w:szCs w:val="16"/>
        </w:rPr>
      </w:pPr>
    </w:p>
    <w:p w14:paraId="0C3CD8AB" w14:textId="77777777" w:rsidR="00E61348" w:rsidRPr="00E14102" w:rsidRDefault="00E61348" w:rsidP="00E14102">
      <w:pPr>
        <w:jc w:val="both"/>
        <w:rPr>
          <w:color w:val="000000" w:themeColor="text1"/>
          <w:sz w:val="16"/>
          <w:szCs w:val="16"/>
        </w:rPr>
      </w:pPr>
      <w:r w:rsidRPr="00E14102">
        <w:rPr>
          <w:color w:val="000000" w:themeColor="text1"/>
          <w:sz w:val="16"/>
          <w:szCs w:val="16"/>
        </w:rPr>
        <w:t>17 июля в 1935 году в Бельгии, в Эвре, при заходе на посадку после показательного полета разбился английский истребитель Fairey Fantome. Пилот С.Трауэр (когда-то демонстрировавший "Файрфлай" в Москве) погиб (14955).</w:t>
      </w:r>
    </w:p>
    <w:p w14:paraId="1550DF9B" w14:textId="77777777" w:rsidR="00E61348" w:rsidRPr="00E14102" w:rsidRDefault="00E61348" w:rsidP="00E14102">
      <w:pPr>
        <w:jc w:val="both"/>
        <w:rPr>
          <w:color w:val="000000" w:themeColor="text1"/>
          <w:sz w:val="16"/>
          <w:szCs w:val="16"/>
        </w:rPr>
      </w:pPr>
    </w:p>
    <w:p w14:paraId="5A9EFBB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02BCDD0" w14:textId="77777777" w:rsidR="00D4105E" w:rsidRPr="00E14102" w:rsidRDefault="00D4105E" w:rsidP="00E14102">
      <w:pPr>
        <w:autoSpaceDE w:val="0"/>
        <w:autoSpaceDN w:val="0"/>
        <w:adjustRightInd w:val="0"/>
        <w:jc w:val="both"/>
        <w:rPr>
          <w:iCs/>
          <w:color w:val="000000" w:themeColor="text1"/>
          <w:sz w:val="16"/>
          <w:szCs w:val="16"/>
        </w:rPr>
      </w:pPr>
    </w:p>
    <w:p w14:paraId="4B8363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июля 1935 СБ-2ИС вернули в ЦАГИ для доработки. Там в машину внесли довольно много изменений. Моторы сместили вперед на 100 мм, применили консоли с увеличенной стрело-видностью по передней кромке. Это делало центровку бомбардировщика более передней. Опять увеличили площадь стабилизатора и изменили угол его установки. Увеличили поперечное V консолей. У руля высоты ввели аэродинамическую и весовую компенсацию руля направления и элеронов. Вертикальное оперение приобрело несколько иную, более округлую, форму, впоследствии сохранившуюся в серии (7643).</w:t>
      </w:r>
    </w:p>
    <w:p w14:paraId="0A95B522" w14:textId="77777777" w:rsidR="00D4105E" w:rsidRPr="00E14102" w:rsidRDefault="00D4105E" w:rsidP="00E14102">
      <w:pPr>
        <w:autoSpaceDE w:val="0"/>
        <w:autoSpaceDN w:val="0"/>
        <w:adjustRightInd w:val="0"/>
        <w:jc w:val="both"/>
        <w:rPr>
          <w:color w:val="000000" w:themeColor="text1"/>
          <w:sz w:val="16"/>
          <w:szCs w:val="16"/>
        </w:rPr>
      </w:pPr>
    </w:p>
    <w:p w14:paraId="2C5295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июля 1935 СБ-2ИС вернули в ЦАГИ для очередных доработок. В ходе доработок в машину внесли довольно много изменений. Моторы сместили на 100 мм вперед, применили консоли с увеличенной стреловид-ностью по передней кромке. Это обеспечило более переднюю центровку бомбардировщика. Увеличили площадь стабилизатора и изменили угол его установки. Увеличили поперечное V консолей. Была введена весовая и аэродинамическая компенсация руля направления, руля высоты и элеронов. Вертикальное оперение приобрело более округлую форму. В ходе доработок в машину внесли довольно много изменений. Моторы сместили на 100 мм вперед, применили консоли с увеличенной стреловид-ностью по передней кромке. Это обеспечило более переднюю центровку бомбардировщика. Увеличили площадь стабилизатора и изменили угол его установки. Увеличили поперечное V консолей. Была введена весовая и аэродинамическая компенсация руля направления, руля высоты и элеронов. Вертикальное оперение приобрело более округлую форму (9501).</w:t>
      </w:r>
    </w:p>
    <w:p w14:paraId="7744A36D" w14:textId="77777777" w:rsidR="00D4105E" w:rsidRPr="00E14102" w:rsidRDefault="00D4105E" w:rsidP="00E14102">
      <w:pPr>
        <w:autoSpaceDE w:val="0"/>
        <w:autoSpaceDN w:val="0"/>
        <w:adjustRightInd w:val="0"/>
        <w:jc w:val="both"/>
        <w:rPr>
          <w:color w:val="000000" w:themeColor="text1"/>
          <w:sz w:val="16"/>
          <w:szCs w:val="16"/>
        </w:rPr>
      </w:pPr>
    </w:p>
    <w:p w14:paraId="1F3E72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июля 1935 В.С.Молоков в ходе арктического перелета на Дорнье-Валь СССР Н-2 совершил посадку в Якутске и пробыл там до 20 июля (99,200).</w:t>
      </w:r>
    </w:p>
    <w:p w14:paraId="39B893BE" w14:textId="77777777" w:rsidR="00D4105E" w:rsidRPr="00E14102" w:rsidRDefault="00D4105E" w:rsidP="00E14102">
      <w:pPr>
        <w:autoSpaceDE w:val="0"/>
        <w:autoSpaceDN w:val="0"/>
        <w:adjustRightInd w:val="0"/>
        <w:jc w:val="both"/>
        <w:rPr>
          <w:color w:val="000000" w:themeColor="text1"/>
          <w:sz w:val="16"/>
          <w:szCs w:val="16"/>
        </w:rPr>
      </w:pPr>
    </w:p>
    <w:p w14:paraId="7908B9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июля 1935 л В.И.Чулков и И.И.Нусберг возобновили круговые полеты над Мосевой на АНТ-14 (8863,8)</w:t>
      </w:r>
    </w:p>
    <w:p w14:paraId="5EB5461F" w14:textId="77777777" w:rsidR="00D4105E" w:rsidRPr="00E14102" w:rsidRDefault="00D4105E" w:rsidP="00E14102">
      <w:pPr>
        <w:autoSpaceDE w:val="0"/>
        <w:autoSpaceDN w:val="0"/>
        <w:adjustRightInd w:val="0"/>
        <w:jc w:val="both"/>
        <w:rPr>
          <w:iCs/>
          <w:color w:val="000000" w:themeColor="text1"/>
          <w:sz w:val="16"/>
          <w:szCs w:val="16"/>
        </w:rPr>
      </w:pPr>
    </w:p>
    <w:p w14:paraId="6B4FEB73" w14:textId="77777777" w:rsidR="00A45C9C"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40892F6" w14:textId="77777777" w:rsidR="00A45C9C" w:rsidRPr="00E14102" w:rsidRDefault="00A45C9C" w:rsidP="00E14102">
      <w:pPr>
        <w:autoSpaceDE w:val="0"/>
        <w:autoSpaceDN w:val="0"/>
        <w:adjustRightInd w:val="0"/>
        <w:jc w:val="both"/>
        <w:rPr>
          <w:iCs/>
          <w:color w:val="000000" w:themeColor="text1"/>
          <w:sz w:val="16"/>
          <w:szCs w:val="16"/>
        </w:rPr>
      </w:pPr>
    </w:p>
    <w:p w14:paraId="07FACEB2" w14:textId="77777777" w:rsidR="00A45C9C" w:rsidRPr="00E14102" w:rsidRDefault="00A45C9C" w:rsidP="00E14102">
      <w:pPr>
        <w:jc w:val="both"/>
        <w:rPr>
          <w:color w:val="000000" w:themeColor="text1"/>
          <w:sz w:val="16"/>
          <w:szCs w:val="16"/>
        </w:rPr>
      </w:pPr>
      <w:r w:rsidRPr="00E14102">
        <w:rPr>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3BD848B9" w14:textId="77777777" w:rsidR="00A45C9C" w:rsidRPr="00E14102" w:rsidRDefault="00A45C9C" w:rsidP="00E14102">
      <w:pPr>
        <w:jc w:val="both"/>
        <w:rPr>
          <w:color w:val="000000" w:themeColor="text1"/>
          <w:sz w:val="16"/>
          <w:szCs w:val="16"/>
        </w:rPr>
      </w:pPr>
      <w:r w:rsidRPr="00E14102">
        <w:rPr>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w:t>
      </w:r>
    </w:p>
    <w:p w14:paraId="736AB4AD" w14:textId="77777777" w:rsidR="00A45C9C" w:rsidRPr="00E14102" w:rsidRDefault="00A45C9C" w:rsidP="00E14102">
      <w:pPr>
        <w:jc w:val="both"/>
        <w:rPr>
          <w:color w:val="000000" w:themeColor="text1"/>
          <w:sz w:val="16"/>
          <w:szCs w:val="16"/>
        </w:rPr>
      </w:pPr>
      <w:r w:rsidRPr="00E14102">
        <w:rPr>
          <w:color w:val="000000" w:themeColor="text1"/>
          <w:sz w:val="16"/>
          <w:szCs w:val="16"/>
        </w:rPr>
        <w:t>В план работ на 1935 г. Курчевский включил себе разработку 107-мм горной гаубицы ГПК-107. В 1935 г. планировалось изготовить два опытных образца (12705).</w:t>
      </w:r>
    </w:p>
    <w:p w14:paraId="5FA23806" w14:textId="77777777" w:rsidR="00A45C9C" w:rsidRPr="00E14102" w:rsidRDefault="00A45C9C" w:rsidP="00E14102">
      <w:pPr>
        <w:jc w:val="both"/>
        <w:rPr>
          <w:color w:val="000000" w:themeColor="text1"/>
          <w:sz w:val="16"/>
          <w:szCs w:val="16"/>
        </w:rPr>
      </w:pPr>
    </w:p>
    <w:p w14:paraId="6D4C1CA9" w14:textId="77777777" w:rsidR="00E61348" w:rsidRPr="00E14102" w:rsidRDefault="00E61348" w:rsidP="00E14102">
      <w:pPr>
        <w:jc w:val="both"/>
        <w:rPr>
          <w:color w:val="000000" w:themeColor="text1"/>
          <w:sz w:val="16"/>
          <w:szCs w:val="16"/>
        </w:rPr>
      </w:pPr>
      <w:r w:rsidRPr="00E14102">
        <w:rPr>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1BF48179" w14:textId="77777777" w:rsidR="00E61348" w:rsidRPr="00E14102" w:rsidRDefault="00E61348" w:rsidP="00E14102">
      <w:pPr>
        <w:jc w:val="both"/>
        <w:rPr>
          <w:color w:val="000000" w:themeColor="text1"/>
          <w:sz w:val="16"/>
          <w:szCs w:val="16"/>
        </w:rPr>
      </w:pPr>
      <w:r w:rsidRPr="00E14102">
        <w:rPr>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w:t>
      </w:r>
    </w:p>
    <w:p w14:paraId="0E17BF06" w14:textId="77777777" w:rsidR="00E61348" w:rsidRPr="00E14102" w:rsidRDefault="00E61348" w:rsidP="00E14102">
      <w:pPr>
        <w:jc w:val="both"/>
        <w:rPr>
          <w:color w:val="000000" w:themeColor="text1"/>
          <w:sz w:val="16"/>
          <w:szCs w:val="16"/>
        </w:rPr>
      </w:pPr>
      <w:r w:rsidRPr="00E14102">
        <w:rPr>
          <w:color w:val="000000" w:themeColor="text1"/>
          <w:sz w:val="16"/>
          <w:szCs w:val="16"/>
        </w:rPr>
        <w:t>В план работ на 1935 г. Курчевский включил себе разработку 107-мм горной гаубицы ГПК-107. В 1935 г. планировалось изготовить два опытных образца.</w:t>
      </w:r>
    </w:p>
    <w:p w14:paraId="40080845" w14:textId="77777777" w:rsidR="00E61348" w:rsidRPr="00E14102" w:rsidRDefault="00E61348" w:rsidP="00E14102">
      <w:pPr>
        <w:jc w:val="both"/>
        <w:rPr>
          <w:bCs/>
          <w:color w:val="000000" w:themeColor="text1"/>
          <w:sz w:val="16"/>
          <w:szCs w:val="16"/>
        </w:rPr>
      </w:pPr>
      <w:r w:rsidRPr="00E14102">
        <w:rPr>
          <w:bCs/>
          <w:color w:val="000000" w:themeColor="text1"/>
          <w:sz w:val="16"/>
          <w:szCs w:val="16"/>
        </w:rPr>
        <w:t>Данные двух опытных образцов ГПК</w:t>
      </w:r>
    </w:p>
    <w:p w14:paraId="0F3216A9" w14:textId="77777777" w:rsidR="00E61348" w:rsidRPr="00E14102" w:rsidRDefault="00E61348" w:rsidP="00E14102">
      <w:pPr>
        <w:jc w:val="both"/>
        <w:rPr>
          <w:bCs/>
          <w:color w:val="000000" w:themeColor="text1"/>
          <w:sz w:val="16"/>
          <w:szCs w:val="16"/>
        </w:rPr>
      </w:pPr>
      <w:r w:rsidRPr="00E14102">
        <w:rPr>
          <w:bCs/>
          <w:color w:val="000000" w:themeColor="text1"/>
          <w:sz w:val="16"/>
          <w:szCs w:val="16"/>
          <w:vertAlign w:val="superscript"/>
        </w:rPr>
        <w:t>(Образец …… 1-й — 2-й)</w:t>
      </w:r>
    </w:p>
    <w:p w14:paraId="0F9C11D6" w14:textId="77777777" w:rsidR="00E61348" w:rsidRPr="00E14102" w:rsidRDefault="00E61348" w:rsidP="00E14102">
      <w:pPr>
        <w:jc w:val="both"/>
        <w:rPr>
          <w:color w:val="000000" w:themeColor="text1"/>
          <w:sz w:val="16"/>
          <w:szCs w:val="16"/>
        </w:rPr>
      </w:pPr>
      <w:r w:rsidRPr="00E14102">
        <w:rPr>
          <w:color w:val="000000" w:themeColor="text1"/>
          <w:sz w:val="16"/>
          <w:szCs w:val="16"/>
        </w:rPr>
        <w:t>Калибр, мм …… 76,2 — 76,2</w:t>
      </w:r>
    </w:p>
    <w:p w14:paraId="7164FA4F" w14:textId="77777777" w:rsidR="00E61348" w:rsidRPr="00E14102" w:rsidRDefault="00E61348" w:rsidP="00E14102">
      <w:pPr>
        <w:jc w:val="both"/>
        <w:rPr>
          <w:color w:val="000000" w:themeColor="text1"/>
          <w:sz w:val="16"/>
          <w:szCs w:val="16"/>
        </w:rPr>
      </w:pPr>
      <w:r w:rsidRPr="00E14102">
        <w:rPr>
          <w:color w:val="000000" w:themeColor="text1"/>
          <w:sz w:val="16"/>
          <w:szCs w:val="16"/>
        </w:rPr>
        <w:t>Длина ствола с воронкой, откинутой вверх, мм/клб …… 1625/21,4 — 1625/21,4</w:t>
      </w:r>
    </w:p>
    <w:p w14:paraId="49E3920C" w14:textId="77777777" w:rsidR="00E61348" w:rsidRPr="00E14102" w:rsidRDefault="00E61348" w:rsidP="00E14102">
      <w:pPr>
        <w:jc w:val="both"/>
        <w:rPr>
          <w:color w:val="000000" w:themeColor="text1"/>
          <w:sz w:val="16"/>
          <w:szCs w:val="16"/>
        </w:rPr>
      </w:pPr>
      <w:r w:rsidRPr="00E14102">
        <w:rPr>
          <w:color w:val="000000" w:themeColor="text1"/>
          <w:sz w:val="16"/>
          <w:szCs w:val="16"/>
        </w:rPr>
        <w:t>Диаметр сопла (внутренний), мм …… 60,87 — 63,68</w:t>
      </w:r>
    </w:p>
    <w:p w14:paraId="3A66BF2F" w14:textId="77777777" w:rsidR="00E61348" w:rsidRPr="00E14102" w:rsidRDefault="00E61348" w:rsidP="00E14102">
      <w:pPr>
        <w:jc w:val="both"/>
        <w:rPr>
          <w:color w:val="000000" w:themeColor="text1"/>
          <w:sz w:val="16"/>
          <w:szCs w:val="16"/>
        </w:rPr>
      </w:pPr>
      <w:r w:rsidRPr="00E14102">
        <w:rPr>
          <w:color w:val="000000" w:themeColor="text1"/>
          <w:sz w:val="16"/>
          <w:szCs w:val="16"/>
        </w:rPr>
        <w:t xml:space="preserve">Угол ВГ, град.: </w:t>
      </w:r>
    </w:p>
    <w:p w14:paraId="12C14C56" w14:textId="77777777" w:rsidR="00E61348" w:rsidRPr="00E14102" w:rsidRDefault="00E61348" w:rsidP="00E14102">
      <w:pPr>
        <w:jc w:val="both"/>
        <w:rPr>
          <w:color w:val="000000" w:themeColor="text1"/>
          <w:sz w:val="16"/>
          <w:szCs w:val="16"/>
        </w:rPr>
      </w:pPr>
      <w:r w:rsidRPr="00E14102">
        <w:rPr>
          <w:color w:val="000000" w:themeColor="text1"/>
          <w:sz w:val="16"/>
          <w:szCs w:val="16"/>
        </w:rPr>
        <w:t>в верхнем положении …… 5°15';+12°30' — -32°;+40°15'</w:t>
      </w:r>
    </w:p>
    <w:p w14:paraId="1C9A460D" w14:textId="77777777" w:rsidR="00E61348" w:rsidRPr="00E14102" w:rsidRDefault="00E61348" w:rsidP="00E14102">
      <w:pPr>
        <w:jc w:val="both"/>
        <w:rPr>
          <w:color w:val="000000" w:themeColor="text1"/>
          <w:sz w:val="16"/>
          <w:szCs w:val="16"/>
        </w:rPr>
      </w:pPr>
      <w:r w:rsidRPr="00E14102">
        <w:rPr>
          <w:color w:val="000000" w:themeColor="text1"/>
          <w:sz w:val="16"/>
          <w:szCs w:val="16"/>
        </w:rPr>
        <w:t>в нижнем положении …… -32°;+39° - — -5°30';+13°12'</w:t>
      </w:r>
    </w:p>
    <w:p w14:paraId="657E2D26" w14:textId="77777777" w:rsidR="00E61348" w:rsidRPr="00E14102" w:rsidRDefault="00E61348" w:rsidP="00E14102">
      <w:pPr>
        <w:jc w:val="both"/>
        <w:rPr>
          <w:color w:val="000000" w:themeColor="text1"/>
          <w:sz w:val="16"/>
          <w:szCs w:val="16"/>
        </w:rPr>
      </w:pPr>
      <w:r w:rsidRPr="00E14102">
        <w:rPr>
          <w:color w:val="000000" w:themeColor="text1"/>
          <w:sz w:val="16"/>
          <w:szCs w:val="16"/>
        </w:rPr>
        <w:t>Угол ГН, град. …… ±7°12' — ±7°15'</w:t>
      </w:r>
    </w:p>
    <w:p w14:paraId="3496EF22" w14:textId="77777777" w:rsidR="00E61348" w:rsidRPr="00E14102" w:rsidRDefault="00E61348" w:rsidP="00E14102">
      <w:pPr>
        <w:jc w:val="both"/>
        <w:rPr>
          <w:color w:val="000000" w:themeColor="text1"/>
          <w:sz w:val="16"/>
          <w:szCs w:val="16"/>
        </w:rPr>
      </w:pPr>
      <w:r w:rsidRPr="00E14102">
        <w:rPr>
          <w:color w:val="000000" w:themeColor="text1"/>
          <w:sz w:val="16"/>
          <w:szCs w:val="16"/>
        </w:rPr>
        <w:t>Высота линии огня, мм: в верхнем боевом положении …… 1450 — 1450</w:t>
      </w:r>
    </w:p>
    <w:p w14:paraId="1D60CD83" w14:textId="77777777" w:rsidR="00E61348" w:rsidRPr="00E14102" w:rsidRDefault="00E61348" w:rsidP="00E14102">
      <w:pPr>
        <w:jc w:val="both"/>
        <w:rPr>
          <w:color w:val="000000" w:themeColor="text1"/>
          <w:sz w:val="16"/>
          <w:szCs w:val="16"/>
        </w:rPr>
      </w:pPr>
      <w:r w:rsidRPr="00E14102">
        <w:rPr>
          <w:color w:val="000000" w:themeColor="text1"/>
          <w:sz w:val="16"/>
          <w:szCs w:val="16"/>
        </w:rPr>
        <w:t>в нижнем боевом положении …… 650 — 650</w:t>
      </w:r>
    </w:p>
    <w:p w14:paraId="25B8CC1F" w14:textId="77777777" w:rsidR="00E61348" w:rsidRPr="00E14102" w:rsidRDefault="00E61348" w:rsidP="00E14102">
      <w:pPr>
        <w:jc w:val="both"/>
        <w:rPr>
          <w:color w:val="000000" w:themeColor="text1"/>
          <w:sz w:val="16"/>
          <w:szCs w:val="16"/>
        </w:rPr>
      </w:pPr>
      <w:r w:rsidRPr="00E14102">
        <w:rPr>
          <w:color w:val="000000" w:themeColor="text1"/>
          <w:sz w:val="16"/>
          <w:szCs w:val="16"/>
        </w:rPr>
        <w:t>Длина сложенного станка, мм …… 1400 — 1400</w:t>
      </w:r>
    </w:p>
    <w:p w14:paraId="3D7B7736" w14:textId="77777777" w:rsidR="00E61348" w:rsidRPr="00E14102" w:rsidRDefault="00E61348" w:rsidP="00E14102">
      <w:pPr>
        <w:jc w:val="both"/>
        <w:rPr>
          <w:color w:val="000000" w:themeColor="text1"/>
          <w:sz w:val="16"/>
          <w:szCs w:val="16"/>
        </w:rPr>
      </w:pPr>
      <w:r w:rsidRPr="00E14102">
        <w:rPr>
          <w:color w:val="000000" w:themeColor="text1"/>
          <w:sz w:val="16"/>
          <w:szCs w:val="16"/>
        </w:rPr>
        <w:t>Длина системы на колесном ходу, мм …… 2490 — 2490</w:t>
      </w:r>
    </w:p>
    <w:p w14:paraId="44992410" w14:textId="77777777" w:rsidR="00E61348" w:rsidRPr="00E14102" w:rsidRDefault="00E61348" w:rsidP="00E14102">
      <w:pPr>
        <w:jc w:val="both"/>
        <w:rPr>
          <w:color w:val="000000" w:themeColor="text1"/>
          <w:sz w:val="16"/>
          <w:szCs w:val="16"/>
        </w:rPr>
      </w:pPr>
      <w:r w:rsidRPr="00E14102">
        <w:rPr>
          <w:color w:val="000000" w:themeColor="text1"/>
          <w:sz w:val="16"/>
          <w:szCs w:val="16"/>
        </w:rPr>
        <w:t>Ширина системы, мм …… 1120 — 1120</w:t>
      </w:r>
    </w:p>
    <w:p w14:paraId="420964A9" w14:textId="77777777" w:rsidR="00E61348" w:rsidRPr="00E14102" w:rsidRDefault="00E61348" w:rsidP="00E14102">
      <w:pPr>
        <w:jc w:val="both"/>
        <w:rPr>
          <w:color w:val="000000" w:themeColor="text1"/>
          <w:sz w:val="16"/>
          <w:szCs w:val="16"/>
        </w:rPr>
      </w:pPr>
      <w:r w:rsidRPr="00E14102">
        <w:rPr>
          <w:color w:val="000000" w:themeColor="text1"/>
          <w:sz w:val="16"/>
          <w:szCs w:val="16"/>
        </w:rPr>
        <w:t>Ширина хода, мм …… 1020 — 1020</w:t>
      </w:r>
    </w:p>
    <w:p w14:paraId="7D6781FB" w14:textId="77777777" w:rsidR="00E61348" w:rsidRPr="00E14102" w:rsidRDefault="00E61348" w:rsidP="00E14102">
      <w:pPr>
        <w:jc w:val="both"/>
        <w:rPr>
          <w:color w:val="000000" w:themeColor="text1"/>
          <w:sz w:val="16"/>
          <w:szCs w:val="16"/>
        </w:rPr>
      </w:pPr>
      <w:r w:rsidRPr="00E14102">
        <w:rPr>
          <w:color w:val="000000" w:themeColor="text1"/>
          <w:sz w:val="16"/>
          <w:szCs w:val="16"/>
        </w:rPr>
        <w:t>Клиренс, мм …… 230 — 230</w:t>
      </w:r>
    </w:p>
    <w:p w14:paraId="06F26B2E" w14:textId="77777777" w:rsidR="00E61348" w:rsidRPr="00E14102" w:rsidRDefault="00E61348" w:rsidP="00E14102">
      <w:pPr>
        <w:jc w:val="both"/>
        <w:rPr>
          <w:color w:val="000000" w:themeColor="text1"/>
          <w:sz w:val="16"/>
          <w:szCs w:val="16"/>
        </w:rPr>
      </w:pPr>
      <w:r w:rsidRPr="00E14102">
        <w:rPr>
          <w:color w:val="000000" w:themeColor="text1"/>
          <w:sz w:val="16"/>
          <w:szCs w:val="16"/>
        </w:rPr>
        <w:t>Вес орудия с воронкой, но без прицела, кг …… 104 — 96</w:t>
      </w:r>
    </w:p>
    <w:p w14:paraId="1D0673E4" w14:textId="77777777" w:rsidR="00E61348" w:rsidRPr="00E14102" w:rsidRDefault="00E61348" w:rsidP="00E14102">
      <w:pPr>
        <w:jc w:val="both"/>
        <w:rPr>
          <w:color w:val="000000" w:themeColor="text1"/>
          <w:sz w:val="16"/>
          <w:szCs w:val="16"/>
        </w:rPr>
      </w:pPr>
      <w:r w:rsidRPr="00E14102">
        <w:rPr>
          <w:color w:val="000000" w:themeColor="text1"/>
          <w:sz w:val="16"/>
          <w:szCs w:val="16"/>
        </w:rPr>
        <w:t>Вес орудия с воронкой и прицелом, кг …… 108,16 — —</w:t>
      </w:r>
    </w:p>
    <w:p w14:paraId="1B98C3CD" w14:textId="77777777" w:rsidR="00E61348" w:rsidRPr="00E14102" w:rsidRDefault="00E61348" w:rsidP="00E14102">
      <w:pPr>
        <w:jc w:val="both"/>
        <w:rPr>
          <w:color w:val="000000" w:themeColor="text1"/>
          <w:sz w:val="16"/>
          <w:szCs w:val="16"/>
        </w:rPr>
      </w:pPr>
      <w:r w:rsidRPr="00E14102">
        <w:rPr>
          <w:color w:val="000000" w:themeColor="text1"/>
          <w:sz w:val="16"/>
          <w:szCs w:val="16"/>
        </w:rPr>
        <w:t>Вес системы в боевом положении, кг …… 224 — 237</w:t>
      </w:r>
    </w:p>
    <w:p w14:paraId="4E9C5E5F" w14:textId="77777777" w:rsidR="00E61348" w:rsidRPr="00E14102" w:rsidRDefault="00E61348" w:rsidP="00E14102">
      <w:pPr>
        <w:jc w:val="both"/>
        <w:rPr>
          <w:color w:val="000000" w:themeColor="text1"/>
          <w:sz w:val="16"/>
          <w:szCs w:val="16"/>
        </w:rPr>
      </w:pPr>
      <w:r w:rsidRPr="00E14102">
        <w:rPr>
          <w:color w:val="000000" w:themeColor="text1"/>
          <w:sz w:val="16"/>
          <w:szCs w:val="16"/>
        </w:rPr>
        <w:t>Вес вьюков</w:t>
      </w:r>
    </w:p>
    <w:p w14:paraId="5FDD469D" w14:textId="77777777" w:rsidR="00E61348" w:rsidRPr="00E14102" w:rsidRDefault="00E61348" w:rsidP="00E14102">
      <w:pPr>
        <w:jc w:val="both"/>
        <w:rPr>
          <w:color w:val="000000" w:themeColor="text1"/>
          <w:sz w:val="16"/>
          <w:szCs w:val="16"/>
        </w:rPr>
      </w:pPr>
      <w:r w:rsidRPr="00E14102">
        <w:rPr>
          <w:color w:val="000000" w:themeColor="text1"/>
          <w:sz w:val="16"/>
          <w:szCs w:val="16"/>
        </w:rPr>
        <w:t>Вьюк со стволом, кг …… Без седла 96 — С седлом 122</w:t>
      </w:r>
    </w:p>
    <w:p w14:paraId="46EAE8A6" w14:textId="77777777" w:rsidR="00E61348" w:rsidRPr="00E14102" w:rsidRDefault="00E61348" w:rsidP="00E14102">
      <w:pPr>
        <w:jc w:val="both"/>
        <w:rPr>
          <w:color w:val="000000" w:themeColor="text1"/>
          <w:sz w:val="16"/>
          <w:szCs w:val="16"/>
        </w:rPr>
      </w:pPr>
      <w:r w:rsidRPr="00E14102">
        <w:rPr>
          <w:color w:val="000000" w:themeColor="text1"/>
          <w:sz w:val="16"/>
          <w:szCs w:val="16"/>
        </w:rPr>
        <w:t>Вьюк со станком, соплом и парой колес с полуосями, кг …… 72,5 — 106,5</w:t>
      </w:r>
    </w:p>
    <w:p w14:paraId="3CEC0C8F" w14:textId="77777777" w:rsidR="00E61348" w:rsidRPr="00E14102" w:rsidRDefault="00E61348" w:rsidP="00E14102">
      <w:pPr>
        <w:jc w:val="both"/>
        <w:rPr>
          <w:color w:val="000000" w:themeColor="text1"/>
          <w:sz w:val="16"/>
          <w:szCs w:val="16"/>
        </w:rPr>
      </w:pPr>
      <w:r w:rsidRPr="00E14102">
        <w:rPr>
          <w:color w:val="000000" w:themeColor="text1"/>
          <w:sz w:val="16"/>
          <w:szCs w:val="16"/>
        </w:rPr>
        <w:t>Вьюк со щитом, кг …… 75,5 — 106,0</w:t>
      </w:r>
    </w:p>
    <w:p w14:paraId="46AAA523" w14:textId="77777777" w:rsidR="00E61348" w:rsidRPr="00E14102" w:rsidRDefault="00E61348" w:rsidP="00E14102">
      <w:pPr>
        <w:jc w:val="both"/>
        <w:rPr>
          <w:color w:val="000000" w:themeColor="text1"/>
          <w:sz w:val="16"/>
          <w:szCs w:val="16"/>
        </w:rPr>
      </w:pPr>
      <w:r w:rsidRPr="00E14102">
        <w:rPr>
          <w:color w:val="000000" w:themeColor="text1"/>
          <w:sz w:val="16"/>
          <w:szCs w:val="16"/>
        </w:rPr>
        <w:t xml:space="preserve">Вьюк с 8 патронами, кг …… 92,5 — 103,5 </w:t>
      </w:r>
    </w:p>
    <w:p w14:paraId="1B8E0BBB" w14:textId="77777777" w:rsidR="00E61348" w:rsidRPr="00E14102" w:rsidRDefault="00E61348" w:rsidP="00E14102">
      <w:pPr>
        <w:jc w:val="both"/>
        <w:rPr>
          <w:color w:val="000000" w:themeColor="text1"/>
          <w:sz w:val="16"/>
          <w:szCs w:val="16"/>
        </w:rPr>
      </w:pPr>
      <w:r w:rsidRPr="00E14102">
        <w:rPr>
          <w:color w:val="000000" w:themeColor="text1"/>
          <w:sz w:val="16"/>
          <w:szCs w:val="16"/>
        </w:rPr>
        <w:t>Время перехода из верхнего положения в нижнее, с …… 1,0-1,5 — 1,0-1,5 (15117).</w:t>
      </w:r>
    </w:p>
    <w:p w14:paraId="3364BA82" w14:textId="77777777" w:rsidR="00E61348" w:rsidRPr="00E14102" w:rsidRDefault="00E61348" w:rsidP="00E14102">
      <w:pPr>
        <w:jc w:val="both"/>
        <w:rPr>
          <w:color w:val="000000" w:themeColor="text1"/>
          <w:sz w:val="16"/>
          <w:szCs w:val="16"/>
        </w:rPr>
      </w:pPr>
    </w:p>
    <w:p w14:paraId="38B0C0C7" w14:textId="77777777" w:rsidR="00E66EBA" w:rsidRPr="00E14102" w:rsidRDefault="00E66EBA" w:rsidP="00E14102">
      <w:pPr>
        <w:jc w:val="both"/>
        <w:rPr>
          <w:color w:val="0070C0"/>
          <w:sz w:val="16"/>
          <w:szCs w:val="16"/>
        </w:rPr>
      </w:pPr>
      <w:r w:rsidRPr="00E14102">
        <w:rPr>
          <w:color w:val="0070C0"/>
          <w:sz w:val="16"/>
          <w:szCs w:val="16"/>
        </w:rPr>
        <w:t>18 июля 1935 через партийную газету «Правда» коллективы СТЗ, ХТЗ и НАТИ за хорошо и быстро проведенную работу по конструи</w:t>
      </w:r>
      <w:r w:rsidRPr="00E14102">
        <w:rPr>
          <w:color w:val="0070C0"/>
          <w:sz w:val="16"/>
          <w:szCs w:val="16"/>
        </w:rPr>
        <w:softHyphen/>
        <w:t>рованию новых образцов гусенич</w:t>
      </w:r>
      <w:r w:rsidRPr="00E14102">
        <w:rPr>
          <w:color w:val="0070C0"/>
          <w:sz w:val="16"/>
          <w:szCs w:val="16"/>
        </w:rPr>
        <w:softHyphen/>
        <w:t>ных тракторов получили прави</w:t>
      </w:r>
      <w:r w:rsidRPr="00E14102">
        <w:rPr>
          <w:color w:val="0070C0"/>
          <w:sz w:val="16"/>
          <w:szCs w:val="16"/>
        </w:rPr>
        <w:softHyphen/>
        <w:t>тельственную благодарность от Центрального Комитета ВКП(б) и Совета Народных Комиссаров СССР (22518).</w:t>
      </w:r>
    </w:p>
    <w:p w14:paraId="6FE06A2E" w14:textId="77777777" w:rsidR="00E66EBA" w:rsidRPr="00E14102" w:rsidRDefault="00E66EBA" w:rsidP="00E14102">
      <w:pPr>
        <w:jc w:val="both"/>
        <w:rPr>
          <w:color w:val="0070C0"/>
          <w:sz w:val="16"/>
          <w:szCs w:val="16"/>
        </w:rPr>
      </w:pPr>
    </w:p>
    <w:p w14:paraId="3A53E23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F197141" w14:textId="77777777" w:rsidR="00D4105E" w:rsidRPr="00E14102" w:rsidRDefault="00D4105E" w:rsidP="00E14102">
      <w:pPr>
        <w:autoSpaceDE w:val="0"/>
        <w:autoSpaceDN w:val="0"/>
        <w:adjustRightInd w:val="0"/>
        <w:jc w:val="both"/>
        <w:rPr>
          <w:iCs/>
          <w:color w:val="000000" w:themeColor="text1"/>
          <w:sz w:val="16"/>
          <w:szCs w:val="16"/>
        </w:rPr>
      </w:pPr>
    </w:p>
    <w:p w14:paraId="4E1AA3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июля 1935 король Эфиопии Хайле Силасие призвал население к борьбе с итальянцами до последней капли крови (2100).</w:t>
      </w:r>
    </w:p>
    <w:p w14:paraId="6EF8A9C0" w14:textId="77777777" w:rsidR="00D4105E" w:rsidRPr="00E14102" w:rsidRDefault="00D4105E" w:rsidP="00E14102">
      <w:pPr>
        <w:autoSpaceDE w:val="0"/>
        <w:autoSpaceDN w:val="0"/>
        <w:adjustRightInd w:val="0"/>
        <w:jc w:val="both"/>
        <w:rPr>
          <w:color w:val="000000" w:themeColor="text1"/>
          <w:sz w:val="16"/>
          <w:szCs w:val="16"/>
        </w:rPr>
      </w:pPr>
    </w:p>
    <w:p w14:paraId="54951B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июля 1935 в Саскачеване, Канада трое свидетелей видели приземлившуюся в лесу у Нипавина тарелку, а также видели как в нее по лесенке поднимались люди в серебристых одеждах. На следующий день на земле увидели обгоревшие проплешины (3713).</w:t>
      </w:r>
    </w:p>
    <w:p w14:paraId="77505EF9" w14:textId="77777777" w:rsidR="00D4105E" w:rsidRPr="00E14102" w:rsidRDefault="00D4105E" w:rsidP="00E14102">
      <w:pPr>
        <w:autoSpaceDE w:val="0"/>
        <w:autoSpaceDN w:val="0"/>
        <w:adjustRightInd w:val="0"/>
        <w:jc w:val="both"/>
        <w:rPr>
          <w:color w:val="000000" w:themeColor="text1"/>
          <w:sz w:val="16"/>
          <w:szCs w:val="16"/>
        </w:rPr>
      </w:pPr>
    </w:p>
    <w:p w14:paraId="61585E9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6324CBC" w14:textId="77777777" w:rsidR="00D4105E" w:rsidRPr="00E14102" w:rsidRDefault="00D4105E" w:rsidP="00E14102">
      <w:pPr>
        <w:autoSpaceDE w:val="0"/>
        <w:autoSpaceDN w:val="0"/>
        <w:adjustRightInd w:val="0"/>
        <w:jc w:val="both"/>
        <w:rPr>
          <w:iCs/>
          <w:color w:val="000000" w:themeColor="text1"/>
          <w:sz w:val="16"/>
          <w:szCs w:val="16"/>
        </w:rPr>
      </w:pPr>
    </w:p>
    <w:p w14:paraId="22B675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июля 1935 вышло постановление КО, которое в т.ч. говорило и об устранении дефектов в конструкции самолета СБ (3104,141).</w:t>
      </w:r>
    </w:p>
    <w:p w14:paraId="4CC2D798" w14:textId="77777777" w:rsidR="00D4105E" w:rsidRPr="00E14102" w:rsidRDefault="00D4105E" w:rsidP="00E14102">
      <w:pPr>
        <w:autoSpaceDE w:val="0"/>
        <w:autoSpaceDN w:val="0"/>
        <w:adjustRightInd w:val="0"/>
        <w:jc w:val="both"/>
        <w:rPr>
          <w:color w:val="000000" w:themeColor="text1"/>
          <w:sz w:val="16"/>
          <w:szCs w:val="16"/>
        </w:rPr>
      </w:pPr>
    </w:p>
    <w:p w14:paraId="69D5C0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июля 1935 года выписка из протокола № 8 КО</w:t>
      </w:r>
    </w:p>
    <w:p w14:paraId="484BB53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 результатах испытаний самолетов СБ.</w:t>
      </w:r>
    </w:p>
    <w:p w14:paraId="1B7482F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Поручить Алкснису, Марголину, Туполеву в трехдневный срок представить предложения о мероприятиях по устранению дефектов, выявленных на госиспытаниях самолета СБ.</w:t>
      </w:r>
    </w:p>
    <w:p w14:paraId="5FD1BC4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НКТП особо форсировать выпуск пкрвых 10 самолетов СБ для проведения войсковых эксплуатационных испытаний.</w:t>
      </w:r>
    </w:p>
    <w:p w14:paraId="0C3031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 устранить на имеющихся двух образцах СБ обнаруженные дефекты.</w:t>
      </w:r>
    </w:p>
    <w:p w14:paraId="2FE6042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ЦАГИ (Харламов и Туполев) в 5-ти дневный срок провести совещание летчиков и инженеров по вопросу об устранении неудобств размещения экипажа СБ и улучшения условий его работы.</w:t>
      </w:r>
    </w:p>
    <w:p w14:paraId="263B5F2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 истребителях И-16 с М-22 и М-25 (РЦ).</w:t>
      </w:r>
    </w:p>
    <w:p w14:paraId="4EBD6FF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НКТП произвести укрепление горизонтального хвостового оперения на самолетах И-16 М-22 производства 1934-1935 г.г. путем установки лент расчалок; расход отнести за счет НКОбороны.</w:t>
      </w:r>
    </w:p>
    <w:p w14:paraId="547C738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Поручить Алкснису и Марголину в 5-ти дневный срок внести предложения по максимальному увеличению в 1935 году выпуска самолетов И-16 с мотором М-25 (РЦ) на заводе № 21 за счет соответствующего сокращения производства на этом заводе самолетов И-16 с М-22.</w:t>
      </w:r>
    </w:p>
    <w:p w14:paraId="4568C90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НКТП изготовить в 1935 году в счет заказа И-16 М-22 20 самолетов И-16 с М-22 в учебном варианте (УТИ) завода № 21.</w:t>
      </w:r>
    </w:p>
    <w:p w14:paraId="5FF3DF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 новых скоростных разведчиках.</w:t>
      </w:r>
    </w:p>
    <w:p w14:paraId="29CCCEE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целях быстрейшего отставания в производстве скоростных разведчиков:</w:t>
      </w:r>
    </w:p>
    <w:p w14:paraId="312923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обязать Орджоникидзе и Марголина обеспечить выпуск в сентябре 1935 года скоростного разведчика Р-9 (СР) с мотором М-85 (К-14);</w:t>
      </w:r>
    </w:p>
    <w:p w14:paraId="1253BF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форсировать выпуск скоростного разведчика ХАИ М-75 (К-9).</w:t>
      </w:r>
    </w:p>
    <w:p w14:paraId="31DBA0C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Туполева в декадный срок представить предложения по приспособлению самолета СБ в качестве дальнего разведчика.</w:t>
      </w:r>
    </w:p>
    <w:p w14:paraId="51B4FA6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НКТПром изготовить в 1935 году 10 самолетов ДИ-6 М-25 (РЦ) для всесторонних испытаний пригодности этого самолета в качестве разведчика и одновременно подготовить серийное производство этого самолета на 1936 год.</w:t>
      </w:r>
    </w:p>
    <w:p w14:paraId="26F6BC5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 штурмовиках.</w:t>
      </w:r>
    </w:p>
    <w:p w14:paraId="62A3888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Признать необходимым скорейший переход на производство современных штурмовых самолетов для поражения живых целей (пехоты, конницы и т.д.).</w:t>
      </w:r>
    </w:p>
    <w:p w14:paraId="36B89A3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следующие основные данные штурмовика:</w:t>
      </w:r>
    </w:p>
    <w:p w14:paraId="630162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Горизонтальная скорость – 300-400 км/час</w:t>
      </w:r>
    </w:p>
    <w:p w14:paraId="473F35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Большая маневренность</w:t>
      </w:r>
    </w:p>
    <w:p w14:paraId="5EE386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Радиус действия – 350-400 км</w:t>
      </w:r>
    </w:p>
    <w:p w14:paraId="59B14D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 – 4-5 пулеметов, бомбы с приспособлением замены их химприборами</w:t>
      </w:r>
    </w:p>
    <w:p w14:paraId="0209F2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возможности легкая броня экипажа</w:t>
      </w:r>
    </w:p>
    <w:p w14:paraId="529F471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завод № 39 (Марголина, Кочерыгина и Поликарпова) и завод № 21 (Мирошникова) в декадный срок представить предложения по переоборудованию самолета ДИ6 и двухместного истребителя И-16 (УТИ) под штурмовик.</w:t>
      </w:r>
    </w:p>
    <w:p w14:paraId="4376D58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НКТП в декадный срок внести свои предложения по подготовке серийного производства новых штурмовиков с указанными в п. 2 данными.</w:t>
      </w:r>
    </w:p>
    <w:p w14:paraId="40EBB3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…………………………………….(7516, 98-99).</w:t>
      </w:r>
    </w:p>
    <w:p w14:paraId="2D43CD36" w14:textId="77777777" w:rsidR="00D4105E" w:rsidRPr="00E14102" w:rsidRDefault="00D4105E" w:rsidP="00E14102">
      <w:pPr>
        <w:autoSpaceDE w:val="0"/>
        <w:autoSpaceDN w:val="0"/>
        <w:adjustRightInd w:val="0"/>
        <w:jc w:val="both"/>
        <w:rPr>
          <w:color w:val="000000" w:themeColor="text1"/>
          <w:sz w:val="16"/>
          <w:szCs w:val="16"/>
        </w:rPr>
      </w:pPr>
    </w:p>
    <w:p w14:paraId="1D244A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июля 1935 вышло решение СТО по опытному самолетостроению (2343,221).</w:t>
      </w:r>
    </w:p>
    <w:p w14:paraId="144693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постановления СТО от 19.07.с.г. самолет Р9-М85 должен был быть выпущен на аэродром в сентябре (3120).</w:t>
      </w:r>
    </w:p>
    <w:p w14:paraId="72967A88" w14:textId="77777777" w:rsidR="00D4105E" w:rsidRPr="00E14102" w:rsidRDefault="00D4105E" w:rsidP="00E14102">
      <w:pPr>
        <w:autoSpaceDE w:val="0"/>
        <w:autoSpaceDN w:val="0"/>
        <w:adjustRightInd w:val="0"/>
        <w:jc w:val="both"/>
        <w:rPr>
          <w:color w:val="000000" w:themeColor="text1"/>
          <w:sz w:val="16"/>
          <w:szCs w:val="16"/>
        </w:rPr>
      </w:pPr>
    </w:p>
    <w:p w14:paraId="11E7A11B" w14:textId="77777777" w:rsidR="00964DA2" w:rsidRPr="00E14102" w:rsidRDefault="00964DA2" w:rsidP="00E14102">
      <w:pPr>
        <w:pStyle w:val="rtejustify"/>
        <w:spacing w:before="0" w:after="0"/>
        <w:rPr>
          <w:color w:val="000000" w:themeColor="text1"/>
          <w:sz w:val="16"/>
          <w:szCs w:val="16"/>
        </w:rPr>
      </w:pPr>
      <w:r w:rsidRPr="00E14102">
        <w:rPr>
          <w:rStyle w:val="a6"/>
          <w:bCs/>
          <w:i w:val="0"/>
          <w:color w:val="000000" w:themeColor="text1"/>
          <w:sz w:val="16"/>
          <w:szCs w:val="16"/>
        </w:rPr>
        <w:t>19 июля 1935 вышел приказ НКО №</w:t>
      </w:r>
      <w:r w:rsidRPr="00E14102">
        <w:rPr>
          <w:color w:val="000000" w:themeColor="text1"/>
          <w:sz w:val="16"/>
          <w:szCs w:val="16"/>
        </w:rPr>
        <w:t> 0126. О производстве испытаний для разрешения задачи бомбардирования воздушных целей (15247).</w:t>
      </w:r>
    </w:p>
    <w:p w14:paraId="7E1C3949" w14:textId="77777777" w:rsidR="00964DA2" w:rsidRPr="00E14102" w:rsidRDefault="00964DA2" w:rsidP="00E14102">
      <w:pPr>
        <w:pStyle w:val="rtejustify"/>
        <w:spacing w:before="0" w:after="0"/>
        <w:rPr>
          <w:color w:val="000000" w:themeColor="text1"/>
          <w:sz w:val="16"/>
          <w:szCs w:val="16"/>
        </w:rPr>
      </w:pPr>
    </w:p>
    <w:p w14:paraId="1BCE935E" w14:textId="77777777" w:rsidR="00964DA2" w:rsidRPr="00E14102" w:rsidRDefault="00964DA2" w:rsidP="00E14102">
      <w:pPr>
        <w:pStyle w:val="rtejustify"/>
        <w:spacing w:before="0" w:after="0"/>
        <w:rPr>
          <w:color w:val="000000" w:themeColor="text1"/>
          <w:sz w:val="16"/>
          <w:szCs w:val="16"/>
        </w:rPr>
      </w:pPr>
      <w:r w:rsidRPr="00E14102">
        <w:rPr>
          <w:rStyle w:val="a6"/>
          <w:bCs/>
          <w:i w:val="0"/>
          <w:color w:val="000000" w:themeColor="text1"/>
          <w:sz w:val="16"/>
          <w:szCs w:val="16"/>
        </w:rPr>
        <w:t>19 июля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88сс «О дотации заводу № 16». (ГА РФ. Ф. Р</w:t>
      </w:r>
      <w:r w:rsidRPr="00E14102">
        <w:rPr>
          <w:color w:val="000000" w:themeColor="text1"/>
          <w:sz w:val="16"/>
          <w:szCs w:val="16"/>
        </w:rPr>
        <w:noBreakHyphen/>
        <w:t>8418. Оп. 28. Д. 7. Л. 46) (15460).</w:t>
      </w:r>
    </w:p>
    <w:p w14:paraId="5EF83BB6" w14:textId="77777777" w:rsidR="00964DA2" w:rsidRPr="00E14102" w:rsidRDefault="00964DA2" w:rsidP="00E14102">
      <w:pPr>
        <w:pStyle w:val="rtejustify"/>
        <w:spacing w:before="0" w:after="0"/>
        <w:rPr>
          <w:color w:val="000000" w:themeColor="text1"/>
          <w:sz w:val="16"/>
          <w:szCs w:val="16"/>
        </w:rPr>
      </w:pPr>
    </w:p>
    <w:p w14:paraId="7417A8A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 июля 1935 на чистой спокойной воде в Карском море летчикам, наконец, удалось опробовать Ш-2. Его опускали на воду и поднимали бортовым двухтонным кра</w:t>
      </w:r>
      <w:r w:rsidRPr="00E14102">
        <w:rPr>
          <w:color w:val="000000" w:themeColor="text1"/>
          <w:sz w:val="16"/>
          <w:szCs w:val="16"/>
        </w:rPr>
        <w:softHyphen/>
        <w:t>ном, который оказался недостаточно прочным, деформи</w:t>
      </w:r>
      <w:r w:rsidRPr="00E14102">
        <w:rPr>
          <w:color w:val="000000" w:themeColor="text1"/>
          <w:sz w:val="16"/>
          <w:szCs w:val="16"/>
        </w:rPr>
        <w:softHyphen/>
        <w:t>ровался и его приходилось укреплять (11107).</w:t>
      </w:r>
    </w:p>
    <w:p w14:paraId="4AAE12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Всего за период летней навигации Ш-2 СССР-Н64 со</w:t>
      </w:r>
      <w:r w:rsidRPr="00E14102">
        <w:rPr>
          <w:color w:val="000000" w:themeColor="text1"/>
          <w:sz w:val="16"/>
          <w:szCs w:val="16"/>
        </w:rPr>
        <w:softHyphen/>
        <w:t>вершил восемь полетов, с общим налетом 12 ч 28 мин. Пять вылетов на разведку ледовой обстановки выполнил Козлов, три полета в районе мыса Челюскин и в устье ре</w:t>
      </w:r>
      <w:r w:rsidRPr="00E14102">
        <w:rPr>
          <w:color w:val="000000" w:themeColor="text1"/>
          <w:sz w:val="16"/>
          <w:szCs w:val="16"/>
        </w:rPr>
        <w:softHyphen/>
        <w:t>ки Таймыр совершил летчик Линдель (11107).</w:t>
      </w:r>
    </w:p>
    <w:p w14:paraId="13018C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D83C3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июля 1935 ДВ СССР-Н10 прибыли на Диксон и приступили к разведке ледовой обстановки в интересах Ленско-Карской экспедиции. В разгар работы, 2 августа поступила телеграмма следующего содержания:</w:t>
      </w:r>
    </w:p>
    <w:p w14:paraId="02FB91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"Диксон. Командиру Н26 Алексееву, Н10 Молокову.</w:t>
      </w:r>
    </w:p>
    <w:p w14:paraId="07FD2E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Леваневский вскоре вылетает. Предлагаю впредь до распоряжения прекратить все полеты. Привести самолеты в полную боевую готовность к немедленному вылету по маршруту Диксон - бухта Тихая. В случае вынужденной посадки Леваневского руководство спасательными операциями кораблей и самолетов возлагается на Алексеева.</w:t>
      </w:r>
    </w:p>
    <w:p w14:paraId="16FE5A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Шмидт, Шевелев".</w:t>
      </w:r>
    </w:p>
    <w:p w14:paraId="36E38D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Телеграммы подобного содержания отправили командирам ледоколов "Ермак" и "Красин", в готовности предстояло быть и авиазвену, расположенному на Чукотке. В телеграмме командиром СССР-НЮ ошибочно указали Молокова, но не это было главное. В навигацию 1935 г. командиром отряда назначили В.М.Махоткина, между ним и Алексеевым отношения, мягко говоря, не складывались, оба пилота очень критично оценивали друг друга, особенно по части летного мастерства. А тут телеграмма. И не поймешь, кто командир, а кто подчиненный.</w:t>
      </w:r>
    </w:p>
    <w:p w14:paraId="52A625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результате, уже на следующий день Махоткин на Н10 вылетел в западном направлении. 0 том, что перелет Леваневского отложен, стало известно лишь через несколько дней. Путь был неблизкий, добрались с приключениями - сдал один мотор. В Мурманск прибыли 12 августа, когда о несостоявшемся перелете Леваневского в США уже перестали писать газеты. Из Москвы заказали новый М-17, который прибыл по железной дороге 27 августа. Для его установки использовали плавучий кран грузоподъемностью 40 тонн с неподвижной стрелой. В своем отчете Махоткин писал об этой операции: "Эта махина хорошо бы поднимала паровозы, а мотор ставить было неловко. (...) Пришлось подгонять самолет к висячему мотору".</w:t>
      </w:r>
    </w:p>
    <w:p w14:paraId="4AFEC9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Через три дня после установки этого мотора вылетели на Диксон. Там продолжили выполнение заданий по ледовой разведке.</w:t>
      </w:r>
    </w:p>
    <w:p w14:paraId="2B8584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сентября экипаж выполнил транспортный рейс в Норильск. На обратном пути с пассажиром на борту, на высоте 150-200 метров вдруг началась тряска, сначала весьма незначительная. Махоткин, манипулируя РУДами, определил, что неисправен задний мотор, который, впрочем, вскоре после этого остановился сам. Самолет как раз проходил над озером, и летчик пошел на посадку. Осмотр мотора показал, что сломан вал и пробит картер.</w:t>
      </w:r>
    </w:p>
    <w:p w14:paraId="3C3DC6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 командира самолета начал мучить вопрос - зачем сел? Вспомнилось, что похожий случай был у М.И.Козлова над тайгой, и он на одном моторе дотянул до Енисея. Дотянуть можно было и в этом случае. До Дудинки было примерно 70 км, до Норильска - 40 км.</w:t>
      </w:r>
    </w:p>
    <w:p w14:paraId="28F0C3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Правда, сейчас ситуация была несколько иной: мотор встал, внизу озеро, кругом тундра, высота 100 метров - инстинкт заставил сесть.</w:t>
      </w:r>
    </w:p>
    <w:p w14:paraId="377A39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тем, дело было сделано, а нового мотора в эту навигацию ждать уже не приходилось. Оставаться на зимовку не хотелось, поэтому решили попробовать взлететь на одном двигателе. Из машины выгрузили все инструменты и багаж, слили лишнее горючее и масло.</w:t>
      </w:r>
    </w:p>
    <w:p w14:paraId="66ED87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Сначала Махоткин попытался взлететь один. Самолет начал разбег, но мотор не давал оборотов - падало давление бензина. Летчик, подрулив к берегу, взял на борт бортмеханика Ивашину, который быстро восстановил давление. Снова разбег - лодка вышла на редан, но озеро для взлета оказалось мало, почти круглое, диаметром не более километра. Следующая попытка - то же самое.</w:t>
      </w:r>
    </w:p>
    <w:p w14:paraId="416745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Тогда Махоткин начал разбег в противоположную сторону, вывел машину на редан, после чего развернулся против ветра и, уже имея значительную скорость, стал разбегаться для взлета. Скорость растет, пилот "подрывает" машину, она снова плюхается, подпрыгивает, и, у самого берега уходит в воздух. Впереди холмы, вверх самолет не идет, поэтому Махоткин "блинчиком" развернулся на 180° и взял курс на Дудинку. На озере остались пассажир и механик Афендульев со всем самолетным имуществом и без грамма продовольствия. Впрочем, в этот же день летчик Липп вывез их с места вынужденной посадки.</w:t>
      </w:r>
    </w:p>
    <w:p w14:paraId="31E5FB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сентября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5EF37C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3DED9E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этого экипаж сделал еще два рейса: до Дудинки и в Игарку.</w:t>
      </w:r>
    </w:p>
    <w:p w14:paraId="5FDE15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65D8DA4C" w14:textId="77777777" w:rsidR="00D4105E" w:rsidRPr="00E14102" w:rsidRDefault="00D4105E" w:rsidP="00E14102">
      <w:pPr>
        <w:autoSpaceDE w:val="0"/>
        <w:autoSpaceDN w:val="0"/>
        <w:adjustRightInd w:val="0"/>
        <w:jc w:val="both"/>
        <w:rPr>
          <w:color w:val="000000" w:themeColor="text1"/>
          <w:sz w:val="16"/>
          <w:szCs w:val="16"/>
        </w:rPr>
      </w:pPr>
    </w:p>
    <w:p w14:paraId="4B3B7704" w14:textId="77777777" w:rsidR="00964DA2" w:rsidRPr="00E14102" w:rsidRDefault="00964DA2" w:rsidP="00E14102">
      <w:pPr>
        <w:jc w:val="both"/>
        <w:rPr>
          <w:color w:val="000000" w:themeColor="text1"/>
          <w:sz w:val="16"/>
          <w:szCs w:val="16"/>
        </w:rPr>
      </w:pPr>
      <w:r w:rsidRPr="00E14102">
        <w:rPr>
          <w:color w:val="000000" w:themeColor="text1"/>
          <w:sz w:val="16"/>
          <w:szCs w:val="16"/>
        </w:rPr>
        <w:t>19 июля 1935 г. в рапорте от начальника Дирижаблестроя Хорькова на имя тт. Сталина и Андреева говорилось, что в середине 1935 г. дирижабль В-7бис был построен и вступил в заводские испытания [5, л.15] (15797).</w:t>
      </w:r>
    </w:p>
    <w:p w14:paraId="4351B363" w14:textId="77777777" w:rsidR="00964DA2" w:rsidRPr="00E14102" w:rsidRDefault="00964DA2" w:rsidP="00E14102">
      <w:pPr>
        <w:jc w:val="both"/>
        <w:rPr>
          <w:color w:val="000000" w:themeColor="text1"/>
          <w:sz w:val="16"/>
          <w:szCs w:val="16"/>
        </w:rPr>
      </w:pPr>
    </w:p>
    <w:p w14:paraId="305BBC2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A4CE553" w14:textId="77777777" w:rsidR="00D4105E" w:rsidRPr="00E14102" w:rsidRDefault="00D4105E" w:rsidP="00E14102">
      <w:pPr>
        <w:autoSpaceDE w:val="0"/>
        <w:autoSpaceDN w:val="0"/>
        <w:adjustRightInd w:val="0"/>
        <w:jc w:val="both"/>
        <w:rPr>
          <w:iCs/>
          <w:color w:val="000000" w:themeColor="text1"/>
          <w:sz w:val="16"/>
          <w:szCs w:val="16"/>
        </w:rPr>
      </w:pPr>
    </w:p>
    <w:p w14:paraId="030688D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июля 1935 в Оклахоме (США) установлены первые в мире автоматические парковочные счетчики на платных автостоянках (4962).</w:t>
      </w:r>
    </w:p>
    <w:p w14:paraId="2CBCFC0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91D2A14" w14:textId="77777777" w:rsidR="00E90C6B" w:rsidRPr="00E14102" w:rsidRDefault="00E90C6B" w:rsidP="00E14102">
      <w:pPr>
        <w:jc w:val="both"/>
        <w:rPr>
          <w:color w:val="000000" w:themeColor="text1"/>
          <w:sz w:val="16"/>
          <w:szCs w:val="16"/>
        </w:rPr>
      </w:pPr>
      <w:r w:rsidRPr="00E14102">
        <w:rPr>
          <w:color w:val="000000" w:themeColor="text1"/>
          <w:sz w:val="16"/>
          <w:szCs w:val="16"/>
        </w:rPr>
        <w:t>19 июля в 1935 году на платной автостоянке в деловой части американского города Оклахома-Сити (штат Оклахома) впервые появляются парковочные счетчики, изобретенные Карлом Мейги (14957).</w:t>
      </w:r>
    </w:p>
    <w:p w14:paraId="1EE41F14" w14:textId="77777777" w:rsidR="00E90C6B" w:rsidRPr="00E14102" w:rsidRDefault="00E90C6B" w:rsidP="00E14102">
      <w:pPr>
        <w:jc w:val="both"/>
        <w:rPr>
          <w:color w:val="000000" w:themeColor="text1"/>
          <w:sz w:val="16"/>
          <w:szCs w:val="16"/>
        </w:rPr>
      </w:pPr>
    </w:p>
    <w:p w14:paraId="308905A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3A9B048" w14:textId="77777777" w:rsidR="00D4105E" w:rsidRPr="00E14102" w:rsidRDefault="00D4105E" w:rsidP="00E14102">
      <w:pPr>
        <w:autoSpaceDE w:val="0"/>
        <w:autoSpaceDN w:val="0"/>
        <w:adjustRightInd w:val="0"/>
        <w:jc w:val="both"/>
        <w:rPr>
          <w:iCs/>
          <w:color w:val="000000" w:themeColor="text1"/>
          <w:sz w:val="16"/>
          <w:szCs w:val="16"/>
        </w:rPr>
      </w:pPr>
    </w:p>
    <w:p w14:paraId="6FDC75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июля 1935 в ходе испытания разрушился в воздухе из-за вибрации ГО АНТ-37 (109,238). Для 1936 качества не подходили - на вооружение не приняли (92,489). л К.К.Попов и ви М.М.Егоров спаслись на парашюте, но бортэлектрик Титов погиб (2233,44).</w:t>
      </w:r>
    </w:p>
    <w:p w14:paraId="77A2E34B" w14:textId="77777777" w:rsidR="00D4105E" w:rsidRPr="00E14102" w:rsidRDefault="00D4105E" w:rsidP="00E14102">
      <w:pPr>
        <w:autoSpaceDE w:val="0"/>
        <w:autoSpaceDN w:val="0"/>
        <w:adjustRightInd w:val="0"/>
        <w:jc w:val="both"/>
        <w:rPr>
          <w:color w:val="000000" w:themeColor="text1"/>
          <w:sz w:val="16"/>
          <w:szCs w:val="16"/>
        </w:rPr>
      </w:pPr>
    </w:p>
    <w:p w14:paraId="3EF6BB0B" w14:textId="77777777" w:rsidR="00E90C6B" w:rsidRPr="00E14102" w:rsidRDefault="00E90C6B" w:rsidP="00E14102">
      <w:pPr>
        <w:jc w:val="both"/>
        <w:rPr>
          <w:color w:val="000000" w:themeColor="text1"/>
          <w:sz w:val="16"/>
          <w:szCs w:val="16"/>
        </w:rPr>
      </w:pPr>
      <w:r w:rsidRPr="00E14102">
        <w:rPr>
          <w:color w:val="000000" w:themeColor="text1"/>
          <w:sz w:val="16"/>
          <w:szCs w:val="16"/>
        </w:rPr>
        <w:t>20 июля в 1935 году в воздухе произошло разрушение фюзеляжа «АНТ-37» («ДБ-2»), за крылом. Причиной были вибрации горизонтального оперения, вызванные производственным дефектом в подъемнике стабилизатора. Летчик-испытатель К.К.Попов и ведущий инженер М.М.Егоров спаслись, погиб электротехник. Происшествие было неожиданным и послужило основанием для дальнейших исследовательских работ по флаттеру и бафтингу с целью добиться полного устранения этих вредных явлений во всяком новом самолете, превосходившем по скорости своих предшественников (14958).</w:t>
      </w:r>
    </w:p>
    <w:p w14:paraId="1A726625" w14:textId="77777777" w:rsidR="00E90C6B" w:rsidRPr="00E14102" w:rsidRDefault="00E90C6B" w:rsidP="00E14102">
      <w:pPr>
        <w:jc w:val="both"/>
        <w:rPr>
          <w:color w:val="000000" w:themeColor="text1"/>
          <w:sz w:val="16"/>
          <w:szCs w:val="16"/>
        </w:rPr>
      </w:pPr>
    </w:p>
    <w:p w14:paraId="31C5686B" w14:textId="77777777" w:rsidR="00E90C6B" w:rsidRPr="00E14102" w:rsidRDefault="00E90C6B" w:rsidP="00E14102">
      <w:pPr>
        <w:jc w:val="both"/>
        <w:rPr>
          <w:color w:val="000000" w:themeColor="text1"/>
          <w:sz w:val="16"/>
          <w:szCs w:val="16"/>
        </w:rPr>
      </w:pPr>
      <w:r w:rsidRPr="00E14102">
        <w:rPr>
          <w:color w:val="000000" w:themeColor="text1"/>
          <w:sz w:val="16"/>
          <w:szCs w:val="16"/>
        </w:rPr>
        <w:t>20 ию</w:t>
      </w:r>
      <w:r w:rsidRPr="00E14102">
        <w:rPr>
          <w:color w:val="000000" w:themeColor="text1"/>
          <w:sz w:val="16"/>
          <w:szCs w:val="16"/>
        </w:rPr>
        <w:softHyphen/>
        <w:t>ля 1935 опытный экземпляр ДБ-2 потерпел катастрофу, причиной стали вибрации хвостово</w:t>
      </w:r>
      <w:r w:rsidRPr="00E14102">
        <w:rPr>
          <w:color w:val="000000" w:themeColor="text1"/>
          <w:sz w:val="16"/>
          <w:szCs w:val="16"/>
        </w:rPr>
        <w:softHyphen/>
        <w:t>го оперения, приведшие к его разрушению (15812).</w:t>
      </w:r>
    </w:p>
    <w:p w14:paraId="7D439594" w14:textId="77777777" w:rsidR="00E90C6B" w:rsidRPr="00E14102" w:rsidRDefault="00E90C6B" w:rsidP="00E14102">
      <w:pPr>
        <w:jc w:val="both"/>
        <w:rPr>
          <w:color w:val="000000" w:themeColor="text1"/>
          <w:sz w:val="16"/>
          <w:szCs w:val="16"/>
        </w:rPr>
      </w:pPr>
    </w:p>
    <w:p w14:paraId="24CE3E43" w14:textId="77777777" w:rsidR="00CE5061" w:rsidRPr="00E14102" w:rsidRDefault="00CE5061"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E14102">
        <w:rPr>
          <w:rFonts w:ascii="Times New Roman" w:hAnsi="Times New Roman" w:cs="Times New Roman"/>
          <w:color w:val="000000" w:themeColor="text1"/>
          <w:sz w:val="16"/>
          <w:szCs w:val="16"/>
          <w:lang w:val="ru-RU"/>
        </w:rPr>
        <w:softHyphen/>
        <w:t>ва</w:t>
      </w:r>
      <w:r w:rsidRPr="00E14102">
        <w:rPr>
          <w:rFonts w:ascii="Times New Roman" w:hAnsi="Times New Roman" w:cs="Times New Roman"/>
          <w:color w:val="000000" w:themeColor="text1"/>
          <w:sz w:val="16"/>
          <w:szCs w:val="16"/>
          <w:lang w:val="ru-RU"/>
        </w:rPr>
        <w:softHyphen/>
        <w:t>тель</w:t>
      </w:r>
      <w:r w:rsidRPr="00E14102">
        <w:rPr>
          <w:rFonts w:ascii="Times New Roman" w:hAnsi="Times New Roman" w:cs="Times New Roman"/>
          <w:color w:val="000000" w:themeColor="text1"/>
          <w:sz w:val="16"/>
          <w:szCs w:val="16"/>
          <w:lang w:val="ru-RU"/>
        </w:rPr>
        <w:softHyphen/>
        <w:t>ских работ по флаттеру и бафтингу (19185).</w:t>
      </w:r>
    </w:p>
    <w:p w14:paraId="17374E9C" w14:textId="77777777" w:rsidR="00CE5061" w:rsidRPr="00E14102" w:rsidRDefault="00CE5061" w:rsidP="00E14102">
      <w:pPr>
        <w:pStyle w:val="rtecenter"/>
        <w:shd w:val="clear" w:color="auto" w:fill="FFFFFF"/>
        <w:spacing w:before="0" w:after="0"/>
        <w:jc w:val="both"/>
        <w:textAlignment w:val="baseline"/>
        <w:rPr>
          <w:color w:val="000000" w:themeColor="text1"/>
          <w:sz w:val="16"/>
          <w:szCs w:val="16"/>
        </w:rPr>
      </w:pPr>
    </w:p>
    <w:p w14:paraId="3FCF67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июля 1935 в НИИ ВВС закончились испытания И-5 на штопор, которые проходили с 26 июня 1935 (222,14).</w:t>
      </w:r>
    </w:p>
    <w:p w14:paraId="12D4A93B" w14:textId="77777777" w:rsidR="00D4105E" w:rsidRPr="00E14102" w:rsidRDefault="00D4105E" w:rsidP="00E14102">
      <w:pPr>
        <w:autoSpaceDE w:val="0"/>
        <w:autoSpaceDN w:val="0"/>
        <w:adjustRightInd w:val="0"/>
        <w:jc w:val="both"/>
        <w:rPr>
          <w:color w:val="000000" w:themeColor="text1"/>
          <w:sz w:val="16"/>
          <w:szCs w:val="16"/>
        </w:rPr>
      </w:pPr>
    </w:p>
    <w:p w14:paraId="036CF3E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5D4E877" w14:textId="77777777" w:rsidR="00D4105E" w:rsidRPr="00E14102" w:rsidRDefault="00D4105E" w:rsidP="00E14102">
      <w:pPr>
        <w:autoSpaceDE w:val="0"/>
        <w:autoSpaceDN w:val="0"/>
        <w:adjustRightInd w:val="0"/>
        <w:jc w:val="both"/>
        <w:rPr>
          <w:iCs/>
          <w:color w:val="000000" w:themeColor="text1"/>
          <w:sz w:val="16"/>
          <w:szCs w:val="16"/>
        </w:rPr>
      </w:pPr>
    </w:p>
    <w:p w14:paraId="53E6DC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июля 1935 года зам. начальника вооружений РККА и начальник АУ РККА Ефимов писал письмо № 137116сс секретарю СТО Базилевичу</w:t>
      </w:r>
    </w:p>
    <w:p w14:paraId="5A938D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дополнение к н/№ 137098сс от 30 июня 1935 года сообщаю, что ГВМУ обещает подавать снаряды, необходимые для испытания 76 мм дивизионной пушки Ф-22, начиная с 25 июля, в то время как испытания мы должны были начать с 5 июля и закончить к 20 августа.</w:t>
      </w:r>
    </w:p>
    <w:p w14:paraId="69B781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Частично испытания начаты, ибо некоторая часть выстрелов могла быть нами обеспечена, однако поздняя подача основной массы боевых выстрелов вызовет неминуемое опоздание окончания полигонных и войсковых испытаний (2426,44).</w:t>
      </w:r>
    </w:p>
    <w:p w14:paraId="3FEF05C1" w14:textId="77777777" w:rsidR="00D4105E" w:rsidRPr="00E14102" w:rsidRDefault="00D4105E" w:rsidP="00E14102">
      <w:pPr>
        <w:autoSpaceDE w:val="0"/>
        <w:autoSpaceDN w:val="0"/>
        <w:adjustRightInd w:val="0"/>
        <w:jc w:val="both"/>
        <w:rPr>
          <w:color w:val="000000" w:themeColor="text1"/>
          <w:sz w:val="16"/>
          <w:szCs w:val="16"/>
        </w:rPr>
      </w:pPr>
    </w:p>
    <w:p w14:paraId="4FBC8E2F" w14:textId="77777777" w:rsidR="00CE5061" w:rsidRPr="00E14102" w:rsidRDefault="00CE5061" w:rsidP="00E14102">
      <w:pPr>
        <w:jc w:val="both"/>
        <w:rPr>
          <w:color w:val="000000" w:themeColor="text1"/>
          <w:sz w:val="16"/>
          <w:szCs w:val="16"/>
        </w:rPr>
      </w:pPr>
      <w:r w:rsidRPr="00E14102">
        <w:rPr>
          <w:color w:val="000000" w:themeColor="text1"/>
          <w:sz w:val="16"/>
          <w:szCs w:val="16"/>
        </w:rPr>
        <w:t>20 июля 1935 года Ворошилов докладывал Сталину и заместителю председателя СТО СССР Чубарю, что во исполнение постановления СТО были начаты переговоры с итальянскими фирмами о заказе лидера с элементами не ниже французских лидеров типа "Триумфан".</w:t>
      </w:r>
    </w:p>
    <w:p w14:paraId="0FA78F72" w14:textId="77777777" w:rsidR="00CE5061" w:rsidRPr="00E14102" w:rsidRDefault="00CE5061" w:rsidP="00E14102">
      <w:pPr>
        <w:jc w:val="both"/>
        <w:rPr>
          <w:color w:val="000000" w:themeColor="text1"/>
          <w:sz w:val="16"/>
          <w:szCs w:val="16"/>
        </w:rPr>
      </w:pPr>
      <w:r w:rsidRPr="00E14102">
        <w:rPr>
          <w:color w:val="000000" w:themeColor="text1"/>
          <w:sz w:val="16"/>
          <w:szCs w:val="16"/>
        </w:rPr>
        <w:t>Что же касается французской технической помощи лидерам, то сохранилась справка, написанная на НКО СССР Ворошилова о поставках французских фирм для нас машинно-котельной установки для лидера эсминцев без монтажа на корабль и без чертежей на сумму 47300 000 франков (3,55 млн. руб.), а также чертежей корпуса лидера на сумму 3800000 франков (285 тыс. руб.) (18260).</w:t>
      </w:r>
    </w:p>
    <w:p w14:paraId="2A36D13F" w14:textId="77777777" w:rsidR="00CE5061" w:rsidRPr="00E14102" w:rsidRDefault="00CE5061" w:rsidP="00E14102">
      <w:pPr>
        <w:jc w:val="both"/>
        <w:rPr>
          <w:color w:val="000000" w:themeColor="text1"/>
          <w:sz w:val="16"/>
          <w:szCs w:val="16"/>
        </w:rPr>
      </w:pPr>
    </w:p>
    <w:p w14:paraId="140626A5" w14:textId="77777777" w:rsidR="00E90C6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4B0549BA" w14:textId="77777777" w:rsidR="00E90C6B" w:rsidRPr="00E14102" w:rsidRDefault="00E90C6B" w:rsidP="00E14102">
      <w:pPr>
        <w:autoSpaceDE w:val="0"/>
        <w:autoSpaceDN w:val="0"/>
        <w:adjustRightInd w:val="0"/>
        <w:jc w:val="both"/>
        <w:rPr>
          <w:iCs/>
          <w:color w:val="000000" w:themeColor="text1"/>
          <w:sz w:val="16"/>
          <w:szCs w:val="16"/>
        </w:rPr>
      </w:pPr>
    </w:p>
    <w:p w14:paraId="24EA50D8" w14:textId="77777777" w:rsidR="00E90C6B" w:rsidRPr="00E14102" w:rsidRDefault="00E90C6B" w:rsidP="00E14102">
      <w:pPr>
        <w:jc w:val="both"/>
        <w:rPr>
          <w:color w:val="000000" w:themeColor="text1"/>
          <w:sz w:val="16"/>
          <w:szCs w:val="16"/>
        </w:rPr>
      </w:pPr>
      <w:r w:rsidRPr="00E14102">
        <w:rPr>
          <w:color w:val="000000" w:themeColor="text1"/>
          <w:sz w:val="16"/>
          <w:szCs w:val="16"/>
        </w:rPr>
        <w:t>20 июля 1935 г. в приказе И.Э. Якира № 0118 отмечается «исключительно плохая отработка воздушного ма</w:t>
      </w:r>
      <w:r w:rsidRPr="00E14102">
        <w:rPr>
          <w:color w:val="000000" w:themeColor="text1"/>
          <w:sz w:val="16"/>
          <w:szCs w:val="16"/>
        </w:rPr>
        <w:softHyphen/>
        <w:t>невра. Лётный состав и командиры частей совсем не обращают внимания, а многие не имеют понятия о значении правильного маневра в воздухе во время стрельбы», откры</w:t>
      </w:r>
      <w:r w:rsidRPr="00E14102">
        <w:rPr>
          <w:color w:val="000000" w:themeColor="text1"/>
          <w:sz w:val="16"/>
          <w:szCs w:val="16"/>
        </w:rPr>
        <w:softHyphen/>
        <w:t>вают огонь со слишком больших дистанций, не занимают правильно исходное положе</w:t>
      </w:r>
      <w:r w:rsidRPr="00E14102">
        <w:rPr>
          <w:color w:val="000000" w:themeColor="text1"/>
          <w:sz w:val="16"/>
          <w:szCs w:val="16"/>
        </w:rPr>
        <w:softHyphen/>
        <w:t>ние перед открытием огня, маневрируют безо всякого расчета</w:t>
      </w:r>
      <w:r w:rsidRPr="00E14102">
        <w:rPr>
          <w:color w:val="000000" w:themeColor="text1"/>
          <w:sz w:val="16"/>
          <w:szCs w:val="16"/>
          <w:vertAlign w:val="superscript"/>
        </w:rPr>
        <w:t>32</w:t>
      </w:r>
      <w:r w:rsidRPr="00E14102">
        <w:rPr>
          <w:color w:val="000000" w:themeColor="text1"/>
          <w:sz w:val="16"/>
          <w:szCs w:val="16"/>
        </w:rPr>
        <w:t>... Легкобомбардировоч</w:t>
      </w:r>
      <w:r w:rsidRPr="00E14102">
        <w:rPr>
          <w:color w:val="000000" w:themeColor="text1"/>
          <w:sz w:val="16"/>
          <w:szCs w:val="16"/>
        </w:rPr>
        <w:softHyphen/>
        <w:t>ная авиация КВО — окажись она тогда в бою — потеряла бы немало машин от атак из пе</w:t>
      </w:r>
      <w:r w:rsidRPr="00E14102">
        <w:rPr>
          <w:color w:val="000000" w:themeColor="text1"/>
          <w:sz w:val="16"/>
          <w:szCs w:val="16"/>
        </w:rPr>
        <w:softHyphen/>
        <w:t>редней полусферы: из 35 лётчиков, проверенных в июле 1935 г. комиссией Ф.А. Ингау- ниса в Конотопской абр, 17 получили за стрельбу из синхронного пулемёта Р-5 «неуд», 7 — «тройку» и лишь 11 — «хорошо» и «отлично». Причины были те же: «У большинства летного состава бригады стрелковый маневр в воздухе отработан плохо. Мало того, лёт</w:t>
      </w:r>
      <w:r w:rsidRPr="00E14102">
        <w:rPr>
          <w:color w:val="000000" w:themeColor="text1"/>
          <w:sz w:val="16"/>
          <w:szCs w:val="16"/>
        </w:rPr>
        <w:softHyphen/>
        <w:t>чики и некоторые командиры частей и неотдельных отрядов не знают, как нужно выпол</w:t>
      </w:r>
      <w:r w:rsidRPr="00E14102">
        <w:rPr>
          <w:color w:val="000000" w:themeColor="text1"/>
          <w:sz w:val="16"/>
          <w:szCs w:val="16"/>
        </w:rPr>
        <w:softHyphen/>
        <w:t>нять маневр и какие особенности и требования к нему предъявляются» (15803).</w:t>
      </w:r>
    </w:p>
    <w:p w14:paraId="4C2C3400" w14:textId="77777777" w:rsidR="00E90C6B" w:rsidRPr="00E14102" w:rsidRDefault="00E90C6B" w:rsidP="00E14102">
      <w:pPr>
        <w:jc w:val="both"/>
        <w:rPr>
          <w:color w:val="000000" w:themeColor="text1"/>
          <w:sz w:val="16"/>
          <w:szCs w:val="16"/>
        </w:rPr>
      </w:pPr>
    </w:p>
    <w:p w14:paraId="56D3D36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7628D89" w14:textId="77777777" w:rsidR="00D4105E" w:rsidRPr="00E14102" w:rsidRDefault="00D4105E" w:rsidP="00E14102">
      <w:pPr>
        <w:autoSpaceDE w:val="0"/>
        <w:autoSpaceDN w:val="0"/>
        <w:adjustRightInd w:val="0"/>
        <w:jc w:val="both"/>
        <w:rPr>
          <w:iCs/>
          <w:color w:val="000000" w:themeColor="text1"/>
          <w:sz w:val="16"/>
          <w:szCs w:val="16"/>
        </w:rPr>
      </w:pPr>
    </w:p>
    <w:p w14:paraId="3ADC76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июля 1935 Коган подписал приказ МВС № 221:</w:t>
      </w:r>
    </w:p>
    <w:p w14:paraId="36AF23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“Канал Москва-Волга, проходящий по территории двух областей: Московской и Калининской, является одним из величайших сооружений второй пятилетки (7560).</w:t>
      </w:r>
    </w:p>
    <w:p w14:paraId="77E616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Вопросы архитектурного оформления этого сооружения, особенно в связи с постановлением партии и правительства о генеральном плане реконструкции г. Москвы, приобретают огромное значение (7560).</w:t>
      </w:r>
    </w:p>
    <w:p w14:paraId="50F9DE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Строительство вступило в такую стадию развития работ, когда вопросы архитектуры отодвигаться уже не могут (7560).</w:t>
      </w:r>
    </w:p>
    <w:p w14:paraId="1CCA6E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некоторым бетонным сооружениям архитектурные задания требуются буквально немедленно (7560).</w:t>
      </w:r>
    </w:p>
    <w:p w14:paraId="1D0C62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Пироговская плотина, водосбросы в Восточном районе, Карамышевская плотина и др. сооружения не могут ждать уже ни одного дня. Состояние работ по архитектурному проектированию ни в какой мере не отвечает неотложным задачам в этой области (7560).</w:t>
      </w:r>
    </w:p>
    <w:p w14:paraId="7F30EA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ПРИКАЗЫВАЮ:</w:t>
      </w:r>
    </w:p>
    <w:p w14:paraId="129557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Ввести должность главного архитектора Строительства, на правах помощника главного инженера (7560).</w:t>
      </w:r>
    </w:p>
    <w:p w14:paraId="065D0D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На вышеуказанную должность назначить инженера архитектора тов. Фридлянд Иосифа Соломоновича (7560).</w:t>
      </w:r>
    </w:p>
    <w:p w14:paraId="3ADCC9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Тов. Фридлянд в декадный срок дать мне на утверждение положение об архитектурной мастерской, организационную структуру и штаты в пределах 27 единиц” (7560).</w:t>
      </w:r>
    </w:p>
    <w:p w14:paraId="432F50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этом приказе не отмечено одно немаловажное обстоятельство: главный архитектор МВС являлся мужем “канцелярского работника” Фридлянд-Ягоды Фриды Григорьевны, родной сестры наркома внутренних дел (но ее сперва сошлют в Астрахань, а затем осудят (28 августа 1937-го) на восемь лет (20 июля 1949-го ОСО при МГБ добавит “за антисоветскую агитацию” еще 10 лет ИТЛ) именно как “жену изменника родины Фридлянд Иосифа Соломоновича”, - имя Ягоды станет к тому времени буквально непечатным даже в секретных документах) (7560).</w:t>
      </w:r>
    </w:p>
    <w:p w14:paraId="0922798E" w14:textId="77777777" w:rsidR="00D4105E" w:rsidRPr="00E14102" w:rsidRDefault="00D4105E" w:rsidP="00E14102">
      <w:pPr>
        <w:autoSpaceDE w:val="0"/>
        <w:autoSpaceDN w:val="0"/>
        <w:adjustRightInd w:val="0"/>
        <w:jc w:val="both"/>
        <w:rPr>
          <w:color w:val="000000" w:themeColor="text1"/>
          <w:sz w:val="16"/>
          <w:szCs w:val="16"/>
        </w:rPr>
      </w:pPr>
    </w:p>
    <w:p w14:paraId="0A9DF576" w14:textId="77777777" w:rsidR="00CE5061" w:rsidRPr="00E14102" w:rsidRDefault="00CE5061" w:rsidP="00E14102">
      <w:pPr>
        <w:jc w:val="both"/>
        <w:rPr>
          <w:color w:val="000000" w:themeColor="text1"/>
          <w:sz w:val="16"/>
          <w:szCs w:val="16"/>
        </w:rPr>
      </w:pPr>
      <w:r w:rsidRPr="00E14102">
        <w:rPr>
          <w:color w:val="000000" w:themeColor="text1"/>
          <w:sz w:val="16"/>
          <w:szCs w:val="16"/>
        </w:rPr>
        <w:t>20 июля 1935. С 6 часов утра на станциях метрополитена стали продавать билеты нового образца. Билеты отпечатали на более плотном картоне. Рисунок изменили, в центре-буква "М" и надпись: "НКПС. Московский метрополитен им. Л. М. Кагановича". Билеты розового цвета продавались для проезда в направление от Сокольников, зеленого цвета - на поездку к Сокольникам. На оборотной стороне "часовая сетка". Кассир, продавая билет, отмечал карандашом час, до которого билет действителен (18720).</w:t>
      </w:r>
    </w:p>
    <w:p w14:paraId="68DE5E2C" w14:textId="77777777" w:rsidR="00CE5061" w:rsidRPr="00E14102" w:rsidRDefault="00CE5061" w:rsidP="00E14102">
      <w:pPr>
        <w:jc w:val="both"/>
        <w:rPr>
          <w:color w:val="000000" w:themeColor="text1"/>
          <w:sz w:val="16"/>
          <w:szCs w:val="16"/>
        </w:rPr>
      </w:pPr>
    </w:p>
    <w:p w14:paraId="35CFA191" w14:textId="77777777" w:rsidR="00E90C6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975FA82" w14:textId="77777777" w:rsidR="00E90C6B" w:rsidRPr="00E14102" w:rsidRDefault="00E90C6B" w:rsidP="00E14102">
      <w:pPr>
        <w:autoSpaceDE w:val="0"/>
        <w:autoSpaceDN w:val="0"/>
        <w:adjustRightInd w:val="0"/>
        <w:jc w:val="both"/>
        <w:rPr>
          <w:iCs/>
          <w:color w:val="000000" w:themeColor="text1"/>
          <w:sz w:val="16"/>
          <w:szCs w:val="16"/>
        </w:rPr>
      </w:pPr>
    </w:p>
    <w:p w14:paraId="3E184E54" w14:textId="77777777" w:rsidR="00E90C6B" w:rsidRPr="00E14102" w:rsidRDefault="00E90C6B" w:rsidP="00E14102">
      <w:pPr>
        <w:jc w:val="both"/>
        <w:rPr>
          <w:color w:val="000000" w:themeColor="text1"/>
          <w:sz w:val="16"/>
          <w:szCs w:val="16"/>
        </w:rPr>
      </w:pPr>
      <w:r w:rsidRPr="00E14102">
        <w:rPr>
          <w:color w:val="000000" w:themeColor="text1"/>
          <w:sz w:val="16"/>
          <w:szCs w:val="16"/>
        </w:rPr>
        <w:t xml:space="preserve">20 июля в 1935 году поднялся в воздух первый </w:t>
      </w:r>
      <w:hyperlink r:id="rId149" w:tgtFrame="_blank" w:history="1">
        <w:r w:rsidRPr="00E14102">
          <w:rPr>
            <w:color w:val="000000" w:themeColor="text1"/>
            <w:sz w:val="16"/>
            <w:szCs w:val="16"/>
          </w:rPr>
          <w:t xml:space="preserve">«Fokker» «C.XI-w». </w:t>
        </w:r>
      </w:hyperlink>
      <w:r w:rsidRPr="00E14102">
        <w:rPr>
          <w:color w:val="000000" w:themeColor="text1"/>
          <w:sz w:val="16"/>
          <w:szCs w:val="16"/>
        </w:rPr>
        <w:t>«Fokker» «C.XI-w» - корабельный катапультный разведчик. Одномоторный биплан смешанной конструкции на двух металлических поплавках. Сконструирован в КБ фирмы "Недерландше влиегтуигенфабрик Фоккер" под руководством Ф. Хентцена. Серийное производство велось с 1938 г. на заводе "Фоккер" в Амстердаме. Всего выпущено 15 экземпляров. Состоял на вооружении только в Нидерландах, с 1938 года (14958).</w:t>
      </w:r>
    </w:p>
    <w:p w14:paraId="4581C528" w14:textId="77777777" w:rsidR="00E90C6B" w:rsidRPr="00E14102" w:rsidRDefault="00E90C6B" w:rsidP="00E14102">
      <w:pPr>
        <w:jc w:val="both"/>
        <w:rPr>
          <w:color w:val="000000" w:themeColor="text1"/>
          <w:sz w:val="16"/>
          <w:szCs w:val="16"/>
        </w:rPr>
      </w:pPr>
    </w:p>
    <w:p w14:paraId="1E7564C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8A8DB13" w14:textId="77777777" w:rsidR="00D4105E" w:rsidRPr="00E14102" w:rsidRDefault="00D4105E" w:rsidP="00E14102">
      <w:pPr>
        <w:autoSpaceDE w:val="0"/>
        <w:autoSpaceDN w:val="0"/>
        <w:adjustRightInd w:val="0"/>
        <w:jc w:val="both"/>
        <w:rPr>
          <w:iCs/>
          <w:color w:val="000000" w:themeColor="text1"/>
          <w:sz w:val="16"/>
          <w:szCs w:val="16"/>
        </w:rPr>
      </w:pPr>
    </w:p>
    <w:p w14:paraId="20E930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июля 1935 Врид. нач. ГУАП Марголин писал нач. УВВС РККА Алкснису письмо N ?/3353с на N 44/01196 от 5 июля:</w:t>
      </w:r>
    </w:p>
    <w:p w14:paraId="2CE866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состояние производства самолета ХАИ-5 следующее:</w:t>
      </w:r>
    </w:p>
    <w:p w14:paraId="6AA13C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Изготовлены все агрегаты для стат. испытаний. Испытания проведены по всем агрегатам, коме фюзеляжа.</w:t>
      </w:r>
    </w:p>
    <w:p w14:paraId="46A454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На летный экз. все агрегаты готовы и стыкованы. остается закончить установку мотора с подводками, оборудование кабин, специальное оборудование и вооружение.</w:t>
      </w:r>
    </w:p>
    <w:p w14:paraId="2950B9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заменой мотора М-22 на М-75 некоторые конструктивные изменения и недостаток рабсилы на заводе 135, получившем доп. программу по ИП-1, затрудняют выпуск самолета.</w:t>
      </w:r>
    </w:p>
    <w:p w14:paraId="18D9EE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Решение СТО от 19 июля с.г. Вам известно и будет выполнено." (2343,221).</w:t>
      </w:r>
    </w:p>
    <w:p w14:paraId="7BAE6F80" w14:textId="77777777" w:rsidR="00D4105E" w:rsidRPr="00E14102" w:rsidRDefault="00D4105E" w:rsidP="00E14102">
      <w:pPr>
        <w:autoSpaceDE w:val="0"/>
        <w:autoSpaceDN w:val="0"/>
        <w:adjustRightInd w:val="0"/>
        <w:jc w:val="both"/>
        <w:rPr>
          <w:color w:val="000000" w:themeColor="text1"/>
          <w:sz w:val="16"/>
          <w:szCs w:val="16"/>
        </w:rPr>
      </w:pPr>
    </w:p>
    <w:p w14:paraId="6DF877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 июля 1935 г. времен</w:t>
      </w:r>
      <w:r w:rsidRPr="00E14102">
        <w:rPr>
          <w:color w:val="000000" w:themeColor="text1"/>
          <w:sz w:val="16"/>
          <w:szCs w:val="16"/>
        </w:rPr>
        <w:softHyphen/>
        <w:t>ный начальник ОБАА АУ РККА Рудин так докладывал об этой затее вре</w:t>
      </w:r>
      <w:r w:rsidRPr="00E14102">
        <w:rPr>
          <w:color w:val="000000" w:themeColor="text1"/>
          <w:sz w:val="16"/>
          <w:szCs w:val="16"/>
        </w:rPr>
        <w:softHyphen/>
        <w:t>менному начальнику НТО-1 ОБАА АУ РККА Сорокину: «Рассмотрев проект системы вооружения, ОБАА считает необходимым ракетные сна</w:t>
      </w:r>
      <w:r w:rsidRPr="00E14102">
        <w:rPr>
          <w:color w:val="000000" w:themeColor="text1"/>
          <w:sz w:val="16"/>
          <w:szCs w:val="16"/>
        </w:rPr>
        <w:softHyphen/>
        <w:t>ряды вместо калибра 82 и 132 мм установить калибры 107 и 152 мм. Вес каждого типа снаряда определится его назначением. В части (существу</w:t>
      </w:r>
      <w:r w:rsidRPr="00E14102">
        <w:rPr>
          <w:color w:val="000000" w:themeColor="text1"/>
          <w:sz w:val="16"/>
          <w:szCs w:val="16"/>
        </w:rPr>
        <w:softHyphen/>
        <w:t>ющих) максимальной скорости и меткости возражений нет.</w:t>
      </w:r>
    </w:p>
    <w:p w14:paraId="6FFC7A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Калибр 107 мм предназначается для борьбы с воздушными силами, мотомехсоединениями, а также для стрельбы по подводным лодкам на плаву, торпедным катерам, канонерским лодкам, обстрела железнодо</w:t>
      </w:r>
      <w:r w:rsidRPr="00E14102">
        <w:rPr>
          <w:color w:val="000000" w:themeColor="text1"/>
          <w:sz w:val="16"/>
          <w:szCs w:val="16"/>
        </w:rPr>
        <w:softHyphen/>
        <w:t>рожных эшелонов и транспортов. Типы снарядов: осколочный, осколоч</w:t>
      </w:r>
      <w:r w:rsidRPr="00E14102">
        <w:rPr>
          <w:color w:val="000000" w:themeColor="text1"/>
          <w:sz w:val="16"/>
          <w:szCs w:val="16"/>
        </w:rPr>
        <w:softHyphen/>
        <w:t>но-фугасный (последний зачеркнут. - С.Р.), фугасный, бронебойный против мотомехсоединений и зажигательный.</w:t>
      </w:r>
    </w:p>
    <w:p w14:paraId="43F46AA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Калибр 152 мм предназначается для борьбы с воздушными силами, мотомехсоединениями, живой силой, флотом (эсминцы, подлодки на плаву, торпедные катера, канлодки, транспорты), выведения желдор-полотна, станционных зданий и прочих сооружений. Типы снарядов: осколочный, осколочно-фугасный, фугасный, бронебойный, зажига</w:t>
      </w:r>
      <w:r w:rsidRPr="00E14102">
        <w:rPr>
          <w:color w:val="000000" w:themeColor="text1"/>
          <w:sz w:val="16"/>
          <w:szCs w:val="16"/>
        </w:rPr>
        <w:softHyphen/>
        <w:t>тельный.</w:t>
      </w:r>
    </w:p>
    <w:p w14:paraId="12AD31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Калибр 305 мм предназначается для борьбы с флотом и разрушения железобетонных и железнодорожных сооружений. Типы снарядов: бро</w:t>
      </w:r>
      <w:r w:rsidRPr="00E14102">
        <w:rPr>
          <w:color w:val="000000" w:themeColor="text1"/>
          <w:sz w:val="16"/>
          <w:szCs w:val="16"/>
        </w:rPr>
        <w:softHyphen/>
        <w:t>небойный, бетонобойный, фугасный.</w:t>
      </w:r>
    </w:p>
    <w:p w14:paraId="1943C2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Взрыватели к РС для борьбы с воздушным флотом противника — го</w:t>
      </w:r>
      <w:r w:rsidRPr="00E14102">
        <w:rPr>
          <w:color w:val="000000" w:themeColor="text1"/>
          <w:sz w:val="16"/>
          <w:szCs w:val="16"/>
        </w:rPr>
        <w:softHyphen/>
        <w:t>ловная дистанционная трубка двойного действия. Управление - из каби</w:t>
      </w:r>
      <w:r w:rsidRPr="00E14102">
        <w:rPr>
          <w:color w:val="000000" w:themeColor="text1"/>
          <w:sz w:val="16"/>
          <w:szCs w:val="16"/>
        </w:rPr>
        <w:softHyphen/>
        <w:t>ны стреляющего. К бронебойным и бетонобойным снарядам — донный взрыватель. Для фугасных, осколочных и осколочно-фугасных снаря</w:t>
      </w:r>
      <w:r w:rsidRPr="00E14102">
        <w:rPr>
          <w:color w:val="000000" w:themeColor="text1"/>
          <w:sz w:val="16"/>
          <w:szCs w:val="16"/>
        </w:rPr>
        <w:softHyphen/>
        <w:t>дов — взрыватели головные с установкой на мгновенное действие и на за</w:t>
      </w:r>
      <w:r w:rsidRPr="00E14102">
        <w:rPr>
          <w:color w:val="000000" w:themeColor="text1"/>
          <w:sz w:val="16"/>
          <w:szCs w:val="16"/>
        </w:rPr>
        <w:softHyphen/>
        <w:t>медление без управления из кабины стреляющего».</w:t>
      </w:r>
    </w:p>
    <w:p w14:paraId="577EAD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принципе, уничтожить все наработки до основания, а затем... Это хорошо знакомый алгоритм управления в постсоветский период не толь</w:t>
      </w:r>
      <w:r w:rsidRPr="00E14102">
        <w:rPr>
          <w:color w:val="000000" w:themeColor="text1"/>
          <w:sz w:val="16"/>
          <w:szCs w:val="16"/>
        </w:rPr>
        <w:softHyphen/>
        <w:t>ко реформированием системы вооружений, но и отраслями промыш</w:t>
      </w:r>
      <w:r w:rsidRPr="00E14102">
        <w:rPr>
          <w:color w:val="000000" w:themeColor="text1"/>
          <w:sz w:val="16"/>
          <w:szCs w:val="16"/>
        </w:rPr>
        <w:softHyphen/>
        <w:t>ленности, да и страной в целом. Применительно к реактивным систе</w:t>
      </w:r>
      <w:r w:rsidRPr="00E14102">
        <w:rPr>
          <w:color w:val="000000" w:themeColor="text1"/>
          <w:sz w:val="16"/>
          <w:szCs w:val="16"/>
        </w:rPr>
        <w:softHyphen/>
        <w:t>мам, это неизбежно привело бы к переоснащению порохового производ</w:t>
      </w:r>
      <w:r w:rsidRPr="00E14102">
        <w:rPr>
          <w:color w:val="000000" w:themeColor="text1"/>
          <w:sz w:val="16"/>
          <w:szCs w:val="16"/>
        </w:rPr>
        <w:softHyphen/>
        <w:t>ства, поскольку шашки РЗ потребовались бы совсем иных габаритов. Да</w:t>
      </w:r>
      <w:r w:rsidRPr="00E14102">
        <w:rPr>
          <w:color w:val="000000" w:themeColor="text1"/>
          <w:sz w:val="16"/>
          <w:szCs w:val="16"/>
        </w:rPr>
        <w:softHyphen/>
        <w:t xml:space="preserve">лее заново начались бы многочисленные лабораторные испытания и </w:t>
      </w:r>
      <w:r w:rsidRPr="00E14102">
        <w:rPr>
          <w:color w:val="000000" w:themeColor="text1"/>
          <w:sz w:val="16"/>
          <w:szCs w:val="16"/>
        </w:rPr>
        <w:lastRenderedPageBreak/>
        <w:t>за</w:t>
      </w:r>
      <w:r w:rsidRPr="00E14102">
        <w:rPr>
          <w:color w:val="000000" w:themeColor="text1"/>
          <w:sz w:val="16"/>
          <w:szCs w:val="16"/>
        </w:rPr>
        <w:softHyphen/>
        <w:t>водские отстрелы РС для отработки новых ракетных двигателей. А с уче</w:t>
      </w:r>
      <w:r w:rsidRPr="00E14102">
        <w:rPr>
          <w:color w:val="000000" w:themeColor="text1"/>
          <w:sz w:val="16"/>
          <w:szCs w:val="16"/>
        </w:rPr>
        <w:softHyphen/>
        <w:t>том нелинейных зависимостей точностных характеристик стрельбы от калибров ракетных боеприпасов и габаритов их силовых установок, «безобидная» на первый взгляд затея растянулась бы на долгие годы (11402).</w:t>
      </w:r>
    </w:p>
    <w:p w14:paraId="31CEC75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9CE85E0" w14:textId="77777777" w:rsidR="00E66EBA" w:rsidRPr="00E14102" w:rsidRDefault="00E66EBA" w:rsidP="00E14102">
      <w:pPr>
        <w:jc w:val="both"/>
        <w:rPr>
          <w:color w:val="0070C0"/>
          <w:sz w:val="16"/>
          <w:szCs w:val="16"/>
          <w:lang w:bidi="ru-RU"/>
        </w:rPr>
      </w:pPr>
      <w:r w:rsidRPr="00E14102">
        <w:rPr>
          <w:color w:val="0070C0"/>
          <w:sz w:val="16"/>
          <w:szCs w:val="16"/>
          <w:lang w:bidi="ru-RU"/>
        </w:rPr>
        <w:t>21 июля 1935 г. известный поляр</w:t>
      </w:r>
      <w:r w:rsidRPr="00E14102">
        <w:rPr>
          <w:color w:val="0070C0"/>
          <w:sz w:val="16"/>
          <w:szCs w:val="16"/>
          <w:lang w:bidi="ru-RU"/>
        </w:rPr>
        <w:softHyphen/>
        <w:t>ный летчик М.В. Водопьянов в письме на</w:t>
      </w:r>
      <w:r w:rsidRPr="00E14102">
        <w:rPr>
          <w:color w:val="0070C0"/>
          <w:sz w:val="16"/>
          <w:szCs w:val="16"/>
          <w:lang w:bidi="ru-RU"/>
        </w:rPr>
        <w:softHyphen/>
        <w:t>чальнику ГУСМП академику О.Ю. Шмид</w:t>
      </w:r>
      <w:r w:rsidRPr="00E14102">
        <w:rPr>
          <w:color w:val="0070C0"/>
          <w:sz w:val="16"/>
          <w:szCs w:val="16"/>
          <w:lang w:bidi="ru-RU"/>
        </w:rPr>
        <w:softHyphen/>
        <w:t>ту предложил первый проект перелета на Север</w:t>
      </w:r>
      <w:r w:rsidRPr="00E14102">
        <w:rPr>
          <w:color w:val="0070C0"/>
          <w:sz w:val="16"/>
          <w:szCs w:val="16"/>
          <w:lang w:bidi="ru-RU"/>
        </w:rPr>
        <w:softHyphen/>
        <w:t>ный полюс. Он собирался исполь</w:t>
      </w:r>
      <w:r w:rsidRPr="00E14102">
        <w:rPr>
          <w:color w:val="0070C0"/>
          <w:sz w:val="16"/>
          <w:szCs w:val="16"/>
          <w:lang w:bidi="ru-RU"/>
        </w:rPr>
        <w:softHyphen/>
        <w:t>зовать три одномоторных биплана Р-5 и один АНТ-7; до полюса должны были до</w:t>
      </w:r>
      <w:r w:rsidRPr="00E14102">
        <w:rPr>
          <w:color w:val="0070C0"/>
          <w:sz w:val="16"/>
          <w:szCs w:val="16"/>
          <w:lang w:bidi="ru-RU"/>
        </w:rPr>
        <w:softHyphen/>
        <w:t>браться два самолета. Группа ученых из шести-семи человек разбивала там на льду временный лагерь, в котором жила бы пять-шесть дней.</w:t>
      </w:r>
    </w:p>
    <w:p w14:paraId="62F2C2A8" w14:textId="77777777" w:rsidR="00E66EBA" w:rsidRPr="00E14102" w:rsidRDefault="00E66EBA" w:rsidP="00E14102">
      <w:pPr>
        <w:jc w:val="both"/>
        <w:rPr>
          <w:color w:val="0070C0"/>
          <w:sz w:val="16"/>
          <w:szCs w:val="16"/>
        </w:rPr>
      </w:pPr>
      <w:r w:rsidRPr="00E14102">
        <w:rPr>
          <w:color w:val="0070C0"/>
          <w:sz w:val="16"/>
          <w:szCs w:val="16"/>
          <w:lang w:bidi="ru-RU"/>
        </w:rPr>
        <w:t>АНТ-7 - это двухмоторный «крейсер» Р-6 без вооружения. Но Водопьянов пи</w:t>
      </w:r>
      <w:r w:rsidRPr="00E14102">
        <w:rPr>
          <w:color w:val="0070C0"/>
          <w:sz w:val="16"/>
          <w:szCs w:val="16"/>
          <w:lang w:bidi="ru-RU"/>
        </w:rPr>
        <w:softHyphen/>
        <w:t>шет о нем, как о четырехмоторной ма</w:t>
      </w:r>
      <w:r w:rsidRPr="00E14102">
        <w:rPr>
          <w:color w:val="0070C0"/>
          <w:sz w:val="16"/>
          <w:szCs w:val="16"/>
          <w:lang w:bidi="ru-RU"/>
        </w:rPr>
        <w:softHyphen/>
        <w:t>шине и планирует ему полезную нагруз</w:t>
      </w:r>
      <w:r w:rsidRPr="00E14102">
        <w:rPr>
          <w:color w:val="0070C0"/>
          <w:sz w:val="16"/>
          <w:szCs w:val="16"/>
          <w:lang w:bidi="ru-RU"/>
        </w:rPr>
        <w:softHyphen/>
        <w:t>ку в 4000 кг. Видимо, он просто написал АНТ-7 вместо АНТ-6. Так что использова</w:t>
      </w:r>
      <w:r w:rsidRPr="00E14102">
        <w:rPr>
          <w:color w:val="0070C0"/>
          <w:sz w:val="16"/>
          <w:szCs w:val="16"/>
          <w:lang w:bidi="ru-RU"/>
        </w:rPr>
        <w:softHyphen/>
        <w:t>ние ТБ-3 в экспедиции задумывалось из</w:t>
      </w:r>
      <w:r w:rsidRPr="00E14102">
        <w:rPr>
          <w:color w:val="0070C0"/>
          <w:sz w:val="16"/>
          <w:szCs w:val="16"/>
          <w:lang w:bidi="ru-RU"/>
        </w:rPr>
        <w:softHyphen/>
        <w:t>начально (21697).</w:t>
      </w:r>
    </w:p>
    <w:p w14:paraId="16229088" w14:textId="77777777" w:rsidR="00E66EBA" w:rsidRPr="00E14102" w:rsidRDefault="00E66EBA" w:rsidP="00E14102">
      <w:pPr>
        <w:jc w:val="both"/>
        <w:rPr>
          <w:color w:val="0070C0"/>
          <w:sz w:val="16"/>
          <w:szCs w:val="16"/>
        </w:rPr>
      </w:pPr>
    </w:p>
    <w:p w14:paraId="64C34C85" w14:textId="77777777" w:rsidR="00E90C6B" w:rsidRPr="00E14102" w:rsidRDefault="00E90C6B" w:rsidP="00E14102">
      <w:pPr>
        <w:jc w:val="both"/>
        <w:rPr>
          <w:color w:val="000000" w:themeColor="text1"/>
          <w:sz w:val="16"/>
          <w:szCs w:val="16"/>
        </w:rPr>
      </w:pPr>
      <w:r w:rsidRPr="00E14102">
        <w:rPr>
          <w:color w:val="000000" w:themeColor="text1"/>
          <w:sz w:val="16"/>
          <w:szCs w:val="16"/>
        </w:rPr>
        <w:t>К 21 июля 1935 г. был закончен монтаж причальной мачты для дирижаблей в Свердловске [Первая причальная мачта для дирижаблей // Технический бюллетень Дирижаблестроя. - 1936. - № 2, с. 7-22] (15234).</w:t>
      </w:r>
    </w:p>
    <w:p w14:paraId="335B6F52" w14:textId="77777777" w:rsidR="00E90C6B" w:rsidRPr="00E14102" w:rsidRDefault="00E90C6B" w:rsidP="00E14102">
      <w:pPr>
        <w:jc w:val="both"/>
        <w:rPr>
          <w:color w:val="000000" w:themeColor="text1"/>
          <w:sz w:val="16"/>
          <w:szCs w:val="16"/>
        </w:rPr>
      </w:pPr>
    </w:p>
    <w:p w14:paraId="55CA70E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25B59FD" w14:textId="77777777" w:rsidR="00D4105E" w:rsidRPr="00E14102" w:rsidRDefault="00D4105E" w:rsidP="00E14102">
      <w:pPr>
        <w:autoSpaceDE w:val="0"/>
        <w:autoSpaceDN w:val="0"/>
        <w:adjustRightInd w:val="0"/>
        <w:jc w:val="both"/>
        <w:rPr>
          <w:iCs/>
          <w:color w:val="000000" w:themeColor="text1"/>
          <w:sz w:val="16"/>
          <w:szCs w:val="16"/>
        </w:rPr>
      </w:pPr>
    </w:p>
    <w:p w14:paraId="15981E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июля 1935 г. первая 152-мм пушка Б-30 прибыла на НИАП. Пушка Б-30 была создана на заводе "Большевик" наложением несколько измененного ствола пушки Б-10 на лафет Б-4. Иногда система называлась Б-10-2-30. Ствол 152-мм пушки Б-30 состоял из свободной трубы, кожуха и казенника. Крутизна нарезов постоянная. Затвор взят от Б-10. Баллистические данные полностью совпадают с Б-10. Лафет Б-30 взят от Б-4 без всяких изменений (3861).</w:t>
      </w:r>
    </w:p>
    <w:p w14:paraId="07DA8557" w14:textId="77777777" w:rsidR="00D4105E" w:rsidRPr="00E14102" w:rsidRDefault="00D4105E" w:rsidP="00E14102">
      <w:pPr>
        <w:autoSpaceDE w:val="0"/>
        <w:autoSpaceDN w:val="0"/>
        <w:adjustRightInd w:val="0"/>
        <w:jc w:val="both"/>
        <w:rPr>
          <w:color w:val="000000" w:themeColor="text1"/>
          <w:sz w:val="16"/>
          <w:szCs w:val="16"/>
        </w:rPr>
      </w:pPr>
    </w:p>
    <w:p w14:paraId="6539FF1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CFC272A" w14:textId="77777777" w:rsidR="00D4105E" w:rsidRPr="00E14102" w:rsidRDefault="00D4105E" w:rsidP="00E14102">
      <w:pPr>
        <w:autoSpaceDE w:val="0"/>
        <w:autoSpaceDN w:val="0"/>
        <w:adjustRightInd w:val="0"/>
        <w:jc w:val="both"/>
        <w:rPr>
          <w:iCs/>
          <w:color w:val="000000" w:themeColor="text1"/>
          <w:sz w:val="16"/>
          <w:szCs w:val="16"/>
        </w:rPr>
      </w:pPr>
    </w:p>
    <w:p w14:paraId="707762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22 июля 1935 г. руководство бригады № 2 (Поликар</w:t>
      </w:r>
      <w:r w:rsidRPr="00E14102">
        <w:rPr>
          <w:color w:val="000000" w:themeColor="text1"/>
          <w:sz w:val="16"/>
          <w:szCs w:val="16"/>
        </w:rPr>
        <w:softHyphen/>
        <w:t>пов, Таиров, Бисноват) направило письмо директору за</w:t>
      </w:r>
      <w:r w:rsidRPr="00E14102">
        <w:rPr>
          <w:color w:val="000000" w:themeColor="text1"/>
          <w:sz w:val="16"/>
          <w:szCs w:val="16"/>
        </w:rPr>
        <w:softHyphen/>
        <w:t>вода № 39 Марголину. В нем констатировалось, что:</w:t>
      </w:r>
    </w:p>
    <w:p w14:paraId="2F0041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Благодаря полной бездеятельности серийных за</w:t>
      </w:r>
      <w:r w:rsidRPr="00E14102">
        <w:rPr>
          <w:color w:val="000000" w:themeColor="text1"/>
          <w:sz w:val="16"/>
          <w:szCs w:val="16"/>
        </w:rPr>
        <w:softHyphen/>
        <w:t>водов по доводке переданных им в постройку самолетов И-15, И-16, бригаде № 2.. пришлось уделять большое ко</w:t>
      </w:r>
      <w:r w:rsidRPr="00E14102">
        <w:rPr>
          <w:color w:val="000000" w:themeColor="text1"/>
          <w:sz w:val="16"/>
          <w:szCs w:val="16"/>
        </w:rPr>
        <w:softHyphen/>
        <w:t>личество времени на те работы по доводкам, которые являются прямой обязанностью серийных заводов...</w:t>
      </w:r>
    </w:p>
    <w:p w14:paraId="37DEDE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Благодаря:</w:t>
      </w:r>
    </w:p>
    <w:p w14:paraId="7C1D6EE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систематической загрузке этими и другими подоб</w:t>
      </w:r>
      <w:r w:rsidRPr="00E14102">
        <w:rPr>
          <w:color w:val="000000" w:themeColor="text1"/>
          <w:sz w:val="16"/>
          <w:szCs w:val="16"/>
        </w:rPr>
        <w:softHyphen/>
        <w:t>ными внеплановыми заданиями,</w:t>
      </w:r>
    </w:p>
    <w:p w14:paraId="103513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громадного объема работ (на опытном заводе) по серийному производству, который (объем) не только не уменьшился, но закрепляет передачей в отведенную бригаде производственную базу (блок “Б”) новой серии ДИ-6,</w:t>
      </w:r>
    </w:p>
    <w:p w14:paraId="5F39DF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крайней неоперативности и полной безответст</w:t>
      </w:r>
      <w:r w:rsidRPr="00E14102">
        <w:rPr>
          <w:color w:val="000000" w:themeColor="text1"/>
          <w:sz w:val="16"/>
          <w:szCs w:val="16"/>
        </w:rPr>
        <w:softHyphen/>
        <w:t>венности производства за какие-либо сроки и отсутст</w:t>
      </w:r>
      <w:r w:rsidRPr="00E14102">
        <w:rPr>
          <w:color w:val="000000" w:themeColor="text1"/>
          <w:sz w:val="16"/>
          <w:szCs w:val="16"/>
        </w:rPr>
        <w:softHyphen/>
        <w:t>вия юридической и фактической реальной возможности у руководства бригады как-либо исправить положение на производстве и воздействовать на него в нужном на</w:t>
      </w:r>
      <w:r w:rsidRPr="00E14102">
        <w:rPr>
          <w:color w:val="000000" w:themeColor="text1"/>
          <w:sz w:val="16"/>
          <w:szCs w:val="16"/>
        </w:rPr>
        <w:softHyphen/>
        <w:t>правлении, бригада принуждена систематически на дли</w:t>
      </w:r>
      <w:r w:rsidRPr="00E14102">
        <w:rPr>
          <w:color w:val="000000" w:themeColor="text1"/>
          <w:sz w:val="16"/>
          <w:szCs w:val="16"/>
        </w:rPr>
        <w:softHyphen/>
        <w:t>тельный срок опаздывать с выпуском опытных машин и не имеет фактически никакой возможности провести инициативные работы по коренному улучшению ранее выпущенных самолетов и экспериментальные работы, связанные с проектированием новых машин правитель</w:t>
      </w:r>
      <w:r w:rsidRPr="00E14102">
        <w:rPr>
          <w:color w:val="000000" w:themeColor="text1"/>
          <w:sz w:val="16"/>
          <w:szCs w:val="16"/>
        </w:rPr>
        <w:softHyphen/>
        <w:t>ственного плана.</w:t>
      </w:r>
    </w:p>
    <w:p w14:paraId="4A32CA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Благодаря фактически полному отсутствию рабо</w:t>
      </w:r>
      <w:r w:rsidRPr="00E14102">
        <w:rPr>
          <w:color w:val="000000" w:themeColor="text1"/>
          <w:sz w:val="16"/>
          <w:szCs w:val="16"/>
        </w:rPr>
        <w:softHyphen/>
        <w:t>тоспособной (по кадрам) и оснащенной необходимой аппаратурой летной станции, бригада лишена возмож</w:t>
      </w:r>
      <w:r w:rsidRPr="00E14102">
        <w:rPr>
          <w:color w:val="000000" w:themeColor="text1"/>
          <w:sz w:val="16"/>
          <w:szCs w:val="16"/>
        </w:rPr>
        <w:softHyphen/>
        <w:t>ности проводить необходимые ей исследования и испы</w:t>
      </w:r>
      <w:r w:rsidRPr="00E14102">
        <w:rPr>
          <w:color w:val="000000" w:themeColor="text1"/>
          <w:sz w:val="16"/>
          <w:szCs w:val="16"/>
        </w:rPr>
        <w:softHyphen/>
        <w:t>тывать машины в том объеме, какой настоятельно определяется крайней сложностью новых требований к опытным машинам и работами по доводке их в процес</w:t>
      </w:r>
      <w:r w:rsidRPr="00E14102">
        <w:rPr>
          <w:color w:val="000000" w:themeColor="text1"/>
          <w:sz w:val="16"/>
          <w:szCs w:val="16"/>
        </w:rPr>
        <w:softHyphen/>
        <w:t>се заводских испытаний.</w:t>
      </w:r>
    </w:p>
    <w:p w14:paraId="19845A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Эти три фактора создают крайне тяжелую обстанов</w:t>
      </w:r>
      <w:r w:rsidRPr="00E14102">
        <w:rPr>
          <w:color w:val="000000" w:themeColor="text1"/>
          <w:sz w:val="16"/>
          <w:szCs w:val="16"/>
        </w:rPr>
        <w:softHyphen/>
        <w:t>ку для работы бригады, которая не может в ближайшее время самым пагубным образом не отразиться на ре</w:t>
      </w:r>
      <w:r w:rsidRPr="00E14102">
        <w:rPr>
          <w:color w:val="000000" w:themeColor="text1"/>
          <w:sz w:val="16"/>
          <w:szCs w:val="16"/>
        </w:rPr>
        <w:softHyphen/>
        <w:t>зультатах работы...”.</w:t>
      </w:r>
    </w:p>
    <w:p w14:paraId="059C348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Далее в письме указывается:</w:t>
      </w:r>
    </w:p>
    <w:p w14:paraId="5496FE0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“Все это заставляет нас просить Вас:</w:t>
      </w:r>
    </w:p>
    <w:p w14:paraId="3F9BF8C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Решительно прекратить существующую систему наших взаимоотношений с серийными заводами, раз</w:t>
      </w:r>
      <w:r w:rsidRPr="00E14102">
        <w:rPr>
          <w:color w:val="000000" w:themeColor="text1"/>
          <w:sz w:val="16"/>
          <w:szCs w:val="16"/>
        </w:rPr>
        <w:softHyphen/>
        <w:t>грузив нас от работы, которую они должны делать.</w:t>
      </w:r>
    </w:p>
    <w:p w14:paraId="5DA2F6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Предоставить бригаде действительно реальную производственную базу, которая на деле могла бы обес</w:t>
      </w:r>
      <w:r w:rsidRPr="00E14102">
        <w:rPr>
          <w:color w:val="000000" w:themeColor="text1"/>
          <w:sz w:val="16"/>
          <w:szCs w:val="16"/>
        </w:rPr>
        <w:softHyphen/>
        <w:t>печить необходимый объем опытных работ (по новым плановым машинам и по инициативным работам ис</w:t>
      </w:r>
      <w:r w:rsidRPr="00E14102">
        <w:rPr>
          <w:color w:val="000000" w:themeColor="text1"/>
          <w:sz w:val="16"/>
          <w:szCs w:val="16"/>
        </w:rPr>
        <w:softHyphen/>
        <w:t>следовательского порядка или по крупным модифика</w:t>
      </w:r>
      <w:r w:rsidRPr="00E14102">
        <w:rPr>
          <w:color w:val="000000" w:themeColor="text1"/>
          <w:sz w:val="16"/>
          <w:szCs w:val="16"/>
        </w:rPr>
        <w:softHyphen/>
        <w:t>циям). В случае невозможности обеспечить ее на заводе № 39, просим о предоставлении бригаде новой произ</w:t>
      </w:r>
      <w:r w:rsidRPr="00E14102">
        <w:rPr>
          <w:color w:val="000000" w:themeColor="text1"/>
          <w:sz w:val="16"/>
          <w:szCs w:val="16"/>
        </w:rPr>
        <w:softHyphen/>
        <w:t>водственной базы.</w:t>
      </w:r>
    </w:p>
    <w:p w14:paraId="4FD2C1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Обеспечить реальные возможности и права руко</w:t>
      </w:r>
      <w:r w:rsidRPr="00E14102">
        <w:rPr>
          <w:color w:val="000000" w:themeColor="text1"/>
          <w:sz w:val="16"/>
          <w:szCs w:val="16"/>
        </w:rPr>
        <w:softHyphen/>
        <w:t>водства бригады влиять на производство, когда оно не обеспечивает вышепоставленных задач.</w:t>
      </w:r>
    </w:p>
    <w:p w14:paraId="6348CD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Обеспечить возможность высококачественного проведения необходимых нам летных испытаний...” (10667).</w:t>
      </w:r>
    </w:p>
    <w:p w14:paraId="7B0C5377" w14:textId="77777777" w:rsidR="00D4105E" w:rsidRPr="00E14102" w:rsidRDefault="00D4105E" w:rsidP="00E14102">
      <w:pPr>
        <w:autoSpaceDE w:val="0"/>
        <w:autoSpaceDN w:val="0"/>
        <w:adjustRightInd w:val="0"/>
        <w:jc w:val="both"/>
        <w:rPr>
          <w:color w:val="000000" w:themeColor="text1"/>
          <w:sz w:val="16"/>
          <w:szCs w:val="16"/>
        </w:rPr>
      </w:pPr>
    </w:p>
    <w:p w14:paraId="22EAF1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22 по 26 июля 1935 года в НИИ ВВС прошли испытания четырехпулеметного И-16 завода № 21 (в крыльях самолета И-16 в дополнение к двум имеющимся пулеметам ШКАС было установлено еще два пулемета ШКАС дополнительно, т.е. всего четыре ШКАСа, стреляющих вне плоскости винта). Эта установка была предъявлена на испытания 22 июля 1935 года. Испытания проведены в четыре дня и уже 26 июля 1935 года был дан ответ заводу.</w:t>
      </w:r>
    </w:p>
    <w:p w14:paraId="2A33D3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Установка испытаний не выдержала, ибо оба добавочные пулемета ШКАС после фигур высшего пилотажа не стреляют, сама установка снижает темп стрельбы этих ШКАСов до 1100 выстрелов в минуту против 1800, далее установка дает частые задержки, неустранимые в полете и т.д. (3959, 38-53).</w:t>
      </w:r>
    </w:p>
    <w:p w14:paraId="2144874D" w14:textId="77777777" w:rsidR="00D4105E" w:rsidRPr="00E14102" w:rsidRDefault="00D4105E" w:rsidP="00E14102">
      <w:pPr>
        <w:autoSpaceDE w:val="0"/>
        <w:autoSpaceDN w:val="0"/>
        <w:adjustRightInd w:val="0"/>
        <w:jc w:val="both"/>
        <w:rPr>
          <w:color w:val="000000" w:themeColor="text1"/>
          <w:sz w:val="16"/>
          <w:szCs w:val="16"/>
        </w:rPr>
      </w:pPr>
    </w:p>
    <w:p w14:paraId="5D074D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июля 1935 года на испытания в НИИ ВВС впервые поступил И-16 с М-22 (четырехпулеметный). Был испытан к 26 июля 1935 года. Были крупные недостатки (отчеты в отделе вооружения НИИ ВВС) (3538).</w:t>
      </w:r>
    </w:p>
    <w:p w14:paraId="7C2B2D2B" w14:textId="77777777" w:rsidR="00D4105E" w:rsidRPr="00E14102" w:rsidRDefault="00D4105E" w:rsidP="00E14102">
      <w:pPr>
        <w:autoSpaceDE w:val="0"/>
        <w:autoSpaceDN w:val="0"/>
        <w:adjustRightInd w:val="0"/>
        <w:jc w:val="both"/>
        <w:rPr>
          <w:color w:val="000000" w:themeColor="text1"/>
          <w:sz w:val="16"/>
          <w:szCs w:val="16"/>
        </w:rPr>
      </w:pPr>
    </w:p>
    <w:p w14:paraId="351B531D" w14:textId="77777777" w:rsidR="00293B6F" w:rsidRPr="00E14102" w:rsidRDefault="00293B6F" w:rsidP="00E14102">
      <w:pPr>
        <w:jc w:val="both"/>
        <w:rPr>
          <w:color w:val="0070C0"/>
          <w:sz w:val="16"/>
          <w:szCs w:val="16"/>
        </w:rPr>
      </w:pPr>
      <w:r w:rsidRPr="00E14102">
        <w:rPr>
          <w:color w:val="0070C0"/>
          <w:sz w:val="16"/>
          <w:szCs w:val="16"/>
        </w:rPr>
        <w:t>С 22 по 26 июля 1935 года на Ногинском авиаполигоне проходили испытания четырехпулеметного И-16 завода № 21, получившего полуофициальный индекс И-161. Руководил работами командир авиабригады НИИ ВВС А.И. Залеский, ответственный исполнитель – ведущий инженер АБ НИИ ВВС К.П. Ссорин. То ли заводчане настолько спешили, то ли фельдсвязь подвела, но самолет прибыл без документации, хотя по приказу Наркомвоенмора № 120 от 14 июля 1933 года должны были быть предоставлены чертежи, схемы, отчет о заводских испытаниях, описание и специнструмент. По сведениям заводских военпредов, основная часть документации была готова еще в конце июля. Не удосужился товарищ Мирошников прислать и представителей завода.</w:t>
      </w:r>
    </w:p>
    <w:p w14:paraId="74504B96" w14:textId="77777777" w:rsidR="00293B6F" w:rsidRPr="00E14102" w:rsidRDefault="00293B6F" w:rsidP="00E14102">
      <w:pPr>
        <w:jc w:val="both"/>
        <w:rPr>
          <w:color w:val="0070C0"/>
          <w:sz w:val="16"/>
          <w:szCs w:val="16"/>
        </w:rPr>
      </w:pPr>
      <w:r w:rsidRPr="00E14102">
        <w:rPr>
          <w:color w:val="0070C0"/>
          <w:sz w:val="16"/>
          <w:szCs w:val="16"/>
        </w:rPr>
        <w:t>При осмотре самолета оказалось, что на нем установлены пулеметы ШКАС «образца КМ-34» с серийными номерами 785, 3163, 3713 и 3767. Была выполнена их пристрелка на 400 метров и отстрел установок на рассеивание на расстояния 100, 300 и 500 метров.</w:t>
      </w:r>
    </w:p>
    <w:p w14:paraId="4770A158" w14:textId="77777777" w:rsidR="00293B6F" w:rsidRPr="00E14102" w:rsidRDefault="00293B6F" w:rsidP="00E14102">
      <w:pPr>
        <w:jc w:val="both"/>
        <w:rPr>
          <w:color w:val="0070C0"/>
          <w:sz w:val="16"/>
          <w:szCs w:val="16"/>
        </w:rPr>
      </w:pPr>
      <w:r w:rsidRPr="00E14102">
        <w:rPr>
          <w:color w:val="0070C0"/>
          <w:sz w:val="16"/>
          <w:szCs w:val="16"/>
        </w:rPr>
        <w:t>Отстрел проводился залпом всех установок очередями по 20 патронов на ствол и одного пулемета очередями по 5-7 патронов. Стрельба велась в тире по вертикальным щитам 6х8 и 6х11 метров.</w:t>
      </w:r>
    </w:p>
    <w:p w14:paraId="46EA7D84" w14:textId="77777777" w:rsidR="00293B6F" w:rsidRPr="00E14102" w:rsidRDefault="00293B6F" w:rsidP="00E14102">
      <w:pPr>
        <w:jc w:val="both"/>
        <w:rPr>
          <w:color w:val="0070C0"/>
          <w:sz w:val="16"/>
          <w:szCs w:val="16"/>
        </w:rPr>
      </w:pPr>
      <w:r w:rsidRPr="00E14102">
        <w:rPr>
          <w:color w:val="0070C0"/>
          <w:sz w:val="16"/>
          <w:szCs w:val="16"/>
        </w:rPr>
        <w:t>Для определения тактико-технических свойств И-16 в качестве легкого штурмовика были подготовлены мишени в виде полотнищ размером 9х12 и 14х20 метров, а также так называемые «коробчатые» мишени, расставленные на участке 20х200 метров в шахматном порядке по пять в ряд с интервалом 4 метра и на дистанции между рядами 5 метров. Каждая мишень представляла собой фигуру человека, а вся группа мишеней – роту в момент рассредоточения по внезапной тревоге. Полотнища атаковали с бреющего полета на высоте 25-30 метров с набором перед целью 150-200 метров. Стрельба выполнялась с дистанций 100-500 метров. «Коробчатые» мишени обстреливали с высоты в 50 и 200 метров на дистанциях от 400 до 1000 метров. В целом результаты стрельб военных удовлетворили. В полотнища попадала каждая девятая пуля, а за три атаки поражалось от 25 до 50% «коробок». В одной из серий при стрельбе с высоты 50 метров и на дистанции 400 метров при 400 выстрелах было отмечено 206 попаданий в 104 мишени. Всего было расстреляно 8536 патронов, при этом произошло 48 задержек и из них 27 по вине подвода питания. Помимо большого количества задержек оказалось, что спусковые тросы имеют значительные люфты, выбрать регулировкой которые не удалось. По этой причине спуски работали не одновременно, что приводило к забросу (рысканию) в сторону запаздывающего пулемета. И-161 сильно вибрировал при стрельбе всей батареи. На боевое снаряжение установок требовалось не менее полутора часов работы, при этом значительная часть времени уходила на снятие и установку лючков, крепление которых шпильками посчитали не очень удачным. Пользование рычагами перезарядки в кабине оказалось неудобным. Прицел ОП-1 в полете сильно вибрировал из-за малой жесткости кронштейна переднего крепления прицела. Средние пулеметы при каждой задержке приходилось снимать с самолета по причине отсутствия подхода к ленте в питающем рукаве. Военные посчитали, что испытаний вооружение И-161 не выдержало, что было отражено в акте № 25 подписанном Я.И. Алкснисом 9 августа 1935 года. Заводу № 21 было предложено не позднее 1 сентября устранить выявленные дефекты и предъявить самолет на повторные испытания. При этом военные хотели, чтобы И-161 мог нести еще и 4 десятикилограммовые бомбы на замках ДЕР-32 (23033).</w:t>
      </w:r>
    </w:p>
    <w:p w14:paraId="2CDE14E9" w14:textId="77777777" w:rsidR="00293B6F" w:rsidRPr="00E14102" w:rsidRDefault="00293B6F" w:rsidP="00E14102">
      <w:pPr>
        <w:jc w:val="both"/>
        <w:rPr>
          <w:color w:val="0070C0"/>
          <w:sz w:val="16"/>
          <w:szCs w:val="16"/>
        </w:rPr>
      </w:pPr>
    </w:p>
    <w:p w14:paraId="1F70CF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июля 1935 г. четырехпулеметный И-16 тип 4 (И-161) был предъ</w:t>
      </w:r>
      <w:r w:rsidRPr="00E14102">
        <w:rPr>
          <w:color w:val="000000" w:themeColor="text1"/>
          <w:sz w:val="16"/>
          <w:szCs w:val="16"/>
        </w:rPr>
        <w:softHyphen/>
        <w:t>явлен на испытания в НИИ ВВС. Они за</w:t>
      </w:r>
      <w:r w:rsidRPr="00E14102">
        <w:rPr>
          <w:color w:val="000000" w:themeColor="text1"/>
          <w:sz w:val="16"/>
          <w:szCs w:val="16"/>
        </w:rPr>
        <w:softHyphen/>
        <w:t>кончились уже 26 июля, так как оба добавочных пулемета ШКАС после фигур высшего пилотажа не стреляли вообще, либо снижали темп с 1800 до 1200 вы</w:t>
      </w:r>
      <w:r w:rsidRPr="00E14102">
        <w:rPr>
          <w:color w:val="000000" w:themeColor="text1"/>
          <w:sz w:val="16"/>
          <w:szCs w:val="16"/>
        </w:rPr>
        <w:softHyphen/>
        <w:t>стрелов в минуту. Управление ВВС настаивало на устра</w:t>
      </w:r>
      <w:r w:rsidRPr="00E14102">
        <w:rPr>
          <w:color w:val="000000" w:themeColor="text1"/>
          <w:sz w:val="16"/>
          <w:szCs w:val="16"/>
        </w:rPr>
        <w:softHyphen/>
        <w:t>нении этих недочетов и требовало повторно предъявить И-16 с новым вооружением на испытания в сентябре 1935 г., что завод № 21 так и не выполнил (10667).</w:t>
      </w:r>
    </w:p>
    <w:p w14:paraId="45C88AE6" w14:textId="77777777" w:rsidR="00D4105E" w:rsidRPr="00E14102" w:rsidRDefault="00D4105E" w:rsidP="00E14102">
      <w:pPr>
        <w:autoSpaceDE w:val="0"/>
        <w:autoSpaceDN w:val="0"/>
        <w:adjustRightInd w:val="0"/>
        <w:jc w:val="both"/>
        <w:rPr>
          <w:color w:val="000000" w:themeColor="text1"/>
          <w:sz w:val="16"/>
          <w:szCs w:val="16"/>
        </w:rPr>
      </w:pPr>
    </w:p>
    <w:p w14:paraId="398571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период 22-26 июля 1935 г. самолет И-161 находился на испытаниях в НИИ ВВС.</w:t>
      </w:r>
    </w:p>
    <w:p w14:paraId="4F4F9F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1935 г. по просьбе представителей ВВС на заводе №21 самостоятельно разработали и построили свой вариант истребителя с четырьмя пулеметами ШКАС, получивший обозначение И-161.</w:t>
      </w:r>
    </w:p>
    <w:p w14:paraId="3CA1E5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 сожалению, дополнительные ШКАСы работали неудовлетворительно, теми стрельбы снизился с 1800 до 1200 выстрелов в минуту. Управление ВВС требовало устранить недостатки, а затем повторно предъявить И-161 на испытания. Судя по всему, дальнейших усовершенствований не последовало, и И-161 остался в единственном экземпляре (12015). </w:t>
      </w:r>
    </w:p>
    <w:p w14:paraId="29F0AE4A" w14:textId="77777777" w:rsidR="00D4105E" w:rsidRPr="00E14102" w:rsidRDefault="00D4105E" w:rsidP="00E14102">
      <w:pPr>
        <w:autoSpaceDE w:val="0"/>
        <w:autoSpaceDN w:val="0"/>
        <w:adjustRightInd w:val="0"/>
        <w:jc w:val="both"/>
        <w:rPr>
          <w:color w:val="000000" w:themeColor="text1"/>
          <w:sz w:val="16"/>
          <w:szCs w:val="16"/>
        </w:rPr>
      </w:pPr>
    </w:p>
    <w:p w14:paraId="115B12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июля 1935 года Алкснис писал письмо N 41/01440 наркому обороны.</w:t>
      </w:r>
    </w:p>
    <w:p w14:paraId="6DE9DB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поднятому Григоровичем вопросу о модификации пушечного истребителя ИП1 М-25.</w:t>
      </w:r>
    </w:p>
    <w:p w14:paraId="3F9318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Считаю предложение Григоровича заслуживающим обязательного осуществления.</w:t>
      </w:r>
    </w:p>
    <w:p w14:paraId="0918DF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отношении очередности модификации ИП1 М-25 считал бы целесообразным в первую очередь осуществить 6-ти пулеметный вариант самолета, во вторую - вариант пикирующего бомбардировщика, в третью - истребителя, вооруженного реактивными снарядами.</w:t>
      </w:r>
    </w:p>
    <w:p w14:paraId="1A387A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Остальные модификации представляют интерес, но к ним целесообразно приступить лишь после реализации новых трех во избежание разбрасывания.</w:t>
      </w:r>
    </w:p>
    <w:p w14:paraId="03D1B6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Указанные работы должны быть включены в план опытного строительства завода N 1.</w:t>
      </w:r>
    </w:p>
    <w:p w14:paraId="1F4157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ускорения проведения модификаций три самолета Ип1 М-25 из первых пяти постройки завода N 135 следует передать на завод N 1.</w:t>
      </w:r>
    </w:p>
    <w:p w14:paraId="28C5C5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 же безусловно целесообразно включить в программу завода N 1 по 1936 году постройку серии самолетов ИП1 с тем, чтобы начать переводить завод на частичное производство дюралюминиевых самолетов. (3104,131).</w:t>
      </w:r>
    </w:p>
    <w:p w14:paraId="46441091" w14:textId="77777777" w:rsidR="00D4105E" w:rsidRPr="00E14102" w:rsidRDefault="00D4105E" w:rsidP="00E14102">
      <w:pPr>
        <w:autoSpaceDE w:val="0"/>
        <w:autoSpaceDN w:val="0"/>
        <w:adjustRightInd w:val="0"/>
        <w:jc w:val="both"/>
        <w:rPr>
          <w:color w:val="000000" w:themeColor="text1"/>
          <w:sz w:val="16"/>
          <w:szCs w:val="16"/>
        </w:rPr>
      </w:pPr>
    </w:p>
    <w:p w14:paraId="3C3C52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июля 1935 ВСНТО направил Зам. пред. ячейки Авиавнито ЦАГИ письмо за N 31/27/с с ТТТ по одномоторному скоростному самолету по спец. варианту, разработанному НИИ ВВС РККА и утвержденным Нач. УВВС Я.И.Алкснисом для руководства при разработке проекта на второй тур конкурса Авиавнито скоростных ТС. В ЦАГИ поступили 23 июля 1935 и получило N 2242с (351).</w:t>
      </w:r>
    </w:p>
    <w:p w14:paraId="71314CEB" w14:textId="77777777" w:rsidR="00D4105E" w:rsidRPr="00E14102" w:rsidRDefault="00D4105E" w:rsidP="00E14102">
      <w:pPr>
        <w:autoSpaceDE w:val="0"/>
        <w:autoSpaceDN w:val="0"/>
        <w:adjustRightInd w:val="0"/>
        <w:jc w:val="both"/>
        <w:rPr>
          <w:color w:val="000000" w:themeColor="text1"/>
          <w:sz w:val="16"/>
          <w:szCs w:val="16"/>
        </w:rPr>
      </w:pPr>
    </w:p>
    <w:p w14:paraId="0B60D2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июля 1935 года Начальник и военком НИИ ВС Бажанов утвердил Отчет по испытанию пулестойких бензобаков</w:t>
      </w:r>
    </w:p>
    <w:p w14:paraId="1C8A81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088AC3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пулестойких бензобаков производилась с целью проверки измененных способов крепления протектора (оболочки) на стенах баков и получения экспериментальных данных, необходимых для дальнейших работ.</w:t>
      </w:r>
    </w:p>
    <w:p w14:paraId="4E691D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Выводы:</w:t>
      </w:r>
    </w:p>
    <w:p w14:paraId="31A6C3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Бак Р-3 имел те же дефекты, что баки предыдущих испытаний ……….</w:t>
      </w:r>
    </w:p>
    <w:p w14:paraId="65B888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бака У-2 образовалась также рубашка между стенкой бака и резиной, наполненная бензином. Результаты у этого бака оказались лучше, чем у бака Р-3. ………….(3930).</w:t>
      </w:r>
    </w:p>
    <w:p w14:paraId="734E6345" w14:textId="77777777" w:rsidR="00D4105E" w:rsidRPr="00E14102" w:rsidRDefault="00D4105E" w:rsidP="00E14102">
      <w:pPr>
        <w:autoSpaceDE w:val="0"/>
        <w:autoSpaceDN w:val="0"/>
        <w:adjustRightInd w:val="0"/>
        <w:jc w:val="both"/>
        <w:rPr>
          <w:color w:val="000000" w:themeColor="text1"/>
          <w:sz w:val="16"/>
          <w:szCs w:val="16"/>
        </w:rPr>
      </w:pPr>
    </w:p>
    <w:p w14:paraId="21433E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июля 1935 Нач. 4 отдела УВВС Базенков с письмом N 101446 направил Зам. Нач. ГУАП Марголину материал по делу и Фундатора - клейка монококов на заводе 21 (2336,147).</w:t>
      </w:r>
    </w:p>
    <w:p w14:paraId="2BB75A7E" w14:textId="77777777" w:rsidR="00D4105E" w:rsidRPr="00E14102" w:rsidRDefault="00D4105E" w:rsidP="00E14102">
      <w:pPr>
        <w:autoSpaceDE w:val="0"/>
        <w:autoSpaceDN w:val="0"/>
        <w:adjustRightInd w:val="0"/>
        <w:jc w:val="both"/>
        <w:rPr>
          <w:color w:val="000000" w:themeColor="text1"/>
          <w:sz w:val="16"/>
          <w:szCs w:val="16"/>
        </w:rPr>
      </w:pPr>
    </w:p>
    <w:p w14:paraId="34174D52" w14:textId="77777777" w:rsidR="00E90C6B" w:rsidRPr="00E14102" w:rsidRDefault="00E90C6B" w:rsidP="00E14102">
      <w:pPr>
        <w:jc w:val="both"/>
        <w:rPr>
          <w:iCs/>
          <w:color w:val="000000" w:themeColor="text1"/>
          <w:sz w:val="16"/>
          <w:szCs w:val="16"/>
        </w:rPr>
      </w:pPr>
      <w:r w:rsidRPr="00E14102">
        <w:rPr>
          <w:color w:val="000000" w:themeColor="text1"/>
          <w:sz w:val="16"/>
          <w:szCs w:val="16"/>
        </w:rPr>
        <w:t xml:space="preserve">22 июля 1935 года, как сообщали уральские газеты. </w:t>
      </w:r>
      <w:r w:rsidRPr="00E14102">
        <w:rPr>
          <w:iCs/>
          <w:color w:val="000000" w:themeColor="text1"/>
          <w:sz w:val="16"/>
          <w:szCs w:val="16"/>
        </w:rPr>
        <w:t>«Подъем (причальной мачты для дирижаблей) начался в 6 часов утра. Только что склепанная 32-тонная конструкция лежала в паутине тросов, штаг, «мертвяков»</w:t>
      </w:r>
      <w:r w:rsidRPr="00E14102">
        <w:rPr>
          <w:color w:val="000000" w:themeColor="text1"/>
          <w:sz w:val="16"/>
          <w:szCs w:val="16"/>
        </w:rPr>
        <w:t xml:space="preserve"> (закопанных в землю бревен). </w:t>
      </w:r>
      <w:r w:rsidRPr="00E14102">
        <w:rPr>
          <w:iCs/>
          <w:color w:val="000000" w:themeColor="text1"/>
          <w:sz w:val="16"/>
          <w:szCs w:val="16"/>
        </w:rPr>
        <w:t xml:space="preserve">Ведь всю мачту собирали и оклепывали на земле. Это было экономичнее. Не надо было устанавливать больших лесов. У семи лебедок расставлены 32 рабочих. Несколько человек следят, чтобы не сдвинулись «мертвяки». Вращаются ручки лебедок, но мачта кажется совершенно неподвижной, так медленно, так плавно уменьшается угол между ней и штагами. Растущей мачте мешают переплетенные над ее «головой» тросы штагов. Установка мачты завершается подъемом красного флага. Он весело развевается на ее вершине. Это первая в Советском Союзе красная точка дирижабельных путей, которые создаются волей партии и правительства». </w:t>
      </w:r>
      <w:r w:rsidRPr="00E14102">
        <w:rPr>
          <w:color w:val="000000" w:themeColor="text1"/>
          <w:sz w:val="16"/>
          <w:szCs w:val="16"/>
        </w:rPr>
        <w:t>К слову, создавалась причальная мачта только под один конкретный дирижабль - «СССР В-6 «Осоавиахим». Его построил приглашенный в Советский Союз итальянский конструктор дирижаблей Умберто Нобиле. Планировалось, что именно «В-6» станет первым воздушным судном новой эскадры крупных дирижаблей имени Владимира Ильича Ленина, на котором советские граждане смогут долететь из Москвы не только до Свердловска, но и до Красноярска (15475).</w:t>
      </w:r>
    </w:p>
    <w:p w14:paraId="7CFE0971" w14:textId="77777777" w:rsidR="00E90C6B" w:rsidRPr="00E14102" w:rsidRDefault="00E90C6B" w:rsidP="00E14102">
      <w:pPr>
        <w:jc w:val="both"/>
        <w:rPr>
          <w:iCs/>
          <w:color w:val="000000" w:themeColor="text1"/>
          <w:sz w:val="16"/>
          <w:szCs w:val="16"/>
        </w:rPr>
      </w:pPr>
    </w:p>
    <w:p w14:paraId="38BD3F45" w14:textId="77777777" w:rsidR="00E90C6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F31006C" w14:textId="77777777" w:rsidR="00E90C6B" w:rsidRPr="00E14102" w:rsidRDefault="00E90C6B" w:rsidP="00E14102">
      <w:pPr>
        <w:autoSpaceDE w:val="0"/>
        <w:autoSpaceDN w:val="0"/>
        <w:adjustRightInd w:val="0"/>
        <w:jc w:val="both"/>
        <w:rPr>
          <w:iCs/>
          <w:color w:val="000000" w:themeColor="text1"/>
          <w:sz w:val="16"/>
          <w:szCs w:val="16"/>
        </w:rPr>
      </w:pPr>
    </w:p>
    <w:p w14:paraId="25EA1E94" w14:textId="77777777" w:rsidR="00E90C6B" w:rsidRPr="00E14102" w:rsidRDefault="00E90C6B" w:rsidP="00E14102">
      <w:pPr>
        <w:pStyle w:val="rtejustify"/>
        <w:spacing w:before="0" w:after="0"/>
        <w:rPr>
          <w:color w:val="000000" w:themeColor="text1"/>
          <w:sz w:val="16"/>
          <w:szCs w:val="16"/>
        </w:rPr>
      </w:pPr>
      <w:r w:rsidRPr="00E14102">
        <w:rPr>
          <w:rStyle w:val="a6"/>
          <w:bCs/>
          <w:i w:val="0"/>
          <w:color w:val="000000" w:themeColor="text1"/>
          <w:sz w:val="16"/>
          <w:szCs w:val="16"/>
        </w:rPr>
        <w:t>22 июля 1935 вышел приказ НКТП № 131с.</w:t>
      </w:r>
      <w:r w:rsidRPr="00E14102">
        <w:rPr>
          <w:color w:val="000000" w:themeColor="text1"/>
          <w:sz w:val="16"/>
          <w:szCs w:val="16"/>
        </w:rPr>
        <w:t xml:space="preserve"> О специализации Военно-химического треста и реорганизации треста ВИВ во Всесоюзный пороховой трест. (РГАЭ. Ф. 7297. Оп. 38. Д. 171. Л. 203) (15246).</w:t>
      </w:r>
    </w:p>
    <w:p w14:paraId="21A3EA76" w14:textId="77777777" w:rsidR="00E90C6B" w:rsidRPr="00E14102" w:rsidRDefault="00E90C6B" w:rsidP="00E14102">
      <w:pPr>
        <w:pStyle w:val="rtejustify"/>
        <w:spacing w:before="0" w:after="0"/>
        <w:rPr>
          <w:color w:val="000000" w:themeColor="text1"/>
          <w:sz w:val="16"/>
          <w:szCs w:val="16"/>
        </w:rPr>
      </w:pPr>
    </w:p>
    <w:p w14:paraId="1368CA99" w14:textId="77777777" w:rsidR="00E66EBA" w:rsidRPr="00E14102" w:rsidRDefault="00E66EBA" w:rsidP="00E14102">
      <w:pPr>
        <w:jc w:val="both"/>
        <w:rPr>
          <w:color w:val="0070C0"/>
          <w:sz w:val="16"/>
          <w:szCs w:val="16"/>
        </w:rPr>
      </w:pPr>
      <w:r w:rsidRPr="00E14102">
        <w:rPr>
          <w:color w:val="0070C0"/>
          <w:sz w:val="16"/>
          <w:szCs w:val="16"/>
        </w:rPr>
        <w:t>22 июля 1935 г.</w:t>
      </w:r>
    </w:p>
    <w:p w14:paraId="3630FECA" w14:textId="77777777" w:rsidR="00E66EBA" w:rsidRPr="00E14102" w:rsidRDefault="00E66EBA" w:rsidP="00E14102">
      <w:pPr>
        <w:jc w:val="both"/>
        <w:rPr>
          <w:color w:val="0070C0"/>
          <w:sz w:val="16"/>
          <w:szCs w:val="16"/>
        </w:rPr>
      </w:pPr>
      <w:r w:rsidRPr="00E14102">
        <w:rPr>
          <w:color w:val="0070C0"/>
          <w:sz w:val="16"/>
          <w:szCs w:val="16"/>
        </w:rPr>
        <w:t>Постановление Политбюро ЦК ВКП(б)</w:t>
      </w:r>
    </w:p>
    <w:p w14:paraId="10AB4F7F" w14:textId="77777777" w:rsidR="00E66EBA" w:rsidRPr="00E14102" w:rsidRDefault="00E66EBA" w:rsidP="00E14102">
      <w:pPr>
        <w:jc w:val="both"/>
        <w:rPr>
          <w:color w:val="0070C0"/>
          <w:sz w:val="16"/>
          <w:szCs w:val="16"/>
        </w:rPr>
      </w:pPr>
      <w:r w:rsidRPr="00E14102">
        <w:rPr>
          <w:color w:val="0070C0"/>
          <w:sz w:val="16"/>
          <w:szCs w:val="16"/>
        </w:rPr>
        <w:t>“О заказах в Германии ”*</w:t>
      </w:r>
    </w:p>
    <w:p w14:paraId="171572E3" w14:textId="77777777" w:rsidR="00E66EBA" w:rsidRPr="00E14102" w:rsidRDefault="00E66EBA" w:rsidP="00E14102">
      <w:pPr>
        <w:jc w:val="both"/>
        <w:rPr>
          <w:color w:val="0070C0"/>
          <w:sz w:val="16"/>
          <w:szCs w:val="16"/>
        </w:rPr>
      </w:pPr>
      <w:r w:rsidRPr="00E14102">
        <w:rPr>
          <w:color w:val="0070C0"/>
          <w:sz w:val="16"/>
          <w:szCs w:val="16"/>
        </w:rPr>
        <w:t>№ П31/23</w:t>
      </w:r>
      <w:r w:rsidRPr="00E14102">
        <w:rPr>
          <w:color w:val="0070C0"/>
          <w:sz w:val="16"/>
          <w:szCs w:val="16"/>
        </w:rPr>
        <w:tab/>
        <w:t>22 июля 1935 г.</w:t>
      </w:r>
    </w:p>
    <w:p w14:paraId="2CE52756" w14:textId="77777777" w:rsidR="00E66EBA" w:rsidRPr="00E14102" w:rsidRDefault="00E66EBA" w:rsidP="00E14102">
      <w:pPr>
        <w:jc w:val="both"/>
        <w:rPr>
          <w:color w:val="0070C0"/>
          <w:sz w:val="16"/>
          <w:szCs w:val="16"/>
        </w:rPr>
      </w:pPr>
      <w:r w:rsidRPr="00E14102">
        <w:rPr>
          <w:color w:val="0070C0"/>
          <w:sz w:val="16"/>
          <w:szCs w:val="16"/>
        </w:rPr>
        <w:t>Строго секретно</w:t>
      </w:r>
    </w:p>
    <w:p w14:paraId="6E22E2E9" w14:textId="77777777" w:rsidR="00E66EBA" w:rsidRPr="00E14102" w:rsidRDefault="00E66EBA" w:rsidP="00E14102">
      <w:pPr>
        <w:jc w:val="both"/>
        <w:rPr>
          <w:color w:val="0070C0"/>
          <w:sz w:val="16"/>
          <w:szCs w:val="16"/>
        </w:rPr>
      </w:pPr>
      <w:r w:rsidRPr="00E14102">
        <w:rPr>
          <w:color w:val="0070C0"/>
          <w:sz w:val="16"/>
          <w:szCs w:val="16"/>
        </w:rPr>
        <w:t>Из “Особой папки”</w:t>
      </w:r>
    </w:p>
    <w:p w14:paraId="4B67E839" w14:textId="77777777" w:rsidR="00E66EBA" w:rsidRPr="00E14102" w:rsidRDefault="00E66EBA" w:rsidP="00E14102">
      <w:pPr>
        <w:jc w:val="both"/>
        <w:rPr>
          <w:color w:val="0070C0"/>
          <w:sz w:val="16"/>
          <w:szCs w:val="16"/>
        </w:rPr>
      </w:pPr>
      <w:r w:rsidRPr="00E14102">
        <w:rPr>
          <w:color w:val="0070C0"/>
          <w:sz w:val="16"/>
          <w:szCs w:val="16"/>
        </w:rPr>
        <w:t>23.</w:t>
      </w:r>
      <w:r w:rsidRPr="00E14102">
        <w:rPr>
          <w:color w:val="0070C0"/>
          <w:sz w:val="16"/>
          <w:szCs w:val="16"/>
        </w:rPr>
        <w:tab/>
        <w:t>Увеличить НКСвязи импортный контингент по германскому кредиту на 500 тыс. рублей.</w:t>
      </w:r>
    </w:p>
    <w:p w14:paraId="6C44BBFB" w14:textId="77777777" w:rsidR="00E66EBA" w:rsidRPr="00E14102" w:rsidRDefault="00E66EBA" w:rsidP="00E14102">
      <w:pPr>
        <w:jc w:val="both"/>
        <w:rPr>
          <w:color w:val="0070C0"/>
          <w:sz w:val="16"/>
          <w:szCs w:val="16"/>
        </w:rPr>
      </w:pPr>
      <w:r w:rsidRPr="00E14102">
        <w:rPr>
          <w:color w:val="0070C0"/>
          <w:sz w:val="16"/>
          <w:szCs w:val="16"/>
        </w:rPr>
        <w:t>Секретарь ЦК</w:t>
      </w:r>
    </w:p>
    <w:p w14:paraId="23EC6DE4" w14:textId="77777777" w:rsidR="00E66EBA" w:rsidRPr="00E14102" w:rsidRDefault="00E66EBA" w:rsidP="00E14102">
      <w:pPr>
        <w:jc w:val="both"/>
        <w:rPr>
          <w:color w:val="0070C0"/>
          <w:sz w:val="16"/>
          <w:szCs w:val="16"/>
        </w:rPr>
      </w:pPr>
      <w:r w:rsidRPr="00E14102">
        <w:rPr>
          <w:color w:val="0070C0"/>
          <w:sz w:val="16"/>
          <w:szCs w:val="16"/>
        </w:rPr>
        <w:t>Помета:</w:t>
      </w:r>
      <w:r w:rsidRPr="00E14102">
        <w:rPr>
          <w:color w:val="0070C0"/>
          <w:sz w:val="16"/>
          <w:szCs w:val="16"/>
        </w:rPr>
        <w:tab/>
        <w:t>Постановление] СНК СССР № 1533-242сс от</w:t>
      </w:r>
    </w:p>
    <w:p w14:paraId="40409846" w14:textId="77777777" w:rsidR="00E66EBA" w:rsidRPr="00E14102" w:rsidRDefault="00E66EBA" w:rsidP="00E14102">
      <w:pPr>
        <w:jc w:val="both"/>
        <w:rPr>
          <w:color w:val="0070C0"/>
          <w:sz w:val="16"/>
          <w:szCs w:val="16"/>
          <w:lang w:val="en-US"/>
        </w:rPr>
      </w:pPr>
      <w:r w:rsidRPr="00E14102">
        <w:rPr>
          <w:color w:val="0070C0"/>
          <w:sz w:val="16"/>
          <w:szCs w:val="16"/>
          <w:lang w:val="en-US"/>
        </w:rPr>
        <w:t>23.07.1935</w:t>
      </w:r>
      <w:r w:rsidRPr="00E14102">
        <w:rPr>
          <w:color w:val="0070C0"/>
          <w:sz w:val="16"/>
          <w:szCs w:val="16"/>
          <w:lang w:val="en-US"/>
        </w:rPr>
        <w:tab/>
      </w:r>
      <w:r w:rsidRPr="00E14102">
        <w:rPr>
          <w:color w:val="0070C0"/>
          <w:sz w:val="16"/>
          <w:szCs w:val="16"/>
        </w:rPr>
        <w:t>г</w:t>
      </w:r>
      <w:r w:rsidRPr="00E14102">
        <w:rPr>
          <w:color w:val="0070C0"/>
          <w:sz w:val="16"/>
          <w:szCs w:val="16"/>
          <w:lang w:val="en-US"/>
        </w:rPr>
        <w:t>.</w:t>
      </w:r>
    </w:p>
    <w:p w14:paraId="091E841C" w14:textId="77777777" w:rsidR="00E66EBA" w:rsidRPr="00E14102" w:rsidRDefault="00E66EBA" w:rsidP="00E14102">
      <w:pPr>
        <w:jc w:val="both"/>
        <w:rPr>
          <w:color w:val="0070C0"/>
          <w:sz w:val="16"/>
          <w:szCs w:val="16"/>
        </w:rPr>
      </w:pPr>
      <w:r w:rsidRPr="00E14102">
        <w:rPr>
          <w:color w:val="0070C0"/>
          <w:sz w:val="16"/>
          <w:szCs w:val="16"/>
        </w:rPr>
        <w:t>АП</w:t>
      </w:r>
      <w:r w:rsidRPr="00E14102">
        <w:rPr>
          <w:color w:val="0070C0"/>
          <w:sz w:val="16"/>
          <w:szCs w:val="16"/>
          <w:lang w:val="en-US"/>
        </w:rPr>
        <w:t xml:space="preserve"> </w:t>
      </w:r>
      <w:r w:rsidRPr="00E14102">
        <w:rPr>
          <w:color w:val="0070C0"/>
          <w:sz w:val="16"/>
          <w:szCs w:val="16"/>
        </w:rPr>
        <w:t>РФ</w:t>
      </w:r>
      <w:r w:rsidRPr="00E14102">
        <w:rPr>
          <w:color w:val="0070C0"/>
          <w:sz w:val="16"/>
          <w:szCs w:val="16"/>
          <w:lang w:val="en-US"/>
        </w:rPr>
        <w:t xml:space="preserve">. </w:t>
      </w:r>
      <w:r w:rsidRPr="00E14102">
        <w:rPr>
          <w:color w:val="0070C0"/>
          <w:sz w:val="16"/>
          <w:szCs w:val="16"/>
        </w:rPr>
        <w:t>Ф</w:t>
      </w:r>
      <w:r w:rsidRPr="00E14102">
        <w:rPr>
          <w:color w:val="0070C0"/>
          <w:sz w:val="16"/>
          <w:szCs w:val="16"/>
          <w:lang w:val="en-US"/>
        </w:rPr>
        <w:t xml:space="preserve">. 3. On. 64. </w:t>
      </w:r>
      <w:r w:rsidRPr="00E14102">
        <w:rPr>
          <w:color w:val="0070C0"/>
          <w:sz w:val="16"/>
          <w:szCs w:val="16"/>
        </w:rPr>
        <w:t>Д</w:t>
      </w:r>
      <w:r w:rsidRPr="00E14102">
        <w:rPr>
          <w:color w:val="0070C0"/>
          <w:sz w:val="16"/>
          <w:szCs w:val="16"/>
          <w:lang w:val="en-US"/>
        </w:rPr>
        <w:t xml:space="preserve">. 663. </w:t>
      </w:r>
      <w:r w:rsidRPr="00E14102">
        <w:rPr>
          <w:color w:val="0070C0"/>
          <w:sz w:val="16"/>
          <w:szCs w:val="16"/>
        </w:rPr>
        <w:t>Л</w:t>
      </w:r>
      <w:r w:rsidRPr="00E14102">
        <w:rPr>
          <w:color w:val="0070C0"/>
          <w:sz w:val="16"/>
          <w:szCs w:val="16"/>
          <w:lang w:val="en-US"/>
        </w:rPr>
        <w:t xml:space="preserve">. 52. </w:t>
      </w:r>
      <w:r w:rsidRPr="00E14102">
        <w:rPr>
          <w:color w:val="0070C0"/>
          <w:sz w:val="16"/>
          <w:szCs w:val="16"/>
        </w:rPr>
        <w:t>Копия (20777).</w:t>
      </w:r>
    </w:p>
    <w:p w14:paraId="72BECF01" w14:textId="77777777" w:rsidR="00E66EBA" w:rsidRPr="00E14102" w:rsidRDefault="00E66EBA" w:rsidP="00E14102">
      <w:pPr>
        <w:jc w:val="both"/>
        <w:rPr>
          <w:color w:val="0070C0"/>
          <w:sz w:val="16"/>
          <w:szCs w:val="16"/>
        </w:rPr>
      </w:pPr>
    </w:p>
    <w:p w14:paraId="28666A6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C0D2B29" w14:textId="77777777" w:rsidR="00D4105E" w:rsidRPr="00E14102" w:rsidRDefault="00D4105E" w:rsidP="00E14102">
      <w:pPr>
        <w:autoSpaceDE w:val="0"/>
        <w:autoSpaceDN w:val="0"/>
        <w:adjustRightInd w:val="0"/>
        <w:jc w:val="both"/>
        <w:rPr>
          <w:iCs/>
          <w:color w:val="000000" w:themeColor="text1"/>
          <w:sz w:val="16"/>
          <w:szCs w:val="16"/>
        </w:rPr>
      </w:pPr>
    </w:p>
    <w:p w14:paraId="203DCF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23 июля по 26 сентября 1935 состоялись гос. испытания самолета УБП - 2М - 11 (вооруженный вариант КАИ-1). Летал и-л Ивановский. Отчет был утвержден, было предложено после устранения дефектов передать на повторные поверочные испытания. Предложено на 1936 заказать 20/40 для снабжения бомбардировочных частей (552).</w:t>
      </w:r>
    </w:p>
    <w:p w14:paraId="7E3F51E4" w14:textId="77777777" w:rsidR="00D4105E" w:rsidRPr="00E14102" w:rsidRDefault="00D4105E" w:rsidP="00E14102">
      <w:pPr>
        <w:autoSpaceDE w:val="0"/>
        <w:autoSpaceDN w:val="0"/>
        <w:adjustRightInd w:val="0"/>
        <w:jc w:val="both"/>
        <w:rPr>
          <w:color w:val="000000" w:themeColor="text1"/>
          <w:sz w:val="16"/>
          <w:szCs w:val="16"/>
        </w:rPr>
      </w:pPr>
    </w:p>
    <w:p w14:paraId="5E3587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23 июля по 26 сентября 1935 проходили госиспытания самолета УБП-2М11 (вооруженный вариант самолета КАИ-1)</w:t>
      </w:r>
    </w:p>
    <w:p w14:paraId="468F79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094181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Инженер-летчик НИЭ НИИ ВС Ивановский</w:t>
      </w:r>
    </w:p>
    <w:p w14:paraId="3111C9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Схема самолета УБП-2М11 представляет собой двухмоторный свободнонесущий моноплан с низким расположением крыла. Моторы установлены на крыле. Самолет кроме моторной установки, шасси и управления, целиком сделан из дерева. Нижняя часть кокового фюзеляжа вписана в центроплан. Весь самолет имеет обтекаемые формы, не имея никаких отверстий и расчалок.</w:t>
      </w:r>
    </w:p>
    <w:p w14:paraId="127BFB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трехместный. Летчик сидит у переднего лонжерона крыла. Впереди летчика помещается штурман, имеющий обзор по сторонам, вверх и вниз через целлулоидные окна кабины. Сзади летчика сидит стрелок, он же радист.</w:t>
      </w:r>
    </w:p>
    <w:p w14:paraId="397075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 самолета состоит из одного пулемета ДА, установленного на башенный пулеметный шкворень (БПШ-1), который укреплен на верхней обшивке фюзеляжа сзади сиденья стрелка.</w:t>
      </w:r>
    </w:p>
    <w:p w14:paraId="2A4D04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Варианты бомбовой нагрузки</w:t>
      </w:r>
    </w:p>
    <w:p w14:paraId="67A2A2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Дер-7</w:t>
      </w:r>
    </w:p>
    <w:p w14:paraId="654782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бомбы П-40 – 160 кг</w:t>
      </w:r>
    </w:p>
    <w:p w14:paraId="037165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бомбы АФ-50 – 150 кг</w:t>
      </w:r>
    </w:p>
    <w:p w14:paraId="30449C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бомбы АФ-32 – 128 кг</w:t>
      </w:r>
    </w:p>
    <w:p w14:paraId="533BDE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бомбы АФ-16 – 64 кг</w:t>
      </w:r>
    </w:p>
    <w:p w14:paraId="3AC5A2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бомбы П-25 – 100 кг</w:t>
      </w:r>
    </w:p>
    <w:p w14:paraId="4AEAB0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бомбы А-10 – 40 кг</w:t>
      </w:r>
    </w:p>
    <w:p w14:paraId="28793B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Дер-30</w:t>
      </w:r>
    </w:p>
    <w:p w14:paraId="4DF827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8 бомб АО-10 – 80 кг</w:t>
      </w:r>
    </w:p>
    <w:p w14:paraId="441129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бомб АО-8 – 64 кг</w:t>
      </w:r>
    </w:p>
    <w:p w14:paraId="617C98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бомб П-7 – 56 кг</w:t>
      </w:r>
    </w:p>
    <w:p w14:paraId="040389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16C19F3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 УБП-2М11 подлежит доделке, после чего предъявлению на повторные испытания (7653).</w:t>
      </w:r>
    </w:p>
    <w:p w14:paraId="1D05365B"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6C02F7D4" w14:textId="77777777" w:rsidR="00E90C6B" w:rsidRPr="00E14102" w:rsidRDefault="00E90C6B" w:rsidP="00E14102">
      <w:pPr>
        <w:jc w:val="both"/>
        <w:rPr>
          <w:color w:val="000000" w:themeColor="text1"/>
          <w:sz w:val="16"/>
          <w:szCs w:val="16"/>
        </w:rPr>
      </w:pPr>
      <w:r w:rsidRPr="00E14102">
        <w:rPr>
          <w:color w:val="000000" w:themeColor="text1"/>
          <w:sz w:val="16"/>
          <w:szCs w:val="16"/>
        </w:rPr>
        <w:t xml:space="preserve">23 июля в 1935 году проходили испытания (по 26 сентября) второго самолета </w:t>
      </w:r>
      <w:hyperlink r:id="rId150" w:tgtFrame="_blank" w:history="1">
        <w:r w:rsidRPr="00E14102">
          <w:rPr>
            <w:color w:val="000000" w:themeColor="text1"/>
            <w:sz w:val="16"/>
            <w:szCs w:val="16"/>
          </w:rPr>
          <w:t xml:space="preserve">«УПБ» </w:t>
        </w:r>
      </w:hyperlink>
      <w:r w:rsidRPr="00E14102">
        <w:rPr>
          <w:color w:val="000000" w:themeColor="text1"/>
          <w:sz w:val="16"/>
          <w:szCs w:val="16"/>
        </w:rPr>
        <w:t>Зельмана Исааковича Ицковича, летчик А.А.Ивановский. Оценка была такая: а) самолет по своим данным дает возможность выполнять почти все задачи курса огневой подготовки 1935 г.; б) по технике пилотирования и условиям работы очень напоминает «СБ»; в) обладает хорошими летными данными, не уступающими иностранным самолетам; г) дешев в эксплуатации. Отмечались и недостатки: кабина штурмана тесна и неудобна, обзор из нее после устранения недостатков плох, вооружение с дефектами. Предполагалось использовать самолет для учебно-боевой подготовки экипажей тяжелых и скоростных бомбардировщиков. Была заказана серия в 25 самолетов, но построена она не была (14961).</w:t>
      </w:r>
    </w:p>
    <w:p w14:paraId="48EA77C0" w14:textId="77777777" w:rsidR="00E90C6B" w:rsidRPr="00E14102" w:rsidRDefault="00E90C6B" w:rsidP="00E14102">
      <w:pPr>
        <w:jc w:val="both"/>
        <w:rPr>
          <w:color w:val="000000" w:themeColor="text1"/>
          <w:sz w:val="16"/>
          <w:szCs w:val="16"/>
        </w:rPr>
      </w:pPr>
    </w:p>
    <w:p w14:paraId="6600E4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23 июля 1935 г. в рапорте директору завода № 39 Марголину Н.Н.Поликарпов указал, что бригадой № 2 в на</w:t>
      </w:r>
      <w:r w:rsidRPr="00E14102">
        <w:rPr>
          <w:color w:val="000000" w:themeColor="text1"/>
          <w:sz w:val="16"/>
          <w:szCs w:val="16"/>
        </w:rPr>
        <w:softHyphen/>
        <w:t>стоящее время ведутся работы по установке на И-16 моторов М-58 и К-9, по проектированию новых бензоба</w:t>
      </w:r>
      <w:r w:rsidRPr="00E14102">
        <w:rPr>
          <w:color w:val="000000" w:themeColor="text1"/>
          <w:sz w:val="16"/>
          <w:szCs w:val="16"/>
        </w:rPr>
        <w:softHyphen/>
        <w:t>ков, по доводке шасси конструкции завода № 21 для ма</w:t>
      </w:r>
      <w:r w:rsidRPr="00E14102">
        <w:rPr>
          <w:color w:val="000000" w:themeColor="text1"/>
          <w:sz w:val="16"/>
          <w:szCs w:val="16"/>
        </w:rPr>
        <w:softHyphen/>
        <w:t>шин завода № 39, по установке радиостанции и выполняются другие более мелкие задания. Но от</w:t>
      </w:r>
      <w:r w:rsidRPr="00E14102">
        <w:rPr>
          <w:color w:val="000000" w:themeColor="text1"/>
          <w:sz w:val="16"/>
          <w:szCs w:val="16"/>
        </w:rPr>
        <w:softHyphen/>
        <w:t>сутствие моторов и даже их макетов и точных характеристик задержало создание новых модификаций. И-16 с М-58 и Гном-Рон “Мистраль-Мажор” появились только в 1936 г. (10667).</w:t>
      </w:r>
    </w:p>
    <w:p w14:paraId="4B5592F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CF2E9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23 июля 1935 из недр ГУ ГВФ появился приказ расформировать ГГАТ ГВФ, чем и занялись с 1 августа. Курсанты были переведены в Саратов, а имущество распределили между Авиаотрядом Спецпри</w:t>
      </w:r>
      <w:r w:rsidRPr="00E14102">
        <w:rPr>
          <w:color w:val="000000" w:themeColor="text1"/>
          <w:sz w:val="16"/>
          <w:szCs w:val="16"/>
        </w:rPr>
        <w:softHyphen/>
        <w:t>менения (был такой в Горьком) и другими авиатехникумами. Документы техникума бы</w:t>
      </w:r>
      <w:r w:rsidRPr="00E14102">
        <w:rPr>
          <w:color w:val="000000" w:themeColor="text1"/>
          <w:sz w:val="16"/>
          <w:szCs w:val="16"/>
        </w:rPr>
        <w:softHyphen/>
        <w:t>ли изъяты уполномоченным НКВД и посту</w:t>
      </w:r>
      <w:r w:rsidRPr="00E14102">
        <w:rPr>
          <w:color w:val="000000" w:themeColor="text1"/>
          <w:sz w:val="16"/>
          <w:szCs w:val="16"/>
        </w:rPr>
        <w:softHyphen/>
        <w:t>пили в Крайархив. Однако постройка самоле</w:t>
      </w:r>
      <w:r w:rsidRPr="00E14102">
        <w:rPr>
          <w:color w:val="000000" w:themeColor="text1"/>
          <w:sz w:val="16"/>
          <w:szCs w:val="16"/>
        </w:rPr>
        <w:softHyphen/>
        <w:t>та КСМ благодаря поддержке ВВС, ОАХ и Комсо</w:t>
      </w:r>
      <w:r w:rsidRPr="00E14102">
        <w:rPr>
          <w:color w:val="000000" w:themeColor="text1"/>
          <w:sz w:val="16"/>
          <w:szCs w:val="16"/>
        </w:rPr>
        <w:softHyphen/>
        <w:t>мола остановлена не была. В соответствии с договором между ГАЗом, в лице замдиректо</w:t>
      </w:r>
      <w:r w:rsidRPr="00E14102">
        <w:rPr>
          <w:color w:val="000000" w:themeColor="text1"/>
          <w:sz w:val="16"/>
          <w:szCs w:val="16"/>
        </w:rPr>
        <w:softHyphen/>
        <w:t>ра А.М.Рубина, и мастерскими техникума, в лице их начальника М.В.Веселовского, под</w:t>
      </w:r>
      <w:r w:rsidRPr="00E14102">
        <w:rPr>
          <w:color w:val="000000" w:themeColor="text1"/>
          <w:sz w:val="16"/>
          <w:szCs w:val="16"/>
        </w:rPr>
        <w:softHyphen/>
        <w:t>писанным 15 июля, проведение испытаний са</w:t>
      </w:r>
      <w:r w:rsidRPr="00E14102">
        <w:rPr>
          <w:color w:val="000000" w:themeColor="text1"/>
          <w:sz w:val="16"/>
          <w:szCs w:val="16"/>
        </w:rPr>
        <w:softHyphen/>
        <w:t>молета надлежало завершить к 15 сентября. Специально для КСМ в районе села Борисов</w:t>
      </w:r>
      <w:r w:rsidRPr="00E14102">
        <w:rPr>
          <w:color w:val="000000" w:themeColor="text1"/>
          <w:sz w:val="16"/>
          <w:szCs w:val="16"/>
        </w:rPr>
        <w:softHyphen/>
        <w:t>ское (дер. Борисово), что недалеко от Горь</w:t>
      </w:r>
      <w:r w:rsidRPr="00E14102">
        <w:rPr>
          <w:color w:val="000000" w:themeColor="text1"/>
          <w:sz w:val="16"/>
          <w:szCs w:val="16"/>
        </w:rPr>
        <w:softHyphen/>
        <w:t>кого, был устроен ангар. Основную програм</w:t>
      </w:r>
      <w:r w:rsidRPr="00E14102">
        <w:rPr>
          <w:color w:val="000000" w:themeColor="text1"/>
          <w:sz w:val="16"/>
          <w:szCs w:val="16"/>
        </w:rPr>
        <w:softHyphen/>
        <w:t>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w:t>
      </w:r>
      <w:r w:rsidRPr="00E14102">
        <w:rPr>
          <w:color w:val="000000" w:themeColor="text1"/>
          <w:sz w:val="16"/>
          <w:szCs w:val="16"/>
        </w:rPr>
        <w:softHyphen/>
        <w:t>фессии, особыми приметами самолетострои</w:t>
      </w:r>
      <w:r w:rsidRPr="00E14102">
        <w:rPr>
          <w:color w:val="000000" w:themeColor="text1"/>
          <w:sz w:val="16"/>
          <w:szCs w:val="16"/>
        </w:rPr>
        <w:softHyphen/>
        <w:t>телям не запомнился...(10715).</w:t>
      </w:r>
    </w:p>
    <w:p w14:paraId="7DF714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ACBEF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июля 1935 г. состоялся первый полет Р-1 с турбонаддувом. В 1935 г. в НИИ ВВС на одну машину установили купленный в США турбокомпрессор «Дженерал электрик». Нагнетатель предназначался для «Либерти» и подогнать его к М-5 не составило особой проблемы. В этой работе участвовали сотрудники НИИ ВВС и ЦИАМ, руководил ей военный инженер Павлючук. Турбонагнетатель прикрепили к подмоторной раме. Обшивку фюзеляжа у выхлопных патрубков прикрыли стальным листом с асбестовой прокладкой. Пришлось также внести изменения в капотирование. Вес мотоустановки увеличился на 60 кг. Пилотировал машину летчик Каверин, а в кабине летнаба сидел Павлючук. После посадки пилот выключил зажигание, но двигатель не остановился. Попробовали включить зажигание вновь — начался пожар в нагнетателе; но когда Каверин прибавил обороты, огонь потух. В дальнейших полетах таких неприятностей уже не встретили. Выявили только чрезмерный выброс масла из пошипников турбокомпрессора. Всего до 21 октября летчики Каверин, Уроничев и Долгов совершили 17 полетов с различными летнабами. Опыт знакомства с американским устройством позже использовали при разработке первых отечественных турбонагнетателей (11923).</w:t>
      </w:r>
    </w:p>
    <w:p w14:paraId="4CA2C226" w14:textId="77777777" w:rsidR="00D4105E" w:rsidRPr="00E14102" w:rsidRDefault="00D4105E" w:rsidP="00E14102">
      <w:pPr>
        <w:autoSpaceDE w:val="0"/>
        <w:autoSpaceDN w:val="0"/>
        <w:adjustRightInd w:val="0"/>
        <w:jc w:val="both"/>
        <w:rPr>
          <w:color w:val="000000" w:themeColor="text1"/>
          <w:sz w:val="16"/>
          <w:szCs w:val="16"/>
        </w:rPr>
      </w:pPr>
    </w:p>
    <w:p w14:paraId="1AFF05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июля 1935 года N 09637с/03697. Наркому обороны.</w:t>
      </w:r>
    </w:p>
    <w:p w14:paraId="4490FC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результате расследования летных происшествий, имевшем место на опытном учении в Воронеже, комиссия установила следующее:</w:t>
      </w:r>
    </w:p>
    <w:p w14:paraId="09290A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учение проводилось с 15 по 19 июля с.г.</w:t>
      </w:r>
    </w:p>
    <w:p w14:paraId="067530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Затем было приступлено к сбрасыванию с бреющего полета (в 10-15 м) 107 мм снарядов с АГДТ.</w:t>
      </w:r>
    </w:p>
    <w:p w14:paraId="58CFD3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же снаряд-бомба при прямом попадании в танк взорвался мгновенно, хотя взрыватель был установлен с замедлением и сбрасывавший его самолет получил 177 пробоин. Летчик получил ранение в ноги, причем ударом осколка нога была сброшена с педали. Летнаб получил легкое ранение. Самолет и экипаж сохранены невредимыми.</w:t>
      </w:r>
    </w:p>
    <w:p w14:paraId="37F223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15 часов другой отряд с высоты 25-30 м сбросил два 122 мм снаряда-бомбы. Оба снаряда взорвались мгновенно. Осколки бомб пробили бензиновые баки ведущего самолета. Самолет немедленно вспыхнул и упал на землю.</w:t>
      </w:r>
    </w:p>
    <w:p w14:paraId="5F47E5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этого учение было прервано.</w:t>
      </w:r>
    </w:p>
    <w:p w14:paraId="644895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произошло потому что взрыватель АГДТ предназначен только для бомбометания по воздушным целям.</w:t>
      </w:r>
    </w:p>
    <w:p w14:paraId="4FA43A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у нас нет взрывателя с замедлителем для осколочных авиабомб. (2484,24-27).</w:t>
      </w:r>
    </w:p>
    <w:p w14:paraId="6A6873AB" w14:textId="77777777" w:rsidR="00D4105E" w:rsidRPr="00E14102" w:rsidRDefault="00D4105E" w:rsidP="00E14102">
      <w:pPr>
        <w:autoSpaceDE w:val="0"/>
        <w:autoSpaceDN w:val="0"/>
        <w:adjustRightInd w:val="0"/>
        <w:jc w:val="both"/>
        <w:rPr>
          <w:color w:val="000000" w:themeColor="text1"/>
          <w:sz w:val="16"/>
          <w:szCs w:val="16"/>
        </w:rPr>
      </w:pPr>
    </w:p>
    <w:p w14:paraId="000C47A6" w14:textId="77777777" w:rsidR="00514758" w:rsidRPr="00E14102" w:rsidRDefault="00514758" w:rsidP="00E14102">
      <w:pPr>
        <w:jc w:val="both"/>
        <w:rPr>
          <w:color w:val="0070C0"/>
          <w:sz w:val="16"/>
          <w:szCs w:val="16"/>
        </w:rPr>
      </w:pPr>
      <w:r w:rsidRPr="00E14102">
        <w:rPr>
          <w:color w:val="0070C0"/>
          <w:sz w:val="16"/>
          <w:szCs w:val="16"/>
          <w:lang w:bidi="ru-RU"/>
        </w:rPr>
        <w:t>23 июля 1935 дирижабль В-6 ушёл в воздух впервые без шеф-пилота Нобиле. Паньков, отныне полноценный командир, взял курс на Смоленск, затем на Брянск. Через 19 часов, пройдя сквозь дожди около 1000 километров, корабль вернулся на Долгопрудную (23192).</w:t>
      </w:r>
    </w:p>
    <w:p w14:paraId="722550FE" w14:textId="77777777" w:rsidR="00514758" w:rsidRPr="00E14102" w:rsidRDefault="00514758" w:rsidP="00E14102">
      <w:pPr>
        <w:jc w:val="both"/>
        <w:rPr>
          <w:color w:val="0070C0"/>
          <w:sz w:val="16"/>
          <w:szCs w:val="16"/>
        </w:rPr>
      </w:pPr>
    </w:p>
    <w:p w14:paraId="442A458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4BA4727" w14:textId="77777777" w:rsidR="00D4105E" w:rsidRPr="00E14102" w:rsidRDefault="00D4105E" w:rsidP="00E14102">
      <w:pPr>
        <w:autoSpaceDE w:val="0"/>
        <w:autoSpaceDN w:val="0"/>
        <w:adjustRightInd w:val="0"/>
        <w:jc w:val="both"/>
        <w:rPr>
          <w:iCs/>
          <w:color w:val="000000" w:themeColor="text1"/>
          <w:sz w:val="16"/>
          <w:szCs w:val="16"/>
        </w:rPr>
      </w:pPr>
    </w:p>
    <w:p w14:paraId="194867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июля 1935 г. СНК СССР принял постановление об образовании в системе Центрального управления шоссейных и грунтовых дорог и автомобильного транспорта (Цудортранс) Государственной автомобильной инспекции (10303).</w:t>
      </w:r>
    </w:p>
    <w:p w14:paraId="09B1CCC7" w14:textId="77777777" w:rsidR="00D4105E" w:rsidRPr="00E14102" w:rsidRDefault="00D4105E" w:rsidP="00E14102">
      <w:pPr>
        <w:autoSpaceDE w:val="0"/>
        <w:autoSpaceDN w:val="0"/>
        <w:adjustRightInd w:val="0"/>
        <w:jc w:val="both"/>
        <w:rPr>
          <w:color w:val="000000" w:themeColor="text1"/>
          <w:sz w:val="16"/>
          <w:szCs w:val="16"/>
        </w:rPr>
      </w:pPr>
    </w:p>
    <w:p w14:paraId="0509A30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DC0B20A" w14:textId="77777777" w:rsidR="00D4105E" w:rsidRPr="00E14102" w:rsidRDefault="00D4105E" w:rsidP="00E14102">
      <w:pPr>
        <w:autoSpaceDE w:val="0"/>
        <w:autoSpaceDN w:val="0"/>
        <w:adjustRightInd w:val="0"/>
        <w:jc w:val="both"/>
        <w:rPr>
          <w:iCs/>
          <w:color w:val="000000" w:themeColor="text1"/>
          <w:sz w:val="16"/>
          <w:szCs w:val="16"/>
        </w:rPr>
      </w:pPr>
    </w:p>
    <w:p w14:paraId="447B09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июля 1935 состоялся второй полет РД на продолжительность. На этот раз взлетели с только что построенной бетонной дорожки со стартовой горкой. И снова неудача: из-за неисправности мотора самолет совершил вынужденную посадку (160).</w:t>
      </w:r>
    </w:p>
    <w:p w14:paraId="3F2F9FE5" w14:textId="77777777" w:rsidR="00D4105E" w:rsidRPr="00E14102" w:rsidRDefault="00D4105E" w:rsidP="00E14102">
      <w:pPr>
        <w:autoSpaceDE w:val="0"/>
        <w:autoSpaceDN w:val="0"/>
        <w:adjustRightInd w:val="0"/>
        <w:jc w:val="both"/>
        <w:rPr>
          <w:color w:val="000000" w:themeColor="text1"/>
          <w:sz w:val="16"/>
          <w:szCs w:val="16"/>
        </w:rPr>
      </w:pPr>
    </w:p>
    <w:p w14:paraId="2115F0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июля 1935 председатель оргкомитета городского аэроклуба Таганрога П.А. Номан рассказал о том, как идет подготовка к открытию клуба. По решению горисполкома для него временно были выделены в здании на углу улицы Ленина я Украинского переулка, где помещался горсовет Осоавиахима, две комнаты. Было тесно, но это уже была первая своя база. Под аэродром и ангар отвели территорию между заводом «Красный котельщик» и еврейским кладбищем (теперь на этом месте высятся корпуса завода «Прибой»).</w:t>
      </w:r>
    </w:p>
    <w:p w14:paraId="61C3D5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Именно здесь в июле 1935 года была проведена грандиозная авиамассовка. Несколько тысяч таганрожцев собрались на праздник. Буксируемый самолетом, взлетает в небо легкий и быстрый планер «Костя Ерофицкий». Там, высоко в голубом небе, отцепившись от самолета, планер, словно купаясь в воздушных потоках, проделывает целый ряд фигур высшего пилотажа.</w:t>
      </w:r>
    </w:p>
    <w:p w14:paraId="30EDA7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Вот планер, словно замер на месте. Затем резкий и глубокий бросок к земле, и будто неведомая сила тянет легкий планер вдруг снова вверх. «Мертвая петля». Дух захватывает у тысяч зрителей. А планер уже мягко я плавно идет на посадку. Высший пилотаж выполнил летчик-планерист Шевяков. А в небе уже пара учебных самолетов У-2. Их ведут опытные летчики П. А. Номан и А. А. Ульсен. Набрав высоту около 500 метров, они в строю - парой продемонстрировали целый комплекс фигур высшего пилотажа.</w:t>
      </w:r>
    </w:p>
    <w:p w14:paraId="2830B9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Затем состоялись прыжки с парашютом с самолета. Первый прыжок выполнил Мельник. Потом были выполнены полузатяжные прыжки. В конце праздника состоялось катание лучших ударников на самолетах. С опаской, но и огромным желанием садились в кабины и взмывали в небо и старые, и молодые. Авиационный праздник 24 июля стал памятным для многих таганрожцев. Сотни и тысячи молодых ребят и девчат стали мечтать о небе, о самолетах, парашютах (11642).</w:t>
      </w:r>
    </w:p>
    <w:p w14:paraId="703FFBE1" w14:textId="77777777" w:rsidR="00D4105E" w:rsidRPr="00E14102" w:rsidRDefault="00D4105E" w:rsidP="00E14102">
      <w:pPr>
        <w:autoSpaceDE w:val="0"/>
        <w:autoSpaceDN w:val="0"/>
        <w:adjustRightInd w:val="0"/>
        <w:jc w:val="both"/>
        <w:rPr>
          <w:color w:val="000000" w:themeColor="text1"/>
          <w:sz w:val="16"/>
          <w:szCs w:val="16"/>
        </w:rPr>
      </w:pPr>
    </w:p>
    <w:p w14:paraId="65039866" w14:textId="77777777" w:rsidR="00514758" w:rsidRPr="00E14102" w:rsidRDefault="00514758" w:rsidP="00E14102">
      <w:pPr>
        <w:jc w:val="both"/>
        <w:rPr>
          <w:color w:val="0070C0"/>
          <w:sz w:val="16"/>
          <w:szCs w:val="16"/>
        </w:rPr>
      </w:pPr>
      <w:r w:rsidRPr="00E14102">
        <w:rPr>
          <w:color w:val="0070C0"/>
          <w:sz w:val="16"/>
          <w:szCs w:val="16"/>
        </w:rPr>
        <w:t>24 июля 1935 г. П.П. Полосухин выполнил свой второй прыжок с аэростата (пилот А.А. Фомин) на Тушинском аэродроме в День физкультурни</w:t>
      </w:r>
      <w:r w:rsidRPr="00E14102">
        <w:rPr>
          <w:color w:val="0070C0"/>
          <w:sz w:val="16"/>
          <w:szCs w:val="16"/>
        </w:rPr>
        <w:softHyphen/>
        <w:t>ка. Сильный ветер усложнял выполнение прыжка, поэтому для того, чтобы достичь требуемой вы</w:t>
      </w:r>
      <w:r w:rsidRPr="00E14102">
        <w:rPr>
          <w:color w:val="0070C0"/>
          <w:sz w:val="16"/>
          <w:szCs w:val="16"/>
        </w:rPr>
        <w:softHyphen/>
        <w:t>соты в 2000 м и не оказаться за пределами аэро</w:t>
      </w:r>
      <w:r w:rsidRPr="00E14102">
        <w:rPr>
          <w:color w:val="0070C0"/>
          <w:sz w:val="16"/>
          <w:szCs w:val="16"/>
        </w:rPr>
        <w:softHyphen/>
        <w:t>дрома, аэростат отнесли подальше против ветра, и при старте сразу выбросили почти весь балласт. Поднявшись со скоростью 12 м/с, аэростат вышел на требуемую высоту как раз над центром поля. П.П. Полосухин отделился от гондолы и, пролетев в свободном падении 1500 м, открыл парашют (20120).</w:t>
      </w:r>
    </w:p>
    <w:p w14:paraId="55FA77F7" w14:textId="77777777" w:rsidR="00514758" w:rsidRPr="00E14102" w:rsidRDefault="00514758" w:rsidP="00E14102">
      <w:pPr>
        <w:jc w:val="both"/>
        <w:rPr>
          <w:color w:val="0070C0"/>
          <w:sz w:val="16"/>
          <w:szCs w:val="16"/>
        </w:rPr>
      </w:pPr>
    </w:p>
    <w:p w14:paraId="61AEDD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24 по 30 июля 1935 состоялись девятые всесоюзные соревнования летающих моделей (438,154).</w:t>
      </w:r>
    </w:p>
    <w:p w14:paraId="0C858CD2" w14:textId="77777777" w:rsidR="00D4105E" w:rsidRPr="00E14102" w:rsidRDefault="00D4105E" w:rsidP="00E14102">
      <w:pPr>
        <w:autoSpaceDE w:val="0"/>
        <w:autoSpaceDN w:val="0"/>
        <w:adjustRightInd w:val="0"/>
        <w:jc w:val="both"/>
        <w:rPr>
          <w:color w:val="000000" w:themeColor="text1"/>
          <w:sz w:val="16"/>
          <w:szCs w:val="16"/>
        </w:rPr>
      </w:pPr>
    </w:p>
    <w:p w14:paraId="7A780A16" w14:textId="77777777" w:rsidR="00E90C6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A27D7DD" w14:textId="77777777" w:rsidR="00E90C6B" w:rsidRPr="00E14102" w:rsidRDefault="00E90C6B" w:rsidP="00E14102">
      <w:pPr>
        <w:autoSpaceDE w:val="0"/>
        <w:autoSpaceDN w:val="0"/>
        <w:adjustRightInd w:val="0"/>
        <w:jc w:val="both"/>
        <w:rPr>
          <w:iCs/>
          <w:color w:val="000000" w:themeColor="text1"/>
          <w:sz w:val="16"/>
          <w:szCs w:val="16"/>
        </w:rPr>
      </w:pPr>
    </w:p>
    <w:p w14:paraId="15912C74" w14:textId="77777777" w:rsidR="00E90C6B" w:rsidRPr="00E14102" w:rsidRDefault="00E90C6B" w:rsidP="00E14102">
      <w:pPr>
        <w:jc w:val="both"/>
        <w:rPr>
          <w:color w:val="000000" w:themeColor="text1"/>
          <w:sz w:val="16"/>
          <w:szCs w:val="16"/>
        </w:rPr>
      </w:pPr>
      <w:r w:rsidRPr="00E14102">
        <w:rPr>
          <w:color w:val="000000" w:themeColor="text1"/>
          <w:sz w:val="16"/>
          <w:szCs w:val="16"/>
        </w:rPr>
        <w:lastRenderedPageBreak/>
        <w:t>24 июля в 1935 году первая поздравительная телеграмма посылается в Британии (14962).</w:t>
      </w:r>
    </w:p>
    <w:p w14:paraId="7D631895" w14:textId="77777777" w:rsidR="00E90C6B" w:rsidRPr="00E14102" w:rsidRDefault="00E90C6B" w:rsidP="00E14102">
      <w:pPr>
        <w:jc w:val="both"/>
        <w:rPr>
          <w:color w:val="000000" w:themeColor="text1"/>
          <w:sz w:val="16"/>
          <w:szCs w:val="16"/>
        </w:rPr>
      </w:pPr>
    </w:p>
    <w:p w14:paraId="5DB3000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7157FD6" w14:textId="77777777" w:rsidR="00D4105E" w:rsidRPr="00E14102" w:rsidRDefault="00D4105E" w:rsidP="00E14102">
      <w:pPr>
        <w:autoSpaceDE w:val="0"/>
        <w:autoSpaceDN w:val="0"/>
        <w:adjustRightInd w:val="0"/>
        <w:jc w:val="both"/>
        <w:rPr>
          <w:iCs/>
          <w:color w:val="000000" w:themeColor="text1"/>
          <w:sz w:val="16"/>
          <w:szCs w:val="16"/>
        </w:rPr>
      </w:pPr>
    </w:p>
    <w:p w14:paraId="4ED606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июля 1935 года Зам. наркома обороны Тухачевский утвердил Тактико-техническое задание на телемеханический самолет, отмечающий свой путь на карте</w:t>
      </w:r>
    </w:p>
    <w:p w14:paraId="03C0E9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Телемеханический самолет, отмечающий свой путь на карте является дальнейшим развитием задания на телесамолет, управляемый по радиомаяку.</w:t>
      </w:r>
    </w:p>
    <w:p w14:paraId="1AD9EA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Основная идея настоящего задания заключается в том, чтобы обеспечить контроль за поддержанием правильного курса телесамолета и получение от него данных о пройденном расстоянии.</w:t>
      </w:r>
    </w:p>
    <w:p w14:paraId="3510C6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командном посту телемеханического управления все получаемые данные автоматически должны наноситься на специальный электрифицированный планшет и давать наглядное изображение выполняемого телесамолетом маршрута.</w:t>
      </w:r>
    </w:p>
    <w:p w14:paraId="5F9876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...(3826,43-45).</w:t>
      </w:r>
    </w:p>
    <w:p w14:paraId="76F86424" w14:textId="77777777" w:rsidR="00D4105E" w:rsidRPr="00E14102" w:rsidRDefault="00D4105E" w:rsidP="00E14102">
      <w:pPr>
        <w:autoSpaceDE w:val="0"/>
        <w:autoSpaceDN w:val="0"/>
        <w:adjustRightInd w:val="0"/>
        <w:jc w:val="both"/>
        <w:rPr>
          <w:color w:val="000000" w:themeColor="text1"/>
          <w:sz w:val="16"/>
          <w:szCs w:val="16"/>
        </w:rPr>
      </w:pPr>
    </w:p>
    <w:p w14:paraId="3226B3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июля 1935 года Зам. наркома обороны Тухачевский утвердил Тактико-технические требования на торпеду, самонаправляющуюся на самолет</w:t>
      </w:r>
    </w:p>
    <w:p w14:paraId="11D2BA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Самонаправляющаяся торпеда должна представлять собой специальный летательный аппарат с реактивным или другого типа двигателем, способным сообщить торпеде большую скорость, необходимую для преследования самолетов.</w:t>
      </w:r>
    </w:p>
    <w:p w14:paraId="5C36D0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Самонаправляющаяся торпеда предназначается для борьбы с самолетами в воздухе. Она выпускается с земли или с самолета ТБ-3 и после выпуска должна автоматически фотоэлектрическим путем поддерживать направление на цель (самолет или группа самолетов) вплоть до момента попадания в цель. При попадании в цель торпеда автоматически взрывается (3826,46-47).</w:t>
      </w:r>
    </w:p>
    <w:p w14:paraId="3DDCDB9C" w14:textId="77777777" w:rsidR="00D4105E" w:rsidRPr="00E14102" w:rsidRDefault="00D4105E" w:rsidP="00E14102">
      <w:pPr>
        <w:autoSpaceDE w:val="0"/>
        <w:autoSpaceDN w:val="0"/>
        <w:adjustRightInd w:val="0"/>
        <w:jc w:val="both"/>
        <w:rPr>
          <w:color w:val="000000" w:themeColor="text1"/>
          <w:sz w:val="16"/>
          <w:szCs w:val="16"/>
        </w:rPr>
      </w:pPr>
    </w:p>
    <w:p w14:paraId="5CE1CF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июля 1935 года Зам. наркома обороны Тухачевский утвердил Тактико-технические требования к системе приборов для пеленгации самолетов по отражению ультракоротких волн</w:t>
      </w:r>
    </w:p>
    <w:p w14:paraId="5DD9CE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Система приборов для пеленгации самолетов должна обнаруживать самолеты, приближающиеся к обороняемому объекту с расстояния в 150 км, на 2-ом этапе до 300-400 км.</w:t>
      </w:r>
    </w:p>
    <w:p w14:paraId="07CC55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Система состоит из излучающей радиостанции и одной или нескольких приемных радиостанций, монтированных в автомобилях (3826,56-58).</w:t>
      </w:r>
    </w:p>
    <w:p w14:paraId="44F1A2C6" w14:textId="77777777" w:rsidR="00D4105E" w:rsidRPr="00E14102" w:rsidRDefault="00D4105E" w:rsidP="00E14102">
      <w:pPr>
        <w:autoSpaceDE w:val="0"/>
        <w:autoSpaceDN w:val="0"/>
        <w:adjustRightInd w:val="0"/>
        <w:jc w:val="both"/>
        <w:rPr>
          <w:color w:val="000000" w:themeColor="text1"/>
          <w:sz w:val="16"/>
          <w:szCs w:val="16"/>
        </w:rPr>
      </w:pPr>
    </w:p>
    <w:p w14:paraId="04FE4F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июля 1935 года Зам. наркома обороны Тухачевский утвердил Тактико-технические требования на автоматический телеуправляемый по радио самолет типа Р-Д</w:t>
      </w:r>
    </w:p>
    <w:p w14:paraId="2B2BD7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Автоматический телеуправляемый по радио самолет типа Р-Д предназначается для действия по большим городам и крупным жизненным центрам противника, Телесамолет должен иметь бомбы для сбрасывания по радио и запас ВВ и ОВ для использования самолета в виде торпеды.</w:t>
      </w:r>
    </w:p>
    <w:p w14:paraId="4BE6F1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Разработка и конструирование телеуправляемого самолета разбивается на два этапа:</w:t>
      </w:r>
    </w:p>
    <w:p w14:paraId="75DC25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1-й этап:</w:t>
      </w:r>
    </w:p>
    <w:p w14:paraId="198D26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Управление автоматическим телеуправляемым самолетом производится по радио с другого самолета (ведущего) Р-Д или Р-6. Дистанция между ведущим и управляемым самолетами должна быть в пределах максимально возможной видимости. Телесамолет должен иметь приспособление для наведения его на цель радиусом в 250 м.</w:t>
      </w:r>
    </w:p>
    <w:p w14:paraId="570102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Дальность действия телеуправляемого самолета должна быть 1000-1500 км.</w:t>
      </w:r>
    </w:p>
    <w:p w14:paraId="5CC010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Взлет производится с пилотом, который после установки телесамолета на курс сбрасывается с парашютом. Наведение на цель ведущим самолетом.</w:t>
      </w:r>
    </w:p>
    <w:p w14:paraId="4F3431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2-й этап:</w:t>
      </w:r>
    </w:p>
    <w:p w14:paraId="20640A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2-ом этапе должен быть разработан автоматический взлет и посадка и направление телесамолета на цель на расстоянии до 1500 км по специально разработанному для этого радиомаяку.</w:t>
      </w:r>
    </w:p>
    <w:p w14:paraId="38EFF1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в результате работ 2-го этапа должны быть предъявлены:</w:t>
      </w:r>
    </w:p>
    <w:p w14:paraId="681E09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телеуправляемый самолет, могущий производить взлет, полет к цели, наведение на цель, сбрасывание бомб, возвращение и посадку при полном отсутствии экипажа на нем.</w:t>
      </w:r>
    </w:p>
    <w:p w14:paraId="635664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Мощный радиомаяк с командной аппаратурой, обеспечивающий полностью управление телесамолетом на расстоянии до 1500 км. Зона радиомаяка должна быть засекреченной. Точность наведения телесамолета на цель на предельном расстоянии должна определяться площадью радиусом не более 4-5 км (3826,59-69).</w:t>
      </w:r>
    </w:p>
    <w:p w14:paraId="0449F5BD" w14:textId="77777777" w:rsidR="00D4105E" w:rsidRPr="00E14102" w:rsidRDefault="00D4105E" w:rsidP="00E14102">
      <w:pPr>
        <w:autoSpaceDE w:val="0"/>
        <w:autoSpaceDN w:val="0"/>
        <w:adjustRightInd w:val="0"/>
        <w:jc w:val="both"/>
        <w:rPr>
          <w:color w:val="000000" w:themeColor="text1"/>
          <w:sz w:val="16"/>
          <w:szCs w:val="16"/>
        </w:rPr>
      </w:pPr>
    </w:p>
    <w:p w14:paraId="417C78BF" w14:textId="77777777" w:rsidR="00514758" w:rsidRPr="00E14102" w:rsidRDefault="00514758" w:rsidP="00E14102">
      <w:pPr>
        <w:jc w:val="both"/>
        <w:rPr>
          <w:color w:val="0070C0"/>
          <w:sz w:val="16"/>
          <w:szCs w:val="16"/>
        </w:rPr>
      </w:pPr>
      <w:r w:rsidRPr="00E14102">
        <w:rPr>
          <w:color w:val="0070C0"/>
          <w:sz w:val="16"/>
          <w:szCs w:val="16"/>
        </w:rPr>
        <w:t>25 июля 1935 М.Н. Тухачевский утвердил требования к системе управления группой телемеханических самолётов ТБ-1 с самолёта ТБ-3: «Группа из двух телемеханических самолётов предназначается для бомбометания по сильно обороняемым целям на земле, на воде и в воздухе, а также для прикрытия ПВО противника. Взлёт телесамолётов производится под управлением пилотов, которые после сбора и установки на курс сбрасываются на парашютах. Управление в воздухе (после построения) и наведение на цель осуществляется телемеханически по радио с ведущего самолёта ТБ-3 на расстоянии 10–20 км. Бомбометание и взрыв самих самолётов ТБ-1 производится с помощью телемеханических приборов по радио. В дальнейшем должна быть разрешена задача беспилотной посадки телемеханических самолётов. Наблюдение за телесамолётами производится через специальные оптические приборы, обеспечивающие дальность наблюдения вперед на расстоянии 10–20 км. …Точность наведения – попадание в круг радиусом 250 м с расстояния между ведущим и ведомым самолётами не менее 10 км» [РГВА. Ф. 29. Оп. 76. Д. 1069, л. 48–49] (22673).</w:t>
      </w:r>
    </w:p>
    <w:p w14:paraId="5F3111D3" w14:textId="77777777" w:rsidR="00514758" w:rsidRPr="00E14102" w:rsidRDefault="00514758" w:rsidP="00E14102">
      <w:pPr>
        <w:jc w:val="both"/>
        <w:rPr>
          <w:color w:val="0070C0"/>
          <w:sz w:val="16"/>
          <w:szCs w:val="16"/>
        </w:rPr>
      </w:pPr>
    </w:p>
    <w:p w14:paraId="2464F6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июля 1935 года Зам. наркома обороны Тухачевский утвердил Тактико-технические требования на систему управления группой телемеханических самолетов ТБ-1 с ведущего самолета ТБ-3</w:t>
      </w:r>
    </w:p>
    <w:p w14:paraId="504038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Группа из двух телемеханических самолетов предназначается для бомбометания по сильно-обороняемым целям на земле, на воде и в воздухе, а также и для прикрытия ПВО противника.</w:t>
      </w:r>
    </w:p>
    <w:p w14:paraId="4AD2AF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Взлет телесамолетов производится под управлением пилотов, которые после сбора и установки на курс сбрасываются на парашютах. Управление в воздухе (после построения) и наведение на цель, осуществляется телемеханически по радио с ведущего самолета ТБ-3 на расстоянии 10-20 км. Бомбометание и взрыв самих самолетов ТБ-1 производится с помощью телемеханических приборов по радио.</w:t>
      </w:r>
    </w:p>
    <w:p w14:paraId="0F9B49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дальнейшем должна быть разрешена задача беспилотной посадки телемеханических самолетов.</w:t>
      </w:r>
    </w:p>
    <w:p w14:paraId="534E67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Наблюдение за телесамолетами производится через специальные оптические приборы, обеспечивающие дальность наблюдения вперед на расстоянии 10-20 км (3826,48-55).</w:t>
      </w:r>
    </w:p>
    <w:p w14:paraId="01D7ADBE" w14:textId="77777777" w:rsidR="00D4105E" w:rsidRPr="00E14102" w:rsidRDefault="00D4105E" w:rsidP="00E14102">
      <w:pPr>
        <w:autoSpaceDE w:val="0"/>
        <w:autoSpaceDN w:val="0"/>
        <w:adjustRightInd w:val="0"/>
        <w:jc w:val="both"/>
        <w:rPr>
          <w:color w:val="000000" w:themeColor="text1"/>
          <w:sz w:val="16"/>
          <w:szCs w:val="16"/>
        </w:rPr>
      </w:pPr>
    </w:p>
    <w:p w14:paraId="4A310772" w14:textId="77777777" w:rsidR="00857CDA" w:rsidRPr="00E14102" w:rsidRDefault="00857CDA" w:rsidP="00E14102">
      <w:pPr>
        <w:jc w:val="both"/>
        <w:rPr>
          <w:color w:val="000000" w:themeColor="text1"/>
          <w:sz w:val="16"/>
          <w:szCs w:val="16"/>
        </w:rPr>
      </w:pPr>
      <w:r w:rsidRPr="00E14102">
        <w:rPr>
          <w:color w:val="000000" w:themeColor="text1"/>
          <w:sz w:val="16"/>
          <w:szCs w:val="16"/>
        </w:rPr>
        <w:t>25 июля 1935 М.Н. Тухачевский утвердил требования к системе управления группой телемеханических самолётов ТБ-1 с самолёта ТБ-3:</w:t>
      </w:r>
    </w:p>
    <w:p w14:paraId="55F78DD0" w14:textId="77777777" w:rsidR="00857CDA" w:rsidRPr="00E14102" w:rsidRDefault="00857CDA" w:rsidP="00E14102">
      <w:pPr>
        <w:jc w:val="both"/>
        <w:rPr>
          <w:color w:val="000000" w:themeColor="text1"/>
          <w:sz w:val="16"/>
          <w:szCs w:val="16"/>
        </w:rPr>
      </w:pPr>
      <w:r w:rsidRPr="00E14102">
        <w:rPr>
          <w:color w:val="000000" w:themeColor="text1"/>
          <w:sz w:val="16"/>
          <w:szCs w:val="16"/>
        </w:rPr>
        <w:t>«Группа из двух телемеханических самолётов предназначается для бомбометания по сильно обороняемым целям на земле, на воде и в воздухе, а также для прикрытия ПВО противника. Взлёт телесамолётов производится под управлением пилотов, которые после сбора и установки на курс сбрасываются на парашютах. Управление в воздухе (после построения) и наведение на цель осуществляется телемеханически по радио с ведущего самолёта ТБ-3 на расстоянии 10–20 км. Бомбометание и взрыв самих самолётов ТБ-1 производится с помощью телемеханических приборов по радио. В дальнейшем должна быть разрешена задача беспилотной посадки телемеханических самолётов.</w:t>
      </w:r>
    </w:p>
    <w:p w14:paraId="15083689" w14:textId="77777777" w:rsidR="00857CDA" w:rsidRPr="00E14102" w:rsidRDefault="00857CDA" w:rsidP="00E14102">
      <w:pPr>
        <w:jc w:val="both"/>
        <w:rPr>
          <w:color w:val="000000" w:themeColor="text1"/>
          <w:sz w:val="16"/>
          <w:szCs w:val="16"/>
        </w:rPr>
      </w:pPr>
      <w:r w:rsidRPr="00E14102">
        <w:rPr>
          <w:color w:val="000000" w:themeColor="text1"/>
          <w:sz w:val="16"/>
          <w:szCs w:val="16"/>
        </w:rPr>
        <w:t>Наблюдение за телесамолётами производится через специальные оптические приборы, обеспечивающие дальность наблюдения вперёд на расстоянии 10–20 км…</w:t>
      </w:r>
    </w:p>
    <w:p w14:paraId="7720F4AA" w14:textId="77777777" w:rsidR="00857CDA" w:rsidRPr="00E14102" w:rsidRDefault="00857CDA" w:rsidP="00E14102">
      <w:pPr>
        <w:jc w:val="both"/>
        <w:rPr>
          <w:color w:val="000000" w:themeColor="text1"/>
          <w:sz w:val="16"/>
          <w:szCs w:val="16"/>
        </w:rPr>
      </w:pPr>
      <w:r w:rsidRPr="00E14102">
        <w:rPr>
          <w:color w:val="000000" w:themeColor="text1"/>
          <w:sz w:val="16"/>
          <w:szCs w:val="16"/>
        </w:rPr>
        <w:t xml:space="preserve">Точность наведения — попадание в круг радиусом 250 м с расстояния между ведущим и ведомым самолётами не менее 10 км» </w:t>
      </w:r>
      <w:hyperlink r:id="rId151" w:history="1">
        <w:r w:rsidRPr="00E14102">
          <w:rPr>
            <w:color w:val="000000" w:themeColor="text1"/>
            <w:sz w:val="16"/>
            <w:szCs w:val="16"/>
          </w:rPr>
          <w:t>[220]</w:t>
        </w:r>
      </w:hyperlink>
      <w:r w:rsidRPr="00E14102">
        <w:rPr>
          <w:color w:val="000000" w:themeColor="text1"/>
          <w:sz w:val="16"/>
          <w:szCs w:val="16"/>
        </w:rPr>
        <w:t xml:space="preserve"> .</w:t>
      </w:r>
    </w:p>
    <w:p w14:paraId="4657283A" w14:textId="77777777" w:rsidR="00857CDA" w:rsidRPr="00E14102" w:rsidRDefault="00857CDA" w:rsidP="00E14102">
      <w:pPr>
        <w:jc w:val="both"/>
        <w:rPr>
          <w:color w:val="000000" w:themeColor="text1"/>
          <w:sz w:val="16"/>
          <w:szCs w:val="16"/>
        </w:rPr>
      </w:pPr>
      <w:r w:rsidRPr="00E14102">
        <w:rPr>
          <w:color w:val="000000" w:themeColor="text1"/>
          <w:sz w:val="16"/>
          <w:szCs w:val="16"/>
        </w:rPr>
        <w:t xml:space="preserve">Войсковые испытания начались летом 1936 г. на аэродроме Кречевицы Ленинградского военного округа. В июле при 2-й тяжёлобомбардировочной бригаде был сформирован авиационный отряд особого назначения («Авотон») с шестью ТБ-1, оборудованными автопилотами, приборами «Дедал» и компрессорами, работающими от ветрянок — небольших пропеллеров, вращающихся от потока воздуха в полёте. Самолёты были основательно изношены и требовали ремонта. Но хуже было то, что испытываемое бортовое оборудование всё время выходило из строя. «Проведённые за 2 месяца (август-сентябрь) 14 полётов под автопилотами не позволили дать какую-либо оценку их работе по той причине, что в каждом полёте систематически отказывали или автопилоты, или компрессоры, питающие их воздухом… Естественно, что ни о каких полётах по вождению самолётов по радио не могло быть и речи» </w:t>
      </w:r>
      <w:hyperlink r:id="rId152" w:history="1">
        <w:r w:rsidRPr="00E14102">
          <w:rPr>
            <w:color w:val="000000" w:themeColor="text1"/>
            <w:sz w:val="16"/>
            <w:szCs w:val="16"/>
          </w:rPr>
          <w:t>[221]</w:t>
        </w:r>
      </w:hyperlink>
      <w:r w:rsidRPr="00E14102">
        <w:rPr>
          <w:color w:val="000000" w:themeColor="text1"/>
          <w:sz w:val="16"/>
          <w:szCs w:val="16"/>
        </w:rPr>
        <w:t xml:space="preserve"> (17489).</w:t>
      </w:r>
    </w:p>
    <w:p w14:paraId="18AF0653" w14:textId="77777777" w:rsidR="00857CDA" w:rsidRPr="00E14102" w:rsidRDefault="00857CDA" w:rsidP="00E14102">
      <w:pPr>
        <w:jc w:val="both"/>
        <w:rPr>
          <w:color w:val="000000" w:themeColor="text1"/>
          <w:sz w:val="16"/>
          <w:szCs w:val="16"/>
        </w:rPr>
      </w:pPr>
    </w:p>
    <w:p w14:paraId="0D925C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июля 1935 Вид Нач. ГУАП Марголин писал Дир. завода 1 письмо N 242/3391с:</w:t>
      </w:r>
    </w:p>
    <w:p w14:paraId="42E1ED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"Предлагаю Вам включить в программу опытных работ ОКУ завода следующие модификации вооружения самолета ПИ:</w:t>
      </w:r>
    </w:p>
    <w:p w14:paraId="705500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Многопулеметный истребитель, вооруженный 4-6 ШКАС</w:t>
      </w:r>
    </w:p>
    <w:p w14:paraId="07F127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Одноместный пулеметный штурмовик, вооруженный 4-мя П-13 и Дегтярева.</w:t>
      </w:r>
    </w:p>
    <w:p w14:paraId="4995AA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Соображения о включении в план работ и по ЛТХ представить мне 27 июля с.г." (2336,129).</w:t>
      </w:r>
    </w:p>
    <w:p w14:paraId="0DBAF6ED" w14:textId="77777777" w:rsidR="00D4105E" w:rsidRPr="00E14102" w:rsidRDefault="00D4105E" w:rsidP="00E14102">
      <w:pPr>
        <w:autoSpaceDE w:val="0"/>
        <w:autoSpaceDN w:val="0"/>
        <w:adjustRightInd w:val="0"/>
        <w:jc w:val="both"/>
        <w:rPr>
          <w:color w:val="000000" w:themeColor="text1"/>
          <w:sz w:val="16"/>
          <w:szCs w:val="16"/>
        </w:rPr>
      </w:pPr>
    </w:p>
    <w:p w14:paraId="589F90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25 июля 1935 состоялись летные испытания АИР-4 с задней частью фюзеляжа и оперением, обтянутом по предложению С.Г.Козлова прозрачным "целлоном". Был и У-2, но основные работы велись над АИР-4. Пленка быстро потеряла прозрачность от воздействия солнца (1106).</w:t>
      </w:r>
    </w:p>
    <w:p w14:paraId="7C70C3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Была подготовлена Докладная записка:</w:t>
      </w:r>
    </w:p>
    <w:p w14:paraId="0CFA8F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самолета ПС проводились 25 июля 1935. Продолжительность испытания 20 мин., из них в воздухе - 12 мин. - 2 полета.</w:t>
      </w:r>
    </w:p>
    <w:p w14:paraId="037111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Видимость самолета после взлета на фоне облаков при высоте 30-50 м снижена очень сильно.</w:t>
      </w:r>
    </w:p>
    <w:p w14:paraId="23B38C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время обоих полетов обшивка всего самолета вела себя совершенно нормально и никаких деформаций и вибраций нигде не наблюдалось." (524).</w:t>
      </w:r>
    </w:p>
    <w:p w14:paraId="3A2B80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Далее был подготовлен Отчет о работе по ПС</w:t>
      </w:r>
    </w:p>
    <w:p w14:paraId="31EED8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Материал покрытия - целлон.</w:t>
      </w:r>
    </w:p>
    <w:p w14:paraId="33075E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Первые полеты - 25 июля 1935.</w:t>
      </w:r>
    </w:p>
    <w:p w14:paraId="3CB64A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 М.П.Вахрушев взлетел в 5:40 при низкой (100-150 м) сплошной облачности вместе с Я.Г.Красных во второй кабине и сделали полет по кругу на 50-100 м. Потом сделали и второй полет. Всего в воздухе были 0:12. Летали и на следующий день, а 28 июля перелетели в Серпухов (7460).</w:t>
      </w:r>
    </w:p>
    <w:p w14:paraId="38657C54" w14:textId="77777777" w:rsidR="00D4105E" w:rsidRPr="00E14102" w:rsidRDefault="00D4105E" w:rsidP="00E14102">
      <w:pPr>
        <w:autoSpaceDE w:val="0"/>
        <w:autoSpaceDN w:val="0"/>
        <w:adjustRightInd w:val="0"/>
        <w:jc w:val="both"/>
        <w:rPr>
          <w:color w:val="000000" w:themeColor="text1"/>
          <w:sz w:val="16"/>
          <w:szCs w:val="16"/>
        </w:rPr>
      </w:pPr>
    </w:p>
    <w:p w14:paraId="285F83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июля 1935 прозрачный самолет АИР-4 совершил свои первые полеты.</w:t>
      </w:r>
    </w:p>
    <w:p w14:paraId="734954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Вторая серия полетов была проведена 26 июля.</w:t>
      </w:r>
    </w:p>
    <w:p w14:paraId="5F2F7E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июля самолет ПС перегнали на Серпуховский аэродром, где он совершил несколько полетов ………………….</w:t>
      </w:r>
    </w:p>
    <w:p w14:paraId="3C1D25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августа самолет сделал еще полет в Серпухове.</w:t>
      </w:r>
    </w:p>
    <w:p w14:paraId="4528CC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августа самолет перегнали на аэродром части 1127 для испытаний и 22 августа были проведены испытания.</w:t>
      </w:r>
    </w:p>
    <w:p w14:paraId="493B16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7AEC8C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5FD7AA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6FA759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0231EF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Применение целлона оправдывает себя как средство уменьшения видимости (7656).</w:t>
      </w:r>
    </w:p>
    <w:p w14:paraId="50BA2AA4" w14:textId="77777777" w:rsidR="00D4105E" w:rsidRPr="00E14102" w:rsidRDefault="00D4105E" w:rsidP="00E14102">
      <w:pPr>
        <w:autoSpaceDE w:val="0"/>
        <w:autoSpaceDN w:val="0"/>
        <w:adjustRightInd w:val="0"/>
        <w:jc w:val="both"/>
        <w:rPr>
          <w:color w:val="000000" w:themeColor="text1"/>
          <w:sz w:val="16"/>
          <w:szCs w:val="16"/>
        </w:rPr>
      </w:pPr>
    </w:p>
    <w:p w14:paraId="1102C8D3" w14:textId="77777777" w:rsidR="00E90C6B" w:rsidRPr="00E14102" w:rsidRDefault="00E90C6B" w:rsidP="00E14102">
      <w:pPr>
        <w:jc w:val="both"/>
        <w:rPr>
          <w:color w:val="000000" w:themeColor="text1"/>
          <w:sz w:val="16"/>
          <w:szCs w:val="16"/>
        </w:rPr>
      </w:pPr>
      <w:r w:rsidRPr="00E14102">
        <w:rPr>
          <w:color w:val="000000" w:themeColor="text1"/>
          <w:sz w:val="16"/>
          <w:szCs w:val="16"/>
        </w:rPr>
        <w:t xml:space="preserve">25 июля в 1935 году начало испытаний самолета </w:t>
      </w:r>
      <w:hyperlink r:id="rId153" w:tgtFrame="_blank" w:history="1">
        <w:r w:rsidRPr="00E14102">
          <w:rPr>
            <w:color w:val="000000" w:themeColor="text1"/>
            <w:sz w:val="16"/>
            <w:szCs w:val="16"/>
          </w:rPr>
          <w:t xml:space="preserve">«АИР-4» («ПС») </w:t>
        </w:r>
      </w:hyperlink>
      <w:r w:rsidRPr="00E14102">
        <w:rPr>
          <w:color w:val="000000" w:themeColor="text1"/>
          <w:sz w:val="16"/>
          <w:szCs w:val="16"/>
        </w:rPr>
        <w:t xml:space="preserve">- первого в СССР </w:t>
      </w:r>
      <w:hyperlink r:id="rId154" w:tgtFrame="_blank" w:history="1">
        <w:r w:rsidRPr="00E14102">
          <w:rPr>
            <w:color w:val="000000" w:themeColor="text1"/>
            <w:sz w:val="16"/>
            <w:szCs w:val="16"/>
          </w:rPr>
          <w:t>прозрачного, невидимого самолета конструкции А.С.Яковлева.</w:t>
        </w:r>
      </w:hyperlink>
    </w:p>
    <w:p w14:paraId="32DEF8B5" w14:textId="77777777" w:rsidR="00E90C6B" w:rsidRPr="00E14102" w:rsidRDefault="00E90C6B" w:rsidP="00E14102">
      <w:pPr>
        <w:jc w:val="both"/>
        <w:rPr>
          <w:color w:val="000000" w:themeColor="text1"/>
          <w:sz w:val="16"/>
          <w:szCs w:val="16"/>
        </w:rPr>
      </w:pPr>
    </w:p>
    <w:p w14:paraId="2EF7F81E"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25 июля 1935, в 5 часов 40 минут утра, несмотря на неблагоприятные метеоусловия (низкая – 100- 150 м- сплошная облачность, временами дождь), слушатель академии, летчик М.П. Вахрушев и начальник кабинета конструирования летательных аппаратов Я.Г. Красных совершили первый полет по кругу на высоте 50-100 м. Во время полета самолет имел тенденцию заваливаться на левое крыло и к развороту влево. Разбег, по сравнению с нормальным АИР-4, затянулся на 2-3 секунды, впрочем, взлет производился с грязного и размокшего аэродрома. Набор высоты, полет и посадка не отличались от обычных. Короблений и вибрации обшивки не наблюдалось.</w:t>
      </w:r>
    </w:p>
    <w:p w14:paraId="79F671DC"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Во втором полете экипажу предстояло выполнить два круга, постепенно набирая высоту. На первом круге на высоте 150 м самолет попал в облака, и набор высоты был прекращен. В начале второго круга упало давление масла и в 6 часов 05 минут полет пришлось прекратить. Всего в воздухе самолет находился 12 минут. Послеполетный осмотр самолета показал, что обшивка и ее крепление выдержали испытание на прочность.</w:t>
      </w:r>
    </w:p>
    <w:p w14:paraId="7E7AF263"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Хотя первые полеты проходили для проверки регулировки самолета, некоторые выводы о его заметности можно было уже сделать.</w:t>
      </w:r>
    </w:p>
    <w:p w14:paraId="4DB1CEB4"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Начальник факультета ВВА Д.И. Бузанов, наблюдавший полеты с земли, докладывал Начальнику Штаба академии:</w:t>
      </w:r>
    </w:p>
    <w:p w14:paraId="3953AA48"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«Видимость самолета после взлета на фоне облаков при высоте 30-50 м снижена очень сильно. Когда самолет во взлетном положении идет от наблюдателя, то ясно видны только центральная часть фюзеляжа, шасси и подкосы; остальное хотя и улавливается глазом, но не в виде резких контуров, как обычно, а в виде неясных полос цвета несколько светлее, чем фон облаков.</w:t>
      </w:r>
    </w:p>
    <w:p w14:paraId="59B84C4B"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При нахождении самолета сбоку на высоте 100-150 м на расстоянии от наблюдателя 500-1000 м ясно видны профиль крыла шасси и профиль горизонтального оперения, мотор и экипаж, временами едва заметно вертикальное оперение, фюзеляж временами пропадает совсем, временами еле заметен в виде очень неясного контура слегка желтоватого цвета.</w:t>
      </w:r>
    </w:p>
    <w:p w14:paraId="0E53C5AC"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При полете самолета на зрителя передний лонжерон крыла ясно виден, как сплошная черта, при прохождении в зените все покрытие прозрачно, но слегка желтоватого цвета. Вся структура самолета: лонжероны, нервюры, шпангоуты видны совершенно ясно через прозрачное покрытие, как в крыле, так и в фюзеляже и оперении. (…) Идея прозрачного покрытия для уменьшения видимости самолета – оправдывает себя ».</w:t>
      </w:r>
    </w:p>
    <w:p w14:paraId="3ED30497"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На следующий день тем же экипажем была проведена вторая серия полетов. На этот раз самолет демонстрировали заместителю начальника ОИ НКО Н.П. Горшкову и инспектору при начальнике вооружений РККА С.Н. Сафронову.</w:t>
      </w:r>
    </w:p>
    <w:p w14:paraId="4063FC08"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«Полеты продолжались с 4 часов 30 минут до 5 часов 45 минут. Из-за темных облаков освещенность неба была слабой. Самолет летал по прямой в зените и немного в сторону – его маршрут определялся наличием просветов воблаках, наибольшая высота полета – 1450 м.</w:t>
      </w:r>
    </w:p>
    <w:p w14:paraId="56C89D51"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полете самолет, мотор и покрытие вели себя нормально. Осмотр после полета показал, что крепление покрытия по виду такое же, как и до полета. Само же покрытие на крыльях, на верхней части фюзеляжа и, частично, на хвостовом оперении немного пожелтело, особенно в местах, где его толщина была более 0,5 мм. Кроме того, была замечена некоторая гигроскопичность целлона, что выразилось в появлении волнистости обшивки. Впрочем, все это не сильно повлияло на заметность самолета. Впечатления наблюдателей были примерно такими же, как и в первых полетах.</w:t>
      </w:r>
    </w:p>
    <w:p w14:paraId="6948012B"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Дальнейшие испытания было решено провести в Серпухове и ранним утром 28 июля ПС, в сопровождении У-2, вылетел из Москвы. На ПС летели Вахрушев и Красных, а на У-2 – летчик Петренко и С.Г. Козлов.</w:t>
      </w:r>
    </w:p>
    <w:p w14:paraId="0A61B92C"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5 часов 27 минут, из-за падения давления масла в моторе, ПС совершил вынужденную посадку на Подольском аэродроме. Неисправность устранили и в 7 часов 40 минут оба самолета вылетели в направлении на Серпухов.</w:t>
      </w:r>
    </w:p>
    <w:p w14:paraId="62098BB3"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Через час, без приключений, самолеты прибыли на аэродром в Липицы (примерно в 10 км от Серпухова). Полег проходил при ясном небе и ярком солнце, что неожиданно и благоприятно сказалось на целлоновой обшивке. Покрытие, имевшее при вылете желтый оттенок, на солнце отбелилось и стало почти бесцветным. Совершенно пропала и волнистость – покрытие натянулось на всем самолете совершенно ровно. С.Г. Козловым было отмечено, что во время полета фюзеляж и вертикальное оперение при взгляде сбоку пропадали на расстоянии от 600-700 м.</w:t>
      </w:r>
    </w:p>
    <w:p w14:paraId="23412D24"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тот же день на аэродроме в Липицах на самолете ПС был выпущен летчик НА Фегервари, для чего Вахрушев выполнил с ним 10-минутный провозной полет, после чего Фегервари вылетел самостоятельно с инженером Красных на заднем сиденье.</w:t>
      </w:r>
    </w:p>
    <w:p w14:paraId="166D9320"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Для проверки центровки самолета при полете без пассажира, Вахрушев отвез Козлова на Серпуховский аэродром и вернулся обратно один. Вся процедура заняла 13 минут, поведение самолета при этом не отличалось от обычного.</w:t>
      </w:r>
    </w:p>
    <w:p w14:paraId="04B1EC53"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Аэродром в Липицах представлял собой открытое поле без ангаров. Отсутствие ангара и послужило причиной перелета ПС в Серпухов, который был выполнен в час дня летчиком Вахрушсвым с Красных на заднем сиденьи. Самолет отрулил в ангар, где его осмотрели С.Г. Козлов и Я.Г. Красных. Они обнаружили повреждение передних узлов шасси; при чем сухари в узлах сместились, и это вызвало разрыв обшивки на левом борту у кабины летчика.</w:t>
      </w:r>
    </w:p>
    <w:p w14:paraId="38C3DA62"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 приказанию Козлова испытания прекратили, самолет оставили под охраной в ангаре, из которого убрали все другие машины, и допуск посторонних в ангар был запрещен. Козлов с экипажем ПС выехал в Москву с целью созвать комиссию специалистов-химиков, участвовавших в производстве целлона.</w:t>
      </w:r>
    </w:p>
    <w:p w14:paraId="4C9DBE36" w14:textId="77777777" w:rsidR="00A45C9C" w:rsidRPr="00E14102" w:rsidRDefault="00A45C9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Однако Отдел изобретений НКО настаивал на продолжении испытаний и Козлов возвращается в Серпухов, где силами местной мастерской организует ремонт самолета, а заодно, для улучшения скороподъемности и потолка, снимает с него второе сиденье (12703).</w:t>
      </w:r>
    </w:p>
    <w:p w14:paraId="5A970AF0" w14:textId="77777777" w:rsidR="00A45C9C" w:rsidRPr="00E14102" w:rsidRDefault="00A45C9C" w:rsidP="00E14102">
      <w:pPr>
        <w:jc w:val="both"/>
        <w:rPr>
          <w:color w:val="000000" w:themeColor="text1"/>
          <w:sz w:val="16"/>
          <w:szCs w:val="16"/>
        </w:rPr>
      </w:pPr>
    </w:p>
    <w:p w14:paraId="6F8B738C" w14:textId="77777777" w:rsidR="00857CDA" w:rsidRPr="00E14102" w:rsidRDefault="00857CDA" w:rsidP="00E14102">
      <w:pPr>
        <w:jc w:val="both"/>
        <w:rPr>
          <w:color w:val="000000" w:themeColor="text1"/>
          <w:sz w:val="16"/>
          <w:szCs w:val="16"/>
        </w:rPr>
      </w:pPr>
      <w:r w:rsidRPr="00E14102">
        <w:rPr>
          <w:color w:val="000000" w:themeColor="text1"/>
          <w:sz w:val="16"/>
          <w:szCs w:val="16"/>
        </w:rPr>
        <w:t>25 июля 1935 прозрачный самолёт Козлова совершил свои первые полёты. На полётах присутствовал представитель командования ВВА т. Бузангов, который констатировал, несмотря на низкую высоту полёта (100–150 м) и облачность, заметное снижение видимости самолёта; на некоторых ракурсах фюзеляж и вертикальное оперение были видны в виде очень неясного контура, а временами пропадали совсем.</w:t>
      </w:r>
    </w:p>
    <w:p w14:paraId="53DCC44F" w14:textId="77777777" w:rsidR="00857CDA" w:rsidRPr="00E14102" w:rsidRDefault="00857CDA" w:rsidP="00E14102">
      <w:pPr>
        <w:jc w:val="both"/>
        <w:rPr>
          <w:color w:val="000000" w:themeColor="text1"/>
          <w:sz w:val="16"/>
          <w:szCs w:val="16"/>
        </w:rPr>
      </w:pPr>
      <w:r w:rsidRPr="00E14102">
        <w:rPr>
          <w:color w:val="000000" w:themeColor="text1"/>
          <w:sz w:val="16"/>
          <w:szCs w:val="16"/>
        </w:rPr>
        <w:t>Вторая серия полётов была проведена 26 июля. При полётах присутствовали: Зам. Начальника ОИ НКО. т. Горшков Н.П. и Инспектор при Начальнике Вооружений РККА т. Сафронов С.И.</w:t>
      </w:r>
    </w:p>
    <w:p w14:paraId="5763EDAE" w14:textId="77777777" w:rsidR="00857CDA" w:rsidRPr="00E14102" w:rsidRDefault="00857CDA" w:rsidP="00E14102">
      <w:pPr>
        <w:jc w:val="both"/>
        <w:rPr>
          <w:color w:val="000000" w:themeColor="text1"/>
          <w:sz w:val="16"/>
          <w:szCs w:val="16"/>
        </w:rPr>
      </w:pPr>
      <w:r w:rsidRPr="00E14102">
        <w:rPr>
          <w:color w:val="000000" w:themeColor="text1"/>
          <w:sz w:val="16"/>
          <w:szCs w:val="16"/>
        </w:rPr>
        <w:t>Осмотр в ангаре после полёта обнаружил на крыле, коке фюзеляжа и частично на хвостовом оперении некоторое пожелтение покрытия, особенно заметное в тех местах, где стоит целлон толще 0,5 мм.</w:t>
      </w:r>
    </w:p>
    <w:p w14:paraId="2FA20407" w14:textId="77777777" w:rsidR="00857CDA" w:rsidRPr="00E14102" w:rsidRDefault="00857CDA" w:rsidP="00E14102">
      <w:pPr>
        <w:jc w:val="both"/>
        <w:rPr>
          <w:color w:val="000000" w:themeColor="text1"/>
          <w:sz w:val="16"/>
          <w:szCs w:val="16"/>
        </w:rPr>
      </w:pPr>
      <w:r w:rsidRPr="00E14102">
        <w:rPr>
          <w:color w:val="000000" w:themeColor="text1"/>
          <w:sz w:val="16"/>
          <w:szCs w:val="16"/>
        </w:rPr>
        <w:t>Констатирована также некоторая гигроскопичность целлона, вследствие которой он реагирует на сильную влажность воздуха появлением морщин в слабо натянутых местах.</w:t>
      </w:r>
    </w:p>
    <w:p w14:paraId="758155E2" w14:textId="77777777" w:rsidR="00857CDA" w:rsidRPr="00E14102" w:rsidRDefault="00857CDA" w:rsidP="00E14102">
      <w:pPr>
        <w:jc w:val="both"/>
        <w:rPr>
          <w:color w:val="000000" w:themeColor="text1"/>
          <w:sz w:val="16"/>
          <w:szCs w:val="16"/>
        </w:rPr>
      </w:pPr>
      <w:r w:rsidRPr="00E14102">
        <w:rPr>
          <w:color w:val="000000" w:themeColor="text1"/>
          <w:sz w:val="16"/>
          <w:szCs w:val="16"/>
        </w:rPr>
        <w:t>Потемнение целлона объясняется выпадением красителей, так как данная партия целлона была недостаточно отбелена…</w:t>
      </w:r>
    </w:p>
    <w:p w14:paraId="7DC8BB08" w14:textId="77777777" w:rsidR="00857CDA" w:rsidRPr="00E14102" w:rsidRDefault="00857CDA" w:rsidP="00E14102">
      <w:pPr>
        <w:jc w:val="both"/>
        <w:rPr>
          <w:color w:val="000000" w:themeColor="text1"/>
          <w:sz w:val="16"/>
          <w:szCs w:val="16"/>
        </w:rPr>
      </w:pPr>
      <w:r w:rsidRPr="00E14102">
        <w:rPr>
          <w:color w:val="000000" w:themeColor="text1"/>
          <w:sz w:val="16"/>
          <w:szCs w:val="16"/>
        </w:rPr>
        <w:t xml:space="preserve">28 июля самолёт ПС перегнали на Серпуховский аэродром согласно указанию Начальника IV Отдела УВВС РККА. В Серпухове было совершено несколько полётов. Полёты проходили при ясном небе и ярком солнце, и целлон, имевший при полёте из Москвы жёлто-коричневатый оттенок, за время полёта отбелился под влиянием </w:t>
      </w:r>
      <w:r w:rsidRPr="00E14102">
        <w:rPr>
          <w:color w:val="000000" w:themeColor="text1"/>
          <w:sz w:val="16"/>
          <w:szCs w:val="16"/>
        </w:rPr>
        <w:lastRenderedPageBreak/>
        <w:t>солнца. Самолёт шёл из Москвы в Серпухов в сопровождении У-2 и мною был проделан следующий опыт: экипажи обоих самолётов (У-2 и ПС) определили на глаз наибольшее расстояние между самолётами в одно и то же время. Результаты: экипаж У-2 определил расстояние до ПC как 2000–2500 м, тогда как экипаж ПС определил расстояние до У-2 как 600–700 м. Это показывает значительное снижение видимости за счёт прозрачного покрытия, так как габариты обоих самолётов примерно одни и те же.</w:t>
      </w:r>
    </w:p>
    <w:p w14:paraId="18BC0C88" w14:textId="77777777" w:rsidR="00857CDA" w:rsidRPr="00E14102" w:rsidRDefault="00857CDA" w:rsidP="00E14102">
      <w:pPr>
        <w:jc w:val="both"/>
        <w:rPr>
          <w:color w:val="000000" w:themeColor="text1"/>
          <w:sz w:val="16"/>
          <w:szCs w:val="16"/>
        </w:rPr>
      </w:pPr>
      <w:r w:rsidRPr="00E14102">
        <w:rPr>
          <w:color w:val="000000" w:themeColor="text1"/>
          <w:sz w:val="16"/>
          <w:szCs w:val="16"/>
        </w:rPr>
        <w:t>После полёта обнаружено, что сухари передних узлов фюзеляжа разошлись и вследствие этого лопнула обшивка левого борта фюзеляжа. Силами мастерских части 1688 был произведен ремонт и, кстати, снято второе сиденье для улучшения самолёту скороподъёмности и потолка…</w:t>
      </w:r>
    </w:p>
    <w:p w14:paraId="0139832B" w14:textId="77777777" w:rsidR="00857CDA" w:rsidRPr="00E14102" w:rsidRDefault="00857CDA" w:rsidP="00E14102">
      <w:pPr>
        <w:jc w:val="both"/>
        <w:rPr>
          <w:color w:val="000000" w:themeColor="text1"/>
          <w:sz w:val="16"/>
          <w:szCs w:val="16"/>
        </w:rPr>
      </w:pPr>
      <w:r w:rsidRPr="00E14102">
        <w:rPr>
          <w:color w:val="000000" w:themeColor="text1"/>
          <w:sz w:val="16"/>
          <w:szCs w:val="16"/>
        </w:rPr>
        <w:t>7 августа самолёт сделал ещё полёт в Серпухове на высоте 200 м. Видимость приблизительно такая же, как при первом полёте.</w:t>
      </w:r>
    </w:p>
    <w:p w14:paraId="1669C039" w14:textId="77777777" w:rsidR="00857CDA" w:rsidRPr="00E14102" w:rsidRDefault="00857CDA" w:rsidP="00E14102">
      <w:pPr>
        <w:jc w:val="both"/>
        <w:rPr>
          <w:color w:val="000000" w:themeColor="text1"/>
          <w:sz w:val="16"/>
          <w:szCs w:val="16"/>
        </w:rPr>
      </w:pPr>
      <w:r w:rsidRPr="00E14102">
        <w:rPr>
          <w:color w:val="000000" w:themeColor="text1"/>
          <w:sz w:val="16"/>
          <w:szCs w:val="16"/>
        </w:rPr>
        <w:t>16 августа самолёт перегнали на аэродром части 1127 для испытаний, и 22 августа были проведены испытания,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 т. Залевский, начальник штаба той же части т. Марков и др.</w:t>
      </w:r>
    </w:p>
    <w:p w14:paraId="71FFF5A4" w14:textId="77777777" w:rsidR="00857CDA" w:rsidRPr="00E14102" w:rsidRDefault="00857CDA" w:rsidP="00E14102">
      <w:pPr>
        <w:jc w:val="both"/>
        <w:rPr>
          <w:color w:val="000000" w:themeColor="text1"/>
          <w:sz w:val="16"/>
          <w:szCs w:val="16"/>
        </w:rPr>
      </w:pPr>
      <w:r w:rsidRPr="00E14102">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 летел наблюдателем начальник штаба части 1695 т. Куприянов для наблюдения видимости ПС с воздуха, такое же задание получил и экипаж самолёта Р-5.</w:t>
      </w:r>
    </w:p>
    <w:p w14:paraId="037F7CFF" w14:textId="77777777" w:rsidR="00857CDA" w:rsidRPr="00E14102" w:rsidRDefault="00857CDA" w:rsidP="00E14102">
      <w:pPr>
        <w:jc w:val="both"/>
        <w:rPr>
          <w:color w:val="000000" w:themeColor="text1"/>
          <w:sz w:val="16"/>
          <w:szCs w:val="16"/>
        </w:rPr>
      </w:pPr>
      <w:r w:rsidRPr="00E14102">
        <w:rPr>
          <w:color w:val="000000" w:themeColor="text1"/>
          <w:sz w:val="16"/>
          <w:szCs w:val="16"/>
        </w:rPr>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самолёт ПС не виден совершенно (ни одним из присутствующих), тогда как У-2 и Р-5 отчетливо видны…</w:t>
      </w:r>
    </w:p>
    <w:p w14:paraId="4CEAE76D" w14:textId="77777777" w:rsidR="00857CDA" w:rsidRPr="00E14102" w:rsidRDefault="00857CDA" w:rsidP="00E14102">
      <w:pPr>
        <w:jc w:val="both"/>
        <w:rPr>
          <w:color w:val="000000" w:themeColor="text1"/>
          <w:sz w:val="16"/>
          <w:szCs w:val="16"/>
        </w:rPr>
      </w:pPr>
      <w:r w:rsidRPr="00E14102">
        <w:rPr>
          <w:color w:val="000000" w:themeColor="text1"/>
          <w:sz w:val="16"/>
          <w:szCs w:val="16"/>
        </w:rPr>
        <w:t>Самолёт с 25 июля по 23 августа 1935 г. в общей сложности налетал 7 часов в самых разнообразных метеорологических условиях (дождь, туман, яркое солнце)…</w:t>
      </w:r>
    </w:p>
    <w:p w14:paraId="6ABD218D" w14:textId="77777777" w:rsidR="00857CDA" w:rsidRPr="00E14102" w:rsidRDefault="00857CDA" w:rsidP="00E14102">
      <w:pPr>
        <w:jc w:val="both"/>
        <w:rPr>
          <w:color w:val="000000" w:themeColor="text1"/>
          <w:sz w:val="16"/>
          <w:szCs w:val="16"/>
        </w:rPr>
      </w:pPr>
      <w:r w:rsidRPr="00E14102">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74BD2012" w14:textId="77777777" w:rsidR="00857CDA" w:rsidRPr="00E14102" w:rsidRDefault="00857CDA" w:rsidP="00E14102">
      <w:pPr>
        <w:jc w:val="both"/>
        <w:rPr>
          <w:color w:val="000000" w:themeColor="text1"/>
          <w:sz w:val="16"/>
          <w:szCs w:val="16"/>
        </w:rPr>
      </w:pPr>
      <w:r w:rsidRPr="00E14102">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 е. вплоть до невидимости.</w:t>
      </w:r>
    </w:p>
    <w:p w14:paraId="16844A6D" w14:textId="77777777" w:rsidR="00857CDA" w:rsidRPr="00E14102" w:rsidRDefault="00857CDA" w:rsidP="00E14102">
      <w:pPr>
        <w:jc w:val="both"/>
        <w:rPr>
          <w:color w:val="000000" w:themeColor="text1"/>
          <w:sz w:val="16"/>
          <w:szCs w:val="16"/>
        </w:rPr>
      </w:pPr>
      <w:r w:rsidRPr="00E14102">
        <w:rPr>
          <w:color w:val="000000" w:themeColor="text1"/>
          <w:sz w:val="16"/>
          <w:szCs w:val="16"/>
        </w:rPr>
        <w:t xml:space="preserve">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 можно сильно улучшить обзор как лётчику, так и наблюдателю на существующих самолётах» </w:t>
      </w:r>
      <w:hyperlink r:id="rId155" w:history="1">
        <w:r w:rsidRPr="00E14102">
          <w:rPr>
            <w:color w:val="000000" w:themeColor="text1"/>
            <w:sz w:val="16"/>
            <w:szCs w:val="16"/>
          </w:rPr>
          <w:t>[158]</w:t>
        </w:r>
      </w:hyperlink>
      <w:r w:rsidRPr="00E14102">
        <w:rPr>
          <w:color w:val="000000" w:themeColor="text1"/>
          <w:sz w:val="16"/>
          <w:szCs w:val="16"/>
        </w:rPr>
        <w:t xml:space="preserve"> .</w:t>
      </w:r>
    </w:p>
    <w:p w14:paraId="6C28030C" w14:textId="77777777" w:rsidR="00857CDA" w:rsidRPr="00E14102" w:rsidRDefault="00857CDA" w:rsidP="00E14102">
      <w:pPr>
        <w:jc w:val="both"/>
        <w:rPr>
          <w:color w:val="000000" w:themeColor="text1"/>
          <w:sz w:val="16"/>
          <w:szCs w:val="16"/>
        </w:rPr>
      </w:pPr>
      <w:r w:rsidRPr="00E14102">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5609E030" w14:textId="77777777" w:rsidR="00857CDA" w:rsidRPr="00E14102" w:rsidRDefault="00857CDA" w:rsidP="00E14102">
      <w:pPr>
        <w:jc w:val="both"/>
        <w:rPr>
          <w:color w:val="000000" w:themeColor="text1"/>
          <w:sz w:val="16"/>
          <w:szCs w:val="16"/>
        </w:rPr>
      </w:pPr>
      <w:r w:rsidRPr="00E14102">
        <w:rPr>
          <w:color w:val="000000" w:themeColor="text1"/>
          <w:sz w:val="16"/>
          <w:szCs w:val="16"/>
        </w:rPr>
        <w:t xml:space="preserve">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 г. </w:t>
      </w:r>
      <w:hyperlink r:id="rId156" w:history="1">
        <w:r w:rsidRPr="00E14102">
          <w:rPr>
            <w:color w:val="000000" w:themeColor="text1"/>
            <w:sz w:val="16"/>
            <w:szCs w:val="16"/>
          </w:rPr>
          <w:t>[159]</w:t>
        </w:r>
      </w:hyperlink>
      <w:r w:rsidRPr="00E14102">
        <w:rPr>
          <w:color w:val="000000" w:themeColor="text1"/>
          <w:sz w:val="16"/>
          <w:szCs w:val="16"/>
        </w:rPr>
        <w:t xml:space="preserve"> </w:t>
      </w:r>
    </w:p>
    <w:p w14:paraId="53EA82F4" w14:textId="77777777" w:rsidR="00857CDA" w:rsidRPr="00E14102" w:rsidRDefault="00857CDA" w:rsidP="00E14102">
      <w:pPr>
        <w:jc w:val="both"/>
        <w:rPr>
          <w:color w:val="000000" w:themeColor="text1"/>
          <w:sz w:val="16"/>
          <w:szCs w:val="16"/>
        </w:rPr>
      </w:pPr>
      <w:r w:rsidRPr="00E14102">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66AEAB99" w14:textId="77777777" w:rsidR="00857CDA" w:rsidRPr="00E14102" w:rsidRDefault="00857CDA" w:rsidP="00E14102">
      <w:pPr>
        <w:jc w:val="both"/>
        <w:rPr>
          <w:color w:val="000000" w:themeColor="text1"/>
          <w:sz w:val="16"/>
          <w:szCs w:val="16"/>
        </w:rPr>
      </w:pPr>
      <w:r w:rsidRPr="00E14102">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55F9E812" w14:textId="77777777" w:rsidR="00857CDA" w:rsidRPr="00E14102" w:rsidRDefault="00857CDA" w:rsidP="00E14102">
      <w:pPr>
        <w:jc w:val="both"/>
        <w:rPr>
          <w:color w:val="000000" w:themeColor="text1"/>
          <w:sz w:val="16"/>
          <w:szCs w:val="16"/>
        </w:rPr>
      </w:pPr>
    </w:p>
    <w:p w14:paraId="6F48CC0F" w14:textId="77777777" w:rsidR="00872260" w:rsidRPr="00E14102" w:rsidRDefault="00872260" w:rsidP="00E14102">
      <w:pPr>
        <w:pStyle w:val="a7"/>
        <w:rPr>
          <w:color w:val="000000" w:themeColor="text1"/>
          <w:sz w:val="16"/>
          <w:szCs w:val="16"/>
          <w:lang w:val="ru-RU"/>
        </w:rPr>
      </w:pPr>
      <w:r w:rsidRPr="00E14102">
        <w:rPr>
          <w:color w:val="000000" w:themeColor="text1"/>
          <w:sz w:val="16"/>
          <w:szCs w:val="16"/>
          <w:lang w:val="ru-RU"/>
        </w:rPr>
        <w:t>На 25 июля 1935 г. в «Дирижаблестрой» оставались всего три иностранных специалиста - У. Нобиле, Ф. Трояни и немецкий инженер по строительству эллингов В. Кюппер (работал в СССР по контракту с 15.08.32 по15.07.36 гг. с месячным окладом в 100$ и 1250 руб.) (12732).</w:t>
      </w:r>
    </w:p>
    <w:p w14:paraId="56C94D44" w14:textId="77777777" w:rsidR="00872260" w:rsidRPr="00E14102" w:rsidRDefault="00872260" w:rsidP="00E14102">
      <w:pPr>
        <w:pStyle w:val="a7"/>
        <w:rPr>
          <w:color w:val="000000" w:themeColor="text1"/>
          <w:sz w:val="16"/>
          <w:szCs w:val="16"/>
          <w:lang w:val="ru-RU"/>
        </w:rPr>
      </w:pPr>
    </w:p>
    <w:p w14:paraId="03A6004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26442DD" w14:textId="77777777" w:rsidR="00D4105E" w:rsidRPr="00E14102" w:rsidRDefault="00D4105E" w:rsidP="00E14102">
      <w:pPr>
        <w:autoSpaceDE w:val="0"/>
        <w:autoSpaceDN w:val="0"/>
        <w:adjustRightInd w:val="0"/>
        <w:jc w:val="both"/>
        <w:rPr>
          <w:iCs/>
          <w:color w:val="000000" w:themeColor="text1"/>
          <w:sz w:val="16"/>
          <w:szCs w:val="16"/>
        </w:rPr>
      </w:pPr>
    </w:p>
    <w:p w14:paraId="2B65C0D3" w14:textId="77777777" w:rsidR="00CE5061" w:rsidRPr="00E14102" w:rsidRDefault="00CE5061"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25 июля 1935 прошли заводские испытания опытного образца АТ-1 стрельбой. Всего было произведено 60 выстрелов, одновременно с этим изучались места работы расчёта орудия. При стрельбе выяснилось, что усилие на маховике поворотного механизма превышает положенное, составляя 20-26 кг. Впрочем, нашёлся способ снижения усилия до 7-12 кг. Для этого наводчику (он же командир машины) требовалось встать со своего сиденья, крепившегося к орудийной установке. У системы имелся ножной спуск, но он располагался довольно далеко, в результате работать с ним было неудобно. Вместе с тем, общий вердикт по боевому отделению был вполне удовлетворительным. Отмечалась хорошая вентиляция боевого отделения при откинутых сегментах рубки, а также удовлетворительная устойчивость АТ-1 при стрельбе. Правда, при этом происходила деформация боковых листов передних крыльев, на которые при выстреле воздействовали пороховые газы. Также поначалу не удалось довести угол вертикальной наводки до 45 градусов, поэтому пришлось немного подпилить некоторые детали.</w:t>
      </w:r>
    </w:p>
    <w:p w14:paraId="79A31C64" w14:textId="77777777" w:rsidR="00CE5061" w:rsidRPr="00E14102" w:rsidRDefault="00CE5061"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25 июля состоялся и финальный пробег на 25 км. В целом машина вела себя нормально, но шум шестерёнчатой передачи и течь масла окончательно устранить не удалось. Кроме того, за время испытаний было внесено 25 различных изменений в конструкцию машины. Переделки вносились как в шасси, так и в орудийную установку. В частности, диаметр маховика подъёмного механизма уменьшили с 200 до 190 мм, передвинули педаль ножного спуска, укоротили гильзоулавливатель, удлинили держатели патронов к ПС-3 в передних укладках. По итогам АТ-1 признали готовой к полигонным испытаниям, но с некоторыми оговорками. Например, ввиду отсутствия прицелов стрельба проводилась без них, тяжело работали механизмы, облегчавшие открытие и закрытие секций бортов и кормы рубки.</w:t>
      </w:r>
    </w:p>
    <w:p w14:paraId="01851BF2" w14:textId="77777777" w:rsidR="00CE5061" w:rsidRPr="00E14102" w:rsidRDefault="00CE5061"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Пока шли работы по АТ-1, разработка Т-26-4 понемногу затихла. Правда, при этом сама тема артиллерийского танка сохранилась, но уже с использованием другого шасси — БТ-7. Так появился танк, часто называемый БТ-7А, хотя на самом деле он назывался БТ-7 Артиллерийский. Параллельно с этим начались полигонные испытания АТ-1 (19671).</w:t>
      </w:r>
    </w:p>
    <w:p w14:paraId="6A8DD0E1" w14:textId="77777777" w:rsidR="00CE5061" w:rsidRPr="00E14102" w:rsidRDefault="00CE5061"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5D9329E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25 июля 1935 девять но</w:t>
      </w:r>
      <w:r w:rsidRPr="00E14102">
        <w:rPr>
          <w:color w:val="000000" w:themeColor="text1"/>
          <w:sz w:val="16"/>
          <w:szCs w:val="16"/>
        </w:rPr>
        <w:softHyphen/>
        <w:t>вых мотоциклов ПМЗ своим ходом прибыли в НКТП. Во дворе нарко</w:t>
      </w:r>
      <w:r w:rsidRPr="00E14102">
        <w:rPr>
          <w:color w:val="000000" w:themeColor="text1"/>
          <w:sz w:val="16"/>
          <w:szCs w:val="16"/>
        </w:rPr>
        <w:softHyphen/>
        <w:t>мата Г.К. Орджоникидзе осмотрел их, интересуясь устройством, внешней отделкой и скоростью. Технический директор завода Зубков сообщил наркому, что в текущем году намечено сделать 100 таких мотоциклов, а в 1936 г. - ещё 500. Однако нарком внёс серьёзную поправку в планы предприятия: «Этого мало. Таких машин в будущем году надо сделать не меньше 1500. Надо как можно скорее развивать это производство». Слова «Железного наркома» возымели действие. В 1934 году всего сделали 15 машин ПМЗ-А-750 [4.93]. Для серийного выпус</w:t>
      </w:r>
      <w:r w:rsidRPr="00E14102">
        <w:rPr>
          <w:color w:val="000000" w:themeColor="text1"/>
          <w:sz w:val="16"/>
          <w:szCs w:val="16"/>
        </w:rPr>
        <w:softHyphen/>
        <w:t>ка этих мотоциклов спроектировали специальный цех, строи</w:t>
      </w:r>
      <w:r w:rsidRPr="00E14102">
        <w:rPr>
          <w:color w:val="000000" w:themeColor="text1"/>
          <w:sz w:val="16"/>
          <w:szCs w:val="16"/>
        </w:rPr>
        <w:softHyphen/>
        <w:t>тельство которого полным ходом шло в следующем году одно</w:t>
      </w:r>
      <w:r w:rsidRPr="00E14102">
        <w:rPr>
          <w:color w:val="000000" w:themeColor="text1"/>
          <w:sz w:val="16"/>
          <w:szCs w:val="16"/>
        </w:rPr>
        <w:softHyphen/>
        <w:t>временно с расширением производственных мощностей [4.131]. Вскоре нарком тяжелой промышленности Г.К. Орджоникид</w:t>
      </w:r>
      <w:r w:rsidRPr="00E14102">
        <w:rPr>
          <w:color w:val="000000" w:themeColor="text1"/>
          <w:sz w:val="16"/>
          <w:szCs w:val="16"/>
        </w:rPr>
        <w:softHyphen/>
        <w:t>зе распорядился об изготовлении в 1936 г. 10 тыс. мотоциклов, из которых 2700 экземпляров НАТИ-А-750 поручили сделать ПМЗ, а заводу им. Фрунзе - 1000 экземпляров [4.79]. Для налаживания серийного выпуска НАТИ-А-750 конструкторы ПМЗ доработали чертежи и изменили название модели на ПМЗ-А-750. С 1936 года первый серийный отечественный армейский мотоцикл обознача</w:t>
      </w:r>
      <w:r w:rsidRPr="00E14102">
        <w:rPr>
          <w:color w:val="000000" w:themeColor="text1"/>
          <w:sz w:val="16"/>
          <w:szCs w:val="16"/>
        </w:rPr>
        <w:softHyphen/>
        <w:t>ли ПМЗ-А-750, нередко сокращая в написании до А-750 или ПМЗ-750. Новинка поступала и в розничную продажу. Первона</w:t>
      </w:r>
      <w:r w:rsidRPr="00E14102">
        <w:rPr>
          <w:color w:val="000000" w:themeColor="text1"/>
          <w:sz w:val="16"/>
          <w:szCs w:val="16"/>
        </w:rPr>
        <w:softHyphen/>
        <w:t>чально её цена составляла 11 550 р., и она была недоступна широ</w:t>
      </w:r>
      <w:r w:rsidRPr="00E14102">
        <w:rPr>
          <w:color w:val="000000" w:themeColor="text1"/>
          <w:sz w:val="16"/>
          <w:szCs w:val="16"/>
        </w:rPr>
        <w:softHyphen/>
        <w:t>ким слоям трудящихся, но затем в 1937 г. стоимость снизили до 7760 р. [4.84], благодаря чему ПМЗ-750 стали покупать мотолю</w:t>
      </w:r>
      <w:r w:rsidRPr="00E14102">
        <w:rPr>
          <w:color w:val="000000" w:themeColor="text1"/>
          <w:sz w:val="16"/>
          <w:szCs w:val="16"/>
        </w:rPr>
        <w:softHyphen/>
        <w:t>бители. Для облегчения изучения устройства нового мотоцикла в автомотоклубах, школах вождения и домашних условиях Госиз</w:t>
      </w:r>
      <w:r w:rsidRPr="00E14102">
        <w:rPr>
          <w:color w:val="000000" w:themeColor="text1"/>
          <w:sz w:val="16"/>
          <w:szCs w:val="16"/>
        </w:rPr>
        <w:softHyphen/>
        <w:t>дат выпустил серию учебных плакатов по этой машине [4.85] (11429).</w:t>
      </w:r>
    </w:p>
    <w:p w14:paraId="71BB198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Мотоциклы А-750 изготавливали на ПМЗ до 1939 г., всего сделали 4636 экземпляров [4.132]. Их выпуск свидетельствует о регулярном невыполнении плана на ПМЗ [4.133] (табл. 3).</w:t>
      </w:r>
    </w:p>
    <w:p w14:paraId="31CFE4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Таблица 3</w:t>
      </w:r>
    </w:p>
    <w:p w14:paraId="0F70935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Выпуск тяжелых мотоциклов на ПМЗ</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86"/>
        <w:gridCol w:w="1085"/>
        <w:gridCol w:w="1315"/>
        <w:gridCol w:w="1075"/>
        <w:gridCol w:w="989"/>
      </w:tblGrid>
      <w:tr w:rsidR="00E3599D" w:rsidRPr="00E14102" w14:paraId="302027EA" w14:textId="77777777">
        <w:trPr>
          <w:trHeight w:val="384"/>
        </w:trPr>
        <w:tc>
          <w:tcPr>
            <w:tcW w:w="1786" w:type="dxa"/>
            <w:tcBorders>
              <w:top w:val="single" w:sz="12" w:space="0" w:color="auto"/>
            </w:tcBorders>
          </w:tcPr>
          <w:p w14:paraId="6CD175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Марка</w:t>
            </w:r>
          </w:p>
          <w:p w14:paraId="3A90DE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85" w:type="dxa"/>
            <w:tcBorders>
              <w:top w:val="single" w:sz="12" w:space="0" w:color="auto"/>
            </w:tcBorders>
          </w:tcPr>
          <w:p w14:paraId="62C72D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Год</w:t>
            </w:r>
          </w:p>
          <w:p w14:paraId="0E3523E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top w:val="single" w:sz="12" w:space="0" w:color="auto"/>
            </w:tcBorders>
          </w:tcPr>
          <w:p w14:paraId="27AE6C1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План</w:t>
            </w:r>
          </w:p>
          <w:p w14:paraId="6975AA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75" w:type="dxa"/>
            <w:tcBorders>
              <w:top w:val="single" w:sz="12" w:space="0" w:color="auto"/>
            </w:tcBorders>
          </w:tcPr>
          <w:p w14:paraId="620CDD4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Факт (%)</w:t>
            </w:r>
          </w:p>
          <w:p w14:paraId="2290C69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89" w:type="dxa"/>
            <w:tcBorders>
              <w:top w:val="single" w:sz="12" w:space="0" w:color="auto"/>
            </w:tcBorders>
          </w:tcPr>
          <w:p w14:paraId="271FE0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Недостача</w:t>
            </w:r>
          </w:p>
          <w:p w14:paraId="0CF1B7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72B4FB70" w14:textId="77777777">
        <w:trPr>
          <w:trHeight w:val="384"/>
        </w:trPr>
        <w:tc>
          <w:tcPr>
            <w:tcW w:w="1786" w:type="dxa"/>
          </w:tcPr>
          <w:p w14:paraId="5CA7FB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НАТИ-А-750</w:t>
            </w:r>
          </w:p>
          <w:p w14:paraId="3358C5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85" w:type="dxa"/>
          </w:tcPr>
          <w:p w14:paraId="6FA43E4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1934</w:t>
            </w:r>
          </w:p>
          <w:p w14:paraId="0AF658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Pr>
          <w:p w14:paraId="27AC1D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10E91D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75" w:type="dxa"/>
          </w:tcPr>
          <w:p w14:paraId="5A10ED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w:t>
            </w:r>
          </w:p>
        </w:tc>
        <w:tc>
          <w:tcPr>
            <w:tcW w:w="989" w:type="dxa"/>
          </w:tcPr>
          <w:p w14:paraId="566819D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402F96F3" w14:textId="77777777">
        <w:trPr>
          <w:trHeight w:val="384"/>
        </w:trPr>
        <w:tc>
          <w:tcPr>
            <w:tcW w:w="1786" w:type="dxa"/>
          </w:tcPr>
          <w:p w14:paraId="241EF4D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85" w:type="dxa"/>
          </w:tcPr>
          <w:p w14:paraId="52A2DCF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1935</w:t>
            </w:r>
          </w:p>
          <w:p w14:paraId="4D034D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Pr>
          <w:p w14:paraId="12B22E8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58AF8E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75" w:type="dxa"/>
          </w:tcPr>
          <w:p w14:paraId="61EBDA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w:t>
            </w:r>
          </w:p>
          <w:p w14:paraId="30303CF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89" w:type="dxa"/>
          </w:tcPr>
          <w:p w14:paraId="45A0AD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610B37AD" w14:textId="77777777">
        <w:trPr>
          <w:trHeight w:val="298"/>
        </w:trPr>
        <w:tc>
          <w:tcPr>
            <w:tcW w:w="1786" w:type="dxa"/>
          </w:tcPr>
          <w:p w14:paraId="7CBECB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ПМЗ-А-750</w:t>
            </w:r>
          </w:p>
          <w:p w14:paraId="3E82BB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85" w:type="dxa"/>
          </w:tcPr>
          <w:p w14:paraId="384EBF7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1936</w:t>
            </w:r>
          </w:p>
          <w:p w14:paraId="4013CE4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Pr>
          <w:p w14:paraId="52DCA34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2700</w:t>
            </w:r>
          </w:p>
          <w:p w14:paraId="756FAFF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75" w:type="dxa"/>
          </w:tcPr>
          <w:p w14:paraId="58BE1E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1005 (37,3)</w:t>
            </w:r>
          </w:p>
          <w:p w14:paraId="10A2F08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89" w:type="dxa"/>
          </w:tcPr>
          <w:p w14:paraId="55F241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1695</w:t>
            </w:r>
          </w:p>
          <w:p w14:paraId="49BC8A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30A06B73" w14:textId="77777777">
        <w:trPr>
          <w:trHeight w:val="221"/>
        </w:trPr>
        <w:tc>
          <w:tcPr>
            <w:tcW w:w="1786" w:type="dxa"/>
          </w:tcPr>
          <w:p w14:paraId="0663CA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D4C40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85" w:type="dxa"/>
          </w:tcPr>
          <w:p w14:paraId="3144E3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1937</w:t>
            </w:r>
          </w:p>
          <w:p w14:paraId="3AE49AC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Pr>
          <w:p w14:paraId="6F1178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3000</w:t>
            </w:r>
          </w:p>
          <w:p w14:paraId="0C50CA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75" w:type="dxa"/>
          </w:tcPr>
          <w:p w14:paraId="127403E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1259 (42,0)</w:t>
            </w:r>
          </w:p>
          <w:p w14:paraId="07C5C7F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89" w:type="dxa"/>
          </w:tcPr>
          <w:p w14:paraId="4995714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1741</w:t>
            </w:r>
          </w:p>
          <w:p w14:paraId="05267D4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7B894811" w14:textId="77777777">
        <w:trPr>
          <w:trHeight w:val="221"/>
        </w:trPr>
        <w:tc>
          <w:tcPr>
            <w:tcW w:w="1786" w:type="dxa"/>
          </w:tcPr>
          <w:p w14:paraId="1546FB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F1D37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85" w:type="dxa"/>
          </w:tcPr>
          <w:p w14:paraId="7EF33F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1938</w:t>
            </w:r>
          </w:p>
          <w:p w14:paraId="54D4B45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Pr>
          <w:p w14:paraId="7F16C6D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3000</w:t>
            </w:r>
          </w:p>
          <w:p w14:paraId="27D8100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75" w:type="dxa"/>
          </w:tcPr>
          <w:p w14:paraId="26EB03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2180 (70,4)</w:t>
            </w:r>
          </w:p>
          <w:p w14:paraId="20E4D4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89" w:type="dxa"/>
          </w:tcPr>
          <w:p w14:paraId="05BDAF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820</w:t>
            </w:r>
          </w:p>
          <w:p w14:paraId="58FCF6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0315E7B4" w14:textId="77777777">
        <w:trPr>
          <w:trHeight w:val="269"/>
        </w:trPr>
        <w:tc>
          <w:tcPr>
            <w:tcW w:w="1786" w:type="dxa"/>
          </w:tcPr>
          <w:p w14:paraId="5C9E9D8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C0E068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85" w:type="dxa"/>
          </w:tcPr>
          <w:p w14:paraId="511C61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1939</w:t>
            </w:r>
          </w:p>
          <w:p w14:paraId="48C6CF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Pr>
          <w:p w14:paraId="0E10A1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2F1A27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75" w:type="dxa"/>
          </w:tcPr>
          <w:p w14:paraId="195A0C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182</w:t>
            </w:r>
          </w:p>
          <w:p w14:paraId="2E9B63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89" w:type="dxa"/>
          </w:tcPr>
          <w:p w14:paraId="1A369EF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w:t>
            </w:r>
          </w:p>
          <w:p w14:paraId="3C7C2EA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2F79C098" w14:textId="77777777">
        <w:trPr>
          <w:trHeight w:val="480"/>
        </w:trPr>
        <w:tc>
          <w:tcPr>
            <w:tcW w:w="2871" w:type="dxa"/>
            <w:gridSpan w:val="2"/>
            <w:tcBorders>
              <w:bottom w:val="single" w:sz="12" w:space="0" w:color="auto"/>
            </w:tcBorders>
          </w:tcPr>
          <w:p w14:paraId="7A66989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Итого</w:t>
            </w:r>
          </w:p>
          <w:p w14:paraId="4CF9B00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bottom w:val="single" w:sz="12" w:space="0" w:color="auto"/>
            </w:tcBorders>
          </w:tcPr>
          <w:p w14:paraId="21E2EA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9700</w:t>
            </w:r>
          </w:p>
          <w:p w14:paraId="193E1D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75" w:type="dxa"/>
            <w:tcBorders>
              <w:bottom w:val="single" w:sz="12" w:space="0" w:color="auto"/>
            </w:tcBorders>
          </w:tcPr>
          <w:p w14:paraId="7EF06C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4636(48,5)</w:t>
            </w:r>
          </w:p>
          <w:p w14:paraId="6890B10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89" w:type="dxa"/>
            <w:tcBorders>
              <w:bottom w:val="single" w:sz="12" w:space="0" w:color="auto"/>
            </w:tcBorders>
          </w:tcPr>
          <w:p w14:paraId="11E4DC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4265</w:t>
            </w:r>
          </w:p>
          <w:p w14:paraId="13DD65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bl>
    <w:p w14:paraId="6CDE55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(11429).</w:t>
      </w:r>
    </w:p>
    <w:p w14:paraId="287542B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58C10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июля 1935 г. погибла еще одна лодка типа "Барс" — Б-3 ("Большевик"). Во время учебной атаки она попала под таранный удар линкора "Марат" и затонула со всем экипажем — 55 чел. Поэ</w:t>
      </w:r>
      <w:r w:rsidRPr="00E14102">
        <w:rPr>
          <w:color w:val="000000" w:themeColor="text1"/>
          <w:sz w:val="16"/>
          <w:szCs w:val="16"/>
        </w:rPr>
        <w:softHyphen/>
        <w:t>тому, учитывая массовое вступление в строй лодок новых серий ос</w:t>
      </w:r>
      <w:r w:rsidRPr="00E14102">
        <w:rPr>
          <w:color w:val="000000" w:themeColor="text1"/>
          <w:sz w:val="16"/>
          <w:szCs w:val="16"/>
        </w:rPr>
        <w:softHyphen/>
        <w:t>тавшиеся лодки типа "Барс" решено было не модернизировать, а вывести из боевого состава флота (3898).</w:t>
      </w:r>
    </w:p>
    <w:p w14:paraId="5952E886" w14:textId="275400D8" w:rsidR="00D4105E" w:rsidRPr="00E14102" w:rsidRDefault="00D4105E" w:rsidP="00E14102">
      <w:pPr>
        <w:autoSpaceDE w:val="0"/>
        <w:autoSpaceDN w:val="0"/>
        <w:adjustRightInd w:val="0"/>
        <w:jc w:val="both"/>
        <w:rPr>
          <w:color w:val="000000" w:themeColor="text1"/>
          <w:sz w:val="16"/>
          <w:szCs w:val="16"/>
        </w:rPr>
      </w:pPr>
    </w:p>
    <w:p w14:paraId="5CB1286C" w14:textId="3BD6D93F" w:rsidR="00514758" w:rsidRPr="00E14102" w:rsidRDefault="00514758" w:rsidP="00E14102">
      <w:pPr>
        <w:autoSpaceDE w:val="0"/>
        <w:autoSpaceDN w:val="0"/>
        <w:adjustRightInd w:val="0"/>
        <w:jc w:val="both"/>
        <w:rPr>
          <w:i/>
          <w:iCs/>
          <w:color w:val="000000" w:themeColor="text1"/>
          <w:sz w:val="16"/>
          <w:szCs w:val="16"/>
        </w:rPr>
      </w:pPr>
      <w:r w:rsidRPr="00E14102">
        <w:rPr>
          <w:i/>
          <w:iCs/>
          <w:color w:val="000000" w:themeColor="text1"/>
          <w:sz w:val="16"/>
          <w:szCs w:val="16"/>
        </w:rPr>
        <w:t>Армия:</w:t>
      </w:r>
    </w:p>
    <w:p w14:paraId="2F2D6515" w14:textId="77777777" w:rsidR="00514758" w:rsidRPr="00E14102" w:rsidRDefault="00514758" w:rsidP="00E14102">
      <w:pPr>
        <w:autoSpaceDE w:val="0"/>
        <w:autoSpaceDN w:val="0"/>
        <w:adjustRightInd w:val="0"/>
        <w:jc w:val="both"/>
        <w:rPr>
          <w:i/>
          <w:iCs/>
          <w:color w:val="000000" w:themeColor="text1"/>
          <w:sz w:val="16"/>
          <w:szCs w:val="16"/>
        </w:rPr>
      </w:pPr>
    </w:p>
    <w:p w14:paraId="0CC8636F" w14:textId="77777777" w:rsidR="00514758" w:rsidRPr="00E14102" w:rsidRDefault="00514758" w:rsidP="00E14102">
      <w:pPr>
        <w:jc w:val="both"/>
        <w:rPr>
          <w:color w:val="0070C0"/>
          <w:sz w:val="16"/>
          <w:szCs w:val="16"/>
        </w:rPr>
      </w:pPr>
      <w:r w:rsidRPr="00E14102">
        <w:rPr>
          <w:color w:val="0070C0"/>
          <w:sz w:val="16"/>
          <w:szCs w:val="16"/>
        </w:rPr>
        <w:t>С 25 июля по 4 августа 1935 за 10 активных дней хасанских событий на Хасане, летчи</w:t>
      </w:r>
      <w:r w:rsidRPr="00E14102">
        <w:rPr>
          <w:color w:val="0070C0"/>
          <w:sz w:val="16"/>
          <w:szCs w:val="16"/>
        </w:rPr>
        <w:softHyphen/>
        <w:t>ками 11 отряда погранвойск было произведено 29 самолетовылетов с общим налетом 36 ч 55 мин. К большому сожалению, один из вылетов закончился авиакатастрофой само</w:t>
      </w:r>
      <w:r w:rsidRPr="00E14102">
        <w:rPr>
          <w:color w:val="0070C0"/>
          <w:sz w:val="16"/>
          <w:szCs w:val="16"/>
        </w:rPr>
        <w:softHyphen/>
        <w:t>лета за мысом Гамова, в результате которой погиб флагманский штурман авиаотряда старший лейтенант Прокопчук (ЦАПВ, ф. 774, оп. 1, ед.хр., л. 50; Исторический формуляр 11 ОАО) (20402). </w:t>
      </w:r>
    </w:p>
    <w:p w14:paraId="7E9B4FDE" w14:textId="77777777" w:rsidR="00514758" w:rsidRPr="00E14102" w:rsidRDefault="00514758" w:rsidP="00E14102">
      <w:pPr>
        <w:jc w:val="both"/>
        <w:rPr>
          <w:color w:val="0070C0"/>
          <w:sz w:val="16"/>
          <w:szCs w:val="16"/>
        </w:rPr>
      </w:pPr>
    </w:p>
    <w:p w14:paraId="30939CDE" w14:textId="76608F34" w:rsidR="00514758" w:rsidRPr="00E14102" w:rsidRDefault="00514758" w:rsidP="00E14102">
      <w:pPr>
        <w:autoSpaceDE w:val="0"/>
        <w:autoSpaceDN w:val="0"/>
        <w:adjustRightInd w:val="0"/>
        <w:jc w:val="both"/>
        <w:rPr>
          <w:i/>
          <w:iCs/>
          <w:color w:val="000000" w:themeColor="text1"/>
          <w:sz w:val="16"/>
          <w:szCs w:val="16"/>
        </w:rPr>
      </w:pPr>
      <w:r w:rsidRPr="00E14102">
        <w:rPr>
          <w:i/>
          <w:iCs/>
          <w:color w:val="000000" w:themeColor="text1"/>
          <w:sz w:val="16"/>
          <w:szCs w:val="16"/>
        </w:rPr>
        <w:t>Жизнь и внутренняя политика:</w:t>
      </w:r>
    </w:p>
    <w:p w14:paraId="29F5B4C3" w14:textId="77777777" w:rsidR="00514758" w:rsidRPr="00E14102" w:rsidRDefault="00514758" w:rsidP="00E14102">
      <w:pPr>
        <w:autoSpaceDE w:val="0"/>
        <w:autoSpaceDN w:val="0"/>
        <w:adjustRightInd w:val="0"/>
        <w:jc w:val="both"/>
        <w:rPr>
          <w:i/>
          <w:iCs/>
          <w:color w:val="000000" w:themeColor="text1"/>
          <w:sz w:val="16"/>
          <w:szCs w:val="16"/>
        </w:rPr>
      </w:pPr>
    </w:p>
    <w:p w14:paraId="5CAF3B2A" w14:textId="77777777" w:rsidR="00E90C6B" w:rsidRPr="00E14102" w:rsidRDefault="00E90C6B" w:rsidP="00E14102">
      <w:pPr>
        <w:jc w:val="both"/>
        <w:rPr>
          <w:color w:val="000000" w:themeColor="text1"/>
          <w:sz w:val="16"/>
          <w:szCs w:val="16"/>
        </w:rPr>
      </w:pPr>
      <w:r w:rsidRPr="00E14102">
        <w:rPr>
          <w:color w:val="000000" w:themeColor="text1"/>
          <w:sz w:val="16"/>
          <w:szCs w:val="16"/>
        </w:rPr>
        <w:t>25 июля в 1935 году начался сквозной рейс парохода «Рабочий» из Архангельска в бухту Амбарчик на реке Колыме. Положено начало судоходному освоению Колымской трассы Северным морским путем (14963).</w:t>
      </w:r>
    </w:p>
    <w:p w14:paraId="497D95F8" w14:textId="77777777" w:rsidR="00E90C6B" w:rsidRPr="00E14102" w:rsidRDefault="00E90C6B" w:rsidP="00E14102">
      <w:pPr>
        <w:jc w:val="both"/>
        <w:rPr>
          <w:color w:val="000000" w:themeColor="text1"/>
          <w:sz w:val="16"/>
          <w:szCs w:val="16"/>
        </w:rPr>
      </w:pPr>
    </w:p>
    <w:p w14:paraId="71EF318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004BA0C6" w14:textId="77777777" w:rsidR="00D4105E" w:rsidRPr="00E14102" w:rsidRDefault="00D4105E" w:rsidP="00E14102">
      <w:pPr>
        <w:autoSpaceDE w:val="0"/>
        <w:autoSpaceDN w:val="0"/>
        <w:adjustRightInd w:val="0"/>
        <w:jc w:val="both"/>
        <w:rPr>
          <w:iCs/>
          <w:color w:val="000000" w:themeColor="text1"/>
          <w:sz w:val="16"/>
          <w:szCs w:val="16"/>
        </w:rPr>
      </w:pPr>
    </w:p>
    <w:p w14:paraId="70637D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июля - 20 августа 1935 г. в Москве состоялся седьмой конгресс Коминтерна. По докладу руководителя болгарских коммунистов Георгия Димитрова было одобрено решение о тактике единства действий коммунистов со всеми демократическими силами в интересах борьбы с фашистской опасностью. Это означало, что отныне коммунистические партии могли создавать временные и постоянные блоки с социал-демократами различных течений, пацифистами и иными силами левоцентристского и умеренного спектров и совместно выступать на выборах и повседневной политической практике против ультраправой опасности. Тактика "единого фронта" была принята большинством компартий и была в наиболее полном виде реализована в Испании и Франции в 1936 г (3871).</w:t>
      </w:r>
    </w:p>
    <w:p w14:paraId="33CB0E14" w14:textId="77777777" w:rsidR="00D4105E" w:rsidRPr="00E14102" w:rsidRDefault="00D4105E" w:rsidP="00E14102">
      <w:pPr>
        <w:autoSpaceDE w:val="0"/>
        <w:autoSpaceDN w:val="0"/>
        <w:adjustRightInd w:val="0"/>
        <w:jc w:val="both"/>
        <w:rPr>
          <w:color w:val="000000" w:themeColor="text1"/>
          <w:sz w:val="16"/>
          <w:szCs w:val="16"/>
        </w:rPr>
      </w:pPr>
    </w:p>
    <w:p w14:paraId="0FE7D6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25 июля по 25 августа 1935 проходил 7 (и последний - 3908,348) конгресс Коминтерна и была одобрена идея "народных фронтов" (1348,243) - поддержки правительствам в борьбе против фашизма (3907,192).</w:t>
      </w:r>
    </w:p>
    <w:p w14:paraId="4C2F1A1F" w14:textId="77777777" w:rsidR="00D4105E" w:rsidRPr="00E14102" w:rsidRDefault="00D4105E" w:rsidP="00E14102">
      <w:pPr>
        <w:autoSpaceDE w:val="0"/>
        <w:autoSpaceDN w:val="0"/>
        <w:adjustRightInd w:val="0"/>
        <w:jc w:val="both"/>
        <w:rPr>
          <w:color w:val="000000" w:themeColor="text1"/>
          <w:sz w:val="16"/>
          <w:szCs w:val="16"/>
        </w:rPr>
      </w:pPr>
    </w:p>
    <w:p w14:paraId="460A0748" w14:textId="77777777" w:rsidR="00E90C6B" w:rsidRPr="00E14102" w:rsidRDefault="00E90C6B" w:rsidP="00E14102">
      <w:pPr>
        <w:jc w:val="both"/>
        <w:rPr>
          <w:color w:val="000000" w:themeColor="text1"/>
          <w:sz w:val="16"/>
          <w:szCs w:val="16"/>
        </w:rPr>
      </w:pPr>
      <w:r w:rsidRPr="00E14102">
        <w:rPr>
          <w:color w:val="000000" w:themeColor="text1"/>
          <w:sz w:val="16"/>
          <w:szCs w:val="16"/>
        </w:rPr>
        <w:t>25 июля в 1935 году (до 20 августа) Начинает работу седьмой, последний, конгресс Третьего Интернационала, который примет тактику "народных фронтов", объединяющих все левые силы пpотив фашизма. Прежняя концепция Коминтерна, направленная на разрыв с социал-демократами, провалилась. Приход к власти Гитлера и рост военной угрозы заставили руководство Коминтерна призвать коммунистов к созданию в своих странах единых антифашистских фронтов и поддержке национальных правительств (14963).</w:t>
      </w:r>
    </w:p>
    <w:p w14:paraId="09C61DD7" w14:textId="77777777" w:rsidR="00E90C6B" w:rsidRPr="00E14102" w:rsidRDefault="00E90C6B" w:rsidP="00E14102">
      <w:pPr>
        <w:jc w:val="both"/>
        <w:rPr>
          <w:color w:val="000000" w:themeColor="text1"/>
          <w:sz w:val="16"/>
          <w:szCs w:val="16"/>
        </w:rPr>
      </w:pPr>
    </w:p>
    <w:p w14:paraId="10737BE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июля 1935 конгресс Коминтерна заявил о том, что коммунисты окажут помощь демократическим правительствам в борьбе с фашистскими государствами (4962).</w:t>
      </w:r>
    </w:p>
    <w:p w14:paraId="3965FD2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8ACA02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июля 1935 (25 июля - 25 авг.) VII, и последний, конгресс Коминтерна (Третьего Интернационала) (международная коммунистическая организация, контролируемая СССР) заявляет, что в демократических странах коммунисты окажут поддержку правительствам в борьбе против фашистских государств (работает до 20 августа), принял тактику "народных фронтов", объединяющих все левые силы против фашизма (4962).</w:t>
      </w:r>
    </w:p>
    <w:p w14:paraId="31889E6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130E181" w14:textId="77777777" w:rsidR="00E90C6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B47EBC7" w14:textId="77777777" w:rsidR="00E90C6B" w:rsidRPr="00E14102" w:rsidRDefault="00E90C6B" w:rsidP="00E14102">
      <w:pPr>
        <w:autoSpaceDE w:val="0"/>
        <w:autoSpaceDN w:val="0"/>
        <w:adjustRightInd w:val="0"/>
        <w:jc w:val="both"/>
        <w:rPr>
          <w:iCs/>
          <w:color w:val="000000" w:themeColor="text1"/>
          <w:sz w:val="16"/>
          <w:szCs w:val="16"/>
        </w:rPr>
      </w:pPr>
    </w:p>
    <w:p w14:paraId="527F64C7" w14:textId="77777777" w:rsidR="00514758" w:rsidRPr="00E14102" w:rsidRDefault="00514758" w:rsidP="00E14102">
      <w:pPr>
        <w:jc w:val="both"/>
        <w:rPr>
          <w:color w:val="0070C0"/>
          <w:sz w:val="16"/>
          <w:szCs w:val="16"/>
        </w:rPr>
      </w:pPr>
      <w:r w:rsidRPr="00E14102">
        <w:rPr>
          <w:color w:val="0070C0"/>
          <w:sz w:val="16"/>
          <w:szCs w:val="16"/>
        </w:rPr>
        <w:t>25 июля 1935 состоялся первый полет Latécoère 582 (20800).</w:t>
      </w:r>
    </w:p>
    <w:p w14:paraId="7C4A170F" w14:textId="77777777" w:rsidR="00514758" w:rsidRPr="00E14102" w:rsidRDefault="00514758" w:rsidP="00E14102">
      <w:pPr>
        <w:jc w:val="both"/>
        <w:rPr>
          <w:color w:val="0070C0"/>
          <w:sz w:val="16"/>
          <w:szCs w:val="16"/>
        </w:rPr>
      </w:pPr>
    </w:p>
    <w:p w14:paraId="012D09F0" w14:textId="77777777" w:rsidR="00E90C6B" w:rsidRPr="00E14102" w:rsidRDefault="00E90C6B" w:rsidP="00E14102">
      <w:pPr>
        <w:jc w:val="both"/>
        <w:rPr>
          <w:color w:val="000000" w:themeColor="text1"/>
          <w:sz w:val="16"/>
          <w:szCs w:val="16"/>
        </w:rPr>
      </w:pPr>
      <w:r w:rsidRPr="00E14102">
        <w:rPr>
          <w:color w:val="000000" w:themeColor="text1"/>
          <w:sz w:val="16"/>
          <w:szCs w:val="16"/>
        </w:rPr>
        <w:t xml:space="preserve">25 июля в 1935 году первый полет французской летающей лодки </w:t>
      </w:r>
      <w:hyperlink r:id="rId157" w:tgtFrame="_blank" w:history="1">
        <w:r w:rsidRPr="00E14102">
          <w:rPr>
            <w:color w:val="000000" w:themeColor="text1"/>
            <w:sz w:val="16"/>
            <w:szCs w:val="16"/>
          </w:rPr>
          <w:t xml:space="preserve">«Late 582». </w:t>
        </w:r>
      </w:hyperlink>
      <w:r w:rsidRPr="00E14102">
        <w:rPr>
          <w:color w:val="000000" w:themeColor="text1"/>
          <w:sz w:val="16"/>
          <w:szCs w:val="16"/>
        </w:rPr>
        <w:t>Летающая лодка «Latecoere 582» («Late 582») развивала конструкцию успешных почтовых гидросамолётов серии «Late 300» и представляла собой подкосный моноплан-парасоль, с дополнительными поплавками, установленными под каждой консолью крыла для улучшения устойчивости при рулении по воде. Три радиальных двигателя «Gnome-Rhone» «14Kjrs» устанавливались в крыле. Экипаж состоял из 7 человек (14963).</w:t>
      </w:r>
    </w:p>
    <w:p w14:paraId="37E2EB18" w14:textId="77777777" w:rsidR="00E90C6B" w:rsidRPr="00E14102" w:rsidRDefault="00E90C6B" w:rsidP="00E14102">
      <w:pPr>
        <w:jc w:val="both"/>
        <w:rPr>
          <w:color w:val="000000" w:themeColor="text1"/>
          <w:sz w:val="16"/>
          <w:szCs w:val="16"/>
        </w:rPr>
      </w:pPr>
    </w:p>
    <w:p w14:paraId="1761C65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D020B7D" w14:textId="77777777" w:rsidR="00D4105E" w:rsidRPr="00E14102" w:rsidRDefault="00D4105E" w:rsidP="00E14102">
      <w:pPr>
        <w:autoSpaceDE w:val="0"/>
        <w:autoSpaceDN w:val="0"/>
        <w:adjustRightInd w:val="0"/>
        <w:jc w:val="both"/>
        <w:rPr>
          <w:iCs/>
          <w:color w:val="000000" w:themeColor="text1"/>
          <w:sz w:val="16"/>
          <w:szCs w:val="16"/>
        </w:rPr>
      </w:pPr>
    </w:p>
    <w:p w14:paraId="727F69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июля 1935 года в НИИ ВВС закончились испытания четырехпулеметного И-16 завода № 21, которые проходили с 22 июля 1935 (в крыльях самолета И-16 в дополнение к двум имеющимся пулеметам ШКАС было установлено еще два пулемета ШКАС дополнительно, т.е. всего четыре ШКАСа, стреляющих вне плоскости винта.</w:t>
      </w:r>
    </w:p>
    <w:p w14:paraId="1D0956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Установка испытаний не выдержала, ибо оба добавочные пулемета ШКАС после фигур высшего пилотажа не стреляют, сама установка снижает темп стрельбы этих ШКАСов до 1100 выстрелов в минуту против 1800, далее установка дает частые задержки, неустранимые в полете и т.д. (3959, 38-53).</w:t>
      </w:r>
    </w:p>
    <w:p w14:paraId="0A3EAB32" w14:textId="77777777" w:rsidR="00D4105E" w:rsidRPr="00E14102" w:rsidRDefault="00D4105E" w:rsidP="00E14102">
      <w:pPr>
        <w:autoSpaceDE w:val="0"/>
        <w:autoSpaceDN w:val="0"/>
        <w:adjustRightInd w:val="0"/>
        <w:jc w:val="both"/>
        <w:rPr>
          <w:color w:val="000000" w:themeColor="text1"/>
          <w:sz w:val="16"/>
          <w:szCs w:val="16"/>
        </w:rPr>
      </w:pPr>
    </w:p>
    <w:p w14:paraId="213A5D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июля 1935 года закончилось первое испытание в НИИ ВВС И-16 с М-22 (четырехпулеметный)? который поступил 22 июля 1935. Были крупные недостатки (отчеты в отделе вооружения НИИ ВВС) (3538).</w:t>
      </w:r>
    </w:p>
    <w:p w14:paraId="572B7E9E" w14:textId="77777777" w:rsidR="00D4105E" w:rsidRPr="00E14102" w:rsidRDefault="00D4105E" w:rsidP="00E14102">
      <w:pPr>
        <w:autoSpaceDE w:val="0"/>
        <w:autoSpaceDN w:val="0"/>
        <w:adjustRightInd w:val="0"/>
        <w:jc w:val="both"/>
        <w:rPr>
          <w:color w:val="000000" w:themeColor="text1"/>
          <w:sz w:val="16"/>
          <w:szCs w:val="16"/>
        </w:rPr>
      </w:pPr>
    </w:p>
    <w:p w14:paraId="3AA554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июля 1935 закончились госиспытаниячетырехпулеметного И-16 тип 4 (И-161) в НИИ ВВС, которые проходили с 22 июля, так как оба добавочных пулемета ШКАС после фигур высшего пилотажа не стреляли вообще, либо снижали темп с 1800 до 1200 вы</w:t>
      </w:r>
      <w:r w:rsidRPr="00E14102">
        <w:rPr>
          <w:color w:val="000000" w:themeColor="text1"/>
          <w:sz w:val="16"/>
          <w:szCs w:val="16"/>
        </w:rPr>
        <w:softHyphen/>
        <w:t>стрелов в минуту. Управление ВВС настаивало на устра</w:t>
      </w:r>
      <w:r w:rsidRPr="00E14102">
        <w:rPr>
          <w:color w:val="000000" w:themeColor="text1"/>
          <w:sz w:val="16"/>
          <w:szCs w:val="16"/>
        </w:rPr>
        <w:softHyphen/>
        <w:t>нении этих недочетов и требовало повторно предъявить И-16 с новым вооружением на испытания в сентябре 1935 г., что завод № 21 так и не выполнил (10667).</w:t>
      </w:r>
    </w:p>
    <w:p w14:paraId="73A7C249" w14:textId="77777777" w:rsidR="00D4105E" w:rsidRPr="00E14102" w:rsidRDefault="00D4105E" w:rsidP="00E14102">
      <w:pPr>
        <w:autoSpaceDE w:val="0"/>
        <w:autoSpaceDN w:val="0"/>
        <w:adjustRightInd w:val="0"/>
        <w:jc w:val="both"/>
        <w:rPr>
          <w:color w:val="000000" w:themeColor="text1"/>
          <w:sz w:val="16"/>
          <w:szCs w:val="16"/>
        </w:rPr>
      </w:pPr>
    </w:p>
    <w:p w14:paraId="05D55A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июля 1935 состоялась вторая серия полетов на ПС Козлова. На полетах присутствовали Зам. Нач. ОИ НКО Н.П.Горшков и Инспектор при Нач. вооружений РККА С.И.Сафронов. Осмотр в ангаре после полета обнаружил на крыле, коке фюзеляжа и, частично, на хвостовом оперении некоторое пожелтение, особо заметное в тех местах, где стоит целлон толще 0.5 мм. Констатирована также некоторая гигроскопичность целлона, вследствие которой он реагирует на влажность воздуха появлением морщин в слабо натянутых местах... (864).</w:t>
      </w:r>
    </w:p>
    <w:p w14:paraId="64F0C99C" w14:textId="77777777" w:rsidR="00D4105E" w:rsidRPr="00E14102" w:rsidRDefault="00D4105E" w:rsidP="00E14102">
      <w:pPr>
        <w:autoSpaceDE w:val="0"/>
        <w:autoSpaceDN w:val="0"/>
        <w:adjustRightInd w:val="0"/>
        <w:jc w:val="both"/>
        <w:rPr>
          <w:color w:val="000000" w:themeColor="text1"/>
          <w:sz w:val="16"/>
          <w:szCs w:val="16"/>
        </w:rPr>
      </w:pPr>
    </w:p>
    <w:p w14:paraId="047343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июля 1935 М.П.Вахрушев и Я.Г.Красных продолжили испытания прозрачного АИР-4 С.Г.Козлова и 28 июля перелетели в Серпухов (7460, 4).</w:t>
      </w:r>
    </w:p>
    <w:p w14:paraId="54DF70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июля 1935 на прозрачном самолете АИР-4 была выполнена вторая серия полетов.</w:t>
      </w:r>
    </w:p>
    <w:p w14:paraId="1ADF92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июля самолет ПС перегнали на Серпуховский аэродром, где он совершил несколько полетов ………………….</w:t>
      </w:r>
    </w:p>
    <w:p w14:paraId="0E078A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августа самолет сделал еще полет в Серпухове.</w:t>
      </w:r>
    </w:p>
    <w:p w14:paraId="526067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августа самолет перегнали на аэродром части 1127 для испытаний и 22 августа были проведены испытания.</w:t>
      </w:r>
    </w:p>
    <w:p w14:paraId="57823D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3A8CF3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4C5E8F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62B56E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6555A9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Применение целлона оправдывает себя как средство уменьшения видимости (7656).</w:t>
      </w:r>
    </w:p>
    <w:p w14:paraId="226707DC" w14:textId="77777777" w:rsidR="00D4105E" w:rsidRPr="00E14102" w:rsidRDefault="00D4105E" w:rsidP="00E14102">
      <w:pPr>
        <w:autoSpaceDE w:val="0"/>
        <w:autoSpaceDN w:val="0"/>
        <w:adjustRightInd w:val="0"/>
        <w:jc w:val="both"/>
        <w:rPr>
          <w:color w:val="000000" w:themeColor="text1"/>
          <w:sz w:val="16"/>
          <w:szCs w:val="16"/>
        </w:rPr>
      </w:pPr>
    </w:p>
    <w:p w14:paraId="65A53832" w14:textId="77777777" w:rsidR="007F2131" w:rsidRPr="00E14102" w:rsidRDefault="007F2131" w:rsidP="00E14102">
      <w:pPr>
        <w:jc w:val="both"/>
        <w:rPr>
          <w:color w:val="000000" w:themeColor="text1"/>
          <w:sz w:val="16"/>
          <w:szCs w:val="16"/>
        </w:rPr>
      </w:pPr>
      <w:r w:rsidRPr="00E14102">
        <w:rPr>
          <w:color w:val="000000" w:themeColor="text1"/>
          <w:sz w:val="16"/>
          <w:szCs w:val="16"/>
        </w:rPr>
        <w:t>26 июля 1935 была проведена вторая серия полётов на ПС Козлова. При полётах присутствовали: Зам. Начальника ОИ НКО. т. Горшков Н.П. и Инспектор при Начальнике Вооружений РККА т. Сафронов С.И.</w:t>
      </w:r>
    </w:p>
    <w:p w14:paraId="0E69B5A0" w14:textId="77777777" w:rsidR="007F2131" w:rsidRPr="00E14102" w:rsidRDefault="007F2131" w:rsidP="00E14102">
      <w:pPr>
        <w:jc w:val="both"/>
        <w:rPr>
          <w:color w:val="000000" w:themeColor="text1"/>
          <w:sz w:val="16"/>
          <w:szCs w:val="16"/>
        </w:rPr>
      </w:pPr>
      <w:r w:rsidRPr="00E14102">
        <w:rPr>
          <w:color w:val="000000" w:themeColor="text1"/>
          <w:sz w:val="16"/>
          <w:szCs w:val="16"/>
        </w:rPr>
        <w:t>Осмотр в ангаре после полёта обнаружил на крыле, коке фюзеляжа и частично на хвостовом оперении некоторое пожелтение покрытия, особенно заметное в тех местах, где стоит целлон толще 0,5 мм.</w:t>
      </w:r>
    </w:p>
    <w:p w14:paraId="08697E57" w14:textId="77777777" w:rsidR="007F2131" w:rsidRPr="00E14102" w:rsidRDefault="007F2131" w:rsidP="00E14102">
      <w:pPr>
        <w:jc w:val="both"/>
        <w:rPr>
          <w:color w:val="000000" w:themeColor="text1"/>
          <w:sz w:val="16"/>
          <w:szCs w:val="16"/>
        </w:rPr>
      </w:pPr>
      <w:r w:rsidRPr="00E14102">
        <w:rPr>
          <w:color w:val="000000" w:themeColor="text1"/>
          <w:sz w:val="16"/>
          <w:szCs w:val="16"/>
        </w:rPr>
        <w:lastRenderedPageBreak/>
        <w:t>Констатирована также некоторая гигроскопичность целлона, вследствие которой он реагирует на сильную влажность воздуха появлением морщин в слабо натянутых местах.</w:t>
      </w:r>
    </w:p>
    <w:p w14:paraId="52208075" w14:textId="77777777" w:rsidR="007F2131" w:rsidRPr="00E14102" w:rsidRDefault="007F2131" w:rsidP="00E14102">
      <w:pPr>
        <w:jc w:val="both"/>
        <w:rPr>
          <w:color w:val="000000" w:themeColor="text1"/>
          <w:sz w:val="16"/>
          <w:szCs w:val="16"/>
        </w:rPr>
      </w:pPr>
      <w:r w:rsidRPr="00E14102">
        <w:rPr>
          <w:color w:val="000000" w:themeColor="text1"/>
          <w:sz w:val="16"/>
          <w:szCs w:val="16"/>
        </w:rPr>
        <w:t>Потемнение целлона объясняется выпадением красителей, так как данная партия целлона была недостаточно отбелена…</w:t>
      </w:r>
    </w:p>
    <w:p w14:paraId="43ECF2D4" w14:textId="77777777" w:rsidR="007F2131" w:rsidRPr="00E14102" w:rsidRDefault="007F2131" w:rsidP="00E14102">
      <w:pPr>
        <w:jc w:val="both"/>
        <w:rPr>
          <w:color w:val="000000" w:themeColor="text1"/>
          <w:sz w:val="16"/>
          <w:szCs w:val="16"/>
        </w:rPr>
      </w:pPr>
      <w:r w:rsidRPr="00E14102">
        <w:rPr>
          <w:color w:val="000000" w:themeColor="text1"/>
          <w:sz w:val="16"/>
          <w:szCs w:val="16"/>
        </w:rPr>
        <w:t>28 июля самолёт ПС перегнали на Серпуховский аэродром согласно указанию Начальника IV Отдела УВВС РККА. В Серпухове было совершено несколько полётов. Полёты проходили при ясном небе и ярком солнце, и целлон, имевший при полёте из Москвы жёлто-коричневатый оттенок, за время полёта отбелился под влиянием солнца. Самолёт шёл из Москвы в Серпухов в сопровождении У-2 и мною был проделан следующий опыт: экипажи обоих самолётов (У-2 и ПС) определили на глаз наибольшее расстояние между самолётами в одно и то же время. Результаты: экипаж У-2 определил расстояние до ПC как 2000–2500 м, тогда как экипаж ПС определил расстояние до У-2 как 600–700 м. Это показывает значительное снижение видимости за счёт прозрачного покрытия, так как габариты обоих самолётов примерно одни и те же.</w:t>
      </w:r>
    </w:p>
    <w:p w14:paraId="742C7F30" w14:textId="77777777" w:rsidR="007F2131" w:rsidRPr="00E14102" w:rsidRDefault="007F2131" w:rsidP="00E14102">
      <w:pPr>
        <w:jc w:val="both"/>
        <w:rPr>
          <w:color w:val="000000" w:themeColor="text1"/>
          <w:sz w:val="16"/>
          <w:szCs w:val="16"/>
        </w:rPr>
      </w:pPr>
      <w:r w:rsidRPr="00E14102">
        <w:rPr>
          <w:color w:val="000000" w:themeColor="text1"/>
          <w:sz w:val="16"/>
          <w:szCs w:val="16"/>
        </w:rPr>
        <w:t>После полёта обнаружено, что сухари передних узлов фюзеляжа разошлись и вследствие этого лопнула обшивка левого борта фюзеляжа. Силами мастерских части 1688 был произведен ремонт и, кстати, снято второе сиденье для улучшения самолёту скороподъёмности и потолка…</w:t>
      </w:r>
    </w:p>
    <w:p w14:paraId="6A183BE9" w14:textId="77777777" w:rsidR="007F2131" w:rsidRPr="00E14102" w:rsidRDefault="007F2131" w:rsidP="00E14102">
      <w:pPr>
        <w:jc w:val="both"/>
        <w:rPr>
          <w:color w:val="000000" w:themeColor="text1"/>
          <w:sz w:val="16"/>
          <w:szCs w:val="16"/>
        </w:rPr>
      </w:pPr>
      <w:r w:rsidRPr="00E14102">
        <w:rPr>
          <w:color w:val="000000" w:themeColor="text1"/>
          <w:sz w:val="16"/>
          <w:szCs w:val="16"/>
        </w:rPr>
        <w:t>7 августа самолёт сделал ещё полёт в Серпухове на высоте 200 м. Видимость приблизительно такая же, как при первом полёте.</w:t>
      </w:r>
    </w:p>
    <w:p w14:paraId="3EBF5401" w14:textId="77777777" w:rsidR="007F2131" w:rsidRPr="00E14102" w:rsidRDefault="007F2131" w:rsidP="00E14102">
      <w:pPr>
        <w:jc w:val="both"/>
        <w:rPr>
          <w:color w:val="000000" w:themeColor="text1"/>
          <w:sz w:val="16"/>
          <w:szCs w:val="16"/>
        </w:rPr>
      </w:pPr>
      <w:r w:rsidRPr="00E14102">
        <w:rPr>
          <w:color w:val="000000" w:themeColor="text1"/>
          <w:sz w:val="16"/>
          <w:szCs w:val="16"/>
        </w:rPr>
        <w:t>16 августа самолёт перегнали на аэродром части 1127 для испытаний, и 22 августа были проведены испытания,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 т. Залевский, начальник штаба той же части т. Марков и др.</w:t>
      </w:r>
    </w:p>
    <w:p w14:paraId="4D067597" w14:textId="77777777" w:rsidR="007F2131" w:rsidRPr="00E14102" w:rsidRDefault="007F2131" w:rsidP="00E14102">
      <w:pPr>
        <w:jc w:val="both"/>
        <w:rPr>
          <w:color w:val="000000" w:themeColor="text1"/>
          <w:sz w:val="16"/>
          <w:szCs w:val="16"/>
        </w:rPr>
      </w:pPr>
      <w:r w:rsidRPr="00E14102">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 летел наблюдателем начальник штаба части 1695 т. Куприянов для наблюдения видимости ПС с воздуха, такое же задание получил и экипаж самолёта Р-5.</w:t>
      </w:r>
    </w:p>
    <w:p w14:paraId="0BDA09C9" w14:textId="77777777" w:rsidR="007F2131" w:rsidRPr="00E14102" w:rsidRDefault="007F2131" w:rsidP="00E14102">
      <w:pPr>
        <w:jc w:val="both"/>
        <w:rPr>
          <w:color w:val="000000" w:themeColor="text1"/>
          <w:sz w:val="16"/>
          <w:szCs w:val="16"/>
        </w:rPr>
      </w:pPr>
      <w:r w:rsidRPr="00E14102">
        <w:rPr>
          <w:color w:val="000000" w:themeColor="text1"/>
          <w:sz w:val="16"/>
          <w:szCs w:val="16"/>
        </w:rPr>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самолёт ПС не виден совершенно (ни одним из присутствующих), тогда как У-2 и Р-5 отчетливо видны…</w:t>
      </w:r>
    </w:p>
    <w:p w14:paraId="46B61506" w14:textId="77777777" w:rsidR="007F2131" w:rsidRPr="00E14102" w:rsidRDefault="007F2131" w:rsidP="00E14102">
      <w:pPr>
        <w:jc w:val="both"/>
        <w:rPr>
          <w:color w:val="000000" w:themeColor="text1"/>
          <w:sz w:val="16"/>
          <w:szCs w:val="16"/>
        </w:rPr>
      </w:pPr>
      <w:r w:rsidRPr="00E14102">
        <w:rPr>
          <w:color w:val="000000" w:themeColor="text1"/>
          <w:sz w:val="16"/>
          <w:szCs w:val="16"/>
        </w:rPr>
        <w:t>Самолёт с 25 июля по 23 августа 1935 г. в общей сложности налетал 7 часов в самых разнообразных метеорологических условиях (дождь, туман, яркое солнце)…</w:t>
      </w:r>
    </w:p>
    <w:p w14:paraId="52515913" w14:textId="77777777" w:rsidR="007F2131" w:rsidRPr="00E14102" w:rsidRDefault="007F2131" w:rsidP="00E14102">
      <w:pPr>
        <w:jc w:val="both"/>
        <w:rPr>
          <w:color w:val="000000" w:themeColor="text1"/>
          <w:sz w:val="16"/>
          <w:szCs w:val="16"/>
        </w:rPr>
      </w:pPr>
      <w:r w:rsidRPr="00E14102">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15D31C33" w14:textId="77777777" w:rsidR="007F2131" w:rsidRPr="00E14102" w:rsidRDefault="007F2131" w:rsidP="00E14102">
      <w:pPr>
        <w:jc w:val="both"/>
        <w:rPr>
          <w:color w:val="000000" w:themeColor="text1"/>
          <w:sz w:val="16"/>
          <w:szCs w:val="16"/>
        </w:rPr>
      </w:pPr>
      <w:r w:rsidRPr="00E14102">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 е. вплоть до невидимости.</w:t>
      </w:r>
    </w:p>
    <w:p w14:paraId="5EED9263" w14:textId="77777777" w:rsidR="007F2131" w:rsidRPr="00E14102" w:rsidRDefault="007F2131" w:rsidP="00E14102">
      <w:pPr>
        <w:jc w:val="both"/>
        <w:rPr>
          <w:color w:val="000000" w:themeColor="text1"/>
          <w:sz w:val="16"/>
          <w:szCs w:val="16"/>
        </w:rPr>
      </w:pPr>
      <w:r w:rsidRPr="00E14102">
        <w:rPr>
          <w:color w:val="000000" w:themeColor="text1"/>
          <w:sz w:val="16"/>
          <w:szCs w:val="16"/>
        </w:rPr>
        <w:t xml:space="preserve">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 можно сильно улучшить обзор как лётчику, так и наблюдателю на существующих самолётах» </w:t>
      </w:r>
      <w:hyperlink r:id="rId158" w:history="1">
        <w:r w:rsidRPr="00E14102">
          <w:rPr>
            <w:color w:val="000000" w:themeColor="text1"/>
            <w:sz w:val="16"/>
            <w:szCs w:val="16"/>
          </w:rPr>
          <w:t>[158]</w:t>
        </w:r>
      </w:hyperlink>
      <w:r w:rsidRPr="00E14102">
        <w:rPr>
          <w:color w:val="000000" w:themeColor="text1"/>
          <w:sz w:val="16"/>
          <w:szCs w:val="16"/>
        </w:rPr>
        <w:t xml:space="preserve"> .</w:t>
      </w:r>
    </w:p>
    <w:p w14:paraId="5B15D334" w14:textId="77777777" w:rsidR="007F2131" w:rsidRPr="00E14102" w:rsidRDefault="007F2131" w:rsidP="00E14102">
      <w:pPr>
        <w:jc w:val="both"/>
        <w:rPr>
          <w:color w:val="000000" w:themeColor="text1"/>
          <w:sz w:val="16"/>
          <w:szCs w:val="16"/>
        </w:rPr>
      </w:pPr>
      <w:r w:rsidRPr="00E14102">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6F5459AA" w14:textId="77777777" w:rsidR="007F2131" w:rsidRPr="00E14102" w:rsidRDefault="007F2131" w:rsidP="00E14102">
      <w:pPr>
        <w:jc w:val="both"/>
        <w:rPr>
          <w:color w:val="000000" w:themeColor="text1"/>
          <w:sz w:val="16"/>
          <w:szCs w:val="16"/>
        </w:rPr>
      </w:pPr>
      <w:r w:rsidRPr="00E14102">
        <w:rPr>
          <w:color w:val="000000" w:themeColor="text1"/>
          <w:sz w:val="16"/>
          <w:szCs w:val="16"/>
        </w:rPr>
        <w:t xml:space="preserve">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 г. </w:t>
      </w:r>
      <w:hyperlink r:id="rId159" w:history="1">
        <w:r w:rsidRPr="00E14102">
          <w:rPr>
            <w:color w:val="000000" w:themeColor="text1"/>
            <w:sz w:val="16"/>
            <w:szCs w:val="16"/>
          </w:rPr>
          <w:t>[159]</w:t>
        </w:r>
      </w:hyperlink>
      <w:r w:rsidRPr="00E14102">
        <w:rPr>
          <w:color w:val="000000" w:themeColor="text1"/>
          <w:sz w:val="16"/>
          <w:szCs w:val="16"/>
        </w:rPr>
        <w:t xml:space="preserve"> </w:t>
      </w:r>
    </w:p>
    <w:p w14:paraId="1200BE8E" w14:textId="77777777" w:rsidR="007F2131" w:rsidRPr="00E14102" w:rsidRDefault="007F2131" w:rsidP="00E14102">
      <w:pPr>
        <w:jc w:val="both"/>
        <w:rPr>
          <w:color w:val="000000" w:themeColor="text1"/>
          <w:sz w:val="16"/>
          <w:szCs w:val="16"/>
        </w:rPr>
      </w:pPr>
      <w:r w:rsidRPr="00E14102">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419B015D" w14:textId="77777777" w:rsidR="007F2131" w:rsidRPr="00E14102" w:rsidRDefault="007F2131" w:rsidP="00E14102">
      <w:pPr>
        <w:jc w:val="both"/>
        <w:rPr>
          <w:color w:val="000000" w:themeColor="text1"/>
          <w:sz w:val="16"/>
          <w:szCs w:val="16"/>
        </w:rPr>
      </w:pPr>
      <w:r w:rsidRPr="00E14102">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729013F7" w14:textId="77777777" w:rsidR="007F2131" w:rsidRPr="00E14102" w:rsidRDefault="007F2131" w:rsidP="00E14102">
      <w:pPr>
        <w:jc w:val="both"/>
        <w:rPr>
          <w:color w:val="000000" w:themeColor="text1"/>
          <w:sz w:val="16"/>
          <w:szCs w:val="16"/>
        </w:rPr>
      </w:pPr>
    </w:p>
    <w:p w14:paraId="1C5ADA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июля 1935 В.С.Молоков в ходе арктического перелета на Дорнье-Валь СССР Н-2 вылетел из бухты Ногаево и взял курс на Колыму (99,200).</w:t>
      </w:r>
    </w:p>
    <w:p w14:paraId="646A01CC" w14:textId="77777777" w:rsidR="00D4105E" w:rsidRPr="00E14102" w:rsidRDefault="00D4105E" w:rsidP="00E14102">
      <w:pPr>
        <w:autoSpaceDE w:val="0"/>
        <w:autoSpaceDN w:val="0"/>
        <w:adjustRightInd w:val="0"/>
        <w:jc w:val="both"/>
        <w:rPr>
          <w:color w:val="000000" w:themeColor="text1"/>
          <w:sz w:val="16"/>
          <w:szCs w:val="16"/>
        </w:rPr>
      </w:pPr>
    </w:p>
    <w:p w14:paraId="51D3DA1B" w14:textId="77777777" w:rsidR="00E90C6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7632655" w14:textId="77777777" w:rsidR="00E90C6B" w:rsidRPr="00E14102" w:rsidRDefault="00E90C6B" w:rsidP="00E14102">
      <w:pPr>
        <w:autoSpaceDE w:val="0"/>
        <w:autoSpaceDN w:val="0"/>
        <w:adjustRightInd w:val="0"/>
        <w:jc w:val="both"/>
        <w:rPr>
          <w:iCs/>
          <w:color w:val="000000" w:themeColor="text1"/>
          <w:sz w:val="16"/>
          <w:szCs w:val="16"/>
        </w:rPr>
      </w:pPr>
    </w:p>
    <w:p w14:paraId="41C273A1"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26 июля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w:t>
      </w:r>
      <w:r w:rsidRPr="00E14102">
        <w:rPr>
          <w:rFonts w:ascii="Times New Roman" w:hAnsi="Times New Roman" w:cs="Times New Roman"/>
          <w:bCs/>
          <w:color w:val="000000" w:themeColor="text1"/>
          <w:sz w:val="16"/>
          <w:szCs w:val="16"/>
          <w:lang w:val="ru-RU"/>
        </w:rPr>
        <w:t xml:space="preserve"> Доклад Н. М. Синявского К. Е. Ворошилову о</w:t>
      </w:r>
      <w:r w:rsidRPr="00E14102">
        <w:rPr>
          <w:rFonts w:ascii="Times New Roman" w:hAnsi="Times New Roman" w:cs="Times New Roman"/>
          <w:bCs/>
          <w:color w:val="000000" w:themeColor="text1"/>
          <w:sz w:val="16"/>
          <w:szCs w:val="16"/>
        </w:rPr>
        <w:t> </w:t>
      </w:r>
      <w:r w:rsidRPr="00E14102">
        <w:rPr>
          <w:rFonts w:ascii="Times New Roman" w:hAnsi="Times New Roman" w:cs="Times New Roman"/>
          <w:bCs/>
          <w:color w:val="000000" w:themeColor="text1"/>
          <w:sz w:val="16"/>
          <w:szCs w:val="16"/>
          <w:lang w:val="ru-RU"/>
        </w:rPr>
        <w:t>поездке в</w:t>
      </w:r>
      <w:r w:rsidRPr="00E14102">
        <w:rPr>
          <w:rFonts w:ascii="Times New Roman" w:hAnsi="Times New Roman" w:cs="Times New Roman"/>
          <w:bCs/>
          <w:color w:val="000000" w:themeColor="text1"/>
          <w:sz w:val="16"/>
          <w:szCs w:val="16"/>
        </w:rPr>
        <w:t> </w:t>
      </w:r>
      <w:r w:rsidRPr="00E14102">
        <w:rPr>
          <w:rFonts w:ascii="Times New Roman" w:hAnsi="Times New Roman" w:cs="Times New Roman"/>
          <w:bCs/>
          <w:color w:val="000000" w:themeColor="text1"/>
          <w:sz w:val="16"/>
          <w:szCs w:val="16"/>
          <w:lang w:val="ru-RU"/>
        </w:rPr>
        <w:t>США и</w:t>
      </w:r>
      <w:r w:rsidRPr="00E14102">
        <w:rPr>
          <w:rFonts w:ascii="Times New Roman" w:hAnsi="Times New Roman" w:cs="Times New Roman"/>
          <w:bCs/>
          <w:color w:val="000000" w:themeColor="text1"/>
          <w:sz w:val="16"/>
          <w:szCs w:val="16"/>
        </w:rPr>
        <w:t> </w:t>
      </w:r>
      <w:r w:rsidRPr="00E14102">
        <w:rPr>
          <w:rFonts w:ascii="Times New Roman" w:hAnsi="Times New Roman" w:cs="Times New Roman"/>
          <w:bCs/>
          <w:color w:val="000000" w:themeColor="text1"/>
          <w:sz w:val="16"/>
          <w:szCs w:val="16"/>
          <w:lang w:val="ru-RU"/>
        </w:rPr>
        <w:t xml:space="preserve">Францию </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18160сс</w:t>
      </w:r>
    </w:p>
    <w:p w14:paraId="5BDABEC7"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Сов. Секретно</w:t>
      </w:r>
    </w:p>
    <w:p w14:paraId="71D5C995"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Экз. №</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1</w:t>
      </w:r>
    </w:p>
    <w:p w14:paraId="31A34B8C"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Народному комиссару обороны СССР</w:t>
      </w:r>
    </w:p>
    <w:p w14:paraId="6095FB6C"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тов. Ворошилову</w:t>
      </w:r>
    </w:p>
    <w:p w14:paraId="74DB3599"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командировке в</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Америку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Францию на</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меня были возложены следующие четыре поручения:</w:t>
      </w:r>
    </w:p>
    <w:p w14:paraId="18A426D8"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 Заключить договор с д-ром Тесла, выяснив существо предложения его установки (постановление Политбюро от</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21 декабря);</w:t>
      </w:r>
    </w:p>
    <w:p w14:paraId="6C72F479"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 Закупить новейшие образцы аппаратуры связи в</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Америке, на</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что отпущено из</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сметы НКОбороны 50</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000</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долларов (постановление Политбюро от</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26 января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w:t>
      </w:r>
    </w:p>
    <w:p w14:paraId="1119B527"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3) Выяснить существо предложения гр. Розенталя о</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покупке через него телемеханической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секретной аппаратуры во</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Франции (резолюция тов. Сталина на</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Вашем докладе);</w:t>
      </w:r>
    </w:p>
    <w:p w14:paraId="224761ED"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4) Выяснить у</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«Радио корпорейшн»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«Сперри» стоимость технической помощи по</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лампам, телевизии, телевизионным образцам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телесамолету (ваша телеграмма, полученная мной 5 апреля в Нью-Йорке).</w:t>
      </w:r>
    </w:p>
    <w:p w14:paraId="278482E3"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Докладываю о</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выполнении данных мне поручений:</w:t>
      </w:r>
    </w:p>
    <w:p w14:paraId="219E0460"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rPr>
        <w:t>I</w:t>
      </w:r>
    </w:p>
    <w:p w14:paraId="461A9C69"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Д-р Тесла является одним из</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крупнейших физиков, с</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1884</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 живет в</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Америке; долгое время работал с</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Эдисоном. Тесла имеет несколько ученых степеней. Его главнейшие изобретения следующие:</w:t>
      </w:r>
    </w:p>
    <w:p w14:paraId="05EF3134"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 Исследование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открытие в</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лучистых материалах потоков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излучений.</w:t>
      </w:r>
    </w:p>
    <w:p w14:paraId="443F4F30"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 Система беспроволочной передачи энергии.</w:t>
      </w:r>
    </w:p>
    <w:p w14:paraId="4BCDC039"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3) Трансформатор Тесла.</w:t>
      </w:r>
    </w:p>
    <w:p w14:paraId="2F54381B"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4) Генераторы высокочастотного тока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их</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эффект.</w:t>
      </w:r>
    </w:p>
    <w:p w14:paraId="4CF91EC7"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5) Высокопотенциальный усиливающий передатчик.</w:t>
      </w:r>
    </w:p>
    <w:p w14:paraId="0C1E9043"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6) Механические осциллаторы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генераторы электрического колебания.</w:t>
      </w:r>
    </w:p>
    <w:p w14:paraId="0B911743"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7) Мотор Тесла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система передачи переменного тока.</w:t>
      </w:r>
    </w:p>
    <w:p w14:paraId="58360C4D"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8) Система электрического преобразования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распределения путем колебательного заряда.</w:t>
      </w:r>
    </w:p>
    <w:p w14:paraId="2C82D132"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9) Система дугового освещения.</w:t>
      </w:r>
    </w:p>
    <w:p w14:paraId="31A0423B"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Кроме того, Тесла имеет несколько сот различных патентов.</w:t>
      </w:r>
    </w:p>
    <w:p w14:paraId="6C19ADD1"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Сущность его предложения нам основывается на</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следующих четырех изобретениях:</w:t>
      </w:r>
    </w:p>
    <w:p w14:paraId="302E29B5"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lang w:val="ru-RU"/>
        </w:rPr>
        <w:t>1) Аппарат, вырабатывающий по</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xml:space="preserve">специальному методу Тесла огромную электрическую энергию </w:t>
      </w:r>
      <w:r w:rsidRPr="00E14102">
        <w:rPr>
          <w:rFonts w:ascii="Times New Roman" w:hAnsi="Times New Roman" w:cs="Times New Roman"/>
          <w:color w:val="000000" w:themeColor="text1"/>
          <w:sz w:val="16"/>
          <w:szCs w:val="16"/>
        </w:rPr>
        <w:t>(до 50 млн вольт).</w:t>
      </w:r>
    </w:p>
    <w:p w14:paraId="7602C51D"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 Установка, накапливающая эту энергию с</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одноименным зарядом.</w:t>
      </w:r>
    </w:p>
    <w:p w14:paraId="6350EADC"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3) Метод распространения данной энергии.</w:t>
      </w:r>
    </w:p>
    <w:p w14:paraId="324EE78B"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4) Специальная трубка, посылающая колоссальной мощности струю из</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мельчайших частиц ртути или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другого аналогичного материала (об</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этом более подробно я</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докладывал Вам лично).</w:t>
      </w:r>
    </w:p>
    <w:p w14:paraId="18158F5F"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Мною заключено соглашение с</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Тесла, по</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которому он</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обязывается:</w:t>
      </w:r>
    </w:p>
    <w:p w14:paraId="0E29FB1E"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 Составить для нас проект его полной установки.</w:t>
      </w:r>
    </w:p>
    <w:p w14:paraId="7B936BF0"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 Дать подробные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исчерпывающие чертежи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описания вышеперечисленных четырех изобретений.</w:t>
      </w:r>
    </w:p>
    <w:p w14:paraId="61A0BF4F"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3) Дать все рецепты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полное описание всех тех химикалий, которые применяются в</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его установке.</w:t>
      </w:r>
    </w:p>
    <w:p w14:paraId="6ED833E8"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4) Вести систематическую консультацию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помощь при осуществлении данной постройки у</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нас в</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Союзе. Эту помощь Тесла может делать по</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нашим запросам в</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Америку через Вартаняна.</w:t>
      </w:r>
    </w:p>
    <w:p w14:paraId="774C2EEF"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5) Срок окончания работ</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4</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месяца.</w:t>
      </w:r>
    </w:p>
    <w:p w14:paraId="40B17724"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соответствии с</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решением от</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ПБ</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от</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25 декабря за</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эти работы мною уплачено Тесла 25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000</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долларов. При этом Тесла заявил нам, что все теоретические подсчёты им</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проверены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его установка должна работать. Практически он</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это проверить не</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мог, т. к. в</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условиях американской действительности эту работу без соответствующей субсидии осуществить невозможно. В</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Амторге меня информировали, что лично Тесла имеет капитал около 3</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000</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000</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рублей.</w:t>
      </w:r>
    </w:p>
    <w:p w14:paraId="733484B4"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w:t>
      </w:r>
    </w:p>
    <w:p w14:paraId="40D3EB6C"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Выводы:</w:t>
      </w:r>
    </w:p>
    <w:p w14:paraId="1CFB55CB"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lastRenderedPageBreak/>
        <w:t>1) Оригинальность предложения Тесла, его научный авторитет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большой практический опыт по</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работе передачи энергии представляют интерес в</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осуществлении его предложения. Мне кажется, что здесь мы, рискую 25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000</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долларов, можем сделать большое дело.….</w:t>
      </w:r>
    </w:p>
    <w:p w14:paraId="71171221"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Начальник Управления связи РККА Синявский</w:t>
      </w:r>
    </w:p>
    <w:p w14:paraId="1D1F5D79"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Приведеный документ опубликованы в Москва-Вашингтон. Политика и дипломатия Кремля, 1921-1941. В 3-х томах. Том 3. 1933-1941.</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xml:space="preserve"> Севостьянов Г.Н. ред. </w:t>
      </w:r>
      <w:r w:rsidRPr="00E14102">
        <w:rPr>
          <w:rStyle w:val="a3"/>
          <w:rFonts w:ascii="Times New Roman" w:hAnsi="Times New Roman" w:cs="Times New Roman"/>
          <w:b w:val="0"/>
          <w:bCs w:val="0"/>
          <w:color w:val="000000" w:themeColor="text1"/>
          <w:sz w:val="16"/>
          <w:szCs w:val="16"/>
        </w:rPr>
        <w:t>ISBN</w:t>
      </w:r>
      <w:r w:rsidRPr="00E14102">
        <w:rPr>
          <w:rStyle w:val="a3"/>
          <w:rFonts w:ascii="Times New Roman" w:hAnsi="Times New Roman" w:cs="Times New Roman"/>
          <w:b w:val="0"/>
          <w:bCs w:val="0"/>
          <w:color w:val="000000" w:themeColor="text1"/>
          <w:sz w:val="16"/>
          <w:szCs w:val="16"/>
          <w:lang w:val="ru-RU"/>
        </w:rPr>
        <w:t xml:space="preserve">: </w:t>
      </w:r>
      <w:r w:rsidRPr="00E14102">
        <w:rPr>
          <w:rFonts w:ascii="Times New Roman" w:hAnsi="Times New Roman" w:cs="Times New Roman"/>
          <w:color w:val="000000" w:themeColor="text1"/>
          <w:sz w:val="16"/>
          <w:szCs w:val="16"/>
          <w:lang w:val="ru-RU"/>
        </w:rPr>
        <w:t>978-5-02-036748-7 (15130).</w:t>
      </w:r>
    </w:p>
    <w:p w14:paraId="5751AA92" w14:textId="77777777" w:rsidR="00E90C6B" w:rsidRPr="00E14102" w:rsidRDefault="00E90C6B" w:rsidP="00E14102">
      <w:pPr>
        <w:pStyle w:val="ad"/>
        <w:shd w:val="clear" w:color="auto" w:fill="FFFFFF"/>
        <w:spacing w:before="0" w:after="0"/>
        <w:rPr>
          <w:rFonts w:ascii="Times New Roman" w:hAnsi="Times New Roman" w:cs="Times New Roman"/>
          <w:color w:val="000000" w:themeColor="text1"/>
          <w:sz w:val="16"/>
          <w:szCs w:val="16"/>
          <w:lang w:val="ru-RU"/>
        </w:rPr>
      </w:pPr>
    </w:p>
    <w:p w14:paraId="50B5C4B7" w14:textId="77777777" w:rsidR="00514758" w:rsidRPr="00E14102" w:rsidRDefault="00514758" w:rsidP="00E14102">
      <w:pPr>
        <w:jc w:val="both"/>
        <w:rPr>
          <w:color w:val="0070C0"/>
          <w:sz w:val="16"/>
          <w:szCs w:val="16"/>
        </w:rPr>
      </w:pPr>
      <w:r w:rsidRPr="00E14102">
        <w:rPr>
          <w:color w:val="0070C0"/>
          <w:sz w:val="16"/>
          <w:szCs w:val="16"/>
        </w:rPr>
        <w:t>26 июля 1935 г.</w:t>
      </w:r>
    </w:p>
    <w:p w14:paraId="684870CD" w14:textId="77777777" w:rsidR="00514758" w:rsidRPr="00E14102" w:rsidRDefault="00514758" w:rsidP="00E14102">
      <w:pPr>
        <w:jc w:val="both"/>
        <w:rPr>
          <w:color w:val="0070C0"/>
          <w:sz w:val="16"/>
          <w:szCs w:val="16"/>
        </w:rPr>
      </w:pPr>
      <w:r w:rsidRPr="00E14102">
        <w:rPr>
          <w:color w:val="0070C0"/>
          <w:sz w:val="16"/>
          <w:szCs w:val="16"/>
        </w:rPr>
        <w:t>Доклад Н.М. Синявского К.Е. Ворошилову о поездке в США и Францию1</w:t>
      </w:r>
    </w:p>
    <w:p w14:paraId="3E1C5DE3" w14:textId="77777777" w:rsidR="00514758" w:rsidRPr="00E14102" w:rsidRDefault="00514758" w:rsidP="00E14102">
      <w:pPr>
        <w:jc w:val="both"/>
        <w:rPr>
          <w:color w:val="0070C0"/>
          <w:sz w:val="16"/>
          <w:szCs w:val="16"/>
        </w:rPr>
      </w:pPr>
      <w:r w:rsidRPr="00E14102">
        <w:rPr>
          <w:color w:val="0070C0"/>
          <w:sz w:val="16"/>
          <w:szCs w:val="16"/>
        </w:rPr>
        <w:t>№ 18160сс</w:t>
      </w:r>
      <w:r w:rsidRPr="00E14102">
        <w:rPr>
          <w:color w:val="0070C0"/>
          <w:sz w:val="16"/>
          <w:szCs w:val="16"/>
        </w:rPr>
        <w:tab/>
        <w:t>26 июля 1935 г.</w:t>
      </w:r>
    </w:p>
    <w:p w14:paraId="614A9924" w14:textId="77777777" w:rsidR="00514758" w:rsidRPr="00E14102" w:rsidRDefault="00514758" w:rsidP="00E14102">
      <w:pPr>
        <w:jc w:val="both"/>
        <w:rPr>
          <w:color w:val="0070C0"/>
          <w:sz w:val="16"/>
          <w:szCs w:val="16"/>
        </w:rPr>
      </w:pPr>
      <w:r w:rsidRPr="00E14102">
        <w:rPr>
          <w:color w:val="0070C0"/>
          <w:sz w:val="16"/>
          <w:szCs w:val="16"/>
        </w:rPr>
        <w:t>Сов. секретно</w:t>
      </w:r>
    </w:p>
    <w:p w14:paraId="05E1E574" w14:textId="77777777" w:rsidR="00514758" w:rsidRPr="00E14102" w:rsidRDefault="00514758" w:rsidP="00E14102">
      <w:pPr>
        <w:jc w:val="both"/>
        <w:rPr>
          <w:color w:val="0070C0"/>
          <w:sz w:val="16"/>
          <w:szCs w:val="16"/>
        </w:rPr>
      </w:pPr>
      <w:r w:rsidRPr="00E14102">
        <w:rPr>
          <w:color w:val="0070C0"/>
          <w:sz w:val="16"/>
          <w:szCs w:val="16"/>
        </w:rPr>
        <w:t>Экз. № 1</w:t>
      </w:r>
    </w:p>
    <w:p w14:paraId="462C51C8" w14:textId="77777777" w:rsidR="00514758" w:rsidRPr="00E14102" w:rsidRDefault="00514758" w:rsidP="00E14102">
      <w:pPr>
        <w:jc w:val="both"/>
        <w:rPr>
          <w:color w:val="0070C0"/>
          <w:sz w:val="16"/>
          <w:szCs w:val="16"/>
        </w:rPr>
      </w:pPr>
      <w:r w:rsidRPr="00E14102">
        <w:rPr>
          <w:color w:val="0070C0"/>
          <w:sz w:val="16"/>
          <w:szCs w:val="16"/>
        </w:rPr>
        <w:t>Народному комиссару обороны СССР тов. Ворошилову</w:t>
      </w:r>
    </w:p>
    <w:p w14:paraId="2D4A39CD" w14:textId="77777777" w:rsidR="00514758" w:rsidRPr="00E14102" w:rsidRDefault="00514758" w:rsidP="00E14102">
      <w:pPr>
        <w:jc w:val="both"/>
        <w:rPr>
          <w:color w:val="0070C0"/>
          <w:sz w:val="16"/>
          <w:szCs w:val="16"/>
        </w:rPr>
      </w:pPr>
      <w:r w:rsidRPr="00E14102">
        <w:rPr>
          <w:color w:val="0070C0"/>
          <w:sz w:val="16"/>
          <w:szCs w:val="16"/>
        </w:rPr>
        <w:t>По командировке в Америку и Францию на меня были возложены следующие четыре поручения:</w:t>
      </w:r>
    </w:p>
    <w:p w14:paraId="139846A4" w14:textId="77777777" w:rsidR="00514758" w:rsidRPr="00E14102" w:rsidRDefault="00514758" w:rsidP="00E14102">
      <w:pPr>
        <w:jc w:val="both"/>
        <w:rPr>
          <w:color w:val="0070C0"/>
          <w:sz w:val="16"/>
          <w:szCs w:val="16"/>
        </w:rPr>
      </w:pPr>
      <w:r w:rsidRPr="00E14102">
        <w:rPr>
          <w:color w:val="0070C0"/>
          <w:sz w:val="16"/>
          <w:szCs w:val="16"/>
        </w:rPr>
        <w:t>1) Заключить договор с д-ром Тесла, выяснив существо предложения его установки (постановление Политбюро от 21 декабря</w:t>
      </w:r>
    </w:p>
    <w:p w14:paraId="53DABAE6" w14:textId="77777777" w:rsidR="00514758" w:rsidRPr="00E14102" w:rsidRDefault="00514758" w:rsidP="00E14102">
      <w:pPr>
        <w:jc w:val="both"/>
        <w:rPr>
          <w:color w:val="0070C0"/>
          <w:sz w:val="16"/>
          <w:szCs w:val="16"/>
        </w:rPr>
      </w:pPr>
      <w:r w:rsidRPr="00E14102">
        <w:rPr>
          <w:color w:val="0070C0"/>
          <w:sz w:val="16"/>
          <w:szCs w:val="16"/>
        </w:rPr>
        <w:t>2) Закупить новейшие образцы аппаратуры связи в Америке, на что отпущено из сметы НКОбороны 50 000 долларов (постановление Политбюро от 26 января 1935 г.);</w:t>
      </w:r>
    </w:p>
    <w:p w14:paraId="0940E1AD" w14:textId="77777777" w:rsidR="00514758" w:rsidRPr="00E14102" w:rsidRDefault="00514758" w:rsidP="00E14102">
      <w:pPr>
        <w:jc w:val="both"/>
        <w:rPr>
          <w:color w:val="0070C0"/>
          <w:sz w:val="16"/>
          <w:szCs w:val="16"/>
        </w:rPr>
      </w:pPr>
      <w:r w:rsidRPr="00E14102">
        <w:rPr>
          <w:color w:val="0070C0"/>
          <w:sz w:val="16"/>
          <w:szCs w:val="16"/>
        </w:rPr>
        <w:t>3) Выяснить существо предложения гр. Розенталя о покупке через него телемеханической и секретной аппаратуры во Франции (резолюция т. Сталина на Вашем докладе);</w:t>
      </w:r>
    </w:p>
    <w:p w14:paraId="191E4E57" w14:textId="77777777" w:rsidR="00514758" w:rsidRPr="00E14102" w:rsidRDefault="00514758" w:rsidP="00E14102">
      <w:pPr>
        <w:jc w:val="both"/>
        <w:rPr>
          <w:color w:val="0070C0"/>
          <w:sz w:val="16"/>
          <w:szCs w:val="16"/>
        </w:rPr>
      </w:pPr>
      <w:r w:rsidRPr="00E14102">
        <w:rPr>
          <w:color w:val="0070C0"/>
          <w:sz w:val="16"/>
          <w:szCs w:val="16"/>
        </w:rPr>
        <w:t>4) Выяснить у «Радио корпорейшн» и «Сперри» стоимость технической помощи по лампам, телевизии, телевизионным образцам и телесамолету (Ваша телеграмма, полученная мною 5 апреля в Нью-Йорке).</w:t>
      </w:r>
    </w:p>
    <w:p w14:paraId="3AB024B1" w14:textId="77777777" w:rsidR="00514758" w:rsidRPr="00E14102" w:rsidRDefault="00514758" w:rsidP="00E14102">
      <w:pPr>
        <w:jc w:val="both"/>
        <w:rPr>
          <w:color w:val="0070C0"/>
          <w:sz w:val="16"/>
          <w:szCs w:val="16"/>
        </w:rPr>
      </w:pPr>
      <w:r w:rsidRPr="00E14102">
        <w:rPr>
          <w:color w:val="0070C0"/>
          <w:sz w:val="16"/>
          <w:szCs w:val="16"/>
        </w:rPr>
        <w:t>Докладываю о выполнении данных мне поручений:</w:t>
      </w:r>
    </w:p>
    <w:p w14:paraId="127C5FEA" w14:textId="77777777" w:rsidR="00514758" w:rsidRPr="00E14102" w:rsidRDefault="00514758" w:rsidP="00E14102">
      <w:pPr>
        <w:jc w:val="both"/>
        <w:rPr>
          <w:color w:val="0070C0"/>
          <w:sz w:val="16"/>
          <w:szCs w:val="16"/>
        </w:rPr>
      </w:pPr>
      <w:r w:rsidRPr="00E14102">
        <w:rPr>
          <w:color w:val="0070C0"/>
          <w:sz w:val="16"/>
          <w:szCs w:val="16"/>
        </w:rPr>
        <w:t>I</w:t>
      </w:r>
    </w:p>
    <w:p w14:paraId="48783DAB" w14:textId="77777777" w:rsidR="00514758" w:rsidRPr="00E14102" w:rsidRDefault="00514758" w:rsidP="00E14102">
      <w:pPr>
        <w:jc w:val="both"/>
        <w:rPr>
          <w:color w:val="0070C0"/>
          <w:sz w:val="16"/>
          <w:szCs w:val="16"/>
        </w:rPr>
      </w:pPr>
      <w:r w:rsidRPr="00E14102">
        <w:rPr>
          <w:color w:val="0070C0"/>
          <w:sz w:val="16"/>
          <w:szCs w:val="16"/>
        </w:rPr>
        <w:t>Д-р Тесла является одним из крупнейших физиков, с 1884 г. живет в Америке; долгое время работал с Эдисоном. Тесла имеет несколько ученых степеней. Его главнейшие изобретения следующие:</w:t>
      </w:r>
    </w:p>
    <w:p w14:paraId="47E2A2A9" w14:textId="77777777" w:rsidR="00514758" w:rsidRPr="00E14102" w:rsidRDefault="00514758" w:rsidP="00E14102">
      <w:pPr>
        <w:jc w:val="both"/>
        <w:rPr>
          <w:color w:val="0070C0"/>
          <w:sz w:val="16"/>
          <w:szCs w:val="16"/>
        </w:rPr>
      </w:pPr>
      <w:r w:rsidRPr="00E14102">
        <w:rPr>
          <w:color w:val="0070C0"/>
          <w:sz w:val="16"/>
          <w:szCs w:val="16"/>
        </w:rPr>
        <w:t>1) Исследование и открытие в лучистых материалах потоков и излучений.</w:t>
      </w:r>
    </w:p>
    <w:p w14:paraId="5C87098E" w14:textId="77777777" w:rsidR="00514758" w:rsidRPr="00E14102" w:rsidRDefault="00514758" w:rsidP="00E14102">
      <w:pPr>
        <w:jc w:val="both"/>
        <w:rPr>
          <w:color w:val="0070C0"/>
          <w:sz w:val="16"/>
          <w:szCs w:val="16"/>
        </w:rPr>
      </w:pPr>
      <w:r w:rsidRPr="00E14102">
        <w:rPr>
          <w:color w:val="0070C0"/>
          <w:sz w:val="16"/>
          <w:szCs w:val="16"/>
        </w:rPr>
        <w:t>2) Система беспроволочной передачи энергии.</w:t>
      </w:r>
    </w:p>
    <w:p w14:paraId="43867676" w14:textId="77777777" w:rsidR="00514758" w:rsidRPr="00E14102" w:rsidRDefault="00514758" w:rsidP="00E14102">
      <w:pPr>
        <w:jc w:val="both"/>
        <w:rPr>
          <w:color w:val="0070C0"/>
          <w:sz w:val="16"/>
          <w:szCs w:val="16"/>
        </w:rPr>
      </w:pPr>
      <w:r w:rsidRPr="00E14102">
        <w:rPr>
          <w:color w:val="0070C0"/>
          <w:sz w:val="16"/>
          <w:szCs w:val="16"/>
        </w:rPr>
        <w:t>3) Трансформатор Тесла.</w:t>
      </w:r>
    </w:p>
    <w:p w14:paraId="187B5999" w14:textId="77777777" w:rsidR="00514758" w:rsidRPr="00E14102" w:rsidRDefault="00514758" w:rsidP="00E14102">
      <w:pPr>
        <w:jc w:val="both"/>
        <w:rPr>
          <w:color w:val="0070C0"/>
          <w:sz w:val="16"/>
          <w:szCs w:val="16"/>
        </w:rPr>
      </w:pPr>
      <w:r w:rsidRPr="00E14102">
        <w:rPr>
          <w:color w:val="0070C0"/>
          <w:sz w:val="16"/>
          <w:szCs w:val="16"/>
        </w:rPr>
        <w:t>4) Генераторы высокочастотного тока и их эффект.</w:t>
      </w:r>
    </w:p>
    <w:p w14:paraId="4F28F60F" w14:textId="77777777" w:rsidR="00514758" w:rsidRPr="00E14102" w:rsidRDefault="00514758" w:rsidP="00E14102">
      <w:pPr>
        <w:jc w:val="both"/>
        <w:rPr>
          <w:color w:val="0070C0"/>
          <w:sz w:val="16"/>
          <w:szCs w:val="16"/>
        </w:rPr>
      </w:pPr>
      <w:r w:rsidRPr="00E14102">
        <w:rPr>
          <w:color w:val="0070C0"/>
          <w:sz w:val="16"/>
          <w:szCs w:val="16"/>
        </w:rPr>
        <w:t>5) Высокопотенциальный усиливающий передатчик.</w:t>
      </w:r>
    </w:p>
    <w:p w14:paraId="71746F1E" w14:textId="77777777" w:rsidR="00514758" w:rsidRPr="00E14102" w:rsidRDefault="00514758" w:rsidP="00E14102">
      <w:pPr>
        <w:jc w:val="both"/>
        <w:rPr>
          <w:color w:val="0070C0"/>
          <w:sz w:val="16"/>
          <w:szCs w:val="16"/>
        </w:rPr>
      </w:pPr>
      <w:r w:rsidRPr="00E14102">
        <w:rPr>
          <w:color w:val="0070C0"/>
          <w:sz w:val="16"/>
          <w:szCs w:val="16"/>
        </w:rPr>
        <w:t>6) Механические осциллаторы и генераторы электрического колебания.</w:t>
      </w:r>
    </w:p>
    <w:p w14:paraId="1AD7D1A7" w14:textId="77777777" w:rsidR="00514758" w:rsidRPr="00E14102" w:rsidRDefault="00514758" w:rsidP="00E14102">
      <w:pPr>
        <w:jc w:val="both"/>
        <w:rPr>
          <w:color w:val="0070C0"/>
          <w:sz w:val="16"/>
          <w:szCs w:val="16"/>
        </w:rPr>
      </w:pPr>
      <w:r w:rsidRPr="00E14102">
        <w:rPr>
          <w:color w:val="0070C0"/>
          <w:sz w:val="16"/>
          <w:szCs w:val="16"/>
        </w:rPr>
        <w:t>7) Мотор Тесла и система передачи переменного тока.</w:t>
      </w:r>
    </w:p>
    <w:p w14:paraId="6492C1F7" w14:textId="77777777" w:rsidR="00514758" w:rsidRPr="00E14102" w:rsidRDefault="00514758" w:rsidP="00E14102">
      <w:pPr>
        <w:jc w:val="both"/>
        <w:rPr>
          <w:color w:val="0070C0"/>
          <w:sz w:val="16"/>
          <w:szCs w:val="16"/>
        </w:rPr>
      </w:pPr>
      <w:r w:rsidRPr="00E14102">
        <w:rPr>
          <w:color w:val="0070C0"/>
          <w:sz w:val="16"/>
          <w:szCs w:val="16"/>
        </w:rPr>
        <w:t>8) Система электрического преобразования и распределения путем колебательного разряда.</w:t>
      </w:r>
    </w:p>
    <w:p w14:paraId="6D2819D0" w14:textId="77777777" w:rsidR="00514758" w:rsidRPr="00E14102" w:rsidRDefault="00514758" w:rsidP="00E14102">
      <w:pPr>
        <w:jc w:val="both"/>
        <w:rPr>
          <w:color w:val="0070C0"/>
          <w:sz w:val="16"/>
          <w:szCs w:val="16"/>
        </w:rPr>
      </w:pPr>
      <w:r w:rsidRPr="00E14102">
        <w:rPr>
          <w:color w:val="0070C0"/>
          <w:sz w:val="16"/>
          <w:szCs w:val="16"/>
        </w:rPr>
        <w:t>9) Система дугового освещения.</w:t>
      </w:r>
    </w:p>
    <w:p w14:paraId="36732EC8" w14:textId="77777777" w:rsidR="00514758" w:rsidRPr="00E14102" w:rsidRDefault="00514758" w:rsidP="00E14102">
      <w:pPr>
        <w:jc w:val="both"/>
        <w:rPr>
          <w:color w:val="0070C0"/>
          <w:sz w:val="16"/>
          <w:szCs w:val="16"/>
        </w:rPr>
      </w:pPr>
      <w:r w:rsidRPr="00E14102">
        <w:rPr>
          <w:color w:val="0070C0"/>
          <w:sz w:val="16"/>
          <w:szCs w:val="16"/>
        </w:rPr>
        <w:t>Кроме этого, Тесла имеет несколько сот различных патентов.</w:t>
      </w:r>
    </w:p>
    <w:p w14:paraId="7BD68FFC" w14:textId="77777777" w:rsidR="00514758" w:rsidRPr="00E14102" w:rsidRDefault="00514758" w:rsidP="00E14102">
      <w:pPr>
        <w:jc w:val="both"/>
        <w:rPr>
          <w:color w:val="0070C0"/>
          <w:sz w:val="16"/>
          <w:szCs w:val="16"/>
        </w:rPr>
      </w:pPr>
      <w:r w:rsidRPr="00E14102">
        <w:rPr>
          <w:color w:val="0070C0"/>
          <w:sz w:val="16"/>
          <w:szCs w:val="16"/>
        </w:rPr>
        <w:t>Сущность его предложения нам основывается на следующих четырех изобретениях:</w:t>
      </w:r>
    </w:p>
    <w:p w14:paraId="715EB4E0" w14:textId="77777777" w:rsidR="00514758" w:rsidRPr="00E14102" w:rsidRDefault="00514758" w:rsidP="00E14102">
      <w:pPr>
        <w:jc w:val="both"/>
        <w:rPr>
          <w:color w:val="0070C0"/>
          <w:sz w:val="16"/>
          <w:szCs w:val="16"/>
        </w:rPr>
      </w:pPr>
      <w:r w:rsidRPr="00E14102">
        <w:rPr>
          <w:color w:val="0070C0"/>
          <w:sz w:val="16"/>
          <w:szCs w:val="16"/>
        </w:rPr>
        <w:t>1) Аппарат, врабатывавший по специальному методу Тесла огромную электрическую энергию (до 50 млн вольт).</w:t>
      </w:r>
    </w:p>
    <w:p w14:paraId="594DD8CE" w14:textId="77777777" w:rsidR="00514758" w:rsidRPr="00E14102" w:rsidRDefault="00514758" w:rsidP="00E14102">
      <w:pPr>
        <w:jc w:val="both"/>
        <w:rPr>
          <w:color w:val="0070C0"/>
          <w:sz w:val="16"/>
          <w:szCs w:val="16"/>
        </w:rPr>
      </w:pPr>
      <w:r w:rsidRPr="00E14102">
        <w:rPr>
          <w:color w:val="0070C0"/>
          <w:sz w:val="16"/>
          <w:szCs w:val="16"/>
        </w:rPr>
        <w:t>2) Установка, накапливающая эту энергию с одноименным зарядом.</w:t>
      </w:r>
    </w:p>
    <w:p w14:paraId="1A83322D" w14:textId="77777777" w:rsidR="00514758" w:rsidRPr="00E14102" w:rsidRDefault="00514758" w:rsidP="00E14102">
      <w:pPr>
        <w:jc w:val="both"/>
        <w:rPr>
          <w:color w:val="0070C0"/>
          <w:sz w:val="16"/>
          <w:szCs w:val="16"/>
        </w:rPr>
      </w:pPr>
      <w:r w:rsidRPr="00E14102">
        <w:rPr>
          <w:color w:val="0070C0"/>
          <w:sz w:val="16"/>
          <w:szCs w:val="16"/>
        </w:rPr>
        <w:t>3) Метод распространения данной энергии.</w:t>
      </w:r>
    </w:p>
    <w:p w14:paraId="3628ABEF" w14:textId="77777777" w:rsidR="00514758" w:rsidRPr="00E14102" w:rsidRDefault="00514758" w:rsidP="00E14102">
      <w:pPr>
        <w:jc w:val="both"/>
        <w:rPr>
          <w:color w:val="0070C0"/>
          <w:sz w:val="16"/>
          <w:szCs w:val="16"/>
        </w:rPr>
      </w:pPr>
      <w:r w:rsidRPr="00E14102">
        <w:rPr>
          <w:color w:val="0070C0"/>
          <w:sz w:val="16"/>
          <w:szCs w:val="16"/>
        </w:rPr>
        <w:t>4) Специальная трубка, посылающая колоссальной мощности струю из мельчайших частиц ртути или другого аналогичного материала (об этом более подробно я докладывал Вам лично).</w:t>
      </w:r>
    </w:p>
    <w:p w14:paraId="5158C385" w14:textId="77777777" w:rsidR="00514758" w:rsidRPr="00E14102" w:rsidRDefault="00514758" w:rsidP="00E14102">
      <w:pPr>
        <w:jc w:val="both"/>
        <w:rPr>
          <w:color w:val="0070C0"/>
          <w:sz w:val="16"/>
          <w:szCs w:val="16"/>
        </w:rPr>
      </w:pPr>
      <w:r w:rsidRPr="00E14102">
        <w:rPr>
          <w:color w:val="0070C0"/>
          <w:sz w:val="16"/>
          <w:szCs w:val="16"/>
        </w:rPr>
        <w:t>Мною заключено соглашение с Тесла, по которому он обязывается:</w:t>
      </w:r>
    </w:p>
    <w:p w14:paraId="55519B09" w14:textId="77777777" w:rsidR="00514758" w:rsidRPr="00E14102" w:rsidRDefault="00514758" w:rsidP="00E14102">
      <w:pPr>
        <w:jc w:val="both"/>
        <w:rPr>
          <w:color w:val="0070C0"/>
          <w:sz w:val="16"/>
          <w:szCs w:val="16"/>
        </w:rPr>
      </w:pPr>
      <w:r w:rsidRPr="00E14102">
        <w:rPr>
          <w:color w:val="0070C0"/>
          <w:sz w:val="16"/>
          <w:szCs w:val="16"/>
        </w:rPr>
        <w:t>1) Составить для нас проект полной его установки.</w:t>
      </w:r>
    </w:p>
    <w:p w14:paraId="36B57A51" w14:textId="77777777" w:rsidR="00514758" w:rsidRPr="00E14102" w:rsidRDefault="00514758" w:rsidP="00E14102">
      <w:pPr>
        <w:jc w:val="both"/>
        <w:rPr>
          <w:color w:val="0070C0"/>
          <w:sz w:val="16"/>
          <w:szCs w:val="16"/>
        </w:rPr>
      </w:pPr>
      <w:r w:rsidRPr="00E14102">
        <w:rPr>
          <w:color w:val="0070C0"/>
          <w:sz w:val="16"/>
          <w:szCs w:val="16"/>
        </w:rPr>
        <w:t>2) Дать подробные и исчерпывающие чертежи и описания вышеперечисленных четырех изобретений.</w:t>
      </w:r>
    </w:p>
    <w:p w14:paraId="6B224B4B" w14:textId="77777777" w:rsidR="00514758" w:rsidRPr="00E14102" w:rsidRDefault="00514758" w:rsidP="00E14102">
      <w:pPr>
        <w:jc w:val="both"/>
        <w:rPr>
          <w:color w:val="0070C0"/>
          <w:sz w:val="16"/>
          <w:szCs w:val="16"/>
        </w:rPr>
      </w:pPr>
      <w:r w:rsidRPr="00E14102">
        <w:rPr>
          <w:color w:val="0070C0"/>
          <w:sz w:val="16"/>
          <w:szCs w:val="16"/>
        </w:rPr>
        <w:t>3) Дать все рецепты и полное описание всех тех химикалий, которые применяются в его установке.</w:t>
      </w:r>
    </w:p>
    <w:p w14:paraId="1DAF5C3B" w14:textId="77777777" w:rsidR="00514758" w:rsidRPr="00E14102" w:rsidRDefault="00514758" w:rsidP="00E14102">
      <w:pPr>
        <w:jc w:val="both"/>
        <w:rPr>
          <w:color w:val="0070C0"/>
          <w:sz w:val="16"/>
          <w:szCs w:val="16"/>
        </w:rPr>
      </w:pPr>
      <w:r w:rsidRPr="00E14102">
        <w:rPr>
          <w:color w:val="0070C0"/>
          <w:sz w:val="16"/>
          <w:szCs w:val="16"/>
        </w:rPr>
        <w:t>4) Вести систематическую консультацию и помощь при осуществлении данной постройки у нас в Союзе. Эту помощь Тесла может делать по нашим запросам в Америку через Вартаняна.</w:t>
      </w:r>
    </w:p>
    <w:p w14:paraId="6B721122" w14:textId="77777777" w:rsidR="00514758" w:rsidRPr="00E14102" w:rsidRDefault="00514758" w:rsidP="00E14102">
      <w:pPr>
        <w:jc w:val="both"/>
        <w:rPr>
          <w:color w:val="0070C0"/>
          <w:sz w:val="16"/>
          <w:szCs w:val="16"/>
        </w:rPr>
      </w:pPr>
      <w:r w:rsidRPr="00E14102">
        <w:rPr>
          <w:color w:val="0070C0"/>
          <w:sz w:val="16"/>
          <w:szCs w:val="16"/>
        </w:rPr>
        <w:t>5) Срок окончания работы - 4 месяца.</w:t>
      </w:r>
    </w:p>
    <w:p w14:paraId="12082D0E" w14:textId="77777777" w:rsidR="00514758" w:rsidRPr="00E14102" w:rsidRDefault="00514758" w:rsidP="00E14102">
      <w:pPr>
        <w:jc w:val="both"/>
        <w:rPr>
          <w:color w:val="0070C0"/>
          <w:sz w:val="16"/>
          <w:szCs w:val="16"/>
        </w:rPr>
      </w:pPr>
      <w:r w:rsidRPr="00E14102">
        <w:rPr>
          <w:color w:val="0070C0"/>
          <w:sz w:val="16"/>
          <w:szCs w:val="16"/>
        </w:rPr>
        <w:t>В соответствии с решением ПБ от 25 декабря за эти работы мною уплачено Тесла 25 000 долларов. При этом Тесла заявил нам, что все теоретические подсчеты им проверены и его установка должна работать. Практически он это проверить не мог, т.к. в условиях американской действительности эту работу без соответствующей субсидии осуществить невозможно. В Амторге меня информировали, что лично Тесла имеет капитал около 3 000 000 рублей.</w:t>
      </w:r>
    </w:p>
    <w:p w14:paraId="5EB5348C" w14:textId="77777777" w:rsidR="00514758" w:rsidRPr="00E14102" w:rsidRDefault="00514758" w:rsidP="00E14102">
      <w:pPr>
        <w:jc w:val="both"/>
        <w:rPr>
          <w:color w:val="0070C0"/>
          <w:sz w:val="16"/>
          <w:szCs w:val="16"/>
        </w:rPr>
      </w:pPr>
      <w:r w:rsidRPr="00E14102">
        <w:rPr>
          <w:color w:val="0070C0"/>
          <w:sz w:val="16"/>
          <w:szCs w:val="16"/>
        </w:rPr>
        <w:t>II</w:t>
      </w:r>
    </w:p>
    <w:p w14:paraId="68ADBD1E" w14:textId="77777777" w:rsidR="00514758" w:rsidRPr="00E14102" w:rsidRDefault="00514758" w:rsidP="00E14102">
      <w:pPr>
        <w:jc w:val="both"/>
        <w:rPr>
          <w:color w:val="0070C0"/>
          <w:sz w:val="16"/>
          <w:szCs w:val="16"/>
        </w:rPr>
      </w:pPr>
      <w:r w:rsidRPr="00E14102">
        <w:rPr>
          <w:color w:val="0070C0"/>
          <w:sz w:val="16"/>
          <w:szCs w:val="16"/>
        </w:rPr>
        <w:t>В соответствии с решением ПБ от 26 января закуплены следующие образцы:</w:t>
      </w:r>
    </w:p>
    <w:p w14:paraId="6C3D1511" w14:textId="77777777" w:rsidR="00514758" w:rsidRPr="00E14102" w:rsidRDefault="00514758" w:rsidP="00E14102">
      <w:pPr>
        <w:jc w:val="both"/>
        <w:rPr>
          <w:color w:val="0070C0"/>
          <w:sz w:val="16"/>
          <w:szCs w:val="16"/>
        </w:rPr>
      </w:pPr>
      <w:r w:rsidRPr="00E14102">
        <w:rPr>
          <w:color w:val="0070C0"/>
          <w:sz w:val="16"/>
          <w:szCs w:val="16"/>
        </w:rPr>
        <w:t xml:space="preserve">1) Аппарат телетайпсеттер с линотипом, дающий возможность из одного города на любом расстоянии по проводам передавать в 10-15 городов одновременно (при наличии там таких же установок) газету и др. сообщения. В пункте, где эта газета принимается автоматически на линотипе, набирается готовая матрица. </w:t>
      </w:r>
    </w:p>
    <w:p w14:paraId="7E5E1FF6" w14:textId="77777777" w:rsidR="00514758" w:rsidRPr="00E14102" w:rsidRDefault="00514758" w:rsidP="00E14102">
      <w:pPr>
        <w:jc w:val="both"/>
        <w:rPr>
          <w:color w:val="0070C0"/>
          <w:sz w:val="16"/>
          <w:szCs w:val="16"/>
        </w:rPr>
      </w:pPr>
      <w:r w:rsidRPr="00E14102">
        <w:rPr>
          <w:color w:val="0070C0"/>
          <w:sz w:val="16"/>
          <w:szCs w:val="16"/>
        </w:rPr>
        <w:t>Таким образом отпадает необходимость перевозить эти матрицы на самолетах. Стоимость 2-х таких аппаратов с линотипами - 20 795 долларов.</w:t>
      </w:r>
    </w:p>
    <w:p w14:paraId="7BFD2B0E" w14:textId="77777777" w:rsidR="00514758" w:rsidRPr="00E14102" w:rsidRDefault="00514758" w:rsidP="00E14102">
      <w:pPr>
        <w:jc w:val="both"/>
        <w:rPr>
          <w:color w:val="0070C0"/>
          <w:sz w:val="16"/>
          <w:szCs w:val="16"/>
        </w:rPr>
      </w:pPr>
      <w:r w:rsidRPr="00E14102">
        <w:rPr>
          <w:color w:val="0070C0"/>
          <w:sz w:val="16"/>
          <w:szCs w:val="16"/>
        </w:rPr>
        <w:t>2) Аппарат телетайп для передачи метеосводок с непосредственным нанесением автоматически метеорологических знаков на стандартную карту. Стоимость 2-х штук - 5276 долларов.</w:t>
      </w:r>
    </w:p>
    <w:p w14:paraId="3A69C0AE" w14:textId="77777777" w:rsidR="00514758" w:rsidRPr="00E14102" w:rsidRDefault="00514758" w:rsidP="00E14102">
      <w:pPr>
        <w:jc w:val="both"/>
        <w:rPr>
          <w:color w:val="0070C0"/>
          <w:sz w:val="16"/>
          <w:szCs w:val="16"/>
        </w:rPr>
      </w:pPr>
      <w:r w:rsidRPr="00E14102">
        <w:rPr>
          <w:color w:val="0070C0"/>
          <w:sz w:val="16"/>
          <w:szCs w:val="16"/>
        </w:rPr>
        <w:t>3) Радиокомпас, дающий возможность самолету лететь на передающую станцию в тумане, ночью и проч. Стоимость 2-х шт. - 3000 долларов.</w:t>
      </w:r>
    </w:p>
    <w:p w14:paraId="0611B226" w14:textId="77777777" w:rsidR="00514758" w:rsidRPr="00E14102" w:rsidRDefault="00514758" w:rsidP="00E14102">
      <w:pPr>
        <w:jc w:val="both"/>
        <w:rPr>
          <w:color w:val="0070C0"/>
          <w:sz w:val="16"/>
          <w:szCs w:val="16"/>
        </w:rPr>
      </w:pPr>
      <w:r w:rsidRPr="00E14102">
        <w:rPr>
          <w:color w:val="0070C0"/>
          <w:sz w:val="16"/>
          <w:szCs w:val="16"/>
        </w:rPr>
        <w:t xml:space="preserve">4) Радиомашинки для авиации. Машинки одновременно работают от мотора самолета для питания освещения и питания радиостанций. </w:t>
      </w:r>
    </w:p>
    <w:p w14:paraId="6FEC1499" w14:textId="77777777" w:rsidR="00514758" w:rsidRPr="00E14102" w:rsidRDefault="00514758" w:rsidP="00E14102">
      <w:pPr>
        <w:jc w:val="both"/>
        <w:rPr>
          <w:color w:val="0070C0"/>
          <w:sz w:val="16"/>
          <w:szCs w:val="16"/>
        </w:rPr>
      </w:pPr>
      <w:r w:rsidRPr="00E14102">
        <w:rPr>
          <w:color w:val="0070C0"/>
          <w:sz w:val="16"/>
          <w:szCs w:val="16"/>
        </w:rPr>
        <w:t>Это дает возможность снять с самолета добавочные радиомашины и радиоветрянки, являющиеся существенной помехой для скоростных полетов. При этом в истребителе вес радиостанции облегчается примерно на 12-15 кг. Стоимость 19 образцов - 3597 долларов.</w:t>
      </w:r>
    </w:p>
    <w:p w14:paraId="4EDF25A5" w14:textId="77777777" w:rsidR="00514758" w:rsidRPr="00E14102" w:rsidRDefault="00514758" w:rsidP="00E14102">
      <w:pPr>
        <w:jc w:val="both"/>
        <w:rPr>
          <w:color w:val="0070C0"/>
          <w:sz w:val="16"/>
          <w:szCs w:val="16"/>
        </w:rPr>
      </w:pPr>
      <w:r w:rsidRPr="00E14102">
        <w:rPr>
          <w:color w:val="0070C0"/>
          <w:sz w:val="16"/>
          <w:szCs w:val="16"/>
        </w:rPr>
        <w:t>5) Сигнальные приборы на инфракрасных невидимых лучах.</w:t>
      </w:r>
    </w:p>
    <w:p w14:paraId="61B412B7" w14:textId="77777777" w:rsidR="00514758" w:rsidRPr="00E14102" w:rsidRDefault="00514758" w:rsidP="00E14102">
      <w:pPr>
        <w:jc w:val="both"/>
        <w:rPr>
          <w:color w:val="0070C0"/>
          <w:sz w:val="16"/>
          <w:szCs w:val="16"/>
        </w:rPr>
      </w:pPr>
      <w:r w:rsidRPr="00E14102">
        <w:rPr>
          <w:color w:val="0070C0"/>
          <w:sz w:val="16"/>
          <w:szCs w:val="16"/>
        </w:rPr>
        <w:t>Стоимость 4-х штук — 1104 доллара.</w:t>
      </w:r>
    </w:p>
    <w:p w14:paraId="543EE646" w14:textId="77777777" w:rsidR="00514758" w:rsidRPr="00E14102" w:rsidRDefault="00514758" w:rsidP="00E14102">
      <w:pPr>
        <w:jc w:val="both"/>
        <w:rPr>
          <w:color w:val="0070C0"/>
          <w:sz w:val="16"/>
          <w:szCs w:val="16"/>
        </w:rPr>
      </w:pPr>
      <w:r w:rsidRPr="00E14102">
        <w:rPr>
          <w:color w:val="0070C0"/>
          <w:sz w:val="16"/>
          <w:szCs w:val="16"/>
        </w:rPr>
        <w:t xml:space="preserve">6) 68 образцов новейших радиоламп, выпускаемых в Америке. </w:t>
      </w:r>
    </w:p>
    <w:p w14:paraId="0C14E592" w14:textId="77777777" w:rsidR="00514758" w:rsidRPr="00E14102" w:rsidRDefault="00514758" w:rsidP="00E14102">
      <w:pPr>
        <w:jc w:val="both"/>
        <w:rPr>
          <w:color w:val="0070C0"/>
          <w:sz w:val="16"/>
          <w:szCs w:val="16"/>
        </w:rPr>
      </w:pPr>
      <w:r w:rsidRPr="00E14102">
        <w:rPr>
          <w:color w:val="0070C0"/>
          <w:sz w:val="16"/>
          <w:szCs w:val="16"/>
        </w:rPr>
        <w:t>Сюда входят новые лампы «Малютки» и металлические. Стоимость - 287 долларов.</w:t>
      </w:r>
    </w:p>
    <w:p w14:paraId="18B7D939" w14:textId="77777777" w:rsidR="00514758" w:rsidRPr="00E14102" w:rsidRDefault="00514758" w:rsidP="00E14102">
      <w:pPr>
        <w:jc w:val="both"/>
        <w:rPr>
          <w:color w:val="0070C0"/>
          <w:sz w:val="16"/>
          <w:szCs w:val="16"/>
        </w:rPr>
      </w:pPr>
      <w:r w:rsidRPr="00E14102">
        <w:rPr>
          <w:color w:val="0070C0"/>
          <w:sz w:val="16"/>
          <w:szCs w:val="16"/>
        </w:rPr>
        <w:t>7) Фотоэлементы, выпускаемые в Америке. Стоимость различных 6 типов - 113 долларов.</w:t>
      </w:r>
    </w:p>
    <w:p w14:paraId="6015289C" w14:textId="77777777" w:rsidR="00514758" w:rsidRPr="00E14102" w:rsidRDefault="00514758" w:rsidP="00E14102">
      <w:pPr>
        <w:jc w:val="both"/>
        <w:rPr>
          <w:color w:val="0070C0"/>
          <w:sz w:val="16"/>
          <w:szCs w:val="16"/>
        </w:rPr>
      </w:pPr>
      <w:r w:rsidRPr="00E14102">
        <w:rPr>
          <w:color w:val="0070C0"/>
          <w:sz w:val="16"/>
          <w:szCs w:val="16"/>
        </w:rPr>
        <w:t>8) Телефонная трубка, работающая без телефонного аппарата и батареи по полевому кабелю и обычной проволоке на расстоянии 13 км. Стоимость 24 трубок - 1606 долларов.</w:t>
      </w:r>
    </w:p>
    <w:p w14:paraId="26C3DEC3" w14:textId="77777777" w:rsidR="00514758" w:rsidRPr="00E14102" w:rsidRDefault="00514758" w:rsidP="00E14102">
      <w:pPr>
        <w:jc w:val="both"/>
        <w:rPr>
          <w:color w:val="0070C0"/>
          <w:sz w:val="16"/>
          <w:szCs w:val="16"/>
        </w:rPr>
      </w:pPr>
      <w:r w:rsidRPr="00E14102">
        <w:rPr>
          <w:color w:val="0070C0"/>
          <w:sz w:val="16"/>
          <w:szCs w:val="16"/>
        </w:rPr>
        <w:t>9) 3 компактных бензиновых аварийных агрегата для радиостанций тяжелой авиации. Стоимость - 1137 долларов.</w:t>
      </w:r>
    </w:p>
    <w:p w14:paraId="43459C82" w14:textId="77777777" w:rsidR="00514758" w:rsidRPr="00E14102" w:rsidRDefault="00514758" w:rsidP="00E14102">
      <w:pPr>
        <w:jc w:val="both"/>
        <w:rPr>
          <w:color w:val="0070C0"/>
          <w:sz w:val="16"/>
          <w:szCs w:val="16"/>
        </w:rPr>
      </w:pPr>
      <w:r w:rsidRPr="00E14102">
        <w:rPr>
          <w:color w:val="0070C0"/>
          <w:sz w:val="16"/>
          <w:szCs w:val="16"/>
        </w:rPr>
        <w:t>10) Две телефонные станции на 26 номеров каждая, с одновременным разговором с 7-ю абонентами с громкоговорителем.</w:t>
      </w:r>
    </w:p>
    <w:p w14:paraId="6091ED82" w14:textId="77777777" w:rsidR="00514758" w:rsidRPr="00E14102" w:rsidRDefault="00514758" w:rsidP="00E14102">
      <w:pPr>
        <w:jc w:val="both"/>
        <w:rPr>
          <w:color w:val="0070C0"/>
          <w:sz w:val="16"/>
          <w:szCs w:val="16"/>
        </w:rPr>
      </w:pPr>
      <w:r w:rsidRPr="00E14102">
        <w:rPr>
          <w:color w:val="0070C0"/>
          <w:sz w:val="16"/>
          <w:szCs w:val="16"/>
        </w:rPr>
        <w:t>Стоимость - 1521 долл.</w:t>
      </w:r>
    </w:p>
    <w:p w14:paraId="59517C9A" w14:textId="77777777" w:rsidR="00514758" w:rsidRPr="00E14102" w:rsidRDefault="00514758" w:rsidP="00E14102">
      <w:pPr>
        <w:jc w:val="both"/>
        <w:rPr>
          <w:color w:val="0070C0"/>
          <w:sz w:val="16"/>
          <w:szCs w:val="16"/>
        </w:rPr>
      </w:pPr>
      <w:r w:rsidRPr="00E14102">
        <w:rPr>
          <w:color w:val="0070C0"/>
          <w:sz w:val="16"/>
          <w:szCs w:val="16"/>
        </w:rPr>
        <w:t>11) Радиодиктофон, дающий возможность: а) записывать речь на цилиндр; б) воспроизводить речь; в) снимать с цилиндра запись. Этот диктофон сконструирован так, что запись речи обеспечена непрерывно на несколько часов. Стоимость 2-х штук - 2274 доллара.</w:t>
      </w:r>
    </w:p>
    <w:p w14:paraId="2625FAC3" w14:textId="77777777" w:rsidR="00514758" w:rsidRPr="00E14102" w:rsidRDefault="00514758" w:rsidP="00E14102">
      <w:pPr>
        <w:jc w:val="both"/>
        <w:rPr>
          <w:color w:val="0070C0"/>
          <w:sz w:val="16"/>
          <w:szCs w:val="16"/>
        </w:rPr>
      </w:pPr>
      <w:r w:rsidRPr="00E14102">
        <w:rPr>
          <w:color w:val="0070C0"/>
          <w:sz w:val="16"/>
          <w:szCs w:val="16"/>
        </w:rPr>
        <w:t xml:space="preserve">12) Мелкие радиоизмерительные приборы и радиоаппаратура. </w:t>
      </w:r>
    </w:p>
    <w:p w14:paraId="1A11C403" w14:textId="77777777" w:rsidR="00514758" w:rsidRPr="00E14102" w:rsidRDefault="00514758" w:rsidP="00E14102">
      <w:pPr>
        <w:jc w:val="both"/>
        <w:rPr>
          <w:color w:val="0070C0"/>
          <w:sz w:val="16"/>
          <w:szCs w:val="16"/>
        </w:rPr>
      </w:pPr>
      <w:r w:rsidRPr="00E14102">
        <w:rPr>
          <w:color w:val="0070C0"/>
          <w:sz w:val="16"/>
          <w:szCs w:val="16"/>
        </w:rPr>
        <w:t>Стоимость - 3903 доллара.</w:t>
      </w:r>
    </w:p>
    <w:p w14:paraId="36997145" w14:textId="77777777" w:rsidR="00514758" w:rsidRPr="00E14102" w:rsidRDefault="00514758" w:rsidP="00E14102">
      <w:pPr>
        <w:jc w:val="both"/>
        <w:rPr>
          <w:color w:val="0070C0"/>
          <w:sz w:val="16"/>
          <w:szCs w:val="16"/>
        </w:rPr>
      </w:pPr>
      <w:r w:rsidRPr="00E14102">
        <w:rPr>
          <w:color w:val="0070C0"/>
          <w:sz w:val="16"/>
          <w:szCs w:val="16"/>
        </w:rPr>
        <w:t>За пересылку всей аппаратуры Амторгом взыскано – 5500 долларов.</w:t>
      </w:r>
    </w:p>
    <w:p w14:paraId="379B372A" w14:textId="77777777" w:rsidR="00514758" w:rsidRPr="00E14102" w:rsidRDefault="00514758" w:rsidP="00E14102">
      <w:pPr>
        <w:jc w:val="both"/>
        <w:rPr>
          <w:color w:val="0070C0"/>
          <w:sz w:val="16"/>
          <w:szCs w:val="16"/>
        </w:rPr>
      </w:pPr>
      <w:r w:rsidRPr="00E14102">
        <w:rPr>
          <w:color w:val="0070C0"/>
          <w:sz w:val="16"/>
          <w:szCs w:val="16"/>
        </w:rPr>
        <w:t>III</w:t>
      </w:r>
    </w:p>
    <w:p w14:paraId="58A00A97" w14:textId="77777777" w:rsidR="00514758" w:rsidRPr="00E14102" w:rsidRDefault="00514758" w:rsidP="00E14102">
      <w:pPr>
        <w:jc w:val="both"/>
        <w:rPr>
          <w:color w:val="0070C0"/>
          <w:sz w:val="16"/>
          <w:szCs w:val="16"/>
        </w:rPr>
      </w:pPr>
      <w:r w:rsidRPr="00E14102">
        <w:rPr>
          <w:color w:val="0070C0"/>
          <w:sz w:val="16"/>
          <w:szCs w:val="16"/>
        </w:rPr>
        <w:t>Г-н Розенталь предложил нам купить через его посредство во Франции амуницию, радиостанции и телемеханику (в частности, телесамолет). Я установил, что, во-первых: Розенталь во Франции не является представителем фирм, которые изготовляют радио - и телеаппаратуру. Он просто коммивояжер, плюс к тому же немец. Во Франции у Розенталя имеется, как он называет, своя контора. Штат его конторы - его жена-белогвардейка. Поэтому я не считал удобным встречаться с Розенталем и вел переговоры непосредственно с теми фирмами, о которых упоминал Розенталь.</w:t>
      </w:r>
    </w:p>
    <w:p w14:paraId="0EC335E0" w14:textId="77777777" w:rsidR="00514758" w:rsidRPr="00E14102" w:rsidRDefault="00514758" w:rsidP="00E14102">
      <w:pPr>
        <w:jc w:val="both"/>
        <w:rPr>
          <w:color w:val="0070C0"/>
          <w:sz w:val="16"/>
          <w:szCs w:val="16"/>
        </w:rPr>
      </w:pPr>
      <w:r w:rsidRPr="00E14102">
        <w:rPr>
          <w:color w:val="0070C0"/>
          <w:sz w:val="16"/>
          <w:szCs w:val="16"/>
        </w:rPr>
        <w:t xml:space="preserve">Фирма «Секап» действительно изготовляет телевизионную аппаратуру, но не полную для оборудования телесамолета, а только один агрегат - это радиоприемник с исполнительным реле. </w:t>
      </w:r>
    </w:p>
    <w:p w14:paraId="71F67EE1" w14:textId="77777777" w:rsidR="00514758" w:rsidRPr="00E14102" w:rsidRDefault="00514758" w:rsidP="00E14102">
      <w:pPr>
        <w:jc w:val="both"/>
        <w:rPr>
          <w:color w:val="0070C0"/>
          <w:sz w:val="16"/>
          <w:szCs w:val="16"/>
        </w:rPr>
      </w:pPr>
      <w:r w:rsidRPr="00E14102">
        <w:rPr>
          <w:color w:val="0070C0"/>
          <w:sz w:val="16"/>
          <w:szCs w:val="16"/>
        </w:rPr>
        <w:t xml:space="preserve">Я проверял работу этого образца на заводе, а также получил описание и предложение от фирмы. Данный радиоприемник значительно уступает аналогичному приемнику «Дедал», изготовленному в ОТБ. Стоимость одного образца фирма указать уклонилась. </w:t>
      </w:r>
    </w:p>
    <w:p w14:paraId="186E79E6" w14:textId="77777777" w:rsidR="00514758" w:rsidRPr="00E14102" w:rsidRDefault="00514758" w:rsidP="00E14102">
      <w:pPr>
        <w:jc w:val="both"/>
        <w:rPr>
          <w:color w:val="0070C0"/>
          <w:sz w:val="16"/>
          <w:szCs w:val="16"/>
        </w:rPr>
      </w:pPr>
      <w:r w:rsidRPr="00E14102">
        <w:rPr>
          <w:color w:val="0070C0"/>
          <w:sz w:val="16"/>
          <w:szCs w:val="16"/>
        </w:rPr>
        <w:lastRenderedPageBreak/>
        <w:t xml:space="preserve">Мое мнение, нет смысла покупать только этот один агрегат. </w:t>
      </w:r>
    </w:p>
    <w:p w14:paraId="61471F48" w14:textId="77777777" w:rsidR="00514758" w:rsidRPr="00E14102" w:rsidRDefault="00514758" w:rsidP="00E14102">
      <w:pPr>
        <w:jc w:val="both"/>
        <w:rPr>
          <w:color w:val="0070C0"/>
          <w:sz w:val="16"/>
          <w:szCs w:val="16"/>
        </w:rPr>
      </w:pPr>
      <w:r w:rsidRPr="00E14102">
        <w:rPr>
          <w:color w:val="0070C0"/>
          <w:sz w:val="16"/>
          <w:szCs w:val="16"/>
        </w:rPr>
        <w:t>Директор этой компании заявил нам, что остальное телеме-ханическое оборудование на самолет (автопилот, взлет и посадка) разрабатывает непосредственно Военное министерство, и поэтому они продать не могут. При этом в присутствии Венцова он утверждал, что вопросы взлета и посадки телесамолета во французской армии решены.</w:t>
      </w:r>
    </w:p>
    <w:p w14:paraId="0087E5E0" w14:textId="77777777" w:rsidR="00514758" w:rsidRPr="00E14102" w:rsidRDefault="00514758" w:rsidP="00E14102">
      <w:pPr>
        <w:jc w:val="both"/>
        <w:rPr>
          <w:color w:val="0070C0"/>
          <w:sz w:val="16"/>
          <w:szCs w:val="16"/>
        </w:rPr>
      </w:pPr>
      <w:r w:rsidRPr="00E14102">
        <w:rPr>
          <w:color w:val="0070C0"/>
          <w:sz w:val="16"/>
          <w:szCs w:val="16"/>
        </w:rPr>
        <w:t>Вторая французская фирма, рекомендованная Розенталем, изготовляет военные радиостанции. Мне демонстрировалась пехотная станция для батальона и роты с радиусом действия 6 км телефоном и 30 - телеграфом. Вес - 50 кг при двух упаковках.</w:t>
      </w:r>
    </w:p>
    <w:p w14:paraId="788A783F" w14:textId="77777777" w:rsidR="00514758" w:rsidRPr="00E14102" w:rsidRDefault="00514758" w:rsidP="00E14102">
      <w:pPr>
        <w:jc w:val="both"/>
        <w:rPr>
          <w:color w:val="0070C0"/>
          <w:sz w:val="16"/>
          <w:szCs w:val="16"/>
        </w:rPr>
      </w:pPr>
      <w:r w:rsidRPr="00E14102">
        <w:rPr>
          <w:color w:val="0070C0"/>
          <w:sz w:val="16"/>
          <w:szCs w:val="16"/>
        </w:rPr>
        <w:t>Наша пехотная станция с такими же показателями весит 24 кг.</w:t>
      </w:r>
    </w:p>
    <w:p w14:paraId="7333F9BA" w14:textId="77777777" w:rsidR="00514758" w:rsidRPr="00E14102" w:rsidRDefault="00514758" w:rsidP="00E14102">
      <w:pPr>
        <w:jc w:val="both"/>
        <w:rPr>
          <w:color w:val="0070C0"/>
          <w:sz w:val="16"/>
          <w:szCs w:val="16"/>
        </w:rPr>
      </w:pPr>
      <w:r w:rsidRPr="00E14102">
        <w:rPr>
          <w:color w:val="0070C0"/>
          <w:sz w:val="16"/>
          <w:szCs w:val="16"/>
        </w:rPr>
        <w:t>Таким образом, французы через Розенталя, по-видимому, хотели продать нам устаревшие типы радиостанции и телемеханики.</w:t>
      </w:r>
    </w:p>
    <w:p w14:paraId="2C004F14" w14:textId="77777777" w:rsidR="00514758" w:rsidRPr="00E14102" w:rsidRDefault="00514758" w:rsidP="00E14102">
      <w:pPr>
        <w:jc w:val="both"/>
        <w:rPr>
          <w:color w:val="0070C0"/>
          <w:sz w:val="16"/>
          <w:szCs w:val="16"/>
        </w:rPr>
      </w:pPr>
      <w:r w:rsidRPr="00E14102">
        <w:rPr>
          <w:color w:val="0070C0"/>
          <w:sz w:val="16"/>
          <w:szCs w:val="16"/>
        </w:rPr>
        <w:t>IV</w:t>
      </w:r>
    </w:p>
    <w:p w14:paraId="22E68B82" w14:textId="77777777" w:rsidR="00514758" w:rsidRPr="00E14102" w:rsidRDefault="00514758" w:rsidP="00E14102">
      <w:pPr>
        <w:jc w:val="both"/>
        <w:rPr>
          <w:color w:val="0070C0"/>
          <w:sz w:val="16"/>
          <w:szCs w:val="16"/>
        </w:rPr>
      </w:pPr>
      <w:r w:rsidRPr="00E14102">
        <w:rPr>
          <w:color w:val="0070C0"/>
          <w:sz w:val="16"/>
          <w:szCs w:val="16"/>
        </w:rPr>
        <w:t>В отношении технической помощи по лампам и телевизии монопольной фирмой в Америке является «Радио корпорейшн».</w:t>
      </w:r>
    </w:p>
    <w:p w14:paraId="0182BA85" w14:textId="77777777" w:rsidR="00514758" w:rsidRPr="00E14102" w:rsidRDefault="00514758" w:rsidP="00E14102">
      <w:pPr>
        <w:jc w:val="both"/>
        <w:rPr>
          <w:color w:val="0070C0"/>
          <w:sz w:val="16"/>
          <w:szCs w:val="16"/>
        </w:rPr>
      </w:pPr>
      <w:r w:rsidRPr="00E14102">
        <w:rPr>
          <w:color w:val="0070C0"/>
          <w:sz w:val="16"/>
          <w:szCs w:val="16"/>
        </w:rPr>
        <w:t>Президент этой компании - Давид Сарнов предложил нам 3 варианта техпомощи:</w:t>
      </w:r>
    </w:p>
    <w:p w14:paraId="0F3A2DF3" w14:textId="77777777" w:rsidR="00514758" w:rsidRPr="00E14102" w:rsidRDefault="00514758" w:rsidP="00E14102">
      <w:pPr>
        <w:jc w:val="both"/>
        <w:rPr>
          <w:color w:val="0070C0"/>
          <w:sz w:val="16"/>
          <w:szCs w:val="16"/>
        </w:rPr>
      </w:pPr>
      <w:r w:rsidRPr="00E14102">
        <w:rPr>
          <w:color w:val="0070C0"/>
          <w:sz w:val="16"/>
          <w:szCs w:val="16"/>
        </w:rPr>
        <w:t>1-й вариант: техническая помощь на 5 лет.</w:t>
      </w:r>
    </w:p>
    <w:p w14:paraId="46018E82" w14:textId="77777777" w:rsidR="00514758" w:rsidRPr="00E14102" w:rsidRDefault="00514758" w:rsidP="00E14102">
      <w:pPr>
        <w:jc w:val="both"/>
        <w:rPr>
          <w:color w:val="0070C0"/>
          <w:sz w:val="16"/>
          <w:szCs w:val="16"/>
        </w:rPr>
      </w:pPr>
      <w:r w:rsidRPr="00E14102">
        <w:rPr>
          <w:color w:val="0070C0"/>
          <w:sz w:val="16"/>
          <w:szCs w:val="16"/>
        </w:rPr>
        <w:t>Фирма обязуется за этот период передать нам все лабораторные и серийные разработки, выпускаемые фирмой. Сюда входят:техническая помощь по строительству мощных телеграфно-телефонных радиоцентров, полная техническая помощь по телевизии, радиолампам, радиоприемникам, звуковому кино, передаче изображений, граммофонным пластинкам и всем прочим объектам, которые фирма уже изготовила и будет изготовлять за эти 5 лет. Под этим подразумевается, что нам передаются: рабочие чертежи на образцы и оборудование, технологические процессы, рецептура, обучение наших инженеров на предприятиях фирмы, командировка за наш счет американских инженеров в СССР и обмен патентами. Стоимость - 3 500 000, с выплатой - 500 000 при заключении договора и по 600 000 в год, в течение 5-ти лет.</w:t>
      </w:r>
    </w:p>
    <w:p w14:paraId="44C4DE4A" w14:textId="77777777" w:rsidR="00514758" w:rsidRPr="00E14102" w:rsidRDefault="00514758" w:rsidP="00E14102">
      <w:pPr>
        <w:jc w:val="both"/>
        <w:rPr>
          <w:color w:val="0070C0"/>
          <w:sz w:val="16"/>
          <w:szCs w:val="16"/>
        </w:rPr>
      </w:pPr>
      <w:r w:rsidRPr="00E14102">
        <w:rPr>
          <w:color w:val="0070C0"/>
          <w:sz w:val="16"/>
          <w:szCs w:val="16"/>
        </w:rPr>
        <w:t>2-й вариант: аналогичный первому, но техническая помощь на 3 года. Стоимость - 2 300 000, но с условием, что кроме этого мы покупаем у фирмы 10-киловаттную телевизионно-передающую радиостанцию стоимостью - 680 000 рублей.</w:t>
      </w:r>
    </w:p>
    <w:p w14:paraId="4F90A2EF" w14:textId="77777777" w:rsidR="00514758" w:rsidRPr="00E14102" w:rsidRDefault="00514758" w:rsidP="00E14102">
      <w:pPr>
        <w:jc w:val="both"/>
        <w:rPr>
          <w:color w:val="0070C0"/>
          <w:sz w:val="16"/>
          <w:szCs w:val="16"/>
        </w:rPr>
      </w:pPr>
      <w:r w:rsidRPr="00E14102">
        <w:rPr>
          <w:color w:val="0070C0"/>
          <w:sz w:val="16"/>
          <w:szCs w:val="16"/>
        </w:rPr>
        <w:t>3-й вариант: техническая помощь только по лампам и телевизии на аппаратуру, выпущенную фирмой до 1 января 1936 года.</w:t>
      </w:r>
    </w:p>
    <w:p w14:paraId="7AC793CC" w14:textId="77777777" w:rsidR="00514758" w:rsidRPr="00E14102" w:rsidRDefault="00514758" w:rsidP="00E14102">
      <w:pPr>
        <w:jc w:val="both"/>
        <w:rPr>
          <w:color w:val="0070C0"/>
          <w:sz w:val="16"/>
          <w:szCs w:val="16"/>
        </w:rPr>
      </w:pPr>
      <w:r w:rsidRPr="00E14102">
        <w:rPr>
          <w:color w:val="0070C0"/>
          <w:sz w:val="16"/>
          <w:szCs w:val="16"/>
        </w:rPr>
        <w:t>Стоимость такой техпомощи - 1250 долларов плюс - покупка одной приемо-передающей телевизионной радиостанции за 680 000 долларов.</w:t>
      </w:r>
    </w:p>
    <w:p w14:paraId="557DE54E" w14:textId="77777777" w:rsidR="00514758" w:rsidRPr="00E14102" w:rsidRDefault="00514758" w:rsidP="00E14102">
      <w:pPr>
        <w:jc w:val="both"/>
        <w:rPr>
          <w:color w:val="0070C0"/>
          <w:sz w:val="16"/>
          <w:szCs w:val="16"/>
        </w:rPr>
      </w:pPr>
      <w:r w:rsidRPr="00E14102">
        <w:rPr>
          <w:color w:val="0070C0"/>
          <w:sz w:val="16"/>
          <w:szCs w:val="16"/>
        </w:rPr>
        <w:t>Независимо от этого Сарнов согласен изготовить для нас самолетную телевизионную установку, один образец – за 258 000 долларов и автомобильную телевизионную установку - стоимостью 260 000 долл.</w:t>
      </w:r>
    </w:p>
    <w:p w14:paraId="59D2C643" w14:textId="77777777" w:rsidR="00514758" w:rsidRPr="00E14102" w:rsidRDefault="00514758" w:rsidP="00E14102">
      <w:pPr>
        <w:jc w:val="both"/>
        <w:rPr>
          <w:color w:val="0070C0"/>
          <w:sz w:val="16"/>
          <w:szCs w:val="16"/>
        </w:rPr>
      </w:pPr>
      <w:r w:rsidRPr="00E14102">
        <w:rPr>
          <w:color w:val="0070C0"/>
          <w:sz w:val="16"/>
          <w:szCs w:val="16"/>
        </w:rPr>
        <w:t>В отношении телесамолетов фирма «Сперри» сделала нам предложение оборудовать нам 2-моторный телемеханический самолет со взлетом и посадкой. Стоимость - 700 000 долларов.</w:t>
      </w:r>
    </w:p>
    <w:p w14:paraId="060CEBE2" w14:textId="77777777" w:rsidR="00514758" w:rsidRPr="00E14102" w:rsidRDefault="00514758" w:rsidP="00E14102">
      <w:pPr>
        <w:jc w:val="both"/>
        <w:rPr>
          <w:color w:val="0070C0"/>
          <w:sz w:val="16"/>
          <w:szCs w:val="16"/>
        </w:rPr>
      </w:pPr>
      <w:r w:rsidRPr="00E14102">
        <w:rPr>
          <w:color w:val="0070C0"/>
          <w:sz w:val="16"/>
          <w:szCs w:val="16"/>
        </w:rPr>
        <w:t>Но американское Военное министерство эту продажу запретило, и фирма свое предложение взяла обратно.</w:t>
      </w:r>
    </w:p>
    <w:p w14:paraId="38C1F406" w14:textId="77777777" w:rsidR="00514758" w:rsidRPr="00E14102" w:rsidRDefault="00514758" w:rsidP="00E14102">
      <w:pPr>
        <w:jc w:val="both"/>
        <w:rPr>
          <w:color w:val="0070C0"/>
          <w:sz w:val="16"/>
          <w:szCs w:val="16"/>
        </w:rPr>
      </w:pPr>
      <w:r w:rsidRPr="00E14102">
        <w:rPr>
          <w:color w:val="0070C0"/>
          <w:sz w:val="16"/>
          <w:szCs w:val="16"/>
        </w:rPr>
        <w:t>Выводы:</w:t>
      </w:r>
    </w:p>
    <w:p w14:paraId="03BB697E" w14:textId="77777777" w:rsidR="00514758" w:rsidRPr="00E14102" w:rsidRDefault="00514758" w:rsidP="00E14102">
      <w:pPr>
        <w:jc w:val="both"/>
        <w:rPr>
          <w:color w:val="0070C0"/>
          <w:sz w:val="16"/>
          <w:szCs w:val="16"/>
        </w:rPr>
      </w:pPr>
      <w:r w:rsidRPr="00E14102">
        <w:rPr>
          <w:color w:val="0070C0"/>
          <w:sz w:val="16"/>
          <w:szCs w:val="16"/>
        </w:rPr>
        <w:t>1) Оригинальность предложения Тесла, его научный авторитет и большой практический опыт по работе передачи энергии представляют интерес в осуществлении его предложения. Мне кажется, что здесь мы, рискуя 25 000 долларов, можем сделать большое дело.</w:t>
      </w:r>
    </w:p>
    <w:p w14:paraId="47CABC0C" w14:textId="77777777" w:rsidR="00514758" w:rsidRPr="00E14102" w:rsidRDefault="00514758" w:rsidP="00E14102">
      <w:pPr>
        <w:jc w:val="both"/>
        <w:rPr>
          <w:color w:val="0070C0"/>
          <w:sz w:val="16"/>
          <w:szCs w:val="16"/>
        </w:rPr>
      </w:pPr>
      <w:r w:rsidRPr="00E14102">
        <w:rPr>
          <w:color w:val="0070C0"/>
          <w:sz w:val="16"/>
          <w:szCs w:val="16"/>
        </w:rPr>
        <w:t>2) Закупленные на 50 000 долларов новейшие образцы имущества связи по их прибытии необходимо в срочном порядке испытать в наших условиях и постараться поставить их на производство. Зам. наркома т. Каганович такого же мнения.</w:t>
      </w:r>
    </w:p>
    <w:p w14:paraId="479CF7D1" w14:textId="77777777" w:rsidR="00514758" w:rsidRPr="00E14102" w:rsidRDefault="00514758" w:rsidP="00E14102">
      <w:pPr>
        <w:jc w:val="both"/>
        <w:rPr>
          <w:color w:val="0070C0"/>
          <w:sz w:val="16"/>
          <w:szCs w:val="16"/>
        </w:rPr>
      </w:pPr>
      <w:r w:rsidRPr="00E14102">
        <w:rPr>
          <w:color w:val="0070C0"/>
          <w:sz w:val="16"/>
          <w:szCs w:val="16"/>
        </w:rPr>
        <w:t>3) Предложение немца Розенталя несерьезное, а самое главное, что он простой коммивояжер, через которого французские фирмы хотели продать нам морально устаревшее имущество связи и телемеханики.</w:t>
      </w:r>
    </w:p>
    <w:p w14:paraId="6BDBF67F" w14:textId="77777777" w:rsidR="00514758" w:rsidRPr="00E14102" w:rsidRDefault="00514758" w:rsidP="00E14102">
      <w:pPr>
        <w:jc w:val="both"/>
        <w:rPr>
          <w:color w:val="0070C0"/>
          <w:sz w:val="16"/>
          <w:szCs w:val="16"/>
        </w:rPr>
      </w:pPr>
      <w:r w:rsidRPr="00E14102">
        <w:rPr>
          <w:color w:val="0070C0"/>
          <w:sz w:val="16"/>
          <w:szCs w:val="16"/>
        </w:rPr>
        <w:t>4) В дополнение к моему устному докладу Вам мне кажется что с «Радио корпорейшн» необходимо заключить техническую помощь, в крайности, хотя бы по 3-му варианту. Наша слаботочная промышленность в настоящее время настолько мощна, что нам именно необходима американская техническая помощь массового производства современной аппаратуры связи.</w:t>
      </w:r>
    </w:p>
    <w:p w14:paraId="708C63B7" w14:textId="77777777" w:rsidR="00514758" w:rsidRPr="00E14102" w:rsidRDefault="00514758" w:rsidP="00E14102">
      <w:pPr>
        <w:jc w:val="both"/>
        <w:rPr>
          <w:color w:val="0070C0"/>
          <w:sz w:val="16"/>
          <w:szCs w:val="16"/>
        </w:rPr>
      </w:pPr>
      <w:r w:rsidRPr="00E14102">
        <w:rPr>
          <w:color w:val="0070C0"/>
          <w:sz w:val="16"/>
          <w:szCs w:val="16"/>
        </w:rPr>
        <w:t>Прошу Вашего разрешения по данному вопросу сделать доклад в Комиссии обороны.</w:t>
      </w:r>
    </w:p>
    <w:p w14:paraId="54DA4DCE" w14:textId="77777777" w:rsidR="00514758" w:rsidRPr="00E14102" w:rsidRDefault="00514758" w:rsidP="00E14102">
      <w:pPr>
        <w:jc w:val="both"/>
        <w:rPr>
          <w:color w:val="0070C0"/>
          <w:sz w:val="16"/>
          <w:szCs w:val="16"/>
        </w:rPr>
      </w:pPr>
      <w:r w:rsidRPr="00E14102">
        <w:rPr>
          <w:color w:val="0070C0"/>
          <w:sz w:val="16"/>
          <w:szCs w:val="16"/>
        </w:rPr>
        <w:t>Начальник Управления связи РККА Синявский</w:t>
      </w:r>
    </w:p>
    <w:p w14:paraId="55E7A815" w14:textId="77777777" w:rsidR="00514758" w:rsidRPr="00E14102" w:rsidRDefault="00514758" w:rsidP="00E14102">
      <w:pPr>
        <w:jc w:val="both"/>
        <w:rPr>
          <w:color w:val="0070C0"/>
          <w:sz w:val="16"/>
          <w:szCs w:val="16"/>
        </w:rPr>
      </w:pPr>
      <w:r w:rsidRPr="00E14102">
        <w:rPr>
          <w:color w:val="0070C0"/>
          <w:sz w:val="16"/>
          <w:szCs w:val="16"/>
        </w:rPr>
        <w:t>АП РФ. Ф. 3. On. 66. Д. 348. Л. 87-93. Копия (20815).</w:t>
      </w:r>
    </w:p>
    <w:p w14:paraId="33281C13" w14:textId="77777777" w:rsidR="00514758" w:rsidRPr="00E14102" w:rsidRDefault="00514758" w:rsidP="00E14102">
      <w:pPr>
        <w:jc w:val="both"/>
        <w:rPr>
          <w:color w:val="0070C0"/>
          <w:sz w:val="16"/>
          <w:szCs w:val="16"/>
        </w:rPr>
      </w:pPr>
    </w:p>
    <w:p w14:paraId="7309850B" w14:textId="77777777" w:rsidR="00E90C6B" w:rsidRPr="00E14102" w:rsidRDefault="00E90C6B" w:rsidP="00E14102">
      <w:pPr>
        <w:pStyle w:val="rtejustify"/>
        <w:spacing w:before="0" w:after="0"/>
        <w:rPr>
          <w:color w:val="000000" w:themeColor="text1"/>
          <w:sz w:val="16"/>
          <w:szCs w:val="16"/>
        </w:rPr>
      </w:pPr>
      <w:r w:rsidRPr="00E14102">
        <w:rPr>
          <w:rStyle w:val="a6"/>
          <w:bCs/>
          <w:i w:val="0"/>
          <w:color w:val="000000" w:themeColor="text1"/>
          <w:sz w:val="16"/>
          <w:szCs w:val="16"/>
        </w:rPr>
        <w:t>26 июля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92сс «О реконструкции завода им. Куйбышева в г. Иркутске и механического завода им. Молотова в г. Хабаровске». (ГА РФ. Ф. Р</w:t>
      </w:r>
      <w:r w:rsidRPr="00E14102">
        <w:rPr>
          <w:color w:val="000000" w:themeColor="text1"/>
          <w:sz w:val="16"/>
          <w:szCs w:val="16"/>
        </w:rPr>
        <w:noBreakHyphen/>
        <w:t>8418. Оп. 28. Д. 7. Л. 54) (15460).</w:t>
      </w:r>
    </w:p>
    <w:p w14:paraId="4F41E750" w14:textId="77777777" w:rsidR="00E90C6B" w:rsidRPr="00E14102" w:rsidRDefault="00E90C6B" w:rsidP="00E14102">
      <w:pPr>
        <w:pStyle w:val="rtejustify"/>
        <w:spacing w:before="0" w:after="0"/>
        <w:rPr>
          <w:color w:val="000000" w:themeColor="text1"/>
          <w:sz w:val="16"/>
          <w:szCs w:val="16"/>
        </w:rPr>
      </w:pPr>
    </w:p>
    <w:p w14:paraId="2E53CCB1" w14:textId="77777777" w:rsidR="00E90C6B" w:rsidRPr="00E14102" w:rsidRDefault="00E90C6B" w:rsidP="00E14102">
      <w:pPr>
        <w:jc w:val="both"/>
        <w:rPr>
          <w:color w:val="000000" w:themeColor="text1"/>
          <w:sz w:val="16"/>
          <w:szCs w:val="16"/>
        </w:rPr>
      </w:pPr>
      <w:r w:rsidRPr="00E14102">
        <w:rPr>
          <w:color w:val="000000" w:themeColor="text1"/>
          <w:sz w:val="16"/>
          <w:szCs w:val="16"/>
        </w:rPr>
        <w:t>26 июля в 1935 году образовано ОАО "Хабаровский завод имени А.М.Горького". В этот день в мастерских нового предприятия был отремонтирован первый авиационный мотор. Первоначально завод был предназначен для ремонта и сборки различных моторов и механизмов. В военные годы здесь проходила сборка американских автомобилей "Додж" и знаменитых "Студебеккеров", которые тогда использовались в Советской армии. В сентябре 1946 года завод имени Горького передали Министерству судостроительной промышленности, и он стал "Хабаровским заводом имени А.М.Горького" ("Хабсудмаш"). С этого момента здесь начался выпуск судовых палубных механизмов и техники для Военно-морского флота. В 1985 году завод был награжден орденом Трудового Красного Знамени (14964).</w:t>
      </w:r>
    </w:p>
    <w:p w14:paraId="5FE079F7" w14:textId="77777777" w:rsidR="00E90C6B" w:rsidRPr="00E14102" w:rsidRDefault="00E90C6B" w:rsidP="00E14102">
      <w:pPr>
        <w:jc w:val="both"/>
        <w:rPr>
          <w:color w:val="000000" w:themeColor="text1"/>
          <w:sz w:val="16"/>
          <w:szCs w:val="16"/>
        </w:rPr>
      </w:pPr>
    </w:p>
    <w:p w14:paraId="41B3E680" w14:textId="77777777" w:rsidR="00C30317"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D9E9A50" w14:textId="77777777" w:rsidR="00C30317" w:rsidRPr="00E14102" w:rsidRDefault="00C30317" w:rsidP="00E14102">
      <w:pPr>
        <w:autoSpaceDE w:val="0"/>
        <w:autoSpaceDN w:val="0"/>
        <w:adjustRightInd w:val="0"/>
        <w:jc w:val="both"/>
        <w:rPr>
          <w:iCs/>
          <w:color w:val="000000" w:themeColor="text1"/>
          <w:sz w:val="16"/>
          <w:szCs w:val="16"/>
        </w:rPr>
      </w:pPr>
    </w:p>
    <w:p w14:paraId="3892B26C" w14:textId="77777777" w:rsidR="00C30317" w:rsidRPr="00E14102" w:rsidRDefault="00C30317" w:rsidP="00E14102">
      <w:pPr>
        <w:shd w:val="clear" w:color="auto" w:fill="FFFFFF"/>
        <w:jc w:val="both"/>
        <w:rPr>
          <w:color w:val="000000" w:themeColor="text1"/>
          <w:sz w:val="16"/>
          <w:szCs w:val="16"/>
        </w:rPr>
      </w:pPr>
      <w:r w:rsidRPr="00E14102">
        <w:rPr>
          <w:color w:val="000000" w:themeColor="text1"/>
          <w:sz w:val="16"/>
          <w:szCs w:val="16"/>
        </w:rPr>
        <w:t>26 июля 1935 г. Политбюро приняло решение, касающееся судьбы значительной части крестьянства: "О снятии судимо</w:t>
      </w:r>
      <w:r w:rsidRPr="00E14102">
        <w:rPr>
          <w:color w:val="000000" w:themeColor="text1"/>
          <w:sz w:val="16"/>
          <w:szCs w:val="16"/>
        </w:rPr>
        <w:softHyphen/>
        <w:t>сти с колхозников" (оно было оформлено как постановление СНК и ЦИК СССР от 29 июля). Постановление предписывало "снять судимость с колхозников, осужденных к лишению сво</w:t>
      </w:r>
      <w:r w:rsidRPr="00E14102">
        <w:rPr>
          <w:color w:val="000000" w:themeColor="text1"/>
          <w:sz w:val="16"/>
          <w:szCs w:val="16"/>
        </w:rPr>
        <w:softHyphen/>
        <w:t>боды на сроки не свыше 5 лет, либо к иным, более мягким мерам наказания и отбывших данное им наказание или до</w:t>
      </w:r>
      <w:r w:rsidRPr="00E14102">
        <w:rPr>
          <w:color w:val="000000" w:themeColor="text1"/>
          <w:sz w:val="16"/>
          <w:szCs w:val="16"/>
        </w:rPr>
        <w:softHyphen/>
        <w:t>срочно освобожденных до издания настоящего постановления, если они в настоящее время добросовестно и честно работают в колхозах, хотя бы они в момент совершения преступления были единоличными". Действие постановления не распрост</w:t>
      </w:r>
      <w:r w:rsidRPr="00E14102">
        <w:rPr>
          <w:color w:val="000000" w:themeColor="text1"/>
          <w:sz w:val="16"/>
          <w:szCs w:val="16"/>
        </w:rPr>
        <w:softHyphen/>
        <w:t>ранялось на осужденных за контрреволюционные преступле</w:t>
      </w:r>
      <w:r w:rsidRPr="00E14102">
        <w:rPr>
          <w:color w:val="000000" w:themeColor="text1"/>
          <w:sz w:val="16"/>
          <w:szCs w:val="16"/>
        </w:rPr>
        <w:softHyphen/>
        <w:t>ния, на осужденных по всем преступлениям на сроки свыше 5 лет лишения свободы, на рецидивистов и т.д., однако, и без этого оно затрагивало интересы сотен тысяч крестьян. Снятие судимости, согласно постановлению, освобождало крестьян от всех правоограничений, связанных с нею. Для проведения по</w:t>
      </w:r>
      <w:r w:rsidRPr="00E14102">
        <w:rPr>
          <w:color w:val="000000" w:themeColor="text1"/>
          <w:sz w:val="16"/>
          <w:szCs w:val="16"/>
        </w:rPr>
        <w:softHyphen/>
        <w:t>становления в жизнь в районах, краях, областях и союзных республиках, не имевших краевого и областного деления, со</w:t>
      </w:r>
      <w:r w:rsidRPr="00E14102">
        <w:rPr>
          <w:color w:val="000000" w:themeColor="text1"/>
          <w:sz w:val="16"/>
          <w:szCs w:val="16"/>
        </w:rPr>
        <w:softHyphen/>
        <w:t>здавались комиссии в составе прокурора, председателя суда, начальника управления НКВД, во главе с председателем соот</w:t>
      </w:r>
      <w:r w:rsidRPr="00E14102">
        <w:rPr>
          <w:color w:val="000000" w:themeColor="text1"/>
          <w:sz w:val="16"/>
          <w:szCs w:val="16"/>
        </w:rPr>
        <w:softHyphen/>
        <w:t>ветствующего исполкома. Работу по снятию судимости с кол</w:t>
      </w:r>
      <w:r w:rsidRPr="00E14102">
        <w:rPr>
          <w:color w:val="000000" w:themeColor="text1"/>
          <w:sz w:val="16"/>
          <w:szCs w:val="16"/>
        </w:rPr>
        <w:softHyphen/>
        <w:t xml:space="preserve">хозников предполагалось закончить к 1 ноября </w:t>
      </w:r>
      <w:bookmarkStart w:id="17" w:name="YANDEX_12"/>
      <w:bookmarkEnd w:id="17"/>
      <w:r w:rsidRPr="00E14102">
        <w:rPr>
          <w:color w:val="000000" w:themeColor="text1"/>
          <w:sz w:val="16"/>
          <w:szCs w:val="16"/>
        </w:rPr>
        <w:t> 1935  г.</w:t>
      </w:r>
    </w:p>
    <w:p w14:paraId="6ED3BE63" w14:textId="77777777" w:rsidR="00C30317" w:rsidRPr="00E14102" w:rsidRDefault="00C30317" w:rsidP="00E14102">
      <w:pPr>
        <w:shd w:val="clear" w:color="auto" w:fill="FFFFFF"/>
        <w:jc w:val="both"/>
        <w:rPr>
          <w:color w:val="000000" w:themeColor="text1"/>
          <w:sz w:val="16"/>
          <w:szCs w:val="16"/>
        </w:rPr>
      </w:pPr>
      <w:r w:rsidRPr="00E14102">
        <w:rPr>
          <w:color w:val="000000" w:themeColor="text1"/>
          <w:sz w:val="16"/>
          <w:szCs w:val="16"/>
        </w:rPr>
        <w:t>Как обычно, в срок решение выполнено не было. На 5 де</w:t>
      </w:r>
      <w:r w:rsidRPr="00E14102">
        <w:rPr>
          <w:color w:val="000000" w:themeColor="text1"/>
          <w:sz w:val="16"/>
          <w:szCs w:val="16"/>
        </w:rPr>
        <w:softHyphen/>
        <w:t xml:space="preserve">кабря </w:t>
      </w:r>
      <w:bookmarkStart w:id="18" w:name="YANDEX_13"/>
      <w:bookmarkEnd w:id="18"/>
      <w:r w:rsidRPr="00E14102">
        <w:rPr>
          <w:color w:val="000000" w:themeColor="text1"/>
          <w:sz w:val="16"/>
          <w:szCs w:val="16"/>
        </w:rPr>
        <w:t> 1935  г., как сообщал в Политбюро прокурор СССР А.Я.Вышинский, по СССР судимость была снята со 125192 колхозников, в то время как только в одной Челябинской об</w:t>
      </w:r>
      <w:r w:rsidRPr="00E14102">
        <w:rPr>
          <w:color w:val="000000" w:themeColor="text1"/>
          <w:sz w:val="16"/>
          <w:szCs w:val="16"/>
        </w:rPr>
        <w:softHyphen/>
        <w:t>ласти подлежало рассмотрению 40 тыс. дел. По предложению Вышинского, Политбюро продлило сроки проведения мероп</w:t>
      </w:r>
      <w:r w:rsidRPr="00E14102">
        <w:rPr>
          <w:color w:val="000000" w:themeColor="text1"/>
          <w:sz w:val="16"/>
          <w:szCs w:val="16"/>
        </w:rPr>
        <w:softHyphen/>
        <w:t xml:space="preserve">риятия до 1 марта </w:t>
      </w:r>
      <w:bookmarkStart w:id="19" w:name="YANDEX_14"/>
      <w:bookmarkEnd w:id="19"/>
      <w:r w:rsidRPr="00E14102">
        <w:rPr>
          <w:color w:val="000000" w:themeColor="text1"/>
          <w:sz w:val="16"/>
          <w:szCs w:val="16"/>
        </w:rPr>
        <w:t xml:space="preserve"> 1936  г. 25 апреля </w:t>
      </w:r>
      <w:bookmarkStart w:id="20" w:name="YANDEX_15"/>
      <w:bookmarkEnd w:id="20"/>
      <w:r w:rsidRPr="00E14102">
        <w:rPr>
          <w:color w:val="000000" w:themeColor="text1"/>
          <w:sz w:val="16"/>
          <w:szCs w:val="16"/>
        </w:rPr>
        <w:t> 1936  г. в очередной докладной на имя Сталина, Калинина и Молотова Вышин</w:t>
      </w:r>
      <w:r w:rsidRPr="00E14102">
        <w:rPr>
          <w:color w:val="000000" w:themeColor="text1"/>
          <w:sz w:val="16"/>
          <w:szCs w:val="16"/>
        </w:rPr>
        <w:softHyphen/>
        <w:t xml:space="preserve">ский подвел итоги кампании. Он сообщил, что с 29 июля </w:t>
      </w:r>
      <w:bookmarkStart w:id="21" w:name="YANDEX_16"/>
      <w:bookmarkEnd w:id="21"/>
      <w:r w:rsidRPr="00E14102">
        <w:rPr>
          <w:color w:val="000000" w:themeColor="text1"/>
          <w:sz w:val="16"/>
          <w:szCs w:val="16"/>
        </w:rPr>
        <w:t xml:space="preserve"> 1935  г. по 1 марта </w:t>
      </w:r>
      <w:bookmarkStart w:id="22" w:name="YANDEX_17"/>
      <w:bookmarkEnd w:id="22"/>
      <w:r w:rsidRPr="00E14102">
        <w:rPr>
          <w:color w:val="000000" w:themeColor="text1"/>
          <w:sz w:val="16"/>
          <w:szCs w:val="16"/>
        </w:rPr>
        <w:t> 1936  г. по СССР судимость была снята с 556790 колхозников (кроме этого, 212199 колхозников были осво</w:t>
      </w:r>
      <w:r w:rsidRPr="00E14102">
        <w:rPr>
          <w:color w:val="000000" w:themeColor="text1"/>
          <w:sz w:val="16"/>
          <w:szCs w:val="16"/>
        </w:rPr>
        <w:softHyphen/>
        <w:t xml:space="preserve">бождены от судимости в </w:t>
      </w:r>
      <w:bookmarkStart w:id="23" w:name="YANDEX_18"/>
      <w:bookmarkEnd w:id="23"/>
      <w:r w:rsidRPr="00E14102">
        <w:rPr>
          <w:color w:val="000000" w:themeColor="text1"/>
          <w:sz w:val="16"/>
          <w:szCs w:val="16"/>
        </w:rPr>
        <w:t> 1934  г. на Украине по решению пра</w:t>
      </w:r>
      <w:r w:rsidRPr="00E14102">
        <w:rPr>
          <w:color w:val="000000" w:themeColor="text1"/>
          <w:sz w:val="16"/>
          <w:szCs w:val="16"/>
        </w:rPr>
        <w:softHyphen/>
        <w:t>вительства республики). Несмотря на столь значительные ре</w:t>
      </w:r>
      <w:r w:rsidRPr="00E14102">
        <w:rPr>
          <w:color w:val="000000" w:themeColor="text1"/>
          <w:sz w:val="16"/>
          <w:szCs w:val="16"/>
        </w:rPr>
        <w:softHyphen/>
        <w:t>зультаты, Вышинский предложил дополнительно проверить те регионы страны, где наблюдался высокий процент отказов в снятии судимости. Политбюро утвердило это предложение. Одновременно с кампанией по снятию судимости с колхоз</w:t>
      </w:r>
      <w:r w:rsidRPr="00E14102">
        <w:rPr>
          <w:color w:val="000000" w:themeColor="text1"/>
          <w:sz w:val="16"/>
          <w:szCs w:val="16"/>
        </w:rPr>
        <w:softHyphen/>
        <w:t>ников проводилось широкомасштабное освобождение из за</w:t>
      </w:r>
      <w:r w:rsidRPr="00E14102">
        <w:rPr>
          <w:color w:val="000000" w:themeColor="text1"/>
          <w:sz w:val="16"/>
          <w:szCs w:val="16"/>
        </w:rPr>
        <w:softHyphen/>
        <w:t>ключения, а также снятие судимости и всех связанных с ней правоограничений с должностных лиц, осужденных в 1932-1934 гг. за "саботаж хлебозаготовок" и выпуск денежных сур</w:t>
      </w:r>
      <w:r w:rsidRPr="00E14102">
        <w:rPr>
          <w:color w:val="000000" w:themeColor="text1"/>
          <w:sz w:val="16"/>
          <w:szCs w:val="16"/>
        </w:rPr>
        <w:softHyphen/>
        <w:t>рогатов (местных трудовых займов, бонн и т.п.). 10 августа 1935  г. Политбюро утвердило постановление ЦИК по этому поводу. Необходимость освобождения из заключения и снятия судимости с этой категории осужденных объяснялись в поста</w:t>
      </w:r>
      <w:r w:rsidRPr="00E14102">
        <w:rPr>
          <w:color w:val="000000" w:themeColor="text1"/>
          <w:sz w:val="16"/>
          <w:szCs w:val="16"/>
        </w:rPr>
        <w:softHyphen/>
        <w:t>новлении тем, "что совершенные указанными выше должно</w:t>
      </w:r>
      <w:r w:rsidRPr="00E14102">
        <w:rPr>
          <w:color w:val="000000" w:themeColor="text1"/>
          <w:sz w:val="16"/>
          <w:szCs w:val="16"/>
        </w:rPr>
        <w:softHyphen/>
        <w:t>стными лицами преступления не были связаны с какими-либо корыстными мотивами и являлись в подавляющем большин</w:t>
      </w:r>
      <w:r w:rsidRPr="00E14102">
        <w:rPr>
          <w:color w:val="000000" w:themeColor="text1"/>
          <w:sz w:val="16"/>
          <w:szCs w:val="16"/>
        </w:rPr>
        <w:softHyphen/>
        <w:t>стве случаев результатом неправильного понимания осужден</w:t>
      </w:r>
      <w:r w:rsidRPr="00E14102">
        <w:rPr>
          <w:color w:val="000000" w:themeColor="text1"/>
          <w:sz w:val="16"/>
          <w:szCs w:val="16"/>
        </w:rPr>
        <w:softHyphen/>
        <w:t>ными своих служебных обязанностей". Как сообщал 10 де</w:t>
      </w:r>
      <w:r w:rsidRPr="00E14102">
        <w:rPr>
          <w:color w:val="000000" w:themeColor="text1"/>
          <w:sz w:val="16"/>
          <w:szCs w:val="16"/>
        </w:rPr>
        <w:softHyphen/>
        <w:t xml:space="preserve">кабря </w:t>
      </w:r>
      <w:bookmarkStart w:id="24" w:name="YANDEX_19"/>
      <w:bookmarkEnd w:id="24"/>
      <w:r w:rsidRPr="00E14102">
        <w:rPr>
          <w:color w:val="000000" w:themeColor="text1"/>
          <w:sz w:val="16"/>
          <w:szCs w:val="16"/>
        </w:rPr>
        <w:t> 1935  г. в правительство и ЦК ВКП(б) Вышинский, в соответствии с решением об амнистии должностных лиц по предварительным данным было освобождено от наказания 54 тыс. и представлено к освобождению более 24 тыс. человек  </w:t>
      </w:r>
      <w:r w:rsidR="008E4712" w:rsidRPr="00E14102">
        <w:rPr>
          <w:color w:val="000000" w:themeColor="text1"/>
          <w:sz w:val="16"/>
          <w:szCs w:val="16"/>
        </w:rPr>
        <w:t>(17307).</w:t>
      </w:r>
    </w:p>
    <w:p w14:paraId="4C3BBE0C" w14:textId="77777777" w:rsidR="00C30317" w:rsidRPr="00E14102" w:rsidRDefault="00C30317" w:rsidP="00E14102">
      <w:pPr>
        <w:autoSpaceDE w:val="0"/>
        <w:autoSpaceDN w:val="0"/>
        <w:adjustRightInd w:val="0"/>
        <w:jc w:val="both"/>
        <w:rPr>
          <w:iCs/>
          <w:color w:val="000000" w:themeColor="text1"/>
          <w:sz w:val="16"/>
          <w:szCs w:val="16"/>
        </w:rPr>
      </w:pPr>
    </w:p>
    <w:p w14:paraId="2AF6A35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2E5C175" w14:textId="77777777" w:rsidR="00D4105E" w:rsidRPr="00E14102" w:rsidRDefault="00D4105E" w:rsidP="00E14102">
      <w:pPr>
        <w:autoSpaceDE w:val="0"/>
        <w:autoSpaceDN w:val="0"/>
        <w:adjustRightInd w:val="0"/>
        <w:jc w:val="both"/>
        <w:rPr>
          <w:iCs/>
          <w:color w:val="000000" w:themeColor="text1"/>
          <w:sz w:val="16"/>
          <w:szCs w:val="16"/>
        </w:rPr>
      </w:pPr>
    </w:p>
    <w:p w14:paraId="533B98D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26 июля 1935 американские коммунисты в Нью-Йорке сорвали с немецкого лайнера “Бремен” флаг со свастикой и утопили его в Гудзоне (4962).</w:t>
      </w:r>
    </w:p>
    <w:p w14:paraId="306278A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CBC23C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8B5FD42" w14:textId="77777777" w:rsidR="00D4105E" w:rsidRPr="00E14102" w:rsidRDefault="00D4105E" w:rsidP="00E14102">
      <w:pPr>
        <w:autoSpaceDE w:val="0"/>
        <w:autoSpaceDN w:val="0"/>
        <w:adjustRightInd w:val="0"/>
        <w:jc w:val="both"/>
        <w:rPr>
          <w:iCs/>
          <w:color w:val="000000" w:themeColor="text1"/>
          <w:sz w:val="16"/>
          <w:szCs w:val="16"/>
        </w:rPr>
      </w:pPr>
    </w:p>
    <w:p w14:paraId="28C1B7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июля 1935 вышел приказ ГУАП N 37/244с:</w:t>
      </w:r>
    </w:p>
    <w:p w14:paraId="2A9655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постановления Правительства, включить в план работ завода 18 на 1935/1936 постройку головной машины К-7, установив срок сдачи ее - октябрь 1936." (2170,69).</w:t>
      </w:r>
    </w:p>
    <w:p w14:paraId="64612C5A" w14:textId="77777777" w:rsidR="00D4105E" w:rsidRPr="00E14102" w:rsidRDefault="00D4105E" w:rsidP="00E14102">
      <w:pPr>
        <w:autoSpaceDE w:val="0"/>
        <w:autoSpaceDN w:val="0"/>
        <w:adjustRightInd w:val="0"/>
        <w:jc w:val="both"/>
        <w:rPr>
          <w:color w:val="000000" w:themeColor="text1"/>
          <w:sz w:val="16"/>
          <w:szCs w:val="16"/>
        </w:rPr>
      </w:pPr>
    </w:p>
    <w:p w14:paraId="7EEF71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27 июля по 15 августа 1935 проходили гос. испытания МК-1 (АНТ-22). Не хватало двигателей и не отвечал требованиям ВВС (92,498).</w:t>
      </w:r>
    </w:p>
    <w:p w14:paraId="42E14E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По другим данным - с 27 июня 1935.</w:t>
      </w:r>
    </w:p>
    <w:p w14:paraId="587B545C" w14:textId="77777777" w:rsidR="00D4105E" w:rsidRPr="00E14102" w:rsidRDefault="00D4105E" w:rsidP="00E14102">
      <w:pPr>
        <w:autoSpaceDE w:val="0"/>
        <w:autoSpaceDN w:val="0"/>
        <w:adjustRightInd w:val="0"/>
        <w:jc w:val="both"/>
        <w:rPr>
          <w:color w:val="000000" w:themeColor="text1"/>
          <w:sz w:val="16"/>
          <w:szCs w:val="16"/>
        </w:rPr>
      </w:pPr>
    </w:p>
    <w:p w14:paraId="0E6023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июля - 15 августа 1935 г. на государственных испытаниях МК-1, когда летали с 5 т бомб (взлетный вес 32 500 кг), причем на наружной подвеске, максимальная скорость упала до 205 км/ч. Крейсерская скорость равнялась 180 км/ч, дальность - 1330 км, практический потолок - 2250 м. С перегрузочным весом 43 000 кг машину не испытывали.</w:t>
      </w:r>
    </w:p>
    <w:p w14:paraId="194DAC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воде катамаран вел себя отлично. Он мог без проблем взлетать и садиться в открытом море при полутораметровой волне, обладал на плаву хорошей маневренностью, управляемостью и остойчивостью. Впрочем, и в полете МК-1 отличался устойчивостью, неплохой управляемостью и вполне приемлемой для его размеров маневренностью. Но этого было недостаточно.</w:t>
      </w:r>
    </w:p>
    <w:p w14:paraId="53EC3A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Причиной неудач сочли мотоустановки. Сделали вывод, что задние, толкающие, винты имеют низкий коэффициент полезного действия из-за воздействия спутной струи от переднего, тянущего, пропеллера. Решили доработать мотоустановки, поставить двигатели М-34РН и облегчить конструкцию планера. Но делать этого не стали (12036).</w:t>
      </w:r>
    </w:p>
    <w:p w14:paraId="28893EC9" w14:textId="77777777" w:rsidR="00D4105E" w:rsidRPr="00E14102" w:rsidRDefault="00D4105E" w:rsidP="00E14102">
      <w:pPr>
        <w:autoSpaceDE w:val="0"/>
        <w:autoSpaceDN w:val="0"/>
        <w:adjustRightInd w:val="0"/>
        <w:jc w:val="both"/>
        <w:rPr>
          <w:color w:val="000000" w:themeColor="text1"/>
          <w:sz w:val="16"/>
          <w:szCs w:val="16"/>
        </w:rPr>
      </w:pPr>
    </w:p>
    <w:p w14:paraId="343A75CB" w14:textId="77777777" w:rsidR="00E90C6B" w:rsidRPr="00E14102" w:rsidRDefault="00E90C6B" w:rsidP="00E14102">
      <w:pPr>
        <w:jc w:val="both"/>
        <w:rPr>
          <w:color w:val="000000" w:themeColor="text1"/>
          <w:sz w:val="16"/>
          <w:szCs w:val="16"/>
        </w:rPr>
      </w:pPr>
      <w:r w:rsidRPr="00E14102">
        <w:rPr>
          <w:color w:val="000000" w:themeColor="text1"/>
          <w:sz w:val="16"/>
          <w:szCs w:val="16"/>
        </w:rPr>
        <w:t xml:space="preserve">27 июля в 1935 году начались июля (по 15 августа) государственные испытания цельнометаллического двухлодочного гидросамолета-катамарана </w:t>
      </w:r>
      <w:hyperlink r:id="rId160" w:tgtFrame="_blank" w:history="1">
        <w:r w:rsidRPr="00E14102">
          <w:rPr>
            <w:color w:val="000000" w:themeColor="text1"/>
            <w:sz w:val="16"/>
            <w:szCs w:val="16"/>
          </w:rPr>
          <w:t xml:space="preserve">«МК-1» («АНТ-22»). </w:t>
        </w:r>
      </w:hyperlink>
      <w:r w:rsidRPr="00E14102">
        <w:rPr>
          <w:color w:val="000000" w:themeColor="text1"/>
          <w:sz w:val="16"/>
          <w:szCs w:val="16"/>
        </w:rPr>
        <w:t>При наружной подвеске данные несколько снизились: максимальная скорость у поверхности воды составила 205 км/час, крейсерская 180 км/час, практический потолок 2250 м. Признавалось, что по своим мореходным качествам «МК-1» обладает хорошими обводами и гидродинамикой, способен взлетать и садиться в открытом море при волне до 1,5 метров и ветре до 12 м/сек. Одновременно, показатели скорости, потолка и дальности полета (1330 км) не отвечают требованиям времени. Предлагалось продолжить улучшения самолета, для чего установить более мощные двигатели «М-34» «РН» или «М-34ФРН» (14965).</w:t>
      </w:r>
    </w:p>
    <w:p w14:paraId="41C5BF3E" w14:textId="77777777" w:rsidR="00E90C6B" w:rsidRPr="00E14102" w:rsidRDefault="00E90C6B" w:rsidP="00E14102">
      <w:pPr>
        <w:jc w:val="both"/>
        <w:rPr>
          <w:color w:val="000000" w:themeColor="text1"/>
          <w:sz w:val="16"/>
          <w:szCs w:val="16"/>
        </w:rPr>
      </w:pPr>
    </w:p>
    <w:p w14:paraId="5A4686D6" w14:textId="77777777" w:rsidR="00E90C6B" w:rsidRPr="00E14102" w:rsidRDefault="00E90C6B" w:rsidP="00E14102">
      <w:pPr>
        <w:jc w:val="both"/>
        <w:rPr>
          <w:color w:val="000000" w:themeColor="text1"/>
          <w:sz w:val="16"/>
          <w:szCs w:val="16"/>
        </w:rPr>
      </w:pPr>
      <w:r w:rsidRPr="00E14102">
        <w:rPr>
          <w:color w:val="000000" w:themeColor="text1"/>
          <w:sz w:val="16"/>
          <w:szCs w:val="16"/>
        </w:rPr>
        <w:t>С 27 июля по 15 августа 1935 г. МК-1 после установки на самолете штатного комплекта оборудования и вооружения прошел полный цикл государственных испытаний. При наружной подвеске данные несколько снизились: максимальная скорость у поверхности воды составила 205 км/ч, крейсерская —180 км/ч, практический потолок 2250 м. Признавалось, что по своим мореходным качествам МК-1 обладает хорошими обводами и гидродинамикой, способен взлетать и садиться в открытом море при волне до 1,5 метров и ветре до 12 м/с. Однако показатели скорости, потолка и дальности полета (1330 км) не отвечают требованиям времени. Предлагалось продолжить улучшения самолета, для чего установить более мощные двигатели М-34 РН или М-34ФРН. Увы, в середине 1935 г. работы над МК-1 были прекращены, так как во второй половине 1930-х гг. его летные качества выглядели анахронизмом, и МК-1 мог стать легкой добычей не только истребителя, но и современной «летающей лодки». Кроме того, для обслуживания такого гиганта требовалось большое количество технических средств и наземного персонала. Подготовка к полету и само его обеспечение оказались слишком сложными и длительными (15117).</w:t>
      </w:r>
    </w:p>
    <w:p w14:paraId="5EAFAD5C" w14:textId="77777777" w:rsidR="00E90C6B" w:rsidRPr="00E14102" w:rsidRDefault="00E90C6B" w:rsidP="00E14102">
      <w:pPr>
        <w:jc w:val="both"/>
        <w:rPr>
          <w:color w:val="000000" w:themeColor="text1"/>
          <w:sz w:val="16"/>
          <w:szCs w:val="16"/>
        </w:rPr>
      </w:pPr>
    </w:p>
    <w:p w14:paraId="149A98A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9DF5700" w14:textId="77777777" w:rsidR="00D4105E" w:rsidRPr="00E14102" w:rsidRDefault="00D4105E" w:rsidP="00E14102">
      <w:pPr>
        <w:autoSpaceDE w:val="0"/>
        <w:autoSpaceDN w:val="0"/>
        <w:adjustRightInd w:val="0"/>
        <w:jc w:val="both"/>
        <w:rPr>
          <w:iCs/>
          <w:color w:val="000000" w:themeColor="text1"/>
          <w:sz w:val="16"/>
          <w:szCs w:val="16"/>
        </w:rPr>
      </w:pPr>
    </w:p>
    <w:p w14:paraId="581959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июля 1935 г. были начаты испытания стрельбой первой 152-мм пушка Б-30. Проектной начальной скорости (880 м/с) для снаряда чертежа 3200 весом 49 кг получить не удалось, так как при 860 м/с давление в канале ствола превысило расчетное для 880 м/с. Тем не менее при заряде из пороха марки 27/1 удалось получить начальную скорость 884,8 м/с. При стрельбе снарядом чертежа 3241 весом 49 кг с РГМ получена начальная скорость 862 м/с, дальность 26 580 м при угле 45. Боковое отклонение 23,7 м, а отклонение по дальности 248 м, то есть меткость совершенно неудовлетворительная. Заряжание пушки производилось с помощью крана и штатного кокора. Время заряжания от 1 мин. 55 сек. до 2 мин. 3 сек. После полигонных испытаний образец пушки Б-30 был отправлен на войсковые испытания совместно с Б-10 (3861).</w:t>
      </w:r>
    </w:p>
    <w:p w14:paraId="5F79BDC1" w14:textId="77777777" w:rsidR="00D4105E" w:rsidRPr="00E14102" w:rsidRDefault="00D4105E" w:rsidP="00E14102">
      <w:pPr>
        <w:autoSpaceDE w:val="0"/>
        <w:autoSpaceDN w:val="0"/>
        <w:adjustRightInd w:val="0"/>
        <w:jc w:val="both"/>
        <w:rPr>
          <w:color w:val="000000" w:themeColor="text1"/>
          <w:sz w:val="16"/>
          <w:szCs w:val="16"/>
        </w:rPr>
      </w:pPr>
    </w:p>
    <w:p w14:paraId="5C718F3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B914094" w14:textId="77777777" w:rsidR="00D4105E" w:rsidRPr="00E14102" w:rsidRDefault="00D4105E" w:rsidP="00E14102">
      <w:pPr>
        <w:autoSpaceDE w:val="0"/>
        <w:autoSpaceDN w:val="0"/>
        <w:adjustRightInd w:val="0"/>
        <w:jc w:val="both"/>
        <w:rPr>
          <w:iCs/>
          <w:color w:val="000000" w:themeColor="text1"/>
          <w:sz w:val="16"/>
          <w:szCs w:val="16"/>
        </w:rPr>
      </w:pPr>
    </w:p>
    <w:p w14:paraId="5E67155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 июля 1935 русский революционер, один из лидеров большевиков Лев Каменев приговорен к десяти годам тюрьмы за антисоветскую деятельность (4962).</w:t>
      </w:r>
    </w:p>
    <w:p w14:paraId="33AA0DC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DF04E58" w14:textId="77777777" w:rsidR="005257B8" w:rsidRPr="00E14102" w:rsidRDefault="005257B8" w:rsidP="00E14102">
      <w:pPr>
        <w:jc w:val="both"/>
        <w:rPr>
          <w:color w:val="0070C0"/>
          <w:sz w:val="16"/>
          <w:szCs w:val="16"/>
        </w:rPr>
      </w:pPr>
      <w:r w:rsidRPr="00E14102">
        <w:rPr>
          <w:color w:val="0070C0"/>
          <w:sz w:val="16"/>
          <w:szCs w:val="16"/>
        </w:rPr>
        <w:t>27 июля 1935 Лев Каменев приговорен к десяти годам тюрьмы за антисоветскую деятельность (21179).</w:t>
      </w:r>
    </w:p>
    <w:p w14:paraId="36FA789C" w14:textId="77777777" w:rsidR="005257B8" w:rsidRPr="00E14102" w:rsidRDefault="005257B8" w:rsidP="00E14102">
      <w:pPr>
        <w:jc w:val="both"/>
        <w:rPr>
          <w:color w:val="0070C0"/>
          <w:sz w:val="16"/>
          <w:szCs w:val="16"/>
        </w:rPr>
      </w:pPr>
    </w:p>
    <w:p w14:paraId="1DDEA7F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1DD8193" w14:textId="77777777" w:rsidR="00D4105E" w:rsidRPr="00E14102" w:rsidRDefault="00D4105E" w:rsidP="00E14102">
      <w:pPr>
        <w:autoSpaceDE w:val="0"/>
        <w:autoSpaceDN w:val="0"/>
        <w:adjustRightInd w:val="0"/>
        <w:jc w:val="both"/>
        <w:rPr>
          <w:iCs/>
          <w:color w:val="000000" w:themeColor="text1"/>
          <w:sz w:val="16"/>
          <w:szCs w:val="16"/>
        </w:rPr>
      </w:pPr>
    </w:p>
    <w:p w14:paraId="29C0A0A5" w14:textId="77777777" w:rsidR="006F4E11" w:rsidRPr="00E14102" w:rsidRDefault="006F4E11" w:rsidP="00E14102">
      <w:pPr>
        <w:jc w:val="both"/>
        <w:rPr>
          <w:color w:val="000000" w:themeColor="text1"/>
          <w:sz w:val="16"/>
          <w:szCs w:val="16"/>
        </w:rPr>
      </w:pPr>
      <w:r w:rsidRPr="00E14102">
        <w:rPr>
          <w:color w:val="000000" w:themeColor="text1"/>
          <w:sz w:val="16"/>
          <w:szCs w:val="16"/>
        </w:rPr>
        <w:t xml:space="preserve">27 июля в 1935 году первый полет прототипа «М.3В» английского легкого многоцелевого самолета </w:t>
      </w:r>
      <w:hyperlink r:id="rId161" w:tgtFrame="_blank" w:history="1">
        <w:r w:rsidRPr="00E14102">
          <w:rPr>
            <w:color w:val="000000" w:themeColor="text1"/>
            <w:sz w:val="16"/>
            <w:szCs w:val="16"/>
          </w:rPr>
          <w:t xml:space="preserve">«Miles» «М.3» «Falcon». </w:t>
        </w:r>
      </w:hyperlink>
      <w:r w:rsidRPr="00E14102">
        <w:rPr>
          <w:color w:val="000000" w:themeColor="text1"/>
          <w:sz w:val="16"/>
          <w:szCs w:val="16"/>
        </w:rPr>
        <w:t>Серийный выпуск самолета был начат в 1936 году. Этот самолет получил прозвище 'Pregnant Percy' (беременный Перси), позже сокращенное до 'Preggers'. Он был трехместным монопланом, но первый серийный экземпляр имел четырехместную кабину. Некоторые варианты летали под обозначениями «M.3A» «Falcon Major» и «M.3B» «Falcon Six». Всего было построено 36 машин (14965).</w:t>
      </w:r>
    </w:p>
    <w:p w14:paraId="5DDFB548" w14:textId="77777777" w:rsidR="006F4E11" w:rsidRPr="00E14102" w:rsidRDefault="006F4E11" w:rsidP="00E14102">
      <w:pPr>
        <w:jc w:val="both"/>
        <w:rPr>
          <w:color w:val="000000" w:themeColor="text1"/>
          <w:sz w:val="16"/>
          <w:szCs w:val="16"/>
        </w:rPr>
      </w:pPr>
    </w:p>
    <w:p w14:paraId="45275537" w14:textId="77777777" w:rsidR="00203C11" w:rsidRPr="00E14102" w:rsidRDefault="00203C11" w:rsidP="00E14102">
      <w:pPr>
        <w:jc w:val="both"/>
        <w:rPr>
          <w:color w:val="0070C0"/>
          <w:sz w:val="16"/>
          <w:szCs w:val="16"/>
        </w:rPr>
      </w:pPr>
      <w:r w:rsidRPr="00E14102">
        <w:rPr>
          <w:color w:val="0070C0"/>
          <w:sz w:val="16"/>
          <w:szCs w:val="16"/>
        </w:rPr>
        <w:t>27 июля 1935 состоялся первый полет Miles Falcon Six (20800).</w:t>
      </w:r>
    </w:p>
    <w:p w14:paraId="10FCEFC2" w14:textId="77777777" w:rsidR="00203C11" w:rsidRPr="00E14102" w:rsidRDefault="00203C11" w:rsidP="00E14102">
      <w:pPr>
        <w:jc w:val="both"/>
        <w:rPr>
          <w:color w:val="0070C0"/>
          <w:sz w:val="16"/>
          <w:szCs w:val="16"/>
        </w:rPr>
      </w:pPr>
    </w:p>
    <w:p w14:paraId="6A3A65BE" w14:textId="77777777" w:rsidR="006F4E11" w:rsidRPr="00E14102" w:rsidRDefault="006F4E11" w:rsidP="00E14102">
      <w:pPr>
        <w:jc w:val="both"/>
        <w:rPr>
          <w:color w:val="000000" w:themeColor="text1"/>
          <w:sz w:val="16"/>
          <w:szCs w:val="16"/>
        </w:rPr>
      </w:pPr>
      <w:r w:rsidRPr="00E14102">
        <w:rPr>
          <w:color w:val="000000" w:themeColor="text1"/>
          <w:sz w:val="16"/>
          <w:szCs w:val="16"/>
        </w:rPr>
        <w:t>27 июля в 1935 году прототип «XP3Y» самолета «Consolidated PBY» «Catalina» получил пробоину при посадке. Водонепроницаемые переборки спасли машину от затопления и ее отбуксировали на базу для ремонта. В ходе испытательных полетов был выявлен ряд проблем с устойчивостью и управляемостью машины, что потребовало внести в конструкцию доработки. Результаты испытаний на бомбометание, проведенных в мае - июне, оказались неудовлетворительными из-за плохой курсовой устойчивости и значительных нагрузок на руле направления. Пытались увеличить площадь руля, но это привело к еще большему возрастанию потребных управляющих усилий, и конструкцию снова переделали</w:t>
      </w:r>
    </w:p>
    <w:p w14:paraId="5D5E1B04" w14:textId="77777777" w:rsidR="006F4E11" w:rsidRPr="00E14102" w:rsidRDefault="006F4E11" w:rsidP="00E14102">
      <w:pPr>
        <w:jc w:val="both"/>
        <w:rPr>
          <w:color w:val="000000" w:themeColor="text1"/>
          <w:sz w:val="16"/>
          <w:szCs w:val="16"/>
        </w:rPr>
      </w:pPr>
    </w:p>
    <w:p w14:paraId="7E3F3E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июля 1935 французское правительство получило чрезвычайные полномочия для проведения экономических преобразований (3907,192).</w:t>
      </w:r>
    </w:p>
    <w:p w14:paraId="5B608E9B" w14:textId="77777777" w:rsidR="00D4105E" w:rsidRPr="00E14102" w:rsidRDefault="00D4105E" w:rsidP="00E14102">
      <w:pPr>
        <w:autoSpaceDE w:val="0"/>
        <w:autoSpaceDN w:val="0"/>
        <w:adjustRightInd w:val="0"/>
        <w:jc w:val="both"/>
        <w:rPr>
          <w:color w:val="000000" w:themeColor="text1"/>
          <w:sz w:val="16"/>
          <w:szCs w:val="16"/>
        </w:rPr>
      </w:pPr>
    </w:p>
    <w:p w14:paraId="224BC5B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FED15E2" w14:textId="77777777" w:rsidR="00D4105E" w:rsidRPr="00E14102" w:rsidRDefault="00D4105E" w:rsidP="00E14102">
      <w:pPr>
        <w:autoSpaceDE w:val="0"/>
        <w:autoSpaceDN w:val="0"/>
        <w:adjustRightInd w:val="0"/>
        <w:jc w:val="both"/>
        <w:rPr>
          <w:iCs/>
          <w:color w:val="000000" w:themeColor="text1"/>
          <w:sz w:val="16"/>
          <w:szCs w:val="16"/>
        </w:rPr>
      </w:pPr>
    </w:p>
    <w:p w14:paraId="556D6A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июля 1935 самолет Козлова ПС, покрытый целлоном, перегнали на Серпуховской аэродром. В Серпухове было выполнено несколько полетов.</w:t>
      </w:r>
    </w:p>
    <w:p w14:paraId="619A88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августа самолет сделал еще один полет в Серпухове на высоте 200 м.</w:t>
      </w:r>
    </w:p>
    <w:p w14:paraId="008519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августа самолет перегнали на аэродром части 1127 для испытаний и 22 августа были проведены испытания. Самолет летал на высотах 500, 1000, 1500, 2000 и 2500 м причем в паре с ним ходил У-2 для сравнения видимости и кроме того, производилось фотографирование этих самолетов с Р-5. Кратко результаты и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ПС невидим совершенно (ни одним из присутствующих), тогда как У-2 и Р-5 отчетливо видны.</w:t>
      </w:r>
    </w:p>
    <w:p w14:paraId="0D308F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Выводы:</w:t>
      </w:r>
    </w:p>
    <w:p w14:paraId="1B07BE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 25 июля по 23 августа 1935 в общей сложности налетал 7 час. в самых разнообразных метеорологических условиях.</w:t>
      </w:r>
    </w:p>
    <w:p w14:paraId="132F7B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в течение месяца находился в обычных аэродромных условиях.</w:t>
      </w:r>
    </w:p>
    <w:p w14:paraId="1FAA68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Применение целлона оправдывает себя, как средство уменьшения видимости (534;864).</w:t>
      </w:r>
    </w:p>
    <w:p w14:paraId="67676665" w14:textId="77777777" w:rsidR="00D4105E" w:rsidRPr="00E14102" w:rsidRDefault="00D4105E" w:rsidP="00E14102">
      <w:pPr>
        <w:autoSpaceDE w:val="0"/>
        <w:autoSpaceDN w:val="0"/>
        <w:adjustRightInd w:val="0"/>
        <w:jc w:val="both"/>
        <w:rPr>
          <w:color w:val="000000" w:themeColor="text1"/>
          <w:sz w:val="16"/>
          <w:szCs w:val="16"/>
        </w:rPr>
      </w:pPr>
    </w:p>
    <w:p w14:paraId="04D02F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июля 1935 самолет Козлова ПС, покрытый целлоном, перегнали из Москвы на Серпуховской аэродром. В Серпухове было выполнено несколько полетов (534;864).</w:t>
      </w:r>
    </w:p>
    <w:p w14:paraId="41C6E4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Летели М.П.Вахрушев и Я.Г.Красных в сопровождении У-2 и садился на вынужденную в Подольске из-за падения давления масла. Прибыли на аэродром Липы в 10 км. От Серпухова. Погода была ясная и машина пропадала из виду на 600-700 м. Ангаров на аэродроме не было и поэтому в тот же день перегнали машину в Серпухов. Обнаружили повреждения шасси. Испытания прекратили и ремонтировались (7540, 5).</w:t>
      </w:r>
    </w:p>
    <w:p w14:paraId="06437233" w14:textId="77777777" w:rsidR="00D4105E" w:rsidRPr="00E14102" w:rsidRDefault="00D4105E" w:rsidP="00E14102">
      <w:pPr>
        <w:autoSpaceDE w:val="0"/>
        <w:autoSpaceDN w:val="0"/>
        <w:adjustRightInd w:val="0"/>
        <w:jc w:val="both"/>
        <w:rPr>
          <w:color w:val="000000" w:themeColor="text1"/>
          <w:sz w:val="16"/>
          <w:szCs w:val="16"/>
        </w:rPr>
      </w:pPr>
    </w:p>
    <w:p w14:paraId="6480C2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июля 1935 самолет ПС (АИР-4) перегнали на Серпуховский аэродром, где он совершил несколько полетов.</w:t>
      </w:r>
    </w:p>
    <w:p w14:paraId="3AA251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августа самолет сделал еще полет в Серпухове.</w:t>
      </w:r>
    </w:p>
    <w:p w14:paraId="002D06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августа самолет перегнали на аэродром части 1127 для испытаний и 22 августа были проведены испытания.</w:t>
      </w:r>
    </w:p>
    <w:p w14:paraId="5A611D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5AC1EF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5D1C9D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2DC871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7DBD7E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Применение целлона оправдывает себя как средство уменьшения видимости (7656).</w:t>
      </w:r>
    </w:p>
    <w:p w14:paraId="69A7ABC8" w14:textId="77777777" w:rsidR="00D4105E" w:rsidRPr="00E14102" w:rsidRDefault="00D4105E" w:rsidP="00E14102">
      <w:pPr>
        <w:autoSpaceDE w:val="0"/>
        <w:autoSpaceDN w:val="0"/>
        <w:adjustRightInd w:val="0"/>
        <w:jc w:val="both"/>
        <w:rPr>
          <w:color w:val="000000" w:themeColor="text1"/>
          <w:sz w:val="16"/>
          <w:szCs w:val="16"/>
        </w:rPr>
      </w:pPr>
    </w:p>
    <w:p w14:paraId="6075FA7C" w14:textId="77777777" w:rsidR="007F2131" w:rsidRPr="00E14102" w:rsidRDefault="007F2131" w:rsidP="00E14102">
      <w:pPr>
        <w:jc w:val="both"/>
        <w:rPr>
          <w:color w:val="000000" w:themeColor="text1"/>
          <w:sz w:val="16"/>
          <w:szCs w:val="16"/>
        </w:rPr>
      </w:pPr>
      <w:r w:rsidRPr="00E14102">
        <w:rPr>
          <w:color w:val="000000" w:themeColor="text1"/>
          <w:sz w:val="16"/>
          <w:szCs w:val="16"/>
        </w:rPr>
        <w:t>28 июля 1935 самолёт ПС перегнали на Серпуховский аэродром согласно указанию Начальника IV Отдела УВВС РККА. В Серпухове было совершено несколько полётов. Полёты проходили при ясном небе и ярком солнце, и целлон, имевший при полёте из Москвы жёлто-коричневатый оттенок, за время полёта отбелился под влиянием солнца. Самолёт шёл из Москвы в Серпухов в сопровождении У-2 и мною был проделан следующий опыт: экипажи обоих самолётов (У-2 и ПС) определили на глаз наибольшее расстояние между самолётами в одно и то же время. Результаты: экипаж У-2 определил расстояние до ПC как 2000–2500 м, тогда как экипаж ПС определил расстояние до У-2 как 600–700 м. Это показывает значительное снижение видимости за счёт прозрачного покрытия, так как габариты обоих самолётов примерно одни и те же.</w:t>
      </w:r>
    </w:p>
    <w:p w14:paraId="2917574B" w14:textId="77777777" w:rsidR="007F2131" w:rsidRPr="00E14102" w:rsidRDefault="007F2131" w:rsidP="00E14102">
      <w:pPr>
        <w:jc w:val="both"/>
        <w:rPr>
          <w:color w:val="000000" w:themeColor="text1"/>
          <w:sz w:val="16"/>
          <w:szCs w:val="16"/>
        </w:rPr>
      </w:pPr>
      <w:r w:rsidRPr="00E14102">
        <w:rPr>
          <w:color w:val="000000" w:themeColor="text1"/>
          <w:sz w:val="16"/>
          <w:szCs w:val="16"/>
        </w:rPr>
        <w:t>После полёта обнаружено, что сухари передних узлов фюзеляжа разошлись и вследствие этого лопнула обшивка левого борта фюзеляжа. Силами мастерских части 1688 был произведен ремонт и, кстати, снято второе сиденье для улучшения самолёту скороподъёмности и потолка…</w:t>
      </w:r>
    </w:p>
    <w:p w14:paraId="7F7C8F77" w14:textId="77777777" w:rsidR="007F2131" w:rsidRPr="00E14102" w:rsidRDefault="007F2131" w:rsidP="00E14102">
      <w:pPr>
        <w:jc w:val="both"/>
        <w:rPr>
          <w:color w:val="000000" w:themeColor="text1"/>
          <w:sz w:val="16"/>
          <w:szCs w:val="16"/>
        </w:rPr>
      </w:pPr>
      <w:r w:rsidRPr="00E14102">
        <w:rPr>
          <w:color w:val="000000" w:themeColor="text1"/>
          <w:sz w:val="16"/>
          <w:szCs w:val="16"/>
        </w:rPr>
        <w:t>7 августа самолёт сделал ещё полёт в Серпухове на высоте 200 м. Видимость приблизительно такая же, как при первом полёте.</w:t>
      </w:r>
    </w:p>
    <w:p w14:paraId="6898C369" w14:textId="77777777" w:rsidR="007F2131" w:rsidRPr="00E14102" w:rsidRDefault="007F2131" w:rsidP="00E14102">
      <w:pPr>
        <w:jc w:val="both"/>
        <w:rPr>
          <w:color w:val="000000" w:themeColor="text1"/>
          <w:sz w:val="16"/>
          <w:szCs w:val="16"/>
        </w:rPr>
      </w:pPr>
      <w:r w:rsidRPr="00E14102">
        <w:rPr>
          <w:color w:val="000000" w:themeColor="text1"/>
          <w:sz w:val="16"/>
          <w:szCs w:val="16"/>
        </w:rPr>
        <w:t>16 августа самолёт перегнали на аэродром части 1127 для испытаний, и 22 августа были проведены испытания,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 т. Залевский, начальник штаба той же части т. Марков и др.</w:t>
      </w:r>
    </w:p>
    <w:p w14:paraId="478D84A9" w14:textId="77777777" w:rsidR="007F2131" w:rsidRPr="00E14102" w:rsidRDefault="007F2131" w:rsidP="00E14102">
      <w:pPr>
        <w:jc w:val="both"/>
        <w:rPr>
          <w:color w:val="000000" w:themeColor="text1"/>
          <w:sz w:val="16"/>
          <w:szCs w:val="16"/>
        </w:rPr>
      </w:pPr>
      <w:r w:rsidRPr="00E14102">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 летел наблюдателем начальник штаба части 1695 т. Куприянов для наблюдения видимости ПС с воздуха, такое же задание получил и экипаж самолёта Р-5.</w:t>
      </w:r>
    </w:p>
    <w:p w14:paraId="1B27285B" w14:textId="77777777" w:rsidR="007F2131" w:rsidRPr="00E14102" w:rsidRDefault="007F2131" w:rsidP="00E14102">
      <w:pPr>
        <w:jc w:val="both"/>
        <w:rPr>
          <w:color w:val="000000" w:themeColor="text1"/>
          <w:sz w:val="16"/>
          <w:szCs w:val="16"/>
        </w:rPr>
      </w:pPr>
      <w:r w:rsidRPr="00E14102">
        <w:rPr>
          <w:color w:val="000000" w:themeColor="text1"/>
          <w:sz w:val="16"/>
          <w:szCs w:val="16"/>
        </w:rPr>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самолёт ПС не виден совершенно (ни одним из присутствующих), тогда как У-2 и Р-5 отчетливо видны…</w:t>
      </w:r>
    </w:p>
    <w:p w14:paraId="4843E02F" w14:textId="77777777" w:rsidR="007F2131" w:rsidRPr="00E14102" w:rsidRDefault="007F2131" w:rsidP="00E14102">
      <w:pPr>
        <w:jc w:val="both"/>
        <w:rPr>
          <w:color w:val="000000" w:themeColor="text1"/>
          <w:sz w:val="16"/>
          <w:szCs w:val="16"/>
        </w:rPr>
      </w:pPr>
      <w:r w:rsidRPr="00E14102">
        <w:rPr>
          <w:color w:val="000000" w:themeColor="text1"/>
          <w:sz w:val="16"/>
          <w:szCs w:val="16"/>
        </w:rPr>
        <w:t>Самолёт с 25 июля по 23 августа 1935 г. в общей сложности налетал 7 часов в самых разнообразных метеорологических условиях (дождь, туман, яркое солнце)…</w:t>
      </w:r>
    </w:p>
    <w:p w14:paraId="6EFC3C98" w14:textId="77777777" w:rsidR="007F2131" w:rsidRPr="00E14102" w:rsidRDefault="007F2131" w:rsidP="00E14102">
      <w:pPr>
        <w:jc w:val="both"/>
        <w:rPr>
          <w:color w:val="000000" w:themeColor="text1"/>
          <w:sz w:val="16"/>
          <w:szCs w:val="16"/>
        </w:rPr>
      </w:pPr>
      <w:r w:rsidRPr="00E14102">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5DAD8509" w14:textId="77777777" w:rsidR="007F2131" w:rsidRPr="00E14102" w:rsidRDefault="007F2131" w:rsidP="00E14102">
      <w:pPr>
        <w:jc w:val="both"/>
        <w:rPr>
          <w:color w:val="000000" w:themeColor="text1"/>
          <w:sz w:val="16"/>
          <w:szCs w:val="16"/>
        </w:rPr>
      </w:pPr>
      <w:r w:rsidRPr="00E14102">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 е. вплоть до невидимости.</w:t>
      </w:r>
    </w:p>
    <w:p w14:paraId="64D580CF" w14:textId="77777777" w:rsidR="007F2131" w:rsidRPr="00E14102" w:rsidRDefault="007F2131" w:rsidP="00E14102">
      <w:pPr>
        <w:jc w:val="both"/>
        <w:rPr>
          <w:color w:val="000000" w:themeColor="text1"/>
          <w:sz w:val="16"/>
          <w:szCs w:val="16"/>
        </w:rPr>
      </w:pPr>
      <w:r w:rsidRPr="00E14102">
        <w:rPr>
          <w:color w:val="000000" w:themeColor="text1"/>
          <w:sz w:val="16"/>
          <w:szCs w:val="16"/>
        </w:rPr>
        <w:t xml:space="preserve">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 можно сильно улучшить обзор как лётчику, так и наблюдателю на существующих самолётах» </w:t>
      </w:r>
      <w:hyperlink r:id="rId162" w:history="1">
        <w:r w:rsidRPr="00E14102">
          <w:rPr>
            <w:color w:val="000000" w:themeColor="text1"/>
            <w:sz w:val="16"/>
            <w:szCs w:val="16"/>
          </w:rPr>
          <w:t>[158]</w:t>
        </w:r>
      </w:hyperlink>
      <w:r w:rsidRPr="00E14102">
        <w:rPr>
          <w:color w:val="000000" w:themeColor="text1"/>
          <w:sz w:val="16"/>
          <w:szCs w:val="16"/>
        </w:rPr>
        <w:t xml:space="preserve"> .</w:t>
      </w:r>
    </w:p>
    <w:p w14:paraId="6DBB7D88" w14:textId="77777777" w:rsidR="007F2131" w:rsidRPr="00E14102" w:rsidRDefault="007F2131" w:rsidP="00E14102">
      <w:pPr>
        <w:jc w:val="both"/>
        <w:rPr>
          <w:color w:val="000000" w:themeColor="text1"/>
          <w:sz w:val="16"/>
          <w:szCs w:val="16"/>
        </w:rPr>
      </w:pPr>
      <w:r w:rsidRPr="00E14102">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4CCBBFAB" w14:textId="77777777" w:rsidR="007F2131" w:rsidRPr="00E14102" w:rsidRDefault="007F2131" w:rsidP="00E14102">
      <w:pPr>
        <w:jc w:val="both"/>
        <w:rPr>
          <w:color w:val="000000" w:themeColor="text1"/>
          <w:sz w:val="16"/>
          <w:szCs w:val="16"/>
        </w:rPr>
      </w:pPr>
      <w:r w:rsidRPr="00E14102">
        <w:rPr>
          <w:color w:val="000000" w:themeColor="text1"/>
          <w:sz w:val="16"/>
          <w:szCs w:val="16"/>
        </w:rPr>
        <w:t xml:space="preserve">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 г. </w:t>
      </w:r>
      <w:hyperlink r:id="rId163" w:history="1">
        <w:r w:rsidRPr="00E14102">
          <w:rPr>
            <w:color w:val="000000" w:themeColor="text1"/>
            <w:sz w:val="16"/>
            <w:szCs w:val="16"/>
          </w:rPr>
          <w:t>[159]</w:t>
        </w:r>
      </w:hyperlink>
      <w:r w:rsidRPr="00E14102">
        <w:rPr>
          <w:color w:val="000000" w:themeColor="text1"/>
          <w:sz w:val="16"/>
          <w:szCs w:val="16"/>
        </w:rPr>
        <w:t xml:space="preserve"> </w:t>
      </w:r>
    </w:p>
    <w:p w14:paraId="3F84E74D" w14:textId="77777777" w:rsidR="007F2131" w:rsidRPr="00E14102" w:rsidRDefault="007F2131" w:rsidP="00E14102">
      <w:pPr>
        <w:jc w:val="both"/>
        <w:rPr>
          <w:color w:val="000000" w:themeColor="text1"/>
          <w:sz w:val="16"/>
          <w:szCs w:val="16"/>
        </w:rPr>
      </w:pPr>
      <w:r w:rsidRPr="00E14102">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68AA4931" w14:textId="77777777" w:rsidR="007F2131" w:rsidRPr="00E14102" w:rsidRDefault="007F2131" w:rsidP="00E14102">
      <w:pPr>
        <w:jc w:val="both"/>
        <w:rPr>
          <w:color w:val="000000" w:themeColor="text1"/>
          <w:sz w:val="16"/>
          <w:szCs w:val="16"/>
        </w:rPr>
      </w:pPr>
      <w:r w:rsidRPr="00E14102">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67C6BCEF" w14:textId="77777777" w:rsidR="007F2131" w:rsidRPr="00E14102" w:rsidRDefault="007F2131" w:rsidP="00E14102">
      <w:pPr>
        <w:jc w:val="both"/>
        <w:rPr>
          <w:color w:val="000000" w:themeColor="text1"/>
          <w:sz w:val="16"/>
          <w:szCs w:val="16"/>
        </w:rPr>
      </w:pPr>
    </w:p>
    <w:p w14:paraId="4E4AF8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июля 1935 В.С.Молоков в ходе арктического перелета на Дорнье-Валь СССР Н-2 достиг Нижнеколымска. Потом летал из Уэлена в районе о Врангеля (99,200).</w:t>
      </w:r>
    </w:p>
    <w:p w14:paraId="2D27C675" w14:textId="77777777" w:rsidR="00D4105E" w:rsidRPr="00E14102" w:rsidRDefault="00D4105E" w:rsidP="00E14102">
      <w:pPr>
        <w:autoSpaceDE w:val="0"/>
        <w:autoSpaceDN w:val="0"/>
        <w:adjustRightInd w:val="0"/>
        <w:jc w:val="both"/>
        <w:rPr>
          <w:color w:val="000000" w:themeColor="text1"/>
          <w:sz w:val="16"/>
          <w:szCs w:val="16"/>
        </w:rPr>
      </w:pPr>
    </w:p>
    <w:p w14:paraId="69F53D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июля 1935 ДВ после небольшого ремонта 28-го вновь вылетели вдоль Енисея на север. Однако, по прибытию в Игарку, вновь стала протекать лодка. На этот раз все подозрительные места замазали цементом, после чего поступление воды прекратилось.</w:t>
      </w:r>
    </w:p>
    <w:p w14:paraId="005211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Еще на пути в Игарку самолет попал в сплошной дождь, который сильно побил тянущий воздушный винт переднего двигателя - имелись даже трещины. Наиболее заметные замазали титанином (шпаклевка), однако для спокойствия решили посоветоваться с оказавшимся здесь механиком Крутским, имеющим большой опыт эксплуатации "Валей". Крутский осмотрел винт и прямо на нем нацарапал - "годен 300 часов". Штепенко по этому поводу заметил - "а подписи не оставил".</w:t>
      </w:r>
    </w:p>
    <w:p w14:paraId="67796E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Наконец 1 августа СССР-Н8 вылетел к месту назначенной дислокации и 2 августа прибыл в бухту Нордвик, расположенную в восточной части моря Лаптевых. В западной части Нор- двика имелось две небольшие бухты - Правда и Пионер. Именно здесь, как и в прошлый год, предстояло базироваться при проведении разведок. Первая стоянка в бухте Правда ознаменовалась налетевшим штормом, который пережидали до 6 августа. Самолет стоял на якорях в наиболее спокойном и глубоком месте, в просторечье именуемом "ямой".</w:t>
      </w:r>
    </w:p>
    <w:p w14:paraId="38A32B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Далее Штепенко записал: "6 августа погода улучшилась, ясное небо, хорошая видимость, остовый ветер 30 км/час, есть барашки. Вывели самолет из ямы, запустили моторы, в зажигании какие-то неисправности, пока возились, погода пошла на ухудшение, с востока надвигается мура, ветер усиливается.</w:t>
      </w:r>
    </w:p>
    <w:p w14:paraId="66BE90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Запустили моторы, пошли от берега, море 5 баллов, самолет был по ветру и ни на малом, ни на среднем газу разворачиваться не хочет, при полном газе зарывается в воду. Выключили моторы и во время дрейфа развернулись против ветра. Быстро запустили моторы, полный газ и... что было... Самолет сразу зарылся носом в воду, и набежавшим валом захлестнуло вместе с гондолой и до выхода на редан 4 вала обрушивались на самолет, заливало кабины, людей и винты. После выхода на редан волной поддало, и самолет раньше времени оказался в воздухе, не имея нужной скорости, медленно оседал, пока следующая волна не подбила его обратно вверх. Таких ударов было три, - взлетели - крепка лодка у Дорнье-Валя".</w:t>
      </w:r>
    </w:p>
    <w:p w14:paraId="37C54F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Попытки вылететь на разведку в течение нескольких дней оказались безуспешными по причине отсутствия погоды. Наконец, вылетели 13-го августа, в 20-ти милях юго-восточнее острова Петра обнаружили "Ермак" с караваном судов. Разведали чистую воду и вывели суда. Вторая разведка состоялась на следующий день. В условиях облачности ледокол обнаружили при помощи пеленгаторной рамки. Штепенко отметил, что дальность обнаружения радиостанции мощностью 1 киловатт составляет 200 км.</w:t>
      </w:r>
    </w:p>
    <w:p w14:paraId="279165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Означенные два полета в сезоне 1935 г. оказались единственными в интересах каравана, ведомого "Ермаком". Все остальные полеты предпринимались в интересах других экспедиций. 26 августа СССР-Н8 вылетел на остров Котельный. Через 1 час 20 минут полета лопнули 2 болта на мотораме кормового мотора, поэтому, не долетая до Котельного, у мыса Баркин- Стан, в 3-х милях от берега пришлось совершить вынужденную посадку. Место оказалось очень мелким, глубина всего 40 сантиметров, 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0FF73B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1AB45A8E" w14:textId="77777777" w:rsidR="00D4105E" w:rsidRPr="00E14102" w:rsidRDefault="00D4105E" w:rsidP="00E14102">
      <w:pPr>
        <w:autoSpaceDE w:val="0"/>
        <w:autoSpaceDN w:val="0"/>
        <w:adjustRightInd w:val="0"/>
        <w:jc w:val="both"/>
        <w:rPr>
          <w:color w:val="000000" w:themeColor="text1"/>
          <w:sz w:val="16"/>
          <w:szCs w:val="16"/>
        </w:rPr>
      </w:pPr>
    </w:p>
    <w:p w14:paraId="1402B44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 июля и 27 сентября 1935 г. под руководством начальника первого отдела РНИИ Ю.А.Победоносцева и начальника первого сектора РНИИ ф Н.Пойды отстреляли ракетные осколочные снаряды РОС-82 модели 110900 при углах возвышения 40° с пускового станка, установленного на лафете горной пушки обр. 1904 г.</w:t>
      </w:r>
    </w:p>
    <w:p w14:paraId="46CA04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РЗ боеприпасов состоял из 35 шашек рецептуры ПТП габаритами 24/6-57,5 мм (из них одна - разрезная). По торцам РЗ были размещены пороховые воспламенители из навесок по 8 г ДРП. Воспламенение было организовано от пиропатронов. Готовые осколки в виде стержней для наполнения БЧ разработчики предпочитали именовать «палочками». Поскольку испытателей не интересовали воздушные разрывы снарядов, в головном очке РС они устанавливали габаритно-весовые макеты дис</w:t>
      </w:r>
      <w:r w:rsidRPr="00E14102">
        <w:rPr>
          <w:color w:val="000000" w:themeColor="text1"/>
          <w:sz w:val="16"/>
          <w:szCs w:val="16"/>
        </w:rPr>
        <w:softHyphen/>
        <w:t>танционных трубок ТМ-4.</w:t>
      </w:r>
    </w:p>
    <w:p w14:paraId="4F0AF3F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Корпуса двигателей 13 снарядов, оставшихся после первой стрельбы, подвергли вторичным гидравлическим испытаниям, а наиболее мягкие по материалу камеры — и огневому испытанию.</w:t>
      </w:r>
    </w:p>
    <w:p w14:paraId="723D30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Выводы: «снаряды третьего варианта дают вполне удовлетворитель</w:t>
      </w:r>
      <w:r w:rsidRPr="00E14102">
        <w:rPr>
          <w:color w:val="000000" w:themeColor="text1"/>
          <w:sz w:val="16"/>
          <w:szCs w:val="16"/>
        </w:rPr>
        <w:softHyphen/>
        <w:t>ную дальность стрельбы. Рассеивание по дальности велико, что можно объяснить наличием БЧ, недостаточно тщательно пригнанных к каме</w:t>
      </w:r>
      <w:r w:rsidRPr="00E14102">
        <w:rPr>
          <w:color w:val="000000" w:themeColor="text1"/>
          <w:sz w:val="16"/>
          <w:szCs w:val="16"/>
        </w:rPr>
        <w:softHyphen/>
        <w:t>рам. Для предотвращения этого, БЧ необходимо фиксировать четырьмя стопорными винтами или пригонять индивидуально» (11402).</w:t>
      </w:r>
    </w:p>
    <w:p w14:paraId="3075CC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22703E9" w14:textId="77777777" w:rsidR="006F4E11"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DCDDD82" w14:textId="77777777" w:rsidR="006F4E11" w:rsidRPr="00E14102" w:rsidRDefault="006F4E11" w:rsidP="00E14102">
      <w:pPr>
        <w:autoSpaceDE w:val="0"/>
        <w:autoSpaceDN w:val="0"/>
        <w:adjustRightInd w:val="0"/>
        <w:jc w:val="both"/>
        <w:rPr>
          <w:iCs/>
          <w:color w:val="000000" w:themeColor="text1"/>
          <w:sz w:val="16"/>
          <w:szCs w:val="16"/>
        </w:rPr>
      </w:pPr>
    </w:p>
    <w:p w14:paraId="7DB79239" w14:textId="77777777" w:rsidR="006F4E11" w:rsidRPr="00E14102" w:rsidRDefault="006F4E11" w:rsidP="00E14102">
      <w:pPr>
        <w:pStyle w:val="rtejustify"/>
        <w:spacing w:before="0" w:after="0"/>
        <w:rPr>
          <w:color w:val="000000" w:themeColor="text1"/>
          <w:sz w:val="16"/>
          <w:szCs w:val="16"/>
        </w:rPr>
      </w:pPr>
      <w:r w:rsidRPr="00E14102">
        <w:rPr>
          <w:rStyle w:val="a6"/>
          <w:bCs/>
          <w:i w:val="0"/>
          <w:color w:val="000000" w:themeColor="text1"/>
          <w:sz w:val="16"/>
          <w:szCs w:val="16"/>
        </w:rPr>
        <w:t>28 июля</w:t>
      </w:r>
      <w:r w:rsidRPr="00E14102">
        <w:rPr>
          <w:color w:val="000000" w:themeColor="text1"/>
          <w:sz w:val="16"/>
          <w:szCs w:val="16"/>
        </w:rPr>
        <w:t>1935 Решение Политбюро № 31. IV. а) О производстве искусственного волокна; б) о развитии целлюлозной промышленности (Чубарь, Пятаков, Розенгольц, Лобов, Любимов, Тухачевский) (ПБ от 2 июля 1935 г., пр. № 29, п. 3е). 10. Вопрос НКО (ПБ от 21 июля 1935 г.). — ОП. 11. О катастрофе самолета ДБ</w:t>
      </w:r>
      <w:r w:rsidRPr="00E14102">
        <w:rPr>
          <w:color w:val="000000" w:themeColor="text1"/>
          <w:sz w:val="16"/>
          <w:szCs w:val="16"/>
        </w:rPr>
        <w:noBreakHyphen/>
        <w:t>2 (ПБ о т21 июля 1935 г.). 14. О катастрофе самолета дальнего полета (ПБ от 21 июля 1935 г.). 30. О заказах в Германии (ПБ от 23 июля 1935 г.). — ОП. 97. О работе Всесоюзного авиационного научного инженерно-технического общества (ПБ от 26 июля 1935 г.). 108. б) Вопрос НКО (ПБ от 25 сентября 1934 г., пр. № 15, п. 3), (ПБ от 26 июля 1935 г.). (Политбюро ЦК РКП(б)-ВКП(Б). Повестки дня заседаний. 1919</w:t>
      </w:r>
      <w:r w:rsidRPr="00E14102">
        <w:rPr>
          <w:color w:val="000000" w:themeColor="text1"/>
          <w:sz w:val="16"/>
          <w:szCs w:val="16"/>
        </w:rPr>
        <w:noBreakHyphen/>
        <w:t>1952: Каталог / Т. 2. С. 673, 674, 677; РГАСПИ. Ф. 17. Оп. 162. Д. 18. Л. 96, 98</w:t>
      </w:r>
      <w:r w:rsidRPr="00E14102">
        <w:rPr>
          <w:color w:val="000000" w:themeColor="text1"/>
          <w:sz w:val="16"/>
          <w:szCs w:val="16"/>
        </w:rPr>
        <w:noBreakHyphen/>
        <w:t>99) (15462).</w:t>
      </w:r>
    </w:p>
    <w:p w14:paraId="06719849" w14:textId="77777777" w:rsidR="006F4E11" w:rsidRPr="00E14102" w:rsidRDefault="006F4E11" w:rsidP="00E14102">
      <w:pPr>
        <w:pStyle w:val="rtejustify"/>
        <w:spacing w:before="0" w:after="0"/>
        <w:rPr>
          <w:color w:val="000000" w:themeColor="text1"/>
          <w:sz w:val="16"/>
          <w:szCs w:val="16"/>
        </w:rPr>
      </w:pPr>
    </w:p>
    <w:p w14:paraId="4EEBDA7F" w14:textId="77777777" w:rsidR="006F4E11"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lastRenderedPageBreak/>
        <w:t>Армия:</w:t>
      </w:r>
    </w:p>
    <w:p w14:paraId="492A19E5" w14:textId="77777777" w:rsidR="006F4E11" w:rsidRPr="00E14102" w:rsidRDefault="006F4E11" w:rsidP="00E14102">
      <w:pPr>
        <w:autoSpaceDE w:val="0"/>
        <w:autoSpaceDN w:val="0"/>
        <w:adjustRightInd w:val="0"/>
        <w:jc w:val="both"/>
        <w:rPr>
          <w:iCs/>
          <w:color w:val="000000" w:themeColor="text1"/>
          <w:sz w:val="16"/>
          <w:szCs w:val="16"/>
        </w:rPr>
      </w:pPr>
    </w:p>
    <w:p w14:paraId="6F304546" w14:textId="77777777" w:rsidR="006F4E11" w:rsidRPr="00E14102" w:rsidRDefault="006F4E11" w:rsidP="00E14102">
      <w:pPr>
        <w:jc w:val="both"/>
        <w:rPr>
          <w:color w:val="000000" w:themeColor="text1"/>
          <w:sz w:val="16"/>
          <w:szCs w:val="16"/>
        </w:rPr>
      </w:pPr>
      <w:r w:rsidRPr="00E14102">
        <w:rPr>
          <w:color w:val="000000" w:themeColor="text1"/>
          <w:sz w:val="16"/>
          <w:szCs w:val="16"/>
        </w:rPr>
        <w:t>28 июля 1935 г. приказ И.Э. Якира № 0125 об итогах проверки Конотоп</w:t>
      </w:r>
      <w:r w:rsidRPr="00E14102">
        <w:rPr>
          <w:color w:val="000000" w:themeColor="text1"/>
          <w:sz w:val="16"/>
          <w:szCs w:val="16"/>
        </w:rPr>
        <w:softHyphen/>
        <w:t>ской абр, констатиоовал: «Общим недостатком для всех частей» «является некультурность и неграмотность обслуживания самолётов» (доходило до того, что всасывающие патрубки карбюратора оставляли забитыми грязью); немногим лучше обстояли тогда дела и в Киевской бригаде: «нет должной культуры в работе тех</w:t>
      </w:r>
      <w:r w:rsidRPr="00E14102">
        <w:rPr>
          <w:color w:val="000000" w:themeColor="text1"/>
          <w:sz w:val="16"/>
          <w:szCs w:val="16"/>
        </w:rPr>
        <w:softHyphen/>
        <w:t>нического] состава». В Конотопской абр также «совершенно неудовлетворительно» ра</w:t>
      </w:r>
      <w:r w:rsidRPr="00E14102">
        <w:rPr>
          <w:color w:val="000000" w:themeColor="text1"/>
          <w:sz w:val="16"/>
          <w:szCs w:val="16"/>
        </w:rPr>
        <w:softHyphen/>
        <w:t>ботали, производя некачественный ремонт, авиамастерские. Та же картина оставалась там и в марте 1937 г.: из 13 самолётов, осмотренных комиссией УВВС РККА, 12 имели дефекты монтажа</w:t>
      </w:r>
      <w:r w:rsidRPr="00E14102">
        <w:rPr>
          <w:color w:val="000000" w:themeColor="text1"/>
          <w:sz w:val="16"/>
          <w:szCs w:val="16"/>
          <w:vertAlign w:val="superscript"/>
        </w:rPr>
        <w:t>41</w:t>
      </w:r>
      <w:r w:rsidRPr="00E14102">
        <w:rPr>
          <w:color w:val="000000" w:themeColor="text1"/>
          <w:sz w:val="16"/>
          <w:szCs w:val="16"/>
        </w:rPr>
        <w:t>. Плохую подготовку Р-5 к полётам и в марте, и в июле 1937 г. выяв</w:t>
      </w:r>
      <w:r w:rsidRPr="00E14102">
        <w:rPr>
          <w:color w:val="000000" w:themeColor="text1"/>
          <w:sz w:val="16"/>
          <w:szCs w:val="16"/>
        </w:rPr>
        <w:softHyphen/>
        <w:t>ляли и в Витебской абр (15803).</w:t>
      </w:r>
    </w:p>
    <w:p w14:paraId="29DE7B87" w14:textId="77777777" w:rsidR="006F4E11" w:rsidRPr="00E14102" w:rsidRDefault="006F4E11" w:rsidP="00E14102">
      <w:pPr>
        <w:jc w:val="both"/>
        <w:rPr>
          <w:color w:val="000000" w:themeColor="text1"/>
          <w:sz w:val="16"/>
          <w:szCs w:val="16"/>
        </w:rPr>
      </w:pPr>
    </w:p>
    <w:p w14:paraId="5735AF80" w14:textId="77777777" w:rsidR="006F4E11" w:rsidRPr="00E14102" w:rsidRDefault="006F4E11" w:rsidP="00E14102">
      <w:pPr>
        <w:jc w:val="both"/>
        <w:rPr>
          <w:color w:val="000000" w:themeColor="text1"/>
          <w:sz w:val="16"/>
          <w:szCs w:val="16"/>
        </w:rPr>
      </w:pPr>
      <w:r w:rsidRPr="00E14102">
        <w:rPr>
          <w:rStyle w:val="0pt0"/>
          <w:rFonts w:eastAsia="Arial"/>
          <w:b w:val="0"/>
          <w:color w:val="000000" w:themeColor="text1"/>
          <w:spacing w:val="0"/>
          <w:sz w:val="16"/>
          <w:szCs w:val="16"/>
        </w:rPr>
        <w:t>28</w:t>
      </w:r>
      <w:r w:rsidRPr="00E14102">
        <w:rPr>
          <w:color w:val="000000" w:themeColor="text1"/>
          <w:sz w:val="16"/>
          <w:szCs w:val="16"/>
        </w:rPr>
        <w:t xml:space="preserve"> июля 1935 г. в приказе И.Э. Якира № 0125 об итогах проверки 14-17 июля комиссией Ф.А. Ингауниса боевой под</w:t>
      </w:r>
      <w:r w:rsidRPr="00E14102">
        <w:rPr>
          <w:color w:val="000000" w:themeColor="text1"/>
          <w:sz w:val="16"/>
          <w:szCs w:val="16"/>
        </w:rPr>
        <w:softHyphen/>
        <w:t>готовки Конотопской абр (т.е. всей легкобомбардировочной авиации КВО) констатировалось, что «Бомбардировочная подготовка также на</w:t>
      </w:r>
      <w:r w:rsidRPr="00E14102">
        <w:rPr>
          <w:color w:val="000000" w:themeColor="text1"/>
          <w:sz w:val="16"/>
          <w:szCs w:val="16"/>
        </w:rPr>
        <w:softHyphen/>
        <w:t xml:space="preserve">ходится не на высоком уровне». Правда, при бомбометании с низких высот одно из двух проверенных звеньев (из 19-й лбаэ) показало отличный, а другое — удовлетворительный результат. Но с высотным бомбометанием — проверявшимся в четырёх звеньях 20-й и 21-й лбаэ — даже собранйые в этих подразделениях лучшие бомбардиры справились так, что три звена получили «неуд» (и </w:t>
      </w:r>
      <w:bookmarkStart w:id="25" w:name="bookmark30"/>
      <w:r w:rsidRPr="00E14102">
        <w:rPr>
          <w:color w:val="000000" w:themeColor="text1"/>
          <w:sz w:val="16"/>
          <w:szCs w:val="16"/>
        </w:rPr>
        <w:t>одно отбом</w:t>
      </w:r>
      <w:bookmarkEnd w:id="25"/>
      <w:r w:rsidRPr="00E14102">
        <w:rPr>
          <w:color w:val="000000" w:themeColor="text1"/>
          <w:sz w:val="16"/>
          <w:szCs w:val="16"/>
        </w:rPr>
        <w:t>билось на «хорошо) (15803).</w:t>
      </w:r>
    </w:p>
    <w:p w14:paraId="419AA9F3" w14:textId="77777777" w:rsidR="006F4E11" w:rsidRPr="00E14102" w:rsidRDefault="006F4E11" w:rsidP="00E14102">
      <w:pPr>
        <w:jc w:val="both"/>
        <w:rPr>
          <w:color w:val="000000" w:themeColor="text1"/>
          <w:sz w:val="16"/>
          <w:szCs w:val="16"/>
        </w:rPr>
      </w:pPr>
    </w:p>
    <w:p w14:paraId="6576B10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57367DD" w14:textId="77777777" w:rsidR="00D4105E" w:rsidRPr="00E14102" w:rsidRDefault="00D4105E" w:rsidP="00E14102">
      <w:pPr>
        <w:autoSpaceDE w:val="0"/>
        <w:autoSpaceDN w:val="0"/>
        <w:adjustRightInd w:val="0"/>
        <w:jc w:val="both"/>
        <w:rPr>
          <w:iCs/>
          <w:color w:val="000000" w:themeColor="text1"/>
          <w:sz w:val="16"/>
          <w:szCs w:val="16"/>
        </w:rPr>
      </w:pPr>
    </w:p>
    <w:p w14:paraId="076453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июля 1935 года опытный образец "модели 299" - прообраз Летающей крепости - совершил свой первый полет (3457,112).</w:t>
      </w:r>
    </w:p>
    <w:p w14:paraId="2EF12EAE" w14:textId="77777777" w:rsidR="00D4105E" w:rsidRPr="00E14102" w:rsidRDefault="00D4105E" w:rsidP="00E14102">
      <w:pPr>
        <w:autoSpaceDE w:val="0"/>
        <w:autoSpaceDN w:val="0"/>
        <w:adjustRightInd w:val="0"/>
        <w:jc w:val="both"/>
        <w:rPr>
          <w:color w:val="000000" w:themeColor="text1"/>
          <w:sz w:val="16"/>
          <w:szCs w:val="16"/>
        </w:rPr>
      </w:pPr>
    </w:p>
    <w:p w14:paraId="75989F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июля 1935 состоялся первый полет В-17 (173,280). Это был самолет Модель-299 (2274).</w:t>
      </w:r>
    </w:p>
    <w:p w14:paraId="7B2441DC" w14:textId="77777777" w:rsidR="00D4105E" w:rsidRPr="00E14102" w:rsidRDefault="00D4105E" w:rsidP="00E14102">
      <w:pPr>
        <w:autoSpaceDE w:val="0"/>
        <w:autoSpaceDN w:val="0"/>
        <w:adjustRightInd w:val="0"/>
        <w:jc w:val="both"/>
        <w:rPr>
          <w:color w:val="000000" w:themeColor="text1"/>
          <w:sz w:val="16"/>
          <w:szCs w:val="16"/>
        </w:rPr>
      </w:pPr>
    </w:p>
    <w:p w14:paraId="38FF7C8C" w14:textId="77777777" w:rsidR="006F4E11" w:rsidRPr="00E14102" w:rsidRDefault="006F4E11" w:rsidP="00E14102">
      <w:pPr>
        <w:jc w:val="both"/>
        <w:rPr>
          <w:color w:val="000000" w:themeColor="text1"/>
          <w:sz w:val="16"/>
          <w:szCs w:val="16"/>
        </w:rPr>
      </w:pPr>
      <w:r w:rsidRPr="00E14102">
        <w:rPr>
          <w:color w:val="000000" w:themeColor="text1"/>
          <w:sz w:val="16"/>
          <w:szCs w:val="16"/>
        </w:rPr>
        <w:t xml:space="preserve">28 июля в 1935 году в США в Сиэтле первый полет опытного самолета «Boeing» «модель 299» - прототипа бомбардировщика </w:t>
      </w:r>
      <w:hyperlink r:id="rId164" w:tgtFrame="_blank" w:history="1">
        <w:r w:rsidRPr="00E14102">
          <w:rPr>
            <w:color w:val="000000" w:themeColor="text1"/>
            <w:sz w:val="16"/>
            <w:szCs w:val="16"/>
          </w:rPr>
          <w:t xml:space="preserve">«В-17» «Флаинг Фортресс» </w:t>
        </w:r>
      </w:hyperlink>
      <w:r w:rsidRPr="00E14102">
        <w:rPr>
          <w:color w:val="000000" w:themeColor="text1"/>
          <w:sz w:val="16"/>
          <w:szCs w:val="16"/>
        </w:rPr>
        <w:t>с под управлением летчика-испытателя компании «Boeing» Лесли Тауэра (Leslie R. Tower). Оборонительное вооружение «В-17» включало до 12 пулеметов. Согласно легенде, репортер Ричард Уилльямс (Richard Williams) из газеты «Seattle Daily Times», впервые видевший «Model 299», воскликнул: "Да ведь это летающая крепость!". Прозвище «Flying Fortress» прикрепилось к «В-17» навсегда. Он выполнял крейсерский полет при скорости 481 км/ч, имея бомбовую нагрузку почти 5,8 т (14966).</w:t>
      </w:r>
    </w:p>
    <w:p w14:paraId="3C59E8CB" w14:textId="77777777" w:rsidR="006F4E11" w:rsidRPr="00E14102" w:rsidRDefault="006F4E11" w:rsidP="00E14102">
      <w:pPr>
        <w:jc w:val="both"/>
        <w:rPr>
          <w:color w:val="000000" w:themeColor="text1"/>
          <w:sz w:val="16"/>
          <w:szCs w:val="16"/>
        </w:rPr>
      </w:pPr>
    </w:p>
    <w:p w14:paraId="604476BB" w14:textId="77777777" w:rsidR="006F4E11" w:rsidRPr="00E14102" w:rsidRDefault="006F4E11" w:rsidP="00E14102">
      <w:pPr>
        <w:jc w:val="both"/>
        <w:rPr>
          <w:color w:val="000000" w:themeColor="text1"/>
          <w:sz w:val="16"/>
          <w:szCs w:val="16"/>
        </w:rPr>
      </w:pPr>
      <w:r w:rsidRPr="00E14102">
        <w:rPr>
          <w:color w:val="000000" w:themeColor="text1"/>
          <w:sz w:val="16"/>
          <w:szCs w:val="16"/>
        </w:rPr>
        <w:t>28 июля 1935, г. в воздух поднялся бомбардировщик нового поколения, ко</w:t>
      </w:r>
      <w:r w:rsidRPr="00E14102">
        <w:rPr>
          <w:color w:val="000000" w:themeColor="text1"/>
          <w:sz w:val="16"/>
          <w:szCs w:val="16"/>
        </w:rPr>
        <w:softHyphen/>
        <w:t>торый журналист газеты «Сиэтл тайме», присутствовавший на официальном по</w:t>
      </w:r>
      <w:r w:rsidRPr="00E14102">
        <w:rPr>
          <w:color w:val="000000" w:themeColor="text1"/>
          <w:sz w:val="16"/>
          <w:szCs w:val="16"/>
        </w:rPr>
        <w:softHyphen/>
        <w:t>казе нового самолета, в шутку окрестил «Летающей крепостью». И это на всю жизнь закрепилось за самолетом (15772).</w:t>
      </w:r>
    </w:p>
    <w:p w14:paraId="3D8BCC9C" w14:textId="77777777" w:rsidR="006F4E11" w:rsidRPr="00E14102" w:rsidRDefault="006F4E11" w:rsidP="00E14102">
      <w:pPr>
        <w:jc w:val="both"/>
        <w:rPr>
          <w:color w:val="000000" w:themeColor="text1"/>
          <w:sz w:val="16"/>
          <w:szCs w:val="16"/>
        </w:rPr>
      </w:pPr>
    </w:p>
    <w:p w14:paraId="4B02DDB1" w14:textId="77777777" w:rsidR="00203C11" w:rsidRPr="00E14102" w:rsidRDefault="00203C11" w:rsidP="00E14102">
      <w:pPr>
        <w:jc w:val="both"/>
        <w:rPr>
          <w:color w:val="0070C0"/>
          <w:sz w:val="16"/>
          <w:szCs w:val="16"/>
        </w:rPr>
      </w:pPr>
      <w:r w:rsidRPr="00E14102">
        <w:rPr>
          <w:color w:val="0070C0"/>
          <w:sz w:val="16"/>
          <w:szCs w:val="16"/>
        </w:rPr>
        <w:t>28 июля 1935 года — первый полёт тяжёлого бомбардировщика Boeing B-17 Flying Fortress. /США/</w:t>
      </w:r>
    </w:p>
    <w:p w14:paraId="47FF9D4D" w14:textId="77777777" w:rsidR="00203C11" w:rsidRPr="00E14102" w:rsidRDefault="00203C11" w:rsidP="00E14102">
      <w:pPr>
        <w:jc w:val="both"/>
        <w:rPr>
          <w:color w:val="0070C0"/>
          <w:sz w:val="16"/>
          <w:szCs w:val="16"/>
        </w:rPr>
      </w:pPr>
      <w:r w:rsidRPr="00E14102">
        <w:rPr>
          <w:color w:val="0070C0"/>
          <w:sz w:val="16"/>
          <w:szCs w:val="16"/>
        </w:rPr>
        <w:t>В 1934 году фирма Boeing начала разработку бомбардировщика на конкурс Воздушного корпуса армии США. Её</w:t>
      </w:r>
      <w:r w:rsidRPr="00E14102">
        <w:rPr>
          <w:color w:val="0070C0"/>
          <w:sz w:val="16"/>
          <w:szCs w:val="16"/>
          <w:lang w:val="en-US"/>
        </w:rPr>
        <w:t xml:space="preserve"> </w:t>
      </w:r>
      <w:r w:rsidRPr="00E14102">
        <w:rPr>
          <w:color w:val="0070C0"/>
          <w:sz w:val="16"/>
          <w:szCs w:val="16"/>
        </w:rPr>
        <w:t>соперниками</w:t>
      </w:r>
      <w:r w:rsidRPr="00E14102">
        <w:rPr>
          <w:color w:val="0070C0"/>
          <w:sz w:val="16"/>
          <w:szCs w:val="16"/>
          <w:lang w:val="en-US"/>
        </w:rPr>
        <w:t xml:space="preserve"> </w:t>
      </w:r>
      <w:r w:rsidRPr="00E14102">
        <w:rPr>
          <w:color w:val="0070C0"/>
          <w:sz w:val="16"/>
          <w:szCs w:val="16"/>
        </w:rPr>
        <w:t>были</w:t>
      </w:r>
      <w:r w:rsidRPr="00E14102">
        <w:rPr>
          <w:color w:val="0070C0"/>
          <w:sz w:val="16"/>
          <w:szCs w:val="16"/>
          <w:lang w:val="en-US"/>
        </w:rPr>
        <w:t xml:space="preserve"> Douglas Aircraft </w:t>
      </w:r>
      <w:r w:rsidRPr="00E14102">
        <w:rPr>
          <w:color w:val="0070C0"/>
          <w:sz w:val="16"/>
          <w:szCs w:val="16"/>
        </w:rPr>
        <w:t>и</w:t>
      </w:r>
      <w:r w:rsidRPr="00E14102">
        <w:rPr>
          <w:color w:val="0070C0"/>
          <w:sz w:val="16"/>
          <w:szCs w:val="16"/>
          <w:lang w:val="en-US"/>
        </w:rPr>
        <w:t xml:space="preserve"> Glenn L. Martin Company. </w:t>
      </w:r>
      <w:r w:rsidRPr="00E14102">
        <w:rPr>
          <w:color w:val="0070C0"/>
          <w:sz w:val="16"/>
          <w:szCs w:val="16"/>
        </w:rPr>
        <w:t>Прототип будущей «Летающей крепости» — Model 299 (XB-17) — построили всего за 1 год.</w:t>
      </w:r>
    </w:p>
    <w:p w14:paraId="3442702F" w14:textId="77777777" w:rsidR="00203C11" w:rsidRPr="00E14102" w:rsidRDefault="00203C11" w:rsidP="00E14102">
      <w:pPr>
        <w:jc w:val="both"/>
        <w:rPr>
          <w:color w:val="0070C0"/>
          <w:sz w:val="16"/>
          <w:szCs w:val="16"/>
        </w:rPr>
      </w:pPr>
      <w:r w:rsidRPr="00E14102">
        <w:rPr>
          <w:color w:val="0070C0"/>
          <w:sz w:val="16"/>
          <w:szCs w:val="16"/>
        </w:rPr>
        <w:t>B-17 представляет собой цельнометаллический четырёхмоторный среднеплан. Максимальная скорость — до 462 км/ч при дальности полёта в 3219 км на высоте 10 850 метров. Брал на борт от 2000 до 3600 кг бомб. Оборонительное вооружение состояло из 13 × 12,7-мм пулемётов M2 Browning.</w:t>
      </w:r>
    </w:p>
    <w:p w14:paraId="73D69369" w14:textId="77777777" w:rsidR="00203C11" w:rsidRPr="00E14102" w:rsidRDefault="00203C11" w:rsidP="00E14102">
      <w:pPr>
        <w:jc w:val="both"/>
        <w:rPr>
          <w:color w:val="0070C0"/>
          <w:sz w:val="16"/>
          <w:szCs w:val="16"/>
        </w:rPr>
      </w:pPr>
      <w:r w:rsidRPr="00E14102">
        <w:rPr>
          <w:color w:val="0070C0"/>
          <w:sz w:val="16"/>
          <w:szCs w:val="16"/>
          <w:lang w:val="en-US"/>
        </w:rPr>
        <w:t xml:space="preserve">Flying Fortress </w:t>
      </w:r>
      <w:r w:rsidRPr="00E14102">
        <w:rPr>
          <w:color w:val="0070C0"/>
          <w:sz w:val="16"/>
          <w:szCs w:val="16"/>
        </w:rPr>
        <w:t>проиграл</w:t>
      </w:r>
      <w:r w:rsidRPr="00E14102">
        <w:rPr>
          <w:color w:val="0070C0"/>
          <w:sz w:val="16"/>
          <w:szCs w:val="16"/>
          <w:lang w:val="en-US"/>
        </w:rPr>
        <w:t xml:space="preserve"> </w:t>
      </w:r>
      <w:r w:rsidRPr="00E14102">
        <w:rPr>
          <w:color w:val="0070C0"/>
          <w:sz w:val="16"/>
          <w:szCs w:val="16"/>
        </w:rPr>
        <w:t>в</w:t>
      </w:r>
      <w:r w:rsidRPr="00E14102">
        <w:rPr>
          <w:color w:val="0070C0"/>
          <w:sz w:val="16"/>
          <w:szCs w:val="16"/>
          <w:lang w:val="en-US"/>
        </w:rPr>
        <w:t xml:space="preserve"> </w:t>
      </w:r>
      <w:r w:rsidRPr="00E14102">
        <w:rPr>
          <w:color w:val="0070C0"/>
          <w:sz w:val="16"/>
          <w:szCs w:val="16"/>
        </w:rPr>
        <w:t>конкурсе</w:t>
      </w:r>
      <w:r w:rsidRPr="00E14102">
        <w:rPr>
          <w:color w:val="0070C0"/>
          <w:sz w:val="16"/>
          <w:szCs w:val="16"/>
          <w:lang w:val="en-US"/>
        </w:rPr>
        <w:t xml:space="preserve"> Douglas B-18 Bolo. </w:t>
      </w:r>
      <w:r w:rsidRPr="00E14102">
        <w:rPr>
          <w:color w:val="0070C0"/>
          <w:sz w:val="16"/>
          <w:szCs w:val="16"/>
        </w:rPr>
        <w:t>Но после ряда доработок бомбардировщик Boeing затмит победителя. Всего выпущено внушительные 12 731 единица Boeing B-17. Кроме США использовался ВВС 15 стран мира. Активно применялся в годы Второй мировой войны. Сегодня в мире осталось 9 «Летающих крепостей» в лётном состоянии (22300).</w:t>
      </w:r>
    </w:p>
    <w:p w14:paraId="09E22945" w14:textId="77777777" w:rsidR="00203C11" w:rsidRPr="00E14102" w:rsidRDefault="00203C11" w:rsidP="00E14102">
      <w:pPr>
        <w:jc w:val="both"/>
        <w:rPr>
          <w:color w:val="0070C0"/>
          <w:sz w:val="16"/>
          <w:szCs w:val="16"/>
        </w:rPr>
      </w:pPr>
    </w:p>
    <w:p w14:paraId="4455F4F0" w14:textId="77777777" w:rsidR="00203C11" w:rsidRPr="00E14102" w:rsidRDefault="00203C11" w:rsidP="00E14102">
      <w:pPr>
        <w:jc w:val="both"/>
        <w:rPr>
          <w:color w:val="0070C0"/>
          <w:sz w:val="16"/>
          <w:szCs w:val="16"/>
        </w:rPr>
      </w:pPr>
      <w:r w:rsidRPr="00E14102">
        <w:rPr>
          <w:color w:val="0070C0"/>
          <w:sz w:val="16"/>
          <w:szCs w:val="16"/>
        </w:rPr>
        <w:t>28 июля 1935 г. после интенсивных наземных испытаний в течение 10 дней экипаж испытательной службы фирмы «Боинг» под командованием Л. Тауэра (Leslie “Les” Ralph Tower) совершил первый полет вокруг заводского аэродрома и приступил к выполнению программы ЗИ Боинг Модель 299 (Model X-299, B-299, “XB-17”, “Multiengine Bomber”, “aerial battle-cruiser", "flying fortress”, зав. № 1963, рег. № ВВС 35-X-13372) 1-й опытный. Программа ЗИ также шла чрезвычайно интенсивно. По отчету фирмы «Боинг» существенных недостатков самолета выявлено не было.</w:t>
      </w:r>
    </w:p>
    <w:p w14:paraId="30A26FDC" w14:textId="77777777" w:rsidR="00203C11" w:rsidRPr="00E14102" w:rsidRDefault="00203C11" w:rsidP="00E14102">
      <w:pPr>
        <w:jc w:val="both"/>
        <w:rPr>
          <w:color w:val="0070C0"/>
          <w:sz w:val="16"/>
          <w:szCs w:val="16"/>
        </w:rPr>
      </w:pPr>
      <w:r w:rsidRPr="00E14102">
        <w:rPr>
          <w:color w:val="0070C0"/>
          <w:sz w:val="16"/>
          <w:szCs w:val="16"/>
        </w:rPr>
        <w:t>Самолет был представлен на официальные испытания под обозначением Boeing Model X-299, которое по действующим правилам было изменено заказчиком на B-299 (Boeing Bomber Model 299). Уже в этот период начало применяться и обозначение “XB-17”, но хотя оно прослеживается даже в некоторых документах, официальным не являлось (23158).</w:t>
      </w:r>
    </w:p>
    <w:p w14:paraId="62AA0823" w14:textId="77777777" w:rsidR="00203C11" w:rsidRPr="00E14102" w:rsidRDefault="00203C11" w:rsidP="00E14102">
      <w:pPr>
        <w:jc w:val="both"/>
        <w:rPr>
          <w:color w:val="0070C0"/>
          <w:sz w:val="16"/>
          <w:szCs w:val="16"/>
        </w:rPr>
      </w:pPr>
    </w:p>
    <w:p w14:paraId="37354CF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2D7A1B0" w14:textId="77777777" w:rsidR="00D4105E" w:rsidRPr="00E14102" w:rsidRDefault="00D4105E" w:rsidP="00E14102">
      <w:pPr>
        <w:autoSpaceDE w:val="0"/>
        <w:autoSpaceDN w:val="0"/>
        <w:adjustRightInd w:val="0"/>
        <w:jc w:val="both"/>
        <w:rPr>
          <w:iCs/>
          <w:color w:val="000000" w:themeColor="text1"/>
          <w:sz w:val="16"/>
          <w:szCs w:val="16"/>
        </w:rPr>
      </w:pPr>
    </w:p>
    <w:p w14:paraId="7562A89D"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r w:rsidRPr="00E14102">
        <w:rPr>
          <w:color w:val="000000" w:themeColor="text1"/>
          <w:sz w:val="16"/>
          <w:szCs w:val="16"/>
        </w:rPr>
        <w:t>29 июля 1935 был подготовлен проект:</w:t>
      </w:r>
    </w:p>
    <w:p w14:paraId="64EB7A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ПОСТАНОВЛЕНИЕ СОВЕТА ТРУДА И ОБОРОНЫ СОЮЗА С.С.Р.</w:t>
      </w:r>
    </w:p>
    <w:p w14:paraId="38C3CCD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 ПОСТРОЙКЕ ДАЛЬНЕГО БОМБАРДИРОВЩИКА ДБ-2.</w:t>
      </w:r>
    </w:p>
    <w:p w14:paraId="4A96EF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Утвердить предложение ГУМГа о постройке, дальнего бомбарди</w:t>
      </w:r>
      <w:r w:rsidRPr="00E14102">
        <w:rPr>
          <w:color w:val="000000" w:themeColor="text1"/>
          <w:sz w:val="16"/>
          <w:szCs w:val="16"/>
        </w:rPr>
        <w:softHyphen/>
        <w:t>ровщика ДБ-2 - 2Е14, взамен потерпевшего катастрофу при испытании 20 июля, внеся в самолет необходимые изменешя. Срок окончания построики - 1 марта 1936 года.</w:t>
      </w:r>
    </w:p>
    <w:p w14:paraId="1B5D01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Предложить ГУАП"у, одновременно с постройкой эталона ЦАГИ, вмвесто старого типа, развернуть подготовку к постройке головной серии нвого типа самолета ДБ-2 в количестве 5 штук для войсковых испытаний.</w:t>
      </w:r>
    </w:p>
    <w:p w14:paraId="5A083A1F"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r w:rsidRPr="00E14102">
        <w:rPr>
          <w:color w:val="000000" w:themeColor="text1"/>
          <w:sz w:val="16"/>
          <w:szCs w:val="16"/>
        </w:rPr>
        <w:t>3. Отпустить ГУАП'у в текущем году из резервного фонда СНК на выполнение данного задания - 2,5 мил. рублей, из них ЦАГИ - 1,8 мил. и заводу № 18 - 700 тыс. руб (4256,20).</w:t>
      </w:r>
    </w:p>
    <w:p w14:paraId="08AA8BDC"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p>
    <w:p w14:paraId="11C42D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июля 1935 года Алкснис писал письмо N 40/001544 в СТО Базилевичу и наркому обороны.</w:t>
      </w:r>
    </w:p>
    <w:p w14:paraId="2E05B7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исполнение постановления КО от 19.07. с.г. при сем представляю согласованный с начальником ГУАП Королевым проект постановления СТО "О мероприятиях по устранению дефектов в конструкции самолета СБ". (3104,141).</w:t>
      </w:r>
    </w:p>
    <w:p w14:paraId="2C6E72EA" w14:textId="77777777" w:rsidR="00D4105E" w:rsidRPr="00E14102" w:rsidRDefault="00D4105E" w:rsidP="00E14102">
      <w:pPr>
        <w:autoSpaceDE w:val="0"/>
        <w:autoSpaceDN w:val="0"/>
        <w:adjustRightInd w:val="0"/>
        <w:jc w:val="both"/>
        <w:rPr>
          <w:color w:val="000000" w:themeColor="text1"/>
          <w:sz w:val="16"/>
          <w:szCs w:val="16"/>
        </w:rPr>
      </w:pPr>
    </w:p>
    <w:p w14:paraId="243B57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июля 1935 в НИИ ВВС закончились гос. испытания доработанных машин ХАИ-1ВВ N 3211 и 44301 43 завода, которые проходили с 8 июня 1935. Летали И.П.Белозеров и П.М.Стефановский. Устранили основные замечания по машинам 1934, а на машине 44301 заменили шасси и вместо баллонных без тормозов поставили обычные тормозные. Прошли нормально. 3211 передали в Харьков для устранения дефектов и хотели предъявить повторно к 1 сентября 1935, а 44301 - переоборудовали и использовали как учебную в Академии ВВС РККА. Потом 3211 препарировали и разместили в ХАИ как учебное пособие (1148,29).</w:t>
      </w:r>
    </w:p>
    <w:p w14:paraId="138916A1" w14:textId="77777777" w:rsidR="00D4105E" w:rsidRPr="00E14102" w:rsidRDefault="00D4105E" w:rsidP="00E14102">
      <w:pPr>
        <w:autoSpaceDE w:val="0"/>
        <w:autoSpaceDN w:val="0"/>
        <w:adjustRightInd w:val="0"/>
        <w:jc w:val="both"/>
        <w:rPr>
          <w:color w:val="000000" w:themeColor="text1"/>
          <w:sz w:val="16"/>
          <w:szCs w:val="16"/>
        </w:rPr>
      </w:pPr>
    </w:p>
    <w:p w14:paraId="0D35C8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 июля 1935 года закончились гос. испытания самолета ХАИ-1(в) (вооруженный вариант) с измененной конструкцией бомбардировочного вооружения, которые проходили с 8 июня 1935 (6817).</w:t>
      </w:r>
    </w:p>
    <w:p w14:paraId="636BD1E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3A611FE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Белозеров И.П.</w:t>
      </w:r>
    </w:p>
    <w:p w14:paraId="3B12B51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57BA261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возможности использования самолета с измененной конструкцией бомбардировочного вооружения в качестве легкого бомбардировщика.</w:t>
      </w:r>
    </w:p>
    <w:p w14:paraId="1B535DE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летных и тактических данных самолета и сравнение их с данными предыдущих испытаний.</w:t>
      </w:r>
    </w:p>
    <w:p w14:paraId="684626D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Возможность использования самолета в качестве учебной лаборатории – школах летнабов в Академии ВС.</w:t>
      </w:r>
    </w:p>
    <w:p w14:paraId="664C90E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Эксплуатационные испытания.</w:t>
      </w:r>
    </w:p>
    <w:p w14:paraId="225F810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4E5A93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ХАИ-1(в), обладая хорошими летными данными: большой горизонтальной скоростью и достаточным потолком (со старым мотором М-22, освоенным нашей авиапромышленностью), при хороших эксплуатационных качествах (за исключением дефектов указанных в сводке испытаний), может быть использован в качестве скоростного учебного бомбардировщика в школах и строевых частях для обучения летнабов и штурманов бомбометанию с больших высот и на больших скоростях, а также для изучения вопросов боевого применения высотных и скоростных самолетов-бомбардировщиков.</w:t>
      </w:r>
    </w:p>
    <w:p w14:paraId="399A256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ХАИ-1(в) гос. испытания по бомбардировочному вооружению выдержал.</w:t>
      </w:r>
    </w:p>
    <w:p w14:paraId="6999F2F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Основным недостатком самолета ХАИ-1 (вооруженный вариант) является недостаточность огня задней огневой точки, не обеспечивающей надежной защиты задней полусферы, даже при групповом полете.</w:t>
      </w:r>
    </w:p>
    <w:p w14:paraId="520B45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p w14:paraId="157FA3E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Дневник проведения испытаний самолета ХАИ-1(в).</w:t>
      </w:r>
    </w:p>
    <w:p w14:paraId="5CC098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Самолет ХАИ-1(в) № 3211</w:t>
      </w:r>
    </w:p>
    <w:p w14:paraId="63A2C6E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 июня 1935 года</w:t>
      </w:r>
    </w:p>
    <w:p w14:paraId="76B5B4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Осмотр самолета. Ознакомление с результатами испытаний самолета в 1933-34 годах и в 1934 году.</w:t>
      </w:r>
    </w:p>
    <w:p w14:paraId="33D20D9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Вылет самостоятельно на нем инженера-летчика Белозерова – 3 полета – 45 мин.</w:t>
      </w:r>
    </w:p>
    <w:p w14:paraId="1C6129C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июня 1935 года</w:t>
      </w:r>
    </w:p>
    <w:p w14:paraId="568BDCA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на растряску бомб АФ-50 – 3 полета – 35 мин.</w:t>
      </w:r>
    </w:p>
    <w:p w14:paraId="4E9BEE9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июня 1935 года</w:t>
      </w:r>
    </w:p>
    <w:p w14:paraId="4F1C27F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(АФ-50) и стрельба из переднего и заднего пулеметов – 1 полет 1 час. 10 мин.</w:t>
      </w:r>
    </w:p>
    <w:p w14:paraId="0635E8C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на растряску бомб АФ-100 – 2 полета – 25 мин.</w:t>
      </w:r>
    </w:p>
    <w:p w14:paraId="5D30D1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июня 1935 года</w:t>
      </w:r>
    </w:p>
    <w:p w14:paraId="34E3AFD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корпусами бомб АФ-100 с высоты 2500 м – 1 полет – 1 час. 20 мин.</w:t>
      </w:r>
    </w:p>
    <w:p w14:paraId="1DDEA0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боевыми бомбами АФ с высоты 1200 м (4 бомбы). Стрельба из переднего и заднего пулемета. Экипаж -– 4 человека. Перегрузка 300 кг. – 1 полет – 1 час. 10 мин.</w:t>
      </w:r>
    </w:p>
    <w:p w14:paraId="00BF577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июня 1935 года</w:t>
      </w:r>
    </w:p>
    <w:p w14:paraId="478A4BD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по земным мишеням из переднего и заднего пулеметов. 1 полет – 1 час. 10 мин.</w:t>
      </w:r>
    </w:p>
    <w:p w14:paraId="1F8C3D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с Н=5000 м. (4 бомбы АФ-50). Стрельба в воздухе на этой высоте из заднего турельного пулемета.</w:t>
      </w:r>
    </w:p>
    <w:p w14:paraId="620D937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июня 1935 года</w:t>
      </w:r>
    </w:p>
    <w:p w14:paraId="3DDE8A2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с Н=1500 м бомбами АФ-50. Стрельба по земным целям из заднего пулемета. 1 полет – 1 час.</w:t>
      </w:r>
    </w:p>
    <w:p w14:paraId="1D67D3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июня 1935 года</w:t>
      </w:r>
    </w:p>
    <w:p w14:paraId="332FE92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начальником Института самолета –2 полета.</w:t>
      </w:r>
    </w:p>
    <w:p w14:paraId="500FCF6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июня 1935 года</w:t>
      </w:r>
    </w:p>
    <w:p w14:paraId="0993E3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километраж Н=200 м. 1 полет – 40 мин.</w:t>
      </w:r>
    </w:p>
    <w:p w14:paraId="098AA9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22 июня 1935 года</w:t>
      </w:r>
    </w:p>
    <w:p w14:paraId="278F6FA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самолета летчиками. 5 полетов – 2 часа.</w:t>
      </w:r>
    </w:p>
    <w:p w14:paraId="44BA6B7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июня 1935 года</w:t>
      </w:r>
    </w:p>
    <w:p w14:paraId="3EB8ED3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Съемка мотора для перестановки на второй самолет ХАИ-1 (в).</w:t>
      </w:r>
    </w:p>
    <w:p w14:paraId="57708F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 июля 1935 года</w:t>
      </w:r>
    </w:p>
    <w:p w14:paraId="144C4FC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Эксплуатационные испытания по дополнительной программе (посадки) – 35 полетов – 2 час. 00 мин.</w:t>
      </w:r>
    </w:p>
    <w:p w14:paraId="4E9C6E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 июля 1935 года</w:t>
      </w:r>
    </w:p>
    <w:p w14:paraId="624C4C2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Эксплуатационные испытания по дополнительной программе (посадки) – 111 полетов – 5 час. 51 мин.</w:t>
      </w:r>
    </w:p>
    <w:p w14:paraId="241293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 11 июля 1935 года</w:t>
      </w:r>
    </w:p>
    <w:p w14:paraId="77B2FC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Эксплуатационные испытания по дополнительной программе (посадки) – 67 полетов – 3 час. 45 мин.</w:t>
      </w:r>
    </w:p>
    <w:p w14:paraId="288920F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22 июля 1935 года</w:t>
      </w:r>
    </w:p>
    <w:p w14:paraId="2FC30D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боевое применение по маршруту Щелково-Серпухов-Владимир-Ногинск (бомбометание с Н=6550 м) – Щелково</w:t>
      </w:r>
    </w:p>
    <w:p w14:paraId="68F862A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полет – 3 час. 10 мин.</w:t>
      </w:r>
    </w:p>
    <w:p w14:paraId="1BEC97E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июля 1935 года</w:t>
      </w:r>
    </w:p>
    <w:p w14:paraId="5E8D25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испытание рации. – 1 полет – 25 мин.</w:t>
      </w:r>
    </w:p>
    <w:p w14:paraId="67F6E19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июля 1935 года</w:t>
      </w:r>
    </w:p>
    <w:p w14:paraId="0538CA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замер расхода горючего Н=3000, 4000 м. 1 полет – 1 час.</w:t>
      </w:r>
    </w:p>
    <w:p w14:paraId="6ECF94F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замер расхода горючего Н=1000, 2000 м. 1 полет- 50 мин.</w:t>
      </w:r>
    </w:p>
    <w:p w14:paraId="2C93824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Проверка работы рации. 1 полет – 15 мин. (6817).</w:t>
      </w:r>
    </w:p>
    <w:p w14:paraId="31F9CC0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ХАИ-1(в) № 44301</w:t>
      </w:r>
    </w:p>
    <w:p w14:paraId="5714705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 июня 1935 года</w:t>
      </w:r>
    </w:p>
    <w:p w14:paraId="4626D75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снятие девиации, фотографирование и проверка шага винта – 1 полет – 1 час.</w:t>
      </w:r>
    </w:p>
    <w:p w14:paraId="5B1F98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июня 1935 года</w:t>
      </w:r>
    </w:p>
    <w:p w14:paraId="663A3C5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километраж. 1 полет – 50 мин.</w:t>
      </w:r>
    </w:p>
    <w:p w14:paraId="6329048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уничтожение девиации – 1 полет – 55 мин.</w:t>
      </w:r>
    </w:p>
    <w:p w14:paraId="379FC11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июня 1935 года</w:t>
      </w:r>
    </w:p>
    <w:p w14:paraId="06BEF6C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подбор винта. 1 полет – 15 мин.</w:t>
      </w:r>
    </w:p>
    <w:p w14:paraId="670E1A5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июня 1935 года</w:t>
      </w:r>
    </w:p>
    <w:p w14:paraId="2314701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и проба рации – 1 полет – 1 час. 10 мин.</w:t>
      </w:r>
    </w:p>
    <w:p w14:paraId="621CF3F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июня 1935 года</w:t>
      </w:r>
    </w:p>
    <w:p w14:paraId="0BC7AA1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управляемость. – 1 полет – 1 час. 35 мин.</w:t>
      </w:r>
    </w:p>
    <w:p w14:paraId="05D3FA2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17 июня 1935 года</w:t>
      </w:r>
    </w:p>
    <w:p w14:paraId="3030C24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инспектора ВС и начальника штаба НИИ ВС – 2 полета – 1 час. 55 мин.</w:t>
      </w:r>
    </w:p>
    <w:p w14:paraId="5999C6E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июня 1935 года</w:t>
      </w:r>
    </w:p>
    <w:p w14:paraId="7B71679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управляемость на Н=3000 м, 1000 м – 1 полет – 1 час. 10 мин.</w:t>
      </w:r>
    </w:p>
    <w:p w14:paraId="489FB82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июня 1935 года</w:t>
      </w:r>
    </w:p>
    <w:p w14:paraId="3267FE0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с Н=3000 м – 1 полет – 55 мин.</w:t>
      </w:r>
    </w:p>
    <w:p w14:paraId="5A89B1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замер расхода горючего по треугольнику: Щелково-Серпухов-Владимир-Щелково. 1 полет – 1 час. 52 мин.</w:t>
      </w:r>
    </w:p>
    <w:p w14:paraId="6F7DB6A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километраж на Н=200 м.</w:t>
      </w:r>
    </w:p>
    <w:p w14:paraId="44D642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июня 1935 года</w:t>
      </w:r>
    </w:p>
    <w:p w14:paraId="6AD0430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Опробование после замены мотора в воздухе и замер посадочных скоростей – 2 полета – 15 мин.</w:t>
      </w:r>
    </w:p>
    <w:p w14:paraId="52A8FBA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 июня 1935 года</w:t>
      </w:r>
    </w:p>
    <w:p w14:paraId="37CA021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на замер посадочных скоростей – 4 полета. Полет на потолок (55000 м) – 1 полет.</w:t>
      </w:r>
    </w:p>
    <w:p w14:paraId="5BBE10F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потолок (5850 м) – 1 полет.</w:t>
      </w:r>
    </w:p>
    <w:p w14:paraId="259D451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Итого: 6 полетов – 3 час. 25 мин.</w:t>
      </w:r>
    </w:p>
    <w:p w14:paraId="1D717FF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июня 1935 года</w:t>
      </w:r>
    </w:p>
    <w:p w14:paraId="264802E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километраж с убранным шасси – 1 полет – 50 мин.</w:t>
      </w:r>
    </w:p>
    <w:p w14:paraId="33A4F4C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июля 1935 года</w:t>
      </w:r>
    </w:p>
    <w:p w14:paraId="5A5000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Эксплуатационные испытания (посадки).</w:t>
      </w:r>
    </w:p>
    <w:p w14:paraId="4A30899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88 полетов – 6 час. 15 мин.</w:t>
      </w:r>
    </w:p>
    <w:p w14:paraId="431B443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 июля 1935 года</w:t>
      </w:r>
    </w:p>
    <w:p w14:paraId="0813D99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замер расходов горючего – 1 полет –1 час. 25 мин.</w:t>
      </w:r>
    </w:p>
    <w:p w14:paraId="7C8ECB1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 июля 1935 года</w:t>
      </w:r>
    </w:p>
    <w:p w14:paraId="0D11563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замер расходов горючего – 1 полет.</w:t>
      </w:r>
    </w:p>
    <w:p w14:paraId="6D26672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 июля 1935 года</w:t>
      </w:r>
    </w:p>
    <w:p w14:paraId="755053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Эксплуатационные испытания (посадки).</w:t>
      </w:r>
    </w:p>
    <w:p w14:paraId="2593EA0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72 посадки – 6 час. 05 мин.</w:t>
      </w:r>
    </w:p>
    <w:p w14:paraId="36869C3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 июля 1935 года</w:t>
      </w:r>
    </w:p>
    <w:p w14:paraId="652392E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Эксплуатационные испытания, самолет при резком торможении стал на нос (летчик Стефановский) – 10 посадок –1 час. 10 мин.</w:t>
      </w:r>
    </w:p>
    <w:p w14:paraId="20C7156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 все время испытания на самолетах было сделано 466 посадок, налетано в воздухе 77 час. 34 мин., полетных дней – 24 (6817).</w:t>
      </w:r>
    </w:p>
    <w:p w14:paraId="108D3C2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5498A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29 июля 1935 г. на аэродроме НИИ ВВС в Щелково закончились государственные испытания ЦКБ-3 № 7 (И-15бис), которые проходили с 21 мая. Летал Эдгард Преман. Выводы в отношении самолета были в основном положительными и практически полностью совпали с мнением Чкалова и Коккинаки. В заключении по </w:t>
      </w:r>
      <w:r w:rsidRPr="00E14102">
        <w:rPr>
          <w:color w:val="000000" w:themeColor="text1"/>
          <w:sz w:val="16"/>
          <w:szCs w:val="16"/>
        </w:rPr>
        <w:lastRenderedPageBreak/>
        <w:t>результатам госиспытаний говорилось: “Рекомендовать к серийной постройке самолеты И-15 с нормальным центропланом... Представить на испытания НИИ головной серийный самолет с нормальным центропланом постройки завода №1.”. Несмотря на указанные выводы и заключения, история развития истребителя И-15 на этом этапе закончилась. Серийное изготовление самолета в 1935 г. было прекращено и возобновилось лишь в 1937 г. в виде истребителя И-15бис (6593).</w:t>
      </w:r>
    </w:p>
    <w:p w14:paraId="414B4F30" w14:textId="77777777" w:rsidR="00D4105E" w:rsidRPr="00E14102" w:rsidRDefault="00D4105E" w:rsidP="00E14102">
      <w:pPr>
        <w:autoSpaceDE w:val="0"/>
        <w:autoSpaceDN w:val="0"/>
        <w:adjustRightInd w:val="0"/>
        <w:jc w:val="both"/>
        <w:rPr>
          <w:color w:val="000000" w:themeColor="text1"/>
          <w:sz w:val="16"/>
          <w:szCs w:val="16"/>
        </w:rPr>
      </w:pPr>
    </w:p>
    <w:p w14:paraId="0129CC84" w14:textId="77777777" w:rsidR="006F4E11" w:rsidRPr="00E14102" w:rsidRDefault="006F4E11" w:rsidP="00E14102">
      <w:pPr>
        <w:jc w:val="both"/>
        <w:rPr>
          <w:color w:val="000000" w:themeColor="text1"/>
          <w:sz w:val="16"/>
          <w:szCs w:val="16"/>
        </w:rPr>
      </w:pPr>
      <w:r w:rsidRPr="00E14102">
        <w:rPr>
          <w:color w:val="000000" w:themeColor="text1"/>
          <w:sz w:val="16"/>
          <w:szCs w:val="16"/>
        </w:rPr>
        <w:t xml:space="preserve">29 июля в 1935 году на аэродроме НИИ ВВС в Щелково завершились (с 21 мая) Государственные испытания «ЦКБ-3» №7. Заключение по результатам госиспытаний гласило: "Рекомендовать к серийной постройке самолеты </w:t>
      </w:r>
      <w:hyperlink r:id="rId165" w:tgtFrame="_blank" w:history="1">
        <w:r w:rsidRPr="00E14102">
          <w:rPr>
            <w:color w:val="000000" w:themeColor="text1"/>
            <w:sz w:val="16"/>
            <w:szCs w:val="16"/>
          </w:rPr>
          <w:t xml:space="preserve">«И-15» </w:t>
        </w:r>
      </w:hyperlink>
      <w:r w:rsidRPr="00E14102">
        <w:rPr>
          <w:color w:val="000000" w:themeColor="text1"/>
          <w:sz w:val="16"/>
          <w:szCs w:val="16"/>
        </w:rPr>
        <w:t>с нормальным центропланом... Представить на испытания НИИ головной серийный самолет с нормальным центропланом постройки завода № 1". Несмотря на заключение комиссии, история истребителя «И-15» на этом закончилась. Серийное производство самолета в 1935 году было прекращено и возобновилось лишь в 1937 году с появлением истребителя «И-15бис» (14967).</w:t>
      </w:r>
    </w:p>
    <w:p w14:paraId="3B97A2E5" w14:textId="77777777" w:rsidR="006F4E11" w:rsidRPr="00E14102" w:rsidRDefault="006F4E11" w:rsidP="00E14102">
      <w:pPr>
        <w:jc w:val="both"/>
        <w:rPr>
          <w:color w:val="000000" w:themeColor="text1"/>
          <w:sz w:val="16"/>
          <w:szCs w:val="16"/>
        </w:rPr>
      </w:pPr>
    </w:p>
    <w:p w14:paraId="4350F4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 июля 1935 года закончились испытания самолета И-15 с нормальным центропланом № 33907 с мотором Р-Ц Ф-3 постройки завода № 39, которые проходили с 21 мая 1935 (6688).</w:t>
      </w:r>
    </w:p>
    <w:p w14:paraId="13CDFCF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инженер-летчик Алтынов Т.Т.</w:t>
      </w:r>
    </w:p>
    <w:p w14:paraId="606EDBF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летчик Преман Э.Ю.</w:t>
      </w:r>
    </w:p>
    <w:p w14:paraId="17FA323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7465D98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Снятие летной характеристики с самолета с нормальным центропланом для сравнения с самолетом с центропланом “Чайка”.</w:t>
      </w:r>
    </w:p>
    <w:p w14:paraId="0257C11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Испытать устойчивость пути на максимальных горизонтальных скоростях и на пикировании.</w:t>
      </w:r>
    </w:p>
    <w:p w14:paraId="7B96E1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652DF2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Рекомендовать к серийной постройке самолеты И-15 с нормальным центропланом.</w:t>
      </w:r>
    </w:p>
    <w:p w14:paraId="1448A4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Дневник испытаний</w:t>
      </w:r>
    </w:p>
    <w:p w14:paraId="41D502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Самолета И-15 с нормальным центропланом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2"/>
        <w:gridCol w:w="5328"/>
      </w:tblGrid>
      <w:tr w:rsidR="00E3599D" w:rsidRPr="00E14102" w14:paraId="0CB1F3E8" w14:textId="77777777">
        <w:tc>
          <w:tcPr>
            <w:tcW w:w="3312" w:type="dxa"/>
            <w:tcBorders>
              <w:top w:val="single" w:sz="12" w:space="0" w:color="auto"/>
            </w:tcBorders>
          </w:tcPr>
          <w:p w14:paraId="23C74C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мая 1935 года</w:t>
            </w:r>
          </w:p>
        </w:tc>
        <w:tc>
          <w:tcPr>
            <w:tcW w:w="5328" w:type="dxa"/>
            <w:tcBorders>
              <w:top w:val="single" w:sz="12" w:space="0" w:color="auto"/>
            </w:tcBorders>
          </w:tcPr>
          <w:p w14:paraId="2FC3FC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Приемка самолета. Перегонка в Щелково.</w:t>
            </w:r>
          </w:p>
        </w:tc>
      </w:tr>
      <w:tr w:rsidR="00E3599D" w:rsidRPr="00E14102" w14:paraId="794120F5" w14:textId="77777777">
        <w:tc>
          <w:tcPr>
            <w:tcW w:w="3312" w:type="dxa"/>
          </w:tcPr>
          <w:p w14:paraId="21E6C30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мая 1935 года</w:t>
            </w:r>
          </w:p>
        </w:tc>
        <w:tc>
          <w:tcPr>
            <w:tcW w:w="5328" w:type="dxa"/>
          </w:tcPr>
          <w:p w14:paraId="2CD4C2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Тренировочные полеты и определение высотности мотора.</w:t>
            </w:r>
          </w:p>
        </w:tc>
      </w:tr>
      <w:tr w:rsidR="00E3599D" w:rsidRPr="00E14102" w14:paraId="3CB4CC25" w14:textId="77777777">
        <w:tc>
          <w:tcPr>
            <w:tcW w:w="3312" w:type="dxa"/>
          </w:tcPr>
          <w:p w14:paraId="529A60F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мая 1935 года</w:t>
            </w:r>
          </w:p>
        </w:tc>
        <w:tc>
          <w:tcPr>
            <w:tcW w:w="5328" w:type="dxa"/>
          </w:tcPr>
          <w:p w14:paraId="07860D3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зубцы на 3000 м и 4000 м.</w:t>
            </w:r>
          </w:p>
        </w:tc>
      </w:tr>
      <w:tr w:rsidR="00E3599D" w:rsidRPr="00E14102" w14:paraId="33DE6E6E" w14:textId="77777777">
        <w:tc>
          <w:tcPr>
            <w:tcW w:w="3312" w:type="dxa"/>
          </w:tcPr>
          <w:p w14:paraId="7F087B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мая 1935 года</w:t>
            </w:r>
          </w:p>
        </w:tc>
        <w:tc>
          <w:tcPr>
            <w:tcW w:w="5328" w:type="dxa"/>
          </w:tcPr>
          <w:p w14:paraId="0385822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километраж.</w:t>
            </w:r>
          </w:p>
        </w:tc>
      </w:tr>
      <w:tr w:rsidR="00E3599D" w:rsidRPr="00E14102" w14:paraId="07F253E2" w14:textId="77777777">
        <w:tc>
          <w:tcPr>
            <w:tcW w:w="3312" w:type="dxa"/>
          </w:tcPr>
          <w:p w14:paraId="773F332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мая 1935 года</w:t>
            </w:r>
          </w:p>
        </w:tc>
        <w:tc>
          <w:tcPr>
            <w:tcW w:w="5328" w:type="dxa"/>
          </w:tcPr>
          <w:p w14:paraId="4E9A13B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зубцы на 1000 м и на 2000 м.</w:t>
            </w:r>
          </w:p>
        </w:tc>
      </w:tr>
      <w:tr w:rsidR="00E3599D" w:rsidRPr="00E14102" w14:paraId="48D601D9" w14:textId="77777777">
        <w:tc>
          <w:tcPr>
            <w:tcW w:w="3312" w:type="dxa"/>
          </w:tcPr>
          <w:p w14:paraId="7688ABC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 мая 1935 года</w:t>
            </w:r>
          </w:p>
        </w:tc>
        <w:tc>
          <w:tcPr>
            <w:tcW w:w="5328" w:type="dxa"/>
          </w:tcPr>
          <w:p w14:paraId="74324D8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5000 м.</w:t>
            </w:r>
          </w:p>
        </w:tc>
      </w:tr>
      <w:tr w:rsidR="00E3599D" w:rsidRPr="00E14102" w14:paraId="1F578F1D" w14:textId="77777777">
        <w:tc>
          <w:tcPr>
            <w:tcW w:w="3312" w:type="dxa"/>
          </w:tcPr>
          <w:p w14:paraId="5511C3C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 мая 1935 года</w:t>
            </w:r>
          </w:p>
        </w:tc>
        <w:tc>
          <w:tcPr>
            <w:tcW w:w="5328" w:type="dxa"/>
          </w:tcPr>
          <w:p w14:paraId="258FF93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8000 м.</w:t>
            </w:r>
          </w:p>
        </w:tc>
      </w:tr>
      <w:tr w:rsidR="00E3599D" w:rsidRPr="00E14102" w14:paraId="6AA53D35" w14:textId="77777777">
        <w:tc>
          <w:tcPr>
            <w:tcW w:w="3312" w:type="dxa"/>
          </w:tcPr>
          <w:p w14:paraId="7D1A1BD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мая 1935 года</w:t>
            </w:r>
          </w:p>
        </w:tc>
        <w:tc>
          <w:tcPr>
            <w:tcW w:w="5328" w:type="dxa"/>
          </w:tcPr>
          <w:p w14:paraId="6DAB95F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8000 м.</w:t>
            </w:r>
          </w:p>
        </w:tc>
      </w:tr>
      <w:tr w:rsidR="00E3599D" w:rsidRPr="00E14102" w14:paraId="301A97DB" w14:textId="77777777">
        <w:tc>
          <w:tcPr>
            <w:tcW w:w="3312" w:type="dxa"/>
          </w:tcPr>
          <w:p w14:paraId="602A0CA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мая 1935 года</w:t>
            </w:r>
          </w:p>
        </w:tc>
        <w:tc>
          <w:tcPr>
            <w:tcW w:w="5328" w:type="dxa"/>
          </w:tcPr>
          <w:p w14:paraId="4834E3F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определение устойчивости.</w:t>
            </w:r>
          </w:p>
        </w:tc>
      </w:tr>
      <w:tr w:rsidR="00E3599D" w:rsidRPr="00E14102" w14:paraId="76CA4888" w14:textId="77777777">
        <w:tc>
          <w:tcPr>
            <w:tcW w:w="3312" w:type="dxa"/>
          </w:tcPr>
          <w:p w14:paraId="0740829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 мая 1935 года</w:t>
            </w:r>
          </w:p>
        </w:tc>
        <w:tc>
          <w:tcPr>
            <w:tcW w:w="5328" w:type="dxa"/>
          </w:tcPr>
          <w:p w14:paraId="50DE2F5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пикирование до скоростей 250 км/час.</w:t>
            </w:r>
          </w:p>
        </w:tc>
      </w:tr>
      <w:tr w:rsidR="00E3599D" w:rsidRPr="00E14102" w14:paraId="49C2D514" w14:textId="77777777">
        <w:tc>
          <w:tcPr>
            <w:tcW w:w="3312" w:type="dxa"/>
          </w:tcPr>
          <w:p w14:paraId="494D914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 мая 1935 года</w:t>
            </w:r>
          </w:p>
        </w:tc>
        <w:tc>
          <w:tcPr>
            <w:tcW w:w="5328" w:type="dxa"/>
          </w:tcPr>
          <w:p w14:paraId="3FCA2A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определение горизонтальных скоростей по высотам.</w:t>
            </w:r>
          </w:p>
        </w:tc>
      </w:tr>
      <w:tr w:rsidR="00E3599D" w:rsidRPr="00E14102" w14:paraId="2E9A6A41" w14:textId="77777777">
        <w:tc>
          <w:tcPr>
            <w:tcW w:w="3312" w:type="dxa"/>
          </w:tcPr>
          <w:p w14:paraId="52752A3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июля 1935 года</w:t>
            </w:r>
          </w:p>
        </w:tc>
        <w:tc>
          <w:tcPr>
            <w:tcW w:w="5328" w:type="dxa"/>
          </w:tcPr>
          <w:p w14:paraId="73E18AE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по кругу с новым шасси.</w:t>
            </w:r>
          </w:p>
        </w:tc>
      </w:tr>
      <w:tr w:rsidR="00E3599D" w:rsidRPr="00E14102" w14:paraId="1D7F95BA" w14:textId="77777777">
        <w:tc>
          <w:tcPr>
            <w:tcW w:w="3312" w:type="dxa"/>
          </w:tcPr>
          <w:p w14:paraId="74EB0B3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июля 1935 года</w:t>
            </w:r>
          </w:p>
        </w:tc>
        <w:tc>
          <w:tcPr>
            <w:tcW w:w="5328" w:type="dxa"/>
          </w:tcPr>
          <w:p w14:paraId="781A21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Километраж с другим весом.</w:t>
            </w:r>
          </w:p>
        </w:tc>
      </w:tr>
      <w:tr w:rsidR="00E3599D" w:rsidRPr="00E14102" w14:paraId="34EC7710" w14:textId="77777777">
        <w:tc>
          <w:tcPr>
            <w:tcW w:w="3312" w:type="dxa"/>
          </w:tcPr>
          <w:p w14:paraId="429FD46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 июля 1935 года</w:t>
            </w:r>
          </w:p>
        </w:tc>
        <w:tc>
          <w:tcPr>
            <w:tcW w:w="5328" w:type="dxa"/>
          </w:tcPr>
          <w:p w14:paraId="08A4CA2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8000 м – летчик Филин.</w:t>
            </w:r>
          </w:p>
        </w:tc>
      </w:tr>
      <w:tr w:rsidR="00E3599D" w:rsidRPr="00E14102" w14:paraId="6C275BC5" w14:textId="77777777">
        <w:tc>
          <w:tcPr>
            <w:tcW w:w="3312" w:type="dxa"/>
          </w:tcPr>
          <w:p w14:paraId="6EA0776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июля 1935 года</w:t>
            </w:r>
          </w:p>
        </w:tc>
        <w:tc>
          <w:tcPr>
            <w:tcW w:w="5328" w:type="dxa"/>
          </w:tcPr>
          <w:p w14:paraId="1D128FE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Проба самолета и мотора в воздухе.</w:t>
            </w:r>
          </w:p>
        </w:tc>
      </w:tr>
      <w:tr w:rsidR="00E3599D" w:rsidRPr="00E14102" w14:paraId="40A6F894" w14:textId="77777777">
        <w:tc>
          <w:tcPr>
            <w:tcW w:w="3312" w:type="dxa"/>
          </w:tcPr>
          <w:p w14:paraId="3CF880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июля 1935 года</w:t>
            </w:r>
          </w:p>
        </w:tc>
        <w:tc>
          <w:tcPr>
            <w:tcW w:w="5328" w:type="dxa"/>
          </w:tcPr>
          <w:p w14:paraId="2453DF3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маневренность.</w:t>
            </w:r>
          </w:p>
        </w:tc>
      </w:tr>
      <w:tr w:rsidR="00E3599D" w:rsidRPr="00E14102" w14:paraId="363FA50A" w14:textId="77777777">
        <w:tc>
          <w:tcPr>
            <w:tcW w:w="3312" w:type="dxa"/>
          </w:tcPr>
          <w:p w14:paraId="609B17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июля 1935 года</w:t>
            </w:r>
          </w:p>
        </w:tc>
        <w:tc>
          <w:tcPr>
            <w:tcW w:w="5328" w:type="dxa"/>
          </w:tcPr>
          <w:p w14:paraId="38D09DB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Два полета на маневренность.</w:t>
            </w:r>
          </w:p>
        </w:tc>
      </w:tr>
      <w:tr w:rsidR="00E3599D" w:rsidRPr="00E14102" w14:paraId="50FE402A" w14:textId="77777777">
        <w:tc>
          <w:tcPr>
            <w:tcW w:w="3312" w:type="dxa"/>
          </w:tcPr>
          <w:p w14:paraId="42AB3A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июля 1935 года</w:t>
            </w:r>
          </w:p>
        </w:tc>
        <w:tc>
          <w:tcPr>
            <w:tcW w:w="5328" w:type="dxa"/>
          </w:tcPr>
          <w:p w14:paraId="3DF091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маневренность.</w:t>
            </w:r>
          </w:p>
        </w:tc>
      </w:tr>
      <w:tr w:rsidR="00E3599D" w:rsidRPr="00E14102" w14:paraId="7AC917F3" w14:textId="77777777">
        <w:tc>
          <w:tcPr>
            <w:tcW w:w="3312" w:type="dxa"/>
          </w:tcPr>
          <w:p w14:paraId="44F07CC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июля 1935 года</w:t>
            </w:r>
          </w:p>
        </w:tc>
        <w:tc>
          <w:tcPr>
            <w:tcW w:w="5328" w:type="dxa"/>
          </w:tcPr>
          <w:p w14:paraId="58EF98E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самолета другими летчиками.</w:t>
            </w:r>
          </w:p>
        </w:tc>
      </w:tr>
      <w:tr w:rsidR="00E3599D" w:rsidRPr="00E14102" w14:paraId="28607F96" w14:textId="77777777">
        <w:tc>
          <w:tcPr>
            <w:tcW w:w="3312" w:type="dxa"/>
          </w:tcPr>
          <w:p w14:paraId="0FA8BD2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27-28 июля 1935 года</w:t>
            </w:r>
          </w:p>
        </w:tc>
        <w:tc>
          <w:tcPr>
            <w:tcW w:w="5328" w:type="dxa"/>
          </w:tcPr>
          <w:p w14:paraId="576DBFB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по кругу (100 полетов).</w:t>
            </w:r>
          </w:p>
        </w:tc>
      </w:tr>
      <w:tr w:rsidR="00E3599D" w:rsidRPr="00E14102" w14:paraId="5DE41942" w14:textId="77777777">
        <w:tc>
          <w:tcPr>
            <w:tcW w:w="3312" w:type="dxa"/>
            <w:tcBorders>
              <w:bottom w:val="single" w:sz="12" w:space="0" w:color="auto"/>
            </w:tcBorders>
          </w:tcPr>
          <w:p w14:paraId="190B688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 июля 1935 года</w:t>
            </w:r>
          </w:p>
        </w:tc>
        <w:tc>
          <w:tcPr>
            <w:tcW w:w="5328" w:type="dxa"/>
            <w:tcBorders>
              <w:bottom w:val="single" w:sz="12" w:space="0" w:color="auto"/>
            </w:tcBorders>
          </w:tcPr>
          <w:p w14:paraId="65B4A32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закончилось.</w:t>
            </w:r>
          </w:p>
        </w:tc>
      </w:tr>
    </w:tbl>
    <w:p w14:paraId="12A9F01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(6688).</w:t>
      </w:r>
    </w:p>
    <w:p w14:paraId="1C6D5B0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A4A1B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июля 1935 г. на заключительной стадии подготовки РД за подписью начальника ВВС РККА Я.И.Алксниса была подготовлена краткая характеристика самолета: "Самолет типа моноплан с большим удлинением, крылья красные, фюзеляж светло-серый с черными полосами, шасси убираются. Опознавательные знаки самолета написаны белой краской на крыльях сверху и снизу N 25... Капот мотора окрашен в черный цвет".</w:t>
      </w:r>
    </w:p>
    <w:p w14:paraId="780320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РД №2 соответствующим образом доработали - радиатор охлаждения разместили под двигателем, отчего внешний облик носовой части изменился, ручку управления первого пилота заменили штурвалом, увеличили эффективность элеронов и площадь руля направления, заменили приборы. В кабине экипажа оборудовали отопление и усовершенствованную внутреннюю вентиляцию. Кроме этого, самолету обеспечили дополнительную плавучесть на случай вынужденной посадки на воду, в окончательном варианте установили трехлопастной металлический винт.</w:t>
      </w:r>
    </w:p>
    <w:p w14:paraId="2B1473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Указывалось, что по сравнению с 1934 г. доработки позволили увеличить аэродинамиче ское качество до 17 единиц, а дальность полета повысить на 7%. Рабочие высоты возросли примерно на 400 метров, с полетным весом 9 тонн самолет мог продолжать полет на высоте 3500 метров с большим запасом скороподъемности.</w:t>
      </w:r>
    </w:p>
    <w:p w14:paraId="4AA3CD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ОСНОВНЫЕ ХАРАКТЕРИСТИКИ САМОЛЕТА РД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E3599D" w:rsidRPr="00E14102" w14:paraId="4ADD4D39" w14:textId="77777777">
        <w:tc>
          <w:tcPr>
            <w:tcW w:w="5605" w:type="dxa"/>
            <w:tcBorders>
              <w:top w:val="single" w:sz="12" w:space="0" w:color="auto"/>
            </w:tcBorders>
          </w:tcPr>
          <w:p w14:paraId="08FEAA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двигателя</w:t>
            </w:r>
          </w:p>
        </w:tc>
        <w:tc>
          <w:tcPr>
            <w:tcW w:w="5605" w:type="dxa"/>
            <w:tcBorders>
              <w:top w:val="single" w:sz="12" w:space="0" w:color="auto"/>
            </w:tcBorders>
          </w:tcPr>
          <w:p w14:paraId="2CEAE8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 930 л.с. при 1920 об/мин</w:t>
            </w:r>
          </w:p>
        </w:tc>
      </w:tr>
      <w:tr w:rsidR="00E3599D" w:rsidRPr="00E14102" w14:paraId="576331EB" w14:textId="77777777">
        <w:tc>
          <w:tcPr>
            <w:tcW w:w="5605" w:type="dxa"/>
          </w:tcPr>
          <w:p w14:paraId="26E859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 топлива при 1760 об/мин</w:t>
            </w:r>
          </w:p>
        </w:tc>
        <w:tc>
          <w:tcPr>
            <w:tcW w:w="5605" w:type="dxa"/>
          </w:tcPr>
          <w:p w14:paraId="3AB89C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214 г/л.с.ч.</w:t>
            </w:r>
          </w:p>
        </w:tc>
      </w:tr>
      <w:tr w:rsidR="00E3599D" w:rsidRPr="00E14102" w14:paraId="51F6BCDA" w14:textId="77777777">
        <w:tc>
          <w:tcPr>
            <w:tcW w:w="5605" w:type="dxa"/>
          </w:tcPr>
          <w:p w14:paraId="137EE3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Полетный вес</w:t>
            </w:r>
          </w:p>
        </w:tc>
        <w:tc>
          <w:tcPr>
            <w:tcW w:w="5605" w:type="dxa"/>
          </w:tcPr>
          <w:p w14:paraId="05FCE5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 11030 кг</w:t>
            </w:r>
          </w:p>
        </w:tc>
      </w:tr>
      <w:tr w:rsidR="00E3599D" w:rsidRPr="00E14102" w14:paraId="1A7574CC" w14:textId="77777777">
        <w:tc>
          <w:tcPr>
            <w:tcW w:w="5605" w:type="dxa"/>
          </w:tcPr>
          <w:p w14:paraId="01B7E2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пустого самолета с оборудованием и запасной водой</w:t>
            </w:r>
          </w:p>
        </w:tc>
        <w:tc>
          <w:tcPr>
            <w:tcW w:w="5605" w:type="dxa"/>
          </w:tcPr>
          <w:p w14:paraId="06703A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 3950 кг.</w:t>
            </w:r>
          </w:p>
        </w:tc>
      </w:tr>
      <w:tr w:rsidR="00E3599D" w:rsidRPr="00E14102" w14:paraId="0BB1BE01" w14:textId="77777777">
        <w:tc>
          <w:tcPr>
            <w:tcW w:w="5605" w:type="dxa"/>
          </w:tcPr>
          <w:p w14:paraId="270E7E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топлива на 74 часа полета</w:t>
            </w:r>
          </w:p>
        </w:tc>
        <w:tc>
          <w:tcPr>
            <w:tcW w:w="5605" w:type="dxa"/>
          </w:tcPr>
          <w:p w14:paraId="721431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 6330 кг, масла 440 кг</w:t>
            </w:r>
          </w:p>
        </w:tc>
      </w:tr>
      <w:tr w:rsidR="00E3599D" w:rsidRPr="00E14102" w14:paraId="03290C5F" w14:textId="77777777">
        <w:tc>
          <w:tcPr>
            <w:tcW w:w="5605" w:type="dxa"/>
            <w:tcBorders>
              <w:bottom w:val="single" w:sz="12" w:space="0" w:color="auto"/>
            </w:tcBorders>
          </w:tcPr>
          <w:p w14:paraId="3CD2D7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экипажа с парашютами</w:t>
            </w:r>
          </w:p>
        </w:tc>
        <w:tc>
          <w:tcPr>
            <w:tcW w:w="5605" w:type="dxa"/>
            <w:tcBorders>
              <w:bottom w:val="single" w:sz="12" w:space="0" w:color="auto"/>
            </w:tcBorders>
          </w:tcPr>
          <w:p w14:paraId="7F949B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 284 кг (11941).</w:t>
            </w:r>
          </w:p>
        </w:tc>
      </w:tr>
    </w:tbl>
    <w:p w14:paraId="58CC3B5A" w14:textId="77777777" w:rsidR="00D4105E" w:rsidRPr="00E14102" w:rsidRDefault="00D4105E" w:rsidP="00E14102">
      <w:pPr>
        <w:autoSpaceDE w:val="0"/>
        <w:autoSpaceDN w:val="0"/>
        <w:adjustRightInd w:val="0"/>
        <w:jc w:val="both"/>
        <w:rPr>
          <w:color w:val="000000" w:themeColor="text1"/>
          <w:sz w:val="16"/>
          <w:szCs w:val="16"/>
        </w:rPr>
      </w:pPr>
    </w:p>
    <w:p w14:paraId="2E0DD74C" w14:textId="77777777" w:rsidR="006F4E11"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40942CB" w14:textId="77777777" w:rsidR="006F4E11" w:rsidRPr="00E14102" w:rsidRDefault="006F4E11" w:rsidP="00E14102">
      <w:pPr>
        <w:autoSpaceDE w:val="0"/>
        <w:autoSpaceDN w:val="0"/>
        <w:adjustRightInd w:val="0"/>
        <w:jc w:val="both"/>
        <w:rPr>
          <w:iCs/>
          <w:color w:val="000000" w:themeColor="text1"/>
          <w:sz w:val="16"/>
          <w:szCs w:val="16"/>
        </w:rPr>
      </w:pPr>
    </w:p>
    <w:p w14:paraId="52544AD3" w14:textId="77777777" w:rsidR="006F4E11" w:rsidRPr="00E14102" w:rsidRDefault="006F4E11" w:rsidP="00E14102">
      <w:pPr>
        <w:pStyle w:val="rtejustify"/>
        <w:spacing w:before="0" w:after="0"/>
        <w:rPr>
          <w:color w:val="000000" w:themeColor="text1"/>
          <w:sz w:val="16"/>
          <w:szCs w:val="16"/>
        </w:rPr>
      </w:pPr>
      <w:r w:rsidRPr="00E14102">
        <w:rPr>
          <w:rStyle w:val="a6"/>
          <w:bCs/>
          <w:i w:val="0"/>
          <w:color w:val="000000" w:themeColor="text1"/>
          <w:sz w:val="16"/>
          <w:szCs w:val="16"/>
        </w:rPr>
        <w:t>29 июля 1935 вышел приказ НКО №</w:t>
      </w:r>
      <w:r w:rsidRPr="00E14102">
        <w:rPr>
          <w:color w:val="000000" w:themeColor="text1"/>
          <w:sz w:val="16"/>
          <w:szCs w:val="16"/>
        </w:rPr>
        <w:t> 0136. О создании при третьем отделе Штаба РККА конструкторско-испытательных бюро (по механизации погрузочно-разгрузочных работ) (15247).</w:t>
      </w:r>
    </w:p>
    <w:p w14:paraId="06C75BC5" w14:textId="77777777" w:rsidR="006F4E11" w:rsidRPr="00E14102" w:rsidRDefault="006F4E11" w:rsidP="00E14102">
      <w:pPr>
        <w:pStyle w:val="rtejustify"/>
        <w:spacing w:before="0" w:after="0"/>
        <w:rPr>
          <w:color w:val="000000" w:themeColor="text1"/>
          <w:sz w:val="16"/>
          <w:szCs w:val="16"/>
        </w:rPr>
      </w:pPr>
    </w:p>
    <w:p w14:paraId="2918434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2D8A7F2" w14:textId="77777777" w:rsidR="00D4105E" w:rsidRPr="00E14102" w:rsidRDefault="00D4105E" w:rsidP="00E14102">
      <w:pPr>
        <w:autoSpaceDE w:val="0"/>
        <w:autoSpaceDN w:val="0"/>
        <w:adjustRightInd w:val="0"/>
        <w:jc w:val="both"/>
        <w:rPr>
          <w:iCs/>
          <w:color w:val="000000" w:themeColor="text1"/>
          <w:sz w:val="16"/>
          <w:szCs w:val="16"/>
        </w:rPr>
      </w:pPr>
    </w:p>
    <w:p w14:paraId="6CAFC3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июля 1935 состоялся первый полет Боинга, ставшего прообразом Б-17 (171,16).</w:t>
      </w:r>
    </w:p>
    <w:p w14:paraId="2DEC2ED7" w14:textId="77777777" w:rsidR="00D4105E" w:rsidRPr="00E14102" w:rsidRDefault="00D4105E" w:rsidP="00E14102">
      <w:pPr>
        <w:autoSpaceDE w:val="0"/>
        <w:autoSpaceDN w:val="0"/>
        <w:adjustRightInd w:val="0"/>
        <w:jc w:val="both"/>
        <w:rPr>
          <w:color w:val="000000" w:themeColor="text1"/>
          <w:sz w:val="16"/>
          <w:szCs w:val="16"/>
        </w:rPr>
      </w:pPr>
    </w:p>
    <w:p w14:paraId="58CDB5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июля 1935 года выдали заказ на первые 60 PBY-1. Серийные машины имели двигатели R-1830-64 в 900 л.с., оборонительное вооружение из четырех 7,62-мм пулеметов и могли нести около двух тонн бомб или две торпеды. В части морской авиации они начали поступать с сентября 1936 года (3457,44).</w:t>
      </w:r>
    </w:p>
    <w:p w14:paraId="66A8012D" w14:textId="77777777" w:rsidR="00D4105E" w:rsidRPr="00E14102" w:rsidRDefault="00D4105E" w:rsidP="00E14102">
      <w:pPr>
        <w:autoSpaceDE w:val="0"/>
        <w:autoSpaceDN w:val="0"/>
        <w:adjustRightInd w:val="0"/>
        <w:jc w:val="both"/>
        <w:rPr>
          <w:color w:val="000000" w:themeColor="text1"/>
          <w:sz w:val="16"/>
          <w:szCs w:val="16"/>
        </w:rPr>
      </w:pPr>
    </w:p>
    <w:p w14:paraId="5641F7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июля 1935 издательство Pinguin выпустило первую дешевую книжку формате покетбук в мягкой обложке (3263,413).</w:t>
      </w:r>
    </w:p>
    <w:p w14:paraId="3BBE403B" w14:textId="77777777" w:rsidR="00D4105E" w:rsidRPr="00E14102" w:rsidRDefault="00D4105E" w:rsidP="00E14102">
      <w:pPr>
        <w:autoSpaceDE w:val="0"/>
        <w:autoSpaceDN w:val="0"/>
        <w:adjustRightInd w:val="0"/>
        <w:jc w:val="both"/>
        <w:rPr>
          <w:color w:val="000000" w:themeColor="text1"/>
          <w:sz w:val="16"/>
          <w:szCs w:val="16"/>
        </w:rPr>
      </w:pPr>
    </w:p>
    <w:p w14:paraId="0CB2E84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685EB9F" w14:textId="77777777" w:rsidR="00D4105E" w:rsidRPr="00E14102" w:rsidRDefault="00D4105E" w:rsidP="00E14102">
      <w:pPr>
        <w:autoSpaceDE w:val="0"/>
        <w:autoSpaceDN w:val="0"/>
        <w:adjustRightInd w:val="0"/>
        <w:jc w:val="both"/>
        <w:rPr>
          <w:iCs/>
          <w:color w:val="000000" w:themeColor="text1"/>
          <w:sz w:val="16"/>
          <w:szCs w:val="16"/>
        </w:rPr>
      </w:pPr>
    </w:p>
    <w:p w14:paraId="1AAD07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июля 1935 Т.Куталовой был установлен женский мировой рекорд высотного прыжка - 7750 м (438,154).</w:t>
      </w:r>
    </w:p>
    <w:p w14:paraId="7B1709A2" w14:textId="77777777" w:rsidR="00D4105E" w:rsidRPr="00E14102" w:rsidRDefault="00D4105E" w:rsidP="00E14102">
      <w:pPr>
        <w:autoSpaceDE w:val="0"/>
        <w:autoSpaceDN w:val="0"/>
        <w:adjustRightInd w:val="0"/>
        <w:jc w:val="both"/>
        <w:rPr>
          <w:color w:val="000000" w:themeColor="text1"/>
          <w:sz w:val="16"/>
          <w:szCs w:val="16"/>
        </w:rPr>
      </w:pPr>
    </w:p>
    <w:p w14:paraId="3DD97E9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BD95E1C" w14:textId="77777777" w:rsidR="00D4105E" w:rsidRPr="00E14102" w:rsidRDefault="00D4105E" w:rsidP="00E14102">
      <w:pPr>
        <w:autoSpaceDE w:val="0"/>
        <w:autoSpaceDN w:val="0"/>
        <w:adjustRightInd w:val="0"/>
        <w:jc w:val="both"/>
        <w:rPr>
          <w:iCs/>
          <w:color w:val="000000" w:themeColor="text1"/>
          <w:sz w:val="16"/>
          <w:szCs w:val="16"/>
        </w:rPr>
      </w:pPr>
    </w:p>
    <w:p w14:paraId="3CFC456B" w14:textId="77777777" w:rsidR="006F4E11" w:rsidRPr="00E14102" w:rsidRDefault="006F4E11" w:rsidP="00E14102">
      <w:pPr>
        <w:jc w:val="both"/>
        <w:rPr>
          <w:color w:val="000000" w:themeColor="text1"/>
          <w:sz w:val="16"/>
          <w:szCs w:val="16"/>
        </w:rPr>
      </w:pPr>
      <w:r w:rsidRPr="00E14102">
        <w:rPr>
          <w:color w:val="000000" w:themeColor="text1"/>
          <w:sz w:val="16"/>
          <w:szCs w:val="16"/>
        </w:rPr>
        <w:t>30 июля в 1935 году американский «Нортроп 3А» исчез над океаном во время испытательного полета (14968).</w:t>
      </w:r>
    </w:p>
    <w:p w14:paraId="34FFED44" w14:textId="77777777" w:rsidR="006F4E11" w:rsidRPr="00E14102" w:rsidRDefault="006F4E11" w:rsidP="00E14102">
      <w:pPr>
        <w:jc w:val="both"/>
        <w:rPr>
          <w:color w:val="000000" w:themeColor="text1"/>
          <w:sz w:val="16"/>
          <w:szCs w:val="16"/>
        </w:rPr>
      </w:pPr>
    </w:p>
    <w:p w14:paraId="593E29E9" w14:textId="77777777" w:rsidR="006F4E11" w:rsidRPr="00E14102" w:rsidRDefault="006F4E11" w:rsidP="00E14102">
      <w:pPr>
        <w:jc w:val="both"/>
        <w:rPr>
          <w:color w:val="000000" w:themeColor="text1"/>
          <w:sz w:val="16"/>
          <w:szCs w:val="16"/>
        </w:rPr>
      </w:pPr>
      <w:r w:rsidRPr="00E14102">
        <w:rPr>
          <w:color w:val="000000" w:themeColor="text1"/>
          <w:sz w:val="16"/>
          <w:szCs w:val="16"/>
        </w:rPr>
        <w:lastRenderedPageBreak/>
        <w:t>30 июля в 1935 году издательство «Penguin Books» издало первую книжку категории «пейпербек» (paperback), то есть со сравнительно твердой бумажной (или картонной) обложкой, в которую торцом вклеен книжный блок. На следующий год основатель издательства Аллен Лейн (1902–1907) приступил к массовому выпуску печатной продукции этого типа, что, по существу, произвело революцию в издательском деле. Книжки, за счет фактического исключения операции переплета на порядок более дешевые, нежели «обычные», чрезвычайно удобные для чтения, обычно почти карманного формата, с броской обложкой, упрочненной обтяжкой из прозрачной синтетической пленки, стали раскупаться неслыханными тиражами (14968).</w:t>
      </w:r>
    </w:p>
    <w:p w14:paraId="40DAB22D" w14:textId="77777777" w:rsidR="006F4E11" w:rsidRPr="00E14102" w:rsidRDefault="006F4E11" w:rsidP="00E14102">
      <w:pPr>
        <w:jc w:val="both"/>
        <w:rPr>
          <w:color w:val="000000" w:themeColor="text1"/>
          <w:sz w:val="16"/>
          <w:szCs w:val="16"/>
        </w:rPr>
      </w:pPr>
    </w:p>
    <w:p w14:paraId="20F23C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 июля 1935 издательство “Пингвин” выпустило первую книжку в мягкой обложке и маленького формата (4962).</w:t>
      </w:r>
    </w:p>
    <w:p w14:paraId="0810268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EA3C28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B6B27BD" w14:textId="77777777" w:rsidR="00D4105E" w:rsidRPr="00E14102" w:rsidRDefault="00D4105E" w:rsidP="00E14102">
      <w:pPr>
        <w:autoSpaceDE w:val="0"/>
        <w:autoSpaceDN w:val="0"/>
        <w:adjustRightInd w:val="0"/>
        <w:jc w:val="both"/>
        <w:rPr>
          <w:iCs/>
          <w:color w:val="000000" w:themeColor="text1"/>
          <w:sz w:val="16"/>
          <w:szCs w:val="16"/>
        </w:rPr>
      </w:pPr>
    </w:p>
    <w:p w14:paraId="78E03E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июля 1935 закончились повторные заводские испытания СБ-РЦ (АНТ-40), которые начались с 5 февраля 1935. Уменьшили площадь крыла при том же размахе (4,13).</w:t>
      </w:r>
    </w:p>
    <w:p w14:paraId="4DB84724" w14:textId="77777777" w:rsidR="00D4105E" w:rsidRPr="00E14102" w:rsidRDefault="00D4105E" w:rsidP="00E14102">
      <w:pPr>
        <w:autoSpaceDE w:val="0"/>
        <w:autoSpaceDN w:val="0"/>
        <w:adjustRightInd w:val="0"/>
        <w:jc w:val="both"/>
        <w:rPr>
          <w:color w:val="000000" w:themeColor="text1"/>
          <w:sz w:val="16"/>
          <w:szCs w:val="16"/>
        </w:rPr>
      </w:pPr>
    </w:p>
    <w:p w14:paraId="318E1D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июля 1935 г. вышел приказ зам. наркома обороны Тухачевского от за N 0137 по проведению войсковых испытаний самолетов И-15 и И-16 (3120,4).</w:t>
      </w:r>
    </w:p>
    <w:p w14:paraId="34162BE7" w14:textId="77777777" w:rsidR="00D4105E" w:rsidRPr="00E14102" w:rsidRDefault="00D4105E" w:rsidP="00E14102">
      <w:pPr>
        <w:autoSpaceDE w:val="0"/>
        <w:autoSpaceDN w:val="0"/>
        <w:adjustRightInd w:val="0"/>
        <w:jc w:val="both"/>
        <w:rPr>
          <w:color w:val="000000" w:themeColor="text1"/>
          <w:sz w:val="16"/>
          <w:szCs w:val="16"/>
        </w:rPr>
      </w:pPr>
    </w:p>
    <w:p w14:paraId="519F0885" w14:textId="77777777" w:rsidR="006F4E11" w:rsidRPr="00E14102" w:rsidRDefault="006F4E11" w:rsidP="00E14102">
      <w:pPr>
        <w:pStyle w:val="rtejustify"/>
        <w:spacing w:before="0" w:after="0"/>
        <w:rPr>
          <w:color w:val="000000" w:themeColor="text1"/>
          <w:sz w:val="16"/>
          <w:szCs w:val="16"/>
        </w:rPr>
      </w:pPr>
      <w:r w:rsidRPr="00E14102">
        <w:rPr>
          <w:rStyle w:val="a6"/>
          <w:bCs/>
          <w:i w:val="0"/>
          <w:color w:val="000000" w:themeColor="text1"/>
          <w:sz w:val="16"/>
          <w:szCs w:val="16"/>
        </w:rPr>
        <w:t>31 июля 1935 вышел приказ НКО №</w:t>
      </w:r>
      <w:r w:rsidRPr="00E14102">
        <w:rPr>
          <w:color w:val="000000" w:themeColor="text1"/>
          <w:sz w:val="16"/>
          <w:szCs w:val="16"/>
        </w:rPr>
        <w:t> 0137. О производстве войсковых испытаний самолетов И</w:t>
      </w:r>
      <w:r w:rsidRPr="00E14102">
        <w:rPr>
          <w:color w:val="000000" w:themeColor="text1"/>
          <w:sz w:val="16"/>
          <w:szCs w:val="16"/>
        </w:rPr>
        <w:noBreakHyphen/>
        <w:t>15 и И</w:t>
      </w:r>
      <w:r w:rsidRPr="00E14102">
        <w:rPr>
          <w:color w:val="000000" w:themeColor="text1"/>
          <w:sz w:val="16"/>
          <w:szCs w:val="16"/>
        </w:rPr>
        <w:noBreakHyphen/>
        <w:t>16 (15247).</w:t>
      </w:r>
    </w:p>
    <w:p w14:paraId="5D16BAB8" w14:textId="77777777" w:rsidR="006F4E11" w:rsidRPr="00E14102" w:rsidRDefault="006F4E11" w:rsidP="00E14102">
      <w:pPr>
        <w:pStyle w:val="rtejustify"/>
        <w:spacing w:before="0" w:after="0"/>
        <w:rPr>
          <w:color w:val="000000" w:themeColor="text1"/>
          <w:sz w:val="16"/>
          <w:szCs w:val="16"/>
        </w:rPr>
      </w:pPr>
    </w:p>
    <w:p w14:paraId="4C060D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31-го июля 1935 ДВ СССР-Н26 начал ледовую разведку в Восточной части Карского моря. В 13 ч. 05 мин. он вылетел с Диксона по маршруту Диксон - м. Стерлигова - о. Русский - м. Неупокоева - точка с координатами 78°55' х 90°20' - м. Стерлигова, где самолет и должен был базироваться. Полет проходил в хороших погодных условиях на высоте 1000 м. В точке с координатами 76° 55' х 88° 40' экипаж обнаружил архипелаг из 2 островов, покрытых растительностью и 3 острова без нее. Поначалу летчики посчитали, что открыли новую землю, но оказалось - острова Брюзевица (что такое о-ва Брюзевица, пока выяснить не удалось, а по указанным координатам расположены острова Сергея Кирова, открытые поэтапно во время плаваний "Красина" и "Малыгина" в 1934-1935 гг.).</w:t>
      </w:r>
    </w:p>
    <w:p w14:paraId="1F52B6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3-го августа 1935 г. распоряжением начальника ГУСМП О.Ю.Шмидта и начальника УПА М.И.Шевелева, все тяжелые самолеты, к которым относились и Дорнье "Валь", были переключены на подстраховку перелета С.А.Леваневского. Но, так как вскоре перелет был отменен, 7-го августа Алексеев получил приказ вернуться на свою базу на мысе Стерлигова. Уже на следующий день лодка снова вылетела на разведку северо-восточной части Карского моря по маршруту м. Стерлигова - о. Русский - м. Неупокоева - фиорд Спартак - м. Неупокое- ва - о. Русский - м. Стерлигова.</w:t>
      </w:r>
    </w:p>
    <w:p w14:paraId="433E18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базирования на Таймыре Алексеев получил задание на ледовую разведку для ледокола "Сибиряков", который подходил к мысу Оловянному, но, встретив у о. Гансена туман и шторм, самолет вернулся на р. Таймыру. Здесь экипажу пришлось жить на чердаке дома зимовки или в самолете. Первый механик Сугробов, не выдержал таких условий, простудился и заболел. Так как врача на базе не было, экипаж перелетел на мыс Стерлигова. Состояние больного не улучшилось, температура держалась высокой, доходя до 41,6°. Везти его в таком состоянии было невозможно, и 6-го сентября Алексеев привез врача с Диксона. Благодаря медицинской помощи больной начал быстро поправляться.</w:t>
      </w:r>
    </w:p>
    <w:p w14:paraId="4050D6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следующий день СССР-Н26 перелетел на Диксон, сдав Сугробова на попечение врачей.</w:t>
      </w:r>
    </w:p>
    <w:p w14:paraId="783D43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11-го сентября пришло известие о пропаже самолета Ш-2 с Козловым и Линделем, вылетевших на поиски сухопутных аэродромов. 12-го сентября в 4 ч. 40 мин. лодка вылетела с Диксона в район возможной разведки Козлова. Подлетев к устью р. Таймыра, летчики увидели Ш-2, стоящий на берегу, недалеко от зимовки и пошли на посадку. При осмотре аварийного самолета, авиаторы решили эвакуировать его с места вынужденной посадки пароходом, а Линделя взять с собой и перевезти на м. Челюскина. Но из-за непогоды сделать это удалось только 16-го сентября. СССР-Н26 достиг мыса Челюскина, но приводниться из-за сильного прибоя не смог. Линделя высадили у мыса Вега, сообщив об этом на ледокол "Ермак" и мыс Челюскина.</w:t>
      </w:r>
    </w:p>
    <w:p w14:paraId="616091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23-го сентября СССР-Н26 выполнил рейс из Дудинки в Игарку и обратно. Затем с летающей лодки сняли морское снаряжение, и с 24-го сентября она перевозила грузы в Норильск. До 1 октября сделали 8 рейсов, доставили в Норильск 12000 кг грузов, а из Норильска в Дудинку 2000 кг горных образцов. Четвертого октября вернулись в Красноярск. Ресурс моторов практически закончился, и самолет по приказанию начальника УВС оставили на воде, как страховочный, а после того как необходимость в этом отпала, 15 октября вытащили на берег и сдали в Красноярские авиамастерские для ремонта.</w:t>
      </w:r>
    </w:p>
    <w:p w14:paraId="50CB36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 (11970).</w:t>
      </w:r>
    </w:p>
    <w:p w14:paraId="1F099ED1" w14:textId="77777777" w:rsidR="00D4105E" w:rsidRPr="00E14102" w:rsidRDefault="00D4105E" w:rsidP="00E14102">
      <w:pPr>
        <w:autoSpaceDE w:val="0"/>
        <w:autoSpaceDN w:val="0"/>
        <w:adjustRightInd w:val="0"/>
        <w:jc w:val="both"/>
        <w:rPr>
          <w:color w:val="000000" w:themeColor="text1"/>
          <w:sz w:val="16"/>
          <w:szCs w:val="16"/>
        </w:rPr>
      </w:pPr>
    </w:p>
    <w:p w14:paraId="143C844B" w14:textId="77777777" w:rsidR="00117FE4" w:rsidRPr="00E14102" w:rsidRDefault="00117FE4" w:rsidP="00E14102">
      <w:pPr>
        <w:jc w:val="both"/>
        <w:rPr>
          <w:color w:val="0070C0"/>
          <w:sz w:val="16"/>
          <w:szCs w:val="16"/>
        </w:rPr>
      </w:pPr>
      <w:r w:rsidRPr="00E14102">
        <w:rPr>
          <w:color w:val="0070C0"/>
          <w:sz w:val="16"/>
          <w:szCs w:val="16"/>
        </w:rPr>
        <w:t>31 июля 1935 г. в 19.50 под Москвой на сфе</w:t>
      </w:r>
      <w:r w:rsidRPr="00E14102">
        <w:rPr>
          <w:color w:val="0070C0"/>
          <w:sz w:val="16"/>
          <w:szCs w:val="16"/>
        </w:rPr>
        <w:softHyphen/>
        <w:t>рическом аэростате объёмом 1600 м3 стартовали в рекордный полёт на дальность военные воз</w:t>
      </w:r>
      <w:r w:rsidRPr="00E14102">
        <w:rPr>
          <w:color w:val="0070C0"/>
          <w:sz w:val="16"/>
          <w:szCs w:val="16"/>
        </w:rPr>
        <w:softHyphen/>
        <w:t>духоплаватели Б.А. Романов и А.И. Бабыкин. Аэронавты имели спасательные пояса на случай посадки на воду, а также кислородные приборы, чтобы при пересечении Уральских гор иметь возможность подняться на высоту 6000-7000 м. Корзину оборудовали измерительными и кон</w:t>
      </w:r>
      <w:r w:rsidRPr="00E14102">
        <w:rPr>
          <w:color w:val="0070C0"/>
          <w:sz w:val="16"/>
          <w:szCs w:val="16"/>
        </w:rPr>
        <w:softHyphen/>
        <w:t>трольными приборами (барографы, альтиме</w:t>
      </w:r>
      <w:r w:rsidRPr="00E14102">
        <w:rPr>
          <w:color w:val="0070C0"/>
          <w:sz w:val="16"/>
          <w:szCs w:val="16"/>
        </w:rPr>
        <w:softHyphen/>
        <w:t>тры и секстант), связь с землёй поддерживалась сбросом вымпелов (о десяти из них сообщили в Москву).</w:t>
      </w:r>
    </w:p>
    <w:p w14:paraId="70ABF248" w14:textId="77777777" w:rsidR="00117FE4" w:rsidRPr="00E14102" w:rsidRDefault="00117FE4" w:rsidP="00E14102">
      <w:pPr>
        <w:jc w:val="both"/>
        <w:rPr>
          <w:color w:val="0070C0"/>
          <w:sz w:val="16"/>
          <w:szCs w:val="16"/>
        </w:rPr>
      </w:pPr>
      <w:r w:rsidRPr="00E14102">
        <w:rPr>
          <w:color w:val="0070C0"/>
          <w:sz w:val="16"/>
          <w:szCs w:val="16"/>
        </w:rPr>
        <w:t>Полёт выполнялся по маршруту Москва — Ульяновск — Уфа. Метеорологические условия принудили взять курс в напровлении Чебоксар. Начавшийся дождь заставил воздухоплавате</w:t>
      </w:r>
      <w:r w:rsidRPr="00E14102">
        <w:rPr>
          <w:color w:val="0070C0"/>
          <w:sz w:val="16"/>
          <w:szCs w:val="16"/>
        </w:rPr>
        <w:softHyphen/>
        <w:t>лей пойти на посадку. 3 августа, в 03.55 аэростат опустился у д. Ивановка в 15 км от г. Канаша (Чувашская АССР). Романов и Бабыкин продер</w:t>
      </w:r>
      <w:r w:rsidRPr="00E14102">
        <w:rPr>
          <w:color w:val="0070C0"/>
          <w:sz w:val="16"/>
          <w:szCs w:val="16"/>
        </w:rPr>
        <w:softHyphen/>
        <w:t>жались в воздухе 56 ч 5 мин, на 5 часов превы</w:t>
      </w:r>
      <w:r w:rsidRPr="00E14102">
        <w:rPr>
          <w:color w:val="0070C0"/>
          <w:sz w:val="16"/>
          <w:szCs w:val="16"/>
        </w:rPr>
        <w:softHyphen/>
        <w:t>сив мировой рекорд лейтенанта Сеттля (США) 1933 г.42 (так как ЦАК СССР ещё не вошёл в со</w:t>
      </w:r>
      <w:r w:rsidRPr="00E14102">
        <w:rPr>
          <w:color w:val="0070C0"/>
          <w:sz w:val="16"/>
          <w:szCs w:val="16"/>
        </w:rPr>
        <w:softHyphen/>
        <w:t>став ФАИ, то данный рекорд не получил статуса мирового). Вместе с тем вторая попытка совет</w:t>
      </w:r>
      <w:r w:rsidRPr="00E14102">
        <w:rPr>
          <w:color w:val="0070C0"/>
          <w:sz w:val="16"/>
          <w:szCs w:val="16"/>
        </w:rPr>
        <w:softHyphen/>
        <w:t>ских воздухоплавателей перелететь через Уральский хребет в Сибирь (в 1934 г. А.М. Тропин и Я.Г. Украинский на аэростате объёмом 700 м3 вынужденно прервали полёт в районе Перми) не увенчалась успехом. Так как воздушные тече</w:t>
      </w:r>
      <w:r w:rsidRPr="00E14102">
        <w:rPr>
          <w:color w:val="0070C0"/>
          <w:sz w:val="16"/>
          <w:szCs w:val="16"/>
        </w:rPr>
        <w:softHyphen/>
        <w:t>ния над Уралом в то время ещё не были изуче</w:t>
      </w:r>
      <w:r w:rsidRPr="00E14102">
        <w:rPr>
          <w:color w:val="0070C0"/>
          <w:sz w:val="16"/>
          <w:szCs w:val="16"/>
        </w:rPr>
        <w:softHyphen/>
        <w:t>ны, и перелёт через Уральский хребет в Сибирь представлял несомненный научный интерес, то Б.А. Романов и А.И. Бабыкин вскоре повторили свою попытку (20120).</w:t>
      </w:r>
    </w:p>
    <w:p w14:paraId="0F7AA779" w14:textId="77777777" w:rsidR="00117FE4" w:rsidRPr="00E14102" w:rsidRDefault="00117FE4" w:rsidP="00E14102">
      <w:pPr>
        <w:jc w:val="both"/>
        <w:rPr>
          <w:color w:val="0070C0"/>
          <w:sz w:val="16"/>
          <w:szCs w:val="16"/>
        </w:rPr>
      </w:pPr>
    </w:p>
    <w:p w14:paraId="4F1E8B05" w14:textId="77777777" w:rsidR="006F4E11"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1C82983" w14:textId="77777777" w:rsidR="006F4E11" w:rsidRPr="00E14102" w:rsidRDefault="006F4E11" w:rsidP="00E14102">
      <w:pPr>
        <w:autoSpaceDE w:val="0"/>
        <w:autoSpaceDN w:val="0"/>
        <w:adjustRightInd w:val="0"/>
        <w:jc w:val="both"/>
        <w:rPr>
          <w:iCs/>
          <w:color w:val="000000" w:themeColor="text1"/>
          <w:sz w:val="16"/>
          <w:szCs w:val="16"/>
        </w:rPr>
      </w:pPr>
    </w:p>
    <w:p w14:paraId="56ED799B" w14:textId="77777777" w:rsidR="006F4E11" w:rsidRPr="00E14102" w:rsidRDefault="006F4E11" w:rsidP="00E14102">
      <w:pPr>
        <w:pStyle w:val="rtejustify"/>
        <w:spacing w:before="0" w:after="0"/>
        <w:rPr>
          <w:color w:val="000000" w:themeColor="text1"/>
          <w:sz w:val="16"/>
          <w:szCs w:val="16"/>
        </w:rPr>
      </w:pPr>
      <w:r w:rsidRPr="00E14102">
        <w:rPr>
          <w:rStyle w:val="a6"/>
          <w:bCs/>
          <w:i w:val="0"/>
          <w:color w:val="000000" w:themeColor="text1"/>
          <w:sz w:val="16"/>
          <w:szCs w:val="16"/>
        </w:rPr>
        <w:t>31 июля 1935 вышел приказ НКО №</w:t>
      </w:r>
      <w:r w:rsidRPr="00E14102">
        <w:rPr>
          <w:color w:val="000000" w:themeColor="text1"/>
          <w:sz w:val="16"/>
          <w:szCs w:val="16"/>
        </w:rPr>
        <w:t> 0072. О вводе в состав Морских сил РККА построенных подводных лодок (15247).</w:t>
      </w:r>
    </w:p>
    <w:p w14:paraId="6F5F022D" w14:textId="77777777" w:rsidR="006F4E11" w:rsidRPr="00E14102" w:rsidRDefault="006F4E11" w:rsidP="00E14102">
      <w:pPr>
        <w:pStyle w:val="rtejustify"/>
        <w:spacing w:before="0" w:after="0"/>
        <w:rPr>
          <w:color w:val="000000" w:themeColor="text1"/>
          <w:sz w:val="16"/>
          <w:szCs w:val="16"/>
        </w:rPr>
      </w:pPr>
    </w:p>
    <w:p w14:paraId="2AE3748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2F951F3" w14:textId="77777777" w:rsidR="00D4105E" w:rsidRPr="00E14102" w:rsidRDefault="00D4105E" w:rsidP="00E14102">
      <w:pPr>
        <w:autoSpaceDE w:val="0"/>
        <w:autoSpaceDN w:val="0"/>
        <w:adjustRightInd w:val="0"/>
        <w:jc w:val="both"/>
        <w:rPr>
          <w:iCs/>
          <w:color w:val="000000" w:themeColor="text1"/>
          <w:sz w:val="16"/>
          <w:szCs w:val="16"/>
        </w:rPr>
      </w:pPr>
    </w:p>
    <w:p w14:paraId="61C9D6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конце июля 1935 г. закончилось проектирование опытных образцов боеприпаса и орудия для РС-60Т. В ходе лабораторных испытаний удалось опти</w:t>
      </w:r>
      <w:r w:rsidRPr="00E14102">
        <w:rPr>
          <w:color w:val="000000" w:themeColor="text1"/>
          <w:sz w:val="16"/>
          <w:szCs w:val="16"/>
        </w:rPr>
        <w:softHyphen/>
        <w:t>мизировать способ укладки парашюта, способ передачи огня вышибно-му заряду, величину вышибного заряда, порядок воспламенения трасси</w:t>
      </w:r>
      <w:r w:rsidRPr="00E14102">
        <w:rPr>
          <w:color w:val="000000" w:themeColor="text1"/>
          <w:sz w:val="16"/>
          <w:szCs w:val="16"/>
        </w:rPr>
        <w:softHyphen/>
        <w:t>рующего состава и длительность возгонки дыма, а также рассчитали диа</w:t>
      </w:r>
      <w:r w:rsidRPr="00E14102">
        <w:rPr>
          <w:color w:val="000000" w:themeColor="text1"/>
          <w:sz w:val="16"/>
          <w:szCs w:val="16"/>
        </w:rPr>
        <w:softHyphen/>
        <w:t>метр критического сечения сопла и замерили величину давления в ра</w:t>
      </w:r>
      <w:r w:rsidRPr="00E14102">
        <w:rPr>
          <w:color w:val="000000" w:themeColor="text1"/>
          <w:sz w:val="16"/>
          <w:szCs w:val="16"/>
        </w:rPr>
        <w:softHyphen/>
        <w:t>кетной камере.</w:t>
      </w:r>
    </w:p>
    <w:p w14:paraId="17313D4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Замедлитель из бикфордова шнура, горящий со скоростью 1 см/с, вполне удовлетворял передаче огня из ракетной камеры к вышибному заряду. Шнур закатывали в бумагу и помещали в металлическую трубку. С одной ее стороны запрессовывали обычную пороховая мякоть, а дру</w:t>
      </w:r>
      <w:r w:rsidRPr="00E14102">
        <w:rPr>
          <w:color w:val="000000" w:themeColor="text1"/>
          <w:sz w:val="16"/>
          <w:szCs w:val="16"/>
        </w:rPr>
        <w:softHyphen/>
        <w:t>гим она соприкасалась с вышибным зарядом. Полное горение шнура продолжалось в течение 8 с. В десяти опытах отклонение по времени го</w:t>
      </w:r>
      <w:r w:rsidRPr="00E14102">
        <w:rPr>
          <w:color w:val="000000" w:themeColor="text1"/>
          <w:sz w:val="16"/>
          <w:szCs w:val="16"/>
        </w:rPr>
        <w:softHyphen/>
        <w:t>рения не превысило более 0,5 с.</w:t>
      </w:r>
    </w:p>
    <w:p w14:paraId="5709571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 использовали от 6-дюймового осветительного артснаряда с диаметром купола 700 мм. Купол складывали секторами и помещали в корпус БЧ вокруг направляющей трубки, а затем укладывали стропы. Только это исключало их спутывание и обрыв. Незначительное опаливание купола не отражалось на действии боеприпаса. Трехшашечные РЗ из пороха ПТП габаритами 24/6-57,5 мм горели безупречно (11402).</w:t>
      </w:r>
    </w:p>
    <w:p w14:paraId="1C5ED5F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D43189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212DA48" w14:textId="77777777" w:rsidR="00D4105E" w:rsidRPr="00E14102" w:rsidRDefault="00D4105E" w:rsidP="00E14102">
      <w:pPr>
        <w:autoSpaceDE w:val="0"/>
        <w:autoSpaceDN w:val="0"/>
        <w:adjustRightInd w:val="0"/>
        <w:jc w:val="both"/>
        <w:rPr>
          <w:iCs/>
          <w:color w:val="000000" w:themeColor="text1"/>
          <w:sz w:val="16"/>
          <w:szCs w:val="16"/>
        </w:rPr>
      </w:pPr>
    </w:p>
    <w:p w14:paraId="784CC1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начались испытания экспериментального самолета ЦКБ-26 конструкции С.В.Ильюшина (274).</w:t>
      </w:r>
    </w:p>
    <w:p w14:paraId="33958D85" w14:textId="77777777" w:rsidR="00D4105E" w:rsidRPr="00E14102" w:rsidRDefault="00D4105E" w:rsidP="00E14102">
      <w:pPr>
        <w:autoSpaceDE w:val="0"/>
        <w:autoSpaceDN w:val="0"/>
        <w:adjustRightInd w:val="0"/>
        <w:jc w:val="both"/>
        <w:rPr>
          <w:color w:val="000000" w:themeColor="text1"/>
          <w:sz w:val="16"/>
          <w:szCs w:val="16"/>
        </w:rPr>
      </w:pPr>
    </w:p>
    <w:p w14:paraId="0B6303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ВВС требуют установки на самолет АНТ-42 протектированных топливных баков (7685).</w:t>
      </w:r>
    </w:p>
    <w:p w14:paraId="7097A88B" w14:textId="77777777" w:rsidR="00D4105E" w:rsidRPr="00E14102" w:rsidRDefault="00D4105E" w:rsidP="00E14102">
      <w:pPr>
        <w:autoSpaceDE w:val="0"/>
        <w:autoSpaceDN w:val="0"/>
        <w:adjustRightInd w:val="0"/>
        <w:jc w:val="both"/>
        <w:rPr>
          <w:color w:val="000000" w:themeColor="text1"/>
          <w:sz w:val="16"/>
          <w:szCs w:val="16"/>
        </w:rPr>
      </w:pPr>
    </w:p>
    <w:p w14:paraId="0529E159" w14:textId="77777777" w:rsidR="00872260" w:rsidRPr="00E14102" w:rsidRDefault="00872260" w:rsidP="00E14102">
      <w:pPr>
        <w:jc w:val="both"/>
        <w:rPr>
          <w:color w:val="000000" w:themeColor="text1"/>
          <w:sz w:val="16"/>
          <w:szCs w:val="16"/>
        </w:rPr>
      </w:pPr>
      <w:r w:rsidRPr="00E14102">
        <w:rPr>
          <w:color w:val="000000" w:themeColor="text1"/>
          <w:sz w:val="16"/>
          <w:szCs w:val="16"/>
        </w:rPr>
        <w:t>В июле ВВС требуют установки на самолет ТБ-7 протектированных топливных баков. В конце августа ЦАГИ и завод №4 вырабатывают и согласовывают технические данные двигателя АМ-34ФРН, завод обязывают предоставить к 1 марта 1935 года 5 двигателей (12726).</w:t>
      </w:r>
    </w:p>
    <w:p w14:paraId="32B6C8C2" w14:textId="77777777" w:rsidR="00872260" w:rsidRPr="00E14102" w:rsidRDefault="00872260" w:rsidP="00E14102">
      <w:pPr>
        <w:jc w:val="both"/>
        <w:rPr>
          <w:color w:val="000000" w:themeColor="text1"/>
          <w:sz w:val="16"/>
          <w:szCs w:val="16"/>
        </w:rPr>
      </w:pPr>
    </w:p>
    <w:p w14:paraId="294081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УВВС потребовало протектирования бензобаков ТБ-7. В середине ноября 1935 уточнили комплектацию вооружения, оборудования и винтомоторной группы ТБ-7. К маю 1935 г. некоторые бригады были уже близки к завершению рабочих чертежей (11996).</w:t>
      </w:r>
    </w:p>
    <w:p w14:paraId="2AB5398F" w14:textId="77777777" w:rsidR="00D4105E" w:rsidRPr="00E14102" w:rsidRDefault="00D4105E" w:rsidP="00E14102">
      <w:pPr>
        <w:autoSpaceDE w:val="0"/>
        <w:autoSpaceDN w:val="0"/>
        <w:adjustRightInd w:val="0"/>
        <w:jc w:val="both"/>
        <w:rPr>
          <w:color w:val="000000" w:themeColor="text1"/>
          <w:sz w:val="16"/>
          <w:szCs w:val="16"/>
        </w:rPr>
      </w:pPr>
    </w:p>
    <w:p w14:paraId="056DFA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была начата постройка дублера ДБ-2 (1102).</w:t>
      </w:r>
    </w:p>
    <w:p w14:paraId="673FC649" w14:textId="77777777" w:rsidR="00D4105E" w:rsidRPr="00E14102" w:rsidRDefault="00D4105E" w:rsidP="00E14102">
      <w:pPr>
        <w:autoSpaceDE w:val="0"/>
        <w:autoSpaceDN w:val="0"/>
        <w:adjustRightInd w:val="0"/>
        <w:jc w:val="both"/>
        <w:rPr>
          <w:color w:val="000000" w:themeColor="text1"/>
          <w:sz w:val="16"/>
          <w:szCs w:val="16"/>
        </w:rPr>
      </w:pPr>
    </w:p>
    <w:p w14:paraId="14A6D2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в НИИ ВВС проходили гос. испытания СБ с двумя моторами Испано-Сюиза 12 ybrs (опытный)</w:t>
      </w:r>
    </w:p>
    <w:p w14:paraId="5EDB26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Госиспытания не выдержал.</w:t>
      </w:r>
    </w:p>
    <w:p w14:paraId="185FED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Опасные для полета дефекты, а также невыполнение ряда пунктов ТТТ сделало самолет в предъявленном виде практически небоеспособным.</w:t>
      </w:r>
    </w:p>
    <w:p w14:paraId="3322CB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Без устранения перечисленных в отчете дефектов самолет СБ не мог быть принят на вооружение ВВС.</w:t>
      </w:r>
    </w:p>
    <w:p w14:paraId="58E014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Отмечены:</w:t>
      </w:r>
    </w:p>
    <w:p w14:paraId="27705C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Продольная и поперечная устойчивость.</w:t>
      </w:r>
    </w:p>
    <w:p w14:paraId="1CA8BE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Образование волновых складок на обшивке крыла.</w:t>
      </w:r>
    </w:p>
    <w:p w14:paraId="10A1BB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Малый запас прочности.</w:t>
      </w:r>
    </w:p>
    <w:p w14:paraId="27A006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Вибрация винтомоторной группы.</w:t>
      </w:r>
    </w:p>
    <w:p w14:paraId="412789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Недоведено охлаждение моторов (7721, 248-250).</w:t>
      </w:r>
    </w:p>
    <w:p w14:paraId="24D72FB1" w14:textId="77777777" w:rsidR="00D4105E" w:rsidRPr="00E14102" w:rsidRDefault="00D4105E" w:rsidP="00E14102">
      <w:pPr>
        <w:autoSpaceDE w:val="0"/>
        <w:autoSpaceDN w:val="0"/>
        <w:adjustRightInd w:val="0"/>
        <w:jc w:val="both"/>
        <w:rPr>
          <w:color w:val="000000" w:themeColor="text1"/>
          <w:sz w:val="16"/>
          <w:szCs w:val="16"/>
        </w:rPr>
      </w:pPr>
    </w:p>
    <w:p w14:paraId="6E4D63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начальник и военком НИИ ВС Бажанов утвердил Отчет государственных испытаний самолета СБ с 2-мя моторами Испано-Сюиза 12 и стрелкового вооружения на самолете СБ-2рц (2964).</w:t>
      </w:r>
    </w:p>
    <w:p w14:paraId="29DFD96D" w14:textId="77777777" w:rsidR="00D4105E" w:rsidRPr="00E14102" w:rsidRDefault="00D4105E" w:rsidP="00E14102">
      <w:pPr>
        <w:autoSpaceDE w:val="0"/>
        <w:autoSpaceDN w:val="0"/>
        <w:adjustRightInd w:val="0"/>
        <w:jc w:val="both"/>
        <w:rPr>
          <w:color w:val="000000" w:themeColor="text1"/>
          <w:sz w:val="16"/>
          <w:szCs w:val="16"/>
        </w:rPr>
      </w:pPr>
    </w:p>
    <w:p w14:paraId="0BA503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закончились гос. испытания АНТ-40 (СБ) ИС, которые начались в феврале 1935 (1076,480).</w:t>
      </w:r>
    </w:p>
    <w:p w14:paraId="54858FE9" w14:textId="77777777" w:rsidR="00D4105E" w:rsidRPr="00E14102" w:rsidRDefault="00D4105E" w:rsidP="00E14102">
      <w:pPr>
        <w:autoSpaceDE w:val="0"/>
        <w:autoSpaceDN w:val="0"/>
        <w:adjustRightInd w:val="0"/>
        <w:jc w:val="both"/>
        <w:rPr>
          <w:color w:val="000000" w:themeColor="text1"/>
          <w:sz w:val="16"/>
          <w:szCs w:val="16"/>
        </w:rPr>
      </w:pPr>
    </w:p>
    <w:p w14:paraId="22EEC2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Н.Н.П. разработал проект ЦКБ-29 с высотным РЦ-Ф-54 и новой конструкцией шасси. Не пошел (1808,13).</w:t>
      </w:r>
    </w:p>
    <w:p w14:paraId="3C9A0F5B" w14:textId="77777777" w:rsidR="00D4105E" w:rsidRPr="00E14102" w:rsidRDefault="00D4105E" w:rsidP="00E14102">
      <w:pPr>
        <w:autoSpaceDE w:val="0"/>
        <w:autoSpaceDN w:val="0"/>
        <w:adjustRightInd w:val="0"/>
        <w:jc w:val="both"/>
        <w:rPr>
          <w:color w:val="000000" w:themeColor="text1"/>
          <w:sz w:val="16"/>
          <w:szCs w:val="16"/>
        </w:rPr>
      </w:pPr>
    </w:p>
    <w:p w14:paraId="7D4BE5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ДИ-8 - АНТ-46, сделанный бригадой А.А.А. на основе преобразования серийного АНТ-40 СБ производства 22 завода, вывели на аэродром. ДБ-3СС - был конкурентом, но намного позже. Предназначался для применения в совместных боевых порядках с СБ (АНТ-40) (1104,29).</w:t>
      </w:r>
    </w:p>
    <w:p w14:paraId="63B82DD0" w14:textId="77777777" w:rsidR="00D4105E" w:rsidRPr="00E14102" w:rsidRDefault="00D4105E" w:rsidP="00E14102">
      <w:pPr>
        <w:autoSpaceDE w:val="0"/>
        <w:autoSpaceDN w:val="0"/>
        <w:adjustRightInd w:val="0"/>
        <w:jc w:val="both"/>
        <w:rPr>
          <w:color w:val="000000" w:themeColor="text1"/>
          <w:sz w:val="16"/>
          <w:szCs w:val="16"/>
        </w:rPr>
      </w:pPr>
    </w:p>
    <w:p w14:paraId="2BC275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июле 1935 г., через месяц после перво</w:t>
      </w:r>
      <w:r w:rsidRPr="00E14102">
        <w:rPr>
          <w:color w:val="000000" w:themeColor="text1"/>
          <w:sz w:val="16"/>
          <w:szCs w:val="16"/>
        </w:rPr>
        <w:softHyphen/>
        <w:t>го полета, опытный АНТ-37 разрушил</w:t>
      </w:r>
      <w:r w:rsidRPr="00E14102">
        <w:rPr>
          <w:color w:val="000000" w:themeColor="text1"/>
          <w:sz w:val="16"/>
          <w:szCs w:val="16"/>
        </w:rPr>
        <w:softHyphen/>
        <w:t>ся в воздухе. Причиной явился бафтинг хвостового оперения. Опасная тряска проявлялась и на дублере АНТ-37, вы</w:t>
      </w:r>
      <w:r w:rsidRPr="00E14102">
        <w:rPr>
          <w:color w:val="000000" w:themeColor="text1"/>
          <w:sz w:val="16"/>
          <w:szCs w:val="16"/>
        </w:rPr>
        <w:softHyphen/>
        <w:t>пущенном в начале 1936 г. Устранение бафтинга, в те годы довольно плохо изу</w:t>
      </w:r>
      <w:r w:rsidRPr="00E14102">
        <w:rPr>
          <w:color w:val="000000" w:themeColor="text1"/>
          <w:sz w:val="16"/>
          <w:szCs w:val="16"/>
        </w:rPr>
        <w:softHyphen/>
        <w:t>ченного, было непростым делом. Из-за многочисленных дефектов НИИ ВВС отказался принять эту машину на госи</w:t>
      </w:r>
      <w:r w:rsidRPr="00E14102">
        <w:rPr>
          <w:color w:val="000000" w:themeColor="text1"/>
          <w:sz w:val="16"/>
          <w:szCs w:val="16"/>
        </w:rPr>
        <w:softHyphen/>
        <w:t>спытания. А вторым обстоятельством, «похоронившим» ДБ-2, стали успехи коллектива, возглавлявшегося Илью</w:t>
      </w:r>
      <w:r w:rsidRPr="00E14102">
        <w:rPr>
          <w:color w:val="000000" w:themeColor="text1"/>
          <w:sz w:val="16"/>
          <w:szCs w:val="16"/>
        </w:rPr>
        <w:softHyphen/>
        <w:t>шиным (10734,4).</w:t>
      </w:r>
    </w:p>
    <w:p w14:paraId="5E21BF4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FB31D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бригада А.А.А. закончила строительство АНТ-46 (ДИ-8) (273,312).</w:t>
      </w:r>
    </w:p>
    <w:p w14:paraId="256F0A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 в июне 1935 (1076,491).</w:t>
      </w:r>
    </w:p>
    <w:p w14:paraId="2FE1EF71" w14:textId="77777777" w:rsidR="00D4105E" w:rsidRPr="00E14102" w:rsidRDefault="00D4105E" w:rsidP="00E14102">
      <w:pPr>
        <w:autoSpaceDE w:val="0"/>
        <w:autoSpaceDN w:val="0"/>
        <w:adjustRightInd w:val="0"/>
        <w:jc w:val="both"/>
        <w:rPr>
          <w:color w:val="000000" w:themeColor="text1"/>
          <w:sz w:val="16"/>
          <w:szCs w:val="16"/>
        </w:rPr>
      </w:pPr>
    </w:p>
    <w:p w14:paraId="09AB7D8C" w14:textId="77777777" w:rsidR="006F4E11" w:rsidRPr="00E14102" w:rsidRDefault="006F4E11" w:rsidP="00E14102">
      <w:pPr>
        <w:jc w:val="both"/>
        <w:rPr>
          <w:color w:val="000000" w:themeColor="text1"/>
          <w:sz w:val="16"/>
          <w:szCs w:val="16"/>
        </w:rPr>
      </w:pPr>
      <w:r w:rsidRPr="00E14102">
        <w:rPr>
          <w:color w:val="000000" w:themeColor="text1"/>
          <w:sz w:val="16"/>
          <w:szCs w:val="16"/>
        </w:rPr>
        <w:t>В июле 1935-го ДИ-8 был выведен на аэродром. Летные испытания проводил пилот ЦАГИ Михаил Юрьевич Алексеев, совершив на ДИ-8 первый полет 1 августа 1935-го.</w:t>
      </w:r>
    </w:p>
    <w:p w14:paraId="12FC1FE1" w14:textId="77777777" w:rsidR="006F4E11" w:rsidRPr="00E14102" w:rsidRDefault="006F4E11" w:rsidP="00E14102">
      <w:pPr>
        <w:jc w:val="both"/>
        <w:rPr>
          <w:color w:val="000000" w:themeColor="text1"/>
          <w:sz w:val="16"/>
          <w:szCs w:val="16"/>
        </w:rPr>
      </w:pPr>
      <w:r w:rsidRPr="00E14102">
        <w:rPr>
          <w:color w:val="000000" w:themeColor="text1"/>
          <w:sz w:val="16"/>
          <w:szCs w:val="16"/>
        </w:rPr>
        <w:t>В 1935 г. АНТ-40 еще не успел сколько-нибудь утяжелиться от войсковых рекомендаций или технологических доработок серийного производства. Для переоборудования его в дальний истребитель взяли машину по типу первых опытных СБ, которые только начинали сходить с конвейера завода № 22 в Филях. Один экземпляр был приведен к виду, удобному для переквалификации, принципиально не отличаясь от первого летного образца АНТ-40 с двумя двигателями воздушного охлаждения Райт «Циклон». Взамен «Циклонов» для большей энерговооруженности будущего истребителя установили двухрядные звездообразные моторы Гном-Рон «Мистраль-Мажор» 14 К.</w:t>
      </w:r>
    </w:p>
    <w:p w14:paraId="6D5FC12B" w14:textId="77777777" w:rsidR="006F4E11" w:rsidRPr="00E14102" w:rsidRDefault="006F4E11" w:rsidP="00E14102">
      <w:pPr>
        <w:jc w:val="both"/>
        <w:rPr>
          <w:color w:val="000000" w:themeColor="text1"/>
          <w:sz w:val="16"/>
          <w:szCs w:val="16"/>
        </w:rPr>
      </w:pPr>
      <w:r w:rsidRPr="00E14102">
        <w:rPr>
          <w:color w:val="000000" w:themeColor="text1"/>
          <w:sz w:val="16"/>
          <w:szCs w:val="16"/>
        </w:rPr>
        <w:t>При создании ДИ-8 конструкторы учли опыт разработки и доводок близких к нему прототипов МИ-ЗД и ДИП, поэтому им легко удалось избежать многих осложнений. Дело в том, что цельнометаллическая конструкция, во многом сходная для этих машин, была уже хорошо отработана и доведена до приемлемой надежности летными испытаниями, правда, с моторами водяного охлаждения. Не менее важным отличием ДИ-8 от СБ являлись две динамореактивные пушки АПК-4 калибра 76,2 мм, которые разработало управление специальных работ (УСР НКТП). Они были установлены в отъемных частях крыла с проходом стволов через обшивку передней кромки и выхлопных труб с диффузорами над ребром обтекания крыла сквозь его верхнюю обшивку. Боезапас каждого орудия составлял 15 снарядов.</w:t>
      </w:r>
    </w:p>
    <w:p w14:paraId="0D8284F0" w14:textId="77777777" w:rsidR="006F4E11" w:rsidRPr="00E14102" w:rsidRDefault="006F4E11" w:rsidP="00E14102">
      <w:pPr>
        <w:jc w:val="both"/>
        <w:rPr>
          <w:color w:val="000000" w:themeColor="text1"/>
          <w:sz w:val="16"/>
          <w:szCs w:val="16"/>
        </w:rPr>
      </w:pPr>
      <w:r w:rsidRPr="00E14102">
        <w:rPr>
          <w:color w:val="000000" w:themeColor="text1"/>
          <w:sz w:val="16"/>
          <w:szCs w:val="16"/>
        </w:rPr>
        <w:t>В центроплане крыла у правого борта фюзеляжа установили третью огневую точку — пулемет ШКАс с запасом 800 патронов. Отличия коснулись и оборонительного вооружения. В носовой кабине штурмана-бомбардира взамен спарки пулеметов ШКАС появился один подвижный крупнокалиберный пулемет ШВАК 12,7 мм. В хвостовой части фюзеляжа оружие осталось как на СБ — верхний турельный ШКАС на подвижной установке ТУР-9 и нижний люковый пулемет той же системы.</w:t>
      </w:r>
    </w:p>
    <w:p w14:paraId="63329778" w14:textId="77777777" w:rsidR="006F4E11" w:rsidRPr="00E14102" w:rsidRDefault="006F4E11" w:rsidP="00E14102">
      <w:pPr>
        <w:jc w:val="both"/>
        <w:rPr>
          <w:color w:val="000000" w:themeColor="text1"/>
          <w:sz w:val="16"/>
          <w:szCs w:val="16"/>
        </w:rPr>
      </w:pPr>
      <w:r w:rsidRPr="00E14102">
        <w:rPr>
          <w:color w:val="000000" w:themeColor="text1"/>
          <w:sz w:val="16"/>
          <w:szCs w:val="16"/>
        </w:rPr>
        <w:t>Для упоминания другой «изюминки» ДИ-8 (помимо наступательных ДРП), которая вошла в состав оборонительного вооружения с задней полусферы, вернемся к центроплану крыла. У границ зализов стыка крыла и фюзеляжа чуть выше задней кромки центроплана устроили амбразуры двух неподвижных пулеметов ШКАС. Ведение огня из них должно было производиться при заходе вражеского истребителя точно в хвост. Направляемые самолетом и нацеливаемые с помощью перископа заднего обзора, эти ШКАСы представляли бы для неприятеля полную неожиданность. При отражении атаки противника со столь строгого ракурса результативная стрельба из турельной и люковой установок была бы затруднена и наличие неподвижных пулеметов в центроплане значительно усложнило бы условия нападения с задней полусферы.</w:t>
      </w:r>
    </w:p>
    <w:p w14:paraId="26E9BDD9" w14:textId="77777777" w:rsidR="006F4E11" w:rsidRPr="00E14102" w:rsidRDefault="006F4E11" w:rsidP="00E14102">
      <w:pPr>
        <w:jc w:val="both"/>
        <w:rPr>
          <w:color w:val="000000" w:themeColor="text1"/>
          <w:sz w:val="16"/>
          <w:szCs w:val="16"/>
        </w:rPr>
      </w:pPr>
      <w:r w:rsidRPr="00E14102">
        <w:rPr>
          <w:color w:val="000000" w:themeColor="text1"/>
          <w:sz w:val="16"/>
          <w:szCs w:val="16"/>
        </w:rPr>
        <w:t>Конечно же, внезапность оборонительного огня не могла оставаться долговечной, и стрельба из фиксированных пулеметов назад в значительной степени велась бы наудачу. Может быть, именно поэтому подобные установки в нашей боевой авиации не прижились. Состав бомбардировочного вооружения по сравнению с СБ уменьшили. В зоне центра тяжести самолета оставили вертикальный бомбовый отсек. Задний фюзеляжный и центропланные отсеки не использовались и были задраены. Общий вес бомб не превышал 250 кг, что соответствовало ТТТ, предъявляемым к «летающему крейсеру».</w:t>
      </w:r>
    </w:p>
    <w:p w14:paraId="7024ECD8" w14:textId="77777777" w:rsidR="006F4E11" w:rsidRPr="00E14102" w:rsidRDefault="006F4E11" w:rsidP="00E14102">
      <w:pPr>
        <w:jc w:val="both"/>
        <w:rPr>
          <w:color w:val="000000" w:themeColor="text1"/>
          <w:sz w:val="16"/>
          <w:szCs w:val="16"/>
        </w:rPr>
      </w:pPr>
      <w:r w:rsidRPr="00E14102">
        <w:rPr>
          <w:color w:val="000000" w:themeColor="text1"/>
          <w:sz w:val="16"/>
          <w:szCs w:val="16"/>
        </w:rPr>
        <w:t>Конструкция ДИ-8 —металлическая, клепанная из дюралюминия. Фюзеляж стыковался из трех частей, которые собирались и укомплектовывались оборудованием автономно, на отдельных стапелях, с последующей подачей на общую сборку. В передней части (она именовалась Ф-1) за лобовым прозрачным колпаком было устроено рабочее место штурмана. Его он занимал, поднявшись по лестнице через нижний люк. Этот же проем являлся аварийным для покидания самолета в воздухе.</w:t>
      </w:r>
    </w:p>
    <w:p w14:paraId="539F1174" w14:textId="77777777" w:rsidR="006F4E11" w:rsidRPr="00E14102" w:rsidRDefault="006F4E11" w:rsidP="00E14102">
      <w:pPr>
        <w:jc w:val="both"/>
        <w:rPr>
          <w:color w:val="000000" w:themeColor="text1"/>
          <w:sz w:val="16"/>
          <w:szCs w:val="16"/>
        </w:rPr>
      </w:pPr>
      <w:r w:rsidRPr="00E14102">
        <w:rPr>
          <w:color w:val="000000" w:themeColor="text1"/>
          <w:sz w:val="16"/>
          <w:szCs w:val="16"/>
        </w:rPr>
        <w:t>Средняя часть фюзеляжа (Ф-2) выполнялась заодно с центропланом крыла и была наиболее материалоемкой и сложной при автономной сборке. В ней поместили пост управления самолетом внутри кабины летчика со сдвижным фонарем назад. Более длинный фонарь стрелка-радиста сдвигался вперед и открывал его кабину, расположенную в задней части фюзеляжа (Ф-3), несущей хвостовое оперение.</w:t>
      </w:r>
    </w:p>
    <w:p w14:paraId="186D7A11" w14:textId="77777777" w:rsidR="006F4E11" w:rsidRPr="00E14102" w:rsidRDefault="006F4E11" w:rsidP="00E14102">
      <w:pPr>
        <w:jc w:val="both"/>
        <w:rPr>
          <w:color w:val="000000" w:themeColor="text1"/>
          <w:sz w:val="16"/>
          <w:szCs w:val="16"/>
        </w:rPr>
      </w:pPr>
      <w:r w:rsidRPr="00E14102">
        <w:rPr>
          <w:color w:val="000000" w:themeColor="text1"/>
          <w:sz w:val="16"/>
          <w:szCs w:val="16"/>
        </w:rPr>
        <w:t>Каркас основных агрегатов машины состоял из трубчатых ферменных балок (стальные трубы), V-образных профилей, образующих вместе с обшивкой замкнутые контуры (для частичного включения ее в работу на прочность), рамных шпангоутов и нервюр. Их выполнили из листового дюралюминия с отбортованными отверстиями для облегчения. Элероны имели внутреннюю весовую компенсацию. Под задней частью отъемных консолей и центроплана крыла были подвешены четыре секции отклоняемых щитков-закрылков. В передней части центроплана по его концам на стержневых моторных фермах были установлены два двигателя воздушного охлаждения в капотах NACA. Их оснастили внутренними кольцевыми маслорадиаторами. На валах моторов двухлопастные деревянные винты диаметром 3,4 м. Внутри мотогондол на хомутах—два маслобака емкостью по 45 л.</w:t>
      </w:r>
    </w:p>
    <w:p w14:paraId="3AF0995F" w14:textId="77777777" w:rsidR="006F4E11" w:rsidRPr="00E14102" w:rsidRDefault="006F4E11" w:rsidP="00E14102">
      <w:pPr>
        <w:jc w:val="both"/>
        <w:rPr>
          <w:color w:val="000000" w:themeColor="text1"/>
          <w:sz w:val="16"/>
          <w:szCs w:val="16"/>
        </w:rPr>
      </w:pPr>
      <w:r w:rsidRPr="00E14102">
        <w:rPr>
          <w:color w:val="000000" w:themeColor="text1"/>
          <w:sz w:val="16"/>
          <w:szCs w:val="16"/>
        </w:rPr>
        <w:t>Капоты двигателей были плавно сведены на нет к задней стенке крыла и заканчивались нишами убираемого шасси. После подъема стоек колеса частично оставались снаружи, образуя своими шинами задние кромки мотогондол. Зимний вариант шасси предусматривал подъем лыж в полете с подтягиванием их к днищам моторных обтекателей (15565).</w:t>
      </w:r>
    </w:p>
    <w:p w14:paraId="3B389805" w14:textId="77777777" w:rsidR="006F4E11" w:rsidRPr="00E14102" w:rsidRDefault="006F4E11" w:rsidP="00E14102">
      <w:pPr>
        <w:jc w:val="both"/>
        <w:rPr>
          <w:color w:val="000000" w:themeColor="text1"/>
          <w:sz w:val="16"/>
          <w:szCs w:val="16"/>
        </w:rPr>
      </w:pPr>
    </w:p>
    <w:p w14:paraId="052CCEBD" w14:textId="77777777" w:rsidR="006F4E11" w:rsidRPr="00E14102" w:rsidRDefault="006F4E11" w:rsidP="00E14102">
      <w:pPr>
        <w:pStyle w:val="rtejustify"/>
        <w:spacing w:before="0" w:after="0"/>
        <w:rPr>
          <w:color w:val="000000" w:themeColor="text1"/>
          <w:sz w:val="16"/>
          <w:szCs w:val="16"/>
        </w:rPr>
      </w:pPr>
      <w:r w:rsidRPr="00E14102">
        <w:rPr>
          <w:color w:val="000000" w:themeColor="text1"/>
          <w:sz w:val="16"/>
          <w:szCs w:val="16"/>
        </w:rPr>
        <w:t>В июле 1935 г. было решено наряду с истребительным вариантом дать и штурмовой вариант ДИ-6. В октябре месяце 1935 г. опытный образец штурмовика прошел государственные испытания. Несмотря на то, что еще нет серийного выпуска штурмовика ДИ</w:t>
      </w:r>
      <w:r w:rsidRPr="00E14102">
        <w:rPr>
          <w:color w:val="000000" w:themeColor="text1"/>
          <w:sz w:val="16"/>
          <w:szCs w:val="16"/>
        </w:rPr>
        <w:noBreakHyphen/>
        <w:t>6 имеются настроения вовсе отказаться от его производства (15405).</w:t>
      </w:r>
    </w:p>
    <w:p w14:paraId="2303D0C0" w14:textId="77777777" w:rsidR="006F4E11" w:rsidRPr="00E14102" w:rsidRDefault="006F4E11" w:rsidP="00E14102">
      <w:pPr>
        <w:pStyle w:val="rtejustify"/>
        <w:spacing w:before="0" w:after="0"/>
        <w:rPr>
          <w:color w:val="000000" w:themeColor="text1"/>
          <w:sz w:val="16"/>
          <w:szCs w:val="16"/>
        </w:rPr>
      </w:pPr>
    </w:p>
    <w:p w14:paraId="646C100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июле 1935 для подтверждения существования у ЦКБ и бригады № 2 необходимого задела в этом направлении по указа</w:t>
      </w:r>
      <w:r w:rsidRPr="00E14102">
        <w:rPr>
          <w:color w:val="000000" w:themeColor="text1"/>
          <w:sz w:val="16"/>
          <w:szCs w:val="16"/>
        </w:rPr>
        <w:softHyphen/>
        <w:t>нию Николая Николаевича оперативно доработали эс</w:t>
      </w:r>
      <w:r w:rsidRPr="00E14102">
        <w:rPr>
          <w:color w:val="000000" w:themeColor="text1"/>
          <w:sz w:val="16"/>
          <w:szCs w:val="16"/>
        </w:rPr>
        <w:softHyphen/>
        <w:t>кизный проект истребителя И-18 (ЦКБ-25) и направили его на рассмотрение в наркомат. Так как заданий по другим программам плана на 1935 г. никто не снимал, то Поликарпов решил сосредо</w:t>
      </w:r>
      <w:r w:rsidRPr="00E14102">
        <w:rPr>
          <w:color w:val="000000" w:themeColor="text1"/>
          <w:sz w:val="16"/>
          <w:szCs w:val="16"/>
        </w:rPr>
        <w:softHyphen/>
        <w:t>точить усилия на разработке лишь одного пункта зада</w:t>
      </w:r>
      <w:r w:rsidRPr="00E14102">
        <w:rPr>
          <w:color w:val="000000" w:themeColor="text1"/>
          <w:sz w:val="16"/>
          <w:szCs w:val="16"/>
        </w:rPr>
        <w:softHyphen/>
        <w:t>ния - рекордного самолета с мотором жидкостного охлаждения на базе проекта ЦКБ-25 (И-18) с мотором М-100 (Испано-Сюиза), полагая, что накопленный опыт можно будет использовать при создании перспектив</w:t>
      </w:r>
      <w:r w:rsidRPr="00E14102">
        <w:rPr>
          <w:color w:val="000000" w:themeColor="text1"/>
          <w:sz w:val="16"/>
          <w:szCs w:val="16"/>
        </w:rPr>
        <w:softHyphen/>
        <w:t>ных истребителей. С.В.Ильюшин также решил внести свою лепту в дело проектирования скоростного рекордного самолета. Он знал, что ограниченные производственные возможности Поликарпова не позволяют вести работы одновременно по всем направлениям. Поэтому после обсуждений с Николаем Николаевичем Ильюшин взялся за создание рекордного самолета с форсированным мотором на базе М-34. Конструкторского опыта к 1935 г. у Ильюшина было немного и, чтобы помочь ему, Николай Николае</w:t>
      </w:r>
      <w:r w:rsidRPr="00E14102">
        <w:rPr>
          <w:color w:val="000000" w:themeColor="text1"/>
          <w:sz w:val="16"/>
          <w:szCs w:val="16"/>
        </w:rPr>
        <w:softHyphen/>
        <w:t>вич передал Сергею Владимировичу для ознакомления аванпроект истребителя И-19 (ЦКБ-25) с М-34 (макси</w:t>
      </w:r>
      <w:r w:rsidRPr="00E14102">
        <w:rPr>
          <w:color w:val="000000" w:themeColor="text1"/>
          <w:sz w:val="16"/>
          <w:szCs w:val="16"/>
        </w:rPr>
        <w:softHyphen/>
        <w:t>мальная скорость 600 км/ч) (10667).</w:t>
      </w:r>
    </w:p>
    <w:p w14:paraId="20B05BF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8C541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В июле 1935 г. по представлению наркома обороны Во</w:t>
      </w:r>
      <w:r w:rsidRPr="00E14102">
        <w:rPr>
          <w:color w:val="000000" w:themeColor="text1"/>
          <w:sz w:val="16"/>
          <w:szCs w:val="16"/>
        </w:rPr>
        <w:softHyphen/>
        <w:t>рошилова вопрос об И-16 с мотором Райт “Циклон” Р-3 (М-25) рассмотрели на заседании прави</w:t>
      </w:r>
      <w:r w:rsidRPr="00E14102">
        <w:rPr>
          <w:color w:val="000000" w:themeColor="text1"/>
          <w:sz w:val="16"/>
          <w:szCs w:val="16"/>
        </w:rPr>
        <w:softHyphen/>
        <w:t>тельства. Приняли решение о скорейшем развертывании серийного производства истребителя И-16 с мотором М-25. Проблему высоких, по мнению ВВС, посадочных скоростей и, соответственно, удлинения посадочных по</w:t>
      </w:r>
      <w:r w:rsidRPr="00E14102">
        <w:rPr>
          <w:color w:val="000000" w:themeColor="text1"/>
          <w:sz w:val="16"/>
          <w:szCs w:val="16"/>
        </w:rPr>
        <w:softHyphen/>
        <w:t>лос удалось решить сравнительно быстро, приняв поста</w:t>
      </w:r>
      <w:r w:rsidRPr="00E14102">
        <w:rPr>
          <w:color w:val="000000" w:themeColor="text1"/>
          <w:sz w:val="16"/>
          <w:szCs w:val="16"/>
        </w:rPr>
        <w:softHyphen/>
        <w:t>новление об увеличении размеров аэродромов. Завод № 21 перешел на выпуск самолета И-16 тип 4 с М-25. Он отличался от варианта с М-22, кроме двигателя, капотом несколько уменьшенного диаметра. Но все по</w:t>
      </w:r>
      <w:r w:rsidRPr="00E14102">
        <w:rPr>
          <w:color w:val="000000" w:themeColor="text1"/>
          <w:sz w:val="16"/>
          <w:szCs w:val="16"/>
        </w:rPr>
        <w:softHyphen/>
        <w:t>нимали, что последняя модификация Н.Н.Поликарпова с капотом Уоттера больше соответствует мотору М-25 (10667).</w:t>
      </w:r>
    </w:p>
    <w:p w14:paraId="326D3C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3AABB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было принято предложение летчиков об упразднении закрывающегося фонаря на И-16 (88,122).</w:t>
      </w:r>
    </w:p>
    <w:p w14:paraId="67ECE02F" w14:textId="77777777" w:rsidR="00D4105E" w:rsidRPr="00E14102" w:rsidRDefault="00D4105E" w:rsidP="00E14102">
      <w:pPr>
        <w:autoSpaceDE w:val="0"/>
        <w:autoSpaceDN w:val="0"/>
        <w:adjustRightInd w:val="0"/>
        <w:jc w:val="both"/>
        <w:rPr>
          <w:color w:val="000000" w:themeColor="text1"/>
          <w:sz w:val="16"/>
          <w:szCs w:val="16"/>
        </w:rPr>
      </w:pPr>
    </w:p>
    <w:p w14:paraId="05615C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вышло постановление об увеличении ВПП и это помогло внедрить И-16 (80,157), который ждал 1.5 года (437,161).</w:t>
      </w:r>
    </w:p>
    <w:p w14:paraId="03384D2C" w14:textId="77777777" w:rsidR="00D4105E" w:rsidRPr="00E14102" w:rsidRDefault="00D4105E" w:rsidP="00E14102">
      <w:pPr>
        <w:autoSpaceDE w:val="0"/>
        <w:autoSpaceDN w:val="0"/>
        <w:adjustRightInd w:val="0"/>
        <w:jc w:val="both"/>
        <w:rPr>
          <w:color w:val="000000" w:themeColor="text1"/>
          <w:sz w:val="16"/>
          <w:szCs w:val="16"/>
        </w:rPr>
      </w:pPr>
    </w:p>
    <w:p w14:paraId="21F531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июля 1935 в серию запустили И-16 тип 5 - с капотом, который сохранился на всех остальных модификациях. Именно эту машину в 1935 показывали на Всемирной авиационной выставке в Милане (228,100).</w:t>
      </w:r>
    </w:p>
    <w:p w14:paraId="5678F543" w14:textId="77777777" w:rsidR="00D4105E" w:rsidRPr="00E14102" w:rsidRDefault="00D4105E" w:rsidP="00E14102">
      <w:pPr>
        <w:autoSpaceDE w:val="0"/>
        <w:autoSpaceDN w:val="0"/>
        <w:adjustRightInd w:val="0"/>
        <w:jc w:val="both"/>
        <w:rPr>
          <w:color w:val="000000" w:themeColor="text1"/>
          <w:sz w:val="16"/>
          <w:szCs w:val="16"/>
        </w:rPr>
      </w:pPr>
    </w:p>
    <w:p w14:paraId="7965DC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проходил испытания штурмовик ЦКБ-18 - вариант И-16 с крылом размахом 10 м и 4 ШКАС или 4 ПВ-1 и бронезащитой кабины пилота, но предпочтение отдали ДИ-6 Яценко (1808,13).</w:t>
      </w:r>
    </w:p>
    <w:p w14:paraId="53BCF6E7" w14:textId="77777777" w:rsidR="00D4105E" w:rsidRPr="00E14102" w:rsidRDefault="00D4105E" w:rsidP="00E14102">
      <w:pPr>
        <w:autoSpaceDE w:val="0"/>
        <w:autoSpaceDN w:val="0"/>
        <w:adjustRightInd w:val="0"/>
        <w:jc w:val="both"/>
        <w:rPr>
          <w:color w:val="000000" w:themeColor="text1"/>
          <w:sz w:val="16"/>
          <w:szCs w:val="16"/>
        </w:rPr>
      </w:pPr>
    </w:p>
    <w:p w14:paraId="6CF94E59" w14:textId="77777777" w:rsidR="004E0AD3" w:rsidRPr="00E14102" w:rsidRDefault="004E0AD3" w:rsidP="00E14102">
      <w:pPr>
        <w:jc w:val="both"/>
        <w:rPr>
          <w:color w:val="0070C0"/>
          <w:sz w:val="16"/>
          <w:szCs w:val="16"/>
        </w:rPr>
      </w:pPr>
      <w:r w:rsidRPr="00E14102">
        <w:rPr>
          <w:color w:val="0070C0"/>
          <w:sz w:val="16"/>
          <w:szCs w:val="16"/>
        </w:rPr>
        <w:t>В июле 1935 года завод № 21 передал на испытания в НИИ ВВС четырехпулеметный И-16, получивший полуофициальный индекс И-161 (23033).</w:t>
      </w:r>
    </w:p>
    <w:p w14:paraId="333F8AF8" w14:textId="77777777" w:rsidR="004E0AD3" w:rsidRPr="00E14102" w:rsidRDefault="004E0AD3" w:rsidP="00E14102">
      <w:pPr>
        <w:jc w:val="both"/>
        <w:rPr>
          <w:color w:val="0070C0"/>
          <w:sz w:val="16"/>
          <w:szCs w:val="16"/>
        </w:rPr>
      </w:pPr>
    </w:p>
    <w:p w14:paraId="1358D1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года закончилось проектирование ЦКБ-29, о постройке ЦКБ-29 сведения отсутствуют. Оно велось с конца 1934-го. ЦКБ-29 отличался новым шасси с пневматической системой уборки и со стойками в виде вилки. Схему шасси практически без изменений позаимствовали у опытного истребителя И-17 (ЦКБ-19), который строили в этот период на заводе №39. ЦКБ-29 предполагался под высотный двигатель "Райт-Циклон" F-54. его расчетная скорость составляла 475 км/ч на высоте 5000 м (12015).</w:t>
      </w:r>
    </w:p>
    <w:p w14:paraId="5160CCE8" w14:textId="77777777" w:rsidR="00D4105E" w:rsidRPr="00E14102" w:rsidRDefault="00D4105E" w:rsidP="00E14102">
      <w:pPr>
        <w:autoSpaceDE w:val="0"/>
        <w:autoSpaceDN w:val="0"/>
        <w:adjustRightInd w:val="0"/>
        <w:jc w:val="both"/>
        <w:rPr>
          <w:color w:val="000000" w:themeColor="text1"/>
          <w:sz w:val="16"/>
          <w:szCs w:val="16"/>
        </w:rPr>
      </w:pPr>
    </w:p>
    <w:p w14:paraId="09A1CA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вышел отчет об испытаниях Р-Z с М-34РН, спроектированного на заводе 1 КО под руководством Д.С.Маркова и А.А.Скаброва сначала как Р5-М34, потом изделие 38, потом Р-Z. Было написано, что полет ниже 50 м просто опасен. Запланировали гос. испытания на сентябрь 1935, но не успели и перешли в начало 1936 (1805,9).</w:t>
      </w:r>
    </w:p>
    <w:p w14:paraId="1EEC2C3A" w14:textId="77777777" w:rsidR="00D4105E" w:rsidRPr="00E14102" w:rsidRDefault="00D4105E" w:rsidP="00E14102">
      <w:pPr>
        <w:autoSpaceDE w:val="0"/>
        <w:autoSpaceDN w:val="0"/>
        <w:adjustRightInd w:val="0"/>
        <w:jc w:val="both"/>
        <w:rPr>
          <w:color w:val="000000" w:themeColor="text1"/>
          <w:sz w:val="16"/>
          <w:szCs w:val="16"/>
        </w:rPr>
      </w:pPr>
    </w:p>
    <w:p w14:paraId="656965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г. на испытаниях Р-Z при взлетном весе 3150 кг развил максимальную скорость 316 км/ч на высоте 3500 м и достиг потолка 8700 м. Высоту 5000 м самолет набирал за 11,8 минуты. Хотя вы</w:t>
      </w:r>
      <w:r w:rsidRPr="00E14102">
        <w:rPr>
          <w:color w:val="000000" w:themeColor="text1"/>
          <w:sz w:val="16"/>
          <w:szCs w:val="16"/>
        </w:rPr>
        <w:softHyphen/>
        <w:t>яснилось, что Р-Е является более строгим и сложным в пилотировании по сравнению с Р-5 и ССС, машину вне</w:t>
      </w:r>
      <w:r w:rsidRPr="00E14102">
        <w:rPr>
          <w:color w:val="000000" w:themeColor="text1"/>
          <w:sz w:val="16"/>
          <w:szCs w:val="16"/>
        </w:rPr>
        <w:softHyphen/>
        <w:t>дрили в серийное производство параллельно с ССС. Д.С.Марков и А.А.Скарбов создали улуч</w:t>
      </w:r>
      <w:r w:rsidRPr="00E14102">
        <w:rPr>
          <w:color w:val="000000" w:themeColor="text1"/>
          <w:sz w:val="16"/>
          <w:szCs w:val="16"/>
        </w:rPr>
        <w:softHyphen/>
        <w:t>шенную модификацию Р-Е с такими существенными из</w:t>
      </w:r>
      <w:r w:rsidRPr="00E14102">
        <w:rPr>
          <w:color w:val="000000" w:themeColor="text1"/>
          <w:sz w:val="16"/>
          <w:szCs w:val="16"/>
        </w:rPr>
        <w:softHyphen/>
        <w:t>менениями, что фактически машина представляла собой новую конструкцию, выполненную на базе Р-5. Боль</w:t>
      </w:r>
      <w:r w:rsidRPr="00E14102">
        <w:rPr>
          <w:color w:val="000000" w:themeColor="text1"/>
          <w:sz w:val="16"/>
          <w:szCs w:val="16"/>
        </w:rPr>
        <w:softHyphen/>
        <w:t>шую помощь в разработке самолета оказал ЦАГИ. Разме</w:t>
      </w:r>
      <w:r w:rsidRPr="00E14102">
        <w:rPr>
          <w:color w:val="000000" w:themeColor="text1"/>
          <w:sz w:val="16"/>
          <w:szCs w:val="16"/>
        </w:rPr>
        <w:softHyphen/>
        <w:t>ры Р-Z уменьшились по сравнению с Р-5: хорда верхнего крыла - на 200 мм, нижнего - на 300 мм, длина фюзеля</w:t>
      </w:r>
      <w:r w:rsidRPr="00E14102">
        <w:rPr>
          <w:color w:val="000000" w:themeColor="text1"/>
          <w:sz w:val="16"/>
          <w:szCs w:val="16"/>
        </w:rPr>
        <w:softHyphen/>
        <w:t>жа - на 800 мм. Кабина экипажа закрывалась фонарем. На крыле установили зализы. Шасси с масляно-воздуш-ной амортизацией было с обтекателями, как на ССС. Оперение несколько изменилось по форме, вместо рого</w:t>
      </w:r>
      <w:r w:rsidRPr="00E14102">
        <w:rPr>
          <w:color w:val="000000" w:themeColor="text1"/>
          <w:sz w:val="16"/>
          <w:szCs w:val="16"/>
        </w:rPr>
        <w:softHyphen/>
        <w:t>вой компенсации применили весовую. Имелись и другие изменения. Но технология производства Р-2 в целом со</w:t>
      </w:r>
      <w:r w:rsidRPr="00E14102">
        <w:rPr>
          <w:color w:val="000000" w:themeColor="text1"/>
          <w:sz w:val="16"/>
          <w:szCs w:val="16"/>
        </w:rPr>
        <w:softHyphen/>
        <w:t>ответствовала технологии Р-5. Согласно расчетам, Р-Z с М-34Н должен был развивать на высоте 4000 м макси</w:t>
      </w:r>
      <w:r w:rsidRPr="00E14102">
        <w:rPr>
          <w:color w:val="000000" w:themeColor="text1"/>
          <w:sz w:val="16"/>
          <w:szCs w:val="16"/>
        </w:rPr>
        <w:softHyphen/>
        <w:t>мальную скорость 330 км/ч, набирать высоту 5000 м за 11 минут. За 1935 г. удалось построить 11 Р-Z, в 1936 г. - 885, в 1937 г. - 135. Самолеты последних серий снабжались закрылками, новым приборным оборудованием, элект</w:t>
      </w:r>
      <w:r w:rsidRPr="00E14102">
        <w:rPr>
          <w:color w:val="000000" w:themeColor="text1"/>
          <w:sz w:val="16"/>
          <w:szCs w:val="16"/>
        </w:rPr>
        <w:softHyphen/>
        <w:t>рифицированными турелями ЭТУР-8/2 (10667).</w:t>
      </w:r>
    </w:p>
    <w:p w14:paraId="1778A339" w14:textId="77777777" w:rsidR="00D4105E" w:rsidRPr="00E14102" w:rsidRDefault="00D4105E" w:rsidP="00E14102">
      <w:pPr>
        <w:autoSpaceDE w:val="0"/>
        <w:autoSpaceDN w:val="0"/>
        <w:adjustRightInd w:val="0"/>
        <w:jc w:val="both"/>
        <w:rPr>
          <w:color w:val="000000" w:themeColor="text1"/>
          <w:sz w:val="16"/>
          <w:szCs w:val="16"/>
        </w:rPr>
      </w:pPr>
    </w:p>
    <w:p w14:paraId="0A1A7E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г. прошли испытания нового разведчика P-Z, которые показали, что по своим характеристикам он ненамного превосходит Р-5 и ССС, одновременно является более строгим и сложным в пилотировании. На фоне значительных успехов других новых самолетов, запуск P-Z в серийное производство в 1935 г. мог и не состояться. Тем более, что большинство руководителей ВВС были против его внедрения. Разрешился вопрос следующим образом.</w:t>
      </w:r>
    </w:p>
    <w:p w14:paraId="35840C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Центральный московский аэродром для ознакомления с P-Z приехала “высокая” комиссия во главе с Г.К.Орджоникидзе. Летчику-испытателю НИИ ВВС В.В.Шевченко, подрабатывающему на авиазаводе №1 сдатчиком, предложили показать машину наилучшим образом. Отличный пилотажник, Шевченко постарался и показал все, что было можно, и даже более того. В результате, P-Z Орджоникидзе понравился, а присутствующий при этом главный советский чекист Ежов поинтересовался у представителей ВВС и промышленности, почему до сих пор не решен вопрос с серией такого замечательного самолета. Понятно, что после этих событий шансы P-Z по части запуска в производство значительно возросли.</w:t>
      </w:r>
    </w:p>
    <w:p w14:paraId="25F107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Р-Z как проект модификации Р-5 под М-34 первоначально был обозначен как эталон 1935 г. или P-5Z. Уже в ходе постройки стало применяться обозначение P-Z.</w:t>
      </w:r>
    </w:p>
    <w:p w14:paraId="2ABBF7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 самолета возник по инициативе директора авиазавода №1 А.М.Беленковича, главного инженера Е.П.Шекунова, конструкторов Д.С.Маркова и А.А.Скарбова. В дальнейшем при установлении авторства применялось определение: самолет P-Z Маркова и Скарбова.</w:t>
      </w:r>
    </w:p>
    <w:p w14:paraId="082141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 что новая модификация разведчика разрабатывалась конструкторами, обслуживающими серийное производство, отчетливо проявилось во вносимых изменениях. Улучшения проводились при помощи простейших приемов, не способных повлиять на снижение темпов серийного производства.</w:t>
      </w:r>
    </w:p>
    <w:p w14:paraId="7EC8EF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Крылья P-Z, при неизменной деревянной конструкции, полотняной обшивке и прежнем размахе уменьшились по площади, произошло это за счет уменьшения хорды верхнего крыла на 200 мм и нижнего крыла на 300 мм. Фюзеляж самолета - деревянная форменная конструкция, обшитая фанерой, стал короче на 800 мм. Дополнительным элементом его облагораживания стало закругление нижней части за счет введения дополнительного фрагмента, называемого коком. Место стыка крыла и фюзеляжа снабдили дюралевыми обтекателями, были установлены обтекатели также на крыльевые стойки и узлы шасси. Амортизация шасси масляно-воздушная, тормозные колеса 900х200мм на самолетах первых серий прикрывались каплевидными обтекателями по типу самолетов ССС.</w:t>
      </w:r>
    </w:p>
    <w:p w14:paraId="7D933D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Кабина экипажа прикрыта прозрачным фонарем. Пилот имел полностью закрытый фонарь, откидываемый на правый борт. У наблюдателя фонарь при посадке в самолет сдвигался навстречу полету.</w:t>
      </w:r>
    </w:p>
    <w:p w14:paraId="14BB1B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Оперение P-Z измененной формы, без роговой компенсации, полностью дюралевое. Рули высоты и поворота снабжены модными в ту пору флеттнерами, способствующими уменьшению нагрузки на управление.</w:t>
      </w:r>
    </w:p>
    <w:p w14:paraId="6914B0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Двигатель М-34Н, устанавливаемый на самолете, взлетной мощностью 840 л. с. и номинальной мощностью 750 л. с. на расчетной высоте. Воздушный винт металлический, диаметром 3,1 м с поворотными на земле лопастями.</w:t>
      </w:r>
    </w:p>
    <w:p w14:paraId="59C994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качестве стрелкового вооружения P-Z имел курсовой синхронный пулемет ПВ-1 у пилота и пулемет ШКАС на турели у летнаба. Первые 50 серийных самолетов были снабжены турелью типа ТУР-32, на остальных машинах устанавливались электрифицированные турели ЭТУР-8/2. Вращение этой турели осуществлялось при помощи реверсивного электромотора “Делько”, питающегося от динамомашины ДСФ-500, установленной на двигателе М-34. Сиденье стрелка подвесное, парусиновое, при работе со стрелковой установкой крепилось специальными карабинами.</w:t>
      </w:r>
    </w:p>
    <w:p w14:paraId="2546E5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Бомбардировочное вооружение P-Z состояло из 8 балок Д-2 с замками ДЕР-31 под нижними крыльями (по четыре под каждым крылом). Нормальная бомбовая нагрузка 300 кг, максимальная 500 кг. Так же, как на Р-5, на P-Z была предусмотрена поясная подвеска ФАБ-250 или РРАБ-250.</w:t>
      </w:r>
    </w:p>
    <w:p w14:paraId="2BCC42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Радиооборудование - рация 13-СК-2 в кабине у летнаба, две антенны: жесткая в крыле и выпускная гибкая.</w:t>
      </w:r>
    </w:p>
    <w:p w14:paraId="5631AA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Фотооборудование - АФА-13 на качающейся турели для выполнения плановой и перспективной съемки.</w:t>
      </w:r>
    </w:p>
    <w:p w14:paraId="4A769A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Вот такой самолет был подготовлен на авиазаводе №1 для замены Р-5. Имелись попытки дальнейшего совершенствования, например, введение убираемого шасси, однако, до реализации дело не дошло (5016).</w:t>
      </w:r>
    </w:p>
    <w:p w14:paraId="431D11AC" w14:textId="77777777" w:rsidR="00D4105E" w:rsidRPr="00E14102" w:rsidRDefault="00D4105E" w:rsidP="00E14102">
      <w:pPr>
        <w:autoSpaceDE w:val="0"/>
        <w:autoSpaceDN w:val="0"/>
        <w:adjustRightInd w:val="0"/>
        <w:jc w:val="both"/>
        <w:rPr>
          <w:color w:val="000000" w:themeColor="text1"/>
          <w:sz w:val="16"/>
          <w:szCs w:val="16"/>
        </w:rPr>
      </w:pPr>
    </w:p>
    <w:p w14:paraId="4D3BC8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в НИИ ВВС провели сравнительные испытания Р-5 М-17Б, выпуска 1933, Р-5 с тем же двигателем и винтом, что на ССС и ССС. Аэродинамика ССС дала прирост скорости 37ю5 км/час. Скороподъемность от аэродинамики не зависела (7456, 5).</w:t>
      </w:r>
    </w:p>
    <w:p w14:paraId="098BA2FA" w14:textId="77777777" w:rsidR="00D4105E" w:rsidRPr="00E14102" w:rsidRDefault="00D4105E" w:rsidP="00E14102">
      <w:pPr>
        <w:autoSpaceDE w:val="0"/>
        <w:autoSpaceDN w:val="0"/>
        <w:adjustRightInd w:val="0"/>
        <w:jc w:val="both"/>
        <w:rPr>
          <w:color w:val="000000" w:themeColor="text1"/>
          <w:sz w:val="16"/>
          <w:szCs w:val="16"/>
        </w:rPr>
      </w:pPr>
    </w:p>
    <w:p w14:paraId="4CF7FAE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июле 1935 была подготовлена Сводка результатов испытания пассажирского самолета СТАЛЬ-2 с мотором Райт 300 л.с., винт металлический с переменным шагом на земле</w:t>
      </w:r>
    </w:p>
    <w:p w14:paraId="6062597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СТАЛЬ-2 четырехместный пассажирский самолет с мотором Райт J-6 конструкции инженера Путилова А.И.</w:t>
      </w:r>
    </w:p>
    <w:p w14:paraId="380E543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серийной постройке мотор Райт будет заменен мотором М-26.</w:t>
      </w:r>
    </w:p>
    <w:p w14:paraId="18C187B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Основным строительным материалом является сталь марки Энерж 6, впервые применяемая в самолетостроении.</w:t>
      </w:r>
    </w:p>
    <w:p w14:paraId="53813B9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целью изучения большего опыта в овладении новым строительным материалом конструктором сталь введена почти во все элементы конструкции.</w:t>
      </w:r>
    </w:p>
    <w:p w14:paraId="1FD914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представляет собой моноплан с двумя параллельными подкосами и шарнирным присоединением лонжеронов к центроплану, обрезанному по габариту фюзеляжа.</w:t>
      </w:r>
    </w:p>
    <w:p w14:paraId="65E3605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p w14:paraId="5EF48C4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6B5637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w:t>
      </w:r>
    </w:p>
    <w:p w14:paraId="57B6B65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Нержавеющая сталь показала полную пригодность ее ведения в самолетостроение с применением принципов электросварки.</w:t>
      </w:r>
    </w:p>
    <w:p w14:paraId="177EBC3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Необходимо после переоборудования самолета Сталь-2 под военный вариант передать его на испытание в НИИ ВВС для получения его полной военной оценки (6816).</w:t>
      </w:r>
    </w:p>
    <w:p w14:paraId="740861A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45F6D6B" w14:textId="77777777" w:rsidR="00F44C74" w:rsidRPr="00E14102" w:rsidRDefault="00F44C74" w:rsidP="00E14102">
      <w:pPr>
        <w:jc w:val="both"/>
        <w:rPr>
          <w:color w:val="000000" w:themeColor="text1"/>
          <w:sz w:val="16"/>
          <w:szCs w:val="16"/>
        </w:rPr>
      </w:pPr>
      <w:r w:rsidRPr="00E14102">
        <w:rPr>
          <w:color w:val="000000" w:themeColor="text1"/>
          <w:sz w:val="16"/>
          <w:szCs w:val="16"/>
        </w:rPr>
        <w:t>В июле 1935 Щербакову удалось встретиться с Ворошиловым и получить его поддержку. Вскоре Щербакова перевели в Москву на авиазавод № 1, где он возглавил конструкторскую бригаду, преобразованную затем в Отдел специальных конструкций (ОСК). Для опытов были предоставлены самолёт П-5 и планеры конструкции В.К. Грибовского — одноместный Г-9 и двухместный Г-14.</w:t>
      </w:r>
    </w:p>
    <w:p w14:paraId="7BF5708B" w14:textId="77777777" w:rsidR="00F44C74" w:rsidRPr="00E14102" w:rsidRDefault="00F44C74" w:rsidP="00E14102">
      <w:pPr>
        <w:jc w:val="both"/>
        <w:rPr>
          <w:color w:val="000000" w:themeColor="text1"/>
          <w:sz w:val="16"/>
          <w:szCs w:val="16"/>
        </w:rPr>
      </w:pPr>
      <w:r w:rsidRPr="00E14102">
        <w:rPr>
          <w:color w:val="000000" w:themeColor="text1"/>
          <w:sz w:val="16"/>
          <w:szCs w:val="16"/>
        </w:rPr>
        <w:t>Начали с разработки буксировочной лебёдки, которою необходимо было установить на самолёт П-5 и на второе место планера Г-14. Барабан лебёдки должен был вмещать до 7 км проволоки марки ОВС диаметром от 1,2 до 2 мм. Вес этой стальной нити составлял около 70 кг, то есть равнялся весу человека. В начале проволоки закреплялся трос длиной в 100 метров и диаметром 6 мм. При взлёте буксировочного поезда, когда в связи появляются повышенные нагрузки, использовался этот участок троса, затем планер удерживался на стальной проволоке. Лебёдка должна была иметь надёжный тормоз и устройство для измерения усилий в буксировочной связи.</w:t>
      </w:r>
    </w:p>
    <w:p w14:paraId="11EB7A10" w14:textId="77777777" w:rsidR="00F44C74" w:rsidRPr="00E14102" w:rsidRDefault="00F44C74" w:rsidP="00E14102">
      <w:pPr>
        <w:jc w:val="both"/>
        <w:rPr>
          <w:color w:val="000000" w:themeColor="text1"/>
          <w:sz w:val="16"/>
          <w:szCs w:val="16"/>
        </w:rPr>
      </w:pPr>
      <w:r w:rsidRPr="00E14102">
        <w:rPr>
          <w:color w:val="000000" w:themeColor="text1"/>
          <w:sz w:val="16"/>
          <w:szCs w:val="16"/>
        </w:rPr>
        <w:t>Лётные испытания начались летом 1935 г. Первый буксировочный поезд состоял из самолёта П-5 и планера Г-9. В полёте на высоте 1000 м была опробована лебёдка, выпущена проволока на 300–400 м и дана команда планеристу набирать максимальное превышение над самолётом. Эффект был поразительный: планер летел почти в зените над самолётом, имея 300 м превышения. В следующих восьми полётах техника буксировки совершенствовалась и высота полётов увеличивалась. В сентябре 1935 г. лётчик К.М. Венслав на Г-9 достиг высоты 7000 м, при этом он поднялся над буксирующим его самолётом на рекордные 4000 м. На этой высоте Венслав отцепил трос и спланировал к месту взлёта (17489).</w:t>
      </w:r>
    </w:p>
    <w:p w14:paraId="11B66B24" w14:textId="77777777" w:rsidR="00F44C74" w:rsidRPr="00E14102" w:rsidRDefault="00F44C74" w:rsidP="00E14102">
      <w:pPr>
        <w:jc w:val="both"/>
        <w:rPr>
          <w:color w:val="000000" w:themeColor="text1"/>
          <w:sz w:val="16"/>
          <w:szCs w:val="16"/>
        </w:rPr>
      </w:pPr>
    </w:p>
    <w:p w14:paraId="1E3907D1" w14:textId="77777777" w:rsidR="006F4E11" w:rsidRPr="00E14102" w:rsidRDefault="006F4E11" w:rsidP="00E14102">
      <w:pPr>
        <w:jc w:val="both"/>
        <w:rPr>
          <w:color w:val="000000" w:themeColor="text1"/>
          <w:sz w:val="16"/>
          <w:szCs w:val="16"/>
        </w:rPr>
      </w:pPr>
      <w:r w:rsidRPr="00E14102">
        <w:rPr>
          <w:color w:val="000000" w:themeColor="text1"/>
          <w:sz w:val="16"/>
          <w:szCs w:val="16"/>
        </w:rPr>
        <w:t>В июле 1935 в сво</w:t>
      </w:r>
      <w:r w:rsidRPr="00E14102">
        <w:rPr>
          <w:color w:val="000000" w:themeColor="text1"/>
          <w:sz w:val="16"/>
          <w:szCs w:val="16"/>
        </w:rPr>
        <w:softHyphen/>
        <w:t>ем докладе Наркому Обо</w:t>
      </w:r>
      <w:r w:rsidRPr="00E14102">
        <w:rPr>
          <w:color w:val="000000" w:themeColor="text1"/>
          <w:sz w:val="16"/>
          <w:szCs w:val="16"/>
        </w:rPr>
        <w:softHyphen/>
        <w:t>роны «О работе промыш</w:t>
      </w:r>
      <w:r w:rsidRPr="00E14102">
        <w:rPr>
          <w:color w:val="000000" w:themeColor="text1"/>
          <w:sz w:val="16"/>
          <w:szCs w:val="16"/>
        </w:rPr>
        <w:softHyphen/>
        <w:t>ленности ГУАП'а за 1-е полугодие 1935 г.», Я.И. Алкснис констатировал, что «...из общей цифры годового заказа 2928 самолётов, за первое полугодие самолётными заводами сдано все</w:t>
      </w:r>
      <w:r w:rsidRPr="00E14102">
        <w:rPr>
          <w:color w:val="000000" w:themeColor="text1"/>
          <w:sz w:val="16"/>
          <w:szCs w:val="16"/>
        </w:rPr>
        <w:softHyphen/>
        <w:t>го 388 шт., в том числе 291 шт. учебных самолётов У-2. Следовательно, из общего чис</w:t>
      </w:r>
      <w:r w:rsidRPr="00E14102">
        <w:rPr>
          <w:color w:val="000000" w:themeColor="text1"/>
          <w:sz w:val="16"/>
          <w:szCs w:val="16"/>
        </w:rPr>
        <w:softHyphen/>
        <w:t>ла годового заказа боевых самолётов в количестве 2628 шт., выполнено 97 шт., т.е. 3,6%.</w:t>
      </w:r>
    </w:p>
    <w:p w14:paraId="0CED9833" w14:textId="77777777" w:rsidR="006F4E11" w:rsidRPr="00E14102" w:rsidRDefault="006F4E11" w:rsidP="00E14102">
      <w:pPr>
        <w:jc w:val="both"/>
        <w:rPr>
          <w:color w:val="000000" w:themeColor="text1"/>
          <w:sz w:val="16"/>
          <w:szCs w:val="16"/>
        </w:rPr>
      </w:pPr>
      <w:r w:rsidRPr="00E14102">
        <w:rPr>
          <w:color w:val="000000" w:themeColor="text1"/>
          <w:sz w:val="16"/>
          <w:szCs w:val="16"/>
        </w:rPr>
        <w:t>Основной причиной такого положения (прорыва) считаю: неудовлетворительное руково</w:t>
      </w:r>
      <w:r w:rsidRPr="00E14102">
        <w:rPr>
          <w:color w:val="000000" w:themeColor="text1"/>
          <w:sz w:val="16"/>
          <w:szCs w:val="16"/>
        </w:rPr>
        <w:softHyphen/>
        <w:t>дство со стороны ГУАП заводами и отсутствие достаточно крепкого оперативного руково</w:t>
      </w:r>
      <w:r w:rsidRPr="00E14102">
        <w:rPr>
          <w:color w:val="000000" w:themeColor="text1"/>
          <w:sz w:val="16"/>
          <w:szCs w:val="16"/>
        </w:rPr>
        <w:softHyphen/>
        <w:t xml:space="preserve">дства в ряде самих заводов... Отстающие заводы №№ 22, </w:t>
      </w:r>
      <w:r w:rsidRPr="00E14102">
        <w:rPr>
          <w:rFonts w:eastAsia="Arial Unicode MS"/>
          <w:color w:val="000000" w:themeColor="text1"/>
          <w:sz w:val="16"/>
          <w:szCs w:val="16"/>
        </w:rPr>
        <w:t>1,31,</w:t>
      </w:r>
      <w:r w:rsidRPr="00E14102">
        <w:rPr>
          <w:color w:val="000000" w:themeColor="text1"/>
          <w:sz w:val="16"/>
          <w:szCs w:val="16"/>
        </w:rPr>
        <w:t xml:space="preserve"> 125, 21, 39, 26, 24, 19, 29...</w:t>
      </w:r>
    </w:p>
    <w:p w14:paraId="11F483A5" w14:textId="77777777" w:rsidR="006F4E11" w:rsidRPr="00E14102" w:rsidRDefault="006F4E11" w:rsidP="00E14102">
      <w:pPr>
        <w:jc w:val="both"/>
        <w:rPr>
          <w:color w:val="000000" w:themeColor="text1"/>
          <w:sz w:val="16"/>
          <w:szCs w:val="16"/>
        </w:rPr>
      </w:pPr>
      <w:r w:rsidRPr="00E14102">
        <w:rPr>
          <w:rStyle w:val="9"/>
          <w:rFonts w:eastAsiaTheme="minorHAnsi"/>
          <w:color w:val="000000" w:themeColor="text1"/>
          <w:sz w:val="16"/>
          <w:szCs w:val="16"/>
        </w:rPr>
        <w:t>Завод № 125</w:t>
      </w:r>
    </w:p>
    <w:p w14:paraId="6C6AFD5F" w14:textId="77777777" w:rsidR="006F4E11" w:rsidRPr="00E14102" w:rsidRDefault="006F4E11" w:rsidP="00E14102">
      <w:pPr>
        <w:jc w:val="both"/>
        <w:rPr>
          <w:color w:val="000000" w:themeColor="text1"/>
          <w:sz w:val="16"/>
          <w:szCs w:val="16"/>
        </w:rPr>
      </w:pPr>
      <w:r w:rsidRPr="00E14102">
        <w:rPr>
          <w:color w:val="000000" w:themeColor="text1"/>
          <w:sz w:val="16"/>
          <w:szCs w:val="16"/>
        </w:rPr>
        <w:t>Как из недодела 1934 года — 30 самолётов И-14, так и из программы текущего года, заводом N° 125 не сдано ни одного самолёта.</w:t>
      </w:r>
    </w:p>
    <w:p w14:paraId="5F871AB3" w14:textId="77777777" w:rsidR="006F4E11" w:rsidRPr="00E14102" w:rsidRDefault="006F4E11" w:rsidP="00E14102">
      <w:pPr>
        <w:jc w:val="both"/>
        <w:rPr>
          <w:color w:val="000000" w:themeColor="text1"/>
          <w:sz w:val="16"/>
          <w:szCs w:val="16"/>
        </w:rPr>
      </w:pPr>
      <w:r w:rsidRPr="00E14102">
        <w:rPr>
          <w:color w:val="000000" w:themeColor="text1"/>
          <w:sz w:val="16"/>
          <w:szCs w:val="16"/>
        </w:rPr>
        <w:t>Основными причинами являются — скверная организация производства и его подготов</w:t>
      </w:r>
      <w:r w:rsidRPr="00E14102">
        <w:rPr>
          <w:color w:val="000000" w:themeColor="text1"/>
          <w:sz w:val="16"/>
          <w:szCs w:val="16"/>
        </w:rPr>
        <w:softHyphen/>
        <w:t>ки, приведшие к тому, что завод находится в катастрофическом положении по заделу 3 и 4 кварталов. Завод лимитируется кадрами как квалифицированных, так и инженер</w:t>
      </w:r>
      <w:r w:rsidRPr="00E14102">
        <w:rPr>
          <w:color w:val="000000" w:themeColor="text1"/>
          <w:sz w:val="16"/>
          <w:szCs w:val="16"/>
        </w:rPr>
        <w:softHyphen/>
        <w:t>но-технических работников, что усугубляется неправильной расстановкой имеющихся сил. Неправильное использование площадей и станкооборудования при отсутствии учё</w:t>
      </w:r>
      <w:r w:rsidRPr="00E14102">
        <w:rPr>
          <w:color w:val="000000" w:themeColor="text1"/>
          <w:sz w:val="16"/>
          <w:szCs w:val="16"/>
        </w:rPr>
        <w:softHyphen/>
        <w:t>та его использования. К этому надо добавить царившую на заводе расхлябанность и от</w:t>
      </w:r>
      <w:r w:rsidRPr="00E14102">
        <w:rPr>
          <w:color w:val="000000" w:themeColor="text1"/>
          <w:sz w:val="16"/>
          <w:szCs w:val="16"/>
        </w:rPr>
        <w:softHyphen/>
        <w:t>сутствие хозяйского глаза и дисциплины на всех абсолютно участках предприятия, не говоря уже о безобразном положении на участке освоения и качества продукции.</w:t>
      </w:r>
    </w:p>
    <w:p w14:paraId="5D182229" w14:textId="77777777" w:rsidR="006F4E11" w:rsidRPr="00E14102" w:rsidRDefault="006F4E11" w:rsidP="00E14102">
      <w:pPr>
        <w:jc w:val="both"/>
        <w:rPr>
          <w:color w:val="000000" w:themeColor="text1"/>
          <w:sz w:val="16"/>
          <w:szCs w:val="16"/>
        </w:rPr>
      </w:pPr>
      <w:r w:rsidRPr="00E14102">
        <w:rPr>
          <w:color w:val="000000" w:themeColor="text1"/>
          <w:sz w:val="16"/>
          <w:szCs w:val="16"/>
        </w:rPr>
        <w:t>В целях улучшения работы заводов по выполнению ими плана заказов НКО необходимо:</w:t>
      </w:r>
    </w:p>
    <w:p w14:paraId="01E376A2" w14:textId="77777777" w:rsidR="006F4E11" w:rsidRPr="00E14102" w:rsidRDefault="006F4E11" w:rsidP="00E14102">
      <w:pPr>
        <w:numPr>
          <w:ilvl w:val="0"/>
          <w:numId w:val="9"/>
        </w:numPr>
        <w:tabs>
          <w:tab w:val="left" w:pos="433"/>
        </w:tabs>
        <w:jc w:val="both"/>
        <w:rPr>
          <w:color w:val="000000" w:themeColor="text1"/>
          <w:sz w:val="16"/>
          <w:szCs w:val="16"/>
        </w:rPr>
      </w:pPr>
      <w:r w:rsidRPr="00E14102">
        <w:rPr>
          <w:color w:val="000000" w:themeColor="text1"/>
          <w:sz w:val="16"/>
          <w:szCs w:val="16"/>
        </w:rPr>
        <w:t>назначить заместителем начальника ГУАП высококвалифицированного и автори</w:t>
      </w:r>
      <w:r w:rsidRPr="00E14102">
        <w:rPr>
          <w:color w:val="000000" w:themeColor="text1"/>
          <w:sz w:val="16"/>
          <w:szCs w:val="16"/>
        </w:rPr>
        <w:softHyphen/>
        <w:t>тетного инженера.</w:t>
      </w:r>
    </w:p>
    <w:p w14:paraId="0E4AE25F" w14:textId="77777777" w:rsidR="006F4E11" w:rsidRPr="00E14102" w:rsidRDefault="006F4E11" w:rsidP="00E14102">
      <w:pPr>
        <w:numPr>
          <w:ilvl w:val="0"/>
          <w:numId w:val="9"/>
        </w:numPr>
        <w:tabs>
          <w:tab w:val="left" w:pos="423"/>
        </w:tabs>
        <w:jc w:val="both"/>
        <w:rPr>
          <w:color w:val="000000" w:themeColor="text1"/>
          <w:sz w:val="16"/>
          <w:szCs w:val="16"/>
        </w:rPr>
      </w:pPr>
      <w:r w:rsidRPr="00E14102">
        <w:rPr>
          <w:color w:val="000000" w:themeColor="text1"/>
          <w:sz w:val="16"/>
          <w:szCs w:val="16"/>
        </w:rPr>
        <w:t>возглавить самолётный и моторный отдел ГУАП компетентными и достаточно ав</w:t>
      </w:r>
      <w:r w:rsidRPr="00E14102">
        <w:rPr>
          <w:color w:val="000000" w:themeColor="text1"/>
          <w:sz w:val="16"/>
          <w:szCs w:val="16"/>
        </w:rPr>
        <w:softHyphen/>
        <w:t>торитетными инженерами, для технического руководства...»</w:t>
      </w:r>
    </w:p>
    <w:p w14:paraId="69DB0EDC" w14:textId="77777777" w:rsidR="006F4E11" w:rsidRPr="00E14102" w:rsidRDefault="006F4E11" w:rsidP="00E14102">
      <w:pPr>
        <w:jc w:val="both"/>
        <w:rPr>
          <w:color w:val="000000" w:themeColor="text1"/>
          <w:sz w:val="16"/>
          <w:szCs w:val="16"/>
        </w:rPr>
      </w:pPr>
      <w:r w:rsidRPr="00E14102">
        <w:rPr>
          <w:color w:val="000000" w:themeColor="text1"/>
          <w:sz w:val="16"/>
          <w:szCs w:val="16"/>
        </w:rPr>
        <w:t>В дополнение к вышеизложенному о причинах невыполнения программы, интересна выдержка из докладной записки начальника 2 отделения 4 отдела УВС РККА Галдина по заводу № 125 (самолёт И-14):</w:t>
      </w:r>
    </w:p>
    <w:p w14:paraId="13D5EF2F" w14:textId="77777777" w:rsidR="006F4E11" w:rsidRPr="00E14102" w:rsidRDefault="006F4E11" w:rsidP="00E14102">
      <w:pPr>
        <w:jc w:val="both"/>
        <w:rPr>
          <w:color w:val="000000" w:themeColor="text1"/>
          <w:sz w:val="16"/>
          <w:szCs w:val="16"/>
        </w:rPr>
      </w:pPr>
      <w:r w:rsidRPr="00E14102">
        <w:rPr>
          <w:color w:val="000000" w:themeColor="text1"/>
          <w:sz w:val="16"/>
          <w:szCs w:val="16"/>
        </w:rPr>
        <w:t>«а) Незаконченная подготовка производства и слабость его планирования не дают возможности быстрого восстановления и правильность распределения деталей, бра</w:t>
      </w:r>
      <w:r w:rsidRPr="00E14102">
        <w:rPr>
          <w:color w:val="000000" w:themeColor="text1"/>
          <w:sz w:val="16"/>
          <w:szCs w:val="16"/>
        </w:rPr>
        <w:softHyphen/>
        <w:t>куемых в большом количестве в общей сборке.</w:t>
      </w:r>
    </w:p>
    <w:p w14:paraId="114588B6" w14:textId="77777777" w:rsidR="006F4E11" w:rsidRPr="00E14102" w:rsidRDefault="006F4E11" w:rsidP="00E14102">
      <w:pPr>
        <w:tabs>
          <w:tab w:val="left" w:pos="452"/>
        </w:tabs>
        <w:jc w:val="both"/>
        <w:rPr>
          <w:color w:val="000000" w:themeColor="text1"/>
          <w:sz w:val="16"/>
          <w:szCs w:val="16"/>
        </w:rPr>
      </w:pPr>
      <w:r w:rsidRPr="00E14102">
        <w:rPr>
          <w:color w:val="000000" w:themeColor="text1"/>
          <w:sz w:val="16"/>
          <w:szCs w:val="16"/>
        </w:rPr>
        <w:t>б) Неосвоенность заводом ряда ответственных деталей и агрегатов и, в частности, бензиновых баков и мотора'м.</w:t>
      </w:r>
    </w:p>
    <w:p w14:paraId="339A6F28" w14:textId="77777777" w:rsidR="006F4E11" w:rsidRPr="00E14102" w:rsidRDefault="006F4E11" w:rsidP="00E14102">
      <w:pPr>
        <w:tabs>
          <w:tab w:val="left" w:pos="428"/>
        </w:tabs>
        <w:jc w:val="both"/>
        <w:rPr>
          <w:color w:val="000000" w:themeColor="text1"/>
          <w:sz w:val="16"/>
          <w:szCs w:val="16"/>
        </w:rPr>
      </w:pPr>
      <w:r w:rsidRPr="00E14102">
        <w:rPr>
          <w:color w:val="000000" w:themeColor="text1"/>
          <w:sz w:val="16"/>
          <w:szCs w:val="16"/>
        </w:rPr>
        <w:t>в) Плохая работа контрольного отдела и лаборатории завода, приведшая к запутан</w:t>
      </w:r>
      <w:r w:rsidRPr="00E14102">
        <w:rPr>
          <w:color w:val="000000" w:themeColor="text1"/>
          <w:sz w:val="16"/>
          <w:szCs w:val="16"/>
        </w:rPr>
        <w:softHyphen/>
        <w:t>ности в маркировке сталей, из-за чего, забракованы 600 шт. узлов, изготовленных не из той марки, которая требуется» (15823).</w:t>
      </w:r>
    </w:p>
    <w:p w14:paraId="46A71E7C" w14:textId="77777777" w:rsidR="006F4E11" w:rsidRPr="00E14102" w:rsidRDefault="006F4E11" w:rsidP="00E14102">
      <w:pPr>
        <w:tabs>
          <w:tab w:val="left" w:pos="428"/>
        </w:tabs>
        <w:jc w:val="both"/>
        <w:rPr>
          <w:color w:val="000000" w:themeColor="text1"/>
          <w:sz w:val="16"/>
          <w:szCs w:val="16"/>
        </w:rPr>
      </w:pPr>
    </w:p>
    <w:p w14:paraId="1449436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июля 1935 г. с использованием полученной из США документации на мотор типа Р50 разрабатывался М-25А, безредукторный, форсирован по оборотам. Введен противовес-маятник, усилена кулачковая шайба, внесены изменения в маслосистему. Мощность 715/730 л.с., вес 439 кг. (11852).</w:t>
      </w:r>
    </w:p>
    <w:p w14:paraId="59AC984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D5A6994" w14:textId="77777777" w:rsidR="00CE5061" w:rsidRPr="00E14102" w:rsidRDefault="00CE5061" w:rsidP="00E14102">
      <w:pPr>
        <w:jc w:val="both"/>
        <w:rPr>
          <w:color w:val="000000" w:themeColor="text1"/>
          <w:sz w:val="16"/>
          <w:szCs w:val="16"/>
          <w:shd w:val="clear" w:color="auto" w:fill="FFFFFF"/>
        </w:rPr>
      </w:pPr>
      <w:r w:rsidRPr="00E14102">
        <w:rPr>
          <w:color w:val="000000" w:themeColor="text1"/>
          <w:sz w:val="16"/>
          <w:szCs w:val="16"/>
        </w:rPr>
        <w:t>С июля 1935 г. М 25А сменил в серии мотор предыдущего типа М-25 (19534).</w:t>
      </w:r>
    </w:p>
    <w:p w14:paraId="20913CCB" w14:textId="77777777" w:rsidR="00CE5061" w:rsidRPr="00E14102" w:rsidRDefault="00CE5061" w:rsidP="00E14102">
      <w:pPr>
        <w:jc w:val="both"/>
        <w:rPr>
          <w:color w:val="000000" w:themeColor="text1"/>
          <w:sz w:val="16"/>
          <w:szCs w:val="16"/>
          <w:shd w:val="clear" w:color="auto" w:fill="FFFFFF"/>
        </w:rPr>
      </w:pPr>
    </w:p>
    <w:p w14:paraId="7ED5EC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начали прини</w:t>
      </w:r>
      <w:r w:rsidRPr="00E14102">
        <w:rPr>
          <w:color w:val="000000" w:themeColor="text1"/>
          <w:sz w:val="16"/>
          <w:szCs w:val="16"/>
        </w:rPr>
        <w:softHyphen/>
        <w:t>мать первую серию М-85. Два двигателя в августе прошли длительные испытания. К 1 ноября через военную приемку прошли 57 моторов. Не хватало импортных магнето. Советское ВМ-14, которое должно было заменить французский оригинал, до конца года так и не было доведено до рабо</w:t>
      </w:r>
      <w:r w:rsidRPr="00E14102">
        <w:rPr>
          <w:color w:val="000000" w:themeColor="text1"/>
          <w:sz w:val="16"/>
          <w:szCs w:val="16"/>
        </w:rPr>
        <w:softHyphen/>
        <w:t>тоспособного состояния. Велик был брак клапанных пружин. В октябре 1935 г. М-85 впервые выставили на 100-часовые стендовые госиспыта</w:t>
      </w:r>
      <w:r w:rsidRPr="00E14102">
        <w:rPr>
          <w:color w:val="000000" w:themeColor="text1"/>
          <w:sz w:val="16"/>
          <w:szCs w:val="16"/>
        </w:rPr>
        <w:softHyphen/>
        <w:t>ния в НИИ ВВС. Но последовали две аварии подряд. 8 декабря 1935 г. на испытания предъявили два новых мотора, которые прошли испытания с оценкой «удовлетворительно». Советская копия соответствовала ори</w:t>
      </w:r>
      <w:r w:rsidRPr="00E14102">
        <w:rPr>
          <w:color w:val="000000" w:themeColor="text1"/>
          <w:sz w:val="16"/>
          <w:szCs w:val="16"/>
        </w:rPr>
        <w:softHyphen/>
        <w:t>гиналу по мощности и расходу топлива, но отличалась большим рас</w:t>
      </w:r>
      <w:r w:rsidRPr="00E14102">
        <w:rPr>
          <w:color w:val="000000" w:themeColor="text1"/>
          <w:sz w:val="16"/>
          <w:szCs w:val="16"/>
        </w:rPr>
        <w:softHyphen/>
        <w:t>ходом масла и имела существенно более низкий межремонтный ресурс. ГУА.П требовало от завода 150 часов, завод официально заявлял о ре</w:t>
      </w:r>
      <w:r w:rsidRPr="00E14102">
        <w:rPr>
          <w:color w:val="000000" w:themeColor="text1"/>
          <w:sz w:val="16"/>
          <w:szCs w:val="16"/>
        </w:rPr>
        <w:softHyphen/>
        <w:t>сурсе 100 часов. Фактически же в воинских частях М-85 ранних серий вырабатывали 50-60 часов. Мотор М-85 был хорош для 1933 г., но для конца 1935 г. он уже не</w:t>
      </w:r>
      <w:r w:rsidRPr="00E14102">
        <w:rPr>
          <w:color w:val="000000" w:themeColor="text1"/>
          <w:sz w:val="16"/>
          <w:szCs w:val="16"/>
        </w:rPr>
        <w:softHyphen/>
        <w:t>сколько устарел. Началась модернизация конструкции, которая привела к созданию довольно большого семейства двигателей на его базе. Этот процесс был своеобразен тем, что на разных стадиях им руководили со</w:t>
      </w:r>
      <w:r w:rsidRPr="00E14102">
        <w:rPr>
          <w:color w:val="000000" w:themeColor="text1"/>
          <w:sz w:val="16"/>
          <w:szCs w:val="16"/>
        </w:rPr>
        <w:softHyphen/>
        <w:t>вершенно разные люди, зачастую ранее не имевшие никакого отношения к работам по М-85 и его «потомкам». Если совершенствование М-25 от начала до конца вел А.Д. Швецов, аналогичную работу по М-100 — В.Я. Климов, то в Запорожье за этот период сменилось около десятка главных конструкторов. Для дальнейшего совершенствования М-85 еще 1 января 1935 г. сфор</w:t>
      </w:r>
      <w:r w:rsidRPr="00E14102">
        <w:rPr>
          <w:color w:val="000000" w:themeColor="text1"/>
          <w:sz w:val="16"/>
          <w:szCs w:val="16"/>
        </w:rPr>
        <w:softHyphen/>
        <w:t>мировали ОКБ-29, руководимое А.С. Назаровым. Назаров к этому време</w:t>
      </w:r>
      <w:r w:rsidRPr="00E14102">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E14102">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E14102">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Назарова возник серьезный конфликт с подчинен</w:t>
      </w:r>
      <w:r w:rsidRPr="00E14102">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E14102">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E14102">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E14102">
        <w:rPr>
          <w:color w:val="000000" w:themeColor="text1"/>
          <w:sz w:val="16"/>
          <w:szCs w:val="16"/>
        </w:rPr>
        <w:softHyphen/>
        <w:t>ным нагнетателем» и исходно не предусматривала внесения других изме</w:t>
      </w:r>
      <w:r w:rsidRPr="00E14102">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E14102">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E14102">
        <w:rPr>
          <w:color w:val="000000" w:themeColor="text1"/>
          <w:sz w:val="16"/>
          <w:szCs w:val="16"/>
        </w:rPr>
        <w:softHyphen/>
        <w:t>стояло довести до серийного производства М-87 и двигатель с двухско</w:t>
      </w:r>
      <w:r w:rsidRPr="00E14102">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E14102">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E14102">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E14102">
        <w:rPr>
          <w:color w:val="000000" w:themeColor="text1"/>
          <w:sz w:val="16"/>
          <w:szCs w:val="16"/>
        </w:rPr>
        <w:softHyphen/>
        <w:t>енную приемку. До конца года сдали 711 таких двигателей. Старые М-85 и М-86 строить перестали (11852).</w:t>
      </w:r>
    </w:p>
    <w:p w14:paraId="6FCD59F4" w14:textId="77777777" w:rsidR="00D4105E" w:rsidRPr="00E14102" w:rsidRDefault="00D4105E" w:rsidP="00E14102">
      <w:pPr>
        <w:autoSpaceDE w:val="0"/>
        <w:autoSpaceDN w:val="0"/>
        <w:adjustRightInd w:val="0"/>
        <w:jc w:val="both"/>
        <w:rPr>
          <w:color w:val="000000" w:themeColor="text1"/>
          <w:sz w:val="16"/>
          <w:szCs w:val="16"/>
        </w:rPr>
      </w:pPr>
    </w:p>
    <w:p w14:paraId="3400DE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июле 1935 г. на заводе № 29 в Запорожье выпустили первый М-85 - лицензионная копия французского мотора Гном-Рон 14Кс1г8. Ранние серии частично комплектовались импортными узлами и электрооборудованием (магнето, карбюратор, клапана, подшипники ПЦН, выхлопные патрубки, бензонасос, компрессор, свечи. Два мотора прошли длительные заводские испытания в июле — авгус 1935 г. М-85 проходил государственные стендовые испытания в НИИ ВВС с 27 октября 1935 г., успешно завершил их (со второго предъявления) январе 1936 г. На испытаниях зафиксировали мощность 761/812 л.с. Поздние серии частично унифицировались с М-86, в частности от последнего взяли усиленный кривошипно-шатунный механизм. Двигате; сняли с производства в конце 1937 г. Всего выпущено 463 экз.</w:t>
      </w:r>
    </w:p>
    <w:p w14:paraId="2064AD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Характеристики:</w:t>
      </w:r>
    </w:p>
    <w:p w14:paraId="516FD2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 14-цилиндровый, двухрядный звездообразный, четырехтактный, воз</w:t>
      </w:r>
      <w:r w:rsidRPr="00E14102">
        <w:rPr>
          <w:color w:val="000000" w:themeColor="text1"/>
          <w:sz w:val="16"/>
          <w:szCs w:val="16"/>
        </w:rPr>
        <w:softHyphen/>
        <w:t>душного охлаждения, редукторный, с односкоростным ПЦН;</w:t>
      </w:r>
    </w:p>
    <w:p w14:paraId="49DA2E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мощность 720/800 л.с. (с винтом фиксированного шага 765 л.с.);</w:t>
      </w:r>
    </w:p>
    <w:p w14:paraId="5243BA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вес 600 кг;</w:t>
      </w:r>
    </w:p>
    <w:p w14:paraId="0B46988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диаметр цилиндра/ход поршня 146/165 мм;</w:t>
      </w:r>
    </w:p>
    <w:p w14:paraId="2E55AE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полный рабочий объем 38,68 л;</w:t>
      </w:r>
    </w:p>
    <w:p w14:paraId="28053D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степень сжатия 5,5.</w:t>
      </w:r>
    </w:p>
    <w:p w14:paraId="6C2146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Применялся на серийных самолетах ДБ-3, опытных самолетах И-207, ДГ-58 (ПБ, недостроен), ДГ-58Р (Р-9, недостроен), Р-9 (ЛБШ), ПС-35, ДИ-8. Предусматривался в проекте одной из модификаций СБ (11852).</w:t>
      </w:r>
    </w:p>
    <w:p w14:paraId="53876E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DA152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июле 1935 г. работавшие в НИИ ВВС военинженеры П.Н. Павлючук и И.Ф. Буров предложили необычную компоновку авиамотора с двумя коленвалами и двумя двухрядными блоками цилиндров. Блоки располага</w:t>
      </w:r>
      <w:r w:rsidRPr="00E14102">
        <w:rPr>
          <w:color w:val="000000" w:themeColor="text1"/>
          <w:sz w:val="16"/>
          <w:szCs w:val="16"/>
        </w:rPr>
        <w:softHyphen/>
        <w:t>лись У-образно. Каждый из коленвалов вращался шатунами одного ряда цилиндров левого блока и одного — правого. При этом каждая пара ци</w:t>
      </w:r>
      <w:r w:rsidRPr="00E14102">
        <w:rPr>
          <w:color w:val="000000" w:themeColor="text1"/>
          <w:sz w:val="16"/>
          <w:szCs w:val="16"/>
        </w:rPr>
        <w:softHyphen/>
        <w:t>линдров в блоке имела общую камеру сгорания. ПБ (МОТОР ПАВЛЮЧУКА—БУРОВА). Проектные параметры ПБ: 24-цилиндровый, двойной У-образный, четы</w:t>
      </w:r>
      <w:r w:rsidRPr="00E14102">
        <w:rPr>
          <w:color w:val="000000" w:themeColor="text1"/>
          <w:sz w:val="16"/>
          <w:szCs w:val="16"/>
        </w:rPr>
        <w:softHyphen/>
        <w:t>рехтактный, жидкостного охлаждения, безредукторный, диаметр цилиндра/ ход поршня 90/100 мм, объем 15,45 л, мощность 600 л.с., степень сжа</w:t>
      </w:r>
      <w:r w:rsidRPr="00E14102">
        <w:rPr>
          <w:color w:val="000000" w:themeColor="text1"/>
          <w:sz w:val="16"/>
          <w:szCs w:val="16"/>
        </w:rPr>
        <w:softHyphen/>
        <w:t>тия 7,0, вес 290 кг. В сентябре 1935 г. руководство НИИ ВВС приняло решение изготовить четырехцилиндровый отсек ПБ для проверки работоспособности схемы. Его начали делать в 1936 г. с помощью завода № 24, используя детали от моторов М-11, М-17 и М-22. Отсек ПБ собрали в мастерских НИИ в марте 1937 г., а в апреле начали испытывать на стенде. Получили мощ</w:t>
      </w:r>
      <w:r w:rsidRPr="00E14102">
        <w:rPr>
          <w:color w:val="000000" w:themeColor="text1"/>
          <w:sz w:val="16"/>
          <w:szCs w:val="16"/>
        </w:rPr>
        <w:softHyphen/>
        <w:t>ность 83,4 л.с. (при степени сжатия 7,23). С учетом результатов эксперимента был подготовлен уточненный проект ПБ, в котором степень сжатия подняли до 7,3, мощность до 820/900 л.с. и вес до 400 кг, предусмотрев редуктор. Предлагали выпустить на заводе № 24 опытную партию из пяти двигателей. В январе 1939 г. ВВС было выдано техническое задание на создание мотора такого типа мощностью 850/900 л.с. и весом 420 кг. Реально опытный образец ПБ в целом по</w:t>
      </w:r>
      <w:r w:rsidRPr="00E14102">
        <w:rPr>
          <w:color w:val="000000" w:themeColor="text1"/>
          <w:sz w:val="16"/>
          <w:szCs w:val="16"/>
        </w:rPr>
        <w:softHyphen/>
        <w:t>строен не был. Конструкторами предлагались также варианты сдвоенного ПБ общей мощностью 1700 л.с., дизеля и двухтактного мотора на его базе (11852).</w:t>
      </w:r>
    </w:p>
    <w:p w14:paraId="00E22B5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FA60C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вышло постановление ЦК ВЛКСМ и Осоавиахим о запрещении без специального разрешения проведения экспериментальных и рекордных полетов на планерах и таких же прыжков с парашютом. Сильно все затормозило (94,6).</w:t>
      </w:r>
    </w:p>
    <w:p w14:paraId="204A32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Видно гибли из пижонства.</w:t>
      </w:r>
    </w:p>
    <w:p w14:paraId="597093DD" w14:textId="77777777" w:rsidR="00D4105E" w:rsidRPr="00E14102" w:rsidRDefault="00D4105E" w:rsidP="00E14102">
      <w:pPr>
        <w:autoSpaceDE w:val="0"/>
        <w:autoSpaceDN w:val="0"/>
        <w:adjustRightInd w:val="0"/>
        <w:jc w:val="both"/>
        <w:rPr>
          <w:color w:val="000000" w:themeColor="text1"/>
          <w:sz w:val="16"/>
          <w:szCs w:val="16"/>
        </w:rPr>
      </w:pPr>
    </w:p>
    <w:p w14:paraId="4EE57A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года районный инженер УВС на заводе N 1 Кузнецов.</w:t>
      </w:r>
    </w:p>
    <w:p w14:paraId="549E10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Опытное строительство.</w:t>
      </w:r>
    </w:p>
    <w:p w14:paraId="4EF8AA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1, будучи серийным заводом положил начало опытного строительства фактически с начала этого года постройкой самолета "ССС" (модернизированный Р-5).</w:t>
      </w:r>
    </w:p>
    <w:p w14:paraId="34C011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1934 года заводу было дано задание на проектирование разведчика с мотором М-34, который по предварительным данным располагает значительно лучшими летными данными, так, например, V=320 км при Н=3000 м (в данное время находится на гос. испытании).</w:t>
      </w:r>
    </w:p>
    <w:p w14:paraId="477198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этого года, постановлением правительства завод N 133 влился в завод N 1, что послужило возможностью для последнего создать крупную проектирующую организацию, каким является Опытно-конструкторское управление 1-го завода, возглавляемое известным конструктором Д.П. Григоровичем. (Фактически начало работ ОКУ нужно отнести на начало июня, т.к. переезд на новую территорию и организационная перестройка потребовала затраты значительного количества времени).</w:t>
      </w:r>
    </w:p>
    <w:p w14:paraId="6BEA70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завод N 1 имеет в своем составе солидную организацию для проектирования новых современных самолетов и достаточную производственную базу для их постройки.</w:t>
      </w:r>
    </w:p>
    <w:p w14:paraId="1BE2CB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ход производства и проектирования выражается в следующем виде:</w:t>
      </w:r>
    </w:p>
    <w:p w14:paraId="6694C1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Разведчик типа Р. Зет М-34Н.</w:t>
      </w:r>
    </w:p>
    <w:p w14:paraId="73DC07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Самолет передан 29.06.35 г. на гос. испытания.</w:t>
      </w:r>
    </w:p>
    <w:p w14:paraId="5B12E9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 производстве заканчивается 2-й экземпляр самолета, строящийся с учетом дефектов, выявленных при заводских испытаниях первого самолета, кроме того перерабатывается новый фонарь, обеспечивающий лучший обзор, что на первой машине является явным дефектом.</w:t>
      </w:r>
    </w:p>
    <w:p w14:paraId="7F9F48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Штурмовик "ССС" М-17.</w:t>
      </w:r>
    </w:p>
    <w:p w14:paraId="1CA526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Устанавливается вооружение в соответствии с требованием отчета гос. испытаний в НИИ ВВС.</w:t>
      </w:r>
    </w:p>
    <w:p w14:paraId="06BA8B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Разведчик типа Р-9 "Мистраль-Мажор".</w:t>
      </w:r>
    </w:p>
    <w:p w14:paraId="3D8569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Утвержден эскизный проект.</w:t>
      </w:r>
    </w:p>
    <w:p w14:paraId="4226F3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Модель самолета будет готова к 5.07.35 г.</w:t>
      </w:r>
    </w:p>
    <w:p w14:paraId="6B6832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Пушечный истребитель типа ПИ-1. Райт-Циклон Ф-3.</w:t>
      </w:r>
    </w:p>
    <w:p w14:paraId="176702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Передан 29.06.35 г. в НИИ ВВС на гос. испытание пушечного вооружения.</w:t>
      </w:r>
    </w:p>
    <w:p w14:paraId="65D19E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Второй экземпляр, построенный для завода N 135 прошел заводские испытания и предъявляется военному представительству, в настоящее время завод доводит стрелковое вооружение, со сроком окончания 5.07.35 г.</w:t>
      </w:r>
    </w:p>
    <w:p w14:paraId="35B46E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Усиленными темпами завод работает над макетом батареи ШКАСС (из 2-х пулеметов), предназначенным для замены пушки АПК-4. В настоящее время достигнуты хорошие результаты на деревянном макете и для проверки устанавливаются на металлический макет.</w:t>
      </w:r>
    </w:p>
    <w:p w14:paraId="66014C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Пушечный истребитель ИП-3 Р.Ц. Ф-3.</w:t>
      </w:r>
    </w:p>
    <w:p w14:paraId="5AD021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Закончен в производстве и находится в процессе заводских испытаний (правительственный срок предъявления самолета на гос. испытание 1.08.35 г.).</w:t>
      </w:r>
    </w:p>
    <w:p w14:paraId="7D98CF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Постройка 2-го экз. (дублер ПИ-3) находится в следующем виде:</w:t>
      </w:r>
    </w:p>
    <w:p w14:paraId="6A5192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окончания макета к 1.08.35 года.</w:t>
      </w:r>
    </w:p>
    <w:p w14:paraId="566B0A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изготовлению чертежей для опытного образца будет приступлено после выпуска чертежей пикирующего бомбардировщика.</w:t>
      </w:r>
    </w:p>
    <w:p w14:paraId="637A20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Пикирующий бомбардировщик "ПБ" Испано-Сюиза.</w:t>
      </w:r>
    </w:p>
    <w:p w14:paraId="5F4092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Заканчивается эскизный проект. Срок 15.07.35 г.</w:t>
      </w:r>
    </w:p>
    <w:p w14:paraId="4B401B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Макет самолета с экранированными ШКАСС будет закончен к 10.07.35 г.</w:t>
      </w:r>
    </w:p>
    <w:p w14:paraId="7569EF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Модель в производстве со сроком окончания 20.07.35 г.</w:t>
      </w:r>
    </w:p>
    <w:p w14:paraId="7C1240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Легкий крейсер тип ЛК-3 2-Испано-Сюиза.</w:t>
      </w:r>
    </w:p>
    <w:p w14:paraId="633F43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Сделано в эскизном проекте 2 варианта.</w:t>
      </w:r>
    </w:p>
    <w:p w14:paraId="0D06FF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Модель в производстве со сроком окончания 15.07.35 г. (3072,230-234).</w:t>
      </w:r>
    </w:p>
    <w:p w14:paraId="608C5E7A" w14:textId="77777777" w:rsidR="00D4105E" w:rsidRPr="00E14102" w:rsidRDefault="00D4105E" w:rsidP="00E14102">
      <w:pPr>
        <w:autoSpaceDE w:val="0"/>
        <w:autoSpaceDN w:val="0"/>
        <w:adjustRightInd w:val="0"/>
        <w:jc w:val="both"/>
        <w:rPr>
          <w:color w:val="000000" w:themeColor="text1"/>
          <w:sz w:val="16"/>
          <w:szCs w:val="16"/>
        </w:rPr>
      </w:pPr>
    </w:p>
    <w:p w14:paraId="041150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г. самолет Дорнье Дорнье "Валь" СССР-Н9 - Заводской № 238, двигатели - 2 М-17 (так в документе), дата присвоения опознавательного знака с литерой "Н" - 22.08.33 г. должен был обслуживать Западную часть Карского моря, но не смог вовремя выйти в район базирования, и вместо него вызвали Дорнье "Валь" СССР-Н2 А.Д.Алексеева. На место СССР-Н9 прибыл только в августе. Базируясь в бухте Варнека, гидроплан взял на себя плановую работу по проводке судов Карской экспедиции с непосредственным подчинением командованию ледокольного парохода "Малыгин".</w:t>
      </w:r>
    </w:p>
    <w:p w14:paraId="273AD0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концу августа работы в западной части Карского моря стало значительно меньше, "Малыгин" с группой судов уже входил в Енисей, и самолет был вызван на о. Диксон. Отсюда в начале сентября СССР-Н9 выполнил полет на ледовую разведку к острову Белому и острову Русскому.</w:t>
      </w:r>
    </w:p>
    <w:p w14:paraId="166B52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27-го сентября 1935 г. СССР-Н9 вылетел из Дудинки в Красноярск. Экипаж самолета был следующим: командир М.И.Козлов, 2-й пилот Г.Власов, летнаб А.А.Ритслянд, 1-й бортмеханик К.Н.Сугробов, 2-й бортмеханик Блохин.</w:t>
      </w:r>
    </w:p>
    <w:p w14:paraId="2E47E1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маршруте следования самолет попал в зону плохой погоды, шли через снегопады на высоте 200 м, Игарку прошли на высоте 70 м. Сразу за пунктом Карасино машина попала в мощный снежный заряд, закрывший русло Енисея, поэтому летчики попытались обойти его стороной и ушли от реки. Неожиданно встали сразу два мотора. Козлов немедленно развернул Н9 с целью спланировать на реку. Механики отчаянно качали ручным насосом бензин, в надежде запустить двигатели. Наконец передний М-17 заработал. Однако было уже поздно, не долетая 400 м до воды самолет начал цеплять верхушки деревьев. Затем его развернуло на 120°, ударило боком, в результате чего оторвало хвостовую часть до переборки заднего отсека. Запустившийся мотор продолжал работать до последнего момента, Козлов его выключил уже после того, как летающая лодка оказалась на земле.</w:t>
      </w:r>
    </w:p>
    <w:p w14:paraId="16B1E4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результате аварии помимо оторванного хвоста была разрушена левая плоскость, правая смята, фюзеляж деформирован. Все были живы, летнаб Ритслянд сломал руку.</w:t>
      </w:r>
    </w:p>
    <w:p w14:paraId="418F93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Виновником происшествия признали механика Сугробова, совершившего ошибку при переключении топливных баков. Однако истинной причиной несчастья являлась "мода" дорабатывать топливо из расходуемых баков, что называется, до последней капли, а затем уже переключаться на следующие.</w:t>
      </w:r>
    </w:p>
    <w:p w14:paraId="3C08F4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М.И.Козлову "за необеспечение дисциплинированности экипажа и за несоблюдение правил полетной службы в отношении получения на полет прогноза погоды" был объявлен выговор, Сугробову за переключение баков без разрешения командира - строгий выговор.</w:t>
      </w:r>
    </w:p>
    <w:p w14:paraId="3E9D59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Основные показатели деятельности Н-8 в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E3599D" w:rsidRPr="00E14102" w14:paraId="4012E7E8" w14:textId="77777777">
        <w:tc>
          <w:tcPr>
            <w:tcW w:w="3736" w:type="dxa"/>
            <w:tcBorders>
              <w:top w:val="single" w:sz="12" w:space="0" w:color="auto"/>
            </w:tcBorders>
          </w:tcPr>
          <w:p w14:paraId="3583E4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Вид деятельности</w:t>
            </w:r>
          </w:p>
        </w:tc>
        <w:tc>
          <w:tcPr>
            <w:tcW w:w="3736" w:type="dxa"/>
            <w:tcBorders>
              <w:top w:val="single" w:sz="12" w:space="0" w:color="auto"/>
            </w:tcBorders>
          </w:tcPr>
          <w:p w14:paraId="1FEC93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 Рейсов</w:t>
            </w:r>
          </w:p>
        </w:tc>
        <w:tc>
          <w:tcPr>
            <w:tcW w:w="3736" w:type="dxa"/>
            <w:tcBorders>
              <w:top w:val="single" w:sz="12" w:space="0" w:color="auto"/>
            </w:tcBorders>
          </w:tcPr>
          <w:p w14:paraId="51D3A9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Налет в часах</w:t>
            </w:r>
          </w:p>
        </w:tc>
      </w:tr>
      <w:tr w:rsidR="00E3599D" w:rsidRPr="00E14102" w14:paraId="3F3312A5" w14:textId="77777777">
        <w:tc>
          <w:tcPr>
            <w:tcW w:w="3736" w:type="dxa"/>
          </w:tcPr>
          <w:p w14:paraId="30578F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вдоль Енисея</w:t>
            </w:r>
          </w:p>
        </w:tc>
        <w:tc>
          <w:tcPr>
            <w:tcW w:w="3736" w:type="dxa"/>
          </w:tcPr>
          <w:p w14:paraId="2A2B70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3736" w:type="dxa"/>
          </w:tcPr>
          <w:p w14:paraId="5F93AB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87 час 39 мин</w:t>
            </w:r>
          </w:p>
        </w:tc>
      </w:tr>
      <w:tr w:rsidR="00E3599D" w:rsidRPr="00E14102" w14:paraId="12331557" w14:textId="77777777">
        <w:tc>
          <w:tcPr>
            <w:tcW w:w="3736" w:type="dxa"/>
          </w:tcPr>
          <w:p w14:paraId="255F13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Дудинка-Хатанга</w:t>
            </w:r>
          </w:p>
        </w:tc>
        <w:tc>
          <w:tcPr>
            <w:tcW w:w="3736" w:type="dxa"/>
          </w:tcPr>
          <w:p w14:paraId="4B8524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3736" w:type="dxa"/>
          </w:tcPr>
          <w:p w14:paraId="4DDC29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час 10 мин</w:t>
            </w:r>
          </w:p>
        </w:tc>
      </w:tr>
      <w:tr w:rsidR="00E3599D" w:rsidRPr="00E14102" w14:paraId="66B9D330" w14:textId="77777777">
        <w:tc>
          <w:tcPr>
            <w:tcW w:w="3736" w:type="dxa"/>
          </w:tcPr>
          <w:p w14:paraId="4CC65B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с начальством</w:t>
            </w:r>
          </w:p>
        </w:tc>
        <w:tc>
          <w:tcPr>
            <w:tcW w:w="3736" w:type="dxa"/>
          </w:tcPr>
          <w:p w14:paraId="70B261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3736" w:type="dxa"/>
          </w:tcPr>
          <w:p w14:paraId="065ADC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час 15 мин</w:t>
            </w:r>
          </w:p>
        </w:tc>
      </w:tr>
      <w:tr w:rsidR="00E3599D" w:rsidRPr="00E14102" w14:paraId="534A571D" w14:textId="77777777">
        <w:tc>
          <w:tcPr>
            <w:tcW w:w="3736" w:type="dxa"/>
          </w:tcPr>
          <w:p w14:paraId="01E7D6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Ледовая разведка</w:t>
            </w:r>
          </w:p>
        </w:tc>
        <w:tc>
          <w:tcPr>
            <w:tcW w:w="3736" w:type="dxa"/>
          </w:tcPr>
          <w:p w14:paraId="361001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3736" w:type="dxa"/>
          </w:tcPr>
          <w:p w14:paraId="1F1713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час 25 мин</w:t>
            </w:r>
          </w:p>
        </w:tc>
      </w:tr>
      <w:tr w:rsidR="00E3599D" w:rsidRPr="00E14102" w14:paraId="69AC8AAD" w14:textId="77777777">
        <w:tc>
          <w:tcPr>
            <w:tcW w:w="3736" w:type="dxa"/>
          </w:tcPr>
          <w:p w14:paraId="65FCDD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Другие полеты</w:t>
            </w:r>
          </w:p>
        </w:tc>
        <w:tc>
          <w:tcPr>
            <w:tcW w:w="3736" w:type="dxa"/>
          </w:tcPr>
          <w:p w14:paraId="30D251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3736" w:type="dxa"/>
          </w:tcPr>
          <w:p w14:paraId="0F87D9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62 час 04 мин</w:t>
            </w:r>
          </w:p>
        </w:tc>
      </w:tr>
      <w:tr w:rsidR="00E3599D" w:rsidRPr="00E14102" w14:paraId="3666E785" w14:textId="77777777">
        <w:tc>
          <w:tcPr>
            <w:tcW w:w="3736" w:type="dxa"/>
            <w:tcBorders>
              <w:bottom w:val="single" w:sz="12" w:space="0" w:color="auto"/>
            </w:tcBorders>
          </w:tcPr>
          <w:p w14:paraId="1B5100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3736" w:type="dxa"/>
            <w:tcBorders>
              <w:bottom w:val="single" w:sz="12" w:space="0" w:color="auto"/>
            </w:tcBorders>
          </w:tcPr>
          <w:p w14:paraId="0D8D90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3736" w:type="dxa"/>
            <w:tcBorders>
              <w:bottom w:val="single" w:sz="12" w:space="0" w:color="auto"/>
            </w:tcBorders>
          </w:tcPr>
          <w:p w14:paraId="0AECB8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 час 33 мин</w:t>
            </w:r>
          </w:p>
        </w:tc>
      </w:tr>
    </w:tbl>
    <w:p w14:paraId="24CC9D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Дорнье "Валь" СССР-Н9 приказом № 5 от 28.10.35 г. предписывалось, "как выбывший из строя, списать в расход, использовав уцелевшие детали и агрегаты на запасные части. Моторы подвергнуть просмотру" (11970).</w:t>
      </w:r>
    </w:p>
    <w:p w14:paraId="58CBBC30" w14:textId="77777777" w:rsidR="00D4105E" w:rsidRPr="00E14102" w:rsidRDefault="00D4105E" w:rsidP="00E14102">
      <w:pPr>
        <w:autoSpaceDE w:val="0"/>
        <w:autoSpaceDN w:val="0"/>
        <w:adjustRightInd w:val="0"/>
        <w:jc w:val="both"/>
        <w:rPr>
          <w:color w:val="000000" w:themeColor="text1"/>
          <w:sz w:val="16"/>
          <w:szCs w:val="16"/>
        </w:rPr>
      </w:pPr>
    </w:p>
    <w:p w14:paraId="1AFF728E" w14:textId="77777777" w:rsidR="00B33D27" w:rsidRPr="00E14102" w:rsidRDefault="00B33D27" w:rsidP="00E14102">
      <w:pPr>
        <w:jc w:val="both"/>
        <w:rPr>
          <w:color w:val="000000" w:themeColor="text1"/>
          <w:sz w:val="16"/>
          <w:szCs w:val="16"/>
        </w:rPr>
      </w:pPr>
      <w:r w:rsidRPr="00E14102">
        <w:rPr>
          <w:color w:val="000000" w:themeColor="text1"/>
          <w:sz w:val="16"/>
          <w:szCs w:val="16"/>
        </w:rPr>
        <w:t xml:space="preserve">С июля 1935 г. один за другим стали вступать в строй цеха завода № 126. 15 июля 1935 г. первым был введен в строй цех № 9 — инструментальный. В сентябре — № 1 — механический — первый производственный цех. Затем — № 14 — слесарно — сборочный, № 15 — термический, № 13 — штампо-заготовительный, № 18 — цех покрытий. К концу 1935 г. были сформированы основные производственные и вспомогательные цехи, определившие облик завода. Площадь построенной части главного корпуса превышала 20 тыс. кв. м. В августе 1935 г. началось оснащение агрегатных цехов. Всего за 1935 г. было установлено свыше 270 единиц оборудования. В 1936 г. площадь построенной части главного корпуса составляла около 44 тыс. кв. м., было установлено около 470 единиц оборудования. </w:t>
      </w:r>
    </w:p>
    <w:p w14:paraId="54DA6164" w14:textId="77777777" w:rsidR="00B33D27" w:rsidRPr="00E14102" w:rsidRDefault="00B33D27" w:rsidP="00E14102">
      <w:pPr>
        <w:jc w:val="both"/>
        <w:rPr>
          <w:color w:val="000000" w:themeColor="text1"/>
          <w:sz w:val="16"/>
          <w:szCs w:val="16"/>
        </w:rPr>
      </w:pPr>
      <w:r w:rsidRPr="00E14102">
        <w:rPr>
          <w:color w:val="000000" w:themeColor="text1"/>
          <w:sz w:val="16"/>
          <w:szCs w:val="16"/>
        </w:rPr>
        <w:t xml:space="preserve">Сдерживала темпы строительства и нормальный ход работ в механическом, инструментальном и др. цехах нехватка электроэнергии. Завод пользовался э/энергией временной э/станции (ВЭС). В генеральном проекте авиационного завода, а затем в последующих заданиях главка, наркомата и правительства с самого начала строительства завода постройка в системе завода электростанции не предусматривалась. Более крупные энергообъекты на то время еще не были построены. </w:t>
      </w:r>
    </w:p>
    <w:p w14:paraId="58D70ED2" w14:textId="77777777" w:rsidR="00B33D27" w:rsidRPr="00E14102" w:rsidRDefault="00B33D27" w:rsidP="00E14102">
      <w:pPr>
        <w:jc w:val="both"/>
        <w:rPr>
          <w:color w:val="000000" w:themeColor="text1"/>
          <w:sz w:val="16"/>
          <w:szCs w:val="16"/>
        </w:rPr>
      </w:pPr>
      <w:r w:rsidRPr="00E14102">
        <w:rPr>
          <w:color w:val="000000" w:themeColor="text1"/>
          <w:sz w:val="16"/>
          <w:szCs w:val="16"/>
        </w:rPr>
        <w:t>В достаточном количестве завод стал получать э/энергию лишь в январе 1936 г. с введением новых мощностей на ТЭЦ судостроительного завода, откуда к авиационному заводу была протянута ЛЭП (12211).</w:t>
      </w:r>
    </w:p>
    <w:p w14:paraId="4D6071CB" w14:textId="77777777" w:rsidR="00B33D27" w:rsidRPr="00E14102" w:rsidRDefault="00B33D27" w:rsidP="00E14102">
      <w:pPr>
        <w:jc w:val="both"/>
        <w:rPr>
          <w:color w:val="000000" w:themeColor="text1"/>
          <w:sz w:val="16"/>
          <w:szCs w:val="16"/>
        </w:rPr>
      </w:pPr>
    </w:p>
    <w:p w14:paraId="07FA5A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г. заместитель наркома обороны М.Н. Тухачевский утвердил задание на комплекс, получивший позже обозначение ТМС-36. Он состоял из двух "телемеханических" (радиоуправляемых) ТБ-1 и самолета наведения ТБ-3. "Летающие бомбы", загруженные взрывчаткой или ОВ, поднимались в воздух пилотами, выбрасывавшимися затем на парашютах. Дальше к цели их вели операторы с борта ТБ-3, шедшего сзади в отдалении 10 - 20 км.</w:t>
      </w:r>
    </w:p>
    <w:p w14:paraId="2A8107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Задача была решена, опытные самолеты построены и испытаны, но на вооружение ТМС-36 не приняли. Надежность системы по-прежнему оставалась недостаточной.</w:t>
      </w:r>
    </w:p>
    <w:p w14:paraId="331076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Лишь в конце 1930-х гг. удалось предъявить более-менее пригодную к боевому применению "летающую бомбу". В мае 1939 г. Военному совету ВВС продемонстрировали полеты ТБ-1 № 712, управляемого по радио от взлета до посадки. Экипажа на самолете не было. В акте комиссия записала: "Проведенные испытания доказали, что впервые в СССР... разрешена проблема создания телемеханического самолета..." Полученный опыт помог при проектировании других, более современных, радиоуправляемых машин (12001).</w:t>
      </w:r>
    </w:p>
    <w:p w14:paraId="199B1F3E" w14:textId="77777777" w:rsidR="00D4105E" w:rsidRPr="00E14102" w:rsidRDefault="00D4105E" w:rsidP="00E14102">
      <w:pPr>
        <w:autoSpaceDE w:val="0"/>
        <w:autoSpaceDN w:val="0"/>
        <w:adjustRightInd w:val="0"/>
        <w:jc w:val="both"/>
        <w:rPr>
          <w:color w:val="000000" w:themeColor="text1"/>
          <w:sz w:val="16"/>
          <w:szCs w:val="16"/>
        </w:rPr>
      </w:pPr>
    </w:p>
    <w:p w14:paraId="166734FA" w14:textId="77777777" w:rsidR="003471A2" w:rsidRPr="00E14102" w:rsidRDefault="003471A2" w:rsidP="00E14102">
      <w:pPr>
        <w:jc w:val="both"/>
        <w:rPr>
          <w:color w:val="0070C0"/>
          <w:sz w:val="16"/>
          <w:szCs w:val="16"/>
          <w:shd w:val="clear" w:color="auto" w:fill="FFFFFF"/>
        </w:rPr>
      </w:pPr>
      <w:r w:rsidRPr="00E14102">
        <w:rPr>
          <w:color w:val="0070C0"/>
          <w:sz w:val="16"/>
          <w:szCs w:val="16"/>
          <w:shd w:val="clear" w:color="auto" w:fill="FFFFFF"/>
        </w:rPr>
        <w:t>В июле 1935 года заместитель наркома обороны утвердил задание на разработку телемеханического самолетного комплекса, получившего обозначение ТМС-36. Он состоял из двух радиоуправляемых ТБ-1, оснащенных зарядом взрывчатки, и одного самолета наведения ТБ-3. Взлет самолетов ТБ-1 осуществлялся пилотами, выбрасывавшимися затем на парашютах, дальше к цели их вели операторы с борта ТБ-3, шедшего сзади на расстоянии 10–20 км. В 1936 году опытные самолеты построили и испытали, но на вооружение ТМС-36 не был принят из-за низкой надежности системы управления.</w:t>
      </w:r>
    </w:p>
    <w:p w14:paraId="10681DE2" w14:textId="77777777" w:rsidR="003471A2" w:rsidRPr="00E14102" w:rsidRDefault="003471A2" w:rsidP="00E14102">
      <w:pPr>
        <w:jc w:val="both"/>
        <w:rPr>
          <w:color w:val="0070C0"/>
          <w:sz w:val="16"/>
          <w:szCs w:val="16"/>
        </w:rPr>
      </w:pPr>
      <w:r w:rsidRPr="00E14102">
        <w:rPr>
          <w:color w:val="0070C0"/>
          <w:sz w:val="16"/>
          <w:szCs w:val="16"/>
          <w:shd w:val="clear" w:color="auto" w:fill="FFFFFF"/>
        </w:rPr>
        <w:t>Телемеханический самолёт должен был поступить на вооружение в 1937 году. В отличие от ТБ-1 и ТБ-3 для РД не требовался самолет управления. Нагруженный взрывчаткой РД должен был в телеуправляемом режиме лететь до 1500 км по сигналам радиомаяков и наносить удары по крупным городам неприятеля. Однако до конца 1937 года довести аппаратуру управления до стабильно рабочего состояния так и не удалось (22290).</w:t>
      </w:r>
    </w:p>
    <w:p w14:paraId="054F3063" w14:textId="77777777" w:rsidR="003471A2" w:rsidRPr="00E14102" w:rsidRDefault="003471A2" w:rsidP="00E14102">
      <w:pPr>
        <w:jc w:val="both"/>
        <w:rPr>
          <w:color w:val="0070C0"/>
          <w:sz w:val="16"/>
          <w:szCs w:val="16"/>
        </w:rPr>
      </w:pPr>
    </w:p>
    <w:p w14:paraId="6F0A4E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г. с успехом проходит правительственный смотр всех образцов орудий Л.В. Курчевского, в т.ч. эскадрильи самолётов, оснащённых авиационными безоткатными пушками АПК–4. Несколько видов ДРП передаются в серийное производство — на заводы №№7, 8, 38 и 39. В декабре 1935 г. с конструктора снимается судимость. К началу 1936 г. в штате КБ УУСР насчитывается 186 сотрудников, 119 из которых являются конструкторами. В пос. Калининском строятся трёх- и четырёхэтажные жилые дома для работников Управления. В январе 1936 г. завод посетили главком ВВС Я.И. Алкснис и главный инженер Главного Управления авиапромышленности А.Н. Туполев. Также деятельность УУСР изучила Комиссия партийного контроля при ЦК ВКП(б). В результате этих проверок в феврале 1936 г. Управление Уполномоченного спецработ было ликвидировано, а Курчевского фактически отстранили от работы. Вслед за тем председателю Совнаркома и СТО В.М. Молотову поступила "Записка о 76–мм авиационной пушке Курчевского АПК–4". В числе её авторов был и заместитель наркома оборонной промышленности И.П. Павлуновский. В записке говорилось о том, что по результатам испытаний пушки АПК–4 для вооружения боевых самолётов непригодны, и предлагалось снять их с производства как небоеспособные. Артсистемы Курчевского отнесли к разряду конструктивно недоработанных: опытные работы были свёрнуты, а ДРП, поступившие на вооружение, — изъяты. Самого конструктора по обвинению во вредительстве и участии в антисоветском заговоре расстреляли. Безоткатные орудия Курчевского были гораздо дешевле в производстве и существенно легче, чем их аналоги классической конструкции. Однако дальность стрельбы и скорострельность их были ниже. Помимо этого, образующиеся при выстреле обратное пламя представляло опасность для боевого расчёта и демаскировало позицию. Безоткатные орудия, таким образом, могли применяться только для решения специальных задач. Со временем они заняли своё место в системе вооружения армий разных стран. В 1929–1936 гг. под руководством Курчевского проводились разработки нескольких десятков пушек, использующих безоткатный принцип, — как буксируемых, так и размещавшихся на различных носителях. Ряд конструкций был доведён до состояния выпуска опытных образцов и даже запущен в опытно-серийное производство. В то же время непонимание военными специалистами особенностей нового оружия, а также преждевременное прекращение работ над ним помешало ДРП получить своё практическое развитие в СССР в конце 1930–х гг. (11867).</w:t>
      </w:r>
    </w:p>
    <w:p w14:paraId="7971D764" w14:textId="77777777" w:rsidR="00D4105E" w:rsidRPr="00E14102" w:rsidRDefault="00D4105E" w:rsidP="00E14102">
      <w:pPr>
        <w:autoSpaceDE w:val="0"/>
        <w:autoSpaceDN w:val="0"/>
        <w:adjustRightInd w:val="0"/>
        <w:jc w:val="both"/>
        <w:rPr>
          <w:color w:val="000000" w:themeColor="text1"/>
          <w:sz w:val="16"/>
          <w:szCs w:val="16"/>
        </w:rPr>
      </w:pPr>
    </w:p>
    <w:p w14:paraId="1F610A5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июле 1935 был подготовлен Отчет О полигонных испытаниях 1000 кг воздушной реактивной торпеды конструкции Тверского (6818).</w:t>
      </w:r>
    </w:p>
    <w:p w14:paraId="68D6A4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производились на Ногинском полигоне с 9 июня по 11 июля 1935 года.</w:t>
      </w:r>
    </w:p>
    <w:p w14:paraId="0D8181C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3C5C377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Определить дальность, характер полета и работу реактивного заряда, стрельбой со станка на земле.</w:t>
      </w:r>
    </w:p>
    <w:p w14:paraId="38C87B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Выводы</w:t>
      </w:r>
    </w:p>
    <w:p w14:paraId="7E4975B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Воздушная реактивная торпеда испытаний не выдержала.</w:t>
      </w:r>
    </w:p>
    <w:p w14:paraId="6336FC3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1-й опыт – воздушно-реактивная ракета взорвалась, 2-й опыт – воздушно-реактивная торпеда не дала правильного полета (6818).</w:t>
      </w:r>
    </w:p>
    <w:p w14:paraId="4F77F16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774C1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прибор дымопуска Х-3 проходил испытания и тоже показал себя не очень хорошо, но его сочли годным для доработки. В октябре аппарат опробовали повторно и заказали 20 комплектов для войсковых испытаний. Дальнейшая их судьба неизвестна (9964).</w:t>
      </w:r>
    </w:p>
    <w:p w14:paraId="6524B7FD" w14:textId="77777777" w:rsidR="00D4105E" w:rsidRPr="00E14102" w:rsidRDefault="00D4105E" w:rsidP="00E14102">
      <w:pPr>
        <w:autoSpaceDE w:val="0"/>
        <w:autoSpaceDN w:val="0"/>
        <w:adjustRightInd w:val="0"/>
        <w:jc w:val="both"/>
        <w:rPr>
          <w:color w:val="000000" w:themeColor="text1"/>
          <w:sz w:val="16"/>
          <w:szCs w:val="16"/>
        </w:rPr>
      </w:pPr>
    </w:p>
    <w:p w14:paraId="4CB345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г. на испытаниях в Шиханах из ВАП-К-6 конструкции Киященко, предназначенного для ТБ-3 лили настоящий иприт по животным, но испытания дали двоякий результат. Критике подвергли излишний вес конструкции и плохую аэродинамику прибора, но сочли возможным принять его на вооружение. В результате ВАП-К-6 приняли "на временное снабжение" ВВС. ВАП-К-6 конструкции Киященко, предназначенный для ТБ-3 стал первым специальным прибором большой емкости стал. Эта громоздкая штуковина весила тонну, но зато обеспечивала расход в 65 л/с. Открытие и закрытие осуществлялось рычагами и тросиками. ВАП-К-6 подвешивался на балках Дер-25 или Дер-26 под центропланом бомбардировщика. И действительно, довольно быстро прибор Киященко вытеснили два унифицированных между собой образца - ВАП-500 и ВАП-1000. Первый из них создали в 1935 г., ориентируясь на возможности бомбардировщика ТБ-3. В отличие от всех предыдущих они имели форму не капли, не баллона и не цилиндрического бака, а вытянутую треугольную при виде сбоку. Носок был скруглен, а в нижней точке сзади размещался слив. ВАП-500 вмещал 315 л раствора и обеспечивал расход до 90 л/с (больше, чем у ВАП-К-6). Напор создавался набегающим потоком воздуха, который после открывания прибора забирался через створки-карманы. Открывание осуществлялось механическим тросовым или от электрическим бомбосбрасывателем. ТБ-3 нес четыре ВАП-500 подвешенными в шахматном порядке под центропланом. При необходимости прибор сбрасывался, как бомба (11931).</w:t>
      </w:r>
    </w:p>
    <w:p w14:paraId="147AF1EA" w14:textId="77777777" w:rsidR="00D4105E" w:rsidRPr="00E14102" w:rsidRDefault="00D4105E" w:rsidP="00E14102">
      <w:pPr>
        <w:autoSpaceDE w:val="0"/>
        <w:autoSpaceDN w:val="0"/>
        <w:adjustRightInd w:val="0"/>
        <w:jc w:val="both"/>
        <w:rPr>
          <w:color w:val="000000" w:themeColor="text1"/>
          <w:sz w:val="16"/>
          <w:szCs w:val="16"/>
        </w:rPr>
      </w:pPr>
    </w:p>
    <w:p w14:paraId="4B9F61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31 июля по 3 августа 1935 состоялся полет на аэростате продолжительностью 56 часов воздухоплаватей Б.А.Романова и А.И.Бобыкина на аэростате объемом 1600 м (438,692).</w:t>
      </w:r>
    </w:p>
    <w:p w14:paraId="3C7B5766" w14:textId="77777777" w:rsidR="00D4105E" w:rsidRPr="00E14102" w:rsidRDefault="00D4105E" w:rsidP="00E14102">
      <w:pPr>
        <w:autoSpaceDE w:val="0"/>
        <w:autoSpaceDN w:val="0"/>
        <w:adjustRightInd w:val="0"/>
        <w:jc w:val="both"/>
        <w:rPr>
          <w:color w:val="000000" w:themeColor="text1"/>
          <w:sz w:val="16"/>
          <w:szCs w:val="16"/>
        </w:rPr>
      </w:pPr>
    </w:p>
    <w:p w14:paraId="62D4A94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lastRenderedPageBreak/>
        <w:t>Другие оборонные отрасли:</w:t>
      </w:r>
    </w:p>
    <w:p w14:paraId="136F4F6E" w14:textId="77777777" w:rsidR="00D4105E" w:rsidRPr="00E14102" w:rsidRDefault="00D4105E" w:rsidP="00E14102">
      <w:pPr>
        <w:autoSpaceDE w:val="0"/>
        <w:autoSpaceDN w:val="0"/>
        <w:adjustRightInd w:val="0"/>
        <w:jc w:val="both"/>
        <w:rPr>
          <w:iCs/>
          <w:color w:val="000000" w:themeColor="text1"/>
          <w:sz w:val="16"/>
          <w:szCs w:val="16"/>
        </w:rPr>
      </w:pPr>
    </w:p>
    <w:p w14:paraId="3046F6BE" w14:textId="77777777" w:rsidR="00265F21" w:rsidRPr="00E14102" w:rsidRDefault="00265F21" w:rsidP="00E14102">
      <w:pPr>
        <w:jc w:val="both"/>
        <w:rPr>
          <w:color w:val="000000" w:themeColor="text1"/>
          <w:sz w:val="16"/>
          <w:szCs w:val="16"/>
        </w:rPr>
      </w:pPr>
      <w:r w:rsidRPr="00E14102">
        <w:rPr>
          <w:color w:val="000000" w:themeColor="text1"/>
          <w:sz w:val="16"/>
          <w:szCs w:val="16"/>
        </w:rPr>
        <w:t>В июле 1935 года, после испытаний первого образца БТ-ИС, конструкторское бюро Т-2К (Т - танковый отдел, 2 - номер отдела, К - конструкторское бюро) ХПЗ получило от АБТУ РККА тактико-технические требования на разработку нового танка, получившего обозначение БТ-9. Предполагалось создать боевую машину массой 14 - 15 т с 13 - 25 мм броней, установленной под большими углами наклона к вертикали, вооруженную 45 или 76-мм пушкой, четырьмя пулеметами ДТ (спаренный, в нише башни, в лобовой части корпуса и зенитный) и огнеметом. В качестве силовой установки предусматривалось использовать карбюраторный двигатель М-17Т или дизель БД-2, в ходовой части применялось пять опорных катков на борт (из них 4 ведущих и один управляемый), а также синхронизация колесного и гусеничного ходов. Схему трансмиссии колесного хода предполагалось выполнить по образцу танка БТ-ИС конструкции Н. Цыганова.</w:t>
      </w:r>
    </w:p>
    <w:p w14:paraId="2D74B150" w14:textId="77777777" w:rsidR="00265F21" w:rsidRPr="00E14102" w:rsidRDefault="00265F21" w:rsidP="00E14102">
      <w:pPr>
        <w:jc w:val="both"/>
        <w:rPr>
          <w:color w:val="000000" w:themeColor="text1"/>
          <w:sz w:val="16"/>
          <w:szCs w:val="16"/>
        </w:rPr>
      </w:pPr>
      <w:r w:rsidRPr="00E14102">
        <w:rPr>
          <w:color w:val="000000" w:themeColor="text1"/>
          <w:sz w:val="16"/>
          <w:szCs w:val="16"/>
        </w:rPr>
        <w:t>Однако конструкторское бюро ХПЗ не смогло справиться с этой задачей: и без того малочисленное, оно было перегружено работами по обеспечению серийного производства танков БТ-7, проектированию артиллерийского БТ-7А и машины с дизельным двигателем А-8. К июню 1936 года ситуация в КБ осложнилось: из войск стали поступать рекламации на масс о - вые случаи выхода из строя коробок перемен передач новых танков БТ-7 (к этому времени РККА получила их без малого 700 штук). Армия забила тревогу, БТ-7 стали открыто называть «вредительским» танком, и военная приемка на ХПЗ получила распоряжение прекратить прием новых боевых машин. В результате спешно проведенного расследования выяснилось, что при эксплуатации у БТ-7 происходит разрушение стенок картера и подшипников промежуточного вала коробки перемены передач. Причину этого нашли быстро — оказалось, что при проектировании БТ-7 конструкторы не учли возросший более чем на 60 % крутящий момент двигателя М-17 по сравнению с мотором М-5, установленном на танке БТ-5. А так как на БТ-7 использовалась коробка перемены передач БТ-5 (в ней усилили только одну пару шестерен), то во время работы двигателя новой машины происходило разрушение деталей КПП.</w:t>
      </w:r>
    </w:p>
    <w:p w14:paraId="70C31F2E" w14:textId="77777777" w:rsidR="00265F21" w:rsidRPr="00E14102" w:rsidRDefault="00265F21" w:rsidP="00E14102">
      <w:pPr>
        <w:jc w:val="both"/>
        <w:rPr>
          <w:color w:val="000000" w:themeColor="text1"/>
          <w:sz w:val="16"/>
          <w:szCs w:val="16"/>
        </w:rPr>
      </w:pPr>
      <w:r w:rsidRPr="00E14102">
        <w:rPr>
          <w:color w:val="000000" w:themeColor="text1"/>
          <w:sz w:val="16"/>
          <w:szCs w:val="16"/>
        </w:rPr>
        <w:t>В спешном порядке КБ ХПЗ занялось устранением этого дефекта, и вскоре с конвейера стати сходить БТ-7 с усиленной коробкой, одновременно происходила ее замена и на ранее выпушенных танках (12217).</w:t>
      </w:r>
    </w:p>
    <w:p w14:paraId="08900EBE" w14:textId="77777777" w:rsidR="00265F21" w:rsidRPr="00E14102" w:rsidRDefault="00265F21" w:rsidP="00E14102">
      <w:pPr>
        <w:jc w:val="both"/>
        <w:rPr>
          <w:color w:val="000000" w:themeColor="text1"/>
          <w:sz w:val="16"/>
          <w:szCs w:val="16"/>
        </w:rPr>
      </w:pPr>
    </w:p>
    <w:p w14:paraId="199239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химический минометный танк МХТ-1, созданный на базе двухбашенного Т-26 изобретателем 6 мб Птициным и выпущенный в мастерских бригады успешно прошел испытания (9527,189).</w:t>
      </w:r>
    </w:p>
    <w:p w14:paraId="19A98A36" w14:textId="77777777" w:rsidR="00D4105E" w:rsidRPr="00E14102" w:rsidRDefault="00D4105E" w:rsidP="00E14102">
      <w:pPr>
        <w:autoSpaceDE w:val="0"/>
        <w:autoSpaceDN w:val="0"/>
        <w:adjustRightInd w:val="0"/>
        <w:jc w:val="both"/>
        <w:rPr>
          <w:color w:val="000000" w:themeColor="text1"/>
          <w:sz w:val="16"/>
          <w:szCs w:val="16"/>
        </w:rPr>
      </w:pPr>
    </w:p>
    <w:p w14:paraId="1827F8EF" w14:textId="77777777" w:rsidR="006F4E11" w:rsidRPr="00E14102" w:rsidRDefault="006F4E11" w:rsidP="00E14102">
      <w:pPr>
        <w:jc w:val="both"/>
        <w:rPr>
          <w:color w:val="000000" w:themeColor="text1"/>
          <w:sz w:val="16"/>
          <w:szCs w:val="16"/>
        </w:rPr>
      </w:pPr>
      <w:r w:rsidRPr="00E14102">
        <w:rPr>
          <w:color w:val="000000" w:themeColor="text1"/>
          <w:sz w:val="16"/>
          <w:szCs w:val="16"/>
        </w:rPr>
        <w:t xml:space="preserve">В июле </w:t>
      </w:r>
      <w:smartTag w:uri="urn:schemas-microsoft-com:office:smarttags" w:element="metricconverter">
        <w:smartTagPr>
          <w:attr w:name="ProductID" w:val="1945 г"/>
        </w:smartTagPr>
        <w:r w:rsidRPr="00E14102">
          <w:rPr>
            <w:color w:val="000000" w:themeColor="text1"/>
            <w:sz w:val="16"/>
            <w:szCs w:val="16"/>
          </w:rPr>
          <w:t>1935 г</w:t>
        </w:r>
      </w:smartTag>
      <w:r w:rsidRPr="00E14102">
        <w:rPr>
          <w:color w:val="000000" w:themeColor="text1"/>
          <w:sz w:val="16"/>
          <w:szCs w:val="16"/>
        </w:rPr>
        <w:t>. С.С. Дьяконов с группой специалистов выехал в США для его закупки. Свое творчество, энергию вкладывали в подготовку и производство моторов для М-1 ведущие инженеры завода Н.И. Строкин, Г.С. Хламов, Н.Ф. Денисюк, С.В. Клочков, В.И. Иванов и другие. Волшебником двигателей называли инженера А.В. Пшениснова. При любых неполадках в работе моторов шли за советом к нему (15218).</w:t>
      </w:r>
    </w:p>
    <w:p w14:paraId="5085AEF5" w14:textId="77777777" w:rsidR="006F4E11" w:rsidRPr="00E14102" w:rsidRDefault="006F4E11" w:rsidP="00E14102">
      <w:pPr>
        <w:jc w:val="both"/>
        <w:rPr>
          <w:color w:val="000000" w:themeColor="text1"/>
          <w:sz w:val="16"/>
          <w:szCs w:val="16"/>
        </w:rPr>
      </w:pPr>
    </w:p>
    <w:p w14:paraId="3395C772" w14:textId="77777777" w:rsidR="00A45C9C" w:rsidRPr="00E14102" w:rsidRDefault="00A45C9C" w:rsidP="00E14102">
      <w:pPr>
        <w:jc w:val="both"/>
        <w:rPr>
          <w:rStyle w:val="apple-style-span"/>
          <w:color w:val="000000" w:themeColor="text1"/>
          <w:sz w:val="16"/>
          <w:szCs w:val="16"/>
          <w:shd w:val="clear" w:color="auto" w:fill="FFFFFF"/>
        </w:rPr>
      </w:pPr>
      <w:r w:rsidRPr="00E14102">
        <w:rPr>
          <w:rStyle w:val="apple-style-span"/>
          <w:color w:val="000000" w:themeColor="text1"/>
          <w:sz w:val="16"/>
          <w:szCs w:val="16"/>
          <w:shd w:val="clear" w:color="auto" w:fill="FFFFFF"/>
        </w:rPr>
        <w:t>В июле 1935 года РККА принято решение о разработке железнодорожных торпед. Работы поручили конструкторскому бюро машиностроительного завода имени Орджоникидзе в подмосковном Подольске, взрыватели к ним (контактный и дистанционный) разрабатывались на заводе № 80 Народного комиссариата боеприпасов (НКБ) в городе Дзержинске Горьковской области. К началу 1936 года здесь изготовили полигонные образцы таких торпед, получивших обозначение ЖДТ–3. А к июлю первые 20 серийных образцов поступили в войска. По вновь утвержденному штату, в составе каждого бронепоезда должно было быть 5 железнодорожных торпед.</w:t>
      </w:r>
    </w:p>
    <w:p w14:paraId="14111D1C" w14:textId="77777777" w:rsidR="00A45C9C" w:rsidRPr="00E14102" w:rsidRDefault="00A45C9C" w:rsidP="00E14102">
      <w:pPr>
        <w:jc w:val="both"/>
        <w:rPr>
          <w:color w:val="000000" w:themeColor="text1"/>
          <w:sz w:val="16"/>
          <w:szCs w:val="16"/>
        </w:rPr>
      </w:pPr>
      <w:r w:rsidRPr="00E14102">
        <w:rPr>
          <w:rStyle w:val="msgbodytext"/>
          <w:color w:val="000000" w:themeColor="text1"/>
          <w:sz w:val="16"/>
          <w:szCs w:val="16"/>
        </w:rPr>
        <w:t>В 1937 году планировалось изготовить 74 ЖДТ-3, однако только в следующем году завод имени Орджоникидзе изготовил 30 торпед и еще 36 - в 1939-м. К этому моменту эксплуа¬тация и повторные испытания ЖДТ-3 показали их невысокую эффективность и ненадежность работы дистанционного взрывателя.</w:t>
      </w:r>
    </w:p>
    <w:p w14:paraId="6F967397" w14:textId="77777777" w:rsidR="00A45C9C" w:rsidRPr="00E14102" w:rsidRDefault="00A45C9C" w:rsidP="00E14102">
      <w:pPr>
        <w:jc w:val="both"/>
        <w:rPr>
          <w:color w:val="000000" w:themeColor="text1"/>
          <w:sz w:val="16"/>
          <w:szCs w:val="16"/>
        </w:rPr>
      </w:pPr>
      <w:r w:rsidRPr="00E14102">
        <w:rPr>
          <w:rStyle w:val="apple-style-span"/>
          <w:color w:val="000000" w:themeColor="text1"/>
          <w:sz w:val="16"/>
          <w:szCs w:val="16"/>
          <w:shd w:val="clear" w:color="auto" w:fill="FFFFFF"/>
        </w:rPr>
        <w:t>ЖДТ–3 представляла собой четырехколесную тележку размерами 1703 х 1750 х 456 мм и массой 225 кг (из них 100 кг тротила), приводимую в движение двумя стартерами с питанием от аккумуляторов, обеспечивавшими скорость по рельсам до 60 км/ч и дальность движения до 10 км.</w:t>
      </w:r>
    </w:p>
    <w:p w14:paraId="79DD5F70" w14:textId="77777777" w:rsidR="00A45C9C" w:rsidRPr="00E14102" w:rsidRDefault="00A45C9C" w:rsidP="00E14102">
      <w:pPr>
        <w:jc w:val="both"/>
        <w:rPr>
          <w:color w:val="000000" w:themeColor="text1"/>
          <w:sz w:val="16"/>
          <w:szCs w:val="16"/>
        </w:rPr>
      </w:pPr>
      <w:r w:rsidRPr="00E14102">
        <w:rPr>
          <w:rStyle w:val="apple-style-span"/>
          <w:color w:val="000000" w:themeColor="text1"/>
          <w:sz w:val="16"/>
          <w:szCs w:val="16"/>
          <w:shd w:val="clear" w:color="auto" w:fill="FFFFFF"/>
        </w:rPr>
        <w:t>До боевого применения торпед дело так и не дошло, последующие испытания и эксплуатация показали их невысокую эффективность и ненадежность работы дистанционного взрывателя. 16 мая 1940 года было решено снять ЖДТ–3 с вооружения бронепоездов (12693).</w:t>
      </w:r>
    </w:p>
    <w:p w14:paraId="3CA347FE" w14:textId="77777777" w:rsidR="00A45C9C" w:rsidRPr="00E14102" w:rsidRDefault="00A45C9C" w:rsidP="00E14102">
      <w:pPr>
        <w:jc w:val="both"/>
        <w:rPr>
          <w:color w:val="000000" w:themeColor="text1"/>
          <w:sz w:val="16"/>
          <w:szCs w:val="16"/>
        </w:rPr>
      </w:pPr>
    </w:p>
    <w:p w14:paraId="5F0DC2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года к лаборатории ЛФТИ присоединился Юрий Кобзарев. В результате работ в Ленинградском физтехе был создан импульсный метод радиообнаружения (10109).</w:t>
      </w:r>
    </w:p>
    <w:p w14:paraId="2DE3D472" w14:textId="77777777" w:rsidR="00D4105E" w:rsidRPr="00E14102" w:rsidRDefault="00D4105E" w:rsidP="00E14102">
      <w:pPr>
        <w:autoSpaceDE w:val="0"/>
        <w:autoSpaceDN w:val="0"/>
        <w:adjustRightInd w:val="0"/>
        <w:jc w:val="both"/>
        <w:rPr>
          <w:color w:val="000000" w:themeColor="text1"/>
          <w:sz w:val="16"/>
          <w:szCs w:val="16"/>
        </w:rPr>
      </w:pPr>
    </w:p>
    <w:p w14:paraId="1859F6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1935 года постройка Г-6 была закончена, и в августе Г-6 отправили в Севастополь без поворотного торпедного аппарата, который еще не был готов (10261).</w:t>
      </w:r>
    </w:p>
    <w:p w14:paraId="4E4E90DA" w14:textId="77777777" w:rsidR="00D4105E" w:rsidRPr="00E14102" w:rsidRDefault="00D4105E" w:rsidP="00E14102">
      <w:pPr>
        <w:autoSpaceDE w:val="0"/>
        <w:autoSpaceDN w:val="0"/>
        <w:adjustRightInd w:val="0"/>
        <w:jc w:val="both"/>
        <w:rPr>
          <w:color w:val="000000" w:themeColor="text1"/>
          <w:sz w:val="16"/>
          <w:szCs w:val="16"/>
        </w:rPr>
      </w:pPr>
    </w:p>
    <w:p w14:paraId="3717E751" w14:textId="77777777" w:rsidR="006F4E11"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2B11EC63" w14:textId="77777777" w:rsidR="006F4E11" w:rsidRPr="00E14102" w:rsidRDefault="006F4E11" w:rsidP="00E14102">
      <w:pPr>
        <w:autoSpaceDE w:val="0"/>
        <w:autoSpaceDN w:val="0"/>
        <w:adjustRightInd w:val="0"/>
        <w:jc w:val="both"/>
        <w:rPr>
          <w:iCs/>
          <w:color w:val="000000" w:themeColor="text1"/>
          <w:sz w:val="16"/>
          <w:szCs w:val="16"/>
        </w:rPr>
      </w:pPr>
    </w:p>
    <w:p w14:paraId="69A66343" w14:textId="77777777" w:rsidR="006F4E11" w:rsidRPr="00E14102" w:rsidRDefault="006F4E11" w:rsidP="00E14102">
      <w:pPr>
        <w:jc w:val="both"/>
        <w:rPr>
          <w:color w:val="000000" w:themeColor="text1"/>
          <w:sz w:val="16"/>
          <w:szCs w:val="16"/>
        </w:rPr>
      </w:pPr>
      <w:r w:rsidRPr="00E14102">
        <w:rPr>
          <w:color w:val="000000" w:themeColor="text1"/>
          <w:sz w:val="16"/>
          <w:szCs w:val="16"/>
        </w:rPr>
        <w:t>В июле 1935 г. в штурмовых эскадрильях Киевской абр лётчики перегружали мотор, пользуясь высот</w:t>
      </w:r>
      <w:r w:rsidRPr="00E14102">
        <w:rPr>
          <w:color w:val="000000" w:themeColor="text1"/>
          <w:sz w:val="16"/>
          <w:szCs w:val="16"/>
        </w:rPr>
        <w:softHyphen/>
        <w:t>ным корректором (т.е. увеличивая давление наддува) на высотах, где плотность воздуха и так была достаточной; сажали Р-5 с полностью выпущенным из фюзеляжа радиатором хотя обороты двигателя при посадке были таковы, что не требовали использования ма</w:t>
      </w:r>
      <w:r w:rsidRPr="00E14102">
        <w:rPr>
          <w:color w:val="000000" w:themeColor="text1"/>
          <w:sz w:val="16"/>
          <w:szCs w:val="16"/>
        </w:rPr>
        <w:softHyphen/>
        <w:t>ксимальной теплоотдачи радиатора. От ударов шасси о землю (особенно при соверша</w:t>
      </w:r>
      <w:r w:rsidRPr="00E14102">
        <w:rPr>
          <w:color w:val="000000" w:themeColor="text1"/>
          <w:sz w:val="16"/>
          <w:szCs w:val="16"/>
        </w:rPr>
        <w:softHyphen/>
        <w:t>емых неопытными лётчи</w:t>
      </w:r>
      <w:r w:rsidRPr="00E14102">
        <w:rPr>
          <w:color w:val="000000" w:themeColor="text1"/>
          <w:sz w:val="16"/>
          <w:szCs w:val="16"/>
        </w:rPr>
        <w:softHyphen/>
        <w:t>ками «козлах») выпущен</w:t>
      </w:r>
      <w:r w:rsidRPr="00E14102">
        <w:rPr>
          <w:color w:val="000000" w:themeColor="text1"/>
          <w:sz w:val="16"/>
          <w:szCs w:val="16"/>
        </w:rPr>
        <w:softHyphen/>
        <w:t>ный радиатор испытывал такую тряску, что начинал течь — ив следующем вылете мог подвести...</w:t>
      </w:r>
    </w:p>
    <w:p w14:paraId="2F3ADE41" w14:textId="77777777" w:rsidR="006F4E11" w:rsidRPr="00E14102" w:rsidRDefault="006F4E11" w:rsidP="00E14102">
      <w:pPr>
        <w:jc w:val="both"/>
        <w:rPr>
          <w:color w:val="000000" w:themeColor="text1"/>
          <w:sz w:val="16"/>
          <w:szCs w:val="16"/>
        </w:rPr>
      </w:pPr>
      <w:r w:rsidRPr="00E14102">
        <w:rPr>
          <w:color w:val="000000" w:themeColor="text1"/>
          <w:sz w:val="16"/>
          <w:szCs w:val="16"/>
        </w:rPr>
        <w:t>В проверенной в том же месяце Конотопской абр высотным корректором, наоборот, не пользова</w:t>
      </w:r>
      <w:r w:rsidRPr="00E14102">
        <w:rPr>
          <w:color w:val="000000" w:themeColor="text1"/>
          <w:sz w:val="16"/>
          <w:szCs w:val="16"/>
        </w:rPr>
        <w:softHyphen/>
        <w:t>лись (снижая этим мощ</w:t>
      </w:r>
      <w:r w:rsidRPr="00E14102">
        <w:rPr>
          <w:color w:val="000000" w:themeColor="text1"/>
          <w:sz w:val="16"/>
          <w:szCs w:val="16"/>
        </w:rPr>
        <w:softHyphen/>
        <w:t>ность двигателя на боль</w:t>
      </w:r>
      <w:r w:rsidRPr="00E14102">
        <w:rPr>
          <w:color w:val="000000" w:themeColor="text1"/>
          <w:sz w:val="16"/>
          <w:szCs w:val="16"/>
        </w:rPr>
        <w:softHyphen/>
        <w:t>шой высоте), а мотор пе</w:t>
      </w:r>
      <w:r w:rsidRPr="00E14102">
        <w:rPr>
          <w:color w:val="000000" w:themeColor="text1"/>
          <w:sz w:val="16"/>
          <w:szCs w:val="16"/>
        </w:rPr>
        <w:softHyphen/>
        <w:t>регревали — но вывод ко</w:t>
      </w:r>
      <w:r w:rsidRPr="00E14102">
        <w:rPr>
          <w:color w:val="000000" w:themeColor="text1"/>
          <w:sz w:val="16"/>
          <w:szCs w:val="16"/>
        </w:rPr>
        <w:softHyphen/>
        <w:t>миссии Ф.А. Ингауниса оставался всё тот же: «Лётный состав, особенно молодой, не умеет грамотно эксплуатировать материаль</w:t>
      </w:r>
      <w:r w:rsidRPr="00E14102">
        <w:rPr>
          <w:color w:val="000000" w:themeColor="text1"/>
          <w:sz w:val="16"/>
          <w:szCs w:val="16"/>
        </w:rPr>
        <w:softHyphen/>
        <w:t>ную часть»... В Витебской бригаде ещё и в первой половине 1937 г. служили пило</w:t>
      </w:r>
      <w:r w:rsidRPr="00E14102">
        <w:rPr>
          <w:color w:val="000000" w:themeColor="text1"/>
          <w:sz w:val="16"/>
          <w:szCs w:val="16"/>
        </w:rPr>
        <w:softHyphen/>
        <w:t>ты, не умевшие не только правильно эксплуатировать систему охлаждения двигателя, но и переключать питание двигателя с одного бензобака на другой (переключали так, что мотор останавливался и требовалась</w:t>
      </w:r>
      <w:r w:rsidRPr="00E14102">
        <w:rPr>
          <w:rStyle w:val="8pt"/>
          <w:rFonts w:ascii="Times New Roman" w:hAnsi="Times New Roman" w:cs="Times New Roman"/>
          <w:b w:val="0"/>
          <w:color w:val="000000" w:themeColor="text1"/>
        </w:rPr>
        <w:t xml:space="preserve"> вынужденная</w:t>
      </w:r>
      <w:r w:rsidRPr="00E14102">
        <w:rPr>
          <w:color w:val="000000" w:themeColor="text1"/>
          <w:sz w:val="16"/>
          <w:szCs w:val="16"/>
        </w:rPr>
        <w:t xml:space="preserve"> посадка)... (15803).</w:t>
      </w:r>
    </w:p>
    <w:p w14:paraId="006D2016" w14:textId="5021E031" w:rsidR="006F4E11" w:rsidRPr="00E14102" w:rsidRDefault="006F4E11" w:rsidP="00E14102">
      <w:pPr>
        <w:jc w:val="both"/>
        <w:rPr>
          <w:color w:val="000000" w:themeColor="text1"/>
          <w:sz w:val="16"/>
          <w:szCs w:val="16"/>
        </w:rPr>
      </w:pPr>
    </w:p>
    <w:p w14:paraId="3EA29A7B" w14:textId="5EE78F41" w:rsidR="003471A2" w:rsidRPr="00E14102" w:rsidRDefault="003471A2" w:rsidP="00E14102">
      <w:pPr>
        <w:jc w:val="both"/>
        <w:rPr>
          <w:i/>
          <w:iCs/>
          <w:color w:val="000000" w:themeColor="text1"/>
          <w:sz w:val="16"/>
          <w:szCs w:val="16"/>
        </w:rPr>
      </w:pPr>
      <w:r w:rsidRPr="00E14102">
        <w:rPr>
          <w:i/>
          <w:iCs/>
          <w:color w:val="000000" w:themeColor="text1"/>
          <w:sz w:val="16"/>
          <w:szCs w:val="16"/>
        </w:rPr>
        <w:t>За рубежом:</w:t>
      </w:r>
    </w:p>
    <w:p w14:paraId="3ACFC9BD" w14:textId="77777777" w:rsidR="003471A2" w:rsidRPr="00E14102" w:rsidRDefault="003471A2" w:rsidP="00E14102">
      <w:pPr>
        <w:jc w:val="both"/>
        <w:rPr>
          <w:i/>
          <w:iCs/>
          <w:color w:val="000000" w:themeColor="text1"/>
          <w:sz w:val="16"/>
          <w:szCs w:val="16"/>
        </w:rPr>
      </w:pPr>
    </w:p>
    <w:p w14:paraId="4FF52DAA" w14:textId="77777777" w:rsidR="003471A2" w:rsidRPr="00E14102" w:rsidRDefault="003471A2" w:rsidP="00E14102">
      <w:pPr>
        <w:jc w:val="both"/>
        <w:rPr>
          <w:color w:val="0070C0"/>
          <w:sz w:val="16"/>
          <w:szCs w:val="16"/>
        </w:rPr>
      </w:pPr>
      <w:r w:rsidRPr="00E14102">
        <w:rPr>
          <w:color w:val="0070C0"/>
          <w:sz w:val="16"/>
          <w:szCs w:val="16"/>
        </w:rPr>
        <w:t xml:space="preserve">Июль 1935 состоялся первый полет </w:t>
      </w:r>
      <w:r w:rsidRPr="00E14102">
        <w:rPr>
          <w:color w:val="0070C0"/>
          <w:sz w:val="16"/>
          <w:szCs w:val="16"/>
          <w:lang w:val="en-US"/>
        </w:rPr>
        <w:t>Mitsubishi</w:t>
      </w:r>
      <w:r w:rsidRPr="00E14102">
        <w:rPr>
          <w:color w:val="0070C0"/>
          <w:sz w:val="16"/>
          <w:szCs w:val="16"/>
        </w:rPr>
        <w:t xml:space="preserve"> </w:t>
      </w:r>
      <w:r w:rsidRPr="00E14102">
        <w:rPr>
          <w:color w:val="0070C0"/>
          <w:sz w:val="16"/>
          <w:szCs w:val="16"/>
          <w:lang w:val="en-US"/>
        </w:rPr>
        <w:t>Ka</w:t>
      </w:r>
      <w:r w:rsidRPr="00E14102">
        <w:rPr>
          <w:color w:val="0070C0"/>
          <w:sz w:val="16"/>
          <w:szCs w:val="16"/>
        </w:rPr>
        <w:t xml:space="preserve">-15, прототипа </w:t>
      </w:r>
      <w:r w:rsidRPr="00E14102">
        <w:rPr>
          <w:color w:val="0070C0"/>
          <w:sz w:val="16"/>
          <w:szCs w:val="16"/>
          <w:lang w:val="en-US"/>
        </w:rPr>
        <w:t>Mitsubishi</w:t>
      </w:r>
      <w:r w:rsidRPr="00E14102">
        <w:rPr>
          <w:color w:val="0070C0"/>
          <w:sz w:val="16"/>
          <w:szCs w:val="16"/>
        </w:rPr>
        <w:t xml:space="preserve"> </w:t>
      </w:r>
      <w:r w:rsidRPr="00E14102">
        <w:rPr>
          <w:color w:val="0070C0"/>
          <w:sz w:val="16"/>
          <w:szCs w:val="16"/>
          <w:lang w:val="en-US"/>
        </w:rPr>
        <w:t>G</w:t>
      </w:r>
      <w:r w:rsidRPr="00E14102">
        <w:rPr>
          <w:color w:val="0070C0"/>
          <w:sz w:val="16"/>
          <w:szCs w:val="16"/>
        </w:rPr>
        <w:t>3</w:t>
      </w:r>
      <w:r w:rsidRPr="00E14102">
        <w:rPr>
          <w:color w:val="0070C0"/>
          <w:sz w:val="16"/>
          <w:szCs w:val="16"/>
          <w:lang w:val="en-US"/>
        </w:rPr>
        <w:t>M</w:t>
      </w:r>
      <w:r w:rsidRPr="00E14102">
        <w:rPr>
          <w:color w:val="0070C0"/>
          <w:sz w:val="16"/>
          <w:szCs w:val="16"/>
        </w:rPr>
        <w:t xml:space="preserve"> (союзное название "Нелл") (20800).</w:t>
      </w:r>
    </w:p>
    <w:p w14:paraId="0BE5B78A" w14:textId="77777777" w:rsidR="003471A2" w:rsidRPr="00E14102" w:rsidRDefault="003471A2" w:rsidP="00E14102">
      <w:pPr>
        <w:jc w:val="both"/>
        <w:rPr>
          <w:color w:val="0070C0"/>
          <w:sz w:val="16"/>
          <w:szCs w:val="16"/>
        </w:rPr>
      </w:pPr>
    </w:p>
    <w:p w14:paraId="06BEE860" w14:textId="19E7DE42" w:rsidR="003471A2" w:rsidRPr="00E14102" w:rsidRDefault="003471A2" w:rsidP="00E14102">
      <w:pPr>
        <w:jc w:val="both"/>
        <w:rPr>
          <w:color w:val="0070C0"/>
          <w:sz w:val="16"/>
          <w:szCs w:val="16"/>
        </w:rPr>
      </w:pPr>
      <w:r w:rsidRPr="00E14102">
        <w:rPr>
          <w:color w:val="0070C0"/>
          <w:sz w:val="16"/>
          <w:szCs w:val="16"/>
        </w:rPr>
        <w:t>Июль 1935 состоялся первый полет Tachikawa Ki-17 (союзное название "Кедр") (20800).</w:t>
      </w:r>
    </w:p>
    <w:p w14:paraId="64E56A0A" w14:textId="77777777" w:rsidR="003471A2" w:rsidRPr="00E14102" w:rsidRDefault="003471A2" w:rsidP="00E14102">
      <w:pPr>
        <w:jc w:val="both"/>
        <w:rPr>
          <w:color w:val="0070C0"/>
          <w:sz w:val="16"/>
          <w:szCs w:val="16"/>
        </w:rPr>
      </w:pPr>
    </w:p>
    <w:p w14:paraId="75748F8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3B24BD1" w14:textId="77777777" w:rsidR="00D4105E" w:rsidRPr="00E14102" w:rsidRDefault="00D4105E" w:rsidP="00E14102">
      <w:pPr>
        <w:autoSpaceDE w:val="0"/>
        <w:autoSpaceDN w:val="0"/>
        <w:adjustRightInd w:val="0"/>
        <w:jc w:val="both"/>
        <w:rPr>
          <w:iCs/>
          <w:color w:val="000000" w:themeColor="text1"/>
          <w:sz w:val="16"/>
          <w:szCs w:val="16"/>
        </w:rPr>
      </w:pPr>
    </w:p>
    <w:p w14:paraId="3A134A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июле-октябре 1935 года прошли совместные летные испытания самолета Р-1 с двигателем М-5, оборудованным американским ТК фирмы Дженерал Электрик, взятым в ЦИАМ (7685).</w:t>
      </w:r>
    </w:p>
    <w:p w14:paraId="1130E9B6" w14:textId="77777777" w:rsidR="00D4105E" w:rsidRPr="00E14102" w:rsidRDefault="00D4105E" w:rsidP="00E14102">
      <w:pPr>
        <w:autoSpaceDE w:val="0"/>
        <w:autoSpaceDN w:val="0"/>
        <w:adjustRightInd w:val="0"/>
        <w:jc w:val="both"/>
        <w:rPr>
          <w:color w:val="000000" w:themeColor="text1"/>
          <w:sz w:val="16"/>
          <w:szCs w:val="16"/>
        </w:rPr>
      </w:pPr>
    </w:p>
    <w:p w14:paraId="1C82B320" w14:textId="77777777" w:rsidR="00872260" w:rsidRPr="00E14102" w:rsidRDefault="00872260" w:rsidP="00E14102">
      <w:pPr>
        <w:jc w:val="both"/>
        <w:rPr>
          <w:color w:val="000000" w:themeColor="text1"/>
          <w:sz w:val="16"/>
          <w:szCs w:val="16"/>
        </w:rPr>
      </w:pPr>
      <w:r w:rsidRPr="00E14102">
        <w:rPr>
          <w:color w:val="000000" w:themeColor="text1"/>
          <w:sz w:val="16"/>
          <w:szCs w:val="16"/>
        </w:rPr>
        <w:t>В июле-октябре 1935 года прошли совместные летные испытания самолета Р-1 с двигателем М-5, оборудованным американским ТК фирмы Дженерал Электрик, взятым в ЦИАМ. В феврале 1935 года ЦИАМ приступил к работам над первым отечественным ТК под двигатель АМ-34РН. К февралю 1937 года первый отечественный ТК, получивший обозначение ТК-1, был доведен и отработан на стенде и подготовлен к установке на самолет. В том же 1937 году ТК-1 иепытывался в полетах на самолете РШ с двигателем АМ-34НБ и на БОК-1 с двигателем АМ-34РНБ. Полеты показали низкую надежность ТК-1. Испытания и доводки были продолжены и в следующем 1938 году. В 1939 году ТК-1 испытывался на ТБ-3 4АМ-34РН и на И-153 М-62. Результаты испытаний были малоутешительными. Таким образом, как на начало работ по ТБ-7, так и в ходе создания и доводок первых опытных образцов, а также на момент его запуска в серию отечественная промышленность не смогла обеспечить нашу авиацию надежными серийными ТК. Самолетчикам совместно с двигателистами пришлось искать другие варианты решения проблемы высотности самолета ТБ-7 (12726).</w:t>
      </w:r>
    </w:p>
    <w:p w14:paraId="5D1E9B74" w14:textId="77777777" w:rsidR="00872260" w:rsidRPr="00E14102" w:rsidRDefault="00872260" w:rsidP="00E14102">
      <w:pPr>
        <w:jc w:val="both"/>
        <w:rPr>
          <w:color w:val="000000" w:themeColor="text1"/>
          <w:sz w:val="16"/>
          <w:szCs w:val="16"/>
        </w:rPr>
      </w:pPr>
    </w:p>
    <w:p w14:paraId="7A3EA042" w14:textId="77777777" w:rsidR="00CE5061" w:rsidRPr="00E14102" w:rsidRDefault="00CE5061"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июле-августе 1935 г. началась постройка второго экземпляра самолета – «дублера». В самолете-дублере ДБ-2 в отличие от первой машины выполнили силовые зализы крыла и усилили фюзеляж. 18 февраля 1936 г. «дублер» был построен и 25 февраля совершил первый полет. После окончания заводских испытаний, 20 августа 1936 г. «дублер» с бомбовой нагрузкой 1000 кг под управлением летчика М.</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Ю. Алексеева совершил беспосадочный перелет по маршруту Москва – Омск – Москва, пролетев 4955 км за 23 ч 20 мин со средней скоростью 213 км/ч (19185).</w:t>
      </w:r>
    </w:p>
    <w:p w14:paraId="4F96EC20" w14:textId="77777777" w:rsidR="00CE5061" w:rsidRPr="00E14102" w:rsidRDefault="00CE5061" w:rsidP="00E14102">
      <w:pPr>
        <w:shd w:val="clear" w:color="auto" w:fill="FFFFFF"/>
        <w:jc w:val="both"/>
        <w:textAlignment w:val="baseline"/>
        <w:rPr>
          <w:color w:val="000000" w:themeColor="text1"/>
          <w:sz w:val="16"/>
          <w:szCs w:val="16"/>
        </w:rPr>
      </w:pPr>
    </w:p>
    <w:p w14:paraId="23AFACA6" w14:textId="77777777" w:rsidR="003471A2" w:rsidRPr="00E14102" w:rsidRDefault="003471A2" w:rsidP="00E14102">
      <w:pPr>
        <w:autoSpaceDE w:val="0"/>
        <w:autoSpaceDN w:val="0"/>
        <w:adjustRightInd w:val="0"/>
        <w:jc w:val="both"/>
        <w:rPr>
          <w:color w:val="000000" w:themeColor="text1"/>
          <w:sz w:val="16"/>
          <w:szCs w:val="16"/>
        </w:rPr>
      </w:pPr>
      <w:r w:rsidRPr="00E14102">
        <w:rPr>
          <w:color w:val="000000" w:themeColor="text1"/>
          <w:sz w:val="16"/>
          <w:szCs w:val="16"/>
        </w:rPr>
        <w:t>С июля по 15 августа 1935 года проходили госиспытания МК-6 М34Р морской крейсер, доработанного для устранения недостатков, выявленных в процессе испытаний и доводок -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(3475,103).</w:t>
      </w:r>
    </w:p>
    <w:p w14:paraId="257F1C38" w14:textId="77777777" w:rsidR="003471A2" w:rsidRPr="00E14102" w:rsidRDefault="003471A2" w:rsidP="00E14102">
      <w:pPr>
        <w:autoSpaceDE w:val="0"/>
        <w:autoSpaceDN w:val="0"/>
        <w:adjustRightInd w:val="0"/>
        <w:jc w:val="both"/>
        <w:rPr>
          <w:color w:val="000000" w:themeColor="text1"/>
          <w:sz w:val="16"/>
          <w:szCs w:val="16"/>
        </w:rPr>
      </w:pPr>
    </w:p>
    <w:p w14:paraId="6BED740B" w14:textId="77777777" w:rsidR="00CE5061" w:rsidRPr="00E14102" w:rsidRDefault="00CE5061" w:rsidP="00E14102">
      <w:pPr>
        <w:jc w:val="both"/>
        <w:rPr>
          <w:color w:val="000000" w:themeColor="text1"/>
          <w:sz w:val="16"/>
          <w:szCs w:val="16"/>
          <w:shd w:val="clear" w:color="auto" w:fill="FFFFFF"/>
        </w:rPr>
      </w:pPr>
      <w:r w:rsidRPr="00E14102">
        <w:rPr>
          <w:color w:val="000000" w:themeColor="text1"/>
          <w:sz w:val="16"/>
          <w:szCs w:val="16"/>
        </w:rPr>
        <w:t>В июле-августе 1935 г. первые М 25 прошли государственные испытания Их мощность достигала 635-700 л.с. После получения из США документации на мотор Райт "Циклон" SGR 1820 F 50 мощностью 715-730 л.с. А.Д. Швецовым был разработан мотор М 25А, сменивший с июля 1935 г. в серии мотор предыдущего типа (19534).</w:t>
      </w:r>
    </w:p>
    <w:p w14:paraId="0F89C3D5" w14:textId="77777777" w:rsidR="00CE5061" w:rsidRPr="00E14102" w:rsidRDefault="00CE5061" w:rsidP="00E14102">
      <w:pPr>
        <w:jc w:val="both"/>
        <w:rPr>
          <w:color w:val="000000" w:themeColor="text1"/>
          <w:sz w:val="16"/>
          <w:szCs w:val="16"/>
          <w:shd w:val="clear" w:color="auto" w:fill="FFFFFF"/>
        </w:rPr>
      </w:pPr>
    </w:p>
    <w:p w14:paraId="332A83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июле — августе 1935 г. прошла госиспы</w:t>
      </w:r>
      <w:r w:rsidRPr="00E14102">
        <w:rPr>
          <w:color w:val="000000" w:themeColor="text1"/>
          <w:sz w:val="16"/>
          <w:szCs w:val="16"/>
        </w:rPr>
        <w:softHyphen/>
        <w:t>тания первая серийная модификация М-25 с использовани</w:t>
      </w:r>
      <w:r w:rsidRPr="00E14102">
        <w:rPr>
          <w:color w:val="000000" w:themeColor="text1"/>
          <w:sz w:val="16"/>
          <w:szCs w:val="16"/>
        </w:rPr>
        <w:softHyphen/>
        <w:t>ем большого числа импортных деталей М-25, безредукторный, 635/700 л.с., Первые двигатели имели карбюраторы «Стромберг» и вес 434 кг, далее карбюратор К-25 и вес 435 кг. (11852)</w:t>
      </w:r>
    </w:p>
    <w:p w14:paraId="00FD8CF5" w14:textId="77777777" w:rsidR="00D4105E" w:rsidRPr="00E14102" w:rsidRDefault="00D4105E" w:rsidP="00E14102">
      <w:pPr>
        <w:autoSpaceDE w:val="0"/>
        <w:autoSpaceDN w:val="0"/>
        <w:adjustRightInd w:val="0"/>
        <w:jc w:val="both"/>
        <w:rPr>
          <w:color w:val="000000" w:themeColor="text1"/>
          <w:sz w:val="16"/>
          <w:szCs w:val="16"/>
        </w:rPr>
      </w:pPr>
    </w:p>
    <w:p w14:paraId="1A15392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июле — авгус 1935 г. два мотора М-85 прошли длительные заводские испытания. М-85 проходил государственные стендовые испытания в НИИ ВВС с 27 октября 1935 г., успешно завершил их (со второго предъявления) январе 1936 г. На испытаниях зафиксировали мощность 761/812 л.с. Поздние серии частично унифицировались с М-86, в частности от последнего взяли усиленный кривошипно-шатунный механизм. Двигате; сняли с производства в конце 1937 г. Всего выпущено 463 экз.</w:t>
      </w:r>
    </w:p>
    <w:p w14:paraId="3B3E05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Характеристики:</w:t>
      </w:r>
    </w:p>
    <w:p w14:paraId="55611D6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14-цилиндровый, двухрядный звездообразный, четырехтактный, воз</w:t>
      </w:r>
      <w:r w:rsidRPr="00E14102">
        <w:rPr>
          <w:color w:val="000000" w:themeColor="text1"/>
          <w:sz w:val="16"/>
          <w:szCs w:val="16"/>
        </w:rPr>
        <w:softHyphen/>
        <w:t>душного охлаждения, редукторный, с односкоростным ПЦН;</w:t>
      </w:r>
    </w:p>
    <w:p w14:paraId="09B22C1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мощность 720/800 л.с. (с винтом фиксированного шага 765 л.с.);</w:t>
      </w:r>
    </w:p>
    <w:p w14:paraId="1352849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вес 600 кг;</w:t>
      </w:r>
    </w:p>
    <w:p w14:paraId="5FB54F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диаметр цилиндра/ход поршня 146/165 мм;</w:t>
      </w:r>
    </w:p>
    <w:p w14:paraId="49BB8A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полный рабочий объем 38,68 л;</w:t>
      </w:r>
    </w:p>
    <w:p w14:paraId="3AAA38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степень сжатия 5,5.</w:t>
      </w:r>
    </w:p>
    <w:p w14:paraId="2F3370E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Применялся на серийных самолетах ДБ-3, опытных самолетах И-207, ДГ-58 (ПБ, недостроен), ДГ-58Р (Р-9, недостроен), Р-9 (ЛБШ), ПС-35, ДИ-8. Предусматривался в проекте одной из модификаций СБ (11852).</w:t>
      </w:r>
    </w:p>
    <w:p w14:paraId="638029E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6D3B19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251F787" w14:textId="77777777" w:rsidR="00D4105E" w:rsidRPr="00E14102" w:rsidRDefault="00D4105E" w:rsidP="00E14102">
      <w:pPr>
        <w:autoSpaceDE w:val="0"/>
        <w:autoSpaceDN w:val="0"/>
        <w:adjustRightInd w:val="0"/>
        <w:jc w:val="both"/>
        <w:rPr>
          <w:iCs/>
          <w:color w:val="000000" w:themeColor="text1"/>
          <w:sz w:val="16"/>
          <w:szCs w:val="16"/>
        </w:rPr>
      </w:pPr>
    </w:p>
    <w:p w14:paraId="5D91DC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июле-августе 1935 успешно прошли испытания опытного образца предсерийного Т-38 под обозначением 0-9А Н.А.Астрова (9527,52).</w:t>
      </w:r>
    </w:p>
    <w:p w14:paraId="3FD50C45" w14:textId="77777777" w:rsidR="00D4105E" w:rsidRPr="00E14102" w:rsidRDefault="00D4105E" w:rsidP="00E14102">
      <w:pPr>
        <w:autoSpaceDE w:val="0"/>
        <w:autoSpaceDN w:val="0"/>
        <w:adjustRightInd w:val="0"/>
        <w:jc w:val="both"/>
        <w:rPr>
          <w:color w:val="000000" w:themeColor="text1"/>
          <w:sz w:val="16"/>
          <w:szCs w:val="16"/>
        </w:rPr>
      </w:pPr>
    </w:p>
    <w:p w14:paraId="6B44984B" w14:textId="77777777" w:rsidR="00B33D27"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1935E4C" w14:textId="77777777" w:rsidR="00B33D27" w:rsidRPr="00E14102" w:rsidRDefault="00B33D27" w:rsidP="00E14102">
      <w:pPr>
        <w:autoSpaceDE w:val="0"/>
        <w:autoSpaceDN w:val="0"/>
        <w:adjustRightInd w:val="0"/>
        <w:jc w:val="both"/>
        <w:rPr>
          <w:iCs/>
          <w:color w:val="000000" w:themeColor="text1"/>
          <w:sz w:val="16"/>
          <w:szCs w:val="16"/>
        </w:rPr>
      </w:pPr>
    </w:p>
    <w:p w14:paraId="4D95568F" w14:textId="77777777" w:rsidR="00B33D27" w:rsidRPr="00E14102" w:rsidRDefault="00B33D27" w:rsidP="00E14102">
      <w:pPr>
        <w:jc w:val="both"/>
        <w:rPr>
          <w:color w:val="000000" w:themeColor="text1"/>
          <w:sz w:val="16"/>
          <w:szCs w:val="16"/>
        </w:rPr>
      </w:pPr>
      <w:r w:rsidRPr="00E14102">
        <w:rPr>
          <w:color w:val="000000" w:themeColor="text1"/>
          <w:sz w:val="16"/>
          <w:szCs w:val="16"/>
        </w:rPr>
        <w:t>В июле 1935 г. на страницах газеты «Иллюстриртер Беобахтер» были опубликованы фотографии смотра в военном лагере Дебериц. А спустя месяц, в сентябре 1935 г., на военном параде по случаю съезда НСДАП в г. Нюрберге были продемонстрированы колонны немецких танков, в массовом порядке поступавших на снабжение вновь формируемых танковых войск (12615).</w:t>
      </w:r>
    </w:p>
    <w:p w14:paraId="75269AB1" w14:textId="77777777" w:rsidR="00B33D27" w:rsidRPr="00E14102" w:rsidRDefault="00B33D27" w:rsidP="00E14102">
      <w:pPr>
        <w:jc w:val="both"/>
        <w:rPr>
          <w:color w:val="000000" w:themeColor="text1"/>
          <w:sz w:val="16"/>
          <w:szCs w:val="16"/>
        </w:rPr>
      </w:pPr>
    </w:p>
    <w:p w14:paraId="650963F9" w14:textId="77777777" w:rsidR="006F4E11" w:rsidRPr="00E14102" w:rsidRDefault="006F4E11" w:rsidP="00E14102">
      <w:pPr>
        <w:jc w:val="both"/>
        <w:rPr>
          <w:color w:val="000000" w:themeColor="text1"/>
          <w:sz w:val="16"/>
          <w:szCs w:val="16"/>
        </w:rPr>
      </w:pPr>
      <w:r w:rsidRPr="00E14102">
        <w:rPr>
          <w:color w:val="000000" w:themeColor="text1"/>
          <w:sz w:val="16"/>
          <w:szCs w:val="16"/>
        </w:rPr>
        <w:t>В июле 1935 поступило указание устанавливать на Харрикейне восемь "Браунингов". Поскольку на самом деле их еще не имелось, опытную машину догрузили балластом. Это, и небольшое увеличение емкости бензобаков довели реальный взлетный вес истребителя до 2460 кг. Вместо патронов и радиостанции также разместили балласт. На самолете стоял двигатель "Мерлин"С, который к тому времени еще не прошел ресурсных испытаний, обязательных для получения государственного сертификата. Но новому истребителю придавалось такое значение, что на это просто наплевали. 23 октября самолет перевезли в Бруклендс, где вновь собрали после транспортировки. Машину взвесили, опробовали мотор, и испытатель П.Балмэн начал пробежки по летному полю. 6 ноября он впервые оторвался от земли (15129).</w:t>
      </w:r>
    </w:p>
    <w:p w14:paraId="344D220C" w14:textId="77777777" w:rsidR="006F4E11" w:rsidRPr="00E14102" w:rsidRDefault="006F4E11" w:rsidP="00E14102">
      <w:pPr>
        <w:jc w:val="both"/>
        <w:rPr>
          <w:color w:val="000000" w:themeColor="text1"/>
          <w:sz w:val="16"/>
          <w:szCs w:val="16"/>
        </w:rPr>
      </w:pPr>
    </w:p>
    <w:p w14:paraId="0E1FF0F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A6CF073" w14:textId="77777777" w:rsidR="00D4105E" w:rsidRPr="00E14102" w:rsidRDefault="00D4105E" w:rsidP="00E14102">
      <w:pPr>
        <w:autoSpaceDE w:val="0"/>
        <w:autoSpaceDN w:val="0"/>
        <w:adjustRightInd w:val="0"/>
        <w:jc w:val="both"/>
        <w:rPr>
          <w:iCs/>
          <w:color w:val="000000" w:themeColor="text1"/>
          <w:sz w:val="16"/>
          <w:szCs w:val="16"/>
        </w:rPr>
      </w:pPr>
    </w:p>
    <w:p w14:paraId="405164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августу 1935 г. готовность производственных сооружений завода Амурская верфь в Комсомольске на Амуре составляла около 30%, а по основному комплек</w:t>
      </w:r>
      <w:r w:rsidRPr="00E14102">
        <w:rPr>
          <w:color w:val="000000" w:themeColor="text1"/>
          <w:sz w:val="16"/>
          <w:szCs w:val="16"/>
        </w:rPr>
        <w:softHyphen/>
        <w:t>су — только 20%. Из 100 предусмотренных проектом объектов на площадке было возведено лишь 35 (3898).</w:t>
      </w:r>
    </w:p>
    <w:p w14:paraId="0D7A7B97" w14:textId="77777777" w:rsidR="00D4105E" w:rsidRPr="00E14102" w:rsidRDefault="00D4105E" w:rsidP="00E14102">
      <w:pPr>
        <w:autoSpaceDE w:val="0"/>
        <w:autoSpaceDN w:val="0"/>
        <w:adjustRightInd w:val="0"/>
        <w:jc w:val="both"/>
        <w:rPr>
          <w:color w:val="000000" w:themeColor="text1"/>
          <w:sz w:val="16"/>
          <w:szCs w:val="16"/>
        </w:rPr>
      </w:pPr>
    </w:p>
    <w:p w14:paraId="2EE3F52C" w14:textId="77777777" w:rsidR="006F4E11"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A415DFD" w14:textId="77777777" w:rsidR="006F4E11" w:rsidRPr="00E14102" w:rsidRDefault="006F4E11" w:rsidP="00E14102">
      <w:pPr>
        <w:autoSpaceDE w:val="0"/>
        <w:autoSpaceDN w:val="0"/>
        <w:adjustRightInd w:val="0"/>
        <w:jc w:val="both"/>
        <w:rPr>
          <w:iCs/>
          <w:color w:val="000000" w:themeColor="text1"/>
          <w:sz w:val="16"/>
          <w:szCs w:val="16"/>
        </w:rPr>
      </w:pPr>
    </w:p>
    <w:p w14:paraId="38BFBE47" w14:textId="77777777" w:rsidR="006F4E11" w:rsidRPr="00E14102" w:rsidRDefault="006F4E11" w:rsidP="00E14102">
      <w:pPr>
        <w:jc w:val="both"/>
        <w:rPr>
          <w:color w:val="000000" w:themeColor="text1"/>
          <w:sz w:val="16"/>
          <w:szCs w:val="16"/>
        </w:rPr>
      </w:pPr>
      <w:r w:rsidRPr="00E14102">
        <w:rPr>
          <w:color w:val="000000" w:themeColor="text1"/>
          <w:sz w:val="16"/>
          <w:szCs w:val="16"/>
        </w:rPr>
        <w:t>К августу 1935 г. на заводе № 196 («Судомех») был изготовлен опытный образец АПЛ Остехбюро. АПЛ представляла собой однокорпусную сверхмалую подводную лодку водоизмещением 18 т, вооруженную двумя 457-мм бортовыми торпедными аппаратами открытого типа. Экипаж лодки — 4 человека. Силовая установка состояла из дизель-мотора мощностью 24 л. с. (при форсировании до 36 л. с.) и гребного электромотора, работавшего от аккумуляторной батареи. Заводские испытания АПЛ проводились в августе 1935 г. в Ораниенбауме. В ходе испытаний было совершено несколько довольно успешных выходов в Финский залив. В ноябре вышел приказ наркома обороны, предписывавший Управлению военно-морских сил РККА обеспечить постройку десяти сверхмалых подводных лодок типа «усовершенствованной АПЛ», со сдачей первых шести в 1936 г. В ноябре 1935 г. сверхмалую подводную лодку по железной дороге доставили на Севастопольскую базу Остехбюро в Балаклаву, где должны были пройти ее приемо-сдаточные испытания. По их результатам планировалось внести необходимые изменения в проект промышленной серии сверхмалых подводных лодок, получивших условное обозначение «Пигмей» (15117).</w:t>
      </w:r>
    </w:p>
    <w:p w14:paraId="2EF37DF0" w14:textId="77777777" w:rsidR="006F4E11" w:rsidRPr="00E14102" w:rsidRDefault="006F4E11" w:rsidP="00E14102">
      <w:pPr>
        <w:jc w:val="both"/>
        <w:rPr>
          <w:color w:val="000000" w:themeColor="text1"/>
          <w:sz w:val="16"/>
          <w:szCs w:val="16"/>
        </w:rPr>
      </w:pPr>
    </w:p>
    <w:p w14:paraId="4E33395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E2C1162" w14:textId="77777777" w:rsidR="00D4105E" w:rsidRPr="00E14102" w:rsidRDefault="00D4105E" w:rsidP="00E14102">
      <w:pPr>
        <w:autoSpaceDE w:val="0"/>
        <w:autoSpaceDN w:val="0"/>
        <w:adjustRightInd w:val="0"/>
        <w:jc w:val="both"/>
        <w:rPr>
          <w:iCs/>
          <w:color w:val="000000" w:themeColor="text1"/>
          <w:sz w:val="16"/>
          <w:szCs w:val="16"/>
        </w:rPr>
      </w:pPr>
    </w:p>
    <w:p w14:paraId="1BA38E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августа 1935 г. чертежи по ЦКБ-30 были сданы 39-му заводу (9501).</w:t>
      </w:r>
    </w:p>
    <w:p w14:paraId="6C9903E9" w14:textId="77777777" w:rsidR="00D4105E" w:rsidRPr="00E14102" w:rsidRDefault="00D4105E" w:rsidP="00E14102">
      <w:pPr>
        <w:autoSpaceDE w:val="0"/>
        <w:autoSpaceDN w:val="0"/>
        <w:adjustRightInd w:val="0"/>
        <w:jc w:val="both"/>
        <w:rPr>
          <w:color w:val="000000" w:themeColor="text1"/>
          <w:sz w:val="16"/>
          <w:szCs w:val="16"/>
        </w:rPr>
      </w:pPr>
    </w:p>
    <w:p w14:paraId="4537ED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на заводе 22 закончились испытания радиаторов с красномедными трубками СЕРК и серийных радиаторов с латунными трубками АНДРЕ на ТБ-3 4М-34Р N 22563 и ТБ-3 4М-34РН N 22632, которые начались 5 июля 1935. Отв. исполнители: Нач. ЛЭС Фролов, ви - и 8 бр. ЦАГИ Кочетов и ви Баклунов. Пришли к выводу, что красномедные трубки дают преимущества, но для выяснения прочности решили испытать при низких температурах (2937).</w:t>
      </w:r>
    </w:p>
    <w:p w14:paraId="0D8F777B" w14:textId="77777777" w:rsidR="00D4105E" w:rsidRPr="00E14102" w:rsidRDefault="00D4105E" w:rsidP="00E14102">
      <w:pPr>
        <w:autoSpaceDE w:val="0"/>
        <w:autoSpaceDN w:val="0"/>
        <w:adjustRightInd w:val="0"/>
        <w:jc w:val="both"/>
        <w:rPr>
          <w:color w:val="000000" w:themeColor="text1"/>
          <w:sz w:val="16"/>
          <w:szCs w:val="16"/>
        </w:rPr>
      </w:pPr>
    </w:p>
    <w:p w14:paraId="53E761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началось проектирование АНТ-35 в бригаде А.А.А. (2233,42).</w:t>
      </w:r>
    </w:p>
    <w:p w14:paraId="6E8BD873" w14:textId="77777777" w:rsidR="00D4105E" w:rsidRPr="00E14102" w:rsidRDefault="00D4105E" w:rsidP="00E14102">
      <w:pPr>
        <w:autoSpaceDE w:val="0"/>
        <w:autoSpaceDN w:val="0"/>
        <w:adjustRightInd w:val="0"/>
        <w:jc w:val="both"/>
        <w:rPr>
          <w:color w:val="000000" w:themeColor="text1"/>
          <w:sz w:val="16"/>
          <w:szCs w:val="16"/>
        </w:rPr>
      </w:pPr>
    </w:p>
    <w:p w14:paraId="05FBB7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 М.Ю. Алексеевым был выполнен первый полет на Ди-8.</w:t>
      </w:r>
    </w:p>
    <w:p w14:paraId="24AA50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 Ди-8 разрабатывался на основе самолета СБ.</w:t>
      </w:r>
    </w:p>
    <w:p w14:paraId="34E121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ряде публикаций аббревиатура "Ди" расшифровывается как двухместный истребитель, что совершенно не соответствует действительности. Самолет с самого начала проектировался и строился как трехместный. В статкар-те на АНТ-46, подписанной Архангельским, последний именуется многоместным истребителем. Некоторые авторы полагают, что аббревиатура "Ди" соответствует дальнему истребителю. Это вряд ли правдоподобно, поскольку по дальности полета он не мог достаточно успешно решать задачу сопровождения бомбардировщиков ТБ-1 и ТБ-3, а сопровождать СБ он не мог вследствие более низкой скорости полета. Скорее всего, аббревиатура "Ди" соответствовала словам "двухмоторный истребитель".</w:t>
      </w:r>
    </w:p>
    <w:p w14:paraId="3BCDAF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Ди-8 отличался мощным наступательным и оборонительным стрелково-пушечным вооружением. В соответствии со статкартой наступательное вооружение включало две динамо-реактивные пушки АПК-4 калибра 76 мм, устанавливаемые в отъемных частях крыльев вне площади, сметаемой воздушными винтами. Боезапас на каждую пушку составлял 15 снарядов.</w:t>
      </w:r>
    </w:p>
    <w:p w14:paraId="5CDEB9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Оборонительное вооружение включало подвижный крупнокалиберный пулемет ШВАК-12,7 с запасом 750 патронов, установленный в носовой кабине переднего стрелка, турель ТУР-9 и люковую установку Лу с пулеметами нормального калибра, как и на СБ, но кроме того, для стрельбы назад устанавливались два неподвижных пулемета ШКАС нормального калибра, смонтированных в центроплане крыла у бортов фюзеляжа с боезапасом по 500 патронов.</w:t>
      </w:r>
    </w:p>
    <w:p w14:paraId="67889F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Ниже приведем летные данные Ди-8 согласно упоминавшейся выше статкарте на самолет:</w:t>
      </w:r>
    </w:p>
    <w:p w14:paraId="7F5D52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максимальная скорость полета у земли - 333 км/ч, на высоте 4000 м около 400 км/ч,</w:t>
      </w:r>
    </w:p>
    <w:p w14:paraId="3A2317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посадочная скорость - 100 км/ч;</w:t>
      </w:r>
    </w:p>
    <w:p w14:paraId="6F568B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время набора высоты 5000 - 11,46 мин;</w:t>
      </w:r>
    </w:p>
    <w:p w14:paraId="6621DD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практический потолок - 8080 м;</w:t>
      </w:r>
    </w:p>
    <w:p w14:paraId="3C3F08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дальность полета на высоте 4000 м - 1780 км (9531,26).</w:t>
      </w:r>
    </w:p>
    <w:p w14:paraId="59465DD6" w14:textId="77777777" w:rsidR="00D4105E" w:rsidRPr="00E14102" w:rsidRDefault="00D4105E" w:rsidP="00E14102">
      <w:pPr>
        <w:autoSpaceDE w:val="0"/>
        <w:autoSpaceDN w:val="0"/>
        <w:adjustRightInd w:val="0"/>
        <w:jc w:val="both"/>
        <w:rPr>
          <w:color w:val="000000" w:themeColor="text1"/>
          <w:sz w:val="16"/>
          <w:szCs w:val="16"/>
        </w:rPr>
      </w:pPr>
    </w:p>
    <w:p w14:paraId="7B8AD0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состоялся первый полет (АНТ-46) ДИ-8. Заводские испытания шли до июня 1936 (2232,45). Оказался неустойчивым, а кроме того прекратили работы по АПК, а А.А.А. - ушел на серийный завод делать СБ (АНТ-40). Поэтому работы прекратили (80,236).</w:t>
      </w:r>
    </w:p>
    <w:p w14:paraId="177199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Летал М.Ю.Алексеев. Машина оказалась неустойчивой в полете (1104,29).</w:t>
      </w:r>
    </w:p>
    <w:p w14:paraId="7C1809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По другим данным первый полет ДИ-8 (АНТ-46) был выполнен 9 и 13 (4,11) августа 1935 (109,239). Заводские длились до июня 1936 - на гос. испытания не передавали (4,11).</w:t>
      </w:r>
    </w:p>
    <w:p w14:paraId="414356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третьим данным испытания перенесли на 1 апреля 1936 (320).</w:t>
      </w:r>
    </w:p>
    <w:p w14:paraId="4F54537F" w14:textId="77777777" w:rsidR="00D4105E" w:rsidRPr="00E14102" w:rsidRDefault="00D4105E" w:rsidP="00E14102">
      <w:pPr>
        <w:autoSpaceDE w:val="0"/>
        <w:autoSpaceDN w:val="0"/>
        <w:adjustRightInd w:val="0"/>
        <w:jc w:val="both"/>
        <w:rPr>
          <w:color w:val="000000" w:themeColor="text1"/>
          <w:sz w:val="16"/>
          <w:szCs w:val="16"/>
        </w:rPr>
      </w:pPr>
    </w:p>
    <w:p w14:paraId="71140DB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августа 1935 г. был выполнен первый полет опытного истребителя ДИ-8 (АНТ-46) А.Н.Туполева (6395).</w:t>
      </w:r>
    </w:p>
    <w:p w14:paraId="295E485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10A3A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 состоялся первый полет ДИ-8 (АНТ-46) под управлением летчика М.Ю.Алексеева, заводские испытания продолжались до середины 1936 г.</w:t>
      </w:r>
    </w:p>
    <w:p w14:paraId="206D55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Дальний истребитель ДИ-8 (АНТ-46) представлял собой, по сути, третий опытный АНТ-40. Проектировался и доводился бригадой А.А.Архангельского. Предназначался для сопровождения стандартных СБ в качестве артиллерийского самолета. Основные отличия: двигатели воздушного охлаждения "Гном-Рон" 14Krsd с деревянными двухлопастными винтами, вооружение состояло из двух динамореактивных пушек АПК-4 калибра 76 мм в отъемных частях крыла и крупнокалиберного пулемета ШВАК (12,7 мм) у штурмана в носовой кабине. Особой изюминкой вооружения АНТ-46 стала установка двух неподвижных пулеметов ШКАС в центроплане для стрельбы назад, вооружение кормового воздушного стрелка осталось прежнее.</w:t>
      </w:r>
    </w:p>
    <w:p w14:paraId="1D67A2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период проведения полетов и доводок в АНТ-46 вносились все возможные изменения, применяемые на АНТ-40ИС. Отказ от использования ДРП и одновременная активизация работ по внедрению 20-мм авиапушек ШВАК привели к появлению нового проекта - АНТ-46бис. В нем предполагалось разместить по две ШВАК в усиленных консолях крыла или 4 Ш ВАК снизу фюзеляжа (плюс одна пушкау штурмана). Позднее вариант с размещением пушек иод фюзеляжем строился, однако это уже была модификация серийного СБ.</w:t>
      </w:r>
    </w:p>
    <w:p w14:paraId="2BE2A3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период совершенствования АНТ-46 использовался для испытания двух вариантов капотирования двигателя "Гном-Рон" К-14. Первый вариант - с 7-ю лобовыми индивидуальными отверстиями охлаждения, выполненными по типу капота Уоттера - дальнейшего развития не получил. Второй вариант - по типу капота NASA с подвижными створками "юбка", впоследствии использовали на самолете АНТ-37 (12027).</w:t>
      </w:r>
    </w:p>
    <w:p w14:paraId="30B129C3" w14:textId="77777777" w:rsidR="00D4105E" w:rsidRPr="00E14102" w:rsidRDefault="00D4105E" w:rsidP="00E14102">
      <w:pPr>
        <w:autoSpaceDE w:val="0"/>
        <w:autoSpaceDN w:val="0"/>
        <w:adjustRightInd w:val="0"/>
        <w:jc w:val="both"/>
        <w:rPr>
          <w:color w:val="000000" w:themeColor="text1"/>
          <w:sz w:val="16"/>
          <w:szCs w:val="16"/>
        </w:rPr>
      </w:pPr>
    </w:p>
    <w:p w14:paraId="179BE0FA" w14:textId="77777777" w:rsidR="006F4E11" w:rsidRPr="00E14102" w:rsidRDefault="006F4E11" w:rsidP="00E14102">
      <w:pPr>
        <w:jc w:val="both"/>
        <w:rPr>
          <w:color w:val="000000" w:themeColor="text1"/>
          <w:sz w:val="16"/>
          <w:szCs w:val="16"/>
        </w:rPr>
      </w:pPr>
      <w:r w:rsidRPr="00E14102">
        <w:rPr>
          <w:color w:val="000000" w:themeColor="text1"/>
          <w:sz w:val="16"/>
          <w:szCs w:val="16"/>
        </w:rPr>
        <w:t>1 августа 1935-го пилот ЦАГИ Михаил Юрьевич Алексеев совершив на ДИ-8 первый полет.</w:t>
      </w:r>
    </w:p>
    <w:p w14:paraId="5212A711" w14:textId="77777777" w:rsidR="006F4E11" w:rsidRPr="00E14102" w:rsidRDefault="006F4E11" w:rsidP="00E14102">
      <w:pPr>
        <w:jc w:val="both"/>
        <w:rPr>
          <w:color w:val="000000" w:themeColor="text1"/>
          <w:sz w:val="16"/>
          <w:szCs w:val="16"/>
        </w:rPr>
      </w:pPr>
      <w:r w:rsidRPr="00E14102">
        <w:rPr>
          <w:color w:val="000000" w:themeColor="text1"/>
          <w:sz w:val="16"/>
          <w:szCs w:val="16"/>
        </w:rPr>
        <w:t>В 1935 г. АНТ-40 еще не успел сколько-нибудь утяжелиться от войсковых рекомендаций или технологических доработок серийного производства. Для переоборудования его в дальний истребитель взяли машину по типу первых опытных СБ, которые только начинали сходить с конвейера завода № 22 в Филях. Один экземпляр был приведен к виду, удобному для переквалификации, принципиально не отличаясь от первого летного образца АНТ-40 с двумя двигателями воздушного охлаждения Райт «Циклон». Взамен «Циклонов» для большей энерговооруженности будущего истребителя установили двухрядные звездообразные моторы Гном-Рон «Мистраль-Мажор» 14 К.</w:t>
      </w:r>
    </w:p>
    <w:p w14:paraId="30A0259F" w14:textId="77777777" w:rsidR="006F4E11" w:rsidRPr="00E14102" w:rsidRDefault="006F4E11" w:rsidP="00E14102">
      <w:pPr>
        <w:jc w:val="both"/>
        <w:rPr>
          <w:color w:val="000000" w:themeColor="text1"/>
          <w:sz w:val="16"/>
          <w:szCs w:val="16"/>
        </w:rPr>
      </w:pPr>
      <w:r w:rsidRPr="00E14102">
        <w:rPr>
          <w:color w:val="000000" w:themeColor="text1"/>
          <w:sz w:val="16"/>
          <w:szCs w:val="16"/>
        </w:rPr>
        <w:t>При создании ДИ-8 конструкторы учли опыт разработки и доводок близких к нему прототипов МИ-ЗД и ДИП, поэтому им легко удалось избежать многих осложнений. Дело в том, что цельнометаллическая конструкция, во многом сходная для этих машин, была уже хорошо отработана и доведена до приемлемой надежности летными испытаниями, правда, с моторами водяного охлаждения. Не менее важным отличием ДИ-8 от СБ являлись две динамореактивные пушки АПК-4 калибра 76,2 мм, которые разработало управление специальных работ (УСР НКТП). Они были установлены в отъемных частях крыла с проходом стволов через обшивку передней кромки и выхлопных труб с диффузорами над ребром обтекания крыла сквозь его верхнюю обшивку. Боезапас каждого орудия составлял 15 снарядов.</w:t>
      </w:r>
    </w:p>
    <w:p w14:paraId="0AD01490" w14:textId="77777777" w:rsidR="006F4E11" w:rsidRPr="00E14102" w:rsidRDefault="006F4E11" w:rsidP="00E14102">
      <w:pPr>
        <w:jc w:val="both"/>
        <w:rPr>
          <w:color w:val="000000" w:themeColor="text1"/>
          <w:sz w:val="16"/>
          <w:szCs w:val="16"/>
        </w:rPr>
      </w:pPr>
      <w:r w:rsidRPr="00E14102">
        <w:rPr>
          <w:color w:val="000000" w:themeColor="text1"/>
          <w:sz w:val="16"/>
          <w:szCs w:val="16"/>
        </w:rPr>
        <w:t>В центроплане крыла у правого борта фюзеляжа установили третью огневую точку — пулемет ШКАс с запасом 800 патронов. Отличия коснулись и оборонительного вооружения. В носовой кабине штурмана-бомбардира взамен спарки пулеметов ШКАС появился один подвижный крупнокалиберный пулемет ШВАК 12,7 мм. В хвостовой части фюзеляжа оружие осталось как на СБ — верхний турельный ШКАС на подвижной установке ТУР-9 и нижний люковый пулемет той же системы.</w:t>
      </w:r>
    </w:p>
    <w:p w14:paraId="6BB19CF2" w14:textId="77777777" w:rsidR="006F4E11" w:rsidRPr="00E14102" w:rsidRDefault="006F4E11" w:rsidP="00E14102">
      <w:pPr>
        <w:jc w:val="both"/>
        <w:rPr>
          <w:color w:val="000000" w:themeColor="text1"/>
          <w:sz w:val="16"/>
          <w:szCs w:val="16"/>
        </w:rPr>
      </w:pPr>
      <w:r w:rsidRPr="00E14102">
        <w:rPr>
          <w:color w:val="000000" w:themeColor="text1"/>
          <w:sz w:val="16"/>
          <w:szCs w:val="16"/>
        </w:rPr>
        <w:t>Для упоминания другой «изюминки» ДИ-8 (помимо наступательных ДРП), которая вошла в состав оборонительного вооружения с задней полусферы, вернемся к центроплану крыла. У границ зализов стыка крыла и фюзеляжа чуть выше задней кромки центроплана устроили амбразуры двух неподвижных пулеметов ШКАС. Ведение огня из них должно было производиться при заходе вражеского истребителя точно в хвост. Направляемые самолетом и нацеливаемые с помощью перископа заднего обзора, эти ШКАСы представляли бы для неприятеля полную неожиданность. При отражении атаки противника со столь строгого ракурса результативная стрельба из турельной и люковой установок была бы затруднена и наличие неподвижных пулеметов в центроплане значительно усложнило бы условия нападения с задней полусферы.</w:t>
      </w:r>
    </w:p>
    <w:p w14:paraId="17DED871" w14:textId="77777777" w:rsidR="006F4E11" w:rsidRPr="00E14102" w:rsidRDefault="006F4E11" w:rsidP="00E14102">
      <w:pPr>
        <w:jc w:val="both"/>
        <w:rPr>
          <w:color w:val="000000" w:themeColor="text1"/>
          <w:sz w:val="16"/>
          <w:szCs w:val="16"/>
        </w:rPr>
      </w:pPr>
      <w:r w:rsidRPr="00E14102">
        <w:rPr>
          <w:color w:val="000000" w:themeColor="text1"/>
          <w:sz w:val="16"/>
          <w:szCs w:val="16"/>
        </w:rPr>
        <w:t>Конечно же, внезапность оборонительного огня не могла оставаться долговечной, и стрельба из фиксированных пулеметов назад в значительной степени велась бы наудачу. Может быть, именно поэтому подобные установки в нашей боевой авиации не прижились. Состав бомбардировочного вооружения по сравнению с СБ уменьшили. В зоне центра тяжести самолета оставили вертикальный бомбовый отсек. Задний фюзеляжный и центропланные отсеки не использовались и были задраены. Общий вес бомб не превышал 250 кг, что соответствовало ТТТ, предъявляемым к «летающему крейсеру».</w:t>
      </w:r>
    </w:p>
    <w:p w14:paraId="5B222983" w14:textId="77777777" w:rsidR="006F4E11" w:rsidRPr="00E14102" w:rsidRDefault="006F4E11" w:rsidP="00E14102">
      <w:pPr>
        <w:jc w:val="both"/>
        <w:rPr>
          <w:color w:val="000000" w:themeColor="text1"/>
          <w:sz w:val="16"/>
          <w:szCs w:val="16"/>
        </w:rPr>
      </w:pPr>
      <w:r w:rsidRPr="00E14102">
        <w:rPr>
          <w:color w:val="000000" w:themeColor="text1"/>
          <w:sz w:val="16"/>
          <w:szCs w:val="16"/>
        </w:rPr>
        <w:t>Конструкция ДИ-8 —металлическая, клепанная из дюралюминия. Фюзеляж стыковался из трех частей, которые собирались и укомплектовывались оборудованием автономно, на отдельных стапелях, с последующей подачей на общую сборку. В передней части (она именовалась Ф-1) за лобовым прозрачным колпаком было устроено рабочее место штурмана. Его он занимал, поднявшись по лестнице через нижний люк. Этот же проем являлся аварийным для покидания самолета в воздухе.</w:t>
      </w:r>
    </w:p>
    <w:p w14:paraId="489F64D9" w14:textId="77777777" w:rsidR="006F4E11" w:rsidRPr="00E14102" w:rsidRDefault="006F4E11" w:rsidP="00E14102">
      <w:pPr>
        <w:jc w:val="both"/>
        <w:rPr>
          <w:color w:val="000000" w:themeColor="text1"/>
          <w:sz w:val="16"/>
          <w:szCs w:val="16"/>
        </w:rPr>
      </w:pPr>
      <w:r w:rsidRPr="00E14102">
        <w:rPr>
          <w:color w:val="000000" w:themeColor="text1"/>
          <w:sz w:val="16"/>
          <w:szCs w:val="16"/>
        </w:rPr>
        <w:t>Средняя часть фюзеляжа (Ф-2) выполнялась заодно с центропланом крыла и была наиболее материалоемкой и сложной при автономной сборке. В ней поместили пост управления самолетом внутри кабины летчика со сдвижным фонарем назад. Более длинный фонарь стрелка-радиста сдвигался вперед и открывал его кабину, расположенную в задней части фюзеляжа (Ф-3), несущей хвостовое оперение.</w:t>
      </w:r>
    </w:p>
    <w:p w14:paraId="25ECC601" w14:textId="77777777" w:rsidR="006F4E11" w:rsidRPr="00E14102" w:rsidRDefault="006F4E11" w:rsidP="00E14102">
      <w:pPr>
        <w:jc w:val="both"/>
        <w:rPr>
          <w:color w:val="000000" w:themeColor="text1"/>
          <w:sz w:val="16"/>
          <w:szCs w:val="16"/>
        </w:rPr>
      </w:pPr>
      <w:r w:rsidRPr="00E14102">
        <w:rPr>
          <w:color w:val="000000" w:themeColor="text1"/>
          <w:sz w:val="16"/>
          <w:szCs w:val="16"/>
        </w:rPr>
        <w:t>Каркас основных агрегатов машины состоял из трубчатых ферменных балок (стальные трубы), V-образных профилей, образующих вместе с обшивкой замкнутые контуры (для частичного включения ее в работу на прочность), рамных шпангоутов и нервюр. Их выполнили из листового дюралюминия с отбортованными отверстиями для облегчения. Элероны имели внутреннюю весовую компенсацию. Под задней частью отъемных консолей и центроплана крыла были подвешены четыре секции отклоняемых щитков-закрылков. В передней части центроплана по его концам на стержневых моторных фермах были установлены два двигателя воздушного охлаждения в капотах NACA. Их оснастили внутренними кольцевыми маслорадиаторами. На валах моторов двухлопастные деревянные винты диаметром 3,4 м. Внутри мотогондол на хомутах—два маслобака емкостью по 45 л.</w:t>
      </w:r>
    </w:p>
    <w:p w14:paraId="0774E0CB" w14:textId="77777777" w:rsidR="006F4E11" w:rsidRPr="00E14102" w:rsidRDefault="006F4E11" w:rsidP="00E14102">
      <w:pPr>
        <w:jc w:val="both"/>
        <w:rPr>
          <w:color w:val="000000" w:themeColor="text1"/>
          <w:sz w:val="16"/>
          <w:szCs w:val="16"/>
        </w:rPr>
      </w:pPr>
      <w:r w:rsidRPr="00E14102">
        <w:rPr>
          <w:color w:val="000000" w:themeColor="text1"/>
          <w:sz w:val="16"/>
          <w:szCs w:val="16"/>
        </w:rPr>
        <w:t>Капоты двигателей были плавно сведены на нет к задней стенке крыла и заканчивались нишами убираемого шасси. После подъема стоек колеса частично оставались снаружи, образуя своими шинами задние кромки мотогондол. Зимний вариант шасси предусматривал подъем лыж в полете с подтягиванием их к днищам моторных обтекателей (15565).</w:t>
      </w:r>
    </w:p>
    <w:p w14:paraId="29E089B7" w14:textId="77777777" w:rsidR="006F4E11" w:rsidRPr="00E14102" w:rsidRDefault="006F4E11" w:rsidP="00E14102">
      <w:pPr>
        <w:jc w:val="both"/>
        <w:rPr>
          <w:color w:val="000000" w:themeColor="text1"/>
          <w:sz w:val="16"/>
          <w:szCs w:val="16"/>
        </w:rPr>
      </w:pPr>
    </w:p>
    <w:p w14:paraId="260FED46" w14:textId="77777777" w:rsidR="00BB09AB" w:rsidRPr="00E14102" w:rsidRDefault="00BB09AB" w:rsidP="00E14102">
      <w:pPr>
        <w:jc w:val="both"/>
        <w:rPr>
          <w:color w:val="000000" w:themeColor="text1"/>
          <w:sz w:val="16"/>
          <w:szCs w:val="16"/>
        </w:rPr>
      </w:pPr>
      <w:r w:rsidRPr="00E14102">
        <w:rPr>
          <w:color w:val="000000" w:themeColor="text1"/>
          <w:sz w:val="16"/>
          <w:szCs w:val="16"/>
        </w:rPr>
        <w:t xml:space="preserve">1 августа в 1935 году первый полет двухмоторного, двухместного истребителя </w:t>
      </w:r>
      <w:hyperlink r:id="rId166" w:tgtFrame="_blank" w:history="1">
        <w:r w:rsidRPr="00E14102">
          <w:rPr>
            <w:color w:val="000000" w:themeColor="text1"/>
            <w:sz w:val="16"/>
            <w:szCs w:val="16"/>
          </w:rPr>
          <w:t xml:space="preserve">«ДИ-8» («АНТ-46») </w:t>
        </w:r>
      </w:hyperlink>
      <w:r w:rsidRPr="00E14102">
        <w:rPr>
          <w:color w:val="000000" w:themeColor="text1"/>
          <w:sz w:val="16"/>
          <w:szCs w:val="16"/>
        </w:rPr>
        <w:t>конструкции А.Н.Туполева, пилот ЦАГИ Михаил Юрьевич Алексеев. Цельнометаллический самолет с гладкой обшивкой фюзеляжа и крыла, свободнонесущий моноплан с убирающимся шасси и механизированным крылом предназначался для сопровождения скоростных бомбардировщиков и отличался от базового «СБ моторами и составом вооружения. Основным наступательным оружием планировалось использовать две крыльевые динамореактивные пушки (ДРП) типа «АПК-4» калибра 76 мм. Вспомогательным вооружением были два неподвижных крупнокалиберных пулемёта в центроплане и один — в носовой турели (ШВАК 12,7 мм). Моторы на самолёте установили французские, Гном-Рон «Мистраль Мажор» «К-14». Летом 1935 года самолёт был постоен и совершил первый полёт. Заводские испытания продолжались до июня 1936 года. Работы по ДРП были прекращены в связи с появлением реактивных снарядов (РС). «АНТ-46» по этой причине предполагалось перевооружить — четыре пушки «ШВАК» в крыле или пять пушек в подфюзеляжном быстросъёмном контейнере. Для улучшения лётных характеристик были выполнены работы : сделаны новые отъёмные части крыла, горизонтальное оперение и руль направления с роговой компенсацией. Предполагалась установка отечественных моторов «АМ-34». Через год все работы по машине были свёрнуты, на государственные испытания самолёт не передавался (14970).</w:t>
      </w:r>
    </w:p>
    <w:p w14:paraId="4C0E6E52" w14:textId="77777777" w:rsidR="00BB09AB" w:rsidRPr="00E14102" w:rsidRDefault="00BB09AB" w:rsidP="00E14102">
      <w:pPr>
        <w:jc w:val="both"/>
        <w:rPr>
          <w:color w:val="000000" w:themeColor="text1"/>
          <w:sz w:val="16"/>
          <w:szCs w:val="16"/>
        </w:rPr>
      </w:pPr>
    </w:p>
    <w:p w14:paraId="60AB1C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августа по 22 октября 1935 г. проходили испытания электробомбардировочной установки на самолете Р-5 в г. Оренбурге</w:t>
      </w:r>
    </w:p>
    <w:p w14:paraId="1F61E2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094A2F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Проверить работу электробомбардировочной установки на самолетах Р-5 в условиях, приближенным к войсковым испытаниям.</w:t>
      </w:r>
    </w:p>
    <w:p w14:paraId="7E13DA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AAFC5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испытания на самолетах Р-5 электрифицированных бомбодержателей "Дер-7" и "Дер-6", на последних приходилось производить доделки. На основании этого работа их в таком виде, как они есть - является неудовлетворительной (3119).</w:t>
      </w:r>
    </w:p>
    <w:p w14:paraId="24318AF8" w14:textId="77777777" w:rsidR="00D4105E" w:rsidRPr="00E14102" w:rsidRDefault="00D4105E" w:rsidP="00E14102">
      <w:pPr>
        <w:autoSpaceDE w:val="0"/>
        <w:autoSpaceDN w:val="0"/>
        <w:adjustRightInd w:val="0"/>
        <w:jc w:val="both"/>
        <w:rPr>
          <w:color w:val="000000" w:themeColor="text1"/>
          <w:sz w:val="16"/>
          <w:szCs w:val="16"/>
        </w:rPr>
      </w:pPr>
    </w:p>
    <w:p w14:paraId="1BAD1E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по 5 августа 1935 проходили испытания самолета И7 N 4449 (эталон на 1933 год) с мотором М17 N 262646 Е=7,3 винты Д=3.112 Н=2.8 и Н=2.77</w:t>
      </w:r>
    </w:p>
    <w:p w14:paraId="5B6741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23385A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Поверка летных данных самолета И7 М17 N 4449 эталона на 1933 год после улучшения обтекателей узлов стоек, новых моторных капотов и установки обтекателей на колесах.</w:t>
      </w:r>
    </w:p>
    <w:p w14:paraId="43E1CB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85B1A1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 И7 М17 N 4449 может быть утвержден как эталон на 1933 год после устранения дефектов.</w:t>
      </w:r>
    </w:p>
    <w:p w14:paraId="6A0426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Отв. исполнители:</w:t>
      </w:r>
    </w:p>
    <w:p w14:paraId="3C361C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 Часовщиков</w:t>
      </w:r>
    </w:p>
    <w:p w14:paraId="02EB1E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 Кокинаки</w:t>
      </w:r>
    </w:p>
    <w:p w14:paraId="10EE06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Календарь прохождения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6"/>
        <w:gridCol w:w="4253"/>
      </w:tblGrid>
      <w:tr w:rsidR="00E3599D" w:rsidRPr="00E14102" w14:paraId="0DB2F9E1" w14:textId="77777777">
        <w:tc>
          <w:tcPr>
            <w:tcW w:w="4786" w:type="dxa"/>
            <w:tcBorders>
              <w:top w:val="single" w:sz="12" w:space="0" w:color="auto"/>
            </w:tcBorders>
          </w:tcPr>
          <w:p w14:paraId="168DE4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получен с завода N 1</w:t>
            </w:r>
          </w:p>
        </w:tc>
        <w:tc>
          <w:tcPr>
            <w:tcW w:w="4253" w:type="dxa"/>
            <w:tcBorders>
              <w:top w:val="single" w:sz="12" w:space="0" w:color="auto"/>
            </w:tcBorders>
          </w:tcPr>
          <w:p w14:paraId="5C824C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r>
      <w:tr w:rsidR="00E3599D" w:rsidRPr="00E14102" w14:paraId="50F5BC4A" w14:textId="77777777">
        <w:tc>
          <w:tcPr>
            <w:tcW w:w="4786" w:type="dxa"/>
          </w:tcPr>
          <w:p w14:paraId="2628F8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километраж по программе</w:t>
            </w:r>
          </w:p>
        </w:tc>
        <w:tc>
          <w:tcPr>
            <w:tcW w:w="4253" w:type="dxa"/>
          </w:tcPr>
          <w:p w14:paraId="0CC086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августа 1935 года</w:t>
            </w:r>
          </w:p>
        </w:tc>
      </w:tr>
      <w:tr w:rsidR="00E3599D" w:rsidRPr="00E14102" w14:paraId="01450840" w14:textId="77777777">
        <w:tc>
          <w:tcPr>
            <w:tcW w:w="4786" w:type="dxa"/>
          </w:tcPr>
          <w:p w14:paraId="7E4535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Скороподъемность и скорости по высотам.</w:t>
            </w:r>
          </w:p>
        </w:tc>
        <w:tc>
          <w:tcPr>
            <w:tcW w:w="4253" w:type="dxa"/>
          </w:tcPr>
          <w:p w14:paraId="401503F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DBEFE64" w14:textId="77777777">
        <w:tc>
          <w:tcPr>
            <w:tcW w:w="4786" w:type="dxa"/>
          </w:tcPr>
          <w:p w14:paraId="505A2E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Винт Н=2,8.</w:t>
            </w:r>
          </w:p>
        </w:tc>
        <w:tc>
          <w:tcPr>
            <w:tcW w:w="4253" w:type="dxa"/>
          </w:tcPr>
          <w:p w14:paraId="2EBAC2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августа 1935 года</w:t>
            </w:r>
          </w:p>
        </w:tc>
      </w:tr>
      <w:tr w:rsidR="00E3599D" w:rsidRPr="00E14102" w14:paraId="1D2D125F" w14:textId="77777777">
        <w:tc>
          <w:tcPr>
            <w:tcW w:w="4786" w:type="dxa"/>
          </w:tcPr>
          <w:p w14:paraId="33321A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Скороподъемность и скорости по высотам.</w:t>
            </w:r>
          </w:p>
        </w:tc>
        <w:tc>
          <w:tcPr>
            <w:tcW w:w="4253" w:type="dxa"/>
          </w:tcPr>
          <w:p w14:paraId="2427928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DAD1428" w14:textId="77777777">
        <w:tc>
          <w:tcPr>
            <w:tcW w:w="4786" w:type="dxa"/>
          </w:tcPr>
          <w:p w14:paraId="65268B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Винт Н=2,77.</w:t>
            </w:r>
          </w:p>
        </w:tc>
        <w:tc>
          <w:tcPr>
            <w:tcW w:w="4253" w:type="dxa"/>
          </w:tcPr>
          <w:p w14:paraId="12BD92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августа 1935 года</w:t>
            </w:r>
          </w:p>
        </w:tc>
      </w:tr>
      <w:tr w:rsidR="00E3599D" w:rsidRPr="00E14102" w14:paraId="07335286" w14:textId="77777777">
        <w:tc>
          <w:tcPr>
            <w:tcW w:w="4786" w:type="dxa"/>
          </w:tcPr>
          <w:p w14:paraId="43EAF4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Второй километраж по программе.</w:t>
            </w:r>
          </w:p>
        </w:tc>
        <w:tc>
          <w:tcPr>
            <w:tcW w:w="4253" w:type="dxa"/>
          </w:tcPr>
          <w:p w14:paraId="27B5DE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августа 1935 года</w:t>
            </w:r>
          </w:p>
        </w:tc>
      </w:tr>
      <w:tr w:rsidR="00E3599D" w:rsidRPr="00E14102" w14:paraId="225035A3" w14:textId="77777777">
        <w:tc>
          <w:tcPr>
            <w:tcW w:w="4786" w:type="dxa"/>
          </w:tcPr>
          <w:p w14:paraId="56F1A5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Километраж без обтекателей на колесах.</w:t>
            </w:r>
          </w:p>
        </w:tc>
        <w:tc>
          <w:tcPr>
            <w:tcW w:w="4253" w:type="dxa"/>
          </w:tcPr>
          <w:p w14:paraId="0F71F8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года</w:t>
            </w:r>
          </w:p>
        </w:tc>
      </w:tr>
      <w:tr w:rsidR="00E3599D" w:rsidRPr="00E14102" w14:paraId="5A2E1D99" w14:textId="77777777">
        <w:tc>
          <w:tcPr>
            <w:tcW w:w="4786" w:type="dxa"/>
          </w:tcPr>
          <w:p w14:paraId="7A266B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учебными бомбами.</w:t>
            </w:r>
          </w:p>
        </w:tc>
        <w:tc>
          <w:tcPr>
            <w:tcW w:w="4253" w:type="dxa"/>
          </w:tcPr>
          <w:p w14:paraId="2EF724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года</w:t>
            </w:r>
          </w:p>
        </w:tc>
      </w:tr>
      <w:tr w:rsidR="00E3599D" w:rsidRPr="00E14102" w14:paraId="0990EED1" w14:textId="77777777">
        <w:tc>
          <w:tcPr>
            <w:tcW w:w="4786" w:type="dxa"/>
            <w:tcBorders>
              <w:bottom w:val="single" w:sz="12" w:space="0" w:color="auto"/>
            </w:tcBorders>
          </w:tcPr>
          <w:p w14:paraId="363256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сдан на завод N 1.</w:t>
            </w:r>
          </w:p>
        </w:tc>
        <w:tc>
          <w:tcPr>
            <w:tcW w:w="4253" w:type="dxa"/>
            <w:tcBorders>
              <w:bottom w:val="single" w:sz="12" w:space="0" w:color="auto"/>
            </w:tcBorders>
          </w:tcPr>
          <w:p w14:paraId="442CE6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августа 1935 года</w:t>
            </w:r>
          </w:p>
        </w:tc>
      </w:tr>
    </w:tbl>
    <w:p w14:paraId="18268E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(3977).</w:t>
      </w:r>
    </w:p>
    <w:p w14:paraId="1A278FC3" w14:textId="77777777" w:rsidR="00D4105E" w:rsidRPr="00E14102" w:rsidRDefault="00D4105E" w:rsidP="00E14102">
      <w:pPr>
        <w:autoSpaceDE w:val="0"/>
        <w:autoSpaceDN w:val="0"/>
        <w:adjustRightInd w:val="0"/>
        <w:jc w:val="both"/>
        <w:rPr>
          <w:color w:val="000000" w:themeColor="text1"/>
          <w:sz w:val="16"/>
          <w:szCs w:val="16"/>
        </w:rPr>
      </w:pPr>
    </w:p>
    <w:p w14:paraId="7AC2E468" w14:textId="77777777" w:rsidR="00D4105E" w:rsidRPr="00E14102" w:rsidRDefault="00D4105E" w:rsidP="00E14102">
      <w:pPr>
        <w:widowControl w:val="0"/>
        <w:tabs>
          <w:tab w:val="left" w:pos="240"/>
        </w:tabs>
        <w:autoSpaceDE w:val="0"/>
        <w:autoSpaceDN w:val="0"/>
        <w:adjustRightInd w:val="0"/>
        <w:jc w:val="both"/>
        <w:rPr>
          <w:color w:val="000000" w:themeColor="text1"/>
          <w:sz w:val="16"/>
          <w:szCs w:val="16"/>
        </w:rPr>
      </w:pPr>
      <w:r w:rsidRPr="00E14102">
        <w:rPr>
          <w:color w:val="000000" w:themeColor="text1"/>
          <w:sz w:val="16"/>
          <w:szCs w:val="16"/>
        </w:rPr>
        <w:t>1 августа 1935 г. государственные испытания М-25, собранного в Перми (шли с 27 июля), детали которого были изготовлены, в отличие от первого, уже не из американских поковок и литья, а из отечественных, подвели черту усилиям тысяч людей. 450 часов работы на различных режимах показали, что и с этой задачей завод справился. В течение года завод освоил производство. Его продукция не только соответствовала эталону, но и имела запас надежности. А достигнуто это было в первую очередь вниманием…к мелочам. Осваивая мотор, завод не мог пренебречь ни одной мелочью - просто потому, что здесь собрались люди понимающие - в авиации мелочей не бывает. "На заводе у нас такая установка, - делился с коллегами начальник эксплуатационного отдела Владимиров М.С., - если ясно, что дефект произошел по нашей вине, мы сразу без отговорок и отказа меняем неудовлетворительные детали и даже целый мотор. Мы предпочитаем лучше потерять деньги, но не терять доброго имени" (11190).</w:t>
      </w:r>
    </w:p>
    <w:p w14:paraId="21C16F4E" w14:textId="77777777" w:rsidR="00D4105E" w:rsidRPr="00E14102" w:rsidRDefault="00D4105E" w:rsidP="00E14102">
      <w:pPr>
        <w:widowControl w:val="0"/>
        <w:tabs>
          <w:tab w:val="left" w:pos="240"/>
        </w:tabs>
        <w:autoSpaceDE w:val="0"/>
        <w:autoSpaceDN w:val="0"/>
        <w:adjustRightInd w:val="0"/>
        <w:jc w:val="both"/>
        <w:rPr>
          <w:color w:val="000000" w:themeColor="text1"/>
          <w:sz w:val="16"/>
          <w:szCs w:val="16"/>
        </w:rPr>
      </w:pPr>
    </w:p>
    <w:p w14:paraId="14D7D13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августа 1935 г. было образовано двигателестроительное ОКБ В.Я.Климова (6395).</w:t>
      </w:r>
    </w:p>
    <w:p w14:paraId="3680EDB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B2C3F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по 17 августа 1935 состоялся большой спортивно-туристический перелет по маршруту Киев - Воронеж - Куйбышев - Актюбинск - Джусалы - Ташкент - Сталинобад - Хорог и обратно на трех Р-5 (9055 за 54 ч 30 м ЛВ) (237,174). Летели л Украинского Динамо Я.В.Письменный, М.Р.Ворончук и К.Я.Семенов с техниками, ставшие л без отрыва от производства (438,691).</w:t>
      </w:r>
    </w:p>
    <w:p w14:paraId="3B949509" w14:textId="77777777" w:rsidR="00D4105E" w:rsidRPr="00E14102" w:rsidRDefault="00D4105E" w:rsidP="00E14102">
      <w:pPr>
        <w:autoSpaceDE w:val="0"/>
        <w:autoSpaceDN w:val="0"/>
        <w:adjustRightInd w:val="0"/>
        <w:jc w:val="both"/>
        <w:rPr>
          <w:color w:val="000000" w:themeColor="text1"/>
          <w:sz w:val="16"/>
          <w:szCs w:val="16"/>
        </w:rPr>
      </w:pPr>
    </w:p>
    <w:p w14:paraId="4E2660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ДВ СССР-Н8 вылетел к месту назначенной дислокации и 2 августа прибыл в бухту Нордвик, расположенную в восточной части моря Лаптевых. В западной части Нор- двика имелось две небольшие бухты - Правда и Пионер. Именно здесь, как и в прошлый год, предстояло базироваться при проведении разведок. Первая стоянка в бухте Правда ознаменовалась налетевшим штормом, который пережидали до 6 августа. Самолет стоял на якорях в наиболее спокойном и глубоком месте, в просторечье именуемом "ямой".</w:t>
      </w:r>
    </w:p>
    <w:p w14:paraId="314CF2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Далее Штепенко записал: "6 августа погода улучшилась, ясное небо, хорошая видимость, остовый ветер 30 км/час, есть барашки. Вывели самолет из ямы, запустили моторы, в зажигании какие-то неисправности, пока возились, погода пошла на ухудшение, с востока надвигается мура, ветер усиливается.</w:t>
      </w:r>
    </w:p>
    <w:p w14:paraId="700518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Запустили моторы, пошли от берега, море 5 баллов, самолет был по ветру и ни на малом, ни на среднем газу разворачиваться не хочет, при полном газе зарывается в воду. Выключили моторы и во время дрейфа развернулись против ветра. Быстро запустили моторы, полный газ и... что было... Самолет сразу зарылся носом в воду, и набежавшим валом захлестнуло вместе с гондолой и до выхода на редан 4 вала обрушивались на самолет, заливало кабины, людей и винты. После выхода на редан волной поддало, и самолет раньше времени оказался в воздухе, не имея нужной скорости, медленно оседал, пока следующая волна не подбила его обратно вверх. Таких ударов было три, - взлетели - крепка лодка у Дорнье-Валя".</w:t>
      </w:r>
    </w:p>
    <w:p w14:paraId="0E9A21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Попытки вылететь на разведку в течение нескольких дней оказались безуспешными по причине отсутствия погоды. Наконец, вылетели 13-го августа, в 20-ти милях юго-восточнее острова Петра обнаружили "Ермак" с караваном судов. Разведали чистую воду и вывели суда. Вторая разведка состоялась на следующий день. В условиях облачности ледокол обнаружили при помощи пеленгаторной рамки. Штепенко отметил, что дальность обнаружения радиостанции мощностью 1 киловатт составляет 200 км.</w:t>
      </w:r>
    </w:p>
    <w:p w14:paraId="4A0036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Означенные два полета в сезоне 1935 г. оказались единственными в интересах каравана, ведомого "Ермаком". Все остальные полеты предпринимались в интересах других экспедиций. 26 августа СССР-Н8 вылетел на остров Котельный. Через 1 час 20 минут полета лопнули 2 болта на мотораме кормового мотора, поэтому, не долетая до Котельного, у мыса Баркин- Стан, в 3-х милях от берега пришлось совершить вынужденную посадку. Место оказалось очень мелким, глубина всего 40 сантиметров, 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05273F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4DBF184F" w14:textId="77777777" w:rsidR="00D4105E" w:rsidRPr="00E14102" w:rsidRDefault="00D4105E" w:rsidP="00E14102">
      <w:pPr>
        <w:autoSpaceDE w:val="0"/>
        <w:autoSpaceDN w:val="0"/>
        <w:adjustRightInd w:val="0"/>
        <w:jc w:val="both"/>
        <w:rPr>
          <w:color w:val="000000" w:themeColor="text1"/>
          <w:sz w:val="16"/>
          <w:szCs w:val="16"/>
        </w:rPr>
      </w:pPr>
    </w:p>
    <w:p w14:paraId="37147F1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августа 1935 началось расформирование ГГАТ. Курсанты были переведены в Саратов, а имущество распределили между Авиаотрядом Спецпри</w:t>
      </w:r>
      <w:r w:rsidRPr="00E14102">
        <w:rPr>
          <w:color w:val="000000" w:themeColor="text1"/>
          <w:sz w:val="16"/>
          <w:szCs w:val="16"/>
        </w:rPr>
        <w:softHyphen/>
        <w:t>менения (был такой в Горьком) и другими авиатехникумами. Документы техникума бы</w:t>
      </w:r>
      <w:r w:rsidRPr="00E14102">
        <w:rPr>
          <w:color w:val="000000" w:themeColor="text1"/>
          <w:sz w:val="16"/>
          <w:szCs w:val="16"/>
        </w:rPr>
        <w:softHyphen/>
        <w:t>ли изъяты уполномоченным НКВД и посту</w:t>
      </w:r>
      <w:r w:rsidRPr="00E14102">
        <w:rPr>
          <w:color w:val="000000" w:themeColor="text1"/>
          <w:sz w:val="16"/>
          <w:szCs w:val="16"/>
        </w:rPr>
        <w:softHyphen/>
        <w:t>пили в Крайархив. Однако постройка самоле</w:t>
      </w:r>
      <w:r w:rsidRPr="00E14102">
        <w:rPr>
          <w:color w:val="000000" w:themeColor="text1"/>
          <w:sz w:val="16"/>
          <w:szCs w:val="16"/>
        </w:rPr>
        <w:softHyphen/>
        <w:t>та КСМ благодаря поддержке ВВС, ОАХ и Комсо</w:t>
      </w:r>
      <w:r w:rsidRPr="00E14102">
        <w:rPr>
          <w:color w:val="000000" w:themeColor="text1"/>
          <w:sz w:val="16"/>
          <w:szCs w:val="16"/>
        </w:rPr>
        <w:softHyphen/>
        <w:t>мола остановлена не была. В соответствии с договором между ГАЗом, в лице замдиректо</w:t>
      </w:r>
      <w:r w:rsidRPr="00E14102">
        <w:rPr>
          <w:color w:val="000000" w:themeColor="text1"/>
          <w:sz w:val="16"/>
          <w:szCs w:val="16"/>
        </w:rPr>
        <w:softHyphen/>
        <w:t>ра А.М.Рубина, и мастерскими техникума, в лице их начальника М.В.Веселовского, под</w:t>
      </w:r>
      <w:r w:rsidRPr="00E14102">
        <w:rPr>
          <w:color w:val="000000" w:themeColor="text1"/>
          <w:sz w:val="16"/>
          <w:szCs w:val="16"/>
        </w:rPr>
        <w:softHyphen/>
        <w:t>писанным 15 июля, проведение испытаний са</w:t>
      </w:r>
      <w:r w:rsidRPr="00E14102">
        <w:rPr>
          <w:color w:val="000000" w:themeColor="text1"/>
          <w:sz w:val="16"/>
          <w:szCs w:val="16"/>
        </w:rPr>
        <w:softHyphen/>
        <w:t>молета надлежало завершить к 15 сентября. Специально для КСМ в районе села Борисов</w:t>
      </w:r>
      <w:r w:rsidRPr="00E14102">
        <w:rPr>
          <w:color w:val="000000" w:themeColor="text1"/>
          <w:sz w:val="16"/>
          <w:szCs w:val="16"/>
        </w:rPr>
        <w:softHyphen/>
        <w:t>ское (дер. Борисово), что недалеко от Горь</w:t>
      </w:r>
      <w:r w:rsidRPr="00E14102">
        <w:rPr>
          <w:color w:val="000000" w:themeColor="text1"/>
          <w:sz w:val="16"/>
          <w:szCs w:val="16"/>
        </w:rPr>
        <w:softHyphen/>
        <w:t>кого, был устроен ангар. Основную програм</w:t>
      </w:r>
      <w:r w:rsidRPr="00E14102">
        <w:rPr>
          <w:color w:val="000000" w:themeColor="text1"/>
          <w:sz w:val="16"/>
          <w:szCs w:val="16"/>
        </w:rPr>
        <w:softHyphen/>
        <w:t>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w:t>
      </w:r>
      <w:r w:rsidRPr="00E14102">
        <w:rPr>
          <w:color w:val="000000" w:themeColor="text1"/>
          <w:sz w:val="16"/>
          <w:szCs w:val="16"/>
        </w:rPr>
        <w:softHyphen/>
        <w:t>фессии, особыми приметами самолетострои</w:t>
      </w:r>
      <w:r w:rsidRPr="00E14102">
        <w:rPr>
          <w:color w:val="000000" w:themeColor="text1"/>
          <w:sz w:val="16"/>
          <w:szCs w:val="16"/>
        </w:rPr>
        <w:softHyphen/>
        <w:t>телям не запомнился... По результатам испытаний самолет до</w:t>
      </w:r>
      <w:r w:rsidRPr="00E14102">
        <w:rPr>
          <w:color w:val="000000" w:themeColor="text1"/>
          <w:sz w:val="16"/>
          <w:szCs w:val="16"/>
        </w:rPr>
        <w:softHyphen/>
        <w:t>работали — появилась закрытая кабина, по</w:t>
      </w:r>
      <w:r w:rsidRPr="00E14102">
        <w:rPr>
          <w:color w:val="000000" w:themeColor="text1"/>
          <w:sz w:val="16"/>
          <w:szCs w:val="16"/>
        </w:rPr>
        <w:softHyphen/>
        <w:t>догнанная по размерам под чекиста-испыта</w:t>
      </w:r>
      <w:r w:rsidRPr="00E14102">
        <w:rPr>
          <w:color w:val="000000" w:themeColor="text1"/>
          <w:sz w:val="16"/>
          <w:szCs w:val="16"/>
        </w:rPr>
        <w:softHyphen/>
        <w:t>теля (10715).</w:t>
      </w:r>
    </w:p>
    <w:p w14:paraId="285C80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FC90450" w14:textId="77777777" w:rsidR="00265F21"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DB76354" w14:textId="77777777" w:rsidR="00265F21" w:rsidRPr="00E14102" w:rsidRDefault="00265F21" w:rsidP="00E14102">
      <w:pPr>
        <w:autoSpaceDE w:val="0"/>
        <w:autoSpaceDN w:val="0"/>
        <w:adjustRightInd w:val="0"/>
        <w:jc w:val="both"/>
        <w:rPr>
          <w:iCs/>
          <w:color w:val="000000" w:themeColor="text1"/>
          <w:sz w:val="16"/>
          <w:szCs w:val="16"/>
        </w:rPr>
      </w:pPr>
    </w:p>
    <w:p w14:paraId="5F6A6781" w14:textId="77777777" w:rsidR="002E074B" w:rsidRPr="00E14102" w:rsidRDefault="002E074B" w:rsidP="00E14102">
      <w:pPr>
        <w:jc w:val="both"/>
        <w:rPr>
          <w:color w:val="000000" w:themeColor="text1"/>
          <w:sz w:val="16"/>
          <w:szCs w:val="16"/>
        </w:rPr>
      </w:pPr>
      <w:r w:rsidRPr="00E14102">
        <w:rPr>
          <w:color w:val="000000" w:themeColor="text1"/>
          <w:sz w:val="16"/>
          <w:szCs w:val="16"/>
        </w:rPr>
        <w:t xml:space="preserve">1 августа 1935 г. Письмо о состоянии закупок оборудования станочного и машиностроительного рынка США для ЗИСа и ГАЗа </w:t>
      </w:r>
    </w:p>
    <w:p w14:paraId="10119F7A" w14:textId="77777777" w:rsidR="002E074B" w:rsidRPr="00E14102" w:rsidRDefault="002E074B" w:rsidP="00E14102">
      <w:pPr>
        <w:jc w:val="both"/>
        <w:rPr>
          <w:color w:val="000000" w:themeColor="text1"/>
          <w:sz w:val="16"/>
          <w:szCs w:val="16"/>
        </w:rPr>
      </w:pPr>
      <w:r w:rsidRPr="00E14102">
        <w:rPr>
          <w:color w:val="000000" w:themeColor="text1"/>
          <w:sz w:val="16"/>
          <w:szCs w:val="16"/>
        </w:rPr>
        <w:t xml:space="preserve">О закупках оборудования для ЗИСа и ГАЗа в США </w:t>
      </w:r>
    </w:p>
    <w:p w14:paraId="0F1FB61C" w14:textId="77777777" w:rsidR="002E074B" w:rsidRPr="00E14102" w:rsidRDefault="002E074B" w:rsidP="00E14102">
      <w:pPr>
        <w:jc w:val="both"/>
        <w:rPr>
          <w:color w:val="000000" w:themeColor="text1"/>
          <w:sz w:val="16"/>
          <w:szCs w:val="16"/>
        </w:rPr>
      </w:pPr>
      <w:r w:rsidRPr="00E14102">
        <w:rPr>
          <w:color w:val="000000" w:themeColor="text1"/>
          <w:sz w:val="16"/>
          <w:szCs w:val="16"/>
        </w:rPr>
        <w:t xml:space="preserve">Дорогой Аркадий Павлович! </w:t>
      </w:r>
    </w:p>
    <w:p w14:paraId="4E99F8C8" w14:textId="77777777" w:rsidR="002E074B" w:rsidRPr="00E14102" w:rsidRDefault="002E074B" w:rsidP="00E14102">
      <w:pPr>
        <w:jc w:val="both"/>
        <w:rPr>
          <w:color w:val="000000" w:themeColor="text1"/>
          <w:sz w:val="16"/>
          <w:szCs w:val="16"/>
        </w:rPr>
      </w:pPr>
      <w:r w:rsidRPr="00E14102">
        <w:rPr>
          <w:color w:val="000000" w:themeColor="text1"/>
          <w:sz w:val="16"/>
          <w:szCs w:val="16"/>
        </w:rPr>
        <w:t xml:space="preserve">Работа по техническому уточнению спецификаций в комиссиях ЗИС и ГАЗ подходит к концу: у ЗИС практически закончилась, у ГАЗ из 7 млн долл. остается еще не уточненных 1,8 млн [долл.], которые будут уточнены в ближайшие дни. </w:t>
      </w:r>
    </w:p>
    <w:p w14:paraId="03E9FBBC" w14:textId="77777777" w:rsidR="002E074B" w:rsidRPr="00E14102" w:rsidRDefault="002E074B" w:rsidP="00E14102">
      <w:pPr>
        <w:jc w:val="both"/>
        <w:rPr>
          <w:color w:val="000000" w:themeColor="text1"/>
          <w:sz w:val="16"/>
          <w:szCs w:val="16"/>
        </w:rPr>
      </w:pPr>
      <w:r w:rsidRPr="00E14102">
        <w:rPr>
          <w:color w:val="000000" w:themeColor="text1"/>
          <w:sz w:val="16"/>
          <w:szCs w:val="16"/>
        </w:rPr>
        <w:t xml:space="preserve">С основными фирмами мы договорились, за исключением "Бул- ларда". По примерным подсчетам, весьма грубым и осторожным, можно считать, что уторгования обеспечивают нам 4—5% удешевления с прошлых цен. Это значит - заработанная экономия 500-600 тыс. долл. При отъезде я называл тебе эту цифру. Она могла бы быть больше, если бы не крайне сжатые сроки размещения заказов и совершенно неудачное время с точки зрения конъюнктуры. </w:t>
      </w:r>
    </w:p>
    <w:p w14:paraId="426AFE10" w14:textId="77777777" w:rsidR="002E074B" w:rsidRPr="00E14102" w:rsidRDefault="002E074B" w:rsidP="00E14102">
      <w:pPr>
        <w:jc w:val="both"/>
        <w:rPr>
          <w:color w:val="000000" w:themeColor="text1"/>
          <w:sz w:val="16"/>
          <w:szCs w:val="16"/>
        </w:rPr>
      </w:pPr>
      <w:r w:rsidRPr="00E14102">
        <w:rPr>
          <w:color w:val="000000" w:themeColor="text1"/>
          <w:sz w:val="16"/>
          <w:szCs w:val="16"/>
        </w:rPr>
        <w:t xml:space="preserve">Остается неуторгованной фирма "Буллард" (1 млн долл.), которая требует повышение на 20% и ни на какие уступки до сего времени не пошла. Думаем сейчас сломить ее упорство покупкой нескольких подержанных станков. </w:t>
      </w:r>
    </w:p>
    <w:p w14:paraId="1DA19072" w14:textId="77777777" w:rsidR="002E074B" w:rsidRPr="00E14102" w:rsidRDefault="002E074B" w:rsidP="00E14102">
      <w:pPr>
        <w:jc w:val="both"/>
        <w:rPr>
          <w:color w:val="000000" w:themeColor="text1"/>
          <w:sz w:val="16"/>
          <w:szCs w:val="16"/>
        </w:rPr>
      </w:pPr>
      <w:r w:rsidRPr="00E14102">
        <w:rPr>
          <w:color w:val="000000" w:themeColor="text1"/>
          <w:sz w:val="16"/>
          <w:szCs w:val="16"/>
        </w:rPr>
        <w:t xml:space="preserve">На 1 августа Амторг разместил заказов примерно на 6 млн долл., т.е. 50%. Остальные должны быть размещены до 20 августа - 1 сентября. Люди работают очень много. Жара стоит несносная, но и т. Боев и общественность и все мы бьем в одну точку, уверен, что разместим все основное до 1 сентября, самое позднее. </w:t>
      </w:r>
    </w:p>
    <w:p w14:paraId="5A2F16B7" w14:textId="77777777" w:rsidR="002E074B" w:rsidRPr="00E14102" w:rsidRDefault="002E074B" w:rsidP="00E14102">
      <w:pPr>
        <w:jc w:val="both"/>
        <w:rPr>
          <w:color w:val="000000" w:themeColor="text1"/>
          <w:sz w:val="16"/>
          <w:szCs w:val="16"/>
        </w:rPr>
      </w:pPr>
      <w:r w:rsidRPr="00E14102">
        <w:rPr>
          <w:color w:val="000000" w:themeColor="text1"/>
          <w:sz w:val="16"/>
          <w:szCs w:val="16"/>
        </w:rPr>
        <w:t xml:space="preserve">Необходимо срочно прислать подкрепление, ЗИСу - 10 человек, ГАЗу - 15 человек для приемки оборудования. С наличным составом комиссии с приемкой оборудования ни в каком случае не справиться. Учти, надо принять свыше 1,5 тыс. станков, кроме того, прессы, молоты, литейное оборудование и т.п.; и подавляющую часть оборудования, помимо всего, надо принять на ходу при выполнении определенных технологических операций. Работа по приемке колоссальная, а людей с гулькин нос. Пожалуйста, помоги решить вопрос о присылке дополнительного количества людей по ЗИСу и ГАЗу для приемки. </w:t>
      </w:r>
    </w:p>
    <w:p w14:paraId="5B875840" w14:textId="77777777" w:rsidR="002E074B" w:rsidRPr="00E14102" w:rsidRDefault="002E074B" w:rsidP="00E14102">
      <w:pPr>
        <w:jc w:val="both"/>
        <w:rPr>
          <w:color w:val="000000" w:themeColor="text1"/>
          <w:sz w:val="16"/>
          <w:szCs w:val="16"/>
        </w:rPr>
      </w:pPr>
      <w:r w:rsidRPr="00E14102">
        <w:rPr>
          <w:color w:val="000000" w:themeColor="text1"/>
          <w:sz w:val="16"/>
          <w:szCs w:val="16"/>
        </w:rPr>
        <w:t xml:space="preserve">Свою работу по ЗИСу и ГАЗу я заканчиваю здесь примерно недели через две. Хочу посетить ряд заводов, а затем в 20-х числах августа намерен отправиться обратно. Привезу материалы по нефтекрегин- гам, которые здесь подрабатываются. Тов. Орджоникидзе о ходе дел мною информируется. </w:t>
      </w:r>
    </w:p>
    <w:p w14:paraId="72516D0F" w14:textId="77777777" w:rsidR="002E074B" w:rsidRPr="00E14102" w:rsidRDefault="002E074B" w:rsidP="00E14102">
      <w:pPr>
        <w:jc w:val="both"/>
        <w:rPr>
          <w:color w:val="000000" w:themeColor="text1"/>
          <w:sz w:val="16"/>
          <w:szCs w:val="16"/>
        </w:rPr>
      </w:pPr>
      <w:r w:rsidRPr="00E14102">
        <w:rPr>
          <w:color w:val="000000" w:themeColor="text1"/>
          <w:sz w:val="16"/>
          <w:szCs w:val="16"/>
        </w:rPr>
        <w:lastRenderedPageBreak/>
        <w:t xml:space="preserve">С товарищеским приветом Сорокин </w:t>
      </w:r>
    </w:p>
    <w:p w14:paraId="38D1C22C" w14:textId="77777777" w:rsidR="002E074B" w:rsidRPr="00E14102" w:rsidRDefault="002E074B" w:rsidP="00E14102">
      <w:pPr>
        <w:jc w:val="both"/>
        <w:rPr>
          <w:color w:val="000000" w:themeColor="text1"/>
          <w:sz w:val="16"/>
          <w:szCs w:val="16"/>
        </w:rPr>
      </w:pPr>
      <w:r w:rsidRPr="00E14102">
        <w:rPr>
          <w:color w:val="000000" w:themeColor="text1"/>
          <w:sz w:val="16"/>
          <w:szCs w:val="16"/>
        </w:rPr>
        <w:t xml:space="preserve">P.S. Получил твою записку. Спасибо за привет. </w:t>
      </w:r>
    </w:p>
    <w:p w14:paraId="6212F736" w14:textId="77777777" w:rsidR="002E074B" w:rsidRPr="00E14102" w:rsidRDefault="002E074B" w:rsidP="00E14102">
      <w:pPr>
        <w:jc w:val="both"/>
        <w:rPr>
          <w:color w:val="000000" w:themeColor="text1"/>
          <w:sz w:val="16"/>
          <w:szCs w:val="16"/>
        </w:rPr>
      </w:pPr>
      <w:r w:rsidRPr="00E14102">
        <w:rPr>
          <w:color w:val="000000" w:themeColor="text1"/>
          <w:sz w:val="16"/>
          <w:szCs w:val="16"/>
        </w:rPr>
        <w:t xml:space="preserve">РГАЭ. Ф. 413. On. 13. Д. 1046. Л. 12-13. Подлинник (12152). </w:t>
      </w:r>
    </w:p>
    <w:p w14:paraId="0CA2BBAC" w14:textId="77777777" w:rsidR="002E074B" w:rsidRPr="00E14102" w:rsidRDefault="002E074B" w:rsidP="00E14102">
      <w:pPr>
        <w:jc w:val="both"/>
        <w:rPr>
          <w:color w:val="000000" w:themeColor="text1"/>
          <w:sz w:val="16"/>
          <w:szCs w:val="16"/>
        </w:rPr>
      </w:pPr>
    </w:p>
    <w:p w14:paraId="5A065BEC" w14:textId="77777777" w:rsidR="00265F21" w:rsidRPr="00E14102" w:rsidRDefault="00265F21" w:rsidP="00E14102">
      <w:pPr>
        <w:jc w:val="both"/>
        <w:rPr>
          <w:color w:val="000000" w:themeColor="text1"/>
          <w:sz w:val="16"/>
          <w:szCs w:val="16"/>
        </w:rPr>
      </w:pPr>
      <w:r w:rsidRPr="00E14102">
        <w:rPr>
          <w:color w:val="000000" w:themeColor="text1"/>
          <w:sz w:val="16"/>
          <w:szCs w:val="16"/>
        </w:rPr>
        <w:t>Не ранее 1 августа 1935 г. — Сведения о директорах заводов Главного управления металлургической промышленности НКТП СССР</w:t>
      </w:r>
    </w:p>
    <w:p w14:paraId="41014D8B" w14:textId="77777777" w:rsidR="00265F21" w:rsidRPr="00E14102" w:rsidRDefault="00265F21" w:rsidP="00E14102">
      <w:pPr>
        <w:jc w:val="both"/>
        <w:rPr>
          <w:color w:val="000000" w:themeColor="text1"/>
          <w:sz w:val="16"/>
          <w:szCs w:val="16"/>
        </w:rPr>
      </w:pPr>
      <w:r w:rsidRPr="00E14102">
        <w:rPr>
          <w:color w:val="000000" w:themeColor="text1"/>
          <w:sz w:val="16"/>
          <w:szCs w:val="16"/>
        </w:rPr>
        <w:t>Сведения о директорах заводов Главного управления металлургической промышленности НКТП СССР</w:t>
      </w:r>
    </w:p>
    <w:p w14:paraId="6A089B0B" w14:textId="77777777" w:rsidR="00265F21" w:rsidRPr="00E14102" w:rsidRDefault="00265F21" w:rsidP="00E14102">
      <w:pPr>
        <w:jc w:val="both"/>
        <w:rPr>
          <w:color w:val="000000" w:themeColor="text1"/>
          <w:sz w:val="16"/>
          <w:szCs w:val="16"/>
        </w:rPr>
      </w:pPr>
      <w:r w:rsidRPr="00E14102">
        <w:rPr>
          <w:color w:val="000000" w:themeColor="text1"/>
          <w:sz w:val="16"/>
          <w:szCs w:val="16"/>
        </w:rPr>
        <w:t>Не ранее 1 августа 1935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04"/>
        <w:gridCol w:w="714"/>
        <w:gridCol w:w="751"/>
        <w:gridCol w:w="1541"/>
        <w:gridCol w:w="2180"/>
        <w:gridCol w:w="601"/>
        <w:gridCol w:w="300"/>
        <w:gridCol w:w="1466"/>
      </w:tblGrid>
      <w:tr w:rsidR="00E3599D" w:rsidRPr="00E14102" w14:paraId="6A9A49F3" w14:textId="77777777" w:rsidTr="00A45C9C">
        <w:tc>
          <w:tcPr>
            <w:tcW w:w="1804" w:type="dxa"/>
          </w:tcPr>
          <w:p w14:paraId="6730F51F" w14:textId="77777777" w:rsidR="00265F21" w:rsidRPr="00E14102" w:rsidRDefault="00265F21" w:rsidP="00E14102">
            <w:pPr>
              <w:jc w:val="both"/>
              <w:rPr>
                <w:color w:val="000000" w:themeColor="text1"/>
                <w:sz w:val="16"/>
                <w:szCs w:val="16"/>
              </w:rPr>
            </w:pPr>
            <w:r w:rsidRPr="00E14102">
              <w:rPr>
                <w:color w:val="000000" w:themeColor="text1"/>
                <w:sz w:val="16"/>
                <w:szCs w:val="16"/>
              </w:rPr>
              <w:t>Наименование предприятия</w:t>
            </w:r>
          </w:p>
        </w:tc>
        <w:tc>
          <w:tcPr>
            <w:tcW w:w="714" w:type="dxa"/>
          </w:tcPr>
          <w:p w14:paraId="5C389754" w14:textId="77777777" w:rsidR="00265F21" w:rsidRPr="00E14102" w:rsidRDefault="00265F21" w:rsidP="00E14102">
            <w:pPr>
              <w:jc w:val="both"/>
              <w:rPr>
                <w:color w:val="000000" w:themeColor="text1"/>
                <w:sz w:val="16"/>
                <w:szCs w:val="16"/>
              </w:rPr>
            </w:pPr>
            <w:r w:rsidRPr="00E14102">
              <w:rPr>
                <w:color w:val="000000" w:themeColor="text1"/>
                <w:sz w:val="16"/>
                <w:szCs w:val="16"/>
              </w:rPr>
              <w:t>Место нахождения</w:t>
            </w:r>
          </w:p>
        </w:tc>
        <w:tc>
          <w:tcPr>
            <w:tcW w:w="751" w:type="dxa"/>
          </w:tcPr>
          <w:p w14:paraId="02124F08" w14:textId="77777777" w:rsidR="00265F21" w:rsidRPr="00E14102" w:rsidRDefault="00265F21" w:rsidP="00E14102">
            <w:pPr>
              <w:jc w:val="both"/>
              <w:rPr>
                <w:color w:val="000000" w:themeColor="text1"/>
                <w:sz w:val="16"/>
                <w:szCs w:val="16"/>
              </w:rPr>
            </w:pPr>
            <w:r w:rsidRPr="00E14102">
              <w:rPr>
                <w:color w:val="000000" w:themeColor="text1"/>
                <w:sz w:val="16"/>
                <w:szCs w:val="16"/>
              </w:rPr>
              <w:t>Фамилия директора</w:t>
            </w:r>
          </w:p>
        </w:tc>
        <w:tc>
          <w:tcPr>
            <w:tcW w:w="1541" w:type="dxa"/>
          </w:tcPr>
          <w:p w14:paraId="136E8D66" w14:textId="77777777" w:rsidR="00265F21" w:rsidRPr="00E14102" w:rsidRDefault="00265F21" w:rsidP="00E14102">
            <w:pPr>
              <w:jc w:val="both"/>
              <w:rPr>
                <w:color w:val="000000" w:themeColor="text1"/>
                <w:sz w:val="16"/>
                <w:szCs w:val="16"/>
              </w:rPr>
            </w:pPr>
            <w:r w:rsidRPr="00E14102">
              <w:rPr>
                <w:color w:val="000000" w:themeColor="text1"/>
                <w:sz w:val="16"/>
                <w:szCs w:val="16"/>
              </w:rPr>
              <w:t>Образование</w:t>
            </w:r>
          </w:p>
        </w:tc>
        <w:tc>
          <w:tcPr>
            <w:tcW w:w="2180" w:type="dxa"/>
          </w:tcPr>
          <w:p w14:paraId="13332AF9" w14:textId="77777777" w:rsidR="00265F21" w:rsidRPr="00E14102" w:rsidRDefault="00265F21" w:rsidP="00E14102">
            <w:pPr>
              <w:jc w:val="both"/>
              <w:rPr>
                <w:color w:val="000000" w:themeColor="text1"/>
                <w:sz w:val="16"/>
                <w:szCs w:val="16"/>
              </w:rPr>
            </w:pPr>
            <w:r w:rsidRPr="00E14102">
              <w:rPr>
                <w:color w:val="000000" w:themeColor="text1"/>
                <w:sz w:val="16"/>
                <w:szCs w:val="16"/>
              </w:rPr>
              <w:t xml:space="preserve">Валовая продукция или сметная стоимость строитель­ства </w:t>
            </w:r>
          </w:p>
        </w:tc>
        <w:tc>
          <w:tcPr>
            <w:tcW w:w="601" w:type="dxa"/>
          </w:tcPr>
          <w:p w14:paraId="2D043D51" w14:textId="77777777" w:rsidR="00265F21" w:rsidRPr="00E14102" w:rsidRDefault="00265F21" w:rsidP="00E14102">
            <w:pPr>
              <w:jc w:val="both"/>
              <w:rPr>
                <w:color w:val="000000" w:themeColor="text1"/>
                <w:sz w:val="16"/>
                <w:szCs w:val="16"/>
              </w:rPr>
            </w:pPr>
            <w:r w:rsidRPr="00E14102">
              <w:rPr>
                <w:color w:val="000000" w:themeColor="text1"/>
                <w:sz w:val="16"/>
                <w:szCs w:val="16"/>
              </w:rPr>
              <w:t>Число рабочих</w:t>
            </w:r>
          </w:p>
        </w:tc>
        <w:tc>
          <w:tcPr>
            <w:tcW w:w="300" w:type="dxa"/>
          </w:tcPr>
          <w:p w14:paraId="16B1225F" w14:textId="77777777" w:rsidR="00265F21" w:rsidRPr="00E14102" w:rsidRDefault="00265F21" w:rsidP="00E14102">
            <w:pPr>
              <w:jc w:val="both"/>
              <w:rPr>
                <w:color w:val="000000" w:themeColor="text1"/>
                <w:sz w:val="16"/>
                <w:szCs w:val="16"/>
              </w:rPr>
            </w:pPr>
            <w:r w:rsidRPr="00E14102">
              <w:rPr>
                <w:color w:val="000000" w:themeColor="text1"/>
                <w:sz w:val="16"/>
                <w:szCs w:val="16"/>
              </w:rPr>
              <w:t>Оклад</w:t>
            </w:r>
          </w:p>
        </w:tc>
        <w:tc>
          <w:tcPr>
            <w:tcW w:w="1466" w:type="dxa"/>
          </w:tcPr>
          <w:p w14:paraId="2480571A" w14:textId="77777777" w:rsidR="00265F21" w:rsidRPr="00E14102" w:rsidRDefault="00265F21" w:rsidP="00E14102">
            <w:pPr>
              <w:jc w:val="both"/>
              <w:rPr>
                <w:color w:val="000000" w:themeColor="text1"/>
                <w:sz w:val="16"/>
                <w:szCs w:val="16"/>
              </w:rPr>
            </w:pPr>
            <w:r w:rsidRPr="00E14102">
              <w:rPr>
                <w:color w:val="000000" w:themeColor="text1"/>
                <w:sz w:val="16"/>
                <w:szCs w:val="16"/>
              </w:rPr>
              <w:t>Примечание</w:t>
            </w:r>
          </w:p>
        </w:tc>
      </w:tr>
      <w:tr w:rsidR="00E3599D" w:rsidRPr="00E14102" w14:paraId="30CEA2AF" w14:textId="77777777" w:rsidTr="00A45C9C">
        <w:tc>
          <w:tcPr>
            <w:tcW w:w="1804" w:type="dxa"/>
          </w:tcPr>
          <w:p w14:paraId="3C13D063" w14:textId="77777777" w:rsidR="00265F21" w:rsidRPr="00E14102" w:rsidRDefault="00265F21" w:rsidP="00E14102">
            <w:pPr>
              <w:jc w:val="both"/>
              <w:rPr>
                <w:color w:val="000000" w:themeColor="text1"/>
                <w:sz w:val="16"/>
                <w:szCs w:val="16"/>
              </w:rPr>
            </w:pPr>
            <w:r w:rsidRPr="00E14102">
              <w:rPr>
                <w:color w:val="000000" w:themeColor="text1"/>
                <w:sz w:val="16"/>
                <w:szCs w:val="16"/>
              </w:rPr>
              <w:t>1</w:t>
            </w:r>
          </w:p>
        </w:tc>
        <w:tc>
          <w:tcPr>
            <w:tcW w:w="714" w:type="dxa"/>
          </w:tcPr>
          <w:p w14:paraId="5F2E2906" w14:textId="77777777" w:rsidR="00265F21" w:rsidRPr="00E14102" w:rsidRDefault="00265F21" w:rsidP="00E14102">
            <w:pPr>
              <w:jc w:val="both"/>
              <w:rPr>
                <w:color w:val="000000" w:themeColor="text1"/>
                <w:sz w:val="16"/>
                <w:szCs w:val="16"/>
              </w:rPr>
            </w:pPr>
            <w:r w:rsidRPr="00E14102">
              <w:rPr>
                <w:color w:val="000000" w:themeColor="text1"/>
                <w:sz w:val="16"/>
                <w:szCs w:val="16"/>
              </w:rPr>
              <w:t>2</w:t>
            </w:r>
          </w:p>
        </w:tc>
        <w:tc>
          <w:tcPr>
            <w:tcW w:w="751" w:type="dxa"/>
          </w:tcPr>
          <w:p w14:paraId="08E8BAD4" w14:textId="77777777" w:rsidR="00265F21" w:rsidRPr="00E14102" w:rsidRDefault="00265F21" w:rsidP="00E14102">
            <w:pPr>
              <w:jc w:val="both"/>
              <w:rPr>
                <w:color w:val="000000" w:themeColor="text1"/>
                <w:sz w:val="16"/>
                <w:szCs w:val="16"/>
              </w:rPr>
            </w:pPr>
            <w:r w:rsidRPr="00E14102">
              <w:rPr>
                <w:color w:val="000000" w:themeColor="text1"/>
                <w:sz w:val="16"/>
                <w:szCs w:val="16"/>
              </w:rPr>
              <w:t>3</w:t>
            </w:r>
          </w:p>
        </w:tc>
        <w:tc>
          <w:tcPr>
            <w:tcW w:w="1541" w:type="dxa"/>
          </w:tcPr>
          <w:p w14:paraId="6353FCDA" w14:textId="77777777" w:rsidR="00265F21" w:rsidRPr="00E14102" w:rsidRDefault="00265F21" w:rsidP="00E14102">
            <w:pPr>
              <w:jc w:val="both"/>
              <w:rPr>
                <w:color w:val="000000" w:themeColor="text1"/>
                <w:sz w:val="16"/>
                <w:szCs w:val="16"/>
              </w:rPr>
            </w:pPr>
            <w:r w:rsidRPr="00E14102">
              <w:rPr>
                <w:color w:val="000000" w:themeColor="text1"/>
                <w:sz w:val="16"/>
                <w:szCs w:val="16"/>
              </w:rPr>
              <w:t>4</w:t>
            </w:r>
          </w:p>
        </w:tc>
        <w:tc>
          <w:tcPr>
            <w:tcW w:w="2180" w:type="dxa"/>
          </w:tcPr>
          <w:p w14:paraId="28182CFC" w14:textId="77777777" w:rsidR="00265F21" w:rsidRPr="00E14102" w:rsidRDefault="00265F21" w:rsidP="00E14102">
            <w:pPr>
              <w:jc w:val="both"/>
              <w:rPr>
                <w:color w:val="000000" w:themeColor="text1"/>
                <w:sz w:val="16"/>
                <w:szCs w:val="16"/>
              </w:rPr>
            </w:pPr>
            <w:r w:rsidRPr="00E14102">
              <w:rPr>
                <w:color w:val="000000" w:themeColor="text1"/>
                <w:sz w:val="16"/>
                <w:szCs w:val="16"/>
              </w:rPr>
              <w:t>5</w:t>
            </w:r>
          </w:p>
        </w:tc>
        <w:tc>
          <w:tcPr>
            <w:tcW w:w="601" w:type="dxa"/>
          </w:tcPr>
          <w:p w14:paraId="428287B4" w14:textId="77777777" w:rsidR="00265F21" w:rsidRPr="00E14102" w:rsidRDefault="00265F21" w:rsidP="00E14102">
            <w:pPr>
              <w:jc w:val="both"/>
              <w:rPr>
                <w:color w:val="000000" w:themeColor="text1"/>
                <w:sz w:val="16"/>
                <w:szCs w:val="16"/>
              </w:rPr>
            </w:pPr>
            <w:r w:rsidRPr="00E14102">
              <w:rPr>
                <w:color w:val="000000" w:themeColor="text1"/>
                <w:sz w:val="16"/>
                <w:szCs w:val="16"/>
              </w:rPr>
              <w:t>6</w:t>
            </w:r>
          </w:p>
        </w:tc>
        <w:tc>
          <w:tcPr>
            <w:tcW w:w="300" w:type="dxa"/>
          </w:tcPr>
          <w:p w14:paraId="249CDB29" w14:textId="77777777" w:rsidR="00265F21" w:rsidRPr="00E14102" w:rsidRDefault="00265F21" w:rsidP="00E14102">
            <w:pPr>
              <w:jc w:val="both"/>
              <w:rPr>
                <w:color w:val="000000" w:themeColor="text1"/>
                <w:sz w:val="16"/>
                <w:szCs w:val="16"/>
              </w:rPr>
            </w:pPr>
            <w:r w:rsidRPr="00E14102">
              <w:rPr>
                <w:color w:val="000000" w:themeColor="text1"/>
                <w:sz w:val="16"/>
                <w:szCs w:val="16"/>
              </w:rPr>
              <w:t>7</w:t>
            </w:r>
          </w:p>
        </w:tc>
        <w:tc>
          <w:tcPr>
            <w:tcW w:w="1466" w:type="dxa"/>
          </w:tcPr>
          <w:p w14:paraId="30907469" w14:textId="77777777" w:rsidR="00265F21" w:rsidRPr="00E14102" w:rsidRDefault="00265F21" w:rsidP="00E14102">
            <w:pPr>
              <w:jc w:val="both"/>
              <w:rPr>
                <w:color w:val="000000" w:themeColor="text1"/>
                <w:sz w:val="16"/>
                <w:szCs w:val="16"/>
              </w:rPr>
            </w:pPr>
            <w:r w:rsidRPr="00E14102">
              <w:rPr>
                <w:color w:val="000000" w:themeColor="text1"/>
                <w:sz w:val="16"/>
                <w:szCs w:val="16"/>
              </w:rPr>
              <w:t>8</w:t>
            </w:r>
          </w:p>
        </w:tc>
      </w:tr>
      <w:tr w:rsidR="00E3599D" w:rsidRPr="00E14102" w14:paraId="2186398E" w14:textId="77777777" w:rsidTr="00A45C9C">
        <w:tc>
          <w:tcPr>
            <w:tcW w:w="1804" w:type="dxa"/>
          </w:tcPr>
          <w:p w14:paraId="0243D271" w14:textId="77777777" w:rsidR="00265F21" w:rsidRPr="00E14102" w:rsidRDefault="00265F21" w:rsidP="00E14102">
            <w:pPr>
              <w:jc w:val="both"/>
              <w:rPr>
                <w:color w:val="000000" w:themeColor="text1"/>
                <w:sz w:val="16"/>
                <w:szCs w:val="16"/>
              </w:rPr>
            </w:pPr>
            <w:r w:rsidRPr="00E14102">
              <w:rPr>
                <w:color w:val="000000" w:themeColor="text1"/>
                <w:sz w:val="16"/>
                <w:szCs w:val="16"/>
              </w:rPr>
              <w:t>1. Магнитогорский</w:t>
            </w:r>
          </w:p>
        </w:tc>
        <w:tc>
          <w:tcPr>
            <w:tcW w:w="714" w:type="dxa"/>
          </w:tcPr>
          <w:p w14:paraId="7EECFBBC" w14:textId="77777777" w:rsidR="00265F21" w:rsidRPr="00E14102" w:rsidRDefault="00265F21" w:rsidP="00E14102">
            <w:pPr>
              <w:jc w:val="both"/>
              <w:rPr>
                <w:color w:val="000000" w:themeColor="text1"/>
                <w:sz w:val="16"/>
                <w:szCs w:val="16"/>
              </w:rPr>
            </w:pPr>
            <w:r w:rsidRPr="00E14102">
              <w:rPr>
                <w:color w:val="000000" w:themeColor="text1"/>
                <w:sz w:val="16"/>
                <w:szCs w:val="16"/>
              </w:rPr>
              <w:t>Магнитогорск</w:t>
            </w:r>
          </w:p>
        </w:tc>
        <w:tc>
          <w:tcPr>
            <w:tcW w:w="751" w:type="dxa"/>
          </w:tcPr>
          <w:p w14:paraId="64824E76" w14:textId="77777777" w:rsidR="00265F21" w:rsidRPr="00E14102" w:rsidRDefault="00265F21" w:rsidP="00E14102">
            <w:pPr>
              <w:jc w:val="both"/>
              <w:rPr>
                <w:color w:val="000000" w:themeColor="text1"/>
                <w:sz w:val="16"/>
                <w:szCs w:val="16"/>
              </w:rPr>
            </w:pPr>
            <w:r w:rsidRPr="00E14102">
              <w:rPr>
                <w:color w:val="000000" w:themeColor="text1"/>
                <w:sz w:val="16"/>
                <w:szCs w:val="16"/>
              </w:rPr>
              <w:t>Завенягин</w:t>
            </w:r>
          </w:p>
        </w:tc>
        <w:tc>
          <w:tcPr>
            <w:tcW w:w="1541" w:type="dxa"/>
          </w:tcPr>
          <w:p w14:paraId="7608FCAD" w14:textId="77777777" w:rsidR="00265F21" w:rsidRPr="00E14102" w:rsidRDefault="00265F21" w:rsidP="00E14102">
            <w:pPr>
              <w:jc w:val="both"/>
              <w:rPr>
                <w:color w:val="000000" w:themeColor="text1"/>
                <w:sz w:val="16"/>
                <w:szCs w:val="16"/>
              </w:rPr>
            </w:pPr>
            <w:r w:rsidRPr="00E14102">
              <w:rPr>
                <w:color w:val="000000" w:themeColor="text1"/>
                <w:sz w:val="16"/>
                <w:szCs w:val="16"/>
              </w:rPr>
              <w:t>Инженер</w:t>
            </w:r>
          </w:p>
        </w:tc>
        <w:tc>
          <w:tcPr>
            <w:tcW w:w="2180" w:type="dxa"/>
          </w:tcPr>
          <w:p w14:paraId="51D263B2" w14:textId="77777777" w:rsidR="00265F21" w:rsidRPr="00E14102" w:rsidRDefault="00265F21" w:rsidP="00E14102">
            <w:pPr>
              <w:jc w:val="both"/>
              <w:rPr>
                <w:color w:val="000000" w:themeColor="text1"/>
                <w:sz w:val="16"/>
                <w:szCs w:val="16"/>
              </w:rPr>
            </w:pPr>
            <w:r w:rsidRPr="00E14102">
              <w:rPr>
                <w:color w:val="000000" w:themeColor="text1"/>
                <w:sz w:val="16"/>
                <w:szCs w:val="16"/>
              </w:rPr>
              <w:t>10208?*</w:t>
            </w:r>
          </w:p>
        </w:tc>
        <w:tc>
          <w:tcPr>
            <w:tcW w:w="601" w:type="dxa"/>
          </w:tcPr>
          <w:p w14:paraId="0F477E68" w14:textId="77777777" w:rsidR="00265F21" w:rsidRPr="00E14102" w:rsidRDefault="00265F21" w:rsidP="00E14102">
            <w:pPr>
              <w:jc w:val="both"/>
              <w:rPr>
                <w:color w:val="000000" w:themeColor="text1"/>
                <w:sz w:val="16"/>
                <w:szCs w:val="16"/>
              </w:rPr>
            </w:pPr>
            <w:r w:rsidRPr="00E14102">
              <w:rPr>
                <w:color w:val="000000" w:themeColor="text1"/>
                <w:sz w:val="16"/>
                <w:szCs w:val="16"/>
              </w:rPr>
              <w:t>9418</w:t>
            </w:r>
          </w:p>
        </w:tc>
        <w:tc>
          <w:tcPr>
            <w:tcW w:w="300" w:type="dxa"/>
          </w:tcPr>
          <w:p w14:paraId="44C90DFC" w14:textId="77777777" w:rsidR="00265F21" w:rsidRPr="00E14102" w:rsidRDefault="00265F21" w:rsidP="00E14102">
            <w:pPr>
              <w:jc w:val="both"/>
              <w:rPr>
                <w:color w:val="000000" w:themeColor="text1"/>
                <w:sz w:val="16"/>
                <w:szCs w:val="16"/>
              </w:rPr>
            </w:pPr>
            <w:r w:rsidRPr="00E14102">
              <w:rPr>
                <w:color w:val="000000" w:themeColor="text1"/>
                <w:sz w:val="16"/>
                <w:szCs w:val="16"/>
              </w:rPr>
              <w:t>900</w:t>
            </w:r>
          </w:p>
        </w:tc>
        <w:tc>
          <w:tcPr>
            <w:tcW w:w="1466" w:type="dxa"/>
          </w:tcPr>
          <w:p w14:paraId="702A4AD8" w14:textId="77777777" w:rsidR="00265F21" w:rsidRPr="00E14102" w:rsidRDefault="00265F21" w:rsidP="00E14102">
            <w:pPr>
              <w:jc w:val="both"/>
              <w:rPr>
                <w:color w:val="000000" w:themeColor="text1"/>
                <w:sz w:val="16"/>
                <w:szCs w:val="16"/>
              </w:rPr>
            </w:pPr>
            <w:r w:rsidRPr="00E14102">
              <w:rPr>
                <w:color w:val="000000" w:themeColor="text1"/>
                <w:sz w:val="16"/>
                <w:szCs w:val="16"/>
              </w:rPr>
              <w:t>Объем строительства в 35 г. 209 млн.</w:t>
            </w:r>
          </w:p>
        </w:tc>
      </w:tr>
      <w:tr w:rsidR="00E3599D" w:rsidRPr="00E14102" w14:paraId="51512A25" w14:textId="77777777" w:rsidTr="00A45C9C">
        <w:tc>
          <w:tcPr>
            <w:tcW w:w="1804" w:type="dxa"/>
          </w:tcPr>
          <w:p w14:paraId="355AC471" w14:textId="77777777" w:rsidR="00265F21" w:rsidRPr="00E14102" w:rsidRDefault="00265F21" w:rsidP="00E14102">
            <w:pPr>
              <w:jc w:val="both"/>
              <w:rPr>
                <w:color w:val="000000" w:themeColor="text1"/>
                <w:sz w:val="16"/>
                <w:szCs w:val="16"/>
              </w:rPr>
            </w:pPr>
            <w:r w:rsidRPr="00E14102">
              <w:rPr>
                <w:color w:val="000000" w:themeColor="text1"/>
                <w:sz w:val="16"/>
                <w:szCs w:val="16"/>
              </w:rPr>
              <w:t>2. Кузнецкий</w:t>
            </w:r>
          </w:p>
        </w:tc>
        <w:tc>
          <w:tcPr>
            <w:tcW w:w="714" w:type="dxa"/>
          </w:tcPr>
          <w:p w14:paraId="762F044E" w14:textId="77777777" w:rsidR="00265F21" w:rsidRPr="00E14102" w:rsidRDefault="00265F21" w:rsidP="00E14102">
            <w:pPr>
              <w:jc w:val="both"/>
              <w:rPr>
                <w:color w:val="000000" w:themeColor="text1"/>
                <w:sz w:val="16"/>
                <w:szCs w:val="16"/>
              </w:rPr>
            </w:pPr>
            <w:r w:rsidRPr="00E14102">
              <w:rPr>
                <w:color w:val="000000" w:themeColor="text1"/>
                <w:sz w:val="16"/>
                <w:szCs w:val="16"/>
              </w:rPr>
              <w:t>Сталинск</w:t>
            </w:r>
          </w:p>
        </w:tc>
        <w:tc>
          <w:tcPr>
            <w:tcW w:w="751" w:type="dxa"/>
          </w:tcPr>
          <w:p w14:paraId="04C51BB3" w14:textId="77777777" w:rsidR="00265F21" w:rsidRPr="00E14102" w:rsidRDefault="00265F21" w:rsidP="00E14102">
            <w:pPr>
              <w:jc w:val="both"/>
              <w:rPr>
                <w:color w:val="000000" w:themeColor="text1"/>
                <w:sz w:val="16"/>
                <w:szCs w:val="16"/>
              </w:rPr>
            </w:pPr>
            <w:r w:rsidRPr="00E14102">
              <w:rPr>
                <w:color w:val="000000" w:themeColor="text1"/>
                <w:sz w:val="16"/>
                <w:szCs w:val="16"/>
              </w:rPr>
              <w:t>Бутенко</w:t>
            </w:r>
          </w:p>
        </w:tc>
        <w:tc>
          <w:tcPr>
            <w:tcW w:w="1541" w:type="dxa"/>
          </w:tcPr>
          <w:p w14:paraId="18C46325" w14:textId="77777777" w:rsidR="00265F21" w:rsidRPr="00E14102" w:rsidRDefault="00265F21" w:rsidP="00E14102">
            <w:pPr>
              <w:jc w:val="both"/>
              <w:rPr>
                <w:color w:val="000000" w:themeColor="text1"/>
                <w:sz w:val="16"/>
                <w:szCs w:val="16"/>
              </w:rPr>
            </w:pPr>
            <w:r w:rsidRPr="00E14102">
              <w:rPr>
                <w:color w:val="000000" w:themeColor="text1"/>
                <w:sz w:val="16"/>
                <w:szCs w:val="16"/>
              </w:rPr>
              <w:t>Инженер</w:t>
            </w:r>
          </w:p>
        </w:tc>
        <w:tc>
          <w:tcPr>
            <w:tcW w:w="2180" w:type="dxa"/>
          </w:tcPr>
          <w:p w14:paraId="411C3000" w14:textId="77777777" w:rsidR="00265F21" w:rsidRPr="00E14102" w:rsidRDefault="00265F21" w:rsidP="00E14102">
            <w:pPr>
              <w:jc w:val="both"/>
              <w:rPr>
                <w:color w:val="000000" w:themeColor="text1"/>
                <w:sz w:val="16"/>
                <w:szCs w:val="16"/>
              </w:rPr>
            </w:pPr>
            <w:r w:rsidRPr="00E14102">
              <w:rPr>
                <w:color w:val="000000" w:themeColor="text1"/>
                <w:sz w:val="16"/>
                <w:szCs w:val="16"/>
              </w:rPr>
              <w:t>11548</w:t>
            </w:r>
          </w:p>
        </w:tc>
        <w:tc>
          <w:tcPr>
            <w:tcW w:w="601" w:type="dxa"/>
          </w:tcPr>
          <w:p w14:paraId="716A3442" w14:textId="77777777" w:rsidR="00265F21" w:rsidRPr="00E14102" w:rsidRDefault="00265F21" w:rsidP="00E14102">
            <w:pPr>
              <w:jc w:val="both"/>
              <w:rPr>
                <w:color w:val="000000" w:themeColor="text1"/>
                <w:sz w:val="16"/>
                <w:szCs w:val="16"/>
              </w:rPr>
            </w:pPr>
            <w:r w:rsidRPr="00E14102">
              <w:rPr>
                <w:color w:val="000000" w:themeColor="text1"/>
                <w:sz w:val="16"/>
                <w:szCs w:val="16"/>
              </w:rPr>
              <w:t>9694</w:t>
            </w:r>
          </w:p>
        </w:tc>
        <w:tc>
          <w:tcPr>
            <w:tcW w:w="300" w:type="dxa"/>
          </w:tcPr>
          <w:p w14:paraId="1263B407" w14:textId="77777777" w:rsidR="00265F21" w:rsidRPr="00E14102" w:rsidRDefault="00265F21" w:rsidP="00E14102">
            <w:pPr>
              <w:jc w:val="both"/>
              <w:rPr>
                <w:color w:val="000000" w:themeColor="text1"/>
                <w:sz w:val="16"/>
                <w:szCs w:val="16"/>
              </w:rPr>
            </w:pPr>
            <w:r w:rsidRPr="00E14102">
              <w:rPr>
                <w:color w:val="000000" w:themeColor="text1"/>
                <w:sz w:val="16"/>
                <w:szCs w:val="16"/>
              </w:rPr>
              <w:t>1600</w:t>
            </w:r>
          </w:p>
        </w:tc>
        <w:tc>
          <w:tcPr>
            <w:tcW w:w="1466" w:type="dxa"/>
          </w:tcPr>
          <w:p w14:paraId="15FE2153" w14:textId="77777777" w:rsidR="00265F21" w:rsidRPr="00E14102" w:rsidRDefault="00265F21" w:rsidP="00E14102">
            <w:pPr>
              <w:jc w:val="both"/>
              <w:rPr>
                <w:color w:val="000000" w:themeColor="text1"/>
                <w:sz w:val="16"/>
                <w:szCs w:val="16"/>
              </w:rPr>
            </w:pPr>
            <w:r w:rsidRPr="00E14102">
              <w:rPr>
                <w:color w:val="000000" w:themeColor="text1"/>
                <w:sz w:val="16"/>
                <w:szCs w:val="16"/>
              </w:rPr>
              <w:t>Объем строительства в 35 г. 130 млн.</w:t>
            </w:r>
          </w:p>
        </w:tc>
      </w:tr>
      <w:tr w:rsidR="00E3599D" w:rsidRPr="00E14102" w14:paraId="141C9BDF" w14:textId="77777777" w:rsidTr="00A45C9C">
        <w:tc>
          <w:tcPr>
            <w:tcW w:w="1804" w:type="dxa"/>
          </w:tcPr>
          <w:p w14:paraId="31CAA1BD" w14:textId="77777777" w:rsidR="00265F21" w:rsidRPr="00E14102" w:rsidRDefault="00265F21" w:rsidP="00E14102">
            <w:pPr>
              <w:jc w:val="both"/>
              <w:rPr>
                <w:color w:val="000000" w:themeColor="text1"/>
                <w:sz w:val="16"/>
                <w:szCs w:val="16"/>
              </w:rPr>
            </w:pPr>
            <w:r w:rsidRPr="00E14102">
              <w:rPr>
                <w:color w:val="000000" w:themeColor="text1"/>
                <w:sz w:val="16"/>
                <w:szCs w:val="16"/>
              </w:rPr>
              <w:t>3. им. Дзержинского</w:t>
            </w:r>
          </w:p>
        </w:tc>
        <w:tc>
          <w:tcPr>
            <w:tcW w:w="714" w:type="dxa"/>
          </w:tcPr>
          <w:p w14:paraId="45AB9066" w14:textId="77777777" w:rsidR="00265F21" w:rsidRPr="00E14102" w:rsidRDefault="00265F21" w:rsidP="00E14102">
            <w:pPr>
              <w:jc w:val="both"/>
              <w:rPr>
                <w:color w:val="000000" w:themeColor="text1"/>
                <w:sz w:val="16"/>
                <w:szCs w:val="16"/>
              </w:rPr>
            </w:pPr>
            <w:r w:rsidRPr="00E14102">
              <w:rPr>
                <w:color w:val="000000" w:themeColor="text1"/>
                <w:sz w:val="16"/>
                <w:szCs w:val="16"/>
              </w:rPr>
              <w:t>Каменское</w:t>
            </w:r>
          </w:p>
        </w:tc>
        <w:tc>
          <w:tcPr>
            <w:tcW w:w="751" w:type="dxa"/>
          </w:tcPr>
          <w:p w14:paraId="61CF707F" w14:textId="77777777" w:rsidR="00265F21" w:rsidRPr="00E14102" w:rsidRDefault="00265F21" w:rsidP="00E14102">
            <w:pPr>
              <w:jc w:val="both"/>
              <w:rPr>
                <w:color w:val="000000" w:themeColor="text1"/>
                <w:sz w:val="16"/>
                <w:szCs w:val="16"/>
              </w:rPr>
            </w:pPr>
            <w:r w:rsidRPr="00E14102">
              <w:rPr>
                <w:color w:val="000000" w:themeColor="text1"/>
                <w:sz w:val="16"/>
                <w:szCs w:val="16"/>
              </w:rPr>
              <w:t>Манаенков</w:t>
            </w:r>
          </w:p>
        </w:tc>
        <w:tc>
          <w:tcPr>
            <w:tcW w:w="1541" w:type="dxa"/>
          </w:tcPr>
          <w:p w14:paraId="6E1B9100"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3296972D" w14:textId="77777777" w:rsidR="00265F21" w:rsidRPr="00E14102" w:rsidRDefault="00265F21" w:rsidP="00E14102">
            <w:pPr>
              <w:jc w:val="both"/>
              <w:rPr>
                <w:color w:val="000000" w:themeColor="text1"/>
                <w:sz w:val="16"/>
                <w:szCs w:val="16"/>
              </w:rPr>
            </w:pPr>
            <w:r w:rsidRPr="00E14102">
              <w:rPr>
                <w:color w:val="000000" w:themeColor="text1"/>
                <w:sz w:val="16"/>
                <w:szCs w:val="16"/>
              </w:rPr>
              <w:t>11251</w:t>
            </w:r>
          </w:p>
        </w:tc>
        <w:tc>
          <w:tcPr>
            <w:tcW w:w="601" w:type="dxa"/>
          </w:tcPr>
          <w:p w14:paraId="56325BA8" w14:textId="77777777" w:rsidR="00265F21" w:rsidRPr="00E14102" w:rsidRDefault="00265F21" w:rsidP="00E14102">
            <w:pPr>
              <w:jc w:val="both"/>
              <w:rPr>
                <w:color w:val="000000" w:themeColor="text1"/>
                <w:sz w:val="16"/>
                <w:szCs w:val="16"/>
              </w:rPr>
            </w:pPr>
            <w:r w:rsidRPr="00E14102">
              <w:rPr>
                <w:color w:val="000000" w:themeColor="text1"/>
                <w:sz w:val="16"/>
                <w:szCs w:val="16"/>
              </w:rPr>
              <w:t>17605</w:t>
            </w:r>
          </w:p>
        </w:tc>
        <w:tc>
          <w:tcPr>
            <w:tcW w:w="300" w:type="dxa"/>
          </w:tcPr>
          <w:p w14:paraId="64F332B7" w14:textId="77777777" w:rsidR="00265F21" w:rsidRPr="00E14102" w:rsidRDefault="00265F21" w:rsidP="00E14102">
            <w:pPr>
              <w:jc w:val="both"/>
              <w:rPr>
                <w:color w:val="000000" w:themeColor="text1"/>
                <w:sz w:val="16"/>
                <w:szCs w:val="16"/>
              </w:rPr>
            </w:pPr>
            <w:r w:rsidRPr="00E14102">
              <w:rPr>
                <w:color w:val="000000" w:themeColor="text1"/>
                <w:sz w:val="16"/>
                <w:szCs w:val="16"/>
              </w:rPr>
              <w:t>900</w:t>
            </w:r>
          </w:p>
        </w:tc>
        <w:tc>
          <w:tcPr>
            <w:tcW w:w="1466" w:type="dxa"/>
          </w:tcPr>
          <w:p w14:paraId="60ED8BE4" w14:textId="77777777" w:rsidR="00265F21" w:rsidRPr="00E14102" w:rsidRDefault="00265F21" w:rsidP="00E14102">
            <w:pPr>
              <w:jc w:val="both"/>
              <w:rPr>
                <w:color w:val="000000" w:themeColor="text1"/>
                <w:sz w:val="16"/>
                <w:szCs w:val="16"/>
              </w:rPr>
            </w:pPr>
          </w:p>
        </w:tc>
      </w:tr>
      <w:tr w:rsidR="00E3599D" w:rsidRPr="00E14102" w14:paraId="282424BB" w14:textId="77777777" w:rsidTr="00A45C9C">
        <w:tc>
          <w:tcPr>
            <w:tcW w:w="1804" w:type="dxa"/>
          </w:tcPr>
          <w:p w14:paraId="28947F06" w14:textId="77777777" w:rsidR="00265F21" w:rsidRPr="00E14102" w:rsidRDefault="00265F21" w:rsidP="00E14102">
            <w:pPr>
              <w:jc w:val="both"/>
              <w:rPr>
                <w:color w:val="000000" w:themeColor="text1"/>
                <w:sz w:val="16"/>
                <w:szCs w:val="16"/>
              </w:rPr>
            </w:pPr>
            <w:r w:rsidRPr="00E14102">
              <w:rPr>
                <w:color w:val="000000" w:themeColor="text1"/>
                <w:sz w:val="16"/>
                <w:szCs w:val="16"/>
              </w:rPr>
              <w:t>4. им. Петровского</w:t>
            </w:r>
          </w:p>
        </w:tc>
        <w:tc>
          <w:tcPr>
            <w:tcW w:w="714" w:type="dxa"/>
          </w:tcPr>
          <w:p w14:paraId="63D9C7D1" w14:textId="77777777" w:rsidR="00265F21" w:rsidRPr="00E14102" w:rsidRDefault="00265F21" w:rsidP="00E14102">
            <w:pPr>
              <w:jc w:val="both"/>
              <w:rPr>
                <w:color w:val="000000" w:themeColor="text1"/>
                <w:sz w:val="16"/>
                <w:szCs w:val="16"/>
              </w:rPr>
            </w:pPr>
            <w:r w:rsidRPr="00E14102">
              <w:rPr>
                <w:color w:val="000000" w:themeColor="text1"/>
                <w:sz w:val="16"/>
                <w:szCs w:val="16"/>
              </w:rPr>
              <w:t>Днепропетровск</w:t>
            </w:r>
          </w:p>
        </w:tc>
        <w:tc>
          <w:tcPr>
            <w:tcW w:w="751" w:type="dxa"/>
          </w:tcPr>
          <w:p w14:paraId="34D3976F" w14:textId="77777777" w:rsidR="00265F21" w:rsidRPr="00E14102" w:rsidRDefault="00265F21" w:rsidP="00E14102">
            <w:pPr>
              <w:jc w:val="both"/>
              <w:rPr>
                <w:color w:val="000000" w:themeColor="text1"/>
                <w:sz w:val="16"/>
                <w:szCs w:val="16"/>
              </w:rPr>
            </w:pPr>
            <w:r w:rsidRPr="00E14102">
              <w:rPr>
                <w:color w:val="000000" w:themeColor="text1"/>
                <w:sz w:val="16"/>
                <w:szCs w:val="16"/>
              </w:rPr>
              <w:t>Бирман</w:t>
            </w:r>
          </w:p>
        </w:tc>
        <w:tc>
          <w:tcPr>
            <w:tcW w:w="1541" w:type="dxa"/>
          </w:tcPr>
          <w:p w14:paraId="3465567D" w14:textId="77777777" w:rsidR="00265F21" w:rsidRPr="00E14102" w:rsidRDefault="00265F21" w:rsidP="00E14102">
            <w:pPr>
              <w:jc w:val="both"/>
              <w:rPr>
                <w:color w:val="000000" w:themeColor="text1"/>
                <w:sz w:val="16"/>
                <w:szCs w:val="16"/>
              </w:rPr>
            </w:pPr>
            <w:r w:rsidRPr="00E14102">
              <w:rPr>
                <w:color w:val="000000" w:themeColor="text1"/>
                <w:sz w:val="16"/>
                <w:szCs w:val="16"/>
              </w:rPr>
              <w:t>Комм. академия, МГУ</w:t>
            </w:r>
          </w:p>
        </w:tc>
        <w:tc>
          <w:tcPr>
            <w:tcW w:w="2180" w:type="dxa"/>
          </w:tcPr>
          <w:p w14:paraId="2EB3D918" w14:textId="77777777" w:rsidR="00265F21" w:rsidRPr="00E14102" w:rsidRDefault="00265F21" w:rsidP="00E14102">
            <w:pPr>
              <w:jc w:val="both"/>
              <w:rPr>
                <w:color w:val="000000" w:themeColor="text1"/>
                <w:sz w:val="16"/>
                <w:szCs w:val="16"/>
              </w:rPr>
            </w:pPr>
            <w:r w:rsidRPr="00E14102">
              <w:rPr>
                <w:color w:val="000000" w:themeColor="text1"/>
                <w:sz w:val="16"/>
                <w:szCs w:val="16"/>
              </w:rPr>
              <w:t>9988</w:t>
            </w:r>
          </w:p>
        </w:tc>
        <w:tc>
          <w:tcPr>
            <w:tcW w:w="601" w:type="dxa"/>
          </w:tcPr>
          <w:p w14:paraId="449C45D6" w14:textId="77777777" w:rsidR="00265F21" w:rsidRPr="00E14102" w:rsidRDefault="00265F21" w:rsidP="00E14102">
            <w:pPr>
              <w:jc w:val="both"/>
              <w:rPr>
                <w:color w:val="000000" w:themeColor="text1"/>
                <w:sz w:val="16"/>
                <w:szCs w:val="16"/>
              </w:rPr>
            </w:pPr>
            <w:r w:rsidRPr="00E14102">
              <w:rPr>
                <w:color w:val="000000" w:themeColor="text1"/>
                <w:sz w:val="16"/>
                <w:szCs w:val="16"/>
              </w:rPr>
              <w:t>16610</w:t>
            </w:r>
          </w:p>
        </w:tc>
        <w:tc>
          <w:tcPr>
            <w:tcW w:w="300" w:type="dxa"/>
          </w:tcPr>
          <w:p w14:paraId="3A2FED99" w14:textId="77777777" w:rsidR="00265F21" w:rsidRPr="00E14102" w:rsidRDefault="00265F21" w:rsidP="00E14102">
            <w:pPr>
              <w:jc w:val="both"/>
              <w:rPr>
                <w:color w:val="000000" w:themeColor="text1"/>
                <w:sz w:val="16"/>
                <w:szCs w:val="16"/>
              </w:rPr>
            </w:pPr>
            <w:r w:rsidRPr="00E14102">
              <w:rPr>
                <w:color w:val="000000" w:themeColor="text1"/>
                <w:sz w:val="16"/>
                <w:szCs w:val="16"/>
              </w:rPr>
              <w:t>900</w:t>
            </w:r>
          </w:p>
        </w:tc>
        <w:tc>
          <w:tcPr>
            <w:tcW w:w="1466" w:type="dxa"/>
          </w:tcPr>
          <w:p w14:paraId="5BBACBAA" w14:textId="77777777" w:rsidR="00265F21" w:rsidRPr="00E14102" w:rsidRDefault="00265F21" w:rsidP="00E14102">
            <w:pPr>
              <w:jc w:val="both"/>
              <w:rPr>
                <w:color w:val="000000" w:themeColor="text1"/>
                <w:sz w:val="16"/>
                <w:szCs w:val="16"/>
              </w:rPr>
            </w:pPr>
          </w:p>
        </w:tc>
      </w:tr>
      <w:tr w:rsidR="00E3599D" w:rsidRPr="00E14102" w14:paraId="6F8163F3" w14:textId="77777777" w:rsidTr="00A45C9C">
        <w:tc>
          <w:tcPr>
            <w:tcW w:w="1804" w:type="dxa"/>
          </w:tcPr>
          <w:p w14:paraId="0DA1E9F6" w14:textId="77777777" w:rsidR="00265F21" w:rsidRPr="00E14102" w:rsidRDefault="00265F21" w:rsidP="00E14102">
            <w:pPr>
              <w:jc w:val="both"/>
              <w:rPr>
                <w:color w:val="000000" w:themeColor="text1"/>
                <w:sz w:val="16"/>
                <w:szCs w:val="16"/>
              </w:rPr>
            </w:pPr>
            <w:r w:rsidRPr="00E14102">
              <w:rPr>
                <w:color w:val="000000" w:themeColor="text1"/>
                <w:sz w:val="16"/>
                <w:szCs w:val="16"/>
              </w:rPr>
              <w:t>5. Макеевский</w:t>
            </w:r>
          </w:p>
        </w:tc>
        <w:tc>
          <w:tcPr>
            <w:tcW w:w="714" w:type="dxa"/>
          </w:tcPr>
          <w:p w14:paraId="1799358C" w14:textId="77777777" w:rsidR="00265F21" w:rsidRPr="00E14102" w:rsidRDefault="00265F21" w:rsidP="00E14102">
            <w:pPr>
              <w:jc w:val="both"/>
              <w:rPr>
                <w:color w:val="000000" w:themeColor="text1"/>
                <w:sz w:val="16"/>
                <w:szCs w:val="16"/>
              </w:rPr>
            </w:pPr>
            <w:r w:rsidRPr="00E14102">
              <w:rPr>
                <w:color w:val="000000" w:themeColor="text1"/>
                <w:sz w:val="16"/>
                <w:szCs w:val="16"/>
              </w:rPr>
              <w:t>Макеевка</w:t>
            </w:r>
          </w:p>
        </w:tc>
        <w:tc>
          <w:tcPr>
            <w:tcW w:w="751" w:type="dxa"/>
          </w:tcPr>
          <w:p w14:paraId="6BA7F1A8" w14:textId="77777777" w:rsidR="00265F21" w:rsidRPr="00E14102" w:rsidRDefault="00265F21" w:rsidP="00E14102">
            <w:pPr>
              <w:jc w:val="both"/>
              <w:rPr>
                <w:color w:val="000000" w:themeColor="text1"/>
                <w:sz w:val="16"/>
                <w:szCs w:val="16"/>
              </w:rPr>
            </w:pPr>
            <w:r w:rsidRPr="00E14102">
              <w:rPr>
                <w:color w:val="000000" w:themeColor="text1"/>
                <w:sz w:val="16"/>
                <w:szCs w:val="16"/>
              </w:rPr>
              <w:t>Гвахария</w:t>
            </w:r>
          </w:p>
        </w:tc>
        <w:tc>
          <w:tcPr>
            <w:tcW w:w="1541" w:type="dxa"/>
          </w:tcPr>
          <w:p w14:paraId="24EEA3E8" w14:textId="77777777" w:rsidR="00265F21" w:rsidRPr="00E14102" w:rsidRDefault="00265F21" w:rsidP="00E14102">
            <w:pPr>
              <w:jc w:val="both"/>
              <w:rPr>
                <w:color w:val="000000" w:themeColor="text1"/>
                <w:sz w:val="16"/>
                <w:szCs w:val="16"/>
              </w:rPr>
            </w:pPr>
            <w:r w:rsidRPr="00E14102">
              <w:rPr>
                <w:color w:val="000000" w:themeColor="text1"/>
                <w:sz w:val="16"/>
                <w:szCs w:val="16"/>
              </w:rPr>
              <w:t>Незаконч. высшее</w:t>
            </w:r>
          </w:p>
        </w:tc>
        <w:tc>
          <w:tcPr>
            <w:tcW w:w="2180" w:type="dxa"/>
          </w:tcPr>
          <w:p w14:paraId="7212C814" w14:textId="77777777" w:rsidR="00265F21" w:rsidRPr="00E14102" w:rsidRDefault="00265F21" w:rsidP="00E14102">
            <w:pPr>
              <w:jc w:val="both"/>
              <w:rPr>
                <w:color w:val="000000" w:themeColor="text1"/>
                <w:sz w:val="16"/>
                <w:szCs w:val="16"/>
              </w:rPr>
            </w:pPr>
            <w:r w:rsidRPr="00E14102">
              <w:rPr>
                <w:color w:val="000000" w:themeColor="text1"/>
                <w:sz w:val="16"/>
                <w:szCs w:val="16"/>
              </w:rPr>
              <w:t>10398</w:t>
            </w:r>
          </w:p>
        </w:tc>
        <w:tc>
          <w:tcPr>
            <w:tcW w:w="601" w:type="dxa"/>
          </w:tcPr>
          <w:p w14:paraId="5592AE6F" w14:textId="77777777" w:rsidR="00265F21" w:rsidRPr="00E14102" w:rsidRDefault="00265F21" w:rsidP="00E14102">
            <w:pPr>
              <w:jc w:val="both"/>
              <w:rPr>
                <w:color w:val="000000" w:themeColor="text1"/>
                <w:sz w:val="16"/>
                <w:szCs w:val="16"/>
              </w:rPr>
            </w:pPr>
            <w:r w:rsidRPr="00E14102">
              <w:rPr>
                <w:color w:val="000000" w:themeColor="text1"/>
                <w:sz w:val="16"/>
                <w:szCs w:val="16"/>
              </w:rPr>
              <w:t>12176</w:t>
            </w:r>
          </w:p>
        </w:tc>
        <w:tc>
          <w:tcPr>
            <w:tcW w:w="300" w:type="dxa"/>
          </w:tcPr>
          <w:p w14:paraId="773ACC3C" w14:textId="77777777" w:rsidR="00265F21" w:rsidRPr="00E14102" w:rsidRDefault="00265F21" w:rsidP="00E14102">
            <w:pPr>
              <w:jc w:val="both"/>
              <w:rPr>
                <w:color w:val="000000" w:themeColor="text1"/>
                <w:sz w:val="16"/>
                <w:szCs w:val="16"/>
              </w:rPr>
            </w:pPr>
            <w:r w:rsidRPr="00E14102">
              <w:rPr>
                <w:color w:val="000000" w:themeColor="text1"/>
                <w:sz w:val="16"/>
                <w:szCs w:val="16"/>
              </w:rPr>
              <w:t>900</w:t>
            </w:r>
          </w:p>
        </w:tc>
        <w:tc>
          <w:tcPr>
            <w:tcW w:w="1466" w:type="dxa"/>
          </w:tcPr>
          <w:p w14:paraId="25BA19ED" w14:textId="77777777" w:rsidR="00265F21" w:rsidRPr="00E14102" w:rsidRDefault="00265F21" w:rsidP="00E14102">
            <w:pPr>
              <w:jc w:val="both"/>
              <w:rPr>
                <w:color w:val="000000" w:themeColor="text1"/>
                <w:sz w:val="16"/>
                <w:szCs w:val="16"/>
              </w:rPr>
            </w:pPr>
          </w:p>
        </w:tc>
      </w:tr>
      <w:tr w:rsidR="00E3599D" w:rsidRPr="00E14102" w14:paraId="23498EA1" w14:textId="77777777" w:rsidTr="00A45C9C">
        <w:tc>
          <w:tcPr>
            <w:tcW w:w="1804" w:type="dxa"/>
          </w:tcPr>
          <w:p w14:paraId="51E44CB9" w14:textId="77777777" w:rsidR="00265F21" w:rsidRPr="00E14102" w:rsidRDefault="00265F21" w:rsidP="00E14102">
            <w:pPr>
              <w:jc w:val="both"/>
              <w:rPr>
                <w:color w:val="000000" w:themeColor="text1"/>
                <w:sz w:val="16"/>
                <w:szCs w:val="16"/>
              </w:rPr>
            </w:pPr>
            <w:r w:rsidRPr="00E14102">
              <w:rPr>
                <w:color w:val="000000" w:themeColor="text1"/>
                <w:sz w:val="16"/>
                <w:szCs w:val="16"/>
              </w:rPr>
              <w:t>6. Сталинский</w:t>
            </w:r>
          </w:p>
        </w:tc>
        <w:tc>
          <w:tcPr>
            <w:tcW w:w="714" w:type="dxa"/>
          </w:tcPr>
          <w:p w14:paraId="3E604154" w14:textId="77777777" w:rsidR="00265F21" w:rsidRPr="00E14102" w:rsidRDefault="00265F21" w:rsidP="00E14102">
            <w:pPr>
              <w:jc w:val="both"/>
              <w:rPr>
                <w:color w:val="000000" w:themeColor="text1"/>
                <w:sz w:val="16"/>
                <w:szCs w:val="16"/>
              </w:rPr>
            </w:pPr>
            <w:r w:rsidRPr="00E14102">
              <w:rPr>
                <w:color w:val="000000" w:themeColor="text1"/>
                <w:sz w:val="16"/>
                <w:szCs w:val="16"/>
              </w:rPr>
              <w:t>Сталино</w:t>
            </w:r>
          </w:p>
        </w:tc>
        <w:tc>
          <w:tcPr>
            <w:tcW w:w="751" w:type="dxa"/>
          </w:tcPr>
          <w:p w14:paraId="0DB7117B" w14:textId="77777777" w:rsidR="00265F21" w:rsidRPr="00E14102" w:rsidRDefault="00265F21" w:rsidP="00E14102">
            <w:pPr>
              <w:jc w:val="both"/>
              <w:rPr>
                <w:color w:val="000000" w:themeColor="text1"/>
                <w:sz w:val="16"/>
                <w:szCs w:val="16"/>
              </w:rPr>
            </w:pPr>
            <w:r w:rsidRPr="00E14102">
              <w:rPr>
                <w:color w:val="000000" w:themeColor="text1"/>
                <w:sz w:val="16"/>
                <w:szCs w:val="16"/>
              </w:rPr>
              <w:t>Макаров</w:t>
            </w:r>
          </w:p>
        </w:tc>
        <w:tc>
          <w:tcPr>
            <w:tcW w:w="1541" w:type="dxa"/>
          </w:tcPr>
          <w:p w14:paraId="4326469E" w14:textId="77777777" w:rsidR="00265F21" w:rsidRPr="00E14102" w:rsidRDefault="00265F21" w:rsidP="00E14102">
            <w:pPr>
              <w:jc w:val="both"/>
              <w:rPr>
                <w:color w:val="000000" w:themeColor="text1"/>
                <w:sz w:val="16"/>
                <w:szCs w:val="16"/>
              </w:rPr>
            </w:pPr>
            <w:r w:rsidRPr="00E14102">
              <w:rPr>
                <w:color w:val="000000" w:themeColor="text1"/>
                <w:sz w:val="16"/>
                <w:szCs w:val="16"/>
              </w:rPr>
              <w:t>Инженер, Пром­академия</w:t>
            </w:r>
          </w:p>
        </w:tc>
        <w:tc>
          <w:tcPr>
            <w:tcW w:w="2180" w:type="dxa"/>
          </w:tcPr>
          <w:p w14:paraId="2E6FF850" w14:textId="77777777" w:rsidR="00265F21" w:rsidRPr="00E14102" w:rsidRDefault="00265F21" w:rsidP="00E14102">
            <w:pPr>
              <w:jc w:val="both"/>
              <w:rPr>
                <w:color w:val="000000" w:themeColor="text1"/>
                <w:sz w:val="16"/>
                <w:szCs w:val="16"/>
              </w:rPr>
            </w:pPr>
            <w:r w:rsidRPr="00E14102">
              <w:rPr>
                <w:color w:val="000000" w:themeColor="text1"/>
                <w:sz w:val="16"/>
                <w:szCs w:val="16"/>
              </w:rPr>
              <w:t>6946</w:t>
            </w:r>
          </w:p>
        </w:tc>
        <w:tc>
          <w:tcPr>
            <w:tcW w:w="601" w:type="dxa"/>
          </w:tcPr>
          <w:p w14:paraId="1895D188" w14:textId="77777777" w:rsidR="00265F21" w:rsidRPr="00E14102" w:rsidRDefault="00265F21" w:rsidP="00E14102">
            <w:pPr>
              <w:jc w:val="both"/>
              <w:rPr>
                <w:color w:val="000000" w:themeColor="text1"/>
                <w:sz w:val="16"/>
                <w:szCs w:val="16"/>
              </w:rPr>
            </w:pPr>
            <w:r w:rsidRPr="00E14102">
              <w:rPr>
                <w:color w:val="000000" w:themeColor="text1"/>
                <w:sz w:val="16"/>
                <w:szCs w:val="16"/>
              </w:rPr>
              <w:t>11998</w:t>
            </w:r>
          </w:p>
        </w:tc>
        <w:tc>
          <w:tcPr>
            <w:tcW w:w="300" w:type="dxa"/>
          </w:tcPr>
          <w:p w14:paraId="46941849" w14:textId="77777777" w:rsidR="00265F21" w:rsidRPr="00E14102" w:rsidRDefault="00265F21" w:rsidP="00E14102">
            <w:pPr>
              <w:jc w:val="both"/>
              <w:rPr>
                <w:color w:val="000000" w:themeColor="text1"/>
                <w:sz w:val="16"/>
                <w:szCs w:val="16"/>
              </w:rPr>
            </w:pPr>
            <w:r w:rsidRPr="00E14102">
              <w:rPr>
                <w:color w:val="000000" w:themeColor="text1"/>
                <w:sz w:val="16"/>
                <w:szCs w:val="16"/>
              </w:rPr>
              <w:t>900</w:t>
            </w:r>
          </w:p>
        </w:tc>
        <w:tc>
          <w:tcPr>
            <w:tcW w:w="1466" w:type="dxa"/>
          </w:tcPr>
          <w:p w14:paraId="3A74861B" w14:textId="77777777" w:rsidR="00265F21" w:rsidRPr="00E14102" w:rsidRDefault="00265F21" w:rsidP="00E14102">
            <w:pPr>
              <w:jc w:val="both"/>
              <w:rPr>
                <w:color w:val="000000" w:themeColor="text1"/>
                <w:sz w:val="16"/>
                <w:szCs w:val="16"/>
              </w:rPr>
            </w:pPr>
          </w:p>
        </w:tc>
      </w:tr>
      <w:tr w:rsidR="00E3599D" w:rsidRPr="00E14102" w14:paraId="40D178E1" w14:textId="77777777" w:rsidTr="00A45C9C">
        <w:tc>
          <w:tcPr>
            <w:tcW w:w="1804" w:type="dxa"/>
          </w:tcPr>
          <w:p w14:paraId="57F181A4" w14:textId="77777777" w:rsidR="00265F21" w:rsidRPr="00E14102" w:rsidRDefault="00265F21" w:rsidP="00E14102">
            <w:pPr>
              <w:jc w:val="both"/>
              <w:rPr>
                <w:color w:val="000000" w:themeColor="text1"/>
                <w:sz w:val="16"/>
                <w:szCs w:val="16"/>
              </w:rPr>
            </w:pPr>
            <w:r w:rsidRPr="00E14102">
              <w:rPr>
                <w:color w:val="000000" w:themeColor="text1"/>
                <w:sz w:val="16"/>
                <w:szCs w:val="16"/>
              </w:rPr>
              <w:t>7. Ворошиловский</w:t>
            </w:r>
          </w:p>
        </w:tc>
        <w:tc>
          <w:tcPr>
            <w:tcW w:w="714" w:type="dxa"/>
          </w:tcPr>
          <w:p w14:paraId="67075189" w14:textId="77777777" w:rsidR="00265F21" w:rsidRPr="00E14102" w:rsidRDefault="00265F21" w:rsidP="00E14102">
            <w:pPr>
              <w:jc w:val="both"/>
              <w:rPr>
                <w:color w:val="000000" w:themeColor="text1"/>
                <w:sz w:val="16"/>
                <w:szCs w:val="16"/>
              </w:rPr>
            </w:pPr>
            <w:r w:rsidRPr="00E14102">
              <w:rPr>
                <w:color w:val="000000" w:themeColor="text1"/>
                <w:sz w:val="16"/>
                <w:szCs w:val="16"/>
              </w:rPr>
              <w:t>Алчевск</w:t>
            </w:r>
          </w:p>
        </w:tc>
        <w:tc>
          <w:tcPr>
            <w:tcW w:w="751" w:type="dxa"/>
          </w:tcPr>
          <w:p w14:paraId="1ECFD042" w14:textId="77777777" w:rsidR="00265F21" w:rsidRPr="00E14102" w:rsidRDefault="00265F21" w:rsidP="00E14102">
            <w:pPr>
              <w:jc w:val="both"/>
              <w:rPr>
                <w:color w:val="000000" w:themeColor="text1"/>
                <w:sz w:val="16"/>
                <w:szCs w:val="16"/>
              </w:rPr>
            </w:pPr>
            <w:r w:rsidRPr="00E14102">
              <w:rPr>
                <w:color w:val="000000" w:themeColor="text1"/>
                <w:sz w:val="16"/>
                <w:szCs w:val="16"/>
              </w:rPr>
              <w:t>Крайнев</w:t>
            </w:r>
          </w:p>
        </w:tc>
        <w:tc>
          <w:tcPr>
            <w:tcW w:w="1541" w:type="dxa"/>
          </w:tcPr>
          <w:p w14:paraId="25754580" w14:textId="77777777" w:rsidR="00265F21" w:rsidRPr="00E14102" w:rsidRDefault="00265F21" w:rsidP="00E14102">
            <w:pPr>
              <w:jc w:val="both"/>
              <w:rPr>
                <w:color w:val="000000" w:themeColor="text1"/>
                <w:sz w:val="16"/>
                <w:szCs w:val="16"/>
              </w:rPr>
            </w:pPr>
            <w:r w:rsidRPr="00E14102">
              <w:rPr>
                <w:color w:val="000000" w:themeColor="text1"/>
                <w:sz w:val="16"/>
                <w:szCs w:val="16"/>
              </w:rPr>
              <w:t>Закончил курсы Ком­академии</w:t>
            </w:r>
          </w:p>
        </w:tc>
        <w:tc>
          <w:tcPr>
            <w:tcW w:w="2180" w:type="dxa"/>
          </w:tcPr>
          <w:p w14:paraId="1EF80AF5" w14:textId="77777777" w:rsidR="00265F21" w:rsidRPr="00E14102" w:rsidRDefault="00265F21" w:rsidP="00E14102">
            <w:pPr>
              <w:jc w:val="both"/>
              <w:rPr>
                <w:color w:val="000000" w:themeColor="text1"/>
                <w:sz w:val="16"/>
                <w:szCs w:val="16"/>
              </w:rPr>
            </w:pPr>
            <w:r w:rsidRPr="00E14102">
              <w:rPr>
                <w:color w:val="000000" w:themeColor="text1"/>
                <w:sz w:val="16"/>
                <w:szCs w:val="16"/>
              </w:rPr>
              <w:t>7116</w:t>
            </w:r>
          </w:p>
        </w:tc>
        <w:tc>
          <w:tcPr>
            <w:tcW w:w="601" w:type="dxa"/>
          </w:tcPr>
          <w:p w14:paraId="2CC9091C" w14:textId="77777777" w:rsidR="00265F21" w:rsidRPr="00E14102" w:rsidRDefault="00265F21" w:rsidP="00E14102">
            <w:pPr>
              <w:jc w:val="both"/>
              <w:rPr>
                <w:color w:val="000000" w:themeColor="text1"/>
                <w:sz w:val="16"/>
                <w:szCs w:val="16"/>
              </w:rPr>
            </w:pPr>
            <w:r w:rsidRPr="00E14102">
              <w:rPr>
                <w:color w:val="000000" w:themeColor="text1"/>
                <w:sz w:val="16"/>
                <w:szCs w:val="16"/>
              </w:rPr>
              <w:t>8535</w:t>
            </w:r>
          </w:p>
        </w:tc>
        <w:tc>
          <w:tcPr>
            <w:tcW w:w="300" w:type="dxa"/>
          </w:tcPr>
          <w:p w14:paraId="376F422D" w14:textId="77777777" w:rsidR="00265F21" w:rsidRPr="00E14102" w:rsidRDefault="00265F21" w:rsidP="00E14102">
            <w:pPr>
              <w:jc w:val="both"/>
              <w:rPr>
                <w:color w:val="000000" w:themeColor="text1"/>
                <w:sz w:val="16"/>
                <w:szCs w:val="16"/>
              </w:rPr>
            </w:pPr>
            <w:r w:rsidRPr="00E14102">
              <w:rPr>
                <w:color w:val="000000" w:themeColor="text1"/>
                <w:sz w:val="16"/>
                <w:szCs w:val="16"/>
              </w:rPr>
              <w:t>900</w:t>
            </w:r>
          </w:p>
        </w:tc>
        <w:tc>
          <w:tcPr>
            <w:tcW w:w="1466" w:type="dxa"/>
          </w:tcPr>
          <w:p w14:paraId="424A8B5E" w14:textId="77777777" w:rsidR="00265F21" w:rsidRPr="00E14102" w:rsidRDefault="00265F21" w:rsidP="00E14102">
            <w:pPr>
              <w:jc w:val="both"/>
              <w:rPr>
                <w:color w:val="000000" w:themeColor="text1"/>
                <w:sz w:val="16"/>
                <w:szCs w:val="16"/>
              </w:rPr>
            </w:pPr>
          </w:p>
        </w:tc>
      </w:tr>
      <w:tr w:rsidR="00E3599D" w:rsidRPr="00E14102" w14:paraId="033C2CF8" w14:textId="77777777" w:rsidTr="00A45C9C">
        <w:tc>
          <w:tcPr>
            <w:tcW w:w="1804" w:type="dxa"/>
          </w:tcPr>
          <w:p w14:paraId="3F172083" w14:textId="77777777" w:rsidR="00265F21" w:rsidRPr="00E14102" w:rsidRDefault="00265F21" w:rsidP="00E14102">
            <w:pPr>
              <w:jc w:val="both"/>
              <w:rPr>
                <w:color w:val="000000" w:themeColor="text1"/>
                <w:sz w:val="16"/>
                <w:szCs w:val="16"/>
              </w:rPr>
            </w:pPr>
            <w:r w:rsidRPr="00E14102">
              <w:rPr>
                <w:color w:val="000000" w:themeColor="text1"/>
                <w:sz w:val="16"/>
                <w:szCs w:val="16"/>
              </w:rPr>
              <w:t>8. Енакиевский</w:t>
            </w:r>
          </w:p>
        </w:tc>
        <w:tc>
          <w:tcPr>
            <w:tcW w:w="714" w:type="dxa"/>
          </w:tcPr>
          <w:p w14:paraId="75471415" w14:textId="77777777" w:rsidR="00265F21" w:rsidRPr="00E14102" w:rsidRDefault="00265F21" w:rsidP="00E14102">
            <w:pPr>
              <w:jc w:val="both"/>
              <w:rPr>
                <w:color w:val="000000" w:themeColor="text1"/>
                <w:sz w:val="16"/>
                <w:szCs w:val="16"/>
              </w:rPr>
            </w:pPr>
            <w:r w:rsidRPr="00E14102">
              <w:rPr>
                <w:color w:val="000000" w:themeColor="text1"/>
                <w:sz w:val="16"/>
                <w:szCs w:val="16"/>
              </w:rPr>
              <w:t>Енакиево</w:t>
            </w:r>
          </w:p>
        </w:tc>
        <w:tc>
          <w:tcPr>
            <w:tcW w:w="751" w:type="dxa"/>
          </w:tcPr>
          <w:p w14:paraId="42DA694F" w14:textId="77777777" w:rsidR="00265F21" w:rsidRPr="00E14102" w:rsidRDefault="00265F21" w:rsidP="00E14102">
            <w:pPr>
              <w:jc w:val="both"/>
              <w:rPr>
                <w:color w:val="000000" w:themeColor="text1"/>
                <w:sz w:val="16"/>
                <w:szCs w:val="16"/>
              </w:rPr>
            </w:pPr>
            <w:r w:rsidRPr="00E14102">
              <w:rPr>
                <w:color w:val="000000" w:themeColor="text1"/>
                <w:sz w:val="16"/>
                <w:szCs w:val="16"/>
              </w:rPr>
              <w:t>Пучков</w:t>
            </w:r>
          </w:p>
        </w:tc>
        <w:tc>
          <w:tcPr>
            <w:tcW w:w="1541" w:type="dxa"/>
          </w:tcPr>
          <w:p w14:paraId="5006C2F5" w14:textId="77777777" w:rsidR="00265F21" w:rsidRPr="00E14102" w:rsidRDefault="00265F21" w:rsidP="00E14102">
            <w:pPr>
              <w:jc w:val="both"/>
              <w:rPr>
                <w:color w:val="000000" w:themeColor="text1"/>
                <w:sz w:val="16"/>
                <w:szCs w:val="16"/>
              </w:rPr>
            </w:pPr>
            <w:r w:rsidRPr="00E14102">
              <w:rPr>
                <w:color w:val="000000" w:themeColor="text1"/>
                <w:sz w:val="16"/>
                <w:szCs w:val="16"/>
              </w:rPr>
              <w:t>Закончил ФОН, инженер-орга[низатор]</w:t>
            </w:r>
          </w:p>
        </w:tc>
        <w:tc>
          <w:tcPr>
            <w:tcW w:w="2180" w:type="dxa"/>
          </w:tcPr>
          <w:p w14:paraId="2E7200E1" w14:textId="77777777" w:rsidR="00265F21" w:rsidRPr="00E14102" w:rsidRDefault="00265F21" w:rsidP="00E14102">
            <w:pPr>
              <w:jc w:val="both"/>
              <w:rPr>
                <w:color w:val="000000" w:themeColor="text1"/>
                <w:sz w:val="16"/>
                <w:szCs w:val="16"/>
              </w:rPr>
            </w:pPr>
            <w:r w:rsidRPr="00E14102">
              <w:rPr>
                <w:color w:val="000000" w:themeColor="text1"/>
                <w:sz w:val="16"/>
                <w:szCs w:val="16"/>
              </w:rPr>
              <w:t>6359</w:t>
            </w:r>
          </w:p>
        </w:tc>
        <w:tc>
          <w:tcPr>
            <w:tcW w:w="601" w:type="dxa"/>
          </w:tcPr>
          <w:p w14:paraId="66988357" w14:textId="77777777" w:rsidR="00265F21" w:rsidRPr="00E14102" w:rsidRDefault="00265F21" w:rsidP="00E14102">
            <w:pPr>
              <w:jc w:val="both"/>
              <w:rPr>
                <w:color w:val="000000" w:themeColor="text1"/>
                <w:sz w:val="16"/>
                <w:szCs w:val="16"/>
              </w:rPr>
            </w:pPr>
            <w:r w:rsidRPr="00E14102">
              <w:rPr>
                <w:color w:val="000000" w:themeColor="text1"/>
                <w:sz w:val="16"/>
                <w:szCs w:val="16"/>
              </w:rPr>
              <w:t>12340</w:t>
            </w:r>
          </w:p>
        </w:tc>
        <w:tc>
          <w:tcPr>
            <w:tcW w:w="300" w:type="dxa"/>
          </w:tcPr>
          <w:p w14:paraId="03F38503" w14:textId="77777777" w:rsidR="00265F21" w:rsidRPr="00E14102" w:rsidRDefault="00265F21" w:rsidP="00E14102">
            <w:pPr>
              <w:jc w:val="both"/>
              <w:rPr>
                <w:color w:val="000000" w:themeColor="text1"/>
                <w:sz w:val="16"/>
                <w:szCs w:val="16"/>
              </w:rPr>
            </w:pPr>
            <w:r w:rsidRPr="00E14102">
              <w:rPr>
                <w:color w:val="000000" w:themeColor="text1"/>
                <w:sz w:val="16"/>
                <w:szCs w:val="16"/>
              </w:rPr>
              <w:t>900</w:t>
            </w:r>
          </w:p>
        </w:tc>
        <w:tc>
          <w:tcPr>
            <w:tcW w:w="1466" w:type="dxa"/>
          </w:tcPr>
          <w:p w14:paraId="304286DA" w14:textId="77777777" w:rsidR="00265F21" w:rsidRPr="00E14102" w:rsidRDefault="00265F21" w:rsidP="00E14102">
            <w:pPr>
              <w:jc w:val="both"/>
              <w:rPr>
                <w:color w:val="000000" w:themeColor="text1"/>
                <w:sz w:val="16"/>
                <w:szCs w:val="16"/>
              </w:rPr>
            </w:pPr>
          </w:p>
        </w:tc>
      </w:tr>
      <w:tr w:rsidR="00E3599D" w:rsidRPr="00E14102" w14:paraId="3B4A54FB" w14:textId="77777777" w:rsidTr="00A45C9C">
        <w:tc>
          <w:tcPr>
            <w:tcW w:w="1804" w:type="dxa"/>
          </w:tcPr>
          <w:p w14:paraId="3695DC6B" w14:textId="77777777" w:rsidR="00265F21" w:rsidRPr="00E14102" w:rsidRDefault="00265F21" w:rsidP="00E14102">
            <w:pPr>
              <w:jc w:val="both"/>
              <w:rPr>
                <w:color w:val="000000" w:themeColor="text1"/>
                <w:sz w:val="16"/>
                <w:szCs w:val="16"/>
              </w:rPr>
            </w:pPr>
            <w:r w:rsidRPr="00E14102">
              <w:rPr>
                <w:color w:val="000000" w:themeColor="text1"/>
                <w:sz w:val="16"/>
                <w:szCs w:val="16"/>
              </w:rPr>
              <w:t>9. Азовсталь</w:t>
            </w:r>
          </w:p>
        </w:tc>
        <w:tc>
          <w:tcPr>
            <w:tcW w:w="714" w:type="dxa"/>
          </w:tcPr>
          <w:p w14:paraId="2E35C2CD" w14:textId="77777777" w:rsidR="00265F21" w:rsidRPr="00E14102" w:rsidRDefault="00265F21" w:rsidP="00E14102">
            <w:pPr>
              <w:jc w:val="both"/>
              <w:rPr>
                <w:color w:val="000000" w:themeColor="text1"/>
                <w:sz w:val="16"/>
                <w:szCs w:val="16"/>
              </w:rPr>
            </w:pPr>
            <w:r w:rsidRPr="00E14102">
              <w:rPr>
                <w:color w:val="000000" w:themeColor="text1"/>
                <w:sz w:val="16"/>
                <w:szCs w:val="16"/>
              </w:rPr>
              <w:t>Мариуполь</w:t>
            </w:r>
          </w:p>
        </w:tc>
        <w:tc>
          <w:tcPr>
            <w:tcW w:w="751" w:type="dxa"/>
          </w:tcPr>
          <w:p w14:paraId="5F7EF95A" w14:textId="77777777" w:rsidR="00265F21" w:rsidRPr="00E14102" w:rsidRDefault="00265F21" w:rsidP="00E14102">
            <w:pPr>
              <w:jc w:val="both"/>
              <w:rPr>
                <w:color w:val="000000" w:themeColor="text1"/>
                <w:sz w:val="16"/>
                <w:szCs w:val="16"/>
              </w:rPr>
            </w:pPr>
            <w:r w:rsidRPr="00E14102">
              <w:rPr>
                <w:color w:val="000000" w:themeColor="text1"/>
                <w:sz w:val="16"/>
                <w:szCs w:val="16"/>
              </w:rPr>
              <w:t>Гугель</w:t>
            </w:r>
          </w:p>
        </w:tc>
        <w:tc>
          <w:tcPr>
            <w:tcW w:w="1541" w:type="dxa"/>
          </w:tcPr>
          <w:p w14:paraId="2530EB75" w14:textId="77777777" w:rsidR="00265F21" w:rsidRPr="00E14102" w:rsidRDefault="00265F21" w:rsidP="00E14102">
            <w:pPr>
              <w:jc w:val="both"/>
              <w:rPr>
                <w:color w:val="000000" w:themeColor="text1"/>
                <w:sz w:val="16"/>
                <w:szCs w:val="16"/>
              </w:rPr>
            </w:pPr>
            <w:r w:rsidRPr="00E14102">
              <w:rPr>
                <w:color w:val="000000" w:themeColor="text1"/>
                <w:sz w:val="16"/>
                <w:szCs w:val="16"/>
              </w:rPr>
              <w:t>Окончил ФОН, техник</w:t>
            </w:r>
          </w:p>
        </w:tc>
        <w:tc>
          <w:tcPr>
            <w:tcW w:w="2180" w:type="dxa"/>
          </w:tcPr>
          <w:p w14:paraId="60C5A159" w14:textId="77777777" w:rsidR="00265F21" w:rsidRPr="00E14102" w:rsidRDefault="00265F21" w:rsidP="00E14102">
            <w:pPr>
              <w:jc w:val="both"/>
              <w:rPr>
                <w:color w:val="000000" w:themeColor="text1"/>
                <w:sz w:val="16"/>
                <w:szCs w:val="16"/>
              </w:rPr>
            </w:pPr>
            <w:r w:rsidRPr="00E14102">
              <w:rPr>
                <w:color w:val="000000" w:themeColor="text1"/>
                <w:sz w:val="16"/>
                <w:szCs w:val="16"/>
              </w:rPr>
              <w:t>3416</w:t>
            </w:r>
          </w:p>
        </w:tc>
        <w:tc>
          <w:tcPr>
            <w:tcW w:w="601" w:type="dxa"/>
          </w:tcPr>
          <w:p w14:paraId="18CBB5DE" w14:textId="77777777" w:rsidR="00265F21" w:rsidRPr="00E14102" w:rsidRDefault="00265F21" w:rsidP="00E14102">
            <w:pPr>
              <w:jc w:val="both"/>
              <w:rPr>
                <w:color w:val="000000" w:themeColor="text1"/>
                <w:sz w:val="16"/>
                <w:szCs w:val="16"/>
              </w:rPr>
            </w:pPr>
            <w:r w:rsidRPr="00E14102">
              <w:rPr>
                <w:color w:val="000000" w:themeColor="text1"/>
                <w:sz w:val="16"/>
                <w:szCs w:val="16"/>
              </w:rPr>
              <w:t>1981</w:t>
            </w:r>
          </w:p>
        </w:tc>
        <w:tc>
          <w:tcPr>
            <w:tcW w:w="300" w:type="dxa"/>
          </w:tcPr>
          <w:p w14:paraId="5A0CB3A7" w14:textId="77777777" w:rsidR="00265F21" w:rsidRPr="00E14102" w:rsidRDefault="00265F21" w:rsidP="00E14102">
            <w:pPr>
              <w:jc w:val="both"/>
              <w:rPr>
                <w:color w:val="000000" w:themeColor="text1"/>
                <w:sz w:val="16"/>
                <w:szCs w:val="16"/>
              </w:rPr>
            </w:pPr>
            <w:r w:rsidRPr="00E14102">
              <w:rPr>
                <w:color w:val="000000" w:themeColor="text1"/>
                <w:sz w:val="16"/>
                <w:szCs w:val="16"/>
              </w:rPr>
              <w:t>900</w:t>
            </w:r>
          </w:p>
        </w:tc>
        <w:tc>
          <w:tcPr>
            <w:tcW w:w="1466" w:type="dxa"/>
          </w:tcPr>
          <w:p w14:paraId="3454FBBD" w14:textId="77777777" w:rsidR="00265F21" w:rsidRPr="00E14102" w:rsidRDefault="00265F21" w:rsidP="00E14102">
            <w:pPr>
              <w:jc w:val="both"/>
              <w:rPr>
                <w:color w:val="000000" w:themeColor="text1"/>
                <w:sz w:val="16"/>
                <w:szCs w:val="16"/>
              </w:rPr>
            </w:pPr>
          </w:p>
        </w:tc>
      </w:tr>
      <w:tr w:rsidR="00E3599D" w:rsidRPr="00E14102" w14:paraId="031B589A" w14:textId="77777777" w:rsidTr="00A45C9C">
        <w:tc>
          <w:tcPr>
            <w:tcW w:w="1804" w:type="dxa"/>
          </w:tcPr>
          <w:p w14:paraId="2DAAFA6D" w14:textId="77777777" w:rsidR="00265F21" w:rsidRPr="00E14102" w:rsidRDefault="00265F21" w:rsidP="00E14102">
            <w:pPr>
              <w:jc w:val="both"/>
              <w:rPr>
                <w:color w:val="000000" w:themeColor="text1"/>
                <w:sz w:val="16"/>
                <w:szCs w:val="16"/>
              </w:rPr>
            </w:pPr>
            <w:r w:rsidRPr="00E14102">
              <w:rPr>
                <w:color w:val="000000" w:themeColor="text1"/>
                <w:sz w:val="16"/>
                <w:szCs w:val="16"/>
              </w:rPr>
              <w:t>10. Криворожсталь</w:t>
            </w:r>
          </w:p>
        </w:tc>
        <w:tc>
          <w:tcPr>
            <w:tcW w:w="714" w:type="dxa"/>
          </w:tcPr>
          <w:p w14:paraId="1355E7E4" w14:textId="77777777" w:rsidR="00265F21" w:rsidRPr="00E14102" w:rsidRDefault="00265F21" w:rsidP="00E14102">
            <w:pPr>
              <w:jc w:val="both"/>
              <w:rPr>
                <w:color w:val="000000" w:themeColor="text1"/>
                <w:sz w:val="16"/>
                <w:szCs w:val="16"/>
              </w:rPr>
            </w:pPr>
            <w:r w:rsidRPr="00E14102">
              <w:rPr>
                <w:color w:val="000000" w:themeColor="text1"/>
                <w:sz w:val="16"/>
                <w:szCs w:val="16"/>
              </w:rPr>
              <w:t>Кривой Рог</w:t>
            </w:r>
          </w:p>
        </w:tc>
        <w:tc>
          <w:tcPr>
            <w:tcW w:w="751" w:type="dxa"/>
          </w:tcPr>
          <w:p w14:paraId="61ADC375" w14:textId="77777777" w:rsidR="00265F21" w:rsidRPr="00E14102" w:rsidRDefault="00265F21" w:rsidP="00E14102">
            <w:pPr>
              <w:jc w:val="both"/>
              <w:rPr>
                <w:color w:val="000000" w:themeColor="text1"/>
                <w:sz w:val="16"/>
                <w:szCs w:val="16"/>
              </w:rPr>
            </w:pPr>
            <w:r w:rsidRPr="00E14102">
              <w:rPr>
                <w:color w:val="000000" w:themeColor="text1"/>
                <w:sz w:val="16"/>
                <w:szCs w:val="16"/>
              </w:rPr>
              <w:t>Весник</w:t>
            </w:r>
          </w:p>
        </w:tc>
        <w:tc>
          <w:tcPr>
            <w:tcW w:w="1541" w:type="dxa"/>
          </w:tcPr>
          <w:p w14:paraId="62305118" w14:textId="77777777" w:rsidR="00265F21" w:rsidRPr="00E14102" w:rsidRDefault="00265F21" w:rsidP="00E14102">
            <w:pPr>
              <w:jc w:val="both"/>
              <w:rPr>
                <w:color w:val="000000" w:themeColor="text1"/>
                <w:sz w:val="16"/>
                <w:szCs w:val="16"/>
              </w:rPr>
            </w:pPr>
            <w:r w:rsidRPr="00E14102">
              <w:rPr>
                <w:color w:val="000000" w:themeColor="text1"/>
                <w:sz w:val="16"/>
                <w:szCs w:val="16"/>
              </w:rPr>
              <w:t>Инженер</w:t>
            </w:r>
          </w:p>
        </w:tc>
        <w:tc>
          <w:tcPr>
            <w:tcW w:w="2180" w:type="dxa"/>
          </w:tcPr>
          <w:p w14:paraId="72A3EDA4" w14:textId="77777777" w:rsidR="00265F21" w:rsidRPr="00E14102" w:rsidRDefault="00265F21" w:rsidP="00E14102">
            <w:pPr>
              <w:jc w:val="both"/>
              <w:rPr>
                <w:color w:val="000000" w:themeColor="text1"/>
                <w:sz w:val="16"/>
                <w:szCs w:val="16"/>
              </w:rPr>
            </w:pPr>
            <w:r w:rsidRPr="00E14102">
              <w:rPr>
                <w:color w:val="000000" w:themeColor="text1"/>
                <w:sz w:val="16"/>
                <w:szCs w:val="16"/>
              </w:rPr>
              <w:t>2720</w:t>
            </w:r>
          </w:p>
        </w:tc>
        <w:tc>
          <w:tcPr>
            <w:tcW w:w="601" w:type="dxa"/>
          </w:tcPr>
          <w:p w14:paraId="15E0AA50" w14:textId="77777777" w:rsidR="00265F21" w:rsidRPr="00E14102" w:rsidRDefault="00265F21" w:rsidP="00E14102">
            <w:pPr>
              <w:jc w:val="both"/>
              <w:rPr>
                <w:color w:val="000000" w:themeColor="text1"/>
                <w:sz w:val="16"/>
                <w:szCs w:val="16"/>
              </w:rPr>
            </w:pPr>
            <w:r w:rsidRPr="00E14102">
              <w:rPr>
                <w:color w:val="000000" w:themeColor="text1"/>
                <w:sz w:val="16"/>
                <w:szCs w:val="16"/>
              </w:rPr>
              <w:t>1443</w:t>
            </w:r>
          </w:p>
        </w:tc>
        <w:tc>
          <w:tcPr>
            <w:tcW w:w="300" w:type="dxa"/>
          </w:tcPr>
          <w:p w14:paraId="66F26ABE" w14:textId="77777777" w:rsidR="00265F21" w:rsidRPr="00E14102" w:rsidRDefault="00265F21" w:rsidP="00E14102">
            <w:pPr>
              <w:jc w:val="both"/>
              <w:rPr>
                <w:color w:val="000000" w:themeColor="text1"/>
                <w:sz w:val="16"/>
                <w:szCs w:val="16"/>
              </w:rPr>
            </w:pPr>
            <w:r w:rsidRPr="00E14102">
              <w:rPr>
                <w:color w:val="000000" w:themeColor="text1"/>
                <w:sz w:val="16"/>
                <w:szCs w:val="16"/>
              </w:rPr>
              <w:t>900</w:t>
            </w:r>
          </w:p>
        </w:tc>
        <w:tc>
          <w:tcPr>
            <w:tcW w:w="1466" w:type="dxa"/>
          </w:tcPr>
          <w:p w14:paraId="7CF5F740" w14:textId="77777777" w:rsidR="00265F21" w:rsidRPr="00E14102" w:rsidRDefault="00265F21" w:rsidP="00E14102">
            <w:pPr>
              <w:jc w:val="both"/>
              <w:rPr>
                <w:color w:val="000000" w:themeColor="text1"/>
                <w:sz w:val="16"/>
                <w:szCs w:val="16"/>
              </w:rPr>
            </w:pPr>
            <w:r w:rsidRPr="00E14102">
              <w:rPr>
                <w:color w:val="000000" w:themeColor="text1"/>
                <w:sz w:val="16"/>
                <w:szCs w:val="16"/>
              </w:rPr>
              <w:t>Объем строительства в 35 г. 91 млн.</w:t>
            </w:r>
          </w:p>
        </w:tc>
      </w:tr>
      <w:tr w:rsidR="00E3599D" w:rsidRPr="00E14102" w14:paraId="500D4B84" w14:textId="77777777" w:rsidTr="00A45C9C">
        <w:tc>
          <w:tcPr>
            <w:tcW w:w="1804" w:type="dxa"/>
          </w:tcPr>
          <w:p w14:paraId="4B22B348" w14:textId="77777777" w:rsidR="00265F21" w:rsidRPr="00E14102" w:rsidRDefault="00265F21" w:rsidP="00E14102">
            <w:pPr>
              <w:jc w:val="both"/>
              <w:rPr>
                <w:color w:val="000000" w:themeColor="text1"/>
                <w:sz w:val="16"/>
                <w:szCs w:val="16"/>
              </w:rPr>
            </w:pPr>
            <w:r w:rsidRPr="00E14102">
              <w:rPr>
                <w:color w:val="000000" w:themeColor="text1"/>
                <w:sz w:val="16"/>
                <w:szCs w:val="16"/>
              </w:rPr>
              <w:t>11. Тагилстрой</w:t>
            </w:r>
          </w:p>
        </w:tc>
        <w:tc>
          <w:tcPr>
            <w:tcW w:w="714" w:type="dxa"/>
          </w:tcPr>
          <w:p w14:paraId="0D44B8DD" w14:textId="77777777" w:rsidR="00265F21" w:rsidRPr="00E14102" w:rsidRDefault="00265F21" w:rsidP="00E14102">
            <w:pPr>
              <w:jc w:val="both"/>
              <w:rPr>
                <w:color w:val="000000" w:themeColor="text1"/>
                <w:sz w:val="16"/>
                <w:szCs w:val="16"/>
              </w:rPr>
            </w:pPr>
            <w:r w:rsidRPr="00E14102">
              <w:rPr>
                <w:color w:val="000000" w:themeColor="text1"/>
                <w:sz w:val="16"/>
                <w:szCs w:val="16"/>
              </w:rPr>
              <w:t>Тагил</w:t>
            </w:r>
          </w:p>
        </w:tc>
        <w:tc>
          <w:tcPr>
            <w:tcW w:w="751" w:type="dxa"/>
          </w:tcPr>
          <w:p w14:paraId="2074A963" w14:textId="77777777" w:rsidR="00265F21" w:rsidRPr="00E14102" w:rsidRDefault="00265F21" w:rsidP="00E14102">
            <w:pPr>
              <w:jc w:val="both"/>
              <w:rPr>
                <w:color w:val="000000" w:themeColor="text1"/>
                <w:sz w:val="16"/>
                <w:szCs w:val="16"/>
              </w:rPr>
            </w:pPr>
            <w:r w:rsidRPr="00E14102">
              <w:rPr>
                <w:color w:val="000000" w:themeColor="text1"/>
                <w:sz w:val="16"/>
                <w:szCs w:val="16"/>
              </w:rPr>
              <w:t>Царевский</w:t>
            </w:r>
          </w:p>
        </w:tc>
        <w:tc>
          <w:tcPr>
            <w:tcW w:w="1541" w:type="dxa"/>
          </w:tcPr>
          <w:p w14:paraId="36931029" w14:textId="77777777" w:rsidR="00265F21" w:rsidRPr="00E14102" w:rsidRDefault="00265F21" w:rsidP="00E14102">
            <w:pPr>
              <w:jc w:val="both"/>
              <w:rPr>
                <w:color w:val="000000" w:themeColor="text1"/>
                <w:sz w:val="16"/>
                <w:szCs w:val="16"/>
              </w:rPr>
            </w:pPr>
            <w:r w:rsidRPr="00E14102">
              <w:rPr>
                <w:color w:val="000000" w:themeColor="text1"/>
                <w:sz w:val="16"/>
                <w:szCs w:val="16"/>
              </w:rPr>
              <w:t>Окончил военно-медицинскую школу</w:t>
            </w:r>
          </w:p>
        </w:tc>
        <w:tc>
          <w:tcPr>
            <w:tcW w:w="2180" w:type="dxa"/>
          </w:tcPr>
          <w:p w14:paraId="42DFBC87" w14:textId="77777777" w:rsidR="00265F21" w:rsidRPr="00E14102" w:rsidRDefault="00265F21" w:rsidP="00E14102">
            <w:pPr>
              <w:jc w:val="both"/>
              <w:rPr>
                <w:color w:val="000000" w:themeColor="text1"/>
                <w:sz w:val="16"/>
                <w:szCs w:val="16"/>
              </w:rPr>
            </w:pPr>
          </w:p>
        </w:tc>
        <w:tc>
          <w:tcPr>
            <w:tcW w:w="601" w:type="dxa"/>
          </w:tcPr>
          <w:p w14:paraId="1C505366" w14:textId="77777777" w:rsidR="00265F21" w:rsidRPr="00E14102" w:rsidRDefault="00265F21" w:rsidP="00E14102">
            <w:pPr>
              <w:jc w:val="both"/>
              <w:rPr>
                <w:color w:val="000000" w:themeColor="text1"/>
                <w:sz w:val="16"/>
                <w:szCs w:val="16"/>
              </w:rPr>
            </w:pPr>
          </w:p>
        </w:tc>
        <w:tc>
          <w:tcPr>
            <w:tcW w:w="300" w:type="dxa"/>
          </w:tcPr>
          <w:p w14:paraId="509C270D" w14:textId="77777777" w:rsidR="00265F21" w:rsidRPr="00E14102" w:rsidRDefault="00265F21" w:rsidP="00E14102">
            <w:pPr>
              <w:jc w:val="both"/>
              <w:rPr>
                <w:color w:val="000000" w:themeColor="text1"/>
                <w:sz w:val="16"/>
                <w:szCs w:val="16"/>
              </w:rPr>
            </w:pPr>
          </w:p>
        </w:tc>
        <w:tc>
          <w:tcPr>
            <w:tcW w:w="1466" w:type="dxa"/>
          </w:tcPr>
          <w:p w14:paraId="11930401" w14:textId="77777777" w:rsidR="00265F21" w:rsidRPr="00E14102" w:rsidRDefault="00265F21" w:rsidP="00E14102">
            <w:pPr>
              <w:jc w:val="both"/>
              <w:rPr>
                <w:color w:val="000000" w:themeColor="text1"/>
                <w:sz w:val="16"/>
                <w:szCs w:val="16"/>
              </w:rPr>
            </w:pPr>
            <w:r w:rsidRPr="00E14102">
              <w:rPr>
                <w:color w:val="000000" w:themeColor="text1"/>
                <w:sz w:val="16"/>
                <w:szCs w:val="16"/>
              </w:rPr>
              <w:t>Объем строительства в 35 г. 99 млн.</w:t>
            </w:r>
          </w:p>
        </w:tc>
      </w:tr>
      <w:tr w:rsidR="00E3599D" w:rsidRPr="00E14102" w14:paraId="2260E8B8" w14:textId="77777777" w:rsidTr="00A45C9C">
        <w:tc>
          <w:tcPr>
            <w:tcW w:w="1804" w:type="dxa"/>
          </w:tcPr>
          <w:p w14:paraId="2916E6CA" w14:textId="77777777" w:rsidR="00265F21" w:rsidRPr="00E14102" w:rsidRDefault="00265F21" w:rsidP="00E14102">
            <w:pPr>
              <w:jc w:val="both"/>
              <w:rPr>
                <w:color w:val="000000" w:themeColor="text1"/>
                <w:sz w:val="16"/>
                <w:szCs w:val="16"/>
              </w:rPr>
            </w:pPr>
            <w:r w:rsidRPr="00E14102">
              <w:rPr>
                <w:color w:val="000000" w:themeColor="text1"/>
                <w:sz w:val="16"/>
                <w:szCs w:val="16"/>
              </w:rPr>
              <w:t>12. Запорожсталь</w:t>
            </w:r>
          </w:p>
        </w:tc>
        <w:tc>
          <w:tcPr>
            <w:tcW w:w="714" w:type="dxa"/>
          </w:tcPr>
          <w:p w14:paraId="6EA09312" w14:textId="77777777" w:rsidR="00265F21" w:rsidRPr="00E14102" w:rsidRDefault="00265F21" w:rsidP="00E14102">
            <w:pPr>
              <w:jc w:val="both"/>
              <w:rPr>
                <w:color w:val="000000" w:themeColor="text1"/>
                <w:sz w:val="16"/>
                <w:szCs w:val="16"/>
              </w:rPr>
            </w:pPr>
            <w:r w:rsidRPr="00E14102">
              <w:rPr>
                <w:color w:val="000000" w:themeColor="text1"/>
                <w:sz w:val="16"/>
                <w:szCs w:val="16"/>
              </w:rPr>
              <w:t>Запорожье</w:t>
            </w:r>
          </w:p>
        </w:tc>
        <w:tc>
          <w:tcPr>
            <w:tcW w:w="751" w:type="dxa"/>
          </w:tcPr>
          <w:p w14:paraId="21370284" w14:textId="77777777" w:rsidR="00265F21" w:rsidRPr="00E14102" w:rsidRDefault="00265F21" w:rsidP="00E14102">
            <w:pPr>
              <w:jc w:val="both"/>
              <w:rPr>
                <w:color w:val="000000" w:themeColor="text1"/>
                <w:sz w:val="16"/>
                <w:szCs w:val="16"/>
              </w:rPr>
            </w:pPr>
            <w:r w:rsidRPr="00E14102">
              <w:rPr>
                <w:color w:val="000000" w:themeColor="text1"/>
                <w:sz w:val="16"/>
                <w:szCs w:val="16"/>
              </w:rPr>
              <w:t>Рогачевский</w:t>
            </w:r>
          </w:p>
        </w:tc>
        <w:tc>
          <w:tcPr>
            <w:tcW w:w="1541" w:type="dxa"/>
          </w:tcPr>
          <w:p w14:paraId="566847DC" w14:textId="77777777" w:rsidR="00265F21" w:rsidRPr="00E14102" w:rsidRDefault="00265F21" w:rsidP="00E14102">
            <w:pPr>
              <w:jc w:val="both"/>
              <w:rPr>
                <w:color w:val="000000" w:themeColor="text1"/>
                <w:sz w:val="16"/>
                <w:szCs w:val="16"/>
              </w:rPr>
            </w:pPr>
            <w:r w:rsidRPr="00E14102">
              <w:rPr>
                <w:color w:val="000000" w:themeColor="text1"/>
                <w:sz w:val="16"/>
                <w:szCs w:val="16"/>
              </w:rPr>
              <w:t>Инженер</w:t>
            </w:r>
          </w:p>
        </w:tc>
        <w:tc>
          <w:tcPr>
            <w:tcW w:w="2180" w:type="dxa"/>
          </w:tcPr>
          <w:p w14:paraId="7999AED1" w14:textId="77777777" w:rsidR="00265F21" w:rsidRPr="00E14102" w:rsidRDefault="00265F21" w:rsidP="00E14102">
            <w:pPr>
              <w:jc w:val="both"/>
              <w:rPr>
                <w:color w:val="000000" w:themeColor="text1"/>
                <w:sz w:val="16"/>
                <w:szCs w:val="16"/>
              </w:rPr>
            </w:pPr>
            <w:r w:rsidRPr="00E14102">
              <w:rPr>
                <w:color w:val="000000" w:themeColor="text1"/>
                <w:sz w:val="16"/>
                <w:szCs w:val="16"/>
              </w:rPr>
              <w:t>11547</w:t>
            </w:r>
          </w:p>
        </w:tc>
        <w:tc>
          <w:tcPr>
            <w:tcW w:w="601" w:type="dxa"/>
          </w:tcPr>
          <w:p w14:paraId="17D47759" w14:textId="77777777" w:rsidR="00265F21" w:rsidRPr="00E14102" w:rsidRDefault="00265F21" w:rsidP="00E14102">
            <w:pPr>
              <w:jc w:val="both"/>
              <w:rPr>
                <w:color w:val="000000" w:themeColor="text1"/>
                <w:sz w:val="16"/>
                <w:szCs w:val="16"/>
              </w:rPr>
            </w:pPr>
            <w:r w:rsidRPr="00E14102">
              <w:rPr>
                <w:color w:val="000000" w:themeColor="text1"/>
                <w:sz w:val="16"/>
                <w:szCs w:val="16"/>
              </w:rPr>
              <w:t>7894</w:t>
            </w:r>
          </w:p>
        </w:tc>
        <w:tc>
          <w:tcPr>
            <w:tcW w:w="300" w:type="dxa"/>
          </w:tcPr>
          <w:p w14:paraId="4CF348B4" w14:textId="77777777" w:rsidR="00265F21" w:rsidRPr="00E14102" w:rsidRDefault="00265F21" w:rsidP="00E14102">
            <w:pPr>
              <w:jc w:val="both"/>
              <w:rPr>
                <w:color w:val="000000" w:themeColor="text1"/>
                <w:sz w:val="16"/>
                <w:szCs w:val="16"/>
              </w:rPr>
            </w:pPr>
            <w:r w:rsidRPr="00E14102">
              <w:rPr>
                <w:color w:val="000000" w:themeColor="text1"/>
                <w:sz w:val="16"/>
                <w:szCs w:val="16"/>
              </w:rPr>
              <w:t>900</w:t>
            </w:r>
          </w:p>
        </w:tc>
        <w:tc>
          <w:tcPr>
            <w:tcW w:w="1466" w:type="dxa"/>
          </w:tcPr>
          <w:p w14:paraId="2C390426" w14:textId="77777777" w:rsidR="00265F21" w:rsidRPr="00E14102" w:rsidRDefault="00265F21" w:rsidP="00E14102">
            <w:pPr>
              <w:jc w:val="both"/>
              <w:rPr>
                <w:color w:val="000000" w:themeColor="text1"/>
                <w:sz w:val="16"/>
                <w:szCs w:val="16"/>
              </w:rPr>
            </w:pPr>
            <w:r w:rsidRPr="00E14102">
              <w:rPr>
                <w:color w:val="000000" w:themeColor="text1"/>
                <w:sz w:val="16"/>
                <w:szCs w:val="16"/>
              </w:rPr>
              <w:t>Объем строительства в 35 г. 90 млн.</w:t>
            </w:r>
          </w:p>
        </w:tc>
      </w:tr>
      <w:tr w:rsidR="00E3599D" w:rsidRPr="00E14102" w14:paraId="227676EC" w14:textId="77777777" w:rsidTr="00A45C9C">
        <w:tc>
          <w:tcPr>
            <w:tcW w:w="1804" w:type="dxa"/>
          </w:tcPr>
          <w:p w14:paraId="7ACC962F" w14:textId="77777777" w:rsidR="00265F21" w:rsidRPr="00E14102" w:rsidRDefault="00265F21" w:rsidP="00E14102">
            <w:pPr>
              <w:jc w:val="both"/>
              <w:rPr>
                <w:color w:val="000000" w:themeColor="text1"/>
                <w:sz w:val="16"/>
                <w:szCs w:val="16"/>
              </w:rPr>
            </w:pPr>
            <w:r w:rsidRPr="00E14102">
              <w:rPr>
                <w:color w:val="000000" w:themeColor="text1"/>
                <w:sz w:val="16"/>
                <w:szCs w:val="16"/>
              </w:rPr>
              <w:t>13. Красный Октябрь</w:t>
            </w:r>
          </w:p>
        </w:tc>
        <w:tc>
          <w:tcPr>
            <w:tcW w:w="714" w:type="dxa"/>
          </w:tcPr>
          <w:p w14:paraId="15AA83E2" w14:textId="77777777" w:rsidR="00265F21" w:rsidRPr="00E14102" w:rsidRDefault="00265F21" w:rsidP="00E14102">
            <w:pPr>
              <w:jc w:val="both"/>
              <w:rPr>
                <w:color w:val="000000" w:themeColor="text1"/>
                <w:sz w:val="16"/>
                <w:szCs w:val="16"/>
              </w:rPr>
            </w:pPr>
            <w:r w:rsidRPr="00E14102">
              <w:rPr>
                <w:color w:val="000000" w:themeColor="text1"/>
                <w:sz w:val="16"/>
                <w:szCs w:val="16"/>
              </w:rPr>
              <w:t>Сталинград</w:t>
            </w:r>
          </w:p>
        </w:tc>
        <w:tc>
          <w:tcPr>
            <w:tcW w:w="751" w:type="dxa"/>
          </w:tcPr>
          <w:p w14:paraId="499243DA" w14:textId="77777777" w:rsidR="00265F21" w:rsidRPr="00E14102" w:rsidRDefault="00265F21" w:rsidP="00E14102">
            <w:pPr>
              <w:jc w:val="both"/>
              <w:rPr>
                <w:color w:val="000000" w:themeColor="text1"/>
                <w:sz w:val="16"/>
                <w:szCs w:val="16"/>
              </w:rPr>
            </w:pPr>
            <w:r w:rsidRPr="00E14102">
              <w:rPr>
                <w:color w:val="000000" w:themeColor="text1"/>
                <w:sz w:val="16"/>
                <w:szCs w:val="16"/>
              </w:rPr>
              <w:t>Трайдуб</w:t>
            </w:r>
          </w:p>
        </w:tc>
        <w:tc>
          <w:tcPr>
            <w:tcW w:w="1541" w:type="dxa"/>
          </w:tcPr>
          <w:p w14:paraId="0B41D85E" w14:textId="77777777" w:rsidR="00265F21" w:rsidRPr="00E14102" w:rsidRDefault="00265F21" w:rsidP="00E14102">
            <w:pPr>
              <w:jc w:val="both"/>
              <w:rPr>
                <w:color w:val="000000" w:themeColor="text1"/>
                <w:sz w:val="16"/>
                <w:szCs w:val="16"/>
              </w:rPr>
            </w:pPr>
            <w:r w:rsidRPr="00E14102">
              <w:rPr>
                <w:color w:val="000000" w:themeColor="text1"/>
                <w:sz w:val="16"/>
                <w:szCs w:val="16"/>
              </w:rPr>
              <w:t>Инженер</w:t>
            </w:r>
          </w:p>
        </w:tc>
        <w:tc>
          <w:tcPr>
            <w:tcW w:w="2180" w:type="dxa"/>
          </w:tcPr>
          <w:p w14:paraId="78163D46" w14:textId="77777777" w:rsidR="00265F21" w:rsidRPr="00E14102" w:rsidRDefault="00265F21" w:rsidP="00E14102">
            <w:pPr>
              <w:jc w:val="both"/>
              <w:rPr>
                <w:color w:val="000000" w:themeColor="text1"/>
                <w:sz w:val="16"/>
                <w:szCs w:val="16"/>
              </w:rPr>
            </w:pPr>
            <w:r w:rsidRPr="00E14102">
              <w:rPr>
                <w:color w:val="000000" w:themeColor="text1"/>
                <w:sz w:val="16"/>
                <w:szCs w:val="16"/>
              </w:rPr>
              <w:t>9865</w:t>
            </w:r>
          </w:p>
        </w:tc>
        <w:tc>
          <w:tcPr>
            <w:tcW w:w="601" w:type="dxa"/>
          </w:tcPr>
          <w:p w14:paraId="0839B04D" w14:textId="77777777" w:rsidR="00265F21" w:rsidRPr="00E14102" w:rsidRDefault="00265F21" w:rsidP="00E14102">
            <w:pPr>
              <w:jc w:val="both"/>
              <w:rPr>
                <w:color w:val="000000" w:themeColor="text1"/>
                <w:sz w:val="16"/>
                <w:szCs w:val="16"/>
              </w:rPr>
            </w:pPr>
            <w:r w:rsidRPr="00E14102">
              <w:rPr>
                <w:color w:val="000000" w:themeColor="text1"/>
                <w:sz w:val="16"/>
                <w:szCs w:val="16"/>
              </w:rPr>
              <w:t>10019</w:t>
            </w:r>
          </w:p>
        </w:tc>
        <w:tc>
          <w:tcPr>
            <w:tcW w:w="300" w:type="dxa"/>
          </w:tcPr>
          <w:p w14:paraId="282D35D8" w14:textId="77777777" w:rsidR="00265F21" w:rsidRPr="00E14102" w:rsidRDefault="00265F21" w:rsidP="00E14102">
            <w:pPr>
              <w:jc w:val="both"/>
              <w:rPr>
                <w:color w:val="000000" w:themeColor="text1"/>
                <w:sz w:val="16"/>
                <w:szCs w:val="16"/>
              </w:rPr>
            </w:pPr>
            <w:r w:rsidRPr="00E14102">
              <w:rPr>
                <w:color w:val="000000" w:themeColor="text1"/>
                <w:sz w:val="16"/>
                <w:szCs w:val="16"/>
              </w:rPr>
              <w:t>700</w:t>
            </w:r>
          </w:p>
        </w:tc>
        <w:tc>
          <w:tcPr>
            <w:tcW w:w="1466" w:type="dxa"/>
          </w:tcPr>
          <w:p w14:paraId="697757F6" w14:textId="77777777" w:rsidR="00265F21" w:rsidRPr="00E14102" w:rsidRDefault="00265F21" w:rsidP="00E14102">
            <w:pPr>
              <w:jc w:val="both"/>
              <w:rPr>
                <w:color w:val="000000" w:themeColor="text1"/>
                <w:sz w:val="16"/>
                <w:szCs w:val="16"/>
              </w:rPr>
            </w:pPr>
          </w:p>
        </w:tc>
      </w:tr>
      <w:tr w:rsidR="00E3599D" w:rsidRPr="00E14102" w14:paraId="5B0C40AD" w14:textId="77777777" w:rsidTr="00A45C9C">
        <w:tc>
          <w:tcPr>
            <w:tcW w:w="1804" w:type="dxa"/>
          </w:tcPr>
          <w:p w14:paraId="35BD0D8F" w14:textId="77777777" w:rsidR="00265F21" w:rsidRPr="00E14102" w:rsidRDefault="00265F21" w:rsidP="00E14102">
            <w:pPr>
              <w:jc w:val="both"/>
              <w:rPr>
                <w:color w:val="000000" w:themeColor="text1"/>
                <w:sz w:val="16"/>
                <w:szCs w:val="16"/>
              </w:rPr>
            </w:pPr>
            <w:r w:rsidRPr="00E14102">
              <w:rPr>
                <w:color w:val="000000" w:themeColor="text1"/>
                <w:sz w:val="16"/>
                <w:szCs w:val="16"/>
              </w:rPr>
              <w:t>14. Серп и Молот</w:t>
            </w:r>
          </w:p>
        </w:tc>
        <w:tc>
          <w:tcPr>
            <w:tcW w:w="714" w:type="dxa"/>
          </w:tcPr>
          <w:p w14:paraId="30BDE7EA" w14:textId="77777777" w:rsidR="00265F21" w:rsidRPr="00E14102" w:rsidRDefault="00265F21" w:rsidP="00E14102">
            <w:pPr>
              <w:jc w:val="both"/>
              <w:rPr>
                <w:color w:val="000000" w:themeColor="text1"/>
                <w:sz w:val="16"/>
                <w:szCs w:val="16"/>
              </w:rPr>
            </w:pPr>
            <w:r w:rsidRPr="00E14102">
              <w:rPr>
                <w:color w:val="000000" w:themeColor="text1"/>
                <w:sz w:val="16"/>
                <w:szCs w:val="16"/>
              </w:rPr>
              <w:t>Москва</w:t>
            </w:r>
          </w:p>
        </w:tc>
        <w:tc>
          <w:tcPr>
            <w:tcW w:w="751" w:type="dxa"/>
          </w:tcPr>
          <w:p w14:paraId="0076C1FF" w14:textId="77777777" w:rsidR="00265F21" w:rsidRPr="00E14102" w:rsidRDefault="00265F21" w:rsidP="00E14102">
            <w:pPr>
              <w:jc w:val="both"/>
              <w:rPr>
                <w:color w:val="000000" w:themeColor="text1"/>
                <w:sz w:val="16"/>
                <w:szCs w:val="16"/>
              </w:rPr>
            </w:pPr>
            <w:r w:rsidRPr="00E14102">
              <w:rPr>
                <w:color w:val="000000" w:themeColor="text1"/>
                <w:sz w:val="16"/>
                <w:szCs w:val="16"/>
              </w:rPr>
              <w:t>Степанов</w:t>
            </w:r>
          </w:p>
        </w:tc>
        <w:tc>
          <w:tcPr>
            <w:tcW w:w="1541" w:type="dxa"/>
          </w:tcPr>
          <w:p w14:paraId="66FCF9C6"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12070C3B" w14:textId="77777777" w:rsidR="00265F21" w:rsidRPr="00E14102" w:rsidRDefault="00265F21" w:rsidP="00E14102">
            <w:pPr>
              <w:jc w:val="both"/>
              <w:rPr>
                <w:color w:val="000000" w:themeColor="text1"/>
                <w:sz w:val="16"/>
                <w:szCs w:val="16"/>
              </w:rPr>
            </w:pPr>
            <w:r w:rsidRPr="00E14102">
              <w:rPr>
                <w:color w:val="000000" w:themeColor="text1"/>
                <w:sz w:val="16"/>
                <w:szCs w:val="16"/>
              </w:rPr>
              <w:t>11065</w:t>
            </w:r>
          </w:p>
        </w:tc>
        <w:tc>
          <w:tcPr>
            <w:tcW w:w="601" w:type="dxa"/>
          </w:tcPr>
          <w:p w14:paraId="336CF692" w14:textId="77777777" w:rsidR="00265F21" w:rsidRPr="00E14102" w:rsidRDefault="00265F21" w:rsidP="00E14102">
            <w:pPr>
              <w:jc w:val="both"/>
              <w:rPr>
                <w:color w:val="000000" w:themeColor="text1"/>
                <w:sz w:val="16"/>
                <w:szCs w:val="16"/>
              </w:rPr>
            </w:pPr>
            <w:r w:rsidRPr="00E14102">
              <w:rPr>
                <w:color w:val="000000" w:themeColor="text1"/>
                <w:sz w:val="16"/>
                <w:szCs w:val="16"/>
              </w:rPr>
              <w:t>7185</w:t>
            </w:r>
          </w:p>
        </w:tc>
        <w:tc>
          <w:tcPr>
            <w:tcW w:w="300" w:type="dxa"/>
          </w:tcPr>
          <w:p w14:paraId="763C0F49" w14:textId="77777777" w:rsidR="00265F21" w:rsidRPr="00E14102" w:rsidRDefault="00265F21" w:rsidP="00E14102">
            <w:pPr>
              <w:jc w:val="both"/>
              <w:rPr>
                <w:color w:val="000000" w:themeColor="text1"/>
                <w:sz w:val="16"/>
                <w:szCs w:val="16"/>
              </w:rPr>
            </w:pPr>
            <w:r w:rsidRPr="00E14102">
              <w:rPr>
                <w:color w:val="000000" w:themeColor="text1"/>
                <w:sz w:val="16"/>
                <w:szCs w:val="16"/>
              </w:rPr>
              <w:t>650</w:t>
            </w:r>
          </w:p>
        </w:tc>
        <w:tc>
          <w:tcPr>
            <w:tcW w:w="1466" w:type="dxa"/>
          </w:tcPr>
          <w:p w14:paraId="792351F6" w14:textId="77777777" w:rsidR="00265F21" w:rsidRPr="00E14102" w:rsidRDefault="00265F21" w:rsidP="00E14102">
            <w:pPr>
              <w:jc w:val="both"/>
              <w:rPr>
                <w:color w:val="000000" w:themeColor="text1"/>
                <w:sz w:val="16"/>
                <w:szCs w:val="16"/>
              </w:rPr>
            </w:pPr>
          </w:p>
        </w:tc>
      </w:tr>
      <w:tr w:rsidR="00E3599D" w:rsidRPr="00E14102" w14:paraId="503844CC" w14:textId="77777777" w:rsidTr="00A45C9C">
        <w:tc>
          <w:tcPr>
            <w:tcW w:w="1804" w:type="dxa"/>
          </w:tcPr>
          <w:p w14:paraId="001A25DC" w14:textId="77777777" w:rsidR="00265F21" w:rsidRPr="00E14102" w:rsidRDefault="00265F21" w:rsidP="00E14102">
            <w:pPr>
              <w:jc w:val="both"/>
              <w:rPr>
                <w:color w:val="000000" w:themeColor="text1"/>
                <w:sz w:val="16"/>
                <w:szCs w:val="16"/>
              </w:rPr>
            </w:pPr>
            <w:r w:rsidRPr="00E14102">
              <w:rPr>
                <w:color w:val="000000" w:themeColor="text1"/>
                <w:sz w:val="16"/>
                <w:szCs w:val="16"/>
              </w:rPr>
              <w:t>15. Электросталь</w:t>
            </w:r>
          </w:p>
        </w:tc>
        <w:tc>
          <w:tcPr>
            <w:tcW w:w="714" w:type="dxa"/>
          </w:tcPr>
          <w:p w14:paraId="062B29D0" w14:textId="77777777" w:rsidR="00265F21" w:rsidRPr="00E14102" w:rsidRDefault="00265F21" w:rsidP="00E14102">
            <w:pPr>
              <w:jc w:val="both"/>
              <w:rPr>
                <w:color w:val="000000" w:themeColor="text1"/>
                <w:sz w:val="16"/>
                <w:szCs w:val="16"/>
              </w:rPr>
            </w:pPr>
            <w:r w:rsidRPr="00E14102">
              <w:rPr>
                <w:color w:val="000000" w:themeColor="text1"/>
                <w:sz w:val="16"/>
                <w:szCs w:val="16"/>
              </w:rPr>
              <w:t>Москва?*</w:t>
            </w:r>
          </w:p>
        </w:tc>
        <w:tc>
          <w:tcPr>
            <w:tcW w:w="751" w:type="dxa"/>
          </w:tcPr>
          <w:p w14:paraId="40EFCF94" w14:textId="77777777" w:rsidR="00265F21" w:rsidRPr="00E14102" w:rsidRDefault="00265F21" w:rsidP="00E14102">
            <w:pPr>
              <w:jc w:val="both"/>
              <w:rPr>
                <w:color w:val="000000" w:themeColor="text1"/>
                <w:sz w:val="16"/>
                <w:szCs w:val="16"/>
              </w:rPr>
            </w:pPr>
            <w:r w:rsidRPr="00E14102">
              <w:rPr>
                <w:color w:val="000000" w:themeColor="text1"/>
                <w:sz w:val="16"/>
                <w:szCs w:val="16"/>
              </w:rPr>
              <w:t>Велигура</w:t>
            </w:r>
          </w:p>
        </w:tc>
        <w:tc>
          <w:tcPr>
            <w:tcW w:w="1541" w:type="dxa"/>
          </w:tcPr>
          <w:p w14:paraId="4AFB3FC3" w14:textId="77777777" w:rsidR="00265F21" w:rsidRPr="00E14102" w:rsidRDefault="00265F21" w:rsidP="00E14102">
            <w:pPr>
              <w:jc w:val="both"/>
              <w:rPr>
                <w:color w:val="000000" w:themeColor="text1"/>
                <w:sz w:val="16"/>
                <w:szCs w:val="16"/>
              </w:rPr>
            </w:pPr>
            <w:r w:rsidRPr="00E14102">
              <w:rPr>
                <w:color w:val="000000" w:themeColor="text1"/>
                <w:sz w:val="16"/>
                <w:szCs w:val="16"/>
              </w:rPr>
              <w:t>Окончил ВАК?*</w:t>
            </w:r>
          </w:p>
        </w:tc>
        <w:tc>
          <w:tcPr>
            <w:tcW w:w="2180" w:type="dxa"/>
          </w:tcPr>
          <w:p w14:paraId="23C9EB1E" w14:textId="77777777" w:rsidR="00265F21" w:rsidRPr="00E14102" w:rsidRDefault="00265F21" w:rsidP="00E14102">
            <w:pPr>
              <w:jc w:val="both"/>
              <w:rPr>
                <w:color w:val="000000" w:themeColor="text1"/>
                <w:sz w:val="16"/>
                <w:szCs w:val="16"/>
              </w:rPr>
            </w:pPr>
            <w:r w:rsidRPr="00E14102">
              <w:rPr>
                <w:color w:val="000000" w:themeColor="text1"/>
                <w:sz w:val="16"/>
                <w:szCs w:val="16"/>
              </w:rPr>
              <w:t>8108</w:t>
            </w:r>
          </w:p>
        </w:tc>
        <w:tc>
          <w:tcPr>
            <w:tcW w:w="601" w:type="dxa"/>
          </w:tcPr>
          <w:p w14:paraId="144D981F" w14:textId="77777777" w:rsidR="00265F21" w:rsidRPr="00E14102" w:rsidRDefault="00265F21" w:rsidP="00E14102">
            <w:pPr>
              <w:jc w:val="both"/>
              <w:rPr>
                <w:color w:val="000000" w:themeColor="text1"/>
                <w:sz w:val="16"/>
                <w:szCs w:val="16"/>
              </w:rPr>
            </w:pPr>
            <w:r w:rsidRPr="00E14102">
              <w:rPr>
                <w:color w:val="000000" w:themeColor="text1"/>
                <w:sz w:val="16"/>
                <w:szCs w:val="16"/>
              </w:rPr>
              <w:t>6525</w:t>
            </w:r>
          </w:p>
        </w:tc>
        <w:tc>
          <w:tcPr>
            <w:tcW w:w="300" w:type="dxa"/>
          </w:tcPr>
          <w:p w14:paraId="7FD195E7" w14:textId="77777777" w:rsidR="00265F21" w:rsidRPr="00E14102" w:rsidRDefault="00265F21" w:rsidP="00E14102">
            <w:pPr>
              <w:jc w:val="both"/>
              <w:rPr>
                <w:color w:val="000000" w:themeColor="text1"/>
                <w:sz w:val="16"/>
                <w:szCs w:val="16"/>
              </w:rPr>
            </w:pPr>
            <w:r w:rsidRPr="00E14102">
              <w:rPr>
                <w:color w:val="000000" w:themeColor="text1"/>
                <w:sz w:val="16"/>
                <w:szCs w:val="16"/>
              </w:rPr>
              <w:t>650</w:t>
            </w:r>
          </w:p>
        </w:tc>
        <w:tc>
          <w:tcPr>
            <w:tcW w:w="1466" w:type="dxa"/>
          </w:tcPr>
          <w:p w14:paraId="2670CB69" w14:textId="77777777" w:rsidR="00265F21" w:rsidRPr="00E14102" w:rsidRDefault="00265F21" w:rsidP="00E14102">
            <w:pPr>
              <w:jc w:val="both"/>
              <w:rPr>
                <w:color w:val="000000" w:themeColor="text1"/>
                <w:sz w:val="16"/>
                <w:szCs w:val="16"/>
              </w:rPr>
            </w:pPr>
          </w:p>
        </w:tc>
      </w:tr>
      <w:tr w:rsidR="00E3599D" w:rsidRPr="00E14102" w14:paraId="1462149C" w14:textId="77777777" w:rsidTr="00A45C9C">
        <w:tc>
          <w:tcPr>
            <w:tcW w:w="1804" w:type="dxa"/>
          </w:tcPr>
          <w:p w14:paraId="19B43528" w14:textId="77777777" w:rsidR="00265F21" w:rsidRPr="00E14102" w:rsidRDefault="00265F21" w:rsidP="00E14102">
            <w:pPr>
              <w:jc w:val="both"/>
              <w:rPr>
                <w:color w:val="000000" w:themeColor="text1"/>
                <w:sz w:val="16"/>
                <w:szCs w:val="16"/>
              </w:rPr>
            </w:pPr>
            <w:r w:rsidRPr="00E14102">
              <w:rPr>
                <w:color w:val="000000" w:themeColor="text1"/>
                <w:sz w:val="16"/>
                <w:szCs w:val="16"/>
              </w:rPr>
              <w:t>16. им. Ильича</w:t>
            </w:r>
          </w:p>
        </w:tc>
        <w:tc>
          <w:tcPr>
            <w:tcW w:w="714" w:type="dxa"/>
          </w:tcPr>
          <w:p w14:paraId="3167FA5A" w14:textId="77777777" w:rsidR="00265F21" w:rsidRPr="00E14102" w:rsidRDefault="00265F21" w:rsidP="00E14102">
            <w:pPr>
              <w:jc w:val="both"/>
              <w:rPr>
                <w:color w:val="000000" w:themeColor="text1"/>
                <w:sz w:val="16"/>
                <w:szCs w:val="16"/>
              </w:rPr>
            </w:pPr>
            <w:r w:rsidRPr="00E14102">
              <w:rPr>
                <w:color w:val="000000" w:themeColor="text1"/>
                <w:sz w:val="16"/>
                <w:szCs w:val="16"/>
              </w:rPr>
              <w:t>Мариуполь</w:t>
            </w:r>
          </w:p>
        </w:tc>
        <w:tc>
          <w:tcPr>
            <w:tcW w:w="751" w:type="dxa"/>
          </w:tcPr>
          <w:p w14:paraId="7CFC18B9" w14:textId="77777777" w:rsidR="00265F21" w:rsidRPr="00E14102" w:rsidRDefault="00265F21" w:rsidP="00E14102">
            <w:pPr>
              <w:jc w:val="both"/>
              <w:rPr>
                <w:color w:val="000000" w:themeColor="text1"/>
                <w:sz w:val="16"/>
                <w:szCs w:val="16"/>
              </w:rPr>
            </w:pPr>
            <w:r w:rsidRPr="00E14102">
              <w:rPr>
                <w:color w:val="000000" w:themeColor="text1"/>
                <w:sz w:val="16"/>
                <w:szCs w:val="16"/>
              </w:rPr>
              <w:t>Радин</w:t>
            </w:r>
          </w:p>
        </w:tc>
        <w:tc>
          <w:tcPr>
            <w:tcW w:w="1541" w:type="dxa"/>
          </w:tcPr>
          <w:p w14:paraId="6E4D5CBA"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28EB3E96" w14:textId="77777777" w:rsidR="00265F21" w:rsidRPr="00E14102" w:rsidRDefault="00265F21" w:rsidP="00E14102">
            <w:pPr>
              <w:jc w:val="both"/>
              <w:rPr>
                <w:color w:val="000000" w:themeColor="text1"/>
                <w:sz w:val="16"/>
                <w:szCs w:val="16"/>
              </w:rPr>
            </w:pPr>
            <w:r w:rsidRPr="00E14102">
              <w:rPr>
                <w:color w:val="000000" w:themeColor="text1"/>
                <w:sz w:val="16"/>
                <w:szCs w:val="16"/>
              </w:rPr>
              <w:t>14168</w:t>
            </w:r>
          </w:p>
        </w:tc>
        <w:tc>
          <w:tcPr>
            <w:tcW w:w="601" w:type="dxa"/>
          </w:tcPr>
          <w:p w14:paraId="63CCD370" w14:textId="77777777" w:rsidR="00265F21" w:rsidRPr="00E14102" w:rsidRDefault="00265F21" w:rsidP="00E14102">
            <w:pPr>
              <w:jc w:val="both"/>
              <w:rPr>
                <w:color w:val="000000" w:themeColor="text1"/>
                <w:sz w:val="16"/>
                <w:szCs w:val="16"/>
              </w:rPr>
            </w:pPr>
            <w:r w:rsidRPr="00E14102">
              <w:rPr>
                <w:color w:val="000000" w:themeColor="text1"/>
                <w:sz w:val="16"/>
                <w:szCs w:val="16"/>
              </w:rPr>
              <w:t>17815</w:t>
            </w:r>
          </w:p>
        </w:tc>
        <w:tc>
          <w:tcPr>
            <w:tcW w:w="300" w:type="dxa"/>
          </w:tcPr>
          <w:p w14:paraId="43D84C73" w14:textId="77777777" w:rsidR="00265F21" w:rsidRPr="00E14102" w:rsidRDefault="00265F21" w:rsidP="00E14102">
            <w:pPr>
              <w:jc w:val="both"/>
              <w:rPr>
                <w:color w:val="000000" w:themeColor="text1"/>
                <w:sz w:val="16"/>
                <w:szCs w:val="16"/>
              </w:rPr>
            </w:pPr>
            <w:r w:rsidRPr="00E14102">
              <w:rPr>
                <w:color w:val="000000" w:themeColor="text1"/>
                <w:sz w:val="16"/>
                <w:szCs w:val="16"/>
              </w:rPr>
              <w:t>700</w:t>
            </w:r>
          </w:p>
        </w:tc>
        <w:tc>
          <w:tcPr>
            <w:tcW w:w="1466" w:type="dxa"/>
          </w:tcPr>
          <w:p w14:paraId="5BF9ACAB" w14:textId="77777777" w:rsidR="00265F21" w:rsidRPr="00E14102" w:rsidRDefault="00265F21" w:rsidP="00E14102">
            <w:pPr>
              <w:jc w:val="both"/>
              <w:rPr>
                <w:color w:val="000000" w:themeColor="text1"/>
                <w:sz w:val="16"/>
                <w:szCs w:val="16"/>
              </w:rPr>
            </w:pPr>
          </w:p>
        </w:tc>
      </w:tr>
      <w:tr w:rsidR="00E3599D" w:rsidRPr="00E14102" w14:paraId="42C60004" w14:textId="77777777" w:rsidTr="00A45C9C">
        <w:tc>
          <w:tcPr>
            <w:tcW w:w="1804" w:type="dxa"/>
          </w:tcPr>
          <w:p w14:paraId="11BD5B26" w14:textId="77777777" w:rsidR="00265F21" w:rsidRPr="00E14102" w:rsidRDefault="00265F21" w:rsidP="00E14102">
            <w:pPr>
              <w:jc w:val="both"/>
              <w:rPr>
                <w:color w:val="000000" w:themeColor="text1"/>
                <w:sz w:val="16"/>
                <w:szCs w:val="16"/>
              </w:rPr>
            </w:pPr>
            <w:r w:rsidRPr="00E14102">
              <w:rPr>
                <w:color w:val="000000" w:themeColor="text1"/>
                <w:sz w:val="16"/>
                <w:szCs w:val="16"/>
              </w:rPr>
              <w:t>17. им. Андреева</w:t>
            </w:r>
          </w:p>
        </w:tc>
        <w:tc>
          <w:tcPr>
            <w:tcW w:w="714" w:type="dxa"/>
          </w:tcPr>
          <w:p w14:paraId="285E764E" w14:textId="77777777" w:rsidR="00265F21" w:rsidRPr="00E14102" w:rsidRDefault="00265F21" w:rsidP="00E14102">
            <w:pPr>
              <w:jc w:val="both"/>
              <w:rPr>
                <w:color w:val="000000" w:themeColor="text1"/>
                <w:sz w:val="16"/>
                <w:szCs w:val="16"/>
              </w:rPr>
            </w:pPr>
            <w:r w:rsidRPr="00E14102">
              <w:rPr>
                <w:color w:val="000000" w:themeColor="text1"/>
                <w:sz w:val="16"/>
                <w:szCs w:val="16"/>
              </w:rPr>
              <w:t>Таганрог</w:t>
            </w:r>
          </w:p>
        </w:tc>
        <w:tc>
          <w:tcPr>
            <w:tcW w:w="751" w:type="dxa"/>
          </w:tcPr>
          <w:p w14:paraId="4AED5C56" w14:textId="77777777" w:rsidR="00265F21" w:rsidRPr="00E14102" w:rsidRDefault="00265F21" w:rsidP="00E14102">
            <w:pPr>
              <w:jc w:val="both"/>
              <w:rPr>
                <w:color w:val="000000" w:themeColor="text1"/>
                <w:sz w:val="16"/>
                <w:szCs w:val="16"/>
              </w:rPr>
            </w:pPr>
            <w:r w:rsidRPr="00E14102">
              <w:rPr>
                <w:color w:val="000000" w:themeColor="text1"/>
                <w:sz w:val="16"/>
                <w:szCs w:val="16"/>
              </w:rPr>
              <w:t>Колесников</w:t>
            </w:r>
          </w:p>
        </w:tc>
        <w:tc>
          <w:tcPr>
            <w:tcW w:w="1541" w:type="dxa"/>
          </w:tcPr>
          <w:p w14:paraId="0EFC2C75" w14:textId="77777777" w:rsidR="00265F21" w:rsidRPr="00E14102" w:rsidRDefault="00265F21" w:rsidP="00E14102">
            <w:pPr>
              <w:jc w:val="both"/>
              <w:rPr>
                <w:color w:val="000000" w:themeColor="text1"/>
                <w:sz w:val="16"/>
                <w:szCs w:val="16"/>
              </w:rPr>
            </w:pPr>
            <w:r w:rsidRPr="00E14102">
              <w:rPr>
                <w:color w:val="000000" w:themeColor="text1"/>
                <w:sz w:val="16"/>
                <w:szCs w:val="16"/>
              </w:rPr>
              <w:t>Инженер</w:t>
            </w:r>
          </w:p>
        </w:tc>
        <w:tc>
          <w:tcPr>
            <w:tcW w:w="2180" w:type="dxa"/>
          </w:tcPr>
          <w:p w14:paraId="7B42367A" w14:textId="77777777" w:rsidR="00265F21" w:rsidRPr="00E14102" w:rsidRDefault="00265F21" w:rsidP="00E14102">
            <w:pPr>
              <w:jc w:val="both"/>
              <w:rPr>
                <w:color w:val="000000" w:themeColor="text1"/>
                <w:sz w:val="16"/>
                <w:szCs w:val="16"/>
              </w:rPr>
            </w:pPr>
            <w:r w:rsidRPr="00E14102">
              <w:rPr>
                <w:color w:val="000000" w:themeColor="text1"/>
                <w:sz w:val="16"/>
                <w:szCs w:val="16"/>
              </w:rPr>
              <w:t>4860</w:t>
            </w:r>
          </w:p>
        </w:tc>
        <w:tc>
          <w:tcPr>
            <w:tcW w:w="601" w:type="dxa"/>
          </w:tcPr>
          <w:p w14:paraId="3630EC71" w14:textId="77777777" w:rsidR="00265F21" w:rsidRPr="00E14102" w:rsidRDefault="00265F21" w:rsidP="00E14102">
            <w:pPr>
              <w:jc w:val="both"/>
              <w:rPr>
                <w:color w:val="000000" w:themeColor="text1"/>
                <w:sz w:val="16"/>
                <w:szCs w:val="16"/>
              </w:rPr>
            </w:pPr>
            <w:r w:rsidRPr="00E14102">
              <w:rPr>
                <w:color w:val="000000" w:themeColor="text1"/>
                <w:sz w:val="16"/>
                <w:szCs w:val="16"/>
              </w:rPr>
              <w:t>8295</w:t>
            </w:r>
          </w:p>
        </w:tc>
        <w:tc>
          <w:tcPr>
            <w:tcW w:w="300" w:type="dxa"/>
          </w:tcPr>
          <w:p w14:paraId="0DEB8A4A" w14:textId="77777777" w:rsidR="00265F21" w:rsidRPr="00E14102" w:rsidRDefault="00265F21" w:rsidP="00E14102">
            <w:pPr>
              <w:jc w:val="both"/>
              <w:rPr>
                <w:color w:val="000000" w:themeColor="text1"/>
                <w:sz w:val="16"/>
                <w:szCs w:val="16"/>
              </w:rPr>
            </w:pPr>
            <w:r w:rsidRPr="00E14102">
              <w:rPr>
                <w:color w:val="000000" w:themeColor="text1"/>
                <w:sz w:val="16"/>
                <w:szCs w:val="16"/>
              </w:rPr>
              <w:t>900</w:t>
            </w:r>
          </w:p>
        </w:tc>
        <w:tc>
          <w:tcPr>
            <w:tcW w:w="1466" w:type="dxa"/>
          </w:tcPr>
          <w:p w14:paraId="2024E731" w14:textId="77777777" w:rsidR="00265F21" w:rsidRPr="00E14102" w:rsidRDefault="00265F21" w:rsidP="00E14102">
            <w:pPr>
              <w:jc w:val="both"/>
              <w:rPr>
                <w:color w:val="000000" w:themeColor="text1"/>
                <w:sz w:val="16"/>
                <w:szCs w:val="16"/>
              </w:rPr>
            </w:pPr>
          </w:p>
        </w:tc>
      </w:tr>
      <w:tr w:rsidR="00E3599D" w:rsidRPr="00E14102" w14:paraId="21EC9326" w14:textId="77777777" w:rsidTr="00A45C9C">
        <w:tc>
          <w:tcPr>
            <w:tcW w:w="1804" w:type="dxa"/>
          </w:tcPr>
          <w:p w14:paraId="40FB82A7" w14:textId="77777777" w:rsidR="00265F21" w:rsidRPr="00E14102" w:rsidRDefault="00265F21" w:rsidP="00E14102">
            <w:pPr>
              <w:jc w:val="both"/>
              <w:rPr>
                <w:color w:val="000000" w:themeColor="text1"/>
                <w:sz w:val="16"/>
                <w:szCs w:val="16"/>
              </w:rPr>
            </w:pPr>
            <w:r w:rsidRPr="00E14102">
              <w:rPr>
                <w:color w:val="000000" w:themeColor="text1"/>
                <w:sz w:val="16"/>
                <w:szCs w:val="16"/>
              </w:rPr>
              <w:t>18. им. К.Либкнехта</w:t>
            </w:r>
          </w:p>
        </w:tc>
        <w:tc>
          <w:tcPr>
            <w:tcW w:w="714" w:type="dxa"/>
          </w:tcPr>
          <w:p w14:paraId="0BD01B69" w14:textId="77777777" w:rsidR="00265F21" w:rsidRPr="00E14102" w:rsidRDefault="00265F21" w:rsidP="00E14102">
            <w:pPr>
              <w:jc w:val="both"/>
              <w:rPr>
                <w:color w:val="000000" w:themeColor="text1"/>
                <w:sz w:val="16"/>
                <w:szCs w:val="16"/>
              </w:rPr>
            </w:pPr>
            <w:r w:rsidRPr="00E14102">
              <w:rPr>
                <w:color w:val="000000" w:themeColor="text1"/>
                <w:sz w:val="16"/>
                <w:szCs w:val="16"/>
              </w:rPr>
              <w:t>Днепропетровск</w:t>
            </w:r>
          </w:p>
        </w:tc>
        <w:tc>
          <w:tcPr>
            <w:tcW w:w="751" w:type="dxa"/>
          </w:tcPr>
          <w:p w14:paraId="49B83D59" w14:textId="77777777" w:rsidR="00265F21" w:rsidRPr="00E14102" w:rsidRDefault="00265F21" w:rsidP="00E14102">
            <w:pPr>
              <w:jc w:val="both"/>
              <w:rPr>
                <w:color w:val="000000" w:themeColor="text1"/>
                <w:sz w:val="16"/>
                <w:szCs w:val="16"/>
              </w:rPr>
            </w:pPr>
            <w:r w:rsidRPr="00E14102">
              <w:rPr>
                <w:color w:val="000000" w:themeColor="text1"/>
                <w:sz w:val="16"/>
                <w:szCs w:val="16"/>
              </w:rPr>
              <w:t>Логийко</w:t>
            </w:r>
          </w:p>
        </w:tc>
        <w:tc>
          <w:tcPr>
            <w:tcW w:w="1541" w:type="dxa"/>
          </w:tcPr>
          <w:p w14:paraId="3C164DA2" w14:textId="77777777" w:rsidR="00265F21" w:rsidRPr="00E14102" w:rsidRDefault="00265F21" w:rsidP="00E14102">
            <w:pPr>
              <w:jc w:val="both"/>
              <w:rPr>
                <w:color w:val="000000" w:themeColor="text1"/>
                <w:sz w:val="16"/>
                <w:szCs w:val="16"/>
              </w:rPr>
            </w:pPr>
            <w:r w:rsidRPr="00E14102">
              <w:rPr>
                <w:color w:val="000000" w:themeColor="text1"/>
                <w:sz w:val="16"/>
                <w:szCs w:val="16"/>
              </w:rPr>
              <w:t>Высшее, Пром­академия</w:t>
            </w:r>
          </w:p>
        </w:tc>
        <w:tc>
          <w:tcPr>
            <w:tcW w:w="2180" w:type="dxa"/>
          </w:tcPr>
          <w:p w14:paraId="3EAD1293" w14:textId="77777777" w:rsidR="00265F21" w:rsidRPr="00E14102" w:rsidRDefault="00265F21" w:rsidP="00E14102">
            <w:pPr>
              <w:jc w:val="both"/>
              <w:rPr>
                <w:color w:val="000000" w:themeColor="text1"/>
                <w:sz w:val="16"/>
                <w:szCs w:val="16"/>
              </w:rPr>
            </w:pPr>
            <w:r w:rsidRPr="00E14102">
              <w:rPr>
                <w:color w:val="000000" w:themeColor="text1"/>
                <w:sz w:val="16"/>
                <w:szCs w:val="16"/>
              </w:rPr>
              <w:t>7612</w:t>
            </w:r>
          </w:p>
        </w:tc>
        <w:tc>
          <w:tcPr>
            <w:tcW w:w="601" w:type="dxa"/>
          </w:tcPr>
          <w:p w14:paraId="10AE5943" w14:textId="77777777" w:rsidR="00265F21" w:rsidRPr="00E14102" w:rsidRDefault="00265F21" w:rsidP="00E14102">
            <w:pPr>
              <w:jc w:val="both"/>
              <w:rPr>
                <w:color w:val="000000" w:themeColor="text1"/>
                <w:sz w:val="16"/>
                <w:szCs w:val="16"/>
              </w:rPr>
            </w:pPr>
            <w:r w:rsidRPr="00E14102">
              <w:rPr>
                <w:color w:val="000000" w:themeColor="text1"/>
                <w:sz w:val="16"/>
                <w:szCs w:val="16"/>
              </w:rPr>
              <w:t>8676</w:t>
            </w:r>
          </w:p>
        </w:tc>
        <w:tc>
          <w:tcPr>
            <w:tcW w:w="300" w:type="dxa"/>
          </w:tcPr>
          <w:p w14:paraId="0BA31A3D" w14:textId="77777777" w:rsidR="00265F21" w:rsidRPr="00E14102" w:rsidRDefault="00265F21" w:rsidP="00E14102">
            <w:pPr>
              <w:jc w:val="both"/>
              <w:rPr>
                <w:color w:val="000000" w:themeColor="text1"/>
                <w:sz w:val="16"/>
                <w:szCs w:val="16"/>
              </w:rPr>
            </w:pPr>
            <w:r w:rsidRPr="00E14102">
              <w:rPr>
                <w:color w:val="000000" w:themeColor="text1"/>
                <w:sz w:val="16"/>
                <w:szCs w:val="16"/>
              </w:rPr>
              <w:t>700</w:t>
            </w:r>
          </w:p>
        </w:tc>
        <w:tc>
          <w:tcPr>
            <w:tcW w:w="1466" w:type="dxa"/>
          </w:tcPr>
          <w:p w14:paraId="0B3240CC" w14:textId="77777777" w:rsidR="00265F21" w:rsidRPr="00E14102" w:rsidRDefault="00265F21" w:rsidP="00E14102">
            <w:pPr>
              <w:jc w:val="both"/>
              <w:rPr>
                <w:color w:val="000000" w:themeColor="text1"/>
                <w:sz w:val="16"/>
                <w:szCs w:val="16"/>
              </w:rPr>
            </w:pPr>
          </w:p>
        </w:tc>
      </w:tr>
      <w:tr w:rsidR="00E3599D" w:rsidRPr="00E14102" w14:paraId="5C4630F8" w14:textId="77777777" w:rsidTr="00A45C9C">
        <w:tc>
          <w:tcPr>
            <w:tcW w:w="1804" w:type="dxa"/>
          </w:tcPr>
          <w:p w14:paraId="0BD5E5C2" w14:textId="77777777" w:rsidR="00265F21" w:rsidRPr="00E14102" w:rsidRDefault="00265F21" w:rsidP="00E14102">
            <w:pPr>
              <w:jc w:val="both"/>
              <w:rPr>
                <w:color w:val="000000" w:themeColor="text1"/>
                <w:sz w:val="16"/>
                <w:szCs w:val="16"/>
              </w:rPr>
            </w:pPr>
            <w:r w:rsidRPr="00E14102">
              <w:rPr>
                <w:color w:val="000000" w:themeColor="text1"/>
                <w:sz w:val="16"/>
                <w:szCs w:val="16"/>
              </w:rPr>
              <w:t>19. им. Ленина</w:t>
            </w:r>
          </w:p>
        </w:tc>
        <w:tc>
          <w:tcPr>
            <w:tcW w:w="714" w:type="dxa"/>
          </w:tcPr>
          <w:p w14:paraId="27DC0BDC" w14:textId="77777777" w:rsidR="00265F21" w:rsidRPr="00E14102" w:rsidRDefault="00265F21" w:rsidP="00E14102">
            <w:pPr>
              <w:jc w:val="both"/>
              <w:rPr>
                <w:color w:val="000000" w:themeColor="text1"/>
                <w:sz w:val="16"/>
                <w:szCs w:val="16"/>
              </w:rPr>
            </w:pPr>
            <w:r w:rsidRPr="00E14102">
              <w:rPr>
                <w:color w:val="000000" w:themeColor="text1"/>
                <w:sz w:val="16"/>
                <w:szCs w:val="16"/>
              </w:rPr>
              <w:t>Днепропетровск</w:t>
            </w:r>
          </w:p>
        </w:tc>
        <w:tc>
          <w:tcPr>
            <w:tcW w:w="751" w:type="dxa"/>
          </w:tcPr>
          <w:p w14:paraId="3FBFBC3B" w14:textId="77777777" w:rsidR="00265F21" w:rsidRPr="00E14102" w:rsidRDefault="00265F21" w:rsidP="00E14102">
            <w:pPr>
              <w:jc w:val="both"/>
              <w:rPr>
                <w:color w:val="000000" w:themeColor="text1"/>
                <w:sz w:val="16"/>
                <w:szCs w:val="16"/>
              </w:rPr>
            </w:pPr>
            <w:r w:rsidRPr="00E14102">
              <w:rPr>
                <w:color w:val="000000" w:themeColor="text1"/>
                <w:sz w:val="16"/>
                <w:szCs w:val="16"/>
              </w:rPr>
              <w:t>Майстренко</w:t>
            </w:r>
          </w:p>
        </w:tc>
        <w:tc>
          <w:tcPr>
            <w:tcW w:w="1541" w:type="dxa"/>
          </w:tcPr>
          <w:p w14:paraId="39A4FDF3"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09AF16F1" w14:textId="77777777" w:rsidR="00265F21" w:rsidRPr="00E14102" w:rsidRDefault="00265F21" w:rsidP="00E14102">
            <w:pPr>
              <w:jc w:val="both"/>
              <w:rPr>
                <w:color w:val="000000" w:themeColor="text1"/>
                <w:sz w:val="16"/>
                <w:szCs w:val="16"/>
              </w:rPr>
            </w:pPr>
            <w:r w:rsidRPr="00E14102">
              <w:rPr>
                <w:color w:val="000000" w:themeColor="text1"/>
                <w:sz w:val="16"/>
                <w:szCs w:val="16"/>
              </w:rPr>
              <w:t>5465</w:t>
            </w:r>
          </w:p>
        </w:tc>
        <w:tc>
          <w:tcPr>
            <w:tcW w:w="601" w:type="dxa"/>
          </w:tcPr>
          <w:p w14:paraId="1D0FCFDA" w14:textId="77777777" w:rsidR="00265F21" w:rsidRPr="00E14102" w:rsidRDefault="00265F21" w:rsidP="00E14102">
            <w:pPr>
              <w:jc w:val="both"/>
              <w:rPr>
                <w:color w:val="000000" w:themeColor="text1"/>
                <w:sz w:val="16"/>
                <w:szCs w:val="16"/>
              </w:rPr>
            </w:pPr>
            <w:r w:rsidRPr="00E14102">
              <w:rPr>
                <w:color w:val="000000" w:themeColor="text1"/>
                <w:sz w:val="16"/>
                <w:szCs w:val="16"/>
              </w:rPr>
              <w:t>6466</w:t>
            </w:r>
          </w:p>
        </w:tc>
        <w:tc>
          <w:tcPr>
            <w:tcW w:w="300" w:type="dxa"/>
          </w:tcPr>
          <w:p w14:paraId="02A5AFCC" w14:textId="77777777" w:rsidR="00265F21" w:rsidRPr="00E14102" w:rsidRDefault="00265F21" w:rsidP="00E14102">
            <w:pPr>
              <w:jc w:val="both"/>
              <w:rPr>
                <w:color w:val="000000" w:themeColor="text1"/>
                <w:sz w:val="16"/>
                <w:szCs w:val="16"/>
              </w:rPr>
            </w:pPr>
            <w:r w:rsidRPr="00E14102">
              <w:rPr>
                <w:color w:val="000000" w:themeColor="text1"/>
                <w:sz w:val="16"/>
                <w:szCs w:val="16"/>
              </w:rPr>
              <w:t>700</w:t>
            </w:r>
          </w:p>
        </w:tc>
        <w:tc>
          <w:tcPr>
            <w:tcW w:w="1466" w:type="dxa"/>
          </w:tcPr>
          <w:p w14:paraId="2955D12B" w14:textId="77777777" w:rsidR="00265F21" w:rsidRPr="00E14102" w:rsidRDefault="00265F21" w:rsidP="00E14102">
            <w:pPr>
              <w:jc w:val="both"/>
              <w:rPr>
                <w:color w:val="000000" w:themeColor="text1"/>
                <w:sz w:val="16"/>
                <w:szCs w:val="16"/>
              </w:rPr>
            </w:pPr>
          </w:p>
        </w:tc>
      </w:tr>
      <w:tr w:rsidR="00E3599D" w:rsidRPr="00E14102" w14:paraId="7E0A8DFF" w14:textId="77777777" w:rsidTr="00A45C9C">
        <w:tc>
          <w:tcPr>
            <w:tcW w:w="1804" w:type="dxa"/>
          </w:tcPr>
          <w:p w14:paraId="0BD17C7A" w14:textId="77777777" w:rsidR="00265F21" w:rsidRPr="00E14102" w:rsidRDefault="00265F21" w:rsidP="00E14102">
            <w:pPr>
              <w:jc w:val="both"/>
              <w:rPr>
                <w:color w:val="000000" w:themeColor="text1"/>
                <w:sz w:val="16"/>
                <w:szCs w:val="16"/>
              </w:rPr>
            </w:pPr>
            <w:r w:rsidRPr="00E14102">
              <w:rPr>
                <w:color w:val="000000" w:themeColor="text1"/>
                <w:sz w:val="16"/>
                <w:szCs w:val="16"/>
              </w:rPr>
              <w:t>20. Верхнеисетский</w:t>
            </w:r>
          </w:p>
        </w:tc>
        <w:tc>
          <w:tcPr>
            <w:tcW w:w="714" w:type="dxa"/>
          </w:tcPr>
          <w:p w14:paraId="7EA11AC0" w14:textId="77777777" w:rsidR="00265F21" w:rsidRPr="00E14102" w:rsidRDefault="00265F21" w:rsidP="00E14102">
            <w:pPr>
              <w:jc w:val="both"/>
              <w:rPr>
                <w:color w:val="000000" w:themeColor="text1"/>
                <w:sz w:val="16"/>
                <w:szCs w:val="16"/>
              </w:rPr>
            </w:pPr>
            <w:r w:rsidRPr="00E14102">
              <w:rPr>
                <w:color w:val="000000" w:themeColor="text1"/>
                <w:sz w:val="16"/>
                <w:szCs w:val="16"/>
              </w:rPr>
              <w:t>Свердловск</w:t>
            </w:r>
          </w:p>
        </w:tc>
        <w:tc>
          <w:tcPr>
            <w:tcW w:w="751" w:type="dxa"/>
          </w:tcPr>
          <w:p w14:paraId="058C2E11" w14:textId="77777777" w:rsidR="00265F21" w:rsidRPr="00E14102" w:rsidRDefault="00265F21" w:rsidP="00E14102">
            <w:pPr>
              <w:jc w:val="both"/>
              <w:rPr>
                <w:color w:val="000000" w:themeColor="text1"/>
                <w:sz w:val="16"/>
                <w:szCs w:val="16"/>
              </w:rPr>
            </w:pPr>
            <w:r w:rsidRPr="00E14102">
              <w:rPr>
                <w:color w:val="000000" w:themeColor="text1"/>
                <w:sz w:val="16"/>
                <w:szCs w:val="16"/>
              </w:rPr>
              <w:t>Колгушкин</w:t>
            </w:r>
          </w:p>
        </w:tc>
        <w:tc>
          <w:tcPr>
            <w:tcW w:w="1541" w:type="dxa"/>
          </w:tcPr>
          <w:p w14:paraId="6DCFEE75"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5CFBE5C1" w14:textId="77777777" w:rsidR="00265F21" w:rsidRPr="00E14102" w:rsidRDefault="00265F21" w:rsidP="00E14102">
            <w:pPr>
              <w:jc w:val="both"/>
              <w:rPr>
                <w:color w:val="000000" w:themeColor="text1"/>
                <w:sz w:val="16"/>
                <w:szCs w:val="16"/>
              </w:rPr>
            </w:pPr>
            <w:r w:rsidRPr="00E14102">
              <w:rPr>
                <w:color w:val="000000" w:themeColor="text1"/>
                <w:sz w:val="16"/>
                <w:szCs w:val="16"/>
              </w:rPr>
              <w:t>2589</w:t>
            </w:r>
          </w:p>
        </w:tc>
        <w:tc>
          <w:tcPr>
            <w:tcW w:w="601" w:type="dxa"/>
          </w:tcPr>
          <w:p w14:paraId="46AA02A4" w14:textId="77777777" w:rsidR="00265F21" w:rsidRPr="00E14102" w:rsidRDefault="00265F21" w:rsidP="00E14102">
            <w:pPr>
              <w:jc w:val="both"/>
              <w:rPr>
                <w:color w:val="000000" w:themeColor="text1"/>
                <w:sz w:val="16"/>
                <w:szCs w:val="16"/>
              </w:rPr>
            </w:pPr>
            <w:r w:rsidRPr="00E14102">
              <w:rPr>
                <w:color w:val="000000" w:themeColor="text1"/>
                <w:sz w:val="16"/>
                <w:szCs w:val="16"/>
              </w:rPr>
              <w:t>3307</w:t>
            </w:r>
          </w:p>
        </w:tc>
        <w:tc>
          <w:tcPr>
            <w:tcW w:w="300" w:type="dxa"/>
          </w:tcPr>
          <w:p w14:paraId="03342C24" w14:textId="77777777" w:rsidR="00265F21" w:rsidRPr="00E14102" w:rsidRDefault="00265F21" w:rsidP="00E14102">
            <w:pPr>
              <w:jc w:val="both"/>
              <w:rPr>
                <w:color w:val="000000" w:themeColor="text1"/>
                <w:sz w:val="16"/>
                <w:szCs w:val="16"/>
              </w:rPr>
            </w:pPr>
            <w:r w:rsidRPr="00E14102">
              <w:rPr>
                <w:color w:val="000000" w:themeColor="text1"/>
                <w:sz w:val="16"/>
                <w:szCs w:val="16"/>
              </w:rPr>
              <w:t>650</w:t>
            </w:r>
          </w:p>
        </w:tc>
        <w:tc>
          <w:tcPr>
            <w:tcW w:w="1466" w:type="dxa"/>
          </w:tcPr>
          <w:p w14:paraId="038E1D66" w14:textId="77777777" w:rsidR="00265F21" w:rsidRPr="00E14102" w:rsidRDefault="00265F21" w:rsidP="00E14102">
            <w:pPr>
              <w:jc w:val="both"/>
              <w:rPr>
                <w:color w:val="000000" w:themeColor="text1"/>
                <w:sz w:val="16"/>
                <w:szCs w:val="16"/>
              </w:rPr>
            </w:pPr>
          </w:p>
        </w:tc>
      </w:tr>
      <w:tr w:rsidR="00E3599D" w:rsidRPr="00E14102" w14:paraId="30D1BA2B" w14:textId="77777777" w:rsidTr="00A45C9C">
        <w:tc>
          <w:tcPr>
            <w:tcW w:w="1804" w:type="dxa"/>
          </w:tcPr>
          <w:p w14:paraId="75F66C74" w14:textId="77777777" w:rsidR="00265F21" w:rsidRPr="00E14102" w:rsidRDefault="00265F21" w:rsidP="00E14102">
            <w:pPr>
              <w:jc w:val="both"/>
              <w:rPr>
                <w:color w:val="000000" w:themeColor="text1"/>
                <w:sz w:val="16"/>
                <w:szCs w:val="16"/>
              </w:rPr>
            </w:pPr>
            <w:r w:rsidRPr="00E14102">
              <w:rPr>
                <w:color w:val="000000" w:themeColor="text1"/>
                <w:sz w:val="16"/>
                <w:szCs w:val="16"/>
              </w:rPr>
              <w:t>21. Челябинский ферросплавный</w:t>
            </w:r>
          </w:p>
        </w:tc>
        <w:tc>
          <w:tcPr>
            <w:tcW w:w="714" w:type="dxa"/>
          </w:tcPr>
          <w:p w14:paraId="09ABA6BD" w14:textId="77777777" w:rsidR="00265F21" w:rsidRPr="00E14102" w:rsidRDefault="00265F21" w:rsidP="00E14102">
            <w:pPr>
              <w:jc w:val="both"/>
              <w:rPr>
                <w:color w:val="000000" w:themeColor="text1"/>
                <w:sz w:val="16"/>
                <w:szCs w:val="16"/>
              </w:rPr>
            </w:pPr>
            <w:r w:rsidRPr="00E14102">
              <w:rPr>
                <w:color w:val="000000" w:themeColor="text1"/>
                <w:sz w:val="16"/>
                <w:szCs w:val="16"/>
              </w:rPr>
              <w:t>Челябинск</w:t>
            </w:r>
          </w:p>
        </w:tc>
        <w:tc>
          <w:tcPr>
            <w:tcW w:w="751" w:type="dxa"/>
          </w:tcPr>
          <w:p w14:paraId="1928593C" w14:textId="77777777" w:rsidR="00265F21" w:rsidRPr="00E14102" w:rsidRDefault="00265F21" w:rsidP="00E14102">
            <w:pPr>
              <w:jc w:val="both"/>
              <w:rPr>
                <w:color w:val="000000" w:themeColor="text1"/>
                <w:sz w:val="16"/>
                <w:szCs w:val="16"/>
              </w:rPr>
            </w:pPr>
            <w:r w:rsidRPr="00E14102">
              <w:rPr>
                <w:color w:val="000000" w:themeColor="text1"/>
                <w:sz w:val="16"/>
                <w:szCs w:val="16"/>
              </w:rPr>
              <w:t>Власов</w:t>
            </w:r>
          </w:p>
        </w:tc>
        <w:tc>
          <w:tcPr>
            <w:tcW w:w="1541" w:type="dxa"/>
          </w:tcPr>
          <w:p w14:paraId="3BF40B98" w14:textId="77777777" w:rsidR="00265F21" w:rsidRPr="00E14102" w:rsidRDefault="00265F21" w:rsidP="00E14102">
            <w:pPr>
              <w:jc w:val="both"/>
              <w:rPr>
                <w:color w:val="000000" w:themeColor="text1"/>
                <w:sz w:val="16"/>
                <w:szCs w:val="16"/>
              </w:rPr>
            </w:pPr>
            <w:r w:rsidRPr="00E14102">
              <w:rPr>
                <w:color w:val="000000" w:themeColor="text1"/>
                <w:sz w:val="16"/>
                <w:szCs w:val="16"/>
              </w:rPr>
              <w:t>Окончил Комвуз</w:t>
            </w:r>
          </w:p>
        </w:tc>
        <w:tc>
          <w:tcPr>
            <w:tcW w:w="2180" w:type="dxa"/>
          </w:tcPr>
          <w:p w14:paraId="1C6D93EC" w14:textId="77777777" w:rsidR="00265F21" w:rsidRPr="00E14102" w:rsidRDefault="00265F21" w:rsidP="00E14102">
            <w:pPr>
              <w:jc w:val="both"/>
              <w:rPr>
                <w:color w:val="000000" w:themeColor="text1"/>
                <w:sz w:val="16"/>
                <w:szCs w:val="16"/>
              </w:rPr>
            </w:pPr>
            <w:r w:rsidRPr="00E14102">
              <w:rPr>
                <w:color w:val="000000" w:themeColor="text1"/>
                <w:sz w:val="16"/>
                <w:szCs w:val="16"/>
              </w:rPr>
              <w:t>1038</w:t>
            </w:r>
          </w:p>
        </w:tc>
        <w:tc>
          <w:tcPr>
            <w:tcW w:w="601" w:type="dxa"/>
          </w:tcPr>
          <w:p w14:paraId="32D08613" w14:textId="77777777" w:rsidR="00265F21" w:rsidRPr="00E14102" w:rsidRDefault="00265F21" w:rsidP="00E14102">
            <w:pPr>
              <w:jc w:val="both"/>
              <w:rPr>
                <w:color w:val="000000" w:themeColor="text1"/>
                <w:sz w:val="16"/>
                <w:szCs w:val="16"/>
              </w:rPr>
            </w:pPr>
            <w:r w:rsidRPr="00E14102">
              <w:rPr>
                <w:color w:val="000000" w:themeColor="text1"/>
                <w:sz w:val="16"/>
                <w:szCs w:val="16"/>
              </w:rPr>
              <w:t>1482</w:t>
            </w:r>
          </w:p>
        </w:tc>
        <w:tc>
          <w:tcPr>
            <w:tcW w:w="300" w:type="dxa"/>
          </w:tcPr>
          <w:p w14:paraId="04B4495E" w14:textId="77777777" w:rsidR="00265F21" w:rsidRPr="00E14102" w:rsidRDefault="00265F21" w:rsidP="00E14102">
            <w:pPr>
              <w:jc w:val="both"/>
              <w:rPr>
                <w:color w:val="000000" w:themeColor="text1"/>
                <w:sz w:val="16"/>
                <w:szCs w:val="16"/>
              </w:rPr>
            </w:pPr>
            <w:r w:rsidRPr="00E14102">
              <w:rPr>
                <w:color w:val="000000" w:themeColor="text1"/>
                <w:sz w:val="16"/>
                <w:szCs w:val="16"/>
              </w:rPr>
              <w:t>650</w:t>
            </w:r>
          </w:p>
        </w:tc>
        <w:tc>
          <w:tcPr>
            <w:tcW w:w="1466" w:type="dxa"/>
          </w:tcPr>
          <w:p w14:paraId="136F530C" w14:textId="77777777" w:rsidR="00265F21" w:rsidRPr="00E14102" w:rsidRDefault="00265F21" w:rsidP="00E14102">
            <w:pPr>
              <w:jc w:val="both"/>
              <w:rPr>
                <w:color w:val="000000" w:themeColor="text1"/>
                <w:sz w:val="16"/>
                <w:szCs w:val="16"/>
              </w:rPr>
            </w:pPr>
          </w:p>
        </w:tc>
      </w:tr>
      <w:tr w:rsidR="00E3599D" w:rsidRPr="00E14102" w14:paraId="1D185CB8" w14:textId="77777777" w:rsidTr="00A45C9C">
        <w:tc>
          <w:tcPr>
            <w:tcW w:w="1804" w:type="dxa"/>
          </w:tcPr>
          <w:p w14:paraId="78DFD00B" w14:textId="77777777" w:rsidR="00265F21" w:rsidRPr="00E14102" w:rsidRDefault="00265F21" w:rsidP="00E14102">
            <w:pPr>
              <w:jc w:val="both"/>
              <w:rPr>
                <w:color w:val="000000" w:themeColor="text1"/>
                <w:sz w:val="16"/>
                <w:szCs w:val="16"/>
              </w:rPr>
            </w:pPr>
            <w:r w:rsidRPr="00E14102">
              <w:rPr>
                <w:color w:val="000000" w:themeColor="text1"/>
                <w:sz w:val="16"/>
                <w:szCs w:val="16"/>
              </w:rPr>
              <w:t>22. им. Войкова</w:t>
            </w:r>
          </w:p>
        </w:tc>
        <w:tc>
          <w:tcPr>
            <w:tcW w:w="714" w:type="dxa"/>
          </w:tcPr>
          <w:p w14:paraId="3D3D40B0" w14:textId="77777777" w:rsidR="00265F21" w:rsidRPr="00E14102" w:rsidRDefault="00265F21" w:rsidP="00E14102">
            <w:pPr>
              <w:jc w:val="both"/>
              <w:rPr>
                <w:color w:val="000000" w:themeColor="text1"/>
                <w:sz w:val="16"/>
                <w:szCs w:val="16"/>
              </w:rPr>
            </w:pPr>
            <w:r w:rsidRPr="00E14102">
              <w:rPr>
                <w:color w:val="000000" w:themeColor="text1"/>
                <w:sz w:val="16"/>
                <w:szCs w:val="16"/>
              </w:rPr>
              <w:t>Керчь</w:t>
            </w:r>
          </w:p>
        </w:tc>
        <w:tc>
          <w:tcPr>
            <w:tcW w:w="751" w:type="dxa"/>
          </w:tcPr>
          <w:p w14:paraId="71E7822A" w14:textId="77777777" w:rsidR="00265F21" w:rsidRPr="00E14102" w:rsidRDefault="00265F21" w:rsidP="00E14102">
            <w:pPr>
              <w:jc w:val="both"/>
              <w:rPr>
                <w:color w:val="000000" w:themeColor="text1"/>
                <w:sz w:val="16"/>
                <w:szCs w:val="16"/>
              </w:rPr>
            </w:pPr>
            <w:r w:rsidRPr="00E14102">
              <w:rPr>
                <w:color w:val="000000" w:themeColor="text1"/>
                <w:sz w:val="16"/>
                <w:szCs w:val="16"/>
              </w:rPr>
              <w:t>Глинка</w:t>
            </w:r>
          </w:p>
        </w:tc>
        <w:tc>
          <w:tcPr>
            <w:tcW w:w="1541" w:type="dxa"/>
          </w:tcPr>
          <w:p w14:paraId="59798A7B" w14:textId="77777777" w:rsidR="00265F21" w:rsidRPr="00E14102" w:rsidRDefault="00265F21" w:rsidP="00E14102">
            <w:pPr>
              <w:jc w:val="both"/>
              <w:rPr>
                <w:color w:val="000000" w:themeColor="text1"/>
                <w:sz w:val="16"/>
                <w:szCs w:val="16"/>
              </w:rPr>
            </w:pPr>
            <w:r w:rsidRPr="00E14102">
              <w:rPr>
                <w:color w:val="000000" w:themeColor="text1"/>
                <w:sz w:val="16"/>
                <w:szCs w:val="16"/>
              </w:rPr>
              <w:t>Окончил Пром­академию</w:t>
            </w:r>
          </w:p>
        </w:tc>
        <w:tc>
          <w:tcPr>
            <w:tcW w:w="2180" w:type="dxa"/>
          </w:tcPr>
          <w:p w14:paraId="26C26907" w14:textId="77777777" w:rsidR="00265F21" w:rsidRPr="00E14102" w:rsidRDefault="00265F21" w:rsidP="00E14102">
            <w:pPr>
              <w:jc w:val="both"/>
              <w:rPr>
                <w:color w:val="000000" w:themeColor="text1"/>
                <w:sz w:val="16"/>
                <w:szCs w:val="16"/>
              </w:rPr>
            </w:pPr>
            <w:r w:rsidRPr="00E14102">
              <w:rPr>
                <w:color w:val="000000" w:themeColor="text1"/>
                <w:sz w:val="16"/>
                <w:szCs w:val="16"/>
              </w:rPr>
              <w:t>3606</w:t>
            </w:r>
          </w:p>
        </w:tc>
        <w:tc>
          <w:tcPr>
            <w:tcW w:w="601" w:type="dxa"/>
          </w:tcPr>
          <w:p w14:paraId="0B43EAF1" w14:textId="77777777" w:rsidR="00265F21" w:rsidRPr="00E14102" w:rsidRDefault="00265F21" w:rsidP="00E14102">
            <w:pPr>
              <w:jc w:val="both"/>
              <w:rPr>
                <w:color w:val="000000" w:themeColor="text1"/>
                <w:sz w:val="16"/>
                <w:szCs w:val="16"/>
              </w:rPr>
            </w:pPr>
            <w:r w:rsidRPr="00E14102">
              <w:rPr>
                <w:color w:val="000000" w:themeColor="text1"/>
                <w:sz w:val="16"/>
                <w:szCs w:val="16"/>
              </w:rPr>
              <w:t>5956</w:t>
            </w:r>
          </w:p>
        </w:tc>
        <w:tc>
          <w:tcPr>
            <w:tcW w:w="300" w:type="dxa"/>
          </w:tcPr>
          <w:p w14:paraId="4798D845" w14:textId="77777777" w:rsidR="00265F21" w:rsidRPr="00E14102" w:rsidRDefault="00265F21" w:rsidP="00E14102">
            <w:pPr>
              <w:jc w:val="both"/>
              <w:rPr>
                <w:color w:val="000000" w:themeColor="text1"/>
                <w:sz w:val="16"/>
                <w:szCs w:val="16"/>
              </w:rPr>
            </w:pPr>
            <w:r w:rsidRPr="00E14102">
              <w:rPr>
                <w:color w:val="000000" w:themeColor="text1"/>
                <w:sz w:val="16"/>
                <w:szCs w:val="16"/>
              </w:rPr>
              <w:t>900</w:t>
            </w:r>
          </w:p>
        </w:tc>
        <w:tc>
          <w:tcPr>
            <w:tcW w:w="1466" w:type="dxa"/>
          </w:tcPr>
          <w:p w14:paraId="4DADBC29" w14:textId="77777777" w:rsidR="00265F21" w:rsidRPr="00E14102" w:rsidRDefault="00265F21" w:rsidP="00E14102">
            <w:pPr>
              <w:jc w:val="both"/>
              <w:rPr>
                <w:color w:val="000000" w:themeColor="text1"/>
                <w:sz w:val="16"/>
                <w:szCs w:val="16"/>
              </w:rPr>
            </w:pPr>
          </w:p>
        </w:tc>
      </w:tr>
      <w:tr w:rsidR="00E3599D" w:rsidRPr="00E14102" w14:paraId="0C7E2493" w14:textId="77777777" w:rsidTr="00A45C9C">
        <w:tc>
          <w:tcPr>
            <w:tcW w:w="1804" w:type="dxa"/>
          </w:tcPr>
          <w:p w14:paraId="4AA9C0EE" w14:textId="77777777" w:rsidR="00265F21" w:rsidRPr="00E14102" w:rsidRDefault="00265F21" w:rsidP="00E14102">
            <w:pPr>
              <w:jc w:val="both"/>
              <w:rPr>
                <w:color w:val="000000" w:themeColor="text1"/>
                <w:sz w:val="16"/>
                <w:szCs w:val="16"/>
              </w:rPr>
            </w:pPr>
            <w:r w:rsidRPr="00E14102">
              <w:rPr>
                <w:color w:val="000000" w:themeColor="text1"/>
                <w:sz w:val="16"/>
                <w:szCs w:val="16"/>
              </w:rPr>
              <w:t>23. Краматорский</w:t>
            </w:r>
          </w:p>
        </w:tc>
        <w:tc>
          <w:tcPr>
            <w:tcW w:w="714" w:type="dxa"/>
          </w:tcPr>
          <w:p w14:paraId="6D5B4C3D" w14:textId="77777777" w:rsidR="00265F21" w:rsidRPr="00E14102" w:rsidRDefault="00265F21" w:rsidP="00E14102">
            <w:pPr>
              <w:jc w:val="both"/>
              <w:rPr>
                <w:color w:val="000000" w:themeColor="text1"/>
                <w:sz w:val="16"/>
                <w:szCs w:val="16"/>
              </w:rPr>
            </w:pPr>
            <w:r w:rsidRPr="00E14102">
              <w:rPr>
                <w:color w:val="000000" w:themeColor="text1"/>
                <w:sz w:val="16"/>
                <w:szCs w:val="16"/>
              </w:rPr>
              <w:t>Краматорск</w:t>
            </w:r>
          </w:p>
        </w:tc>
        <w:tc>
          <w:tcPr>
            <w:tcW w:w="751" w:type="dxa"/>
          </w:tcPr>
          <w:p w14:paraId="6288C1EF" w14:textId="77777777" w:rsidR="00265F21" w:rsidRPr="00E14102" w:rsidRDefault="00265F21" w:rsidP="00E14102">
            <w:pPr>
              <w:jc w:val="both"/>
              <w:rPr>
                <w:color w:val="000000" w:themeColor="text1"/>
                <w:sz w:val="16"/>
                <w:szCs w:val="16"/>
              </w:rPr>
            </w:pPr>
            <w:r w:rsidRPr="00E14102">
              <w:rPr>
                <w:color w:val="000000" w:themeColor="text1"/>
                <w:sz w:val="16"/>
                <w:szCs w:val="16"/>
              </w:rPr>
              <w:t>Рязанов</w:t>
            </w:r>
          </w:p>
        </w:tc>
        <w:tc>
          <w:tcPr>
            <w:tcW w:w="1541" w:type="dxa"/>
          </w:tcPr>
          <w:p w14:paraId="3384DEBE" w14:textId="77777777" w:rsidR="00265F21" w:rsidRPr="00E14102" w:rsidRDefault="00265F21" w:rsidP="00E14102">
            <w:pPr>
              <w:jc w:val="both"/>
              <w:rPr>
                <w:color w:val="000000" w:themeColor="text1"/>
                <w:sz w:val="16"/>
                <w:szCs w:val="16"/>
              </w:rPr>
            </w:pPr>
            <w:r w:rsidRPr="00E14102">
              <w:rPr>
                <w:color w:val="000000" w:themeColor="text1"/>
                <w:sz w:val="16"/>
                <w:szCs w:val="16"/>
              </w:rPr>
              <w:t>Инженер</w:t>
            </w:r>
          </w:p>
        </w:tc>
        <w:tc>
          <w:tcPr>
            <w:tcW w:w="2180" w:type="dxa"/>
          </w:tcPr>
          <w:p w14:paraId="0B61EE9A" w14:textId="77777777" w:rsidR="00265F21" w:rsidRPr="00E14102" w:rsidRDefault="00265F21" w:rsidP="00E14102">
            <w:pPr>
              <w:jc w:val="both"/>
              <w:rPr>
                <w:color w:val="000000" w:themeColor="text1"/>
                <w:sz w:val="16"/>
                <w:szCs w:val="16"/>
              </w:rPr>
            </w:pPr>
            <w:r w:rsidRPr="00E14102">
              <w:rPr>
                <w:color w:val="000000" w:themeColor="text1"/>
                <w:sz w:val="16"/>
                <w:szCs w:val="16"/>
              </w:rPr>
              <w:t>3482</w:t>
            </w:r>
          </w:p>
        </w:tc>
        <w:tc>
          <w:tcPr>
            <w:tcW w:w="601" w:type="dxa"/>
          </w:tcPr>
          <w:p w14:paraId="470B39AD" w14:textId="77777777" w:rsidR="00265F21" w:rsidRPr="00E14102" w:rsidRDefault="00265F21" w:rsidP="00E14102">
            <w:pPr>
              <w:jc w:val="both"/>
              <w:rPr>
                <w:color w:val="000000" w:themeColor="text1"/>
                <w:sz w:val="16"/>
                <w:szCs w:val="16"/>
              </w:rPr>
            </w:pPr>
            <w:r w:rsidRPr="00E14102">
              <w:rPr>
                <w:color w:val="000000" w:themeColor="text1"/>
                <w:sz w:val="16"/>
                <w:szCs w:val="16"/>
              </w:rPr>
              <w:t>6016</w:t>
            </w:r>
          </w:p>
        </w:tc>
        <w:tc>
          <w:tcPr>
            <w:tcW w:w="300" w:type="dxa"/>
          </w:tcPr>
          <w:p w14:paraId="14B07060" w14:textId="77777777" w:rsidR="00265F21" w:rsidRPr="00E14102" w:rsidRDefault="00265F21" w:rsidP="00E14102">
            <w:pPr>
              <w:jc w:val="both"/>
              <w:rPr>
                <w:color w:val="000000" w:themeColor="text1"/>
                <w:sz w:val="16"/>
                <w:szCs w:val="16"/>
              </w:rPr>
            </w:pPr>
            <w:r w:rsidRPr="00E14102">
              <w:rPr>
                <w:color w:val="000000" w:themeColor="text1"/>
                <w:sz w:val="16"/>
                <w:szCs w:val="16"/>
              </w:rPr>
              <w:t>800</w:t>
            </w:r>
          </w:p>
        </w:tc>
        <w:tc>
          <w:tcPr>
            <w:tcW w:w="1466" w:type="dxa"/>
          </w:tcPr>
          <w:p w14:paraId="4FD3D423" w14:textId="77777777" w:rsidR="00265F21" w:rsidRPr="00E14102" w:rsidRDefault="00265F21" w:rsidP="00E14102">
            <w:pPr>
              <w:jc w:val="both"/>
              <w:rPr>
                <w:color w:val="000000" w:themeColor="text1"/>
                <w:sz w:val="16"/>
                <w:szCs w:val="16"/>
              </w:rPr>
            </w:pPr>
          </w:p>
        </w:tc>
      </w:tr>
      <w:tr w:rsidR="00E3599D" w:rsidRPr="00E14102" w14:paraId="371DF032" w14:textId="77777777" w:rsidTr="00A45C9C">
        <w:tc>
          <w:tcPr>
            <w:tcW w:w="1804" w:type="dxa"/>
          </w:tcPr>
          <w:p w14:paraId="5E4DD76B" w14:textId="77777777" w:rsidR="00265F21" w:rsidRPr="00E14102" w:rsidRDefault="00265F21" w:rsidP="00E14102">
            <w:pPr>
              <w:jc w:val="both"/>
              <w:rPr>
                <w:color w:val="000000" w:themeColor="text1"/>
                <w:sz w:val="16"/>
                <w:szCs w:val="16"/>
              </w:rPr>
            </w:pPr>
            <w:r w:rsidRPr="00E14102">
              <w:rPr>
                <w:color w:val="000000" w:themeColor="text1"/>
                <w:sz w:val="16"/>
                <w:szCs w:val="16"/>
              </w:rPr>
              <w:t>24. Златоустовский</w:t>
            </w:r>
          </w:p>
        </w:tc>
        <w:tc>
          <w:tcPr>
            <w:tcW w:w="714" w:type="dxa"/>
          </w:tcPr>
          <w:p w14:paraId="6B4E10AA" w14:textId="77777777" w:rsidR="00265F21" w:rsidRPr="00E14102" w:rsidRDefault="00265F21" w:rsidP="00E14102">
            <w:pPr>
              <w:jc w:val="both"/>
              <w:rPr>
                <w:color w:val="000000" w:themeColor="text1"/>
                <w:sz w:val="16"/>
                <w:szCs w:val="16"/>
              </w:rPr>
            </w:pPr>
            <w:r w:rsidRPr="00E14102">
              <w:rPr>
                <w:color w:val="000000" w:themeColor="text1"/>
                <w:sz w:val="16"/>
                <w:szCs w:val="16"/>
              </w:rPr>
              <w:t>Златоуст</w:t>
            </w:r>
          </w:p>
        </w:tc>
        <w:tc>
          <w:tcPr>
            <w:tcW w:w="751" w:type="dxa"/>
          </w:tcPr>
          <w:p w14:paraId="2CE24012" w14:textId="77777777" w:rsidR="00265F21" w:rsidRPr="00E14102" w:rsidRDefault="00265F21" w:rsidP="00E14102">
            <w:pPr>
              <w:jc w:val="both"/>
              <w:rPr>
                <w:color w:val="000000" w:themeColor="text1"/>
                <w:sz w:val="16"/>
                <w:szCs w:val="16"/>
              </w:rPr>
            </w:pPr>
            <w:r w:rsidRPr="00E14102">
              <w:rPr>
                <w:color w:val="000000" w:themeColor="text1"/>
                <w:sz w:val="16"/>
                <w:szCs w:val="16"/>
              </w:rPr>
              <w:t>Миляев</w:t>
            </w:r>
          </w:p>
        </w:tc>
        <w:tc>
          <w:tcPr>
            <w:tcW w:w="1541" w:type="dxa"/>
          </w:tcPr>
          <w:p w14:paraId="7EC0C52E"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44598353" w14:textId="77777777" w:rsidR="00265F21" w:rsidRPr="00E14102" w:rsidRDefault="00265F21" w:rsidP="00E14102">
            <w:pPr>
              <w:jc w:val="both"/>
              <w:rPr>
                <w:color w:val="000000" w:themeColor="text1"/>
                <w:sz w:val="16"/>
                <w:szCs w:val="16"/>
              </w:rPr>
            </w:pPr>
            <w:r w:rsidRPr="00E14102">
              <w:rPr>
                <w:color w:val="000000" w:themeColor="text1"/>
                <w:sz w:val="16"/>
                <w:szCs w:val="16"/>
              </w:rPr>
              <w:t>4672</w:t>
            </w:r>
          </w:p>
        </w:tc>
        <w:tc>
          <w:tcPr>
            <w:tcW w:w="601" w:type="dxa"/>
          </w:tcPr>
          <w:p w14:paraId="390FECAE" w14:textId="77777777" w:rsidR="00265F21" w:rsidRPr="00E14102" w:rsidRDefault="00265F21" w:rsidP="00E14102">
            <w:pPr>
              <w:jc w:val="both"/>
              <w:rPr>
                <w:color w:val="000000" w:themeColor="text1"/>
                <w:sz w:val="16"/>
                <w:szCs w:val="16"/>
              </w:rPr>
            </w:pPr>
            <w:r w:rsidRPr="00E14102">
              <w:rPr>
                <w:color w:val="000000" w:themeColor="text1"/>
                <w:sz w:val="16"/>
                <w:szCs w:val="16"/>
              </w:rPr>
              <w:t>5967</w:t>
            </w:r>
          </w:p>
        </w:tc>
        <w:tc>
          <w:tcPr>
            <w:tcW w:w="300" w:type="dxa"/>
          </w:tcPr>
          <w:p w14:paraId="32F7ADC6" w14:textId="77777777" w:rsidR="00265F21" w:rsidRPr="00E14102" w:rsidRDefault="00265F21" w:rsidP="00E14102">
            <w:pPr>
              <w:jc w:val="both"/>
              <w:rPr>
                <w:color w:val="000000" w:themeColor="text1"/>
                <w:sz w:val="16"/>
                <w:szCs w:val="16"/>
              </w:rPr>
            </w:pPr>
            <w:r w:rsidRPr="00E14102">
              <w:rPr>
                <w:color w:val="000000" w:themeColor="text1"/>
                <w:sz w:val="16"/>
                <w:szCs w:val="16"/>
              </w:rPr>
              <w:t>650</w:t>
            </w:r>
          </w:p>
        </w:tc>
        <w:tc>
          <w:tcPr>
            <w:tcW w:w="1466" w:type="dxa"/>
          </w:tcPr>
          <w:p w14:paraId="62D2413F" w14:textId="77777777" w:rsidR="00265F21" w:rsidRPr="00E14102" w:rsidRDefault="00265F21" w:rsidP="00E14102">
            <w:pPr>
              <w:jc w:val="both"/>
              <w:rPr>
                <w:color w:val="000000" w:themeColor="text1"/>
                <w:sz w:val="16"/>
                <w:szCs w:val="16"/>
              </w:rPr>
            </w:pPr>
          </w:p>
        </w:tc>
      </w:tr>
      <w:tr w:rsidR="00E3599D" w:rsidRPr="00E14102" w14:paraId="57D22C37" w14:textId="77777777" w:rsidTr="00A45C9C">
        <w:tc>
          <w:tcPr>
            <w:tcW w:w="1804" w:type="dxa"/>
          </w:tcPr>
          <w:p w14:paraId="12946DA2" w14:textId="77777777" w:rsidR="00265F21" w:rsidRPr="00E14102" w:rsidRDefault="00265F21" w:rsidP="00E14102">
            <w:pPr>
              <w:jc w:val="both"/>
              <w:rPr>
                <w:color w:val="000000" w:themeColor="text1"/>
                <w:sz w:val="16"/>
                <w:szCs w:val="16"/>
              </w:rPr>
            </w:pPr>
            <w:r w:rsidRPr="00E14102">
              <w:rPr>
                <w:color w:val="000000" w:themeColor="text1"/>
                <w:sz w:val="16"/>
                <w:szCs w:val="16"/>
              </w:rPr>
              <w:t>25. Первоуральский новотрубный</w:t>
            </w:r>
          </w:p>
        </w:tc>
        <w:tc>
          <w:tcPr>
            <w:tcW w:w="714" w:type="dxa"/>
          </w:tcPr>
          <w:p w14:paraId="633E8D8E" w14:textId="77777777" w:rsidR="00265F21" w:rsidRPr="00E14102" w:rsidRDefault="00265F21" w:rsidP="00E14102">
            <w:pPr>
              <w:jc w:val="both"/>
              <w:rPr>
                <w:color w:val="000000" w:themeColor="text1"/>
                <w:sz w:val="16"/>
                <w:szCs w:val="16"/>
              </w:rPr>
            </w:pPr>
            <w:r w:rsidRPr="00E14102">
              <w:rPr>
                <w:color w:val="000000" w:themeColor="text1"/>
                <w:sz w:val="16"/>
                <w:szCs w:val="16"/>
              </w:rPr>
              <w:t>Первоуральск</w:t>
            </w:r>
          </w:p>
        </w:tc>
        <w:tc>
          <w:tcPr>
            <w:tcW w:w="751" w:type="dxa"/>
          </w:tcPr>
          <w:p w14:paraId="71C97925" w14:textId="77777777" w:rsidR="00265F21" w:rsidRPr="00E14102" w:rsidRDefault="00265F21" w:rsidP="00E14102">
            <w:pPr>
              <w:jc w:val="both"/>
              <w:rPr>
                <w:color w:val="000000" w:themeColor="text1"/>
                <w:sz w:val="16"/>
                <w:szCs w:val="16"/>
              </w:rPr>
            </w:pPr>
            <w:r w:rsidRPr="00E14102">
              <w:rPr>
                <w:color w:val="000000" w:themeColor="text1"/>
                <w:sz w:val="16"/>
                <w:szCs w:val="16"/>
              </w:rPr>
              <w:t>Шмидт</w:t>
            </w:r>
          </w:p>
        </w:tc>
        <w:tc>
          <w:tcPr>
            <w:tcW w:w="1541" w:type="dxa"/>
          </w:tcPr>
          <w:p w14:paraId="5939643F"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09C79CA2" w14:textId="77777777" w:rsidR="00265F21" w:rsidRPr="00E14102" w:rsidRDefault="00265F21" w:rsidP="00E14102">
            <w:pPr>
              <w:jc w:val="both"/>
              <w:rPr>
                <w:color w:val="000000" w:themeColor="text1"/>
                <w:sz w:val="16"/>
                <w:szCs w:val="16"/>
              </w:rPr>
            </w:pPr>
            <w:r w:rsidRPr="00E14102">
              <w:rPr>
                <w:color w:val="000000" w:themeColor="text1"/>
                <w:sz w:val="16"/>
                <w:szCs w:val="16"/>
              </w:rPr>
              <w:t>137</w:t>
            </w:r>
          </w:p>
        </w:tc>
        <w:tc>
          <w:tcPr>
            <w:tcW w:w="601" w:type="dxa"/>
          </w:tcPr>
          <w:p w14:paraId="49D09ADD" w14:textId="77777777" w:rsidR="00265F21" w:rsidRPr="00E14102" w:rsidRDefault="00265F21" w:rsidP="00E14102">
            <w:pPr>
              <w:jc w:val="both"/>
              <w:rPr>
                <w:color w:val="000000" w:themeColor="text1"/>
                <w:sz w:val="16"/>
                <w:szCs w:val="16"/>
              </w:rPr>
            </w:pPr>
            <w:r w:rsidRPr="00E14102">
              <w:rPr>
                <w:color w:val="000000" w:themeColor="text1"/>
                <w:sz w:val="16"/>
                <w:szCs w:val="16"/>
              </w:rPr>
              <w:t>592</w:t>
            </w:r>
          </w:p>
        </w:tc>
        <w:tc>
          <w:tcPr>
            <w:tcW w:w="300" w:type="dxa"/>
          </w:tcPr>
          <w:p w14:paraId="62D1E9F9"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2A09DF8F" w14:textId="77777777" w:rsidR="00265F21" w:rsidRPr="00E14102" w:rsidRDefault="00265F21" w:rsidP="00E14102">
            <w:pPr>
              <w:jc w:val="both"/>
              <w:rPr>
                <w:color w:val="000000" w:themeColor="text1"/>
                <w:sz w:val="16"/>
                <w:szCs w:val="16"/>
              </w:rPr>
            </w:pPr>
            <w:r w:rsidRPr="00E14102">
              <w:rPr>
                <w:color w:val="000000" w:themeColor="text1"/>
                <w:sz w:val="16"/>
                <w:szCs w:val="16"/>
              </w:rPr>
              <w:t>Объем строительства в 35 г. 38 млн.</w:t>
            </w:r>
          </w:p>
        </w:tc>
      </w:tr>
      <w:tr w:rsidR="00E3599D" w:rsidRPr="00E14102" w14:paraId="0E14E758" w14:textId="77777777" w:rsidTr="00A45C9C">
        <w:tc>
          <w:tcPr>
            <w:tcW w:w="1804" w:type="dxa"/>
          </w:tcPr>
          <w:p w14:paraId="34F72DD2" w14:textId="77777777" w:rsidR="00265F21" w:rsidRPr="00E14102" w:rsidRDefault="00265F21" w:rsidP="00E14102">
            <w:pPr>
              <w:jc w:val="both"/>
              <w:rPr>
                <w:color w:val="000000" w:themeColor="text1"/>
                <w:sz w:val="16"/>
                <w:szCs w:val="16"/>
              </w:rPr>
            </w:pPr>
            <w:r w:rsidRPr="00E14102">
              <w:rPr>
                <w:color w:val="000000" w:themeColor="text1"/>
                <w:sz w:val="16"/>
                <w:szCs w:val="16"/>
              </w:rPr>
              <w:t>26. Никопольский</w:t>
            </w:r>
          </w:p>
        </w:tc>
        <w:tc>
          <w:tcPr>
            <w:tcW w:w="714" w:type="dxa"/>
          </w:tcPr>
          <w:p w14:paraId="09A5A417" w14:textId="77777777" w:rsidR="00265F21" w:rsidRPr="00E14102" w:rsidRDefault="00265F21" w:rsidP="00E14102">
            <w:pPr>
              <w:jc w:val="both"/>
              <w:rPr>
                <w:color w:val="000000" w:themeColor="text1"/>
                <w:sz w:val="16"/>
                <w:szCs w:val="16"/>
              </w:rPr>
            </w:pPr>
            <w:r w:rsidRPr="00E14102">
              <w:rPr>
                <w:color w:val="000000" w:themeColor="text1"/>
                <w:sz w:val="16"/>
                <w:szCs w:val="16"/>
              </w:rPr>
              <w:t>Никополь</w:t>
            </w:r>
          </w:p>
        </w:tc>
        <w:tc>
          <w:tcPr>
            <w:tcW w:w="751" w:type="dxa"/>
          </w:tcPr>
          <w:p w14:paraId="3294AED1" w14:textId="77777777" w:rsidR="00265F21" w:rsidRPr="00E14102" w:rsidRDefault="00265F21" w:rsidP="00E14102">
            <w:pPr>
              <w:jc w:val="both"/>
              <w:rPr>
                <w:color w:val="000000" w:themeColor="text1"/>
                <w:sz w:val="16"/>
                <w:szCs w:val="16"/>
              </w:rPr>
            </w:pPr>
            <w:r w:rsidRPr="00E14102">
              <w:rPr>
                <w:color w:val="000000" w:themeColor="text1"/>
                <w:sz w:val="16"/>
                <w:szCs w:val="16"/>
              </w:rPr>
              <w:t>Брачко</w:t>
            </w:r>
          </w:p>
        </w:tc>
        <w:tc>
          <w:tcPr>
            <w:tcW w:w="1541" w:type="dxa"/>
          </w:tcPr>
          <w:p w14:paraId="0D036511" w14:textId="77777777" w:rsidR="00265F21" w:rsidRPr="00E14102" w:rsidRDefault="00265F21" w:rsidP="00E14102">
            <w:pPr>
              <w:jc w:val="both"/>
              <w:rPr>
                <w:color w:val="000000" w:themeColor="text1"/>
                <w:sz w:val="16"/>
                <w:szCs w:val="16"/>
              </w:rPr>
            </w:pPr>
            <w:r w:rsidRPr="00E14102">
              <w:rPr>
                <w:color w:val="000000" w:themeColor="text1"/>
                <w:sz w:val="16"/>
                <w:szCs w:val="16"/>
              </w:rPr>
              <w:t>Не закончил Промакадемию</w:t>
            </w:r>
          </w:p>
        </w:tc>
        <w:tc>
          <w:tcPr>
            <w:tcW w:w="2180" w:type="dxa"/>
          </w:tcPr>
          <w:p w14:paraId="5648E82F" w14:textId="77777777" w:rsidR="00265F21" w:rsidRPr="00E14102" w:rsidRDefault="00265F21" w:rsidP="00E14102">
            <w:pPr>
              <w:jc w:val="both"/>
              <w:rPr>
                <w:color w:val="000000" w:themeColor="text1"/>
                <w:sz w:val="16"/>
                <w:szCs w:val="16"/>
              </w:rPr>
            </w:pPr>
            <w:r w:rsidRPr="00E14102">
              <w:rPr>
                <w:color w:val="000000" w:themeColor="text1"/>
                <w:sz w:val="16"/>
                <w:szCs w:val="16"/>
              </w:rPr>
              <w:t>389</w:t>
            </w:r>
          </w:p>
        </w:tc>
        <w:tc>
          <w:tcPr>
            <w:tcW w:w="601" w:type="dxa"/>
          </w:tcPr>
          <w:p w14:paraId="460036F4" w14:textId="77777777" w:rsidR="00265F21" w:rsidRPr="00E14102" w:rsidRDefault="00265F21" w:rsidP="00E14102">
            <w:pPr>
              <w:jc w:val="both"/>
              <w:rPr>
                <w:color w:val="000000" w:themeColor="text1"/>
                <w:sz w:val="16"/>
                <w:szCs w:val="16"/>
              </w:rPr>
            </w:pPr>
            <w:r w:rsidRPr="00E14102">
              <w:rPr>
                <w:color w:val="000000" w:themeColor="text1"/>
                <w:sz w:val="16"/>
                <w:szCs w:val="16"/>
              </w:rPr>
              <w:t>297</w:t>
            </w:r>
          </w:p>
        </w:tc>
        <w:tc>
          <w:tcPr>
            <w:tcW w:w="300" w:type="dxa"/>
          </w:tcPr>
          <w:p w14:paraId="11490D5A" w14:textId="77777777" w:rsidR="00265F21" w:rsidRPr="00E14102" w:rsidRDefault="00265F21" w:rsidP="00E14102">
            <w:pPr>
              <w:jc w:val="both"/>
              <w:rPr>
                <w:color w:val="000000" w:themeColor="text1"/>
                <w:sz w:val="16"/>
                <w:szCs w:val="16"/>
              </w:rPr>
            </w:pPr>
            <w:r w:rsidRPr="00E14102">
              <w:rPr>
                <w:color w:val="000000" w:themeColor="text1"/>
                <w:sz w:val="16"/>
                <w:szCs w:val="16"/>
              </w:rPr>
              <w:t>700</w:t>
            </w:r>
          </w:p>
        </w:tc>
        <w:tc>
          <w:tcPr>
            <w:tcW w:w="1466" w:type="dxa"/>
          </w:tcPr>
          <w:p w14:paraId="3A91FFF3" w14:textId="77777777" w:rsidR="00265F21" w:rsidRPr="00E14102" w:rsidRDefault="00265F21" w:rsidP="00E14102">
            <w:pPr>
              <w:jc w:val="both"/>
              <w:rPr>
                <w:color w:val="000000" w:themeColor="text1"/>
                <w:sz w:val="16"/>
                <w:szCs w:val="16"/>
              </w:rPr>
            </w:pPr>
            <w:r w:rsidRPr="00E14102">
              <w:rPr>
                <w:color w:val="000000" w:themeColor="text1"/>
                <w:sz w:val="16"/>
                <w:szCs w:val="16"/>
              </w:rPr>
              <w:t>Объем строительства в 35 г. 33 млн.</w:t>
            </w:r>
          </w:p>
        </w:tc>
      </w:tr>
      <w:tr w:rsidR="00E3599D" w:rsidRPr="00E14102" w14:paraId="55ED439F" w14:textId="77777777" w:rsidTr="00A45C9C">
        <w:tc>
          <w:tcPr>
            <w:tcW w:w="1804" w:type="dxa"/>
          </w:tcPr>
          <w:p w14:paraId="52FBDB2E" w14:textId="77777777" w:rsidR="00265F21" w:rsidRPr="00E14102" w:rsidRDefault="00265F21" w:rsidP="00E14102">
            <w:pPr>
              <w:jc w:val="both"/>
              <w:rPr>
                <w:color w:val="000000" w:themeColor="text1"/>
                <w:sz w:val="16"/>
                <w:szCs w:val="16"/>
              </w:rPr>
            </w:pPr>
            <w:r w:rsidRPr="00E14102">
              <w:rPr>
                <w:color w:val="000000" w:themeColor="text1"/>
                <w:sz w:val="16"/>
                <w:szCs w:val="16"/>
              </w:rPr>
              <w:t>27. Чусовской</w:t>
            </w:r>
          </w:p>
        </w:tc>
        <w:tc>
          <w:tcPr>
            <w:tcW w:w="714" w:type="dxa"/>
          </w:tcPr>
          <w:p w14:paraId="2314671A" w14:textId="77777777" w:rsidR="00265F21" w:rsidRPr="00E14102" w:rsidRDefault="00265F21" w:rsidP="00E14102">
            <w:pPr>
              <w:jc w:val="both"/>
              <w:rPr>
                <w:color w:val="000000" w:themeColor="text1"/>
                <w:sz w:val="16"/>
                <w:szCs w:val="16"/>
              </w:rPr>
            </w:pPr>
            <w:r w:rsidRPr="00E14102">
              <w:rPr>
                <w:color w:val="000000" w:themeColor="text1"/>
                <w:sz w:val="16"/>
                <w:szCs w:val="16"/>
              </w:rPr>
              <w:t>Чусовая</w:t>
            </w:r>
          </w:p>
        </w:tc>
        <w:tc>
          <w:tcPr>
            <w:tcW w:w="751" w:type="dxa"/>
          </w:tcPr>
          <w:p w14:paraId="60C41FCB" w14:textId="77777777" w:rsidR="00265F21" w:rsidRPr="00E14102" w:rsidRDefault="00265F21" w:rsidP="00E14102">
            <w:pPr>
              <w:jc w:val="both"/>
              <w:rPr>
                <w:color w:val="000000" w:themeColor="text1"/>
                <w:sz w:val="16"/>
                <w:szCs w:val="16"/>
              </w:rPr>
            </w:pPr>
            <w:r w:rsidRPr="00E14102">
              <w:rPr>
                <w:color w:val="000000" w:themeColor="text1"/>
                <w:sz w:val="16"/>
                <w:szCs w:val="16"/>
              </w:rPr>
              <w:t>Донсков</w:t>
            </w:r>
          </w:p>
        </w:tc>
        <w:tc>
          <w:tcPr>
            <w:tcW w:w="1541" w:type="dxa"/>
          </w:tcPr>
          <w:p w14:paraId="5F04964C"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4E06BC7F" w14:textId="77777777" w:rsidR="00265F21" w:rsidRPr="00E14102" w:rsidRDefault="00265F21" w:rsidP="00E14102">
            <w:pPr>
              <w:jc w:val="both"/>
              <w:rPr>
                <w:color w:val="000000" w:themeColor="text1"/>
                <w:sz w:val="16"/>
                <w:szCs w:val="16"/>
              </w:rPr>
            </w:pPr>
            <w:r w:rsidRPr="00E14102">
              <w:rPr>
                <w:color w:val="000000" w:themeColor="text1"/>
                <w:sz w:val="16"/>
                <w:szCs w:val="16"/>
              </w:rPr>
              <w:t>1825</w:t>
            </w:r>
          </w:p>
        </w:tc>
        <w:tc>
          <w:tcPr>
            <w:tcW w:w="601" w:type="dxa"/>
          </w:tcPr>
          <w:p w14:paraId="737A3AA3" w14:textId="77777777" w:rsidR="00265F21" w:rsidRPr="00E14102" w:rsidRDefault="00265F21" w:rsidP="00E14102">
            <w:pPr>
              <w:jc w:val="both"/>
              <w:rPr>
                <w:color w:val="000000" w:themeColor="text1"/>
                <w:sz w:val="16"/>
                <w:szCs w:val="16"/>
              </w:rPr>
            </w:pPr>
            <w:r w:rsidRPr="00E14102">
              <w:rPr>
                <w:color w:val="000000" w:themeColor="text1"/>
                <w:sz w:val="16"/>
                <w:szCs w:val="16"/>
              </w:rPr>
              <w:t>3270</w:t>
            </w:r>
          </w:p>
        </w:tc>
        <w:tc>
          <w:tcPr>
            <w:tcW w:w="300" w:type="dxa"/>
          </w:tcPr>
          <w:p w14:paraId="33286BA3"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30B61FC3" w14:textId="77777777" w:rsidR="00265F21" w:rsidRPr="00E14102" w:rsidRDefault="00265F21" w:rsidP="00E14102">
            <w:pPr>
              <w:jc w:val="both"/>
              <w:rPr>
                <w:color w:val="000000" w:themeColor="text1"/>
                <w:sz w:val="16"/>
                <w:szCs w:val="16"/>
              </w:rPr>
            </w:pPr>
            <w:r w:rsidRPr="00E14102">
              <w:rPr>
                <w:color w:val="000000" w:themeColor="text1"/>
                <w:sz w:val="16"/>
                <w:szCs w:val="16"/>
              </w:rPr>
              <w:t>Объем строительства в 35 г. 10 млн.</w:t>
            </w:r>
          </w:p>
        </w:tc>
      </w:tr>
      <w:tr w:rsidR="00E3599D" w:rsidRPr="00E14102" w14:paraId="7AEEFC0F" w14:textId="77777777" w:rsidTr="00A45C9C">
        <w:tc>
          <w:tcPr>
            <w:tcW w:w="1804" w:type="dxa"/>
          </w:tcPr>
          <w:p w14:paraId="0A48050E" w14:textId="77777777" w:rsidR="00265F21" w:rsidRPr="00E14102" w:rsidRDefault="00265F21" w:rsidP="00E14102">
            <w:pPr>
              <w:jc w:val="both"/>
              <w:rPr>
                <w:color w:val="000000" w:themeColor="text1"/>
                <w:sz w:val="16"/>
                <w:szCs w:val="16"/>
              </w:rPr>
            </w:pPr>
            <w:r w:rsidRPr="00E14102">
              <w:rPr>
                <w:color w:val="000000" w:themeColor="text1"/>
                <w:sz w:val="16"/>
                <w:szCs w:val="16"/>
              </w:rPr>
              <w:t>28. Надеждинский</w:t>
            </w:r>
          </w:p>
        </w:tc>
        <w:tc>
          <w:tcPr>
            <w:tcW w:w="714" w:type="dxa"/>
          </w:tcPr>
          <w:p w14:paraId="07F698D8" w14:textId="77777777" w:rsidR="00265F21" w:rsidRPr="00E14102" w:rsidRDefault="00265F21" w:rsidP="00E14102">
            <w:pPr>
              <w:jc w:val="both"/>
              <w:rPr>
                <w:color w:val="000000" w:themeColor="text1"/>
                <w:sz w:val="16"/>
                <w:szCs w:val="16"/>
              </w:rPr>
            </w:pPr>
            <w:r w:rsidRPr="00E14102">
              <w:rPr>
                <w:color w:val="000000" w:themeColor="text1"/>
                <w:sz w:val="16"/>
                <w:szCs w:val="16"/>
              </w:rPr>
              <w:t>Надеждинск</w:t>
            </w:r>
          </w:p>
        </w:tc>
        <w:tc>
          <w:tcPr>
            <w:tcW w:w="751" w:type="dxa"/>
          </w:tcPr>
          <w:p w14:paraId="1A525722" w14:textId="77777777" w:rsidR="00265F21" w:rsidRPr="00E14102" w:rsidRDefault="00265F21" w:rsidP="00E14102">
            <w:pPr>
              <w:jc w:val="both"/>
              <w:rPr>
                <w:color w:val="000000" w:themeColor="text1"/>
                <w:sz w:val="16"/>
                <w:szCs w:val="16"/>
              </w:rPr>
            </w:pPr>
            <w:r w:rsidRPr="00E14102">
              <w:rPr>
                <w:color w:val="000000" w:themeColor="text1"/>
                <w:sz w:val="16"/>
                <w:szCs w:val="16"/>
              </w:rPr>
              <w:t>Стельмахович</w:t>
            </w:r>
          </w:p>
        </w:tc>
        <w:tc>
          <w:tcPr>
            <w:tcW w:w="1541" w:type="dxa"/>
          </w:tcPr>
          <w:p w14:paraId="63E583D3" w14:textId="77777777" w:rsidR="00265F21" w:rsidRPr="00E14102" w:rsidRDefault="00265F21" w:rsidP="00E14102">
            <w:pPr>
              <w:jc w:val="both"/>
              <w:rPr>
                <w:color w:val="000000" w:themeColor="text1"/>
                <w:sz w:val="16"/>
                <w:szCs w:val="16"/>
              </w:rPr>
            </w:pPr>
            <w:r w:rsidRPr="00E14102">
              <w:rPr>
                <w:color w:val="000000" w:themeColor="text1"/>
                <w:sz w:val="16"/>
                <w:szCs w:val="16"/>
              </w:rPr>
              <w:t>Инженер</w:t>
            </w:r>
          </w:p>
        </w:tc>
        <w:tc>
          <w:tcPr>
            <w:tcW w:w="2180" w:type="dxa"/>
          </w:tcPr>
          <w:p w14:paraId="76FF12A3" w14:textId="77777777" w:rsidR="00265F21" w:rsidRPr="00E14102" w:rsidRDefault="00265F21" w:rsidP="00E14102">
            <w:pPr>
              <w:jc w:val="both"/>
              <w:rPr>
                <w:color w:val="000000" w:themeColor="text1"/>
                <w:sz w:val="16"/>
                <w:szCs w:val="16"/>
              </w:rPr>
            </w:pPr>
            <w:r w:rsidRPr="00E14102">
              <w:rPr>
                <w:color w:val="000000" w:themeColor="text1"/>
                <w:sz w:val="16"/>
                <w:szCs w:val="16"/>
              </w:rPr>
              <w:t>3977</w:t>
            </w:r>
          </w:p>
        </w:tc>
        <w:tc>
          <w:tcPr>
            <w:tcW w:w="601" w:type="dxa"/>
          </w:tcPr>
          <w:p w14:paraId="327AE104" w14:textId="77777777" w:rsidR="00265F21" w:rsidRPr="00E14102" w:rsidRDefault="00265F21" w:rsidP="00E14102">
            <w:pPr>
              <w:jc w:val="both"/>
              <w:rPr>
                <w:color w:val="000000" w:themeColor="text1"/>
                <w:sz w:val="16"/>
                <w:szCs w:val="16"/>
              </w:rPr>
            </w:pPr>
            <w:r w:rsidRPr="00E14102">
              <w:rPr>
                <w:color w:val="000000" w:themeColor="text1"/>
                <w:sz w:val="16"/>
                <w:szCs w:val="16"/>
              </w:rPr>
              <w:t>7210</w:t>
            </w:r>
          </w:p>
        </w:tc>
        <w:tc>
          <w:tcPr>
            <w:tcW w:w="300" w:type="dxa"/>
          </w:tcPr>
          <w:p w14:paraId="2F171C36"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24A22194" w14:textId="77777777" w:rsidR="00265F21" w:rsidRPr="00E14102" w:rsidRDefault="00265F21" w:rsidP="00E14102">
            <w:pPr>
              <w:jc w:val="both"/>
              <w:rPr>
                <w:color w:val="000000" w:themeColor="text1"/>
                <w:sz w:val="16"/>
                <w:szCs w:val="16"/>
              </w:rPr>
            </w:pPr>
          </w:p>
        </w:tc>
      </w:tr>
      <w:tr w:rsidR="00E3599D" w:rsidRPr="00E14102" w14:paraId="3FE0D7ED" w14:textId="77777777" w:rsidTr="00A45C9C">
        <w:tc>
          <w:tcPr>
            <w:tcW w:w="1804" w:type="dxa"/>
          </w:tcPr>
          <w:p w14:paraId="3D48CEB9" w14:textId="77777777" w:rsidR="00265F21" w:rsidRPr="00E14102" w:rsidRDefault="00265F21" w:rsidP="00E14102">
            <w:pPr>
              <w:jc w:val="both"/>
              <w:rPr>
                <w:color w:val="000000" w:themeColor="text1"/>
                <w:sz w:val="16"/>
                <w:szCs w:val="16"/>
              </w:rPr>
            </w:pPr>
            <w:r w:rsidRPr="00E14102">
              <w:rPr>
                <w:color w:val="000000" w:themeColor="text1"/>
                <w:sz w:val="16"/>
                <w:szCs w:val="16"/>
              </w:rPr>
              <w:t>29. им. Фрунзе</w:t>
            </w:r>
          </w:p>
        </w:tc>
        <w:tc>
          <w:tcPr>
            <w:tcW w:w="714" w:type="dxa"/>
          </w:tcPr>
          <w:p w14:paraId="2D2F720A" w14:textId="77777777" w:rsidR="00265F21" w:rsidRPr="00E14102" w:rsidRDefault="00265F21" w:rsidP="00E14102">
            <w:pPr>
              <w:jc w:val="both"/>
              <w:rPr>
                <w:color w:val="000000" w:themeColor="text1"/>
                <w:sz w:val="16"/>
                <w:szCs w:val="16"/>
              </w:rPr>
            </w:pPr>
            <w:r w:rsidRPr="00E14102">
              <w:rPr>
                <w:color w:val="000000" w:themeColor="text1"/>
                <w:sz w:val="16"/>
                <w:szCs w:val="16"/>
              </w:rPr>
              <w:t>Константиновка</w:t>
            </w:r>
          </w:p>
        </w:tc>
        <w:tc>
          <w:tcPr>
            <w:tcW w:w="751" w:type="dxa"/>
          </w:tcPr>
          <w:p w14:paraId="1036B384" w14:textId="77777777" w:rsidR="00265F21" w:rsidRPr="00E14102" w:rsidRDefault="00265F21" w:rsidP="00E14102">
            <w:pPr>
              <w:jc w:val="both"/>
              <w:rPr>
                <w:color w:val="000000" w:themeColor="text1"/>
                <w:sz w:val="16"/>
                <w:szCs w:val="16"/>
              </w:rPr>
            </w:pPr>
            <w:r w:rsidRPr="00E14102">
              <w:rPr>
                <w:color w:val="000000" w:themeColor="text1"/>
                <w:sz w:val="16"/>
                <w:szCs w:val="16"/>
              </w:rPr>
              <w:t>Богенс</w:t>
            </w:r>
          </w:p>
        </w:tc>
        <w:tc>
          <w:tcPr>
            <w:tcW w:w="1541" w:type="dxa"/>
          </w:tcPr>
          <w:p w14:paraId="1D91862D" w14:textId="77777777" w:rsidR="00265F21" w:rsidRPr="00E14102" w:rsidRDefault="00265F21" w:rsidP="00E14102">
            <w:pPr>
              <w:jc w:val="both"/>
              <w:rPr>
                <w:color w:val="000000" w:themeColor="text1"/>
                <w:sz w:val="16"/>
                <w:szCs w:val="16"/>
              </w:rPr>
            </w:pPr>
            <w:r w:rsidRPr="00E14102">
              <w:rPr>
                <w:color w:val="000000" w:themeColor="text1"/>
                <w:sz w:val="16"/>
                <w:szCs w:val="16"/>
              </w:rPr>
              <w:t>Промакадемия</w:t>
            </w:r>
          </w:p>
        </w:tc>
        <w:tc>
          <w:tcPr>
            <w:tcW w:w="2180" w:type="dxa"/>
          </w:tcPr>
          <w:p w14:paraId="72D5412A" w14:textId="77777777" w:rsidR="00265F21" w:rsidRPr="00E14102" w:rsidRDefault="00265F21" w:rsidP="00E14102">
            <w:pPr>
              <w:jc w:val="both"/>
              <w:rPr>
                <w:color w:val="000000" w:themeColor="text1"/>
                <w:sz w:val="16"/>
                <w:szCs w:val="16"/>
              </w:rPr>
            </w:pPr>
            <w:r w:rsidRPr="00E14102">
              <w:rPr>
                <w:color w:val="000000" w:themeColor="text1"/>
                <w:sz w:val="16"/>
                <w:szCs w:val="16"/>
              </w:rPr>
              <w:t>2352</w:t>
            </w:r>
          </w:p>
        </w:tc>
        <w:tc>
          <w:tcPr>
            <w:tcW w:w="601" w:type="dxa"/>
          </w:tcPr>
          <w:p w14:paraId="7A31D9C5" w14:textId="77777777" w:rsidR="00265F21" w:rsidRPr="00E14102" w:rsidRDefault="00265F21" w:rsidP="00E14102">
            <w:pPr>
              <w:jc w:val="both"/>
              <w:rPr>
                <w:color w:val="000000" w:themeColor="text1"/>
                <w:sz w:val="16"/>
                <w:szCs w:val="16"/>
              </w:rPr>
            </w:pPr>
            <w:r w:rsidRPr="00E14102">
              <w:rPr>
                <w:color w:val="000000" w:themeColor="text1"/>
                <w:sz w:val="16"/>
                <w:szCs w:val="16"/>
              </w:rPr>
              <w:t>5075</w:t>
            </w:r>
          </w:p>
        </w:tc>
        <w:tc>
          <w:tcPr>
            <w:tcW w:w="300" w:type="dxa"/>
          </w:tcPr>
          <w:p w14:paraId="657C61F6" w14:textId="77777777" w:rsidR="00265F21" w:rsidRPr="00E14102" w:rsidRDefault="00265F21" w:rsidP="00E14102">
            <w:pPr>
              <w:jc w:val="both"/>
              <w:rPr>
                <w:color w:val="000000" w:themeColor="text1"/>
                <w:sz w:val="16"/>
                <w:szCs w:val="16"/>
              </w:rPr>
            </w:pPr>
            <w:r w:rsidRPr="00E14102">
              <w:rPr>
                <w:color w:val="000000" w:themeColor="text1"/>
                <w:sz w:val="16"/>
                <w:szCs w:val="16"/>
              </w:rPr>
              <w:t>875</w:t>
            </w:r>
          </w:p>
        </w:tc>
        <w:tc>
          <w:tcPr>
            <w:tcW w:w="1466" w:type="dxa"/>
          </w:tcPr>
          <w:p w14:paraId="6FC6FCE5" w14:textId="77777777" w:rsidR="00265F21" w:rsidRPr="00E14102" w:rsidRDefault="00265F21" w:rsidP="00E14102">
            <w:pPr>
              <w:jc w:val="both"/>
              <w:rPr>
                <w:color w:val="000000" w:themeColor="text1"/>
                <w:sz w:val="16"/>
                <w:szCs w:val="16"/>
              </w:rPr>
            </w:pPr>
          </w:p>
        </w:tc>
      </w:tr>
      <w:tr w:rsidR="00E3599D" w:rsidRPr="00E14102" w14:paraId="6581E3E2" w14:textId="77777777" w:rsidTr="00A45C9C">
        <w:tc>
          <w:tcPr>
            <w:tcW w:w="1804" w:type="dxa"/>
          </w:tcPr>
          <w:p w14:paraId="2FC866F5" w14:textId="77777777" w:rsidR="00265F21" w:rsidRPr="00E14102" w:rsidRDefault="00265F21" w:rsidP="00E14102">
            <w:pPr>
              <w:jc w:val="both"/>
              <w:rPr>
                <w:color w:val="000000" w:themeColor="text1"/>
                <w:sz w:val="16"/>
                <w:szCs w:val="16"/>
              </w:rPr>
            </w:pPr>
            <w:r w:rsidRPr="00E14102">
              <w:rPr>
                <w:color w:val="000000" w:themeColor="text1"/>
                <w:sz w:val="16"/>
                <w:szCs w:val="16"/>
              </w:rPr>
              <w:t>30. Сулинский</w:t>
            </w:r>
          </w:p>
        </w:tc>
        <w:tc>
          <w:tcPr>
            <w:tcW w:w="714" w:type="dxa"/>
          </w:tcPr>
          <w:p w14:paraId="36227FE6" w14:textId="77777777" w:rsidR="00265F21" w:rsidRPr="00E14102" w:rsidRDefault="00265F21" w:rsidP="00E14102">
            <w:pPr>
              <w:jc w:val="both"/>
              <w:rPr>
                <w:color w:val="000000" w:themeColor="text1"/>
                <w:sz w:val="16"/>
                <w:szCs w:val="16"/>
              </w:rPr>
            </w:pPr>
            <w:r w:rsidRPr="00E14102">
              <w:rPr>
                <w:color w:val="000000" w:themeColor="text1"/>
                <w:sz w:val="16"/>
                <w:szCs w:val="16"/>
              </w:rPr>
              <w:t>Сулин</w:t>
            </w:r>
          </w:p>
        </w:tc>
        <w:tc>
          <w:tcPr>
            <w:tcW w:w="751" w:type="dxa"/>
          </w:tcPr>
          <w:p w14:paraId="64916B8D" w14:textId="77777777" w:rsidR="00265F21" w:rsidRPr="00E14102" w:rsidRDefault="00265F21" w:rsidP="00E14102">
            <w:pPr>
              <w:jc w:val="both"/>
              <w:rPr>
                <w:color w:val="000000" w:themeColor="text1"/>
                <w:sz w:val="16"/>
                <w:szCs w:val="16"/>
              </w:rPr>
            </w:pPr>
            <w:r w:rsidRPr="00E14102">
              <w:rPr>
                <w:color w:val="000000" w:themeColor="text1"/>
                <w:sz w:val="16"/>
                <w:szCs w:val="16"/>
              </w:rPr>
              <w:t>Соловьев</w:t>
            </w:r>
          </w:p>
        </w:tc>
        <w:tc>
          <w:tcPr>
            <w:tcW w:w="1541" w:type="dxa"/>
          </w:tcPr>
          <w:p w14:paraId="39D7E7A0"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2ADDB214" w14:textId="77777777" w:rsidR="00265F21" w:rsidRPr="00E14102" w:rsidRDefault="00265F21" w:rsidP="00E14102">
            <w:pPr>
              <w:jc w:val="both"/>
              <w:rPr>
                <w:color w:val="000000" w:themeColor="text1"/>
                <w:sz w:val="16"/>
                <w:szCs w:val="16"/>
              </w:rPr>
            </w:pPr>
            <w:r w:rsidRPr="00E14102">
              <w:rPr>
                <w:color w:val="000000" w:themeColor="text1"/>
                <w:sz w:val="16"/>
                <w:szCs w:val="16"/>
              </w:rPr>
              <w:t>1831</w:t>
            </w:r>
          </w:p>
        </w:tc>
        <w:tc>
          <w:tcPr>
            <w:tcW w:w="601" w:type="dxa"/>
          </w:tcPr>
          <w:p w14:paraId="160571A6" w14:textId="77777777" w:rsidR="00265F21" w:rsidRPr="00E14102" w:rsidRDefault="00265F21" w:rsidP="00E14102">
            <w:pPr>
              <w:jc w:val="both"/>
              <w:rPr>
                <w:color w:val="000000" w:themeColor="text1"/>
                <w:sz w:val="16"/>
                <w:szCs w:val="16"/>
              </w:rPr>
            </w:pPr>
            <w:r w:rsidRPr="00E14102">
              <w:rPr>
                <w:color w:val="000000" w:themeColor="text1"/>
                <w:sz w:val="16"/>
                <w:szCs w:val="16"/>
              </w:rPr>
              <w:t>4508</w:t>
            </w:r>
          </w:p>
        </w:tc>
        <w:tc>
          <w:tcPr>
            <w:tcW w:w="300" w:type="dxa"/>
          </w:tcPr>
          <w:p w14:paraId="69E5B29C" w14:textId="77777777" w:rsidR="00265F21" w:rsidRPr="00E14102" w:rsidRDefault="00265F21" w:rsidP="00E14102">
            <w:pPr>
              <w:jc w:val="both"/>
              <w:rPr>
                <w:color w:val="000000" w:themeColor="text1"/>
                <w:sz w:val="16"/>
                <w:szCs w:val="16"/>
              </w:rPr>
            </w:pPr>
            <w:r w:rsidRPr="00E14102">
              <w:rPr>
                <w:color w:val="000000" w:themeColor="text1"/>
                <w:sz w:val="16"/>
                <w:szCs w:val="16"/>
              </w:rPr>
              <w:t>800</w:t>
            </w:r>
          </w:p>
        </w:tc>
        <w:tc>
          <w:tcPr>
            <w:tcW w:w="1466" w:type="dxa"/>
          </w:tcPr>
          <w:p w14:paraId="2C020B8D" w14:textId="77777777" w:rsidR="00265F21" w:rsidRPr="00E14102" w:rsidRDefault="00265F21" w:rsidP="00E14102">
            <w:pPr>
              <w:jc w:val="both"/>
              <w:rPr>
                <w:color w:val="000000" w:themeColor="text1"/>
                <w:sz w:val="16"/>
                <w:szCs w:val="16"/>
              </w:rPr>
            </w:pPr>
          </w:p>
        </w:tc>
      </w:tr>
      <w:tr w:rsidR="00E3599D" w:rsidRPr="00E14102" w14:paraId="5633222C" w14:textId="77777777" w:rsidTr="00A45C9C">
        <w:tc>
          <w:tcPr>
            <w:tcW w:w="1804" w:type="dxa"/>
          </w:tcPr>
          <w:p w14:paraId="43102FC4" w14:textId="77777777" w:rsidR="00265F21" w:rsidRPr="00E14102" w:rsidRDefault="00265F21" w:rsidP="00E14102">
            <w:pPr>
              <w:jc w:val="both"/>
              <w:rPr>
                <w:color w:val="000000" w:themeColor="text1"/>
                <w:sz w:val="16"/>
                <w:szCs w:val="16"/>
              </w:rPr>
            </w:pPr>
            <w:r w:rsidRPr="00E14102">
              <w:rPr>
                <w:color w:val="000000" w:themeColor="text1"/>
                <w:sz w:val="16"/>
                <w:szCs w:val="16"/>
              </w:rPr>
              <w:t>31. Выксунский</w:t>
            </w:r>
          </w:p>
        </w:tc>
        <w:tc>
          <w:tcPr>
            <w:tcW w:w="714" w:type="dxa"/>
          </w:tcPr>
          <w:p w14:paraId="5F0543CC" w14:textId="77777777" w:rsidR="00265F21" w:rsidRPr="00E14102" w:rsidRDefault="00265F21" w:rsidP="00E14102">
            <w:pPr>
              <w:jc w:val="both"/>
              <w:rPr>
                <w:color w:val="000000" w:themeColor="text1"/>
                <w:sz w:val="16"/>
                <w:szCs w:val="16"/>
              </w:rPr>
            </w:pPr>
            <w:r w:rsidRPr="00E14102">
              <w:rPr>
                <w:color w:val="000000" w:themeColor="text1"/>
                <w:sz w:val="16"/>
                <w:szCs w:val="16"/>
              </w:rPr>
              <w:t>Выкса</w:t>
            </w:r>
          </w:p>
        </w:tc>
        <w:tc>
          <w:tcPr>
            <w:tcW w:w="751" w:type="dxa"/>
          </w:tcPr>
          <w:p w14:paraId="6806E1E4" w14:textId="77777777" w:rsidR="00265F21" w:rsidRPr="00E14102" w:rsidRDefault="00265F21" w:rsidP="00E14102">
            <w:pPr>
              <w:jc w:val="both"/>
              <w:rPr>
                <w:color w:val="000000" w:themeColor="text1"/>
                <w:sz w:val="16"/>
                <w:szCs w:val="16"/>
              </w:rPr>
            </w:pPr>
            <w:r w:rsidRPr="00E14102">
              <w:rPr>
                <w:color w:val="000000" w:themeColor="text1"/>
                <w:sz w:val="16"/>
                <w:szCs w:val="16"/>
              </w:rPr>
              <w:t>Попов</w:t>
            </w:r>
          </w:p>
        </w:tc>
        <w:tc>
          <w:tcPr>
            <w:tcW w:w="1541" w:type="dxa"/>
          </w:tcPr>
          <w:p w14:paraId="6B14E089" w14:textId="77777777" w:rsidR="00265F21" w:rsidRPr="00E14102" w:rsidRDefault="00265F21" w:rsidP="00E14102">
            <w:pPr>
              <w:jc w:val="both"/>
              <w:rPr>
                <w:color w:val="000000" w:themeColor="text1"/>
                <w:sz w:val="16"/>
                <w:szCs w:val="16"/>
              </w:rPr>
            </w:pPr>
            <w:r w:rsidRPr="00E14102">
              <w:rPr>
                <w:color w:val="000000" w:themeColor="text1"/>
                <w:sz w:val="16"/>
                <w:szCs w:val="16"/>
              </w:rPr>
              <w:t>Техник</w:t>
            </w:r>
          </w:p>
        </w:tc>
        <w:tc>
          <w:tcPr>
            <w:tcW w:w="2180" w:type="dxa"/>
          </w:tcPr>
          <w:p w14:paraId="1AF6D983" w14:textId="77777777" w:rsidR="00265F21" w:rsidRPr="00E14102" w:rsidRDefault="00265F21" w:rsidP="00E14102">
            <w:pPr>
              <w:jc w:val="both"/>
              <w:rPr>
                <w:color w:val="000000" w:themeColor="text1"/>
                <w:sz w:val="16"/>
                <w:szCs w:val="16"/>
              </w:rPr>
            </w:pPr>
            <w:r w:rsidRPr="00E14102">
              <w:rPr>
                <w:color w:val="000000" w:themeColor="text1"/>
                <w:sz w:val="16"/>
                <w:szCs w:val="16"/>
              </w:rPr>
              <w:t>3029</w:t>
            </w:r>
          </w:p>
        </w:tc>
        <w:tc>
          <w:tcPr>
            <w:tcW w:w="601" w:type="dxa"/>
          </w:tcPr>
          <w:p w14:paraId="0B03463E" w14:textId="77777777" w:rsidR="00265F21" w:rsidRPr="00E14102" w:rsidRDefault="00265F21" w:rsidP="00E14102">
            <w:pPr>
              <w:jc w:val="both"/>
              <w:rPr>
                <w:color w:val="000000" w:themeColor="text1"/>
                <w:sz w:val="16"/>
                <w:szCs w:val="16"/>
              </w:rPr>
            </w:pPr>
            <w:r w:rsidRPr="00E14102">
              <w:rPr>
                <w:color w:val="000000" w:themeColor="text1"/>
                <w:sz w:val="16"/>
                <w:szCs w:val="16"/>
              </w:rPr>
              <w:t>6972</w:t>
            </w:r>
          </w:p>
        </w:tc>
        <w:tc>
          <w:tcPr>
            <w:tcW w:w="300" w:type="dxa"/>
          </w:tcPr>
          <w:p w14:paraId="17AA6F39" w14:textId="77777777" w:rsidR="00265F21" w:rsidRPr="00E14102" w:rsidRDefault="00265F21" w:rsidP="00E14102">
            <w:pPr>
              <w:jc w:val="both"/>
              <w:rPr>
                <w:color w:val="000000" w:themeColor="text1"/>
                <w:sz w:val="16"/>
                <w:szCs w:val="16"/>
              </w:rPr>
            </w:pPr>
            <w:r w:rsidRPr="00E14102">
              <w:rPr>
                <w:color w:val="000000" w:themeColor="text1"/>
                <w:sz w:val="16"/>
                <w:szCs w:val="16"/>
              </w:rPr>
              <w:t>700</w:t>
            </w:r>
          </w:p>
        </w:tc>
        <w:tc>
          <w:tcPr>
            <w:tcW w:w="1466" w:type="dxa"/>
          </w:tcPr>
          <w:p w14:paraId="0079A81D" w14:textId="77777777" w:rsidR="00265F21" w:rsidRPr="00E14102" w:rsidRDefault="00265F21" w:rsidP="00E14102">
            <w:pPr>
              <w:jc w:val="both"/>
              <w:rPr>
                <w:color w:val="000000" w:themeColor="text1"/>
                <w:sz w:val="16"/>
                <w:szCs w:val="16"/>
              </w:rPr>
            </w:pPr>
          </w:p>
        </w:tc>
      </w:tr>
      <w:tr w:rsidR="00E3599D" w:rsidRPr="00E14102" w14:paraId="20644817" w14:textId="77777777" w:rsidTr="00A45C9C">
        <w:tc>
          <w:tcPr>
            <w:tcW w:w="1804" w:type="dxa"/>
          </w:tcPr>
          <w:p w14:paraId="02B2D053" w14:textId="77777777" w:rsidR="00265F21" w:rsidRPr="00E14102" w:rsidRDefault="00265F21" w:rsidP="00E14102">
            <w:pPr>
              <w:jc w:val="both"/>
              <w:rPr>
                <w:color w:val="000000" w:themeColor="text1"/>
                <w:sz w:val="16"/>
                <w:szCs w:val="16"/>
              </w:rPr>
            </w:pPr>
            <w:r w:rsidRPr="00E14102">
              <w:rPr>
                <w:color w:val="000000" w:themeColor="text1"/>
                <w:sz w:val="16"/>
                <w:szCs w:val="16"/>
              </w:rPr>
              <w:t>32. им. Кагановича</w:t>
            </w:r>
          </w:p>
        </w:tc>
        <w:tc>
          <w:tcPr>
            <w:tcW w:w="714" w:type="dxa"/>
          </w:tcPr>
          <w:p w14:paraId="20EEB308" w14:textId="77777777" w:rsidR="00265F21" w:rsidRPr="00E14102" w:rsidRDefault="00265F21" w:rsidP="00E14102">
            <w:pPr>
              <w:jc w:val="both"/>
              <w:rPr>
                <w:color w:val="000000" w:themeColor="text1"/>
                <w:sz w:val="16"/>
                <w:szCs w:val="16"/>
              </w:rPr>
            </w:pPr>
            <w:r w:rsidRPr="00E14102">
              <w:rPr>
                <w:color w:val="000000" w:themeColor="text1"/>
                <w:sz w:val="16"/>
                <w:szCs w:val="16"/>
              </w:rPr>
              <w:t>Горький</w:t>
            </w:r>
          </w:p>
        </w:tc>
        <w:tc>
          <w:tcPr>
            <w:tcW w:w="751" w:type="dxa"/>
          </w:tcPr>
          <w:p w14:paraId="0056FA34" w14:textId="77777777" w:rsidR="00265F21" w:rsidRPr="00E14102" w:rsidRDefault="00265F21" w:rsidP="00E14102">
            <w:pPr>
              <w:jc w:val="both"/>
              <w:rPr>
                <w:color w:val="000000" w:themeColor="text1"/>
                <w:sz w:val="16"/>
                <w:szCs w:val="16"/>
              </w:rPr>
            </w:pPr>
            <w:r w:rsidRPr="00E14102">
              <w:rPr>
                <w:color w:val="000000" w:themeColor="text1"/>
                <w:sz w:val="16"/>
                <w:szCs w:val="16"/>
              </w:rPr>
              <w:t>Богданов</w:t>
            </w:r>
          </w:p>
        </w:tc>
        <w:tc>
          <w:tcPr>
            <w:tcW w:w="1541" w:type="dxa"/>
          </w:tcPr>
          <w:p w14:paraId="23C93B2A"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79EF7C6B" w14:textId="77777777" w:rsidR="00265F21" w:rsidRPr="00E14102" w:rsidRDefault="00265F21" w:rsidP="00E14102">
            <w:pPr>
              <w:jc w:val="both"/>
              <w:rPr>
                <w:color w:val="000000" w:themeColor="text1"/>
                <w:sz w:val="16"/>
                <w:szCs w:val="16"/>
              </w:rPr>
            </w:pPr>
            <w:r w:rsidRPr="00E14102">
              <w:rPr>
                <w:color w:val="000000" w:themeColor="text1"/>
                <w:sz w:val="16"/>
                <w:szCs w:val="16"/>
              </w:rPr>
              <w:t>957</w:t>
            </w:r>
          </w:p>
        </w:tc>
        <w:tc>
          <w:tcPr>
            <w:tcW w:w="601" w:type="dxa"/>
          </w:tcPr>
          <w:p w14:paraId="73850C01" w14:textId="77777777" w:rsidR="00265F21" w:rsidRPr="00E14102" w:rsidRDefault="00265F21" w:rsidP="00E14102">
            <w:pPr>
              <w:jc w:val="both"/>
              <w:rPr>
                <w:color w:val="000000" w:themeColor="text1"/>
                <w:sz w:val="16"/>
                <w:szCs w:val="16"/>
              </w:rPr>
            </w:pPr>
            <w:r w:rsidRPr="00E14102">
              <w:rPr>
                <w:color w:val="000000" w:themeColor="text1"/>
                <w:sz w:val="16"/>
                <w:szCs w:val="16"/>
              </w:rPr>
              <w:t>1440</w:t>
            </w:r>
          </w:p>
        </w:tc>
        <w:tc>
          <w:tcPr>
            <w:tcW w:w="300" w:type="dxa"/>
          </w:tcPr>
          <w:p w14:paraId="522A7B5F" w14:textId="77777777" w:rsidR="00265F21" w:rsidRPr="00E14102" w:rsidRDefault="00265F21" w:rsidP="00E14102">
            <w:pPr>
              <w:jc w:val="both"/>
              <w:rPr>
                <w:color w:val="000000" w:themeColor="text1"/>
                <w:sz w:val="16"/>
                <w:szCs w:val="16"/>
              </w:rPr>
            </w:pPr>
            <w:r w:rsidRPr="00E14102">
              <w:rPr>
                <w:color w:val="000000" w:themeColor="text1"/>
                <w:sz w:val="16"/>
                <w:szCs w:val="16"/>
              </w:rPr>
              <w:t>600</w:t>
            </w:r>
          </w:p>
        </w:tc>
        <w:tc>
          <w:tcPr>
            <w:tcW w:w="1466" w:type="dxa"/>
          </w:tcPr>
          <w:p w14:paraId="42CBD2D7" w14:textId="77777777" w:rsidR="00265F21" w:rsidRPr="00E14102" w:rsidRDefault="00265F21" w:rsidP="00E14102">
            <w:pPr>
              <w:jc w:val="both"/>
              <w:rPr>
                <w:color w:val="000000" w:themeColor="text1"/>
                <w:sz w:val="16"/>
                <w:szCs w:val="16"/>
              </w:rPr>
            </w:pPr>
          </w:p>
        </w:tc>
      </w:tr>
      <w:tr w:rsidR="00E3599D" w:rsidRPr="00E14102" w14:paraId="42163FDC" w14:textId="77777777" w:rsidTr="00A45C9C">
        <w:tc>
          <w:tcPr>
            <w:tcW w:w="1804" w:type="dxa"/>
          </w:tcPr>
          <w:p w14:paraId="422E66DC" w14:textId="77777777" w:rsidR="00265F21" w:rsidRPr="00E14102" w:rsidRDefault="00265F21" w:rsidP="00E14102">
            <w:pPr>
              <w:jc w:val="both"/>
              <w:rPr>
                <w:color w:val="000000" w:themeColor="text1"/>
                <w:sz w:val="16"/>
                <w:szCs w:val="16"/>
              </w:rPr>
            </w:pPr>
            <w:r w:rsidRPr="00E14102">
              <w:rPr>
                <w:color w:val="000000" w:themeColor="text1"/>
                <w:sz w:val="16"/>
                <w:szCs w:val="16"/>
              </w:rPr>
              <w:t>33. Нижне-Тагильский</w:t>
            </w:r>
          </w:p>
        </w:tc>
        <w:tc>
          <w:tcPr>
            <w:tcW w:w="714" w:type="dxa"/>
          </w:tcPr>
          <w:p w14:paraId="092CCADC" w14:textId="77777777" w:rsidR="00265F21" w:rsidRPr="00E14102" w:rsidRDefault="00265F21" w:rsidP="00E14102">
            <w:pPr>
              <w:jc w:val="both"/>
              <w:rPr>
                <w:color w:val="000000" w:themeColor="text1"/>
                <w:sz w:val="16"/>
                <w:szCs w:val="16"/>
              </w:rPr>
            </w:pPr>
            <w:r w:rsidRPr="00E14102">
              <w:rPr>
                <w:color w:val="000000" w:themeColor="text1"/>
                <w:sz w:val="16"/>
                <w:szCs w:val="16"/>
              </w:rPr>
              <w:t>Нижний Тагил</w:t>
            </w:r>
          </w:p>
        </w:tc>
        <w:tc>
          <w:tcPr>
            <w:tcW w:w="751" w:type="dxa"/>
          </w:tcPr>
          <w:p w14:paraId="166F1199" w14:textId="77777777" w:rsidR="00265F21" w:rsidRPr="00E14102" w:rsidRDefault="00265F21" w:rsidP="00E14102">
            <w:pPr>
              <w:jc w:val="both"/>
              <w:rPr>
                <w:color w:val="000000" w:themeColor="text1"/>
                <w:sz w:val="16"/>
                <w:szCs w:val="16"/>
              </w:rPr>
            </w:pPr>
            <w:r w:rsidRPr="00E14102">
              <w:rPr>
                <w:color w:val="000000" w:themeColor="text1"/>
                <w:sz w:val="16"/>
                <w:szCs w:val="16"/>
              </w:rPr>
              <w:t>Щербина</w:t>
            </w:r>
          </w:p>
        </w:tc>
        <w:tc>
          <w:tcPr>
            <w:tcW w:w="1541" w:type="dxa"/>
          </w:tcPr>
          <w:p w14:paraId="3E02CC7C" w14:textId="77777777" w:rsidR="00265F21" w:rsidRPr="00E14102" w:rsidRDefault="00265F21" w:rsidP="00E14102">
            <w:pPr>
              <w:jc w:val="both"/>
              <w:rPr>
                <w:color w:val="000000" w:themeColor="text1"/>
                <w:sz w:val="16"/>
                <w:szCs w:val="16"/>
              </w:rPr>
            </w:pPr>
            <w:r w:rsidRPr="00E14102">
              <w:rPr>
                <w:color w:val="000000" w:themeColor="text1"/>
                <w:sz w:val="16"/>
                <w:szCs w:val="16"/>
              </w:rPr>
              <w:t>Промакадемия</w:t>
            </w:r>
          </w:p>
        </w:tc>
        <w:tc>
          <w:tcPr>
            <w:tcW w:w="2180" w:type="dxa"/>
          </w:tcPr>
          <w:p w14:paraId="0C6B89D7" w14:textId="77777777" w:rsidR="00265F21" w:rsidRPr="00E14102" w:rsidRDefault="00265F21" w:rsidP="00E14102">
            <w:pPr>
              <w:jc w:val="both"/>
              <w:rPr>
                <w:color w:val="000000" w:themeColor="text1"/>
                <w:sz w:val="16"/>
                <w:szCs w:val="16"/>
              </w:rPr>
            </w:pPr>
            <w:r w:rsidRPr="00E14102">
              <w:rPr>
                <w:color w:val="000000" w:themeColor="text1"/>
                <w:sz w:val="16"/>
                <w:szCs w:val="16"/>
              </w:rPr>
              <w:t>1792</w:t>
            </w:r>
          </w:p>
        </w:tc>
        <w:tc>
          <w:tcPr>
            <w:tcW w:w="601" w:type="dxa"/>
          </w:tcPr>
          <w:p w14:paraId="1493B9F3" w14:textId="77777777" w:rsidR="00265F21" w:rsidRPr="00E14102" w:rsidRDefault="00265F21" w:rsidP="00E14102">
            <w:pPr>
              <w:jc w:val="both"/>
              <w:rPr>
                <w:color w:val="000000" w:themeColor="text1"/>
                <w:sz w:val="16"/>
                <w:szCs w:val="16"/>
              </w:rPr>
            </w:pPr>
            <w:r w:rsidRPr="00E14102">
              <w:rPr>
                <w:color w:val="000000" w:themeColor="text1"/>
                <w:sz w:val="16"/>
                <w:szCs w:val="16"/>
              </w:rPr>
              <w:t>2935</w:t>
            </w:r>
          </w:p>
        </w:tc>
        <w:tc>
          <w:tcPr>
            <w:tcW w:w="300" w:type="dxa"/>
          </w:tcPr>
          <w:p w14:paraId="025165A4"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07B4E733" w14:textId="77777777" w:rsidR="00265F21" w:rsidRPr="00E14102" w:rsidRDefault="00265F21" w:rsidP="00E14102">
            <w:pPr>
              <w:jc w:val="both"/>
              <w:rPr>
                <w:color w:val="000000" w:themeColor="text1"/>
                <w:sz w:val="16"/>
                <w:szCs w:val="16"/>
              </w:rPr>
            </w:pPr>
          </w:p>
        </w:tc>
      </w:tr>
      <w:tr w:rsidR="00E3599D" w:rsidRPr="00E14102" w14:paraId="28440258" w14:textId="77777777" w:rsidTr="00A45C9C">
        <w:tc>
          <w:tcPr>
            <w:tcW w:w="1804" w:type="dxa"/>
          </w:tcPr>
          <w:p w14:paraId="6A9CAB75" w14:textId="77777777" w:rsidR="00265F21" w:rsidRPr="00E14102" w:rsidRDefault="00265F21" w:rsidP="00E14102">
            <w:pPr>
              <w:jc w:val="both"/>
              <w:rPr>
                <w:color w:val="000000" w:themeColor="text1"/>
                <w:sz w:val="16"/>
                <w:szCs w:val="16"/>
              </w:rPr>
            </w:pPr>
            <w:r w:rsidRPr="00E14102">
              <w:rPr>
                <w:color w:val="000000" w:themeColor="text1"/>
                <w:sz w:val="16"/>
                <w:szCs w:val="16"/>
              </w:rPr>
              <w:t>34. Ново-Тульский</w:t>
            </w:r>
          </w:p>
        </w:tc>
        <w:tc>
          <w:tcPr>
            <w:tcW w:w="714" w:type="dxa"/>
          </w:tcPr>
          <w:p w14:paraId="176AA28A" w14:textId="77777777" w:rsidR="00265F21" w:rsidRPr="00E14102" w:rsidRDefault="00265F21" w:rsidP="00E14102">
            <w:pPr>
              <w:jc w:val="both"/>
              <w:rPr>
                <w:color w:val="000000" w:themeColor="text1"/>
                <w:sz w:val="16"/>
                <w:szCs w:val="16"/>
              </w:rPr>
            </w:pPr>
            <w:r w:rsidRPr="00E14102">
              <w:rPr>
                <w:color w:val="000000" w:themeColor="text1"/>
                <w:sz w:val="16"/>
                <w:szCs w:val="16"/>
              </w:rPr>
              <w:t>Тула</w:t>
            </w:r>
          </w:p>
        </w:tc>
        <w:tc>
          <w:tcPr>
            <w:tcW w:w="751" w:type="dxa"/>
          </w:tcPr>
          <w:p w14:paraId="70EA4559" w14:textId="77777777" w:rsidR="00265F21" w:rsidRPr="00E14102" w:rsidRDefault="00265F21" w:rsidP="00E14102">
            <w:pPr>
              <w:jc w:val="both"/>
              <w:rPr>
                <w:color w:val="000000" w:themeColor="text1"/>
                <w:sz w:val="16"/>
                <w:szCs w:val="16"/>
              </w:rPr>
            </w:pPr>
            <w:r w:rsidRPr="00E14102">
              <w:rPr>
                <w:color w:val="000000" w:themeColor="text1"/>
                <w:sz w:val="16"/>
                <w:szCs w:val="16"/>
              </w:rPr>
              <w:t>Гайдуль</w:t>
            </w:r>
          </w:p>
        </w:tc>
        <w:tc>
          <w:tcPr>
            <w:tcW w:w="1541" w:type="dxa"/>
          </w:tcPr>
          <w:p w14:paraId="66735088" w14:textId="77777777" w:rsidR="00265F21" w:rsidRPr="00E14102" w:rsidRDefault="00265F21" w:rsidP="00E14102">
            <w:pPr>
              <w:jc w:val="both"/>
              <w:rPr>
                <w:color w:val="000000" w:themeColor="text1"/>
                <w:sz w:val="16"/>
                <w:szCs w:val="16"/>
              </w:rPr>
            </w:pPr>
            <w:r w:rsidRPr="00E14102">
              <w:rPr>
                <w:color w:val="000000" w:themeColor="text1"/>
                <w:sz w:val="16"/>
                <w:szCs w:val="16"/>
              </w:rPr>
              <w:t>Ком­университет</w:t>
            </w:r>
          </w:p>
        </w:tc>
        <w:tc>
          <w:tcPr>
            <w:tcW w:w="2180" w:type="dxa"/>
          </w:tcPr>
          <w:p w14:paraId="70E54C24" w14:textId="77777777" w:rsidR="00265F21" w:rsidRPr="00E14102" w:rsidRDefault="00265F21" w:rsidP="00E14102">
            <w:pPr>
              <w:jc w:val="both"/>
              <w:rPr>
                <w:color w:val="000000" w:themeColor="text1"/>
                <w:sz w:val="16"/>
                <w:szCs w:val="16"/>
              </w:rPr>
            </w:pPr>
            <w:r w:rsidRPr="00E14102">
              <w:rPr>
                <w:color w:val="000000" w:themeColor="text1"/>
                <w:sz w:val="16"/>
                <w:szCs w:val="16"/>
              </w:rPr>
              <w:t>481</w:t>
            </w:r>
          </w:p>
        </w:tc>
        <w:tc>
          <w:tcPr>
            <w:tcW w:w="601" w:type="dxa"/>
          </w:tcPr>
          <w:p w14:paraId="27A70002" w14:textId="77777777" w:rsidR="00265F21" w:rsidRPr="00E14102" w:rsidRDefault="00265F21" w:rsidP="00E14102">
            <w:pPr>
              <w:jc w:val="both"/>
              <w:rPr>
                <w:color w:val="000000" w:themeColor="text1"/>
                <w:sz w:val="16"/>
                <w:szCs w:val="16"/>
              </w:rPr>
            </w:pPr>
            <w:r w:rsidRPr="00E14102">
              <w:rPr>
                <w:color w:val="000000" w:themeColor="text1"/>
                <w:sz w:val="16"/>
                <w:szCs w:val="16"/>
              </w:rPr>
              <w:t>1016</w:t>
            </w:r>
          </w:p>
        </w:tc>
        <w:tc>
          <w:tcPr>
            <w:tcW w:w="300" w:type="dxa"/>
          </w:tcPr>
          <w:p w14:paraId="4CB81B2D"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4DF76E01" w14:textId="77777777" w:rsidR="00265F21" w:rsidRPr="00E14102" w:rsidRDefault="00265F21" w:rsidP="00E14102">
            <w:pPr>
              <w:jc w:val="both"/>
              <w:rPr>
                <w:color w:val="000000" w:themeColor="text1"/>
                <w:sz w:val="16"/>
                <w:szCs w:val="16"/>
              </w:rPr>
            </w:pPr>
            <w:r w:rsidRPr="00E14102">
              <w:rPr>
                <w:color w:val="000000" w:themeColor="text1"/>
                <w:sz w:val="16"/>
                <w:szCs w:val="16"/>
              </w:rPr>
              <w:t>Объем строительства в 35 г. 34 млн.</w:t>
            </w:r>
          </w:p>
        </w:tc>
      </w:tr>
      <w:tr w:rsidR="00E3599D" w:rsidRPr="00E14102" w14:paraId="31CFD116" w14:textId="77777777" w:rsidTr="00A45C9C">
        <w:tc>
          <w:tcPr>
            <w:tcW w:w="1804" w:type="dxa"/>
          </w:tcPr>
          <w:p w14:paraId="541AA59C" w14:textId="77777777" w:rsidR="00265F21" w:rsidRPr="00E14102" w:rsidRDefault="00265F21" w:rsidP="00E14102">
            <w:pPr>
              <w:jc w:val="both"/>
              <w:rPr>
                <w:color w:val="000000" w:themeColor="text1"/>
                <w:sz w:val="16"/>
                <w:szCs w:val="16"/>
              </w:rPr>
            </w:pPr>
            <w:r w:rsidRPr="00E14102">
              <w:rPr>
                <w:color w:val="000000" w:themeColor="text1"/>
                <w:sz w:val="16"/>
                <w:szCs w:val="16"/>
              </w:rPr>
              <w:t>35. Ново-Липецкий</w:t>
            </w:r>
          </w:p>
        </w:tc>
        <w:tc>
          <w:tcPr>
            <w:tcW w:w="714" w:type="dxa"/>
          </w:tcPr>
          <w:p w14:paraId="1D5041FE" w14:textId="77777777" w:rsidR="00265F21" w:rsidRPr="00E14102" w:rsidRDefault="00265F21" w:rsidP="00E14102">
            <w:pPr>
              <w:jc w:val="both"/>
              <w:rPr>
                <w:color w:val="000000" w:themeColor="text1"/>
                <w:sz w:val="16"/>
                <w:szCs w:val="16"/>
              </w:rPr>
            </w:pPr>
            <w:r w:rsidRPr="00E14102">
              <w:rPr>
                <w:color w:val="000000" w:themeColor="text1"/>
                <w:sz w:val="16"/>
                <w:szCs w:val="16"/>
              </w:rPr>
              <w:t>Липецк</w:t>
            </w:r>
          </w:p>
        </w:tc>
        <w:tc>
          <w:tcPr>
            <w:tcW w:w="751" w:type="dxa"/>
          </w:tcPr>
          <w:p w14:paraId="2B006B77" w14:textId="77777777" w:rsidR="00265F21" w:rsidRPr="00E14102" w:rsidRDefault="00265F21" w:rsidP="00E14102">
            <w:pPr>
              <w:jc w:val="both"/>
              <w:rPr>
                <w:color w:val="000000" w:themeColor="text1"/>
                <w:sz w:val="16"/>
                <w:szCs w:val="16"/>
              </w:rPr>
            </w:pPr>
            <w:r w:rsidRPr="00E14102">
              <w:rPr>
                <w:color w:val="000000" w:themeColor="text1"/>
                <w:sz w:val="16"/>
                <w:szCs w:val="16"/>
              </w:rPr>
              <w:t>Берзин</w:t>
            </w:r>
          </w:p>
        </w:tc>
        <w:tc>
          <w:tcPr>
            <w:tcW w:w="1541" w:type="dxa"/>
          </w:tcPr>
          <w:p w14:paraId="4A2784EE"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692369FD" w14:textId="77777777" w:rsidR="00265F21" w:rsidRPr="00E14102" w:rsidRDefault="00265F21" w:rsidP="00E14102">
            <w:pPr>
              <w:jc w:val="both"/>
              <w:rPr>
                <w:color w:val="000000" w:themeColor="text1"/>
                <w:sz w:val="16"/>
                <w:szCs w:val="16"/>
              </w:rPr>
            </w:pPr>
            <w:r w:rsidRPr="00E14102">
              <w:rPr>
                <w:color w:val="000000" w:themeColor="text1"/>
                <w:sz w:val="16"/>
                <w:szCs w:val="16"/>
              </w:rPr>
              <w:t>1445</w:t>
            </w:r>
          </w:p>
        </w:tc>
        <w:tc>
          <w:tcPr>
            <w:tcW w:w="601" w:type="dxa"/>
          </w:tcPr>
          <w:p w14:paraId="0EA5EC59" w14:textId="77777777" w:rsidR="00265F21" w:rsidRPr="00E14102" w:rsidRDefault="00265F21" w:rsidP="00E14102">
            <w:pPr>
              <w:jc w:val="both"/>
              <w:rPr>
                <w:color w:val="000000" w:themeColor="text1"/>
                <w:sz w:val="16"/>
                <w:szCs w:val="16"/>
              </w:rPr>
            </w:pPr>
            <w:r w:rsidRPr="00E14102">
              <w:rPr>
                <w:color w:val="000000" w:themeColor="text1"/>
                <w:sz w:val="16"/>
                <w:szCs w:val="16"/>
              </w:rPr>
              <w:t>2657</w:t>
            </w:r>
          </w:p>
        </w:tc>
        <w:tc>
          <w:tcPr>
            <w:tcW w:w="300" w:type="dxa"/>
          </w:tcPr>
          <w:p w14:paraId="0E68D938"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6761E660" w14:textId="77777777" w:rsidR="00265F21" w:rsidRPr="00E14102" w:rsidRDefault="00265F21" w:rsidP="00E14102">
            <w:pPr>
              <w:jc w:val="both"/>
              <w:rPr>
                <w:color w:val="000000" w:themeColor="text1"/>
                <w:sz w:val="16"/>
                <w:szCs w:val="16"/>
              </w:rPr>
            </w:pPr>
            <w:r w:rsidRPr="00E14102">
              <w:rPr>
                <w:color w:val="000000" w:themeColor="text1"/>
                <w:sz w:val="16"/>
                <w:szCs w:val="16"/>
              </w:rPr>
              <w:t>Объем строительства в 35 г. 25 млн.</w:t>
            </w:r>
          </w:p>
        </w:tc>
      </w:tr>
      <w:tr w:rsidR="00E3599D" w:rsidRPr="00E14102" w14:paraId="4A552CA5" w14:textId="77777777" w:rsidTr="00A45C9C">
        <w:tc>
          <w:tcPr>
            <w:tcW w:w="1804" w:type="dxa"/>
          </w:tcPr>
          <w:p w14:paraId="0C94F52A" w14:textId="77777777" w:rsidR="00265F21" w:rsidRPr="00E14102" w:rsidRDefault="00265F21" w:rsidP="00E14102">
            <w:pPr>
              <w:jc w:val="both"/>
              <w:rPr>
                <w:color w:val="000000" w:themeColor="text1"/>
                <w:sz w:val="16"/>
                <w:szCs w:val="16"/>
              </w:rPr>
            </w:pPr>
            <w:r w:rsidRPr="00E14102">
              <w:rPr>
                <w:color w:val="000000" w:themeColor="text1"/>
                <w:sz w:val="16"/>
                <w:szCs w:val="16"/>
              </w:rPr>
              <w:t>36. Нижне-Салдинский</w:t>
            </w:r>
          </w:p>
        </w:tc>
        <w:tc>
          <w:tcPr>
            <w:tcW w:w="714" w:type="dxa"/>
          </w:tcPr>
          <w:p w14:paraId="498DFA43" w14:textId="77777777" w:rsidR="00265F21" w:rsidRPr="00E14102" w:rsidRDefault="00265F21" w:rsidP="00E14102">
            <w:pPr>
              <w:jc w:val="both"/>
              <w:rPr>
                <w:color w:val="000000" w:themeColor="text1"/>
                <w:sz w:val="16"/>
                <w:szCs w:val="16"/>
              </w:rPr>
            </w:pPr>
            <w:r w:rsidRPr="00E14102">
              <w:rPr>
                <w:color w:val="000000" w:themeColor="text1"/>
                <w:sz w:val="16"/>
                <w:szCs w:val="16"/>
              </w:rPr>
              <w:t>Нижняя Салда</w:t>
            </w:r>
          </w:p>
        </w:tc>
        <w:tc>
          <w:tcPr>
            <w:tcW w:w="751" w:type="dxa"/>
          </w:tcPr>
          <w:p w14:paraId="66C6CA68" w14:textId="77777777" w:rsidR="00265F21" w:rsidRPr="00E14102" w:rsidRDefault="00265F21" w:rsidP="00E14102">
            <w:pPr>
              <w:jc w:val="both"/>
              <w:rPr>
                <w:color w:val="000000" w:themeColor="text1"/>
                <w:sz w:val="16"/>
                <w:szCs w:val="16"/>
              </w:rPr>
            </w:pPr>
            <w:r w:rsidRPr="00E14102">
              <w:rPr>
                <w:color w:val="000000" w:themeColor="text1"/>
                <w:sz w:val="16"/>
                <w:szCs w:val="16"/>
              </w:rPr>
              <w:t>Луковцов</w:t>
            </w:r>
          </w:p>
        </w:tc>
        <w:tc>
          <w:tcPr>
            <w:tcW w:w="1541" w:type="dxa"/>
          </w:tcPr>
          <w:p w14:paraId="734FF176" w14:textId="77777777" w:rsidR="00265F21" w:rsidRPr="00E14102" w:rsidRDefault="00265F21" w:rsidP="00E14102">
            <w:pPr>
              <w:jc w:val="both"/>
              <w:rPr>
                <w:color w:val="000000" w:themeColor="text1"/>
                <w:sz w:val="16"/>
                <w:szCs w:val="16"/>
              </w:rPr>
            </w:pPr>
            <w:r w:rsidRPr="00E14102">
              <w:rPr>
                <w:color w:val="000000" w:themeColor="text1"/>
                <w:sz w:val="16"/>
                <w:szCs w:val="16"/>
              </w:rPr>
              <w:t>Промакадемия</w:t>
            </w:r>
          </w:p>
        </w:tc>
        <w:tc>
          <w:tcPr>
            <w:tcW w:w="2180" w:type="dxa"/>
          </w:tcPr>
          <w:p w14:paraId="5CEF3B78" w14:textId="77777777" w:rsidR="00265F21" w:rsidRPr="00E14102" w:rsidRDefault="00265F21" w:rsidP="00E14102">
            <w:pPr>
              <w:jc w:val="both"/>
              <w:rPr>
                <w:color w:val="000000" w:themeColor="text1"/>
                <w:sz w:val="16"/>
                <w:szCs w:val="16"/>
              </w:rPr>
            </w:pPr>
            <w:r w:rsidRPr="00E14102">
              <w:rPr>
                <w:color w:val="000000" w:themeColor="text1"/>
                <w:sz w:val="16"/>
                <w:szCs w:val="16"/>
              </w:rPr>
              <w:t>1462</w:t>
            </w:r>
          </w:p>
        </w:tc>
        <w:tc>
          <w:tcPr>
            <w:tcW w:w="601" w:type="dxa"/>
          </w:tcPr>
          <w:p w14:paraId="60C95152" w14:textId="77777777" w:rsidR="00265F21" w:rsidRPr="00E14102" w:rsidRDefault="00265F21" w:rsidP="00E14102">
            <w:pPr>
              <w:jc w:val="both"/>
              <w:rPr>
                <w:color w:val="000000" w:themeColor="text1"/>
                <w:sz w:val="16"/>
                <w:szCs w:val="16"/>
              </w:rPr>
            </w:pPr>
            <w:r w:rsidRPr="00E14102">
              <w:rPr>
                <w:color w:val="000000" w:themeColor="text1"/>
                <w:sz w:val="16"/>
                <w:szCs w:val="16"/>
              </w:rPr>
              <w:t>2194</w:t>
            </w:r>
          </w:p>
        </w:tc>
        <w:tc>
          <w:tcPr>
            <w:tcW w:w="300" w:type="dxa"/>
          </w:tcPr>
          <w:p w14:paraId="264191C1"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3C816039" w14:textId="77777777" w:rsidR="00265F21" w:rsidRPr="00E14102" w:rsidRDefault="00265F21" w:rsidP="00E14102">
            <w:pPr>
              <w:jc w:val="both"/>
              <w:rPr>
                <w:color w:val="000000" w:themeColor="text1"/>
                <w:sz w:val="16"/>
                <w:szCs w:val="16"/>
              </w:rPr>
            </w:pPr>
          </w:p>
        </w:tc>
      </w:tr>
      <w:tr w:rsidR="00E3599D" w:rsidRPr="00E14102" w14:paraId="72942160" w14:textId="77777777" w:rsidTr="00A45C9C">
        <w:tc>
          <w:tcPr>
            <w:tcW w:w="1804" w:type="dxa"/>
          </w:tcPr>
          <w:p w14:paraId="409E89C9" w14:textId="77777777" w:rsidR="00265F21" w:rsidRPr="00E14102" w:rsidRDefault="00265F21" w:rsidP="00E14102">
            <w:pPr>
              <w:jc w:val="both"/>
              <w:rPr>
                <w:color w:val="000000" w:themeColor="text1"/>
                <w:sz w:val="16"/>
                <w:szCs w:val="16"/>
              </w:rPr>
            </w:pPr>
            <w:r w:rsidRPr="00E14102">
              <w:rPr>
                <w:color w:val="000000" w:themeColor="text1"/>
                <w:sz w:val="16"/>
                <w:szCs w:val="16"/>
              </w:rPr>
              <w:t>37. им. Коминтерна</w:t>
            </w:r>
          </w:p>
        </w:tc>
        <w:tc>
          <w:tcPr>
            <w:tcW w:w="714" w:type="dxa"/>
          </w:tcPr>
          <w:p w14:paraId="1D18C7AD" w14:textId="77777777" w:rsidR="00265F21" w:rsidRPr="00E14102" w:rsidRDefault="00265F21" w:rsidP="00E14102">
            <w:pPr>
              <w:jc w:val="both"/>
              <w:rPr>
                <w:color w:val="000000" w:themeColor="text1"/>
                <w:sz w:val="16"/>
                <w:szCs w:val="16"/>
              </w:rPr>
            </w:pPr>
            <w:r w:rsidRPr="00E14102">
              <w:rPr>
                <w:color w:val="000000" w:themeColor="text1"/>
                <w:sz w:val="16"/>
                <w:szCs w:val="16"/>
              </w:rPr>
              <w:t>Днепропетровск</w:t>
            </w:r>
          </w:p>
        </w:tc>
        <w:tc>
          <w:tcPr>
            <w:tcW w:w="751" w:type="dxa"/>
          </w:tcPr>
          <w:p w14:paraId="5AB101A7" w14:textId="77777777" w:rsidR="00265F21" w:rsidRPr="00E14102" w:rsidRDefault="00265F21" w:rsidP="00E14102">
            <w:pPr>
              <w:jc w:val="both"/>
              <w:rPr>
                <w:color w:val="000000" w:themeColor="text1"/>
                <w:sz w:val="16"/>
                <w:szCs w:val="16"/>
              </w:rPr>
            </w:pPr>
            <w:r w:rsidRPr="00E14102">
              <w:rPr>
                <w:color w:val="000000" w:themeColor="text1"/>
                <w:sz w:val="16"/>
                <w:szCs w:val="16"/>
              </w:rPr>
              <w:t>Варшавский</w:t>
            </w:r>
          </w:p>
        </w:tc>
        <w:tc>
          <w:tcPr>
            <w:tcW w:w="1541" w:type="dxa"/>
          </w:tcPr>
          <w:p w14:paraId="53993A49" w14:textId="77777777" w:rsidR="00265F21" w:rsidRPr="00E14102" w:rsidRDefault="00265F21" w:rsidP="00E14102">
            <w:pPr>
              <w:jc w:val="both"/>
              <w:rPr>
                <w:color w:val="000000" w:themeColor="text1"/>
                <w:sz w:val="16"/>
                <w:szCs w:val="16"/>
              </w:rPr>
            </w:pPr>
            <w:r w:rsidRPr="00E14102">
              <w:rPr>
                <w:color w:val="000000" w:themeColor="text1"/>
                <w:sz w:val="16"/>
                <w:szCs w:val="16"/>
              </w:rPr>
              <w:t>Инженер</w:t>
            </w:r>
          </w:p>
        </w:tc>
        <w:tc>
          <w:tcPr>
            <w:tcW w:w="2180" w:type="dxa"/>
          </w:tcPr>
          <w:p w14:paraId="385DDB76" w14:textId="77777777" w:rsidR="00265F21" w:rsidRPr="00E14102" w:rsidRDefault="00265F21" w:rsidP="00E14102">
            <w:pPr>
              <w:jc w:val="both"/>
              <w:rPr>
                <w:color w:val="000000" w:themeColor="text1"/>
                <w:sz w:val="16"/>
                <w:szCs w:val="16"/>
              </w:rPr>
            </w:pPr>
            <w:r w:rsidRPr="00E14102">
              <w:rPr>
                <w:color w:val="000000" w:themeColor="text1"/>
                <w:sz w:val="16"/>
                <w:szCs w:val="16"/>
              </w:rPr>
              <w:t>4015</w:t>
            </w:r>
          </w:p>
        </w:tc>
        <w:tc>
          <w:tcPr>
            <w:tcW w:w="601" w:type="dxa"/>
          </w:tcPr>
          <w:p w14:paraId="03B908A6" w14:textId="77777777" w:rsidR="00265F21" w:rsidRPr="00E14102" w:rsidRDefault="00265F21" w:rsidP="00E14102">
            <w:pPr>
              <w:jc w:val="both"/>
              <w:rPr>
                <w:color w:val="000000" w:themeColor="text1"/>
                <w:sz w:val="16"/>
                <w:szCs w:val="16"/>
              </w:rPr>
            </w:pPr>
            <w:r w:rsidRPr="00E14102">
              <w:rPr>
                <w:color w:val="000000" w:themeColor="text1"/>
                <w:sz w:val="16"/>
                <w:szCs w:val="16"/>
              </w:rPr>
              <w:t>5859</w:t>
            </w:r>
          </w:p>
        </w:tc>
        <w:tc>
          <w:tcPr>
            <w:tcW w:w="300" w:type="dxa"/>
          </w:tcPr>
          <w:p w14:paraId="6C8D866B"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0C6AA6F8" w14:textId="77777777" w:rsidR="00265F21" w:rsidRPr="00E14102" w:rsidRDefault="00265F21" w:rsidP="00E14102">
            <w:pPr>
              <w:jc w:val="both"/>
              <w:rPr>
                <w:color w:val="000000" w:themeColor="text1"/>
                <w:sz w:val="16"/>
                <w:szCs w:val="16"/>
              </w:rPr>
            </w:pPr>
          </w:p>
        </w:tc>
      </w:tr>
      <w:tr w:rsidR="00E3599D" w:rsidRPr="00E14102" w14:paraId="454EB26E" w14:textId="77777777" w:rsidTr="00A45C9C">
        <w:tc>
          <w:tcPr>
            <w:tcW w:w="1804" w:type="dxa"/>
          </w:tcPr>
          <w:p w14:paraId="37D1634D" w14:textId="77777777" w:rsidR="00265F21" w:rsidRPr="00E14102" w:rsidRDefault="00265F21" w:rsidP="00E14102">
            <w:pPr>
              <w:jc w:val="both"/>
              <w:rPr>
                <w:color w:val="000000" w:themeColor="text1"/>
                <w:sz w:val="16"/>
                <w:szCs w:val="16"/>
              </w:rPr>
            </w:pPr>
            <w:r w:rsidRPr="00E14102">
              <w:rPr>
                <w:color w:val="000000" w:themeColor="text1"/>
                <w:sz w:val="16"/>
                <w:szCs w:val="16"/>
              </w:rPr>
              <w:t>38. ДЗМО?*</w:t>
            </w:r>
          </w:p>
        </w:tc>
        <w:tc>
          <w:tcPr>
            <w:tcW w:w="714" w:type="dxa"/>
          </w:tcPr>
          <w:p w14:paraId="76DB4B86" w14:textId="77777777" w:rsidR="00265F21" w:rsidRPr="00E14102" w:rsidRDefault="00265F21" w:rsidP="00E14102">
            <w:pPr>
              <w:jc w:val="both"/>
              <w:rPr>
                <w:color w:val="000000" w:themeColor="text1"/>
                <w:sz w:val="16"/>
                <w:szCs w:val="16"/>
              </w:rPr>
            </w:pPr>
            <w:r w:rsidRPr="00E14102">
              <w:rPr>
                <w:color w:val="000000" w:themeColor="text1"/>
                <w:sz w:val="16"/>
                <w:szCs w:val="16"/>
              </w:rPr>
              <w:t>Днепропетровск</w:t>
            </w:r>
          </w:p>
        </w:tc>
        <w:tc>
          <w:tcPr>
            <w:tcW w:w="751" w:type="dxa"/>
          </w:tcPr>
          <w:p w14:paraId="55ED499E" w14:textId="77777777" w:rsidR="00265F21" w:rsidRPr="00E14102" w:rsidRDefault="00265F21" w:rsidP="00E14102">
            <w:pPr>
              <w:jc w:val="both"/>
              <w:rPr>
                <w:color w:val="000000" w:themeColor="text1"/>
                <w:sz w:val="16"/>
                <w:szCs w:val="16"/>
              </w:rPr>
            </w:pPr>
            <w:r w:rsidRPr="00E14102">
              <w:rPr>
                <w:color w:val="000000" w:themeColor="text1"/>
                <w:sz w:val="16"/>
                <w:szCs w:val="16"/>
              </w:rPr>
              <w:t>Картозия</w:t>
            </w:r>
          </w:p>
        </w:tc>
        <w:tc>
          <w:tcPr>
            <w:tcW w:w="1541" w:type="dxa"/>
          </w:tcPr>
          <w:p w14:paraId="0B2E08A5" w14:textId="77777777" w:rsidR="00265F21" w:rsidRPr="00E14102" w:rsidRDefault="00265F21" w:rsidP="00E14102">
            <w:pPr>
              <w:jc w:val="both"/>
              <w:rPr>
                <w:color w:val="000000" w:themeColor="text1"/>
                <w:sz w:val="16"/>
                <w:szCs w:val="16"/>
              </w:rPr>
            </w:pPr>
            <w:r w:rsidRPr="00E14102">
              <w:rPr>
                <w:color w:val="000000" w:themeColor="text1"/>
                <w:sz w:val="16"/>
                <w:szCs w:val="16"/>
              </w:rPr>
              <w:t>Юрист</w:t>
            </w:r>
          </w:p>
        </w:tc>
        <w:tc>
          <w:tcPr>
            <w:tcW w:w="2180" w:type="dxa"/>
          </w:tcPr>
          <w:p w14:paraId="000E580B" w14:textId="77777777" w:rsidR="00265F21" w:rsidRPr="00E14102" w:rsidRDefault="00265F21" w:rsidP="00E14102">
            <w:pPr>
              <w:jc w:val="both"/>
              <w:rPr>
                <w:color w:val="000000" w:themeColor="text1"/>
                <w:sz w:val="16"/>
                <w:szCs w:val="16"/>
              </w:rPr>
            </w:pPr>
            <w:r w:rsidRPr="00E14102">
              <w:rPr>
                <w:color w:val="000000" w:themeColor="text1"/>
                <w:sz w:val="16"/>
                <w:szCs w:val="16"/>
              </w:rPr>
              <w:t>1472</w:t>
            </w:r>
          </w:p>
        </w:tc>
        <w:tc>
          <w:tcPr>
            <w:tcW w:w="601" w:type="dxa"/>
          </w:tcPr>
          <w:p w14:paraId="41545704" w14:textId="77777777" w:rsidR="00265F21" w:rsidRPr="00E14102" w:rsidRDefault="00265F21" w:rsidP="00E14102">
            <w:pPr>
              <w:jc w:val="both"/>
              <w:rPr>
                <w:color w:val="000000" w:themeColor="text1"/>
                <w:sz w:val="16"/>
                <w:szCs w:val="16"/>
              </w:rPr>
            </w:pPr>
            <w:r w:rsidRPr="00E14102">
              <w:rPr>
                <w:color w:val="000000" w:themeColor="text1"/>
                <w:sz w:val="16"/>
                <w:szCs w:val="16"/>
              </w:rPr>
              <w:t>2690</w:t>
            </w:r>
          </w:p>
        </w:tc>
        <w:tc>
          <w:tcPr>
            <w:tcW w:w="300" w:type="dxa"/>
          </w:tcPr>
          <w:p w14:paraId="5B9B170F" w14:textId="77777777" w:rsidR="00265F21" w:rsidRPr="00E14102" w:rsidRDefault="00265F21" w:rsidP="00E14102">
            <w:pPr>
              <w:jc w:val="both"/>
              <w:rPr>
                <w:color w:val="000000" w:themeColor="text1"/>
                <w:sz w:val="16"/>
                <w:szCs w:val="16"/>
              </w:rPr>
            </w:pPr>
            <w:r w:rsidRPr="00E14102">
              <w:rPr>
                <w:color w:val="000000" w:themeColor="text1"/>
                <w:sz w:val="16"/>
                <w:szCs w:val="16"/>
              </w:rPr>
              <w:t>750</w:t>
            </w:r>
          </w:p>
        </w:tc>
        <w:tc>
          <w:tcPr>
            <w:tcW w:w="1466" w:type="dxa"/>
          </w:tcPr>
          <w:p w14:paraId="67D0836C" w14:textId="77777777" w:rsidR="00265F21" w:rsidRPr="00E14102" w:rsidRDefault="00265F21" w:rsidP="00E14102">
            <w:pPr>
              <w:jc w:val="both"/>
              <w:rPr>
                <w:color w:val="000000" w:themeColor="text1"/>
                <w:sz w:val="16"/>
                <w:szCs w:val="16"/>
              </w:rPr>
            </w:pPr>
          </w:p>
        </w:tc>
      </w:tr>
      <w:tr w:rsidR="00E3599D" w:rsidRPr="00E14102" w14:paraId="2625D69C" w14:textId="77777777" w:rsidTr="00A45C9C">
        <w:tc>
          <w:tcPr>
            <w:tcW w:w="1804" w:type="dxa"/>
          </w:tcPr>
          <w:p w14:paraId="77200AE3" w14:textId="77777777" w:rsidR="00265F21" w:rsidRPr="00E14102" w:rsidRDefault="00265F21" w:rsidP="00E14102">
            <w:pPr>
              <w:jc w:val="both"/>
              <w:rPr>
                <w:color w:val="000000" w:themeColor="text1"/>
                <w:sz w:val="16"/>
                <w:szCs w:val="16"/>
              </w:rPr>
            </w:pPr>
            <w:r w:rsidRPr="00E14102">
              <w:rPr>
                <w:color w:val="000000" w:themeColor="text1"/>
                <w:sz w:val="16"/>
                <w:szCs w:val="16"/>
              </w:rPr>
              <w:t>39. Алапаевский</w:t>
            </w:r>
          </w:p>
        </w:tc>
        <w:tc>
          <w:tcPr>
            <w:tcW w:w="714" w:type="dxa"/>
          </w:tcPr>
          <w:p w14:paraId="234E9A02" w14:textId="77777777" w:rsidR="00265F21" w:rsidRPr="00E14102" w:rsidRDefault="00265F21" w:rsidP="00E14102">
            <w:pPr>
              <w:jc w:val="both"/>
              <w:rPr>
                <w:color w:val="000000" w:themeColor="text1"/>
                <w:sz w:val="16"/>
                <w:szCs w:val="16"/>
              </w:rPr>
            </w:pPr>
            <w:r w:rsidRPr="00E14102">
              <w:rPr>
                <w:color w:val="000000" w:themeColor="text1"/>
                <w:sz w:val="16"/>
                <w:szCs w:val="16"/>
              </w:rPr>
              <w:t>Алапаевск</w:t>
            </w:r>
          </w:p>
        </w:tc>
        <w:tc>
          <w:tcPr>
            <w:tcW w:w="751" w:type="dxa"/>
          </w:tcPr>
          <w:p w14:paraId="1976F5CD" w14:textId="77777777" w:rsidR="00265F21" w:rsidRPr="00E14102" w:rsidRDefault="00265F21" w:rsidP="00E14102">
            <w:pPr>
              <w:jc w:val="both"/>
              <w:rPr>
                <w:color w:val="000000" w:themeColor="text1"/>
                <w:sz w:val="16"/>
                <w:szCs w:val="16"/>
              </w:rPr>
            </w:pPr>
            <w:r w:rsidRPr="00E14102">
              <w:rPr>
                <w:color w:val="000000" w:themeColor="text1"/>
                <w:sz w:val="16"/>
                <w:szCs w:val="16"/>
              </w:rPr>
              <w:t>Шевченко</w:t>
            </w:r>
          </w:p>
        </w:tc>
        <w:tc>
          <w:tcPr>
            <w:tcW w:w="1541" w:type="dxa"/>
          </w:tcPr>
          <w:p w14:paraId="03C0805C"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0B08F675" w14:textId="77777777" w:rsidR="00265F21" w:rsidRPr="00E14102" w:rsidRDefault="00265F21" w:rsidP="00E14102">
            <w:pPr>
              <w:jc w:val="both"/>
              <w:rPr>
                <w:color w:val="000000" w:themeColor="text1"/>
                <w:sz w:val="16"/>
                <w:szCs w:val="16"/>
              </w:rPr>
            </w:pPr>
            <w:r w:rsidRPr="00E14102">
              <w:rPr>
                <w:color w:val="000000" w:themeColor="text1"/>
                <w:sz w:val="16"/>
                <w:szCs w:val="16"/>
              </w:rPr>
              <w:t>1402</w:t>
            </w:r>
          </w:p>
        </w:tc>
        <w:tc>
          <w:tcPr>
            <w:tcW w:w="601" w:type="dxa"/>
          </w:tcPr>
          <w:p w14:paraId="71E3A059" w14:textId="77777777" w:rsidR="00265F21" w:rsidRPr="00E14102" w:rsidRDefault="00265F21" w:rsidP="00E14102">
            <w:pPr>
              <w:jc w:val="both"/>
              <w:rPr>
                <w:color w:val="000000" w:themeColor="text1"/>
                <w:sz w:val="16"/>
                <w:szCs w:val="16"/>
              </w:rPr>
            </w:pPr>
            <w:r w:rsidRPr="00E14102">
              <w:rPr>
                <w:color w:val="000000" w:themeColor="text1"/>
                <w:sz w:val="16"/>
                <w:szCs w:val="16"/>
              </w:rPr>
              <w:t>3534</w:t>
            </w:r>
          </w:p>
        </w:tc>
        <w:tc>
          <w:tcPr>
            <w:tcW w:w="300" w:type="dxa"/>
          </w:tcPr>
          <w:p w14:paraId="448B58DD"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30DCEABB" w14:textId="77777777" w:rsidR="00265F21" w:rsidRPr="00E14102" w:rsidRDefault="00265F21" w:rsidP="00E14102">
            <w:pPr>
              <w:jc w:val="both"/>
              <w:rPr>
                <w:color w:val="000000" w:themeColor="text1"/>
                <w:sz w:val="16"/>
                <w:szCs w:val="16"/>
              </w:rPr>
            </w:pPr>
          </w:p>
        </w:tc>
      </w:tr>
      <w:tr w:rsidR="00E3599D" w:rsidRPr="00E14102" w14:paraId="0BBF1F86" w14:textId="77777777" w:rsidTr="00A45C9C">
        <w:tc>
          <w:tcPr>
            <w:tcW w:w="1804" w:type="dxa"/>
          </w:tcPr>
          <w:p w14:paraId="14A6EDE0" w14:textId="77777777" w:rsidR="00265F21" w:rsidRPr="00E14102" w:rsidRDefault="00265F21" w:rsidP="00E14102">
            <w:pPr>
              <w:jc w:val="both"/>
              <w:rPr>
                <w:color w:val="000000" w:themeColor="text1"/>
                <w:sz w:val="16"/>
                <w:szCs w:val="16"/>
              </w:rPr>
            </w:pPr>
            <w:r w:rsidRPr="00E14102">
              <w:rPr>
                <w:color w:val="000000" w:themeColor="text1"/>
                <w:sz w:val="16"/>
                <w:szCs w:val="16"/>
              </w:rPr>
              <w:lastRenderedPageBreak/>
              <w:t>40. Зестафонский</w:t>
            </w:r>
          </w:p>
        </w:tc>
        <w:tc>
          <w:tcPr>
            <w:tcW w:w="714" w:type="dxa"/>
          </w:tcPr>
          <w:p w14:paraId="63005DA0" w14:textId="77777777" w:rsidR="00265F21" w:rsidRPr="00E14102" w:rsidRDefault="00265F21" w:rsidP="00E14102">
            <w:pPr>
              <w:jc w:val="both"/>
              <w:rPr>
                <w:color w:val="000000" w:themeColor="text1"/>
                <w:sz w:val="16"/>
                <w:szCs w:val="16"/>
              </w:rPr>
            </w:pPr>
            <w:r w:rsidRPr="00E14102">
              <w:rPr>
                <w:color w:val="000000" w:themeColor="text1"/>
                <w:sz w:val="16"/>
                <w:szCs w:val="16"/>
              </w:rPr>
              <w:t>Зестафони</w:t>
            </w:r>
          </w:p>
        </w:tc>
        <w:tc>
          <w:tcPr>
            <w:tcW w:w="751" w:type="dxa"/>
          </w:tcPr>
          <w:p w14:paraId="2014A642" w14:textId="77777777" w:rsidR="00265F21" w:rsidRPr="00E14102" w:rsidRDefault="00265F21" w:rsidP="00E14102">
            <w:pPr>
              <w:jc w:val="both"/>
              <w:rPr>
                <w:color w:val="000000" w:themeColor="text1"/>
                <w:sz w:val="16"/>
                <w:szCs w:val="16"/>
              </w:rPr>
            </w:pPr>
            <w:r w:rsidRPr="00E14102">
              <w:rPr>
                <w:color w:val="000000" w:themeColor="text1"/>
                <w:sz w:val="16"/>
                <w:szCs w:val="16"/>
              </w:rPr>
              <w:t>Мзореулашвили</w:t>
            </w:r>
          </w:p>
        </w:tc>
        <w:tc>
          <w:tcPr>
            <w:tcW w:w="1541" w:type="dxa"/>
          </w:tcPr>
          <w:p w14:paraId="533AF15D"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174A7041" w14:textId="77777777" w:rsidR="00265F21" w:rsidRPr="00E14102" w:rsidRDefault="00265F21" w:rsidP="00E14102">
            <w:pPr>
              <w:jc w:val="both"/>
              <w:rPr>
                <w:color w:val="000000" w:themeColor="text1"/>
                <w:sz w:val="16"/>
                <w:szCs w:val="16"/>
              </w:rPr>
            </w:pPr>
            <w:r w:rsidRPr="00E14102">
              <w:rPr>
                <w:color w:val="000000" w:themeColor="text1"/>
                <w:sz w:val="16"/>
                <w:szCs w:val="16"/>
              </w:rPr>
              <w:t>560</w:t>
            </w:r>
          </w:p>
        </w:tc>
        <w:tc>
          <w:tcPr>
            <w:tcW w:w="601" w:type="dxa"/>
          </w:tcPr>
          <w:p w14:paraId="1DC11D92" w14:textId="77777777" w:rsidR="00265F21" w:rsidRPr="00E14102" w:rsidRDefault="00265F21" w:rsidP="00E14102">
            <w:pPr>
              <w:jc w:val="both"/>
              <w:rPr>
                <w:color w:val="000000" w:themeColor="text1"/>
                <w:sz w:val="16"/>
                <w:szCs w:val="16"/>
              </w:rPr>
            </w:pPr>
            <w:r w:rsidRPr="00E14102">
              <w:rPr>
                <w:color w:val="000000" w:themeColor="text1"/>
                <w:sz w:val="16"/>
                <w:szCs w:val="16"/>
              </w:rPr>
              <w:t>688</w:t>
            </w:r>
          </w:p>
        </w:tc>
        <w:tc>
          <w:tcPr>
            <w:tcW w:w="300" w:type="dxa"/>
          </w:tcPr>
          <w:p w14:paraId="1498271C" w14:textId="77777777" w:rsidR="00265F21" w:rsidRPr="00E14102" w:rsidRDefault="00265F21" w:rsidP="00E14102">
            <w:pPr>
              <w:jc w:val="both"/>
              <w:rPr>
                <w:color w:val="000000" w:themeColor="text1"/>
                <w:sz w:val="16"/>
                <w:szCs w:val="16"/>
              </w:rPr>
            </w:pPr>
            <w:r w:rsidRPr="00E14102">
              <w:rPr>
                <w:color w:val="000000" w:themeColor="text1"/>
                <w:sz w:val="16"/>
                <w:szCs w:val="16"/>
              </w:rPr>
              <w:t>350</w:t>
            </w:r>
          </w:p>
        </w:tc>
        <w:tc>
          <w:tcPr>
            <w:tcW w:w="1466" w:type="dxa"/>
          </w:tcPr>
          <w:p w14:paraId="2C211213" w14:textId="77777777" w:rsidR="00265F21" w:rsidRPr="00E14102" w:rsidRDefault="00265F21" w:rsidP="00E14102">
            <w:pPr>
              <w:jc w:val="both"/>
              <w:rPr>
                <w:color w:val="000000" w:themeColor="text1"/>
                <w:sz w:val="16"/>
                <w:szCs w:val="16"/>
              </w:rPr>
            </w:pPr>
          </w:p>
        </w:tc>
      </w:tr>
      <w:tr w:rsidR="00E3599D" w:rsidRPr="00E14102" w14:paraId="4E604C0A" w14:textId="77777777" w:rsidTr="00A45C9C">
        <w:tc>
          <w:tcPr>
            <w:tcW w:w="1804" w:type="dxa"/>
          </w:tcPr>
          <w:p w14:paraId="3E290922" w14:textId="77777777" w:rsidR="00265F21" w:rsidRPr="00E14102" w:rsidRDefault="00265F21" w:rsidP="00E14102">
            <w:pPr>
              <w:jc w:val="both"/>
              <w:rPr>
                <w:color w:val="000000" w:themeColor="text1"/>
                <w:sz w:val="16"/>
                <w:szCs w:val="16"/>
              </w:rPr>
            </w:pPr>
            <w:r w:rsidRPr="00E14102">
              <w:rPr>
                <w:color w:val="000000" w:themeColor="text1"/>
                <w:sz w:val="16"/>
                <w:szCs w:val="16"/>
              </w:rPr>
              <w:t>41. Косогорский</w:t>
            </w:r>
          </w:p>
        </w:tc>
        <w:tc>
          <w:tcPr>
            <w:tcW w:w="714" w:type="dxa"/>
          </w:tcPr>
          <w:p w14:paraId="475032B2" w14:textId="77777777" w:rsidR="00265F21" w:rsidRPr="00E14102" w:rsidRDefault="00265F21" w:rsidP="00E14102">
            <w:pPr>
              <w:jc w:val="both"/>
              <w:rPr>
                <w:color w:val="000000" w:themeColor="text1"/>
                <w:sz w:val="16"/>
                <w:szCs w:val="16"/>
              </w:rPr>
            </w:pPr>
            <w:r w:rsidRPr="00E14102">
              <w:rPr>
                <w:color w:val="000000" w:themeColor="text1"/>
                <w:sz w:val="16"/>
                <w:szCs w:val="16"/>
              </w:rPr>
              <w:t>Тула, Косая Гора</w:t>
            </w:r>
          </w:p>
        </w:tc>
        <w:tc>
          <w:tcPr>
            <w:tcW w:w="751" w:type="dxa"/>
          </w:tcPr>
          <w:p w14:paraId="6AB5AC3B" w14:textId="77777777" w:rsidR="00265F21" w:rsidRPr="00E14102" w:rsidRDefault="00265F21" w:rsidP="00E14102">
            <w:pPr>
              <w:jc w:val="both"/>
              <w:rPr>
                <w:color w:val="000000" w:themeColor="text1"/>
                <w:sz w:val="16"/>
                <w:szCs w:val="16"/>
              </w:rPr>
            </w:pPr>
            <w:r w:rsidRPr="00E14102">
              <w:rPr>
                <w:color w:val="000000" w:themeColor="text1"/>
                <w:sz w:val="16"/>
                <w:szCs w:val="16"/>
              </w:rPr>
              <w:t>Ярдошвили</w:t>
            </w:r>
          </w:p>
        </w:tc>
        <w:tc>
          <w:tcPr>
            <w:tcW w:w="1541" w:type="dxa"/>
          </w:tcPr>
          <w:p w14:paraId="569D3DE8"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695CCB64" w14:textId="77777777" w:rsidR="00265F21" w:rsidRPr="00E14102" w:rsidRDefault="00265F21" w:rsidP="00E14102">
            <w:pPr>
              <w:jc w:val="both"/>
              <w:rPr>
                <w:color w:val="000000" w:themeColor="text1"/>
                <w:sz w:val="16"/>
                <w:szCs w:val="16"/>
              </w:rPr>
            </w:pPr>
            <w:r w:rsidRPr="00E14102">
              <w:rPr>
                <w:color w:val="000000" w:themeColor="text1"/>
                <w:sz w:val="16"/>
                <w:szCs w:val="16"/>
              </w:rPr>
              <w:t>1438</w:t>
            </w:r>
          </w:p>
        </w:tc>
        <w:tc>
          <w:tcPr>
            <w:tcW w:w="601" w:type="dxa"/>
          </w:tcPr>
          <w:p w14:paraId="27F39A90" w14:textId="77777777" w:rsidR="00265F21" w:rsidRPr="00E14102" w:rsidRDefault="00265F21" w:rsidP="00E14102">
            <w:pPr>
              <w:jc w:val="both"/>
              <w:rPr>
                <w:color w:val="000000" w:themeColor="text1"/>
                <w:sz w:val="16"/>
                <w:szCs w:val="16"/>
              </w:rPr>
            </w:pPr>
            <w:r w:rsidRPr="00E14102">
              <w:rPr>
                <w:color w:val="000000" w:themeColor="text1"/>
                <w:sz w:val="16"/>
                <w:szCs w:val="16"/>
              </w:rPr>
              <w:t>3292</w:t>
            </w:r>
          </w:p>
        </w:tc>
        <w:tc>
          <w:tcPr>
            <w:tcW w:w="300" w:type="dxa"/>
          </w:tcPr>
          <w:p w14:paraId="477D5AFB"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2F1832C4" w14:textId="77777777" w:rsidR="00265F21" w:rsidRPr="00E14102" w:rsidRDefault="00265F21" w:rsidP="00E14102">
            <w:pPr>
              <w:jc w:val="both"/>
              <w:rPr>
                <w:color w:val="000000" w:themeColor="text1"/>
                <w:sz w:val="16"/>
                <w:szCs w:val="16"/>
              </w:rPr>
            </w:pPr>
          </w:p>
        </w:tc>
      </w:tr>
      <w:tr w:rsidR="00E3599D" w:rsidRPr="00E14102" w14:paraId="06ACD6E2" w14:textId="77777777" w:rsidTr="00A45C9C">
        <w:tc>
          <w:tcPr>
            <w:tcW w:w="1804" w:type="dxa"/>
          </w:tcPr>
          <w:p w14:paraId="5F51F65F" w14:textId="77777777" w:rsidR="00265F21" w:rsidRPr="00E14102" w:rsidRDefault="00265F21" w:rsidP="00E14102">
            <w:pPr>
              <w:jc w:val="both"/>
              <w:rPr>
                <w:color w:val="000000" w:themeColor="text1"/>
                <w:sz w:val="16"/>
                <w:szCs w:val="16"/>
              </w:rPr>
            </w:pPr>
            <w:r w:rsidRPr="00E14102">
              <w:rPr>
                <w:color w:val="000000" w:themeColor="text1"/>
                <w:sz w:val="16"/>
                <w:szCs w:val="16"/>
              </w:rPr>
              <w:t>42. Свободный Сокол</w:t>
            </w:r>
          </w:p>
        </w:tc>
        <w:tc>
          <w:tcPr>
            <w:tcW w:w="714" w:type="dxa"/>
          </w:tcPr>
          <w:p w14:paraId="66657313" w14:textId="77777777" w:rsidR="00265F21" w:rsidRPr="00E14102" w:rsidRDefault="00265F21" w:rsidP="00E14102">
            <w:pPr>
              <w:jc w:val="both"/>
              <w:rPr>
                <w:color w:val="000000" w:themeColor="text1"/>
                <w:sz w:val="16"/>
                <w:szCs w:val="16"/>
              </w:rPr>
            </w:pPr>
            <w:r w:rsidRPr="00E14102">
              <w:rPr>
                <w:color w:val="000000" w:themeColor="text1"/>
                <w:sz w:val="16"/>
                <w:szCs w:val="16"/>
              </w:rPr>
              <w:t>Липецк</w:t>
            </w:r>
          </w:p>
        </w:tc>
        <w:tc>
          <w:tcPr>
            <w:tcW w:w="751" w:type="dxa"/>
          </w:tcPr>
          <w:p w14:paraId="5CFC9490" w14:textId="77777777" w:rsidR="00265F21" w:rsidRPr="00E14102" w:rsidRDefault="00265F21" w:rsidP="00E14102">
            <w:pPr>
              <w:jc w:val="both"/>
              <w:rPr>
                <w:color w:val="000000" w:themeColor="text1"/>
                <w:sz w:val="16"/>
                <w:szCs w:val="16"/>
              </w:rPr>
            </w:pPr>
            <w:r w:rsidRPr="00E14102">
              <w:rPr>
                <w:color w:val="000000" w:themeColor="text1"/>
                <w:sz w:val="16"/>
                <w:szCs w:val="16"/>
              </w:rPr>
              <w:t>Киреев</w:t>
            </w:r>
          </w:p>
        </w:tc>
        <w:tc>
          <w:tcPr>
            <w:tcW w:w="1541" w:type="dxa"/>
          </w:tcPr>
          <w:p w14:paraId="60DC5165" w14:textId="77777777" w:rsidR="00265F21" w:rsidRPr="00E14102" w:rsidRDefault="00265F21" w:rsidP="00E14102">
            <w:pPr>
              <w:jc w:val="both"/>
              <w:rPr>
                <w:color w:val="000000" w:themeColor="text1"/>
                <w:sz w:val="16"/>
                <w:szCs w:val="16"/>
              </w:rPr>
            </w:pPr>
            <w:r w:rsidRPr="00E14102">
              <w:rPr>
                <w:color w:val="000000" w:themeColor="text1"/>
                <w:sz w:val="16"/>
                <w:szCs w:val="16"/>
              </w:rPr>
              <w:t>Промакадемия</w:t>
            </w:r>
          </w:p>
        </w:tc>
        <w:tc>
          <w:tcPr>
            <w:tcW w:w="2180" w:type="dxa"/>
          </w:tcPr>
          <w:p w14:paraId="7F2B7DE8" w14:textId="77777777" w:rsidR="00265F21" w:rsidRPr="00E14102" w:rsidRDefault="00265F21" w:rsidP="00E14102">
            <w:pPr>
              <w:jc w:val="both"/>
              <w:rPr>
                <w:color w:val="000000" w:themeColor="text1"/>
                <w:sz w:val="16"/>
                <w:szCs w:val="16"/>
              </w:rPr>
            </w:pPr>
            <w:r w:rsidRPr="00E14102">
              <w:rPr>
                <w:color w:val="000000" w:themeColor="text1"/>
                <w:sz w:val="16"/>
                <w:szCs w:val="16"/>
              </w:rPr>
              <w:t>1343</w:t>
            </w:r>
          </w:p>
        </w:tc>
        <w:tc>
          <w:tcPr>
            <w:tcW w:w="601" w:type="dxa"/>
          </w:tcPr>
          <w:p w14:paraId="428A34E7" w14:textId="77777777" w:rsidR="00265F21" w:rsidRPr="00E14102" w:rsidRDefault="00265F21" w:rsidP="00E14102">
            <w:pPr>
              <w:jc w:val="both"/>
              <w:rPr>
                <w:color w:val="000000" w:themeColor="text1"/>
                <w:sz w:val="16"/>
                <w:szCs w:val="16"/>
              </w:rPr>
            </w:pPr>
            <w:r w:rsidRPr="00E14102">
              <w:rPr>
                <w:color w:val="000000" w:themeColor="text1"/>
                <w:sz w:val="16"/>
                <w:szCs w:val="16"/>
              </w:rPr>
              <w:t>2660</w:t>
            </w:r>
          </w:p>
        </w:tc>
        <w:tc>
          <w:tcPr>
            <w:tcW w:w="300" w:type="dxa"/>
          </w:tcPr>
          <w:p w14:paraId="4B1C5311"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18AB8227" w14:textId="77777777" w:rsidR="00265F21" w:rsidRPr="00E14102" w:rsidRDefault="00265F21" w:rsidP="00E14102">
            <w:pPr>
              <w:jc w:val="both"/>
              <w:rPr>
                <w:color w:val="000000" w:themeColor="text1"/>
                <w:sz w:val="16"/>
                <w:szCs w:val="16"/>
              </w:rPr>
            </w:pPr>
          </w:p>
        </w:tc>
      </w:tr>
      <w:tr w:rsidR="00E3599D" w:rsidRPr="00E14102" w14:paraId="342B4354" w14:textId="77777777" w:rsidTr="00A45C9C">
        <w:tc>
          <w:tcPr>
            <w:tcW w:w="1804" w:type="dxa"/>
          </w:tcPr>
          <w:p w14:paraId="2FBC3EDF" w14:textId="77777777" w:rsidR="00265F21" w:rsidRPr="00E14102" w:rsidRDefault="00265F21" w:rsidP="00E14102">
            <w:pPr>
              <w:jc w:val="both"/>
              <w:rPr>
                <w:color w:val="000000" w:themeColor="text1"/>
                <w:sz w:val="16"/>
                <w:szCs w:val="16"/>
              </w:rPr>
            </w:pPr>
            <w:r w:rsidRPr="00E14102">
              <w:rPr>
                <w:color w:val="000000" w:themeColor="text1"/>
                <w:sz w:val="16"/>
                <w:szCs w:val="16"/>
              </w:rPr>
              <w:t>43. Ленметаллургстрой</w:t>
            </w:r>
          </w:p>
        </w:tc>
        <w:tc>
          <w:tcPr>
            <w:tcW w:w="714" w:type="dxa"/>
          </w:tcPr>
          <w:p w14:paraId="63C4AF46" w14:textId="77777777" w:rsidR="00265F21" w:rsidRPr="00E14102" w:rsidRDefault="00265F21" w:rsidP="00E14102">
            <w:pPr>
              <w:jc w:val="both"/>
              <w:rPr>
                <w:color w:val="000000" w:themeColor="text1"/>
                <w:sz w:val="16"/>
                <w:szCs w:val="16"/>
              </w:rPr>
            </w:pPr>
            <w:r w:rsidRPr="00E14102">
              <w:rPr>
                <w:color w:val="000000" w:themeColor="text1"/>
                <w:sz w:val="16"/>
                <w:szCs w:val="16"/>
              </w:rPr>
              <w:t>Ленинград</w:t>
            </w:r>
          </w:p>
        </w:tc>
        <w:tc>
          <w:tcPr>
            <w:tcW w:w="751" w:type="dxa"/>
          </w:tcPr>
          <w:p w14:paraId="0B850E76" w14:textId="77777777" w:rsidR="00265F21" w:rsidRPr="00E14102" w:rsidRDefault="00265F21" w:rsidP="00E14102">
            <w:pPr>
              <w:jc w:val="both"/>
              <w:rPr>
                <w:color w:val="000000" w:themeColor="text1"/>
                <w:sz w:val="16"/>
                <w:szCs w:val="16"/>
              </w:rPr>
            </w:pPr>
            <w:r w:rsidRPr="00E14102">
              <w:rPr>
                <w:color w:val="000000" w:themeColor="text1"/>
                <w:sz w:val="16"/>
                <w:szCs w:val="16"/>
              </w:rPr>
              <w:t>Иванов</w:t>
            </w:r>
          </w:p>
        </w:tc>
        <w:tc>
          <w:tcPr>
            <w:tcW w:w="1541" w:type="dxa"/>
          </w:tcPr>
          <w:p w14:paraId="0A888C47"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337A373E" w14:textId="77777777" w:rsidR="00265F21" w:rsidRPr="00E14102" w:rsidRDefault="00265F21" w:rsidP="00E14102">
            <w:pPr>
              <w:jc w:val="both"/>
              <w:rPr>
                <w:color w:val="000000" w:themeColor="text1"/>
                <w:sz w:val="16"/>
                <w:szCs w:val="16"/>
              </w:rPr>
            </w:pPr>
            <w:r w:rsidRPr="00E14102">
              <w:rPr>
                <w:color w:val="000000" w:themeColor="text1"/>
                <w:sz w:val="16"/>
                <w:szCs w:val="16"/>
              </w:rPr>
              <w:t>374</w:t>
            </w:r>
          </w:p>
        </w:tc>
        <w:tc>
          <w:tcPr>
            <w:tcW w:w="601" w:type="dxa"/>
          </w:tcPr>
          <w:p w14:paraId="72A608E2" w14:textId="77777777" w:rsidR="00265F21" w:rsidRPr="00E14102" w:rsidRDefault="00265F21" w:rsidP="00E14102">
            <w:pPr>
              <w:jc w:val="both"/>
              <w:rPr>
                <w:color w:val="000000" w:themeColor="text1"/>
                <w:sz w:val="16"/>
                <w:szCs w:val="16"/>
              </w:rPr>
            </w:pPr>
            <w:r w:rsidRPr="00E14102">
              <w:rPr>
                <w:color w:val="000000" w:themeColor="text1"/>
                <w:sz w:val="16"/>
                <w:szCs w:val="16"/>
              </w:rPr>
              <w:t>899</w:t>
            </w:r>
          </w:p>
        </w:tc>
        <w:tc>
          <w:tcPr>
            <w:tcW w:w="300" w:type="dxa"/>
          </w:tcPr>
          <w:p w14:paraId="66AFAB41"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7C49BED7" w14:textId="77777777" w:rsidR="00265F21" w:rsidRPr="00E14102" w:rsidRDefault="00265F21" w:rsidP="00E14102">
            <w:pPr>
              <w:jc w:val="both"/>
              <w:rPr>
                <w:color w:val="000000" w:themeColor="text1"/>
                <w:sz w:val="16"/>
                <w:szCs w:val="16"/>
              </w:rPr>
            </w:pPr>
            <w:r w:rsidRPr="00E14102">
              <w:rPr>
                <w:color w:val="000000" w:themeColor="text1"/>
                <w:sz w:val="16"/>
                <w:szCs w:val="16"/>
              </w:rPr>
              <w:t>Объем строительства в 35 г. 2 млн.</w:t>
            </w:r>
          </w:p>
        </w:tc>
      </w:tr>
      <w:tr w:rsidR="00E3599D" w:rsidRPr="00E14102" w14:paraId="6A8B27BE" w14:textId="77777777" w:rsidTr="00A45C9C">
        <w:tc>
          <w:tcPr>
            <w:tcW w:w="1804" w:type="dxa"/>
          </w:tcPr>
          <w:p w14:paraId="7AC2C5DA" w14:textId="77777777" w:rsidR="00265F21" w:rsidRPr="00E14102" w:rsidRDefault="00265F21" w:rsidP="00E14102">
            <w:pPr>
              <w:jc w:val="both"/>
              <w:rPr>
                <w:color w:val="000000" w:themeColor="text1"/>
                <w:sz w:val="16"/>
                <w:szCs w:val="16"/>
              </w:rPr>
            </w:pPr>
            <w:r w:rsidRPr="00E14102">
              <w:rPr>
                <w:color w:val="000000" w:themeColor="text1"/>
                <w:sz w:val="16"/>
                <w:szCs w:val="16"/>
              </w:rPr>
              <w:t>44. Лутугинский</w:t>
            </w:r>
          </w:p>
        </w:tc>
        <w:tc>
          <w:tcPr>
            <w:tcW w:w="714" w:type="dxa"/>
          </w:tcPr>
          <w:p w14:paraId="1D2D4252" w14:textId="77777777" w:rsidR="00265F21" w:rsidRPr="00E14102" w:rsidRDefault="00265F21" w:rsidP="00E14102">
            <w:pPr>
              <w:jc w:val="both"/>
              <w:rPr>
                <w:color w:val="000000" w:themeColor="text1"/>
                <w:sz w:val="16"/>
                <w:szCs w:val="16"/>
              </w:rPr>
            </w:pPr>
            <w:r w:rsidRPr="00E14102">
              <w:rPr>
                <w:color w:val="000000" w:themeColor="text1"/>
                <w:sz w:val="16"/>
                <w:szCs w:val="16"/>
              </w:rPr>
              <w:t>Лутугино</w:t>
            </w:r>
          </w:p>
        </w:tc>
        <w:tc>
          <w:tcPr>
            <w:tcW w:w="751" w:type="dxa"/>
          </w:tcPr>
          <w:p w14:paraId="6C55FCA8" w14:textId="77777777" w:rsidR="00265F21" w:rsidRPr="00E14102" w:rsidRDefault="00265F21" w:rsidP="00E14102">
            <w:pPr>
              <w:jc w:val="both"/>
              <w:rPr>
                <w:color w:val="000000" w:themeColor="text1"/>
                <w:sz w:val="16"/>
                <w:szCs w:val="16"/>
              </w:rPr>
            </w:pPr>
            <w:r w:rsidRPr="00E14102">
              <w:rPr>
                <w:color w:val="000000" w:themeColor="text1"/>
                <w:sz w:val="16"/>
                <w:szCs w:val="16"/>
              </w:rPr>
              <w:t>Гиттер</w:t>
            </w:r>
          </w:p>
        </w:tc>
        <w:tc>
          <w:tcPr>
            <w:tcW w:w="1541" w:type="dxa"/>
          </w:tcPr>
          <w:p w14:paraId="39CAB410" w14:textId="77777777" w:rsidR="00265F21" w:rsidRPr="00E14102" w:rsidRDefault="00265F21" w:rsidP="00E14102">
            <w:pPr>
              <w:jc w:val="both"/>
              <w:rPr>
                <w:color w:val="000000" w:themeColor="text1"/>
                <w:sz w:val="16"/>
                <w:szCs w:val="16"/>
              </w:rPr>
            </w:pPr>
            <w:r w:rsidRPr="00E14102">
              <w:rPr>
                <w:color w:val="000000" w:themeColor="text1"/>
                <w:sz w:val="16"/>
                <w:szCs w:val="16"/>
              </w:rPr>
              <w:t>Харьковский институт хоз[яйственников]</w:t>
            </w:r>
          </w:p>
        </w:tc>
        <w:tc>
          <w:tcPr>
            <w:tcW w:w="2180" w:type="dxa"/>
          </w:tcPr>
          <w:p w14:paraId="306AAD8B" w14:textId="77777777" w:rsidR="00265F21" w:rsidRPr="00E14102" w:rsidRDefault="00265F21" w:rsidP="00E14102">
            <w:pPr>
              <w:jc w:val="both"/>
              <w:rPr>
                <w:color w:val="000000" w:themeColor="text1"/>
                <w:sz w:val="16"/>
                <w:szCs w:val="16"/>
              </w:rPr>
            </w:pPr>
            <w:r w:rsidRPr="00E14102">
              <w:rPr>
                <w:color w:val="000000" w:themeColor="text1"/>
                <w:sz w:val="16"/>
                <w:szCs w:val="16"/>
              </w:rPr>
              <w:t>680</w:t>
            </w:r>
          </w:p>
        </w:tc>
        <w:tc>
          <w:tcPr>
            <w:tcW w:w="601" w:type="dxa"/>
          </w:tcPr>
          <w:p w14:paraId="07907E46" w14:textId="77777777" w:rsidR="00265F21" w:rsidRPr="00E14102" w:rsidRDefault="00265F21" w:rsidP="00E14102">
            <w:pPr>
              <w:jc w:val="both"/>
              <w:rPr>
                <w:color w:val="000000" w:themeColor="text1"/>
                <w:sz w:val="16"/>
                <w:szCs w:val="16"/>
              </w:rPr>
            </w:pPr>
            <w:r w:rsidRPr="00E14102">
              <w:rPr>
                <w:color w:val="000000" w:themeColor="text1"/>
                <w:sz w:val="16"/>
                <w:szCs w:val="16"/>
              </w:rPr>
              <w:t>1018</w:t>
            </w:r>
          </w:p>
        </w:tc>
        <w:tc>
          <w:tcPr>
            <w:tcW w:w="300" w:type="dxa"/>
          </w:tcPr>
          <w:p w14:paraId="4D48EF90" w14:textId="77777777" w:rsidR="00265F21" w:rsidRPr="00E14102" w:rsidRDefault="00265F21" w:rsidP="00E14102">
            <w:pPr>
              <w:jc w:val="both"/>
              <w:rPr>
                <w:color w:val="000000" w:themeColor="text1"/>
                <w:sz w:val="16"/>
                <w:szCs w:val="16"/>
              </w:rPr>
            </w:pPr>
            <w:r w:rsidRPr="00E14102">
              <w:rPr>
                <w:color w:val="000000" w:themeColor="text1"/>
                <w:sz w:val="16"/>
                <w:szCs w:val="16"/>
              </w:rPr>
              <w:t>825</w:t>
            </w:r>
          </w:p>
        </w:tc>
        <w:tc>
          <w:tcPr>
            <w:tcW w:w="1466" w:type="dxa"/>
          </w:tcPr>
          <w:p w14:paraId="021B40A2" w14:textId="77777777" w:rsidR="00265F21" w:rsidRPr="00E14102" w:rsidRDefault="00265F21" w:rsidP="00E14102">
            <w:pPr>
              <w:jc w:val="both"/>
              <w:rPr>
                <w:color w:val="000000" w:themeColor="text1"/>
                <w:sz w:val="16"/>
                <w:szCs w:val="16"/>
              </w:rPr>
            </w:pPr>
          </w:p>
        </w:tc>
      </w:tr>
      <w:tr w:rsidR="00E3599D" w:rsidRPr="00E14102" w14:paraId="1A35F92F" w14:textId="77777777" w:rsidTr="00A45C9C">
        <w:tc>
          <w:tcPr>
            <w:tcW w:w="1804" w:type="dxa"/>
          </w:tcPr>
          <w:p w14:paraId="77809A42" w14:textId="77777777" w:rsidR="00265F21" w:rsidRPr="00E14102" w:rsidRDefault="00265F21" w:rsidP="00E14102">
            <w:pPr>
              <w:jc w:val="both"/>
              <w:rPr>
                <w:color w:val="000000" w:themeColor="text1"/>
                <w:sz w:val="16"/>
                <w:szCs w:val="16"/>
              </w:rPr>
            </w:pPr>
            <w:r w:rsidRPr="00E14102">
              <w:rPr>
                <w:color w:val="000000" w:themeColor="text1"/>
                <w:sz w:val="16"/>
                <w:szCs w:val="16"/>
              </w:rPr>
              <w:t>45. Катав-Ивановский</w:t>
            </w:r>
          </w:p>
        </w:tc>
        <w:tc>
          <w:tcPr>
            <w:tcW w:w="714" w:type="dxa"/>
          </w:tcPr>
          <w:p w14:paraId="1BAADEF3" w14:textId="77777777" w:rsidR="00265F21" w:rsidRPr="00E14102" w:rsidRDefault="00265F21" w:rsidP="00E14102">
            <w:pPr>
              <w:jc w:val="both"/>
              <w:rPr>
                <w:color w:val="000000" w:themeColor="text1"/>
                <w:sz w:val="16"/>
                <w:szCs w:val="16"/>
              </w:rPr>
            </w:pPr>
            <w:r w:rsidRPr="00E14102">
              <w:rPr>
                <w:color w:val="000000" w:themeColor="text1"/>
                <w:sz w:val="16"/>
                <w:szCs w:val="16"/>
              </w:rPr>
              <w:t>Катав-Ивановск</w:t>
            </w:r>
          </w:p>
        </w:tc>
        <w:tc>
          <w:tcPr>
            <w:tcW w:w="751" w:type="dxa"/>
          </w:tcPr>
          <w:p w14:paraId="0537C541"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541" w:type="dxa"/>
          </w:tcPr>
          <w:p w14:paraId="47971233"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09A2023A" w14:textId="77777777" w:rsidR="00265F21" w:rsidRPr="00E14102" w:rsidRDefault="00265F21" w:rsidP="00E14102">
            <w:pPr>
              <w:jc w:val="both"/>
              <w:rPr>
                <w:color w:val="000000" w:themeColor="text1"/>
                <w:sz w:val="16"/>
                <w:szCs w:val="16"/>
              </w:rPr>
            </w:pPr>
            <w:r w:rsidRPr="00E14102">
              <w:rPr>
                <w:color w:val="000000" w:themeColor="text1"/>
                <w:sz w:val="16"/>
                <w:szCs w:val="16"/>
              </w:rPr>
              <w:t>257</w:t>
            </w:r>
          </w:p>
        </w:tc>
        <w:tc>
          <w:tcPr>
            <w:tcW w:w="601" w:type="dxa"/>
          </w:tcPr>
          <w:p w14:paraId="273C1A6D" w14:textId="77777777" w:rsidR="00265F21" w:rsidRPr="00E14102" w:rsidRDefault="00265F21" w:rsidP="00E14102">
            <w:pPr>
              <w:jc w:val="both"/>
              <w:rPr>
                <w:color w:val="000000" w:themeColor="text1"/>
                <w:sz w:val="16"/>
                <w:szCs w:val="16"/>
              </w:rPr>
            </w:pPr>
            <w:r w:rsidRPr="00E14102">
              <w:rPr>
                <w:color w:val="000000" w:themeColor="text1"/>
                <w:sz w:val="16"/>
                <w:szCs w:val="16"/>
              </w:rPr>
              <w:t>783</w:t>
            </w:r>
          </w:p>
        </w:tc>
        <w:tc>
          <w:tcPr>
            <w:tcW w:w="300" w:type="dxa"/>
          </w:tcPr>
          <w:p w14:paraId="47CE99A5"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5BE924CF" w14:textId="77777777" w:rsidR="00265F21" w:rsidRPr="00E14102" w:rsidRDefault="00265F21" w:rsidP="00E14102">
            <w:pPr>
              <w:jc w:val="both"/>
              <w:rPr>
                <w:color w:val="000000" w:themeColor="text1"/>
                <w:sz w:val="16"/>
                <w:szCs w:val="16"/>
              </w:rPr>
            </w:pPr>
          </w:p>
        </w:tc>
      </w:tr>
      <w:tr w:rsidR="00E3599D" w:rsidRPr="00E14102" w14:paraId="72196F8A" w14:textId="77777777" w:rsidTr="00A45C9C">
        <w:tc>
          <w:tcPr>
            <w:tcW w:w="1804" w:type="dxa"/>
          </w:tcPr>
          <w:p w14:paraId="23A54DB4" w14:textId="77777777" w:rsidR="00265F21" w:rsidRPr="00E14102" w:rsidRDefault="00265F21" w:rsidP="00E14102">
            <w:pPr>
              <w:jc w:val="both"/>
              <w:rPr>
                <w:color w:val="000000" w:themeColor="text1"/>
                <w:sz w:val="16"/>
                <w:szCs w:val="16"/>
              </w:rPr>
            </w:pPr>
            <w:r w:rsidRPr="00E14102">
              <w:rPr>
                <w:color w:val="000000" w:themeColor="text1"/>
                <w:sz w:val="16"/>
                <w:szCs w:val="16"/>
              </w:rPr>
              <w:t>46. Дебальцевский</w:t>
            </w:r>
          </w:p>
        </w:tc>
        <w:tc>
          <w:tcPr>
            <w:tcW w:w="714" w:type="dxa"/>
          </w:tcPr>
          <w:p w14:paraId="17A2ACC3" w14:textId="77777777" w:rsidR="00265F21" w:rsidRPr="00E14102" w:rsidRDefault="00265F21" w:rsidP="00E14102">
            <w:pPr>
              <w:jc w:val="both"/>
              <w:rPr>
                <w:color w:val="000000" w:themeColor="text1"/>
                <w:sz w:val="16"/>
                <w:szCs w:val="16"/>
              </w:rPr>
            </w:pPr>
            <w:r w:rsidRPr="00E14102">
              <w:rPr>
                <w:color w:val="000000" w:themeColor="text1"/>
                <w:sz w:val="16"/>
                <w:szCs w:val="16"/>
              </w:rPr>
              <w:t>Дебальцево</w:t>
            </w:r>
          </w:p>
        </w:tc>
        <w:tc>
          <w:tcPr>
            <w:tcW w:w="751" w:type="dxa"/>
          </w:tcPr>
          <w:p w14:paraId="56CA7B6C" w14:textId="77777777" w:rsidR="00265F21" w:rsidRPr="00E14102" w:rsidRDefault="00265F21" w:rsidP="00E14102">
            <w:pPr>
              <w:jc w:val="both"/>
              <w:rPr>
                <w:color w:val="000000" w:themeColor="text1"/>
                <w:sz w:val="16"/>
                <w:szCs w:val="16"/>
              </w:rPr>
            </w:pPr>
            <w:r w:rsidRPr="00E14102">
              <w:rPr>
                <w:color w:val="000000" w:themeColor="text1"/>
                <w:sz w:val="16"/>
                <w:szCs w:val="16"/>
              </w:rPr>
              <w:t>Боев</w:t>
            </w:r>
          </w:p>
        </w:tc>
        <w:tc>
          <w:tcPr>
            <w:tcW w:w="1541" w:type="dxa"/>
          </w:tcPr>
          <w:p w14:paraId="30EDBC1F" w14:textId="77777777" w:rsidR="00265F21" w:rsidRPr="00E14102" w:rsidRDefault="00265F21" w:rsidP="00E14102">
            <w:pPr>
              <w:jc w:val="both"/>
              <w:rPr>
                <w:color w:val="000000" w:themeColor="text1"/>
                <w:sz w:val="16"/>
                <w:szCs w:val="16"/>
              </w:rPr>
            </w:pPr>
            <w:r w:rsidRPr="00E14102">
              <w:rPr>
                <w:color w:val="000000" w:themeColor="text1"/>
                <w:sz w:val="16"/>
                <w:szCs w:val="16"/>
              </w:rPr>
              <w:t>Окончил Промакадемию</w:t>
            </w:r>
          </w:p>
        </w:tc>
        <w:tc>
          <w:tcPr>
            <w:tcW w:w="2180" w:type="dxa"/>
          </w:tcPr>
          <w:p w14:paraId="2B56BB98" w14:textId="77777777" w:rsidR="00265F21" w:rsidRPr="00E14102" w:rsidRDefault="00265F21" w:rsidP="00E14102">
            <w:pPr>
              <w:jc w:val="both"/>
              <w:rPr>
                <w:color w:val="000000" w:themeColor="text1"/>
                <w:sz w:val="16"/>
                <w:szCs w:val="16"/>
              </w:rPr>
            </w:pPr>
            <w:r w:rsidRPr="00E14102">
              <w:rPr>
                <w:color w:val="000000" w:themeColor="text1"/>
                <w:sz w:val="16"/>
                <w:szCs w:val="16"/>
              </w:rPr>
              <w:t>514</w:t>
            </w:r>
          </w:p>
        </w:tc>
        <w:tc>
          <w:tcPr>
            <w:tcW w:w="601" w:type="dxa"/>
          </w:tcPr>
          <w:p w14:paraId="396770E3" w14:textId="77777777" w:rsidR="00265F21" w:rsidRPr="00E14102" w:rsidRDefault="00265F21" w:rsidP="00E14102">
            <w:pPr>
              <w:jc w:val="both"/>
              <w:rPr>
                <w:color w:val="000000" w:themeColor="text1"/>
                <w:sz w:val="16"/>
                <w:szCs w:val="16"/>
              </w:rPr>
            </w:pPr>
            <w:r w:rsidRPr="00E14102">
              <w:rPr>
                <w:color w:val="000000" w:themeColor="text1"/>
                <w:sz w:val="16"/>
                <w:szCs w:val="16"/>
              </w:rPr>
              <w:t>1346</w:t>
            </w:r>
          </w:p>
        </w:tc>
        <w:tc>
          <w:tcPr>
            <w:tcW w:w="300" w:type="dxa"/>
          </w:tcPr>
          <w:p w14:paraId="506296EC" w14:textId="77777777" w:rsidR="00265F21" w:rsidRPr="00E14102" w:rsidRDefault="00265F21" w:rsidP="00E14102">
            <w:pPr>
              <w:jc w:val="both"/>
              <w:rPr>
                <w:color w:val="000000" w:themeColor="text1"/>
                <w:sz w:val="16"/>
                <w:szCs w:val="16"/>
              </w:rPr>
            </w:pPr>
            <w:r w:rsidRPr="00E14102">
              <w:rPr>
                <w:color w:val="000000" w:themeColor="text1"/>
                <w:sz w:val="16"/>
                <w:szCs w:val="16"/>
              </w:rPr>
              <w:t>750</w:t>
            </w:r>
          </w:p>
        </w:tc>
        <w:tc>
          <w:tcPr>
            <w:tcW w:w="1466" w:type="dxa"/>
          </w:tcPr>
          <w:p w14:paraId="7144A922" w14:textId="77777777" w:rsidR="00265F21" w:rsidRPr="00E14102" w:rsidRDefault="00265F21" w:rsidP="00E14102">
            <w:pPr>
              <w:jc w:val="both"/>
              <w:rPr>
                <w:color w:val="000000" w:themeColor="text1"/>
                <w:sz w:val="16"/>
                <w:szCs w:val="16"/>
              </w:rPr>
            </w:pPr>
          </w:p>
        </w:tc>
      </w:tr>
      <w:tr w:rsidR="00E3599D" w:rsidRPr="00E14102" w14:paraId="4E384308" w14:textId="77777777" w:rsidTr="00A45C9C">
        <w:tc>
          <w:tcPr>
            <w:tcW w:w="1804" w:type="dxa"/>
          </w:tcPr>
          <w:p w14:paraId="54D8FA71" w14:textId="77777777" w:rsidR="00265F21" w:rsidRPr="00E14102" w:rsidRDefault="00265F21" w:rsidP="00E14102">
            <w:pPr>
              <w:jc w:val="both"/>
              <w:rPr>
                <w:color w:val="000000" w:themeColor="text1"/>
                <w:sz w:val="16"/>
                <w:szCs w:val="16"/>
              </w:rPr>
            </w:pPr>
            <w:r w:rsidRPr="00E14102">
              <w:rPr>
                <w:color w:val="000000" w:themeColor="text1"/>
                <w:sz w:val="16"/>
                <w:szCs w:val="16"/>
              </w:rPr>
              <w:t>47. Гурьевский</w:t>
            </w:r>
          </w:p>
        </w:tc>
        <w:tc>
          <w:tcPr>
            <w:tcW w:w="714" w:type="dxa"/>
          </w:tcPr>
          <w:p w14:paraId="230C9DE4" w14:textId="77777777" w:rsidR="00265F21" w:rsidRPr="00E14102" w:rsidRDefault="00265F21" w:rsidP="00E14102">
            <w:pPr>
              <w:jc w:val="both"/>
              <w:rPr>
                <w:color w:val="000000" w:themeColor="text1"/>
                <w:sz w:val="16"/>
                <w:szCs w:val="16"/>
              </w:rPr>
            </w:pPr>
            <w:r w:rsidRPr="00E14102">
              <w:rPr>
                <w:color w:val="000000" w:themeColor="text1"/>
                <w:sz w:val="16"/>
                <w:szCs w:val="16"/>
              </w:rPr>
              <w:t>Гурьевск</w:t>
            </w:r>
          </w:p>
        </w:tc>
        <w:tc>
          <w:tcPr>
            <w:tcW w:w="751" w:type="dxa"/>
          </w:tcPr>
          <w:p w14:paraId="3611E954" w14:textId="77777777" w:rsidR="00265F21" w:rsidRPr="00E14102" w:rsidRDefault="00265F21" w:rsidP="00E14102">
            <w:pPr>
              <w:jc w:val="both"/>
              <w:rPr>
                <w:color w:val="000000" w:themeColor="text1"/>
                <w:sz w:val="16"/>
                <w:szCs w:val="16"/>
              </w:rPr>
            </w:pPr>
            <w:r w:rsidRPr="00E14102">
              <w:rPr>
                <w:color w:val="000000" w:themeColor="text1"/>
                <w:sz w:val="16"/>
                <w:szCs w:val="16"/>
              </w:rPr>
              <w:t>Лавочкин</w:t>
            </w:r>
          </w:p>
        </w:tc>
        <w:tc>
          <w:tcPr>
            <w:tcW w:w="1541" w:type="dxa"/>
          </w:tcPr>
          <w:p w14:paraId="68310984"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3C46EA2A" w14:textId="77777777" w:rsidR="00265F21" w:rsidRPr="00E14102" w:rsidRDefault="00265F21" w:rsidP="00E14102">
            <w:pPr>
              <w:jc w:val="both"/>
              <w:rPr>
                <w:color w:val="000000" w:themeColor="text1"/>
                <w:sz w:val="16"/>
                <w:szCs w:val="16"/>
              </w:rPr>
            </w:pPr>
            <w:r w:rsidRPr="00E14102">
              <w:rPr>
                <w:color w:val="000000" w:themeColor="text1"/>
                <w:sz w:val="16"/>
                <w:szCs w:val="16"/>
              </w:rPr>
              <w:t>717</w:t>
            </w:r>
          </w:p>
        </w:tc>
        <w:tc>
          <w:tcPr>
            <w:tcW w:w="601" w:type="dxa"/>
          </w:tcPr>
          <w:p w14:paraId="0792259A" w14:textId="77777777" w:rsidR="00265F21" w:rsidRPr="00E14102" w:rsidRDefault="00265F21" w:rsidP="00E14102">
            <w:pPr>
              <w:jc w:val="both"/>
              <w:rPr>
                <w:color w:val="000000" w:themeColor="text1"/>
                <w:sz w:val="16"/>
                <w:szCs w:val="16"/>
              </w:rPr>
            </w:pPr>
            <w:r w:rsidRPr="00E14102">
              <w:rPr>
                <w:color w:val="000000" w:themeColor="text1"/>
                <w:sz w:val="16"/>
                <w:szCs w:val="16"/>
              </w:rPr>
              <w:t>1539</w:t>
            </w:r>
          </w:p>
        </w:tc>
        <w:tc>
          <w:tcPr>
            <w:tcW w:w="300" w:type="dxa"/>
          </w:tcPr>
          <w:p w14:paraId="0CB93E58"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39996EB1" w14:textId="77777777" w:rsidR="00265F21" w:rsidRPr="00E14102" w:rsidRDefault="00265F21" w:rsidP="00E14102">
            <w:pPr>
              <w:jc w:val="both"/>
              <w:rPr>
                <w:color w:val="000000" w:themeColor="text1"/>
                <w:sz w:val="16"/>
                <w:szCs w:val="16"/>
              </w:rPr>
            </w:pPr>
          </w:p>
        </w:tc>
      </w:tr>
      <w:tr w:rsidR="00E3599D" w:rsidRPr="00E14102" w14:paraId="35C759EF" w14:textId="77777777" w:rsidTr="00A45C9C">
        <w:tc>
          <w:tcPr>
            <w:tcW w:w="1804" w:type="dxa"/>
          </w:tcPr>
          <w:p w14:paraId="5F7075BA" w14:textId="77777777" w:rsidR="00265F21" w:rsidRPr="00E14102" w:rsidRDefault="00265F21" w:rsidP="00E14102">
            <w:pPr>
              <w:jc w:val="both"/>
              <w:rPr>
                <w:color w:val="000000" w:themeColor="text1"/>
                <w:sz w:val="16"/>
                <w:szCs w:val="16"/>
              </w:rPr>
            </w:pPr>
            <w:r w:rsidRPr="00E14102">
              <w:rPr>
                <w:color w:val="000000" w:themeColor="text1"/>
                <w:sz w:val="16"/>
                <w:szCs w:val="16"/>
              </w:rPr>
              <w:t>48. Алмазнянский</w:t>
            </w:r>
          </w:p>
        </w:tc>
        <w:tc>
          <w:tcPr>
            <w:tcW w:w="714" w:type="dxa"/>
          </w:tcPr>
          <w:p w14:paraId="78614904" w14:textId="77777777" w:rsidR="00265F21" w:rsidRPr="00E14102" w:rsidRDefault="00265F21" w:rsidP="00E14102">
            <w:pPr>
              <w:jc w:val="both"/>
              <w:rPr>
                <w:color w:val="000000" w:themeColor="text1"/>
                <w:sz w:val="16"/>
                <w:szCs w:val="16"/>
              </w:rPr>
            </w:pPr>
            <w:r w:rsidRPr="00E14102">
              <w:rPr>
                <w:color w:val="000000" w:themeColor="text1"/>
                <w:sz w:val="16"/>
                <w:szCs w:val="16"/>
              </w:rPr>
              <w:t>Кадиевка</w:t>
            </w:r>
          </w:p>
        </w:tc>
        <w:tc>
          <w:tcPr>
            <w:tcW w:w="751" w:type="dxa"/>
          </w:tcPr>
          <w:p w14:paraId="473B2699" w14:textId="77777777" w:rsidR="00265F21" w:rsidRPr="00E14102" w:rsidRDefault="00265F21" w:rsidP="00E14102">
            <w:pPr>
              <w:jc w:val="both"/>
              <w:rPr>
                <w:color w:val="000000" w:themeColor="text1"/>
                <w:sz w:val="16"/>
                <w:szCs w:val="16"/>
              </w:rPr>
            </w:pPr>
            <w:r w:rsidRPr="00E14102">
              <w:rPr>
                <w:color w:val="000000" w:themeColor="text1"/>
                <w:sz w:val="16"/>
                <w:szCs w:val="16"/>
              </w:rPr>
              <w:t>Ребров</w:t>
            </w:r>
          </w:p>
        </w:tc>
        <w:tc>
          <w:tcPr>
            <w:tcW w:w="1541" w:type="dxa"/>
          </w:tcPr>
          <w:p w14:paraId="43449712" w14:textId="77777777" w:rsidR="00265F21" w:rsidRPr="00E14102" w:rsidRDefault="00265F21" w:rsidP="00E14102">
            <w:pPr>
              <w:jc w:val="both"/>
              <w:rPr>
                <w:color w:val="000000" w:themeColor="text1"/>
                <w:sz w:val="16"/>
                <w:szCs w:val="16"/>
              </w:rPr>
            </w:pPr>
            <w:r w:rsidRPr="00E14102">
              <w:rPr>
                <w:color w:val="000000" w:themeColor="text1"/>
                <w:sz w:val="16"/>
                <w:szCs w:val="16"/>
              </w:rPr>
              <w:t>Инженер</w:t>
            </w:r>
          </w:p>
        </w:tc>
        <w:tc>
          <w:tcPr>
            <w:tcW w:w="2180" w:type="dxa"/>
          </w:tcPr>
          <w:p w14:paraId="39645F10" w14:textId="77777777" w:rsidR="00265F21" w:rsidRPr="00E14102" w:rsidRDefault="00265F21" w:rsidP="00E14102">
            <w:pPr>
              <w:jc w:val="both"/>
              <w:rPr>
                <w:color w:val="000000" w:themeColor="text1"/>
                <w:sz w:val="16"/>
                <w:szCs w:val="16"/>
              </w:rPr>
            </w:pPr>
            <w:r w:rsidRPr="00E14102">
              <w:rPr>
                <w:color w:val="000000" w:themeColor="text1"/>
                <w:sz w:val="16"/>
                <w:szCs w:val="16"/>
              </w:rPr>
              <w:t>956</w:t>
            </w:r>
          </w:p>
        </w:tc>
        <w:tc>
          <w:tcPr>
            <w:tcW w:w="601" w:type="dxa"/>
          </w:tcPr>
          <w:p w14:paraId="5A9FB444" w14:textId="77777777" w:rsidR="00265F21" w:rsidRPr="00E14102" w:rsidRDefault="00265F21" w:rsidP="00E14102">
            <w:pPr>
              <w:jc w:val="both"/>
              <w:rPr>
                <w:color w:val="000000" w:themeColor="text1"/>
                <w:sz w:val="16"/>
                <w:szCs w:val="16"/>
              </w:rPr>
            </w:pPr>
            <w:r w:rsidRPr="00E14102">
              <w:rPr>
                <w:color w:val="000000" w:themeColor="text1"/>
                <w:sz w:val="16"/>
                <w:szCs w:val="16"/>
              </w:rPr>
              <w:t>1276</w:t>
            </w:r>
          </w:p>
        </w:tc>
        <w:tc>
          <w:tcPr>
            <w:tcW w:w="300" w:type="dxa"/>
          </w:tcPr>
          <w:p w14:paraId="3BD36B2C" w14:textId="77777777" w:rsidR="00265F21" w:rsidRPr="00E14102" w:rsidRDefault="00265F21" w:rsidP="00E14102">
            <w:pPr>
              <w:jc w:val="both"/>
              <w:rPr>
                <w:color w:val="000000" w:themeColor="text1"/>
                <w:sz w:val="16"/>
                <w:szCs w:val="16"/>
              </w:rPr>
            </w:pPr>
            <w:r w:rsidRPr="00E14102">
              <w:rPr>
                <w:color w:val="000000" w:themeColor="text1"/>
                <w:sz w:val="16"/>
                <w:szCs w:val="16"/>
              </w:rPr>
              <w:t>900</w:t>
            </w:r>
          </w:p>
        </w:tc>
        <w:tc>
          <w:tcPr>
            <w:tcW w:w="1466" w:type="dxa"/>
          </w:tcPr>
          <w:p w14:paraId="38C341FD" w14:textId="77777777" w:rsidR="00265F21" w:rsidRPr="00E14102" w:rsidRDefault="00265F21" w:rsidP="00E14102">
            <w:pPr>
              <w:jc w:val="both"/>
              <w:rPr>
                <w:color w:val="000000" w:themeColor="text1"/>
                <w:sz w:val="16"/>
                <w:szCs w:val="16"/>
              </w:rPr>
            </w:pPr>
          </w:p>
        </w:tc>
      </w:tr>
      <w:tr w:rsidR="00E3599D" w:rsidRPr="00E14102" w14:paraId="536F2612" w14:textId="77777777" w:rsidTr="00A45C9C">
        <w:tc>
          <w:tcPr>
            <w:tcW w:w="1804" w:type="dxa"/>
          </w:tcPr>
          <w:p w14:paraId="3BD1E331" w14:textId="77777777" w:rsidR="00265F21" w:rsidRPr="00E14102" w:rsidRDefault="00265F21" w:rsidP="00E14102">
            <w:pPr>
              <w:jc w:val="both"/>
              <w:rPr>
                <w:color w:val="000000" w:themeColor="text1"/>
                <w:sz w:val="16"/>
                <w:szCs w:val="16"/>
              </w:rPr>
            </w:pPr>
            <w:r w:rsidRPr="00E14102">
              <w:rPr>
                <w:color w:val="000000" w:themeColor="text1"/>
                <w:sz w:val="16"/>
                <w:szCs w:val="16"/>
              </w:rPr>
              <w:t>49. Первоуральский ст. трубный</w:t>
            </w:r>
          </w:p>
        </w:tc>
        <w:tc>
          <w:tcPr>
            <w:tcW w:w="714" w:type="dxa"/>
          </w:tcPr>
          <w:p w14:paraId="7E059F92" w14:textId="77777777" w:rsidR="00265F21" w:rsidRPr="00E14102" w:rsidRDefault="00265F21" w:rsidP="00E14102">
            <w:pPr>
              <w:jc w:val="both"/>
              <w:rPr>
                <w:color w:val="000000" w:themeColor="text1"/>
                <w:sz w:val="16"/>
                <w:szCs w:val="16"/>
              </w:rPr>
            </w:pPr>
            <w:r w:rsidRPr="00E14102">
              <w:rPr>
                <w:color w:val="000000" w:themeColor="text1"/>
                <w:sz w:val="16"/>
                <w:szCs w:val="16"/>
              </w:rPr>
              <w:t>Первоуральск</w:t>
            </w:r>
          </w:p>
        </w:tc>
        <w:tc>
          <w:tcPr>
            <w:tcW w:w="751" w:type="dxa"/>
          </w:tcPr>
          <w:p w14:paraId="38C79CE6" w14:textId="77777777" w:rsidR="00265F21" w:rsidRPr="00E14102" w:rsidRDefault="00265F21" w:rsidP="00E14102">
            <w:pPr>
              <w:jc w:val="both"/>
              <w:rPr>
                <w:color w:val="000000" w:themeColor="text1"/>
                <w:sz w:val="16"/>
                <w:szCs w:val="16"/>
              </w:rPr>
            </w:pPr>
            <w:r w:rsidRPr="00E14102">
              <w:rPr>
                <w:color w:val="000000" w:themeColor="text1"/>
                <w:sz w:val="16"/>
                <w:szCs w:val="16"/>
              </w:rPr>
              <w:t>Лебедев</w:t>
            </w:r>
          </w:p>
        </w:tc>
        <w:tc>
          <w:tcPr>
            <w:tcW w:w="1541" w:type="dxa"/>
          </w:tcPr>
          <w:p w14:paraId="5CDAFCF1" w14:textId="77777777" w:rsidR="00265F21" w:rsidRPr="00E14102" w:rsidRDefault="00265F21" w:rsidP="00E14102">
            <w:pPr>
              <w:jc w:val="both"/>
              <w:rPr>
                <w:color w:val="000000" w:themeColor="text1"/>
                <w:sz w:val="16"/>
                <w:szCs w:val="16"/>
              </w:rPr>
            </w:pPr>
            <w:r w:rsidRPr="00E14102">
              <w:rPr>
                <w:color w:val="000000" w:themeColor="text1"/>
                <w:sz w:val="16"/>
                <w:szCs w:val="16"/>
              </w:rPr>
              <w:t>Курсы красных директоров</w:t>
            </w:r>
          </w:p>
        </w:tc>
        <w:tc>
          <w:tcPr>
            <w:tcW w:w="2180" w:type="dxa"/>
          </w:tcPr>
          <w:p w14:paraId="58269E23" w14:textId="77777777" w:rsidR="00265F21" w:rsidRPr="00E14102" w:rsidRDefault="00265F21" w:rsidP="00E14102">
            <w:pPr>
              <w:jc w:val="both"/>
              <w:rPr>
                <w:color w:val="000000" w:themeColor="text1"/>
                <w:sz w:val="16"/>
                <w:szCs w:val="16"/>
              </w:rPr>
            </w:pPr>
            <w:r w:rsidRPr="00E14102">
              <w:rPr>
                <w:color w:val="000000" w:themeColor="text1"/>
                <w:sz w:val="16"/>
                <w:szCs w:val="16"/>
              </w:rPr>
              <w:t>310</w:t>
            </w:r>
          </w:p>
        </w:tc>
        <w:tc>
          <w:tcPr>
            <w:tcW w:w="601" w:type="dxa"/>
          </w:tcPr>
          <w:p w14:paraId="5C8D96D4" w14:textId="77777777" w:rsidR="00265F21" w:rsidRPr="00E14102" w:rsidRDefault="00265F21" w:rsidP="00E14102">
            <w:pPr>
              <w:jc w:val="both"/>
              <w:rPr>
                <w:color w:val="000000" w:themeColor="text1"/>
                <w:sz w:val="16"/>
                <w:szCs w:val="16"/>
              </w:rPr>
            </w:pPr>
            <w:r w:rsidRPr="00E14102">
              <w:rPr>
                <w:color w:val="000000" w:themeColor="text1"/>
                <w:sz w:val="16"/>
                <w:szCs w:val="16"/>
              </w:rPr>
              <w:t>889</w:t>
            </w:r>
          </w:p>
        </w:tc>
        <w:tc>
          <w:tcPr>
            <w:tcW w:w="300" w:type="dxa"/>
          </w:tcPr>
          <w:p w14:paraId="3EE0355B"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3A6BC4F1" w14:textId="77777777" w:rsidR="00265F21" w:rsidRPr="00E14102" w:rsidRDefault="00265F21" w:rsidP="00E14102">
            <w:pPr>
              <w:jc w:val="both"/>
              <w:rPr>
                <w:color w:val="000000" w:themeColor="text1"/>
                <w:sz w:val="16"/>
                <w:szCs w:val="16"/>
              </w:rPr>
            </w:pPr>
          </w:p>
        </w:tc>
      </w:tr>
      <w:tr w:rsidR="00E3599D" w:rsidRPr="00E14102" w14:paraId="27802EC0" w14:textId="77777777" w:rsidTr="00A45C9C">
        <w:tc>
          <w:tcPr>
            <w:tcW w:w="1804" w:type="dxa"/>
          </w:tcPr>
          <w:p w14:paraId="6A14562E" w14:textId="77777777" w:rsidR="00265F21" w:rsidRPr="00E14102" w:rsidRDefault="00265F21" w:rsidP="00E14102">
            <w:pPr>
              <w:jc w:val="both"/>
              <w:rPr>
                <w:color w:val="000000" w:themeColor="text1"/>
                <w:sz w:val="16"/>
                <w:szCs w:val="16"/>
              </w:rPr>
            </w:pPr>
            <w:r w:rsidRPr="00E14102">
              <w:rPr>
                <w:color w:val="000000" w:themeColor="text1"/>
                <w:sz w:val="16"/>
                <w:szCs w:val="16"/>
              </w:rPr>
              <w:t>50. Верхне-Салдинский</w:t>
            </w:r>
          </w:p>
        </w:tc>
        <w:tc>
          <w:tcPr>
            <w:tcW w:w="714" w:type="dxa"/>
          </w:tcPr>
          <w:p w14:paraId="293B1427" w14:textId="77777777" w:rsidR="00265F21" w:rsidRPr="00E14102" w:rsidRDefault="00265F21" w:rsidP="00E14102">
            <w:pPr>
              <w:jc w:val="both"/>
              <w:rPr>
                <w:color w:val="000000" w:themeColor="text1"/>
                <w:sz w:val="16"/>
                <w:szCs w:val="16"/>
              </w:rPr>
            </w:pPr>
            <w:r w:rsidRPr="00E14102">
              <w:rPr>
                <w:color w:val="000000" w:themeColor="text1"/>
                <w:sz w:val="16"/>
                <w:szCs w:val="16"/>
              </w:rPr>
              <w:t>Верхняя Салда</w:t>
            </w:r>
          </w:p>
        </w:tc>
        <w:tc>
          <w:tcPr>
            <w:tcW w:w="751" w:type="dxa"/>
          </w:tcPr>
          <w:p w14:paraId="5A80F628"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541" w:type="dxa"/>
          </w:tcPr>
          <w:p w14:paraId="20703C24"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0CC0023B" w14:textId="77777777" w:rsidR="00265F21" w:rsidRPr="00E14102" w:rsidRDefault="00265F21" w:rsidP="00E14102">
            <w:pPr>
              <w:jc w:val="both"/>
              <w:rPr>
                <w:color w:val="000000" w:themeColor="text1"/>
                <w:sz w:val="16"/>
                <w:szCs w:val="16"/>
              </w:rPr>
            </w:pPr>
            <w:r w:rsidRPr="00E14102">
              <w:rPr>
                <w:color w:val="000000" w:themeColor="text1"/>
                <w:sz w:val="16"/>
                <w:szCs w:val="16"/>
              </w:rPr>
              <w:t>700</w:t>
            </w:r>
          </w:p>
        </w:tc>
        <w:tc>
          <w:tcPr>
            <w:tcW w:w="601" w:type="dxa"/>
          </w:tcPr>
          <w:p w14:paraId="3D223A0C" w14:textId="77777777" w:rsidR="00265F21" w:rsidRPr="00E14102" w:rsidRDefault="00265F21" w:rsidP="00E14102">
            <w:pPr>
              <w:jc w:val="both"/>
              <w:rPr>
                <w:color w:val="000000" w:themeColor="text1"/>
                <w:sz w:val="16"/>
                <w:szCs w:val="16"/>
              </w:rPr>
            </w:pPr>
            <w:r w:rsidRPr="00E14102">
              <w:rPr>
                <w:color w:val="000000" w:themeColor="text1"/>
                <w:sz w:val="16"/>
                <w:szCs w:val="16"/>
              </w:rPr>
              <w:t>1017</w:t>
            </w:r>
          </w:p>
        </w:tc>
        <w:tc>
          <w:tcPr>
            <w:tcW w:w="300" w:type="dxa"/>
          </w:tcPr>
          <w:p w14:paraId="6519A311"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2391B2AC" w14:textId="77777777" w:rsidR="00265F21" w:rsidRPr="00E14102" w:rsidRDefault="00265F21" w:rsidP="00E14102">
            <w:pPr>
              <w:jc w:val="both"/>
              <w:rPr>
                <w:color w:val="000000" w:themeColor="text1"/>
                <w:sz w:val="16"/>
                <w:szCs w:val="16"/>
              </w:rPr>
            </w:pPr>
          </w:p>
        </w:tc>
      </w:tr>
      <w:tr w:rsidR="00E3599D" w:rsidRPr="00E14102" w14:paraId="7DD3B867" w14:textId="77777777" w:rsidTr="00A45C9C">
        <w:tc>
          <w:tcPr>
            <w:tcW w:w="1804" w:type="dxa"/>
          </w:tcPr>
          <w:p w14:paraId="7B8E536A" w14:textId="77777777" w:rsidR="00265F21" w:rsidRPr="00E14102" w:rsidRDefault="00265F21" w:rsidP="00E14102">
            <w:pPr>
              <w:jc w:val="both"/>
              <w:rPr>
                <w:color w:val="000000" w:themeColor="text1"/>
                <w:sz w:val="16"/>
                <w:szCs w:val="16"/>
              </w:rPr>
            </w:pPr>
            <w:r w:rsidRPr="00E14102">
              <w:rPr>
                <w:color w:val="000000" w:themeColor="text1"/>
                <w:sz w:val="16"/>
                <w:szCs w:val="16"/>
              </w:rPr>
              <w:t>51. Кушвинский</w:t>
            </w:r>
          </w:p>
        </w:tc>
        <w:tc>
          <w:tcPr>
            <w:tcW w:w="714" w:type="dxa"/>
          </w:tcPr>
          <w:p w14:paraId="1E22F748" w14:textId="77777777" w:rsidR="00265F21" w:rsidRPr="00E14102" w:rsidRDefault="00265F21" w:rsidP="00E14102">
            <w:pPr>
              <w:jc w:val="both"/>
              <w:rPr>
                <w:color w:val="000000" w:themeColor="text1"/>
                <w:sz w:val="16"/>
                <w:szCs w:val="16"/>
              </w:rPr>
            </w:pPr>
            <w:r w:rsidRPr="00E14102">
              <w:rPr>
                <w:color w:val="000000" w:themeColor="text1"/>
                <w:sz w:val="16"/>
                <w:szCs w:val="16"/>
              </w:rPr>
              <w:t>Кушва</w:t>
            </w:r>
          </w:p>
        </w:tc>
        <w:tc>
          <w:tcPr>
            <w:tcW w:w="751" w:type="dxa"/>
          </w:tcPr>
          <w:p w14:paraId="3E753CAE" w14:textId="77777777" w:rsidR="00265F21" w:rsidRPr="00E14102" w:rsidRDefault="00265F21" w:rsidP="00E14102">
            <w:pPr>
              <w:jc w:val="both"/>
              <w:rPr>
                <w:color w:val="000000" w:themeColor="text1"/>
                <w:sz w:val="16"/>
                <w:szCs w:val="16"/>
              </w:rPr>
            </w:pPr>
            <w:r w:rsidRPr="00E14102">
              <w:rPr>
                <w:color w:val="000000" w:themeColor="text1"/>
                <w:sz w:val="16"/>
                <w:szCs w:val="16"/>
              </w:rPr>
              <w:t>Зырянов</w:t>
            </w:r>
          </w:p>
        </w:tc>
        <w:tc>
          <w:tcPr>
            <w:tcW w:w="1541" w:type="dxa"/>
          </w:tcPr>
          <w:p w14:paraId="32A5A98A" w14:textId="77777777" w:rsidR="00265F21" w:rsidRPr="00E14102" w:rsidRDefault="00265F21" w:rsidP="00E14102">
            <w:pPr>
              <w:jc w:val="both"/>
              <w:rPr>
                <w:color w:val="000000" w:themeColor="text1"/>
                <w:sz w:val="16"/>
                <w:szCs w:val="16"/>
              </w:rPr>
            </w:pPr>
            <w:r w:rsidRPr="00E14102">
              <w:rPr>
                <w:color w:val="000000" w:themeColor="text1"/>
                <w:sz w:val="16"/>
                <w:szCs w:val="16"/>
              </w:rPr>
              <w:t>Окончил Артиллерийскую Академию</w:t>
            </w:r>
          </w:p>
        </w:tc>
        <w:tc>
          <w:tcPr>
            <w:tcW w:w="2180" w:type="dxa"/>
          </w:tcPr>
          <w:p w14:paraId="1865F42B" w14:textId="77777777" w:rsidR="00265F21" w:rsidRPr="00E14102" w:rsidRDefault="00265F21" w:rsidP="00E14102">
            <w:pPr>
              <w:jc w:val="both"/>
              <w:rPr>
                <w:color w:val="000000" w:themeColor="text1"/>
                <w:sz w:val="16"/>
                <w:szCs w:val="16"/>
              </w:rPr>
            </w:pPr>
            <w:r w:rsidRPr="00E14102">
              <w:rPr>
                <w:color w:val="000000" w:themeColor="text1"/>
                <w:sz w:val="16"/>
                <w:szCs w:val="16"/>
              </w:rPr>
              <w:t>714</w:t>
            </w:r>
          </w:p>
        </w:tc>
        <w:tc>
          <w:tcPr>
            <w:tcW w:w="601" w:type="dxa"/>
          </w:tcPr>
          <w:p w14:paraId="1A54D1B7" w14:textId="77777777" w:rsidR="00265F21" w:rsidRPr="00E14102" w:rsidRDefault="00265F21" w:rsidP="00E14102">
            <w:pPr>
              <w:jc w:val="both"/>
              <w:rPr>
                <w:color w:val="000000" w:themeColor="text1"/>
                <w:sz w:val="16"/>
                <w:szCs w:val="16"/>
              </w:rPr>
            </w:pPr>
            <w:r w:rsidRPr="00E14102">
              <w:rPr>
                <w:color w:val="000000" w:themeColor="text1"/>
                <w:sz w:val="16"/>
                <w:szCs w:val="16"/>
              </w:rPr>
              <w:t>1309</w:t>
            </w:r>
          </w:p>
        </w:tc>
        <w:tc>
          <w:tcPr>
            <w:tcW w:w="300" w:type="dxa"/>
          </w:tcPr>
          <w:p w14:paraId="42FE26E2"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2B2677EE" w14:textId="77777777" w:rsidR="00265F21" w:rsidRPr="00E14102" w:rsidRDefault="00265F21" w:rsidP="00E14102">
            <w:pPr>
              <w:jc w:val="both"/>
              <w:rPr>
                <w:color w:val="000000" w:themeColor="text1"/>
                <w:sz w:val="16"/>
                <w:szCs w:val="16"/>
              </w:rPr>
            </w:pPr>
          </w:p>
        </w:tc>
      </w:tr>
      <w:tr w:rsidR="00E3599D" w:rsidRPr="00E14102" w14:paraId="508FBD46" w14:textId="77777777" w:rsidTr="00A45C9C">
        <w:tc>
          <w:tcPr>
            <w:tcW w:w="1804" w:type="dxa"/>
          </w:tcPr>
          <w:p w14:paraId="3E564A8B" w14:textId="77777777" w:rsidR="00265F21" w:rsidRPr="00E14102" w:rsidRDefault="00265F21" w:rsidP="00E14102">
            <w:pPr>
              <w:jc w:val="both"/>
              <w:rPr>
                <w:color w:val="000000" w:themeColor="text1"/>
                <w:sz w:val="16"/>
                <w:szCs w:val="16"/>
              </w:rPr>
            </w:pPr>
            <w:r w:rsidRPr="00E14102">
              <w:rPr>
                <w:color w:val="000000" w:themeColor="text1"/>
                <w:sz w:val="16"/>
                <w:szCs w:val="16"/>
              </w:rPr>
              <w:t>52. Макеевский труболитейный</w:t>
            </w:r>
          </w:p>
        </w:tc>
        <w:tc>
          <w:tcPr>
            <w:tcW w:w="714" w:type="dxa"/>
          </w:tcPr>
          <w:p w14:paraId="0F768B8B" w14:textId="77777777" w:rsidR="00265F21" w:rsidRPr="00E14102" w:rsidRDefault="00265F21" w:rsidP="00E14102">
            <w:pPr>
              <w:jc w:val="both"/>
              <w:rPr>
                <w:color w:val="000000" w:themeColor="text1"/>
                <w:sz w:val="16"/>
                <w:szCs w:val="16"/>
              </w:rPr>
            </w:pPr>
            <w:r w:rsidRPr="00E14102">
              <w:rPr>
                <w:color w:val="000000" w:themeColor="text1"/>
                <w:sz w:val="16"/>
                <w:szCs w:val="16"/>
              </w:rPr>
              <w:t>Макеевка</w:t>
            </w:r>
          </w:p>
        </w:tc>
        <w:tc>
          <w:tcPr>
            <w:tcW w:w="751" w:type="dxa"/>
          </w:tcPr>
          <w:p w14:paraId="51D40D31" w14:textId="77777777" w:rsidR="00265F21" w:rsidRPr="00E14102" w:rsidRDefault="00265F21" w:rsidP="00E14102">
            <w:pPr>
              <w:jc w:val="both"/>
              <w:rPr>
                <w:color w:val="000000" w:themeColor="text1"/>
                <w:sz w:val="16"/>
                <w:szCs w:val="16"/>
              </w:rPr>
            </w:pPr>
            <w:r w:rsidRPr="00E14102">
              <w:rPr>
                <w:color w:val="000000" w:themeColor="text1"/>
                <w:sz w:val="16"/>
                <w:szCs w:val="16"/>
              </w:rPr>
              <w:t>Фомин</w:t>
            </w:r>
          </w:p>
        </w:tc>
        <w:tc>
          <w:tcPr>
            <w:tcW w:w="1541" w:type="dxa"/>
          </w:tcPr>
          <w:p w14:paraId="4F0AE565"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700F304D" w14:textId="77777777" w:rsidR="00265F21" w:rsidRPr="00E14102" w:rsidRDefault="00265F21" w:rsidP="00E14102">
            <w:pPr>
              <w:jc w:val="both"/>
              <w:rPr>
                <w:color w:val="000000" w:themeColor="text1"/>
                <w:sz w:val="16"/>
                <w:szCs w:val="16"/>
              </w:rPr>
            </w:pPr>
            <w:r w:rsidRPr="00E14102">
              <w:rPr>
                <w:color w:val="000000" w:themeColor="text1"/>
                <w:sz w:val="16"/>
                <w:szCs w:val="16"/>
              </w:rPr>
              <w:t>1420</w:t>
            </w:r>
          </w:p>
        </w:tc>
        <w:tc>
          <w:tcPr>
            <w:tcW w:w="601" w:type="dxa"/>
          </w:tcPr>
          <w:p w14:paraId="11BCE74C" w14:textId="77777777" w:rsidR="00265F21" w:rsidRPr="00E14102" w:rsidRDefault="00265F21" w:rsidP="00E14102">
            <w:pPr>
              <w:jc w:val="both"/>
              <w:rPr>
                <w:color w:val="000000" w:themeColor="text1"/>
                <w:sz w:val="16"/>
                <w:szCs w:val="16"/>
              </w:rPr>
            </w:pPr>
            <w:r w:rsidRPr="00E14102">
              <w:rPr>
                <w:color w:val="000000" w:themeColor="text1"/>
                <w:sz w:val="16"/>
                <w:szCs w:val="16"/>
              </w:rPr>
              <w:t>2325</w:t>
            </w:r>
          </w:p>
        </w:tc>
        <w:tc>
          <w:tcPr>
            <w:tcW w:w="300" w:type="dxa"/>
          </w:tcPr>
          <w:p w14:paraId="170202B0" w14:textId="77777777" w:rsidR="00265F21" w:rsidRPr="00E14102" w:rsidRDefault="00265F21" w:rsidP="00E14102">
            <w:pPr>
              <w:jc w:val="both"/>
              <w:rPr>
                <w:color w:val="000000" w:themeColor="text1"/>
                <w:sz w:val="16"/>
                <w:szCs w:val="16"/>
              </w:rPr>
            </w:pPr>
            <w:r w:rsidRPr="00E14102">
              <w:rPr>
                <w:color w:val="000000" w:themeColor="text1"/>
                <w:sz w:val="16"/>
                <w:szCs w:val="16"/>
              </w:rPr>
              <w:t>750</w:t>
            </w:r>
          </w:p>
        </w:tc>
        <w:tc>
          <w:tcPr>
            <w:tcW w:w="1466" w:type="dxa"/>
          </w:tcPr>
          <w:p w14:paraId="432DD6A1" w14:textId="77777777" w:rsidR="00265F21" w:rsidRPr="00E14102" w:rsidRDefault="00265F21" w:rsidP="00E14102">
            <w:pPr>
              <w:jc w:val="both"/>
              <w:rPr>
                <w:color w:val="000000" w:themeColor="text1"/>
                <w:sz w:val="16"/>
                <w:szCs w:val="16"/>
              </w:rPr>
            </w:pPr>
          </w:p>
        </w:tc>
      </w:tr>
      <w:tr w:rsidR="00E3599D" w:rsidRPr="00E14102" w14:paraId="3574E981" w14:textId="77777777" w:rsidTr="00A45C9C">
        <w:tc>
          <w:tcPr>
            <w:tcW w:w="1804" w:type="dxa"/>
          </w:tcPr>
          <w:p w14:paraId="355CF7A7" w14:textId="77777777" w:rsidR="00265F21" w:rsidRPr="00E14102" w:rsidRDefault="00265F21" w:rsidP="00E14102">
            <w:pPr>
              <w:jc w:val="both"/>
              <w:rPr>
                <w:color w:val="000000" w:themeColor="text1"/>
                <w:sz w:val="16"/>
                <w:szCs w:val="16"/>
              </w:rPr>
            </w:pPr>
            <w:r w:rsidRPr="00E14102">
              <w:rPr>
                <w:color w:val="000000" w:themeColor="text1"/>
                <w:sz w:val="16"/>
                <w:szCs w:val="16"/>
              </w:rPr>
              <w:t>53. Ленинградский «Красная Труба»</w:t>
            </w:r>
          </w:p>
        </w:tc>
        <w:tc>
          <w:tcPr>
            <w:tcW w:w="714" w:type="dxa"/>
          </w:tcPr>
          <w:p w14:paraId="4A95979C" w14:textId="77777777" w:rsidR="00265F21" w:rsidRPr="00E14102" w:rsidRDefault="00265F21" w:rsidP="00E14102">
            <w:pPr>
              <w:jc w:val="both"/>
              <w:rPr>
                <w:color w:val="000000" w:themeColor="text1"/>
                <w:sz w:val="16"/>
                <w:szCs w:val="16"/>
              </w:rPr>
            </w:pPr>
            <w:r w:rsidRPr="00E14102">
              <w:rPr>
                <w:color w:val="000000" w:themeColor="text1"/>
                <w:sz w:val="16"/>
                <w:szCs w:val="16"/>
              </w:rPr>
              <w:t>Ленинград</w:t>
            </w:r>
          </w:p>
        </w:tc>
        <w:tc>
          <w:tcPr>
            <w:tcW w:w="751" w:type="dxa"/>
          </w:tcPr>
          <w:p w14:paraId="67E6229F" w14:textId="77777777" w:rsidR="00265F21" w:rsidRPr="00E14102" w:rsidRDefault="00265F21" w:rsidP="00E14102">
            <w:pPr>
              <w:jc w:val="both"/>
              <w:rPr>
                <w:color w:val="000000" w:themeColor="text1"/>
                <w:sz w:val="16"/>
                <w:szCs w:val="16"/>
              </w:rPr>
            </w:pPr>
            <w:r w:rsidRPr="00E14102">
              <w:rPr>
                <w:color w:val="000000" w:themeColor="text1"/>
                <w:sz w:val="16"/>
                <w:szCs w:val="16"/>
              </w:rPr>
              <w:t>Леострин</w:t>
            </w:r>
          </w:p>
        </w:tc>
        <w:tc>
          <w:tcPr>
            <w:tcW w:w="1541" w:type="dxa"/>
          </w:tcPr>
          <w:p w14:paraId="02CB1DA2"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453C8A98" w14:textId="77777777" w:rsidR="00265F21" w:rsidRPr="00E14102" w:rsidRDefault="00265F21" w:rsidP="00E14102">
            <w:pPr>
              <w:jc w:val="both"/>
              <w:rPr>
                <w:color w:val="000000" w:themeColor="text1"/>
                <w:sz w:val="16"/>
                <w:szCs w:val="16"/>
              </w:rPr>
            </w:pPr>
            <w:r w:rsidRPr="00E14102">
              <w:rPr>
                <w:color w:val="000000" w:themeColor="text1"/>
                <w:sz w:val="16"/>
                <w:szCs w:val="16"/>
              </w:rPr>
              <w:t>836</w:t>
            </w:r>
          </w:p>
        </w:tc>
        <w:tc>
          <w:tcPr>
            <w:tcW w:w="601" w:type="dxa"/>
          </w:tcPr>
          <w:p w14:paraId="3E9DD2A5" w14:textId="77777777" w:rsidR="00265F21" w:rsidRPr="00E14102" w:rsidRDefault="00265F21" w:rsidP="00E14102">
            <w:pPr>
              <w:jc w:val="both"/>
              <w:rPr>
                <w:color w:val="000000" w:themeColor="text1"/>
                <w:sz w:val="16"/>
                <w:szCs w:val="16"/>
              </w:rPr>
            </w:pPr>
            <w:r w:rsidRPr="00E14102">
              <w:rPr>
                <w:color w:val="000000" w:themeColor="text1"/>
                <w:sz w:val="16"/>
                <w:szCs w:val="16"/>
              </w:rPr>
              <w:t>727</w:t>
            </w:r>
          </w:p>
        </w:tc>
        <w:tc>
          <w:tcPr>
            <w:tcW w:w="300" w:type="dxa"/>
          </w:tcPr>
          <w:p w14:paraId="47A6E439" w14:textId="77777777" w:rsidR="00265F21" w:rsidRPr="00E14102" w:rsidRDefault="00265F21" w:rsidP="00E14102">
            <w:pPr>
              <w:jc w:val="both"/>
              <w:rPr>
                <w:color w:val="000000" w:themeColor="text1"/>
                <w:sz w:val="16"/>
                <w:szCs w:val="16"/>
              </w:rPr>
            </w:pPr>
            <w:r w:rsidRPr="00E14102">
              <w:rPr>
                <w:color w:val="000000" w:themeColor="text1"/>
                <w:sz w:val="16"/>
                <w:szCs w:val="16"/>
              </w:rPr>
              <w:t>650</w:t>
            </w:r>
          </w:p>
        </w:tc>
        <w:tc>
          <w:tcPr>
            <w:tcW w:w="1466" w:type="dxa"/>
          </w:tcPr>
          <w:p w14:paraId="688E4834" w14:textId="77777777" w:rsidR="00265F21" w:rsidRPr="00E14102" w:rsidRDefault="00265F21" w:rsidP="00E14102">
            <w:pPr>
              <w:jc w:val="both"/>
              <w:rPr>
                <w:color w:val="000000" w:themeColor="text1"/>
                <w:sz w:val="16"/>
                <w:szCs w:val="16"/>
              </w:rPr>
            </w:pPr>
          </w:p>
        </w:tc>
      </w:tr>
      <w:tr w:rsidR="00E3599D" w:rsidRPr="00E14102" w14:paraId="66B10A8A" w14:textId="77777777" w:rsidTr="00A45C9C">
        <w:tc>
          <w:tcPr>
            <w:tcW w:w="1804" w:type="dxa"/>
          </w:tcPr>
          <w:p w14:paraId="612EC1F1" w14:textId="77777777" w:rsidR="00265F21" w:rsidRPr="00E14102" w:rsidRDefault="00265F21" w:rsidP="00E14102">
            <w:pPr>
              <w:jc w:val="both"/>
              <w:rPr>
                <w:color w:val="000000" w:themeColor="text1"/>
                <w:sz w:val="16"/>
                <w:szCs w:val="16"/>
              </w:rPr>
            </w:pPr>
            <w:r w:rsidRPr="00E14102">
              <w:rPr>
                <w:color w:val="000000" w:themeColor="text1"/>
                <w:sz w:val="16"/>
                <w:szCs w:val="16"/>
              </w:rPr>
              <w:t>54. «Красная Труба»</w:t>
            </w:r>
          </w:p>
        </w:tc>
        <w:tc>
          <w:tcPr>
            <w:tcW w:w="714" w:type="dxa"/>
          </w:tcPr>
          <w:p w14:paraId="59D330B6" w14:textId="77777777" w:rsidR="00265F21" w:rsidRPr="00E14102" w:rsidRDefault="00265F21" w:rsidP="00E14102">
            <w:pPr>
              <w:jc w:val="both"/>
              <w:rPr>
                <w:color w:val="000000" w:themeColor="text1"/>
                <w:sz w:val="16"/>
                <w:szCs w:val="16"/>
              </w:rPr>
            </w:pPr>
            <w:r w:rsidRPr="00E14102">
              <w:rPr>
                <w:color w:val="000000" w:themeColor="text1"/>
                <w:sz w:val="16"/>
                <w:szCs w:val="16"/>
              </w:rPr>
              <w:t>Москва</w:t>
            </w:r>
          </w:p>
        </w:tc>
        <w:tc>
          <w:tcPr>
            <w:tcW w:w="751" w:type="dxa"/>
          </w:tcPr>
          <w:p w14:paraId="1600A11E" w14:textId="77777777" w:rsidR="00265F21" w:rsidRPr="00E14102" w:rsidRDefault="00265F21" w:rsidP="00E14102">
            <w:pPr>
              <w:jc w:val="both"/>
              <w:rPr>
                <w:color w:val="000000" w:themeColor="text1"/>
                <w:sz w:val="16"/>
                <w:szCs w:val="16"/>
              </w:rPr>
            </w:pPr>
            <w:r w:rsidRPr="00E14102">
              <w:rPr>
                <w:color w:val="000000" w:themeColor="text1"/>
                <w:sz w:val="16"/>
                <w:szCs w:val="16"/>
              </w:rPr>
              <w:t>Воропаев</w:t>
            </w:r>
          </w:p>
        </w:tc>
        <w:tc>
          <w:tcPr>
            <w:tcW w:w="1541" w:type="dxa"/>
          </w:tcPr>
          <w:p w14:paraId="3131BE10" w14:textId="77777777" w:rsidR="00265F21" w:rsidRPr="00E14102" w:rsidRDefault="00265F21" w:rsidP="00E14102">
            <w:pPr>
              <w:jc w:val="both"/>
              <w:rPr>
                <w:color w:val="000000" w:themeColor="text1"/>
                <w:sz w:val="16"/>
                <w:szCs w:val="16"/>
              </w:rPr>
            </w:pPr>
            <w:r w:rsidRPr="00E14102">
              <w:rPr>
                <w:color w:val="000000" w:themeColor="text1"/>
                <w:sz w:val="16"/>
                <w:szCs w:val="16"/>
              </w:rPr>
              <w:t>Промакадемия</w:t>
            </w:r>
          </w:p>
        </w:tc>
        <w:tc>
          <w:tcPr>
            <w:tcW w:w="2180" w:type="dxa"/>
          </w:tcPr>
          <w:p w14:paraId="5C552E33" w14:textId="77777777" w:rsidR="00265F21" w:rsidRPr="00E14102" w:rsidRDefault="00265F21" w:rsidP="00E14102">
            <w:pPr>
              <w:jc w:val="both"/>
              <w:rPr>
                <w:color w:val="000000" w:themeColor="text1"/>
                <w:sz w:val="16"/>
                <w:szCs w:val="16"/>
              </w:rPr>
            </w:pPr>
            <w:r w:rsidRPr="00E14102">
              <w:rPr>
                <w:color w:val="000000" w:themeColor="text1"/>
                <w:sz w:val="16"/>
                <w:szCs w:val="16"/>
              </w:rPr>
              <w:t>634</w:t>
            </w:r>
          </w:p>
        </w:tc>
        <w:tc>
          <w:tcPr>
            <w:tcW w:w="601" w:type="dxa"/>
          </w:tcPr>
          <w:p w14:paraId="4ADA31D2" w14:textId="77777777" w:rsidR="00265F21" w:rsidRPr="00E14102" w:rsidRDefault="00265F21" w:rsidP="00E14102">
            <w:pPr>
              <w:jc w:val="both"/>
              <w:rPr>
                <w:color w:val="000000" w:themeColor="text1"/>
                <w:sz w:val="16"/>
                <w:szCs w:val="16"/>
              </w:rPr>
            </w:pPr>
            <w:r w:rsidRPr="00E14102">
              <w:rPr>
                <w:color w:val="000000" w:themeColor="text1"/>
                <w:sz w:val="16"/>
                <w:szCs w:val="16"/>
              </w:rPr>
              <w:t>312</w:t>
            </w:r>
          </w:p>
        </w:tc>
        <w:tc>
          <w:tcPr>
            <w:tcW w:w="300" w:type="dxa"/>
          </w:tcPr>
          <w:p w14:paraId="2FB61038" w14:textId="77777777" w:rsidR="00265F21" w:rsidRPr="00E14102" w:rsidRDefault="00265F21" w:rsidP="00E14102">
            <w:pPr>
              <w:jc w:val="both"/>
              <w:rPr>
                <w:color w:val="000000" w:themeColor="text1"/>
                <w:sz w:val="16"/>
                <w:szCs w:val="16"/>
              </w:rPr>
            </w:pPr>
            <w:r w:rsidRPr="00E14102">
              <w:rPr>
                <w:color w:val="000000" w:themeColor="text1"/>
                <w:sz w:val="16"/>
                <w:szCs w:val="16"/>
              </w:rPr>
              <w:t>600</w:t>
            </w:r>
          </w:p>
        </w:tc>
        <w:tc>
          <w:tcPr>
            <w:tcW w:w="1466" w:type="dxa"/>
          </w:tcPr>
          <w:p w14:paraId="76990065" w14:textId="77777777" w:rsidR="00265F21" w:rsidRPr="00E14102" w:rsidRDefault="00265F21" w:rsidP="00E14102">
            <w:pPr>
              <w:jc w:val="both"/>
              <w:rPr>
                <w:color w:val="000000" w:themeColor="text1"/>
                <w:sz w:val="16"/>
                <w:szCs w:val="16"/>
              </w:rPr>
            </w:pPr>
          </w:p>
        </w:tc>
      </w:tr>
      <w:tr w:rsidR="00E3599D" w:rsidRPr="00E14102" w14:paraId="529A8B94" w14:textId="77777777" w:rsidTr="00A45C9C">
        <w:tc>
          <w:tcPr>
            <w:tcW w:w="1804" w:type="dxa"/>
          </w:tcPr>
          <w:p w14:paraId="30EE470C" w14:textId="77777777" w:rsidR="00265F21" w:rsidRPr="00E14102" w:rsidRDefault="00265F21" w:rsidP="00E14102">
            <w:pPr>
              <w:jc w:val="both"/>
              <w:rPr>
                <w:color w:val="000000" w:themeColor="text1"/>
                <w:sz w:val="16"/>
                <w:szCs w:val="16"/>
              </w:rPr>
            </w:pPr>
            <w:r w:rsidRPr="00E14102">
              <w:rPr>
                <w:color w:val="000000" w:themeColor="text1"/>
                <w:sz w:val="16"/>
                <w:szCs w:val="16"/>
              </w:rPr>
              <w:t>55. Московский фитинговый завод</w:t>
            </w:r>
          </w:p>
        </w:tc>
        <w:tc>
          <w:tcPr>
            <w:tcW w:w="714" w:type="dxa"/>
          </w:tcPr>
          <w:p w14:paraId="402854F3" w14:textId="77777777" w:rsidR="00265F21" w:rsidRPr="00E14102" w:rsidRDefault="00265F21" w:rsidP="00E14102">
            <w:pPr>
              <w:jc w:val="both"/>
              <w:rPr>
                <w:color w:val="000000" w:themeColor="text1"/>
                <w:sz w:val="16"/>
                <w:szCs w:val="16"/>
              </w:rPr>
            </w:pPr>
            <w:r w:rsidRPr="00E14102">
              <w:rPr>
                <w:color w:val="000000" w:themeColor="text1"/>
                <w:sz w:val="16"/>
                <w:szCs w:val="16"/>
              </w:rPr>
              <w:t>Москва</w:t>
            </w:r>
          </w:p>
        </w:tc>
        <w:tc>
          <w:tcPr>
            <w:tcW w:w="751" w:type="dxa"/>
          </w:tcPr>
          <w:p w14:paraId="664FD3F4" w14:textId="77777777" w:rsidR="00265F21" w:rsidRPr="00E14102" w:rsidRDefault="00265F21" w:rsidP="00E14102">
            <w:pPr>
              <w:jc w:val="both"/>
              <w:rPr>
                <w:color w:val="000000" w:themeColor="text1"/>
                <w:sz w:val="16"/>
                <w:szCs w:val="16"/>
              </w:rPr>
            </w:pPr>
            <w:r w:rsidRPr="00E14102">
              <w:rPr>
                <w:color w:val="000000" w:themeColor="text1"/>
                <w:sz w:val="16"/>
                <w:szCs w:val="16"/>
              </w:rPr>
              <w:t>Голубенко</w:t>
            </w:r>
          </w:p>
        </w:tc>
        <w:tc>
          <w:tcPr>
            <w:tcW w:w="1541" w:type="dxa"/>
          </w:tcPr>
          <w:p w14:paraId="1F832424" w14:textId="77777777" w:rsidR="00265F21" w:rsidRPr="00E14102" w:rsidRDefault="00265F21" w:rsidP="00E14102">
            <w:pPr>
              <w:jc w:val="both"/>
              <w:rPr>
                <w:color w:val="000000" w:themeColor="text1"/>
                <w:sz w:val="16"/>
                <w:szCs w:val="16"/>
              </w:rPr>
            </w:pPr>
            <w:r w:rsidRPr="00E14102">
              <w:rPr>
                <w:color w:val="000000" w:themeColor="text1"/>
                <w:sz w:val="16"/>
                <w:szCs w:val="16"/>
              </w:rPr>
              <w:t>Промакадемия</w:t>
            </w:r>
          </w:p>
        </w:tc>
        <w:tc>
          <w:tcPr>
            <w:tcW w:w="2180" w:type="dxa"/>
          </w:tcPr>
          <w:p w14:paraId="050E2D28" w14:textId="77777777" w:rsidR="00265F21" w:rsidRPr="00E14102" w:rsidRDefault="00265F21" w:rsidP="00E14102">
            <w:pPr>
              <w:jc w:val="both"/>
              <w:rPr>
                <w:color w:val="000000" w:themeColor="text1"/>
                <w:sz w:val="16"/>
                <w:szCs w:val="16"/>
              </w:rPr>
            </w:pPr>
            <w:r w:rsidRPr="00E14102">
              <w:rPr>
                <w:color w:val="000000" w:themeColor="text1"/>
                <w:sz w:val="16"/>
                <w:szCs w:val="16"/>
              </w:rPr>
              <w:t>204</w:t>
            </w:r>
          </w:p>
        </w:tc>
        <w:tc>
          <w:tcPr>
            <w:tcW w:w="601" w:type="dxa"/>
          </w:tcPr>
          <w:p w14:paraId="0BE7143A" w14:textId="77777777" w:rsidR="00265F21" w:rsidRPr="00E14102" w:rsidRDefault="00265F21" w:rsidP="00E14102">
            <w:pPr>
              <w:jc w:val="both"/>
              <w:rPr>
                <w:color w:val="000000" w:themeColor="text1"/>
                <w:sz w:val="16"/>
                <w:szCs w:val="16"/>
              </w:rPr>
            </w:pPr>
            <w:r w:rsidRPr="00E14102">
              <w:rPr>
                <w:color w:val="000000" w:themeColor="text1"/>
                <w:sz w:val="16"/>
                <w:szCs w:val="16"/>
              </w:rPr>
              <w:t>397</w:t>
            </w:r>
          </w:p>
        </w:tc>
        <w:tc>
          <w:tcPr>
            <w:tcW w:w="300" w:type="dxa"/>
          </w:tcPr>
          <w:p w14:paraId="3AFFAD7E" w14:textId="77777777" w:rsidR="00265F21" w:rsidRPr="00E14102" w:rsidRDefault="00265F21" w:rsidP="00E14102">
            <w:pPr>
              <w:jc w:val="both"/>
              <w:rPr>
                <w:color w:val="000000" w:themeColor="text1"/>
                <w:sz w:val="16"/>
                <w:szCs w:val="16"/>
              </w:rPr>
            </w:pPr>
            <w:r w:rsidRPr="00E14102">
              <w:rPr>
                <w:color w:val="000000" w:themeColor="text1"/>
                <w:sz w:val="16"/>
                <w:szCs w:val="16"/>
              </w:rPr>
              <w:t>600</w:t>
            </w:r>
          </w:p>
        </w:tc>
        <w:tc>
          <w:tcPr>
            <w:tcW w:w="1466" w:type="dxa"/>
          </w:tcPr>
          <w:p w14:paraId="7DAF8BFE" w14:textId="77777777" w:rsidR="00265F21" w:rsidRPr="00E14102" w:rsidRDefault="00265F21" w:rsidP="00E14102">
            <w:pPr>
              <w:jc w:val="both"/>
              <w:rPr>
                <w:color w:val="000000" w:themeColor="text1"/>
                <w:sz w:val="16"/>
                <w:szCs w:val="16"/>
              </w:rPr>
            </w:pPr>
          </w:p>
        </w:tc>
      </w:tr>
      <w:tr w:rsidR="00E3599D" w:rsidRPr="00E14102" w14:paraId="083C3054" w14:textId="77777777" w:rsidTr="00A45C9C">
        <w:tc>
          <w:tcPr>
            <w:tcW w:w="1804" w:type="dxa"/>
          </w:tcPr>
          <w:p w14:paraId="0DE993CC" w14:textId="77777777" w:rsidR="00265F21" w:rsidRPr="00E14102" w:rsidRDefault="00265F21" w:rsidP="00E14102">
            <w:pPr>
              <w:jc w:val="both"/>
              <w:rPr>
                <w:color w:val="000000" w:themeColor="text1"/>
                <w:sz w:val="16"/>
                <w:szCs w:val="16"/>
              </w:rPr>
            </w:pPr>
            <w:r w:rsidRPr="00E14102">
              <w:rPr>
                <w:color w:val="000000" w:themeColor="text1"/>
                <w:sz w:val="16"/>
                <w:szCs w:val="16"/>
              </w:rPr>
              <w:t>56. Саткинский</w:t>
            </w:r>
          </w:p>
        </w:tc>
        <w:tc>
          <w:tcPr>
            <w:tcW w:w="714" w:type="dxa"/>
          </w:tcPr>
          <w:p w14:paraId="54D7A338" w14:textId="77777777" w:rsidR="00265F21" w:rsidRPr="00E14102" w:rsidRDefault="00265F21" w:rsidP="00E14102">
            <w:pPr>
              <w:jc w:val="both"/>
              <w:rPr>
                <w:color w:val="000000" w:themeColor="text1"/>
                <w:sz w:val="16"/>
                <w:szCs w:val="16"/>
              </w:rPr>
            </w:pPr>
            <w:r w:rsidRPr="00E14102">
              <w:rPr>
                <w:color w:val="000000" w:themeColor="text1"/>
                <w:sz w:val="16"/>
                <w:szCs w:val="16"/>
              </w:rPr>
              <w:t>Сатка</w:t>
            </w:r>
          </w:p>
        </w:tc>
        <w:tc>
          <w:tcPr>
            <w:tcW w:w="751" w:type="dxa"/>
          </w:tcPr>
          <w:p w14:paraId="6F9D7854" w14:textId="77777777" w:rsidR="00265F21" w:rsidRPr="00E14102" w:rsidRDefault="00265F21" w:rsidP="00E14102">
            <w:pPr>
              <w:jc w:val="both"/>
              <w:rPr>
                <w:color w:val="000000" w:themeColor="text1"/>
                <w:sz w:val="16"/>
                <w:szCs w:val="16"/>
              </w:rPr>
            </w:pPr>
            <w:r w:rsidRPr="00E14102">
              <w:rPr>
                <w:color w:val="000000" w:themeColor="text1"/>
                <w:sz w:val="16"/>
                <w:szCs w:val="16"/>
              </w:rPr>
              <w:t>Шинеев</w:t>
            </w:r>
          </w:p>
        </w:tc>
        <w:tc>
          <w:tcPr>
            <w:tcW w:w="1541" w:type="dxa"/>
          </w:tcPr>
          <w:p w14:paraId="071E1851" w14:textId="77777777" w:rsidR="00265F21" w:rsidRPr="00E14102" w:rsidRDefault="00265F21" w:rsidP="00E14102">
            <w:pPr>
              <w:jc w:val="both"/>
              <w:rPr>
                <w:color w:val="000000" w:themeColor="text1"/>
                <w:sz w:val="16"/>
                <w:szCs w:val="16"/>
              </w:rPr>
            </w:pPr>
            <w:r w:rsidRPr="00E14102">
              <w:rPr>
                <w:color w:val="000000" w:themeColor="text1"/>
                <w:sz w:val="16"/>
                <w:szCs w:val="16"/>
              </w:rPr>
              <w:t>Курсы красных директоров</w:t>
            </w:r>
          </w:p>
        </w:tc>
        <w:tc>
          <w:tcPr>
            <w:tcW w:w="2180" w:type="dxa"/>
          </w:tcPr>
          <w:p w14:paraId="2897A130" w14:textId="77777777" w:rsidR="00265F21" w:rsidRPr="00E14102" w:rsidRDefault="00265F21" w:rsidP="00E14102">
            <w:pPr>
              <w:jc w:val="both"/>
              <w:rPr>
                <w:color w:val="000000" w:themeColor="text1"/>
                <w:sz w:val="16"/>
                <w:szCs w:val="16"/>
              </w:rPr>
            </w:pPr>
            <w:r w:rsidRPr="00E14102">
              <w:rPr>
                <w:color w:val="000000" w:themeColor="text1"/>
                <w:sz w:val="16"/>
                <w:szCs w:val="16"/>
              </w:rPr>
              <w:t>840</w:t>
            </w:r>
          </w:p>
        </w:tc>
        <w:tc>
          <w:tcPr>
            <w:tcW w:w="601" w:type="dxa"/>
          </w:tcPr>
          <w:p w14:paraId="5C0F6608" w14:textId="77777777" w:rsidR="00265F21" w:rsidRPr="00E14102" w:rsidRDefault="00265F21" w:rsidP="00E14102">
            <w:pPr>
              <w:jc w:val="both"/>
              <w:rPr>
                <w:color w:val="000000" w:themeColor="text1"/>
                <w:sz w:val="16"/>
                <w:szCs w:val="16"/>
              </w:rPr>
            </w:pPr>
            <w:r w:rsidRPr="00E14102">
              <w:rPr>
                <w:color w:val="000000" w:themeColor="text1"/>
                <w:sz w:val="16"/>
                <w:szCs w:val="16"/>
              </w:rPr>
              <w:t>859</w:t>
            </w:r>
          </w:p>
        </w:tc>
        <w:tc>
          <w:tcPr>
            <w:tcW w:w="300" w:type="dxa"/>
          </w:tcPr>
          <w:p w14:paraId="55CA3891"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49E8EF96" w14:textId="77777777" w:rsidR="00265F21" w:rsidRPr="00E14102" w:rsidRDefault="00265F21" w:rsidP="00E14102">
            <w:pPr>
              <w:jc w:val="both"/>
              <w:rPr>
                <w:color w:val="000000" w:themeColor="text1"/>
                <w:sz w:val="16"/>
                <w:szCs w:val="16"/>
              </w:rPr>
            </w:pPr>
          </w:p>
        </w:tc>
      </w:tr>
      <w:tr w:rsidR="00E3599D" w:rsidRPr="00E14102" w14:paraId="5DE7B199" w14:textId="77777777" w:rsidTr="00A45C9C">
        <w:tc>
          <w:tcPr>
            <w:tcW w:w="1804" w:type="dxa"/>
          </w:tcPr>
          <w:p w14:paraId="0816AA09" w14:textId="77777777" w:rsidR="00265F21" w:rsidRPr="00E14102" w:rsidRDefault="00265F21" w:rsidP="00E14102">
            <w:pPr>
              <w:jc w:val="both"/>
              <w:rPr>
                <w:color w:val="000000" w:themeColor="text1"/>
                <w:sz w:val="16"/>
                <w:szCs w:val="16"/>
              </w:rPr>
            </w:pPr>
            <w:r w:rsidRPr="00E14102">
              <w:rPr>
                <w:color w:val="000000" w:themeColor="text1"/>
                <w:sz w:val="16"/>
                <w:szCs w:val="16"/>
              </w:rPr>
              <w:t>57. Ашинский</w:t>
            </w:r>
          </w:p>
        </w:tc>
        <w:tc>
          <w:tcPr>
            <w:tcW w:w="714" w:type="dxa"/>
          </w:tcPr>
          <w:p w14:paraId="6885D27D" w14:textId="77777777" w:rsidR="00265F21" w:rsidRPr="00E14102" w:rsidRDefault="00265F21" w:rsidP="00E14102">
            <w:pPr>
              <w:jc w:val="both"/>
              <w:rPr>
                <w:color w:val="000000" w:themeColor="text1"/>
                <w:sz w:val="16"/>
                <w:szCs w:val="16"/>
              </w:rPr>
            </w:pPr>
            <w:r w:rsidRPr="00E14102">
              <w:rPr>
                <w:color w:val="000000" w:themeColor="text1"/>
                <w:sz w:val="16"/>
                <w:szCs w:val="16"/>
              </w:rPr>
              <w:t>Аша</w:t>
            </w:r>
          </w:p>
        </w:tc>
        <w:tc>
          <w:tcPr>
            <w:tcW w:w="751" w:type="dxa"/>
          </w:tcPr>
          <w:p w14:paraId="70E90097" w14:textId="77777777" w:rsidR="00265F21" w:rsidRPr="00E14102" w:rsidRDefault="00265F21" w:rsidP="00E14102">
            <w:pPr>
              <w:jc w:val="both"/>
              <w:rPr>
                <w:color w:val="000000" w:themeColor="text1"/>
                <w:sz w:val="16"/>
                <w:szCs w:val="16"/>
              </w:rPr>
            </w:pPr>
            <w:r w:rsidRPr="00E14102">
              <w:rPr>
                <w:color w:val="000000" w:themeColor="text1"/>
                <w:sz w:val="16"/>
                <w:szCs w:val="16"/>
              </w:rPr>
              <w:t>Шапошников</w:t>
            </w:r>
          </w:p>
        </w:tc>
        <w:tc>
          <w:tcPr>
            <w:tcW w:w="1541" w:type="dxa"/>
          </w:tcPr>
          <w:p w14:paraId="35C8925F"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6AA4278B" w14:textId="77777777" w:rsidR="00265F21" w:rsidRPr="00E14102" w:rsidRDefault="00265F21" w:rsidP="00E14102">
            <w:pPr>
              <w:jc w:val="both"/>
              <w:rPr>
                <w:color w:val="000000" w:themeColor="text1"/>
                <w:sz w:val="16"/>
                <w:szCs w:val="16"/>
              </w:rPr>
            </w:pPr>
            <w:r w:rsidRPr="00E14102">
              <w:rPr>
                <w:color w:val="000000" w:themeColor="text1"/>
                <w:sz w:val="16"/>
                <w:szCs w:val="16"/>
              </w:rPr>
              <w:t>729</w:t>
            </w:r>
          </w:p>
        </w:tc>
        <w:tc>
          <w:tcPr>
            <w:tcW w:w="601" w:type="dxa"/>
          </w:tcPr>
          <w:p w14:paraId="368DE1F4" w14:textId="77777777" w:rsidR="00265F21" w:rsidRPr="00E14102" w:rsidRDefault="00265F21" w:rsidP="00E14102">
            <w:pPr>
              <w:jc w:val="both"/>
              <w:rPr>
                <w:color w:val="000000" w:themeColor="text1"/>
                <w:sz w:val="16"/>
                <w:szCs w:val="16"/>
              </w:rPr>
            </w:pPr>
            <w:r w:rsidRPr="00E14102">
              <w:rPr>
                <w:color w:val="000000" w:themeColor="text1"/>
                <w:sz w:val="16"/>
                <w:szCs w:val="16"/>
              </w:rPr>
              <w:t>1270</w:t>
            </w:r>
          </w:p>
        </w:tc>
        <w:tc>
          <w:tcPr>
            <w:tcW w:w="300" w:type="dxa"/>
          </w:tcPr>
          <w:p w14:paraId="7C221B0A"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437440D3" w14:textId="77777777" w:rsidR="00265F21" w:rsidRPr="00E14102" w:rsidRDefault="00265F21" w:rsidP="00E14102">
            <w:pPr>
              <w:jc w:val="both"/>
              <w:rPr>
                <w:color w:val="000000" w:themeColor="text1"/>
                <w:sz w:val="16"/>
                <w:szCs w:val="16"/>
              </w:rPr>
            </w:pPr>
          </w:p>
        </w:tc>
      </w:tr>
      <w:tr w:rsidR="00E3599D" w:rsidRPr="00E14102" w14:paraId="1B5B95D5" w14:textId="77777777" w:rsidTr="00A45C9C">
        <w:tc>
          <w:tcPr>
            <w:tcW w:w="1804" w:type="dxa"/>
          </w:tcPr>
          <w:p w14:paraId="1C951759" w14:textId="77777777" w:rsidR="00265F21" w:rsidRPr="00E14102" w:rsidRDefault="00265F21" w:rsidP="00E14102">
            <w:pPr>
              <w:jc w:val="both"/>
              <w:rPr>
                <w:color w:val="000000" w:themeColor="text1"/>
                <w:sz w:val="16"/>
                <w:szCs w:val="16"/>
              </w:rPr>
            </w:pPr>
            <w:r w:rsidRPr="00E14102">
              <w:rPr>
                <w:color w:val="000000" w:themeColor="text1"/>
                <w:sz w:val="16"/>
                <w:szCs w:val="16"/>
              </w:rPr>
              <w:t>58. Уфалейский</w:t>
            </w:r>
          </w:p>
        </w:tc>
        <w:tc>
          <w:tcPr>
            <w:tcW w:w="714" w:type="dxa"/>
          </w:tcPr>
          <w:p w14:paraId="1EAD5FDD" w14:textId="77777777" w:rsidR="00265F21" w:rsidRPr="00E14102" w:rsidRDefault="00265F21" w:rsidP="00E14102">
            <w:pPr>
              <w:jc w:val="both"/>
              <w:rPr>
                <w:color w:val="000000" w:themeColor="text1"/>
                <w:sz w:val="16"/>
                <w:szCs w:val="16"/>
              </w:rPr>
            </w:pPr>
            <w:r w:rsidRPr="00E14102">
              <w:rPr>
                <w:color w:val="000000" w:themeColor="text1"/>
                <w:sz w:val="16"/>
                <w:szCs w:val="16"/>
              </w:rPr>
              <w:t>Уфалей</w:t>
            </w:r>
          </w:p>
        </w:tc>
        <w:tc>
          <w:tcPr>
            <w:tcW w:w="751" w:type="dxa"/>
          </w:tcPr>
          <w:p w14:paraId="7C437367" w14:textId="77777777" w:rsidR="00265F21" w:rsidRPr="00E14102" w:rsidRDefault="00265F21" w:rsidP="00E14102">
            <w:pPr>
              <w:jc w:val="both"/>
              <w:rPr>
                <w:color w:val="000000" w:themeColor="text1"/>
                <w:sz w:val="16"/>
                <w:szCs w:val="16"/>
              </w:rPr>
            </w:pPr>
            <w:r w:rsidRPr="00E14102">
              <w:rPr>
                <w:color w:val="000000" w:themeColor="text1"/>
                <w:sz w:val="16"/>
                <w:szCs w:val="16"/>
              </w:rPr>
              <w:t>Макаров</w:t>
            </w:r>
          </w:p>
        </w:tc>
        <w:tc>
          <w:tcPr>
            <w:tcW w:w="1541" w:type="dxa"/>
          </w:tcPr>
          <w:p w14:paraId="42AF399E"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57423E56" w14:textId="77777777" w:rsidR="00265F21" w:rsidRPr="00E14102" w:rsidRDefault="00265F21" w:rsidP="00E14102">
            <w:pPr>
              <w:jc w:val="both"/>
              <w:rPr>
                <w:color w:val="000000" w:themeColor="text1"/>
                <w:sz w:val="16"/>
                <w:szCs w:val="16"/>
              </w:rPr>
            </w:pPr>
            <w:r w:rsidRPr="00E14102">
              <w:rPr>
                <w:color w:val="000000" w:themeColor="text1"/>
                <w:sz w:val="16"/>
                <w:szCs w:val="16"/>
              </w:rPr>
              <w:t>489</w:t>
            </w:r>
          </w:p>
        </w:tc>
        <w:tc>
          <w:tcPr>
            <w:tcW w:w="601" w:type="dxa"/>
          </w:tcPr>
          <w:p w14:paraId="235E3E37" w14:textId="77777777" w:rsidR="00265F21" w:rsidRPr="00E14102" w:rsidRDefault="00265F21" w:rsidP="00E14102">
            <w:pPr>
              <w:jc w:val="both"/>
              <w:rPr>
                <w:color w:val="000000" w:themeColor="text1"/>
                <w:sz w:val="16"/>
                <w:szCs w:val="16"/>
              </w:rPr>
            </w:pPr>
            <w:r w:rsidRPr="00E14102">
              <w:rPr>
                <w:color w:val="000000" w:themeColor="text1"/>
                <w:sz w:val="16"/>
                <w:szCs w:val="16"/>
              </w:rPr>
              <w:t>1278</w:t>
            </w:r>
          </w:p>
        </w:tc>
        <w:tc>
          <w:tcPr>
            <w:tcW w:w="300" w:type="dxa"/>
          </w:tcPr>
          <w:p w14:paraId="718576B4"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2827D679" w14:textId="77777777" w:rsidR="00265F21" w:rsidRPr="00E14102" w:rsidRDefault="00265F21" w:rsidP="00E14102">
            <w:pPr>
              <w:jc w:val="both"/>
              <w:rPr>
                <w:color w:val="000000" w:themeColor="text1"/>
                <w:sz w:val="16"/>
                <w:szCs w:val="16"/>
              </w:rPr>
            </w:pPr>
          </w:p>
        </w:tc>
      </w:tr>
      <w:tr w:rsidR="00E3599D" w:rsidRPr="00E14102" w14:paraId="04DDC918" w14:textId="77777777" w:rsidTr="00A45C9C">
        <w:tc>
          <w:tcPr>
            <w:tcW w:w="1804" w:type="dxa"/>
          </w:tcPr>
          <w:p w14:paraId="238FD6DC" w14:textId="77777777" w:rsidR="00265F21" w:rsidRPr="00E14102" w:rsidRDefault="00265F21" w:rsidP="00E14102">
            <w:pPr>
              <w:jc w:val="both"/>
              <w:rPr>
                <w:color w:val="000000" w:themeColor="text1"/>
                <w:sz w:val="16"/>
                <w:szCs w:val="16"/>
              </w:rPr>
            </w:pPr>
            <w:r w:rsidRPr="00E14102">
              <w:rPr>
                <w:color w:val="000000" w:themeColor="text1"/>
                <w:sz w:val="16"/>
                <w:szCs w:val="16"/>
              </w:rPr>
              <w:t>59. им. Якубовского</w:t>
            </w:r>
          </w:p>
        </w:tc>
        <w:tc>
          <w:tcPr>
            <w:tcW w:w="714" w:type="dxa"/>
          </w:tcPr>
          <w:p w14:paraId="60327E87" w14:textId="77777777" w:rsidR="00265F21" w:rsidRPr="00E14102" w:rsidRDefault="00265F21" w:rsidP="00E14102">
            <w:pPr>
              <w:jc w:val="both"/>
              <w:rPr>
                <w:color w:val="000000" w:themeColor="text1"/>
                <w:sz w:val="16"/>
                <w:szCs w:val="16"/>
              </w:rPr>
            </w:pPr>
            <w:r w:rsidRPr="00E14102">
              <w:rPr>
                <w:color w:val="000000" w:themeColor="text1"/>
                <w:sz w:val="16"/>
                <w:szCs w:val="16"/>
              </w:rPr>
              <w:t>Луганск</w:t>
            </w:r>
          </w:p>
        </w:tc>
        <w:tc>
          <w:tcPr>
            <w:tcW w:w="751" w:type="dxa"/>
          </w:tcPr>
          <w:p w14:paraId="0C2CDB43" w14:textId="77777777" w:rsidR="00265F21" w:rsidRPr="00E14102" w:rsidRDefault="00265F21" w:rsidP="00E14102">
            <w:pPr>
              <w:jc w:val="both"/>
              <w:rPr>
                <w:color w:val="000000" w:themeColor="text1"/>
                <w:sz w:val="16"/>
                <w:szCs w:val="16"/>
              </w:rPr>
            </w:pPr>
            <w:r w:rsidRPr="00E14102">
              <w:rPr>
                <w:color w:val="000000" w:themeColor="text1"/>
                <w:sz w:val="16"/>
                <w:szCs w:val="16"/>
              </w:rPr>
              <w:t>Сушков</w:t>
            </w:r>
          </w:p>
        </w:tc>
        <w:tc>
          <w:tcPr>
            <w:tcW w:w="1541" w:type="dxa"/>
          </w:tcPr>
          <w:p w14:paraId="2FE44121"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62A353C5" w14:textId="77777777" w:rsidR="00265F21" w:rsidRPr="00E14102" w:rsidRDefault="00265F21" w:rsidP="00E14102">
            <w:pPr>
              <w:jc w:val="both"/>
              <w:rPr>
                <w:color w:val="000000" w:themeColor="text1"/>
                <w:sz w:val="16"/>
                <w:szCs w:val="16"/>
              </w:rPr>
            </w:pPr>
            <w:r w:rsidRPr="00E14102">
              <w:rPr>
                <w:color w:val="000000" w:themeColor="text1"/>
                <w:sz w:val="16"/>
                <w:szCs w:val="16"/>
              </w:rPr>
              <w:t>519</w:t>
            </w:r>
          </w:p>
        </w:tc>
        <w:tc>
          <w:tcPr>
            <w:tcW w:w="601" w:type="dxa"/>
          </w:tcPr>
          <w:p w14:paraId="2ED1A308" w14:textId="77777777" w:rsidR="00265F21" w:rsidRPr="00E14102" w:rsidRDefault="00265F21" w:rsidP="00E14102">
            <w:pPr>
              <w:jc w:val="both"/>
              <w:rPr>
                <w:color w:val="000000" w:themeColor="text1"/>
                <w:sz w:val="16"/>
                <w:szCs w:val="16"/>
              </w:rPr>
            </w:pPr>
            <w:r w:rsidRPr="00E14102">
              <w:rPr>
                <w:color w:val="000000" w:themeColor="text1"/>
                <w:sz w:val="16"/>
                <w:szCs w:val="16"/>
              </w:rPr>
              <w:t>435</w:t>
            </w:r>
          </w:p>
        </w:tc>
        <w:tc>
          <w:tcPr>
            <w:tcW w:w="300" w:type="dxa"/>
          </w:tcPr>
          <w:p w14:paraId="3B68240D" w14:textId="77777777" w:rsidR="00265F21" w:rsidRPr="00E14102" w:rsidRDefault="00265F21" w:rsidP="00E14102">
            <w:pPr>
              <w:jc w:val="both"/>
              <w:rPr>
                <w:color w:val="000000" w:themeColor="text1"/>
                <w:sz w:val="16"/>
                <w:szCs w:val="16"/>
              </w:rPr>
            </w:pPr>
            <w:r w:rsidRPr="00E14102">
              <w:rPr>
                <w:color w:val="000000" w:themeColor="text1"/>
                <w:sz w:val="16"/>
                <w:szCs w:val="16"/>
              </w:rPr>
              <w:t>650</w:t>
            </w:r>
          </w:p>
        </w:tc>
        <w:tc>
          <w:tcPr>
            <w:tcW w:w="1466" w:type="dxa"/>
          </w:tcPr>
          <w:p w14:paraId="253BDEC4" w14:textId="77777777" w:rsidR="00265F21" w:rsidRPr="00E14102" w:rsidRDefault="00265F21" w:rsidP="00E14102">
            <w:pPr>
              <w:jc w:val="both"/>
              <w:rPr>
                <w:color w:val="000000" w:themeColor="text1"/>
                <w:sz w:val="16"/>
                <w:szCs w:val="16"/>
              </w:rPr>
            </w:pPr>
          </w:p>
        </w:tc>
      </w:tr>
      <w:tr w:rsidR="00E3599D" w:rsidRPr="00E14102" w14:paraId="110ABDC1" w14:textId="77777777" w:rsidTr="00A45C9C">
        <w:tc>
          <w:tcPr>
            <w:tcW w:w="1804" w:type="dxa"/>
          </w:tcPr>
          <w:p w14:paraId="4B78408F" w14:textId="77777777" w:rsidR="00265F21" w:rsidRPr="00E14102" w:rsidRDefault="00265F21" w:rsidP="00E14102">
            <w:pPr>
              <w:jc w:val="both"/>
              <w:rPr>
                <w:color w:val="000000" w:themeColor="text1"/>
                <w:sz w:val="16"/>
                <w:szCs w:val="16"/>
              </w:rPr>
            </w:pPr>
            <w:r w:rsidRPr="00E14102">
              <w:rPr>
                <w:color w:val="000000" w:themeColor="text1"/>
                <w:sz w:val="16"/>
                <w:szCs w:val="16"/>
              </w:rPr>
              <w:t>60. Добрянский</w:t>
            </w:r>
          </w:p>
        </w:tc>
        <w:tc>
          <w:tcPr>
            <w:tcW w:w="714" w:type="dxa"/>
          </w:tcPr>
          <w:p w14:paraId="5F51998B" w14:textId="77777777" w:rsidR="00265F21" w:rsidRPr="00E14102" w:rsidRDefault="00265F21" w:rsidP="00E14102">
            <w:pPr>
              <w:jc w:val="both"/>
              <w:rPr>
                <w:color w:val="000000" w:themeColor="text1"/>
                <w:sz w:val="16"/>
                <w:szCs w:val="16"/>
              </w:rPr>
            </w:pPr>
            <w:r w:rsidRPr="00E14102">
              <w:rPr>
                <w:color w:val="000000" w:themeColor="text1"/>
                <w:sz w:val="16"/>
                <w:szCs w:val="16"/>
              </w:rPr>
              <w:t>Добрянка</w:t>
            </w:r>
          </w:p>
        </w:tc>
        <w:tc>
          <w:tcPr>
            <w:tcW w:w="751" w:type="dxa"/>
          </w:tcPr>
          <w:p w14:paraId="587C6367" w14:textId="77777777" w:rsidR="00265F21" w:rsidRPr="00E14102" w:rsidRDefault="00265F21" w:rsidP="00E14102">
            <w:pPr>
              <w:jc w:val="both"/>
              <w:rPr>
                <w:color w:val="000000" w:themeColor="text1"/>
                <w:sz w:val="16"/>
                <w:szCs w:val="16"/>
              </w:rPr>
            </w:pPr>
            <w:r w:rsidRPr="00E14102">
              <w:rPr>
                <w:color w:val="000000" w:themeColor="text1"/>
                <w:sz w:val="16"/>
                <w:szCs w:val="16"/>
              </w:rPr>
              <w:t>Казанцев</w:t>
            </w:r>
          </w:p>
        </w:tc>
        <w:tc>
          <w:tcPr>
            <w:tcW w:w="1541" w:type="dxa"/>
          </w:tcPr>
          <w:p w14:paraId="36FE5490" w14:textId="77777777" w:rsidR="00265F21" w:rsidRPr="00E14102" w:rsidRDefault="00265F21" w:rsidP="00E14102">
            <w:pPr>
              <w:jc w:val="both"/>
              <w:rPr>
                <w:color w:val="000000" w:themeColor="text1"/>
                <w:sz w:val="16"/>
                <w:szCs w:val="16"/>
              </w:rPr>
            </w:pPr>
            <w:r w:rsidRPr="00E14102">
              <w:rPr>
                <w:color w:val="000000" w:themeColor="text1"/>
                <w:sz w:val="16"/>
                <w:szCs w:val="16"/>
              </w:rPr>
              <w:t>Промакадемия</w:t>
            </w:r>
          </w:p>
        </w:tc>
        <w:tc>
          <w:tcPr>
            <w:tcW w:w="2180" w:type="dxa"/>
          </w:tcPr>
          <w:p w14:paraId="55FEF29A" w14:textId="77777777" w:rsidR="00265F21" w:rsidRPr="00E14102" w:rsidRDefault="00265F21" w:rsidP="00E14102">
            <w:pPr>
              <w:jc w:val="both"/>
              <w:rPr>
                <w:color w:val="000000" w:themeColor="text1"/>
                <w:sz w:val="16"/>
                <w:szCs w:val="16"/>
              </w:rPr>
            </w:pPr>
            <w:r w:rsidRPr="00E14102">
              <w:rPr>
                <w:color w:val="000000" w:themeColor="text1"/>
                <w:sz w:val="16"/>
                <w:szCs w:val="16"/>
              </w:rPr>
              <w:t>447</w:t>
            </w:r>
          </w:p>
        </w:tc>
        <w:tc>
          <w:tcPr>
            <w:tcW w:w="601" w:type="dxa"/>
          </w:tcPr>
          <w:p w14:paraId="30ADD311" w14:textId="77777777" w:rsidR="00265F21" w:rsidRPr="00E14102" w:rsidRDefault="00265F21" w:rsidP="00E14102">
            <w:pPr>
              <w:jc w:val="both"/>
              <w:rPr>
                <w:color w:val="000000" w:themeColor="text1"/>
                <w:sz w:val="16"/>
                <w:szCs w:val="16"/>
              </w:rPr>
            </w:pPr>
            <w:r w:rsidRPr="00E14102">
              <w:rPr>
                <w:color w:val="000000" w:themeColor="text1"/>
                <w:sz w:val="16"/>
                <w:szCs w:val="16"/>
              </w:rPr>
              <w:t>1074</w:t>
            </w:r>
          </w:p>
        </w:tc>
        <w:tc>
          <w:tcPr>
            <w:tcW w:w="300" w:type="dxa"/>
          </w:tcPr>
          <w:p w14:paraId="1786F3D7"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2F454F94" w14:textId="77777777" w:rsidR="00265F21" w:rsidRPr="00E14102" w:rsidRDefault="00265F21" w:rsidP="00E14102">
            <w:pPr>
              <w:jc w:val="both"/>
              <w:rPr>
                <w:color w:val="000000" w:themeColor="text1"/>
                <w:sz w:val="16"/>
                <w:szCs w:val="16"/>
              </w:rPr>
            </w:pPr>
          </w:p>
        </w:tc>
      </w:tr>
      <w:tr w:rsidR="00E3599D" w:rsidRPr="00E14102" w14:paraId="4DEC8C24" w14:textId="77777777" w:rsidTr="00A45C9C">
        <w:tc>
          <w:tcPr>
            <w:tcW w:w="1804" w:type="dxa"/>
          </w:tcPr>
          <w:p w14:paraId="641E588C" w14:textId="77777777" w:rsidR="00265F21" w:rsidRPr="00E14102" w:rsidRDefault="00265F21" w:rsidP="00E14102">
            <w:pPr>
              <w:jc w:val="both"/>
              <w:rPr>
                <w:color w:val="000000" w:themeColor="text1"/>
                <w:sz w:val="16"/>
                <w:szCs w:val="16"/>
              </w:rPr>
            </w:pPr>
            <w:r w:rsidRPr="00E14102">
              <w:rPr>
                <w:color w:val="000000" w:themeColor="text1"/>
                <w:sz w:val="16"/>
                <w:szCs w:val="16"/>
              </w:rPr>
              <w:t>61. Чермозский</w:t>
            </w:r>
          </w:p>
        </w:tc>
        <w:tc>
          <w:tcPr>
            <w:tcW w:w="714" w:type="dxa"/>
          </w:tcPr>
          <w:p w14:paraId="7B37DEFA" w14:textId="77777777" w:rsidR="00265F21" w:rsidRPr="00E14102" w:rsidRDefault="00265F21" w:rsidP="00E14102">
            <w:pPr>
              <w:jc w:val="both"/>
              <w:rPr>
                <w:color w:val="000000" w:themeColor="text1"/>
                <w:sz w:val="16"/>
                <w:szCs w:val="16"/>
              </w:rPr>
            </w:pPr>
            <w:r w:rsidRPr="00E14102">
              <w:rPr>
                <w:color w:val="000000" w:themeColor="text1"/>
                <w:sz w:val="16"/>
                <w:szCs w:val="16"/>
              </w:rPr>
              <w:t>Чермоз</w:t>
            </w:r>
          </w:p>
        </w:tc>
        <w:tc>
          <w:tcPr>
            <w:tcW w:w="751" w:type="dxa"/>
          </w:tcPr>
          <w:p w14:paraId="29722125" w14:textId="77777777" w:rsidR="00265F21" w:rsidRPr="00E14102" w:rsidRDefault="00265F21" w:rsidP="00E14102">
            <w:pPr>
              <w:jc w:val="both"/>
              <w:rPr>
                <w:color w:val="000000" w:themeColor="text1"/>
                <w:sz w:val="16"/>
                <w:szCs w:val="16"/>
              </w:rPr>
            </w:pPr>
            <w:r w:rsidRPr="00E14102">
              <w:rPr>
                <w:color w:val="000000" w:themeColor="text1"/>
                <w:sz w:val="16"/>
                <w:szCs w:val="16"/>
              </w:rPr>
              <w:t>Шубников</w:t>
            </w:r>
          </w:p>
        </w:tc>
        <w:tc>
          <w:tcPr>
            <w:tcW w:w="1541" w:type="dxa"/>
          </w:tcPr>
          <w:p w14:paraId="1A6E59E4" w14:textId="77777777" w:rsidR="00265F21" w:rsidRPr="00E14102" w:rsidRDefault="00265F21" w:rsidP="00E14102">
            <w:pPr>
              <w:jc w:val="both"/>
              <w:rPr>
                <w:color w:val="000000" w:themeColor="text1"/>
                <w:sz w:val="16"/>
                <w:szCs w:val="16"/>
              </w:rPr>
            </w:pPr>
            <w:r w:rsidRPr="00E14102">
              <w:rPr>
                <w:color w:val="000000" w:themeColor="text1"/>
                <w:sz w:val="16"/>
                <w:szCs w:val="16"/>
              </w:rPr>
              <w:t>Инженер</w:t>
            </w:r>
          </w:p>
        </w:tc>
        <w:tc>
          <w:tcPr>
            <w:tcW w:w="2180" w:type="dxa"/>
          </w:tcPr>
          <w:p w14:paraId="167B4451" w14:textId="77777777" w:rsidR="00265F21" w:rsidRPr="00E14102" w:rsidRDefault="00265F21" w:rsidP="00E14102">
            <w:pPr>
              <w:jc w:val="both"/>
              <w:rPr>
                <w:color w:val="000000" w:themeColor="text1"/>
                <w:sz w:val="16"/>
                <w:szCs w:val="16"/>
              </w:rPr>
            </w:pPr>
            <w:r w:rsidRPr="00E14102">
              <w:rPr>
                <w:color w:val="000000" w:themeColor="text1"/>
                <w:sz w:val="16"/>
                <w:szCs w:val="16"/>
              </w:rPr>
              <w:t>558</w:t>
            </w:r>
          </w:p>
        </w:tc>
        <w:tc>
          <w:tcPr>
            <w:tcW w:w="601" w:type="dxa"/>
          </w:tcPr>
          <w:p w14:paraId="11F88BA7" w14:textId="77777777" w:rsidR="00265F21" w:rsidRPr="00E14102" w:rsidRDefault="00265F21" w:rsidP="00E14102">
            <w:pPr>
              <w:jc w:val="both"/>
              <w:rPr>
                <w:color w:val="000000" w:themeColor="text1"/>
                <w:sz w:val="16"/>
                <w:szCs w:val="16"/>
              </w:rPr>
            </w:pPr>
            <w:r w:rsidRPr="00E14102">
              <w:rPr>
                <w:color w:val="000000" w:themeColor="text1"/>
                <w:sz w:val="16"/>
                <w:szCs w:val="16"/>
              </w:rPr>
              <w:t>2141</w:t>
            </w:r>
          </w:p>
        </w:tc>
        <w:tc>
          <w:tcPr>
            <w:tcW w:w="300" w:type="dxa"/>
          </w:tcPr>
          <w:p w14:paraId="0712504D"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649F4A26" w14:textId="77777777" w:rsidR="00265F21" w:rsidRPr="00E14102" w:rsidRDefault="00265F21" w:rsidP="00E14102">
            <w:pPr>
              <w:jc w:val="both"/>
              <w:rPr>
                <w:color w:val="000000" w:themeColor="text1"/>
                <w:sz w:val="16"/>
                <w:szCs w:val="16"/>
              </w:rPr>
            </w:pPr>
          </w:p>
        </w:tc>
      </w:tr>
      <w:tr w:rsidR="00E3599D" w:rsidRPr="00E14102" w14:paraId="5A34B179" w14:textId="77777777" w:rsidTr="00A45C9C">
        <w:tc>
          <w:tcPr>
            <w:tcW w:w="1804" w:type="dxa"/>
          </w:tcPr>
          <w:p w14:paraId="06C90FFB" w14:textId="77777777" w:rsidR="00265F21" w:rsidRPr="00E14102" w:rsidRDefault="00265F21" w:rsidP="00E14102">
            <w:pPr>
              <w:jc w:val="both"/>
              <w:rPr>
                <w:color w:val="000000" w:themeColor="text1"/>
                <w:sz w:val="16"/>
                <w:szCs w:val="16"/>
              </w:rPr>
            </w:pPr>
            <w:r w:rsidRPr="00E14102">
              <w:rPr>
                <w:color w:val="000000" w:themeColor="text1"/>
                <w:sz w:val="16"/>
                <w:szCs w:val="16"/>
              </w:rPr>
              <w:t>62. Нижне-Салдинский</w:t>
            </w:r>
          </w:p>
        </w:tc>
        <w:tc>
          <w:tcPr>
            <w:tcW w:w="714" w:type="dxa"/>
          </w:tcPr>
          <w:p w14:paraId="6A76CDEC" w14:textId="77777777" w:rsidR="00265F21" w:rsidRPr="00E14102" w:rsidRDefault="00265F21" w:rsidP="00E14102">
            <w:pPr>
              <w:jc w:val="both"/>
              <w:rPr>
                <w:color w:val="000000" w:themeColor="text1"/>
                <w:sz w:val="16"/>
                <w:szCs w:val="16"/>
              </w:rPr>
            </w:pPr>
            <w:r w:rsidRPr="00E14102">
              <w:rPr>
                <w:color w:val="000000" w:themeColor="text1"/>
                <w:sz w:val="16"/>
                <w:szCs w:val="16"/>
              </w:rPr>
              <w:t>Нижняя Салда</w:t>
            </w:r>
          </w:p>
        </w:tc>
        <w:tc>
          <w:tcPr>
            <w:tcW w:w="751" w:type="dxa"/>
          </w:tcPr>
          <w:p w14:paraId="6AC6CA59" w14:textId="77777777" w:rsidR="00265F21" w:rsidRPr="00E14102" w:rsidRDefault="00265F21" w:rsidP="00E14102">
            <w:pPr>
              <w:jc w:val="both"/>
              <w:rPr>
                <w:color w:val="000000" w:themeColor="text1"/>
                <w:sz w:val="16"/>
                <w:szCs w:val="16"/>
              </w:rPr>
            </w:pPr>
            <w:r w:rsidRPr="00E14102">
              <w:rPr>
                <w:color w:val="000000" w:themeColor="text1"/>
                <w:sz w:val="16"/>
                <w:szCs w:val="16"/>
              </w:rPr>
              <w:t>Куранов</w:t>
            </w:r>
          </w:p>
        </w:tc>
        <w:tc>
          <w:tcPr>
            <w:tcW w:w="1541" w:type="dxa"/>
          </w:tcPr>
          <w:p w14:paraId="674D9C96"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277D01D5" w14:textId="77777777" w:rsidR="00265F21" w:rsidRPr="00E14102" w:rsidRDefault="00265F21" w:rsidP="00E14102">
            <w:pPr>
              <w:jc w:val="both"/>
              <w:rPr>
                <w:color w:val="000000" w:themeColor="text1"/>
                <w:sz w:val="16"/>
                <w:szCs w:val="16"/>
              </w:rPr>
            </w:pPr>
            <w:r w:rsidRPr="00E14102">
              <w:rPr>
                <w:color w:val="000000" w:themeColor="text1"/>
                <w:sz w:val="16"/>
                <w:szCs w:val="16"/>
              </w:rPr>
              <w:t>539</w:t>
            </w:r>
          </w:p>
        </w:tc>
        <w:tc>
          <w:tcPr>
            <w:tcW w:w="601" w:type="dxa"/>
          </w:tcPr>
          <w:p w14:paraId="01BC0BF8" w14:textId="77777777" w:rsidR="00265F21" w:rsidRPr="00E14102" w:rsidRDefault="00265F21" w:rsidP="00E14102">
            <w:pPr>
              <w:jc w:val="both"/>
              <w:rPr>
                <w:color w:val="000000" w:themeColor="text1"/>
                <w:sz w:val="16"/>
                <w:szCs w:val="16"/>
              </w:rPr>
            </w:pPr>
            <w:r w:rsidRPr="00E14102">
              <w:rPr>
                <w:color w:val="000000" w:themeColor="text1"/>
                <w:sz w:val="16"/>
                <w:szCs w:val="16"/>
              </w:rPr>
              <w:t>1657</w:t>
            </w:r>
          </w:p>
        </w:tc>
        <w:tc>
          <w:tcPr>
            <w:tcW w:w="300" w:type="dxa"/>
          </w:tcPr>
          <w:p w14:paraId="2623D66D"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47E5E951" w14:textId="77777777" w:rsidR="00265F21" w:rsidRPr="00E14102" w:rsidRDefault="00265F21" w:rsidP="00E14102">
            <w:pPr>
              <w:jc w:val="both"/>
              <w:rPr>
                <w:color w:val="000000" w:themeColor="text1"/>
                <w:sz w:val="16"/>
                <w:szCs w:val="16"/>
              </w:rPr>
            </w:pPr>
          </w:p>
        </w:tc>
      </w:tr>
      <w:tr w:rsidR="00E3599D" w:rsidRPr="00E14102" w14:paraId="2AF3CE7B" w14:textId="77777777" w:rsidTr="00A45C9C">
        <w:tc>
          <w:tcPr>
            <w:tcW w:w="1804" w:type="dxa"/>
          </w:tcPr>
          <w:p w14:paraId="3289621F" w14:textId="77777777" w:rsidR="00265F21" w:rsidRPr="00E14102" w:rsidRDefault="00265F21" w:rsidP="00E14102">
            <w:pPr>
              <w:jc w:val="both"/>
              <w:rPr>
                <w:color w:val="000000" w:themeColor="text1"/>
                <w:sz w:val="16"/>
                <w:szCs w:val="16"/>
              </w:rPr>
            </w:pPr>
            <w:r w:rsidRPr="00E14102">
              <w:rPr>
                <w:color w:val="000000" w:themeColor="text1"/>
                <w:sz w:val="16"/>
                <w:szCs w:val="16"/>
              </w:rPr>
              <w:t>63. ЧМКстрой</w:t>
            </w:r>
          </w:p>
        </w:tc>
        <w:tc>
          <w:tcPr>
            <w:tcW w:w="714" w:type="dxa"/>
          </w:tcPr>
          <w:p w14:paraId="5B862011" w14:textId="77777777" w:rsidR="00265F21" w:rsidRPr="00E14102" w:rsidRDefault="00265F21" w:rsidP="00E14102">
            <w:pPr>
              <w:jc w:val="both"/>
              <w:rPr>
                <w:color w:val="000000" w:themeColor="text1"/>
                <w:sz w:val="16"/>
                <w:szCs w:val="16"/>
              </w:rPr>
            </w:pPr>
            <w:r w:rsidRPr="00E14102">
              <w:rPr>
                <w:color w:val="000000" w:themeColor="text1"/>
                <w:sz w:val="16"/>
                <w:szCs w:val="16"/>
              </w:rPr>
              <w:t>Челябинск</w:t>
            </w:r>
          </w:p>
        </w:tc>
        <w:tc>
          <w:tcPr>
            <w:tcW w:w="751" w:type="dxa"/>
          </w:tcPr>
          <w:p w14:paraId="43892017" w14:textId="77777777" w:rsidR="00265F21" w:rsidRPr="00E14102" w:rsidRDefault="00265F21" w:rsidP="00E14102">
            <w:pPr>
              <w:jc w:val="both"/>
              <w:rPr>
                <w:color w:val="000000" w:themeColor="text1"/>
                <w:sz w:val="16"/>
                <w:szCs w:val="16"/>
              </w:rPr>
            </w:pPr>
            <w:r w:rsidRPr="00E14102">
              <w:rPr>
                <w:color w:val="000000" w:themeColor="text1"/>
                <w:sz w:val="16"/>
                <w:szCs w:val="16"/>
              </w:rPr>
              <w:t>Яковлев</w:t>
            </w:r>
          </w:p>
        </w:tc>
        <w:tc>
          <w:tcPr>
            <w:tcW w:w="1541" w:type="dxa"/>
          </w:tcPr>
          <w:p w14:paraId="7EA0EC1E"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7E8F2BF6"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601" w:type="dxa"/>
          </w:tcPr>
          <w:p w14:paraId="55968051"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300" w:type="dxa"/>
          </w:tcPr>
          <w:p w14:paraId="09C57853" w14:textId="77777777" w:rsidR="00265F21" w:rsidRPr="00E14102" w:rsidRDefault="00265F21" w:rsidP="00E14102">
            <w:pPr>
              <w:jc w:val="both"/>
              <w:rPr>
                <w:color w:val="000000" w:themeColor="text1"/>
                <w:sz w:val="16"/>
                <w:szCs w:val="16"/>
              </w:rPr>
            </w:pPr>
            <w:r w:rsidRPr="00E14102">
              <w:rPr>
                <w:color w:val="000000" w:themeColor="text1"/>
                <w:sz w:val="16"/>
                <w:szCs w:val="16"/>
              </w:rPr>
              <w:t>800</w:t>
            </w:r>
          </w:p>
        </w:tc>
        <w:tc>
          <w:tcPr>
            <w:tcW w:w="1466" w:type="dxa"/>
          </w:tcPr>
          <w:p w14:paraId="77A5B3E8" w14:textId="77777777" w:rsidR="00265F21" w:rsidRPr="00E14102" w:rsidRDefault="00265F21" w:rsidP="00E14102">
            <w:pPr>
              <w:jc w:val="both"/>
              <w:rPr>
                <w:color w:val="000000" w:themeColor="text1"/>
                <w:sz w:val="16"/>
                <w:szCs w:val="16"/>
              </w:rPr>
            </w:pPr>
          </w:p>
        </w:tc>
      </w:tr>
      <w:tr w:rsidR="00E3599D" w:rsidRPr="00E14102" w14:paraId="120608FC" w14:textId="77777777" w:rsidTr="00A45C9C">
        <w:tc>
          <w:tcPr>
            <w:tcW w:w="1804" w:type="dxa"/>
          </w:tcPr>
          <w:p w14:paraId="6645209E" w14:textId="77777777" w:rsidR="00265F21" w:rsidRPr="00E14102" w:rsidRDefault="00265F21" w:rsidP="00E14102">
            <w:pPr>
              <w:jc w:val="both"/>
              <w:rPr>
                <w:color w:val="000000" w:themeColor="text1"/>
                <w:sz w:val="16"/>
                <w:szCs w:val="16"/>
              </w:rPr>
            </w:pPr>
            <w:r w:rsidRPr="00E14102">
              <w:rPr>
                <w:color w:val="000000" w:themeColor="text1"/>
                <w:sz w:val="16"/>
                <w:szCs w:val="16"/>
              </w:rPr>
              <w:t>64. Одесский прокатный завод им. Дзержинского</w:t>
            </w:r>
          </w:p>
        </w:tc>
        <w:tc>
          <w:tcPr>
            <w:tcW w:w="714" w:type="dxa"/>
          </w:tcPr>
          <w:p w14:paraId="050148BC" w14:textId="77777777" w:rsidR="00265F21" w:rsidRPr="00E14102" w:rsidRDefault="00265F21" w:rsidP="00E14102">
            <w:pPr>
              <w:jc w:val="both"/>
              <w:rPr>
                <w:color w:val="000000" w:themeColor="text1"/>
                <w:sz w:val="16"/>
                <w:szCs w:val="16"/>
              </w:rPr>
            </w:pPr>
            <w:r w:rsidRPr="00E14102">
              <w:rPr>
                <w:color w:val="000000" w:themeColor="text1"/>
                <w:sz w:val="16"/>
                <w:szCs w:val="16"/>
              </w:rPr>
              <w:t>Одесса</w:t>
            </w:r>
          </w:p>
        </w:tc>
        <w:tc>
          <w:tcPr>
            <w:tcW w:w="751" w:type="dxa"/>
          </w:tcPr>
          <w:p w14:paraId="1D500707" w14:textId="77777777" w:rsidR="00265F21" w:rsidRPr="00E14102" w:rsidRDefault="00265F21" w:rsidP="00E14102">
            <w:pPr>
              <w:jc w:val="both"/>
              <w:rPr>
                <w:color w:val="000000" w:themeColor="text1"/>
                <w:sz w:val="16"/>
                <w:szCs w:val="16"/>
              </w:rPr>
            </w:pPr>
            <w:r w:rsidRPr="00E14102">
              <w:rPr>
                <w:color w:val="000000" w:themeColor="text1"/>
                <w:sz w:val="16"/>
                <w:szCs w:val="16"/>
              </w:rPr>
              <w:t>Житецкий</w:t>
            </w:r>
          </w:p>
        </w:tc>
        <w:tc>
          <w:tcPr>
            <w:tcW w:w="1541" w:type="dxa"/>
          </w:tcPr>
          <w:p w14:paraId="222A49E6" w14:textId="77777777" w:rsidR="00265F21" w:rsidRPr="00E14102" w:rsidRDefault="00265F21" w:rsidP="00E14102">
            <w:pPr>
              <w:jc w:val="both"/>
              <w:rPr>
                <w:color w:val="000000" w:themeColor="text1"/>
                <w:sz w:val="16"/>
                <w:szCs w:val="16"/>
              </w:rPr>
            </w:pPr>
            <w:r w:rsidRPr="00E14102">
              <w:rPr>
                <w:color w:val="000000" w:themeColor="text1"/>
                <w:sz w:val="16"/>
                <w:szCs w:val="16"/>
              </w:rPr>
              <w:t>Техник</w:t>
            </w:r>
          </w:p>
        </w:tc>
        <w:tc>
          <w:tcPr>
            <w:tcW w:w="2180" w:type="dxa"/>
          </w:tcPr>
          <w:p w14:paraId="4B61B26E" w14:textId="77777777" w:rsidR="00265F21" w:rsidRPr="00E14102" w:rsidRDefault="00265F21" w:rsidP="00E14102">
            <w:pPr>
              <w:jc w:val="both"/>
              <w:rPr>
                <w:color w:val="000000" w:themeColor="text1"/>
                <w:sz w:val="16"/>
                <w:szCs w:val="16"/>
              </w:rPr>
            </w:pPr>
            <w:r w:rsidRPr="00E14102">
              <w:rPr>
                <w:color w:val="000000" w:themeColor="text1"/>
                <w:sz w:val="16"/>
                <w:szCs w:val="16"/>
              </w:rPr>
              <w:t>861</w:t>
            </w:r>
          </w:p>
        </w:tc>
        <w:tc>
          <w:tcPr>
            <w:tcW w:w="601" w:type="dxa"/>
          </w:tcPr>
          <w:p w14:paraId="7E06F070" w14:textId="77777777" w:rsidR="00265F21" w:rsidRPr="00E14102" w:rsidRDefault="00265F21" w:rsidP="00E14102">
            <w:pPr>
              <w:jc w:val="both"/>
              <w:rPr>
                <w:color w:val="000000" w:themeColor="text1"/>
                <w:sz w:val="16"/>
                <w:szCs w:val="16"/>
              </w:rPr>
            </w:pPr>
            <w:r w:rsidRPr="00E14102">
              <w:rPr>
                <w:color w:val="000000" w:themeColor="text1"/>
                <w:sz w:val="16"/>
                <w:szCs w:val="16"/>
              </w:rPr>
              <w:t>854</w:t>
            </w:r>
          </w:p>
        </w:tc>
        <w:tc>
          <w:tcPr>
            <w:tcW w:w="300" w:type="dxa"/>
          </w:tcPr>
          <w:p w14:paraId="6B42E7A7" w14:textId="77777777" w:rsidR="00265F21" w:rsidRPr="00E14102" w:rsidRDefault="00265F21" w:rsidP="00E14102">
            <w:pPr>
              <w:jc w:val="both"/>
              <w:rPr>
                <w:color w:val="000000" w:themeColor="text1"/>
                <w:sz w:val="16"/>
                <w:szCs w:val="16"/>
              </w:rPr>
            </w:pPr>
            <w:r w:rsidRPr="00E14102">
              <w:rPr>
                <w:color w:val="000000" w:themeColor="text1"/>
                <w:sz w:val="16"/>
                <w:szCs w:val="16"/>
              </w:rPr>
              <w:t>600</w:t>
            </w:r>
          </w:p>
        </w:tc>
        <w:tc>
          <w:tcPr>
            <w:tcW w:w="1466" w:type="dxa"/>
          </w:tcPr>
          <w:p w14:paraId="00BDF253" w14:textId="77777777" w:rsidR="00265F21" w:rsidRPr="00E14102" w:rsidRDefault="00265F21" w:rsidP="00E14102">
            <w:pPr>
              <w:jc w:val="both"/>
              <w:rPr>
                <w:color w:val="000000" w:themeColor="text1"/>
                <w:sz w:val="16"/>
                <w:szCs w:val="16"/>
              </w:rPr>
            </w:pPr>
          </w:p>
        </w:tc>
      </w:tr>
      <w:tr w:rsidR="00E3599D" w:rsidRPr="00E14102" w14:paraId="50D0AA32" w14:textId="77777777" w:rsidTr="00A45C9C">
        <w:tc>
          <w:tcPr>
            <w:tcW w:w="1804" w:type="dxa"/>
          </w:tcPr>
          <w:p w14:paraId="0C93732F" w14:textId="77777777" w:rsidR="00265F21" w:rsidRPr="00E14102" w:rsidRDefault="00265F21" w:rsidP="00E14102">
            <w:pPr>
              <w:jc w:val="both"/>
              <w:rPr>
                <w:color w:val="000000" w:themeColor="text1"/>
                <w:sz w:val="16"/>
                <w:szCs w:val="16"/>
              </w:rPr>
            </w:pPr>
            <w:r w:rsidRPr="00E14102">
              <w:rPr>
                <w:color w:val="000000" w:themeColor="text1"/>
                <w:sz w:val="16"/>
                <w:szCs w:val="16"/>
              </w:rPr>
              <w:t>65. Харцызский</w:t>
            </w:r>
          </w:p>
        </w:tc>
        <w:tc>
          <w:tcPr>
            <w:tcW w:w="714" w:type="dxa"/>
          </w:tcPr>
          <w:p w14:paraId="0FB68391" w14:textId="77777777" w:rsidR="00265F21" w:rsidRPr="00E14102" w:rsidRDefault="00265F21" w:rsidP="00E14102">
            <w:pPr>
              <w:jc w:val="both"/>
              <w:rPr>
                <w:color w:val="000000" w:themeColor="text1"/>
                <w:sz w:val="16"/>
                <w:szCs w:val="16"/>
              </w:rPr>
            </w:pPr>
            <w:r w:rsidRPr="00E14102">
              <w:rPr>
                <w:color w:val="000000" w:themeColor="text1"/>
                <w:sz w:val="16"/>
                <w:szCs w:val="16"/>
              </w:rPr>
              <w:t>Харцызск</w:t>
            </w:r>
          </w:p>
        </w:tc>
        <w:tc>
          <w:tcPr>
            <w:tcW w:w="751" w:type="dxa"/>
          </w:tcPr>
          <w:p w14:paraId="67E21752" w14:textId="77777777" w:rsidR="00265F21" w:rsidRPr="00E14102" w:rsidRDefault="00265F21" w:rsidP="00E14102">
            <w:pPr>
              <w:jc w:val="both"/>
              <w:rPr>
                <w:color w:val="000000" w:themeColor="text1"/>
                <w:sz w:val="16"/>
                <w:szCs w:val="16"/>
              </w:rPr>
            </w:pPr>
            <w:r w:rsidRPr="00E14102">
              <w:rPr>
                <w:color w:val="000000" w:themeColor="text1"/>
                <w:sz w:val="16"/>
                <w:szCs w:val="16"/>
              </w:rPr>
              <w:t>Василенко</w:t>
            </w:r>
          </w:p>
        </w:tc>
        <w:tc>
          <w:tcPr>
            <w:tcW w:w="1541" w:type="dxa"/>
          </w:tcPr>
          <w:p w14:paraId="67A58B7A"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54E4B204" w14:textId="77777777" w:rsidR="00265F21" w:rsidRPr="00E14102" w:rsidRDefault="00265F21" w:rsidP="00E14102">
            <w:pPr>
              <w:jc w:val="both"/>
              <w:rPr>
                <w:color w:val="000000" w:themeColor="text1"/>
                <w:sz w:val="16"/>
                <w:szCs w:val="16"/>
              </w:rPr>
            </w:pPr>
            <w:r w:rsidRPr="00E14102">
              <w:rPr>
                <w:color w:val="000000" w:themeColor="text1"/>
                <w:sz w:val="16"/>
                <w:szCs w:val="16"/>
              </w:rPr>
              <w:t>1206</w:t>
            </w:r>
          </w:p>
        </w:tc>
        <w:tc>
          <w:tcPr>
            <w:tcW w:w="601" w:type="dxa"/>
          </w:tcPr>
          <w:p w14:paraId="648E3677" w14:textId="77777777" w:rsidR="00265F21" w:rsidRPr="00E14102" w:rsidRDefault="00265F21" w:rsidP="00E14102">
            <w:pPr>
              <w:jc w:val="both"/>
              <w:rPr>
                <w:color w:val="000000" w:themeColor="text1"/>
                <w:sz w:val="16"/>
                <w:szCs w:val="16"/>
              </w:rPr>
            </w:pPr>
            <w:r w:rsidRPr="00E14102">
              <w:rPr>
                <w:color w:val="000000" w:themeColor="text1"/>
                <w:sz w:val="16"/>
                <w:szCs w:val="16"/>
              </w:rPr>
              <w:t>1026</w:t>
            </w:r>
          </w:p>
        </w:tc>
        <w:tc>
          <w:tcPr>
            <w:tcW w:w="300" w:type="dxa"/>
          </w:tcPr>
          <w:p w14:paraId="3ECC6C77" w14:textId="77777777" w:rsidR="00265F21" w:rsidRPr="00E14102" w:rsidRDefault="00265F21" w:rsidP="00E14102">
            <w:pPr>
              <w:jc w:val="both"/>
              <w:rPr>
                <w:color w:val="000000" w:themeColor="text1"/>
                <w:sz w:val="16"/>
                <w:szCs w:val="16"/>
              </w:rPr>
            </w:pPr>
            <w:r w:rsidRPr="00E14102">
              <w:rPr>
                <w:color w:val="000000" w:themeColor="text1"/>
                <w:sz w:val="16"/>
                <w:szCs w:val="16"/>
              </w:rPr>
              <w:t>900</w:t>
            </w:r>
          </w:p>
        </w:tc>
        <w:tc>
          <w:tcPr>
            <w:tcW w:w="1466" w:type="dxa"/>
          </w:tcPr>
          <w:p w14:paraId="4369E706" w14:textId="77777777" w:rsidR="00265F21" w:rsidRPr="00E14102" w:rsidRDefault="00265F21" w:rsidP="00E14102">
            <w:pPr>
              <w:jc w:val="both"/>
              <w:rPr>
                <w:color w:val="000000" w:themeColor="text1"/>
                <w:sz w:val="16"/>
                <w:szCs w:val="16"/>
              </w:rPr>
            </w:pPr>
          </w:p>
        </w:tc>
      </w:tr>
      <w:tr w:rsidR="00E3599D" w:rsidRPr="00E14102" w14:paraId="3C7D33EF" w14:textId="77777777" w:rsidTr="00A45C9C">
        <w:tc>
          <w:tcPr>
            <w:tcW w:w="1804" w:type="dxa"/>
          </w:tcPr>
          <w:p w14:paraId="701E11E9" w14:textId="77777777" w:rsidR="00265F21" w:rsidRPr="00E14102" w:rsidRDefault="00265F21" w:rsidP="00E14102">
            <w:pPr>
              <w:jc w:val="both"/>
              <w:rPr>
                <w:color w:val="000000" w:themeColor="text1"/>
                <w:sz w:val="16"/>
                <w:szCs w:val="16"/>
              </w:rPr>
            </w:pPr>
            <w:r w:rsidRPr="00E14102">
              <w:rPr>
                <w:color w:val="000000" w:themeColor="text1"/>
                <w:sz w:val="16"/>
                <w:szCs w:val="16"/>
              </w:rPr>
              <w:t>66. Жестекатальный</w:t>
            </w:r>
          </w:p>
        </w:tc>
        <w:tc>
          <w:tcPr>
            <w:tcW w:w="714" w:type="dxa"/>
          </w:tcPr>
          <w:p w14:paraId="4CA1F800" w14:textId="77777777" w:rsidR="00265F21" w:rsidRPr="00E14102" w:rsidRDefault="00265F21" w:rsidP="00E14102">
            <w:pPr>
              <w:jc w:val="both"/>
              <w:rPr>
                <w:color w:val="000000" w:themeColor="text1"/>
                <w:sz w:val="16"/>
                <w:szCs w:val="16"/>
              </w:rPr>
            </w:pPr>
            <w:r w:rsidRPr="00E14102">
              <w:rPr>
                <w:color w:val="000000" w:themeColor="text1"/>
                <w:sz w:val="16"/>
                <w:szCs w:val="16"/>
              </w:rPr>
              <w:t>Н. Московск</w:t>
            </w:r>
          </w:p>
        </w:tc>
        <w:tc>
          <w:tcPr>
            <w:tcW w:w="751" w:type="dxa"/>
          </w:tcPr>
          <w:p w14:paraId="7CB4089D" w14:textId="77777777" w:rsidR="00265F21" w:rsidRPr="00E14102" w:rsidRDefault="00265F21" w:rsidP="00E14102">
            <w:pPr>
              <w:jc w:val="both"/>
              <w:rPr>
                <w:color w:val="000000" w:themeColor="text1"/>
                <w:sz w:val="16"/>
                <w:szCs w:val="16"/>
              </w:rPr>
            </w:pPr>
            <w:r w:rsidRPr="00E14102">
              <w:rPr>
                <w:color w:val="000000" w:themeColor="text1"/>
                <w:sz w:val="16"/>
                <w:szCs w:val="16"/>
              </w:rPr>
              <w:t>Брудный</w:t>
            </w:r>
          </w:p>
        </w:tc>
        <w:tc>
          <w:tcPr>
            <w:tcW w:w="1541" w:type="dxa"/>
          </w:tcPr>
          <w:p w14:paraId="21BB6F77"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2EAFE898" w14:textId="77777777" w:rsidR="00265F21" w:rsidRPr="00E14102" w:rsidRDefault="00265F21" w:rsidP="00E14102">
            <w:pPr>
              <w:jc w:val="both"/>
              <w:rPr>
                <w:color w:val="000000" w:themeColor="text1"/>
                <w:sz w:val="16"/>
                <w:szCs w:val="16"/>
              </w:rPr>
            </w:pPr>
            <w:r w:rsidRPr="00E14102">
              <w:rPr>
                <w:color w:val="000000" w:themeColor="text1"/>
                <w:sz w:val="16"/>
                <w:szCs w:val="16"/>
              </w:rPr>
              <w:t>286</w:t>
            </w:r>
          </w:p>
        </w:tc>
        <w:tc>
          <w:tcPr>
            <w:tcW w:w="601" w:type="dxa"/>
          </w:tcPr>
          <w:p w14:paraId="2D7AEA2F" w14:textId="77777777" w:rsidR="00265F21" w:rsidRPr="00E14102" w:rsidRDefault="00265F21" w:rsidP="00E14102">
            <w:pPr>
              <w:jc w:val="both"/>
              <w:rPr>
                <w:color w:val="000000" w:themeColor="text1"/>
                <w:sz w:val="16"/>
                <w:szCs w:val="16"/>
              </w:rPr>
            </w:pPr>
            <w:r w:rsidRPr="00E14102">
              <w:rPr>
                <w:color w:val="000000" w:themeColor="text1"/>
                <w:sz w:val="16"/>
                <w:szCs w:val="16"/>
              </w:rPr>
              <w:t>657</w:t>
            </w:r>
          </w:p>
        </w:tc>
        <w:tc>
          <w:tcPr>
            <w:tcW w:w="300" w:type="dxa"/>
          </w:tcPr>
          <w:p w14:paraId="5F76D42E"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6CB6D102" w14:textId="77777777" w:rsidR="00265F21" w:rsidRPr="00E14102" w:rsidRDefault="00265F21" w:rsidP="00E14102">
            <w:pPr>
              <w:jc w:val="both"/>
              <w:rPr>
                <w:color w:val="000000" w:themeColor="text1"/>
                <w:sz w:val="16"/>
                <w:szCs w:val="16"/>
              </w:rPr>
            </w:pPr>
            <w:r w:rsidRPr="00E14102">
              <w:rPr>
                <w:color w:val="000000" w:themeColor="text1"/>
                <w:sz w:val="16"/>
                <w:szCs w:val="16"/>
              </w:rPr>
              <w:t>Объем строительства в 35 г. 12 млн.</w:t>
            </w:r>
          </w:p>
        </w:tc>
      </w:tr>
      <w:tr w:rsidR="00E3599D" w:rsidRPr="00E14102" w14:paraId="630FEDA6" w14:textId="77777777" w:rsidTr="00A45C9C">
        <w:tc>
          <w:tcPr>
            <w:tcW w:w="1804" w:type="dxa"/>
          </w:tcPr>
          <w:p w14:paraId="2A3E3B8E" w14:textId="77777777" w:rsidR="00265F21" w:rsidRPr="00E14102" w:rsidRDefault="00265F21" w:rsidP="00E14102">
            <w:pPr>
              <w:jc w:val="both"/>
              <w:rPr>
                <w:color w:val="000000" w:themeColor="text1"/>
                <w:sz w:val="16"/>
                <w:szCs w:val="16"/>
              </w:rPr>
            </w:pPr>
            <w:r w:rsidRPr="00E14102">
              <w:rPr>
                <w:color w:val="000000" w:themeColor="text1"/>
                <w:sz w:val="16"/>
                <w:szCs w:val="16"/>
              </w:rPr>
              <w:t>67. Зав. им. Кагановича, быв. Запчермета</w:t>
            </w:r>
          </w:p>
        </w:tc>
        <w:tc>
          <w:tcPr>
            <w:tcW w:w="714" w:type="dxa"/>
          </w:tcPr>
          <w:p w14:paraId="307F875C" w14:textId="77777777" w:rsidR="00265F21" w:rsidRPr="00E14102" w:rsidRDefault="00265F21" w:rsidP="00E14102">
            <w:pPr>
              <w:jc w:val="both"/>
              <w:rPr>
                <w:color w:val="000000" w:themeColor="text1"/>
                <w:sz w:val="16"/>
                <w:szCs w:val="16"/>
              </w:rPr>
            </w:pPr>
            <w:r w:rsidRPr="00E14102">
              <w:rPr>
                <w:color w:val="000000" w:themeColor="text1"/>
                <w:sz w:val="16"/>
                <w:szCs w:val="16"/>
              </w:rPr>
              <w:t>Саратов</w:t>
            </w:r>
          </w:p>
        </w:tc>
        <w:tc>
          <w:tcPr>
            <w:tcW w:w="751" w:type="dxa"/>
          </w:tcPr>
          <w:p w14:paraId="2778A6EB" w14:textId="77777777" w:rsidR="00265F21" w:rsidRPr="00E14102" w:rsidRDefault="00265F21" w:rsidP="00E14102">
            <w:pPr>
              <w:jc w:val="both"/>
              <w:rPr>
                <w:color w:val="000000" w:themeColor="text1"/>
                <w:sz w:val="16"/>
                <w:szCs w:val="16"/>
              </w:rPr>
            </w:pPr>
            <w:r w:rsidRPr="00E14102">
              <w:rPr>
                <w:color w:val="000000" w:themeColor="text1"/>
                <w:sz w:val="16"/>
                <w:szCs w:val="16"/>
              </w:rPr>
              <w:t>Юрьев</w:t>
            </w:r>
          </w:p>
        </w:tc>
        <w:tc>
          <w:tcPr>
            <w:tcW w:w="1541" w:type="dxa"/>
          </w:tcPr>
          <w:p w14:paraId="5AA85EAF"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08454D33" w14:textId="77777777" w:rsidR="00265F21" w:rsidRPr="00E14102" w:rsidRDefault="00265F21" w:rsidP="00E14102">
            <w:pPr>
              <w:jc w:val="both"/>
              <w:rPr>
                <w:color w:val="000000" w:themeColor="text1"/>
                <w:sz w:val="16"/>
                <w:szCs w:val="16"/>
              </w:rPr>
            </w:pPr>
            <w:r w:rsidRPr="00E14102">
              <w:rPr>
                <w:color w:val="000000" w:themeColor="text1"/>
                <w:sz w:val="16"/>
                <w:szCs w:val="16"/>
              </w:rPr>
              <w:t>590</w:t>
            </w:r>
          </w:p>
        </w:tc>
        <w:tc>
          <w:tcPr>
            <w:tcW w:w="601" w:type="dxa"/>
          </w:tcPr>
          <w:p w14:paraId="65AF4709" w14:textId="77777777" w:rsidR="00265F21" w:rsidRPr="00E14102" w:rsidRDefault="00265F21" w:rsidP="00E14102">
            <w:pPr>
              <w:jc w:val="both"/>
              <w:rPr>
                <w:color w:val="000000" w:themeColor="text1"/>
                <w:sz w:val="16"/>
                <w:szCs w:val="16"/>
              </w:rPr>
            </w:pPr>
            <w:r w:rsidRPr="00E14102">
              <w:rPr>
                <w:color w:val="000000" w:themeColor="text1"/>
                <w:sz w:val="16"/>
                <w:szCs w:val="16"/>
              </w:rPr>
              <w:t>510</w:t>
            </w:r>
          </w:p>
        </w:tc>
        <w:tc>
          <w:tcPr>
            <w:tcW w:w="300" w:type="dxa"/>
          </w:tcPr>
          <w:p w14:paraId="1045163D"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4572E033" w14:textId="77777777" w:rsidR="00265F21" w:rsidRPr="00E14102" w:rsidRDefault="00265F21" w:rsidP="00E14102">
            <w:pPr>
              <w:jc w:val="both"/>
              <w:rPr>
                <w:color w:val="000000" w:themeColor="text1"/>
                <w:sz w:val="16"/>
                <w:szCs w:val="16"/>
              </w:rPr>
            </w:pPr>
          </w:p>
        </w:tc>
      </w:tr>
      <w:tr w:rsidR="00E3599D" w:rsidRPr="00E14102" w14:paraId="1BFED431" w14:textId="77777777" w:rsidTr="00A45C9C">
        <w:tc>
          <w:tcPr>
            <w:tcW w:w="1804" w:type="dxa"/>
          </w:tcPr>
          <w:p w14:paraId="751CF36F" w14:textId="77777777" w:rsidR="00265F21" w:rsidRPr="00E14102" w:rsidRDefault="00265F21" w:rsidP="00E14102">
            <w:pPr>
              <w:jc w:val="both"/>
              <w:rPr>
                <w:color w:val="000000" w:themeColor="text1"/>
                <w:sz w:val="16"/>
                <w:szCs w:val="16"/>
              </w:rPr>
            </w:pPr>
            <w:r w:rsidRPr="00E14102">
              <w:rPr>
                <w:color w:val="000000" w:themeColor="text1"/>
                <w:sz w:val="16"/>
                <w:szCs w:val="16"/>
              </w:rPr>
              <w:t>68. Пашийский</w:t>
            </w:r>
          </w:p>
        </w:tc>
        <w:tc>
          <w:tcPr>
            <w:tcW w:w="714" w:type="dxa"/>
          </w:tcPr>
          <w:p w14:paraId="72B3EC5F" w14:textId="77777777" w:rsidR="00265F21" w:rsidRPr="00E14102" w:rsidRDefault="00265F21" w:rsidP="00E14102">
            <w:pPr>
              <w:jc w:val="both"/>
              <w:rPr>
                <w:color w:val="000000" w:themeColor="text1"/>
                <w:sz w:val="16"/>
                <w:szCs w:val="16"/>
              </w:rPr>
            </w:pPr>
            <w:r w:rsidRPr="00E14102">
              <w:rPr>
                <w:color w:val="000000" w:themeColor="text1"/>
                <w:sz w:val="16"/>
                <w:szCs w:val="16"/>
              </w:rPr>
              <w:t>Пашия</w:t>
            </w:r>
          </w:p>
        </w:tc>
        <w:tc>
          <w:tcPr>
            <w:tcW w:w="751" w:type="dxa"/>
          </w:tcPr>
          <w:p w14:paraId="7B7FECDF"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541" w:type="dxa"/>
          </w:tcPr>
          <w:p w14:paraId="75AF2AA8"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5C0474C7" w14:textId="77777777" w:rsidR="00265F21" w:rsidRPr="00E14102" w:rsidRDefault="00265F21" w:rsidP="00E14102">
            <w:pPr>
              <w:jc w:val="both"/>
              <w:rPr>
                <w:color w:val="000000" w:themeColor="text1"/>
                <w:sz w:val="16"/>
                <w:szCs w:val="16"/>
              </w:rPr>
            </w:pPr>
            <w:r w:rsidRPr="00E14102">
              <w:rPr>
                <w:color w:val="000000" w:themeColor="text1"/>
                <w:sz w:val="16"/>
                <w:szCs w:val="16"/>
              </w:rPr>
              <w:t>279</w:t>
            </w:r>
          </w:p>
        </w:tc>
        <w:tc>
          <w:tcPr>
            <w:tcW w:w="601" w:type="dxa"/>
          </w:tcPr>
          <w:p w14:paraId="3200D8FA" w14:textId="77777777" w:rsidR="00265F21" w:rsidRPr="00E14102" w:rsidRDefault="00265F21" w:rsidP="00E14102">
            <w:pPr>
              <w:jc w:val="both"/>
              <w:rPr>
                <w:color w:val="000000" w:themeColor="text1"/>
                <w:sz w:val="16"/>
                <w:szCs w:val="16"/>
              </w:rPr>
            </w:pPr>
            <w:r w:rsidRPr="00E14102">
              <w:rPr>
                <w:color w:val="000000" w:themeColor="text1"/>
                <w:sz w:val="16"/>
                <w:szCs w:val="16"/>
              </w:rPr>
              <w:t>401</w:t>
            </w:r>
          </w:p>
        </w:tc>
        <w:tc>
          <w:tcPr>
            <w:tcW w:w="300" w:type="dxa"/>
          </w:tcPr>
          <w:p w14:paraId="6590AAC3"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79F3E0AA" w14:textId="77777777" w:rsidR="00265F21" w:rsidRPr="00E14102" w:rsidRDefault="00265F21" w:rsidP="00E14102">
            <w:pPr>
              <w:jc w:val="both"/>
              <w:rPr>
                <w:color w:val="000000" w:themeColor="text1"/>
                <w:sz w:val="16"/>
                <w:szCs w:val="16"/>
              </w:rPr>
            </w:pPr>
          </w:p>
        </w:tc>
      </w:tr>
      <w:tr w:rsidR="00E3599D" w:rsidRPr="00E14102" w14:paraId="2EA81CC9" w14:textId="77777777" w:rsidTr="00A45C9C">
        <w:tc>
          <w:tcPr>
            <w:tcW w:w="1804" w:type="dxa"/>
          </w:tcPr>
          <w:p w14:paraId="1A1F2E26" w14:textId="77777777" w:rsidR="00265F21" w:rsidRPr="00E14102" w:rsidRDefault="00265F21" w:rsidP="00E14102">
            <w:pPr>
              <w:jc w:val="both"/>
              <w:rPr>
                <w:color w:val="000000" w:themeColor="text1"/>
                <w:sz w:val="16"/>
                <w:szCs w:val="16"/>
              </w:rPr>
            </w:pPr>
            <w:r w:rsidRPr="00E14102">
              <w:rPr>
                <w:color w:val="000000" w:themeColor="text1"/>
                <w:sz w:val="16"/>
                <w:szCs w:val="16"/>
              </w:rPr>
              <w:t>69. Нижне-Туринский</w:t>
            </w:r>
          </w:p>
        </w:tc>
        <w:tc>
          <w:tcPr>
            <w:tcW w:w="714" w:type="dxa"/>
          </w:tcPr>
          <w:p w14:paraId="393A332F" w14:textId="77777777" w:rsidR="00265F21" w:rsidRPr="00E14102" w:rsidRDefault="00265F21" w:rsidP="00E14102">
            <w:pPr>
              <w:jc w:val="both"/>
              <w:rPr>
                <w:color w:val="000000" w:themeColor="text1"/>
                <w:sz w:val="16"/>
                <w:szCs w:val="16"/>
              </w:rPr>
            </w:pPr>
            <w:r w:rsidRPr="00E14102">
              <w:rPr>
                <w:color w:val="000000" w:themeColor="text1"/>
                <w:sz w:val="16"/>
                <w:szCs w:val="16"/>
              </w:rPr>
              <w:t>Н.Тура</w:t>
            </w:r>
          </w:p>
        </w:tc>
        <w:tc>
          <w:tcPr>
            <w:tcW w:w="751" w:type="dxa"/>
          </w:tcPr>
          <w:p w14:paraId="08CA6194"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541" w:type="dxa"/>
          </w:tcPr>
          <w:p w14:paraId="570E1387"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2180" w:type="dxa"/>
          </w:tcPr>
          <w:p w14:paraId="520FF4B0" w14:textId="77777777" w:rsidR="00265F21" w:rsidRPr="00E14102" w:rsidRDefault="00265F21" w:rsidP="00E14102">
            <w:pPr>
              <w:jc w:val="both"/>
              <w:rPr>
                <w:color w:val="000000" w:themeColor="text1"/>
                <w:sz w:val="16"/>
                <w:szCs w:val="16"/>
              </w:rPr>
            </w:pPr>
            <w:r w:rsidRPr="00E14102">
              <w:rPr>
                <w:color w:val="000000" w:themeColor="text1"/>
                <w:sz w:val="16"/>
                <w:szCs w:val="16"/>
              </w:rPr>
              <w:t>312</w:t>
            </w:r>
          </w:p>
        </w:tc>
        <w:tc>
          <w:tcPr>
            <w:tcW w:w="601" w:type="dxa"/>
          </w:tcPr>
          <w:p w14:paraId="492AEB30" w14:textId="77777777" w:rsidR="00265F21" w:rsidRPr="00E14102" w:rsidRDefault="00265F21" w:rsidP="00E14102">
            <w:pPr>
              <w:jc w:val="both"/>
              <w:rPr>
                <w:color w:val="000000" w:themeColor="text1"/>
                <w:sz w:val="16"/>
                <w:szCs w:val="16"/>
              </w:rPr>
            </w:pPr>
            <w:r w:rsidRPr="00E14102">
              <w:rPr>
                <w:color w:val="000000" w:themeColor="text1"/>
                <w:sz w:val="16"/>
                <w:szCs w:val="16"/>
              </w:rPr>
              <w:t>473</w:t>
            </w:r>
          </w:p>
        </w:tc>
        <w:tc>
          <w:tcPr>
            <w:tcW w:w="300" w:type="dxa"/>
          </w:tcPr>
          <w:p w14:paraId="0E8D75D2" w14:textId="77777777" w:rsidR="00265F21" w:rsidRPr="00E14102" w:rsidRDefault="00265F21" w:rsidP="00E14102">
            <w:pPr>
              <w:jc w:val="both"/>
              <w:rPr>
                <w:color w:val="000000" w:themeColor="text1"/>
                <w:sz w:val="16"/>
                <w:szCs w:val="16"/>
              </w:rPr>
            </w:pPr>
            <w:r w:rsidRPr="00E14102">
              <w:rPr>
                <w:color w:val="000000" w:themeColor="text1"/>
                <w:sz w:val="16"/>
                <w:szCs w:val="16"/>
              </w:rPr>
              <w:t>—</w:t>
            </w:r>
          </w:p>
        </w:tc>
        <w:tc>
          <w:tcPr>
            <w:tcW w:w="1466" w:type="dxa"/>
          </w:tcPr>
          <w:p w14:paraId="63EDA38C" w14:textId="77777777" w:rsidR="00265F21" w:rsidRPr="00E14102" w:rsidRDefault="00265F21" w:rsidP="00E14102">
            <w:pPr>
              <w:jc w:val="both"/>
              <w:rPr>
                <w:color w:val="000000" w:themeColor="text1"/>
                <w:sz w:val="16"/>
                <w:szCs w:val="16"/>
              </w:rPr>
            </w:pPr>
          </w:p>
        </w:tc>
      </w:tr>
    </w:tbl>
    <w:p w14:paraId="02650638" w14:textId="77777777" w:rsidR="00265F21" w:rsidRPr="00E14102" w:rsidRDefault="00265F21" w:rsidP="00E14102">
      <w:pPr>
        <w:jc w:val="both"/>
        <w:rPr>
          <w:color w:val="000000" w:themeColor="text1"/>
          <w:sz w:val="16"/>
          <w:szCs w:val="16"/>
        </w:rPr>
      </w:pPr>
      <w:r w:rsidRPr="00E14102">
        <w:rPr>
          <w:color w:val="000000" w:themeColor="text1"/>
          <w:sz w:val="16"/>
          <w:szCs w:val="16"/>
        </w:rPr>
        <w:t>Начальник ГУМПа Гуревич</w:t>
      </w:r>
    </w:p>
    <w:p w14:paraId="78AC327C" w14:textId="77777777" w:rsidR="00265F21" w:rsidRPr="00E14102" w:rsidRDefault="00265F21" w:rsidP="00E14102">
      <w:pPr>
        <w:jc w:val="both"/>
        <w:rPr>
          <w:color w:val="000000" w:themeColor="text1"/>
          <w:sz w:val="16"/>
          <w:szCs w:val="16"/>
        </w:rPr>
      </w:pPr>
      <w:r w:rsidRPr="00E14102">
        <w:rPr>
          <w:color w:val="000000" w:themeColor="text1"/>
          <w:sz w:val="16"/>
          <w:szCs w:val="16"/>
        </w:rPr>
        <w:t>Примечания:</w:t>
      </w:r>
    </w:p>
    <w:p w14:paraId="0119BC55" w14:textId="77777777" w:rsidR="00265F21" w:rsidRPr="00E14102" w:rsidRDefault="00265F21" w:rsidP="00E14102">
      <w:pPr>
        <w:jc w:val="both"/>
        <w:rPr>
          <w:color w:val="000000" w:themeColor="text1"/>
          <w:sz w:val="16"/>
          <w:szCs w:val="16"/>
        </w:rPr>
      </w:pPr>
      <w:r w:rsidRPr="00E14102">
        <w:rPr>
          <w:color w:val="000000" w:themeColor="text1"/>
          <w:sz w:val="16"/>
          <w:szCs w:val="16"/>
        </w:rPr>
        <w:t>1* Датируется по смежному документу. См.: РГАЭ. Ф. 4086. Оп. 6. Д. 83. Л. 13.</w:t>
      </w:r>
    </w:p>
    <w:p w14:paraId="535AC80B" w14:textId="77777777" w:rsidR="00265F21" w:rsidRPr="00E14102" w:rsidRDefault="00265F21" w:rsidP="00E14102">
      <w:pPr>
        <w:jc w:val="both"/>
        <w:rPr>
          <w:color w:val="000000" w:themeColor="text1"/>
          <w:sz w:val="16"/>
          <w:szCs w:val="16"/>
        </w:rPr>
      </w:pPr>
      <w:r w:rsidRPr="00E14102">
        <w:rPr>
          <w:color w:val="000000" w:themeColor="text1"/>
          <w:sz w:val="16"/>
          <w:szCs w:val="16"/>
        </w:rPr>
        <w:t>2* В колонке 5 не оговорена единица исчисления валовой продукции. По-видимому, все цифровые показатели даны в тыс. руб.</w:t>
      </w:r>
    </w:p>
    <w:p w14:paraId="5CB92C8E" w14:textId="77777777" w:rsidR="00265F21" w:rsidRPr="00E14102" w:rsidRDefault="00265F21" w:rsidP="00E14102">
      <w:pPr>
        <w:jc w:val="both"/>
        <w:rPr>
          <w:color w:val="000000" w:themeColor="text1"/>
          <w:sz w:val="16"/>
          <w:szCs w:val="16"/>
        </w:rPr>
      </w:pPr>
      <w:r w:rsidRPr="00E14102">
        <w:rPr>
          <w:color w:val="000000" w:themeColor="text1"/>
          <w:sz w:val="16"/>
          <w:szCs w:val="16"/>
        </w:rPr>
        <w:t>3* З-д Электросталь расположен в г. Электросталь Московской области.</w:t>
      </w:r>
    </w:p>
    <w:p w14:paraId="46EF31BB" w14:textId="77777777" w:rsidR="00265F21" w:rsidRPr="00E14102" w:rsidRDefault="00265F21" w:rsidP="00E14102">
      <w:pPr>
        <w:jc w:val="both"/>
        <w:rPr>
          <w:color w:val="000000" w:themeColor="text1"/>
          <w:sz w:val="16"/>
          <w:szCs w:val="16"/>
        </w:rPr>
      </w:pPr>
      <w:r w:rsidRPr="00E14102">
        <w:rPr>
          <w:color w:val="000000" w:themeColor="text1"/>
          <w:sz w:val="16"/>
          <w:szCs w:val="16"/>
        </w:rPr>
        <w:t>4* Высшие академические курсы.</w:t>
      </w:r>
    </w:p>
    <w:p w14:paraId="6153AD38" w14:textId="77777777" w:rsidR="00265F21" w:rsidRPr="00E14102" w:rsidRDefault="00265F21" w:rsidP="00E14102">
      <w:pPr>
        <w:jc w:val="both"/>
        <w:rPr>
          <w:color w:val="000000" w:themeColor="text1"/>
          <w:sz w:val="16"/>
          <w:szCs w:val="16"/>
        </w:rPr>
      </w:pPr>
      <w:r w:rsidRPr="00E14102">
        <w:rPr>
          <w:color w:val="000000" w:themeColor="text1"/>
          <w:sz w:val="16"/>
          <w:szCs w:val="16"/>
        </w:rPr>
        <w:t>5* Днепропетровский завод металлургического оборудования.</w:t>
      </w:r>
    </w:p>
    <w:p w14:paraId="622938D3" w14:textId="77777777" w:rsidR="00265F21" w:rsidRPr="00E14102" w:rsidRDefault="00265F21" w:rsidP="00E14102">
      <w:pPr>
        <w:jc w:val="both"/>
        <w:rPr>
          <w:color w:val="000000" w:themeColor="text1"/>
          <w:sz w:val="16"/>
          <w:szCs w:val="16"/>
        </w:rPr>
      </w:pPr>
      <w:r w:rsidRPr="00E14102">
        <w:rPr>
          <w:color w:val="000000" w:themeColor="text1"/>
          <w:sz w:val="16"/>
          <w:szCs w:val="16"/>
        </w:rPr>
        <w:t>РГАЭ. Ф. 4086. Оп. 6. Д. 83. Л. 5 и об. Копия.</w:t>
      </w:r>
    </w:p>
    <w:p w14:paraId="6275DDAD" w14:textId="77777777" w:rsidR="00265F21" w:rsidRPr="00E14102" w:rsidRDefault="00265F21" w:rsidP="00E14102">
      <w:pPr>
        <w:jc w:val="both"/>
        <w:rPr>
          <w:color w:val="000000" w:themeColor="text1"/>
          <w:sz w:val="16"/>
          <w:szCs w:val="16"/>
        </w:rPr>
      </w:pPr>
      <w:r w:rsidRPr="00E14102">
        <w:rPr>
          <w:color w:val="000000" w:themeColor="text1"/>
          <w:sz w:val="16"/>
          <w:szCs w:val="16"/>
        </w:rPr>
        <w:t xml:space="preserve">Архив: РГАЭ. Ф. 4086. Оп. 6. Д. 83. Л. 5 и об. Копия. </w:t>
      </w:r>
    </w:p>
    <w:p w14:paraId="5EC62CAF" w14:textId="77777777" w:rsidR="00265F21" w:rsidRPr="00E14102" w:rsidRDefault="00265F21" w:rsidP="00E14102">
      <w:pPr>
        <w:jc w:val="both"/>
        <w:rPr>
          <w:color w:val="000000" w:themeColor="text1"/>
          <w:sz w:val="16"/>
          <w:szCs w:val="16"/>
        </w:rPr>
      </w:pPr>
      <w:r w:rsidRPr="00E14102">
        <w:rPr>
          <w:color w:val="000000" w:themeColor="text1"/>
          <w:sz w:val="16"/>
          <w:szCs w:val="16"/>
        </w:rPr>
        <w:t>Источник: Индустриализация Советского Союза. Новые документы. Новые факты. Новые подходы. Институт российской истории РАН, М. 1999. Ч. II. стр. 117-122 (12578).</w:t>
      </w:r>
    </w:p>
    <w:p w14:paraId="73AD128F" w14:textId="77777777" w:rsidR="00265F21" w:rsidRPr="00E14102" w:rsidRDefault="00265F21" w:rsidP="00E14102">
      <w:pPr>
        <w:jc w:val="both"/>
        <w:rPr>
          <w:color w:val="000000" w:themeColor="text1"/>
          <w:sz w:val="16"/>
          <w:szCs w:val="16"/>
        </w:rPr>
      </w:pPr>
    </w:p>
    <w:p w14:paraId="51ADE1BF" w14:textId="77777777" w:rsidR="00CE5061" w:rsidRPr="00E14102" w:rsidRDefault="00CE5061" w:rsidP="00E14102">
      <w:pPr>
        <w:jc w:val="both"/>
        <w:rPr>
          <w:color w:val="000000" w:themeColor="text1"/>
          <w:sz w:val="16"/>
          <w:szCs w:val="16"/>
        </w:rPr>
      </w:pPr>
      <w:r w:rsidRPr="00E14102">
        <w:rPr>
          <w:color w:val="000000" w:themeColor="text1"/>
          <w:sz w:val="16"/>
          <w:szCs w:val="16"/>
        </w:rPr>
        <w:t>1 августа 1935 г.</w:t>
      </w:r>
    </w:p>
    <w:p w14:paraId="16BA4883" w14:textId="77777777" w:rsidR="00CE5061" w:rsidRPr="00E14102" w:rsidRDefault="00CE5061" w:rsidP="00E14102">
      <w:pPr>
        <w:jc w:val="both"/>
        <w:rPr>
          <w:color w:val="000000" w:themeColor="text1"/>
          <w:sz w:val="16"/>
          <w:szCs w:val="16"/>
        </w:rPr>
      </w:pPr>
      <w:r w:rsidRPr="00E14102">
        <w:rPr>
          <w:color w:val="000000" w:themeColor="text1"/>
          <w:sz w:val="16"/>
          <w:szCs w:val="16"/>
        </w:rPr>
        <w:t>О закупках оборудования для ЗИСа и ГАЗа в США</w:t>
      </w:r>
    </w:p>
    <w:p w14:paraId="037C8131" w14:textId="77777777" w:rsidR="00CE5061" w:rsidRPr="00E14102" w:rsidRDefault="00CE5061" w:rsidP="00E14102">
      <w:pPr>
        <w:jc w:val="both"/>
        <w:rPr>
          <w:color w:val="000000" w:themeColor="text1"/>
          <w:sz w:val="16"/>
          <w:szCs w:val="16"/>
        </w:rPr>
      </w:pPr>
      <w:r w:rsidRPr="00E14102">
        <w:rPr>
          <w:color w:val="000000" w:themeColor="text1"/>
          <w:sz w:val="16"/>
          <w:szCs w:val="16"/>
        </w:rPr>
        <w:t>Дорогой Аркадий Павлович!</w:t>
      </w:r>
    </w:p>
    <w:p w14:paraId="5A74DFBC" w14:textId="77777777" w:rsidR="00CE5061" w:rsidRPr="00E14102" w:rsidRDefault="00CE5061" w:rsidP="00E14102">
      <w:pPr>
        <w:jc w:val="both"/>
        <w:rPr>
          <w:color w:val="000000" w:themeColor="text1"/>
          <w:sz w:val="16"/>
          <w:szCs w:val="16"/>
        </w:rPr>
      </w:pPr>
      <w:r w:rsidRPr="00E14102">
        <w:rPr>
          <w:color w:val="000000" w:themeColor="text1"/>
          <w:sz w:val="16"/>
          <w:szCs w:val="16"/>
        </w:rPr>
        <w:t>Работа по техническому уточнению спецификаций в комиссиях ЗИС и ГАЗ подходит к концу: у ЗИС практически закончилась, у ГАЗ из 7 млн долл. остается еще не уточненных 1,8 млн [долл.], которые будут уточнены в ближайшие дни.</w:t>
      </w:r>
    </w:p>
    <w:p w14:paraId="50B80C35" w14:textId="77777777" w:rsidR="00CE5061" w:rsidRPr="00E14102" w:rsidRDefault="00CE5061" w:rsidP="00E14102">
      <w:pPr>
        <w:jc w:val="both"/>
        <w:rPr>
          <w:color w:val="000000" w:themeColor="text1"/>
          <w:sz w:val="16"/>
          <w:szCs w:val="16"/>
        </w:rPr>
      </w:pPr>
      <w:r w:rsidRPr="00E14102">
        <w:rPr>
          <w:color w:val="000000" w:themeColor="text1"/>
          <w:sz w:val="16"/>
          <w:szCs w:val="16"/>
        </w:rPr>
        <w:t>С основными фирмами мы договорились, за исключением "Бул-ларда". По примерным подсчетам, весьма грубым и осторожным, можно считать, что уторгования обеспечивают нам 4-5% удешевления с прошлых цен. Это значит - заработанная экономия 500-600 тыс. долл. При отъезде я называл тебе эту цифру. Она могла бы быть больше, если бы не крайне сжатые сроки размещения заказов и совершенно неудачное время с точки зрения конъюнктуры.</w:t>
      </w:r>
    </w:p>
    <w:p w14:paraId="3FB93016" w14:textId="77777777" w:rsidR="00CE5061" w:rsidRPr="00E14102" w:rsidRDefault="00CE5061" w:rsidP="00E14102">
      <w:pPr>
        <w:jc w:val="both"/>
        <w:rPr>
          <w:color w:val="000000" w:themeColor="text1"/>
          <w:sz w:val="16"/>
          <w:szCs w:val="16"/>
        </w:rPr>
      </w:pPr>
      <w:r w:rsidRPr="00E14102">
        <w:rPr>
          <w:color w:val="000000" w:themeColor="text1"/>
          <w:sz w:val="16"/>
          <w:szCs w:val="16"/>
        </w:rPr>
        <w:t>Остается неуторгованной фирма "Буллард" (1 млн долл.), которая требует повышение на 20% и ни на какие уступки до сего времени не пошла. Думаем сейчас сломить ее упорство покупкой нескольких подержанных станков.</w:t>
      </w:r>
    </w:p>
    <w:p w14:paraId="3E7685DF" w14:textId="77777777" w:rsidR="00CE5061" w:rsidRPr="00E14102" w:rsidRDefault="00CE5061" w:rsidP="00E14102">
      <w:pPr>
        <w:jc w:val="both"/>
        <w:rPr>
          <w:color w:val="000000" w:themeColor="text1"/>
          <w:sz w:val="16"/>
          <w:szCs w:val="16"/>
        </w:rPr>
      </w:pPr>
      <w:r w:rsidRPr="00E14102">
        <w:rPr>
          <w:color w:val="000000" w:themeColor="text1"/>
          <w:sz w:val="16"/>
          <w:szCs w:val="16"/>
        </w:rPr>
        <w:t>На 1 августа Амторг разместил заказов примерно на 6 млн долл., т.е. 50%. Остальные должны быть размещены до 20 августа - 1 сентября. Люди работают очень много. Жара стоит несносная, но и т. Боев и общественность и все мы бьем в одну точку, уверен, что разместим все основное до 1 сентября, самое позднее.</w:t>
      </w:r>
    </w:p>
    <w:p w14:paraId="63FA9998" w14:textId="77777777" w:rsidR="00CE5061" w:rsidRPr="00E14102" w:rsidRDefault="00CE5061" w:rsidP="00E14102">
      <w:pPr>
        <w:jc w:val="both"/>
        <w:rPr>
          <w:color w:val="000000" w:themeColor="text1"/>
          <w:sz w:val="16"/>
          <w:szCs w:val="16"/>
        </w:rPr>
      </w:pPr>
      <w:r w:rsidRPr="00E14102">
        <w:rPr>
          <w:color w:val="000000" w:themeColor="text1"/>
          <w:sz w:val="16"/>
          <w:szCs w:val="16"/>
        </w:rPr>
        <w:t>Необходимо срочно прислать подкрепление, ЗИСу - 10 человек, ГАЗу - 15 человек для приемки оборудования. С наличным составом комиссии с приемкой оборудования ни в каком случае не справиться. Учти, надо принять свыше 1,5 тыс. станков, кроме того, прессы, молоты, литейное оборудование и т.п.; и подавляющую часть оборудования, помимо всего, надо принять на ходу при выполнении определенных технологических операций. Работа по приемке колоссальная, а людей с гулькин нос. Пожалуйста, помоги решить вопрос о присылке дополнительного количества людей по ЗИСу и ГАЗу для приемки.</w:t>
      </w:r>
    </w:p>
    <w:p w14:paraId="1FE35767" w14:textId="77777777" w:rsidR="00CE5061" w:rsidRPr="00E14102" w:rsidRDefault="00CE5061" w:rsidP="00E14102">
      <w:pPr>
        <w:jc w:val="both"/>
        <w:rPr>
          <w:color w:val="000000" w:themeColor="text1"/>
          <w:sz w:val="16"/>
          <w:szCs w:val="16"/>
        </w:rPr>
      </w:pPr>
      <w:r w:rsidRPr="00E14102">
        <w:rPr>
          <w:color w:val="000000" w:themeColor="text1"/>
          <w:sz w:val="16"/>
          <w:szCs w:val="16"/>
        </w:rPr>
        <w:t>Свою работу по ЗИСу и ГАЗу я заканчиваю здесь примерно недели через две. Хочу посетить ряд заводов, а затем в 20-х числах августа намерен отправиться обратно. Привезу материалы по нефтекрегингам, которые здесь подрабатываются. Тов. Орджоникидзе о ходе дел мною информируется.</w:t>
      </w:r>
    </w:p>
    <w:p w14:paraId="6F9CD592" w14:textId="77777777" w:rsidR="00CE5061" w:rsidRPr="00E14102" w:rsidRDefault="00CE5061" w:rsidP="00E14102">
      <w:pPr>
        <w:jc w:val="both"/>
        <w:rPr>
          <w:color w:val="000000" w:themeColor="text1"/>
          <w:sz w:val="16"/>
          <w:szCs w:val="16"/>
        </w:rPr>
      </w:pPr>
      <w:r w:rsidRPr="00E14102">
        <w:rPr>
          <w:color w:val="000000" w:themeColor="text1"/>
          <w:sz w:val="16"/>
          <w:szCs w:val="16"/>
        </w:rPr>
        <w:t>С товарищеским приветом Сорокин P.S. Получил твою записку. Спасибо за привет. РГАЭ. Ф. 413. On. 13. Д. 1046. Л. 12-13. Подлинник (18282).</w:t>
      </w:r>
    </w:p>
    <w:p w14:paraId="6EBA22FE" w14:textId="77777777" w:rsidR="00CE5061" w:rsidRPr="00E14102" w:rsidRDefault="00CE5061" w:rsidP="00E14102">
      <w:pPr>
        <w:jc w:val="both"/>
        <w:rPr>
          <w:color w:val="000000" w:themeColor="text1"/>
          <w:sz w:val="16"/>
          <w:szCs w:val="16"/>
        </w:rPr>
      </w:pPr>
    </w:p>
    <w:p w14:paraId="75DD6C4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A8F98F7" w14:textId="77777777" w:rsidR="00D4105E" w:rsidRPr="00E14102" w:rsidRDefault="00D4105E" w:rsidP="00E14102">
      <w:pPr>
        <w:autoSpaceDE w:val="0"/>
        <w:autoSpaceDN w:val="0"/>
        <w:adjustRightInd w:val="0"/>
        <w:jc w:val="both"/>
        <w:rPr>
          <w:iCs/>
          <w:color w:val="000000" w:themeColor="text1"/>
          <w:sz w:val="16"/>
          <w:szCs w:val="16"/>
        </w:rPr>
      </w:pPr>
    </w:p>
    <w:p w14:paraId="01EC05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появился приказ НКВД № 241 “О зачете рабочих дней заключенным лагерей и мест заключения НКВД”:</w:t>
      </w:r>
    </w:p>
    <w:p w14:paraId="56AE6E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“Зачет рабочих дней является одной из основных форм досрочного освобождения заключенных из лагерей, тюрем и колоний НКВД и высшей формой поощрения для заключенных.</w:t>
      </w:r>
    </w:p>
    <w:p w14:paraId="7CD63D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Зачет рабочих дней применяется только к заключенным, которые:</w:t>
      </w:r>
    </w:p>
    <w:p w14:paraId="41F8A4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выполняют и перевыполняют установленные в лагерях и местах заключения трудовые и производственные нормы при высоком качестве работы;</w:t>
      </w:r>
    </w:p>
    <w:p w14:paraId="7AC324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соблюдают все требования трудовой дисциплины и правил внутреннего распорядка, установленные в лагерях и местах заключения (7560).</w:t>
      </w:r>
    </w:p>
    <w:p w14:paraId="2B5CA4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этом, чем больше перевыполняются нормы, чем выше качество выполняемых работ и чем лучше поведение - тем больше заключенный получает зачет рабочих дней.</w:t>
      </w:r>
    </w:p>
    <w:p w14:paraId="1C303B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Ударникам - ударный зачет рабочих дней (7560).</w:t>
      </w:r>
    </w:p>
    <w:p w14:paraId="016DD6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Лодырям, отказчикам, симулянтам, лагерным ворам и всем лицам, нарушающим режим и порядки в лагерях, колониях и тюрьмах - зачет рабочих дней ни в коем случае не производится (7560).</w:t>
      </w:r>
    </w:p>
    <w:p w14:paraId="6DCEB6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должен помнить каждый начальник в лагере, колонии и тюрьме (7560).</w:t>
      </w:r>
    </w:p>
    <w:p w14:paraId="2E44BC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 этом должен знать каждый заключенный.. (7560).</w:t>
      </w:r>
    </w:p>
    <w:p w14:paraId="1E0C42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Разъяснить всем заключенным, что за ударную работу и образцовое поведение к ним будут применяться наиболее высокие нормы зачета рабочих дней, а именно:</w:t>
      </w:r>
    </w:p>
    <w:p w14:paraId="575708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колониях - за 3 дня работы - 4 дня срока, т. е. при отбытии годичного календарного срока фактически отбытый срок будет считаться: 1 год и 4 месяца. В колониях, занятых на работах союзного значения, зачет применяется наравне с лагерями (7560).</w:t>
      </w:r>
    </w:p>
    <w:p w14:paraId="40E2F3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лагерях - за 2 дня работы - 3 дня срока, т. е. при отбытии одного года календарного срока фактически отбытый срок будет считаться 1,5 года (7560).</w:t>
      </w:r>
    </w:p>
    <w:p w14:paraId="5DB101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лагерях, особо отдаленных, находящихся в тяжелых природных и климатических условиях, ведущих строительство государственного значения (Бамлаг, Севвостлаг, Вайгач, отдельные подразделения Дальлага и Ухты) применяется сверх ударный зачет, за 1 работы - 2 дня срока, что сокращает срок наполовину, т. е. за один календарный год считается два года.. (7560).</w:t>
      </w:r>
    </w:p>
    <w:p w14:paraId="6A9944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 вывесить во всех бараках, общежитиях, клубах и красных уголках лагерей и исправтрудколоний НКВД” (7560).</w:t>
      </w:r>
    </w:p>
    <w:p w14:paraId="14DC2A43" w14:textId="77777777" w:rsidR="00D4105E" w:rsidRPr="00E14102" w:rsidRDefault="00D4105E" w:rsidP="00E14102">
      <w:pPr>
        <w:autoSpaceDE w:val="0"/>
        <w:autoSpaceDN w:val="0"/>
        <w:adjustRightInd w:val="0"/>
        <w:jc w:val="both"/>
        <w:rPr>
          <w:color w:val="000000" w:themeColor="text1"/>
          <w:sz w:val="16"/>
          <w:szCs w:val="16"/>
        </w:rPr>
      </w:pPr>
    </w:p>
    <w:p w14:paraId="5D4E0C1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6333164" w14:textId="77777777" w:rsidR="00D4105E" w:rsidRPr="00E14102" w:rsidRDefault="00D4105E" w:rsidP="00E14102">
      <w:pPr>
        <w:autoSpaceDE w:val="0"/>
        <w:autoSpaceDN w:val="0"/>
        <w:adjustRightInd w:val="0"/>
        <w:jc w:val="both"/>
        <w:rPr>
          <w:iCs/>
          <w:color w:val="000000" w:themeColor="text1"/>
          <w:sz w:val="16"/>
          <w:szCs w:val="16"/>
        </w:rPr>
      </w:pPr>
    </w:p>
    <w:p w14:paraId="44FA8B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 Начались регулярные передачи из студии МРТУ (после временного прекращения передач из студии с февраля 1935 г.) (11482).</w:t>
      </w:r>
    </w:p>
    <w:p w14:paraId="5AB4E3EF" w14:textId="77777777" w:rsidR="00D4105E" w:rsidRPr="00E14102" w:rsidRDefault="00D4105E" w:rsidP="00E14102">
      <w:pPr>
        <w:autoSpaceDE w:val="0"/>
        <w:autoSpaceDN w:val="0"/>
        <w:adjustRightInd w:val="0"/>
        <w:jc w:val="both"/>
        <w:rPr>
          <w:color w:val="000000" w:themeColor="text1"/>
          <w:sz w:val="16"/>
          <w:szCs w:val="16"/>
        </w:rPr>
      </w:pPr>
    </w:p>
    <w:p w14:paraId="689937D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9002226" w14:textId="77777777" w:rsidR="00D4105E" w:rsidRPr="00E14102" w:rsidRDefault="00D4105E" w:rsidP="00E14102">
      <w:pPr>
        <w:autoSpaceDE w:val="0"/>
        <w:autoSpaceDN w:val="0"/>
        <w:adjustRightInd w:val="0"/>
        <w:jc w:val="both"/>
        <w:rPr>
          <w:iCs/>
          <w:color w:val="000000" w:themeColor="text1"/>
          <w:sz w:val="16"/>
          <w:szCs w:val="16"/>
        </w:rPr>
      </w:pPr>
    </w:p>
    <w:p w14:paraId="752AEC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ЦК КПК Китая и ЦИК Китайской советской республики выпустили обращение к китайскому народу и партиям с предложением, создать правительство национальной обороны и объединенную антияпонскую армию защиты родины (3878,3).</w:t>
      </w:r>
    </w:p>
    <w:p w14:paraId="0AD26FF1" w14:textId="77777777" w:rsidR="00D4105E" w:rsidRPr="00E14102" w:rsidRDefault="00D4105E" w:rsidP="00E14102">
      <w:pPr>
        <w:autoSpaceDE w:val="0"/>
        <w:autoSpaceDN w:val="0"/>
        <w:adjustRightInd w:val="0"/>
        <w:jc w:val="both"/>
        <w:rPr>
          <w:color w:val="000000" w:themeColor="text1"/>
          <w:sz w:val="16"/>
          <w:szCs w:val="16"/>
        </w:rPr>
      </w:pPr>
    </w:p>
    <w:p w14:paraId="461D35B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9A253B1" w14:textId="77777777" w:rsidR="00D4105E" w:rsidRPr="00E14102" w:rsidRDefault="00D4105E" w:rsidP="00E14102">
      <w:pPr>
        <w:autoSpaceDE w:val="0"/>
        <w:autoSpaceDN w:val="0"/>
        <w:adjustRightInd w:val="0"/>
        <w:jc w:val="both"/>
        <w:rPr>
          <w:iCs/>
          <w:color w:val="000000" w:themeColor="text1"/>
          <w:sz w:val="16"/>
          <w:szCs w:val="16"/>
        </w:rPr>
      </w:pPr>
    </w:p>
    <w:p w14:paraId="13719F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августа 1935 началась постройка АНТ-37бис (514).</w:t>
      </w:r>
    </w:p>
    <w:p w14:paraId="09035798" w14:textId="77777777" w:rsidR="00D4105E" w:rsidRPr="00E14102" w:rsidRDefault="00D4105E" w:rsidP="00E14102">
      <w:pPr>
        <w:autoSpaceDE w:val="0"/>
        <w:autoSpaceDN w:val="0"/>
        <w:adjustRightInd w:val="0"/>
        <w:jc w:val="both"/>
        <w:rPr>
          <w:color w:val="000000" w:themeColor="text1"/>
          <w:sz w:val="16"/>
          <w:szCs w:val="16"/>
        </w:rPr>
      </w:pPr>
    </w:p>
    <w:p w14:paraId="3AD0A169" w14:textId="77777777" w:rsidR="002976F3" w:rsidRPr="00E14102" w:rsidRDefault="002976F3" w:rsidP="00E14102">
      <w:pPr>
        <w:jc w:val="both"/>
        <w:rPr>
          <w:color w:val="0070C0"/>
          <w:sz w:val="16"/>
          <w:szCs w:val="16"/>
        </w:rPr>
      </w:pPr>
      <w:r w:rsidRPr="00E14102">
        <w:rPr>
          <w:color w:val="0070C0"/>
          <w:sz w:val="16"/>
          <w:szCs w:val="16"/>
        </w:rPr>
        <w:t>2 августа 1935 г. был открыт заказ на постройку второго опытного самолета АНТ-37, который получил обозначение ДБ-2бис (АНТ-37бис). Его постройка не остановилась несмотря на катастрофу первого АНТ-37 20 августа 1935 первый АНТ-37, который разрушился в воздухе из-за вибраций хвостового оперения и фюзе</w:t>
      </w:r>
      <w:r w:rsidRPr="00E14102">
        <w:rPr>
          <w:color w:val="0070C0"/>
          <w:sz w:val="16"/>
          <w:szCs w:val="16"/>
        </w:rPr>
        <w:softHyphen/>
        <w:t>ляжа. В процессе постройки конструкторы постепенно отказывались от использова</w:t>
      </w:r>
      <w:r w:rsidRPr="00E14102">
        <w:rPr>
          <w:color w:val="0070C0"/>
          <w:sz w:val="16"/>
          <w:szCs w:val="16"/>
        </w:rPr>
        <w:softHyphen/>
        <w:t>ния агрегатов военного варианта АНТ-25 или применяли их с очень значительными изменениями. В переписке, касающейся АНТ-37, указывалось: «Опыт с этой ма</w:t>
      </w:r>
      <w:r w:rsidRPr="00E14102">
        <w:rPr>
          <w:color w:val="0070C0"/>
          <w:sz w:val="16"/>
          <w:szCs w:val="16"/>
        </w:rPr>
        <w:softHyphen/>
        <w:t>шиной показал, что к использованию отдельных частей одних машин, при по</w:t>
      </w:r>
      <w:r w:rsidRPr="00E14102">
        <w:rPr>
          <w:color w:val="0070C0"/>
          <w:sz w:val="16"/>
          <w:szCs w:val="16"/>
        </w:rPr>
        <w:softHyphen/>
        <w:t>стройке других, надо относиться особен</w:t>
      </w:r>
      <w:r w:rsidRPr="00E14102">
        <w:rPr>
          <w:color w:val="0070C0"/>
          <w:sz w:val="16"/>
          <w:szCs w:val="16"/>
        </w:rPr>
        <w:softHyphen/>
        <w:t>но осторожно: переделки по приспособ</w:t>
      </w:r>
      <w:r w:rsidRPr="00E14102">
        <w:rPr>
          <w:color w:val="0070C0"/>
          <w:sz w:val="16"/>
          <w:szCs w:val="16"/>
        </w:rPr>
        <w:softHyphen/>
        <w:t>лению старых вариантов частей самоле</w:t>
      </w:r>
      <w:r w:rsidRPr="00E14102">
        <w:rPr>
          <w:color w:val="0070C0"/>
          <w:sz w:val="16"/>
          <w:szCs w:val="16"/>
        </w:rPr>
        <w:softHyphen/>
        <w:t>та к новым вариантам чрезвычайно трудны и редко бывают удачными. Это срывает плановые сроки и удорожает стоимость во всех случаях замены непод</w:t>
      </w:r>
      <w:r w:rsidRPr="00E14102">
        <w:rPr>
          <w:color w:val="0070C0"/>
          <w:sz w:val="16"/>
          <w:szCs w:val="16"/>
        </w:rPr>
        <w:softHyphen/>
        <w:t>ходящих агрегатов старых машин новыми агрегатами. Например, машина 37 бис без использования старых частей будет сделана быстрее и дешевле».</w:t>
      </w:r>
    </w:p>
    <w:p w14:paraId="70CD18AD" w14:textId="77777777" w:rsidR="002976F3" w:rsidRPr="00E14102" w:rsidRDefault="002976F3" w:rsidP="00E14102">
      <w:pPr>
        <w:jc w:val="both"/>
        <w:rPr>
          <w:color w:val="0070C0"/>
          <w:sz w:val="16"/>
          <w:szCs w:val="16"/>
        </w:rPr>
      </w:pPr>
      <w:r w:rsidRPr="00E14102">
        <w:rPr>
          <w:color w:val="0070C0"/>
          <w:sz w:val="16"/>
          <w:szCs w:val="16"/>
        </w:rPr>
        <w:t>Но только год спустя, 27 июля 1936 г., нарком тяжелой промышленности Г.К. Орджони</w:t>
      </w:r>
      <w:r w:rsidRPr="00E14102">
        <w:rPr>
          <w:color w:val="0070C0"/>
          <w:sz w:val="16"/>
          <w:szCs w:val="16"/>
        </w:rPr>
        <w:softHyphen/>
        <w:t>кидзе задним числом дал согласие на включение АНТ-37бис в план строительст</w:t>
      </w:r>
      <w:r w:rsidRPr="00E14102">
        <w:rPr>
          <w:color w:val="0070C0"/>
          <w:sz w:val="16"/>
          <w:szCs w:val="16"/>
        </w:rPr>
        <w:softHyphen/>
        <w:t>ва взамен погибшего самолета (22285).</w:t>
      </w:r>
    </w:p>
    <w:p w14:paraId="07389565" w14:textId="77777777" w:rsidR="002976F3" w:rsidRPr="00E14102" w:rsidRDefault="002976F3" w:rsidP="00E14102">
      <w:pPr>
        <w:jc w:val="both"/>
        <w:rPr>
          <w:color w:val="0070C0"/>
          <w:sz w:val="16"/>
          <w:szCs w:val="16"/>
        </w:rPr>
      </w:pPr>
    </w:p>
    <w:p w14:paraId="604414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августа 1935 г. открыли заказ на ДБ-2бис (АНТ-37бис), также называемый "Дублер". Почти год спустя, 27 июля 1936 г., заместитель председателя СНК СССР Г.К. Орджоникидзе задним числом дал согласие на включение АНТ-37бис в план строительства взамен погибшего самолета. Первоначально в АНТ-37 пытались использовать конструктивные элементы одномоторного АНТ-25. В частности, при постройке первого опытного экземпляра в их число входили отдельные агрегаты военного варианта АНТ-25 (ДБ-1) - центроплан, хвостовая часть фюзеляжа, шасси, лонжероны отъемов крыла и т.д. Но уже в процессе постройки конструкторы постепенно отказывались от использования этих агрегатов или использовали их с очень значительными изменениями. В переписке, касающейся АНТ-37, указывалось: "Опыт с этой машиной показал, что к использованию отдельных частей одних машин, при постройке других, надо относиться особенно осторожно: переделки по приспособлению старых вариантов частей самолета к новым вариантам чрезвычайно трудны и редко бывают удачными. Это срывает плановые сроки и удорожает стоимость во всех случаях замены неподходящих агрегатов старых машин новыми агрегатами. Например, машина 37 бис без использования старых частей будет сделана быстрее и дешевле" (11945).</w:t>
      </w:r>
    </w:p>
    <w:p w14:paraId="2ED32168" w14:textId="77777777" w:rsidR="00D4105E" w:rsidRPr="00E14102" w:rsidRDefault="00D4105E" w:rsidP="00E14102">
      <w:pPr>
        <w:autoSpaceDE w:val="0"/>
        <w:autoSpaceDN w:val="0"/>
        <w:adjustRightInd w:val="0"/>
        <w:jc w:val="both"/>
        <w:rPr>
          <w:color w:val="000000" w:themeColor="text1"/>
          <w:sz w:val="16"/>
          <w:szCs w:val="16"/>
        </w:rPr>
      </w:pPr>
    </w:p>
    <w:p w14:paraId="74B56161" w14:textId="77777777" w:rsidR="00647F1E" w:rsidRPr="00E14102" w:rsidRDefault="00647F1E" w:rsidP="00E14102">
      <w:pPr>
        <w:jc w:val="both"/>
        <w:rPr>
          <w:color w:val="000000" w:themeColor="text1"/>
          <w:sz w:val="16"/>
          <w:szCs w:val="16"/>
        </w:rPr>
      </w:pPr>
      <w:r w:rsidRPr="00E14102">
        <w:rPr>
          <w:color w:val="000000" w:themeColor="text1"/>
          <w:sz w:val="16"/>
          <w:szCs w:val="16"/>
        </w:rPr>
        <w:t>2 августа 1935 г. госиспытания М-25 завершилась успешно (12261).</w:t>
      </w:r>
    </w:p>
    <w:p w14:paraId="6D65B4D4" w14:textId="77777777" w:rsidR="00647F1E" w:rsidRPr="00E14102" w:rsidRDefault="00647F1E" w:rsidP="00E14102">
      <w:pPr>
        <w:jc w:val="both"/>
        <w:rPr>
          <w:color w:val="000000" w:themeColor="text1"/>
          <w:sz w:val="16"/>
          <w:szCs w:val="16"/>
        </w:rPr>
      </w:pPr>
    </w:p>
    <w:p w14:paraId="71D72D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августа 1935 поступила телеграмма следующего содержания:</w:t>
      </w:r>
    </w:p>
    <w:p w14:paraId="66EA94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"Диксон. Командиру Н26 Алексееву, Н10 Молокову.</w:t>
      </w:r>
    </w:p>
    <w:p w14:paraId="504AA4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Леваневский вскоре вылетает. Предлагаю впредь до распоряжения прекратить все полеты. Привести самолеты в полную боевую готовность к немедленному вылету по маршруту Диксон - бухта Тихая. В случае вынужденной посадки Леваневского руководство спасательными операциями кораблей и самолетов возлагается на Алексеева.</w:t>
      </w:r>
    </w:p>
    <w:p w14:paraId="5A865D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Шмидт, Шевелев".</w:t>
      </w:r>
    </w:p>
    <w:p w14:paraId="6FD0F6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Телеграммы подобного содержания отправили командирам ледоколов "Ермак" и "Красин", в готовности предстояло быть и авиазвену, расположенному на Чукотке. В телеграмме командиром СССР-НЮ ошибочно указали Молокова, но не это было главное. В навигацию 1935 г. командиром отряда назначили В.М.Махоткина, между ним и Алексеевым отношения, мягко говоря, не складывались, оба пилота очень критично оценивали друг друга, особенно по части летного мастерства. А тут телеграмма. И не поймешь, кто командир, а кто подчиненный.</w:t>
      </w:r>
    </w:p>
    <w:p w14:paraId="3E94FC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результате, уже на следующий день Махоткин на Н10 вылетел в западном направлении. О том, что перелет Леваневского отложен, стало известно лишь через несколько дней. Путь был неблизкий, добрались с приключениями - сдал один мотор. В Мурманск прибыли 12 августа, когда о несостоявшемся перелете Леваневского в США уже перестали писать газеты. Из Москвы заказали новый М-17, который прибыл по железной дороге 27 августа. Для его установки использовали плавучий кран грузоподъемностью 40 тонн с неподвижной стрелой. В своем отчете Махоткин писал об этой операции: "Эта махина хорошо бы поднимала паровозы, а мотор ставить было неловко. (...) Пришлось подгонять самолет к висячему мотору".</w:t>
      </w:r>
    </w:p>
    <w:p w14:paraId="74A9B1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Через три дня после установки этого мотора вылетели на Диксон. Там продолжили выполнение заданий по ледовой разведке.</w:t>
      </w:r>
    </w:p>
    <w:p w14:paraId="2CF8FA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сентября экипаж выполнил транспортный рейс в Норильск. На обратном пути с пассажиром на борту, на высоте 150-200 метров вдруг началась тряска, сначала весьма незначительная. Махоткин, манипулируя РУДами, определил, что неисправен задний мотор, который, впрочем, вскоре после этого остановился сам. Самолет как раз проходил над озером, и летчик пошел на посадку. Осмотр мотора показал, что сломан вал и пробит картер.</w:t>
      </w:r>
    </w:p>
    <w:p w14:paraId="669E0B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 командира самолета начал мучить вопрос - зачем сел? Вспомнилось, что похожий случай был у М.И.Козлова над тайгой, и он на одном моторе дотянул до Енисея. Дотянуть можно было и в этом случае. До Дудинки было примерно 70 км, до Норильска - 40 км.</w:t>
      </w:r>
    </w:p>
    <w:p w14:paraId="582690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Правда, сейчас ситуация была несколько иной: мотор встал, внизу озеро, кругом тундра, высота 100 метров - инстинкт заставил сесть.</w:t>
      </w:r>
    </w:p>
    <w:p w14:paraId="5A76F5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тем, дело было сделано, а нового мотора в эту навигацию ждать уже не приходилось. Оставаться на зимовку не хотелось, поэтому решили попробовать взлететь на одном двигателе. Из машины выгрузили все инструменты и багаж, слили лишнее горючее и масло.</w:t>
      </w:r>
    </w:p>
    <w:p w14:paraId="20A8BA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Сначала Махоткин попытался взлететь один. Самолет начал разбег, но мотор не давал оборотов - падало давление бензина. Летчик, подрулив к берегу, взял на борт бортмеханика Ивашину, который быстро восстановил давление. Снова разбег - лодка вышла на редан, но озеро для взлета оказалось мало, почти круглое, диаметром не более километра. Следующая попытка - то же самое.</w:t>
      </w:r>
    </w:p>
    <w:p w14:paraId="04143E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Тогда Махоткин начал разбег в противоположную сторону, вывел машину на редан, после чего развернулся против ветра и, уже имея значительную скорость, стал разбегаться для взлета. Скорость растет, пилот "подрывает" машину, она снова плюхается, подпрыгивает, и, у самого берега уходит в воздух. Впереди холмы, вверх самолет не идет, поэтому Махоткин "блинчиком" развернулся на 180° и взял курс на Дудинку. На озере остались пассажир и механик Афендульев со всем самолетным имуществом и без грамма продовольствия. Впрочем, в этот же день летчик Липп вывез их с места вынужденной посадки.</w:t>
      </w:r>
    </w:p>
    <w:p w14:paraId="179CFC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сентября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7C8E64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7DB56B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этого экипаж сделал еще два рейса: до Дудинки и в Игарку.</w:t>
      </w:r>
    </w:p>
    <w:p w14:paraId="33EC5F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0E16035D" w14:textId="77777777" w:rsidR="00D4105E" w:rsidRPr="00E14102" w:rsidRDefault="00D4105E" w:rsidP="00E14102">
      <w:pPr>
        <w:autoSpaceDE w:val="0"/>
        <w:autoSpaceDN w:val="0"/>
        <w:adjustRightInd w:val="0"/>
        <w:jc w:val="both"/>
        <w:rPr>
          <w:color w:val="000000" w:themeColor="text1"/>
          <w:sz w:val="16"/>
          <w:szCs w:val="16"/>
        </w:rPr>
      </w:pPr>
    </w:p>
    <w:p w14:paraId="7D8BB8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августа 1935 Г.Б.Пясецкая и А.А.Шишмарева установили новый женский рекорд высотного прыжка, спустившись с 7923 м без КП (438,692).</w:t>
      </w:r>
    </w:p>
    <w:p w14:paraId="743910BA" w14:textId="77777777" w:rsidR="00D4105E" w:rsidRPr="00E14102" w:rsidRDefault="00D4105E" w:rsidP="00E14102">
      <w:pPr>
        <w:autoSpaceDE w:val="0"/>
        <w:autoSpaceDN w:val="0"/>
        <w:adjustRightInd w:val="0"/>
        <w:jc w:val="both"/>
        <w:rPr>
          <w:color w:val="000000" w:themeColor="text1"/>
          <w:sz w:val="16"/>
          <w:szCs w:val="16"/>
        </w:rPr>
      </w:pPr>
    </w:p>
    <w:p w14:paraId="4C4392DA" w14:textId="77777777" w:rsidR="008A0D6C" w:rsidRPr="00E14102" w:rsidRDefault="008A0D6C" w:rsidP="00E14102">
      <w:pPr>
        <w:jc w:val="both"/>
        <w:rPr>
          <w:color w:val="000000" w:themeColor="text1"/>
          <w:sz w:val="16"/>
          <w:szCs w:val="16"/>
        </w:rPr>
      </w:pPr>
      <w:r w:rsidRPr="00E14102">
        <w:rPr>
          <w:color w:val="000000" w:themeColor="text1"/>
          <w:sz w:val="16"/>
          <w:szCs w:val="16"/>
        </w:rPr>
        <w:t>2 августа в 1935 году студентки Государственного центрального института физической культуры (город Москва) Г.Пясецкая и А.Шишмарева установили новый мировой рекорд в прыжках с парашютом — 7923 м (без кислородных приборов). Галина Пясецкая совершила более 100 прыжков, на ее счету 8 рекордов мира. Награждена Большой Золотой медалью Международной авиационной Федерации (14971).</w:t>
      </w:r>
    </w:p>
    <w:p w14:paraId="57658298" w14:textId="77777777" w:rsidR="008A0D6C" w:rsidRPr="00E14102" w:rsidRDefault="008A0D6C" w:rsidP="00E14102">
      <w:pPr>
        <w:jc w:val="both"/>
        <w:rPr>
          <w:color w:val="000000" w:themeColor="text1"/>
          <w:sz w:val="16"/>
          <w:szCs w:val="16"/>
        </w:rPr>
      </w:pPr>
    </w:p>
    <w:p w14:paraId="6C4FF36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239D617" w14:textId="77777777" w:rsidR="00D4105E" w:rsidRPr="00E14102" w:rsidRDefault="00D4105E" w:rsidP="00E14102">
      <w:pPr>
        <w:autoSpaceDE w:val="0"/>
        <w:autoSpaceDN w:val="0"/>
        <w:adjustRightInd w:val="0"/>
        <w:jc w:val="both"/>
        <w:rPr>
          <w:iCs/>
          <w:color w:val="000000" w:themeColor="text1"/>
          <w:sz w:val="16"/>
          <w:szCs w:val="16"/>
        </w:rPr>
      </w:pPr>
    </w:p>
    <w:p w14:paraId="0FD70D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августа 1935 г. при стрельбе новыми снарядами 220/368-мм подкалиберными снарядами чертежей 3217 и 3218 для 356/52-мм пушки была получена средняя дальность 88720 м при угле возвышения около 50. Боковое отклонение при стрельбах составило 100-150 м. Для дальнейшего увеличения дальности стрельбы были начаты работы по уменьшению веса поддона (3861).</w:t>
      </w:r>
    </w:p>
    <w:p w14:paraId="4821ECAA" w14:textId="77777777" w:rsidR="00D4105E" w:rsidRPr="00E14102" w:rsidRDefault="00D4105E" w:rsidP="00E14102">
      <w:pPr>
        <w:autoSpaceDE w:val="0"/>
        <w:autoSpaceDN w:val="0"/>
        <w:adjustRightInd w:val="0"/>
        <w:jc w:val="both"/>
        <w:rPr>
          <w:color w:val="000000" w:themeColor="text1"/>
          <w:sz w:val="16"/>
          <w:szCs w:val="16"/>
        </w:rPr>
      </w:pPr>
    </w:p>
    <w:p w14:paraId="588103C2" w14:textId="77777777" w:rsidR="008A0D6C" w:rsidRPr="00E14102" w:rsidRDefault="008A0D6C" w:rsidP="00E14102">
      <w:pPr>
        <w:pStyle w:val="rtejustify"/>
        <w:spacing w:before="0" w:after="0"/>
        <w:rPr>
          <w:color w:val="000000" w:themeColor="text1"/>
          <w:sz w:val="16"/>
          <w:szCs w:val="16"/>
        </w:rPr>
      </w:pPr>
      <w:r w:rsidRPr="00E14102">
        <w:rPr>
          <w:rStyle w:val="a6"/>
          <w:bCs/>
          <w:i w:val="0"/>
          <w:color w:val="000000" w:themeColor="text1"/>
          <w:sz w:val="16"/>
          <w:szCs w:val="16"/>
        </w:rPr>
        <w:t>2 августа</w:t>
      </w:r>
      <w:r w:rsidRPr="00E14102">
        <w:rPr>
          <w:color w:val="000000" w:themeColor="text1"/>
          <w:sz w:val="16"/>
          <w:szCs w:val="16"/>
        </w:rPr>
        <w:t xml:space="preserve"> 1935. Постановление СТО СССР № С</w:t>
      </w:r>
      <w:r w:rsidRPr="00E14102">
        <w:rPr>
          <w:color w:val="000000" w:themeColor="text1"/>
          <w:sz w:val="16"/>
          <w:szCs w:val="16"/>
        </w:rPr>
        <w:noBreakHyphen/>
        <w:t>93сс «Об утверждении цен на корабли, строящиеся по военно-морской программе 1934</w:t>
      </w:r>
      <w:r w:rsidRPr="00E14102">
        <w:rPr>
          <w:color w:val="000000" w:themeColor="text1"/>
          <w:sz w:val="16"/>
          <w:szCs w:val="16"/>
        </w:rPr>
        <w:noBreakHyphen/>
        <w:t>1935 гг.». (ГА РФ. Ф. Р</w:t>
      </w:r>
      <w:r w:rsidRPr="00E14102">
        <w:rPr>
          <w:color w:val="000000" w:themeColor="text1"/>
          <w:sz w:val="16"/>
          <w:szCs w:val="16"/>
        </w:rPr>
        <w:noBreakHyphen/>
        <w:t>8418. Оп. 28. Д. 7. Л. 55) (15460).</w:t>
      </w:r>
    </w:p>
    <w:p w14:paraId="687A06AF" w14:textId="77777777" w:rsidR="008A0D6C" w:rsidRPr="00E14102" w:rsidRDefault="008A0D6C" w:rsidP="00E14102">
      <w:pPr>
        <w:pStyle w:val="rtejustify"/>
        <w:spacing w:before="0" w:after="0"/>
        <w:rPr>
          <w:color w:val="000000" w:themeColor="text1"/>
          <w:sz w:val="16"/>
          <w:szCs w:val="16"/>
        </w:rPr>
      </w:pPr>
    </w:p>
    <w:p w14:paraId="2C5F6648" w14:textId="77777777" w:rsidR="008A0D6C" w:rsidRPr="00E14102" w:rsidRDefault="008A0D6C" w:rsidP="00E14102">
      <w:pPr>
        <w:pStyle w:val="rtejustify"/>
        <w:spacing w:before="0" w:after="0"/>
        <w:rPr>
          <w:color w:val="000000" w:themeColor="text1"/>
          <w:sz w:val="16"/>
          <w:szCs w:val="16"/>
        </w:rPr>
      </w:pPr>
      <w:r w:rsidRPr="00E14102">
        <w:rPr>
          <w:rStyle w:val="a6"/>
          <w:bCs/>
          <w:i w:val="0"/>
          <w:color w:val="000000" w:themeColor="text1"/>
          <w:sz w:val="16"/>
          <w:szCs w:val="16"/>
        </w:rPr>
        <w:t>2 августа 1935 вышел приказ НКО №</w:t>
      </w:r>
      <w:r w:rsidRPr="00E14102">
        <w:rPr>
          <w:color w:val="000000" w:themeColor="text1"/>
          <w:sz w:val="16"/>
          <w:szCs w:val="16"/>
        </w:rPr>
        <w:t> 0138. Об изменении приказа № 0106 (вместо парохода «Демьян Бедный» зачислить пароход «Правда») (15247).</w:t>
      </w:r>
    </w:p>
    <w:p w14:paraId="62E3918D" w14:textId="77777777" w:rsidR="008A0D6C" w:rsidRPr="00E14102" w:rsidRDefault="008A0D6C" w:rsidP="00E14102">
      <w:pPr>
        <w:pStyle w:val="rtejustify"/>
        <w:spacing w:before="0" w:after="0"/>
        <w:rPr>
          <w:color w:val="000000" w:themeColor="text1"/>
          <w:sz w:val="16"/>
          <w:szCs w:val="16"/>
        </w:rPr>
      </w:pPr>
    </w:p>
    <w:p w14:paraId="4F53AD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августа 1935 года эпроновцам пришлось взяться за страшную работу - поднимать затонувшую неделей раньше на глубине 56 метров подводную лодку "Б-3" с 55 курсантами специального отделения Военно-морского училища и их преподавателями, совершавшими практическое плавание (11628).</w:t>
      </w:r>
    </w:p>
    <w:p w14:paraId="582C766E" w14:textId="77777777" w:rsidR="00D4105E" w:rsidRPr="00E14102" w:rsidRDefault="00D4105E" w:rsidP="00E14102">
      <w:pPr>
        <w:autoSpaceDE w:val="0"/>
        <w:autoSpaceDN w:val="0"/>
        <w:adjustRightInd w:val="0"/>
        <w:jc w:val="both"/>
        <w:rPr>
          <w:color w:val="000000" w:themeColor="text1"/>
          <w:sz w:val="16"/>
          <w:szCs w:val="16"/>
        </w:rPr>
      </w:pPr>
    </w:p>
    <w:p w14:paraId="3CC845C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A29F21B" w14:textId="77777777" w:rsidR="00D4105E" w:rsidRPr="00E14102" w:rsidRDefault="00D4105E" w:rsidP="00E14102">
      <w:pPr>
        <w:autoSpaceDE w:val="0"/>
        <w:autoSpaceDN w:val="0"/>
        <w:adjustRightInd w:val="0"/>
        <w:jc w:val="both"/>
        <w:rPr>
          <w:iCs/>
          <w:color w:val="000000" w:themeColor="text1"/>
          <w:sz w:val="16"/>
          <w:szCs w:val="16"/>
        </w:rPr>
      </w:pPr>
    </w:p>
    <w:p w14:paraId="6639D7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августа 1935 нарком внутренних дел выпустил директиву № 685603:</w:t>
      </w:r>
    </w:p>
    <w:p w14:paraId="541097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“Советский закон предусматривает применение к ряду правонарушителей в качестве меры социальной защиты - исправительные работы без лишения свободы (7560).</w:t>
      </w:r>
    </w:p>
    <w:p w14:paraId="1B87FC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органы Наркомвнудела возложена ответственнейшая задача исполнения приговоров, выносимых судом. Однако почти во всех краях и областях до сего времени имеются тысячи и десятки тысяч осужденных к исправработам, не привлеченные к отбытию наказания по всякого рода объективным причинам.. (7560).</w:t>
      </w:r>
    </w:p>
    <w:p w14:paraId="4AF32F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Приказываю:</w:t>
      </w:r>
    </w:p>
    <w:p w14:paraId="6E6BCC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Всех осужденных к исправработам, не привлеченных, находящихся до сего времени в розыске (на так называемом справочном учете) в течение августа и сентября розыскать и привлечь к отбытию наказания (7560).</w:t>
      </w:r>
    </w:p>
    <w:p w14:paraId="388ACD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Справочный учет должен быть ликвидирован (7560).</w:t>
      </w:r>
    </w:p>
    <w:p w14:paraId="4004BF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Заставьте начальников райотделений НКВД непосредственно заниматься исправработами, наказывайте за бездействие. Начальников бюро исправработ, у которых будет большое количество непривлеченных исправработников к исполнению приговоров - отдавать под суд за бездействие, а за 100% реализацию приговоров и выполнение финплана - премировать. За злоупотребления, допускаемые работниками бюро исправработ немедленно арестовывать и предавать суду.. (7560).</w:t>
      </w:r>
    </w:p>
    <w:p w14:paraId="114009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 исполнении этой директивы сообщите мне, в копии - нач. ГУЛАГа - к 01.09.35” (7560).</w:t>
      </w:r>
    </w:p>
    <w:p w14:paraId="60C79264" w14:textId="77777777" w:rsidR="00D4105E" w:rsidRPr="00E14102" w:rsidRDefault="00D4105E" w:rsidP="00E14102">
      <w:pPr>
        <w:autoSpaceDE w:val="0"/>
        <w:autoSpaceDN w:val="0"/>
        <w:adjustRightInd w:val="0"/>
        <w:jc w:val="both"/>
        <w:rPr>
          <w:color w:val="000000" w:themeColor="text1"/>
          <w:sz w:val="16"/>
          <w:szCs w:val="16"/>
        </w:rPr>
      </w:pPr>
    </w:p>
    <w:p w14:paraId="6347F31F" w14:textId="77777777" w:rsidR="00647F1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5A46E292" w14:textId="77777777" w:rsidR="00647F1E" w:rsidRPr="00E14102" w:rsidRDefault="00647F1E" w:rsidP="00E14102">
      <w:pPr>
        <w:autoSpaceDE w:val="0"/>
        <w:autoSpaceDN w:val="0"/>
        <w:adjustRightInd w:val="0"/>
        <w:jc w:val="both"/>
        <w:rPr>
          <w:iCs/>
          <w:color w:val="000000" w:themeColor="text1"/>
          <w:sz w:val="16"/>
          <w:szCs w:val="16"/>
        </w:rPr>
      </w:pPr>
    </w:p>
    <w:p w14:paraId="6C6EF3F9"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2 августа 1935 г. Меморандум корпорации Джорджа Э. Уоррена о действии торгового соглашения между США и СССР от 13 июля 1935 г. </w:t>
      </w:r>
    </w:p>
    <w:p w14:paraId="779277BD"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Соглашение заключено в форме обмена письмами между послом Буллитом и комиссаром по иностранным делам Максимом Литвиновым. </w:t>
      </w:r>
    </w:p>
    <w:p w14:paraId="4908773C"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Статья 1 каждой из нот содержит следующее: «1. Таможенные пошлины, объявленные президентом Соединенных Штатов Америки в соответствие с торговыми соглашениями, подписанными с иностранными правительствами или при их содействии согласно "Закону об изменении тарифа 1930 г. </w:t>
      </w:r>
    </w:p>
    <w:p w14:paraId="64D31016"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 одобренному 12 июня 1934 г., будут применяться к продукции, выращенной, добытой или изготовленной Союзом Советских Социалистических Республик на протяжении действия этого соглашения». </w:t>
      </w:r>
    </w:p>
    <w:p w14:paraId="101D0D49"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Статья 3 устанавливает, что соглашение вступает в силу с момента подписания и сохраняет действие 12 месяцев. </w:t>
      </w:r>
    </w:p>
    <w:p w14:paraId="45937592"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При его обнародовании Государственный департамент сделал следующее заявление: "В обмен на обязательство советского правительства, контролирующего экспорт Советского Союза, значительно увеличить закупки американских товаров в течение следующих 12 месяцев, правительство Соединенных Штатов согласилось распространить на Советский Союз в период действия соглашения льготы по тарифам, установленным по договорам с другими странами". </w:t>
      </w:r>
    </w:p>
    <w:p w14:paraId="451249E4" w14:textId="77777777" w:rsidR="00647F1E" w:rsidRPr="00E14102" w:rsidRDefault="00647F1E" w:rsidP="00E14102">
      <w:pPr>
        <w:jc w:val="both"/>
        <w:rPr>
          <w:color w:val="000000" w:themeColor="text1"/>
          <w:sz w:val="16"/>
          <w:szCs w:val="16"/>
        </w:rPr>
      </w:pPr>
      <w:r w:rsidRPr="00E14102">
        <w:rPr>
          <w:color w:val="000000" w:themeColor="text1"/>
          <w:sz w:val="16"/>
          <w:szCs w:val="16"/>
        </w:rPr>
        <w:t>Торговые соглашения, подписанные Соединенными Штатами с другими странами в соответствие с положениями акта от 12 июня 1934 г., являются следующими:</w:t>
      </w:r>
    </w:p>
    <w:p w14:paraId="69A98039" w14:textId="77777777" w:rsidR="00647F1E" w:rsidRPr="00E14102" w:rsidRDefault="00647F1E" w:rsidP="00E14102">
      <w:pPr>
        <w:jc w:val="both"/>
        <w:rPr>
          <w:color w:val="000000" w:themeColor="text1"/>
          <w:sz w:val="16"/>
          <w:szCs w:val="16"/>
        </w:rPr>
      </w:pPr>
      <w:r w:rsidRPr="00E14102">
        <w:rPr>
          <w:color w:val="000000" w:themeColor="text1"/>
          <w:sz w:val="16"/>
          <w:szCs w:val="16"/>
        </w:rPr>
        <w:t>с Бельгией - от 1 апреля 1935 г.</w:t>
      </w:r>
    </w:p>
    <w:p w14:paraId="26A90717" w14:textId="77777777" w:rsidR="00647F1E" w:rsidRPr="00E14102" w:rsidRDefault="00647F1E" w:rsidP="00E14102">
      <w:pPr>
        <w:jc w:val="both"/>
        <w:rPr>
          <w:color w:val="000000" w:themeColor="text1"/>
          <w:sz w:val="16"/>
          <w:szCs w:val="16"/>
        </w:rPr>
      </w:pPr>
      <w:r w:rsidRPr="00E14102">
        <w:rPr>
          <w:color w:val="000000" w:themeColor="text1"/>
          <w:sz w:val="16"/>
          <w:szCs w:val="16"/>
        </w:rPr>
        <w:t>с Гаити - от 4 мая 1935 г.</w:t>
      </w:r>
    </w:p>
    <w:p w14:paraId="3D81C4EA"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со Швецией - от 8 июля 1935 г. </w:t>
      </w:r>
    </w:p>
    <w:p w14:paraId="366C0A64"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Соглашение с Бельгией содержит следующее положение, под которым стоит подпись Уильяма Филлипса (William Fillips), исполняющего обязанности государственного секретаря: </w:t>
      </w:r>
    </w:p>
    <w:p w14:paraId="69D77FCF"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"Нижеподписавшийся имеет честь сообщить Вам, что правительство Соединенных Штатов Америки соглашается: 1) безусловно содействовать торговле Бельгийско-Люксембургского экономического союза на условиях режима наиболее благоприятствуемой нации аналогично Республике Куба и 2) исключить сельскохозяйственную и промышленную продукцию Бельгийско-Люксембургского экономического союза, указанную в прилагаемом перечне 2, при ее ввозе в пределы таможенной территории Соединенных Штатов Америки из обычных тарифов, превышающих отмеченные в указанном перечне". </w:t>
      </w:r>
    </w:p>
    <w:p w14:paraId="0B4F0E1B"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Перечень 2 содержит список товаров с указанием размера тарифов, применяемых к ним, в том числе специально освобожденных при импорте от какой-либо пошлины. В инструкции, опубликованной председателем таможенного комитета для информации и руководства таможенных чиновников и всех заинтересованных лиц, имеется заявление президента Соединенных Штатов. </w:t>
      </w:r>
    </w:p>
    <w:p w14:paraId="72DCD67B"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Оно воспроизводит положения акта 12 июня 1934 г. и соглашение с Б ельгийско-Люксембургским экономическим союзом, включая указание о том, что "данное соглашение выполняется в соответствии со всеми подобными изменениями существующих пошлин и другими ограничениями на импорт, а также остающимися в силе таможенными установлениями, как они изложены в нем и двух прилагаемых перечнях", завершаясь следующей фразой: "Отныне я, Франклин Д. Рузвельт, президент Соединенных Штатов Америки, действуя по полномочиям, предоставленным мне актом Конгресса от 12 июня 1934 г., сим объявляю указанное соглашение, включая перечни, вступившим в силу с 1 мая 1935 г., для исполнения всего текста и каждой статьи этого документа с верой в Соединенные Штаты и их граждан". </w:t>
      </w:r>
    </w:p>
    <w:p w14:paraId="1D1D2120" w14:textId="77777777" w:rsidR="00647F1E" w:rsidRPr="00E14102" w:rsidRDefault="00647F1E" w:rsidP="00E14102">
      <w:pPr>
        <w:jc w:val="both"/>
        <w:rPr>
          <w:color w:val="000000" w:themeColor="text1"/>
          <w:sz w:val="16"/>
          <w:szCs w:val="16"/>
        </w:rPr>
      </w:pPr>
      <w:r w:rsidRPr="00E14102">
        <w:rPr>
          <w:color w:val="000000" w:themeColor="text1"/>
          <w:sz w:val="16"/>
          <w:szCs w:val="16"/>
        </w:rPr>
        <w:lastRenderedPageBreak/>
        <w:t xml:space="preserve">Торговое соглашение с Гаити содержит следующий абзац в статье VII: "В отношении таможенных пошлин или сборов любого вида, взимаемых с импорта или экспорта, и в отношении метода сбора таких пошлин и сборов, а также в отношении всех правил и формальностей по импорту и экспорту, любая привилегия или иммунитет, которые уже предоставлены или могут быть предоставлены впоследствии Соединенными Штатами Америки или Республикой Гаити любому товару в процессе торговли с третьими странами, немедленно и безусловно распространяются на аналогичные статьи товарооборота между США и Республикой Гаити". </w:t>
      </w:r>
    </w:p>
    <w:p w14:paraId="018C8698"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Это соглашение содержало перечень 2, предусматривающий определенные ставки пошлин, которые накладываются на импортируемые товары, включая и те из них, которые освобождены от всякого таможенного обложения. </w:t>
      </w:r>
    </w:p>
    <w:p w14:paraId="07143104"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В записку, опубликованную для сведений и руководства таможенными служащими и всеми заинтересованными лицами, данное заявление включено под таким же заголовком, как и упомянутое выше, в отношении соглашения с Бельгией. В нем изложены те же положения, что и перечисленные выше, включая перечни. </w:t>
      </w:r>
    </w:p>
    <w:p w14:paraId="2CA917FC"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Торговое соглашение с Бельгией содержит статью 1, говорящую о взаимном обеспечении "безусловного и неограниченного режима наибольшего благоприятствования во всех вопросах, касающихся таможенных пошлин и дополнительных сборов любого рода, а также его методики. Соответственно продукты природы или промышленности, имеющие происхождение в одной из стран, никоим образом не могут быть предметом, с учетом изложенного выше, обложения пошлинами, налогами и сборами, отличающимися от установленных, либо исчисленных на другом основании с применением более сложных процедур, чем те, которые применяются или могут впоследствии применяться в отношении аналогичных товаров третьих стран". </w:t>
      </w:r>
    </w:p>
    <w:p w14:paraId="6E09DFFF"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Соглашение также содержит перечень товаров с указанием импортных тарифных ставок, а также товаров, освобожденных от таможенного обложения. Его публикация аналогично другим соглашениям также предваряется заявлением президента и содержит такие же положения и перечни, как и процитированные мною выше. </w:t>
      </w:r>
    </w:p>
    <w:p w14:paraId="0BE319BC"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Рассматриваемый вопрос заключается в том, чтобы определить, ограничены ли тарифные льготы, предоставленные советскому правительству указанными перечнями, содержащимися в торговых соглашениях, которые подписаны с другими государствами, или они достаточно широки для включения не только их, но и режима наибольшего благоприятствования, установленного основными пунктами процитированных выше торговых соглашений. </w:t>
      </w:r>
    </w:p>
    <w:p w14:paraId="225F064F"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Точная формулировка является следующей: "Пошлины, объявленные президентом, будут взиматься с продукции сельского хозяйства, добывающей и обрабатывающей промышленности Союза Советских Социалистических Республик в течение всего срока действия этого соглашения". </w:t>
      </w:r>
    </w:p>
    <w:p w14:paraId="3281C357"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Одна из интерпретаций этой фразы, конечно, состоит в том, что они ограничены пошлинами, установленными в прилагаемых перечнях, выступая составными частями торгового соглашения. Если допустить подобную трактовку, то соглашение с Россией не повлияет на импорт угля или кокса, поскольку они не упомянуты в действующем документе. </w:t>
      </w:r>
    </w:p>
    <w:p w14:paraId="372FB4C0"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С другой стороны, если слова об "установленных пошлинах" понимать в достаточно широком смысле, чтобы иметь в виду режим наибольшего благоприятствования, как он зафиксирован в каждом из торговых соглашений, тогда они могли бы оказать воздействие на импортные поставки угля, поскольку, без сомнения, все положения торговых соглашений с Бельгией, Гаити и Швецией требуют свободного ввоза угля из этих государств в течение всего периода времени, пока аналогичные поставки из Канады освобождаются от налогов. Между прочим, можно упомянуть о прецедентном судебном решении, требующим свободного ввоза угля из Бельгии по условиям действующего договора с этой страной. </w:t>
      </w:r>
    </w:p>
    <w:p w14:paraId="3C3602EA"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Соображения, которые указывают на более широкую интерпретацию процитированной фразы из соглашения с Россией, могут быть следующие: во-первых, тот факт, что государственный департамент официально заявил о согласии правительства распространить на Советский Союз тарифные льготы, предоставленные на взаимной основе торговыми соглашениями с другими государствами. Я думаю, что эта формулировка изначально подразумевала среди прочих тарифных уступок и режим наиболее благоприятствуемой нации, предусмотренный положениями каждого соглашения. Во-вторых, то обстоятельство, что в заявлении президента содержатся положения, относящиеся специально к изменениям существующих пошлин и импортных ограничений, а также к продолжению использования уже имеющихся, как об этом говорится в соглашении и перечнях, свидетельствует не только о необходимости рассмотрения иных модификаций существующих пошлин, но также и о том, что они излагаются в самом документе, а не обязательно в перечнях. В-третьих, тот факт, что президент особо подчеркнул включение перечней в указанное соглашение с целью соблюдения каждой его части, показывает, что заявленные положения не ограничиваются пошлинами, зафиксированными в перечнях, а распространяются на весь текст соглашений. В-четвертых, при решении вопроса об импорте угля из России, вынесенном Кассационным судом по таможенным и патентным вопросам 12 июня 1934 г., использована следующая формулировка (с. 84): "В 1932 г. у нас не было договора с Россией, который бы предусматривал иную процедуру взимания налогов на уголь, а последняя не пользовалась тогда ни по какому соглашению с Соединенными Штатами режимом наибольшего благоприятствования". </w:t>
      </w:r>
    </w:p>
    <w:p w14:paraId="7F1AAAB0"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Данная формулировка указывает на то, что если Россия окажется среди подобных стран согласно контракту, хотя бы и не по официальному договору, решение суда могло бы стать более выгодно импортеру. С другой стороны, конечно, справедливо, что фраза в Таможенном законе 1932 г. говорит о "безусловном распространении положений договора Соединенных Штатов, если не подразумевается другое", и также справедливо, что договоренность с Россией, по крайней мере теперь, не заключена в форму договора, поэтому, очевидно, что администрация не предполагает представить соглашение на одобрение Сената. Следовательно, тот факт, что договоренность - не более чем соглашение, подлежащее исполнению, мог бы позволить отнестись к этому документу, как к не подпадающему под действие статута, который относится к статьям договора. </w:t>
      </w:r>
    </w:p>
    <w:p w14:paraId="3D13206B"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В целом я придерживаюсь мнения, что судом может быть вынесено решение об отсутствии автоматического распространения заявленных президентом условий режима наибольшего благоприятствования на импорт из России, а также что формулировка соглашения с Россией должна быть изложена таким образом, чтобы ограничить ее воздействие на таможенные пошлины в отношении товаров из России, как это установлено в других торговых соглашениях, в части, исключающей применения подобных льгот. </w:t>
      </w:r>
    </w:p>
    <w:p w14:paraId="21CF73BA"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Но хотя я полагаю, что у такого решения наилучшие шансы, формулировке договоренности может быть легко придан иной вид, а судебное дело на основании подобной нотификации имеет реальную перспективу успешного завершения. Она может быть усилена, если анализ текущего ввоза из России покажет, что практически ничего из включенного в перечни, прилагаемые к договорам с Бельгией, Гаити и Швецией, не импортируется из России в Соединенные Штаты. Я не занимался подобными исследованиями, поэтому не знаю, какие аргументы в нашу пользу можно основывать на сведениях о ввозе товаров из России. </w:t>
      </w:r>
    </w:p>
    <w:p w14:paraId="2E976BA8"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В отношении объемов угля или кокса, импортируемых из России в соответствии с соглашением от 13 июля 1935 г., полагаю, стоило бы серьезно рассмотреть целесообразность вынесения протеста и претензий в судебном порядке к применению режима наибольшего благоприятствования согласно вышеизложенному. </w:t>
      </w:r>
    </w:p>
    <w:p w14:paraId="0209D1A5" w14:textId="77777777" w:rsidR="00647F1E" w:rsidRPr="00E14102" w:rsidRDefault="00647F1E" w:rsidP="00E14102">
      <w:pPr>
        <w:jc w:val="both"/>
        <w:rPr>
          <w:color w:val="000000" w:themeColor="text1"/>
          <w:sz w:val="16"/>
          <w:szCs w:val="16"/>
        </w:rPr>
      </w:pPr>
      <w:r w:rsidRPr="00E14102">
        <w:rPr>
          <w:color w:val="000000" w:themeColor="text1"/>
          <w:sz w:val="16"/>
          <w:szCs w:val="16"/>
        </w:rPr>
        <w:t>РГАЭ. Ф. 413. On. 13. Д. 3474. Л. 86-92. Копия (12152).</w:t>
      </w:r>
    </w:p>
    <w:p w14:paraId="4DBC509A" w14:textId="77777777" w:rsidR="00647F1E" w:rsidRPr="00E14102" w:rsidRDefault="00647F1E" w:rsidP="00E14102">
      <w:pPr>
        <w:jc w:val="both"/>
        <w:rPr>
          <w:color w:val="000000" w:themeColor="text1"/>
          <w:sz w:val="16"/>
          <w:szCs w:val="16"/>
        </w:rPr>
      </w:pPr>
    </w:p>
    <w:p w14:paraId="4C6CFD7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C457137" w14:textId="77777777" w:rsidR="00D4105E" w:rsidRPr="00E14102" w:rsidRDefault="00D4105E" w:rsidP="00E14102">
      <w:pPr>
        <w:autoSpaceDE w:val="0"/>
        <w:autoSpaceDN w:val="0"/>
        <w:adjustRightInd w:val="0"/>
        <w:jc w:val="both"/>
        <w:rPr>
          <w:iCs/>
          <w:color w:val="000000" w:themeColor="text1"/>
          <w:sz w:val="16"/>
          <w:szCs w:val="16"/>
        </w:rPr>
      </w:pPr>
    </w:p>
    <w:p w14:paraId="5F1505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августа 1935 английский Парламент принял акт об управлении Индией и произошло отделение Бирмы от Индии (2443,409) и Адена тоже (3907,192).</w:t>
      </w:r>
    </w:p>
    <w:p w14:paraId="447DF426" w14:textId="77777777" w:rsidR="00D4105E" w:rsidRPr="00E14102" w:rsidRDefault="00D4105E" w:rsidP="00E14102">
      <w:pPr>
        <w:autoSpaceDE w:val="0"/>
        <w:autoSpaceDN w:val="0"/>
        <w:adjustRightInd w:val="0"/>
        <w:jc w:val="both"/>
        <w:rPr>
          <w:color w:val="000000" w:themeColor="text1"/>
          <w:sz w:val="16"/>
          <w:szCs w:val="16"/>
        </w:rPr>
      </w:pPr>
    </w:p>
    <w:p w14:paraId="2F0C2F9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189BEBF" w14:textId="77777777" w:rsidR="00D4105E" w:rsidRPr="00E14102" w:rsidRDefault="00D4105E" w:rsidP="00E14102">
      <w:pPr>
        <w:autoSpaceDE w:val="0"/>
        <w:autoSpaceDN w:val="0"/>
        <w:adjustRightInd w:val="0"/>
        <w:jc w:val="both"/>
        <w:rPr>
          <w:iCs/>
          <w:color w:val="000000" w:themeColor="text1"/>
          <w:sz w:val="16"/>
          <w:szCs w:val="16"/>
        </w:rPr>
      </w:pPr>
    </w:p>
    <w:p w14:paraId="1C675C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августа 1935 Нач. ГУАП Королев писал письмо N 244/3602с зам. НКТП Пятакову (копия - Зам. НКО т. Тухачевскому) по вопросу "Экспериментального высотного самолета Авиавнито":</w:t>
      </w:r>
    </w:p>
    <w:p w14:paraId="4455C1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ГУАП (на заводе 35) заканчивается постройка экспериментального стратосферного самолета с ГК.</w:t>
      </w:r>
    </w:p>
    <w:p w14:paraId="28F1CB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этом самолете предполагается испытаниями проверить ряд задач (за исключением скафандра и негерметизированной кабины), которые собирается экспериментировать Авиавнито на спроектированной им машине.</w:t>
      </w:r>
    </w:p>
    <w:p w14:paraId="5F1A35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проведения испытаний самолета завода 35 (выпуск самолета намечен на начало сентября) и до получения результатов испытаний, считаю постройку самолета Авиавнито преждевременной." (2343,249).</w:t>
      </w:r>
    </w:p>
    <w:p w14:paraId="0B950D7D" w14:textId="77777777" w:rsidR="00D4105E" w:rsidRPr="00E14102" w:rsidRDefault="00D4105E" w:rsidP="00E14102">
      <w:pPr>
        <w:autoSpaceDE w:val="0"/>
        <w:autoSpaceDN w:val="0"/>
        <w:adjustRightInd w:val="0"/>
        <w:jc w:val="both"/>
        <w:rPr>
          <w:color w:val="000000" w:themeColor="text1"/>
          <w:sz w:val="16"/>
          <w:szCs w:val="16"/>
        </w:rPr>
      </w:pPr>
    </w:p>
    <w:p w14:paraId="703336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августа 1935 начался неудачный перелет С.А.Леваневского (с Г.Ф.Байдуковым и ш В.И.Левченко) на АНТ-25. Пенилось масло. С.А.Леваневский спер личный блокнот Г.Ф.Байдукова. После - вызывали в Кремль. С.А.Леваневский - "Да, Туполев - вредитель и я требую это застенографировать" (100,41).</w:t>
      </w:r>
    </w:p>
    <w:p w14:paraId="77B3086F" w14:textId="77777777" w:rsidR="00D4105E" w:rsidRPr="00E14102" w:rsidRDefault="00D4105E" w:rsidP="00E14102">
      <w:pPr>
        <w:autoSpaceDE w:val="0"/>
        <w:autoSpaceDN w:val="0"/>
        <w:adjustRightInd w:val="0"/>
        <w:jc w:val="both"/>
        <w:rPr>
          <w:color w:val="000000" w:themeColor="text1"/>
          <w:sz w:val="16"/>
          <w:szCs w:val="16"/>
        </w:rPr>
      </w:pPr>
    </w:p>
    <w:p w14:paraId="2A5776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августа 1935 года в 6.00 утра состоялся старт самолета РД - экипаж Леваневского. Шел дождь. Через 25 минут с борта АНТ-25 поступила первая радиограмма, подтверждающая благополучное развитие событий. Однако уже в 9.25 утра экипаж сообщил о выбрасывании масла из суфлирующей системы маслобака. Через 7 часов нахождения в воздухе масло продолжало убывать, поэтому последовало решение полет прекратить.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E3599D" w:rsidRPr="00E14102" w14:paraId="032B3B62" w14:textId="77777777">
        <w:tc>
          <w:tcPr>
            <w:tcW w:w="5605" w:type="dxa"/>
            <w:tcBorders>
              <w:top w:val="single" w:sz="12" w:space="0" w:color="auto"/>
            </w:tcBorders>
          </w:tcPr>
          <w:p w14:paraId="786211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теоретическая</w:t>
            </w:r>
          </w:p>
        </w:tc>
        <w:tc>
          <w:tcPr>
            <w:tcW w:w="5605" w:type="dxa"/>
            <w:tcBorders>
              <w:top w:val="single" w:sz="12" w:space="0" w:color="auto"/>
            </w:tcBorders>
          </w:tcPr>
          <w:p w14:paraId="654E2D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12590 км</w:t>
            </w:r>
          </w:p>
        </w:tc>
      </w:tr>
      <w:tr w:rsidR="00E3599D" w:rsidRPr="00E14102" w14:paraId="7393EFA2" w14:textId="77777777">
        <w:tc>
          <w:tcPr>
            <w:tcW w:w="5605" w:type="dxa"/>
          </w:tcPr>
          <w:p w14:paraId="2C91E2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практическая</w:t>
            </w:r>
          </w:p>
        </w:tc>
        <w:tc>
          <w:tcPr>
            <w:tcW w:w="5605" w:type="dxa"/>
          </w:tcPr>
          <w:p w14:paraId="73AA9E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10060 км</w:t>
            </w:r>
          </w:p>
        </w:tc>
      </w:tr>
      <w:tr w:rsidR="00E3599D" w:rsidRPr="00E14102" w14:paraId="6682D60A" w14:textId="77777777">
        <w:tc>
          <w:tcPr>
            <w:tcW w:w="5605" w:type="dxa"/>
          </w:tcPr>
          <w:p w14:paraId="0D5D0A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полета</w:t>
            </w:r>
          </w:p>
        </w:tc>
        <w:tc>
          <w:tcPr>
            <w:tcW w:w="5605" w:type="dxa"/>
          </w:tcPr>
          <w:p w14:paraId="4572F7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70,4 часа</w:t>
            </w:r>
          </w:p>
        </w:tc>
      </w:tr>
      <w:tr w:rsidR="00E3599D" w:rsidRPr="00E14102" w14:paraId="3456E26C" w14:textId="77777777">
        <w:tc>
          <w:tcPr>
            <w:tcW w:w="5605" w:type="dxa"/>
          </w:tcPr>
          <w:p w14:paraId="445A2E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Средняя скорость</w:t>
            </w:r>
          </w:p>
        </w:tc>
        <w:tc>
          <w:tcPr>
            <w:tcW w:w="5605" w:type="dxa"/>
          </w:tcPr>
          <w:p w14:paraId="52B2E7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178,9 км/ч</w:t>
            </w:r>
          </w:p>
        </w:tc>
      </w:tr>
      <w:tr w:rsidR="00E3599D" w:rsidRPr="00E14102" w14:paraId="057A8566" w14:textId="77777777">
        <w:tc>
          <w:tcPr>
            <w:tcW w:w="5605" w:type="dxa"/>
          </w:tcPr>
          <w:p w14:paraId="043917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Средний расход горючего:</w:t>
            </w:r>
          </w:p>
        </w:tc>
        <w:tc>
          <w:tcPr>
            <w:tcW w:w="5605" w:type="dxa"/>
          </w:tcPr>
          <w:p w14:paraId="1D34966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D9D4DA8" w14:textId="77777777">
        <w:tc>
          <w:tcPr>
            <w:tcW w:w="5605" w:type="dxa"/>
          </w:tcPr>
          <w:p w14:paraId="485C52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Теоретический</w:t>
            </w:r>
          </w:p>
        </w:tc>
        <w:tc>
          <w:tcPr>
            <w:tcW w:w="5605" w:type="dxa"/>
          </w:tcPr>
          <w:p w14:paraId="18CF23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0,453 кг/км</w:t>
            </w:r>
          </w:p>
        </w:tc>
      </w:tr>
      <w:tr w:rsidR="00E3599D" w:rsidRPr="00E14102" w14:paraId="77C055FF" w14:textId="77777777">
        <w:tc>
          <w:tcPr>
            <w:tcW w:w="5605" w:type="dxa"/>
            <w:tcBorders>
              <w:bottom w:val="single" w:sz="12" w:space="0" w:color="auto"/>
            </w:tcBorders>
          </w:tcPr>
          <w:p w14:paraId="76B90C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Практический</w:t>
            </w:r>
          </w:p>
        </w:tc>
        <w:tc>
          <w:tcPr>
            <w:tcW w:w="5605" w:type="dxa"/>
            <w:tcBorders>
              <w:bottom w:val="single" w:sz="12" w:space="0" w:color="auto"/>
            </w:tcBorders>
          </w:tcPr>
          <w:p w14:paraId="34172A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0,567 кг/км</w:t>
            </w:r>
          </w:p>
        </w:tc>
      </w:tr>
    </w:tbl>
    <w:p w14:paraId="28B004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возвращения было предпринято расследование инцидента, в результате которого подготовили заключение: "...Наиболее вероятной причиной выбрасывания масла из рабочего маслобака наружу могло явиться переполнение верхней части бака горячим маслом в пенообразном состоянии при длительной работе мотора на больших оборотах. Предположительно, излишнее образование пены в этих условиях могло быть вызвано особыми свойствами масла, обуславливающих повышенное пенообразование...". Практически сразу после возвращения в Москву был поднят вопрос о проведении по вторной попытки перелета в США уже в том же году, однако она не состоялась (11941).</w:t>
      </w:r>
    </w:p>
    <w:p w14:paraId="03A126AF" w14:textId="77777777" w:rsidR="00D4105E" w:rsidRPr="00E14102" w:rsidRDefault="00D4105E" w:rsidP="00E14102">
      <w:pPr>
        <w:autoSpaceDE w:val="0"/>
        <w:autoSpaceDN w:val="0"/>
        <w:adjustRightInd w:val="0"/>
        <w:jc w:val="both"/>
        <w:rPr>
          <w:color w:val="000000" w:themeColor="text1"/>
          <w:sz w:val="16"/>
          <w:szCs w:val="16"/>
        </w:rPr>
      </w:pPr>
    </w:p>
    <w:p w14:paraId="5855C9F6" w14:textId="77777777" w:rsidR="00872260" w:rsidRPr="00E14102" w:rsidRDefault="00872260" w:rsidP="00E14102">
      <w:pPr>
        <w:jc w:val="both"/>
        <w:rPr>
          <w:color w:val="000000" w:themeColor="text1"/>
          <w:sz w:val="16"/>
          <w:szCs w:val="16"/>
        </w:rPr>
      </w:pPr>
      <w:r w:rsidRPr="00E14102">
        <w:rPr>
          <w:color w:val="000000" w:themeColor="text1"/>
          <w:sz w:val="16"/>
          <w:szCs w:val="16"/>
        </w:rPr>
        <w:t>3 августа 1935 года состоялся старт в Америку в 6 часов. После того как машина пролетела около 2000 км, с борта самоле</w:t>
      </w:r>
      <w:r w:rsidRPr="00E14102">
        <w:rPr>
          <w:color w:val="000000" w:themeColor="text1"/>
          <w:sz w:val="16"/>
          <w:szCs w:val="16"/>
        </w:rPr>
        <w:softHyphen/>
        <w:t>та стали поступать сообщения о выбрасы</w:t>
      </w:r>
      <w:r w:rsidRPr="00E14102">
        <w:rPr>
          <w:color w:val="000000" w:themeColor="text1"/>
          <w:sz w:val="16"/>
          <w:szCs w:val="16"/>
        </w:rPr>
        <w:softHyphen/>
        <w:t>вании масла из суфлера. Страшного в этом ничего не было, поскольку перед вылетом маслобак залили под пробку. На высоте около 2000 метров излишки теплого масла из-за образовавшегося перепада давления стали растекаться по капоту. Георгий Бай</w:t>
      </w:r>
      <w:r w:rsidRPr="00E14102">
        <w:rPr>
          <w:color w:val="000000" w:themeColor="text1"/>
          <w:sz w:val="16"/>
          <w:szCs w:val="16"/>
        </w:rPr>
        <w:softHyphen/>
        <w:t>дуков, прекрасно знавший машину, наста</w:t>
      </w:r>
      <w:r w:rsidRPr="00E14102">
        <w:rPr>
          <w:color w:val="000000" w:themeColor="text1"/>
          <w:sz w:val="16"/>
          <w:szCs w:val="16"/>
        </w:rPr>
        <w:softHyphen/>
        <w:t>ивал на продолжении полета, но Леванев</w:t>
      </w:r>
      <w:r w:rsidRPr="00E14102">
        <w:rPr>
          <w:color w:val="000000" w:themeColor="text1"/>
          <w:sz w:val="16"/>
          <w:szCs w:val="16"/>
        </w:rPr>
        <w:softHyphen/>
        <w:t>ский, похлопав по кобуре, напомнил ему, кто на борту командир. Пришлось возвра</w:t>
      </w:r>
      <w:r w:rsidRPr="00E14102">
        <w:rPr>
          <w:color w:val="000000" w:themeColor="text1"/>
          <w:sz w:val="16"/>
          <w:szCs w:val="16"/>
        </w:rPr>
        <w:softHyphen/>
        <w:t>щаться назад и произвести посадку на аэ</w:t>
      </w:r>
      <w:r w:rsidRPr="00E14102">
        <w:rPr>
          <w:color w:val="000000" w:themeColor="text1"/>
          <w:sz w:val="16"/>
          <w:szCs w:val="16"/>
        </w:rPr>
        <w:softHyphen/>
        <w:t>родроме Кречевицы (Новгородская об</w:t>
      </w:r>
      <w:r w:rsidRPr="00E14102">
        <w:rPr>
          <w:color w:val="000000" w:themeColor="text1"/>
          <w:sz w:val="16"/>
          <w:szCs w:val="16"/>
        </w:rPr>
        <w:softHyphen/>
        <w:t>ласть), где чуть не потеряли машину.</w:t>
      </w:r>
    </w:p>
    <w:p w14:paraId="6E31B9A8" w14:textId="77777777" w:rsidR="00872260" w:rsidRPr="00E14102" w:rsidRDefault="00872260" w:rsidP="00E14102">
      <w:pPr>
        <w:jc w:val="both"/>
        <w:rPr>
          <w:color w:val="000000" w:themeColor="text1"/>
          <w:sz w:val="16"/>
          <w:szCs w:val="16"/>
        </w:rPr>
      </w:pPr>
      <w:r w:rsidRPr="00E14102">
        <w:rPr>
          <w:color w:val="000000" w:themeColor="text1"/>
          <w:sz w:val="16"/>
          <w:szCs w:val="16"/>
        </w:rPr>
        <w:t>А произошло следующее. Перед посад</w:t>
      </w:r>
      <w:r w:rsidRPr="00E14102">
        <w:rPr>
          <w:color w:val="000000" w:themeColor="text1"/>
          <w:sz w:val="16"/>
          <w:szCs w:val="16"/>
        </w:rPr>
        <w:softHyphen/>
        <w:t>кой на небольшой грунтовый аэродром для облегчения самолета пришлось в воз</w:t>
      </w:r>
      <w:r w:rsidRPr="00E14102">
        <w:rPr>
          <w:color w:val="000000" w:themeColor="text1"/>
          <w:sz w:val="16"/>
          <w:szCs w:val="16"/>
        </w:rPr>
        <w:softHyphen/>
        <w:t>духе открыть топливные баки и слить из</w:t>
      </w:r>
      <w:r w:rsidRPr="00E14102">
        <w:rPr>
          <w:color w:val="000000" w:themeColor="text1"/>
          <w:sz w:val="16"/>
          <w:szCs w:val="16"/>
        </w:rPr>
        <w:softHyphen/>
        <w:t>лишки бензина. При этом парами горюче</w:t>
      </w:r>
      <w:r w:rsidRPr="00E14102">
        <w:rPr>
          <w:color w:val="000000" w:themeColor="text1"/>
          <w:sz w:val="16"/>
          <w:szCs w:val="16"/>
        </w:rPr>
        <w:softHyphen/>
        <w:t>го пропиталась перкалевая обшивка кры</w:t>
      </w:r>
      <w:r w:rsidRPr="00E14102">
        <w:rPr>
          <w:color w:val="000000" w:themeColor="text1"/>
          <w:sz w:val="16"/>
          <w:szCs w:val="16"/>
        </w:rPr>
        <w:softHyphen/>
        <w:t>ла. Посадка прошла благополучно, но по нелепой случайности сработали поса</w:t>
      </w:r>
      <w:r w:rsidRPr="00E14102">
        <w:rPr>
          <w:color w:val="000000" w:themeColor="text1"/>
          <w:sz w:val="16"/>
          <w:szCs w:val="16"/>
        </w:rPr>
        <w:softHyphen/>
        <w:t>дочные осветительные ракеты и самолет мгновенно вспыхнул. Благо, что вовремя подоспели пожарные, сбившие пламя и спасшие машину.</w:t>
      </w:r>
    </w:p>
    <w:p w14:paraId="04AC5354" w14:textId="77777777" w:rsidR="00872260" w:rsidRPr="00E14102" w:rsidRDefault="00872260" w:rsidP="00E14102">
      <w:pPr>
        <w:jc w:val="both"/>
        <w:rPr>
          <w:color w:val="000000" w:themeColor="text1"/>
          <w:sz w:val="16"/>
          <w:szCs w:val="16"/>
        </w:rPr>
      </w:pPr>
      <w:r w:rsidRPr="00E14102">
        <w:rPr>
          <w:color w:val="000000" w:themeColor="text1"/>
          <w:sz w:val="16"/>
          <w:szCs w:val="16"/>
        </w:rPr>
        <w:t>Машину отремонтировали, и Байдуков перегнал ее в Москву.</w:t>
      </w:r>
    </w:p>
    <w:p w14:paraId="62056334" w14:textId="77777777" w:rsidR="00872260" w:rsidRPr="00E14102" w:rsidRDefault="00872260" w:rsidP="00E14102">
      <w:pPr>
        <w:jc w:val="both"/>
        <w:rPr>
          <w:color w:val="000000" w:themeColor="text1"/>
          <w:sz w:val="16"/>
          <w:szCs w:val="16"/>
        </w:rPr>
      </w:pPr>
      <w:r w:rsidRPr="00E14102">
        <w:rPr>
          <w:color w:val="000000" w:themeColor="text1"/>
          <w:sz w:val="16"/>
          <w:szCs w:val="16"/>
        </w:rPr>
        <w:t>После этого случая Сигизмунд Алексан</w:t>
      </w:r>
      <w:r w:rsidRPr="00E14102">
        <w:rPr>
          <w:color w:val="000000" w:themeColor="text1"/>
          <w:sz w:val="16"/>
          <w:szCs w:val="16"/>
        </w:rPr>
        <w:softHyphen/>
        <w:t>дрович на встрече со Сталиным заявил, что не верит конструктору Туполеву, счи</w:t>
      </w:r>
      <w:r w:rsidRPr="00E14102">
        <w:rPr>
          <w:color w:val="000000" w:themeColor="text1"/>
          <w:sz w:val="16"/>
          <w:szCs w:val="16"/>
        </w:rPr>
        <w:softHyphen/>
        <w:t>тает его вредителем и на туполевских ма</w:t>
      </w:r>
      <w:r w:rsidRPr="00E14102">
        <w:rPr>
          <w:color w:val="000000" w:themeColor="text1"/>
          <w:sz w:val="16"/>
          <w:szCs w:val="16"/>
        </w:rPr>
        <w:softHyphen/>
        <w:t>шинах больше летать не будет.</w:t>
      </w:r>
    </w:p>
    <w:p w14:paraId="03BBA9BF" w14:textId="77777777" w:rsidR="00872260" w:rsidRPr="00E14102" w:rsidRDefault="00872260" w:rsidP="00E14102">
      <w:pPr>
        <w:jc w:val="both"/>
        <w:rPr>
          <w:color w:val="000000" w:themeColor="text1"/>
          <w:sz w:val="16"/>
          <w:szCs w:val="16"/>
        </w:rPr>
      </w:pPr>
      <w:r w:rsidRPr="00E14102">
        <w:rPr>
          <w:color w:val="000000" w:themeColor="text1"/>
          <w:sz w:val="16"/>
          <w:szCs w:val="16"/>
        </w:rPr>
        <w:t>Это было слишком смело и главное, не</w:t>
      </w:r>
      <w:r w:rsidRPr="00E14102">
        <w:rPr>
          <w:color w:val="000000" w:themeColor="text1"/>
          <w:sz w:val="16"/>
          <w:szCs w:val="16"/>
        </w:rPr>
        <w:softHyphen/>
        <w:t>справедливо. Тогда Сталин и предложил отправить Леваневского в Америку за под</w:t>
      </w:r>
      <w:r w:rsidRPr="00E14102">
        <w:rPr>
          <w:color w:val="000000" w:themeColor="text1"/>
          <w:sz w:val="16"/>
          <w:szCs w:val="16"/>
        </w:rPr>
        <w:softHyphen/>
        <w:t>ходящим самолетом.</w:t>
      </w:r>
    </w:p>
    <w:p w14:paraId="516BAE6C" w14:textId="77777777" w:rsidR="00872260" w:rsidRPr="00E14102" w:rsidRDefault="00872260" w:rsidP="00E14102">
      <w:pPr>
        <w:pStyle w:val="110"/>
        <w:shd w:val="clear" w:color="auto" w:fill="auto"/>
        <w:spacing w:line="240" w:lineRule="auto"/>
        <w:jc w:val="both"/>
        <w:rPr>
          <w:rFonts w:ascii="Times New Roman" w:hAnsi="Times New Roman"/>
          <w:color w:val="000000" w:themeColor="text1"/>
          <w:sz w:val="16"/>
          <w:szCs w:val="16"/>
        </w:rPr>
      </w:pPr>
      <w:r w:rsidRPr="00E14102">
        <w:rPr>
          <w:rStyle w:val="112"/>
          <w:i w:val="0"/>
          <w:color w:val="000000" w:themeColor="text1"/>
          <w:sz w:val="16"/>
          <w:szCs w:val="16"/>
        </w:rPr>
        <w:t>Не сдержавшись, Г.Ф. Байдуков париро</w:t>
      </w:r>
      <w:r w:rsidRPr="00E14102">
        <w:rPr>
          <w:rStyle w:val="112"/>
          <w:i w:val="0"/>
          <w:color w:val="000000" w:themeColor="text1"/>
          <w:sz w:val="16"/>
          <w:szCs w:val="16"/>
        </w:rPr>
        <w:softHyphen/>
        <w:t>вал:</w:t>
      </w:r>
      <w:r w:rsidRPr="00E14102">
        <w:rPr>
          <w:rFonts w:ascii="Times New Roman" w:hAnsi="Times New Roman"/>
          <w:color w:val="000000" w:themeColor="text1"/>
          <w:sz w:val="16"/>
          <w:szCs w:val="16"/>
        </w:rPr>
        <w:t xml:space="preserve"> «Я считаю бесполезным лететь в Аме</w:t>
      </w:r>
      <w:r w:rsidRPr="00E14102">
        <w:rPr>
          <w:rFonts w:ascii="Times New Roman" w:hAnsi="Times New Roman"/>
          <w:color w:val="000000" w:themeColor="text1"/>
          <w:sz w:val="16"/>
          <w:szCs w:val="16"/>
        </w:rPr>
        <w:softHyphen/>
        <w:t>рику за самолетом. На ближайшие годы вы не найдете там самолет с дальностью вы</w:t>
      </w:r>
      <w:r w:rsidRPr="00E14102">
        <w:rPr>
          <w:rFonts w:ascii="Times New Roman" w:hAnsi="Times New Roman"/>
          <w:color w:val="000000" w:themeColor="text1"/>
          <w:sz w:val="16"/>
          <w:szCs w:val="16"/>
        </w:rPr>
        <w:softHyphen/>
        <w:t>ше 10 ООО км, а нашей машины — 14 000 км». Но вопрос был уже решен (12725).</w:t>
      </w:r>
    </w:p>
    <w:p w14:paraId="2B0F3B41" w14:textId="77777777" w:rsidR="00872260" w:rsidRPr="00E14102" w:rsidRDefault="00872260" w:rsidP="00E14102">
      <w:pPr>
        <w:jc w:val="both"/>
        <w:rPr>
          <w:color w:val="000000" w:themeColor="text1"/>
          <w:sz w:val="16"/>
          <w:szCs w:val="16"/>
        </w:rPr>
      </w:pPr>
    </w:p>
    <w:p w14:paraId="0260F4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3-го августа 1935 г. распоряжением начальника ГУСМП О.Ю.Шмидта и начальника УПА М.И.Шевелева, все тяжелые самолеты, к которым относились и Дорнье "Валь", были переключены на подстраховку перелета С.А.Леваневского. Но, так как вскоре перелет был отменен, 7-го августа Алексеев получил приказ вернуться на свою базу на мысе Стерлигова. Уже на следующий день лодка снова вылетела на разведку северо-восточной части Карского моря по маршруту м. Стерлигова - о. Русский - м. Неупокоева - фиорд Спартак - м. Неупокое- ва - о. Русский - м. Стерлигова.</w:t>
      </w:r>
    </w:p>
    <w:p w14:paraId="5C8401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базирования на Таймыре Алексеев получил задание на ледовую разведку для ледокола "Сибиряков", который подходил к мысу Оловянному, но, встретив у о. Гансена туман и шторм, самолет вернулся на р. Таймыру. Здесь экипажу пришлось жить на чердаке дома зимовки или в самолете. Первый механик Сугробов, не выдержал таких условий, простудился и заболел. Так как врача на базе не было, экипаж перелетел на мыс Стерлигова. Состояние больного не улучшилось, температура держалась высокой, доходя до 41,6°. Везти его в таком состоянии было невозможно, и 6-го сентября Алексеев привез врача с Диксона. Благодаря медицинской помощи больной начал быстро поправляться.</w:t>
      </w:r>
    </w:p>
    <w:p w14:paraId="4F3554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следующий день СССР-Н26 перелетел на Диксон, сдав Сугробова на попечение врачей.</w:t>
      </w:r>
    </w:p>
    <w:p w14:paraId="4BFCA1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11-го сентября пришло известие о пропаже самолета Ш-2 с Козловым и Линделем, вылетевших на поиски сухопутных аэродромов. 12-го сентября в 4 ч. 40 мин. лодка вылетела с Диксона в район возможной разведки Козлова. Подлетев к устью р. Таймыра, летчики увидели Ш-2, стоящий на берегу, недалеко от зимовки и пошли на посадку. При осмотре аварийного самолета, авиаторы решили эвакуировать его с места вынужденной посадки пароходом, а Линделя взять с собой и перевезти на м. Челюскина. Но из-за непогоды сделать это удалось только 16-го сентября. СССР-Н26 достиг мыса Челюскина, но приводниться из-за сильного прибоя не смог. Линделя высадили у мыса Вега, сообщив об этом на ледокол "Ермак" и мыс Челюскина.</w:t>
      </w:r>
    </w:p>
    <w:p w14:paraId="35C871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23-го сентября СССР-Н26 выполнил рейс из Дудинки в Игарку и обратно. Затем с летающей лодки сняли морское снаряжение, и с 24-го сентября она перевозила грузы в Норильск. До 1 октября сделали 8 рейсов, доставили в Норильск 12000 кг грузов, а из Норильска в Дудинку 2000 кг горных образцов. Четвертого октября вернулись в Красноярск. Ресурс моторов практически закончился, и самолет по приказанию начальника УВС оставили на воде, как страховочный, а после того как необходимость в этом отпала, 15 октября вытащили на берег и сдали в Красноярские авиамастерские для ремонта.</w:t>
      </w:r>
    </w:p>
    <w:p w14:paraId="65BD55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 (11970).</w:t>
      </w:r>
    </w:p>
    <w:p w14:paraId="2B8BF223" w14:textId="77777777" w:rsidR="00D4105E" w:rsidRPr="00E14102" w:rsidRDefault="00D4105E" w:rsidP="00E14102">
      <w:pPr>
        <w:autoSpaceDE w:val="0"/>
        <w:autoSpaceDN w:val="0"/>
        <w:adjustRightInd w:val="0"/>
        <w:jc w:val="both"/>
        <w:rPr>
          <w:color w:val="000000" w:themeColor="text1"/>
          <w:sz w:val="16"/>
          <w:szCs w:val="16"/>
        </w:rPr>
      </w:pPr>
    </w:p>
    <w:p w14:paraId="5462F413"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3 августа 1935 года в 6 часов утра, дождавшись благоприятного прогноза погоды, экипаж Леваневского на АНТ-25 стартовал со Щелковского аэродрома и начал перелет через Северный полюс в США.</w:t>
      </w:r>
    </w:p>
    <w:p w14:paraId="733A547E"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В советских газетах были опубликованы следующие радиограммы с борта «СССР-025»:</w:t>
      </w:r>
    </w:p>
    <w:p w14:paraId="1FC84C94"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- 6 часов 40 минут. Материальная часть работает хорошо. Имеем сильную болтанку. Летим на высоте 300 метров.</w:t>
      </w:r>
    </w:p>
    <w:p w14:paraId="622E8555"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- 7 часов 25 минут. Прошли реку Волгу севернее Колязино. Высота 250 метров, облака выше. Ясно. Все в порядке.</w:t>
      </w:r>
    </w:p>
    <w:p w14:paraId="2DBDF73B"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- 8 часов 17 минут. Прошли реку Молога. Высота 800 метров. Ясно.</w:t>
      </w:r>
    </w:p>
    <w:p w14:paraId="6BC254BE"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- 11 часов 42 минуты. Подходим к Белому морю. Ясно.</w:t>
      </w:r>
    </w:p>
    <w:p w14:paraId="1939F3B6"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- 12 часов 04 минут. Прошел Онегу.</w:t>
      </w:r>
    </w:p>
    <w:p w14:paraId="5F475C2A"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- 12 часов 14 минут. Пересекаю Белое море.</w:t>
      </w:r>
    </w:p>
    <w:p w14:paraId="4FA7A94C"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- 13 часов 21 минута. Находимся на северном берегу Белого моря.</w:t>
      </w:r>
    </w:p>
    <w:p w14:paraId="6E16B3FB"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- 14 часов 25 минут. Достигли Баренцева моря.</w:t>
      </w:r>
    </w:p>
    <w:p w14:paraId="7803892F"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Позже сообщалось: «ГУСМП получено от экипажа самолета «СССР-025» донесение о выбрасывании наружу масла из расходного бака, что привело к повышенному против допустимой нормы расходу масла. Вследствие этого экипаж запросил разрешения прекратить свой полет по назначенному маршруту и возвратиться на один из аэродромов в районе Ленинграда».</w:t>
      </w:r>
    </w:p>
    <w:p w14:paraId="3AB2CA95"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В 22 часа 30 минут Байдуков благополучно совершил посадку на аэродроме Кричевицы.</w:t>
      </w:r>
    </w:p>
    <w:p w14:paraId="78128F5E"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Подробности этой посадки Г.Ф. Байдуков, позже в своих мемуарах, описал так:</w:t>
      </w:r>
    </w:p>
    <w:p w14:paraId="7B12EFCC"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«Посадку следовало произвести ночью на аэродром, расположенный между Ленинградом и Москвой. Командир экипажа сказал: «Я давно не летал ночью...» Я сел за штурвал и вспомнил, что АНТ-25 нельзя сажать с весом более 7,6 т, а мы израсходовали еще мало бензина, излишки его следовало слить в полете, для чего в центропланных отсеках крыла были устроены две горловины с соответствующими разрывными устройствами. Ни Громов, ни Леваневский не испытали действие аварийного слива, а с согласия КБ ЦАГИ проводился слив воды вместо бензина. Видимо все боялись, что выхлопные газы АМ-34Р могут поджечь бензин и самолет взорвется сразу или загорится.</w:t>
      </w:r>
    </w:p>
    <w:p w14:paraId="20865F9F"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Но у меня не было выхода. Я попросил командира экипажа и штурмана разорвать горловины аварийного слива горючего. Мы были удивлены, что выливавшийся бензин проделывал невероятный путь… горючее, выходя из горловин, не отстает от самолета, а скользит тонким слоем по нижней поверхности крыла и, достигнув его кромки, не покидает самолет, а «перелезает» на верхнюю поверхность крыла и мчится вперед, невзирая на встречный воздушный поток. Только дойдя до верхней части дужки крыла, бензин отрывался и в вихрях встречного воздуха отставал от самолета. Такой путь сливаемого бензина для нас был неожиданностью, мы понимали всю опасность этого явления - перкалевое покрытие пропитывалось горючим... Открыв форточки и люки самолета, мы пытались снизить концентрацию отравляющих нас испарений. Посадка прошла благополучно, а через 20 минут при выключении аэронавигационных огней произошел взрыв осветительных ракет в консоли левого крыла, которые, разгоревшись до высокой температуры, прожгли все преграды и упали под крылом, пропитанным бензином. Начался пожар. Пылали крылья. Леваневский, Левченко и я в отчаянии пытались сбить пламя куртками, но наше летное обмундирование тоже загорелось. Выручила аварийная команда аэродрома: красноармейцы быстро окутали крылья большими брезентами и пожар был потушен». [100]</w:t>
      </w:r>
    </w:p>
    <w:p w14:paraId="5E0F09A3"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К 5 августа машину отремонтировали, и Байдуков перегнал ее в Москву. После этого он решил продолжить свое обучение в Академии, но Я.И. Алкснис тоном, не терпящим возражений, предложил Георгию Филипповичу, заняться испытаниями АНТ-25 для выявления и устранения дефектов, приведших к срыву перелета.</w:t>
      </w:r>
    </w:p>
    <w:p w14:paraId="01F198DF"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Вновь обратимся к воспоминаниям Г.Ф. Байдукова, в которых он писал:</w:t>
      </w:r>
    </w:p>
    <w:p w14:paraId="2C8250A5"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«Мне удалось добиться в четырех полетах при заправке рабочего маслобака «под пробку», как это было сделано перед стартом С.А. Леваневского, точно такой же потери масла через дренажную трубку, как это было 3 августа 1935 г. Только слив из рабочего бака масло до уровня, когда оголялся дренаж, мы останавливали процесс потери масла и, добавляя его из резервного бака строго по норме, добились нормальной работы системы маслопитания двигателя. Для предупреждения неполадок в маслосистеме было решено: 1) запретить заправку рабочего бака выше ординара; 2) переставить конец наружной части его дренажа туда, где есть положительная температура, но нет перепада давления воздуха.</w:t>
      </w:r>
    </w:p>
    <w:p w14:paraId="1E5C952D"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 xml:space="preserve">Загадку мне преподнес доктор, приезжавший с Правительственной комиссией на аэродром после нашего вынужденного возвращения. Он сказал, что результаты исследований крови в ту памятную ночь окончательно подтвердили, что экипаж Леваневского в полете отравлялся окисью углерода большой концентрации, т. е. </w:t>
      </w:r>
      <w:r w:rsidRPr="00E14102">
        <w:rPr>
          <w:color w:val="0070C0"/>
          <w:sz w:val="16"/>
          <w:szCs w:val="16"/>
        </w:rPr>
        <w:lastRenderedPageBreak/>
        <w:t>угарным газом. Если бы полет продлился еще 10 или 20 часов, все члены экипажа могли бы уснуть мертвым сном. Стали искать источники угарного газа. Ведущий инженер Евгений Иванович Стоман сказал:</w:t>
      </w:r>
    </w:p>
    <w:p w14:paraId="60D3918C"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 Окиси углерода всегда достаточно в картере работающего мотора, а оттуда, из картера, она свободно поступает в рабочий маслобак, из которого часть улетучивается через дренаж, а другая вполне может поступать через соединительную трубку в бак резервного масла, несмотря на имеющийся на этой магистрали кран перекрытия. Из бака резервного масла угарному газу путь один: через дренаж в кабину…</w:t>
      </w:r>
    </w:p>
    <w:p w14:paraId="2F839C86"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Контрольный полет доказал, что дренаж резервного маслобака – фабрика смертельного газа. Дренаж вывели наружу, и снова полет на проверку состава воздуха во всех частях кабины АНТ-25. Результаты оказались вполне удовлетворительные.</w:t>
      </w:r>
    </w:p>
    <w:p w14:paraId="67189366"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Осталось найти причину взрыва осветительных ракет Хольта внутри консоли левого крыла… Решили переложить электроцепь зажигания ракет Хольта, сделав три управляемых разрыва.</w:t>
      </w:r>
    </w:p>
    <w:p w14:paraId="34DB9E46" w14:textId="77777777" w:rsidR="003B10BA" w:rsidRPr="00E14102" w:rsidRDefault="003B10BA" w:rsidP="00E14102">
      <w:pPr>
        <w:shd w:val="clear" w:color="auto" w:fill="FFFFFF"/>
        <w:jc w:val="both"/>
        <w:textAlignment w:val="baseline"/>
        <w:rPr>
          <w:color w:val="0070C0"/>
          <w:sz w:val="16"/>
          <w:szCs w:val="16"/>
        </w:rPr>
      </w:pPr>
      <w:r w:rsidRPr="00E14102">
        <w:rPr>
          <w:color w:val="0070C0"/>
          <w:sz w:val="16"/>
          <w:szCs w:val="16"/>
        </w:rPr>
        <w:t>Из всего сказанного можно отметить низкий уровень испытания самолета АНТ-25 в арктическом варианте» (21249).</w:t>
      </w:r>
    </w:p>
    <w:p w14:paraId="6853C4AF" w14:textId="77777777" w:rsidR="003B10BA" w:rsidRPr="00E14102" w:rsidRDefault="003B10BA" w:rsidP="00E14102">
      <w:pPr>
        <w:shd w:val="clear" w:color="auto" w:fill="FFFFFF"/>
        <w:jc w:val="both"/>
        <w:textAlignment w:val="baseline"/>
        <w:rPr>
          <w:color w:val="0070C0"/>
          <w:sz w:val="16"/>
          <w:szCs w:val="16"/>
        </w:rPr>
      </w:pPr>
    </w:p>
    <w:p w14:paraId="32D4F5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августа 1935 С.П.К. выступил с критикой проекта стратосферной ракеты М.К. Тихонравова и А.А. Штернфельда на совещании инженеров II отдела РНИИ. Рекомендовал провести углубленную проработку подготовленных вариантов и в первую очередь решить вопросы автоматического управления (ААН, р. 4, оп. 14, № 171, л. 21) (10676).</w:t>
      </w:r>
    </w:p>
    <w:p w14:paraId="2EECE8FC" w14:textId="77777777" w:rsidR="00D4105E" w:rsidRPr="00E14102" w:rsidRDefault="00D4105E" w:rsidP="00E14102">
      <w:pPr>
        <w:autoSpaceDE w:val="0"/>
        <w:autoSpaceDN w:val="0"/>
        <w:adjustRightInd w:val="0"/>
        <w:jc w:val="both"/>
        <w:rPr>
          <w:color w:val="000000" w:themeColor="text1"/>
          <w:sz w:val="16"/>
          <w:szCs w:val="16"/>
        </w:rPr>
      </w:pPr>
    </w:p>
    <w:p w14:paraId="51B2E6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августа 1935 воздухоплаватели Б.А.Романов и А.И.Бобыкин установили рекорд продолжительности полета, продержавшись на аэростате объемом 1600 м 56 час (вылетели 31 июля) (438,692).</w:t>
      </w:r>
    </w:p>
    <w:p w14:paraId="574A964F" w14:textId="77777777" w:rsidR="00D4105E" w:rsidRPr="00E14102" w:rsidRDefault="00D4105E" w:rsidP="00E14102">
      <w:pPr>
        <w:autoSpaceDE w:val="0"/>
        <w:autoSpaceDN w:val="0"/>
        <w:adjustRightInd w:val="0"/>
        <w:jc w:val="both"/>
        <w:rPr>
          <w:color w:val="000000" w:themeColor="text1"/>
          <w:sz w:val="16"/>
          <w:szCs w:val="16"/>
        </w:rPr>
      </w:pPr>
    </w:p>
    <w:p w14:paraId="637530A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1D7B230" w14:textId="77777777" w:rsidR="00D4105E" w:rsidRPr="00E14102" w:rsidRDefault="00D4105E" w:rsidP="00E14102">
      <w:pPr>
        <w:autoSpaceDE w:val="0"/>
        <w:autoSpaceDN w:val="0"/>
        <w:adjustRightInd w:val="0"/>
        <w:jc w:val="both"/>
        <w:rPr>
          <w:iCs/>
          <w:color w:val="000000" w:themeColor="text1"/>
          <w:sz w:val="16"/>
          <w:szCs w:val="16"/>
        </w:rPr>
      </w:pPr>
    </w:p>
    <w:p w14:paraId="6ADB8E2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 августа 1935 в школах Украины введен предмет “физкультура” (4962).</w:t>
      </w:r>
    </w:p>
    <w:p w14:paraId="03E9B9F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89061B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600B425" w14:textId="77777777" w:rsidR="00D4105E" w:rsidRPr="00E14102" w:rsidRDefault="00D4105E" w:rsidP="00E14102">
      <w:pPr>
        <w:autoSpaceDE w:val="0"/>
        <w:autoSpaceDN w:val="0"/>
        <w:adjustRightInd w:val="0"/>
        <w:jc w:val="both"/>
        <w:rPr>
          <w:iCs/>
          <w:color w:val="000000" w:themeColor="text1"/>
          <w:sz w:val="16"/>
          <w:szCs w:val="16"/>
        </w:rPr>
      </w:pPr>
    </w:p>
    <w:p w14:paraId="340BB80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августа 1935 года вышло Постановление № С-98сс СТО.</w:t>
      </w:r>
    </w:p>
    <w:p w14:paraId="40A07E9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 постройке дальнего бомбардировщика ДБ-2</w:t>
      </w:r>
    </w:p>
    <w:p w14:paraId="68249B8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5F705B5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Утвердить предложение ГУАПа о постройке дальнего бомбардировщика ДБ-2 – 2К-14 взамен потерпевшего катастрофу при испытании 20 июля 1935 года, внеся в самолет необходимые изменения. В частности определить запас прочности в 7,% при полетном весе в 9,5 тонн.</w:t>
      </w:r>
    </w:p>
    <w:p w14:paraId="746E1B9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Срок окончания постройки – 1 марта 1936 года.</w:t>
      </w:r>
    </w:p>
    <w:p w14:paraId="3F26102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Предложить ГУАПу одновременно с постройкой эталона ЦАГИ развернуть подготовку к постройке головной серии этого самолета (ДБ-2) в количестве 5 штук для войсковых испытаний.</w:t>
      </w:r>
    </w:p>
    <w:p w14:paraId="32478CC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Производство самолета ДБ-2 развернуть на заводе № 18. ГУАПу установить срок готовности первых пяти машин и двухдекадный срок доложить СТО.</w:t>
      </w:r>
    </w:p>
    <w:p w14:paraId="7DEF8BF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 Отпустить ГУАПу в 1935 году из резервного фонда СНК на выполнение данного задания 2,5 млн. рублей, из них ЦАГИ – 1,8 млн. рублей и заводу № 18 – 700 тысяч рублей (4256, 1).</w:t>
      </w:r>
    </w:p>
    <w:p w14:paraId="69DAA534"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400A7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года постановление № С-98сс СТО</w:t>
      </w:r>
    </w:p>
    <w:p w14:paraId="282919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постройке дальнего бомбардировщика ДБ-2</w:t>
      </w:r>
    </w:p>
    <w:p w14:paraId="4BD09D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1D3DD08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Утвердить предложение ГУАПа о постройке дальнего бомбардировщика ДБ-2 – 2К-14 взамен потерпевшего катастрофу при испытании 20 июля 1935 года, внеся в самолет необходимые изменения. В частности определить запас прочности в 7,5 при полетном весе в 9,5 тонн.</w:t>
      </w:r>
    </w:p>
    <w:p w14:paraId="677503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окончания постройки – 1 марта 1936 года.</w:t>
      </w:r>
    </w:p>
    <w:p w14:paraId="0F081AD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Предложить ГУАПу одновременно с постройкой эталона, ЦАГИ развернуть подготовку к постройке головной серии этого самолета (ДБ-2) в количестве 5 штук для войсковых испытаний.</w:t>
      </w:r>
    </w:p>
    <w:p w14:paraId="44FB3C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самолета ДБ-2 развернуть на заводе № 18. ГУАПу установить срок готовности первых пяти машин и в двухдекадный срок доложить СТО (7516, 108).</w:t>
      </w:r>
    </w:p>
    <w:p w14:paraId="7543EE71" w14:textId="77777777" w:rsidR="00D4105E" w:rsidRPr="00E14102" w:rsidRDefault="00D4105E" w:rsidP="00E14102">
      <w:pPr>
        <w:autoSpaceDE w:val="0"/>
        <w:autoSpaceDN w:val="0"/>
        <w:adjustRightInd w:val="0"/>
        <w:jc w:val="both"/>
        <w:rPr>
          <w:color w:val="000000" w:themeColor="text1"/>
          <w:sz w:val="16"/>
          <w:szCs w:val="16"/>
        </w:rPr>
      </w:pPr>
    </w:p>
    <w:p w14:paraId="4A1F5A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вышло постановление СТО N С-98сс "О постройке дальнего бомбардировщика ДБ-2". Пред. СТО Чубарь (2161,186).</w:t>
      </w:r>
    </w:p>
    <w:p w14:paraId="2FEF92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Утвердить предложение ЦАГИ о постройке дальнего бомбардировщика ДБ-2 2К-14 взамен потерпевшего катастрофу при испытании 20 июля с.г., внеся в самолет необходимые изменения. В частности определить запас прочности в 7.5 при полетном весе 9.5 т.</w:t>
      </w:r>
    </w:p>
    <w:p w14:paraId="14C8D4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окончания постройки - 1 марта 1936.</w:t>
      </w:r>
    </w:p>
    <w:p w14:paraId="779B2B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одновременно с постройкой эталона ЦАГИ развернуть подготовку к постройке головной серии этого самолета в количестве 5 шт. для войсковых испытаний.</w:t>
      </w:r>
    </w:p>
    <w:p w14:paraId="16EB57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ДБ-2 развернуть на заводе 18." (2398,114).</w:t>
      </w:r>
    </w:p>
    <w:p w14:paraId="5D77349C" w14:textId="77777777" w:rsidR="00D4105E" w:rsidRPr="00E14102" w:rsidRDefault="00D4105E" w:rsidP="00E14102">
      <w:pPr>
        <w:autoSpaceDE w:val="0"/>
        <w:autoSpaceDN w:val="0"/>
        <w:adjustRightInd w:val="0"/>
        <w:jc w:val="both"/>
        <w:rPr>
          <w:color w:val="000000" w:themeColor="text1"/>
          <w:sz w:val="16"/>
          <w:szCs w:val="16"/>
        </w:rPr>
      </w:pPr>
    </w:p>
    <w:p w14:paraId="412A28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года Постановлением СТО была утверждена постройка нового образца ДБ-2 с окончанием постройки в марте 1936 года. Протоколом КО от 25 января 1936 года установлена постройка в 1936 году головной серии в 5 самолетов для совместных испытаний (3829,8-9).</w:t>
      </w:r>
    </w:p>
    <w:p w14:paraId="0970E74A" w14:textId="77777777" w:rsidR="00D4105E" w:rsidRPr="00E14102" w:rsidRDefault="00D4105E" w:rsidP="00E14102">
      <w:pPr>
        <w:autoSpaceDE w:val="0"/>
        <w:autoSpaceDN w:val="0"/>
        <w:adjustRightInd w:val="0"/>
        <w:jc w:val="both"/>
        <w:rPr>
          <w:color w:val="000000" w:themeColor="text1"/>
          <w:sz w:val="16"/>
          <w:szCs w:val="16"/>
        </w:rPr>
      </w:pPr>
    </w:p>
    <w:p w14:paraId="4B65B7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вышло постановление СТО N С-99сс "О месте и сроках строительства мощных самолетов (МГ) Пред. СТО Чубарь (2161,188).</w:t>
      </w:r>
    </w:p>
    <w:p w14:paraId="183EB8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постановлением СНК от 6 июля 1935 о постройке 16 самолетов типа МГ:</w:t>
      </w:r>
    </w:p>
    <w:p w14:paraId="3932DC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Определить назначение строящихся самолетов - для пассажирских целей с возможностью переоборудования их в военное время для транспортных целей и бомбардировки.</w:t>
      </w:r>
    </w:p>
    <w:p w14:paraId="6F52BC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Утвердить основные ЛТД с 6М-34Р по 1250 нр:</w:t>
      </w:r>
    </w:p>
    <w:p w14:paraId="540DC8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- 250-275 км/час</w:t>
      </w:r>
    </w:p>
    <w:p w14:paraId="2FD1FF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- 6000 м</w:t>
      </w:r>
    </w:p>
    <w:p w14:paraId="264242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- 1500-3000 км</w:t>
      </w:r>
    </w:p>
    <w:p w14:paraId="570608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полетный вес - 42-48 т</w:t>
      </w:r>
    </w:p>
    <w:p w14:paraId="1D897B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число пассажиров - 60</w:t>
      </w:r>
    </w:p>
    <w:p w14:paraId="3E50AC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Разработку конструкции поручить ЦАГИ. Самолеты строить на Казанском заводе 124 с выпуском в 1937-1938 гг." (2398,115).</w:t>
      </w:r>
    </w:p>
    <w:p w14:paraId="37F216C0" w14:textId="77777777" w:rsidR="00D4105E" w:rsidRPr="00E14102" w:rsidRDefault="00D4105E" w:rsidP="00E14102">
      <w:pPr>
        <w:autoSpaceDE w:val="0"/>
        <w:autoSpaceDN w:val="0"/>
        <w:adjustRightInd w:val="0"/>
        <w:jc w:val="both"/>
        <w:rPr>
          <w:color w:val="000000" w:themeColor="text1"/>
          <w:sz w:val="16"/>
          <w:szCs w:val="16"/>
        </w:rPr>
      </w:pPr>
    </w:p>
    <w:p w14:paraId="5D5F93D9" w14:textId="77777777" w:rsidR="008A0D6C" w:rsidRPr="00E14102" w:rsidRDefault="008A0D6C" w:rsidP="00E14102">
      <w:pPr>
        <w:jc w:val="both"/>
        <w:rPr>
          <w:color w:val="000000" w:themeColor="text1"/>
          <w:sz w:val="16"/>
          <w:szCs w:val="16"/>
        </w:rPr>
      </w:pPr>
      <w:r w:rsidRPr="00E14102">
        <w:rPr>
          <w:color w:val="000000" w:themeColor="text1"/>
          <w:sz w:val="16"/>
          <w:szCs w:val="16"/>
        </w:rPr>
        <w:t>4 августа 1935 г. Постановление СТО утвердило предложение Главного Управле</w:t>
      </w:r>
      <w:r w:rsidRPr="00E14102">
        <w:rPr>
          <w:color w:val="000000" w:themeColor="text1"/>
          <w:sz w:val="16"/>
          <w:szCs w:val="16"/>
        </w:rPr>
        <w:softHyphen/>
        <w:t>ния авиационной промышленности (ГУАП) «...о постройке дальнего бомбардировщика ДБ-2 — 2К14, взамен потерпевшего катастрофу при испытании 20 июля с.г., внеся в самолёт необходимые изменения...</w:t>
      </w:r>
    </w:p>
    <w:p w14:paraId="36B7CC57" w14:textId="77777777" w:rsidR="008A0D6C" w:rsidRPr="00E14102" w:rsidRDefault="008A0D6C" w:rsidP="00E14102">
      <w:pPr>
        <w:jc w:val="both"/>
        <w:rPr>
          <w:color w:val="000000" w:themeColor="text1"/>
          <w:sz w:val="16"/>
          <w:szCs w:val="16"/>
        </w:rPr>
      </w:pPr>
      <w:r w:rsidRPr="00E14102">
        <w:rPr>
          <w:color w:val="000000" w:themeColor="text1"/>
          <w:sz w:val="16"/>
          <w:szCs w:val="16"/>
        </w:rPr>
        <w:t>Предложить ГУАП'у одновременно с постройкой эталона ЦАГИ развернуть подготов</w:t>
      </w:r>
      <w:r w:rsidRPr="00E14102">
        <w:rPr>
          <w:color w:val="000000" w:themeColor="text1"/>
          <w:sz w:val="16"/>
          <w:szCs w:val="16"/>
        </w:rPr>
        <w:softHyphen/>
        <w:t>ку к постройке головной серии этого самолёта (ДБ-2) в количестве 5 шт. для войско</w:t>
      </w:r>
      <w:r w:rsidRPr="00E14102">
        <w:rPr>
          <w:color w:val="000000" w:themeColor="text1"/>
          <w:sz w:val="16"/>
          <w:szCs w:val="16"/>
        </w:rPr>
        <w:softHyphen/>
        <w:t>вых испытаний.</w:t>
      </w:r>
    </w:p>
    <w:p w14:paraId="4426FDA5" w14:textId="77777777" w:rsidR="008A0D6C" w:rsidRPr="00E14102" w:rsidRDefault="008A0D6C" w:rsidP="00E14102">
      <w:pPr>
        <w:jc w:val="both"/>
        <w:rPr>
          <w:color w:val="000000" w:themeColor="text1"/>
          <w:sz w:val="16"/>
          <w:szCs w:val="16"/>
        </w:rPr>
      </w:pPr>
      <w:r w:rsidRPr="00E14102">
        <w:rPr>
          <w:color w:val="000000" w:themeColor="text1"/>
          <w:sz w:val="16"/>
          <w:szCs w:val="16"/>
        </w:rPr>
        <w:t>Производство самолёта ДБ-2 развернуть на заводе N9 18 (г. Воронеж)...» (15812).</w:t>
      </w:r>
    </w:p>
    <w:p w14:paraId="26DD8D31" w14:textId="77777777" w:rsidR="008A0D6C" w:rsidRPr="00E14102" w:rsidRDefault="008A0D6C" w:rsidP="00E14102">
      <w:pPr>
        <w:jc w:val="both"/>
        <w:rPr>
          <w:color w:val="000000" w:themeColor="text1"/>
          <w:sz w:val="16"/>
          <w:szCs w:val="16"/>
        </w:rPr>
      </w:pPr>
    </w:p>
    <w:p w14:paraId="1C7E5A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 вышло специальное постановление Совета труда и обороны (СТО). К 4 июля 1935 на счетах находилось 68 миллионов рублей на постройку десяти, а затем 16 новых самолетов типа АНТ- 20. Еще не существующим гигантам даже имена подобрали. Первый самолет должен был называться "Владимир Ленин". Следующим, разумеется, шел "Иосиф Сталин". А вот третьей машине намеревались повторно присвоить имя "Максим Горький". Далее по рангу перечислялись высшие руководители страны: и легендарные герои, прах которых уже покоился в земле, и еще благополучно здравствовавшие: "Михаил Калинин", "Вячеслав Молотов", "Климент Ворошилов", "Серго Орджоникидзе", "Лазарь Каганович", "Станислав Косиор", "Влас Чубарь", "Анастас Микоян", "Андрей Андреев", "Сергей Киров", "Михаил Фрунзе", "Феликс Дзержинский" и "Валериан Куйбышев" (11926).</w:t>
      </w:r>
    </w:p>
    <w:p w14:paraId="364FC3F6" w14:textId="77777777" w:rsidR="00D4105E" w:rsidRPr="00E14102" w:rsidRDefault="00D4105E" w:rsidP="00E14102">
      <w:pPr>
        <w:autoSpaceDE w:val="0"/>
        <w:autoSpaceDN w:val="0"/>
        <w:adjustRightInd w:val="0"/>
        <w:jc w:val="both"/>
        <w:rPr>
          <w:color w:val="000000" w:themeColor="text1"/>
          <w:sz w:val="16"/>
          <w:szCs w:val="16"/>
        </w:rPr>
      </w:pPr>
    </w:p>
    <w:p w14:paraId="2D1D87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4 августа 1935 г. постановлением Совета труда и обороны (СТО) постройка 16 самолетов МГ была поручена еще не достроенному заводу № 124 (ранее "Казмашстрой") в Казани. В том же месяце там получили первые чертежи. Первыми должны были быть собраны два головных самолета, затем 1-я серия (четыре машины), 2-я серия (пять) и 3-я (еще пять). Каждый МГ-бис с моторами оценивался в 510 тыс. рублей - по тем временам очень большие деньги. СТО специальным постановлением выделил на их постройку на 1936 г. 20,5 миллионов рублей. Но нехватка на молодом предприятии квалифицированных кадров привела к медленной подготовке к </w:t>
      </w:r>
      <w:r w:rsidRPr="00E14102">
        <w:rPr>
          <w:color w:val="000000" w:themeColor="text1"/>
          <w:sz w:val="16"/>
          <w:szCs w:val="16"/>
        </w:rPr>
        <w:lastRenderedPageBreak/>
        <w:t>производству. К 1 декабря 1935 г. в Казани сделали лишь около половины требуемых рабочих чертежей и примерно треть технологических карт. Ни одного приспособления не изготовили, необходимые станки не прибыли (11926).</w:t>
      </w:r>
    </w:p>
    <w:p w14:paraId="60F3E3CA" w14:textId="77777777" w:rsidR="00D4105E" w:rsidRPr="00E14102" w:rsidRDefault="00D4105E" w:rsidP="00E14102">
      <w:pPr>
        <w:autoSpaceDE w:val="0"/>
        <w:autoSpaceDN w:val="0"/>
        <w:adjustRightInd w:val="0"/>
        <w:jc w:val="both"/>
        <w:rPr>
          <w:color w:val="000000" w:themeColor="text1"/>
          <w:sz w:val="16"/>
          <w:szCs w:val="16"/>
        </w:rPr>
      </w:pPr>
    </w:p>
    <w:p w14:paraId="077696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 постановлением Совета труда и обороны (СТО) постройка 16 самолетов МГ была поручена еще не достроенному заводу № 124 (ранее "Казмашстрой") в Казани. В том же месяце там получили первые чертежи. Первыми должны были быть собраны два головных самолета, затем 1-я серия (четыре машины), 2-я серия (пять) и 3-я (еще пять). Каждый МГ с моторами оценивался в 510 000 рублей - по тем временам очень большие деньги. СТО специальным постановлением выделил на постройку М Г на 1936 г. 20,5 миллиона рублей. Но нехватка на молодом предприятии квалифицированных кадров привела к медленной подготовке к производству. К 1 декабря 1935 г. в Казани сделали лишь около половины требуемых рабочих чертежей и примерно треть технологических карт. Ни одного приспособления не изготовили, необходимые станки не прибыли.</w:t>
      </w:r>
    </w:p>
    <w:p w14:paraId="6B7F19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Управление ВВС продолжало иметь свои виды на новые самолеты-гиганты. Похоже, что там остались сторонники сверхтяжелых бомбовозов. 31 марта 1936 г. утвердили новое задание на военный вариант АНТ-20бис. Он рассматривался как машина двойного назначения - дальний бомбардировщик и военно-транспортный самолет, применяемый как днем, так и ночью, а также в сложных метеоусловиях. От такого военного МГ требовали максимальную скорость на высоте 275 км/ч при максимальной скорости у земли 250 км/ч. Посадочная скорость задавалась равной 100 км/ч, практический потолок - 6000 м. Предельная дальность определялась в 3000 км, но с 4000 кг бомб она уменьшалась вдвое, до 1500 км.</w:t>
      </w:r>
    </w:p>
    <w:p w14:paraId="06060F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Мотоустановка состояла из шести двигателей М-34РН. Универсальные моторамы позволяли при необходимости монтировать вместо них М-34Рбез нагнетателей. Винты - трехлопастные металлические, изменяемого шага, типа ВИШ-4. В отличие от гражданской машины от военного МГ требовали наличия системы аварийного слива топлива из всех баков с расходом не менее 1000 кг/мин.</w:t>
      </w:r>
    </w:p>
    <w:p w14:paraId="319F94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Экипаж военного варианта должен был состоять из 12 человек: освобожденного от других функций командира, двух пилотов, штурмана-бомбардира, трех бортмехаников, радиста и четырех стрелков.</w:t>
      </w:r>
    </w:p>
    <w:p w14:paraId="51FDCE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Оборонительное вооружение самолета складывалось из пяти 20-мм пушек ШВАК (две из них монтировались в спаренной установке в носу фюзеляжа) и четырех 7,62-мм пулеметов ШКАС - у командира, штурмана, на фюзеляже сверху и один перебрасываемый с борта на борт (для стрельбы в окно). Общий боезапас составлял 2400 снарядов и 6000 патронов.</w:t>
      </w:r>
    </w:p>
    <w:p w14:paraId="10E0DF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Нормальная бомбовая нагрузка военного М Г равнялась 4000 кг. Большая часть бомб располагалась внутри фюзеляжа в кассетах. На самолете собирались смонтировать четыре шестизамковых кассетных бомбодержателя КД-3, четыре четырехзамковых КД-3 и дополнительно два четырехзамковых КД-2 для пристрелочных и светящихся бомб. Бомбы крупного калибра (500 кг) машина должна была нести снаружи на двух балках ДОТ-2000. Предусматривались следующие варианты загрузки бомбами: 16 бомб по 250 кг, восемь по 500 кг, четыре по 1000 кг, две по 2000 кг. В придачу к этому можно было взять четыре пристрелочных бомбы по 50 кг или от 14 до 25 светящихся по 4 кг. Сброс основных бомб осуществлялся двумя электробомбосбрасывателями ЭСБР-2. Для пристрелочных и светящихся имелся отдельный ЭСБР-3. При отказе электробомбосбрасывателей в ход шли дублирующие механические сбрасыватели ACT (один для боевых бомб, другой - для пристрелочных и светящихся). Прицеливание при бомбометании собирались вести с помощью прицелов ОПБ-2, С-4, СП-122 и СП-123. Наличие двух последних показывает, что задание предусматривало вместо бомб также и несение морских мин и торпед, сбрасываемых на парашютах. На самолете должна была быть установлена система "Шутка", позволявшая осуществлять залповое бомбометание всей группы самолетов по радиосигналу с головной машины строя.</w:t>
      </w:r>
    </w:p>
    <w:p w14:paraId="1DDBD4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выполнении транспортных задач военный МГ мог перевозить до 80 человек с оружием или до 8000 кг груза. При этом предусматривался сброс и людей, и грузов с парашютами. В число вариантов загрузки входили бронированные машины - легкие плавающие танки, танкетки и бронеавтомобили. Самолет мог взять две машины одновременно: танк Т-37 плюс танкетку Т-27, две Т-27, один танк Т-37 и бронеавтомобиль ФАИ, броневики ФАИ и БАИ, БАИ плюс Т-27. Вес груза у всех этих вариантов варьировался от 5250 кг до 6560 кг.</w:t>
      </w:r>
    </w:p>
    <w:p w14:paraId="1584FB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посадки ночью предусматривались две фары по 1000 Вт, подкрыльные пиротехнические факелы и четыре сбрасываемые на парашютах ракеты ПАР-13. В состав оборудования входили радиостанции РАДГ с радиусом действия 2000 км и РИУ для связи с другими самолетами в строю, переговорное устройство, сирена, пневмопочта между штурманом и радистом. Для артиллеристов предусматривались электромеханические сигнализаторы, указывающие направление сосредоточения огня. С их помощью командир самолета мог управлять воздушным боем. Имелись радиополукомпас СП К и фотоаппарат Поттэ 1Б, позволяющий вести плановую и перспективную съемку.</w:t>
      </w:r>
    </w:p>
    <w:p w14:paraId="29C3FB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над АНТ-20бис в Казани велась в тесном сотрудничестве с туполевцами. На заводе постоянно находилась бригада конструкторов во главе с Б.А. Саукке, оперативно решавшая возникавшие вопросы. Параллельно в Москве на заводе № 156 (бывшем ЗОК) построили макет МГ-бис.</w:t>
      </w:r>
    </w:p>
    <w:p w14:paraId="5EA611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1937 г. в Казани изготовили центроплан самолета и консоли крыла, а также части фюзеляжа АНТ-20бис головной машины. Даже начали сборку, но из-за обилия снега зимой провалилась крыша цеха. Самолет не пострадал, а крышу отремонтировали. К этому времени закончили новый сборочный цех. Самолет расстыковали и перетащили по частям туда. В 1938 г. смонтировали шасси и начали внутреннюю отделку фюзеляжа.</w:t>
      </w:r>
    </w:p>
    <w:p w14:paraId="23FAC6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выполнение задания затянулось. Не хватало материалов, денег, оборудования, специалистов. Да и требования к конструкции и оборудованию самолета за столь длительный период несколько раз корректировали. Первоначально АНТ-20бис рассчитывали на прочность по нормам 1934 г. Но в 1937 г. ввели новые нормы, более жесткие. Кроме того, максимальный вес самолета оценивался сначала в 42 ООО кг, но уже становилось ясно, что удержать его не удастся. Действительно, его превысили примерно на две тонны. Пришлось производить повторный расчет на прочность основных узлов и вводить некоторые усиления соединений.</w:t>
      </w:r>
    </w:p>
    <w:p w14:paraId="669182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Свою лепту в отставание от плана внесла волна репрессий. Саукке объявили "врагом народа", потом та же судьба постигла и самого Туполева, под давлением НКВД признавшего себя контрреволюционером и вредителем. Следом за ними в тюрьмах и лагерях оказались многие работники как ЦАГИ, так и авиационной промышленности. По заводам пошли аресты, когда любая ошибка объявлялась происками вредителей и вражеских шпионов.</w:t>
      </w:r>
    </w:p>
    <w:p w14:paraId="774037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Строительство многомоторного гиганта шло крайне медленно. Чтобы облегчить предприятию задачу, количество строящихся самолетов урезали до пяти, затем отказались не только от установки какого-либо военного оборудования, но и от приспособлений для его монтажа в будущем.</w:t>
      </w:r>
    </w:p>
    <w:p w14:paraId="75AAD6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Ответственность за АНТ-20бис (впрочем, он уже таковым не являлся - после ареста Туполева самолет получил "нейтральное" обозначение ПС-124) принял на себя И.Ф. Нез- валь. Но для него гигант был обузой, поскольку основной продукцией предприятия был объявлен новый четырехмоторный тяжелый бомбардировщик ТБ-7.</w:t>
      </w:r>
    </w:p>
    <w:p w14:paraId="35EA10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ПС-124 уже всем мешал. Поэтому решили как можно быстрее завершить единственную уже почти готовую машину и на этом с гигантом покончить. О намерении назвать ее "Владимир Ленин" уже не напоминали. Из следовавших за ним деятелей, в чью честь собирались назвать самолеты, многих уже записали во "враги народа", а некоторых уже расстреляли. Всякие упоминания о 16 воздушных гигантах исчезли - кому же хочется говорить о своих провалах. А уж вопрос, куда дели собранные деньги, наверняка мог привести на лесоповал (12024).</w:t>
      </w:r>
    </w:p>
    <w:p w14:paraId="6F774CA4" w14:textId="77777777" w:rsidR="00D4105E" w:rsidRPr="00E14102" w:rsidRDefault="00D4105E" w:rsidP="00E14102">
      <w:pPr>
        <w:autoSpaceDE w:val="0"/>
        <w:autoSpaceDN w:val="0"/>
        <w:adjustRightInd w:val="0"/>
        <w:jc w:val="both"/>
        <w:rPr>
          <w:color w:val="000000" w:themeColor="text1"/>
          <w:sz w:val="16"/>
          <w:szCs w:val="16"/>
        </w:rPr>
      </w:pPr>
    </w:p>
    <w:p w14:paraId="4EC422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 вышло специальное постановление Совета труда и обороны (СТО) десяти, а затем 16 АНТ-20. Им даже имена подобрали; первый самолет должен был называться "Владимир Ленин" (12036).</w:t>
      </w:r>
    </w:p>
    <w:p w14:paraId="555BD4FE" w14:textId="77777777" w:rsidR="00D4105E" w:rsidRPr="00E14102" w:rsidRDefault="00D4105E" w:rsidP="00E14102">
      <w:pPr>
        <w:autoSpaceDE w:val="0"/>
        <w:autoSpaceDN w:val="0"/>
        <w:adjustRightInd w:val="0"/>
        <w:jc w:val="both"/>
        <w:rPr>
          <w:color w:val="000000" w:themeColor="text1"/>
          <w:sz w:val="16"/>
          <w:szCs w:val="16"/>
        </w:rPr>
      </w:pPr>
    </w:p>
    <w:p w14:paraId="3F0706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 постановлением Совета труда и обороны (СТО) постройка 16 самолетов МГ была поручена еще не достроенному заводу № 124 (ранее "Казмашстрой") в Казани. В том же месяце там получили первые чертежи. Первыми должны были быть собраны два головных самолета, затем 1-я серия (четыре машины), 2-я серия (пять) и 3-я (еще пять). Каждый МГ с моторами оценивался в 510 000 рублей - по тем временам очень большие деньги. СТО специальным постановлением выделил на постройку М Г на 1936 г. 20,5 миллионов рублей.</w:t>
      </w:r>
    </w:p>
    <w:p w14:paraId="0BA115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нехватка на молодом предприятии квалифицированных кадров привела к медленной подготовке к производству. К 1 декабря 1935 г. в Казани сделали лишь около половины требуемых рабочих чертежей и примерно треть технологических карт. Ни одного приспособления не изготовили, необходимые станки не прибыли (12036).</w:t>
      </w:r>
    </w:p>
    <w:p w14:paraId="3DBED474" w14:textId="77777777" w:rsidR="00D4105E" w:rsidRPr="00E14102" w:rsidRDefault="00D4105E" w:rsidP="00E14102">
      <w:pPr>
        <w:autoSpaceDE w:val="0"/>
        <w:autoSpaceDN w:val="0"/>
        <w:adjustRightInd w:val="0"/>
        <w:jc w:val="both"/>
        <w:rPr>
          <w:color w:val="000000" w:themeColor="text1"/>
          <w:sz w:val="16"/>
          <w:szCs w:val="16"/>
        </w:rPr>
      </w:pPr>
    </w:p>
    <w:p w14:paraId="5CE93D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В.Я.Чубарь, зам. A.К.Орджоникидзе по СТО, подписал постановление N 100сс "О постройке 6-ти моторного самолета конструкции Калинина" (2161,189) по К-7 и выделил 5 млн. руб. (70,250).</w:t>
      </w:r>
    </w:p>
    <w:p w14:paraId="7AE0D682" w14:textId="77777777" w:rsidR="00D4105E" w:rsidRPr="00E14102" w:rsidRDefault="00D4105E" w:rsidP="00E14102">
      <w:pPr>
        <w:autoSpaceDE w:val="0"/>
        <w:autoSpaceDN w:val="0"/>
        <w:adjustRightInd w:val="0"/>
        <w:jc w:val="both"/>
        <w:rPr>
          <w:color w:val="000000" w:themeColor="text1"/>
          <w:sz w:val="16"/>
          <w:szCs w:val="16"/>
        </w:rPr>
      </w:pPr>
    </w:p>
    <w:p w14:paraId="2819CA96" w14:textId="77777777" w:rsidR="003B10BA" w:rsidRPr="00E14102" w:rsidRDefault="003B10BA" w:rsidP="00E14102">
      <w:pPr>
        <w:jc w:val="both"/>
        <w:rPr>
          <w:color w:val="0070C0"/>
          <w:sz w:val="16"/>
          <w:szCs w:val="16"/>
        </w:rPr>
      </w:pPr>
      <w:r w:rsidRPr="00E14102">
        <w:rPr>
          <w:color w:val="0070C0"/>
          <w:sz w:val="16"/>
          <w:szCs w:val="16"/>
        </w:rPr>
        <w:t>4 августа 1935 г. Постановлением СТО СССР от 04.08.35 г. (подписал член Политбюро ЦК ВКП(б) В.Я. Чубарь) КБ Калинина (завод № 18) было выделено 500000 руб. из фонда Максима Горького на завершение проектирование и достройку самолета К-7 6М-34ФРН № 2 (23098).</w:t>
      </w:r>
    </w:p>
    <w:p w14:paraId="007D967E" w14:textId="77777777" w:rsidR="003B10BA" w:rsidRPr="00E14102" w:rsidRDefault="003B10BA" w:rsidP="00E14102">
      <w:pPr>
        <w:jc w:val="both"/>
        <w:rPr>
          <w:color w:val="0070C0"/>
          <w:sz w:val="16"/>
          <w:szCs w:val="16"/>
        </w:rPr>
      </w:pPr>
    </w:p>
    <w:p w14:paraId="1E9233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года постановление № С-99сс СТО</w:t>
      </w:r>
    </w:p>
    <w:p w14:paraId="69DD4C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месте и сроках строительства мощных самолетов</w:t>
      </w:r>
    </w:p>
    <w:p w14:paraId="69C41E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исполнение постановления СНК от 6 июля 1935 года о постройке 16 самолетов типа "Максим Горький" СТО постановляет:</w:t>
      </w:r>
    </w:p>
    <w:p w14:paraId="23C785A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назначение строящихся самолетов – для пассажирских целей с возможностью переоборудования их в военное время для транспортных целей и бомбардировки.</w:t>
      </w:r>
    </w:p>
    <w:p w14:paraId="385E826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Утвердить основные летно-технические данные самолетов с 6-ю моторами М-34Р мощностью по 1250 л.с.</w:t>
      </w:r>
    </w:p>
    <w:p w14:paraId="1CBD68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 250-275 км/час</w:t>
      </w:r>
    </w:p>
    <w:p w14:paraId="2950BB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Потолок – 6000 м</w:t>
      </w:r>
    </w:p>
    <w:p w14:paraId="193499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полета – 1500-3000 км</w:t>
      </w:r>
    </w:p>
    <w:p w14:paraId="11E8F2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Полетный вес – 42-48 тонн</w:t>
      </w:r>
    </w:p>
    <w:p w14:paraId="30AB7A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Число пассажиров – 60 человек</w:t>
      </w:r>
    </w:p>
    <w:p w14:paraId="3D7454F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Разработку конструкции самолетов поручить ЦАГИ. Самолеты строить на Казанском заводе № 124 с выпуском этих машин в 1937-38 г.г.</w:t>
      </w:r>
    </w:p>
    <w:p w14:paraId="32ECC1C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выполнения указанного задания отпустить ГУАП из собранного на постройку самолетов "МГ" специального фонда в 1935 году 5 млн. рублей ……………(4516, 109).</w:t>
      </w:r>
    </w:p>
    <w:p w14:paraId="3FD2C9A8"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148F0E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года постановление № С-100сс СТО</w:t>
      </w:r>
    </w:p>
    <w:p w14:paraId="4F1D77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постройке 6-ти моторного самолета конструкции Калинина</w:t>
      </w:r>
    </w:p>
    <w:p w14:paraId="3889EA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1DFD150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Калинина в 2-3-х месячный срок закончить эскизный проект и все расчеты по самолету.</w:t>
      </w:r>
    </w:p>
    <w:p w14:paraId="111CF5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…………………………………(7516, 110).</w:t>
      </w:r>
    </w:p>
    <w:p w14:paraId="1F0F8DA6" w14:textId="77777777" w:rsidR="00D4105E" w:rsidRPr="00E14102" w:rsidRDefault="00D4105E" w:rsidP="00E14102">
      <w:pPr>
        <w:autoSpaceDE w:val="0"/>
        <w:autoSpaceDN w:val="0"/>
        <w:adjustRightInd w:val="0"/>
        <w:jc w:val="both"/>
        <w:rPr>
          <w:color w:val="000000" w:themeColor="text1"/>
          <w:sz w:val="16"/>
          <w:szCs w:val="16"/>
        </w:rPr>
      </w:pPr>
    </w:p>
    <w:p w14:paraId="32B9E5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Нач. и военком НИИ ВВС Бажанов утвердил Отчет о гос. испытаниях СБ с 2хИС-12 и стрелкового вооружения на СБ 2РЦ, которые проходили с 9 июля по 12 августа 1935 (2913).</w:t>
      </w:r>
    </w:p>
    <w:p w14:paraId="20AC3B65" w14:textId="77777777" w:rsidR="00D4105E" w:rsidRPr="00E14102" w:rsidRDefault="00D4105E" w:rsidP="00E14102">
      <w:pPr>
        <w:autoSpaceDE w:val="0"/>
        <w:autoSpaceDN w:val="0"/>
        <w:adjustRightInd w:val="0"/>
        <w:jc w:val="both"/>
        <w:rPr>
          <w:color w:val="000000" w:themeColor="text1"/>
          <w:sz w:val="16"/>
          <w:szCs w:val="16"/>
        </w:rPr>
      </w:pPr>
    </w:p>
    <w:p w14:paraId="0A6F51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 Постановлением СТО № 97 Архангельскому была задана разработка на основе СБ дальнего разведчика ДР2М-100 (9531,27).</w:t>
      </w:r>
    </w:p>
    <w:p w14:paraId="6B9A7ED3" w14:textId="77777777" w:rsidR="00D4105E" w:rsidRPr="00E14102" w:rsidRDefault="00D4105E" w:rsidP="00E14102">
      <w:pPr>
        <w:autoSpaceDE w:val="0"/>
        <w:autoSpaceDN w:val="0"/>
        <w:adjustRightInd w:val="0"/>
        <w:jc w:val="both"/>
        <w:rPr>
          <w:color w:val="000000" w:themeColor="text1"/>
          <w:sz w:val="16"/>
          <w:szCs w:val="16"/>
        </w:rPr>
      </w:pPr>
    </w:p>
    <w:p w14:paraId="210044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вышло постановление СТО N С-94сс "О мероприятиях по устранению дефектов в конструкции самолета СБ". Пред. СТО Чубарь (2161,182).</w:t>
      </w:r>
    </w:p>
    <w:p w14:paraId="22502F2D" w14:textId="77777777" w:rsidR="00D4105E" w:rsidRPr="00E14102" w:rsidRDefault="00D4105E" w:rsidP="00E14102">
      <w:pPr>
        <w:autoSpaceDE w:val="0"/>
        <w:autoSpaceDN w:val="0"/>
        <w:adjustRightInd w:val="0"/>
        <w:jc w:val="both"/>
        <w:rPr>
          <w:color w:val="000000" w:themeColor="text1"/>
          <w:sz w:val="16"/>
          <w:szCs w:val="16"/>
        </w:rPr>
      </w:pPr>
    </w:p>
    <w:p w14:paraId="792E9A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вышло постановление СТО N С-108сс О мероприятиях по устранению дефектов в конструкции самолета СБ. Пред. СТО Чубарь (2161,2).</w:t>
      </w:r>
    </w:p>
    <w:p w14:paraId="0BFA5E2D" w14:textId="77777777" w:rsidR="00D4105E" w:rsidRPr="00E14102" w:rsidRDefault="00D4105E" w:rsidP="00E14102">
      <w:pPr>
        <w:autoSpaceDE w:val="0"/>
        <w:autoSpaceDN w:val="0"/>
        <w:adjustRightInd w:val="0"/>
        <w:jc w:val="both"/>
        <w:rPr>
          <w:color w:val="000000" w:themeColor="text1"/>
          <w:sz w:val="16"/>
          <w:szCs w:val="16"/>
        </w:rPr>
      </w:pPr>
    </w:p>
    <w:p w14:paraId="1EFBA35D" w14:textId="77777777" w:rsidR="008A0D6C" w:rsidRPr="00E14102" w:rsidRDefault="008A0D6C" w:rsidP="00E14102">
      <w:pPr>
        <w:pStyle w:val="rtejustify"/>
        <w:spacing w:before="0" w:after="0"/>
        <w:rPr>
          <w:color w:val="000000" w:themeColor="text1"/>
          <w:sz w:val="16"/>
          <w:szCs w:val="16"/>
        </w:rPr>
      </w:pPr>
      <w:r w:rsidRPr="00E14102">
        <w:rPr>
          <w:rStyle w:val="a6"/>
          <w:bCs/>
          <w:i w:val="0"/>
          <w:color w:val="000000" w:themeColor="text1"/>
          <w:sz w:val="16"/>
          <w:szCs w:val="16"/>
        </w:rPr>
        <w:t>4 августа</w:t>
      </w:r>
      <w:r w:rsidRPr="00E14102">
        <w:rPr>
          <w:color w:val="000000" w:themeColor="text1"/>
          <w:sz w:val="16"/>
          <w:szCs w:val="16"/>
        </w:rPr>
        <w:t xml:space="preserve"> 1935. Постановление СТО СССР № С</w:t>
      </w:r>
      <w:r w:rsidRPr="00E14102">
        <w:rPr>
          <w:color w:val="000000" w:themeColor="text1"/>
          <w:sz w:val="16"/>
          <w:szCs w:val="16"/>
        </w:rPr>
        <w:noBreakHyphen/>
        <w:t>94сс «О мероприятиях по устранению дефектов в конструкции самолета СБ». (ГА РФ. Ф. Р</w:t>
      </w:r>
      <w:r w:rsidRPr="00E14102">
        <w:rPr>
          <w:color w:val="000000" w:themeColor="text1"/>
          <w:sz w:val="16"/>
          <w:szCs w:val="16"/>
        </w:rPr>
        <w:noBreakHyphen/>
        <w:t>8418. Оп. 28. Д. 7. Л. 57</w:t>
      </w:r>
      <w:r w:rsidRPr="00E14102">
        <w:rPr>
          <w:color w:val="000000" w:themeColor="text1"/>
          <w:sz w:val="16"/>
          <w:szCs w:val="16"/>
        </w:rPr>
        <w:noBreakHyphen/>
        <w:t>60) (15460).</w:t>
      </w:r>
    </w:p>
    <w:p w14:paraId="36B6F769" w14:textId="77777777" w:rsidR="008A0D6C" w:rsidRPr="00E14102" w:rsidRDefault="008A0D6C" w:rsidP="00E14102">
      <w:pPr>
        <w:pStyle w:val="rtejustify"/>
        <w:spacing w:before="0" w:after="0"/>
        <w:rPr>
          <w:color w:val="000000" w:themeColor="text1"/>
          <w:sz w:val="16"/>
          <w:szCs w:val="16"/>
        </w:rPr>
      </w:pPr>
    </w:p>
    <w:p w14:paraId="243E3B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года постановление № С-94сс СТО</w:t>
      </w:r>
    </w:p>
    <w:p w14:paraId="028549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мероприятиях по устранению дефектов в конструкции самолетов СБ</w:t>
      </w:r>
    </w:p>
    <w:p w14:paraId="4E72B5C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Отметить следующие основные дефекты в конструкции самолета СБ, выявленные на испытаниях ВВС:</w:t>
      </w:r>
    </w:p>
    <w:p w14:paraId="21B4B6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неудовлетворительная продольная и поперечная устойчивость;</w:t>
      </w:r>
    </w:p>
    <w:p w14:paraId="2CDAFA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деформация обшивки крыла в полете;</w:t>
      </w:r>
    </w:p>
    <w:p w14:paraId="67CE3D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вибрация подмоторной рамы;</w:t>
      </w:r>
    </w:p>
    <w:p w14:paraId="6E0D81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неудовлетворительная схема бензопитания;</w:t>
      </w:r>
    </w:p>
    <w:p w14:paraId="172AEE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недоработка охлаждения моторов, выражающаяся в быстром подъеме температуры при рулежке и наборе высоты и резком охлаждении при планировании;</w:t>
      </w:r>
    </w:p>
    <w:p w14:paraId="64FFAA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неудовлетворительная работа тормозной системы колес;</w:t>
      </w:r>
    </w:p>
    <w:p w14:paraId="3F43C4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 недостаточная надежность действия электрооборудования подъема шасси и отсутствие надежной сигнализации выпуска и убирания шасси;</w:t>
      </w:r>
    </w:p>
    <w:p w14:paraId="25E3D1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 неотлаженность и недоведенность стрелкового и бомбардировочного вооружения;</w:t>
      </w:r>
    </w:p>
    <w:p w14:paraId="2FF2F5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отсутствие надежно действующей связи между составом экипажа в полете;</w:t>
      </w:r>
    </w:p>
    <w:p w14:paraId="16B7F9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недостаточный запас прочности 6,3 против технических требований 7,0.</w:t>
      </w:r>
    </w:p>
    <w:p w14:paraId="2AF943B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Принять к сведению заявление ЦАГИ (Туполева), что для устранения этих основных недочетов ЦАГИ вносит нижеследующие изменения в конструкцию:</w:t>
      </w:r>
    </w:p>
    <w:p w14:paraId="37A69D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переделывает хвостовое оперение;</w:t>
      </w:r>
    </w:p>
    <w:p w14:paraId="0E011D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отодвигает назад отъемную часть крыла;</w:t>
      </w:r>
    </w:p>
    <w:p w14:paraId="5BD41D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подкрепляет центроплан дополнительными стрингерами и утолщением обшивки;</w:t>
      </w:r>
    </w:p>
    <w:p w14:paraId="736D0A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ставит дополнительные подкосы на моторную раму;</w:t>
      </w:r>
    </w:p>
    <w:p w14:paraId="3942F4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дает в серию новые радиаторы и новые вертикальные жалюзи;</w:t>
      </w:r>
    </w:p>
    <w:p w14:paraId="58A59B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устраняет остальные дефекты, выявленные при испытании самолета СБ в НИИ по соглашению со старшим военпредом ЦАГИ.</w:t>
      </w:r>
    </w:p>
    <w:p w14:paraId="643956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ЦАГИ внести все изменения, перечисленные выше, в опытный экземпляр самолета СБ с двумя моторами М-100 и не позже 20 сентября проверить эффективность этих изменений на совместных испытаниях ЦАГИ и НИИ.</w:t>
      </w:r>
    </w:p>
    <w:p w14:paraId="06B569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78933A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Ввиду выявленных конструктивных изменений, заказ 1935 года на 400 самолетов СБ продлить до 1 апреля 1936 года …………………</w:t>
      </w:r>
    </w:p>
    <w:p w14:paraId="433BFF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Предложить ГУАПу к концу 1935 года представить соображения о дальнейших улучшениях самолета СБ (максимальная скорость не ниже 450 км, дальность действия не менее 1200 км, окончательное устранение дефектов, снижающих боевое применение самолета) ………………(7516, 100-102).</w:t>
      </w:r>
    </w:p>
    <w:p w14:paraId="6FD65381" w14:textId="77777777" w:rsidR="00D4105E" w:rsidRPr="00E14102" w:rsidRDefault="00D4105E" w:rsidP="00E14102">
      <w:pPr>
        <w:autoSpaceDE w:val="0"/>
        <w:autoSpaceDN w:val="0"/>
        <w:adjustRightInd w:val="0"/>
        <w:jc w:val="both"/>
        <w:rPr>
          <w:color w:val="000000" w:themeColor="text1"/>
          <w:sz w:val="16"/>
          <w:szCs w:val="16"/>
        </w:rPr>
      </w:pPr>
    </w:p>
    <w:p w14:paraId="0C4E7A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августа 1935 года Начальник и военком НИИ ВВС утвердил Отчет гос. испытаний самолета СБ с 2-мя моторами Испано-Сюиза 12 ydrs и стрелкового вооружения на самолете СБ-2РЦ (6697).</w:t>
      </w:r>
    </w:p>
    <w:p w14:paraId="39B84CD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Начато – 9 июля 1935 года</w:t>
      </w:r>
    </w:p>
    <w:p w14:paraId="6E67FFB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Закончено 12 июля 1935 года</w:t>
      </w:r>
    </w:p>
    <w:p w14:paraId="26CABB4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12 по 16 – самолет в ремонте. Стрелковое вооружение испытано на самолете СБ с РЦ в течение 12-15 и 16 июля 1935 года.</w:t>
      </w:r>
    </w:p>
    <w:p w14:paraId="4A7F162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088229C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1 отдела Петров И.Ф.</w:t>
      </w:r>
    </w:p>
    <w:p w14:paraId="04891C3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4 отдела Шевченко</w:t>
      </w:r>
    </w:p>
    <w:p w14:paraId="1B0D60C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 Подлесецкий</w:t>
      </w:r>
    </w:p>
    <w:p w14:paraId="6B46552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043CE4F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Летно-тактических, боевых и эксплуатационных данных самолета СБ (скоростной бомбардировщик) в летних условиях (на колесах).</w:t>
      </w:r>
    </w:p>
    <w:p w14:paraId="2F2811D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F40936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основании произведенных испытаний самолета СБ НИИ ВС считает:</w:t>
      </w:r>
    </w:p>
    <w:p w14:paraId="5B64E39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Наличие у самолета СБ большой максимальной скорости, скороподъемности, большого практического потолка и сравнительно сильного вооружения при этих данных, ставит его в разряд одного из лучших в мире скоростных бомбардировщиков.</w:t>
      </w:r>
    </w:p>
    <w:p w14:paraId="487CD32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Указанные в отчете дефекты, выявленные в процессе кратковременных испытаний, проведенных в феврале и июле 1935 года, а также невыполнение ряда пунктов тактико-технических требований делают самолет СБ в предъявленном виде практически небоеспособным. Без устранения перечисленных в отчете дефектов самолет СБ не может быть принят на вооружение ВС.</w:t>
      </w:r>
    </w:p>
    <w:p w14:paraId="77BD663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Дневник работ на самолете СБ-2ИС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124"/>
        <w:gridCol w:w="940"/>
        <w:gridCol w:w="2320"/>
      </w:tblGrid>
      <w:tr w:rsidR="00E3599D" w:rsidRPr="00E14102" w14:paraId="134773CC" w14:textId="77777777">
        <w:tc>
          <w:tcPr>
            <w:tcW w:w="2214" w:type="dxa"/>
          </w:tcPr>
          <w:p w14:paraId="38065CA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Дата</w:t>
            </w:r>
          </w:p>
        </w:tc>
        <w:tc>
          <w:tcPr>
            <w:tcW w:w="5124" w:type="dxa"/>
          </w:tcPr>
          <w:p w14:paraId="671CB6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Работы</w:t>
            </w:r>
          </w:p>
        </w:tc>
        <w:tc>
          <w:tcPr>
            <w:tcW w:w="940" w:type="dxa"/>
          </w:tcPr>
          <w:p w14:paraId="538C6C1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Кол-во полетов</w:t>
            </w:r>
          </w:p>
        </w:tc>
        <w:tc>
          <w:tcPr>
            <w:tcW w:w="2320" w:type="dxa"/>
          </w:tcPr>
          <w:p w14:paraId="4D1AAC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Кол-во часов</w:t>
            </w:r>
          </w:p>
        </w:tc>
      </w:tr>
      <w:tr w:rsidR="00E3599D" w:rsidRPr="00E14102" w14:paraId="2000AF56" w14:textId="77777777">
        <w:tc>
          <w:tcPr>
            <w:tcW w:w="2214" w:type="dxa"/>
          </w:tcPr>
          <w:p w14:paraId="3732235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 июля 1935 года</w:t>
            </w:r>
          </w:p>
        </w:tc>
        <w:tc>
          <w:tcPr>
            <w:tcW w:w="5124" w:type="dxa"/>
          </w:tcPr>
          <w:p w14:paraId="198380D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на выпуск на самолете Летчика Стефановского.</w:t>
            </w:r>
          </w:p>
        </w:tc>
        <w:tc>
          <w:tcPr>
            <w:tcW w:w="940" w:type="dxa"/>
          </w:tcPr>
          <w:p w14:paraId="64F2EB6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w:t>
            </w:r>
          </w:p>
        </w:tc>
        <w:tc>
          <w:tcPr>
            <w:tcW w:w="2320" w:type="dxa"/>
          </w:tcPr>
          <w:p w14:paraId="563DE82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53 мин.</w:t>
            </w:r>
          </w:p>
        </w:tc>
      </w:tr>
      <w:tr w:rsidR="00E3599D" w:rsidRPr="00E14102" w14:paraId="4EFC5A71" w14:textId="77777777">
        <w:tc>
          <w:tcPr>
            <w:tcW w:w="2214" w:type="dxa"/>
          </w:tcPr>
          <w:p w14:paraId="5553376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июля 1935 года</w:t>
            </w:r>
          </w:p>
        </w:tc>
        <w:tc>
          <w:tcPr>
            <w:tcW w:w="5124" w:type="dxa"/>
          </w:tcPr>
          <w:p w14:paraId="748251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зубцы.</w:t>
            </w:r>
          </w:p>
        </w:tc>
        <w:tc>
          <w:tcPr>
            <w:tcW w:w="940" w:type="dxa"/>
          </w:tcPr>
          <w:p w14:paraId="468AD8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579A214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мин.</w:t>
            </w:r>
          </w:p>
        </w:tc>
      </w:tr>
      <w:tr w:rsidR="00E3599D" w:rsidRPr="00E14102" w14:paraId="67861EAB" w14:textId="77777777">
        <w:tc>
          <w:tcPr>
            <w:tcW w:w="2214" w:type="dxa"/>
          </w:tcPr>
          <w:p w14:paraId="422688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июля 1935 года</w:t>
            </w:r>
          </w:p>
        </w:tc>
        <w:tc>
          <w:tcPr>
            <w:tcW w:w="5124" w:type="dxa"/>
          </w:tcPr>
          <w:p w14:paraId="5B44F7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вибрации.</w:t>
            </w:r>
          </w:p>
        </w:tc>
        <w:tc>
          <w:tcPr>
            <w:tcW w:w="940" w:type="dxa"/>
          </w:tcPr>
          <w:p w14:paraId="7FD6FE6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75EB862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 мин.</w:t>
            </w:r>
          </w:p>
        </w:tc>
      </w:tr>
      <w:tr w:rsidR="00E3599D" w:rsidRPr="00E14102" w14:paraId="10ED3FD0" w14:textId="77777777">
        <w:tc>
          <w:tcPr>
            <w:tcW w:w="2214" w:type="dxa"/>
          </w:tcPr>
          <w:p w14:paraId="1F536F3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июля 1935 года</w:t>
            </w:r>
          </w:p>
        </w:tc>
        <w:tc>
          <w:tcPr>
            <w:tcW w:w="5124" w:type="dxa"/>
          </w:tcPr>
          <w:p w14:paraId="5EDF97A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километраж.</w:t>
            </w:r>
          </w:p>
        </w:tc>
        <w:tc>
          <w:tcPr>
            <w:tcW w:w="940" w:type="dxa"/>
          </w:tcPr>
          <w:p w14:paraId="42C9E4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565834C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16 мин.</w:t>
            </w:r>
          </w:p>
        </w:tc>
      </w:tr>
      <w:tr w:rsidR="00E3599D" w:rsidRPr="00E14102" w14:paraId="5A507A89" w14:textId="77777777">
        <w:tc>
          <w:tcPr>
            <w:tcW w:w="2214" w:type="dxa"/>
          </w:tcPr>
          <w:p w14:paraId="78B5C4A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июля 1935 года</w:t>
            </w:r>
          </w:p>
        </w:tc>
        <w:tc>
          <w:tcPr>
            <w:tcW w:w="5124" w:type="dxa"/>
          </w:tcPr>
          <w:p w14:paraId="704666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управляемость.</w:t>
            </w:r>
          </w:p>
        </w:tc>
        <w:tc>
          <w:tcPr>
            <w:tcW w:w="940" w:type="dxa"/>
          </w:tcPr>
          <w:p w14:paraId="57E1C2F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0B01AC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 мин.</w:t>
            </w:r>
          </w:p>
        </w:tc>
      </w:tr>
      <w:tr w:rsidR="00E3599D" w:rsidRPr="00E14102" w14:paraId="4F336546" w14:textId="77777777">
        <w:tc>
          <w:tcPr>
            <w:tcW w:w="2214" w:type="dxa"/>
          </w:tcPr>
          <w:p w14:paraId="5C79D01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июля 1935 года</w:t>
            </w:r>
          </w:p>
        </w:tc>
        <w:tc>
          <w:tcPr>
            <w:tcW w:w="5124" w:type="dxa"/>
          </w:tcPr>
          <w:p w14:paraId="4830883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зубцы.</w:t>
            </w:r>
          </w:p>
        </w:tc>
        <w:tc>
          <w:tcPr>
            <w:tcW w:w="940" w:type="dxa"/>
          </w:tcPr>
          <w:p w14:paraId="08E5EC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77BAAAB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40 мин.</w:t>
            </w:r>
          </w:p>
        </w:tc>
      </w:tr>
      <w:tr w:rsidR="00E3599D" w:rsidRPr="00E14102" w14:paraId="053A7C2C" w14:textId="77777777">
        <w:tc>
          <w:tcPr>
            <w:tcW w:w="2214" w:type="dxa"/>
          </w:tcPr>
          <w:p w14:paraId="01C11CF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июля 1935 года</w:t>
            </w:r>
          </w:p>
        </w:tc>
        <w:tc>
          <w:tcPr>
            <w:tcW w:w="5124" w:type="dxa"/>
          </w:tcPr>
          <w:p w14:paraId="68806D0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w:t>
            </w:r>
          </w:p>
        </w:tc>
        <w:tc>
          <w:tcPr>
            <w:tcW w:w="940" w:type="dxa"/>
          </w:tcPr>
          <w:p w14:paraId="21E425E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488DDB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39 мин.</w:t>
            </w:r>
          </w:p>
        </w:tc>
      </w:tr>
      <w:tr w:rsidR="00E3599D" w:rsidRPr="00E14102" w14:paraId="54DA38FF" w14:textId="77777777">
        <w:tc>
          <w:tcPr>
            <w:tcW w:w="2214" w:type="dxa"/>
          </w:tcPr>
          <w:p w14:paraId="2FBA677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июля 1935 года</w:t>
            </w:r>
          </w:p>
        </w:tc>
        <w:tc>
          <w:tcPr>
            <w:tcW w:w="5124" w:type="dxa"/>
          </w:tcPr>
          <w:p w14:paraId="1D213FD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w:t>
            </w:r>
          </w:p>
        </w:tc>
        <w:tc>
          <w:tcPr>
            <w:tcW w:w="940" w:type="dxa"/>
          </w:tcPr>
          <w:p w14:paraId="1F9BDB2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39322C4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 мин.</w:t>
            </w:r>
          </w:p>
        </w:tc>
      </w:tr>
      <w:tr w:rsidR="00E3599D" w:rsidRPr="00E14102" w14:paraId="3A580708" w14:textId="77777777">
        <w:tc>
          <w:tcPr>
            <w:tcW w:w="2214" w:type="dxa"/>
          </w:tcPr>
          <w:p w14:paraId="52C983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5124" w:type="dxa"/>
          </w:tcPr>
          <w:p w14:paraId="17BC13D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на растряску бомб АФ-500.</w:t>
            </w:r>
          </w:p>
        </w:tc>
        <w:tc>
          <w:tcPr>
            <w:tcW w:w="940" w:type="dxa"/>
          </w:tcPr>
          <w:p w14:paraId="255151A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w:t>
            </w:r>
          </w:p>
        </w:tc>
        <w:tc>
          <w:tcPr>
            <w:tcW w:w="2320" w:type="dxa"/>
          </w:tcPr>
          <w:p w14:paraId="3BB56E5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 мин.</w:t>
            </w:r>
          </w:p>
        </w:tc>
      </w:tr>
      <w:tr w:rsidR="00E3599D" w:rsidRPr="00E14102" w14:paraId="34C0EDF8" w14:textId="77777777">
        <w:tc>
          <w:tcPr>
            <w:tcW w:w="2214" w:type="dxa"/>
          </w:tcPr>
          <w:p w14:paraId="5E12938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5124" w:type="dxa"/>
          </w:tcPr>
          <w:p w14:paraId="09B3534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w:t>
            </w:r>
          </w:p>
        </w:tc>
        <w:tc>
          <w:tcPr>
            <w:tcW w:w="940" w:type="dxa"/>
          </w:tcPr>
          <w:p w14:paraId="3F8F8AF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00D2DEF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1 час. 05 мин.</w:t>
            </w:r>
          </w:p>
        </w:tc>
      </w:tr>
      <w:tr w:rsidR="00E3599D" w:rsidRPr="00E14102" w14:paraId="1C116663" w14:textId="77777777">
        <w:tc>
          <w:tcPr>
            <w:tcW w:w="2214" w:type="dxa"/>
          </w:tcPr>
          <w:p w14:paraId="6876121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12 июля 1935 года</w:t>
            </w:r>
          </w:p>
        </w:tc>
        <w:tc>
          <w:tcPr>
            <w:tcW w:w="5124" w:type="dxa"/>
          </w:tcPr>
          <w:p w14:paraId="14A00CC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управляемость и стрельбу по земным целям.</w:t>
            </w:r>
          </w:p>
        </w:tc>
        <w:tc>
          <w:tcPr>
            <w:tcW w:w="940" w:type="dxa"/>
          </w:tcPr>
          <w:p w14:paraId="5B15F99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751405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45 мин.</w:t>
            </w:r>
          </w:p>
        </w:tc>
      </w:tr>
      <w:tr w:rsidR="00E3599D" w:rsidRPr="00E14102" w14:paraId="387BDB9C" w14:textId="77777777">
        <w:tc>
          <w:tcPr>
            <w:tcW w:w="2214" w:type="dxa"/>
          </w:tcPr>
          <w:p w14:paraId="6291A8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5124" w:type="dxa"/>
          </w:tcPr>
          <w:p w14:paraId="08EF7EC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бомбометание.</w:t>
            </w:r>
          </w:p>
        </w:tc>
        <w:tc>
          <w:tcPr>
            <w:tcW w:w="940" w:type="dxa"/>
          </w:tcPr>
          <w:p w14:paraId="66DE891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023EA63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05 мин.</w:t>
            </w:r>
          </w:p>
        </w:tc>
      </w:tr>
      <w:tr w:rsidR="00E3599D" w:rsidRPr="00E14102" w14:paraId="5904C1E2" w14:textId="77777777">
        <w:tc>
          <w:tcPr>
            <w:tcW w:w="2214" w:type="dxa"/>
          </w:tcPr>
          <w:p w14:paraId="02A4AFA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5124" w:type="dxa"/>
          </w:tcPr>
          <w:p w14:paraId="02F3DBE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до 8000 м и бомбометание.</w:t>
            </w:r>
          </w:p>
        </w:tc>
        <w:tc>
          <w:tcPr>
            <w:tcW w:w="940" w:type="dxa"/>
          </w:tcPr>
          <w:p w14:paraId="60473F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286580A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20 мин.</w:t>
            </w:r>
          </w:p>
        </w:tc>
      </w:tr>
      <w:tr w:rsidR="00E3599D" w:rsidRPr="00E14102" w14:paraId="1EEA7C6C" w14:textId="77777777">
        <w:tc>
          <w:tcPr>
            <w:tcW w:w="2214" w:type="dxa"/>
          </w:tcPr>
          <w:p w14:paraId="268EDEA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июля 1935 года</w:t>
            </w:r>
          </w:p>
        </w:tc>
        <w:tc>
          <w:tcPr>
            <w:tcW w:w="5124" w:type="dxa"/>
          </w:tcPr>
          <w:p w14:paraId="5201A26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940" w:type="dxa"/>
          </w:tcPr>
          <w:p w14:paraId="23C070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28B766A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11 мин.</w:t>
            </w:r>
          </w:p>
        </w:tc>
      </w:tr>
      <w:tr w:rsidR="00E3599D" w:rsidRPr="00E14102" w14:paraId="0A043C29" w14:textId="77777777">
        <w:tc>
          <w:tcPr>
            <w:tcW w:w="2214" w:type="dxa"/>
          </w:tcPr>
          <w:p w14:paraId="24B40DF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июля 1935 года</w:t>
            </w:r>
          </w:p>
        </w:tc>
        <w:tc>
          <w:tcPr>
            <w:tcW w:w="5124" w:type="dxa"/>
          </w:tcPr>
          <w:p w14:paraId="2A8837D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940" w:type="dxa"/>
          </w:tcPr>
          <w:p w14:paraId="46D3D42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477FB9B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 мин.</w:t>
            </w:r>
          </w:p>
        </w:tc>
      </w:tr>
      <w:tr w:rsidR="00E3599D" w:rsidRPr="00E14102" w14:paraId="2912E5A9" w14:textId="77777777">
        <w:tc>
          <w:tcPr>
            <w:tcW w:w="2214" w:type="dxa"/>
          </w:tcPr>
          <w:p w14:paraId="5F8497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июля 1935 года</w:t>
            </w:r>
          </w:p>
        </w:tc>
        <w:tc>
          <w:tcPr>
            <w:tcW w:w="5124" w:type="dxa"/>
          </w:tcPr>
          <w:p w14:paraId="7CB4386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940" w:type="dxa"/>
          </w:tcPr>
          <w:p w14:paraId="28E5994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0B35C6A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45 мин.</w:t>
            </w:r>
          </w:p>
        </w:tc>
      </w:tr>
      <w:tr w:rsidR="00E3599D" w:rsidRPr="00E14102" w14:paraId="75375D72" w14:textId="77777777">
        <w:tc>
          <w:tcPr>
            <w:tcW w:w="2214" w:type="dxa"/>
          </w:tcPr>
          <w:p w14:paraId="55015AF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 июля 1935 года</w:t>
            </w:r>
          </w:p>
        </w:tc>
        <w:tc>
          <w:tcPr>
            <w:tcW w:w="5124" w:type="dxa"/>
          </w:tcPr>
          <w:p w14:paraId="300A7B2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Перегонка самолета на аэродром Томская.</w:t>
            </w:r>
          </w:p>
        </w:tc>
        <w:tc>
          <w:tcPr>
            <w:tcW w:w="940" w:type="dxa"/>
          </w:tcPr>
          <w:p w14:paraId="1D23A2C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7B2929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18 мин.</w:t>
            </w:r>
          </w:p>
        </w:tc>
      </w:tr>
      <w:tr w:rsidR="00E3599D" w:rsidRPr="00E14102" w14:paraId="7576FAA0" w14:textId="77777777">
        <w:tc>
          <w:tcPr>
            <w:tcW w:w="2214" w:type="dxa"/>
          </w:tcPr>
          <w:p w14:paraId="6808C2B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 июля 1935 года</w:t>
            </w:r>
          </w:p>
        </w:tc>
        <w:tc>
          <w:tcPr>
            <w:tcW w:w="5124" w:type="dxa"/>
          </w:tcPr>
          <w:p w14:paraId="3323D54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940" w:type="dxa"/>
          </w:tcPr>
          <w:p w14:paraId="00B8FD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53E0E32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 мин.</w:t>
            </w:r>
          </w:p>
        </w:tc>
      </w:tr>
    </w:tbl>
    <w:p w14:paraId="7079BE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Всего на самолете СБ-2ИС за время испытаний выполнено 18 полетов с налетом 11 час. 33 мин.</w:t>
      </w:r>
    </w:p>
    <w:p w14:paraId="099DFB5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самолете СБ-2РЦ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124"/>
        <w:gridCol w:w="940"/>
        <w:gridCol w:w="2320"/>
      </w:tblGrid>
      <w:tr w:rsidR="00E3599D" w:rsidRPr="00E14102" w14:paraId="2C7EB82C" w14:textId="77777777">
        <w:tc>
          <w:tcPr>
            <w:tcW w:w="2214" w:type="dxa"/>
          </w:tcPr>
          <w:p w14:paraId="0CBFF4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5124" w:type="dxa"/>
          </w:tcPr>
          <w:p w14:paraId="3B12A4D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Вылет летчика Белозерова. Полеты на выявление вибраций и стрельбу из носовой точки.</w:t>
            </w:r>
          </w:p>
        </w:tc>
        <w:tc>
          <w:tcPr>
            <w:tcW w:w="940" w:type="dxa"/>
          </w:tcPr>
          <w:p w14:paraId="5549BE1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w:t>
            </w:r>
          </w:p>
        </w:tc>
        <w:tc>
          <w:tcPr>
            <w:tcW w:w="2320" w:type="dxa"/>
          </w:tcPr>
          <w:p w14:paraId="090F56B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15 мин.</w:t>
            </w:r>
          </w:p>
        </w:tc>
      </w:tr>
      <w:tr w:rsidR="00E3599D" w:rsidRPr="00E14102" w14:paraId="6DD1882C" w14:textId="77777777">
        <w:tc>
          <w:tcPr>
            <w:tcW w:w="2214" w:type="dxa"/>
          </w:tcPr>
          <w:p w14:paraId="146C35F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5124" w:type="dxa"/>
          </w:tcPr>
          <w:p w14:paraId="165F37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по земным целям.</w:t>
            </w:r>
          </w:p>
        </w:tc>
        <w:tc>
          <w:tcPr>
            <w:tcW w:w="940" w:type="dxa"/>
          </w:tcPr>
          <w:p w14:paraId="5DE4AD8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28E17E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03 мин.</w:t>
            </w:r>
          </w:p>
        </w:tc>
      </w:tr>
      <w:tr w:rsidR="00E3599D" w:rsidRPr="00E14102" w14:paraId="5CEA4EFF" w14:textId="77777777">
        <w:tc>
          <w:tcPr>
            <w:tcW w:w="2214" w:type="dxa"/>
          </w:tcPr>
          <w:p w14:paraId="1A61FF2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5124" w:type="dxa"/>
          </w:tcPr>
          <w:p w14:paraId="3C85C4F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940" w:type="dxa"/>
          </w:tcPr>
          <w:p w14:paraId="72E337F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11E6C3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40 мин.</w:t>
            </w:r>
          </w:p>
        </w:tc>
      </w:tr>
      <w:tr w:rsidR="00E3599D" w:rsidRPr="00E14102" w14:paraId="00E2E63E" w14:textId="77777777">
        <w:tc>
          <w:tcPr>
            <w:tcW w:w="2214" w:type="dxa"/>
          </w:tcPr>
          <w:p w14:paraId="23E56FF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5124" w:type="dxa"/>
          </w:tcPr>
          <w:p w14:paraId="3406379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 по конусу.</w:t>
            </w:r>
          </w:p>
        </w:tc>
        <w:tc>
          <w:tcPr>
            <w:tcW w:w="940" w:type="dxa"/>
          </w:tcPr>
          <w:p w14:paraId="6D8E9CC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132155B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 мин.</w:t>
            </w:r>
          </w:p>
        </w:tc>
      </w:tr>
      <w:tr w:rsidR="00E3599D" w:rsidRPr="00E14102" w14:paraId="0860FFC0" w14:textId="77777777">
        <w:tc>
          <w:tcPr>
            <w:tcW w:w="2214" w:type="dxa"/>
          </w:tcPr>
          <w:p w14:paraId="1BA77CF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5124" w:type="dxa"/>
          </w:tcPr>
          <w:p w14:paraId="0370E7A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940" w:type="dxa"/>
          </w:tcPr>
          <w:p w14:paraId="1D74605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14A13AF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час. 05 мин.</w:t>
            </w:r>
          </w:p>
        </w:tc>
      </w:tr>
      <w:tr w:rsidR="00E3599D" w:rsidRPr="00E14102" w14:paraId="486054C7" w14:textId="77777777">
        <w:tc>
          <w:tcPr>
            <w:tcW w:w="2214" w:type="dxa"/>
          </w:tcPr>
          <w:p w14:paraId="0C401FF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5124" w:type="dxa"/>
          </w:tcPr>
          <w:p w14:paraId="1315F85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940" w:type="dxa"/>
          </w:tcPr>
          <w:p w14:paraId="4CE5020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088A9AC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45 мин.</w:t>
            </w:r>
          </w:p>
        </w:tc>
      </w:tr>
      <w:tr w:rsidR="00E3599D" w:rsidRPr="00E14102" w14:paraId="10FC54F3" w14:textId="77777777">
        <w:tc>
          <w:tcPr>
            <w:tcW w:w="2214" w:type="dxa"/>
          </w:tcPr>
          <w:p w14:paraId="32A12EA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июля 1935 года</w:t>
            </w:r>
          </w:p>
        </w:tc>
        <w:tc>
          <w:tcPr>
            <w:tcW w:w="5124" w:type="dxa"/>
          </w:tcPr>
          <w:p w14:paraId="6C86DC9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всех точек.</w:t>
            </w:r>
          </w:p>
        </w:tc>
        <w:tc>
          <w:tcPr>
            <w:tcW w:w="940" w:type="dxa"/>
          </w:tcPr>
          <w:p w14:paraId="0CCA2BC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42FD784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мин.</w:t>
            </w:r>
          </w:p>
        </w:tc>
      </w:tr>
      <w:tr w:rsidR="00E3599D" w:rsidRPr="00E14102" w14:paraId="0645CBED" w14:textId="77777777">
        <w:tc>
          <w:tcPr>
            <w:tcW w:w="2214" w:type="dxa"/>
          </w:tcPr>
          <w:p w14:paraId="3B53AC3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июля 1935 года</w:t>
            </w:r>
          </w:p>
        </w:tc>
        <w:tc>
          <w:tcPr>
            <w:tcW w:w="5124" w:type="dxa"/>
          </w:tcPr>
          <w:p w14:paraId="1403A8A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двух точек и тактическое задание.</w:t>
            </w:r>
          </w:p>
        </w:tc>
        <w:tc>
          <w:tcPr>
            <w:tcW w:w="940" w:type="dxa"/>
          </w:tcPr>
          <w:p w14:paraId="6B6AF31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00FD08C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 мин.</w:t>
            </w:r>
          </w:p>
        </w:tc>
      </w:tr>
      <w:tr w:rsidR="00E3599D" w:rsidRPr="00E14102" w14:paraId="1BC10DAD" w14:textId="77777777">
        <w:tc>
          <w:tcPr>
            <w:tcW w:w="2214" w:type="dxa"/>
          </w:tcPr>
          <w:p w14:paraId="3EAD079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июля 1935 года</w:t>
            </w:r>
          </w:p>
        </w:tc>
        <w:tc>
          <w:tcPr>
            <w:tcW w:w="5124" w:type="dxa"/>
          </w:tcPr>
          <w:p w14:paraId="0F08C53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стрельбу из двух точек и тактическое задание.</w:t>
            </w:r>
          </w:p>
        </w:tc>
        <w:tc>
          <w:tcPr>
            <w:tcW w:w="940" w:type="dxa"/>
          </w:tcPr>
          <w:p w14:paraId="5E82A0A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w:t>
            </w:r>
          </w:p>
        </w:tc>
        <w:tc>
          <w:tcPr>
            <w:tcW w:w="2320" w:type="dxa"/>
          </w:tcPr>
          <w:p w14:paraId="545A00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 мин.</w:t>
            </w:r>
          </w:p>
        </w:tc>
      </w:tr>
    </w:tbl>
    <w:p w14:paraId="583671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Всего на самолете СБ-2РЦ за время испытаний выполнено 16 полетов с налетом 10 час. 09 мин.</w:t>
      </w:r>
    </w:p>
    <w:p w14:paraId="3BB0EC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Всего за время испытаний на обоих самолетах выполнено 34 полета с налетом 21 час. 42 мин. (6697).</w:t>
      </w:r>
    </w:p>
    <w:p w14:paraId="0D7DFA9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50453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 состоялось Постановление Совета Труда и Обороны № С-96 “О переконструировании Ди-б под штурмовик” со следующими данными: максимальная скорость полета у земли - 340-350 км/ч (на высоте 3000 м - 390-400 км/ч), посадочная скорость - 90-95 км/ч, радиус действия - 400-500 км. Вооружение:</w:t>
      </w:r>
    </w:p>
    <w:p w14:paraId="021434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шесть пулеметов нормального калибра для стрельбы вперед, один оборонительный пулемет и 80 кг бомб.</w:t>
      </w:r>
    </w:p>
    <w:p w14:paraId="5C1C48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 СТО обязывало ГУАП (а именно, завод № 39) в полуторамесячный срок изготовить эту машину. При этом, первый экземпляр Ди-бШ разрешалось строить без брони и вопрос о ее установке решить после испытания опытного образца.</w:t>
      </w:r>
    </w:p>
    <w:p w14:paraId="441763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ГУАП должен был форсировать подготовку производства штурмовика Ди-6ш на заводе № 81, с тем, чтобы с начала 1936 г. обеспечить их серийный выпуск (9649).</w:t>
      </w:r>
    </w:p>
    <w:p w14:paraId="504D104D" w14:textId="77777777" w:rsidR="00D4105E" w:rsidRPr="00E14102" w:rsidRDefault="00D4105E" w:rsidP="00E14102">
      <w:pPr>
        <w:autoSpaceDE w:val="0"/>
        <w:autoSpaceDN w:val="0"/>
        <w:adjustRightInd w:val="0"/>
        <w:jc w:val="both"/>
        <w:rPr>
          <w:color w:val="000000" w:themeColor="text1"/>
          <w:sz w:val="16"/>
          <w:szCs w:val="16"/>
        </w:rPr>
      </w:pPr>
    </w:p>
    <w:p w14:paraId="3777486B" w14:textId="77777777" w:rsidR="008A0D6C" w:rsidRPr="00E14102" w:rsidRDefault="008A0D6C" w:rsidP="00E14102">
      <w:pPr>
        <w:jc w:val="both"/>
        <w:rPr>
          <w:color w:val="000000" w:themeColor="text1"/>
          <w:sz w:val="16"/>
          <w:szCs w:val="16"/>
        </w:rPr>
      </w:pPr>
      <w:r w:rsidRPr="00E14102">
        <w:rPr>
          <w:color w:val="000000" w:themeColor="text1"/>
          <w:sz w:val="16"/>
          <w:szCs w:val="16"/>
        </w:rPr>
        <w:t xml:space="preserve">4 августа в 1935 году состоялось постановление Совета Труда и Обороны № С-96 "О переконструировании </w:t>
      </w:r>
      <w:hyperlink r:id="rId167" w:tgtFrame="_blank" w:history="1">
        <w:r w:rsidRPr="00E14102">
          <w:rPr>
            <w:color w:val="000000" w:themeColor="text1"/>
            <w:sz w:val="16"/>
            <w:szCs w:val="16"/>
          </w:rPr>
          <w:t xml:space="preserve">«Ди-6» </w:t>
        </w:r>
      </w:hyperlink>
      <w:r w:rsidRPr="00E14102">
        <w:rPr>
          <w:color w:val="000000" w:themeColor="text1"/>
          <w:sz w:val="16"/>
          <w:szCs w:val="16"/>
        </w:rPr>
        <w:t>под штурмовик" со следующими данными: максимальная скорость полета у земли - 340-350 км/ч (на высоте 3000 м - 390-400 км/ч), посадочная скорость - 90-95 км/ч, радиус действия - 400-500 км. Вооружение, шесть пулеметов нормального калибра для стрельбы вперед, один оборонительный пулемет и 80 кг бомб. Как результат выполнения этих планов в 1935-37 гг. был выпущен только двухместный скоростной легкий штурмовик «ЦКБ-38» («Ди-6Ш»), являющийся модификацией 2-х местного истребителя-биплана «Ди-6» ОКБ С.А.Кочеригина (14973).</w:t>
      </w:r>
    </w:p>
    <w:p w14:paraId="762200AB" w14:textId="77777777" w:rsidR="008A0D6C" w:rsidRPr="00E14102" w:rsidRDefault="008A0D6C" w:rsidP="00E14102">
      <w:pPr>
        <w:jc w:val="both"/>
        <w:rPr>
          <w:color w:val="000000" w:themeColor="text1"/>
          <w:sz w:val="16"/>
          <w:szCs w:val="16"/>
        </w:rPr>
      </w:pPr>
    </w:p>
    <w:p w14:paraId="11808B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вышло постановление СТО N С-96сс "О штурмовиках". Пред. СТО Чубарь (2161,182):</w:t>
      </w:r>
    </w:p>
    <w:p w14:paraId="0B65E6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"Утвердить переконструирование ДИ-6 под ш со след. данными:</w:t>
      </w:r>
    </w:p>
    <w:p w14:paraId="5F45A5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ДИ-6 М-25 (РЦ) (2-х местн.):</w:t>
      </w:r>
    </w:p>
    <w:p w14:paraId="0DFD8B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макс. скорость у земли - 340-350 км/час</w:t>
      </w:r>
    </w:p>
    <w:p w14:paraId="52EA82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макс. скорость - 390-400 км/час на 3000 м</w:t>
      </w:r>
    </w:p>
    <w:p w14:paraId="098B5F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посад. скорость - 90-95 км/час</w:t>
      </w:r>
    </w:p>
    <w:p w14:paraId="42D4B4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радиус действия - 400-500 км</w:t>
      </w:r>
    </w:p>
    <w:p w14:paraId="7522C7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запас прочности - 10.7</w:t>
      </w:r>
    </w:p>
    <w:p w14:paraId="525E97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w:t>
      </w:r>
    </w:p>
    <w:p w14:paraId="11F3DA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4хПВ-1 вперед с 3000 шт.</w:t>
      </w:r>
    </w:p>
    <w:p w14:paraId="531871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1хПВ-1 назад с 500-750</w:t>
      </w:r>
    </w:p>
    <w:p w14:paraId="6BB953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4х10 кг под крыло</w:t>
      </w:r>
    </w:p>
    <w:p w14:paraId="3FC77A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4-10 под фюзеляжем</w:t>
      </w:r>
    </w:p>
    <w:p w14:paraId="62C0D8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2хВАП-6 - 130 кг</w:t>
      </w:r>
    </w:p>
    <w:p w14:paraId="1B3443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Первый экз. строить без брони</w:t>
      </w:r>
    </w:p>
    <w:p w14:paraId="3F1CA6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 нач. 1936 обеспечить серийный выпуск 1. (2398,111).</w:t>
      </w:r>
    </w:p>
    <w:p w14:paraId="49207A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 N С-96с СТО от 4 августа 1935 года О штурмовиках</w:t>
      </w:r>
    </w:p>
    <w:p w14:paraId="7DF5F1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5F4FD2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Утвердить переконструирование ДИ-6 под штурмовик со следующими данными:</w:t>
      </w:r>
    </w:p>
    <w:p w14:paraId="14585A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ДИ-6 М-25 (РЦ) (двухместный)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3599D" w:rsidRPr="00E14102" w14:paraId="2F6D1415" w14:textId="77777777">
        <w:tc>
          <w:tcPr>
            <w:tcW w:w="5636" w:type="dxa"/>
            <w:tcBorders>
              <w:top w:val="single" w:sz="12" w:space="0" w:color="auto"/>
            </w:tcBorders>
          </w:tcPr>
          <w:p w14:paraId="1C9E26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у земли</w:t>
            </w:r>
          </w:p>
        </w:tc>
        <w:tc>
          <w:tcPr>
            <w:tcW w:w="5636" w:type="dxa"/>
            <w:tcBorders>
              <w:top w:val="single" w:sz="12" w:space="0" w:color="auto"/>
            </w:tcBorders>
          </w:tcPr>
          <w:p w14:paraId="7A3DC9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340-350 км</w:t>
            </w:r>
          </w:p>
        </w:tc>
      </w:tr>
      <w:tr w:rsidR="00E3599D" w:rsidRPr="00E14102" w14:paraId="5E96A068" w14:textId="77777777">
        <w:tc>
          <w:tcPr>
            <w:tcW w:w="5636" w:type="dxa"/>
          </w:tcPr>
          <w:p w14:paraId="06A847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w:t>
            </w:r>
          </w:p>
        </w:tc>
        <w:tc>
          <w:tcPr>
            <w:tcW w:w="5636" w:type="dxa"/>
          </w:tcPr>
          <w:p w14:paraId="00C69D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390-400 км (на 3000 м)</w:t>
            </w:r>
          </w:p>
        </w:tc>
      </w:tr>
      <w:tr w:rsidR="00E3599D" w:rsidRPr="00E14102" w14:paraId="22BBEE73" w14:textId="77777777">
        <w:tc>
          <w:tcPr>
            <w:tcW w:w="5636" w:type="dxa"/>
          </w:tcPr>
          <w:p w14:paraId="539497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5636" w:type="dxa"/>
          </w:tcPr>
          <w:p w14:paraId="068476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 км</w:t>
            </w:r>
          </w:p>
        </w:tc>
      </w:tr>
      <w:tr w:rsidR="00E3599D" w:rsidRPr="00E14102" w14:paraId="7C81D7D5" w14:textId="77777777">
        <w:tc>
          <w:tcPr>
            <w:tcW w:w="5636" w:type="dxa"/>
          </w:tcPr>
          <w:p w14:paraId="1EB770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радиус действия</w:t>
            </w:r>
          </w:p>
        </w:tc>
        <w:tc>
          <w:tcPr>
            <w:tcW w:w="5636" w:type="dxa"/>
          </w:tcPr>
          <w:p w14:paraId="7E5ACD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400-500 км</w:t>
            </w:r>
          </w:p>
        </w:tc>
      </w:tr>
      <w:tr w:rsidR="00E3599D" w:rsidRPr="00E14102" w14:paraId="6169B94C" w14:textId="77777777">
        <w:tc>
          <w:tcPr>
            <w:tcW w:w="5636" w:type="dxa"/>
          </w:tcPr>
          <w:p w14:paraId="1C420B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запас прочности</w:t>
            </w:r>
          </w:p>
        </w:tc>
        <w:tc>
          <w:tcPr>
            <w:tcW w:w="5636" w:type="dxa"/>
          </w:tcPr>
          <w:p w14:paraId="2CC6CB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10,7</w:t>
            </w:r>
          </w:p>
        </w:tc>
      </w:tr>
      <w:tr w:rsidR="00E3599D" w:rsidRPr="00E14102" w14:paraId="136215F5" w14:textId="77777777">
        <w:tc>
          <w:tcPr>
            <w:tcW w:w="5636" w:type="dxa"/>
          </w:tcPr>
          <w:p w14:paraId="2FF67C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w:t>
            </w:r>
          </w:p>
        </w:tc>
        <w:tc>
          <w:tcPr>
            <w:tcW w:w="5636" w:type="dxa"/>
          </w:tcPr>
          <w:p w14:paraId="1E0726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пулемета ПВ-1 вперед с 3000 патр. *</w:t>
            </w:r>
          </w:p>
        </w:tc>
      </w:tr>
      <w:tr w:rsidR="00E3599D" w:rsidRPr="00E14102" w14:paraId="01A85750" w14:textId="77777777">
        <w:tc>
          <w:tcPr>
            <w:tcW w:w="5636" w:type="dxa"/>
          </w:tcPr>
          <w:p w14:paraId="34F10A35" w14:textId="77777777" w:rsidR="00D4105E" w:rsidRPr="00E14102" w:rsidRDefault="00D4105E" w:rsidP="00E14102">
            <w:pPr>
              <w:autoSpaceDE w:val="0"/>
              <w:autoSpaceDN w:val="0"/>
              <w:adjustRightInd w:val="0"/>
              <w:jc w:val="both"/>
              <w:rPr>
                <w:color w:val="000000" w:themeColor="text1"/>
                <w:sz w:val="16"/>
                <w:szCs w:val="16"/>
              </w:rPr>
            </w:pPr>
          </w:p>
        </w:tc>
        <w:tc>
          <w:tcPr>
            <w:tcW w:w="5636" w:type="dxa"/>
          </w:tcPr>
          <w:p w14:paraId="1E2161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пулемет ПВ назад - 500-750 патр.</w:t>
            </w:r>
          </w:p>
        </w:tc>
      </w:tr>
      <w:tr w:rsidR="00E3599D" w:rsidRPr="00E14102" w14:paraId="1EC183F8" w14:textId="77777777">
        <w:tc>
          <w:tcPr>
            <w:tcW w:w="5636" w:type="dxa"/>
          </w:tcPr>
          <w:p w14:paraId="322A398E" w14:textId="77777777" w:rsidR="00D4105E" w:rsidRPr="00E14102" w:rsidRDefault="00D4105E" w:rsidP="00E14102">
            <w:pPr>
              <w:autoSpaceDE w:val="0"/>
              <w:autoSpaceDN w:val="0"/>
              <w:adjustRightInd w:val="0"/>
              <w:jc w:val="both"/>
              <w:rPr>
                <w:color w:val="000000" w:themeColor="text1"/>
                <w:sz w:val="16"/>
                <w:szCs w:val="16"/>
              </w:rPr>
            </w:pPr>
          </w:p>
        </w:tc>
        <w:tc>
          <w:tcPr>
            <w:tcW w:w="5636" w:type="dxa"/>
          </w:tcPr>
          <w:p w14:paraId="18EEDD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бомбы 10 кг под крыло и</w:t>
            </w:r>
          </w:p>
        </w:tc>
      </w:tr>
      <w:tr w:rsidR="00E3599D" w:rsidRPr="00E14102" w14:paraId="1A2C9958" w14:textId="77777777">
        <w:tc>
          <w:tcPr>
            <w:tcW w:w="5636" w:type="dxa"/>
          </w:tcPr>
          <w:p w14:paraId="00F090C9" w14:textId="77777777" w:rsidR="00D4105E" w:rsidRPr="00E14102" w:rsidRDefault="00D4105E" w:rsidP="00E14102">
            <w:pPr>
              <w:autoSpaceDE w:val="0"/>
              <w:autoSpaceDN w:val="0"/>
              <w:adjustRightInd w:val="0"/>
              <w:jc w:val="both"/>
              <w:rPr>
                <w:color w:val="000000" w:themeColor="text1"/>
                <w:sz w:val="16"/>
                <w:szCs w:val="16"/>
              </w:rPr>
            </w:pPr>
          </w:p>
        </w:tc>
        <w:tc>
          <w:tcPr>
            <w:tcW w:w="5636" w:type="dxa"/>
          </w:tcPr>
          <w:p w14:paraId="27EF16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такие же бомбы под фюзеляж или</w:t>
            </w:r>
          </w:p>
        </w:tc>
      </w:tr>
      <w:tr w:rsidR="00E3599D" w:rsidRPr="00E14102" w14:paraId="386CFCA9" w14:textId="77777777">
        <w:tc>
          <w:tcPr>
            <w:tcW w:w="5636" w:type="dxa"/>
            <w:tcBorders>
              <w:bottom w:val="single" w:sz="12" w:space="0" w:color="auto"/>
            </w:tcBorders>
          </w:tcPr>
          <w:p w14:paraId="3C03924C" w14:textId="77777777" w:rsidR="00D4105E" w:rsidRPr="00E14102" w:rsidRDefault="00D4105E" w:rsidP="00E14102">
            <w:pPr>
              <w:autoSpaceDE w:val="0"/>
              <w:autoSpaceDN w:val="0"/>
              <w:adjustRightInd w:val="0"/>
              <w:jc w:val="both"/>
              <w:rPr>
                <w:color w:val="000000" w:themeColor="text1"/>
                <w:sz w:val="16"/>
                <w:szCs w:val="16"/>
              </w:rPr>
            </w:pPr>
          </w:p>
        </w:tc>
        <w:tc>
          <w:tcPr>
            <w:tcW w:w="5636" w:type="dxa"/>
            <w:tcBorders>
              <w:bottom w:val="single" w:sz="12" w:space="0" w:color="auto"/>
            </w:tcBorders>
          </w:tcPr>
          <w:p w14:paraId="701032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ВАП-6 - 130 кг</w:t>
            </w:r>
          </w:p>
        </w:tc>
      </w:tr>
    </w:tbl>
    <w:p w14:paraId="4825BB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Обязать ГУАП (зав. N 39) в полуторамесячный срок изготовить эту машину. Первый экземпляр ДИ-6 строить без брони, вопрос о броне разрешить после испытания опытного образца.</w:t>
      </w:r>
    </w:p>
    <w:p w14:paraId="6AA77F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УВС совместно с ГУАП'ом в 10 летных дней после изготовления произвести испытания этой машины.</w:t>
      </w:r>
    </w:p>
    <w:p w14:paraId="36DF2D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ГУАП'у форсировать подготовку производства штурмовиков ДИ-6 на заводе N 81 с тем, чтобы с начала 1936 года обеспечить серийный выпуск их (3501,1).</w:t>
      </w:r>
    </w:p>
    <w:p w14:paraId="2AD001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 СТО (проект) По вопросу: о штурмовиках</w:t>
      </w:r>
    </w:p>
    <w:p w14:paraId="08C5F5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Утвердить переконструирование ДИ-6 и И-16 под штурмовики со следующими данными:</w:t>
      </w:r>
    </w:p>
    <w:p w14:paraId="2D79EA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И-16 М-22 (одноместный)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3599D" w:rsidRPr="00E14102" w14:paraId="38FB33E2" w14:textId="77777777">
        <w:tc>
          <w:tcPr>
            <w:tcW w:w="5636" w:type="dxa"/>
            <w:tcBorders>
              <w:top w:val="single" w:sz="12" w:space="0" w:color="auto"/>
            </w:tcBorders>
          </w:tcPr>
          <w:p w14:paraId="3919E4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 у земли</w:t>
            </w:r>
          </w:p>
        </w:tc>
        <w:tc>
          <w:tcPr>
            <w:tcW w:w="5636" w:type="dxa"/>
            <w:tcBorders>
              <w:top w:val="single" w:sz="12" w:space="0" w:color="auto"/>
            </w:tcBorders>
          </w:tcPr>
          <w:p w14:paraId="316634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 км</w:t>
            </w:r>
          </w:p>
        </w:tc>
      </w:tr>
      <w:tr w:rsidR="00E3599D" w:rsidRPr="00E14102" w14:paraId="20FABC72" w14:textId="77777777">
        <w:tc>
          <w:tcPr>
            <w:tcW w:w="5636" w:type="dxa"/>
          </w:tcPr>
          <w:p w14:paraId="180228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5636" w:type="dxa"/>
          </w:tcPr>
          <w:p w14:paraId="25C8BC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100-105 км</w:t>
            </w:r>
          </w:p>
        </w:tc>
      </w:tr>
      <w:tr w:rsidR="00E3599D" w:rsidRPr="00E14102" w14:paraId="74A17FA7" w14:textId="77777777">
        <w:tc>
          <w:tcPr>
            <w:tcW w:w="5636" w:type="dxa"/>
          </w:tcPr>
          <w:p w14:paraId="4E1C30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радиус действия</w:t>
            </w:r>
          </w:p>
        </w:tc>
        <w:tc>
          <w:tcPr>
            <w:tcW w:w="5636" w:type="dxa"/>
          </w:tcPr>
          <w:p w14:paraId="2A7C10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300-350 км</w:t>
            </w:r>
          </w:p>
        </w:tc>
      </w:tr>
      <w:tr w:rsidR="00E3599D" w:rsidRPr="00E14102" w14:paraId="76AAE9BA" w14:textId="77777777">
        <w:tc>
          <w:tcPr>
            <w:tcW w:w="5636" w:type="dxa"/>
          </w:tcPr>
          <w:p w14:paraId="72AB0E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запас прочности</w:t>
            </w:r>
          </w:p>
        </w:tc>
        <w:tc>
          <w:tcPr>
            <w:tcW w:w="5636" w:type="dxa"/>
          </w:tcPr>
          <w:p w14:paraId="275EB0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w:t>
            </w:r>
          </w:p>
        </w:tc>
      </w:tr>
      <w:tr w:rsidR="00E3599D" w:rsidRPr="00E14102" w14:paraId="2774AD5D" w14:textId="77777777">
        <w:tc>
          <w:tcPr>
            <w:tcW w:w="5636" w:type="dxa"/>
          </w:tcPr>
          <w:p w14:paraId="15D56B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w:t>
            </w:r>
          </w:p>
        </w:tc>
        <w:tc>
          <w:tcPr>
            <w:tcW w:w="5636" w:type="dxa"/>
          </w:tcPr>
          <w:p w14:paraId="377F3D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пулемета ПВ-1 3320 патр.</w:t>
            </w:r>
          </w:p>
        </w:tc>
      </w:tr>
      <w:tr w:rsidR="00E3599D" w:rsidRPr="00E14102" w14:paraId="0327D7F4" w14:textId="77777777">
        <w:tc>
          <w:tcPr>
            <w:tcW w:w="5636" w:type="dxa"/>
            <w:tcBorders>
              <w:bottom w:val="single" w:sz="12" w:space="0" w:color="auto"/>
            </w:tcBorders>
          </w:tcPr>
          <w:p w14:paraId="422B821B" w14:textId="77777777" w:rsidR="00D4105E" w:rsidRPr="00E14102" w:rsidRDefault="00D4105E" w:rsidP="00E14102">
            <w:pPr>
              <w:autoSpaceDE w:val="0"/>
              <w:autoSpaceDN w:val="0"/>
              <w:adjustRightInd w:val="0"/>
              <w:jc w:val="both"/>
              <w:rPr>
                <w:color w:val="000000" w:themeColor="text1"/>
                <w:sz w:val="16"/>
                <w:szCs w:val="16"/>
              </w:rPr>
            </w:pPr>
          </w:p>
        </w:tc>
        <w:tc>
          <w:tcPr>
            <w:tcW w:w="5636" w:type="dxa"/>
            <w:tcBorders>
              <w:bottom w:val="single" w:sz="12" w:space="0" w:color="auto"/>
            </w:tcBorders>
          </w:tcPr>
          <w:p w14:paraId="1A2B1D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80-100 кг бомб или же 2 ВАП-6 - 130 кг</w:t>
            </w:r>
          </w:p>
        </w:tc>
      </w:tr>
    </w:tbl>
    <w:p w14:paraId="2A9470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ДИ-6 М-25 (РЦ) (двухместный)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3599D" w:rsidRPr="00E14102" w14:paraId="6D9C9F21" w14:textId="77777777">
        <w:tc>
          <w:tcPr>
            <w:tcW w:w="5636" w:type="dxa"/>
            <w:tcBorders>
              <w:top w:val="single" w:sz="12" w:space="0" w:color="auto"/>
            </w:tcBorders>
          </w:tcPr>
          <w:p w14:paraId="1BB555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скорость у земли</w:t>
            </w:r>
          </w:p>
        </w:tc>
        <w:tc>
          <w:tcPr>
            <w:tcW w:w="5636" w:type="dxa"/>
            <w:tcBorders>
              <w:top w:val="single" w:sz="12" w:space="0" w:color="auto"/>
            </w:tcBorders>
          </w:tcPr>
          <w:p w14:paraId="1691AC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340-350 км</w:t>
            </w:r>
          </w:p>
        </w:tc>
      </w:tr>
      <w:tr w:rsidR="00E3599D" w:rsidRPr="00E14102" w14:paraId="23203CA1" w14:textId="77777777">
        <w:tc>
          <w:tcPr>
            <w:tcW w:w="5636" w:type="dxa"/>
          </w:tcPr>
          <w:p w14:paraId="2C91B8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w:t>
            </w:r>
          </w:p>
        </w:tc>
        <w:tc>
          <w:tcPr>
            <w:tcW w:w="5636" w:type="dxa"/>
          </w:tcPr>
          <w:p w14:paraId="6D59A5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390-400 км (на 3000 м)</w:t>
            </w:r>
          </w:p>
        </w:tc>
      </w:tr>
      <w:tr w:rsidR="00E3599D" w:rsidRPr="00E14102" w14:paraId="210680CF" w14:textId="77777777">
        <w:tc>
          <w:tcPr>
            <w:tcW w:w="5636" w:type="dxa"/>
          </w:tcPr>
          <w:p w14:paraId="26C29F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5636" w:type="dxa"/>
          </w:tcPr>
          <w:p w14:paraId="137F98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 км</w:t>
            </w:r>
          </w:p>
        </w:tc>
      </w:tr>
      <w:tr w:rsidR="00E3599D" w:rsidRPr="00E14102" w14:paraId="1DE570AD" w14:textId="77777777">
        <w:tc>
          <w:tcPr>
            <w:tcW w:w="5636" w:type="dxa"/>
          </w:tcPr>
          <w:p w14:paraId="118853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радиус действия</w:t>
            </w:r>
          </w:p>
        </w:tc>
        <w:tc>
          <w:tcPr>
            <w:tcW w:w="5636" w:type="dxa"/>
          </w:tcPr>
          <w:p w14:paraId="35F548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400-500 км</w:t>
            </w:r>
          </w:p>
        </w:tc>
      </w:tr>
      <w:tr w:rsidR="00E3599D" w:rsidRPr="00E14102" w14:paraId="0B48C6C5" w14:textId="77777777">
        <w:tc>
          <w:tcPr>
            <w:tcW w:w="5636" w:type="dxa"/>
          </w:tcPr>
          <w:p w14:paraId="062057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запас прочности</w:t>
            </w:r>
          </w:p>
        </w:tc>
        <w:tc>
          <w:tcPr>
            <w:tcW w:w="5636" w:type="dxa"/>
          </w:tcPr>
          <w:p w14:paraId="21C485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10,7</w:t>
            </w:r>
          </w:p>
        </w:tc>
      </w:tr>
      <w:tr w:rsidR="00E3599D" w:rsidRPr="00E14102" w14:paraId="0539D70E" w14:textId="77777777">
        <w:tc>
          <w:tcPr>
            <w:tcW w:w="5636" w:type="dxa"/>
          </w:tcPr>
          <w:p w14:paraId="01FE18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w:t>
            </w:r>
          </w:p>
        </w:tc>
        <w:tc>
          <w:tcPr>
            <w:tcW w:w="5636" w:type="dxa"/>
          </w:tcPr>
          <w:p w14:paraId="0BF65C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пулемета ПВ-1 вперед с 3000 патр. *</w:t>
            </w:r>
          </w:p>
        </w:tc>
      </w:tr>
      <w:tr w:rsidR="00E3599D" w:rsidRPr="00E14102" w14:paraId="28C2E0D4" w14:textId="77777777">
        <w:tc>
          <w:tcPr>
            <w:tcW w:w="5636" w:type="dxa"/>
          </w:tcPr>
          <w:p w14:paraId="16FBF5DE" w14:textId="77777777" w:rsidR="00D4105E" w:rsidRPr="00E14102" w:rsidRDefault="00D4105E" w:rsidP="00E14102">
            <w:pPr>
              <w:autoSpaceDE w:val="0"/>
              <w:autoSpaceDN w:val="0"/>
              <w:adjustRightInd w:val="0"/>
              <w:jc w:val="both"/>
              <w:rPr>
                <w:color w:val="000000" w:themeColor="text1"/>
                <w:sz w:val="16"/>
                <w:szCs w:val="16"/>
              </w:rPr>
            </w:pPr>
          </w:p>
        </w:tc>
        <w:tc>
          <w:tcPr>
            <w:tcW w:w="5636" w:type="dxa"/>
          </w:tcPr>
          <w:p w14:paraId="5B13FC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пулемет ПВ назад - 500-750 патр.</w:t>
            </w:r>
          </w:p>
        </w:tc>
      </w:tr>
      <w:tr w:rsidR="00E3599D" w:rsidRPr="00E14102" w14:paraId="4227C21C" w14:textId="77777777">
        <w:tc>
          <w:tcPr>
            <w:tcW w:w="5636" w:type="dxa"/>
          </w:tcPr>
          <w:p w14:paraId="5737EA19" w14:textId="77777777" w:rsidR="00D4105E" w:rsidRPr="00E14102" w:rsidRDefault="00D4105E" w:rsidP="00E14102">
            <w:pPr>
              <w:autoSpaceDE w:val="0"/>
              <w:autoSpaceDN w:val="0"/>
              <w:adjustRightInd w:val="0"/>
              <w:jc w:val="both"/>
              <w:rPr>
                <w:color w:val="000000" w:themeColor="text1"/>
                <w:sz w:val="16"/>
                <w:szCs w:val="16"/>
              </w:rPr>
            </w:pPr>
          </w:p>
        </w:tc>
        <w:tc>
          <w:tcPr>
            <w:tcW w:w="5636" w:type="dxa"/>
          </w:tcPr>
          <w:p w14:paraId="171CAD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бомбы 10 кг под крыло и</w:t>
            </w:r>
          </w:p>
        </w:tc>
      </w:tr>
      <w:tr w:rsidR="00E3599D" w:rsidRPr="00E14102" w14:paraId="388F54AB" w14:textId="77777777">
        <w:tc>
          <w:tcPr>
            <w:tcW w:w="5636" w:type="dxa"/>
          </w:tcPr>
          <w:p w14:paraId="0A4E85B7" w14:textId="77777777" w:rsidR="00D4105E" w:rsidRPr="00E14102" w:rsidRDefault="00D4105E" w:rsidP="00E14102">
            <w:pPr>
              <w:autoSpaceDE w:val="0"/>
              <w:autoSpaceDN w:val="0"/>
              <w:adjustRightInd w:val="0"/>
              <w:jc w:val="both"/>
              <w:rPr>
                <w:color w:val="000000" w:themeColor="text1"/>
                <w:sz w:val="16"/>
                <w:szCs w:val="16"/>
              </w:rPr>
            </w:pPr>
          </w:p>
        </w:tc>
        <w:tc>
          <w:tcPr>
            <w:tcW w:w="5636" w:type="dxa"/>
          </w:tcPr>
          <w:p w14:paraId="016C73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такие же бомбы под фюзеляж или</w:t>
            </w:r>
          </w:p>
        </w:tc>
      </w:tr>
      <w:tr w:rsidR="00E3599D" w:rsidRPr="00E14102" w14:paraId="4BA0FA5E" w14:textId="77777777">
        <w:tc>
          <w:tcPr>
            <w:tcW w:w="5636" w:type="dxa"/>
            <w:tcBorders>
              <w:bottom w:val="single" w:sz="12" w:space="0" w:color="auto"/>
            </w:tcBorders>
          </w:tcPr>
          <w:p w14:paraId="6DAFF0D9" w14:textId="77777777" w:rsidR="00D4105E" w:rsidRPr="00E14102" w:rsidRDefault="00D4105E" w:rsidP="00E14102">
            <w:pPr>
              <w:autoSpaceDE w:val="0"/>
              <w:autoSpaceDN w:val="0"/>
              <w:adjustRightInd w:val="0"/>
              <w:jc w:val="both"/>
              <w:rPr>
                <w:color w:val="000000" w:themeColor="text1"/>
                <w:sz w:val="16"/>
                <w:szCs w:val="16"/>
              </w:rPr>
            </w:pPr>
          </w:p>
        </w:tc>
        <w:tc>
          <w:tcPr>
            <w:tcW w:w="5636" w:type="dxa"/>
            <w:tcBorders>
              <w:bottom w:val="single" w:sz="12" w:space="0" w:color="auto"/>
            </w:tcBorders>
          </w:tcPr>
          <w:p w14:paraId="11B79A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ВАП-6 - 130 кг</w:t>
            </w:r>
          </w:p>
        </w:tc>
      </w:tr>
    </w:tbl>
    <w:p w14:paraId="79B1D7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Обязать ГУАП (зав. N 39) в полуторамесячный срок изготовить эти машины.</w:t>
      </w:r>
    </w:p>
    <w:p w14:paraId="369953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УВС совместно с ГУАП'ом в 10 летных дней после изготовления обоих машин произвести испытания этих машин.</w:t>
      </w:r>
    </w:p>
    <w:p w14:paraId="3337B4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ГУАП'у форсировать подготовку производства штурмовиков ДИ-6 на заводе N 81 и И-16 на заводе N 21 с тем, чтобы с начала 1936 года обеспечить серийный выпуск их.</w:t>
      </w:r>
    </w:p>
    <w:p w14:paraId="7B1A36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Для выпуска И-16 с М-22 в штурмовом варианте ГУАП забронировать все моторы, освобождающиеся от И-16 М-22 на заводе N 21 в связи с переходом на мотор М-25 (РЦ).</w:t>
      </w:r>
    </w:p>
    <w:p w14:paraId="37B4F8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Включить в план опытного строительства как вышеуказанные две машины, так и новые штурмовики на базе И-16 с мотором РЦ в 2-х местном варианте...</w:t>
      </w:r>
    </w:p>
    <w:p w14:paraId="34B09F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Произвести конструктивную разработку двухместных штурмовиков типа И-16 М-25 (РЦ) под руководством Поликарпова, а постройку на заводе N 21 со сроком выпуска к 1 января 1936 года (3501,2-3).</w:t>
      </w:r>
    </w:p>
    <w:p w14:paraId="76D1ACE7" w14:textId="77777777" w:rsidR="00D4105E" w:rsidRPr="00E14102" w:rsidRDefault="00D4105E" w:rsidP="00E14102">
      <w:pPr>
        <w:autoSpaceDE w:val="0"/>
        <w:autoSpaceDN w:val="0"/>
        <w:adjustRightInd w:val="0"/>
        <w:jc w:val="both"/>
        <w:rPr>
          <w:color w:val="000000" w:themeColor="text1"/>
          <w:sz w:val="16"/>
          <w:szCs w:val="16"/>
        </w:rPr>
      </w:pPr>
    </w:p>
    <w:p w14:paraId="64E30031" w14:textId="77777777" w:rsidR="008A0D6C" w:rsidRPr="00E14102" w:rsidRDefault="008A0D6C" w:rsidP="00E14102">
      <w:pPr>
        <w:pStyle w:val="rtejustify"/>
        <w:spacing w:before="0" w:after="0"/>
        <w:rPr>
          <w:color w:val="000000" w:themeColor="text1"/>
          <w:sz w:val="16"/>
          <w:szCs w:val="16"/>
        </w:rPr>
      </w:pPr>
      <w:r w:rsidRPr="00E14102">
        <w:rPr>
          <w:rStyle w:val="a6"/>
          <w:bCs/>
          <w:i w:val="0"/>
          <w:color w:val="000000" w:themeColor="text1"/>
          <w:sz w:val="16"/>
          <w:szCs w:val="16"/>
        </w:rPr>
        <w:t>4 августа</w:t>
      </w:r>
      <w:r w:rsidRPr="00E14102">
        <w:rPr>
          <w:color w:val="000000" w:themeColor="text1"/>
          <w:sz w:val="16"/>
          <w:szCs w:val="16"/>
        </w:rPr>
        <w:t xml:space="preserve"> 1935. Постановление СТО СССР № С</w:t>
      </w:r>
      <w:r w:rsidRPr="00E14102">
        <w:rPr>
          <w:color w:val="000000" w:themeColor="text1"/>
          <w:sz w:val="16"/>
          <w:szCs w:val="16"/>
        </w:rPr>
        <w:noBreakHyphen/>
        <w:t>96с «О штурмовиках». (ГА РФ. Ф. Р</w:t>
      </w:r>
      <w:r w:rsidRPr="00E14102">
        <w:rPr>
          <w:color w:val="000000" w:themeColor="text1"/>
          <w:sz w:val="16"/>
          <w:szCs w:val="16"/>
        </w:rPr>
        <w:noBreakHyphen/>
        <w:t>8418. Оп. 28. Д. 7. Л. 62) (15460).</w:t>
      </w:r>
    </w:p>
    <w:p w14:paraId="738B55C1" w14:textId="77777777" w:rsidR="008A0D6C" w:rsidRPr="00E14102" w:rsidRDefault="008A0D6C" w:rsidP="00E14102">
      <w:pPr>
        <w:pStyle w:val="rtejustify"/>
        <w:spacing w:before="0" w:after="0"/>
        <w:rPr>
          <w:color w:val="000000" w:themeColor="text1"/>
          <w:sz w:val="16"/>
          <w:szCs w:val="16"/>
        </w:rPr>
      </w:pPr>
    </w:p>
    <w:p w14:paraId="4365B3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года постановление № С-96сс СТО</w:t>
      </w:r>
    </w:p>
    <w:p w14:paraId="2FB3F9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штурмовиках</w:t>
      </w:r>
    </w:p>
    <w:p w14:paraId="268855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5746517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Утвердить переконструирование ДИ-6 под штурмовик со следующими данными:</w:t>
      </w:r>
    </w:p>
    <w:p w14:paraId="3FAF52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ДИ-6 М-25 (РЦ) (двухместный).</w:t>
      </w:r>
    </w:p>
    <w:p w14:paraId="4405EB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у земли –340-350 км</w:t>
      </w:r>
    </w:p>
    <w:p w14:paraId="323070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 390-400 км (на 3000 м).</w:t>
      </w:r>
    </w:p>
    <w:p w14:paraId="076407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 – 99-95 км</w:t>
      </w:r>
    </w:p>
    <w:p w14:paraId="2371EE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радиус действия – 400-500 км</w:t>
      </w:r>
    </w:p>
    <w:p w14:paraId="64E6E8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запас прочности – 10, 7</w:t>
      </w:r>
    </w:p>
    <w:p w14:paraId="096186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 4 пулемета ПВ-1 вперед с 3000 патр., 1 пулемет ПВ назад – 500-750 патр., 4 бомбы 10 кг под крыло и 4 такие же бомбы под фюзеляж или 2 ВАП-6 – 130 кг</w:t>
      </w:r>
    </w:p>
    <w:p w14:paraId="7D84048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ГУАП (завод № 39) в полуторамесячный срок изготовить эту машину. Первый экземпляр ДИ-6 строить без брони, вопрос о броне разрешить после испытания опытного образца.</w:t>
      </w:r>
    </w:p>
    <w:p w14:paraId="4CADA0F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УВС совместно с ГУАПом в 10 летных дней после изготовления произвести испытания этой машины.</w:t>
      </w:r>
    </w:p>
    <w:p w14:paraId="3C05880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ГУАПу форсировать подготовку производства штурмовиков ДИ-6 на заводе № 81 с тем, чтобы с начала 1936 года обеспечить серийный выпуск их (7516, 105).</w:t>
      </w:r>
    </w:p>
    <w:p w14:paraId="3B40ACB8"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3B2ED474" w14:textId="77777777" w:rsidR="008A0D6C" w:rsidRPr="00E14102" w:rsidRDefault="008A0D6C" w:rsidP="00E14102">
      <w:pPr>
        <w:pStyle w:val="rtejustify"/>
        <w:spacing w:before="0" w:after="0"/>
        <w:rPr>
          <w:color w:val="000000" w:themeColor="text1"/>
          <w:sz w:val="16"/>
          <w:szCs w:val="16"/>
        </w:rPr>
      </w:pPr>
      <w:r w:rsidRPr="00E14102">
        <w:rPr>
          <w:rStyle w:val="a6"/>
          <w:bCs/>
          <w:i w:val="0"/>
          <w:color w:val="000000" w:themeColor="text1"/>
          <w:sz w:val="16"/>
          <w:szCs w:val="16"/>
        </w:rPr>
        <w:t>4 августа</w:t>
      </w:r>
      <w:r w:rsidRPr="00E14102">
        <w:rPr>
          <w:color w:val="000000" w:themeColor="text1"/>
          <w:sz w:val="16"/>
          <w:szCs w:val="16"/>
        </w:rPr>
        <w:t xml:space="preserve"> 1935. Постановление СТО СССР № С</w:t>
      </w:r>
      <w:r w:rsidRPr="00E14102">
        <w:rPr>
          <w:color w:val="000000" w:themeColor="text1"/>
          <w:sz w:val="16"/>
          <w:szCs w:val="16"/>
        </w:rPr>
        <w:noBreakHyphen/>
        <w:t>97сс «О постройке дальнего разведчика». (ГА РФ. Ф. Р</w:t>
      </w:r>
      <w:r w:rsidRPr="00E14102">
        <w:rPr>
          <w:color w:val="000000" w:themeColor="text1"/>
          <w:sz w:val="16"/>
          <w:szCs w:val="16"/>
        </w:rPr>
        <w:noBreakHyphen/>
        <w:t>8418. Оп. 28. Д. 7. Л. 63</w:t>
      </w:r>
      <w:r w:rsidRPr="00E14102">
        <w:rPr>
          <w:color w:val="000000" w:themeColor="text1"/>
          <w:sz w:val="16"/>
          <w:szCs w:val="16"/>
        </w:rPr>
        <w:noBreakHyphen/>
        <w:t>64) (15460).</w:t>
      </w:r>
    </w:p>
    <w:p w14:paraId="0E99362B" w14:textId="77777777" w:rsidR="008A0D6C" w:rsidRPr="00E14102" w:rsidRDefault="008A0D6C" w:rsidP="00E14102">
      <w:pPr>
        <w:pStyle w:val="rtejustify"/>
        <w:spacing w:before="0" w:after="0"/>
        <w:rPr>
          <w:color w:val="000000" w:themeColor="text1"/>
          <w:sz w:val="16"/>
          <w:szCs w:val="16"/>
        </w:rPr>
      </w:pPr>
    </w:p>
    <w:p w14:paraId="26BFC2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вышло постановление СТО N С-97сс "О постройке дальнего разведчика". Пред. СТО Чубарь (2161,184).</w:t>
      </w:r>
    </w:p>
    <w:p w14:paraId="25A0E8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Обязать ЦАГИ построить и сдать на гос. испытания опытный образец этого самолета на базе модифицированного СБ не позже 1 октября 1938.</w:t>
      </w:r>
    </w:p>
    <w:p w14:paraId="28FB88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Основные ЛТД в варианте Р</w:t>
      </w:r>
    </w:p>
    <w:p w14:paraId="54C152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Нормальный вариант нагрузки</w:t>
      </w:r>
    </w:p>
    <w:p w14:paraId="177E47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полетный вес - 5300 кг</w:t>
      </w:r>
    </w:p>
    <w:p w14:paraId="628EE3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пустого - 3600 кг</w:t>
      </w:r>
    </w:p>
    <w:p w14:paraId="1EBB65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полезная нагрузка - 700 кг</w:t>
      </w:r>
    </w:p>
    <w:p w14:paraId="162131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ГСМ - 1000 кг</w:t>
      </w:r>
    </w:p>
    <w:p w14:paraId="127EF7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прочность - 9</w:t>
      </w:r>
    </w:p>
    <w:p w14:paraId="2BFB3D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5000 м - 405-430 (в зависимости от мощности).</w:t>
      </w:r>
    </w:p>
    <w:p w14:paraId="6085A7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скороподъемность - 7.8 мин</w:t>
      </w:r>
    </w:p>
    <w:p w14:paraId="02670B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- 9-10000 м</w:t>
      </w:r>
    </w:p>
    <w:p w14:paraId="463881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норм. на 250 км/час - 1500 км</w:t>
      </w:r>
    </w:p>
    <w:p w14:paraId="00C57E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имеющиеся в самолете баки доливается 415 кг горючего. Общий вес будет 3715 кг</w:t>
      </w:r>
    </w:p>
    <w:p w14:paraId="339D89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на крейсерской 280 км/час - 2000-2200. В случае необходимости в самолет м.б. вставлен легкосъемный бак, который увеличит дальность до 3000 км на 280 км/час." (2398,112).</w:t>
      </w:r>
    </w:p>
    <w:p w14:paraId="3DA88C10" w14:textId="77777777" w:rsidR="00D4105E" w:rsidRPr="00E14102" w:rsidRDefault="00D4105E" w:rsidP="00E14102">
      <w:pPr>
        <w:autoSpaceDE w:val="0"/>
        <w:autoSpaceDN w:val="0"/>
        <w:adjustRightInd w:val="0"/>
        <w:jc w:val="both"/>
        <w:rPr>
          <w:color w:val="000000" w:themeColor="text1"/>
          <w:sz w:val="16"/>
          <w:szCs w:val="16"/>
        </w:rPr>
      </w:pPr>
    </w:p>
    <w:p w14:paraId="06121F4A"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r w:rsidRPr="00E14102">
        <w:rPr>
          <w:color w:val="000000" w:themeColor="text1"/>
          <w:sz w:val="16"/>
          <w:szCs w:val="16"/>
        </w:rPr>
        <w:t>4 августа 1935 вышло Постановление СТО № С-96, согласно которому в 1935-37 гг. был выпущен 2-х местный скоростной легкий штур</w:t>
      </w:r>
      <w:r w:rsidRPr="00E14102">
        <w:rPr>
          <w:color w:val="000000" w:themeColor="text1"/>
          <w:sz w:val="16"/>
          <w:szCs w:val="16"/>
        </w:rPr>
        <w:softHyphen/>
        <w:t>мовик Ди-6ш (, являющийся мо</w:t>
      </w:r>
      <w:r w:rsidRPr="00E14102">
        <w:rPr>
          <w:color w:val="000000" w:themeColor="text1"/>
          <w:sz w:val="16"/>
          <w:szCs w:val="16"/>
        </w:rPr>
        <w:softHyphen/>
        <w:t>дификацией 2-х местного истребителя-биплана Ди-6, выпущенного в ЦКБ завода №39 отделом В.П.Яценко при общем руководстве начальника брига</w:t>
      </w:r>
      <w:r w:rsidRPr="00E14102">
        <w:rPr>
          <w:color w:val="000000" w:themeColor="text1"/>
          <w:sz w:val="16"/>
          <w:szCs w:val="16"/>
        </w:rPr>
        <w:softHyphen/>
        <w:t>ды (или ОКБ-1) С.А.Кочеригина. Это, пожалуй, единственный результат работ по приспособлению истребителей к штурмовым операциям. Ди-6ш имел бронированные спинку и чашку сиденья летчика. Наступатель</w:t>
      </w:r>
      <w:r w:rsidRPr="00E14102">
        <w:rPr>
          <w:color w:val="000000" w:themeColor="text1"/>
          <w:sz w:val="16"/>
          <w:szCs w:val="16"/>
        </w:rPr>
        <w:softHyphen/>
        <w:t>ное вооружение состояло из 2-х синх</w:t>
      </w:r>
      <w:r w:rsidRPr="00E14102">
        <w:rPr>
          <w:color w:val="000000" w:themeColor="text1"/>
          <w:sz w:val="16"/>
          <w:szCs w:val="16"/>
        </w:rPr>
        <w:softHyphen/>
        <w:t>ронных пулеметов ПВ-1, 4-х пулеме</w:t>
      </w:r>
      <w:r w:rsidRPr="00E14102">
        <w:rPr>
          <w:color w:val="000000" w:themeColor="text1"/>
          <w:sz w:val="16"/>
          <w:szCs w:val="16"/>
        </w:rPr>
        <w:softHyphen/>
        <w:t>тов ПВ-1, установленных под нижним крылом в специальных обтекателях под углом 2° 17’ к продольной оси самоле</w:t>
      </w:r>
      <w:r w:rsidRPr="00E14102">
        <w:rPr>
          <w:color w:val="000000" w:themeColor="text1"/>
          <w:sz w:val="16"/>
          <w:szCs w:val="16"/>
        </w:rPr>
        <w:softHyphen/>
        <w:t>та с боезапасом 3000 (в перегрузку 4000) патронов и бомбовой нагрузки до 80 кг (бомбы 8х10 кг, 4 под крылом и 4 под фюзеляжем). При этом на подкрыльевые узлы могли подвешиваться два выливных авиаприбора химическо</w:t>
      </w:r>
      <w:r w:rsidRPr="00E14102">
        <w:rPr>
          <w:color w:val="000000" w:themeColor="text1"/>
          <w:sz w:val="16"/>
          <w:szCs w:val="16"/>
        </w:rPr>
        <w:softHyphen/>
        <w:t>го вооружения типа ВАП-6. Для обо</w:t>
      </w:r>
      <w:r w:rsidRPr="00E14102">
        <w:rPr>
          <w:color w:val="000000" w:themeColor="text1"/>
          <w:sz w:val="16"/>
          <w:szCs w:val="16"/>
        </w:rPr>
        <w:softHyphen/>
        <w:t>роны от атак истребителей противни</w:t>
      </w:r>
      <w:r w:rsidRPr="00E14102">
        <w:rPr>
          <w:color w:val="000000" w:themeColor="text1"/>
          <w:sz w:val="16"/>
          <w:szCs w:val="16"/>
        </w:rPr>
        <w:softHyphen/>
        <w:t>ка со стороны задней полусферы слу</w:t>
      </w:r>
      <w:r w:rsidRPr="00E14102">
        <w:rPr>
          <w:color w:val="000000" w:themeColor="text1"/>
          <w:sz w:val="16"/>
          <w:szCs w:val="16"/>
        </w:rPr>
        <w:softHyphen/>
        <w:t>жил ШКАС (боекомплект 750 патро</w:t>
      </w:r>
      <w:r w:rsidRPr="00E14102">
        <w:rPr>
          <w:color w:val="000000" w:themeColor="text1"/>
          <w:sz w:val="16"/>
          <w:szCs w:val="16"/>
        </w:rPr>
        <w:softHyphen/>
        <w:t>нов) на шкворневой установке у стрелка (6269).</w:t>
      </w:r>
    </w:p>
    <w:p w14:paraId="00471109"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p>
    <w:p w14:paraId="41652D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года военное представительство завода № 1 передало самолет ИП1 РЦ Ф3 ИИ ВС для продолжения испытаний.</w:t>
      </w:r>
    </w:p>
    <w:p w14:paraId="61993A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E6FC6B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рекомендовано для установки на серийных самолетах ИП1 М25.</w:t>
      </w:r>
    </w:p>
    <w:p w14:paraId="31275B0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Отклонение элеронов ввиду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4DDD1C9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369F04B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Капоты винтомоторной группы требуют доработки как аэродинамической стороны, так и эксплуатационной и для серийных самолетов ИП1 М25 идущих в строевые части негодны.</w:t>
      </w:r>
    </w:p>
    <w:p w14:paraId="0D854A0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Испытываемый самолет ИП1 РЦФ3 для испытаний вооружения и живучести оперения от стрельбы при АПК 4М ввиду значительных разрушений и деформации без капитального ремонта и устранения выявленных недостатков допустить невозможно (7817).</w:t>
      </w:r>
    </w:p>
    <w:p w14:paraId="4D75F56A"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4154BB8C" w14:textId="77777777" w:rsidR="008A0D6C" w:rsidRPr="00E14102" w:rsidRDefault="008A0D6C" w:rsidP="00E14102">
      <w:pPr>
        <w:pStyle w:val="a7"/>
        <w:rPr>
          <w:color w:val="000000" w:themeColor="text1"/>
          <w:sz w:val="16"/>
          <w:szCs w:val="16"/>
          <w:lang w:val="ru-RU"/>
        </w:rPr>
      </w:pPr>
      <w:r w:rsidRPr="00E14102">
        <w:rPr>
          <w:color w:val="000000" w:themeColor="text1"/>
          <w:sz w:val="16"/>
          <w:szCs w:val="16"/>
          <w:lang w:val="ru-RU"/>
        </w:rPr>
        <w:t>4 августа 1935 г. военное предста</w:t>
      </w:r>
      <w:r w:rsidRPr="00E14102">
        <w:rPr>
          <w:color w:val="000000" w:themeColor="text1"/>
          <w:sz w:val="16"/>
          <w:szCs w:val="16"/>
          <w:lang w:val="ru-RU"/>
        </w:rPr>
        <w:softHyphen/>
        <w:t>вительство завода №1 передало ИП-1 с установленными АПК-4М в НИИ ВВС для продолжения испытаний. После выпол</w:t>
      </w:r>
      <w:r w:rsidRPr="00E14102">
        <w:rPr>
          <w:color w:val="000000" w:themeColor="text1"/>
          <w:sz w:val="16"/>
          <w:szCs w:val="16"/>
          <w:lang w:val="ru-RU"/>
        </w:rPr>
        <w:softHyphen/>
        <w:t>нения нескольких оценочных полетов приступили к воздушным стрельбам из динамореактивных пушек, которые велись в период с 25 августа по 4 сентября. Далее испытания решили прекратить, так как после выполнения 444 посадок конструк</w:t>
      </w:r>
      <w:r w:rsidRPr="00E14102">
        <w:rPr>
          <w:color w:val="000000" w:themeColor="text1"/>
          <w:sz w:val="16"/>
          <w:szCs w:val="16"/>
          <w:lang w:val="ru-RU"/>
        </w:rPr>
        <w:softHyphen/>
        <w:t>ция крыла и центроплана износились и требовали ремонта. Кроме того, ремонт требовался и хвостовому оперению, на которое негативно повлияли пороховые газы от произведенных 38 выстрелов из АПК-4М на земле и 20 выстрелов в воз</w:t>
      </w:r>
      <w:r w:rsidRPr="00E14102">
        <w:rPr>
          <w:color w:val="000000" w:themeColor="text1"/>
          <w:sz w:val="16"/>
          <w:szCs w:val="16"/>
          <w:lang w:val="ru-RU"/>
        </w:rPr>
        <w:softHyphen/>
        <w:t>духе. Поэтому самолет отправили на завод для проведения очередных доводок и усо</w:t>
      </w:r>
      <w:r w:rsidRPr="00E14102">
        <w:rPr>
          <w:color w:val="000000" w:themeColor="text1"/>
          <w:sz w:val="16"/>
          <w:szCs w:val="16"/>
          <w:lang w:val="ru-RU"/>
        </w:rPr>
        <w:softHyphen/>
        <w:t>вершенствований.</w:t>
      </w:r>
    </w:p>
    <w:p w14:paraId="6AABD41B" w14:textId="77777777" w:rsidR="008A0D6C" w:rsidRPr="00E14102" w:rsidRDefault="008A0D6C" w:rsidP="00E14102">
      <w:pPr>
        <w:pStyle w:val="a7"/>
        <w:rPr>
          <w:color w:val="000000" w:themeColor="text1"/>
          <w:sz w:val="16"/>
          <w:szCs w:val="16"/>
          <w:lang w:val="ru-RU"/>
        </w:rPr>
      </w:pPr>
      <w:r w:rsidRPr="00E14102">
        <w:rPr>
          <w:color w:val="000000" w:themeColor="text1"/>
          <w:sz w:val="16"/>
          <w:szCs w:val="16"/>
          <w:lang w:val="ru-RU"/>
        </w:rPr>
        <w:lastRenderedPageBreak/>
        <w:t>Между тем государственные испыта</w:t>
      </w:r>
      <w:r w:rsidRPr="00E14102">
        <w:rPr>
          <w:color w:val="000000" w:themeColor="text1"/>
          <w:sz w:val="16"/>
          <w:szCs w:val="16"/>
          <w:lang w:val="ru-RU"/>
        </w:rPr>
        <w:softHyphen/>
        <w:t>ния ИП-1 считались законченными, поэто</w:t>
      </w:r>
      <w:r w:rsidRPr="00E14102">
        <w:rPr>
          <w:color w:val="000000" w:themeColor="text1"/>
          <w:sz w:val="16"/>
          <w:szCs w:val="16"/>
          <w:lang w:val="ru-RU"/>
        </w:rPr>
        <w:softHyphen/>
        <w:t>му в отношении него были сделаны неко</w:t>
      </w:r>
      <w:r w:rsidRPr="00E14102">
        <w:rPr>
          <w:color w:val="000000" w:themeColor="text1"/>
          <w:sz w:val="16"/>
          <w:szCs w:val="16"/>
          <w:lang w:val="ru-RU"/>
        </w:rPr>
        <w:softHyphen/>
        <w:t>торые выводы. В частности отмечалось, что благодаря высокой посадке летчика обладает хорошим обзором из кабины. Самолет устойчиво пикирует, хорошо наводится на цель, управление самолетом в воздухе простое, доступное при осво</w:t>
      </w:r>
      <w:r w:rsidRPr="00E14102">
        <w:rPr>
          <w:color w:val="000000" w:themeColor="text1"/>
          <w:sz w:val="16"/>
          <w:szCs w:val="16"/>
          <w:lang w:val="ru-RU"/>
        </w:rPr>
        <w:softHyphen/>
        <w:t>ении строевыми летчиками. Посадочная скорость составила 100-105 км/ч, разбег - 180-190 м, что позволяло использовать ИП-1 с полевых аэродромов размером 400</w:t>
      </w:r>
      <w:r w:rsidRPr="00E14102">
        <w:rPr>
          <w:color w:val="000000" w:themeColor="text1"/>
          <w:sz w:val="16"/>
          <w:szCs w:val="16"/>
        </w:rPr>
        <w:t>x</w:t>
      </w:r>
      <w:r w:rsidRPr="00E14102">
        <w:rPr>
          <w:color w:val="000000" w:themeColor="text1"/>
          <w:sz w:val="16"/>
          <w:szCs w:val="16"/>
          <w:lang w:val="ru-RU"/>
        </w:rPr>
        <w:t>400 м. Кстати, эффект от опускания (зависания) элеронов летчики оценили не очень высоко: без его использования скорость самолета на посадке составля</w:t>
      </w:r>
      <w:r w:rsidRPr="00E14102">
        <w:rPr>
          <w:color w:val="000000" w:themeColor="text1"/>
          <w:sz w:val="16"/>
          <w:szCs w:val="16"/>
          <w:lang w:val="ru-RU"/>
        </w:rPr>
        <w:softHyphen/>
        <w:t>ла 115 км/ч, а с зависанием элеронов - 110 км/ч. Нормальный радиус действия ИП-1 оценивался в пределах 200-350 км, максимальный - 250-450 км. Предпо</w:t>
      </w:r>
      <w:r w:rsidRPr="00E14102">
        <w:rPr>
          <w:color w:val="000000" w:themeColor="text1"/>
          <w:sz w:val="16"/>
          <w:szCs w:val="16"/>
          <w:lang w:val="ru-RU"/>
        </w:rPr>
        <w:softHyphen/>
        <w:t>лагалось, что летные качества могут быть улучшены подбором более эффективного воздушного винта, более качественного производственного исполнения, улуч</w:t>
      </w:r>
      <w:r w:rsidRPr="00E14102">
        <w:rPr>
          <w:color w:val="000000" w:themeColor="text1"/>
          <w:sz w:val="16"/>
          <w:szCs w:val="16"/>
          <w:lang w:val="ru-RU"/>
        </w:rPr>
        <w:softHyphen/>
        <w:t>шения аэродинамики и облегчения кон</w:t>
      </w:r>
      <w:r w:rsidRPr="00E14102">
        <w:rPr>
          <w:color w:val="000000" w:themeColor="text1"/>
          <w:sz w:val="16"/>
          <w:szCs w:val="16"/>
          <w:lang w:val="ru-RU"/>
        </w:rPr>
        <w:softHyphen/>
        <w:t>струкции (15742).</w:t>
      </w:r>
    </w:p>
    <w:p w14:paraId="5CF4FF60" w14:textId="77777777" w:rsidR="008A0D6C" w:rsidRPr="00E14102" w:rsidRDefault="008A0D6C" w:rsidP="00E14102">
      <w:pPr>
        <w:pStyle w:val="a7"/>
        <w:rPr>
          <w:color w:val="000000" w:themeColor="text1"/>
          <w:sz w:val="16"/>
          <w:szCs w:val="16"/>
          <w:lang w:val="ru-RU"/>
        </w:rPr>
      </w:pPr>
    </w:p>
    <w:p w14:paraId="3DF5F1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4 по 28 августа (4 сентября) 1935 года в НИИ ВВС проходили эксплуатационные испытания самолета ИП1 РЦ Ф3</w:t>
      </w:r>
    </w:p>
    <w:p w14:paraId="1F3D82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15C456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Инженер-летчик – Федрови</w:t>
      </w:r>
    </w:p>
    <w:p w14:paraId="283CD2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4059F68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выносливость конструкции самолета во время летной эксплуатации.</w:t>
      </w:r>
    </w:p>
    <w:p w14:paraId="5654663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живучесть отдельных частей самолета при стрельбе в воздухе из установленных на нем орудий АПК-4М.</w:t>
      </w:r>
    </w:p>
    <w:p w14:paraId="7EE375B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Установить работу дифференциального управления элеронами и определить посадочные скорости при нормальном и опущенном положении элеронов.</w:t>
      </w:r>
    </w:p>
    <w:p w14:paraId="7728173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прочность деталей и выносливость шасси в целом во время эксплуатации.</w:t>
      </w:r>
    </w:p>
    <w:p w14:paraId="580E9CA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Испытать работу подъемного механизма, а также подъем и опускание шасси в воздухе.</w:t>
      </w:r>
    </w:p>
    <w:p w14:paraId="439D65A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надежность сигнализации подъема шасси.</w:t>
      </w:r>
    </w:p>
    <w:p w14:paraId="085172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ИП1 проходил испытания по определению летно-тактических данных в феврале 1935 года, полного комплекса испытаний самолета проведено не было.</w:t>
      </w:r>
    </w:p>
    <w:p w14:paraId="379390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30B75C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могут быть рекомендованы для установки на серийных самолетах ИП1 М25.</w:t>
      </w:r>
    </w:p>
    <w:p w14:paraId="59B15E2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Отклонение элеронов в 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0476E83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60B7A08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Капоты винтомоторной группы требуют доработки как с аэродинамической стороны так и эксплуатационной и для серийных самолетов ИП1 М25 идущих в строевые части негодны.</w:t>
      </w:r>
    </w:p>
    <w:p w14:paraId="7F975D3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Испытываемый самолет ИП1 РЦФ3 для испытаний вооружения и живучести оперения от стрельбы из АПК 4М ввиду значительных разрушений и деформаций без капитального ремонта и устранения выявленных недостатков допустить невозможно.</w:t>
      </w:r>
    </w:p>
    <w:p w14:paraId="6CE034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6946"/>
        <w:gridCol w:w="1340"/>
        <w:gridCol w:w="928"/>
      </w:tblGrid>
      <w:tr w:rsidR="00E3599D" w:rsidRPr="00E14102" w14:paraId="4414334C" w14:textId="77777777">
        <w:tc>
          <w:tcPr>
            <w:tcW w:w="1809" w:type="dxa"/>
            <w:tcBorders>
              <w:top w:val="single" w:sz="12" w:space="0" w:color="auto"/>
            </w:tcBorders>
          </w:tcPr>
          <w:p w14:paraId="7042D9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Дата</w:t>
            </w:r>
          </w:p>
        </w:tc>
        <w:tc>
          <w:tcPr>
            <w:tcW w:w="6946" w:type="dxa"/>
            <w:tcBorders>
              <w:top w:val="single" w:sz="12" w:space="0" w:color="auto"/>
            </w:tcBorders>
          </w:tcPr>
          <w:p w14:paraId="4FB0C5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Проводимые работы</w:t>
            </w:r>
          </w:p>
        </w:tc>
        <w:tc>
          <w:tcPr>
            <w:tcW w:w="1340" w:type="dxa"/>
            <w:tcBorders>
              <w:top w:val="single" w:sz="12" w:space="0" w:color="auto"/>
            </w:tcBorders>
          </w:tcPr>
          <w:p w14:paraId="4BA4FB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Кол-во полетов</w:t>
            </w:r>
          </w:p>
          <w:p w14:paraId="134E23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подъемом шасси</w:t>
            </w:r>
          </w:p>
        </w:tc>
        <w:tc>
          <w:tcPr>
            <w:tcW w:w="928" w:type="dxa"/>
            <w:tcBorders>
              <w:top w:val="single" w:sz="12" w:space="0" w:color="auto"/>
            </w:tcBorders>
          </w:tcPr>
          <w:p w14:paraId="37A806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Кол-во полетов без подъема шасси</w:t>
            </w:r>
          </w:p>
        </w:tc>
      </w:tr>
      <w:tr w:rsidR="00E3599D" w:rsidRPr="00E14102" w14:paraId="59160E4A" w14:textId="77777777">
        <w:tc>
          <w:tcPr>
            <w:tcW w:w="1809" w:type="dxa"/>
          </w:tcPr>
          <w:p w14:paraId="5600C3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 августа 1935 г.</w:t>
            </w:r>
          </w:p>
        </w:tc>
        <w:tc>
          <w:tcPr>
            <w:tcW w:w="6946" w:type="dxa"/>
          </w:tcPr>
          <w:p w14:paraId="765503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Приемка самолета на гос. испытания и полеты на испытание шасси.</w:t>
            </w:r>
          </w:p>
        </w:tc>
        <w:tc>
          <w:tcPr>
            <w:tcW w:w="1340" w:type="dxa"/>
          </w:tcPr>
          <w:p w14:paraId="366AE7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w:t>
            </w:r>
          </w:p>
        </w:tc>
        <w:tc>
          <w:tcPr>
            <w:tcW w:w="928" w:type="dxa"/>
          </w:tcPr>
          <w:p w14:paraId="3E4787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w:t>
            </w:r>
          </w:p>
        </w:tc>
      </w:tr>
      <w:tr w:rsidR="00E3599D" w:rsidRPr="00E14102" w14:paraId="08631A55" w14:textId="77777777">
        <w:tc>
          <w:tcPr>
            <w:tcW w:w="1809" w:type="dxa"/>
          </w:tcPr>
          <w:p w14:paraId="3E2F08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августа 1935 г.</w:t>
            </w:r>
          </w:p>
        </w:tc>
        <w:tc>
          <w:tcPr>
            <w:tcW w:w="6946" w:type="dxa"/>
          </w:tcPr>
          <w:p w14:paraId="2D6C75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и определение посадочных скоростей.</w:t>
            </w:r>
          </w:p>
        </w:tc>
        <w:tc>
          <w:tcPr>
            <w:tcW w:w="1340" w:type="dxa"/>
          </w:tcPr>
          <w:p w14:paraId="34E52A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928" w:type="dxa"/>
          </w:tcPr>
          <w:p w14:paraId="56940A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w:t>
            </w:r>
          </w:p>
        </w:tc>
      </w:tr>
      <w:tr w:rsidR="00E3599D" w:rsidRPr="00E14102" w14:paraId="2118395F" w14:textId="77777777">
        <w:tc>
          <w:tcPr>
            <w:tcW w:w="1809" w:type="dxa"/>
          </w:tcPr>
          <w:p w14:paraId="5CF5D5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августа 1935 г.</w:t>
            </w:r>
          </w:p>
        </w:tc>
        <w:tc>
          <w:tcPr>
            <w:tcW w:w="6946" w:type="dxa"/>
          </w:tcPr>
          <w:p w14:paraId="5E1984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подъемного механизма у прицела живучести конструкции.</w:t>
            </w:r>
          </w:p>
        </w:tc>
        <w:tc>
          <w:tcPr>
            <w:tcW w:w="1340" w:type="dxa"/>
          </w:tcPr>
          <w:p w14:paraId="13F661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928" w:type="dxa"/>
          </w:tcPr>
          <w:p w14:paraId="6E0A6D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w:t>
            </w:r>
          </w:p>
        </w:tc>
      </w:tr>
      <w:tr w:rsidR="00E3599D" w:rsidRPr="00E14102" w14:paraId="6D5A7FB7" w14:textId="77777777">
        <w:tc>
          <w:tcPr>
            <w:tcW w:w="1809" w:type="dxa"/>
          </w:tcPr>
          <w:p w14:paraId="395DB1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9 августа 1935 г. </w:t>
            </w:r>
          </w:p>
        </w:tc>
        <w:tc>
          <w:tcPr>
            <w:tcW w:w="6946" w:type="dxa"/>
          </w:tcPr>
          <w:p w14:paraId="5A7DB9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Перегонка самолета на завод.</w:t>
            </w:r>
          </w:p>
        </w:tc>
        <w:tc>
          <w:tcPr>
            <w:tcW w:w="1340" w:type="dxa"/>
          </w:tcPr>
          <w:p w14:paraId="243C05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28" w:type="dxa"/>
          </w:tcPr>
          <w:p w14:paraId="2DB3FF6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2B31E64" w14:textId="77777777">
        <w:tc>
          <w:tcPr>
            <w:tcW w:w="1809" w:type="dxa"/>
          </w:tcPr>
          <w:p w14:paraId="43E273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августа 1935 г.</w:t>
            </w:r>
          </w:p>
        </w:tc>
        <w:tc>
          <w:tcPr>
            <w:tcW w:w="6946" w:type="dxa"/>
          </w:tcPr>
          <w:p w14:paraId="6167CF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Перегонка самолета с завода и полеты на испытание шасси, винтомоторной группы прицела и живучести осмотр и зарядка самолета.</w:t>
            </w:r>
          </w:p>
        </w:tc>
        <w:tc>
          <w:tcPr>
            <w:tcW w:w="1340" w:type="dxa"/>
          </w:tcPr>
          <w:p w14:paraId="6696B7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928" w:type="dxa"/>
          </w:tcPr>
          <w:p w14:paraId="3F11388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EFAB385" w14:textId="77777777">
        <w:tc>
          <w:tcPr>
            <w:tcW w:w="1809" w:type="dxa"/>
          </w:tcPr>
          <w:p w14:paraId="7CA199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августа 1935 г.</w:t>
            </w:r>
          </w:p>
        </w:tc>
        <w:tc>
          <w:tcPr>
            <w:tcW w:w="6946" w:type="dxa"/>
          </w:tcPr>
          <w:p w14:paraId="5E86CB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винтомоторной группы, шасси и живучести конструкции.</w:t>
            </w:r>
          </w:p>
        </w:tc>
        <w:tc>
          <w:tcPr>
            <w:tcW w:w="1340" w:type="dxa"/>
          </w:tcPr>
          <w:p w14:paraId="74321C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928" w:type="dxa"/>
          </w:tcPr>
          <w:p w14:paraId="417CE21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90BA13A" w14:textId="77777777">
        <w:tc>
          <w:tcPr>
            <w:tcW w:w="1809" w:type="dxa"/>
          </w:tcPr>
          <w:p w14:paraId="22C5D8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августа 1935 г.</w:t>
            </w:r>
          </w:p>
        </w:tc>
        <w:tc>
          <w:tcPr>
            <w:tcW w:w="6946" w:type="dxa"/>
          </w:tcPr>
          <w:p w14:paraId="1B0A93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винтомоторной группы, шасси.</w:t>
            </w:r>
          </w:p>
        </w:tc>
        <w:tc>
          <w:tcPr>
            <w:tcW w:w="1340" w:type="dxa"/>
          </w:tcPr>
          <w:p w14:paraId="7FC75B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928" w:type="dxa"/>
          </w:tcPr>
          <w:p w14:paraId="1E10E41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C2D47EC" w14:textId="77777777">
        <w:tc>
          <w:tcPr>
            <w:tcW w:w="1809" w:type="dxa"/>
          </w:tcPr>
          <w:p w14:paraId="1E34D1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августа 1935 г.</w:t>
            </w:r>
          </w:p>
        </w:tc>
        <w:tc>
          <w:tcPr>
            <w:tcW w:w="6946" w:type="dxa"/>
          </w:tcPr>
          <w:p w14:paraId="6B4805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полетов на испытание прицела с фотострелками, 24 полета на испытание шасси и подъемного механизма и живучести конструкции.</w:t>
            </w:r>
          </w:p>
        </w:tc>
        <w:tc>
          <w:tcPr>
            <w:tcW w:w="1340" w:type="dxa"/>
          </w:tcPr>
          <w:p w14:paraId="451569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928" w:type="dxa"/>
          </w:tcPr>
          <w:p w14:paraId="618667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r>
      <w:tr w:rsidR="00E3599D" w:rsidRPr="00E14102" w14:paraId="08AB0E56" w14:textId="77777777">
        <w:tc>
          <w:tcPr>
            <w:tcW w:w="1809" w:type="dxa"/>
          </w:tcPr>
          <w:p w14:paraId="702D2A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августа 1935 г.</w:t>
            </w:r>
          </w:p>
        </w:tc>
        <w:tc>
          <w:tcPr>
            <w:tcW w:w="6946" w:type="dxa"/>
          </w:tcPr>
          <w:p w14:paraId="0FD30D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винтомоторной группы, шасси и подъемного механизма. Полеты на стрельбу из АПК и испытание живучести.</w:t>
            </w:r>
          </w:p>
        </w:tc>
        <w:tc>
          <w:tcPr>
            <w:tcW w:w="1340" w:type="dxa"/>
          </w:tcPr>
          <w:p w14:paraId="2EBC82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p w14:paraId="10E3F7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928" w:type="dxa"/>
          </w:tcPr>
          <w:p w14:paraId="1493E45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2F4A1B5" w14:textId="77777777">
        <w:tc>
          <w:tcPr>
            <w:tcW w:w="1809" w:type="dxa"/>
          </w:tcPr>
          <w:p w14:paraId="2551A5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августа 1935 г.</w:t>
            </w:r>
          </w:p>
        </w:tc>
        <w:tc>
          <w:tcPr>
            <w:tcW w:w="6946" w:type="dxa"/>
          </w:tcPr>
          <w:p w14:paraId="48592C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w:t>
            </w:r>
          </w:p>
        </w:tc>
        <w:tc>
          <w:tcPr>
            <w:tcW w:w="1340" w:type="dxa"/>
          </w:tcPr>
          <w:p w14:paraId="1FFFC7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928" w:type="dxa"/>
          </w:tcPr>
          <w:p w14:paraId="328928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r>
      <w:tr w:rsidR="00E3599D" w:rsidRPr="00E14102" w14:paraId="382F07BC" w14:textId="77777777">
        <w:tc>
          <w:tcPr>
            <w:tcW w:w="1809" w:type="dxa"/>
          </w:tcPr>
          <w:p w14:paraId="0DEC75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августа 1935 г.</w:t>
            </w:r>
          </w:p>
        </w:tc>
        <w:tc>
          <w:tcPr>
            <w:tcW w:w="6946" w:type="dxa"/>
          </w:tcPr>
          <w:p w14:paraId="436ED8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стрельбу – 1. Полеты на испытание шасси – 24.</w:t>
            </w:r>
          </w:p>
        </w:tc>
        <w:tc>
          <w:tcPr>
            <w:tcW w:w="1340" w:type="dxa"/>
          </w:tcPr>
          <w:p w14:paraId="0E6D55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928" w:type="dxa"/>
          </w:tcPr>
          <w:p w14:paraId="1372DA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r>
      <w:tr w:rsidR="00E3599D" w:rsidRPr="00E14102" w14:paraId="15A18773" w14:textId="77777777">
        <w:tc>
          <w:tcPr>
            <w:tcW w:w="1809" w:type="dxa"/>
          </w:tcPr>
          <w:p w14:paraId="7F487F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августа 1935 г.</w:t>
            </w:r>
          </w:p>
        </w:tc>
        <w:tc>
          <w:tcPr>
            <w:tcW w:w="6946" w:type="dxa"/>
          </w:tcPr>
          <w:p w14:paraId="1B59DB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Перегонка самолета на завод.</w:t>
            </w:r>
          </w:p>
        </w:tc>
        <w:tc>
          <w:tcPr>
            <w:tcW w:w="1340" w:type="dxa"/>
          </w:tcPr>
          <w:p w14:paraId="614261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928" w:type="dxa"/>
          </w:tcPr>
          <w:p w14:paraId="4AB179F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1AF7035" w14:textId="77777777">
        <w:tc>
          <w:tcPr>
            <w:tcW w:w="1809" w:type="dxa"/>
          </w:tcPr>
          <w:p w14:paraId="70D604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августа 1935 г.</w:t>
            </w:r>
          </w:p>
        </w:tc>
        <w:tc>
          <w:tcPr>
            <w:tcW w:w="6946" w:type="dxa"/>
          </w:tcPr>
          <w:p w14:paraId="5D782F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Перелет в Щелково и полеты на испытание шасси.</w:t>
            </w:r>
          </w:p>
        </w:tc>
        <w:tc>
          <w:tcPr>
            <w:tcW w:w="1340" w:type="dxa"/>
          </w:tcPr>
          <w:p w14:paraId="66C5B2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w:t>
            </w:r>
          </w:p>
        </w:tc>
        <w:tc>
          <w:tcPr>
            <w:tcW w:w="928" w:type="dxa"/>
          </w:tcPr>
          <w:p w14:paraId="494AB28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96B3878" w14:textId="77777777">
        <w:tc>
          <w:tcPr>
            <w:tcW w:w="1809" w:type="dxa"/>
          </w:tcPr>
          <w:p w14:paraId="52707D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августа 1935 г.</w:t>
            </w:r>
          </w:p>
        </w:tc>
        <w:tc>
          <w:tcPr>
            <w:tcW w:w="6946" w:type="dxa"/>
          </w:tcPr>
          <w:p w14:paraId="408DF5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и подъемного механизма.</w:t>
            </w:r>
          </w:p>
        </w:tc>
        <w:tc>
          <w:tcPr>
            <w:tcW w:w="1340" w:type="dxa"/>
          </w:tcPr>
          <w:p w14:paraId="210191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928" w:type="dxa"/>
          </w:tcPr>
          <w:p w14:paraId="5428B9C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B7E0B15" w14:textId="77777777">
        <w:tc>
          <w:tcPr>
            <w:tcW w:w="1809" w:type="dxa"/>
          </w:tcPr>
          <w:p w14:paraId="61622A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августа 1935 г.</w:t>
            </w:r>
          </w:p>
        </w:tc>
        <w:tc>
          <w:tcPr>
            <w:tcW w:w="6946" w:type="dxa"/>
          </w:tcPr>
          <w:p w14:paraId="0DF752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и подъемного механизма. Вынужденная посадка на аэродроме из-за отказа мотора.</w:t>
            </w:r>
          </w:p>
        </w:tc>
        <w:tc>
          <w:tcPr>
            <w:tcW w:w="1340" w:type="dxa"/>
          </w:tcPr>
          <w:p w14:paraId="642BF8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47</w:t>
            </w:r>
          </w:p>
        </w:tc>
        <w:tc>
          <w:tcPr>
            <w:tcW w:w="928" w:type="dxa"/>
          </w:tcPr>
          <w:p w14:paraId="05F60D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r>
      <w:tr w:rsidR="00E3599D" w:rsidRPr="00E14102" w14:paraId="1A4646F6" w14:textId="77777777">
        <w:tc>
          <w:tcPr>
            <w:tcW w:w="1809" w:type="dxa"/>
            <w:tcBorders>
              <w:bottom w:val="single" w:sz="12" w:space="0" w:color="auto"/>
            </w:tcBorders>
          </w:tcPr>
          <w:p w14:paraId="3D7C08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6946" w:type="dxa"/>
            <w:tcBorders>
              <w:bottom w:val="single" w:sz="12" w:space="0" w:color="auto"/>
            </w:tcBorders>
          </w:tcPr>
          <w:p w14:paraId="5A6DA14A" w14:textId="77777777" w:rsidR="00D4105E" w:rsidRPr="00E14102" w:rsidRDefault="00D4105E" w:rsidP="00E14102">
            <w:pPr>
              <w:autoSpaceDE w:val="0"/>
              <w:autoSpaceDN w:val="0"/>
              <w:adjustRightInd w:val="0"/>
              <w:jc w:val="both"/>
              <w:rPr>
                <w:color w:val="000000" w:themeColor="text1"/>
                <w:sz w:val="16"/>
                <w:szCs w:val="16"/>
              </w:rPr>
            </w:pPr>
          </w:p>
        </w:tc>
        <w:tc>
          <w:tcPr>
            <w:tcW w:w="1340" w:type="dxa"/>
            <w:tcBorders>
              <w:bottom w:val="single" w:sz="12" w:space="0" w:color="auto"/>
            </w:tcBorders>
          </w:tcPr>
          <w:p w14:paraId="3AD16F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263</w:t>
            </w:r>
          </w:p>
        </w:tc>
        <w:tc>
          <w:tcPr>
            <w:tcW w:w="928" w:type="dxa"/>
            <w:tcBorders>
              <w:bottom w:val="single" w:sz="12" w:space="0" w:color="auto"/>
            </w:tcBorders>
          </w:tcPr>
          <w:p w14:paraId="0FBE80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81</w:t>
            </w:r>
          </w:p>
        </w:tc>
      </w:tr>
    </w:tbl>
    <w:p w14:paraId="151CFE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Испытания закончены.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6946"/>
        <w:gridCol w:w="1276"/>
        <w:gridCol w:w="992"/>
      </w:tblGrid>
      <w:tr w:rsidR="00E3599D" w:rsidRPr="00E14102" w14:paraId="6F2BE5FB" w14:textId="77777777">
        <w:tc>
          <w:tcPr>
            <w:tcW w:w="1809" w:type="dxa"/>
            <w:tcBorders>
              <w:top w:val="single" w:sz="12" w:space="0" w:color="auto"/>
            </w:tcBorders>
          </w:tcPr>
          <w:p w14:paraId="144CB7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сентября 1935 г.</w:t>
            </w:r>
          </w:p>
        </w:tc>
        <w:tc>
          <w:tcPr>
            <w:tcW w:w="6946" w:type="dxa"/>
            <w:tcBorders>
              <w:top w:val="single" w:sz="12" w:space="0" w:color="auto"/>
            </w:tcBorders>
          </w:tcPr>
          <w:p w14:paraId="5E25F9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пробу мотора.</w:t>
            </w:r>
          </w:p>
        </w:tc>
        <w:tc>
          <w:tcPr>
            <w:tcW w:w="1276" w:type="dxa"/>
            <w:tcBorders>
              <w:top w:val="single" w:sz="12" w:space="0" w:color="auto"/>
            </w:tcBorders>
          </w:tcPr>
          <w:p w14:paraId="71E3D3CA"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Borders>
              <w:top w:val="single" w:sz="12" w:space="0" w:color="auto"/>
            </w:tcBorders>
          </w:tcPr>
          <w:p w14:paraId="4C40DB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r>
      <w:tr w:rsidR="00E3599D" w:rsidRPr="00E14102" w14:paraId="0785BEB7" w14:textId="77777777">
        <w:tc>
          <w:tcPr>
            <w:tcW w:w="1809" w:type="dxa"/>
          </w:tcPr>
          <w:p w14:paraId="0222C9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сентября 1935 г.</w:t>
            </w:r>
          </w:p>
        </w:tc>
        <w:tc>
          <w:tcPr>
            <w:tcW w:w="6946" w:type="dxa"/>
          </w:tcPr>
          <w:p w14:paraId="0B9F65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тарировку показателя скорости и перегонка на завод.</w:t>
            </w:r>
          </w:p>
        </w:tc>
        <w:tc>
          <w:tcPr>
            <w:tcW w:w="1276" w:type="dxa"/>
          </w:tcPr>
          <w:p w14:paraId="7D10A0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992" w:type="dxa"/>
          </w:tcPr>
          <w:p w14:paraId="01E9F5C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61996B7" w14:textId="77777777">
        <w:tc>
          <w:tcPr>
            <w:tcW w:w="1809" w:type="dxa"/>
            <w:tcBorders>
              <w:bottom w:val="single" w:sz="12" w:space="0" w:color="auto"/>
            </w:tcBorders>
          </w:tcPr>
          <w:p w14:paraId="30F21E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6946" w:type="dxa"/>
            <w:tcBorders>
              <w:bottom w:val="single" w:sz="12" w:space="0" w:color="auto"/>
            </w:tcBorders>
          </w:tcPr>
          <w:p w14:paraId="538A7D79" w14:textId="77777777" w:rsidR="00D4105E" w:rsidRPr="00E14102" w:rsidRDefault="00D4105E" w:rsidP="00E14102">
            <w:pPr>
              <w:autoSpaceDE w:val="0"/>
              <w:autoSpaceDN w:val="0"/>
              <w:adjustRightInd w:val="0"/>
              <w:jc w:val="both"/>
              <w:rPr>
                <w:color w:val="000000" w:themeColor="text1"/>
                <w:sz w:val="16"/>
                <w:szCs w:val="16"/>
              </w:rPr>
            </w:pPr>
          </w:p>
        </w:tc>
        <w:tc>
          <w:tcPr>
            <w:tcW w:w="1276" w:type="dxa"/>
            <w:tcBorders>
              <w:bottom w:val="single" w:sz="12" w:space="0" w:color="auto"/>
            </w:tcBorders>
          </w:tcPr>
          <w:p w14:paraId="02FC64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265</w:t>
            </w:r>
          </w:p>
        </w:tc>
        <w:tc>
          <w:tcPr>
            <w:tcW w:w="992" w:type="dxa"/>
            <w:tcBorders>
              <w:bottom w:val="single" w:sz="12" w:space="0" w:color="auto"/>
            </w:tcBorders>
          </w:tcPr>
          <w:p w14:paraId="27A3E8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81</w:t>
            </w:r>
          </w:p>
        </w:tc>
      </w:tr>
    </w:tbl>
    <w:p w14:paraId="2EB7BC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сентября самолет перегнан на завод для капитального ремонта.</w:t>
      </w:r>
    </w:p>
    <w:p w14:paraId="59C85C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ИП1 состоял на испытании с 4 по 29 августа.</w:t>
      </w:r>
    </w:p>
    <w:p w14:paraId="76A136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Летные испытания – 13 дней.</w:t>
      </w:r>
    </w:p>
    <w:p w14:paraId="21B98C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 испытания вооружения прерваны из-за несоответствия прочности оперения.</w:t>
      </w:r>
    </w:p>
    <w:p w14:paraId="664115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летных испытаний было проведено:</w:t>
      </w:r>
    </w:p>
    <w:p w14:paraId="69D9BEA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определение посадочных скоростей – 17 полетов</w:t>
      </w:r>
    </w:p>
    <w:p w14:paraId="6173C43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прицела – 20 полетов</w:t>
      </w:r>
    </w:p>
    <w:p w14:paraId="313A562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винтомоторной группы – 7 полетов</w:t>
      </w:r>
    </w:p>
    <w:p w14:paraId="2607110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шасси – 344 полета</w:t>
      </w:r>
    </w:p>
    <w:p w14:paraId="7824CF4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подъемного механизма – 263 полета</w:t>
      </w:r>
    </w:p>
    <w:p w14:paraId="37307DD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вооружения – 3 полета</w:t>
      </w:r>
    </w:p>
    <w:p w14:paraId="5A5820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Живучесть самолета определялась в периоды зимних и летних испытаний, всего на самолете произведено 382 полета с 43 часов налета при испытании в НИИ ВВС и 64 полета с 21 часом налета при заводских испытаниях.</w:t>
      </w:r>
    </w:p>
    <w:p w14:paraId="01DB44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Общая работа самолета:</w:t>
      </w:r>
    </w:p>
    <w:p w14:paraId="53CF3F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444 полетов</w:t>
      </w:r>
    </w:p>
    <w:p w14:paraId="50B79C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64 часа работы мотора в воздухе</w:t>
      </w:r>
    </w:p>
    <w:p w14:paraId="2F0E2E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часов работы мотора на земле (3968).</w:t>
      </w:r>
    </w:p>
    <w:p w14:paraId="4E25BA8C" w14:textId="77777777" w:rsidR="00D4105E" w:rsidRPr="00E14102" w:rsidRDefault="00D4105E" w:rsidP="00E14102">
      <w:pPr>
        <w:autoSpaceDE w:val="0"/>
        <w:autoSpaceDN w:val="0"/>
        <w:adjustRightInd w:val="0"/>
        <w:jc w:val="both"/>
        <w:rPr>
          <w:color w:val="000000" w:themeColor="text1"/>
          <w:sz w:val="16"/>
          <w:szCs w:val="16"/>
        </w:rPr>
      </w:pPr>
    </w:p>
    <w:p w14:paraId="18726B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 военное представительство завода № 1 передало ИП-1 с установленными пушками АПК-4М в НИИ ВВС для продолжения испытаний. После выполнения нескольких оценочных полётов приступили к воздушным стрельбам из ДРП, которые велись с 25 августа по 4 сентября. Далее испытания решили прекратить, так как после 444 посадок конструкция крыла и центроплана износилась и требовала ремонта. Кроме того, ремонт был необходим и хвостовому оперению, на которое негативно повлияли пороховые газы от 38 выстрелов из АПК-4М на земле и 20 выстрелов в воздухе. Поэтому самолёт отправили на завод для проведения очередных доводок и усовершенствований.</w:t>
      </w:r>
    </w:p>
    <w:p w14:paraId="788FCA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А сами государственные испытания ИП-1 посчитали законченными, сделав некоторые выводы. В частности, отмечалось, что благодаря высокой посадке пилот обладает хорошим обзором из кабины. Самолёт устойчиво пикировал, хорошо наводился на цель; управление в воздухе охарактеризовали как простое, доступное для освоения строевыми лётчиками. Посадочная скорость равнялась 100 - 105 км/ч, разбег на взлёте - 180 - 190 м, что позволяло использовать ИП-1 с полевых аэродромов размером 400x400 м. Эффект от опускания (зависания) элеронов лётчики оценили не очень высоко: без его использования скорость самолёта на посадке составляла 115 км/ч, а с зависанием - 110 км/ч. Нормальный радиус действия ИП-1 определялся в пределах 200 - 350 км, максимальный - 250 - 450 км. Предполагалось, что лётные качества машины могут быть улучшены подбором более эффективного воздушного винта, более качественным производственным исполнением, улучшением аэродинамики и облегчением конструкции.</w:t>
      </w:r>
    </w:p>
    <w:p w14:paraId="3F5A65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Акт по государственным испытаниям ИП-1 начальник ВВС Я.И. Алкснис подписал 1 октября 1935 г. В нём говорилось, что "Основными объектами нападения для ИП-1 являются тяжёлые бомбардировщики со скоростями 350 км/ч, а также земные цели, требующие для своего поражения снарядов калибра 76 мм". Как бы то ни было, мнение о самолёте складывалось благоприятное и по результатам испытаний предлагалось увеличить заказ на производство ИП-1 за счёт уменьшения заказов на машины других типов. Строить ИП-1 решили на харьковском заводе № 135, том самом, на котором уже выпускали И-Z.</w:t>
      </w:r>
    </w:p>
    <w:p w14:paraId="09F5D1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Отдельным пунктом во всех материалах по испытаниям ИП-1 указывалось требование о срочной доводке пушек АПК-4М. В процессе изготовления серии предлагалось организовать испытания головной машины с отстрелом пушек при участии представителей завода № 38 и УВВС.</w:t>
      </w:r>
    </w:p>
    <w:p w14:paraId="36812C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Характеристики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E3599D" w:rsidRPr="00E14102" w14:paraId="265F653F" w14:textId="77777777">
        <w:tc>
          <w:tcPr>
            <w:tcW w:w="5605" w:type="dxa"/>
            <w:tcBorders>
              <w:top w:val="single" w:sz="12" w:space="0" w:color="auto"/>
            </w:tcBorders>
          </w:tcPr>
          <w:p w14:paraId="1484F3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в линии полёта, м</w:t>
            </w:r>
          </w:p>
        </w:tc>
        <w:tc>
          <w:tcPr>
            <w:tcW w:w="5605" w:type="dxa"/>
            <w:tcBorders>
              <w:top w:val="single" w:sz="12" w:space="0" w:color="auto"/>
            </w:tcBorders>
          </w:tcPr>
          <w:p w14:paraId="4B8AC9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7,23</w:t>
            </w:r>
          </w:p>
        </w:tc>
      </w:tr>
      <w:tr w:rsidR="00E3599D" w:rsidRPr="00E14102" w14:paraId="0FF63AA5" w14:textId="77777777">
        <w:tc>
          <w:tcPr>
            <w:tcW w:w="5605" w:type="dxa"/>
          </w:tcPr>
          <w:p w14:paraId="34BBF0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в линии полёта, м</w:t>
            </w:r>
          </w:p>
        </w:tc>
        <w:tc>
          <w:tcPr>
            <w:tcW w:w="5605" w:type="dxa"/>
          </w:tcPr>
          <w:p w14:paraId="28FD14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3,208</w:t>
            </w:r>
          </w:p>
        </w:tc>
      </w:tr>
      <w:tr w:rsidR="00E3599D" w:rsidRPr="00E14102" w14:paraId="498E9BAA" w14:textId="77777777">
        <w:tc>
          <w:tcPr>
            <w:tcW w:w="5605" w:type="dxa"/>
          </w:tcPr>
          <w:p w14:paraId="743487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крыла, м</w:t>
            </w:r>
          </w:p>
        </w:tc>
        <w:tc>
          <w:tcPr>
            <w:tcW w:w="5605" w:type="dxa"/>
          </w:tcPr>
          <w:p w14:paraId="1E33F0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10,97</w:t>
            </w:r>
          </w:p>
        </w:tc>
      </w:tr>
      <w:tr w:rsidR="00E3599D" w:rsidRPr="00E14102" w14:paraId="35664DD1" w14:textId="77777777">
        <w:tc>
          <w:tcPr>
            <w:tcW w:w="5605" w:type="dxa"/>
          </w:tcPr>
          <w:p w14:paraId="7EF6A5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горизонтального оперения, м</w:t>
            </w:r>
          </w:p>
        </w:tc>
        <w:tc>
          <w:tcPr>
            <w:tcW w:w="5605" w:type="dxa"/>
          </w:tcPr>
          <w:p w14:paraId="5738B4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3,168</w:t>
            </w:r>
          </w:p>
        </w:tc>
      </w:tr>
      <w:tr w:rsidR="00E3599D" w:rsidRPr="00E14102" w14:paraId="6EF75A33" w14:textId="77777777">
        <w:tc>
          <w:tcPr>
            <w:tcW w:w="5605" w:type="dxa"/>
          </w:tcPr>
          <w:p w14:paraId="30C408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центроплана, м</w:t>
            </w:r>
          </w:p>
        </w:tc>
        <w:tc>
          <w:tcPr>
            <w:tcW w:w="5605" w:type="dxa"/>
          </w:tcPr>
          <w:p w14:paraId="6B81D5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5,6</w:t>
            </w:r>
          </w:p>
        </w:tc>
      </w:tr>
      <w:tr w:rsidR="00E3599D" w:rsidRPr="00E14102" w14:paraId="7C549491" w14:textId="77777777">
        <w:tc>
          <w:tcPr>
            <w:tcW w:w="5605" w:type="dxa"/>
          </w:tcPr>
          <w:p w14:paraId="224C56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крыла, м2</w:t>
            </w:r>
          </w:p>
        </w:tc>
        <w:tc>
          <w:tcPr>
            <w:tcW w:w="5605" w:type="dxa"/>
          </w:tcPr>
          <w:p w14:paraId="65A815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17,7</w:t>
            </w:r>
          </w:p>
        </w:tc>
      </w:tr>
      <w:tr w:rsidR="00E3599D" w:rsidRPr="00E14102" w14:paraId="22774B5E" w14:textId="77777777">
        <w:tc>
          <w:tcPr>
            <w:tcW w:w="5605" w:type="dxa"/>
          </w:tcPr>
          <w:p w14:paraId="53D46F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Колея шасси, м</w:t>
            </w:r>
          </w:p>
        </w:tc>
        <w:tc>
          <w:tcPr>
            <w:tcW w:w="5605" w:type="dxa"/>
          </w:tcPr>
          <w:p w14:paraId="17B8AA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2,05</w:t>
            </w:r>
          </w:p>
        </w:tc>
      </w:tr>
      <w:tr w:rsidR="00E3599D" w:rsidRPr="00E14102" w14:paraId="06EE9C53" w14:textId="77777777">
        <w:tc>
          <w:tcPr>
            <w:tcW w:w="5605" w:type="dxa"/>
          </w:tcPr>
          <w:p w14:paraId="55931D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пустого, кг</w:t>
            </w:r>
          </w:p>
        </w:tc>
        <w:tc>
          <w:tcPr>
            <w:tcW w:w="5605" w:type="dxa"/>
          </w:tcPr>
          <w:p w14:paraId="07D810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1405</w:t>
            </w:r>
          </w:p>
        </w:tc>
      </w:tr>
      <w:tr w:rsidR="00E3599D" w:rsidRPr="00E14102" w14:paraId="1BD0934F" w14:textId="77777777">
        <w:tc>
          <w:tcPr>
            <w:tcW w:w="5605" w:type="dxa"/>
          </w:tcPr>
          <w:p w14:paraId="0AEFDE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Полётный вес, кг</w:t>
            </w:r>
          </w:p>
        </w:tc>
        <w:tc>
          <w:tcPr>
            <w:tcW w:w="5605" w:type="dxa"/>
          </w:tcPr>
          <w:p w14:paraId="2F3EEB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1740</w:t>
            </w:r>
          </w:p>
        </w:tc>
      </w:tr>
      <w:tr w:rsidR="00E3599D" w:rsidRPr="00E14102" w14:paraId="7291F13F" w14:textId="77777777">
        <w:tc>
          <w:tcPr>
            <w:tcW w:w="5605" w:type="dxa"/>
          </w:tcPr>
          <w:p w14:paraId="2BB00A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Нагрузка на крыло, кг/м2</w:t>
            </w:r>
          </w:p>
        </w:tc>
        <w:tc>
          <w:tcPr>
            <w:tcW w:w="5605" w:type="dxa"/>
          </w:tcPr>
          <w:p w14:paraId="1B8FB1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98,3</w:t>
            </w:r>
          </w:p>
        </w:tc>
      </w:tr>
      <w:tr w:rsidR="00E3599D" w:rsidRPr="00E14102" w14:paraId="74FB5DC8" w14:textId="77777777">
        <w:tc>
          <w:tcPr>
            <w:tcW w:w="5605" w:type="dxa"/>
          </w:tcPr>
          <w:p w14:paraId="63E0FE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вооружения без крепления, кг</w:t>
            </w:r>
          </w:p>
        </w:tc>
        <w:tc>
          <w:tcPr>
            <w:tcW w:w="5605" w:type="dxa"/>
          </w:tcPr>
          <w:p w14:paraId="497DAA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158,8</w:t>
            </w:r>
          </w:p>
        </w:tc>
      </w:tr>
      <w:tr w:rsidR="00E3599D" w:rsidRPr="00E14102" w14:paraId="5EC06000" w14:textId="77777777">
        <w:tc>
          <w:tcPr>
            <w:tcW w:w="5605" w:type="dxa"/>
          </w:tcPr>
          <w:p w14:paraId="6A49AD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боеприпасов, кг</w:t>
            </w:r>
          </w:p>
        </w:tc>
        <w:tc>
          <w:tcPr>
            <w:tcW w:w="5605" w:type="dxa"/>
          </w:tcPr>
          <w:p w14:paraId="2796C9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73,2</w:t>
            </w:r>
          </w:p>
        </w:tc>
      </w:tr>
      <w:tr w:rsidR="00E3599D" w:rsidRPr="00E14102" w14:paraId="3850444F" w14:textId="77777777">
        <w:tc>
          <w:tcPr>
            <w:tcW w:w="5605" w:type="dxa"/>
          </w:tcPr>
          <w:p w14:paraId="152FB8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Двигатель Райт R-1820F-3 "Циклон" №22136</w:t>
            </w:r>
          </w:p>
        </w:tc>
        <w:tc>
          <w:tcPr>
            <w:tcW w:w="5605" w:type="dxa"/>
          </w:tcPr>
          <w:p w14:paraId="62B441E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4909F5F" w14:textId="77777777">
        <w:tc>
          <w:tcPr>
            <w:tcW w:w="5605" w:type="dxa"/>
          </w:tcPr>
          <w:p w14:paraId="7A594F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мощность у земли, л.с.</w:t>
            </w:r>
          </w:p>
        </w:tc>
        <w:tc>
          <w:tcPr>
            <w:tcW w:w="5605" w:type="dxa"/>
          </w:tcPr>
          <w:p w14:paraId="4F5C57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640</w:t>
            </w:r>
          </w:p>
        </w:tc>
      </w:tr>
      <w:tr w:rsidR="00E3599D" w:rsidRPr="00E14102" w14:paraId="6531D1B1" w14:textId="77777777">
        <w:tc>
          <w:tcPr>
            <w:tcW w:w="5605" w:type="dxa"/>
          </w:tcPr>
          <w:p w14:paraId="5B3EBA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Частота вращения, об/мин</w:t>
            </w:r>
          </w:p>
        </w:tc>
        <w:tc>
          <w:tcPr>
            <w:tcW w:w="5605" w:type="dxa"/>
          </w:tcPr>
          <w:p w14:paraId="1081F8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1950</w:t>
            </w:r>
          </w:p>
        </w:tc>
      </w:tr>
      <w:tr w:rsidR="00E3599D" w:rsidRPr="00E14102" w14:paraId="465B54F7" w14:textId="77777777">
        <w:tc>
          <w:tcPr>
            <w:tcW w:w="5605" w:type="dxa"/>
          </w:tcPr>
          <w:p w14:paraId="434666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на высоте 2300 м (граница высотности) при частоте вращения 2050 об/мин, л.с.</w:t>
            </w:r>
          </w:p>
        </w:tc>
        <w:tc>
          <w:tcPr>
            <w:tcW w:w="5605" w:type="dxa"/>
          </w:tcPr>
          <w:p w14:paraId="7EDB83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712</w:t>
            </w:r>
          </w:p>
        </w:tc>
      </w:tr>
      <w:tr w:rsidR="00E3599D" w:rsidRPr="00E14102" w14:paraId="6EA71569" w14:textId="77777777">
        <w:tc>
          <w:tcPr>
            <w:tcW w:w="5605" w:type="dxa"/>
            <w:tcBorders>
              <w:bottom w:val="single" w:sz="12" w:space="0" w:color="auto"/>
            </w:tcBorders>
          </w:tcPr>
          <w:p w14:paraId="38D762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Сухой вес двигателя, кг</w:t>
            </w:r>
          </w:p>
        </w:tc>
        <w:tc>
          <w:tcPr>
            <w:tcW w:w="5605" w:type="dxa"/>
            <w:tcBorders>
              <w:bottom w:val="single" w:sz="12" w:space="0" w:color="auto"/>
            </w:tcBorders>
          </w:tcPr>
          <w:p w14:paraId="39E3AE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422</w:t>
            </w:r>
          </w:p>
        </w:tc>
      </w:tr>
    </w:tbl>
    <w:p w14:paraId="1AED55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Лёгные данные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E3599D" w:rsidRPr="00E14102" w14:paraId="6C5884D4" w14:textId="77777777">
        <w:tc>
          <w:tcPr>
            <w:tcW w:w="5605" w:type="dxa"/>
            <w:tcBorders>
              <w:top w:val="single" w:sz="12" w:space="0" w:color="auto"/>
            </w:tcBorders>
          </w:tcPr>
          <w:p w14:paraId="1DF51E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км/ч:</w:t>
            </w:r>
          </w:p>
        </w:tc>
        <w:tc>
          <w:tcPr>
            <w:tcW w:w="5605" w:type="dxa"/>
            <w:tcBorders>
              <w:top w:val="single" w:sz="12" w:space="0" w:color="auto"/>
            </w:tcBorders>
          </w:tcPr>
          <w:p w14:paraId="5FA8DDF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9602B89" w14:textId="77777777">
        <w:tc>
          <w:tcPr>
            <w:tcW w:w="5605" w:type="dxa"/>
          </w:tcPr>
          <w:p w14:paraId="1AEC9E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земли</w:t>
            </w:r>
          </w:p>
        </w:tc>
        <w:tc>
          <w:tcPr>
            <w:tcW w:w="5605" w:type="dxa"/>
          </w:tcPr>
          <w:p w14:paraId="0276F9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369</w:t>
            </w:r>
          </w:p>
        </w:tc>
      </w:tr>
      <w:tr w:rsidR="00E3599D" w:rsidRPr="00E14102" w14:paraId="190A271C" w14:textId="77777777">
        <w:tc>
          <w:tcPr>
            <w:tcW w:w="5605" w:type="dxa"/>
          </w:tcPr>
          <w:p w14:paraId="6972E0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высоте 3000 м</w:t>
            </w:r>
          </w:p>
        </w:tc>
        <w:tc>
          <w:tcPr>
            <w:tcW w:w="5605" w:type="dxa"/>
          </w:tcPr>
          <w:p w14:paraId="770BC1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410</w:t>
            </w:r>
          </w:p>
        </w:tc>
      </w:tr>
      <w:tr w:rsidR="00E3599D" w:rsidRPr="00E14102" w14:paraId="095FC219" w14:textId="77777777">
        <w:tc>
          <w:tcPr>
            <w:tcW w:w="5605" w:type="dxa"/>
          </w:tcPr>
          <w:p w14:paraId="358B23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высоте 5000 м</w:t>
            </w:r>
          </w:p>
        </w:tc>
        <w:tc>
          <w:tcPr>
            <w:tcW w:w="5605" w:type="dxa"/>
          </w:tcPr>
          <w:p w14:paraId="35D361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390</w:t>
            </w:r>
          </w:p>
        </w:tc>
      </w:tr>
      <w:tr w:rsidR="00E3599D" w:rsidRPr="00E14102" w14:paraId="2939177C" w14:textId="77777777">
        <w:tc>
          <w:tcPr>
            <w:tcW w:w="5605" w:type="dxa"/>
          </w:tcPr>
          <w:p w14:paraId="39A5F1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набора высоты 5000 м, мин</w:t>
            </w:r>
          </w:p>
        </w:tc>
        <w:tc>
          <w:tcPr>
            <w:tcW w:w="5605" w:type="dxa"/>
          </w:tcPr>
          <w:p w14:paraId="2E2053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w:t>
            </w:r>
          </w:p>
        </w:tc>
      </w:tr>
      <w:tr w:rsidR="00E3599D" w:rsidRPr="00E14102" w14:paraId="6E40EAAF" w14:textId="77777777">
        <w:tc>
          <w:tcPr>
            <w:tcW w:w="5605" w:type="dxa"/>
          </w:tcPr>
          <w:p w14:paraId="0E46AE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практический, м</w:t>
            </w:r>
          </w:p>
        </w:tc>
        <w:tc>
          <w:tcPr>
            <w:tcW w:w="5605" w:type="dxa"/>
          </w:tcPr>
          <w:p w14:paraId="48AB49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w:t>
            </w:r>
          </w:p>
        </w:tc>
      </w:tr>
      <w:tr w:rsidR="00E3599D" w:rsidRPr="00E14102" w14:paraId="0BDCB3C5" w14:textId="77777777">
        <w:tc>
          <w:tcPr>
            <w:tcW w:w="5605" w:type="dxa"/>
            <w:tcBorders>
              <w:bottom w:val="single" w:sz="12" w:space="0" w:color="auto"/>
            </w:tcBorders>
          </w:tcPr>
          <w:p w14:paraId="4B781B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выполнения виража, с</w:t>
            </w:r>
          </w:p>
        </w:tc>
        <w:tc>
          <w:tcPr>
            <w:tcW w:w="5605" w:type="dxa"/>
            <w:tcBorders>
              <w:bottom w:val="single" w:sz="12" w:space="0" w:color="auto"/>
            </w:tcBorders>
          </w:tcPr>
          <w:p w14:paraId="59C8EA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14- 15</w:t>
            </w:r>
          </w:p>
        </w:tc>
      </w:tr>
    </w:tbl>
    <w:p w14:paraId="2CE94B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(12005).</w:t>
      </w:r>
    </w:p>
    <w:p w14:paraId="0CF9E446" w14:textId="77777777" w:rsidR="00D4105E" w:rsidRPr="00E14102" w:rsidRDefault="00D4105E" w:rsidP="00E14102">
      <w:pPr>
        <w:autoSpaceDE w:val="0"/>
        <w:autoSpaceDN w:val="0"/>
        <w:adjustRightInd w:val="0"/>
        <w:jc w:val="both"/>
        <w:rPr>
          <w:color w:val="000000" w:themeColor="text1"/>
          <w:sz w:val="16"/>
          <w:szCs w:val="16"/>
        </w:rPr>
      </w:pPr>
    </w:p>
    <w:p w14:paraId="69B700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вышло постановление СТО N С-95сс "Об истребителях И-16 с М-22 и М-25". Пред. СТО Чубарь (2161,182).</w:t>
      </w:r>
    </w:p>
    <w:p w14:paraId="2C8C12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развитие постановления СТО от 19 июля 1935:</w:t>
      </w:r>
    </w:p>
    <w:p w14:paraId="14A436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"Утвердить годовую программу на 1935 по выпуску самолетов на заводе 21:</w:t>
      </w:r>
    </w:p>
    <w:p w14:paraId="7AB987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И-16 с М-22 - 500 шт.</w:t>
      </w:r>
    </w:p>
    <w:p w14:paraId="3A82D0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И-16 с М-25 - 150 шт.</w:t>
      </w:r>
    </w:p>
    <w:p w14:paraId="478525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 учебно-тренировочном варианте с М-22 - 20 шт. (2398,110).</w:t>
      </w:r>
    </w:p>
    <w:p w14:paraId="5A09D8E3" w14:textId="77777777" w:rsidR="00D4105E" w:rsidRPr="00E14102" w:rsidRDefault="00D4105E" w:rsidP="00E14102">
      <w:pPr>
        <w:autoSpaceDE w:val="0"/>
        <w:autoSpaceDN w:val="0"/>
        <w:adjustRightInd w:val="0"/>
        <w:jc w:val="both"/>
        <w:rPr>
          <w:color w:val="000000" w:themeColor="text1"/>
          <w:sz w:val="16"/>
          <w:szCs w:val="16"/>
        </w:rPr>
      </w:pPr>
    </w:p>
    <w:p w14:paraId="46D25B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года постановление № С-97сс СТО</w:t>
      </w:r>
    </w:p>
    <w:p w14:paraId="0F0377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постройке дальнего разведчика</w:t>
      </w:r>
    </w:p>
    <w:p w14:paraId="130B32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2FAC888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Утвердить основные данные СБ в варианте дальнего разведчика ……………………..</w:t>
      </w:r>
    </w:p>
    <w:p w14:paraId="08FDACB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ЦАГИ построить и сдать на госиспытания опытный образец этого самолета на базе модифицированного СБ не позже 1 октября 1936 года.</w:t>
      </w:r>
    </w:p>
    <w:p w14:paraId="06D863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…………………………(7516, 106).</w:t>
      </w:r>
    </w:p>
    <w:p w14:paraId="365C600F" w14:textId="77777777" w:rsidR="00D4105E" w:rsidRPr="00E14102" w:rsidRDefault="00D4105E" w:rsidP="00E14102">
      <w:pPr>
        <w:autoSpaceDE w:val="0"/>
        <w:autoSpaceDN w:val="0"/>
        <w:adjustRightInd w:val="0"/>
        <w:jc w:val="both"/>
        <w:rPr>
          <w:color w:val="000000" w:themeColor="text1"/>
          <w:sz w:val="16"/>
          <w:szCs w:val="16"/>
        </w:rPr>
      </w:pPr>
    </w:p>
    <w:p w14:paraId="10DDE8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года постановление № С-95сс СТО</w:t>
      </w:r>
    </w:p>
    <w:p w14:paraId="2C361A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 истребителях И-16 с мотором М-22 и М-25</w:t>
      </w:r>
    </w:p>
    <w:p w14:paraId="329580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развитие постановления СТО от 19 июля 1935 года по вопросу производства истребителей СТО постановляет:</w:t>
      </w:r>
    </w:p>
    <w:p w14:paraId="2C61AD3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Утвердить годовую программу на 1935 год по выпуску самолетов на заводе № 21:</w:t>
      </w:r>
    </w:p>
    <w:p w14:paraId="3A3FAD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 с мотором М-22 в количестве 500 штук</w:t>
      </w:r>
    </w:p>
    <w:p w14:paraId="37F254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 с мотором М-25 в количестве 150 штук</w:t>
      </w:r>
    </w:p>
    <w:p w14:paraId="66949E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учебно-тренировочном варианте с мотором М-22 в количестве 20 штук</w:t>
      </w:r>
    </w:p>
    <w:p w14:paraId="6E8B2E7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связи с переводом истребителей на РЦ (М-25), переделки для экранировки М-22, снимаемого с производства – не производить (7516, 104).</w:t>
      </w:r>
    </w:p>
    <w:p w14:paraId="6C829AA4"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697378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Н.С.Юдин совершил полет на планере ГН-5 по маршруту с возвращением в исходную точку в Баймаке (Башкирия). Долетел до Губейдулино, сбросил вымпел и вернулся, пройдя 124 км за 3:30 (438,692).</w:t>
      </w:r>
    </w:p>
    <w:p w14:paraId="0DF1B1A7" w14:textId="77777777" w:rsidR="00D4105E" w:rsidRPr="00E14102" w:rsidRDefault="00D4105E" w:rsidP="00E14102">
      <w:pPr>
        <w:autoSpaceDE w:val="0"/>
        <w:autoSpaceDN w:val="0"/>
        <w:adjustRightInd w:val="0"/>
        <w:jc w:val="both"/>
        <w:rPr>
          <w:color w:val="000000" w:themeColor="text1"/>
          <w:sz w:val="16"/>
          <w:szCs w:val="16"/>
        </w:rPr>
      </w:pPr>
    </w:p>
    <w:p w14:paraId="4EE3EFE2" w14:textId="77777777" w:rsidR="00710927" w:rsidRPr="00E14102" w:rsidRDefault="00710927" w:rsidP="00E14102">
      <w:pPr>
        <w:jc w:val="both"/>
        <w:rPr>
          <w:color w:val="0070C0"/>
          <w:sz w:val="16"/>
          <w:szCs w:val="16"/>
        </w:rPr>
      </w:pPr>
      <w:r w:rsidRPr="00E14102">
        <w:rPr>
          <w:color w:val="0070C0"/>
          <w:sz w:val="16"/>
          <w:szCs w:val="16"/>
        </w:rPr>
        <w:t>4 августа 1935 г. Ю.Г. Прилуцкий, М.И. Гольцман и Я.Г. Украин</w:t>
      </w:r>
      <w:r w:rsidRPr="00E14102">
        <w:rPr>
          <w:color w:val="0070C0"/>
          <w:sz w:val="16"/>
          <w:szCs w:val="16"/>
        </w:rPr>
        <w:softHyphen/>
        <w:t>ский осуществили третий субстратосферный полёт для испытания сконструи</w:t>
      </w:r>
      <w:r w:rsidRPr="00E14102">
        <w:rPr>
          <w:color w:val="0070C0"/>
          <w:sz w:val="16"/>
          <w:szCs w:val="16"/>
        </w:rPr>
        <w:softHyphen/>
        <w:t>рованной Гольцманом аппаратуры для исследо</w:t>
      </w:r>
      <w:r w:rsidRPr="00E14102">
        <w:rPr>
          <w:color w:val="0070C0"/>
          <w:sz w:val="16"/>
          <w:szCs w:val="16"/>
        </w:rPr>
        <w:softHyphen/>
        <w:t>вания стратосферы: безрадиационного термоме</w:t>
      </w:r>
      <w:r w:rsidRPr="00E14102">
        <w:rPr>
          <w:color w:val="0070C0"/>
          <w:sz w:val="16"/>
          <w:szCs w:val="16"/>
        </w:rPr>
        <w:softHyphen/>
        <w:t>тра сопротивления для измерения температуры воздуха, термометрической системы для опреде</w:t>
      </w:r>
      <w:r w:rsidRPr="00E14102">
        <w:rPr>
          <w:color w:val="0070C0"/>
          <w:sz w:val="16"/>
          <w:szCs w:val="16"/>
        </w:rPr>
        <w:softHyphen/>
        <w:t>ления средней температуры газа в оболочке аэро</w:t>
      </w:r>
      <w:r w:rsidRPr="00E14102">
        <w:rPr>
          <w:color w:val="0070C0"/>
          <w:sz w:val="16"/>
          <w:szCs w:val="16"/>
        </w:rPr>
        <w:softHyphen/>
        <w:t>стата во время полёта и установки для изучения термической микроструктуры воздуха в различ</w:t>
      </w:r>
      <w:r w:rsidRPr="00E14102">
        <w:rPr>
          <w:color w:val="0070C0"/>
          <w:sz w:val="16"/>
          <w:szCs w:val="16"/>
        </w:rPr>
        <w:softHyphen/>
        <w:t>ных точках по высоте.</w:t>
      </w:r>
    </w:p>
    <w:p w14:paraId="19768F84" w14:textId="77777777" w:rsidR="00710927" w:rsidRPr="00E14102" w:rsidRDefault="00710927" w:rsidP="00E14102">
      <w:pPr>
        <w:jc w:val="both"/>
        <w:rPr>
          <w:color w:val="0070C0"/>
          <w:sz w:val="16"/>
          <w:szCs w:val="16"/>
        </w:rPr>
      </w:pPr>
      <w:r w:rsidRPr="00E14102">
        <w:rPr>
          <w:color w:val="0070C0"/>
          <w:sz w:val="16"/>
          <w:szCs w:val="16"/>
        </w:rPr>
        <w:t>Чувствительным элементом безынерцион</w:t>
      </w:r>
      <w:r w:rsidRPr="00E14102">
        <w:rPr>
          <w:color w:val="0070C0"/>
          <w:sz w:val="16"/>
          <w:szCs w:val="16"/>
        </w:rPr>
        <w:softHyphen/>
        <w:t>ного термометра М.И. Гольцмана была блестя</w:t>
      </w:r>
      <w:r w:rsidRPr="00E14102">
        <w:rPr>
          <w:color w:val="0070C0"/>
          <w:sz w:val="16"/>
          <w:szCs w:val="16"/>
        </w:rPr>
        <w:softHyphen/>
        <w:t>щая платиновая проволока диаметром 0,02 мм, включённая в одно из плеч мостика Уитстона постоянного тока и позволявшая измерять с точ</w:t>
      </w:r>
      <w:r w:rsidRPr="00E14102">
        <w:rPr>
          <w:color w:val="0070C0"/>
          <w:sz w:val="16"/>
          <w:szCs w:val="16"/>
        </w:rPr>
        <w:softHyphen/>
        <w:t>ностью до 0,2-0,3°C температуру атмосферы под действием прямой солнечной радиации. Термо</w:t>
      </w:r>
      <w:r w:rsidRPr="00E14102">
        <w:rPr>
          <w:color w:val="0070C0"/>
          <w:sz w:val="16"/>
          <w:szCs w:val="16"/>
        </w:rPr>
        <w:softHyphen/>
        <w:t>метр подвешивался открыто вне гондолы на рас</w:t>
      </w:r>
      <w:r w:rsidRPr="00E14102">
        <w:rPr>
          <w:color w:val="0070C0"/>
          <w:sz w:val="16"/>
          <w:szCs w:val="16"/>
        </w:rPr>
        <w:softHyphen/>
        <w:t>стоянии 5-6 м от неё и не требовал вентиляции и защиты от солнца приёмника температуры.</w:t>
      </w:r>
    </w:p>
    <w:p w14:paraId="746C6955" w14:textId="77777777" w:rsidR="00710927" w:rsidRPr="00E14102" w:rsidRDefault="00710927" w:rsidP="00E14102">
      <w:pPr>
        <w:jc w:val="both"/>
        <w:rPr>
          <w:color w:val="0070C0"/>
          <w:sz w:val="16"/>
          <w:szCs w:val="16"/>
        </w:rPr>
      </w:pPr>
      <w:r w:rsidRPr="00E14102">
        <w:rPr>
          <w:color w:val="0070C0"/>
          <w:sz w:val="16"/>
          <w:szCs w:val="16"/>
        </w:rPr>
        <w:t>Для определения средней температуры газа внутри оболочки использовался медный тонко</w:t>
      </w:r>
      <w:r w:rsidRPr="00E14102">
        <w:rPr>
          <w:color w:val="0070C0"/>
          <w:sz w:val="16"/>
          <w:szCs w:val="16"/>
        </w:rPr>
        <w:softHyphen/>
        <w:t>стенный наполненный газом шар, соединённый воздушной резиновой трубкой с ртутным ма</w:t>
      </w:r>
      <w:r w:rsidRPr="00E14102">
        <w:rPr>
          <w:color w:val="0070C0"/>
          <w:sz w:val="16"/>
          <w:szCs w:val="16"/>
        </w:rPr>
        <w:softHyphen/>
        <w:t>нометром. Для получения средней температуры газа в оболочке находилось несколько таких ша</w:t>
      </w:r>
      <w:r w:rsidRPr="00E14102">
        <w:rPr>
          <w:color w:val="0070C0"/>
          <w:sz w:val="16"/>
          <w:szCs w:val="16"/>
        </w:rPr>
        <w:softHyphen/>
        <w:t>ров, соединённых между собой.</w:t>
      </w:r>
    </w:p>
    <w:p w14:paraId="7E11CC6C" w14:textId="77777777" w:rsidR="00710927" w:rsidRPr="00E14102" w:rsidRDefault="00710927" w:rsidP="00E14102">
      <w:pPr>
        <w:jc w:val="both"/>
        <w:rPr>
          <w:color w:val="0070C0"/>
          <w:sz w:val="16"/>
          <w:szCs w:val="16"/>
        </w:rPr>
      </w:pPr>
      <w:r w:rsidRPr="00E14102">
        <w:rPr>
          <w:color w:val="0070C0"/>
          <w:sz w:val="16"/>
          <w:szCs w:val="16"/>
        </w:rPr>
        <w:t>Установка для измерения термической ми</w:t>
      </w:r>
      <w:r w:rsidRPr="00E14102">
        <w:rPr>
          <w:color w:val="0070C0"/>
          <w:sz w:val="16"/>
          <w:szCs w:val="16"/>
        </w:rPr>
        <w:softHyphen/>
        <w:t>кроструктуры воздуха основывалась на измере</w:t>
      </w:r>
      <w:r w:rsidRPr="00E14102">
        <w:rPr>
          <w:color w:val="0070C0"/>
          <w:sz w:val="16"/>
          <w:szCs w:val="16"/>
        </w:rPr>
        <w:softHyphen/>
        <w:t>нии микроколебаний мгновенной разности тем</w:t>
      </w:r>
      <w:r w:rsidRPr="00E14102">
        <w:rPr>
          <w:color w:val="0070C0"/>
          <w:sz w:val="16"/>
          <w:szCs w:val="16"/>
        </w:rPr>
        <w:softHyphen/>
        <w:t>пературы, была малоинерционной и по оценке М.И. Гольцмана регистрировала изменения тем</w:t>
      </w:r>
      <w:r w:rsidRPr="00E14102">
        <w:rPr>
          <w:color w:val="0070C0"/>
          <w:sz w:val="16"/>
          <w:szCs w:val="16"/>
        </w:rPr>
        <w:softHyphen/>
        <w:t>пературы в 0,01°C.</w:t>
      </w:r>
    </w:p>
    <w:p w14:paraId="0BDC56D4" w14:textId="77777777" w:rsidR="00710927" w:rsidRPr="00E14102" w:rsidRDefault="00710927" w:rsidP="00E14102">
      <w:pPr>
        <w:jc w:val="both"/>
        <w:rPr>
          <w:color w:val="0070C0"/>
          <w:sz w:val="16"/>
          <w:szCs w:val="16"/>
        </w:rPr>
      </w:pPr>
      <w:r w:rsidRPr="00E14102">
        <w:rPr>
          <w:color w:val="0070C0"/>
          <w:sz w:val="16"/>
          <w:szCs w:val="16"/>
        </w:rPr>
        <w:t>Аэростат стартовал в 18.30 при чистом небе и слабом ветре, его скорость подъёма составляла 3-4 м/с. На высоте 5500-6000 м аэронавты надели кислородные маски. Примерно через 40 минут аэростат уравновесился на высоте 8200 м. На</w:t>
      </w:r>
      <w:r w:rsidRPr="00E14102">
        <w:rPr>
          <w:color w:val="0070C0"/>
          <w:sz w:val="16"/>
          <w:szCs w:val="16"/>
        </w:rPr>
        <w:softHyphen/>
        <w:t>блюдения аэронавты проводили вместе. После 2 ч 30 мин полёта аэростат спустился в 70 км от Москвы. Ни один из побывавших в полёте при</w:t>
      </w:r>
      <w:r w:rsidRPr="00E14102">
        <w:rPr>
          <w:color w:val="0070C0"/>
          <w:sz w:val="16"/>
          <w:szCs w:val="16"/>
        </w:rPr>
        <w:softHyphen/>
        <w:t>боров не пострадал.</w:t>
      </w:r>
    </w:p>
    <w:p w14:paraId="1EFBC5C7" w14:textId="77777777" w:rsidR="00710927" w:rsidRPr="00E14102" w:rsidRDefault="00710927" w:rsidP="00E14102">
      <w:pPr>
        <w:jc w:val="both"/>
        <w:rPr>
          <w:color w:val="0070C0"/>
          <w:sz w:val="16"/>
          <w:szCs w:val="16"/>
        </w:rPr>
      </w:pPr>
      <w:r w:rsidRPr="00E14102">
        <w:rPr>
          <w:color w:val="0070C0"/>
          <w:sz w:val="16"/>
          <w:szCs w:val="16"/>
        </w:rPr>
        <w:lastRenderedPageBreak/>
        <w:t>В полёте температура измерялась 17 раз. Тем</w:t>
      </w:r>
      <w:r w:rsidRPr="00E14102">
        <w:rPr>
          <w:color w:val="0070C0"/>
          <w:sz w:val="16"/>
          <w:szCs w:val="16"/>
        </w:rPr>
        <w:softHyphen/>
        <w:t>пературные кривые при подъёме и спуске прак</w:t>
      </w:r>
      <w:r w:rsidRPr="00E14102">
        <w:rPr>
          <w:color w:val="0070C0"/>
          <w:sz w:val="16"/>
          <w:szCs w:val="16"/>
        </w:rPr>
        <w:softHyphen/>
        <w:t>тически совпали, несмотря на то, что при спуске солнце уже зашло. Во время полёта экипаж, прав</w:t>
      </w:r>
      <w:r w:rsidRPr="00E14102">
        <w:rPr>
          <w:color w:val="0070C0"/>
          <w:sz w:val="16"/>
          <w:szCs w:val="16"/>
        </w:rPr>
        <w:softHyphen/>
        <w:t>да, не мог вести точных контрольных измерений давления по ртутному барометру, что несколько снизило достоверность полученных температур</w:t>
      </w:r>
      <w:r w:rsidRPr="00E14102">
        <w:rPr>
          <w:color w:val="0070C0"/>
          <w:sz w:val="16"/>
          <w:szCs w:val="16"/>
        </w:rPr>
        <w:softHyphen/>
        <w:t>ных градиентов.</w:t>
      </w:r>
    </w:p>
    <w:p w14:paraId="3BDF3710" w14:textId="77777777" w:rsidR="00710927" w:rsidRPr="00E14102" w:rsidRDefault="00710927" w:rsidP="00E14102">
      <w:pPr>
        <w:jc w:val="both"/>
        <w:rPr>
          <w:color w:val="0070C0"/>
          <w:sz w:val="16"/>
          <w:szCs w:val="16"/>
        </w:rPr>
      </w:pPr>
      <w:r w:rsidRPr="00E14102">
        <w:rPr>
          <w:color w:val="0070C0"/>
          <w:sz w:val="16"/>
          <w:szCs w:val="16"/>
        </w:rPr>
        <w:t>Полной картины изменения температуры газа в оболочке во время полёта получить не удалось из-за плотного налёта инея на стекле манометра при подъёме на высоту около 6000 м, мешавшего выполнению отсчётов. Было лишь установлено, что при быстром подъёме и спуске ход темпера</w:t>
      </w:r>
      <w:r w:rsidRPr="00E14102">
        <w:rPr>
          <w:color w:val="0070C0"/>
          <w:sz w:val="16"/>
          <w:szCs w:val="16"/>
        </w:rPr>
        <w:softHyphen/>
        <w:t>туры газа относительно мало отставал от темпе</w:t>
      </w:r>
      <w:r w:rsidRPr="00E14102">
        <w:rPr>
          <w:color w:val="0070C0"/>
          <w:sz w:val="16"/>
          <w:szCs w:val="16"/>
        </w:rPr>
        <w:softHyphen/>
        <w:t>ратуры окружающего воздуха. Столь же малым оказалось и влияние солнечной инсоляции.</w:t>
      </w:r>
    </w:p>
    <w:p w14:paraId="7D503D7F" w14:textId="77777777" w:rsidR="00710927" w:rsidRPr="00E14102" w:rsidRDefault="00710927" w:rsidP="00E14102">
      <w:pPr>
        <w:jc w:val="both"/>
        <w:rPr>
          <w:color w:val="0070C0"/>
          <w:sz w:val="16"/>
          <w:szCs w:val="16"/>
        </w:rPr>
      </w:pPr>
      <w:r w:rsidRPr="00E14102">
        <w:rPr>
          <w:color w:val="0070C0"/>
          <w:sz w:val="16"/>
          <w:szCs w:val="16"/>
        </w:rPr>
        <w:t>Установка для измерения термической ми</w:t>
      </w:r>
      <w:r w:rsidRPr="00E14102">
        <w:rPr>
          <w:color w:val="0070C0"/>
          <w:sz w:val="16"/>
          <w:szCs w:val="16"/>
        </w:rPr>
        <w:softHyphen/>
        <w:t>кроструктуры воздуха исправно функциониро</w:t>
      </w:r>
      <w:r w:rsidRPr="00E14102">
        <w:rPr>
          <w:color w:val="0070C0"/>
          <w:sz w:val="16"/>
          <w:szCs w:val="16"/>
        </w:rPr>
        <w:softHyphen/>
        <w:t>вала, но обстановка работы в качающейся гондо</w:t>
      </w:r>
      <w:r w:rsidRPr="00E14102">
        <w:rPr>
          <w:color w:val="0070C0"/>
          <w:sz w:val="16"/>
          <w:szCs w:val="16"/>
        </w:rPr>
        <w:softHyphen/>
        <w:t>ле, а также неудобства при отсчётах, создаваемые кислородной маской, свели результаты измере</w:t>
      </w:r>
      <w:r w:rsidRPr="00E14102">
        <w:rPr>
          <w:color w:val="0070C0"/>
          <w:sz w:val="16"/>
          <w:szCs w:val="16"/>
        </w:rPr>
        <w:softHyphen/>
        <w:t>ний к нулю (20120).</w:t>
      </w:r>
    </w:p>
    <w:p w14:paraId="0A54256E" w14:textId="77777777" w:rsidR="00710927" w:rsidRPr="00E14102" w:rsidRDefault="00710927" w:rsidP="00E14102">
      <w:pPr>
        <w:jc w:val="both"/>
        <w:rPr>
          <w:color w:val="0070C0"/>
          <w:sz w:val="16"/>
          <w:szCs w:val="16"/>
        </w:rPr>
      </w:pPr>
    </w:p>
    <w:p w14:paraId="1EB39BB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B69929F" w14:textId="77777777" w:rsidR="00D4105E" w:rsidRPr="00E14102" w:rsidRDefault="00D4105E" w:rsidP="00E14102">
      <w:pPr>
        <w:autoSpaceDE w:val="0"/>
        <w:autoSpaceDN w:val="0"/>
        <w:adjustRightInd w:val="0"/>
        <w:jc w:val="both"/>
        <w:rPr>
          <w:iCs/>
          <w:color w:val="000000" w:themeColor="text1"/>
          <w:sz w:val="16"/>
          <w:szCs w:val="16"/>
        </w:rPr>
      </w:pPr>
    </w:p>
    <w:p w14:paraId="4C2ACC9E" w14:textId="77777777" w:rsidR="008A0D6C" w:rsidRPr="00E14102" w:rsidRDefault="008A0D6C" w:rsidP="00E14102">
      <w:pPr>
        <w:pStyle w:val="rtejustify"/>
        <w:spacing w:before="0" w:after="0"/>
        <w:rPr>
          <w:color w:val="000000" w:themeColor="text1"/>
          <w:sz w:val="16"/>
          <w:szCs w:val="16"/>
        </w:rPr>
      </w:pPr>
      <w:r w:rsidRPr="00E14102">
        <w:rPr>
          <w:rStyle w:val="a6"/>
          <w:bCs/>
          <w:i w:val="0"/>
          <w:color w:val="000000" w:themeColor="text1"/>
          <w:sz w:val="16"/>
          <w:szCs w:val="16"/>
        </w:rPr>
        <w:t>4 августа</w:t>
      </w:r>
      <w:r w:rsidRPr="00E14102">
        <w:rPr>
          <w:color w:val="000000" w:themeColor="text1"/>
          <w:sz w:val="16"/>
          <w:szCs w:val="16"/>
        </w:rPr>
        <w:t xml:space="preserve"> 1935. Постановление СТО СССР № С</w:t>
      </w:r>
      <w:r w:rsidRPr="00E14102">
        <w:rPr>
          <w:color w:val="000000" w:themeColor="text1"/>
          <w:sz w:val="16"/>
          <w:szCs w:val="16"/>
        </w:rPr>
        <w:noBreakHyphen/>
        <w:t>101сс «О мелкокалиберной автоматической зенитной дивизионной пушке». (ГА РФ. Ф. Р</w:t>
      </w:r>
      <w:r w:rsidRPr="00E14102">
        <w:rPr>
          <w:color w:val="000000" w:themeColor="text1"/>
          <w:sz w:val="16"/>
          <w:szCs w:val="16"/>
        </w:rPr>
        <w:noBreakHyphen/>
        <w:t>8418. Оп. 28. Д. 7. Л. 68</w:t>
      </w:r>
      <w:r w:rsidRPr="00E14102">
        <w:rPr>
          <w:color w:val="000000" w:themeColor="text1"/>
          <w:sz w:val="16"/>
          <w:szCs w:val="16"/>
        </w:rPr>
        <w:noBreakHyphen/>
        <w:t>69) (15460).</w:t>
      </w:r>
    </w:p>
    <w:p w14:paraId="20F8AC62" w14:textId="77777777" w:rsidR="008A0D6C" w:rsidRPr="00E14102" w:rsidRDefault="008A0D6C" w:rsidP="00E14102">
      <w:pPr>
        <w:pStyle w:val="rtejustify"/>
        <w:spacing w:before="0" w:after="0"/>
        <w:rPr>
          <w:color w:val="000000" w:themeColor="text1"/>
          <w:sz w:val="16"/>
          <w:szCs w:val="16"/>
        </w:rPr>
      </w:pPr>
    </w:p>
    <w:p w14:paraId="02AD5A10" w14:textId="77777777" w:rsidR="00710927" w:rsidRPr="00E14102" w:rsidRDefault="00710927"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вышло постановление СТО N С-101С, которым Б.Г.Шпитальному и заводу 8 к 15 ноября 1935 было поручено изготовить образец 37 мм автоматической зенитной пушки, а также начать разработку новой 37 мм автоматической зенитной пушки с начальной скоростью 1500 м/с, но потом решили начать с установки на 1000 м/с (1116,52).</w:t>
      </w:r>
    </w:p>
    <w:p w14:paraId="4F64D40E" w14:textId="77777777" w:rsidR="00710927" w:rsidRPr="00E14102" w:rsidRDefault="00710927" w:rsidP="00E14102">
      <w:pPr>
        <w:autoSpaceDE w:val="0"/>
        <w:autoSpaceDN w:val="0"/>
        <w:adjustRightInd w:val="0"/>
        <w:jc w:val="both"/>
        <w:rPr>
          <w:color w:val="000000" w:themeColor="text1"/>
          <w:sz w:val="16"/>
          <w:szCs w:val="16"/>
        </w:rPr>
      </w:pPr>
    </w:p>
    <w:p w14:paraId="7EF9DD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 поста</w:t>
      </w:r>
      <w:r w:rsidRPr="00E14102">
        <w:rPr>
          <w:color w:val="000000" w:themeColor="text1"/>
          <w:sz w:val="16"/>
          <w:szCs w:val="16"/>
        </w:rPr>
        <w:softHyphen/>
        <w:t>новлением СТО № С-101С Шпитальному и заводу № 8 к 15 ноября 1935 г. было поручено изго</w:t>
      </w:r>
      <w:r w:rsidRPr="00E14102">
        <w:rPr>
          <w:color w:val="000000" w:themeColor="text1"/>
          <w:sz w:val="16"/>
          <w:szCs w:val="16"/>
        </w:rPr>
        <w:softHyphen/>
        <w:t>товить опытный образец автоматической 37-мм зенитной пушки (10695).</w:t>
      </w:r>
    </w:p>
    <w:p w14:paraId="52A2376E" w14:textId="77777777" w:rsidR="00D4105E" w:rsidRPr="00E14102" w:rsidRDefault="00D4105E" w:rsidP="00E14102">
      <w:pPr>
        <w:autoSpaceDE w:val="0"/>
        <w:autoSpaceDN w:val="0"/>
        <w:adjustRightInd w:val="0"/>
        <w:jc w:val="both"/>
        <w:rPr>
          <w:color w:val="000000" w:themeColor="text1"/>
          <w:sz w:val="16"/>
          <w:szCs w:val="16"/>
        </w:rPr>
      </w:pPr>
    </w:p>
    <w:p w14:paraId="34354C9B"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4 августа 1935 г. Постановлением СТО № С-101 С Шпитальному и заводу №8 к 15.11.1935 г. было поручено изготовить опытный образец автоматической 37-мм зенитной пушки. Интересно, что тем же постановлением СТО Шпитальному и заводу № 8 было поручено начать разработку новой 37-мм автоматической зенитной пушки с начальной скоростью снаряда свыше 1500 м/с. Но позже было разрешено приступить к этой работе после окончательной доработки изготовленного образца 37-мм автомата с начальной скоростью снаряда 1000 м/с. </w:t>
      </w:r>
    </w:p>
    <w:p w14:paraId="7BC8A162"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Постановлением КО № ОК-58сс от 13.03.1936 г. заводу № 8 было поручено изготовить 20 автоматических 37-мм пушек Шпитального и установить их: </w:t>
      </w:r>
    </w:p>
    <w:p w14:paraId="5AE42CF4"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1. 5 пушек в танк Т-26 с прицелами от пушки 20-К; </w:t>
      </w:r>
    </w:p>
    <w:p w14:paraId="7E9D6C52"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2. 10 пушек на автомобильном шасси конструкции Гинзбурга на тумбах 3-К с их механизмами и прицелами; </w:t>
      </w:r>
    </w:p>
    <w:p w14:paraId="78518444"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3. 5 пушек на морских тумбах Виккерса с использованием существующих корабельных установок. </w:t>
      </w:r>
    </w:p>
    <w:p w14:paraId="6A4C15EB"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В ходе испытаний серию из двадцати 37-мм пушек Шпитального установили на лафеты от 76-мм пушек 3-К на автомобилях ЯГ-10 и в штатной башне танка Т-26. Причем в танке Т-26 пушка уже не могла вести зенитный огонь, так как угол возвышения ее составлял -7°;+12°. </w:t>
      </w:r>
    </w:p>
    <w:p w14:paraId="03F1C3E6"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В заключении комиссии под руководством академика Благонравова об испытании 37-мм пушки Шпитального были отмечены недостатки ее конструкции. </w:t>
      </w:r>
    </w:p>
    <w:p w14:paraId="6CF4F4C4"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1. Большое усилие на цапфы при значительном динамическом плече увеличивает вес системы. </w:t>
      </w:r>
    </w:p>
    <w:p w14:paraId="0C5EF579"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2. Детали автоматики подвержены при работе весьма большим нагрузкам и трению в скользящих сопряжениях. </w:t>
      </w:r>
    </w:p>
    <w:p w14:paraId="31FBD695"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3. Система питания неудовлетворительна и не обеспечивает требований практической скорострельности из-за подвижного магазина. </w:t>
      </w:r>
    </w:p>
    <w:p w14:paraId="2563F1BD"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Вывод - 37-мм автоматическую пушку Шпитального нельзя рекомендовать к принятию на вооружение. В марте 1938 года на заводе № 8 был изготовлен 37-мм зенитный автомат 100-К конструкции Е. В. Чарко, И. А. Комарицкого и Л. В. Люльева. Организационная сторона дела со 100-К крайне запутана. Судя по всему, это была особая группа внутри КБ завода им. Калинина, которую позже "съело" руководство завода. </w:t>
      </w:r>
    </w:p>
    <w:p w14:paraId="063DB0D0"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Автоматика пушки 100-К работала за счет энергии газов, отводимых из канала ствола. Питание автомата производилось из магазина барабанного типа на б патронов. Ствол пушки - быстросъемный моноблок. </w:t>
      </w:r>
    </w:p>
    <w:p w14:paraId="07B4C42D"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Изюминкой 100-К был мощный щелевой тормоз активного действия с эффективностью около 70%. Благодаря такому тормозу конструкторы отказались от тормоза отката и оставили только наружный накатник. </w:t>
      </w:r>
    </w:p>
    <w:p w14:paraId="3CD6B70F"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В апреле-мае 1938 года пушка 100-К прошла заводские испытания в объеме 2111 выстрелов. Интересно, что при испытаниях автомат не давал органических задержек". Задержки происходили из-за неполной отдачи (0,24%) и недосылке патрона (1,15%) за счет чрезмерного перегрева ствола только при длине непрерывной очереди свыше 120 выстрелов. </w:t>
      </w:r>
    </w:p>
    <w:p w14:paraId="14398395"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Автомат 100-К был поставлен на четырехколесную повозку от пушки 49-К и 25.07.1938 г. отправлен на НИЗП. Согласно отчету комиссии от 2 5.12.1938 г. система 100-К удовлетворяла предъявленным требованиям, но требовала доработки. Дорабатывать же ее руководство завода не захотело - пушки 49-К и 61-К в конкурентах не нуж-дались.В конце 1937 года на заводе Калинина был изготовлен первый опытный образец 45-мм автоматической пушки ЗИК-45 (позже получившей индекс 49-К). Новая пушка была сделана по образцу 40-мм пушки "Бофорс" и в документах АУ начала 1938 года ее так и называют: "пушка завода № 8 типа "Бофорс". </w:t>
      </w:r>
    </w:p>
    <w:p w14:paraId="7D79A964"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Автоматика 45-мм пушки 49-К работала за счет энергии отката при коротком ходе ствола. Открывание затвора происходило во время отката, а закрывание - после наката ствола и досылки очередного патрона. Ствол пушки - свободная труба, вставленная в кожух. На кожух навинчивался казенник, в котором помещался вертикальный клиновой затвор. Питание автомата производилось с помощью обоймы, содержащей 3 патрона. Обойма вручную устанавливалась в приемнике над ствольной коробкой. </w:t>
      </w:r>
    </w:p>
    <w:p w14:paraId="3F645F5C"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Тормоз отката гидравлический, веретенного типа. Тормоз крепился снизу к горловине люльки. Пружинный накатник собирался на стволе и находился внутри горловины люльки. Уравновешивающий механизм пружинный, качающийся, подтягивающего типа, состоял из двух колонок, размещенных между щеками станка. Подъемный механизм имел зубчатый сектор. Поворотный механизм посредством шестерни был связан с зубчатым венцом. Приводы механизмов наведения только ручные. </w:t>
      </w:r>
    </w:p>
    <w:p w14:paraId="08AB13FB"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На заводских испытаниях в начале 1938 года темп стрельбы 49-К составил 90-120 выстрелов, вес снаряда 1,44 кг, начальная скорость - 9б0 м/с. Испытания автомата задерживались сложностями в производстве латунных гильз Тульским заводом. </w:t>
      </w:r>
    </w:p>
    <w:p w14:paraId="262A4992"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В ходе стрельб 20.04.1938 г. на Софринском полигоне после 70 выстрелов температура ствола у дульного среза достигла 257°С., Нагрев ствола определил длину непрерывной очереди 60-70 выстрелов. Другие элементы,. автоматики допускали большую длину очереди. Так, например, гидравлический компрессор в тормозе отката был рассчитан очередь в 150 выстрелов. Поэтому ствол 6 сделан быстросъемным. </w:t>
      </w:r>
    </w:p>
    <w:p w14:paraId="3F552128"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В июне-июле 1938 года автомат 49-К проходил испытания на временном тумбовом лафете, установленном на автомобиле ЯГ-10. В ходе испытаний на НИЗЕПе в Евпатории с 25 октября по 27 декабря 1938 года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3FE5E16F"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71063A5C"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16F9CFDD" w14:textId="77777777" w:rsidR="00F83A87" w:rsidRPr="00E14102" w:rsidRDefault="00F83A87" w:rsidP="00E14102">
      <w:pPr>
        <w:jc w:val="both"/>
        <w:rPr>
          <w:color w:val="000000" w:themeColor="text1"/>
          <w:sz w:val="16"/>
          <w:szCs w:val="16"/>
        </w:rPr>
      </w:pPr>
      <w:r w:rsidRPr="00E14102">
        <w:rPr>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08A80F41" w14:textId="77777777" w:rsidR="00F83A87" w:rsidRPr="00E14102" w:rsidRDefault="00F83A87" w:rsidP="00E14102">
      <w:pPr>
        <w:jc w:val="both"/>
        <w:rPr>
          <w:color w:val="000000" w:themeColor="text1"/>
          <w:sz w:val="16"/>
          <w:szCs w:val="16"/>
        </w:rPr>
      </w:pPr>
      <w:r w:rsidRPr="00E14102">
        <w:rPr>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325DEC68" w14:textId="77777777" w:rsidR="00F83A87" w:rsidRPr="00E14102" w:rsidRDefault="00F83A87" w:rsidP="00E14102">
      <w:pPr>
        <w:jc w:val="both"/>
        <w:rPr>
          <w:color w:val="000000" w:themeColor="text1"/>
          <w:sz w:val="16"/>
          <w:szCs w:val="16"/>
        </w:rPr>
      </w:pPr>
    </w:p>
    <w:p w14:paraId="584329AC" w14:textId="77777777" w:rsidR="008A0D6C" w:rsidRPr="00E14102" w:rsidRDefault="008A0D6C" w:rsidP="00E14102">
      <w:pPr>
        <w:pStyle w:val="rtejustify"/>
        <w:spacing w:before="0" w:after="0"/>
        <w:rPr>
          <w:color w:val="000000" w:themeColor="text1"/>
          <w:sz w:val="16"/>
          <w:szCs w:val="16"/>
        </w:rPr>
      </w:pPr>
      <w:r w:rsidRPr="00E14102">
        <w:rPr>
          <w:rStyle w:val="a6"/>
          <w:bCs/>
          <w:i w:val="0"/>
          <w:color w:val="000000" w:themeColor="text1"/>
          <w:sz w:val="16"/>
          <w:szCs w:val="16"/>
        </w:rPr>
        <w:t>4 августа</w:t>
      </w:r>
      <w:r w:rsidRPr="00E14102">
        <w:rPr>
          <w:color w:val="000000" w:themeColor="text1"/>
          <w:sz w:val="16"/>
          <w:szCs w:val="16"/>
        </w:rPr>
        <w:t xml:space="preserve"> 1935. Постановление СТО СССР № С</w:t>
      </w:r>
      <w:r w:rsidRPr="00E14102">
        <w:rPr>
          <w:color w:val="000000" w:themeColor="text1"/>
          <w:sz w:val="16"/>
          <w:szCs w:val="16"/>
        </w:rPr>
        <w:noBreakHyphen/>
        <w:t>102сс «Об организации лаборатории новых методов химического синтеза». (ГА РФ. Ф. Р</w:t>
      </w:r>
      <w:r w:rsidRPr="00E14102">
        <w:rPr>
          <w:color w:val="000000" w:themeColor="text1"/>
          <w:sz w:val="16"/>
          <w:szCs w:val="16"/>
        </w:rPr>
        <w:noBreakHyphen/>
        <w:t>8418. Оп. 28. Д. 7. Л. 70) (15460).</w:t>
      </w:r>
    </w:p>
    <w:p w14:paraId="23A287CC" w14:textId="77777777" w:rsidR="008A0D6C" w:rsidRPr="00E14102" w:rsidRDefault="008A0D6C" w:rsidP="00E14102">
      <w:pPr>
        <w:pStyle w:val="rtejustify"/>
        <w:spacing w:before="0" w:after="0"/>
        <w:rPr>
          <w:color w:val="000000" w:themeColor="text1"/>
          <w:sz w:val="16"/>
          <w:szCs w:val="16"/>
        </w:rPr>
      </w:pPr>
    </w:p>
    <w:p w14:paraId="2D406E8F" w14:textId="77777777" w:rsidR="008A0D6C" w:rsidRPr="00E14102" w:rsidRDefault="008A0D6C" w:rsidP="00E14102">
      <w:pPr>
        <w:jc w:val="both"/>
        <w:rPr>
          <w:color w:val="000000" w:themeColor="text1"/>
          <w:sz w:val="16"/>
          <w:szCs w:val="16"/>
        </w:rPr>
      </w:pPr>
      <w:r w:rsidRPr="00E14102">
        <w:rPr>
          <w:color w:val="000000" w:themeColor="text1"/>
          <w:sz w:val="16"/>
          <w:szCs w:val="16"/>
        </w:rPr>
        <w:t>4 августа в 1935 году пущен Хабаровский нефтеперерабатывающий завод (ныне ОАО) (14973).</w:t>
      </w:r>
    </w:p>
    <w:p w14:paraId="1BDE2870" w14:textId="77777777" w:rsidR="008A0D6C" w:rsidRPr="00E14102" w:rsidRDefault="008A0D6C" w:rsidP="00E14102">
      <w:pPr>
        <w:jc w:val="both"/>
        <w:rPr>
          <w:color w:val="000000" w:themeColor="text1"/>
          <w:sz w:val="16"/>
          <w:szCs w:val="16"/>
        </w:rPr>
      </w:pPr>
    </w:p>
    <w:p w14:paraId="34C204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1935г. по пр. НКВТ было создано «Техконбюро», в 1939г. оно разделено на две проектные организации: ЦКБ «Морсудопроект» НКМФ (ЦПКБ-1 ММФ, Технико-конструкторское бюро («Техконбюро») НКВТ, «Морсудопроект» НКМФ, Ленинградское ЦПКБ (ЛЦПКБ) «Морсудопроект» ММФ, ЛЦПКБ /193124 г. Ленинград ул. Ставропольская, 10/) и ЦТКБ НКРФ.</w:t>
      </w:r>
    </w:p>
    <w:p w14:paraId="12434F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Обеспечение работы судостроительно-судоремонтных заводов НКВТ (начало 1930-х г.).</w:t>
      </w:r>
    </w:p>
    <w:p w14:paraId="3B52F6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1950-х г. имело Черноморский филиал.</w:t>
      </w:r>
    </w:p>
    <w:p w14:paraId="78D142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1948г. ЦКБ «Морсудопроект» переименовано в ЦПКБ-1. В 1966г. ЦПКБ-1 ММФ переименовано в ЛЦПКБ «Морсудопроект» ММФ.</w:t>
      </w:r>
    </w:p>
    <w:p w14:paraId="0EEF04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1953г. в состав ЦПКБ-1 вошло ЦТКБ, в 1954г. оно вновь выделено в самостоятельное предприятие.</w:t>
      </w:r>
    </w:p>
    <w:p w14:paraId="029345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2000-е г. ЛЦПКБ входило в состав ЦНИИМФ.</w:t>
      </w:r>
    </w:p>
    <w:p w14:paraId="66CBF1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конструктор (ВОВ)- А.К. Осмоловский {1904-84}.</w:t>
      </w:r>
    </w:p>
    <w:p w14:paraId="3906A5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(1941 г.)- Н.М. Федоров.</w:t>
      </w:r>
    </w:p>
    <w:p w14:paraId="4F1A34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В.А. Галицкий.</w:t>
      </w:r>
    </w:p>
    <w:p w14:paraId="3B4A99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конструкторы: (1950 г.)- Н.К. Кен (пр. 229), (1960-е)- А.Н. Гурович (пр. 1496), (1960-е)- М.М. Имам-али (пр. 1545), (-1958-60-е)- А.А. Родионов (пр. 450, 450Б, 843, «Абрука»), (1970-е)- Н.И. Круталевич (пр. 1878), (1970-е)- В .А. Владимирпев (пр. 1878).</w:t>
      </w:r>
    </w:p>
    <w:p w14:paraId="37F397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Руководители групп: эксплуатационной (1941 г.)- Г.А. Крутов.</w:t>
      </w:r>
    </w:p>
    <w:p w14:paraId="170687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Создано: баржа для Ладожской «дороги жизни» (1942); буксиры: морские теплоходы типа «Бурный» 500 л.с. (ВОВ), 1200 л.с. пр. 492 типа «Сильный» (1949), 1200 л.с. типа «Стремительный», спасатель пр. 843 (1958), 315 л.с. пр. 1496 типа МБ-301 (1965), пр. 14960; сухогрузы: пр. 229 типа «Алатырь» (1950), типа «Абрука» (1959); морской танкер ледового класса пр. 1545 (1960-е); лесовозы пр. 450, пр. 450Б (1961); универсальное судно снабжения пр. 1878 (1970-е); плавучая лаборатория пр. 10360.</w:t>
      </w:r>
      <w:r w:rsidRPr="00E14102">
        <w:rPr>
          <w:color w:val="000000" w:themeColor="text1"/>
          <w:sz w:val="16"/>
          <w:szCs w:val="16"/>
          <w:vertAlign w:val="superscript"/>
        </w:rPr>
        <w:t>116</w:t>
      </w:r>
    </w:p>
    <w:p w14:paraId="7075CB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Черноморский филиал ЦКБ «Морсудопроект»</w:t>
      </w:r>
    </w:p>
    <w:p w14:paraId="720D49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1950-х г. здесь разработан проект достройки танкера типа «Моссовет» «Урал» с заменой дизельной установки на дизель-электрическую (11982).</w:t>
      </w:r>
    </w:p>
    <w:p w14:paraId="02C925A4" w14:textId="77777777" w:rsidR="00D4105E" w:rsidRPr="00E14102" w:rsidRDefault="00D4105E" w:rsidP="00E14102">
      <w:pPr>
        <w:autoSpaceDE w:val="0"/>
        <w:autoSpaceDN w:val="0"/>
        <w:adjustRightInd w:val="0"/>
        <w:jc w:val="both"/>
        <w:rPr>
          <w:color w:val="000000" w:themeColor="text1"/>
          <w:sz w:val="16"/>
          <w:szCs w:val="16"/>
        </w:rPr>
      </w:pPr>
    </w:p>
    <w:p w14:paraId="79B5C75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DAD2861" w14:textId="77777777" w:rsidR="00D4105E" w:rsidRPr="00E14102" w:rsidRDefault="00D4105E" w:rsidP="00E14102">
      <w:pPr>
        <w:autoSpaceDE w:val="0"/>
        <w:autoSpaceDN w:val="0"/>
        <w:adjustRightInd w:val="0"/>
        <w:jc w:val="both"/>
        <w:rPr>
          <w:iCs/>
          <w:color w:val="000000" w:themeColor="text1"/>
          <w:sz w:val="16"/>
          <w:szCs w:val="16"/>
        </w:rPr>
      </w:pPr>
    </w:p>
    <w:p w14:paraId="06F2DE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августа 1935 во Франции создан Антифашистский союз (4962).</w:t>
      </w:r>
    </w:p>
    <w:p w14:paraId="2E54056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86039B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E937155" w14:textId="77777777" w:rsidR="00D4105E" w:rsidRPr="00E14102" w:rsidRDefault="00D4105E" w:rsidP="00E14102">
      <w:pPr>
        <w:autoSpaceDE w:val="0"/>
        <w:autoSpaceDN w:val="0"/>
        <w:adjustRightInd w:val="0"/>
        <w:jc w:val="both"/>
        <w:rPr>
          <w:iCs/>
          <w:color w:val="000000" w:themeColor="text1"/>
          <w:sz w:val="16"/>
          <w:szCs w:val="16"/>
        </w:rPr>
      </w:pPr>
    </w:p>
    <w:p w14:paraId="096F9E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августа 1935 закончились испытания самолета И7 N 4449 (эталон на 1933 год) с мотором М17 N 262646 Е=7,3 винты Д=3.112 Н=2.8 и Н=2.77, которые проходили с 1 августа 1935</w:t>
      </w:r>
    </w:p>
    <w:p w14:paraId="1A2AE4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7A7BA3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Поверка летных данных самолета И7 М17 N 4449 эталона на 1933 год после улучшения обтекателей узлов стоек, новых моторных капотов и установки обтекателей на колесах.</w:t>
      </w:r>
    </w:p>
    <w:p w14:paraId="743E80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1CE079B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 И7 М17 N 4449 может быть утвержден как эталон на 1933 год после устранения дефектов.</w:t>
      </w:r>
    </w:p>
    <w:p w14:paraId="6AAA26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1C8DAE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 Часовщиков</w:t>
      </w:r>
    </w:p>
    <w:p w14:paraId="0272D8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 Кокинаки</w:t>
      </w:r>
    </w:p>
    <w:p w14:paraId="0AF6BB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Календарь прохождения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3599D" w:rsidRPr="00E14102" w14:paraId="74FF644A" w14:textId="77777777">
        <w:tc>
          <w:tcPr>
            <w:tcW w:w="5636" w:type="dxa"/>
            <w:tcBorders>
              <w:top w:val="single" w:sz="12" w:space="0" w:color="auto"/>
            </w:tcBorders>
          </w:tcPr>
          <w:p w14:paraId="36812B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получен с завода N 1</w:t>
            </w:r>
          </w:p>
        </w:tc>
        <w:tc>
          <w:tcPr>
            <w:tcW w:w="5636" w:type="dxa"/>
            <w:tcBorders>
              <w:top w:val="single" w:sz="12" w:space="0" w:color="auto"/>
            </w:tcBorders>
          </w:tcPr>
          <w:p w14:paraId="146801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r>
      <w:tr w:rsidR="00E3599D" w:rsidRPr="00E14102" w14:paraId="0AE8C3C2" w14:textId="77777777">
        <w:tc>
          <w:tcPr>
            <w:tcW w:w="5636" w:type="dxa"/>
          </w:tcPr>
          <w:p w14:paraId="04B751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километраж по программе</w:t>
            </w:r>
          </w:p>
        </w:tc>
        <w:tc>
          <w:tcPr>
            <w:tcW w:w="5636" w:type="dxa"/>
          </w:tcPr>
          <w:p w14:paraId="07CE28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августа 1935 года</w:t>
            </w:r>
          </w:p>
        </w:tc>
      </w:tr>
      <w:tr w:rsidR="00E3599D" w:rsidRPr="00E14102" w14:paraId="4D2B472D" w14:textId="77777777">
        <w:tc>
          <w:tcPr>
            <w:tcW w:w="5636" w:type="dxa"/>
          </w:tcPr>
          <w:p w14:paraId="1EAAA8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Скороподъемность и скорости по высотам.</w:t>
            </w:r>
          </w:p>
        </w:tc>
        <w:tc>
          <w:tcPr>
            <w:tcW w:w="5636" w:type="dxa"/>
          </w:tcPr>
          <w:p w14:paraId="141A39E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D87BE1D" w14:textId="77777777">
        <w:tc>
          <w:tcPr>
            <w:tcW w:w="5636" w:type="dxa"/>
          </w:tcPr>
          <w:p w14:paraId="10566C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Винт Н=2,8.</w:t>
            </w:r>
          </w:p>
        </w:tc>
        <w:tc>
          <w:tcPr>
            <w:tcW w:w="5636" w:type="dxa"/>
          </w:tcPr>
          <w:p w14:paraId="5E898A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августа 1935 года</w:t>
            </w:r>
          </w:p>
        </w:tc>
      </w:tr>
      <w:tr w:rsidR="00E3599D" w:rsidRPr="00E14102" w14:paraId="51EF2DEF" w14:textId="77777777">
        <w:tc>
          <w:tcPr>
            <w:tcW w:w="5636" w:type="dxa"/>
          </w:tcPr>
          <w:p w14:paraId="3B9534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Скороподъемность и скорости по высотам.</w:t>
            </w:r>
          </w:p>
        </w:tc>
        <w:tc>
          <w:tcPr>
            <w:tcW w:w="5636" w:type="dxa"/>
          </w:tcPr>
          <w:p w14:paraId="660B134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8620EBF" w14:textId="77777777">
        <w:tc>
          <w:tcPr>
            <w:tcW w:w="5636" w:type="dxa"/>
          </w:tcPr>
          <w:p w14:paraId="5FC20A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Винт Н=2,77.</w:t>
            </w:r>
          </w:p>
        </w:tc>
        <w:tc>
          <w:tcPr>
            <w:tcW w:w="5636" w:type="dxa"/>
          </w:tcPr>
          <w:p w14:paraId="322A35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августа 1935 года</w:t>
            </w:r>
          </w:p>
        </w:tc>
      </w:tr>
      <w:tr w:rsidR="00E3599D" w:rsidRPr="00E14102" w14:paraId="14F58B51" w14:textId="77777777">
        <w:tc>
          <w:tcPr>
            <w:tcW w:w="5636" w:type="dxa"/>
          </w:tcPr>
          <w:p w14:paraId="04DC81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Второй километраж по программе.</w:t>
            </w:r>
          </w:p>
        </w:tc>
        <w:tc>
          <w:tcPr>
            <w:tcW w:w="5636" w:type="dxa"/>
          </w:tcPr>
          <w:p w14:paraId="1A644D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августа 1935 года</w:t>
            </w:r>
          </w:p>
        </w:tc>
      </w:tr>
      <w:tr w:rsidR="00E3599D" w:rsidRPr="00E14102" w14:paraId="717394BA" w14:textId="77777777">
        <w:tc>
          <w:tcPr>
            <w:tcW w:w="5636" w:type="dxa"/>
          </w:tcPr>
          <w:p w14:paraId="2AEE52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Километраж без обтекателей на колесах.</w:t>
            </w:r>
          </w:p>
        </w:tc>
        <w:tc>
          <w:tcPr>
            <w:tcW w:w="5636" w:type="dxa"/>
          </w:tcPr>
          <w:p w14:paraId="13EC75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года</w:t>
            </w:r>
          </w:p>
        </w:tc>
      </w:tr>
      <w:tr w:rsidR="00E3599D" w:rsidRPr="00E14102" w14:paraId="14BB48A5" w14:textId="77777777">
        <w:tc>
          <w:tcPr>
            <w:tcW w:w="5636" w:type="dxa"/>
          </w:tcPr>
          <w:p w14:paraId="7A1D88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учебными бомбами.</w:t>
            </w:r>
          </w:p>
        </w:tc>
        <w:tc>
          <w:tcPr>
            <w:tcW w:w="5636" w:type="dxa"/>
          </w:tcPr>
          <w:p w14:paraId="5A15E3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года</w:t>
            </w:r>
          </w:p>
        </w:tc>
      </w:tr>
      <w:tr w:rsidR="00E3599D" w:rsidRPr="00E14102" w14:paraId="7FC50CA2" w14:textId="77777777">
        <w:tc>
          <w:tcPr>
            <w:tcW w:w="5636" w:type="dxa"/>
            <w:tcBorders>
              <w:bottom w:val="single" w:sz="12" w:space="0" w:color="auto"/>
            </w:tcBorders>
          </w:tcPr>
          <w:p w14:paraId="6FDE9F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сдан на завод N 1.</w:t>
            </w:r>
          </w:p>
        </w:tc>
        <w:tc>
          <w:tcPr>
            <w:tcW w:w="5636" w:type="dxa"/>
            <w:tcBorders>
              <w:bottom w:val="single" w:sz="12" w:space="0" w:color="auto"/>
            </w:tcBorders>
          </w:tcPr>
          <w:p w14:paraId="4A8F8A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августа 1935 года</w:t>
            </w:r>
          </w:p>
        </w:tc>
      </w:tr>
    </w:tbl>
    <w:p w14:paraId="4582A9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(3977).</w:t>
      </w:r>
    </w:p>
    <w:p w14:paraId="409EF748" w14:textId="77777777" w:rsidR="00D4105E" w:rsidRPr="00E14102" w:rsidRDefault="00D4105E" w:rsidP="00E14102">
      <w:pPr>
        <w:autoSpaceDE w:val="0"/>
        <w:autoSpaceDN w:val="0"/>
        <w:adjustRightInd w:val="0"/>
        <w:jc w:val="both"/>
        <w:rPr>
          <w:color w:val="000000" w:themeColor="text1"/>
          <w:sz w:val="16"/>
          <w:szCs w:val="16"/>
        </w:rPr>
      </w:pPr>
    </w:p>
    <w:p w14:paraId="2D816A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августа 1935 от УВВС в НКАП был получен акт по результатам госиспытаний МДР-4 с тремя моторами М-34Р, в ходе которых был выявлен ряд мелких и средних дефектов, устранение которых требует большого числа переделок (подлежат изменению 2000 чертежей). В числе дефектов имеется два серьезных – изменение центровки самолета и плохая остойчивость на воде. После устранения всех дефектов самолет должен пройти вновь госиспытание (3475).</w:t>
      </w:r>
    </w:p>
    <w:p w14:paraId="58CCBB4C" w14:textId="77777777" w:rsidR="00D4105E" w:rsidRPr="00E14102" w:rsidRDefault="00D4105E" w:rsidP="00E14102">
      <w:pPr>
        <w:autoSpaceDE w:val="0"/>
        <w:autoSpaceDN w:val="0"/>
        <w:adjustRightInd w:val="0"/>
        <w:jc w:val="both"/>
        <w:rPr>
          <w:color w:val="000000" w:themeColor="text1"/>
          <w:sz w:val="16"/>
          <w:szCs w:val="16"/>
        </w:rPr>
      </w:pPr>
    </w:p>
    <w:p w14:paraId="413A34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августа 1935 С.А.Леваневский и ш В.И.Левченко стартовали из Лос-Анжелоса в СССР на амфибии Валти V-JAS с 2х750 нр СССР Н-208. Садился в Сан-Франциско, Сиэтле и Номе. Потом с трудом перелетел океан и приводнился в Уэлене. До Тикси летел над Арктическим побережье с посадкой в бухте Амбарчик, где встретился с Дорнье-Валь Молокова. 30 августа прибыл в Жиганск, а 2 сентября - в Красноярск и 13 сентября - в Москву (99,202).</w:t>
      </w:r>
    </w:p>
    <w:p w14:paraId="70EA5C62" w14:textId="77777777" w:rsidR="00D4105E" w:rsidRPr="00E14102" w:rsidRDefault="00D4105E" w:rsidP="00E14102">
      <w:pPr>
        <w:autoSpaceDE w:val="0"/>
        <w:autoSpaceDN w:val="0"/>
        <w:adjustRightInd w:val="0"/>
        <w:jc w:val="both"/>
        <w:rPr>
          <w:color w:val="000000" w:themeColor="text1"/>
          <w:sz w:val="16"/>
          <w:szCs w:val="16"/>
        </w:rPr>
      </w:pPr>
    </w:p>
    <w:p w14:paraId="69E721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августа 1935 был испытан стратостат-парашют Т.М.Кулиниченко. Поднялся на 5000 м (271,154) под управлением В.С.Лысова и С.С.Модестова поднялись на 5200 м, а оттуда, шар, превращенный в парашют, спускался до 1800. Потом, сбрасывали балласт. Повторили 6 октября 1935 (438,693).</w:t>
      </w:r>
    </w:p>
    <w:p w14:paraId="62EE9679" w14:textId="77777777" w:rsidR="00D4105E" w:rsidRPr="00E14102" w:rsidRDefault="00D4105E" w:rsidP="00E14102">
      <w:pPr>
        <w:autoSpaceDE w:val="0"/>
        <w:autoSpaceDN w:val="0"/>
        <w:adjustRightInd w:val="0"/>
        <w:jc w:val="both"/>
        <w:rPr>
          <w:color w:val="000000" w:themeColor="text1"/>
          <w:sz w:val="16"/>
          <w:szCs w:val="16"/>
        </w:rPr>
      </w:pPr>
    </w:p>
    <w:p w14:paraId="5FF85AD3" w14:textId="77777777" w:rsidR="00710927" w:rsidRPr="00E14102" w:rsidRDefault="00710927" w:rsidP="00E14102">
      <w:pPr>
        <w:jc w:val="both"/>
        <w:rPr>
          <w:color w:val="0070C0"/>
          <w:sz w:val="16"/>
          <w:szCs w:val="16"/>
        </w:rPr>
      </w:pPr>
      <w:r w:rsidRPr="00E14102">
        <w:rPr>
          <w:color w:val="0070C0"/>
          <w:sz w:val="16"/>
          <w:szCs w:val="16"/>
        </w:rPr>
        <w:t>5 августа 1935 г. четвёртый субстратосферный полёт, выполненный Г.А. Про</w:t>
      </w:r>
      <w:r w:rsidRPr="00E14102">
        <w:rPr>
          <w:color w:val="0070C0"/>
          <w:sz w:val="16"/>
          <w:szCs w:val="16"/>
        </w:rPr>
        <w:softHyphen/>
        <w:t>кофьевым, А.М. Тропиным и И.И. Зыковым, начался в 11.00, во время наибольшего разогре</w:t>
      </w:r>
      <w:r w:rsidRPr="00E14102">
        <w:rPr>
          <w:color w:val="0070C0"/>
          <w:sz w:val="16"/>
          <w:szCs w:val="16"/>
        </w:rPr>
        <w:softHyphen/>
        <w:t>ва газа. На этот раз спуск произвели с помощью клапана, в то время как предыдущие три полёта завершались спуском без выпуска газа из оболоч</w:t>
      </w:r>
      <w:r w:rsidRPr="00E14102">
        <w:rPr>
          <w:color w:val="0070C0"/>
          <w:sz w:val="16"/>
          <w:szCs w:val="16"/>
        </w:rPr>
        <w:softHyphen/>
        <w:t>ки. Последующие полёты, как правило, начина</w:t>
      </w:r>
      <w:r w:rsidRPr="00E14102">
        <w:rPr>
          <w:color w:val="0070C0"/>
          <w:sz w:val="16"/>
          <w:szCs w:val="16"/>
        </w:rPr>
        <w:softHyphen/>
        <w:t>лись около 10.35 и, самое позднее, в 15.00. Всего в августе 1935 г. состоялось пять полётов, при</w:t>
      </w:r>
      <w:r w:rsidRPr="00E14102">
        <w:rPr>
          <w:color w:val="0070C0"/>
          <w:sz w:val="16"/>
          <w:szCs w:val="16"/>
        </w:rPr>
        <w:softHyphen/>
        <w:t>чём 18 августа была достигнута высота 9800 м (20120).</w:t>
      </w:r>
    </w:p>
    <w:p w14:paraId="55C12BD7" w14:textId="77777777" w:rsidR="00710927" w:rsidRPr="00E14102" w:rsidRDefault="00710927" w:rsidP="00E14102">
      <w:pPr>
        <w:jc w:val="both"/>
        <w:rPr>
          <w:color w:val="0070C0"/>
          <w:sz w:val="16"/>
          <w:szCs w:val="16"/>
        </w:rPr>
      </w:pPr>
    </w:p>
    <w:p w14:paraId="6EBBB31D" w14:textId="77777777" w:rsidR="00710927" w:rsidRPr="00E14102" w:rsidRDefault="00710927" w:rsidP="00E14102">
      <w:pPr>
        <w:jc w:val="both"/>
        <w:rPr>
          <w:color w:val="0070C0"/>
          <w:sz w:val="16"/>
          <w:szCs w:val="16"/>
        </w:rPr>
      </w:pPr>
      <w:r w:rsidRPr="00E14102">
        <w:rPr>
          <w:color w:val="0070C0"/>
          <w:sz w:val="16"/>
          <w:szCs w:val="16"/>
        </w:rPr>
        <w:t>5 ав</w:t>
      </w:r>
      <w:r w:rsidRPr="00E14102">
        <w:rPr>
          <w:color w:val="0070C0"/>
          <w:sz w:val="16"/>
          <w:szCs w:val="16"/>
        </w:rPr>
        <w:softHyphen/>
        <w:t>густа 1935 г. в Москве после успешных наземных испытаний состоялся первый полёт летающей модели стратостата-парашюта СССР ВР-60 «Комсомол» - АП-1 (полный объём оболочки которой был 1850 м3, а газовый объём (полный объём минус объём шахты) — 1685 м3. Высота аэростата составляла 26 м.).</w:t>
      </w:r>
    </w:p>
    <w:p w14:paraId="31D361D6" w14:textId="77777777" w:rsidR="00710927" w:rsidRPr="00E14102" w:rsidRDefault="00710927" w:rsidP="00E14102">
      <w:pPr>
        <w:jc w:val="both"/>
        <w:rPr>
          <w:color w:val="0070C0"/>
          <w:sz w:val="16"/>
          <w:szCs w:val="16"/>
        </w:rPr>
      </w:pPr>
      <w:r w:rsidRPr="00E14102">
        <w:rPr>
          <w:color w:val="0070C0"/>
          <w:sz w:val="16"/>
          <w:szCs w:val="16"/>
        </w:rPr>
        <w:t>Стратостат-парашют «СССР ВР-60» спроек</w:t>
      </w:r>
      <w:r w:rsidRPr="00E14102">
        <w:rPr>
          <w:color w:val="0070C0"/>
          <w:sz w:val="16"/>
          <w:szCs w:val="16"/>
        </w:rPr>
        <w:softHyphen/>
        <w:t>тировали в ДУК'е студенты-дипломники Волков, Халатов и Кукос. В дальнейшем, став инженера</w:t>
      </w:r>
      <w:r w:rsidRPr="00E14102">
        <w:rPr>
          <w:color w:val="0070C0"/>
          <w:sz w:val="16"/>
          <w:szCs w:val="16"/>
        </w:rPr>
        <w:softHyphen/>
        <w:t>ми, Волков и Халатов доработали этот проект. Конструктивное решение оболочки предложил начальник гидростатической лаборатории ДУКа Т. И. Кулинченко, руководивший её изготовле</w:t>
      </w:r>
      <w:r w:rsidRPr="00E14102">
        <w:rPr>
          <w:color w:val="0070C0"/>
          <w:sz w:val="16"/>
          <w:szCs w:val="16"/>
        </w:rPr>
        <w:softHyphen/>
        <w:t>нием.</w:t>
      </w:r>
    </w:p>
    <w:p w14:paraId="155D23CA" w14:textId="77777777" w:rsidR="00710927" w:rsidRPr="00E14102" w:rsidRDefault="00710927" w:rsidP="00E14102">
      <w:pPr>
        <w:jc w:val="both"/>
        <w:rPr>
          <w:color w:val="0070C0"/>
          <w:sz w:val="16"/>
          <w:szCs w:val="16"/>
        </w:rPr>
      </w:pPr>
      <w:r w:rsidRPr="00E14102">
        <w:rPr>
          <w:color w:val="0070C0"/>
          <w:sz w:val="16"/>
          <w:szCs w:val="16"/>
        </w:rPr>
        <w:t>Для выяснения нагрузок, действующих на оболочку аэростата, провели гидростатические испытания её модели в масштабе 1:30. Прово</w:t>
      </w:r>
      <w:r w:rsidRPr="00E14102">
        <w:rPr>
          <w:color w:val="0070C0"/>
          <w:sz w:val="16"/>
          <w:szCs w:val="16"/>
        </w:rPr>
        <w:softHyphen/>
        <w:t>дились продувки в аэродинамической трубе де</w:t>
      </w:r>
      <w:r w:rsidRPr="00E14102">
        <w:rPr>
          <w:color w:val="0070C0"/>
          <w:sz w:val="16"/>
          <w:szCs w:val="16"/>
        </w:rPr>
        <w:softHyphen/>
        <w:t>ревянных моделей, соответствующих разным степеням выполнения. Формы оболочки аэро</w:t>
      </w:r>
      <w:r w:rsidRPr="00E14102">
        <w:rPr>
          <w:color w:val="0070C0"/>
          <w:sz w:val="16"/>
          <w:szCs w:val="16"/>
        </w:rPr>
        <w:softHyphen/>
        <w:t>стата-парашюта изучались на модели, изготов</w:t>
      </w:r>
      <w:r w:rsidRPr="00E14102">
        <w:rPr>
          <w:color w:val="0070C0"/>
          <w:sz w:val="16"/>
          <w:szCs w:val="16"/>
        </w:rPr>
        <w:softHyphen/>
        <w:t>ленной из бодрюша.</w:t>
      </w:r>
    </w:p>
    <w:p w14:paraId="3132B614" w14:textId="77777777" w:rsidR="00710927" w:rsidRPr="00E14102" w:rsidRDefault="00710927" w:rsidP="00E14102">
      <w:pPr>
        <w:jc w:val="both"/>
        <w:rPr>
          <w:color w:val="0070C0"/>
          <w:sz w:val="16"/>
          <w:szCs w:val="16"/>
        </w:rPr>
      </w:pPr>
      <w:r w:rsidRPr="00E14102">
        <w:rPr>
          <w:color w:val="0070C0"/>
          <w:sz w:val="16"/>
          <w:szCs w:val="16"/>
        </w:rPr>
        <w:t>Для проверки конструкции стратостата-па</w:t>
      </w:r>
      <w:r w:rsidRPr="00E14102">
        <w:rPr>
          <w:color w:val="0070C0"/>
          <w:sz w:val="16"/>
          <w:szCs w:val="16"/>
        </w:rPr>
        <w:softHyphen/>
        <w:t>рашюта построили АП-1</w:t>
      </w:r>
    </w:p>
    <w:p w14:paraId="017FF1DD" w14:textId="77777777" w:rsidR="00710927" w:rsidRPr="00E14102" w:rsidRDefault="00710927" w:rsidP="00E14102">
      <w:pPr>
        <w:jc w:val="both"/>
        <w:rPr>
          <w:color w:val="0070C0"/>
          <w:sz w:val="16"/>
          <w:szCs w:val="16"/>
        </w:rPr>
      </w:pPr>
      <w:r w:rsidRPr="00E14102">
        <w:rPr>
          <w:color w:val="0070C0"/>
          <w:sz w:val="16"/>
          <w:szCs w:val="16"/>
        </w:rPr>
        <w:t>Под</w:t>
      </w:r>
      <w:r w:rsidRPr="00E14102">
        <w:rPr>
          <w:color w:val="0070C0"/>
          <w:sz w:val="16"/>
          <w:szCs w:val="16"/>
        </w:rPr>
        <w:softHyphen/>
        <w:t>нявшись на высоту 5000 м экипаж АП-1 в составе командира С.С. Модестова и пилота-наблюдателя В.С. Лысова открыл на 6 се</w:t>
      </w:r>
      <w:r w:rsidRPr="00E14102">
        <w:rPr>
          <w:color w:val="0070C0"/>
          <w:sz w:val="16"/>
          <w:szCs w:val="16"/>
        </w:rPr>
        <w:softHyphen/>
        <w:t>кунд клапан, после чего аэростат начал снижать</w:t>
      </w:r>
      <w:r w:rsidRPr="00E14102">
        <w:rPr>
          <w:color w:val="0070C0"/>
          <w:sz w:val="16"/>
          <w:szCs w:val="16"/>
        </w:rPr>
        <w:softHyphen/>
        <w:t>ся со скоростью 5 м/с. Сразу же началось обра</w:t>
      </w:r>
      <w:r w:rsidRPr="00E14102">
        <w:rPr>
          <w:color w:val="0070C0"/>
          <w:sz w:val="16"/>
          <w:szCs w:val="16"/>
        </w:rPr>
        <w:softHyphen/>
        <w:t>зование парашюта, и скорость упала до 3,5 м/с. Между 4000 и 3000 м клапан открыли ещё на 1,5 с. После некоторого нарастания скорость сно</w:t>
      </w:r>
      <w:r w:rsidRPr="00E14102">
        <w:rPr>
          <w:color w:val="0070C0"/>
          <w:sz w:val="16"/>
          <w:szCs w:val="16"/>
        </w:rPr>
        <w:softHyphen/>
        <w:t>ва уменьшилась до 3 м/с, и оболочка приняла более близкую к парашюту форму. При парашю</w:t>
      </w:r>
      <w:r w:rsidRPr="00E14102">
        <w:rPr>
          <w:color w:val="0070C0"/>
          <w:sz w:val="16"/>
          <w:szCs w:val="16"/>
        </w:rPr>
        <w:softHyphen/>
        <w:t>тировании вся система вела себя устойчиво, без колебаний, раскачиваний или перекоса шахты. С 1800 м снижение тормозилось сбрасыванием балласта. Через 3 ч 25 мин полёта аэростат при</w:t>
      </w:r>
      <w:r w:rsidRPr="00E14102">
        <w:rPr>
          <w:color w:val="0070C0"/>
          <w:sz w:val="16"/>
          <w:szCs w:val="16"/>
        </w:rPr>
        <w:softHyphen/>
        <w:t>землился в нескольких километрах от г. Воскре сенска Московской области (20120).</w:t>
      </w:r>
    </w:p>
    <w:p w14:paraId="246E6189" w14:textId="77777777" w:rsidR="00710927" w:rsidRPr="00E14102" w:rsidRDefault="00710927" w:rsidP="00E14102">
      <w:pPr>
        <w:jc w:val="both"/>
        <w:rPr>
          <w:color w:val="0070C0"/>
          <w:sz w:val="16"/>
          <w:szCs w:val="16"/>
        </w:rPr>
      </w:pPr>
    </w:p>
    <w:p w14:paraId="760F95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августа 1935 СНК постановил запретить выпуск на рекордные и групповые прыжки без разрешения НКО, т.к. азарт был слишком сильным (438,693).</w:t>
      </w:r>
    </w:p>
    <w:p w14:paraId="4EEAC8CD" w14:textId="77777777" w:rsidR="00D4105E" w:rsidRPr="00E14102" w:rsidRDefault="00D4105E" w:rsidP="00E14102">
      <w:pPr>
        <w:autoSpaceDE w:val="0"/>
        <w:autoSpaceDN w:val="0"/>
        <w:adjustRightInd w:val="0"/>
        <w:jc w:val="both"/>
        <w:rPr>
          <w:color w:val="000000" w:themeColor="text1"/>
          <w:sz w:val="16"/>
          <w:szCs w:val="16"/>
        </w:rPr>
      </w:pPr>
    </w:p>
    <w:p w14:paraId="20263F8F" w14:textId="77777777" w:rsidR="008A0D6C"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66117AE" w14:textId="77777777" w:rsidR="008A0D6C" w:rsidRPr="00E14102" w:rsidRDefault="008A0D6C" w:rsidP="00E14102">
      <w:pPr>
        <w:autoSpaceDE w:val="0"/>
        <w:autoSpaceDN w:val="0"/>
        <w:adjustRightInd w:val="0"/>
        <w:jc w:val="both"/>
        <w:rPr>
          <w:iCs/>
          <w:color w:val="000000" w:themeColor="text1"/>
          <w:sz w:val="16"/>
          <w:szCs w:val="16"/>
        </w:rPr>
      </w:pPr>
    </w:p>
    <w:p w14:paraId="05D65A09" w14:textId="77777777" w:rsidR="008A0D6C" w:rsidRPr="00E14102" w:rsidRDefault="008A0D6C" w:rsidP="00E14102">
      <w:pPr>
        <w:pStyle w:val="rtejustify"/>
        <w:spacing w:before="0" w:after="0"/>
        <w:rPr>
          <w:color w:val="000000" w:themeColor="text1"/>
          <w:sz w:val="16"/>
          <w:szCs w:val="16"/>
        </w:rPr>
      </w:pPr>
      <w:r w:rsidRPr="00E14102">
        <w:rPr>
          <w:rStyle w:val="a6"/>
          <w:bCs/>
          <w:i w:val="0"/>
          <w:color w:val="000000" w:themeColor="text1"/>
          <w:sz w:val="16"/>
          <w:szCs w:val="16"/>
        </w:rPr>
        <w:t>5 августа</w:t>
      </w:r>
      <w:r w:rsidRPr="00E14102">
        <w:rPr>
          <w:color w:val="000000" w:themeColor="text1"/>
          <w:sz w:val="16"/>
          <w:szCs w:val="16"/>
        </w:rPr>
        <w:t xml:space="preserve">. </w:t>
      </w:r>
      <w:hyperlink r:id="rId168" w:history="1">
        <w:r w:rsidRPr="00E14102">
          <w:rPr>
            <w:rStyle w:val="a4"/>
            <w:color w:val="000000" w:themeColor="text1"/>
            <w:sz w:val="16"/>
            <w:szCs w:val="16"/>
            <w:u w:val="none"/>
          </w:rPr>
          <w:t>Постановление СТО СССР № С</w:t>
        </w:r>
        <w:r w:rsidRPr="00E14102">
          <w:rPr>
            <w:rStyle w:val="a4"/>
            <w:color w:val="000000" w:themeColor="text1"/>
            <w:sz w:val="16"/>
            <w:szCs w:val="16"/>
            <w:u w:val="none"/>
          </w:rPr>
          <w:noBreakHyphen/>
          <w:t>103сс «О порядке сдачи НКТПромом выстрелов Наркомату обороны»</w:t>
        </w:r>
      </w:hyperlink>
      <w:r w:rsidRPr="00E14102">
        <w:rPr>
          <w:color w:val="000000" w:themeColor="text1"/>
          <w:sz w:val="16"/>
          <w:szCs w:val="16"/>
        </w:rPr>
        <w:t>. (ГА РФ. Ф. Р</w:t>
      </w:r>
      <w:r w:rsidRPr="00E14102">
        <w:rPr>
          <w:color w:val="000000" w:themeColor="text1"/>
          <w:sz w:val="16"/>
          <w:szCs w:val="16"/>
        </w:rPr>
        <w:noBreakHyphen/>
        <w:t>8418. Оп. 28. Д. 7. Л. 71) (15460).</w:t>
      </w:r>
    </w:p>
    <w:p w14:paraId="0B48CD6F" w14:textId="77777777" w:rsidR="008A0D6C" w:rsidRPr="00E14102" w:rsidRDefault="008A0D6C" w:rsidP="00E14102">
      <w:pPr>
        <w:pStyle w:val="rtejustify"/>
        <w:spacing w:before="0" w:after="0"/>
        <w:rPr>
          <w:color w:val="000000" w:themeColor="text1"/>
          <w:sz w:val="16"/>
          <w:szCs w:val="16"/>
        </w:rPr>
      </w:pPr>
    </w:p>
    <w:p w14:paraId="02FDDDB7" w14:textId="77777777" w:rsidR="008A0D6C" w:rsidRPr="00E14102" w:rsidRDefault="008A0D6C" w:rsidP="00E14102">
      <w:pPr>
        <w:jc w:val="both"/>
        <w:rPr>
          <w:rStyle w:val="a6"/>
          <w:i w:val="0"/>
          <w:color w:val="000000" w:themeColor="text1"/>
          <w:sz w:val="16"/>
          <w:szCs w:val="16"/>
        </w:rPr>
      </w:pPr>
      <w:r w:rsidRPr="00E14102">
        <w:rPr>
          <w:rStyle w:val="a6"/>
          <w:i w:val="0"/>
          <w:color w:val="000000" w:themeColor="text1"/>
          <w:sz w:val="16"/>
          <w:szCs w:val="16"/>
        </w:rPr>
        <w:lastRenderedPageBreak/>
        <w:t xml:space="preserve">5 августа 1935 г. </w:t>
      </w:r>
      <w:r w:rsidRPr="00E14102">
        <w:rPr>
          <w:color w:val="000000" w:themeColor="text1"/>
          <w:sz w:val="16"/>
          <w:szCs w:val="16"/>
        </w:rPr>
        <w:t>Постановление СТО СССР № С-103сс «О порядке сдачи НКТПромом выстрелов Наркомату обороны»</w:t>
      </w:r>
    </w:p>
    <w:p w14:paraId="602F6668" w14:textId="77777777" w:rsidR="008A0D6C" w:rsidRPr="00E14102" w:rsidRDefault="008A0D6C"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15789514" w14:textId="77777777" w:rsidR="008A0D6C" w:rsidRPr="00E14102" w:rsidRDefault="008A0D6C" w:rsidP="00E14102">
      <w:pPr>
        <w:pStyle w:val="rtejustify"/>
        <w:spacing w:before="0" w:after="0"/>
        <w:rPr>
          <w:color w:val="000000" w:themeColor="text1"/>
          <w:sz w:val="16"/>
          <w:szCs w:val="16"/>
        </w:rPr>
      </w:pPr>
      <w:r w:rsidRPr="00E14102">
        <w:rPr>
          <w:color w:val="000000" w:themeColor="text1"/>
          <w:sz w:val="16"/>
          <w:szCs w:val="16"/>
        </w:rPr>
        <w:t>Совет труда и обороны постановляет:</w:t>
      </w:r>
    </w:p>
    <w:p w14:paraId="4DFBDCF5" w14:textId="77777777" w:rsidR="008A0D6C" w:rsidRPr="00E14102" w:rsidRDefault="008A0D6C" w:rsidP="00E14102">
      <w:pPr>
        <w:pStyle w:val="rtejustify"/>
        <w:spacing w:before="0" w:after="0"/>
        <w:rPr>
          <w:color w:val="000000" w:themeColor="text1"/>
          <w:sz w:val="16"/>
          <w:szCs w:val="16"/>
        </w:rPr>
      </w:pPr>
      <w:r w:rsidRPr="00E14102">
        <w:rPr>
          <w:color w:val="000000" w:themeColor="text1"/>
          <w:sz w:val="16"/>
          <w:szCs w:val="16"/>
        </w:rPr>
        <w:t>1. Принять к сведению заявление тт. Орджоникидзе и Ворошилова, что с 1 августа с. г. НКТП сдает, а НКОбороны принимает и оплачивает согласованное количество элементов выстрела, дающее полную возможность комплектовать из них целые выстрелы в снаряжательно-сборочных мастерских НКОбороны. Кроме заказа на комплектное количество элементов промышленностью будут сданы, а Наркоматом обороны приняты (в пределах договоров 1935 г.) отдельные элементы выстрелов, идущие на доукомплектование некомплектных запасов НКОбороны.</w:t>
      </w:r>
    </w:p>
    <w:p w14:paraId="525881CA" w14:textId="77777777" w:rsidR="008A0D6C" w:rsidRPr="00E14102" w:rsidRDefault="008A0D6C" w:rsidP="00E14102">
      <w:pPr>
        <w:pStyle w:val="rtejustify"/>
        <w:spacing w:before="0" w:after="0"/>
        <w:rPr>
          <w:color w:val="000000" w:themeColor="text1"/>
          <w:sz w:val="16"/>
          <w:szCs w:val="16"/>
        </w:rPr>
      </w:pPr>
      <w:r w:rsidRPr="00E14102">
        <w:rPr>
          <w:color w:val="000000" w:themeColor="text1"/>
          <w:sz w:val="16"/>
          <w:szCs w:val="16"/>
        </w:rPr>
        <w:t>2. Установить следующий порядок заключения договоров и сдачи выстрела заводами НКТПрома — НКОбороны: а) Артиллерийское управление заключает генеральный договор с ГВМУ НКТП. б) В договор включается помесячная подача согласованных между собой элементов выстрела (снаряженный корпус снаряда, снаряженный взрыватель или трубка, гильзы, пороховые заряды) в таких количествах, из которых могут быть скомплектованы целые выстрелы, в) Заказ на отдельные элементы в договоре указывать особо.</w:t>
      </w:r>
    </w:p>
    <w:p w14:paraId="2877F39B" w14:textId="77777777" w:rsidR="008A0D6C" w:rsidRPr="00E14102" w:rsidRDefault="008A0D6C" w:rsidP="00E14102">
      <w:pPr>
        <w:pStyle w:val="rtejustify"/>
        <w:spacing w:before="0" w:after="0"/>
        <w:rPr>
          <w:color w:val="000000" w:themeColor="text1"/>
          <w:sz w:val="16"/>
          <w:szCs w:val="16"/>
        </w:rPr>
      </w:pPr>
      <w:r w:rsidRPr="00E14102">
        <w:rPr>
          <w:color w:val="000000" w:themeColor="text1"/>
          <w:sz w:val="16"/>
          <w:szCs w:val="16"/>
        </w:rPr>
        <w:t>3. В соответствии с этим установить централизованный расчет между Наркоматом обороны и Наркомтяжпромом.</w:t>
      </w:r>
    </w:p>
    <w:p w14:paraId="1CC95741" w14:textId="77777777" w:rsidR="008A0D6C" w:rsidRPr="00E14102" w:rsidRDefault="008A0D6C"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Зам. председателя Совета труда и обороны В.</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Чубарь</w:t>
      </w:r>
    </w:p>
    <w:p w14:paraId="73251933" w14:textId="77777777" w:rsidR="008A0D6C" w:rsidRPr="00E14102" w:rsidRDefault="008A0D6C"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7144A965" w14:textId="77777777" w:rsidR="008A0D6C" w:rsidRPr="00E14102" w:rsidRDefault="008A0D6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ГА РФ. Ф. Р-8418. Оп. 28. Д. 7. Л. 71. Подлинник (15351).</w:t>
      </w:r>
    </w:p>
    <w:p w14:paraId="722368DF" w14:textId="77777777" w:rsidR="008A0D6C" w:rsidRPr="00E14102" w:rsidRDefault="008A0D6C" w:rsidP="00E14102">
      <w:pPr>
        <w:jc w:val="both"/>
        <w:rPr>
          <w:color w:val="000000" w:themeColor="text1"/>
          <w:sz w:val="16"/>
          <w:szCs w:val="16"/>
        </w:rPr>
      </w:pPr>
    </w:p>
    <w:p w14:paraId="537B237A" w14:textId="77777777" w:rsidR="008F5B4C" w:rsidRPr="00E14102" w:rsidRDefault="008F5B4C" w:rsidP="00E14102">
      <w:pPr>
        <w:jc w:val="both"/>
        <w:rPr>
          <w:color w:val="000000" w:themeColor="text1"/>
          <w:sz w:val="16"/>
          <w:szCs w:val="16"/>
        </w:rPr>
      </w:pPr>
      <w:r w:rsidRPr="00E14102">
        <w:rPr>
          <w:color w:val="000000" w:themeColor="text1"/>
          <w:sz w:val="16"/>
          <w:szCs w:val="16"/>
        </w:rPr>
        <w:t>5 августа 1935 г. для оборонной промышленности было принято специальное постановление СТО (Совета труда и обороны) СССР, обязывавшее сдавать НКО лишь комплектные артиллерийские выстрелы. Борьба за комплектность находила неизменную поддержку у высшего военного руководства. Например, в 1937 г. глава НКО К.Е.Ворошилов так ответил на просьбу НКОП принять некомплектную продукцию: «С вашим предложением о приемке от НКОП элементов выстрела без средств обтюрации и с оплатой счетов до 01.08 согласиться не могу, т.к. это противоречит решениям Правительства и дезорганизует окончательную комплектацию выстрела в снаряжательно-сборочных мастерских НКО» (18627).</w:t>
      </w:r>
    </w:p>
    <w:p w14:paraId="360CF1E3" w14:textId="77777777" w:rsidR="008F5B4C" w:rsidRPr="00E14102" w:rsidRDefault="008F5B4C" w:rsidP="00E14102">
      <w:pPr>
        <w:jc w:val="both"/>
        <w:rPr>
          <w:color w:val="000000" w:themeColor="text1"/>
          <w:sz w:val="16"/>
          <w:szCs w:val="16"/>
        </w:rPr>
      </w:pPr>
    </w:p>
    <w:p w14:paraId="29A860E4" w14:textId="77777777" w:rsidR="0087226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B99D2FC" w14:textId="77777777" w:rsidR="00872260" w:rsidRPr="00E14102" w:rsidRDefault="00872260" w:rsidP="00E14102">
      <w:pPr>
        <w:autoSpaceDE w:val="0"/>
        <w:autoSpaceDN w:val="0"/>
        <w:adjustRightInd w:val="0"/>
        <w:jc w:val="both"/>
        <w:rPr>
          <w:iCs/>
          <w:color w:val="000000" w:themeColor="text1"/>
          <w:sz w:val="16"/>
          <w:szCs w:val="16"/>
        </w:rPr>
      </w:pPr>
    </w:p>
    <w:p w14:paraId="173FE451" w14:textId="77777777" w:rsidR="00872260" w:rsidRPr="00E14102" w:rsidRDefault="00872260" w:rsidP="00E14102">
      <w:pPr>
        <w:jc w:val="both"/>
        <w:rPr>
          <w:color w:val="000000" w:themeColor="text1"/>
          <w:sz w:val="16"/>
          <w:szCs w:val="16"/>
        </w:rPr>
      </w:pPr>
      <w:r w:rsidRPr="00E14102">
        <w:rPr>
          <w:color w:val="000000" w:themeColor="text1"/>
          <w:sz w:val="16"/>
          <w:szCs w:val="16"/>
        </w:rPr>
        <w:t xml:space="preserve">5 августа 1935 года на французскойм двухместном стратоплане </w:t>
      </w:r>
      <w:r w:rsidRPr="00E14102">
        <w:rPr>
          <w:color w:val="000000" w:themeColor="text1"/>
          <w:sz w:val="16"/>
          <w:szCs w:val="16"/>
          <w:lang w:val="en-US"/>
        </w:rPr>
        <w:t>F</w:t>
      </w:r>
      <w:r w:rsidRPr="00E14102">
        <w:rPr>
          <w:color w:val="000000" w:themeColor="text1"/>
          <w:sz w:val="16"/>
          <w:szCs w:val="16"/>
        </w:rPr>
        <w:t>-100</w:t>
      </w:r>
      <w:r w:rsidRPr="00E14102">
        <w:rPr>
          <w:color w:val="000000" w:themeColor="text1"/>
          <w:sz w:val="16"/>
          <w:szCs w:val="16"/>
          <w:lang w:val="en-US"/>
        </w:rPr>
        <w:t>I</w:t>
      </w:r>
      <w:r w:rsidRPr="00E14102">
        <w:rPr>
          <w:color w:val="000000" w:themeColor="text1"/>
          <w:sz w:val="16"/>
          <w:szCs w:val="16"/>
        </w:rPr>
        <w:t xml:space="preserve"> была достигнута высота 10 420 метров, по</w:t>
      </w:r>
      <w:r w:rsidRPr="00E14102">
        <w:rPr>
          <w:color w:val="000000" w:themeColor="text1"/>
          <w:sz w:val="16"/>
          <w:szCs w:val="16"/>
        </w:rPr>
        <w:softHyphen/>
        <w:t>сле чего самолет снизился до 9300 метров и по неизвестной причине перешел в пики</w:t>
      </w:r>
      <w:r w:rsidRPr="00E14102">
        <w:rPr>
          <w:color w:val="000000" w:themeColor="text1"/>
          <w:sz w:val="16"/>
          <w:szCs w:val="16"/>
        </w:rPr>
        <w:softHyphen/>
        <w:t>рование, унеся жизнь экипажа. Во Фран</w:t>
      </w:r>
      <w:r w:rsidRPr="00E14102">
        <w:rPr>
          <w:color w:val="000000" w:themeColor="text1"/>
          <w:sz w:val="16"/>
          <w:szCs w:val="16"/>
        </w:rPr>
        <w:softHyphen/>
        <w:t>ции компания «Фарман» постро</w:t>
      </w:r>
      <w:r w:rsidRPr="00E14102">
        <w:rPr>
          <w:color w:val="000000" w:themeColor="text1"/>
          <w:sz w:val="16"/>
          <w:szCs w:val="16"/>
        </w:rPr>
        <w:softHyphen/>
        <w:t xml:space="preserve">ила два двухместных стратоплана </w:t>
      </w:r>
      <w:r w:rsidRPr="00E14102">
        <w:rPr>
          <w:color w:val="000000" w:themeColor="text1"/>
          <w:sz w:val="16"/>
          <w:szCs w:val="16"/>
          <w:lang w:val="en-US"/>
        </w:rPr>
        <w:t>F</w:t>
      </w:r>
      <w:r w:rsidRPr="00E14102">
        <w:rPr>
          <w:color w:val="000000" w:themeColor="text1"/>
          <w:sz w:val="16"/>
          <w:szCs w:val="16"/>
        </w:rPr>
        <w:t xml:space="preserve">-1000 и </w:t>
      </w:r>
      <w:r w:rsidRPr="00E14102">
        <w:rPr>
          <w:color w:val="000000" w:themeColor="text1"/>
          <w:sz w:val="16"/>
          <w:szCs w:val="16"/>
          <w:lang w:val="en-US"/>
        </w:rPr>
        <w:t>F</w:t>
      </w:r>
      <w:r w:rsidRPr="00E14102">
        <w:rPr>
          <w:color w:val="000000" w:themeColor="text1"/>
          <w:sz w:val="16"/>
          <w:szCs w:val="16"/>
        </w:rPr>
        <w:t>-100</w:t>
      </w:r>
      <w:r w:rsidRPr="00E14102">
        <w:rPr>
          <w:color w:val="000000" w:themeColor="text1"/>
          <w:sz w:val="16"/>
          <w:szCs w:val="16"/>
          <w:lang w:val="en-US"/>
        </w:rPr>
        <w:t>I</w:t>
      </w:r>
      <w:r w:rsidRPr="00E14102">
        <w:rPr>
          <w:color w:val="000000" w:themeColor="text1"/>
          <w:sz w:val="16"/>
          <w:szCs w:val="16"/>
        </w:rPr>
        <w:t xml:space="preserve">, переделанные из пассажирского </w:t>
      </w:r>
      <w:r w:rsidRPr="00E14102">
        <w:rPr>
          <w:color w:val="000000" w:themeColor="text1"/>
          <w:sz w:val="16"/>
          <w:szCs w:val="16"/>
          <w:lang w:val="en-US"/>
        </w:rPr>
        <w:t>F</w:t>
      </w:r>
      <w:r w:rsidRPr="00E14102">
        <w:rPr>
          <w:color w:val="000000" w:themeColor="text1"/>
          <w:sz w:val="16"/>
          <w:szCs w:val="16"/>
        </w:rPr>
        <w:t>-190 (12725).</w:t>
      </w:r>
    </w:p>
    <w:p w14:paraId="0926B7F1" w14:textId="77777777" w:rsidR="00872260" w:rsidRPr="00E14102" w:rsidRDefault="00872260" w:rsidP="00E14102">
      <w:pPr>
        <w:jc w:val="both"/>
        <w:rPr>
          <w:color w:val="000000" w:themeColor="text1"/>
          <w:sz w:val="16"/>
          <w:szCs w:val="16"/>
        </w:rPr>
      </w:pPr>
    </w:p>
    <w:p w14:paraId="63ABA6BA" w14:textId="77777777" w:rsidR="00FC59A2" w:rsidRPr="00E14102" w:rsidRDefault="00FC59A2" w:rsidP="00E14102">
      <w:pPr>
        <w:jc w:val="both"/>
        <w:rPr>
          <w:color w:val="0070C0"/>
          <w:sz w:val="16"/>
          <w:szCs w:val="16"/>
        </w:rPr>
      </w:pPr>
      <w:r w:rsidRPr="00E14102">
        <w:rPr>
          <w:color w:val="0070C0"/>
          <w:sz w:val="16"/>
          <w:szCs w:val="16"/>
        </w:rPr>
        <w:t>5 августа 1935 французский летчик Марсель Каньо взлетает на самолете Farman F.1001 в попытке установить новый мировой рекорд высоты. Попытка заканчивается трагедией, когда одно из окон кабины F.1001 выходит из строя на высоте 10 000 метров (32 810 футов), что приводит к быстрой декомпрессии и смерти Каньо (20800).</w:t>
      </w:r>
    </w:p>
    <w:p w14:paraId="4B281964" w14:textId="77777777" w:rsidR="00FC59A2" w:rsidRPr="00E14102" w:rsidRDefault="00FC59A2" w:rsidP="00E14102">
      <w:pPr>
        <w:jc w:val="both"/>
        <w:rPr>
          <w:color w:val="0070C0"/>
          <w:sz w:val="16"/>
          <w:szCs w:val="16"/>
        </w:rPr>
      </w:pPr>
    </w:p>
    <w:p w14:paraId="2D6B5B1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A924039" w14:textId="77777777" w:rsidR="00D4105E" w:rsidRPr="00E14102" w:rsidRDefault="00D4105E" w:rsidP="00E14102">
      <w:pPr>
        <w:autoSpaceDE w:val="0"/>
        <w:autoSpaceDN w:val="0"/>
        <w:adjustRightInd w:val="0"/>
        <w:jc w:val="both"/>
        <w:rPr>
          <w:iCs/>
          <w:color w:val="000000" w:themeColor="text1"/>
          <w:sz w:val="16"/>
          <w:szCs w:val="16"/>
        </w:rPr>
      </w:pPr>
    </w:p>
    <w:p w14:paraId="27B68D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августа 1935 было решено трансформировать программу рекордного скоростного И-18 (ЦКБ-25) Н.Н.П. в истребитель И-19 (ЦКБ-33) из-за невозможности обеспечить охлаждение поверхностными радиаторами на взлетном режиме. ЦКБ-33 имел два выдвижных ражиатора (4207, 90).</w:t>
      </w:r>
    </w:p>
    <w:p w14:paraId="215B287F" w14:textId="77777777" w:rsidR="00D4105E" w:rsidRPr="00E14102" w:rsidRDefault="00D4105E" w:rsidP="00E14102">
      <w:pPr>
        <w:autoSpaceDE w:val="0"/>
        <w:autoSpaceDN w:val="0"/>
        <w:adjustRightInd w:val="0"/>
        <w:jc w:val="both"/>
        <w:rPr>
          <w:color w:val="000000" w:themeColor="text1"/>
          <w:sz w:val="16"/>
          <w:szCs w:val="16"/>
        </w:rPr>
      </w:pPr>
    </w:p>
    <w:p w14:paraId="412D4A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августа 1935 закончились гос. испытания Р-5 М-34Н. На гос. испытаниях самолет показал на высоте 3500 м скорость 306-316 км/час. При полном оборудовании разведчика и 600 кг горючего. Дальность полета не замерена. Она должна лежать в пределе 1100-1300 км (3120).</w:t>
      </w:r>
    </w:p>
    <w:p w14:paraId="019303AF" w14:textId="77777777" w:rsidR="00D4105E" w:rsidRPr="00E14102" w:rsidRDefault="00D4105E" w:rsidP="00E14102">
      <w:pPr>
        <w:autoSpaceDE w:val="0"/>
        <w:autoSpaceDN w:val="0"/>
        <w:adjustRightInd w:val="0"/>
        <w:jc w:val="both"/>
        <w:rPr>
          <w:color w:val="000000" w:themeColor="text1"/>
          <w:sz w:val="16"/>
          <w:szCs w:val="16"/>
        </w:rPr>
      </w:pPr>
    </w:p>
    <w:p w14:paraId="000103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августа 1935 Ю.Пионтковский летая с рассвета до заката сделал на УТ-1 305 взлетов и посадок.</w:t>
      </w:r>
    </w:p>
    <w:p w14:paraId="42025886" w14:textId="77777777" w:rsidR="00D4105E" w:rsidRPr="00E14102" w:rsidRDefault="00D4105E" w:rsidP="00E14102">
      <w:pPr>
        <w:autoSpaceDE w:val="0"/>
        <w:autoSpaceDN w:val="0"/>
        <w:adjustRightInd w:val="0"/>
        <w:jc w:val="both"/>
        <w:rPr>
          <w:color w:val="000000" w:themeColor="text1"/>
          <w:sz w:val="16"/>
          <w:szCs w:val="16"/>
        </w:rPr>
      </w:pPr>
    </w:p>
    <w:p w14:paraId="6F0AF5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6-15 августа 1935 был проведен Первый Всесоюзный слет парашютистов в Москве (237,175).</w:t>
      </w:r>
    </w:p>
    <w:p w14:paraId="12804F29" w14:textId="77777777" w:rsidR="00D4105E" w:rsidRPr="00E14102" w:rsidRDefault="00D4105E" w:rsidP="00E14102">
      <w:pPr>
        <w:autoSpaceDE w:val="0"/>
        <w:autoSpaceDN w:val="0"/>
        <w:adjustRightInd w:val="0"/>
        <w:jc w:val="both"/>
        <w:rPr>
          <w:color w:val="000000" w:themeColor="text1"/>
          <w:sz w:val="16"/>
          <w:szCs w:val="16"/>
        </w:rPr>
      </w:pPr>
    </w:p>
    <w:p w14:paraId="5F6992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 6 по 15 августа 1935 в Тушино был 1-й всесоюзный съезд парашютистов. 146 чел., в т.ч. 20 ж совершили 785 прыжка, из них 46 групповых и 258 затяжных и 29 ночных (438,694).</w:t>
      </w:r>
    </w:p>
    <w:p w14:paraId="70340040" w14:textId="77777777" w:rsidR="00D4105E" w:rsidRPr="00E14102" w:rsidRDefault="00D4105E" w:rsidP="00E14102">
      <w:pPr>
        <w:autoSpaceDE w:val="0"/>
        <w:autoSpaceDN w:val="0"/>
        <w:adjustRightInd w:val="0"/>
        <w:jc w:val="both"/>
        <w:rPr>
          <w:color w:val="000000" w:themeColor="text1"/>
          <w:sz w:val="16"/>
          <w:szCs w:val="16"/>
        </w:rPr>
      </w:pPr>
    </w:p>
    <w:p w14:paraId="15FA7A8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августа 1935 г. было письмо заместителя начальника вооружений, начальника Артуправления РККА Н.А.Ефимова начальнику ОБАА АУ РККА, директору РНИИ КТП, директору завода №67: «Одной из важнейших задач, выдвигаемых в настоящее время в области борьбы с бронированными объектами, является повышение бронепробиваемости авиабомб. Эта задача может быть решена путем переконструирования существующих образцов авиабомб с добавлением к ним специальной каморы с ракетным зарядом для увеличения скорости падения.</w:t>
      </w:r>
    </w:p>
    <w:p w14:paraId="453B80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практического осуществления полагаю необходимым РНИИ теперь же приступить к составлению проектов опытных образцов авиабомб с реактивной каморой с привлечением соответствующих работников завода № 67. Работу необходимо вести с таким расчетом, чтобы уже в этом же году провести заводские испытания. Начальнику ОБАА АУ составить программу и план работ, согласовав ее с РНИИ и заводом №67 представить ее мне на утверждение. Прошу дать свои соображения по затронутому вопросу, а также договориться со мной о совместном обсуждении».</w:t>
      </w:r>
    </w:p>
    <w:p w14:paraId="16C951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Между тем прослеживается достаточность характеристик боеприпасов, проектируемых для борьбы с конкретными целями. Из объяснительной записки к проекту БЧ модели 316 бронебойной ракетной авиабомбы калибра 304 мм. Исполнители - начальник группы «Б» Барденштейн, инженер группы «Б» Груздев. «В настоящее время на всех бронированных кораблях (особенно на строящихся) заметна тенденция к увеличению палубною бронирования. В качестве примера можно привести такие корабли, как линкор «Нельсон» (палубная броня 156 мм), линкор «Нагато» (палубная броня 177 мм), заложенный во Франции линкор «Франс» (палубная броня 203 мм). Подобное развитие брони очевидно свидетельствует о стремлении защитить корабль от такого мощного противника, как бомбардировочная авиация.</w:t>
      </w:r>
    </w:p>
    <w:p w14:paraId="44364C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Рассмотрение диаграмм бронепробиваемости наиболее мощных артснарядов показывает, что в интервалах боевых дистанций ни один из них не в состоянии пробить подобную броню. С другой стороны, рассмотрение энергии удара авиабомбы о броню также не даст удовлетворительных результатов. К примеру, чтобы пробить 8-дюймовую палубу, необходимо бомбить двухтонными авиабомбами с высоты 5000 м. При этом вероятность поражения цели получается весьма незначительной - 0,04-0,05 при условии прямого попадания.</w:t>
      </w:r>
    </w:p>
    <w:p w14:paraId="722134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Таблица 4.2 Доля лишнего металла в авиабомбах проникающего типа (данные С'СБ}</w:t>
      </w:r>
    </w:p>
    <w:tbl>
      <w:tblPr>
        <w:tblW w:w="0" w:type="auto"/>
        <w:tblInd w:w="40" w:type="dxa"/>
        <w:tblLayout w:type="fixed"/>
        <w:tblCellMar>
          <w:left w:w="40" w:type="dxa"/>
          <w:right w:w="40" w:type="dxa"/>
        </w:tblCellMar>
        <w:tblLook w:val="0000" w:firstRow="0" w:lastRow="0" w:firstColumn="0" w:lastColumn="0" w:noHBand="0" w:noVBand="0"/>
      </w:tblPr>
      <w:tblGrid>
        <w:gridCol w:w="3550"/>
        <w:gridCol w:w="799"/>
        <w:gridCol w:w="792"/>
        <w:gridCol w:w="562"/>
      </w:tblGrid>
      <w:tr w:rsidR="00E3599D" w:rsidRPr="00E14102" w14:paraId="18E878B4" w14:textId="77777777">
        <w:trPr>
          <w:trHeight w:val="238"/>
        </w:trPr>
        <w:tc>
          <w:tcPr>
            <w:tcW w:w="3550" w:type="dxa"/>
            <w:tcBorders>
              <w:top w:val="single" w:sz="6" w:space="0" w:color="auto"/>
              <w:left w:val="single" w:sz="6" w:space="0" w:color="auto"/>
              <w:bottom w:val="nil"/>
              <w:right w:val="single" w:sz="6" w:space="0" w:color="auto"/>
            </w:tcBorders>
          </w:tcPr>
          <w:p w14:paraId="7EDB50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Параметр</w:t>
            </w:r>
          </w:p>
          <w:p w14:paraId="3EBA99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2153" w:type="dxa"/>
            <w:gridSpan w:val="3"/>
            <w:tcBorders>
              <w:top w:val="single" w:sz="6" w:space="0" w:color="auto"/>
              <w:left w:val="single" w:sz="6" w:space="0" w:color="auto"/>
              <w:bottom w:val="single" w:sz="6" w:space="0" w:color="auto"/>
              <w:right w:val="single" w:sz="6" w:space="0" w:color="auto"/>
            </w:tcBorders>
          </w:tcPr>
          <w:p w14:paraId="17B049B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Калибр аниабомбы, кг</w:t>
            </w:r>
          </w:p>
          <w:p w14:paraId="61085D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382C5C64" w14:textId="77777777">
        <w:trPr>
          <w:trHeight w:val="223"/>
        </w:trPr>
        <w:tc>
          <w:tcPr>
            <w:tcW w:w="3550" w:type="dxa"/>
            <w:tcBorders>
              <w:top w:val="nil"/>
              <w:left w:val="single" w:sz="6" w:space="0" w:color="auto"/>
              <w:bottom w:val="single" w:sz="6" w:space="0" w:color="auto"/>
              <w:right w:val="single" w:sz="6" w:space="0" w:color="auto"/>
            </w:tcBorders>
          </w:tcPr>
          <w:p w14:paraId="296B4518" w14:textId="77777777" w:rsidR="00D4105E" w:rsidRPr="00E14102" w:rsidRDefault="00D4105E" w:rsidP="00E14102">
            <w:pPr>
              <w:autoSpaceDE w:val="0"/>
              <w:autoSpaceDN w:val="0"/>
              <w:adjustRightInd w:val="0"/>
              <w:jc w:val="both"/>
              <w:rPr>
                <w:color w:val="000000" w:themeColor="text1"/>
                <w:sz w:val="16"/>
                <w:szCs w:val="16"/>
              </w:rPr>
            </w:pPr>
          </w:p>
          <w:p w14:paraId="134669EF" w14:textId="77777777" w:rsidR="00D4105E" w:rsidRPr="00E14102" w:rsidRDefault="00D4105E" w:rsidP="00E14102">
            <w:pPr>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0F5AC2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500</w:t>
            </w:r>
          </w:p>
          <w:p w14:paraId="27F1F4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083F60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1000</w:t>
            </w:r>
          </w:p>
          <w:p w14:paraId="0254874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7FD5626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2000</w:t>
            </w:r>
          </w:p>
        </w:tc>
      </w:tr>
      <w:tr w:rsidR="00E3599D" w:rsidRPr="00E14102" w14:paraId="2A0EDA9E" w14:textId="77777777">
        <w:trPr>
          <w:trHeight w:val="216"/>
        </w:trPr>
        <w:tc>
          <w:tcPr>
            <w:tcW w:w="3550" w:type="dxa"/>
            <w:tcBorders>
              <w:top w:val="single" w:sz="6" w:space="0" w:color="auto"/>
              <w:left w:val="single" w:sz="6" w:space="0" w:color="auto"/>
              <w:bottom w:val="single" w:sz="6" w:space="0" w:color="auto"/>
              <w:right w:val="single" w:sz="6" w:space="0" w:color="auto"/>
            </w:tcBorders>
          </w:tcPr>
          <w:p w14:paraId="18E12C7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Полетная масса авиабомбы, кг</w:t>
            </w:r>
          </w:p>
          <w:p w14:paraId="1172A2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75DC4B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519</w:t>
            </w:r>
          </w:p>
          <w:p w14:paraId="1F4343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7286A7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1009</w:t>
            </w:r>
          </w:p>
          <w:p w14:paraId="32E5BFB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32F7959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1980</w:t>
            </w:r>
          </w:p>
          <w:p w14:paraId="5F325C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3D6252A8" w14:textId="77777777">
        <w:trPr>
          <w:trHeight w:val="216"/>
        </w:trPr>
        <w:tc>
          <w:tcPr>
            <w:tcW w:w="3550" w:type="dxa"/>
            <w:tcBorders>
              <w:top w:val="single" w:sz="6" w:space="0" w:color="auto"/>
              <w:left w:val="single" w:sz="6" w:space="0" w:color="auto"/>
              <w:bottom w:val="single" w:sz="6" w:space="0" w:color="auto"/>
              <w:right w:val="single" w:sz="6" w:space="0" w:color="auto"/>
            </w:tcBorders>
          </w:tcPr>
          <w:p w14:paraId="16E5B00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Фактическая масса металла, кг</w:t>
            </w:r>
          </w:p>
          <w:p w14:paraId="049E9A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53A326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468</w:t>
            </w:r>
          </w:p>
          <w:p w14:paraId="34FDF8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0E409A1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915</w:t>
            </w:r>
          </w:p>
          <w:p w14:paraId="5F6518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447C5C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1824</w:t>
            </w:r>
          </w:p>
          <w:p w14:paraId="71EA1C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3DD1BEC2" w14:textId="77777777">
        <w:trPr>
          <w:trHeight w:val="439"/>
        </w:trPr>
        <w:tc>
          <w:tcPr>
            <w:tcW w:w="3550" w:type="dxa"/>
            <w:tcBorders>
              <w:top w:val="single" w:sz="6" w:space="0" w:color="auto"/>
              <w:left w:val="single" w:sz="6" w:space="0" w:color="auto"/>
              <w:bottom w:val="single" w:sz="6" w:space="0" w:color="auto"/>
              <w:right w:val="single" w:sz="6" w:space="0" w:color="auto"/>
            </w:tcBorders>
          </w:tcPr>
          <w:p w14:paraId="0009C0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Масса металла для обеспечения прочности авиабомбы при ударе в преграду, кг</w:t>
            </w:r>
          </w:p>
          <w:p w14:paraId="113D68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7BCF7E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260</w:t>
            </w:r>
          </w:p>
          <w:p w14:paraId="62272A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139B140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469</w:t>
            </w:r>
          </w:p>
          <w:p w14:paraId="3F5BB9C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3CF265A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862</w:t>
            </w:r>
          </w:p>
          <w:p w14:paraId="3A327C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6A854867" w14:textId="77777777">
        <w:trPr>
          <w:trHeight w:val="216"/>
        </w:trPr>
        <w:tc>
          <w:tcPr>
            <w:tcW w:w="3550" w:type="dxa"/>
            <w:tcBorders>
              <w:top w:val="single" w:sz="6" w:space="0" w:color="auto"/>
              <w:left w:val="single" w:sz="6" w:space="0" w:color="auto"/>
              <w:bottom w:val="single" w:sz="6" w:space="0" w:color="auto"/>
              <w:right w:val="single" w:sz="6" w:space="0" w:color="auto"/>
            </w:tcBorders>
          </w:tcPr>
          <w:p w14:paraId="328FE3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Масса лишнего металла, кг</w:t>
            </w:r>
          </w:p>
          <w:p w14:paraId="550859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3C58A3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208</w:t>
            </w:r>
          </w:p>
          <w:p w14:paraId="2F8BA60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1B6CF1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446</w:t>
            </w:r>
          </w:p>
          <w:p w14:paraId="3D89B7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676422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962</w:t>
            </w:r>
          </w:p>
          <w:p w14:paraId="0797EDA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38C5ACBE" w14:textId="77777777">
        <w:trPr>
          <w:trHeight w:val="245"/>
        </w:trPr>
        <w:tc>
          <w:tcPr>
            <w:tcW w:w="3550" w:type="dxa"/>
            <w:tcBorders>
              <w:top w:val="single" w:sz="6" w:space="0" w:color="auto"/>
              <w:left w:val="single" w:sz="6" w:space="0" w:color="auto"/>
              <w:bottom w:val="single" w:sz="6" w:space="0" w:color="auto"/>
              <w:right w:val="single" w:sz="6" w:space="0" w:color="auto"/>
            </w:tcBorders>
          </w:tcPr>
          <w:p w14:paraId="163799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Доля лишнего металла в полетной массе. %</w:t>
            </w:r>
          </w:p>
          <w:p w14:paraId="6E10FC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1CBF90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40,0</w:t>
            </w:r>
          </w:p>
          <w:p w14:paraId="7C1D2F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06B27E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44.2</w:t>
            </w:r>
          </w:p>
          <w:p w14:paraId="08B3D2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759E5B4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48,5</w:t>
            </w:r>
          </w:p>
          <w:p w14:paraId="57216FA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bl>
    <w:p w14:paraId="1280C2A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Исходя из этого, вполне естественно поставить задачу увеличения энергии падающей авиабомбы в момент встречи с броней. Известно, что энергия, необходимая для пробития плиты, складывается из двух вели</w:t>
      </w:r>
      <w:r w:rsidRPr="00E14102">
        <w:rPr>
          <w:color w:val="000000" w:themeColor="text1"/>
          <w:sz w:val="16"/>
          <w:szCs w:val="16"/>
        </w:rPr>
        <w:softHyphen/>
        <w:t>чин — скорости и массы. Наиболее эффективным способом должно явиться увеличение скорости, которая в формуле присутствует во второй степени. Тем более, что увеличение массы боеприпаса при постоянстве подъемной силы самолета не имеет смысла. Скорее наоборот, следует стремиться к уменьшению массы авиабомбы с тем, чтобы бомбовоз смог взять большее количество боеприпасов.</w:t>
      </w:r>
    </w:p>
    <w:p w14:paraId="70B83B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Таким образом, единственным способом снижения массы бомб с од</w:t>
      </w:r>
      <w:r w:rsidRPr="00E14102">
        <w:rPr>
          <w:color w:val="000000" w:themeColor="text1"/>
          <w:sz w:val="16"/>
          <w:szCs w:val="16"/>
        </w:rPr>
        <w:softHyphen/>
        <w:t>ной стороны и снижения высоты бомбометания с другой является при</w:t>
      </w:r>
      <w:r w:rsidRPr="00E14102">
        <w:rPr>
          <w:color w:val="000000" w:themeColor="text1"/>
          <w:sz w:val="16"/>
          <w:szCs w:val="16"/>
        </w:rPr>
        <w:softHyphen/>
        <w:t>менение реактивного заряда. То есть заряда пороха, помещенного в са</w:t>
      </w:r>
      <w:r w:rsidRPr="00E14102">
        <w:rPr>
          <w:color w:val="000000" w:themeColor="text1"/>
          <w:sz w:val="16"/>
          <w:szCs w:val="16"/>
        </w:rPr>
        <w:softHyphen/>
        <w:t>мой бомбе и загорающегося во время ее движения, что сообщает бомбе дополнительный механический импульс, увеличивающий скорость бое</w:t>
      </w:r>
      <w:r w:rsidRPr="00E14102">
        <w:rPr>
          <w:color w:val="000000" w:themeColor="text1"/>
          <w:sz w:val="16"/>
          <w:szCs w:val="16"/>
        </w:rPr>
        <w:softHyphen/>
        <w:t>припаса при ударе.</w:t>
      </w:r>
    </w:p>
    <w:p w14:paraId="66BDB5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Как видим, прирост скорости значительно менее динамичен, нежели высота бомбометания. К примеру, рост высоты в пять раз вызывает уве</w:t>
      </w:r>
      <w:r w:rsidRPr="00E14102">
        <w:rPr>
          <w:color w:val="000000" w:themeColor="text1"/>
          <w:sz w:val="16"/>
          <w:szCs w:val="16"/>
        </w:rPr>
        <w:softHyphen/>
        <w:t>личение скорости лишь вдвое. Кроме того, 152-мм бронеплита авиабом</w:t>
      </w:r>
      <w:r w:rsidRPr="00E14102">
        <w:rPr>
          <w:color w:val="000000" w:themeColor="text1"/>
          <w:sz w:val="16"/>
          <w:szCs w:val="16"/>
        </w:rPr>
        <w:softHyphen/>
        <w:t>бой без дополнительной скорости не пробивается даже с высоты 5000 м. С учетом же заданной дополнительной скорости эту плиту можно про</w:t>
      </w:r>
      <w:r w:rsidRPr="00E14102">
        <w:rPr>
          <w:color w:val="000000" w:themeColor="text1"/>
          <w:sz w:val="16"/>
          <w:szCs w:val="16"/>
        </w:rPr>
        <w:softHyphen/>
        <w:t>бить с высот от 1500 м. Такая способность боеприпаса дает возможность применить авиабомбу для поражения всех классов кораблей, включая и линейные силы. Даже такие линкоры, как «Нельсон» и «Роднен» уязвимыс высоты 1500 м» (11402).</w:t>
      </w:r>
    </w:p>
    <w:p w14:paraId="16DDDD0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874BAB8" w14:textId="77777777" w:rsidR="008A0D6C" w:rsidRPr="00E14102" w:rsidRDefault="008A0D6C" w:rsidP="00E14102">
      <w:pPr>
        <w:jc w:val="both"/>
        <w:rPr>
          <w:color w:val="000000" w:themeColor="text1"/>
          <w:sz w:val="16"/>
          <w:szCs w:val="16"/>
        </w:rPr>
      </w:pPr>
      <w:r w:rsidRPr="00E14102">
        <w:rPr>
          <w:color w:val="000000" w:themeColor="text1"/>
          <w:sz w:val="16"/>
          <w:szCs w:val="16"/>
        </w:rPr>
        <w:t>6 августа в 1935 году в Москве, на Тушинском аэродроме, открываются первые всесоюзные соревнования по парашютному спорту - Первый Всесоюзный слет парашютистов (14975).</w:t>
      </w:r>
    </w:p>
    <w:p w14:paraId="112BFDA3" w14:textId="77777777" w:rsidR="008A0D6C" w:rsidRPr="00E14102" w:rsidRDefault="008A0D6C" w:rsidP="00E14102">
      <w:pPr>
        <w:jc w:val="both"/>
        <w:rPr>
          <w:color w:val="000000" w:themeColor="text1"/>
          <w:sz w:val="16"/>
          <w:szCs w:val="16"/>
        </w:rPr>
      </w:pPr>
    </w:p>
    <w:p w14:paraId="0462FD0C" w14:textId="77777777" w:rsidR="00FC59A2" w:rsidRPr="00E14102" w:rsidRDefault="00FC59A2" w:rsidP="00E14102">
      <w:pPr>
        <w:jc w:val="both"/>
        <w:rPr>
          <w:color w:val="0070C0"/>
          <w:sz w:val="16"/>
          <w:szCs w:val="16"/>
        </w:rPr>
      </w:pPr>
      <w:r w:rsidRPr="00E14102">
        <w:rPr>
          <w:color w:val="0070C0"/>
          <w:sz w:val="16"/>
          <w:szCs w:val="16"/>
        </w:rPr>
        <w:t>6 августа 1935 года на Тушинском аэродроме в Москве открылся первый Всесоюзный слет парашютистов. В Москву съехались 150 лучших спортсменов-парашютистов со всего Советского Союза, чтобы показать свои достижения и поделиться опытом организации спортивной работы на местах. Всего в соревнованиях на слете приняла участие 21 команда. Было совершено 785 парашютных прыжков, из них 258 затяжных и 29 ночных (21179).</w:t>
      </w:r>
    </w:p>
    <w:p w14:paraId="64927160" w14:textId="77777777" w:rsidR="00FC59A2" w:rsidRPr="00E14102" w:rsidRDefault="00FC59A2" w:rsidP="00E14102">
      <w:pPr>
        <w:jc w:val="both"/>
        <w:rPr>
          <w:color w:val="0070C0"/>
          <w:sz w:val="16"/>
          <w:szCs w:val="16"/>
        </w:rPr>
      </w:pPr>
    </w:p>
    <w:p w14:paraId="61145CAB" w14:textId="77777777" w:rsidR="00FC59A2" w:rsidRPr="00E14102" w:rsidRDefault="00FC59A2" w:rsidP="00E14102">
      <w:pPr>
        <w:jc w:val="both"/>
        <w:rPr>
          <w:color w:val="0070C0"/>
          <w:sz w:val="16"/>
          <w:szCs w:val="16"/>
        </w:rPr>
      </w:pPr>
      <w:r w:rsidRPr="00E14102">
        <w:rPr>
          <w:color w:val="0070C0"/>
          <w:sz w:val="16"/>
          <w:szCs w:val="16"/>
        </w:rPr>
        <w:t>6 августа 1935 ЦАК посетили делегаты конгресса Коминтерна. Полеты летчиков и прыжки парашютистов получили высокую оценку и одобрение руководителей страны (Из отчета о работе Центрального аэроклуба им. Косарева за январь-август 1935 г. // РГАСПИ. Ф.М – 1. Оп. 23. Д. 1137. Л. 30.). Председатель Исполкома Коминтерна Г. Димитров сказал: «Крылатая страна воспитывает крылатых храбрецов» (Гости о слете // Красная Звезда. 1935. 8 августа. С. 4). (21402).</w:t>
      </w:r>
    </w:p>
    <w:p w14:paraId="6534026E" w14:textId="77777777" w:rsidR="00FC59A2" w:rsidRPr="00E14102" w:rsidRDefault="00FC59A2" w:rsidP="00E14102">
      <w:pPr>
        <w:jc w:val="both"/>
        <w:rPr>
          <w:color w:val="0070C0"/>
          <w:sz w:val="16"/>
          <w:szCs w:val="16"/>
        </w:rPr>
      </w:pPr>
    </w:p>
    <w:p w14:paraId="52E1F675" w14:textId="77777777" w:rsidR="00FC59A2" w:rsidRPr="00E14102" w:rsidRDefault="00FC59A2" w:rsidP="00E14102">
      <w:pPr>
        <w:jc w:val="both"/>
        <w:rPr>
          <w:color w:val="0070C0"/>
          <w:sz w:val="16"/>
          <w:szCs w:val="16"/>
        </w:rPr>
      </w:pPr>
      <w:r w:rsidRPr="00E14102">
        <w:rPr>
          <w:color w:val="0070C0"/>
          <w:sz w:val="16"/>
          <w:szCs w:val="16"/>
        </w:rPr>
        <w:t>6 августа 1935 г. в Москве в ЦПКиО им. Горького состоялась гонка-преследование аэростатов на мотоциклах и автомобилях с целью перехвата аэронавтов на месте спуска (20120).</w:t>
      </w:r>
    </w:p>
    <w:p w14:paraId="41B8B6C1" w14:textId="77777777" w:rsidR="00FC59A2" w:rsidRPr="00E14102" w:rsidRDefault="00FC59A2" w:rsidP="00E14102">
      <w:pPr>
        <w:jc w:val="both"/>
        <w:rPr>
          <w:color w:val="0070C0"/>
          <w:sz w:val="16"/>
          <w:szCs w:val="16"/>
        </w:rPr>
      </w:pPr>
    </w:p>
    <w:p w14:paraId="5FAE130E" w14:textId="77777777" w:rsidR="008A0D6C"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341DECCF" w14:textId="77777777" w:rsidR="008A0D6C" w:rsidRPr="00E14102" w:rsidRDefault="008A0D6C" w:rsidP="00E14102">
      <w:pPr>
        <w:autoSpaceDE w:val="0"/>
        <w:autoSpaceDN w:val="0"/>
        <w:adjustRightInd w:val="0"/>
        <w:jc w:val="both"/>
        <w:rPr>
          <w:iCs/>
          <w:color w:val="000000" w:themeColor="text1"/>
          <w:sz w:val="16"/>
          <w:szCs w:val="16"/>
        </w:rPr>
      </w:pPr>
    </w:p>
    <w:p w14:paraId="7B128A2D" w14:textId="77777777" w:rsidR="003F1358" w:rsidRPr="00E14102" w:rsidRDefault="003F1358" w:rsidP="00E14102">
      <w:pPr>
        <w:jc w:val="both"/>
        <w:rPr>
          <w:color w:val="000000" w:themeColor="text1"/>
          <w:sz w:val="16"/>
          <w:szCs w:val="16"/>
        </w:rPr>
      </w:pPr>
      <w:r w:rsidRPr="00E14102">
        <w:rPr>
          <w:color w:val="000000" w:themeColor="text1"/>
          <w:sz w:val="16"/>
          <w:szCs w:val="16"/>
        </w:rPr>
        <w:t>6 августа в 1935 году вступила в строй главная военно-морская база Северного флота «Полярный» (14975).</w:t>
      </w:r>
    </w:p>
    <w:p w14:paraId="114BDD68" w14:textId="77777777" w:rsidR="003F1358" w:rsidRPr="00E14102" w:rsidRDefault="003F1358" w:rsidP="00E14102">
      <w:pPr>
        <w:jc w:val="both"/>
        <w:rPr>
          <w:color w:val="000000" w:themeColor="text1"/>
          <w:sz w:val="16"/>
          <w:szCs w:val="16"/>
        </w:rPr>
      </w:pPr>
    </w:p>
    <w:p w14:paraId="2679986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1D8750C" w14:textId="77777777" w:rsidR="00D4105E" w:rsidRPr="00E14102" w:rsidRDefault="00D4105E" w:rsidP="00E14102">
      <w:pPr>
        <w:autoSpaceDE w:val="0"/>
        <w:autoSpaceDN w:val="0"/>
        <w:adjustRightInd w:val="0"/>
        <w:jc w:val="both"/>
        <w:rPr>
          <w:iCs/>
          <w:color w:val="000000" w:themeColor="text1"/>
          <w:sz w:val="16"/>
          <w:szCs w:val="16"/>
        </w:rPr>
      </w:pPr>
    </w:p>
    <w:p w14:paraId="679C2B1A" w14:textId="77777777" w:rsidR="006C4420" w:rsidRPr="00E14102" w:rsidRDefault="006C4420" w:rsidP="00E14102">
      <w:pPr>
        <w:jc w:val="both"/>
        <w:rPr>
          <w:color w:val="0070C0"/>
          <w:sz w:val="16"/>
          <w:szCs w:val="16"/>
        </w:rPr>
      </w:pPr>
      <w:r w:rsidRPr="00E14102">
        <w:rPr>
          <w:color w:val="0070C0"/>
          <w:sz w:val="16"/>
          <w:szCs w:val="16"/>
        </w:rPr>
        <w:t>В начале августа 1935 испытательная бригада НИИ ВВС отправи</w:t>
      </w:r>
      <w:r w:rsidRPr="00E14102">
        <w:rPr>
          <w:color w:val="0070C0"/>
          <w:sz w:val="16"/>
          <w:szCs w:val="16"/>
        </w:rPr>
        <w:softHyphen/>
        <w:t>лась уже не в Подлипки, а на завод №1. На руле направления они могли увидеть одино</w:t>
      </w:r>
      <w:r w:rsidRPr="00E14102">
        <w:rPr>
          <w:color w:val="0070C0"/>
          <w:sz w:val="16"/>
          <w:szCs w:val="16"/>
        </w:rPr>
        <w:softHyphen/>
        <w:t>кую надпись «ДГ-52», все остальное было закрашено. Самолет подремонтировали, установили капоты так называемого «третье</w:t>
      </w:r>
      <w:r w:rsidRPr="00E14102">
        <w:rPr>
          <w:color w:val="0070C0"/>
          <w:sz w:val="16"/>
          <w:szCs w:val="16"/>
        </w:rPr>
        <w:softHyphen/>
        <w:t>го типа». Мотоустановка теперь практически не отличалась от таковой на новом ДГ-53. 4 августа военпреды завода №1 передали ДГ- 52 представителям НИИ ВВС. К этому моменту опытный ИП-1 совершил 64 полета на завод</w:t>
      </w:r>
      <w:r w:rsidRPr="00E14102">
        <w:rPr>
          <w:color w:val="0070C0"/>
          <w:sz w:val="16"/>
          <w:szCs w:val="16"/>
        </w:rPr>
        <w:softHyphen/>
        <w:t>ских и государственных испытаниях.</w:t>
      </w:r>
    </w:p>
    <w:p w14:paraId="6D2E7968" w14:textId="77777777" w:rsidR="006C4420" w:rsidRPr="00E14102" w:rsidRDefault="006C4420" w:rsidP="00E14102">
      <w:pPr>
        <w:shd w:val="clear" w:color="auto" w:fill="FFFFFF"/>
        <w:jc w:val="both"/>
        <w:rPr>
          <w:color w:val="0070C0"/>
          <w:sz w:val="16"/>
          <w:szCs w:val="16"/>
        </w:rPr>
      </w:pPr>
      <w:r w:rsidRPr="00E14102">
        <w:rPr>
          <w:color w:val="0070C0"/>
          <w:sz w:val="16"/>
          <w:szCs w:val="16"/>
        </w:rPr>
        <w:t>Главная цель испытаний летней серии - определение живучести элементов конструк</w:t>
      </w:r>
      <w:r w:rsidRPr="00E14102">
        <w:rPr>
          <w:color w:val="0070C0"/>
          <w:sz w:val="16"/>
          <w:szCs w:val="16"/>
        </w:rPr>
        <w:softHyphen/>
        <w:t>ции при стрельбе из АПК, а также выносливо</w:t>
      </w:r>
      <w:r w:rsidRPr="00E14102">
        <w:rPr>
          <w:color w:val="0070C0"/>
          <w:sz w:val="16"/>
          <w:szCs w:val="16"/>
        </w:rPr>
        <w:softHyphen/>
        <w:t>сти шасси и механизмов уборки выпуска во время интенсивных полетов. Кроме того, предстояло оценить работу дифференциаль</w:t>
      </w:r>
      <w:r w:rsidRPr="00E14102">
        <w:rPr>
          <w:color w:val="0070C0"/>
          <w:sz w:val="16"/>
          <w:szCs w:val="16"/>
        </w:rPr>
        <w:softHyphen/>
        <w:t>ного механизма управления элеронов и их эффективность на посадке. Военные посчи</w:t>
      </w:r>
      <w:r w:rsidRPr="00E14102">
        <w:rPr>
          <w:color w:val="0070C0"/>
          <w:sz w:val="16"/>
          <w:szCs w:val="16"/>
        </w:rPr>
        <w:softHyphen/>
        <w:t>тали доработки капотов достаточно серьез</w:t>
      </w:r>
      <w:r w:rsidRPr="00E14102">
        <w:rPr>
          <w:color w:val="0070C0"/>
          <w:sz w:val="16"/>
          <w:szCs w:val="16"/>
        </w:rPr>
        <w:softHyphen/>
        <w:t>ными. Было принято решение провести испытания мотоустановки по отдельной про</w:t>
      </w:r>
      <w:r w:rsidRPr="00E14102">
        <w:rPr>
          <w:color w:val="0070C0"/>
          <w:sz w:val="16"/>
          <w:szCs w:val="16"/>
        </w:rPr>
        <w:softHyphen/>
        <w:t>грамме. По сравнению с заводскими и зимни</w:t>
      </w:r>
      <w:r w:rsidRPr="00E14102">
        <w:rPr>
          <w:color w:val="0070C0"/>
          <w:sz w:val="16"/>
          <w:szCs w:val="16"/>
        </w:rPr>
        <w:softHyphen/>
        <w:t>ми испытаниями, размах летних впечатлял. Было выполнено 344 зачетных полета, из них с уборкой шасси - 263. 55 циклов уборки- выпуска провели на земле. Как правило, за летный день выполняли более 20 вылетов, а 29 августа ДГ-52 сделал 67 посадок. В 47 полетах в этот день выполнили уборку шасси. Несмотря на достаточно высокую оценку зимой взлетно-посадочных устройств, не все пошло гладко. Уже после шести полетов во время приемки правую амортстойку сняли для ремонта - травил воздух в местах пайки оловом. В ходе испытаний стойки демонти</w:t>
      </w:r>
      <w:r w:rsidRPr="00E14102">
        <w:rPr>
          <w:color w:val="0070C0"/>
          <w:sz w:val="16"/>
          <w:szCs w:val="16"/>
        </w:rPr>
        <w:softHyphen/>
        <w:t>ровали еще не раз. В итоге конструкцию некоторых узлов пришлось изменить. В местах утечки пайку заменили резьбовыми соединениями. Неудачным оказалось креп</w:t>
      </w:r>
      <w:r w:rsidRPr="00E14102">
        <w:rPr>
          <w:color w:val="0070C0"/>
          <w:sz w:val="16"/>
          <w:szCs w:val="16"/>
        </w:rPr>
        <w:softHyphen/>
        <w:t>ление колес и оси вращения лыж: их невоз</w:t>
      </w:r>
      <w:r w:rsidRPr="00E14102">
        <w:rPr>
          <w:color w:val="0070C0"/>
          <w:sz w:val="16"/>
          <w:szCs w:val="16"/>
        </w:rPr>
        <w:softHyphen/>
        <w:t>можно было разобрать без демонтажа баш</w:t>
      </w:r>
      <w:r w:rsidRPr="00E14102">
        <w:rPr>
          <w:color w:val="0070C0"/>
          <w:sz w:val="16"/>
          <w:szCs w:val="16"/>
        </w:rPr>
        <w:softHyphen/>
        <w:t>маков передней вилки. На вполне заурядную операцию - замену колеса - требовалось слишком много времени и трудозатрат.</w:t>
      </w:r>
    </w:p>
    <w:p w14:paraId="2AF47961" w14:textId="77777777" w:rsidR="006C4420" w:rsidRPr="00E14102" w:rsidRDefault="006C4420" w:rsidP="00E14102">
      <w:pPr>
        <w:jc w:val="both"/>
        <w:rPr>
          <w:color w:val="0070C0"/>
          <w:sz w:val="16"/>
          <w:szCs w:val="16"/>
        </w:rPr>
      </w:pPr>
      <w:r w:rsidRPr="00E14102">
        <w:rPr>
          <w:color w:val="0070C0"/>
          <w:sz w:val="16"/>
          <w:szCs w:val="16"/>
        </w:rPr>
        <w:t>На испытания винтомоторной группы отвели всего пять полетов. Ответственным исполнителем был назначен инженер 4-го отделения НИИ ВВС Коротнев. Измеритель</w:t>
      </w:r>
      <w:r w:rsidRPr="00E14102">
        <w:rPr>
          <w:color w:val="0070C0"/>
          <w:sz w:val="16"/>
          <w:szCs w:val="16"/>
        </w:rPr>
        <w:softHyphen/>
        <w:t>ную аппаратуру смонтировали, пока самолет в первый раз ждал правую стойку из ремонта. Несмотря на скромное число вылетов, объем работ был достаточно велик. Удалось опре</w:t>
      </w:r>
      <w:r w:rsidRPr="00E14102">
        <w:rPr>
          <w:color w:val="0070C0"/>
          <w:sz w:val="16"/>
          <w:szCs w:val="16"/>
        </w:rPr>
        <w:softHyphen/>
        <w:t>делить равномерность обдува головок цилиндров на различных высотах полета и режимах работы мотора, а также эффектив</w:t>
      </w:r>
      <w:r w:rsidRPr="00E14102">
        <w:rPr>
          <w:color w:val="0070C0"/>
          <w:sz w:val="16"/>
          <w:szCs w:val="16"/>
        </w:rPr>
        <w:softHyphen/>
        <w:t>ность работы маслосистемы. Работу системы бензопитания с малым остатком горючего всесторонне оценили при интенсивном маневрировании на виражах, выводе из пикирования и горках. Помимо этого были замерены температуры в зоне установки маг</w:t>
      </w:r>
      <w:r w:rsidRPr="00E14102">
        <w:rPr>
          <w:color w:val="0070C0"/>
          <w:sz w:val="16"/>
          <w:szCs w:val="16"/>
        </w:rPr>
        <w:softHyphen/>
        <w:t>нето и динамо-машины, интенсивность подо</w:t>
      </w:r>
      <w:r w:rsidRPr="00E14102">
        <w:rPr>
          <w:color w:val="0070C0"/>
          <w:sz w:val="16"/>
          <w:szCs w:val="16"/>
        </w:rPr>
        <w:softHyphen/>
        <w:t>грева всасываемого в карбюратор воздуха, а также установлены режимы, на которых воз</w:t>
      </w:r>
      <w:r w:rsidRPr="00E14102">
        <w:rPr>
          <w:color w:val="0070C0"/>
          <w:sz w:val="16"/>
          <w:szCs w:val="16"/>
        </w:rPr>
        <w:softHyphen/>
        <w:t>никала тряска мотора.</w:t>
      </w:r>
    </w:p>
    <w:p w14:paraId="7FE1359B" w14:textId="77777777" w:rsidR="006C4420" w:rsidRPr="00E14102" w:rsidRDefault="006C4420" w:rsidP="00E14102">
      <w:pPr>
        <w:jc w:val="both"/>
        <w:rPr>
          <w:color w:val="0070C0"/>
          <w:sz w:val="16"/>
          <w:szCs w:val="16"/>
        </w:rPr>
      </w:pPr>
      <w:r w:rsidRPr="00E14102">
        <w:rPr>
          <w:color w:val="0070C0"/>
          <w:sz w:val="16"/>
          <w:szCs w:val="16"/>
        </w:rPr>
        <w:t>Претензий не было только к условиям работы магнето и динамо-машины. Масло перегревалось - сказывалось отсутствие маслорадиатора, на что, кстати, указывал представитель фирмы Райт. Температура головок цилиндров падала до 100 градусов на высоте выше 4000 метров, при максималь</w:t>
      </w:r>
      <w:r w:rsidRPr="00E14102">
        <w:rPr>
          <w:color w:val="0070C0"/>
          <w:sz w:val="16"/>
          <w:szCs w:val="16"/>
        </w:rPr>
        <w:softHyphen/>
        <w:t>но допустимом значении 260 градусов, при этом приемистость мотора становилась нена</w:t>
      </w:r>
      <w:r w:rsidRPr="00E14102">
        <w:rPr>
          <w:color w:val="0070C0"/>
          <w:sz w:val="16"/>
          <w:szCs w:val="16"/>
        </w:rPr>
        <w:softHyphen/>
        <w:t>дежной. При остатке бензина менее 40 кг мотор начинал давать перебои. Для нормаль</w:t>
      </w:r>
      <w:r w:rsidRPr="00E14102">
        <w:rPr>
          <w:color w:val="0070C0"/>
          <w:sz w:val="16"/>
          <w:szCs w:val="16"/>
        </w:rPr>
        <w:softHyphen/>
        <w:t>ного выполнения фигур высшего пилотажа требовалось, по крайней мере, 50 кг топлива. Подогрев воздуха, поступающего в карбюра</w:t>
      </w:r>
      <w:r w:rsidRPr="00E14102">
        <w:rPr>
          <w:color w:val="0070C0"/>
          <w:sz w:val="16"/>
          <w:szCs w:val="16"/>
        </w:rPr>
        <w:softHyphen/>
        <w:t>тор, признали недостаточным.</w:t>
      </w:r>
    </w:p>
    <w:p w14:paraId="7DD2846D" w14:textId="77777777" w:rsidR="006C4420" w:rsidRPr="00E14102" w:rsidRDefault="006C4420" w:rsidP="00E14102">
      <w:pPr>
        <w:jc w:val="both"/>
        <w:rPr>
          <w:color w:val="0070C0"/>
          <w:sz w:val="16"/>
          <w:szCs w:val="16"/>
        </w:rPr>
      </w:pPr>
      <w:r w:rsidRPr="00E14102">
        <w:rPr>
          <w:color w:val="0070C0"/>
          <w:sz w:val="16"/>
          <w:szCs w:val="16"/>
        </w:rPr>
        <w:t>Военные не делали категоричных выво</w:t>
      </w:r>
      <w:r w:rsidRPr="00E14102">
        <w:rPr>
          <w:color w:val="0070C0"/>
          <w:sz w:val="16"/>
          <w:szCs w:val="16"/>
        </w:rPr>
        <w:softHyphen/>
        <w:t>дов, однако, по сути, мотоустановку они забраковали. В заключении к отчету было сказано: «...вследствие перегрева масла, переохлаждения цилиндров и дефекта пита</w:t>
      </w:r>
      <w:r w:rsidRPr="00E14102">
        <w:rPr>
          <w:color w:val="0070C0"/>
          <w:sz w:val="16"/>
          <w:szCs w:val="16"/>
        </w:rPr>
        <w:softHyphen/>
        <w:t>ния горючим, винтомоторная группа самоле</w:t>
      </w:r>
      <w:r w:rsidRPr="00E14102">
        <w:rPr>
          <w:color w:val="0070C0"/>
          <w:sz w:val="16"/>
          <w:szCs w:val="16"/>
        </w:rPr>
        <w:softHyphen/>
        <w:t>та ИП-1 с мотором «Райт-Циклон» не обес</w:t>
      </w:r>
      <w:r w:rsidRPr="00E14102">
        <w:rPr>
          <w:color w:val="0070C0"/>
          <w:sz w:val="16"/>
          <w:szCs w:val="16"/>
        </w:rPr>
        <w:softHyphen/>
        <w:t>печивает надежной эксплуатации и снижает боевые качества самолета». В серию пошел иной, пятый вариант капотов с выхлопными коллекторами вместо индивидуальных патрубков. Топливную систему тоже переде</w:t>
      </w:r>
      <w:r w:rsidRPr="00E14102">
        <w:rPr>
          <w:color w:val="0070C0"/>
          <w:sz w:val="16"/>
          <w:szCs w:val="16"/>
        </w:rPr>
        <w:softHyphen/>
        <w:t>лали.</w:t>
      </w:r>
    </w:p>
    <w:p w14:paraId="102F3306" w14:textId="77777777" w:rsidR="006C4420" w:rsidRPr="00E14102" w:rsidRDefault="006C4420" w:rsidP="00E14102">
      <w:pPr>
        <w:jc w:val="both"/>
        <w:rPr>
          <w:color w:val="0070C0"/>
          <w:sz w:val="16"/>
          <w:szCs w:val="16"/>
        </w:rPr>
      </w:pPr>
      <w:r w:rsidRPr="00E14102">
        <w:rPr>
          <w:color w:val="0070C0"/>
          <w:sz w:val="16"/>
          <w:szCs w:val="16"/>
        </w:rPr>
        <w:t>Зависающие элероны оказались мало</w:t>
      </w:r>
      <w:r w:rsidRPr="00E14102">
        <w:rPr>
          <w:color w:val="0070C0"/>
          <w:sz w:val="16"/>
          <w:szCs w:val="16"/>
        </w:rPr>
        <w:softHyphen/>
        <w:t>эффективны. При отклонении элеронов на 15-17 градусов посадочная скорость умень</w:t>
      </w:r>
      <w:r w:rsidRPr="00E14102">
        <w:rPr>
          <w:color w:val="0070C0"/>
          <w:sz w:val="16"/>
          <w:szCs w:val="16"/>
        </w:rPr>
        <w:softHyphen/>
        <w:t xml:space="preserve">шалась всего на 5 км/ч - со </w:t>
      </w:r>
      <w:r w:rsidRPr="00E14102">
        <w:rPr>
          <w:rStyle w:val="140"/>
          <w:color w:val="0070C0"/>
          <w:sz w:val="16"/>
          <w:szCs w:val="16"/>
        </w:rPr>
        <w:t>115 до 110</w:t>
      </w:r>
      <w:r w:rsidRPr="00E14102">
        <w:rPr>
          <w:color w:val="0070C0"/>
          <w:sz w:val="16"/>
          <w:szCs w:val="16"/>
        </w:rPr>
        <w:t xml:space="preserve"> км/ч, при этом траектория снижения становилась несколько круче, а от пилота требовалось повышенное внимание из-за значительно худшей управляемости. Для освобождения конструкции от лишних механизмов, умень</w:t>
      </w:r>
      <w:r w:rsidRPr="00E14102">
        <w:rPr>
          <w:color w:val="0070C0"/>
          <w:sz w:val="16"/>
          <w:szCs w:val="16"/>
        </w:rPr>
        <w:softHyphen/>
        <w:t>шения веса самолета и повышения безопас</w:t>
      </w:r>
      <w:r w:rsidRPr="00E14102">
        <w:rPr>
          <w:color w:val="0070C0"/>
          <w:sz w:val="16"/>
          <w:szCs w:val="16"/>
        </w:rPr>
        <w:softHyphen/>
        <w:t>ности полета Федрови вообще предложил…</w:t>
      </w:r>
    </w:p>
    <w:p w14:paraId="7DC53688" w14:textId="77777777" w:rsidR="006C4420" w:rsidRPr="00E14102" w:rsidRDefault="006C4420" w:rsidP="00E14102">
      <w:pPr>
        <w:jc w:val="both"/>
        <w:rPr>
          <w:color w:val="0070C0"/>
          <w:sz w:val="16"/>
          <w:szCs w:val="16"/>
        </w:rPr>
      </w:pPr>
      <w:r w:rsidRPr="00E14102">
        <w:rPr>
          <w:color w:val="0070C0"/>
          <w:sz w:val="16"/>
          <w:szCs w:val="16"/>
        </w:rPr>
        <w:t>Кульминацией испытаний должны были стать стрельбы из АПК. Особых замечаний к техническому состоянию планера самолета перед этим этапом испытаний не было, тем не менее,удалось произвести только 29 выстре</w:t>
      </w:r>
      <w:r w:rsidRPr="00E14102">
        <w:rPr>
          <w:color w:val="0070C0"/>
          <w:sz w:val="16"/>
          <w:szCs w:val="16"/>
        </w:rPr>
        <w:softHyphen/>
        <w:t>лов. 17 августа было выполнено 29 полетов по программе, в том числе пять - на испыта</w:t>
      </w:r>
      <w:r w:rsidRPr="00E14102">
        <w:rPr>
          <w:color w:val="0070C0"/>
          <w:sz w:val="16"/>
          <w:szCs w:val="16"/>
        </w:rPr>
        <w:softHyphen/>
        <w:t>ния прицела. 18 числа по понятным причи</w:t>
      </w:r>
      <w:r w:rsidRPr="00E14102">
        <w:rPr>
          <w:color w:val="0070C0"/>
          <w:sz w:val="16"/>
          <w:szCs w:val="16"/>
        </w:rPr>
        <w:softHyphen/>
        <w:t>нам полетов не было, а на следующий день в двух из двенадцати вылетов опробовали ДРП. При первой стрельбе выполнили 5 выстрелов из левого орудия и 7 из правого. После посадки обнаружили значительные деформации обшивки стабилизатора, рулей направления и высоты. Кроме того появи</w:t>
      </w:r>
      <w:r w:rsidRPr="00E14102">
        <w:rPr>
          <w:color w:val="0070C0"/>
          <w:sz w:val="16"/>
          <w:szCs w:val="16"/>
        </w:rPr>
        <w:softHyphen/>
        <w:t>лись трещины по заклепочному шву в ниж</w:t>
      </w:r>
      <w:r w:rsidRPr="00E14102">
        <w:rPr>
          <w:color w:val="0070C0"/>
          <w:sz w:val="16"/>
          <w:szCs w:val="16"/>
        </w:rPr>
        <w:softHyphen/>
        <w:t>ней обшивке центроплана и был разбит тер</w:t>
      </w:r>
      <w:r w:rsidRPr="00E14102">
        <w:rPr>
          <w:color w:val="0070C0"/>
          <w:sz w:val="16"/>
          <w:szCs w:val="16"/>
        </w:rPr>
        <w:softHyphen/>
        <w:t>мометр, установленный на верхней обшив</w:t>
      </w:r>
      <w:r w:rsidRPr="00E14102">
        <w:rPr>
          <w:color w:val="0070C0"/>
          <w:sz w:val="16"/>
          <w:szCs w:val="16"/>
        </w:rPr>
        <w:softHyphen/>
        <w:t>ке. Во втором вылете удалось выстрелить только 3 раза. Во время третьего выстрела на скорости 400 км/ч разрушился крон</w:t>
      </w:r>
      <w:r w:rsidRPr="00E14102">
        <w:rPr>
          <w:color w:val="0070C0"/>
          <w:sz w:val="16"/>
          <w:szCs w:val="16"/>
        </w:rPr>
        <w:softHyphen/>
        <w:t>штейн флетнера руля высоты. Флетнер заклинило, и полет был прерван. Заводская бригада оперативно устранила дефект. 20 августа выполнили 31 полет на испытания шасси, 21-го - еще 24, плюс один вылет со стрельбой. Было произведено 14 выстрелов на скорости 250-300 км/ч. Дальнейшие испытания самолета на живучесть от арт- стрельбы посчитали невозможными: только хлопунов на поверхности крыла и центро</w:t>
      </w:r>
      <w:r w:rsidRPr="00E14102">
        <w:rPr>
          <w:color w:val="0070C0"/>
          <w:sz w:val="16"/>
          <w:szCs w:val="16"/>
        </w:rPr>
        <w:softHyphen/>
        <w:t>плана насчитали 39, еще 26 обнаружили на рулях высоты. Кроме того, имелись много</w:t>
      </w:r>
      <w:r w:rsidRPr="00E14102">
        <w:rPr>
          <w:color w:val="0070C0"/>
          <w:sz w:val="16"/>
          <w:szCs w:val="16"/>
        </w:rPr>
        <w:softHyphen/>
        <w:t>численные обрывы заклепок и вспучивание обшивки вокруг заклепок. Во множестве мест полки нервюр отходили вместе с обшивкой. Имелись места разрушения соединения стрингеров с нервюрами и пол</w:t>
      </w:r>
      <w:r w:rsidRPr="00E14102">
        <w:rPr>
          <w:color w:val="0070C0"/>
          <w:sz w:val="16"/>
          <w:szCs w:val="16"/>
        </w:rPr>
        <w:softHyphen/>
        <w:t>ного разрыва обшивки.</w:t>
      </w:r>
    </w:p>
    <w:p w14:paraId="11C9F8F1" w14:textId="77777777" w:rsidR="006C4420" w:rsidRPr="00E14102" w:rsidRDefault="006C4420" w:rsidP="00E14102">
      <w:pPr>
        <w:jc w:val="both"/>
        <w:rPr>
          <w:color w:val="0070C0"/>
          <w:sz w:val="16"/>
          <w:szCs w:val="16"/>
        </w:rPr>
      </w:pPr>
      <w:r w:rsidRPr="00E14102">
        <w:rPr>
          <w:color w:val="0070C0"/>
          <w:sz w:val="16"/>
          <w:szCs w:val="16"/>
        </w:rPr>
        <w:t>Несмотря на многочисленные поврежде</w:t>
      </w:r>
      <w:r w:rsidRPr="00E14102">
        <w:rPr>
          <w:color w:val="0070C0"/>
          <w:sz w:val="16"/>
          <w:szCs w:val="16"/>
        </w:rPr>
        <w:softHyphen/>
        <w:t>ния, испытания не прервали. Было выполне</w:t>
      </w:r>
      <w:r w:rsidRPr="00E14102">
        <w:rPr>
          <w:color w:val="0070C0"/>
          <w:sz w:val="16"/>
          <w:szCs w:val="16"/>
        </w:rPr>
        <w:softHyphen/>
        <w:t>но еще 102 вылета на испытания шасси. Лета</w:t>
      </w:r>
      <w:r w:rsidRPr="00E14102">
        <w:rPr>
          <w:color w:val="0070C0"/>
          <w:sz w:val="16"/>
          <w:szCs w:val="16"/>
        </w:rPr>
        <w:softHyphen/>
        <w:t>ли «блинчиком», дабы не создавать излиш</w:t>
      </w:r>
      <w:r w:rsidRPr="00E14102">
        <w:rPr>
          <w:color w:val="0070C0"/>
          <w:sz w:val="16"/>
          <w:szCs w:val="16"/>
        </w:rPr>
        <w:softHyphen/>
        <w:t>них перегрузок, и 29 августа, как уже говори</w:t>
      </w:r>
      <w:r w:rsidRPr="00E14102">
        <w:rPr>
          <w:color w:val="0070C0"/>
          <w:sz w:val="16"/>
          <w:szCs w:val="16"/>
        </w:rPr>
        <w:softHyphen/>
        <w:t>лось выше, даже установили своеобразный рекорд этих испытаний, выполнив в один день 67 полетов, правда, последний вылет закончился вынужденной посадкой на аэро</w:t>
      </w:r>
      <w:r w:rsidRPr="00E14102">
        <w:rPr>
          <w:color w:val="0070C0"/>
          <w:sz w:val="16"/>
          <w:szCs w:val="16"/>
        </w:rPr>
        <w:softHyphen/>
        <w:t>дром - засорился жиклер карбюратора. Начальство решило судьбу больше не иску</w:t>
      </w:r>
      <w:r w:rsidRPr="00E14102">
        <w:rPr>
          <w:color w:val="0070C0"/>
          <w:sz w:val="16"/>
          <w:szCs w:val="16"/>
        </w:rPr>
        <w:softHyphen/>
        <w:t>шать, и испытания прервали, отметив в заключении, что ввиду значительных разру</w:t>
      </w:r>
      <w:r w:rsidRPr="00E14102">
        <w:rPr>
          <w:color w:val="0070C0"/>
          <w:sz w:val="16"/>
          <w:szCs w:val="16"/>
        </w:rPr>
        <w:softHyphen/>
        <w:t>шений и деформаций без капитального ремонта и устранения выявленных недостат</w:t>
      </w:r>
      <w:r w:rsidRPr="00E14102">
        <w:rPr>
          <w:color w:val="0070C0"/>
          <w:sz w:val="16"/>
          <w:szCs w:val="16"/>
        </w:rPr>
        <w:softHyphen/>
        <w:t>ков ИП-1РЦФ-3 до дальнейших испытаний допущен быть не может (19933).</w:t>
      </w:r>
    </w:p>
    <w:p w14:paraId="0C600102" w14:textId="77777777" w:rsidR="006C4420" w:rsidRPr="00E14102" w:rsidRDefault="006C4420" w:rsidP="00E14102">
      <w:pPr>
        <w:shd w:val="clear" w:color="auto" w:fill="FFFFFF"/>
        <w:jc w:val="both"/>
        <w:rPr>
          <w:color w:val="0070C0"/>
          <w:sz w:val="16"/>
          <w:szCs w:val="16"/>
        </w:rPr>
      </w:pPr>
    </w:p>
    <w:p w14:paraId="080F07BB" w14:textId="77777777" w:rsidR="008F5B4C" w:rsidRPr="00E14102" w:rsidRDefault="008F5B4C" w:rsidP="00E14102">
      <w:pPr>
        <w:shd w:val="clear" w:color="auto" w:fill="FFFFFF"/>
        <w:jc w:val="both"/>
        <w:rPr>
          <w:color w:val="000000" w:themeColor="text1"/>
          <w:sz w:val="16"/>
          <w:szCs w:val="16"/>
        </w:rPr>
      </w:pPr>
      <w:r w:rsidRPr="00E14102">
        <w:rPr>
          <w:color w:val="000000" w:themeColor="text1"/>
          <w:sz w:val="16"/>
          <w:szCs w:val="16"/>
        </w:rPr>
        <w:t>В начале августа 1935 г. начальник Глававиапрома Королёв направил на имя зам. наркома тяжёлой промышленности Пятакова (в копии зам. наркома обороны Тухачевскому) письмо, в котором он писал:</w:t>
      </w:r>
    </w:p>
    <w:p w14:paraId="43A85784" w14:textId="77777777" w:rsidR="008F5B4C" w:rsidRPr="00E14102" w:rsidRDefault="008F5B4C" w:rsidP="00E14102">
      <w:pPr>
        <w:shd w:val="clear" w:color="auto" w:fill="FFFFFF"/>
        <w:jc w:val="both"/>
        <w:rPr>
          <w:color w:val="000000" w:themeColor="text1"/>
          <w:sz w:val="16"/>
          <w:szCs w:val="16"/>
        </w:rPr>
      </w:pPr>
      <w:r w:rsidRPr="00E14102">
        <w:rPr>
          <w:color w:val="000000" w:themeColor="text1"/>
          <w:sz w:val="16"/>
          <w:szCs w:val="16"/>
        </w:rPr>
        <w:t>«</w:t>
      </w:r>
      <w:r w:rsidRPr="00E14102">
        <w:rPr>
          <w:iCs/>
          <w:color w:val="000000" w:themeColor="text1"/>
          <w:sz w:val="16"/>
          <w:szCs w:val="16"/>
          <w:u w:val="single"/>
        </w:rPr>
        <w:t>По вопросу</w:t>
      </w:r>
      <w:r w:rsidRPr="00E14102">
        <w:rPr>
          <w:iCs/>
          <w:color w:val="000000" w:themeColor="text1"/>
          <w:sz w:val="16"/>
          <w:szCs w:val="16"/>
        </w:rPr>
        <w:t>: Экспериментального высотного самолёта Авиавнито</w:t>
      </w:r>
    </w:p>
    <w:p w14:paraId="2C3240D7" w14:textId="77777777" w:rsidR="008F5B4C" w:rsidRPr="00E14102" w:rsidRDefault="008F5B4C" w:rsidP="00E14102">
      <w:pPr>
        <w:shd w:val="clear" w:color="auto" w:fill="FFFFFF"/>
        <w:jc w:val="both"/>
        <w:rPr>
          <w:color w:val="000000" w:themeColor="text1"/>
          <w:sz w:val="16"/>
          <w:szCs w:val="16"/>
        </w:rPr>
      </w:pPr>
      <w:r w:rsidRPr="00E14102">
        <w:rPr>
          <w:iCs/>
          <w:color w:val="000000" w:themeColor="text1"/>
          <w:sz w:val="16"/>
          <w:szCs w:val="16"/>
        </w:rPr>
        <w:t>В настоящее время ГУАПом  (на заводе №35) заканчивается постройка экспериментального стратосферного самолёта с герметической кабиной</w:t>
      </w:r>
      <w:r w:rsidRPr="00E14102">
        <w:rPr>
          <w:color w:val="000000" w:themeColor="text1"/>
          <w:sz w:val="16"/>
          <w:szCs w:val="16"/>
        </w:rPr>
        <w:t>. (Речь идёт о самолёте БОК-1 – С.К.)</w:t>
      </w:r>
    </w:p>
    <w:p w14:paraId="1EEE4270" w14:textId="77777777" w:rsidR="008F5B4C" w:rsidRPr="00E14102" w:rsidRDefault="008F5B4C" w:rsidP="00E14102">
      <w:pPr>
        <w:shd w:val="clear" w:color="auto" w:fill="FFFFFF"/>
        <w:jc w:val="both"/>
        <w:rPr>
          <w:color w:val="000000" w:themeColor="text1"/>
          <w:sz w:val="16"/>
          <w:szCs w:val="16"/>
        </w:rPr>
      </w:pPr>
      <w:r w:rsidRPr="00E14102">
        <w:rPr>
          <w:iCs/>
          <w:color w:val="000000" w:themeColor="text1"/>
          <w:sz w:val="16"/>
          <w:szCs w:val="16"/>
        </w:rPr>
        <w:t>На этом самолёте предполагается испытаниями проверить ряд задач (за исключением скафандра и негерметической кабины), которые собирается экспериментировать Авиавнито на спроектированной им машине.</w:t>
      </w:r>
    </w:p>
    <w:p w14:paraId="35777D5B" w14:textId="77777777" w:rsidR="008F5B4C" w:rsidRPr="00E14102" w:rsidRDefault="008F5B4C" w:rsidP="00E14102">
      <w:pPr>
        <w:shd w:val="clear" w:color="auto" w:fill="FFFFFF"/>
        <w:jc w:val="both"/>
        <w:rPr>
          <w:color w:val="000000" w:themeColor="text1"/>
          <w:sz w:val="16"/>
          <w:szCs w:val="16"/>
        </w:rPr>
      </w:pPr>
      <w:r w:rsidRPr="00E14102">
        <w:rPr>
          <w:iCs/>
          <w:color w:val="000000" w:themeColor="text1"/>
          <w:sz w:val="16"/>
          <w:szCs w:val="16"/>
        </w:rPr>
        <w:t>До проведения испытаний самолёта завода № 35 (выпуск самолёта намечен на начало сентября), и до получения результатов испытания, считаю постройку самолёта Авиавнито преждевременной</w:t>
      </w:r>
      <w:r w:rsidRPr="00E14102">
        <w:rPr>
          <w:color w:val="000000" w:themeColor="text1"/>
          <w:sz w:val="16"/>
          <w:szCs w:val="16"/>
        </w:rPr>
        <w:t>». (</w:t>
      </w:r>
      <w:r w:rsidRPr="00E14102">
        <w:rPr>
          <w:iCs/>
          <w:color w:val="000000" w:themeColor="text1"/>
          <w:sz w:val="16"/>
          <w:szCs w:val="16"/>
        </w:rPr>
        <w:t>РГАЭ Ф. 3823 оп. 1 д. 796 л. 249</w:t>
      </w:r>
      <w:r w:rsidRPr="00E14102">
        <w:rPr>
          <w:color w:val="000000" w:themeColor="text1"/>
          <w:sz w:val="16"/>
          <w:szCs w:val="16"/>
        </w:rPr>
        <w:t>) (19528).</w:t>
      </w:r>
    </w:p>
    <w:p w14:paraId="4410EE84" w14:textId="77777777" w:rsidR="008F5B4C" w:rsidRPr="00E14102" w:rsidRDefault="008F5B4C" w:rsidP="00E14102">
      <w:pPr>
        <w:shd w:val="clear" w:color="auto" w:fill="FFFFFF"/>
        <w:jc w:val="both"/>
        <w:rPr>
          <w:color w:val="000000" w:themeColor="text1"/>
          <w:sz w:val="16"/>
          <w:szCs w:val="16"/>
        </w:rPr>
      </w:pPr>
    </w:p>
    <w:p w14:paraId="589B0B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первых числах августа 1935 прозрачный АИР-4 С.Г.Козлова в Серпухове совершил контрольный полет на 200 м. Через несколько дней вышел приказ М.Н.тухачевского, которым НИИ ВВС обязали: “произвести испытание... и дать свое заключение по применению прохрачного покрытия для маскировки самолетов” (7460, 5).</w:t>
      </w:r>
    </w:p>
    <w:p w14:paraId="4F0F6DE3" w14:textId="77777777" w:rsidR="00D4105E" w:rsidRPr="00E14102" w:rsidRDefault="00D4105E" w:rsidP="00E14102">
      <w:pPr>
        <w:autoSpaceDE w:val="0"/>
        <w:autoSpaceDN w:val="0"/>
        <w:adjustRightInd w:val="0"/>
        <w:jc w:val="both"/>
        <w:rPr>
          <w:color w:val="000000" w:themeColor="text1"/>
          <w:sz w:val="16"/>
          <w:szCs w:val="16"/>
        </w:rPr>
      </w:pPr>
    </w:p>
    <w:p w14:paraId="1DF770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первых числах августа 1935 самолет СБ-2 Испано поступил в ЦАГИ для новых испытаний. Согласно постановления Правительства от 4 августа (новое оперение, переделка крыльев, капотов, мотооборудование и пр.), после внесенных исправлений, выведен на аэродром – 11 сентября 1935 года (3475,103).</w:t>
      </w:r>
    </w:p>
    <w:p w14:paraId="38A048E8" w14:textId="77777777" w:rsidR="00D4105E" w:rsidRPr="00E14102" w:rsidRDefault="00D4105E" w:rsidP="00E14102">
      <w:pPr>
        <w:autoSpaceDE w:val="0"/>
        <w:autoSpaceDN w:val="0"/>
        <w:adjustRightInd w:val="0"/>
        <w:jc w:val="both"/>
        <w:rPr>
          <w:color w:val="000000" w:themeColor="text1"/>
          <w:sz w:val="16"/>
          <w:szCs w:val="16"/>
        </w:rPr>
      </w:pPr>
    </w:p>
    <w:p w14:paraId="7819C12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F14AD79" w14:textId="77777777" w:rsidR="00D4105E" w:rsidRPr="00E14102" w:rsidRDefault="00D4105E" w:rsidP="00E14102">
      <w:pPr>
        <w:autoSpaceDE w:val="0"/>
        <w:autoSpaceDN w:val="0"/>
        <w:adjustRightInd w:val="0"/>
        <w:jc w:val="both"/>
        <w:rPr>
          <w:iCs/>
          <w:color w:val="000000" w:themeColor="text1"/>
          <w:sz w:val="16"/>
          <w:szCs w:val="16"/>
        </w:rPr>
      </w:pPr>
    </w:p>
    <w:p w14:paraId="274FB1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августа 1935 военную приемку прошли первые шесть серийных ССС (7456, 5).</w:t>
      </w:r>
    </w:p>
    <w:p w14:paraId="3756A4D3" w14:textId="77777777" w:rsidR="00D4105E" w:rsidRPr="00E14102" w:rsidRDefault="00D4105E" w:rsidP="00E14102">
      <w:pPr>
        <w:autoSpaceDE w:val="0"/>
        <w:autoSpaceDN w:val="0"/>
        <w:adjustRightInd w:val="0"/>
        <w:jc w:val="both"/>
        <w:rPr>
          <w:color w:val="000000" w:themeColor="text1"/>
          <w:sz w:val="16"/>
          <w:szCs w:val="16"/>
        </w:rPr>
      </w:pPr>
    </w:p>
    <w:p w14:paraId="11FE00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7 августа 1935 первые шесть серийных самолетов прошли военную приемку. 15 сентября 1935 г. десять машин прибыли в расположение 114-й (бывшей 252-й) авиабригады в Гомель. 22 сентября на одном из ССС первым вылетел комбриг А. А. Туржанский.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586BE3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3E1207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54A66A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0F3E47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6340C2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46700825" w14:textId="77777777" w:rsidR="00D4105E" w:rsidRPr="00E14102" w:rsidRDefault="00D4105E" w:rsidP="00E14102">
      <w:pPr>
        <w:autoSpaceDE w:val="0"/>
        <w:autoSpaceDN w:val="0"/>
        <w:adjustRightInd w:val="0"/>
        <w:jc w:val="both"/>
        <w:rPr>
          <w:color w:val="000000" w:themeColor="text1"/>
          <w:sz w:val="16"/>
          <w:szCs w:val="16"/>
        </w:rPr>
      </w:pPr>
    </w:p>
    <w:p w14:paraId="52F55B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августа 1935 самолет ПС (АИР-4) сделал еще один полет в Серпухове.</w:t>
      </w:r>
    </w:p>
    <w:p w14:paraId="29D31B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августа самолет перегнали на аэродром части 1127 для испытаний и 22 августа были проведены испытания.</w:t>
      </w:r>
    </w:p>
    <w:p w14:paraId="22D70B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2ED115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26346B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440A57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5BC872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Применение целлона оправдывает себя как средство уменьшения видимости (7656).</w:t>
      </w:r>
    </w:p>
    <w:p w14:paraId="33D97451" w14:textId="77777777" w:rsidR="00D4105E" w:rsidRPr="00E14102" w:rsidRDefault="00D4105E" w:rsidP="00E14102">
      <w:pPr>
        <w:autoSpaceDE w:val="0"/>
        <w:autoSpaceDN w:val="0"/>
        <w:adjustRightInd w:val="0"/>
        <w:jc w:val="both"/>
        <w:rPr>
          <w:color w:val="000000" w:themeColor="text1"/>
          <w:sz w:val="16"/>
          <w:szCs w:val="16"/>
        </w:rPr>
      </w:pPr>
    </w:p>
    <w:p w14:paraId="38502948" w14:textId="77777777" w:rsidR="00933444" w:rsidRPr="00E14102" w:rsidRDefault="00933444" w:rsidP="00E14102">
      <w:pPr>
        <w:jc w:val="both"/>
        <w:rPr>
          <w:color w:val="000000" w:themeColor="text1"/>
          <w:sz w:val="16"/>
          <w:szCs w:val="16"/>
        </w:rPr>
      </w:pPr>
      <w:r w:rsidRPr="00E14102">
        <w:rPr>
          <w:color w:val="000000" w:themeColor="text1"/>
          <w:sz w:val="16"/>
          <w:szCs w:val="16"/>
        </w:rPr>
        <w:t>7 августа 1935 самолёт ПС сделал ещё полёт в Серпухове на высоте 200 м. Видимость приблизительно такая же, как при первом полёте.</w:t>
      </w:r>
    </w:p>
    <w:p w14:paraId="764C9189" w14:textId="77777777" w:rsidR="00933444" w:rsidRPr="00E14102" w:rsidRDefault="00933444" w:rsidP="00E14102">
      <w:pPr>
        <w:jc w:val="both"/>
        <w:rPr>
          <w:color w:val="000000" w:themeColor="text1"/>
          <w:sz w:val="16"/>
          <w:szCs w:val="16"/>
        </w:rPr>
      </w:pPr>
      <w:r w:rsidRPr="00E14102">
        <w:rPr>
          <w:color w:val="000000" w:themeColor="text1"/>
          <w:sz w:val="16"/>
          <w:szCs w:val="16"/>
        </w:rPr>
        <w:t>16 августа самолёт перегнали на аэродром части 1127 для испытаний, и 22 августа были проведены испытания,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 т. Залевский, начальник штаба той же части т. Марков и др.</w:t>
      </w:r>
    </w:p>
    <w:p w14:paraId="72782190" w14:textId="77777777" w:rsidR="00933444" w:rsidRPr="00E14102" w:rsidRDefault="00933444" w:rsidP="00E14102">
      <w:pPr>
        <w:jc w:val="both"/>
        <w:rPr>
          <w:color w:val="000000" w:themeColor="text1"/>
          <w:sz w:val="16"/>
          <w:szCs w:val="16"/>
        </w:rPr>
      </w:pPr>
      <w:r w:rsidRPr="00E14102">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 летел наблюдателем начальник штаба части 1695 т. Куприянов для наблюдения видимости ПС с воздуха, такое же задание получил и экипаж самолёта Р-5.</w:t>
      </w:r>
    </w:p>
    <w:p w14:paraId="05AC87A1" w14:textId="77777777" w:rsidR="00933444" w:rsidRPr="00E14102" w:rsidRDefault="00933444" w:rsidP="00E14102">
      <w:pPr>
        <w:jc w:val="both"/>
        <w:rPr>
          <w:color w:val="000000" w:themeColor="text1"/>
          <w:sz w:val="16"/>
          <w:szCs w:val="16"/>
        </w:rPr>
      </w:pPr>
      <w:r w:rsidRPr="00E14102">
        <w:rPr>
          <w:color w:val="000000" w:themeColor="text1"/>
          <w:sz w:val="16"/>
          <w:szCs w:val="16"/>
        </w:rPr>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самолёт ПС не виден совершенно (ни одним из присутствующих), тогда как У-2 и Р-5 отчетливо видны…</w:t>
      </w:r>
    </w:p>
    <w:p w14:paraId="46DBD7C5" w14:textId="77777777" w:rsidR="00933444" w:rsidRPr="00E14102" w:rsidRDefault="00933444" w:rsidP="00E14102">
      <w:pPr>
        <w:jc w:val="both"/>
        <w:rPr>
          <w:color w:val="000000" w:themeColor="text1"/>
          <w:sz w:val="16"/>
          <w:szCs w:val="16"/>
        </w:rPr>
      </w:pPr>
      <w:r w:rsidRPr="00E14102">
        <w:rPr>
          <w:color w:val="000000" w:themeColor="text1"/>
          <w:sz w:val="16"/>
          <w:szCs w:val="16"/>
        </w:rPr>
        <w:t>Самолёт с 25 июля по 23 августа 1935 г. в общей сложности налетал 7 часов в самых разнообразных метеорологических условиях (дождь, туман, яркое солнце)…</w:t>
      </w:r>
    </w:p>
    <w:p w14:paraId="7AF187D0" w14:textId="77777777" w:rsidR="00933444" w:rsidRPr="00E14102" w:rsidRDefault="00933444" w:rsidP="00E14102">
      <w:pPr>
        <w:jc w:val="both"/>
        <w:rPr>
          <w:color w:val="000000" w:themeColor="text1"/>
          <w:sz w:val="16"/>
          <w:szCs w:val="16"/>
        </w:rPr>
      </w:pPr>
      <w:r w:rsidRPr="00E14102">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1EF4424E" w14:textId="77777777" w:rsidR="00933444" w:rsidRPr="00E14102" w:rsidRDefault="00933444" w:rsidP="00E14102">
      <w:pPr>
        <w:jc w:val="both"/>
        <w:rPr>
          <w:color w:val="000000" w:themeColor="text1"/>
          <w:sz w:val="16"/>
          <w:szCs w:val="16"/>
        </w:rPr>
      </w:pPr>
      <w:r w:rsidRPr="00E14102">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 е. вплоть до невидимости.</w:t>
      </w:r>
    </w:p>
    <w:p w14:paraId="1BA07B09" w14:textId="77777777" w:rsidR="00933444" w:rsidRPr="00E14102" w:rsidRDefault="00933444" w:rsidP="00E14102">
      <w:pPr>
        <w:jc w:val="both"/>
        <w:rPr>
          <w:color w:val="000000" w:themeColor="text1"/>
          <w:sz w:val="16"/>
          <w:szCs w:val="16"/>
        </w:rPr>
      </w:pPr>
      <w:r w:rsidRPr="00E14102">
        <w:rPr>
          <w:color w:val="000000" w:themeColor="text1"/>
          <w:sz w:val="16"/>
          <w:szCs w:val="16"/>
        </w:rPr>
        <w:t xml:space="preserve">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 можно сильно улучшить обзор как лётчику, так и наблюдателю на существующих самолётах» </w:t>
      </w:r>
      <w:hyperlink r:id="rId169" w:history="1">
        <w:r w:rsidRPr="00E14102">
          <w:rPr>
            <w:color w:val="000000" w:themeColor="text1"/>
            <w:sz w:val="16"/>
            <w:szCs w:val="16"/>
          </w:rPr>
          <w:t>[158]</w:t>
        </w:r>
      </w:hyperlink>
      <w:r w:rsidRPr="00E14102">
        <w:rPr>
          <w:color w:val="000000" w:themeColor="text1"/>
          <w:sz w:val="16"/>
          <w:szCs w:val="16"/>
        </w:rPr>
        <w:t xml:space="preserve"> .</w:t>
      </w:r>
    </w:p>
    <w:p w14:paraId="769CD3CB" w14:textId="77777777" w:rsidR="00933444" w:rsidRPr="00E14102" w:rsidRDefault="00933444" w:rsidP="00E14102">
      <w:pPr>
        <w:jc w:val="both"/>
        <w:rPr>
          <w:color w:val="000000" w:themeColor="text1"/>
          <w:sz w:val="16"/>
          <w:szCs w:val="16"/>
        </w:rPr>
      </w:pPr>
      <w:r w:rsidRPr="00E14102">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7976168B" w14:textId="77777777" w:rsidR="00933444" w:rsidRPr="00E14102" w:rsidRDefault="00933444" w:rsidP="00E14102">
      <w:pPr>
        <w:jc w:val="both"/>
        <w:rPr>
          <w:color w:val="000000" w:themeColor="text1"/>
          <w:sz w:val="16"/>
          <w:szCs w:val="16"/>
        </w:rPr>
      </w:pPr>
      <w:r w:rsidRPr="00E14102">
        <w:rPr>
          <w:color w:val="000000" w:themeColor="text1"/>
          <w:sz w:val="16"/>
          <w:szCs w:val="16"/>
        </w:rPr>
        <w:t xml:space="preserve">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 г. </w:t>
      </w:r>
      <w:hyperlink r:id="rId170" w:history="1">
        <w:r w:rsidRPr="00E14102">
          <w:rPr>
            <w:color w:val="000000" w:themeColor="text1"/>
            <w:sz w:val="16"/>
            <w:szCs w:val="16"/>
          </w:rPr>
          <w:t>[159]</w:t>
        </w:r>
      </w:hyperlink>
      <w:r w:rsidRPr="00E14102">
        <w:rPr>
          <w:color w:val="000000" w:themeColor="text1"/>
          <w:sz w:val="16"/>
          <w:szCs w:val="16"/>
        </w:rPr>
        <w:t xml:space="preserve"> </w:t>
      </w:r>
    </w:p>
    <w:p w14:paraId="424BBFD1" w14:textId="77777777" w:rsidR="00933444" w:rsidRPr="00E14102" w:rsidRDefault="00933444" w:rsidP="00E14102">
      <w:pPr>
        <w:jc w:val="both"/>
        <w:rPr>
          <w:color w:val="000000" w:themeColor="text1"/>
          <w:sz w:val="16"/>
          <w:szCs w:val="16"/>
        </w:rPr>
      </w:pPr>
      <w:r w:rsidRPr="00E14102">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6F0A8F5D" w14:textId="77777777" w:rsidR="00933444" w:rsidRPr="00E14102" w:rsidRDefault="00933444" w:rsidP="00E14102">
      <w:pPr>
        <w:jc w:val="both"/>
        <w:rPr>
          <w:color w:val="000000" w:themeColor="text1"/>
          <w:sz w:val="16"/>
          <w:szCs w:val="16"/>
        </w:rPr>
      </w:pPr>
      <w:r w:rsidRPr="00E14102">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032AC5D8" w14:textId="77777777" w:rsidR="00933444" w:rsidRPr="00E14102" w:rsidRDefault="00933444" w:rsidP="00E14102">
      <w:pPr>
        <w:jc w:val="both"/>
        <w:rPr>
          <w:color w:val="000000" w:themeColor="text1"/>
          <w:sz w:val="16"/>
          <w:szCs w:val="16"/>
        </w:rPr>
      </w:pPr>
    </w:p>
    <w:p w14:paraId="1AF4A80B"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7 августа 1935 ремонт закончили и самолет выполняет контрольный полет на высоте 200 м. А через три дня выходит приказ заместителя Наркома Обороны М.Н. Тухачевского №0051, согласно которому НИИ ВВС должен «произвести испытание самолета и дать свое заключение по применению прозрачного покрытия для маскировки самолетов» (12703).</w:t>
      </w:r>
    </w:p>
    <w:p w14:paraId="36DF66CC" w14:textId="77777777" w:rsidR="00164F4F" w:rsidRPr="00E14102" w:rsidRDefault="00164F4F" w:rsidP="00E14102">
      <w:pPr>
        <w:shd w:val="clear" w:color="auto" w:fill="FFFFFF"/>
        <w:jc w:val="both"/>
        <w:rPr>
          <w:color w:val="000000" w:themeColor="text1"/>
          <w:sz w:val="16"/>
          <w:szCs w:val="16"/>
        </w:rPr>
      </w:pPr>
    </w:p>
    <w:p w14:paraId="33775E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августа 1935 года зам. начальника управления ВС Хрипин писал письмо N 3Н-03752 наркому обороны.</w:t>
      </w:r>
    </w:p>
    <w:p w14:paraId="056F40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плану боевой подготовки Оперативного факультета ВВА на 10.8.35 года намечено проведение двухстороннего летно-тактического учения на тему "нападение тяжелой эскадрильи, действующей в составе бригады, на базовый аэродром противника".</w:t>
      </w:r>
    </w:p>
    <w:p w14:paraId="1806E5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учении участвуют 12 кораблей ТБ-3 и 9 самолетов Р-6 Монинской авиабригады. (2484,32).</w:t>
      </w:r>
    </w:p>
    <w:p w14:paraId="5BAA7AEE" w14:textId="77777777" w:rsidR="00D4105E" w:rsidRPr="00E14102" w:rsidRDefault="00D4105E" w:rsidP="00E14102">
      <w:pPr>
        <w:autoSpaceDE w:val="0"/>
        <w:autoSpaceDN w:val="0"/>
        <w:adjustRightInd w:val="0"/>
        <w:jc w:val="both"/>
        <w:rPr>
          <w:color w:val="000000" w:themeColor="text1"/>
          <w:sz w:val="16"/>
          <w:szCs w:val="16"/>
        </w:rPr>
      </w:pPr>
    </w:p>
    <w:p w14:paraId="363AE2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августа 1935 самолет Козлова из ВВА ПС, который перегнали из Москвы на аэродром в Серпухов, сделал второй полет на высоте 200 м (534;864).</w:t>
      </w:r>
    </w:p>
    <w:p w14:paraId="0C16644F" w14:textId="77777777" w:rsidR="00D4105E" w:rsidRPr="00E14102" w:rsidRDefault="00D4105E" w:rsidP="00E14102">
      <w:pPr>
        <w:autoSpaceDE w:val="0"/>
        <w:autoSpaceDN w:val="0"/>
        <w:adjustRightInd w:val="0"/>
        <w:jc w:val="both"/>
        <w:rPr>
          <w:color w:val="000000" w:themeColor="text1"/>
          <w:sz w:val="16"/>
          <w:szCs w:val="16"/>
        </w:rPr>
      </w:pPr>
    </w:p>
    <w:p w14:paraId="5212E84A" w14:textId="77777777" w:rsidR="003F1358" w:rsidRPr="00E14102" w:rsidRDefault="003F1358" w:rsidP="00E14102">
      <w:pPr>
        <w:pStyle w:val="rtejustify"/>
        <w:spacing w:before="0" w:after="0"/>
        <w:rPr>
          <w:color w:val="000000" w:themeColor="text1"/>
          <w:sz w:val="16"/>
          <w:szCs w:val="16"/>
        </w:rPr>
      </w:pPr>
      <w:r w:rsidRPr="00E14102">
        <w:rPr>
          <w:rStyle w:val="a6"/>
          <w:bCs/>
          <w:i w:val="0"/>
          <w:color w:val="000000" w:themeColor="text1"/>
          <w:sz w:val="16"/>
          <w:szCs w:val="16"/>
        </w:rPr>
        <w:t>7 августа 1935 вышел приказ НКО №</w:t>
      </w:r>
      <w:r w:rsidRPr="00E14102">
        <w:rPr>
          <w:color w:val="000000" w:themeColor="text1"/>
          <w:sz w:val="16"/>
          <w:szCs w:val="16"/>
        </w:rPr>
        <w:t> 0055. О повторении войсковых испытаний постановки мин заграждения с самолета на бреющем полете — МАН</w:t>
      </w:r>
      <w:r w:rsidRPr="00E14102">
        <w:rPr>
          <w:color w:val="000000" w:themeColor="text1"/>
          <w:sz w:val="16"/>
          <w:szCs w:val="16"/>
        </w:rPr>
        <w:noBreakHyphen/>
        <w:t>1 и МАН</w:t>
      </w:r>
      <w:r w:rsidRPr="00E14102">
        <w:rPr>
          <w:color w:val="000000" w:themeColor="text1"/>
          <w:sz w:val="16"/>
          <w:szCs w:val="16"/>
        </w:rPr>
        <w:noBreakHyphen/>
        <w:t>2 (15247).</w:t>
      </w:r>
    </w:p>
    <w:p w14:paraId="3A664490" w14:textId="77777777" w:rsidR="003F1358" w:rsidRPr="00E14102" w:rsidRDefault="003F1358" w:rsidP="00E14102">
      <w:pPr>
        <w:pStyle w:val="rtejustify"/>
        <w:spacing w:before="0" w:after="0"/>
        <w:rPr>
          <w:color w:val="000000" w:themeColor="text1"/>
          <w:sz w:val="16"/>
          <w:szCs w:val="16"/>
        </w:rPr>
      </w:pPr>
    </w:p>
    <w:p w14:paraId="00610E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августа 1935 был ЦИК и СНК принят новый Воздушный кодекс (446,367).</w:t>
      </w:r>
    </w:p>
    <w:p w14:paraId="267405DB" w14:textId="77777777" w:rsidR="00D4105E" w:rsidRPr="00E14102" w:rsidRDefault="00D4105E" w:rsidP="00E14102">
      <w:pPr>
        <w:autoSpaceDE w:val="0"/>
        <w:autoSpaceDN w:val="0"/>
        <w:adjustRightInd w:val="0"/>
        <w:jc w:val="both"/>
        <w:rPr>
          <w:color w:val="000000" w:themeColor="text1"/>
          <w:sz w:val="16"/>
          <w:szCs w:val="16"/>
        </w:rPr>
      </w:pPr>
    </w:p>
    <w:p w14:paraId="4C115F40" w14:textId="77777777" w:rsidR="003F1358" w:rsidRPr="00E14102" w:rsidRDefault="003F1358" w:rsidP="00E14102">
      <w:pPr>
        <w:jc w:val="both"/>
        <w:rPr>
          <w:color w:val="000000" w:themeColor="text1"/>
          <w:sz w:val="16"/>
          <w:szCs w:val="16"/>
        </w:rPr>
      </w:pPr>
      <w:r w:rsidRPr="00E14102">
        <w:rPr>
          <w:color w:val="000000" w:themeColor="text1"/>
          <w:sz w:val="16"/>
          <w:szCs w:val="16"/>
        </w:rPr>
        <w:t>7 августа в 1935 году утвержден новый Воздушный кодекс СССР (14976).</w:t>
      </w:r>
    </w:p>
    <w:p w14:paraId="5180076B" w14:textId="77777777" w:rsidR="003F1358" w:rsidRPr="00E14102" w:rsidRDefault="003F1358" w:rsidP="00E14102">
      <w:pPr>
        <w:jc w:val="both"/>
        <w:rPr>
          <w:color w:val="000000" w:themeColor="text1"/>
          <w:sz w:val="16"/>
          <w:szCs w:val="16"/>
        </w:rPr>
      </w:pPr>
    </w:p>
    <w:p w14:paraId="37A986A9" w14:textId="77777777" w:rsidR="003F1358"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D9FE5B8" w14:textId="77777777" w:rsidR="003F1358" w:rsidRPr="00E14102" w:rsidRDefault="003F1358" w:rsidP="00E14102">
      <w:pPr>
        <w:autoSpaceDE w:val="0"/>
        <w:autoSpaceDN w:val="0"/>
        <w:adjustRightInd w:val="0"/>
        <w:jc w:val="both"/>
        <w:rPr>
          <w:iCs/>
          <w:color w:val="000000" w:themeColor="text1"/>
          <w:sz w:val="16"/>
          <w:szCs w:val="16"/>
        </w:rPr>
      </w:pPr>
    </w:p>
    <w:p w14:paraId="7A3CCC5C" w14:textId="77777777" w:rsidR="003F1358" w:rsidRPr="00E14102" w:rsidRDefault="003F1358" w:rsidP="00E14102">
      <w:pPr>
        <w:pStyle w:val="rtejustify"/>
        <w:spacing w:before="0" w:after="0"/>
        <w:rPr>
          <w:color w:val="000000" w:themeColor="text1"/>
          <w:sz w:val="16"/>
          <w:szCs w:val="16"/>
        </w:rPr>
      </w:pPr>
      <w:r w:rsidRPr="00E14102">
        <w:rPr>
          <w:rStyle w:val="a6"/>
          <w:bCs/>
          <w:i w:val="0"/>
          <w:color w:val="000000" w:themeColor="text1"/>
          <w:sz w:val="16"/>
          <w:szCs w:val="16"/>
        </w:rPr>
        <w:t>7 августа 1935 вышел приказ НКТП № 136с.</w:t>
      </w:r>
      <w:r w:rsidRPr="00E14102">
        <w:rPr>
          <w:color w:val="000000" w:themeColor="text1"/>
          <w:sz w:val="16"/>
          <w:szCs w:val="16"/>
        </w:rPr>
        <w:t xml:space="preserve"> Об обеспечении Ростокинского завода специальных автомашин материалами для выполнения заказа НКО СССР на поставку РККА автобензомаслозаправщиков в 1935 г. (РГАЭ. Ф. 7297. Оп. 38. Д. 171. Л. 206) (15246).</w:t>
      </w:r>
    </w:p>
    <w:p w14:paraId="0978E3D4" w14:textId="77777777" w:rsidR="003F1358" w:rsidRPr="00E14102" w:rsidRDefault="003F1358" w:rsidP="00E14102">
      <w:pPr>
        <w:pStyle w:val="rtejustify"/>
        <w:spacing w:before="0" w:after="0"/>
        <w:rPr>
          <w:color w:val="000000" w:themeColor="text1"/>
          <w:sz w:val="16"/>
          <w:szCs w:val="16"/>
        </w:rPr>
      </w:pPr>
    </w:p>
    <w:p w14:paraId="7DC8FFF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310E9FF" w14:textId="77777777" w:rsidR="00D4105E" w:rsidRPr="00E14102" w:rsidRDefault="00D4105E" w:rsidP="00E14102">
      <w:pPr>
        <w:autoSpaceDE w:val="0"/>
        <w:autoSpaceDN w:val="0"/>
        <w:adjustRightInd w:val="0"/>
        <w:jc w:val="both"/>
        <w:rPr>
          <w:iCs/>
          <w:color w:val="000000" w:themeColor="text1"/>
          <w:sz w:val="16"/>
          <w:szCs w:val="16"/>
        </w:rPr>
      </w:pPr>
    </w:p>
    <w:p w14:paraId="5AED9C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августа 1935 приказом МВС № 245 станции “Карманово” и “Волжская плотина” Волжской железной дороги были переименованы в станции “Техника” и “Большая Волга” (7560).</w:t>
      </w:r>
    </w:p>
    <w:p w14:paraId="68A90569" w14:textId="77777777" w:rsidR="00D4105E" w:rsidRPr="00E14102" w:rsidRDefault="00D4105E" w:rsidP="00E14102">
      <w:pPr>
        <w:autoSpaceDE w:val="0"/>
        <w:autoSpaceDN w:val="0"/>
        <w:adjustRightInd w:val="0"/>
        <w:jc w:val="both"/>
        <w:rPr>
          <w:color w:val="000000" w:themeColor="text1"/>
          <w:sz w:val="16"/>
          <w:szCs w:val="16"/>
        </w:rPr>
      </w:pPr>
    </w:p>
    <w:p w14:paraId="37416F8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4605479" w14:textId="77777777" w:rsidR="00D4105E" w:rsidRPr="00E14102" w:rsidRDefault="00D4105E" w:rsidP="00E14102">
      <w:pPr>
        <w:autoSpaceDE w:val="0"/>
        <w:autoSpaceDN w:val="0"/>
        <w:adjustRightInd w:val="0"/>
        <w:jc w:val="both"/>
        <w:rPr>
          <w:iCs/>
          <w:color w:val="000000" w:themeColor="text1"/>
          <w:sz w:val="16"/>
          <w:szCs w:val="16"/>
        </w:rPr>
      </w:pPr>
    </w:p>
    <w:p w14:paraId="5E959C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августа 1935 года Алкснис писал письмо Тухачевскому.</w:t>
      </w:r>
    </w:p>
    <w:p w14:paraId="2C98D5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наркома обороны от 8-го мая с.г. N 076 на УВС возложено проведение испытаний эффективности всех калибров авиабомб, вероятных отклонений, технического рассеивания в залпах и работы электрифицированного бомбардировочного вооружения на самолетах ТБ3-М34Р и Р5 в Оренбурге в период с 15 июля по 15 августа.</w:t>
      </w:r>
    </w:p>
    <w:p w14:paraId="7E48AE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самолетах Р5 испытания в настоящий момент проводятся и будут закончены в срок, т.е. до 15 августа, в отношении же самолетов ТБ3-М34р, то таковые могут быть получены с завода N 22 только по устранении на них выявленных конструктивных дефектов не ранее 15-20 августа. (3126,182).</w:t>
      </w:r>
    </w:p>
    <w:p w14:paraId="455B27A3" w14:textId="77777777" w:rsidR="00D4105E" w:rsidRPr="00E14102" w:rsidRDefault="00D4105E" w:rsidP="00E14102">
      <w:pPr>
        <w:autoSpaceDE w:val="0"/>
        <w:autoSpaceDN w:val="0"/>
        <w:adjustRightInd w:val="0"/>
        <w:jc w:val="both"/>
        <w:rPr>
          <w:color w:val="000000" w:themeColor="text1"/>
          <w:sz w:val="16"/>
          <w:szCs w:val="16"/>
        </w:rPr>
      </w:pPr>
    </w:p>
    <w:p w14:paraId="550C68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августа 1935 приказом Зам. Наркома обороны и начальник вооружений РККА М.Н.Тухачевского на основе двух групп специалистов, работающих над ЖРД, было организовано КБ-7. Создали испытательную станцию со стендом для огневых испытаний. Нач. КБ-7 Л.К.Корнеев, зам. нач. и ГИ - А.И.Полярный. Разработали 40 ЖРД, работающих на жидком кислороде и спирте и 7 вариантов КРД и 20 прошли огневые испытания. Также разработали 12 вариантов жидкостных баллистических ракет. Ракеты Р-03, Р-03/с, Р-06/г, и АНИР-5 были изготовлены небольшими сериями и прошли летные испытания (1232).</w:t>
      </w:r>
    </w:p>
    <w:p w14:paraId="581065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августа 1935 по апрель 1939 в Москве работало СКБ по жидкостным баллистическим ракетам - КБ-7 (1232).</w:t>
      </w:r>
    </w:p>
    <w:p w14:paraId="080B7DDD" w14:textId="77777777" w:rsidR="00D4105E" w:rsidRPr="00E14102" w:rsidRDefault="00D4105E" w:rsidP="00E14102">
      <w:pPr>
        <w:autoSpaceDE w:val="0"/>
        <w:autoSpaceDN w:val="0"/>
        <w:adjustRightInd w:val="0"/>
        <w:jc w:val="both"/>
        <w:rPr>
          <w:color w:val="000000" w:themeColor="text1"/>
          <w:sz w:val="16"/>
          <w:szCs w:val="16"/>
        </w:rPr>
      </w:pPr>
    </w:p>
    <w:p w14:paraId="3BE84BEC" w14:textId="77777777" w:rsidR="003F1358" w:rsidRPr="00E14102" w:rsidRDefault="003F1358" w:rsidP="00E14102">
      <w:pPr>
        <w:pStyle w:val="rtejustify"/>
        <w:spacing w:before="0" w:after="0"/>
        <w:rPr>
          <w:color w:val="000000" w:themeColor="text1"/>
          <w:sz w:val="16"/>
          <w:szCs w:val="16"/>
        </w:rPr>
      </w:pPr>
      <w:r w:rsidRPr="00E14102">
        <w:rPr>
          <w:rStyle w:val="a6"/>
          <w:bCs/>
          <w:i w:val="0"/>
          <w:color w:val="000000" w:themeColor="text1"/>
          <w:sz w:val="16"/>
          <w:szCs w:val="16"/>
        </w:rPr>
        <w:t>8 августа 1935 вышел приказ НКО №</w:t>
      </w:r>
      <w:r w:rsidRPr="00E14102">
        <w:rPr>
          <w:color w:val="000000" w:themeColor="text1"/>
          <w:sz w:val="16"/>
          <w:szCs w:val="16"/>
        </w:rPr>
        <w:t> 0142. Об организации при АУ РККА конструкторской группы по реализации работ инженера Корнеева Л. К. (ракет-снаряд на жидком топливе) (15247).</w:t>
      </w:r>
    </w:p>
    <w:p w14:paraId="59B55EE5" w14:textId="77777777" w:rsidR="003F1358" w:rsidRPr="00E14102" w:rsidRDefault="003F1358" w:rsidP="00E14102">
      <w:pPr>
        <w:pStyle w:val="rtejustify"/>
        <w:spacing w:before="0" w:after="0"/>
        <w:rPr>
          <w:color w:val="000000" w:themeColor="text1"/>
          <w:sz w:val="16"/>
          <w:szCs w:val="16"/>
        </w:rPr>
      </w:pPr>
    </w:p>
    <w:p w14:paraId="1E065FF2" w14:textId="77777777" w:rsidR="00CC30E3" w:rsidRPr="00E14102" w:rsidRDefault="00CC30E3" w:rsidP="00E14102">
      <w:pPr>
        <w:jc w:val="both"/>
        <w:rPr>
          <w:color w:val="000000" w:themeColor="text1"/>
          <w:sz w:val="16"/>
          <w:szCs w:val="16"/>
        </w:rPr>
      </w:pPr>
      <w:r w:rsidRPr="00E14102">
        <w:rPr>
          <w:color w:val="000000" w:themeColor="text1"/>
          <w:sz w:val="16"/>
          <w:szCs w:val="16"/>
        </w:rPr>
        <w:t xml:space="preserve">8 августа 1935 г. приказом Тухачевского наряду с РНИИ было организовано КБ-7 по проектированию баллистических ракет на компонентах топлива кислород и спирт. Создавалось на основе бывшей бригады Цандера (руководители Л.К.Корнеев и А.И.Полярный). Реальной отдачи от КБ-7 быстро получено не было, и сотрудников КБ-7 в </w:t>
      </w:r>
      <w:smartTag w:uri="urn:schemas-microsoft-com:office:smarttags" w:element="metricconverter">
        <w:smartTagPr>
          <w:attr w:name="ProductID" w:val="1937 г"/>
        </w:smartTagPr>
        <w:r w:rsidRPr="00E14102">
          <w:rPr>
            <w:color w:val="000000" w:themeColor="text1"/>
            <w:sz w:val="16"/>
            <w:szCs w:val="16"/>
          </w:rPr>
          <w:t>1937 г</w:t>
        </w:r>
      </w:smartTag>
      <w:r w:rsidRPr="00E14102">
        <w:rPr>
          <w:color w:val="000000" w:themeColor="text1"/>
          <w:sz w:val="16"/>
          <w:szCs w:val="16"/>
        </w:rPr>
        <w:t xml:space="preserve">. включили в состав РНИИ. Поверить в реальность создания таких ракет стало возможным только в </w:t>
      </w:r>
      <w:smartTag w:uri="urn:schemas-microsoft-com:office:smarttags" w:element="metricconverter">
        <w:smartTagPr>
          <w:attr w:name="ProductID" w:val="1944 г"/>
        </w:smartTagPr>
        <w:r w:rsidRPr="00E14102">
          <w:rPr>
            <w:color w:val="000000" w:themeColor="text1"/>
            <w:sz w:val="16"/>
            <w:szCs w:val="16"/>
          </w:rPr>
          <w:t>1944 г</w:t>
        </w:r>
      </w:smartTag>
      <w:r w:rsidRPr="00E14102">
        <w:rPr>
          <w:color w:val="000000" w:themeColor="text1"/>
          <w:sz w:val="16"/>
          <w:szCs w:val="16"/>
        </w:rPr>
        <w:t>. после знакомства с Фау-2 (19590).</w:t>
      </w:r>
    </w:p>
    <w:p w14:paraId="759B77D7" w14:textId="77777777" w:rsidR="00CC30E3" w:rsidRPr="00E14102" w:rsidRDefault="00CC30E3" w:rsidP="00E14102">
      <w:pPr>
        <w:jc w:val="both"/>
        <w:rPr>
          <w:color w:val="000000" w:themeColor="text1"/>
          <w:sz w:val="16"/>
          <w:szCs w:val="16"/>
        </w:rPr>
      </w:pPr>
    </w:p>
    <w:p w14:paraId="685164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августа 1935 состоялось решение ЦК ВКП(б) и СНК о работе Осоавиахима как боевого резерва КА (271,155).</w:t>
      </w:r>
    </w:p>
    <w:p w14:paraId="1585691C" w14:textId="77777777" w:rsidR="00D4105E" w:rsidRPr="00E14102" w:rsidRDefault="00D4105E" w:rsidP="00E14102">
      <w:pPr>
        <w:autoSpaceDE w:val="0"/>
        <w:autoSpaceDN w:val="0"/>
        <w:adjustRightInd w:val="0"/>
        <w:jc w:val="both"/>
        <w:rPr>
          <w:color w:val="000000" w:themeColor="text1"/>
          <w:sz w:val="16"/>
          <w:szCs w:val="16"/>
        </w:rPr>
      </w:pPr>
    </w:p>
    <w:p w14:paraId="4B54C031" w14:textId="77777777" w:rsidR="006C4420" w:rsidRPr="00E14102" w:rsidRDefault="006C4420" w:rsidP="00E14102">
      <w:pPr>
        <w:jc w:val="both"/>
        <w:rPr>
          <w:color w:val="0070C0"/>
          <w:sz w:val="16"/>
          <w:szCs w:val="16"/>
        </w:rPr>
      </w:pPr>
      <w:r w:rsidRPr="00E14102">
        <w:rPr>
          <w:color w:val="0070C0"/>
          <w:sz w:val="16"/>
          <w:szCs w:val="16"/>
        </w:rPr>
        <w:t>8 августа 1935 ЦК ВКП(б) и Совнарком СССР приняли постановление "О работе Осавиахима и подготовке формирований МПВО, массовой сдаче населением норм на знак "Готов к ПХВО" ("Готов к противовоздушной и химической обороне") (21179).</w:t>
      </w:r>
    </w:p>
    <w:p w14:paraId="0D5DF949" w14:textId="77777777" w:rsidR="006C4420" w:rsidRPr="00E14102" w:rsidRDefault="006C4420" w:rsidP="00E14102">
      <w:pPr>
        <w:jc w:val="both"/>
        <w:rPr>
          <w:color w:val="0070C0"/>
          <w:sz w:val="16"/>
          <w:szCs w:val="16"/>
        </w:rPr>
      </w:pPr>
    </w:p>
    <w:p w14:paraId="6931250E" w14:textId="77777777" w:rsidR="006C4420" w:rsidRPr="00E14102" w:rsidRDefault="006C4420" w:rsidP="00E14102">
      <w:pPr>
        <w:jc w:val="both"/>
        <w:rPr>
          <w:color w:val="0070C0"/>
          <w:sz w:val="16"/>
          <w:szCs w:val="16"/>
        </w:rPr>
      </w:pPr>
      <w:r w:rsidRPr="00E14102">
        <w:rPr>
          <w:color w:val="0070C0"/>
          <w:sz w:val="16"/>
          <w:szCs w:val="16"/>
        </w:rPr>
        <w:t>8 августа 1935 года в постановлении СНК СССР и ЦК ВКП(б) от «Об Осоавиахиме» была дана следующая оценка деятельности Осоавиахима: «Установка Центрального Совета ОАХ на безграничное вовлечение трудящихся страны в члены ОАХ является неправильной … широко популяризируемая ОАХом численность организации в 13млн. членов оказалась далеко не соответствующей фактическому наличию действительных членов» (РГВА. Ф. 32871. Оп. 1. Д. 46. Л.49) (21402).</w:t>
      </w:r>
    </w:p>
    <w:p w14:paraId="1D678B7D" w14:textId="77777777" w:rsidR="006C4420" w:rsidRPr="00E14102" w:rsidRDefault="006C4420" w:rsidP="00E14102">
      <w:pPr>
        <w:jc w:val="both"/>
        <w:rPr>
          <w:color w:val="0070C0"/>
          <w:sz w:val="16"/>
          <w:szCs w:val="16"/>
        </w:rPr>
      </w:pPr>
    </w:p>
    <w:p w14:paraId="3A1E18A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FA4DBCB" w14:textId="77777777" w:rsidR="00D4105E" w:rsidRPr="00E14102" w:rsidRDefault="00D4105E" w:rsidP="00E14102">
      <w:pPr>
        <w:autoSpaceDE w:val="0"/>
        <w:autoSpaceDN w:val="0"/>
        <w:adjustRightInd w:val="0"/>
        <w:jc w:val="both"/>
        <w:rPr>
          <w:iCs/>
          <w:color w:val="000000" w:themeColor="text1"/>
          <w:sz w:val="16"/>
          <w:szCs w:val="16"/>
        </w:rPr>
      </w:pPr>
    </w:p>
    <w:p w14:paraId="6290D0C3" w14:textId="77777777" w:rsidR="003F1358" w:rsidRPr="00E14102" w:rsidRDefault="003F1358" w:rsidP="00E14102">
      <w:pPr>
        <w:pStyle w:val="rtejustify"/>
        <w:spacing w:before="0" w:after="0"/>
        <w:rPr>
          <w:color w:val="000000" w:themeColor="text1"/>
          <w:sz w:val="16"/>
          <w:szCs w:val="16"/>
        </w:rPr>
      </w:pPr>
      <w:r w:rsidRPr="00E14102">
        <w:rPr>
          <w:rStyle w:val="a6"/>
          <w:bCs/>
          <w:i w:val="0"/>
          <w:color w:val="000000" w:themeColor="text1"/>
          <w:sz w:val="16"/>
          <w:szCs w:val="16"/>
        </w:rPr>
        <w:t>8 августа 1935 вышел приказ НКО №</w:t>
      </w:r>
      <w:r w:rsidRPr="00E14102">
        <w:rPr>
          <w:color w:val="000000" w:themeColor="text1"/>
          <w:sz w:val="16"/>
          <w:szCs w:val="16"/>
        </w:rPr>
        <w:t> 0057. Об организации научно-технического бюро тт. Лаврова и Фефера по разработке бронехимического снаряда (15247).</w:t>
      </w:r>
    </w:p>
    <w:p w14:paraId="68A5B6C2" w14:textId="77777777" w:rsidR="003F1358" w:rsidRPr="00E14102" w:rsidRDefault="003F1358" w:rsidP="00E14102">
      <w:pPr>
        <w:pStyle w:val="rtejustify"/>
        <w:spacing w:before="0" w:after="0"/>
        <w:rPr>
          <w:color w:val="000000" w:themeColor="text1"/>
          <w:sz w:val="16"/>
          <w:szCs w:val="16"/>
        </w:rPr>
      </w:pPr>
    </w:p>
    <w:p w14:paraId="38611C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августа 1935 г. благодаря форсированным темпам строительства головную лодку серии Н спустили на воду, а 15 декабря 1935 г. провели на Неве пробное погружение (3898).</w:t>
      </w:r>
    </w:p>
    <w:p w14:paraId="008498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головной подводной лодки выявили некоторые от</w:t>
      </w:r>
      <w:r w:rsidRPr="00E14102">
        <w:rPr>
          <w:color w:val="000000" w:themeColor="text1"/>
          <w:sz w:val="16"/>
          <w:szCs w:val="16"/>
        </w:rPr>
        <w:softHyphen/>
        <w:t>ступления от общего проекта, в частности по надводной скорости хода , а также неудобную конструкцию ограждения рубки и силь</w:t>
      </w:r>
      <w:r w:rsidRPr="00E14102">
        <w:rPr>
          <w:color w:val="000000" w:themeColor="text1"/>
          <w:sz w:val="16"/>
          <w:szCs w:val="16"/>
        </w:rPr>
        <w:softHyphen/>
        <w:t>ную вибрацию перископов на полном ходу. В целом же лодка впол</w:t>
      </w:r>
      <w:r w:rsidRPr="00E14102">
        <w:rPr>
          <w:color w:val="000000" w:themeColor="text1"/>
          <w:sz w:val="16"/>
          <w:szCs w:val="16"/>
        </w:rPr>
        <w:softHyphen/>
        <w:t>не отвечала достаточно высоким требованиям, предъявленным РККФ, и лучшим достижениям подводного судостроения своего времени. Сильное торпедное и артиллерийское вооружение и высо</w:t>
      </w:r>
      <w:r w:rsidRPr="00E14102">
        <w:rPr>
          <w:color w:val="000000" w:themeColor="text1"/>
          <w:sz w:val="16"/>
          <w:szCs w:val="16"/>
        </w:rPr>
        <w:softHyphen/>
        <w:t>кую надводную скорость хода (близкую к заданиям на эскадренную лодку) в проекте IX серии удалось совместить в пределах относи</w:t>
      </w:r>
      <w:r w:rsidRPr="00E14102">
        <w:rPr>
          <w:color w:val="000000" w:themeColor="text1"/>
          <w:sz w:val="16"/>
          <w:szCs w:val="16"/>
        </w:rPr>
        <w:softHyphen/>
        <w:t>тельно небольшого водоизмещения. Лодка имела полуторакорпус-ную архитектуру. Ее прочный корпус, состоявший из цилиндров и усеченных конусов, выполнялся клепаным, а легкий — сварным. В носовой части легкого корпуса были установлены пилообразные сетепрорезатели. Прочный корпус подразделялся на семь отсеков, при этом впервые был реализован принцип трех отсеков-убежищ со сферическими переборками, рассчитанными на предельную глу</w:t>
      </w:r>
      <w:r w:rsidRPr="00E14102">
        <w:rPr>
          <w:color w:val="000000" w:themeColor="text1"/>
          <w:sz w:val="16"/>
          <w:szCs w:val="16"/>
        </w:rPr>
        <w:softHyphen/>
        <w:t>бину погружения. Прочная рубка овальной формы служила для размещения главного командного пункта (ГКП), что обеспечило большую высоту головок поднятьк перископов над палубой над</w:t>
      </w:r>
      <w:r w:rsidRPr="00E14102">
        <w:rPr>
          <w:color w:val="000000" w:themeColor="text1"/>
          <w:sz w:val="16"/>
          <w:szCs w:val="16"/>
        </w:rPr>
        <w:softHyphen/>
        <w:t>стройки.</w:t>
      </w:r>
    </w:p>
    <w:p w14:paraId="79CF4F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Дистанционное управление рулями, кингстонами и клапанами вентиляции, а также подъем перископов, осуществлялись гидрав</w:t>
      </w:r>
      <w:r w:rsidRPr="00E14102">
        <w:rPr>
          <w:color w:val="000000" w:themeColor="text1"/>
          <w:sz w:val="16"/>
          <w:szCs w:val="16"/>
        </w:rPr>
        <w:softHyphen/>
        <w:t>лическими приводами, которые имели преимущества перед бо</w:t>
      </w:r>
      <w:r w:rsidRPr="00E14102">
        <w:rPr>
          <w:color w:val="000000" w:themeColor="text1"/>
          <w:sz w:val="16"/>
          <w:szCs w:val="16"/>
        </w:rPr>
        <w:softHyphen/>
        <w:t>лее сложными и тяжелыми электричекими приводами в отноше</w:t>
      </w:r>
      <w:r w:rsidRPr="00E14102">
        <w:rPr>
          <w:color w:val="000000" w:themeColor="text1"/>
          <w:sz w:val="16"/>
          <w:szCs w:val="16"/>
        </w:rPr>
        <w:softHyphen/>
        <w:t>нии надежности и быстроты действия. Вентиляционные трубы получили аварийные захлопки.</w:t>
      </w:r>
    </w:p>
    <w:p w14:paraId="212397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Девять ЦГБ подразделялись на три группы, палубных цистерн не было, а уравнительная цистерна и цистерна быстрого погруже</w:t>
      </w:r>
      <w:r w:rsidRPr="00E14102">
        <w:rPr>
          <w:color w:val="000000" w:themeColor="text1"/>
          <w:sz w:val="16"/>
          <w:szCs w:val="16"/>
        </w:rPr>
        <w:softHyphen/>
        <w:t>ния помещались вне прочного корпуса. Продувание ЦГБ обеспечи</w:t>
      </w:r>
      <w:r w:rsidRPr="00E14102">
        <w:rPr>
          <w:color w:val="000000" w:themeColor="text1"/>
          <w:sz w:val="16"/>
          <w:szCs w:val="16"/>
        </w:rPr>
        <w:softHyphen/>
        <w:t>валось газами дизелей или воздухом высокого давления, хранив</w:t>
      </w:r>
      <w:r w:rsidRPr="00E14102">
        <w:rPr>
          <w:color w:val="000000" w:themeColor="text1"/>
          <w:sz w:val="16"/>
          <w:szCs w:val="16"/>
        </w:rPr>
        <w:softHyphen/>
        <w:t>шимся в 14 баллонах увеличенной емкости (по 410 л). Время всплытия лодки в крейсерское положение составило 7—8 мин., срочного погружения 68 с.</w:t>
      </w:r>
    </w:p>
    <w:p w14:paraId="6D7D6E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первой и второй лодках были установлены по два 4-такт-ных дизельных двигателя фирмыМАН мощностью по 2000 л. с. каждый, разобщительные фрикционные муфты фирмы "Бамаг", по два гребных электродвигателя завода "Электросила" мощностью 550 л. с. и аккумуляторная батарея из двух групп по 62 элемента фирмы АФА. Аккумуляторная яма была герметична и имела не</w:t>
      </w:r>
      <w:r w:rsidRPr="00E14102">
        <w:rPr>
          <w:color w:val="000000" w:themeColor="text1"/>
          <w:sz w:val="16"/>
          <w:szCs w:val="16"/>
        </w:rPr>
        <w:softHyphen/>
        <w:t>большую высоту, так как элементы обслуживались со специальньсс подвесных тележек. Это обеспечило удобство внутреннего располо</w:t>
      </w:r>
      <w:r w:rsidRPr="00E14102">
        <w:rPr>
          <w:color w:val="000000" w:themeColor="text1"/>
          <w:sz w:val="16"/>
          <w:szCs w:val="16"/>
        </w:rPr>
        <w:softHyphen/>
        <w:t>жения II и IV отсеков.</w:t>
      </w:r>
    </w:p>
    <w:p w14:paraId="000A00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Лодки показали хорошие мореходные качества в надводном положении. Обтекатель низко расположенного 100-мм орудия (бо</w:t>
      </w:r>
      <w:r w:rsidRPr="00E14102">
        <w:rPr>
          <w:color w:val="000000" w:themeColor="text1"/>
          <w:sz w:val="16"/>
          <w:szCs w:val="16"/>
        </w:rPr>
        <w:softHyphen/>
        <w:t>езапас — 200 патронов), оказался громоздким и затруднял приго</w:t>
      </w:r>
      <w:r w:rsidRPr="00E14102">
        <w:rPr>
          <w:color w:val="000000" w:themeColor="text1"/>
          <w:sz w:val="16"/>
          <w:szCs w:val="16"/>
        </w:rPr>
        <w:softHyphen/>
        <w:t>товление орудия к действию. По опыту войны позднее пришлось отказаться и от сетепрорезателя, не обеспечивавшего надежного преодоления сетей.</w:t>
      </w:r>
    </w:p>
    <w:p w14:paraId="1AC55C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Создание лодок IX серии имело большое положительное значе</w:t>
      </w:r>
      <w:r w:rsidRPr="00E14102">
        <w:rPr>
          <w:color w:val="000000" w:themeColor="text1"/>
          <w:sz w:val="16"/>
          <w:szCs w:val="16"/>
        </w:rPr>
        <w:softHyphen/>
        <w:t>ние для отечественного подводного кораблестрения. Многие конст</w:t>
      </w:r>
      <w:r w:rsidRPr="00E14102">
        <w:rPr>
          <w:color w:val="000000" w:themeColor="text1"/>
          <w:sz w:val="16"/>
          <w:szCs w:val="16"/>
        </w:rPr>
        <w:softHyphen/>
        <w:t>рукторские решения и типы механизмов, впервые принятые для них, были реализованы на последующих сериях подводных лодок (3898).</w:t>
      </w:r>
    </w:p>
    <w:p w14:paraId="206C051B" w14:textId="77777777" w:rsidR="00D4105E" w:rsidRPr="00E14102" w:rsidRDefault="00D4105E" w:rsidP="00E14102">
      <w:pPr>
        <w:autoSpaceDE w:val="0"/>
        <w:autoSpaceDN w:val="0"/>
        <w:adjustRightInd w:val="0"/>
        <w:jc w:val="both"/>
        <w:rPr>
          <w:color w:val="000000" w:themeColor="text1"/>
          <w:sz w:val="16"/>
          <w:szCs w:val="16"/>
        </w:rPr>
      </w:pPr>
    </w:p>
    <w:p w14:paraId="6B0C96E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D0506CF" w14:textId="77777777" w:rsidR="00D4105E" w:rsidRPr="00E14102" w:rsidRDefault="00D4105E" w:rsidP="00E14102">
      <w:pPr>
        <w:autoSpaceDE w:val="0"/>
        <w:autoSpaceDN w:val="0"/>
        <w:adjustRightInd w:val="0"/>
        <w:jc w:val="both"/>
        <w:rPr>
          <w:iCs/>
          <w:color w:val="000000" w:themeColor="text1"/>
          <w:sz w:val="16"/>
          <w:szCs w:val="16"/>
        </w:rPr>
      </w:pPr>
    </w:p>
    <w:p w14:paraId="24E321B8" w14:textId="77777777" w:rsidR="003F1358" w:rsidRPr="00E14102" w:rsidRDefault="003F1358" w:rsidP="00E14102">
      <w:pPr>
        <w:autoSpaceDE w:val="0"/>
        <w:autoSpaceDN w:val="0"/>
        <w:adjustRightInd w:val="0"/>
        <w:jc w:val="both"/>
        <w:rPr>
          <w:color w:val="000000" w:themeColor="text1"/>
          <w:sz w:val="16"/>
          <w:szCs w:val="16"/>
        </w:rPr>
      </w:pPr>
      <w:r w:rsidRPr="00E14102">
        <w:rPr>
          <w:color w:val="000000" w:themeColor="text1"/>
          <w:sz w:val="16"/>
          <w:szCs w:val="16"/>
        </w:rPr>
        <w:t>8 августа 1935 был выполнен первый полет на Моран-Сольнье MS.450 N 1. летали сначала с неубирающимися шасси и второй этап испытаний был в декабре 1935 (3077).</w:t>
      </w:r>
    </w:p>
    <w:p w14:paraId="3891669D" w14:textId="77777777" w:rsidR="003F1358" w:rsidRPr="00E14102" w:rsidRDefault="003F1358" w:rsidP="00E14102">
      <w:pPr>
        <w:autoSpaceDE w:val="0"/>
        <w:autoSpaceDN w:val="0"/>
        <w:adjustRightInd w:val="0"/>
        <w:jc w:val="both"/>
        <w:rPr>
          <w:color w:val="000000" w:themeColor="text1"/>
          <w:sz w:val="16"/>
          <w:szCs w:val="16"/>
        </w:rPr>
      </w:pPr>
    </w:p>
    <w:p w14:paraId="3D1A558D" w14:textId="77777777" w:rsidR="003F1358" w:rsidRPr="00E14102" w:rsidRDefault="003F1358" w:rsidP="00E14102">
      <w:pPr>
        <w:jc w:val="both"/>
        <w:rPr>
          <w:color w:val="000000" w:themeColor="text1"/>
          <w:sz w:val="16"/>
          <w:szCs w:val="16"/>
        </w:rPr>
      </w:pPr>
      <w:r w:rsidRPr="00E14102">
        <w:rPr>
          <w:color w:val="000000" w:themeColor="text1"/>
          <w:sz w:val="16"/>
          <w:szCs w:val="16"/>
        </w:rPr>
        <w:t xml:space="preserve">8 августа в 1935 году летчик М.Детройя совершил на прототипе </w:t>
      </w:r>
      <w:hyperlink r:id="rId171" w:tgtFrame="_blank" w:history="1">
        <w:r w:rsidRPr="00E14102">
          <w:rPr>
            <w:color w:val="000000" w:themeColor="text1"/>
            <w:sz w:val="16"/>
            <w:szCs w:val="16"/>
          </w:rPr>
          <w:t xml:space="preserve">«MS.405N-1» </w:t>
        </w:r>
      </w:hyperlink>
      <w:r w:rsidRPr="00E14102">
        <w:rPr>
          <w:color w:val="000000" w:themeColor="text1"/>
          <w:sz w:val="16"/>
          <w:szCs w:val="16"/>
        </w:rPr>
        <w:t>французского истребителя «Morane-Saulnier» «MS.405» первый полет. На самолете стояло временное неубирающееся шасси (ниши для укладки колес зашили). После нескольких полетов колеса сделали убирающимися, поставили радио и вооружение с крыльевыми наплывами на передней кромке (14977).</w:t>
      </w:r>
    </w:p>
    <w:p w14:paraId="3650C4C3" w14:textId="77777777" w:rsidR="003F1358" w:rsidRPr="00E14102" w:rsidRDefault="003F1358" w:rsidP="00E14102">
      <w:pPr>
        <w:jc w:val="both"/>
        <w:rPr>
          <w:color w:val="000000" w:themeColor="text1"/>
          <w:sz w:val="16"/>
          <w:szCs w:val="16"/>
        </w:rPr>
      </w:pPr>
    </w:p>
    <w:p w14:paraId="31275064" w14:textId="77777777" w:rsidR="00EE7823" w:rsidRPr="00E14102" w:rsidRDefault="00EE7823" w:rsidP="00E14102">
      <w:pPr>
        <w:jc w:val="both"/>
        <w:rPr>
          <w:color w:val="0070C0"/>
          <w:sz w:val="16"/>
          <w:szCs w:val="16"/>
        </w:rPr>
      </w:pPr>
      <w:r w:rsidRPr="00E14102">
        <w:rPr>
          <w:color w:val="0070C0"/>
          <w:sz w:val="16"/>
          <w:szCs w:val="16"/>
        </w:rPr>
        <w:t xml:space="preserve">8 августа 1935 состоялся первый полет Morane-Saulnier MS.405 (20800). </w:t>
      </w:r>
    </w:p>
    <w:p w14:paraId="4C43D861" w14:textId="77777777" w:rsidR="00EE7823" w:rsidRPr="00E14102" w:rsidRDefault="00EE7823" w:rsidP="00E14102">
      <w:pPr>
        <w:jc w:val="both"/>
        <w:rPr>
          <w:color w:val="0070C0"/>
          <w:sz w:val="16"/>
          <w:szCs w:val="16"/>
        </w:rPr>
      </w:pPr>
    </w:p>
    <w:p w14:paraId="39E9AD22" w14:textId="77777777" w:rsidR="00EE7823" w:rsidRPr="00E14102" w:rsidRDefault="00EE7823" w:rsidP="00E14102">
      <w:pPr>
        <w:jc w:val="both"/>
        <w:rPr>
          <w:color w:val="0070C0"/>
          <w:sz w:val="16"/>
          <w:szCs w:val="16"/>
        </w:rPr>
      </w:pPr>
      <w:r w:rsidRPr="00E14102">
        <w:rPr>
          <w:color w:val="0070C0"/>
          <w:sz w:val="16"/>
          <w:szCs w:val="16"/>
        </w:rPr>
        <w:t>8 августа 1935 года — первый полёт истребителя Morane-Saulnier M.S.406. /Франция/</w:t>
      </w:r>
    </w:p>
    <w:p w14:paraId="54A3B8E8" w14:textId="77777777" w:rsidR="00EE7823" w:rsidRPr="00E14102" w:rsidRDefault="00EE7823" w:rsidP="00E14102">
      <w:pPr>
        <w:jc w:val="both"/>
        <w:rPr>
          <w:color w:val="0070C0"/>
          <w:sz w:val="16"/>
          <w:szCs w:val="16"/>
        </w:rPr>
      </w:pPr>
      <w:r w:rsidRPr="00E14102">
        <w:rPr>
          <w:color w:val="0070C0"/>
          <w:sz w:val="16"/>
          <w:szCs w:val="16"/>
        </w:rPr>
        <w:t>В 1934 году авиационно-техническая служба ВВС Франции опубликовала требования к новому одноместному истребителю-перехватчику. Среди участников конкурса была и компания Morane-Saulnier. Она предложила опытный истребитель M.S.405.</w:t>
      </w:r>
    </w:p>
    <w:p w14:paraId="27F98808" w14:textId="77777777" w:rsidR="00EE7823" w:rsidRPr="00E14102" w:rsidRDefault="00EE7823" w:rsidP="00E14102">
      <w:pPr>
        <w:jc w:val="both"/>
        <w:rPr>
          <w:color w:val="0070C0"/>
          <w:sz w:val="16"/>
          <w:szCs w:val="16"/>
        </w:rPr>
      </w:pPr>
      <w:r w:rsidRPr="00E14102">
        <w:rPr>
          <w:color w:val="0070C0"/>
          <w:sz w:val="16"/>
          <w:szCs w:val="16"/>
        </w:rPr>
        <w:t>M.S.406 представлял собой низкоплан с убираемым шасси и закрытой кабиной. Двигатель Hispano-Suiza 12Y-31 (860 л.с., в варианте M.S.406 C1) позволял развить максимальную скорость до 490 км/ч. Дальность полёта — 1100 км. Вооружение — 1 × 20-мм пушка Hispano-Suiza HS.404 и 2 × 7,5-мм пулемёта MAC 1934.</w:t>
      </w:r>
    </w:p>
    <w:p w14:paraId="2AE45607" w14:textId="77777777" w:rsidR="00EE7823" w:rsidRPr="00E14102" w:rsidRDefault="00EE7823" w:rsidP="00E14102">
      <w:pPr>
        <w:jc w:val="both"/>
        <w:rPr>
          <w:color w:val="0070C0"/>
          <w:sz w:val="16"/>
          <w:szCs w:val="16"/>
        </w:rPr>
      </w:pPr>
      <w:r w:rsidRPr="00E14102">
        <w:rPr>
          <w:color w:val="0070C0"/>
          <w:sz w:val="16"/>
          <w:szCs w:val="16"/>
        </w:rPr>
        <w:t>После испытаний и доработок M.S.405 запустили в серийное производство под обозначением M.S.406. Всего выпустили 1176 истребителей. Они стояли на вооружении французских ВВС, а также ВВС Швейцарии, Финляндии и Турции. Принимали участие во Второй мировой войне (22300).</w:t>
      </w:r>
    </w:p>
    <w:p w14:paraId="14C50A16" w14:textId="77777777" w:rsidR="00EE7823" w:rsidRPr="00E14102" w:rsidRDefault="00EE7823" w:rsidP="00E14102">
      <w:pPr>
        <w:jc w:val="both"/>
        <w:rPr>
          <w:color w:val="0070C0"/>
          <w:sz w:val="16"/>
          <w:szCs w:val="16"/>
        </w:rPr>
      </w:pPr>
    </w:p>
    <w:p w14:paraId="53992BB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 августа 1935 Герман Геринг назначен ответственным за новой индустрией Германии - телевидением (4962).</w:t>
      </w:r>
    </w:p>
    <w:p w14:paraId="362E817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12898D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D7CC400" w14:textId="77777777" w:rsidR="00D4105E" w:rsidRPr="00E14102" w:rsidRDefault="00D4105E" w:rsidP="00E14102">
      <w:pPr>
        <w:autoSpaceDE w:val="0"/>
        <w:autoSpaceDN w:val="0"/>
        <w:adjustRightInd w:val="0"/>
        <w:jc w:val="both"/>
        <w:rPr>
          <w:iCs/>
          <w:color w:val="000000" w:themeColor="text1"/>
          <w:sz w:val="16"/>
          <w:szCs w:val="16"/>
        </w:rPr>
      </w:pPr>
    </w:p>
    <w:p w14:paraId="36FCDF92" w14:textId="77777777" w:rsidR="00EE7823" w:rsidRPr="00E14102" w:rsidRDefault="00EE7823" w:rsidP="00E14102">
      <w:pPr>
        <w:jc w:val="both"/>
        <w:rPr>
          <w:color w:val="0070C0"/>
          <w:sz w:val="16"/>
          <w:szCs w:val="16"/>
        </w:rPr>
      </w:pPr>
      <w:r w:rsidRPr="00E14102">
        <w:rPr>
          <w:color w:val="0070C0"/>
          <w:sz w:val="16"/>
          <w:szCs w:val="16"/>
        </w:rPr>
        <w:t xml:space="preserve">9 августа 1935 года Я.И. Алкснис подписал акт № 25 по результатам испытаний на Ногинском авиаполигоне четырехпулеметного И-16 завода № 21, получившего полуофициальный индекс И-161, которые проходили с 22 по 26 июля 1935 года. </w:t>
      </w:r>
    </w:p>
    <w:p w14:paraId="1E19BF9B" w14:textId="77777777" w:rsidR="00EE7823" w:rsidRPr="00E14102" w:rsidRDefault="00EE7823" w:rsidP="00E14102">
      <w:pPr>
        <w:jc w:val="both"/>
        <w:rPr>
          <w:color w:val="0070C0"/>
          <w:sz w:val="16"/>
          <w:szCs w:val="16"/>
        </w:rPr>
      </w:pPr>
      <w:r w:rsidRPr="00E14102">
        <w:rPr>
          <w:color w:val="0070C0"/>
          <w:sz w:val="16"/>
          <w:szCs w:val="16"/>
        </w:rPr>
        <w:t>Военные посчитали, что испытаний вооружение И-161 не выдержало.</w:t>
      </w:r>
    </w:p>
    <w:p w14:paraId="5CD84F6F" w14:textId="77777777" w:rsidR="00EE7823" w:rsidRPr="00E14102" w:rsidRDefault="00EE7823" w:rsidP="00E14102">
      <w:pPr>
        <w:jc w:val="both"/>
        <w:rPr>
          <w:color w:val="0070C0"/>
          <w:sz w:val="16"/>
          <w:szCs w:val="16"/>
        </w:rPr>
      </w:pPr>
      <w:r w:rsidRPr="00E14102">
        <w:rPr>
          <w:color w:val="0070C0"/>
          <w:sz w:val="16"/>
          <w:szCs w:val="16"/>
        </w:rPr>
        <w:t>Заводу № 21 было предложено не позднее 1 сентября устранить выявленные дефекты и предъявить самолет на повторные испытания. При этом военные хотели, чтобы И-161 мог нести еще и 4 десятикилограммовые бомбы на замках ДЕР-32 (23033).</w:t>
      </w:r>
    </w:p>
    <w:p w14:paraId="716C4304" w14:textId="77777777" w:rsidR="00EE7823" w:rsidRPr="00E14102" w:rsidRDefault="00EE7823" w:rsidP="00E14102">
      <w:pPr>
        <w:jc w:val="both"/>
        <w:rPr>
          <w:color w:val="0070C0"/>
          <w:sz w:val="16"/>
          <w:szCs w:val="16"/>
        </w:rPr>
      </w:pPr>
    </w:p>
    <w:p w14:paraId="367827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 августа 1935 года была подготовлена Справка:</w:t>
      </w:r>
    </w:p>
    <w:p w14:paraId="3AA015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 время отсутствия Молотова внесены следующие решения по авиации</w:t>
      </w:r>
    </w:p>
    <w:p w14:paraId="2A72F7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СБ (пост. СТО № С-94сс от 4 августа 1935 года). Устранение дефектов на опытном эталоне, соответственное изменение чертежей на заводе № 22, продление заказа на 400 самолетов СБ до 1 апреля 1936 года, обеспечение бесперебойного производства и испытаний СБ.</w:t>
      </w:r>
    </w:p>
    <w:p w14:paraId="178DE94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И-16 с М-22 и М-25 (пост. СТО № С-95сс от 4 августа 1935 года). Утверждение программы на 1935 год по И-16 с М-22 и М-25.</w:t>
      </w:r>
    </w:p>
    <w:p w14:paraId="3A3A30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штурмовикам (пост. СТО № С-92сс от 4 июля 1935 года). Переконструирование ДИ-6 М-25 под штурмовик.</w:t>
      </w:r>
    </w:p>
    <w:p w14:paraId="657073D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дальнему разведчику (пост. СТО № С-97сс от 4 августа 1935 года). Утверждение летных данных ДР. Отпуск 1 млн. руб. Из резервного фонда СНК СССР в 1935 году.</w:t>
      </w:r>
    </w:p>
    <w:p w14:paraId="26198AE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ДБ-2 2К-14 (пост. СТО № С-98сс от 4 августа 1935 года). Утверждены изменения эталона по запасу прочности и срок постройки ДБ-2; намечено строить на заводе № 18. Отпущено ГУАПу 2,5 млн. рублей из резервного фонда СНК.</w:t>
      </w:r>
    </w:p>
    <w:p w14:paraId="3CF27A7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мощным самолетам (пост. СТО № С-99сс от 4 августа 1935 года). Утверждены летно-технические данные самолетов, место постройки (завод № 124) и время постройки (1937-38 г.г.). Отпущено 5 млн. рублей из резервного фонда СНК СССР (фонд “МГ”).</w:t>
      </w:r>
    </w:p>
    <w:p w14:paraId="3D4FEF3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самолету конструктора Калинина (пост. СТО № С-100сс от 4 августа 1935 года). Закончить эскизный проект и все расчеты по самолету. Отпущено 500 тыс. рублей из фонда “МГ” (3517,2).</w:t>
      </w:r>
    </w:p>
    <w:p w14:paraId="3E9899E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F54D7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и 13 (4,11) августа 1935 состоялись полеты ДИ-8 (АНТ-46). Летал ? (109,239). Заводские длились до июня 1936 - на гос. испытания не передавали (4,11).</w:t>
      </w:r>
    </w:p>
    <w:p w14:paraId="74E13B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- 1 августа 1935</w:t>
      </w:r>
    </w:p>
    <w:p w14:paraId="7FC186C9" w14:textId="77777777" w:rsidR="00D4105E" w:rsidRPr="00E14102" w:rsidRDefault="00D4105E" w:rsidP="00E14102">
      <w:pPr>
        <w:autoSpaceDE w:val="0"/>
        <w:autoSpaceDN w:val="0"/>
        <w:adjustRightInd w:val="0"/>
        <w:jc w:val="both"/>
        <w:rPr>
          <w:color w:val="000000" w:themeColor="text1"/>
          <w:sz w:val="16"/>
          <w:szCs w:val="16"/>
        </w:rPr>
      </w:pPr>
    </w:p>
    <w:p w14:paraId="3E5CCB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9 по 13 августа 1935 г. проходили заводские испытания самолета Ди-8 (АНТ-46). В процессе испытаний с полетным весом 5553 кг самолет достиг максимальной скорости 386 км/ч на высоте 4250 м. Столь низкий результат Архангельский объяснял постановкой плохо подобранных винтов. Винты были деревянные двухлопастные, диаметром 3,4 м.</w:t>
      </w:r>
    </w:p>
    <w:p w14:paraId="08FA98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оказался недостаточно устойчивым и очень чувствительным к отклонению рулей. Причины этих недостатков и пути их устранения были к этому времени уже достаточно хорошо известны по опыту испытаний и доводки самолета СБ и вскоре были устранены (9531,26).</w:t>
      </w:r>
    </w:p>
    <w:p w14:paraId="10B189E8" w14:textId="77777777" w:rsidR="00D4105E" w:rsidRPr="00E14102" w:rsidRDefault="00D4105E" w:rsidP="00E14102">
      <w:pPr>
        <w:autoSpaceDE w:val="0"/>
        <w:autoSpaceDN w:val="0"/>
        <w:adjustRightInd w:val="0"/>
        <w:jc w:val="both"/>
        <w:rPr>
          <w:color w:val="000000" w:themeColor="text1"/>
          <w:sz w:val="16"/>
          <w:szCs w:val="16"/>
        </w:rPr>
      </w:pPr>
    </w:p>
    <w:p w14:paraId="06044B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августа 1935 А.Н.Т. - ГК АП - провел совещание по итогам работы за 8 месяцев (21070,83).</w:t>
      </w:r>
    </w:p>
    <w:p w14:paraId="6DC39751" w14:textId="77777777" w:rsidR="00D4105E" w:rsidRPr="00E14102" w:rsidRDefault="00D4105E" w:rsidP="00E14102">
      <w:pPr>
        <w:autoSpaceDE w:val="0"/>
        <w:autoSpaceDN w:val="0"/>
        <w:adjustRightInd w:val="0"/>
        <w:jc w:val="both"/>
        <w:rPr>
          <w:color w:val="000000" w:themeColor="text1"/>
          <w:sz w:val="16"/>
          <w:szCs w:val="16"/>
        </w:rPr>
      </w:pPr>
    </w:p>
    <w:p w14:paraId="0390E63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августа 1935 г., выступая на совещании главных конструкторов, начальник главка Г.Н.Королев с гордос</w:t>
      </w:r>
      <w:r w:rsidRPr="00E14102">
        <w:rPr>
          <w:color w:val="000000" w:themeColor="text1"/>
          <w:sz w:val="16"/>
          <w:szCs w:val="16"/>
        </w:rPr>
        <w:softHyphen/>
        <w:t>тью говорил:</w:t>
      </w:r>
    </w:p>
    <w:p w14:paraId="68DC22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материалов, собранных А.Н.Туполевым во вре</w:t>
      </w:r>
      <w:r w:rsidRPr="00E14102">
        <w:rPr>
          <w:color w:val="000000" w:themeColor="text1"/>
          <w:sz w:val="16"/>
          <w:szCs w:val="16"/>
        </w:rPr>
        <w:softHyphen/>
        <w:t>мя последней поездки по Америке и Европе, мы видим, что в области отдельных типов мы имеем, безусловно, лучшие образцы, чем имеет Америка. Этими лучшими образцами в нашей авиации являются истребители, ко</w:t>
      </w:r>
      <w:r w:rsidRPr="00E14102">
        <w:rPr>
          <w:color w:val="000000" w:themeColor="text1"/>
          <w:sz w:val="16"/>
          <w:szCs w:val="16"/>
        </w:rPr>
        <w:softHyphen/>
        <w:t>торые по своим техническим данным не только не усту</w:t>
      </w:r>
      <w:r w:rsidRPr="00E14102">
        <w:rPr>
          <w:color w:val="000000" w:themeColor="text1"/>
          <w:sz w:val="16"/>
          <w:szCs w:val="16"/>
        </w:rPr>
        <w:softHyphen/>
        <w:t>пают, а иногда и превосходят заграничные. Мы имеем не только опытные образцы этих истребителей, но так</w:t>
      </w:r>
      <w:r w:rsidRPr="00E14102">
        <w:rPr>
          <w:color w:val="000000" w:themeColor="text1"/>
          <w:sz w:val="16"/>
          <w:szCs w:val="16"/>
        </w:rPr>
        <w:softHyphen/>
        <w:t>же и достаточно крупное серийное производство” (10667).</w:t>
      </w:r>
    </w:p>
    <w:p w14:paraId="60205DCC" w14:textId="77777777" w:rsidR="00D4105E" w:rsidRPr="00E14102" w:rsidRDefault="00D4105E" w:rsidP="00E14102">
      <w:pPr>
        <w:autoSpaceDE w:val="0"/>
        <w:autoSpaceDN w:val="0"/>
        <w:adjustRightInd w:val="0"/>
        <w:jc w:val="both"/>
        <w:rPr>
          <w:color w:val="000000" w:themeColor="text1"/>
          <w:sz w:val="16"/>
          <w:szCs w:val="16"/>
        </w:rPr>
      </w:pPr>
    </w:p>
    <w:p w14:paraId="54BB448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августа 1935 г. Николай Николаевич выступил на совещании главных конструк</w:t>
      </w:r>
      <w:r w:rsidRPr="00E14102">
        <w:rPr>
          <w:color w:val="000000" w:themeColor="text1"/>
          <w:sz w:val="16"/>
          <w:szCs w:val="16"/>
        </w:rPr>
        <w:softHyphen/>
        <w:t>торов по трудностям работы на заводе № 39 (10667).</w:t>
      </w:r>
    </w:p>
    <w:p w14:paraId="2F4105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C6B8F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августа 1935 г. было письмо заместителя начальника вооружений и начальника Артуправления РККА комкора Н.А.Ефимова директору Уральского индустриального института (г.Свердловск, ВТУЗ-городок, главный учебный поселок): «АУ РККА, рассмотрев предложения В.Г.Степанова и Г.И.Степанова на самонаправляющийся снаряд-ракету, просит Уральский индустриальный институт предложить тов.Степанову его предложение разработать взамен дипломного проек</w:t>
      </w:r>
      <w:r w:rsidRPr="00E14102">
        <w:rPr>
          <w:color w:val="000000" w:themeColor="text1"/>
          <w:sz w:val="16"/>
          <w:szCs w:val="16"/>
        </w:rPr>
        <w:softHyphen/>
        <w:t>та. Тема должна охватывать теоретическую проработку следующих воп</w:t>
      </w:r>
      <w:r w:rsidRPr="00E14102">
        <w:rPr>
          <w:color w:val="000000" w:themeColor="text1"/>
          <w:sz w:val="16"/>
          <w:szCs w:val="16"/>
        </w:rPr>
        <w:softHyphen/>
        <w:t>росов: оптическая система для направления ракеты-снаряда на цель; фо</w:t>
      </w:r>
      <w:r w:rsidRPr="00E14102">
        <w:rPr>
          <w:color w:val="000000" w:themeColor="text1"/>
          <w:sz w:val="16"/>
          <w:szCs w:val="16"/>
        </w:rPr>
        <w:softHyphen/>
        <w:t>тоэлектрическая и электрическая схемы ракеты-снаряда; схема рулей и их управления».</w:t>
      </w:r>
    </w:p>
    <w:p w14:paraId="757D46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Однако, тут же заказчик задал очень жесткие требования к боеприпасу. По тем временам полностью «вписаться в них» было невозможно. Создается впечатление, что комкор Ефимов либо пошутил над диплом</w:t>
      </w:r>
      <w:r w:rsidRPr="00E14102">
        <w:rPr>
          <w:color w:val="000000" w:themeColor="text1"/>
          <w:sz w:val="16"/>
          <w:szCs w:val="16"/>
        </w:rPr>
        <w:softHyphen/>
        <w:t>никами (а вдруг у студентов хоть что-то получится?), либо плохо пред</w:t>
      </w:r>
      <w:r w:rsidRPr="00E14102">
        <w:rPr>
          <w:color w:val="000000" w:themeColor="text1"/>
          <w:sz w:val="16"/>
          <w:szCs w:val="16"/>
        </w:rPr>
        <w:softHyphen/>
        <w:t>ставлял себе диапазон и уровень всех технических проблем: «При прора</w:t>
      </w:r>
      <w:r w:rsidRPr="00E14102">
        <w:rPr>
          <w:color w:val="000000" w:themeColor="text1"/>
          <w:sz w:val="16"/>
          <w:szCs w:val="16"/>
        </w:rPr>
        <w:softHyphen/>
        <w:t>ботке указанных вопросов надлежит руководствоваться следующими данными: скорость ракеты-снаряда на расстоянии 50 м от орудия — 100 м/с, на расстоянии 100 м — 450 м/с, на расстоянии 150 м — 500 м/с. Вре</w:t>
      </w:r>
      <w:r w:rsidRPr="00E14102">
        <w:rPr>
          <w:color w:val="000000" w:themeColor="text1"/>
          <w:sz w:val="16"/>
          <w:szCs w:val="16"/>
        </w:rPr>
        <w:softHyphen/>
        <w:t>мя достижения максимальной скорости — 1 с. Скорость цели 360-500 км/ч. Габариты и вес снаряда-ракеты и артустановки неограничены, но ракета должна иметь удобообтекаемую форму. Дальность стрельбы — 3000 м. Консультации по проекту обеспечит Военно-электрическая ака</w:t>
      </w:r>
      <w:r w:rsidRPr="00E14102">
        <w:rPr>
          <w:color w:val="000000" w:themeColor="text1"/>
          <w:sz w:val="16"/>
          <w:szCs w:val="16"/>
        </w:rPr>
        <w:softHyphen/>
        <w:t>демия, Институт телемеханики, Институт связи РККА, АУ РККА».</w:t>
      </w:r>
    </w:p>
    <w:p w14:paraId="62074A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Видите, как все просто — 500 м/с через секунду после старта, но не</w:t>
      </w:r>
      <w:r w:rsidRPr="00E14102">
        <w:rPr>
          <w:color w:val="000000" w:themeColor="text1"/>
          <w:sz w:val="16"/>
          <w:szCs w:val="16"/>
        </w:rPr>
        <w:softHyphen/>
        <w:t>пременно «ракета должна иметь удобообтекаемую форму»... А как до</w:t>
      </w:r>
      <w:r w:rsidRPr="00E14102">
        <w:rPr>
          <w:color w:val="000000" w:themeColor="text1"/>
          <w:sz w:val="16"/>
          <w:szCs w:val="16"/>
        </w:rPr>
        <w:softHyphen/>
        <w:t>биться такой скорости у аэродинамически «неудобообтекаемого тела»? Если это говорилось всерьез, то лишний раз свидетельствует об уровне технической грамотности некоторых (если не всех) комкоров. И тем бо</w:t>
      </w:r>
      <w:r w:rsidRPr="00E14102">
        <w:rPr>
          <w:color w:val="000000" w:themeColor="text1"/>
          <w:sz w:val="16"/>
          <w:szCs w:val="16"/>
        </w:rPr>
        <w:softHyphen/>
        <w:t>лее, невдомек артиллерийскому военачальнику была и проблема стрель</w:t>
      </w:r>
      <w:r w:rsidRPr="00E14102">
        <w:rPr>
          <w:color w:val="000000" w:themeColor="text1"/>
          <w:sz w:val="16"/>
          <w:szCs w:val="16"/>
        </w:rPr>
        <w:softHyphen/>
        <w:t>бы по воздушной цели на предельной дистанции в 3000 м. То есть, он на</w:t>
      </w:r>
      <w:r w:rsidRPr="00E14102">
        <w:rPr>
          <w:color w:val="000000" w:themeColor="text1"/>
          <w:sz w:val="16"/>
          <w:szCs w:val="16"/>
        </w:rPr>
        <w:softHyphen/>
        <w:t>ивно полагал, что пилот ракетоносца на дальности 3500-4000 м способен визуально отличить свой самолет от чужого? Кстати, о самой ГСН ком</w:t>
      </w:r>
      <w:r w:rsidRPr="00E14102">
        <w:rPr>
          <w:color w:val="000000" w:themeColor="text1"/>
          <w:sz w:val="16"/>
          <w:szCs w:val="16"/>
        </w:rPr>
        <w:softHyphen/>
        <w:t>кор не сказал ни слова (что само по себе красноречиво), предоставив этот мудреный вопрос решать трем институтам...</w:t>
      </w:r>
    </w:p>
    <w:p w14:paraId="4CCECA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принципе, то, что проект данного боеприпаса основывался на жид</w:t>
      </w:r>
      <w:r w:rsidRPr="00E14102">
        <w:rPr>
          <w:color w:val="000000" w:themeColor="text1"/>
          <w:sz w:val="16"/>
          <w:szCs w:val="16"/>
        </w:rPr>
        <w:softHyphen/>
        <w:t>костном ракетном двигателе, не вполне соответствует излагаемой теме, но он достоин более подробного рассмотрения в качестве иллюстрации нереализованного технического замысла. Вне сомнения, история не тер</w:t>
      </w:r>
      <w:r w:rsidRPr="00E14102">
        <w:rPr>
          <w:color w:val="000000" w:themeColor="text1"/>
          <w:sz w:val="16"/>
          <w:szCs w:val="16"/>
        </w:rPr>
        <w:softHyphen/>
        <w:t>пит сослагательного наклонения, однако, если бы разработка головки самонаведения у свердловчан тогда удалась, то опережающий результат исследований твердотопливных РС заставил бы их использовать свое де</w:t>
      </w:r>
      <w:r w:rsidRPr="00E14102">
        <w:rPr>
          <w:color w:val="000000" w:themeColor="text1"/>
          <w:sz w:val="16"/>
          <w:szCs w:val="16"/>
        </w:rPr>
        <w:softHyphen/>
        <w:t>тище и в сочетании с пороховым двигателем.</w:t>
      </w:r>
    </w:p>
    <w:p w14:paraId="343EA3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«Снаряд-ракета» представляла собой «аэродинамический аппарат, двигающийся силами реакции от взрывов горючего». Принцип действия ее ГСН вполне соответствовал современным аналогам, основанным на фазовых детекторах, вызывающих отклонение рулевых поверхностей боеприпаса для «обнуления сигнала рассогласования» доворотом ракеты на цель. Ее общая компоновка предусматривала отделения для электри</w:t>
      </w:r>
      <w:r w:rsidRPr="00E14102">
        <w:rPr>
          <w:color w:val="000000" w:themeColor="text1"/>
          <w:sz w:val="16"/>
          <w:szCs w:val="16"/>
        </w:rPr>
        <w:softHyphen/>
        <w:t>ческой батареи, рулевого управления, пневматического резервуара, электронных ламп, реле, торроидального фотоэлемента, запального фо</w:t>
      </w:r>
      <w:r w:rsidRPr="00E14102">
        <w:rPr>
          <w:color w:val="000000" w:themeColor="text1"/>
          <w:sz w:val="16"/>
          <w:szCs w:val="16"/>
        </w:rPr>
        <w:softHyphen/>
        <w:t>тоэлемента, «оптического прибора для взрывчатых веществ и для ракет</w:t>
      </w:r>
      <w:r w:rsidRPr="00E14102">
        <w:rPr>
          <w:color w:val="000000" w:themeColor="text1"/>
          <w:sz w:val="16"/>
          <w:szCs w:val="16"/>
        </w:rPr>
        <w:softHyphen/>
        <w:t>ного двигателя», запального патрона, кислородного баллона, баллона для горючего.</w:t>
      </w:r>
    </w:p>
    <w:p w14:paraId="62256C3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Кроме того, перед стартом ГСН ракеты планировали задавать целе</w:t>
      </w:r>
      <w:r w:rsidRPr="00E14102">
        <w:rPr>
          <w:color w:val="000000" w:themeColor="text1"/>
          <w:sz w:val="16"/>
          <w:szCs w:val="16"/>
        </w:rPr>
        <w:softHyphen/>
        <w:t>указание при помощи прицела. Правда, запуск ее двигателя и взведение взрывателя БЧ зависели от работоспособности оптического прибора: «Установленным на старте прицельником наводят ракету на мишень. В момент совпадения мишени с осью оптического прибора, мишень оп</w:t>
      </w:r>
      <w:r w:rsidRPr="00E14102">
        <w:rPr>
          <w:color w:val="000000" w:themeColor="text1"/>
          <w:sz w:val="16"/>
          <w:szCs w:val="16"/>
        </w:rPr>
        <w:softHyphen/>
        <w:t>тически проектируется в центр торроидального прибора, чем прерывает</w:t>
      </w:r>
      <w:r w:rsidRPr="00E14102">
        <w:rPr>
          <w:color w:val="000000" w:themeColor="text1"/>
          <w:sz w:val="16"/>
          <w:szCs w:val="16"/>
        </w:rPr>
        <w:softHyphen/>
        <w:t>ся световой поток, падающий на запальный фотоэлемент. Вследствие этого, прерывается фототек, протекающий через фотоэлемент. На сетке электронной лампы возникнет отрицательный потенциал, отчего в лампе ослабнет электронный ток, и реле замкнет цепь свечей запального патро</w:t>
      </w:r>
      <w:r w:rsidRPr="00E14102">
        <w:rPr>
          <w:color w:val="000000" w:themeColor="text1"/>
          <w:sz w:val="16"/>
          <w:szCs w:val="16"/>
        </w:rPr>
        <w:softHyphen/>
        <w:t>на. Пиропатрон сработает и выбьет крышку, закрывающую в ракетной камере отверстия форсунок баллонов горючего и кислорода. Они заправ</w:t>
      </w:r>
      <w:r w:rsidRPr="00E14102">
        <w:rPr>
          <w:color w:val="000000" w:themeColor="text1"/>
          <w:sz w:val="16"/>
          <w:szCs w:val="16"/>
        </w:rPr>
        <w:softHyphen/>
        <w:t>лены под давлением, превышающим реакцию газов в камере сгорания. Взрывом пороха во втором пиропатроне зажигается горючая смесь в ка</w:t>
      </w:r>
      <w:r w:rsidRPr="00E14102">
        <w:rPr>
          <w:color w:val="000000" w:themeColor="text1"/>
          <w:sz w:val="16"/>
          <w:szCs w:val="16"/>
        </w:rPr>
        <w:softHyphen/>
        <w:t>мере сгорания двигателя. Силами реакции ракета устремится к мишени».</w:t>
      </w:r>
    </w:p>
    <w:p w14:paraId="50B61F6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Не менее любопытно и описание работы оптической ГСН: «Управле</w:t>
      </w:r>
      <w:r w:rsidRPr="00E14102">
        <w:rPr>
          <w:color w:val="000000" w:themeColor="text1"/>
          <w:sz w:val="16"/>
          <w:szCs w:val="16"/>
        </w:rPr>
        <w:softHyphen/>
        <w:t>ние направлением полета ракеты-снаряда, вследствие различных, в большинстве случаев, взаимных направлений и перемещений мишени и снаряда автоматизировано. Так, при смещении оси снаряда с линии прицела, вследствие земного притяжения и различных траекторий дви</w:t>
      </w:r>
      <w:r w:rsidRPr="00E14102">
        <w:rPr>
          <w:color w:val="000000" w:themeColor="text1"/>
          <w:sz w:val="16"/>
          <w:szCs w:val="16"/>
        </w:rPr>
        <w:softHyphen/>
        <w:t>жения его и цели, оптическая проекция мишени, даваемая объективом оптического прибора, смещается из середины на один из квадрантов фо</w:t>
      </w:r>
      <w:r w:rsidRPr="00E14102">
        <w:rPr>
          <w:color w:val="000000" w:themeColor="text1"/>
          <w:sz w:val="16"/>
          <w:szCs w:val="16"/>
        </w:rPr>
        <w:softHyphen/>
        <w:t>тоэлемента, представляющего из себя самостоятельные фотоэлементы, в свою очередь состоящие из сегментных последовательно соединенных фотоэлементов.</w:t>
      </w:r>
    </w:p>
    <w:p w14:paraId="75DF71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Назначение каждого квадрантного фотоэлемента — давать импульс вторичного анодного тока при изменении фототока на соответствующее каждому квадрантному фотоэлементу реле управления. Каждое реле уп</w:t>
      </w:r>
      <w:r w:rsidRPr="00E14102">
        <w:rPr>
          <w:color w:val="000000" w:themeColor="text1"/>
          <w:sz w:val="16"/>
          <w:szCs w:val="16"/>
        </w:rPr>
        <w:softHyphen/>
        <w:t>равления соединено с одним из соответствующих электромагнитов, реа</w:t>
      </w:r>
      <w:r w:rsidRPr="00E14102">
        <w:rPr>
          <w:color w:val="000000" w:themeColor="text1"/>
          <w:sz w:val="16"/>
          <w:szCs w:val="16"/>
        </w:rPr>
        <w:softHyphen/>
        <w:t>гирующих через систему рычагов рулевого управления на рули, изменя</w:t>
      </w:r>
      <w:r w:rsidRPr="00E14102">
        <w:rPr>
          <w:color w:val="000000" w:themeColor="text1"/>
          <w:sz w:val="16"/>
          <w:szCs w:val="16"/>
        </w:rPr>
        <w:softHyphen/>
        <w:t>ющие направление полета снаряда вверх, вниз, вправо или влево. Таким образом, одному из четырех направлений полета снаряда соответствует своя самостоятельная электрическая цепь, состоящая из одного квад</w:t>
      </w:r>
      <w:r w:rsidRPr="00E14102">
        <w:rPr>
          <w:color w:val="000000" w:themeColor="text1"/>
          <w:sz w:val="16"/>
          <w:szCs w:val="16"/>
        </w:rPr>
        <w:softHyphen/>
        <w:t>ранта торроидального фотоэлемента, одной электронной лампы, одного реле управления, включенного в анодную цепь лампы, и одного электро</w:t>
      </w:r>
      <w:r w:rsidRPr="00E14102">
        <w:rPr>
          <w:color w:val="000000" w:themeColor="text1"/>
          <w:sz w:val="16"/>
          <w:szCs w:val="16"/>
        </w:rPr>
        <w:softHyphen/>
        <w:t>магнита.</w:t>
      </w:r>
    </w:p>
    <w:p w14:paraId="18153F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Каждая пара цепей, соответствующих взаимно противоположным направлениям, действует на одну из двух механических систем управления, перекладывающих рули. Стабильность среднего положения рулей может быть достигнута применением уравновешивающих пружин элек</w:t>
      </w:r>
      <w:r w:rsidRPr="00E14102">
        <w:rPr>
          <w:color w:val="000000" w:themeColor="text1"/>
          <w:sz w:val="16"/>
          <w:szCs w:val="16"/>
        </w:rPr>
        <w:softHyphen/>
        <w:t>тромагнитов или других приспособлений. При изменении расстояния между предметом и объективом, соответственно, изменяется расстояние между объективом и плоскостью изображения.</w:t>
      </w:r>
    </w:p>
    <w:p w14:paraId="023925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так как фотоэлемент должен быть в плоскости изображения все время полета, он имеет осевое перемещение, которое в данном случае достигается действием сжатого воздуха из специального резервуара на кольцевую поверхность, закрепленную на конце цилиндра фотоэлемен</w:t>
      </w:r>
      <w:r w:rsidRPr="00E14102">
        <w:rPr>
          <w:color w:val="000000" w:themeColor="text1"/>
          <w:sz w:val="16"/>
          <w:szCs w:val="16"/>
        </w:rPr>
        <w:softHyphen/>
        <w:t>та. Действие это начинается в момент открытия кольцом кольцевого ка</w:t>
      </w:r>
      <w:r w:rsidRPr="00E14102">
        <w:rPr>
          <w:color w:val="000000" w:themeColor="text1"/>
          <w:sz w:val="16"/>
          <w:szCs w:val="16"/>
        </w:rPr>
        <w:softHyphen/>
        <w:t>нала».</w:t>
      </w:r>
    </w:p>
    <w:p w14:paraId="656AC0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Конструкторы предусмотрели даже простейший самоликвидатор боеприпаса: «Взрыв снаряда в момент столкновения с целью производится с помощью одной из существующих конструкций взрывателей. Вклю</w:t>
      </w:r>
      <w:r w:rsidRPr="00E14102">
        <w:rPr>
          <w:color w:val="000000" w:themeColor="text1"/>
          <w:sz w:val="16"/>
          <w:szCs w:val="16"/>
        </w:rPr>
        <w:softHyphen/>
        <w:t>ченный в систему снаряда запальный шнур является гарантийным, при</w:t>
      </w:r>
      <w:r w:rsidRPr="00E14102">
        <w:rPr>
          <w:color w:val="000000" w:themeColor="text1"/>
          <w:sz w:val="16"/>
          <w:szCs w:val="16"/>
        </w:rPr>
        <w:softHyphen/>
        <w:t>водящим к взрыву снаряда независимо от столкновения с целью через промежуток времени, больший, нежели необходимый для полета снаря</w:t>
      </w:r>
      <w:r w:rsidRPr="00E14102">
        <w:rPr>
          <w:color w:val="000000" w:themeColor="text1"/>
          <w:sz w:val="16"/>
          <w:szCs w:val="16"/>
        </w:rPr>
        <w:softHyphen/>
        <w:t>да на максимальную дистанцию».</w:t>
      </w:r>
    </w:p>
    <w:p w14:paraId="4B65B3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сожалению, по ряду причин технического и технологического ха</w:t>
      </w:r>
      <w:r w:rsidRPr="00E14102">
        <w:rPr>
          <w:color w:val="000000" w:themeColor="text1"/>
          <w:sz w:val="16"/>
          <w:szCs w:val="16"/>
        </w:rPr>
        <w:softHyphen/>
        <w:t>рактера, этот проект было очень трудно реализовать даже в лаборатор</w:t>
      </w:r>
      <w:r w:rsidRPr="00E14102">
        <w:rPr>
          <w:color w:val="000000" w:themeColor="text1"/>
          <w:sz w:val="16"/>
          <w:szCs w:val="16"/>
        </w:rPr>
        <w:softHyphen/>
        <w:t>ных условиях. Чего стоила только бесперебойная работа радиоламп в ус</w:t>
      </w:r>
      <w:r w:rsidRPr="00E14102">
        <w:rPr>
          <w:color w:val="000000" w:themeColor="text1"/>
          <w:sz w:val="16"/>
          <w:szCs w:val="16"/>
        </w:rPr>
        <w:softHyphen/>
        <w:t>ловиях чудовищных перегрузок при старте ракеты и маневрировании! Однако, сам по себе замысел и глубина его осмысления просто изуми</w:t>
      </w:r>
      <w:r w:rsidRPr="00E14102">
        <w:rPr>
          <w:color w:val="000000" w:themeColor="text1"/>
          <w:sz w:val="16"/>
          <w:szCs w:val="16"/>
        </w:rPr>
        <w:softHyphen/>
        <w:t>тельны. Кто знает, чем бы это лет через 8-10 плотных исследований за</w:t>
      </w:r>
      <w:r w:rsidRPr="00E14102">
        <w:rPr>
          <w:color w:val="000000" w:themeColor="text1"/>
          <w:sz w:val="16"/>
          <w:szCs w:val="16"/>
        </w:rPr>
        <w:softHyphen/>
        <w:t>кончилось, получи конструкторы тогда приемлемые условия работы и поддержку заказчика...(11402).</w:t>
      </w:r>
    </w:p>
    <w:p w14:paraId="1790F2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EC04AB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2001672" w14:textId="77777777" w:rsidR="00D4105E" w:rsidRPr="00E14102" w:rsidRDefault="00D4105E" w:rsidP="00E14102">
      <w:pPr>
        <w:autoSpaceDE w:val="0"/>
        <w:autoSpaceDN w:val="0"/>
        <w:adjustRightInd w:val="0"/>
        <w:jc w:val="both"/>
        <w:rPr>
          <w:iCs/>
          <w:color w:val="000000" w:themeColor="text1"/>
          <w:sz w:val="16"/>
          <w:szCs w:val="16"/>
        </w:rPr>
      </w:pPr>
    </w:p>
    <w:p w14:paraId="7869C8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августа 1935 года начальник ГУГВФ Ткачев писал письмо № 36/430с в СТО Базилевичу</w:t>
      </w:r>
    </w:p>
    <w:p w14:paraId="0D3C47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СТО от 14 июля 1934 года за № 1330/ко на Самолетный НИИ ГВФ было возложено задание по проектированию и постройке опытного самолета И-21 (С-8).</w:t>
      </w:r>
    </w:p>
    <w:p w14:paraId="5C9AB9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Технические требования к этому самолету были предъявлены очень высокие, что определило необходимость применения особой конструкции и особых материалов, в частности. Испарительного охлаждения и альтмага для конденсатора, без чего не могло быть обеспечено получение необходимых летных качеств самолета.</w:t>
      </w:r>
    </w:p>
    <w:p w14:paraId="36D1B2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техническими требованиями, предъявленными ВВС только 29 августа 1934 года был разработан эскизный проект самолета, получивший одобрение и утверждение ВВС 19 марта 1935 года. Помимо эскизного проекта и предварительного подбора элементов конструкции был построен макет данного самолета и утвержден ВВС в той части, которая не зависит от пушки. Дальнейшая разработка предварительного проекта самолета и необходимые экспериментальные работы хотя и проводились, но сильно задержались (опоздание на 6 месяцев) по следующим причинам, не зависящим от СНИИ ГВФ и гл. конструктора СТ-8 Бартини.</w:t>
      </w:r>
    </w:p>
    <w:p w14:paraId="25AD7F7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До настоящего времени не получен Институтом импортный пушечный мотор Испано-Сюиза ……………………..</w:t>
      </w:r>
    </w:p>
    <w:p w14:paraId="0C00535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процессе работы ВВС дважды менял требования к спецоборудованию самолета и по сей день задания по последнему варианту к установке пушка в СНИИ не доставлена, так как не закончена испытаниями и доводкой в ОКБ-2.</w:t>
      </w:r>
    </w:p>
    <w:p w14:paraId="03894F2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Намеченная к установке рация РИ забракована НИИ ВВС ………………….</w:t>
      </w:r>
    </w:p>
    <w:p w14:paraId="45AD4C6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ЦИАМ, на который была возложена проработка вопроса по поводу мотора Испано-Сюиза на испарительное охлаждение, с этой работой опоздал ………………</w:t>
      </w:r>
    </w:p>
    <w:p w14:paraId="2458D3B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 запроектирован из нового материала альтмага, производившегося на заводе № 34 ГУАПа.</w:t>
      </w:r>
    </w:p>
    <w:p w14:paraId="7EBF44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ГУАП, не предупреждая ГВФ прекратил производство альтмага на заводе № 34 и после больших настояний со стороны ГУГВФ весной 1935 года передал заказ на завод № 95. Заказ этот до настоящего времени не выполняется, так как завод № 95 этого производства не освоил ……………………</w:t>
      </w:r>
    </w:p>
    <w:p w14:paraId="0AC37D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 срок 1 ноября 1935 года окончания задания по И-21 выполнен быть не может.</w:t>
      </w:r>
    </w:p>
    <w:p w14:paraId="08A9F6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может быть закончен и выпущен на испытания через 7 месяцев после получения перечисленных объектов (7727, 72).</w:t>
      </w:r>
    </w:p>
    <w:p w14:paraId="7B630B1A" w14:textId="77777777" w:rsidR="00D4105E" w:rsidRPr="00E14102" w:rsidRDefault="00D4105E" w:rsidP="00E14102">
      <w:pPr>
        <w:autoSpaceDE w:val="0"/>
        <w:autoSpaceDN w:val="0"/>
        <w:adjustRightInd w:val="0"/>
        <w:jc w:val="both"/>
        <w:rPr>
          <w:color w:val="000000" w:themeColor="text1"/>
          <w:sz w:val="16"/>
          <w:szCs w:val="16"/>
        </w:rPr>
      </w:pPr>
    </w:p>
    <w:p w14:paraId="21ADEC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10 августа 1935 г. при просмотре и предварительной приемке 65 самолетов “ССС”, изготовленных заводом № 1 не дожижаясь окончания госиспытаний и заключения по ним, были обнаружены в нижних лонжеронах фюзеляжа трещины на 51 самолете, которые появились вследствииоткрытой констпукция лонжеронов, плохого качества клея и лака, полученного </w:t>
      </w:r>
      <w:r w:rsidRPr="00E14102">
        <w:rPr>
          <w:color w:val="000000" w:themeColor="text1"/>
          <w:sz w:val="16"/>
          <w:szCs w:val="16"/>
          <w:vertAlign w:val="subscript"/>
        </w:rPr>
        <w:t>:</w:t>
      </w:r>
      <w:r w:rsidRPr="00E14102">
        <w:rPr>
          <w:color w:val="000000" w:themeColor="text1"/>
          <w:sz w:val="16"/>
          <w:szCs w:val="16"/>
        </w:rPr>
        <w:t xml:space="preserve"> заводом № 1.</w:t>
      </w:r>
    </w:p>
    <w:p w14:paraId="2865B7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Заводом № 1 неоднократно ставился вопрос перед УВС РККА о необходикости фанеровки ( закрытия нижней поверхности лонжеронов), однако, от этого УВС РККА отказывалось (3419,104).</w:t>
      </w:r>
    </w:p>
    <w:p w14:paraId="614A010D" w14:textId="77777777" w:rsidR="00D4105E" w:rsidRPr="00E14102" w:rsidRDefault="00D4105E" w:rsidP="00E14102">
      <w:pPr>
        <w:autoSpaceDE w:val="0"/>
        <w:autoSpaceDN w:val="0"/>
        <w:adjustRightInd w:val="0"/>
        <w:jc w:val="both"/>
        <w:rPr>
          <w:color w:val="000000" w:themeColor="text1"/>
          <w:sz w:val="16"/>
          <w:szCs w:val="16"/>
        </w:rPr>
      </w:pPr>
    </w:p>
    <w:p w14:paraId="6F1743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августа 1935 года за N 66/б/с была подготовлена Общая характеристика и оценка автопилотов, представленных на испытание комиссии</w:t>
      </w:r>
    </w:p>
    <w:p w14:paraId="6A739F0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Автопилот системы бюро Ниренберга для самолета ТБ-1. АВП-1.</w:t>
      </w:r>
    </w:p>
    <w:p w14:paraId="70A821E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Автопилот системы Осконбюро ВОТИ (Коренев). АВП-2 и АВП-2 бис.</w:t>
      </w:r>
    </w:p>
    <w:p w14:paraId="7D29D01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Автопилот системы Тимофеева для самолета ТБ-3. АВП-3.</w:t>
      </w:r>
    </w:p>
    <w:p w14:paraId="48210AA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Автопилот системы Телемеханического института (Ленинград) для самолета ТБ-1. АВП-6.</w:t>
      </w:r>
    </w:p>
    <w:p w14:paraId="36A26BB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Автопилот системы Осконбюро ВОТИ – Коренева для самолета ТБ-3. АВП-7.</w:t>
      </w:r>
    </w:p>
    <w:p w14:paraId="100BAE3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Автопилот Московского института ВОТИ для самолета ТБ-3. АВП-9.</w:t>
      </w:r>
    </w:p>
    <w:p w14:paraId="2B27402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Автопилот системы “Сперри” специальный для самолета ТБ-3.</w:t>
      </w:r>
    </w:p>
    <w:p w14:paraId="1BD61A8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Автопилот системы “Сперри” стандартный для самолета Р-5.</w:t>
      </w:r>
    </w:p>
    <w:p w14:paraId="7FC368A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Автопилот системы Осконбюро Ниренберга для самолета ТБ-1. АВП-8.</w:t>
      </w:r>
    </w:p>
    <w:p w14:paraId="0692CB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Общий вывод</w:t>
      </w:r>
    </w:p>
    <w:p w14:paraId="48A1382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Из существующих на сегодняшний день автопилотов отечественного и иностранного просхождения наиболее доработанным и могущим быть принятым на вооружение является автопилот “МЕТРОН” АВП-10.</w:t>
      </w:r>
    </w:p>
    <w:p w14:paraId="6BF3672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Наиболее совершенной схемой автопилота является конструктивно еще недоработанная система автопилота Ниренберга, которая после конструктивной доработки и оформления может заменить собою автопилот з. “Метрон” (3928).</w:t>
      </w:r>
    </w:p>
    <w:p w14:paraId="73CA796C"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39A10E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августа 1935 В.Н.Евсеев поднялся на И-15 до 11080 м (438,693).</w:t>
      </w:r>
    </w:p>
    <w:p w14:paraId="72A714F8" w14:textId="77777777" w:rsidR="00D4105E" w:rsidRPr="00E14102" w:rsidRDefault="00D4105E" w:rsidP="00E14102">
      <w:pPr>
        <w:autoSpaceDE w:val="0"/>
        <w:autoSpaceDN w:val="0"/>
        <w:adjustRightInd w:val="0"/>
        <w:jc w:val="both"/>
        <w:rPr>
          <w:color w:val="000000" w:themeColor="text1"/>
          <w:sz w:val="16"/>
          <w:szCs w:val="16"/>
        </w:rPr>
      </w:pPr>
    </w:p>
    <w:p w14:paraId="0EDC75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августа 1935 г. начато строительство Красноярского Ремонтного завода им. Побежимова ГУСМП / г. Красноярск/. Введен в эксплуатацию в 1940 г.</w:t>
      </w:r>
    </w:p>
    <w:p w14:paraId="3A8B7F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01.1942 г. влит в состав эвакуированного на его площадку по приказу № 1050сс от 8.10.1941 г. завода № 477 НКАП (11982).</w:t>
      </w:r>
    </w:p>
    <w:p w14:paraId="149DBA61" w14:textId="77777777" w:rsidR="00D4105E" w:rsidRPr="00E14102" w:rsidRDefault="00D4105E" w:rsidP="00E14102">
      <w:pPr>
        <w:autoSpaceDE w:val="0"/>
        <w:autoSpaceDN w:val="0"/>
        <w:adjustRightInd w:val="0"/>
        <w:jc w:val="both"/>
        <w:rPr>
          <w:color w:val="000000" w:themeColor="text1"/>
          <w:sz w:val="16"/>
          <w:szCs w:val="16"/>
        </w:rPr>
      </w:pPr>
    </w:p>
    <w:p w14:paraId="0203E5F2" w14:textId="77777777" w:rsidR="00CC30E3" w:rsidRPr="00E14102" w:rsidRDefault="00CC30E3"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10-12 августа 1935 г. состоялся женский групповой перелет на шести АИР-6. Летели они, правда, не так уж далеко-из Ленинграда в Москву. Собственно, основной задачей являлась перегонка новых машин. Самолеты разделили на два звена. Командовала группой А. Кадацкая, она же являлась командиром первого звена. На машине Кадацкой дополнительно смонтировали «Пионер» - указатель поворота. Второе звено вела В. Стояновская. Остальные машины пилотировали М. Раскова, Е. Прохорова, Н. Корытова и Е. Рачко. Техниками являлись М. Славина, А. Плебе, Л. Иконникова и А. Денисова. На двух самолетах присутствовали корреспонденты газет: Г. Плеско из «Комсомольской правды» и Е. Смоленская из «За индустриализацию».</w:t>
      </w:r>
    </w:p>
    <w:p w14:paraId="6A992C0F" w14:textId="77777777" w:rsidR="00CC30E3" w:rsidRPr="00E14102" w:rsidRDefault="00CC30E3"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Летчицы ранее не летали на АИР-6 и им обеспечили тренировки. Яковлевский самолет второго управления не имел, и инструктор мог лишь давать указания с заднего сиденья. Кадацкая и Стояновс- кая сразу вылетели самостоятельно. Раскова, которая тогда преподавала в Военно-воздушной академии штурманское дело, позже написала в своих мемуарах, что совершила 64 взлета и посадки на У-2, затем полетела на АИР-6 пассажиром, и лишь после этого рискнула пилотировать новый самолет сама. «Полетела сама и сразу почувствовала себя замечательно, как будто давно уже летала на этой машине. Она оказалась очень легкой и послушной в управлении».</w:t>
      </w:r>
    </w:p>
    <w:p w14:paraId="113C2FAB" w14:textId="77777777" w:rsidR="00CC30E3" w:rsidRPr="00E14102" w:rsidRDefault="00CC30E3"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Несмотря на небольшое расстояние, перелет не обошелся без приключений. Сначала хотели пролететь весь маршрут за один день, но, запоздав со стартом, решили сделать остановку на ночь. Вылетели при хорошей погоде, но через 120 км попали в грозу. Поскольку на АИР-6 никакого оснащения для слепого полета не имелось, пошли очень плотным строем, следя за ведущим. Выйдя из облачности, первое звено дождалось второе. Немного передохнули и опять угодили в грозовой фронт. </w:t>
      </w:r>
      <w:r w:rsidRPr="00E14102">
        <w:rPr>
          <w:rFonts w:ascii="Times New Roman" w:hAnsi="Times New Roman" w:cs="Times New Roman"/>
          <w:color w:val="000000" w:themeColor="text1"/>
          <w:sz w:val="16"/>
          <w:szCs w:val="16"/>
          <w:lang w:val="ru-RU"/>
        </w:rPr>
        <w:lastRenderedPageBreak/>
        <w:t>Видимость резко ухудшилась, летчицы стали прижиматься к земле. Около 60 км самолеты не поднимались выше 150 м, а затем пошли над лесом бреющим полетом.</w:t>
      </w:r>
    </w:p>
    <w:p w14:paraId="4CFD7309" w14:textId="77777777" w:rsidR="00CC30E3" w:rsidRPr="00E14102" w:rsidRDefault="00CC30E3"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Стало ясно, что до наступления темноты группа до намеченного места ночевки не доберется. Кадацкая решила приземляться на влажный луг у деревни Веребье, недалеко от Вышнего Волочка. Интересно, что луг был обозначен белым крестом - знаком, запрещающим посадку самолетов. Но выбирать уже не приходилось. АИР-6, шедший вторым, при посадке скапотировал, сломав винт и стойку шасси. Летчица получила ушибы. На следующий день на У-2 привезли из Ленинграда запасные части и починили поврежденную машину. 12 августа перелет продолжили. Самолеты с трудом оторвались от мягкого грунта, но далее без проблем добрались до Центрального аэродрома в Москве. Это был первый в мире групповой женский перелет (19099).</w:t>
      </w:r>
    </w:p>
    <w:p w14:paraId="3232F7C9" w14:textId="77777777" w:rsidR="00CC30E3" w:rsidRPr="00E14102" w:rsidRDefault="00CC30E3" w:rsidP="00E14102">
      <w:pPr>
        <w:pStyle w:val="aa"/>
        <w:jc w:val="both"/>
        <w:rPr>
          <w:rFonts w:ascii="Times New Roman" w:hAnsi="Times New Roman" w:cs="Times New Roman"/>
          <w:color w:val="000000" w:themeColor="text1"/>
          <w:sz w:val="16"/>
          <w:szCs w:val="16"/>
          <w:lang w:val="ru-RU"/>
        </w:rPr>
      </w:pPr>
    </w:p>
    <w:p w14:paraId="6858B9DA" w14:textId="77777777" w:rsidR="003F1358"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EDEC640" w14:textId="77777777" w:rsidR="003F1358" w:rsidRPr="00E14102" w:rsidRDefault="003F1358" w:rsidP="00E14102">
      <w:pPr>
        <w:autoSpaceDE w:val="0"/>
        <w:autoSpaceDN w:val="0"/>
        <w:adjustRightInd w:val="0"/>
        <w:jc w:val="both"/>
        <w:rPr>
          <w:iCs/>
          <w:color w:val="000000" w:themeColor="text1"/>
          <w:sz w:val="16"/>
          <w:szCs w:val="16"/>
        </w:rPr>
      </w:pPr>
    </w:p>
    <w:p w14:paraId="336847DD" w14:textId="77777777" w:rsidR="003F1358" w:rsidRPr="00E14102" w:rsidRDefault="003F1358" w:rsidP="00E14102">
      <w:pPr>
        <w:pStyle w:val="rtejustify"/>
        <w:spacing w:before="0" w:after="0"/>
        <w:rPr>
          <w:color w:val="000000" w:themeColor="text1"/>
          <w:sz w:val="16"/>
          <w:szCs w:val="16"/>
        </w:rPr>
      </w:pPr>
      <w:r w:rsidRPr="00E14102">
        <w:rPr>
          <w:rStyle w:val="a6"/>
          <w:bCs/>
          <w:i w:val="0"/>
          <w:color w:val="000000" w:themeColor="text1"/>
          <w:sz w:val="16"/>
          <w:szCs w:val="16"/>
        </w:rPr>
        <w:t>10 августа 1935 вышел приказ НКО №</w:t>
      </w:r>
      <w:r w:rsidRPr="00E14102">
        <w:rPr>
          <w:color w:val="000000" w:themeColor="text1"/>
          <w:sz w:val="16"/>
          <w:szCs w:val="16"/>
        </w:rPr>
        <w:t> 0141. О развертывании работы по изготовлению опытного образца учебного прибора для зенитной стрельбы и дистанционного установщика к АПК. Об отпуске 20 000 рублей на эти работы (15247).</w:t>
      </w:r>
    </w:p>
    <w:p w14:paraId="4299AF1E" w14:textId="77777777" w:rsidR="003F1358" w:rsidRPr="00E14102" w:rsidRDefault="003F1358" w:rsidP="00E14102">
      <w:pPr>
        <w:pStyle w:val="rtejustify"/>
        <w:spacing w:before="0" w:after="0"/>
        <w:rPr>
          <w:color w:val="000000" w:themeColor="text1"/>
          <w:sz w:val="16"/>
          <w:szCs w:val="16"/>
        </w:rPr>
      </w:pPr>
    </w:p>
    <w:p w14:paraId="1CDFF6D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70CF031" w14:textId="77777777" w:rsidR="00D4105E" w:rsidRPr="00E14102" w:rsidRDefault="00D4105E" w:rsidP="00E14102">
      <w:pPr>
        <w:autoSpaceDE w:val="0"/>
        <w:autoSpaceDN w:val="0"/>
        <w:adjustRightInd w:val="0"/>
        <w:jc w:val="both"/>
        <w:rPr>
          <w:iCs/>
          <w:color w:val="000000" w:themeColor="text1"/>
          <w:sz w:val="16"/>
          <w:szCs w:val="16"/>
        </w:rPr>
      </w:pPr>
    </w:p>
    <w:p w14:paraId="2667651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августа 1935 в Мексике раскрыт заговор с целью убийства президента страны Л. Карденаса (4962).</w:t>
      </w:r>
    </w:p>
    <w:p w14:paraId="679DDC4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E19519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C5CAD22" w14:textId="77777777" w:rsidR="00D4105E" w:rsidRPr="00E14102" w:rsidRDefault="00D4105E" w:rsidP="00E14102">
      <w:pPr>
        <w:autoSpaceDE w:val="0"/>
        <w:autoSpaceDN w:val="0"/>
        <w:adjustRightInd w:val="0"/>
        <w:jc w:val="both"/>
        <w:rPr>
          <w:iCs/>
          <w:color w:val="000000" w:themeColor="text1"/>
          <w:sz w:val="16"/>
          <w:szCs w:val="16"/>
        </w:rPr>
      </w:pPr>
    </w:p>
    <w:p w14:paraId="2A6AB4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августа 1935 на аэродром из ЗОК вновь вывезли АНТ-29 ДИП. Постройка которого была закончена в январе 1935 и в ходе первых полетов с 3 апреля 1935 выявили дефекты моторов и недостаточность площади рулей и элеронов (1076,474).</w:t>
      </w:r>
    </w:p>
    <w:p w14:paraId="5A9DCF87" w14:textId="77777777" w:rsidR="00D4105E" w:rsidRPr="00E14102" w:rsidRDefault="00D4105E" w:rsidP="00E14102">
      <w:pPr>
        <w:autoSpaceDE w:val="0"/>
        <w:autoSpaceDN w:val="0"/>
        <w:adjustRightInd w:val="0"/>
        <w:jc w:val="both"/>
        <w:rPr>
          <w:color w:val="000000" w:themeColor="text1"/>
          <w:sz w:val="16"/>
          <w:szCs w:val="16"/>
        </w:rPr>
      </w:pPr>
    </w:p>
    <w:p w14:paraId="732F58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августа 1935 было подписано заключение Комиссии по гос. испытаниям парашюта Г-36 ЭИ Гроховского (съемного, который надевался при необходимости):</w:t>
      </w:r>
    </w:p>
    <w:p w14:paraId="7A5DDE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Парашют Г-36, представленный ЭИ НКТП - гос. испытания выдержал.</w:t>
      </w:r>
    </w:p>
    <w:p w14:paraId="7E26D7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Указанный парашют рекомендован для принятия на снабжение ВС РККА." (2186).</w:t>
      </w:r>
    </w:p>
    <w:p w14:paraId="3322DF7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 Н/О В. Ч. 1698 Кабанов. Начальник 5 отдела В. Ч. 1127 Петров:</w:t>
      </w:r>
    </w:p>
    <w:p w14:paraId="5BE2B5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сентября 1935 Нач. В/ч 1127—Бажанов УТВЕРДИЛ</w:t>
      </w:r>
    </w:p>
    <w:p w14:paraId="234AE2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Универсальный парашют Г-36 — -предназначен для лиц экипажа самолета, -которым по условиям работы, обычный парашют с посто</w:t>
      </w:r>
      <w:r w:rsidRPr="00E14102">
        <w:rPr>
          <w:color w:val="000000" w:themeColor="text1"/>
          <w:sz w:val="16"/>
          <w:szCs w:val="16"/>
        </w:rPr>
        <w:softHyphen/>
        <w:t>янным креплением ранца создает ряд неудобств и затрудняет выпол</w:t>
      </w:r>
      <w:r w:rsidRPr="00E14102">
        <w:rPr>
          <w:color w:val="000000" w:themeColor="text1"/>
          <w:sz w:val="16"/>
          <w:szCs w:val="16"/>
        </w:rPr>
        <w:softHyphen/>
        <w:t>нение ими своих обязанностей в полете (борт, техник, инженер, лет-наб).</w:t>
      </w:r>
    </w:p>
    <w:p w14:paraId="0AEC38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 сконструированитаким образом, что может мгновенно быть соединен с подвесной системой при помощи специального карабина.</w:t>
      </w:r>
    </w:p>
    <w:p w14:paraId="233219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Применение ПД-1, как боевого парашюта — экономичней обыч</w:t>
      </w:r>
      <w:r w:rsidRPr="00E14102">
        <w:rPr>
          <w:color w:val="000000" w:themeColor="text1"/>
          <w:sz w:val="16"/>
          <w:szCs w:val="16"/>
        </w:rPr>
        <w:softHyphen/>
        <w:t>ных типов парашюта, т. к. замена шелкового купола и строп — пер-лалем и хл.-бумажными шнурами, — вдвое удешевляет стоимость ком</w:t>
      </w:r>
      <w:r w:rsidRPr="00E14102">
        <w:rPr>
          <w:color w:val="000000" w:themeColor="text1"/>
          <w:sz w:val="16"/>
          <w:szCs w:val="16"/>
        </w:rPr>
        <w:softHyphen/>
        <w:t>плекта и в сроках эксплоатацни, — превосходит в несколько раз шелковые образцы, как более подверженные разрушению, истиранию л слеживанию.</w:t>
      </w:r>
    </w:p>
    <w:p w14:paraId="5405BFA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Примечание. Десантные перкалевые парашюты ПД-1 приняты на снабжение ВС РККА в 1932 г.</w:t>
      </w:r>
    </w:p>
    <w:p w14:paraId="7B96B3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 сконструирован таким образом, что может мгновенно быть соединен с подвесной системой при помощи специального ка</w:t>
      </w:r>
      <w:r w:rsidRPr="00E14102">
        <w:rPr>
          <w:color w:val="000000" w:themeColor="text1"/>
          <w:sz w:val="16"/>
          <w:szCs w:val="16"/>
        </w:rPr>
        <w:softHyphen/>
        <w:t>рабина.</w:t>
      </w:r>
    </w:p>
    <w:p w14:paraId="5F7202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полете парашют, как правило, находится у рабочих мест эки</w:t>
      </w:r>
      <w:r w:rsidRPr="00E14102">
        <w:rPr>
          <w:color w:val="000000" w:themeColor="text1"/>
          <w:sz w:val="16"/>
          <w:szCs w:val="16"/>
        </w:rPr>
        <w:softHyphen/>
        <w:t>пажа.</w:t>
      </w:r>
    </w:p>
    <w:p w14:paraId="33D8EA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необходимости (в случае аварии, пожара и т. д.), борт, тех</w:t>
      </w:r>
      <w:r w:rsidRPr="00E14102">
        <w:rPr>
          <w:color w:val="000000" w:themeColor="text1"/>
          <w:sz w:val="16"/>
          <w:szCs w:val="16"/>
        </w:rPr>
        <w:softHyphen/>
        <w:t>ник, инженер или летнаб, — берет ранец с парашютом, укрепляет его мгновенно в замке подвесной системы и оставляет самолет (2186).</w:t>
      </w:r>
    </w:p>
    <w:p w14:paraId="23AB5C26" w14:textId="77777777" w:rsidR="00D4105E" w:rsidRPr="00E14102" w:rsidRDefault="00D4105E" w:rsidP="00E14102">
      <w:pPr>
        <w:autoSpaceDE w:val="0"/>
        <w:autoSpaceDN w:val="0"/>
        <w:adjustRightInd w:val="0"/>
        <w:jc w:val="both"/>
        <w:rPr>
          <w:color w:val="000000" w:themeColor="text1"/>
          <w:sz w:val="16"/>
          <w:szCs w:val="16"/>
        </w:rPr>
      </w:pPr>
    </w:p>
    <w:p w14:paraId="7FFADC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августа 1935 в Крыму состоялся буксирный полет семи планеров Г-9 за П-5. Планерами управляли Романов, Макаров, Шелест, Ильченко, Штамм, Лисецкий и Раценская. На П-5 был Н.Я.Симонов. Три планера строем обратного клина прицеплялись к фюзеляжу, а по 2 - к крыльям. летали 0:40 на 500 м, а потом отправились в Москву (438,693).</w:t>
      </w:r>
    </w:p>
    <w:p w14:paraId="55E4F5B0" w14:textId="77777777" w:rsidR="00D4105E" w:rsidRPr="00E14102" w:rsidRDefault="00D4105E" w:rsidP="00E14102">
      <w:pPr>
        <w:autoSpaceDE w:val="0"/>
        <w:autoSpaceDN w:val="0"/>
        <w:adjustRightInd w:val="0"/>
        <w:jc w:val="both"/>
        <w:rPr>
          <w:color w:val="000000" w:themeColor="text1"/>
          <w:sz w:val="16"/>
          <w:szCs w:val="16"/>
        </w:rPr>
      </w:pPr>
    </w:p>
    <w:p w14:paraId="4BB23E5F" w14:textId="77777777" w:rsidR="003F1358"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00FAFC3" w14:textId="77777777" w:rsidR="003F1358" w:rsidRPr="00E14102" w:rsidRDefault="003F1358" w:rsidP="00E14102">
      <w:pPr>
        <w:autoSpaceDE w:val="0"/>
        <w:autoSpaceDN w:val="0"/>
        <w:adjustRightInd w:val="0"/>
        <w:jc w:val="both"/>
        <w:rPr>
          <w:iCs/>
          <w:color w:val="000000" w:themeColor="text1"/>
          <w:sz w:val="16"/>
          <w:szCs w:val="16"/>
        </w:rPr>
      </w:pPr>
    </w:p>
    <w:p w14:paraId="44D678DF" w14:textId="77777777" w:rsidR="003F1358" w:rsidRPr="00E14102" w:rsidRDefault="003F1358" w:rsidP="00E14102">
      <w:pPr>
        <w:pStyle w:val="rtejustify"/>
        <w:spacing w:before="0" w:after="0"/>
        <w:rPr>
          <w:color w:val="000000" w:themeColor="text1"/>
          <w:sz w:val="16"/>
          <w:szCs w:val="16"/>
        </w:rPr>
      </w:pPr>
      <w:r w:rsidRPr="00E14102">
        <w:rPr>
          <w:rStyle w:val="a6"/>
          <w:bCs/>
          <w:i w:val="0"/>
          <w:color w:val="000000" w:themeColor="text1"/>
          <w:sz w:val="16"/>
          <w:szCs w:val="16"/>
        </w:rPr>
        <w:t>11 августа 1935 вышел приказ НКО №</w:t>
      </w:r>
      <w:r w:rsidRPr="00E14102">
        <w:rPr>
          <w:color w:val="000000" w:themeColor="text1"/>
          <w:sz w:val="16"/>
          <w:szCs w:val="16"/>
        </w:rPr>
        <w:t> 0143. О наложении взыскания на военного представителя АУ РККА т. Довгополого М. С (15247).</w:t>
      </w:r>
    </w:p>
    <w:p w14:paraId="72E7E338" w14:textId="77777777" w:rsidR="003F1358" w:rsidRPr="00E14102" w:rsidRDefault="003F1358" w:rsidP="00E14102">
      <w:pPr>
        <w:pStyle w:val="rtejustify"/>
        <w:spacing w:before="0" w:after="0"/>
        <w:rPr>
          <w:color w:val="000000" w:themeColor="text1"/>
          <w:sz w:val="16"/>
          <w:szCs w:val="16"/>
        </w:rPr>
      </w:pPr>
    </w:p>
    <w:p w14:paraId="4504BDE0" w14:textId="77777777" w:rsidR="004F769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1F50ED1" w14:textId="77777777" w:rsidR="004F769A" w:rsidRPr="00E14102" w:rsidRDefault="004F769A" w:rsidP="00E14102">
      <w:pPr>
        <w:autoSpaceDE w:val="0"/>
        <w:autoSpaceDN w:val="0"/>
        <w:adjustRightInd w:val="0"/>
        <w:jc w:val="both"/>
        <w:rPr>
          <w:iCs/>
          <w:color w:val="000000" w:themeColor="text1"/>
          <w:sz w:val="16"/>
          <w:szCs w:val="16"/>
        </w:rPr>
      </w:pPr>
    </w:p>
    <w:p w14:paraId="11465CF8" w14:textId="77777777" w:rsidR="004F769A" w:rsidRPr="00E14102" w:rsidRDefault="004F769A" w:rsidP="00E14102">
      <w:pPr>
        <w:jc w:val="both"/>
        <w:rPr>
          <w:color w:val="000000" w:themeColor="text1"/>
          <w:sz w:val="16"/>
          <w:szCs w:val="16"/>
        </w:rPr>
      </w:pPr>
      <w:r w:rsidRPr="00E14102">
        <w:rPr>
          <w:color w:val="000000" w:themeColor="text1"/>
          <w:sz w:val="16"/>
          <w:szCs w:val="16"/>
        </w:rPr>
        <w:t>11 августа 1935 г. секретным распоряжением нового начальника Главлита С.Б. Ингулова было дано указание начальникам Московского и Ленинградского Литов хрестоматии и сборники со статьями Троцкого, Зиновьева и Каменева передать в спецхраны.</w:t>
      </w:r>
    </w:p>
    <w:p w14:paraId="53693EEE" w14:textId="77777777" w:rsidR="004F769A" w:rsidRPr="00E14102" w:rsidRDefault="004F769A" w:rsidP="00E14102">
      <w:pPr>
        <w:jc w:val="both"/>
        <w:rPr>
          <w:color w:val="000000" w:themeColor="text1"/>
          <w:sz w:val="16"/>
          <w:szCs w:val="16"/>
        </w:rPr>
      </w:pPr>
      <w:r w:rsidRPr="00E14102">
        <w:rPr>
          <w:color w:val="000000" w:themeColor="text1"/>
          <w:sz w:val="16"/>
          <w:szCs w:val="16"/>
        </w:rPr>
        <w:t>В 1935 г. появились и другие списки на изъятия литературы. 10 сентября циркуляром №1850/сс (разослан на места 14 сентября) было предписано изъять наглядные пособия по истории ВКП (б), в которых изображались Троцкий, Каменев и Зиновьев, а также эпоха народовольческого террора XIX в. Согласно инструкции №2008 от 16 октября список изымаемых книг составлял 29 позиций. Всего за 1935 г. по приказам и инструкциям Главлита было изъято минимум 100 книг. Но одновременно с этим составлялись отдельные списки Наркомпросом, которые отчасти публиковались в «Бюллетене Наркомпроса». Особенность этих изъятий состоит в том, что до мая 1935 г. Наркомпрос рекомендовал только зачеркивать в учебных книгах и программах указания в тексте на «вредных авторов», а после мая – приказывал изымать эти книги полностью. 2 экземпляра всех изъятых в 1935 г. книг отправлялись в библиотечные спецхраны (17273).</w:t>
      </w:r>
    </w:p>
    <w:p w14:paraId="07A00A14" w14:textId="77777777" w:rsidR="004F769A" w:rsidRPr="00E14102" w:rsidRDefault="004F769A" w:rsidP="00E14102">
      <w:pPr>
        <w:jc w:val="both"/>
        <w:rPr>
          <w:color w:val="000000" w:themeColor="text1"/>
          <w:sz w:val="16"/>
          <w:szCs w:val="16"/>
        </w:rPr>
      </w:pPr>
    </w:p>
    <w:p w14:paraId="21AF5E0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FB73EA8" w14:textId="77777777" w:rsidR="00D4105E" w:rsidRPr="00E14102" w:rsidRDefault="00D4105E" w:rsidP="00E14102">
      <w:pPr>
        <w:autoSpaceDE w:val="0"/>
        <w:autoSpaceDN w:val="0"/>
        <w:adjustRightInd w:val="0"/>
        <w:jc w:val="both"/>
        <w:rPr>
          <w:iCs/>
          <w:color w:val="000000" w:themeColor="text1"/>
          <w:sz w:val="16"/>
          <w:szCs w:val="16"/>
        </w:rPr>
      </w:pPr>
    </w:p>
    <w:p w14:paraId="13EBA6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августа 1935 состоялась массовая антиеврейская демонстрация нацистов (3481).</w:t>
      </w:r>
    </w:p>
    <w:p w14:paraId="525F2C74" w14:textId="77777777" w:rsidR="00D4105E" w:rsidRPr="00E14102" w:rsidRDefault="00D4105E" w:rsidP="00E14102">
      <w:pPr>
        <w:autoSpaceDE w:val="0"/>
        <w:autoSpaceDN w:val="0"/>
        <w:adjustRightInd w:val="0"/>
        <w:jc w:val="both"/>
        <w:rPr>
          <w:color w:val="000000" w:themeColor="text1"/>
          <w:sz w:val="16"/>
          <w:szCs w:val="16"/>
        </w:rPr>
      </w:pPr>
    </w:p>
    <w:p w14:paraId="2839419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795594D" w14:textId="77777777" w:rsidR="00D4105E" w:rsidRPr="00E14102" w:rsidRDefault="00D4105E" w:rsidP="00E14102">
      <w:pPr>
        <w:autoSpaceDE w:val="0"/>
        <w:autoSpaceDN w:val="0"/>
        <w:adjustRightInd w:val="0"/>
        <w:jc w:val="both"/>
        <w:rPr>
          <w:iCs/>
          <w:color w:val="000000" w:themeColor="text1"/>
          <w:sz w:val="16"/>
          <w:szCs w:val="16"/>
        </w:rPr>
      </w:pPr>
    </w:p>
    <w:p w14:paraId="778FC1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августа 1935 на ДБА 4М-34РН в ходе заводских испытаний на 22 заводе летали 1 раз 55 мин. на проверку устойчивости и заодно перелетели в Щелково и это был 4-й полет машины (249).</w:t>
      </w:r>
    </w:p>
    <w:p w14:paraId="61108574" w14:textId="77777777" w:rsidR="00D4105E" w:rsidRPr="00E14102" w:rsidRDefault="00D4105E" w:rsidP="00E14102">
      <w:pPr>
        <w:autoSpaceDE w:val="0"/>
        <w:autoSpaceDN w:val="0"/>
        <w:adjustRightInd w:val="0"/>
        <w:jc w:val="both"/>
        <w:rPr>
          <w:color w:val="000000" w:themeColor="text1"/>
          <w:sz w:val="16"/>
          <w:szCs w:val="16"/>
        </w:rPr>
      </w:pPr>
    </w:p>
    <w:p w14:paraId="51DCAED9" w14:textId="77777777" w:rsidR="00872260" w:rsidRPr="00E14102" w:rsidRDefault="00872260" w:rsidP="00E14102">
      <w:pPr>
        <w:jc w:val="both"/>
        <w:rPr>
          <w:color w:val="000000" w:themeColor="text1"/>
          <w:sz w:val="16"/>
          <w:szCs w:val="16"/>
        </w:rPr>
      </w:pPr>
      <w:r w:rsidRPr="00E14102">
        <w:rPr>
          <w:color w:val="000000" w:themeColor="text1"/>
          <w:sz w:val="16"/>
          <w:szCs w:val="16"/>
        </w:rPr>
        <w:t>12 августа 1935 года с целью подтверждения характеристик, полученных во время заводских испыта</w:t>
      </w:r>
      <w:r w:rsidRPr="00E14102">
        <w:rPr>
          <w:color w:val="000000" w:themeColor="text1"/>
          <w:sz w:val="16"/>
          <w:szCs w:val="16"/>
        </w:rPr>
        <w:softHyphen/>
        <w:t>ний, опытную машину ДБ-А перегнали в НИИ ВВС, при этом продол</w:t>
      </w:r>
      <w:r w:rsidRPr="00E14102">
        <w:rPr>
          <w:color w:val="000000" w:themeColor="text1"/>
          <w:sz w:val="16"/>
          <w:szCs w:val="16"/>
        </w:rPr>
        <w:softHyphen/>
        <w:t>жительность перелета составила 55 минут. Специалисты института и промышленно</w:t>
      </w:r>
      <w:r w:rsidRPr="00E14102">
        <w:rPr>
          <w:color w:val="000000" w:themeColor="text1"/>
          <w:sz w:val="16"/>
          <w:szCs w:val="16"/>
        </w:rPr>
        <w:softHyphen/>
        <w:t>сти испытывали машину свыше трех ме</w:t>
      </w:r>
      <w:r w:rsidRPr="00E14102">
        <w:rPr>
          <w:color w:val="000000" w:themeColor="text1"/>
          <w:sz w:val="16"/>
          <w:szCs w:val="16"/>
        </w:rPr>
        <w:softHyphen/>
        <w:t>сяцев, и 24 ноября ДБ-А вернули на завод для доработок, затянувшихся почти на два месяца. 15 января 1936 года машина вновь оказалась в руках испытателей НИИ ВВС, но не надолго. 14 марта самолет вновь при</w:t>
      </w:r>
      <w:r w:rsidRPr="00E14102">
        <w:rPr>
          <w:color w:val="000000" w:themeColor="text1"/>
          <w:sz w:val="16"/>
          <w:szCs w:val="16"/>
        </w:rPr>
        <w:softHyphen/>
        <w:t>няли на испытания, продолжившиеся до середины лета. Ведущими по машине бы</w:t>
      </w:r>
      <w:r w:rsidRPr="00E14102">
        <w:rPr>
          <w:color w:val="000000" w:themeColor="text1"/>
          <w:sz w:val="16"/>
          <w:szCs w:val="16"/>
        </w:rPr>
        <w:softHyphen/>
        <w:t>ли инженер, будущий начальник институ</w:t>
      </w:r>
      <w:r w:rsidRPr="00E14102">
        <w:rPr>
          <w:color w:val="000000" w:themeColor="text1"/>
          <w:sz w:val="16"/>
          <w:szCs w:val="16"/>
        </w:rPr>
        <w:softHyphen/>
        <w:t>та, П.А. Лосюков и летчик М.А. Нюхтиков (12725).</w:t>
      </w:r>
    </w:p>
    <w:p w14:paraId="1A2C9067" w14:textId="77777777" w:rsidR="00872260" w:rsidRPr="00E14102" w:rsidRDefault="00872260" w:rsidP="00E14102">
      <w:pPr>
        <w:jc w:val="both"/>
        <w:rPr>
          <w:color w:val="000000" w:themeColor="text1"/>
          <w:sz w:val="16"/>
          <w:szCs w:val="16"/>
        </w:rPr>
      </w:pPr>
    </w:p>
    <w:p w14:paraId="3AAC83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августа 1935 закончились гос. испытания СБ с 2ИС-12 и стрелкового вооружения на СБ 2РЦ, которые шли с 9 июля 1935. Собственно испытание вооружения было с 12 по 16 августа 1935. Отв. исполнители: Нач. 1 отд. И.Ф.Петров, Нач. 4 Отд. Шевченко, ви Подлесецкий.</w:t>
      </w:r>
    </w:p>
    <w:p w14:paraId="073EB0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AF8A7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На основании произведенных испытаний СБ 2ИС-12 при мощности 750 нр НИИ ВВС считает:</w:t>
      </w:r>
    </w:p>
    <w:p w14:paraId="003AEF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Наличие у СБ большой макс. скорости, скороподъемности, практического потолка и сравнительно сильного вооружения, ставит его в ряд одного из лучших в мире скоростных истребителей.</w:t>
      </w:r>
    </w:p>
    <w:p w14:paraId="6FF302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Указанные в отчете дефекты, выявленные в процессе кратковременных испытаний, проведенных в феврале и июле с.г. (а также невыполнение ряда пунктов ТТТ) делают СБ в предъявленном виде практически небоеспособным. Без устранения перечисленных в отчете дефектов СБ не м.б. принят на вооружение.</w:t>
      </w:r>
    </w:p>
    <w:p w14:paraId="58B684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4. Ввиду того, что устранение ряда основных дефектов: недостаточная прочность, отсутствие устойчивости и др. потребуют коренной переделки, предложить ЦАГИ выполнить модификацию СБ, обязав устранить в нем все перечисленные недостатки.</w:t>
      </w:r>
    </w:p>
    <w:p w14:paraId="6CFC01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ЦАГИ... вторично предъявил на гос. испытания небоеспособный самолет, полностью необорудованный и кроме всего, потребовавший более 1500 чел./часов на ремонты в течение 8 дней, отведенных на испытания.</w:t>
      </w:r>
    </w:p>
    <w:p w14:paraId="1ACA21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При устранении дефектов самолет вновь передать в НИИ ВВС для проведения эксплуатационных испытаний, проверки устранения дефектов, а также исследования вопросов боевого применения вооружения и оборудования на больших скоростях и высотах (2913).</w:t>
      </w:r>
    </w:p>
    <w:p w14:paraId="576BF0B8" w14:textId="77777777" w:rsidR="00D4105E" w:rsidRPr="00E14102" w:rsidRDefault="00D4105E" w:rsidP="00E14102">
      <w:pPr>
        <w:autoSpaceDE w:val="0"/>
        <w:autoSpaceDN w:val="0"/>
        <w:adjustRightInd w:val="0"/>
        <w:jc w:val="both"/>
        <w:rPr>
          <w:color w:val="000000" w:themeColor="text1"/>
          <w:sz w:val="16"/>
          <w:szCs w:val="16"/>
        </w:rPr>
      </w:pPr>
    </w:p>
    <w:p w14:paraId="62FE9E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августа 1935 года начальник и военком НИИ ВС Бажанов утвердили:</w:t>
      </w:r>
    </w:p>
    <w:p w14:paraId="5D1B53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Отчет по испытанию самолета И-15 с нормальным центропланом № 33907 с мотором РЦ Ф3 постройки завода № 39</w:t>
      </w:r>
    </w:p>
    <w:p w14:paraId="7C68F0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инженер-летчик Алтынов Т.Т.</w:t>
      </w:r>
    </w:p>
    <w:p w14:paraId="60D878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летчик Преман Э.И.</w:t>
      </w:r>
    </w:p>
    <w:p w14:paraId="6B9359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0EE1755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Снятие летной характеристики с самолета с нормальным центропланом для сравнения с самолетом с центропланом "Чайка".</w:t>
      </w:r>
    </w:p>
    <w:p w14:paraId="7A60338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Испытать устойчивость пути на максимальных горизонтальных скоростях и на пикировании.</w:t>
      </w:r>
    </w:p>
    <w:p w14:paraId="57A655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процессе испытаний выявлено, что наличие нормального центроплана на самолете И-15 уничтожило рыскание самолета, давшее возможность нормально прицеливаться, как на максимальных горизонтальных скоростях, так и на пикировании.</w:t>
      </w:r>
    </w:p>
    <w:p w14:paraId="232FDE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E70F20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Рекомендовать к серийной постройке самолеты И-15 с нормальным центропланом.</w:t>
      </w:r>
    </w:p>
    <w:p w14:paraId="4E0151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Дневник испытаний самолета И-15 с нормальным центропланом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35"/>
        <w:gridCol w:w="7338"/>
      </w:tblGrid>
      <w:tr w:rsidR="00E3599D" w:rsidRPr="00E14102" w14:paraId="3B148FEB" w14:textId="77777777">
        <w:tc>
          <w:tcPr>
            <w:tcW w:w="2835" w:type="dxa"/>
          </w:tcPr>
          <w:p w14:paraId="239EAC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Дата</w:t>
            </w:r>
          </w:p>
        </w:tc>
        <w:tc>
          <w:tcPr>
            <w:tcW w:w="7338" w:type="dxa"/>
          </w:tcPr>
          <w:p w14:paraId="1949B0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работ</w:t>
            </w:r>
          </w:p>
        </w:tc>
      </w:tr>
      <w:tr w:rsidR="00E3599D" w:rsidRPr="00E14102" w14:paraId="7350BF12" w14:textId="77777777">
        <w:tc>
          <w:tcPr>
            <w:tcW w:w="2835" w:type="dxa"/>
          </w:tcPr>
          <w:p w14:paraId="1EE209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мая 1935 года</w:t>
            </w:r>
          </w:p>
        </w:tc>
        <w:tc>
          <w:tcPr>
            <w:tcW w:w="7338" w:type="dxa"/>
          </w:tcPr>
          <w:p w14:paraId="609FF3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Приемка самолета. Перегонка в Щелково.</w:t>
            </w:r>
          </w:p>
        </w:tc>
      </w:tr>
      <w:tr w:rsidR="00E3599D" w:rsidRPr="00E14102" w14:paraId="51F19329" w14:textId="77777777">
        <w:tc>
          <w:tcPr>
            <w:tcW w:w="2835" w:type="dxa"/>
          </w:tcPr>
          <w:p w14:paraId="7BBEFF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мая 1935 года</w:t>
            </w:r>
          </w:p>
        </w:tc>
        <w:tc>
          <w:tcPr>
            <w:tcW w:w="7338" w:type="dxa"/>
          </w:tcPr>
          <w:p w14:paraId="696A91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Тренировочные полеты на определение высотности мотора.</w:t>
            </w:r>
          </w:p>
          <w:p w14:paraId="385DFC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зубцы.</w:t>
            </w:r>
          </w:p>
          <w:p w14:paraId="08BCE6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километраж.</w:t>
            </w:r>
          </w:p>
        </w:tc>
      </w:tr>
      <w:tr w:rsidR="00E3599D" w:rsidRPr="00E14102" w14:paraId="6AEC5D81" w14:textId="77777777">
        <w:tc>
          <w:tcPr>
            <w:tcW w:w="2835" w:type="dxa"/>
          </w:tcPr>
          <w:p w14:paraId="3BA774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мая 1935 года</w:t>
            </w:r>
          </w:p>
        </w:tc>
        <w:tc>
          <w:tcPr>
            <w:tcW w:w="7338" w:type="dxa"/>
          </w:tcPr>
          <w:p w14:paraId="223874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зубцы на 1000 м и на 2000 м.</w:t>
            </w:r>
          </w:p>
        </w:tc>
      </w:tr>
      <w:tr w:rsidR="00E3599D" w:rsidRPr="00E14102" w14:paraId="3E12008B" w14:textId="77777777">
        <w:tc>
          <w:tcPr>
            <w:tcW w:w="2835" w:type="dxa"/>
          </w:tcPr>
          <w:p w14:paraId="08CC11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мая 1935 года</w:t>
            </w:r>
          </w:p>
        </w:tc>
        <w:tc>
          <w:tcPr>
            <w:tcW w:w="7338" w:type="dxa"/>
          </w:tcPr>
          <w:p w14:paraId="17B61A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5000 м.</w:t>
            </w:r>
          </w:p>
          <w:p w14:paraId="40209C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8000 м (задание не выполнено из-за перебоев мотора начиная с 6500 м)</w:t>
            </w:r>
          </w:p>
        </w:tc>
      </w:tr>
      <w:tr w:rsidR="00E3599D" w:rsidRPr="00E14102" w14:paraId="2B506FF0" w14:textId="77777777">
        <w:tc>
          <w:tcPr>
            <w:tcW w:w="2835" w:type="dxa"/>
          </w:tcPr>
          <w:p w14:paraId="53AB9F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мая 1935 года</w:t>
            </w:r>
          </w:p>
        </w:tc>
        <w:tc>
          <w:tcPr>
            <w:tcW w:w="7338" w:type="dxa"/>
          </w:tcPr>
          <w:p w14:paraId="7A15A4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8000 м (мотор также давал перебои начиная с 6500 м)</w:t>
            </w:r>
          </w:p>
        </w:tc>
      </w:tr>
      <w:tr w:rsidR="00E3599D" w:rsidRPr="00E14102" w14:paraId="0516060F" w14:textId="77777777">
        <w:tc>
          <w:tcPr>
            <w:tcW w:w="2835" w:type="dxa"/>
          </w:tcPr>
          <w:p w14:paraId="47E31B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мая 1935 года</w:t>
            </w:r>
          </w:p>
        </w:tc>
        <w:tc>
          <w:tcPr>
            <w:tcW w:w="7338" w:type="dxa"/>
          </w:tcPr>
          <w:p w14:paraId="6E9C81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определение устойчивости.</w:t>
            </w:r>
          </w:p>
        </w:tc>
      </w:tr>
      <w:tr w:rsidR="00E3599D" w:rsidRPr="00E14102" w14:paraId="47CF7B37" w14:textId="77777777">
        <w:tc>
          <w:tcPr>
            <w:tcW w:w="2835" w:type="dxa"/>
          </w:tcPr>
          <w:p w14:paraId="38F310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мая 1935 года</w:t>
            </w:r>
          </w:p>
        </w:tc>
        <w:tc>
          <w:tcPr>
            <w:tcW w:w="7338" w:type="dxa"/>
          </w:tcPr>
          <w:p w14:paraId="5FC4D2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пикирование до скоростей 250 км/час.</w:t>
            </w:r>
          </w:p>
          <w:p w14:paraId="1CCB8C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определение горизонтальных скоростей по высотам.</w:t>
            </w:r>
          </w:p>
        </w:tc>
      </w:tr>
      <w:tr w:rsidR="00E3599D" w:rsidRPr="00E14102" w14:paraId="01742D1B" w14:textId="77777777">
        <w:tc>
          <w:tcPr>
            <w:tcW w:w="2835" w:type="dxa"/>
          </w:tcPr>
          <w:p w14:paraId="7DB6C7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мая по 1 июля 1935 года</w:t>
            </w:r>
          </w:p>
        </w:tc>
        <w:tc>
          <w:tcPr>
            <w:tcW w:w="7338" w:type="dxa"/>
          </w:tcPr>
          <w:p w14:paraId="680777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Замена ног шасси заводом № 39.</w:t>
            </w:r>
          </w:p>
        </w:tc>
      </w:tr>
      <w:tr w:rsidR="00E3599D" w:rsidRPr="00E14102" w14:paraId="20B5DA53" w14:textId="77777777">
        <w:tc>
          <w:tcPr>
            <w:tcW w:w="2835" w:type="dxa"/>
          </w:tcPr>
          <w:p w14:paraId="60F30E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июля 1935 года</w:t>
            </w:r>
          </w:p>
        </w:tc>
        <w:tc>
          <w:tcPr>
            <w:tcW w:w="7338" w:type="dxa"/>
          </w:tcPr>
          <w:p w14:paraId="67902A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по кругу с новым шасси.</w:t>
            </w:r>
          </w:p>
        </w:tc>
      </w:tr>
      <w:tr w:rsidR="00E3599D" w:rsidRPr="00E14102" w14:paraId="4D8A5061" w14:textId="77777777">
        <w:tc>
          <w:tcPr>
            <w:tcW w:w="2835" w:type="dxa"/>
          </w:tcPr>
          <w:p w14:paraId="7B855F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июля 1935 года</w:t>
            </w:r>
          </w:p>
        </w:tc>
        <w:tc>
          <w:tcPr>
            <w:tcW w:w="7338" w:type="dxa"/>
          </w:tcPr>
          <w:p w14:paraId="46BCA1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Километраж с другим весом.</w:t>
            </w:r>
          </w:p>
        </w:tc>
      </w:tr>
      <w:tr w:rsidR="00E3599D" w:rsidRPr="00E14102" w14:paraId="79229570" w14:textId="77777777">
        <w:tc>
          <w:tcPr>
            <w:tcW w:w="2835" w:type="dxa"/>
          </w:tcPr>
          <w:p w14:paraId="4E3A7B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июля 1935 года</w:t>
            </w:r>
          </w:p>
        </w:tc>
        <w:tc>
          <w:tcPr>
            <w:tcW w:w="7338" w:type="dxa"/>
          </w:tcPr>
          <w:p w14:paraId="349CA9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8000 м. Летчик Филин.</w:t>
            </w:r>
          </w:p>
        </w:tc>
      </w:tr>
      <w:tr w:rsidR="00E3599D" w:rsidRPr="00E14102" w14:paraId="52B2403C" w14:textId="77777777">
        <w:tc>
          <w:tcPr>
            <w:tcW w:w="2835" w:type="dxa"/>
          </w:tcPr>
          <w:p w14:paraId="3ECBE1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июля 1935 года</w:t>
            </w:r>
          </w:p>
        </w:tc>
        <w:tc>
          <w:tcPr>
            <w:tcW w:w="7338" w:type="dxa"/>
          </w:tcPr>
          <w:p w14:paraId="2E96B0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Проба самолета и мотора в воздухе после ремонта.</w:t>
            </w:r>
          </w:p>
          <w:p w14:paraId="65ED11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маневренность.</w:t>
            </w:r>
          </w:p>
        </w:tc>
      </w:tr>
      <w:tr w:rsidR="00E3599D" w:rsidRPr="00E14102" w14:paraId="0810D208" w14:textId="77777777">
        <w:tc>
          <w:tcPr>
            <w:tcW w:w="2835" w:type="dxa"/>
          </w:tcPr>
          <w:p w14:paraId="1B5714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июля 1935 года</w:t>
            </w:r>
          </w:p>
        </w:tc>
        <w:tc>
          <w:tcPr>
            <w:tcW w:w="7338" w:type="dxa"/>
          </w:tcPr>
          <w:p w14:paraId="76C27E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маневренность.</w:t>
            </w:r>
          </w:p>
          <w:p w14:paraId="1E8C51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маневренность.</w:t>
            </w:r>
          </w:p>
        </w:tc>
      </w:tr>
      <w:tr w:rsidR="00E3599D" w:rsidRPr="00E14102" w14:paraId="0CA7218C" w14:textId="77777777">
        <w:tc>
          <w:tcPr>
            <w:tcW w:w="2835" w:type="dxa"/>
          </w:tcPr>
          <w:p w14:paraId="085620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июля 1935 года</w:t>
            </w:r>
          </w:p>
        </w:tc>
        <w:tc>
          <w:tcPr>
            <w:tcW w:w="7338" w:type="dxa"/>
          </w:tcPr>
          <w:p w14:paraId="6B1B2D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маневренность.</w:t>
            </w:r>
          </w:p>
        </w:tc>
      </w:tr>
      <w:tr w:rsidR="00E3599D" w:rsidRPr="00E14102" w14:paraId="469C0109" w14:textId="77777777">
        <w:tc>
          <w:tcPr>
            <w:tcW w:w="2835" w:type="dxa"/>
          </w:tcPr>
          <w:p w14:paraId="02BEC1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июля 1935 года</w:t>
            </w:r>
          </w:p>
        </w:tc>
        <w:tc>
          <w:tcPr>
            <w:tcW w:w="7338" w:type="dxa"/>
          </w:tcPr>
          <w:p w14:paraId="6B12AD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Облет самолета другими летчиками.</w:t>
            </w:r>
          </w:p>
        </w:tc>
      </w:tr>
      <w:tr w:rsidR="00E3599D" w:rsidRPr="00E14102" w14:paraId="2CD6145D" w14:textId="77777777">
        <w:tc>
          <w:tcPr>
            <w:tcW w:w="2835" w:type="dxa"/>
          </w:tcPr>
          <w:p w14:paraId="69E097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и 28 июля 1935 года</w:t>
            </w:r>
          </w:p>
        </w:tc>
        <w:tc>
          <w:tcPr>
            <w:tcW w:w="7338" w:type="dxa"/>
          </w:tcPr>
          <w:p w14:paraId="681947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по кругу (100 полетов).</w:t>
            </w:r>
          </w:p>
        </w:tc>
      </w:tr>
      <w:tr w:rsidR="00E3599D" w:rsidRPr="00E14102" w14:paraId="017705F3" w14:textId="77777777">
        <w:tc>
          <w:tcPr>
            <w:tcW w:w="2835" w:type="dxa"/>
          </w:tcPr>
          <w:p w14:paraId="2BD7FF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июля 1935 года</w:t>
            </w:r>
          </w:p>
        </w:tc>
        <w:tc>
          <w:tcPr>
            <w:tcW w:w="7338" w:type="dxa"/>
          </w:tcPr>
          <w:p w14:paraId="1875FC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закончились.</w:t>
            </w:r>
          </w:p>
        </w:tc>
      </w:tr>
    </w:tbl>
    <w:p w14:paraId="4E2BE9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(7659)</w:t>
      </w:r>
    </w:p>
    <w:p w14:paraId="05B57C5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E6F3E1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августа 1935 года Начальник и военком НИИ ВС Бажанов утвердил Отчет по испытанию самолета И-15 с нормальным центропланом № 33907 с мотором Р-Ц Ф-3 постройки завода № 39 (6688).</w:t>
      </w:r>
    </w:p>
    <w:p w14:paraId="2CADCC3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инженер-летчик Алтынов Т.Т.</w:t>
      </w:r>
    </w:p>
    <w:p w14:paraId="227FA42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летчик Преман Э.Ю.</w:t>
      </w:r>
    </w:p>
    <w:p w14:paraId="15CA68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1126565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Снятие летной характеристики с самолета с нормальным центропланом для сравнения с самолетом с центропланом “Чайка”.</w:t>
      </w:r>
    </w:p>
    <w:p w14:paraId="06CBBA0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Испытать устойчивость пути на максимальных горизонтальных скоростях и на пикировании.</w:t>
      </w:r>
    </w:p>
    <w:p w14:paraId="50AB5C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91322C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Рекомендовать к серийной постройке самолеты И-15 с нормальным центропланом.</w:t>
      </w:r>
    </w:p>
    <w:p w14:paraId="4E29CFA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Дневник испытаний</w:t>
      </w:r>
    </w:p>
    <w:p w14:paraId="3510560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Самолета И-15 с нормальным центропланом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2"/>
        <w:gridCol w:w="5328"/>
      </w:tblGrid>
      <w:tr w:rsidR="00E3599D" w:rsidRPr="00E14102" w14:paraId="0B976133" w14:textId="77777777">
        <w:tc>
          <w:tcPr>
            <w:tcW w:w="3312" w:type="dxa"/>
            <w:tcBorders>
              <w:top w:val="single" w:sz="12" w:space="0" w:color="auto"/>
            </w:tcBorders>
          </w:tcPr>
          <w:p w14:paraId="4EC1C1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мая 1935 года</w:t>
            </w:r>
          </w:p>
        </w:tc>
        <w:tc>
          <w:tcPr>
            <w:tcW w:w="5328" w:type="dxa"/>
            <w:tcBorders>
              <w:top w:val="single" w:sz="12" w:space="0" w:color="auto"/>
            </w:tcBorders>
          </w:tcPr>
          <w:p w14:paraId="7A1826D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Приемка самолета. Перегонка в Щелково.</w:t>
            </w:r>
          </w:p>
        </w:tc>
      </w:tr>
      <w:tr w:rsidR="00E3599D" w:rsidRPr="00E14102" w14:paraId="14C3191A" w14:textId="77777777">
        <w:tc>
          <w:tcPr>
            <w:tcW w:w="3312" w:type="dxa"/>
          </w:tcPr>
          <w:p w14:paraId="4978998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мая 1935 года</w:t>
            </w:r>
          </w:p>
        </w:tc>
        <w:tc>
          <w:tcPr>
            <w:tcW w:w="5328" w:type="dxa"/>
          </w:tcPr>
          <w:p w14:paraId="32A591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Тренировочные полеты и определение высотности мотора.</w:t>
            </w:r>
          </w:p>
        </w:tc>
      </w:tr>
      <w:tr w:rsidR="00E3599D" w:rsidRPr="00E14102" w14:paraId="6F105150" w14:textId="77777777">
        <w:tc>
          <w:tcPr>
            <w:tcW w:w="3312" w:type="dxa"/>
          </w:tcPr>
          <w:p w14:paraId="1BA6B8C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мая 1935 года</w:t>
            </w:r>
          </w:p>
        </w:tc>
        <w:tc>
          <w:tcPr>
            <w:tcW w:w="5328" w:type="dxa"/>
          </w:tcPr>
          <w:p w14:paraId="660BD5A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зубцы на 3000 м и 4000 м.</w:t>
            </w:r>
          </w:p>
        </w:tc>
      </w:tr>
      <w:tr w:rsidR="00E3599D" w:rsidRPr="00E14102" w14:paraId="02BB0DCC" w14:textId="77777777">
        <w:tc>
          <w:tcPr>
            <w:tcW w:w="3312" w:type="dxa"/>
          </w:tcPr>
          <w:p w14:paraId="600C6E9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мая 1935 года</w:t>
            </w:r>
          </w:p>
        </w:tc>
        <w:tc>
          <w:tcPr>
            <w:tcW w:w="5328" w:type="dxa"/>
          </w:tcPr>
          <w:p w14:paraId="57FC3CF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километраж.</w:t>
            </w:r>
          </w:p>
        </w:tc>
      </w:tr>
      <w:tr w:rsidR="00E3599D" w:rsidRPr="00E14102" w14:paraId="52E85CE7" w14:textId="77777777">
        <w:tc>
          <w:tcPr>
            <w:tcW w:w="3312" w:type="dxa"/>
          </w:tcPr>
          <w:p w14:paraId="5D0D049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мая 1935 года</w:t>
            </w:r>
          </w:p>
        </w:tc>
        <w:tc>
          <w:tcPr>
            <w:tcW w:w="5328" w:type="dxa"/>
          </w:tcPr>
          <w:p w14:paraId="577587D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зубцы на 1000 м и на 2000 м.</w:t>
            </w:r>
          </w:p>
        </w:tc>
      </w:tr>
      <w:tr w:rsidR="00E3599D" w:rsidRPr="00E14102" w14:paraId="41C6E4A3" w14:textId="77777777">
        <w:tc>
          <w:tcPr>
            <w:tcW w:w="3312" w:type="dxa"/>
          </w:tcPr>
          <w:p w14:paraId="3740ED0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 мая 1935 года</w:t>
            </w:r>
          </w:p>
        </w:tc>
        <w:tc>
          <w:tcPr>
            <w:tcW w:w="5328" w:type="dxa"/>
          </w:tcPr>
          <w:p w14:paraId="50D2CB1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5000 м.</w:t>
            </w:r>
          </w:p>
        </w:tc>
      </w:tr>
      <w:tr w:rsidR="00E3599D" w:rsidRPr="00E14102" w14:paraId="4D15B001" w14:textId="77777777">
        <w:tc>
          <w:tcPr>
            <w:tcW w:w="3312" w:type="dxa"/>
          </w:tcPr>
          <w:p w14:paraId="063E178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 мая 1935 года</w:t>
            </w:r>
          </w:p>
        </w:tc>
        <w:tc>
          <w:tcPr>
            <w:tcW w:w="5328" w:type="dxa"/>
          </w:tcPr>
          <w:p w14:paraId="17199F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8000 м.</w:t>
            </w:r>
          </w:p>
        </w:tc>
      </w:tr>
      <w:tr w:rsidR="00E3599D" w:rsidRPr="00E14102" w14:paraId="6777005C" w14:textId="77777777">
        <w:tc>
          <w:tcPr>
            <w:tcW w:w="3312" w:type="dxa"/>
          </w:tcPr>
          <w:p w14:paraId="540DF95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мая 1935 года</w:t>
            </w:r>
          </w:p>
        </w:tc>
        <w:tc>
          <w:tcPr>
            <w:tcW w:w="5328" w:type="dxa"/>
          </w:tcPr>
          <w:p w14:paraId="37237CC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8000 м.</w:t>
            </w:r>
          </w:p>
        </w:tc>
      </w:tr>
      <w:tr w:rsidR="00E3599D" w:rsidRPr="00E14102" w14:paraId="62BD67BB" w14:textId="77777777">
        <w:tc>
          <w:tcPr>
            <w:tcW w:w="3312" w:type="dxa"/>
          </w:tcPr>
          <w:p w14:paraId="5B55C55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мая 1935 года</w:t>
            </w:r>
          </w:p>
        </w:tc>
        <w:tc>
          <w:tcPr>
            <w:tcW w:w="5328" w:type="dxa"/>
          </w:tcPr>
          <w:p w14:paraId="0480F82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определение устойчивости.</w:t>
            </w:r>
          </w:p>
        </w:tc>
      </w:tr>
      <w:tr w:rsidR="00E3599D" w:rsidRPr="00E14102" w14:paraId="77D43876" w14:textId="77777777">
        <w:tc>
          <w:tcPr>
            <w:tcW w:w="3312" w:type="dxa"/>
          </w:tcPr>
          <w:p w14:paraId="1741502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 мая 1935 года</w:t>
            </w:r>
          </w:p>
        </w:tc>
        <w:tc>
          <w:tcPr>
            <w:tcW w:w="5328" w:type="dxa"/>
          </w:tcPr>
          <w:p w14:paraId="3FAD564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пикирование до скоростей 250 км/час.</w:t>
            </w:r>
          </w:p>
        </w:tc>
      </w:tr>
      <w:tr w:rsidR="00E3599D" w:rsidRPr="00E14102" w14:paraId="4D0E6793" w14:textId="77777777">
        <w:tc>
          <w:tcPr>
            <w:tcW w:w="3312" w:type="dxa"/>
          </w:tcPr>
          <w:p w14:paraId="2386F01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 мая 1935 года</w:t>
            </w:r>
          </w:p>
        </w:tc>
        <w:tc>
          <w:tcPr>
            <w:tcW w:w="5328" w:type="dxa"/>
          </w:tcPr>
          <w:p w14:paraId="0AB496E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определение горизонтальных скоростей по высотам.</w:t>
            </w:r>
          </w:p>
        </w:tc>
      </w:tr>
      <w:tr w:rsidR="00E3599D" w:rsidRPr="00E14102" w14:paraId="78287C63" w14:textId="77777777">
        <w:tc>
          <w:tcPr>
            <w:tcW w:w="3312" w:type="dxa"/>
          </w:tcPr>
          <w:p w14:paraId="3CA840B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июля 1935 года</w:t>
            </w:r>
          </w:p>
        </w:tc>
        <w:tc>
          <w:tcPr>
            <w:tcW w:w="5328" w:type="dxa"/>
          </w:tcPr>
          <w:p w14:paraId="1DC70C1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по кругу с новым шасси.</w:t>
            </w:r>
          </w:p>
        </w:tc>
      </w:tr>
      <w:tr w:rsidR="00E3599D" w:rsidRPr="00E14102" w14:paraId="1FCD928E" w14:textId="77777777">
        <w:tc>
          <w:tcPr>
            <w:tcW w:w="3312" w:type="dxa"/>
          </w:tcPr>
          <w:p w14:paraId="4438E99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июля 1935 года</w:t>
            </w:r>
          </w:p>
        </w:tc>
        <w:tc>
          <w:tcPr>
            <w:tcW w:w="5328" w:type="dxa"/>
          </w:tcPr>
          <w:p w14:paraId="5665F0A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Километраж с другим весом.</w:t>
            </w:r>
          </w:p>
        </w:tc>
      </w:tr>
      <w:tr w:rsidR="00E3599D" w:rsidRPr="00E14102" w14:paraId="7D247949" w14:textId="77777777">
        <w:tc>
          <w:tcPr>
            <w:tcW w:w="3312" w:type="dxa"/>
          </w:tcPr>
          <w:p w14:paraId="2C7C164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 июля 1935 года</w:t>
            </w:r>
          </w:p>
        </w:tc>
        <w:tc>
          <w:tcPr>
            <w:tcW w:w="5328" w:type="dxa"/>
          </w:tcPr>
          <w:p w14:paraId="2F702AB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скороподъемность на 8000 м – летчик Филин.</w:t>
            </w:r>
          </w:p>
        </w:tc>
      </w:tr>
      <w:tr w:rsidR="00E3599D" w:rsidRPr="00E14102" w14:paraId="2CAA411E" w14:textId="77777777">
        <w:tc>
          <w:tcPr>
            <w:tcW w:w="3312" w:type="dxa"/>
          </w:tcPr>
          <w:p w14:paraId="7B4DE38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июля 1935 года</w:t>
            </w:r>
          </w:p>
        </w:tc>
        <w:tc>
          <w:tcPr>
            <w:tcW w:w="5328" w:type="dxa"/>
          </w:tcPr>
          <w:p w14:paraId="761F5F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Проба самолета и мотора в воздухе.</w:t>
            </w:r>
          </w:p>
        </w:tc>
      </w:tr>
      <w:tr w:rsidR="00E3599D" w:rsidRPr="00E14102" w14:paraId="212A51D2" w14:textId="77777777">
        <w:tc>
          <w:tcPr>
            <w:tcW w:w="3312" w:type="dxa"/>
          </w:tcPr>
          <w:p w14:paraId="1A90DE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июля 1935 года</w:t>
            </w:r>
          </w:p>
        </w:tc>
        <w:tc>
          <w:tcPr>
            <w:tcW w:w="5328" w:type="dxa"/>
          </w:tcPr>
          <w:p w14:paraId="42A3CE3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маневренность.</w:t>
            </w:r>
          </w:p>
        </w:tc>
      </w:tr>
      <w:tr w:rsidR="00E3599D" w:rsidRPr="00E14102" w14:paraId="0F41AA9F" w14:textId="77777777">
        <w:tc>
          <w:tcPr>
            <w:tcW w:w="3312" w:type="dxa"/>
          </w:tcPr>
          <w:p w14:paraId="6F91B03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июля 1935 года</w:t>
            </w:r>
          </w:p>
        </w:tc>
        <w:tc>
          <w:tcPr>
            <w:tcW w:w="5328" w:type="dxa"/>
          </w:tcPr>
          <w:p w14:paraId="4322206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Два полета на маневренность.</w:t>
            </w:r>
          </w:p>
        </w:tc>
      </w:tr>
      <w:tr w:rsidR="00E3599D" w:rsidRPr="00E14102" w14:paraId="34E27061" w14:textId="77777777">
        <w:tc>
          <w:tcPr>
            <w:tcW w:w="3312" w:type="dxa"/>
          </w:tcPr>
          <w:p w14:paraId="653B46C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июля 1935 года</w:t>
            </w:r>
          </w:p>
        </w:tc>
        <w:tc>
          <w:tcPr>
            <w:tcW w:w="5328" w:type="dxa"/>
          </w:tcPr>
          <w:p w14:paraId="2E169F1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маневренность.</w:t>
            </w:r>
          </w:p>
        </w:tc>
      </w:tr>
      <w:tr w:rsidR="00E3599D" w:rsidRPr="00E14102" w14:paraId="0E4EEEB8" w14:textId="77777777">
        <w:tc>
          <w:tcPr>
            <w:tcW w:w="3312" w:type="dxa"/>
          </w:tcPr>
          <w:p w14:paraId="6DFDFB1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июля 1935 года</w:t>
            </w:r>
          </w:p>
        </w:tc>
        <w:tc>
          <w:tcPr>
            <w:tcW w:w="5328" w:type="dxa"/>
          </w:tcPr>
          <w:p w14:paraId="4396E15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Облет самолета другими летчиками.</w:t>
            </w:r>
          </w:p>
        </w:tc>
      </w:tr>
      <w:tr w:rsidR="00E3599D" w:rsidRPr="00E14102" w14:paraId="59F34CDD" w14:textId="77777777">
        <w:tc>
          <w:tcPr>
            <w:tcW w:w="3312" w:type="dxa"/>
          </w:tcPr>
          <w:p w14:paraId="0528B9D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27-28 июля 1935 года</w:t>
            </w:r>
          </w:p>
        </w:tc>
        <w:tc>
          <w:tcPr>
            <w:tcW w:w="5328" w:type="dxa"/>
          </w:tcPr>
          <w:p w14:paraId="066E8BB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Полеты по кругу (100 полетов).</w:t>
            </w:r>
          </w:p>
        </w:tc>
      </w:tr>
      <w:tr w:rsidR="00E3599D" w:rsidRPr="00E14102" w14:paraId="0AEBE502" w14:textId="77777777">
        <w:tc>
          <w:tcPr>
            <w:tcW w:w="3312" w:type="dxa"/>
            <w:tcBorders>
              <w:bottom w:val="single" w:sz="12" w:space="0" w:color="auto"/>
            </w:tcBorders>
          </w:tcPr>
          <w:p w14:paraId="65D8A28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 июля 1935 года</w:t>
            </w:r>
          </w:p>
        </w:tc>
        <w:tc>
          <w:tcPr>
            <w:tcW w:w="5328" w:type="dxa"/>
            <w:tcBorders>
              <w:bottom w:val="single" w:sz="12" w:space="0" w:color="auto"/>
            </w:tcBorders>
          </w:tcPr>
          <w:p w14:paraId="42DF487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закончилось.</w:t>
            </w:r>
          </w:p>
        </w:tc>
      </w:tr>
    </w:tbl>
    <w:p w14:paraId="16BD472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(6688).</w:t>
      </w:r>
    </w:p>
    <w:p w14:paraId="765FA3A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E16C4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августа, когда о несостоявшемся перелете Леваневского в США уже перестали писать газеты, в Мурманск прибыл ДВ СССР-Н10. Из Москвы заказали новый М-17, который прибыл по железной дороге 27 августа. Для его установки использовали плавучий кран грузоподъемностью 40 тонн с неподвижной стрелой. В своем отчете Махоткин писал об этой операции: "Эта махина хорошо бы поднимала паровозы, а мотор ставить было неловко. (...) Пришлось подгонять самолет к висячему мотору".</w:t>
      </w:r>
    </w:p>
    <w:p w14:paraId="5A839D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Через три дня после установки этого мотора вылетели на Диксон. Там продолжили выполнение заданий по ледовой разведке.</w:t>
      </w:r>
    </w:p>
    <w:p w14:paraId="0631A5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22 сентября экипаж выполнил транспортный рейс в Норильск. На обратном пути с пассажиром на борту, на высоте 150-200 метров вдруг началась тряска, сначала весьма незначительная. Махоткин, манипулируя РУДами, определил, что неисправен задний мотор, который, впрочем, вскоре после этого остановился сам. Самолет как раз проходил над озером, и летчик пошел на посадку. Осмотр мотора показал, что сломан вал и пробит картер.</w:t>
      </w:r>
    </w:p>
    <w:p w14:paraId="399419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 командира самолета начал мучить вопрос - зачем сел? Вспомнилось, что похожий случай был у М.И.Козлова над тайгой, и он на одном моторе дотянул до Енисея. Дотянуть можно было и в этом случае. До Дудинки было примерно 70 км, до Норильска - 40 км.</w:t>
      </w:r>
    </w:p>
    <w:p w14:paraId="01A3A3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Правда, сейчас ситуация была несколько иной: мотор встал, внизу озеро, кругом тундра, высота 100 метров - инстинкт заставил сесть.</w:t>
      </w:r>
    </w:p>
    <w:p w14:paraId="7DD6DB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тем, дело было сделано, а нового мотора в эту навигацию ждать уже не приходилось. Оставаться на зимовку не хотелось, поэтому решили попробовать взлететь на одном двигателе. Из машины выгрузили все инструменты и багаж, слили лишнее горючее и масло.</w:t>
      </w:r>
    </w:p>
    <w:p w14:paraId="36BE1E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Сначала Махоткин попытался взлететь один. Самолет начал разбег, но мотор не давал оборотов - падало давление бензина. Летчик, подрулив к берегу, взял на борт бортмеханика Ивашину, который быстро восстановил давление. Снова разбег - лодка вышла на редан, но озеро для взлета оказалось мало, почти круглое, диаметром не более километра. Следующая попытка - то же самое.</w:t>
      </w:r>
    </w:p>
    <w:p w14:paraId="36ACCE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Тогда Махоткин начал разбег в противоположную сторону, вывел машину на редан, после чего развернулся против ветра и, уже имея значительную скорость, стал разбегаться для взлета. Скорость растет, пилот "подрывает" машину, она снова плюхается, подпрыгивает, и, у самого берега уходит в воздух. Впереди холмы, вверх самолет не идет, поэтому Махоткин "блинчиком" развернулся на 180° и взял курс на Дудинку. На озере остались пассажир и механик Афендульев со всем самолетным имуществом и без грамма продовольствия. Впрочем, в этот же день летчик Липп вывез их с места вынужденной посадки.</w:t>
      </w:r>
    </w:p>
    <w:p w14:paraId="1E6FB9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сентября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3F3B5C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635BAA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этого экипаж сделал еще два рейса: до Дудинки и в Игарку.</w:t>
      </w:r>
    </w:p>
    <w:p w14:paraId="4EA9D4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643DF26D" w14:textId="77777777" w:rsidR="00D4105E" w:rsidRPr="00E14102" w:rsidRDefault="00D4105E" w:rsidP="00E14102">
      <w:pPr>
        <w:autoSpaceDE w:val="0"/>
        <w:autoSpaceDN w:val="0"/>
        <w:adjustRightInd w:val="0"/>
        <w:jc w:val="both"/>
        <w:rPr>
          <w:color w:val="000000" w:themeColor="text1"/>
          <w:sz w:val="16"/>
          <w:szCs w:val="16"/>
        </w:rPr>
      </w:pPr>
    </w:p>
    <w:p w14:paraId="378A3A4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CE9B6B7" w14:textId="77777777" w:rsidR="00D4105E" w:rsidRPr="00E14102" w:rsidRDefault="00D4105E" w:rsidP="00E14102">
      <w:pPr>
        <w:autoSpaceDE w:val="0"/>
        <w:autoSpaceDN w:val="0"/>
        <w:adjustRightInd w:val="0"/>
        <w:jc w:val="both"/>
        <w:rPr>
          <w:iCs/>
          <w:color w:val="000000" w:themeColor="text1"/>
          <w:sz w:val="16"/>
          <w:szCs w:val="16"/>
        </w:rPr>
      </w:pPr>
    </w:p>
    <w:p w14:paraId="3D1361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августа 1935 появился и приказ МВС № 741:</w:t>
      </w:r>
    </w:p>
    <w:p w14:paraId="2BA073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ряде центральных газет, наряду с информацией о строительстве канала “Москва-Волга”, начали появляться заметки о жизни и работе Дмитровского Исправительно-трудового лагеря НКВД. В этих заметках, составленных приезжими корреспондентами внестроительных газет и основанных на несерьезной информации случайных людей, зачастую печатаются всякие несуразности, которые не только не дают правильного освещения, но и прямо искажают огромную работу исправительно-трудовых лагерей НКВД СССР (7560).</w:t>
      </w:r>
    </w:p>
    <w:p w14:paraId="457F9E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целях упорядочения этого вопроса и решительного пресечения в дальнейшем неправильной информации советских читателей о жизни исправительно-трудовых лагерей НКВД, -</w:t>
      </w:r>
    </w:p>
    <w:p w14:paraId="4BFA3A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ПРИКАЗЫВАЮ:</w:t>
      </w:r>
    </w:p>
    <w:p w14:paraId="59AB47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категорически запретить допуск посторонних лиц на территорию лагеря;</w:t>
      </w:r>
    </w:p>
    <w:p w14:paraId="1AEFAF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запретить сотрудникам ДИТЛ давать какие-либо сведения во внелагерные газеты и журналы;</w:t>
      </w:r>
    </w:p>
    <w:p w14:paraId="783C6F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все корреспонденции и статьи о жизни ДИТЛ, намечаемые к напечатанию во внелагерных газетах и журналах, должны быть обязательно завизированы начальником ДИТЛ или его заместителями” (7560).</w:t>
      </w:r>
    </w:p>
    <w:p w14:paraId="41871898" w14:textId="77777777" w:rsidR="00D4105E" w:rsidRPr="00E14102" w:rsidRDefault="00D4105E" w:rsidP="00E14102">
      <w:pPr>
        <w:autoSpaceDE w:val="0"/>
        <w:autoSpaceDN w:val="0"/>
        <w:adjustRightInd w:val="0"/>
        <w:jc w:val="both"/>
        <w:rPr>
          <w:color w:val="000000" w:themeColor="text1"/>
          <w:sz w:val="16"/>
          <w:szCs w:val="16"/>
        </w:rPr>
      </w:pPr>
    </w:p>
    <w:p w14:paraId="76C7527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7B37180" w14:textId="77777777" w:rsidR="00D4105E" w:rsidRPr="00E14102" w:rsidRDefault="00D4105E" w:rsidP="00E14102">
      <w:pPr>
        <w:autoSpaceDE w:val="0"/>
        <w:autoSpaceDN w:val="0"/>
        <w:adjustRightInd w:val="0"/>
        <w:jc w:val="both"/>
        <w:rPr>
          <w:iCs/>
          <w:color w:val="000000" w:themeColor="text1"/>
          <w:sz w:val="16"/>
          <w:szCs w:val="16"/>
        </w:rPr>
      </w:pPr>
    </w:p>
    <w:p w14:paraId="2389E0CF" w14:textId="77777777" w:rsidR="00EE7823" w:rsidRPr="00E14102" w:rsidRDefault="00EE7823" w:rsidP="00E14102">
      <w:pPr>
        <w:jc w:val="both"/>
        <w:rPr>
          <w:color w:val="0070C0"/>
          <w:sz w:val="16"/>
          <w:szCs w:val="16"/>
        </w:rPr>
      </w:pPr>
      <w:r w:rsidRPr="00E14102">
        <w:rPr>
          <w:color w:val="0070C0"/>
          <w:sz w:val="16"/>
          <w:szCs w:val="16"/>
        </w:rPr>
        <w:t>12 августа 1935 состоялся первый полет De Havilland Dragonfly  (20800).</w:t>
      </w:r>
    </w:p>
    <w:p w14:paraId="7B823332" w14:textId="77777777" w:rsidR="00EE7823" w:rsidRPr="00E14102" w:rsidRDefault="00EE7823" w:rsidP="00E14102">
      <w:pPr>
        <w:jc w:val="both"/>
        <w:rPr>
          <w:color w:val="0070C0"/>
          <w:sz w:val="16"/>
          <w:szCs w:val="16"/>
        </w:rPr>
      </w:pPr>
    </w:p>
    <w:p w14:paraId="4CF308BD" w14:textId="77777777" w:rsidR="00EE7823" w:rsidRPr="00E14102" w:rsidRDefault="00EE7823" w:rsidP="00E14102">
      <w:pPr>
        <w:jc w:val="both"/>
        <w:rPr>
          <w:color w:val="0070C0"/>
          <w:sz w:val="16"/>
          <w:szCs w:val="16"/>
        </w:rPr>
      </w:pPr>
      <w:r w:rsidRPr="00E14102">
        <w:rPr>
          <w:color w:val="0070C0"/>
          <w:sz w:val="16"/>
          <w:szCs w:val="16"/>
        </w:rPr>
        <w:t>12 августа 1935 года — первый полёт транспортного самолёта de Havilland DH.90 Dragonfly. /Англия/</w:t>
      </w:r>
    </w:p>
    <w:p w14:paraId="22A31301" w14:textId="77777777" w:rsidR="00EE7823" w:rsidRPr="00E14102" w:rsidRDefault="00EE7823" w:rsidP="00E14102">
      <w:pPr>
        <w:jc w:val="both"/>
        <w:rPr>
          <w:color w:val="0070C0"/>
          <w:sz w:val="16"/>
          <w:szCs w:val="16"/>
        </w:rPr>
      </w:pPr>
      <w:r w:rsidRPr="00E14102">
        <w:rPr>
          <w:color w:val="0070C0"/>
          <w:sz w:val="16"/>
          <w:szCs w:val="16"/>
        </w:rPr>
        <w:t>Самым успешным самолётом de Havilland Aircraft 1930-х годов был 8-местный DH.89 Dragon Rapide. Но на рынке был спрос и на машины меньшего размера. Конструкторы компании пропорционально уменьшили DH.89 — так появился DH.90 Dragonfly.</w:t>
      </w:r>
    </w:p>
    <w:p w14:paraId="651CC6C2" w14:textId="77777777" w:rsidR="00EE7823" w:rsidRPr="00E14102" w:rsidRDefault="00EE7823" w:rsidP="00E14102">
      <w:pPr>
        <w:jc w:val="both"/>
        <w:rPr>
          <w:color w:val="0070C0"/>
          <w:sz w:val="16"/>
          <w:szCs w:val="16"/>
        </w:rPr>
      </w:pPr>
      <w:r w:rsidRPr="00E14102">
        <w:rPr>
          <w:color w:val="0070C0"/>
          <w:sz w:val="16"/>
          <w:szCs w:val="16"/>
        </w:rPr>
        <w:t>Как и его предшественник, DH.90 был бипланом с неубираемым шасси. Оснащался 2 × двигателями de Havilland Gipsy Major II (142 л.с.) Крейсерская скорость — 201 км/ч, дальность полёта с максимальной загрузкой — 1006 км. Брал на борт 4 пассажиров + 1 члена экипажа.</w:t>
      </w:r>
    </w:p>
    <w:p w14:paraId="1C01DF90" w14:textId="77777777" w:rsidR="00EE7823" w:rsidRPr="00E14102" w:rsidRDefault="00EE7823" w:rsidP="00E14102">
      <w:pPr>
        <w:jc w:val="both"/>
        <w:rPr>
          <w:color w:val="0070C0"/>
          <w:sz w:val="16"/>
          <w:szCs w:val="16"/>
        </w:rPr>
      </w:pPr>
      <w:r w:rsidRPr="00E14102">
        <w:rPr>
          <w:color w:val="0070C0"/>
          <w:sz w:val="16"/>
          <w:szCs w:val="16"/>
        </w:rPr>
        <w:t>Успех DH.89 новому самолёту повторить не удалось. Выпустили всего 67 единиц DH.90 Dragonfly. Они использовались частными владельцами и небольшими авиакомпаниями в 12 странах мира. Также служили в ВВС Швеции, Канады, Дании, Бельгии и др. На сегодня в мире сохранилось 2 летающих экземпляра DH.90 Dragonfly (22300).</w:t>
      </w:r>
    </w:p>
    <w:p w14:paraId="0EEA5E0C" w14:textId="77777777" w:rsidR="00EE7823" w:rsidRPr="00E14102" w:rsidRDefault="00EE7823" w:rsidP="00E14102">
      <w:pPr>
        <w:jc w:val="both"/>
        <w:rPr>
          <w:color w:val="0070C0"/>
          <w:sz w:val="16"/>
          <w:szCs w:val="16"/>
        </w:rPr>
      </w:pPr>
    </w:p>
    <w:p w14:paraId="1A16266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августа 1935 министр обороны Японии генерал Нагата убит своим подчиненным (4962).</w:t>
      </w:r>
    </w:p>
    <w:p w14:paraId="5ECCDEC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48BD84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3F40C88" w14:textId="77777777" w:rsidR="00D4105E" w:rsidRPr="00E14102" w:rsidRDefault="00D4105E" w:rsidP="00E14102">
      <w:pPr>
        <w:autoSpaceDE w:val="0"/>
        <w:autoSpaceDN w:val="0"/>
        <w:adjustRightInd w:val="0"/>
        <w:jc w:val="both"/>
        <w:rPr>
          <w:iCs/>
          <w:color w:val="000000" w:themeColor="text1"/>
          <w:sz w:val="16"/>
          <w:szCs w:val="16"/>
        </w:rPr>
      </w:pPr>
    </w:p>
    <w:p w14:paraId="34918B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августа 1935 на ДБА 4М-34РН в ходе заводских испытаний на 22 заводе летали 1 раз 45 мин. на проверку работы элеронов и это был 5-й полет машины (249).</w:t>
      </w:r>
    </w:p>
    <w:p w14:paraId="4EAF3137" w14:textId="77777777" w:rsidR="00D4105E" w:rsidRPr="00E14102" w:rsidRDefault="00D4105E" w:rsidP="00E14102">
      <w:pPr>
        <w:autoSpaceDE w:val="0"/>
        <w:autoSpaceDN w:val="0"/>
        <w:adjustRightInd w:val="0"/>
        <w:jc w:val="both"/>
        <w:rPr>
          <w:color w:val="000000" w:themeColor="text1"/>
          <w:sz w:val="16"/>
          <w:szCs w:val="16"/>
        </w:rPr>
      </w:pPr>
    </w:p>
    <w:p w14:paraId="31FFF0F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августа 1935 года начальник ГУАПа Королев писал письмо № 2/3686сс в СТО</w:t>
      </w:r>
    </w:p>
    <w:p w14:paraId="42CBC90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Во исполнение постановления СТО от 4 августа 1935 года за № 98/сс о постройке самолетов ДБ-2, при сем представляю проект постановления СТО, который прошу утвердить (4256, 18).</w:t>
      </w:r>
    </w:p>
    <w:p w14:paraId="1EEB420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Постановление СТО СССР (проект)</w:t>
      </w:r>
    </w:p>
    <w:p w14:paraId="4251848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развитие постановления СТО от 4 августа 1935 г., СТО ПОСТАНОВЛЯЕТ:</w:t>
      </w:r>
    </w:p>
    <w:p w14:paraId="4C56E5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В связт с тхменением конструкции с-та ДБ-2, снять с программы текущего года по заводу № 18 сдачу 12 с-тов ДБ-2 старой конструкции.</w:t>
      </w:r>
    </w:p>
    <w:p w14:paraId="3CBF5A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Заводу № 18 приступить в текущем году к производству по чертежам ЦАГи головной модернизир. Серии сам. ДБ-2 в количестве 5 шт. для войсковых испытаний, со сроком сдачи их к 1/У-1936 (4256,18).</w:t>
      </w:r>
    </w:p>
    <w:p w14:paraId="13F699C7"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6762E2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августа 1935 года закончилось тактическое испытание самолета “Звено” ТБ-3 4М17+2И5, которое проходило с 15 мая 1935 (6696).</w:t>
      </w:r>
    </w:p>
    <w:p w14:paraId="2ED647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6D8B244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 в/к 1 Отдела П. Лосюков</w:t>
      </w:r>
    </w:p>
    <w:p w14:paraId="0DFCAD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31A5BAF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Проверка возможности питания горючим и смазочным самолетов И5 от самолета ТБ3 при полете в соединении “Звено” и выбор схем для этого.</w:t>
      </w:r>
    </w:p>
    <w:p w14:paraId="3E036A5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Проверка возможности решений тактической задачи на сопровождение самолетов ТБ3 истребителями на радиус действия равный удвоенному радиусу действия истребителей И5.</w:t>
      </w:r>
    </w:p>
    <w:p w14:paraId="2413F4D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Проверка возможности отражения внезапной атаки истребителей противника по пути следования к цели.</w:t>
      </w:r>
    </w:p>
    <w:p w14:paraId="2CA5608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F76101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Соединение “Звено” (ТБ-3 4М17+2И5) как устаревшее по своим летно-техническим данным не может быть рекомендовано на вооружение ВС. Его можно рекомендовать только в качестве учебно-тактического соединения, для отработки на нем тактики применения и тренировки (6696).</w:t>
      </w:r>
    </w:p>
    <w:p w14:paraId="4F54EAE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07C537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августа 1935 проходило тактическое испытание самолета Звено ТБ-3 4М-17+2И-5, которые шли с 15 мая 1935. Отв. исполнители: и Лосюков. Заключение:</w:t>
      </w:r>
    </w:p>
    <w:p w14:paraId="33DCD2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 Соединение Звено (ТБ-3 4М-17 - 2И-5) как устаревшее по своим ЛТД не м.б. рекомендовано на вооружение ВВС. Его можно рекомендовать только в качестве учебно-тактического соединения, для отработки на нем тактики применения и тренировки (при условии устранения выявленных данным испытанием дефектов).</w:t>
      </w:r>
    </w:p>
    <w:p w14:paraId="398338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Соединение Звено, составленное из современных самолетов, д. обеспечить несомненные тактические выгоды, в силу чего целесообразна срочная постройка опытного соединения Звено из современных самолетов с последующим срочным испытанием его в НИИ ВВС (2940).</w:t>
      </w:r>
    </w:p>
    <w:p w14:paraId="7A088C93" w14:textId="77777777" w:rsidR="00D4105E" w:rsidRPr="00E14102" w:rsidRDefault="00D4105E" w:rsidP="00E14102">
      <w:pPr>
        <w:autoSpaceDE w:val="0"/>
        <w:autoSpaceDN w:val="0"/>
        <w:adjustRightInd w:val="0"/>
        <w:jc w:val="both"/>
        <w:rPr>
          <w:color w:val="000000" w:themeColor="text1"/>
          <w:sz w:val="16"/>
          <w:szCs w:val="16"/>
        </w:rPr>
      </w:pPr>
    </w:p>
    <w:p w14:paraId="3505DA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августа 1935 г. закончились заводские испытания самолета Ди-8 (АНТ-46), которые проходили с 13 августа. В процессе испытаний с полетным весом 5553 кг самолет достиг максимальной скорости 386 км/ч на высоте 4250 м. Столь низкий результат Архангельский объяснял постановкой плохо подобранных винтов. Винты были деревянные двухлопастные, диаметром 3,4 м.</w:t>
      </w:r>
    </w:p>
    <w:p w14:paraId="3C8F53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оказался недостаточно устойчивым и очень чувствительным к отклонению рулей. Причины этих недостатков и пути их устранения были к этому времени уже достаточно хорошо известны по опыту испытаний и доводки самолета СБ и вскоре были устранены. В силу низких летных данных, проблем с отработкой вооружения ни один из вариантов Ди-8 в серию не запускался (9531,26).</w:t>
      </w:r>
    </w:p>
    <w:p w14:paraId="617D7238" w14:textId="77777777" w:rsidR="00D4105E" w:rsidRPr="00E14102" w:rsidRDefault="00D4105E" w:rsidP="00E14102">
      <w:pPr>
        <w:autoSpaceDE w:val="0"/>
        <w:autoSpaceDN w:val="0"/>
        <w:adjustRightInd w:val="0"/>
        <w:jc w:val="both"/>
        <w:rPr>
          <w:color w:val="000000" w:themeColor="text1"/>
          <w:sz w:val="16"/>
          <w:szCs w:val="16"/>
        </w:rPr>
      </w:pPr>
    </w:p>
    <w:p w14:paraId="2493B5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августа 1935 было утверждено Заключение к Отчету по испытаниям самолета И7 N 4449 (эталон на 1933 год) с мотором М17 N 262646 Е=7,3 винты Д=3.112 Н=2.8 и Н=2.77</w:t>
      </w:r>
    </w:p>
    <w:p w14:paraId="51B8CC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399B68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Поверка летных данных самолета И7 М17 N 4449 эталона на 1933 год после улучшения обтекателей узлов стоек, новых моторных капотов и установки обтекателей на колесах.</w:t>
      </w:r>
    </w:p>
    <w:p w14:paraId="1A0AE1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E8651F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 И7 М17 N 4449 может быть утвержден как эталон на 1933 год после устранения дефектов.</w:t>
      </w:r>
    </w:p>
    <w:p w14:paraId="720343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0239C1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 Часовщиков</w:t>
      </w:r>
    </w:p>
    <w:p w14:paraId="7CB7C4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 Кокинаки</w:t>
      </w:r>
    </w:p>
    <w:p w14:paraId="30EE3C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Календарь прохождения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E3599D" w:rsidRPr="00E14102" w14:paraId="21115F37" w14:textId="77777777">
        <w:tc>
          <w:tcPr>
            <w:tcW w:w="3757" w:type="dxa"/>
            <w:tcBorders>
              <w:top w:val="single" w:sz="12" w:space="0" w:color="auto"/>
            </w:tcBorders>
          </w:tcPr>
          <w:p w14:paraId="3E99D4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получен с завода N 1</w:t>
            </w:r>
          </w:p>
        </w:tc>
        <w:tc>
          <w:tcPr>
            <w:tcW w:w="3757" w:type="dxa"/>
            <w:tcBorders>
              <w:top w:val="single" w:sz="12" w:space="0" w:color="auto"/>
            </w:tcBorders>
          </w:tcPr>
          <w:p w14:paraId="2E6984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r>
      <w:tr w:rsidR="00E3599D" w:rsidRPr="00E14102" w14:paraId="41961FF5" w14:textId="77777777">
        <w:tc>
          <w:tcPr>
            <w:tcW w:w="3757" w:type="dxa"/>
          </w:tcPr>
          <w:p w14:paraId="327E95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километраж по программе</w:t>
            </w:r>
          </w:p>
        </w:tc>
        <w:tc>
          <w:tcPr>
            <w:tcW w:w="3757" w:type="dxa"/>
          </w:tcPr>
          <w:p w14:paraId="3D2EA5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августа 1935 года</w:t>
            </w:r>
          </w:p>
        </w:tc>
      </w:tr>
      <w:tr w:rsidR="00E3599D" w:rsidRPr="00E14102" w14:paraId="6D09E76F" w14:textId="77777777">
        <w:tc>
          <w:tcPr>
            <w:tcW w:w="3757" w:type="dxa"/>
          </w:tcPr>
          <w:p w14:paraId="3754D2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Скороподъемность и скорости по высотам.</w:t>
            </w:r>
          </w:p>
        </w:tc>
        <w:tc>
          <w:tcPr>
            <w:tcW w:w="3757" w:type="dxa"/>
          </w:tcPr>
          <w:p w14:paraId="4C1C197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01BBF67" w14:textId="77777777">
        <w:tc>
          <w:tcPr>
            <w:tcW w:w="3757" w:type="dxa"/>
          </w:tcPr>
          <w:p w14:paraId="30007B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Винт Н=2,8.</w:t>
            </w:r>
          </w:p>
        </w:tc>
        <w:tc>
          <w:tcPr>
            <w:tcW w:w="3757" w:type="dxa"/>
          </w:tcPr>
          <w:p w14:paraId="1D8205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августа 1935 года</w:t>
            </w:r>
          </w:p>
        </w:tc>
      </w:tr>
      <w:tr w:rsidR="00E3599D" w:rsidRPr="00E14102" w14:paraId="71F3C5A4" w14:textId="77777777">
        <w:tc>
          <w:tcPr>
            <w:tcW w:w="3757" w:type="dxa"/>
          </w:tcPr>
          <w:p w14:paraId="638A89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Скороподъемность и скорости по высотам.</w:t>
            </w:r>
          </w:p>
        </w:tc>
        <w:tc>
          <w:tcPr>
            <w:tcW w:w="3757" w:type="dxa"/>
          </w:tcPr>
          <w:p w14:paraId="54C3ADE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7F9DB72" w14:textId="77777777">
        <w:tc>
          <w:tcPr>
            <w:tcW w:w="3757" w:type="dxa"/>
          </w:tcPr>
          <w:p w14:paraId="2FF22A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Винт Н=2,77.</w:t>
            </w:r>
          </w:p>
        </w:tc>
        <w:tc>
          <w:tcPr>
            <w:tcW w:w="3757" w:type="dxa"/>
          </w:tcPr>
          <w:p w14:paraId="785174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августа 1935 года</w:t>
            </w:r>
          </w:p>
        </w:tc>
      </w:tr>
      <w:tr w:rsidR="00E3599D" w:rsidRPr="00E14102" w14:paraId="7B3EFECF" w14:textId="77777777">
        <w:tc>
          <w:tcPr>
            <w:tcW w:w="3757" w:type="dxa"/>
          </w:tcPr>
          <w:p w14:paraId="776486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Второй километраж по программе.</w:t>
            </w:r>
          </w:p>
        </w:tc>
        <w:tc>
          <w:tcPr>
            <w:tcW w:w="3757" w:type="dxa"/>
          </w:tcPr>
          <w:p w14:paraId="668E46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августа 1935 года</w:t>
            </w:r>
          </w:p>
        </w:tc>
      </w:tr>
      <w:tr w:rsidR="00E3599D" w:rsidRPr="00E14102" w14:paraId="36A638D9" w14:textId="77777777">
        <w:tc>
          <w:tcPr>
            <w:tcW w:w="3757" w:type="dxa"/>
          </w:tcPr>
          <w:p w14:paraId="3AC251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Километраж без обтекателей на колесах.</w:t>
            </w:r>
          </w:p>
        </w:tc>
        <w:tc>
          <w:tcPr>
            <w:tcW w:w="3757" w:type="dxa"/>
          </w:tcPr>
          <w:p w14:paraId="4BB696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года</w:t>
            </w:r>
          </w:p>
        </w:tc>
      </w:tr>
      <w:tr w:rsidR="00E3599D" w:rsidRPr="00E14102" w14:paraId="3E6DBBB5" w14:textId="77777777">
        <w:tc>
          <w:tcPr>
            <w:tcW w:w="3757" w:type="dxa"/>
          </w:tcPr>
          <w:p w14:paraId="21DFC0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бомбометание учебными бомбами.</w:t>
            </w:r>
          </w:p>
        </w:tc>
        <w:tc>
          <w:tcPr>
            <w:tcW w:w="3757" w:type="dxa"/>
          </w:tcPr>
          <w:p w14:paraId="1FE565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года</w:t>
            </w:r>
          </w:p>
        </w:tc>
      </w:tr>
      <w:tr w:rsidR="00E3599D" w:rsidRPr="00E14102" w14:paraId="1C745C14" w14:textId="77777777">
        <w:tc>
          <w:tcPr>
            <w:tcW w:w="3757" w:type="dxa"/>
            <w:tcBorders>
              <w:bottom w:val="single" w:sz="12" w:space="0" w:color="auto"/>
            </w:tcBorders>
          </w:tcPr>
          <w:p w14:paraId="12C6E7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сдан на завод N 1.</w:t>
            </w:r>
          </w:p>
        </w:tc>
        <w:tc>
          <w:tcPr>
            <w:tcW w:w="3757" w:type="dxa"/>
            <w:tcBorders>
              <w:bottom w:val="single" w:sz="12" w:space="0" w:color="auto"/>
            </w:tcBorders>
          </w:tcPr>
          <w:p w14:paraId="73A503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августа 1935 года</w:t>
            </w:r>
          </w:p>
        </w:tc>
      </w:tr>
    </w:tbl>
    <w:p w14:paraId="36FD33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(3977).</w:t>
      </w:r>
    </w:p>
    <w:p w14:paraId="2A9F0D85" w14:textId="77777777" w:rsidR="00D4105E" w:rsidRPr="00E14102" w:rsidRDefault="00D4105E" w:rsidP="00E14102">
      <w:pPr>
        <w:autoSpaceDE w:val="0"/>
        <w:autoSpaceDN w:val="0"/>
        <w:adjustRightInd w:val="0"/>
        <w:jc w:val="both"/>
        <w:rPr>
          <w:color w:val="000000" w:themeColor="text1"/>
          <w:sz w:val="16"/>
          <w:szCs w:val="16"/>
        </w:rPr>
      </w:pPr>
    </w:p>
    <w:p w14:paraId="32D67851" w14:textId="77777777" w:rsidR="003F1358" w:rsidRPr="00E14102" w:rsidRDefault="003F1358" w:rsidP="00E14102">
      <w:pPr>
        <w:pStyle w:val="rtejustify"/>
        <w:spacing w:before="0" w:after="0"/>
        <w:rPr>
          <w:color w:val="000000" w:themeColor="text1"/>
          <w:sz w:val="16"/>
          <w:szCs w:val="16"/>
        </w:rPr>
      </w:pPr>
      <w:r w:rsidRPr="00E14102">
        <w:rPr>
          <w:rStyle w:val="a6"/>
          <w:bCs/>
          <w:i w:val="0"/>
          <w:color w:val="000000" w:themeColor="text1"/>
          <w:sz w:val="16"/>
          <w:szCs w:val="16"/>
        </w:rPr>
        <w:t>13/16 августа 1935 вышел приказ НКТП № 147сс.</w:t>
      </w:r>
      <w:r w:rsidRPr="00E14102">
        <w:rPr>
          <w:color w:val="000000" w:themeColor="text1"/>
          <w:sz w:val="16"/>
          <w:szCs w:val="16"/>
        </w:rPr>
        <w:t xml:space="preserve"> Об утверждении «Основных требований к типовой шкале самолетных аккумуляторов» и принятии их к реализации в промышленности и в оборудовании военного и гражданского воздушных флотов СССР. (РГАЭ. Ф. 7297. Оп. 38. Д. 171. Л. 214</w:t>
      </w:r>
      <w:r w:rsidRPr="00E14102">
        <w:rPr>
          <w:color w:val="000000" w:themeColor="text1"/>
          <w:sz w:val="16"/>
          <w:szCs w:val="16"/>
        </w:rPr>
        <w:noBreakHyphen/>
        <w:t>212) (15246).</w:t>
      </w:r>
    </w:p>
    <w:p w14:paraId="68D27C76" w14:textId="77777777" w:rsidR="003F1358" w:rsidRPr="00E14102" w:rsidRDefault="003F1358" w:rsidP="00E14102">
      <w:pPr>
        <w:pStyle w:val="rtejustify"/>
        <w:spacing w:before="0" w:after="0"/>
        <w:rPr>
          <w:color w:val="000000" w:themeColor="text1"/>
          <w:sz w:val="16"/>
          <w:szCs w:val="16"/>
        </w:rPr>
      </w:pPr>
    </w:p>
    <w:p w14:paraId="6DFDAE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августа 1935 года начальник и военком НИИ ВС Бажанов утвердил Отчетпо испытаниям воздушной горизонтальной и вертикальной мишени размером 6х25</w:t>
      </w:r>
    </w:p>
    <w:p w14:paraId="381009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A4792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начальника 4 отдела НИИ ВС</w:t>
      </w:r>
    </w:p>
    <w:p w14:paraId="06DDCF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Мишень размером 6х25 с длиной фалы 200 м считать возможным рекомендовать строевым частям, для проведения учебных стрельб с пулеметов при всех углах при атаках с передней полусферы.</w:t>
      </w:r>
    </w:p>
    <w:p w14:paraId="067A66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Для обеспечения возможности проведения стрельб из пушечных самолетов продолжить работы по отработке мишени и полотнища с длиной фалы до 1000 м.</w:t>
      </w:r>
    </w:p>
    <w:p w14:paraId="20C309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Выводы:</w:t>
      </w:r>
    </w:p>
    <w:p w14:paraId="754381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На основании проведенных испытаний необходимо считать, что:</w:t>
      </w:r>
    </w:p>
    <w:p w14:paraId="39BF6A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мишень полотнище размером 6х25 м с длиной фалы 200 м испытания выдержала;</w:t>
      </w:r>
    </w:p>
    <w:p w14:paraId="7F75B5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буксирование как горизонтальной, так и вертикальной мишени 6х25 самолетом Р5 в принципе разрешенным;</w:t>
      </w:r>
    </w:p>
    <w:p w14:paraId="61D314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применение мишени 6х25 позволяет изображение на ней рисунков самолета в разных ракурсах для проведения как учебных стрельб по "копу", так и опытных.</w:t>
      </w:r>
    </w:p>
    <w:p w14:paraId="79BDED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концы мишени сделать сменными и по мере изнашивания заменять, одновременно произвести работы по подбору более прочного материала для концов мишени.</w:t>
      </w:r>
    </w:p>
    <w:p w14:paraId="065469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Провести испытания мишени 6х25 с длиной фалы 500-600 м.</w:t>
      </w:r>
    </w:p>
    <w:p w14:paraId="6F5F66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проводились на аэродроме НИИ ВС при ст. Томской сев. ж/д.</w:t>
      </w:r>
    </w:p>
    <w:p w14:paraId="39FC8A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проводились сотрудниками НИИ ВВС. Летчик Долгов.</w:t>
      </w:r>
    </w:p>
    <w:p w14:paraId="286312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в воздухе:</w:t>
      </w:r>
    </w:p>
    <w:p w14:paraId="7BD73D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19, 21.06; 1, 5, 10, 15, 20, 21, 25, 28.07 (3117).</w:t>
      </w:r>
    </w:p>
    <w:p w14:paraId="0B506E69" w14:textId="77777777" w:rsidR="00D4105E" w:rsidRPr="00E14102" w:rsidRDefault="00D4105E" w:rsidP="00E14102">
      <w:pPr>
        <w:autoSpaceDE w:val="0"/>
        <w:autoSpaceDN w:val="0"/>
        <w:adjustRightInd w:val="0"/>
        <w:jc w:val="both"/>
        <w:rPr>
          <w:color w:val="000000" w:themeColor="text1"/>
          <w:sz w:val="16"/>
          <w:szCs w:val="16"/>
        </w:rPr>
      </w:pPr>
    </w:p>
    <w:p w14:paraId="27A862C6" w14:textId="77777777" w:rsidR="003F1358"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1E21B5A" w14:textId="77777777" w:rsidR="003F1358" w:rsidRPr="00E14102" w:rsidRDefault="003F1358" w:rsidP="00E14102">
      <w:pPr>
        <w:autoSpaceDE w:val="0"/>
        <w:autoSpaceDN w:val="0"/>
        <w:adjustRightInd w:val="0"/>
        <w:jc w:val="both"/>
        <w:rPr>
          <w:iCs/>
          <w:color w:val="000000" w:themeColor="text1"/>
          <w:sz w:val="16"/>
          <w:szCs w:val="16"/>
        </w:rPr>
      </w:pPr>
    </w:p>
    <w:p w14:paraId="5A4001DE" w14:textId="77777777" w:rsidR="003F1358" w:rsidRPr="00E14102" w:rsidRDefault="003F1358" w:rsidP="00E14102">
      <w:pPr>
        <w:pStyle w:val="rtejustify"/>
        <w:spacing w:before="0" w:after="0"/>
        <w:rPr>
          <w:color w:val="000000" w:themeColor="text1"/>
          <w:sz w:val="16"/>
          <w:szCs w:val="16"/>
        </w:rPr>
      </w:pPr>
      <w:r w:rsidRPr="00E14102">
        <w:rPr>
          <w:rStyle w:val="a6"/>
          <w:bCs/>
          <w:i w:val="0"/>
          <w:color w:val="000000" w:themeColor="text1"/>
          <w:sz w:val="16"/>
          <w:szCs w:val="16"/>
        </w:rPr>
        <w:t>13 августа 1935 вышел приказ НКТП № 144с.</w:t>
      </w:r>
      <w:r w:rsidRPr="00E14102">
        <w:rPr>
          <w:color w:val="000000" w:themeColor="text1"/>
          <w:sz w:val="16"/>
          <w:szCs w:val="16"/>
        </w:rPr>
        <w:t xml:space="preserve"> О контроле над потреблением и использованием промышленностью цветных металлов. (РГАЭ. Ф. 7297. Оп. 38. Д. 171. Л. 208</w:t>
      </w:r>
      <w:r w:rsidRPr="00E14102">
        <w:rPr>
          <w:color w:val="000000" w:themeColor="text1"/>
          <w:sz w:val="16"/>
          <w:szCs w:val="16"/>
        </w:rPr>
        <w:noBreakHyphen/>
        <w:t>207) (15246).</w:t>
      </w:r>
    </w:p>
    <w:p w14:paraId="64948800" w14:textId="77777777" w:rsidR="003F1358" w:rsidRPr="00E14102" w:rsidRDefault="003F1358" w:rsidP="00E14102">
      <w:pPr>
        <w:pStyle w:val="rtejustify"/>
        <w:spacing w:before="0" w:after="0"/>
        <w:rPr>
          <w:color w:val="000000" w:themeColor="text1"/>
          <w:sz w:val="16"/>
          <w:szCs w:val="16"/>
        </w:rPr>
      </w:pPr>
    </w:p>
    <w:p w14:paraId="31325D7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439570E" w14:textId="77777777" w:rsidR="00D4105E" w:rsidRPr="00E14102" w:rsidRDefault="00D4105E" w:rsidP="00E14102">
      <w:pPr>
        <w:autoSpaceDE w:val="0"/>
        <w:autoSpaceDN w:val="0"/>
        <w:adjustRightInd w:val="0"/>
        <w:jc w:val="both"/>
        <w:rPr>
          <w:iCs/>
          <w:color w:val="000000" w:themeColor="text1"/>
          <w:sz w:val="16"/>
          <w:szCs w:val="16"/>
        </w:rPr>
      </w:pPr>
    </w:p>
    <w:p w14:paraId="56CD9B5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 августа 1935 г. на 52 самолетах “ССС” на заводе № 1 в нижних лонжеронах фюзеляжа обнаружены трещины, появившиеся вследствие недоброкачественности лесоматериалов, плохой склейки лонжеронов, скверного качества клея и лака.</w:t>
      </w:r>
    </w:p>
    <w:p w14:paraId="28CD17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Самолеты имеют конструктивные недочеты, угрожающие самолетам аварией в воздухе.</w:t>
      </w:r>
    </w:p>
    <w:p w14:paraId="5F15BF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Узел верхней плоскости, неправильно рассчитанный конструкторами бригады МАРКОВА имеет недостаточную проч</w:t>
      </w:r>
      <w:r w:rsidRPr="00E14102">
        <w:rPr>
          <w:color w:val="000000" w:themeColor="text1"/>
          <w:sz w:val="16"/>
          <w:szCs w:val="16"/>
        </w:rPr>
        <w:softHyphen/>
        <w:t>ность, питание пулеметов имеет дефекты, отсутствуют кассетницы.</w:t>
      </w:r>
    </w:p>
    <w:p w14:paraId="605211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мнению специалистов ремонт 52 самолетов, имеющих трещины в лонжеронах фюзеляжа, является весьма сложным, продлится несколько месяцев и вызовет брак большого количества деталей.</w:t>
      </w:r>
    </w:p>
    <w:p w14:paraId="476EBF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Ведется расследование (3419,106).</w:t>
      </w:r>
    </w:p>
    <w:p w14:paraId="7EBADC67" w14:textId="77777777" w:rsidR="00D4105E" w:rsidRPr="00E14102" w:rsidRDefault="00D4105E" w:rsidP="00E14102">
      <w:pPr>
        <w:autoSpaceDE w:val="0"/>
        <w:autoSpaceDN w:val="0"/>
        <w:adjustRightInd w:val="0"/>
        <w:jc w:val="both"/>
        <w:rPr>
          <w:color w:val="000000" w:themeColor="text1"/>
          <w:sz w:val="16"/>
          <w:szCs w:val="16"/>
        </w:rPr>
      </w:pPr>
    </w:p>
    <w:p w14:paraId="61A655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августа 1935 В.Л.Расторгуев установил всесоюзный рекорд дальности безмоторного полета с пассажиром на Ш-5 с Баймак (Башкирия) до ст. Теренсай Орской ж/д - 140 км (438,694).</w:t>
      </w:r>
    </w:p>
    <w:p w14:paraId="45385E8B" w14:textId="77777777" w:rsidR="00D4105E" w:rsidRPr="00E14102" w:rsidRDefault="00D4105E" w:rsidP="00E14102">
      <w:pPr>
        <w:autoSpaceDE w:val="0"/>
        <w:autoSpaceDN w:val="0"/>
        <w:adjustRightInd w:val="0"/>
        <w:jc w:val="both"/>
        <w:rPr>
          <w:color w:val="000000" w:themeColor="text1"/>
          <w:sz w:val="16"/>
          <w:szCs w:val="16"/>
        </w:rPr>
      </w:pPr>
    </w:p>
    <w:p w14:paraId="1E8FC5E0" w14:textId="77777777" w:rsidR="003F1358" w:rsidRPr="00E14102" w:rsidRDefault="003F1358" w:rsidP="00E14102">
      <w:pPr>
        <w:jc w:val="both"/>
        <w:rPr>
          <w:color w:val="000000" w:themeColor="text1"/>
          <w:sz w:val="16"/>
          <w:szCs w:val="16"/>
        </w:rPr>
      </w:pPr>
      <w:r w:rsidRPr="00E14102">
        <w:rPr>
          <w:color w:val="000000" w:themeColor="text1"/>
          <w:sz w:val="16"/>
          <w:szCs w:val="16"/>
        </w:rPr>
        <w:t>14 августа в 1935 году мировой рекорд дальности полета по прямой для планеров - 140 км, пилот В.Расторгуев с пассажиром на двухместном планере «Ш-5». Планер «Ш-5» — учебно-пилотажный двухместный планер конструкции Б.Н.Шереметьева (1933 г.) Планер-парасоль с V-образными подкосами. Оперение укреплено на балке, составляющей одно целое с кабиной, и расчалено к крылу (14983).</w:t>
      </w:r>
    </w:p>
    <w:p w14:paraId="0CA6F1E1" w14:textId="77777777" w:rsidR="003F1358" w:rsidRPr="00E14102" w:rsidRDefault="003F1358" w:rsidP="00E14102">
      <w:pPr>
        <w:jc w:val="both"/>
        <w:rPr>
          <w:color w:val="000000" w:themeColor="text1"/>
          <w:sz w:val="16"/>
          <w:szCs w:val="16"/>
        </w:rPr>
      </w:pPr>
    </w:p>
    <w:p w14:paraId="7B99ED7F" w14:textId="77777777" w:rsidR="003F1358" w:rsidRPr="00E14102" w:rsidRDefault="003F1358" w:rsidP="00E14102">
      <w:pPr>
        <w:pStyle w:val="rtejustify"/>
        <w:spacing w:before="0" w:after="0"/>
        <w:rPr>
          <w:color w:val="000000" w:themeColor="text1"/>
          <w:sz w:val="16"/>
          <w:szCs w:val="16"/>
        </w:rPr>
      </w:pPr>
      <w:r w:rsidRPr="00E14102">
        <w:rPr>
          <w:rStyle w:val="a6"/>
          <w:bCs/>
          <w:i w:val="0"/>
          <w:color w:val="000000" w:themeColor="text1"/>
          <w:sz w:val="16"/>
          <w:szCs w:val="16"/>
        </w:rPr>
        <w:t>14 августа 1935 вышел приказ НКО №</w:t>
      </w:r>
      <w:r w:rsidRPr="00E14102">
        <w:rPr>
          <w:color w:val="000000" w:themeColor="text1"/>
          <w:sz w:val="16"/>
          <w:szCs w:val="16"/>
        </w:rPr>
        <w:t> 0148. Изменение приказа 1935 г НКО № 065 о продлении срока выполнения опытных стрельб из пушек АПК</w:t>
      </w:r>
      <w:r w:rsidRPr="00E14102">
        <w:rPr>
          <w:color w:val="000000" w:themeColor="text1"/>
          <w:sz w:val="16"/>
          <w:szCs w:val="16"/>
        </w:rPr>
        <w:noBreakHyphen/>
        <w:t>4 (15247).</w:t>
      </w:r>
    </w:p>
    <w:p w14:paraId="5B391A25" w14:textId="77777777" w:rsidR="003F1358" w:rsidRPr="00E14102" w:rsidRDefault="003F1358" w:rsidP="00E14102">
      <w:pPr>
        <w:pStyle w:val="rtejustify"/>
        <w:spacing w:before="0" w:after="0"/>
        <w:rPr>
          <w:color w:val="000000" w:themeColor="text1"/>
          <w:sz w:val="16"/>
          <w:szCs w:val="16"/>
        </w:rPr>
      </w:pPr>
    </w:p>
    <w:p w14:paraId="38ACE4C5" w14:textId="795C773C"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 августа 1935 г. было подготовлено письмо во 2-е отделение отдела изобретений НКО СССР начальнику ОБАА АУ РККА Могилевкину от начальника отдела изобретений Русанова. «На</w:t>
      </w:r>
      <w:r w:rsidRPr="00E14102">
        <w:rPr>
          <w:color w:val="000000" w:themeColor="text1"/>
          <w:sz w:val="16"/>
          <w:szCs w:val="16"/>
        </w:rPr>
        <w:softHyphen/>
        <w:t>правляю Вам ходатайство старшего военпреда АУ Елисеева о вознаграж</w:t>
      </w:r>
      <w:r w:rsidRPr="00E14102">
        <w:rPr>
          <w:color w:val="000000" w:themeColor="text1"/>
          <w:sz w:val="16"/>
          <w:szCs w:val="16"/>
        </w:rPr>
        <w:softHyphen/>
        <w:t>дении за внесенное им рацпредложение об отмене термообработки кор</w:t>
      </w:r>
      <w:r w:rsidRPr="00E14102">
        <w:rPr>
          <w:color w:val="000000" w:themeColor="text1"/>
          <w:sz w:val="16"/>
          <w:szCs w:val="16"/>
        </w:rPr>
        <w:softHyphen/>
        <w:t xml:space="preserve">пусов БЧ изделий модели 2-01171 и 2-01172. Сообщаю, что подобное предложение для осколочных артснарядов было внесено еще в 1928-1929 гг. приемщиком </w:t>
      </w:r>
      <w:r w:rsidRPr="00E14102">
        <w:rPr>
          <w:color w:val="000000" w:themeColor="text1"/>
          <w:sz w:val="16"/>
          <w:szCs w:val="16"/>
        </w:rPr>
        <w:lastRenderedPageBreak/>
        <w:t>АУ РККА на заводе имени Карла Либкнехта тов.</w:t>
      </w:r>
      <w:r w:rsidR="00F26B05" w:rsidRPr="00E14102">
        <w:rPr>
          <w:color w:val="000000" w:themeColor="text1"/>
          <w:sz w:val="16"/>
          <w:szCs w:val="16"/>
        </w:rPr>
        <w:t xml:space="preserve"> </w:t>
      </w:r>
      <w:r w:rsidRPr="00E14102">
        <w:rPr>
          <w:color w:val="000000" w:themeColor="text1"/>
          <w:sz w:val="16"/>
          <w:szCs w:val="16"/>
        </w:rPr>
        <w:t>Гартцем и техническим директором этого завода тов. Каргополовым. В этот период было изготовлено по 10 штук 48-линейных фугасных артснарядов с корпусами термически обработанными и не обработанными и проведена их параллельная проверка стрельбой по бетону. Причем, .снаряды с термообработкой дали один целый из 10 отстрелянных, а из .'8</w:t>
      </w:r>
      <w:r w:rsidRPr="00E14102">
        <w:rPr>
          <w:color w:val="000000" w:themeColor="text1"/>
          <w:sz w:val="16"/>
          <w:szCs w:val="16"/>
          <w:vertAlign w:val="superscript"/>
        </w:rPr>
        <w:t>ы</w:t>
      </w:r>
      <w:r w:rsidRPr="00E14102">
        <w:rPr>
          <w:color w:val="000000" w:themeColor="text1"/>
          <w:sz w:val="16"/>
          <w:szCs w:val="16"/>
        </w:rPr>
        <w:t>Рой стали целыми девять штук, и лишь один разбившийся. Отчет по результатам испытаний был направлен в отдел приемок АУ Учитывая Это, предложение тов. Елисеева не является новым и не может служить снованием для выплаты ему вознаграждения».</w:t>
      </w:r>
    </w:p>
    <w:p w14:paraId="5BD11F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30-е годы при исследовании осколочности снарядов, их подрывали в яме, что давало возможность судить о числе осколков и их форме.</w:t>
      </w:r>
    </w:p>
    <w:p w14:paraId="00B430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Существовало несколько характеристик «дробимости», совокупность которых характеризовала осколочное действие боеприпаса. Применительно к нейиспользовали три:</w:t>
      </w:r>
    </w:p>
    <w:p w14:paraId="1BBE14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характеристика А (отношение числа собранных осколков к их массе, Т/кг) характеризует интенсивность дробления снаряда различными ВВ и может служить для сравнения бризантного действия ВВ при одной и той жеконструкции снаряда;</w:t>
      </w:r>
    </w:p>
    <w:p w14:paraId="662576E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характеристика Е (отношение произведения числа полезных оскол</w:t>
      </w:r>
      <w:r w:rsidRPr="00E14102">
        <w:rPr>
          <w:color w:val="000000" w:themeColor="text1"/>
          <w:sz w:val="16"/>
          <w:szCs w:val="16"/>
        </w:rPr>
        <w:softHyphen/>
        <w:t>ков на массу корпуса к массе собранных осколков, безразмерная) исполь</w:t>
      </w:r>
      <w:r w:rsidRPr="00E14102">
        <w:rPr>
          <w:color w:val="000000" w:themeColor="text1"/>
          <w:sz w:val="16"/>
          <w:szCs w:val="16"/>
        </w:rPr>
        <w:softHyphen/>
        <w:t>зуется при сравнении снарядов различных конструкций и веса;</w:t>
      </w:r>
    </w:p>
    <w:p w14:paraId="464F39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характеристика Д (отношение числа полезных осколков к массе всех собранных осколков, 1/кг) дает возможность сравнить снаряды с точки зрения использования металла на образование полезных осколков.</w:t>
      </w:r>
    </w:p>
    <w:p w14:paraId="6856E6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использовании характеристик Д и Е необходимо было указывать массу полезного осколка. Например, если «дробимость» снаряда при мас</w:t>
      </w:r>
      <w:r w:rsidRPr="00E14102">
        <w:rPr>
          <w:color w:val="000000" w:themeColor="text1"/>
          <w:sz w:val="16"/>
          <w:szCs w:val="16"/>
        </w:rPr>
        <w:softHyphen/>
        <w:t>се полезного осколка 1 г вдвое превышала какой-либо другой, то при мас</w:t>
      </w:r>
      <w:r w:rsidRPr="00E14102">
        <w:rPr>
          <w:color w:val="000000" w:themeColor="text1"/>
          <w:sz w:val="16"/>
          <w:szCs w:val="16"/>
        </w:rPr>
        <w:softHyphen/>
        <w:t>се полезного осколка 8 г могло получиться и наоборот.</w:t>
      </w:r>
    </w:p>
    <w:p w14:paraId="68C9B2C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Кроме того, при исследовании осколочности определяли и скорости осколков перед рамами-мишенями. Для этого корпус снаряда обматыва-</w:t>
      </w:r>
      <w:r w:rsidRPr="00E14102">
        <w:rPr>
          <w:iCs/>
          <w:color w:val="000000" w:themeColor="text1"/>
          <w:sz w:val="16"/>
          <w:szCs w:val="16"/>
        </w:rPr>
        <w:t xml:space="preserve">т </w:t>
      </w:r>
      <w:r w:rsidRPr="00E14102">
        <w:rPr>
          <w:color w:val="000000" w:themeColor="text1"/>
          <w:sz w:val="16"/>
          <w:szCs w:val="16"/>
        </w:rPr>
        <w:t>изолированной проволокой, подключенной к хронографу, а в 3 м уста</w:t>
      </w:r>
      <w:r w:rsidRPr="00E14102">
        <w:rPr>
          <w:color w:val="000000" w:themeColor="text1"/>
          <w:sz w:val="16"/>
          <w:szCs w:val="16"/>
        </w:rPr>
        <w:softHyphen/>
        <w:t>навливали раму, подключенную ко второму хронографу. Подрывая БЧ, Определяли скорость осколка на расстоянии 1,5 м от эпицентра.</w:t>
      </w:r>
    </w:p>
    <w:p w14:paraId="1CDB5E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определения пробивной способности осколков и площади пора</w:t>
      </w:r>
      <w:r w:rsidRPr="00E14102">
        <w:rPr>
          <w:color w:val="000000" w:themeColor="text1"/>
          <w:sz w:val="16"/>
          <w:szCs w:val="16"/>
        </w:rPr>
        <w:softHyphen/>
        <w:t>жения осколками, проводили испытания в секторных мишенях. Это былизаборы из дюймовых досок высотой 4 м, установленные в 10, 20, 30,40, 50 и 60 м от места подрыва по 1/6 окружности.</w:t>
      </w:r>
    </w:p>
    <w:p w14:paraId="26C4F3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Коэффициентом наполнения в артиллерии издавна считали отноше</w:t>
      </w:r>
      <w:r w:rsidRPr="00E14102">
        <w:rPr>
          <w:color w:val="000000" w:themeColor="text1"/>
          <w:sz w:val="16"/>
          <w:szCs w:val="16"/>
        </w:rPr>
        <w:softHyphen/>
        <w:t>ние веса ВВ к весу металла снаряда. Применительно к РС, рассматривали рее два коэффициента наполнения: по отношению к весу металла БЧ (с учетом взрывателя) и по отношению к весу металла всего снаряда (11402).</w:t>
      </w:r>
    </w:p>
    <w:p w14:paraId="6CBC36E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осколочность боеприпаса влиял не только сорт ВВ, но и материал корпуса БЧ. (11402).</w:t>
      </w:r>
    </w:p>
    <w:p w14:paraId="0B940C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B57248B" w14:textId="77777777" w:rsidR="00F26B05" w:rsidRPr="00E14102" w:rsidRDefault="00F26B05" w:rsidP="00E14102">
      <w:pPr>
        <w:jc w:val="both"/>
        <w:rPr>
          <w:color w:val="0070C0"/>
          <w:sz w:val="16"/>
          <w:szCs w:val="16"/>
        </w:rPr>
      </w:pPr>
      <w:r w:rsidRPr="00E14102">
        <w:rPr>
          <w:color w:val="0070C0"/>
          <w:sz w:val="16"/>
          <w:szCs w:val="16"/>
        </w:rPr>
        <w:t>С 14 августа по октябрь 1935 г. помощником начальника УПВО НКВД комдивом Э. Крафтом, совместно с ко</w:t>
      </w:r>
      <w:r w:rsidRPr="00E14102">
        <w:rPr>
          <w:color w:val="0070C0"/>
          <w:sz w:val="16"/>
          <w:szCs w:val="16"/>
        </w:rPr>
        <w:softHyphen/>
        <w:t>мандиром звена особого назначения Барановым, дивизионным военврачом Барковым и инспектором отдела боевой подготовки ГУПВО Лукашевым, был совершен служебный авиаперелет на двух самолетах Р-5. Он имел цель ин</w:t>
      </w:r>
      <w:r w:rsidRPr="00E14102">
        <w:rPr>
          <w:color w:val="0070C0"/>
          <w:sz w:val="16"/>
          <w:szCs w:val="16"/>
        </w:rPr>
        <w:softHyphen/>
        <w:t>спектировать авиачасти пограничной и внутренней охраны НКВД советских республик Средней Азии.</w:t>
      </w:r>
    </w:p>
    <w:p w14:paraId="0921CA22" w14:textId="77777777" w:rsidR="00F26B05" w:rsidRPr="00E14102" w:rsidRDefault="00F26B05" w:rsidP="00E14102">
      <w:pPr>
        <w:jc w:val="both"/>
        <w:rPr>
          <w:color w:val="0070C0"/>
          <w:sz w:val="16"/>
          <w:szCs w:val="16"/>
        </w:rPr>
      </w:pPr>
      <w:r w:rsidRPr="00E14102">
        <w:rPr>
          <w:color w:val="0070C0"/>
          <w:sz w:val="16"/>
          <w:szCs w:val="16"/>
        </w:rPr>
        <w:t>Два самолета ГУПВО вылетели из Москвы 14 августа 1935 г. по маршруту Москва, Казань, Петропавловск, Акмолинск, Семипалатинск, Зайсан, Аягуз, Алма-Ата, Ташкент, Чарджоу, Термез, Сталинабад, Термез, Чарджоу, Таша-уз, Баят-Ходжи, Ашхабад, Баку, Грозный, Ростов, Харьков, Москва. За 83,2 летных часа без единой поломки и аварии, несмотря на трудные условия мар</w:t>
      </w:r>
      <w:r w:rsidRPr="00E14102">
        <w:rPr>
          <w:color w:val="0070C0"/>
          <w:sz w:val="16"/>
          <w:szCs w:val="16"/>
        </w:rPr>
        <w:softHyphen/>
        <w:t>шрута, было пройдено 12 147 км, включая перелет на сухопутных самолетах через Каспийское море.</w:t>
      </w:r>
    </w:p>
    <w:p w14:paraId="70542189" w14:textId="77777777" w:rsidR="00F26B05" w:rsidRPr="00E14102" w:rsidRDefault="00F26B05" w:rsidP="00E14102">
      <w:pPr>
        <w:jc w:val="both"/>
        <w:rPr>
          <w:color w:val="0070C0"/>
          <w:sz w:val="16"/>
          <w:szCs w:val="16"/>
        </w:rPr>
      </w:pPr>
      <w:r w:rsidRPr="00E14102">
        <w:rPr>
          <w:color w:val="0070C0"/>
          <w:sz w:val="16"/>
          <w:szCs w:val="16"/>
        </w:rPr>
        <w:t>Один самолет на протяжении всего маршрута пилотировал помощник на</w:t>
      </w:r>
      <w:r w:rsidRPr="00E14102">
        <w:rPr>
          <w:color w:val="0070C0"/>
          <w:sz w:val="16"/>
          <w:szCs w:val="16"/>
        </w:rPr>
        <w:softHyphen/>
        <w:t>чальника ГУПВО комдив тов. Крафт, и другой — командир звена особого на</w:t>
      </w:r>
      <w:r w:rsidRPr="00E14102">
        <w:rPr>
          <w:color w:val="0070C0"/>
          <w:sz w:val="16"/>
          <w:szCs w:val="16"/>
        </w:rPr>
        <w:softHyphen/>
        <w:t>значения военный летчик тов. Баранов при младшем авиатехнике тов. Доро</w:t>
      </w:r>
      <w:r w:rsidRPr="00E14102">
        <w:rPr>
          <w:color w:val="0070C0"/>
          <w:sz w:val="16"/>
          <w:szCs w:val="16"/>
        </w:rPr>
        <w:softHyphen/>
        <w:t>фееве. Этим перелетом была продемонстрирована высокая профессиональная подготовка начсостава, как пример всему летному составу авиачастей, что было отмечено благодарностью всем участникам в приказе Наркома внутрен</w:t>
      </w:r>
      <w:r w:rsidRPr="00E14102">
        <w:rPr>
          <w:color w:val="0070C0"/>
          <w:sz w:val="16"/>
          <w:szCs w:val="16"/>
        </w:rPr>
        <w:softHyphen/>
        <w:t>них дел от 29 февраля 1936 г. № 73 (ЦА ФСБ, ф. 6, оп. 1, ед.хр. 369, л. 230), и одновременно дало возможность руководству погранвойск более детально ознакомиться с состоянием дел непосредственно на местах (20402).</w:t>
      </w:r>
    </w:p>
    <w:p w14:paraId="669784E5" w14:textId="77777777" w:rsidR="00F26B05" w:rsidRPr="00E14102" w:rsidRDefault="00F26B05" w:rsidP="00E14102">
      <w:pPr>
        <w:jc w:val="both"/>
        <w:rPr>
          <w:color w:val="0070C0"/>
          <w:sz w:val="16"/>
          <w:szCs w:val="16"/>
        </w:rPr>
      </w:pPr>
    </w:p>
    <w:p w14:paraId="5DD23668" w14:textId="77777777" w:rsidR="00F26B05" w:rsidRPr="00E14102" w:rsidRDefault="00F26B05" w:rsidP="00E14102">
      <w:pPr>
        <w:shd w:val="clear" w:color="auto" w:fill="FFFFFF"/>
        <w:jc w:val="both"/>
        <w:rPr>
          <w:color w:val="0070C0"/>
          <w:sz w:val="16"/>
          <w:szCs w:val="16"/>
        </w:rPr>
      </w:pPr>
      <w:r w:rsidRPr="00E14102">
        <w:rPr>
          <w:color w:val="0070C0"/>
          <w:sz w:val="16"/>
          <w:szCs w:val="16"/>
        </w:rPr>
        <w:t>14 августа 1935 г. два самолёта У-2 пограничных войск пролетели без поломок 12147 км за 83 часа по маршруту Москва – Казань – Термез – Ашхабад – через Каспийское море – Баку – Грозный – Ростов – Москва1. Всем участникам перелёта были объявлены благодарности от Наркома внутренних дел (21474).</w:t>
      </w:r>
    </w:p>
    <w:p w14:paraId="647E1F3A" w14:textId="77777777" w:rsidR="00F26B05" w:rsidRPr="00E14102" w:rsidRDefault="00F26B05" w:rsidP="00E14102">
      <w:pPr>
        <w:shd w:val="clear" w:color="auto" w:fill="FFFFFF"/>
        <w:jc w:val="both"/>
        <w:rPr>
          <w:color w:val="0070C0"/>
          <w:sz w:val="16"/>
          <w:szCs w:val="16"/>
        </w:rPr>
      </w:pPr>
    </w:p>
    <w:p w14:paraId="5580E00A" w14:textId="77777777" w:rsidR="00F26B05" w:rsidRPr="00E14102" w:rsidRDefault="00F26B05" w:rsidP="00E14102">
      <w:pPr>
        <w:jc w:val="both"/>
        <w:rPr>
          <w:color w:val="0070C0"/>
          <w:sz w:val="16"/>
          <w:szCs w:val="16"/>
        </w:rPr>
      </w:pPr>
      <w:r w:rsidRPr="00E14102">
        <w:rPr>
          <w:color w:val="0070C0"/>
          <w:sz w:val="16"/>
          <w:szCs w:val="16"/>
        </w:rPr>
        <w:t>14 августа 1935 - Мировой рекорд дальности полёта по прямой для планеров - 140 км, пилот Виктор Леонидович Расторгуев с пассажиром на двухместном планере Ш-5. Планер Ш-5 — учебно-пилотажный двухместный планер конструкции Бориса Николаевича Шереметьева (1933 г.) Планер-парасоль с V-образными подкосами. Оперение укреплено на балке, составляющей одно целое с кабиной, и расчалено к крылу (22399).</w:t>
      </w:r>
    </w:p>
    <w:p w14:paraId="4C1FD605" w14:textId="77777777" w:rsidR="00F26B05" w:rsidRPr="00E14102" w:rsidRDefault="00F26B05" w:rsidP="00E14102">
      <w:pPr>
        <w:shd w:val="clear" w:color="auto" w:fill="FFFFFF"/>
        <w:jc w:val="both"/>
        <w:rPr>
          <w:color w:val="0070C0"/>
          <w:sz w:val="16"/>
          <w:szCs w:val="16"/>
        </w:rPr>
      </w:pPr>
    </w:p>
    <w:p w14:paraId="49A1DC0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181C490" w14:textId="77777777" w:rsidR="00D4105E" w:rsidRPr="00E14102" w:rsidRDefault="00D4105E" w:rsidP="00E14102">
      <w:pPr>
        <w:autoSpaceDE w:val="0"/>
        <w:autoSpaceDN w:val="0"/>
        <w:adjustRightInd w:val="0"/>
        <w:jc w:val="both"/>
        <w:rPr>
          <w:iCs/>
          <w:color w:val="000000" w:themeColor="text1"/>
          <w:sz w:val="16"/>
          <w:szCs w:val="16"/>
        </w:rPr>
      </w:pPr>
    </w:p>
    <w:p w14:paraId="4A5EBC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августа 1935 года Инженерное управление РККА выдало тактико-технические требования на капонирную и башенную установки с 45-мм танковыми пушками. 45-мм башенная установка должна была быть скрывающейся. В скрытом положении она должна быть защищена от прямого попадания фугасных и бетонобойных снарядов 152-мм пушки или 203-мм гаубицы. В поднятом положении она должна защищать от бронебойных снарядов 76-мм и 45-мм танковых пушек, стреляющих с дистанции не менее 500 м, и от осколков и взрывной волны 203-мм фугасного снаряда. Время подъема 10 секунд, спуск - 15 секунд. Наведение на цель должно производиться в скрытом положении (3861).</w:t>
      </w:r>
    </w:p>
    <w:p w14:paraId="2F84958B" w14:textId="77777777" w:rsidR="00D4105E" w:rsidRPr="00E14102" w:rsidRDefault="00D4105E" w:rsidP="00E14102">
      <w:pPr>
        <w:autoSpaceDE w:val="0"/>
        <w:autoSpaceDN w:val="0"/>
        <w:adjustRightInd w:val="0"/>
        <w:jc w:val="both"/>
        <w:rPr>
          <w:color w:val="000000" w:themeColor="text1"/>
          <w:sz w:val="16"/>
          <w:szCs w:val="16"/>
        </w:rPr>
      </w:pPr>
    </w:p>
    <w:p w14:paraId="0C69BD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августа 1935 г. катер Г-6 был закончен постройкой и от</w:t>
      </w:r>
      <w:r w:rsidRPr="00E14102">
        <w:rPr>
          <w:color w:val="000000" w:themeColor="text1"/>
          <w:sz w:val="16"/>
          <w:szCs w:val="16"/>
        </w:rPr>
        <w:softHyphen/>
        <w:t>правлен в Севастополь, хотя поворотные торпедные аппара</w:t>
      </w:r>
      <w:r w:rsidRPr="00E14102">
        <w:rPr>
          <w:color w:val="000000" w:themeColor="text1"/>
          <w:sz w:val="16"/>
          <w:szCs w:val="16"/>
        </w:rPr>
        <w:softHyphen/>
        <w:t>ты завод им. Марти еще не изготовил. Транспортировка за</w:t>
      </w:r>
      <w:r w:rsidRPr="00E14102">
        <w:rPr>
          <w:color w:val="000000" w:themeColor="text1"/>
          <w:sz w:val="16"/>
          <w:szCs w:val="16"/>
        </w:rPr>
        <w:softHyphen/>
        <w:t>няла 20 суток: Г-б был погружен на речную баржу и по Моск</w:t>
      </w:r>
      <w:r w:rsidRPr="00E14102">
        <w:rPr>
          <w:color w:val="000000" w:themeColor="text1"/>
          <w:sz w:val="16"/>
          <w:szCs w:val="16"/>
        </w:rPr>
        <w:softHyphen/>
        <w:t>ве-реке, Оке и Волге доставлен в Сталинград, а оттуда на ко</w:t>
      </w:r>
      <w:r w:rsidRPr="00E14102">
        <w:rPr>
          <w:color w:val="000000" w:themeColor="text1"/>
          <w:sz w:val="16"/>
          <w:szCs w:val="16"/>
        </w:rPr>
        <w:softHyphen/>
        <w:t>лесах — в Калач, далее на речной барже по Дону до Ростова, а затем на морской барже до Севастополя (10675).</w:t>
      </w:r>
    </w:p>
    <w:p w14:paraId="4F9206F4" w14:textId="77777777" w:rsidR="00D4105E" w:rsidRPr="00E14102" w:rsidRDefault="00D4105E" w:rsidP="00E14102">
      <w:pPr>
        <w:autoSpaceDE w:val="0"/>
        <w:autoSpaceDN w:val="0"/>
        <w:adjustRightInd w:val="0"/>
        <w:jc w:val="both"/>
        <w:rPr>
          <w:color w:val="000000" w:themeColor="text1"/>
          <w:sz w:val="16"/>
          <w:szCs w:val="16"/>
        </w:rPr>
      </w:pPr>
    </w:p>
    <w:p w14:paraId="30218FA4" w14:textId="77777777" w:rsidR="003F1358" w:rsidRPr="00E14102" w:rsidRDefault="003F1358" w:rsidP="00E14102">
      <w:pPr>
        <w:jc w:val="both"/>
        <w:rPr>
          <w:color w:val="000000" w:themeColor="text1"/>
          <w:sz w:val="16"/>
          <w:szCs w:val="16"/>
        </w:rPr>
      </w:pPr>
      <w:r w:rsidRPr="00E14102">
        <w:rPr>
          <w:color w:val="000000" w:themeColor="text1"/>
          <w:sz w:val="16"/>
          <w:szCs w:val="16"/>
        </w:rPr>
        <w:t>14 августа 1935 г. катер Г-6 был закончен постройкой и отправлен в Севастополь, хотя поворотные торпедные аппараты завод им. Марта еще не изготовил. Транспортировка заняла 20 суток: Г-6 был погружен на речную баржу и по Москве-реке, Оке и Волге доставлен в Сталинград, а оттуда на колесах — в Калач, далее на речной барже по Дону до Ростова, а затем на морской барже до Севастополя.</w:t>
      </w:r>
    </w:p>
    <w:p w14:paraId="1290479E" w14:textId="77777777" w:rsidR="003F1358" w:rsidRPr="00E14102" w:rsidRDefault="003F1358" w:rsidP="00E14102">
      <w:pPr>
        <w:jc w:val="both"/>
        <w:rPr>
          <w:color w:val="000000" w:themeColor="text1"/>
          <w:sz w:val="16"/>
          <w:szCs w:val="16"/>
        </w:rPr>
      </w:pPr>
      <w:r w:rsidRPr="00E14102">
        <w:rPr>
          <w:color w:val="000000" w:themeColor="text1"/>
          <w:sz w:val="16"/>
          <w:szCs w:val="16"/>
        </w:rPr>
        <w:t>Туполев и Некрасов предложили проект «лидера торпедных катеров Г-6» в 1933. По проекту водоизмещение катера должно было составлять 70 т. Восемь моторов ГАМ-34 по 830 л. с. должны были обеспечить скорость до 42 уз. Катер мог дать залп шестью 533-мм торпедами, три из которых запускались из кормовых торпедных аппаратов желобкового типа, а еще три — из поворотного трехтрубного торпедного аппарата, расположенного на палубе катера. Артиллерийское вооружение состояло из 45-мм полуавтоматической пушки 21К, 20-мм пушки «авиационного типа» и нескольких 7,62-мм пулеметов. Следует заметить, что к началу строительства катера (1934 г.) и поворотные торпедные аппараты, и 20-мм пушки «авиационного типа» существовали лишь в воображений проектантов (15117).</w:t>
      </w:r>
    </w:p>
    <w:p w14:paraId="4418455A" w14:textId="77777777" w:rsidR="003F1358" w:rsidRPr="00E14102" w:rsidRDefault="003F1358" w:rsidP="00E14102">
      <w:pPr>
        <w:jc w:val="both"/>
        <w:rPr>
          <w:color w:val="000000" w:themeColor="text1"/>
          <w:sz w:val="16"/>
          <w:szCs w:val="16"/>
        </w:rPr>
      </w:pPr>
    </w:p>
    <w:p w14:paraId="7229561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6D80293" w14:textId="77777777" w:rsidR="00D4105E" w:rsidRPr="00E14102" w:rsidRDefault="00D4105E" w:rsidP="00E14102">
      <w:pPr>
        <w:autoSpaceDE w:val="0"/>
        <w:autoSpaceDN w:val="0"/>
        <w:adjustRightInd w:val="0"/>
        <w:jc w:val="both"/>
        <w:rPr>
          <w:iCs/>
          <w:color w:val="000000" w:themeColor="text1"/>
          <w:sz w:val="16"/>
          <w:szCs w:val="16"/>
        </w:rPr>
      </w:pPr>
    </w:p>
    <w:p w14:paraId="17E79BFE" w14:textId="77777777" w:rsidR="003F1358" w:rsidRPr="00E14102" w:rsidRDefault="003F1358" w:rsidP="00E14102">
      <w:pPr>
        <w:jc w:val="both"/>
        <w:rPr>
          <w:color w:val="000000" w:themeColor="text1"/>
          <w:sz w:val="16"/>
          <w:szCs w:val="16"/>
        </w:rPr>
      </w:pPr>
      <w:r w:rsidRPr="00E14102">
        <w:rPr>
          <w:color w:val="000000" w:themeColor="text1"/>
          <w:sz w:val="16"/>
          <w:szCs w:val="16"/>
        </w:rPr>
        <w:t xml:space="preserve">14 августа в 1935 году состоялся первый полёт </w:t>
      </w:r>
      <w:hyperlink r:id="rId172" w:tgtFrame="_blank" w:history="1">
        <w:r w:rsidRPr="00E14102">
          <w:rPr>
            <w:color w:val="000000" w:themeColor="text1"/>
            <w:sz w:val="16"/>
            <w:szCs w:val="16"/>
          </w:rPr>
          <w:t xml:space="preserve">«Z.1010». </w:t>
        </w:r>
      </w:hyperlink>
      <w:r w:rsidRPr="00E14102">
        <w:rPr>
          <w:color w:val="000000" w:themeColor="text1"/>
          <w:sz w:val="16"/>
          <w:szCs w:val="16"/>
        </w:rPr>
        <w:t>В 1935 году инженер Филиппо Заппата по заказу «Regia Aeronautica» спроектировал и построил туристический самолёт для участия в международных авиагонках. Конструкция самолёта, обозначенного как «Cant Z.1010», состояла преимущественно из древесины. Хотя самолёт являлся наполовину гоночным его просторный фюзеляж был рассчитан на перевозку 5 человек включая пилота. Высокорасположенное двухлонжеронное крыло имело эллиптическую форму и снабжалось двумя подкосами для увеличения жёсткости. На стыке крыла и фюзеляжа, за кабиной пилота, разместили стойки основного шасси с дополнительными подфюзеляжными подкосами, колеса закрывались обтекателями. Самолёт оснащался рядным двигателем «Alfa Romeo» «110-I» мощностью 120 л.с. (лицензионная версия британского «DH» "Gipsy Major") с двухлопастным винтом постоянного шага (14983).</w:t>
      </w:r>
    </w:p>
    <w:p w14:paraId="2B5829E7" w14:textId="77777777" w:rsidR="003F1358" w:rsidRPr="00E14102" w:rsidRDefault="003F1358" w:rsidP="00E14102">
      <w:pPr>
        <w:jc w:val="both"/>
        <w:rPr>
          <w:color w:val="000000" w:themeColor="text1"/>
          <w:sz w:val="16"/>
          <w:szCs w:val="16"/>
        </w:rPr>
      </w:pPr>
    </w:p>
    <w:p w14:paraId="43DCC5C6" w14:textId="77777777" w:rsidR="00002AE0" w:rsidRPr="00E14102" w:rsidRDefault="00002AE0" w:rsidP="00E14102">
      <w:pPr>
        <w:jc w:val="both"/>
        <w:rPr>
          <w:color w:val="0070C0"/>
          <w:sz w:val="16"/>
          <w:szCs w:val="16"/>
        </w:rPr>
      </w:pPr>
      <w:r w:rsidRPr="00E14102">
        <w:rPr>
          <w:color w:val="0070C0"/>
          <w:sz w:val="16"/>
          <w:szCs w:val="16"/>
        </w:rPr>
        <w:t>14 августа 1935 - Состоялся первый полёт Z.1010. В 1935 году инженер Филиппо Заппата по заказу Regia Aeronautica спроектировал и построил туристический самолёт для участия в международных авиагонках. Конструкция самолёта, обозначенного как Cant Z.1010, состояла преимущественно из древесины. Хотя самолёт являлся наполовину гоночным его просторный фюзеляж был рассчитан на перевозку 5 человек включая пилота. Высокорасположенное двухлонжеронное крыло имело эллиптическую форму и снабжалось двумя подкосами для увеличения жёсткости. На стыке крыла и фюзеляжа, за кабиной пилота, разместили стойки основного шасси с дополнительными подфюзеляжными подкосами, колёса закрывались обтекателями. Самолёт оснащался рядным двигателем Alfa Romeo 110-I мощностью 120 л.с. (лицензионная версия британского DH "Gipsy Major") с двухлопастным винтом постоянного шага (22399).</w:t>
      </w:r>
    </w:p>
    <w:p w14:paraId="079C0850" w14:textId="77777777" w:rsidR="00002AE0" w:rsidRPr="00E14102" w:rsidRDefault="00002AE0" w:rsidP="00E14102">
      <w:pPr>
        <w:shd w:val="clear" w:color="auto" w:fill="FFFFFF"/>
        <w:jc w:val="both"/>
        <w:rPr>
          <w:color w:val="0070C0"/>
          <w:sz w:val="16"/>
          <w:szCs w:val="16"/>
        </w:rPr>
      </w:pPr>
    </w:p>
    <w:p w14:paraId="704C59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августа 1935 в США была введена система социального страхования (3481).</w:t>
      </w:r>
    </w:p>
    <w:p w14:paraId="3C10D5D7" w14:textId="77777777" w:rsidR="00D4105E" w:rsidRPr="00E14102" w:rsidRDefault="00D4105E" w:rsidP="00E14102">
      <w:pPr>
        <w:autoSpaceDE w:val="0"/>
        <w:autoSpaceDN w:val="0"/>
        <w:adjustRightInd w:val="0"/>
        <w:jc w:val="both"/>
        <w:rPr>
          <w:color w:val="000000" w:themeColor="text1"/>
          <w:sz w:val="16"/>
          <w:szCs w:val="16"/>
        </w:rPr>
      </w:pPr>
    </w:p>
    <w:p w14:paraId="6CE8682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 августа 1935 в США введена система помощи безработным (4962).</w:t>
      </w:r>
    </w:p>
    <w:p w14:paraId="2AF0923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A25E6C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lastRenderedPageBreak/>
        <w:t>Авиапромышленность:</w:t>
      </w:r>
    </w:p>
    <w:p w14:paraId="4B132CDF" w14:textId="77777777" w:rsidR="00D4105E" w:rsidRPr="00E14102" w:rsidRDefault="00D4105E" w:rsidP="00E14102">
      <w:pPr>
        <w:autoSpaceDE w:val="0"/>
        <w:autoSpaceDN w:val="0"/>
        <w:adjustRightInd w:val="0"/>
        <w:jc w:val="both"/>
        <w:rPr>
          <w:iCs/>
          <w:color w:val="000000" w:themeColor="text1"/>
          <w:sz w:val="16"/>
          <w:szCs w:val="16"/>
        </w:rPr>
      </w:pPr>
    </w:p>
    <w:p w14:paraId="39AD32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августа 1935 А.Н.Т. докладывал коллегии ЦАГИ результаты первого полета АНТ-25 (44,117).</w:t>
      </w:r>
    </w:p>
    <w:p w14:paraId="448714EC" w14:textId="77777777" w:rsidR="00D4105E" w:rsidRPr="00E14102" w:rsidRDefault="00D4105E" w:rsidP="00E14102">
      <w:pPr>
        <w:autoSpaceDE w:val="0"/>
        <w:autoSpaceDN w:val="0"/>
        <w:adjustRightInd w:val="0"/>
        <w:jc w:val="both"/>
        <w:rPr>
          <w:color w:val="000000" w:themeColor="text1"/>
          <w:sz w:val="16"/>
          <w:szCs w:val="16"/>
        </w:rPr>
      </w:pPr>
    </w:p>
    <w:p w14:paraId="0D3A7A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августа 1935 закончились гос. испытания АНТ-22 МК-1, которые шли с 27 июля 1935 (1076,893). Хороший по мореходности и пр., но не хватало двигателей и не отвечал требованиям ВВС (92,498).</w:t>
      </w:r>
    </w:p>
    <w:p w14:paraId="17758A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 с 27 июня 1935.</w:t>
      </w:r>
    </w:p>
    <w:p w14:paraId="13417C0B" w14:textId="77777777" w:rsidR="00D4105E" w:rsidRPr="00E14102" w:rsidRDefault="00D4105E" w:rsidP="00E14102">
      <w:pPr>
        <w:autoSpaceDE w:val="0"/>
        <w:autoSpaceDN w:val="0"/>
        <w:adjustRightInd w:val="0"/>
        <w:jc w:val="both"/>
        <w:rPr>
          <w:color w:val="000000" w:themeColor="text1"/>
          <w:sz w:val="16"/>
          <w:szCs w:val="16"/>
        </w:rPr>
      </w:pPr>
    </w:p>
    <w:p w14:paraId="52407A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августа 1935 г. закончились государственные испытания МК-1, которые шли с 27 июля. Летали с 5 т бомб (взлетный вес 32 500 кг), причем на наружной подвеске, максимальная скорость упала до 205 км/ч. Крейсерская скорость равнялась 180 км/ч, дальность - 1330 км, практический потолок - 2250 м. С перегрузочным весом 43 000 кг машину не испытывали.</w:t>
      </w:r>
    </w:p>
    <w:p w14:paraId="0E9DE0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воде катамаран вел себя отлично. Он мог без проблем взлетать и садиться в открытом море при полутораметровой волне, обладал на плаву хорошей маневренностью, управляемостью и остойчивостью. Впрочем, и в полете МК-1 отличался устойчивостью, неплохой управляемостью и вполне приемлемой для его размеров маневренностью. Но этого было недостаточно.</w:t>
      </w:r>
    </w:p>
    <w:p w14:paraId="59C621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Причиной неудач сочли мотоустановки. Сделали вывод, что задние, толкающие, винты имеют низкий коэффициент полезного действия из-за воздействия спутной струи от переднего, тянущего, пропеллера. Решили доработать мотоустановки, поставить двигатели М-34РН и облегчить конструкцию планера. Но делать этого не стали (12036).</w:t>
      </w:r>
    </w:p>
    <w:p w14:paraId="21038722" w14:textId="77777777" w:rsidR="00D4105E" w:rsidRPr="00E14102" w:rsidRDefault="00D4105E" w:rsidP="00E14102">
      <w:pPr>
        <w:autoSpaceDE w:val="0"/>
        <w:autoSpaceDN w:val="0"/>
        <w:adjustRightInd w:val="0"/>
        <w:jc w:val="both"/>
        <w:rPr>
          <w:color w:val="000000" w:themeColor="text1"/>
          <w:sz w:val="16"/>
          <w:szCs w:val="16"/>
        </w:rPr>
      </w:pPr>
    </w:p>
    <w:p w14:paraId="1F63DEB2" w14:textId="77777777" w:rsidR="00B8121A" w:rsidRPr="00E14102" w:rsidRDefault="00B8121A" w:rsidP="00E14102">
      <w:pPr>
        <w:jc w:val="both"/>
        <w:rPr>
          <w:color w:val="000000" w:themeColor="text1"/>
          <w:sz w:val="16"/>
          <w:szCs w:val="16"/>
        </w:rPr>
      </w:pPr>
      <w:r w:rsidRPr="00E14102">
        <w:rPr>
          <w:color w:val="000000" w:themeColor="text1"/>
          <w:sz w:val="16"/>
          <w:szCs w:val="16"/>
        </w:rPr>
        <w:t xml:space="preserve">15 августа в 1935 году завершился (с 27 июля) полный цикл государственных испытаний </w:t>
      </w:r>
      <w:hyperlink r:id="rId173" w:tgtFrame="_blank" w:history="1">
        <w:r w:rsidRPr="00E14102">
          <w:rPr>
            <w:color w:val="000000" w:themeColor="text1"/>
            <w:sz w:val="16"/>
            <w:szCs w:val="16"/>
          </w:rPr>
          <w:t xml:space="preserve">«МК-1» </w:t>
        </w:r>
      </w:hyperlink>
      <w:r w:rsidRPr="00E14102">
        <w:rPr>
          <w:color w:val="000000" w:themeColor="text1"/>
          <w:sz w:val="16"/>
          <w:szCs w:val="16"/>
        </w:rPr>
        <w:t>со штатным комплектом оборудования и вооружения. При наружной подвеске данные несколько снизились: максимальная скорость у поверхности воды составила 205 км/час, крейсерская 180 км/час, практический потолок 2250 м. Признавалось, что по своим мореходным качествам «МК-1» обладает хорошими обводами и гидродинамикой, способен взлетать и садиться в открытом море при волне до 1,5 метров и ветре до 12 м/сек. Одновременно, показатели скорости, потолка и дальности полета (1330 км) не отвечают требованиям времени. Предлагалось продолжить улучшения самолета, для чего установить более мощные двигатели «М-34РН» или «М-34ФРН» (14984).</w:t>
      </w:r>
    </w:p>
    <w:p w14:paraId="5563271B" w14:textId="77777777" w:rsidR="00B8121A" w:rsidRPr="00E14102" w:rsidRDefault="00B8121A" w:rsidP="00E14102">
      <w:pPr>
        <w:jc w:val="both"/>
        <w:rPr>
          <w:color w:val="000000" w:themeColor="text1"/>
          <w:sz w:val="16"/>
          <w:szCs w:val="16"/>
        </w:rPr>
      </w:pPr>
    </w:p>
    <w:p w14:paraId="57E02B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августа 1935 года закончились госиспытания МК-6 М34Р морской крейсер, которые проходили с июля 1935. Самолет был доработан для устранения недостатков, выявленных в процессе испытаний и доводок -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(3475,103).</w:t>
      </w:r>
    </w:p>
    <w:p w14:paraId="4DFEF308" w14:textId="77777777" w:rsidR="00D4105E" w:rsidRPr="00E14102" w:rsidRDefault="00D4105E" w:rsidP="00E14102">
      <w:pPr>
        <w:autoSpaceDE w:val="0"/>
        <w:autoSpaceDN w:val="0"/>
        <w:adjustRightInd w:val="0"/>
        <w:jc w:val="both"/>
        <w:rPr>
          <w:color w:val="000000" w:themeColor="text1"/>
          <w:sz w:val="16"/>
          <w:szCs w:val="16"/>
        </w:rPr>
      </w:pPr>
    </w:p>
    <w:p w14:paraId="48BE53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августа 1935 С.П.К. выступил на техническом совещании II отдела РНИИ с изложением принципов рациональной организации работ (Там же, л. 30) (10676).</w:t>
      </w:r>
    </w:p>
    <w:p w14:paraId="4896F872" w14:textId="77777777" w:rsidR="00D4105E" w:rsidRPr="00E14102" w:rsidRDefault="00D4105E" w:rsidP="00E14102">
      <w:pPr>
        <w:autoSpaceDE w:val="0"/>
        <w:autoSpaceDN w:val="0"/>
        <w:adjustRightInd w:val="0"/>
        <w:jc w:val="both"/>
        <w:rPr>
          <w:color w:val="000000" w:themeColor="text1"/>
          <w:sz w:val="16"/>
          <w:szCs w:val="16"/>
        </w:rPr>
      </w:pPr>
    </w:p>
    <w:p w14:paraId="62C6132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3DA25B8" w14:textId="77777777" w:rsidR="00D4105E" w:rsidRPr="00E14102" w:rsidRDefault="00D4105E" w:rsidP="00E14102">
      <w:pPr>
        <w:autoSpaceDE w:val="0"/>
        <w:autoSpaceDN w:val="0"/>
        <w:adjustRightInd w:val="0"/>
        <w:jc w:val="both"/>
        <w:rPr>
          <w:iCs/>
          <w:color w:val="000000" w:themeColor="text1"/>
          <w:sz w:val="16"/>
          <w:szCs w:val="16"/>
        </w:rPr>
      </w:pPr>
    </w:p>
    <w:p w14:paraId="42E600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августа 1935 вышло постановление СТО С-104сс по заводам Оргхимпорома - 96 - Дзержинск, 97 - Усолье, 91 - Сталинград, 102 - Чапаевск, 93 - Москва, Рубежанскому и Кинешемскому (2398,121).</w:t>
      </w:r>
    </w:p>
    <w:p w14:paraId="0CAEF81D" w14:textId="77777777" w:rsidR="00D4105E" w:rsidRPr="00E14102" w:rsidRDefault="00D4105E" w:rsidP="00E14102">
      <w:pPr>
        <w:autoSpaceDE w:val="0"/>
        <w:autoSpaceDN w:val="0"/>
        <w:adjustRightInd w:val="0"/>
        <w:jc w:val="both"/>
        <w:rPr>
          <w:color w:val="000000" w:themeColor="text1"/>
          <w:sz w:val="16"/>
          <w:szCs w:val="16"/>
        </w:rPr>
      </w:pPr>
    </w:p>
    <w:p w14:paraId="2F712570" w14:textId="77777777" w:rsidR="00B8121A" w:rsidRPr="00E14102" w:rsidRDefault="00B8121A" w:rsidP="00E14102">
      <w:pPr>
        <w:pStyle w:val="rtejustify"/>
        <w:spacing w:before="0" w:after="0"/>
        <w:rPr>
          <w:color w:val="000000" w:themeColor="text1"/>
          <w:sz w:val="16"/>
          <w:szCs w:val="16"/>
        </w:rPr>
      </w:pPr>
      <w:r w:rsidRPr="00E14102">
        <w:rPr>
          <w:rStyle w:val="a6"/>
          <w:bCs/>
          <w:i w:val="0"/>
          <w:color w:val="000000" w:themeColor="text1"/>
          <w:sz w:val="16"/>
          <w:szCs w:val="16"/>
        </w:rPr>
        <w:t>15 августа</w:t>
      </w:r>
      <w:r w:rsidRPr="00E14102">
        <w:rPr>
          <w:color w:val="000000" w:themeColor="text1"/>
          <w:sz w:val="16"/>
          <w:szCs w:val="16"/>
        </w:rPr>
        <w:t xml:space="preserve"> 1935. Постановление СТО СССР № С</w:t>
      </w:r>
      <w:r w:rsidRPr="00E14102">
        <w:rPr>
          <w:color w:val="000000" w:themeColor="text1"/>
          <w:sz w:val="16"/>
          <w:szCs w:val="16"/>
        </w:rPr>
        <w:noBreakHyphen/>
        <w:t>104сс «О финансировании заводов Оргхимпрома НКТП». (ГА РФ. Ф. Р</w:t>
      </w:r>
      <w:r w:rsidRPr="00E14102">
        <w:rPr>
          <w:color w:val="000000" w:themeColor="text1"/>
          <w:sz w:val="16"/>
          <w:szCs w:val="16"/>
        </w:rPr>
        <w:noBreakHyphen/>
        <w:t>8418. Оп. 28. Д. 7. Л. 73) (15460).</w:t>
      </w:r>
    </w:p>
    <w:p w14:paraId="22B5F64E" w14:textId="77777777" w:rsidR="00B8121A" w:rsidRPr="00E14102" w:rsidRDefault="00B8121A" w:rsidP="00E14102">
      <w:pPr>
        <w:pStyle w:val="rtejustify"/>
        <w:spacing w:before="0" w:after="0"/>
        <w:rPr>
          <w:color w:val="000000" w:themeColor="text1"/>
          <w:sz w:val="16"/>
          <w:szCs w:val="16"/>
        </w:rPr>
      </w:pPr>
    </w:p>
    <w:p w14:paraId="39B6E627" w14:textId="77777777" w:rsidR="00B8121A" w:rsidRPr="00E14102" w:rsidRDefault="00B8121A" w:rsidP="00E14102">
      <w:pPr>
        <w:pStyle w:val="rtejustify"/>
        <w:spacing w:before="0" w:after="0"/>
        <w:rPr>
          <w:color w:val="000000" w:themeColor="text1"/>
          <w:sz w:val="16"/>
          <w:szCs w:val="16"/>
        </w:rPr>
      </w:pPr>
      <w:r w:rsidRPr="00E14102">
        <w:rPr>
          <w:rStyle w:val="a6"/>
          <w:bCs/>
          <w:i w:val="0"/>
          <w:color w:val="000000" w:themeColor="text1"/>
          <w:sz w:val="16"/>
          <w:szCs w:val="16"/>
        </w:rPr>
        <w:t>15 августа 1935 вышел приказ НКО №</w:t>
      </w:r>
      <w:r w:rsidRPr="00E14102">
        <w:rPr>
          <w:color w:val="000000" w:themeColor="text1"/>
          <w:sz w:val="16"/>
          <w:szCs w:val="16"/>
        </w:rPr>
        <w:t> 0146. О производстве на Черном море войсковых испытаний образцов гидроакустической аппаратуры (приборы связи и шумопеленгаторы), установленных на п/л М</w:t>
      </w:r>
      <w:r w:rsidRPr="00E14102">
        <w:rPr>
          <w:color w:val="000000" w:themeColor="text1"/>
          <w:sz w:val="16"/>
          <w:szCs w:val="16"/>
        </w:rPr>
        <w:noBreakHyphen/>
        <w:t>51 (15247).</w:t>
      </w:r>
    </w:p>
    <w:p w14:paraId="38A83B83" w14:textId="77777777" w:rsidR="00B8121A" w:rsidRPr="00E14102" w:rsidRDefault="00B8121A" w:rsidP="00E14102">
      <w:pPr>
        <w:pStyle w:val="rtejustify"/>
        <w:spacing w:before="0" w:after="0"/>
        <w:rPr>
          <w:color w:val="000000" w:themeColor="text1"/>
          <w:sz w:val="16"/>
          <w:szCs w:val="16"/>
        </w:rPr>
      </w:pPr>
    </w:p>
    <w:p w14:paraId="28FFE629" w14:textId="77777777" w:rsidR="00647F1E" w:rsidRPr="00E14102" w:rsidRDefault="00647F1E"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15 августа 1934 года, после испытаний и сдачи подлодка «Щ-304» («Комсомолец») – первая Щука Сормовского завода - была принята в состав ВМФ страны. В Великую Отечественную войну подлодка «Щ-304» (командир капитан 3-го ранга А. П. Афанасьев) к боевым действиям привлекалась в 1942 году. Она была первой в составе подлодок первого эшелона этого года. 3 июня 1942 года «Комсомолец» вышел из Ленинграда. К этому времени советскими войсками были уже оставлены острова Гогланд и Большой Тютерс на выходе из Финского залива. Противник выставил три противолодочных заграждения («Насхорн», «Зееигель» и «Рюкьярви») от мыса Порккола-Удд к острову Нарген (1990 мин), к югу от Гогланда (около 8000 мин) и к северо-востоку от Гогланда (не менее 2000 мин).</w:t>
      </w:r>
    </w:p>
    <w:p w14:paraId="7C2D7700" w14:textId="77777777" w:rsidR="00647F1E" w:rsidRPr="00E14102" w:rsidRDefault="00647F1E"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Подлодка «Щ-304» уже при переходе из Ленинграда в Кронштадт подверглась артиллерийскому обстрелу береговой батареи противника из района Стрельны. Гитлеровцы выпустили около 50 снарядов, от близких разрывов которых на подводной лодке вышли из строя компасы и электроосвещение. 12 июня подводная лодка покинула рейд Лавенсари и начала самостоятельный боевой поход. 15 июня в районе маяка Порккалан-Каллбоди «Щ-304» двумя торпедами отправила на дно вражеский транспорт водоизмещением 10</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12 тыс. тонн, груженный артиллерией и танками. Поход длился 18 суток. За время нахождения в отведенном районе подводная лодка три раза была обстреляна вражеской артиллерией. Семь раз она была атакована самолетами противника, 14 раз преследовалась в надводном и подводном положениях противолодочными кораблями. Семь раз подлодка встречалась с вражескими дозорами, дважды была атакована подводными лодками противника, двадцать два раза пересекала линии мин. На нее была сброшена противником 41 серия глубинных бомб. Ни одна другая советская подводная лодка в 1942 году не подвергалась таким атакам противолодочных сил противника. 30 июня «Щ-304» вернулась на рейд острова Лавенсари. За успешный поход были награждены орденами и медалями 38 членов ее экипажа: орденом «Красное Знамя»</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9 человек, орденом «Красная Звезда»</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12 человек, медалями «За отвагу» или</w:t>
      </w:r>
    </w:p>
    <w:p w14:paraId="773B3F78" w14:textId="77777777" w:rsidR="00647F1E" w:rsidRPr="00E14102" w:rsidRDefault="00647F1E"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«За боевые заслуги»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17 человек. Экипаж ПЛ «Щ-304» называли «Экипажем героев». А в обыденной жизни они были обыкновенные простые люди со своими заботами, чаяниями и житейскими слабостями. Бывали случаи, получали «фитили» и заслуженно и незаслуженно. Из второго похода в декабре 1942 года «Щ-304» не вернулась. Она погибла на минном поле от взрыва контактной мины, предположительно, к юго-западу от острова Бенатшер  (12189).</w:t>
      </w:r>
    </w:p>
    <w:p w14:paraId="36FEE431" w14:textId="77777777" w:rsidR="00647F1E" w:rsidRPr="00E14102" w:rsidRDefault="00647F1E" w:rsidP="00E14102">
      <w:pPr>
        <w:pStyle w:val="ad"/>
        <w:shd w:val="clear" w:color="auto" w:fill="FFFFFF"/>
        <w:spacing w:before="0" w:after="0"/>
        <w:rPr>
          <w:rFonts w:ascii="Times New Roman" w:hAnsi="Times New Roman" w:cs="Times New Roman"/>
          <w:color w:val="000000" w:themeColor="text1"/>
          <w:sz w:val="16"/>
          <w:szCs w:val="16"/>
          <w:lang w:val="ru-RU"/>
        </w:rPr>
      </w:pPr>
    </w:p>
    <w:p w14:paraId="6B85008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6872BF0B" w14:textId="77777777" w:rsidR="00D4105E" w:rsidRPr="00E14102" w:rsidRDefault="00D4105E" w:rsidP="00E14102">
      <w:pPr>
        <w:autoSpaceDE w:val="0"/>
        <w:autoSpaceDN w:val="0"/>
        <w:adjustRightInd w:val="0"/>
        <w:jc w:val="both"/>
        <w:rPr>
          <w:iCs/>
          <w:color w:val="000000" w:themeColor="text1"/>
          <w:sz w:val="16"/>
          <w:szCs w:val="16"/>
        </w:rPr>
      </w:pPr>
    </w:p>
    <w:p w14:paraId="1517EE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15-17 августа 1935 г. советская делегация во главе с Начальником Главного Управления ГВФ И.С.Уншлихтом на самолетах ТБ-3 посетила с ответным визитом Прагу.</w:t>
      </w:r>
    </w:p>
    <w:p w14:paraId="521AE9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Результатом визитов и последовавшего достаточно доверительного обмена информацией явился ряд соглашений о взаимных поставках образцов вооружений. В частности, Советский Союз получил от Чехословакии техническую документацию на горную пушку С-5 и зенитку R-3. Чехословацкие военные, в свою очередь, заинтересовались советским бомбардировщиком СБ, причем произошло это уже в конце 1936 г., явно под воздействием его успешных акций в Испании (12027).</w:t>
      </w:r>
    </w:p>
    <w:p w14:paraId="6D868447" w14:textId="77777777" w:rsidR="00D4105E" w:rsidRPr="00E14102" w:rsidRDefault="00D4105E" w:rsidP="00E14102">
      <w:pPr>
        <w:autoSpaceDE w:val="0"/>
        <w:autoSpaceDN w:val="0"/>
        <w:adjustRightInd w:val="0"/>
        <w:jc w:val="both"/>
        <w:rPr>
          <w:color w:val="000000" w:themeColor="text1"/>
          <w:sz w:val="16"/>
          <w:szCs w:val="16"/>
        </w:rPr>
      </w:pPr>
    </w:p>
    <w:p w14:paraId="5C8D789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A58797F" w14:textId="77777777" w:rsidR="00D4105E" w:rsidRPr="00E14102" w:rsidRDefault="00D4105E" w:rsidP="00E14102">
      <w:pPr>
        <w:autoSpaceDE w:val="0"/>
        <w:autoSpaceDN w:val="0"/>
        <w:adjustRightInd w:val="0"/>
        <w:jc w:val="both"/>
        <w:rPr>
          <w:iCs/>
          <w:color w:val="000000" w:themeColor="text1"/>
          <w:sz w:val="16"/>
          <w:szCs w:val="16"/>
        </w:rPr>
      </w:pPr>
    </w:p>
    <w:p w14:paraId="6F39D6E6" w14:textId="77777777" w:rsidR="00B8121A" w:rsidRPr="00E14102" w:rsidRDefault="00B8121A" w:rsidP="00E14102">
      <w:pPr>
        <w:jc w:val="both"/>
        <w:rPr>
          <w:color w:val="000000" w:themeColor="text1"/>
          <w:sz w:val="16"/>
          <w:szCs w:val="16"/>
        </w:rPr>
      </w:pPr>
      <w:r w:rsidRPr="00E14102">
        <w:rPr>
          <w:color w:val="000000" w:themeColor="text1"/>
          <w:sz w:val="16"/>
          <w:szCs w:val="16"/>
        </w:rPr>
        <w:t xml:space="preserve">15 августа в 1935 году на «Wright Field» представлен переработанный истребитель Северского </w:t>
      </w:r>
      <w:hyperlink r:id="rId174" w:tgtFrame="_blank" w:history="1">
        <w:r w:rsidRPr="00E14102">
          <w:rPr>
            <w:color w:val="000000" w:themeColor="text1"/>
            <w:sz w:val="16"/>
            <w:szCs w:val="16"/>
          </w:rPr>
          <w:t xml:space="preserve">«SEV-1XP». </w:t>
        </w:r>
      </w:hyperlink>
      <w:r w:rsidRPr="00E14102">
        <w:rPr>
          <w:color w:val="000000" w:themeColor="text1"/>
          <w:sz w:val="16"/>
          <w:szCs w:val="16"/>
        </w:rPr>
        <w:t>В 1935 году инженеры «SАС» стали спешно повышать конкурентоспособность опытного образца «SEV-2XP». Двухместный летательный аппарат с неубирающимся шасси превратился в одноместный с убирающимся в полете шасси. После уборки стойки шасси не удалось разместить внутри крыла, поскольку там располагались топливные баки, и их пришлось расположить в специальных обтекателях под крылом, что придало самолету характерный внешний вид. Хвостовое колесо было сделано убирающимся, а полностью закрытая одноместная кабина получила сдвижной назад фонарь. На самолете установили новый звездообразный двигатель с воздушным охлаждением «Wright» «R-1820-G4» (в некоторых источниках –«G5») «Cyclone» взлетной мощностью 850 л.с. с трехлопастным пропеллером изменяемого шага. Компания повторно обозначила самолет как «SEV-1XP», где цифра "1" обозначила одноместный вариант. Вооружение состояло из двух синхронизированных 7,62 мм пулеметов «Colt-Browning», расположенных над двигателем (в некоторых источниках указано вооружение из одного 12,7 мм и одного 7,62 мм пулеметов). Размеры крыла самолета остались прежними, длина увеличилась до 7,59 м, а высота - до 2,69 м (14984).</w:t>
      </w:r>
    </w:p>
    <w:p w14:paraId="18F626A0" w14:textId="77777777" w:rsidR="00B8121A" w:rsidRPr="00E14102" w:rsidRDefault="00B8121A" w:rsidP="00E14102">
      <w:pPr>
        <w:jc w:val="both"/>
        <w:rPr>
          <w:color w:val="000000" w:themeColor="text1"/>
          <w:sz w:val="16"/>
          <w:szCs w:val="16"/>
        </w:rPr>
      </w:pPr>
    </w:p>
    <w:p w14:paraId="06ECACAD" w14:textId="77777777" w:rsidR="00002AE0" w:rsidRPr="00E14102" w:rsidRDefault="00002AE0" w:rsidP="00E14102">
      <w:pPr>
        <w:jc w:val="both"/>
        <w:rPr>
          <w:color w:val="0070C0"/>
          <w:sz w:val="16"/>
          <w:szCs w:val="16"/>
        </w:rPr>
      </w:pPr>
      <w:r w:rsidRPr="00E14102">
        <w:rPr>
          <w:color w:val="0070C0"/>
          <w:sz w:val="16"/>
          <w:szCs w:val="16"/>
        </w:rPr>
        <w:t>15 августа 1935 состоялся первый полет Северский СЕВ-1ХП, прототип Северского П-35 (20800).</w:t>
      </w:r>
    </w:p>
    <w:p w14:paraId="40A90DA3" w14:textId="77777777" w:rsidR="00002AE0" w:rsidRPr="00E14102" w:rsidRDefault="00002AE0" w:rsidP="00E14102">
      <w:pPr>
        <w:jc w:val="both"/>
        <w:rPr>
          <w:color w:val="0070C0"/>
          <w:sz w:val="16"/>
          <w:szCs w:val="16"/>
        </w:rPr>
      </w:pPr>
    </w:p>
    <w:p w14:paraId="307D072C" w14:textId="77777777" w:rsidR="00002AE0" w:rsidRPr="00E14102" w:rsidRDefault="00002AE0" w:rsidP="00E14102">
      <w:pPr>
        <w:jc w:val="both"/>
        <w:rPr>
          <w:color w:val="0070C0"/>
          <w:sz w:val="16"/>
          <w:szCs w:val="16"/>
        </w:rPr>
      </w:pPr>
      <w:r w:rsidRPr="00E14102">
        <w:rPr>
          <w:color w:val="0070C0"/>
          <w:sz w:val="16"/>
          <w:szCs w:val="16"/>
        </w:rPr>
        <w:t>15 августа 1935 года — первый полёт поршневого истребителя Seversky P-35. /США/</w:t>
      </w:r>
    </w:p>
    <w:p w14:paraId="4788FE79" w14:textId="77777777" w:rsidR="00002AE0" w:rsidRPr="00E14102" w:rsidRDefault="00002AE0" w:rsidP="00E14102">
      <w:pPr>
        <w:jc w:val="both"/>
        <w:rPr>
          <w:color w:val="0070C0"/>
          <w:sz w:val="16"/>
          <w:szCs w:val="16"/>
        </w:rPr>
      </w:pPr>
      <w:r w:rsidRPr="00E14102">
        <w:rPr>
          <w:color w:val="0070C0"/>
          <w:sz w:val="16"/>
          <w:szCs w:val="16"/>
        </w:rPr>
        <w:t>Первым самолётом компании Seversky Aircraft, основанной эмигрантом из России Александром Прокофьевым-Северским, стала амфибия SEV-3. В 1935 один из её прототипов стал основной для одноместного истребителя SEV-1XP, позже получивший обозначение P-35. Конструктором обоих проектов был ещё один эмигрант, грузин по происхождению, Александр Картвели.</w:t>
      </w:r>
    </w:p>
    <w:p w14:paraId="6D97397A" w14:textId="77777777" w:rsidR="00002AE0" w:rsidRPr="00E14102" w:rsidRDefault="00002AE0" w:rsidP="00E14102">
      <w:pPr>
        <w:jc w:val="both"/>
        <w:rPr>
          <w:color w:val="0070C0"/>
          <w:sz w:val="16"/>
          <w:szCs w:val="16"/>
        </w:rPr>
      </w:pPr>
      <w:r w:rsidRPr="00E14102">
        <w:rPr>
          <w:color w:val="0070C0"/>
          <w:sz w:val="16"/>
          <w:szCs w:val="16"/>
        </w:rPr>
        <w:t>P-35 представлял собой цельнометаллический низкоплан с убирающимся шасси. Серийные истребители оснащались двигателем Pratt &amp; Whitney R-1830-45. Максимальная скорость — 467 км/ч, дальность полёта — 1530 км. Вооружение — 2 × 7,62-мм пулемёта M1919 Browning и 2 × 12,7-мм пулемёта Browning M2/AN.</w:t>
      </w:r>
    </w:p>
    <w:p w14:paraId="5D84EF23" w14:textId="77777777" w:rsidR="00002AE0" w:rsidRPr="00E14102" w:rsidRDefault="00002AE0" w:rsidP="00E14102">
      <w:pPr>
        <w:jc w:val="both"/>
        <w:rPr>
          <w:color w:val="0070C0"/>
          <w:sz w:val="16"/>
          <w:szCs w:val="16"/>
        </w:rPr>
      </w:pPr>
      <w:r w:rsidRPr="00E14102">
        <w:rPr>
          <w:color w:val="0070C0"/>
          <w:sz w:val="16"/>
          <w:szCs w:val="16"/>
        </w:rPr>
        <w:lastRenderedPageBreak/>
        <w:t>Было произведено 196 единиц Seversky P-35 всех вариантов. Самолёт поставлялся на экспорт в Швецию и Эквадор. Кроме ВВС США, стоял на вооружении ВВС Колумбии и Филиппин. Сегодня в музеях мира сохранилось 3 экземпляра P-35 разных модификаций (22300).</w:t>
      </w:r>
    </w:p>
    <w:p w14:paraId="4FD6E842" w14:textId="77777777" w:rsidR="00002AE0" w:rsidRPr="00E14102" w:rsidRDefault="00002AE0" w:rsidP="00E14102">
      <w:pPr>
        <w:jc w:val="both"/>
        <w:rPr>
          <w:color w:val="0070C0"/>
          <w:sz w:val="16"/>
          <w:szCs w:val="16"/>
        </w:rPr>
      </w:pPr>
    </w:p>
    <w:p w14:paraId="0298FDF4" w14:textId="77777777" w:rsidR="00002AE0" w:rsidRPr="00E14102" w:rsidRDefault="00002AE0" w:rsidP="00E14102">
      <w:pPr>
        <w:jc w:val="both"/>
        <w:rPr>
          <w:color w:val="0070C0"/>
          <w:sz w:val="16"/>
          <w:szCs w:val="16"/>
        </w:rPr>
      </w:pPr>
      <w:r w:rsidRPr="00E14102">
        <w:rPr>
          <w:color w:val="0070C0"/>
          <w:sz w:val="16"/>
          <w:szCs w:val="16"/>
        </w:rPr>
        <w:t>15 августа 1935 Wiley Post, первый пилот, совершивший одиночный кругосветный полет, и его пассажир, юморист Уилл Роджерс, погибают в результате крушения самолета амфибии Lockheed Orion / Lockheed Explorer возле мыса Барроу на территории Аляски (20800).</w:t>
      </w:r>
    </w:p>
    <w:p w14:paraId="4253222D" w14:textId="77777777" w:rsidR="00002AE0" w:rsidRPr="00E14102" w:rsidRDefault="00002AE0" w:rsidP="00E14102">
      <w:pPr>
        <w:jc w:val="both"/>
        <w:rPr>
          <w:color w:val="0070C0"/>
          <w:sz w:val="16"/>
          <w:szCs w:val="16"/>
        </w:rPr>
      </w:pPr>
    </w:p>
    <w:p w14:paraId="36347F59" w14:textId="77777777" w:rsidR="00B8121A" w:rsidRPr="00E14102" w:rsidRDefault="00B8121A" w:rsidP="00E14102">
      <w:pPr>
        <w:jc w:val="both"/>
        <w:rPr>
          <w:color w:val="000000" w:themeColor="text1"/>
          <w:sz w:val="16"/>
          <w:szCs w:val="16"/>
        </w:rPr>
      </w:pPr>
      <w:r w:rsidRPr="00E14102">
        <w:rPr>
          <w:color w:val="000000" w:themeColor="text1"/>
          <w:sz w:val="16"/>
          <w:szCs w:val="16"/>
        </w:rPr>
        <w:t>15 августа в 1935 году Уалакпи, около Пойнт Бэрроу, Аляска, США. Из-за густого тумана частный самолет «Lockheed» «Orion-Explorer», на котором пилоты Уилей Пост и Вилл Роджeрс попытались совершить кругосветный полет, совершает вынужденную посадку в 15 милях от Пойнт Бэрроу. После небольшого ремонта самолет поднимается в воздух не более чем на 50 футов, а затем падает на мелководье. Оба пилота погибают: Отказ двигателя (14984).</w:t>
      </w:r>
    </w:p>
    <w:p w14:paraId="17064E27" w14:textId="77777777" w:rsidR="00B8121A" w:rsidRPr="00E14102" w:rsidRDefault="00B8121A" w:rsidP="00E14102">
      <w:pPr>
        <w:jc w:val="both"/>
        <w:rPr>
          <w:color w:val="000000" w:themeColor="text1"/>
          <w:sz w:val="16"/>
          <w:szCs w:val="16"/>
        </w:rPr>
      </w:pPr>
    </w:p>
    <w:p w14:paraId="67F0F9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августа 1935 разбился Wiley Post (2100).</w:t>
      </w:r>
    </w:p>
    <w:p w14:paraId="22999FC0" w14:textId="77777777" w:rsidR="00D4105E" w:rsidRPr="00E14102" w:rsidRDefault="00D4105E" w:rsidP="00E14102">
      <w:pPr>
        <w:autoSpaceDE w:val="0"/>
        <w:autoSpaceDN w:val="0"/>
        <w:adjustRightInd w:val="0"/>
        <w:jc w:val="both"/>
        <w:rPr>
          <w:color w:val="000000" w:themeColor="text1"/>
          <w:sz w:val="16"/>
          <w:szCs w:val="16"/>
        </w:rPr>
      </w:pPr>
    </w:p>
    <w:p w14:paraId="7A923D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августа 1935 г. гидросамолет Вилли Пост потерпел катастрофу у мыса Барроу на Аляске (5477,27).</w:t>
      </w:r>
    </w:p>
    <w:p w14:paraId="575C8BE5" w14:textId="77777777" w:rsidR="00D4105E" w:rsidRPr="00E14102" w:rsidRDefault="00D4105E" w:rsidP="00E14102">
      <w:pPr>
        <w:autoSpaceDE w:val="0"/>
        <w:autoSpaceDN w:val="0"/>
        <w:adjustRightInd w:val="0"/>
        <w:jc w:val="both"/>
        <w:rPr>
          <w:color w:val="000000" w:themeColor="text1"/>
          <w:sz w:val="16"/>
          <w:szCs w:val="16"/>
        </w:rPr>
      </w:pPr>
    </w:p>
    <w:p w14:paraId="146FC20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августа 1935 флаг со свастикой утвержден в качестве государственного флага Германии (4962).</w:t>
      </w:r>
    </w:p>
    <w:p w14:paraId="1E729D3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E05522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D2E0EA5" w14:textId="77777777" w:rsidR="00D4105E" w:rsidRPr="00E14102" w:rsidRDefault="00D4105E" w:rsidP="00E14102">
      <w:pPr>
        <w:autoSpaceDE w:val="0"/>
        <w:autoSpaceDN w:val="0"/>
        <w:adjustRightInd w:val="0"/>
        <w:jc w:val="both"/>
        <w:rPr>
          <w:iCs/>
          <w:color w:val="000000" w:themeColor="text1"/>
          <w:sz w:val="16"/>
          <w:szCs w:val="16"/>
        </w:rPr>
      </w:pPr>
    </w:p>
    <w:p w14:paraId="0AF48D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августа 1935 закончились государственные испытания самолета СБ с 2-мя моторами Испано-Сюиза 12 и стрелкового вооружения на самолете СБ-2рц, начатое 9.7.35 года. Самолет испытывался до 12 августа, а 12 по 16 самолет был в ремонте и в течение 12-15 и 16 испытывалось вооружение (2964).</w:t>
      </w:r>
    </w:p>
    <w:p w14:paraId="62DDE0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4F954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произведенных испытаний самолета СБ с 2-мя моторами Испано-Сюиза 12 Ydrs при мощности по 755 л.с., НИИ ВВС считает:</w:t>
      </w:r>
    </w:p>
    <w:p w14:paraId="1C29BF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При наличии указанных в отчете дефектов, выявленных в процессе кратковременных испытаний, проведенных в феврале и июле с.г., а также невыполнения ряда пунктов тактико-технических требований (см. стр. октября сводки) - самолет СБ не может быть признан боеспособным, и в предъявленном виде принятым на вооружение ВС.</w:t>
      </w:r>
    </w:p>
    <w:p w14:paraId="08A2B2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наличие у самолета СБ большой максимальной скорости, скороподъемности, большого практического потолка и сравнительно сильного вооружения при этих данных, ставит его в разряд одного из лучших в мире скоростных бомбардировщиков.</w:t>
      </w:r>
    </w:p>
    <w:p w14:paraId="64B0B2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чего устранение дефектов и доводка самолета СБ до боеспособного состояния для последующего введения его на вооружение ВС должны быть осуществлены в самый кратчайший срок.</w:t>
      </w:r>
    </w:p>
    <w:p w14:paraId="69C4E2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Ввиду того, что устранение ряда основных дефектов самолета: как-то недостаточная прочность, отсутствие устойчивости и др., потребуют коренной переделки самолета, предложить ЦАГИ выполнить модификацию самолета СБ....</w:t>
      </w:r>
    </w:p>
    <w:p w14:paraId="412224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Самолет СБ 2-ИС передать в ЦАГИ для доводки и устранения дефектов, отмеченных в данном отчете.</w:t>
      </w:r>
    </w:p>
    <w:p w14:paraId="55CD30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устранении дефектов самолет вновь передать в НИИ ВС для проведения эксплуатационных испытаний, проверки устранения дефектов, а также исследования вопросов боевого применения вооружения и оборудования на больших скоростях и высотах (2964).</w:t>
      </w:r>
    </w:p>
    <w:p w14:paraId="3BB876AD" w14:textId="77777777" w:rsidR="00D4105E" w:rsidRPr="00E14102" w:rsidRDefault="00D4105E" w:rsidP="00E14102">
      <w:pPr>
        <w:autoSpaceDE w:val="0"/>
        <w:autoSpaceDN w:val="0"/>
        <w:adjustRightInd w:val="0"/>
        <w:jc w:val="both"/>
        <w:rPr>
          <w:color w:val="000000" w:themeColor="text1"/>
          <w:sz w:val="16"/>
          <w:szCs w:val="16"/>
        </w:rPr>
      </w:pPr>
    </w:p>
    <w:p w14:paraId="2EADA7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августа 1935 закончились заводские испытания Р-6 с радиаторами в крыле, которые проходили с 26 февраля 1935. Скорость выросла на 5 км/ч. Не приняли (346,37).</w:t>
      </w:r>
    </w:p>
    <w:p w14:paraId="570100B2" w14:textId="77777777" w:rsidR="00D4105E" w:rsidRPr="00E14102" w:rsidRDefault="00D4105E" w:rsidP="00E14102">
      <w:pPr>
        <w:autoSpaceDE w:val="0"/>
        <w:autoSpaceDN w:val="0"/>
        <w:adjustRightInd w:val="0"/>
        <w:jc w:val="both"/>
        <w:rPr>
          <w:color w:val="000000" w:themeColor="text1"/>
          <w:sz w:val="16"/>
          <w:szCs w:val="16"/>
        </w:rPr>
      </w:pPr>
    </w:p>
    <w:p w14:paraId="5C8482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августа 1935 г. Начальник УВС Алкснис утвердил Программу войсковых испытаний самолета И-15.</w:t>
      </w:r>
    </w:p>
    <w:p w14:paraId="629EDA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Выявление конструктивных и производственных недостатков и износа материальной части при эксплуатации. (3120,5-9).</w:t>
      </w:r>
    </w:p>
    <w:p w14:paraId="033A8A69" w14:textId="77777777" w:rsidR="00D4105E" w:rsidRPr="00E14102" w:rsidRDefault="00D4105E" w:rsidP="00E14102">
      <w:pPr>
        <w:autoSpaceDE w:val="0"/>
        <w:autoSpaceDN w:val="0"/>
        <w:adjustRightInd w:val="0"/>
        <w:jc w:val="both"/>
        <w:rPr>
          <w:color w:val="000000" w:themeColor="text1"/>
          <w:sz w:val="16"/>
          <w:szCs w:val="16"/>
        </w:rPr>
      </w:pPr>
    </w:p>
    <w:p w14:paraId="77DC9A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августа 1935 г. Начальник УВС Алкснис утвердил Программу войсковых испытаний самолета И-16.</w:t>
      </w:r>
    </w:p>
    <w:p w14:paraId="651BA3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Выявление конструктивных и производственных недостатков и износа материальной части при эксплуатации. (3120,10-15).</w:t>
      </w:r>
    </w:p>
    <w:p w14:paraId="7054C1EC" w14:textId="77777777" w:rsidR="00D4105E" w:rsidRPr="00E14102" w:rsidRDefault="00D4105E" w:rsidP="00E14102">
      <w:pPr>
        <w:autoSpaceDE w:val="0"/>
        <w:autoSpaceDN w:val="0"/>
        <w:adjustRightInd w:val="0"/>
        <w:jc w:val="both"/>
        <w:rPr>
          <w:color w:val="000000" w:themeColor="text1"/>
          <w:sz w:val="16"/>
          <w:szCs w:val="16"/>
        </w:rPr>
      </w:pPr>
    </w:p>
    <w:p w14:paraId="7EA06B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августа 1935 года вышел Приказ Управлению воздушных сил N 0108</w:t>
      </w:r>
    </w:p>
    <w:p w14:paraId="6B5195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исполнение приказа зам. наркома обороны Тухачевского от 31.07.35 г. за N 0137. Для обеспечения технического руководства при проведении войсковых испытаний самолетов И-15 и И-16. Алкснис (3120,4).</w:t>
      </w:r>
    </w:p>
    <w:p w14:paraId="33D24B95" w14:textId="77777777" w:rsidR="00D4105E" w:rsidRPr="00E14102" w:rsidRDefault="00D4105E" w:rsidP="00E14102">
      <w:pPr>
        <w:autoSpaceDE w:val="0"/>
        <w:autoSpaceDN w:val="0"/>
        <w:adjustRightInd w:val="0"/>
        <w:jc w:val="both"/>
        <w:rPr>
          <w:color w:val="000000" w:themeColor="text1"/>
          <w:sz w:val="16"/>
          <w:szCs w:val="16"/>
        </w:rPr>
      </w:pPr>
    </w:p>
    <w:p w14:paraId="25AA691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16 августа 1935 Зав. Секретариатом Г.Даргольц писал письмо № 1511/ко ГУГВФ - НАЧАЛЬНИКУ СПЕЦОТДЕЛА тов. АЛЕКСАНДРОВУ.</w:t>
      </w:r>
    </w:p>
    <w:p w14:paraId="158DBE7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указанию т. Базилевича сообщаю, что ГУАП (т. Королев) согласен обеспечить Ваши заявки по И-21 немедленно.</w:t>
      </w:r>
    </w:p>
    <w:p w14:paraId="79D1B14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Что-же касается т. Алксниса, то последний не считает, что вооружение является основной причи</w:t>
      </w:r>
      <w:r w:rsidRPr="00E14102">
        <w:rPr>
          <w:color w:val="000000" w:themeColor="text1"/>
          <w:sz w:val="16"/>
          <w:szCs w:val="16"/>
        </w:rPr>
        <w:softHyphen/>
        <w:t>ной задержки готовности самолета, т.к. оно будет монтироваться в последнюю очередь.</w:t>
      </w:r>
    </w:p>
    <w:p w14:paraId="7C8AD1E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ПРИЛОЖЕНИЕ: № 0119/66 - 4-х листах (3419,163).</w:t>
      </w:r>
    </w:p>
    <w:p w14:paraId="74A34DFA" w14:textId="77777777" w:rsidR="00D4105E" w:rsidRPr="00E14102" w:rsidRDefault="00D4105E" w:rsidP="00E14102">
      <w:pPr>
        <w:autoSpaceDE w:val="0"/>
        <w:autoSpaceDN w:val="0"/>
        <w:adjustRightInd w:val="0"/>
        <w:jc w:val="both"/>
        <w:rPr>
          <w:color w:val="000000" w:themeColor="text1"/>
          <w:sz w:val="16"/>
          <w:szCs w:val="16"/>
        </w:rPr>
      </w:pPr>
    </w:p>
    <w:p w14:paraId="37F35F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августа 1935 самолет Козлова ПС перегнали с Серпуховского аэродрома на аэродром части 1127 для испытаний и 22 августа 1935 были проведены испытания. Самолет летал на высотах 500, 1000, 1500, 2000 и 2500 м причем в паре с ним ходил У-2 для сравнения видимости и кроме того, производилось фотографирование этих самолетов с Р-5. Кратко результаты и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ПС невидим совершенно (ни одним из присутствующих), тогда как У-2 и Р-5 отчетливо видны (534;864).</w:t>
      </w:r>
    </w:p>
    <w:p w14:paraId="0EA50462" w14:textId="77777777" w:rsidR="00D4105E" w:rsidRPr="00E14102" w:rsidRDefault="00D4105E" w:rsidP="00E14102">
      <w:pPr>
        <w:autoSpaceDE w:val="0"/>
        <w:autoSpaceDN w:val="0"/>
        <w:adjustRightInd w:val="0"/>
        <w:jc w:val="both"/>
        <w:rPr>
          <w:color w:val="000000" w:themeColor="text1"/>
          <w:sz w:val="16"/>
          <w:szCs w:val="16"/>
        </w:rPr>
      </w:pPr>
    </w:p>
    <w:p w14:paraId="6BA5CF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августа 1935 самолет ПС (АИР-4) перегнали на аэродром части 1127 для испытаний и 22 августа были проведены испытания.</w:t>
      </w:r>
    </w:p>
    <w:p w14:paraId="531699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24F868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68D54A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599363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0662AD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Применение целлона оправдывает себя как средство уменьшения видимости (7656).</w:t>
      </w:r>
    </w:p>
    <w:p w14:paraId="129A50F8" w14:textId="77777777" w:rsidR="00D4105E" w:rsidRPr="00E14102" w:rsidRDefault="00D4105E" w:rsidP="00E14102">
      <w:pPr>
        <w:autoSpaceDE w:val="0"/>
        <w:autoSpaceDN w:val="0"/>
        <w:adjustRightInd w:val="0"/>
        <w:jc w:val="both"/>
        <w:rPr>
          <w:color w:val="000000" w:themeColor="text1"/>
          <w:sz w:val="16"/>
          <w:szCs w:val="16"/>
        </w:rPr>
      </w:pPr>
    </w:p>
    <w:p w14:paraId="452107B8"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16 августа 1935 ПС перегнали на аэродром НИИ ВВС, где 22 августа провели испытания, на которых присутствовали начальник ОИ НКО Русанов, его заместитель Н.П. Горшков, начальник 1-го отделения ОИ НКО т. Федоров, начальник штаба летной бригады НИИ ВВС И.В. Марков, начальник штаба в/ч 1695 Куприянов и С.Г. Козлов. Председателем комиссии был назначен командир летной бригады НИИ ВВС А.И. Залевский.</w:t>
      </w:r>
    </w:p>
    <w:p w14:paraId="1F31FE94"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Во время испытаний летчик Арсентьев на ПС летал на высотах от 500 до 2500 м, в паре с ним, для сравнения, ходил У-2 (в качестве летнаба в состав экипажа входил член комиссии Куприянов), а рядом – Р-5 (пилот Нагавкин и летнаб Мокрицин), с которого фотографировали эту парочку.</w:t>
      </w:r>
    </w:p>
    <w:p w14:paraId="5C003A59"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Полеты начались в 11:00 и продолжались 4 часа. За это время, пока самолеты ходили кругами радиусом 1-2 километра от центра аэродрома и проходили в зените над комиссией, ее члены, с земли и с воздуха, смогли проверить видимость ПС на различных фонах – от яркого голубого неба до темных облаков и фона земли. В качестве неподготовленных заранее наблюдателей, И.В. Марковым опрашивались техники, работавшие в это время на аэродроме.</w:t>
      </w:r>
    </w:p>
    <w:p w14:paraId="0FCB4638"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Результаты испытаний превзошли все ожидания. Дословно из акта комиссии:</w:t>
      </w:r>
    </w:p>
    <w:p w14:paraId="04519CAD"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«Видимость самолета на большей части ракурсов снижена очень сильно. На 2000- 2500 м самолет ПС на некоторых ракурсах не был виден совершенно ни членами комиссии, ни техниками работавшими на аэродроме, несмотря на то, что положение его было известно, так как и самолет У-2, шедший в паре с ним, и Р-5 были видны ясно. Впечатление таково, что ПС тает на глазах и затем при выходе на менее благоприятный ракурс, появляется снова, но виден все же довольно слабо».</w:t>
      </w:r>
    </w:p>
    <w:p w14:paraId="49F45384"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 воздуха заметность самолета была также незначительной: с расстояния 1,5-2 км его можно было заметить только по случайным бликам от солнца или при развороте и полете прямо на наблюдателя, когда сплошные фанерные лонжероны и нервюры перекрывали друг друга и был виден абрис крыла.</w:t>
      </w:r>
    </w:p>
    <w:p w14:paraId="3D34D169"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Тень от самолета, этот вечный враг маскировщиков, была видна очень слабо в виде небольшого бесформенного пятна, но и она совершенно исчезала при полете на высоте 1500-1700 м, тогда как тень от У-2 была ясно видна. При полете над темным лесом ПС был виден лучше, чем над другими фонами.</w:t>
      </w:r>
    </w:p>
    <w:p w14:paraId="2E52768C"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Когда ПС и У-2 пошли на посадку, то экипаж Р-5, находившийся выше их на 200-300 м, потерял ПС из вида и не мог найти его, хотя знал, что тот находится недалеко от У-2. Обнаружили ПС только, когда он уже сел и рулил но аэродрому.</w:t>
      </w:r>
    </w:p>
    <w:p w14:paraId="2C9AA4B0"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lastRenderedPageBreak/>
        <w:t>В выводах комиссии отмечалось, что применение прозрачного покрытия для уменьшения видимости самолета вполне оправдывает себя и высказывалась надежда, что специально сконструированный самолет даст эффект более сильный. При этом рекомендовалось обратить внимание на улучшение прозрачности и физико-механических свойств целлона.</w:t>
      </w:r>
    </w:p>
    <w:p w14:paraId="43ACC6E2"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Кроме того, в акте отмечались еще два преимущества прозрачного самолета, никак не связанных с маскировкой. Летчики, проводившие испытания, не были бы летчиками, если бы не отметили отличный обзор из кабины самолета. В свою очередь инженеры и техники не могли не заметить, что по удобству быстрого осмотра материальной части самолета ПС является «самым удобным из всех существующих».</w:t>
      </w:r>
    </w:p>
    <w:p w14:paraId="5656A8DD"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Обнадеженный результатами испытаний С.Г. Козлов возвращается к своему плану и предлагает Отделу изобретений НКО развернуть работы по второму пункту – уменьшению видимости силовой структуры самолета. Он предлагает начать проектирование и постройку специального скоростного одноместного фоторазведчика под мотор М-22, конструкция которого обеспечит наименьшую видимость силовых элементов. Самолет этот, конечно, должен быть обтянут улучшенным прозрачным покрытием. На эту работу Козлов просил 315 тысяч рублей и обещал закончить ее в 1937 г. Причем для экспериментов с различными вариантами силовых элементов предполагалось построить два планера с четырьмя сменными комплектами крыльев и хвостовых оперений.</w:t>
      </w:r>
    </w:p>
    <w:p w14:paraId="5598FB2E"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Однако в ОИ НКО придерживались другого мнения. Несмотря на то, что прозрачный самолет в течение месяца находился в обычных аэродромных условиях, оставались сомнения в эксплуатационных свойствах целлона. Кроме того, малая прочность этого материала не давала 100-процентной гарантии в возможности использования его для обшивки скоростных самолетов.</w:t>
      </w:r>
    </w:p>
    <w:p w14:paraId="68E8E5D5"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Заказчики не собирались возиться с таким сомнительным изобретением еще два года, тем более, что Козлов вместо отпущенных ему 18 тысяч рублей уже истратил на ПС все 45.</w:t>
      </w:r>
    </w:p>
    <w:p w14:paraId="49C5F937"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Сначала борьба шла между двумя вариантами: строить новый самолет или взять уже имеющуюся машину, истребитель или штурмовик, и изменить ее конструкцию для уменьшения видимости. Вероятно, С.Г. Козлову удалось доказать неосуществимость второго варианта, но тут появился третий – в начале ноября 1935 года работы по прозрачному самолету передали в Экспериментальный институт Гроховского, а Отдел изобретений оставался в наблюдателем за ходом работ (12703).</w:t>
      </w:r>
    </w:p>
    <w:p w14:paraId="4AF68ED8" w14:textId="77777777" w:rsidR="00164F4F" w:rsidRPr="00E14102" w:rsidRDefault="00164F4F" w:rsidP="00E14102">
      <w:pPr>
        <w:shd w:val="clear" w:color="auto" w:fill="FFFFFF"/>
        <w:jc w:val="both"/>
        <w:rPr>
          <w:color w:val="000000" w:themeColor="text1"/>
          <w:sz w:val="16"/>
          <w:szCs w:val="16"/>
        </w:rPr>
      </w:pPr>
    </w:p>
    <w:p w14:paraId="6FD2C277" w14:textId="77777777" w:rsidR="00977605" w:rsidRPr="00E14102" w:rsidRDefault="00977605" w:rsidP="00E14102">
      <w:pPr>
        <w:jc w:val="both"/>
        <w:rPr>
          <w:color w:val="000000" w:themeColor="text1"/>
          <w:sz w:val="16"/>
          <w:szCs w:val="16"/>
        </w:rPr>
      </w:pPr>
      <w:r w:rsidRPr="00E14102">
        <w:rPr>
          <w:color w:val="000000" w:themeColor="text1"/>
          <w:sz w:val="16"/>
          <w:szCs w:val="16"/>
        </w:rPr>
        <w:t>16 августа 1935 самолёт ПС перегнали на аэродром части 1127 для испытаний, и 22 августа были проведены испытания,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 т. Залевский, начальник штаба той же части т. Марков и др.</w:t>
      </w:r>
    </w:p>
    <w:p w14:paraId="037B52CF" w14:textId="77777777" w:rsidR="00977605" w:rsidRPr="00E14102" w:rsidRDefault="00977605" w:rsidP="00E14102">
      <w:pPr>
        <w:jc w:val="both"/>
        <w:rPr>
          <w:color w:val="000000" w:themeColor="text1"/>
          <w:sz w:val="16"/>
          <w:szCs w:val="16"/>
        </w:rPr>
      </w:pPr>
      <w:r w:rsidRPr="00E14102">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 летел наблюдателем начальник штаба части 1695 т. Куприянов для наблюдения видимости ПС с воздуха, такое же задание получил и экипаж самолёта Р-5.</w:t>
      </w:r>
    </w:p>
    <w:p w14:paraId="2D24812E" w14:textId="77777777" w:rsidR="00977605" w:rsidRPr="00E14102" w:rsidRDefault="00977605" w:rsidP="00E14102">
      <w:pPr>
        <w:jc w:val="both"/>
        <w:rPr>
          <w:color w:val="000000" w:themeColor="text1"/>
          <w:sz w:val="16"/>
          <w:szCs w:val="16"/>
        </w:rPr>
      </w:pPr>
      <w:r w:rsidRPr="00E14102">
        <w:rPr>
          <w:color w:val="000000" w:themeColor="text1"/>
          <w:sz w:val="16"/>
          <w:szCs w:val="16"/>
        </w:rPr>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самолёт ПС не виден совершенно (ни одним из присутствующих), тогда как У-2 и Р-5 отчетливо видны…</w:t>
      </w:r>
    </w:p>
    <w:p w14:paraId="6C7C7B1B" w14:textId="77777777" w:rsidR="00977605" w:rsidRPr="00E14102" w:rsidRDefault="00977605" w:rsidP="00E14102">
      <w:pPr>
        <w:jc w:val="both"/>
        <w:rPr>
          <w:color w:val="000000" w:themeColor="text1"/>
          <w:sz w:val="16"/>
          <w:szCs w:val="16"/>
        </w:rPr>
      </w:pPr>
      <w:r w:rsidRPr="00E14102">
        <w:rPr>
          <w:color w:val="000000" w:themeColor="text1"/>
          <w:sz w:val="16"/>
          <w:szCs w:val="16"/>
        </w:rPr>
        <w:t>Самолёт с 25 июля по 23 августа 1935 г. в общей сложности налетал 7 часов в самых разнообразных метеорологических условиях (дождь, туман, яркое солнце)…</w:t>
      </w:r>
    </w:p>
    <w:p w14:paraId="7E8B99E4" w14:textId="77777777" w:rsidR="00977605" w:rsidRPr="00E14102" w:rsidRDefault="00977605" w:rsidP="00E14102">
      <w:pPr>
        <w:jc w:val="both"/>
        <w:rPr>
          <w:color w:val="000000" w:themeColor="text1"/>
          <w:sz w:val="16"/>
          <w:szCs w:val="16"/>
        </w:rPr>
      </w:pPr>
      <w:r w:rsidRPr="00E14102">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4C9BAD00" w14:textId="77777777" w:rsidR="00977605" w:rsidRPr="00E14102" w:rsidRDefault="00977605" w:rsidP="00E14102">
      <w:pPr>
        <w:jc w:val="both"/>
        <w:rPr>
          <w:color w:val="000000" w:themeColor="text1"/>
          <w:sz w:val="16"/>
          <w:szCs w:val="16"/>
        </w:rPr>
      </w:pPr>
      <w:r w:rsidRPr="00E14102">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 е. вплоть до невидимости.</w:t>
      </w:r>
    </w:p>
    <w:p w14:paraId="0B48A581" w14:textId="77777777" w:rsidR="00977605" w:rsidRPr="00E14102" w:rsidRDefault="00977605" w:rsidP="00E14102">
      <w:pPr>
        <w:jc w:val="both"/>
        <w:rPr>
          <w:color w:val="000000" w:themeColor="text1"/>
          <w:sz w:val="16"/>
          <w:szCs w:val="16"/>
        </w:rPr>
      </w:pPr>
      <w:r w:rsidRPr="00E14102">
        <w:rPr>
          <w:color w:val="000000" w:themeColor="text1"/>
          <w:sz w:val="16"/>
          <w:szCs w:val="16"/>
        </w:rPr>
        <w:t xml:space="preserve">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 можно сильно улучшить обзор как лётчику, так и наблюдателю на существующих самолётах» </w:t>
      </w:r>
      <w:hyperlink r:id="rId175" w:history="1">
        <w:r w:rsidRPr="00E14102">
          <w:rPr>
            <w:color w:val="000000" w:themeColor="text1"/>
            <w:sz w:val="16"/>
            <w:szCs w:val="16"/>
          </w:rPr>
          <w:t>[158]</w:t>
        </w:r>
      </w:hyperlink>
      <w:r w:rsidRPr="00E14102">
        <w:rPr>
          <w:color w:val="000000" w:themeColor="text1"/>
          <w:sz w:val="16"/>
          <w:szCs w:val="16"/>
        </w:rPr>
        <w:t xml:space="preserve"> .</w:t>
      </w:r>
    </w:p>
    <w:p w14:paraId="7D020ACB" w14:textId="77777777" w:rsidR="00977605" w:rsidRPr="00E14102" w:rsidRDefault="00977605" w:rsidP="00E14102">
      <w:pPr>
        <w:jc w:val="both"/>
        <w:rPr>
          <w:color w:val="000000" w:themeColor="text1"/>
          <w:sz w:val="16"/>
          <w:szCs w:val="16"/>
        </w:rPr>
      </w:pPr>
      <w:r w:rsidRPr="00E14102">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52651225" w14:textId="77777777" w:rsidR="00977605" w:rsidRPr="00E14102" w:rsidRDefault="00977605" w:rsidP="00E14102">
      <w:pPr>
        <w:jc w:val="both"/>
        <w:rPr>
          <w:color w:val="000000" w:themeColor="text1"/>
          <w:sz w:val="16"/>
          <w:szCs w:val="16"/>
        </w:rPr>
      </w:pPr>
      <w:r w:rsidRPr="00E14102">
        <w:rPr>
          <w:color w:val="000000" w:themeColor="text1"/>
          <w:sz w:val="16"/>
          <w:szCs w:val="16"/>
        </w:rPr>
        <w:t xml:space="preserve">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 г. </w:t>
      </w:r>
      <w:hyperlink r:id="rId176" w:history="1">
        <w:r w:rsidRPr="00E14102">
          <w:rPr>
            <w:color w:val="000000" w:themeColor="text1"/>
            <w:sz w:val="16"/>
            <w:szCs w:val="16"/>
          </w:rPr>
          <w:t>[159]</w:t>
        </w:r>
      </w:hyperlink>
      <w:r w:rsidRPr="00E14102">
        <w:rPr>
          <w:color w:val="000000" w:themeColor="text1"/>
          <w:sz w:val="16"/>
          <w:szCs w:val="16"/>
        </w:rPr>
        <w:t xml:space="preserve"> </w:t>
      </w:r>
    </w:p>
    <w:p w14:paraId="0A75EDC9" w14:textId="77777777" w:rsidR="00977605" w:rsidRPr="00E14102" w:rsidRDefault="00977605" w:rsidP="00E14102">
      <w:pPr>
        <w:jc w:val="both"/>
        <w:rPr>
          <w:color w:val="000000" w:themeColor="text1"/>
          <w:sz w:val="16"/>
          <w:szCs w:val="16"/>
        </w:rPr>
      </w:pPr>
      <w:r w:rsidRPr="00E14102">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692FF16A" w14:textId="77777777" w:rsidR="00977605" w:rsidRPr="00E14102" w:rsidRDefault="00977605" w:rsidP="00E14102">
      <w:pPr>
        <w:jc w:val="both"/>
        <w:rPr>
          <w:color w:val="000000" w:themeColor="text1"/>
          <w:sz w:val="16"/>
          <w:szCs w:val="16"/>
        </w:rPr>
      </w:pPr>
      <w:r w:rsidRPr="00E14102">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6F4D4E97" w14:textId="77777777" w:rsidR="00977605" w:rsidRPr="00E14102" w:rsidRDefault="00977605" w:rsidP="00E14102">
      <w:pPr>
        <w:jc w:val="both"/>
        <w:rPr>
          <w:color w:val="000000" w:themeColor="text1"/>
          <w:sz w:val="16"/>
          <w:szCs w:val="16"/>
        </w:rPr>
      </w:pPr>
    </w:p>
    <w:p w14:paraId="03CCE3F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651CD19" w14:textId="77777777" w:rsidR="00D4105E" w:rsidRPr="00E14102" w:rsidRDefault="00D4105E" w:rsidP="00E14102">
      <w:pPr>
        <w:autoSpaceDE w:val="0"/>
        <w:autoSpaceDN w:val="0"/>
        <w:adjustRightInd w:val="0"/>
        <w:jc w:val="both"/>
        <w:rPr>
          <w:iCs/>
          <w:color w:val="000000" w:themeColor="text1"/>
          <w:sz w:val="16"/>
          <w:szCs w:val="16"/>
        </w:rPr>
      </w:pPr>
    </w:p>
    <w:p w14:paraId="6B36208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16 августа 1935 года на реке Нара, около Ташировской мельницы, проводилось контрольное испытание ПБ-4 с целью определения максимальной скорости движения на плаву. При этом средняя скорость при плавании около часа составила 2,8 км/ч. Как сообщалось в отчете, разница в ско</w:t>
      </w:r>
      <w:r w:rsidRPr="00E14102">
        <w:rPr>
          <w:color w:val="000000" w:themeColor="text1"/>
          <w:sz w:val="16"/>
          <w:szCs w:val="16"/>
        </w:rPr>
        <w:softHyphen/>
        <w:t>ростях получилась из-за «мелководного участка при испы</w:t>
      </w:r>
      <w:r w:rsidRPr="00E14102">
        <w:rPr>
          <w:color w:val="000000" w:themeColor="text1"/>
          <w:sz w:val="16"/>
          <w:szCs w:val="16"/>
        </w:rPr>
        <w:softHyphen/>
        <w:t>таниях в июне месяце». Кроме того, снижение скорости у ПБ-4 происходило главным образом из-за плохой управ</w:t>
      </w:r>
      <w:r w:rsidRPr="00E14102">
        <w:rPr>
          <w:color w:val="000000" w:themeColor="text1"/>
          <w:sz w:val="16"/>
          <w:szCs w:val="16"/>
        </w:rPr>
        <w:softHyphen/>
        <w:t>ляемости, так как машина плыла не по прямой линии, а зигзагами (11284).</w:t>
      </w:r>
    </w:p>
    <w:p w14:paraId="168AE33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93A83EC" w14:textId="77777777" w:rsidR="00B8121A" w:rsidRPr="00E14102" w:rsidRDefault="00B8121A" w:rsidP="00E14102">
      <w:pPr>
        <w:pStyle w:val="rtejustify"/>
        <w:spacing w:before="0" w:after="0"/>
        <w:rPr>
          <w:color w:val="000000" w:themeColor="text1"/>
          <w:sz w:val="16"/>
          <w:szCs w:val="16"/>
        </w:rPr>
      </w:pPr>
      <w:r w:rsidRPr="00E14102">
        <w:rPr>
          <w:rStyle w:val="a6"/>
          <w:bCs/>
          <w:i w:val="0"/>
          <w:color w:val="000000" w:themeColor="text1"/>
          <w:sz w:val="16"/>
          <w:szCs w:val="16"/>
        </w:rPr>
        <w:t>16 августа 1935 вышел приказ НКО №</w:t>
      </w:r>
      <w:r w:rsidRPr="00E14102">
        <w:rPr>
          <w:color w:val="000000" w:themeColor="text1"/>
          <w:sz w:val="16"/>
          <w:szCs w:val="16"/>
        </w:rPr>
        <w:t> 0061. О назначении комиссии для производства испытаний опытного образца командно-сигнального прибора управления пулеметным огнем системы Коржова («Омега») (15247).</w:t>
      </w:r>
    </w:p>
    <w:p w14:paraId="04E3ECA0" w14:textId="77777777" w:rsidR="00B8121A" w:rsidRPr="00E14102" w:rsidRDefault="00B8121A" w:rsidP="00E14102">
      <w:pPr>
        <w:pStyle w:val="rtejustify"/>
        <w:spacing w:before="0" w:after="0"/>
        <w:rPr>
          <w:color w:val="000000" w:themeColor="text1"/>
          <w:sz w:val="16"/>
          <w:szCs w:val="16"/>
        </w:rPr>
      </w:pPr>
    </w:p>
    <w:p w14:paraId="36F95B37" w14:textId="77777777" w:rsidR="00B8121A" w:rsidRPr="00E14102" w:rsidRDefault="00B8121A" w:rsidP="00E14102">
      <w:pPr>
        <w:pStyle w:val="rtejustify"/>
        <w:spacing w:before="0" w:after="0"/>
        <w:rPr>
          <w:color w:val="000000" w:themeColor="text1"/>
          <w:sz w:val="16"/>
          <w:szCs w:val="16"/>
        </w:rPr>
      </w:pPr>
      <w:r w:rsidRPr="00E14102">
        <w:rPr>
          <w:rStyle w:val="a6"/>
          <w:bCs/>
          <w:i w:val="0"/>
          <w:color w:val="000000" w:themeColor="text1"/>
          <w:sz w:val="16"/>
          <w:szCs w:val="16"/>
        </w:rPr>
        <w:t>16 августа 1935 вышел приказ НКТП № 146сс.</w:t>
      </w:r>
      <w:r w:rsidRPr="00E14102">
        <w:rPr>
          <w:color w:val="000000" w:themeColor="text1"/>
          <w:sz w:val="16"/>
          <w:szCs w:val="16"/>
        </w:rPr>
        <w:t xml:space="preserve"> О реконструкции мартеновских печей на Ижорском и Мариупольском заводах. (РГАЭ. Ф. 7297. Оп. 38. Д. 171. Л. 209) (15246).</w:t>
      </w:r>
    </w:p>
    <w:p w14:paraId="172D2373" w14:textId="77777777" w:rsidR="00B8121A" w:rsidRPr="00E14102" w:rsidRDefault="00B8121A" w:rsidP="00E14102">
      <w:pPr>
        <w:pStyle w:val="rtejustify"/>
        <w:spacing w:before="0" w:after="0"/>
        <w:rPr>
          <w:color w:val="000000" w:themeColor="text1"/>
          <w:sz w:val="16"/>
          <w:szCs w:val="16"/>
        </w:rPr>
      </w:pPr>
    </w:p>
    <w:p w14:paraId="39B5BDC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C3E74AE" w14:textId="77777777" w:rsidR="00D4105E" w:rsidRPr="00E14102" w:rsidRDefault="00D4105E" w:rsidP="00E14102">
      <w:pPr>
        <w:autoSpaceDE w:val="0"/>
        <w:autoSpaceDN w:val="0"/>
        <w:adjustRightInd w:val="0"/>
        <w:jc w:val="both"/>
        <w:rPr>
          <w:iCs/>
          <w:color w:val="000000" w:themeColor="text1"/>
          <w:sz w:val="16"/>
          <w:szCs w:val="16"/>
        </w:rPr>
      </w:pPr>
    </w:p>
    <w:p w14:paraId="530EF49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августа 1935 в авиакатастрофе над Аляской погиб самый популярный юморист Америки Вил Роджерс (4962).</w:t>
      </w:r>
    </w:p>
    <w:p w14:paraId="7FC9A28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56D5AA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F3AABE0" w14:textId="77777777" w:rsidR="00D4105E" w:rsidRPr="00E14102" w:rsidRDefault="00D4105E" w:rsidP="00E14102">
      <w:pPr>
        <w:autoSpaceDE w:val="0"/>
        <w:autoSpaceDN w:val="0"/>
        <w:adjustRightInd w:val="0"/>
        <w:jc w:val="both"/>
        <w:rPr>
          <w:iCs/>
          <w:color w:val="000000" w:themeColor="text1"/>
          <w:sz w:val="16"/>
          <w:szCs w:val="16"/>
        </w:rPr>
      </w:pPr>
    </w:p>
    <w:p w14:paraId="08E0A50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17 августа по 26 октября 1935 года проходили гос. испытания самолета ТБ-3 4М34-РН, эталона 1935 года (6679).</w:t>
      </w:r>
    </w:p>
    <w:p w14:paraId="2D28436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7CAFA1C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Белозеров И.П.</w:t>
      </w:r>
    </w:p>
    <w:p w14:paraId="78DE792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09DAC4F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эталона самолета ТБ-3 4М 34РН с целью выявления летных, эксплуатационных и весовых характеристик.</w:t>
      </w:r>
    </w:p>
    <w:p w14:paraId="28C395BF"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Сравнение полученных на эталоне данных с данными предыдущих испытаний других тяжелых самолетов.</w:t>
      </w:r>
    </w:p>
    <w:p w14:paraId="72547B9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стрелкового и бомбардировочного вооружения и спецоборудования.</w:t>
      </w:r>
    </w:p>
    <w:p w14:paraId="2E15C9A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испытывался на земле и в воздухе 22 дня, налетал 97 часов.</w:t>
      </w:r>
    </w:p>
    <w:p w14:paraId="14E5493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B364BA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ТБ-3 4М 34РН в предъявленном на гос. испытания виде, по своему состоянию, по состоянию винтомоторной группы, вооружения и кислородного оборудования, не может быть допущен в качестве эталона для постройки серийных самолетов без устранения выявленных в процессе испытаний основных дефектов (6679).</w:t>
      </w:r>
    </w:p>
    <w:p w14:paraId="2D01E20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3C48C0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17 августа 1935 начались гос. испытания ТБ-3 (АНТ-6) 22 завода (N 22570) с М-34РН и продолжались до 26 октября 1935 (346,27). По другим сведениям это была машина N 22202 и испытания проходили до 21 октября 1935. Это был эталон ТБ-3 (АНТ-6) М-34РН на 1935 (1017,169).</w:t>
      </w:r>
    </w:p>
    <w:p w14:paraId="4E01101B" w14:textId="77777777" w:rsidR="00D4105E" w:rsidRPr="00E14102" w:rsidRDefault="00D4105E" w:rsidP="00E14102">
      <w:pPr>
        <w:autoSpaceDE w:val="0"/>
        <w:autoSpaceDN w:val="0"/>
        <w:adjustRightInd w:val="0"/>
        <w:jc w:val="both"/>
        <w:rPr>
          <w:color w:val="000000" w:themeColor="text1"/>
          <w:sz w:val="16"/>
          <w:szCs w:val="16"/>
        </w:rPr>
      </w:pPr>
    </w:p>
    <w:p w14:paraId="19D3B7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17 августа по 26 октября 1935 в НИИ ВВС проходили гос. испытаниях ТБ-3 4М-34РН эталона 1935. Отв. исполнители: и-л И.П.Белозеров. Цель испытаний:</w:t>
      </w:r>
    </w:p>
    <w:p w14:paraId="6A344F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выявление летных, эксплуатационных и весовых характеристик</w:t>
      </w:r>
    </w:p>
    <w:p w14:paraId="73E411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сравнение полученных на эталоне характеристик с данными предыдущих испытаний других тяжелых самолетов</w:t>
      </w:r>
    </w:p>
    <w:p w14:paraId="0F7F4C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испытание стрелкового и бомбардировочного вооружения и спецоборудования (2934).</w:t>
      </w:r>
    </w:p>
    <w:p w14:paraId="21B66D86" w14:textId="77777777" w:rsidR="00D4105E" w:rsidRPr="00E14102" w:rsidRDefault="00D4105E" w:rsidP="00E14102">
      <w:pPr>
        <w:autoSpaceDE w:val="0"/>
        <w:autoSpaceDN w:val="0"/>
        <w:adjustRightInd w:val="0"/>
        <w:jc w:val="both"/>
        <w:rPr>
          <w:color w:val="000000" w:themeColor="text1"/>
          <w:sz w:val="16"/>
          <w:szCs w:val="16"/>
        </w:rPr>
      </w:pPr>
    </w:p>
    <w:p w14:paraId="6E9470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августа 1935 Зам. Нач. ЭКО ГУГБ НКВД СССР Дмитриев подготовил:</w:t>
      </w:r>
    </w:p>
    <w:p w14:paraId="4FA1D33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С п е ц с о о б щ е н и е.</w:t>
      </w:r>
    </w:p>
    <w:p w14:paraId="0E3081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территории завода № 1 им."Авиахима" под откры небом в течение свыше 1/2 месяца находится 90 самолетов "триэс" (улучшенный штурмовик), из которых 75 шт. уже облетаны.</w:t>
      </w:r>
    </w:p>
    <w:p w14:paraId="75E03A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 августа с.г. на 52 самолетах в нижних лонжеронах фюзеляжа обнаружены трещины, появившиеся вследствие недоброкачественности лесоматериалов, плохой склейки лонжеронов, скверного качества клея и лака.</w:t>
      </w:r>
    </w:p>
    <w:p w14:paraId="361E3B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Самолеты имеют конструктивные недочеты, угрожающие самолетам аварией в воздухе.</w:t>
      </w:r>
    </w:p>
    <w:p w14:paraId="40DA1F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Узел верхней плоскости, неправильно рассчитанный конструкторами бригады МАРКОВА имеет недостаточную проч</w:t>
      </w:r>
      <w:r w:rsidRPr="00E14102">
        <w:rPr>
          <w:color w:val="000000" w:themeColor="text1"/>
          <w:sz w:val="16"/>
          <w:szCs w:val="16"/>
        </w:rPr>
        <w:softHyphen/>
        <w:t>ность, питание пулеметов имеет дефекты, отсутствуют кассетницы.</w:t>
      </w:r>
    </w:p>
    <w:p w14:paraId="0AF79B7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мнению специалистов ремонт 52 самолетов, имеющих трещины в лонжеронах фюзеляжа, является весьма сложным, продлится несколько месяцев и вызовет брак большого количества деталей.</w:t>
      </w:r>
    </w:p>
    <w:p w14:paraId="5812F00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Ведется расследование (3419,106).</w:t>
      </w:r>
    </w:p>
    <w:p w14:paraId="698F1C4D" w14:textId="77777777" w:rsidR="00D4105E" w:rsidRPr="00E14102" w:rsidRDefault="00D4105E" w:rsidP="00E14102">
      <w:pPr>
        <w:autoSpaceDE w:val="0"/>
        <w:autoSpaceDN w:val="0"/>
        <w:adjustRightInd w:val="0"/>
        <w:jc w:val="both"/>
        <w:rPr>
          <w:color w:val="000000" w:themeColor="text1"/>
          <w:sz w:val="16"/>
          <w:szCs w:val="16"/>
        </w:rPr>
      </w:pPr>
    </w:p>
    <w:p w14:paraId="323D95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августа 1935 директор завода № 22 Миткевич, получив от военного представителя ряд материалов о случаях скрытого брака, подчас граничащего с вредительством, лишь 15 сентября написал начальнику контрольного отдела: "Коломенский, надо все факты крепко проверить", а последний, учитывая подобное отношение директора, поручает одной из сотрудниц вызвать указанных в перечне товарищей и попросить их написать объяснение (3475,13).</w:t>
      </w:r>
    </w:p>
    <w:p w14:paraId="7F8C272E" w14:textId="77777777" w:rsidR="00D4105E" w:rsidRPr="00E14102" w:rsidRDefault="00D4105E" w:rsidP="00E14102">
      <w:pPr>
        <w:autoSpaceDE w:val="0"/>
        <w:autoSpaceDN w:val="0"/>
        <w:adjustRightInd w:val="0"/>
        <w:jc w:val="both"/>
        <w:rPr>
          <w:color w:val="000000" w:themeColor="text1"/>
          <w:sz w:val="16"/>
          <w:szCs w:val="16"/>
        </w:rPr>
      </w:pPr>
    </w:p>
    <w:p w14:paraId="3EC7FB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17 по 21 августа 1935 на 22 заводе проходили испытания водо-масляных радиаторов на ТБ-3 4М-34РН N 22566. Отв. исполнители: нач. ЛЭС Фролов и ви ЛЭС Баклунов. Цель испытаний: выявить целесообразность применения водо-масляных радиаторов (типа РД-3) при эксплуатации на М-34РН (2939).</w:t>
      </w:r>
    </w:p>
    <w:p w14:paraId="190978EF" w14:textId="77777777" w:rsidR="00D4105E" w:rsidRPr="00E14102" w:rsidRDefault="00D4105E" w:rsidP="00E14102">
      <w:pPr>
        <w:autoSpaceDE w:val="0"/>
        <w:autoSpaceDN w:val="0"/>
        <w:adjustRightInd w:val="0"/>
        <w:jc w:val="both"/>
        <w:rPr>
          <w:color w:val="000000" w:themeColor="text1"/>
          <w:sz w:val="16"/>
          <w:szCs w:val="16"/>
        </w:rPr>
      </w:pPr>
    </w:p>
    <w:p w14:paraId="1B712B3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17 августа 1935 г. был выполнен первый в стране полет на планере Г-9, поднятом в воздух с помощью аэростата ВР-29 (6395).</w:t>
      </w:r>
    </w:p>
    <w:p w14:paraId="5F938DE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AB7EE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августа 1935 состоялся первый полет на планере (Г-9), поднятом аэростатом (ВР-29) объемом 2200 м (237,175). Старт в Долгопрудном. Подняли В.Г.Бородина на 3800 м и там отцепили. Сел в Тушино (438,694).</w:t>
      </w:r>
    </w:p>
    <w:p w14:paraId="3D484974" w14:textId="77777777" w:rsidR="00D4105E" w:rsidRPr="00E14102" w:rsidRDefault="00D4105E" w:rsidP="00E14102">
      <w:pPr>
        <w:autoSpaceDE w:val="0"/>
        <w:autoSpaceDN w:val="0"/>
        <w:adjustRightInd w:val="0"/>
        <w:jc w:val="both"/>
        <w:rPr>
          <w:color w:val="000000" w:themeColor="text1"/>
          <w:sz w:val="16"/>
          <w:szCs w:val="16"/>
        </w:rPr>
      </w:pPr>
    </w:p>
    <w:p w14:paraId="1936CEFE" w14:textId="77777777" w:rsidR="00CC30E3" w:rsidRPr="00E14102" w:rsidRDefault="00CC30E3" w:rsidP="00E14102">
      <w:pPr>
        <w:jc w:val="both"/>
        <w:rPr>
          <w:color w:val="000000" w:themeColor="text1"/>
          <w:sz w:val="16"/>
          <w:szCs w:val="16"/>
        </w:rPr>
      </w:pPr>
      <w:r w:rsidRPr="00E14102">
        <w:rPr>
          <w:color w:val="000000" w:themeColor="text1"/>
          <w:sz w:val="16"/>
          <w:szCs w:val="16"/>
        </w:rPr>
        <w:t>17 августа 1935 года состоялось испытание модели стратопланера, представлявшего собой планер Г-9, поднимаемый субстратостатом «СССР ВР-29» объемом 2200 м3. Субстратостатом управляли известные аэронавты А.А.Фомин и П.П.Полосухин, в кабине планера, подвешенного на расстоянии 3 м под гондолой аэростата находился опытный планерист Бородин. В 04:55 субстратостат оторвался от земли и начал подниматься со скоростью 3,5 м/с. На высоте 3800 м было принято решение произвести спуск планера. Аэронавты сняли веревки, которыми расчаливались крылья планера и крепился нос его фюзеляжа. Планер, накренившись носом вниз, висел теперь на одном тросе. Бородин дернул трос замка отцепного устройства, сконструированного Т.М.Кулинченко, планер стал резко пикировать, но вскоре выровнялся и взял курс на Тушинский аэродром. Планер благополучно приземлился на аэродроме, причем он подошел к нему на высоте двух километров, т.е. мог лететь значительно дальше. Освобожденный от веса планера аэростат поднялся до высоты 5500 м, где остановился, после чего аэронавты также благополучно спустились (19614).</w:t>
      </w:r>
    </w:p>
    <w:p w14:paraId="66AFB6AB" w14:textId="77777777" w:rsidR="00CC30E3" w:rsidRPr="00E14102" w:rsidRDefault="00CC30E3"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23 августа 1935 года последовало постановление СНК № 1872 «О полетах в стратосферу», которое утвердил Председатель Совета В.М.Молотов. Смысл постановления был прост и понятен: запретить все полеты в стратосферу без особого разрешения ЦК и СНК. Чуть более чем через две недели, 10 сентября 1935 года, нарком обороны К.Е.Ворошилов на докладе Я.И.Алксниса о готовности стратостата «СССР-3» к полету начертал:</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«Полет запретить. Если кто хочет летать, пусть сначала как следует подготовится, а потом уже «горит желанием получить орден».</w:t>
      </w:r>
    </w:p>
    <w:p w14:paraId="7DFFBA80" w14:textId="77777777" w:rsidR="00CC30E3" w:rsidRPr="00E14102" w:rsidRDefault="00CC30E3"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Отмена рекордного полета в 1935 году на самом деле не означала, что опыты с подъемом на высоту на аппаратах легче воздуха закончились. Жизнь, служба и полеты воздухоплавателей продолжались. 2 октября 1935 года Прокофьев и Семенов совершили полет на сферическом аэростате с открытой гондолой на высоту 9300 метров и приземлились в 80 км от Москвы у деревни Софьино. Это был опытный полет с новым кислородным оборудованием. Кроме того, посадку удалось осуществить с полностью заполненной, почти шарообразной оболочкой. При снижении пилоты впускали в оболочку воздух и смешивали его с газом. В соответствии с заранее разработанным планом часть полета проходила ночью, так как в 1936 году планировалось запустить аэростат для исследования солнечного затмения.</w:t>
      </w:r>
    </w:p>
    <w:p w14:paraId="56A2AE6B" w14:textId="77777777" w:rsidR="00CC30E3" w:rsidRPr="00E14102" w:rsidRDefault="00CC30E3"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Вся указанная деятельность и подготовка стратостатов происходили при Опытно-испытательном воздухоплавательном дивизионе, базирующемся в Кунцево. Это подразделение развилось из 2-го дивизиона аэростатов наблюдения, сформированного в 1926 году. Затем здесь стали экспериментировать с аэростатами заграждения, в 1935 году образовали стратосферное отделение. Командиром дивизиона являлся полковник Прокофьев, в его подчинении находились 20 инженеров, 70 человек командного и технического состава, 217 красноармейцев. Нужно отметить, что деятельность дивизиона происходила в непростых условиях, к личности Прокофьева в руководстве ВВС с определенного момента наметилось негативное отношение. В такой области как воздухоплавание, где далеко не все зависит от человеческих возможностей, весьма сложно было обойтись без летных происшествий. Именно такой случай произошел на учебных подъемах дивизиона в Звенигороде 20 июня 1936 года. В результате сильной грозы и последующего попадания молнии 9 аэростатов сгорело, еще 8 унесло шквалистым ветром. После этого дивизион обследовала специальная комиссия, которая припомнила многие другие происшествия и недостатки, в том числе и случай со сгоревшей оболочкой «СССР-2». В 1937 году обстановка еще более обострилась, участились проверки, арестовали директора завода № 39 Марголина, а Прокофьева 11 августа 1937 года личным приказом Я.И.Алксниса сняли с командования дивизионом. Однако он по-прежнему оставался командиром экипажа, определенного для осуществления рекордного полета.</w:t>
      </w:r>
    </w:p>
    <w:p w14:paraId="3A0A2AB2" w14:textId="77777777" w:rsidR="00CC30E3" w:rsidRPr="00E14102" w:rsidRDefault="00CC30E3"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Начиная с середины 1935 года для обеспечения безопасного старта «СССР-3» высказывалось много предложений, основной смысл которых сводился к уменьшению высоты стратостата в момент наполнения оболочки. После длительных обсуждений остановились на варианте, в котором на оболочку надевалась особая укорачивающая сетка — корсет, придающая всей системе большую неподвижность. Снималось приспособление выдергиванием специальной стропы, в ходе многократных испытаний его работоспособность вполне подтвердилась. Летом 1937 года «СССР-3» твердо решили запустить. Неоднократно проверяли оболочку и герметичность гондолы, заменили электропроводку, часть приборов. На авиазаводе № 84 изготовили новое приспособление с сеткой, уменьшающей высоту субстратостата на старте до 40-50 м. Герметическую гондолу экипажа для обеспечения аварийного спуска оснастили наружным парашютом.</w:t>
      </w:r>
    </w:p>
    <w:p w14:paraId="3314B0C0" w14:textId="77777777" w:rsidR="00CC30E3" w:rsidRPr="00E14102" w:rsidRDefault="00CC30E3"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14 мая 1937 года Прокофьев доложил Начальнику ВВС Алкснису о готовности «СССР-3» к старту. Подготовка на этот раз велась весьма обстоятельно. В специальном постановлении ЦК ВКП (б) в отношении предстоящего запуска стратостата особо указывалось, что всякое освещение предстоящего события впредь до специального разрешения категорически запрещено. Старт должен был состояться за 30 минут до восхода солнца, стартовую команду определили в 326 человек, для связи с экипажем на длинных и коротких волнах изыскали 39 радиоточек, мобилизовали в том числе и радиолюбителей.</w:t>
      </w:r>
    </w:p>
    <w:p w14:paraId="3BCD9788" w14:textId="77777777" w:rsidR="00CC30E3" w:rsidRPr="00E14102" w:rsidRDefault="00CC30E3"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ночь на 3 сентября 1937 года состоялась очередная попытка старта. Однако при соблюдении мер особой осторожности заполнение газом затянулось, поэтому вместо намеченных 04:00 часов готовность наступила лишь только в 5 часов утра. К этому времени ветер усилился до 4-5 м/сек, поэтому дальнейшие приготовления пришлось отменить: газ выпустили, оболочку снизили.</w:t>
      </w:r>
    </w:p>
    <w:p w14:paraId="593B17D1" w14:textId="77777777" w:rsidR="00CC30E3" w:rsidRPr="00E14102" w:rsidRDefault="00CC30E3"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Утром 18 сентября 1937 года, в 7 часов 50 минут, на летном поле воздухоплавательного дивизиона в Кунцево в присутствии начальника ВВС Алксниса «СССР-3» вновь наполнили водородом. По причине повышенной влажности к гондоле подвесили увеличенный балласт — стартовый вес стратостата составил 5534 кг вместо 4894 кг.</w:t>
      </w:r>
    </w:p>
    <w:p w14:paraId="4B0D9DD8" w14:textId="77777777" w:rsidR="00CC30E3" w:rsidRPr="00E14102" w:rsidRDefault="00CC30E3"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самый момент старта система полного раскрытия оболочки не сработала, стягивающая сетка — корсет заела. Как выяснилось, из разбухшей от влаги заплетенной косы не вышла стропа разрывного полотнища. Послали наверх на шаре — прыгуне красноармейца, который поднялся и разрезал злополучную стропу. После этого одновременно с отрывом от земли началось полное раскрытие стратостата. Очевидно, в указанный промежуток времени произошло самопроизвольное вскрытие разрывного полотнища оболочки, никем не замеченное.</w:t>
      </w:r>
    </w:p>
    <w:p w14:paraId="646D370A" w14:textId="77777777" w:rsidR="00CC30E3" w:rsidRPr="00E14102" w:rsidRDefault="00CC30E3"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На высоте 700-800 м, когда стратостат полностью раскрылся, наблюдатели с земли отметили начало его снижения, сначала медленного, затем все более ускоряющегося. Через 15 минут после старта «СССР-3» с вертикальной скоростью 7-8 м/сек (по другим данным, 10-12 м/сек) приземлился в четырех километрах от места старта на стадионе авиазавода № 22 в районе Филей. В момент аварийного приземления экипаж получил ранения, поэтому всех троих стратонавтов доставили в Кремлевскую больницу.</w:t>
      </w:r>
    </w:p>
    <w:p w14:paraId="4CE57717" w14:textId="77777777" w:rsidR="00CC30E3" w:rsidRPr="00E14102" w:rsidRDefault="00CC30E3" w:rsidP="00E14102">
      <w:pPr>
        <w:jc w:val="both"/>
        <w:rPr>
          <w:color w:val="000000" w:themeColor="text1"/>
          <w:sz w:val="16"/>
          <w:szCs w:val="16"/>
        </w:rPr>
      </w:pPr>
      <w:r w:rsidRPr="00E14102">
        <w:rPr>
          <w:color w:val="000000" w:themeColor="text1"/>
          <w:sz w:val="16"/>
          <w:szCs w:val="16"/>
          <w:shd w:val="clear" w:color="auto" w:fill="FFFFFF"/>
        </w:rPr>
        <w:t>Комиссия, расследовавшая аварию «СССР-3», определила: </w:t>
      </w:r>
      <w:r w:rsidRPr="00E14102">
        <w:rPr>
          <w:rStyle w:val="a6"/>
          <w:i w:val="0"/>
          <w:color w:val="000000" w:themeColor="text1"/>
          <w:sz w:val="16"/>
          <w:szCs w:val="16"/>
          <w:shd w:val="clear" w:color="auto" w:fill="FFFFFF"/>
        </w:rPr>
        <w:t>«…причиной аварии является самопроизвольное вскрытие разрывного полотнища. Предполагается, что расцепление косы (разрывной вожжи) вследствие ее намокания во время старта (стопроцентная влажность воздуха) происходило с трением, по величине равным усилию, требуемому для вскрытия разрывного полотнища.» (19614).</w:t>
      </w:r>
    </w:p>
    <w:p w14:paraId="1A167BE2" w14:textId="77777777" w:rsidR="00CC30E3" w:rsidRPr="00E14102" w:rsidRDefault="00CC30E3" w:rsidP="00E14102">
      <w:pPr>
        <w:jc w:val="both"/>
        <w:rPr>
          <w:color w:val="000000" w:themeColor="text1"/>
          <w:sz w:val="16"/>
          <w:szCs w:val="16"/>
        </w:rPr>
      </w:pPr>
    </w:p>
    <w:p w14:paraId="3ECAE976" w14:textId="77777777" w:rsidR="00B236D8" w:rsidRPr="00E14102" w:rsidRDefault="00B236D8" w:rsidP="00E14102">
      <w:pPr>
        <w:jc w:val="both"/>
        <w:rPr>
          <w:color w:val="0070C0"/>
          <w:sz w:val="16"/>
          <w:szCs w:val="16"/>
        </w:rPr>
      </w:pPr>
      <w:r w:rsidRPr="00E14102">
        <w:rPr>
          <w:color w:val="0070C0"/>
          <w:sz w:val="16"/>
          <w:szCs w:val="16"/>
        </w:rPr>
        <w:t>17 августа 1935 состоялось ис</w:t>
      </w:r>
      <w:r w:rsidRPr="00E14102">
        <w:rPr>
          <w:color w:val="0070C0"/>
          <w:sz w:val="16"/>
          <w:szCs w:val="16"/>
        </w:rPr>
        <w:softHyphen/>
        <w:t>пытание модели стратопланера Воздухопла</w:t>
      </w:r>
      <w:r w:rsidRPr="00E14102">
        <w:rPr>
          <w:color w:val="0070C0"/>
          <w:sz w:val="16"/>
          <w:szCs w:val="16"/>
        </w:rPr>
        <w:softHyphen/>
        <w:t>вательной группы ГВФ, представлявшей собой планер Г-9, поднимаемый субстратостатом «СССР ВР-29», которым управляли А.А. Фомин и П.П. Полосухин. В кабине планера, подвешен</w:t>
      </w:r>
      <w:r w:rsidRPr="00E14102">
        <w:rPr>
          <w:color w:val="0070C0"/>
          <w:sz w:val="16"/>
          <w:szCs w:val="16"/>
        </w:rPr>
        <w:softHyphen/>
        <w:t>ного в 3 м под гондолой субстратостата, находил</w:t>
      </w:r>
      <w:r w:rsidRPr="00E14102">
        <w:rPr>
          <w:color w:val="0070C0"/>
          <w:sz w:val="16"/>
          <w:szCs w:val="16"/>
        </w:rPr>
        <w:softHyphen/>
        <w:t>ся опытный планерист В.Г. Бородин. На высоте 3800 м аэронавты сняли верёвки, которыми рас</w:t>
      </w:r>
      <w:r w:rsidRPr="00E14102">
        <w:rPr>
          <w:color w:val="0070C0"/>
          <w:sz w:val="16"/>
          <w:szCs w:val="16"/>
        </w:rPr>
        <w:softHyphen/>
        <w:t>чаливались крылья планера и крепился нос его фюзеляжа. Планер, накренившись носом вниз, повис на одном тросе. В.Г. Бородин открыл за</w:t>
      </w:r>
      <w:r w:rsidRPr="00E14102">
        <w:rPr>
          <w:color w:val="0070C0"/>
          <w:sz w:val="16"/>
          <w:szCs w:val="16"/>
        </w:rPr>
        <w:softHyphen/>
        <w:t>мок отцепного устройства конструкции Т.М. Кулинченко, и планер перешёл в пике, но вскоре выровнялся и взял курс на Тушинский аэродром. Он благополучно приземлился на аэродроме, к которому подошёл на высоте 2 км, то есть мог лететь значительно дальше. Аэростат же поднял</w:t>
      </w:r>
      <w:r w:rsidRPr="00E14102">
        <w:rPr>
          <w:color w:val="0070C0"/>
          <w:sz w:val="16"/>
          <w:szCs w:val="16"/>
        </w:rPr>
        <w:softHyphen/>
        <w:t>ся до высоты 5500 м, после чего аэронавты благо</w:t>
      </w:r>
      <w:r w:rsidRPr="00E14102">
        <w:rPr>
          <w:color w:val="0070C0"/>
          <w:sz w:val="16"/>
          <w:szCs w:val="16"/>
        </w:rPr>
        <w:softHyphen/>
        <w:t>получно спустились62.</w:t>
      </w:r>
    </w:p>
    <w:p w14:paraId="096B3248" w14:textId="77777777" w:rsidR="00B236D8" w:rsidRPr="00E14102" w:rsidRDefault="00B236D8" w:rsidP="00E14102">
      <w:pPr>
        <w:jc w:val="both"/>
        <w:rPr>
          <w:color w:val="0070C0"/>
          <w:sz w:val="16"/>
          <w:szCs w:val="16"/>
        </w:rPr>
      </w:pPr>
      <w:r w:rsidRPr="00E14102">
        <w:rPr>
          <w:color w:val="0070C0"/>
          <w:sz w:val="16"/>
          <w:szCs w:val="16"/>
        </w:rPr>
        <w:lastRenderedPageBreak/>
        <w:t>4 июня 1938 г. А.А. Фомин вновь испы</w:t>
      </w:r>
      <w:r w:rsidRPr="00E14102">
        <w:rPr>
          <w:color w:val="0070C0"/>
          <w:sz w:val="16"/>
          <w:szCs w:val="16"/>
        </w:rPr>
        <w:softHyphen/>
        <w:t>тал модель стратопланера вместе с А.Ф. Крику</w:t>
      </w:r>
      <w:r w:rsidRPr="00E14102">
        <w:rPr>
          <w:color w:val="0070C0"/>
          <w:sz w:val="16"/>
          <w:szCs w:val="16"/>
        </w:rPr>
        <w:softHyphen/>
        <w:t>ном и Г.И. Голышевым. На высоте 5000 м ма</w:t>
      </w:r>
      <w:r w:rsidRPr="00E14102">
        <w:rPr>
          <w:color w:val="0070C0"/>
          <w:sz w:val="16"/>
          <w:szCs w:val="16"/>
        </w:rPr>
        <w:softHyphen/>
        <w:t>стер планерного спорта В.М. Ильченко отцепил планер от субстратостата «СССР ВР-61» и после полёта, продолжавшегося 1 ч 7 мин, вернулся на место вылета63. Облегчённый аэростат достиг высоты 6800 м (20120).</w:t>
      </w:r>
    </w:p>
    <w:p w14:paraId="7074A289" w14:textId="77777777" w:rsidR="00B236D8" w:rsidRPr="00E14102" w:rsidRDefault="00B236D8" w:rsidP="00E14102">
      <w:pPr>
        <w:jc w:val="both"/>
        <w:rPr>
          <w:color w:val="0070C0"/>
          <w:sz w:val="16"/>
          <w:szCs w:val="16"/>
        </w:rPr>
      </w:pPr>
    </w:p>
    <w:p w14:paraId="6B9B4E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августа 1935 в клубе механического завода имени Димитрова на улице Свердлова (потом в послевоенные годы в этом здании будет долгое время располагаться городской дом пионеров и школьников) состоялось торжественное заседание, посвященное первому выпуску молодых летчиков — рабочих, обученных аэроклубом без отрыва от - производства. Среди них А. Черкас. Он на заводе с 1929 года. Еще тогда хотел поступить в летную школу, но не прошел по конкурсу. А сейчас он — контролер ОТК, знающий и грамотный специалист, получил свидетельство пилота. Иван Васильев еще совсем молод. Ему исполнилось только 19 лет. Недавний фабзаучник, он уже зарекомендовал себя хорошим производственником, работал сборщиком. Сначала Иван поступил в планерную школу, овладел искусством планеризма, за что был досрочно переведен в летную школу клуба. Выполняя первые свои полеты на самолете с инструктором, он достиг больших успехов и вскоре получил «добро» на самостоятельный вылет. Ко Дню авиации Ваня Васильев совершил 80 самостоятельных полетов. Была у него мечта - стать — военным летчиком.</w:t>
      </w:r>
    </w:p>
    <w:p w14:paraId="401A27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Столяр Савелий Шаповалов тоже сначала закончил планерную школу, а затем летную. Свой первый самостоятельный полет совершил 9 июля. Получили звание пилота Егор Снимщиков, Тимофей Лапигнн. Всего в августе были подготовлены в заводском аэроклубе 16 мотористов и 40 планеристов, 12 парашютистов. Одновременно был объявлен набор в заводской аэроклуб ударников производства. С августа начали занятия 34 планериста, 45 парашютистов, 42 летчика. </w:t>
      </w:r>
    </w:p>
    <w:p w14:paraId="466FA1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Активно стали заниматься авиационным делом и на других предприятиях и в учебных заведениях города. Так в августе прыгнули с парашютом с вышки 32 молодых производственника железнодорожного узла, в том числе 8 человек совершили ночные прыжки. Лучшего активиста Осоавиахима сцепщика вагонов И. Тенякова комитет комсомола станции Таганрог направил учиться в летную школу.</w:t>
      </w:r>
    </w:p>
    <w:p w14:paraId="438483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Вскоре был организованы парашютные кружки на заводах – комбайновом, «Красный гидропресс», в институте механизации сельского хозяйства, авиационном техникуме и так далее. </w:t>
      </w:r>
    </w:p>
    <w:p w14:paraId="4DB733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Осенью 1935 года был объявлен первый набор в школу пилотов городского аэроклуба. Первыми преподавателями стали Василий Багров, он же начальник аэроклуба, и несколько инженеров из авиатехникума. Учились без отрыва от производства.</w:t>
      </w:r>
    </w:p>
    <w:p w14:paraId="083425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числе первых учлетов аэроклуба были студенты авиатехиикума Дмитрий Моисеенко, Сергей Филиппов, рабочие-металлурги Виктор Нетудыхатка, Степан Гацев, работники комбайнового завода Григорий Грошев, Тимофеи Комаров, гидропрессовцы Иван Гаркушенко, Николай Синяев, Николай Клочко, первые девушки - учлеты — Екатерина Кочубей и Валя Линебергер. </w:t>
      </w:r>
    </w:p>
    <w:p w14:paraId="538461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июне 1936 года теоретические занятия были завершены. Подошел летний период обучения. С 4 часов утра до 10 и с 5 до 8 часов вечера ежедневно, не считаясь с трудностями, повышали свое мастерство первые курсанты городского аэроклуба. За короткий срок они добились высоких результатов.</w:t>
      </w:r>
    </w:p>
    <w:p w14:paraId="18AAF5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середине августа учлеты Нетудыхатка, Меняйленко, Бухтияров, Лапенко. Моисеенко, Гаркушенко, Грошев, Фетисов, Кочубей уже подготовились к самостоятельному полету на самолете У-2. К начала лета все курсанты уже совершили свои первые прыжки с парашютом. На прыжки ездили на станцию Гниловскую под Ростов, там была парашютная вышка, точнее, для этой цели использовалась колокольня закрытой неработавшей церкви.</w:t>
      </w:r>
    </w:p>
    <w:p w14:paraId="718DEC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Летчиком-инструктором к этому времени был Павел Иванович Казаков. Начлетом стал лейтенант Есаулов, прибывший из кадров ВВС. Начальником планерной школы работал Михаил Тарабрин, позже он стал летчиком-инструктором. Начальником парашютной службы был Зайцев, первым техником стал Михаил Шуренков. Молодым инструкторам и преподавателям клуба большую помощь оказывал старый коммунист, участник гражданской войны, старший техник Сыченых. Он работал в Ростовском аэроклубе и приезжал в Таганрог помогать осваивать молодым учлетам технику.</w:t>
      </w:r>
    </w:p>
    <w:p w14:paraId="6CBB0E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Вначале в распоряжении аэроклубовцев был всего один самолет У-2. Он стоял в ангаре на аэродроме. Впрочем, назвать небольшую площадку аэродромом можно было весьма условно. С первых полетов стало ясно, что нужен новый аэродром. Но чтобы не терять времени, полеты проводились следующим образом. Курсанты вставали около трех часов ночи и шли пешком за город.. Здесь, за селом Петрушино они по очереди совершали свои первые 10-минутные полеты по кругу на самолете с П. И. Казаковым, который перелетал сюда с «базы».</w:t>
      </w:r>
    </w:p>
    <w:p w14:paraId="5F1F08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полетов нужно было успеть еще на работу или учебу, а вечером — снова спешили за город. И до самой темноты - полеты. Летали самозабвенно, с огромным желанием и энтузиазмом. В конце лета аэроклубу был выделен новый просторный аэродром в районе станции Марцево, а управление и классы были переведены большое и просторное угловое здание на улице Ленина и переулке Антона Глушко. В следующем году при входе в аэроклуб была поставлена скульптуры летчика и парашютиста. Во дворе здания располагался летний кинотеатр « «. Здесь клуб размещался до самой эвакуации в октябре 1941 года.</w:t>
      </w:r>
    </w:p>
    <w:p w14:paraId="448CF0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Курсанты и инструкторы клуба приняли самое активное, участие в большом авиационном празднике в День воздушного флота, который состоялся на новом марцевском аэродром 18 августа.</w:t>
      </w:r>
    </w:p>
    <w:p w14:paraId="6DE594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Успешно работал и филиал летной школы на механическом заводе имени Димитрова. Здесь готовились три группы пилотов. Их инструкторами были Ефим Михайлович Кошелев очень известный в городе человек, кавалер двух орденов Красного Знамени, Григорий 3ахарович Кашин, военный летчик-испытатель капитан Никольский. Первым в группе Е.М. Кошелева самостоятельно вылетел Прокофий Семенистый. Он проявил большую любовь и умение при вывозных полетах, и старый летчик уверенно разрешил именно ему первому самостоятельный полет. За ним самостоятельно поднялись в небо учлеты Бондаренко, Тимашпольский, Кулик и другие.</w:t>
      </w:r>
    </w:p>
    <w:p w14:paraId="1B775E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Параллельно с летной школой работала и планерная. Инструктором планерного дела стал недавний ее курсант Набоко. В ноябре 1936 года состоялся выпуск первого набора городского аэроклуба. 34 лучших и самых достойных получили звание пилота. Перед ними теперь были открыты двери летных школ страны. Многие из первых таганрогских учлетов прошли большой путь в военной авиации, сражались в грозные годы Великой Отечественной войны, другие стали сами воспитывать молодых пилотов. К сожалению, многие погибли в боях за Родину (11642).</w:t>
      </w:r>
    </w:p>
    <w:p w14:paraId="4D7189E7" w14:textId="77777777" w:rsidR="00D4105E" w:rsidRPr="00E14102" w:rsidRDefault="00D4105E" w:rsidP="00E14102">
      <w:pPr>
        <w:autoSpaceDE w:val="0"/>
        <w:autoSpaceDN w:val="0"/>
        <w:adjustRightInd w:val="0"/>
        <w:jc w:val="both"/>
        <w:rPr>
          <w:color w:val="000000" w:themeColor="text1"/>
          <w:sz w:val="16"/>
          <w:szCs w:val="16"/>
        </w:rPr>
      </w:pPr>
    </w:p>
    <w:p w14:paraId="17C433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августа 1935 В.С.Молоков в ходе арктического перелета на Дорнье-Валь СССР Н-2 отправился на поиски Земли Санникова следуя на С-З от о Врангеля. Видели мираж. Потом окончил экспедицию в Дудинке (99,200).</w:t>
      </w:r>
    </w:p>
    <w:p w14:paraId="5CEEA092" w14:textId="77777777" w:rsidR="00D4105E" w:rsidRPr="00E14102" w:rsidRDefault="00D4105E" w:rsidP="00E14102">
      <w:pPr>
        <w:autoSpaceDE w:val="0"/>
        <w:autoSpaceDN w:val="0"/>
        <w:adjustRightInd w:val="0"/>
        <w:jc w:val="both"/>
        <w:rPr>
          <w:color w:val="000000" w:themeColor="text1"/>
          <w:sz w:val="16"/>
          <w:szCs w:val="16"/>
        </w:rPr>
      </w:pPr>
    </w:p>
    <w:p w14:paraId="4992F3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августа 1935 ДВ СССР-Н2, вылетев с о. Врангеля, достиг точки с координатами 7°30' северной широты и 176° западной долготы и ушел к мысу Шмидта. Через день провели разведку в обратном направлении, к острову Врангеля, а оттуда снова до 72° северной широты. Таким образом, экипаж СССР-Н2 впервые обследовал зону, ранее недоступную для кораблей и самолетов.</w:t>
      </w:r>
    </w:p>
    <w:p w14:paraId="258431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августа самолет вылетел вдоль арктического побережья на зимовку Шалаурова в 30 километрах ниже бухты Амбарчик, по правому берегу реки Колымы. По пути гидроплан садился на мысе Шмидта для заправки горючим.</w:t>
      </w:r>
    </w:p>
    <w:p w14:paraId="5B711F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8 сентября экипаж просидел на зимовке к северу от Медвежьих островов в ожидании улучшения погоды. Три попытки пройти в район к северу от Медвежьих островов оказались неудачными, заряды тумана и снегопада сводили на нет результат полета. 7 сентября Молоков вылетал к устью реки Индигирки на поиски 7 человек, унесенных на кунгасе, но ничего не обнаружил. Вскоре командир самолета получил разрешение вернуться в Красноярск по маршруту Колыма - Тикси - Нордвик - Хатанга - Дудинка.</w:t>
      </w:r>
    </w:p>
    <w:p w14:paraId="1DC77B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сентября СССР-Н2 вылетел в Тикси. До Индигирки шли в удаление до 80 миль от берега в тщетной надежде найти унесенный кунгас.</w:t>
      </w:r>
    </w:p>
    <w:p w14:paraId="08D943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из Тикси на Нордвик проходил при плохой видимости. Заряды тумана прекратились только на середине перелета. Из Нордвика самолет шел по системе рек и 12 сентября прибыл в Дудинку.</w:t>
      </w:r>
    </w:p>
    <w:p w14:paraId="12023E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14 сентября по 1 октября экипаж сделал 10 полетов на Волочанск: перевезли 93 пассажира, 3590 кг груза и 1290 кг почты. 1-го октября река Дудинка и озера в тундре покрылись льдом. Самолет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7B14AA1B" w14:textId="77777777" w:rsidR="00D4105E" w:rsidRPr="00E14102" w:rsidRDefault="00D4105E" w:rsidP="00E14102">
      <w:pPr>
        <w:autoSpaceDE w:val="0"/>
        <w:autoSpaceDN w:val="0"/>
        <w:adjustRightInd w:val="0"/>
        <w:jc w:val="both"/>
        <w:rPr>
          <w:color w:val="000000" w:themeColor="text1"/>
          <w:sz w:val="16"/>
          <w:szCs w:val="16"/>
        </w:rPr>
      </w:pPr>
    </w:p>
    <w:p w14:paraId="62CEBF06" w14:textId="77777777" w:rsidR="00B8121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08334B4" w14:textId="77777777" w:rsidR="00B8121A" w:rsidRPr="00E14102" w:rsidRDefault="00B8121A" w:rsidP="00E14102">
      <w:pPr>
        <w:autoSpaceDE w:val="0"/>
        <w:autoSpaceDN w:val="0"/>
        <w:adjustRightInd w:val="0"/>
        <w:jc w:val="both"/>
        <w:rPr>
          <w:iCs/>
          <w:color w:val="000000" w:themeColor="text1"/>
          <w:sz w:val="16"/>
          <w:szCs w:val="16"/>
        </w:rPr>
      </w:pPr>
    </w:p>
    <w:p w14:paraId="3489A9F8" w14:textId="77777777" w:rsidR="00B8121A" w:rsidRPr="00E14102" w:rsidRDefault="00B8121A" w:rsidP="00E14102">
      <w:pPr>
        <w:pStyle w:val="rtejustify"/>
        <w:spacing w:before="0" w:after="0"/>
        <w:rPr>
          <w:color w:val="000000" w:themeColor="text1"/>
          <w:sz w:val="16"/>
          <w:szCs w:val="16"/>
        </w:rPr>
      </w:pPr>
      <w:r w:rsidRPr="00E14102">
        <w:rPr>
          <w:rStyle w:val="a6"/>
          <w:bCs/>
          <w:i w:val="0"/>
          <w:color w:val="000000" w:themeColor="text1"/>
          <w:sz w:val="16"/>
          <w:szCs w:val="16"/>
        </w:rPr>
        <w:t>17 августа</w:t>
      </w:r>
      <w:r w:rsidRPr="00E14102">
        <w:rPr>
          <w:color w:val="000000" w:themeColor="text1"/>
          <w:sz w:val="16"/>
          <w:szCs w:val="16"/>
        </w:rPr>
        <w:t xml:space="preserve"> 1935. Постановление СТО СССР № С</w:t>
      </w:r>
      <w:r w:rsidRPr="00E14102">
        <w:rPr>
          <w:color w:val="000000" w:themeColor="text1"/>
          <w:sz w:val="16"/>
          <w:szCs w:val="16"/>
        </w:rPr>
        <w:noBreakHyphen/>
        <w:t>105сс «О покупке в САСШ моторов “Геркулес УХС</w:t>
      </w:r>
      <w:r w:rsidRPr="00E14102">
        <w:rPr>
          <w:color w:val="000000" w:themeColor="text1"/>
          <w:sz w:val="16"/>
          <w:szCs w:val="16"/>
        </w:rPr>
        <w:noBreakHyphen/>
        <w:t>3” для трехосных автомобилей ЯГ</w:t>
      </w:r>
      <w:r w:rsidRPr="00E14102">
        <w:rPr>
          <w:color w:val="000000" w:themeColor="text1"/>
          <w:sz w:val="16"/>
          <w:szCs w:val="16"/>
        </w:rPr>
        <w:noBreakHyphen/>
        <w:t>10». (ГА РФ. Ф. Р</w:t>
      </w:r>
      <w:r w:rsidRPr="00E14102">
        <w:rPr>
          <w:color w:val="000000" w:themeColor="text1"/>
          <w:sz w:val="16"/>
          <w:szCs w:val="16"/>
        </w:rPr>
        <w:noBreakHyphen/>
        <w:t>8418. Оп. 28. Д. 7. Л. 74) (15460).</w:t>
      </w:r>
    </w:p>
    <w:p w14:paraId="204A5B00" w14:textId="77777777" w:rsidR="00B8121A" w:rsidRPr="00E14102" w:rsidRDefault="00B8121A" w:rsidP="00E14102">
      <w:pPr>
        <w:pStyle w:val="rtejustify"/>
        <w:spacing w:before="0" w:after="0"/>
        <w:rPr>
          <w:color w:val="000000" w:themeColor="text1"/>
          <w:sz w:val="16"/>
          <w:szCs w:val="16"/>
        </w:rPr>
      </w:pPr>
    </w:p>
    <w:p w14:paraId="3BE8BB6E" w14:textId="3776B741" w:rsidR="00007A52" w:rsidRPr="00E14102" w:rsidRDefault="00007A52"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A6B4446" w14:textId="77777777" w:rsidR="00007A52" w:rsidRPr="00E14102" w:rsidRDefault="00007A52" w:rsidP="00E14102">
      <w:pPr>
        <w:autoSpaceDE w:val="0"/>
        <w:autoSpaceDN w:val="0"/>
        <w:adjustRightInd w:val="0"/>
        <w:jc w:val="both"/>
        <w:rPr>
          <w:iCs/>
          <w:color w:val="000000" w:themeColor="text1"/>
          <w:sz w:val="16"/>
          <w:szCs w:val="16"/>
        </w:rPr>
      </w:pPr>
    </w:p>
    <w:p w14:paraId="76DF82BC" w14:textId="77777777" w:rsidR="00007A52" w:rsidRPr="00E14102" w:rsidRDefault="00007A52" w:rsidP="00E14102">
      <w:pPr>
        <w:jc w:val="both"/>
        <w:rPr>
          <w:color w:val="0070C0"/>
          <w:sz w:val="16"/>
          <w:szCs w:val="16"/>
        </w:rPr>
      </w:pPr>
      <w:r w:rsidRPr="00E14102">
        <w:rPr>
          <w:color w:val="0070C0"/>
          <w:sz w:val="16"/>
          <w:szCs w:val="16"/>
        </w:rPr>
        <w:t>17 августа 1935 года нобелевский лауреат, академик-физиолог Иван Петрович Павлов (1849—1936) провозгласил в Большом Кремлевском дворце тост "За великих социальных экспериментаторов!" (21179).</w:t>
      </w:r>
    </w:p>
    <w:p w14:paraId="77A76E70" w14:textId="77777777" w:rsidR="00007A52" w:rsidRPr="00E14102" w:rsidRDefault="00007A52" w:rsidP="00E14102">
      <w:pPr>
        <w:jc w:val="both"/>
        <w:rPr>
          <w:color w:val="0070C0"/>
          <w:sz w:val="16"/>
          <w:szCs w:val="16"/>
        </w:rPr>
      </w:pPr>
    </w:p>
    <w:p w14:paraId="5F91C28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75E173DC" w14:textId="77777777" w:rsidR="00D4105E" w:rsidRPr="00E14102" w:rsidRDefault="00D4105E" w:rsidP="00E14102">
      <w:pPr>
        <w:autoSpaceDE w:val="0"/>
        <w:autoSpaceDN w:val="0"/>
        <w:adjustRightInd w:val="0"/>
        <w:jc w:val="both"/>
        <w:rPr>
          <w:iCs/>
          <w:color w:val="000000" w:themeColor="text1"/>
          <w:sz w:val="16"/>
          <w:szCs w:val="16"/>
        </w:rPr>
      </w:pPr>
    </w:p>
    <w:p w14:paraId="6526BA8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17 августа 1935 на VII Конгрессе Коминтерна выдвинут лозунг “народной демократии” (4962).</w:t>
      </w:r>
    </w:p>
    <w:p w14:paraId="19CFA857"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E79C169" w14:textId="77777777" w:rsidR="0007326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FFDAEA4" w14:textId="77777777" w:rsidR="00073262" w:rsidRPr="00E14102" w:rsidRDefault="00073262" w:rsidP="00E14102">
      <w:pPr>
        <w:autoSpaceDE w:val="0"/>
        <w:autoSpaceDN w:val="0"/>
        <w:adjustRightInd w:val="0"/>
        <w:jc w:val="both"/>
        <w:rPr>
          <w:iCs/>
          <w:color w:val="000000" w:themeColor="text1"/>
          <w:sz w:val="16"/>
          <w:szCs w:val="16"/>
        </w:rPr>
      </w:pPr>
    </w:p>
    <w:p w14:paraId="322186B9" w14:textId="77777777" w:rsidR="00073262" w:rsidRPr="00E14102" w:rsidRDefault="00073262" w:rsidP="00E14102">
      <w:pPr>
        <w:jc w:val="both"/>
        <w:rPr>
          <w:color w:val="000000" w:themeColor="text1"/>
          <w:sz w:val="16"/>
          <w:szCs w:val="16"/>
        </w:rPr>
      </w:pPr>
      <w:r w:rsidRPr="00E14102">
        <w:rPr>
          <w:color w:val="000000" w:themeColor="text1"/>
          <w:sz w:val="16"/>
          <w:szCs w:val="16"/>
        </w:rPr>
        <w:t xml:space="preserve">17 августа в 1935 году впервые поднялся в воздух гоночный моноплан </w:t>
      </w:r>
      <w:hyperlink r:id="rId177" w:tgtFrame="_blank" w:history="1">
        <w:r w:rsidRPr="00E14102">
          <w:rPr>
            <w:color w:val="000000" w:themeColor="text1"/>
            <w:sz w:val="16"/>
            <w:szCs w:val="16"/>
          </w:rPr>
          <w:t xml:space="preserve">«Н-1В» «Рейсер» </w:t>
        </w:r>
      </w:hyperlink>
      <w:r w:rsidRPr="00E14102">
        <w:rPr>
          <w:color w:val="000000" w:themeColor="text1"/>
          <w:sz w:val="16"/>
          <w:szCs w:val="16"/>
        </w:rPr>
        <w:t>талантливого авиационного инженера Ричарда Пэлмера, финансировал постройку Говард Хьюз (14986).</w:t>
      </w:r>
    </w:p>
    <w:p w14:paraId="4B3A2313" w14:textId="77777777" w:rsidR="00073262" w:rsidRPr="00E14102" w:rsidRDefault="00073262" w:rsidP="00E14102">
      <w:pPr>
        <w:jc w:val="both"/>
        <w:rPr>
          <w:color w:val="000000" w:themeColor="text1"/>
          <w:sz w:val="16"/>
          <w:szCs w:val="16"/>
        </w:rPr>
      </w:pPr>
    </w:p>
    <w:p w14:paraId="2BF79C10" w14:textId="77777777" w:rsidR="00C43E9D" w:rsidRPr="00E14102" w:rsidRDefault="00C43E9D" w:rsidP="00E14102">
      <w:pPr>
        <w:jc w:val="both"/>
        <w:rPr>
          <w:color w:val="0070C0"/>
          <w:sz w:val="16"/>
          <w:szCs w:val="16"/>
        </w:rPr>
      </w:pPr>
      <w:r w:rsidRPr="00E14102">
        <w:rPr>
          <w:color w:val="0070C0"/>
          <w:sz w:val="16"/>
          <w:szCs w:val="16"/>
        </w:rPr>
        <w:t>17 августа 1935 - Впервые поднялся в воздух гоночный моноплан Н-1В "Рейсер" талантливого авиационного инженера Ричарда Пэлмера, финансировал постройку Говард Хьюз. 13 сентября 1935 г Говард Хьюз установил на Н-1В мировой рекорд скорости для сухопутных самолётов – 565 км/ч, который продержался до 1939 г. В январе 1937 г. был готов новый вариант самолёта, на котором был осуществлён трансамериканский перелёт за 7 часов 28 минут (из Бирбэнка в Нью-Йорк) (22396).</w:t>
      </w:r>
    </w:p>
    <w:p w14:paraId="552ADBB1" w14:textId="77777777" w:rsidR="00C43E9D" w:rsidRPr="00E14102" w:rsidRDefault="00C43E9D" w:rsidP="00E14102">
      <w:pPr>
        <w:jc w:val="both"/>
        <w:rPr>
          <w:color w:val="0070C0"/>
          <w:sz w:val="16"/>
          <w:szCs w:val="16"/>
        </w:rPr>
      </w:pPr>
    </w:p>
    <w:p w14:paraId="10606EC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E860707" w14:textId="77777777" w:rsidR="00D4105E" w:rsidRPr="00E14102" w:rsidRDefault="00D4105E" w:rsidP="00E14102">
      <w:pPr>
        <w:autoSpaceDE w:val="0"/>
        <w:autoSpaceDN w:val="0"/>
        <w:adjustRightInd w:val="0"/>
        <w:jc w:val="both"/>
        <w:rPr>
          <w:iCs/>
          <w:color w:val="000000" w:themeColor="text1"/>
          <w:sz w:val="16"/>
          <w:szCs w:val="16"/>
        </w:rPr>
      </w:pPr>
    </w:p>
    <w:p w14:paraId="56C88F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августа 1935 на ДБА 4М-34РН в ходе заводских испытаний в Щелково летали 1 раз 50 мин. на проверку работы элеронов и рулей и это был 6-й полет машины (249).</w:t>
      </w:r>
    </w:p>
    <w:p w14:paraId="673EB9E5" w14:textId="77777777" w:rsidR="00D4105E" w:rsidRPr="00E14102" w:rsidRDefault="00D4105E" w:rsidP="00E14102">
      <w:pPr>
        <w:autoSpaceDE w:val="0"/>
        <w:autoSpaceDN w:val="0"/>
        <w:adjustRightInd w:val="0"/>
        <w:jc w:val="both"/>
        <w:rPr>
          <w:color w:val="000000" w:themeColor="text1"/>
          <w:sz w:val="16"/>
          <w:szCs w:val="16"/>
        </w:rPr>
      </w:pPr>
    </w:p>
    <w:p w14:paraId="6C6E7289" w14:textId="77777777" w:rsidR="00402AB2" w:rsidRPr="00E14102" w:rsidRDefault="00402AB2" w:rsidP="00E14102">
      <w:pPr>
        <w:jc w:val="both"/>
        <w:rPr>
          <w:color w:val="000000" w:themeColor="text1"/>
          <w:sz w:val="16"/>
          <w:szCs w:val="16"/>
        </w:rPr>
      </w:pPr>
      <w:r w:rsidRPr="00E14102">
        <w:rPr>
          <w:color w:val="000000" w:themeColor="text1"/>
          <w:sz w:val="16"/>
          <w:szCs w:val="16"/>
        </w:rPr>
        <w:t>18 августа 1935 г. во время полёта ТБ-3 с двумя И-5 продолжительностью более восьми часов прошла проверку система подпитки установленных на бомбардировщике И-5 горючим и маслом. Судя по фотографии, оно в принципе не отличалось от разработанного в 1932 г. для «Звена-1». Стартовав с аэродрома НИИ ВВС в Щёлково, лётчики-истребители, преодолев с работающими двигателями 570 км на крыле бомбардировщика, вступили в условный бой с двумя И-5 «противника» и отогнали их от ТБ-3. Затем они преодолели по воздуху ещё 420 км и приземлились на аэродроме НИИ ВВС. Бомбардировщик пролетел 200 км, сбросил на полигоне три 250-кг бомбы и тоже вернулся в Щёлково. Длина его маршрута составила 1330 км, полёт проходил на высоте 1200 м.</w:t>
      </w:r>
    </w:p>
    <w:p w14:paraId="642CE4A2" w14:textId="77777777" w:rsidR="00402AB2" w:rsidRPr="00E14102" w:rsidRDefault="00402AB2" w:rsidP="00E14102">
      <w:pPr>
        <w:jc w:val="both"/>
        <w:rPr>
          <w:color w:val="000000" w:themeColor="text1"/>
          <w:sz w:val="16"/>
          <w:szCs w:val="16"/>
        </w:rPr>
      </w:pPr>
      <w:r w:rsidRPr="00E14102">
        <w:rPr>
          <w:color w:val="000000" w:themeColor="text1"/>
          <w:sz w:val="16"/>
          <w:szCs w:val="16"/>
        </w:rPr>
        <w:t xml:space="preserve">Испытание показало, что использование самолёта-носителя с доливом из него топлива в истребители позволяет увеличить радиус их действия почти вдвое и что после длительного пребывания в полёте лётчики способны успешно вести воздушный бой. Тем не менее, в отчете НИИ ВВС от 20 сентября сказано: «Соединение „Звено“ (ТБ-3-4М17 + 2 И5) как устаревшее по своим лётно-техническим данным не может быть рекомендовано на вооружение ВВС. Его можно рекомендовать только в качестве учебно-тактического соединения для отработки на нём тактики применения и тренировки. &lt;…&gt; Соединение „Звено“&gt; составленное из современных самолётов, должно обеспечить несомненные тактические выгоды, в силу чего целесообразна срочная постройка опытного соединения „Звено“ из современных самолётов с последующим срочным испытанием его в НИИ ВВС» </w:t>
      </w:r>
      <w:hyperlink r:id="rId178" w:history="1">
        <w:r w:rsidRPr="00E14102">
          <w:rPr>
            <w:color w:val="000000" w:themeColor="text1"/>
            <w:sz w:val="16"/>
            <w:szCs w:val="16"/>
          </w:rPr>
          <w:t>[87]</w:t>
        </w:r>
      </w:hyperlink>
      <w:r w:rsidRPr="00E14102">
        <w:rPr>
          <w:color w:val="000000" w:themeColor="text1"/>
          <w:sz w:val="16"/>
          <w:szCs w:val="16"/>
        </w:rPr>
        <w:t xml:space="preserve"> (17489).</w:t>
      </w:r>
    </w:p>
    <w:p w14:paraId="294C063A" w14:textId="77777777" w:rsidR="00402AB2" w:rsidRPr="00E14102" w:rsidRDefault="00402AB2" w:rsidP="00E14102">
      <w:pPr>
        <w:jc w:val="both"/>
        <w:rPr>
          <w:color w:val="000000" w:themeColor="text1"/>
          <w:sz w:val="16"/>
          <w:szCs w:val="16"/>
        </w:rPr>
      </w:pPr>
    </w:p>
    <w:p w14:paraId="64979D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августа 1935 автожир ЦАГИ А-7 Н.К.Камова участвовал в параде в День авиации (64,128). Летчик К.К.Попов (257,17), а также А-4 и А-8 (391,70).</w:t>
      </w:r>
    </w:p>
    <w:p w14:paraId="278A2343" w14:textId="77777777" w:rsidR="00D4105E" w:rsidRPr="00E14102" w:rsidRDefault="00D4105E" w:rsidP="00E14102">
      <w:pPr>
        <w:autoSpaceDE w:val="0"/>
        <w:autoSpaceDN w:val="0"/>
        <w:adjustRightInd w:val="0"/>
        <w:jc w:val="both"/>
        <w:rPr>
          <w:color w:val="000000" w:themeColor="text1"/>
          <w:sz w:val="16"/>
          <w:szCs w:val="16"/>
        </w:rPr>
      </w:pPr>
    </w:p>
    <w:p w14:paraId="584492AC" w14:textId="77777777" w:rsidR="00C43E9D" w:rsidRPr="00E14102" w:rsidRDefault="00C43E9D" w:rsidP="00E14102">
      <w:pPr>
        <w:jc w:val="both"/>
        <w:rPr>
          <w:color w:val="0070C0"/>
          <w:sz w:val="16"/>
          <w:szCs w:val="16"/>
        </w:rPr>
      </w:pPr>
      <w:r w:rsidRPr="00E14102">
        <w:rPr>
          <w:color w:val="0070C0"/>
          <w:sz w:val="16"/>
          <w:szCs w:val="16"/>
        </w:rPr>
        <w:t>18 августа 1935 г. автожир А-7 был проказан на авиационном празднике в честь Дня авиации. Летал летчик К.К. По</w:t>
      </w:r>
      <w:r w:rsidRPr="00E14102">
        <w:rPr>
          <w:color w:val="0070C0"/>
          <w:sz w:val="16"/>
          <w:szCs w:val="16"/>
        </w:rPr>
        <w:softHyphen/>
        <w:t>пов, впервые вылетевший на А-7 еще 7 июня. Автожир в ходе испытаний к тому времени выполнил 55 полетов и на</w:t>
      </w:r>
      <w:r w:rsidRPr="00E14102">
        <w:rPr>
          <w:color w:val="0070C0"/>
          <w:sz w:val="16"/>
          <w:szCs w:val="16"/>
        </w:rPr>
        <w:softHyphen/>
        <w:t>летал 26 часов (20361).</w:t>
      </w:r>
    </w:p>
    <w:p w14:paraId="59BBB171" w14:textId="77777777" w:rsidR="00C43E9D" w:rsidRPr="00E14102" w:rsidRDefault="00C43E9D" w:rsidP="00E14102">
      <w:pPr>
        <w:shd w:val="clear" w:color="auto" w:fill="FFFFFF"/>
        <w:jc w:val="both"/>
        <w:rPr>
          <w:color w:val="0070C0"/>
          <w:sz w:val="16"/>
          <w:szCs w:val="16"/>
        </w:rPr>
      </w:pPr>
    </w:p>
    <w:p w14:paraId="79779A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августа 1935 был первый воздушный парад не на ЦА, а в Тушино (1836,111). Приветствовали конгресс Коминтерна. 30 машин ВВА написали СССР. Р-5 имитировали атаку на аэродром с пикирования. Потом был воздушный бой 3-х истребителей и атака 10 штурмовиков по ж/д объекту - обстреляли и разбомбили макет станции с подъездными путями (2628,7).</w:t>
      </w:r>
    </w:p>
    <w:p w14:paraId="7C6F268B" w14:textId="77777777" w:rsidR="00D4105E" w:rsidRPr="00E14102" w:rsidRDefault="00D4105E" w:rsidP="00E14102">
      <w:pPr>
        <w:autoSpaceDE w:val="0"/>
        <w:autoSpaceDN w:val="0"/>
        <w:adjustRightInd w:val="0"/>
        <w:jc w:val="both"/>
        <w:rPr>
          <w:color w:val="000000" w:themeColor="text1"/>
          <w:sz w:val="16"/>
          <w:szCs w:val="16"/>
        </w:rPr>
      </w:pPr>
    </w:p>
    <w:p w14:paraId="4F26A1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августа 1935 в красной пятерке были В.К.К., В.Евсеев, С.Супрун, Э.Преман, В.Шевченко. Показывали К-5 К.А.К., ХАИ-1 и АНТ-9 Крокодил. Потом 4 планерных поезда их 11 машин за одним самолетом. Прыгало 40 девушек и 150 десантников (2628,7).</w:t>
      </w:r>
    </w:p>
    <w:p w14:paraId="17FD419F" w14:textId="77777777" w:rsidR="00D4105E" w:rsidRPr="00E14102" w:rsidRDefault="00D4105E" w:rsidP="00E14102">
      <w:pPr>
        <w:autoSpaceDE w:val="0"/>
        <w:autoSpaceDN w:val="0"/>
        <w:adjustRightInd w:val="0"/>
        <w:jc w:val="both"/>
        <w:rPr>
          <w:color w:val="000000" w:themeColor="text1"/>
          <w:sz w:val="16"/>
          <w:szCs w:val="16"/>
        </w:rPr>
      </w:pPr>
    </w:p>
    <w:p w14:paraId="69CB38B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44AC687" w14:textId="77777777" w:rsidR="00D4105E" w:rsidRPr="00E14102" w:rsidRDefault="00D4105E" w:rsidP="00E14102">
      <w:pPr>
        <w:autoSpaceDE w:val="0"/>
        <w:autoSpaceDN w:val="0"/>
        <w:adjustRightInd w:val="0"/>
        <w:jc w:val="both"/>
        <w:rPr>
          <w:iCs/>
          <w:color w:val="000000" w:themeColor="text1"/>
          <w:sz w:val="16"/>
          <w:szCs w:val="16"/>
        </w:rPr>
      </w:pPr>
    </w:p>
    <w:p w14:paraId="33AEF5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августа 1935 г. в НКТП было принято решение о строительстве снаряжательного завода (Завод № 113 НКОП, НКБ /пос. Сельцо Брянское Орловской обл. (1930-е-41 г.)/). Завод № 113 основан в 1936 г., в 08.1937 г. - в ведении 4ГУ НКОП. В 02.1939 г. строящийся завод № ИЗ 4ГУ НКОП передан в ведение 4ГУ НКБ.</w:t>
      </w:r>
      <w:r w:rsidRPr="00E14102">
        <w:rPr>
          <w:color w:val="000000" w:themeColor="text1"/>
          <w:sz w:val="16"/>
          <w:szCs w:val="16"/>
          <w:vertAlign w:val="superscript"/>
        </w:rPr>
        <w:t>132</w:t>
      </w:r>
      <w:r w:rsidRPr="00E14102">
        <w:rPr>
          <w:color w:val="000000" w:themeColor="text1"/>
          <w:sz w:val="16"/>
          <w:szCs w:val="16"/>
        </w:rPr>
        <w:t xml:space="preserve"> 19.11.1939 г. завод дал первую продукцию. К этому времени построено и введено в строй 10 мастерских, энергетическое хозяйство. Производство артиллерийских снарядов. Мощность завода (до эвакуации): снаряды: крупного калибра- 60 тыс. шт. в год; среднего калибра- 7,5 млн. шт., мелкого калибра- 18 млн. шт.; мины- 8,5 млн. шт.; снаряжение бомб АО- 3 млн. шт.; суррогатные ВВ-18 тыс. т в год.</w:t>
      </w:r>
    </w:p>
    <w:p w14:paraId="5A1D20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28.07.1941 г. вышло постановление ГКО № 306 о подготовке завода № 113 1ГУ к эвакуации. 2.08.1941 г. завод эвакуирован: снаряжение снарядов мелкого калибра и АО (186 ед. оборудования, 121 чел.) - на завод № 56 НКБ; снаряжение снарядов среднего калибра (101 ед. оборудования, 385 чел.) и производство ВВ (2 сушильных барабана) - на завод № 114; оставшееся оборудование было взорвано. Завод выбыл из числа действующих.</w:t>
      </w:r>
    </w:p>
    <w:p w14:paraId="2A671B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освобождения Брянской обл. от фашистов в 09.1943 г. на старом месте по приказу НКБ № 939с от 4.10.1943 г. начато восстановление завода, по приказу № 978с от 14.10.1943 г. он переименован в завод № 121 НКБ.</w:t>
      </w:r>
    </w:p>
    <w:p w14:paraId="508CA6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Численность персонала (1939 г.)- 205 чел. (рабочих), (1940 г.)- 1181 чел. (рабочих), (07.1941 г.)- 2422 чел.</w:t>
      </w:r>
      <w:r w:rsidRPr="00E14102">
        <w:rPr>
          <w:color w:val="000000" w:themeColor="text1"/>
          <w:sz w:val="16"/>
          <w:szCs w:val="16"/>
          <w:vertAlign w:val="superscript"/>
        </w:rPr>
        <w:t>132</w:t>
      </w:r>
    </w:p>
    <w:p w14:paraId="3EED0C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строительства (22.10.1938 г.-)- Н.Н. Чашин (11982).</w:t>
      </w:r>
    </w:p>
    <w:p w14:paraId="2700616B" w14:textId="77777777" w:rsidR="00073262" w:rsidRPr="00E14102" w:rsidRDefault="00073262" w:rsidP="00E14102">
      <w:pPr>
        <w:autoSpaceDE w:val="0"/>
        <w:autoSpaceDN w:val="0"/>
        <w:adjustRightInd w:val="0"/>
        <w:jc w:val="both"/>
        <w:rPr>
          <w:iCs/>
          <w:color w:val="000000" w:themeColor="text1"/>
          <w:sz w:val="16"/>
          <w:szCs w:val="16"/>
        </w:rPr>
      </w:pPr>
    </w:p>
    <w:p w14:paraId="54A61598" w14:textId="77777777" w:rsidR="00073262" w:rsidRPr="00E14102" w:rsidRDefault="00073262" w:rsidP="00E14102">
      <w:pPr>
        <w:shd w:val="clear" w:color="auto" w:fill="FFFFFF"/>
        <w:jc w:val="both"/>
        <w:rPr>
          <w:color w:val="000000" w:themeColor="text1"/>
          <w:sz w:val="16"/>
          <w:szCs w:val="16"/>
        </w:rPr>
      </w:pPr>
      <w:r w:rsidRPr="00E14102">
        <w:rPr>
          <w:bCs/>
          <w:iCs/>
          <w:color w:val="000000" w:themeColor="text1"/>
          <w:sz w:val="16"/>
          <w:szCs w:val="16"/>
        </w:rPr>
        <w:t>18 августа 1935 г.</w:t>
      </w:r>
      <w:r w:rsidRPr="00E14102">
        <w:rPr>
          <w:color w:val="000000" w:themeColor="text1"/>
          <w:sz w:val="16"/>
          <w:szCs w:val="16"/>
        </w:rPr>
        <w:t xml:space="preserve"> Опыт по заражению колодезной воды ипритом. Место — Инженерный полигон (ст.Нахабино, между базой полигона и инженерным городком). Через 20 суток после заражения колодца концентрация иприта в воде составляла 100 мг/л. На 21 сутки иприт проник на 5 см в грунт на дне колодца (17133).</w:t>
      </w:r>
    </w:p>
    <w:p w14:paraId="02974C41" w14:textId="77777777" w:rsidR="00073262" w:rsidRPr="00E14102" w:rsidRDefault="00073262" w:rsidP="00E14102">
      <w:pPr>
        <w:shd w:val="clear" w:color="auto" w:fill="FFFFFF"/>
        <w:jc w:val="both"/>
        <w:rPr>
          <w:color w:val="000000" w:themeColor="text1"/>
          <w:sz w:val="16"/>
          <w:szCs w:val="16"/>
        </w:rPr>
      </w:pPr>
    </w:p>
    <w:p w14:paraId="0154F98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33F5BEC9" w14:textId="77777777" w:rsidR="00D4105E" w:rsidRPr="00E14102" w:rsidRDefault="00D4105E" w:rsidP="00E14102">
      <w:pPr>
        <w:autoSpaceDE w:val="0"/>
        <w:autoSpaceDN w:val="0"/>
        <w:adjustRightInd w:val="0"/>
        <w:jc w:val="both"/>
        <w:rPr>
          <w:iCs/>
          <w:color w:val="000000" w:themeColor="text1"/>
          <w:sz w:val="16"/>
          <w:szCs w:val="16"/>
        </w:rPr>
      </w:pPr>
    </w:p>
    <w:p w14:paraId="75A4F0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августа 1935 года был проведен опыт по заражению колодезной воды ипритом в районе Инженерного полигона РККА близ ст. Нахабино (между базой полигона и инженерным городком). Через 20 суток после заражения колодца концентрация иприта в воде составляла 100 мг/л. На 21 сутки иприт проник на 5 см в грунт на дне колодца. На этом интерес Красной Армии иссяк, поскольку принципиальная возможность диверсионного заражения источников водоснабжения на землях "вероятного противника" была исследована (кстати, ими оказалась земля вне территории полигона) (9065).</w:t>
      </w:r>
    </w:p>
    <w:p w14:paraId="53A9EEEA" w14:textId="77777777" w:rsidR="00D4105E" w:rsidRPr="00E14102" w:rsidRDefault="00D4105E" w:rsidP="00E14102">
      <w:pPr>
        <w:autoSpaceDE w:val="0"/>
        <w:autoSpaceDN w:val="0"/>
        <w:adjustRightInd w:val="0"/>
        <w:jc w:val="both"/>
        <w:rPr>
          <w:color w:val="000000" w:themeColor="text1"/>
          <w:sz w:val="16"/>
          <w:szCs w:val="16"/>
        </w:rPr>
      </w:pPr>
    </w:p>
    <w:p w14:paraId="393F7BF9" w14:textId="77777777" w:rsidR="0007326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383C7B0" w14:textId="77777777" w:rsidR="00073262" w:rsidRPr="00E14102" w:rsidRDefault="00073262" w:rsidP="00E14102">
      <w:pPr>
        <w:autoSpaceDE w:val="0"/>
        <w:autoSpaceDN w:val="0"/>
        <w:adjustRightInd w:val="0"/>
        <w:jc w:val="both"/>
        <w:rPr>
          <w:iCs/>
          <w:color w:val="000000" w:themeColor="text1"/>
          <w:sz w:val="16"/>
          <w:szCs w:val="16"/>
        </w:rPr>
      </w:pPr>
    </w:p>
    <w:p w14:paraId="019088AD" w14:textId="77777777" w:rsidR="00073262" w:rsidRPr="00E14102" w:rsidRDefault="00073262" w:rsidP="00E14102">
      <w:pPr>
        <w:jc w:val="both"/>
        <w:rPr>
          <w:color w:val="000000" w:themeColor="text1"/>
          <w:sz w:val="16"/>
          <w:szCs w:val="16"/>
        </w:rPr>
      </w:pPr>
      <w:r w:rsidRPr="00E14102">
        <w:rPr>
          <w:color w:val="000000" w:themeColor="text1"/>
          <w:sz w:val="16"/>
          <w:szCs w:val="16"/>
        </w:rPr>
        <w:t xml:space="preserve">18 августа в 1935 году совершил первый вылет опытный образец английского легкого многоцелевого самолета с серебристым крылом и светло-зеленым фюзеляжем с серебристыми буквами </w:t>
      </w:r>
      <w:hyperlink r:id="rId179" w:tgtFrame="_blank" w:history="1">
        <w:r w:rsidRPr="00E14102">
          <w:rPr>
            <w:color w:val="000000" w:themeColor="text1"/>
            <w:sz w:val="16"/>
            <w:szCs w:val="16"/>
          </w:rPr>
          <w:t xml:space="preserve">«G-ADAD», </w:t>
        </w:r>
      </w:hyperlink>
      <w:r w:rsidRPr="00E14102">
        <w:rPr>
          <w:color w:val="000000" w:themeColor="text1"/>
          <w:sz w:val="16"/>
          <w:szCs w:val="16"/>
        </w:rPr>
        <w:t>пилот Э.Хордерн. Для своего времени этот моноплан, спроектированный Джорджем Корнуоллом, с убирающимся шасси был достаточно революционной конструкции (14987).</w:t>
      </w:r>
    </w:p>
    <w:p w14:paraId="20D8113E" w14:textId="77777777" w:rsidR="00073262" w:rsidRPr="00E14102" w:rsidRDefault="00073262" w:rsidP="00E14102">
      <w:pPr>
        <w:jc w:val="both"/>
        <w:rPr>
          <w:color w:val="000000" w:themeColor="text1"/>
          <w:sz w:val="16"/>
          <w:szCs w:val="16"/>
        </w:rPr>
      </w:pPr>
    </w:p>
    <w:p w14:paraId="14E4FD12" w14:textId="77777777" w:rsidR="000E219F" w:rsidRPr="00E14102" w:rsidRDefault="000E219F" w:rsidP="00E14102">
      <w:pPr>
        <w:jc w:val="both"/>
        <w:rPr>
          <w:color w:val="0070C0"/>
          <w:sz w:val="16"/>
          <w:szCs w:val="16"/>
        </w:rPr>
      </w:pPr>
      <w:r w:rsidRPr="00E14102">
        <w:rPr>
          <w:color w:val="0070C0"/>
          <w:sz w:val="16"/>
          <w:szCs w:val="16"/>
        </w:rPr>
        <w:t>18 августа 1935 года — первый полёт лёгкого многоцелевого самолёта Heston Type 1 Phoenix. /Великобритания/</w:t>
      </w:r>
    </w:p>
    <w:p w14:paraId="2FCD5709" w14:textId="77777777" w:rsidR="000E219F" w:rsidRPr="00E14102" w:rsidRDefault="000E219F" w:rsidP="00E14102">
      <w:pPr>
        <w:jc w:val="both"/>
        <w:rPr>
          <w:color w:val="0070C0"/>
          <w:sz w:val="16"/>
          <w:szCs w:val="16"/>
        </w:rPr>
      </w:pPr>
      <w:r w:rsidRPr="00E14102">
        <w:rPr>
          <w:color w:val="0070C0"/>
          <w:sz w:val="16"/>
          <w:szCs w:val="16"/>
        </w:rPr>
        <w:t>В августе 1934 года авиастроительная компания Comper Aircraft Company Ltd. сменила базовый аэродром с Хутон Парка на Хестон. Заодно сменив и название на Heston Aircraft Company. Вскоре был построен первый самолёт «новой» компании — Heston Phoenix. Руководил проектом конструктор Джордж Корнуолл.</w:t>
      </w:r>
    </w:p>
    <w:p w14:paraId="7390B049" w14:textId="77777777" w:rsidR="000E219F" w:rsidRPr="00E14102" w:rsidRDefault="000E219F" w:rsidP="00E14102">
      <w:pPr>
        <w:jc w:val="both"/>
        <w:rPr>
          <w:color w:val="0070C0"/>
          <w:sz w:val="16"/>
          <w:szCs w:val="16"/>
        </w:rPr>
      </w:pPr>
      <w:r w:rsidRPr="00E14102">
        <w:rPr>
          <w:color w:val="0070C0"/>
          <w:sz w:val="16"/>
          <w:szCs w:val="16"/>
        </w:rPr>
        <w:t>Phoenix был одномоторным подкосным высокопланом с убирающимся шасси. Конструкция в основном выполнена из дерева, фанеры и обшита полотном. Салон был рассчитан на 5 пассажиров + 1 пилота. Двигатель de Havilland Gipsy VI позволял развить скорость до 241 км/ч. Дальность полёта — 805 км.</w:t>
      </w:r>
    </w:p>
    <w:p w14:paraId="10C7CD52" w14:textId="77777777" w:rsidR="000E219F" w:rsidRPr="00E14102" w:rsidRDefault="000E219F" w:rsidP="00E14102">
      <w:pPr>
        <w:jc w:val="both"/>
        <w:rPr>
          <w:color w:val="0070C0"/>
          <w:sz w:val="16"/>
          <w:szCs w:val="16"/>
        </w:rPr>
      </w:pPr>
      <w:r w:rsidRPr="00E14102">
        <w:rPr>
          <w:color w:val="0070C0"/>
          <w:sz w:val="16"/>
          <w:szCs w:val="16"/>
        </w:rPr>
        <w:t>Построили всего 6 самолётов Heston Phoenix в двух вариантах, отличавшихся мощностью двигателя. Эксплуатировались они в основном частными владельцами. С началом Второй мировой войны 3 самолёта были мобилизованы в Королевские ВВС Великобритании. Последний Phoenix был потерян в аварии в 1952 году (22300).</w:t>
      </w:r>
    </w:p>
    <w:p w14:paraId="5C1C6C5F" w14:textId="77777777" w:rsidR="000E219F" w:rsidRPr="00E14102" w:rsidRDefault="000E219F" w:rsidP="00E14102">
      <w:pPr>
        <w:shd w:val="clear" w:color="auto" w:fill="FFFFFF"/>
        <w:jc w:val="both"/>
        <w:rPr>
          <w:color w:val="0070C0"/>
          <w:sz w:val="16"/>
          <w:szCs w:val="16"/>
        </w:rPr>
      </w:pPr>
    </w:p>
    <w:p w14:paraId="1C1A3A7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540A188" w14:textId="77777777" w:rsidR="00D4105E" w:rsidRPr="00E14102" w:rsidRDefault="00D4105E" w:rsidP="00E14102">
      <w:pPr>
        <w:autoSpaceDE w:val="0"/>
        <w:autoSpaceDN w:val="0"/>
        <w:adjustRightInd w:val="0"/>
        <w:jc w:val="both"/>
        <w:rPr>
          <w:iCs/>
          <w:color w:val="000000" w:themeColor="text1"/>
          <w:sz w:val="16"/>
          <w:szCs w:val="16"/>
        </w:rPr>
      </w:pPr>
    </w:p>
    <w:p w14:paraId="0B81C1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августа 1935 Нач. в/ч 1127 Басманов утвердил Отчет по испытанию приспособления для заливки воды через блоки цилиндра и подогреватель на самолете ТБ-3 4М-34Р. Исполнитель: и Б.Чернявский. Цель испытаний: установить возможность переделки системы охлаждения мотора на ТБ-3 4М-34Р по предложению Постнова для улучшения прогрева мотора, карбюратора и смесепроводов горячей водой при заправке. Заключение...считает установку трехходового крана в водяной системе ТБ-3 2М-34 м М-34Р целесообразным...(2938).</w:t>
      </w:r>
    </w:p>
    <w:p w14:paraId="0BE91A97" w14:textId="77777777" w:rsidR="00D4105E" w:rsidRPr="00E14102" w:rsidRDefault="00D4105E" w:rsidP="00E14102">
      <w:pPr>
        <w:autoSpaceDE w:val="0"/>
        <w:autoSpaceDN w:val="0"/>
        <w:adjustRightInd w:val="0"/>
        <w:jc w:val="both"/>
        <w:rPr>
          <w:color w:val="000000" w:themeColor="text1"/>
          <w:sz w:val="16"/>
          <w:szCs w:val="16"/>
        </w:rPr>
      </w:pPr>
    </w:p>
    <w:p w14:paraId="08ADCED7" w14:textId="77777777" w:rsidR="00073262" w:rsidRPr="00E14102" w:rsidRDefault="00073262" w:rsidP="00E14102">
      <w:pPr>
        <w:pStyle w:val="rtejustify"/>
        <w:spacing w:before="0" w:after="0"/>
        <w:rPr>
          <w:color w:val="000000" w:themeColor="text1"/>
          <w:sz w:val="16"/>
          <w:szCs w:val="16"/>
        </w:rPr>
      </w:pPr>
      <w:r w:rsidRPr="00E14102">
        <w:rPr>
          <w:bCs/>
          <w:color w:val="000000" w:themeColor="text1"/>
          <w:sz w:val="16"/>
          <w:szCs w:val="16"/>
        </w:rPr>
        <w:t>19 августа 1935 г. Молотов, Каганович, Ворошилов — Сталину</w:t>
      </w:r>
    </w:p>
    <w:p w14:paraId="0EE4BDE0"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Шифровка.</w:t>
      </w:r>
    </w:p>
    <w:p w14:paraId="7854F933"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Из Москвы 19/VIII — 35 г. в 22 час. 31 мин. Вх. № 9.</w:t>
      </w:r>
    </w:p>
    <w:p w14:paraId="6EE91246" w14:textId="77777777" w:rsidR="00647F1E" w:rsidRPr="00E14102" w:rsidRDefault="00647F1E" w:rsidP="00E14102">
      <w:pPr>
        <w:pStyle w:val="rtecenter"/>
        <w:spacing w:before="0" w:after="0"/>
        <w:jc w:val="both"/>
        <w:rPr>
          <w:color w:val="000000" w:themeColor="text1"/>
          <w:sz w:val="16"/>
          <w:szCs w:val="16"/>
        </w:rPr>
      </w:pPr>
      <w:r w:rsidRPr="00E14102">
        <w:rPr>
          <w:color w:val="000000" w:themeColor="text1"/>
          <w:sz w:val="16"/>
          <w:szCs w:val="16"/>
        </w:rPr>
        <w:t>Сочи. Тов. Сталину.</w:t>
      </w:r>
    </w:p>
    <w:p w14:paraId="7E6EE982"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Леваневский заявляет: 1) Несмотря на исправление масляной системы он не уверен в безотказности ее в длительном полете. 2) Время для полета в район полюса упущено. Поэтому он считает необходимым перенести полет на будущий год на новом самолете. Леваневский и весь экипаж заявляют, что если нужно, то они готовы, несмотря на свои сомнения, совершить перелет.</w:t>
      </w:r>
    </w:p>
    <w:p w14:paraId="00011797"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Мы считаем нужным в этом году перелет отменить.</w:t>
      </w:r>
    </w:p>
    <w:p w14:paraId="44F2BCF8"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Просим сообщить ваше мнение. HP 16.</w:t>
      </w:r>
    </w:p>
    <w:p w14:paraId="2F484A04"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Молотов, Каганович, Ворошилов.</w:t>
      </w:r>
    </w:p>
    <w:p w14:paraId="034C4D94"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Архив: РГАСПИ Ф. 558. Оп. Л. Д. 88. Л. 36. Подлинник. Машинопись. </w:t>
      </w:r>
    </w:p>
    <w:p w14:paraId="2148DD3E" w14:textId="77777777" w:rsidR="00647F1E" w:rsidRPr="00E14102" w:rsidRDefault="00647F1E" w:rsidP="00E14102">
      <w:pPr>
        <w:jc w:val="both"/>
        <w:rPr>
          <w:color w:val="000000" w:themeColor="text1"/>
          <w:sz w:val="16"/>
          <w:szCs w:val="16"/>
        </w:rPr>
      </w:pPr>
      <w:r w:rsidRPr="00E14102">
        <w:rPr>
          <w:color w:val="000000" w:themeColor="text1"/>
          <w:sz w:val="16"/>
          <w:szCs w:val="16"/>
        </w:rPr>
        <w:t>Источник: Сталин и Каганович. Переписка. 1931–1936 гг. Москва: (РОССПЭН), 2001 Стр. 528 (12320).</w:t>
      </w:r>
    </w:p>
    <w:p w14:paraId="035C4907" w14:textId="77777777" w:rsidR="00647F1E" w:rsidRPr="00E14102" w:rsidRDefault="00647F1E" w:rsidP="00E14102">
      <w:pPr>
        <w:jc w:val="both"/>
        <w:rPr>
          <w:color w:val="000000" w:themeColor="text1"/>
          <w:sz w:val="16"/>
          <w:szCs w:val="16"/>
        </w:rPr>
      </w:pPr>
    </w:p>
    <w:p w14:paraId="643C9296" w14:textId="77777777" w:rsidR="00D226B6" w:rsidRPr="00E14102" w:rsidRDefault="00D226B6" w:rsidP="00E14102">
      <w:pPr>
        <w:shd w:val="clear" w:color="auto" w:fill="FFFFFF"/>
        <w:jc w:val="both"/>
        <w:textAlignment w:val="baseline"/>
        <w:rPr>
          <w:color w:val="0070C0"/>
          <w:sz w:val="16"/>
          <w:szCs w:val="16"/>
        </w:rPr>
      </w:pPr>
      <w:r w:rsidRPr="00E14102">
        <w:rPr>
          <w:color w:val="0070C0"/>
          <w:sz w:val="16"/>
          <w:szCs w:val="16"/>
        </w:rPr>
        <w:t>19 августа 1935 члены Политбюро ЦК ВКП(б) (Молотов, Каганович, Ворошилов) направили в адрес Сталина, находящегося на отдыхе в Сочи, телеграмму следующего содержания:</w:t>
      </w:r>
    </w:p>
    <w:p w14:paraId="02D05EA3" w14:textId="77777777" w:rsidR="00D226B6" w:rsidRPr="00E14102" w:rsidRDefault="00D226B6" w:rsidP="00E14102">
      <w:pPr>
        <w:shd w:val="clear" w:color="auto" w:fill="FFFFFF"/>
        <w:jc w:val="both"/>
        <w:textAlignment w:val="baseline"/>
        <w:rPr>
          <w:color w:val="0070C0"/>
          <w:sz w:val="16"/>
          <w:szCs w:val="16"/>
        </w:rPr>
      </w:pPr>
      <w:r w:rsidRPr="00E14102">
        <w:rPr>
          <w:color w:val="0070C0"/>
          <w:sz w:val="16"/>
          <w:szCs w:val="16"/>
        </w:rPr>
        <w:t>«Леваневский заявляет:</w:t>
      </w:r>
    </w:p>
    <w:p w14:paraId="0ECB3409" w14:textId="77777777" w:rsidR="00D226B6" w:rsidRPr="00E14102" w:rsidRDefault="00D226B6" w:rsidP="00E14102">
      <w:pPr>
        <w:shd w:val="clear" w:color="auto" w:fill="FFFFFF"/>
        <w:jc w:val="both"/>
        <w:textAlignment w:val="baseline"/>
        <w:rPr>
          <w:color w:val="0070C0"/>
          <w:sz w:val="16"/>
          <w:szCs w:val="16"/>
        </w:rPr>
      </w:pPr>
      <w:r w:rsidRPr="00E14102">
        <w:rPr>
          <w:color w:val="0070C0"/>
          <w:sz w:val="16"/>
          <w:szCs w:val="16"/>
        </w:rPr>
        <w:t>1. Несмотря на исправление масляной системы он не уверен в безотказности ее в длительном полете.</w:t>
      </w:r>
    </w:p>
    <w:p w14:paraId="2498062E" w14:textId="77777777" w:rsidR="00D226B6" w:rsidRPr="00E14102" w:rsidRDefault="00D226B6" w:rsidP="00E14102">
      <w:pPr>
        <w:shd w:val="clear" w:color="auto" w:fill="FFFFFF"/>
        <w:jc w:val="both"/>
        <w:textAlignment w:val="baseline"/>
        <w:rPr>
          <w:color w:val="0070C0"/>
          <w:sz w:val="16"/>
          <w:szCs w:val="16"/>
        </w:rPr>
      </w:pPr>
      <w:r w:rsidRPr="00E14102">
        <w:rPr>
          <w:color w:val="0070C0"/>
          <w:sz w:val="16"/>
          <w:szCs w:val="16"/>
        </w:rPr>
        <w:t>2. Время для полета в район полюса упущено. Поэтому он считает необходимым перенести полет на будущий год на новом самолете.</w:t>
      </w:r>
    </w:p>
    <w:p w14:paraId="7731D312" w14:textId="77777777" w:rsidR="00D226B6" w:rsidRPr="00E14102" w:rsidRDefault="00D226B6" w:rsidP="00E14102">
      <w:pPr>
        <w:shd w:val="clear" w:color="auto" w:fill="FFFFFF"/>
        <w:jc w:val="both"/>
        <w:textAlignment w:val="baseline"/>
        <w:rPr>
          <w:color w:val="0070C0"/>
          <w:sz w:val="16"/>
          <w:szCs w:val="16"/>
        </w:rPr>
      </w:pPr>
      <w:r w:rsidRPr="00E14102">
        <w:rPr>
          <w:color w:val="0070C0"/>
          <w:sz w:val="16"/>
          <w:szCs w:val="16"/>
        </w:rPr>
        <w:t>Леваневский и весь экипаж заявляют, что если нужно, то они готовы, несмотря на свои сомнения, совершить перелет. Мы считаем нужным в этом году перелет отменить. Просим сообщить ваше мнение».</w:t>
      </w:r>
    </w:p>
    <w:p w14:paraId="4D7B5ADD" w14:textId="77777777" w:rsidR="00D226B6" w:rsidRPr="00E14102" w:rsidRDefault="00D226B6" w:rsidP="00E14102">
      <w:pPr>
        <w:shd w:val="clear" w:color="auto" w:fill="FFFFFF"/>
        <w:jc w:val="both"/>
        <w:textAlignment w:val="baseline"/>
        <w:rPr>
          <w:color w:val="0070C0"/>
          <w:sz w:val="16"/>
          <w:szCs w:val="16"/>
        </w:rPr>
      </w:pPr>
      <w:r w:rsidRPr="00E14102">
        <w:rPr>
          <w:color w:val="0070C0"/>
          <w:sz w:val="16"/>
          <w:szCs w:val="16"/>
        </w:rPr>
        <w:t>Сталин ответил: «Вполне возможно и даже вероятно, что соображения Леваневского правильны. Согласен на отмену перелета» (21249).</w:t>
      </w:r>
    </w:p>
    <w:p w14:paraId="1059BDE9" w14:textId="77777777" w:rsidR="00D226B6" w:rsidRPr="00E14102" w:rsidRDefault="00D226B6" w:rsidP="00E14102">
      <w:pPr>
        <w:jc w:val="both"/>
        <w:rPr>
          <w:color w:val="0070C0"/>
          <w:sz w:val="16"/>
          <w:szCs w:val="16"/>
        </w:rPr>
      </w:pPr>
    </w:p>
    <w:p w14:paraId="5DD73D27" w14:textId="77777777" w:rsidR="00D226B6" w:rsidRPr="00E14102" w:rsidRDefault="00D226B6" w:rsidP="00E14102">
      <w:pPr>
        <w:jc w:val="both"/>
        <w:rPr>
          <w:color w:val="0070C0"/>
          <w:sz w:val="16"/>
          <w:szCs w:val="16"/>
        </w:rPr>
      </w:pPr>
      <w:r w:rsidRPr="00E14102">
        <w:rPr>
          <w:color w:val="0070C0"/>
          <w:sz w:val="16"/>
          <w:szCs w:val="16"/>
        </w:rPr>
        <w:t>19 августа 1935 года на ПБ разбирался вопрос «О гибели на боевом посту комсомольца-парашютиста Захарова Л.Я.», а 17 февраля 1936 года Политбюро определило меры помощи его семье (АП РФ. Ф. 3. Оп. 50. Д. 660. Л. 68, 92.) (21402)ю</w:t>
      </w:r>
    </w:p>
    <w:p w14:paraId="2551F323" w14:textId="77777777" w:rsidR="00D226B6" w:rsidRPr="00E14102" w:rsidRDefault="00D226B6" w:rsidP="00E14102">
      <w:pPr>
        <w:jc w:val="both"/>
        <w:rPr>
          <w:color w:val="0070C0"/>
          <w:sz w:val="16"/>
          <w:szCs w:val="16"/>
        </w:rPr>
      </w:pPr>
    </w:p>
    <w:p w14:paraId="066A5030" w14:textId="77777777" w:rsidR="0007326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792EF38" w14:textId="77777777" w:rsidR="00073262" w:rsidRPr="00E14102" w:rsidRDefault="00073262" w:rsidP="00E14102">
      <w:pPr>
        <w:autoSpaceDE w:val="0"/>
        <w:autoSpaceDN w:val="0"/>
        <w:adjustRightInd w:val="0"/>
        <w:jc w:val="both"/>
        <w:rPr>
          <w:iCs/>
          <w:color w:val="000000" w:themeColor="text1"/>
          <w:sz w:val="16"/>
          <w:szCs w:val="16"/>
        </w:rPr>
      </w:pPr>
    </w:p>
    <w:p w14:paraId="2A9DC123" w14:textId="77777777" w:rsidR="00D226B6" w:rsidRPr="00E14102" w:rsidRDefault="00D226B6" w:rsidP="00E14102">
      <w:pPr>
        <w:jc w:val="both"/>
        <w:rPr>
          <w:color w:val="0070C0"/>
          <w:sz w:val="16"/>
          <w:szCs w:val="16"/>
        </w:rPr>
      </w:pPr>
      <w:r w:rsidRPr="00E14102">
        <w:rPr>
          <w:color w:val="0070C0"/>
          <w:sz w:val="16"/>
          <w:szCs w:val="16"/>
        </w:rPr>
        <w:t>19 августа 1935 состоялся первый полет CANT Z.506 Northrop XBT-1, прототип Northrop BT (20800).</w:t>
      </w:r>
    </w:p>
    <w:p w14:paraId="01071C9B" w14:textId="77777777" w:rsidR="00D226B6" w:rsidRPr="00E14102" w:rsidRDefault="00D226B6" w:rsidP="00E14102">
      <w:pPr>
        <w:jc w:val="both"/>
        <w:rPr>
          <w:color w:val="0070C0"/>
          <w:sz w:val="16"/>
          <w:szCs w:val="16"/>
        </w:rPr>
      </w:pPr>
    </w:p>
    <w:p w14:paraId="08E12554" w14:textId="77777777" w:rsidR="00D226B6" w:rsidRPr="00E14102" w:rsidRDefault="00D226B6" w:rsidP="00E14102">
      <w:pPr>
        <w:jc w:val="both"/>
        <w:rPr>
          <w:color w:val="0070C0"/>
          <w:sz w:val="16"/>
          <w:szCs w:val="16"/>
        </w:rPr>
      </w:pPr>
      <w:r w:rsidRPr="00E14102">
        <w:rPr>
          <w:color w:val="0070C0"/>
          <w:sz w:val="16"/>
          <w:szCs w:val="16"/>
        </w:rPr>
        <w:t>19 августа 1935 года — первый полёт гидросамолёта CANT Z.506 Airone. /Италия/</w:t>
      </w:r>
    </w:p>
    <w:p w14:paraId="4061B1C7" w14:textId="77777777" w:rsidR="00D226B6" w:rsidRPr="00E14102" w:rsidRDefault="00D226B6" w:rsidP="00E14102">
      <w:pPr>
        <w:jc w:val="both"/>
        <w:rPr>
          <w:color w:val="0070C0"/>
          <w:sz w:val="16"/>
          <w:szCs w:val="16"/>
        </w:rPr>
      </w:pPr>
      <w:r w:rsidRPr="00E14102">
        <w:rPr>
          <w:color w:val="0070C0"/>
          <w:sz w:val="16"/>
          <w:szCs w:val="16"/>
        </w:rPr>
        <w:t>А/к Ala Littoria в 1934 году заказала транспортный гидросамолёт для эксплуатации на своих маршрутах. Компания CANT предложила свой проект Z.505, разработанный конструктором Филиппо Цаппатой (Filippo Zappata). Но, ещё до первого полёта Z.505, Цаппата начал работу над его увеличенной версией — Z.506.</w:t>
      </w:r>
    </w:p>
    <w:p w14:paraId="7EEDEF5A" w14:textId="77777777" w:rsidR="00D226B6" w:rsidRPr="00E14102" w:rsidRDefault="00D226B6" w:rsidP="00E14102">
      <w:pPr>
        <w:jc w:val="both"/>
        <w:rPr>
          <w:color w:val="0070C0"/>
          <w:sz w:val="16"/>
          <w:szCs w:val="16"/>
        </w:rPr>
      </w:pPr>
      <w:r w:rsidRPr="00E14102">
        <w:rPr>
          <w:color w:val="0070C0"/>
          <w:sz w:val="16"/>
          <w:szCs w:val="16"/>
        </w:rPr>
        <w:t>Это был цельнодеревянный среднеплан с поплавковым шасси и экипажем из 3-5 человек. В версии Z.506B оснащался 3 × двигателями Alfa Romeo 126 R.C.34 (750 л.с.) Максимальная скорость — 350 км/ч, дальность полёта — 1998 км. Брал на борт 12-14 пассажиров. В военной версии был вооружён 1 × 12,7-мм пулемётами + 3 × 7,7-мм пулемётами + до 1200 бомб (или торпеда).</w:t>
      </w:r>
    </w:p>
    <w:p w14:paraId="09043FF1" w14:textId="77777777" w:rsidR="00D226B6" w:rsidRPr="00E14102" w:rsidRDefault="00D226B6" w:rsidP="00E14102">
      <w:pPr>
        <w:jc w:val="both"/>
        <w:rPr>
          <w:color w:val="0070C0"/>
          <w:sz w:val="16"/>
          <w:szCs w:val="16"/>
        </w:rPr>
      </w:pPr>
      <w:r w:rsidRPr="00E14102">
        <w:rPr>
          <w:color w:val="0070C0"/>
          <w:sz w:val="16"/>
          <w:szCs w:val="16"/>
        </w:rPr>
        <w:t>314 из 356 выпущенных Cant Z.506 построили в военной версии. Они стояли на вооружении ВВС и ВМФ Италии, а также Испании и Польши. Гражданские модификации летали в а/к Ala Littoria. Последние гидросамолёты Z.506 вывели из эксплуатации в 1960 году (22300).</w:t>
      </w:r>
    </w:p>
    <w:p w14:paraId="0315B7ED" w14:textId="77777777" w:rsidR="00D226B6" w:rsidRPr="00E14102" w:rsidRDefault="00D226B6" w:rsidP="00E14102">
      <w:pPr>
        <w:jc w:val="both"/>
        <w:rPr>
          <w:color w:val="0070C0"/>
          <w:sz w:val="16"/>
          <w:szCs w:val="16"/>
        </w:rPr>
      </w:pPr>
    </w:p>
    <w:p w14:paraId="1AF01083" w14:textId="77777777" w:rsidR="00073262" w:rsidRPr="00E14102" w:rsidRDefault="00073262" w:rsidP="00E14102">
      <w:pPr>
        <w:jc w:val="both"/>
        <w:rPr>
          <w:color w:val="000000" w:themeColor="text1"/>
          <w:sz w:val="16"/>
          <w:szCs w:val="16"/>
        </w:rPr>
      </w:pPr>
      <w:r w:rsidRPr="00E14102">
        <w:rPr>
          <w:color w:val="000000" w:themeColor="text1"/>
          <w:sz w:val="16"/>
          <w:szCs w:val="16"/>
        </w:rPr>
        <w:t xml:space="preserve">19 августа в 1935 году состоялся первый полет американского палубного пикирующего бомбардировщика-разведчика «XBT-1». Машина показала летные данные достаточно приемлемые для продолжения испытаний. В декабре 1935 года прототип был оснащен новым 825 л.с. двигателем «Пратт-Уитни» «R-1535-94» "Твин Уосп Джуниор", в результате чего максимальная скорость возросла до 341 км/ч. С новым двигателем самолет мог нести 453 кг бомбу на высоте 6860 м. Для устранения бафтинга при пикировании раскрывающиеся закрылки - тормозные щитки были перфорированы круглыми отверстиями. Это решило не только проблему бафтинга но и позволило достаточно широко раскрывать закрылки, гася скорость пикирования не слишком уменьшая при этом подъемную силу крыла. Новые пикирующие бомбардировщики летали в составе дивизионов VB-5 авианосца "Йорктаун" и VB-6 авианосца "Энтерпрайз" продемонстрировав при этом целый букет неудовлетворительных летных характеристик, включая курсовую неустойчивость на малых скоростях, низкую эффективность элеронов и рулей на малых скоростях и тенденцию самопроизвольно крутить бочку при резком увеличении оборотов двигателя, что привело к нескольким катастрофам. Однако к счастью для Нортропа, в контракт на «XBT-1» были включены средства на разработку следующего прототипа под обозначением «XBT-2». Перед тем как «XBT-2» вышел из ворот цеха, Джон Нортроп окончательно сдался фирме «Дуглас2 (до этого в течение ряда лет его компания работала как независимая самолетостроительная фирма, но полностью контролировалась «Дуглас»). «XBT-2» вернулся к фирме «Дуглас» и был переименован в </w:t>
      </w:r>
      <w:hyperlink r:id="rId180" w:tgtFrame="_blank" w:history="1">
        <w:r w:rsidRPr="00E14102">
          <w:rPr>
            <w:color w:val="000000" w:themeColor="text1"/>
            <w:sz w:val="16"/>
            <w:szCs w:val="16"/>
          </w:rPr>
          <w:t xml:space="preserve">«XSBD-1». </w:t>
        </w:r>
      </w:hyperlink>
      <w:r w:rsidRPr="00E14102">
        <w:rPr>
          <w:color w:val="000000" w:themeColor="text1"/>
          <w:sz w:val="16"/>
          <w:szCs w:val="16"/>
        </w:rPr>
        <w:t>Изменение обозначения с «B» (bomber) на «SB» (scout bomber - разведывательный бомбардировщик) произошло вследствие желания Бюро Аэронавтики сохранить обозначение "бомбардировщик" для многомоторных машин. Впрочем переобозначение никак не изменило круг предполагаемых задач. «Дуглас SBD» «Даунтлесс» (солдатская кличка "Медленно Но Смертельно" - Slow But Deadly) (14988).</w:t>
      </w:r>
    </w:p>
    <w:p w14:paraId="06B62AEA" w14:textId="77777777" w:rsidR="00073262" w:rsidRPr="00E14102" w:rsidRDefault="00073262" w:rsidP="00E14102">
      <w:pPr>
        <w:jc w:val="both"/>
        <w:rPr>
          <w:color w:val="000000" w:themeColor="text1"/>
          <w:sz w:val="16"/>
          <w:szCs w:val="16"/>
        </w:rPr>
      </w:pPr>
    </w:p>
    <w:p w14:paraId="159904C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A5877B2" w14:textId="77777777" w:rsidR="00D4105E" w:rsidRPr="00E14102" w:rsidRDefault="00D4105E" w:rsidP="00E14102">
      <w:pPr>
        <w:autoSpaceDE w:val="0"/>
        <w:autoSpaceDN w:val="0"/>
        <w:adjustRightInd w:val="0"/>
        <w:jc w:val="both"/>
        <w:rPr>
          <w:iCs/>
          <w:color w:val="000000" w:themeColor="text1"/>
          <w:sz w:val="16"/>
          <w:szCs w:val="16"/>
        </w:rPr>
      </w:pPr>
    </w:p>
    <w:p w14:paraId="1EF4AC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августа 1935 на ДБА 4М-34РН в ходе заводских испытаний в Щелково летали 1 раз 30 мин. на испытание открытия бомболюков и проверку устойчивости и это был 7-й полет машины (249).</w:t>
      </w:r>
    </w:p>
    <w:p w14:paraId="2B94075C" w14:textId="77777777" w:rsidR="00D4105E" w:rsidRPr="00E14102" w:rsidRDefault="00D4105E" w:rsidP="00E14102">
      <w:pPr>
        <w:autoSpaceDE w:val="0"/>
        <w:autoSpaceDN w:val="0"/>
        <w:adjustRightInd w:val="0"/>
        <w:jc w:val="both"/>
        <w:rPr>
          <w:color w:val="000000" w:themeColor="text1"/>
          <w:sz w:val="16"/>
          <w:szCs w:val="16"/>
        </w:rPr>
      </w:pPr>
    </w:p>
    <w:p w14:paraId="68EB24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 20 августа по 5 сентября 1935 в АБ НИИ ВВС проходили войсковые испытания АНТ-4 с ракетными ускорителями, которые сокращали разбег на 50-70% (1016,156).</w:t>
      </w:r>
    </w:p>
    <w:p w14:paraId="1FE202F5" w14:textId="77777777" w:rsidR="00D4105E" w:rsidRPr="00E14102" w:rsidRDefault="00D4105E" w:rsidP="00E14102">
      <w:pPr>
        <w:autoSpaceDE w:val="0"/>
        <w:autoSpaceDN w:val="0"/>
        <w:adjustRightInd w:val="0"/>
        <w:jc w:val="both"/>
        <w:rPr>
          <w:color w:val="000000" w:themeColor="text1"/>
          <w:sz w:val="16"/>
          <w:szCs w:val="16"/>
        </w:rPr>
      </w:pPr>
    </w:p>
    <w:p w14:paraId="3C9826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августа 1935 г. первый опытный экземпляр АНТ-37 разрушился в воздухе по причине вибрации хвостового оперения. Летчик-испытатель К.К. Попов и бортинженер М.М. Егоров спаслись на парашютах, еще один член экипажа погиб. Катастрофа послужила основанием для проведения целого ряда исследований по флаттеру и баф- тингу конструкции, призванных устранить эти опасные явления на всех последующих экземплярах.</w:t>
      </w:r>
    </w:p>
    <w:p w14:paraId="341570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Уже позднее, при разборе аварий и катастроф, произошедших с самолетами АНТ-37, АНТ-40 и АНТ-41, в специальной справке, подготовленной 26 мая 1937 г. за подписью главного конструктора завода №156 В.М. Петляко- ва, говорилось:</w:t>
      </w:r>
    </w:p>
    <w:p w14:paraId="3583D3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"Катастрофа с самолетом АНТ-37 произошла по причине вибраций фюзеляжа вместе с вертикальным оперением, причем согласно акту аварийной комиссии, начальный толчок вибрации дала аэродинамическая перекомпенсация системы руля и серворуля. После того как на самолете этого типа аэродинамическая перекомпенсация была исправлена, фюзеляж сделали прочнее и жестче, проведена полная весовая компенсация рулей, никаких неприятных случаев с этими самолетами не было". Добавить к сказанному следует то, что зачастую причинами летных происшествий оказывались не только новые, неисследованные явления авиации. В частности, катастрофа самолета АНТ-41 (во многом схожему с АНТ-37) произошла из-за разрушения триммера руля высоты, в системе управления которым обнаружили производственный дефект.</w:t>
      </w:r>
    </w:p>
    <w:p w14:paraId="1D44C0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неудачи первого АНТ-37 продолжилось строительство второго опытного экземпляра, который получил обозначение ДБ-2бис (АНТ-37бис). Заказ на изготовление этого аппарата, также называемого "Дублер", открыли еще 2 августа 1935 г. Почти год спустя, 27 июля 1936 г., заместитель председателя СНК СССР Г.К. Орджоникидзе задним числом дал согласие на включение АНТ-37бис в план строительства взамен погибшего самолета (11945).</w:t>
      </w:r>
    </w:p>
    <w:p w14:paraId="7191A88D" w14:textId="77777777" w:rsidR="00D4105E" w:rsidRPr="00E14102" w:rsidRDefault="00D4105E" w:rsidP="00E14102">
      <w:pPr>
        <w:autoSpaceDE w:val="0"/>
        <w:autoSpaceDN w:val="0"/>
        <w:adjustRightInd w:val="0"/>
        <w:jc w:val="both"/>
        <w:rPr>
          <w:color w:val="000000" w:themeColor="text1"/>
          <w:sz w:val="16"/>
          <w:szCs w:val="16"/>
        </w:rPr>
      </w:pPr>
    </w:p>
    <w:p w14:paraId="3E0105CB" w14:textId="77777777" w:rsidR="00A02B95" w:rsidRPr="00E14102" w:rsidRDefault="00A02B95" w:rsidP="00E14102">
      <w:pPr>
        <w:jc w:val="both"/>
        <w:rPr>
          <w:color w:val="0070C0"/>
          <w:sz w:val="16"/>
          <w:szCs w:val="16"/>
        </w:rPr>
      </w:pPr>
      <w:r w:rsidRPr="00E14102">
        <w:rPr>
          <w:color w:val="0070C0"/>
          <w:sz w:val="16"/>
          <w:szCs w:val="16"/>
        </w:rPr>
        <w:t>20 августа 1935 АНТ-37 разру</w:t>
      </w:r>
      <w:r w:rsidRPr="00E14102">
        <w:rPr>
          <w:color w:val="0070C0"/>
          <w:sz w:val="16"/>
          <w:szCs w:val="16"/>
        </w:rPr>
        <w:softHyphen/>
        <w:t>шился в воздухе из-за бафтинга (интен</w:t>
      </w:r>
      <w:r w:rsidRPr="00E14102">
        <w:rPr>
          <w:color w:val="0070C0"/>
          <w:sz w:val="16"/>
          <w:szCs w:val="16"/>
        </w:rPr>
        <w:softHyphen/>
        <w:t>сивных колебаний) вертикального опе</w:t>
      </w:r>
      <w:r w:rsidRPr="00E14102">
        <w:rPr>
          <w:color w:val="0070C0"/>
          <w:sz w:val="16"/>
          <w:szCs w:val="16"/>
        </w:rPr>
        <w:softHyphen/>
        <w:t>рения и фюзеляжа. Два члена экипажа спаслись на парашютах, один — погиб. Неприятности продолжали преследовать машину туполевской фирмы и дальше. Так, на втором опытном ДБ-2бис также проявились опасные вибрации, и в мае 1937 г. самолет с испытаний сняли (19944).</w:t>
      </w:r>
    </w:p>
    <w:p w14:paraId="48481E4D" w14:textId="77777777" w:rsidR="00A02B95" w:rsidRPr="00E14102" w:rsidRDefault="00A02B95" w:rsidP="00E14102">
      <w:pPr>
        <w:jc w:val="both"/>
        <w:rPr>
          <w:color w:val="0070C0"/>
          <w:sz w:val="16"/>
          <w:szCs w:val="16"/>
        </w:rPr>
      </w:pPr>
    </w:p>
    <w:p w14:paraId="11BF5CD9" w14:textId="77777777" w:rsidR="00A02B95" w:rsidRPr="00E14102" w:rsidRDefault="00A02B95" w:rsidP="00E14102">
      <w:pPr>
        <w:jc w:val="both"/>
        <w:rPr>
          <w:color w:val="0070C0"/>
          <w:sz w:val="16"/>
          <w:szCs w:val="16"/>
        </w:rPr>
      </w:pPr>
      <w:r w:rsidRPr="00E14102">
        <w:rPr>
          <w:color w:val="0070C0"/>
          <w:sz w:val="16"/>
          <w:szCs w:val="16"/>
        </w:rPr>
        <w:t>20 августа 1935 первый АНТ-37 разрушился в воздухе из-за вибраций хвостового оперения и фюзе</w:t>
      </w:r>
      <w:r w:rsidRPr="00E14102">
        <w:rPr>
          <w:color w:val="0070C0"/>
          <w:sz w:val="16"/>
          <w:szCs w:val="16"/>
        </w:rPr>
        <w:softHyphen/>
        <w:t>ляжа. Летчик-испытатель К.К. Попов, также называемого «Дублер» и бортинженер М.М. Егоров спаслись на парашютах, еще один член экипажа, бортэлектрик И.В. Титов, погиб. Катаст</w:t>
      </w:r>
      <w:r w:rsidRPr="00E14102">
        <w:rPr>
          <w:color w:val="0070C0"/>
          <w:sz w:val="16"/>
          <w:szCs w:val="16"/>
        </w:rPr>
        <w:softHyphen/>
        <w:t>рофа послужила толчком для проведения целого ряда исследований по флаттеру и бафтингу, призванных устранить такие опасные явления на всех последующих летательных аппаратах (22285).</w:t>
      </w:r>
    </w:p>
    <w:p w14:paraId="7559A162" w14:textId="77777777" w:rsidR="00A02B95" w:rsidRPr="00E14102" w:rsidRDefault="00A02B95" w:rsidP="00E14102">
      <w:pPr>
        <w:jc w:val="both"/>
        <w:rPr>
          <w:color w:val="0070C0"/>
          <w:sz w:val="16"/>
          <w:szCs w:val="16"/>
        </w:rPr>
      </w:pPr>
    </w:p>
    <w:p w14:paraId="7BFC28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августа 1935 вышел приказ ГУАП N 266:</w:t>
      </w:r>
    </w:p>
    <w:p w14:paraId="13BCCD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"Для определения готовности к полету построенного заводом 1 по заказу ЦИАМ самолета ЭД-1 с авиадизелем ЮМО-4, назначаю комиссию." Королев (2172,59).</w:t>
      </w:r>
    </w:p>
    <w:p w14:paraId="4D15F10F" w14:textId="77777777" w:rsidR="00D4105E" w:rsidRPr="00E14102" w:rsidRDefault="00D4105E" w:rsidP="00E14102">
      <w:pPr>
        <w:autoSpaceDE w:val="0"/>
        <w:autoSpaceDN w:val="0"/>
        <w:adjustRightInd w:val="0"/>
        <w:jc w:val="both"/>
        <w:rPr>
          <w:color w:val="000000" w:themeColor="text1"/>
          <w:sz w:val="16"/>
          <w:szCs w:val="16"/>
        </w:rPr>
      </w:pPr>
    </w:p>
    <w:p w14:paraId="5DCD9B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августа 1935 п/п Нач. ГУАП Королева было подготовлено письмо N 242/3770с Дир. завода 81 Кофману по вопросу Сталь-5:</w:t>
      </w:r>
    </w:p>
    <w:p w14:paraId="33CAA9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 как планом опытных работ по ГВФ, утвержденном Правительством, самолет Сталь-5 не предусмотрен, предлагаю прекратить ранее начатые работы, составив акт процента технической готовности как по проектированию, так и по постройке. акт и опись представить не позже 1 сентября 1935." (2336,131).</w:t>
      </w:r>
    </w:p>
    <w:p w14:paraId="00D7F10D" w14:textId="77777777" w:rsidR="00D4105E" w:rsidRPr="00E14102" w:rsidRDefault="00D4105E" w:rsidP="00E14102">
      <w:pPr>
        <w:autoSpaceDE w:val="0"/>
        <w:autoSpaceDN w:val="0"/>
        <w:adjustRightInd w:val="0"/>
        <w:jc w:val="both"/>
        <w:rPr>
          <w:color w:val="000000" w:themeColor="text1"/>
          <w:sz w:val="16"/>
          <w:szCs w:val="16"/>
        </w:rPr>
      </w:pPr>
    </w:p>
    <w:p w14:paraId="77473D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августа 1935 Нач. ГУАП Королев подготовил:</w:t>
      </w:r>
    </w:p>
    <w:p w14:paraId="03052B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КРАТКИЙ ОТЧЕТ ТЕХНИЧЕСКОГО СОСТОЯНИЯ ОПЫТНОГО САМОЛЕТОСТРОЕНИЯ на 20 августа 1935</w:t>
      </w:r>
    </w:p>
    <w:p w14:paraId="7870DF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39</w:t>
      </w:r>
    </w:p>
    <w:p w14:paraId="1D46BA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И-17-М100. Срок пред"явления 1.1Х.35 г. Утвержд. Пр-вом 16.1У.35 г.</w:t>
      </w:r>
    </w:p>
    <w:p w14:paraId="3D7B260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Первый экземпляр находится на заводских испытаниях и дает данные, удовлетворяющие техтребованиям. Ввиду того, что в процессе постройки этого экземпляра встречалось много исправлений, как в ,так и в производстве, самолет в построенном виде не может быть предъявлен на госиспытания, ибо не характеризует полностью всех данных этого типа. Поэтому строится второй экземпляр, который должен быть предъявлен 1.1Хю35 г. и сейчас находится в процессе постройки. Чертежи спущены в производство в апреле месяце с.г. Общая техническая готовность самолета выражается в 48,8%</w:t>
      </w:r>
    </w:p>
    <w:p w14:paraId="386E6C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И19-М85. Срок пред"явления 1.1У.36 г. Ведется разработка эскиз</w:t>
      </w:r>
      <w:r w:rsidRPr="00E14102">
        <w:rPr>
          <w:color w:val="000000" w:themeColor="text1"/>
          <w:sz w:val="16"/>
          <w:szCs w:val="16"/>
        </w:rPr>
        <w:softHyphen/>
        <w:t>ного проекта и исследовательские работы.</w:t>
      </w:r>
    </w:p>
    <w:p w14:paraId="7F3502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И18-М100 с пушкой через редуктор.Срок - 1.1Х.35 г., является вариантом И-17 с паровым хлаждением и пушкой. Техническая готовность по производству - 15%.</w:t>
      </w:r>
    </w:p>
    <w:p w14:paraId="2F9D5F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С.Р.-М85 Срок- 1.1Х.35г. Эскизный проект и макет утверждены до постановления Правительства от 16.1У.35 г. Конструкторские чертежи спущены в производство. Идет заготовка деталей, узлов, частей.Общая техническая готовность - 46.8%.</w:t>
      </w:r>
    </w:p>
    <w:p w14:paraId="435EFD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В.С. Срок 1.У.36 г. Задание новое и дано лишь 16.1У.35 г. Начато эскизное проект ирование.</w:t>
      </w:r>
    </w:p>
    <w:p w14:paraId="2E3D29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С.Б.-2 М85 Срок 1.П.36 г. утверзденный Правительством 16.1У.35 г</w:t>
      </w:r>
    </w:p>
    <w:p w14:paraId="7B72B70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Эскизный проект и макет утверждены по требованиям, согласно плана утвержденного Пр-вом 14.УП.34 г. со сроком пред"явления на госиспытания 1.</w:t>
      </w:r>
      <w:r w:rsidRPr="00E14102">
        <w:rPr>
          <w:color w:val="000000" w:themeColor="text1"/>
          <w:sz w:val="16"/>
          <w:szCs w:val="16"/>
          <w:lang w:val="en-US"/>
        </w:rPr>
        <w:t>XI</w:t>
      </w:r>
      <w:r w:rsidRPr="00E14102">
        <w:rPr>
          <w:color w:val="000000" w:themeColor="text1"/>
          <w:sz w:val="16"/>
          <w:szCs w:val="16"/>
        </w:rPr>
        <w:t>.35 г. Поэтому 1-ый экземпляр может выйти с данными, установленными 14.УП.34 г. Второй экземпляр с выпуском 1.П.36 г. имеется виду дать с повышенными данными соответственно постановлению от 16.1У.35 г.</w:t>
      </w:r>
    </w:p>
    <w:p w14:paraId="7AE3F0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Готовность первого экземпляра по производству выражается в 55%.</w:t>
      </w:r>
    </w:p>
    <w:p w14:paraId="159860A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Второй экземпляр, как модификация первого, находится в конструктивной разработке.</w:t>
      </w:r>
    </w:p>
    <w:p w14:paraId="11C0AB3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ДИ6-М25. Дан планом Пр-ва от 14.УП.34 г. Построен в 2-х экземплярах, которые прошли заводские и госиспытания. Полу</w:t>
      </w:r>
      <w:r w:rsidRPr="00E14102">
        <w:rPr>
          <w:color w:val="000000" w:themeColor="text1"/>
          <w:sz w:val="16"/>
          <w:szCs w:val="16"/>
        </w:rPr>
        <w:softHyphen/>
        <w:t>ченные летно-технические данные оказались значительно превосходящие заданные.</w:t>
      </w:r>
    </w:p>
    <w:p w14:paraId="2775B1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Первый экзештляр переделывается под вариант штурмовика.</w:t>
      </w:r>
    </w:p>
    <w:p w14:paraId="692C33F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Второй экземпляр после аварии 5.УШ отремонтирован и передан для продолжения госиспытаний</w:t>
      </w:r>
    </w:p>
    <w:p w14:paraId="5FD3948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настояцее время строится небольшая серия на заводе № 39.</w:t>
      </w:r>
    </w:p>
    <w:p w14:paraId="52F6DA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ТШ3-М34. Дан планом от 14.УП.34г. Построен вдвух экземплярах, из которых 1-ый прошел заводские испытания и производится усиление хвостового оперения.</w:t>
      </w:r>
    </w:p>
    <w:p w14:paraId="63176BE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Второй экземпляр прошел летно-заводские испитания, производится постановка и испытания вооружения к подготовка к сдаче на госиспытания.</w:t>
      </w:r>
    </w:p>
    <w:p w14:paraId="149449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Ц.А.Г.И.</w:t>
      </w:r>
    </w:p>
    <w:p w14:paraId="17C43FE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ДБ2-2М85 - Приступили к проектированию взамен потерпевшего катастрофу.</w:t>
      </w:r>
    </w:p>
    <w:p w14:paraId="5ED497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 ДИ8-2М85 -Срок 1.УШ.35 г. Закончен постройкой. На заводских испытаниях.</w:t>
      </w:r>
    </w:p>
    <w:p w14:paraId="1CC8AD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 Торпедоносец (Л.К.). Срок 1.ХП.36 г. Заканчивается разработка конструктивных чертежей и идет заготовка деталей. Проект - 79%.</w:t>
      </w:r>
    </w:p>
    <w:p w14:paraId="59A6E86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 Б.ДД (ТБ-7) - 4М34ФРН. Срок - 1.ХП.36 г. Самолет строится в двух модификациях. С центральным наддувои и без него. Без наддува самолет долкен выйти на заводские испытания 1.УП.36 г. с данными ниже поставленных планом 16.1У.35 г. В настоящее время проектирование выполнено на 54% и построена хвостовая часть фюзеляна для экспериментирования и отд. детали техн. готовы.по производству - 9,7%.</w:t>
      </w:r>
    </w:p>
    <w:p w14:paraId="732EF6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13. МТБ2-4М85. Срок 1.УШ.36 г. Заканчивается разработка эскизногопроекта - техн. готовность проекта - 37%.</w:t>
      </w:r>
    </w:p>
    <w:p w14:paraId="6BA194B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 МБР. Срок 1.1Х.36 г. Эскизная проектировка.</w:t>
      </w:r>
    </w:p>
    <w:p w14:paraId="30D2AA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Скоростной автожир - 1.ХП.35 г. Ведутся экспериментальные работы и конструктивная разработка. В постройке отдельные детали и части.</w:t>
      </w:r>
    </w:p>
    <w:p w14:paraId="1CEBE2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16. Геликоптер - 1.УП.36 г. Ведется конструктивная разработка и постройка отдельных деталей и агрегатов.</w:t>
      </w:r>
    </w:p>
    <w:p w14:paraId="205F44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17. МДР4-М34Р. Дан по плану от 14.УП.34 г. Летные данные самолета превосходят требования. Для дальнейшего повышения их установлены М34Р с нагнетателем.</w:t>
      </w:r>
    </w:p>
    <w:p w14:paraId="01D926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18. МК-6М34Р - Дан планом от 14.УП.34 г. Находится на государств. испытаниях. Летные данные превосходят требования.</w:t>
      </w:r>
    </w:p>
    <w:p w14:paraId="02A18F0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дальнейшем намечена установка М34Р с нагнетателем, что должно улучшить летные данные машины.</w:t>
      </w:r>
    </w:p>
    <w:p w14:paraId="0AF815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 ДИП-2М85. Дан планом 14.УП.34 г. Находится после предварительных испытаний на исправлении.</w:t>
      </w:r>
    </w:p>
    <w:p w14:paraId="6A643F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 СБ-2М100. Прошел госиспытания. В настоящее время производится улучшение охлаждения моторов.</w:t>
      </w:r>
    </w:p>
    <w:p w14:paraId="22D474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 СБ-2М25.- Проходит заводские испытания и доводки.</w:t>
      </w:r>
    </w:p>
    <w:p w14:paraId="4B8E7C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1.</w:t>
      </w:r>
    </w:p>
    <w:p w14:paraId="3451DD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22. ИП3-РЦ - Находится на заводских испытаниях. На госиспытания не пред" явлен из-за отсутствия спе</w:t>
      </w:r>
      <w:r w:rsidRPr="00E14102">
        <w:rPr>
          <w:color w:val="000000" w:themeColor="text1"/>
          <w:sz w:val="16"/>
          <w:szCs w:val="16"/>
        </w:rPr>
        <w:softHyphen/>
        <w:t>циального вооружения.</w:t>
      </w:r>
    </w:p>
    <w:p w14:paraId="43B5E8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23. ИП - Срок 1.У.36 г. Разрабатывается проект.</w:t>
      </w:r>
    </w:p>
    <w:p w14:paraId="34A420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ПБ-М85 -Срок 1.Ш.36 г. разрабатываетеся эскизный проект.</w:t>
      </w:r>
    </w:p>
    <w:p w14:paraId="178E37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25. В.С. (Л. К) - 1.У.36 г. В начальной стадии проектирования</w:t>
      </w:r>
    </w:p>
    <w:p w14:paraId="45E2A2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26. СР-М34ФР - 1.ХП. 35 г. Заканчивается конструктивная разработка</w:t>
      </w:r>
    </w:p>
    <w:p w14:paraId="2293F0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27. МИ (Л.К.) - 1.У1.36 г. Разрабатывается эскизный проект.</w:t>
      </w:r>
    </w:p>
    <w:p w14:paraId="206EB24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 Р (Р5-М34Н) - На заводских испытаниях и доводке.</w:t>
      </w:r>
    </w:p>
    <w:p w14:paraId="51BABE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18.</w:t>
      </w:r>
    </w:p>
    <w:p w14:paraId="04299F3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29. СБ-2М34ФРН - Срок госиспытаний 1. </w:t>
      </w:r>
      <w:r w:rsidRPr="00E14102">
        <w:rPr>
          <w:color w:val="000000" w:themeColor="text1"/>
          <w:sz w:val="16"/>
          <w:szCs w:val="16"/>
          <w:lang w:val="en-US"/>
        </w:rPr>
        <w:t>IX</w:t>
      </w:r>
      <w:r w:rsidRPr="00E14102">
        <w:rPr>
          <w:color w:val="000000" w:themeColor="text1"/>
          <w:sz w:val="16"/>
          <w:szCs w:val="16"/>
        </w:rPr>
        <w:t>. 35 г. Эскизный проект и макет утверждены . Самолет находится в постройке. Производственная готовность выражается в 75%.</w:t>
      </w:r>
    </w:p>
    <w:p w14:paraId="4BCCEA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 ВС-2М22 - Срок 1.Х.35 г. Находит ся в производстве. Производственная готовность выражается в 40%.</w:t>
      </w:r>
    </w:p>
    <w:p w14:paraId="0F5F39F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31. П.Б.-М85 - Срок - 1.13.36 г. "Находится в стадии проектирования.</w:t>
      </w:r>
    </w:p>
    <w:p w14:paraId="533E59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32. Т.С. Он же санитарный .Срок 1.</w:t>
      </w:r>
      <w:r w:rsidRPr="00E14102">
        <w:rPr>
          <w:color w:val="000000" w:themeColor="text1"/>
          <w:sz w:val="16"/>
          <w:szCs w:val="16"/>
          <w:lang w:val="en-US"/>
        </w:rPr>
        <w:t>XI</w:t>
      </w:r>
      <w:r w:rsidRPr="00E14102">
        <w:rPr>
          <w:color w:val="000000" w:themeColor="text1"/>
          <w:sz w:val="16"/>
          <w:szCs w:val="16"/>
        </w:rPr>
        <w:t>.36 г. Эскизная проектировка.</w:t>
      </w:r>
    </w:p>
    <w:p w14:paraId="1A05B8A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22.</w:t>
      </w:r>
    </w:p>
    <w:p w14:paraId="68897D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33. БЛД-4М34ФРН - Срок 1.ХП.36 г. Заканчивается подбор материалови приступлено к эскизному проекту.</w:t>
      </w:r>
    </w:p>
    <w:p w14:paraId="7DB329E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34. Истребитель "Звено'' Срок 1.ХП.36 г. Заканчивается конструктивная разработка и в производстве находятся детали. Общетехническая готовность - 15%.</w:t>
      </w:r>
    </w:p>
    <w:p w14:paraId="5D5B585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35. ДБ-4М34-РН. Срок 1.1Х.35 г .Самолет находится на заводских испытаниях.</w:t>
      </w:r>
    </w:p>
    <w:p w14:paraId="1458B7C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31.</w:t>
      </w:r>
    </w:p>
    <w:p w14:paraId="2A8F33A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36. МБР5-РЦ. Срок 1.УШ.35 г. Заканчивается сборка самолета. Общая готовность - 95%; предполагалось на аэродром вывести к 18.УШ.35 г.</w:t>
      </w:r>
    </w:p>
    <w:p w14:paraId="52BD1F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37. КОР-РЦ. Срок 1.Х1.35 г. Ведется конструкт. разработка и постройка. Общий процент готовности - 25%</w:t>
      </w:r>
    </w:p>
    <w:p w14:paraId="3C6B74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38. МДР5 - Срок 1.УШ.36 г. Закончен эскизный проект. Ведется дальнейшая разработка.</w:t>
      </w:r>
    </w:p>
    <w:p w14:paraId="0159E1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45.</w:t>
      </w:r>
    </w:p>
    <w:p w14:paraId="701E6E1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39. МДР6. Срок 1.1.36 г. Эскизный проект утвервден УВС в мае с.г. вместо января, что вызвало задержку в проектировании самолета почти на 4 месяца. В виду этого срок 1.1.36 г. является чрезвычайно напряженным и может сдвинуться на 1.У.36 г.</w:t>
      </w:r>
    </w:p>
    <w:p w14:paraId="5A71CC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40. АРК3-2РЦ.Срок 1.УП.35 г. Изготовляется на кооперированных началах между ГУАП и ГУГВФ на основе договора с ГУСМПом. Общая техническая готовность - 70%</w:t>
      </w:r>
    </w:p>
    <w:p w14:paraId="5ACCDF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41. СПЛ - М11. Срок 1.У.35 г. Проходит госиспытания.</w:t>
      </w:r>
    </w:p>
    <w:p w14:paraId="00B93B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35.</w:t>
      </w:r>
    </w:p>
    <w:p w14:paraId="5D2516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42. СС-М34ФРН. Срок 1.УШ.35 г. Самолет в сборке. Проводится испыта</w:t>
      </w:r>
      <w:r w:rsidRPr="00E14102">
        <w:rPr>
          <w:color w:val="000000" w:themeColor="text1"/>
          <w:sz w:val="16"/>
          <w:szCs w:val="16"/>
        </w:rPr>
        <w:softHyphen/>
        <w:t>ние высотной кабины и приборов на давление. Общая техническая готовность -95%</w:t>
      </w:r>
    </w:p>
    <w:p w14:paraId="72CD93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21.-</w:t>
      </w:r>
    </w:p>
    <w:p w14:paraId="53911F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43. Одноместной истребитель. Самолет находится в начальной стадии проектироваыия.</w:t>
      </w:r>
    </w:p>
    <w:p w14:paraId="0170FBF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 № 23.</w:t>
      </w:r>
    </w:p>
    <w:p w14:paraId="667EDD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44. УТИ-М48. Срок 1.</w:t>
      </w:r>
      <w:r w:rsidRPr="00E14102">
        <w:rPr>
          <w:color w:val="000000" w:themeColor="text1"/>
          <w:sz w:val="16"/>
          <w:szCs w:val="16"/>
          <w:lang w:val="en-US"/>
        </w:rPr>
        <w:t>X</w:t>
      </w:r>
      <w:r w:rsidRPr="00E14102">
        <w:rPr>
          <w:color w:val="000000" w:themeColor="text1"/>
          <w:sz w:val="16"/>
          <w:szCs w:val="16"/>
        </w:rPr>
        <w:t>.35г. Эскизный проект закончен. Часть детаталей сдана в производство. Общая техническая готовность - 20%. Ведутся экспериментальные работы на У-2.Ввиду отсутствия М-48 как опытное,так и серийное задание может быть не выполнено, макет принят.</w:t>
      </w:r>
    </w:p>
    <w:p w14:paraId="2BF680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45. УЗ-М48. Срок 1.У1.35 г. Самолет прошел госиспытанля 29.У.35 г.</w:t>
      </w:r>
    </w:p>
    <w:p w14:paraId="2AAF6C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lang w:val="en-US"/>
        </w:rPr>
        <w:lastRenderedPageBreak/>
        <w:t>X</w:t>
      </w:r>
      <w:r w:rsidRPr="00E14102">
        <w:rPr>
          <w:color w:val="000000" w:themeColor="text1"/>
          <w:sz w:val="16"/>
          <w:szCs w:val="16"/>
        </w:rPr>
        <w:t xml:space="preserve"> А И.</w:t>
      </w:r>
    </w:p>
    <w:p w14:paraId="26D606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46. СР-М34ФРН. Срок 1.ХП.35 г. Эскизный проект по первоначальным Требованиям (14.УП.34 г.) был закончен. В связи с повышением требований 16.1У.35 г. проект перерабатывается полностью. Ввиду очень слабой производственной базы и загрузки конструкторского персонала другими самолетами (СР-К.9, ФР-РД) срок сдачи на госиспытания 1.ХП.35 г.  чрезвычайно напряженный и можэт в существующих условиях сдвинуться.</w:t>
      </w:r>
    </w:p>
    <w:p w14:paraId="7BBD109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47. ФР-М25. Срок 1.У1.35 г. Заводские испытания (начальные) показали, что неооходимы некоторые доделки. В настоящее время самолет готов к повторным заводским испытаниям.</w:t>
      </w:r>
    </w:p>
    <w:p w14:paraId="1F324F6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48. СР-М75. Срок 1.УШ.35 г. Первоначально машина проектировалась под мотор М22. Ввиду несоответствия данных с М22 современным гребованиям к данному типу самолета, мотор заменен на М-75.Самолет в настоящее время проходит статиспытания и находится в сборке.</w:t>
      </w:r>
    </w:p>
    <w:p w14:paraId="681D785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Техническая готовность - 75%.</w:t>
      </w:r>
    </w:p>
    <w:p w14:paraId="4D9E6B7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К.А.И. :</w:t>
      </w:r>
    </w:p>
    <w:p w14:paraId="518E51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49. </w:t>
      </w:r>
      <w:r w:rsidRPr="00E14102">
        <w:rPr>
          <w:smallCaps/>
          <w:color w:val="000000" w:themeColor="text1"/>
          <w:sz w:val="16"/>
          <w:szCs w:val="16"/>
        </w:rPr>
        <w:t xml:space="preserve">ути-М48. </w:t>
      </w:r>
      <w:r w:rsidRPr="00E14102">
        <w:rPr>
          <w:color w:val="000000" w:themeColor="text1"/>
          <w:sz w:val="16"/>
          <w:szCs w:val="16"/>
        </w:rPr>
        <w:t>Срок 1.Х.35 г. Эскизный проект утвержден. Макет пред"явлен УВВС. Ведется конструктивная разработка. Задание может сорваться из-за отсутствия мотора. Готовность по производству - 20%</w:t>
      </w:r>
    </w:p>
    <w:p w14:paraId="5BDE88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50. УБП-2М11 Срок 1.У1.35 г. Самолет закончил заводские испытания (воен. вар.) и проходит госиспытания.</w:t>
      </w:r>
    </w:p>
    <w:p w14:paraId="032DF9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(КОРОЛЕВ) (3419,93).</w:t>
      </w:r>
    </w:p>
    <w:p w14:paraId="15CEC32D" w14:textId="77777777" w:rsidR="00D4105E" w:rsidRPr="00E14102" w:rsidRDefault="00D4105E" w:rsidP="00E14102">
      <w:pPr>
        <w:autoSpaceDE w:val="0"/>
        <w:autoSpaceDN w:val="0"/>
        <w:adjustRightInd w:val="0"/>
        <w:jc w:val="both"/>
        <w:rPr>
          <w:color w:val="000000" w:themeColor="text1"/>
          <w:sz w:val="16"/>
          <w:szCs w:val="16"/>
        </w:rPr>
      </w:pPr>
    </w:p>
    <w:p w14:paraId="38224A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августа 1935 года была подписана производственная характеристика С.В.И., в которой отмечалось, что он, “...как организатор обладает большими способностями, под его руководством за короткое время выросло конструкторское бюро, сильно вырос технический уровень работников. Достоин выдвижения на самую высокую должность в опытном самолетостроении” (9528).</w:t>
      </w:r>
    </w:p>
    <w:p w14:paraId="168FEC7C" w14:textId="77777777" w:rsidR="00D4105E" w:rsidRPr="00E14102" w:rsidRDefault="00D4105E" w:rsidP="00E14102">
      <w:pPr>
        <w:autoSpaceDE w:val="0"/>
        <w:autoSpaceDN w:val="0"/>
        <w:adjustRightInd w:val="0"/>
        <w:jc w:val="both"/>
        <w:rPr>
          <w:color w:val="000000" w:themeColor="text1"/>
          <w:sz w:val="16"/>
          <w:szCs w:val="16"/>
        </w:rPr>
      </w:pPr>
    </w:p>
    <w:p w14:paraId="2A7013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августа 1935 г. К.Е.Ворошилову на заседании Политбюро ЦК ВКП (б) предлагалось подготовить дальнейшие предложения по организации перелета через Северный полюс в 1936 году (11941).</w:t>
      </w:r>
    </w:p>
    <w:p w14:paraId="28A6609E" w14:textId="77777777" w:rsidR="00D4105E" w:rsidRPr="00E14102" w:rsidRDefault="00D4105E" w:rsidP="00E14102">
      <w:pPr>
        <w:autoSpaceDE w:val="0"/>
        <w:autoSpaceDN w:val="0"/>
        <w:adjustRightInd w:val="0"/>
        <w:jc w:val="both"/>
        <w:rPr>
          <w:iCs/>
          <w:color w:val="000000" w:themeColor="text1"/>
          <w:sz w:val="16"/>
          <w:szCs w:val="16"/>
        </w:rPr>
      </w:pPr>
    </w:p>
    <w:p w14:paraId="11D55854" w14:textId="77777777" w:rsidR="0007326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0AA5A91" w14:textId="77777777" w:rsidR="00073262" w:rsidRPr="00E14102" w:rsidRDefault="00073262" w:rsidP="00E14102">
      <w:pPr>
        <w:autoSpaceDE w:val="0"/>
        <w:autoSpaceDN w:val="0"/>
        <w:adjustRightInd w:val="0"/>
        <w:jc w:val="both"/>
        <w:rPr>
          <w:iCs/>
          <w:color w:val="000000" w:themeColor="text1"/>
          <w:sz w:val="16"/>
          <w:szCs w:val="16"/>
        </w:rPr>
      </w:pPr>
    </w:p>
    <w:p w14:paraId="62615486" w14:textId="77777777" w:rsidR="00073262" w:rsidRPr="00E14102" w:rsidRDefault="00073262" w:rsidP="00E14102">
      <w:pPr>
        <w:jc w:val="both"/>
        <w:rPr>
          <w:color w:val="000000" w:themeColor="text1"/>
          <w:sz w:val="16"/>
          <w:szCs w:val="16"/>
        </w:rPr>
      </w:pPr>
      <w:r w:rsidRPr="00E14102">
        <w:rPr>
          <w:color w:val="000000" w:themeColor="text1"/>
          <w:sz w:val="16"/>
          <w:szCs w:val="16"/>
        </w:rPr>
        <w:t>20 августа в 1935 году «Model 299» с Лесли Тауэром и тремя другими членами экипажа прибыл на «Wright Field» для показа должностным лицам «Air Corps». Самолет совершил беспосадочный перелет длиной 2100 миль (3380 км) со средней скоростью 235 миль в час (375 км/час) на средней высоте 12000 футов за 9 часов 3 минуты, побив все существовавшие до этого времени рекорды. Опытный образец был показан представителям армейских ВВС как «Model X-299», но они возразили против такого обозначения как слишком похожего на обозначения экспериментальных военных проектов. В связи с этим официальное название изменили на «B-299» (14989).</w:t>
      </w:r>
    </w:p>
    <w:p w14:paraId="4AF48F71" w14:textId="77777777" w:rsidR="00073262" w:rsidRPr="00E14102" w:rsidRDefault="00073262" w:rsidP="00E14102">
      <w:pPr>
        <w:jc w:val="both"/>
        <w:rPr>
          <w:color w:val="000000" w:themeColor="text1"/>
          <w:sz w:val="16"/>
          <w:szCs w:val="16"/>
        </w:rPr>
      </w:pPr>
    </w:p>
    <w:p w14:paraId="0E72F4BD" w14:textId="77777777" w:rsidR="00A02B95" w:rsidRPr="00E14102" w:rsidRDefault="00A02B95" w:rsidP="00E14102">
      <w:pPr>
        <w:jc w:val="both"/>
        <w:rPr>
          <w:color w:val="0070C0"/>
          <w:sz w:val="16"/>
          <w:szCs w:val="16"/>
        </w:rPr>
      </w:pPr>
      <w:r w:rsidRPr="00E14102">
        <w:rPr>
          <w:color w:val="0070C0"/>
          <w:sz w:val="16"/>
          <w:szCs w:val="16"/>
        </w:rPr>
        <w:t>20 августа 1935 - Boeing Model 299 (прототип B-17) с Лесли Тауэром и тремя другими членами экипажа прибыл на Wright Field для показа должностным лицам Air Corps. Самолет совершил беспосадочный перелёт длиной 2100 миль (3380 км) со средней скоростью 235 миль в час (375 км/час) на средней высоте 12000 футов за 9 часов 3 минуты, побив все существовавшие до этого времени рекорды (22393).</w:t>
      </w:r>
    </w:p>
    <w:p w14:paraId="6B23A916" w14:textId="77777777" w:rsidR="00A02B95" w:rsidRPr="00E14102" w:rsidRDefault="00A02B95" w:rsidP="00E14102">
      <w:pPr>
        <w:jc w:val="both"/>
        <w:rPr>
          <w:color w:val="0070C0"/>
          <w:sz w:val="16"/>
          <w:szCs w:val="16"/>
        </w:rPr>
      </w:pPr>
    </w:p>
    <w:p w14:paraId="521A9432" w14:textId="77777777" w:rsidR="00A02B95" w:rsidRPr="00E14102" w:rsidRDefault="00A02B95" w:rsidP="00E14102">
      <w:pPr>
        <w:jc w:val="both"/>
        <w:rPr>
          <w:color w:val="0070C0"/>
          <w:sz w:val="16"/>
          <w:szCs w:val="16"/>
        </w:rPr>
      </w:pPr>
      <w:r w:rsidRPr="00E14102">
        <w:rPr>
          <w:color w:val="0070C0"/>
          <w:sz w:val="16"/>
          <w:szCs w:val="16"/>
        </w:rPr>
        <w:t>20 августа 1935 г. самолет B-299 (Boeing Bomber Model 299) совершил длительный беспосадочный перелет из Сиэтла на Тихоокеанском побережье США на авиабазу Райт-Филд в восточной части США, для участия в зачетных полетах по конкурсу тяжелых бомбардировщиков для USAAC. При этом он преодолел 3380 км немногим более чем за 10 ч со средней скоростью 375 км/ч, что было больше максимального уровня по ТТТ. Перегон самолета был зачтен как первый полет по программе официальных испытаний, и на основании его результата фирма получила предварительный контракт на 65 серийных самолетов (23158).</w:t>
      </w:r>
    </w:p>
    <w:p w14:paraId="60B42EE2" w14:textId="77777777" w:rsidR="00A02B95" w:rsidRPr="00E14102" w:rsidRDefault="00A02B95" w:rsidP="00E14102">
      <w:pPr>
        <w:jc w:val="both"/>
        <w:rPr>
          <w:color w:val="0070C0"/>
          <w:sz w:val="16"/>
          <w:szCs w:val="16"/>
        </w:rPr>
      </w:pPr>
    </w:p>
    <w:p w14:paraId="232FB81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8B55218" w14:textId="77777777" w:rsidR="00D4105E" w:rsidRPr="00E14102" w:rsidRDefault="00D4105E" w:rsidP="00E14102">
      <w:pPr>
        <w:autoSpaceDE w:val="0"/>
        <w:autoSpaceDN w:val="0"/>
        <w:adjustRightInd w:val="0"/>
        <w:jc w:val="both"/>
        <w:rPr>
          <w:iCs/>
          <w:color w:val="000000" w:themeColor="text1"/>
          <w:sz w:val="16"/>
          <w:szCs w:val="16"/>
        </w:rPr>
      </w:pPr>
    </w:p>
    <w:p w14:paraId="5F1B4E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августа 1935 вышел приказ ГУАП N 45/271:</w:t>
      </w:r>
    </w:p>
    <w:p w14:paraId="359E0C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осуществление постановления КО от 4 августа 1935 N 99 о постройке 16 самолетов типа МГ на заводе 124:</w:t>
      </w:r>
    </w:p>
    <w:p w14:paraId="0B6047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Директору завода Мухину немедленно приступить к подготовке производства самолетов МГ</w:t>
      </w:r>
    </w:p>
    <w:p w14:paraId="07ADD6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Утвердить следующую планировку и сроки выпуска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3599D" w:rsidRPr="00E14102" w14:paraId="7A270CEF" w14:textId="77777777">
        <w:tc>
          <w:tcPr>
            <w:tcW w:w="5636" w:type="dxa"/>
            <w:tcBorders>
              <w:top w:val="single" w:sz="12" w:space="0" w:color="auto"/>
            </w:tcBorders>
          </w:tcPr>
          <w:p w14:paraId="330FFA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1-на - к 1 апреля 1937</w:t>
            </w:r>
          </w:p>
        </w:tc>
        <w:tc>
          <w:tcPr>
            <w:tcW w:w="5636" w:type="dxa"/>
            <w:tcBorders>
              <w:top w:val="single" w:sz="12" w:space="0" w:color="auto"/>
            </w:tcBorders>
          </w:tcPr>
          <w:p w14:paraId="06F82E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 1 апреля 1938</w:t>
            </w:r>
          </w:p>
        </w:tc>
      </w:tr>
      <w:tr w:rsidR="00E3599D" w:rsidRPr="00E14102" w14:paraId="51B55F97" w14:textId="77777777">
        <w:tc>
          <w:tcPr>
            <w:tcW w:w="5636" w:type="dxa"/>
          </w:tcPr>
          <w:p w14:paraId="472837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 1 июля 1937</w:t>
            </w:r>
          </w:p>
        </w:tc>
        <w:tc>
          <w:tcPr>
            <w:tcW w:w="5636" w:type="dxa"/>
          </w:tcPr>
          <w:p w14:paraId="6CD565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 1 июля 1938</w:t>
            </w:r>
          </w:p>
        </w:tc>
      </w:tr>
      <w:tr w:rsidR="00E3599D" w:rsidRPr="00E14102" w14:paraId="0C88A552" w14:textId="77777777">
        <w:tc>
          <w:tcPr>
            <w:tcW w:w="5636" w:type="dxa"/>
          </w:tcPr>
          <w:p w14:paraId="3620F9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 1 октября 1937</w:t>
            </w:r>
          </w:p>
        </w:tc>
        <w:tc>
          <w:tcPr>
            <w:tcW w:w="5636" w:type="dxa"/>
          </w:tcPr>
          <w:p w14:paraId="2A1BEE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к 1 октября 1938</w:t>
            </w:r>
          </w:p>
        </w:tc>
      </w:tr>
      <w:tr w:rsidR="00E3599D" w:rsidRPr="00E14102" w14:paraId="206BF3BC" w14:textId="77777777">
        <w:tc>
          <w:tcPr>
            <w:tcW w:w="5636" w:type="dxa"/>
            <w:tcBorders>
              <w:bottom w:val="single" w:sz="12" w:space="0" w:color="auto"/>
            </w:tcBorders>
          </w:tcPr>
          <w:p w14:paraId="713AF5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 1 января 1938</w:t>
            </w:r>
          </w:p>
        </w:tc>
        <w:tc>
          <w:tcPr>
            <w:tcW w:w="5636" w:type="dxa"/>
            <w:tcBorders>
              <w:bottom w:val="single" w:sz="12" w:space="0" w:color="auto"/>
            </w:tcBorders>
          </w:tcPr>
          <w:p w14:paraId="7DEA4B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к 1 января 1939 (2170,94)</w:t>
            </w:r>
          </w:p>
        </w:tc>
      </w:tr>
    </w:tbl>
    <w:p w14:paraId="6872468A" w14:textId="77777777" w:rsidR="00D4105E" w:rsidRPr="00E14102" w:rsidRDefault="00D4105E" w:rsidP="00E14102">
      <w:pPr>
        <w:autoSpaceDE w:val="0"/>
        <w:autoSpaceDN w:val="0"/>
        <w:adjustRightInd w:val="0"/>
        <w:jc w:val="both"/>
        <w:rPr>
          <w:color w:val="000000" w:themeColor="text1"/>
          <w:sz w:val="16"/>
          <w:szCs w:val="16"/>
        </w:rPr>
      </w:pPr>
    </w:p>
    <w:p w14:paraId="030914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августа 1935 на 22 заводе закончились испытания водо-масляных радиаторов на ТБ-3 4М-34РН N 22566, которые начались 17 августа 1935. Отв. исполнители: нач. ЛЭС Фролов и ви ЛЭС Баклунов. Заключение:</w:t>
      </w:r>
    </w:p>
    <w:p w14:paraId="0E6E8D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Режим подъема и гор. полет без включения в/мр допускает нормальную работу моторов М-34РН при температуре воздуха на земле до +30.</w:t>
      </w:r>
    </w:p>
    <w:p w14:paraId="424983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Для обеспечения нормальной работы М-34РН при температурах на земле свыше +30 необходима установка в/мр</w:t>
      </w:r>
    </w:p>
    <w:p w14:paraId="19446B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Для окончательного заключения о снятии в/мр в условиях эксплуатации при температуре до +30, просить УВС провести более длительное испытание на машине N 22570 (2939).</w:t>
      </w:r>
    </w:p>
    <w:p w14:paraId="70E88A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 выявить целесообразность применения водо-масляных радиаторов (типа РД-3) при эксплуатации на М-34РН (2939).</w:t>
      </w:r>
    </w:p>
    <w:p w14:paraId="2426EF82" w14:textId="77777777" w:rsidR="00D4105E" w:rsidRPr="00E14102" w:rsidRDefault="00D4105E" w:rsidP="00E14102">
      <w:pPr>
        <w:autoSpaceDE w:val="0"/>
        <w:autoSpaceDN w:val="0"/>
        <w:adjustRightInd w:val="0"/>
        <w:jc w:val="both"/>
        <w:rPr>
          <w:color w:val="000000" w:themeColor="text1"/>
          <w:sz w:val="16"/>
          <w:szCs w:val="16"/>
        </w:rPr>
      </w:pPr>
    </w:p>
    <w:p w14:paraId="04BF0B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августа 1935 Врид Нач. 4 отдела УВВС РККА Горощенко было подписано Заключение по эскизному проекту скоростного разведчика Завода 1 под М-85 - моноплана-низкоплана с убирающимся шасси (2336,153).</w:t>
      </w:r>
    </w:p>
    <w:p w14:paraId="30211783" w14:textId="77777777" w:rsidR="00D4105E" w:rsidRPr="00E14102" w:rsidRDefault="00D4105E" w:rsidP="00E14102">
      <w:pPr>
        <w:autoSpaceDE w:val="0"/>
        <w:autoSpaceDN w:val="0"/>
        <w:adjustRightInd w:val="0"/>
        <w:jc w:val="both"/>
        <w:rPr>
          <w:color w:val="000000" w:themeColor="text1"/>
          <w:sz w:val="16"/>
          <w:szCs w:val="16"/>
        </w:rPr>
      </w:pPr>
    </w:p>
    <w:p w14:paraId="008FB9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августа 1935 было подготовлено и подписано Врид Нач. 4 отд. УВВС Горощенко Заключение по эскизному проекту скоростного разведчика завода N 1 под М-85:</w:t>
      </w:r>
    </w:p>
    <w:p w14:paraId="24C0FE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завод 1 представил эскизный проект и боевую схему скоростного разведчика под М-85 с нижеследующими ЛД:</w:t>
      </w:r>
    </w:p>
    <w:p w14:paraId="1ADFCD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 скор. на 4000 м - 446 км/час</w:t>
      </w:r>
    </w:p>
    <w:p w14:paraId="16EA38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 скорость - 94 км/час</w:t>
      </w:r>
    </w:p>
    <w:p w14:paraId="3279C2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Практ. потолок - 8835 м</w:t>
      </w:r>
    </w:p>
    <w:p w14:paraId="0430D1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полета - 1175 км</w:t>
      </w:r>
    </w:p>
    <w:p w14:paraId="5FE3B3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полета при перегр. - 1800 км</w:t>
      </w:r>
    </w:p>
    <w:p w14:paraId="3D7869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виража на 1000 м - 21 сек.</w:t>
      </w:r>
    </w:p>
    <w:p w14:paraId="4F7678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схеме самолет представляет из себя моноплан низкоплан с убирающимся шасси и нормальным размещением экипажа...(2336,153).</w:t>
      </w:r>
    </w:p>
    <w:p w14:paraId="0EFB9EC1" w14:textId="77777777" w:rsidR="00D4105E" w:rsidRPr="00E14102" w:rsidRDefault="00D4105E" w:rsidP="00E14102">
      <w:pPr>
        <w:autoSpaceDE w:val="0"/>
        <w:autoSpaceDN w:val="0"/>
        <w:adjustRightInd w:val="0"/>
        <w:jc w:val="both"/>
        <w:rPr>
          <w:color w:val="000000" w:themeColor="text1"/>
          <w:sz w:val="16"/>
          <w:szCs w:val="16"/>
        </w:rPr>
      </w:pPr>
    </w:p>
    <w:p w14:paraId="66060A4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21 августа по 11 сентября 1936 года проходили гос. испытания самолета У-4 М-11 (6732).</w:t>
      </w:r>
    </w:p>
    <w:p w14:paraId="10C65B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24AC7A8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в/инженер 2 ранга Ивановский А.А.</w:t>
      </w:r>
    </w:p>
    <w:p w14:paraId="07E60C5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ст. лейтенант Расстригин А.Ф.</w:t>
      </w:r>
    </w:p>
    <w:p w14:paraId="1F73A0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31D67CE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возможности применения самолета У-4 для первоначального обучения и замены им существующего самолета У-2.</w:t>
      </w:r>
    </w:p>
    <w:p w14:paraId="0C828DB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Снятие летных характеристик самолета и выявление его основных летных качеств.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E3599D" w:rsidRPr="00E14102" w14:paraId="161DF581" w14:textId="77777777">
        <w:tc>
          <w:tcPr>
            <w:tcW w:w="4428" w:type="dxa"/>
            <w:tcBorders>
              <w:top w:val="single" w:sz="12" w:space="0" w:color="auto"/>
            </w:tcBorders>
          </w:tcPr>
          <w:p w14:paraId="0783C9F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Горизонтальные максимальные скорости</w:t>
            </w:r>
          </w:p>
          <w:p w14:paraId="65E73DA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 земли</w:t>
            </w:r>
          </w:p>
          <w:p w14:paraId="7335095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Н=1000 м</w:t>
            </w:r>
          </w:p>
          <w:p w14:paraId="54B4D22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Н=3000 м</w:t>
            </w:r>
          </w:p>
        </w:tc>
        <w:tc>
          <w:tcPr>
            <w:tcW w:w="4428" w:type="dxa"/>
            <w:tcBorders>
              <w:top w:val="single" w:sz="12" w:space="0" w:color="auto"/>
            </w:tcBorders>
          </w:tcPr>
          <w:p w14:paraId="37EF2A2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D315AB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170,5 км/час</w:t>
            </w:r>
          </w:p>
          <w:p w14:paraId="1972B11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169,0 км/час</w:t>
            </w:r>
          </w:p>
          <w:p w14:paraId="6000B49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153,5 км/час</w:t>
            </w:r>
          </w:p>
        </w:tc>
      </w:tr>
      <w:tr w:rsidR="00E3599D" w:rsidRPr="00E14102" w14:paraId="14186C36" w14:textId="77777777">
        <w:tc>
          <w:tcPr>
            <w:tcW w:w="4428" w:type="dxa"/>
          </w:tcPr>
          <w:p w14:paraId="1660231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Скороподъемность</w:t>
            </w:r>
          </w:p>
          <w:p w14:paraId="012FF3C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 Н=1000 м</w:t>
            </w:r>
          </w:p>
          <w:p w14:paraId="27A8679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 Н=3000 м</w:t>
            </w:r>
          </w:p>
        </w:tc>
        <w:tc>
          <w:tcPr>
            <w:tcW w:w="4428" w:type="dxa"/>
          </w:tcPr>
          <w:p w14:paraId="029A280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EFF622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6,4 мин.</w:t>
            </w:r>
          </w:p>
          <w:p w14:paraId="5665A2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29,6 мин.</w:t>
            </w:r>
          </w:p>
        </w:tc>
      </w:tr>
      <w:tr w:rsidR="00E3599D" w:rsidRPr="00E14102" w14:paraId="79E97A0D" w14:textId="77777777">
        <w:tc>
          <w:tcPr>
            <w:tcW w:w="4428" w:type="dxa"/>
          </w:tcPr>
          <w:p w14:paraId="07FC075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Посадочная скорость</w:t>
            </w:r>
          </w:p>
          <w:p w14:paraId="6AB1950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закрытыми щитками</w:t>
            </w:r>
          </w:p>
          <w:p w14:paraId="39AE146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открытыми щитками</w:t>
            </w:r>
          </w:p>
        </w:tc>
        <w:tc>
          <w:tcPr>
            <w:tcW w:w="4428" w:type="dxa"/>
          </w:tcPr>
          <w:p w14:paraId="66510FA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ED3476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70 км/час</w:t>
            </w:r>
          </w:p>
          <w:p w14:paraId="1A66EEF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 км/час</w:t>
            </w:r>
          </w:p>
        </w:tc>
      </w:tr>
      <w:tr w:rsidR="00E3599D" w:rsidRPr="00E14102" w14:paraId="1C0250B2" w14:textId="77777777">
        <w:tc>
          <w:tcPr>
            <w:tcW w:w="4428" w:type="dxa"/>
          </w:tcPr>
          <w:p w14:paraId="0CFC312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Потолок практический</w:t>
            </w:r>
          </w:p>
        </w:tc>
        <w:tc>
          <w:tcPr>
            <w:tcW w:w="4428" w:type="dxa"/>
          </w:tcPr>
          <w:p w14:paraId="41F62B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4000 м</w:t>
            </w:r>
          </w:p>
        </w:tc>
      </w:tr>
      <w:tr w:rsidR="00E3599D" w:rsidRPr="00E14102" w14:paraId="08C7A87D" w14:textId="77777777">
        <w:tc>
          <w:tcPr>
            <w:tcW w:w="4428" w:type="dxa"/>
          </w:tcPr>
          <w:p w14:paraId="1FDE709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Разбег</w:t>
            </w:r>
          </w:p>
        </w:tc>
        <w:tc>
          <w:tcPr>
            <w:tcW w:w="4428" w:type="dxa"/>
          </w:tcPr>
          <w:p w14:paraId="339225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130 м</w:t>
            </w:r>
          </w:p>
        </w:tc>
      </w:tr>
      <w:tr w:rsidR="00E3599D" w:rsidRPr="00E14102" w14:paraId="1EA4187A" w14:textId="77777777">
        <w:tc>
          <w:tcPr>
            <w:tcW w:w="4428" w:type="dxa"/>
            <w:tcBorders>
              <w:bottom w:val="single" w:sz="12" w:space="0" w:color="auto"/>
            </w:tcBorders>
          </w:tcPr>
          <w:p w14:paraId="6E976D8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Пробег</w:t>
            </w:r>
          </w:p>
          <w:p w14:paraId="4251644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закрытыми щитками</w:t>
            </w:r>
          </w:p>
          <w:p w14:paraId="4781C7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открытыми щитками</w:t>
            </w:r>
          </w:p>
        </w:tc>
        <w:tc>
          <w:tcPr>
            <w:tcW w:w="4428" w:type="dxa"/>
            <w:tcBorders>
              <w:bottom w:val="single" w:sz="12" w:space="0" w:color="auto"/>
            </w:tcBorders>
          </w:tcPr>
          <w:p w14:paraId="58DC9C8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26EF3C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150 м</w:t>
            </w:r>
          </w:p>
          <w:p w14:paraId="158B5E0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80 м</w:t>
            </w:r>
          </w:p>
        </w:tc>
      </w:tr>
    </w:tbl>
    <w:p w14:paraId="184BCE8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F3F9C9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У-4 М-11 конструкции и постройки завода № 23 в предъявленном виде по своим летно-эксплоатационным качествам менее подходит для первоначального обучения, чем существующий самолет У-2.</w:t>
      </w:r>
    </w:p>
    <w:p w14:paraId="3667FF0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21 августа по 11 сентября 1936 года самолет У-4 совершил 76 полетов общей продолжительностью 24 час. 17 мин.</w:t>
      </w:r>
    </w:p>
    <w:p w14:paraId="4EAEF6F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У-4 является дальнейшей модификацией самолета У-2 после экспериментального самолета Э-23 (участвовашего в 1-м всесоюзном перелете по конкурсу легких самолетов в 1935 году) (6732).</w:t>
      </w:r>
    </w:p>
    <w:p w14:paraId="294582F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ABE8676" w14:textId="77777777" w:rsidR="00BE1297" w:rsidRPr="00E14102" w:rsidRDefault="00BE129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периоде 21 августа по 11 сентября 1936 года проходили испытания У-4. Летал А.А.Ивановский, по мнению которого полет на У-4 оказался менее утомительным, уровень шума в закрытой кабине - существенно ниже, а эффективное использование триммера позволяло сбалансировать самолет в полете на любом режиме. Машина была способна выполнять перевернутый полет. При закрытых посадочных щитках У-4 мало отличался от стандартного У-2. Впрочем, полетная скорость ощутимо возросла, однако снизился рабочий потолок. Использование щитков уменьшало посадочную скорость на 29%, а пробег - на 47%.</w:t>
      </w:r>
    </w:p>
    <w:p w14:paraId="2A394E4F" w14:textId="77777777" w:rsidR="00BE1297" w:rsidRPr="00E14102" w:rsidRDefault="00BE129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bCs/>
          <w:color w:val="000000" w:themeColor="text1"/>
          <w:sz w:val="16"/>
          <w:szCs w:val="16"/>
          <w:lang w:val="ru-RU"/>
        </w:rPr>
        <w:t>У-4</w:t>
      </w:r>
      <w:r w:rsidRPr="00E14102">
        <w:rPr>
          <w:rFonts w:ascii="Times New Roman" w:hAnsi="Times New Roman" w:cs="Times New Roman"/>
          <w:color w:val="000000" w:themeColor="text1"/>
          <w:sz w:val="16"/>
          <w:szCs w:val="16"/>
          <w:lang w:val="ru-RU"/>
        </w:rPr>
        <w:t xml:space="preserve"> изготовили в 1936 году и он отличался уменьшенными размерами и улучшенной аэродинамикой. Хорда крыльев с симметричным профилем </w:t>
      </w:r>
      <w:r w:rsidRPr="00E14102">
        <w:rPr>
          <w:rFonts w:ascii="Times New Roman" w:hAnsi="Times New Roman" w:cs="Times New Roman"/>
          <w:color w:val="000000" w:themeColor="text1"/>
          <w:sz w:val="16"/>
          <w:szCs w:val="16"/>
        </w:rPr>
        <w:t>NACA</w:t>
      </w:r>
      <w:r w:rsidRPr="00E14102">
        <w:rPr>
          <w:rFonts w:ascii="Times New Roman" w:hAnsi="Times New Roman" w:cs="Times New Roman"/>
          <w:color w:val="000000" w:themeColor="text1"/>
          <w:sz w:val="16"/>
          <w:szCs w:val="16"/>
          <w:lang w:val="ru-RU"/>
        </w:rPr>
        <w:t xml:space="preserve"> 0012 составляла 1400 мм, хвостовое оперение измененной формы выполнили из дюраля.</w:t>
      </w:r>
    </w:p>
    <w:p w14:paraId="737E06AF" w14:textId="77777777" w:rsidR="00BE1297" w:rsidRPr="00E14102" w:rsidRDefault="00BE1297" w:rsidP="00E14102">
      <w:pPr>
        <w:pStyle w:val="ad"/>
        <w:spacing w:before="0" w:after="0"/>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lang w:val="ru-RU"/>
        </w:rPr>
        <w:t xml:space="preserve">Для снижения посадочной скорости на верхнем и нижнем крыле оборудовали щитки ЦАП. Установили зализы на стыке нижнего крыла, кабины пилотов закрыли прозрачным фонарем, в котором на гнутых поверхностях использовался целлулоид, а на боковых гранях - триплекс. Колеса оснастили тормозами, установили новые пилотские сидения под спасательный парашют летчика ПЛ-1. Топливная система включала фюзеляжный бак емкостью 132 л. и центропланный бак емкостью </w:t>
      </w:r>
      <w:r w:rsidRPr="00E14102">
        <w:rPr>
          <w:rFonts w:ascii="Times New Roman" w:hAnsi="Times New Roman" w:cs="Times New Roman"/>
          <w:color w:val="000000" w:themeColor="text1"/>
          <w:sz w:val="16"/>
          <w:szCs w:val="16"/>
        </w:rPr>
        <w:t>118 л.</w:t>
      </w:r>
    </w:p>
    <w:p w14:paraId="44D36D8C" w14:textId="77777777" w:rsidR="00BE1297" w:rsidRPr="00E14102" w:rsidRDefault="00BE129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целом У-4 воспринимался положительно, мог использоваться исполкомовской авиацией и как самолет для местной связи. Одновременно отмечался недостаточный обзор из пилотской кабины при выруливании на старт, взлете и посадке. Залезать в кабины и покидать их оказалось неудобно. Посадочная скорость без использования щитков заметно превышала скорость У-2, посадка с открытыми щитками вызывала затруднения для ученика. Техника пилотирования У-4 заметно усложнилась, при высоком выравнивании и потере скорости самолет сваливался на правое крыло.</w:t>
      </w:r>
    </w:p>
    <w:p w14:paraId="7E1E6501" w14:textId="77777777" w:rsidR="00BE1297" w:rsidRPr="00E14102" w:rsidRDefault="00BE129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В результате испытаний было решено, что по причине усложнения эксплуатации и меньшей устойчивости У-4 не может заменить У-2 как учебный самолет. В дальнейшем заводу </w:t>
      </w:r>
      <w:r w:rsidRPr="00E14102">
        <w:rPr>
          <w:rFonts w:ascii="Times New Roman" w:hAnsi="Times New Roman" w:cs="Times New Roman"/>
          <w:color w:val="000000" w:themeColor="text1"/>
          <w:sz w:val="16"/>
          <w:szCs w:val="16"/>
        </w:rPr>
        <w:t>No</w:t>
      </w:r>
      <w:r w:rsidRPr="00E14102">
        <w:rPr>
          <w:rFonts w:ascii="Times New Roman" w:hAnsi="Times New Roman" w:cs="Times New Roman"/>
          <w:color w:val="000000" w:themeColor="text1"/>
          <w:sz w:val="16"/>
          <w:szCs w:val="16"/>
          <w:lang w:val="ru-RU"/>
        </w:rPr>
        <w:t>.23 предлагалось устранить замеченные недостатки и приспособить самолет для выполнения обратного пилотажа (19616).</w:t>
      </w:r>
    </w:p>
    <w:p w14:paraId="6F15CCB3" w14:textId="77777777" w:rsidR="00BE1297" w:rsidRPr="00E14102" w:rsidRDefault="00BE1297" w:rsidP="00E14102">
      <w:pPr>
        <w:jc w:val="both"/>
        <w:rPr>
          <w:color w:val="000000" w:themeColor="text1"/>
          <w:sz w:val="16"/>
          <w:szCs w:val="16"/>
        </w:rPr>
      </w:pPr>
    </w:p>
    <w:p w14:paraId="70E9D87A" w14:textId="77777777" w:rsidR="00A02B95" w:rsidRPr="00E14102" w:rsidRDefault="00A02B95" w:rsidP="00E14102">
      <w:pPr>
        <w:shd w:val="clear" w:color="auto" w:fill="FFFFFF"/>
        <w:jc w:val="both"/>
        <w:rPr>
          <w:color w:val="0070C0"/>
          <w:sz w:val="16"/>
          <w:szCs w:val="16"/>
        </w:rPr>
      </w:pPr>
      <w:r w:rsidRPr="00E14102">
        <w:rPr>
          <w:color w:val="0070C0"/>
          <w:sz w:val="16"/>
          <w:szCs w:val="16"/>
        </w:rPr>
        <w:t>21 августа 1935 года М.М. Громов и летчик-полярник М.В. Водопьянов направили записку О.Ю. Шмидту.</w:t>
      </w:r>
    </w:p>
    <w:p w14:paraId="5622B116" w14:textId="77777777" w:rsidR="00A02B95" w:rsidRPr="00E14102" w:rsidRDefault="00A02B95" w:rsidP="00E14102">
      <w:pPr>
        <w:shd w:val="clear" w:color="auto" w:fill="FFFFFF"/>
        <w:jc w:val="both"/>
        <w:rPr>
          <w:color w:val="0070C0"/>
          <w:sz w:val="16"/>
          <w:szCs w:val="16"/>
        </w:rPr>
      </w:pPr>
      <w:r w:rsidRPr="00E14102">
        <w:rPr>
          <w:color w:val="0070C0"/>
          <w:sz w:val="16"/>
          <w:szCs w:val="16"/>
        </w:rPr>
        <w:t>«Наличие радиометеорологических станций, — писал Водопьянов, — не только на побережье материка, но и в отдельных пунктах (Земля Франца-Иосифа, Шпицберген, Северная Земля, Врангель и т. п.) дает возможность при их обслуживании осуществить в 1936–1937 годах комплексную воздушную экспедицию на Северный полюс. Для этого в составе экспедиции необходимо иметь три хорошо оборудованных для арктических полетов самолета Р-5 и один мощный самолет АНТ-7 (ТБ-3. — </w:t>
      </w:r>
      <w:r w:rsidRPr="00E14102">
        <w:rPr>
          <w:i/>
          <w:iCs/>
          <w:color w:val="0070C0"/>
          <w:sz w:val="16"/>
          <w:szCs w:val="16"/>
        </w:rPr>
        <w:t>Прим. авт.</w:t>
      </w:r>
      <w:r w:rsidRPr="00E14102">
        <w:rPr>
          <w:color w:val="0070C0"/>
          <w:sz w:val="16"/>
          <w:szCs w:val="16"/>
        </w:rPr>
        <w:t>). Необходимость этих самолетов вызывается следующим.</w:t>
      </w:r>
    </w:p>
    <w:p w14:paraId="0BF08112" w14:textId="77777777" w:rsidR="00A02B95" w:rsidRPr="00E14102" w:rsidRDefault="00A02B95" w:rsidP="00E14102">
      <w:pPr>
        <w:shd w:val="clear" w:color="auto" w:fill="FFFFFF"/>
        <w:jc w:val="both"/>
        <w:rPr>
          <w:color w:val="0070C0"/>
          <w:sz w:val="16"/>
          <w:szCs w:val="16"/>
        </w:rPr>
      </w:pPr>
      <w:r w:rsidRPr="00E14102">
        <w:rPr>
          <w:color w:val="0070C0"/>
          <w:sz w:val="16"/>
          <w:szCs w:val="16"/>
        </w:rPr>
        <w:t>В навигацию 1936 года два самолета Р-5 должны произвести глубокие разведывательные полеты на 200–300 км от корабля с посадкой на лед в районе полярного бассейна. Остальные самолеты, АНТ-7 и Р-5, должны быть доставлены и выгружены в бухте Тихой (остров Гукера, ЗФИ), которая явится в 1937 году центральной базой для вылета на Северный полюс…</w:t>
      </w:r>
    </w:p>
    <w:p w14:paraId="24944E7B" w14:textId="77777777" w:rsidR="00A02B95" w:rsidRPr="00E14102" w:rsidRDefault="00A02B95" w:rsidP="00E14102">
      <w:pPr>
        <w:shd w:val="clear" w:color="auto" w:fill="FFFFFF"/>
        <w:jc w:val="both"/>
        <w:rPr>
          <w:color w:val="0070C0"/>
          <w:sz w:val="16"/>
          <w:szCs w:val="16"/>
        </w:rPr>
      </w:pPr>
      <w:r w:rsidRPr="00E14102">
        <w:rPr>
          <w:color w:val="0070C0"/>
          <w:sz w:val="16"/>
          <w:szCs w:val="16"/>
        </w:rPr>
        <w:t>Самым лучшим временем для осуществления полета на Северный полюс являются месяцы март, апрель… От острова Гукера до полюса около 1000 км, что дает полную возможность полета до полюса и обратно. Самолет АНТ-7 позволяет взять 6–7 человек с полным запасом арктического пайка на 2–3 месяца. Кроме того, легко можно взять все необходимое для жизни на полюсе (научное и техническое оборудование, палатки, мешки, меховую одежду и т. д.)…</w:t>
      </w:r>
    </w:p>
    <w:p w14:paraId="68938E56" w14:textId="77777777" w:rsidR="00A02B95" w:rsidRPr="00E14102" w:rsidRDefault="00A02B95" w:rsidP="00E14102">
      <w:pPr>
        <w:shd w:val="clear" w:color="auto" w:fill="FFFFFF"/>
        <w:jc w:val="both"/>
        <w:rPr>
          <w:color w:val="0070C0"/>
          <w:sz w:val="16"/>
          <w:szCs w:val="16"/>
        </w:rPr>
      </w:pPr>
      <w:r w:rsidRPr="00E14102">
        <w:rPr>
          <w:color w:val="0070C0"/>
          <w:sz w:val="16"/>
          <w:szCs w:val="16"/>
        </w:rPr>
        <w:t>Вопрос транспортной связи между Европой, Азией и Америкой (через Северный полюс) ждет окончательного разрешения. Полеты Андрэ, Бэрда, Амундсена, Нобиле, Уилкинса и других ставили в основном не всестороннее научное освещение, а лишь спортивный, сенсационный интерес. До сего времени на Северном полюсе не было человека. Для осуществления полета и посадки на Северном полюсе мы должны подходить не с позиций голого рекордсменства, а с планомерного и систематического изучения районов, прилегающих к Северному полюсу. Этот полет может быть и должен быть совершенно с исключительно подготовленными кадрами, людьми, изучившими технику своего дела. В нашей советской стране такие люди и самолеты есть» (20467).</w:t>
      </w:r>
    </w:p>
    <w:p w14:paraId="7FC86848" w14:textId="77777777" w:rsidR="00A02B95" w:rsidRPr="00E14102" w:rsidRDefault="00A02B95" w:rsidP="00E14102">
      <w:pPr>
        <w:jc w:val="both"/>
        <w:rPr>
          <w:color w:val="0070C0"/>
          <w:sz w:val="16"/>
          <w:szCs w:val="16"/>
        </w:rPr>
      </w:pPr>
    </w:p>
    <w:p w14:paraId="325ADA4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273A064" w14:textId="77777777" w:rsidR="00D4105E" w:rsidRPr="00E14102" w:rsidRDefault="00D4105E" w:rsidP="00E14102">
      <w:pPr>
        <w:autoSpaceDE w:val="0"/>
        <w:autoSpaceDN w:val="0"/>
        <w:adjustRightInd w:val="0"/>
        <w:jc w:val="both"/>
        <w:rPr>
          <w:iCs/>
          <w:color w:val="000000" w:themeColor="text1"/>
          <w:sz w:val="16"/>
          <w:szCs w:val="16"/>
        </w:rPr>
      </w:pPr>
    </w:p>
    <w:p w14:paraId="08DCFF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августа 1935 года вышло распоряжение ГУВП об изготовлении заводом № 92 76-мм батальонной гаубицы-пушки Ф-23-I и 76-мм батальонной гаубицы Ф-23-II (3861).</w:t>
      </w:r>
    </w:p>
    <w:p w14:paraId="2149B0DF" w14:textId="77777777" w:rsidR="00D4105E" w:rsidRPr="00E14102" w:rsidRDefault="00D4105E" w:rsidP="00E14102">
      <w:pPr>
        <w:autoSpaceDE w:val="0"/>
        <w:autoSpaceDN w:val="0"/>
        <w:adjustRightInd w:val="0"/>
        <w:jc w:val="both"/>
        <w:rPr>
          <w:color w:val="000000" w:themeColor="text1"/>
          <w:sz w:val="16"/>
          <w:szCs w:val="16"/>
        </w:rPr>
      </w:pPr>
    </w:p>
    <w:p w14:paraId="23131B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августа 1935 вышло распоряжению ГУВП об изготовлении 76 мм облегченной батальонной гаубицы Ф-23-I (7629, 42).</w:t>
      </w:r>
    </w:p>
    <w:p w14:paraId="2F1C6C31" w14:textId="77777777" w:rsidR="00D4105E" w:rsidRPr="00E14102" w:rsidRDefault="00D4105E" w:rsidP="00E14102">
      <w:pPr>
        <w:autoSpaceDE w:val="0"/>
        <w:autoSpaceDN w:val="0"/>
        <w:adjustRightInd w:val="0"/>
        <w:jc w:val="both"/>
        <w:rPr>
          <w:color w:val="000000" w:themeColor="text1"/>
          <w:sz w:val="16"/>
          <w:szCs w:val="16"/>
        </w:rPr>
      </w:pPr>
    </w:p>
    <w:p w14:paraId="706F6CA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DA89FEE" w14:textId="77777777" w:rsidR="00D4105E" w:rsidRPr="00E14102" w:rsidRDefault="00D4105E" w:rsidP="00E14102">
      <w:pPr>
        <w:autoSpaceDE w:val="0"/>
        <w:autoSpaceDN w:val="0"/>
        <w:adjustRightInd w:val="0"/>
        <w:jc w:val="both"/>
        <w:rPr>
          <w:iCs/>
          <w:color w:val="000000" w:themeColor="text1"/>
          <w:sz w:val="16"/>
          <w:szCs w:val="16"/>
        </w:rPr>
      </w:pPr>
    </w:p>
    <w:p w14:paraId="490C56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августа 1935 была принята программа статиспытания крыла ТБ-3 на заводе 22 по заданию ЗАВУ, которое проводилось с 20 октября 1936 (2801).</w:t>
      </w:r>
    </w:p>
    <w:p w14:paraId="79514D1C" w14:textId="77777777" w:rsidR="00D4105E" w:rsidRPr="00E14102" w:rsidRDefault="00D4105E" w:rsidP="00E14102">
      <w:pPr>
        <w:autoSpaceDE w:val="0"/>
        <w:autoSpaceDN w:val="0"/>
        <w:adjustRightInd w:val="0"/>
        <w:jc w:val="both"/>
        <w:rPr>
          <w:color w:val="000000" w:themeColor="text1"/>
          <w:sz w:val="16"/>
          <w:szCs w:val="16"/>
        </w:rPr>
      </w:pPr>
    </w:p>
    <w:p w14:paraId="3F0827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августа 1935 года ст. военпред УВС Сладков писал письмо N 196 нач. 4 отдела УВС.</w:t>
      </w:r>
    </w:p>
    <w:p w14:paraId="36E23A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Настоящим сообщаю, что завод N 21 готовит к отправке в НИИ ВВС на испытания следующие самолеты:</w:t>
      </w:r>
    </w:p>
    <w:p w14:paraId="1FDD62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N 421270 для специспытаний на штопор готовится к отправке 22 августа.</w:t>
      </w:r>
    </w:p>
    <w:p w14:paraId="0B251A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N 421230. Эталон И-16 с М-22 на 1935 год готовится к отправке до 27 августа.</w:t>
      </w:r>
    </w:p>
    <w:p w14:paraId="296870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N 11211 с М-58, двухместный самолет, переделанный из И-16 готовится к отправке в начале сентября.</w:t>
      </w:r>
    </w:p>
    <w:p w14:paraId="26A748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Кроме того, будет послан до 27 августа двухместный самолет И-16 с М-22 в НИИ ВВС. данный самолет прошел заводские испытания проводимые военным представительством по приказанию начальника 4-го отдела УВС от 28 июня N 42/01077.</w:t>
      </w:r>
    </w:p>
    <w:p w14:paraId="7A9AFC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этих самолетов имеется старый самолет И-16 с неубирающимся шасси, который при благоприятных результатах заводских испытаний так же будет направлен в НИИ в сентябре. Но этот самолет нельзя будет принять как образец с неубирающимся шасси, а только как самолет для эксплуатации в тренировочной группе, так как конструкция шасси далеко несовершенна и в серию пущена быть не может.</w:t>
      </w:r>
    </w:p>
    <w:p w14:paraId="26DEE9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Других самолетов до сентября не будет. (3120,60).</w:t>
      </w:r>
    </w:p>
    <w:p w14:paraId="50A5442F" w14:textId="77777777" w:rsidR="00D4105E" w:rsidRPr="00E14102" w:rsidRDefault="00D4105E" w:rsidP="00E14102">
      <w:pPr>
        <w:autoSpaceDE w:val="0"/>
        <w:autoSpaceDN w:val="0"/>
        <w:adjustRightInd w:val="0"/>
        <w:jc w:val="both"/>
        <w:rPr>
          <w:color w:val="000000" w:themeColor="text1"/>
          <w:sz w:val="16"/>
          <w:szCs w:val="16"/>
        </w:rPr>
      </w:pPr>
    </w:p>
    <w:p w14:paraId="6F35A6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и 23 августа 1935 были проведены испытания самолета Козлова ПС, который 16 августа 1935 перегнали с Серпуховского аэродрома на аэродром части 1127 для испытаний. Самолет летал на высотах 500, 1000, 1500, 2000 и 2500 м причем в паре с ним ходил У-2 для сравнения видимости и кроме того, производилось фотографирование этих самолетов с Р-5. Кратко результаты и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ПС невидим совершенно (ни одним из присутствующих), тогда как У-2 и Р-5 отчетливо видны. Самолет с 25 июля по 23 августа 1935 в общей сложности налетал 7 час. в самых разнообразных метеорологических условиях (534;864).</w:t>
      </w:r>
    </w:p>
    <w:p w14:paraId="7834E3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 Арсентьев летал вместе с членом комиссии Куприяновым на высотах от 500 до 2500 м в паре с У-2, а рядом - Р-5 (л Нагавкин, н Мокрицин), с которого машину фотографировали. Полеты продолжались 4 часа и машины ходили кругами в 1-2 км. От центра аэрордрома и проходили в зените|, а члены уомиссии с земли и воздуха оценивали видимость на различном фоне - от яркого голубого неба до темных облаков и земли. В качестве неподготовленных наблюдателей нач. Летной бригаду НИИ ВВС И.В.Марков опросил техников. Результаты превзошли ожидания.</w:t>
      </w:r>
    </w:p>
    <w:p w14:paraId="201395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Выводы:</w:t>
      </w:r>
    </w:p>
    <w:p w14:paraId="2A545C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“...Видимость самолета на большей части ракурсов снижена очень сильно. На 2000-2500 м... ПС на некоторых ракурсах не был виден совершенно ни членам комиссии, ни техникам, работающим на аэродроме, несмотря на то, что положение его было известно, т.к.... и У-2, шедший в паре с ним и Р-5 были видны ясно. Впечатление такое. Что ПС тает на глазах и затем, при выходе на менее благоприятный ракурс, появляется снова, но виден все же довольно слабо...”(7460, 5).</w:t>
      </w:r>
    </w:p>
    <w:p w14:paraId="015A7DD1" w14:textId="77777777" w:rsidR="00D4105E" w:rsidRPr="00E14102" w:rsidRDefault="00D4105E" w:rsidP="00E14102">
      <w:pPr>
        <w:autoSpaceDE w:val="0"/>
        <w:autoSpaceDN w:val="0"/>
        <w:adjustRightInd w:val="0"/>
        <w:jc w:val="both"/>
        <w:rPr>
          <w:color w:val="000000" w:themeColor="text1"/>
          <w:sz w:val="16"/>
          <w:szCs w:val="16"/>
        </w:rPr>
      </w:pPr>
    </w:p>
    <w:p w14:paraId="07995A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августа 1935 были проведены испытания самолета ПС (АИР-4) на аэродроме части 1127.</w:t>
      </w:r>
    </w:p>
    <w:p w14:paraId="21251A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2763A3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348E81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59F83A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22E454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Применение целлона оправдывает себя как средство уменьшения видимости (7656).</w:t>
      </w:r>
    </w:p>
    <w:p w14:paraId="2C93F9B5" w14:textId="77777777" w:rsidR="00D4105E" w:rsidRPr="00E14102" w:rsidRDefault="00D4105E" w:rsidP="00E14102">
      <w:pPr>
        <w:autoSpaceDE w:val="0"/>
        <w:autoSpaceDN w:val="0"/>
        <w:adjustRightInd w:val="0"/>
        <w:jc w:val="both"/>
        <w:rPr>
          <w:color w:val="000000" w:themeColor="text1"/>
          <w:sz w:val="16"/>
          <w:szCs w:val="16"/>
        </w:rPr>
      </w:pPr>
    </w:p>
    <w:p w14:paraId="43DF51D2" w14:textId="77777777" w:rsidR="00283E82" w:rsidRPr="00E14102" w:rsidRDefault="00283E82" w:rsidP="00E14102">
      <w:pPr>
        <w:jc w:val="both"/>
        <w:rPr>
          <w:color w:val="000000" w:themeColor="text1"/>
          <w:sz w:val="16"/>
          <w:szCs w:val="16"/>
        </w:rPr>
      </w:pPr>
      <w:r w:rsidRPr="00E14102">
        <w:rPr>
          <w:color w:val="000000" w:themeColor="text1"/>
          <w:sz w:val="16"/>
          <w:szCs w:val="16"/>
        </w:rPr>
        <w:t>22 августа 1935 были проведены испытания самолета ПС, который 16 августа 1935 перегнали на аэродром части 1127 для испытаний, и,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 т. Залевский, начальник штаба той же части т. Марков и др.</w:t>
      </w:r>
    </w:p>
    <w:p w14:paraId="6952C08D" w14:textId="77777777" w:rsidR="00283E82" w:rsidRPr="00E14102" w:rsidRDefault="00283E82" w:rsidP="00E14102">
      <w:pPr>
        <w:jc w:val="both"/>
        <w:rPr>
          <w:color w:val="000000" w:themeColor="text1"/>
          <w:sz w:val="16"/>
          <w:szCs w:val="16"/>
        </w:rPr>
      </w:pPr>
      <w:r w:rsidRPr="00E14102">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 летел наблюдателем начальник штаба части 1695 т. Куприянов для наблюдения видимости ПС с воздуха, такое же задание получил и экипаж самолёта Р-5.</w:t>
      </w:r>
    </w:p>
    <w:p w14:paraId="26B1C434" w14:textId="77777777" w:rsidR="00283E82" w:rsidRPr="00E14102" w:rsidRDefault="00283E82" w:rsidP="00E14102">
      <w:pPr>
        <w:jc w:val="both"/>
        <w:rPr>
          <w:color w:val="000000" w:themeColor="text1"/>
          <w:sz w:val="16"/>
          <w:szCs w:val="16"/>
        </w:rPr>
      </w:pPr>
      <w:r w:rsidRPr="00E14102">
        <w:rPr>
          <w:color w:val="000000" w:themeColor="text1"/>
          <w:sz w:val="16"/>
          <w:szCs w:val="16"/>
        </w:rPr>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самолёт ПС не виден совершенно (ни одним из присутствующих), тогда как У-2 и Р-5 отчетливо видны…</w:t>
      </w:r>
    </w:p>
    <w:p w14:paraId="0CC0D6B6" w14:textId="77777777" w:rsidR="00283E82" w:rsidRPr="00E14102" w:rsidRDefault="00283E82" w:rsidP="00E14102">
      <w:pPr>
        <w:jc w:val="both"/>
        <w:rPr>
          <w:color w:val="000000" w:themeColor="text1"/>
          <w:sz w:val="16"/>
          <w:szCs w:val="16"/>
        </w:rPr>
      </w:pPr>
      <w:r w:rsidRPr="00E14102">
        <w:rPr>
          <w:color w:val="000000" w:themeColor="text1"/>
          <w:sz w:val="16"/>
          <w:szCs w:val="16"/>
        </w:rPr>
        <w:t>Самолёт с 25 июля по 23 августа 1935 г. в общей сложности налетал 7 часов в самых разнообразных метеорологических условиях (дождь, туман, яркое солнце)…</w:t>
      </w:r>
    </w:p>
    <w:p w14:paraId="5CF9B319" w14:textId="77777777" w:rsidR="00283E82" w:rsidRPr="00E14102" w:rsidRDefault="00283E82" w:rsidP="00E14102">
      <w:pPr>
        <w:jc w:val="both"/>
        <w:rPr>
          <w:color w:val="000000" w:themeColor="text1"/>
          <w:sz w:val="16"/>
          <w:szCs w:val="16"/>
        </w:rPr>
      </w:pPr>
      <w:r w:rsidRPr="00E14102">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72589BA6" w14:textId="77777777" w:rsidR="00283E82" w:rsidRPr="00E14102" w:rsidRDefault="00283E82" w:rsidP="00E14102">
      <w:pPr>
        <w:jc w:val="both"/>
        <w:rPr>
          <w:color w:val="000000" w:themeColor="text1"/>
          <w:sz w:val="16"/>
          <w:szCs w:val="16"/>
        </w:rPr>
      </w:pPr>
      <w:r w:rsidRPr="00E14102">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 е. вплоть до невидимости.</w:t>
      </w:r>
    </w:p>
    <w:p w14:paraId="4C5819C7" w14:textId="77777777" w:rsidR="00283E82" w:rsidRPr="00E14102" w:rsidRDefault="00283E82" w:rsidP="00E14102">
      <w:pPr>
        <w:jc w:val="both"/>
        <w:rPr>
          <w:color w:val="000000" w:themeColor="text1"/>
          <w:sz w:val="16"/>
          <w:szCs w:val="16"/>
        </w:rPr>
      </w:pPr>
      <w:r w:rsidRPr="00E14102">
        <w:rPr>
          <w:color w:val="000000" w:themeColor="text1"/>
          <w:sz w:val="16"/>
          <w:szCs w:val="16"/>
        </w:rPr>
        <w:t xml:space="preserve">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 можно сильно улучшить обзор как лётчику, так и наблюдателю на существующих самолётах» </w:t>
      </w:r>
      <w:hyperlink r:id="rId181" w:history="1">
        <w:r w:rsidRPr="00E14102">
          <w:rPr>
            <w:color w:val="000000" w:themeColor="text1"/>
            <w:sz w:val="16"/>
            <w:szCs w:val="16"/>
          </w:rPr>
          <w:t>[158]</w:t>
        </w:r>
      </w:hyperlink>
      <w:r w:rsidRPr="00E14102">
        <w:rPr>
          <w:color w:val="000000" w:themeColor="text1"/>
          <w:sz w:val="16"/>
          <w:szCs w:val="16"/>
        </w:rPr>
        <w:t xml:space="preserve"> .</w:t>
      </w:r>
    </w:p>
    <w:p w14:paraId="6AE1C57A" w14:textId="77777777" w:rsidR="00283E82" w:rsidRPr="00E14102" w:rsidRDefault="00283E82" w:rsidP="00E14102">
      <w:pPr>
        <w:jc w:val="both"/>
        <w:rPr>
          <w:color w:val="000000" w:themeColor="text1"/>
          <w:sz w:val="16"/>
          <w:szCs w:val="16"/>
        </w:rPr>
      </w:pPr>
      <w:r w:rsidRPr="00E14102">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7261BF85" w14:textId="77777777" w:rsidR="00283E82" w:rsidRPr="00E14102" w:rsidRDefault="00283E82" w:rsidP="00E14102">
      <w:pPr>
        <w:jc w:val="both"/>
        <w:rPr>
          <w:color w:val="000000" w:themeColor="text1"/>
          <w:sz w:val="16"/>
          <w:szCs w:val="16"/>
        </w:rPr>
      </w:pPr>
      <w:r w:rsidRPr="00E14102">
        <w:rPr>
          <w:color w:val="000000" w:themeColor="text1"/>
          <w:sz w:val="16"/>
          <w:szCs w:val="16"/>
        </w:rPr>
        <w:t xml:space="preserve">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 г. </w:t>
      </w:r>
      <w:hyperlink r:id="rId182" w:history="1">
        <w:r w:rsidRPr="00E14102">
          <w:rPr>
            <w:color w:val="000000" w:themeColor="text1"/>
            <w:sz w:val="16"/>
            <w:szCs w:val="16"/>
          </w:rPr>
          <w:t>[159]</w:t>
        </w:r>
      </w:hyperlink>
      <w:r w:rsidRPr="00E14102">
        <w:rPr>
          <w:color w:val="000000" w:themeColor="text1"/>
          <w:sz w:val="16"/>
          <w:szCs w:val="16"/>
        </w:rPr>
        <w:t xml:space="preserve"> </w:t>
      </w:r>
    </w:p>
    <w:p w14:paraId="2AFD483B" w14:textId="77777777" w:rsidR="00283E82" w:rsidRPr="00E14102" w:rsidRDefault="00283E82" w:rsidP="00E14102">
      <w:pPr>
        <w:jc w:val="both"/>
        <w:rPr>
          <w:color w:val="000000" w:themeColor="text1"/>
          <w:sz w:val="16"/>
          <w:szCs w:val="16"/>
        </w:rPr>
      </w:pPr>
      <w:r w:rsidRPr="00E14102">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51C8BD19" w14:textId="77777777" w:rsidR="00283E82" w:rsidRPr="00E14102" w:rsidRDefault="00283E82" w:rsidP="00E14102">
      <w:pPr>
        <w:jc w:val="both"/>
        <w:rPr>
          <w:color w:val="000000" w:themeColor="text1"/>
          <w:sz w:val="16"/>
          <w:szCs w:val="16"/>
        </w:rPr>
      </w:pPr>
      <w:r w:rsidRPr="00E14102">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1D0B54BB" w14:textId="77777777" w:rsidR="00283E82" w:rsidRPr="00E14102" w:rsidRDefault="00283E82" w:rsidP="00E14102">
      <w:pPr>
        <w:jc w:val="both"/>
        <w:rPr>
          <w:color w:val="000000" w:themeColor="text1"/>
          <w:sz w:val="16"/>
          <w:szCs w:val="16"/>
        </w:rPr>
      </w:pPr>
    </w:p>
    <w:p w14:paraId="56BE4BF2" w14:textId="77777777" w:rsidR="00BB7C9A" w:rsidRPr="00E14102" w:rsidRDefault="00BB7C9A" w:rsidP="00E14102">
      <w:pPr>
        <w:jc w:val="both"/>
        <w:rPr>
          <w:color w:val="000000" w:themeColor="text1"/>
          <w:sz w:val="16"/>
          <w:szCs w:val="16"/>
        </w:rPr>
      </w:pPr>
      <w:r w:rsidRPr="00E14102">
        <w:rPr>
          <w:color w:val="000000" w:themeColor="text1"/>
          <w:sz w:val="16"/>
          <w:szCs w:val="16"/>
        </w:rPr>
        <w:t xml:space="preserve">22 августа в 1935 году на аэродроме НИИ ВВС провели испытания «АИР-4». После переделки «АИР-4» получил название </w:t>
      </w:r>
      <w:hyperlink r:id="rId183" w:tgtFrame="_blank" w:history="1">
        <w:r w:rsidRPr="00E14102">
          <w:rPr>
            <w:color w:val="000000" w:themeColor="text1"/>
            <w:sz w:val="16"/>
            <w:szCs w:val="16"/>
          </w:rPr>
          <w:t xml:space="preserve">«ПС» - "Прозрачный самолет". </w:t>
        </w:r>
      </w:hyperlink>
      <w:r w:rsidRPr="00E14102">
        <w:rPr>
          <w:color w:val="000000" w:themeColor="text1"/>
          <w:sz w:val="16"/>
          <w:szCs w:val="16"/>
        </w:rPr>
        <w:t>На испытаниях присутствовали руководство ОИ НКО, начальник штаба летной бригады НИИ ВВС И.В.Марков и С.Г.Козлов. Председателем комиссии назначили командира летной бригады НИИ ВВС А.И.Залевского. В ходе испытаний летчик Арсентьев летал на «ПС» вместе с членом комиссии Куприяновым на высотах от 500 до 2500м, в паре с «У-22 , а рядом – «Р-5» (пилот Нагавкин и летнаб Мокрицин), с которого фотографировали эту парочку. Полеты продолжались 4 часа. Пока самолеты ходили кругами радиусом 1-2 км от центра аэродрома и проходили в зените, члены комиссии с земли и с воздуха проверили видимость «ПС» на различных фонах - от яркого голубого неба до темных облаков и фоне земли. В качестве неподготовленных наблюдателей, Марков опросил техников, работавших на аэродроме. Результаты испытаний превзошли все ожидания. В акте комиссии отмечалось: "Видимость самолета на большей части ракурсов снижена очень сильно. На 2000-2500 м (...) «ПС» на некоторых ракурсах не был виден совершенно ни членами комиссии, ни техниками, работавшими на аэродроме, несмотря на то, что положение его было известно, так как и (...) «У-22, шедший в паре с ним, и «Р-5» были видны ясно. Впечатление таково, что «ПС» тает на глазах и затем при выходе на менее благоприятный ракурс, появляется снова, но виден все же довольно слабо" (14990).</w:t>
      </w:r>
    </w:p>
    <w:p w14:paraId="5D745DBA" w14:textId="77777777" w:rsidR="00BB7C9A" w:rsidRPr="00E14102" w:rsidRDefault="00BB7C9A" w:rsidP="00E14102">
      <w:pPr>
        <w:jc w:val="both"/>
        <w:rPr>
          <w:color w:val="000000" w:themeColor="text1"/>
          <w:sz w:val="16"/>
          <w:szCs w:val="16"/>
        </w:rPr>
      </w:pPr>
    </w:p>
    <w:p w14:paraId="543C88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августа 1935 вышел приказ ГУАП N 46/270:</w:t>
      </w:r>
    </w:p>
    <w:p w14:paraId="313E3D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определения готовности летающего глиссера Л-1 к заводским испытаниям, спроектированного и построенного ОТБ МАИ по договору с УВС РККА, назначаю комиссию..." (2070,75).</w:t>
      </w:r>
    </w:p>
    <w:p w14:paraId="3BDCE602" w14:textId="77777777" w:rsidR="00D4105E" w:rsidRPr="00E14102" w:rsidRDefault="00D4105E" w:rsidP="00E14102">
      <w:pPr>
        <w:autoSpaceDE w:val="0"/>
        <w:autoSpaceDN w:val="0"/>
        <w:adjustRightInd w:val="0"/>
        <w:jc w:val="both"/>
        <w:rPr>
          <w:color w:val="000000" w:themeColor="text1"/>
          <w:sz w:val="16"/>
          <w:szCs w:val="16"/>
        </w:rPr>
      </w:pPr>
    </w:p>
    <w:p w14:paraId="24709F1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0F92F578" w14:textId="77777777" w:rsidR="00D4105E" w:rsidRPr="00E14102" w:rsidRDefault="00D4105E" w:rsidP="00E14102">
      <w:pPr>
        <w:autoSpaceDE w:val="0"/>
        <w:autoSpaceDN w:val="0"/>
        <w:adjustRightInd w:val="0"/>
        <w:jc w:val="both"/>
        <w:rPr>
          <w:iCs/>
          <w:color w:val="000000" w:themeColor="text1"/>
          <w:sz w:val="16"/>
          <w:szCs w:val="16"/>
        </w:rPr>
      </w:pPr>
    </w:p>
    <w:p w14:paraId="13DFA9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22 августа 1935 болгарский коммунист Георгий Димитров избран главой Коминтерна (4962).</w:t>
      </w:r>
    </w:p>
    <w:p w14:paraId="0667203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D4C9D2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F369918" w14:textId="77777777" w:rsidR="00D4105E" w:rsidRPr="00E14102" w:rsidRDefault="00D4105E" w:rsidP="00E14102">
      <w:pPr>
        <w:autoSpaceDE w:val="0"/>
        <w:autoSpaceDN w:val="0"/>
        <w:adjustRightInd w:val="0"/>
        <w:jc w:val="both"/>
        <w:rPr>
          <w:iCs/>
          <w:color w:val="000000" w:themeColor="text1"/>
          <w:sz w:val="16"/>
          <w:szCs w:val="16"/>
        </w:rPr>
      </w:pPr>
    </w:p>
    <w:p w14:paraId="2C9C0E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августа 1935 года Ворошилов писал письмо N 376263cc Молотову и Кагановичу.</w:t>
      </w:r>
    </w:p>
    <w:p w14:paraId="79D4DF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апреля 1935 года на вооружение ВВС стали поступать новые истребители И-15. Их поступило на вооружение частей по заказам 1934 и 1935 г.г. всего 186 штук.</w:t>
      </w:r>
    </w:p>
    <w:p w14:paraId="768A0B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Первые же полеты и эксплуатация выявили на этих самолетах ряд крупнейших конструктивных и производственных недочетов, повлекших за собой аварии и даже катастрофы в строевых частях ВВС.</w:t>
      </w:r>
    </w:p>
    <w:p w14:paraId="28ED5B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я должен был отдать приказание прекратить полеты на самолетах И-15 с М-25 во всех частях ВВС впредь до проведения необходимых усилений.... (3479,18-19).</w:t>
      </w:r>
    </w:p>
    <w:p w14:paraId="34CA349F" w14:textId="77777777" w:rsidR="00D4105E" w:rsidRPr="00E14102" w:rsidRDefault="00D4105E" w:rsidP="00E14102">
      <w:pPr>
        <w:autoSpaceDE w:val="0"/>
        <w:autoSpaceDN w:val="0"/>
        <w:adjustRightInd w:val="0"/>
        <w:jc w:val="both"/>
        <w:rPr>
          <w:color w:val="000000" w:themeColor="text1"/>
          <w:sz w:val="16"/>
          <w:szCs w:val="16"/>
        </w:rPr>
      </w:pPr>
    </w:p>
    <w:p w14:paraId="4C5195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августа 1935 в Горьком в воздух поднялся самолет с двигателем ГАЗ Смолина КСМ-1 - двухместный свободнонесущий моноплан. Двигатель был доработан и его мощность доведена до 46.5 нр (150,22).</w:t>
      </w:r>
    </w:p>
    <w:p w14:paraId="70D2AC89" w14:textId="77777777" w:rsidR="00D4105E" w:rsidRPr="00E14102" w:rsidRDefault="00D4105E" w:rsidP="00E14102">
      <w:pPr>
        <w:autoSpaceDE w:val="0"/>
        <w:autoSpaceDN w:val="0"/>
        <w:adjustRightInd w:val="0"/>
        <w:jc w:val="both"/>
        <w:rPr>
          <w:color w:val="000000" w:themeColor="text1"/>
          <w:sz w:val="16"/>
          <w:szCs w:val="16"/>
        </w:rPr>
      </w:pPr>
    </w:p>
    <w:p w14:paraId="5D3201A6" w14:textId="77777777" w:rsidR="00283E82" w:rsidRPr="00E14102" w:rsidRDefault="00283E82" w:rsidP="00E14102">
      <w:pPr>
        <w:jc w:val="both"/>
        <w:rPr>
          <w:color w:val="000000" w:themeColor="text1"/>
          <w:sz w:val="16"/>
          <w:szCs w:val="16"/>
        </w:rPr>
      </w:pPr>
      <w:r w:rsidRPr="00E14102">
        <w:rPr>
          <w:color w:val="000000" w:themeColor="text1"/>
          <w:sz w:val="16"/>
          <w:szCs w:val="16"/>
        </w:rPr>
        <w:t>По 23 августа 1935 г. самолёт ПС с 25 июля в общей сложности налетал 7 часов в самых разнообразных метеорологических условиях (дождь, туман, яркое солнце)…</w:t>
      </w:r>
    </w:p>
    <w:p w14:paraId="62761D23" w14:textId="77777777" w:rsidR="00283E82" w:rsidRPr="00E14102" w:rsidRDefault="00283E82" w:rsidP="00E14102">
      <w:pPr>
        <w:jc w:val="both"/>
        <w:rPr>
          <w:color w:val="000000" w:themeColor="text1"/>
          <w:sz w:val="16"/>
          <w:szCs w:val="16"/>
        </w:rPr>
      </w:pPr>
      <w:r w:rsidRPr="00E14102">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6848ADC4" w14:textId="77777777" w:rsidR="00283E82" w:rsidRPr="00E14102" w:rsidRDefault="00283E82" w:rsidP="00E14102">
      <w:pPr>
        <w:jc w:val="both"/>
        <w:rPr>
          <w:color w:val="000000" w:themeColor="text1"/>
          <w:sz w:val="16"/>
          <w:szCs w:val="16"/>
        </w:rPr>
      </w:pPr>
      <w:r w:rsidRPr="00E14102">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 е. вплоть до невидимости.</w:t>
      </w:r>
    </w:p>
    <w:p w14:paraId="473F212D" w14:textId="77777777" w:rsidR="00283E82" w:rsidRPr="00E14102" w:rsidRDefault="00283E82" w:rsidP="00E14102">
      <w:pPr>
        <w:jc w:val="both"/>
        <w:rPr>
          <w:color w:val="000000" w:themeColor="text1"/>
          <w:sz w:val="16"/>
          <w:szCs w:val="16"/>
        </w:rPr>
      </w:pPr>
      <w:r w:rsidRPr="00E14102">
        <w:rPr>
          <w:color w:val="000000" w:themeColor="text1"/>
          <w:sz w:val="16"/>
          <w:szCs w:val="16"/>
        </w:rPr>
        <w:t xml:space="preserve">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 можно сильно улучшить обзор как лётчику, так и наблюдателю на существующих самолётах» </w:t>
      </w:r>
      <w:hyperlink r:id="rId184" w:history="1">
        <w:r w:rsidRPr="00E14102">
          <w:rPr>
            <w:color w:val="000000" w:themeColor="text1"/>
            <w:sz w:val="16"/>
            <w:szCs w:val="16"/>
          </w:rPr>
          <w:t>[158]</w:t>
        </w:r>
      </w:hyperlink>
      <w:r w:rsidRPr="00E14102">
        <w:rPr>
          <w:color w:val="000000" w:themeColor="text1"/>
          <w:sz w:val="16"/>
          <w:szCs w:val="16"/>
        </w:rPr>
        <w:t xml:space="preserve"> .</w:t>
      </w:r>
    </w:p>
    <w:p w14:paraId="5BE8A78B" w14:textId="77777777" w:rsidR="00283E82" w:rsidRPr="00E14102" w:rsidRDefault="00283E82" w:rsidP="00E14102">
      <w:pPr>
        <w:jc w:val="both"/>
        <w:rPr>
          <w:color w:val="000000" w:themeColor="text1"/>
          <w:sz w:val="16"/>
          <w:szCs w:val="16"/>
        </w:rPr>
      </w:pPr>
      <w:r w:rsidRPr="00E14102">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0770646E" w14:textId="77777777" w:rsidR="00283E82" w:rsidRPr="00E14102" w:rsidRDefault="00283E82" w:rsidP="00E14102">
      <w:pPr>
        <w:jc w:val="both"/>
        <w:rPr>
          <w:color w:val="000000" w:themeColor="text1"/>
          <w:sz w:val="16"/>
          <w:szCs w:val="16"/>
        </w:rPr>
      </w:pPr>
      <w:r w:rsidRPr="00E14102">
        <w:rPr>
          <w:color w:val="000000" w:themeColor="text1"/>
          <w:sz w:val="16"/>
          <w:szCs w:val="16"/>
        </w:rPr>
        <w:t xml:space="preserve">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 г. </w:t>
      </w:r>
      <w:hyperlink r:id="rId185" w:history="1">
        <w:r w:rsidRPr="00E14102">
          <w:rPr>
            <w:color w:val="000000" w:themeColor="text1"/>
            <w:sz w:val="16"/>
            <w:szCs w:val="16"/>
          </w:rPr>
          <w:t>[159]</w:t>
        </w:r>
      </w:hyperlink>
      <w:r w:rsidRPr="00E14102">
        <w:rPr>
          <w:color w:val="000000" w:themeColor="text1"/>
          <w:sz w:val="16"/>
          <w:szCs w:val="16"/>
        </w:rPr>
        <w:t xml:space="preserve"> </w:t>
      </w:r>
    </w:p>
    <w:p w14:paraId="7DC976C5" w14:textId="77777777" w:rsidR="00283E82" w:rsidRPr="00E14102" w:rsidRDefault="00283E82" w:rsidP="00E14102">
      <w:pPr>
        <w:jc w:val="both"/>
        <w:rPr>
          <w:color w:val="000000" w:themeColor="text1"/>
          <w:sz w:val="16"/>
          <w:szCs w:val="16"/>
        </w:rPr>
      </w:pPr>
      <w:r w:rsidRPr="00E14102">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34DE6737" w14:textId="77777777" w:rsidR="00283E82" w:rsidRPr="00E14102" w:rsidRDefault="00283E82" w:rsidP="00E14102">
      <w:pPr>
        <w:jc w:val="both"/>
        <w:rPr>
          <w:color w:val="000000" w:themeColor="text1"/>
          <w:sz w:val="16"/>
          <w:szCs w:val="16"/>
        </w:rPr>
      </w:pPr>
      <w:r w:rsidRPr="00E14102">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532A885D" w14:textId="77777777" w:rsidR="00283E82" w:rsidRPr="00E14102" w:rsidRDefault="00283E82" w:rsidP="00E14102">
      <w:pPr>
        <w:jc w:val="both"/>
        <w:rPr>
          <w:color w:val="000000" w:themeColor="text1"/>
          <w:sz w:val="16"/>
          <w:szCs w:val="16"/>
        </w:rPr>
      </w:pPr>
    </w:p>
    <w:p w14:paraId="21BE3A65" w14:textId="77777777" w:rsidR="00BB7C9A" w:rsidRPr="00E14102" w:rsidRDefault="00BB7C9A" w:rsidP="00E14102">
      <w:pPr>
        <w:pStyle w:val="rtejustify"/>
        <w:spacing w:before="0" w:after="0"/>
        <w:rPr>
          <w:color w:val="000000" w:themeColor="text1"/>
          <w:sz w:val="16"/>
          <w:szCs w:val="16"/>
        </w:rPr>
      </w:pPr>
      <w:r w:rsidRPr="00E14102">
        <w:rPr>
          <w:rStyle w:val="a6"/>
          <w:bCs/>
          <w:i w:val="0"/>
          <w:color w:val="000000" w:themeColor="text1"/>
          <w:sz w:val="16"/>
          <w:szCs w:val="16"/>
        </w:rPr>
        <w:t>23 августа 1935 вышел приказ НКО №</w:t>
      </w:r>
      <w:r w:rsidRPr="00E14102">
        <w:rPr>
          <w:color w:val="000000" w:themeColor="text1"/>
          <w:sz w:val="16"/>
          <w:szCs w:val="16"/>
        </w:rPr>
        <w:t> 0066. О назначении комиссии для производства полигонных испытаний фотоэлектрического прибора для автоматического открытия огня пулемета ДА</w:t>
      </w:r>
      <w:r w:rsidRPr="00E14102">
        <w:rPr>
          <w:color w:val="000000" w:themeColor="text1"/>
          <w:sz w:val="16"/>
          <w:szCs w:val="16"/>
        </w:rPr>
        <w:noBreakHyphen/>
        <w:t>2 («Автоматический фотоприцел») (15247).</w:t>
      </w:r>
    </w:p>
    <w:p w14:paraId="19D2E9AB" w14:textId="77777777" w:rsidR="00BB7C9A" w:rsidRPr="00E14102" w:rsidRDefault="00BB7C9A" w:rsidP="00E14102">
      <w:pPr>
        <w:pStyle w:val="rtejustify"/>
        <w:spacing w:before="0" w:after="0"/>
        <w:rPr>
          <w:color w:val="000000" w:themeColor="text1"/>
          <w:sz w:val="16"/>
          <w:szCs w:val="16"/>
        </w:rPr>
      </w:pPr>
    </w:p>
    <w:p w14:paraId="4B5B08B5" w14:textId="77777777" w:rsidR="00BB7C9A" w:rsidRPr="00E14102" w:rsidRDefault="00BB7C9A" w:rsidP="00E14102">
      <w:pPr>
        <w:pStyle w:val="rtejustify"/>
        <w:spacing w:before="0" w:after="0"/>
        <w:rPr>
          <w:color w:val="000000" w:themeColor="text1"/>
          <w:sz w:val="16"/>
          <w:szCs w:val="16"/>
        </w:rPr>
      </w:pPr>
      <w:r w:rsidRPr="00E14102">
        <w:rPr>
          <w:rStyle w:val="a6"/>
          <w:bCs/>
          <w:i w:val="0"/>
          <w:color w:val="000000" w:themeColor="text1"/>
          <w:sz w:val="16"/>
          <w:szCs w:val="16"/>
        </w:rPr>
        <w:t>23 августа 1935 вышел приказ НКО №</w:t>
      </w:r>
      <w:r w:rsidRPr="00E14102">
        <w:rPr>
          <w:color w:val="000000" w:themeColor="text1"/>
          <w:sz w:val="16"/>
          <w:szCs w:val="16"/>
        </w:rPr>
        <w:t> 0154. О повторении государственных испытаний торпедодержателя Остехбюро с переменным углом (15247).</w:t>
      </w:r>
    </w:p>
    <w:p w14:paraId="7E69DB72" w14:textId="77777777" w:rsidR="00BB7C9A" w:rsidRPr="00E14102" w:rsidRDefault="00BB7C9A" w:rsidP="00E14102">
      <w:pPr>
        <w:pStyle w:val="rtejustify"/>
        <w:spacing w:before="0" w:after="0"/>
        <w:rPr>
          <w:color w:val="000000" w:themeColor="text1"/>
          <w:sz w:val="16"/>
          <w:szCs w:val="16"/>
        </w:rPr>
      </w:pPr>
    </w:p>
    <w:p w14:paraId="3E14A07F" w14:textId="77777777" w:rsidR="00BB7C9A" w:rsidRPr="00E14102" w:rsidRDefault="00BB7C9A" w:rsidP="00E14102">
      <w:pPr>
        <w:pStyle w:val="rtejustify"/>
        <w:spacing w:before="0" w:after="0"/>
        <w:rPr>
          <w:color w:val="000000" w:themeColor="text1"/>
          <w:sz w:val="16"/>
          <w:szCs w:val="16"/>
        </w:rPr>
      </w:pPr>
      <w:r w:rsidRPr="00E14102">
        <w:rPr>
          <w:rStyle w:val="a6"/>
          <w:bCs/>
          <w:i w:val="0"/>
          <w:color w:val="000000" w:themeColor="text1"/>
          <w:sz w:val="16"/>
          <w:szCs w:val="16"/>
        </w:rPr>
        <w:t>23 августа 1935 вышел приказ НКО №</w:t>
      </w:r>
      <w:r w:rsidRPr="00E14102">
        <w:rPr>
          <w:color w:val="000000" w:themeColor="text1"/>
          <w:sz w:val="16"/>
          <w:szCs w:val="16"/>
        </w:rPr>
        <w:t> 0065. Об испытании рации «РСН» (15247).</w:t>
      </w:r>
    </w:p>
    <w:p w14:paraId="385DFA2F" w14:textId="77777777" w:rsidR="00BB7C9A" w:rsidRPr="00E14102" w:rsidRDefault="00BB7C9A" w:rsidP="00E14102">
      <w:pPr>
        <w:pStyle w:val="rtejustify"/>
        <w:spacing w:before="0" w:after="0"/>
        <w:rPr>
          <w:color w:val="000000" w:themeColor="text1"/>
          <w:sz w:val="16"/>
          <w:szCs w:val="16"/>
        </w:rPr>
      </w:pPr>
    </w:p>
    <w:p w14:paraId="0853B2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августа 1935 вышло постановление СНК N 1872 "О полетах в стратосферу":</w:t>
      </w:r>
    </w:p>
    <w:p w14:paraId="0E04A7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"Запретить всякие полеты в стратосферу без разрешения ЦК и СНК" (2172,31).</w:t>
      </w:r>
    </w:p>
    <w:p w14:paraId="639C0065" w14:textId="77777777" w:rsidR="00D4105E" w:rsidRPr="00E14102" w:rsidRDefault="00D4105E" w:rsidP="00E14102">
      <w:pPr>
        <w:autoSpaceDE w:val="0"/>
        <w:autoSpaceDN w:val="0"/>
        <w:adjustRightInd w:val="0"/>
        <w:jc w:val="both"/>
        <w:rPr>
          <w:color w:val="000000" w:themeColor="text1"/>
          <w:sz w:val="16"/>
          <w:szCs w:val="16"/>
        </w:rPr>
      </w:pPr>
    </w:p>
    <w:p w14:paraId="72C803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августа 1935 года постановление № 1872 СНК</w:t>
      </w:r>
    </w:p>
    <w:p w14:paraId="7E3833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полетах в стратосферу</w:t>
      </w:r>
    </w:p>
    <w:p w14:paraId="4D1049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СНК постановляет:</w:t>
      </w:r>
    </w:p>
    <w:p w14:paraId="04E9FC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Запретить всякие полеты в стратосферу без решения ЦК и СНК (7516, 112).</w:t>
      </w:r>
    </w:p>
    <w:p w14:paraId="1F914B55" w14:textId="77777777" w:rsidR="00D4105E" w:rsidRPr="00E14102" w:rsidRDefault="00D4105E" w:rsidP="00E14102">
      <w:pPr>
        <w:autoSpaceDE w:val="0"/>
        <w:autoSpaceDN w:val="0"/>
        <w:adjustRightInd w:val="0"/>
        <w:jc w:val="both"/>
        <w:rPr>
          <w:color w:val="000000" w:themeColor="text1"/>
          <w:sz w:val="16"/>
          <w:szCs w:val="16"/>
        </w:rPr>
      </w:pPr>
    </w:p>
    <w:p w14:paraId="515637A0" w14:textId="77777777" w:rsidR="00AC3381" w:rsidRPr="00E14102" w:rsidRDefault="00AC3381" w:rsidP="00E14102">
      <w:pPr>
        <w:jc w:val="both"/>
        <w:rPr>
          <w:color w:val="0070C0"/>
          <w:sz w:val="16"/>
          <w:szCs w:val="16"/>
        </w:rPr>
      </w:pPr>
      <w:r w:rsidRPr="00E14102">
        <w:rPr>
          <w:color w:val="0070C0"/>
          <w:sz w:val="16"/>
          <w:szCs w:val="16"/>
        </w:rPr>
        <w:t>23 августа 1935 г. вышло постановление СНК СССР № 1872 «О полётах в стратосферу», в котором говорилось:</w:t>
      </w:r>
    </w:p>
    <w:p w14:paraId="73A0CD76" w14:textId="77777777" w:rsidR="00AC3381" w:rsidRPr="00E14102" w:rsidRDefault="00AC3381" w:rsidP="00E14102">
      <w:pPr>
        <w:jc w:val="both"/>
        <w:rPr>
          <w:color w:val="0070C0"/>
          <w:sz w:val="16"/>
          <w:szCs w:val="16"/>
        </w:rPr>
      </w:pPr>
      <w:r w:rsidRPr="00E14102">
        <w:rPr>
          <w:color w:val="0070C0"/>
          <w:sz w:val="16"/>
          <w:szCs w:val="16"/>
        </w:rPr>
        <w:t>«Совет Народных Комиссаров Союза ССР постановляет: запретить всякие полёты в стратосферу без раз</w:t>
      </w:r>
      <w:r w:rsidRPr="00E14102">
        <w:rPr>
          <w:color w:val="0070C0"/>
          <w:sz w:val="16"/>
          <w:szCs w:val="16"/>
        </w:rPr>
        <w:softHyphen/>
        <w:t>решения ЦК и СНК»52.</w:t>
      </w:r>
    </w:p>
    <w:p w14:paraId="7AF72DFC" w14:textId="77777777" w:rsidR="00AC3381" w:rsidRPr="00E14102" w:rsidRDefault="00AC3381" w:rsidP="00E14102">
      <w:pPr>
        <w:jc w:val="both"/>
        <w:rPr>
          <w:color w:val="0070C0"/>
          <w:sz w:val="16"/>
          <w:szCs w:val="16"/>
        </w:rPr>
      </w:pPr>
      <w:r w:rsidRPr="00E14102">
        <w:rPr>
          <w:color w:val="0070C0"/>
          <w:sz w:val="16"/>
          <w:szCs w:val="16"/>
        </w:rPr>
        <w:t>Тогда же заместитель наркома обороны Я.Б. Гамарник обратился к председателю СНК СССР В.М. Молотову с просьбой усилить режим секретности в освещении стратосферных полё</w:t>
      </w:r>
      <w:r w:rsidRPr="00E14102">
        <w:rPr>
          <w:color w:val="0070C0"/>
          <w:sz w:val="16"/>
          <w:szCs w:val="16"/>
        </w:rPr>
        <w:softHyphen/>
        <w:t>тов: «Запретить публиковать в ТАСС и нашей прессе какие-либо данные о полётах в стратосфе</w:t>
      </w:r>
      <w:r w:rsidRPr="00E14102">
        <w:rPr>
          <w:color w:val="0070C0"/>
          <w:sz w:val="16"/>
          <w:szCs w:val="16"/>
        </w:rPr>
        <w:softHyphen/>
        <w:t>ру, а равно о самом стратостате впредь до особого на то разрешения СНК» (20120).</w:t>
      </w:r>
    </w:p>
    <w:p w14:paraId="77AC2224" w14:textId="77777777" w:rsidR="00AC3381" w:rsidRPr="00E14102" w:rsidRDefault="00AC3381" w:rsidP="00E14102">
      <w:pPr>
        <w:jc w:val="both"/>
        <w:rPr>
          <w:color w:val="0070C0"/>
          <w:sz w:val="16"/>
          <w:szCs w:val="16"/>
        </w:rPr>
      </w:pPr>
    </w:p>
    <w:p w14:paraId="2403B49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D343EAE" w14:textId="77777777" w:rsidR="00D4105E" w:rsidRPr="00E14102" w:rsidRDefault="00D4105E" w:rsidP="00E14102">
      <w:pPr>
        <w:autoSpaceDE w:val="0"/>
        <w:autoSpaceDN w:val="0"/>
        <w:adjustRightInd w:val="0"/>
        <w:jc w:val="both"/>
        <w:rPr>
          <w:iCs/>
          <w:color w:val="000000" w:themeColor="text1"/>
          <w:sz w:val="16"/>
          <w:szCs w:val="16"/>
        </w:rPr>
      </w:pPr>
    </w:p>
    <w:p w14:paraId="18555E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августа 1935 было принято решение о замене орлов на звезды на кремлевских башнях (3481).</w:t>
      </w:r>
    </w:p>
    <w:p w14:paraId="1E1DAE93" w14:textId="77777777" w:rsidR="00D4105E" w:rsidRPr="00E14102" w:rsidRDefault="00D4105E" w:rsidP="00E14102">
      <w:pPr>
        <w:autoSpaceDE w:val="0"/>
        <w:autoSpaceDN w:val="0"/>
        <w:adjustRightInd w:val="0"/>
        <w:jc w:val="both"/>
        <w:rPr>
          <w:color w:val="000000" w:themeColor="text1"/>
          <w:sz w:val="16"/>
          <w:szCs w:val="16"/>
        </w:rPr>
      </w:pPr>
    </w:p>
    <w:p w14:paraId="73BEF8D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августа 1935 на башнях Кремля установлены рубиновые звезды, произведенные в Донбассе (4962).</w:t>
      </w:r>
    </w:p>
    <w:p w14:paraId="005C6BB5"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49CA2F1" w14:textId="77777777" w:rsidR="00BB7C9A" w:rsidRPr="00E14102" w:rsidRDefault="00BB7C9A" w:rsidP="00E14102">
      <w:pPr>
        <w:jc w:val="both"/>
        <w:rPr>
          <w:color w:val="000000" w:themeColor="text1"/>
          <w:sz w:val="16"/>
          <w:szCs w:val="16"/>
        </w:rPr>
      </w:pPr>
      <w:r w:rsidRPr="00E14102">
        <w:rPr>
          <w:color w:val="000000" w:themeColor="text1"/>
          <w:sz w:val="16"/>
          <w:szCs w:val="16"/>
        </w:rPr>
        <w:t>23 августа в 1935 году опубликовано решение СНК ССР и ЦК ВКП(б) о замене двуглавых орлов на башнях Кремля пятиконечными звездами. До 1935 года шпили кремлевских башен украшали геральдические двуглавые орлы. Первого двуглавого орла водрузили на вершине шатра Спасской башни в 1650-х годах. Позднее русские гербы были установлены на самых высоких проездных башнях Кремля - Никольской, Троицкой, Боровицкой. В октябре 1935 года над Кремлем вместо двуглавых царских орлов появились пятиконечные звезды. Они были изготовлены из нержавеющей стали и красной меди, знаки серпа и молота на них - из уральских камней-самоцветов. Освещенные снизу прожекторами, первые звезды украшали Кремль почти два года, но под действием атмосферных осадков самоцветы потускнели и потеряли свой праздничный вид. В мае 1937 года было решено установить к двадцатилетию Октябрьской революции на пяти кремлевских башнях, в том числе и на Водовзводной, рубиновые звезды, они зажглись 2 ноября 1937 года. Эскизы новых звезд подготовил народный художник СССР Ф.Федоровский, он рассчитал размеры, определил форму и рисунок, предложил рубиновый цвет стекла. Перед промышленностью поставили задачу сварить рубиновое стекло. Госзаказ получил Донбасский завод. Сложность заключалась не только в том, что никогда прежде в таком количестве рубиновое стекло в нашей стране не производили. По техническому заданию оно должно было иметь разную плотность, пропускать красные лучи определенной длины волн, быть устойчивым к резким перепадам температуры. Специальное рубиновое стекло, отвечающее предъявляемым требованиям, изобрел Н.Курочкин, сделавший первый саркофаг для мавзолея Ленина. Для равномерного и яркого освещения всей поверхности звезды изготовили уникальные лампы накаливания мощностью от 3700 до 5000 ватт, а для предохранения звезд от перегрева специалисты разработали особую вентиляционную систему. У кремлевских звезд двойное остекление: внутри - молочное стекло, снаружи - рубиновое. Вес каждой звезды - около тонны. Звезды на башнях - разной величины, так как кремлевские башни имеют разную высоту. На Водовзводной размах лучей три метра, на Боровицкой - 3,2 метра, на Троицкой - 3,5 метра, на Спасской и Никольской - 3,75 метра. Рубиновые звезды на кремлевских башнях горят днем и ночью. Ремонт и реконструкция звезд производилась в 1945 и 1974 годах (14991).</w:t>
      </w:r>
    </w:p>
    <w:p w14:paraId="3823ED7D" w14:textId="77777777" w:rsidR="00BB7C9A" w:rsidRPr="00E14102" w:rsidRDefault="00BB7C9A" w:rsidP="00E14102">
      <w:pPr>
        <w:jc w:val="both"/>
        <w:rPr>
          <w:color w:val="000000" w:themeColor="text1"/>
          <w:sz w:val="16"/>
          <w:szCs w:val="16"/>
        </w:rPr>
      </w:pPr>
    </w:p>
    <w:p w14:paraId="662F104D" w14:textId="77777777" w:rsidR="00AC3381" w:rsidRPr="00E14102" w:rsidRDefault="00AC3381" w:rsidP="00E14102">
      <w:pPr>
        <w:jc w:val="both"/>
        <w:rPr>
          <w:color w:val="0070C0"/>
          <w:sz w:val="16"/>
          <w:szCs w:val="16"/>
        </w:rPr>
      </w:pPr>
      <w:r w:rsidRPr="00E14102">
        <w:rPr>
          <w:color w:val="0070C0"/>
          <w:sz w:val="16"/>
          <w:szCs w:val="16"/>
        </w:rPr>
        <w:t>23 августа 1935 года было опубликовано решение Совета народных комиссаров СССР и ЦК ВКП(б) о замене двуглавых орлов на башнях Кремля пятиконечными звездами с серпом и молотом к 7 ноября 1935 года.</w:t>
      </w:r>
    </w:p>
    <w:p w14:paraId="36913F6D" w14:textId="77777777" w:rsidR="00AC3381" w:rsidRPr="00E14102" w:rsidRDefault="00AC3381" w:rsidP="00E14102">
      <w:pPr>
        <w:jc w:val="both"/>
        <w:rPr>
          <w:color w:val="0070C0"/>
          <w:sz w:val="16"/>
          <w:szCs w:val="16"/>
        </w:rPr>
      </w:pPr>
      <w:r w:rsidRPr="00E14102">
        <w:rPr>
          <w:color w:val="0070C0"/>
          <w:sz w:val="16"/>
          <w:szCs w:val="16"/>
        </w:rPr>
        <w:t>Проектирование и изготовление новых кремлевских символов было поручено Центральному аэрогидродинамическому институту им. профессора Н.Е. Жуковского при участии двух московских оборонных заводов. Эскизы утверждал И.В. Сталин. Когда эскизы были созданы, изготовили макеты звезд в натуральную величину. Эмблемы серпа и молота временно инкрустировали имитациями драгоценных камней.</w:t>
      </w:r>
    </w:p>
    <w:p w14:paraId="7D3B102F" w14:textId="77777777" w:rsidR="00AC3381" w:rsidRPr="00E14102" w:rsidRDefault="00AC3381" w:rsidP="00E14102">
      <w:pPr>
        <w:jc w:val="both"/>
        <w:rPr>
          <w:color w:val="0070C0"/>
          <w:sz w:val="16"/>
          <w:szCs w:val="16"/>
        </w:rPr>
      </w:pPr>
      <w:r w:rsidRPr="00E14102">
        <w:rPr>
          <w:color w:val="0070C0"/>
          <w:sz w:val="16"/>
          <w:szCs w:val="16"/>
        </w:rPr>
        <w:t>Первые кремлевские звезды были сделаны из красной меди и нержавеющей стали. Для их золочения были построены специальные гальванические цеха. В центре каждой звезды уральскими самоцветами (аметистами, топазами, александритами, горным хрусталем, аквамаринами) был выложен символ СССР — серп и молот, покрытый золотом. Всего потребовалось около 7 тысяч камней величиной от 20 до 200 каратов (один карат равен 0,2гр).</w:t>
      </w:r>
    </w:p>
    <w:p w14:paraId="5DE8E83D" w14:textId="77777777" w:rsidR="00AC3381" w:rsidRPr="00E14102" w:rsidRDefault="00AC3381" w:rsidP="00E14102">
      <w:pPr>
        <w:jc w:val="both"/>
        <w:rPr>
          <w:color w:val="0070C0"/>
          <w:sz w:val="16"/>
          <w:szCs w:val="16"/>
        </w:rPr>
      </w:pPr>
      <w:r w:rsidRPr="00E14102">
        <w:rPr>
          <w:color w:val="0070C0"/>
          <w:sz w:val="16"/>
          <w:szCs w:val="16"/>
        </w:rPr>
        <w:t>Из докладной Паупера, сотрудника оперативного отдела НКВД: «Каждый камень огранен бриллиантовой гранкой (на 73 грани) и во избежание выпадения заделан в отдельный серебряный каст с серебряным винтом и гайкой. Общий вес всех звезд — 5600кг.»</w:t>
      </w:r>
    </w:p>
    <w:p w14:paraId="4B224E17" w14:textId="77777777" w:rsidR="00AC3381" w:rsidRPr="00E14102" w:rsidRDefault="00AC3381" w:rsidP="00E14102">
      <w:pPr>
        <w:jc w:val="both"/>
        <w:rPr>
          <w:color w:val="0070C0"/>
          <w:sz w:val="16"/>
          <w:szCs w:val="16"/>
        </w:rPr>
      </w:pPr>
      <w:r w:rsidRPr="00E14102">
        <w:rPr>
          <w:color w:val="0070C0"/>
          <w:sz w:val="16"/>
          <w:szCs w:val="16"/>
        </w:rPr>
        <w:t>Рисунок был уникален для каждой звезды. Так Звезду Спасской башни украсили лучи от центра к вершинам, звезду Троицкой башни — колосья. На Боровицкой башне узор звезды повторял ее контур. Звезда Никольской башни была без рисунка.</w:t>
      </w:r>
    </w:p>
    <w:p w14:paraId="7E1AB1B4" w14:textId="77777777" w:rsidR="00AC3381" w:rsidRPr="00E14102" w:rsidRDefault="00AC3381" w:rsidP="00E14102">
      <w:pPr>
        <w:jc w:val="both"/>
        <w:rPr>
          <w:color w:val="0070C0"/>
          <w:sz w:val="16"/>
          <w:szCs w:val="16"/>
        </w:rPr>
      </w:pPr>
      <w:r w:rsidRPr="00E14102">
        <w:rPr>
          <w:color w:val="0070C0"/>
          <w:sz w:val="16"/>
          <w:szCs w:val="16"/>
        </w:rPr>
        <w:t>23 октября 1935 года звезды доставили в Центральный парк культуры и отдыха им. М. Горького и установили на постаментах, обитых кумачом. В свете прожекторов засверкали позолотой лучи, заискрились уральские самоцветы. Осмотреть звезды прибыли секретари городского и районных комитетов ВКП(б), председатель Моссовета. В парк пришли сотни москвичей и гостей столицы.</w:t>
      </w:r>
    </w:p>
    <w:p w14:paraId="61202F10" w14:textId="77777777" w:rsidR="00AC3381" w:rsidRPr="00E14102" w:rsidRDefault="00AC3381" w:rsidP="00E14102">
      <w:pPr>
        <w:jc w:val="both"/>
        <w:rPr>
          <w:color w:val="0070C0"/>
          <w:sz w:val="16"/>
          <w:szCs w:val="16"/>
        </w:rPr>
      </w:pPr>
      <w:r w:rsidRPr="00E14102">
        <w:rPr>
          <w:color w:val="0070C0"/>
          <w:sz w:val="16"/>
          <w:szCs w:val="16"/>
        </w:rPr>
        <w:t>24 октября 1935 года на Спасской башне установили первую звезду. На следующий день пятиконечная звезда была установлена на шпиле Троицкой башни. 26 и 27 октября звезды засияли над Никольской и Боровицкой башнями.</w:t>
      </w:r>
    </w:p>
    <w:p w14:paraId="2ABA6F93" w14:textId="77777777" w:rsidR="00AC3381" w:rsidRPr="00E14102" w:rsidRDefault="00AC3381" w:rsidP="00E14102">
      <w:pPr>
        <w:jc w:val="both"/>
        <w:rPr>
          <w:color w:val="0070C0"/>
          <w:sz w:val="16"/>
          <w:szCs w:val="16"/>
        </w:rPr>
      </w:pPr>
      <w:r w:rsidRPr="00E14102">
        <w:rPr>
          <w:color w:val="0070C0"/>
          <w:sz w:val="16"/>
          <w:szCs w:val="16"/>
        </w:rPr>
        <w:t>В мае 1937 года в Кремле было принято решение о замене металлических звезд на рубиновые с мощной внутренней подсветкой. Причем Сталин принял решение об установке такой звезды и на пятой кремлевской башне — Водовзводной (21179).</w:t>
      </w:r>
    </w:p>
    <w:p w14:paraId="4D57306B" w14:textId="77777777" w:rsidR="00AC3381" w:rsidRPr="00E14102" w:rsidRDefault="00AC3381" w:rsidP="00E14102">
      <w:pPr>
        <w:jc w:val="both"/>
        <w:rPr>
          <w:color w:val="0070C0"/>
          <w:sz w:val="16"/>
          <w:szCs w:val="16"/>
        </w:rPr>
      </w:pPr>
    </w:p>
    <w:p w14:paraId="555AB8E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473CC90" w14:textId="77777777" w:rsidR="00D4105E" w:rsidRPr="00E14102" w:rsidRDefault="00D4105E" w:rsidP="00E14102">
      <w:pPr>
        <w:autoSpaceDE w:val="0"/>
        <w:autoSpaceDN w:val="0"/>
        <w:adjustRightInd w:val="0"/>
        <w:jc w:val="both"/>
        <w:rPr>
          <w:iCs/>
          <w:color w:val="000000" w:themeColor="text1"/>
          <w:sz w:val="16"/>
          <w:szCs w:val="16"/>
        </w:rPr>
      </w:pPr>
    </w:p>
    <w:p w14:paraId="397B59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августа 1935 самолет ДВ СССР-Н2 вылетел вдоль арктического побережья на зимовку Шалаурова в 30 километрах ниже бухты Амбарчик, по правому берегу реки Колымы. По пути гидроплан садился на мысе Шмидта для заправки горючим.</w:t>
      </w:r>
    </w:p>
    <w:p w14:paraId="4C291F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8 сентября экипаж просидел на зимовке к северу от Медвежьих островов в ожидании улучшения погоды. Три попытки пройти в район к северу от Медвежьих островов оказались неудачными, заряды тумана и снегопада сводили на нет результат полета. 7 сентября Молоков вылетал к устью реки Индигирки на поиски 7 человек, унесенных на кунгасе, но ничего не обнаружил. Вскоре командир самолета получил разрешение вернуться в Красноярск по маршруту Колыма - Тикси - Нордвик - Хатанга - Дудинка.</w:t>
      </w:r>
    </w:p>
    <w:p w14:paraId="60AFC7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сентября СССР-Н2 вылетел в Тикси. До Индигирки шли в удаление до 80 миль от берега в тщетной надежде найти унесенный кунгас.</w:t>
      </w:r>
    </w:p>
    <w:p w14:paraId="527F62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из Тикси на Нордвик проходил при плохой видимости. Заряды тумана прекратились только на середине перелета. Из Нордвика самолет шел по системе рек и 12 сентября прибыл в Дудинку.</w:t>
      </w:r>
    </w:p>
    <w:p w14:paraId="7C04A2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14 сентября по 1 октября экипаж сделал 10 полетов на Волочанск: перевезли 93 пассажира, 3590 кг груза и 1290 кг почты. 1-го октября река Дудинка и озера в тундре покрылись льдом. Самолет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58D823BC" w14:textId="77777777" w:rsidR="00D4105E" w:rsidRPr="00E14102" w:rsidRDefault="00D4105E" w:rsidP="00E14102">
      <w:pPr>
        <w:autoSpaceDE w:val="0"/>
        <w:autoSpaceDN w:val="0"/>
        <w:adjustRightInd w:val="0"/>
        <w:jc w:val="both"/>
        <w:rPr>
          <w:color w:val="000000" w:themeColor="text1"/>
          <w:sz w:val="16"/>
          <w:szCs w:val="16"/>
        </w:rPr>
      </w:pPr>
    </w:p>
    <w:p w14:paraId="76DFD21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38C952E" w14:textId="77777777" w:rsidR="00D4105E" w:rsidRPr="00E14102" w:rsidRDefault="00D4105E" w:rsidP="00E14102">
      <w:pPr>
        <w:autoSpaceDE w:val="0"/>
        <w:autoSpaceDN w:val="0"/>
        <w:adjustRightInd w:val="0"/>
        <w:jc w:val="both"/>
        <w:rPr>
          <w:iCs/>
          <w:color w:val="000000" w:themeColor="text1"/>
          <w:sz w:val="16"/>
          <w:szCs w:val="16"/>
        </w:rPr>
      </w:pPr>
    </w:p>
    <w:p w14:paraId="4343B5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24 августа 1935 г. испытательно-сбороч</w:t>
      </w:r>
      <w:r w:rsidRPr="00E14102">
        <w:rPr>
          <w:color w:val="000000" w:themeColor="text1"/>
          <w:sz w:val="16"/>
          <w:szCs w:val="16"/>
        </w:rPr>
        <w:softHyphen/>
        <w:t>ным цехом Опытного завода № 185 имени Кирова были закончены специальные заводские испытания доработанного образца СУ-14, которые проходили с 5 апреля. Машина прошла более 500 км в различных условиях, продемонстрировав возросшие боевые и ходовые качества. Однако вновь отмечались множественные недо</w:t>
      </w:r>
      <w:r w:rsidRPr="00E14102">
        <w:rPr>
          <w:color w:val="000000" w:themeColor="text1"/>
          <w:sz w:val="16"/>
          <w:szCs w:val="16"/>
        </w:rPr>
        <w:softHyphen/>
        <w:t>статки. В частности, выяснилось, что через шаровые амбра</w:t>
      </w:r>
      <w:r w:rsidRPr="00E14102">
        <w:rPr>
          <w:color w:val="000000" w:themeColor="text1"/>
          <w:sz w:val="16"/>
          <w:szCs w:val="16"/>
        </w:rPr>
        <w:softHyphen/>
        <w:t>зуры, предназначенные для пулеметов ДТ, практически не</w:t>
      </w:r>
      <w:r w:rsidRPr="00E14102">
        <w:rPr>
          <w:color w:val="000000" w:themeColor="text1"/>
          <w:sz w:val="16"/>
          <w:szCs w:val="16"/>
        </w:rPr>
        <w:softHyphen/>
        <w:t>возможно вести прицельный огонь, так же как невозможно быстро использовать возимый боекомплект (8 выстрелов), который находился под съемными крышками палубы, бло</w:t>
      </w:r>
      <w:r w:rsidRPr="00E14102">
        <w:rPr>
          <w:color w:val="000000" w:themeColor="text1"/>
          <w:sz w:val="16"/>
          <w:szCs w:val="16"/>
        </w:rPr>
        <w:softHyphen/>
        <w:t>кированными в походном положении телом орудия. Используя опыт, полученный при работе над СУ-14, конструкторский отдел самоходной артиллерии спешно разработал чертежи для постройки эталонного образца са</w:t>
      </w:r>
      <w:r w:rsidRPr="00E14102">
        <w:rPr>
          <w:color w:val="000000" w:themeColor="text1"/>
          <w:sz w:val="16"/>
          <w:szCs w:val="16"/>
        </w:rPr>
        <w:softHyphen/>
        <w:t>моходной установки СУ-14-1, который был изготовлен в начале 1936 г. Он имел улучшенную конструкцию коробки передач, главного фрикциона, тормозов и бортовых пере</w:t>
      </w:r>
      <w:r w:rsidRPr="00E14102">
        <w:rPr>
          <w:color w:val="000000" w:themeColor="text1"/>
          <w:sz w:val="16"/>
          <w:szCs w:val="16"/>
        </w:rPr>
        <w:softHyphen/>
        <w:t>дач. Также на СУ-14-1 были перенесены в стороны от каби</w:t>
      </w:r>
      <w:r w:rsidRPr="00E14102">
        <w:rPr>
          <w:color w:val="000000" w:themeColor="text1"/>
          <w:sz w:val="16"/>
          <w:szCs w:val="16"/>
        </w:rPr>
        <w:softHyphen/>
        <w:t>ны водителя выхлопные трубы, усовершенствованы опор</w:t>
      </w:r>
      <w:r w:rsidRPr="00E14102">
        <w:rPr>
          <w:color w:val="000000" w:themeColor="text1"/>
          <w:sz w:val="16"/>
          <w:szCs w:val="16"/>
        </w:rPr>
        <w:softHyphen/>
        <w:t>ные сошники. Машина получила форсированный до 680 л.с. двигатель М-17-1, который позволял самоходу массой 48 т развивать скорость 31,5 км/ч. В ходовой части применили более толстые листы коренной рессоры и изъяли механизм выключения подвески во время стрельбы, как бесполезный (11417).</w:t>
      </w:r>
    </w:p>
    <w:p w14:paraId="17A5BD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C6F305F" w14:textId="77777777" w:rsidR="00BB7C9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09F909D" w14:textId="77777777" w:rsidR="00BB7C9A" w:rsidRPr="00E14102" w:rsidRDefault="00BB7C9A" w:rsidP="00E14102">
      <w:pPr>
        <w:autoSpaceDE w:val="0"/>
        <w:autoSpaceDN w:val="0"/>
        <w:adjustRightInd w:val="0"/>
        <w:jc w:val="both"/>
        <w:rPr>
          <w:iCs/>
          <w:color w:val="000000" w:themeColor="text1"/>
          <w:sz w:val="16"/>
          <w:szCs w:val="16"/>
        </w:rPr>
      </w:pPr>
    </w:p>
    <w:p w14:paraId="647BCAA6" w14:textId="77777777" w:rsidR="00BB7C9A" w:rsidRPr="00E14102" w:rsidRDefault="00BB7C9A" w:rsidP="00E14102">
      <w:pPr>
        <w:jc w:val="both"/>
        <w:rPr>
          <w:color w:val="000000" w:themeColor="text1"/>
          <w:sz w:val="16"/>
          <w:szCs w:val="16"/>
        </w:rPr>
      </w:pPr>
      <w:r w:rsidRPr="00E14102">
        <w:rPr>
          <w:color w:val="000000" w:themeColor="text1"/>
          <w:sz w:val="16"/>
          <w:szCs w:val="16"/>
        </w:rPr>
        <w:t xml:space="preserve">24 августа в 1935 году ВМС США заказали фирме «Grumman» 54 истребителя </w:t>
      </w:r>
      <w:hyperlink r:id="rId186" w:tgtFrame="_blank" w:history="1">
        <w:r w:rsidRPr="00E14102">
          <w:rPr>
            <w:color w:val="000000" w:themeColor="text1"/>
            <w:sz w:val="16"/>
            <w:szCs w:val="16"/>
          </w:rPr>
          <w:t xml:space="preserve">«F3F-1». </w:t>
        </w:r>
      </w:hyperlink>
      <w:r w:rsidRPr="00E14102">
        <w:rPr>
          <w:color w:val="000000" w:themeColor="text1"/>
          <w:sz w:val="16"/>
          <w:szCs w:val="16"/>
        </w:rPr>
        <w:t>Испытания доработанного третьего опытного образца «XF3F-1» успешно завершились в марте 1936 года. Поставка серийных самолетов «F3F-1» длилась с января по сентябрь 1936 года. На серийных истребителях вместо правого 7,62-мм пулемета установили 12,7-мм пулемет. Такое вооружение должно было стать стандартом для всех последующих модификаций. Как и все остальные истребители фирмы «Grumman», «F3F-1» имел переставной горизонтальный стабилизатор с рабочим диапазоном углов от +3,75 град. до - 2,50 град (14992).</w:t>
      </w:r>
    </w:p>
    <w:p w14:paraId="7C1A268E" w14:textId="77777777" w:rsidR="00BB7C9A" w:rsidRPr="00E14102" w:rsidRDefault="00BB7C9A" w:rsidP="00E14102">
      <w:pPr>
        <w:jc w:val="both"/>
        <w:rPr>
          <w:color w:val="000000" w:themeColor="text1"/>
          <w:sz w:val="16"/>
          <w:szCs w:val="16"/>
        </w:rPr>
      </w:pPr>
    </w:p>
    <w:p w14:paraId="12461724" w14:textId="77777777" w:rsidR="00BB7C9A" w:rsidRPr="00E14102" w:rsidRDefault="00BB7C9A" w:rsidP="00E14102">
      <w:pPr>
        <w:jc w:val="both"/>
        <w:rPr>
          <w:color w:val="000000" w:themeColor="text1"/>
          <w:sz w:val="16"/>
          <w:szCs w:val="16"/>
        </w:rPr>
      </w:pPr>
      <w:r w:rsidRPr="00E14102">
        <w:rPr>
          <w:color w:val="000000" w:themeColor="text1"/>
          <w:sz w:val="16"/>
          <w:szCs w:val="16"/>
        </w:rPr>
        <w:t xml:space="preserve">24 августа в 1935 году поднялся в воздух пятый аргентинский самолёт, построенный фирмой «la Fabrica Militar de Aviones». Первоначально названный как и предшественник </w:t>
      </w:r>
      <w:hyperlink r:id="rId187" w:tgtFrame="_blank" w:history="1">
        <w:r w:rsidRPr="00E14102">
          <w:rPr>
            <w:color w:val="000000" w:themeColor="text1"/>
            <w:sz w:val="16"/>
            <w:szCs w:val="16"/>
          </w:rPr>
          <w:t xml:space="preserve">«Ае.М.О.1», </w:t>
        </w:r>
      </w:hyperlink>
      <w:r w:rsidRPr="00E14102">
        <w:rPr>
          <w:color w:val="000000" w:themeColor="text1"/>
          <w:sz w:val="16"/>
          <w:szCs w:val="16"/>
        </w:rPr>
        <w:t>первый образец этой машины, предназначался для наблюдения и тренировок пилотов. Не прошло и месяца, как приказом министра вооружений №2090 самолёт был принят на вооружение под новым обозначением «Ае.М.Ое.1» («Militar de Observaciуn y Entrenamiento»), а вскоре последовало распоряжение о начале его серийного строительства. Было построено 6 машин (14992).</w:t>
      </w:r>
    </w:p>
    <w:p w14:paraId="25F275CE" w14:textId="77777777" w:rsidR="00BB7C9A" w:rsidRPr="00E14102" w:rsidRDefault="00BB7C9A" w:rsidP="00E14102">
      <w:pPr>
        <w:jc w:val="both"/>
        <w:rPr>
          <w:color w:val="000000" w:themeColor="text1"/>
          <w:sz w:val="16"/>
          <w:szCs w:val="16"/>
        </w:rPr>
      </w:pPr>
    </w:p>
    <w:p w14:paraId="619E1C6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9B38617" w14:textId="77777777" w:rsidR="00D4105E" w:rsidRPr="00E14102" w:rsidRDefault="00D4105E" w:rsidP="00E14102">
      <w:pPr>
        <w:autoSpaceDE w:val="0"/>
        <w:autoSpaceDN w:val="0"/>
        <w:adjustRightInd w:val="0"/>
        <w:jc w:val="both"/>
        <w:rPr>
          <w:iCs/>
          <w:color w:val="000000" w:themeColor="text1"/>
          <w:sz w:val="16"/>
          <w:szCs w:val="16"/>
        </w:rPr>
      </w:pPr>
    </w:p>
    <w:p w14:paraId="472BD37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25 августа 1935 Заводом № 1 было облетано 65 самолетов "ССС".</w:t>
      </w:r>
    </w:p>
    <w:p w14:paraId="775C04B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Сданы ваказчикам из этого количества 4самолета.</w:t>
      </w:r>
    </w:p>
    <w:p w14:paraId="202D0E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аэродроме находилось 61 самолет "ССС", на которых необходимо было установить пулеметы "Шкас", произвести отсрел их, а так же довести бомбовое и хим. вооружение.</w:t>
      </w:r>
    </w:p>
    <w:p w14:paraId="7B9835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При просмотре и предварительной приемке этих самолетов 10/УШ-35 г. были обнаружены в нижних лонжеронах фюзеляжа трещины на 51 самолете, которые появились вследствииоткрытой констпукция лонжеронов, плохого качества клея и лака, полученного </w:t>
      </w:r>
      <w:r w:rsidRPr="00E14102">
        <w:rPr>
          <w:color w:val="000000" w:themeColor="text1"/>
          <w:sz w:val="16"/>
          <w:szCs w:val="16"/>
          <w:vertAlign w:val="subscript"/>
        </w:rPr>
        <w:t>:</w:t>
      </w:r>
      <w:r w:rsidRPr="00E14102">
        <w:rPr>
          <w:color w:val="000000" w:themeColor="text1"/>
          <w:sz w:val="16"/>
          <w:szCs w:val="16"/>
        </w:rPr>
        <w:t xml:space="preserve"> заводом № 1.</w:t>
      </w:r>
    </w:p>
    <w:p w14:paraId="1952BDC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Заводом № 1 неоднократно ставился вопрос перед УВС РККА о необходикости фанеровки (закрытия нижней поверхности лонжеронов), однако, от этого УВС РККА отказывалось (3419,104).</w:t>
      </w:r>
    </w:p>
    <w:p w14:paraId="16462ED1" w14:textId="77777777" w:rsidR="00D4105E" w:rsidRPr="00E14102" w:rsidRDefault="00D4105E" w:rsidP="00E14102">
      <w:pPr>
        <w:autoSpaceDE w:val="0"/>
        <w:autoSpaceDN w:val="0"/>
        <w:adjustRightInd w:val="0"/>
        <w:jc w:val="both"/>
        <w:rPr>
          <w:color w:val="000000" w:themeColor="text1"/>
          <w:sz w:val="16"/>
          <w:szCs w:val="16"/>
        </w:rPr>
      </w:pPr>
    </w:p>
    <w:p w14:paraId="1D7EC7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25 августа по 4 сентября 1935 велись воздушные стрельбы из ДРП в ходе испытаний ИП-1 М-25. Далее испытания решили прекратить, так как после 444 посадок конструкция крыла и центроплана износилась и требовала ремонта. Кроме того, ремонт был необходим и хвостовому оперению, на которое негативно повлияли пороховые газы от 38 выстрелов из АПК-4М на земле и 20 выстрелов в воздухе. Поэтому самолёт отправили на завод для проведения очередных доводок и усовершенствований.</w:t>
      </w:r>
    </w:p>
    <w:p w14:paraId="23A5BC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сами государственные испытания ИП-1 посчитали законченными, сделав некоторые выводы. В частности, отмечалось, что благодаря высокой посадке пилот обладает хорошим обзором из кабины. Самолёт устойчиво пикировал, хорошо наводился на цель; управление в воздухе охарактеризовали как простое, доступное для освоения строевыми лётчиками. Посадочная скорость равнялась 100 - 105 км/ч, разбег на взлёте - 180 - 190 м, что позволяло использовать ИП-1 с полевых аэродромов размером 400x400 м. Эффект от опускания (зависания) элеронов лётчики оценили не очень высоко: без его использования скорость самолёта на посадке составляла 115 км/ч, а с зависанием - 110 км/ч. Нормальный радиус действия ИП-1 определялся в пределах 200 - 350 км, максимальный - 250 - 450 км. Предполагалось, что лётные качества машины могут быть улучшены подбором более эффективного воздушного винта, более качественным производственным исполнением, улучшением аэродинамики и облегчением конструкции.</w:t>
      </w:r>
    </w:p>
    <w:p w14:paraId="282BD8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Акт по государственным испытаниям ИП-1 начальник ВВС Я.И. Алкснис подписал 1 октября 1935 г. В нём говорилось, что "Основными объектами нападения для ИП-1 являются тяжёлые бомбардировщики со скоростями 350 км/ч, а также земные цели, требующие для своего поражения снарядов калибра 76 мм". Как бы то ни было, мнение о самолёте складывалось благоприятное и по результатам испытаний предлагалось увеличить заказ на производство ИП-1 за счёт уменьшения заказов на машины других типов. Строить ИП-1 решили на харьковском заводе № 135, том самом, на котором уже выпускали И-Z.</w:t>
      </w:r>
    </w:p>
    <w:p w14:paraId="3528EC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Отдельным пунктом во всех материалах по испытаниям ИП-1 указывалось требование о срочной доводке пушек АПК-4М. В процессе изготовления серии предлагалось организовать испытания головной машины с отстрелом пушек при участии представителей завода № 38 и УВВС.</w:t>
      </w:r>
    </w:p>
    <w:p w14:paraId="7DF424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Характеристики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E3599D" w:rsidRPr="00E14102" w14:paraId="062AE8D0" w14:textId="77777777">
        <w:tc>
          <w:tcPr>
            <w:tcW w:w="5605" w:type="dxa"/>
            <w:tcBorders>
              <w:top w:val="single" w:sz="12" w:space="0" w:color="auto"/>
            </w:tcBorders>
          </w:tcPr>
          <w:p w14:paraId="1A3B99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в линии полёта, м</w:t>
            </w:r>
          </w:p>
        </w:tc>
        <w:tc>
          <w:tcPr>
            <w:tcW w:w="5605" w:type="dxa"/>
            <w:tcBorders>
              <w:top w:val="single" w:sz="12" w:space="0" w:color="auto"/>
            </w:tcBorders>
          </w:tcPr>
          <w:p w14:paraId="7B8A5D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7,23</w:t>
            </w:r>
          </w:p>
        </w:tc>
      </w:tr>
      <w:tr w:rsidR="00E3599D" w:rsidRPr="00E14102" w14:paraId="6A60A867" w14:textId="77777777">
        <w:tc>
          <w:tcPr>
            <w:tcW w:w="5605" w:type="dxa"/>
          </w:tcPr>
          <w:p w14:paraId="373214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в линии полёта, м</w:t>
            </w:r>
          </w:p>
        </w:tc>
        <w:tc>
          <w:tcPr>
            <w:tcW w:w="5605" w:type="dxa"/>
          </w:tcPr>
          <w:p w14:paraId="17531B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3,208</w:t>
            </w:r>
          </w:p>
        </w:tc>
      </w:tr>
      <w:tr w:rsidR="00E3599D" w:rsidRPr="00E14102" w14:paraId="5CC9AC17" w14:textId="77777777">
        <w:tc>
          <w:tcPr>
            <w:tcW w:w="5605" w:type="dxa"/>
          </w:tcPr>
          <w:p w14:paraId="19295D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крыла, м</w:t>
            </w:r>
          </w:p>
        </w:tc>
        <w:tc>
          <w:tcPr>
            <w:tcW w:w="5605" w:type="dxa"/>
          </w:tcPr>
          <w:p w14:paraId="62EDED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10,97</w:t>
            </w:r>
          </w:p>
        </w:tc>
      </w:tr>
      <w:tr w:rsidR="00E3599D" w:rsidRPr="00E14102" w14:paraId="0574BB0C" w14:textId="77777777">
        <w:tc>
          <w:tcPr>
            <w:tcW w:w="5605" w:type="dxa"/>
          </w:tcPr>
          <w:p w14:paraId="3FDBD2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горизонтального оперения, м</w:t>
            </w:r>
          </w:p>
        </w:tc>
        <w:tc>
          <w:tcPr>
            <w:tcW w:w="5605" w:type="dxa"/>
          </w:tcPr>
          <w:p w14:paraId="6F28A5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3,168</w:t>
            </w:r>
          </w:p>
        </w:tc>
      </w:tr>
      <w:tr w:rsidR="00E3599D" w:rsidRPr="00E14102" w14:paraId="1C3B7E47" w14:textId="77777777">
        <w:tc>
          <w:tcPr>
            <w:tcW w:w="5605" w:type="dxa"/>
          </w:tcPr>
          <w:p w14:paraId="6A3870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центроплана, м</w:t>
            </w:r>
          </w:p>
        </w:tc>
        <w:tc>
          <w:tcPr>
            <w:tcW w:w="5605" w:type="dxa"/>
          </w:tcPr>
          <w:p w14:paraId="1245D6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5,6</w:t>
            </w:r>
          </w:p>
        </w:tc>
      </w:tr>
      <w:tr w:rsidR="00E3599D" w:rsidRPr="00E14102" w14:paraId="1A09FEE1" w14:textId="77777777">
        <w:tc>
          <w:tcPr>
            <w:tcW w:w="5605" w:type="dxa"/>
          </w:tcPr>
          <w:p w14:paraId="31681A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крыла, м2</w:t>
            </w:r>
          </w:p>
        </w:tc>
        <w:tc>
          <w:tcPr>
            <w:tcW w:w="5605" w:type="dxa"/>
          </w:tcPr>
          <w:p w14:paraId="01D316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17,7</w:t>
            </w:r>
          </w:p>
        </w:tc>
      </w:tr>
      <w:tr w:rsidR="00E3599D" w:rsidRPr="00E14102" w14:paraId="179B0C75" w14:textId="77777777">
        <w:tc>
          <w:tcPr>
            <w:tcW w:w="5605" w:type="dxa"/>
          </w:tcPr>
          <w:p w14:paraId="0C83BE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Колея шасси, м</w:t>
            </w:r>
          </w:p>
        </w:tc>
        <w:tc>
          <w:tcPr>
            <w:tcW w:w="5605" w:type="dxa"/>
          </w:tcPr>
          <w:p w14:paraId="353D9C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2,05</w:t>
            </w:r>
          </w:p>
        </w:tc>
      </w:tr>
      <w:tr w:rsidR="00E3599D" w:rsidRPr="00E14102" w14:paraId="7F63402C" w14:textId="77777777">
        <w:tc>
          <w:tcPr>
            <w:tcW w:w="5605" w:type="dxa"/>
          </w:tcPr>
          <w:p w14:paraId="3239AB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пустого, кг</w:t>
            </w:r>
          </w:p>
        </w:tc>
        <w:tc>
          <w:tcPr>
            <w:tcW w:w="5605" w:type="dxa"/>
          </w:tcPr>
          <w:p w14:paraId="696269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1405</w:t>
            </w:r>
          </w:p>
        </w:tc>
      </w:tr>
      <w:tr w:rsidR="00E3599D" w:rsidRPr="00E14102" w14:paraId="05601E5B" w14:textId="77777777">
        <w:tc>
          <w:tcPr>
            <w:tcW w:w="5605" w:type="dxa"/>
          </w:tcPr>
          <w:p w14:paraId="1DA1DF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Полётный вес, кг</w:t>
            </w:r>
          </w:p>
        </w:tc>
        <w:tc>
          <w:tcPr>
            <w:tcW w:w="5605" w:type="dxa"/>
          </w:tcPr>
          <w:p w14:paraId="65F50F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1740</w:t>
            </w:r>
          </w:p>
        </w:tc>
      </w:tr>
      <w:tr w:rsidR="00E3599D" w:rsidRPr="00E14102" w14:paraId="112FD0AB" w14:textId="77777777">
        <w:tc>
          <w:tcPr>
            <w:tcW w:w="5605" w:type="dxa"/>
          </w:tcPr>
          <w:p w14:paraId="53794A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Нагрузка на крыло, кг/м2</w:t>
            </w:r>
          </w:p>
        </w:tc>
        <w:tc>
          <w:tcPr>
            <w:tcW w:w="5605" w:type="dxa"/>
          </w:tcPr>
          <w:p w14:paraId="6F364C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98,3</w:t>
            </w:r>
          </w:p>
        </w:tc>
      </w:tr>
      <w:tr w:rsidR="00E3599D" w:rsidRPr="00E14102" w14:paraId="4557AE1A" w14:textId="77777777">
        <w:tc>
          <w:tcPr>
            <w:tcW w:w="5605" w:type="dxa"/>
          </w:tcPr>
          <w:p w14:paraId="7264F8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вооружения без крепления, кг</w:t>
            </w:r>
          </w:p>
        </w:tc>
        <w:tc>
          <w:tcPr>
            <w:tcW w:w="5605" w:type="dxa"/>
          </w:tcPr>
          <w:p w14:paraId="26AC91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158,8</w:t>
            </w:r>
          </w:p>
        </w:tc>
      </w:tr>
      <w:tr w:rsidR="00E3599D" w:rsidRPr="00E14102" w14:paraId="3EEFDF7C" w14:textId="77777777">
        <w:tc>
          <w:tcPr>
            <w:tcW w:w="5605" w:type="dxa"/>
          </w:tcPr>
          <w:p w14:paraId="4FBEEE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боеприпасов, кг</w:t>
            </w:r>
          </w:p>
        </w:tc>
        <w:tc>
          <w:tcPr>
            <w:tcW w:w="5605" w:type="dxa"/>
          </w:tcPr>
          <w:p w14:paraId="6AE06E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73,2</w:t>
            </w:r>
          </w:p>
        </w:tc>
      </w:tr>
      <w:tr w:rsidR="00E3599D" w:rsidRPr="00E14102" w14:paraId="23F06E8B" w14:textId="77777777">
        <w:tc>
          <w:tcPr>
            <w:tcW w:w="5605" w:type="dxa"/>
          </w:tcPr>
          <w:p w14:paraId="135D6C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Двигатель Райт R-1820F-3 "Циклон" №22136</w:t>
            </w:r>
          </w:p>
        </w:tc>
        <w:tc>
          <w:tcPr>
            <w:tcW w:w="5605" w:type="dxa"/>
          </w:tcPr>
          <w:p w14:paraId="02236BE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E13CAD1" w14:textId="77777777">
        <w:tc>
          <w:tcPr>
            <w:tcW w:w="5605" w:type="dxa"/>
          </w:tcPr>
          <w:p w14:paraId="59CD7F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мощность у земли, л.с.</w:t>
            </w:r>
          </w:p>
        </w:tc>
        <w:tc>
          <w:tcPr>
            <w:tcW w:w="5605" w:type="dxa"/>
          </w:tcPr>
          <w:p w14:paraId="3B977F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640</w:t>
            </w:r>
          </w:p>
        </w:tc>
      </w:tr>
      <w:tr w:rsidR="00E3599D" w:rsidRPr="00E14102" w14:paraId="03072838" w14:textId="77777777">
        <w:tc>
          <w:tcPr>
            <w:tcW w:w="5605" w:type="dxa"/>
          </w:tcPr>
          <w:p w14:paraId="185889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Частота вращения, об/мин</w:t>
            </w:r>
          </w:p>
        </w:tc>
        <w:tc>
          <w:tcPr>
            <w:tcW w:w="5605" w:type="dxa"/>
          </w:tcPr>
          <w:p w14:paraId="1799D1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1950</w:t>
            </w:r>
          </w:p>
        </w:tc>
      </w:tr>
      <w:tr w:rsidR="00E3599D" w:rsidRPr="00E14102" w14:paraId="5F19CEFB" w14:textId="77777777">
        <w:tc>
          <w:tcPr>
            <w:tcW w:w="5605" w:type="dxa"/>
          </w:tcPr>
          <w:p w14:paraId="449EA4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на высоте 2300 м (граница высотности) при частоте вращения 2050 об/мин, л.с.</w:t>
            </w:r>
          </w:p>
        </w:tc>
        <w:tc>
          <w:tcPr>
            <w:tcW w:w="5605" w:type="dxa"/>
          </w:tcPr>
          <w:p w14:paraId="151844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712</w:t>
            </w:r>
          </w:p>
        </w:tc>
      </w:tr>
      <w:tr w:rsidR="00E3599D" w:rsidRPr="00E14102" w14:paraId="519884DE" w14:textId="77777777">
        <w:tc>
          <w:tcPr>
            <w:tcW w:w="5605" w:type="dxa"/>
            <w:tcBorders>
              <w:bottom w:val="single" w:sz="12" w:space="0" w:color="auto"/>
            </w:tcBorders>
          </w:tcPr>
          <w:p w14:paraId="7C264F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Сухой вес двигателя, кг</w:t>
            </w:r>
          </w:p>
        </w:tc>
        <w:tc>
          <w:tcPr>
            <w:tcW w:w="5605" w:type="dxa"/>
            <w:tcBorders>
              <w:bottom w:val="single" w:sz="12" w:space="0" w:color="auto"/>
            </w:tcBorders>
          </w:tcPr>
          <w:p w14:paraId="64C76C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422</w:t>
            </w:r>
          </w:p>
        </w:tc>
      </w:tr>
    </w:tbl>
    <w:p w14:paraId="632E13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Лёгные данные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E3599D" w:rsidRPr="00E14102" w14:paraId="0F04F316" w14:textId="77777777">
        <w:tc>
          <w:tcPr>
            <w:tcW w:w="5605" w:type="dxa"/>
            <w:tcBorders>
              <w:top w:val="single" w:sz="12" w:space="0" w:color="auto"/>
            </w:tcBorders>
          </w:tcPr>
          <w:p w14:paraId="79B335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км/ч:</w:t>
            </w:r>
          </w:p>
        </w:tc>
        <w:tc>
          <w:tcPr>
            <w:tcW w:w="5605" w:type="dxa"/>
            <w:tcBorders>
              <w:top w:val="single" w:sz="12" w:space="0" w:color="auto"/>
            </w:tcBorders>
          </w:tcPr>
          <w:p w14:paraId="6B0A8E6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5C712A9" w14:textId="77777777">
        <w:tc>
          <w:tcPr>
            <w:tcW w:w="5605" w:type="dxa"/>
          </w:tcPr>
          <w:p w14:paraId="4BEE50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земли</w:t>
            </w:r>
          </w:p>
        </w:tc>
        <w:tc>
          <w:tcPr>
            <w:tcW w:w="5605" w:type="dxa"/>
          </w:tcPr>
          <w:p w14:paraId="108DAA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369</w:t>
            </w:r>
          </w:p>
        </w:tc>
      </w:tr>
      <w:tr w:rsidR="00E3599D" w:rsidRPr="00E14102" w14:paraId="56FDD1BF" w14:textId="77777777">
        <w:tc>
          <w:tcPr>
            <w:tcW w:w="5605" w:type="dxa"/>
          </w:tcPr>
          <w:p w14:paraId="6123B6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высоте 3000 м</w:t>
            </w:r>
          </w:p>
        </w:tc>
        <w:tc>
          <w:tcPr>
            <w:tcW w:w="5605" w:type="dxa"/>
          </w:tcPr>
          <w:p w14:paraId="32252B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410</w:t>
            </w:r>
          </w:p>
        </w:tc>
      </w:tr>
      <w:tr w:rsidR="00E3599D" w:rsidRPr="00E14102" w14:paraId="51F8D335" w14:textId="77777777">
        <w:tc>
          <w:tcPr>
            <w:tcW w:w="5605" w:type="dxa"/>
          </w:tcPr>
          <w:p w14:paraId="62647E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высоте 5000 м</w:t>
            </w:r>
          </w:p>
        </w:tc>
        <w:tc>
          <w:tcPr>
            <w:tcW w:w="5605" w:type="dxa"/>
          </w:tcPr>
          <w:p w14:paraId="445027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390</w:t>
            </w:r>
          </w:p>
        </w:tc>
      </w:tr>
      <w:tr w:rsidR="00E3599D" w:rsidRPr="00E14102" w14:paraId="756D5892" w14:textId="77777777">
        <w:tc>
          <w:tcPr>
            <w:tcW w:w="5605" w:type="dxa"/>
          </w:tcPr>
          <w:p w14:paraId="51CB6C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набора высоты 5000 м, мин</w:t>
            </w:r>
          </w:p>
        </w:tc>
        <w:tc>
          <w:tcPr>
            <w:tcW w:w="5605" w:type="dxa"/>
          </w:tcPr>
          <w:p w14:paraId="03FBFE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w:t>
            </w:r>
          </w:p>
        </w:tc>
      </w:tr>
      <w:tr w:rsidR="00E3599D" w:rsidRPr="00E14102" w14:paraId="3A75E9BF" w14:textId="77777777">
        <w:tc>
          <w:tcPr>
            <w:tcW w:w="5605" w:type="dxa"/>
          </w:tcPr>
          <w:p w14:paraId="7EEBD5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практический, м</w:t>
            </w:r>
          </w:p>
        </w:tc>
        <w:tc>
          <w:tcPr>
            <w:tcW w:w="5605" w:type="dxa"/>
          </w:tcPr>
          <w:p w14:paraId="386FF7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w:t>
            </w:r>
          </w:p>
        </w:tc>
      </w:tr>
      <w:tr w:rsidR="00E3599D" w:rsidRPr="00E14102" w14:paraId="6E223777" w14:textId="77777777">
        <w:tc>
          <w:tcPr>
            <w:tcW w:w="5605" w:type="dxa"/>
            <w:tcBorders>
              <w:bottom w:val="single" w:sz="12" w:space="0" w:color="auto"/>
            </w:tcBorders>
          </w:tcPr>
          <w:p w14:paraId="589529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выполнения виража, с</w:t>
            </w:r>
          </w:p>
        </w:tc>
        <w:tc>
          <w:tcPr>
            <w:tcW w:w="5605" w:type="dxa"/>
            <w:tcBorders>
              <w:bottom w:val="single" w:sz="12" w:space="0" w:color="auto"/>
            </w:tcBorders>
          </w:tcPr>
          <w:p w14:paraId="6D72F4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14- 15</w:t>
            </w:r>
          </w:p>
        </w:tc>
      </w:tr>
    </w:tbl>
    <w:p w14:paraId="31B6B2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(12005).</w:t>
      </w:r>
    </w:p>
    <w:p w14:paraId="48DDB852" w14:textId="77777777" w:rsidR="00D4105E" w:rsidRPr="00E14102" w:rsidRDefault="00D4105E" w:rsidP="00E14102">
      <w:pPr>
        <w:autoSpaceDE w:val="0"/>
        <w:autoSpaceDN w:val="0"/>
        <w:adjustRightInd w:val="0"/>
        <w:jc w:val="both"/>
        <w:rPr>
          <w:color w:val="000000" w:themeColor="text1"/>
          <w:sz w:val="16"/>
          <w:szCs w:val="16"/>
        </w:rPr>
      </w:pPr>
    </w:p>
    <w:p w14:paraId="7CF4EB11" w14:textId="77777777" w:rsidR="00BB7C9A" w:rsidRPr="00E14102" w:rsidRDefault="00BB7C9A" w:rsidP="00E14102">
      <w:pPr>
        <w:pStyle w:val="a7"/>
        <w:rPr>
          <w:color w:val="000000" w:themeColor="text1"/>
          <w:sz w:val="16"/>
          <w:szCs w:val="16"/>
          <w:lang w:val="ru-RU"/>
        </w:rPr>
      </w:pPr>
      <w:r w:rsidRPr="00E14102">
        <w:rPr>
          <w:color w:val="000000" w:themeColor="text1"/>
          <w:sz w:val="16"/>
          <w:szCs w:val="16"/>
          <w:lang w:val="ru-RU"/>
        </w:rPr>
        <w:t>В период с 25 августа по 4 сентября 1935 велись воздушные стрельбы из динамореактивных пушек с ИП-1 М-25. Далее испытания решили прекратить, так как после выполнения 444 посадок конструк</w:t>
      </w:r>
      <w:r w:rsidRPr="00E14102">
        <w:rPr>
          <w:color w:val="000000" w:themeColor="text1"/>
          <w:sz w:val="16"/>
          <w:szCs w:val="16"/>
          <w:lang w:val="ru-RU"/>
        </w:rPr>
        <w:softHyphen/>
        <w:t>ция крыла и центроплана износились и требовали ремонта. Кроме того, ремонт требовался и хвостовому оперению, на которое негативно повлияли пороховые газы от произведенных 38 выстрелов из АПК-4М на земле и 20 выстрелов в воз</w:t>
      </w:r>
      <w:r w:rsidRPr="00E14102">
        <w:rPr>
          <w:color w:val="000000" w:themeColor="text1"/>
          <w:sz w:val="16"/>
          <w:szCs w:val="16"/>
          <w:lang w:val="ru-RU"/>
        </w:rPr>
        <w:softHyphen/>
        <w:t>духе. Поэтому самолет отправили на завод для проведения очередных доводок и усо</w:t>
      </w:r>
      <w:r w:rsidRPr="00E14102">
        <w:rPr>
          <w:color w:val="000000" w:themeColor="text1"/>
          <w:sz w:val="16"/>
          <w:szCs w:val="16"/>
          <w:lang w:val="ru-RU"/>
        </w:rPr>
        <w:softHyphen/>
        <w:t>вершенствований.</w:t>
      </w:r>
    </w:p>
    <w:p w14:paraId="5AEADDBD" w14:textId="77777777" w:rsidR="00BB7C9A" w:rsidRPr="00E14102" w:rsidRDefault="00BB7C9A" w:rsidP="00E14102">
      <w:pPr>
        <w:pStyle w:val="a7"/>
        <w:rPr>
          <w:color w:val="000000" w:themeColor="text1"/>
          <w:sz w:val="16"/>
          <w:szCs w:val="16"/>
          <w:lang w:val="ru-RU"/>
        </w:rPr>
      </w:pPr>
      <w:r w:rsidRPr="00E14102">
        <w:rPr>
          <w:color w:val="000000" w:themeColor="text1"/>
          <w:sz w:val="16"/>
          <w:szCs w:val="16"/>
          <w:lang w:val="ru-RU"/>
        </w:rPr>
        <w:t>Между тем государственные испыта</w:t>
      </w:r>
      <w:r w:rsidRPr="00E14102">
        <w:rPr>
          <w:color w:val="000000" w:themeColor="text1"/>
          <w:sz w:val="16"/>
          <w:szCs w:val="16"/>
          <w:lang w:val="ru-RU"/>
        </w:rPr>
        <w:softHyphen/>
        <w:t>ния ИП-1 считались законченными, поэто</w:t>
      </w:r>
      <w:r w:rsidRPr="00E14102">
        <w:rPr>
          <w:color w:val="000000" w:themeColor="text1"/>
          <w:sz w:val="16"/>
          <w:szCs w:val="16"/>
          <w:lang w:val="ru-RU"/>
        </w:rPr>
        <w:softHyphen/>
        <w:t>му в отношении него были сделаны неко</w:t>
      </w:r>
      <w:r w:rsidRPr="00E14102">
        <w:rPr>
          <w:color w:val="000000" w:themeColor="text1"/>
          <w:sz w:val="16"/>
          <w:szCs w:val="16"/>
          <w:lang w:val="ru-RU"/>
        </w:rPr>
        <w:softHyphen/>
        <w:t>торые выводы. В частности отмечалось, что благодаря высокой посадке летчика обладает хорошим обзором из кабины. Самолет устойчиво пикирует, хорошо наводится на цель, управление самолетом в воздухе простое, доступное при осво</w:t>
      </w:r>
      <w:r w:rsidRPr="00E14102">
        <w:rPr>
          <w:color w:val="000000" w:themeColor="text1"/>
          <w:sz w:val="16"/>
          <w:szCs w:val="16"/>
          <w:lang w:val="ru-RU"/>
        </w:rPr>
        <w:softHyphen/>
        <w:t>ении строевыми летчиками. Посадочная скорость составила 100-105 км/ч, разбег - 180-190 м, что позволяло использовать ИП-1 с полевых аэродромов размером 400</w:t>
      </w:r>
      <w:r w:rsidRPr="00E14102">
        <w:rPr>
          <w:color w:val="000000" w:themeColor="text1"/>
          <w:sz w:val="16"/>
          <w:szCs w:val="16"/>
        </w:rPr>
        <w:t>x</w:t>
      </w:r>
      <w:r w:rsidRPr="00E14102">
        <w:rPr>
          <w:color w:val="000000" w:themeColor="text1"/>
          <w:sz w:val="16"/>
          <w:szCs w:val="16"/>
          <w:lang w:val="ru-RU"/>
        </w:rPr>
        <w:t>400 м. Кстати, эффект от опускания (зависания) элеронов летчики оценили не очень высоко: без его использования скорость самолета на посадке составля</w:t>
      </w:r>
      <w:r w:rsidRPr="00E14102">
        <w:rPr>
          <w:color w:val="000000" w:themeColor="text1"/>
          <w:sz w:val="16"/>
          <w:szCs w:val="16"/>
          <w:lang w:val="ru-RU"/>
        </w:rPr>
        <w:softHyphen/>
        <w:t>ла 115 км/ч, а с зависанием элеронов - 110 км/ч. Нормальный радиус действия ИП-1 оценивался в пределах 200-350 км, максимальный - 250-450 км. Предпо</w:t>
      </w:r>
      <w:r w:rsidRPr="00E14102">
        <w:rPr>
          <w:color w:val="000000" w:themeColor="text1"/>
          <w:sz w:val="16"/>
          <w:szCs w:val="16"/>
          <w:lang w:val="ru-RU"/>
        </w:rPr>
        <w:softHyphen/>
        <w:t>лагалось, что летные качества могут быть улучшены подбором более эффективного воздушного винта, более качественного производственного исполнения, улуч</w:t>
      </w:r>
      <w:r w:rsidRPr="00E14102">
        <w:rPr>
          <w:color w:val="000000" w:themeColor="text1"/>
          <w:sz w:val="16"/>
          <w:szCs w:val="16"/>
          <w:lang w:val="ru-RU"/>
        </w:rPr>
        <w:softHyphen/>
        <w:t>шения аэродинамики и облегчения кон</w:t>
      </w:r>
      <w:r w:rsidRPr="00E14102">
        <w:rPr>
          <w:color w:val="000000" w:themeColor="text1"/>
          <w:sz w:val="16"/>
          <w:szCs w:val="16"/>
          <w:lang w:val="ru-RU"/>
        </w:rPr>
        <w:softHyphen/>
        <w:t>струкции (15742).</w:t>
      </w:r>
    </w:p>
    <w:p w14:paraId="7F499185" w14:textId="77777777" w:rsidR="00BB7C9A" w:rsidRPr="00E14102" w:rsidRDefault="00BB7C9A" w:rsidP="00E14102">
      <w:pPr>
        <w:pStyle w:val="a7"/>
        <w:rPr>
          <w:color w:val="000000" w:themeColor="text1"/>
          <w:sz w:val="16"/>
          <w:szCs w:val="16"/>
          <w:lang w:val="ru-RU"/>
        </w:rPr>
      </w:pPr>
    </w:p>
    <w:p w14:paraId="446090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25 августа 1935 г. было подготовлено письмо начальнику АУ РККА от начальника ОБАА АУ РККА Могилевкина и начальника НТО-1 ОБАА АУ РККА Беккера «Во исполнение Вашего приказания по вопросу об опытных рабо</w:t>
      </w:r>
      <w:r w:rsidRPr="00E14102">
        <w:rPr>
          <w:color w:val="000000" w:themeColor="text1"/>
          <w:sz w:val="16"/>
          <w:szCs w:val="16"/>
        </w:rPr>
        <w:softHyphen/>
        <w:t>тах по РС-82 и РС-132, докладываю о состоянии работ по испытаниям на НИАП. РС-82 модели 2-01171, заказанными на заводах №70 и 75, от</w:t>
      </w:r>
      <w:r w:rsidRPr="00E14102">
        <w:rPr>
          <w:color w:val="000000" w:themeColor="text1"/>
          <w:sz w:val="16"/>
          <w:szCs w:val="16"/>
        </w:rPr>
        <w:softHyphen/>
        <w:t>стрел по утвержденному Вами плану должен был начаться 1 июля. Они поступили в количестве 480 штук для определения максимальной скоро</w:t>
      </w:r>
      <w:r w:rsidRPr="00E14102">
        <w:rPr>
          <w:color w:val="000000" w:themeColor="text1"/>
          <w:sz w:val="16"/>
          <w:szCs w:val="16"/>
        </w:rPr>
        <w:softHyphen/>
        <w:t>сти полета и характера нарастания скоростей на равном удалении от ствола. То есть, на дистанции от 500 до 5000 м через каждые 500 м, а так</w:t>
      </w:r>
      <w:r w:rsidRPr="00E14102">
        <w:rPr>
          <w:color w:val="000000" w:themeColor="text1"/>
          <w:sz w:val="16"/>
          <w:szCs w:val="16"/>
        </w:rPr>
        <w:softHyphen/>
        <w:t>же для определения осколочности. Кроме того, НИАП должен был про</w:t>
      </w:r>
      <w:r w:rsidRPr="00E14102">
        <w:rPr>
          <w:color w:val="000000" w:themeColor="text1"/>
          <w:sz w:val="16"/>
          <w:szCs w:val="16"/>
        </w:rPr>
        <w:softHyphen/>
        <w:t>верить безотказность новых электрозапалов для воспламенения РЗ.</w:t>
      </w:r>
    </w:p>
    <w:p w14:paraId="47A001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Все работы утверждены. На НИАП должны были сделать 900 выстре</w:t>
      </w:r>
      <w:r w:rsidRPr="00E14102">
        <w:rPr>
          <w:color w:val="000000" w:themeColor="text1"/>
          <w:sz w:val="16"/>
          <w:szCs w:val="16"/>
        </w:rPr>
        <w:softHyphen/>
        <w:t>лов (по 450 снарядами каждого калибра). РС-132 еще не поданы, так как запроектированные алюминиевые стабилизаторы при стрельбе отламы</w:t>
      </w:r>
      <w:r w:rsidRPr="00E14102">
        <w:rPr>
          <w:color w:val="000000" w:themeColor="text1"/>
          <w:sz w:val="16"/>
          <w:szCs w:val="16"/>
        </w:rPr>
        <w:softHyphen/>
        <w:t>ваются, и заводам даны указания делать стабилизаторы стальными, что повлекло оттяжку заводом №75 сдачи заказа.</w:t>
      </w:r>
    </w:p>
    <w:p w14:paraId="6065B2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НИАП к испытанию РС-82 приступил 16 июля 1935 г., и до 15 августа там выполнили всего 120 выстрелов, из которых 34 для определения ско</w:t>
      </w:r>
      <w:r w:rsidRPr="00E14102">
        <w:rPr>
          <w:color w:val="000000" w:themeColor="text1"/>
          <w:sz w:val="16"/>
          <w:szCs w:val="16"/>
        </w:rPr>
        <w:softHyphen/>
        <w:t xml:space="preserve">рости и 85 для определения меткости на дистанциях 2600 и 4400 </w:t>
      </w:r>
      <w:r w:rsidRPr="00E14102">
        <w:rPr>
          <w:smallCaps/>
          <w:color w:val="000000" w:themeColor="text1"/>
          <w:sz w:val="16"/>
          <w:szCs w:val="16"/>
        </w:rPr>
        <w:t xml:space="preserve">vi. </w:t>
      </w:r>
      <w:r w:rsidRPr="00E14102">
        <w:rPr>
          <w:color w:val="000000" w:themeColor="text1"/>
          <w:sz w:val="16"/>
          <w:szCs w:val="16"/>
        </w:rPr>
        <w:t>Для суждения о меткости на каждой дистанции программой предусмот</w:t>
      </w:r>
      <w:r w:rsidRPr="00E14102">
        <w:rPr>
          <w:color w:val="000000" w:themeColor="text1"/>
          <w:sz w:val="16"/>
          <w:szCs w:val="16"/>
        </w:rPr>
        <w:softHyphen/>
        <w:t>рено по 20 выстрелов. Учитывая, что каждый выстрел должен быть засе</w:t>
      </w:r>
      <w:r w:rsidRPr="00E14102">
        <w:rPr>
          <w:color w:val="000000" w:themeColor="text1"/>
          <w:sz w:val="16"/>
          <w:szCs w:val="16"/>
        </w:rPr>
        <w:softHyphen/>
        <w:t>чен, фактически при стрельбе на дистанцию 5000 м из 20 выстрелов за</w:t>
      </w:r>
      <w:r w:rsidRPr="00E14102">
        <w:rPr>
          <w:color w:val="000000" w:themeColor="text1"/>
          <w:sz w:val="16"/>
          <w:szCs w:val="16"/>
        </w:rPr>
        <w:softHyphen/>
        <w:t>сечено только семь. На 5600 м из 20 выстрелов засечено 12. На 4300 м из 20 выстрелов - 13. И на 4400 м - из 20 выстрелов всего 14.</w:t>
      </w:r>
    </w:p>
    <w:p w14:paraId="388E60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количеству выстрелов такие испытания никуда не годятся, слаба и неудовлетворительна организация, поскольку из 80 выстрелов засече но всего 46. По таким результатам делать выводы о меткости нельзя. Не</w:t>
      </w:r>
      <w:r w:rsidRPr="00E14102">
        <w:rPr>
          <w:color w:val="000000" w:themeColor="text1"/>
          <w:sz w:val="16"/>
          <w:szCs w:val="16"/>
        </w:rPr>
        <w:softHyphen/>
        <w:t>правильно расставленные сборщики, запаздывание с началом стрельб (вместо 17-00, отстрелы начинались в 20-00) и бесплановость.</w:t>
      </w:r>
    </w:p>
    <w:p w14:paraId="490D7B8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Прошу Ваших распоряжений начальнику НТО ОБАА и начальнику НИАП в течении августа закончить отстрел поданных РС-82 и предста</w:t>
      </w:r>
      <w:r w:rsidRPr="00E14102">
        <w:rPr>
          <w:color w:val="000000" w:themeColor="text1"/>
          <w:sz w:val="16"/>
          <w:szCs w:val="16"/>
        </w:rPr>
        <w:softHyphen/>
        <w:t>вить отчет не позднее 15 сентября с тем, чтобы во второй половине сен</w:t>
      </w:r>
      <w:r w:rsidRPr="00E14102">
        <w:rPr>
          <w:color w:val="000000" w:themeColor="text1"/>
          <w:sz w:val="16"/>
          <w:szCs w:val="16"/>
        </w:rPr>
        <w:softHyphen/>
        <w:t>тября в НИИ ВВС приступили к отстрелу снарядов с самолета. Органи</w:t>
      </w:r>
      <w:r w:rsidRPr="00E14102">
        <w:rPr>
          <w:color w:val="000000" w:themeColor="text1"/>
          <w:sz w:val="16"/>
          <w:szCs w:val="16"/>
        </w:rPr>
        <w:softHyphen/>
        <w:t>зовать наблюдение на поле таким образом, чтобы полностью обеспечить обмер мест падения снарядов. Стрельбу на меткость производить, стро</w:t>
      </w:r>
      <w:r w:rsidRPr="00E14102">
        <w:rPr>
          <w:color w:val="000000" w:themeColor="text1"/>
          <w:sz w:val="16"/>
          <w:szCs w:val="16"/>
        </w:rPr>
        <w:softHyphen/>
        <w:t>го придерживаясь программы. Произвести перестрелку для определения меткости РС-82 на дистанции 5000, 4500 и 4000 м. Одновременно с этим сСофринского полигона на НИАП командируется военпред Носков для наблюдения за подготовкой к стрельбе и проведения самих стрельб».</w:t>
      </w:r>
    </w:p>
    <w:p w14:paraId="25483B8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Таблица 1.13 Значения скорости РС-82 при стрельбе по рамам-мишеням</w:t>
      </w:r>
    </w:p>
    <w:tbl>
      <w:tblPr>
        <w:tblW w:w="0" w:type="auto"/>
        <w:tblInd w:w="40" w:type="dxa"/>
        <w:tblLayout w:type="fixed"/>
        <w:tblCellMar>
          <w:left w:w="40" w:type="dxa"/>
          <w:right w:w="40" w:type="dxa"/>
        </w:tblCellMar>
        <w:tblLook w:val="0000" w:firstRow="0" w:lastRow="0" w:firstColumn="0" w:lastColumn="0" w:noHBand="0" w:noVBand="0"/>
      </w:tblPr>
      <w:tblGrid>
        <w:gridCol w:w="2304"/>
        <w:gridCol w:w="1793"/>
        <w:gridCol w:w="1814"/>
      </w:tblGrid>
      <w:tr w:rsidR="00E3599D" w:rsidRPr="00E14102" w14:paraId="202B9B83" w14:textId="77777777">
        <w:trPr>
          <w:trHeight w:val="230"/>
        </w:trPr>
        <w:tc>
          <w:tcPr>
            <w:tcW w:w="2304" w:type="dxa"/>
            <w:tcBorders>
              <w:top w:val="single" w:sz="6" w:space="0" w:color="auto"/>
              <w:left w:val="single" w:sz="6" w:space="0" w:color="auto"/>
              <w:bottom w:val="nil"/>
              <w:right w:val="single" w:sz="6" w:space="0" w:color="auto"/>
            </w:tcBorders>
          </w:tcPr>
          <w:p w14:paraId="5F1FF22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Расстояние от дульного среза РО до рамы-мишени, м</w:t>
            </w:r>
          </w:p>
          <w:p w14:paraId="679962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3607" w:type="dxa"/>
            <w:gridSpan w:val="2"/>
            <w:tcBorders>
              <w:top w:val="single" w:sz="6" w:space="0" w:color="auto"/>
              <w:left w:val="single" w:sz="6" w:space="0" w:color="auto"/>
              <w:bottom w:val="single" w:sz="6" w:space="0" w:color="auto"/>
              <w:right w:val="single" w:sz="6" w:space="0" w:color="auto"/>
            </w:tcBorders>
          </w:tcPr>
          <w:p w14:paraId="025D6D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Значения скорости для снаряда РС-82 с РЗ, м/с:</w:t>
            </w:r>
          </w:p>
          <w:p w14:paraId="555104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6A5AE658" w14:textId="77777777">
        <w:trPr>
          <w:trHeight w:val="439"/>
        </w:trPr>
        <w:tc>
          <w:tcPr>
            <w:tcW w:w="2304" w:type="dxa"/>
            <w:tcBorders>
              <w:top w:val="nil"/>
              <w:left w:val="single" w:sz="6" w:space="0" w:color="auto"/>
              <w:bottom w:val="single" w:sz="6" w:space="0" w:color="auto"/>
              <w:right w:val="single" w:sz="6" w:space="0" w:color="auto"/>
            </w:tcBorders>
          </w:tcPr>
          <w:p w14:paraId="43F9C735" w14:textId="77777777" w:rsidR="00D4105E" w:rsidRPr="00E14102" w:rsidRDefault="00D4105E" w:rsidP="00E14102">
            <w:pPr>
              <w:autoSpaceDE w:val="0"/>
              <w:autoSpaceDN w:val="0"/>
              <w:adjustRightInd w:val="0"/>
              <w:jc w:val="both"/>
              <w:rPr>
                <w:color w:val="000000" w:themeColor="text1"/>
                <w:sz w:val="16"/>
                <w:szCs w:val="16"/>
              </w:rPr>
            </w:pPr>
          </w:p>
          <w:p w14:paraId="605C1531" w14:textId="77777777" w:rsidR="00D4105E" w:rsidRPr="00E14102" w:rsidRDefault="00D4105E" w:rsidP="00E14102">
            <w:pPr>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47A5E9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из пороха ПТП</w:t>
            </w:r>
          </w:p>
          <w:p w14:paraId="430CA7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5770A7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из пороха НГВ</w:t>
            </w:r>
          </w:p>
          <w:p w14:paraId="17DBE7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6B1DBAB9" w14:textId="77777777">
        <w:trPr>
          <w:trHeight w:val="223"/>
        </w:trPr>
        <w:tc>
          <w:tcPr>
            <w:tcW w:w="2304" w:type="dxa"/>
            <w:tcBorders>
              <w:top w:val="single" w:sz="6" w:space="0" w:color="auto"/>
              <w:left w:val="single" w:sz="6" w:space="0" w:color="auto"/>
              <w:bottom w:val="single" w:sz="6" w:space="0" w:color="auto"/>
              <w:right w:val="single" w:sz="6" w:space="0" w:color="auto"/>
            </w:tcBorders>
          </w:tcPr>
          <w:p w14:paraId="3C43AEB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11,0</w:t>
            </w:r>
          </w:p>
          <w:p w14:paraId="0B934A4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2C9623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170</w:t>
            </w:r>
          </w:p>
          <w:p w14:paraId="16EDC8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3B38F69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143</w:t>
            </w:r>
          </w:p>
          <w:p w14:paraId="13597D0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3EDD2431" w14:textId="77777777">
        <w:trPr>
          <w:trHeight w:val="223"/>
        </w:trPr>
        <w:tc>
          <w:tcPr>
            <w:tcW w:w="2304" w:type="dxa"/>
            <w:tcBorders>
              <w:top w:val="single" w:sz="6" w:space="0" w:color="auto"/>
              <w:left w:val="single" w:sz="6" w:space="0" w:color="auto"/>
              <w:bottom w:val="single" w:sz="6" w:space="0" w:color="auto"/>
              <w:right w:val="single" w:sz="6" w:space="0" w:color="auto"/>
            </w:tcBorders>
          </w:tcPr>
          <w:p w14:paraId="6E9134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36,0</w:t>
            </w:r>
          </w:p>
          <w:p w14:paraId="53A593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122786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287</w:t>
            </w:r>
          </w:p>
          <w:p w14:paraId="114E234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DABEE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237</w:t>
            </w:r>
          </w:p>
          <w:p w14:paraId="47EF35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33449DA3" w14:textId="77777777">
        <w:trPr>
          <w:trHeight w:val="216"/>
        </w:trPr>
        <w:tc>
          <w:tcPr>
            <w:tcW w:w="2304" w:type="dxa"/>
            <w:tcBorders>
              <w:top w:val="single" w:sz="6" w:space="0" w:color="auto"/>
              <w:left w:val="single" w:sz="6" w:space="0" w:color="auto"/>
              <w:bottom w:val="single" w:sz="6" w:space="0" w:color="auto"/>
              <w:right w:val="single" w:sz="6" w:space="0" w:color="auto"/>
            </w:tcBorders>
          </w:tcPr>
          <w:p w14:paraId="44C235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50,0</w:t>
            </w:r>
          </w:p>
          <w:p w14:paraId="6986B2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6F738C5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326</w:t>
            </w:r>
          </w:p>
          <w:p w14:paraId="3EDCBB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351D969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247</w:t>
            </w:r>
          </w:p>
          <w:p w14:paraId="4B2707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4494CFC1" w14:textId="77777777">
        <w:trPr>
          <w:trHeight w:val="245"/>
        </w:trPr>
        <w:tc>
          <w:tcPr>
            <w:tcW w:w="2304" w:type="dxa"/>
            <w:tcBorders>
              <w:top w:val="single" w:sz="6" w:space="0" w:color="auto"/>
              <w:left w:val="single" w:sz="6" w:space="0" w:color="auto"/>
              <w:bottom w:val="single" w:sz="6" w:space="0" w:color="auto"/>
              <w:right w:val="single" w:sz="6" w:space="0" w:color="auto"/>
            </w:tcBorders>
          </w:tcPr>
          <w:p w14:paraId="6A603B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75,0</w:t>
            </w:r>
          </w:p>
          <w:p w14:paraId="08E0FD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3A75A5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341</w:t>
            </w:r>
          </w:p>
          <w:p w14:paraId="4E5AD4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DA74F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296</w:t>
            </w:r>
          </w:p>
          <w:p w14:paraId="669386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085DDF44" w14:textId="77777777">
        <w:trPr>
          <w:trHeight w:val="223"/>
        </w:trPr>
        <w:tc>
          <w:tcPr>
            <w:tcW w:w="2304" w:type="dxa"/>
            <w:tcBorders>
              <w:top w:val="single" w:sz="6" w:space="0" w:color="auto"/>
              <w:left w:val="single" w:sz="6" w:space="0" w:color="auto"/>
              <w:bottom w:val="single" w:sz="6" w:space="0" w:color="auto"/>
              <w:right w:val="single" w:sz="6" w:space="0" w:color="auto"/>
            </w:tcBorders>
          </w:tcPr>
          <w:p w14:paraId="1BF3026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110,0</w:t>
            </w:r>
          </w:p>
          <w:p w14:paraId="54AFAA0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721A46A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339</w:t>
            </w:r>
          </w:p>
          <w:p w14:paraId="751631E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6F85BA8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288</w:t>
            </w:r>
          </w:p>
          <w:p w14:paraId="78524C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0B0F05A0" w14:textId="77777777">
        <w:trPr>
          <w:trHeight w:val="194"/>
        </w:trPr>
        <w:tc>
          <w:tcPr>
            <w:tcW w:w="2304" w:type="dxa"/>
            <w:tcBorders>
              <w:top w:val="single" w:sz="6" w:space="0" w:color="auto"/>
              <w:left w:val="single" w:sz="6" w:space="0" w:color="auto"/>
              <w:bottom w:val="single" w:sz="6" w:space="0" w:color="auto"/>
              <w:right w:val="single" w:sz="6" w:space="0" w:color="auto"/>
            </w:tcBorders>
          </w:tcPr>
          <w:p w14:paraId="144AEBF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150,0</w:t>
            </w:r>
          </w:p>
          <w:p w14:paraId="194B99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043D7E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334</w:t>
            </w:r>
          </w:p>
          <w:p w14:paraId="463DBC7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97464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286</w:t>
            </w:r>
          </w:p>
          <w:p w14:paraId="114E7C9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51050C26" w14:textId="77777777">
        <w:trPr>
          <w:trHeight w:val="238"/>
        </w:trPr>
        <w:tc>
          <w:tcPr>
            <w:tcW w:w="2304" w:type="dxa"/>
            <w:tcBorders>
              <w:top w:val="single" w:sz="6" w:space="0" w:color="auto"/>
              <w:left w:val="single" w:sz="6" w:space="0" w:color="auto"/>
              <w:bottom w:val="single" w:sz="6" w:space="0" w:color="auto"/>
              <w:right w:val="single" w:sz="6" w:space="0" w:color="auto"/>
            </w:tcBorders>
          </w:tcPr>
          <w:p w14:paraId="5A57914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175,0</w:t>
            </w:r>
          </w:p>
          <w:p w14:paraId="6C6C6B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1661A4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331</w:t>
            </w:r>
          </w:p>
          <w:p w14:paraId="3AF307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869DB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283</w:t>
            </w:r>
          </w:p>
          <w:p w14:paraId="3005291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4A722687" w14:textId="77777777">
        <w:trPr>
          <w:trHeight w:val="252"/>
        </w:trPr>
        <w:tc>
          <w:tcPr>
            <w:tcW w:w="2304" w:type="dxa"/>
            <w:tcBorders>
              <w:top w:val="single" w:sz="6" w:space="0" w:color="auto"/>
              <w:left w:val="single" w:sz="6" w:space="0" w:color="auto"/>
              <w:bottom w:val="single" w:sz="6" w:space="0" w:color="auto"/>
              <w:right w:val="single" w:sz="6" w:space="0" w:color="auto"/>
            </w:tcBorders>
          </w:tcPr>
          <w:p w14:paraId="49AFF6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210,0</w:t>
            </w:r>
          </w:p>
          <w:p w14:paraId="7E955C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4313F8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329</w:t>
            </w:r>
          </w:p>
          <w:p w14:paraId="7033527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BEEF1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280</w:t>
            </w:r>
          </w:p>
          <w:p w14:paraId="18A343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bl>
    <w:p w14:paraId="183CE8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(11402).</w:t>
      </w:r>
    </w:p>
    <w:p w14:paraId="73BBDF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97C37A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7D70FA08" w14:textId="77777777" w:rsidR="00D4105E" w:rsidRPr="00E14102" w:rsidRDefault="00D4105E" w:rsidP="00E14102">
      <w:pPr>
        <w:autoSpaceDE w:val="0"/>
        <w:autoSpaceDN w:val="0"/>
        <w:adjustRightInd w:val="0"/>
        <w:jc w:val="both"/>
        <w:rPr>
          <w:iCs/>
          <w:color w:val="000000" w:themeColor="text1"/>
          <w:sz w:val="16"/>
          <w:szCs w:val="16"/>
        </w:rPr>
      </w:pPr>
    </w:p>
    <w:p w14:paraId="7234ED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августа 1935 были расстреляны осужденные по делу Троцкистско-Зиновьевского Центра - Л.Б.Каменев, Г.Е.Евдокимов, И.Н.Смирнов, С.В.Мрачковский, В.А.Тер-Ваганян и др. (3263,465).</w:t>
      </w:r>
    </w:p>
    <w:p w14:paraId="73829DFD" w14:textId="77777777" w:rsidR="00D4105E" w:rsidRPr="00E14102" w:rsidRDefault="00D4105E" w:rsidP="00E14102">
      <w:pPr>
        <w:autoSpaceDE w:val="0"/>
        <w:autoSpaceDN w:val="0"/>
        <w:adjustRightInd w:val="0"/>
        <w:jc w:val="both"/>
        <w:rPr>
          <w:color w:val="000000" w:themeColor="text1"/>
          <w:sz w:val="16"/>
          <w:szCs w:val="16"/>
        </w:rPr>
      </w:pPr>
    </w:p>
    <w:p w14:paraId="74F3DC5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A589899" w14:textId="77777777" w:rsidR="00D4105E" w:rsidRPr="00E14102" w:rsidRDefault="00D4105E" w:rsidP="00E14102">
      <w:pPr>
        <w:autoSpaceDE w:val="0"/>
        <w:autoSpaceDN w:val="0"/>
        <w:adjustRightInd w:val="0"/>
        <w:jc w:val="both"/>
        <w:rPr>
          <w:iCs/>
          <w:color w:val="000000" w:themeColor="text1"/>
          <w:sz w:val="16"/>
          <w:szCs w:val="16"/>
        </w:rPr>
      </w:pPr>
    </w:p>
    <w:p w14:paraId="43E2F8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августа 1935 Амелия Ерхард стала первой женщиной, совершивший беспосадочный трансконтинентальный перелет из Лос Анжелоса в Нью Йорк (2273).</w:t>
      </w:r>
    </w:p>
    <w:p w14:paraId="7570AF49" w14:textId="77777777" w:rsidR="00D4105E" w:rsidRPr="00E14102" w:rsidRDefault="00D4105E" w:rsidP="00E14102">
      <w:pPr>
        <w:autoSpaceDE w:val="0"/>
        <w:autoSpaceDN w:val="0"/>
        <w:adjustRightInd w:val="0"/>
        <w:jc w:val="both"/>
        <w:rPr>
          <w:color w:val="000000" w:themeColor="text1"/>
          <w:sz w:val="16"/>
          <w:szCs w:val="16"/>
        </w:rPr>
      </w:pPr>
    </w:p>
    <w:p w14:paraId="7F016E4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4F106F0" w14:textId="77777777" w:rsidR="00D4105E" w:rsidRPr="00E14102" w:rsidRDefault="00D4105E" w:rsidP="00E14102">
      <w:pPr>
        <w:autoSpaceDE w:val="0"/>
        <w:autoSpaceDN w:val="0"/>
        <w:adjustRightInd w:val="0"/>
        <w:jc w:val="both"/>
        <w:rPr>
          <w:iCs/>
          <w:color w:val="000000" w:themeColor="text1"/>
          <w:sz w:val="16"/>
          <w:szCs w:val="16"/>
        </w:rPr>
      </w:pPr>
    </w:p>
    <w:p w14:paraId="5DA421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августа 1935 все материалы по по тяжелому бомбардировщику ТБ-4 на базе МГ сдали в архив конструкторского отдела ЦАГИ.</w:t>
      </w:r>
    </w:p>
    <w:p w14:paraId="7CA006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16 новых гигантов решили передать в гражданскую авиацию. При этом никто не отдавал себе отчета, где и как их будут эксплуатировать. Экономическая эффективность лайнеров большой вместимости при тогдашнем пассажиропотоке, когда летали практически только начальники и командировочные, была весьма сомнительна. В то же время проблем эскадрилья многомоторных монстров создавала множество. Им требовались большие аэродромы с твердым покрытием, специальная техника для заправки и обслуживания. Например, тягача, способного буксировать подобный самолет, в стране вообще не существовало.</w:t>
      </w:r>
    </w:p>
    <w:p w14:paraId="221546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основному назначению машины теперь считались пассажирскими на 60 мест. Но в военное время их собирались мобилизовать и использовать как тяжелые ночные бомбардировщики и военно-транспортные самолеты. В соответствии с таким подходом установка стрелкового и бомбового вооружения предусматривалась конструкцией, но само оно не монтировалось. А вот бомбовый прицел ОПБ-1 и самолетное переговорное устройство собирались устанавливать сразу. От первого "Максима Горького" новые машины, названные АНТ-20бис, должны были отличаться наличием шести, а не восьми моторов, но большей мощности, типа М-34РН с металлическими трехлопастными винтами. Доставлявшую столько хлопот верхнюю мотоустановку намеревались ликвидировать. Площадь крыла немного, на 6 кв.м, уменьшили. В список оборудования входили американский автопилот фирмы "Сперри", современные гироскопические приборы, радиополукомпас, пусковые трубы для парашютных осветительных ракет ПАР-13 (12024).</w:t>
      </w:r>
    </w:p>
    <w:p w14:paraId="2531957F" w14:textId="77777777" w:rsidR="00D4105E" w:rsidRPr="00E14102" w:rsidRDefault="00D4105E" w:rsidP="00E14102">
      <w:pPr>
        <w:autoSpaceDE w:val="0"/>
        <w:autoSpaceDN w:val="0"/>
        <w:adjustRightInd w:val="0"/>
        <w:jc w:val="both"/>
        <w:rPr>
          <w:color w:val="000000" w:themeColor="text1"/>
          <w:sz w:val="16"/>
          <w:szCs w:val="16"/>
        </w:rPr>
      </w:pPr>
    </w:p>
    <w:p w14:paraId="7A40F3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августа 1935 вышло постановление СТО N С-108сс "О развитии НИИ по авиации" в развитие постановления СТО N С-43сс от 25 апреля 1935 по ЦАГИ (2398,125).</w:t>
      </w:r>
    </w:p>
    <w:p w14:paraId="28CEBD01" w14:textId="77777777" w:rsidR="00D4105E" w:rsidRPr="00E14102" w:rsidRDefault="00D4105E" w:rsidP="00E14102">
      <w:pPr>
        <w:autoSpaceDE w:val="0"/>
        <w:autoSpaceDN w:val="0"/>
        <w:adjustRightInd w:val="0"/>
        <w:jc w:val="both"/>
        <w:rPr>
          <w:color w:val="000000" w:themeColor="text1"/>
          <w:sz w:val="16"/>
          <w:szCs w:val="16"/>
        </w:rPr>
      </w:pPr>
    </w:p>
    <w:p w14:paraId="1E35A9A7" w14:textId="77777777" w:rsidR="00BB7C9A" w:rsidRPr="00E14102" w:rsidRDefault="00BB7C9A" w:rsidP="00E14102">
      <w:pPr>
        <w:pStyle w:val="rtejustify"/>
        <w:spacing w:before="0" w:after="0"/>
        <w:rPr>
          <w:color w:val="000000" w:themeColor="text1"/>
          <w:sz w:val="16"/>
          <w:szCs w:val="16"/>
        </w:rPr>
      </w:pPr>
      <w:r w:rsidRPr="00E14102">
        <w:rPr>
          <w:rStyle w:val="a6"/>
          <w:bCs/>
          <w:i w:val="0"/>
          <w:color w:val="000000" w:themeColor="text1"/>
          <w:sz w:val="16"/>
          <w:szCs w:val="16"/>
        </w:rPr>
        <w:t>26 августа</w:t>
      </w:r>
      <w:r w:rsidRPr="00E14102">
        <w:rPr>
          <w:color w:val="000000" w:themeColor="text1"/>
          <w:sz w:val="16"/>
          <w:szCs w:val="16"/>
        </w:rPr>
        <w:t xml:space="preserve"> 1935. Постановление СТО СССР № С</w:t>
      </w:r>
      <w:r w:rsidRPr="00E14102">
        <w:rPr>
          <w:color w:val="000000" w:themeColor="text1"/>
          <w:sz w:val="16"/>
          <w:szCs w:val="16"/>
        </w:rPr>
        <w:noBreakHyphen/>
        <w:t>108сс «О развитии научно-технических исследований по авиации». (ГА РФ. Ф. Р</w:t>
      </w:r>
      <w:r w:rsidRPr="00E14102">
        <w:rPr>
          <w:color w:val="000000" w:themeColor="text1"/>
          <w:sz w:val="16"/>
          <w:szCs w:val="16"/>
        </w:rPr>
        <w:noBreakHyphen/>
        <w:t>8418. Оп. 28. Д. 7. Л. 79</w:t>
      </w:r>
      <w:r w:rsidRPr="00E14102">
        <w:rPr>
          <w:color w:val="000000" w:themeColor="text1"/>
          <w:sz w:val="16"/>
          <w:szCs w:val="16"/>
        </w:rPr>
        <w:noBreakHyphen/>
        <w:t>83) (15460).</w:t>
      </w:r>
    </w:p>
    <w:p w14:paraId="0BBA40CA" w14:textId="77777777" w:rsidR="00BB7C9A" w:rsidRPr="00E14102" w:rsidRDefault="00BB7C9A" w:rsidP="00E14102">
      <w:pPr>
        <w:pStyle w:val="rtejustify"/>
        <w:spacing w:before="0" w:after="0"/>
        <w:rPr>
          <w:color w:val="000000" w:themeColor="text1"/>
          <w:sz w:val="16"/>
          <w:szCs w:val="16"/>
        </w:rPr>
      </w:pPr>
    </w:p>
    <w:p w14:paraId="0354460D" w14:textId="77777777" w:rsidR="00BB7C9A" w:rsidRPr="00E14102" w:rsidRDefault="00BB7C9A" w:rsidP="00E14102">
      <w:pPr>
        <w:pStyle w:val="rtejustify"/>
        <w:spacing w:before="0" w:after="0"/>
        <w:rPr>
          <w:color w:val="000000" w:themeColor="text1"/>
          <w:sz w:val="16"/>
          <w:szCs w:val="16"/>
        </w:rPr>
      </w:pPr>
      <w:r w:rsidRPr="00E14102">
        <w:rPr>
          <w:color w:val="000000" w:themeColor="text1"/>
          <w:sz w:val="16"/>
          <w:szCs w:val="16"/>
        </w:rPr>
        <w:t>26 августа 1935 г. Постановлением СТО СССР № С</w:t>
      </w:r>
      <w:r w:rsidRPr="00E14102">
        <w:rPr>
          <w:color w:val="000000" w:themeColor="text1"/>
          <w:sz w:val="16"/>
          <w:szCs w:val="16"/>
        </w:rPr>
        <w:noBreakHyphen/>
        <w:t>108сс «О развитии научно-технических исследований по авиации» были утверждены объемы и сроки строительства лабораторий и аэродрома ЦАГИ на Раменском участке. Была образована комиссия под председательством Г. Л. Пятакова. Этим же постановлением ГУ АП обязывалось построить в 1936</w:t>
      </w:r>
      <w:r w:rsidRPr="00E14102">
        <w:rPr>
          <w:color w:val="000000" w:themeColor="text1"/>
          <w:sz w:val="16"/>
          <w:szCs w:val="16"/>
        </w:rPr>
        <w:noBreakHyphen/>
        <w:t>1937 гг. аэродинамические трубы и лаборатории в Харьковском и Казанском авиационных институтах, а также на заводах № 18, 22, 23, 31 и 125. Для усиления темпов работы научно-исследовательские отделы ЦАГИ объединялись в Научно-исследовательское управление, возглавлявшееся заместителем начальника ЦАГИ. (РГАЭ. Ф. 8328. Оп. 1. Д. 681. Л. 9</w:t>
      </w:r>
      <w:r w:rsidRPr="00E14102">
        <w:rPr>
          <w:color w:val="000000" w:themeColor="text1"/>
          <w:sz w:val="16"/>
          <w:szCs w:val="16"/>
        </w:rPr>
        <w:noBreakHyphen/>
        <w:t>8; АП РФ. Ф. 3. Оп. 46. Д. 95. Л. 144</w:t>
      </w:r>
      <w:r w:rsidRPr="00E14102">
        <w:rPr>
          <w:color w:val="000000" w:themeColor="text1"/>
          <w:sz w:val="16"/>
          <w:szCs w:val="16"/>
        </w:rPr>
        <w:noBreakHyphen/>
        <w:t>147; ГА РФ. Ф. Р</w:t>
      </w:r>
      <w:r w:rsidRPr="00E14102">
        <w:rPr>
          <w:color w:val="000000" w:themeColor="text1"/>
          <w:sz w:val="16"/>
          <w:szCs w:val="16"/>
        </w:rPr>
        <w:noBreakHyphen/>
        <w:t>8418. Оп. 28. Д. 7. Л. 79</w:t>
      </w:r>
      <w:r w:rsidRPr="00E14102">
        <w:rPr>
          <w:color w:val="000000" w:themeColor="text1"/>
          <w:sz w:val="16"/>
          <w:szCs w:val="16"/>
        </w:rPr>
        <w:noBreakHyphen/>
        <w:t>81) (15265).</w:t>
      </w:r>
    </w:p>
    <w:p w14:paraId="53100AD5" w14:textId="77777777" w:rsidR="00BB7C9A" w:rsidRPr="00E14102" w:rsidRDefault="00BB7C9A" w:rsidP="00E14102">
      <w:pPr>
        <w:jc w:val="both"/>
        <w:rPr>
          <w:color w:val="000000" w:themeColor="text1"/>
          <w:sz w:val="16"/>
          <w:szCs w:val="16"/>
        </w:rPr>
      </w:pPr>
    </w:p>
    <w:p w14:paraId="297C6A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августа 1935 СТО утвердил строительство больших труб и план (273,312).</w:t>
      </w:r>
    </w:p>
    <w:p w14:paraId="25097297" w14:textId="77777777" w:rsidR="00D4105E" w:rsidRPr="00E14102" w:rsidRDefault="00D4105E" w:rsidP="00E14102">
      <w:pPr>
        <w:autoSpaceDE w:val="0"/>
        <w:autoSpaceDN w:val="0"/>
        <w:adjustRightInd w:val="0"/>
        <w:jc w:val="both"/>
        <w:rPr>
          <w:color w:val="000000" w:themeColor="text1"/>
          <w:sz w:val="16"/>
          <w:szCs w:val="16"/>
        </w:rPr>
      </w:pPr>
    </w:p>
    <w:p w14:paraId="767DC78B" w14:textId="77777777" w:rsidR="004B0A9F" w:rsidRPr="00E14102" w:rsidRDefault="004B0A9F" w:rsidP="00E14102">
      <w:pPr>
        <w:jc w:val="both"/>
        <w:rPr>
          <w:color w:val="000000" w:themeColor="text1"/>
          <w:sz w:val="16"/>
          <w:szCs w:val="16"/>
        </w:rPr>
      </w:pPr>
      <w:r w:rsidRPr="00E14102">
        <w:rPr>
          <w:color w:val="000000" w:themeColor="text1"/>
          <w:sz w:val="16"/>
          <w:szCs w:val="16"/>
        </w:rPr>
        <w:t>26 августа 1935 г. Совет труда и обороны (СТО) утвердил строительство больших аэродинамических труб. Летом 1935 г. приступили к возведению блока малых аэродинамических труб, где располагалась модель большой трубы Т-102, а накануне 18-й годовщины Октябрьской революции — 6 ноября 1935 г. — произвели закладку блока больших аэродинамических труб. Первой вступила в строй лаборатория малых аэродинамических труб, причем модель самолетной трубы Т-102 была пущена в День авиации — 18 июля 1936 г. (19727).</w:t>
      </w:r>
    </w:p>
    <w:p w14:paraId="525D24A5" w14:textId="77777777" w:rsidR="004B0A9F" w:rsidRPr="00E14102" w:rsidRDefault="004B0A9F" w:rsidP="00E14102">
      <w:pPr>
        <w:jc w:val="both"/>
        <w:rPr>
          <w:color w:val="000000" w:themeColor="text1"/>
          <w:sz w:val="16"/>
          <w:szCs w:val="16"/>
        </w:rPr>
      </w:pPr>
    </w:p>
    <w:p w14:paraId="5A539F3D" w14:textId="77777777" w:rsidR="00283E82" w:rsidRPr="00E14102" w:rsidRDefault="00283E82" w:rsidP="00E14102">
      <w:pPr>
        <w:jc w:val="both"/>
        <w:rPr>
          <w:color w:val="000000" w:themeColor="text1"/>
          <w:sz w:val="16"/>
          <w:szCs w:val="16"/>
        </w:rPr>
      </w:pPr>
      <w:r w:rsidRPr="00E14102">
        <w:rPr>
          <w:color w:val="000000" w:themeColor="text1"/>
          <w:sz w:val="16"/>
          <w:szCs w:val="16"/>
        </w:rPr>
        <w:t>26 августа 1935 г. вышло постановление СТО, на основании которого в конце 1935 г. приступил к строительству новых лабораторий ЦАГИ на Раменском участке, согласно перечню и объему строительства, утвержденных СТО 1 февраля 1936 г.[</w:t>
      </w:r>
      <w:hyperlink r:id="rId188" w:anchor="p3" w:history="1">
        <w:r w:rsidRPr="00E14102">
          <w:rPr>
            <w:color w:val="000000" w:themeColor="text1"/>
            <w:sz w:val="16"/>
            <w:szCs w:val="16"/>
          </w:rPr>
          <w:t>3</w:t>
        </w:r>
      </w:hyperlink>
      <w:r w:rsidRPr="00E14102">
        <w:rPr>
          <w:color w:val="000000" w:themeColor="text1"/>
          <w:sz w:val="16"/>
          <w:szCs w:val="16"/>
        </w:rPr>
        <w:t>] Этим правительственным решением предусматривалось окончание всего строительства нового ЦАГИ в 1938 г. и стоимость строительства по докладу Туполева и Харламова была определена в сумме 180 млн. руб. (17765).</w:t>
      </w:r>
    </w:p>
    <w:p w14:paraId="5510C412" w14:textId="77777777" w:rsidR="00283E82" w:rsidRPr="00E14102" w:rsidRDefault="00283E82" w:rsidP="00E14102">
      <w:pPr>
        <w:jc w:val="both"/>
        <w:rPr>
          <w:color w:val="000000" w:themeColor="text1"/>
          <w:sz w:val="16"/>
          <w:szCs w:val="16"/>
        </w:rPr>
      </w:pPr>
    </w:p>
    <w:p w14:paraId="7F3EC9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СТО N 108сс от 26 августа 1935 ГУАП д. построить в течение 1936-1937 трубы на заводах 22, 125, 31, 18, 23, ХАИ и КАИ (2150,51).</w:t>
      </w:r>
    </w:p>
    <w:p w14:paraId="26C00B65" w14:textId="77777777" w:rsidR="00D4105E" w:rsidRPr="00E14102" w:rsidRDefault="00D4105E" w:rsidP="00E14102">
      <w:pPr>
        <w:autoSpaceDE w:val="0"/>
        <w:autoSpaceDN w:val="0"/>
        <w:adjustRightInd w:val="0"/>
        <w:jc w:val="both"/>
        <w:rPr>
          <w:color w:val="000000" w:themeColor="text1"/>
          <w:sz w:val="16"/>
          <w:szCs w:val="16"/>
        </w:rPr>
      </w:pPr>
    </w:p>
    <w:p w14:paraId="3081D9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августа 1935 года выписка постановления № С-109сс КО</w:t>
      </w:r>
    </w:p>
    <w:p w14:paraId="00711D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результатах поездки комиссии Туполева в США</w:t>
      </w:r>
    </w:p>
    <w:p w14:paraId="0E882C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Обязать Королева и Алксниса в декадный срок внести в СТО предложения о постановке производства винтов с переменным в полете шагом (3475,82).</w:t>
      </w:r>
    </w:p>
    <w:p w14:paraId="193147FD" w14:textId="77777777" w:rsidR="00D4105E" w:rsidRPr="00E14102" w:rsidRDefault="00D4105E" w:rsidP="00E14102">
      <w:pPr>
        <w:autoSpaceDE w:val="0"/>
        <w:autoSpaceDN w:val="0"/>
        <w:adjustRightInd w:val="0"/>
        <w:jc w:val="both"/>
        <w:rPr>
          <w:color w:val="000000" w:themeColor="text1"/>
          <w:sz w:val="16"/>
          <w:szCs w:val="16"/>
        </w:rPr>
      </w:pPr>
    </w:p>
    <w:p w14:paraId="12A36E7F" w14:textId="77777777" w:rsidR="00BB7C9A" w:rsidRPr="00E14102" w:rsidRDefault="00BB7C9A" w:rsidP="00E14102">
      <w:pPr>
        <w:pStyle w:val="rtejustify"/>
        <w:spacing w:before="0" w:after="0"/>
        <w:rPr>
          <w:color w:val="000000" w:themeColor="text1"/>
          <w:sz w:val="16"/>
          <w:szCs w:val="16"/>
        </w:rPr>
      </w:pPr>
      <w:r w:rsidRPr="00E14102">
        <w:rPr>
          <w:rStyle w:val="a6"/>
          <w:bCs/>
          <w:i w:val="0"/>
          <w:color w:val="000000" w:themeColor="text1"/>
          <w:sz w:val="16"/>
          <w:szCs w:val="16"/>
        </w:rPr>
        <w:t>26 августа</w:t>
      </w:r>
      <w:r w:rsidRPr="00E14102">
        <w:rPr>
          <w:color w:val="000000" w:themeColor="text1"/>
          <w:sz w:val="16"/>
          <w:szCs w:val="16"/>
        </w:rPr>
        <w:t xml:space="preserve"> 1935. Постановление СТО СССР № С</w:t>
      </w:r>
      <w:r w:rsidRPr="00E14102">
        <w:rPr>
          <w:color w:val="000000" w:themeColor="text1"/>
          <w:sz w:val="16"/>
          <w:szCs w:val="16"/>
        </w:rPr>
        <w:noBreakHyphen/>
        <w:t>109сс «О результатах поездки комиссии Туполева в САСШ». (ГА РФ. Ф. Р</w:t>
      </w:r>
      <w:r w:rsidRPr="00E14102">
        <w:rPr>
          <w:color w:val="000000" w:themeColor="text1"/>
          <w:sz w:val="16"/>
          <w:szCs w:val="16"/>
        </w:rPr>
        <w:noBreakHyphen/>
        <w:t>8418. Оп. 28. Д. 7. Л. 85</w:t>
      </w:r>
      <w:r w:rsidRPr="00E14102">
        <w:rPr>
          <w:color w:val="000000" w:themeColor="text1"/>
          <w:sz w:val="16"/>
          <w:szCs w:val="16"/>
        </w:rPr>
        <w:noBreakHyphen/>
        <w:t>89) (15460).</w:t>
      </w:r>
    </w:p>
    <w:p w14:paraId="22D2B519" w14:textId="77777777" w:rsidR="00BB7C9A" w:rsidRPr="00E14102" w:rsidRDefault="00BB7C9A" w:rsidP="00E14102">
      <w:pPr>
        <w:pStyle w:val="rtejustify"/>
        <w:spacing w:before="0" w:after="0"/>
        <w:rPr>
          <w:color w:val="000000" w:themeColor="text1"/>
          <w:sz w:val="16"/>
          <w:szCs w:val="16"/>
        </w:rPr>
      </w:pPr>
    </w:p>
    <w:p w14:paraId="087A4F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августа 1936 ДВ СССР-Н8 вылетел на остров Котельный. Через 1 час 20 минут полета лопнули 2 болта на мотораме кормового мотора, поэтому, не долетая до Котельного, у мыса Баркин-Стан, в 3-х милях от берега пришлось совершить вынужденную посадку. Место оказалось очень мелким, глубина всего 40 сантиметров, 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575026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38D0ED19" w14:textId="77777777" w:rsidR="00D4105E" w:rsidRPr="00E14102" w:rsidRDefault="00D4105E" w:rsidP="00E14102">
      <w:pPr>
        <w:autoSpaceDE w:val="0"/>
        <w:autoSpaceDN w:val="0"/>
        <w:adjustRightInd w:val="0"/>
        <w:jc w:val="both"/>
        <w:rPr>
          <w:color w:val="000000" w:themeColor="text1"/>
          <w:sz w:val="16"/>
          <w:szCs w:val="16"/>
        </w:rPr>
      </w:pPr>
    </w:p>
    <w:p w14:paraId="4224999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1244671" w14:textId="77777777" w:rsidR="00D4105E" w:rsidRPr="00E14102" w:rsidRDefault="00D4105E" w:rsidP="00E14102">
      <w:pPr>
        <w:autoSpaceDE w:val="0"/>
        <w:autoSpaceDN w:val="0"/>
        <w:adjustRightInd w:val="0"/>
        <w:jc w:val="both"/>
        <w:rPr>
          <w:iCs/>
          <w:color w:val="000000" w:themeColor="text1"/>
          <w:sz w:val="16"/>
          <w:szCs w:val="16"/>
        </w:rPr>
      </w:pPr>
    </w:p>
    <w:p w14:paraId="37AF0C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26 августа по 30 октября 1935 г. “Остехбюро” ус</w:t>
      </w:r>
      <w:r w:rsidRPr="00E14102">
        <w:rPr>
          <w:color w:val="000000" w:themeColor="text1"/>
          <w:sz w:val="16"/>
          <w:szCs w:val="16"/>
        </w:rPr>
        <w:softHyphen/>
        <w:t>пешно произвело заводские испытания радиоуправляемых торпед “Акула-1” и “Акула-2”, проводившиеся на Онежском озере в Петрозаводской губе. По результатам завод</w:t>
      </w:r>
      <w:r w:rsidRPr="00E14102">
        <w:rPr>
          <w:color w:val="000000" w:themeColor="text1"/>
          <w:sz w:val="16"/>
          <w:szCs w:val="16"/>
        </w:rPr>
        <w:softHyphen/>
        <w:t>ских испытаний “Акулу-2” решили передать на войсковые испытания. Управление торпедами производилось с самолета (10675).</w:t>
      </w:r>
    </w:p>
    <w:p w14:paraId="5187434F" w14:textId="77777777" w:rsidR="00D4105E" w:rsidRPr="00E14102" w:rsidRDefault="00D4105E" w:rsidP="00E14102">
      <w:pPr>
        <w:autoSpaceDE w:val="0"/>
        <w:autoSpaceDN w:val="0"/>
        <w:adjustRightInd w:val="0"/>
        <w:jc w:val="both"/>
        <w:rPr>
          <w:color w:val="000000" w:themeColor="text1"/>
          <w:sz w:val="16"/>
          <w:szCs w:val="16"/>
        </w:rPr>
      </w:pPr>
    </w:p>
    <w:p w14:paraId="4D2E1972" w14:textId="77777777" w:rsidR="00A92C37" w:rsidRPr="00E14102" w:rsidRDefault="00A92C37" w:rsidP="00E14102">
      <w:pPr>
        <w:pStyle w:val="rtejustify"/>
        <w:spacing w:before="0" w:after="0"/>
        <w:rPr>
          <w:color w:val="000000" w:themeColor="text1"/>
          <w:sz w:val="16"/>
          <w:szCs w:val="16"/>
        </w:rPr>
      </w:pPr>
      <w:r w:rsidRPr="00E14102">
        <w:rPr>
          <w:rStyle w:val="a6"/>
          <w:bCs/>
          <w:i w:val="0"/>
          <w:color w:val="000000" w:themeColor="text1"/>
          <w:sz w:val="16"/>
          <w:szCs w:val="16"/>
        </w:rPr>
        <w:t>26 августа</w:t>
      </w:r>
      <w:r w:rsidRPr="00E14102">
        <w:rPr>
          <w:color w:val="000000" w:themeColor="text1"/>
          <w:sz w:val="16"/>
          <w:szCs w:val="16"/>
        </w:rPr>
        <w:t xml:space="preserve">. </w:t>
      </w:r>
      <w:hyperlink r:id="rId189" w:history="1">
        <w:r w:rsidRPr="00E14102">
          <w:rPr>
            <w:rStyle w:val="a4"/>
            <w:color w:val="000000" w:themeColor="text1"/>
            <w:sz w:val="16"/>
            <w:szCs w:val="16"/>
            <w:u w:val="none"/>
          </w:rPr>
          <w:t>Постановление СТО СССР № С</w:t>
        </w:r>
        <w:r w:rsidRPr="00E14102">
          <w:rPr>
            <w:rStyle w:val="a4"/>
            <w:color w:val="000000" w:themeColor="text1"/>
            <w:sz w:val="16"/>
            <w:szCs w:val="16"/>
            <w:u w:val="none"/>
          </w:rPr>
          <w:noBreakHyphen/>
          <w:t>107сс «Об организации работ по ГИМам в системе НКТП и НКО»</w:t>
        </w:r>
      </w:hyperlink>
      <w:r w:rsidRPr="00E14102">
        <w:rPr>
          <w:color w:val="000000" w:themeColor="text1"/>
          <w:sz w:val="16"/>
          <w:szCs w:val="16"/>
        </w:rPr>
        <w:t>. (ГА РФ. Ф. Р</w:t>
      </w:r>
      <w:r w:rsidRPr="00E14102">
        <w:rPr>
          <w:color w:val="000000" w:themeColor="text1"/>
          <w:sz w:val="16"/>
          <w:szCs w:val="16"/>
        </w:rPr>
        <w:noBreakHyphen/>
        <w:t>8418. Оп. 28. Д. 7. Л. 76</w:t>
      </w:r>
      <w:r w:rsidRPr="00E14102">
        <w:rPr>
          <w:color w:val="000000" w:themeColor="text1"/>
          <w:sz w:val="16"/>
          <w:szCs w:val="16"/>
        </w:rPr>
        <w:noBreakHyphen/>
        <w:t>78) (15460).</w:t>
      </w:r>
    </w:p>
    <w:p w14:paraId="7C930BE4" w14:textId="77777777" w:rsidR="00A92C37" w:rsidRPr="00E14102" w:rsidRDefault="00A92C37" w:rsidP="00E14102">
      <w:pPr>
        <w:pStyle w:val="rtejustify"/>
        <w:spacing w:before="0" w:after="0"/>
        <w:rPr>
          <w:color w:val="000000" w:themeColor="text1"/>
          <w:sz w:val="16"/>
          <w:szCs w:val="16"/>
        </w:rPr>
      </w:pPr>
    </w:p>
    <w:p w14:paraId="303C3618" w14:textId="77777777" w:rsidR="00A92C37" w:rsidRPr="00E14102" w:rsidRDefault="00A92C37" w:rsidP="00E14102">
      <w:pPr>
        <w:jc w:val="both"/>
        <w:rPr>
          <w:rStyle w:val="a6"/>
          <w:i w:val="0"/>
          <w:color w:val="000000" w:themeColor="text1"/>
          <w:sz w:val="16"/>
          <w:szCs w:val="16"/>
        </w:rPr>
      </w:pPr>
      <w:r w:rsidRPr="00E14102">
        <w:rPr>
          <w:rStyle w:val="a6"/>
          <w:i w:val="0"/>
          <w:color w:val="000000" w:themeColor="text1"/>
          <w:sz w:val="16"/>
          <w:szCs w:val="16"/>
        </w:rPr>
        <w:t xml:space="preserve">26 августа 1935 г. </w:t>
      </w:r>
      <w:r w:rsidRPr="00E14102">
        <w:rPr>
          <w:color w:val="000000" w:themeColor="text1"/>
          <w:sz w:val="16"/>
          <w:szCs w:val="16"/>
        </w:rPr>
        <w:t>Постановление СТО СССР № С-107сс «Об организации работ по ГИМам в системе НКТП и НКО»</w:t>
      </w:r>
    </w:p>
    <w:p w14:paraId="10F411C3" w14:textId="77777777" w:rsidR="00A92C37" w:rsidRPr="00E14102" w:rsidRDefault="00A92C37" w:rsidP="00E14102">
      <w:pPr>
        <w:jc w:val="both"/>
        <w:rPr>
          <w:color w:val="000000" w:themeColor="text1"/>
          <w:sz w:val="16"/>
          <w:szCs w:val="16"/>
        </w:rPr>
      </w:pPr>
      <w:r w:rsidRPr="00E14102">
        <w:rPr>
          <w:rStyle w:val="a6"/>
          <w:i w:val="0"/>
          <w:color w:val="000000" w:themeColor="text1"/>
          <w:sz w:val="16"/>
          <w:szCs w:val="16"/>
        </w:rPr>
        <w:t>Особо секретно.</w:t>
      </w:r>
    </w:p>
    <w:p w14:paraId="7E5A0D8C" w14:textId="77777777" w:rsidR="00A92C37" w:rsidRPr="00E14102" w:rsidRDefault="00A92C3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Совет труда и обороны постановляет:</w:t>
      </w:r>
    </w:p>
    <w:p w14:paraId="5FC6BE66" w14:textId="77777777" w:rsidR="00A92C37" w:rsidRPr="00E14102" w:rsidRDefault="00A92C37" w:rsidP="00E14102">
      <w:pPr>
        <w:pStyle w:val="rtejustify"/>
        <w:spacing w:before="0" w:after="0"/>
        <w:rPr>
          <w:color w:val="000000" w:themeColor="text1"/>
          <w:sz w:val="16"/>
          <w:szCs w:val="16"/>
        </w:rPr>
      </w:pPr>
      <w:r w:rsidRPr="00E14102">
        <w:rPr>
          <w:color w:val="000000" w:themeColor="text1"/>
          <w:sz w:val="16"/>
          <w:szCs w:val="16"/>
        </w:rPr>
        <w:t>1. Считать основной работой завода № 51 работы группы т. Горского и сосредоточить в этой группе все работы этого направления.</w:t>
      </w:r>
    </w:p>
    <w:p w14:paraId="668349B6" w14:textId="77777777" w:rsidR="00A92C37" w:rsidRPr="00E14102" w:rsidRDefault="00A92C37" w:rsidP="00E14102">
      <w:pPr>
        <w:pStyle w:val="rtejustify"/>
        <w:spacing w:before="0" w:after="0"/>
        <w:rPr>
          <w:color w:val="000000" w:themeColor="text1"/>
          <w:sz w:val="16"/>
          <w:szCs w:val="16"/>
        </w:rPr>
      </w:pPr>
      <w:r w:rsidRPr="00E14102">
        <w:rPr>
          <w:color w:val="000000" w:themeColor="text1"/>
          <w:sz w:val="16"/>
          <w:szCs w:val="16"/>
        </w:rPr>
        <w:t>2. Допустить к этим работам кроме лиц, непосредственно работающих каждый на своем участке, по линии НКТПрома одного начальника завода т. Зубаровского, подчинив завод в области этих работ непосредственно и исключительно народному комиссару тяжелой промышленности т. Орджоникидзе, а в его отсутствие — т. Пятакову. По линии Наркомата обороны сосредоточить все работы этого направления, включая и изыскания по лечению, в Химупре РККА под непосредственным руководством начальника Химупра РККА т. Фишмана с регулярным докладом по этим работам начальнику вооружений РККА т. Тухачевскому и народному комиссару обороны т. Ворошилову.</w:t>
      </w:r>
    </w:p>
    <w:p w14:paraId="55AFB238" w14:textId="77777777" w:rsidR="00A92C37" w:rsidRPr="00E14102" w:rsidRDefault="00A92C37" w:rsidP="00E14102">
      <w:pPr>
        <w:pStyle w:val="rtejustify"/>
        <w:spacing w:before="0" w:after="0"/>
        <w:rPr>
          <w:color w:val="000000" w:themeColor="text1"/>
          <w:sz w:val="16"/>
          <w:szCs w:val="16"/>
        </w:rPr>
      </w:pPr>
      <w:r w:rsidRPr="00E14102">
        <w:rPr>
          <w:color w:val="000000" w:themeColor="text1"/>
          <w:sz w:val="16"/>
          <w:szCs w:val="16"/>
        </w:rPr>
        <w:t>3. Тов. Пятакову и т. Ворошилову в 10</w:t>
      </w:r>
      <w:r w:rsidRPr="00E14102">
        <w:rPr>
          <w:color w:val="000000" w:themeColor="text1"/>
          <w:sz w:val="16"/>
          <w:szCs w:val="16"/>
        </w:rPr>
        <w:noBreakHyphen/>
        <w:t>дневный срок утвердить список лиц, непосредственно работающих в данное время по ГИМам¹*. Дальнейшее привлечение новых лиц к этим работам осуществлять каждый раз с особого разрешения т. Орджоникидзе и т. Ворошилова, строго определяя обязанности и границы осведомления привлеченных лиц.</w:t>
      </w:r>
    </w:p>
    <w:p w14:paraId="5054E5C9" w14:textId="77777777" w:rsidR="00A92C37" w:rsidRPr="00E14102" w:rsidRDefault="00A92C37" w:rsidP="00E14102">
      <w:pPr>
        <w:pStyle w:val="rtejustify"/>
        <w:spacing w:before="0" w:after="0"/>
        <w:rPr>
          <w:color w:val="000000" w:themeColor="text1"/>
          <w:sz w:val="16"/>
          <w:szCs w:val="16"/>
        </w:rPr>
      </w:pPr>
      <w:r w:rsidRPr="00E14102">
        <w:rPr>
          <w:color w:val="000000" w:themeColor="text1"/>
          <w:sz w:val="16"/>
          <w:szCs w:val="16"/>
        </w:rPr>
        <w:t>4. Тов. Орджоникидзе и т. Ворошилову обеспечить разрешение вопросов, связанных с этими работами, вне очереди.</w:t>
      </w:r>
    </w:p>
    <w:p w14:paraId="640028E2" w14:textId="77777777" w:rsidR="00A92C37" w:rsidRPr="00E14102" w:rsidRDefault="00A92C37" w:rsidP="00E14102">
      <w:pPr>
        <w:pStyle w:val="rtejustify"/>
        <w:spacing w:before="0" w:after="0"/>
        <w:rPr>
          <w:color w:val="000000" w:themeColor="text1"/>
          <w:sz w:val="16"/>
          <w:szCs w:val="16"/>
        </w:rPr>
      </w:pPr>
      <w:r w:rsidRPr="00E14102">
        <w:rPr>
          <w:color w:val="000000" w:themeColor="text1"/>
          <w:sz w:val="16"/>
          <w:szCs w:val="16"/>
        </w:rPr>
        <w:t>5. Наркомату тяжелой промышленности и НКО представить не позднее 5 сентября 1935 г. план развития производства ГИМов и соображения по материальному обеспечению всех работ.</w:t>
      </w:r>
    </w:p>
    <w:p w14:paraId="752D5046" w14:textId="77777777" w:rsidR="00A92C37" w:rsidRPr="00E14102" w:rsidRDefault="00A92C37" w:rsidP="00E14102">
      <w:pPr>
        <w:pStyle w:val="rtejustify"/>
        <w:spacing w:before="0" w:after="0"/>
        <w:rPr>
          <w:color w:val="000000" w:themeColor="text1"/>
          <w:sz w:val="16"/>
          <w:szCs w:val="16"/>
        </w:rPr>
      </w:pPr>
      <w:r w:rsidRPr="00E14102">
        <w:rPr>
          <w:color w:val="000000" w:themeColor="text1"/>
          <w:sz w:val="16"/>
          <w:szCs w:val="16"/>
        </w:rPr>
        <w:t>6. НКТП создать специальную лабораторию по защите кожи человека и коня, сосредоточив в ней все вопросы обработки текстильных, кожевенных и других материалов, с целью придания им защитных свойств от действия ядовитых паров и ОВ. К 15 сентября 1935 г. доложить проект создания такой лаборатории.</w:t>
      </w:r>
    </w:p>
    <w:p w14:paraId="666D7607" w14:textId="77777777" w:rsidR="00A92C37" w:rsidRPr="00E14102" w:rsidRDefault="00A92C37" w:rsidP="00E14102">
      <w:pPr>
        <w:pStyle w:val="rtejustify"/>
        <w:spacing w:before="0" w:after="0"/>
        <w:rPr>
          <w:color w:val="000000" w:themeColor="text1"/>
          <w:sz w:val="16"/>
          <w:szCs w:val="16"/>
        </w:rPr>
      </w:pPr>
      <w:r w:rsidRPr="00E14102">
        <w:rPr>
          <w:color w:val="000000" w:themeColor="text1"/>
          <w:sz w:val="16"/>
          <w:szCs w:val="16"/>
        </w:rPr>
        <w:t>7. Поручить т. Агранову (НКВД) к 5 сентября 1935 г. представить проект мероприятий по охране работ по ГИМам.</w:t>
      </w:r>
    </w:p>
    <w:p w14:paraId="1055DA44" w14:textId="77777777" w:rsidR="00A92C37" w:rsidRPr="00E14102" w:rsidRDefault="00A92C37" w:rsidP="00E14102">
      <w:pPr>
        <w:pStyle w:val="rtejustify"/>
        <w:spacing w:before="0" w:after="0"/>
        <w:rPr>
          <w:color w:val="000000" w:themeColor="text1"/>
          <w:sz w:val="16"/>
          <w:szCs w:val="16"/>
        </w:rPr>
      </w:pPr>
      <w:r w:rsidRPr="00E14102">
        <w:rPr>
          <w:color w:val="000000" w:themeColor="text1"/>
          <w:sz w:val="16"/>
          <w:szCs w:val="16"/>
        </w:rPr>
        <w:t>8. Инженера-химика т. Горского И. М., своей напряженной работой добившегося исключительно ценных и важных результатов для обороны страны, наградить орденом Ленина, премировать импортной легковой машиной «Форд» и 30 тыс. руб.</w:t>
      </w:r>
    </w:p>
    <w:p w14:paraId="48A30F83" w14:textId="77777777" w:rsidR="00A92C37" w:rsidRPr="00E14102" w:rsidRDefault="00A92C37" w:rsidP="00E14102">
      <w:pPr>
        <w:pStyle w:val="rtejustify"/>
        <w:spacing w:before="0" w:after="0"/>
        <w:rPr>
          <w:color w:val="000000" w:themeColor="text1"/>
          <w:sz w:val="16"/>
          <w:szCs w:val="16"/>
        </w:rPr>
      </w:pPr>
      <w:r w:rsidRPr="00E14102">
        <w:rPr>
          <w:color w:val="000000" w:themeColor="text1"/>
          <w:sz w:val="16"/>
          <w:szCs w:val="16"/>
        </w:rPr>
        <w:t>9. Наградить орденом «Красной Звезды» и премировать 5 тыс. руб. (каждого) следующих работников: По НКТП. 1. Макарова С. П. — зам. т. Горского — химик. 2. Давидсона Я. М. — начальник токсикологической лаборатории завода № 51. По химическому управлению РККА: Иваницкого Ю. М. — зам. начальника НИХИ РККА²*.</w:t>
      </w:r>
    </w:p>
    <w:p w14:paraId="3296DFE5" w14:textId="77777777" w:rsidR="00A92C37" w:rsidRPr="00E14102" w:rsidRDefault="00A92C37" w:rsidP="00E14102">
      <w:pPr>
        <w:pStyle w:val="rtejustify"/>
        <w:spacing w:before="0" w:after="0"/>
        <w:rPr>
          <w:color w:val="000000" w:themeColor="text1"/>
          <w:sz w:val="16"/>
          <w:szCs w:val="16"/>
        </w:rPr>
      </w:pPr>
      <w:r w:rsidRPr="00E14102">
        <w:rPr>
          <w:color w:val="000000" w:themeColor="text1"/>
          <w:sz w:val="16"/>
          <w:szCs w:val="16"/>
        </w:rPr>
        <w:t>10. Наградить почетной грамотой ЦИК СССР и премировать 30 тыс. руб. (на всех) следующих работников, непосредственно принимавших активное участие в работах т. Горского: По НКТП. 1. Шпанского В. А. — химик группы т. Горского. 2. Чуракова А. В. — химик группы т. Горского. 3. Куликова М. Т. — начальник установки ГИМ</w:t>
      </w:r>
      <w:r w:rsidRPr="00E14102">
        <w:rPr>
          <w:color w:val="000000" w:themeColor="text1"/>
          <w:sz w:val="16"/>
          <w:szCs w:val="16"/>
        </w:rPr>
        <w:noBreakHyphen/>
        <w:t>3. 4. Руденко В. А. — химик Центральной лаборатории завода № 51. 5. Крафт М. Я. — руководитель группы ЦЛ завода № 51. 6. Патрикеева Ф. Н. — начальник первого опытного корпуса [завода] № 51. 7. Архипова В. Н. — инженер первого корпуса завода № 51. 8. Зубаровского Б. С. — начальник завода № 51. По Химупру РККА. 1. Берлога А. С. — помощник начальника Научно-исследовательского химического института РККА, инженер-химик. 2. Удрис Р. Ю. — начальник I отдела института, инженер-химик. 3. Зельдина Б. А. — начальник II отдела института. 4. Полес М. Л. — начальник полевого отдела института.</w:t>
      </w:r>
    </w:p>
    <w:p w14:paraId="61181CB8" w14:textId="77777777" w:rsidR="00A92C37" w:rsidRPr="00E14102" w:rsidRDefault="00A92C37"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Председатель Совета труда и обороны В.</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Молотов</w:t>
      </w:r>
    </w:p>
    <w:p w14:paraId="7512B873" w14:textId="77777777" w:rsidR="00A92C37" w:rsidRPr="00E14102" w:rsidRDefault="00A92C37"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6A3B0C69" w14:textId="77777777" w:rsidR="00A92C37" w:rsidRPr="00E14102" w:rsidRDefault="00A92C37"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76580310" w14:textId="77777777" w:rsidR="00A92C37" w:rsidRPr="00E14102" w:rsidRDefault="00A92C37" w:rsidP="00E14102">
      <w:pPr>
        <w:pStyle w:val="rtejustify"/>
        <w:spacing w:before="0" w:after="0"/>
        <w:rPr>
          <w:color w:val="000000" w:themeColor="text1"/>
          <w:sz w:val="16"/>
          <w:szCs w:val="16"/>
        </w:rPr>
      </w:pPr>
      <w:r w:rsidRPr="00E14102">
        <w:rPr>
          <w:color w:val="000000" w:themeColor="text1"/>
          <w:sz w:val="16"/>
          <w:szCs w:val="16"/>
        </w:rPr>
        <w:t>¹* ГИМ — Горский Илья Миронович.</w:t>
      </w:r>
    </w:p>
    <w:p w14:paraId="297A84BC" w14:textId="77777777" w:rsidR="00A92C37" w:rsidRPr="00E14102" w:rsidRDefault="00A92C37" w:rsidP="00E14102">
      <w:pPr>
        <w:pStyle w:val="rtejustify"/>
        <w:spacing w:before="0" w:after="0"/>
        <w:rPr>
          <w:color w:val="000000" w:themeColor="text1"/>
          <w:sz w:val="16"/>
          <w:szCs w:val="16"/>
        </w:rPr>
      </w:pPr>
      <w:r w:rsidRPr="00E14102">
        <w:rPr>
          <w:color w:val="000000" w:themeColor="text1"/>
          <w:sz w:val="16"/>
          <w:szCs w:val="16"/>
        </w:rPr>
        <w:t>²* </w:t>
      </w:r>
      <w:r w:rsidRPr="00E14102">
        <w:rPr>
          <w:rStyle w:val="a6"/>
          <w:bCs/>
          <w:i w:val="0"/>
          <w:color w:val="000000" w:themeColor="text1"/>
          <w:sz w:val="16"/>
          <w:szCs w:val="16"/>
        </w:rPr>
        <w:t>Научно-исследовательский химический институт (НИХИ)</w:t>
      </w:r>
      <w:r w:rsidRPr="00E14102">
        <w:rPr>
          <w:color w:val="000000" w:themeColor="text1"/>
          <w:sz w:val="16"/>
          <w:szCs w:val="16"/>
        </w:rPr>
        <w:t xml:space="preserve"> был образован в 1928 г. как Институт химической обороны им. Осоавиахима. В 1932 г. был преобразован в Институт химической обороны Военно-химического управления РККА, с 1934 г. — Научно-исследовательский химический институт (НИХИ) РККА. Институт проводил исследования в области разработки и усовершенствования средств химической защиты и нападения. Были сформированы следующие отделы: противогазовый, средств индивидуальной защиты, средств коллективной защиты и дегазации, синтеза и анализа отравляющих веществ, информационный, а также: дымовая лаборатория при военном отделе (впоследствии выделилась в самостоятельный отдел) и группа физиологических исследований.</w:t>
      </w:r>
    </w:p>
    <w:p w14:paraId="5C42E6F4" w14:textId="77777777" w:rsidR="00A92C37" w:rsidRPr="00E14102" w:rsidRDefault="00A92C3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ГА РФ. Ф. Р-8418. Оп. 28. Д. 7. Л. 76-78. Подлинник.</w:t>
      </w:r>
    </w:p>
    <w:p w14:paraId="0DA3037F" w14:textId="77777777" w:rsidR="00A92C37" w:rsidRPr="00E14102" w:rsidRDefault="00A92C37" w:rsidP="00E14102">
      <w:pPr>
        <w:jc w:val="both"/>
        <w:rPr>
          <w:color w:val="000000" w:themeColor="text1"/>
          <w:sz w:val="16"/>
          <w:szCs w:val="16"/>
        </w:rPr>
      </w:pPr>
    </w:p>
    <w:p w14:paraId="41C9E558" w14:textId="77777777" w:rsidR="00647F1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970425F" w14:textId="77777777" w:rsidR="00647F1E" w:rsidRPr="00E14102" w:rsidRDefault="00647F1E" w:rsidP="00E14102">
      <w:pPr>
        <w:autoSpaceDE w:val="0"/>
        <w:autoSpaceDN w:val="0"/>
        <w:adjustRightInd w:val="0"/>
        <w:jc w:val="both"/>
        <w:rPr>
          <w:iCs/>
          <w:color w:val="000000" w:themeColor="text1"/>
          <w:sz w:val="16"/>
          <w:szCs w:val="16"/>
        </w:rPr>
      </w:pPr>
    </w:p>
    <w:p w14:paraId="62AF3BCF" w14:textId="77777777" w:rsidR="00A92C37" w:rsidRPr="00E14102" w:rsidRDefault="00A92C37" w:rsidP="00E14102">
      <w:pPr>
        <w:pStyle w:val="rtejustify"/>
        <w:spacing w:before="0" w:after="0"/>
        <w:rPr>
          <w:color w:val="000000" w:themeColor="text1"/>
          <w:sz w:val="16"/>
          <w:szCs w:val="16"/>
        </w:rPr>
      </w:pPr>
      <w:r w:rsidRPr="00E14102">
        <w:rPr>
          <w:bCs/>
          <w:color w:val="000000" w:themeColor="text1"/>
          <w:sz w:val="16"/>
          <w:szCs w:val="16"/>
        </w:rPr>
        <w:t>27 августа [1935 г.] Каганович — Сталину</w:t>
      </w:r>
    </w:p>
    <w:p w14:paraId="7796536E"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27/VIII</w:t>
      </w:r>
    </w:p>
    <w:p w14:paraId="5D0B9DFE" w14:textId="77777777" w:rsidR="00647F1E" w:rsidRPr="00E14102" w:rsidRDefault="00647F1E" w:rsidP="00E14102">
      <w:pPr>
        <w:pStyle w:val="rtecenter"/>
        <w:spacing w:before="0" w:after="0"/>
        <w:jc w:val="both"/>
        <w:rPr>
          <w:color w:val="000000" w:themeColor="text1"/>
          <w:sz w:val="16"/>
          <w:szCs w:val="16"/>
        </w:rPr>
      </w:pPr>
      <w:r w:rsidRPr="00E14102">
        <w:rPr>
          <w:color w:val="000000" w:themeColor="text1"/>
          <w:sz w:val="16"/>
          <w:szCs w:val="16"/>
        </w:rPr>
        <w:t>Здравствуйте, Дорогой т. Сталин!</w:t>
      </w:r>
    </w:p>
    <w:p w14:paraId="21B8FD01"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Получил Ваше письмо.</w:t>
      </w:r>
    </w:p>
    <w:p w14:paraId="50CEE023"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1) Об аресте Лукьянова, видимо, т. Ежов дал согласие, однако на заседании я лично указал т. Агранову, что они не имели права арестовывать, не поставив официально вопроса в ЦК. Но, т. Сталин, я хочу Вам сказать, что главный спор был у нас не столько из-за этого, сколько из-за существа вопроса. Ворошилов заранее отрицал вину Лукьянова и ошибки газеты, не читав ни газеты, ни материалов. По-моему, он не прав, а когда я начал доказывать его неправоту, то у нас и получился острый спор.</w:t>
      </w:r>
    </w:p>
    <w:p w14:paraId="2B797136"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Во всяком случае, Агранову надрание дадим, но если по существу придется обсуждать, разрешите защищать занятую мной позицию в этом вопросе</w:t>
      </w:r>
      <w:r w:rsidRPr="00E14102">
        <w:rPr>
          <w:color w:val="000000" w:themeColor="text1"/>
          <w:sz w:val="16"/>
          <w:szCs w:val="16"/>
          <w:vertAlign w:val="superscript"/>
        </w:rPr>
        <w:t>1</w:t>
      </w:r>
      <w:r w:rsidRPr="00E14102">
        <w:rPr>
          <w:color w:val="000000" w:themeColor="text1"/>
          <w:sz w:val="16"/>
          <w:szCs w:val="16"/>
        </w:rPr>
        <w:t>.</w:t>
      </w:r>
    </w:p>
    <w:p w14:paraId="6CF8FDEE"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2) По хлебозаготовкам Вы совершенно правы, сделаем завтра же все, что Вы предлагаете.</w:t>
      </w:r>
    </w:p>
    <w:p w14:paraId="27328115"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3) Трилиссера переименовали в Москвина ввиду того, что его фамилия известна как бывшего работника НКВД.</w:t>
      </w:r>
    </w:p>
    <w:p w14:paraId="578ED294"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4) От Таирова из Монголии получилось интересное письмо, в котором он рассказывает о настроениях Гендуна и всей верхушки. Видимо, Гендун все больше отходит от нас. На всякий случай посылаю Вам это письмо</w:t>
      </w:r>
      <w:r w:rsidRPr="00E14102">
        <w:rPr>
          <w:color w:val="000000" w:themeColor="text1"/>
          <w:sz w:val="16"/>
          <w:szCs w:val="16"/>
          <w:vertAlign w:val="superscript"/>
        </w:rPr>
        <w:t>2</w:t>
      </w:r>
      <w:r w:rsidRPr="00E14102">
        <w:rPr>
          <w:color w:val="000000" w:themeColor="text1"/>
          <w:sz w:val="16"/>
          <w:szCs w:val="16"/>
        </w:rPr>
        <w:t>.</w:t>
      </w:r>
    </w:p>
    <w:p w14:paraId="1D314A57"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lastRenderedPageBreak/>
        <w:t>5) В проекте т. Андреева, оставленном Вами, предусматривалась проверка комсомола с сентября. Я думаю, т. Сталин, что это нецелесообразно. Сейчас идет проверка партбилетов</w:t>
      </w:r>
      <w:r w:rsidRPr="00E14102">
        <w:rPr>
          <w:color w:val="000000" w:themeColor="text1"/>
          <w:sz w:val="16"/>
          <w:szCs w:val="16"/>
          <w:vertAlign w:val="superscript"/>
        </w:rPr>
        <w:t>3</w:t>
      </w:r>
      <w:r w:rsidRPr="00E14102">
        <w:rPr>
          <w:color w:val="000000" w:themeColor="text1"/>
          <w:sz w:val="16"/>
          <w:szCs w:val="16"/>
        </w:rPr>
        <w:t>. Естественно, что комсомольская проверка пострадает. Лучше бы перенести ее на 1936 г., когда будет окончена проверка партбилетов. Прошу Вас сообщить Ваше мнение.</w:t>
      </w:r>
    </w:p>
    <w:p w14:paraId="06FDA587"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6) Вчера было заседание Комиссии обороны. К сожалению, в порядок дня не был включен вопрос, который я просил поставить на обсуждение, это записка Прокофьева, которая была оставлена Вам, о состоянии военно-артиллерийских складов и хранении снарядов. Из этой записки видно, что дело поставлено очень плохо, но теперь придется обсудить на следующем заседании.</w:t>
      </w:r>
    </w:p>
    <w:p w14:paraId="4BC3EF2E"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Обсудили вопрос о строительстве ЦАГИ в Раменском</w:t>
      </w:r>
      <w:r w:rsidRPr="00E14102">
        <w:rPr>
          <w:color w:val="000000" w:themeColor="text1"/>
          <w:sz w:val="16"/>
          <w:szCs w:val="16"/>
          <w:vertAlign w:val="superscript"/>
        </w:rPr>
        <w:t>4</w:t>
      </w:r>
      <w:r w:rsidRPr="00E14102">
        <w:rPr>
          <w:color w:val="000000" w:themeColor="text1"/>
          <w:sz w:val="16"/>
          <w:szCs w:val="16"/>
        </w:rPr>
        <w:t>. Решили плотины не строить, а для гидросамолетостроения строить в другом месте. В Раменском же строить для сухопутной авиации.</w:t>
      </w:r>
    </w:p>
    <w:p w14:paraId="36BB87F6"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На всякий случай посылаю Вам протокол заседания КО</w:t>
      </w:r>
      <w:r w:rsidRPr="00E14102">
        <w:rPr>
          <w:color w:val="000000" w:themeColor="text1"/>
          <w:sz w:val="16"/>
          <w:szCs w:val="16"/>
          <w:vertAlign w:val="superscript"/>
        </w:rPr>
        <w:t>5</w:t>
      </w:r>
      <w:r w:rsidRPr="00E14102">
        <w:rPr>
          <w:color w:val="000000" w:themeColor="text1"/>
          <w:sz w:val="16"/>
          <w:szCs w:val="16"/>
        </w:rPr>
        <w:t>.</w:t>
      </w:r>
    </w:p>
    <w:p w14:paraId="535BB073"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Ну на этом кончу.</w:t>
      </w:r>
    </w:p>
    <w:p w14:paraId="7F8CFB93"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О своих НКПСовских делах напишу уж в следующем письме.</w:t>
      </w:r>
    </w:p>
    <w:p w14:paraId="5E9C2166"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Сердечный Вам привет Ваш Л.Каганович.</w:t>
      </w:r>
    </w:p>
    <w:p w14:paraId="26BA2E95"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vertAlign w:val="superscript"/>
        </w:rPr>
        <w:t>1</w:t>
      </w:r>
      <w:r w:rsidRPr="00E14102">
        <w:rPr>
          <w:color w:val="000000" w:themeColor="text1"/>
          <w:sz w:val="16"/>
          <w:szCs w:val="16"/>
        </w:rPr>
        <w:t xml:space="preserve"> 22 августа решением ПБ редактор газеты «Журналь де Моску» С. С.Лукьянов был снят со своего поста. НКИД поручалось подобрать на эту должность другую кандидатуру (РГАСПИ. Ф. 17. Оп. 3. Д. 970. Л. 64). 28 августа 1935 г. ПБ указало НКВД «на неправильность» ареста Лукьянова без санкции ЦК. Выписка с этим решением была послана Агранову (Там же. Оп. 162. Д. 18. Л. 123).</w:t>
      </w:r>
    </w:p>
    <w:p w14:paraId="4F99CC84"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vertAlign w:val="superscript"/>
        </w:rPr>
        <w:t>2</w:t>
      </w:r>
      <w:r w:rsidRPr="00E14102">
        <w:rPr>
          <w:color w:val="000000" w:themeColor="text1"/>
          <w:sz w:val="16"/>
          <w:szCs w:val="16"/>
        </w:rPr>
        <w:t xml:space="preserve"> Письмо отсутствует.</w:t>
      </w:r>
    </w:p>
    <w:p w14:paraId="5A47BB3E"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vertAlign w:val="superscript"/>
        </w:rPr>
        <w:t>3</w:t>
      </w:r>
      <w:r w:rsidRPr="00E14102">
        <w:rPr>
          <w:color w:val="000000" w:themeColor="text1"/>
          <w:sz w:val="16"/>
          <w:szCs w:val="16"/>
        </w:rPr>
        <w:t xml:space="preserve"> Проверка наличия и подлинности партийных билетов и учетных карточек началась с мая 1935 г. Фактически она была продолжением чистки ВКП(б), которая' велась с конца 1932 г.</w:t>
      </w:r>
    </w:p>
    <w:p w14:paraId="0CE72AD2"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vertAlign w:val="superscript"/>
        </w:rPr>
        <w:t>4</w:t>
      </w:r>
      <w:r w:rsidRPr="00E14102">
        <w:rPr>
          <w:color w:val="000000" w:themeColor="text1"/>
          <w:sz w:val="16"/>
          <w:szCs w:val="16"/>
        </w:rPr>
        <w:t xml:space="preserve"> Центральный аэродинамический институт, создан в 1918 г.</w:t>
      </w:r>
    </w:p>
    <w:p w14:paraId="1B625FFB"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vertAlign w:val="superscript"/>
        </w:rPr>
        <w:t>5</w:t>
      </w:r>
      <w:r w:rsidRPr="00E14102">
        <w:rPr>
          <w:color w:val="000000" w:themeColor="text1"/>
          <w:sz w:val="16"/>
          <w:szCs w:val="16"/>
        </w:rPr>
        <w:t xml:space="preserve"> Протокол отсутствует.</w:t>
      </w:r>
    </w:p>
    <w:p w14:paraId="2808E1AC"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Архив: РГАСПИ Ф. 558. Оп. 11. Д. 743. Л. 10–15. Автограф. </w:t>
      </w:r>
    </w:p>
    <w:p w14:paraId="77C653E1" w14:textId="77777777" w:rsidR="00647F1E" w:rsidRPr="00E14102" w:rsidRDefault="00647F1E" w:rsidP="00E14102">
      <w:pPr>
        <w:jc w:val="both"/>
        <w:rPr>
          <w:color w:val="000000" w:themeColor="text1"/>
          <w:sz w:val="16"/>
          <w:szCs w:val="16"/>
        </w:rPr>
      </w:pPr>
      <w:r w:rsidRPr="00E14102">
        <w:rPr>
          <w:color w:val="000000" w:themeColor="text1"/>
          <w:sz w:val="16"/>
          <w:szCs w:val="16"/>
        </w:rPr>
        <w:t>Источник: Сталин и Каганович. Переписка. 1931–1936 гг. Москва: (РОССПЭН), 2001 Стр. 537-538 (12357).</w:t>
      </w:r>
    </w:p>
    <w:p w14:paraId="0E8CDB1F" w14:textId="77777777" w:rsidR="00647F1E" w:rsidRPr="00E14102" w:rsidRDefault="00647F1E" w:rsidP="00E14102">
      <w:pPr>
        <w:jc w:val="both"/>
        <w:rPr>
          <w:color w:val="000000" w:themeColor="text1"/>
          <w:sz w:val="16"/>
          <w:szCs w:val="16"/>
          <w:u w:color="002060"/>
        </w:rPr>
      </w:pPr>
    </w:p>
    <w:p w14:paraId="4CBEFBD1" w14:textId="77777777" w:rsidR="00A92C37"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55CF6CAC" w14:textId="77777777" w:rsidR="00A92C37" w:rsidRPr="00E14102" w:rsidRDefault="00A92C37" w:rsidP="00E14102">
      <w:pPr>
        <w:autoSpaceDE w:val="0"/>
        <w:autoSpaceDN w:val="0"/>
        <w:adjustRightInd w:val="0"/>
        <w:jc w:val="both"/>
        <w:rPr>
          <w:iCs/>
          <w:color w:val="000000" w:themeColor="text1"/>
          <w:sz w:val="16"/>
          <w:szCs w:val="16"/>
        </w:rPr>
      </w:pPr>
    </w:p>
    <w:p w14:paraId="1188E3F8" w14:textId="77777777" w:rsidR="00A92C37" w:rsidRPr="00E14102" w:rsidRDefault="00A92C37" w:rsidP="00E14102">
      <w:pPr>
        <w:jc w:val="both"/>
        <w:rPr>
          <w:color w:val="000000" w:themeColor="text1"/>
          <w:sz w:val="16"/>
          <w:szCs w:val="16"/>
        </w:rPr>
      </w:pPr>
      <w:r w:rsidRPr="00E14102">
        <w:rPr>
          <w:color w:val="000000" w:themeColor="text1"/>
          <w:sz w:val="16"/>
          <w:szCs w:val="16"/>
        </w:rPr>
        <w:t>27-30 августа 1935 была проверка боевой подготовки Витебской, Ор</w:t>
      </w:r>
      <w:r w:rsidRPr="00E14102">
        <w:rPr>
          <w:color w:val="000000" w:themeColor="text1"/>
          <w:sz w:val="16"/>
          <w:szCs w:val="16"/>
        </w:rPr>
        <w:softHyphen/>
        <w:t>шанской и Бобруйской авиабригад: согласно ему, управление авиацией и в воздухе, и с земли в ВВС БВО стало тогда всего лишь «удовлетворительным» (т.е. на «тройку»), и именно из-за выучки авиаторов — нехватки у них сноровки в использовании радиосвязи (15803).</w:t>
      </w:r>
    </w:p>
    <w:p w14:paraId="4B9E60A2" w14:textId="77777777" w:rsidR="00A92C37" w:rsidRPr="00E14102" w:rsidRDefault="00A92C37" w:rsidP="00E14102">
      <w:pPr>
        <w:jc w:val="both"/>
        <w:rPr>
          <w:color w:val="000000" w:themeColor="text1"/>
          <w:sz w:val="16"/>
          <w:szCs w:val="16"/>
        </w:rPr>
      </w:pPr>
    </w:p>
    <w:p w14:paraId="15EE01E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6CB55E7" w14:textId="77777777" w:rsidR="00D4105E" w:rsidRPr="00E14102" w:rsidRDefault="00D4105E" w:rsidP="00E14102">
      <w:pPr>
        <w:autoSpaceDE w:val="0"/>
        <w:autoSpaceDN w:val="0"/>
        <w:adjustRightInd w:val="0"/>
        <w:jc w:val="both"/>
        <w:rPr>
          <w:iCs/>
          <w:color w:val="000000" w:themeColor="text1"/>
          <w:sz w:val="16"/>
          <w:szCs w:val="16"/>
        </w:rPr>
      </w:pPr>
    </w:p>
    <w:p w14:paraId="21AB631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 августа 1935 в штате Техас на референдуме большинство населения проголосовало за отмену “сухого закона” (4962).</w:t>
      </w:r>
    </w:p>
    <w:p w14:paraId="47058A4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A978C1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2E6C35F" w14:textId="77777777" w:rsidR="00D4105E" w:rsidRPr="00E14102" w:rsidRDefault="00D4105E" w:rsidP="00E14102">
      <w:pPr>
        <w:autoSpaceDE w:val="0"/>
        <w:autoSpaceDN w:val="0"/>
        <w:adjustRightInd w:val="0"/>
        <w:jc w:val="both"/>
        <w:rPr>
          <w:iCs/>
          <w:color w:val="000000" w:themeColor="text1"/>
          <w:sz w:val="16"/>
          <w:szCs w:val="16"/>
        </w:rPr>
      </w:pPr>
    </w:p>
    <w:p w14:paraId="49E1EC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августа 1935 ЦКБ-26 был показан НКО К.Е.В. и НКТП Г.К.О. Последовал приказ в кратчайшие сроки представить на гос. испытания второй экз. ЦКБ-26 цельнометаллический, полностью отвечающий требованиям ВВС (3846,6).</w:t>
      </w:r>
    </w:p>
    <w:p w14:paraId="7B27A9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ясно, откуда они могли взяться, т.к. делали-то ББ.</w:t>
      </w:r>
    </w:p>
    <w:p w14:paraId="3BA5E882" w14:textId="77777777" w:rsidR="00D4105E" w:rsidRPr="00E14102" w:rsidRDefault="00D4105E" w:rsidP="00E14102">
      <w:pPr>
        <w:autoSpaceDE w:val="0"/>
        <w:autoSpaceDN w:val="0"/>
        <w:adjustRightInd w:val="0"/>
        <w:jc w:val="both"/>
        <w:rPr>
          <w:iCs/>
          <w:color w:val="000000" w:themeColor="text1"/>
          <w:sz w:val="16"/>
          <w:szCs w:val="16"/>
        </w:rPr>
      </w:pPr>
    </w:p>
    <w:p w14:paraId="66D58AC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августа 1935 г. ЦКБ-26 показали сразу двум наркомам - К.Е.Ворошилову и Г.К.Орджоникидзе. Они посмотрели бомбардировщик на земле и з воздухе. Самолет произвел хорошее впечатление. Но ЦКБ-26 еще не являлся полноценной боевой машиной, что и было отмечено Ворошиловым. Следовало перейти от смешанной конструкции к цельнометаллической, четко оговоренной техническими требованиями ВВС к дальнему бомбардировщику и установить запроектированное вооружение. От Ильюшина потребовали выставить з 1936 г. полноценный дальний бомбардировщик. К этому времени проектирование усовершенствованного варианта, названного ЦКБ-30, уже велось полным ходом. Над ним работала вся бригада №3 ЦКБ, руководителем которой был Ильюшин, а также приданные сотрудники из других подразделений. ЦКБ-30 отличался от своего предшественника цельнометаллическим фюзеляжем, длина которого была на полметра больше. Двигатели (опять импортные “Гном-Роны”) установили на моторамах с большим выносом, а жесткость рам повысили увеличением диаметра труб. На самолете смонтировали все штатное вооружение. Согласно техническим требованиям бомбардировщик должен был нести три пулеметные установки, каждая с пулеметом ШКАС. Носовая НУ (5Т251) располагалась в кабине штурмана, а верхняя (средняя) СУ (5Т211) - за гаргротом пилотской кабины. Обе они являлись экранированными. Интересно была сделана верхняя турель. В походном положении она ненамного выступала из контуров фюзеляжа, но в рабочем верхняя часть экрана приподнималась на шарнирах, так что стрелок смотрел уже через нее. Зазор закрывался полотняной прорезиненной гармошкой. Нижняя установка ЛУ (5Т231) была довольно примитивной шкворневой. Боезапас составлял 2500 патронов; по 1000 - для НУ и СУ и 500 -для ЛУ. На самолете установили и бомбардировочное вооружение. Особенностью ильюшинской машины было то, что кассетные бомбодержатели Дер-21 располагались не по бортам бомбоотсека, а по оси самолета. В отличие от СБ предусматривалась и наружная подвеска (6474).</w:t>
      </w:r>
    </w:p>
    <w:p w14:paraId="293A066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2147E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августа 1935 на ДБА 4М-34РН в ходе заводских испытаний в Щелково летали 1 раз 1:35 на проверку пневмоуправления люков, щитков, костыля и проверку управляемости и устойчивости 8-й полет машины (249).</w:t>
      </w:r>
    </w:p>
    <w:p w14:paraId="57552375" w14:textId="77777777" w:rsidR="00D4105E" w:rsidRPr="00E14102" w:rsidRDefault="00D4105E" w:rsidP="00E14102">
      <w:pPr>
        <w:autoSpaceDE w:val="0"/>
        <w:autoSpaceDN w:val="0"/>
        <w:adjustRightInd w:val="0"/>
        <w:jc w:val="both"/>
        <w:rPr>
          <w:color w:val="000000" w:themeColor="text1"/>
          <w:sz w:val="16"/>
          <w:szCs w:val="16"/>
        </w:rPr>
      </w:pPr>
    </w:p>
    <w:p w14:paraId="783E1A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августа 1935 Нач. Глававиапрома Королев писал письмо № 2/3906сс в СТО т. Базилевичу на № 1539/ко (вход. № 221 от 29 августа 1935)</w:t>
      </w:r>
    </w:p>
    <w:p w14:paraId="018D14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Сообщаю Вам о состоянии производства самолетов “ССС” на заводе № 1.</w:t>
      </w:r>
    </w:p>
    <w:p w14:paraId="1C5B095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Выполнение программы самолетов "ССС" потпебовало от з-да № 1 разворачивать серийное производство</w:t>
      </w:r>
      <w:r w:rsidRPr="00E14102">
        <w:rPr>
          <w:smallCaps/>
          <w:color w:val="000000" w:themeColor="text1"/>
          <w:sz w:val="16"/>
          <w:szCs w:val="16"/>
        </w:rPr>
        <w:t xml:space="preserve">, </w:t>
      </w:r>
      <w:r w:rsidRPr="00E14102">
        <w:rPr>
          <w:color w:val="000000" w:themeColor="text1"/>
          <w:sz w:val="16"/>
          <w:szCs w:val="16"/>
        </w:rPr>
        <w:t>не дожижаясь окончания госиспытаний и заключения по ним.</w:t>
      </w:r>
    </w:p>
    <w:p w14:paraId="6B833D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Заводом № 1 облетано на 25/УШ.35 65 самолетов "ССС".</w:t>
      </w:r>
    </w:p>
    <w:p w14:paraId="24D3BC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Сданы ваказчикам из этого количества 4самолета.</w:t>
      </w:r>
    </w:p>
    <w:p w14:paraId="69FC16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аэродроме находилось 61 самолет "ССС", на которых необходимо было установить пулеметы "Шкас", произвести отсрел их, а так же довести бомбовое и хим. вооружение.</w:t>
      </w:r>
    </w:p>
    <w:p w14:paraId="06FD811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При просмотре и предварительной приемке этих самолетов 10/УШ-35 г. были обнаружены в нижних лонжеронах фюзеляжа трещины на 51 самолете, которые появились вследствииоткрытой констпукция лонжеронов, плохого качества клея и лака, полученного </w:t>
      </w:r>
      <w:r w:rsidRPr="00E14102">
        <w:rPr>
          <w:color w:val="000000" w:themeColor="text1"/>
          <w:sz w:val="16"/>
          <w:szCs w:val="16"/>
          <w:vertAlign w:val="subscript"/>
        </w:rPr>
        <w:t>:</w:t>
      </w:r>
      <w:r w:rsidRPr="00E14102">
        <w:rPr>
          <w:color w:val="000000" w:themeColor="text1"/>
          <w:sz w:val="16"/>
          <w:szCs w:val="16"/>
        </w:rPr>
        <w:t xml:space="preserve"> заводом № 1.</w:t>
      </w:r>
    </w:p>
    <w:p w14:paraId="464D74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Заводом № 1 неоднократно ставился вопрос перед УВС РККА о необходикости фанеровки ( закрытия нижней поверхности лонжеронов), однако, от этого УВС РККА отказывалось.</w:t>
      </w:r>
    </w:p>
    <w:p w14:paraId="246E6D4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настоящее время завод приступил по согласованию с УВС РККА, к устранению на 51 самолете конструктивных дефектов (попадание влаги) путем фанеровки нижних лонже</w:t>
      </w:r>
      <w:r w:rsidRPr="00E14102">
        <w:rPr>
          <w:color w:val="000000" w:themeColor="text1"/>
          <w:sz w:val="16"/>
          <w:szCs w:val="16"/>
        </w:rPr>
        <w:softHyphen/>
        <w:t>ронов, заменой полотняной обшивки, в местах стыка фюзеляжа с крылом, на дюралевыи лист с введением дренажа на этом участке.</w:t>
      </w:r>
    </w:p>
    <w:p w14:paraId="3B63774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всех последующих самолетах "ССС" будут введены эти изменения.</w:t>
      </w:r>
    </w:p>
    <w:p w14:paraId="71E42F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Кроме этого заводом № 1 по согласованию с УВ РККА, применяемый ранее клей  № 104 для склейки древесины заменен водоупорным клеем № 6 (3419,104).</w:t>
      </w:r>
    </w:p>
    <w:p w14:paraId="5A06830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6DD62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28 августа по 3 ноября 1935 10 И-16 39 завода проходили войсковые испытания в 107 авиаэскадрильи Брянской бригады. Оценили хорошо (1808,9).</w:t>
      </w:r>
    </w:p>
    <w:p w14:paraId="361518D5" w14:textId="77777777" w:rsidR="00D4105E" w:rsidRPr="00E14102" w:rsidRDefault="00D4105E" w:rsidP="00E14102">
      <w:pPr>
        <w:autoSpaceDE w:val="0"/>
        <w:autoSpaceDN w:val="0"/>
        <w:adjustRightInd w:val="0"/>
        <w:jc w:val="both"/>
        <w:rPr>
          <w:color w:val="000000" w:themeColor="text1"/>
          <w:sz w:val="16"/>
          <w:szCs w:val="16"/>
        </w:rPr>
      </w:pPr>
    </w:p>
    <w:p w14:paraId="626670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период с 28 августа по 3 ноября 1935 г. 10 И-16 М-22, построенных на заводе №39. проходили войсковые испытания в 107-й авиаэскадрилье Брянской авиабригады. Изучались все слабые и положительные стороны самолета, возможные варианты его боевого применения. Выяснилось, например, что опускаемые на взлете элероны (на И-16 тип 4 и тип 5 элероны выполняли также функцию закрылков) действительно ощутимо сокращают дистанцию взлета и посадки. Это заключение стало весомым аргументом для сторонников И-16, ибо работы по расширению действующих аэродромов для новых истребителей только начались.</w:t>
      </w:r>
    </w:p>
    <w:p w14:paraId="0EEA75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При оценке пилотирования отмечалось, что "управление самолетом легкое, он чувствительно реагирует на движение рулей ...малейших ошибок не прощает ...Передирание ручки на вираже и посадке опасно сваливанием в штопор". Такая высокая чувствительность самолета на малые движения ручки управления -затрудняла пользование гашетками пулеметов, оснащенных механическим спуском - требовался более мягкий электроспуск. Вращение вокруг продольной оси - "бочку" - И-16 крутил за 1 - 1.2 секунды, причем самолет всегда можно было зафиксировать и в промежуточном положении. Отметили армейские пилоты (как </w:t>
      </w:r>
      <w:r w:rsidRPr="00E14102">
        <w:rPr>
          <w:color w:val="000000" w:themeColor="text1"/>
          <w:sz w:val="16"/>
          <w:szCs w:val="16"/>
        </w:rPr>
        <w:lastRenderedPageBreak/>
        <w:t>несколько ранее испытатели), что при полетах на максимальной скорости верхняя обшивка крыльев отсасывается потоком и как бы вспучивается. В качестве пожелания предлагалось увеличить частоту нервюр - это было сделано лишь в 1937-38 гг.</w:t>
      </w:r>
    </w:p>
    <w:p w14:paraId="53AB3C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Особое внимание уделили выполнению штопора. Вот основные оценки: "Самолет штопорит хорошо на всех высотах... в процессе штопора, при ослабленной ноге, заметна после каждого витка тенденция самолета выйти из штопора... правый штопор проводится до 12 витков без запаздывания при выводе. Штопор влево происходит энергичнее... ввод и вывод как в правый, но полного добора ручки не желательно, так как в этот момент самолет поднимает нос между горизонтом и нормальным штопором, вращение происходит плоское, а вывод с запаздыванием - после пяти витков два витка запаздывания ...случаев отказа управления при штопоре не было". Общая оценка самолета гласила: "Обладает отличными пилотаж ными качествами" (12015).</w:t>
      </w:r>
    </w:p>
    <w:p w14:paraId="6B4AEA69" w14:textId="77777777" w:rsidR="00D4105E" w:rsidRPr="00E14102" w:rsidRDefault="00D4105E" w:rsidP="00E14102">
      <w:pPr>
        <w:autoSpaceDE w:val="0"/>
        <w:autoSpaceDN w:val="0"/>
        <w:adjustRightInd w:val="0"/>
        <w:jc w:val="both"/>
        <w:rPr>
          <w:color w:val="000000" w:themeColor="text1"/>
          <w:sz w:val="16"/>
          <w:szCs w:val="16"/>
        </w:rPr>
      </w:pPr>
    </w:p>
    <w:p w14:paraId="340FAF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августа (4 сентября) 1935 года в НИИ ВВС закончились эксплуатационные испытания самолета ИП1 РЦ Ф3, которые проходили с 4 августа 1935</w:t>
      </w:r>
    </w:p>
    <w:p w14:paraId="58C188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139307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Инженер-летчик – Федрови</w:t>
      </w:r>
    </w:p>
    <w:p w14:paraId="0A9B9C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0EC6E40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выносливость конструкции самолета во время летной эксплуатации.</w:t>
      </w:r>
    </w:p>
    <w:p w14:paraId="7F2695A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живучесть отдельных частей самолета при стрельбе в воздухе из установленных на нем орудий АПК-4М.</w:t>
      </w:r>
    </w:p>
    <w:p w14:paraId="064892A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Установить работу дифференциального управления элеронами и определить посадочные скорости при нормальном и опущенном положении элеронов.</w:t>
      </w:r>
    </w:p>
    <w:p w14:paraId="292E8F6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прочность деталей и выносливость шасси в целом во время эксплуатации.</w:t>
      </w:r>
    </w:p>
    <w:p w14:paraId="7A3FEC2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Испытать работу подъемного механизма, а также подъем и опускание шасси в воздухе.</w:t>
      </w:r>
    </w:p>
    <w:p w14:paraId="0153ABE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надежность сигнализации подъема шасси.</w:t>
      </w:r>
    </w:p>
    <w:p w14:paraId="01F669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ИП1 проходил испытания по определению летно-тактических данных в феврале 1935 года, полного комплекса испытаний самолета проведено не было.</w:t>
      </w:r>
    </w:p>
    <w:p w14:paraId="653FF0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0E72E8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могут быть рекомендованы для установки на серийных самолетах ИП1 М25.</w:t>
      </w:r>
    </w:p>
    <w:p w14:paraId="1FF0488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Отклонение элеронов в 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601A72C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71B2F89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Капоты винтомоторной группы требуют доработки как с аэродинамической стороны так и эксплуатационной и для серийных самолетов ИП1 М25 идущих в строевые части негодны.</w:t>
      </w:r>
    </w:p>
    <w:p w14:paraId="79F6A13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Испытываемый самолет ИП1 РЦФ3 для испытаний вооружения и живучести оперения от стрельбы из АПК 4М ввиду значительных разрушений и деформаций без капитального ремонта и устранения выявленных недостатков допустить невозможно.</w:t>
      </w:r>
    </w:p>
    <w:p w14:paraId="059309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6"/>
        <w:gridCol w:w="6030"/>
        <w:gridCol w:w="1418"/>
        <w:gridCol w:w="1134"/>
      </w:tblGrid>
      <w:tr w:rsidR="00E3599D" w:rsidRPr="00E14102" w14:paraId="6928F428" w14:textId="77777777">
        <w:tc>
          <w:tcPr>
            <w:tcW w:w="2016" w:type="dxa"/>
            <w:tcBorders>
              <w:top w:val="single" w:sz="12" w:space="0" w:color="auto"/>
            </w:tcBorders>
          </w:tcPr>
          <w:p w14:paraId="74D2FF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Дата</w:t>
            </w:r>
          </w:p>
        </w:tc>
        <w:tc>
          <w:tcPr>
            <w:tcW w:w="6030" w:type="dxa"/>
            <w:tcBorders>
              <w:top w:val="single" w:sz="12" w:space="0" w:color="auto"/>
            </w:tcBorders>
          </w:tcPr>
          <w:p w14:paraId="5D914B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Проводимые работы</w:t>
            </w:r>
          </w:p>
        </w:tc>
        <w:tc>
          <w:tcPr>
            <w:tcW w:w="1418" w:type="dxa"/>
            <w:tcBorders>
              <w:top w:val="single" w:sz="12" w:space="0" w:color="auto"/>
            </w:tcBorders>
          </w:tcPr>
          <w:p w14:paraId="2A07A3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Кол-во полетов</w:t>
            </w:r>
          </w:p>
          <w:p w14:paraId="022334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подъемом шасси</w:t>
            </w:r>
          </w:p>
        </w:tc>
        <w:tc>
          <w:tcPr>
            <w:tcW w:w="1134" w:type="dxa"/>
            <w:tcBorders>
              <w:top w:val="single" w:sz="12" w:space="0" w:color="auto"/>
            </w:tcBorders>
          </w:tcPr>
          <w:p w14:paraId="1B9974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Кол-во полетов без подъема шасси</w:t>
            </w:r>
          </w:p>
        </w:tc>
      </w:tr>
      <w:tr w:rsidR="00E3599D" w:rsidRPr="00E14102" w14:paraId="4C171F33" w14:textId="77777777">
        <w:tc>
          <w:tcPr>
            <w:tcW w:w="2016" w:type="dxa"/>
          </w:tcPr>
          <w:p w14:paraId="632B9D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 августа 1935 г.</w:t>
            </w:r>
          </w:p>
        </w:tc>
        <w:tc>
          <w:tcPr>
            <w:tcW w:w="6030" w:type="dxa"/>
          </w:tcPr>
          <w:p w14:paraId="1B5400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Приемка самолета на гос. испытания и полеты на испытание шасси.</w:t>
            </w:r>
          </w:p>
        </w:tc>
        <w:tc>
          <w:tcPr>
            <w:tcW w:w="1418" w:type="dxa"/>
          </w:tcPr>
          <w:p w14:paraId="009F3B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w:t>
            </w:r>
          </w:p>
        </w:tc>
        <w:tc>
          <w:tcPr>
            <w:tcW w:w="1134" w:type="dxa"/>
          </w:tcPr>
          <w:p w14:paraId="77BDEC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w:t>
            </w:r>
          </w:p>
        </w:tc>
      </w:tr>
      <w:tr w:rsidR="00E3599D" w:rsidRPr="00E14102" w14:paraId="4C15EE44" w14:textId="77777777">
        <w:tc>
          <w:tcPr>
            <w:tcW w:w="2016" w:type="dxa"/>
          </w:tcPr>
          <w:p w14:paraId="2E14BB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августа 1935 г.</w:t>
            </w:r>
          </w:p>
        </w:tc>
        <w:tc>
          <w:tcPr>
            <w:tcW w:w="6030" w:type="dxa"/>
          </w:tcPr>
          <w:p w14:paraId="6C708E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и определение посадочных скоростей.</w:t>
            </w:r>
          </w:p>
        </w:tc>
        <w:tc>
          <w:tcPr>
            <w:tcW w:w="1418" w:type="dxa"/>
          </w:tcPr>
          <w:p w14:paraId="351D55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134" w:type="dxa"/>
          </w:tcPr>
          <w:p w14:paraId="4178A3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w:t>
            </w:r>
          </w:p>
        </w:tc>
      </w:tr>
      <w:tr w:rsidR="00E3599D" w:rsidRPr="00E14102" w14:paraId="1C9682C5" w14:textId="77777777">
        <w:tc>
          <w:tcPr>
            <w:tcW w:w="2016" w:type="dxa"/>
          </w:tcPr>
          <w:p w14:paraId="00628E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августа 1935 г.</w:t>
            </w:r>
          </w:p>
        </w:tc>
        <w:tc>
          <w:tcPr>
            <w:tcW w:w="6030" w:type="dxa"/>
          </w:tcPr>
          <w:p w14:paraId="5FEF8E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подъемного механизма у прицела живучести конструкции.</w:t>
            </w:r>
          </w:p>
        </w:tc>
        <w:tc>
          <w:tcPr>
            <w:tcW w:w="1418" w:type="dxa"/>
          </w:tcPr>
          <w:p w14:paraId="04498D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134" w:type="dxa"/>
          </w:tcPr>
          <w:p w14:paraId="14BFC9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w:t>
            </w:r>
          </w:p>
        </w:tc>
      </w:tr>
      <w:tr w:rsidR="00E3599D" w:rsidRPr="00E14102" w14:paraId="41DE83C7" w14:textId="77777777">
        <w:tc>
          <w:tcPr>
            <w:tcW w:w="2016" w:type="dxa"/>
          </w:tcPr>
          <w:p w14:paraId="55237F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9 августа 1935 г. </w:t>
            </w:r>
          </w:p>
        </w:tc>
        <w:tc>
          <w:tcPr>
            <w:tcW w:w="6030" w:type="dxa"/>
          </w:tcPr>
          <w:p w14:paraId="4DECC8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Перегонка самолета на завод.</w:t>
            </w:r>
          </w:p>
        </w:tc>
        <w:tc>
          <w:tcPr>
            <w:tcW w:w="1418" w:type="dxa"/>
          </w:tcPr>
          <w:p w14:paraId="0FD6BA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134" w:type="dxa"/>
          </w:tcPr>
          <w:p w14:paraId="3BC9A57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D469E57" w14:textId="77777777">
        <w:tc>
          <w:tcPr>
            <w:tcW w:w="2016" w:type="dxa"/>
          </w:tcPr>
          <w:p w14:paraId="10723B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августа 1935 г.</w:t>
            </w:r>
          </w:p>
        </w:tc>
        <w:tc>
          <w:tcPr>
            <w:tcW w:w="6030" w:type="dxa"/>
          </w:tcPr>
          <w:p w14:paraId="09558E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Перегонка самолета с завода и полеты на испытание шасси, винтомоторной группы прицела и живучести осмотр и зарядка самолета.</w:t>
            </w:r>
          </w:p>
        </w:tc>
        <w:tc>
          <w:tcPr>
            <w:tcW w:w="1418" w:type="dxa"/>
          </w:tcPr>
          <w:p w14:paraId="325184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1134" w:type="dxa"/>
          </w:tcPr>
          <w:p w14:paraId="7C47E5C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CA5C976" w14:textId="77777777">
        <w:tc>
          <w:tcPr>
            <w:tcW w:w="2016" w:type="dxa"/>
          </w:tcPr>
          <w:p w14:paraId="49355F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августа 1935 г.</w:t>
            </w:r>
          </w:p>
        </w:tc>
        <w:tc>
          <w:tcPr>
            <w:tcW w:w="6030" w:type="dxa"/>
          </w:tcPr>
          <w:p w14:paraId="1F9C86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винтомоторной группы, шасси и живучести конструкции.</w:t>
            </w:r>
          </w:p>
        </w:tc>
        <w:tc>
          <w:tcPr>
            <w:tcW w:w="1418" w:type="dxa"/>
          </w:tcPr>
          <w:p w14:paraId="52D2DD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1134" w:type="dxa"/>
          </w:tcPr>
          <w:p w14:paraId="7E79405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43049A6" w14:textId="77777777">
        <w:tc>
          <w:tcPr>
            <w:tcW w:w="2016" w:type="dxa"/>
          </w:tcPr>
          <w:p w14:paraId="4F2E59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августа 1935 г.</w:t>
            </w:r>
          </w:p>
        </w:tc>
        <w:tc>
          <w:tcPr>
            <w:tcW w:w="6030" w:type="dxa"/>
          </w:tcPr>
          <w:p w14:paraId="402E84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винтомоторной группы, шасси.</w:t>
            </w:r>
          </w:p>
        </w:tc>
        <w:tc>
          <w:tcPr>
            <w:tcW w:w="1418" w:type="dxa"/>
          </w:tcPr>
          <w:p w14:paraId="539B8D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1134" w:type="dxa"/>
          </w:tcPr>
          <w:p w14:paraId="11805B0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9F0133F" w14:textId="77777777">
        <w:tc>
          <w:tcPr>
            <w:tcW w:w="2016" w:type="dxa"/>
          </w:tcPr>
          <w:p w14:paraId="4B862A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августа 1935 г.</w:t>
            </w:r>
          </w:p>
        </w:tc>
        <w:tc>
          <w:tcPr>
            <w:tcW w:w="6030" w:type="dxa"/>
          </w:tcPr>
          <w:p w14:paraId="752083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полетов на испытание прицела с фотострелками, 24 полета на испытание шасси и подъемного механизма и живучести конструкции.</w:t>
            </w:r>
          </w:p>
        </w:tc>
        <w:tc>
          <w:tcPr>
            <w:tcW w:w="1418" w:type="dxa"/>
          </w:tcPr>
          <w:p w14:paraId="7B5E85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134" w:type="dxa"/>
          </w:tcPr>
          <w:p w14:paraId="743ED7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r>
      <w:tr w:rsidR="00E3599D" w:rsidRPr="00E14102" w14:paraId="31ED08CE" w14:textId="77777777">
        <w:tc>
          <w:tcPr>
            <w:tcW w:w="2016" w:type="dxa"/>
          </w:tcPr>
          <w:p w14:paraId="7A1F1C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августа 1935 г.</w:t>
            </w:r>
          </w:p>
        </w:tc>
        <w:tc>
          <w:tcPr>
            <w:tcW w:w="6030" w:type="dxa"/>
          </w:tcPr>
          <w:p w14:paraId="169EA2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винтомоторной группы, шасси и подъемного механизма. Полеты на стрельбу из АПК и испытание живучести.</w:t>
            </w:r>
          </w:p>
        </w:tc>
        <w:tc>
          <w:tcPr>
            <w:tcW w:w="1418" w:type="dxa"/>
          </w:tcPr>
          <w:p w14:paraId="5ECB18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p w14:paraId="307E8B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134" w:type="dxa"/>
          </w:tcPr>
          <w:p w14:paraId="01AF020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6D4824" w14:textId="77777777">
        <w:tc>
          <w:tcPr>
            <w:tcW w:w="2016" w:type="dxa"/>
          </w:tcPr>
          <w:p w14:paraId="6D7786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августа 1935 г.</w:t>
            </w:r>
          </w:p>
        </w:tc>
        <w:tc>
          <w:tcPr>
            <w:tcW w:w="6030" w:type="dxa"/>
          </w:tcPr>
          <w:p w14:paraId="1D7F22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w:t>
            </w:r>
          </w:p>
        </w:tc>
        <w:tc>
          <w:tcPr>
            <w:tcW w:w="1418" w:type="dxa"/>
          </w:tcPr>
          <w:p w14:paraId="31489B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1134" w:type="dxa"/>
          </w:tcPr>
          <w:p w14:paraId="49899D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r>
      <w:tr w:rsidR="00E3599D" w:rsidRPr="00E14102" w14:paraId="6A39FE76" w14:textId="77777777">
        <w:tc>
          <w:tcPr>
            <w:tcW w:w="2016" w:type="dxa"/>
          </w:tcPr>
          <w:p w14:paraId="5E756F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августа 1935 г.</w:t>
            </w:r>
          </w:p>
        </w:tc>
        <w:tc>
          <w:tcPr>
            <w:tcW w:w="6030" w:type="dxa"/>
          </w:tcPr>
          <w:p w14:paraId="5A5027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стрельбу – 1. Полеты на испытание шасси – 24.</w:t>
            </w:r>
          </w:p>
        </w:tc>
        <w:tc>
          <w:tcPr>
            <w:tcW w:w="1418" w:type="dxa"/>
          </w:tcPr>
          <w:p w14:paraId="500E13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1134" w:type="dxa"/>
          </w:tcPr>
          <w:p w14:paraId="470A1E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r>
      <w:tr w:rsidR="00E3599D" w:rsidRPr="00E14102" w14:paraId="1D122A00" w14:textId="77777777">
        <w:tc>
          <w:tcPr>
            <w:tcW w:w="2016" w:type="dxa"/>
          </w:tcPr>
          <w:p w14:paraId="4DE3EA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августа 1935 г.</w:t>
            </w:r>
          </w:p>
        </w:tc>
        <w:tc>
          <w:tcPr>
            <w:tcW w:w="6030" w:type="dxa"/>
          </w:tcPr>
          <w:p w14:paraId="3BA557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Перегонка самолета на завод.</w:t>
            </w:r>
          </w:p>
        </w:tc>
        <w:tc>
          <w:tcPr>
            <w:tcW w:w="1418" w:type="dxa"/>
          </w:tcPr>
          <w:p w14:paraId="511D85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1134" w:type="dxa"/>
          </w:tcPr>
          <w:p w14:paraId="7498982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9EB1A54" w14:textId="77777777">
        <w:tc>
          <w:tcPr>
            <w:tcW w:w="2016" w:type="dxa"/>
          </w:tcPr>
          <w:p w14:paraId="5CE1F2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августа 1935 г.</w:t>
            </w:r>
          </w:p>
        </w:tc>
        <w:tc>
          <w:tcPr>
            <w:tcW w:w="6030" w:type="dxa"/>
          </w:tcPr>
          <w:p w14:paraId="630EE0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Перелет в Щелково и полеты на испытание шасси.</w:t>
            </w:r>
          </w:p>
        </w:tc>
        <w:tc>
          <w:tcPr>
            <w:tcW w:w="1418" w:type="dxa"/>
          </w:tcPr>
          <w:p w14:paraId="4CD854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w:t>
            </w:r>
          </w:p>
        </w:tc>
        <w:tc>
          <w:tcPr>
            <w:tcW w:w="1134" w:type="dxa"/>
          </w:tcPr>
          <w:p w14:paraId="2235EDA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278A332" w14:textId="77777777">
        <w:tc>
          <w:tcPr>
            <w:tcW w:w="2016" w:type="dxa"/>
          </w:tcPr>
          <w:p w14:paraId="1B5DC9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августа 1935 г.</w:t>
            </w:r>
          </w:p>
        </w:tc>
        <w:tc>
          <w:tcPr>
            <w:tcW w:w="6030" w:type="dxa"/>
          </w:tcPr>
          <w:p w14:paraId="77FE9A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и подъемного механизма.</w:t>
            </w:r>
          </w:p>
        </w:tc>
        <w:tc>
          <w:tcPr>
            <w:tcW w:w="1418" w:type="dxa"/>
          </w:tcPr>
          <w:p w14:paraId="7D68E3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1134" w:type="dxa"/>
          </w:tcPr>
          <w:p w14:paraId="3BFDCB9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C741310" w14:textId="77777777">
        <w:tc>
          <w:tcPr>
            <w:tcW w:w="2016" w:type="dxa"/>
          </w:tcPr>
          <w:p w14:paraId="39197D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августа 1935 г.</w:t>
            </w:r>
          </w:p>
        </w:tc>
        <w:tc>
          <w:tcPr>
            <w:tcW w:w="6030" w:type="dxa"/>
          </w:tcPr>
          <w:p w14:paraId="21E6A9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и подъемного механизма. Вынужденная посадка на аэродроме из-за отказа мотора.</w:t>
            </w:r>
          </w:p>
        </w:tc>
        <w:tc>
          <w:tcPr>
            <w:tcW w:w="1418" w:type="dxa"/>
          </w:tcPr>
          <w:p w14:paraId="290889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47</w:t>
            </w:r>
          </w:p>
        </w:tc>
        <w:tc>
          <w:tcPr>
            <w:tcW w:w="1134" w:type="dxa"/>
          </w:tcPr>
          <w:p w14:paraId="47928E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r>
      <w:tr w:rsidR="00E3599D" w:rsidRPr="00E14102" w14:paraId="28D0737E" w14:textId="77777777">
        <w:tc>
          <w:tcPr>
            <w:tcW w:w="2016" w:type="dxa"/>
            <w:tcBorders>
              <w:bottom w:val="single" w:sz="12" w:space="0" w:color="auto"/>
            </w:tcBorders>
          </w:tcPr>
          <w:p w14:paraId="6C0C24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6030" w:type="dxa"/>
            <w:tcBorders>
              <w:bottom w:val="single" w:sz="12" w:space="0" w:color="auto"/>
            </w:tcBorders>
          </w:tcPr>
          <w:p w14:paraId="28D1EABD" w14:textId="77777777" w:rsidR="00D4105E" w:rsidRPr="00E14102" w:rsidRDefault="00D4105E" w:rsidP="00E14102">
            <w:pPr>
              <w:autoSpaceDE w:val="0"/>
              <w:autoSpaceDN w:val="0"/>
              <w:adjustRightInd w:val="0"/>
              <w:jc w:val="both"/>
              <w:rPr>
                <w:color w:val="000000" w:themeColor="text1"/>
                <w:sz w:val="16"/>
                <w:szCs w:val="16"/>
              </w:rPr>
            </w:pPr>
          </w:p>
        </w:tc>
        <w:tc>
          <w:tcPr>
            <w:tcW w:w="1418" w:type="dxa"/>
            <w:tcBorders>
              <w:bottom w:val="single" w:sz="12" w:space="0" w:color="auto"/>
            </w:tcBorders>
          </w:tcPr>
          <w:p w14:paraId="182720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263</w:t>
            </w:r>
          </w:p>
        </w:tc>
        <w:tc>
          <w:tcPr>
            <w:tcW w:w="1134" w:type="dxa"/>
            <w:tcBorders>
              <w:bottom w:val="single" w:sz="12" w:space="0" w:color="auto"/>
            </w:tcBorders>
          </w:tcPr>
          <w:p w14:paraId="301ECD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81</w:t>
            </w:r>
          </w:p>
        </w:tc>
      </w:tr>
    </w:tbl>
    <w:p w14:paraId="5FEB7E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Испытания закончены.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6"/>
        <w:gridCol w:w="6030"/>
        <w:gridCol w:w="1418"/>
        <w:gridCol w:w="1134"/>
      </w:tblGrid>
      <w:tr w:rsidR="00E3599D" w:rsidRPr="00E14102" w14:paraId="55A5D81F" w14:textId="77777777">
        <w:tc>
          <w:tcPr>
            <w:tcW w:w="2016" w:type="dxa"/>
            <w:tcBorders>
              <w:top w:val="single" w:sz="12" w:space="0" w:color="auto"/>
            </w:tcBorders>
          </w:tcPr>
          <w:p w14:paraId="686BF9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сентября 1935 г.</w:t>
            </w:r>
          </w:p>
        </w:tc>
        <w:tc>
          <w:tcPr>
            <w:tcW w:w="6030" w:type="dxa"/>
            <w:tcBorders>
              <w:top w:val="single" w:sz="12" w:space="0" w:color="auto"/>
            </w:tcBorders>
          </w:tcPr>
          <w:p w14:paraId="1147EA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пробу мотора.</w:t>
            </w:r>
          </w:p>
        </w:tc>
        <w:tc>
          <w:tcPr>
            <w:tcW w:w="1418" w:type="dxa"/>
            <w:tcBorders>
              <w:top w:val="single" w:sz="12" w:space="0" w:color="auto"/>
            </w:tcBorders>
          </w:tcPr>
          <w:p w14:paraId="0F047654" w14:textId="77777777" w:rsidR="00D4105E" w:rsidRPr="00E14102" w:rsidRDefault="00D4105E" w:rsidP="00E14102">
            <w:pPr>
              <w:autoSpaceDE w:val="0"/>
              <w:autoSpaceDN w:val="0"/>
              <w:adjustRightInd w:val="0"/>
              <w:jc w:val="both"/>
              <w:rPr>
                <w:color w:val="000000" w:themeColor="text1"/>
                <w:sz w:val="16"/>
                <w:szCs w:val="16"/>
              </w:rPr>
            </w:pPr>
          </w:p>
        </w:tc>
        <w:tc>
          <w:tcPr>
            <w:tcW w:w="1134" w:type="dxa"/>
            <w:tcBorders>
              <w:top w:val="single" w:sz="12" w:space="0" w:color="auto"/>
            </w:tcBorders>
          </w:tcPr>
          <w:p w14:paraId="393C34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r>
      <w:tr w:rsidR="00E3599D" w:rsidRPr="00E14102" w14:paraId="3A3428EB" w14:textId="77777777">
        <w:tc>
          <w:tcPr>
            <w:tcW w:w="2016" w:type="dxa"/>
          </w:tcPr>
          <w:p w14:paraId="566111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сентября 1935 г.</w:t>
            </w:r>
          </w:p>
        </w:tc>
        <w:tc>
          <w:tcPr>
            <w:tcW w:w="6030" w:type="dxa"/>
          </w:tcPr>
          <w:p w14:paraId="64F0E4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тарировку показателя скорости и перегонка на завод.</w:t>
            </w:r>
          </w:p>
        </w:tc>
        <w:tc>
          <w:tcPr>
            <w:tcW w:w="1418" w:type="dxa"/>
          </w:tcPr>
          <w:p w14:paraId="086F99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134" w:type="dxa"/>
          </w:tcPr>
          <w:p w14:paraId="3C5F971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398F924" w14:textId="77777777">
        <w:tc>
          <w:tcPr>
            <w:tcW w:w="2016" w:type="dxa"/>
            <w:tcBorders>
              <w:bottom w:val="single" w:sz="12" w:space="0" w:color="auto"/>
            </w:tcBorders>
          </w:tcPr>
          <w:p w14:paraId="7E1297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6030" w:type="dxa"/>
            <w:tcBorders>
              <w:bottom w:val="single" w:sz="12" w:space="0" w:color="auto"/>
            </w:tcBorders>
          </w:tcPr>
          <w:p w14:paraId="2A58C09E" w14:textId="77777777" w:rsidR="00D4105E" w:rsidRPr="00E14102" w:rsidRDefault="00D4105E" w:rsidP="00E14102">
            <w:pPr>
              <w:autoSpaceDE w:val="0"/>
              <w:autoSpaceDN w:val="0"/>
              <w:adjustRightInd w:val="0"/>
              <w:jc w:val="both"/>
              <w:rPr>
                <w:color w:val="000000" w:themeColor="text1"/>
                <w:sz w:val="16"/>
                <w:szCs w:val="16"/>
              </w:rPr>
            </w:pPr>
          </w:p>
        </w:tc>
        <w:tc>
          <w:tcPr>
            <w:tcW w:w="1418" w:type="dxa"/>
            <w:tcBorders>
              <w:bottom w:val="single" w:sz="12" w:space="0" w:color="auto"/>
            </w:tcBorders>
          </w:tcPr>
          <w:p w14:paraId="29E244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265</w:t>
            </w:r>
          </w:p>
        </w:tc>
        <w:tc>
          <w:tcPr>
            <w:tcW w:w="1134" w:type="dxa"/>
            <w:tcBorders>
              <w:bottom w:val="single" w:sz="12" w:space="0" w:color="auto"/>
            </w:tcBorders>
          </w:tcPr>
          <w:p w14:paraId="6860C6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81</w:t>
            </w:r>
          </w:p>
        </w:tc>
      </w:tr>
    </w:tbl>
    <w:p w14:paraId="7E9ABF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сентября самолет перегнан на завод для капитального ремонта.</w:t>
      </w:r>
    </w:p>
    <w:p w14:paraId="11B85B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ИП1 состоял на испытании с 4 по 29 августа.</w:t>
      </w:r>
    </w:p>
    <w:p w14:paraId="68A440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Летные испытания – 13 дней.</w:t>
      </w:r>
    </w:p>
    <w:p w14:paraId="004366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 испытания вооружения прерваны из-за несоответствия прочности оперения.</w:t>
      </w:r>
    </w:p>
    <w:p w14:paraId="34CF3D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летных испытаний было проведено:</w:t>
      </w:r>
    </w:p>
    <w:p w14:paraId="0D72721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определение посадочных скоростей – 17 полетов</w:t>
      </w:r>
    </w:p>
    <w:p w14:paraId="7A8F483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прицела – 20 полетов</w:t>
      </w:r>
    </w:p>
    <w:p w14:paraId="65D1ABA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винтомоторной группы – 7 полетов</w:t>
      </w:r>
    </w:p>
    <w:p w14:paraId="37B44CC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шасси – 344 полета</w:t>
      </w:r>
    </w:p>
    <w:p w14:paraId="1AF2B0A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подъемного механизма – 263 полета</w:t>
      </w:r>
    </w:p>
    <w:p w14:paraId="6B6FFD9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вооружения – 3 полета</w:t>
      </w:r>
    </w:p>
    <w:p w14:paraId="42614F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Живучесть самолета определялась в периоды зимних и летних испытаний, всего на самолете произведено 382 полета с 43 часов налета при испытании в НИИ ВВС и 64 полета с 21 часом налета при заводских испытаниях.</w:t>
      </w:r>
    </w:p>
    <w:p w14:paraId="2A223F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Общая работа самолета:</w:t>
      </w:r>
    </w:p>
    <w:p w14:paraId="7EDC78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444 полетов</w:t>
      </w:r>
    </w:p>
    <w:p w14:paraId="6AFC4A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64 часа работы мотора в воздухе</w:t>
      </w:r>
    </w:p>
    <w:p w14:paraId="6BD4CB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часов работы мотора на земле (3968).</w:t>
      </w:r>
    </w:p>
    <w:p w14:paraId="5D80C1DE" w14:textId="77777777" w:rsidR="00D4105E" w:rsidRPr="00E14102" w:rsidRDefault="00D4105E" w:rsidP="00E14102">
      <w:pPr>
        <w:autoSpaceDE w:val="0"/>
        <w:autoSpaceDN w:val="0"/>
        <w:adjustRightInd w:val="0"/>
        <w:jc w:val="both"/>
        <w:rPr>
          <w:color w:val="000000" w:themeColor="text1"/>
          <w:sz w:val="16"/>
          <w:szCs w:val="16"/>
        </w:rPr>
      </w:pPr>
    </w:p>
    <w:p w14:paraId="2F9A539E" w14:textId="77777777" w:rsidR="00A92C37" w:rsidRPr="00E14102" w:rsidRDefault="00A92C37" w:rsidP="00E14102">
      <w:pPr>
        <w:shd w:val="clear" w:color="auto" w:fill="FFFFFF"/>
        <w:jc w:val="both"/>
        <w:rPr>
          <w:color w:val="000000" w:themeColor="text1"/>
          <w:sz w:val="16"/>
          <w:szCs w:val="16"/>
        </w:rPr>
      </w:pPr>
      <w:r w:rsidRPr="00E14102">
        <w:rPr>
          <w:bCs/>
          <w:iCs/>
          <w:color w:val="000000" w:themeColor="text1"/>
          <w:sz w:val="16"/>
          <w:szCs w:val="16"/>
        </w:rPr>
        <w:t>28 августа 1935 г.</w:t>
      </w:r>
      <w:r w:rsidRPr="00E14102">
        <w:rPr>
          <w:color w:val="000000" w:themeColor="text1"/>
          <w:sz w:val="16"/>
          <w:szCs w:val="16"/>
        </w:rPr>
        <w:t xml:space="preserve"> Доклад начальника ВОХИМУ РККА Я.М.Фишмана наркому обороны о необходимости принятия на вооружение курящейся ядовито-дымной бомбы калибра 50 кг (КРАБ-50). Летние испытания проведены в 1934 г. на полигоне Шиханы бомбометанием с высот до 4000 метров, зимние — в 1935 г (17133).</w:t>
      </w:r>
    </w:p>
    <w:p w14:paraId="4E869270" w14:textId="77777777" w:rsidR="00A92C37" w:rsidRPr="00E14102" w:rsidRDefault="00A92C37" w:rsidP="00E14102">
      <w:pPr>
        <w:shd w:val="clear" w:color="auto" w:fill="FFFFFF"/>
        <w:jc w:val="both"/>
        <w:rPr>
          <w:color w:val="000000" w:themeColor="text1"/>
          <w:sz w:val="16"/>
          <w:szCs w:val="16"/>
        </w:rPr>
      </w:pPr>
    </w:p>
    <w:p w14:paraId="1BACBBD0" w14:textId="77777777" w:rsidR="00A92C37"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CADEE55" w14:textId="77777777" w:rsidR="00A92C37" w:rsidRPr="00E14102" w:rsidRDefault="00A92C37" w:rsidP="00E14102">
      <w:pPr>
        <w:autoSpaceDE w:val="0"/>
        <w:autoSpaceDN w:val="0"/>
        <w:adjustRightInd w:val="0"/>
        <w:jc w:val="both"/>
        <w:rPr>
          <w:iCs/>
          <w:color w:val="000000" w:themeColor="text1"/>
          <w:sz w:val="16"/>
          <w:szCs w:val="16"/>
        </w:rPr>
      </w:pPr>
    </w:p>
    <w:p w14:paraId="479D0F91" w14:textId="77777777" w:rsidR="00A92C37" w:rsidRPr="00E14102" w:rsidRDefault="00A92C37" w:rsidP="00E14102">
      <w:pPr>
        <w:pStyle w:val="rtejustify"/>
        <w:spacing w:before="0" w:after="0"/>
        <w:rPr>
          <w:color w:val="000000" w:themeColor="text1"/>
          <w:sz w:val="16"/>
          <w:szCs w:val="16"/>
        </w:rPr>
      </w:pPr>
      <w:r w:rsidRPr="00E14102">
        <w:rPr>
          <w:rStyle w:val="a6"/>
          <w:bCs/>
          <w:i w:val="0"/>
          <w:color w:val="000000" w:themeColor="text1"/>
          <w:sz w:val="16"/>
          <w:szCs w:val="16"/>
        </w:rPr>
        <w:lastRenderedPageBreak/>
        <w:t>28 августа 1935 вышел приказ НКО №</w:t>
      </w:r>
      <w:r w:rsidRPr="00E14102">
        <w:rPr>
          <w:color w:val="000000" w:themeColor="text1"/>
          <w:sz w:val="16"/>
          <w:szCs w:val="16"/>
        </w:rPr>
        <w:t> 0157. Об установлении контрольно-приемного аппарата для Управления обозно-вещевого снабжения и Управления продснабжения РККА (15247).</w:t>
      </w:r>
    </w:p>
    <w:p w14:paraId="6F6AFB99" w14:textId="77777777" w:rsidR="00A92C37" w:rsidRPr="00E14102" w:rsidRDefault="00A92C37" w:rsidP="00E14102">
      <w:pPr>
        <w:pStyle w:val="rtejustify"/>
        <w:spacing w:before="0" w:after="0"/>
        <w:rPr>
          <w:color w:val="000000" w:themeColor="text1"/>
          <w:sz w:val="16"/>
          <w:szCs w:val="16"/>
        </w:rPr>
      </w:pPr>
    </w:p>
    <w:p w14:paraId="7643192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72A22FA" w14:textId="77777777" w:rsidR="00D4105E" w:rsidRPr="00E14102" w:rsidRDefault="00D4105E" w:rsidP="00E14102">
      <w:pPr>
        <w:autoSpaceDE w:val="0"/>
        <w:autoSpaceDN w:val="0"/>
        <w:adjustRightInd w:val="0"/>
        <w:jc w:val="both"/>
        <w:rPr>
          <w:iCs/>
          <w:color w:val="000000" w:themeColor="text1"/>
          <w:sz w:val="16"/>
          <w:szCs w:val="16"/>
        </w:rPr>
      </w:pPr>
    </w:p>
    <w:p w14:paraId="768C90E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28 августа по 3 ноября 1935 г. десять машин пост</w:t>
      </w:r>
      <w:r w:rsidRPr="00E14102">
        <w:rPr>
          <w:color w:val="000000" w:themeColor="text1"/>
          <w:sz w:val="16"/>
          <w:szCs w:val="16"/>
        </w:rPr>
        <w:softHyphen/>
        <w:t>ройки завода № 39 проходили войсковые испытания в 107-й эскадрилье 402-й Брянской авиабригады. Было выполнено более 500 полетов (из них 100 - ночью), свыше 2000 фигур высшего пилотажа. В отчете о войсковых испытаниях строевые летчики давали такую оценку И-16: “Обладает отличными пилотажными качества</w:t>
      </w:r>
      <w:r w:rsidRPr="00E14102">
        <w:rPr>
          <w:color w:val="000000" w:themeColor="text1"/>
          <w:sz w:val="16"/>
          <w:szCs w:val="16"/>
        </w:rPr>
        <w:softHyphen/>
        <w:t>ми... Управление самолетом легкое, чувствительно реа</w:t>
      </w:r>
      <w:r w:rsidRPr="00E14102">
        <w:rPr>
          <w:color w:val="000000" w:themeColor="text1"/>
          <w:sz w:val="16"/>
          <w:szCs w:val="16"/>
        </w:rPr>
        <w:softHyphen/>
        <w:t>гирует на малейшее движение рулей,...малейших ошибок не прощает... Передирание ручки на вираже и посадке опасно сваливанием в штопор... Самолет што</w:t>
      </w:r>
      <w:r w:rsidRPr="00E14102">
        <w:rPr>
          <w:color w:val="000000" w:themeColor="text1"/>
          <w:sz w:val="16"/>
          <w:szCs w:val="16"/>
        </w:rPr>
        <w:softHyphen/>
        <w:t>порит хорошо на всех высотах,...в процессе штопора при ослабленной ноге заметна после каждого витка тен</w:t>
      </w:r>
      <w:r w:rsidRPr="00E14102">
        <w:rPr>
          <w:color w:val="000000" w:themeColor="text1"/>
          <w:sz w:val="16"/>
          <w:szCs w:val="16"/>
        </w:rPr>
        <w:softHyphen/>
        <w:t>денция самолета выйти из штопора... Правый штопор проводится до 12 витков без запаздывания при выводе. Штопор влево происходит энергичнее..., ввод и вывод как в правый, но полного добора ручки не желательно, так как в этот момент самолет поднимает нос между го</w:t>
      </w:r>
      <w:r w:rsidRPr="00E14102">
        <w:rPr>
          <w:color w:val="000000" w:themeColor="text1"/>
          <w:sz w:val="16"/>
          <w:szCs w:val="16"/>
        </w:rPr>
        <w:softHyphen/>
        <w:t>ризонтом и нормальным штопором, вращение проис</w:t>
      </w:r>
      <w:r w:rsidRPr="00E14102">
        <w:rPr>
          <w:color w:val="000000" w:themeColor="text1"/>
          <w:sz w:val="16"/>
          <w:szCs w:val="16"/>
        </w:rPr>
        <w:softHyphen/>
        <w:t>ходит плоское, а вывод с запаздыванием - после пяти витков два витка запаздывания”. Во время “воздушных боев” И-16 с И-7, Р-5, а также И-16 с И-16 отрабатывались рекомендации по тактичес</w:t>
      </w:r>
      <w:r w:rsidRPr="00E14102">
        <w:rPr>
          <w:color w:val="000000" w:themeColor="text1"/>
          <w:sz w:val="16"/>
          <w:szCs w:val="16"/>
        </w:rPr>
        <w:softHyphen/>
        <w:t>кому использованию истребителя. В 107-ю эскадрилью несколько раз приезжал и сам Н.Н.Поликарпов. Встречаясь со строевыми летчиками, он внимательно выслушивал их замечания по конст</w:t>
      </w:r>
      <w:r w:rsidRPr="00E14102">
        <w:rPr>
          <w:color w:val="000000" w:themeColor="text1"/>
          <w:sz w:val="16"/>
          <w:szCs w:val="16"/>
        </w:rPr>
        <w:softHyphen/>
        <w:t>рукции и характеристикам машины. Анализ этих бесед позволял оперативно изживать обнаруженные дефекты (10667).</w:t>
      </w:r>
    </w:p>
    <w:p w14:paraId="099F13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6BE065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30592E4" w14:textId="77777777" w:rsidR="00D4105E" w:rsidRPr="00E14102" w:rsidRDefault="00D4105E" w:rsidP="00E14102">
      <w:pPr>
        <w:autoSpaceDE w:val="0"/>
        <w:autoSpaceDN w:val="0"/>
        <w:adjustRightInd w:val="0"/>
        <w:jc w:val="both"/>
        <w:rPr>
          <w:iCs/>
          <w:color w:val="000000" w:themeColor="text1"/>
          <w:sz w:val="16"/>
          <w:szCs w:val="16"/>
        </w:rPr>
      </w:pPr>
    </w:p>
    <w:p w14:paraId="77E10E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августа 1935 года начальник управления ВС Алкснис писал письмо N Н6/003856 Ворошилову.</w:t>
      </w:r>
    </w:p>
    <w:p w14:paraId="0FF6C8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Докладываю Вам заключение по письму начальника ГУГВФ Ткачева от 22.VII.с.г.</w:t>
      </w:r>
    </w:p>
    <w:p w14:paraId="09657C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ГВФ самолетно-моторный парк действительно устарел и не отвечает современным требованиям не только в скорости и экономичности воздушного передвижения, но и недостаточно обеспечивает безопасность полетов.</w:t>
      </w:r>
    </w:p>
    <w:p w14:paraId="15607C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текущем году 1.XI должны выйти из постройки 3 новых опытных образца скоростных пассажирских самолетов, снабженных 2-мя моторами (К-14, Испано-Сюиза), а именно:</w:t>
      </w:r>
    </w:p>
    <w:p w14:paraId="319666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Сталь-7, строящийся в СНИИ ГУГВФ</w:t>
      </w:r>
    </w:p>
    <w:p w14:paraId="71E997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АНТ-35, строящийся в ЦАГИ</w:t>
      </w:r>
    </w:p>
    <w:p w14:paraId="2965E6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СБ-39, строящийся в ГАЗ"е N 39.</w:t>
      </w:r>
    </w:p>
    <w:p w14:paraId="454DCC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Наиболее реальной из этих машин является СБ-39, как гражданский вариант уже испытанного СБ. На этот самолет нужно сделать решительный упор, закончить его испытание в 1935 году и обеспечить серийный выпуск с 1936 года.</w:t>
      </w:r>
    </w:p>
    <w:p w14:paraId="54B15A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отношении земных баз и развитии воздушных линий необходимо: во чтобы то ни стало закончить в 1936 г. оборудование линии Москва-Владивосток и наряду с нею форсировать строительство линий Москва-Тифлис, Москва-Ташкент как важнейших магистралей, с расчетом закончить их световое оборудование, прокладку проволочной связи, установку радиомаяков, благоустройство летных полей - в 1936 году и все строительство - в 1937 году. (2484,51).</w:t>
      </w:r>
    </w:p>
    <w:p w14:paraId="32DFD71D" w14:textId="77777777" w:rsidR="00D4105E" w:rsidRPr="00E14102" w:rsidRDefault="00D4105E" w:rsidP="00E14102">
      <w:pPr>
        <w:autoSpaceDE w:val="0"/>
        <w:autoSpaceDN w:val="0"/>
        <w:adjustRightInd w:val="0"/>
        <w:jc w:val="both"/>
        <w:rPr>
          <w:color w:val="000000" w:themeColor="text1"/>
          <w:sz w:val="16"/>
          <w:szCs w:val="16"/>
        </w:rPr>
      </w:pPr>
    </w:p>
    <w:p w14:paraId="504C3E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августа 1935 закончились испытания СПЛ (92,501).</w:t>
      </w:r>
    </w:p>
    <w:p w14:paraId="17F9A7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были гос. испытания, которые шли с 14 июля 1935 в Севастополе. Летные качества были признаны хорошими, сборка и разборка - быстрыми, но обзор и мореходные качества - низкими (1076,901).</w:t>
      </w:r>
    </w:p>
    <w:p w14:paraId="5FA73571" w14:textId="77777777" w:rsidR="00D4105E" w:rsidRPr="00E14102" w:rsidRDefault="00D4105E" w:rsidP="00E14102">
      <w:pPr>
        <w:autoSpaceDE w:val="0"/>
        <w:autoSpaceDN w:val="0"/>
        <w:adjustRightInd w:val="0"/>
        <w:jc w:val="both"/>
        <w:rPr>
          <w:color w:val="000000" w:themeColor="text1"/>
          <w:sz w:val="16"/>
          <w:szCs w:val="16"/>
        </w:rPr>
      </w:pPr>
    </w:p>
    <w:p w14:paraId="2CBA25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29 августа 1935 г. на имя Начальника НИИ ВВС РККА комбрига Н.Н.Бажанова поступило пись</w:t>
      </w:r>
      <w:r w:rsidRPr="00E14102">
        <w:rPr>
          <w:color w:val="000000" w:themeColor="text1"/>
          <w:sz w:val="16"/>
          <w:szCs w:val="16"/>
        </w:rPr>
        <w:softHyphen/>
        <w:t>мо начальника УВС РККА командарма 2 ранга Я.И.Алксниса следующе</w:t>
      </w:r>
      <w:r w:rsidRPr="00E14102">
        <w:rPr>
          <w:color w:val="000000" w:themeColor="text1"/>
          <w:sz w:val="16"/>
          <w:szCs w:val="16"/>
        </w:rPr>
        <w:softHyphen/>
        <w:t>го содержания: «Мое указание о производстве Вашим опытным заводом агрегатов для стрельбы ракетными снарядами находится под угрозой не</w:t>
      </w:r>
      <w:r w:rsidRPr="00E14102">
        <w:rPr>
          <w:color w:val="000000" w:themeColor="text1"/>
          <w:sz w:val="16"/>
          <w:szCs w:val="16"/>
        </w:rPr>
        <w:softHyphen/>
        <w:t>выполнения. Несвоевременное производство агрегатов задержит испы</w:t>
      </w:r>
      <w:r w:rsidRPr="00E14102">
        <w:rPr>
          <w:color w:val="000000" w:themeColor="text1"/>
          <w:sz w:val="16"/>
          <w:szCs w:val="16"/>
        </w:rPr>
        <w:softHyphen/>
        <w:t>тания, которые должны начаться в начале сентября. Возьмите под свое личное наблюдение выполнение этого заказа и обеспечьте своевремен</w:t>
      </w:r>
      <w:r w:rsidRPr="00E14102">
        <w:rPr>
          <w:color w:val="000000" w:themeColor="text1"/>
          <w:sz w:val="16"/>
          <w:szCs w:val="16"/>
        </w:rPr>
        <w:softHyphen/>
        <w:t>ное его выполнение» (11402).</w:t>
      </w:r>
    </w:p>
    <w:p w14:paraId="7C3652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AFB08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августа 1935 сделали первый выстрел в полете с пушечного ТБ-3 - "объект Г-52".. Сделали девять выстрелов по цели на земле (щиту), но ни разу не попали. Стреляли с высоты 600 м с дистанции около 2 км, с пологого пикирования. Впечатление о выстреле: "...самолет испытывает легкое содрогание".</w:t>
      </w:r>
    </w:p>
    <w:p w14:paraId="1B9037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носовой части его фюзеляжа разместили 76-мм зенитное орудие обр. 1931 г. (в доработанном виде - Г-52/л), а в консолях - по одной полковой пушке обр. 1927 г. (Г-52/к). В крыле пушки крепили к лонжеронам. Крыло дополнительно усилили трубчатыми тягами и дюралевыми профилями. Орудия заряжались вручную. Толщина крыла позволяла артиллеристам находиться у пушек. Только работать им приходилось сидя с вытянутыми ногами, спиной к носку крыла. Снаряды лежали на стойках, прикрепленных к верхним и нижним стрингерам крыла. На каждую пушку имелось 12 снарядов.</w:t>
      </w:r>
    </w:p>
    <w:p w14:paraId="06A7E6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размещения центральной пушки кабину штурмана перенесли в фюзеляж, к первой задней турели, а нос самолета укоротили и полностью лишили остекления. Ствол проходил по коридору между сиденьями пилотов и торчал на 250 мм наружу. Во время отката дульный срез уходил назад до 4-го шпангоута. Артиллерист располагался в центроплане. Там ему было весьма просторно. Боезапас у центральной пушки был больше, чем у крыльевых - 20 снарядов.</w:t>
      </w:r>
    </w:p>
    <w:p w14:paraId="724C9E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сохранял бомбовые кассеты в фюзеляже и мог взять 1000 кг бомб.</w:t>
      </w:r>
    </w:p>
    <w:p w14:paraId="007248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Предполагалось, что группы "летающих батарей" будут идти впереди основного соединения бомбардировщиков и расчищать им дорогу. Залп трех пушек поражал осколками 10000 куб.м - примерно такое пространство занимало звено тогдашних истребителей. Перед ними ставилась также задача уничтожения аэростатов заграждения, либо непосредственно осколочными снарядами, либо перебивая их тросы шрапнелью Гарфа (части которой скреплялись тросиками).</w:t>
      </w:r>
    </w:p>
    <w:p w14:paraId="3B4A6A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"Летающие батареи" могли использоваться и в обороне. Имея большую дальность стрельбы, они могли стрелять по бомбардировщикам противника из-за пределов эффективного поражения их вооружением. В первую очередь, они могли расстроить боевое построение, после чего вдело вступали обычные истребители или машины, стартовавшие с других ТБ-3 - "летающих авианосцев".</w:t>
      </w:r>
    </w:p>
    <w:p w14:paraId="30DE29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Г-52 мог работать и против наземных целей. Стреляя сверху вниз, он получал преимущества в дальности полета снаряда. Центральная пушка могла поразить цель за 18 км от самолета, не входя в зону стрельбы зенитной артиллерии, обороняющей объект. Конструкторы считали, что целями могут являться аэродромы, корабли, мосты, железнодорожные узлы, нефтепромыслы, города.</w:t>
      </w:r>
    </w:p>
    <w:p w14:paraId="55F3AA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Сначала стреляли на земле. Из экипажа на борту находился только стрелявший, но ко всем креслам привязали по собаке. Опять боялись, что отдача если не разрушит конструкцию, то будет болезненной для людей - ведь новая центральная пушка была гораздо мощнее полковой. Но все прошло нормально. В отчете записали: "Состояние собак - нормальное". И с седьмого выстрела на борту находился полный экипаж - девять человек.</w:t>
      </w:r>
    </w:p>
    <w:p w14:paraId="7FE57E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Наводка могла осуществляться только разворотом всего самолета, поскольку пушки закрепили неподвижно. Стреляли залпом, а сигналом служило загорание на командном щитке красной лампочки. Неприятным сюрпризом оказался разворот самолета за счет несинхронной стрельбы пушек в крыле: один дернул за шнур чуть раньше, другой - чуть позже. И збавиться от этого при подобной схеме управления огнем было невозможно.</w:t>
      </w:r>
    </w:p>
    <w:p w14:paraId="223BDE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 Г-52 проходил государственные испытания в НИИ ВВС. Там сделали 62 выстрела. Деформаций планера не обнаружили. Общий вывод испытателей гласил: "Проведенные стрельбы на земле и в воздухе показали принципиальную возможность стрельбы из откатных 76-мм пушек (обр. 27 и 31 г.), установленных на самолете ТБ-3, что является первым опытом как у нас в СССР, так и по имеющимся материалам - за границей". В числе недостатков указали на низкую скорострельность (4-5 выстрелов в минуту, при удвоении расчетов - 8-10), невозможность регулировки установки орудий, малый боезапас (Гроховский предлагал сделать "погреба" в бомбоотсеке), несинхронность стрельбы, разные баллистические характеристики пушек (снаряды летели по разным траекториям, и при увеличении дальности стрельбы разброс попаданий значительно увеличивался), отсутствие гильзоулавливателя у зенитной пушки.</w:t>
      </w:r>
    </w:p>
    <w:p w14:paraId="6DD36C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Теоретики из Военно-воздушной академии уже разрабатывали сценарии возможных боевых операций с применением "летающих батарей". Начальник инженерно-командного факультета писал: "Установка пушки 76 мм калибра с нормальной начальной скоростью открывает новую эру в области вооружения самолетов". Г-52 собирались применять для поддержки воздушных десантов и использовать в качестве подвижных зенитных батарей...В дальнейшем предлагалось сделать пушечные установки подвижными, снабдить артиллеристов дальномерами и полуавтоматическими прицелами, сконструировать прибор для автоматической установки дистанционных трубок. Замахиваясь еще дальше, фантазировали об эскадрах "летающих батарей" с единой системой управления огнем, где флагман бы мог сосредотачивать всю мощь артиллерии соединения на выбранных им целях, непосредственно управляя их орудиями по радио (12036).</w:t>
      </w:r>
    </w:p>
    <w:p w14:paraId="62FE0291" w14:textId="77777777" w:rsidR="00D4105E" w:rsidRPr="00E14102" w:rsidRDefault="00D4105E" w:rsidP="00E14102">
      <w:pPr>
        <w:autoSpaceDE w:val="0"/>
        <w:autoSpaceDN w:val="0"/>
        <w:adjustRightInd w:val="0"/>
        <w:jc w:val="both"/>
        <w:rPr>
          <w:color w:val="000000" w:themeColor="text1"/>
          <w:sz w:val="16"/>
          <w:szCs w:val="16"/>
        </w:rPr>
      </w:pPr>
    </w:p>
    <w:p w14:paraId="45B5521D" w14:textId="77777777" w:rsidR="00647F1E" w:rsidRPr="00E14102" w:rsidRDefault="00647F1E" w:rsidP="00E14102">
      <w:pPr>
        <w:jc w:val="both"/>
        <w:rPr>
          <w:color w:val="000000" w:themeColor="text1"/>
          <w:sz w:val="16"/>
          <w:szCs w:val="16"/>
        </w:rPr>
      </w:pPr>
      <w:r w:rsidRPr="00E14102">
        <w:rPr>
          <w:color w:val="000000" w:themeColor="text1"/>
          <w:sz w:val="16"/>
          <w:szCs w:val="16"/>
        </w:rPr>
        <w:t>29 августа 1935 произвели первый выстрел с Г-52 в полете на полигоне под Ногинском.</w:t>
      </w:r>
    </w:p>
    <w:p w14:paraId="581BE96B" w14:textId="77777777" w:rsidR="00647F1E" w:rsidRPr="00E14102" w:rsidRDefault="00647F1E" w:rsidP="00E14102">
      <w:pPr>
        <w:jc w:val="both"/>
        <w:rPr>
          <w:color w:val="000000" w:themeColor="text1"/>
          <w:sz w:val="16"/>
          <w:szCs w:val="16"/>
        </w:rPr>
      </w:pPr>
      <w:r w:rsidRPr="00E14102">
        <w:rPr>
          <w:color w:val="000000" w:themeColor="text1"/>
          <w:sz w:val="16"/>
          <w:szCs w:val="16"/>
        </w:rPr>
        <w:t>Сначала опять стреляли на земле. Пушек стало три, из них одна мощная зенитная, так что воздействие на планер самолета резко возросло. Из экипажа на борту находился только стрелявший, но ко всем креслам вновь привязали по собаке. Боялись, что отдача если не разрушит конструкцию, то будет болезненной для людей. Но все прошло нормально. В отчете записали: «Состояние собак - нормальное». И с седьмого выстрела на борту находился полный экипаж - девять человек.</w:t>
      </w:r>
    </w:p>
    <w:p w14:paraId="41D68144" w14:textId="77777777" w:rsidR="00647F1E" w:rsidRPr="00E14102" w:rsidRDefault="00647F1E" w:rsidP="00E14102">
      <w:pPr>
        <w:jc w:val="both"/>
        <w:rPr>
          <w:color w:val="000000" w:themeColor="text1"/>
          <w:sz w:val="16"/>
          <w:szCs w:val="16"/>
        </w:rPr>
      </w:pPr>
      <w:r w:rsidRPr="00E14102">
        <w:rPr>
          <w:color w:val="000000" w:themeColor="text1"/>
          <w:sz w:val="16"/>
          <w:szCs w:val="16"/>
        </w:rPr>
        <w:lastRenderedPageBreak/>
        <w:t>Всего в этот день сделали девять выстрелов по цели на земле (щиту), но ни разу не попали. Стреляли с высоты 600 м с дистанции около 2 км, с пологого пикирования. Впечатление о выстреле:«... самолет испытывает легкое содрогание».</w:t>
      </w:r>
    </w:p>
    <w:p w14:paraId="5D29EDE9" w14:textId="77777777" w:rsidR="00647F1E" w:rsidRPr="00E14102" w:rsidRDefault="00647F1E" w:rsidP="00E14102">
      <w:pPr>
        <w:jc w:val="both"/>
        <w:rPr>
          <w:color w:val="000000" w:themeColor="text1"/>
          <w:sz w:val="16"/>
          <w:szCs w:val="16"/>
        </w:rPr>
      </w:pPr>
      <w:r w:rsidRPr="00E14102">
        <w:rPr>
          <w:color w:val="000000" w:themeColor="text1"/>
          <w:sz w:val="16"/>
          <w:szCs w:val="16"/>
        </w:rPr>
        <w:t>Наводка могла осуществляться только разворотом всего самолета, поскольку пушки закрепили непод</w:t>
      </w:r>
      <w:r w:rsidRPr="00E14102">
        <w:rPr>
          <w:color w:val="000000" w:themeColor="text1"/>
          <w:sz w:val="16"/>
          <w:szCs w:val="16"/>
        </w:rPr>
        <w:softHyphen/>
        <w:t>вижно. Но ТБ-3 - не истре</w:t>
      </w:r>
      <w:r w:rsidRPr="00E14102">
        <w:rPr>
          <w:color w:val="000000" w:themeColor="text1"/>
          <w:sz w:val="16"/>
          <w:szCs w:val="16"/>
        </w:rPr>
        <w:softHyphen/>
        <w:t>битель, а машина довольно инертная. Устойчивость на курсе - это хорошо, цель не уйдет из прицела. Но и прицелиться такой махиной нелегко, поскольку реакция на работу рулей медленная.</w:t>
      </w:r>
    </w:p>
    <w:p w14:paraId="2C98E62D" w14:textId="77777777" w:rsidR="00647F1E" w:rsidRPr="00E14102" w:rsidRDefault="00647F1E" w:rsidP="00E14102">
      <w:pPr>
        <w:jc w:val="both"/>
        <w:rPr>
          <w:color w:val="000000" w:themeColor="text1"/>
          <w:sz w:val="16"/>
          <w:szCs w:val="16"/>
        </w:rPr>
      </w:pPr>
      <w:r w:rsidRPr="00E14102">
        <w:rPr>
          <w:color w:val="000000" w:themeColor="text1"/>
          <w:sz w:val="16"/>
          <w:szCs w:val="16"/>
        </w:rPr>
        <w:t>Стреляли пушки, как обычная артиллерийская батарея на земле, залпом по команде. Сигналом служило загорание на командном щитке красной лампочки. Только вот земной шар куда увесистее ТБ-3. Неприятным сюрпризом оказался разворот самолета за счет несинхронной стрельбы пушек в крыле - один артиллерист дернул за шнур чуть раньше, другой - чуть позже. Избавиться от этого при подобной схеме управления огнем было невозможно (12613).</w:t>
      </w:r>
    </w:p>
    <w:p w14:paraId="00C320B9" w14:textId="77777777" w:rsidR="00647F1E" w:rsidRPr="00E14102" w:rsidRDefault="00647F1E" w:rsidP="00E14102">
      <w:pPr>
        <w:jc w:val="both"/>
        <w:rPr>
          <w:color w:val="000000" w:themeColor="text1"/>
          <w:sz w:val="16"/>
          <w:szCs w:val="16"/>
        </w:rPr>
      </w:pPr>
    </w:p>
    <w:p w14:paraId="58CAFA8D" w14:textId="77777777" w:rsidR="00A92C37" w:rsidRPr="00E14102" w:rsidRDefault="00A92C37" w:rsidP="00E14102">
      <w:pPr>
        <w:pStyle w:val="rtejustify"/>
        <w:spacing w:before="0" w:after="0"/>
        <w:rPr>
          <w:color w:val="000000" w:themeColor="text1"/>
          <w:sz w:val="16"/>
          <w:szCs w:val="16"/>
        </w:rPr>
      </w:pPr>
      <w:r w:rsidRPr="00E14102">
        <w:rPr>
          <w:rStyle w:val="a6"/>
          <w:bCs/>
          <w:i w:val="0"/>
          <w:color w:val="000000" w:themeColor="text1"/>
          <w:sz w:val="16"/>
          <w:szCs w:val="16"/>
        </w:rPr>
        <w:t>29 августа 1935 вышел приказ НКО №</w:t>
      </w:r>
      <w:r w:rsidRPr="00E14102">
        <w:rPr>
          <w:color w:val="000000" w:themeColor="text1"/>
          <w:sz w:val="16"/>
          <w:szCs w:val="16"/>
        </w:rPr>
        <w:t> 0158. Об отводе в помещении Школы ПВО двух комнат для НТВ тт. Фефера и Лаврова и двух комнат для КБ № 7 т. Корнеева (15247).</w:t>
      </w:r>
    </w:p>
    <w:p w14:paraId="7DFAC68A" w14:textId="77777777" w:rsidR="00A92C37" w:rsidRPr="00E14102" w:rsidRDefault="00A92C37" w:rsidP="00E14102">
      <w:pPr>
        <w:pStyle w:val="rtejustify"/>
        <w:spacing w:before="0" w:after="0"/>
        <w:rPr>
          <w:color w:val="000000" w:themeColor="text1"/>
          <w:sz w:val="16"/>
          <w:szCs w:val="16"/>
        </w:rPr>
      </w:pPr>
    </w:p>
    <w:p w14:paraId="189FA73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FDE2E2A" w14:textId="77777777" w:rsidR="00D4105E" w:rsidRPr="00E14102" w:rsidRDefault="00D4105E" w:rsidP="00E14102">
      <w:pPr>
        <w:autoSpaceDE w:val="0"/>
        <w:autoSpaceDN w:val="0"/>
        <w:adjustRightInd w:val="0"/>
        <w:jc w:val="both"/>
        <w:rPr>
          <w:iCs/>
          <w:color w:val="000000" w:themeColor="text1"/>
          <w:sz w:val="16"/>
          <w:szCs w:val="16"/>
        </w:rPr>
      </w:pPr>
    </w:p>
    <w:p w14:paraId="499DC48B" w14:textId="77777777" w:rsidR="00A92C37" w:rsidRPr="00E14102" w:rsidRDefault="00A92C37" w:rsidP="00E14102">
      <w:pPr>
        <w:jc w:val="both"/>
        <w:rPr>
          <w:color w:val="000000" w:themeColor="text1"/>
          <w:sz w:val="16"/>
          <w:szCs w:val="16"/>
        </w:rPr>
      </w:pPr>
      <w:r w:rsidRPr="00E14102">
        <w:rPr>
          <w:bCs/>
          <w:color w:val="000000" w:themeColor="text1"/>
          <w:sz w:val="16"/>
          <w:szCs w:val="16"/>
        </w:rPr>
        <w:t>29 августа 1935 года</w:t>
      </w:r>
      <w:r w:rsidRPr="00E14102">
        <w:rPr>
          <w:color w:val="000000" w:themeColor="text1"/>
          <w:sz w:val="16"/>
          <w:szCs w:val="16"/>
        </w:rPr>
        <w:t xml:space="preserve"> Французский средний бомбардировщик Bloch MB.211 о впервые поднялся в воздух в Виллакублэ, а в середине сентября прибыл в СЕМА. Эта модификация так и не была запущена в серийное производство (14753).</w:t>
      </w:r>
    </w:p>
    <w:p w14:paraId="4489E6AE" w14:textId="77777777" w:rsidR="00A92C37" w:rsidRPr="00E14102" w:rsidRDefault="00A92C37" w:rsidP="00E14102">
      <w:pPr>
        <w:jc w:val="both"/>
        <w:rPr>
          <w:color w:val="000000" w:themeColor="text1"/>
          <w:sz w:val="16"/>
          <w:szCs w:val="16"/>
        </w:rPr>
      </w:pPr>
    </w:p>
    <w:p w14:paraId="7963876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 августа 1935 в Швейцарии в автокатастрофе погибла 30-летняя королева Бельгии Астрид (4962).</w:t>
      </w:r>
    </w:p>
    <w:p w14:paraId="7A4EBE0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9DE031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52A5C42" w14:textId="77777777" w:rsidR="00D4105E" w:rsidRPr="00E14102" w:rsidRDefault="00D4105E" w:rsidP="00E14102">
      <w:pPr>
        <w:autoSpaceDE w:val="0"/>
        <w:autoSpaceDN w:val="0"/>
        <w:adjustRightInd w:val="0"/>
        <w:jc w:val="both"/>
        <w:rPr>
          <w:iCs/>
          <w:color w:val="000000" w:themeColor="text1"/>
          <w:sz w:val="16"/>
          <w:szCs w:val="16"/>
        </w:rPr>
      </w:pPr>
    </w:p>
    <w:p w14:paraId="152218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августа 1935 на ДБА 4М-34РН в ходе заводских испытаний в Щелково летали 1 раз 1:00 на прочность с замером напряжений в стержнях и это был 9-й полет машины (249).</w:t>
      </w:r>
    </w:p>
    <w:p w14:paraId="582445B2" w14:textId="77777777" w:rsidR="00D4105E" w:rsidRPr="00E14102" w:rsidRDefault="00D4105E" w:rsidP="00E14102">
      <w:pPr>
        <w:autoSpaceDE w:val="0"/>
        <w:autoSpaceDN w:val="0"/>
        <w:adjustRightInd w:val="0"/>
        <w:jc w:val="both"/>
        <w:rPr>
          <w:color w:val="000000" w:themeColor="text1"/>
          <w:sz w:val="16"/>
          <w:szCs w:val="16"/>
        </w:rPr>
      </w:pPr>
    </w:p>
    <w:p w14:paraId="02929D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 августа 1935 г. Ш-2 Н64 (заводской №31218) отбуксировали катером к стоящему на рейде «Ермаку», на котором самолет размес</w:t>
      </w:r>
      <w:r w:rsidRPr="00E14102">
        <w:rPr>
          <w:color w:val="000000" w:themeColor="text1"/>
          <w:sz w:val="16"/>
          <w:szCs w:val="16"/>
        </w:rPr>
        <w:softHyphen/>
        <w:t>тили со сложенными крыльями на специальном деревян</w:t>
      </w:r>
      <w:r w:rsidRPr="00E14102">
        <w:rPr>
          <w:color w:val="000000" w:themeColor="text1"/>
          <w:sz w:val="16"/>
          <w:szCs w:val="16"/>
        </w:rPr>
        <w:softHyphen/>
        <w:t>ном настиле. Экипаж корабельного звена - летчик М.И.Козлов и механик Г.В.Косухин - догнали «Ермак» в Мурманске. Здесь выяснилось, что на ледоколе для поле</w:t>
      </w:r>
      <w:r w:rsidRPr="00E14102">
        <w:rPr>
          <w:color w:val="000000" w:themeColor="text1"/>
          <w:sz w:val="16"/>
          <w:szCs w:val="16"/>
        </w:rPr>
        <w:softHyphen/>
        <w:t>тов самолетов запаслись бакинским бензином, тогда как для двигателя М-11 требовался грозненский бензин. Но что поделаешь, летать пришлось на том, что есть (11107).</w:t>
      </w:r>
    </w:p>
    <w:p w14:paraId="4DB3D7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74E3F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августа 1935 года состоялся первый взлет самолета-матки ТБ-3 с подвешенной под правое крыло план-торпедой состоялся. Для полномасштабных летных испытаний ПТ в качестве самолета-матки подготовили два самолета - ТБ-3/М-17, под каждым крылом которых смонтировали специальные держатели. Испытания проводились под Новгородом на аэродроме Кречевицы. На расположенном рядом озере проходили буксировочные испытания торпеды на воде с полетом на небольшой высоте на буксире за самолетом Р-6. При пробежке на буксире планер показал хорошую мореходность на волне и управляемость, что дало возможность держаться не в струе самолета, а в стороне. Планер на скорости 95 - 100 км/ч был два раза оторван от воды. На третьем отрыве произвел отцепление от самолета и совершил нормальную посадку. Опытные образцы ПТ имели кабину для пилота, который вел наблюдения за автоматикой в ходе испытаний. В дальнейшем, отработав телемеханическую систему наведения, намечалось делать только беспилотные ПТ. Но в некоторых документах встречается и упоминание о "человеко-торпеде". Этот вариант предназначался для визуального наведения на крупную цель (линейный корабль или береговая база). После сброса боевого заряда пилот должен был увести планер в сторону на 4-6 миль, посадить на воду, сбросить крылья, и планер превращался в своеобразный катер. Используя имевшийся на его борту подвесной мотор, пилот мог уйти от пораженной цели. Можно предположить, что такие пилоты могли стать и смертниками (3861).</w:t>
      </w:r>
    </w:p>
    <w:p w14:paraId="5FDF708C" w14:textId="77777777" w:rsidR="00D4105E" w:rsidRPr="00E14102" w:rsidRDefault="00D4105E" w:rsidP="00E14102">
      <w:pPr>
        <w:autoSpaceDE w:val="0"/>
        <w:autoSpaceDN w:val="0"/>
        <w:adjustRightInd w:val="0"/>
        <w:jc w:val="both"/>
        <w:rPr>
          <w:color w:val="000000" w:themeColor="text1"/>
          <w:sz w:val="16"/>
          <w:szCs w:val="16"/>
        </w:rPr>
      </w:pPr>
    </w:p>
    <w:p w14:paraId="19ED83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августа 1935 года были выполнены первые опытные взлет и полет самолета-матки ТБ-3 с подвешенной под правое крыло торпедой с учебными бомбами. Начало 1936 года ушло на подготовку строящихся ПТ к испытаниям, которые начались летом. на ТБ-3 была оборудована специальная поворотная рама, на которой устанавливались три ИК-прожектора. Эта система получила обозначение "Квант". Комиссия ЦАГИ, в работе которой также принимали участие специалисты института телемеханики и связи, рассмотрела влияние системы на самолет-носитель. На основе испытаний в аэродинамической трубе был сделан следующий вывод: при установке системы "Квант" на самолет его скорость снижается на 4-5%. Поэтому ее признано целесообразным использовать только в экспериментальных полетах. Еще во время испытаний экспериментального образца ПТ заводу N23 было выдано техническое задание на строительство боевого образца торпеды (10223).</w:t>
      </w:r>
    </w:p>
    <w:p w14:paraId="47CF1B49" w14:textId="77777777" w:rsidR="00D4105E" w:rsidRPr="00E14102" w:rsidRDefault="00D4105E" w:rsidP="00E14102">
      <w:pPr>
        <w:autoSpaceDE w:val="0"/>
        <w:autoSpaceDN w:val="0"/>
        <w:adjustRightInd w:val="0"/>
        <w:jc w:val="both"/>
        <w:rPr>
          <w:color w:val="000000" w:themeColor="text1"/>
          <w:sz w:val="16"/>
          <w:szCs w:val="16"/>
        </w:rPr>
      </w:pPr>
    </w:p>
    <w:p w14:paraId="6F569E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августа 1935 года были выполнены первые опытные взлет и полет самолета-матки ТБ-3 с подвешенной под правое крыло торпедой с учебными бомбами были выполнены. Начало 1936 года ушло на подготовку строящихся ПТ к испытаниям, которые начались летом. 24 июля 1936 года планер ФЗ с измененным углом стабилизатора без редана был подвешен к жесткой опускающейся системе самолета-матки ТБ-3, произведены взлет и полет на высоте 2000 м. Отцепка не осуществлялась, посадка самолета-носителя с ПТ нормальная. Следует отметить, что на этапе опытных образцов ПТ имели кабину для пилота, который вел наблюдения за автоматикой в ходе испытаний. Он не вмешивался в действия автопилота и других механизмов, если в том не было необходимости. В дальнейшем, отработав телемеханическую систему наведения, намечалось делать беспилотные ПТ. Любопытно, что в некоторых документах встречается название "человеко-торпеда", активно употреблявшееся в 1936 году. Предназначался этот вариант ПТ для визуального наведения на крупную цель (линейный корабль или береговая база). После сброса боевого заряда пилот должен был уводить планер в сторону на 4-6 миль и сажать на воду, затем крылья отстегивались, и планер превращался в своеобразный катер. Используя имевшийся на борту подвесной мотор, пилот уходил от пораженной цели. Учитывая культивировавшийся в те годы дух самопожертвования, можно предположить, что такие пилоты могли стать смертниками. Хроника испытаний ПТ такова: 28 июля 1936 года осуществлен полет планера. К его днищу была подвешена болванка массой 250 кг (массовая копия бомбы ФАБ-250). Произведены взлет, полет, отцепление и посадка на озеро Ильмень. 1 августа 1936 года выполнен полет планера с грузом 550 кг (фугасной бомбой без стабилизатора). Планирование после отцепки от носителя при скорости 185-190 км/ч устойчивое. Произведен сброс груза с пикирования под углом 70-75°, скорость по прибору 320 км/ч, посадка на озеро Ильмень. 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w:t>
      </w:r>
    </w:p>
    <w:p w14:paraId="690F67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(12040).</w:t>
      </w:r>
    </w:p>
    <w:p w14:paraId="0EF0D675" w14:textId="77777777" w:rsidR="00D4105E" w:rsidRPr="00E14102" w:rsidRDefault="00D4105E" w:rsidP="00E14102">
      <w:pPr>
        <w:autoSpaceDE w:val="0"/>
        <w:autoSpaceDN w:val="0"/>
        <w:adjustRightInd w:val="0"/>
        <w:jc w:val="both"/>
        <w:rPr>
          <w:color w:val="000000" w:themeColor="text1"/>
          <w:sz w:val="16"/>
          <w:szCs w:val="16"/>
        </w:rPr>
      </w:pPr>
    </w:p>
    <w:p w14:paraId="4860089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7366AA4" w14:textId="77777777" w:rsidR="00D4105E" w:rsidRPr="00E14102" w:rsidRDefault="00D4105E" w:rsidP="00E14102">
      <w:pPr>
        <w:autoSpaceDE w:val="0"/>
        <w:autoSpaceDN w:val="0"/>
        <w:adjustRightInd w:val="0"/>
        <w:jc w:val="both"/>
        <w:rPr>
          <w:iCs/>
          <w:color w:val="000000" w:themeColor="text1"/>
          <w:sz w:val="16"/>
          <w:szCs w:val="16"/>
        </w:rPr>
      </w:pPr>
    </w:p>
    <w:p w14:paraId="6DA5CA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ночь с 30 на 31 августа 1935 на шахте Донбасса был организован рекорд добычи угля группой во главе с А.Стахановым, которая вырубила за смену 102 т или 1300% к норме. Тем самым началось стахановское движение (4962).</w:t>
      </w:r>
    </w:p>
    <w:p w14:paraId="0C5B4D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Была в Донбассе шахта «Центральная-Ирмино» — шахта как шахта, рядовая, средняя по мощности, «длительное время она находилась в прорыве» — т.е. регулярно проваливала планы, стояла перед проблемой текучки рабсилы и т.п. И был ейный парторг Константин Петров, который за эту обычность рисковал поплатиться не токмо местом своим должностным, но и головою. И вот на очередном заседании парткома им было предложено начать соревнование забойщиков с целью поднятия производительности труда — оное соревнование должно было стать предлогом для рекорда, который затем предполагалось раскрутить на всю страну. Нашли и «рекордиста» — Алексея Стаханова, молодого рабочего, находившегося, как и все, в весьма стеснённом материальном положении. За перевыполнение норм полагалась премия, а заработать забойщик был совсем не прочь (и даже специально заходил накануне в контору узнать размер причитающегося заработка). Вечером и ночью 30-31.08.1935 и прошла та знаменитая смена: «Он действительно вырубил 102 тонны. Но во время его рекордной смены всем остальным забойщикам отключили сжатый воздух, чтобы в отбойном молотке Стаханова давление не падало. Далее. Вырубленный уголь надо было откатывать из забоя. Поэтому вагонеткам Стаханова — «зеленую улицу». А остальные бригады подождут. Рабочий ритм шахты в ту смену был полностью нарушен. А главное было в другом. В статистике. Забойщик работает в бригаде. Вырубленный уголь надо отгребать, грузить в вагонетки, откатывать, таскать бревна и крепить забой. Если вырубленный забойщиком уголь разделить на всех, кто ему помогает и обеспечивает его работу, то и получится 7 тонн на брата. А во время рекордной смены Стаханова применили другую, </w:t>
      </w:r>
      <w:r w:rsidRPr="00E14102">
        <w:rPr>
          <w:color w:val="000000" w:themeColor="text1"/>
          <w:sz w:val="16"/>
          <w:szCs w:val="16"/>
        </w:rPr>
        <w:lastRenderedPageBreak/>
        <w:t>более прогрессивную методику расчета. Все, что он вырубил, ему и записали, а всех, кто отгребал, грузил и откатывал уголь, тех, кто крепил забой вслед за Стахановым (такие же, как и он, забойщики!) провели по другой графе. На всех помогающих и обеспечивающих добытые тонны не делили. Вот и получился всесоюзный рекорд».</w:t>
      </w:r>
    </w:p>
    <w:p w14:paraId="25A76E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Подготовленность рекорда как будто и не особо скрывалась: «Воскресным утром 31 августа нарядная шахта была переполнена. Петров зачитал специальное постановление пленума шахтпарткома. Пленум постановил: занести имя героя на доску почёта и выдать премию в размере месячного оклада, предоставить ему квартиру с телефоном, оборудовать её за счет шахты, выделить семейную путевку на курорт, закрепить в клубе два места с бесплатным посещением киносеансов и спектаклей. А ещё Стаханову прикрепили в личное пользование выездную лошадь…».</w:t>
      </w:r>
    </w:p>
    <w:p w14:paraId="234C8D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Сообщение о событии в «Правде» попалось на глаза наркому тяжпрома Серго Орджоникидзе, у которого были свои резоны. Большевик на протяжении нескольких лет ругался с директорами предприятий из-за уровня загрузки производственных мощностей (по его мнению, недостаточного или неполного), часто сталкиваясь с ссылками на объективные, установленные возможностями техники пределы (то, что он потом назовёт «теорией предела», а её сторонников — «предельцами»). И вот, кажется, нашёл аргумент, позволяющий побить карту хозяйственников - за него и ухватился. А то, что возможно оказывалось заодно поднять производительность труда и выполнить план в неритмично работавших Донбассе и других угольных бассейнах, — так и вовсе замечательно.</w:t>
      </w:r>
    </w:p>
    <w:p w14:paraId="4ACA29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массированной рекламной кампании в «Правде» рекорды повалили как кишки из распоротого брюха — началась настоящая рекордомания. «Уже к середине ноября почти на каждом предприятии появились свои стахановцы, причём не только в промышленности. Зубные врачи обязывались утроить норму по удалению зубов, балерины по-стахановски крутили фуэте, в театрах вместо двух премьер выпускали 12, а профессора брали на себя обязательство увеличить число научных открытий… По-стахановски варили сталь, ткали, водили поезда, убирали хлеб, подковывали лошадей и даже выпускали водку. Так, в сентябре 1935 года Тюменский водочный завод рапортовал о выпуске алкогольного напитка «усиленной пролетарской крепости». Крепость «Тюменской горькой» составляла не 40, а 45 градусов. Решением Главспирта РСФСР завод был объявлен примерным предприятием главка, а «Тюменскую горькую» заводская газета назвала «напитком стахановцев».</w:t>
      </w:r>
    </w:p>
    <w:p w14:paraId="48B12C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страницах газет замелькали имена «героев» самых разных отраслей: в машиностроении прославились горьковский кузнец Александр Бусыгин и московский фрезеровщик Иван Гудов, в металлургии — ждановский сталевар Макар Мазай, в обувной промышленности — ленинградский рабочий Николай Сметанин, в текстильном производстве — вычугские ткачихи Евдокия и Мария Виноградовы, на транспорте — донецкий машинист Петр Кривонос, в сельском хозяйстве — свекловод Мария Демченко, трактористки Паши Ангелина и Ковардак, комбайнер Константин Борин, в лесной промышленности — Василий Мусинский и т.д. Я уже писал о самых известных стахановцах в сообществе, так что интерeсующихся подробностями приглашаю, здесь же повторяться насчёт их личностей не стану.</w:t>
      </w:r>
    </w:p>
    <w:p w14:paraId="4FF9A5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Характерно, что уже здесь, в самом начале «грандиозной апупеи», мы сталкиваемся с ярким примером лжи и подтасовки. Уж больно подозрительно выглядят редкие, как бы между делом, упоминания в советских рекламных книжках о «бригаде Бусыгина», «бригаде Мусинского», «бригаде Сметанина» и т.д. В голову так и лезет шальная мысль: а что, если «рекорд» получился дёшево и сердито — пахала бригада, а все почести достались её бригадиру? Удивительно, но подтверждение нашей безумной догадке мы находим в книге старого большевика О.А. Ерманского «Стахановское движение и стахановские методы». Он пишет: «…что выработку т. Бусыгина надо было считать не на одного человека, что здесь шла речь о продукции нескольких лиц – это верно. Эти обстоятельства в газетных сообщениях почти не фигурировали в первое время, и газеты подчас игнорировали различие между выработкой на одного человека и выработкой на один отбойный молоток, на один агрегат и т.п. А потом, когда об этом вскользь упоминалось уже, на это обращали мало внимания, хотя это существенно меняет величины выработки на человеко-день. Лишь впоследствии на это было обращено внимание, и то не во всех сообщениях. Этого рода неточности, впрочем, встречаются в печати и до сих пор». Какая несущественная мелочь, не правда ли? Собственно, уже одно это выявляет всю лживость и лицемерность раскручиваемого «движения».</w:t>
      </w:r>
    </w:p>
    <w:p w14:paraId="37446F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поначалу рекордсменов называли «стахановцами» только в угольной отрасли — в других отраслях были «бусыгинцы», «кривоносовцы», «гудовцы». Единое же наименование по фамилии простого, совсем простого донбасского забойщика они получили в ноябре 1935, после первого и последнего Всесоюзного совещания стахановцев в Кремле. Собрание после некоторых колебаний удостоил честью посетить сам «великий вождь», выступали и его различные приспешники — из их выступлений следовало, что успехи движения есть «торжество передового советского рабочего, передовой советской организации труда». Много было ссылок на то, что, образно говоря, «на Западе так не умеют/не могут/не делают» (не прояснялось, правда, а нужно ли «так» на Западе). Конечно же, никак нельзя и без врагов, проклятых иродов, мешающих доблестным «стахановцам», хватающих их за руки и тянущим назад. На эту роль определили многострадальный инженерно-технический персонал предприятий — подъём ударничества сопровождался погромами онаго (Шахтинское дело, «дело Промпартии» и т.п.), то же последовало и за подъёмом «стахановства» (об этом ниже) (11562).</w:t>
      </w:r>
    </w:p>
    <w:p w14:paraId="5783A023" w14:textId="77777777" w:rsidR="00D4105E" w:rsidRPr="00E14102" w:rsidRDefault="00D4105E" w:rsidP="00E14102">
      <w:pPr>
        <w:autoSpaceDE w:val="0"/>
        <w:autoSpaceDN w:val="0"/>
        <w:adjustRightInd w:val="0"/>
        <w:jc w:val="both"/>
        <w:rPr>
          <w:color w:val="000000" w:themeColor="text1"/>
          <w:sz w:val="16"/>
          <w:szCs w:val="16"/>
        </w:rPr>
      </w:pPr>
    </w:p>
    <w:p w14:paraId="4897B678" w14:textId="77777777" w:rsidR="00AC3381" w:rsidRPr="00E14102" w:rsidRDefault="00AC3381" w:rsidP="00E14102">
      <w:pPr>
        <w:jc w:val="both"/>
        <w:rPr>
          <w:color w:val="0070C0"/>
          <w:sz w:val="16"/>
          <w:szCs w:val="16"/>
        </w:rPr>
      </w:pPr>
      <w:r w:rsidRPr="00E14102">
        <w:rPr>
          <w:color w:val="0070C0"/>
          <w:sz w:val="16"/>
          <w:szCs w:val="16"/>
        </w:rPr>
        <w:t>30—31 августа 1935 года - начало стахановского движения. В ночь с 30 на 31 августа 1935 года Стаханов Алексей Григорьевич за 5 часов 45 минут нарубил 102 тонны, выполнив 14 норм (укрепляли брёвнами свод шахты Щиголев и Борисенко) (21179).</w:t>
      </w:r>
    </w:p>
    <w:p w14:paraId="7F3FFF7E" w14:textId="77777777" w:rsidR="00AC3381" w:rsidRPr="00E14102" w:rsidRDefault="00AC3381" w:rsidP="00E14102">
      <w:pPr>
        <w:jc w:val="both"/>
        <w:rPr>
          <w:color w:val="0070C0"/>
          <w:sz w:val="16"/>
          <w:szCs w:val="16"/>
        </w:rPr>
      </w:pPr>
    </w:p>
    <w:p w14:paraId="6FA343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августа 1935 приказом МВС и Дмитлага из Южного в Хлебниковский район передавались следующие объекты: Химкинский порт, Химкинская плотина № 29, канал № 293 с аварийными воротами Сходненский гидроузел и Лихоборский канал (7560).</w:t>
      </w:r>
    </w:p>
    <w:p w14:paraId="655E3E81" w14:textId="77777777" w:rsidR="00D4105E" w:rsidRPr="00E14102" w:rsidRDefault="00D4105E" w:rsidP="00E14102">
      <w:pPr>
        <w:autoSpaceDE w:val="0"/>
        <w:autoSpaceDN w:val="0"/>
        <w:adjustRightInd w:val="0"/>
        <w:jc w:val="both"/>
        <w:rPr>
          <w:color w:val="000000" w:themeColor="text1"/>
          <w:sz w:val="16"/>
          <w:szCs w:val="16"/>
        </w:rPr>
      </w:pPr>
    </w:p>
    <w:p w14:paraId="6B90C4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ночь 30-31 августа 1935 А.Стаханов - забойщик шахты Центральная-Ирмино (Донбасс) поставил свой рекорд (1348,200).</w:t>
      </w:r>
    </w:p>
    <w:p w14:paraId="2BD293A6" w14:textId="77777777" w:rsidR="00D4105E" w:rsidRPr="00E14102" w:rsidRDefault="00D4105E" w:rsidP="00E14102">
      <w:pPr>
        <w:autoSpaceDE w:val="0"/>
        <w:autoSpaceDN w:val="0"/>
        <w:adjustRightInd w:val="0"/>
        <w:jc w:val="both"/>
        <w:rPr>
          <w:color w:val="000000" w:themeColor="text1"/>
          <w:sz w:val="16"/>
          <w:szCs w:val="16"/>
        </w:rPr>
      </w:pPr>
    </w:p>
    <w:p w14:paraId="4877032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18C18DD9" w14:textId="77777777" w:rsidR="00D4105E" w:rsidRPr="00E14102" w:rsidRDefault="00D4105E" w:rsidP="00E14102">
      <w:pPr>
        <w:autoSpaceDE w:val="0"/>
        <w:autoSpaceDN w:val="0"/>
        <w:adjustRightInd w:val="0"/>
        <w:jc w:val="both"/>
        <w:rPr>
          <w:iCs/>
          <w:color w:val="000000" w:themeColor="text1"/>
          <w:sz w:val="16"/>
          <w:szCs w:val="16"/>
        </w:rPr>
      </w:pPr>
    </w:p>
    <w:p w14:paraId="546B6FA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 августа 1935 VII конгресс Коминтерна в Москве принял тактику “единого фронта” - объединения с социал-демократами в борьбе с фашизмом (4962).</w:t>
      </w:r>
    </w:p>
    <w:p w14:paraId="38A7783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0D17539" w14:textId="77777777" w:rsidR="00AC53C1" w:rsidRPr="00E14102" w:rsidRDefault="00AC53C1"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E8AFF78" w14:textId="77777777" w:rsidR="00AC53C1" w:rsidRPr="00E14102" w:rsidRDefault="00AC53C1" w:rsidP="00E14102">
      <w:pPr>
        <w:autoSpaceDE w:val="0"/>
        <w:autoSpaceDN w:val="0"/>
        <w:adjustRightInd w:val="0"/>
        <w:jc w:val="both"/>
        <w:rPr>
          <w:iCs/>
          <w:color w:val="000000" w:themeColor="text1"/>
          <w:sz w:val="16"/>
          <w:szCs w:val="16"/>
        </w:rPr>
      </w:pPr>
    </w:p>
    <w:p w14:paraId="56708CE0" w14:textId="77777777" w:rsidR="00AC53C1" w:rsidRPr="00E14102" w:rsidRDefault="00AC53C1" w:rsidP="00E14102">
      <w:pPr>
        <w:jc w:val="both"/>
        <w:rPr>
          <w:color w:val="0070C0"/>
          <w:sz w:val="16"/>
          <w:szCs w:val="16"/>
        </w:rPr>
      </w:pPr>
      <w:r w:rsidRPr="00E14102">
        <w:rPr>
          <w:color w:val="0070C0"/>
          <w:sz w:val="16"/>
          <w:szCs w:val="16"/>
          <w:lang w:bidi="ru-RU"/>
        </w:rPr>
        <w:t>31 августа 1935 вечером «СССР-В6» вылетел в Казань, где оказался рано утром следующего дня, прошёл на 130 километров восточнее, до Вятских Полян, и к полуночи вернулся на базу. По складывающейся традиции над Волгой с борта дирижабля отправили радиограмму:</w:t>
      </w:r>
    </w:p>
    <w:p w14:paraId="36D946C4" w14:textId="77777777" w:rsidR="00AC53C1" w:rsidRPr="00E14102" w:rsidRDefault="00AC53C1" w:rsidP="00E14102">
      <w:pPr>
        <w:jc w:val="both"/>
        <w:rPr>
          <w:color w:val="0070C0"/>
          <w:sz w:val="16"/>
          <w:szCs w:val="16"/>
        </w:rPr>
      </w:pPr>
      <w:r w:rsidRPr="00E14102">
        <w:rPr>
          <w:color w:val="0070C0"/>
          <w:sz w:val="16"/>
          <w:szCs w:val="16"/>
          <w:lang w:bidi="ru-RU"/>
        </w:rPr>
        <w:t>Экипаж корабля «СССР В-6» Осоавиахима приветствует трудящихся советской Татарии, усиленно работающей под руководством коммунистической партии над созданием нового социалистического общества.</w:t>
      </w:r>
    </w:p>
    <w:p w14:paraId="487C9B6E" w14:textId="77777777" w:rsidR="00AC53C1" w:rsidRPr="00E14102" w:rsidRDefault="00AC53C1" w:rsidP="00E14102">
      <w:pPr>
        <w:jc w:val="both"/>
        <w:rPr>
          <w:color w:val="0070C0"/>
          <w:sz w:val="16"/>
          <w:szCs w:val="16"/>
        </w:rPr>
      </w:pPr>
      <w:r w:rsidRPr="00E14102">
        <w:rPr>
          <w:color w:val="0070C0"/>
          <w:sz w:val="16"/>
          <w:szCs w:val="16"/>
          <w:lang w:bidi="ru-RU"/>
        </w:rPr>
        <w:t>Наш полёт является началом освоения первой в Союзе беспосадочной линии на дирижабле Москва - Свердловск (23192).</w:t>
      </w:r>
    </w:p>
    <w:p w14:paraId="6F6396B6" w14:textId="77777777" w:rsidR="00AC53C1" w:rsidRPr="00E14102" w:rsidRDefault="00AC53C1" w:rsidP="00E14102">
      <w:pPr>
        <w:jc w:val="both"/>
        <w:rPr>
          <w:color w:val="0070C0"/>
          <w:sz w:val="16"/>
          <w:szCs w:val="16"/>
        </w:rPr>
      </w:pPr>
    </w:p>
    <w:p w14:paraId="0BBBBD4F" w14:textId="77777777" w:rsidR="00D4105E" w:rsidRPr="00E14102" w:rsidRDefault="004B7965" w:rsidP="00E14102">
      <w:pPr>
        <w:tabs>
          <w:tab w:val="left" w:pos="11199"/>
        </w:tabs>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C5A45AF" w14:textId="77777777" w:rsidR="00D4105E" w:rsidRPr="00E14102" w:rsidRDefault="00D4105E" w:rsidP="00E14102">
      <w:pPr>
        <w:tabs>
          <w:tab w:val="left" w:pos="11199"/>
        </w:tabs>
        <w:autoSpaceDE w:val="0"/>
        <w:autoSpaceDN w:val="0"/>
        <w:adjustRightInd w:val="0"/>
        <w:jc w:val="both"/>
        <w:rPr>
          <w:iCs/>
          <w:color w:val="000000" w:themeColor="text1"/>
          <w:sz w:val="16"/>
          <w:szCs w:val="16"/>
        </w:rPr>
      </w:pPr>
    </w:p>
    <w:p w14:paraId="4FE3B53E" w14:textId="77777777" w:rsidR="00AC53C1" w:rsidRPr="00E14102" w:rsidRDefault="00AC53C1" w:rsidP="00E14102">
      <w:pPr>
        <w:jc w:val="both"/>
        <w:rPr>
          <w:color w:val="0070C0"/>
          <w:sz w:val="16"/>
          <w:szCs w:val="16"/>
        </w:rPr>
      </w:pPr>
      <w:r w:rsidRPr="00E14102">
        <w:rPr>
          <w:color w:val="0070C0"/>
          <w:sz w:val="16"/>
          <w:szCs w:val="16"/>
        </w:rPr>
        <w:t>31 августа 1935 работы по дизелю Коджу в НАТИ заверши</w:t>
      </w:r>
      <w:r w:rsidRPr="00E14102">
        <w:rPr>
          <w:color w:val="0070C0"/>
          <w:sz w:val="16"/>
          <w:szCs w:val="16"/>
        </w:rPr>
        <w:softHyphen/>
        <w:t>лись. Улучшенный модернизированный двигатель стали называть Коджу-НАТИ. Этот предсерийный вариант сохранил все основные параметры опытной модели. Головка была упрощена для литья и обра</w:t>
      </w:r>
      <w:r w:rsidRPr="00E14102">
        <w:rPr>
          <w:color w:val="0070C0"/>
          <w:sz w:val="16"/>
          <w:szCs w:val="16"/>
        </w:rPr>
        <w:softHyphen/>
        <w:t>ботки, увеличены впускные клапаны, крышка голов</w:t>
      </w:r>
      <w:r w:rsidRPr="00E14102">
        <w:rPr>
          <w:color w:val="0070C0"/>
          <w:sz w:val="16"/>
          <w:szCs w:val="16"/>
        </w:rPr>
        <w:softHyphen/>
        <w:t>ки сделана штампованной. Блок цилиндров подверг</w:t>
      </w:r>
      <w:r w:rsidRPr="00E14102">
        <w:rPr>
          <w:color w:val="0070C0"/>
          <w:sz w:val="16"/>
          <w:szCs w:val="16"/>
        </w:rPr>
        <w:softHyphen/>
        <w:t>ся значительным изменениям в силу замены алюми</w:t>
      </w:r>
      <w:r w:rsidRPr="00E14102">
        <w:rPr>
          <w:color w:val="0070C0"/>
          <w:sz w:val="16"/>
          <w:szCs w:val="16"/>
        </w:rPr>
        <w:softHyphen/>
        <w:t>ниевого литья чугунным с масляными магистралями в литье. Значительно был переработан коленчатый вал - диаметр его шейки увеличили с 70 до 90 мм. Помимо усиления шеек поставили 12 противовесов.</w:t>
      </w:r>
    </w:p>
    <w:p w14:paraId="6DACE85B" w14:textId="77777777" w:rsidR="00AC53C1" w:rsidRPr="00E14102" w:rsidRDefault="00AC53C1" w:rsidP="00E14102">
      <w:pPr>
        <w:jc w:val="both"/>
        <w:rPr>
          <w:color w:val="0070C0"/>
          <w:sz w:val="16"/>
          <w:szCs w:val="16"/>
        </w:rPr>
      </w:pPr>
      <w:r w:rsidRPr="00E14102">
        <w:rPr>
          <w:color w:val="0070C0"/>
          <w:sz w:val="16"/>
          <w:szCs w:val="16"/>
        </w:rPr>
        <w:t>На двигателе устанавливался ТНВД Самарского кар</w:t>
      </w:r>
      <w:r w:rsidRPr="00E14102">
        <w:rPr>
          <w:color w:val="0070C0"/>
          <w:sz w:val="16"/>
          <w:szCs w:val="16"/>
        </w:rPr>
        <w:softHyphen/>
        <w:t>бюраторного завода (СКЗ). Мощность мотора со</w:t>
      </w:r>
      <w:r w:rsidRPr="00E14102">
        <w:rPr>
          <w:color w:val="0070C0"/>
          <w:sz w:val="16"/>
          <w:szCs w:val="16"/>
        </w:rPr>
        <w:softHyphen/>
        <w:t>ставляла 105 л.с. при 1800 об./мин. Количество наи</w:t>
      </w:r>
      <w:r w:rsidRPr="00E14102">
        <w:rPr>
          <w:color w:val="0070C0"/>
          <w:sz w:val="16"/>
          <w:szCs w:val="16"/>
        </w:rPr>
        <w:softHyphen/>
        <w:t>менований деталей, включая нормали, сократилось с 584 до 447.</w:t>
      </w:r>
    </w:p>
    <w:p w14:paraId="1D5AED49" w14:textId="77777777" w:rsidR="00AC53C1" w:rsidRPr="00E14102" w:rsidRDefault="00AC53C1" w:rsidP="00E14102">
      <w:pPr>
        <w:jc w:val="both"/>
        <w:rPr>
          <w:color w:val="0070C0"/>
          <w:sz w:val="16"/>
          <w:szCs w:val="16"/>
        </w:rPr>
      </w:pPr>
      <w:r w:rsidRPr="00E14102">
        <w:rPr>
          <w:color w:val="0070C0"/>
          <w:sz w:val="16"/>
          <w:szCs w:val="16"/>
        </w:rPr>
        <w:t>В HATИ изготовлено 5 опытных двигателей (22518).</w:t>
      </w:r>
    </w:p>
    <w:p w14:paraId="444DD7AB" w14:textId="77777777" w:rsidR="00AC53C1" w:rsidRPr="00E14102" w:rsidRDefault="00AC53C1" w:rsidP="00E14102">
      <w:pPr>
        <w:jc w:val="both"/>
        <w:rPr>
          <w:color w:val="0070C0"/>
          <w:sz w:val="16"/>
          <w:szCs w:val="16"/>
        </w:rPr>
      </w:pPr>
    </w:p>
    <w:p w14:paraId="6E301713" w14:textId="77777777" w:rsidR="00A92C37" w:rsidRPr="00E14102" w:rsidRDefault="00A92C37" w:rsidP="00E14102">
      <w:pPr>
        <w:pStyle w:val="rtejustify"/>
        <w:spacing w:before="0" w:after="0"/>
        <w:rPr>
          <w:color w:val="000000" w:themeColor="text1"/>
          <w:sz w:val="16"/>
          <w:szCs w:val="16"/>
        </w:rPr>
      </w:pPr>
      <w:r w:rsidRPr="00E14102">
        <w:rPr>
          <w:rStyle w:val="a6"/>
          <w:bCs/>
          <w:i w:val="0"/>
          <w:color w:val="000000" w:themeColor="text1"/>
          <w:sz w:val="16"/>
          <w:szCs w:val="16"/>
        </w:rPr>
        <w:t>31 августа</w:t>
      </w:r>
      <w:r w:rsidRPr="00E14102">
        <w:rPr>
          <w:color w:val="000000" w:themeColor="text1"/>
          <w:sz w:val="16"/>
          <w:szCs w:val="16"/>
        </w:rPr>
        <w:t xml:space="preserve">1935 Решение Политбюро № 32. XI. О хранении секретных документов в НКВнешторге и Глававиапроме НКТП (Антипов, Судьин, Пятаков, Королев, Логановский). 6. О посылке представителей НКО на маневры в Чехословакию (ПБ от 1 июля 1935 г., пр. № 29, п. 34). — ОП. 45. Вопросы КО (о финансировании строительства новых самолетов) (ПБ от 4 августа 1935 г.). — ОП. 55. О торговле военной кооперации на Дальнем Востоке (ПБ от 5 августа 1935 г.). 79. Вопрос КО. — ОП. </w:t>
      </w:r>
      <w:r w:rsidRPr="00E14102">
        <w:rPr>
          <w:rStyle w:val="a6"/>
          <w:i w:val="0"/>
          <w:color w:val="000000" w:themeColor="text1"/>
          <w:sz w:val="16"/>
          <w:szCs w:val="16"/>
        </w:rPr>
        <w:t>Постановили</w:t>
      </w:r>
      <w:r w:rsidRPr="00E14102">
        <w:rPr>
          <w:color w:val="000000" w:themeColor="text1"/>
          <w:sz w:val="16"/>
          <w:szCs w:val="16"/>
        </w:rPr>
        <w:t>: утвердить решение СНК СССР об отпуске из резервного фонда СНК СССР на окончательную достройку самолета «ДАР» 685 тыс. руб. (ПБ от 7 августа 1935 г.). 89. О порядке найма рабочей силы для военно-химических заводов (ПБ от 7 августа 1935 г.). 95. Об Осоавиахиме (ПБ от 21 июня 1935 г., пр. № 27, п. 5), (ПБ от 8 августа 1935 г.) 98. О состоянии обозно-вещевого и продовольственного снабжения РККА (постановление СНК СССР и ЦК ВКП(б)). 108. Об импорте шарикоподшипников (ПБ от 9 августа 1935 г.). — ОП. 110. О приемке заказа у фирмы «Ансальдо» (турбины) (ПБ от 9 августа 1935 г.). — ОП. 126. Об импорте для Главнефти (ПБ от 10 августа 1935 г.). — ОП. 128. О прямоточных котлах системы проф. Рамзина. (ПБ от 10 августа 1935 г.). 148. Вопрос КО (ПБ от 11 августа 1935 г.). — ОП. 182. Об аварии самолета Р</w:t>
      </w:r>
      <w:r w:rsidRPr="00E14102">
        <w:rPr>
          <w:color w:val="000000" w:themeColor="text1"/>
          <w:sz w:val="16"/>
          <w:szCs w:val="16"/>
        </w:rPr>
        <w:noBreakHyphen/>
        <w:t xml:space="preserve">5 (ПБ от 13 августа 1935 г.). 212. Вопрос КО (ПБ от 17 августа 1935 г.). — ОП. 214. О Главном военно-мобилизационном управлении НКТП (ПБ от 17 августа 1935 г.). 245. О заказе оборудования для ГАЗ (ПБ от 5 апреля 1935 г., пр. № 24, п. 4), (ПБ от 20 августа 1935 г.). — ОП. </w:t>
      </w:r>
      <w:r w:rsidRPr="00E14102">
        <w:rPr>
          <w:rStyle w:val="a6"/>
          <w:i w:val="0"/>
          <w:color w:val="000000" w:themeColor="text1"/>
          <w:sz w:val="16"/>
          <w:szCs w:val="16"/>
        </w:rPr>
        <w:t>Постановили</w:t>
      </w:r>
      <w:r w:rsidRPr="00E14102">
        <w:rPr>
          <w:color w:val="000000" w:themeColor="text1"/>
          <w:sz w:val="16"/>
          <w:szCs w:val="16"/>
        </w:rPr>
        <w:t>: разрешить НКВнешторгу перенести заказ оборудования для Горьковского автозавода из Европы на Америку на 700 тыс. долларов. 293. О доках для подлодок (ПБ от 22 августа 1935 г.). — ОП. 327. Вопрос Ворошилова (о закупке оружия во Франции) (ПБ от 25 августа 1935 г.). — ОП. 349. Вопрос КО (ПБ от 27 августа 1935 г.). — ОП. 356. Вопрос НКО (ПБ от 27 августа 1935 г.). — ОП. 377. Вопрос НКО (ПБ от 5 июля 1935 г., пр. № 30, п. 13 и от 21 июля 1935 г., пр. № 31, п. 10), (ПБ от 28 августа 1935 г.). — ОП. 382. Вопросы КО (ПБ от 28 августа 1935 г.). — ОП. (Политбюро ЦК РКП(б)-ВКП(Б). Повестки дня заседаний. 1919</w:t>
      </w:r>
      <w:r w:rsidRPr="00E14102">
        <w:rPr>
          <w:color w:val="000000" w:themeColor="text1"/>
          <w:sz w:val="16"/>
          <w:szCs w:val="16"/>
        </w:rPr>
        <w:noBreakHyphen/>
        <w:t>1952: Каталог / Т. 2. С. 679, 680, 681, 682, 683, 684, 685, 686, 687, 688, 689, 690; РГАСПИ. Ф. 17. Оп. 162. Д. 18. Л. 104, 106, 107, 108, 128, 114, 115, 118, 122, 124) (15462).</w:t>
      </w:r>
    </w:p>
    <w:p w14:paraId="45F21F33" w14:textId="77777777" w:rsidR="00A92C37" w:rsidRPr="00E14102" w:rsidRDefault="00A92C37" w:rsidP="00E14102">
      <w:pPr>
        <w:pStyle w:val="rtejustify"/>
        <w:spacing w:before="0" w:after="0"/>
        <w:rPr>
          <w:color w:val="000000" w:themeColor="text1"/>
          <w:sz w:val="16"/>
          <w:szCs w:val="16"/>
        </w:rPr>
      </w:pPr>
    </w:p>
    <w:p w14:paraId="74A3C58F" w14:textId="77777777" w:rsidR="00A92C37" w:rsidRPr="00E14102" w:rsidRDefault="004B7965" w:rsidP="00E14102">
      <w:pPr>
        <w:tabs>
          <w:tab w:val="left" w:pos="11199"/>
        </w:tabs>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49DEFD94" w14:textId="77777777" w:rsidR="00A92C37" w:rsidRPr="00E14102" w:rsidRDefault="00A92C37" w:rsidP="00E14102">
      <w:pPr>
        <w:tabs>
          <w:tab w:val="left" w:pos="11199"/>
        </w:tabs>
        <w:autoSpaceDE w:val="0"/>
        <w:autoSpaceDN w:val="0"/>
        <w:adjustRightInd w:val="0"/>
        <w:jc w:val="both"/>
        <w:rPr>
          <w:iCs/>
          <w:color w:val="000000" w:themeColor="text1"/>
          <w:sz w:val="16"/>
          <w:szCs w:val="16"/>
        </w:rPr>
      </w:pPr>
    </w:p>
    <w:p w14:paraId="0AB2EF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31 августа 1935 г. ПРИКАЗ НКО СССР ОБ ОКЛАДАХ СОДЕРЖАНИЯ НАЧАЛЬСТВУЮЩЕГО СОСТАВА РККА № 237</w:t>
      </w:r>
    </w:p>
    <w:p w14:paraId="0DA2BD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Москва</w:t>
      </w:r>
    </w:p>
    <w:p w14:paraId="374DEE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Постановлением Совета народных комиссаров Союза Советских Социалистических Республик от 4 августа 1935 г. — с 1 сентября 1935 г. всему среднему, старшему и высшему начальствующему составу Рабоче-Крестьянской Красной армии установлены новые оклады содержания по основ-1ным типовым должностям, включая и хлебную надбавку, в следующих размерах в месяц:</w:t>
      </w:r>
    </w:p>
    <w:p w14:paraId="43D2443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пехоте, коннице и специальным частям:</w:t>
      </w:r>
    </w:p>
    <w:p w14:paraId="748F01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Командиру взвода Пом. командира роты Командиру роты Командиру отдельной роты Командиру батальона Пом. командира полка Командиру полка</w:t>
      </w:r>
    </w:p>
    <w:p w14:paraId="2D4565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350 руб. 375 руб. 425 руб. 450 руб. 475 руб. 500 руб. 600 руб.</w:t>
      </w:r>
    </w:p>
    <w:p w14:paraId="5A5875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артиллерии и механизированным частям: Командиру взвода 400 руб. Пом. командира батареи и роты 425 руб. Командиру батареи и роты 475 руб. Командиру отдельной батареи, роты 485 руб. Командиру дивизиона и батальона 500 руб.</w:t>
      </w:r>
    </w:p>
    <w:p w14:paraId="0EA763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авиации:</w:t>
      </w:r>
    </w:p>
    <w:p w14:paraId="46ABEC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Летчику младшему 425 руб. Летчику старшему 475 руб. Командиру звена 525 руб. Командиру неотдельного отряда 575 руб.</w:t>
      </w:r>
    </w:p>
    <w:p w14:paraId="4C8DE3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командира дивизии 625 руб.</w:t>
      </w:r>
    </w:p>
    <w:p w14:paraId="7A4C9E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Командиру дивизии 700 руб.</w:t>
      </w:r>
    </w:p>
    <w:p w14:paraId="685920C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Командиру корпуса 800 руб.</w:t>
      </w:r>
    </w:p>
    <w:p w14:paraId="3E4A95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ком. войсками 900 руб.</w:t>
      </w:r>
    </w:p>
    <w:p w14:paraId="4E43421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Зам. ком. войсками 950 руб.</w:t>
      </w:r>
    </w:p>
    <w:p w14:paraId="054B80C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Командующему войсками округа 1000 руб.</w:t>
      </w:r>
    </w:p>
    <w:p w14:paraId="3C9898B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командира полка 525 руб.</w:t>
      </w:r>
    </w:p>
    <w:p w14:paraId="45270A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Командиру полка 650 руб. Пом. командира бригады, дивизии 675 руб.</w:t>
      </w:r>
    </w:p>
    <w:p w14:paraId="05CFA92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Командиру бригады, дивизии 750 руб.</w:t>
      </w:r>
    </w:p>
    <w:p w14:paraId="0A989E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Командиру мехкорпуса 850 руб.</w:t>
      </w:r>
    </w:p>
    <w:p w14:paraId="1BF50A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Командиру отдельного отряда 625 руб.,</w:t>
      </w:r>
    </w:p>
    <w:p w14:paraId="22927BE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Командиру эскадрилий 700руб.</w:t>
      </w:r>
    </w:p>
    <w:p w14:paraId="68A8975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Командиру бригады 800руб.</w:t>
      </w:r>
    </w:p>
    <w:p w14:paraId="26C40F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Командиру корпуса 850 руб.</w:t>
      </w:r>
    </w:p>
    <w:p w14:paraId="4A9DE6D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морскому флоту:</w:t>
      </w:r>
    </w:p>
    <w:p w14:paraId="26AE6E2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Командиру группы (боевой части корабля — минной,</w:t>
      </w:r>
    </w:p>
    <w:p w14:paraId="0CC474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артиллерийской, штурманской, электромеханической и связи) 475 руб.</w:t>
      </w:r>
    </w:p>
    <w:p w14:paraId="67BD1E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Командиру корабля 4-го ранга (тральщика) 525 руб.</w:t>
      </w:r>
    </w:p>
    <w:p w14:paraId="5D5A99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Командиру корабля 3-го ранга (сторожевого и посыльного) 575 руб.</w:t>
      </w:r>
    </w:p>
    <w:p w14:paraId="77B978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Командиру дивизиона кораблей 3-го и 4-го рангов 625 руб.</w:t>
      </w:r>
    </w:p>
    <w:p w14:paraId="2159FE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Командиру эсминца и командиру подводной лодки (2-го ранга) 650 руб.</w:t>
      </w:r>
    </w:p>
    <w:p w14:paraId="1487F0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Командиру крейсера (1-го ранга) и командиру дивизиона</w:t>
      </w:r>
    </w:p>
    <w:p w14:paraId="3E12A6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подводных лодок и эсминцев 700 руб.</w:t>
      </w:r>
    </w:p>
    <w:p w14:paraId="6C85B30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Командиру линкора и бригады подводных лодок и эсминцев 850 руб.</w:t>
      </w:r>
    </w:p>
    <w:p w14:paraId="6031DA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Командующему флотом 1000 руб.</w:t>
      </w:r>
    </w:p>
    <w:p w14:paraId="739B1A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На основе схемы окладов содержания по основным типовым должностям командного соста ввести с 1 сентября 1935 года 25-разрядную тарифную сетку окладов содержания по должно всему среднему, старшему и высшему начальствующему составу РККА, с отнесением указанны объявляемом тарифном перечне должностей к соответствующим тарифным рязрядам, упра существующее деление оклада содержания на должностной и категорный.</w:t>
      </w:r>
    </w:p>
    <w:p w14:paraId="205D764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Слушателям военных академий выплачивать содержание по последней занимаемой дол сти, но не ниже содержания командира батальона, как это существует и в настоящее время.</w:t>
      </w:r>
    </w:p>
    <w:p w14:paraId="3C8ECB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Слушателям военных академий не из кадра РККА выплачивать содержание, как коман взвода стрелковых войск.</w:t>
      </w:r>
    </w:p>
    <w:p w14:paraId="4D2C1F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В соответствии с этим же постановлением Правительства, в целях поощрения за долголе службу в РККА на должностях начсостава установить процентные надбавки к получаемому пос ному содержанию за выслугу лет в следующих размерах:</w:t>
      </w:r>
    </w:p>
    <w:p w14:paraId="30CDEA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для всего начсостава, кроме летно-подъемного состава авиации и плавающего состава под ного флота и торпедных катеров:</w:t>
      </w:r>
    </w:p>
    <w:p w14:paraId="66BD107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продолжительности службы:</w:t>
      </w:r>
    </w:p>
    <w:p w14:paraId="7E2D07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От 2 до 5 лет 5%</w:t>
      </w:r>
    </w:p>
    <w:p w14:paraId="2084F5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 5 до 10 лет 10%</w:t>
      </w:r>
    </w:p>
    <w:p w14:paraId="27CF72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От 10 до 15 лет 15% От 15 до 20 лет 20% От 20 и более лет 25%</w:t>
      </w:r>
    </w:p>
    <w:p w14:paraId="5C6E83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для летно-подъемного состава авиации и плавающего состава подводного флота и торпедных еров:</w:t>
      </w:r>
    </w:p>
    <w:p w14:paraId="16A76D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продолжительности службы: От 2 до 5 лет 10% От 5 до 8 лет 15% От 8 до 10 лет 20% От 10 до 15 лет 30% От 15 и более лет 40%</w:t>
      </w:r>
    </w:p>
    <w:p w14:paraId="3017526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Выплату процентных надбавок за выслугу лет производить с 1 сентября 1935 года на основе но проверенных и документально доказанных данных из послужного списка о фактической вы-луге лет на должностях начсостава.</w:t>
      </w:r>
    </w:p>
    <w:p w14:paraId="09C0C93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Выплату повышенных процентных надбавок к содержанию летно-подъемному составу и пла-ощему составу подводного флота и торпедных катеров производить только по штатному строевому расчету экипажей самолетов, подводных лодок и торпедных катеров.</w:t>
      </w:r>
    </w:p>
    <w:p w14:paraId="43F49C6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Выплату этих процентных надбавок нелетному составу или же фактически не плавающему со-йву подводных лодок и торпедных катеров категорически воспретить.</w:t>
      </w:r>
    </w:p>
    <w:p w14:paraId="1A21B9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Установленную на основании постановления ЦК ВКП(б) и Совнаркома СССР от 11 декабря 33 года и от 5 февраля 1934 года 20-процентную надбавку для среднего, старшего и высшего на-вующего состава и 50-процентную — для рядового и младшего начсостава на территории ДВК Забайкалья сохранить и при новых повышенных окладах содержания.</w:t>
      </w:r>
    </w:p>
    <w:p w14:paraId="1ADEA3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Начальнику АМУ РККА и Начальнику финансового отдела НКО в 3-месячный срок протари-цировать все штаты согласно новых окладов для облегчения работы в войсках. Впредь все штаты тарифицировать только Финансовому отделу НКО, без визы которого не «дставлять на утверждение ни одного штата.</w:t>
      </w:r>
    </w:p>
    <w:p w14:paraId="6A35650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В связи с установлением процентных надбавок за выслугу лет отменить выплату следующих ов добавочного вознаграждения:</w:t>
      </w:r>
    </w:p>
    <w:p w14:paraId="1D7109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за выслугу лет в одной категории (ст. 115—124 кн. XVII);</w:t>
      </w:r>
    </w:p>
    <w:p w14:paraId="1487F1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за работу в органах шифровально-штабной службы (ст. 125) ;</w:t>
      </w:r>
    </w:p>
    <w:p w14:paraId="3E38BFC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личному составу подводного флота (ст.ст. 237 и 246) и торпедных катеров (ст.ст. 247—251);</w:t>
      </w:r>
    </w:p>
    <w:p w14:paraId="2222B0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специальную надбавку начсоставу, оперативных органов штабов;</w:t>
      </w:r>
    </w:p>
    <w:p w14:paraId="27E0C6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 особые надбавки комсоставу укрепленных районов и карчастей.</w:t>
      </w:r>
    </w:p>
    <w:p w14:paraId="752054D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 Начальнику финансового отдела НКО СССР разработать и разослать войскам точную инст-лю о порядке выплаты процентных надбавок за выслугу лет начсоставу РККА. Объявляю для неуклонного руководства комвойсками округов, командиров соединений и час-, что Правительством мне предоставлено право лишать на определенный срок процентных над-ок за выслугу лет тех лиц начальствующего состава, которые проявляют недостаточно добросо</w:t>
      </w:r>
      <w:r w:rsidRPr="00E14102">
        <w:rPr>
          <w:color w:val="000000" w:themeColor="text1"/>
          <w:sz w:val="16"/>
          <w:szCs w:val="16"/>
        </w:rPr>
        <w:softHyphen/>
        <w:t>вестное отношение к выполнению своих обязанностей.</w:t>
      </w:r>
    </w:p>
    <w:p w14:paraId="74638C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Народный комиссар обороны СССР К. Ворошилов</w:t>
      </w:r>
    </w:p>
    <w:p w14:paraId="2A0F27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РГВА, ф. 4. Оп. 15а. Д. 406. Л. 133 — 134. Типографский экземпляр (11210).</w:t>
      </w:r>
    </w:p>
    <w:p w14:paraId="225869D8" w14:textId="77777777" w:rsidR="00D4105E" w:rsidRPr="00E14102" w:rsidRDefault="00D4105E" w:rsidP="00E14102">
      <w:pPr>
        <w:autoSpaceDE w:val="0"/>
        <w:autoSpaceDN w:val="0"/>
        <w:adjustRightInd w:val="0"/>
        <w:jc w:val="both"/>
        <w:rPr>
          <w:color w:val="000000" w:themeColor="text1"/>
          <w:sz w:val="16"/>
          <w:szCs w:val="16"/>
        </w:rPr>
      </w:pPr>
    </w:p>
    <w:p w14:paraId="34E14F72" w14:textId="77777777" w:rsidR="00D4105E" w:rsidRPr="00E14102" w:rsidRDefault="00D4105E" w:rsidP="00E14102">
      <w:pPr>
        <w:autoSpaceDE w:val="0"/>
        <w:autoSpaceDN w:val="0"/>
        <w:adjustRightInd w:val="0"/>
        <w:jc w:val="both"/>
        <w:rPr>
          <w:i/>
          <w:iCs/>
          <w:color w:val="000000" w:themeColor="text1"/>
          <w:sz w:val="16"/>
          <w:szCs w:val="16"/>
        </w:rPr>
      </w:pPr>
      <w:r w:rsidRPr="00E14102">
        <w:rPr>
          <w:i/>
          <w:iCs/>
          <w:color w:val="000000" w:themeColor="text1"/>
          <w:sz w:val="16"/>
          <w:szCs w:val="16"/>
        </w:rPr>
        <w:t>Жизнь и внутреняя политика:</w:t>
      </w:r>
    </w:p>
    <w:p w14:paraId="42B1A94C" w14:textId="77777777" w:rsidR="00D4105E" w:rsidRPr="00E14102" w:rsidRDefault="00D4105E" w:rsidP="00E14102">
      <w:pPr>
        <w:autoSpaceDE w:val="0"/>
        <w:autoSpaceDN w:val="0"/>
        <w:adjustRightInd w:val="0"/>
        <w:jc w:val="both"/>
        <w:rPr>
          <w:iCs/>
          <w:color w:val="000000" w:themeColor="text1"/>
          <w:sz w:val="16"/>
          <w:szCs w:val="16"/>
        </w:rPr>
      </w:pPr>
    </w:p>
    <w:p w14:paraId="34B89D21" w14:textId="77777777" w:rsidR="00A92C37" w:rsidRPr="00E14102" w:rsidRDefault="00A92C37" w:rsidP="00E14102">
      <w:pPr>
        <w:jc w:val="both"/>
        <w:rPr>
          <w:color w:val="000000" w:themeColor="text1"/>
          <w:sz w:val="16"/>
          <w:szCs w:val="16"/>
        </w:rPr>
      </w:pPr>
      <w:r w:rsidRPr="00E14102">
        <w:rPr>
          <w:bCs/>
          <w:color w:val="000000" w:themeColor="text1"/>
          <w:sz w:val="16"/>
          <w:szCs w:val="16"/>
        </w:rPr>
        <w:t xml:space="preserve">31 августа </w:t>
      </w:r>
      <w:r w:rsidRPr="00E14102">
        <w:rPr>
          <w:color w:val="000000" w:themeColor="text1"/>
          <w:sz w:val="16"/>
          <w:szCs w:val="16"/>
        </w:rPr>
        <w:t xml:space="preserve">в 1935 году рекорд донбасского шахтера Алексея Григорьевича Стаханова (1906-1977), превысившего суточную норму угледобычи в 14 раз, послужил началом «стахановского движения» за увеличение производительности труда. «Стахановское движение» с 1935 года стало основной формой социалистического соревнования. В декабре 1935 года пленум ЦК ВКП(б) постановил превратить «стахановское движение» в движение миллионов. «Стахановское движение» быстро охватило всю страну. Уже к середине ноября почти на каждом предприятии в тяжелой и легкой промышленности появились свои стахановцы. Руководители предприятий и бюджетных организаций считали необходимым иметь в своем трудовом коллективе стахановца, сами рабочие стремились в передовики или из идейных </w:t>
      </w:r>
      <w:r w:rsidRPr="00E14102">
        <w:rPr>
          <w:color w:val="000000" w:themeColor="text1"/>
          <w:sz w:val="16"/>
          <w:szCs w:val="16"/>
        </w:rPr>
        <w:lastRenderedPageBreak/>
        <w:t>соображений, или желая получать полагающиеся передовикам материальные блага. В 1936 году по инициативе профсоюзов создаются школы стахановского опыта, в отдельных отраслях промышленности стахановцы составляли от 20 до 27 процентов всех рабочих. Стали проводиться стахановские смены, дни, пятидневки, декады, месяцы, в которых участвовали целые предприятия. Движение стало приобретать форму штурмовщины, были случаи искусственного создания рекордов. Технические нормы, техника безопасности, качество продукции при этом никого не интересовали. «Рекорды не способны поднять промышленность» - таково мнение специалистов. Им отвечал Орджоникидзе: «На пути стахановского движения стоят бюрократы, таких надо сметать с пути героического стахановского движения». Обвинения в торможении и извращении стахановского движения стали одними из основных при чистке хозяйственного аппарата в 1937-1938 годах. В 1939 году партия провозгласила «стахановское движение» свидетельством зрелости рабочего класса. Между тем движение в своем оригинальном виде в стране не прижилось. В годы «застоя» оно поддерживалось немногочисленными энтузиастами и организовывалось больше для отчетов и «галочек».</w:t>
      </w:r>
    </w:p>
    <w:p w14:paraId="2970D0A2" w14:textId="77777777" w:rsidR="00A92C37" w:rsidRPr="00E14102" w:rsidRDefault="00A92C37" w:rsidP="00E14102">
      <w:pPr>
        <w:jc w:val="both"/>
        <w:rPr>
          <w:color w:val="000000" w:themeColor="text1"/>
          <w:sz w:val="16"/>
          <w:szCs w:val="16"/>
        </w:rPr>
      </w:pPr>
      <w:r w:rsidRPr="00E14102">
        <w:rPr>
          <w:color w:val="000000" w:themeColor="text1"/>
          <w:sz w:val="16"/>
          <w:szCs w:val="16"/>
        </w:rPr>
        <w:t>в 1935 году начинает работать первый в мире вещательный коротковолновый передатчик мощностью в 1 квт, установленный на радиовещательной станции имени Попова в Сокольниках (Москва) (14755).</w:t>
      </w:r>
    </w:p>
    <w:p w14:paraId="6800A1ED" w14:textId="77777777" w:rsidR="00A92C37" w:rsidRPr="00E14102" w:rsidRDefault="00A92C37" w:rsidP="00E14102">
      <w:pPr>
        <w:jc w:val="both"/>
        <w:rPr>
          <w:color w:val="000000" w:themeColor="text1"/>
          <w:sz w:val="16"/>
          <w:szCs w:val="16"/>
        </w:rPr>
      </w:pPr>
    </w:p>
    <w:p w14:paraId="7B5101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августа — 1 сентября 1935 года в Иркутске состоялся открытый процесс, на котором Кобылкин, Переладов и Олейников были приговорены к высшей мере наказания (Горбунов Е.А. Схватка с Чёрным Драконом... С.207–210) (11703).</w:t>
      </w:r>
    </w:p>
    <w:p w14:paraId="6DB17862" w14:textId="77777777" w:rsidR="00D4105E" w:rsidRPr="00E14102" w:rsidRDefault="00D4105E" w:rsidP="00E14102">
      <w:pPr>
        <w:autoSpaceDE w:val="0"/>
        <w:autoSpaceDN w:val="0"/>
        <w:adjustRightInd w:val="0"/>
        <w:jc w:val="both"/>
        <w:rPr>
          <w:color w:val="000000" w:themeColor="text1"/>
          <w:sz w:val="16"/>
          <w:szCs w:val="16"/>
        </w:rPr>
      </w:pPr>
    </w:p>
    <w:p w14:paraId="4C643F1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CD60A96" w14:textId="77777777" w:rsidR="00D4105E" w:rsidRPr="00E14102" w:rsidRDefault="00D4105E" w:rsidP="00E14102">
      <w:pPr>
        <w:autoSpaceDE w:val="0"/>
        <w:autoSpaceDN w:val="0"/>
        <w:adjustRightInd w:val="0"/>
        <w:jc w:val="both"/>
        <w:rPr>
          <w:iCs/>
          <w:color w:val="000000" w:themeColor="text1"/>
          <w:sz w:val="16"/>
          <w:szCs w:val="16"/>
        </w:rPr>
      </w:pPr>
    </w:p>
    <w:p w14:paraId="7A60E8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августа 1935 в США вышел закон, позволяющий президенту вводить эмбарго на вывоз оружия в случае войны в Европе (3186).</w:t>
      </w:r>
    </w:p>
    <w:p w14:paraId="72B7A4FE" w14:textId="77777777" w:rsidR="00D4105E" w:rsidRPr="00E14102" w:rsidRDefault="00D4105E" w:rsidP="00E14102">
      <w:pPr>
        <w:autoSpaceDE w:val="0"/>
        <w:autoSpaceDN w:val="0"/>
        <w:adjustRightInd w:val="0"/>
        <w:jc w:val="both"/>
        <w:rPr>
          <w:color w:val="000000" w:themeColor="text1"/>
          <w:sz w:val="16"/>
          <w:szCs w:val="16"/>
        </w:rPr>
      </w:pPr>
    </w:p>
    <w:p w14:paraId="0A4189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августа 1935 Крестьянское восстание в Фиери (7594).</w:t>
      </w:r>
    </w:p>
    <w:p w14:paraId="0F3F1CE3" w14:textId="77777777" w:rsidR="00D4105E" w:rsidRPr="00E14102" w:rsidRDefault="00D4105E" w:rsidP="00E14102">
      <w:pPr>
        <w:autoSpaceDE w:val="0"/>
        <w:autoSpaceDN w:val="0"/>
        <w:adjustRightInd w:val="0"/>
        <w:jc w:val="both"/>
        <w:rPr>
          <w:color w:val="000000" w:themeColor="text1"/>
          <w:sz w:val="16"/>
          <w:szCs w:val="16"/>
        </w:rPr>
      </w:pPr>
    </w:p>
    <w:p w14:paraId="0343E61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EDFC278" w14:textId="77777777" w:rsidR="00D4105E" w:rsidRPr="00E14102" w:rsidRDefault="00D4105E" w:rsidP="00E14102">
      <w:pPr>
        <w:autoSpaceDE w:val="0"/>
        <w:autoSpaceDN w:val="0"/>
        <w:adjustRightInd w:val="0"/>
        <w:jc w:val="both"/>
        <w:rPr>
          <w:iCs/>
          <w:color w:val="000000" w:themeColor="text1"/>
          <w:sz w:val="16"/>
          <w:szCs w:val="16"/>
        </w:rPr>
      </w:pPr>
    </w:p>
    <w:p w14:paraId="493470E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31 августа 1935 кадиевский шахтер Алексей Стаханов установил рекорд добычи угля, сделав 14 норм за смену, начало стахановского движения в СССР (4962).</w:t>
      </w:r>
    </w:p>
    <w:p w14:paraId="7BDD243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DC23B7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F6F87EA" w14:textId="77777777" w:rsidR="00D4105E" w:rsidRPr="00E14102" w:rsidRDefault="00D4105E" w:rsidP="00E14102">
      <w:pPr>
        <w:autoSpaceDE w:val="0"/>
        <w:autoSpaceDN w:val="0"/>
        <w:adjustRightInd w:val="0"/>
        <w:jc w:val="both"/>
        <w:rPr>
          <w:iCs/>
          <w:color w:val="000000" w:themeColor="text1"/>
          <w:sz w:val="16"/>
          <w:szCs w:val="16"/>
        </w:rPr>
      </w:pPr>
    </w:p>
    <w:p w14:paraId="04BDED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августа 1935 (24,84) ЦКБ-26 был продемонстрирован наркомам обороны К.Е.Ворошилову и тяжелой промышленности Г.К.Орджоникидзе и получил их высокую оценку, хотя Я.И.Алкснис заметил, что смешанная конструкция не удовлетворяет ТТТ (24,85).</w:t>
      </w:r>
    </w:p>
    <w:p w14:paraId="054B65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В.К.Коккинаки продемонстрировал самолет в полете (24,85).</w:t>
      </w:r>
    </w:p>
    <w:p w14:paraId="389475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Машина была высоко оценена и С.В.Ильюшин был обязан в короткий срок в 1936 (24,85) представить на государственные испытания цельнометаллический дальний бомбардировщик ЦКБ-30, полностью отвечающий тактико-техническим требованиям ВВС.</w:t>
      </w:r>
    </w:p>
    <w:p w14:paraId="326C7A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августа 1935 были выполнены опытный взлет и посадка ТБ-3 (АНТ-6) с подвешенными под крыльями ПСН-1. Проводили и отцепку ПСН с планированием на озеро Ильмень. Летали с аэродрома Кречевицы (1085,130).</w:t>
      </w:r>
    </w:p>
    <w:p w14:paraId="06961A89" w14:textId="77777777" w:rsidR="00D4105E" w:rsidRPr="00E14102" w:rsidRDefault="00D4105E" w:rsidP="00E14102">
      <w:pPr>
        <w:autoSpaceDE w:val="0"/>
        <w:autoSpaceDN w:val="0"/>
        <w:adjustRightInd w:val="0"/>
        <w:jc w:val="both"/>
        <w:rPr>
          <w:color w:val="000000" w:themeColor="text1"/>
          <w:sz w:val="16"/>
          <w:szCs w:val="16"/>
        </w:rPr>
      </w:pPr>
    </w:p>
    <w:p w14:paraId="119C3457" w14:textId="77777777" w:rsidR="00AC53C1" w:rsidRPr="00E14102" w:rsidRDefault="00AC53C1" w:rsidP="00E14102">
      <w:pPr>
        <w:jc w:val="both"/>
        <w:rPr>
          <w:color w:val="0070C0"/>
          <w:sz w:val="16"/>
          <w:szCs w:val="16"/>
        </w:rPr>
      </w:pPr>
      <w:r w:rsidRPr="00E14102">
        <w:rPr>
          <w:color w:val="0070C0"/>
          <w:sz w:val="16"/>
          <w:szCs w:val="16"/>
        </w:rPr>
        <w:t>В конце августа 1935 г., после приведения в порядок всей документа</w:t>
      </w:r>
      <w:r w:rsidRPr="00E14102">
        <w:rPr>
          <w:color w:val="0070C0"/>
          <w:sz w:val="16"/>
          <w:szCs w:val="16"/>
        </w:rPr>
        <w:softHyphen/>
        <w:t>ции (по военному варианту МГ), ее передали на хранение в секрет</w:t>
      </w:r>
      <w:r w:rsidRPr="00E14102">
        <w:rPr>
          <w:color w:val="0070C0"/>
          <w:sz w:val="16"/>
          <w:szCs w:val="16"/>
        </w:rPr>
        <w:softHyphen/>
        <w:t>ный архив КО ЦАГИ.</w:t>
      </w:r>
    </w:p>
    <w:p w14:paraId="3090AF52" w14:textId="77777777" w:rsidR="00AC53C1" w:rsidRPr="00E14102" w:rsidRDefault="00AC53C1" w:rsidP="00E14102">
      <w:pPr>
        <w:jc w:val="both"/>
        <w:rPr>
          <w:color w:val="0070C0"/>
          <w:sz w:val="16"/>
          <w:szCs w:val="16"/>
        </w:rPr>
      </w:pPr>
      <w:r w:rsidRPr="00E14102">
        <w:rPr>
          <w:color w:val="0070C0"/>
          <w:sz w:val="16"/>
          <w:szCs w:val="16"/>
        </w:rPr>
        <w:t>Это подтверждают две служебные записки, датированные 26 августа 1935 г. и адресованные 6-й брига</w:t>
      </w:r>
      <w:r w:rsidRPr="00E14102">
        <w:rPr>
          <w:color w:val="0070C0"/>
          <w:sz w:val="16"/>
          <w:szCs w:val="16"/>
        </w:rPr>
        <w:softHyphen/>
        <w:t>дой секретному архиву отдела КО и архи</w:t>
      </w:r>
      <w:r w:rsidRPr="00E14102">
        <w:rPr>
          <w:color w:val="0070C0"/>
          <w:sz w:val="16"/>
          <w:szCs w:val="16"/>
        </w:rPr>
        <w:softHyphen/>
        <w:t>ву КО НАГИ:</w:t>
      </w:r>
    </w:p>
    <w:p w14:paraId="39A2A73B" w14:textId="77777777" w:rsidR="00AC53C1" w:rsidRPr="00E14102" w:rsidRDefault="00AC53C1" w:rsidP="00E14102">
      <w:pPr>
        <w:jc w:val="both"/>
        <w:rPr>
          <w:color w:val="0070C0"/>
          <w:sz w:val="16"/>
          <w:szCs w:val="16"/>
        </w:rPr>
      </w:pPr>
      <w:r w:rsidRPr="00E14102">
        <w:rPr>
          <w:color w:val="0070C0"/>
          <w:sz w:val="16"/>
          <w:szCs w:val="16"/>
        </w:rPr>
        <w:t>«Прошу передать в секретный архив расчет самолета «МГ» (военный вариант) за № 1182ск и чертеж по «МГ» за Ns 7320—2200—4 для хранения в папке воен</w:t>
      </w:r>
      <w:r w:rsidRPr="00E14102">
        <w:rPr>
          <w:color w:val="0070C0"/>
          <w:sz w:val="16"/>
          <w:szCs w:val="16"/>
        </w:rPr>
        <w:softHyphen/>
        <w:t>ного варианта «МГ»...</w:t>
      </w:r>
    </w:p>
    <w:p w14:paraId="2FF65ABD" w14:textId="77777777" w:rsidR="00AC53C1" w:rsidRPr="00E14102" w:rsidRDefault="00AC53C1" w:rsidP="00E14102">
      <w:pPr>
        <w:jc w:val="both"/>
        <w:rPr>
          <w:color w:val="0070C0"/>
          <w:sz w:val="16"/>
          <w:szCs w:val="16"/>
        </w:rPr>
      </w:pPr>
      <w:r w:rsidRPr="00E14102">
        <w:rPr>
          <w:color w:val="0070C0"/>
          <w:sz w:val="16"/>
          <w:szCs w:val="16"/>
        </w:rPr>
        <w:t>«Просим хранить в папке «МГ» (воен</w:t>
      </w:r>
      <w:r w:rsidRPr="00E14102">
        <w:rPr>
          <w:color w:val="0070C0"/>
          <w:sz w:val="16"/>
          <w:szCs w:val="16"/>
        </w:rPr>
        <w:softHyphen/>
        <w:t>ный вариант) 1) расчеты по «МГ» за № /182ск и 2) чертеж по «МГ» за № 7320— 2200— 4. Указанный материал выдавать только 6-й бригаде. Другим бригадам без нашего разрешения не выда</w:t>
      </w:r>
      <w:r w:rsidRPr="00E14102">
        <w:rPr>
          <w:color w:val="0070C0"/>
          <w:sz w:val="16"/>
          <w:szCs w:val="16"/>
        </w:rPr>
        <w:softHyphen/>
        <w:t>вать» (21240).</w:t>
      </w:r>
    </w:p>
    <w:p w14:paraId="1903CDCB" w14:textId="77777777" w:rsidR="00AC53C1" w:rsidRPr="00E14102" w:rsidRDefault="00AC53C1" w:rsidP="00E14102">
      <w:pPr>
        <w:jc w:val="both"/>
        <w:rPr>
          <w:color w:val="0070C0"/>
          <w:sz w:val="16"/>
          <w:szCs w:val="16"/>
        </w:rPr>
      </w:pPr>
    </w:p>
    <w:p w14:paraId="4784A5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августа 1935 ЦАГИ и завод №24 вырабатывают и согласовывают технические данные двигателя АМ-34ФРН, завод обязывают предоставить к 1 марта 1936 года 5 двигателей (7685).</w:t>
      </w:r>
    </w:p>
    <w:p w14:paraId="46C94923" w14:textId="77777777" w:rsidR="00D4105E" w:rsidRPr="00E14102" w:rsidRDefault="00D4105E" w:rsidP="00E14102">
      <w:pPr>
        <w:autoSpaceDE w:val="0"/>
        <w:autoSpaceDN w:val="0"/>
        <w:adjustRightInd w:val="0"/>
        <w:jc w:val="both"/>
        <w:rPr>
          <w:color w:val="000000" w:themeColor="text1"/>
          <w:sz w:val="16"/>
          <w:szCs w:val="16"/>
        </w:rPr>
      </w:pPr>
    </w:p>
    <w:p w14:paraId="6426DB28" w14:textId="77777777" w:rsidR="00AC53C1" w:rsidRPr="00E14102" w:rsidRDefault="00AC53C1"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1B284F8" w14:textId="77777777" w:rsidR="00AC53C1" w:rsidRPr="00E14102" w:rsidRDefault="00AC53C1" w:rsidP="00E14102">
      <w:pPr>
        <w:autoSpaceDE w:val="0"/>
        <w:autoSpaceDN w:val="0"/>
        <w:adjustRightInd w:val="0"/>
        <w:jc w:val="both"/>
        <w:rPr>
          <w:iCs/>
          <w:color w:val="000000" w:themeColor="text1"/>
          <w:sz w:val="16"/>
          <w:szCs w:val="16"/>
        </w:rPr>
      </w:pPr>
    </w:p>
    <w:p w14:paraId="64E6D9E9" w14:textId="77777777" w:rsidR="00AC53C1" w:rsidRPr="00E14102" w:rsidRDefault="00AC53C1" w:rsidP="00E14102">
      <w:pPr>
        <w:jc w:val="both"/>
        <w:rPr>
          <w:color w:val="0070C0"/>
          <w:sz w:val="16"/>
          <w:szCs w:val="16"/>
        </w:rPr>
      </w:pPr>
      <w:r w:rsidRPr="00E14102">
        <w:rPr>
          <w:color w:val="0070C0"/>
          <w:sz w:val="16"/>
          <w:szCs w:val="16"/>
        </w:rPr>
        <w:t>В конце августа 1935 г. работы по дизелю «Коджу» завершились. Улучшенный модернизированный двигатель стали называть «НАТИ-Коджу». Этот предсерийный вариант сохранил все основные параметры опытного «Коджу». Головку упростили для литья и обработки, увеличили впускные клапаны, крышку головки сделана штампованной. Блок цилиндров подвергся значительным изменениям в силу замены алюминиевого литья чугунным с масляными магистралями в литье. Был переработан коленчатый вал: диаметр коренных шеек увеличили с 70 до 90 мм и поставили 12 противовесов. Двигатель развивал мощность 105 л.с. при 1800 мин-1 и был укомплектован ТНВД Самарского карбюраторного завода. Количество наименований деталей, включая нормали, сократилось с 584 до 447. В НАТИ изготовили 5 опытных двигателей «НАТИ-Коджу». Проводились дорожные испытания дизеля «НАТИ-Коджу» № 2 и стендовые испытания двигателей № 4 и 5 (21328).</w:t>
      </w:r>
    </w:p>
    <w:p w14:paraId="0742A95F" w14:textId="77777777" w:rsidR="00AC53C1" w:rsidRPr="00E14102" w:rsidRDefault="00AC53C1" w:rsidP="00E14102">
      <w:pPr>
        <w:jc w:val="both"/>
        <w:rPr>
          <w:color w:val="0070C0"/>
          <w:sz w:val="16"/>
          <w:szCs w:val="16"/>
        </w:rPr>
      </w:pPr>
      <w:r w:rsidRPr="00E14102">
        <w:rPr>
          <w:color w:val="0070C0"/>
          <w:sz w:val="16"/>
          <w:szCs w:val="16"/>
        </w:rPr>
        <w:t>В январе 1938 г. на строящемся Уфимском моторном заводе выпустили первую партию дизелей «НАТИ-Коджу». Двигатель «НАТИ-Коджу» получает название МД-23. В августе–сентябре перед постановкой в серийное производство проходят государственные испытания двух образцов двигателей НАТИ МД-23. К тому времени Н.И. Бобров, Н.К. Гончаров, А.В. Дорминдонтов под общим руководством Н.Р. Брилинга довели мощность дизеля до 133 л.с. при 1800 мин (21328).</w:t>
      </w:r>
    </w:p>
    <w:p w14:paraId="2368604E" w14:textId="2314B5DB" w:rsidR="00AC53C1" w:rsidRPr="00E14102" w:rsidRDefault="00AC53C1" w:rsidP="00E14102">
      <w:pPr>
        <w:jc w:val="both"/>
        <w:rPr>
          <w:color w:val="0070C0"/>
          <w:sz w:val="16"/>
          <w:szCs w:val="16"/>
        </w:rPr>
      </w:pPr>
    </w:p>
    <w:p w14:paraId="6C914A3A" w14:textId="19729711" w:rsidR="00AC53C1" w:rsidRPr="00E14102" w:rsidRDefault="00AC53C1" w:rsidP="00E14102">
      <w:pPr>
        <w:jc w:val="both"/>
        <w:rPr>
          <w:i/>
          <w:iCs/>
          <w:color w:val="0070C0"/>
          <w:sz w:val="16"/>
          <w:szCs w:val="16"/>
        </w:rPr>
      </w:pPr>
      <w:r w:rsidRPr="00E14102">
        <w:rPr>
          <w:i/>
          <w:iCs/>
          <w:color w:val="0070C0"/>
          <w:sz w:val="16"/>
          <w:szCs w:val="16"/>
        </w:rPr>
        <w:t>За рубежом:</w:t>
      </w:r>
    </w:p>
    <w:p w14:paraId="61B758F7" w14:textId="77777777" w:rsidR="00AC53C1" w:rsidRPr="00E14102" w:rsidRDefault="00AC53C1" w:rsidP="00E14102">
      <w:pPr>
        <w:jc w:val="both"/>
        <w:rPr>
          <w:i/>
          <w:iCs/>
          <w:color w:val="0070C0"/>
          <w:sz w:val="16"/>
          <w:szCs w:val="16"/>
        </w:rPr>
      </w:pPr>
    </w:p>
    <w:p w14:paraId="4ACAA7FF" w14:textId="77777777" w:rsidR="00AC53C1" w:rsidRPr="00E14102" w:rsidRDefault="00AC53C1" w:rsidP="00E14102">
      <w:pPr>
        <w:jc w:val="both"/>
        <w:rPr>
          <w:color w:val="0070C0"/>
          <w:sz w:val="16"/>
          <w:szCs w:val="16"/>
        </w:rPr>
      </w:pPr>
      <w:r w:rsidRPr="00E14102">
        <w:rPr>
          <w:color w:val="0070C0"/>
          <w:sz w:val="16"/>
          <w:szCs w:val="16"/>
        </w:rPr>
        <w:t>В конце августа 1935 Боинг 299, который совершил первый полет 28 июля 1935 года в Сиэтле на Тихоокеанском побережье США, прибыл на аэродром испытательного центра ВВС США Райт-Филд на Атлантическом побережье, преодолев без посадки 3380 км со средней скоростью 375 км/ч. Испытания прошли успешно, «Боинг» получил заказ на 65 самолетов, названных В-17, но в одном из последних зачетных полетов произошла катастрофа, в числе погибших были шеф-пилот фирмы Тернер и летчик-испытатель ВВС Хилл.</w:t>
      </w:r>
    </w:p>
    <w:p w14:paraId="5B9BCD88" w14:textId="77777777" w:rsidR="00AC53C1" w:rsidRPr="00E14102" w:rsidRDefault="00AC53C1" w:rsidP="00E14102">
      <w:pPr>
        <w:jc w:val="both"/>
        <w:rPr>
          <w:color w:val="0070C0"/>
          <w:sz w:val="16"/>
          <w:szCs w:val="16"/>
        </w:rPr>
      </w:pPr>
      <w:r w:rsidRPr="00E14102">
        <w:rPr>
          <w:color w:val="0070C0"/>
          <w:sz w:val="16"/>
          <w:szCs w:val="16"/>
        </w:rPr>
        <w:t>Причина оказалась банальной. На самолете впервые в мировой практике были установлены электромеханизмы стояночного стопорения рулей и элеронов, предотвращавшие их поломку ветром. И, как назло, опытнейшие пилоты не отключили блокировку, не заметили горящую сигнализацию и разбили машину.</w:t>
      </w:r>
    </w:p>
    <w:p w14:paraId="0328C9D4" w14:textId="77777777" w:rsidR="00AC53C1" w:rsidRPr="00E14102" w:rsidRDefault="00AC53C1" w:rsidP="00E14102">
      <w:pPr>
        <w:jc w:val="both"/>
        <w:rPr>
          <w:color w:val="0070C0"/>
          <w:sz w:val="16"/>
          <w:szCs w:val="16"/>
        </w:rPr>
      </w:pPr>
      <w:r w:rsidRPr="00E14102">
        <w:rPr>
          <w:color w:val="0070C0"/>
          <w:sz w:val="16"/>
          <w:szCs w:val="16"/>
        </w:rPr>
        <w:t>Этим воспользовались конкуренты из «Дугласа», заявив, что самолет «Боинга» полон такими «минами замедленного действия» и просто опасен для обычного летчика. Но гораздо более весомым их аргументом была цена: их двухмоторный DB-1 (Douglas Bomber #1) стоил 58500 долларов, а первый Боинг 299 почти вдвое больше — 99620 «зеленых» (22814).</w:t>
      </w:r>
    </w:p>
    <w:p w14:paraId="4ED38150" w14:textId="77777777" w:rsidR="00AC53C1" w:rsidRPr="00E14102" w:rsidRDefault="00AC53C1" w:rsidP="00E14102">
      <w:pPr>
        <w:jc w:val="both"/>
        <w:rPr>
          <w:color w:val="0070C0"/>
          <w:sz w:val="16"/>
          <w:szCs w:val="16"/>
        </w:rPr>
      </w:pPr>
    </w:p>
    <w:p w14:paraId="3307A7D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7BDF08A" w14:textId="77777777" w:rsidR="00D4105E" w:rsidRPr="00E14102" w:rsidRDefault="00D4105E" w:rsidP="00E14102">
      <w:pPr>
        <w:autoSpaceDE w:val="0"/>
        <w:autoSpaceDN w:val="0"/>
        <w:adjustRightInd w:val="0"/>
        <w:jc w:val="both"/>
        <w:rPr>
          <w:iCs/>
          <w:color w:val="000000" w:themeColor="text1"/>
          <w:sz w:val="16"/>
          <w:szCs w:val="16"/>
        </w:rPr>
      </w:pPr>
    </w:p>
    <w:p w14:paraId="5CC1C2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летало Звено-6: ТБ-3 (АНТ-6) + 3 И-16 под крылом (92,477).</w:t>
      </w:r>
    </w:p>
    <w:p w14:paraId="104B2B28" w14:textId="77777777" w:rsidR="00D4105E" w:rsidRPr="00E14102" w:rsidRDefault="00D4105E" w:rsidP="00E14102">
      <w:pPr>
        <w:autoSpaceDE w:val="0"/>
        <w:autoSpaceDN w:val="0"/>
        <w:adjustRightInd w:val="0"/>
        <w:jc w:val="both"/>
        <w:rPr>
          <w:color w:val="000000" w:themeColor="text1"/>
          <w:sz w:val="16"/>
          <w:szCs w:val="16"/>
        </w:rPr>
      </w:pPr>
    </w:p>
    <w:p w14:paraId="2EC353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на Балтике на КР-6а испытали упрощенный вариант торпедной подвески (2766,36).</w:t>
      </w:r>
    </w:p>
    <w:p w14:paraId="165AE7A7" w14:textId="77777777" w:rsidR="00D4105E" w:rsidRPr="00E14102" w:rsidRDefault="00D4105E" w:rsidP="00E14102">
      <w:pPr>
        <w:autoSpaceDE w:val="0"/>
        <w:autoSpaceDN w:val="0"/>
        <w:adjustRightInd w:val="0"/>
        <w:jc w:val="both"/>
        <w:rPr>
          <w:color w:val="000000" w:themeColor="text1"/>
          <w:sz w:val="16"/>
          <w:szCs w:val="16"/>
        </w:rPr>
      </w:pPr>
    </w:p>
    <w:p w14:paraId="3875A0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вышел Приказ наркома обороны N 181 О войсковых испытаниях самолета Р-ЗЕТ с М-34Н.</w:t>
      </w:r>
    </w:p>
    <w:p w14:paraId="139276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целью определения тактико-технических и эксплуатационных свойств самолета Р-ЗЕТ, а также выявления соответствия этого самолета боевым задачам разведчика приказываю:</w:t>
      </w:r>
    </w:p>
    <w:p w14:paraId="74D9A5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Распоряжением комвойсками ХВО произвести в одной из эскадрилий 452 Авиабригады (Харьков) войсковые испытания самолета Р-ЗЕТ с М-34Н.</w:t>
      </w:r>
    </w:p>
    <w:p w14:paraId="5C9D00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 передать 452 авиабригаде для войсковых испытаний первые 10 самолетов Р-ЗЕТ с М-34Н немедленно по получении с производства. Ворошилов (3120,76).</w:t>
      </w:r>
    </w:p>
    <w:p w14:paraId="0E1B5600" w14:textId="77777777" w:rsidR="00D4105E" w:rsidRPr="00E14102" w:rsidRDefault="00D4105E" w:rsidP="00E14102">
      <w:pPr>
        <w:autoSpaceDE w:val="0"/>
        <w:autoSpaceDN w:val="0"/>
        <w:adjustRightInd w:val="0"/>
        <w:jc w:val="both"/>
        <w:rPr>
          <w:color w:val="000000" w:themeColor="text1"/>
          <w:sz w:val="16"/>
          <w:szCs w:val="16"/>
        </w:rPr>
      </w:pPr>
    </w:p>
    <w:p w14:paraId="49BEE7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августа 1935 г. выпуск ПР-5 начали осваивать мастерские ГВФ в подмосковном поселке Быково. Там изготовляли фюзеляжи, а все остальное поставлялось с завода № 1. Головной серийный ПР-5 прошел заводские испытания в июле 1936 г., затем его представили на государственные в НИИ ГВФ. Они длились с 5 по 22 августа. Летал пилот Э.И. Шварц. Головной самолет оказался немного легче опытного экземпляра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испытателей звучал ободряюще: "Из всех модификаций самолета П5-М17Ф самолет ПР5-М17Ф наиболее удачен..."</w:t>
      </w:r>
    </w:p>
    <w:p w14:paraId="3BB8D8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Но недостатков отметили немало. С неудачной центровкой до конца не справились Поэтому просто запретили не только летать, но и рулить по аэродрому без груза или хотя бы одного пассажира в задней кабине. В пассажирской кабине тесно, вентиляция плохая. В дождь в нее через двери и окна просачивалась влага. В общем, комфорта было маловато.</w:t>
      </w:r>
    </w:p>
    <w:p w14:paraId="3D5E8C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ничего лучшего промышленность в те годы ГВФ предложить не могла. Поэтому выпуск ПР-5 продолжили. До конца 1940 г. завод № 241 делал их из старых (иногда уже списанных) П-5 и Р-5. Всего сделали более 130 таких машин.</w:t>
      </w:r>
    </w:p>
    <w:p w14:paraId="6F4657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опытном образце существовал еще более "продвинутый" ПР-12. У него фюзеляж и оперение ПР-5 объединили с новым монопланным крылом. Этот самолет некоторое время эксплуатировался на линии Москва - Харьков.</w:t>
      </w:r>
    </w:p>
    <w:p w14:paraId="788C47BE" w14:textId="77777777" w:rsidR="00D4105E" w:rsidRPr="00E14102" w:rsidRDefault="00D4105E" w:rsidP="00E14102">
      <w:pPr>
        <w:autoSpaceDE w:val="0"/>
        <w:autoSpaceDN w:val="0"/>
        <w:adjustRightInd w:val="0"/>
        <w:jc w:val="both"/>
        <w:rPr>
          <w:color w:val="000000" w:themeColor="text1"/>
          <w:sz w:val="16"/>
          <w:szCs w:val="16"/>
        </w:rPr>
      </w:pPr>
    </w:p>
    <w:p w14:paraId="38A94CE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августе 1935 г. планы работы ЦКБ на 1935 г. пере</w:t>
      </w:r>
      <w:r w:rsidRPr="00E14102">
        <w:rPr>
          <w:color w:val="000000" w:themeColor="text1"/>
          <w:sz w:val="16"/>
          <w:szCs w:val="16"/>
        </w:rPr>
        <w:softHyphen/>
        <w:t>смотрели. ВВС теперь настоятельно требовали скорости истребителей не менее 500 км/ч. И-18 (ЦКБ-25) со ско</w:t>
      </w:r>
      <w:r w:rsidRPr="00E14102">
        <w:rPr>
          <w:color w:val="000000" w:themeColor="text1"/>
          <w:sz w:val="16"/>
          <w:szCs w:val="16"/>
        </w:rPr>
        <w:softHyphen/>
        <w:t>ростью 483 км/ч этим условиям уже не удовлетворял, поэтому в планы бригады № 2 включили проектирова</w:t>
      </w:r>
      <w:r w:rsidRPr="00E14102">
        <w:rPr>
          <w:color w:val="000000" w:themeColor="text1"/>
          <w:sz w:val="16"/>
          <w:szCs w:val="16"/>
        </w:rPr>
        <w:softHyphen/>
        <w:t>ние нового варианта истребителя И-18 - ЦКБ-33 с мото</w:t>
      </w:r>
      <w:r w:rsidRPr="00E14102">
        <w:rPr>
          <w:color w:val="000000" w:themeColor="text1"/>
          <w:sz w:val="16"/>
          <w:szCs w:val="16"/>
        </w:rPr>
        <w:softHyphen/>
        <w:t>ром Испано-Сюиза и максимальной скоростью не менее 500 км/ч, отменив разработку И-19 (ЦКБ-25 с М-34ФН) и И-20 (ЦКБ-28). Предполагалось, что ЦКБ-33 выйдет на заводские испытания к 15 апреля 1936 г., хотя, по мнению Поликарпова, реально самолет можно было по</w:t>
      </w:r>
      <w:r w:rsidRPr="00E14102">
        <w:rPr>
          <w:color w:val="000000" w:themeColor="text1"/>
          <w:sz w:val="16"/>
          <w:szCs w:val="16"/>
        </w:rPr>
        <w:softHyphen/>
        <w:t>строить и к 15 марта. По тактико-техническим требованиям ВВС предпо</w:t>
      </w:r>
      <w:r w:rsidRPr="00E14102">
        <w:rPr>
          <w:color w:val="000000" w:themeColor="text1"/>
          <w:sz w:val="16"/>
          <w:szCs w:val="16"/>
        </w:rPr>
        <w:softHyphen/>
        <w:t>лагалось, что истребитель И-19 будет иметь максималь</w:t>
      </w:r>
      <w:r w:rsidRPr="00E14102">
        <w:rPr>
          <w:color w:val="000000" w:themeColor="text1"/>
          <w:sz w:val="16"/>
          <w:szCs w:val="16"/>
        </w:rPr>
        <w:softHyphen/>
        <w:t>ную скорость 550-580 км/ч, практический потолок 10000 м, дальность полета 1000 км, время набора высо</w:t>
      </w:r>
      <w:r w:rsidRPr="00E14102">
        <w:rPr>
          <w:color w:val="000000" w:themeColor="text1"/>
          <w:sz w:val="16"/>
          <w:szCs w:val="16"/>
        </w:rPr>
        <w:softHyphen/>
        <w:t>ты 5000 м - 5-5,5 мин. И-18 должен проектироваться в рамках общих тактико-технических требований на И-17 С.В.Ильюшин с учетом опыта проектирования ре</w:t>
      </w:r>
      <w:r w:rsidRPr="00E14102">
        <w:rPr>
          <w:color w:val="000000" w:themeColor="text1"/>
          <w:sz w:val="16"/>
          <w:szCs w:val="16"/>
        </w:rPr>
        <w:softHyphen/>
        <w:t>кордного самолета занимался созданием истребителя И-21 (ЦКБ-32) с М-34ФН. По расчетам он мог достичь скорости 600 км/ч (10667).</w:t>
      </w:r>
    </w:p>
    <w:p w14:paraId="51F8A7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239B22F" w14:textId="77777777" w:rsidR="00AA71EF" w:rsidRPr="00E14102" w:rsidRDefault="00AA71EF" w:rsidP="00E14102">
      <w:pPr>
        <w:jc w:val="both"/>
        <w:rPr>
          <w:color w:val="0070C0"/>
          <w:sz w:val="16"/>
          <w:szCs w:val="16"/>
        </w:rPr>
      </w:pPr>
      <w:r w:rsidRPr="00E14102">
        <w:rPr>
          <w:color w:val="0070C0"/>
          <w:sz w:val="16"/>
          <w:szCs w:val="16"/>
        </w:rPr>
        <w:t>В августе 1935 года летные заводские испытания И-16 проводил П.Л. Павлушов. На одной из самых первых машин № 4217 была представлена конструкция неубираюшегося шасси собственной заводской разработки. Это из-за сложностей с внедрением механизма уборки шасси. Их закрыли обтекателями, а ниши на нижней поверхности крыла зашили. После заводских испытаний самолет был передан в НИИ ВВС на государственные испытания шасси, которые проводил летчик-испытатель П.М. Стефановский. Но их машина не выдержала. После одного из полетов подломилась стойка шасси из-за недостаточной прочности цилиндра амортизации. В дальнейшем этот самолет использовался в аэроклубе завода. Такую конструкцию шасси в серию не запустили. Однако обтекатели-штаны применили на лыжных шасси (21100).</w:t>
      </w:r>
    </w:p>
    <w:p w14:paraId="1A758061" w14:textId="77777777" w:rsidR="00AA71EF" w:rsidRPr="00E14102" w:rsidRDefault="00AA71EF" w:rsidP="00E14102">
      <w:pPr>
        <w:jc w:val="both"/>
        <w:rPr>
          <w:color w:val="0070C0"/>
          <w:sz w:val="16"/>
          <w:szCs w:val="16"/>
        </w:rPr>
      </w:pPr>
    </w:p>
    <w:p w14:paraId="4B4ACB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августе 1935 г. В.П.Чкалов совершил первые полеты на серийном истре</w:t>
      </w:r>
      <w:r w:rsidRPr="00E14102">
        <w:rPr>
          <w:color w:val="000000" w:themeColor="text1"/>
          <w:sz w:val="16"/>
          <w:szCs w:val="16"/>
        </w:rPr>
        <w:softHyphen/>
        <w:t>бителе И-15 № 33907 производства завода № 39, т.е. седьмом экземпляре самолета (поэтому в заводских докумен</w:t>
      </w:r>
      <w:r w:rsidRPr="00E14102">
        <w:rPr>
          <w:color w:val="000000" w:themeColor="text1"/>
          <w:sz w:val="16"/>
          <w:szCs w:val="16"/>
        </w:rPr>
        <w:softHyphen/>
        <w:t>тах он обозначался как ЦКБ-3 №7, И-15 №7, самолет № 7) с нормальным центропланом. За счет размещения само</w:t>
      </w:r>
      <w:r w:rsidRPr="00E14102">
        <w:rPr>
          <w:color w:val="000000" w:themeColor="text1"/>
          <w:sz w:val="16"/>
          <w:szCs w:val="16"/>
        </w:rPr>
        <w:softHyphen/>
        <w:t>пуска, выхлопного коллектора, другого оборудования взлетный вес машины увеличился на 84,6 кг. Время выполнения виража на высоте 1000 м увели</w:t>
      </w:r>
      <w:r w:rsidRPr="00E14102">
        <w:rPr>
          <w:color w:val="000000" w:themeColor="text1"/>
          <w:sz w:val="16"/>
          <w:szCs w:val="16"/>
        </w:rPr>
        <w:softHyphen/>
        <w:t>чилось до 9,36 секунд (10667).</w:t>
      </w:r>
    </w:p>
    <w:p w14:paraId="0F71A22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5663F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года в НИИ ВВС закончились гос. испытания И-15 Райт-Циклон F-3 центроплан (опытный), которые проходили с мая</w:t>
      </w:r>
    </w:p>
    <w:p w14:paraId="0E8DDF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Госиспытания выдержал. Рекомендован для серийной постройки</w:t>
      </w:r>
    </w:p>
    <w:p w14:paraId="73B926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Отмечены:</w:t>
      </w:r>
    </w:p>
    <w:p w14:paraId="210FC7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Вибрация элеронов.</w:t>
      </w:r>
    </w:p>
    <w:p w14:paraId="75616A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Недостаточная прочность ног шасси – в креплении стойки к шлицевому стакану (7721, 248-250).</w:t>
      </w:r>
    </w:p>
    <w:p w14:paraId="353D81D0" w14:textId="77777777" w:rsidR="00D4105E" w:rsidRPr="00E14102" w:rsidRDefault="00D4105E" w:rsidP="00E14102">
      <w:pPr>
        <w:autoSpaceDE w:val="0"/>
        <w:autoSpaceDN w:val="0"/>
        <w:adjustRightInd w:val="0"/>
        <w:jc w:val="both"/>
        <w:rPr>
          <w:color w:val="000000" w:themeColor="text1"/>
          <w:sz w:val="16"/>
          <w:szCs w:val="16"/>
        </w:rPr>
      </w:pPr>
    </w:p>
    <w:p w14:paraId="13A9DF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1936 года инженером 1 отдела НИИ ВВС в/инженер 1 ранга Воеводиным был поднят вопрос на основе практики посадок самолета И16 на большой скорости (аварийные случаи) в частях ВВС, о работе Вахмистрова по экспериментальному самолету “Истребитель звена”. Такой самолет за счет значительного повышения посадочной скорости может дать максимальную скорость превышающую на 100 км/час и более, кроме того эти самолеты находясь на определенной высоте в боевой готовности на авиаматке, получив целеуказание, легче (по времени) смогут осуществить атаку на соединение бомбардировщиков (4180,5).</w:t>
      </w:r>
    </w:p>
    <w:p w14:paraId="76F7DFBE" w14:textId="77777777" w:rsidR="00D4105E" w:rsidRPr="00E14102" w:rsidRDefault="00D4105E" w:rsidP="00E14102">
      <w:pPr>
        <w:autoSpaceDE w:val="0"/>
        <w:autoSpaceDN w:val="0"/>
        <w:adjustRightInd w:val="0"/>
        <w:jc w:val="both"/>
        <w:rPr>
          <w:color w:val="000000" w:themeColor="text1"/>
          <w:sz w:val="16"/>
          <w:szCs w:val="16"/>
        </w:rPr>
      </w:pPr>
    </w:p>
    <w:p w14:paraId="1E4F76AF" w14:textId="77777777" w:rsidR="00A92C37" w:rsidRPr="00E14102" w:rsidRDefault="00A92C37" w:rsidP="00E14102">
      <w:pPr>
        <w:shd w:val="clear" w:color="auto" w:fill="FFFFFF"/>
        <w:jc w:val="both"/>
        <w:rPr>
          <w:color w:val="000000" w:themeColor="text1"/>
          <w:sz w:val="16"/>
          <w:szCs w:val="16"/>
        </w:rPr>
      </w:pPr>
      <w:r w:rsidRPr="00E14102">
        <w:rPr>
          <w:color w:val="000000" w:themeColor="text1"/>
          <w:sz w:val="16"/>
          <w:szCs w:val="16"/>
        </w:rPr>
        <w:t>В августе 1935 года состоялся пересмотр планов работы ЦКБ на 1935 год. Руководство ВВС теперь настоятельно стали требовать увеличения скорости проектируемых истребителей свыше 500 км/ч. Истребитель И-18 (ЦКБ-25) со скоростью 483 км/ч этим требованиям уже не удовлетворял, поэтому конструкторы приступили к проектированию нового варианта истребителя И-18 (ЦКБ-33). Этот истребитель являлся улучшенной модификацией ЦКБ-15 и ЦКБ-19, но имел другой двигатель с пароиспарительным охлаждением и другое вооружение. Эскизный проект самолета ЦКБ-33 был завершен в декабре 1935 года. Самолет мог достигать скорости 507 км/ч на высоте 3380 метров, потолка в 9975 метров, и дальности полета 800 км. Предполагалось, что ЦКБ-33 выйдет на заводские испытания к 15-му апреля 1936 года (15223).</w:t>
      </w:r>
    </w:p>
    <w:p w14:paraId="6988D863" w14:textId="77777777" w:rsidR="00A92C37" w:rsidRPr="00E14102" w:rsidRDefault="00A92C37" w:rsidP="00E14102">
      <w:pPr>
        <w:shd w:val="clear" w:color="auto" w:fill="FFFFFF"/>
        <w:jc w:val="both"/>
        <w:rPr>
          <w:color w:val="000000" w:themeColor="text1"/>
          <w:sz w:val="16"/>
          <w:szCs w:val="16"/>
        </w:rPr>
      </w:pPr>
    </w:p>
    <w:p w14:paraId="41E22C60" w14:textId="77777777" w:rsidR="00283E82" w:rsidRPr="00E14102" w:rsidRDefault="00283E82" w:rsidP="00E14102">
      <w:pPr>
        <w:jc w:val="both"/>
        <w:rPr>
          <w:color w:val="000000" w:themeColor="text1"/>
          <w:sz w:val="16"/>
          <w:szCs w:val="16"/>
        </w:rPr>
      </w:pPr>
      <w:r w:rsidRPr="00E14102">
        <w:rPr>
          <w:color w:val="000000" w:themeColor="text1"/>
          <w:sz w:val="16"/>
          <w:szCs w:val="16"/>
        </w:rPr>
        <w:t>В августе 1935 г. «Звено-6», как назвали новую комбинацию самолётов, выполнило первый полёт. Он прошёл успешно, пилотировавшие истребители С.П. Супрун и В.К. Елисеев заявили, что после некоторой тренировки любой строевой лётчик-истребитель сможет летать в составе «звена».</w:t>
      </w:r>
    </w:p>
    <w:p w14:paraId="1CCD339F" w14:textId="77777777" w:rsidR="00283E82" w:rsidRPr="00E14102" w:rsidRDefault="00283E82" w:rsidP="00E14102">
      <w:pPr>
        <w:jc w:val="both"/>
        <w:rPr>
          <w:color w:val="000000" w:themeColor="text1"/>
          <w:sz w:val="16"/>
          <w:szCs w:val="16"/>
        </w:rPr>
      </w:pPr>
      <w:r w:rsidRPr="00E14102">
        <w:rPr>
          <w:color w:val="000000" w:themeColor="text1"/>
          <w:sz w:val="16"/>
          <w:szCs w:val="16"/>
        </w:rPr>
        <w:t>Теперь подвешивать самолёт к ТБ-3 стало очень просто: истребитель подкатывали под крыло бомбардировщика, несколько человек приподнимали хвост И 16 и запирали задний замок, затем фиксировались передние узлы крепления, лётчик убирал шасси и самолёт-звено был готов к взлёту. На всё это при работе 6–7 человек уходило 2–3 минуты.</w:t>
      </w:r>
    </w:p>
    <w:p w14:paraId="07421EF3" w14:textId="77777777" w:rsidR="00283E82" w:rsidRPr="00E14102" w:rsidRDefault="00283E82" w:rsidP="00E14102">
      <w:pPr>
        <w:jc w:val="both"/>
        <w:rPr>
          <w:color w:val="000000" w:themeColor="text1"/>
          <w:sz w:val="16"/>
          <w:szCs w:val="16"/>
        </w:rPr>
      </w:pPr>
      <w:r w:rsidRPr="00E14102">
        <w:rPr>
          <w:color w:val="000000" w:themeColor="text1"/>
          <w:sz w:val="16"/>
          <w:szCs w:val="16"/>
        </w:rPr>
        <w:t>Как и в прежних опытах, И-16 крепился к крылу ТБ-3 в трёх точках. На нижней трубе лонжерона бомбардировщика были установлены пирамиды из стальных труб обтекаемого сечения, вершинами вниз. На концах пирамид находились кольцевые замки, захватывающие валики, расположенные на дополнительной нервюре истребителя в месте стыка консолей и центроплана крыла. Третья точка крепления представляла собой замок в верхней части фюзеляжа истребителя за сидением лётчика. Замок фиксировал валик стойки, шарнирно закреплённой на крыле ТБ-3.</w:t>
      </w:r>
    </w:p>
    <w:p w14:paraId="0EAA0EFF" w14:textId="77777777" w:rsidR="00283E82" w:rsidRPr="00E14102" w:rsidRDefault="00283E82" w:rsidP="00E14102">
      <w:pPr>
        <w:jc w:val="both"/>
        <w:rPr>
          <w:color w:val="000000" w:themeColor="text1"/>
          <w:sz w:val="16"/>
          <w:szCs w:val="16"/>
        </w:rPr>
      </w:pPr>
      <w:r w:rsidRPr="00E14102">
        <w:rPr>
          <w:color w:val="000000" w:themeColor="text1"/>
          <w:sz w:val="16"/>
          <w:szCs w:val="16"/>
        </w:rPr>
        <w:t>Для отцепки лётчик И-16 открывал задний замок, и стойка с помощью амортизатора отклонялась назад. При даче ручки управления «от себя» хвост И 16 приподнимался, истребитель сходил с передних замков кольцевого типа и улетал вниз и в сторону. Отцепка производилась на скорости 150–160 км/ч.</w:t>
      </w:r>
    </w:p>
    <w:p w14:paraId="2D0E0163" w14:textId="77777777" w:rsidR="00283E82" w:rsidRPr="00E14102" w:rsidRDefault="00283E82" w:rsidP="00E14102">
      <w:pPr>
        <w:jc w:val="both"/>
        <w:rPr>
          <w:color w:val="000000" w:themeColor="text1"/>
          <w:sz w:val="16"/>
          <w:szCs w:val="16"/>
        </w:rPr>
      </w:pPr>
      <w:r w:rsidRPr="00E14102">
        <w:rPr>
          <w:color w:val="000000" w:themeColor="text1"/>
          <w:sz w:val="16"/>
          <w:szCs w:val="16"/>
        </w:rPr>
        <w:t>С 21 октября по 1 декабря прошли государственные испытания «Звена-6». Перед этим И-16 оборудовали системой подпитки топливом и маслом от ТБ-3. Самолёты соединялись резиновыми шлангами, они крепились к истребителям замками, открывающимися из кабины И-16. На концах шлангов стояли клапаны, которые перекрывали магистрали при расцеплении самолётов.</w:t>
      </w:r>
    </w:p>
    <w:p w14:paraId="0D580803" w14:textId="77777777" w:rsidR="00283E82" w:rsidRPr="00E14102" w:rsidRDefault="00283E82" w:rsidP="00E14102">
      <w:pPr>
        <w:jc w:val="both"/>
        <w:rPr>
          <w:color w:val="000000" w:themeColor="text1"/>
          <w:sz w:val="16"/>
          <w:szCs w:val="16"/>
        </w:rPr>
      </w:pPr>
      <w:r w:rsidRPr="00E14102">
        <w:rPr>
          <w:color w:val="000000" w:themeColor="text1"/>
          <w:sz w:val="16"/>
          <w:szCs w:val="16"/>
        </w:rPr>
        <w:t>Сначала тренировались в подвеске и сбрасывании И-16 на земле — это упражнение сделали 26 раз. Затем выполнили 10 полётов с разделением самолётов. Лётные качества «звена» по сравнению с обычным ТБ-3 изменились несущественно: потолок уменьшился на 400 м, максимальная скорость возросла на 7–8 км/ч. Среди замечаний отмечались недоработанность системы внешнего питания истребителя горючим и маслом (течь в местах крепления шлангов к истребителю, нечёткая работа замков их отсоединения) и отсутствие средств связи между экипажами бомбардировщика и подвесных самолётов.</w:t>
      </w:r>
    </w:p>
    <w:p w14:paraId="053814CA" w14:textId="77777777" w:rsidR="00283E82" w:rsidRPr="00E14102" w:rsidRDefault="00283E82" w:rsidP="00E14102">
      <w:pPr>
        <w:jc w:val="both"/>
        <w:rPr>
          <w:color w:val="000000" w:themeColor="text1"/>
          <w:sz w:val="16"/>
          <w:szCs w:val="16"/>
        </w:rPr>
      </w:pPr>
      <w:r w:rsidRPr="00E14102">
        <w:rPr>
          <w:color w:val="000000" w:themeColor="text1"/>
          <w:sz w:val="16"/>
          <w:szCs w:val="16"/>
        </w:rPr>
        <w:t>Но в целом впечатление было положительное. Заключение по полётам гласило:</w:t>
      </w:r>
    </w:p>
    <w:p w14:paraId="5382379D" w14:textId="77777777" w:rsidR="00283E82" w:rsidRPr="00E14102" w:rsidRDefault="00283E82" w:rsidP="00E14102">
      <w:pPr>
        <w:jc w:val="both"/>
        <w:rPr>
          <w:color w:val="000000" w:themeColor="text1"/>
          <w:sz w:val="16"/>
          <w:szCs w:val="16"/>
        </w:rPr>
      </w:pPr>
      <w:r w:rsidRPr="00E14102">
        <w:rPr>
          <w:color w:val="000000" w:themeColor="text1"/>
          <w:sz w:val="16"/>
          <w:szCs w:val="16"/>
        </w:rPr>
        <w:t>«1. Установку соединения Звено (ТБ-3 4М-17 + 2 И-16), заводской литер 3–6, считать прошедшей испытания.</w:t>
      </w:r>
    </w:p>
    <w:p w14:paraId="459C5EA6" w14:textId="77777777" w:rsidR="00283E82" w:rsidRPr="00E14102" w:rsidRDefault="00283E82" w:rsidP="00E14102">
      <w:pPr>
        <w:jc w:val="both"/>
        <w:rPr>
          <w:color w:val="000000" w:themeColor="text1"/>
          <w:sz w:val="16"/>
          <w:szCs w:val="16"/>
        </w:rPr>
      </w:pPr>
      <w:r w:rsidRPr="00E14102">
        <w:rPr>
          <w:color w:val="000000" w:themeColor="text1"/>
          <w:sz w:val="16"/>
          <w:szCs w:val="16"/>
        </w:rPr>
        <w:t>2. При условии замены на ТБ-3 отдельных деталей шасси на усиленные (узлы крепления полуоси, амортстойки, подкосы) и устранении выявленных дефектов, соединение Звено в составе ТБ-3 4М-17 + 2 И-16 может быть рекомендовано на вооружение ВВС в качестве:</w:t>
      </w:r>
    </w:p>
    <w:p w14:paraId="1AE7CD44" w14:textId="77777777" w:rsidR="00283E82" w:rsidRPr="00E14102" w:rsidRDefault="00283E82" w:rsidP="00E14102">
      <w:pPr>
        <w:jc w:val="both"/>
        <w:rPr>
          <w:color w:val="000000" w:themeColor="text1"/>
          <w:sz w:val="16"/>
          <w:szCs w:val="16"/>
        </w:rPr>
      </w:pPr>
      <w:r w:rsidRPr="00E14102">
        <w:rPr>
          <w:color w:val="000000" w:themeColor="text1"/>
          <w:sz w:val="16"/>
          <w:szCs w:val="16"/>
        </w:rPr>
        <w:t>а) транспортного для заброски на далёкие расстояния;</w:t>
      </w:r>
    </w:p>
    <w:p w14:paraId="49BA5DB4" w14:textId="77777777" w:rsidR="00283E82" w:rsidRPr="00E14102" w:rsidRDefault="00283E82" w:rsidP="00E14102">
      <w:pPr>
        <w:jc w:val="both"/>
        <w:rPr>
          <w:color w:val="000000" w:themeColor="text1"/>
          <w:sz w:val="16"/>
          <w:szCs w:val="16"/>
        </w:rPr>
      </w:pPr>
      <w:r w:rsidRPr="00E14102">
        <w:rPr>
          <w:color w:val="000000" w:themeColor="text1"/>
          <w:sz w:val="16"/>
          <w:szCs w:val="16"/>
        </w:rPr>
        <w:t>б) авиаматки ПВО.</w:t>
      </w:r>
    </w:p>
    <w:p w14:paraId="0DA99E7B" w14:textId="77777777" w:rsidR="00283E82" w:rsidRPr="00E14102" w:rsidRDefault="00283E82" w:rsidP="00E14102">
      <w:pPr>
        <w:jc w:val="both"/>
        <w:rPr>
          <w:color w:val="000000" w:themeColor="text1"/>
          <w:sz w:val="16"/>
          <w:szCs w:val="16"/>
        </w:rPr>
      </w:pPr>
      <w:r w:rsidRPr="00E14102">
        <w:rPr>
          <w:color w:val="000000" w:themeColor="text1"/>
          <w:sz w:val="16"/>
          <w:szCs w:val="16"/>
        </w:rPr>
        <w:t>Кроме того, при условии замены ТБ-3 4М-17 на более современный вариант ТБ-3 4М-34Р или PН в качестве:</w:t>
      </w:r>
    </w:p>
    <w:p w14:paraId="3F31913A" w14:textId="77777777" w:rsidR="00283E82" w:rsidRPr="00E14102" w:rsidRDefault="00283E82" w:rsidP="00E14102">
      <w:pPr>
        <w:jc w:val="both"/>
        <w:rPr>
          <w:color w:val="000000" w:themeColor="text1"/>
          <w:sz w:val="16"/>
          <w:szCs w:val="16"/>
        </w:rPr>
      </w:pPr>
      <w:r w:rsidRPr="00E14102">
        <w:rPr>
          <w:color w:val="000000" w:themeColor="text1"/>
          <w:sz w:val="16"/>
          <w:szCs w:val="16"/>
        </w:rPr>
        <w:t>а) ТБ с собственным охранением и</w:t>
      </w:r>
    </w:p>
    <w:p w14:paraId="6B9D2EEA" w14:textId="77777777" w:rsidR="00283E82" w:rsidRPr="00E14102" w:rsidRDefault="00283E82" w:rsidP="00E14102">
      <w:pPr>
        <w:jc w:val="both"/>
        <w:rPr>
          <w:color w:val="000000" w:themeColor="text1"/>
          <w:sz w:val="16"/>
          <w:szCs w:val="16"/>
        </w:rPr>
      </w:pPr>
      <w:r w:rsidRPr="00E14102">
        <w:rPr>
          <w:color w:val="000000" w:themeColor="text1"/>
          <w:sz w:val="16"/>
          <w:szCs w:val="16"/>
        </w:rPr>
        <w:t>б) тяжёлого крейсера с 2 истребителями на нём.</w:t>
      </w:r>
    </w:p>
    <w:p w14:paraId="081DC6D7" w14:textId="77777777" w:rsidR="00283E82" w:rsidRPr="00E14102" w:rsidRDefault="00283E82" w:rsidP="00E14102">
      <w:pPr>
        <w:jc w:val="both"/>
        <w:rPr>
          <w:color w:val="000000" w:themeColor="text1"/>
          <w:sz w:val="16"/>
          <w:szCs w:val="16"/>
        </w:rPr>
      </w:pPr>
      <w:r w:rsidRPr="00E14102">
        <w:rPr>
          <w:color w:val="000000" w:themeColor="text1"/>
          <w:sz w:val="16"/>
          <w:szCs w:val="16"/>
        </w:rPr>
        <w:t>&lt;…&gt;</w:t>
      </w:r>
    </w:p>
    <w:p w14:paraId="7961D515" w14:textId="77777777" w:rsidR="00283E82" w:rsidRPr="00E14102" w:rsidRDefault="00283E82" w:rsidP="00E14102">
      <w:pPr>
        <w:jc w:val="both"/>
        <w:rPr>
          <w:color w:val="000000" w:themeColor="text1"/>
          <w:sz w:val="16"/>
          <w:szCs w:val="16"/>
        </w:rPr>
      </w:pPr>
      <w:r w:rsidRPr="00E14102">
        <w:rPr>
          <w:color w:val="000000" w:themeColor="text1"/>
          <w:sz w:val="16"/>
          <w:szCs w:val="16"/>
        </w:rPr>
        <w:t>4. Учитывая полную принципиальную отработку вопроса с установкой на тяжёлые самолёты и его тактическую ценность, считать необходимым дополнить существующие требования к проектируемым истребителям и ТБ и включить в новые ТТТ к самолётам этого типа пункт о разработке приспособлений аналогичного типа, одновременно с разработкой конструкции самого самолёта и об учёте подвески во всех видах расчётов».</w:t>
      </w:r>
    </w:p>
    <w:p w14:paraId="39388290" w14:textId="77777777" w:rsidR="00283E82" w:rsidRPr="00E14102" w:rsidRDefault="00283E82" w:rsidP="00E14102">
      <w:pPr>
        <w:jc w:val="both"/>
        <w:rPr>
          <w:color w:val="000000" w:themeColor="text1"/>
          <w:sz w:val="16"/>
          <w:szCs w:val="16"/>
        </w:rPr>
      </w:pPr>
      <w:r w:rsidRPr="00E14102">
        <w:rPr>
          <w:color w:val="000000" w:themeColor="text1"/>
          <w:sz w:val="16"/>
          <w:szCs w:val="16"/>
        </w:rPr>
        <w:t xml:space="preserve">Начальник ВВС Алкснис добавил предложение о формировании авиабригады составных самолётов и распорядился дать заказ на оборудование 48 ТБ-3 4М-17 и 96 И-16 М-22 устройствами для подвески </w:t>
      </w:r>
      <w:hyperlink r:id="rId190" w:history="1">
        <w:r w:rsidRPr="00E14102">
          <w:rPr>
            <w:color w:val="000000" w:themeColor="text1"/>
            <w:sz w:val="16"/>
            <w:szCs w:val="16"/>
          </w:rPr>
          <w:t>[91]</w:t>
        </w:r>
      </w:hyperlink>
      <w:r w:rsidRPr="00E14102">
        <w:rPr>
          <w:color w:val="000000" w:themeColor="text1"/>
          <w:sz w:val="16"/>
          <w:szCs w:val="16"/>
        </w:rPr>
        <w:t xml:space="preserve"> .</w:t>
      </w:r>
    </w:p>
    <w:p w14:paraId="47F59292" w14:textId="77777777" w:rsidR="00283E82" w:rsidRPr="00E14102" w:rsidRDefault="00283E82" w:rsidP="00E14102">
      <w:pPr>
        <w:jc w:val="both"/>
        <w:rPr>
          <w:color w:val="000000" w:themeColor="text1"/>
          <w:sz w:val="16"/>
          <w:szCs w:val="16"/>
        </w:rPr>
      </w:pPr>
      <w:r w:rsidRPr="00E14102">
        <w:rPr>
          <w:color w:val="000000" w:themeColor="text1"/>
          <w:sz w:val="16"/>
          <w:szCs w:val="16"/>
        </w:rPr>
        <w:t xml:space="preserve">Успешные полёты «звеньев» разных типов позволили Вахмистрову заняться воплощением в жизнь «авиаматки ПВО» — по сути, летающего аэродрома с базирующимися на нём истребителями. «Я предлагаю авиацию с её аэродромами поднять в воздух», — писал изобретатель </w:t>
      </w:r>
      <w:hyperlink r:id="rId191" w:history="1">
        <w:r w:rsidRPr="00E14102">
          <w:rPr>
            <w:color w:val="000000" w:themeColor="text1"/>
            <w:sz w:val="16"/>
            <w:szCs w:val="16"/>
          </w:rPr>
          <w:t>[92]</w:t>
        </w:r>
      </w:hyperlink>
      <w:r w:rsidRPr="00E14102">
        <w:rPr>
          <w:color w:val="000000" w:themeColor="text1"/>
          <w:sz w:val="16"/>
          <w:szCs w:val="16"/>
        </w:rPr>
        <w:t xml:space="preserve"> . Авиаматка должна была подолгу барражировать над охраняемым объектом. При приближении вражеских самолётов от неё отсоединялись истребители и атаковали противника. Затем они приземлялись на аэродром или вновь сцеплялись с самолётом-носителем.</w:t>
      </w:r>
    </w:p>
    <w:p w14:paraId="3304D716" w14:textId="77777777" w:rsidR="00283E82" w:rsidRPr="00E14102" w:rsidRDefault="00283E82" w:rsidP="00E14102">
      <w:pPr>
        <w:jc w:val="both"/>
        <w:rPr>
          <w:color w:val="000000" w:themeColor="text1"/>
          <w:sz w:val="16"/>
          <w:szCs w:val="16"/>
        </w:rPr>
      </w:pPr>
      <w:r w:rsidRPr="00E14102">
        <w:rPr>
          <w:color w:val="000000" w:themeColor="text1"/>
          <w:sz w:val="16"/>
          <w:szCs w:val="16"/>
        </w:rPr>
        <w:t xml:space="preserve">В.С. Вахмистров вспоминал: «Для авиаматки проектировалось огромное летающее крыло Черановского. Матка должна была представлять собой бомбардировщик с бомбами, поднимающий шесть истребителей. (Ранее предлагался ещё более грандиозный проект — самолёт-парабола размахом 100 м с 15 истребителями И-15 сверху и 5–6 И-Z снизу. — Д.С.) </w:t>
      </w:r>
      <w:hyperlink r:id="rId192" w:history="1">
        <w:r w:rsidRPr="00E14102">
          <w:rPr>
            <w:color w:val="000000" w:themeColor="text1"/>
            <w:sz w:val="16"/>
            <w:szCs w:val="16"/>
          </w:rPr>
          <w:t>[93]</w:t>
        </w:r>
      </w:hyperlink>
      <w:r w:rsidRPr="00E14102">
        <w:rPr>
          <w:color w:val="000000" w:themeColor="text1"/>
          <w:sz w:val="16"/>
          <w:szCs w:val="16"/>
        </w:rPr>
        <w:t xml:space="preserve"> .</w:t>
      </w:r>
    </w:p>
    <w:p w14:paraId="5BBC3DFC" w14:textId="77777777" w:rsidR="00283E82" w:rsidRPr="00E14102" w:rsidRDefault="00283E82" w:rsidP="00E14102">
      <w:pPr>
        <w:jc w:val="both"/>
        <w:rPr>
          <w:color w:val="000000" w:themeColor="text1"/>
          <w:sz w:val="16"/>
          <w:szCs w:val="16"/>
        </w:rPr>
      </w:pPr>
      <w:r w:rsidRPr="00E14102">
        <w:rPr>
          <w:color w:val="000000" w:themeColor="text1"/>
          <w:sz w:val="16"/>
          <w:szCs w:val="16"/>
        </w:rPr>
        <w:lastRenderedPageBreak/>
        <w:t>Мне пришлось докладывать об этом проекте на заседании Реввоенсовета. Я привез туда все чертежи и рисунки. Мне дали для доклада 15–20 минут. Семён Михайлович Будённый помог мне развесить рисунки. Рисунок самолёта-параболы был непонятен, и Будённый повесил его вверх ногами.</w:t>
      </w:r>
    </w:p>
    <w:p w14:paraId="5FA2C1F7" w14:textId="77777777" w:rsidR="00283E82" w:rsidRPr="00E14102" w:rsidRDefault="00283E82" w:rsidP="00E14102">
      <w:pPr>
        <w:jc w:val="both"/>
        <w:rPr>
          <w:color w:val="000000" w:themeColor="text1"/>
          <w:sz w:val="16"/>
          <w:szCs w:val="16"/>
        </w:rPr>
      </w:pPr>
      <w:r w:rsidRPr="00E14102">
        <w:rPr>
          <w:color w:val="000000" w:themeColor="text1"/>
          <w:sz w:val="16"/>
          <w:szCs w:val="16"/>
        </w:rPr>
        <w:t>К докладу был проявлен очень большой интерес. Эта беседа вместо 15–20 минут длилась около двух часов. Я был откомандирован для его постройки на 22 завод. Работу по проекту вела молодёжь, студенты из МАИ. Спроектировали. Пропустили через макетную комиссию. Начали строить.</w:t>
      </w:r>
    </w:p>
    <w:p w14:paraId="01F7FD45" w14:textId="77777777" w:rsidR="00283E82" w:rsidRPr="00E14102" w:rsidRDefault="00283E82" w:rsidP="00E14102">
      <w:pPr>
        <w:jc w:val="both"/>
        <w:rPr>
          <w:color w:val="000000" w:themeColor="text1"/>
          <w:sz w:val="16"/>
          <w:szCs w:val="16"/>
        </w:rPr>
      </w:pPr>
      <w:r w:rsidRPr="00E14102">
        <w:rPr>
          <w:color w:val="000000" w:themeColor="text1"/>
          <w:sz w:val="16"/>
          <w:szCs w:val="16"/>
        </w:rPr>
        <w:t>Тухачевский очень поддерживал нашу работу. Однако когда он доложил о нашем проекте Сталину, Сталин сказал:</w:t>
      </w:r>
    </w:p>
    <w:p w14:paraId="21BC000F" w14:textId="77777777" w:rsidR="00283E82" w:rsidRPr="00E14102" w:rsidRDefault="00283E82" w:rsidP="00E14102">
      <w:pPr>
        <w:jc w:val="both"/>
        <w:rPr>
          <w:color w:val="000000" w:themeColor="text1"/>
          <w:sz w:val="16"/>
          <w:szCs w:val="16"/>
        </w:rPr>
      </w:pPr>
      <w:r w:rsidRPr="00E14102">
        <w:rPr>
          <w:color w:val="000000" w:themeColor="text1"/>
          <w:sz w:val="16"/>
          <w:szCs w:val="16"/>
        </w:rPr>
        <w:t>— Товарищ Тухачевский, вы очень хороший маршал, но очень большой фантазёр!</w:t>
      </w:r>
    </w:p>
    <w:p w14:paraId="445AF793" w14:textId="77777777" w:rsidR="00283E82" w:rsidRPr="00E14102" w:rsidRDefault="00283E82" w:rsidP="00E14102">
      <w:pPr>
        <w:jc w:val="both"/>
        <w:rPr>
          <w:color w:val="000000" w:themeColor="text1"/>
          <w:sz w:val="16"/>
          <w:szCs w:val="16"/>
        </w:rPr>
      </w:pPr>
      <w:r w:rsidRPr="00E14102">
        <w:rPr>
          <w:color w:val="000000" w:themeColor="text1"/>
          <w:sz w:val="16"/>
          <w:szCs w:val="16"/>
        </w:rPr>
        <w:t xml:space="preserve">На следующий день моя тема была закрыта, а недостроенный самолёт выброшен в утиль» </w:t>
      </w:r>
      <w:hyperlink r:id="rId193" w:history="1">
        <w:r w:rsidRPr="00E14102">
          <w:rPr>
            <w:color w:val="000000" w:themeColor="text1"/>
            <w:sz w:val="16"/>
            <w:szCs w:val="16"/>
          </w:rPr>
          <w:t>[94]</w:t>
        </w:r>
      </w:hyperlink>
      <w:r w:rsidRPr="00E14102">
        <w:rPr>
          <w:color w:val="000000" w:themeColor="text1"/>
          <w:sz w:val="16"/>
          <w:szCs w:val="16"/>
        </w:rPr>
        <w:t xml:space="preserve"> .</w:t>
      </w:r>
    </w:p>
    <w:p w14:paraId="70D88EC0" w14:textId="77777777" w:rsidR="00283E82" w:rsidRPr="00E14102" w:rsidRDefault="00283E82" w:rsidP="00E14102">
      <w:pPr>
        <w:jc w:val="both"/>
        <w:rPr>
          <w:color w:val="000000" w:themeColor="text1"/>
          <w:sz w:val="16"/>
          <w:szCs w:val="16"/>
        </w:rPr>
      </w:pPr>
      <w:r w:rsidRPr="00E14102">
        <w:rPr>
          <w:color w:val="000000" w:themeColor="text1"/>
          <w:sz w:val="16"/>
          <w:szCs w:val="16"/>
        </w:rPr>
        <w:t>Тогда Вахмистров решил упростить задачу — объединить уже испытанные «Звено-2», «Звено-5» и «Звено-6» в комплекс из шести самолётов. На крыле ТБ-3 разместили два И-5, под крылом — два И-16, под фюзеляжем — устройство для подцепления в полёте И-Z. По результатам сделанного в ЦАГИ расчёта усилили некоторые узлы крыла и шасси ТБ-3. Истребители И-5 и И-16 могли питаться горючим и смазочным материалом из баков самолёта-авиаматки (17489).</w:t>
      </w:r>
    </w:p>
    <w:p w14:paraId="3EE95F79" w14:textId="77777777" w:rsidR="00283E82" w:rsidRPr="00E14102" w:rsidRDefault="00283E82" w:rsidP="00E14102">
      <w:pPr>
        <w:jc w:val="both"/>
        <w:rPr>
          <w:color w:val="000000" w:themeColor="text1"/>
          <w:sz w:val="16"/>
          <w:szCs w:val="16"/>
        </w:rPr>
      </w:pPr>
    </w:p>
    <w:p w14:paraId="1A008B63" w14:textId="77777777" w:rsidR="00283E82" w:rsidRPr="00E14102" w:rsidRDefault="00283E82" w:rsidP="00E14102">
      <w:pPr>
        <w:pStyle w:val="a7"/>
        <w:rPr>
          <w:color w:val="000000" w:themeColor="text1"/>
          <w:sz w:val="16"/>
          <w:szCs w:val="16"/>
          <w:lang w:val="ru-RU"/>
        </w:rPr>
      </w:pPr>
      <w:r w:rsidRPr="00E14102">
        <w:rPr>
          <w:color w:val="000000" w:themeColor="text1"/>
          <w:sz w:val="16"/>
          <w:szCs w:val="16"/>
          <w:lang w:val="ru-RU"/>
        </w:rPr>
        <w:t>В августе 1935 г. завершили переоборудование самолетов «Звена-6», разработанного в  1934 г. Тогда же они поднялись в воздух. В первом полете ко</w:t>
      </w:r>
      <w:r w:rsidRPr="00E14102">
        <w:rPr>
          <w:color w:val="000000" w:themeColor="text1"/>
          <w:sz w:val="16"/>
          <w:szCs w:val="16"/>
          <w:lang w:val="ru-RU"/>
        </w:rPr>
        <w:softHyphen/>
        <w:t>мандиром ТБ-3 являлся П.М. Стефанов- ский, истребители пилотировали С.П. Суп</w:t>
      </w:r>
      <w:r w:rsidRPr="00E14102">
        <w:rPr>
          <w:color w:val="000000" w:themeColor="text1"/>
          <w:sz w:val="16"/>
          <w:szCs w:val="16"/>
          <w:lang w:val="ru-RU"/>
        </w:rPr>
        <w:softHyphen/>
        <w:t>рун и В.К. Евсеев. Испытания завершили в декабре 1935 г. Конструкцию признали весьма удачной (17741).</w:t>
      </w:r>
    </w:p>
    <w:p w14:paraId="21F0140E" w14:textId="77777777" w:rsidR="00283E82" w:rsidRPr="00E14102" w:rsidRDefault="00283E82" w:rsidP="00E14102">
      <w:pPr>
        <w:jc w:val="both"/>
        <w:rPr>
          <w:color w:val="000000" w:themeColor="text1"/>
          <w:sz w:val="16"/>
          <w:szCs w:val="16"/>
        </w:rPr>
      </w:pPr>
    </w:p>
    <w:p w14:paraId="123E34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в ходе учебных боев с Фейри Файрфлай, приобретенным НИИ ВВС, И-5 явно уступал (191,27).</w:t>
      </w:r>
    </w:p>
    <w:p w14:paraId="7777B7A5" w14:textId="77777777" w:rsidR="00D4105E" w:rsidRPr="00E14102" w:rsidRDefault="00D4105E" w:rsidP="00E14102">
      <w:pPr>
        <w:autoSpaceDE w:val="0"/>
        <w:autoSpaceDN w:val="0"/>
        <w:adjustRightInd w:val="0"/>
        <w:jc w:val="both"/>
        <w:rPr>
          <w:color w:val="000000" w:themeColor="text1"/>
          <w:sz w:val="16"/>
          <w:szCs w:val="16"/>
        </w:rPr>
      </w:pPr>
    </w:p>
    <w:p w14:paraId="46CD3D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г. в ходе учебных боёв, выяснилось, что хотя "Файрфлай" до высоты 5000 м уступает И-5 по манёвренности, он с лихвой компенсирует это скоростью и скороподъёмностью, ведя бой в вертикальной плоскости и обладая инициативой. Этот быстроходный биплан в своё время проиграл конкурс самолёту "Фьюри" с тем же мотором, и на вооружение Королевских ВВС принят не был. Наши хотели купить образец "Фьюри", но получили отказ и удовольствовались "Файрфлаем" (11997).</w:t>
      </w:r>
    </w:p>
    <w:p w14:paraId="4AB31038" w14:textId="77777777" w:rsidR="00D4105E" w:rsidRPr="00E14102" w:rsidRDefault="00D4105E" w:rsidP="00E14102">
      <w:pPr>
        <w:autoSpaceDE w:val="0"/>
        <w:autoSpaceDN w:val="0"/>
        <w:adjustRightInd w:val="0"/>
        <w:jc w:val="both"/>
        <w:rPr>
          <w:color w:val="000000" w:themeColor="text1"/>
          <w:sz w:val="16"/>
          <w:szCs w:val="16"/>
        </w:rPr>
      </w:pPr>
    </w:p>
    <w:p w14:paraId="528223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августа 1935 г. выпуск ПР-5 Рафаэлянца начали осваивать мастерские в Быково. Там изготавливали фюзеляжи, а все остальное поставлял завод № 1. С 5 по 22 августа 1936 г. головной ПР-5, который пилотировал Э.И. Шварц, прошел Госиспытания в НИИ ГВФ. Этот самолет оказался немного легче опытного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гласил: "Из всех модификаций самолета П5-М17Ф самолет ПР5-М17Ф наиболее удачен...". До конца 1940 г. завод № 241 переделывал в ПР-5 старые П-5 и Р-5. Всего изготовили более 130 таких машин (11936).</w:t>
      </w:r>
    </w:p>
    <w:p w14:paraId="65AB6D1C" w14:textId="77777777" w:rsidR="00D4105E" w:rsidRPr="00E14102" w:rsidRDefault="00D4105E" w:rsidP="00E14102">
      <w:pPr>
        <w:autoSpaceDE w:val="0"/>
        <w:autoSpaceDN w:val="0"/>
        <w:adjustRightInd w:val="0"/>
        <w:jc w:val="both"/>
        <w:rPr>
          <w:color w:val="000000" w:themeColor="text1"/>
          <w:sz w:val="16"/>
          <w:szCs w:val="16"/>
        </w:rPr>
      </w:pPr>
    </w:p>
    <w:p w14:paraId="7C85C0F5" w14:textId="77777777" w:rsidR="004B0A9F" w:rsidRPr="00E14102" w:rsidRDefault="004B0A9F"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августе 1935 г 46-й серийный АИР-6, выпущенный заводом № 47, передали Противочумному институту. Это была обычная пассажирская машина, не имевшая никакого специального оборудования. В ноябре к нему присоединился самолет со следующим заводским № 47. В том же году еще один АИР-6 достался Кировскому крайздравотделу (19099).</w:t>
      </w:r>
    </w:p>
    <w:p w14:paraId="32486586" w14:textId="77777777" w:rsidR="004B0A9F" w:rsidRPr="00E14102" w:rsidRDefault="004B0A9F" w:rsidP="00E14102">
      <w:pPr>
        <w:pStyle w:val="aa"/>
        <w:jc w:val="both"/>
        <w:rPr>
          <w:rFonts w:ascii="Times New Roman" w:hAnsi="Times New Roman" w:cs="Times New Roman"/>
          <w:color w:val="000000" w:themeColor="text1"/>
          <w:sz w:val="16"/>
          <w:szCs w:val="16"/>
          <w:lang w:val="ru-RU"/>
        </w:rPr>
      </w:pPr>
    </w:p>
    <w:p w14:paraId="1E6B9C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в НИИ ВВС на госиспытания с некоторыми недоделками (т.к. торопились к перелету в сентябре) предъявили самолет Г-15 В.К.Грибовского, который строился на Московском планерном заводе с января 1934 (9080).</w:t>
      </w:r>
    </w:p>
    <w:p w14:paraId="2160882A" w14:textId="77777777" w:rsidR="00D4105E" w:rsidRPr="00E14102" w:rsidRDefault="00D4105E" w:rsidP="00E14102">
      <w:pPr>
        <w:autoSpaceDE w:val="0"/>
        <w:autoSpaceDN w:val="0"/>
        <w:adjustRightInd w:val="0"/>
        <w:jc w:val="both"/>
        <w:rPr>
          <w:color w:val="000000" w:themeColor="text1"/>
          <w:sz w:val="16"/>
          <w:szCs w:val="16"/>
        </w:rPr>
      </w:pPr>
    </w:p>
    <w:p w14:paraId="0F5471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в НИИ ВВС на ускоренные госиспытания (т.к. торопились к перелету в сентябре) предъявили самолет Г-20 В.К.Грибовского, который строился на Московском планерном заводе с января 1934 (9080).</w:t>
      </w:r>
    </w:p>
    <w:p w14:paraId="3599B917" w14:textId="77777777" w:rsidR="00D4105E" w:rsidRPr="00E14102" w:rsidRDefault="00D4105E" w:rsidP="00E14102">
      <w:pPr>
        <w:autoSpaceDE w:val="0"/>
        <w:autoSpaceDN w:val="0"/>
        <w:adjustRightInd w:val="0"/>
        <w:jc w:val="both"/>
        <w:rPr>
          <w:color w:val="000000" w:themeColor="text1"/>
          <w:sz w:val="16"/>
          <w:szCs w:val="16"/>
        </w:rPr>
      </w:pPr>
    </w:p>
    <w:p w14:paraId="655E6685"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В августе 1935 г. самолет Грибовского Г-15 предъявили на испытания в НИИ ВВС с некоторыми недоделками. В частности, во время испытаний заправлялся только фюзеляжный бак, так как крыльевые еще не были отлажены, что вызывало крайне невыгодную центровку. Отмечалось перетяжеление конструкции на 142 кг по сравнению с расчетами. Все летные данные самолета определить не успели, так как конструктор надеялся представить Г-15 для участия в спортивных гонках, намеченных на сентябрь 1935 г.</w:t>
      </w:r>
    </w:p>
    <w:p w14:paraId="718FDAE0"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На первом этапе этих состязаний, на участке Москва - Горький Г-15 по причине остановки двигателя совершил вынужденную посадку. К месту аварии на У-2 вылетел сам конструктор, который немедленно переставил двигатель М-11 со связного самолета на перелетную машину. Г-15 после этого вторично стартовал, однако, вскоре история повторилась, и самолет пришлось снять с участия в состязаниях. Впоследствии в топливных баках Г-15 обнаружили песок, строились различные гипотезы о его появлении, подозревали в том числе и злой умысел, однако выяснить ничего не удалось.</w:t>
      </w:r>
    </w:p>
    <w:p w14:paraId="36CCA60E"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После возвращения в Москву Г-15 не летал, и работы по его совершенствованию не возобновлялись. Существовали планы использования фрагментов Г-15 для самолета «Утка», однако практического воплощения так и не последовало.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9"/>
      </w:tblGrid>
      <w:tr w:rsidR="00E3599D" w:rsidRPr="00E14102" w14:paraId="5EC7A77D"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40B4977" w14:textId="77777777" w:rsidR="00164F4F" w:rsidRPr="00E14102" w:rsidRDefault="00164F4F" w:rsidP="00E14102">
            <w:pPr>
              <w:jc w:val="both"/>
              <w:rPr>
                <w:color w:val="000000" w:themeColor="text1"/>
                <w:sz w:val="16"/>
                <w:szCs w:val="16"/>
              </w:rPr>
            </w:pPr>
            <w:r w:rsidRPr="00E14102">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00E4707" w14:textId="77777777" w:rsidR="00164F4F" w:rsidRPr="00E14102" w:rsidRDefault="00164F4F" w:rsidP="00E14102">
            <w:pPr>
              <w:jc w:val="both"/>
              <w:rPr>
                <w:color w:val="000000" w:themeColor="text1"/>
                <w:sz w:val="16"/>
                <w:szCs w:val="16"/>
              </w:rPr>
            </w:pPr>
            <w:r w:rsidRPr="00E14102">
              <w:rPr>
                <w:color w:val="000000" w:themeColor="text1"/>
                <w:sz w:val="16"/>
                <w:szCs w:val="16"/>
              </w:rPr>
              <w:t>  </w:t>
            </w:r>
            <w:r w:rsidRPr="00E14102">
              <w:rPr>
                <w:color w:val="000000" w:themeColor="text1"/>
                <w:sz w:val="16"/>
                <w:szCs w:val="16"/>
                <w:lang w:val="uk-UA"/>
              </w:rPr>
              <w:t>Г-15</w:t>
            </w:r>
          </w:p>
        </w:tc>
      </w:tr>
      <w:tr w:rsidR="00E3599D" w:rsidRPr="00E14102" w14:paraId="4B14E7C0"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C715F59" w14:textId="77777777" w:rsidR="00164F4F" w:rsidRPr="00E14102" w:rsidRDefault="00164F4F" w:rsidP="00E14102">
            <w:pPr>
              <w:jc w:val="both"/>
              <w:rPr>
                <w:color w:val="000000" w:themeColor="text1"/>
                <w:sz w:val="16"/>
                <w:szCs w:val="16"/>
              </w:rPr>
            </w:pPr>
            <w:r w:rsidRPr="00E14102">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639341" w14:textId="77777777" w:rsidR="00164F4F" w:rsidRPr="00E14102" w:rsidRDefault="00164F4F" w:rsidP="00E14102">
            <w:pPr>
              <w:jc w:val="both"/>
              <w:rPr>
                <w:color w:val="000000" w:themeColor="text1"/>
                <w:sz w:val="16"/>
                <w:szCs w:val="16"/>
              </w:rPr>
            </w:pPr>
            <w:r w:rsidRPr="00E14102">
              <w:rPr>
                <w:color w:val="000000" w:themeColor="text1"/>
                <w:sz w:val="16"/>
                <w:szCs w:val="16"/>
              </w:rPr>
              <w:t>  11.00</w:t>
            </w:r>
          </w:p>
        </w:tc>
      </w:tr>
      <w:tr w:rsidR="00E3599D" w:rsidRPr="00E14102" w14:paraId="76A9E693"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C0B80FF" w14:textId="77777777" w:rsidR="00164F4F" w:rsidRPr="00E14102" w:rsidRDefault="00164F4F" w:rsidP="00E14102">
            <w:pPr>
              <w:jc w:val="both"/>
              <w:rPr>
                <w:color w:val="000000" w:themeColor="text1"/>
                <w:sz w:val="16"/>
                <w:szCs w:val="16"/>
              </w:rPr>
            </w:pPr>
            <w:r w:rsidRPr="00E14102">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060A514" w14:textId="77777777" w:rsidR="00164F4F" w:rsidRPr="00E14102" w:rsidRDefault="00164F4F" w:rsidP="00E14102">
            <w:pPr>
              <w:jc w:val="both"/>
              <w:rPr>
                <w:color w:val="000000" w:themeColor="text1"/>
                <w:sz w:val="16"/>
                <w:szCs w:val="16"/>
              </w:rPr>
            </w:pPr>
            <w:r w:rsidRPr="00E14102">
              <w:rPr>
                <w:color w:val="000000" w:themeColor="text1"/>
                <w:sz w:val="16"/>
                <w:szCs w:val="16"/>
              </w:rPr>
              <w:t>  6.20</w:t>
            </w:r>
          </w:p>
        </w:tc>
      </w:tr>
      <w:tr w:rsidR="00E3599D" w:rsidRPr="00E14102" w14:paraId="0AF11300"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FF8E56" w14:textId="77777777" w:rsidR="00164F4F" w:rsidRPr="00E14102" w:rsidRDefault="00164F4F" w:rsidP="00E14102">
            <w:pPr>
              <w:jc w:val="both"/>
              <w:rPr>
                <w:color w:val="000000" w:themeColor="text1"/>
                <w:sz w:val="16"/>
                <w:szCs w:val="16"/>
              </w:rPr>
            </w:pPr>
            <w:r w:rsidRPr="00E14102">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0459AC" w14:textId="77777777" w:rsidR="00164F4F" w:rsidRPr="00E14102" w:rsidRDefault="00164F4F" w:rsidP="00E14102">
            <w:pPr>
              <w:jc w:val="both"/>
              <w:rPr>
                <w:color w:val="000000" w:themeColor="text1"/>
                <w:sz w:val="16"/>
                <w:szCs w:val="16"/>
              </w:rPr>
            </w:pPr>
            <w:r w:rsidRPr="00E14102">
              <w:rPr>
                <w:color w:val="000000" w:themeColor="text1"/>
                <w:sz w:val="16"/>
                <w:szCs w:val="16"/>
              </w:rPr>
              <w:t> </w:t>
            </w:r>
          </w:p>
        </w:tc>
      </w:tr>
      <w:tr w:rsidR="00E3599D" w:rsidRPr="00E14102" w14:paraId="7DFFEE83"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728F9C" w14:textId="77777777" w:rsidR="00164F4F" w:rsidRPr="00E14102" w:rsidRDefault="00164F4F" w:rsidP="00E14102">
            <w:pPr>
              <w:jc w:val="both"/>
              <w:rPr>
                <w:color w:val="000000" w:themeColor="text1"/>
                <w:sz w:val="16"/>
                <w:szCs w:val="16"/>
              </w:rPr>
            </w:pPr>
            <w:r w:rsidRPr="00E14102">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FC3EBF" w14:textId="77777777" w:rsidR="00164F4F" w:rsidRPr="00E14102" w:rsidRDefault="00164F4F" w:rsidP="00E14102">
            <w:pPr>
              <w:jc w:val="both"/>
              <w:rPr>
                <w:color w:val="000000" w:themeColor="text1"/>
                <w:sz w:val="16"/>
                <w:szCs w:val="16"/>
              </w:rPr>
            </w:pPr>
            <w:r w:rsidRPr="00E14102">
              <w:rPr>
                <w:color w:val="000000" w:themeColor="text1"/>
                <w:sz w:val="16"/>
                <w:szCs w:val="16"/>
              </w:rPr>
              <w:t>  14.00</w:t>
            </w:r>
          </w:p>
        </w:tc>
      </w:tr>
      <w:tr w:rsidR="00E3599D" w:rsidRPr="00E14102" w14:paraId="00E98A64"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E6E2295" w14:textId="77777777" w:rsidR="00164F4F" w:rsidRPr="00E14102" w:rsidRDefault="00164F4F" w:rsidP="00E14102">
            <w:pPr>
              <w:jc w:val="both"/>
              <w:rPr>
                <w:color w:val="000000" w:themeColor="text1"/>
                <w:sz w:val="16"/>
                <w:szCs w:val="16"/>
              </w:rPr>
            </w:pPr>
            <w:r w:rsidRPr="00E14102">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23185DF" w14:textId="77777777" w:rsidR="00164F4F" w:rsidRPr="00E14102" w:rsidRDefault="00164F4F" w:rsidP="00E14102">
            <w:pPr>
              <w:jc w:val="both"/>
              <w:rPr>
                <w:color w:val="000000" w:themeColor="text1"/>
                <w:sz w:val="16"/>
                <w:szCs w:val="16"/>
              </w:rPr>
            </w:pPr>
            <w:r w:rsidRPr="00E14102">
              <w:rPr>
                <w:color w:val="000000" w:themeColor="text1"/>
                <w:sz w:val="16"/>
                <w:szCs w:val="16"/>
              </w:rPr>
              <w:t> </w:t>
            </w:r>
          </w:p>
        </w:tc>
      </w:tr>
      <w:tr w:rsidR="00E3599D" w:rsidRPr="00E14102" w14:paraId="19E19557"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A6ED1A8" w14:textId="77777777" w:rsidR="00164F4F" w:rsidRPr="00E14102" w:rsidRDefault="00164F4F" w:rsidP="00E14102">
            <w:pPr>
              <w:jc w:val="both"/>
              <w:rPr>
                <w:color w:val="000000" w:themeColor="text1"/>
                <w:sz w:val="16"/>
                <w:szCs w:val="16"/>
              </w:rPr>
            </w:pPr>
            <w:r w:rsidRPr="00E14102">
              <w:rPr>
                <w:color w:val="000000" w:themeColor="text1"/>
                <w:sz w:val="16"/>
                <w:szCs w:val="16"/>
              </w:rPr>
              <w:t>  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86DDDC5" w14:textId="77777777" w:rsidR="00164F4F" w:rsidRPr="00E14102" w:rsidRDefault="00164F4F" w:rsidP="00E14102">
            <w:pPr>
              <w:jc w:val="both"/>
              <w:rPr>
                <w:color w:val="000000" w:themeColor="text1"/>
                <w:sz w:val="16"/>
                <w:szCs w:val="16"/>
              </w:rPr>
            </w:pPr>
            <w:r w:rsidRPr="00E14102">
              <w:rPr>
                <w:color w:val="000000" w:themeColor="text1"/>
                <w:sz w:val="16"/>
                <w:szCs w:val="16"/>
              </w:rPr>
              <w:t>  670</w:t>
            </w:r>
          </w:p>
        </w:tc>
      </w:tr>
      <w:tr w:rsidR="00E3599D" w:rsidRPr="00E14102" w14:paraId="49810A24"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E2AE05D" w14:textId="77777777" w:rsidR="00164F4F" w:rsidRPr="00E14102" w:rsidRDefault="00164F4F" w:rsidP="00E14102">
            <w:pPr>
              <w:jc w:val="both"/>
              <w:rPr>
                <w:color w:val="000000" w:themeColor="text1"/>
                <w:sz w:val="16"/>
                <w:szCs w:val="16"/>
              </w:rPr>
            </w:pPr>
            <w:r w:rsidRPr="00E14102">
              <w:rPr>
                <w:color w:val="000000" w:themeColor="text1"/>
                <w:sz w:val="16"/>
                <w:szCs w:val="16"/>
              </w:rPr>
              <w:t>  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EE495B" w14:textId="77777777" w:rsidR="00164F4F" w:rsidRPr="00E14102" w:rsidRDefault="00164F4F" w:rsidP="00E14102">
            <w:pPr>
              <w:jc w:val="both"/>
              <w:rPr>
                <w:color w:val="000000" w:themeColor="text1"/>
                <w:sz w:val="16"/>
                <w:szCs w:val="16"/>
              </w:rPr>
            </w:pPr>
            <w:r w:rsidRPr="00E14102">
              <w:rPr>
                <w:color w:val="000000" w:themeColor="text1"/>
                <w:sz w:val="16"/>
                <w:szCs w:val="16"/>
              </w:rPr>
              <w:t>  940</w:t>
            </w:r>
          </w:p>
        </w:tc>
      </w:tr>
      <w:tr w:rsidR="00E3599D" w:rsidRPr="00E14102" w14:paraId="528A6B79"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6ED7FF" w14:textId="77777777" w:rsidR="00164F4F" w:rsidRPr="00E14102" w:rsidRDefault="00164F4F" w:rsidP="00E14102">
            <w:pPr>
              <w:jc w:val="both"/>
              <w:rPr>
                <w:color w:val="000000" w:themeColor="text1"/>
                <w:sz w:val="16"/>
                <w:szCs w:val="16"/>
              </w:rPr>
            </w:pPr>
            <w:r w:rsidRPr="00E14102">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5615870" w14:textId="77777777" w:rsidR="00164F4F" w:rsidRPr="00E14102" w:rsidRDefault="00164F4F" w:rsidP="00E14102">
            <w:pPr>
              <w:jc w:val="both"/>
              <w:rPr>
                <w:color w:val="000000" w:themeColor="text1"/>
                <w:sz w:val="16"/>
                <w:szCs w:val="16"/>
              </w:rPr>
            </w:pPr>
            <w:r w:rsidRPr="00E14102">
              <w:rPr>
                <w:color w:val="000000" w:themeColor="text1"/>
                <w:sz w:val="16"/>
                <w:szCs w:val="16"/>
              </w:rPr>
              <w:t>  1 ПД М-11</w:t>
            </w:r>
          </w:p>
        </w:tc>
      </w:tr>
      <w:tr w:rsidR="00E3599D" w:rsidRPr="00E14102" w14:paraId="55ABF8E6"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349CFEF" w14:textId="77777777" w:rsidR="00164F4F" w:rsidRPr="00E14102" w:rsidRDefault="00164F4F" w:rsidP="00E14102">
            <w:pPr>
              <w:jc w:val="both"/>
              <w:rPr>
                <w:color w:val="000000" w:themeColor="text1"/>
                <w:sz w:val="16"/>
                <w:szCs w:val="16"/>
              </w:rPr>
            </w:pPr>
            <w:r w:rsidRPr="00E14102">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BAC888" w14:textId="77777777" w:rsidR="00164F4F" w:rsidRPr="00E14102" w:rsidRDefault="00164F4F" w:rsidP="00E14102">
            <w:pPr>
              <w:jc w:val="both"/>
              <w:rPr>
                <w:color w:val="000000" w:themeColor="text1"/>
                <w:sz w:val="16"/>
                <w:szCs w:val="16"/>
              </w:rPr>
            </w:pPr>
            <w:r w:rsidRPr="00E14102">
              <w:rPr>
                <w:color w:val="000000" w:themeColor="text1"/>
                <w:sz w:val="16"/>
                <w:szCs w:val="16"/>
              </w:rPr>
              <w:t>  1 × 100</w:t>
            </w:r>
          </w:p>
        </w:tc>
      </w:tr>
      <w:tr w:rsidR="00E3599D" w:rsidRPr="00E14102" w14:paraId="46256E6E"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178742F" w14:textId="77777777" w:rsidR="00164F4F" w:rsidRPr="00E14102" w:rsidRDefault="00164F4F" w:rsidP="00E14102">
            <w:pPr>
              <w:jc w:val="both"/>
              <w:rPr>
                <w:color w:val="000000" w:themeColor="text1"/>
                <w:sz w:val="16"/>
                <w:szCs w:val="16"/>
              </w:rPr>
            </w:pPr>
            <w:r w:rsidRPr="00E14102">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0E06BE" w14:textId="77777777" w:rsidR="00164F4F" w:rsidRPr="00E14102" w:rsidRDefault="00164F4F" w:rsidP="00E14102">
            <w:pPr>
              <w:jc w:val="both"/>
              <w:rPr>
                <w:color w:val="000000" w:themeColor="text1"/>
                <w:sz w:val="16"/>
                <w:szCs w:val="16"/>
              </w:rPr>
            </w:pPr>
            <w:r w:rsidRPr="00E14102">
              <w:rPr>
                <w:color w:val="000000" w:themeColor="text1"/>
                <w:sz w:val="16"/>
                <w:szCs w:val="16"/>
              </w:rPr>
              <w:t>  185</w:t>
            </w:r>
          </w:p>
        </w:tc>
      </w:tr>
      <w:tr w:rsidR="00E3599D" w:rsidRPr="00E14102" w14:paraId="68675609"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0A4FC6" w14:textId="77777777" w:rsidR="00164F4F" w:rsidRPr="00E14102" w:rsidRDefault="00164F4F" w:rsidP="00E14102">
            <w:pPr>
              <w:jc w:val="both"/>
              <w:rPr>
                <w:color w:val="000000" w:themeColor="text1"/>
                <w:sz w:val="16"/>
                <w:szCs w:val="16"/>
              </w:rPr>
            </w:pPr>
            <w:r w:rsidRPr="00E14102">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7A3224B" w14:textId="77777777" w:rsidR="00164F4F" w:rsidRPr="00E14102" w:rsidRDefault="00164F4F" w:rsidP="00E14102">
            <w:pPr>
              <w:jc w:val="both"/>
              <w:rPr>
                <w:color w:val="000000" w:themeColor="text1"/>
                <w:sz w:val="16"/>
                <w:szCs w:val="16"/>
              </w:rPr>
            </w:pPr>
            <w:r w:rsidRPr="00E14102">
              <w:rPr>
                <w:color w:val="000000" w:themeColor="text1"/>
                <w:sz w:val="16"/>
                <w:szCs w:val="16"/>
              </w:rPr>
              <w:t>  146</w:t>
            </w:r>
          </w:p>
        </w:tc>
      </w:tr>
      <w:tr w:rsidR="00E3599D" w:rsidRPr="00E14102" w14:paraId="471087D5"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5C7959" w14:textId="77777777" w:rsidR="00164F4F" w:rsidRPr="00E14102" w:rsidRDefault="00164F4F" w:rsidP="00E14102">
            <w:pPr>
              <w:jc w:val="both"/>
              <w:rPr>
                <w:color w:val="000000" w:themeColor="text1"/>
                <w:sz w:val="16"/>
                <w:szCs w:val="16"/>
              </w:rPr>
            </w:pPr>
            <w:r w:rsidRPr="00E14102">
              <w:rPr>
                <w:color w:val="000000" w:themeColor="text1"/>
                <w:sz w:val="16"/>
                <w:szCs w:val="16"/>
              </w:rPr>
              <w:lastRenderedPageBreak/>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A8429D" w14:textId="77777777" w:rsidR="00164F4F" w:rsidRPr="00E14102" w:rsidRDefault="00164F4F" w:rsidP="00E14102">
            <w:pPr>
              <w:jc w:val="both"/>
              <w:rPr>
                <w:color w:val="000000" w:themeColor="text1"/>
                <w:sz w:val="16"/>
                <w:szCs w:val="16"/>
              </w:rPr>
            </w:pPr>
            <w:r w:rsidRPr="00E14102">
              <w:rPr>
                <w:color w:val="000000" w:themeColor="text1"/>
                <w:sz w:val="16"/>
                <w:szCs w:val="16"/>
              </w:rPr>
              <w:t>  4</w:t>
            </w:r>
          </w:p>
        </w:tc>
      </w:tr>
      <w:tr w:rsidR="00E3599D" w:rsidRPr="00E14102" w14:paraId="10406587"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037C786" w14:textId="77777777" w:rsidR="00164F4F" w:rsidRPr="00E14102" w:rsidRDefault="00164F4F" w:rsidP="00E14102">
            <w:pPr>
              <w:jc w:val="both"/>
              <w:rPr>
                <w:color w:val="000000" w:themeColor="text1"/>
                <w:sz w:val="16"/>
                <w:szCs w:val="16"/>
              </w:rPr>
            </w:pPr>
            <w:r w:rsidRPr="00E14102">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EE5504" w14:textId="77777777" w:rsidR="00164F4F" w:rsidRPr="00E14102" w:rsidRDefault="00164F4F" w:rsidP="00E14102">
            <w:pPr>
              <w:jc w:val="both"/>
              <w:rPr>
                <w:color w:val="000000" w:themeColor="text1"/>
                <w:sz w:val="16"/>
                <w:szCs w:val="16"/>
              </w:rPr>
            </w:pPr>
            <w:r w:rsidRPr="00E14102">
              <w:rPr>
                <w:color w:val="000000" w:themeColor="text1"/>
                <w:sz w:val="16"/>
                <w:szCs w:val="16"/>
              </w:rPr>
              <w:t> </w:t>
            </w:r>
          </w:p>
        </w:tc>
      </w:tr>
      <w:tr w:rsidR="00E3599D" w:rsidRPr="00E14102" w14:paraId="5DAA87B3"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83B52D" w14:textId="77777777" w:rsidR="00164F4F" w:rsidRPr="00E14102" w:rsidRDefault="00164F4F" w:rsidP="00E14102">
            <w:pPr>
              <w:jc w:val="both"/>
              <w:rPr>
                <w:color w:val="000000" w:themeColor="text1"/>
                <w:sz w:val="16"/>
                <w:szCs w:val="16"/>
              </w:rPr>
            </w:pPr>
            <w:r w:rsidRPr="00E14102">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CA3D9E" w14:textId="77777777" w:rsidR="00164F4F" w:rsidRPr="00E14102" w:rsidRDefault="00164F4F" w:rsidP="00E14102">
            <w:pPr>
              <w:jc w:val="both"/>
              <w:rPr>
                <w:color w:val="000000" w:themeColor="text1"/>
                <w:sz w:val="16"/>
                <w:szCs w:val="16"/>
              </w:rPr>
            </w:pPr>
            <w:r w:rsidRPr="00E14102">
              <w:rPr>
                <w:color w:val="000000" w:themeColor="text1"/>
                <w:sz w:val="16"/>
                <w:szCs w:val="16"/>
              </w:rPr>
              <w:t>  4500</w:t>
            </w:r>
          </w:p>
        </w:tc>
      </w:tr>
      <w:tr w:rsidR="00E3599D" w:rsidRPr="00E14102" w14:paraId="2A33D719"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24CBCB" w14:textId="77777777" w:rsidR="00164F4F" w:rsidRPr="00E14102" w:rsidRDefault="00164F4F" w:rsidP="00E14102">
            <w:pPr>
              <w:jc w:val="both"/>
              <w:rPr>
                <w:color w:val="000000" w:themeColor="text1"/>
                <w:sz w:val="16"/>
                <w:szCs w:val="16"/>
              </w:rPr>
            </w:pPr>
            <w:r w:rsidRPr="00E14102">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8AB2EEC" w14:textId="77777777" w:rsidR="00164F4F" w:rsidRPr="00E14102" w:rsidRDefault="00164F4F" w:rsidP="00E14102">
            <w:pPr>
              <w:jc w:val="both"/>
              <w:rPr>
                <w:color w:val="000000" w:themeColor="text1"/>
                <w:sz w:val="16"/>
                <w:szCs w:val="16"/>
              </w:rPr>
            </w:pPr>
            <w:r w:rsidRPr="00E14102">
              <w:rPr>
                <w:color w:val="000000" w:themeColor="text1"/>
                <w:sz w:val="16"/>
                <w:szCs w:val="16"/>
              </w:rPr>
              <w:t>  2</w:t>
            </w:r>
          </w:p>
        </w:tc>
      </w:tr>
    </w:tbl>
    <w:p w14:paraId="21CF98E0" w14:textId="77777777" w:rsidR="00164F4F" w:rsidRPr="00E14102" w:rsidRDefault="00164F4F" w:rsidP="00E14102">
      <w:pPr>
        <w:pBdr>
          <w:bottom w:val="single" w:sz="6" w:space="2" w:color="EBEBEB"/>
        </w:pBdr>
        <w:shd w:val="clear" w:color="auto" w:fill="FFFFFF"/>
        <w:jc w:val="both"/>
        <w:rPr>
          <w:color w:val="000000" w:themeColor="text1"/>
          <w:sz w:val="16"/>
          <w:szCs w:val="16"/>
        </w:rPr>
      </w:pPr>
      <w:r w:rsidRPr="00E14102">
        <w:rPr>
          <w:color w:val="000000" w:themeColor="text1"/>
          <w:sz w:val="16"/>
          <w:szCs w:val="16"/>
        </w:rPr>
        <w:t>(12682).</w:t>
      </w:r>
    </w:p>
    <w:p w14:paraId="34288518" w14:textId="77777777" w:rsidR="00164F4F" w:rsidRPr="00E14102" w:rsidRDefault="00164F4F" w:rsidP="00E14102">
      <w:pPr>
        <w:pBdr>
          <w:bottom w:val="single" w:sz="6" w:space="2" w:color="EBEBEB"/>
        </w:pBdr>
        <w:shd w:val="clear" w:color="auto" w:fill="FFFFFF"/>
        <w:jc w:val="both"/>
        <w:rPr>
          <w:color w:val="000000" w:themeColor="text1"/>
          <w:sz w:val="16"/>
          <w:szCs w:val="16"/>
        </w:rPr>
      </w:pPr>
    </w:p>
    <w:p w14:paraId="1186BAA5"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В августе 1935 г., незадолго до перелета спортивных самолетов, Г-20 прошел ускоренные испытания в НИИ ВВС. Указывалось, что полетные данные самолета удовлетворительные, что он достаточно прост в управлении и что освоение самолета для летчиков трудностей не представляет.</w:t>
      </w:r>
    </w:p>
    <w:p w14:paraId="78B30602" w14:textId="77777777" w:rsidR="00164F4F" w:rsidRPr="00E14102" w:rsidRDefault="00164F4F" w:rsidP="00E14102">
      <w:pPr>
        <w:shd w:val="clear" w:color="auto" w:fill="FFFFFF"/>
        <w:jc w:val="both"/>
        <w:rPr>
          <w:color w:val="000000" w:themeColor="text1"/>
          <w:sz w:val="16"/>
          <w:szCs w:val="16"/>
        </w:rPr>
      </w:pPr>
      <w:r w:rsidRPr="00E14102">
        <w:rPr>
          <w:iCs/>
          <w:color w:val="000000" w:themeColor="text1"/>
          <w:sz w:val="16"/>
          <w:szCs w:val="16"/>
        </w:rPr>
        <w:t>«Полетные свойства Г-20 несколько приближаются к свойствам самолетов истребительного типа, но являются более простыми и легко усвояемыми, поэтому Г-20 можно рекомендовать как переходный или тренировочный самолет».</w:t>
      </w:r>
    </w:p>
    <w:p w14:paraId="06FA722B"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В сентябре 1935 г. Г-20 с регистрационным номером «СССР-С 838» участвовал в перелете. Пилотировал самолет летчик Алтынов, который успешно справился с маршрутом и возникающими мелкими неполадками.</w:t>
      </w:r>
    </w:p>
    <w:p w14:paraId="50FA7D6A"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Двухместный низкоплан Г-20 стал вторым самолетом Грибовского после Г-15, оснащенным двигателем М-11. Г-20 предназначался для тренировочных полетов и обучения высшему пилотажу. Особенностью самолета являлось крыло, суженное в районе крепления к фюзеляжу. Для получения необходимой жесткости крыло подкреплялось Л-образными подкосами, связывающими центроплан с жесткой дугой под козырьком пилотской кабины. По мнению конструктора, такая схема позволяла значительно улучшить обзор вперед и вниз, а фюзеляжная стойка, скрепляющая подкосы, обеспечивала необходимую безопасность при капотировании машины.</w:t>
      </w:r>
    </w:p>
    <w:p w14:paraId="34AA2247"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В сечении крыла использовался профиль «ЦАГИ Р-11» переменной толщины с максимальным значением в районе крепления подкосов.</w:t>
      </w:r>
    </w:p>
    <w:p w14:paraId="7DF1BE4E"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Обшивка крыла до второго лонжерона из фанеры толщиной 1-2 мм, далее использовалось полотно. Элероны щелевые, каждый подвешен на трех фигурных кронштейнах. Крыло снабжено посадочными закрылками Шренка, выпускаемыми при помощи штурвальчика, связанного с червячным механизмом. Использование щитков позволило снизить посадочную скорость до 66 км/ч.</w:t>
      </w:r>
    </w:p>
    <w:p w14:paraId="3E1E9F3C"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Фюзеляж деревянный, типа полумонокок, обшивка из 2-мм фанеры. Кабина пилотов, сидящих друг за другом, закрыта общим целлулоидным фонарем. Управление спаренное.</w:t>
      </w:r>
    </w:p>
    <w:p w14:paraId="37CFA607"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Задняя кабина имела полный комплект моторных и аэронавигационных приборов и считалась основной. Передняя кабина располагалась в районе центра тяжести и поэтому отсутствие в ней пилота практически не влияло на центровку самолета.</w:t>
      </w:r>
    </w:p>
    <w:p w14:paraId="34211D3B"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Хвостовое оперение деревянное, для обеспечения необходимой жесткости подкреплено стальными подкосами. Стабилизатор и киль самолета обшиты фанерой, у рулей обшивка полотняная.</w:t>
      </w:r>
    </w:p>
    <w:p w14:paraId="756B2D3B"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Основное шасси неубираемое, выполненное в виде гнутых трубчатых полуосей с амортизацией внутри фюзеляжа. Колеса 700×120 мм, прикрыты каплевидными обтекателями. Костыль ориентирующийся, с пластинчатой резиновой амортизацией.</w:t>
      </w:r>
    </w:p>
    <w:p w14:paraId="2BB3379B"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Двигатель М-11 мощностью 110 л.с. закрыт цилиндрическим капотом с выступающими, каплевидными выколотками вокруг головок цилиндров. В передней части капота имелись окна охлаждения.</w:t>
      </w:r>
    </w:p>
    <w:p w14:paraId="156902DD"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Основной топливный бак на 47 кг бензина находился в фюзеляже, два крыльевых бака, каждый на 35 кг, размещены в пространстве между лонжеронами центроплана.</w:t>
      </w:r>
    </w:p>
    <w:p w14:paraId="789F8BAF"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Г-20 занял второе место в классе двухместных машин (после АИР-10 конструкции Яковлева), коллектив МКБ получил денежную премию в размере 4000 руб. Для аппарата, изготовленного в кустарных условиях, такой результат считался вполне неплохим.</w:t>
      </w:r>
    </w:p>
    <w:p w14:paraId="1BBEA9A5"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После двухлетней интенсивной эксплуатации в Центральном аэроклубе Г-20 подвергся переделкам. Для более эффективного выполнения высшего пилотажа на самолет установили форсированный М-11 мощностью 150 л.с. В связи с низким качеством целлулоида, который быстро помутнел, фонарь был упразднен и заменен открытыми кабинами с козырьками. Противокапотажную дугу на фюзеляже сняли, а подкосы закрепили на силовом шпангоуте. Капот также упростили, верхняя часть цилиндров двигателя стала открытой для более эффективного охлаждения.</w:t>
      </w:r>
    </w:p>
    <w:p w14:paraId="7C7ED629"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Под обозначением Г-20бис обновленная машина принимала участие в гонках спортивных самолетов 1937 г. по маршруту Москва-Севастополь-Москва, где заняла третье место. Впоследствии Г-20бис использовался для тренировки летчиков Центрального аэроклуба в Москве.</w:t>
      </w:r>
    </w:p>
    <w:p w14:paraId="28EADE14"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К 1936 г. Грибовский окончательно сложился как конструктор легкомоторных самолетов. Рассказывая о своих ближайших планах на страницах журнала «Самолет» (№4,1936 г.), он говорит:</w:t>
      </w:r>
    </w:p>
    <w:p w14:paraId="5556706B" w14:textId="77777777" w:rsidR="00164F4F" w:rsidRPr="00E14102" w:rsidRDefault="00164F4F" w:rsidP="00E14102">
      <w:pPr>
        <w:shd w:val="clear" w:color="auto" w:fill="FFFFFF"/>
        <w:jc w:val="both"/>
        <w:rPr>
          <w:iCs/>
          <w:color w:val="000000" w:themeColor="text1"/>
          <w:sz w:val="16"/>
          <w:szCs w:val="16"/>
        </w:rPr>
      </w:pPr>
      <w:r w:rsidRPr="00E14102">
        <w:rPr>
          <w:iCs/>
          <w:color w:val="000000" w:themeColor="text1"/>
          <w:sz w:val="16"/>
          <w:szCs w:val="16"/>
        </w:rPr>
        <w:t>«В этом году я буду работать только над легкими самолетами, необходимыми в системе Осоавиахима</w:t>
      </w:r>
    </w:p>
    <w:p w14:paraId="702399D3" w14:textId="77777777" w:rsidR="00164F4F" w:rsidRPr="00E14102" w:rsidRDefault="00164F4F" w:rsidP="00E14102">
      <w:pPr>
        <w:shd w:val="clear" w:color="auto" w:fill="FFFFFF"/>
        <w:jc w:val="both"/>
        <w:rPr>
          <w:color w:val="000000" w:themeColor="text1"/>
          <w:sz w:val="16"/>
          <w:szCs w:val="16"/>
        </w:rPr>
      </w:pPr>
      <w:r w:rsidRPr="00E14102">
        <w:rPr>
          <w:iCs/>
          <w:color w:val="000000" w:themeColor="text1"/>
          <w:sz w:val="16"/>
          <w:szCs w:val="16"/>
        </w:rPr>
        <w:t>Для развития массовой авиации материальная часть должна быть дешевой. Радикальное средство для удешевления стоимости самолета - это переход на уменьшение мощности моторов. В этом разрезе и идет работа Московского конструкторского бюро (МКБ), которым я руковожу</w:t>
      </w:r>
    </w:p>
    <w:p w14:paraId="20D13581" w14:textId="77777777" w:rsidR="00164F4F" w:rsidRPr="00E14102" w:rsidRDefault="00164F4F" w:rsidP="00E14102">
      <w:pPr>
        <w:shd w:val="clear" w:color="auto" w:fill="FFFFFF"/>
        <w:jc w:val="both"/>
        <w:rPr>
          <w:color w:val="000000" w:themeColor="text1"/>
          <w:sz w:val="16"/>
          <w:szCs w:val="16"/>
        </w:rPr>
      </w:pPr>
      <w:r w:rsidRPr="00E14102">
        <w:rPr>
          <w:iCs/>
          <w:color w:val="000000" w:themeColor="text1"/>
          <w:sz w:val="16"/>
          <w:szCs w:val="16"/>
        </w:rPr>
        <w:t>До сих пор спроектированные и построенные самолеты имели моторы мощностью не менее 100 л. с. Мы работаем над конструкциями самолетов, которые должны дать не худшие летные качества при значительно меньших мощностях мотора (30-50 л. с). Поэтому нас особенно интересует мотор в 30 л.с, проект и рабочие чертежи которого разработаны инженером В. Доллежалем</w:t>
      </w:r>
    </w:p>
    <w:p w14:paraId="14FE6777" w14:textId="77777777" w:rsidR="00164F4F" w:rsidRPr="00E14102" w:rsidRDefault="00164F4F" w:rsidP="00E14102">
      <w:pPr>
        <w:shd w:val="clear" w:color="auto" w:fill="FFFFFF"/>
        <w:jc w:val="both"/>
        <w:rPr>
          <w:color w:val="000000" w:themeColor="text1"/>
          <w:sz w:val="16"/>
          <w:szCs w:val="16"/>
        </w:rPr>
      </w:pPr>
      <w:r w:rsidRPr="00E14102">
        <w:rPr>
          <w:iCs/>
          <w:color w:val="000000" w:themeColor="text1"/>
          <w:sz w:val="16"/>
          <w:szCs w:val="16"/>
        </w:rPr>
        <w:t>В этом году мною спроектированы легкие самолеты Г-21 и Г-22 и, очевидно, будут сконструированы еще два самолета, но тип их еще не установлен»</w:t>
      </w:r>
    </w:p>
    <w:p w14:paraId="7ED3EC49"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Следует отметить, что, несмотря на переход к конструкторской деятельности, Грибовский постоянно совершенствует свое летное мастерство и первые вылеты на своих самолетах выполняет лично. Он принимает участие в различных авиационных праздниках и агитационных полетах.</w:t>
      </w:r>
    </w:p>
    <w:p w14:paraId="231CA53B"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По этому поводу известный планерист и летчик-испытатель И.И.Шелест в своей книге «С крыла на крыло» пишет:</w:t>
      </w:r>
    </w:p>
    <w:p w14:paraId="1CFB93E4" w14:textId="77777777" w:rsidR="00164F4F" w:rsidRPr="00E14102" w:rsidRDefault="00164F4F" w:rsidP="00E14102">
      <w:pPr>
        <w:shd w:val="clear" w:color="auto" w:fill="FFFFFF"/>
        <w:jc w:val="both"/>
        <w:rPr>
          <w:color w:val="000000" w:themeColor="text1"/>
          <w:sz w:val="16"/>
          <w:szCs w:val="16"/>
        </w:rPr>
      </w:pPr>
      <w:r w:rsidRPr="00E14102">
        <w:rPr>
          <w:iCs/>
          <w:color w:val="000000" w:themeColor="text1"/>
          <w:sz w:val="16"/>
          <w:szCs w:val="16"/>
        </w:rPr>
        <w:t>«Сочетая в себе качества конструктора и летчика, Владислав Константинович предпочитал сам испытывать свои машины. Этим достигался верх творческого взаимопонимания между создателем техники и ее испытателем. Впрочем, как знать? Не становился ли он подчас на порог раздвоения личности? Могла же в нем разыграться жаркая схватка: конструктор считал первоначальный проект непогрешимым, а летчик требовал улучшить качество самолета или планера. Как разрешал Грибовский в таких случаях спор, неизвестно. Но машины его, как правило, оказывались удачными».</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92"/>
        <w:gridCol w:w="6631"/>
      </w:tblGrid>
      <w:tr w:rsidR="00E3599D" w:rsidRPr="00E14102" w14:paraId="0C53F01D"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6541EE" w14:textId="77777777" w:rsidR="00164F4F" w:rsidRPr="00E14102" w:rsidRDefault="00164F4F" w:rsidP="00E14102">
            <w:pPr>
              <w:jc w:val="both"/>
              <w:rPr>
                <w:color w:val="000000" w:themeColor="text1"/>
                <w:sz w:val="16"/>
                <w:szCs w:val="16"/>
              </w:rPr>
            </w:pPr>
            <w:r w:rsidRPr="00E14102">
              <w:rPr>
                <w:color w:val="000000" w:themeColor="text1"/>
                <w:sz w:val="16"/>
                <w:szCs w:val="16"/>
              </w:rPr>
              <w:t>Модификация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99F38D5" w14:textId="77777777" w:rsidR="00164F4F" w:rsidRPr="00E14102" w:rsidRDefault="00164F4F" w:rsidP="00E14102">
            <w:pPr>
              <w:jc w:val="both"/>
              <w:rPr>
                <w:color w:val="000000" w:themeColor="text1"/>
                <w:sz w:val="16"/>
                <w:szCs w:val="16"/>
              </w:rPr>
            </w:pPr>
            <w:r w:rsidRPr="00E14102">
              <w:rPr>
                <w:color w:val="000000" w:themeColor="text1"/>
                <w:sz w:val="16"/>
                <w:szCs w:val="16"/>
              </w:rPr>
              <w:t>  Г-20</w:t>
            </w:r>
          </w:p>
        </w:tc>
      </w:tr>
      <w:tr w:rsidR="00E3599D" w:rsidRPr="00E14102" w14:paraId="3E58F3A1"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2F4CE0" w14:textId="77777777" w:rsidR="00164F4F" w:rsidRPr="00E14102" w:rsidRDefault="00164F4F" w:rsidP="00E14102">
            <w:pPr>
              <w:jc w:val="both"/>
              <w:rPr>
                <w:color w:val="000000" w:themeColor="text1"/>
                <w:sz w:val="16"/>
                <w:szCs w:val="16"/>
              </w:rPr>
            </w:pPr>
            <w:r w:rsidRPr="00E14102">
              <w:rPr>
                <w:color w:val="000000" w:themeColor="text1"/>
                <w:sz w:val="16"/>
                <w:szCs w:val="16"/>
              </w:rPr>
              <w:t>Размах крыла,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0A4D3AA" w14:textId="77777777" w:rsidR="00164F4F" w:rsidRPr="00E14102" w:rsidRDefault="00164F4F" w:rsidP="00E14102">
            <w:pPr>
              <w:jc w:val="both"/>
              <w:rPr>
                <w:color w:val="000000" w:themeColor="text1"/>
                <w:sz w:val="16"/>
                <w:szCs w:val="16"/>
              </w:rPr>
            </w:pPr>
            <w:r w:rsidRPr="00E14102">
              <w:rPr>
                <w:color w:val="000000" w:themeColor="text1"/>
                <w:sz w:val="16"/>
                <w:szCs w:val="16"/>
              </w:rPr>
              <w:t>  9.70</w:t>
            </w:r>
          </w:p>
        </w:tc>
      </w:tr>
      <w:tr w:rsidR="00E3599D" w:rsidRPr="00E14102" w14:paraId="171385BC"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5873D47" w14:textId="77777777" w:rsidR="00164F4F" w:rsidRPr="00E14102" w:rsidRDefault="00164F4F" w:rsidP="00E14102">
            <w:pPr>
              <w:jc w:val="both"/>
              <w:rPr>
                <w:color w:val="000000" w:themeColor="text1"/>
                <w:sz w:val="16"/>
                <w:szCs w:val="16"/>
              </w:rPr>
            </w:pPr>
            <w:r w:rsidRPr="00E14102">
              <w:rPr>
                <w:color w:val="000000" w:themeColor="text1"/>
                <w:sz w:val="16"/>
                <w:szCs w:val="16"/>
              </w:rPr>
              <w:t>Длина,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046CC2B" w14:textId="77777777" w:rsidR="00164F4F" w:rsidRPr="00E14102" w:rsidRDefault="00164F4F" w:rsidP="00E14102">
            <w:pPr>
              <w:jc w:val="both"/>
              <w:rPr>
                <w:color w:val="000000" w:themeColor="text1"/>
                <w:sz w:val="16"/>
                <w:szCs w:val="16"/>
              </w:rPr>
            </w:pPr>
            <w:r w:rsidRPr="00E14102">
              <w:rPr>
                <w:color w:val="000000" w:themeColor="text1"/>
                <w:sz w:val="16"/>
                <w:szCs w:val="16"/>
              </w:rPr>
              <w:t>  6.30</w:t>
            </w:r>
          </w:p>
        </w:tc>
      </w:tr>
      <w:tr w:rsidR="00E3599D" w:rsidRPr="00E14102" w14:paraId="751302D2"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2FE374A" w14:textId="77777777" w:rsidR="00164F4F" w:rsidRPr="00E14102" w:rsidRDefault="00164F4F" w:rsidP="00E14102">
            <w:pPr>
              <w:jc w:val="both"/>
              <w:rPr>
                <w:color w:val="000000" w:themeColor="text1"/>
                <w:sz w:val="16"/>
                <w:szCs w:val="16"/>
              </w:rPr>
            </w:pPr>
            <w:r w:rsidRPr="00E14102">
              <w:rPr>
                <w:color w:val="000000" w:themeColor="text1"/>
                <w:sz w:val="16"/>
                <w:szCs w:val="16"/>
              </w:rPr>
              <w:t>Высота,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9C025A" w14:textId="77777777" w:rsidR="00164F4F" w:rsidRPr="00E14102" w:rsidRDefault="00164F4F" w:rsidP="00E14102">
            <w:pPr>
              <w:jc w:val="both"/>
              <w:rPr>
                <w:color w:val="000000" w:themeColor="text1"/>
                <w:sz w:val="16"/>
                <w:szCs w:val="16"/>
              </w:rPr>
            </w:pPr>
            <w:r w:rsidRPr="00E14102">
              <w:rPr>
                <w:color w:val="000000" w:themeColor="text1"/>
                <w:sz w:val="16"/>
                <w:szCs w:val="16"/>
              </w:rPr>
              <w:t>  2.30</w:t>
            </w:r>
          </w:p>
        </w:tc>
      </w:tr>
      <w:tr w:rsidR="00E3599D" w:rsidRPr="00E14102" w14:paraId="35D8211E"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560211B" w14:textId="77777777" w:rsidR="00164F4F" w:rsidRPr="00E14102" w:rsidRDefault="00164F4F" w:rsidP="00E14102">
            <w:pPr>
              <w:jc w:val="both"/>
              <w:rPr>
                <w:color w:val="000000" w:themeColor="text1"/>
                <w:sz w:val="16"/>
                <w:szCs w:val="16"/>
              </w:rPr>
            </w:pPr>
            <w:r w:rsidRPr="00E14102">
              <w:rPr>
                <w:color w:val="000000" w:themeColor="text1"/>
                <w:sz w:val="16"/>
                <w:szCs w:val="16"/>
              </w:rPr>
              <w:t>Площадь крыла, м²</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E2FB87" w14:textId="77777777" w:rsidR="00164F4F" w:rsidRPr="00E14102" w:rsidRDefault="00164F4F" w:rsidP="00E14102">
            <w:pPr>
              <w:jc w:val="both"/>
              <w:rPr>
                <w:color w:val="000000" w:themeColor="text1"/>
                <w:sz w:val="16"/>
                <w:szCs w:val="16"/>
              </w:rPr>
            </w:pPr>
            <w:r w:rsidRPr="00E14102">
              <w:rPr>
                <w:color w:val="000000" w:themeColor="text1"/>
                <w:sz w:val="16"/>
                <w:szCs w:val="16"/>
              </w:rPr>
              <w:t>  13.20</w:t>
            </w:r>
          </w:p>
        </w:tc>
      </w:tr>
      <w:tr w:rsidR="00E3599D" w:rsidRPr="00E14102" w14:paraId="6963C0EE"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7B42C8" w14:textId="77777777" w:rsidR="00164F4F" w:rsidRPr="00E14102" w:rsidRDefault="00164F4F" w:rsidP="00E14102">
            <w:pPr>
              <w:jc w:val="both"/>
              <w:rPr>
                <w:color w:val="000000" w:themeColor="text1"/>
                <w:sz w:val="16"/>
                <w:szCs w:val="16"/>
              </w:rPr>
            </w:pPr>
            <w:r w:rsidRPr="00E14102">
              <w:rPr>
                <w:color w:val="000000" w:themeColor="text1"/>
                <w:sz w:val="16"/>
                <w:szCs w:val="16"/>
              </w:rPr>
              <w:t>Масса, кг</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BDC60C" w14:textId="77777777" w:rsidR="00164F4F" w:rsidRPr="00E14102" w:rsidRDefault="00164F4F" w:rsidP="00E14102">
            <w:pPr>
              <w:jc w:val="both"/>
              <w:rPr>
                <w:color w:val="000000" w:themeColor="text1"/>
                <w:sz w:val="16"/>
                <w:szCs w:val="16"/>
              </w:rPr>
            </w:pPr>
            <w:r w:rsidRPr="00E14102">
              <w:rPr>
                <w:color w:val="000000" w:themeColor="text1"/>
                <w:sz w:val="16"/>
                <w:szCs w:val="16"/>
              </w:rPr>
              <w:t> </w:t>
            </w:r>
          </w:p>
        </w:tc>
      </w:tr>
      <w:tr w:rsidR="00E3599D" w:rsidRPr="00E14102" w14:paraId="6BE701A5"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ED4CFE" w14:textId="77777777" w:rsidR="00164F4F" w:rsidRPr="00E14102" w:rsidRDefault="00164F4F" w:rsidP="00E14102">
            <w:pPr>
              <w:jc w:val="both"/>
              <w:rPr>
                <w:color w:val="000000" w:themeColor="text1"/>
                <w:sz w:val="16"/>
                <w:szCs w:val="16"/>
              </w:rPr>
            </w:pPr>
            <w:r w:rsidRPr="00E14102">
              <w:rPr>
                <w:color w:val="000000" w:themeColor="text1"/>
                <w:sz w:val="16"/>
                <w:szCs w:val="16"/>
              </w:rPr>
              <w:t>  пустого самолета</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AF80A4" w14:textId="77777777" w:rsidR="00164F4F" w:rsidRPr="00E14102" w:rsidRDefault="00164F4F" w:rsidP="00E14102">
            <w:pPr>
              <w:jc w:val="both"/>
              <w:rPr>
                <w:color w:val="000000" w:themeColor="text1"/>
                <w:sz w:val="16"/>
                <w:szCs w:val="16"/>
              </w:rPr>
            </w:pPr>
            <w:r w:rsidRPr="00E14102">
              <w:rPr>
                <w:color w:val="000000" w:themeColor="text1"/>
                <w:sz w:val="16"/>
                <w:szCs w:val="16"/>
              </w:rPr>
              <w:t>  607</w:t>
            </w:r>
          </w:p>
        </w:tc>
      </w:tr>
      <w:tr w:rsidR="00E3599D" w:rsidRPr="00E14102" w14:paraId="08D90D71"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83710A1" w14:textId="77777777" w:rsidR="00164F4F" w:rsidRPr="00E14102" w:rsidRDefault="00164F4F" w:rsidP="00E14102">
            <w:pPr>
              <w:jc w:val="both"/>
              <w:rPr>
                <w:color w:val="000000" w:themeColor="text1"/>
                <w:sz w:val="16"/>
                <w:szCs w:val="16"/>
              </w:rPr>
            </w:pPr>
            <w:r w:rsidRPr="00E14102">
              <w:rPr>
                <w:color w:val="000000" w:themeColor="text1"/>
                <w:sz w:val="16"/>
                <w:szCs w:val="16"/>
              </w:rPr>
              <w:lastRenderedPageBreak/>
              <w:t>  нормальная взлетная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85A35E" w14:textId="77777777" w:rsidR="00164F4F" w:rsidRPr="00E14102" w:rsidRDefault="00164F4F" w:rsidP="00E14102">
            <w:pPr>
              <w:jc w:val="both"/>
              <w:rPr>
                <w:color w:val="000000" w:themeColor="text1"/>
                <w:sz w:val="16"/>
                <w:szCs w:val="16"/>
              </w:rPr>
            </w:pPr>
            <w:r w:rsidRPr="00E14102">
              <w:rPr>
                <w:color w:val="000000" w:themeColor="text1"/>
                <w:sz w:val="16"/>
                <w:szCs w:val="16"/>
              </w:rPr>
              <w:t>  836</w:t>
            </w:r>
          </w:p>
        </w:tc>
      </w:tr>
      <w:tr w:rsidR="00E3599D" w:rsidRPr="00E14102" w14:paraId="42C0D166"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E555B0" w14:textId="77777777" w:rsidR="00164F4F" w:rsidRPr="00E14102" w:rsidRDefault="00164F4F" w:rsidP="00E14102">
            <w:pPr>
              <w:jc w:val="both"/>
              <w:rPr>
                <w:color w:val="000000" w:themeColor="text1"/>
                <w:sz w:val="16"/>
                <w:szCs w:val="16"/>
              </w:rPr>
            </w:pPr>
            <w:r w:rsidRPr="00E14102">
              <w:rPr>
                <w:color w:val="000000" w:themeColor="text1"/>
                <w:sz w:val="16"/>
                <w:szCs w:val="16"/>
              </w:rPr>
              <w:t>  максимальная взлетная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E14E5CD" w14:textId="77777777" w:rsidR="00164F4F" w:rsidRPr="00E14102" w:rsidRDefault="00164F4F" w:rsidP="00E14102">
            <w:pPr>
              <w:jc w:val="both"/>
              <w:rPr>
                <w:color w:val="000000" w:themeColor="text1"/>
                <w:sz w:val="16"/>
                <w:szCs w:val="16"/>
              </w:rPr>
            </w:pPr>
            <w:r w:rsidRPr="00E14102">
              <w:rPr>
                <w:color w:val="000000" w:themeColor="text1"/>
                <w:sz w:val="16"/>
                <w:szCs w:val="16"/>
              </w:rPr>
              <w:t>  880</w:t>
            </w:r>
          </w:p>
        </w:tc>
      </w:tr>
      <w:tr w:rsidR="00E3599D" w:rsidRPr="00E14102" w14:paraId="6382725B"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2E0D6B" w14:textId="77777777" w:rsidR="00164F4F" w:rsidRPr="00E14102" w:rsidRDefault="00164F4F" w:rsidP="00E14102">
            <w:pPr>
              <w:jc w:val="both"/>
              <w:rPr>
                <w:color w:val="000000" w:themeColor="text1"/>
                <w:sz w:val="16"/>
                <w:szCs w:val="16"/>
              </w:rPr>
            </w:pPr>
            <w:r w:rsidRPr="00E14102">
              <w:rPr>
                <w:color w:val="000000" w:themeColor="text1"/>
                <w:sz w:val="16"/>
                <w:szCs w:val="16"/>
              </w:rPr>
              <w:t>Тип двигателя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3C5BA21" w14:textId="77777777" w:rsidR="00164F4F" w:rsidRPr="00E14102" w:rsidRDefault="00164F4F" w:rsidP="00E14102">
            <w:pPr>
              <w:jc w:val="both"/>
              <w:rPr>
                <w:color w:val="000000" w:themeColor="text1"/>
                <w:sz w:val="16"/>
                <w:szCs w:val="16"/>
              </w:rPr>
            </w:pPr>
            <w:r w:rsidRPr="00E14102">
              <w:rPr>
                <w:color w:val="000000" w:themeColor="text1"/>
                <w:sz w:val="16"/>
                <w:szCs w:val="16"/>
              </w:rPr>
              <w:t>  1 ПД М-11Е</w:t>
            </w:r>
          </w:p>
        </w:tc>
      </w:tr>
      <w:tr w:rsidR="00E3599D" w:rsidRPr="00E14102" w14:paraId="6E70884C"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69FC41" w14:textId="77777777" w:rsidR="00164F4F" w:rsidRPr="00E14102" w:rsidRDefault="00164F4F" w:rsidP="00E14102">
            <w:pPr>
              <w:jc w:val="both"/>
              <w:rPr>
                <w:color w:val="000000" w:themeColor="text1"/>
                <w:sz w:val="16"/>
                <w:szCs w:val="16"/>
              </w:rPr>
            </w:pPr>
            <w:r w:rsidRPr="00E14102">
              <w:rPr>
                <w:color w:val="000000" w:themeColor="text1"/>
                <w:sz w:val="16"/>
                <w:szCs w:val="16"/>
              </w:rPr>
              <w:t>Мощность, л.с.</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2FF125E" w14:textId="77777777" w:rsidR="00164F4F" w:rsidRPr="00E14102" w:rsidRDefault="00164F4F" w:rsidP="00E14102">
            <w:pPr>
              <w:jc w:val="both"/>
              <w:rPr>
                <w:color w:val="000000" w:themeColor="text1"/>
                <w:sz w:val="16"/>
                <w:szCs w:val="16"/>
              </w:rPr>
            </w:pPr>
            <w:r w:rsidRPr="00E14102">
              <w:rPr>
                <w:color w:val="000000" w:themeColor="text1"/>
                <w:sz w:val="16"/>
                <w:szCs w:val="16"/>
              </w:rPr>
              <w:t>  1 × 150</w:t>
            </w:r>
          </w:p>
        </w:tc>
      </w:tr>
      <w:tr w:rsidR="00E3599D" w:rsidRPr="00E14102" w14:paraId="3B26FC37"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29B7E1" w14:textId="77777777" w:rsidR="00164F4F" w:rsidRPr="00E14102" w:rsidRDefault="00164F4F" w:rsidP="00E14102">
            <w:pPr>
              <w:jc w:val="both"/>
              <w:rPr>
                <w:color w:val="000000" w:themeColor="text1"/>
                <w:sz w:val="16"/>
                <w:szCs w:val="16"/>
              </w:rPr>
            </w:pPr>
            <w:r w:rsidRPr="00E14102">
              <w:rPr>
                <w:color w:val="000000" w:themeColor="text1"/>
                <w:sz w:val="16"/>
                <w:szCs w:val="16"/>
              </w:rPr>
              <w:t>Максимальная скорость , км/ч</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1801EB6" w14:textId="77777777" w:rsidR="00164F4F" w:rsidRPr="00E14102" w:rsidRDefault="00164F4F" w:rsidP="00E14102">
            <w:pPr>
              <w:jc w:val="both"/>
              <w:rPr>
                <w:color w:val="000000" w:themeColor="text1"/>
                <w:sz w:val="16"/>
                <w:szCs w:val="16"/>
              </w:rPr>
            </w:pPr>
            <w:r w:rsidRPr="00E14102">
              <w:rPr>
                <w:color w:val="000000" w:themeColor="text1"/>
                <w:sz w:val="16"/>
                <w:szCs w:val="16"/>
              </w:rPr>
              <w:t>  235</w:t>
            </w:r>
          </w:p>
        </w:tc>
      </w:tr>
      <w:tr w:rsidR="00E3599D" w:rsidRPr="00E14102" w14:paraId="32C60707"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A6AA7D" w14:textId="77777777" w:rsidR="00164F4F" w:rsidRPr="00E14102" w:rsidRDefault="00164F4F" w:rsidP="00E14102">
            <w:pPr>
              <w:jc w:val="both"/>
              <w:rPr>
                <w:color w:val="000000" w:themeColor="text1"/>
                <w:sz w:val="16"/>
                <w:szCs w:val="16"/>
              </w:rPr>
            </w:pPr>
            <w:r w:rsidRPr="00E14102">
              <w:rPr>
                <w:color w:val="000000" w:themeColor="text1"/>
                <w:sz w:val="16"/>
                <w:szCs w:val="16"/>
              </w:rPr>
              <w:t>Крейсерская скорость , км/ч</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1E75573" w14:textId="77777777" w:rsidR="00164F4F" w:rsidRPr="00E14102" w:rsidRDefault="00164F4F" w:rsidP="00E14102">
            <w:pPr>
              <w:jc w:val="both"/>
              <w:rPr>
                <w:color w:val="000000" w:themeColor="text1"/>
                <w:sz w:val="16"/>
                <w:szCs w:val="16"/>
              </w:rPr>
            </w:pPr>
            <w:r w:rsidRPr="00E14102">
              <w:rPr>
                <w:color w:val="000000" w:themeColor="text1"/>
                <w:sz w:val="16"/>
                <w:szCs w:val="16"/>
              </w:rPr>
              <w:t>  215</w:t>
            </w:r>
          </w:p>
        </w:tc>
      </w:tr>
      <w:tr w:rsidR="00E3599D" w:rsidRPr="00E14102" w14:paraId="7B391917"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0860BF" w14:textId="77777777" w:rsidR="00164F4F" w:rsidRPr="00E14102" w:rsidRDefault="00164F4F" w:rsidP="00E14102">
            <w:pPr>
              <w:jc w:val="both"/>
              <w:rPr>
                <w:color w:val="000000" w:themeColor="text1"/>
                <w:sz w:val="16"/>
                <w:szCs w:val="16"/>
              </w:rPr>
            </w:pPr>
            <w:r w:rsidRPr="00E14102">
              <w:rPr>
                <w:color w:val="000000" w:themeColor="text1"/>
                <w:sz w:val="16"/>
                <w:szCs w:val="16"/>
              </w:rPr>
              <w:t>Практическая дальность, км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746AFC" w14:textId="77777777" w:rsidR="00164F4F" w:rsidRPr="00E14102" w:rsidRDefault="00164F4F" w:rsidP="00E14102">
            <w:pPr>
              <w:jc w:val="both"/>
              <w:rPr>
                <w:color w:val="000000" w:themeColor="text1"/>
                <w:sz w:val="16"/>
                <w:szCs w:val="16"/>
              </w:rPr>
            </w:pPr>
            <w:r w:rsidRPr="00E14102">
              <w:rPr>
                <w:color w:val="000000" w:themeColor="text1"/>
                <w:sz w:val="16"/>
                <w:szCs w:val="16"/>
              </w:rPr>
              <w:t>  400</w:t>
            </w:r>
          </w:p>
        </w:tc>
      </w:tr>
      <w:tr w:rsidR="00E3599D" w:rsidRPr="00E14102" w14:paraId="4C649F3E"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847580" w14:textId="77777777" w:rsidR="00164F4F" w:rsidRPr="00E14102" w:rsidRDefault="00164F4F" w:rsidP="00E14102">
            <w:pPr>
              <w:jc w:val="both"/>
              <w:rPr>
                <w:color w:val="000000" w:themeColor="text1"/>
                <w:sz w:val="16"/>
                <w:szCs w:val="16"/>
              </w:rPr>
            </w:pPr>
            <w:r w:rsidRPr="00E14102">
              <w:rPr>
                <w:color w:val="000000" w:themeColor="text1"/>
                <w:sz w:val="16"/>
                <w:szCs w:val="16"/>
              </w:rPr>
              <w:t>Практический потолок,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9C89F0" w14:textId="77777777" w:rsidR="00164F4F" w:rsidRPr="00E14102" w:rsidRDefault="00164F4F" w:rsidP="00E14102">
            <w:pPr>
              <w:jc w:val="both"/>
              <w:rPr>
                <w:color w:val="000000" w:themeColor="text1"/>
                <w:sz w:val="16"/>
                <w:szCs w:val="16"/>
              </w:rPr>
            </w:pPr>
            <w:r w:rsidRPr="00E14102">
              <w:rPr>
                <w:color w:val="000000" w:themeColor="text1"/>
                <w:sz w:val="16"/>
                <w:szCs w:val="16"/>
              </w:rPr>
              <w:t>  3900</w:t>
            </w:r>
          </w:p>
        </w:tc>
      </w:tr>
      <w:tr w:rsidR="00E3599D" w:rsidRPr="00E14102" w14:paraId="5755FE75"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B3DEC75" w14:textId="77777777" w:rsidR="00164F4F" w:rsidRPr="00E14102" w:rsidRDefault="00164F4F" w:rsidP="00E14102">
            <w:pPr>
              <w:jc w:val="both"/>
              <w:rPr>
                <w:color w:val="000000" w:themeColor="text1"/>
                <w:sz w:val="16"/>
                <w:szCs w:val="16"/>
              </w:rPr>
            </w:pPr>
            <w:r w:rsidRPr="00E14102">
              <w:rPr>
                <w:color w:val="000000" w:themeColor="text1"/>
                <w:sz w:val="16"/>
                <w:szCs w:val="16"/>
              </w:rPr>
              <w:t>Экипаж</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A523AA" w14:textId="77777777" w:rsidR="00164F4F" w:rsidRPr="00E14102" w:rsidRDefault="00164F4F" w:rsidP="00E14102">
            <w:pPr>
              <w:jc w:val="both"/>
              <w:rPr>
                <w:color w:val="000000" w:themeColor="text1"/>
                <w:sz w:val="16"/>
                <w:szCs w:val="16"/>
              </w:rPr>
            </w:pPr>
            <w:r w:rsidRPr="00E14102">
              <w:rPr>
                <w:color w:val="000000" w:themeColor="text1"/>
                <w:sz w:val="16"/>
                <w:szCs w:val="16"/>
              </w:rPr>
              <w:t>  2</w:t>
            </w:r>
          </w:p>
        </w:tc>
      </w:tr>
    </w:tbl>
    <w:p w14:paraId="190FB635" w14:textId="77777777" w:rsidR="00164F4F" w:rsidRPr="00E14102" w:rsidRDefault="00164F4F" w:rsidP="00E14102">
      <w:pPr>
        <w:pBdr>
          <w:bottom w:val="single" w:sz="6" w:space="2" w:color="EBEBEB"/>
        </w:pBdr>
        <w:shd w:val="clear" w:color="auto" w:fill="FFFFFF"/>
        <w:jc w:val="both"/>
        <w:rPr>
          <w:color w:val="000000" w:themeColor="text1"/>
          <w:sz w:val="16"/>
          <w:szCs w:val="16"/>
        </w:rPr>
      </w:pPr>
      <w:r w:rsidRPr="00E14102">
        <w:rPr>
          <w:color w:val="000000" w:themeColor="text1"/>
          <w:sz w:val="16"/>
          <w:szCs w:val="16"/>
        </w:rPr>
        <w:t>(12682).</w:t>
      </w:r>
    </w:p>
    <w:p w14:paraId="0ACDD1B8" w14:textId="77777777" w:rsidR="00164F4F" w:rsidRPr="00E14102" w:rsidRDefault="00164F4F" w:rsidP="00E14102">
      <w:pPr>
        <w:pBdr>
          <w:bottom w:val="single" w:sz="6" w:space="2" w:color="EBEBEB"/>
        </w:pBdr>
        <w:shd w:val="clear" w:color="auto" w:fill="FFFFFF"/>
        <w:jc w:val="both"/>
        <w:rPr>
          <w:color w:val="000000" w:themeColor="text1"/>
          <w:sz w:val="16"/>
          <w:szCs w:val="16"/>
        </w:rPr>
      </w:pPr>
    </w:p>
    <w:p w14:paraId="14F337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августе 1935 самолет ВВА-1 предъявили НИИ ВВС РККА на государственные испыта</w:t>
      </w:r>
      <w:r w:rsidRPr="00E14102">
        <w:rPr>
          <w:color w:val="000000" w:themeColor="text1"/>
          <w:sz w:val="16"/>
          <w:szCs w:val="16"/>
        </w:rPr>
        <w:softHyphen/>
        <w:t>ния. Ответственными за их проведение были назначены ведущий инженер Н.С.Куликов и ведущий летчик-испы</w:t>
      </w:r>
      <w:r w:rsidRPr="00E14102">
        <w:rPr>
          <w:color w:val="000000" w:themeColor="text1"/>
          <w:sz w:val="16"/>
          <w:szCs w:val="16"/>
        </w:rPr>
        <w:softHyphen/>
        <w:t>татель К.А.Калилец. В соответствии с программой испытаний за 14 полетов требовалось определить основные летные данные и эксплуатационные свойства самолета. На проведенных в августе-сентяб</w:t>
      </w:r>
      <w:r w:rsidRPr="00E14102">
        <w:rPr>
          <w:color w:val="000000" w:themeColor="text1"/>
          <w:sz w:val="16"/>
          <w:szCs w:val="16"/>
        </w:rPr>
        <w:softHyphen/>
        <w:t>ре 1935 г. госиспытаниях ВВА-1 пока</w:t>
      </w:r>
      <w:r w:rsidRPr="00E14102">
        <w:rPr>
          <w:color w:val="000000" w:themeColor="text1"/>
          <w:sz w:val="16"/>
          <w:szCs w:val="16"/>
        </w:rPr>
        <w:softHyphen/>
        <w:t>зал следующие результаты. Макси</w:t>
      </w:r>
      <w:r w:rsidRPr="00E14102">
        <w:rPr>
          <w:color w:val="000000" w:themeColor="text1"/>
          <w:sz w:val="16"/>
          <w:szCs w:val="16"/>
        </w:rPr>
        <w:softHyphen/>
        <w:t>мальная скорость при полетной массе 1146 кг составила 156 км/ч у земли и 145 км/ч на высоте 2000 м. Высоту 1000 м машина набирала за 9,83 мин, а 2000 м за 26,19 мин. Практический потолок составил 2920 м, который са</w:t>
      </w:r>
      <w:r w:rsidRPr="00E14102">
        <w:rPr>
          <w:color w:val="000000" w:themeColor="text1"/>
          <w:sz w:val="16"/>
          <w:szCs w:val="16"/>
        </w:rPr>
        <w:softHyphen/>
        <w:t>молет набирал за 79,6 мин. Длина раз</w:t>
      </w:r>
      <w:r w:rsidRPr="00E14102">
        <w:rPr>
          <w:color w:val="000000" w:themeColor="text1"/>
          <w:sz w:val="16"/>
          <w:szCs w:val="16"/>
        </w:rPr>
        <w:softHyphen/>
        <w:t>бега с выпущенными закрылками - 220 м, а без их применения - 260 м. Пробег соответственно составлял 180 и 200 м, а посадочная скорость 75 и 90 км/ч.</w:t>
      </w:r>
    </w:p>
    <w:p w14:paraId="51AE3A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Следует отметить, что ВВА-1 прохо</w:t>
      </w:r>
      <w:r w:rsidRPr="00E14102">
        <w:rPr>
          <w:color w:val="000000" w:themeColor="text1"/>
          <w:sz w:val="16"/>
          <w:szCs w:val="16"/>
        </w:rPr>
        <w:softHyphen/>
        <w:t>дил испытания без внешнего капота и не со своим винтом. При пробе мото</w:t>
      </w:r>
      <w:r w:rsidRPr="00E14102">
        <w:rPr>
          <w:color w:val="000000" w:themeColor="text1"/>
          <w:sz w:val="16"/>
          <w:szCs w:val="16"/>
        </w:rPr>
        <w:softHyphen/>
        <w:t>ра, как на земле, так и в воздухе с вин</w:t>
      </w:r>
      <w:r w:rsidRPr="00E14102">
        <w:rPr>
          <w:color w:val="000000" w:themeColor="text1"/>
          <w:sz w:val="16"/>
          <w:szCs w:val="16"/>
        </w:rPr>
        <w:softHyphen/>
        <w:t>том, спроектированным специально для ВВА-1, ощущалась значительная вибрация конструкции самолета. Наи</w:t>
      </w:r>
      <w:r w:rsidRPr="00E14102">
        <w:rPr>
          <w:color w:val="000000" w:themeColor="text1"/>
          <w:sz w:val="16"/>
          <w:szCs w:val="16"/>
        </w:rPr>
        <w:softHyphen/>
        <w:t>большей величины она достигала при оборотах мотора от 1100 до 1400 об/ мин. В связи с этим для проведения испытаний на машину поставили винт от самолета У-2. С этим винтом вибра</w:t>
      </w:r>
      <w:r w:rsidRPr="00E14102">
        <w:rPr>
          <w:color w:val="000000" w:themeColor="text1"/>
          <w:sz w:val="16"/>
          <w:szCs w:val="16"/>
        </w:rPr>
        <w:softHyphen/>
        <w:t>ция все же имела место, но была не</w:t>
      </w:r>
      <w:r w:rsidRPr="00E14102">
        <w:rPr>
          <w:color w:val="000000" w:themeColor="text1"/>
          <w:sz w:val="16"/>
          <w:szCs w:val="16"/>
        </w:rPr>
        <w:softHyphen/>
        <w:t>сколько меньше. В полете вибрация сказывалась, прежде всего, в колеба</w:t>
      </w:r>
      <w:r w:rsidRPr="00E14102">
        <w:rPr>
          <w:color w:val="000000" w:themeColor="text1"/>
          <w:sz w:val="16"/>
          <w:szCs w:val="16"/>
        </w:rPr>
        <w:softHyphen/>
        <w:t>ниях стрелок всех приборов, разме</w:t>
      </w:r>
      <w:r w:rsidRPr="00E14102">
        <w:rPr>
          <w:color w:val="000000" w:themeColor="text1"/>
          <w:sz w:val="16"/>
          <w:szCs w:val="16"/>
        </w:rPr>
        <w:softHyphen/>
        <w:t>щенных на приборной доске.</w:t>
      </w:r>
    </w:p>
    <w:p w14:paraId="2413C9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 запускался установленным для М-11 способом - от руки, так как храповик для автостартера не устанав</w:t>
      </w:r>
      <w:r w:rsidRPr="00E14102">
        <w:rPr>
          <w:color w:val="000000" w:themeColor="text1"/>
          <w:sz w:val="16"/>
          <w:szCs w:val="16"/>
        </w:rPr>
        <w:softHyphen/>
        <w:t>ливался. Отмечалось неудобное распо</w:t>
      </w:r>
      <w:r w:rsidRPr="00E14102">
        <w:rPr>
          <w:color w:val="000000" w:themeColor="text1"/>
          <w:sz w:val="16"/>
          <w:szCs w:val="16"/>
        </w:rPr>
        <w:softHyphen/>
        <w:t>ложение пускового магнето - очень низко и далеко. При пробе мотора под колеса подкладывали колодки обычно</w:t>
      </w:r>
      <w:r w:rsidRPr="00E14102">
        <w:rPr>
          <w:color w:val="000000" w:themeColor="text1"/>
          <w:sz w:val="16"/>
          <w:szCs w:val="16"/>
        </w:rPr>
        <w:softHyphen/>
        <w:t>го типа, при этом хвост машины при взятой «на себя» ручке управления можно было не держать.</w:t>
      </w:r>
    </w:p>
    <w:p w14:paraId="2631C8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зависимости от грунта аэродро</w:t>
      </w:r>
      <w:r w:rsidRPr="00E14102">
        <w:rPr>
          <w:color w:val="000000" w:themeColor="text1"/>
          <w:sz w:val="16"/>
          <w:szCs w:val="16"/>
        </w:rPr>
        <w:softHyphen/>
        <w:t>ма ВВА-1 рулил при 900-1000 об/мин, при этом его скорость соответствова</w:t>
      </w:r>
      <w:r w:rsidRPr="00E14102">
        <w:rPr>
          <w:color w:val="000000" w:themeColor="text1"/>
          <w:sz w:val="16"/>
          <w:szCs w:val="16"/>
        </w:rPr>
        <w:softHyphen/>
        <w:t>ла нормальному шагу сопровождаю</w:t>
      </w:r>
      <w:r w:rsidRPr="00E14102">
        <w:rPr>
          <w:color w:val="000000" w:themeColor="text1"/>
          <w:sz w:val="16"/>
          <w:szCs w:val="16"/>
        </w:rPr>
        <w:softHyphen/>
        <w:t>щего. Рулил самолет устойчиво и хо</w:t>
      </w:r>
      <w:r w:rsidRPr="00E14102">
        <w:rPr>
          <w:color w:val="000000" w:themeColor="text1"/>
          <w:sz w:val="16"/>
          <w:szCs w:val="16"/>
        </w:rPr>
        <w:softHyphen/>
        <w:t>рошо слушался руля направления. На ровной поверхности для облегчения хвоста ручку управления необходимо было держать нейтрально. Размер ко</w:t>
      </w:r>
      <w:r w:rsidRPr="00E14102">
        <w:rPr>
          <w:color w:val="000000" w:themeColor="text1"/>
          <w:sz w:val="16"/>
          <w:szCs w:val="16"/>
        </w:rPr>
        <w:softHyphen/>
        <w:t>лес для работы машины с мягкого грун</w:t>
      </w:r>
      <w:r w:rsidRPr="00E14102">
        <w:rPr>
          <w:color w:val="000000" w:themeColor="text1"/>
          <w:sz w:val="16"/>
          <w:szCs w:val="16"/>
        </w:rPr>
        <w:softHyphen/>
        <w:t>та считался недостаточным, в таких случаях самолет вязнул. Обзор вперед и влево до 60° был удовлетворитель</w:t>
      </w:r>
      <w:r w:rsidRPr="00E14102">
        <w:rPr>
          <w:color w:val="000000" w:themeColor="text1"/>
          <w:sz w:val="16"/>
          <w:szCs w:val="16"/>
        </w:rPr>
        <w:softHyphen/>
        <w:t>ный, вправо и по сторонам плохой, назад и вверх отсутствовал. Это объяс</w:t>
      </w:r>
      <w:r w:rsidRPr="00E14102">
        <w:rPr>
          <w:color w:val="000000" w:themeColor="text1"/>
          <w:sz w:val="16"/>
          <w:szCs w:val="16"/>
        </w:rPr>
        <w:softHyphen/>
        <w:t>нялось положением пилота в кабине, а также множеством переплетов фо</w:t>
      </w:r>
      <w:r w:rsidRPr="00E14102">
        <w:rPr>
          <w:color w:val="000000" w:themeColor="text1"/>
          <w:sz w:val="16"/>
          <w:szCs w:val="16"/>
        </w:rPr>
        <w:softHyphen/>
        <w:t>наря кабины, что сокращало поле ви</w:t>
      </w:r>
      <w:r w:rsidRPr="00E14102">
        <w:rPr>
          <w:color w:val="000000" w:themeColor="text1"/>
          <w:sz w:val="16"/>
          <w:szCs w:val="16"/>
        </w:rPr>
        <w:softHyphen/>
        <w:t>димости. Для улучшения обзора реко</w:t>
      </w:r>
      <w:r w:rsidRPr="00E14102">
        <w:rPr>
          <w:color w:val="000000" w:themeColor="text1"/>
          <w:sz w:val="16"/>
          <w:szCs w:val="16"/>
        </w:rPr>
        <w:softHyphen/>
        <w:t>мендовалось с обеих сторон сделать легко открывающиеся окна.</w:t>
      </w:r>
    </w:p>
    <w:p w14:paraId="5ED8D5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взлетал очень тяжело, хвост поднимался медленно. При этом ручку управления требовалось дать«от себя» полностью, что для летчика среднего роста было сделать весьма затрудни</w:t>
      </w:r>
      <w:r w:rsidRPr="00E14102">
        <w:rPr>
          <w:color w:val="000000" w:themeColor="text1"/>
          <w:sz w:val="16"/>
          <w:szCs w:val="16"/>
        </w:rPr>
        <w:softHyphen/>
        <w:t>тельно. После подъема хвоста ручку необходимо было слегка взять «на себя». Испытатели отмечали, что при разбеге ВВА-1 не чувствовалось нара</w:t>
      </w:r>
      <w:r w:rsidRPr="00E14102">
        <w:rPr>
          <w:color w:val="000000" w:themeColor="text1"/>
          <w:sz w:val="16"/>
          <w:szCs w:val="16"/>
        </w:rPr>
        <w:softHyphen/>
        <w:t>стания скорости и стремления машины самой оторваться от земли как это на</w:t>
      </w:r>
      <w:r w:rsidRPr="00E14102">
        <w:rPr>
          <w:color w:val="000000" w:themeColor="text1"/>
          <w:sz w:val="16"/>
          <w:szCs w:val="16"/>
        </w:rPr>
        <w:softHyphen/>
        <w:t>блюдалось у других самолетов. Во вре</w:t>
      </w:r>
      <w:r w:rsidRPr="00E14102">
        <w:rPr>
          <w:color w:val="000000" w:themeColor="text1"/>
          <w:sz w:val="16"/>
          <w:szCs w:val="16"/>
        </w:rPr>
        <w:softHyphen/>
        <w:t>мя взлета самолет обычно требовал от-рывания его от земли, а в штиль его раз</w:t>
      </w:r>
      <w:r w:rsidRPr="00E14102">
        <w:rPr>
          <w:color w:val="000000" w:themeColor="text1"/>
          <w:sz w:val="16"/>
          <w:szCs w:val="16"/>
        </w:rPr>
        <w:softHyphen/>
        <w:t>бег достигал 300 м. Открытие закрыл</w:t>
      </w:r>
      <w:r w:rsidRPr="00E14102">
        <w:rPr>
          <w:color w:val="000000" w:themeColor="text1"/>
          <w:sz w:val="16"/>
          <w:szCs w:val="16"/>
        </w:rPr>
        <w:softHyphen/>
        <w:t>ков, не уменьшая времени разбега, со</w:t>
      </w:r>
      <w:r w:rsidRPr="00E14102">
        <w:rPr>
          <w:color w:val="000000" w:themeColor="text1"/>
          <w:sz w:val="16"/>
          <w:szCs w:val="16"/>
        </w:rPr>
        <w:softHyphen/>
        <w:t>кращало его длину всего на 12%, при этом в штиль разбег составлял 240 м.</w:t>
      </w:r>
    </w:p>
    <w:p w14:paraId="3F801B6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разбеге самолет имел тенден</w:t>
      </w:r>
      <w:r w:rsidRPr="00E14102">
        <w:rPr>
          <w:color w:val="000000" w:themeColor="text1"/>
          <w:sz w:val="16"/>
          <w:szCs w:val="16"/>
        </w:rPr>
        <w:softHyphen/>
        <w:t>цию к рысканью, и его все время тре</w:t>
      </w:r>
      <w:r w:rsidRPr="00E14102">
        <w:rPr>
          <w:color w:val="000000" w:themeColor="text1"/>
          <w:sz w:val="16"/>
          <w:szCs w:val="16"/>
        </w:rPr>
        <w:softHyphen/>
        <w:t>бовалось держать ножным управлени</w:t>
      </w:r>
      <w:r w:rsidRPr="00E14102">
        <w:rPr>
          <w:color w:val="000000" w:themeColor="text1"/>
          <w:sz w:val="16"/>
          <w:szCs w:val="16"/>
        </w:rPr>
        <w:softHyphen/>
        <w:t>ем для сохранения прямой. Рысканье объяснялось в первую очередь чрез</w:t>
      </w:r>
      <w:r w:rsidRPr="00E14102">
        <w:rPr>
          <w:color w:val="000000" w:themeColor="text1"/>
          <w:sz w:val="16"/>
          <w:szCs w:val="16"/>
        </w:rPr>
        <w:softHyphen/>
        <w:t>мерной чувствительностью руля на</w:t>
      </w:r>
      <w:r w:rsidRPr="00E14102">
        <w:rPr>
          <w:color w:val="000000" w:themeColor="text1"/>
          <w:sz w:val="16"/>
          <w:szCs w:val="16"/>
        </w:rPr>
        <w:softHyphen/>
        <w:t>правления и крайне неудачной конст</w:t>
      </w:r>
      <w:r w:rsidRPr="00E14102">
        <w:rPr>
          <w:color w:val="000000" w:themeColor="text1"/>
          <w:sz w:val="16"/>
          <w:szCs w:val="16"/>
        </w:rPr>
        <w:softHyphen/>
        <w:t>рукцией педалей, при которой ноги летчика все время были на весу. Даже незначительный нажим на педаль тут же приводил к развороту. К тому же педали имели большой ход, из-за чего у летчика среднего роста «не хватало» ног для перевода их из одного край</w:t>
      </w:r>
      <w:r w:rsidRPr="00E14102">
        <w:rPr>
          <w:color w:val="000000" w:themeColor="text1"/>
          <w:sz w:val="16"/>
          <w:szCs w:val="16"/>
        </w:rPr>
        <w:softHyphen/>
        <w:t>него положения в другое.</w:t>
      </w:r>
    </w:p>
    <w:p w14:paraId="30A7F4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Вследствие малой скороподъемно</w:t>
      </w:r>
      <w:r w:rsidRPr="00E14102">
        <w:rPr>
          <w:color w:val="000000" w:themeColor="text1"/>
          <w:sz w:val="16"/>
          <w:szCs w:val="16"/>
        </w:rPr>
        <w:softHyphen/>
        <w:t>сти (2,05 м/с у земли) высоту самолет набирал медленно. Для набора 30 м машине требовалось расстояние в 500-600 м, что, учитывая еще и боль</w:t>
      </w:r>
      <w:r w:rsidRPr="00E14102">
        <w:rPr>
          <w:color w:val="000000" w:themeColor="text1"/>
          <w:sz w:val="16"/>
          <w:szCs w:val="16"/>
        </w:rPr>
        <w:softHyphen/>
        <w:t>шой разбег, делало невозможным его взлет с ограниченных аэродромов, имеющих высокие препятствия.</w:t>
      </w:r>
    </w:p>
    <w:p w14:paraId="36568B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Наивыгоднейшая скорость набора высоты до 1000 м составляла 110 км/ч (по прибору) при 1500 об/мин для винта, специально спроектированно</w:t>
      </w:r>
      <w:r w:rsidRPr="00E14102">
        <w:rPr>
          <w:color w:val="000000" w:themeColor="text1"/>
          <w:sz w:val="16"/>
          <w:szCs w:val="16"/>
        </w:rPr>
        <w:softHyphen/>
        <w:t>го для ВВА-1, и при 1600 об/мин для винта от самолета У-2. По мере набора высоты скорость необходимо было уменьшать на 5 км/ч на каждую 1000 м. Высоту машина набирала устойчи во даже с брошенной ручкой. При уменьшении оборотов, а также на пла</w:t>
      </w:r>
      <w:r w:rsidRPr="00E14102">
        <w:rPr>
          <w:color w:val="000000" w:themeColor="text1"/>
          <w:sz w:val="16"/>
          <w:szCs w:val="16"/>
        </w:rPr>
        <w:softHyphen/>
        <w:t>нировании самолет «висел» на ручке. Но в случае сдачи мотора он перехо</w:t>
      </w:r>
      <w:r w:rsidRPr="00E14102">
        <w:rPr>
          <w:color w:val="000000" w:themeColor="text1"/>
          <w:sz w:val="16"/>
          <w:szCs w:val="16"/>
        </w:rPr>
        <w:softHyphen/>
        <w:t>дил на нос с тенденцией развернуться и кренился вправо.</w:t>
      </w:r>
    </w:p>
    <w:p w14:paraId="313631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спокойную погоду ВВА-1 в гори</w:t>
      </w:r>
      <w:r w:rsidRPr="00E14102">
        <w:rPr>
          <w:color w:val="000000" w:themeColor="text1"/>
          <w:sz w:val="16"/>
          <w:szCs w:val="16"/>
        </w:rPr>
        <w:softHyphen/>
        <w:t>зонтальном полете шел устойчиво, до</w:t>
      </w:r>
      <w:r w:rsidRPr="00E14102">
        <w:rPr>
          <w:color w:val="000000" w:themeColor="text1"/>
          <w:sz w:val="16"/>
          <w:szCs w:val="16"/>
        </w:rPr>
        <w:softHyphen/>
        <w:t>пуская полет с брошенным управлени</w:t>
      </w:r>
      <w:r w:rsidRPr="00E14102">
        <w:rPr>
          <w:color w:val="000000" w:themeColor="text1"/>
          <w:sz w:val="16"/>
          <w:szCs w:val="16"/>
        </w:rPr>
        <w:softHyphen/>
        <w:t>ем. Но к болтан ке самолет был чувстви</w:t>
      </w:r>
      <w:r w:rsidRPr="00E14102">
        <w:rPr>
          <w:color w:val="000000" w:themeColor="text1"/>
          <w:sz w:val="16"/>
          <w:szCs w:val="16"/>
        </w:rPr>
        <w:softHyphen/>
        <w:t>телен. Скорость при 1500 об/мин со</w:t>
      </w:r>
      <w:r w:rsidRPr="00E14102">
        <w:rPr>
          <w:color w:val="000000" w:themeColor="text1"/>
          <w:sz w:val="16"/>
          <w:szCs w:val="16"/>
        </w:rPr>
        <w:softHyphen/>
        <w:t>ставляла 115-120 км/ч. Так как внут</w:t>
      </w:r>
      <w:r w:rsidRPr="00E14102">
        <w:rPr>
          <w:color w:val="000000" w:themeColor="text1"/>
          <w:sz w:val="16"/>
          <w:szCs w:val="16"/>
        </w:rPr>
        <w:softHyphen/>
        <w:t>ренняя хорда коробки крыльев шла параллельно оси винта и строитель-</w:t>
      </w:r>
    </w:p>
    <w:p w14:paraId="070533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ной горизонтали самолета, последний летал с несколько опущенным хвостом. С закрытыми закрылками самолет был достаточно устойчив. Однако полных исследований на устойчивость при всех режимах полета и с разным от</w:t>
      </w:r>
      <w:r w:rsidRPr="00E14102">
        <w:rPr>
          <w:color w:val="000000" w:themeColor="text1"/>
          <w:sz w:val="16"/>
          <w:szCs w:val="16"/>
        </w:rPr>
        <w:softHyphen/>
        <w:t>крытием закрылков не проводилось. Длительный полет очень утомлял летчика вследствие неудачного распо</w:t>
      </w:r>
      <w:r w:rsidRPr="00E14102">
        <w:rPr>
          <w:color w:val="000000" w:themeColor="text1"/>
          <w:sz w:val="16"/>
          <w:szCs w:val="16"/>
        </w:rPr>
        <w:softHyphen/>
        <w:t>ложения органов управления и неудоб</w:t>
      </w:r>
      <w:r w:rsidRPr="00E14102">
        <w:rPr>
          <w:color w:val="000000" w:themeColor="text1"/>
          <w:sz w:val="16"/>
          <w:szCs w:val="16"/>
        </w:rPr>
        <w:softHyphen/>
        <w:t>ного расположения сиденья. Полет в облаках и в тумане был затруднен из-за излишней чувствительности самолета к самому незначительному движению ножным управлением. К тому же вести курс по компасу К-4 оказалось затруд</w:t>
      </w:r>
      <w:r w:rsidRPr="00E14102">
        <w:rPr>
          <w:color w:val="000000" w:themeColor="text1"/>
          <w:sz w:val="16"/>
          <w:szCs w:val="16"/>
        </w:rPr>
        <w:softHyphen/>
        <w:t>нительно, так как последний располо</w:t>
      </w:r>
      <w:r w:rsidRPr="00E14102">
        <w:rPr>
          <w:color w:val="000000" w:themeColor="text1"/>
          <w:sz w:val="16"/>
          <w:szCs w:val="16"/>
        </w:rPr>
        <w:softHyphen/>
        <w:t>жили далеко, в стороне от глаз летчика (10742).</w:t>
      </w:r>
    </w:p>
    <w:p w14:paraId="6D9FB0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Маневренность самолета проверя</w:t>
      </w:r>
      <w:r w:rsidRPr="00E14102">
        <w:rPr>
          <w:color w:val="000000" w:themeColor="text1"/>
          <w:sz w:val="16"/>
          <w:szCs w:val="16"/>
        </w:rPr>
        <w:softHyphen/>
        <w:t>ли на высоте 800 м. Виражил он на скорости 120-125 км/ч при 1550 об/ мин устойчиво, но при этом летчику требовалось все время быть внима</w:t>
      </w:r>
      <w:r w:rsidRPr="00E14102">
        <w:rPr>
          <w:color w:val="000000" w:themeColor="text1"/>
          <w:sz w:val="16"/>
          <w:szCs w:val="16"/>
        </w:rPr>
        <w:softHyphen/>
        <w:t>тельным и следить за движениями ног, которые должны были быть незначи</w:t>
      </w:r>
      <w:r w:rsidRPr="00E14102">
        <w:rPr>
          <w:color w:val="000000" w:themeColor="text1"/>
          <w:sz w:val="16"/>
          <w:szCs w:val="16"/>
        </w:rPr>
        <w:softHyphen/>
        <w:t>тельными. Время виража составило 25 с для левого и 27,3 с для правого.</w:t>
      </w:r>
    </w:p>
    <w:p w14:paraId="224FB1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Наивыгоднейшая скорость планиро</w:t>
      </w:r>
      <w:r w:rsidRPr="00E14102">
        <w:rPr>
          <w:color w:val="000000" w:themeColor="text1"/>
          <w:sz w:val="16"/>
          <w:szCs w:val="16"/>
        </w:rPr>
        <w:softHyphen/>
        <w:t>вания составляла 110-115 км/ч при ми</w:t>
      </w:r>
      <w:r w:rsidRPr="00E14102">
        <w:rPr>
          <w:color w:val="000000" w:themeColor="text1"/>
          <w:sz w:val="16"/>
          <w:szCs w:val="16"/>
        </w:rPr>
        <w:softHyphen/>
        <w:t>нимальных оборотах мотора. Траектория планирования по сравнению с самоле</w:t>
      </w:r>
      <w:r w:rsidRPr="00E14102">
        <w:rPr>
          <w:color w:val="000000" w:themeColor="text1"/>
          <w:sz w:val="16"/>
          <w:szCs w:val="16"/>
        </w:rPr>
        <w:softHyphen/>
        <w:t>том У-2 была более крутая. При брошен</w:t>
      </w:r>
      <w:r w:rsidRPr="00E14102">
        <w:rPr>
          <w:color w:val="000000" w:themeColor="text1"/>
          <w:sz w:val="16"/>
          <w:szCs w:val="16"/>
        </w:rPr>
        <w:softHyphen/>
        <w:t>ной ручке ВВА-1 увеличивал скорость до 145-150 км/ч (по прибору) после чего продолжал устойчиво планировать на этой скорости. Полностью открытые зак</w:t>
      </w:r>
      <w:r w:rsidRPr="00E14102">
        <w:rPr>
          <w:color w:val="000000" w:themeColor="text1"/>
          <w:sz w:val="16"/>
          <w:szCs w:val="16"/>
        </w:rPr>
        <w:softHyphen/>
        <w:t>рылки и щитки делали траекторию пла</w:t>
      </w:r>
      <w:r w:rsidRPr="00E14102">
        <w:rPr>
          <w:color w:val="000000" w:themeColor="text1"/>
          <w:sz w:val="16"/>
          <w:szCs w:val="16"/>
        </w:rPr>
        <w:softHyphen/>
        <w:t>нирования еще более крутой.</w:t>
      </w:r>
    </w:p>
    <w:p w14:paraId="66697C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отличие от разбега посадка са</w:t>
      </w:r>
      <w:r w:rsidRPr="00E14102">
        <w:rPr>
          <w:color w:val="000000" w:themeColor="text1"/>
          <w:sz w:val="16"/>
          <w:szCs w:val="16"/>
        </w:rPr>
        <w:softHyphen/>
        <w:t>молета ВВА-1 была простой. Он легко садился на три точки, не имея тенден</w:t>
      </w:r>
      <w:r w:rsidRPr="00E14102">
        <w:rPr>
          <w:color w:val="000000" w:themeColor="text1"/>
          <w:sz w:val="16"/>
          <w:szCs w:val="16"/>
        </w:rPr>
        <w:softHyphen/>
        <w:t>ции к взмыванию. Из-за особеннос</w:t>
      </w:r>
      <w:r w:rsidRPr="00E14102">
        <w:rPr>
          <w:color w:val="000000" w:themeColor="text1"/>
          <w:sz w:val="16"/>
          <w:szCs w:val="16"/>
        </w:rPr>
        <w:softHyphen/>
        <w:t>тей аэродинамики при посадке без применения механизации Су не дохо</w:t>
      </w:r>
      <w:r w:rsidRPr="00E14102">
        <w:rPr>
          <w:color w:val="000000" w:themeColor="text1"/>
          <w:sz w:val="16"/>
          <w:szCs w:val="16"/>
        </w:rPr>
        <w:softHyphen/>
        <w:t>дило до максимального значения, из-за чего получалось увеличение поса</w:t>
      </w:r>
      <w:r w:rsidRPr="00E14102">
        <w:rPr>
          <w:color w:val="000000" w:themeColor="text1"/>
          <w:sz w:val="16"/>
          <w:szCs w:val="16"/>
        </w:rPr>
        <w:softHyphen/>
        <w:t>дочной скорости или посадка на кос</w:t>
      </w:r>
      <w:r w:rsidRPr="00E14102">
        <w:rPr>
          <w:color w:val="000000" w:themeColor="text1"/>
          <w:sz w:val="16"/>
          <w:szCs w:val="16"/>
        </w:rPr>
        <w:softHyphen/>
        <w:t>тыль. При убранных закрылках и щит</w:t>
      </w:r>
      <w:r w:rsidRPr="00E14102">
        <w:rPr>
          <w:color w:val="000000" w:themeColor="text1"/>
          <w:sz w:val="16"/>
          <w:szCs w:val="16"/>
        </w:rPr>
        <w:softHyphen/>
        <w:t>ках пробег был большой и составлял 180 м (в штиль). Во время пробега ма</w:t>
      </w:r>
      <w:r w:rsidRPr="00E14102">
        <w:rPr>
          <w:color w:val="000000" w:themeColor="text1"/>
          <w:sz w:val="16"/>
          <w:szCs w:val="16"/>
        </w:rPr>
        <w:softHyphen/>
        <w:t>шина имела тенденцию к незначитель</w:t>
      </w:r>
      <w:r w:rsidRPr="00E14102">
        <w:rPr>
          <w:color w:val="000000" w:themeColor="text1"/>
          <w:sz w:val="16"/>
          <w:szCs w:val="16"/>
        </w:rPr>
        <w:softHyphen/>
        <w:t>ному рысканью.</w:t>
      </w:r>
    </w:p>
    <w:p w14:paraId="77E4DA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Составляя общее впечатление о ВВА-1, ведущие специалисты отмети</w:t>
      </w:r>
      <w:r w:rsidRPr="00E14102">
        <w:rPr>
          <w:color w:val="000000" w:themeColor="text1"/>
          <w:sz w:val="16"/>
          <w:szCs w:val="16"/>
        </w:rPr>
        <w:softHyphen/>
        <w:t>ли, что из-за неудобного расположе</w:t>
      </w:r>
      <w:r w:rsidRPr="00E14102">
        <w:rPr>
          <w:color w:val="000000" w:themeColor="text1"/>
          <w:sz w:val="16"/>
          <w:szCs w:val="16"/>
        </w:rPr>
        <w:softHyphen/>
        <w:t>ния сидения, командных рычагов уп</w:t>
      </w:r>
      <w:r w:rsidRPr="00E14102">
        <w:rPr>
          <w:color w:val="000000" w:themeColor="text1"/>
          <w:sz w:val="16"/>
          <w:szCs w:val="16"/>
        </w:rPr>
        <w:softHyphen/>
        <w:t>равления, излишней чувствительнос</w:t>
      </w:r>
      <w:r w:rsidRPr="00E14102">
        <w:rPr>
          <w:color w:val="000000" w:themeColor="text1"/>
          <w:sz w:val="16"/>
          <w:szCs w:val="16"/>
        </w:rPr>
        <w:softHyphen/>
        <w:t>ти руля направления и трудного взле</w:t>
      </w:r>
      <w:r w:rsidRPr="00E14102">
        <w:rPr>
          <w:color w:val="000000" w:themeColor="text1"/>
          <w:sz w:val="16"/>
          <w:szCs w:val="16"/>
        </w:rPr>
        <w:softHyphen/>
        <w:t>та пилотирование самолета усложня</w:t>
      </w:r>
      <w:r w:rsidRPr="00E14102">
        <w:rPr>
          <w:color w:val="000000" w:themeColor="text1"/>
          <w:sz w:val="16"/>
          <w:szCs w:val="16"/>
        </w:rPr>
        <w:softHyphen/>
        <w:t>лось и от летчика требовалось боль</w:t>
      </w:r>
      <w:r w:rsidRPr="00E14102">
        <w:rPr>
          <w:color w:val="000000" w:themeColor="text1"/>
          <w:sz w:val="16"/>
          <w:szCs w:val="16"/>
        </w:rPr>
        <w:softHyphen/>
        <w:t>шое внимание и напряжение. Эти не</w:t>
      </w:r>
      <w:r w:rsidRPr="00E14102">
        <w:rPr>
          <w:color w:val="000000" w:themeColor="text1"/>
          <w:sz w:val="16"/>
          <w:szCs w:val="16"/>
        </w:rPr>
        <w:softHyphen/>
        <w:t>достатки затмевали все положитель</w:t>
      </w:r>
      <w:r w:rsidRPr="00E14102">
        <w:rPr>
          <w:color w:val="000000" w:themeColor="text1"/>
          <w:sz w:val="16"/>
          <w:szCs w:val="16"/>
        </w:rPr>
        <w:softHyphen/>
        <w:t>ные стороны машины - хорошую ус</w:t>
      </w:r>
      <w:r w:rsidRPr="00E14102">
        <w:rPr>
          <w:color w:val="000000" w:themeColor="text1"/>
          <w:sz w:val="16"/>
          <w:szCs w:val="16"/>
        </w:rPr>
        <w:softHyphen/>
        <w:t>тойчивость и легкость управления.</w:t>
      </w:r>
    </w:p>
    <w:p w14:paraId="21A026A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своих выводах военные испыта</w:t>
      </w:r>
      <w:r w:rsidRPr="00E14102">
        <w:rPr>
          <w:color w:val="000000" w:themeColor="text1"/>
          <w:sz w:val="16"/>
          <w:szCs w:val="16"/>
        </w:rPr>
        <w:softHyphen/>
        <w:t>тели отметили, что летные данные са</w:t>
      </w:r>
      <w:r w:rsidRPr="00E14102">
        <w:rPr>
          <w:color w:val="000000" w:themeColor="text1"/>
          <w:sz w:val="16"/>
          <w:szCs w:val="16"/>
        </w:rPr>
        <w:softHyphen/>
        <w:t>молета ВВА-1 очень низки. Это объяс</w:t>
      </w:r>
      <w:r w:rsidRPr="00E14102">
        <w:rPr>
          <w:color w:val="000000" w:themeColor="text1"/>
          <w:sz w:val="16"/>
          <w:szCs w:val="16"/>
        </w:rPr>
        <w:softHyphen/>
        <w:t>нялось неудачно выбранной аэродина</w:t>
      </w:r>
      <w:r w:rsidRPr="00E14102">
        <w:rPr>
          <w:color w:val="000000" w:themeColor="text1"/>
          <w:sz w:val="16"/>
          <w:szCs w:val="16"/>
        </w:rPr>
        <w:softHyphen/>
        <w:t>мической схемой самолета, представля</w:t>
      </w:r>
      <w:r w:rsidRPr="00E14102">
        <w:rPr>
          <w:color w:val="000000" w:themeColor="text1"/>
          <w:sz w:val="16"/>
          <w:szCs w:val="16"/>
        </w:rPr>
        <w:softHyphen/>
        <w:t>ющего собой полутораплан с мощны</w:t>
      </w:r>
      <w:r w:rsidRPr="00E14102">
        <w:rPr>
          <w:color w:val="000000" w:themeColor="text1"/>
          <w:sz w:val="16"/>
          <w:szCs w:val="16"/>
        </w:rPr>
        <w:softHyphen/>
        <w:t>ми стойками, без выноса крыльев, с фюзеляжем очень большого миделя, не</w:t>
      </w:r>
      <w:r w:rsidRPr="00E14102">
        <w:rPr>
          <w:color w:val="000000" w:themeColor="text1"/>
          <w:sz w:val="16"/>
          <w:szCs w:val="16"/>
        </w:rPr>
        <w:softHyphen/>
        <w:t>выгодно расположенного по отноше</w:t>
      </w:r>
      <w:r w:rsidRPr="00E14102">
        <w:rPr>
          <w:color w:val="000000" w:themeColor="text1"/>
          <w:sz w:val="16"/>
          <w:szCs w:val="16"/>
        </w:rPr>
        <w:softHyphen/>
        <w:t>нию к коробке крыльев. Вместе с этим конструкция машины сравнительно с расчетными данными оказалась пере</w:t>
      </w:r>
      <w:r w:rsidRPr="00E14102">
        <w:rPr>
          <w:color w:val="000000" w:themeColor="text1"/>
          <w:sz w:val="16"/>
          <w:szCs w:val="16"/>
        </w:rPr>
        <w:softHyphen/>
        <w:t>тяжеленной на 265 кг, то есть на 46% проектной массы. Из-за этого грузо</w:t>
      </w:r>
      <w:r w:rsidRPr="00E14102">
        <w:rPr>
          <w:color w:val="000000" w:themeColor="text1"/>
          <w:sz w:val="16"/>
          <w:szCs w:val="16"/>
        </w:rPr>
        <w:softHyphen/>
        <w:t>подъемность самолета существенно снизилась,так как пришлось уменьшить полезную нагрузку.</w:t>
      </w:r>
    </w:p>
    <w:p w14:paraId="17F815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Разбег и пробег машины оказались очень большими, более 200 м. Причем техника выполнения разбега была слож</w:t>
      </w:r>
      <w:r w:rsidRPr="00E14102">
        <w:rPr>
          <w:color w:val="000000" w:themeColor="text1"/>
          <w:sz w:val="16"/>
          <w:szCs w:val="16"/>
        </w:rPr>
        <w:softHyphen/>
        <w:t>ной, так как самолет с трудом поднимал хвост, медленно набирал скорость и после отрыва медленно набирал высо</w:t>
      </w:r>
      <w:r w:rsidRPr="00E14102">
        <w:rPr>
          <w:color w:val="000000" w:themeColor="text1"/>
          <w:sz w:val="16"/>
          <w:szCs w:val="16"/>
        </w:rPr>
        <w:softHyphen/>
        <w:t>ту. В связи с этим полеты на ВВА-1 мож</w:t>
      </w:r>
      <w:r w:rsidRPr="00E14102">
        <w:rPr>
          <w:color w:val="000000" w:themeColor="text1"/>
          <w:sz w:val="16"/>
          <w:szCs w:val="16"/>
        </w:rPr>
        <w:softHyphen/>
        <w:t>но было производить только на боль</w:t>
      </w:r>
      <w:r w:rsidRPr="00E14102">
        <w:rPr>
          <w:color w:val="000000" w:themeColor="text1"/>
          <w:sz w:val="16"/>
          <w:szCs w:val="16"/>
        </w:rPr>
        <w:softHyphen/>
        <w:t>ших аэродромах с хорошими подхода</w:t>
      </w:r>
      <w:r w:rsidRPr="00E14102">
        <w:rPr>
          <w:color w:val="000000" w:themeColor="text1"/>
          <w:sz w:val="16"/>
          <w:szCs w:val="16"/>
        </w:rPr>
        <w:softHyphen/>
        <w:t>ми. Посадочная скорость также оказа</w:t>
      </w:r>
      <w:r w:rsidRPr="00E14102">
        <w:rPr>
          <w:color w:val="000000" w:themeColor="text1"/>
          <w:sz w:val="16"/>
          <w:szCs w:val="16"/>
        </w:rPr>
        <w:softHyphen/>
        <w:t>лась велика. Применение закрылков и щитков на разбеге и посадке оказалось малоэффективно, при этом посадочная скорость снижалась лишь на 17%.</w:t>
      </w:r>
    </w:p>
    <w:p w14:paraId="235C113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конструктивным недостаткам испы</w:t>
      </w:r>
      <w:r w:rsidRPr="00E14102">
        <w:rPr>
          <w:color w:val="000000" w:themeColor="text1"/>
          <w:sz w:val="16"/>
          <w:szCs w:val="16"/>
        </w:rPr>
        <w:softHyphen/>
        <w:t>татели отнесли неудовлетворительную работу механизмов управления закрыл</w:t>
      </w:r>
      <w:r w:rsidRPr="00E14102">
        <w:rPr>
          <w:color w:val="000000" w:themeColor="text1"/>
          <w:sz w:val="16"/>
          <w:szCs w:val="16"/>
        </w:rPr>
        <w:softHyphen/>
        <w:t>ками и щитками, неудобное расположе</w:t>
      </w:r>
      <w:r w:rsidRPr="00E14102">
        <w:rPr>
          <w:color w:val="000000" w:themeColor="text1"/>
          <w:sz w:val="16"/>
          <w:szCs w:val="16"/>
        </w:rPr>
        <w:softHyphen/>
        <w:t>ние ручки управления самолетом, пло</w:t>
      </w:r>
      <w:r w:rsidRPr="00E14102">
        <w:rPr>
          <w:color w:val="000000" w:themeColor="text1"/>
          <w:sz w:val="16"/>
          <w:szCs w:val="16"/>
        </w:rPr>
        <w:softHyphen/>
        <w:t>хую видимость через стекла кабины пи</w:t>
      </w:r>
      <w:r w:rsidRPr="00E14102">
        <w:rPr>
          <w:color w:val="000000" w:themeColor="text1"/>
          <w:sz w:val="16"/>
          <w:szCs w:val="16"/>
        </w:rPr>
        <w:softHyphen/>
        <w:t>лота в плохую погоду (дождь, снег), а также плохой обзор назад вверх.</w:t>
      </w:r>
    </w:p>
    <w:p w14:paraId="1E0CE0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Вместе с тем отмечалось, что в по</w:t>
      </w:r>
      <w:r w:rsidRPr="00E14102">
        <w:rPr>
          <w:color w:val="000000" w:themeColor="text1"/>
          <w:sz w:val="16"/>
          <w:szCs w:val="16"/>
        </w:rPr>
        <w:softHyphen/>
        <w:t>лете самолет хорошо сбалансирован, устойчив и имеет удовлетворительную управляемость. Производственное исполнение получило хорошую оцен</w:t>
      </w:r>
      <w:r w:rsidRPr="00E14102">
        <w:rPr>
          <w:color w:val="000000" w:themeColor="text1"/>
          <w:sz w:val="16"/>
          <w:szCs w:val="16"/>
        </w:rPr>
        <w:softHyphen/>
        <w:t>ку, так как окраска, внутренняя и вне</w:t>
      </w:r>
      <w:r w:rsidRPr="00E14102">
        <w:rPr>
          <w:color w:val="000000" w:themeColor="text1"/>
          <w:sz w:val="16"/>
          <w:szCs w:val="16"/>
        </w:rPr>
        <w:softHyphen/>
        <w:t>шняя отделка машины были выполне</w:t>
      </w:r>
      <w:r w:rsidRPr="00E14102">
        <w:rPr>
          <w:color w:val="000000" w:themeColor="text1"/>
          <w:sz w:val="16"/>
          <w:szCs w:val="16"/>
        </w:rPr>
        <w:softHyphen/>
        <w:t>ны аккуратно, тщательно и чисто.</w:t>
      </w:r>
    </w:p>
    <w:p w14:paraId="6F15AAB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основании вышеизложенного в своем заключении специалисты НИИ ВВС РККА отметили, что «по своим лет-но-эксплуатационным данным самолет ВВА-1 интереса не представляет». Дальнейшая модификация предъявлен</w:t>
      </w:r>
      <w:r w:rsidRPr="00E14102">
        <w:rPr>
          <w:color w:val="000000" w:themeColor="text1"/>
          <w:sz w:val="16"/>
          <w:szCs w:val="16"/>
        </w:rPr>
        <w:softHyphen/>
        <w:t>ного на испытания экземпляра счита</w:t>
      </w:r>
      <w:r w:rsidRPr="00E14102">
        <w:rPr>
          <w:color w:val="000000" w:themeColor="text1"/>
          <w:sz w:val="16"/>
          <w:szCs w:val="16"/>
        </w:rPr>
        <w:softHyphen/>
        <w:t>лась нецелесообразной, так как основ</w:t>
      </w:r>
      <w:r w:rsidRPr="00E14102">
        <w:rPr>
          <w:color w:val="000000" w:themeColor="text1"/>
          <w:sz w:val="16"/>
          <w:szCs w:val="16"/>
        </w:rPr>
        <w:softHyphen/>
        <w:t>ные недостатки машины (перетяжеле-ние конструкции и неудачная схема ко</w:t>
      </w:r>
      <w:r w:rsidRPr="00E14102">
        <w:rPr>
          <w:color w:val="000000" w:themeColor="text1"/>
          <w:sz w:val="16"/>
          <w:szCs w:val="16"/>
        </w:rPr>
        <w:softHyphen/>
        <w:t>робки крыльев) были неустранимы.</w:t>
      </w:r>
    </w:p>
    <w:p w14:paraId="2D4401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Конечно, если результаты испыта</w:t>
      </w:r>
      <w:r w:rsidRPr="00E14102">
        <w:rPr>
          <w:color w:val="000000" w:themeColor="text1"/>
          <w:sz w:val="16"/>
          <w:szCs w:val="16"/>
        </w:rPr>
        <w:softHyphen/>
        <w:t>ний оказались невысокими, то вполне можно отнести конструкторскую ра</w:t>
      </w:r>
      <w:r w:rsidRPr="00E14102">
        <w:rPr>
          <w:color w:val="000000" w:themeColor="text1"/>
          <w:sz w:val="16"/>
          <w:szCs w:val="16"/>
        </w:rPr>
        <w:softHyphen/>
        <w:t>боту военинженера 2-го ранга В.С.Пышнова к разряду неудачных. Однако это не совсем так. Промахи при разработке машины можно отнести лишь на счет малого опыта в конструк</w:t>
      </w:r>
      <w:r w:rsidRPr="00E14102">
        <w:rPr>
          <w:color w:val="000000" w:themeColor="text1"/>
          <w:sz w:val="16"/>
          <w:szCs w:val="16"/>
        </w:rPr>
        <w:softHyphen/>
        <w:t>торской деятельности. В тоже время на самолете ВВА-1 Владимир Сергее</w:t>
      </w:r>
      <w:r w:rsidRPr="00E14102">
        <w:rPr>
          <w:color w:val="000000" w:themeColor="text1"/>
          <w:sz w:val="16"/>
          <w:szCs w:val="16"/>
        </w:rPr>
        <w:softHyphen/>
        <w:t>вич опробовал множество новых кон</w:t>
      </w:r>
      <w:r w:rsidRPr="00E14102">
        <w:rPr>
          <w:color w:val="000000" w:themeColor="text1"/>
          <w:sz w:val="16"/>
          <w:szCs w:val="16"/>
        </w:rPr>
        <w:softHyphen/>
        <w:t>структивных решений, многие из ко</w:t>
      </w:r>
      <w:r w:rsidRPr="00E14102">
        <w:rPr>
          <w:color w:val="000000" w:themeColor="text1"/>
          <w:sz w:val="16"/>
          <w:szCs w:val="16"/>
        </w:rPr>
        <w:softHyphen/>
        <w:t>торых оказались вполне удачными. Поэтому в своем заключении военные также отметили, что «ввиду интерес</w:t>
      </w:r>
      <w:r w:rsidRPr="00E14102">
        <w:rPr>
          <w:color w:val="000000" w:themeColor="text1"/>
          <w:sz w:val="16"/>
          <w:szCs w:val="16"/>
        </w:rPr>
        <w:softHyphen/>
        <w:t>ных элементов, положенных в основу проектирования и постройки самоле</w:t>
      </w:r>
      <w:r w:rsidRPr="00E14102">
        <w:rPr>
          <w:color w:val="000000" w:themeColor="text1"/>
          <w:sz w:val="16"/>
          <w:szCs w:val="16"/>
        </w:rPr>
        <w:softHyphen/>
        <w:t>та, ВВА-1 считать желательным пост</w:t>
      </w:r>
      <w:r w:rsidRPr="00E14102">
        <w:rPr>
          <w:color w:val="000000" w:themeColor="text1"/>
          <w:sz w:val="16"/>
          <w:szCs w:val="16"/>
        </w:rPr>
        <w:softHyphen/>
        <w:t>ройку нового экземпляра самолета по тем же техническим требованиям, но с учетом устранения дефектов, отмечен</w:t>
      </w:r>
      <w:r w:rsidRPr="00E14102">
        <w:rPr>
          <w:color w:val="000000" w:themeColor="text1"/>
          <w:sz w:val="16"/>
          <w:szCs w:val="16"/>
        </w:rPr>
        <w:softHyphen/>
        <w:t>ных при испытании опытного образ</w:t>
      </w:r>
      <w:r w:rsidRPr="00E14102">
        <w:rPr>
          <w:color w:val="000000" w:themeColor="text1"/>
          <w:sz w:val="16"/>
          <w:szCs w:val="16"/>
        </w:rPr>
        <w:softHyphen/>
        <w:t>ца». К этому также стоит добавить и мнение В.Б.Шаврова, который в своей книге отметил, что самолет ВВА-1 мог бы показать гораздо лучшие резуль</w:t>
      </w:r>
      <w:r w:rsidRPr="00E14102">
        <w:rPr>
          <w:color w:val="000000" w:themeColor="text1"/>
          <w:sz w:val="16"/>
          <w:szCs w:val="16"/>
        </w:rPr>
        <w:softHyphen/>
        <w:t>таты с более мощным мотором М-11Е.</w:t>
      </w:r>
    </w:p>
    <w:p w14:paraId="250714E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Из-за существенного сокращения финансирования постройка второго экземпляра самолета ВВА-1 так и ос</w:t>
      </w:r>
      <w:r w:rsidRPr="00E14102">
        <w:rPr>
          <w:color w:val="000000" w:themeColor="text1"/>
          <w:sz w:val="16"/>
          <w:szCs w:val="16"/>
        </w:rPr>
        <w:softHyphen/>
        <w:t>талась неосуществленной. Поэтому работы по улучшению машины свелись лишь к модернизации первого опыт</w:t>
      </w:r>
      <w:r w:rsidRPr="00E14102">
        <w:rPr>
          <w:color w:val="000000" w:themeColor="text1"/>
          <w:sz w:val="16"/>
          <w:szCs w:val="16"/>
        </w:rPr>
        <w:softHyphen/>
        <w:t>ного образца с целью устранения не</w:t>
      </w:r>
      <w:r w:rsidRPr="00E14102">
        <w:rPr>
          <w:color w:val="000000" w:themeColor="text1"/>
          <w:sz w:val="16"/>
          <w:szCs w:val="16"/>
        </w:rPr>
        <w:softHyphen/>
        <w:t>которых недостатков, выявленных на испытаниях. В частности, было пере</w:t>
      </w:r>
      <w:r w:rsidRPr="00E14102">
        <w:rPr>
          <w:color w:val="000000" w:themeColor="text1"/>
          <w:sz w:val="16"/>
          <w:szCs w:val="16"/>
        </w:rPr>
        <w:softHyphen/>
        <w:t>работано вертикальное оперение с целью снижения чувствительности руля направления - уменьшена пло</w:t>
      </w:r>
      <w:r w:rsidRPr="00E14102">
        <w:rPr>
          <w:color w:val="000000" w:themeColor="text1"/>
          <w:sz w:val="16"/>
          <w:szCs w:val="16"/>
        </w:rPr>
        <w:softHyphen/>
        <w:t>щадь последнего и введена роговая компенсация, а также сделан новый вариант шасси, изменен капот, убра</w:t>
      </w:r>
      <w:r w:rsidRPr="00E14102">
        <w:rPr>
          <w:color w:val="000000" w:themeColor="text1"/>
          <w:sz w:val="16"/>
          <w:szCs w:val="16"/>
        </w:rPr>
        <w:softHyphen/>
        <w:t>ны зализы, закрывающие стыки №-об-разных подкосов с крыльями и добав</w:t>
      </w:r>
      <w:r w:rsidRPr="00E14102">
        <w:rPr>
          <w:color w:val="000000" w:themeColor="text1"/>
          <w:sz w:val="16"/>
          <w:szCs w:val="16"/>
        </w:rPr>
        <w:softHyphen/>
        <w:t>лен еще один топливный бак. Правда, проведенные доработки привели к увеличению полетной массы до 1160 кг. Судя по всему, на машину также ус</w:t>
      </w:r>
      <w:r w:rsidRPr="00E14102">
        <w:rPr>
          <w:color w:val="000000" w:themeColor="text1"/>
          <w:sz w:val="16"/>
          <w:szCs w:val="16"/>
        </w:rPr>
        <w:softHyphen/>
        <w:t>тановили более мощный вариант мо</w:t>
      </w:r>
      <w:r w:rsidRPr="00E14102">
        <w:rPr>
          <w:color w:val="000000" w:themeColor="text1"/>
          <w:sz w:val="16"/>
          <w:szCs w:val="16"/>
        </w:rPr>
        <w:softHyphen/>
        <w:t>тора М-11. Основное назначение ВВА-1 теперь определялось как само</w:t>
      </w:r>
      <w:r w:rsidRPr="00E14102">
        <w:rPr>
          <w:color w:val="000000" w:themeColor="text1"/>
          <w:sz w:val="16"/>
          <w:szCs w:val="16"/>
        </w:rPr>
        <w:softHyphen/>
        <w:t>лет для спорта и туризма.</w:t>
      </w:r>
    </w:p>
    <w:p w14:paraId="1BB8E7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1937 г. на модернизированном ВВА-1 в НИИ ВВС РККА сделали не</w:t>
      </w:r>
      <w:r w:rsidRPr="00E14102">
        <w:rPr>
          <w:color w:val="000000" w:themeColor="text1"/>
          <w:sz w:val="16"/>
          <w:szCs w:val="16"/>
        </w:rPr>
        <w:softHyphen/>
        <w:t>сколько ознакомительных полетов. Их результаты показали, что у машины недостаточная устойчивость пути -имело место рысканье самолета из-за вихреобразования за фюзеляжем. Конструктору было предложено уве</w:t>
      </w:r>
      <w:r w:rsidRPr="00E14102">
        <w:rPr>
          <w:color w:val="000000" w:themeColor="text1"/>
          <w:sz w:val="16"/>
          <w:szCs w:val="16"/>
        </w:rPr>
        <w:softHyphen/>
        <w:t>личить площадь вертикального опере</w:t>
      </w:r>
      <w:r w:rsidRPr="00E14102">
        <w:rPr>
          <w:color w:val="000000" w:themeColor="text1"/>
          <w:sz w:val="16"/>
          <w:szCs w:val="16"/>
        </w:rPr>
        <w:softHyphen/>
        <w:t>ния и поставить самолет на лыжи.</w:t>
      </w:r>
    </w:p>
    <w:p w14:paraId="1F8422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ОСНОВНЫЕ ДАННЫЕ САМОЛЕТА ВВА-1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104"/>
        <w:gridCol w:w="922"/>
        <w:gridCol w:w="922"/>
        <w:gridCol w:w="1008"/>
        <w:gridCol w:w="979"/>
      </w:tblGrid>
      <w:tr w:rsidR="00E3599D" w:rsidRPr="00E14102" w14:paraId="7A2F07AF" w14:textId="77777777">
        <w:trPr>
          <w:trHeight w:val="288"/>
        </w:trPr>
        <w:tc>
          <w:tcPr>
            <w:tcW w:w="1104" w:type="dxa"/>
            <w:tcBorders>
              <w:top w:val="single" w:sz="12" w:space="0" w:color="auto"/>
            </w:tcBorders>
          </w:tcPr>
          <w:p w14:paraId="2B24E2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Характеристика</w:t>
            </w:r>
          </w:p>
        </w:tc>
        <w:tc>
          <w:tcPr>
            <w:tcW w:w="1844" w:type="dxa"/>
            <w:gridSpan w:val="2"/>
            <w:tcBorders>
              <w:top w:val="single" w:sz="12" w:space="0" w:color="auto"/>
            </w:tcBorders>
          </w:tcPr>
          <w:p w14:paraId="411606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Расчетные данные</w:t>
            </w:r>
          </w:p>
        </w:tc>
        <w:tc>
          <w:tcPr>
            <w:tcW w:w="1008" w:type="dxa"/>
            <w:tcBorders>
              <w:top w:val="single" w:sz="12" w:space="0" w:color="auto"/>
            </w:tcBorders>
          </w:tcPr>
          <w:p w14:paraId="050D3D8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Результаты испытаний</w:t>
            </w:r>
          </w:p>
        </w:tc>
        <w:tc>
          <w:tcPr>
            <w:tcW w:w="979" w:type="dxa"/>
            <w:tcBorders>
              <w:top w:val="single" w:sz="12" w:space="0" w:color="auto"/>
            </w:tcBorders>
          </w:tcPr>
          <w:p w14:paraId="67FD443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У-2</w:t>
            </w:r>
          </w:p>
        </w:tc>
      </w:tr>
      <w:tr w:rsidR="00E3599D" w:rsidRPr="00E14102" w14:paraId="44AC9899" w14:textId="77777777">
        <w:trPr>
          <w:trHeight w:val="288"/>
        </w:trPr>
        <w:tc>
          <w:tcPr>
            <w:tcW w:w="1104" w:type="dxa"/>
          </w:tcPr>
          <w:p w14:paraId="7946C1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Длина самолета, м</w:t>
            </w:r>
          </w:p>
        </w:tc>
        <w:tc>
          <w:tcPr>
            <w:tcW w:w="922" w:type="dxa"/>
          </w:tcPr>
          <w:p w14:paraId="2A7F1D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7,8</w:t>
            </w:r>
          </w:p>
          <w:p w14:paraId="699A78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22" w:type="dxa"/>
          </w:tcPr>
          <w:p w14:paraId="6613AC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BD66A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08" w:type="dxa"/>
          </w:tcPr>
          <w:p w14:paraId="0BCA72B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7,8</w:t>
            </w:r>
          </w:p>
          <w:p w14:paraId="70A083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79" w:type="dxa"/>
          </w:tcPr>
          <w:p w14:paraId="58E05F0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8,17</w:t>
            </w:r>
          </w:p>
          <w:p w14:paraId="32AA272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7D061F49" w14:textId="77777777">
        <w:trPr>
          <w:trHeight w:val="307"/>
        </w:trPr>
        <w:tc>
          <w:tcPr>
            <w:tcW w:w="1104" w:type="dxa"/>
          </w:tcPr>
          <w:p w14:paraId="2C66FD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Высота самолета, м</w:t>
            </w:r>
          </w:p>
        </w:tc>
        <w:tc>
          <w:tcPr>
            <w:tcW w:w="922" w:type="dxa"/>
          </w:tcPr>
          <w:p w14:paraId="0616E74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2,85</w:t>
            </w:r>
          </w:p>
          <w:p w14:paraId="37B3138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22" w:type="dxa"/>
          </w:tcPr>
          <w:p w14:paraId="6C0073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8596A4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08" w:type="dxa"/>
          </w:tcPr>
          <w:p w14:paraId="494EF0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2,85</w:t>
            </w:r>
          </w:p>
          <w:p w14:paraId="746D15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79" w:type="dxa"/>
          </w:tcPr>
          <w:p w14:paraId="17E44F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3,10</w:t>
            </w:r>
          </w:p>
          <w:p w14:paraId="2CBD80E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0BD12F63" w14:textId="77777777">
        <w:trPr>
          <w:trHeight w:val="288"/>
        </w:trPr>
        <w:tc>
          <w:tcPr>
            <w:tcW w:w="1104" w:type="dxa"/>
          </w:tcPr>
          <w:p w14:paraId="6EEB34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Размах крыла, м</w:t>
            </w:r>
          </w:p>
        </w:tc>
        <w:tc>
          <w:tcPr>
            <w:tcW w:w="922" w:type="dxa"/>
          </w:tcPr>
          <w:p w14:paraId="505450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10,95</w:t>
            </w:r>
          </w:p>
          <w:p w14:paraId="4D93688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22" w:type="dxa"/>
          </w:tcPr>
          <w:p w14:paraId="2B1E72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A2778F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08" w:type="dxa"/>
          </w:tcPr>
          <w:p w14:paraId="675983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11,0</w:t>
            </w:r>
          </w:p>
          <w:p w14:paraId="701801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79" w:type="dxa"/>
          </w:tcPr>
          <w:p w14:paraId="6407FA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11,4</w:t>
            </w:r>
          </w:p>
          <w:p w14:paraId="2124620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0D0BC896" w14:textId="77777777">
        <w:trPr>
          <w:trHeight w:val="307"/>
        </w:trPr>
        <w:tc>
          <w:tcPr>
            <w:tcW w:w="1104" w:type="dxa"/>
          </w:tcPr>
          <w:p w14:paraId="7313AD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Площадь крыла, м</w:t>
            </w:r>
            <w:r w:rsidRPr="00E14102">
              <w:rPr>
                <w:color w:val="000000" w:themeColor="text1"/>
                <w:sz w:val="16"/>
                <w:szCs w:val="16"/>
                <w:vertAlign w:val="superscript"/>
              </w:rPr>
              <w:t>2</w:t>
            </w:r>
          </w:p>
        </w:tc>
        <w:tc>
          <w:tcPr>
            <w:tcW w:w="922" w:type="dxa"/>
          </w:tcPr>
          <w:p w14:paraId="54E3900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24</w:t>
            </w:r>
          </w:p>
          <w:p w14:paraId="3918A25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22" w:type="dxa"/>
          </w:tcPr>
          <w:p w14:paraId="01181E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56341D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08" w:type="dxa"/>
          </w:tcPr>
          <w:p w14:paraId="1BE2CA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21,28</w:t>
            </w:r>
          </w:p>
          <w:p w14:paraId="668CCD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79" w:type="dxa"/>
          </w:tcPr>
          <w:p w14:paraId="42A412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33,15</w:t>
            </w:r>
          </w:p>
          <w:p w14:paraId="2B7044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30B45CA8" w14:textId="77777777">
        <w:trPr>
          <w:trHeight w:val="288"/>
        </w:trPr>
        <w:tc>
          <w:tcPr>
            <w:tcW w:w="1104" w:type="dxa"/>
          </w:tcPr>
          <w:p w14:paraId="181AD5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Масса пустого самолета, кг</w:t>
            </w:r>
          </w:p>
        </w:tc>
        <w:tc>
          <w:tcPr>
            <w:tcW w:w="922" w:type="dxa"/>
          </w:tcPr>
          <w:p w14:paraId="5886BD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600</w:t>
            </w:r>
          </w:p>
          <w:p w14:paraId="441366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22" w:type="dxa"/>
          </w:tcPr>
          <w:p w14:paraId="376038D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171401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08" w:type="dxa"/>
          </w:tcPr>
          <w:p w14:paraId="70B362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845</w:t>
            </w:r>
          </w:p>
          <w:p w14:paraId="2CE52D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79" w:type="dxa"/>
          </w:tcPr>
          <w:p w14:paraId="6EFC478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635</w:t>
            </w:r>
          </w:p>
          <w:p w14:paraId="5F5090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6893FC22" w14:textId="77777777">
        <w:trPr>
          <w:trHeight w:val="298"/>
        </w:trPr>
        <w:tc>
          <w:tcPr>
            <w:tcW w:w="1104" w:type="dxa"/>
          </w:tcPr>
          <w:p w14:paraId="125369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Запас горючего, кг</w:t>
            </w:r>
          </w:p>
        </w:tc>
        <w:tc>
          <w:tcPr>
            <w:tcW w:w="922" w:type="dxa"/>
          </w:tcPr>
          <w:p w14:paraId="250356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C27AC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22" w:type="dxa"/>
          </w:tcPr>
          <w:p w14:paraId="6916889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083A6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08" w:type="dxa"/>
          </w:tcPr>
          <w:p w14:paraId="759C662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110</w:t>
            </w:r>
          </w:p>
          <w:p w14:paraId="0C079C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79" w:type="dxa"/>
          </w:tcPr>
          <w:p w14:paraId="1B13FB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71</w:t>
            </w:r>
          </w:p>
          <w:p w14:paraId="689CF5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422403FC" w14:textId="77777777">
        <w:trPr>
          <w:trHeight w:val="298"/>
        </w:trPr>
        <w:tc>
          <w:tcPr>
            <w:tcW w:w="1104" w:type="dxa"/>
          </w:tcPr>
          <w:p w14:paraId="103C9F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Полезная нагрузка, кг</w:t>
            </w:r>
          </w:p>
        </w:tc>
        <w:tc>
          <w:tcPr>
            <w:tcW w:w="922" w:type="dxa"/>
          </w:tcPr>
          <w:p w14:paraId="00C115E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350</w:t>
            </w:r>
          </w:p>
          <w:p w14:paraId="0A72DFB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22" w:type="dxa"/>
          </w:tcPr>
          <w:p w14:paraId="73FC64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500</w:t>
            </w:r>
          </w:p>
          <w:p w14:paraId="34B376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08" w:type="dxa"/>
          </w:tcPr>
          <w:p w14:paraId="63D24DE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301</w:t>
            </w:r>
          </w:p>
          <w:p w14:paraId="16041DE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79" w:type="dxa"/>
          </w:tcPr>
          <w:p w14:paraId="36FC89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255</w:t>
            </w:r>
          </w:p>
          <w:p w14:paraId="112B38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2F5F65DC" w14:textId="77777777">
        <w:trPr>
          <w:trHeight w:val="288"/>
        </w:trPr>
        <w:tc>
          <w:tcPr>
            <w:tcW w:w="1104" w:type="dxa"/>
          </w:tcPr>
          <w:p w14:paraId="7AB9A0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Полетная масса, кг</w:t>
            </w:r>
          </w:p>
        </w:tc>
        <w:tc>
          <w:tcPr>
            <w:tcW w:w="922" w:type="dxa"/>
          </w:tcPr>
          <w:p w14:paraId="3E5BCD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950</w:t>
            </w:r>
          </w:p>
          <w:p w14:paraId="62E350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22" w:type="dxa"/>
          </w:tcPr>
          <w:p w14:paraId="458934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1100</w:t>
            </w:r>
          </w:p>
          <w:p w14:paraId="3BAF3F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08" w:type="dxa"/>
          </w:tcPr>
          <w:p w14:paraId="4D14C2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1146</w:t>
            </w:r>
          </w:p>
          <w:p w14:paraId="306E04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79" w:type="dxa"/>
          </w:tcPr>
          <w:p w14:paraId="07C17C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890</w:t>
            </w:r>
          </w:p>
          <w:p w14:paraId="24D2359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15213BB0" w14:textId="77777777">
        <w:trPr>
          <w:trHeight w:val="298"/>
        </w:trPr>
        <w:tc>
          <w:tcPr>
            <w:tcW w:w="1104" w:type="dxa"/>
          </w:tcPr>
          <w:p w14:paraId="79D367A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км/ч</w:t>
            </w:r>
          </w:p>
        </w:tc>
        <w:tc>
          <w:tcPr>
            <w:tcW w:w="922" w:type="dxa"/>
          </w:tcPr>
          <w:p w14:paraId="3E3BB35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180-190</w:t>
            </w:r>
          </w:p>
          <w:p w14:paraId="135B72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22" w:type="dxa"/>
          </w:tcPr>
          <w:p w14:paraId="3646B8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170-180</w:t>
            </w:r>
          </w:p>
          <w:p w14:paraId="520DF9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08" w:type="dxa"/>
          </w:tcPr>
          <w:p w14:paraId="7D229B6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156</w:t>
            </w:r>
          </w:p>
          <w:p w14:paraId="33B085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79" w:type="dxa"/>
          </w:tcPr>
          <w:p w14:paraId="15F98E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150</w:t>
            </w:r>
          </w:p>
          <w:p w14:paraId="21D576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46B84060" w14:textId="77777777">
        <w:trPr>
          <w:trHeight w:val="298"/>
        </w:trPr>
        <w:tc>
          <w:tcPr>
            <w:tcW w:w="1104" w:type="dxa"/>
          </w:tcPr>
          <w:p w14:paraId="36FB79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Минимальная скорость, км/ч</w:t>
            </w:r>
          </w:p>
        </w:tc>
        <w:tc>
          <w:tcPr>
            <w:tcW w:w="922" w:type="dxa"/>
          </w:tcPr>
          <w:p w14:paraId="687C5D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80</w:t>
            </w:r>
          </w:p>
          <w:p w14:paraId="060AA2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22" w:type="dxa"/>
          </w:tcPr>
          <w:p w14:paraId="610F90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86</w:t>
            </w:r>
          </w:p>
          <w:p w14:paraId="2D21AD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08" w:type="dxa"/>
          </w:tcPr>
          <w:p w14:paraId="00157AE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100</w:t>
            </w:r>
          </w:p>
          <w:p w14:paraId="531892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79" w:type="dxa"/>
          </w:tcPr>
          <w:p w14:paraId="70C5E7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90</w:t>
            </w:r>
          </w:p>
          <w:p w14:paraId="73600B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54224173" w14:textId="77777777">
        <w:trPr>
          <w:trHeight w:val="298"/>
        </w:trPr>
        <w:tc>
          <w:tcPr>
            <w:tcW w:w="1104" w:type="dxa"/>
          </w:tcPr>
          <w:p w14:paraId="258A72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Посадочная скорость, км/ч</w:t>
            </w:r>
          </w:p>
        </w:tc>
        <w:tc>
          <w:tcPr>
            <w:tcW w:w="922" w:type="dxa"/>
          </w:tcPr>
          <w:p w14:paraId="4B585B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55-60</w:t>
            </w:r>
          </w:p>
          <w:p w14:paraId="17C4526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22" w:type="dxa"/>
          </w:tcPr>
          <w:p w14:paraId="619B07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60-65</w:t>
            </w:r>
          </w:p>
          <w:p w14:paraId="137F56E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08" w:type="dxa"/>
          </w:tcPr>
          <w:p w14:paraId="1736432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75-90</w:t>
            </w:r>
          </w:p>
          <w:p w14:paraId="17BAD1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79" w:type="dxa"/>
          </w:tcPr>
          <w:p w14:paraId="74F503D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70</w:t>
            </w:r>
          </w:p>
          <w:p w14:paraId="76A287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3AFD9EFF" w14:textId="77777777">
        <w:trPr>
          <w:trHeight w:val="298"/>
        </w:trPr>
        <w:tc>
          <w:tcPr>
            <w:tcW w:w="1104" w:type="dxa"/>
          </w:tcPr>
          <w:p w14:paraId="4135BE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Крейсерская скорость, км/ч</w:t>
            </w:r>
          </w:p>
        </w:tc>
        <w:tc>
          <w:tcPr>
            <w:tcW w:w="922" w:type="dxa"/>
          </w:tcPr>
          <w:p w14:paraId="45C715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140</w:t>
            </w:r>
          </w:p>
          <w:p w14:paraId="018D50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22" w:type="dxa"/>
          </w:tcPr>
          <w:p w14:paraId="254EC7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135</w:t>
            </w:r>
          </w:p>
          <w:p w14:paraId="5A4893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08" w:type="dxa"/>
          </w:tcPr>
          <w:p w14:paraId="2D5A1E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135</w:t>
            </w:r>
          </w:p>
          <w:p w14:paraId="75532D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79" w:type="dxa"/>
          </w:tcPr>
          <w:p w14:paraId="12FC50F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111</w:t>
            </w:r>
          </w:p>
          <w:p w14:paraId="74BABD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302A6744" w14:textId="77777777">
        <w:trPr>
          <w:trHeight w:val="240"/>
        </w:trPr>
        <w:tc>
          <w:tcPr>
            <w:tcW w:w="1104" w:type="dxa"/>
          </w:tcPr>
          <w:p w14:paraId="2EC97D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Потолок</w:t>
            </w:r>
          </w:p>
        </w:tc>
        <w:tc>
          <w:tcPr>
            <w:tcW w:w="922" w:type="dxa"/>
          </w:tcPr>
          <w:p w14:paraId="02CFEC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5000</w:t>
            </w:r>
          </w:p>
          <w:p w14:paraId="7DB50B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22" w:type="dxa"/>
          </w:tcPr>
          <w:p w14:paraId="25756D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4000</w:t>
            </w:r>
          </w:p>
          <w:p w14:paraId="25033D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08" w:type="dxa"/>
          </w:tcPr>
          <w:p w14:paraId="086893E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2920</w:t>
            </w:r>
          </w:p>
          <w:p w14:paraId="2EFE2E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79" w:type="dxa"/>
          </w:tcPr>
          <w:p w14:paraId="683A7B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3820</w:t>
            </w:r>
          </w:p>
          <w:p w14:paraId="2691530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0022A034" w14:textId="77777777">
        <w:trPr>
          <w:trHeight w:val="240"/>
        </w:trPr>
        <w:tc>
          <w:tcPr>
            <w:tcW w:w="1104" w:type="dxa"/>
          </w:tcPr>
          <w:p w14:paraId="65C878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Начальная вертикальная скорость, м/с</w:t>
            </w:r>
          </w:p>
        </w:tc>
        <w:tc>
          <w:tcPr>
            <w:tcW w:w="922" w:type="dxa"/>
          </w:tcPr>
          <w:p w14:paraId="56D6613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3,9</w:t>
            </w:r>
          </w:p>
        </w:tc>
        <w:tc>
          <w:tcPr>
            <w:tcW w:w="922" w:type="dxa"/>
          </w:tcPr>
          <w:p w14:paraId="795C7CF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w:t>
            </w:r>
          </w:p>
        </w:tc>
        <w:tc>
          <w:tcPr>
            <w:tcW w:w="1008" w:type="dxa"/>
          </w:tcPr>
          <w:p w14:paraId="6C3388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2,05</w:t>
            </w:r>
          </w:p>
        </w:tc>
        <w:tc>
          <w:tcPr>
            <w:tcW w:w="979" w:type="dxa"/>
          </w:tcPr>
          <w:p w14:paraId="100DE5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65BACEF7" w14:textId="77777777">
        <w:trPr>
          <w:trHeight w:val="240"/>
        </w:trPr>
        <w:tc>
          <w:tcPr>
            <w:tcW w:w="1104" w:type="dxa"/>
          </w:tcPr>
          <w:p w14:paraId="4B68AD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Нормаотная дальность, км</w:t>
            </w:r>
          </w:p>
        </w:tc>
        <w:tc>
          <w:tcPr>
            <w:tcW w:w="922" w:type="dxa"/>
          </w:tcPr>
          <w:p w14:paraId="09D7D3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600</w:t>
            </w:r>
          </w:p>
        </w:tc>
        <w:tc>
          <w:tcPr>
            <w:tcW w:w="922" w:type="dxa"/>
          </w:tcPr>
          <w:p w14:paraId="37DC50D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550</w:t>
            </w:r>
          </w:p>
        </w:tc>
        <w:tc>
          <w:tcPr>
            <w:tcW w:w="1008" w:type="dxa"/>
          </w:tcPr>
          <w:p w14:paraId="1A1743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79" w:type="dxa"/>
          </w:tcPr>
          <w:p w14:paraId="098F9E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400</w:t>
            </w:r>
          </w:p>
        </w:tc>
      </w:tr>
      <w:tr w:rsidR="00E3599D" w:rsidRPr="00E14102" w14:paraId="395C679F" w14:textId="77777777">
        <w:trPr>
          <w:trHeight w:val="240"/>
        </w:trPr>
        <w:tc>
          <w:tcPr>
            <w:tcW w:w="1104" w:type="dxa"/>
          </w:tcPr>
          <w:p w14:paraId="4AA2C5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Максимальная дальность, км</w:t>
            </w:r>
          </w:p>
        </w:tc>
        <w:tc>
          <w:tcPr>
            <w:tcW w:w="922" w:type="dxa"/>
          </w:tcPr>
          <w:p w14:paraId="61847A8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900</w:t>
            </w:r>
          </w:p>
        </w:tc>
        <w:tc>
          <w:tcPr>
            <w:tcW w:w="922" w:type="dxa"/>
          </w:tcPr>
          <w:p w14:paraId="325E04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850</w:t>
            </w:r>
          </w:p>
        </w:tc>
        <w:tc>
          <w:tcPr>
            <w:tcW w:w="1008" w:type="dxa"/>
          </w:tcPr>
          <w:p w14:paraId="5BD24E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79" w:type="dxa"/>
          </w:tcPr>
          <w:p w14:paraId="2E1366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25334AEA" w14:textId="77777777">
        <w:trPr>
          <w:trHeight w:val="240"/>
        </w:trPr>
        <w:tc>
          <w:tcPr>
            <w:tcW w:w="1104" w:type="dxa"/>
          </w:tcPr>
          <w:p w14:paraId="290016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Длина разбега</w:t>
            </w:r>
          </w:p>
        </w:tc>
        <w:tc>
          <w:tcPr>
            <w:tcW w:w="922" w:type="dxa"/>
          </w:tcPr>
          <w:p w14:paraId="0374C0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130</w:t>
            </w:r>
          </w:p>
        </w:tc>
        <w:tc>
          <w:tcPr>
            <w:tcW w:w="922" w:type="dxa"/>
          </w:tcPr>
          <w:p w14:paraId="3117388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200</w:t>
            </w:r>
          </w:p>
        </w:tc>
        <w:tc>
          <w:tcPr>
            <w:tcW w:w="1008" w:type="dxa"/>
          </w:tcPr>
          <w:p w14:paraId="62E031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220-260</w:t>
            </w:r>
          </w:p>
        </w:tc>
        <w:tc>
          <w:tcPr>
            <w:tcW w:w="979" w:type="dxa"/>
          </w:tcPr>
          <w:p w14:paraId="4DD952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70</w:t>
            </w:r>
          </w:p>
        </w:tc>
      </w:tr>
      <w:tr w:rsidR="00E3599D" w:rsidRPr="00E14102" w14:paraId="5238FEAD" w14:textId="77777777">
        <w:trPr>
          <w:trHeight w:val="240"/>
        </w:trPr>
        <w:tc>
          <w:tcPr>
            <w:tcW w:w="1104" w:type="dxa"/>
            <w:tcBorders>
              <w:bottom w:val="single" w:sz="12" w:space="0" w:color="auto"/>
            </w:tcBorders>
          </w:tcPr>
          <w:p w14:paraId="3BCDCB6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Длина пробега</w:t>
            </w:r>
          </w:p>
        </w:tc>
        <w:tc>
          <w:tcPr>
            <w:tcW w:w="922" w:type="dxa"/>
            <w:tcBorders>
              <w:bottom w:val="single" w:sz="12" w:space="0" w:color="auto"/>
            </w:tcBorders>
          </w:tcPr>
          <w:p w14:paraId="6101D4F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922" w:type="dxa"/>
            <w:tcBorders>
              <w:bottom w:val="single" w:sz="12" w:space="0" w:color="auto"/>
            </w:tcBorders>
          </w:tcPr>
          <w:p w14:paraId="1E53BC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008" w:type="dxa"/>
            <w:tcBorders>
              <w:bottom w:val="single" w:sz="12" w:space="0" w:color="auto"/>
            </w:tcBorders>
          </w:tcPr>
          <w:p w14:paraId="0D6CCF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180-200</w:t>
            </w:r>
          </w:p>
        </w:tc>
        <w:tc>
          <w:tcPr>
            <w:tcW w:w="979" w:type="dxa"/>
            <w:tcBorders>
              <w:bottom w:val="single" w:sz="12" w:space="0" w:color="auto"/>
            </w:tcBorders>
          </w:tcPr>
          <w:p w14:paraId="2273DED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125</w:t>
            </w:r>
          </w:p>
        </w:tc>
      </w:tr>
    </w:tbl>
    <w:p w14:paraId="6F8F16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(10720).</w:t>
      </w:r>
    </w:p>
    <w:p w14:paraId="5F5F1C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EDBA2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ВВА-1 предъявили НИИ ВВС РККА на государственные испытания. Ответственными за их проведение были назначены ведущий инженер Н.С. Куликов и ведущий лет- чик-испытатель К.А. Калилец. В соответствии с программой испытаний за 14 полетов требовалось определить основные летные данные и эксплуатационные свойства самолета.</w:t>
      </w:r>
    </w:p>
    <w:p w14:paraId="2B01E5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проведенных в августе-сентябре 1935 г. госиспытаниях ВВА-1 показал следующие результаты. Максимальная скорость при полетной массе 1146 кг составила 156 км/ч у земли и 145 км/ч на высоте 2000 м. Высоту 1000 м машина набирала за 9,83 мин, а 2000 м - за 26,19 мин. Практический потолок составил 2920 м, который самолет набирал за 79,6 мин. Длина разбега с выпущенными закрылками - 220 м, а без их применения - 260 м. Пробег соответственно составлял 180 и 200 м, а посадочная скорость 75 и 90 км/ч.</w:t>
      </w:r>
    </w:p>
    <w:p w14:paraId="02CD19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Следует отметить, что ВВА-1 проходил испытания без внешнего капота и не со своим винтом. При пробе мотора, как на земле, так и в воздухе, с винтом, спроектированным специально для ВВА-1, ощущалась значительная вибрация конструкции самолета. Наибольшей величины она достигала при оборотах мотора от 1100 до 1400 об/мин. В связи с этим для проведения испытаний на машину поставили винт от самолета У-2. С этим винтом вибрация все же имела место, но была несколько меньше. В полете вибрация выражалась, прежде всего, в колебаниях стрелок всех приборов, размешенных на приборной доске.</w:t>
      </w:r>
    </w:p>
    <w:p w14:paraId="115C80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запускался установленным для М-11 способом - от руки, так как храповик для аэродромного стартера не устанавливался. Отмечалось неудобное расположение пускового магнето - очень низко и далеко. При пробе мотора под колеса подкладывали колодки обычного типа, при этом хвост машины при взятой "на себя" ручке управления можно было не держать.</w:t>
      </w:r>
    </w:p>
    <w:p w14:paraId="24C971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зависимости от грунта аэродрома ВВА-1 рулил при 900... 1000 об/мин, при этом его скорость соответствовала нормальному шагу сопровождающего. Рулил самолет устойчиво и хорошо слушался руля направления. На ровной поверхности для облегчения хвоста ручку управления необходимо было держать нейтрально. Размер колес для работы машины с мягкого грунта считался недостаточным, в таких случаях самолет вязнул. Обзор вперед и влево до 60° был удовлетворительный, вправо и по сторонам плохой, назад и вверх отсутствовал. Это объяснялось положением пилота в кабине, а также множеством переплетов фонаря кабины, что сокращало поле видимости. Для улучшения обзора рекомендовалось с обеих сторон сделать легко открывающиеся окна.</w:t>
      </w:r>
    </w:p>
    <w:p w14:paraId="5F025E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взлетал очень тяжело, хвост поднимался медленно. При этом ручку управления требовалось дать "от себя" полностью, что у летчика среднего роста вызывало определенные затруднения. После подъема хвоста ручку необходимо было слегка взять "на себя". Испытатели отмечали, что при разбеге ВВА-1 не чувствовалось нарастания скорости и стремления машины самой оторваться от земли, как это наблюдалось у других самолетов. Во время взлета самолет обычно требовал отрывания его от земли, а в штиль его разбег достигал 300 м. Использование закрылков, не уменьшая времени разбега, сокращало его длину всего на 12%, при этом в штиль разбег составлял 240 м.</w:t>
      </w:r>
    </w:p>
    <w:p w14:paraId="78F70F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разбеге самолет имел тенденцию к рысканью, и его все время требовалось держать ножным управлением для сохранения прямой. Рысканье объяснялось в первую очередь чрезмерной чувствительностью руля направления и крайне неудачной конструкцией педалей, при которой ноги летчика все время были на весу. Из- за этого незначительный нажим на педаль тут же приводил к развороту. К тому же педали имели большой ход, из-за чего у летчика среднего роста не хватало ног для перевода их из одного крайнего положения в другое.</w:t>
      </w:r>
    </w:p>
    <w:p w14:paraId="390A52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Вследствие малой скороподъемности (2,05 м/с у земли) высоту самолет набирал медленно. Для набора 30 м машине требовалось расстояние в 500...600 м, что, учитывая еще и большой разбег, делало невозможным его взлет с ограниченных аэродромов, имеющих вблизи высокие препятствия.</w:t>
      </w:r>
    </w:p>
    <w:p w14:paraId="5C022E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Основные данные самолёта ВВА-1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62"/>
        <w:gridCol w:w="2062"/>
        <w:gridCol w:w="2062"/>
        <w:gridCol w:w="2062"/>
        <w:gridCol w:w="2062"/>
      </w:tblGrid>
      <w:tr w:rsidR="00E3599D" w:rsidRPr="00E14102" w14:paraId="786BB83F" w14:textId="77777777">
        <w:tc>
          <w:tcPr>
            <w:tcW w:w="2062" w:type="dxa"/>
            <w:tcBorders>
              <w:top w:val="single" w:sz="12" w:space="0" w:color="auto"/>
            </w:tcBorders>
          </w:tcPr>
          <w:p w14:paraId="5AD007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Характеристика</w:t>
            </w:r>
          </w:p>
        </w:tc>
        <w:tc>
          <w:tcPr>
            <w:tcW w:w="2062" w:type="dxa"/>
            <w:tcBorders>
              <w:top w:val="single" w:sz="12" w:space="0" w:color="auto"/>
            </w:tcBorders>
          </w:tcPr>
          <w:p w14:paraId="79CEEA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Расчётные данные</w:t>
            </w:r>
          </w:p>
        </w:tc>
        <w:tc>
          <w:tcPr>
            <w:tcW w:w="2062" w:type="dxa"/>
            <w:tcBorders>
              <w:top w:val="single" w:sz="12" w:space="0" w:color="auto"/>
            </w:tcBorders>
          </w:tcPr>
          <w:p w14:paraId="120C9A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Результаты испытаний</w:t>
            </w:r>
          </w:p>
        </w:tc>
        <w:tc>
          <w:tcPr>
            <w:tcW w:w="2062" w:type="dxa"/>
            <w:tcBorders>
              <w:top w:val="single" w:sz="12" w:space="0" w:color="auto"/>
            </w:tcBorders>
          </w:tcPr>
          <w:p w14:paraId="088483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Самолёт У-2 эталон 1936 г.</w:t>
            </w:r>
          </w:p>
        </w:tc>
        <w:tc>
          <w:tcPr>
            <w:tcW w:w="2062" w:type="dxa"/>
            <w:tcBorders>
              <w:top w:val="single" w:sz="12" w:space="0" w:color="auto"/>
            </w:tcBorders>
          </w:tcPr>
          <w:p w14:paraId="5EC2F63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92C22FA" w14:textId="77777777">
        <w:tc>
          <w:tcPr>
            <w:tcW w:w="2062" w:type="dxa"/>
          </w:tcPr>
          <w:p w14:paraId="578852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самолёта, м</w:t>
            </w:r>
          </w:p>
        </w:tc>
        <w:tc>
          <w:tcPr>
            <w:tcW w:w="2062" w:type="dxa"/>
          </w:tcPr>
          <w:p w14:paraId="23C499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7,8</w:t>
            </w:r>
          </w:p>
        </w:tc>
        <w:tc>
          <w:tcPr>
            <w:tcW w:w="2062" w:type="dxa"/>
          </w:tcPr>
          <w:p w14:paraId="483CF7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7,8</w:t>
            </w:r>
          </w:p>
        </w:tc>
        <w:tc>
          <w:tcPr>
            <w:tcW w:w="2062" w:type="dxa"/>
          </w:tcPr>
          <w:p w14:paraId="65F789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8,17</w:t>
            </w:r>
          </w:p>
        </w:tc>
        <w:tc>
          <w:tcPr>
            <w:tcW w:w="2062" w:type="dxa"/>
          </w:tcPr>
          <w:p w14:paraId="6466071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30CA845" w14:textId="77777777">
        <w:tc>
          <w:tcPr>
            <w:tcW w:w="2062" w:type="dxa"/>
          </w:tcPr>
          <w:p w14:paraId="6D46AE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самолёта, м</w:t>
            </w:r>
          </w:p>
        </w:tc>
        <w:tc>
          <w:tcPr>
            <w:tcW w:w="2062" w:type="dxa"/>
          </w:tcPr>
          <w:p w14:paraId="4B9500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2,85</w:t>
            </w:r>
          </w:p>
        </w:tc>
        <w:tc>
          <w:tcPr>
            <w:tcW w:w="2062" w:type="dxa"/>
          </w:tcPr>
          <w:p w14:paraId="2E53C1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2,85</w:t>
            </w:r>
          </w:p>
        </w:tc>
        <w:tc>
          <w:tcPr>
            <w:tcW w:w="2062" w:type="dxa"/>
          </w:tcPr>
          <w:p w14:paraId="5E3332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3,10</w:t>
            </w:r>
          </w:p>
        </w:tc>
        <w:tc>
          <w:tcPr>
            <w:tcW w:w="2062" w:type="dxa"/>
          </w:tcPr>
          <w:p w14:paraId="6D1D95E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F8978FA" w14:textId="77777777">
        <w:tc>
          <w:tcPr>
            <w:tcW w:w="2062" w:type="dxa"/>
          </w:tcPr>
          <w:p w14:paraId="37A021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крыла, м</w:t>
            </w:r>
          </w:p>
        </w:tc>
        <w:tc>
          <w:tcPr>
            <w:tcW w:w="2062" w:type="dxa"/>
          </w:tcPr>
          <w:p w14:paraId="153316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10,95</w:t>
            </w:r>
          </w:p>
        </w:tc>
        <w:tc>
          <w:tcPr>
            <w:tcW w:w="2062" w:type="dxa"/>
          </w:tcPr>
          <w:p w14:paraId="63EB75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2062" w:type="dxa"/>
          </w:tcPr>
          <w:p w14:paraId="5AF9D8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11,42</w:t>
            </w:r>
          </w:p>
        </w:tc>
        <w:tc>
          <w:tcPr>
            <w:tcW w:w="2062" w:type="dxa"/>
          </w:tcPr>
          <w:p w14:paraId="3E01A0F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BDB13C9" w14:textId="77777777">
        <w:tc>
          <w:tcPr>
            <w:tcW w:w="2062" w:type="dxa"/>
          </w:tcPr>
          <w:p w14:paraId="37F2E6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крыла, м^</w:t>
            </w:r>
          </w:p>
        </w:tc>
        <w:tc>
          <w:tcPr>
            <w:tcW w:w="2062" w:type="dxa"/>
          </w:tcPr>
          <w:p w14:paraId="7C89B0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w:t>
            </w:r>
          </w:p>
        </w:tc>
        <w:tc>
          <w:tcPr>
            <w:tcW w:w="2062" w:type="dxa"/>
          </w:tcPr>
          <w:p w14:paraId="49423D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21,28</w:t>
            </w:r>
          </w:p>
        </w:tc>
        <w:tc>
          <w:tcPr>
            <w:tcW w:w="2062" w:type="dxa"/>
          </w:tcPr>
          <w:p w14:paraId="0D3AA9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33,15</w:t>
            </w:r>
          </w:p>
        </w:tc>
        <w:tc>
          <w:tcPr>
            <w:tcW w:w="2062" w:type="dxa"/>
          </w:tcPr>
          <w:p w14:paraId="1E8D3FF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3AE9254" w14:textId="77777777">
        <w:tc>
          <w:tcPr>
            <w:tcW w:w="2062" w:type="dxa"/>
          </w:tcPr>
          <w:p w14:paraId="0E92DC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Масса пустого самолёта, кг</w:t>
            </w:r>
          </w:p>
        </w:tc>
        <w:tc>
          <w:tcPr>
            <w:tcW w:w="2062" w:type="dxa"/>
          </w:tcPr>
          <w:p w14:paraId="3332B1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2062" w:type="dxa"/>
          </w:tcPr>
          <w:p w14:paraId="3AD59A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845</w:t>
            </w:r>
          </w:p>
        </w:tc>
        <w:tc>
          <w:tcPr>
            <w:tcW w:w="2062" w:type="dxa"/>
          </w:tcPr>
          <w:p w14:paraId="2FA342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665</w:t>
            </w:r>
          </w:p>
        </w:tc>
        <w:tc>
          <w:tcPr>
            <w:tcW w:w="2062" w:type="dxa"/>
          </w:tcPr>
          <w:p w14:paraId="254DC5E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C8B9EC5" w14:textId="77777777">
        <w:tc>
          <w:tcPr>
            <w:tcW w:w="2062" w:type="dxa"/>
          </w:tcPr>
          <w:p w14:paraId="4B305E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Запас горючего, кг</w:t>
            </w:r>
          </w:p>
        </w:tc>
        <w:tc>
          <w:tcPr>
            <w:tcW w:w="2062" w:type="dxa"/>
          </w:tcPr>
          <w:p w14:paraId="19AE16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062" w:type="dxa"/>
          </w:tcPr>
          <w:p w14:paraId="46A02B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2062" w:type="dxa"/>
          </w:tcPr>
          <w:p w14:paraId="09B81C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w:t>
            </w:r>
          </w:p>
        </w:tc>
        <w:tc>
          <w:tcPr>
            <w:tcW w:w="2062" w:type="dxa"/>
          </w:tcPr>
          <w:p w14:paraId="772C60D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7DD1794" w14:textId="77777777">
        <w:tc>
          <w:tcPr>
            <w:tcW w:w="2062" w:type="dxa"/>
          </w:tcPr>
          <w:p w14:paraId="1356F2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Полезная нагрузка, кг</w:t>
            </w:r>
          </w:p>
        </w:tc>
        <w:tc>
          <w:tcPr>
            <w:tcW w:w="2062" w:type="dxa"/>
          </w:tcPr>
          <w:p w14:paraId="0996EB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w:t>
            </w:r>
          </w:p>
        </w:tc>
        <w:tc>
          <w:tcPr>
            <w:tcW w:w="2062" w:type="dxa"/>
          </w:tcPr>
          <w:p w14:paraId="7DC98E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2062" w:type="dxa"/>
          </w:tcPr>
          <w:p w14:paraId="385A19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301</w:t>
            </w:r>
          </w:p>
        </w:tc>
        <w:tc>
          <w:tcPr>
            <w:tcW w:w="2062" w:type="dxa"/>
          </w:tcPr>
          <w:p w14:paraId="739BB7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257</w:t>
            </w:r>
          </w:p>
        </w:tc>
      </w:tr>
      <w:tr w:rsidR="00E3599D" w:rsidRPr="00E14102" w14:paraId="724692D9" w14:textId="77777777">
        <w:tc>
          <w:tcPr>
            <w:tcW w:w="2062" w:type="dxa"/>
          </w:tcPr>
          <w:p w14:paraId="37DE58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Полётная масса, кг</w:t>
            </w:r>
          </w:p>
        </w:tc>
        <w:tc>
          <w:tcPr>
            <w:tcW w:w="2062" w:type="dxa"/>
          </w:tcPr>
          <w:p w14:paraId="67FE37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950</w:t>
            </w:r>
          </w:p>
        </w:tc>
        <w:tc>
          <w:tcPr>
            <w:tcW w:w="2062" w:type="dxa"/>
          </w:tcPr>
          <w:p w14:paraId="1E92CE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1100</w:t>
            </w:r>
          </w:p>
        </w:tc>
        <w:tc>
          <w:tcPr>
            <w:tcW w:w="2062" w:type="dxa"/>
          </w:tcPr>
          <w:p w14:paraId="00F5E5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1146</w:t>
            </w:r>
          </w:p>
        </w:tc>
        <w:tc>
          <w:tcPr>
            <w:tcW w:w="2062" w:type="dxa"/>
          </w:tcPr>
          <w:p w14:paraId="74801F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922</w:t>
            </w:r>
          </w:p>
        </w:tc>
      </w:tr>
      <w:tr w:rsidR="00E3599D" w:rsidRPr="00E14102" w14:paraId="0DFFE19F" w14:textId="77777777">
        <w:tc>
          <w:tcPr>
            <w:tcW w:w="2062" w:type="dxa"/>
          </w:tcPr>
          <w:p w14:paraId="187C90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км/ч</w:t>
            </w:r>
          </w:p>
        </w:tc>
        <w:tc>
          <w:tcPr>
            <w:tcW w:w="2062" w:type="dxa"/>
          </w:tcPr>
          <w:p w14:paraId="7DC19B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180...190</w:t>
            </w:r>
          </w:p>
        </w:tc>
        <w:tc>
          <w:tcPr>
            <w:tcW w:w="2062" w:type="dxa"/>
          </w:tcPr>
          <w:p w14:paraId="0774A5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170...180</w:t>
            </w:r>
          </w:p>
        </w:tc>
        <w:tc>
          <w:tcPr>
            <w:tcW w:w="2062" w:type="dxa"/>
          </w:tcPr>
          <w:p w14:paraId="2102BC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156</w:t>
            </w:r>
          </w:p>
        </w:tc>
        <w:tc>
          <w:tcPr>
            <w:tcW w:w="2062" w:type="dxa"/>
          </w:tcPr>
          <w:p w14:paraId="011497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152,5</w:t>
            </w:r>
          </w:p>
        </w:tc>
      </w:tr>
      <w:tr w:rsidR="00E3599D" w:rsidRPr="00E14102" w14:paraId="1C1853DB" w14:textId="77777777">
        <w:tc>
          <w:tcPr>
            <w:tcW w:w="2062" w:type="dxa"/>
          </w:tcPr>
          <w:p w14:paraId="2C7F36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Минимальная скорость, км/ч</w:t>
            </w:r>
          </w:p>
        </w:tc>
        <w:tc>
          <w:tcPr>
            <w:tcW w:w="2062" w:type="dxa"/>
          </w:tcPr>
          <w:p w14:paraId="275BAD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w:t>
            </w:r>
          </w:p>
        </w:tc>
        <w:tc>
          <w:tcPr>
            <w:tcW w:w="2062" w:type="dxa"/>
          </w:tcPr>
          <w:p w14:paraId="0308B3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w:t>
            </w:r>
          </w:p>
        </w:tc>
        <w:tc>
          <w:tcPr>
            <w:tcW w:w="2062" w:type="dxa"/>
          </w:tcPr>
          <w:p w14:paraId="7FEB61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2062" w:type="dxa"/>
          </w:tcPr>
          <w:p w14:paraId="0417B2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w:t>
            </w:r>
          </w:p>
        </w:tc>
      </w:tr>
      <w:tr w:rsidR="00E3599D" w:rsidRPr="00E14102" w14:paraId="20D10425" w14:textId="77777777">
        <w:tc>
          <w:tcPr>
            <w:tcW w:w="2062" w:type="dxa"/>
          </w:tcPr>
          <w:p w14:paraId="6C55CC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 км/ч</w:t>
            </w:r>
          </w:p>
        </w:tc>
        <w:tc>
          <w:tcPr>
            <w:tcW w:w="2062" w:type="dxa"/>
          </w:tcPr>
          <w:p w14:paraId="3286CF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55...60</w:t>
            </w:r>
          </w:p>
        </w:tc>
        <w:tc>
          <w:tcPr>
            <w:tcW w:w="2062" w:type="dxa"/>
          </w:tcPr>
          <w:p w14:paraId="78D1B8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60...65</w:t>
            </w:r>
          </w:p>
        </w:tc>
        <w:tc>
          <w:tcPr>
            <w:tcW w:w="2062" w:type="dxa"/>
          </w:tcPr>
          <w:p w14:paraId="2090E6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75...90</w:t>
            </w:r>
          </w:p>
        </w:tc>
        <w:tc>
          <w:tcPr>
            <w:tcW w:w="2062" w:type="dxa"/>
          </w:tcPr>
          <w:p w14:paraId="71ECB4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65...70</w:t>
            </w:r>
          </w:p>
        </w:tc>
      </w:tr>
      <w:tr w:rsidR="00E3599D" w:rsidRPr="00E14102" w14:paraId="4736FCE5" w14:textId="77777777">
        <w:tc>
          <w:tcPr>
            <w:tcW w:w="2062" w:type="dxa"/>
          </w:tcPr>
          <w:p w14:paraId="0D98D2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Крейсерская скорость, км/ч</w:t>
            </w:r>
          </w:p>
        </w:tc>
        <w:tc>
          <w:tcPr>
            <w:tcW w:w="2062" w:type="dxa"/>
          </w:tcPr>
          <w:p w14:paraId="3AD77C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w:t>
            </w:r>
          </w:p>
        </w:tc>
        <w:tc>
          <w:tcPr>
            <w:tcW w:w="2062" w:type="dxa"/>
          </w:tcPr>
          <w:p w14:paraId="77C4E8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135</w:t>
            </w:r>
          </w:p>
        </w:tc>
        <w:tc>
          <w:tcPr>
            <w:tcW w:w="2062" w:type="dxa"/>
          </w:tcPr>
          <w:p w14:paraId="580628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135</w:t>
            </w:r>
          </w:p>
        </w:tc>
        <w:tc>
          <w:tcPr>
            <w:tcW w:w="2062" w:type="dxa"/>
          </w:tcPr>
          <w:p w14:paraId="7F3FA2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112</w:t>
            </w:r>
          </w:p>
        </w:tc>
      </w:tr>
      <w:tr w:rsidR="00E3599D" w:rsidRPr="00E14102" w14:paraId="2B89E0CD" w14:textId="77777777">
        <w:tc>
          <w:tcPr>
            <w:tcW w:w="2062" w:type="dxa"/>
          </w:tcPr>
          <w:p w14:paraId="2390B2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м</w:t>
            </w:r>
          </w:p>
        </w:tc>
        <w:tc>
          <w:tcPr>
            <w:tcW w:w="2062" w:type="dxa"/>
          </w:tcPr>
          <w:p w14:paraId="012986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2062" w:type="dxa"/>
          </w:tcPr>
          <w:p w14:paraId="312600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2062" w:type="dxa"/>
          </w:tcPr>
          <w:p w14:paraId="19E583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2920</w:t>
            </w:r>
          </w:p>
        </w:tc>
        <w:tc>
          <w:tcPr>
            <w:tcW w:w="2062" w:type="dxa"/>
          </w:tcPr>
          <w:p w14:paraId="14EEE3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4350</w:t>
            </w:r>
          </w:p>
        </w:tc>
      </w:tr>
      <w:tr w:rsidR="00E3599D" w:rsidRPr="00E14102" w14:paraId="78E29D7B" w14:textId="77777777">
        <w:tc>
          <w:tcPr>
            <w:tcW w:w="2062" w:type="dxa"/>
          </w:tcPr>
          <w:p w14:paraId="6381DD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Начальная вертикальная скорость, м/с</w:t>
            </w:r>
          </w:p>
        </w:tc>
        <w:tc>
          <w:tcPr>
            <w:tcW w:w="2062" w:type="dxa"/>
          </w:tcPr>
          <w:p w14:paraId="081EEC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2062" w:type="dxa"/>
          </w:tcPr>
          <w:p w14:paraId="25637E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2062" w:type="dxa"/>
          </w:tcPr>
          <w:p w14:paraId="750767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2,05</w:t>
            </w:r>
          </w:p>
        </w:tc>
        <w:tc>
          <w:tcPr>
            <w:tcW w:w="2062" w:type="dxa"/>
          </w:tcPr>
          <w:p w14:paraId="380D7F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4374716E" w14:textId="77777777">
        <w:tc>
          <w:tcPr>
            <w:tcW w:w="2062" w:type="dxa"/>
          </w:tcPr>
          <w:p w14:paraId="28C07B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Нормальная дальность, км</w:t>
            </w:r>
          </w:p>
        </w:tc>
        <w:tc>
          <w:tcPr>
            <w:tcW w:w="2062" w:type="dxa"/>
          </w:tcPr>
          <w:p w14:paraId="7B4B2B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2062" w:type="dxa"/>
          </w:tcPr>
          <w:p w14:paraId="0DC575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550</w:t>
            </w:r>
          </w:p>
        </w:tc>
        <w:tc>
          <w:tcPr>
            <w:tcW w:w="2062" w:type="dxa"/>
          </w:tcPr>
          <w:p w14:paraId="6B4178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062" w:type="dxa"/>
          </w:tcPr>
          <w:p w14:paraId="49B86E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430</w:t>
            </w:r>
          </w:p>
        </w:tc>
      </w:tr>
      <w:tr w:rsidR="00E3599D" w:rsidRPr="00E14102" w14:paraId="74817BFC" w14:textId="77777777">
        <w:tc>
          <w:tcPr>
            <w:tcW w:w="2062" w:type="dxa"/>
          </w:tcPr>
          <w:p w14:paraId="65305A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дальность, км</w:t>
            </w:r>
          </w:p>
        </w:tc>
        <w:tc>
          <w:tcPr>
            <w:tcW w:w="2062" w:type="dxa"/>
          </w:tcPr>
          <w:p w14:paraId="0B11D2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900</w:t>
            </w:r>
          </w:p>
        </w:tc>
        <w:tc>
          <w:tcPr>
            <w:tcW w:w="2062" w:type="dxa"/>
          </w:tcPr>
          <w:p w14:paraId="45BB62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w:t>
            </w:r>
          </w:p>
        </w:tc>
        <w:tc>
          <w:tcPr>
            <w:tcW w:w="2062" w:type="dxa"/>
          </w:tcPr>
          <w:p w14:paraId="40C82B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062" w:type="dxa"/>
          </w:tcPr>
          <w:p w14:paraId="5A39BF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6D4A267" w14:textId="77777777">
        <w:tc>
          <w:tcPr>
            <w:tcW w:w="2062" w:type="dxa"/>
          </w:tcPr>
          <w:p w14:paraId="267E6D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разбега, м</w:t>
            </w:r>
          </w:p>
        </w:tc>
        <w:tc>
          <w:tcPr>
            <w:tcW w:w="2062" w:type="dxa"/>
          </w:tcPr>
          <w:p w14:paraId="5B38EA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w:t>
            </w:r>
          </w:p>
        </w:tc>
        <w:tc>
          <w:tcPr>
            <w:tcW w:w="2062" w:type="dxa"/>
          </w:tcPr>
          <w:p w14:paraId="318D07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2062" w:type="dxa"/>
          </w:tcPr>
          <w:p w14:paraId="0A613A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220...260</w:t>
            </w:r>
          </w:p>
        </w:tc>
        <w:tc>
          <w:tcPr>
            <w:tcW w:w="2062" w:type="dxa"/>
          </w:tcPr>
          <w:p w14:paraId="4F1F82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w:t>
            </w:r>
          </w:p>
        </w:tc>
      </w:tr>
      <w:tr w:rsidR="00E3599D" w:rsidRPr="00E14102" w14:paraId="13265B94" w14:textId="77777777">
        <w:tc>
          <w:tcPr>
            <w:tcW w:w="2062" w:type="dxa"/>
            <w:tcBorders>
              <w:bottom w:val="single" w:sz="12" w:space="0" w:color="auto"/>
            </w:tcBorders>
          </w:tcPr>
          <w:p w14:paraId="2666F2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пробега, м</w:t>
            </w:r>
          </w:p>
        </w:tc>
        <w:tc>
          <w:tcPr>
            <w:tcW w:w="2062" w:type="dxa"/>
            <w:tcBorders>
              <w:bottom w:val="single" w:sz="12" w:space="0" w:color="auto"/>
            </w:tcBorders>
          </w:tcPr>
          <w:p w14:paraId="565FE1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062" w:type="dxa"/>
            <w:tcBorders>
              <w:bottom w:val="single" w:sz="12" w:space="0" w:color="auto"/>
            </w:tcBorders>
          </w:tcPr>
          <w:p w14:paraId="375F33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062" w:type="dxa"/>
            <w:tcBorders>
              <w:bottom w:val="single" w:sz="12" w:space="0" w:color="auto"/>
            </w:tcBorders>
          </w:tcPr>
          <w:p w14:paraId="5A48A6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180...200</w:t>
            </w:r>
          </w:p>
        </w:tc>
        <w:tc>
          <w:tcPr>
            <w:tcW w:w="2062" w:type="dxa"/>
            <w:tcBorders>
              <w:bottom w:val="single" w:sz="12" w:space="0" w:color="auto"/>
            </w:tcBorders>
          </w:tcPr>
          <w:p w14:paraId="302EEC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w:t>
            </w:r>
          </w:p>
        </w:tc>
      </w:tr>
    </w:tbl>
    <w:p w14:paraId="4193F4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Наивыгоднейшая скорость набора высоты до 1000 м составляла 110 км/ч (по прибору) при 1500 об/мин для винта специально спроектированного для ВВА-1 и при 1600 об/мин для винта от самолета У-2. По мере набора высоты скорость необходимо было уменьшать на 5 км/ч на каждую 1000 м. Высоту машина набирала устойчиво даже с брошенной ручкой. При уменьшении оборотов, а также на планировании самолет "висел" на ручке. Но в случае сдачи мотора он переходил на нос с тенденцией развернуться и кренился вправо.</w:t>
      </w:r>
    </w:p>
    <w:p w14:paraId="640CA5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спокойную погоду ВВА-1 в горизонтальном полете шел устойчиво, допуская полет с брошенным управлением. Но к болтанке самолет был чувствителен. Скорость при 1500 об/мин составляла 115...120 км/ч. Машина летала с несколько опущенным хвостом, так как внутренняя хорда коробки крыльев шла параллельно оси винта и строительной горизонтали фюзеляжа. С убранными закрылками самолет был достаточно устойчив. Однако полных исследований на устойчивость при всех режимах полета и с разным положением закрылков не проводилось.</w:t>
      </w:r>
    </w:p>
    <w:p w14:paraId="542FDF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Длительный полет вследствие неудачного расположения органов управления и неудобного расположения сиденья очень утомлял летчика. Полет в облаках и в тумане был затруднен из- за излишней чувствительности самолета на самое незначительное движение ножным управлением. К тому же следить за курсом по компасу К-4 оказалось затруднительным, так как компас расположили далеко, в стороне от глаз летчика.</w:t>
      </w:r>
    </w:p>
    <w:p w14:paraId="4BA7F7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Маневренность самолета проверяли на высоте 800 м. Виражил он на скорости 120... 125 км/ч при 1550 об/мин устойчиво, но при этом летчику требовалось все время быть внимательным и следить за движениями ног, которые должны были быть незначительными. Время виража составило 25 с для левого и 27,3 с для правого.</w:t>
      </w:r>
    </w:p>
    <w:p w14:paraId="05D0F9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Наивыгоднейшая скорость планирования составляла 110... 115 км/ч при минимальных оборотах мотора. Траектория планирования по сравнению с самолетом У-2 была более крутая. При брошенной ручке ВВА-1 увеличивал скорость до 145... 150 км/ч (по прибору) после чего продолжал устойчиво планировать на этой скорости. Полностью открытые закрылки и щитки делали траекторию планирования еще более крутой.</w:t>
      </w:r>
    </w:p>
    <w:p w14:paraId="3D0EC0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отличие от разбега посадка самолета ВВА-1 была простой. Он легко садился на три точки, не имея тенденции к взмыванию. Из-за особенностей аэродинамики при посадке без применения механизации Су не доходило до максимального значения из-за чего получалось увеличение посадочной скорости или посадка на костыль. При убранных закрылках и щитках пробег был большой и составлял 180 м (в штиль). Во время пробега машина имела тенденцию к незначительному рысканью.</w:t>
      </w:r>
    </w:p>
    <w:p w14:paraId="79F9A6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Составляя общее впечатление о самолете ВВА-1, ведущие специалисты отметили, что из-за неудобного расположения сидения, командных рычагов управления, излишней чувствительности руля направления и трудного взлета пилотирование самолета усложнялось и от летчика требовалось большое внимание и напряжение. Эти недостатки затмевали все положительные стороны машины - хорошую устойчивость и легкость управления.</w:t>
      </w:r>
    </w:p>
    <w:p w14:paraId="7974D1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своих выводах военные испытатели отметили, что летные данные ВВА-1 очень низки. Это объяснялось неудачно выбранной аэродинамической схемой самолета, представляющего собой полутораплан с мощными стойками, без выноса крыльев, с фюзеляжем очень большого миделя невыгодно расположенного по отношению к коробке крыльев. Вместе с этим конструкция машины по сравнению с расчетными данными оказалась перетяжеленной на 265 кг, то есть на 46% проектной массы. Из-за этого грузоподъемность самолета существенно снизилась, так как перетяжеление пошло за счет полезной нагрузки.</w:t>
      </w:r>
    </w:p>
    <w:p w14:paraId="1192BE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Разбег и пробег машины оказались очень большими, более 200 м. Причем техника выполнения разбега была сложной, так как самолет с трудом поднимал хвост, медленно набирал скорость и после отрыва медленно набирал высоту. В связи с этим полеты на ВВА-1 можно было производить только на больших аэродромах с хорошими подходами. Посадочная скорость также оказалась велика. Применение закрылков и щитков на разбеге и посадке оказалось малоэффективным, при этом посадочная скорость снижалась лишь на 17%.</w:t>
      </w:r>
    </w:p>
    <w:p w14:paraId="45ADA8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конструктивным недостаткам испытатели отнесли неудовлетворительную работу механизмов управления закрылками и щитками, неудобное расположение ручки управления самолетом, плохую видимость через стекла кабины пилота в плохую погоду (дождь, снег), а также плохой обзор назад вверх.</w:t>
      </w:r>
    </w:p>
    <w:p w14:paraId="321665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Вместе с тем отмечалось, что в полете самолет хорошо сбалансирован, устойчив и имеет удовлетворительную управляемость. Производственное исполнение получило хорошую оценку, так как окраска, внутренняя и внешняя отделка машины были выполнены аккуратно, тщательно и чисто.</w:t>
      </w:r>
    </w:p>
    <w:p w14:paraId="203B16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вышеизложенного в своем заключении специалисты НИИ ВВС РККА отметили, что "по своим летно-эксплуатоционным донным сомолет ВВА-1 интереса не представляет". Дальнейшая модификация предъявленного на испытания экземпляра считалась нецелесообразной, так как основные недостатки машины (перетяжеление конструкции и неудачная схема коробки крыльев) были неустранимы.</w:t>
      </w:r>
    </w:p>
    <w:p w14:paraId="15D04B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Конечно, если результаты испытаний оказались невысокими, то вполне можно отнести конструкторскую работу военинженера 2-го ранга B.C. Пышнова к разряду неудачных. Однако это не совсем так. Промахи при разработке машины можно отнести лишь на счет малого опыта в конструкторской деятельности. В тоже время на самолете ВВА-1 Владимир Сергеевич опробовал множество новых конструктивных решений, многие из которых оказались вполне удачными. Поэтому в своем заключении военные также отметили, что "ввиду интересных элементов положенных в основу проектирования и постройки самолето ВВА-1 считать желательным </w:t>
      </w:r>
      <w:r w:rsidRPr="00E14102">
        <w:rPr>
          <w:color w:val="000000" w:themeColor="text1"/>
          <w:sz w:val="16"/>
          <w:szCs w:val="16"/>
        </w:rPr>
        <w:lastRenderedPageBreak/>
        <w:t>постройку нового экземпляра самолето по тем же техническим требованиям,, но с учетом устранения дефектов отмеченных при испытании опытного образца". К этому также стоит добавить и мнение В.Б. Шаврова, который в своей книге отметил, что самолет ВВА-1 мог бы показать гораздо лучшие результаты с более мощным мотором М-11Е.</w:t>
      </w:r>
    </w:p>
    <w:p w14:paraId="72DDAF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Из-за существенного сокращения финансирования постройка второго экземпляра самолета ВВА-1 так и осталась неосуществленной. Поэтому работы по улучшению машины свелись лишь к модернизации первого опытного образца с целью устранения некоторых недостатков выявленных на испытаниях. В частности было переработано вертикальное оперение с целью снижения чувствительности руля направления - уменьшена площадь последнего и введена роговая компенсация, а также сделан новый вариант шасси, изменен капот, убраны зализы закрывающие стыки W-об- разных подкосов с крыльями и добавлен еще один топливный бак. Правда, проведенные доработки привели к увеличению полетной массы до 1160 кг. Судя по всему, на машину также установили более мощный вариант мотора М-11. Основное назначение ВВА-1 теперь определялось как самолет для спорта и туризма (11932).</w:t>
      </w:r>
    </w:p>
    <w:p w14:paraId="3D8FD105" w14:textId="77777777" w:rsidR="00D4105E" w:rsidRPr="00E14102" w:rsidRDefault="00D4105E" w:rsidP="00E14102">
      <w:pPr>
        <w:autoSpaceDE w:val="0"/>
        <w:autoSpaceDN w:val="0"/>
        <w:adjustRightInd w:val="0"/>
        <w:jc w:val="both"/>
        <w:rPr>
          <w:color w:val="000000" w:themeColor="text1"/>
          <w:sz w:val="16"/>
          <w:szCs w:val="16"/>
        </w:rPr>
      </w:pPr>
    </w:p>
    <w:p w14:paraId="515278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взамен разбитого АНТ-9, переданного немецким партнерам Дерулюфта под индексом D-311 “Ястреб” был передан еще один АНТ-9 D-312 “Коршун”. В июне 1936 в парк Дерулюфта вошел D-313 “Голубь” (10542,33).</w:t>
      </w:r>
    </w:p>
    <w:p w14:paraId="63F3C47F" w14:textId="77777777" w:rsidR="00D4105E" w:rsidRPr="00E14102" w:rsidRDefault="00D4105E" w:rsidP="00E14102">
      <w:pPr>
        <w:autoSpaceDE w:val="0"/>
        <w:autoSpaceDN w:val="0"/>
        <w:adjustRightInd w:val="0"/>
        <w:jc w:val="both"/>
        <w:rPr>
          <w:color w:val="000000" w:themeColor="text1"/>
          <w:sz w:val="16"/>
          <w:szCs w:val="16"/>
        </w:rPr>
      </w:pPr>
    </w:p>
    <w:p w14:paraId="19C632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года для ознакомления через "Амторг" приобрели один серийный DC-2 (№ 1413). Самолет изучался в ЦАГН и получил отличный отзыв (3457,50).</w:t>
      </w:r>
    </w:p>
    <w:p w14:paraId="639B7792" w14:textId="77777777" w:rsidR="00D4105E" w:rsidRPr="00E14102" w:rsidRDefault="00D4105E" w:rsidP="00E14102">
      <w:pPr>
        <w:autoSpaceDE w:val="0"/>
        <w:autoSpaceDN w:val="0"/>
        <w:adjustRightInd w:val="0"/>
        <w:jc w:val="both"/>
        <w:rPr>
          <w:color w:val="000000" w:themeColor="text1"/>
          <w:sz w:val="16"/>
          <w:szCs w:val="16"/>
        </w:rPr>
      </w:pPr>
    </w:p>
    <w:p w14:paraId="5E4709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на заводе 31 было начато проектирование МДР-5 2М-85, задание на который дали в 1934 ЦАГИ и заводу 156 и в 1935 передано заводу 31. Закончили в марте 1937, т.к. распоряжением А.Н.Т. работа была приостановлена с марта по сентябрь 1936 (2405,85).</w:t>
      </w:r>
    </w:p>
    <w:p w14:paraId="6655E7C0" w14:textId="77777777" w:rsidR="00D4105E" w:rsidRPr="00E14102" w:rsidRDefault="00D4105E" w:rsidP="00E14102">
      <w:pPr>
        <w:autoSpaceDE w:val="0"/>
        <w:autoSpaceDN w:val="0"/>
        <w:adjustRightInd w:val="0"/>
        <w:jc w:val="both"/>
        <w:rPr>
          <w:color w:val="000000" w:themeColor="text1"/>
          <w:sz w:val="16"/>
          <w:szCs w:val="16"/>
        </w:rPr>
      </w:pPr>
    </w:p>
    <w:p w14:paraId="08A892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ОКБ А.Н.Т. по заказу ГУАП приступило к проектированию пассажирского варианта МТБ-2 (АНТ-44) в расчете на 1ю5 тон коммерческой нагрузки - 10-15 пассажиров с багажом и полтонны почты (4832,7).</w:t>
      </w:r>
    </w:p>
    <w:p w14:paraId="45FEC756" w14:textId="77777777" w:rsidR="00D4105E" w:rsidRPr="00E14102" w:rsidRDefault="00D4105E" w:rsidP="00E14102">
      <w:pPr>
        <w:autoSpaceDE w:val="0"/>
        <w:autoSpaceDN w:val="0"/>
        <w:adjustRightInd w:val="0"/>
        <w:jc w:val="both"/>
        <w:rPr>
          <w:color w:val="000000" w:themeColor="text1"/>
          <w:sz w:val="16"/>
          <w:szCs w:val="16"/>
        </w:rPr>
      </w:pPr>
    </w:p>
    <w:p w14:paraId="5A3209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состоялись испытания МБР-5 П.Д.Самсонова. Произошла авария, отремонтировали к сентябрю 1936 (92,505) и испытывали до осени 1936. Потом прекратили, так как МБР-2 уже был в серии (80,257). Самсонов ушел (79,215).</w:t>
      </w:r>
    </w:p>
    <w:p w14:paraId="4C9ADD3B" w14:textId="77777777" w:rsidR="00D4105E" w:rsidRPr="00E14102" w:rsidRDefault="00D4105E" w:rsidP="00E14102">
      <w:pPr>
        <w:autoSpaceDE w:val="0"/>
        <w:autoSpaceDN w:val="0"/>
        <w:adjustRightInd w:val="0"/>
        <w:jc w:val="both"/>
        <w:rPr>
          <w:color w:val="000000" w:themeColor="text1"/>
          <w:sz w:val="16"/>
          <w:szCs w:val="16"/>
        </w:rPr>
      </w:pPr>
    </w:p>
    <w:p w14:paraId="6C2604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был выпущен на летные испытания трехместный ближний разведчик амфибия МБР-5 (ЦКБ МС-2) конструктора П. Д. Самсонова, который был заместителем Г. М. Бериева (451).</w:t>
      </w:r>
    </w:p>
    <w:p w14:paraId="098BCF42" w14:textId="77777777" w:rsidR="00D4105E" w:rsidRPr="00E14102" w:rsidRDefault="00D4105E" w:rsidP="00E14102">
      <w:pPr>
        <w:autoSpaceDE w:val="0"/>
        <w:autoSpaceDN w:val="0"/>
        <w:adjustRightInd w:val="0"/>
        <w:jc w:val="both"/>
        <w:rPr>
          <w:color w:val="000000" w:themeColor="text1"/>
          <w:sz w:val="16"/>
          <w:szCs w:val="16"/>
        </w:rPr>
      </w:pPr>
    </w:p>
    <w:p w14:paraId="539AD0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П.Д.Самсонов на 31 заводе бы выпущен ЦКБ-16 МБР-5 (1076,922).</w:t>
      </w:r>
    </w:p>
    <w:p w14:paraId="75470AF2" w14:textId="77777777" w:rsidR="00D4105E" w:rsidRPr="00E14102" w:rsidRDefault="00D4105E" w:rsidP="00E14102">
      <w:pPr>
        <w:autoSpaceDE w:val="0"/>
        <w:autoSpaceDN w:val="0"/>
        <w:adjustRightInd w:val="0"/>
        <w:jc w:val="both"/>
        <w:rPr>
          <w:color w:val="000000" w:themeColor="text1"/>
          <w:sz w:val="16"/>
          <w:szCs w:val="16"/>
        </w:rPr>
      </w:pPr>
    </w:p>
    <w:p w14:paraId="417BE4C5"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августе 1935 г. с задержкой по ряду причин (ремонт пресса, болезнь специалиста) в ВИАМ приступили к работе. Первые образцы получились неудачными. Они были покрыты волнами и вмятинами из-за того, что при прессовке сталь вдавливается в дерево, имеющее неоднородную твердость по годичным кольцам. Отработка армированной фанеры в ВИАМ затянулась на весь 1935-й, т.к. технология оказалась неожиданно трудной, и только к концу года этот вопрос можно было считать решенным. Но после этого выяснилось, что нержавеющей стали для самолетостроения в стране недостаток, а, следовательно, применять ее для армирования нецелесообразно и Варшавскому предложили подумать о «зеркальном оксидировании» дюраля. К этому времени деятельность Варшавского в отношении маскировки самолетов перешла уже в вялотекущую фазу. В 1937 году он, видя все более угасающий интерес к нему у военных, обратился в Наркомат Оборонной промышленности, куда и были пересланы все материалы о его работах (12703).</w:t>
      </w:r>
    </w:p>
    <w:p w14:paraId="490420F9"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p>
    <w:p w14:paraId="3E71CE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на гос. испытания предъявили модификацию М-25 - М-25А (1133,7).</w:t>
      </w:r>
    </w:p>
    <w:p w14:paraId="2F02F06E" w14:textId="77777777" w:rsidR="00D4105E" w:rsidRPr="00E14102" w:rsidRDefault="00D4105E" w:rsidP="00E14102">
      <w:pPr>
        <w:autoSpaceDE w:val="0"/>
        <w:autoSpaceDN w:val="0"/>
        <w:adjustRightInd w:val="0"/>
        <w:jc w:val="both"/>
        <w:rPr>
          <w:color w:val="000000" w:themeColor="text1"/>
          <w:sz w:val="16"/>
          <w:szCs w:val="16"/>
        </w:rPr>
      </w:pPr>
    </w:p>
    <w:p w14:paraId="1ECE6A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вышел приказ Нач. ГУАП Королева об удовлетворительном завершении работ по переводу М-34 на испарительное охлаждение. В приказе говорилось: “в целях выявления преимуществ М-34 с испарительным охлаждением” перед обычным водяным еще раз срочно проработать вопрос “о его применении на самолетах, на которых можно получить наибольший эффект от такого типа охлаждения”. Потом решили, что этиленгликолевое - лучше (4734,15).</w:t>
      </w:r>
    </w:p>
    <w:p w14:paraId="6FE229D4" w14:textId="77777777" w:rsidR="00D4105E" w:rsidRPr="00E14102" w:rsidRDefault="00D4105E" w:rsidP="00E14102">
      <w:pPr>
        <w:autoSpaceDE w:val="0"/>
        <w:autoSpaceDN w:val="0"/>
        <w:adjustRightInd w:val="0"/>
        <w:jc w:val="both"/>
        <w:rPr>
          <w:color w:val="000000" w:themeColor="text1"/>
          <w:sz w:val="16"/>
          <w:szCs w:val="16"/>
        </w:rPr>
      </w:pPr>
    </w:p>
    <w:p w14:paraId="526BA1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два двигателя М-85 прошли длительные испытания. К 1 ноября через военную приемку прошли 57 моторов. Не хватало импортных магнето. Советское ВМ-14, которое должно было заменить французский оригинал, до конца года так и не было доведено до рабо</w:t>
      </w:r>
      <w:r w:rsidRPr="00E14102">
        <w:rPr>
          <w:color w:val="000000" w:themeColor="text1"/>
          <w:sz w:val="16"/>
          <w:szCs w:val="16"/>
        </w:rPr>
        <w:softHyphen/>
        <w:t>тоспособного состояния. Велик был брак клапанных пружин. В октябре 1935 г. М-85 впервые выставили на 100-часовые стендовые госиспыта</w:t>
      </w:r>
      <w:r w:rsidRPr="00E14102">
        <w:rPr>
          <w:color w:val="000000" w:themeColor="text1"/>
          <w:sz w:val="16"/>
          <w:szCs w:val="16"/>
        </w:rPr>
        <w:softHyphen/>
        <w:t>ния в НИИ ВВС. Но последовали две аварии подряд. 8 декабря 1935 г. на испытания предъявили два новых мотора, которые прошли испытания с оценкой «удовлетворительно». Советская копия соответствовала ори</w:t>
      </w:r>
      <w:r w:rsidRPr="00E14102">
        <w:rPr>
          <w:color w:val="000000" w:themeColor="text1"/>
          <w:sz w:val="16"/>
          <w:szCs w:val="16"/>
        </w:rPr>
        <w:softHyphen/>
        <w:t>гиналу по мощности и расходу топлива, но отличалась большим рас</w:t>
      </w:r>
      <w:r w:rsidRPr="00E14102">
        <w:rPr>
          <w:color w:val="000000" w:themeColor="text1"/>
          <w:sz w:val="16"/>
          <w:szCs w:val="16"/>
        </w:rPr>
        <w:softHyphen/>
        <w:t>ходом масла и имела существенно более низкий межремонтный ресурс. ГУА.П требовало от завода 150 часов, завод официально заявлял о ре</w:t>
      </w:r>
      <w:r w:rsidRPr="00E14102">
        <w:rPr>
          <w:color w:val="000000" w:themeColor="text1"/>
          <w:sz w:val="16"/>
          <w:szCs w:val="16"/>
        </w:rPr>
        <w:softHyphen/>
        <w:t>сурсе 100 часов. Фактически же в воинских частях М-85 ранних серий вырабатывали 50-60 часов. Мотор М-85 был хорош для 1933 г., но для конца 1935 г. он уже не</w:t>
      </w:r>
      <w:r w:rsidRPr="00E14102">
        <w:rPr>
          <w:color w:val="000000" w:themeColor="text1"/>
          <w:sz w:val="16"/>
          <w:szCs w:val="16"/>
        </w:rPr>
        <w:softHyphen/>
        <w:t>сколько устарел. Началась модернизация конструкции, которая привела к созданию довольно большого семейства двигателей на его базе. Этот процесс был своеобразен тем, что на разных стадиях им руководили со</w:t>
      </w:r>
      <w:r w:rsidRPr="00E14102">
        <w:rPr>
          <w:color w:val="000000" w:themeColor="text1"/>
          <w:sz w:val="16"/>
          <w:szCs w:val="16"/>
        </w:rPr>
        <w:softHyphen/>
        <w:t>вершенно разные люди, зачастую ранее не имевшие никакого отношения к работам по М-85 и его «потомкам». Если совершенствование М-25 от начала до конца вел А.Д. Швецов, аналогичную работу по М-100 — В.Я. Климов, то в Запорожье за этот период сменилось около десятка главных конструкторов. Для дальнейшего совершенствования М-85 еще 1 января 1935 г. сфор</w:t>
      </w:r>
      <w:r w:rsidRPr="00E14102">
        <w:rPr>
          <w:color w:val="000000" w:themeColor="text1"/>
          <w:sz w:val="16"/>
          <w:szCs w:val="16"/>
        </w:rPr>
        <w:softHyphen/>
        <w:t>мировали ОКБ-29, руководимое А.С. Назаровым. Назаров к этому време</w:t>
      </w:r>
      <w:r w:rsidRPr="00E14102">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E14102">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E14102">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Назарова возник серьезный конфликт с подчинен</w:t>
      </w:r>
      <w:r w:rsidRPr="00E14102">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E14102">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E14102">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E14102">
        <w:rPr>
          <w:color w:val="000000" w:themeColor="text1"/>
          <w:sz w:val="16"/>
          <w:szCs w:val="16"/>
        </w:rPr>
        <w:softHyphen/>
        <w:t>ным нагнетателем» и исходно не предусматривала внесения других изме</w:t>
      </w:r>
      <w:r w:rsidRPr="00E14102">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E14102">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E14102">
        <w:rPr>
          <w:color w:val="000000" w:themeColor="text1"/>
          <w:sz w:val="16"/>
          <w:szCs w:val="16"/>
        </w:rPr>
        <w:softHyphen/>
        <w:t>стояло довести до серийного производства М-87 и двигатель с двухско</w:t>
      </w:r>
      <w:r w:rsidRPr="00E14102">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E14102">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E14102">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E14102">
        <w:rPr>
          <w:color w:val="000000" w:themeColor="text1"/>
          <w:sz w:val="16"/>
          <w:szCs w:val="16"/>
        </w:rPr>
        <w:softHyphen/>
        <w:t>енную приемку. До конца года сдали 711 таких двигателей. Старые М-85 и М-86 строить перестали (11852).</w:t>
      </w:r>
    </w:p>
    <w:p w14:paraId="0617E769" w14:textId="77777777" w:rsidR="00D4105E" w:rsidRPr="00E14102" w:rsidRDefault="00D4105E" w:rsidP="00E14102">
      <w:pPr>
        <w:autoSpaceDE w:val="0"/>
        <w:autoSpaceDN w:val="0"/>
        <w:adjustRightInd w:val="0"/>
        <w:jc w:val="both"/>
        <w:rPr>
          <w:color w:val="000000" w:themeColor="text1"/>
          <w:sz w:val="16"/>
          <w:szCs w:val="16"/>
        </w:rPr>
      </w:pPr>
    </w:p>
    <w:p w14:paraId="5E1551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августе 1935 года проходил 100-часовые заводские испытания М-75 - лицензионной копии французского мотора Гном-Рон 9К «Мистраль». Выпущен в 2 экз. в 1935 г.. Крупносерийное производство М-75 планировалось в 1936 г., но не было развернуто.</w:t>
      </w:r>
    </w:p>
    <w:p w14:paraId="72F206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Характеристики:</w:t>
      </w:r>
    </w:p>
    <w:p w14:paraId="49F2B18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9-цилиндровый, звездообразный, четырехтактный, воздушного охлаж</w:t>
      </w:r>
      <w:r w:rsidRPr="00E14102">
        <w:rPr>
          <w:color w:val="000000" w:themeColor="text1"/>
          <w:sz w:val="16"/>
          <w:szCs w:val="16"/>
        </w:rPr>
        <w:softHyphen/>
        <w:t>дения, редукторный, с односкоростным ПЦН;</w:t>
      </w:r>
    </w:p>
    <w:p w14:paraId="7E9090F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мощность 650/700 л.с.;</w:t>
      </w:r>
    </w:p>
    <w:p w14:paraId="0B16D55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диаметр цилиндра/ход поршня 146/165 мм.</w:t>
      </w:r>
    </w:p>
    <w:p w14:paraId="06030A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Предлагался для истребителя И-16. Реально на самолетах не устанав</w:t>
      </w:r>
      <w:r w:rsidRPr="00E14102">
        <w:rPr>
          <w:color w:val="000000" w:themeColor="text1"/>
          <w:sz w:val="16"/>
          <w:szCs w:val="16"/>
        </w:rPr>
        <w:softHyphen/>
        <w:t>ливался (11852).</w:t>
      </w:r>
    </w:p>
    <w:p w14:paraId="3DAEFF7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Был еще М-76 - дальнейшее развитие конструкции М-75, форсированный вариант с вы</w:t>
      </w:r>
      <w:r w:rsidRPr="00E14102">
        <w:rPr>
          <w:color w:val="000000" w:themeColor="text1"/>
          <w:sz w:val="16"/>
          <w:szCs w:val="16"/>
        </w:rPr>
        <w:softHyphen/>
        <w:t>ключаемым нагнетателем. Проектирование прекратили на ранней стадии. Характеристики:</w:t>
      </w:r>
    </w:p>
    <w:p w14:paraId="7D8A793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9-цилиндровый, звездообразный, четырехтактный, воздушного охлаж</w:t>
      </w:r>
      <w:r w:rsidRPr="00E14102">
        <w:rPr>
          <w:color w:val="000000" w:themeColor="text1"/>
          <w:sz w:val="16"/>
          <w:szCs w:val="16"/>
        </w:rPr>
        <w:softHyphen/>
        <w:t>дения, редукторный, с односкоростным выключаемым ПЦН;</w:t>
      </w:r>
    </w:p>
    <w:p w14:paraId="445984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 мощность 700/800 л.с.;</w:t>
      </w:r>
    </w:p>
    <w:p w14:paraId="393C376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вес по заданию 440 кг. (11852).</w:t>
      </w:r>
    </w:p>
    <w:p w14:paraId="56273B2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A14DF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на советском самолете - Р-1 - испытали первый турбонагнетатель фирмы General Electric (3457,24).</w:t>
      </w:r>
    </w:p>
    <w:p w14:paraId="4DCFCC6E" w14:textId="77777777" w:rsidR="00D4105E" w:rsidRPr="00E14102" w:rsidRDefault="00D4105E" w:rsidP="00E14102">
      <w:pPr>
        <w:autoSpaceDE w:val="0"/>
        <w:autoSpaceDN w:val="0"/>
        <w:adjustRightInd w:val="0"/>
        <w:jc w:val="both"/>
        <w:rPr>
          <w:color w:val="000000" w:themeColor="text1"/>
          <w:sz w:val="16"/>
          <w:szCs w:val="16"/>
        </w:rPr>
      </w:pPr>
    </w:p>
    <w:p w14:paraId="37E26D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августа 1935 года начались испытания мотора Мотор М-56 (3574,212-216).</w:t>
      </w:r>
    </w:p>
    <w:p w14:paraId="047C9F6D" w14:textId="77777777" w:rsidR="00D4105E" w:rsidRPr="00E14102" w:rsidRDefault="00D4105E" w:rsidP="00E14102">
      <w:pPr>
        <w:autoSpaceDE w:val="0"/>
        <w:autoSpaceDN w:val="0"/>
        <w:adjustRightInd w:val="0"/>
        <w:jc w:val="both"/>
        <w:rPr>
          <w:color w:val="000000" w:themeColor="text1"/>
          <w:sz w:val="16"/>
          <w:szCs w:val="16"/>
        </w:rPr>
      </w:pPr>
    </w:p>
    <w:p w14:paraId="3BFCC6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началось строительство нового ЦАГИ (262,41).</w:t>
      </w:r>
    </w:p>
    <w:p w14:paraId="6B648FA0" w14:textId="77777777" w:rsidR="00D4105E" w:rsidRPr="00E14102" w:rsidRDefault="00D4105E" w:rsidP="00E14102">
      <w:pPr>
        <w:autoSpaceDE w:val="0"/>
        <w:autoSpaceDN w:val="0"/>
        <w:adjustRightInd w:val="0"/>
        <w:jc w:val="both"/>
        <w:rPr>
          <w:color w:val="000000" w:themeColor="text1"/>
          <w:sz w:val="16"/>
          <w:szCs w:val="16"/>
        </w:rPr>
      </w:pPr>
    </w:p>
    <w:p w14:paraId="0BE6DA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августа 1935 в Москве на заводе 1 А.Я.Щербаков возглавил "Отдел специальных конструкций", разрабатывал первую герметичную кабину пилота Делал испытания РП-318 СК и сделал Ще-2 (70,302). Бригада А.Я.Щербакова по буксировке планеров, которая была у Д.П.Г. на 18 заводе перевели в Москву приказом ГУАП (70,249).</w:t>
      </w:r>
    </w:p>
    <w:p w14:paraId="325721DB" w14:textId="77777777" w:rsidR="00D4105E" w:rsidRPr="00E14102" w:rsidRDefault="00D4105E" w:rsidP="00E14102">
      <w:pPr>
        <w:autoSpaceDE w:val="0"/>
        <w:autoSpaceDN w:val="0"/>
        <w:adjustRightInd w:val="0"/>
        <w:jc w:val="both"/>
        <w:rPr>
          <w:color w:val="000000" w:themeColor="text1"/>
          <w:sz w:val="16"/>
          <w:szCs w:val="16"/>
        </w:rPr>
      </w:pPr>
    </w:p>
    <w:p w14:paraId="53BA8B40"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В августе 1935 г. началось оснащение агрегатных цехов завода № 126. Всего за 1935 г. было установлено свыше 270 единиц оборудования. В 1936 г. площадь построенной части главного корпуса составляла около 44 тыс. кв. м., было установлено около 470 единиц оборудования. </w:t>
      </w:r>
    </w:p>
    <w:p w14:paraId="367CF509"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Сдерживала темпы строительства и нормальный ход работ в механическом, инструментальном и др. цехах нехватка электроэнергии. Завод пользовался э/энергией временной э/станции (ВЭС). В генеральном проекте авиационного завода, а затем в последующих заданиях главка, наркомата и правительства с самого начала строительства завода постройка в системе завода электростанции не предусматривалась. Более крупные энергообъекты на то время еще не были построены. </w:t>
      </w:r>
    </w:p>
    <w:p w14:paraId="72D12B7D" w14:textId="77777777" w:rsidR="00647F1E" w:rsidRPr="00E14102" w:rsidRDefault="00647F1E" w:rsidP="00E14102">
      <w:pPr>
        <w:jc w:val="both"/>
        <w:rPr>
          <w:color w:val="000000" w:themeColor="text1"/>
          <w:sz w:val="16"/>
          <w:szCs w:val="16"/>
        </w:rPr>
      </w:pPr>
      <w:r w:rsidRPr="00E14102">
        <w:rPr>
          <w:color w:val="000000" w:themeColor="text1"/>
          <w:sz w:val="16"/>
          <w:szCs w:val="16"/>
        </w:rPr>
        <w:t>В достаточном количестве завод стал получать э/энергию лишь в январе 1936 г. с введением новых мощностей на ТЭЦ судостроительного завода, откуда к авиационному заводу была протянута ЛЭП (12211).</w:t>
      </w:r>
    </w:p>
    <w:p w14:paraId="5D7E56B7" w14:textId="77777777" w:rsidR="00647F1E" w:rsidRPr="00E14102" w:rsidRDefault="00647F1E" w:rsidP="00E14102">
      <w:pPr>
        <w:jc w:val="both"/>
        <w:rPr>
          <w:color w:val="000000" w:themeColor="text1"/>
          <w:sz w:val="16"/>
          <w:szCs w:val="16"/>
        </w:rPr>
      </w:pPr>
    </w:p>
    <w:p w14:paraId="22EEF5A3" w14:textId="77777777" w:rsidR="00AC53C1" w:rsidRPr="00E14102" w:rsidRDefault="00AC53C1" w:rsidP="00E14102">
      <w:pPr>
        <w:jc w:val="both"/>
        <w:rPr>
          <w:color w:val="0070C0"/>
          <w:sz w:val="16"/>
          <w:szCs w:val="16"/>
        </w:rPr>
      </w:pPr>
      <w:r w:rsidRPr="00E14102">
        <w:rPr>
          <w:color w:val="0070C0"/>
          <w:sz w:val="16"/>
          <w:szCs w:val="16"/>
        </w:rPr>
        <w:t>В августе 1935 г. ко</w:t>
      </w:r>
      <w:r w:rsidRPr="00E14102">
        <w:rPr>
          <w:color w:val="0070C0"/>
          <w:sz w:val="16"/>
          <w:szCs w:val="16"/>
        </w:rPr>
        <w:softHyphen/>
        <w:t>миссия под руководством Г.А. Прокофьева ос</w:t>
      </w:r>
      <w:r w:rsidRPr="00E14102">
        <w:rPr>
          <w:color w:val="0070C0"/>
          <w:sz w:val="16"/>
          <w:szCs w:val="16"/>
        </w:rPr>
        <w:softHyphen/>
        <w:t>мотрела скафандр Ч-1 Е.Е. Чертовского. Её руководитель был вполне удовлетворён представленным экземпляром, хотя полные испытания последнего не производились. Он представлял собой простой герметичный комбинезон со шлемом, имевшим небольшое остекление для обзора. Его конструкция не имела шарниров, и при его надду</w:t>
      </w:r>
      <w:r w:rsidRPr="00E14102">
        <w:rPr>
          <w:color w:val="0070C0"/>
          <w:sz w:val="16"/>
          <w:szCs w:val="16"/>
        </w:rPr>
        <w:softHyphen/>
        <w:t>ве требовалось большое усилие для сгибания рук и ног.</w:t>
      </w:r>
    </w:p>
    <w:p w14:paraId="44524249" w14:textId="77777777" w:rsidR="00AC53C1" w:rsidRPr="00E14102" w:rsidRDefault="00AC53C1" w:rsidP="00E14102">
      <w:pPr>
        <w:jc w:val="both"/>
        <w:rPr>
          <w:color w:val="0070C0"/>
          <w:sz w:val="16"/>
          <w:szCs w:val="16"/>
        </w:rPr>
      </w:pPr>
      <w:r w:rsidRPr="00E14102">
        <w:rPr>
          <w:color w:val="0070C0"/>
          <w:sz w:val="16"/>
          <w:szCs w:val="16"/>
        </w:rPr>
        <w:t>Е.Е. Чертовской создавал всё более совершен</w:t>
      </w:r>
      <w:r w:rsidRPr="00E14102">
        <w:rPr>
          <w:color w:val="0070C0"/>
          <w:sz w:val="16"/>
          <w:szCs w:val="16"/>
        </w:rPr>
        <w:softHyphen/>
        <w:t>ные конструкции: Ч-2 (1932-1934 гг.), в котором в местах сгиба конечностей использовались шар</w:t>
      </w:r>
      <w:r w:rsidRPr="00E14102">
        <w:rPr>
          <w:color w:val="0070C0"/>
          <w:sz w:val="16"/>
          <w:szCs w:val="16"/>
        </w:rPr>
        <w:softHyphen/>
        <w:t>ниры; Ч-3 (1935-1937 гг.), в котором в 1937 г. ле</w:t>
      </w:r>
      <w:r w:rsidRPr="00E14102">
        <w:rPr>
          <w:color w:val="0070C0"/>
          <w:sz w:val="16"/>
          <w:szCs w:val="16"/>
        </w:rPr>
        <w:softHyphen/>
        <w:t>тал лётчик С.М. Коробов, и за который ЦС Осоа</w:t>
      </w:r>
      <w:r w:rsidRPr="00E14102">
        <w:rPr>
          <w:color w:val="0070C0"/>
          <w:sz w:val="16"/>
          <w:szCs w:val="16"/>
        </w:rPr>
        <w:softHyphen/>
        <w:t>виахима присудил 10 октября 1937 г. конструк</w:t>
      </w:r>
      <w:r w:rsidRPr="00E14102">
        <w:rPr>
          <w:color w:val="0070C0"/>
          <w:sz w:val="16"/>
          <w:szCs w:val="16"/>
        </w:rPr>
        <w:softHyphen/>
        <w:t>тору премию за решение проблемы подвижности скафандра; Ч-4 (1938 г.), Ч-5 (1939 г.), Ч-6 и Ч-7 (оба 1940 г.) (20120).</w:t>
      </w:r>
    </w:p>
    <w:p w14:paraId="22C5BCB8" w14:textId="77777777" w:rsidR="00AC53C1" w:rsidRPr="00E14102" w:rsidRDefault="00AC53C1" w:rsidP="00E14102">
      <w:pPr>
        <w:jc w:val="both"/>
        <w:rPr>
          <w:color w:val="0070C0"/>
          <w:sz w:val="16"/>
          <w:szCs w:val="16"/>
        </w:rPr>
      </w:pPr>
    </w:p>
    <w:p w14:paraId="52D191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ГУ Авиапрома провело совещание ГК, которое констатировало наши успехи. Начальник Главка Г.Н.Королев указал, что даже в Америке образцы истребителей хуже (228,112).</w:t>
      </w:r>
    </w:p>
    <w:p w14:paraId="4CC7F8B3" w14:textId="77777777" w:rsidR="00D4105E" w:rsidRPr="00E14102" w:rsidRDefault="00D4105E" w:rsidP="00E14102">
      <w:pPr>
        <w:autoSpaceDE w:val="0"/>
        <w:autoSpaceDN w:val="0"/>
        <w:adjustRightInd w:val="0"/>
        <w:jc w:val="both"/>
        <w:rPr>
          <w:color w:val="000000" w:themeColor="text1"/>
          <w:sz w:val="16"/>
          <w:szCs w:val="16"/>
        </w:rPr>
      </w:pPr>
    </w:p>
    <w:p w14:paraId="2E9CC8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г. один из самых известных в то время советских летчиков, входивший в число первых Героев страны, Леваневский предпринял на АНТ-25 неудачную попытку перелета через Северный полюс в Америку. Он совершенно безболезненно перенес это фиаско, более того, в ответ на его резкую критику АНТ-25 Сталин (согласно широко распространенной версии) предложил пилоту поехать в США, подобрать там самолет и осуществить на нем перелет в СССР. Судя по всему, возможность более тесных контактов с США, для чего мог служить и кратчайший воздушный путь, занимала мысли вождя, а Леваневский виделся ему наиболее подходящей для прокладки такого маршрута фигурой. Иначе трудно объяснить произошедшее (5477,27).</w:t>
      </w:r>
    </w:p>
    <w:p w14:paraId="4FB204E3" w14:textId="77777777" w:rsidR="00D4105E" w:rsidRPr="00E14102" w:rsidRDefault="00D4105E" w:rsidP="00E14102">
      <w:pPr>
        <w:autoSpaceDE w:val="0"/>
        <w:autoSpaceDN w:val="0"/>
        <w:adjustRightInd w:val="0"/>
        <w:jc w:val="both"/>
        <w:rPr>
          <w:color w:val="000000" w:themeColor="text1"/>
          <w:sz w:val="16"/>
          <w:szCs w:val="16"/>
        </w:rPr>
      </w:pPr>
    </w:p>
    <w:p w14:paraId="7B7264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состоялся единственный в мире женский групповой перелет Ленинград - Москва на шести АИР-6. Командиром перелета была Агнесса Кадацкая, а одну из машин вела М.Раскова (3550,12).</w:t>
      </w:r>
    </w:p>
    <w:p w14:paraId="6E89AC73" w14:textId="77777777" w:rsidR="00D4105E" w:rsidRPr="00E14102" w:rsidRDefault="00D4105E" w:rsidP="00E14102">
      <w:pPr>
        <w:autoSpaceDE w:val="0"/>
        <w:autoSpaceDN w:val="0"/>
        <w:adjustRightInd w:val="0"/>
        <w:jc w:val="both"/>
        <w:rPr>
          <w:color w:val="000000" w:themeColor="text1"/>
          <w:sz w:val="16"/>
          <w:szCs w:val="16"/>
        </w:rPr>
      </w:pPr>
    </w:p>
    <w:p w14:paraId="32A9AF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были проведены испытания жестких прицепных складывающихся крыльев для парашютиста конструкции Коптева. Каркас из стальных трубок, обтянутых материей. С элеронами (237,175).</w:t>
      </w:r>
    </w:p>
    <w:p w14:paraId="32C1F86A" w14:textId="77777777" w:rsidR="00D4105E" w:rsidRPr="00E14102" w:rsidRDefault="00D4105E" w:rsidP="00E14102">
      <w:pPr>
        <w:autoSpaceDE w:val="0"/>
        <w:autoSpaceDN w:val="0"/>
        <w:adjustRightInd w:val="0"/>
        <w:jc w:val="both"/>
        <w:rPr>
          <w:color w:val="000000" w:themeColor="text1"/>
          <w:sz w:val="16"/>
          <w:szCs w:val="16"/>
        </w:rPr>
      </w:pPr>
    </w:p>
    <w:p w14:paraId="5663DC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г. на полигоне под Ногинском проводили первые заводские испытания боевой вариант пушечного ТБ-3 - "объект Г-52".</w:t>
      </w:r>
    </w:p>
    <w:p w14:paraId="4FFE3E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носовой части его фюзеляжа разместили 76-мм зенитное орудие обр. 1931 г. (в доработанном виде - Г-52/л), а в консолях - по одной полковой пушке обр. 1927 г. (Г-52/к). В крыле пушки крепили к лонжеронам. Крыло дополнительно усилили трубчатыми тягами и дюралевыми профилями. Орудия заряжались вручную. Толщина крыла позволяла артиллеристам находиться у пушек. Только работать им приходилось сидя с вытянутыми ногами, спиной к носку крыла. Снаряды лежали на стойках, прикрепленных к верхним и нижним стрингерам крыла. На каждую пушку имелось 12 снарядов.</w:t>
      </w:r>
    </w:p>
    <w:p w14:paraId="67B796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размещения центральной пушки кабину штурмана перенесли в фюзеляж, к первой задней турели, а нос самолета укоротили и полностью лишили остекления. Ствол проходил по коридору между сиденьями пилотов и торчал на 250 мм наружу. Во время отката дульный срез уходил назад до 4-го шпангоута. Артиллерист располагался в центроплане. Там ему было весьма просторно. Боезапас у центральной пушки был больше, чем у крыльевых - 20 снарядов.</w:t>
      </w:r>
    </w:p>
    <w:p w14:paraId="09152E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сохранял бомбовые кассеты в фюзеляже и мог взять 1000 кг бомб.</w:t>
      </w:r>
    </w:p>
    <w:p w14:paraId="0C9B21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Предполагалось, что группы "летающих батарей" будут идти впереди основного соединения бомбардировщиков и расчищать им дорогу. Залп трех пушек поражал осколками 10000 куб.м - примерно такое пространство занимало звено тогдашних истребителей. Перед ними ставилась также задача уничтожения аэростатов заграждения, либо непосредственно осколочными снарядами, либо перебивая их тросы шрапнелью Гарфа (части которой скреплялись тросиками).</w:t>
      </w:r>
    </w:p>
    <w:p w14:paraId="365BD2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"Летающие батареи" могли использоваться и в обороне. Имея большую дальность стрельбы, они могли стрелять по бомбардировщикам противника из-за пределов эффективного поражения их вооружением. В первую очередь, они могли расстроить боевое построение, после чего вдело вступали обычные истребители или машины, стартовавшие с других ТБ-3 - "летающих авианосцев".</w:t>
      </w:r>
    </w:p>
    <w:p w14:paraId="7BB164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Г-52 мог работать и против наземных целей. Стреляя сверху вниз, он получал преимущества в дальности полета снаряда. Центральная пушка могла поразить цель за 18 км от самолета, не входя в зону стрельбы зенитной артиллерии, обороняющей объект. Конструкторы считали, что целями могут являться аэродромы, корабли, мосты, железнодорожные узлы, нефтепромыслы, города.</w:t>
      </w:r>
    </w:p>
    <w:p w14:paraId="5F76A2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Сначала стреляли на земле. Из экипажа на борту находился только стрелявший, но ко всем креслам привязали по собаке. Опять боялись, что отдача если не разрушит конструкцию, то будет болезненной для людей - ведь новая центральная пушка была гораздо мощнее полковой. Но все прошло нормально. В отчете записали: "Состояние собак - нормальное". И с седьмого выстрела на борту находился полный экипаж - девять человек.</w:t>
      </w:r>
    </w:p>
    <w:p w14:paraId="654FDD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августа сделали первый выстрел в полете. Сделали девять выстрелов по цели на земле (щиту), но ни разу не попали. Стреляли с высоты 600 м с дистанции около 2 км, с пологого пикирования. Впечатление о выстреле: "...самолет испытывает легкое содрогание".</w:t>
      </w:r>
    </w:p>
    <w:p w14:paraId="43F700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Наводка могла осуществляться только разворотом всего самолета, поскольку пушки закрепили неподвижно. Стреляли залпом, а сигналом служило загорание на командном щитке красной лампочки. Неприятным сюрпризом оказался разворот самолета за счет несинхронной стрельбы пушек в крыле: один дернул за шнур чуть раньше, другой - чуть позже. И збавиться от этого при подобной схеме управления огнем было невозможно.</w:t>
      </w:r>
    </w:p>
    <w:p w14:paraId="75ED17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 Г-52 проходил государственные испытания в НИИ ВВС. Там сделали 62 выстрела. Деформаций планера не обнаружили. Общий вывод испытателей гласил: "Проведенные стрельбы на земле и в воздухе показали принципиальную возможность стрельбы из откатных 76-мм пушек (обр. 27 и 31 г.), установленных на самолете ТБ-3, что является первым опытом как у нас в СССР, так и по имеющимся материалам - за границей". В числе недостатков указали на низкую скорострельность (4-5 выстрелов в минуту, при удвоении расчетов - 8-10), невозможность регулировки установки орудий, малый боезапас (Гроховский предлагал сделать "погреба" в бомбоотсеке), несинхронность стрельбы, разные баллистические характеристики пушек (снаряды летели по разным траекториям, и при увеличении дальности стрельбы разброс попаданий значительно увеличивался), отсутствие гильзоулавливателя у зенитной пушки.</w:t>
      </w:r>
    </w:p>
    <w:p w14:paraId="23B957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Теоретики из Военно-воздушной академии уже разрабатывали сценарии возможных боевых операций с применением "летающих батарей". Начальник инженерно-командного факультета писал: "Установка пушки 76 мм калибра с нормальной начальной скоростью открывает новую эру в области вооружения самолетов". Г-52 собирались применять для поддержки воздушных десантов и использовать в качестве подвижных зенитных батарей...В дальнейшем предлагалось сделать пушечные установки подвижными, снабдить артиллеристов дальномерами и полуавтоматическими прицелами, сконструировать прибор для автоматической установки дистанционных трубок. Замахиваясь еще дальше, фантазировали об эскадрах "летающих батарей" с единой системой управления огнем, где флагман бы мог сосредотачивать всю мощь артиллерии соединения на выбранных им целях, непосредственно управляя их орудиями по радио (12036).</w:t>
      </w:r>
    </w:p>
    <w:p w14:paraId="184F1D72" w14:textId="77777777" w:rsidR="00D4105E" w:rsidRPr="00E14102" w:rsidRDefault="00D4105E" w:rsidP="00E14102">
      <w:pPr>
        <w:autoSpaceDE w:val="0"/>
        <w:autoSpaceDN w:val="0"/>
        <w:adjustRightInd w:val="0"/>
        <w:jc w:val="both"/>
        <w:rPr>
          <w:color w:val="000000" w:themeColor="text1"/>
          <w:sz w:val="16"/>
          <w:szCs w:val="16"/>
        </w:rPr>
      </w:pPr>
    </w:p>
    <w:p w14:paraId="2E295D35" w14:textId="77777777" w:rsidR="00647F1E" w:rsidRPr="00E14102" w:rsidRDefault="00647F1E" w:rsidP="00E14102">
      <w:pPr>
        <w:jc w:val="both"/>
        <w:rPr>
          <w:color w:val="000000" w:themeColor="text1"/>
          <w:sz w:val="16"/>
          <w:szCs w:val="16"/>
        </w:rPr>
      </w:pPr>
      <w:r w:rsidRPr="00E14102">
        <w:rPr>
          <w:color w:val="000000" w:themeColor="text1"/>
          <w:sz w:val="16"/>
          <w:szCs w:val="16"/>
        </w:rPr>
        <w:t>В августе 1935 г. Первые заводские испытания Г-52 проводили на полигоне под Ногинском. Сначала опять стреляли на земле. Пушек стало три, из них одна мощная зенитная, так что воздействие на планер самолета резко возросло. Из экипажа на борту находился только стрелявший, но ко всем креслам вновь привязали по собаке. Боялись, что отдача если не разрушит конструкцию, то будет болезненной для людей. Но все прошло нормально. В отчете записали: «Состояние собак - нормальное». И с седьмого выстрела на борту находился полный экипаж - девять человек.</w:t>
      </w:r>
    </w:p>
    <w:p w14:paraId="03E975FA" w14:textId="77777777" w:rsidR="00647F1E" w:rsidRPr="00E14102" w:rsidRDefault="00647F1E" w:rsidP="00E14102">
      <w:pPr>
        <w:jc w:val="both"/>
        <w:rPr>
          <w:color w:val="000000" w:themeColor="text1"/>
          <w:sz w:val="16"/>
          <w:szCs w:val="16"/>
        </w:rPr>
      </w:pPr>
      <w:r w:rsidRPr="00E14102">
        <w:rPr>
          <w:color w:val="000000" w:themeColor="text1"/>
          <w:sz w:val="16"/>
          <w:szCs w:val="16"/>
        </w:rPr>
        <w:lastRenderedPageBreak/>
        <w:t>29 августа произвели первый выстрел в полете. Всего в этот день сделали девять выстрелов по цели на земле (щиту), но ни разу не попали. Стреляли с высоты 600 м с дистанции около 2 км, с пологого пикирования. Впечатление о выстреле: «... самолет испытывает легкое содрогание».</w:t>
      </w:r>
    </w:p>
    <w:p w14:paraId="2E5FA262" w14:textId="77777777" w:rsidR="00647F1E" w:rsidRPr="00E14102" w:rsidRDefault="00647F1E" w:rsidP="00E14102">
      <w:pPr>
        <w:jc w:val="both"/>
        <w:rPr>
          <w:color w:val="000000" w:themeColor="text1"/>
          <w:sz w:val="16"/>
          <w:szCs w:val="16"/>
        </w:rPr>
      </w:pPr>
      <w:r w:rsidRPr="00E14102">
        <w:rPr>
          <w:color w:val="000000" w:themeColor="text1"/>
          <w:sz w:val="16"/>
          <w:szCs w:val="16"/>
        </w:rPr>
        <w:t>Наводка могла осуществляться только разворотом всего самолета, поскольку пушки закрепили непод</w:t>
      </w:r>
      <w:r w:rsidRPr="00E14102">
        <w:rPr>
          <w:color w:val="000000" w:themeColor="text1"/>
          <w:sz w:val="16"/>
          <w:szCs w:val="16"/>
        </w:rPr>
        <w:softHyphen/>
        <w:t>вижно. Но ТБ-3 - не истре</w:t>
      </w:r>
      <w:r w:rsidRPr="00E14102">
        <w:rPr>
          <w:color w:val="000000" w:themeColor="text1"/>
          <w:sz w:val="16"/>
          <w:szCs w:val="16"/>
        </w:rPr>
        <w:softHyphen/>
        <w:t>битель, а машина довольно инертная. Устойчивость на курсе - это хорошо, цель не уйдет из прицела. Но и прицелиться такой махиной нелегко, поскольку реакция на работу рулей медленная.</w:t>
      </w:r>
    </w:p>
    <w:p w14:paraId="25E543AC" w14:textId="77777777" w:rsidR="00647F1E" w:rsidRPr="00E14102" w:rsidRDefault="00647F1E" w:rsidP="00E14102">
      <w:pPr>
        <w:jc w:val="both"/>
        <w:rPr>
          <w:color w:val="000000" w:themeColor="text1"/>
          <w:sz w:val="16"/>
          <w:szCs w:val="16"/>
        </w:rPr>
      </w:pPr>
      <w:r w:rsidRPr="00E14102">
        <w:rPr>
          <w:color w:val="000000" w:themeColor="text1"/>
          <w:sz w:val="16"/>
          <w:szCs w:val="16"/>
        </w:rPr>
        <w:t>Стреляли пушки, как обычная артиллерийская батарея на земле, залпом по команде. Сигналом служило загорание на командном щитке красной лампочки. Только вот земной шар куда увесистее ТБ-3. Неприятным сюрпризом оказался разворот самолета за счет несинхронной стрельбы пушек в крыле - один артиллерист дернул за шнур чуть раньше, другой - чуть позже. Избавиться от этого при подобной схеме управления огнем было невозможно (12613).</w:t>
      </w:r>
    </w:p>
    <w:p w14:paraId="6761EE8E" w14:textId="77777777" w:rsidR="00647F1E" w:rsidRPr="00E14102" w:rsidRDefault="00647F1E" w:rsidP="00E14102">
      <w:pPr>
        <w:jc w:val="both"/>
        <w:rPr>
          <w:color w:val="000000" w:themeColor="text1"/>
          <w:sz w:val="16"/>
          <w:szCs w:val="16"/>
        </w:rPr>
      </w:pPr>
    </w:p>
    <w:p w14:paraId="3309AB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г. в Арту правлении РККА утвердили документацию на ФАБ-250св из сталей более дешевых марок с изменениями для серийного производства авиабомб, присвоив им номер чертежа 3-1531 (7453).</w:t>
      </w:r>
    </w:p>
    <w:p w14:paraId="15169ED6" w14:textId="77777777" w:rsidR="00D4105E" w:rsidRPr="00E14102" w:rsidRDefault="00D4105E" w:rsidP="00E14102">
      <w:pPr>
        <w:autoSpaceDE w:val="0"/>
        <w:autoSpaceDN w:val="0"/>
        <w:adjustRightInd w:val="0"/>
        <w:jc w:val="both"/>
        <w:rPr>
          <w:color w:val="000000" w:themeColor="text1"/>
          <w:sz w:val="16"/>
          <w:szCs w:val="16"/>
        </w:rPr>
      </w:pPr>
    </w:p>
    <w:p w14:paraId="1FD840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в Ленинграде проводилась контрольная буксировка ПТ без отцепления за самолетом Р-5. Для полномасштабных летных испытаний ПТ в качестве самолета-матки были выделены два самолета — ТБ-3 и М-17, под каждым крылом которых смонтировали специальные держатели. Экспериментальная база ПТ размещалась в районе Новгорода на аэродроме в Кречевицах. На расположенном рядом озере проходили буксировочные испытания торпеды на воде с подлетом на небольшую высоту на буксире за самолетом Р-6. и отчете, составленном по их результату, говорилось: "Планер N3 с реданом (уступом на днище) сцеплен тросом 120 м с самолетом Р-6 (АНТ-7). При пробежке на буксире планер показал хорошие мореходность на волне и управляемость, что дало возможность держаться не в струе самолета, а в стороне. Планер на скорости 95-100 км/ ч был два раза оторван от воды. На третьем отрыве произвел отцепление от самолета, посадка нормальная. Самолет-буксировщик вел летчик Бирбуц, а планер пилотировал летчик-испытатель НИМТИ Иванов. Можно с полным основанием считать, что эти испытания стали первыми в нашей стране. Нет сведений и о мировой практике буксировки и взлета планера с воды при нагрузке 75 кг на 1 кв. м несущей поверхности" (10223).</w:t>
      </w:r>
    </w:p>
    <w:p w14:paraId="462F3049" w14:textId="77777777" w:rsidR="00D4105E" w:rsidRPr="00E14102" w:rsidRDefault="00D4105E" w:rsidP="00E14102">
      <w:pPr>
        <w:autoSpaceDE w:val="0"/>
        <w:autoSpaceDN w:val="0"/>
        <w:adjustRightInd w:val="0"/>
        <w:jc w:val="both"/>
        <w:rPr>
          <w:color w:val="000000" w:themeColor="text1"/>
          <w:sz w:val="16"/>
          <w:szCs w:val="16"/>
        </w:rPr>
      </w:pPr>
    </w:p>
    <w:p w14:paraId="1B5C4C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в Ленинграде проводилась контрольная буксировка ПТ без отцепления за самолетом Р-5. Для полномасштабных летных испытаний ПТ в качестве самолета-матки были выделены два самолета — ТБ-3 и М-17, под каждым крылом которых смонтировали специальные держатели. Экспериментальная база ПТ размещалась в районе Новгорода на аэродроме в Кречевицах. На расположенном рядом озере проходили буксировочные испытания торпеды на воде с подлетом на небольшую высоту на буксире за самолетом Р-6. и отчете, составленном по их результату, говорилось: "Планер N3 с реданом (уступом на днище) сцеплен тросом 120 м с самолетом Р-6 (АНТ-7). При пробежке на буксире планер показал хорошие мореходность на волне и управляемость, что дало возможность держаться не в струе самолета, а в стороне. Планер на скорости 95-100 км/ ч был два раза оторван от воды. На третьем отрыве произвел отцепление от самолета, посадка нормальная. Самолет-буксировщик вел летчик Бирбуц, а планер пилотировал летчик-испытатель НИМТИ Иванов. Можно с полным основанием считать, что эти испытания стали первыми в нашей стране. Нет сведений и о мировой практике буксировки и взлета планера с воды при нагрузке 75 кг на 1 кв. м несущей поверхности" (12040).</w:t>
      </w:r>
    </w:p>
    <w:p w14:paraId="3EFACD48" w14:textId="77777777" w:rsidR="00D4105E" w:rsidRPr="00E14102" w:rsidRDefault="00D4105E" w:rsidP="00E14102">
      <w:pPr>
        <w:autoSpaceDE w:val="0"/>
        <w:autoSpaceDN w:val="0"/>
        <w:adjustRightInd w:val="0"/>
        <w:jc w:val="both"/>
        <w:rPr>
          <w:color w:val="000000" w:themeColor="text1"/>
          <w:sz w:val="16"/>
          <w:szCs w:val="16"/>
        </w:rPr>
      </w:pPr>
    </w:p>
    <w:p w14:paraId="36A20C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в Ленинграде провели летные испытания без отцепления от самолета Р-5 гидропланеров, названные ПСН-1 (планер специального назначения (3861).</w:t>
      </w:r>
    </w:p>
    <w:p w14:paraId="01BB5148" w14:textId="77777777" w:rsidR="00D4105E" w:rsidRPr="00E14102" w:rsidRDefault="00D4105E" w:rsidP="00E14102">
      <w:pPr>
        <w:autoSpaceDE w:val="0"/>
        <w:autoSpaceDN w:val="0"/>
        <w:adjustRightInd w:val="0"/>
        <w:jc w:val="both"/>
        <w:rPr>
          <w:color w:val="000000" w:themeColor="text1"/>
          <w:sz w:val="16"/>
          <w:szCs w:val="16"/>
        </w:rPr>
      </w:pPr>
    </w:p>
    <w:p w14:paraId="173F99C0" w14:textId="77777777" w:rsidR="009755AC" w:rsidRPr="00E14102" w:rsidRDefault="009755AC" w:rsidP="00E14102">
      <w:pPr>
        <w:jc w:val="both"/>
        <w:rPr>
          <w:color w:val="000000" w:themeColor="text1"/>
          <w:sz w:val="16"/>
          <w:szCs w:val="16"/>
        </w:rPr>
      </w:pPr>
      <w:r w:rsidRPr="00E14102">
        <w:rPr>
          <w:color w:val="000000" w:themeColor="text1"/>
          <w:sz w:val="16"/>
          <w:szCs w:val="16"/>
        </w:rPr>
        <w:t>В августе 1935-го состоялся единственный в мире женский групповой перелет по маршруту Ленинград-Москва на шести АИР-6. Командиром перелета была Агнесса Кадацкая. Один из самолетов вела Марина Раскова. В следующем месяце - большой круговой перелет (протяженность 5500 км) легких самолетов аэроклубной авиации, завершавший всесоюзный конкурс легких самолетов. Среди них шесть АИР-6. Подобные мероприятия с участием АИР-6 продолжались до 1937-го (15727).</w:t>
      </w:r>
    </w:p>
    <w:p w14:paraId="7DFA1E2F" w14:textId="77777777" w:rsidR="009755AC" w:rsidRPr="00E14102" w:rsidRDefault="009755AC" w:rsidP="00E14102">
      <w:pPr>
        <w:jc w:val="both"/>
        <w:rPr>
          <w:color w:val="000000" w:themeColor="text1"/>
          <w:sz w:val="16"/>
          <w:szCs w:val="16"/>
        </w:rPr>
      </w:pPr>
    </w:p>
    <w:p w14:paraId="0A29EC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августе 1935 г. состоялись испытания первого варианта 245-мм ракетного снаряда РФС-245 фугасного действия модели 130500. Из отчета, подписанного ВРИД начальника РНИИ Г.Э.Лангемаком, начальником отдела ЮА.Победоносцевым и ведущим инженером Л.ПЛобачевым, узнаем, что проведенные в конце 1934 г. предварительные испытания снарядов 245-мм калибра «выявили надежность их конструкции и возможность применения для вооружения как самолета, так и морских . военных судов». В АУ РККА предложили РНИИ разработать и испытать РФС-245. В основу проекта легли ТТТ: максимальная скорость - не менее 300 .м/с; точность стрельбы на дистанции 7000м - не менее 1/120.</w:t>
      </w:r>
    </w:p>
    <w:p w14:paraId="0565D7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слагалась из проектирования, проведения опытных предвари</w:t>
      </w:r>
      <w:r w:rsidRPr="00E14102">
        <w:rPr>
          <w:color w:val="000000" w:themeColor="text1"/>
          <w:sz w:val="16"/>
          <w:szCs w:val="16"/>
        </w:rPr>
        <w:softHyphen/>
        <w:t>тельных испытаний, проверки и уточнения как внутренней, так и внеш</w:t>
      </w:r>
      <w:r w:rsidRPr="00E14102">
        <w:rPr>
          <w:color w:val="000000" w:themeColor="text1"/>
          <w:sz w:val="16"/>
          <w:szCs w:val="16"/>
        </w:rPr>
        <w:softHyphen/>
        <w:t>ней баллистики, а также проверки прочности конструкции. Таким образом, 29 мая 1935 г. с целью определения устойчивости полета снаряда и прочности стабилизирующего приспособления, на Софринском полигоне провели опытные испытания стрельбой трех снарядов РФС-245.</w:t>
      </w:r>
    </w:p>
    <w:p w14:paraId="2EFC383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результате выяснилось, что лопасти стабилизаторов из 2-мм листовой стали для данной конструкции недостаточно прочны. При стрельбе с утлом возвышения 40° по восходящей траектории в конце сгорания РЗ лопасти стабилизатора скручивались, снаряд терял устойчивость и падал на расстоянии около 2,5 км от орудия (11402).</w:t>
      </w:r>
    </w:p>
    <w:p w14:paraId="1D05A2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 июня 1935 госиспытания, к которым были приготовлены три снаряда РФС-245 с лопа</w:t>
      </w:r>
      <w:r w:rsidRPr="00E14102">
        <w:rPr>
          <w:color w:val="000000" w:themeColor="text1"/>
          <w:sz w:val="16"/>
          <w:szCs w:val="16"/>
        </w:rPr>
        <w:softHyphen/>
        <w:t>стями стабилизатора из листовой стали толщиной 4 мм, показали вполне удовлетворительную их прочность. При вылете снаряды «имели правильный устойчивый полет». Дальность стрельбы составила около 8200 м.</w:t>
      </w:r>
    </w:p>
    <w:p w14:paraId="7C3219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Одновременно в обоих испытаниях с целью выяснения силы и хара</w:t>
      </w:r>
      <w:r w:rsidRPr="00E14102">
        <w:rPr>
          <w:color w:val="000000" w:themeColor="text1"/>
          <w:sz w:val="16"/>
          <w:szCs w:val="16"/>
        </w:rPr>
        <w:softHyphen/>
        <w:t>ктера действия газовой струи из сопла на окружающие предметы, провели опыты с фанерным шитом. Над орудием, параллельно его оси уста</w:t>
      </w:r>
      <w:r w:rsidRPr="00E14102">
        <w:rPr>
          <w:color w:val="000000" w:themeColor="text1"/>
          <w:sz w:val="16"/>
          <w:szCs w:val="16"/>
        </w:rPr>
        <w:softHyphen/>
        <w:t>навливали на четырех столбах фанерный щит. В первом случае - на расстоянии 130 см. После двух выстрелов повреждений щита не обнаруже</w:t>
      </w:r>
      <w:r w:rsidRPr="00E14102">
        <w:rPr>
          <w:color w:val="000000" w:themeColor="text1"/>
          <w:sz w:val="16"/>
          <w:szCs w:val="16"/>
        </w:rPr>
        <w:softHyphen/>
        <w:t>но. Тогда расстояние до орудия уменьшили до 80 см. Как и в первом слу</w:t>
      </w:r>
      <w:r w:rsidRPr="00E14102">
        <w:rPr>
          <w:color w:val="000000" w:themeColor="text1"/>
          <w:sz w:val="16"/>
          <w:szCs w:val="16"/>
        </w:rPr>
        <w:softHyphen/>
        <w:t>чае, повреждений после выстрела не обнаружили. При повторных испытаниях 28 июня тот же фанерный щит установили в 50 см от оси орудия, этом случае при первом же выстреле газами шит разрушило.</w:t>
      </w:r>
    </w:p>
    <w:p w14:paraId="2912F0C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настоящее время для продолжения испытаний десять боеприпасов изготовлены в мастерской Ленинградского военно-морского инженер</w:t>
      </w:r>
      <w:r w:rsidRPr="00E14102">
        <w:rPr>
          <w:color w:val="000000" w:themeColor="text1"/>
          <w:sz w:val="16"/>
          <w:szCs w:val="16"/>
        </w:rPr>
        <w:softHyphen/>
        <w:t>ного училища ЛВМИУ. Лопасти стабилизатора к ним изготовлены в ма</w:t>
      </w:r>
      <w:r w:rsidRPr="00E14102">
        <w:rPr>
          <w:color w:val="000000" w:themeColor="text1"/>
          <w:sz w:val="16"/>
          <w:szCs w:val="16"/>
        </w:rPr>
        <w:softHyphen/>
        <w:t>врских РНИИ из листовой стати толщиной 4 мм.</w:t>
      </w:r>
    </w:p>
    <w:p w14:paraId="56AB0E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итогам этих испытаний начальник 4 отдела АВ ВВС РККА воеинженер 1 ранга Э.К.Ларман и инженер высшей категории 4 отдела АВ РККА Л.П.Лобачев составили краткие ТТТ на разработку РС-203 фугасно-осколочного действия. Основное назначение боеприпаса — подавление соединений легкой и тяжелой бомбардировочной авиации противника в воздухе. Вспомогательное — обстрел земных объектов, не про</w:t>
      </w:r>
      <w:r w:rsidRPr="00E14102">
        <w:rPr>
          <w:color w:val="000000" w:themeColor="text1"/>
          <w:sz w:val="16"/>
          <w:szCs w:val="16"/>
        </w:rPr>
        <w:softHyphen/>
        <w:t>ходя над ними, и прорыв заграждения оборонных пунктов из аэростатов.</w:t>
      </w:r>
    </w:p>
    <w:p w14:paraId="7B64B85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Соотношение ВВ и металла мог выбрать конструктор, но оно должно быть таковым, чтобы при взрыве снаряда в радиусе 20 м от любой точки корабля типа ТБ-ЗРН, самолет не мог бы продолжать дальнейший полет. Максимальная скорость снаряда должна была быть в пределах 350-380 м/с. Вероятное отклонение на предельной дальности -не более 1/100 ди</w:t>
      </w:r>
      <w:r w:rsidRPr="00E14102">
        <w:rPr>
          <w:color w:val="000000" w:themeColor="text1"/>
          <w:sz w:val="16"/>
          <w:szCs w:val="16"/>
        </w:rPr>
        <w:softHyphen/>
        <w:t>станции стрельбы.</w:t>
      </w:r>
    </w:p>
    <w:p w14:paraId="6202212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Воспламенять РЗ требовалось от принятого на вооружение ВВС РККА пиропатрона. Разрешалось применять и воспламенители других типов из числа состоящих на вооружении РККА. Выстрел должен был «производиться в результате посылки электротока в пиропатрон нажати</w:t>
      </w:r>
      <w:r w:rsidRPr="00E14102">
        <w:rPr>
          <w:color w:val="000000" w:themeColor="text1"/>
          <w:sz w:val="16"/>
          <w:szCs w:val="16"/>
        </w:rPr>
        <w:softHyphen/>
        <w:t>ем кнопки, установленной на РУС», а разрыв РС - от головного дистан</w:t>
      </w:r>
      <w:r w:rsidRPr="00E14102">
        <w:rPr>
          <w:color w:val="000000" w:themeColor="text1"/>
          <w:sz w:val="16"/>
          <w:szCs w:val="16"/>
        </w:rPr>
        <w:softHyphen/>
        <w:t>ционного взрывателя с мгновенным действием.</w:t>
      </w:r>
    </w:p>
    <w:p w14:paraId="06BEAC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Выбор материала для изготовления РС предоставлялся конструктору. Причем, камера двигателя не должна была иметь остаточных деформа</w:t>
      </w:r>
      <w:r w:rsidRPr="00E14102">
        <w:rPr>
          <w:color w:val="000000" w:themeColor="text1"/>
          <w:sz w:val="16"/>
          <w:szCs w:val="16"/>
        </w:rPr>
        <w:softHyphen/>
        <w:t>ций после гидростатических испытаний давлением, 1,2-кратным от мак</w:t>
      </w:r>
      <w:r w:rsidRPr="00E14102">
        <w:rPr>
          <w:color w:val="000000" w:themeColor="text1"/>
          <w:sz w:val="16"/>
          <w:szCs w:val="16"/>
        </w:rPr>
        <w:softHyphen/>
        <w:t>симального расчетного значения. РС-203 должен был допускать хране</w:t>
      </w:r>
      <w:r w:rsidRPr="00E14102">
        <w:rPr>
          <w:color w:val="000000" w:themeColor="text1"/>
          <w:sz w:val="16"/>
          <w:szCs w:val="16"/>
        </w:rPr>
        <w:softHyphen/>
        <w:t>ние в негерметичной укупорке, независимо от атмосферных условии и продолжительности времени хранения. Военные предупреждали, что при разработке основного ТТЗ уточнят выбор типа БЧ снаряда, оконча</w:t>
      </w:r>
      <w:r w:rsidRPr="00E14102">
        <w:rPr>
          <w:color w:val="000000" w:themeColor="text1"/>
          <w:sz w:val="16"/>
          <w:szCs w:val="16"/>
        </w:rPr>
        <w:softHyphen/>
        <w:t>тельный проект снаряда и исследование влияния газовой струи на мат-часть самолета.</w:t>
      </w:r>
    </w:p>
    <w:p w14:paraId="5BF675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Из выделенной для снаряжания боеприпасов партии пороховых шашек марки ПТП габаритами 75/10-92 мм провели три контрольных испытания в опытной 245-мм камере с соплом. Горение РЗ проходило во всех опытах нормально. Снаряжали камеры РЗ в лаборатории на КИАП. 28-шашечный (одна — разрезная). Воспламенитель - из двух навесок по 45 г каждая. В головном очке БЧ устанавливали габаритно-весовой макет взрывателя АПУВ.</w:t>
      </w:r>
    </w:p>
    <w:p w14:paraId="18FE06B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Целью настоящей стрельбы являлось «определение дальности и мет-снарядов при углах возвышения до 40°». Стрельба проходила на из пускового приспособления, установленного на специальном лафете. Под хобот лафета и позади него подкладывали стальные плиты, а под колеса - деревянные бруски. Направляли орудие поначалу артиллерийской буссолью, но из-за несовершенства конструкции, ее заменили оптическим прицелом ПП. Угол возвышения от выстрела к выстрелу контролировали с помощью квадранта.</w:t>
      </w:r>
    </w:p>
    <w:p w14:paraId="6454D0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Воспламеняли РЗ посредством пиропатрона от осветительной элект</w:t>
      </w:r>
      <w:r w:rsidRPr="00E14102">
        <w:rPr>
          <w:color w:val="000000" w:themeColor="text1"/>
          <w:sz w:val="16"/>
          <w:szCs w:val="16"/>
        </w:rPr>
        <w:softHyphen/>
        <w:t>росети. Как и в предварительных испытаниях, провели опыт со шитом, :но из гофрированного дюралюминия толщиной 0,5 мм (по-видимому, это была имитация обшивки планера бомбардировщика ТБ-3. — С.Р.), установленным на расстоянии 80 см от оси орудия. Из 10 отстрелянных снарядов обмерили последние шесть (первые четыре считались пристрелочными). Благодаря создавшемуся большому разрежению, после первого же выстрела алюминиевый шит вдавило по направлению к орудию. После четвертого выстрела шит сорвало со столбов.</w:t>
      </w:r>
    </w:p>
    <w:p w14:paraId="24D1C0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Средняя дальность стрельбы составила 7884 м. Отклонение по дальности — 74,5 м. Отклонение по боковому направлению — 117,9 м.</w:t>
      </w:r>
    </w:p>
    <w:p w14:paraId="1DC99AA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 второго варианта боеприпаса рекомендовали увеличить скорость, нарастив длину РЗ до шести рядов пороховых шашек. Для повышения точности стрельбы и улучшения обтекаемости хвостовой части снаряда необходимо было в дальнейшем перейти на стабилизаторы с приваренными лопастями.</w:t>
      </w:r>
    </w:p>
    <w:p w14:paraId="5A3F3A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Толщина лопастей оперения в 4 мм для боеприпасов модели 130500 оказалась избыточной. В дальнейшем вполне достаточно изготавливать их из стали толщиной 3 мм. Однако, учитывая, что второй вариант снаряда будет обладать большей скоростью, их надлежит изготовить также из стали толщиной не менее 4 мм.</w:t>
      </w:r>
    </w:p>
    <w:p w14:paraId="46BFE2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Опытами было установлено, что газовая струя от РС-245 на гофриро</w:t>
      </w:r>
      <w:r w:rsidRPr="00E14102">
        <w:rPr>
          <w:color w:val="000000" w:themeColor="text1"/>
          <w:sz w:val="16"/>
          <w:szCs w:val="16"/>
        </w:rPr>
        <w:softHyphen/>
        <w:t>ванные дюралюминиевые шиты толщиной 0,5-1 мм на расстоянии 80 см параллельно оси орудия действует разрушающе. Расположение щитов на расстоянии 100 см можно было считать безопасным (11402).</w:t>
      </w:r>
    </w:p>
    <w:p w14:paraId="4A6F96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5F702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В августе 1935 г. под руководством начальника 1 отдела РНИИ Ю.А.Победоносце</w:t>
      </w:r>
      <w:r w:rsidRPr="00E14102">
        <w:rPr>
          <w:color w:val="000000" w:themeColor="text1"/>
          <w:sz w:val="16"/>
          <w:szCs w:val="16"/>
        </w:rPr>
        <w:softHyphen/>
        <w:t>ва и ведущего инженера 1 отдела РНИИ М.Б.Новикова прошли полигонные испытания ТРС и ракетного орудия. В ходе его опре</w:t>
      </w:r>
      <w:r w:rsidRPr="00E14102">
        <w:rPr>
          <w:color w:val="000000" w:themeColor="text1"/>
          <w:sz w:val="16"/>
          <w:szCs w:val="16"/>
        </w:rPr>
        <w:softHyphen/>
        <w:t>делили баллистические качества снаряда: высоту подъема, высоту трас</w:t>
      </w:r>
      <w:r w:rsidRPr="00E14102">
        <w:rPr>
          <w:color w:val="000000" w:themeColor="text1"/>
          <w:sz w:val="16"/>
          <w:szCs w:val="16"/>
        </w:rPr>
        <w:softHyphen/>
        <w:t>сы, правильность полета и пр. Четыре снаряда отстреляли при углах воз</w:t>
      </w:r>
      <w:r w:rsidRPr="00E14102">
        <w:rPr>
          <w:color w:val="000000" w:themeColor="text1"/>
          <w:sz w:val="16"/>
          <w:szCs w:val="16"/>
        </w:rPr>
        <w:softHyphen/>
        <w:t>вышения ракетного орудия порядка 85-90°. У двух из них цвет трассы был синим, у остальных — желтым. Высота трассы составила 440-500 м, время спуска с парашютом - 74-80 с, стабильность трассы — 4,4-5,0 с.</w:t>
      </w:r>
    </w:p>
    <w:p w14:paraId="60238A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 - снаряд модели 141000 полностью удовлетворил ТТТ. Задача создания снаряда для ускоренной топографической подготовки в дневное время в основном была решена — последнее слово оставалось за вой</w:t>
      </w:r>
      <w:r w:rsidRPr="00E14102">
        <w:rPr>
          <w:color w:val="000000" w:themeColor="text1"/>
          <w:sz w:val="16"/>
          <w:szCs w:val="16"/>
        </w:rPr>
        <w:softHyphen/>
        <w:t>сковыми испытаниями, которые должны были провести специалисты 7-го управления Штаба РККА (11402).</w:t>
      </w:r>
    </w:p>
    <w:p w14:paraId="4E841D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FDF133E" w14:textId="77777777" w:rsidR="009755AC" w:rsidRPr="00E14102" w:rsidRDefault="009755AC" w:rsidP="00E14102">
      <w:pPr>
        <w:jc w:val="both"/>
        <w:rPr>
          <w:color w:val="0070C0"/>
          <w:sz w:val="16"/>
          <w:szCs w:val="16"/>
        </w:rPr>
      </w:pPr>
      <w:r w:rsidRPr="00E14102">
        <w:rPr>
          <w:color w:val="0070C0"/>
          <w:sz w:val="16"/>
          <w:szCs w:val="16"/>
        </w:rPr>
        <w:t>В августе 1935 г. выходит приказ М.Н. Тухачевского об организации при Артиллерийском управлении РККА конструкторской группы Л.К. Корнеева (в дальнейшем КБ-7).</w:t>
      </w:r>
    </w:p>
    <w:p w14:paraId="3BF21FAB" w14:textId="77777777" w:rsidR="009755AC" w:rsidRPr="00E14102" w:rsidRDefault="009755AC" w:rsidP="00E14102">
      <w:pPr>
        <w:jc w:val="both"/>
        <w:rPr>
          <w:color w:val="0070C0"/>
          <w:sz w:val="16"/>
          <w:szCs w:val="16"/>
        </w:rPr>
      </w:pPr>
      <w:r w:rsidRPr="00E14102">
        <w:rPr>
          <w:color w:val="0070C0"/>
          <w:sz w:val="16"/>
          <w:szCs w:val="16"/>
        </w:rPr>
        <w:t>Л.К. Корнеев, например, не пожелал работать «под Глушко», уволился, попытался создать собственное КБ, вместе с разочарованным в работе РНИИ А.И. Полярным он добивается разрешения на конструкцию собственной жидкостной ракеты «КПД-1» с дальностью полета до 25 км.</w:t>
      </w:r>
    </w:p>
    <w:p w14:paraId="52B5BD69" w14:textId="77777777" w:rsidR="009755AC" w:rsidRPr="00E14102" w:rsidRDefault="009755AC" w:rsidP="00E14102">
      <w:pPr>
        <w:jc w:val="both"/>
        <w:rPr>
          <w:color w:val="0070C0"/>
          <w:sz w:val="16"/>
          <w:szCs w:val="16"/>
        </w:rPr>
      </w:pPr>
      <w:r w:rsidRPr="00E14102">
        <w:rPr>
          <w:color w:val="0070C0"/>
          <w:sz w:val="16"/>
          <w:szCs w:val="16"/>
        </w:rPr>
        <w:t>Уже через год стало ясно, что самостоятельно из-за слабой материальной базы и отсутствия оригинальных технических идей КБ-7 работать не может. Из 4 приготовленных к запуску ракет, две были на твердом топливе, отработанном еще в ГДЛ, а две на жидком топливе к запуску не годились, и КБ-7 было ликвидировано (22685).</w:t>
      </w:r>
    </w:p>
    <w:p w14:paraId="21303A44" w14:textId="77777777" w:rsidR="009755AC" w:rsidRPr="00E14102" w:rsidRDefault="009755AC" w:rsidP="00E14102">
      <w:pPr>
        <w:jc w:val="both"/>
        <w:rPr>
          <w:color w:val="0070C0"/>
          <w:sz w:val="16"/>
          <w:szCs w:val="16"/>
        </w:rPr>
      </w:pPr>
    </w:p>
    <w:p w14:paraId="177E5EC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60623EC" w14:textId="77777777" w:rsidR="00D4105E" w:rsidRPr="00E14102" w:rsidRDefault="00D4105E" w:rsidP="00E14102">
      <w:pPr>
        <w:autoSpaceDE w:val="0"/>
        <w:autoSpaceDN w:val="0"/>
        <w:adjustRightInd w:val="0"/>
        <w:jc w:val="both"/>
        <w:rPr>
          <w:iCs/>
          <w:color w:val="000000" w:themeColor="text1"/>
          <w:sz w:val="16"/>
          <w:szCs w:val="16"/>
        </w:rPr>
      </w:pPr>
    </w:p>
    <w:p w14:paraId="34621DDE" w14:textId="77777777" w:rsidR="009755AC" w:rsidRPr="00E14102" w:rsidRDefault="009755AC" w:rsidP="00E14102">
      <w:pPr>
        <w:pStyle w:val="Default"/>
        <w:jc w:val="both"/>
        <w:rPr>
          <w:color w:val="0070C0"/>
          <w:sz w:val="16"/>
          <w:szCs w:val="16"/>
        </w:rPr>
      </w:pPr>
      <w:r w:rsidRPr="00E14102">
        <w:rPr>
          <w:color w:val="0070C0"/>
          <w:sz w:val="16"/>
          <w:szCs w:val="16"/>
        </w:rPr>
        <w:t xml:space="preserve">В августе 1935 г., в соответствии с договором, заключенным СКБ Шавырина с ХИМУ РККА, Бюро был представлен проект нового 107-мм химического миномета (Ш-10), который был утвержден заказчиком. Эта работа проводилась после личного обращения Б. И. Шавырина в июле 1935 г. к руководству ХИМУ РККА, по распоряжению которого через НИХИ РККА были выделены средства на изготовление опытного образца.430 Тогда же были назначены первые испытания новой системы на выявление надежности, определение предельной дальности и меткости системы.431 </w:t>
      </w:r>
    </w:p>
    <w:p w14:paraId="33209462" w14:textId="77777777" w:rsidR="009755AC" w:rsidRPr="00E14102" w:rsidRDefault="009755AC" w:rsidP="00E14102">
      <w:pPr>
        <w:autoSpaceDE w:val="0"/>
        <w:autoSpaceDN w:val="0"/>
        <w:adjustRightInd w:val="0"/>
        <w:jc w:val="both"/>
        <w:rPr>
          <w:color w:val="0070C0"/>
          <w:sz w:val="16"/>
          <w:szCs w:val="16"/>
        </w:rPr>
      </w:pPr>
      <w:r w:rsidRPr="00E14102">
        <w:rPr>
          <w:color w:val="0070C0"/>
          <w:sz w:val="16"/>
          <w:szCs w:val="16"/>
        </w:rPr>
        <w:t xml:space="preserve">Ее опытный образец был изготовлен на харьковском заводе «Красный Октябрь» в августе 1935 г. Во время изготовления опытного образца выявилась необходимость небольших конструктивных доработок. Например, при участии Научно-исследовательского института резиновой промышленности (НИИРП) были спроектированы новые колеса с резиновым наполнителем, проработаны допуски на новые узлы системы и т.д. Колеса для опытного образца 107-ХМ-Ш-10 (2 шт. мотоциклетного типа) были заказаны на Ленинградском заводе «Красный Октябрь».432 </w:t>
      </w:r>
    </w:p>
    <w:p w14:paraId="03E93910" w14:textId="77777777" w:rsidR="009755AC" w:rsidRPr="00E14102" w:rsidRDefault="009755AC" w:rsidP="00E14102">
      <w:pPr>
        <w:jc w:val="both"/>
        <w:rPr>
          <w:rFonts w:eastAsia="TimesNewRomanPSMT"/>
          <w:color w:val="0070C0"/>
          <w:sz w:val="16"/>
          <w:szCs w:val="16"/>
        </w:rPr>
      </w:pPr>
      <w:r w:rsidRPr="00E14102">
        <w:rPr>
          <w:color w:val="0070C0"/>
          <w:sz w:val="16"/>
          <w:szCs w:val="16"/>
        </w:rPr>
        <w:t>Общий вес 107-ХМ-Ш-10 составлял 149,8 кг (ствол, подставка, опорная плита, колесный ход). Система обеспечивала углы возвышения от 37° до 48°, гнездо плиты допускало горизонтальное вращение ствола на 48°.433 (20074).</w:t>
      </w:r>
    </w:p>
    <w:p w14:paraId="253EDCE7" w14:textId="77777777" w:rsidR="009755AC" w:rsidRPr="00E14102" w:rsidRDefault="009755AC" w:rsidP="00E14102">
      <w:pPr>
        <w:jc w:val="both"/>
        <w:rPr>
          <w:rFonts w:eastAsia="TimesNewRomanPSMT"/>
          <w:color w:val="0070C0"/>
          <w:sz w:val="16"/>
          <w:szCs w:val="16"/>
        </w:rPr>
      </w:pPr>
    </w:p>
    <w:p w14:paraId="149D00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года неподалеку от Петропавловской крепости по Неве плыла семерка танков. Вся семерка круто повернула к берегу, и через несколько минут бронированные амфибии уже стояли на прибрежном песке. Так завершился 600-километровый испытательный переход плавающих танков Т-37 по рекам Луга, Шелонь, озеру Ильмень и далее по Новоладожскому каналу и Неве. Многокилометровый пробег в полной мере подтвердил высокую надежность и высокие ходовые качества амфибии при движении как по суше, так и по воде и существенно ускорил дальнейшее совершенствование машин этого типа (9635).</w:t>
      </w:r>
    </w:p>
    <w:p w14:paraId="6630EFC6" w14:textId="77777777" w:rsidR="00D4105E" w:rsidRPr="00E14102" w:rsidRDefault="00D4105E" w:rsidP="00E14102">
      <w:pPr>
        <w:autoSpaceDE w:val="0"/>
        <w:autoSpaceDN w:val="0"/>
        <w:adjustRightInd w:val="0"/>
        <w:jc w:val="both"/>
        <w:rPr>
          <w:color w:val="000000" w:themeColor="text1"/>
          <w:sz w:val="16"/>
          <w:szCs w:val="16"/>
        </w:rPr>
      </w:pPr>
    </w:p>
    <w:p w14:paraId="405BD128" w14:textId="77777777" w:rsidR="009E0126" w:rsidRPr="00E14102" w:rsidRDefault="009E0126" w:rsidP="00E14102">
      <w:pPr>
        <w:jc w:val="both"/>
        <w:rPr>
          <w:color w:val="000000" w:themeColor="text1"/>
          <w:sz w:val="16"/>
          <w:szCs w:val="16"/>
        </w:rPr>
      </w:pPr>
      <w:r w:rsidRPr="00E14102">
        <w:rPr>
          <w:color w:val="000000" w:themeColor="text1"/>
          <w:sz w:val="16"/>
          <w:szCs w:val="16"/>
        </w:rPr>
        <w:t>В августе 1935 г. 6</w:t>
      </w:r>
      <w:r w:rsidRPr="00E14102">
        <w:rPr>
          <w:color w:val="000000" w:themeColor="text1"/>
          <w:sz w:val="16"/>
          <w:szCs w:val="16"/>
        </w:rPr>
        <w:noBreakHyphen/>
        <w:t>м Главным управлением НКОП был заключен Договор с фирмой “Линде” (Германия) сроком на 3 года на поставку и монтаж оборудования по разделению газов пиролиза нефти. В СССР такой установки не имеется. Гарантийный срок истекает в августе-сентябре 1938 г., между тем монтаж установки преступно затянулся и будет закончен только в IV квартале 1938 г. В целях освоения этого важного производства, проверки качества поставленного оборудования и работы всей установки договор необходимо продлить, обязав НКОП предъявить фирме претензии за недоброкачественную упаковку поставленного оборудования (17783).</w:t>
      </w:r>
    </w:p>
    <w:p w14:paraId="1D73C646" w14:textId="77777777" w:rsidR="009E0126" w:rsidRPr="00E14102" w:rsidRDefault="009E0126" w:rsidP="00E14102">
      <w:pPr>
        <w:jc w:val="both"/>
        <w:rPr>
          <w:color w:val="000000" w:themeColor="text1"/>
          <w:sz w:val="16"/>
          <w:szCs w:val="16"/>
        </w:rPr>
      </w:pPr>
    </w:p>
    <w:p w14:paraId="7D8A1D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г. были изготовлены два образца приборов вилочной регенеративной трансляции, в качестве прототипа для которой был использован аналогичный американский образец. Однако из-за внесения в них изменений изготовление рабочих чертежей и выпуск первой серийной партии в количестве пятнадцати изделий затянулось до августа 1936 г. Новые трансляции отличались от ранее производившихся тем, что позволяли не только увеличивать дальность телеграфной передачи, но и исправлять искажен ные линиями сигналы (ЦГАИПД СПб., ф. 24, оп. 13, д. 802, л. 25.) (11870).</w:t>
      </w:r>
    </w:p>
    <w:p w14:paraId="369F9E27" w14:textId="77777777" w:rsidR="00D4105E" w:rsidRPr="00E14102" w:rsidRDefault="00D4105E" w:rsidP="00E14102">
      <w:pPr>
        <w:autoSpaceDE w:val="0"/>
        <w:autoSpaceDN w:val="0"/>
        <w:adjustRightInd w:val="0"/>
        <w:jc w:val="both"/>
        <w:rPr>
          <w:color w:val="000000" w:themeColor="text1"/>
          <w:sz w:val="16"/>
          <w:szCs w:val="16"/>
        </w:rPr>
      </w:pPr>
    </w:p>
    <w:p w14:paraId="248310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г. лидер торпедных катеров (ЛТК) АНТ-6 от</w:t>
      </w:r>
      <w:r w:rsidRPr="00E14102">
        <w:rPr>
          <w:color w:val="000000" w:themeColor="text1"/>
          <w:sz w:val="16"/>
          <w:szCs w:val="16"/>
        </w:rPr>
        <w:softHyphen/>
        <w:t>правили в Севастополь. На испытаниях в 1936—1937 гг. без воору</w:t>
      </w:r>
      <w:r w:rsidRPr="00E14102">
        <w:rPr>
          <w:color w:val="000000" w:themeColor="text1"/>
          <w:sz w:val="16"/>
          <w:szCs w:val="16"/>
        </w:rPr>
        <w:softHyphen/>
        <w:t>жения ЛТК показал хорошие ходовые и мореходные качества, раз</w:t>
      </w:r>
      <w:r w:rsidRPr="00E14102">
        <w:rPr>
          <w:color w:val="000000" w:themeColor="text1"/>
          <w:sz w:val="16"/>
          <w:szCs w:val="16"/>
        </w:rPr>
        <w:softHyphen/>
        <w:t>вив 55,3 уз при водоизмещении 55 т. Однако неготовность торпед</w:t>
      </w:r>
      <w:r w:rsidRPr="00E14102">
        <w:rPr>
          <w:color w:val="000000" w:themeColor="text1"/>
          <w:sz w:val="16"/>
          <w:szCs w:val="16"/>
        </w:rPr>
        <w:softHyphen/>
        <w:t>ных аппаратов помешала проверить все в комплексе и начать се</w:t>
      </w:r>
      <w:r w:rsidRPr="00E14102">
        <w:rPr>
          <w:color w:val="000000" w:themeColor="text1"/>
          <w:sz w:val="16"/>
          <w:szCs w:val="16"/>
        </w:rPr>
        <w:softHyphen/>
        <w:t>рийную постройку Г-6 (3898).</w:t>
      </w:r>
    </w:p>
    <w:p w14:paraId="532EA28E" w14:textId="77777777" w:rsidR="00D4105E" w:rsidRPr="00E14102" w:rsidRDefault="00D4105E" w:rsidP="00E14102">
      <w:pPr>
        <w:autoSpaceDE w:val="0"/>
        <w:autoSpaceDN w:val="0"/>
        <w:adjustRightInd w:val="0"/>
        <w:jc w:val="both"/>
        <w:rPr>
          <w:color w:val="000000" w:themeColor="text1"/>
          <w:sz w:val="16"/>
          <w:szCs w:val="16"/>
        </w:rPr>
      </w:pPr>
    </w:p>
    <w:p w14:paraId="3F1EFE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г. последняя малютка (М-28) вступила в состав Морских сил Дальнего Восто</w:t>
      </w:r>
      <w:r w:rsidRPr="00E14102">
        <w:rPr>
          <w:color w:val="000000" w:themeColor="text1"/>
          <w:sz w:val="16"/>
          <w:szCs w:val="16"/>
        </w:rPr>
        <w:softHyphen/>
        <w:t>ка (3898).</w:t>
      </w:r>
    </w:p>
    <w:p w14:paraId="231ED095" w14:textId="77777777" w:rsidR="00D4105E" w:rsidRPr="00E14102" w:rsidRDefault="00D4105E" w:rsidP="00E14102">
      <w:pPr>
        <w:autoSpaceDE w:val="0"/>
        <w:autoSpaceDN w:val="0"/>
        <w:adjustRightInd w:val="0"/>
        <w:jc w:val="both"/>
        <w:rPr>
          <w:color w:val="000000" w:themeColor="text1"/>
          <w:sz w:val="16"/>
          <w:szCs w:val="16"/>
        </w:rPr>
      </w:pPr>
    </w:p>
    <w:p w14:paraId="7034A1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года Головная лодка — "Треска" (Щ-307) вступила в состав Балтийского флота. Для этого же флота Балтийский завод построил лодку "Пикша" (Щ-306), а завод "Красное Сормово" — лодки "Дельфин" (Щ-309), "Белуха" (Щ-310) и "Кумжа" (Щ-311). Пять лодок - "Зубатка" (Щ-121), "Сайда" (Щ-122), "Угорь" (Щ-123), "Палтус" (Щ-124), и "Максун" (Щ-125), заложенные в декабре 1933 г., предназначались для Тихого океана. Две из них строились на Балтийском заводе, три на ленинградском заводе им. А. Марти, а собирались и сдавались все на Дальзаводе во Владиво</w:t>
      </w:r>
      <w:r w:rsidRPr="00E14102">
        <w:rPr>
          <w:color w:val="000000" w:themeColor="text1"/>
          <w:sz w:val="16"/>
          <w:szCs w:val="16"/>
        </w:rPr>
        <w:softHyphen/>
        <w:t>стоке. Для Черноморского флота завод им. 61 Коммунара в Николае</w:t>
      </w:r>
      <w:r w:rsidRPr="00E14102">
        <w:rPr>
          <w:color w:val="000000" w:themeColor="text1"/>
          <w:sz w:val="16"/>
          <w:szCs w:val="16"/>
        </w:rPr>
        <w:softHyphen/>
        <w:t>ве самостоятельно построил еще три лодки — Щ-205, Щ-206 и Щ-207. Последняя тихоокеанская лодка Щ-124 вступила в строй в но</w:t>
      </w:r>
      <w:r w:rsidRPr="00E14102">
        <w:rPr>
          <w:color w:val="000000" w:themeColor="text1"/>
          <w:sz w:val="16"/>
          <w:szCs w:val="16"/>
        </w:rPr>
        <w:softHyphen/>
        <w:t>ябре 1935 г., а последняя черноморская Щ-207 — в декабре 1936 г. Таким образом, строительство всей серии заняло 37 мес., для От-дельнь1х же лодок сроки постройки составили от 16,5 мес. (Щ-121) до 34,5 мес. (Щ-207). Первая цифра свидетельствует о значитель</w:t>
      </w:r>
      <w:r w:rsidRPr="00E14102">
        <w:rPr>
          <w:color w:val="000000" w:themeColor="text1"/>
          <w:sz w:val="16"/>
          <w:szCs w:val="16"/>
        </w:rPr>
        <w:softHyphen/>
        <w:t>ных достижениях в организации серийной постройки лодок, вто</w:t>
      </w:r>
      <w:r w:rsidRPr="00E14102">
        <w:rPr>
          <w:color w:val="000000" w:themeColor="text1"/>
          <w:sz w:val="16"/>
          <w:szCs w:val="16"/>
        </w:rPr>
        <w:softHyphen/>
        <w:t>рая — о трудностях в новом деле на николаевском заводе им. 61 Коммунара.</w:t>
      </w:r>
    </w:p>
    <w:p w14:paraId="2E2A15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головной лодки показали, что для улучшения надводной маневренности необходимы новые более мощные двигатели. Скорость "Трески" в подводном положении составила 12,3 уз. В то же время смещением в корму верхней части перебор</w:t>
      </w:r>
      <w:r w:rsidRPr="00E14102">
        <w:rPr>
          <w:color w:val="000000" w:themeColor="text1"/>
          <w:sz w:val="16"/>
          <w:szCs w:val="16"/>
        </w:rPr>
        <w:softHyphen/>
        <w:t>ки между II и III отсеками удалось обеспечить лучшие условия хранения запасных торпед во II отсеке (на V и Убис сериях они хранились без боевь1х зарядных отделений). Прочность переборки на 37 и 45 щпангоутах, ограничивавших центральный пост, довели до 6 кгс/см (на предыдущих лодках 2 кгс/см ). ЦГБ № 3 и № 4 были приспособлены для хранения топлива, зубчатую передачу на валы от электродвигателей экономического хода заменили на ре</w:t>
      </w:r>
      <w:r w:rsidRPr="00E14102">
        <w:rPr>
          <w:color w:val="000000" w:themeColor="text1"/>
          <w:sz w:val="16"/>
          <w:szCs w:val="16"/>
        </w:rPr>
        <w:softHyphen/>
        <w:t>менную, торпедопогрузочное устройство было переделано, что обеспечило сокращение времени погрузки торпед с 30 до 12 ч, а вместо турбовоздуходувок "Броун—Бовери" для продувания ЦГБ были впервые приспособлены дизели (в режиме компрессора). Все указанные улучшения позднее были внедрены при капитальном ремонте и на лодках III, V и Убис серий (3898).</w:t>
      </w:r>
    </w:p>
    <w:p w14:paraId="1F8D71ED" w14:textId="77777777" w:rsidR="00D4105E" w:rsidRPr="00E14102" w:rsidRDefault="00D4105E" w:rsidP="00E14102">
      <w:pPr>
        <w:autoSpaceDE w:val="0"/>
        <w:autoSpaceDN w:val="0"/>
        <w:adjustRightInd w:val="0"/>
        <w:jc w:val="both"/>
        <w:rPr>
          <w:color w:val="000000" w:themeColor="text1"/>
          <w:sz w:val="16"/>
          <w:szCs w:val="16"/>
        </w:rPr>
      </w:pPr>
    </w:p>
    <w:p w14:paraId="105844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года, еще до начала их полигонных испытаний, приступили к корабельным испытаниям Б-13. Полигонные испытания Б-13 были завершены в марте, а корабельные — летом 1936 года. Однако далее, по свидетельству архивных документов, «установки, имевшие ряд конструктивных недостатков вследствие вре­дительства, были забракованы». Несмотря на то, что опытно-конструкторский задел до­стигал 100%, поступление этой достаточно эффективной системы на флот задержалось на целых четыре года. Для проведения доработок в условиях зловещей атмосферы «борьбы с вредитель­ством» и политических репрессий привлек­ли также специалистов АНИМИ и НИМАП, которые активно взялись за устранение не­достатков и дефектов артсистем Б-13 1-й серии. В результате доработки Б-1 3 стала полностью отвечать требованиям к корабельной артиллерии того времени: при ми­нимальных габаритах и массе, она обеспе­чивала высокую начальную скорость сна­ряда (870 м/с), максимально возможные (для данного калибра, ствола, снаряда) дальность (139 кб) и точность стрельбы, хо­рошую скорострельность, плавность наведе­ния и высокую живучесть ствола. Значитель­ные упрощения конструкции позволили по­высить надежность артустановки. Результаты серии опытов (применение углубленной на­резки, флегматизаторов и так далее) позво­лили увеличить живучесть орудийных ство­лов до 1 000 выстрелов. Оценивая опыт боевых действий на море во время гражданской войны в Испании, советское военно-морское руководство сделало вывод о возросшей угрозе штур­мовой авиации и сочло необходимым на кораблях следующих проектов обеспечить защиту личного состава на верхней палубе бронированием рубки и башен, чтобы свес­ти к минимуму количество потерь. Реализа­ция этой концепции вылилась в создание ба­шен главного калибра сначала для лидеров, а затем — для эсминцев (11866).</w:t>
      </w:r>
    </w:p>
    <w:p w14:paraId="25542CB0" w14:textId="77777777" w:rsidR="00D4105E" w:rsidRPr="00E14102" w:rsidRDefault="00D4105E" w:rsidP="00E14102">
      <w:pPr>
        <w:autoSpaceDE w:val="0"/>
        <w:autoSpaceDN w:val="0"/>
        <w:adjustRightInd w:val="0"/>
        <w:jc w:val="both"/>
        <w:rPr>
          <w:color w:val="000000" w:themeColor="text1"/>
          <w:sz w:val="16"/>
          <w:szCs w:val="16"/>
        </w:rPr>
      </w:pPr>
    </w:p>
    <w:p w14:paraId="294328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г. при испыта</w:t>
      </w:r>
      <w:r w:rsidRPr="00E14102">
        <w:rPr>
          <w:color w:val="000000" w:themeColor="text1"/>
          <w:sz w:val="16"/>
          <w:szCs w:val="16"/>
        </w:rPr>
        <w:softHyphen/>
        <w:t>нии одного из сторожевых катеров II серии (впоследствии тип МО-2), строившихся серийно в середине 30-х гг. заводом 5 НКВД в Ленинграде для Морпогранохраны, произошел взрыв паров бензина, при котором погибло б чел. Главный конструктор этих катеров А. Н. Зворыкин после этого был отстранен от дел и вскоре осужден, а на его место назначили молодого инженера-кораблестроителя Л. Л. Ермаша. КБ завода 5 под руководством Ермаша подвергло проект переработке. В 1936 г. по новому проекту были построены два катера IV серии (впоследствии МО-4), которые в начале следующего года успешно прошли испытания на Черном море и положили начало большой серии пограничных катеров (ПК-1, ПК- 2 и др.) для всех морских театров. 1937 г. первые такие катера были построены и для ВМФ, где они получили обозначение МО — малые охотники за подвод</w:t>
      </w:r>
      <w:r w:rsidRPr="00E14102">
        <w:rPr>
          <w:color w:val="000000" w:themeColor="text1"/>
          <w:sz w:val="16"/>
          <w:szCs w:val="16"/>
        </w:rPr>
        <w:softHyphen/>
        <w:t>ными лодками (3898).</w:t>
      </w:r>
    </w:p>
    <w:p w14:paraId="10875B15" w14:textId="77777777" w:rsidR="00D4105E" w:rsidRPr="00E14102" w:rsidRDefault="00D4105E" w:rsidP="00E14102">
      <w:pPr>
        <w:autoSpaceDE w:val="0"/>
        <w:autoSpaceDN w:val="0"/>
        <w:adjustRightInd w:val="0"/>
        <w:jc w:val="both"/>
        <w:rPr>
          <w:color w:val="000000" w:themeColor="text1"/>
          <w:sz w:val="16"/>
          <w:szCs w:val="16"/>
        </w:rPr>
      </w:pPr>
    </w:p>
    <w:p w14:paraId="33BDF5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Г-6 отправили в Севастополь без поворотного торпедного аппарата, который еще не был готов. Во время испытаний катер водоизмещением 55 т (без вооружения) развил рекордную скорость - 55,3 узла. Устранение ряда выявившихся недостатков затянуло сдачу Г-6 флоту на несколько лет, и военно-морской флаг на нем подняли лишь в июне 1939 года. В серию этот катер не пошел, в боях Великой Отечественной войны не участвовал.В 1944 году балтийские моряки использовали его для заправки топливом в море торпедных катеров типа Г-5 (10261).</w:t>
      </w:r>
    </w:p>
    <w:p w14:paraId="198C2DD1" w14:textId="77777777" w:rsidR="00D4105E" w:rsidRPr="00E14102" w:rsidRDefault="00D4105E" w:rsidP="00E14102">
      <w:pPr>
        <w:autoSpaceDE w:val="0"/>
        <w:autoSpaceDN w:val="0"/>
        <w:adjustRightInd w:val="0"/>
        <w:jc w:val="both"/>
        <w:rPr>
          <w:color w:val="000000" w:themeColor="text1"/>
          <w:sz w:val="16"/>
          <w:szCs w:val="16"/>
        </w:rPr>
      </w:pPr>
    </w:p>
    <w:p w14:paraId="31C66B1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2406313C" w14:textId="77777777" w:rsidR="00D4105E" w:rsidRPr="00E14102" w:rsidRDefault="00D4105E" w:rsidP="00E14102">
      <w:pPr>
        <w:autoSpaceDE w:val="0"/>
        <w:autoSpaceDN w:val="0"/>
        <w:adjustRightInd w:val="0"/>
        <w:jc w:val="both"/>
        <w:rPr>
          <w:iCs/>
          <w:color w:val="000000" w:themeColor="text1"/>
          <w:sz w:val="16"/>
          <w:szCs w:val="16"/>
        </w:rPr>
      </w:pPr>
    </w:p>
    <w:p w14:paraId="1C9B9E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1935 г. С основной базой железнодорожных артиллерийских установок в Лебяжьем ознакомился Нарком Обороны СССР К. Е. Ворошилов (11454).</w:t>
      </w:r>
    </w:p>
    <w:p w14:paraId="19137DE2" w14:textId="77777777" w:rsidR="00D4105E" w:rsidRPr="00E14102" w:rsidRDefault="00D4105E" w:rsidP="00E14102">
      <w:pPr>
        <w:autoSpaceDE w:val="0"/>
        <w:autoSpaceDN w:val="0"/>
        <w:adjustRightInd w:val="0"/>
        <w:jc w:val="both"/>
        <w:rPr>
          <w:color w:val="000000" w:themeColor="text1"/>
          <w:sz w:val="16"/>
          <w:szCs w:val="16"/>
        </w:rPr>
      </w:pPr>
    </w:p>
    <w:p w14:paraId="1BD0FF27" w14:textId="77777777" w:rsidR="00A92C37"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BD9298D" w14:textId="77777777" w:rsidR="00A92C37" w:rsidRPr="00E14102" w:rsidRDefault="00A92C37" w:rsidP="00E14102">
      <w:pPr>
        <w:autoSpaceDE w:val="0"/>
        <w:autoSpaceDN w:val="0"/>
        <w:adjustRightInd w:val="0"/>
        <w:jc w:val="both"/>
        <w:rPr>
          <w:iCs/>
          <w:color w:val="000000" w:themeColor="text1"/>
          <w:sz w:val="16"/>
          <w:szCs w:val="16"/>
        </w:rPr>
      </w:pPr>
    </w:p>
    <w:p w14:paraId="151BCA69" w14:textId="77777777" w:rsidR="00A92C37" w:rsidRPr="00E14102" w:rsidRDefault="00A92C37" w:rsidP="00E14102">
      <w:pPr>
        <w:shd w:val="clear" w:color="auto" w:fill="FFFFFF"/>
        <w:jc w:val="both"/>
        <w:rPr>
          <w:color w:val="000000" w:themeColor="text1"/>
          <w:sz w:val="16"/>
          <w:szCs w:val="16"/>
        </w:rPr>
      </w:pPr>
      <w:r w:rsidRPr="00E14102">
        <w:rPr>
          <w:color w:val="000000" w:themeColor="text1"/>
          <w:sz w:val="16"/>
          <w:szCs w:val="16"/>
        </w:rPr>
        <w:t>В августе 1935 в центральной печати было опубликовано сообщение ТАСС:</w:t>
      </w:r>
    </w:p>
    <w:p w14:paraId="6630DCDC" w14:textId="77777777" w:rsidR="00A92C37" w:rsidRPr="00E14102" w:rsidRDefault="00A92C37" w:rsidP="00E14102">
      <w:pPr>
        <w:shd w:val="clear" w:color="auto" w:fill="FFFFFF"/>
        <w:jc w:val="both"/>
        <w:rPr>
          <w:color w:val="000000" w:themeColor="text1"/>
          <w:sz w:val="16"/>
          <w:szCs w:val="16"/>
        </w:rPr>
      </w:pPr>
      <w:r w:rsidRPr="00E14102">
        <w:rPr>
          <w:color w:val="000000" w:themeColor="text1"/>
          <w:sz w:val="16"/>
          <w:szCs w:val="16"/>
        </w:rPr>
        <w:t>«Совет Народных Комиссаров СССР, ЦК ВКП(б) решили к 7-му ноября 1935 года снять 4 орла, находящиеся на Спасской, Никольской, Боровицкой, Троицкой башнях Кремлевской стены и 2 орла с здания Исторического музея. К этому же сроку решено установить на указанных 4 башнях Кремля пятиконечную звезду с серпом и молотом» (15223).</w:t>
      </w:r>
    </w:p>
    <w:p w14:paraId="7B95BF08" w14:textId="77777777" w:rsidR="00A92C37" w:rsidRPr="00E14102" w:rsidRDefault="00A92C37" w:rsidP="00E14102">
      <w:pPr>
        <w:shd w:val="clear" w:color="auto" w:fill="FFFFFF"/>
        <w:jc w:val="both"/>
        <w:rPr>
          <w:color w:val="000000" w:themeColor="text1"/>
          <w:sz w:val="16"/>
          <w:szCs w:val="16"/>
        </w:rPr>
      </w:pPr>
    </w:p>
    <w:p w14:paraId="3ACE9150" w14:textId="77777777" w:rsidR="00A92C37" w:rsidRPr="00E14102" w:rsidRDefault="00A92C37" w:rsidP="00E14102">
      <w:pPr>
        <w:shd w:val="clear" w:color="auto" w:fill="FFFFFF"/>
        <w:jc w:val="both"/>
        <w:rPr>
          <w:color w:val="000000" w:themeColor="text1"/>
          <w:sz w:val="16"/>
          <w:szCs w:val="16"/>
        </w:rPr>
      </w:pPr>
      <w:r w:rsidRPr="00E14102">
        <w:rPr>
          <w:color w:val="000000" w:themeColor="text1"/>
          <w:sz w:val="16"/>
          <w:szCs w:val="16"/>
        </w:rPr>
        <w:t>В августе 1935 года была завершена работа над первыми кремлевскими звездами.</w:t>
      </w:r>
    </w:p>
    <w:p w14:paraId="21A98A33" w14:textId="77777777" w:rsidR="00A92C37" w:rsidRPr="00E14102" w:rsidRDefault="00A92C37" w:rsidP="00E14102">
      <w:pPr>
        <w:shd w:val="clear" w:color="auto" w:fill="FFFFFF"/>
        <w:jc w:val="both"/>
        <w:rPr>
          <w:color w:val="000000" w:themeColor="text1"/>
          <w:sz w:val="16"/>
          <w:szCs w:val="16"/>
        </w:rPr>
      </w:pPr>
      <w:r w:rsidRPr="00E14102">
        <w:rPr>
          <w:color w:val="000000" w:themeColor="text1"/>
          <w:sz w:val="16"/>
          <w:szCs w:val="16"/>
        </w:rPr>
        <w:t>Проектирование и изготовление первых кремлевских звезд было поручено мастерским ЦАГИ и двум московским заводам, в том числе заводу № 39 им. Менжинского. Выдающийся художник-декоратор, академик Ф.Ф. Федоровский взялся за разработку эскизов будущих звезд. Он определил их форму, размеры, рисунок. В конструкции звезд пятиметрового диаметра предполагалось использование нержавеющей стали и красной меди со вставками из цветных камней. Для выполнения проектных работ Поликарпов сформировал особую группу, костяк которой составили специалисты сектора шасси во главе с Е.А. Костенко. В группу входили также специалисты других секторов – аэродинамики, прочнисты. Для расчета ветровых нагрузок на звезды, использовали данные Гидрометцентра, которые показали, что максимальная скорость ветра над Москвой не превышает 25 м/с. С учетом этой скорости и был выполнен расчет.</w:t>
      </w:r>
    </w:p>
    <w:p w14:paraId="00277BBB" w14:textId="77777777" w:rsidR="00A92C37" w:rsidRPr="00E14102" w:rsidRDefault="00A92C37" w:rsidP="00E14102">
      <w:pPr>
        <w:shd w:val="clear" w:color="auto" w:fill="FFFFFF"/>
        <w:jc w:val="both"/>
        <w:rPr>
          <w:color w:val="000000" w:themeColor="text1"/>
          <w:sz w:val="16"/>
          <w:szCs w:val="16"/>
        </w:rPr>
      </w:pPr>
      <w:r w:rsidRPr="00E14102">
        <w:rPr>
          <w:color w:val="000000" w:themeColor="text1"/>
          <w:sz w:val="16"/>
          <w:szCs w:val="16"/>
        </w:rPr>
        <w:t>Когда эскизы были готовы, изготовили макеты звезд в натуральную величину. Эмблемы серпа и молота временно инкрустировали имитациями драгоценных камней. Осмотреть готовые макеты приехали руководители партии и правительства. Они дали согласие на изготовление звезд с одним условием – сделать их вращающимися, чтобы москвичи и гости столицы отовсюду могли любоваться ими.</w:t>
      </w:r>
    </w:p>
    <w:p w14:paraId="05C26711" w14:textId="77777777" w:rsidR="00A92C37" w:rsidRPr="00E14102" w:rsidRDefault="00A92C37" w:rsidP="00E14102">
      <w:pPr>
        <w:shd w:val="clear" w:color="auto" w:fill="FFFFFF"/>
        <w:jc w:val="both"/>
        <w:rPr>
          <w:color w:val="000000" w:themeColor="text1"/>
          <w:sz w:val="16"/>
          <w:szCs w:val="16"/>
        </w:rPr>
      </w:pPr>
      <w:r w:rsidRPr="00E14102">
        <w:rPr>
          <w:color w:val="000000" w:themeColor="text1"/>
          <w:sz w:val="16"/>
          <w:szCs w:val="16"/>
        </w:rPr>
        <w:t>Силовая часть конструкции выполнялась из хромансилевых труб диаметром 30 х 25 мм. Трудность состояла в подборе подшипников, а также силовой штанги, на которую крепилась звезда. Штангу пришлось сделать из орудийного ствола. Звезда проектировалась привычным в КБ плазово-шаблонным методом. Для сокращения времени чертежей не делали, а тщательно выверенные эскизы сразу передавались в производственные цехи завода № 39 (Прим 38).</w:t>
      </w:r>
    </w:p>
    <w:p w14:paraId="0DF89826" w14:textId="77777777" w:rsidR="00A92C37" w:rsidRPr="00E14102" w:rsidRDefault="00A92C37" w:rsidP="00E14102">
      <w:pPr>
        <w:shd w:val="clear" w:color="auto" w:fill="FFFFFF"/>
        <w:jc w:val="both"/>
        <w:rPr>
          <w:color w:val="000000" w:themeColor="text1"/>
          <w:sz w:val="16"/>
          <w:szCs w:val="16"/>
        </w:rPr>
      </w:pPr>
      <w:r w:rsidRPr="00E14102">
        <w:rPr>
          <w:color w:val="000000" w:themeColor="text1"/>
          <w:sz w:val="16"/>
          <w:szCs w:val="16"/>
        </w:rPr>
        <w:t>После сборки силовой части, готовую конструкцию перевезли в специальное помещение, где ее оснащали дорогостоящими камнями специалисты с Урала. Все четыре звезды отличались друг от друга художественным оформлением. Звезда Боровицкой башни представляла собой два контура, вписанных один в другой. А звезда Никольской башни рисунка не имела. Расстояние между концами лучей Боровицкой башни составляло 3,5 метра, а между концами лучей Никольской башни – 4,5 метра.</w:t>
      </w:r>
    </w:p>
    <w:p w14:paraId="14F1A8A9" w14:textId="77777777" w:rsidR="00A92C37" w:rsidRPr="00E14102" w:rsidRDefault="00A92C37" w:rsidP="00E14102">
      <w:pPr>
        <w:shd w:val="clear" w:color="auto" w:fill="FFFFFF"/>
        <w:jc w:val="both"/>
        <w:rPr>
          <w:color w:val="000000" w:themeColor="text1"/>
          <w:sz w:val="16"/>
          <w:szCs w:val="16"/>
        </w:rPr>
      </w:pPr>
      <w:r w:rsidRPr="00E14102">
        <w:rPr>
          <w:color w:val="000000" w:themeColor="text1"/>
          <w:sz w:val="16"/>
          <w:szCs w:val="16"/>
        </w:rPr>
        <w:t>Когда все было готово к установке пятиконечных звезд, их решили показать москвичам. 23-го октября звезды доставили в Центральный парк имени Горького и установили на постаментах, обитых кумачем. В свете прожекторов засверкали лучи, заискрились уральские самоцветы. В парк пришли сотни людей. Всем хотелось полюбоваться красотой и величием звезд, которые вскоре должны были вспыхнуть в небе столицы. Звезды начали устанавливать 24-го октября, а через три дня звезды засияли над Никольской и Боровицкой башнями. Установленные внутри объемной звезды лампы общей мощностью 5000 вт ярко горели в небе ночной Москвы.</w:t>
      </w:r>
    </w:p>
    <w:p w14:paraId="15E00731" w14:textId="77777777" w:rsidR="00A92C37" w:rsidRPr="00E14102" w:rsidRDefault="00A92C37" w:rsidP="00E14102">
      <w:pPr>
        <w:shd w:val="clear" w:color="auto" w:fill="FFFFFF"/>
        <w:jc w:val="both"/>
        <w:rPr>
          <w:color w:val="000000" w:themeColor="text1"/>
          <w:sz w:val="16"/>
          <w:szCs w:val="16"/>
        </w:rPr>
      </w:pPr>
      <w:r w:rsidRPr="00E14102">
        <w:rPr>
          <w:color w:val="000000" w:themeColor="text1"/>
          <w:sz w:val="16"/>
          <w:szCs w:val="16"/>
        </w:rPr>
        <w:t>Однако эти звезды недолго украшали башни московского Кремля. Их сочли скромными и через два года заменили новыми рубиновыми. А одну из снятых звезд установили на шпиле Северного речного вокзала столицы (132) (15223).</w:t>
      </w:r>
    </w:p>
    <w:p w14:paraId="4E80AFF0" w14:textId="77777777" w:rsidR="00A92C37" w:rsidRPr="00E14102" w:rsidRDefault="00A92C37" w:rsidP="00E14102">
      <w:pPr>
        <w:shd w:val="clear" w:color="auto" w:fill="FFFFFF"/>
        <w:jc w:val="both"/>
        <w:rPr>
          <w:color w:val="000000" w:themeColor="text1"/>
          <w:sz w:val="16"/>
          <w:szCs w:val="16"/>
        </w:rPr>
      </w:pPr>
    </w:p>
    <w:p w14:paraId="39EA772C" w14:textId="77777777" w:rsidR="00A92C37"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2EAA135" w14:textId="77777777" w:rsidR="00A92C37" w:rsidRPr="00E14102" w:rsidRDefault="00A92C37" w:rsidP="00E14102">
      <w:pPr>
        <w:autoSpaceDE w:val="0"/>
        <w:autoSpaceDN w:val="0"/>
        <w:adjustRightInd w:val="0"/>
        <w:jc w:val="both"/>
        <w:rPr>
          <w:iCs/>
          <w:color w:val="000000" w:themeColor="text1"/>
          <w:sz w:val="16"/>
          <w:szCs w:val="16"/>
        </w:rPr>
      </w:pPr>
    </w:p>
    <w:p w14:paraId="2E37605F" w14:textId="77777777" w:rsidR="00A92C37" w:rsidRPr="00E14102" w:rsidRDefault="00A92C37" w:rsidP="00E14102">
      <w:pPr>
        <w:jc w:val="both"/>
        <w:rPr>
          <w:color w:val="000000" w:themeColor="text1"/>
          <w:sz w:val="16"/>
          <w:szCs w:val="16"/>
        </w:rPr>
      </w:pPr>
      <w:r w:rsidRPr="00E14102">
        <w:rPr>
          <w:color w:val="000000" w:themeColor="text1"/>
          <w:sz w:val="16"/>
          <w:szCs w:val="16"/>
        </w:rPr>
        <w:t>В августе 1935 г. истребитель Харрикейн собрали, затем около шести недель потратили на обтяжку полотном фюзеляжа, крыльев и оперения, и проверку функционирования узлов и агрегатов. К этому моменту заказчики уже твердо решили вопрос с вооружением. В июле поступило указание устанавливать восемь "Браунингов". Поскольку на самом деле их еще не имелось, опытную машину догрузили балластом. Это, и небольшое увеличение емкости бензобаков довели реальный взлетный вес истребителя до 2460 кг. Вместо патронов и радиостанции также разместили балласт. На самолете стоял двигатель "Мерлин"С, который к тому времени еще не прошел ресурсных испытаний, обязательных для получения государственного сертификата. Но новому истребителю придавалось такое значение, что на это просто наплевали. 23 октября самолет перевезли в Бруклендс, где вновь собрали после транспортировки. Машину взвесили, опробовали мотор, и испытатель П.Балмэн начал пробежки по летному полю. 6 ноября он впервые оторвался от земли (15129).</w:t>
      </w:r>
    </w:p>
    <w:p w14:paraId="1D78E891" w14:textId="77777777" w:rsidR="00A92C37" w:rsidRPr="00E14102" w:rsidRDefault="00A92C37" w:rsidP="00E14102">
      <w:pPr>
        <w:jc w:val="both"/>
        <w:rPr>
          <w:color w:val="000000" w:themeColor="text1"/>
          <w:sz w:val="16"/>
          <w:szCs w:val="16"/>
        </w:rPr>
      </w:pPr>
    </w:p>
    <w:p w14:paraId="75290ED5" w14:textId="77777777" w:rsidR="00AA71EF" w:rsidRPr="00E14102" w:rsidRDefault="00AA71EF" w:rsidP="00E14102">
      <w:pPr>
        <w:jc w:val="both"/>
        <w:rPr>
          <w:color w:val="0070C0"/>
          <w:sz w:val="16"/>
          <w:szCs w:val="16"/>
        </w:rPr>
      </w:pPr>
      <w:r w:rsidRPr="00E14102">
        <w:rPr>
          <w:color w:val="0070C0"/>
          <w:sz w:val="16"/>
          <w:szCs w:val="16"/>
        </w:rPr>
        <w:t>В августе 1935 года, когда строительство прототипа только нача</w:t>
      </w:r>
      <w:r w:rsidRPr="00E14102">
        <w:rPr>
          <w:color w:val="0070C0"/>
          <w:sz w:val="16"/>
          <w:szCs w:val="16"/>
        </w:rPr>
        <w:softHyphen/>
        <w:t>лось фирма Виккерс получила первый контракт на 80 самолетов, названных «Уитли», а 13 мая 1936 года были заказаны еще 240 бомбардировщиков (22809).</w:t>
      </w:r>
    </w:p>
    <w:p w14:paraId="432AEC27" w14:textId="77777777" w:rsidR="00AA71EF" w:rsidRPr="00E14102" w:rsidRDefault="00AA71EF" w:rsidP="00E14102">
      <w:pPr>
        <w:jc w:val="both"/>
        <w:rPr>
          <w:color w:val="0070C0"/>
          <w:sz w:val="16"/>
          <w:szCs w:val="16"/>
        </w:rPr>
      </w:pPr>
    </w:p>
    <w:p w14:paraId="427EC42A" w14:textId="77777777" w:rsidR="00A92C37" w:rsidRPr="00E14102" w:rsidRDefault="00A92C37" w:rsidP="00E14102">
      <w:pPr>
        <w:jc w:val="both"/>
        <w:rPr>
          <w:color w:val="000000" w:themeColor="text1"/>
          <w:sz w:val="16"/>
          <w:szCs w:val="16"/>
        </w:rPr>
      </w:pPr>
      <w:r w:rsidRPr="00E14102">
        <w:rPr>
          <w:color w:val="000000" w:themeColor="text1"/>
          <w:sz w:val="16"/>
          <w:szCs w:val="16"/>
        </w:rPr>
        <w:t>В августе 1935 года прототипы танков Krupp и Rheinmetall-Borsig, которые около года продолжали эксплуатировать в качестве учебных, задействовали в широкомасштабных маневрах немецкой армии в составе 1-го танковой дивизии, где также использовались первые легкие танки Pz.I Ausf.A. Вполне возможно, что на одном из танков фирмы Rheinmetall испытывалась спареннай установка танковых 37-мм и 75-мм пушек, предназначенная для тяжелого танка NbFz. Спустя несколько месяцев “гросстаркторы” передали в танковую школу в Пултосе, но уже в 1937 году по одному танков обеих фирм также установили как памятники у казарм 5-го танкового полка. Остальные две машины закончили свою карьеру в качестве наглядных пособий и во время войны были разобраны на металл (15651).</w:t>
      </w:r>
    </w:p>
    <w:p w14:paraId="14384FA9" w14:textId="77777777" w:rsidR="00A92C37" w:rsidRPr="00E14102" w:rsidRDefault="00A92C37" w:rsidP="00E14102">
      <w:pPr>
        <w:jc w:val="both"/>
        <w:rPr>
          <w:color w:val="000000" w:themeColor="text1"/>
          <w:sz w:val="16"/>
          <w:szCs w:val="16"/>
        </w:rPr>
      </w:pPr>
    </w:p>
    <w:p w14:paraId="4F54B60C" w14:textId="77777777" w:rsidR="001718B2" w:rsidRPr="00E14102" w:rsidRDefault="001718B2"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августе 1935 года последовал заказ на дополнительные полторы сотни танков 3.</w:t>
      </w:r>
      <w:r w:rsidRPr="00E14102">
        <w:rPr>
          <w:rFonts w:ascii="Times New Roman" w:hAnsi="Times New Roman" w:cs="Times New Roman"/>
          <w:color w:val="000000" w:themeColor="text1"/>
          <w:sz w:val="16"/>
          <w:szCs w:val="16"/>
        </w:rPr>
        <w:t>Serie</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La</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S</w:t>
      </w:r>
      <w:r w:rsidRPr="00E14102">
        <w:rPr>
          <w:rFonts w:ascii="Times New Roman" w:hAnsi="Times New Roman" w:cs="Times New Roman"/>
          <w:color w:val="000000" w:themeColor="text1"/>
          <w:sz w:val="16"/>
          <w:szCs w:val="16"/>
          <w:lang w:val="ru-RU"/>
        </w:rPr>
        <w:t xml:space="preserve">. </w:t>
      </w:r>
      <w:r w:rsidRPr="00E14102">
        <w:rPr>
          <w:rFonts w:ascii="Times New Roman" w:hAnsi="Times New Roman" w:cs="Times New Roman"/>
          <w:color w:val="000000" w:themeColor="text1"/>
          <w:sz w:val="16"/>
          <w:szCs w:val="16"/>
        </w:rPr>
        <w:t>Grusonwerk</w:t>
      </w:r>
      <w:r w:rsidRPr="00E14102">
        <w:rPr>
          <w:rFonts w:ascii="Times New Roman" w:hAnsi="Times New Roman" w:cs="Times New Roman"/>
          <w:color w:val="000000" w:themeColor="text1"/>
          <w:sz w:val="16"/>
          <w:szCs w:val="16"/>
          <w:lang w:val="ru-RU"/>
        </w:rPr>
        <w:t xml:space="preserve"> почила контакты на 2 танка с серийными номерами 9206 и 9234, плюс 35 танков с номерами 9316–9350. </w:t>
      </w:r>
      <w:r w:rsidRPr="00E14102">
        <w:rPr>
          <w:rFonts w:ascii="Times New Roman" w:hAnsi="Times New Roman" w:cs="Times New Roman"/>
          <w:color w:val="000000" w:themeColor="text1"/>
          <w:sz w:val="16"/>
          <w:szCs w:val="16"/>
        </w:rPr>
        <w:t>MAN</w:t>
      </w:r>
      <w:r w:rsidRPr="00E14102">
        <w:rPr>
          <w:rFonts w:ascii="Times New Roman" w:hAnsi="Times New Roman" w:cs="Times New Roman"/>
          <w:color w:val="000000" w:themeColor="text1"/>
          <w:sz w:val="16"/>
          <w:szCs w:val="16"/>
          <w:lang w:val="ru-RU"/>
        </w:rPr>
        <w:t xml:space="preserve"> досталось 40 машин с номерами 9661–9700. Компании </w:t>
      </w:r>
      <w:r w:rsidRPr="00E14102">
        <w:rPr>
          <w:rFonts w:ascii="Times New Roman" w:hAnsi="Times New Roman" w:cs="Times New Roman"/>
          <w:color w:val="000000" w:themeColor="text1"/>
          <w:sz w:val="16"/>
          <w:szCs w:val="16"/>
        </w:rPr>
        <w:t>Rheinmetall</w:t>
      </w:r>
      <w:r w:rsidRPr="00E14102">
        <w:rPr>
          <w:rFonts w:ascii="Times New Roman" w:hAnsi="Times New Roman" w:cs="Times New Roman"/>
          <w:color w:val="000000" w:themeColor="text1"/>
          <w:sz w:val="16"/>
          <w:szCs w:val="16"/>
          <w:lang w:val="ru-RU"/>
        </w:rPr>
        <w:t xml:space="preserve"> и </w:t>
      </w:r>
      <w:r w:rsidRPr="00E14102">
        <w:rPr>
          <w:rFonts w:ascii="Times New Roman" w:hAnsi="Times New Roman" w:cs="Times New Roman"/>
          <w:color w:val="000000" w:themeColor="text1"/>
          <w:sz w:val="16"/>
          <w:szCs w:val="16"/>
        </w:rPr>
        <w:t>Daimler</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Benz</w:t>
      </w:r>
      <w:r w:rsidRPr="00E14102">
        <w:rPr>
          <w:rFonts w:ascii="Times New Roman" w:hAnsi="Times New Roman" w:cs="Times New Roman"/>
          <w:color w:val="000000" w:themeColor="text1"/>
          <w:sz w:val="16"/>
          <w:szCs w:val="16"/>
          <w:lang w:val="ru-RU"/>
        </w:rPr>
        <w:t xml:space="preserve"> получили контракты на изготовление 20 танков каждая, с серийными номерами 9911–9930 и 10416–10435 соответственно. Наконец, фирма </w:t>
      </w:r>
      <w:r w:rsidRPr="00E14102">
        <w:rPr>
          <w:rFonts w:ascii="Times New Roman" w:hAnsi="Times New Roman" w:cs="Times New Roman"/>
          <w:color w:val="000000" w:themeColor="text1"/>
          <w:sz w:val="16"/>
          <w:szCs w:val="16"/>
        </w:rPr>
        <w:t>Henschel</w:t>
      </w:r>
      <w:r w:rsidRPr="00E14102">
        <w:rPr>
          <w:rFonts w:ascii="Times New Roman" w:hAnsi="Times New Roman" w:cs="Times New Roman"/>
          <w:color w:val="000000" w:themeColor="text1"/>
          <w:sz w:val="16"/>
          <w:szCs w:val="16"/>
          <w:lang w:val="ru-RU"/>
        </w:rPr>
        <w:t xml:space="preserve"> получила контракт на постройку 35 2.</w:t>
      </w:r>
      <w:r w:rsidRPr="00E14102">
        <w:rPr>
          <w:rFonts w:ascii="Times New Roman" w:hAnsi="Times New Roman" w:cs="Times New Roman"/>
          <w:color w:val="000000" w:themeColor="text1"/>
          <w:sz w:val="16"/>
          <w:szCs w:val="16"/>
        </w:rPr>
        <w:t>Serie</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La</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S</w:t>
      </w:r>
      <w:r w:rsidRPr="00E14102">
        <w:rPr>
          <w:rFonts w:ascii="Times New Roman" w:hAnsi="Times New Roman" w:cs="Times New Roman"/>
          <w:color w:val="000000" w:themeColor="text1"/>
          <w:sz w:val="16"/>
          <w:szCs w:val="16"/>
          <w:lang w:val="ru-RU"/>
        </w:rPr>
        <w:t>. с серийными номерами 10151–10185.</w:t>
      </w:r>
    </w:p>
    <w:p w14:paraId="7FD8D847" w14:textId="77777777" w:rsidR="001718B2" w:rsidRPr="00E14102" w:rsidRDefault="001718B2"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К тому моменту </w:t>
      </w:r>
      <w:r w:rsidRPr="00E14102">
        <w:rPr>
          <w:rFonts w:ascii="Times New Roman" w:hAnsi="Times New Roman" w:cs="Times New Roman"/>
          <w:color w:val="000000" w:themeColor="text1"/>
          <w:sz w:val="16"/>
          <w:szCs w:val="16"/>
        </w:rPr>
        <w:t>La</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S</w:t>
      </w:r>
      <w:r w:rsidRPr="00E14102">
        <w:rPr>
          <w:rFonts w:ascii="Times New Roman" w:hAnsi="Times New Roman" w:cs="Times New Roman"/>
          <w:color w:val="000000" w:themeColor="text1"/>
          <w:sz w:val="16"/>
          <w:szCs w:val="16"/>
          <w:lang w:val="ru-RU"/>
        </w:rPr>
        <w:t xml:space="preserve">. получил обозначение </w:t>
      </w:r>
      <w:r w:rsidRPr="00E14102">
        <w:rPr>
          <w:rFonts w:ascii="Times New Roman" w:hAnsi="Times New Roman" w:cs="Times New Roman"/>
          <w:color w:val="000000" w:themeColor="text1"/>
          <w:sz w:val="16"/>
          <w:szCs w:val="16"/>
        </w:rPr>
        <w:t>M</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G</w:t>
      </w:r>
      <w:r w:rsidRPr="00E14102">
        <w:rPr>
          <w:rFonts w:ascii="Times New Roman" w:hAnsi="Times New Roman" w:cs="Times New Roman"/>
          <w:color w:val="000000" w:themeColor="text1"/>
          <w:sz w:val="16"/>
          <w:szCs w:val="16"/>
          <w:lang w:val="ru-RU"/>
        </w:rPr>
        <w:t xml:space="preserve">. </w:t>
      </w:r>
      <w:r w:rsidRPr="00E14102">
        <w:rPr>
          <w:rFonts w:ascii="Times New Roman" w:hAnsi="Times New Roman" w:cs="Times New Roman"/>
          <w:color w:val="000000" w:themeColor="text1"/>
          <w:sz w:val="16"/>
          <w:szCs w:val="16"/>
        </w:rPr>
        <w:t>Panzerwagen</w:t>
      </w:r>
      <w:r w:rsidRPr="00E14102">
        <w:rPr>
          <w:rFonts w:ascii="Times New Roman" w:hAnsi="Times New Roman" w:cs="Times New Roman"/>
          <w:color w:val="000000" w:themeColor="text1"/>
          <w:sz w:val="16"/>
          <w:szCs w:val="16"/>
          <w:lang w:val="ru-RU"/>
        </w:rPr>
        <w:t xml:space="preserve"> и индекс </w:t>
      </w:r>
      <w:r w:rsidRPr="00E14102">
        <w:rPr>
          <w:rFonts w:ascii="Times New Roman" w:hAnsi="Times New Roman" w:cs="Times New Roman"/>
          <w:color w:val="000000" w:themeColor="text1"/>
          <w:sz w:val="16"/>
          <w:szCs w:val="16"/>
        </w:rPr>
        <w:t>Vs</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Kfz</w:t>
      </w:r>
      <w:r w:rsidRPr="00E14102">
        <w:rPr>
          <w:rFonts w:ascii="Times New Roman" w:hAnsi="Times New Roman" w:cs="Times New Roman"/>
          <w:color w:val="000000" w:themeColor="text1"/>
          <w:sz w:val="16"/>
          <w:szCs w:val="16"/>
          <w:lang w:val="ru-RU"/>
        </w:rPr>
        <w:t xml:space="preserve">.617 (опытная машина 617). Продержалось это обозначение недолго: в октябре 1935 года его сменило название </w:t>
      </w:r>
      <w:r w:rsidRPr="00E14102">
        <w:rPr>
          <w:rFonts w:ascii="Times New Roman" w:hAnsi="Times New Roman" w:cs="Times New Roman"/>
          <w:color w:val="000000" w:themeColor="text1"/>
          <w:sz w:val="16"/>
          <w:szCs w:val="16"/>
        </w:rPr>
        <w:t>M</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G</w:t>
      </w:r>
      <w:r w:rsidRPr="00E14102">
        <w:rPr>
          <w:rFonts w:ascii="Times New Roman" w:hAnsi="Times New Roman" w:cs="Times New Roman"/>
          <w:color w:val="000000" w:themeColor="text1"/>
          <w:sz w:val="16"/>
          <w:szCs w:val="16"/>
          <w:lang w:val="ru-RU"/>
        </w:rPr>
        <w:t xml:space="preserve">. </w:t>
      </w:r>
      <w:r w:rsidRPr="00E14102">
        <w:rPr>
          <w:rFonts w:ascii="Times New Roman" w:hAnsi="Times New Roman" w:cs="Times New Roman"/>
          <w:color w:val="000000" w:themeColor="text1"/>
          <w:sz w:val="16"/>
          <w:szCs w:val="16"/>
        </w:rPr>
        <w:t>Kampfwagen</w:t>
      </w:r>
      <w:r w:rsidRPr="00E14102">
        <w:rPr>
          <w:rFonts w:ascii="Times New Roman" w:hAnsi="Times New Roman" w:cs="Times New Roman"/>
          <w:color w:val="000000" w:themeColor="text1"/>
          <w:sz w:val="16"/>
          <w:szCs w:val="16"/>
          <w:lang w:val="ru-RU"/>
        </w:rPr>
        <w:t xml:space="preserve">, а в ноябре – </w:t>
      </w:r>
      <w:r w:rsidRPr="00E14102">
        <w:rPr>
          <w:rFonts w:ascii="Times New Roman" w:hAnsi="Times New Roman" w:cs="Times New Roman"/>
          <w:color w:val="000000" w:themeColor="text1"/>
          <w:sz w:val="16"/>
          <w:szCs w:val="16"/>
        </w:rPr>
        <w:t>M</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G</w:t>
      </w:r>
      <w:r w:rsidRPr="00E14102">
        <w:rPr>
          <w:rFonts w:ascii="Times New Roman" w:hAnsi="Times New Roman" w:cs="Times New Roman"/>
          <w:color w:val="000000" w:themeColor="text1"/>
          <w:sz w:val="16"/>
          <w:szCs w:val="16"/>
          <w:lang w:val="ru-RU"/>
        </w:rPr>
        <w:t xml:space="preserve">. </w:t>
      </w:r>
      <w:r w:rsidRPr="00E14102">
        <w:rPr>
          <w:rFonts w:ascii="Times New Roman" w:hAnsi="Times New Roman" w:cs="Times New Roman"/>
          <w:color w:val="000000" w:themeColor="text1"/>
          <w:sz w:val="16"/>
          <w:szCs w:val="16"/>
        </w:rPr>
        <w:t>Panzerkampfwagen</w:t>
      </w:r>
      <w:r w:rsidRPr="00E14102">
        <w:rPr>
          <w:rFonts w:ascii="Times New Roman" w:hAnsi="Times New Roman" w:cs="Times New Roman"/>
          <w:color w:val="000000" w:themeColor="text1"/>
          <w:sz w:val="16"/>
          <w:szCs w:val="16"/>
          <w:lang w:val="ru-RU"/>
        </w:rPr>
        <w:t>. Машины третьей серии лишились ненужного смотрового прибора в правом-заднем борту подбашенной коробки, а по бортам у них появились накладки-усилители. Усиление получили все опорные катки.</w:t>
      </w:r>
    </w:p>
    <w:p w14:paraId="3CEE078A" w14:textId="77777777" w:rsidR="001718B2" w:rsidRPr="00E14102" w:rsidRDefault="001718B2" w:rsidP="00E14102">
      <w:pPr>
        <w:shd w:val="clear" w:color="auto" w:fill="FFFFFF"/>
        <w:jc w:val="both"/>
        <w:rPr>
          <w:color w:val="000000" w:themeColor="text1"/>
          <w:sz w:val="16"/>
          <w:szCs w:val="16"/>
        </w:rPr>
      </w:pPr>
      <w:r w:rsidRPr="00E14102">
        <w:rPr>
          <w:color w:val="000000" w:themeColor="text1"/>
          <w:sz w:val="16"/>
          <w:szCs w:val="16"/>
        </w:rPr>
        <w:t xml:space="preserve">4.Serie/La.S. из 3-го танкового полка на манёврах </w:t>
      </w:r>
    </w:p>
    <w:p w14:paraId="12A41AC4" w14:textId="77777777" w:rsidR="001718B2" w:rsidRPr="00E14102" w:rsidRDefault="001718B2"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Последней серией машин этого типа стала 4.</w:t>
      </w:r>
      <w:r w:rsidRPr="00E14102">
        <w:rPr>
          <w:rFonts w:ascii="Times New Roman" w:hAnsi="Times New Roman" w:cs="Times New Roman"/>
          <w:color w:val="000000" w:themeColor="text1"/>
          <w:sz w:val="16"/>
          <w:szCs w:val="16"/>
        </w:rPr>
        <w:t>Serie</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La</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S</w:t>
      </w:r>
      <w:r w:rsidRPr="00E14102">
        <w:rPr>
          <w:rFonts w:ascii="Times New Roman" w:hAnsi="Times New Roman" w:cs="Times New Roman"/>
          <w:color w:val="000000" w:themeColor="text1"/>
          <w:sz w:val="16"/>
          <w:szCs w:val="16"/>
          <w:lang w:val="ru-RU"/>
        </w:rPr>
        <w:t xml:space="preserve">. В общей сложности было заказано 175 танков, при этом из списка производителей исчез </w:t>
      </w:r>
      <w:r w:rsidRPr="00E14102">
        <w:rPr>
          <w:rFonts w:ascii="Times New Roman" w:hAnsi="Times New Roman" w:cs="Times New Roman"/>
          <w:color w:val="000000" w:themeColor="text1"/>
          <w:sz w:val="16"/>
          <w:szCs w:val="16"/>
        </w:rPr>
        <w:t>MAN</w:t>
      </w:r>
      <w:r w:rsidRPr="00E14102">
        <w:rPr>
          <w:rFonts w:ascii="Times New Roman" w:hAnsi="Times New Roman" w:cs="Times New Roman"/>
          <w:color w:val="000000" w:themeColor="text1"/>
          <w:sz w:val="16"/>
          <w:szCs w:val="16"/>
          <w:lang w:val="ru-RU"/>
        </w:rPr>
        <w:t xml:space="preserve">. </w:t>
      </w:r>
      <w:r w:rsidRPr="00E14102">
        <w:rPr>
          <w:rFonts w:ascii="Times New Roman" w:hAnsi="Times New Roman" w:cs="Times New Roman"/>
          <w:color w:val="000000" w:themeColor="text1"/>
          <w:sz w:val="16"/>
          <w:szCs w:val="16"/>
        </w:rPr>
        <w:t>Grusonwerk</w:t>
      </w:r>
      <w:r w:rsidRPr="00E14102">
        <w:rPr>
          <w:rFonts w:ascii="Times New Roman" w:hAnsi="Times New Roman" w:cs="Times New Roman"/>
          <w:color w:val="000000" w:themeColor="text1"/>
          <w:sz w:val="16"/>
          <w:szCs w:val="16"/>
          <w:lang w:val="ru-RU"/>
        </w:rPr>
        <w:t xml:space="preserve"> получил контракт на 40 танков с серийными номерами 9366–9405. </w:t>
      </w:r>
      <w:r w:rsidRPr="00E14102">
        <w:rPr>
          <w:rFonts w:ascii="Times New Roman" w:hAnsi="Times New Roman" w:cs="Times New Roman"/>
          <w:color w:val="000000" w:themeColor="text1"/>
          <w:sz w:val="16"/>
          <w:szCs w:val="16"/>
        </w:rPr>
        <w:t>Rheinmetall</w:t>
      </w:r>
      <w:r w:rsidRPr="00E14102">
        <w:rPr>
          <w:rFonts w:ascii="Times New Roman" w:hAnsi="Times New Roman" w:cs="Times New Roman"/>
          <w:color w:val="000000" w:themeColor="text1"/>
          <w:sz w:val="16"/>
          <w:szCs w:val="16"/>
          <w:lang w:val="ru-RU"/>
        </w:rPr>
        <w:t xml:space="preserve"> должен был выпустить 30 4.</w:t>
      </w:r>
      <w:r w:rsidRPr="00E14102">
        <w:rPr>
          <w:rFonts w:ascii="Times New Roman" w:hAnsi="Times New Roman" w:cs="Times New Roman"/>
          <w:color w:val="000000" w:themeColor="text1"/>
          <w:sz w:val="16"/>
          <w:szCs w:val="16"/>
        </w:rPr>
        <w:t>Serie</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La</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S</w:t>
      </w:r>
      <w:r w:rsidRPr="00E14102">
        <w:rPr>
          <w:rFonts w:ascii="Times New Roman" w:hAnsi="Times New Roman" w:cs="Times New Roman"/>
          <w:color w:val="000000" w:themeColor="text1"/>
          <w:sz w:val="16"/>
          <w:szCs w:val="16"/>
          <w:lang w:val="ru-RU"/>
        </w:rPr>
        <w:t xml:space="preserve">. с серийными номерами 9931–9960. Самый большой контракт оказался у </w:t>
      </w:r>
      <w:r w:rsidRPr="00E14102">
        <w:rPr>
          <w:rFonts w:ascii="Times New Roman" w:hAnsi="Times New Roman" w:cs="Times New Roman"/>
          <w:color w:val="000000" w:themeColor="text1"/>
          <w:sz w:val="16"/>
          <w:szCs w:val="16"/>
        </w:rPr>
        <w:t>Henschel</w:t>
      </w:r>
      <w:r w:rsidRPr="00E14102">
        <w:rPr>
          <w:rFonts w:ascii="Times New Roman" w:hAnsi="Times New Roman" w:cs="Times New Roman"/>
          <w:color w:val="000000" w:themeColor="text1"/>
          <w:sz w:val="16"/>
          <w:szCs w:val="16"/>
          <w:lang w:val="ru-RU"/>
        </w:rPr>
        <w:t xml:space="preserve"> – 64 танка с серийными номерами 10186–10249. Наконец, </w:t>
      </w:r>
      <w:r w:rsidRPr="00E14102">
        <w:rPr>
          <w:rFonts w:ascii="Times New Roman" w:hAnsi="Times New Roman" w:cs="Times New Roman"/>
          <w:color w:val="000000" w:themeColor="text1"/>
          <w:sz w:val="16"/>
          <w:szCs w:val="16"/>
        </w:rPr>
        <w:t>Daimler</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Benz</w:t>
      </w:r>
      <w:r w:rsidRPr="00E14102">
        <w:rPr>
          <w:rFonts w:ascii="Times New Roman" w:hAnsi="Times New Roman" w:cs="Times New Roman"/>
          <w:color w:val="000000" w:themeColor="text1"/>
          <w:sz w:val="16"/>
          <w:szCs w:val="16"/>
          <w:lang w:val="ru-RU"/>
        </w:rPr>
        <w:t xml:space="preserve"> получил заказ на выпуск 41 танка с номерами 10436–10476. Танки четвёртой серии получили расширенный люк доступа к трансмиссии, а также усиленную ходовую часть.</w:t>
      </w:r>
    </w:p>
    <w:p w14:paraId="3CA39EAE" w14:textId="77777777" w:rsidR="001718B2" w:rsidRPr="00E14102" w:rsidRDefault="001718B2"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Реальный совокупный объём выпущенных танков 2–4 серий оказался меньшим – 1075 штук вместо чуть более 1300.</w:t>
      </w:r>
    </w:p>
    <w:p w14:paraId="6C0B4C01" w14:textId="77777777" w:rsidR="001718B2" w:rsidRPr="00E14102" w:rsidRDefault="001718B2"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В апреле 1936 года эти танки получили финальное обозначение – </w:t>
      </w:r>
      <w:r w:rsidRPr="00E14102">
        <w:rPr>
          <w:rFonts w:ascii="Times New Roman" w:hAnsi="Times New Roman" w:cs="Times New Roman"/>
          <w:color w:val="000000" w:themeColor="text1"/>
          <w:sz w:val="16"/>
          <w:szCs w:val="16"/>
        </w:rPr>
        <w:t>Pz</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Kpfw</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I</w:t>
      </w:r>
      <w:r w:rsidRPr="00E14102">
        <w:rPr>
          <w:rFonts w:ascii="Times New Roman" w:hAnsi="Times New Roman" w:cs="Times New Roman"/>
          <w:color w:val="000000" w:themeColor="text1"/>
          <w:sz w:val="16"/>
          <w:szCs w:val="16"/>
          <w:lang w:val="ru-RU"/>
        </w:rPr>
        <w:t xml:space="preserve"> (</w:t>
      </w:r>
      <w:r w:rsidRPr="00E14102">
        <w:rPr>
          <w:rFonts w:ascii="Times New Roman" w:hAnsi="Times New Roman" w:cs="Times New Roman"/>
          <w:color w:val="000000" w:themeColor="text1"/>
          <w:sz w:val="16"/>
          <w:szCs w:val="16"/>
        </w:rPr>
        <w:t>M</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G</w:t>
      </w:r>
      <w:r w:rsidRPr="00E14102">
        <w:rPr>
          <w:rFonts w:ascii="Times New Roman" w:hAnsi="Times New Roman" w:cs="Times New Roman"/>
          <w:color w:val="000000" w:themeColor="text1"/>
          <w:sz w:val="16"/>
          <w:szCs w:val="16"/>
          <w:lang w:val="ru-RU"/>
        </w:rPr>
        <w:t xml:space="preserve">.) со сквозным индексом </w:t>
      </w:r>
      <w:r w:rsidRPr="00E14102">
        <w:rPr>
          <w:rFonts w:ascii="Times New Roman" w:hAnsi="Times New Roman" w:cs="Times New Roman"/>
          <w:color w:val="000000" w:themeColor="text1"/>
          <w:sz w:val="16"/>
          <w:szCs w:val="16"/>
        </w:rPr>
        <w:t>Sd</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Kfz</w:t>
      </w:r>
      <w:r w:rsidRPr="00E14102">
        <w:rPr>
          <w:rFonts w:ascii="Times New Roman" w:hAnsi="Times New Roman" w:cs="Times New Roman"/>
          <w:color w:val="000000" w:themeColor="text1"/>
          <w:sz w:val="16"/>
          <w:szCs w:val="16"/>
          <w:lang w:val="ru-RU"/>
        </w:rPr>
        <w:t>.101 (спецмашина 101). Сейчас машины 2.</w:t>
      </w:r>
      <w:r w:rsidRPr="00E14102">
        <w:rPr>
          <w:rFonts w:ascii="Times New Roman" w:hAnsi="Times New Roman" w:cs="Times New Roman"/>
          <w:color w:val="000000" w:themeColor="text1"/>
          <w:sz w:val="16"/>
          <w:szCs w:val="16"/>
        </w:rPr>
        <w:t>Serie</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La</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S</w:t>
      </w:r>
      <w:r w:rsidRPr="00E14102">
        <w:rPr>
          <w:rFonts w:ascii="Times New Roman" w:hAnsi="Times New Roman" w:cs="Times New Roman"/>
          <w:color w:val="000000" w:themeColor="text1"/>
          <w:sz w:val="16"/>
          <w:szCs w:val="16"/>
          <w:lang w:val="ru-RU"/>
        </w:rPr>
        <w:t>.- 4.</w:t>
      </w:r>
      <w:r w:rsidRPr="00E14102">
        <w:rPr>
          <w:rFonts w:ascii="Times New Roman" w:hAnsi="Times New Roman" w:cs="Times New Roman"/>
          <w:color w:val="000000" w:themeColor="text1"/>
          <w:sz w:val="16"/>
          <w:szCs w:val="16"/>
        </w:rPr>
        <w:t>Serie</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La</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S</w:t>
      </w:r>
      <w:r w:rsidRPr="00E14102">
        <w:rPr>
          <w:rFonts w:ascii="Times New Roman" w:hAnsi="Times New Roman" w:cs="Times New Roman"/>
          <w:color w:val="000000" w:themeColor="text1"/>
          <w:sz w:val="16"/>
          <w:szCs w:val="16"/>
          <w:lang w:val="ru-RU"/>
        </w:rPr>
        <w:t xml:space="preserve">. известны как </w:t>
      </w:r>
      <w:r w:rsidRPr="00E14102">
        <w:rPr>
          <w:rFonts w:ascii="Times New Roman" w:hAnsi="Times New Roman" w:cs="Times New Roman"/>
          <w:color w:val="000000" w:themeColor="text1"/>
          <w:sz w:val="16"/>
          <w:szCs w:val="16"/>
        </w:rPr>
        <w:t>Pz</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Kpfw</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I</w:t>
      </w:r>
      <w:r w:rsidRPr="00E14102">
        <w:rPr>
          <w:rFonts w:ascii="Times New Roman" w:hAnsi="Times New Roman" w:cs="Times New Roman"/>
          <w:color w:val="000000" w:themeColor="text1"/>
          <w:sz w:val="16"/>
          <w:szCs w:val="16"/>
          <w:lang w:val="ru-RU"/>
        </w:rPr>
        <w:t xml:space="preserve"> </w:t>
      </w:r>
      <w:r w:rsidRPr="00E14102">
        <w:rPr>
          <w:rFonts w:ascii="Times New Roman" w:hAnsi="Times New Roman" w:cs="Times New Roman"/>
          <w:color w:val="000000" w:themeColor="text1"/>
          <w:sz w:val="16"/>
          <w:szCs w:val="16"/>
        </w:rPr>
        <w:t>Ausf</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A</w:t>
      </w:r>
      <w:r w:rsidRPr="00E14102">
        <w:rPr>
          <w:rFonts w:ascii="Times New Roman" w:hAnsi="Times New Roman" w:cs="Times New Roman"/>
          <w:color w:val="000000" w:themeColor="text1"/>
          <w:sz w:val="16"/>
          <w:szCs w:val="16"/>
          <w:lang w:val="ru-RU"/>
        </w:rPr>
        <w:t>. В процессе эксплуатации их конструкция подверглась ряду изменений. К началу Второй мировой войны танки получили переделанный воздухозаборник на надмоторной плите, установку с дымовым гранатометом, немного модернизирована была и ходовая часть.</w:t>
      </w:r>
    </w:p>
    <w:p w14:paraId="086FB78E" w14:textId="77777777" w:rsidR="001718B2" w:rsidRPr="00E14102" w:rsidRDefault="001718B2" w:rsidP="00E14102">
      <w:pPr>
        <w:shd w:val="clear" w:color="auto" w:fill="FFFFFF"/>
        <w:jc w:val="both"/>
        <w:rPr>
          <w:color w:val="000000" w:themeColor="text1"/>
          <w:sz w:val="16"/>
          <w:szCs w:val="16"/>
        </w:rPr>
      </w:pPr>
      <w:r w:rsidRPr="00E14102">
        <w:rPr>
          <w:color w:val="000000" w:themeColor="text1"/>
          <w:sz w:val="16"/>
          <w:szCs w:val="16"/>
        </w:rPr>
        <w:t xml:space="preserve">Модернизированный Pz.Kpfw.I Ausf.A с дымовыми гранатомётами </w:t>
      </w:r>
    </w:p>
    <w:p w14:paraId="40E1795C" w14:textId="77777777" w:rsidR="001718B2" w:rsidRPr="00E14102" w:rsidRDefault="001718B2"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Несмотря на то что </w:t>
      </w:r>
      <w:r w:rsidRPr="00E14102">
        <w:rPr>
          <w:rFonts w:ascii="Times New Roman" w:hAnsi="Times New Roman" w:cs="Times New Roman"/>
          <w:color w:val="000000" w:themeColor="text1"/>
          <w:sz w:val="16"/>
          <w:szCs w:val="16"/>
        </w:rPr>
        <w:t>La</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S</w:t>
      </w:r>
      <w:r w:rsidRPr="00E14102">
        <w:rPr>
          <w:rFonts w:ascii="Times New Roman" w:hAnsi="Times New Roman" w:cs="Times New Roman"/>
          <w:color w:val="000000" w:themeColor="text1"/>
          <w:sz w:val="16"/>
          <w:szCs w:val="16"/>
          <w:lang w:val="ru-RU"/>
        </w:rPr>
        <w:t>. получился не в пример лучше своих предшественников, первый по-настоящему массовый немецкий танк оказался не лишённым проблем. Поскольку исходная боевая масса оказалась превышенной более чем в полтора раза, 60-сильного мотора ему явно не хватало. Впоследствии это привело к разработке модификации, оснащённой более мощным мотором.</w:t>
      </w:r>
    </w:p>
    <w:p w14:paraId="24F98FCC" w14:textId="77777777" w:rsidR="001718B2" w:rsidRPr="00E14102" w:rsidRDefault="001718B2"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Хватало у </w:t>
      </w:r>
      <w:r w:rsidRPr="00E14102">
        <w:rPr>
          <w:rFonts w:ascii="Times New Roman" w:hAnsi="Times New Roman" w:cs="Times New Roman"/>
          <w:color w:val="000000" w:themeColor="text1"/>
          <w:sz w:val="16"/>
          <w:szCs w:val="16"/>
        </w:rPr>
        <w:t>Pz</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Kpfw</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I</w:t>
      </w:r>
      <w:r w:rsidRPr="00E14102">
        <w:rPr>
          <w:rFonts w:ascii="Times New Roman" w:hAnsi="Times New Roman" w:cs="Times New Roman"/>
          <w:color w:val="000000" w:themeColor="text1"/>
          <w:sz w:val="16"/>
          <w:szCs w:val="16"/>
          <w:lang w:val="ru-RU"/>
        </w:rPr>
        <w:t xml:space="preserve"> </w:t>
      </w:r>
      <w:r w:rsidRPr="00E14102">
        <w:rPr>
          <w:rFonts w:ascii="Times New Roman" w:hAnsi="Times New Roman" w:cs="Times New Roman"/>
          <w:color w:val="000000" w:themeColor="text1"/>
          <w:sz w:val="16"/>
          <w:szCs w:val="16"/>
        </w:rPr>
        <w:t>Ausf</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A</w:t>
      </w:r>
      <w:r w:rsidRPr="00E14102">
        <w:rPr>
          <w:rFonts w:ascii="Times New Roman" w:hAnsi="Times New Roman" w:cs="Times New Roman"/>
          <w:color w:val="000000" w:themeColor="text1"/>
          <w:sz w:val="16"/>
          <w:szCs w:val="16"/>
          <w:lang w:val="ru-RU"/>
        </w:rPr>
        <w:t xml:space="preserve"> и других технических проблем, что, впрочем, неудивительно – первенец всегда страдает детскими болезнями. Самой главной проблемой стало вооружение. Первые признаки того, что концепция танка поддержки пехоты с пулемётным вооружением уже устарела, обнаружились ещё во время применения </w:t>
      </w:r>
      <w:r w:rsidRPr="00E14102">
        <w:rPr>
          <w:rFonts w:ascii="Times New Roman" w:hAnsi="Times New Roman" w:cs="Times New Roman"/>
          <w:color w:val="000000" w:themeColor="text1"/>
          <w:sz w:val="16"/>
          <w:szCs w:val="16"/>
        </w:rPr>
        <w:t>Pz</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Kpfw</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I</w:t>
      </w:r>
      <w:r w:rsidRPr="00E14102">
        <w:rPr>
          <w:rFonts w:ascii="Times New Roman" w:hAnsi="Times New Roman" w:cs="Times New Roman"/>
          <w:color w:val="000000" w:themeColor="text1"/>
          <w:sz w:val="16"/>
          <w:szCs w:val="16"/>
          <w:lang w:val="ru-RU"/>
        </w:rPr>
        <w:t xml:space="preserve"> </w:t>
      </w:r>
      <w:r w:rsidRPr="00E14102">
        <w:rPr>
          <w:rFonts w:ascii="Times New Roman" w:hAnsi="Times New Roman" w:cs="Times New Roman"/>
          <w:color w:val="000000" w:themeColor="text1"/>
          <w:sz w:val="16"/>
          <w:szCs w:val="16"/>
        </w:rPr>
        <w:t>Ausf</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A</w:t>
      </w:r>
      <w:r w:rsidRPr="00E14102">
        <w:rPr>
          <w:rFonts w:ascii="Times New Roman" w:hAnsi="Times New Roman" w:cs="Times New Roman"/>
          <w:color w:val="000000" w:themeColor="text1"/>
          <w:sz w:val="16"/>
          <w:szCs w:val="16"/>
          <w:lang w:val="ru-RU"/>
        </w:rPr>
        <w:t xml:space="preserve"> в Испании. Немецкие машины оказались бессильными против республиканских Т-26, а противотанковые пушки оставляли им мало шансов на выживание. Те же результаты немцы получили в и ходе польской кампании осени 1939 года.</w:t>
      </w:r>
    </w:p>
    <w:p w14:paraId="150E42A1" w14:textId="77777777" w:rsidR="001718B2" w:rsidRPr="00E14102" w:rsidRDefault="001718B2"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lastRenderedPageBreak/>
        <w:t xml:space="preserve">Несмотря на это, небольшое количество </w:t>
      </w:r>
      <w:r w:rsidRPr="00E14102">
        <w:rPr>
          <w:rFonts w:ascii="Times New Roman" w:hAnsi="Times New Roman" w:cs="Times New Roman"/>
          <w:color w:val="000000" w:themeColor="text1"/>
          <w:sz w:val="16"/>
          <w:szCs w:val="16"/>
        </w:rPr>
        <w:t>Pz</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Kpfw</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I</w:t>
      </w:r>
      <w:r w:rsidRPr="00E14102">
        <w:rPr>
          <w:rFonts w:ascii="Times New Roman" w:hAnsi="Times New Roman" w:cs="Times New Roman"/>
          <w:color w:val="000000" w:themeColor="text1"/>
          <w:sz w:val="16"/>
          <w:szCs w:val="16"/>
          <w:lang w:val="ru-RU"/>
        </w:rPr>
        <w:t xml:space="preserve"> </w:t>
      </w:r>
      <w:r w:rsidRPr="00E14102">
        <w:rPr>
          <w:rFonts w:ascii="Times New Roman" w:hAnsi="Times New Roman" w:cs="Times New Roman"/>
          <w:color w:val="000000" w:themeColor="text1"/>
          <w:sz w:val="16"/>
          <w:szCs w:val="16"/>
        </w:rPr>
        <w:t>Ausf</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A</w:t>
      </w:r>
      <w:r w:rsidRPr="00E14102">
        <w:rPr>
          <w:rFonts w:ascii="Times New Roman" w:hAnsi="Times New Roman" w:cs="Times New Roman"/>
          <w:color w:val="000000" w:themeColor="text1"/>
          <w:sz w:val="16"/>
          <w:szCs w:val="16"/>
          <w:lang w:val="ru-RU"/>
        </w:rPr>
        <w:t xml:space="preserve"> даже в 1941 году всё ещё использовалось Африканским Корпусом. Большинство танков этой модификации, впрочем, к тому моменту использовались в качестве тренировочных. С них были сняты башни и подбашенные коробки. Примеры подобной конверсии можно обнаружить ещё в 1937 году.</w:t>
      </w:r>
    </w:p>
    <w:p w14:paraId="5F1ED2D5" w14:textId="77777777" w:rsidR="001718B2" w:rsidRPr="00E14102" w:rsidRDefault="001718B2"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В конце стоит упомянуть и единственную спецмашину, разработанную на базе </w:t>
      </w:r>
      <w:r w:rsidRPr="00E14102">
        <w:rPr>
          <w:rFonts w:ascii="Times New Roman" w:hAnsi="Times New Roman" w:cs="Times New Roman"/>
          <w:color w:val="000000" w:themeColor="text1"/>
          <w:sz w:val="16"/>
          <w:szCs w:val="16"/>
        </w:rPr>
        <w:t>Pz</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Kpfw</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I</w:t>
      </w:r>
      <w:r w:rsidRPr="00E14102">
        <w:rPr>
          <w:rFonts w:ascii="Times New Roman" w:hAnsi="Times New Roman" w:cs="Times New Roman"/>
          <w:color w:val="000000" w:themeColor="text1"/>
          <w:sz w:val="16"/>
          <w:szCs w:val="16"/>
          <w:lang w:val="ru-RU"/>
        </w:rPr>
        <w:t xml:space="preserve"> </w:t>
      </w:r>
      <w:r w:rsidRPr="00E14102">
        <w:rPr>
          <w:rFonts w:ascii="Times New Roman" w:hAnsi="Times New Roman" w:cs="Times New Roman"/>
          <w:color w:val="000000" w:themeColor="text1"/>
          <w:sz w:val="16"/>
          <w:szCs w:val="16"/>
        </w:rPr>
        <w:t>Ausf</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A</w:t>
      </w:r>
      <w:r w:rsidRPr="00E14102">
        <w:rPr>
          <w:rFonts w:ascii="Times New Roman" w:hAnsi="Times New Roman" w:cs="Times New Roman"/>
          <w:color w:val="000000" w:themeColor="text1"/>
          <w:sz w:val="16"/>
          <w:szCs w:val="16"/>
          <w:lang w:val="ru-RU"/>
        </w:rPr>
        <w:t>. Ещё в марте 1934 года был поднят вопрос о создании командирского танка на базе 2.</w:t>
      </w:r>
      <w:r w:rsidRPr="00E14102">
        <w:rPr>
          <w:rFonts w:ascii="Times New Roman" w:hAnsi="Times New Roman" w:cs="Times New Roman"/>
          <w:color w:val="000000" w:themeColor="text1"/>
          <w:sz w:val="16"/>
          <w:szCs w:val="16"/>
        </w:rPr>
        <w:t>Serie</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La</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S</w:t>
      </w:r>
      <w:r w:rsidRPr="00E14102">
        <w:rPr>
          <w:rFonts w:ascii="Times New Roman" w:hAnsi="Times New Roman" w:cs="Times New Roman"/>
          <w:color w:val="000000" w:themeColor="text1"/>
          <w:sz w:val="16"/>
          <w:szCs w:val="16"/>
          <w:lang w:val="ru-RU"/>
        </w:rPr>
        <w:t xml:space="preserve">., поскольку линейные машины имели только радиоприемники. Машина, получившая обозначение </w:t>
      </w:r>
      <w:r w:rsidRPr="00E14102">
        <w:rPr>
          <w:rFonts w:ascii="Times New Roman" w:hAnsi="Times New Roman" w:cs="Times New Roman"/>
          <w:color w:val="000000" w:themeColor="text1"/>
          <w:sz w:val="16"/>
          <w:szCs w:val="16"/>
        </w:rPr>
        <w:t>leichte</w:t>
      </w:r>
      <w:r w:rsidRPr="00E14102">
        <w:rPr>
          <w:rFonts w:ascii="Times New Roman" w:hAnsi="Times New Roman" w:cs="Times New Roman"/>
          <w:color w:val="000000" w:themeColor="text1"/>
          <w:sz w:val="16"/>
          <w:szCs w:val="16"/>
          <w:lang w:val="ru-RU"/>
        </w:rPr>
        <w:t xml:space="preserve"> (</w:t>
      </w:r>
      <w:r w:rsidRPr="00E14102">
        <w:rPr>
          <w:rFonts w:ascii="Times New Roman" w:hAnsi="Times New Roman" w:cs="Times New Roman"/>
          <w:color w:val="000000" w:themeColor="text1"/>
          <w:sz w:val="16"/>
          <w:szCs w:val="16"/>
        </w:rPr>
        <w:t>Funk</w:t>
      </w:r>
      <w:r w:rsidRPr="00E14102">
        <w:rPr>
          <w:rFonts w:ascii="Times New Roman" w:hAnsi="Times New Roman" w:cs="Times New Roman"/>
          <w:color w:val="000000" w:themeColor="text1"/>
          <w:sz w:val="16"/>
          <w:szCs w:val="16"/>
          <w:lang w:val="ru-RU"/>
        </w:rPr>
        <w:t xml:space="preserve">) </w:t>
      </w:r>
      <w:r w:rsidRPr="00E14102">
        <w:rPr>
          <w:rFonts w:ascii="Times New Roman" w:hAnsi="Times New Roman" w:cs="Times New Roman"/>
          <w:color w:val="000000" w:themeColor="text1"/>
          <w:sz w:val="16"/>
          <w:szCs w:val="16"/>
        </w:rPr>
        <w:t>Panzerwagen</w:t>
      </w:r>
      <w:r w:rsidRPr="00E14102">
        <w:rPr>
          <w:rFonts w:ascii="Times New Roman" w:hAnsi="Times New Roman" w:cs="Times New Roman"/>
          <w:color w:val="000000" w:themeColor="text1"/>
          <w:sz w:val="16"/>
          <w:szCs w:val="16"/>
          <w:lang w:val="ru-RU"/>
        </w:rPr>
        <w:t>, отличалась от линейного танка тем, что вместо башни у неё появилась неподвижная рубка, внутри которой располагалось необходимое радиооборудование. Всего таких машин было изготовлено 18 штук (17463).</w:t>
      </w:r>
    </w:p>
    <w:p w14:paraId="3C8B25FF" w14:textId="77777777" w:rsidR="001718B2" w:rsidRPr="00E14102" w:rsidRDefault="001718B2" w:rsidP="00E14102">
      <w:pPr>
        <w:pStyle w:val="ad"/>
        <w:shd w:val="clear" w:color="auto" w:fill="FFFFFF"/>
        <w:spacing w:before="0" w:after="0"/>
        <w:rPr>
          <w:rFonts w:ascii="Times New Roman" w:hAnsi="Times New Roman" w:cs="Times New Roman"/>
          <w:color w:val="000000" w:themeColor="text1"/>
          <w:sz w:val="16"/>
          <w:szCs w:val="16"/>
          <w:lang w:val="ru-RU"/>
        </w:rPr>
      </w:pPr>
    </w:p>
    <w:p w14:paraId="5C9B55A8" w14:textId="77777777" w:rsidR="009755AC" w:rsidRPr="00E14102" w:rsidRDefault="009755AC" w:rsidP="00E14102">
      <w:pPr>
        <w:jc w:val="both"/>
        <w:rPr>
          <w:color w:val="0070C0"/>
          <w:sz w:val="16"/>
          <w:szCs w:val="16"/>
        </w:rPr>
      </w:pPr>
      <w:r w:rsidRPr="00E14102">
        <w:rPr>
          <w:color w:val="0070C0"/>
          <w:sz w:val="16"/>
          <w:szCs w:val="16"/>
        </w:rPr>
        <w:t>В августе 1935 из-за ухудшения отношений между Италией и Эфиопией британские авианосцы HMS Courageous и HMS Glorious высадили свои самолеты в Александрии, Египет, чтобы не допустить распространения войны на территорию, контролируемую Великобританией. Самолеты остаются на берегу Египта до начала 1936 года.</w:t>
      </w:r>
    </w:p>
    <w:p w14:paraId="4E31F090" w14:textId="77777777" w:rsidR="009755AC" w:rsidRPr="00E14102" w:rsidRDefault="009755AC" w:rsidP="00E14102">
      <w:pPr>
        <w:jc w:val="both"/>
        <w:rPr>
          <w:color w:val="0070C0"/>
          <w:sz w:val="16"/>
          <w:szCs w:val="16"/>
        </w:rPr>
      </w:pPr>
    </w:p>
    <w:p w14:paraId="413D81B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FA5969A" w14:textId="77777777" w:rsidR="00D4105E" w:rsidRPr="00E14102" w:rsidRDefault="00D4105E" w:rsidP="00E14102">
      <w:pPr>
        <w:autoSpaceDE w:val="0"/>
        <w:autoSpaceDN w:val="0"/>
        <w:adjustRightInd w:val="0"/>
        <w:jc w:val="both"/>
        <w:rPr>
          <w:iCs/>
          <w:color w:val="000000" w:themeColor="text1"/>
          <w:sz w:val="16"/>
          <w:szCs w:val="16"/>
        </w:rPr>
      </w:pPr>
    </w:p>
    <w:p w14:paraId="3E8F85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августе-октябре 1935-го прошли государственные испытания самолета ТБ-ЗМ-34РН, проведенные при участии ведущего летчика-испытателя И.П.Белозерова, в отчете по которым отмечалось: "Самолет по (...) максимальной скорости, потолку, скороподъемности имеет несомненное преимущество перед ТБ-ЗМ-34Р, в то же время значительно уступает по максимальной скорости (...) "Боингу-229" (5740,7).</w:t>
      </w:r>
    </w:p>
    <w:p w14:paraId="22FB0398" w14:textId="77777777" w:rsidR="00D4105E" w:rsidRPr="00E14102" w:rsidRDefault="00D4105E" w:rsidP="00E14102">
      <w:pPr>
        <w:autoSpaceDE w:val="0"/>
        <w:autoSpaceDN w:val="0"/>
        <w:adjustRightInd w:val="0"/>
        <w:jc w:val="both"/>
        <w:rPr>
          <w:color w:val="000000" w:themeColor="text1"/>
          <w:sz w:val="16"/>
          <w:szCs w:val="16"/>
        </w:rPr>
      </w:pPr>
    </w:p>
    <w:p w14:paraId="12C59F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августа 1935 по сентябрь проходили эксплуатационные испытания ИП-1. Проявились дефекты (80,154).</w:t>
      </w:r>
    </w:p>
    <w:p w14:paraId="428133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началось серийное производство ИП-1 Д.П.Г. на ХАЗ. В 1934-1936 выпустили 200 (237,175).</w:t>
      </w:r>
    </w:p>
    <w:p w14:paraId="71A80D9F" w14:textId="77777777" w:rsidR="00D4105E" w:rsidRPr="00E14102" w:rsidRDefault="00D4105E" w:rsidP="00E14102">
      <w:pPr>
        <w:autoSpaceDE w:val="0"/>
        <w:autoSpaceDN w:val="0"/>
        <w:adjustRightInd w:val="0"/>
        <w:jc w:val="both"/>
        <w:rPr>
          <w:color w:val="000000" w:themeColor="text1"/>
          <w:sz w:val="16"/>
          <w:szCs w:val="16"/>
        </w:rPr>
      </w:pPr>
    </w:p>
    <w:p w14:paraId="2DFDF013" w14:textId="77777777" w:rsidR="00AA71EF" w:rsidRPr="00E14102" w:rsidRDefault="00AA71EF" w:rsidP="00E14102">
      <w:pPr>
        <w:shd w:val="clear" w:color="auto" w:fill="FFFFFF"/>
        <w:jc w:val="both"/>
        <w:rPr>
          <w:color w:val="0070C0"/>
          <w:sz w:val="16"/>
          <w:szCs w:val="16"/>
        </w:rPr>
      </w:pPr>
      <w:r w:rsidRPr="00E14102">
        <w:rPr>
          <w:color w:val="0070C0"/>
          <w:sz w:val="16"/>
          <w:szCs w:val="16"/>
        </w:rPr>
        <w:t xml:space="preserve">В августе-сентябре 1935 ВВА-1 проходил испытания в НИИ ВВС. Следует отметить, что ВВА-1 проходил испытания без внешнего капота и не со своим винтом. При пробе мотора, как на земле, так и в воздухе с винтом, спроектированным специально для ВВА-1, ощущалась значительная вибрация конструкции самолета. Наибольшей величины вибрация достигала при оборотах мотора от 1100 до 1400 об/мин. В связи с этим для проведения испытаний на машину поставили винт от самолета У-2. С этим винтом вибрация все же имела место, но была несколько меньше. В полете вибрация сказывалась, прежде всего, в колебаниях стрелок всех приборов, размещенных на приборной доске. Мотор запускался установленным для М-11 способом – от руки, так как храповик для автостартера не устанавливался. Отмечалось неудобное расположение пускового магнето – очень низко и далеко. При пробе мотора под колеса подкладывались колодки обычного типа, при этом хвост машины при взятой «на себя» ручке управления можно было не держать. В зависимости от грунта аэродрома ВВА-1 рулил при 900-1000 об/мин, при этом его скорость соответствовала нормальному шагу сопровождающего. Рулил самолет устойчиво и хорошо слушался руля направления. На ровной поверхности для облегчения хвоста ручку управления необходимо было держать нейтрально. Размер колес для работы машины с мягкого грунта считался недостаточным, в таких случаях самолет вязнул. Обзор вперед и влево до 60° был удовлетворительный, вправо и по сторонам плохой, назад и вверх отсутствовал. Это объяснялось положением пилота в кабине, а также множеством переплетов фонаря кабины, что сокращало поле видимости. Для улучшения обзора рекомендовалось с обеих сторон сделать легко открывающиеся окна. Самолет взлетал очень тяжело, хвост поднимался медленно. При этом ручку управления требовалось дать «от себя» полностью, что для летчика среднего роста было сделать весьма затруднительно. После подъема хвоста ручку необходимо было слегка взять «на себя». Испытатели отмечали, что при разбеге ВВА-1 не чувствовалось нарастания скорости и стремления машины самой оторваться от земли, как это наблюдалось у других самолетов. Во время взлета самолет обычно требовал отрывания его от земли, а в штиль его разбег достигал 300 м. Открытие закрылков, не уменьшая времени разбега, сокращало его длину всего на 12%, при этом в штиль разбег составлял 240 м. При разбеге самолет имел тенденцию к рысканью, и его все время требовалось держать ножным управлением для сохранения прямой. Рысканье объяснялось в первую очередь чрезмерной чувствительностью руля направления и крайне неудачной конструкцией педалей, при которой ноги летчика все время были на весу. Из-за этого незначительный нажим на педаль тут же приводил к развороту. К тому же педали имели большой ход, из-за чего у летчика среднего роста «не хватало» ног для перевода их из одного крайнего положения в другое. Вследствие малой скороподъемности (2,05 м/с у земли) высоту самолет набирал медленно. Для набора 30 м машине требовалось расстояние в 500-600 м, что, учитывая еще и большой разбег, делало невозможным её взлет с ограниченных аэродромов, имеющих высокие препятствия. Наивыгоднейшая скорость набора высоты до 1000 м составляла 110 км/ч (по прибору) при 1500 об/ мин для винта, специально спроектированного для ВВА-1 и при 1600 об/мин для винта от самолета У-2. По мере набора высоты скорость необходимо было уменьшать на 5 км/ч на каждые 1000 м. Высоту машина набирала устойчиво даже с брошенной ручкой. При уменьшении оборотов, а также на планировании самолет «висел» на ручке. Но в случае сдачи мотора он переходил на нос с тенденцией развернуться и кренился вправо. В спокойную погоду ВВА-1 в горизонтальном полете шел устойчиво, допуская полет с брошенным управлением. Но к болтанке самолет был чувствителен. Скорость при 1500 об/мин составляла 115-120 км/ч. Так как внутренняя хорда коробки крыльев шла параллельно оси винта и строительной горизонтали самолета, последний летал с несколько опущенным хвостом. С закрытыми закрылками самолет был достаточно устойчив. Однако полных исследований на устойчивость при всех режимах полета и с разным открытием закрылков не проводилось. Длительный полет вследствие неудачного расположения органов управления и неудобного расположения сиденья очень утомлял летчика. Полет в облаках и в тумане был затруднен из-за излишней чувствительности самолета на самое незначительное движение ножным управлением. К тому же вести курс по компасу К-4 оказалось затруднительно, так как последний расположили далеко, в стороне от глаз летчика. Маневренность самолета проверяли на высоте 800 м. Виражил он на скорости 120-125 км/ч при 1550 об/мин устойчиво, но при этом летчику требовалось все время быть внимательным и следить за движениями ног, которые должны были быть незначительными. Время виража составило 25 с для левого и 27,3 с для правого. Наивыгоднейшая скорость планирования составляла 110-115 км/ч при минимальных оборотах мотора. Траектория планирования по сравнению с самолетом У-2 была более крутая. При брошенной ручке ВВА-1 увеличивал скорость до 145-150 км/ч (по прибору), после чего продолжал устойчиво планировать на этой скорости. Полностью открытые закрылки и щитки делали траекторию планирования еще более крутой. В отличие от разбега посадка самолета ВВА-1 была простой. Он легко садился на три точки, не имея тенденции к взмыванию. Из-за особенностей аэродинамики при посадке без применения механизации Су не доходило до максимального значения, из-за чего получалось увеличение посадочной скорости или посадка на костыль. При убранных закрылках и щитках пробег был большой и составлял 180 м (в штиль). Во время пробега машина имела тенденцию к незначительному рысканью. </w:t>
      </w:r>
    </w:p>
    <w:p w14:paraId="01EFD688" w14:textId="77777777" w:rsidR="00AA71EF" w:rsidRPr="00E14102" w:rsidRDefault="00AA71EF" w:rsidP="00E14102">
      <w:pPr>
        <w:shd w:val="clear" w:color="auto" w:fill="FFFFFF"/>
        <w:jc w:val="both"/>
        <w:rPr>
          <w:color w:val="0070C0"/>
          <w:sz w:val="16"/>
          <w:szCs w:val="16"/>
        </w:rPr>
      </w:pPr>
      <w:r w:rsidRPr="00E14102">
        <w:rPr>
          <w:color w:val="0070C0"/>
          <w:sz w:val="16"/>
          <w:szCs w:val="16"/>
        </w:rPr>
        <w:t>Составляя общее впечатление о ВВА-1, ведущие специалисты отметили, что из-за неудобного расположения сидения, командных рычагов управления, излишней чувствительности руля направления и трудного взлета пилотирование самолета усложнялось, и от летчика требовалось большое внимание и напряжение. Эти недостатки затмевали все положительные стороны машины – хорошую устойчивость и легкость управления. В своих выводах военные испытатели отметили, что летные данные самолета ВВА-1 очень низки. Это объяснялось неудачно выбранной аэродинамической схемой самолета, представляющего собой полутораплан с мощными стойками, без выноса крыльев, с фюзеляжем очень большого миделя, невыгодно расположенного по отношению к коробке крыльев. Вместе с этим конструкция машины сравнительно с расчетными данными оказалась перетяжеленной на 265 кг, то есть на 46% проектной массы. Из-за этого грузоподъемность самолета существенно снизилась, так как перетяжеление пошло за счет полезной нагрузки. Разбег и пробег машины оказались очень большими, более 200 м. Причем техника выполнения разбега была сложной, так как самолет с трудом поднимал хвост, медленно набирал скорость и после отрыва медленно набирал высоту. В связи с этим полеты на ВВА-1 можно было производить только на больших аэродромах с хорошими подходами. Посадочная скорость также оказалась велика. Применение закрылков и щитков на разбеге и посадке оказалось малоэффективно, при этом посадочная скорость снижалась лишь на 17%. К конструктивным недостаткам испытатели отнесли неудовлетворительную работу механизмов управления закрылками и щитками, неудобное расположение ручки управления самолетом, плохую видимость через стекла кабины пилота в плохую погоду (дождь, снег), а также плохой обзор назад вверх. Вместе с тем отмечалось, что в полете самолет хорошо сбалансирован, устойчив и имеет удовлетворительную управляемость. Производственное исполнение получило хорошую оценку, так как окраска, внутренняя и внешняя отделка машины были выполнены аккуратно, тщательно и чисто.</w:t>
      </w:r>
    </w:p>
    <w:p w14:paraId="6905D9C6" w14:textId="77777777" w:rsidR="00AA71EF" w:rsidRPr="00E14102" w:rsidRDefault="00AA71EF" w:rsidP="00E14102">
      <w:pPr>
        <w:shd w:val="clear" w:color="auto" w:fill="FFFFFF"/>
        <w:jc w:val="both"/>
        <w:rPr>
          <w:color w:val="0070C0"/>
          <w:sz w:val="16"/>
          <w:szCs w:val="16"/>
        </w:rPr>
      </w:pPr>
      <w:r w:rsidRPr="00E14102">
        <w:rPr>
          <w:color w:val="0070C0"/>
          <w:sz w:val="16"/>
          <w:szCs w:val="16"/>
        </w:rPr>
        <w:t>На основании вышеизложенного в своем заключении специалисты НИИ ВВС РККА отметили, что «по своим летно-эксплуатационным данным самолет ВВА-1 интереса не представляет». Дальнейшая модификация предъявленного на испытания экземпляра считалась нецелесообразной, так как основные недостатки машины (перетяжеление конструкции и неудачная схема коробки крыльев) были неустранимы (20108).</w:t>
      </w:r>
    </w:p>
    <w:p w14:paraId="20806DE1" w14:textId="77777777" w:rsidR="00AA71EF" w:rsidRPr="00E14102" w:rsidRDefault="00AA71EF" w:rsidP="00E14102">
      <w:pPr>
        <w:shd w:val="clear" w:color="auto" w:fill="FFFFFF"/>
        <w:jc w:val="both"/>
        <w:rPr>
          <w:color w:val="0070C0"/>
          <w:sz w:val="16"/>
          <w:szCs w:val="16"/>
        </w:rPr>
      </w:pPr>
    </w:p>
    <w:p w14:paraId="571F792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D78D39E" w14:textId="77777777" w:rsidR="00D4105E" w:rsidRPr="00E14102" w:rsidRDefault="00D4105E" w:rsidP="00E14102">
      <w:pPr>
        <w:autoSpaceDE w:val="0"/>
        <w:autoSpaceDN w:val="0"/>
        <w:adjustRightInd w:val="0"/>
        <w:jc w:val="both"/>
        <w:rPr>
          <w:iCs/>
          <w:color w:val="000000" w:themeColor="text1"/>
          <w:sz w:val="16"/>
          <w:szCs w:val="16"/>
        </w:rPr>
      </w:pPr>
    </w:p>
    <w:p w14:paraId="69AE528D" w14:textId="77777777" w:rsidR="009755AC" w:rsidRPr="00E14102" w:rsidRDefault="009755AC"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мае и августе 1936 г. доработанный Т-35 вновь подвергся испытаниям. К сожалению, о данных ис</w:t>
      </w:r>
      <w:r w:rsidRPr="00E14102">
        <w:rPr>
          <w:color w:val="000000" w:themeColor="text1"/>
          <w:sz w:val="16"/>
          <w:szCs w:val="16"/>
        </w:rPr>
        <w:softHyphen/>
        <w:t>пытаниях известно только то, что в ходе их прибор опять дорабатывался и совершенствовался. 17 сентября 1936 г. на показ К. Ворошилову вышел танк Т-35, оснащенный прибором ПУАсТ-35 (прибор управле</w:t>
      </w:r>
      <w:r w:rsidRPr="00E14102">
        <w:rPr>
          <w:color w:val="000000" w:themeColor="text1"/>
          <w:sz w:val="16"/>
          <w:szCs w:val="16"/>
        </w:rPr>
        <w:softHyphen/>
        <w:t>ния артиллерийской стрельбой Т-35). Стреляли по четы</w:t>
      </w:r>
      <w:r w:rsidRPr="00E14102">
        <w:rPr>
          <w:color w:val="000000" w:themeColor="text1"/>
          <w:sz w:val="16"/>
          <w:szCs w:val="16"/>
        </w:rPr>
        <w:softHyphen/>
        <w:t>рем ясно видимым и одной ограниченно видимой мишени (наблюдение за которой велось только при помощи перис</w:t>
      </w:r>
      <w:r w:rsidRPr="00E14102">
        <w:rPr>
          <w:color w:val="000000" w:themeColor="text1"/>
          <w:sz w:val="16"/>
          <w:szCs w:val="16"/>
        </w:rPr>
        <w:softHyphen/>
        <w:t>копа артиллерийского разведчика и только по показаниям «вычислителя Гаврилова»), находившимся на дальности от 300 м до 3 км, по данным, которые наводчики считывали на шкалах «часовых указателей». Объективы прицелов танко</w:t>
      </w:r>
      <w:r w:rsidRPr="00E14102">
        <w:rPr>
          <w:color w:val="000000" w:themeColor="text1"/>
          <w:sz w:val="16"/>
          <w:szCs w:val="16"/>
        </w:rPr>
        <w:softHyphen/>
        <w:t xml:space="preserve">вых орудий перед стрельбой были заклеены папиросной бумагой. Всего было произведено пять серий выстрелов, в ходе которых затратили 17 снарядов калибра 76,2-мм, а также 21 снаряд калибра 45-мм, при этом отмечалось 11 прямых </w:t>
      </w:r>
      <w:r w:rsidRPr="00E14102">
        <w:rPr>
          <w:color w:val="000000" w:themeColor="text1"/>
          <w:sz w:val="16"/>
          <w:szCs w:val="16"/>
        </w:rPr>
        <w:lastRenderedPageBreak/>
        <w:t>попаданий, а также 13 попаданий в «непосредст</w:t>
      </w:r>
      <w:r w:rsidRPr="00E14102">
        <w:rPr>
          <w:color w:val="000000" w:themeColor="text1"/>
          <w:sz w:val="16"/>
          <w:szCs w:val="16"/>
        </w:rPr>
        <w:softHyphen/>
        <w:t>венной близости» от мишеней. Ворошилов был доволен результатами показа. В заключении сводного отчета говорилось: «Примене</w:t>
      </w:r>
      <w:r w:rsidRPr="00E14102">
        <w:rPr>
          <w:color w:val="000000" w:themeColor="text1"/>
          <w:sz w:val="16"/>
          <w:szCs w:val="16"/>
        </w:rPr>
        <w:softHyphen/>
        <w:t>ние ПУАТ-35 позволяет вести точный артиллерийский огонь танка Т-35 по целям, выбранным командиром танка силами наводчиков, не имеющих специального образования и навы</w:t>
      </w:r>
      <w:r w:rsidRPr="00E14102">
        <w:rPr>
          <w:color w:val="000000" w:themeColor="text1"/>
          <w:sz w:val="16"/>
          <w:szCs w:val="16"/>
        </w:rPr>
        <w:softHyphen/>
        <w:t>ков... Работы над Прибором следует продолжить с точки зрения улучшения надежности его работы и упрощения конструкции и правил его использования...» Работы над прибором, называвшимся теперь ПУАТ-35, продолжались и в 1937 г. В 1938 г. прибор демонстрировал</w:t>
      </w:r>
      <w:r w:rsidRPr="00E14102">
        <w:rPr>
          <w:color w:val="000000" w:themeColor="text1"/>
          <w:sz w:val="16"/>
          <w:szCs w:val="16"/>
        </w:rPr>
        <w:softHyphen/>
        <w:t>ся новому нач. АБТУ Д. Павлову, и в ноябрьском отчете с его визбй значились такие слова: «Прибор ПУАТ-35 являет</w:t>
      </w:r>
      <w:r w:rsidRPr="00E14102">
        <w:rPr>
          <w:color w:val="000000" w:themeColor="text1"/>
          <w:sz w:val="16"/>
          <w:szCs w:val="16"/>
        </w:rPr>
        <w:softHyphen/>
        <w:t>ся опытным и негодным для войсковой эксплоатации... К чис</w:t>
      </w:r>
      <w:r w:rsidRPr="00E14102">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E14102">
        <w:rPr>
          <w:color w:val="000000" w:themeColor="text1"/>
          <w:sz w:val="16"/>
          <w:szCs w:val="16"/>
        </w:rPr>
        <w:softHyphen/>
        <w:t>ков Т-35 под установку ПУАТ не представляется целесооб</w:t>
      </w:r>
      <w:r w:rsidRPr="00E14102">
        <w:rPr>
          <w:color w:val="000000" w:themeColor="text1"/>
          <w:sz w:val="16"/>
          <w:szCs w:val="16"/>
        </w:rPr>
        <w:softHyphen/>
        <w:t>разной из-за их малого количества, высокой стоимости само</w:t>
      </w:r>
      <w:r w:rsidRPr="00E14102">
        <w:rPr>
          <w:color w:val="000000" w:themeColor="text1"/>
          <w:sz w:val="16"/>
          <w:szCs w:val="16"/>
        </w:rPr>
        <w:softHyphen/>
        <w:t>го прибора и его сомнительной боевой ценности в условиях со</w:t>
      </w:r>
      <w:r w:rsidRPr="00E14102">
        <w:rPr>
          <w:color w:val="000000" w:themeColor="text1"/>
          <w:sz w:val="16"/>
          <w:szCs w:val="16"/>
        </w:rPr>
        <w:softHyphen/>
        <w:t>временной маневренной войны...» (10733,365).</w:t>
      </w:r>
    </w:p>
    <w:p w14:paraId="5FA1CB6E" w14:textId="77777777" w:rsidR="009755AC" w:rsidRPr="00E14102" w:rsidRDefault="009755AC" w:rsidP="00E14102">
      <w:pPr>
        <w:shd w:val="clear" w:color="auto" w:fill="FFFFFF"/>
        <w:autoSpaceDE w:val="0"/>
        <w:autoSpaceDN w:val="0"/>
        <w:adjustRightInd w:val="0"/>
        <w:jc w:val="both"/>
        <w:rPr>
          <w:color w:val="000000" w:themeColor="text1"/>
          <w:sz w:val="16"/>
          <w:szCs w:val="16"/>
        </w:rPr>
      </w:pPr>
    </w:p>
    <w:p w14:paraId="4F5B42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августе - октябре 1935 в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были испытаны радиоуправляемые торпеды «Акула-1», «Акула-2». В 1930-е  г. разрабатывались «Сверхторпеды» типа «СУ» калибром 610 и 686 мм (11982).</w:t>
      </w:r>
    </w:p>
    <w:p w14:paraId="7B14A8EE" w14:textId="77777777" w:rsidR="00D4105E" w:rsidRPr="00E14102" w:rsidRDefault="00D4105E" w:rsidP="00E14102">
      <w:pPr>
        <w:autoSpaceDE w:val="0"/>
        <w:autoSpaceDN w:val="0"/>
        <w:adjustRightInd w:val="0"/>
        <w:jc w:val="both"/>
        <w:rPr>
          <w:color w:val="000000" w:themeColor="text1"/>
          <w:sz w:val="16"/>
          <w:szCs w:val="16"/>
        </w:rPr>
      </w:pPr>
    </w:p>
    <w:p w14:paraId="49896103" w14:textId="77777777" w:rsidR="006C0F81" w:rsidRPr="00E14102" w:rsidRDefault="006C0F81" w:rsidP="00E14102">
      <w:pPr>
        <w:pStyle w:val="Default"/>
        <w:jc w:val="both"/>
        <w:rPr>
          <w:rFonts w:eastAsia="TimesNewRomanPSMT"/>
          <w:color w:val="0070C0"/>
          <w:sz w:val="16"/>
          <w:szCs w:val="16"/>
        </w:rPr>
      </w:pPr>
      <w:r w:rsidRPr="00E14102">
        <w:rPr>
          <w:color w:val="0070C0"/>
          <w:sz w:val="16"/>
          <w:szCs w:val="16"/>
        </w:rPr>
        <w:t>В августе – декабре 1935 г. на Центральном военно-химическом полигоне (ЦВХП, пос. Шиханы, Саратовская обл.) были проведены сравнительные испытания 107-мм чугунных химических мин заводов «Поршень» и «Ростсельмаш» с целью определения механической прочности корпуса мины при выстреле, баллистических характеристик (меткость и поведение при полете), разновесности и разнообъемности. Их принципиальным отличием был способ изготовления – мины завода «Поршень» были изготовлены путем отливки в метал-формах, мины завода «Ростсельмаш» - путем отливки в опоках. Оба варианта 107-мм чугунных мин были признаны выдержавшими испытание стрельбой.425 (20074).</w:t>
      </w:r>
    </w:p>
    <w:p w14:paraId="365B7F97" w14:textId="77777777" w:rsidR="006C0F81" w:rsidRPr="00E14102" w:rsidRDefault="006C0F81" w:rsidP="00E14102">
      <w:pPr>
        <w:jc w:val="both"/>
        <w:rPr>
          <w:rFonts w:eastAsia="TimesNewRomanPSMT"/>
          <w:color w:val="0070C0"/>
          <w:sz w:val="16"/>
          <w:szCs w:val="16"/>
        </w:rPr>
      </w:pPr>
    </w:p>
    <w:p w14:paraId="62A1BBE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1B185AB" w14:textId="77777777" w:rsidR="00D4105E" w:rsidRPr="00E14102" w:rsidRDefault="00D4105E" w:rsidP="00E14102">
      <w:pPr>
        <w:autoSpaceDE w:val="0"/>
        <w:autoSpaceDN w:val="0"/>
        <w:adjustRightInd w:val="0"/>
        <w:jc w:val="both"/>
        <w:rPr>
          <w:iCs/>
          <w:color w:val="000000" w:themeColor="text1"/>
          <w:sz w:val="16"/>
          <w:szCs w:val="16"/>
        </w:rPr>
      </w:pPr>
    </w:p>
    <w:p w14:paraId="4261F6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лета 1935 г. ЦКБ-26 продемонстрировали наркому обороны К.Е.Ворошилову и наркому тяжелой промышленности Г.К.Орджоникидзе. Они высоко оценили новую машину и обязали С.В.Ильюшина в кратчайший срок представить на испытания вариант ЦКБ-26 с моторами М-34НР А.А.Микулина и вариант самолета цельнометаллической конструкции с моторами М-85, учитывающий результаты летных испытаний первой машины и полностью отвечающий требованиям ВВС к дальнему бомбардировщику. В соответствии с этим решением был подготовлен проект постановления Совета Труда и Обороны СССР о создании скоростного бомбардировщика дальнего действия ЦКБ-30. Работа бригады № 3 ЦКБ над скоростным дальним бомбардировщиком получила официальную поддержку (9528).</w:t>
      </w:r>
    </w:p>
    <w:p w14:paraId="433FE5CB" w14:textId="77777777" w:rsidR="00D4105E" w:rsidRPr="00E14102" w:rsidRDefault="00D4105E" w:rsidP="00E14102">
      <w:pPr>
        <w:autoSpaceDE w:val="0"/>
        <w:autoSpaceDN w:val="0"/>
        <w:adjustRightInd w:val="0"/>
        <w:jc w:val="both"/>
        <w:rPr>
          <w:color w:val="000000" w:themeColor="text1"/>
          <w:sz w:val="16"/>
          <w:szCs w:val="16"/>
        </w:rPr>
      </w:pPr>
    </w:p>
    <w:p w14:paraId="3E22BBD3" w14:textId="77777777" w:rsidR="006C0F81" w:rsidRPr="00E14102" w:rsidRDefault="006C0F81" w:rsidP="00E14102">
      <w:pPr>
        <w:jc w:val="both"/>
        <w:rPr>
          <w:color w:val="0070C0"/>
          <w:sz w:val="16"/>
          <w:szCs w:val="16"/>
        </w:rPr>
      </w:pPr>
      <w:r w:rsidRPr="00E14102">
        <w:rPr>
          <w:color w:val="0070C0"/>
          <w:sz w:val="16"/>
          <w:szCs w:val="16"/>
        </w:rPr>
        <w:t>В конце лета 1935 г. ЦКБ-26 продемонстрировали наркому обороны К.Е. Ворошилову и наркому тяжелой промышленности Г.К. Орджоникидзе. Машина им понравилась, и С.В. Ильюшин получил указание в кратчайший срок подготовить к испытаниям второй опыт</w:t>
      </w:r>
      <w:r w:rsidRPr="00E14102">
        <w:rPr>
          <w:color w:val="0070C0"/>
          <w:sz w:val="16"/>
          <w:szCs w:val="16"/>
        </w:rPr>
        <w:softHyphen/>
        <w:t xml:space="preserve">ный образец — цельнометаллический </w:t>
      </w:r>
      <w:r w:rsidRPr="00E14102">
        <w:rPr>
          <w:rStyle w:val="aff"/>
          <w:color w:val="0070C0"/>
          <w:spacing w:val="0"/>
          <w:sz w:val="16"/>
          <w:szCs w:val="16"/>
        </w:rPr>
        <w:t>ЦКБ-30,</w:t>
      </w:r>
      <w:r w:rsidRPr="00E14102">
        <w:rPr>
          <w:color w:val="0070C0"/>
          <w:sz w:val="16"/>
          <w:szCs w:val="16"/>
        </w:rPr>
        <w:t xml:space="preserve"> полностью соответствовавший требованиям ВВС (19944).</w:t>
      </w:r>
    </w:p>
    <w:p w14:paraId="558C62B2" w14:textId="77777777" w:rsidR="006C0F81" w:rsidRPr="00E14102" w:rsidRDefault="006C0F81" w:rsidP="00E14102">
      <w:pPr>
        <w:jc w:val="both"/>
        <w:rPr>
          <w:color w:val="0070C0"/>
          <w:sz w:val="16"/>
          <w:szCs w:val="16"/>
        </w:rPr>
      </w:pPr>
    </w:p>
    <w:p w14:paraId="055F6C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лета 1935 расчеты были завершены и чертежи ЦКБ-30 начали передаваться на завод (24,85).</w:t>
      </w:r>
    </w:p>
    <w:p w14:paraId="38BFDC66" w14:textId="77777777" w:rsidR="00D4105E" w:rsidRPr="00E14102" w:rsidRDefault="00D4105E" w:rsidP="00E14102">
      <w:pPr>
        <w:autoSpaceDE w:val="0"/>
        <w:autoSpaceDN w:val="0"/>
        <w:adjustRightInd w:val="0"/>
        <w:jc w:val="both"/>
        <w:rPr>
          <w:color w:val="000000" w:themeColor="text1"/>
          <w:sz w:val="16"/>
          <w:szCs w:val="16"/>
        </w:rPr>
      </w:pPr>
    </w:p>
    <w:p w14:paraId="337714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лета 1935 закончили изготовлением ЦКБ-19, второй опытный. Эта машина строилась в 1935 с учётом испытаний ЦКБ-15. Согласно документации, сопровождающей постройку ЦКБ-19, самолёт оснастили двигателем "Испано Сюиза" HS 12Ybrs с воздушным винтом диаметром 3,0 м. Однако уже при подготовке к испытаниям а материалах весовой бригады № б ЦКБ указывается двигатель М-100. Вполне возможно, имела место замена двигателя, одновременно, по ряду причин (факт освоения моторным заводом, выпуск первых серийных, стремление использовать отечественное обозначение и т. д.) французкий "Испано" могли называть как М-100. Так или иначе, в дальнейшем указывался всегда М-100.</w:t>
      </w:r>
    </w:p>
    <w:p w14:paraId="7A498F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Что касается указанного диаметра воздушного винта - 3,0 м - в данном случае полной ясности нет. Трёхметровый диаметр воздушного винта представлялся наиболее благоприятным для истребителя с размахом крыла 10,0 м. Однако HS 12Ybrs и запущенный в производство М-100 при имеющемся редукторе ориентировались под двухлопастной воздушный винт диаметром 3,4 м (в самый раз для СБ). Именно поэтому ЦКБ-19 имел высоту шасси, позволяющую с минимальным безопасным зазором между концом лопасти и землёй устанавливать винт диаметром 3,4 м.</w:t>
      </w:r>
    </w:p>
    <w:p w14:paraId="7323DA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отличие от первого опытного образца, ЦКБ-19 имел шасси другой конструкции - уборка производилась в направлении "к оси самолёта". Новая компоновка шасси позволила довести колею в стояночном положении до 2,868 м. Выпускаемые радиаторы водяного охлаждения при этом разместили сразу за шасси в корневой части центроплана. Элероны уменьшились по размаху и утратили способность к дифферинциальному отклонению - теперь роль посадочной механизации играли отклоняемые щитки площадью 1,75 м2 (тогда для таких щитков использовалось определение ЦАПы). Вооружение самолёта состояло из четырёх пулемётов ШКАС, размещённых в отъёмной части крыла, вне диска вращения воздушного винта (9630).</w:t>
      </w:r>
    </w:p>
    <w:p w14:paraId="41740C37" w14:textId="77777777" w:rsidR="00D4105E" w:rsidRPr="00E14102" w:rsidRDefault="00D4105E" w:rsidP="00E14102">
      <w:pPr>
        <w:autoSpaceDE w:val="0"/>
        <w:autoSpaceDN w:val="0"/>
        <w:adjustRightInd w:val="0"/>
        <w:jc w:val="both"/>
        <w:rPr>
          <w:color w:val="000000" w:themeColor="text1"/>
          <w:sz w:val="16"/>
          <w:szCs w:val="16"/>
        </w:rPr>
      </w:pPr>
    </w:p>
    <w:p w14:paraId="1C0566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лета 1935 г. ЦКБ-19 закончили изготовлением. После проведения доводочных процедур, определения весов и центровок, гонки двигателя, руления и пробежек последовал первый вылет. 16 сентября 1935 г. заводской пилот В.П.Чкалов ровно в 2 часа дня совершил на самолете первый, восьмиминутный полет. В обычной своей немногословной манере испытатель записал: "Выполнено. Летные качества хорошие. Вибраций не замечено".</w:t>
      </w:r>
    </w:p>
    <w:p w14:paraId="164AA7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Этот аппарат строился с учетом испытаний ЦКБ-15 в 1935 г. В отличие от первого опытного образца, ЦКБ-19 имел убираемое шасси другой конструкции - уборка производилась в направлении к "оси самолета". Новая компоновка позволила увеличить колею шасси в стояночном положении до 2,868 м. Выпускаемые радиаторы водяного охлаждения при этом удалось разместить сразу за убранным шасси в корневой части центроплана. Элероны уменьшились по размаху и утратили способность к дифферинциальному отклонению - теперь роль посадочной механизации играли отклоняемые щитки площадью 1,75 м2. Вооружение самолета состояло из четырех пулеметов ШКАС, размещенных в отъемной части крыла, вне диска вращения воздушного винта.</w:t>
      </w:r>
    </w:p>
    <w:p w14:paraId="48FD61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После еще нескольких полетов, выполненных до середины ноября, последовали доделки системы охлаждения, доводки шасси и прочее. Зимой машина не эксплуатировалась, очевидно, полноценные полеты возобновились ближе к следующему лету. 1 мая 1936 г. ЦКБ-19 показали в полете над Красной площадью. В летний период в ходе испытаний зафиксировали максимальную скорость 485 км/ч и потолок 9700 м. О дальнейших полетах данного экземпляра сведения отсутствуют (11951) </w:t>
      </w:r>
    </w:p>
    <w:p w14:paraId="3B94ABD4" w14:textId="77777777" w:rsidR="00D4105E" w:rsidRPr="00E14102" w:rsidRDefault="00D4105E" w:rsidP="00E14102">
      <w:pPr>
        <w:autoSpaceDE w:val="0"/>
        <w:autoSpaceDN w:val="0"/>
        <w:adjustRightInd w:val="0"/>
        <w:jc w:val="both"/>
        <w:rPr>
          <w:color w:val="000000" w:themeColor="text1"/>
          <w:sz w:val="16"/>
          <w:szCs w:val="16"/>
        </w:rPr>
      </w:pPr>
    </w:p>
    <w:p w14:paraId="5190A7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лета 1935 г. ЦКБ-19 закончили изготовление. После проведения доводочных процедур, определения весов, центровок, гонки двигателя, руления и пробежек по аэродрому последовал первый вылет. 16 сентября 1935 г. ровно в 2 часа дня заводской летчик-испытатель В.П.Чкалов совершил на самолете первый, 8-минутный полет. В обычной своей немногословной манере он записал: "Выполнено. Летные качества хорошие. Вибраций не замечено".</w:t>
      </w:r>
    </w:p>
    <w:p w14:paraId="357D72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Затем, вплоть до середины ноября, было сделано еше несколько полетов, после чего последовали усовершенствования системы охлаждения, доводки шасси и прочее.</w:t>
      </w:r>
    </w:p>
    <w:p w14:paraId="289EDD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зимних испытаниях этого экземпляра сведений не обнаружено, очевидно, полноценные полеты возобновились ближе к лету. 1 мая 1936 г. ЦКБ-19 показали в полете над Красной площадью. В летний период, в ходе продолжения испытаний, зафиксировали максимальную скорость 485 км/ч и потолок 9700 м (12016).</w:t>
      </w:r>
    </w:p>
    <w:p w14:paraId="71984CDB" w14:textId="77777777" w:rsidR="00D4105E" w:rsidRPr="00E14102" w:rsidRDefault="00D4105E" w:rsidP="00E14102">
      <w:pPr>
        <w:autoSpaceDE w:val="0"/>
        <w:autoSpaceDN w:val="0"/>
        <w:adjustRightInd w:val="0"/>
        <w:jc w:val="both"/>
        <w:rPr>
          <w:color w:val="000000" w:themeColor="text1"/>
          <w:sz w:val="16"/>
          <w:szCs w:val="16"/>
        </w:rPr>
      </w:pPr>
    </w:p>
    <w:p w14:paraId="7AC96644" w14:textId="77777777" w:rsidR="00A92C37" w:rsidRPr="00E14102" w:rsidRDefault="00A92C37" w:rsidP="00E14102">
      <w:pPr>
        <w:shd w:val="clear" w:color="auto" w:fill="FFFFFF"/>
        <w:jc w:val="both"/>
        <w:rPr>
          <w:color w:val="000000" w:themeColor="text1"/>
          <w:sz w:val="16"/>
          <w:szCs w:val="16"/>
        </w:rPr>
      </w:pPr>
      <w:r w:rsidRPr="00E14102">
        <w:rPr>
          <w:color w:val="000000" w:themeColor="text1"/>
          <w:sz w:val="16"/>
          <w:szCs w:val="16"/>
        </w:rPr>
        <w:t>В конце лета 1935 года закончили постройку ЦКБ-19. 16-го сентября заводской летчик-испытатель В.П. Чкалов совершил на самолете первый восьмиминутный полет. В своей обычной немногословной манере Чкалов записал: « Выполнено. Летные качества хорошие. Вибраций не замечено». Затем, вплоть до середины ноября, было сделано еще несколько полетов, после чего последовало отладка системы охлаждения, доводки шасси и прочее. Ближе к весне 1936 года полеты возобновились, при этом была зафиксирована максимальная скорость 485 км/ч и потолок 9700 метров (15223).</w:t>
      </w:r>
    </w:p>
    <w:p w14:paraId="1B653086" w14:textId="77777777" w:rsidR="00A92C37" w:rsidRPr="00E14102" w:rsidRDefault="00A92C37" w:rsidP="00E14102">
      <w:pPr>
        <w:shd w:val="clear" w:color="auto" w:fill="FFFFFF"/>
        <w:jc w:val="both"/>
        <w:rPr>
          <w:color w:val="000000" w:themeColor="text1"/>
          <w:sz w:val="16"/>
          <w:szCs w:val="16"/>
        </w:rPr>
      </w:pPr>
    </w:p>
    <w:p w14:paraId="140334D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A0FADE4" w14:textId="77777777" w:rsidR="00D4105E" w:rsidRPr="00E14102" w:rsidRDefault="00D4105E" w:rsidP="00E14102">
      <w:pPr>
        <w:autoSpaceDE w:val="0"/>
        <w:autoSpaceDN w:val="0"/>
        <w:adjustRightInd w:val="0"/>
        <w:jc w:val="both"/>
        <w:rPr>
          <w:iCs/>
          <w:color w:val="000000" w:themeColor="text1"/>
          <w:sz w:val="16"/>
          <w:szCs w:val="16"/>
        </w:rPr>
      </w:pPr>
    </w:p>
    <w:p w14:paraId="268EF9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сентябрю 1935 на 31 заводе закончили сборку МБР-5 П.Д.Самсонова (2555,69).</w:t>
      </w:r>
    </w:p>
    <w:p w14:paraId="55F6CB75" w14:textId="77777777" w:rsidR="00D4105E" w:rsidRPr="00E14102" w:rsidRDefault="00D4105E" w:rsidP="00E14102">
      <w:pPr>
        <w:autoSpaceDE w:val="0"/>
        <w:autoSpaceDN w:val="0"/>
        <w:adjustRightInd w:val="0"/>
        <w:jc w:val="both"/>
        <w:rPr>
          <w:color w:val="000000" w:themeColor="text1"/>
          <w:sz w:val="16"/>
          <w:szCs w:val="16"/>
        </w:rPr>
      </w:pPr>
    </w:p>
    <w:p w14:paraId="77E83B1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330D228" w14:textId="77777777" w:rsidR="00D4105E" w:rsidRPr="00E14102" w:rsidRDefault="00D4105E" w:rsidP="00E14102">
      <w:pPr>
        <w:autoSpaceDE w:val="0"/>
        <w:autoSpaceDN w:val="0"/>
        <w:adjustRightInd w:val="0"/>
        <w:jc w:val="both"/>
        <w:rPr>
          <w:iCs/>
          <w:color w:val="000000" w:themeColor="text1"/>
          <w:sz w:val="16"/>
          <w:szCs w:val="16"/>
        </w:rPr>
      </w:pPr>
    </w:p>
    <w:p w14:paraId="22FAFD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осени 1935 В.С.Вахмистров подготовил к испытаниям систему Звено ТБ-3 4М-17 + 2И-5 + 2И-16 + И-зет - Авиаматку ПВО (А-М). В испытаниях участвовали А.И.Никашин, С.П.Супрун на И-5, Т.Т.Алтынов и К.К.Будаков на И-16, В.А.Степанчонок на И-зет. На ТБ-3 был П.М.Стефановский. летали с узкой бетонированной полосы, расположенной близко к ангарам. Чуть не разбились из-за того, что И-16 неравномерно тянули (2692,9).</w:t>
      </w:r>
    </w:p>
    <w:p w14:paraId="11DC27D1" w14:textId="77777777" w:rsidR="00D4105E" w:rsidRPr="00E14102" w:rsidRDefault="00D4105E" w:rsidP="00E14102">
      <w:pPr>
        <w:autoSpaceDE w:val="0"/>
        <w:autoSpaceDN w:val="0"/>
        <w:adjustRightInd w:val="0"/>
        <w:jc w:val="both"/>
        <w:rPr>
          <w:color w:val="000000" w:themeColor="text1"/>
          <w:sz w:val="16"/>
          <w:szCs w:val="16"/>
        </w:rPr>
      </w:pPr>
    </w:p>
    <w:p w14:paraId="45F02A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 осени 1935 г. Вахмистров подготовил к испытаниям очередную воздушную систему, получившую сложное обозначение "Звено ТБ-3 4М-17 + 2И-5 + 2И-16 + ЗЕТ". Сам Вахмистров определял это сочетание как "Авиаматку ПВО" (А-М). На земле под крыло ТБ-3 цеплялись два И-16, а на крыло сверху закатывались два И-5. </w:t>
      </w:r>
      <w:r w:rsidRPr="00E14102">
        <w:rPr>
          <w:color w:val="000000" w:themeColor="text1"/>
          <w:sz w:val="16"/>
          <w:szCs w:val="16"/>
        </w:rPr>
        <w:lastRenderedPageBreak/>
        <w:t>Последний участник, И-Z, догонял воздушную "этажерку" уже после взлёта. В испытаниях участвовали А.И. Никашин и С.П. Супрун на И-5, Т.Т. Алтынов и К.К. Бу- даков на И-16, В.А. Степанчонок на И-ЗЕТ. ТБ-3 пилотировал П.М. Стефановский, который вспоминал: "Взлетали мы с узкой бетонированной полосы, расположенной близко к ангарам. На взлёте требовалось выдержать идеальную прямую. Восемь двигателей при большом плече могли внести весьма нежелательную поправку в намерения экипажа и командования. Для упрощения взлёта приказываю Ап- тынову и Будакову дать газ моторам своих истребителей одновременно со мной. Когда я возьму точное направление по оси взлётной полосы, то наклоню голову. Это команда для Никашина и Супруна дать газ своим двигателям. На обочине возле старта собралось множество зрителей. Плавно увеличиваю обороты моторов, начинаю разбег. Всё быстрее мелькают по сторонам аэродромные постройки. Вдруг самолёт строптиво, словно разнуздавшийся конь, заворачивает вправо, прямо на ангары. Супрун виноват: погорячился и газанул. Сбрасываю обороты левых двигателей почти до минимума и вновь сюрприз: самолёт начал забирать влево. Это уже Никашин. Увидел, что Супрун газует, и тоже подал вперёд рукоятку сектора. Напугался, что проворонил мой кивок головой. А может, я и в самом деле невзначай кивнул, когда самолёт стало заносить к ангарам. Резко поднимаю обороты левой моторной группы. Чувствую, ещё не поздно, взлетим. И взлетели. Правда, разбег получился несколько удлинённым.</w:t>
      </w:r>
    </w:p>
    <w:p w14:paraId="2991FB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Дальше пошло всё точно по заданию. На высоте тысяча метров к бомбардировщику под самое шасси подошел "ЗЕТ" Степанчонка. Пришвартовали его. Авиационный "букет" или, как его нарекли наши доморощенные сатирики, "воздушная куча мала" сделал несколько величественных, широких кругов над аэродромом. Подаю сигнал - и все пять истребителей разом стартуют с авиаматки" (12005).</w:t>
      </w:r>
    </w:p>
    <w:p w14:paraId="6071AD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Описываемые Стефановским события происходили на аэродроме НИИ ВВС с 15 по 22 ноября 1935 г. Всего выполнили три тренировочных полёта в полном составе и один демонстрационно-сдаточный перед комиссией ВВС. Эксперименты подтвердили возможность полётов "звена", состоящего из ТБ-3 и пяти истребителей. Никогда ранее и никогда впоследствии в мире подобного не осуществлялось. Испытания были засчитаны как совместные с московским заводом № 22, занимавшимся переделкой истребителей и носителя. Полётный вес "А-М" с четырьмя истребителями составлял 20200 кг, после подцепки И-Z- 21 700 кг. По оценке Вахмистрова, подтверждённой специалистами ЦАГИ, при некоторых усилениях крыла и шасси ТБ-3 полётный вес "А-М" можно было довести до 28 000 кг. Эту сцепку предполагалось использовать как крейсер-авианосец, который одновременно обеспечивал истребители топливом в полёте до момента их отцепления. В заключении по результатам испытаний отмечалось, что "Звено ТБ-3 4М-17 + 2И-5 + 2И-16 + ЗЕТ" может быть эффективно использовано в частях ВВС РККА.</w:t>
      </w:r>
    </w:p>
    <w:p w14:paraId="0421F4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Окончательные выводы были сделаны несколько иные. Признавалось, что накатка И-5 на крыло ТБ-3 сверху трудоёмка, подвеска И-ЗЕТ в районе бомболюка снижает возможности ТБ-3, а вот подвеска И-16 под крылом проста и удобна. Именно вариант ТБ-3 с двумя И-16 стал в дальнейшем совершенствоваться. Под обозначением "Звено-СПБ" он применялся во время Великой Отечественной войны (12005).</w:t>
      </w:r>
    </w:p>
    <w:p w14:paraId="25C04788" w14:textId="77777777" w:rsidR="00D4105E" w:rsidRPr="00E14102" w:rsidRDefault="00D4105E" w:rsidP="00E14102">
      <w:pPr>
        <w:autoSpaceDE w:val="0"/>
        <w:autoSpaceDN w:val="0"/>
        <w:adjustRightInd w:val="0"/>
        <w:jc w:val="both"/>
        <w:rPr>
          <w:color w:val="000000" w:themeColor="text1"/>
          <w:sz w:val="16"/>
          <w:szCs w:val="16"/>
        </w:rPr>
      </w:pPr>
    </w:p>
    <w:p w14:paraId="5C84FA08" w14:textId="77777777" w:rsidR="00872260" w:rsidRPr="00E14102" w:rsidRDefault="00872260" w:rsidP="00E14102">
      <w:pPr>
        <w:pStyle w:val="42"/>
        <w:shd w:val="clear" w:color="auto" w:fill="auto"/>
        <w:spacing w:line="240" w:lineRule="auto"/>
        <w:ind w:firstLine="0"/>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 xml:space="preserve">К осени 1935 г. Вахмистров подготовил к испытаниям очередную воздушную систему, получившую обозначение «Звено ТБ-3 4М-17 + 2И-5 + 2И-16 + ЗЕТ». Сам Вахмистров определял это сочетание как «Авиаматку ПВО» (А-М). На земле под крыло </w:t>
      </w:r>
      <w:r w:rsidRPr="00E14102">
        <w:rPr>
          <w:rStyle w:val="23"/>
          <w:rFonts w:ascii="Times New Roman" w:hAnsi="Times New Roman" w:cs="Times New Roman"/>
          <w:i w:val="0"/>
          <w:color w:val="000000" w:themeColor="text1"/>
          <w:sz w:val="16"/>
          <w:szCs w:val="16"/>
        </w:rPr>
        <w:t xml:space="preserve">ТБ-3 цеплялись два И-16, а на крыло сверху закатывались два И-5. Последний участник, И-2, догонял воздушную «этажерку» уже после взлета. В испытаниях участвовали А.И. Никашин и С.П. Супрун на И-5, Т.Т. Ал- тынов и К.К. Будаков на И-16, В.А. Степан- чонок на И-2. Носитель ТБ-3 пилотировал П.М. Стефановский, который вспоминал: </w:t>
      </w:r>
      <w:r w:rsidRPr="00E14102">
        <w:rPr>
          <w:rFonts w:ascii="Times New Roman" w:hAnsi="Times New Roman" w:cs="Times New Roman"/>
          <w:color w:val="000000" w:themeColor="text1"/>
          <w:sz w:val="16"/>
          <w:szCs w:val="16"/>
        </w:rPr>
        <w:t>«Взлетали мы с узкой бетонированной полосы, расположенной близко к ангарам. На взлете требовалось выдержать иде</w:t>
      </w:r>
      <w:r w:rsidRPr="00E14102">
        <w:rPr>
          <w:rFonts w:ascii="Times New Roman" w:hAnsi="Times New Roman" w:cs="Times New Roman"/>
          <w:color w:val="000000" w:themeColor="text1"/>
          <w:sz w:val="16"/>
          <w:szCs w:val="16"/>
        </w:rPr>
        <w:softHyphen/>
        <w:t>альную прямую. Восемь двигателей при большом плече могли внести весьма неже</w:t>
      </w:r>
      <w:r w:rsidRPr="00E14102">
        <w:rPr>
          <w:rFonts w:ascii="Times New Roman" w:hAnsi="Times New Roman" w:cs="Times New Roman"/>
          <w:color w:val="000000" w:themeColor="text1"/>
          <w:sz w:val="16"/>
          <w:szCs w:val="16"/>
        </w:rPr>
        <w:softHyphen/>
        <w:t>лательную поправку в намерения экипажа и командования. Для упрощения взлета при</w:t>
      </w:r>
      <w:r w:rsidRPr="00E14102">
        <w:rPr>
          <w:rFonts w:ascii="Times New Roman" w:hAnsi="Times New Roman" w:cs="Times New Roman"/>
          <w:color w:val="000000" w:themeColor="text1"/>
          <w:sz w:val="16"/>
          <w:szCs w:val="16"/>
        </w:rPr>
        <w:softHyphen/>
        <w:t>казываю АлтыновуиБудаковудать газ мото</w:t>
      </w:r>
      <w:r w:rsidRPr="00E14102">
        <w:rPr>
          <w:rFonts w:ascii="Times New Roman" w:hAnsi="Times New Roman" w:cs="Times New Roman"/>
          <w:color w:val="000000" w:themeColor="text1"/>
          <w:sz w:val="16"/>
          <w:szCs w:val="16"/>
        </w:rPr>
        <w:softHyphen/>
        <w:t>рам своих истребителей одновременно со мной. Когда я возьму точное направление по оси взлетной полосы, то наклоню голову. Это команда для Никашина и Супруна дать газ своим двигателям. На обочине возле старта собралось множество зрителей. Плавно увеличиваю обороты моторов, начинаю разбег. Все быстрее мелькают по сторонам аэродромные постройки. Вдруг самолет строптиво, словно разнуздавшийся конь, заворачивает вправо, прямо на ангары. Супрун виноват: погорячился и газанул. Сбрасываю обороты левых двига</w:t>
      </w:r>
      <w:r w:rsidRPr="00E14102">
        <w:rPr>
          <w:rFonts w:ascii="Times New Roman" w:hAnsi="Times New Roman" w:cs="Times New Roman"/>
          <w:color w:val="000000" w:themeColor="text1"/>
          <w:sz w:val="16"/>
          <w:szCs w:val="16"/>
        </w:rPr>
        <w:softHyphen/>
        <w:t>телей почти до минимума и вновь сюрприз: самолет начал забирать влево. Это уже Никашин. Увидел, что Супрун газует, и тоже подал вперед рукоятку сектора. Напу</w:t>
      </w:r>
      <w:r w:rsidRPr="00E14102">
        <w:rPr>
          <w:rFonts w:ascii="Times New Roman" w:hAnsi="Times New Roman" w:cs="Times New Roman"/>
          <w:color w:val="000000" w:themeColor="text1"/>
          <w:sz w:val="16"/>
          <w:szCs w:val="16"/>
        </w:rPr>
        <w:softHyphen/>
        <w:t>гался, что проворонил мой кивок головой. А может я и в самом деле невзначай кивнул, когда самолет стало заносить к ангарам. Резко поднимаю обороты левой моторной группы. Чувствую, еще не поздно, взлетим. И взлетели. Правда, разбег получился несколько удлиненным.</w:t>
      </w:r>
    </w:p>
    <w:p w14:paraId="7478E5A3" w14:textId="77777777" w:rsidR="00872260" w:rsidRPr="00E14102" w:rsidRDefault="00872260" w:rsidP="00E14102">
      <w:pPr>
        <w:jc w:val="both"/>
        <w:rPr>
          <w:color w:val="000000" w:themeColor="text1"/>
          <w:sz w:val="16"/>
          <w:szCs w:val="16"/>
        </w:rPr>
      </w:pPr>
      <w:r w:rsidRPr="00E14102">
        <w:rPr>
          <w:color w:val="000000" w:themeColor="text1"/>
          <w:sz w:val="16"/>
          <w:szCs w:val="16"/>
        </w:rPr>
        <w:t>Дальше пошло все точно по заданию. На высоте тысяча метров к бомбардировщику под самое шасси подошел «ЗЕТ» Степан- чонка. Пришвартовали его. Авиационный «букет» или, как его нарекли наши доморо</w:t>
      </w:r>
      <w:r w:rsidRPr="00E14102">
        <w:rPr>
          <w:color w:val="000000" w:themeColor="text1"/>
          <w:sz w:val="16"/>
          <w:szCs w:val="16"/>
        </w:rPr>
        <w:softHyphen/>
        <w:t>щенные сатирики, «воздушная куча мала» сделал несколько величественных, широких кругов над аэродромом. Подаю сигнал - и все пять истребителей разом стартуют с авиаматки» (12736).</w:t>
      </w:r>
    </w:p>
    <w:p w14:paraId="5D0E8B29" w14:textId="08CED595" w:rsidR="00872260" w:rsidRPr="00E14102" w:rsidRDefault="00872260" w:rsidP="00E14102">
      <w:pPr>
        <w:jc w:val="both"/>
        <w:rPr>
          <w:color w:val="000000" w:themeColor="text1"/>
          <w:sz w:val="16"/>
          <w:szCs w:val="16"/>
        </w:rPr>
      </w:pPr>
    </w:p>
    <w:p w14:paraId="62F1F425" w14:textId="77777777" w:rsidR="006C0F81" w:rsidRPr="00E14102" w:rsidRDefault="006C0F81" w:rsidP="00E14102">
      <w:pPr>
        <w:jc w:val="both"/>
        <w:rPr>
          <w:color w:val="0070C0"/>
          <w:sz w:val="16"/>
          <w:szCs w:val="16"/>
        </w:rPr>
      </w:pPr>
      <w:r w:rsidRPr="00E14102">
        <w:rPr>
          <w:color w:val="0070C0"/>
          <w:sz w:val="16"/>
          <w:szCs w:val="16"/>
        </w:rPr>
        <w:t>К осени 1935 г. Вахмистров подготовил к испытаниям оче</w:t>
      </w:r>
      <w:r w:rsidRPr="00E14102">
        <w:rPr>
          <w:color w:val="0070C0"/>
          <w:sz w:val="16"/>
          <w:szCs w:val="16"/>
        </w:rPr>
        <w:softHyphen/>
        <w:t>редную воздушную систему, получившую обозначение «Зве</w:t>
      </w:r>
      <w:r w:rsidRPr="00E14102">
        <w:rPr>
          <w:color w:val="0070C0"/>
          <w:sz w:val="16"/>
          <w:szCs w:val="16"/>
        </w:rPr>
        <w:softHyphen/>
        <w:t>но ТБ-3 4М-17 + 2И-5 + 2И-16 + ЗЕТ». Новым в системе ста</w:t>
      </w:r>
      <w:r w:rsidRPr="00E14102">
        <w:rPr>
          <w:color w:val="0070C0"/>
          <w:sz w:val="16"/>
          <w:szCs w:val="16"/>
        </w:rPr>
        <w:softHyphen/>
        <w:t>ло использование истребителей И-16. Появление И-16 в составе «Звена» про</w:t>
      </w:r>
      <w:r w:rsidRPr="00E14102">
        <w:rPr>
          <w:color w:val="0070C0"/>
          <w:sz w:val="16"/>
          <w:szCs w:val="16"/>
        </w:rPr>
        <w:softHyphen/>
        <w:t>изошло быстро и неожиданно. Сам Вахмистров определял сочетание шести самолетов как «Авиаматку ПВО» (А-М). На земле под крыло ТБ-3 цеплялись два И-16, а на крыло сверху закатывались два И-5. Последний участник, истре</w:t>
      </w:r>
      <w:r w:rsidRPr="00E14102">
        <w:rPr>
          <w:color w:val="0070C0"/>
          <w:sz w:val="16"/>
          <w:szCs w:val="16"/>
        </w:rPr>
        <w:softHyphen/>
        <w:t>битель И-ЗЕТ, догонял воздушную «этажерку» уже после взлета. В испытаниях участвовали А.И. Никашин и С.П. Су</w:t>
      </w:r>
      <w:r w:rsidRPr="00E14102">
        <w:rPr>
          <w:color w:val="0070C0"/>
          <w:sz w:val="16"/>
          <w:szCs w:val="16"/>
        </w:rPr>
        <w:softHyphen/>
        <w:t>прун на И-5, Т.Т. Алтынов и К.К. Будаков на И-16, В.А. Сте- панчонок на И-ЗЕТ. Носитель ТБ-3 пилотировал П.М. Сте- фановский, который вспоминал: «Взлетали мы с узкой бе</w:t>
      </w:r>
      <w:r w:rsidRPr="00E14102">
        <w:rPr>
          <w:color w:val="0070C0"/>
          <w:sz w:val="16"/>
          <w:szCs w:val="16"/>
        </w:rPr>
        <w:softHyphen/>
        <w:t>тонированной полосы, расположенной близко к ангарам. На взлете требовалось выдержать идеальную прямую. Во</w:t>
      </w:r>
      <w:r w:rsidRPr="00E14102">
        <w:rPr>
          <w:color w:val="0070C0"/>
          <w:sz w:val="16"/>
          <w:szCs w:val="16"/>
        </w:rPr>
        <w:softHyphen/>
        <w:t>семь двигателей при большом плече могли внести весьма нежелательную поправку в намерения экипажа и командо</w:t>
      </w:r>
      <w:r w:rsidRPr="00E14102">
        <w:rPr>
          <w:color w:val="0070C0"/>
          <w:sz w:val="16"/>
          <w:szCs w:val="16"/>
        </w:rPr>
        <w:softHyphen/>
        <w:t>вания. Для упрощения взлета приказываю Алтынову и Бу</w:t>
      </w:r>
      <w:r w:rsidRPr="00E14102">
        <w:rPr>
          <w:color w:val="0070C0"/>
          <w:sz w:val="16"/>
          <w:szCs w:val="16"/>
        </w:rPr>
        <w:softHyphen/>
        <w:t>дакову дать газ моторам своих истребителей одновремен</w:t>
      </w:r>
      <w:r w:rsidRPr="00E14102">
        <w:rPr>
          <w:color w:val="0070C0"/>
          <w:sz w:val="16"/>
          <w:szCs w:val="16"/>
        </w:rPr>
        <w:softHyphen/>
        <w:t>но со мной. Когда я возьму точное направление по оси взлетной полосы, то наклоню голову. Это команда для Ни- кашина и Супруна дать газ своим двигателям. На обочине возле старта собралось множество зрителей. Плавно уве</w:t>
      </w:r>
      <w:r w:rsidRPr="00E14102">
        <w:rPr>
          <w:color w:val="0070C0"/>
          <w:sz w:val="16"/>
          <w:szCs w:val="16"/>
        </w:rPr>
        <w:softHyphen/>
        <w:t>личиваю обороты моторов, начинаю разбег. Все быстрее мелькают по сторонам аэродромные постройки. Вдруг са</w:t>
      </w:r>
      <w:r w:rsidRPr="00E14102">
        <w:rPr>
          <w:color w:val="0070C0"/>
          <w:sz w:val="16"/>
          <w:szCs w:val="16"/>
        </w:rPr>
        <w:softHyphen/>
        <w:t>молет строптиво, словно разнуздавшийся конь, заворачи-</w:t>
      </w:r>
      <w:r w:rsidRPr="00E14102">
        <w:rPr>
          <w:noProof/>
          <w:color w:val="0070C0"/>
          <w:sz w:val="16"/>
          <w:szCs w:val="16"/>
        </w:rPr>
        <mc:AlternateContent>
          <mc:Choice Requires="wps">
            <w:drawing>
              <wp:anchor distT="0" distB="0" distL="0" distR="0" simplePos="0" relativeHeight="251659264" behindDoc="0" locked="0" layoutInCell="1" allowOverlap="1" wp14:anchorId="78845A63" wp14:editId="088C88D8">
                <wp:simplePos x="0" y="0"/>
                <wp:positionH relativeFrom="page">
                  <wp:posOffset>623570</wp:posOffset>
                </wp:positionH>
                <wp:positionV relativeFrom="margin">
                  <wp:posOffset>-2764790</wp:posOffset>
                </wp:positionV>
                <wp:extent cx="2294890" cy="152400"/>
                <wp:effectExtent l="0" t="0" r="0" b="0"/>
                <wp:wrapNone/>
                <wp:docPr id="258" name="Надпись 258"/>
                <wp:cNvGraphicFramePr/>
                <a:graphic xmlns:a="http://schemas.openxmlformats.org/drawingml/2006/main">
                  <a:graphicData uri="http://schemas.microsoft.com/office/word/2010/wordprocessingShape">
                    <wps:wsp>
                      <wps:cNvSpPr txBox="1"/>
                      <wps:spPr>
                        <a:xfrm>
                          <a:off x="0" y="0"/>
                          <a:ext cx="2294890" cy="152400"/>
                        </a:xfrm>
                        <a:prstGeom prst="rect">
                          <a:avLst/>
                        </a:prstGeom>
                        <a:noFill/>
                      </wps:spPr>
                      <wps:txbx>
                        <w:txbxContent>
                          <w:p w14:paraId="37C9C85A" w14:textId="77777777" w:rsidR="006C0F81" w:rsidRDefault="006C0F81" w:rsidP="006C0F81">
                            <w:pPr>
                              <w:pStyle w:val="aff2"/>
                              <w:spacing w:line="240" w:lineRule="auto"/>
                            </w:pPr>
                            <w:r>
                              <w:rPr>
                                <w:color w:val="000000"/>
                                <w:lang w:bidi="ru-RU"/>
                              </w:rPr>
                              <w:t>Воздушное соединение пошло на взлет</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type w14:anchorId="78845A63" id="_x0000_t202" coordsize="21600,21600" o:spt="202" path="m,l,21600r21600,l21600,xe">
                <v:stroke joinstyle="miter"/>
                <v:path gradientshapeok="t" o:connecttype="rect"/>
              </v:shapetype>
              <v:shape id="Надпись 258" o:spid="_x0000_s1026" type="#_x0000_t202" style="position:absolute;left:0;text-align:left;margin-left:49.1pt;margin-top:-217.7pt;width:180.7pt;height:12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" filled="f" stroked="f">
                <v:textbox inset="0,0,0,0">
                  <w:txbxContent>
                    <w:p w14:paraId="37C9C85A" w14:textId="77777777" w:rsidR="006C0F81" w:rsidRDefault="006C0F81" w:rsidP="006C0F81">
                      <w:pPr>
                        <w:pStyle w:val="aff2"/>
                        <w:spacing w:line="240" w:lineRule="auto"/>
                      </w:pPr>
                      <w:r>
                        <w:rPr>
                          <w:color w:val="000000"/>
                          <w:lang w:bidi="ru-RU"/>
                        </w:rPr>
                        <w:t>Воздушное соединение пошло на взлет</w:t>
                      </w:r>
                    </w:p>
                  </w:txbxContent>
                </v:textbox>
                <w10:wrap anchorx="page" anchory="margin"/>
              </v:shape>
            </w:pict>
          </mc:Fallback>
        </mc:AlternateContent>
      </w:r>
      <w:r w:rsidRPr="00E14102">
        <w:rPr>
          <w:color w:val="0070C0"/>
          <w:sz w:val="16"/>
          <w:szCs w:val="16"/>
        </w:rPr>
        <w:t>вает вправо, прямо на ангары. Супрун виноват: погорячил</w:t>
      </w:r>
      <w:r w:rsidRPr="00E14102">
        <w:rPr>
          <w:color w:val="0070C0"/>
          <w:sz w:val="16"/>
          <w:szCs w:val="16"/>
        </w:rPr>
        <w:softHyphen/>
        <w:t>ся и газанул. Сбрасываю обороты левых двигателей почти до минимума и вновь сюрприз: самолет начал забирать вле</w:t>
      </w:r>
      <w:r w:rsidRPr="00E14102">
        <w:rPr>
          <w:color w:val="0070C0"/>
          <w:sz w:val="16"/>
          <w:szCs w:val="16"/>
        </w:rPr>
        <w:softHyphen/>
        <w:t>во. Это уже Никашин. Увидел, что Супрун газует, и тоже по</w:t>
      </w:r>
      <w:r w:rsidRPr="00E14102">
        <w:rPr>
          <w:color w:val="0070C0"/>
          <w:sz w:val="16"/>
          <w:szCs w:val="16"/>
        </w:rPr>
        <w:softHyphen/>
        <w:t>дал вперед рукоятку сектора. Напугался, что проворонил мой кивок головой. А может я и в самом деле невзначай кивнул, когда самолет стало заносить к ангарам. Резко поднимаю обороты левой моторной группы. Чувствую, еще не позд</w:t>
      </w:r>
      <w:r w:rsidRPr="00E14102">
        <w:rPr>
          <w:color w:val="0070C0"/>
          <w:sz w:val="16"/>
          <w:szCs w:val="16"/>
        </w:rPr>
        <w:softHyphen/>
        <w:t>но, взлетим. И взлетели. Правда, разбег получился не</w:t>
      </w:r>
      <w:r w:rsidRPr="00E14102">
        <w:rPr>
          <w:color w:val="0070C0"/>
          <w:sz w:val="16"/>
          <w:szCs w:val="16"/>
        </w:rPr>
        <w:softHyphen/>
        <w:t>сколько уддиненным.</w:t>
      </w:r>
    </w:p>
    <w:p w14:paraId="77301EA2" w14:textId="77777777" w:rsidR="006C0F81" w:rsidRPr="00E14102" w:rsidRDefault="006C0F81" w:rsidP="00E14102">
      <w:pPr>
        <w:jc w:val="both"/>
        <w:rPr>
          <w:color w:val="0070C0"/>
          <w:sz w:val="16"/>
          <w:szCs w:val="16"/>
        </w:rPr>
      </w:pPr>
      <w:r w:rsidRPr="00E14102">
        <w:rPr>
          <w:color w:val="0070C0"/>
          <w:sz w:val="16"/>
          <w:szCs w:val="16"/>
        </w:rPr>
        <w:t>Дальше пошло все точно по заданию. На высоте тыся</w:t>
      </w:r>
      <w:r w:rsidRPr="00E14102">
        <w:rPr>
          <w:color w:val="0070C0"/>
          <w:sz w:val="16"/>
          <w:szCs w:val="16"/>
        </w:rPr>
        <w:softHyphen/>
        <w:t>ча метров к бомбардировщику под самое шасси подошел «ЗЕТ» Степанчонка. Пришвартовали его. Авиационный «букет» или, как его нарекли наши доморощенные сати</w:t>
      </w:r>
      <w:r w:rsidRPr="00E14102">
        <w:rPr>
          <w:color w:val="0070C0"/>
          <w:sz w:val="16"/>
          <w:szCs w:val="16"/>
        </w:rPr>
        <w:softHyphen/>
        <w:t>рики, «воздушная куча мала» сделал несколько величест</w:t>
      </w:r>
      <w:r w:rsidRPr="00E14102">
        <w:rPr>
          <w:color w:val="0070C0"/>
          <w:sz w:val="16"/>
          <w:szCs w:val="16"/>
        </w:rPr>
        <w:softHyphen/>
        <w:t>венных, широких кругов над аэродромом. Подаю сигнал - и все пять истребителей разом стартуют с авиаматки».</w:t>
      </w:r>
    </w:p>
    <w:p w14:paraId="0C141BF9" w14:textId="77777777" w:rsidR="006C0F81" w:rsidRPr="00E14102" w:rsidRDefault="006C0F81" w:rsidP="00E14102">
      <w:pPr>
        <w:jc w:val="both"/>
        <w:rPr>
          <w:color w:val="0070C0"/>
          <w:sz w:val="16"/>
          <w:szCs w:val="16"/>
        </w:rPr>
      </w:pPr>
      <w:r w:rsidRPr="00E14102">
        <w:rPr>
          <w:color w:val="0070C0"/>
          <w:sz w:val="16"/>
          <w:szCs w:val="16"/>
        </w:rPr>
        <w:t>Описываемые Стефановским события происходили на аэродроме НИИ ВВС в период с 15 по 22 ноября 1935 г. Всего было выполнено три тренировочных полета в пол</w:t>
      </w:r>
      <w:r w:rsidRPr="00E14102">
        <w:rPr>
          <w:color w:val="0070C0"/>
          <w:sz w:val="16"/>
          <w:szCs w:val="16"/>
        </w:rPr>
        <w:softHyphen/>
        <w:t>ном составе и один демонстрационно-сдаточный перед ко</w:t>
      </w:r>
      <w:r w:rsidRPr="00E14102">
        <w:rPr>
          <w:color w:val="0070C0"/>
          <w:sz w:val="16"/>
          <w:szCs w:val="16"/>
        </w:rPr>
        <w:softHyphen/>
        <w:t>миссией ВВС. Эксперименты подтвердили возможность по</w:t>
      </w:r>
      <w:r w:rsidRPr="00E14102">
        <w:rPr>
          <w:color w:val="0070C0"/>
          <w:sz w:val="16"/>
          <w:szCs w:val="16"/>
        </w:rPr>
        <w:softHyphen/>
        <w:t>летов «звена», состоящего из ТБ-3 и пяти истребителей. Никогда ранее и никогда впоследствии в мире подобно</w:t>
      </w:r>
      <w:r w:rsidRPr="00E14102">
        <w:rPr>
          <w:color w:val="0070C0"/>
          <w:sz w:val="16"/>
          <w:szCs w:val="16"/>
        </w:rPr>
        <w:softHyphen/>
        <w:t>го не осуществлялось. Испытания были засчитаны как совместные с московским заводом №22, осуществлявшим переделку истребителей и носителя. Полетная масса А-М с четырьмя истребителями составляла 20 200 кг, после подцепки И-ЗЕТ - 21 700 кг. По оценке Вахмистрова, подтвержденной специалистами ЦАГИ, при некоторых усилениях крыла и шасси ТБ-3, полетную массу А-М мож</w:t>
      </w:r>
      <w:r w:rsidRPr="00E14102">
        <w:rPr>
          <w:color w:val="0070C0"/>
          <w:sz w:val="16"/>
          <w:szCs w:val="16"/>
        </w:rPr>
        <w:softHyphen/>
        <w:t>но было довести до 28 000 кг. Эту воздушную сцепку предполагалось использовать как крейсер-авианосец, ко</w:t>
      </w:r>
      <w:r w:rsidRPr="00E14102">
        <w:rPr>
          <w:color w:val="0070C0"/>
          <w:sz w:val="16"/>
          <w:szCs w:val="16"/>
        </w:rPr>
        <w:softHyphen/>
        <w:t>торый одновременно обеспечивал истребители топливом в полете до момента их отцепления. В заключении по ре</w:t>
      </w:r>
      <w:r w:rsidRPr="00E14102">
        <w:rPr>
          <w:color w:val="0070C0"/>
          <w:sz w:val="16"/>
          <w:szCs w:val="16"/>
        </w:rPr>
        <w:softHyphen/>
        <w:t>зультатам испытаний отмечалось, что «Звено ТБ-3 4М-17 + 2И-5 + 2И-16 + ЗЕТ» может быть эффективно использо</w:t>
      </w:r>
      <w:r w:rsidRPr="00E14102">
        <w:rPr>
          <w:color w:val="0070C0"/>
          <w:sz w:val="16"/>
          <w:szCs w:val="16"/>
        </w:rPr>
        <w:softHyphen/>
        <w:t>вано в частях РККА. Требуется разработка тактико-техни</w:t>
      </w:r>
      <w:r w:rsidRPr="00E14102">
        <w:rPr>
          <w:color w:val="0070C0"/>
          <w:sz w:val="16"/>
          <w:szCs w:val="16"/>
        </w:rPr>
        <w:softHyphen/>
        <w:t>ческих требований к такому воздушному соединению, по</w:t>
      </w:r>
      <w:r w:rsidRPr="00E14102">
        <w:rPr>
          <w:color w:val="0070C0"/>
          <w:sz w:val="16"/>
          <w:szCs w:val="16"/>
        </w:rPr>
        <w:softHyphen/>
        <w:t>сле чего следует собрать совещание, на котором оконча</w:t>
      </w:r>
      <w:r w:rsidRPr="00E14102">
        <w:rPr>
          <w:noProof/>
          <w:color w:val="0070C0"/>
          <w:sz w:val="16"/>
          <w:szCs w:val="16"/>
        </w:rPr>
        <mc:AlternateContent>
          <mc:Choice Requires="wps">
            <w:drawing>
              <wp:anchor distT="0" distB="0" distL="0" distR="0" simplePos="0" relativeHeight="251660288" behindDoc="0" locked="0" layoutInCell="1" allowOverlap="1" wp14:anchorId="126A8A22" wp14:editId="1C41EEA7">
                <wp:simplePos x="0" y="0"/>
                <wp:positionH relativeFrom="page">
                  <wp:posOffset>610235</wp:posOffset>
                </wp:positionH>
                <wp:positionV relativeFrom="margin">
                  <wp:posOffset>-2658110</wp:posOffset>
                </wp:positionV>
                <wp:extent cx="2995930" cy="149225"/>
                <wp:effectExtent l="0" t="0" r="0" b="0"/>
                <wp:wrapNone/>
                <wp:docPr id="265" name="Надпись 265"/>
                <wp:cNvGraphicFramePr/>
                <a:graphic xmlns:a="http://schemas.openxmlformats.org/drawingml/2006/main">
                  <a:graphicData uri="http://schemas.microsoft.com/office/word/2010/wordprocessingShape">
                    <wps:wsp>
                      <wps:cNvSpPr txBox="1"/>
                      <wps:spPr>
                        <a:xfrm>
                          <a:off x="0" y="0"/>
                          <a:ext cx="2995930" cy="149225"/>
                        </a:xfrm>
                        <a:prstGeom prst="rect">
                          <a:avLst/>
                        </a:prstGeom>
                        <a:noFill/>
                      </wps:spPr>
                      <wps:txbx>
                        <w:txbxContent>
                          <w:p w14:paraId="59368ED4" w14:textId="77777777" w:rsidR="006C0F81" w:rsidRDefault="006C0F81" w:rsidP="006C0F81">
                            <w:pPr>
                              <w:pStyle w:val="aff2"/>
                              <w:spacing w:line="240" w:lineRule="auto"/>
                            </w:pPr>
                            <w:r>
                              <w:rPr>
                                <w:color w:val="000000"/>
                                <w:lang w:bidi="ru-RU"/>
                              </w:rPr>
                              <w:t>И-ЗЕТ догоняет ТБ-3 для осуществления подцепки</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126A8A22" id="Надпись 265" o:spid="_x0000_s1027" type="#_x0000_t202" style="position:absolute;left:0;text-align:left;margin-left:48.05pt;margin-top:-209.3pt;width:235.9pt;height:11.75pt;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" filled="f" stroked="f">
                <v:textbox inset="0,0,0,0">
                  <w:txbxContent>
                    <w:p w14:paraId="59368ED4" w14:textId="77777777" w:rsidR="006C0F81" w:rsidRDefault="006C0F81" w:rsidP="006C0F81">
                      <w:pPr>
                        <w:pStyle w:val="aff2"/>
                        <w:spacing w:line="240" w:lineRule="auto"/>
                      </w:pPr>
                      <w:r>
                        <w:rPr>
                          <w:color w:val="000000"/>
                          <w:lang w:bidi="ru-RU"/>
                        </w:rPr>
                        <w:t>И-ЗЕТ догоняет ТБ-3 для осуществления подцепки</w:t>
                      </w:r>
                    </w:p>
                  </w:txbxContent>
                </v:textbox>
                <w10:wrap anchorx="page" anchory="margin"/>
              </v:shape>
            </w:pict>
          </mc:Fallback>
        </mc:AlternateContent>
      </w:r>
      <w:r w:rsidRPr="00E14102">
        <w:rPr>
          <w:color w:val="0070C0"/>
          <w:sz w:val="16"/>
          <w:szCs w:val="16"/>
        </w:rPr>
        <w:t>тельно определить целесообразность его реализации. Документ был утвержден Начальником НИИ ВВС комбри</w:t>
      </w:r>
      <w:r w:rsidRPr="00E14102">
        <w:rPr>
          <w:color w:val="0070C0"/>
          <w:sz w:val="16"/>
          <w:szCs w:val="16"/>
        </w:rPr>
        <w:softHyphen/>
        <w:t>гом Бажановым, директором авиазавода №22 Марголиным, начальником 1 отдела НИИ ВВС Петровым.</w:t>
      </w:r>
    </w:p>
    <w:p w14:paraId="7A81E151" w14:textId="77777777" w:rsidR="006C0F81" w:rsidRPr="00E14102" w:rsidRDefault="006C0F81" w:rsidP="00E14102">
      <w:pPr>
        <w:jc w:val="both"/>
        <w:rPr>
          <w:color w:val="0070C0"/>
          <w:sz w:val="16"/>
          <w:szCs w:val="16"/>
        </w:rPr>
      </w:pPr>
      <w:r w:rsidRPr="00E14102">
        <w:rPr>
          <w:color w:val="0070C0"/>
          <w:sz w:val="16"/>
          <w:szCs w:val="16"/>
        </w:rPr>
        <w:t>Окончательные выводы были сделаны несколько иные. Признавалось, что накатка И-5 на крыло ТБ-3 сверху тру</w:t>
      </w:r>
      <w:r w:rsidRPr="00E14102">
        <w:rPr>
          <w:color w:val="0070C0"/>
          <w:sz w:val="16"/>
          <w:szCs w:val="16"/>
        </w:rPr>
        <w:softHyphen/>
        <w:t>доемка, подвеска И-ЗЕТ в районе бомболюка снижает возможности ТБ-3, а вот подвеска И-16 под крылом про</w:t>
      </w:r>
      <w:r w:rsidRPr="00E14102">
        <w:rPr>
          <w:color w:val="0070C0"/>
          <w:sz w:val="16"/>
          <w:szCs w:val="16"/>
        </w:rPr>
        <w:softHyphen/>
        <w:t>ста и удобна. Именно вариант ТБ-3 + 2И-16 стали в даль</w:t>
      </w:r>
      <w:r w:rsidRPr="00E14102">
        <w:rPr>
          <w:color w:val="0070C0"/>
          <w:sz w:val="16"/>
          <w:szCs w:val="16"/>
        </w:rPr>
        <w:softHyphen/>
        <w:t>нейшем совершенствовать.</w:t>
      </w:r>
    </w:p>
    <w:p w14:paraId="63ADD3AA" w14:textId="77777777" w:rsidR="006C0F81" w:rsidRPr="00E14102" w:rsidRDefault="006C0F81" w:rsidP="00E14102">
      <w:pPr>
        <w:jc w:val="both"/>
        <w:rPr>
          <w:color w:val="0070C0"/>
          <w:sz w:val="16"/>
          <w:szCs w:val="16"/>
        </w:rPr>
      </w:pPr>
      <w:r w:rsidRPr="00E14102">
        <w:rPr>
          <w:color w:val="0070C0"/>
          <w:sz w:val="16"/>
          <w:szCs w:val="16"/>
        </w:rPr>
        <w:t>В заключение этого эпизода приведем воспоминания Вахмистрова об авиаматке:</w:t>
      </w:r>
    </w:p>
    <w:p w14:paraId="1E9E08B0" w14:textId="77777777" w:rsidR="006C0F81" w:rsidRPr="00E14102" w:rsidRDefault="006C0F81" w:rsidP="00E14102">
      <w:pPr>
        <w:jc w:val="both"/>
        <w:rPr>
          <w:color w:val="0070C0"/>
          <w:sz w:val="16"/>
          <w:szCs w:val="16"/>
        </w:rPr>
      </w:pPr>
      <w:r w:rsidRPr="00E14102">
        <w:rPr>
          <w:color w:val="0070C0"/>
          <w:sz w:val="16"/>
          <w:szCs w:val="16"/>
        </w:rPr>
        <w:t>«Для авиаматки проектировалось огромное летающее крыло («парабола») Черановского. Матка должна была представлять собой бомбардировщик с бомбами, подни</w:t>
      </w:r>
      <w:r w:rsidRPr="00E14102">
        <w:rPr>
          <w:color w:val="0070C0"/>
          <w:sz w:val="16"/>
          <w:szCs w:val="16"/>
        </w:rPr>
        <w:softHyphen/>
        <w:t>мающий 6 истребителей. Мне пришлось докладывать об этом проекте на заседании Реввоенсовета. Я привез ту</w:t>
      </w:r>
      <w:r w:rsidRPr="00E14102">
        <w:rPr>
          <w:color w:val="0070C0"/>
          <w:sz w:val="16"/>
          <w:szCs w:val="16"/>
        </w:rPr>
        <w:softHyphen/>
        <w:t>да все чертежи и рисунки. Мне дали для доклада 15-20 ми</w:t>
      </w:r>
      <w:r w:rsidRPr="00E14102">
        <w:rPr>
          <w:color w:val="0070C0"/>
          <w:sz w:val="16"/>
          <w:szCs w:val="16"/>
        </w:rPr>
        <w:softHyphen/>
        <w:t>нут. Семен Михайлович Буденный помог мне развесить ри</w:t>
      </w:r>
      <w:r w:rsidRPr="00E14102">
        <w:rPr>
          <w:color w:val="0070C0"/>
          <w:sz w:val="16"/>
          <w:szCs w:val="16"/>
        </w:rPr>
        <w:softHyphen/>
        <w:t>сунки. Рисунок самолета «параболы» был непонятен, и Бу</w:t>
      </w:r>
      <w:r w:rsidRPr="00E14102">
        <w:rPr>
          <w:color w:val="0070C0"/>
          <w:sz w:val="16"/>
          <w:szCs w:val="16"/>
        </w:rPr>
        <w:softHyphen/>
        <w:t>денный поначалу повесил его вверх ногами.</w:t>
      </w:r>
    </w:p>
    <w:p w14:paraId="2FBFF8F1" w14:textId="77777777" w:rsidR="006C0F81" w:rsidRPr="00E14102" w:rsidRDefault="006C0F81" w:rsidP="00E14102">
      <w:pPr>
        <w:jc w:val="both"/>
        <w:rPr>
          <w:color w:val="0070C0"/>
          <w:sz w:val="16"/>
          <w:szCs w:val="16"/>
        </w:rPr>
      </w:pPr>
      <w:r w:rsidRPr="00E14102">
        <w:rPr>
          <w:color w:val="0070C0"/>
          <w:sz w:val="16"/>
          <w:szCs w:val="16"/>
        </w:rPr>
        <w:t>К докладу был проявлен очень большой интерес. Меня спрашивали, я отвечал. Эта беседа вместо 15-20 минут длилась около двух часов. Я был откомандирован для его постройки на 22-й завод. Работы по проекту вела молодежь, студенты из МАИ. Спроектировали. Пропусти</w:t>
      </w:r>
      <w:r w:rsidRPr="00E14102">
        <w:rPr>
          <w:color w:val="0070C0"/>
          <w:sz w:val="16"/>
          <w:szCs w:val="16"/>
        </w:rPr>
        <w:softHyphen/>
        <w:t>ли через макетную комиссию. Начали строить.</w:t>
      </w:r>
    </w:p>
    <w:p w14:paraId="72BE0772" w14:textId="77777777" w:rsidR="006C0F81" w:rsidRPr="00E14102" w:rsidRDefault="006C0F81" w:rsidP="00E14102">
      <w:pPr>
        <w:jc w:val="both"/>
        <w:rPr>
          <w:color w:val="0070C0"/>
          <w:sz w:val="16"/>
          <w:szCs w:val="16"/>
        </w:rPr>
      </w:pPr>
      <w:r w:rsidRPr="00E14102">
        <w:rPr>
          <w:color w:val="0070C0"/>
          <w:sz w:val="16"/>
          <w:szCs w:val="16"/>
        </w:rPr>
        <w:t>Тухачевский очень поддерживал нашу работу. Однако, когда он доложил о нашем проекте Сталину, Сталин ска</w:t>
      </w:r>
      <w:r w:rsidRPr="00E14102">
        <w:rPr>
          <w:color w:val="0070C0"/>
          <w:sz w:val="16"/>
          <w:szCs w:val="16"/>
        </w:rPr>
        <w:softHyphen/>
        <w:t>зал:</w:t>
      </w:r>
    </w:p>
    <w:p w14:paraId="7F308EB4" w14:textId="77777777" w:rsidR="006C0F81" w:rsidRPr="00E14102" w:rsidRDefault="006C0F81" w:rsidP="00E14102">
      <w:pPr>
        <w:jc w:val="both"/>
        <w:rPr>
          <w:color w:val="0070C0"/>
          <w:sz w:val="16"/>
          <w:szCs w:val="16"/>
        </w:rPr>
      </w:pPr>
      <w:r w:rsidRPr="00E14102">
        <w:rPr>
          <w:color w:val="0070C0"/>
          <w:sz w:val="16"/>
          <w:szCs w:val="16"/>
        </w:rPr>
        <w:t>— Товарищ Тухачевский, вы очень хороший маршал, но очень большой фантазер!</w:t>
      </w:r>
    </w:p>
    <w:p w14:paraId="04DF9DFC" w14:textId="77777777" w:rsidR="006C0F81" w:rsidRPr="00E14102" w:rsidRDefault="006C0F81" w:rsidP="00E14102">
      <w:pPr>
        <w:jc w:val="both"/>
        <w:rPr>
          <w:color w:val="0070C0"/>
          <w:sz w:val="16"/>
          <w:szCs w:val="16"/>
        </w:rPr>
      </w:pPr>
      <w:r w:rsidRPr="00E14102">
        <w:rPr>
          <w:color w:val="0070C0"/>
          <w:sz w:val="16"/>
          <w:szCs w:val="16"/>
        </w:rPr>
        <w:t>На следующий день моя тема была закрыта, а недо</w:t>
      </w:r>
      <w:r w:rsidRPr="00E14102">
        <w:rPr>
          <w:color w:val="0070C0"/>
          <w:sz w:val="16"/>
          <w:szCs w:val="16"/>
        </w:rPr>
        <w:softHyphen/>
        <w:t>строенный самолет выброшен в утиль».</w:t>
      </w:r>
    </w:p>
    <w:p w14:paraId="11BC7323" w14:textId="77777777" w:rsidR="006C0F81" w:rsidRPr="00E14102" w:rsidRDefault="006C0F81" w:rsidP="00E14102">
      <w:pPr>
        <w:jc w:val="both"/>
        <w:rPr>
          <w:color w:val="0070C0"/>
          <w:sz w:val="16"/>
          <w:szCs w:val="16"/>
        </w:rPr>
      </w:pPr>
      <w:r w:rsidRPr="00E14102">
        <w:rPr>
          <w:color w:val="0070C0"/>
          <w:sz w:val="16"/>
          <w:szCs w:val="16"/>
        </w:rPr>
        <w:t>Судя по приведенному фрагменту, в 1933-35 гг. на авиа</w:t>
      </w:r>
      <w:r w:rsidRPr="00E14102">
        <w:rPr>
          <w:color w:val="0070C0"/>
          <w:sz w:val="16"/>
          <w:szCs w:val="16"/>
        </w:rPr>
        <w:softHyphen/>
        <w:t>заводе №22 начиналась постройка большого самолета-параболы конструкции Б.И.Черановского. Однако каких-ли</w:t>
      </w:r>
      <w:r w:rsidRPr="00E14102">
        <w:rPr>
          <w:color w:val="0070C0"/>
          <w:sz w:val="16"/>
          <w:szCs w:val="16"/>
        </w:rPr>
        <w:softHyphen/>
        <w:t>бо документов о начале подобной деятельности на се</w:t>
      </w:r>
      <w:r w:rsidRPr="00E14102">
        <w:rPr>
          <w:color w:val="0070C0"/>
          <w:sz w:val="16"/>
          <w:szCs w:val="16"/>
        </w:rPr>
        <w:softHyphen/>
        <w:t>годня не обнаружено. Кроме того, нет упоминаний о пол</w:t>
      </w:r>
      <w:r w:rsidRPr="00E14102">
        <w:rPr>
          <w:color w:val="0070C0"/>
          <w:sz w:val="16"/>
          <w:szCs w:val="16"/>
        </w:rPr>
        <w:softHyphen/>
        <w:t>номасштабной разработке такого «летающего крыла» и в архиве Черановского. Скорее всего, силами ограниченно</w:t>
      </w:r>
      <w:r w:rsidRPr="00E14102">
        <w:rPr>
          <w:color w:val="0070C0"/>
          <w:sz w:val="16"/>
          <w:szCs w:val="16"/>
        </w:rPr>
        <w:softHyphen/>
        <w:t>го числа сотрудников КБ Вахмистрова были произведены расчеты и выполнены некоторые другие работы на уров</w:t>
      </w:r>
      <w:r w:rsidRPr="00E14102">
        <w:rPr>
          <w:color w:val="0070C0"/>
          <w:sz w:val="16"/>
          <w:szCs w:val="16"/>
        </w:rPr>
        <w:softHyphen/>
        <w:t>не подготовки аванпроекта, а документы впоследствии не сохранились (20345).</w:t>
      </w:r>
    </w:p>
    <w:p w14:paraId="0599CE19" w14:textId="77777777" w:rsidR="006C0F81" w:rsidRPr="00E14102" w:rsidRDefault="006C0F81" w:rsidP="00E14102">
      <w:pPr>
        <w:jc w:val="both"/>
        <w:rPr>
          <w:color w:val="0070C0"/>
          <w:sz w:val="16"/>
          <w:szCs w:val="16"/>
        </w:rPr>
      </w:pPr>
    </w:p>
    <w:p w14:paraId="01E470B3" w14:textId="13A9845A" w:rsidR="006C0F81" w:rsidRPr="00E14102" w:rsidRDefault="006C0F81" w:rsidP="00E14102">
      <w:pPr>
        <w:jc w:val="both"/>
        <w:rPr>
          <w:i/>
          <w:iCs/>
          <w:color w:val="000000" w:themeColor="text1"/>
          <w:sz w:val="16"/>
          <w:szCs w:val="16"/>
        </w:rPr>
      </w:pPr>
      <w:r w:rsidRPr="00E14102">
        <w:rPr>
          <w:i/>
          <w:iCs/>
          <w:color w:val="000000" w:themeColor="text1"/>
          <w:sz w:val="16"/>
          <w:szCs w:val="16"/>
        </w:rPr>
        <w:t>Армия:</w:t>
      </w:r>
    </w:p>
    <w:p w14:paraId="0BBEC9C5" w14:textId="77777777" w:rsidR="006C0F81" w:rsidRPr="00E14102" w:rsidRDefault="006C0F81" w:rsidP="00E14102">
      <w:pPr>
        <w:jc w:val="both"/>
        <w:rPr>
          <w:i/>
          <w:iCs/>
          <w:color w:val="000000" w:themeColor="text1"/>
          <w:sz w:val="16"/>
          <w:szCs w:val="16"/>
        </w:rPr>
      </w:pPr>
    </w:p>
    <w:p w14:paraId="511BBAF8" w14:textId="77777777" w:rsidR="006C0F81" w:rsidRPr="00E14102" w:rsidRDefault="006C0F81" w:rsidP="00E14102">
      <w:pPr>
        <w:jc w:val="both"/>
        <w:rPr>
          <w:color w:val="0070C0"/>
          <w:sz w:val="16"/>
          <w:szCs w:val="16"/>
        </w:rPr>
      </w:pPr>
      <w:r w:rsidRPr="00E14102">
        <w:rPr>
          <w:color w:val="0070C0"/>
          <w:sz w:val="16"/>
          <w:szCs w:val="16"/>
        </w:rPr>
        <w:lastRenderedPageBreak/>
        <w:t>К осени 1935 г. создаются отдельные авиационные эскадри</w:t>
      </w:r>
      <w:r w:rsidRPr="00E14102">
        <w:rPr>
          <w:color w:val="0070C0"/>
          <w:sz w:val="16"/>
          <w:szCs w:val="16"/>
        </w:rPr>
        <w:softHyphen/>
        <w:t>льи в подмосковном Быкове и Петропавловске-Камчатском, отдельные авиа</w:t>
      </w:r>
      <w:r w:rsidRPr="00E14102">
        <w:rPr>
          <w:color w:val="0070C0"/>
          <w:sz w:val="16"/>
          <w:szCs w:val="16"/>
        </w:rPr>
        <w:softHyphen/>
        <w:t>отряды в Грозном, Ростове-на-Дону, Нерчинске, на ст. Белая в Забайкалье, на Сахалине, Владивостоке, Хабаровске, Иркутске, Мурманске, Архангельске, а также отдельные авиазвенья в Новой Ладоге и бухте Провидения. Итого в составе пограничной авиации через 3 года после начала ее активного форми</w:t>
      </w:r>
      <w:r w:rsidRPr="00E14102">
        <w:rPr>
          <w:color w:val="0070C0"/>
          <w:sz w:val="16"/>
          <w:szCs w:val="16"/>
        </w:rPr>
        <w:softHyphen/>
        <w:t>рования были 2 отдельные авиаэскадрильи, 18 отдельных авиаотрядов и 2 от</w:t>
      </w:r>
      <w:r w:rsidRPr="00E14102">
        <w:rPr>
          <w:color w:val="0070C0"/>
          <w:sz w:val="16"/>
          <w:szCs w:val="16"/>
        </w:rPr>
        <w:softHyphen/>
        <w:t>дельных авиазвена. Анализ дислокации авиачастей в сентябре 1935 г. пока</w:t>
      </w:r>
      <w:r w:rsidRPr="00E14102">
        <w:rPr>
          <w:color w:val="0070C0"/>
          <w:sz w:val="16"/>
          <w:szCs w:val="16"/>
        </w:rPr>
        <w:softHyphen/>
        <w:t>зал, что из 22 соединений на дальневосточной границе было сосредоточено 7 частей; в восточной и западной Сибири — 4 авиачасти, в Средней Азии и Казахстане — 4 части, по одной авиачасти было придано Закавказью, Украи</w:t>
      </w:r>
      <w:r w:rsidRPr="00E14102">
        <w:rPr>
          <w:color w:val="0070C0"/>
          <w:sz w:val="16"/>
          <w:szCs w:val="16"/>
        </w:rPr>
        <w:softHyphen/>
        <w:t>не, Крыму, Белоруссии, Ленинградскому и Мурманскому пограничным окру</w:t>
      </w:r>
      <w:r w:rsidRPr="00E14102">
        <w:rPr>
          <w:color w:val="0070C0"/>
          <w:sz w:val="16"/>
          <w:szCs w:val="16"/>
        </w:rPr>
        <w:softHyphen/>
        <w:t>гам, 1-я отдельная авиаэскадрилья дислоцировалась под Москвой в Быкове и была резервом Главного управления пограничной и внутренней охраны НКВД СССР.</w:t>
      </w:r>
    </w:p>
    <w:p w14:paraId="2FE0A18C" w14:textId="77777777" w:rsidR="006C0F81" w:rsidRPr="00E14102" w:rsidRDefault="006C0F81" w:rsidP="00E14102">
      <w:pPr>
        <w:jc w:val="both"/>
        <w:rPr>
          <w:color w:val="0070C0"/>
          <w:sz w:val="16"/>
          <w:szCs w:val="16"/>
        </w:rPr>
      </w:pPr>
      <w:r w:rsidRPr="00E14102">
        <w:rPr>
          <w:color w:val="0070C0"/>
          <w:sz w:val="16"/>
          <w:szCs w:val="16"/>
        </w:rPr>
        <w:t>Отдельные авиационные эскадрильи по штату состояли из 3 авиаотрядов, которые подразделялись на авиазвенья, состоящие из 3 самолетов. Отдельные авиаотряды состояли из 3—4 авиазвеньев. Организационно отдельные авиаэскадрильи и авиаотряды входили в состав пограничных округов и в на</w:t>
      </w:r>
      <w:r w:rsidRPr="00E14102">
        <w:rPr>
          <w:color w:val="0070C0"/>
          <w:sz w:val="16"/>
          <w:szCs w:val="16"/>
        </w:rPr>
        <w:softHyphen/>
        <w:t>чальный момент формирования авиации погранвойск контролировались авиа</w:t>
      </w:r>
      <w:r w:rsidRPr="00E14102">
        <w:rPr>
          <w:color w:val="0070C0"/>
          <w:sz w:val="16"/>
          <w:szCs w:val="16"/>
        </w:rPr>
        <w:softHyphen/>
        <w:t>ционной инспекцией отдела вооружения Главного управления пограничных войск (20402).</w:t>
      </w:r>
    </w:p>
    <w:p w14:paraId="57A24F73" w14:textId="77777777" w:rsidR="006C0F81" w:rsidRPr="00E14102" w:rsidRDefault="006C0F81" w:rsidP="00E14102">
      <w:pPr>
        <w:jc w:val="both"/>
        <w:rPr>
          <w:color w:val="0070C0"/>
          <w:sz w:val="16"/>
          <w:szCs w:val="16"/>
        </w:rPr>
      </w:pPr>
    </w:p>
    <w:p w14:paraId="11FD81E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456E5FBA" w14:textId="77777777" w:rsidR="00D4105E" w:rsidRPr="00E14102" w:rsidRDefault="00D4105E" w:rsidP="00E14102">
      <w:pPr>
        <w:autoSpaceDE w:val="0"/>
        <w:autoSpaceDN w:val="0"/>
        <w:adjustRightInd w:val="0"/>
        <w:jc w:val="both"/>
        <w:rPr>
          <w:iCs/>
          <w:color w:val="000000" w:themeColor="text1"/>
          <w:sz w:val="16"/>
          <w:szCs w:val="16"/>
        </w:rPr>
      </w:pPr>
    </w:p>
    <w:p w14:paraId="365B3B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осени 1935 СССР не предлагал Финляндии прямого договора, не предлагал войск, а лишь просил договор о защите берегов Финляндии Балтфлотом, если Финляндия подвергнется нападению немцев. Финны отказались и даже не пытались продолжить переговоры (3573).</w:t>
      </w:r>
    </w:p>
    <w:p w14:paraId="65011BA0" w14:textId="77777777" w:rsidR="00D4105E" w:rsidRPr="00E14102" w:rsidRDefault="00D4105E" w:rsidP="00E14102">
      <w:pPr>
        <w:autoSpaceDE w:val="0"/>
        <w:autoSpaceDN w:val="0"/>
        <w:adjustRightInd w:val="0"/>
        <w:jc w:val="both"/>
        <w:rPr>
          <w:color w:val="000000" w:themeColor="text1"/>
          <w:sz w:val="16"/>
          <w:szCs w:val="16"/>
        </w:rPr>
      </w:pPr>
    </w:p>
    <w:p w14:paraId="768DB5D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5860ED0" w14:textId="77777777" w:rsidR="00D4105E" w:rsidRPr="00E14102" w:rsidRDefault="00D4105E" w:rsidP="00E14102">
      <w:pPr>
        <w:autoSpaceDE w:val="0"/>
        <w:autoSpaceDN w:val="0"/>
        <w:adjustRightInd w:val="0"/>
        <w:jc w:val="both"/>
        <w:rPr>
          <w:iCs/>
          <w:color w:val="000000" w:themeColor="text1"/>
          <w:sz w:val="16"/>
          <w:szCs w:val="16"/>
        </w:rPr>
      </w:pPr>
    </w:p>
    <w:p w14:paraId="72F318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 сентября 1935 на заводе № 22 60 машин ТБ-3РН уже состыковали и на 20 из них установили моторы. На 1936 г. ВВС заказали 185 ТБ-ЗРН. Но на бомбардировщиках не хватало винтов, колес, бомбодержателей. Самолет считался особо важным для ВВС наряду с СБ, поэтому на стол к Алкснису ежедневно ложились сводки о состоянии производства и приемке готовых машин. На 1 февраля 1936 г. на заводской аэродром вывели уже 82 ТБ-ЗРН, на которых производили различные доделки. 27 февраля три первых машины облетали, а уже 3 марта они отправились в Монино на войсковые испытания.</w:t>
      </w:r>
    </w:p>
    <w:p w14:paraId="72FC15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7 июня 1936 г. 18 самолетов отправились в различные строевые части. Приоритет в получении новых бомбардировщиков получили 23-я тбаб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тбаб, прошедшая переподготовку в Москве. Самолеты, отправлявшиеся на Дальний Восток, комплектовали пеленгаторами АПР-1 или АГ1Р-3.</w:t>
      </w:r>
    </w:p>
    <w:p w14:paraId="4BC890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законцовками стабилизатора, развитыми зализами между крылом и фюзеляжем.</w:t>
      </w:r>
    </w:p>
    <w:p w14:paraId="685374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неубираю- шееся шасси и открытая пилотская кабина выглядели анахронизмом.</w:t>
      </w:r>
    </w:p>
    <w:p w14:paraId="64A22B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3C728D66" w14:textId="77777777" w:rsidR="00D4105E" w:rsidRPr="00E14102" w:rsidRDefault="00D4105E" w:rsidP="00E14102">
      <w:pPr>
        <w:autoSpaceDE w:val="0"/>
        <w:autoSpaceDN w:val="0"/>
        <w:adjustRightInd w:val="0"/>
        <w:jc w:val="both"/>
        <w:rPr>
          <w:color w:val="000000" w:themeColor="text1"/>
          <w:sz w:val="16"/>
          <w:szCs w:val="16"/>
        </w:rPr>
      </w:pPr>
    </w:p>
    <w:p w14:paraId="11A75E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 зам. начальника Академии Баранов писал письмо № 00372 начальнику Управления ВС Алкснису</w:t>
      </w:r>
    </w:p>
    <w:p w14:paraId="5CD08E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Представляю отчет о работе по самолету "ПС" конструкции Козлова.</w:t>
      </w:r>
    </w:p>
    <w:p w14:paraId="47E8C3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Введение</w:t>
      </w:r>
    </w:p>
    <w:p w14:paraId="47A104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Около семи лет назад я начал работать над вопросом уменьшения видимости самолета ………………..</w:t>
      </w:r>
    </w:p>
    <w:p w14:paraId="0747DD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Проблема максимального уменьшения видимости самолета мыслится мне как состоящая из трех отдельных задач:</w:t>
      </w:r>
    </w:p>
    <w:p w14:paraId="6B03C8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прозрачное покрытие</w:t>
      </w:r>
    </w:p>
    <w:p w14:paraId="0B27D6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видимость внутренней структуры самолета</w:t>
      </w:r>
    </w:p>
    <w:p w14:paraId="124CF9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видимость мотора, экипажа, вооружения и т.д.</w:t>
      </w:r>
    </w:p>
    <w:p w14:paraId="2DFD8F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737029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эксперимент</w:t>
      </w:r>
    </w:p>
    <w:p w14:paraId="30E410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1934 года мною была произведена первая попытка уменьшить видимость самолета путем замены обычного покрытия.</w:t>
      </w:r>
    </w:p>
    <w:p w14:paraId="3853EF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задней части фюзеляжа самолета У-2 (начиная со второго отсека от заднего сиденья до начала стабилизатора) было снято полотно с боков и низу и фанера сверху и вместо этого поставлен целлон.</w:t>
      </w:r>
    </w:p>
    <w:p w14:paraId="071386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Механические качества целлона были невысоки – прозрачность неважная и кроме того, он обладал сильным собственным желтокоричневатым цветом.</w:t>
      </w:r>
    </w:p>
    <w:p w14:paraId="132083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совершил в таком виде ряд полетов, показавших заметное уменьшение видимости фюзеляжа в сравнении с обычным.</w:t>
      </w:r>
    </w:p>
    <w:p w14:paraId="61716F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57BDB3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по У-2 были начаты (отпущены средства и наряжен самолет) в конце сентября и окончены в середине октября.</w:t>
      </w:r>
    </w:p>
    <w:p w14:paraId="23ADE2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Второй эксперимент</w:t>
      </w:r>
    </w:p>
    <w:p w14:paraId="60DEA9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АИР-4 ……………..</w:t>
      </w:r>
    </w:p>
    <w:p w14:paraId="592A76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Начало работ можно считать со дня подписания договора между ОИНКО и ВВА от 17 апреля 1935 года.</w:t>
      </w:r>
    </w:p>
    <w:p w14:paraId="4D06ED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работ</w:t>
      </w:r>
    </w:p>
    <w:p w14:paraId="1DCD9F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Исследование возможности покрытия самолета целлоном советского производства, включая и несущие поверхности и установление эффективности такого покрытия как средства уменьшения видимости.</w:t>
      </w:r>
    </w:p>
    <w:p w14:paraId="74733F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Переделанный и покрытый прозрачным покрытием самолет АИР-4 в дальнейшем будет называться "ПС", что значит прозрачный самолет.</w:t>
      </w:r>
    </w:p>
    <w:p w14:paraId="045836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473518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самолета</w:t>
      </w:r>
    </w:p>
    <w:p w14:paraId="5AF243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июля самолет совершил свои первые полеты.</w:t>
      </w:r>
    </w:p>
    <w:p w14:paraId="1B0CA8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Вторая серия полетов была проведена 26 июля.</w:t>
      </w:r>
    </w:p>
    <w:p w14:paraId="4F98EF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июля самолет ПС перегнали на Серпуховский аэродром, где он совершил несколько полетов ………………….</w:t>
      </w:r>
    </w:p>
    <w:p w14:paraId="392B61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августа самолет сделал еще полет в Серпухове.</w:t>
      </w:r>
    </w:p>
    <w:p w14:paraId="50490E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августа самолет перегнали на аэродром части 1127 для испытаний и 22 августа были проведены испытания.</w:t>
      </w:r>
    </w:p>
    <w:p w14:paraId="1DD030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56D850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43A69F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6A52D1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064357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Применение целлона оправдывает себя как средство уменьшения видимости.</w:t>
      </w:r>
    </w:p>
    <w:p w14:paraId="608B5D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…………………………….(7656).</w:t>
      </w:r>
    </w:p>
    <w:p w14:paraId="5D8A6E9D" w14:textId="77777777" w:rsidR="00D4105E" w:rsidRPr="00E14102" w:rsidRDefault="00D4105E" w:rsidP="00E14102">
      <w:pPr>
        <w:autoSpaceDE w:val="0"/>
        <w:autoSpaceDN w:val="0"/>
        <w:adjustRightInd w:val="0"/>
        <w:jc w:val="both"/>
        <w:rPr>
          <w:color w:val="000000" w:themeColor="text1"/>
          <w:sz w:val="16"/>
          <w:szCs w:val="16"/>
        </w:rPr>
      </w:pPr>
    </w:p>
    <w:p w14:paraId="22C25A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1 сентября 1935 г. в Запорожье собрали из импортных деталей пер</w:t>
      </w:r>
      <w:r w:rsidRPr="00E14102">
        <w:rPr>
          <w:color w:val="000000" w:themeColor="text1"/>
          <w:sz w:val="16"/>
          <w:szCs w:val="16"/>
        </w:rPr>
        <w:softHyphen/>
        <w:t>вый мотор М-75. Его поставили на 100-часовые заводские испытания. А уже в октябре поступило предложение снять его с производства. Се</w:t>
      </w:r>
      <w:r w:rsidRPr="00E14102">
        <w:rPr>
          <w:color w:val="000000" w:themeColor="text1"/>
          <w:sz w:val="16"/>
          <w:szCs w:val="16"/>
        </w:rPr>
        <w:softHyphen/>
        <w:t>рийный выпуск М-75 планировался на 1936 г. Предполагалось изготовить 150 двигателей. Но фактически сделали всего несколько штук. 5 октября 1936 г. ГУАП предложило снизить план до 50 моторов. Реально же не сделали и их. В конце года все силы бросили на увеличение выпуска М-85, а работы по М-75 полностью свернули. Первоначально планировали модернизировать М-75, создав форсирован</w:t>
      </w:r>
      <w:r w:rsidRPr="00E14102">
        <w:rPr>
          <w:color w:val="000000" w:themeColor="text1"/>
          <w:sz w:val="16"/>
          <w:szCs w:val="16"/>
        </w:rPr>
        <w:softHyphen/>
        <w:t>ный М-76 с выключаемым нагнетателем. На него подготовили техниче</w:t>
      </w:r>
      <w:r w:rsidRPr="00E14102">
        <w:rPr>
          <w:color w:val="000000" w:themeColor="text1"/>
          <w:sz w:val="16"/>
          <w:szCs w:val="16"/>
        </w:rPr>
        <w:softHyphen/>
        <w:t>ское задание. В конструировании же вряд ли ушли дальше простейших прикидок (11852).</w:t>
      </w:r>
    </w:p>
    <w:p w14:paraId="15073B7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181EC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вышло постановление СТО N С-112сс О комплектной поставке НКТП самолетов НКО". В.М.М. (2161,190).</w:t>
      </w:r>
    </w:p>
    <w:p w14:paraId="004966B3" w14:textId="77777777" w:rsidR="00D4105E" w:rsidRPr="00E14102" w:rsidRDefault="00D4105E" w:rsidP="00E14102">
      <w:pPr>
        <w:autoSpaceDE w:val="0"/>
        <w:autoSpaceDN w:val="0"/>
        <w:adjustRightInd w:val="0"/>
        <w:jc w:val="both"/>
        <w:rPr>
          <w:color w:val="000000" w:themeColor="text1"/>
          <w:sz w:val="16"/>
          <w:szCs w:val="16"/>
        </w:rPr>
      </w:pPr>
    </w:p>
    <w:p w14:paraId="1AF58871" w14:textId="77777777" w:rsidR="005E12CF" w:rsidRPr="00E14102" w:rsidRDefault="005E12CF" w:rsidP="00E14102">
      <w:pPr>
        <w:jc w:val="both"/>
        <w:rPr>
          <w:rStyle w:val="a6"/>
          <w:i w:val="0"/>
          <w:color w:val="000000" w:themeColor="text1"/>
          <w:sz w:val="16"/>
          <w:szCs w:val="16"/>
        </w:rPr>
      </w:pPr>
      <w:r w:rsidRPr="00E14102">
        <w:rPr>
          <w:rStyle w:val="a6"/>
          <w:i w:val="0"/>
          <w:color w:val="000000" w:themeColor="text1"/>
          <w:sz w:val="16"/>
          <w:szCs w:val="16"/>
        </w:rPr>
        <w:t xml:space="preserve">1 сентября 1935 г. </w:t>
      </w:r>
      <w:r w:rsidRPr="00E14102">
        <w:rPr>
          <w:color w:val="000000" w:themeColor="text1"/>
          <w:sz w:val="16"/>
          <w:szCs w:val="16"/>
        </w:rPr>
        <w:t>Постановление СТО СССР № С-112сс «О комплектной поставке НКТПромом самолетов НКОбороны»</w:t>
      </w:r>
    </w:p>
    <w:p w14:paraId="58801F5B" w14:textId="77777777" w:rsidR="005E12CF" w:rsidRPr="00E14102" w:rsidRDefault="005E12CF"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463FD926" w14:textId="77777777" w:rsidR="005E12CF" w:rsidRPr="00E14102" w:rsidRDefault="005E12CF" w:rsidP="00E14102">
      <w:pPr>
        <w:pStyle w:val="rtejustify"/>
        <w:spacing w:before="0" w:after="0"/>
        <w:rPr>
          <w:color w:val="000000" w:themeColor="text1"/>
          <w:sz w:val="16"/>
          <w:szCs w:val="16"/>
        </w:rPr>
      </w:pPr>
      <w:r w:rsidRPr="00E14102">
        <w:rPr>
          <w:color w:val="000000" w:themeColor="text1"/>
          <w:sz w:val="16"/>
          <w:szCs w:val="16"/>
        </w:rPr>
        <w:lastRenderedPageBreak/>
        <w:t>Совет труда и обороны постановляет:</w:t>
      </w:r>
    </w:p>
    <w:p w14:paraId="1A7A60A5" w14:textId="77777777" w:rsidR="005E12CF" w:rsidRPr="00E14102" w:rsidRDefault="005E12CF" w:rsidP="00E14102">
      <w:pPr>
        <w:pStyle w:val="rtejustify"/>
        <w:spacing w:before="0" w:after="0"/>
        <w:rPr>
          <w:color w:val="000000" w:themeColor="text1"/>
          <w:sz w:val="16"/>
          <w:szCs w:val="16"/>
        </w:rPr>
      </w:pPr>
      <w:r w:rsidRPr="00E14102">
        <w:rPr>
          <w:color w:val="000000" w:themeColor="text1"/>
          <w:sz w:val="16"/>
          <w:szCs w:val="16"/>
        </w:rPr>
        <w:t>1. Установить, что с 1 января 1936 г. все самолетные заводы НКТП поставляют НКОбороны самолеты, полностью укомплектованные всем необходимым вооружением и оборудованием (радио, фото и др.), состоящим на вооружении и необходимым для боевого применения данного типа самолета.</w:t>
      </w:r>
    </w:p>
    <w:p w14:paraId="63DA6B9D" w14:textId="77777777" w:rsidR="005E12CF" w:rsidRPr="00E14102" w:rsidRDefault="005E12CF" w:rsidP="00E14102">
      <w:pPr>
        <w:pStyle w:val="rtejustify"/>
        <w:spacing w:before="0" w:after="0"/>
        <w:rPr>
          <w:color w:val="000000" w:themeColor="text1"/>
          <w:sz w:val="16"/>
          <w:szCs w:val="16"/>
        </w:rPr>
      </w:pPr>
      <w:r w:rsidRPr="00E14102">
        <w:rPr>
          <w:color w:val="000000" w:themeColor="text1"/>
          <w:sz w:val="16"/>
          <w:szCs w:val="16"/>
        </w:rPr>
        <w:t>2. Соответственно с п. 1 настоящего постановления самолетные заводы ГУАПа сами непосредственно заказывают заводам НКТП, производящим вооружение и оборудование, необходимые объекты для комплектной поставки НКО самолетов, согласно договорам на поставку самолетов. Центральные управления НКО заказывают непосредственно заводам НКТП, производящим вооружение и оборудование, только те объекты, которые идут в запас, или для ликвидации некомплектности на ранее выпущенных самолетах или на перевооружение устаревших предметов вооружения и оборудования в строевых частях и школах ВС РККА.</w:t>
      </w:r>
    </w:p>
    <w:p w14:paraId="4D5F3F6D" w14:textId="77777777" w:rsidR="005E12CF" w:rsidRPr="00E14102" w:rsidRDefault="005E12CF" w:rsidP="00E14102">
      <w:pPr>
        <w:pStyle w:val="rtejustify"/>
        <w:spacing w:before="0" w:after="0"/>
        <w:rPr>
          <w:color w:val="000000" w:themeColor="text1"/>
          <w:sz w:val="16"/>
          <w:szCs w:val="16"/>
        </w:rPr>
      </w:pPr>
      <w:r w:rsidRPr="00E14102">
        <w:rPr>
          <w:color w:val="000000" w:themeColor="text1"/>
          <w:sz w:val="16"/>
          <w:szCs w:val="16"/>
        </w:rPr>
        <w:t>3. Техническая приемка всех предметов вооружения и оборудования (включая заказываемые самолетными заводами ГУАПа), подлежащих установке на военные самолеты, производится военной приемкой НКО на заводах вооружения и оборудования.</w:t>
      </w:r>
    </w:p>
    <w:p w14:paraId="5A1106D2" w14:textId="77777777" w:rsidR="005E12CF" w:rsidRPr="00E14102" w:rsidRDefault="005E12CF"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Председатель Совета труда и обороны В.</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Молотов</w:t>
      </w:r>
    </w:p>
    <w:p w14:paraId="5A3F9867" w14:textId="77777777" w:rsidR="005E12CF" w:rsidRPr="00E14102" w:rsidRDefault="005E12CF"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54C699C2" w14:textId="77777777" w:rsidR="005E12CF" w:rsidRPr="00E14102" w:rsidRDefault="005E12CF"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Помета</w:t>
      </w:r>
      <w:r w:rsidRPr="00E14102">
        <w:rPr>
          <w:rFonts w:ascii="Times New Roman" w:hAnsi="Times New Roman" w:cs="Times New Roman"/>
          <w:color w:val="000000" w:themeColor="text1"/>
          <w:sz w:val="16"/>
          <w:szCs w:val="16"/>
          <w:lang w:val="ru-RU"/>
        </w:rPr>
        <w:t>: «Опросом членов КО: за</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Молотов, за</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Л.</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Каганович».</w:t>
      </w:r>
    </w:p>
    <w:p w14:paraId="6205885B" w14:textId="77777777" w:rsidR="005E12CF" w:rsidRPr="00E14102" w:rsidRDefault="005E12C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ГА РФ. Ф. Р-8418. Оп. 28. Д. 7. Л. 92. Подлинник (15353).</w:t>
      </w:r>
    </w:p>
    <w:p w14:paraId="094D05F2" w14:textId="77777777" w:rsidR="005E12CF" w:rsidRPr="00E14102" w:rsidRDefault="005E12CF" w:rsidP="00E14102">
      <w:pPr>
        <w:jc w:val="both"/>
        <w:rPr>
          <w:rStyle w:val="ucoz-forum-post"/>
          <w:rFonts w:eastAsiaTheme="majorEastAsia"/>
          <w:bCs/>
          <w:color w:val="000000" w:themeColor="text1"/>
          <w:sz w:val="16"/>
          <w:szCs w:val="16"/>
        </w:rPr>
      </w:pPr>
    </w:p>
    <w:p w14:paraId="6AE9C431" w14:textId="77777777" w:rsidR="004E6CC2" w:rsidRPr="00E14102" w:rsidRDefault="004E6CC2" w:rsidP="00E14102">
      <w:pPr>
        <w:pStyle w:val="rtejustify"/>
        <w:spacing w:before="0" w:after="0"/>
        <w:rPr>
          <w:color w:val="000000" w:themeColor="text1"/>
          <w:sz w:val="16"/>
          <w:szCs w:val="16"/>
        </w:rPr>
      </w:pPr>
      <w:r w:rsidRPr="00E14102">
        <w:rPr>
          <w:rStyle w:val="a6"/>
          <w:bCs/>
          <w:i w:val="0"/>
          <w:color w:val="000000" w:themeColor="text1"/>
          <w:sz w:val="16"/>
          <w:szCs w:val="16"/>
        </w:rPr>
        <w:t>1 сентября</w:t>
      </w:r>
      <w:r w:rsidRPr="00E14102">
        <w:rPr>
          <w:color w:val="000000" w:themeColor="text1"/>
          <w:sz w:val="16"/>
          <w:szCs w:val="16"/>
        </w:rPr>
        <w:t xml:space="preserve">. </w:t>
      </w:r>
      <w:hyperlink r:id="rId194" w:history="1">
        <w:r w:rsidRPr="00E14102">
          <w:rPr>
            <w:rStyle w:val="a4"/>
            <w:color w:val="000000" w:themeColor="text1"/>
            <w:sz w:val="16"/>
            <w:szCs w:val="16"/>
            <w:u w:val="none"/>
          </w:rPr>
          <w:t>Постановление СТО № С</w:t>
        </w:r>
        <w:r w:rsidRPr="00E14102">
          <w:rPr>
            <w:rStyle w:val="a4"/>
            <w:color w:val="000000" w:themeColor="text1"/>
            <w:sz w:val="16"/>
            <w:szCs w:val="16"/>
            <w:u w:val="none"/>
          </w:rPr>
          <w:noBreakHyphen/>
          <w:t>112сс «О комплектной поставке НКТП самолетов НКО»</w:t>
        </w:r>
      </w:hyperlink>
      <w:r w:rsidRPr="00E14102">
        <w:rPr>
          <w:color w:val="000000" w:themeColor="text1"/>
          <w:sz w:val="16"/>
          <w:szCs w:val="16"/>
        </w:rPr>
        <w:t>. (ГА РФ. Ф. Р</w:t>
      </w:r>
      <w:r w:rsidRPr="00E14102">
        <w:rPr>
          <w:color w:val="000000" w:themeColor="text1"/>
          <w:sz w:val="16"/>
          <w:szCs w:val="16"/>
        </w:rPr>
        <w:noBreakHyphen/>
        <w:t>8418. Оп. 28. Д. 7. Л. 92) (15460).</w:t>
      </w:r>
    </w:p>
    <w:p w14:paraId="25187D3F" w14:textId="77777777" w:rsidR="004E6CC2" w:rsidRPr="00E14102" w:rsidRDefault="004E6CC2" w:rsidP="00E14102">
      <w:pPr>
        <w:pStyle w:val="rtejustify"/>
        <w:spacing w:before="0" w:after="0"/>
        <w:rPr>
          <w:color w:val="000000" w:themeColor="text1"/>
          <w:sz w:val="16"/>
          <w:szCs w:val="16"/>
        </w:rPr>
      </w:pPr>
    </w:p>
    <w:p w14:paraId="37898DAA" w14:textId="77777777" w:rsidR="004E6CC2" w:rsidRPr="00E14102" w:rsidRDefault="004E6CC2" w:rsidP="00E14102">
      <w:pPr>
        <w:pStyle w:val="rtejustify"/>
        <w:spacing w:before="0" w:after="0"/>
        <w:rPr>
          <w:color w:val="000000" w:themeColor="text1"/>
          <w:sz w:val="16"/>
          <w:szCs w:val="16"/>
        </w:rPr>
      </w:pPr>
      <w:r w:rsidRPr="00E14102">
        <w:rPr>
          <w:rStyle w:val="a6"/>
          <w:bCs/>
          <w:i w:val="0"/>
          <w:color w:val="000000" w:themeColor="text1"/>
          <w:sz w:val="16"/>
          <w:szCs w:val="16"/>
        </w:rPr>
        <w:t>1 сентября</w:t>
      </w:r>
      <w:r w:rsidRPr="00E14102">
        <w:rPr>
          <w:color w:val="000000" w:themeColor="text1"/>
          <w:sz w:val="16"/>
          <w:szCs w:val="16"/>
        </w:rPr>
        <w:t xml:space="preserve"> 1935. Постановление СНК СССР № С</w:t>
      </w:r>
      <w:r w:rsidRPr="00E14102">
        <w:rPr>
          <w:color w:val="000000" w:themeColor="text1"/>
          <w:sz w:val="16"/>
          <w:szCs w:val="16"/>
        </w:rPr>
        <w:noBreakHyphen/>
        <w:t>44сс «О закупке истребителей “Ферри” и горных батарей за границей». (ГА РФ. Ф. Р</w:t>
      </w:r>
      <w:r w:rsidRPr="00E14102">
        <w:rPr>
          <w:color w:val="000000" w:themeColor="text1"/>
          <w:sz w:val="16"/>
          <w:szCs w:val="16"/>
        </w:rPr>
        <w:noBreakHyphen/>
        <w:t>8418. Оп. 28. Д. 17. Л. 102) (15460).</w:t>
      </w:r>
    </w:p>
    <w:p w14:paraId="330C79F1" w14:textId="77777777" w:rsidR="004E6CC2" w:rsidRPr="00E14102" w:rsidRDefault="004E6CC2" w:rsidP="00E14102">
      <w:pPr>
        <w:pStyle w:val="rtejustify"/>
        <w:spacing w:before="0" w:after="0"/>
        <w:rPr>
          <w:color w:val="000000" w:themeColor="text1"/>
          <w:sz w:val="16"/>
          <w:szCs w:val="16"/>
        </w:rPr>
      </w:pPr>
    </w:p>
    <w:p w14:paraId="00AEDB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 был подготовлен Отчет по испытанию различных методов слепого приземления</w:t>
      </w:r>
    </w:p>
    <w:p w14:paraId="4F25E7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7C2480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Испытать различные методы слепого приземления; дать им оценку и выбрать наиболее совершенный метод слепого приземления могущий быть использован для дальнейших работ по слепой посадке.</w:t>
      </w:r>
    </w:p>
    <w:p w14:paraId="1F5337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67933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Слепое приземление следует производить по лоту-высотомеру. Испытания показали полную надежность работы его и точность вполне достаточную для посадки самолета (3969).</w:t>
      </w:r>
    </w:p>
    <w:p w14:paraId="02AF55E0" w14:textId="77777777" w:rsidR="00D4105E" w:rsidRPr="00E14102" w:rsidRDefault="00D4105E" w:rsidP="00E14102">
      <w:pPr>
        <w:autoSpaceDE w:val="0"/>
        <w:autoSpaceDN w:val="0"/>
        <w:adjustRightInd w:val="0"/>
        <w:jc w:val="both"/>
        <w:rPr>
          <w:color w:val="000000" w:themeColor="text1"/>
          <w:sz w:val="16"/>
          <w:szCs w:val="16"/>
        </w:rPr>
      </w:pPr>
    </w:p>
    <w:p w14:paraId="1B7E14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вышел приказ ГУАП N 50/284:</w:t>
      </w:r>
    </w:p>
    <w:p w14:paraId="4ED2CC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расширения производственной базы скоростных 2-х моторных самолетов цельнометаллической конструкции и для обеспечения серийного выпуска машин этого класса по более широкой номенклатуре:</w:t>
      </w:r>
    </w:p>
    <w:p w14:paraId="0801DC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84 предназначить для постройки цельнометаллических самолетов среднего тоннажа. Протокольное постановление от...отменяется." Королев (2175,46).</w:t>
      </w:r>
    </w:p>
    <w:p w14:paraId="4A6430E5" w14:textId="77777777" w:rsidR="00D4105E" w:rsidRPr="00E14102" w:rsidRDefault="00D4105E" w:rsidP="00E14102">
      <w:pPr>
        <w:autoSpaceDE w:val="0"/>
        <w:autoSpaceDN w:val="0"/>
        <w:adjustRightInd w:val="0"/>
        <w:jc w:val="both"/>
        <w:rPr>
          <w:color w:val="000000" w:themeColor="text1"/>
          <w:sz w:val="16"/>
          <w:szCs w:val="16"/>
        </w:rPr>
      </w:pPr>
    </w:p>
    <w:p w14:paraId="00B4AE4B" w14:textId="77777777" w:rsidR="004E6CC2" w:rsidRPr="00E14102" w:rsidRDefault="004E6CC2" w:rsidP="00E14102">
      <w:pPr>
        <w:jc w:val="both"/>
        <w:rPr>
          <w:color w:val="000000" w:themeColor="text1"/>
          <w:sz w:val="16"/>
          <w:szCs w:val="16"/>
        </w:rPr>
      </w:pPr>
      <w:r w:rsidRPr="00E14102">
        <w:rPr>
          <w:rStyle w:val="ucoz-forum-post"/>
          <w:rFonts w:eastAsiaTheme="majorEastAsia"/>
          <w:bCs/>
          <w:color w:val="000000" w:themeColor="text1"/>
          <w:sz w:val="16"/>
          <w:szCs w:val="16"/>
        </w:rPr>
        <w:t>1 сентября 1935 года</w:t>
      </w:r>
      <w:r w:rsidRPr="00E14102">
        <w:rPr>
          <w:color w:val="000000" w:themeColor="text1"/>
          <w:sz w:val="16"/>
          <w:szCs w:val="16"/>
        </w:rPr>
        <w:t>Начались полеты самолета под обозначением ПС-35 на линии Москва - Рига - Стокгольм, затем на линии Москва - Прага. На заграничных линиях эксплуатировались, в частности, самолеты под обозначением USSR-M131 и USSR-M134 (14756).</w:t>
      </w:r>
    </w:p>
    <w:p w14:paraId="2E8F1258" w14:textId="1DE667AA" w:rsidR="004E6CC2" w:rsidRPr="00E14102" w:rsidRDefault="004E6CC2" w:rsidP="00E14102">
      <w:pPr>
        <w:jc w:val="both"/>
        <w:rPr>
          <w:color w:val="000000" w:themeColor="text1"/>
          <w:sz w:val="16"/>
          <w:szCs w:val="16"/>
        </w:rPr>
      </w:pPr>
    </w:p>
    <w:p w14:paraId="2B239D55" w14:textId="41692C69" w:rsidR="006C0F81" w:rsidRPr="00E14102" w:rsidRDefault="006C0F81" w:rsidP="00E14102">
      <w:pPr>
        <w:jc w:val="both"/>
        <w:rPr>
          <w:i/>
          <w:iCs/>
          <w:color w:val="000000" w:themeColor="text1"/>
          <w:sz w:val="16"/>
          <w:szCs w:val="16"/>
        </w:rPr>
      </w:pPr>
      <w:r w:rsidRPr="00E14102">
        <w:rPr>
          <w:i/>
          <w:iCs/>
          <w:color w:val="000000" w:themeColor="text1"/>
          <w:sz w:val="16"/>
          <w:szCs w:val="16"/>
        </w:rPr>
        <w:t>Армия:</w:t>
      </w:r>
    </w:p>
    <w:p w14:paraId="07A3808D" w14:textId="77777777" w:rsidR="006C0F81" w:rsidRPr="00E14102" w:rsidRDefault="006C0F81" w:rsidP="00E14102">
      <w:pPr>
        <w:jc w:val="both"/>
        <w:rPr>
          <w:i/>
          <w:iCs/>
          <w:color w:val="000000" w:themeColor="text1"/>
          <w:sz w:val="16"/>
          <w:szCs w:val="16"/>
        </w:rPr>
      </w:pPr>
    </w:p>
    <w:p w14:paraId="38016A58" w14:textId="77777777" w:rsidR="006C0F81" w:rsidRPr="00E14102" w:rsidRDefault="006C0F81" w:rsidP="00E14102">
      <w:pPr>
        <w:jc w:val="both"/>
        <w:rPr>
          <w:color w:val="0070C0"/>
          <w:sz w:val="16"/>
          <w:szCs w:val="16"/>
        </w:rPr>
      </w:pPr>
      <w:r w:rsidRPr="00E14102">
        <w:rPr>
          <w:color w:val="0070C0"/>
          <w:sz w:val="16"/>
          <w:szCs w:val="16"/>
        </w:rPr>
        <w:t>1 сен</w:t>
      </w:r>
      <w:r w:rsidRPr="00E14102">
        <w:rPr>
          <w:color w:val="0070C0"/>
          <w:sz w:val="16"/>
          <w:szCs w:val="16"/>
        </w:rPr>
        <w:softHyphen/>
        <w:t>тября 1935 г. Заместитель ко</w:t>
      </w:r>
      <w:r w:rsidRPr="00E14102">
        <w:rPr>
          <w:color w:val="0070C0"/>
          <w:sz w:val="16"/>
          <w:szCs w:val="16"/>
        </w:rPr>
        <w:softHyphen/>
        <w:t>мандующего войсками Ленинградского военного округа комкор В.М. Примаков обратился к начальнику ГУ ГВФ И.Ф. Ткачёву с письмом, в котором, отметив, что «постоянная низкая облачность над районом г. Ленинграда создаёт трудности своевременного обнаружения с земли налёта ВВС противника, идущих выше облаков, и тем самым затрудняет боевое про</w:t>
      </w:r>
      <w:r w:rsidRPr="00E14102">
        <w:rPr>
          <w:color w:val="0070C0"/>
          <w:sz w:val="16"/>
          <w:szCs w:val="16"/>
        </w:rPr>
        <w:softHyphen/>
        <w:t>тиводействие им на подступах к городу», сооб</w:t>
      </w:r>
      <w:r w:rsidRPr="00E14102">
        <w:rPr>
          <w:color w:val="0070C0"/>
          <w:sz w:val="16"/>
          <w:szCs w:val="16"/>
        </w:rPr>
        <w:softHyphen/>
        <w:t>щил о своём решении «провести опыты по ис</w:t>
      </w:r>
      <w:r w:rsidRPr="00E14102">
        <w:rPr>
          <w:color w:val="0070C0"/>
          <w:sz w:val="16"/>
          <w:szCs w:val="16"/>
        </w:rPr>
        <w:softHyphen/>
        <w:t>пользованию дирижабля для дозорной службы над районами города с подъёмом выше облаков (5-6 тыс. метров)». Цель опытов, которые он приурочивал к намеченным на 27-30 сентября учениям ПВО Ленинграда, состояла в заблаго</w:t>
      </w:r>
      <w:r w:rsidRPr="00E14102">
        <w:rPr>
          <w:color w:val="0070C0"/>
          <w:sz w:val="16"/>
          <w:szCs w:val="16"/>
        </w:rPr>
        <w:softHyphen/>
        <w:t>временном обнаружении внезапного удара нес</w:t>
      </w:r>
      <w:r w:rsidRPr="00E14102">
        <w:rPr>
          <w:color w:val="0070C0"/>
          <w:sz w:val="16"/>
          <w:szCs w:val="16"/>
        </w:rPr>
        <w:softHyphen/>
        <w:t>кольких авиабригад в начале войны с территории соседнего государства.</w:t>
      </w:r>
    </w:p>
    <w:tbl>
      <w:tblPr>
        <w:tblW w:w="0" w:type="auto"/>
        <w:jc w:val="center"/>
        <w:tblLayout w:type="fixed"/>
        <w:tblCellMar>
          <w:left w:w="10" w:type="dxa"/>
          <w:right w:w="10" w:type="dxa"/>
        </w:tblCellMar>
        <w:tblLook w:val="04A0" w:firstRow="1" w:lastRow="0" w:firstColumn="1" w:lastColumn="0" w:noHBand="0" w:noVBand="1"/>
      </w:tblPr>
      <w:tblGrid>
        <w:gridCol w:w="2107"/>
        <w:gridCol w:w="5990"/>
        <w:gridCol w:w="1714"/>
      </w:tblGrid>
      <w:tr w:rsidR="006C0F81" w:rsidRPr="00E14102" w14:paraId="5DA32C31" w14:textId="77777777" w:rsidTr="003D0776">
        <w:trPr>
          <w:trHeight w:val="250"/>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295984FE" w14:textId="77777777" w:rsidR="006C0F81" w:rsidRPr="00E14102" w:rsidRDefault="006C0F81" w:rsidP="00E14102">
            <w:pPr>
              <w:jc w:val="both"/>
              <w:rPr>
                <w:color w:val="0070C0"/>
                <w:sz w:val="16"/>
                <w:szCs w:val="16"/>
              </w:rPr>
            </w:pPr>
            <w:r w:rsidRPr="00E14102">
              <w:rPr>
                <w:color w:val="0070C0"/>
                <w:sz w:val="16"/>
                <w:szCs w:val="16"/>
              </w:rPr>
              <w:t>Дата и время полёта</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6A4FC1A3" w14:textId="77777777" w:rsidR="006C0F81" w:rsidRPr="00E14102" w:rsidRDefault="006C0F81" w:rsidP="00E14102">
            <w:pPr>
              <w:jc w:val="both"/>
              <w:rPr>
                <w:color w:val="0070C0"/>
                <w:sz w:val="16"/>
                <w:szCs w:val="16"/>
              </w:rPr>
            </w:pPr>
            <w:r w:rsidRPr="00E14102">
              <w:rPr>
                <w:color w:val="0070C0"/>
                <w:sz w:val="16"/>
                <w:szCs w:val="16"/>
              </w:rPr>
              <w:t>Задание на полёт</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10C4815B" w14:textId="77777777" w:rsidR="006C0F81" w:rsidRPr="00E14102" w:rsidRDefault="006C0F81" w:rsidP="00E14102">
            <w:pPr>
              <w:jc w:val="both"/>
              <w:rPr>
                <w:color w:val="0070C0"/>
                <w:sz w:val="16"/>
                <w:szCs w:val="16"/>
              </w:rPr>
            </w:pPr>
            <w:r w:rsidRPr="00E14102">
              <w:rPr>
                <w:color w:val="0070C0"/>
                <w:sz w:val="16"/>
                <w:szCs w:val="16"/>
              </w:rPr>
              <w:t>Высота полёта, м</w:t>
            </w:r>
          </w:p>
        </w:tc>
      </w:tr>
      <w:tr w:rsidR="006C0F81" w:rsidRPr="00E14102" w14:paraId="41469F28" w14:textId="77777777" w:rsidTr="003D0776">
        <w:trPr>
          <w:trHeight w:val="240"/>
          <w:jc w:val="center"/>
        </w:trPr>
        <w:tc>
          <w:tcPr>
            <w:tcW w:w="9811" w:type="dxa"/>
            <w:gridSpan w:val="3"/>
            <w:tcBorders>
              <w:top w:val="single" w:sz="4" w:space="0" w:color="auto"/>
              <w:left w:val="single" w:sz="4" w:space="0" w:color="auto"/>
              <w:bottom w:val="single" w:sz="4" w:space="0" w:color="auto"/>
              <w:right w:val="single" w:sz="4" w:space="0" w:color="auto"/>
            </w:tcBorders>
            <w:shd w:val="clear" w:color="auto" w:fill="FFFFFF"/>
          </w:tcPr>
          <w:p w14:paraId="57E32D1D" w14:textId="77777777" w:rsidR="006C0F81" w:rsidRPr="00E14102" w:rsidRDefault="006C0F81" w:rsidP="00E14102">
            <w:pPr>
              <w:jc w:val="both"/>
              <w:rPr>
                <w:color w:val="0070C0"/>
                <w:sz w:val="16"/>
                <w:szCs w:val="16"/>
              </w:rPr>
            </w:pPr>
            <w:r w:rsidRPr="00E14102">
              <w:rPr>
                <w:color w:val="0070C0"/>
                <w:sz w:val="16"/>
                <w:szCs w:val="16"/>
              </w:rPr>
              <w:t>«СССР В-2», Балтийское море</w:t>
            </w:r>
          </w:p>
        </w:tc>
      </w:tr>
      <w:tr w:rsidR="006C0F81" w:rsidRPr="00E14102" w14:paraId="69FDD16E" w14:textId="77777777" w:rsidTr="003D0776">
        <w:trPr>
          <w:trHeight w:val="437"/>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4D549168" w14:textId="77777777" w:rsidR="006C0F81" w:rsidRPr="00E14102" w:rsidRDefault="006C0F81" w:rsidP="00E14102">
            <w:pPr>
              <w:jc w:val="both"/>
              <w:rPr>
                <w:color w:val="0070C0"/>
                <w:sz w:val="16"/>
                <w:szCs w:val="16"/>
              </w:rPr>
            </w:pPr>
            <w:r w:rsidRPr="00E14102">
              <w:rPr>
                <w:color w:val="0070C0"/>
                <w:sz w:val="16"/>
                <w:szCs w:val="16"/>
              </w:rPr>
              <w:t>21-22 июля</w:t>
            </w:r>
          </w:p>
          <w:p w14:paraId="405B0E62" w14:textId="77777777" w:rsidR="006C0F81" w:rsidRPr="00E14102" w:rsidRDefault="006C0F81" w:rsidP="00E14102">
            <w:pPr>
              <w:jc w:val="both"/>
              <w:rPr>
                <w:color w:val="0070C0"/>
                <w:sz w:val="16"/>
                <w:szCs w:val="16"/>
              </w:rPr>
            </w:pPr>
            <w:r w:rsidRPr="00E14102">
              <w:rPr>
                <w:color w:val="0070C0"/>
                <w:sz w:val="16"/>
                <w:szCs w:val="16"/>
              </w:rPr>
              <w:t>2204- 312</w:t>
            </w:r>
          </w:p>
        </w:tc>
        <w:tc>
          <w:tcPr>
            <w:tcW w:w="5990" w:type="dxa"/>
            <w:vMerge w:val="restart"/>
            <w:tcBorders>
              <w:top w:val="single" w:sz="4" w:space="0" w:color="auto"/>
              <w:left w:val="single" w:sz="4" w:space="0" w:color="auto"/>
              <w:right w:val="single" w:sz="4" w:space="0" w:color="auto"/>
            </w:tcBorders>
            <w:shd w:val="clear" w:color="auto" w:fill="FFFFFF"/>
          </w:tcPr>
          <w:p w14:paraId="0043AA02" w14:textId="77777777" w:rsidR="006C0F81" w:rsidRPr="00E14102" w:rsidRDefault="006C0F81" w:rsidP="00E14102">
            <w:pPr>
              <w:jc w:val="both"/>
              <w:rPr>
                <w:color w:val="0070C0"/>
                <w:sz w:val="16"/>
                <w:szCs w:val="16"/>
              </w:rPr>
            </w:pPr>
            <w:r w:rsidRPr="00E14102">
              <w:rPr>
                <w:color w:val="0070C0"/>
                <w:sz w:val="16"/>
                <w:szCs w:val="16"/>
              </w:rPr>
              <w:t>а)</w:t>
            </w:r>
            <w:r w:rsidRPr="00E14102">
              <w:rPr>
                <w:color w:val="0070C0"/>
                <w:sz w:val="16"/>
                <w:szCs w:val="16"/>
              </w:rPr>
              <w:tab/>
              <w:t>общее ознакомление с условиями полёта;</w:t>
            </w:r>
          </w:p>
          <w:p w14:paraId="3EDDD17D" w14:textId="77777777" w:rsidR="006C0F81" w:rsidRPr="00E14102" w:rsidRDefault="006C0F81" w:rsidP="00E14102">
            <w:pPr>
              <w:jc w:val="both"/>
              <w:rPr>
                <w:color w:val="0070C0"/>
                <w:sz w:val="16"/>
                <w:szCs w:val="16"/>
              </w:rPr>
            </w:pPr>
            <w:r w:rsidRPr="00E14102">
              <w:rPr>
                <w:color w:val="0070C0"/>
                <w:sz w:val="16"/>
                <w:szCs w:val="16"/>
              </w:rPr>
              <w:t>б)</w:t>
            </w:r>
            <w:r w:rsidRPr="00E14102">
              <w:rPr>
                <w:color w:val="0070C0"/>
                <w:sz w:val="16"/>
                <w:szCs w:val="16"/>
              </w:rPr>
              <w:tab/>
              <w:t>общее наблюдение за надводными объектами и просмотр глубины;</w:t>
            </w:r>
          </w:p>
          <w:p w14:paraId="5EBA7C2E" w14:textId="77777777" w:rsidR="006C0F81" w:rsidRPr="00E14102" w:rsidRDefault="006C0F81" w:rsidP="00E14102">
            <w:pPr>
              <w:jc w:val="both"/>
              <w:rPr>
                <w:color w:val="0070C0"/>
                <w:sz w:val="16"/>
                <w:szCs w:val="16"/>
              </w:rPr>
            </w:pPr>
            <w:r w:rsidRPr="00E14102">
              <w:rPr>
                <w:color w:val="0070C0"/>
                <w:sz w:val="16"/>
                <w:szCs w:val="16"/>
              </w:rPr>
              <w:t>в)</w:t>
            </w:r>
            <w:r w:rsidRPr="00E14102">
              <w:rPr>
                <w:color w:val="0070C0"/>
                <w:sz w:val="16"/>
                <w:szCs w:val="16"/>
              </w:rPr>
              <w:tab/>
              <w:t>установление радиосвязи с Гребным портом;</w:t>
            </w:r>
          </w:p>
          <w:p w14:paraId="333ADBC9" w14:textId="77777777" w:rsidR="006C0F81" w:rsidRPr="00E14102" w:rsidRDefault="006C0F81" w:rsidP="00E14102">
            <w:pPr>
              <w:jc w:val="both"/>
              <w:rPr>
                <w:color w:val="0070C0"/>
                <w:sz w:val="16"/>
                <w:szCs w:val="16"/>
              </w:rPr>
            </w:pPr>
            <w:r w:rsidRPr="00E14102">
              <w:rPr>
                <w:color w:val="0070C0"/>
                <w:sz w:val="16"/>
                <w:szCs w:val="16"/>
              </w:rPr>
              <w:t>г)</w:t>
            </w:r>
            <w:r w:rsidRPr="00E14102">
              <w:rPr>
                <w:color w:val="0070C0"/>
                <w:sz w:val="16"/>
                <w:szCs w:val="16"/>
              </w:rPr>
              <w:tab/>
              <w:t>посадка на воду</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740E7726" w14:textId="77777777" w:rsidR="006C0F81" w:rsidRPr="00E14102" w:rsidRDefault="006C0F81" w:rsidP="00E14102">
            <w:pPr>
              <w:jc w:val="both"/>
              <w:rPr>
                <w:color w:val="0070C0"/>
                <w:sz w:val="16"/>
                <w:szCs w:val="16"/>
              </w:rPr>
            </w:pPr>
            <w:r w:rsidRPr="00E14102">
              <w:rPr>
                <w:color w:val="0070C0"/>
                <w:sz w:val="16"/>
                <w:szCs w:val="16"/>
              </w:rPr>
              <w:t>150-800</w:t>
            </w:r>
          </w:p>
        </w:tc>
      </w:tr>
      <w:tr w:rsidR="006C0F81" w:rsidRPr="00E14102" w14:paraId="047A81A9" w14:textId="77777777" w:rsidTr="003D0776">
        <w:trPr>
          <w:trHeight w:val="437"/>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49586711" w14:textId="77777777" w:rsidR="006C0F81" w:rsidRPr="00E14102" w:rsidRDefault="006C0F81" w:rsidP="00E14102">
            <w:pPr>
              <w:jc w:val="both"/>
              <w:rPr>
                <w:color w:val="0070C0"/>
                <w:sz w:val="16"/>
                <w:szCs w:val="16"/>
              </w:rPr>
            </w:pPr>
            <w:r w:rsidRPr="00E14102">
              <w:rPr>
                <w:color w:val="0070C0"/>
                <w:sz w:val="16"/>
                <w:szCs w:val="16"/>
              </w:rPr>
              <w:t>22-23 июля</w:t>
            </w:r>
          </w:p>
          <w:p w14:paraId="5F76C58D" w14:textId="77777777" w:rsidR="006C0F81" w:rsidRPr="00E14102" w:rsidRDefault="006C0F81" w:rsidP="00E14102">
            <w:pPr>
              <w:jc w:val="both"/>
              <w:rPr>
                <w:color w:val="0070C0"/>
                <w:sz w:val="16"/>
                <w:szCs w:val="16"/>
              </w:rPr>
            </w:pPr>
            <w:r w:rsidRPr="00E14102">
              <w:rPr>
                <w:color w:val="0070C0"/>
                <w:sz w:val="16"/>
                <w:szCs w:val="16"/>
              </w:rPr>
              <w:t>2019- 300</w:t>
            </w:r>
          </w:p>
        </w:tc>
        <w:tc>
          <w:tcPr>
            <w:tcW w:w="5990" w:type="dxa"/>
            <w:vMerge/>
            <w:tcBorders>
              <w:left w:val="single" w:sz="4" w:space="0" w:color="auto"/>
              <w:right w:val="single" w:sz="4" w:space="0" w:color="auto"/>
            </w:tcBorders>
            <w:shd w:val="clear" w:color="auto" w:fill="FFFFFF"/>
          </w:tcPr>
          <w:p w14:paraId="6A858BE9" w14:textId="77777777" w:rsidR="006C0F81" w:rsidRPr="00E14102" w:rsidRDefault="006C0F81" w:rsidP="00E14102">
            <w:pPr>
              <w:jc w:val="both"/>
              <w:rPr>
                <w:color w:val="0070C0"/>
                <w:sz w:val="16"/>
                <w:szCs w:val="16"/>
              </w:rPr>
            </w:pP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205553BF" w14:textId="77777777" w:rsidR="006C0F81" w:rsidRPr="00E14102" w:rsidRDefault="006C0F81" w:rsidP="00E14102">
            <w:pPr>
              <w:jc w:val="both"/>
              <w:rPr>
                <w:color w:val="0070C0"/>
                <w:sz w:val="16"/>
                <w:szCs w:val="16"/>
              </w:rPr>
            </w:pPr>
            <w:r w:rsidRPr="00E14102">
              <w:rPr>
                <w:color w:val="0070C0"/>
                <w:sz w:val="16"/>
                <w:szCs w:val="16"/>
              </w:rPr>
              <w:t>100-800</w:t>
            </w:r>
          </w:p>
        </w:tc>
      </w:tr>
      <w:tr w:rsidR="006C0F81" w:rsidRPr="00E14102" w14:paraId="22D4155F" w14:textId="77777777" w:rsidTr="003D0776">
        <w:trPr>
          <w:trHeight w:val="240"/>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6ACCD781" w14:textId="77777777" w:rsidR="006C0F81" w:rsidRPr="00E14102" w:rsidRDefault="006C0F81" w:rsidP="00E14102">
            <w:pPr>
              <w:jc w:val="both"/>
              <w:rPr>
                <w:color w:val="0070C0"/>
                <w:sz w:val="16"/>
                <w:szCs w:val="16"/>
              </w:rPr>
            </w:pPr>
            <w:r w:rsidRPr="00E14102">
              <w:rPr>
                <w:color w:val="0070C0"/>
                <w:sz w:val="16"/>
                <w:szCs w:val="16"/>
              </w:rPr>
              <w:t>24 июля 442- 848</w:t>
            </w:r>
          </w:p>
        </w:tc>
        <w:tc>
          <w:tcPr>
            <w:tcW w:w="5990" w:type="dxa"/>
            <w:vMerge/>
            <w:tcBorders>
              <w:left w:val="single" w:sz="4" w:space="0" w:color="auto"/>
              <w:bottom w:val="single" w:sz="4" w:space="0" w:color="auto"/>
              <w:right w:val="single" w:sz="4" w:space="0" w:color="auto"/>
            </w:tcBorders>
            <w:shd w:val="clear" w:color="auto" w:fill="FFFFFF"/>
          </w:tcPr>
          <w:p w14:paraId="4F746906" w14:textId="77777777" w:rsidR="006C0F81" w:rsidRPr="00E14102" w:rsidRDefault="006C0F81" w:rsidP="00E14102">
            <w:pPr>
              <w:jc w:val="both"/>
              <w:rPr>
                <w:color w:val="0070C0"/>
                <w:sz w:val="16"/>
                <w:szCs w:val="16"/>
              </w:rPr>
            </w:pP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3FEDDA14" w14:textId="77777777" w:rsidR="006C0F81" w:rsidRPr="00E14102" w:rsidRDefault="006C0F81" w:rsidP="00E14102">
            <w:pPr>
              <w:jc w:val="both"/>
              <w:rPr>
                <w:color w:val="0070C0"/>
                <w:sz w:val="16"/>
                <w:szCs w:val="16"/>
              </w:rPr>
            </w:pPr>
            <w:r w:rsidRPr="00E14102">
              <w:rPr>
                <w:color w:val="0070C0"/>
                <w:sz w:val="16"/>
                <w:szCs w:val="16"/>
              </w:rPr>
              <w:t>200-350</w:t>
            </w:r>
          </w:p>
        </w:tc>
      </w:tr>
      <w:tr w:rsidR="006C0F81" w:rsidRPr="00E14102" w14:paraId="64DC7E4B" w14:textId="77777777" w:rsidTr="003D0776">
        <w:trPr>
          <w:trHeight w:val="245"/>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3D44AAC3" w14:textId="77777777" w:rsidR="006C0F81" w:rsidRPr="00E14102" w:rsidRDefault="006C0F81" w:rsidP="00E14102">
            <w:pPr>
              <w:jc w:val="both"/>
              <w:rPr>
                <w:color w:val="0070C0"/>
                <w:sz w:val="16"/>
                <w:szCs w:val="16"/>
              </w:rPr>
            </w:pPr>
            <w:r w:rsidRPr="00E14102">
              <w:rPr>
                <w:color w:val="0070C0"/>
                <w:sz w:val="16"/>
                <w:szCs w:val="16"/>
              </w:rPr>
              <w:t>29 июля 450- 845</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0E57DF19" w14:textId="77777777" w:rsidR="006C0F81" w:rsidRPr="00E14102" w:rsidRDefault="006C0F81" w:rsidP="00E14102">
            <w:pPr>
              <w:jc w:val="both"/>
              <w:rPr>
                <w:color w:val="0070C0"/>
                <w:sz w:val="16"/>
                <w:szCs w:val="16"/>
              </w:rPr>
            </w:pPr>
            <w:r w:rsidRPr="00E14102">
              <w:rPr>
                <w:color w:val="0070C0"/>
                <w:sz w:val="16"/>
                <w:szCs w:val="16"/>
              </w:rPr>
              <w:t>поиск мин заграждения</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5C1676E8" w14:textId="77777777" w:rsidR="006C0F81" w:rsidRPr="00E14102" w:rsidRDefault="006C0F81" w:rsidP="00E14102">
            <w:pPr>
              <w:jc w:val="both"/>
              <w:rPr>
                <w:color w:val="0070C0"/>
                <w:sz w:val="16"/>
                <w:szCs w:val="16"/>
              </w:rPr>
            </w:pPr>
            <w:r w:rsidRPr="00E14102">
              <w:rPr>
                <w:color w:val="0070C0"/>
                <w:sz w:val="16"/>
                <w:szCs w:val="16"/>
              </w:rPr>
              <w:t>200-300</w:t>
            </w:r>
          </w:p>
        </w:tc>
      </w:tr>
      <w:tr w:rsidR="006C0F81" w:rsidRPr="00E14102" w14:paraId="69E44273" w14:textId="77777777" w:rsidTr="003D0776">
        <w:trPr>
          <w:trHeight w:val="240"/>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79E5DF2E" w14:textId="77777777" w:rsidR="006C0F81" w:rsidRPr="00E14102" w:rsidRDefault="006C0F81" w:rsidP="00E14102">
            <w:pPr>
              <w:jc w:val="both"/>
              <w:rPr>
                <w:color w:val="0070C0"/>
                <w:sz w:val="16"/>
                <w:szCs w:val="16"/>
              </w:rPr>
            </w:pPr>
            <w:r w:rsidRPr="00E14102">
              <w:rPr>
                <w:color w:val="0070C0"/>
                <w:sz w:val="16"/>
                <w:szCs w:val="16"/>
              </w:rPr>
              <w:t>4 августа 929- 1705</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02AFE30C" w14:textId="77777777" w:rsidR="006C0F81" w:rsidRPr="00E14102" w:rsidRDefault="006C0F81" w:rsidP="00E14102">
            <w:pPr>
              <w:jc w:val="both"/>
              <w:rPr>
                <w:color w:val="0070C0"/>
                <w:sz w:val="16"/>
                <w:szCs w:val="16"/>
              </w:rPr>
            </w:pPr>
            <w:r w:rsidRPr="00E14102">
              <w:rPr>
                <w:color w:val="0070C0"/>
                <w:sz w:val="16"/>
                <w:szCs w:val="16"/>
              </w:rPr>
              <w:t>походное охранение флота</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30A5F63D" w14:textId="77777777" w:rsidR="006C0F81" w:rsidRPr="00E14102" w:rsidRDefault="006C0F81" w:rsidP="00E14102">
            <w:pPr>
              <w:jc w:val="both"/>
              <w:rPr>
                <w:color w:val="0070C0"/>
                <w:sz w:val="16"/>
                <w:szCs w:val="16"/>
              </w:rPr>
            </w:pPr>
            <w:r w:rsidRPr="00E14102">
              <w:rPr>
                <w:color w:val="0070C0"/>
                <w:sz w:val="16"/>
                <w:szCs w:val="16"/>
              </w:rPr>
              <w:t>300-500</w:t>
            </w:r>
          </w:p>
        </w:tc>
      </w:tr>
      <w:tr w:rsidR="006C0F81" w:rsidRPr="00E14102" w14:paraId="55B43474" w14:textId="77777777" w:rsidTr="003D0776">
        <w:trPr>
          <w:trHeight w:val="245"/>
          <w:jc w:val="center"/>
        </w:trPr>
        <w:tc>
          <w:tcPr>
            <w:tcW w:w="9811" w:type="dxa"/>
            <w:gridSpan w:val="3"/>
            <w:tcBorders>
              <w:top w:val="single" w:sz="4" w:space="0" w:color="auto"/>
              <w:left w:val="single" w:sz="4" w:space="0" w:color="auto"/>
              <w:bottom w:val="single" w:sz="4" w:space="0" w:color="auto"/>
              <w:right w:val="single" w:sz="4" w:space="0" w:color="auto"/>
            </w:tcBorders>
            <w:shd w:val="clear" w:color="auto" w:fill="FFFFFF"/>
          </w:tcPr>
          <w:p w14:paraId="74D620C6" w14:textId="77777777" w:rsidR="006C0F81" w:rsidRPr="00E14102" w:rsidRDefault="006C0F81" w:rsidP="00E14102">
            <w:pPr>
              <w:jc w:val="both"/>
              <w:rPr>
                <w:color w:val="0070C0"/>
                <w:sz w:val="16"/>
                <w:szCs w:val="16"/>
              </w:rPr>
            </w:pPr>
            <w:r w:rsidRPr="00E14102">
              <w:rPr>
                <w:color w:val="0070C0"/>
                <w:sz w:val="16"/>
                <w:szCs w:val="16"/>
              </w:rPr>
              <w:t>«СССР В-1», Чёрное море</w:t>
            </w:r>
          </w:p>
        </w:tc>
      </w:tr>
      <w:tr w:rsidR="006C0F81" w:rsidRPr="00E14102" w14:paraId="3D305BCC" w14:textId="77777777" w:rsidTr="003D0776">
        <w:trPr>
          <w:trHeight w:val="245"/>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7D4D2EF6" w14:textId="77777777" w:rsidR="006C0F81" w:rsidRPr="00E14102" w:rsidRDefault="006C0F81" w:rsidP="00E14102">
            <w:pPr>
              <w:jc w:val="both"/>
              <w:rPr>
                <w:color w:val="0070C0"/>
                <w:sz w:val="16"/>
                <w:szCs w:val="16"/>
              </w:rPr>
            </w:pPr>
            <w:r w:rsidRPr="00E14102">
              <w:rPr>
                <w:color w:val="0070C0"/>
                <w:sz w:val="16"/>
                <w:szCs w:val="16"/>
              </w:rPr>
              <w:t>9 августа 1751- 2101</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150F97FE" w14:textId="77777777" w:rsidR="006C0F81" w:rsidRPr="00E14102" w:rsidRDefault="006C0F81" w:rsidP="00E14102">
            <w:pPr>
              <w:jc w:val="both"/>
              <w:rPr>
                <w:color w:val="0070C0"/>
                <w:sz w:val="16"/>
                <w:szCs w:val="16"/>
              </w:rPr>
            </w:pPr>
            <w:r w:rsidRPr="00E14102">
              <w:rPr>
                <w:color w:val="0070C0"/>
                <w:sz w:val="16"/>
                <w:szCs w:val="16"/>
              </w:rPr>
              <w:t>наблюдение за надводными кораблями</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1246B23C" w14:textId="77777777" w:rsidR="006C0F81" w:rsidRPr="00E14102" w:rsidRDefault="006C0F81" w:rsidP="00E14102">
            <w:pPr>
              <w:jc w:val="both"/>
              <w:rPr>
                <w:color w:val="0070C0"/>
                <w:sz w:val="16"/>
                <w:szCs w:val="16"/>
              </w:rPr>
            </w:pPr>
            <w:r w:rsidRPr="00E14102">
              <w:rPr>
                <w:color w:val="0070C0"/>
                <w:sz w:val="16"/>
                <w:szCs w:val="16"/>
              </w:rPr>
              <w:t>200-500</w:t>
            </w:r>
          </w:p>
        </w:tc>
      </w:tr>
      <w:tr w:rsidR="006C0F81" w:rsidRPr="00E14102" w14:paraId="53ADF76E" w14:textId="77777777" w:rsidTr="003D0776">
        <w:trPr>
          <w:trHeight w:val="432"/>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033E7D33" w14:textId="77777777" w:rsidR="006C0F81" w:rsidRPr="00E14102" w:rsidRDefault="006C0F81" w:rsidP="00E14102">
            <w:pPr>
              <w:jc w:val="both"/>
              <w:rPr>
                <w:color w:val="0070C0"/>
                <w:sz w:val="16"/>
                <w:szCs w:val="16"/>
              </w:rPr>
            </w:pPr>
            <w:r w:rsidRPr="00E14102">
              <w:rPr>
                <w:color w:val="0070C0"/>
                <w:sz w:val="16"/>
                <w:szCs w:val="16"/>
              </w:rPr>
              <w:t>10-11 августа 2358- 0107</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0F55CA13" w14:textId="77777777" w:rsidR="006C0F81" w:rsidRPr="00E14102" w:rsidRDefault="006C0F81" w:rsidP="00E14102">
            <w:pPr>
              <w:jc w:val="both"/>
              <w:rPr>
                <w:color w:val="0070C0"/>
                <w:sz w:val="16"/>
                <w:szCs w:val="16"/>
              </w:rPr>
            </w:pPr>
            <w:r w:rsidRPr="00E14102">
              <w:rPr>
                <w:color w:val="0070C0"/>
                <w:sz w:val="16"/>
                <w:szCs w:val="16"/>
              </w:rPr>
              <w:t>обнаружение в море ночью торпедных катеров</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6935E563" w14:textId="77777777" w:rsidR="006C0F81" w:rsidRPr="00E14102" w:rsidRDefault="006C0F81" w:rsidP="00E14102">
            <w:pPr>
              <w:jc w:val="both"/>
              <w:rPr>
                <w:color w:val="0070C0"/>
                <w:sz w:val="16"/>
                <w:szCs w:val="16"/>
              </w:rPr>
            </w:pPr>
            <w:r w:rsidRPr="00E14102">
              <w:rPr>
                <w:color w:val="0070C0"/>
                <w:sz w:val="16"/>
                <w:szCs w:val="16"/>
              </w:rPr>
              <w:t>200</w:t>
            </w:r>
          </w:p>
        </w:tc>
      </w:tr>
      <w:tr w:rsidR="006C0F81" w:rsidRPr="00E14102" w14:paraId="0939CA51" w14:textId="77777777" w:rsidTr="003D0776">
        <w:trPr>
          <w:trHeight w:val="437"/>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53FA2973" w14:textId="77777777" w:rsidR="006C0F81" w:rsidRPr="00E14102" w:rsidRDefault="006C0F81" w:rsidP="00E14102">
            <w:pPr>
              <w:jc w:val="both"/>
              <w:rPr>
                <w:color w:val="0070C0"/>
                <w:sz w:val="16"/>
                <w:szCs w:val="16"/>
              </w:rPr>
            </w:pPr>
            <w:r w:rsidRPr="00E14102">
              <w:rPr>
                <w:color w:val="0070C0"/>
                <w:sz w:val="16"/>
                <w:szCs w:val="16"/>
              </w:rPr>
              <w:t>11 августа 1602- 1952</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3F150F99" w14:textId="77777777" w:rsidR="006C0F81" w:rsidRPr="00E14102" w:rsidRDefault="006C0F81" w:rsidP="00E14102">
            <w:pPr>
              <w:jc w:val="both"/>
              <w:rPr>
                <w:color w:val="0070C0"/>
                <w:sz w:val="16"/>
                <w:szCs w:val="16"/>
              </w:rPr>
            </w:pPr>
            <w:r w:rsidRPr="00E14102">
              <w:rPr>
                <w:color w:val="0070C0"/>
                <w:sz w:val="16"/>
                <w:szCs w:val="16"/>
              </w:rPr>
              <w:t>установление условий полёта над морем вблизи гористого, пересечённого балками и долинами берега и над этим берегом</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26042CDC" w14:textId="77777777" w:rsidR="006C0F81" w:rsidRPr="00E14102" w:rsidRDefault="006C0F81" w:rsidP="00E14102">
            <w:pPr>
              <w:jc w:val="both"/>
              <w:rPr>
                <w:color w:val="0070C0"/>
                <w:sz w:val="16"/>
                <w:szCs w:val="16"/>
              </w:rPr>
            </w:pPr>
            <w:r w:rsidRPr="00E14102">
              <w:rPr>
                <w:color w:val="0070C0"/>
                <w:sz w:val="16"/>
                <w:szCs w:val="16"/>
              </w:rPr>
              <w:t>200-350</w:t>
            </w:r>
          </w:p>
        </w:tc>
      </w:tr>
      <w:tr w:rsidR="006C0F81" w:rsidRPr="00E14102" w14:paraId="11DC28F1" w14:textId="77777777" w:rsidTr="003D0776">
        <w:trPr>
          <w:trHeight w:val="629"/>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09134977" w14:textId="77777777" w:rsidR="006C0F81" w:rsidRPr="00E14102" w:rsidRDefault="006C0F81" w:rsidP="00E14102">
            <w:pPr>
              <w:jc w:val="both"/>
              <w:rPr>
                <w:color w:val="0070C0"/>
                <w:sz w:val="16"/>
                <w:szCs w:val="16"/>
              </w:rPr>
            </w:pPr>
            <w:r w:rsidRPr="00E14102">
              <w:rPr>
                <w:color w:val="0070C0"/>
                <w:sz w:val="16"/>
                <w:szCs w:val="16"/>
              </w:rPr>
              <w:t>14 августа</w:t>
            </w:r>
          </w:p>
          <w:p w14:paraId="43F60B02" w14:textId="77777777" w:rsidR="006C0F81" w:rsidRPr="00E14102" w:rsidRDefault="006C0F81" w:rsidP="00E14102">
            <w:pPr>
              <w:jc w:val="both"/>
              <w:rPr>
                <w:color w:val="0070C0"/>
                <w:sz w:val="16"/>
                <w:szCs w:val="16"/>
              </w:rPr>
            </w:pPr>
            <w:r w:rsidRPr="00E14102">
              <w:rPr>
                <w:color w:val="0070C0"/>
                <w:sz w:val="16"/>
                <w:szCs w:val="16"/>
              </w:rPr>
              <w:t>1 20— 425</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51112F15" w14:textId="77777777" w:rsidR="006C0F81" w:rsidRPr="00E14102" w:rsidRDefault="006C0F81" w:rsidP="00E14102">
            <w:pPr>
              <w:jc w:val="both"/>
              <w:rPr>
                <w:color w:val="0070C0"/>
                <w:sz w:val="16"/>
                <w:szCs w:val="16"/>
              </w:rPr>
            </w:pPr>
            <w:r w:rsidRPr="00E14102">
              <w:rPr>
                <w:color w:val="0070C0"/>
                <w:sz w:val="16"/>
                <w:szCs w:val="16"/>
              </w:rPr>
              <w:t>а)</w:t>
            </w:r>
            <w:r w:rsidRPr="00E14102">
              <w:rPr>
                <w:color w:val="0070C0"/>
                <w:sz w:val="16"/>
                <w:szCs w:val="16"/>
              </w:rPr>
              <w:tab/>
              <w:t>полет по радиомаяку;</w:t>
            </w:r>
          </w:p>
          <w:p w14:paraId="1B480CED" w14:textId="77777777" w:rsidR="006C0F81" w:rsidRPr="00E14102" w:rsidRDefault="006C0F81" w:rsidP="00E14102">
            <w:pPr>
              <w:jc w:val="both"/>
              <w:rPr>
                <w:color w:val="0070C0"/>
                <w:sz w:val="16"/>
                <w:szCs w:val="16"/>
              </w:rPr>
            </w:pPr>
            <w:r w:rsidRPr="00E14102">
              <w:rPr>
                <w:color w:val="0070C0"/>
                <w:sz w:val="16"/>
                <w:szCs w:val="16"/>
              </w:rPr>
              <w:t>б)</w:t>
            </w:r>
            <w:r w:rsidRPr="00E14102">
              <w:rPr>
                <w:color w:val="0070C0"/>
                <w:sz w:val="16"/>
                <w:szCs w:val="16"/>
              </w:rPr>
              <w:tab/>
              <w:t>эксперименты по радиосвязи;</w:t>
            </w:r>
          </w:p>
          <w:p w14:paraId="3624A0D6" w14:textId="77777777" w:rsidR="006C0F81" w:rsidRPr="00E14102" w:rsidRDefault="006C0F81" w:rsidP="00E14102">
            <w:pPr>
              <w:jc w:val="both"/>
              <w:rPr>
                <w:color w:val="0070C0"/>
                <w:sz w:val="16"/>
                <w:szCs w:val="16"/>
              </w:rPr>
            </w:pPr>
            <w:r w:rsidRPr="00E14102">
              <w:rPr>
                <w:color w:val="0070C0"/>
                <w:sz w:val="16"/>
                <w:szCs w:val="16"/>
              </w:rPr>
              <w:t>в)</w:t>
            </w:r>
            <w:r w:rsidRPr="00E14102">
              <w:rPr>
                <w:color w:val="0070C0"/>
                <w:sz w:val="16"/>
                <w:szCs w:val="16"/>
              </w:rPr>
              <w:tab/>
              <w:t>хождение под лучами прожекторов;</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363B092F" w14:textId="77777777" w:rsidR="006C0F81" w:rsidRPr="00E14102" w:rsidRDefault="006C0F81" w:rsidP="00E14102">
            <w:pPr>
              <w:jc w:val="both"/>
              <w:rPr>
                <w:color w:val="0070C0"/>
                <w:sz w:val="16"/>
                <w:szCs w:val="16"/>
              </w:rPr>
            </w:pPr>
            <w:r w:rsidRPr="00E14102">
              <w:rPr>
                <w:color w:val="0070C0"/>
                <w:sz w:val="16"/>
                <w:szCs w:val="16"/>
              </w:rPr>
              <w:t>200-550</w:t>
            </w:r>
          </w:p>
        </w:tc>
      </w:tr>
      <w:tr w:rsidR="006C0F81" w:rsidRPr="00E14102" w14:paraId="4ED134DA" w14:textId="77777777" w:rsidTr="003D0776">
        <w:trPr>
          <w:trHeight w:val="432"/>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461B695C" w14:textId="77777777" w:rsidR="006C0F81" w:rsidRPr="00E14102" w:rsidRDefault="006C0F81" w:rsidP="00E14102">
            <w:pPr>
              <w:jc w:val="both"/>
              <w:rPr>
                <w:color w:val="0070C0"/>
                <w:sz w:val="16"/>
                <w:szCs w:val="16"/>
              </w:rPr>
            </w:pPr>
            <w:r w:rsidRPr="00E14102">
              <w:rPr>
                <w:color w:val="0070C0"/>
                <w:sz w:val="16"/>
                <w:szCs w:val="16"/>
              </w:rPr>
              <w:t>16 августа</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24A5D706" w14:textId="77777777" w:rsidR="006C0F81" w:rsidRPr="00E14102" w:rsidRDefault="006C0F81" w:rsidP="00E14102">
            <w:pPr>
              <w:jc w:val="both"/>
              <w:rPr>
                <w:color w:val="0070C0"/>
                <w:sz w:val="16"/>
                <w:szCs w:val="16"/>
              </w:rPr>
            </w:pPr>
            <w:r w:rsidRPr="00E14102">
              <w:rPr>
                <w:color w:val="0070C0"/>
                <w:sz w:val="16"/>
                <w:szCs w:val="16"/>
              </w:rPr>
              <w:t>а)</w:t>
            </w:r>
            <w:r w:rsidRPr="00E14102">
              <w:rPr>
                <w:color w:val="0070C0"/>
                <w:sz w:val="16"/>
                <w:szCs w:val="16"/>
              </w:rPr>
              <w:tab/>
              <w:t>вождение «СССР В-1» по радиозонам</w:t>
            </w:r>
          </w:p>
          <w:p w14:paraId="0936CA8A" w14:textId="77777777" w:rsidR="006C0F81" w:rsidRPr="00E14102" w:rsidRDefault="006C0F81" w:rsidP="00E14102">
            <w:pPr>
              <w:jc w:val="both"/>
              <w:rPr>
                <w:color w:val="0070C0"/>
                <w:sz w:val="16"/>
                <w:szCs w:val="16"/>
              </w:rPr>
            </w:pPr>
            <w:r w:rsidRPr="00E14102">
              <w:rPr>
                <w:color w:val="0070C0"/>
                <w:sz w:val="16"/>
                <w:szCs w:val="16"/>
              </w:rPr>
              <w:t>б)</w:t>
            </w:r>
            <w:r w:rsidRPr="00E14102">
              <w:rPr>
                <w:color w:val="0070C0"/>
                <w:sz w:val="16"/>
                <w:szCs w:val="16"/>
              </w:rPr>
              <w:tab/>
              <w:t>фотосъёмка с дирижабля</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1604BCF1" w14:textId="77777777" w:rsidR="006C0F81" w:rsidRPr="00E14102" w:rsidRDefault="006C0F81" w:rsidP="00E14102">
            <w:pPr>
              <w:jc w:val="both"/>
              <w:rPr>
                <w:color w:val="0070C0"/>
                <w:sz w:val="16"/>
                <w:szCs w:val="16"/>
              </w:rPr>
            </w:pPr>
            <w:r w:rsidRPr="00E14102">
              <w:rPr>
                <w:color w:val="0070C0"/>
                <w:sz w:val="16"/>
                <w:szCs w:val="16"/>
              </w:rPr>
              <w:t>200-400</w:t>
            </w:r>
          </w:p>
        </w:tc>
      </w:tr>
      <w:tr w:rsidR="006C0F81" w:rsidRPr="00E14102" w14:paraId="523E3F0C" w14:textId="77777777" w:rsidTr="003D0776">
        <w:trPr>
          <w:trHeight w:val="638"/>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4AE57E17" w14:textId="77777777" w:rsidR="006C0F81" w:rsidRPr="00E14102" w:rsidRDefault="006C0F81" w:rsidP="00E14102">
            <w:pPr>
              <w:jc w:val="both"/>
              <w:rPr>
                <w:color w:val="0070C0"/>
                <w:sz w:val="16"/>
                <w:szCs w:val="16"/>
              </w:rPr>
            </w:pPr>
            <w:r w:rsidRPr="00E14102">
              <w:rPr>
                <w:color w:val="0070C0"/>
                <w:sz w:val="16"/>
                <w:szCs w:val="16"/>
              </w:rPr>
              <w:t>17 августа 1402- 2317</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61230B99" w14:textId="77777777" w:rsidR="006C0F81" w:rsidRPr="00E14102" w:rsidRDefault="006C0F81" w:rsidP="00E14102">
            <w:pPr>
              <w:jc w:val="both"/>
              <w:rPr>
                <w:color w:val="0070C0"/>
                <w:sz w:val="16"/>
                <w:szCs w:val="16"/>
              </w:rPr>
            </w:pPr>
            <w:r w:rsidRPr="00E14102">
              <w:rPr>
                <w:color w:val="0070C0"/>
                <w:sz w:val="16"/>
                <w:szCs w:val="16"/>
              </w:rPr>
              <w:t>а)</w:t>
            </w:r>
            <w:r w:rsidRPr="00E14102">
              <w:rPr>
                <w:color w:val="0070C0"/>
                <w:sz w:val="16"/>
                <w:szCs w:val="16"/>
              </w:rPr>
              <w:tab/>
              <w:t>охрана кораблей на переходе от атак подводных лодок;</w:t>
            </w:r>
          </w:p>
          <w:p w14:paraId="1880E538" w14:textId="77777777" w:rsidR="006C0F81" w:rsidRPr="00E14102" w:rsidRDefault="006C0F81" w:rsidP="00E14102">
            <w:pPr>
              <w:jc w:val="both"/>
              <w:rPr>
                <w:color w:val="0070C0"/>
                <w:sz w:val="16"/>
                <w:szCs w:val="16"/>
              </w:rPr>
            </w:pPr>
            <w:r w:rsidRPr="00E14102">
              <w:rPr>
                <w:color w:val="0070C0"/>
                <w:sz w:val="16"/>
                <w:szCs w:val="16"/>
              </w:rPr>
              <w:t>б)</w:t>
            </w:r>
            <w:r w:rsidRPr="00E14102">
              <w:rPr>
                <w:color w:val="0070C0"/>
                <w:sz w:val="16"/>
                <w:szCs w:val="16"/>
              </w:rPr>
              <w:tab/>
              <w:t>фотосъёмка с дирижабля;</w:t>
            </w:r>
          </w:p>
          <w:p w14:paraId="23E659C1" w14:textId="77777777" w:rsidR="006C0F81" w:rsidRPr="00E14102" w:rsidRDefault="006C0F81" w:rsidP="00E14102">
            <w:pPr>
              <w:jc w:val="both"/>
              <w:rPr>
                <w:color w:val="0070C0"/>
                <w:sz w:val="16"/>
                <w:szCs w:val="16"/>
              </w:rPr>
            </w:pPr>
            <w:r w:rsidRPr="00E14102">
              <w:rPr>
                <w:color w:val="0070C0"/>
                <w:sz w:val="16"/>
                <w:szCs w:val="16"/>
              </w:rPr>
              <w:t>в)</w:t>
            </w:r>
            <w:r w:rsidRPr="00E14102">
              <w:rPr>
                <w:color w:val="0070C0"/>
                <w:sz w:val="16"/>
                <w:szCs w:val="16"/>
              </w:rPr>
              <w:tab/>
              <w:t>продолжительность полёта с одним мотором</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570E14BB" w14:textId="77777777" w:rsidR="006C0F81" w:rsidRPr="00E14102" w:rsidRDefault="006C0F81" w:rsidP="00E14102">
            <w:pPr>
              <w:jc w:val="both"/>
              <w:rPr>
                <w:color w:val="0070C0"/>
                <w:sz w:val="16"/>
                <w:szCs w:val="16"/>
              </w:rPr>
            </w:pPr>
            <w:r w:rsidRPr="00E14102">
              <w:rPr>
                <w:color w:val="0070C0"/>
                <w:sz w:val="16"/>
                <w:szCs w:val="16"/>
              </w:rPr>
              <w:t>200-400</w:t>
            </w:r>
          </w:p>
        </w:tc>
      </w:tr>
    </w:tbl>
    <w:p w14:paraId="39058587" w14:textId="77777777" w:rsidR="006C0F81" w:rsidRPr="00E14102" w:rsidRDefault="006C0F81" w:rsidP="00E14102">
      <w:pPr>
        <w:jc w:val="both"/>
        <w:rPr>
          <w:color w:val="0070C0"/>
          <w:sz w:val="16"/>
          <w:szCs w:val="16"/>
        </w:rPr>
      </w:pPr>
      <w:r w:rsidRPr="00E14102">
        <w:rPr>
          <w:color w:val="0070C0"/>
          <w:sz w:val="16"/>
          <w:szCs w:val="16"/>
        </w:rPr>
        <w:t>И.Ф. Ткачёв выделил для участия в учениях «СССР В-7 бис». В состав экипажа дирижабля вошли: командир корабля В.А. Устинович, по</w:t>
      </w:r>
      <w:r w:rsidRPr="00E14102">
        <w:rPr>
          <w:color w:val="0070C0"/>
          <w:sz w:val="16"/>
          <w:szCs w:val="16"/>
        </w:rPr>
        <w:softHyphen/>
        <w:t>мощник командира Л.М. Шнейдерман, штур</w:t>
      </w:r>
      <w:r w:rsidRPr="00E14102">
        <w:rPr>
          <w:color w:val="0070C0"/>
          <w:sz w:val="16"/>
          <w:szCs w:val="16"/>
        </w:rPr>
        <w:softHyphen/>
        <w:t>ман И.И. Кобусов, штурвальные В. Раевский и Скрынник, старший бортмеханик Чернышев, бортмеханик К.А. Шмельков, старший радист Бе</w:t>
      </w:r>
      <w:r w:rsidRPr="00E14102">
        <w:rPr>
          <w:color w:val="0070C0"/>
          <w:sz w:val="16"/>
          <w:szCs w:val="16"/>
        </w:rPr>
        <w:softHyphen/>
        <w:t>ляев и младший радист В.Д. Чернов.</w:t>
      </w:r>
    </w:p>
    <w:p w14:paraId="23E0618A" w14:textId="77777777" w:rsidR="006C0F81" w:rsidRPr="00E14102" w:rsidRDefault="006C0F81" w:rsidP="00E14102">
      <w:pPr>
        <w:jc w:val="both"/>
        <w:rPr>
          <w:color w:val="0070C0"/>
          <w:sz w:val="16"/>
          <w:szCs w:val="16"/>
        </w:rPr>
      </w:pPr>
      <w:r w:rsidRPr="00E14102">
        <w:rPr>
          <w:color w:val="0070C0"/>
          <w:sz w:val="16"/>
          <w:szCs w:val="16"/>
        </w:rPr>
        <w:t>Подготовленный к полётам на предельных высотах «СССР В-7 бис» перелетел в Сализи, но сначала ему пришлось выполнять задачу про</w:t>
      </w:r>
      <w:r w:rsidRPr="00E14102">
        <w:rPr>
          <w:color w:val="0070C0"/>
          <w:sz w:val="16"/>
          <w:szCs w:val="16"/>
        </w:rPr>
        <w:softHyphen/>
        <w:t>тивоположную запланированной. В начальный период учений по ПВО Ленинграда над городом и его окрестностями установился густой туман. Несколько дней все аэродромы были закрыты для взлёта и посадки самолётов. Чтобы как-то имити</w:t>
      </w:r>
      <w:r w:rsidRPr="00E14102">
        <w:rPr>
          <w:color w:val="0070C0"/>
          <w:sz w:val="16"/>
          <w:szCs w:val="16"/>
        </w:rPr>
        <w:softHyphen/>
        <w:t>ровать массовый налёт авиации противника на Ленинград, руководство учений запросило мне</w:t>
      </w:r>
      <w:r w:rsidRPr="00E14102">
        <w:rPr>
          <w:color w:val="0070C0"/>
          <w:sz w:val="16"/>
          <w:szCs w:val="16"/>
        </w:rPr>
        <w:softHyphen/>
        <w:t>ние В.А. Устиновича о возможности проведения полёта над городом на дирижабле. Последний дал положительный ответ, и «СССР В-7 бис» вылетел в тумане на город с представителем ВВС на борту. Дирижабль летал над городом около двух часов, но ни один пост ПВО его не обнаружил. Рапорту представителя ВВС о налёте руководство манёв</w:t>
      </w:r>
      <w:r w:rsidRPr="00E14102">
        <w:rPr>
          <w:color w:val="0070C0"/>
          <w:sz w:val="16"/>
          <w:szCs w:val="16"/>
        </w:rPr>
        <w:softHyphen/>
        <w:t>ров не поверило, и полёт повторили с представи</w:t>
      </w:r>
      <w:r w:rsidRPr="00E14102">
        <w:rPr>
          <w:color w:val="0070C0"/>
          <w:sz w:val="16"/>
          <w:szCs w:val="16"/>
        </w:rPr>
        <w:softHyphen/>
        <w:t>телем ПВО на борту. Несмотря на то, что дири</w:t>
      </w:r>
      <w:r w:rsidRPr="00E14102">
        <w:rPr>
          <w:color w:val="0070C0"/>
          <w:sz w:val="16"/>
          <w:szCs w:val="16"/>
        </w:rPr>
        <w:softHyphen/>
        <w:t>жабль шёл на небольшой высоте, вновь ни один пост его не заметил. Тогда представитель ПВО попросил совершить «налёт» на подчинённый ему аэродром. В.А. Устинович применил приём итальянских дирижаблистов Первой мировой войны: зашёл на цель с подветренной стороны, выключил двигатели и произвёл «бомбометание» на дрейфе. Сигнала воздушной тревоги опять не последовало, и представитель ПВО прямо из окна гондолы дирижабля отчитал подчинённых (20120).</w:t>
      </w:r>
    </w:p>
    <w:p w14:paraId="720AA846" w14:textId="77777777" w:rsidR="006C0F81" w:rsidRPr="00E14102" w:rsidRDefault="006C0F81" w:rsidP="00E14102">
      <w:pPr>
        <w:jc w:val="both"/>
        <w:rPr>
          <w:color w:val="0070C0"/>
          <w:sz w:val="16"/>
          <w:szCs w:val="16"/>
        </w:rPr>
      </w:pPr>
    </w:p>
    <w:p w14:paraId="41BF7C0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lastRenderedPageBreak/>
        <w:t>Жизнь и внутренняя политика:</w:t>
      </w:r>
    </w:p>
    <w:p w14:paraId="6A07125E" w14:textId="77777777" w:rsidR="00D4105E" w:rsidRPr="00E14102" w:rsidRDefault="00D4105E" w:rsidP="00E14102">
      <w:pPr>
        <w:autoSpaceDE w:val="0"/>
        <w:autoSpaceDN w:val="0"/>
        <w:adjustRightInd w:val="0"/>
        <w:jc w:val="both"/>
        <w:rPr>
          <w:iCs/>
          <w:color w:val="000000" w:themeColor="text1"/>
          <w:sz w:val="16"/>
          <w:szCs w:val="16"/>
        </w:rPr>
      </w:pPr>
    </w:p>
    <w:p w14:paraId="2C588A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введен в строй первый в стране Ленинградский телецентр на Аптекарском острове (3960, 341).</w:t>
      </w:r>
    </w:p>
    <w:p w14:paraId="5BBC7484" w14:textId="77777777" w:rsidR="00D4105E" w:rsidRPr="00E14102" w:rsidRDefault="00D4105E" w:rsidP="00E14102">
      <w:pPr>
        <w:autoSpaceDE w:val="0"/>
        <w:autoSpaceDN w:val="0"/>
        <w:adjustRightInd w:val="0"/>
        <w:jc w:val="both"/>
        <w:rPr>
          <w:color w:val="000000" w:themeColor="text1"/>
          <w:sz w:val="16"/>
          <w:szCs w:val="16"/>
        </w:rPr>
      </w:pPr>
    </w:p>
    <w:p w14:paraId="67CEDFCA" w14:textId="77777777" w:rsidR="004E6CC2" w:rsidRPr="00E14102" w:rsidRDefault="004E6CC2"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1 сентября </w:t>
      </w:r>
      <w:r w:rsidRPr="00E14102">
        <w:rPr>
          <w:color w:val="000000" w:themeColor="text1"/>
          <w:sz w:val="16"/>
          <w:szCs w:val="16"/>
        </w:rPr>
        <w:t>в 1935 году введен в действие первый в стране Опытный ленинградский телецентр на Аптекарском острове. Первая опытна передача "изображения на расстояние" была проведена из радиостудии на Пермской улице 10 марта 1932 года. Регулярные, но непродолжительные, передачи начались с 1938 года из телецентра, разместившегося в бывшей даче В.Ф.Громова. Единственная камера телестудии стояла на неподвижном штативе и имела один объектив. Чтобы на экране получился крупный план, выступавший должен был подойти поближе к камере. Устройство его было весьма несовершенным; из-за отсутствия вентиляции температура в съёмочном павильоне поднималась подчас до 40 градусов, и актёры прятали под свои шляпы и парики пузыри со льдом. Музыкальное сопровождение осуществлялось при помощи патефона. Вот в таких условиях работали первые телевизионщики... Впрочем, телевизоры были еще очень дорогими и первые 38 телевизионных приемников располагались в домах культуры. Вещание велось по часу в день, так что художественные фильмы показывали по частям: начало сегодня, конец - на следующий день. Увеличение продолжительности передач произошло уже после войны, в 1949 году, когда появилось чудо техники - первый массовый индивидуальный телевизор "КВН-49" (14756).</w:t>
      </w:r>
    </w:p>
    <w:p w14:paraId="066C418C" w14:textId="77777777" w:rsidR="004E6CC2" w:rsidRPr="00E14102" w:rsidRDefault="004E6CC2" w:rsidP="00E14102">
      <w:pPr>
        <w:jc w:val="both"/>
        <w:rPr>
          <w:color w:val="000000" w:themeColor="text1"/>
          <w:sz w:val="16"/>
          <w:szCs w:val="16"/>
        </w:rPr>
      </w:pPr>
    </w:p>
    <w:p w14:paraId="7CE87E1E" w14:textId="77777777" w:rsidR="006C0F81" w:rsidRPr="00E14102" w:rsidRDefault="006C0F81" w:rsidP="00E14102">
      <w:pPr>
        <w:jc w:val="both"/>
        <w:rPr>
          <w:color w:val="0070C0"/>
          <w:sz w:val="16"/>
          <w:szCs w:val="16"/>
        </w:rPr>
      </w:pPr>
      <w:r w:rsidRPr="00E14102">
        <w:rPr>
          <w:color w:val="0070C0"/>
          <w:sz w:val="16"/>
          <w:szCs w:val="16"/>
        </w:rPr>
        <w:t>1 сентября 1935 закончилась отмена карточной системы снабжения</w:t>
      </w:r>
    </w:p>
    <w:p w14:paraId="7E3B325D" w14:textId="77777777" w:rsidR="006C0F81" w:rsidRPr="00E14102" w:rsidRDefault="006C0F81" w:rsidP="00E14102">
      <w:pPr>
        <w:jc w:val="both"/>
        <w:rPr>
          <w:color w:val="0070C0"/>
          <w:sz w:val="16"/>
          <w:szCs w:val="16"/>
        </w:rPr>
      </w:pPr>
      <w:r w:rsidRPr="00E14102">
        <w:rPr>
          <w:color w:val="0070C0"/>
          <w:sz w:val="16"/>
          <w:szCs w:val="16"/>
        </w:rPr>
        <w:t>Постепенный рост промышленного и сельскохозяйственного производства позволил перейти от нормированного снабжения к свободной продаже продовольственных и промышленных товаров через систему государственной торговли. С 1933 г. началась отмена карточек на отдельные товары, а в сентябре 1935 г. карточная система снабжения населения была полностью отменена (20218).</w:t>
      </w:r>
    </w:p>
    <w:p w14:paraId="40082886" w14:textId="77777777" w:rsidR="006C0F81" w:rsidRPr="00E14102" w:rsidRDefault="006C0F81" w:rsidP="00E14102">
      <w:pPr>
        <w:jc w:val="both"/>
        <w:rPr>
          <w:color w:val="0070C0"/>
          <w:sz w:val="16"/>
          <w:szCs w:val="16"/>
        </w:rPr>
      </w:pPr>
    </w:p>
    <w:p w14:paraId="021B4053" w14:textId="77777777" w:rsidR="004E6CC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A7F66EC" w14:textId="77777777" w:rsidR="004E6CC2" w:rsidRPr="00E14102" w:rsidRDefault="004E6CC2" w:rsidP="00E14102">
      <w:pPr>
        <w:autoSpaceDE w:val="0"/>
        <w:autoSpaceDN w:val="0"/>
        <w:adjustRightInd w:val="0"/>
        <w:jc w:val="both"/>
        <w:rPr>
          <w:iCs/>
          <w:color w:val="000000" w:themeColor="text1"/>
          <w:sz w:val="16"/>
          <w:szCs w:val="16"/>
        </w:rPr>
      </w:pPr>
    </w:p>
    <w:p w14:paraId="349C6379" w14:textId="77777777" w:rsidR="004E6CC2" w:rsidRPr="00E14102" w:rsidRDefault="004E6CC2" w:rsidP="00E14102">
      <w:pPr>
        <w:jc w:val="both"/>
        <w:rPr>
          <w:rStyle w:val="ucoz-forum-post"/>
          <w:rFonts w:eastAsiaTheme="majorEastAsia"/>
          <w:color w:val="000000" w:themeColor="text1"/>
          <w:sz w:val="16"/>
          <w:szCs w:val="16"/>
        </w:rPr>
      </w:pPr>
      <w:r w:rsidRPr="00E14102">
        <w:rPr>
          <w:rStyle w:val="ucoz-forum-post"/>
          <w:rFonts w:eastAsiaTheme="majorEastAsia"/>
          <w:bCs/>
          <w:color w:val="000000" w:themeColor="text1"/>
          <w:sz w:val="16"/>
          <w:szCs w:val="16"/>
        </w:rPr>
        <w:t>1 сентября 1935 года</w:t>
      </w:r>
      <w:r w:rsidRPr="00E14102">
        <w:rPr>
          <w:rStyle w:val="ucoz-forum-post"/>
          <w:rFonts w:eastAsiaTheme="majorEastAsia"/>
          <w:color w:val="000000" w:themeColor="text1"/>
          <w:sz w:val="16"/>
          <w:szCs w:val="16"/>
        </w:rPr>
        <w:t xml:space="preserve"> Под управлением шеф-пилота фирмы "Хейнкель" Герхарда Ничке впервые поднялся в воздух самолет Не 112 V1, который походил на сильно уменьшенный в размерах Не 70 "Блитц" ("Молния").. Плавные обводы фюзеляжа, эллипсовидная форма крыла и оперения придавали новому истребителю весьма элегантный вид. Единственным шагом назад стала открытая кабина, сделанная таковой в соответствии с пожеланиями летчиков. Позже самолет оборудовали закрытым сдвигающимся назад фонарем, но его конструкцию признали неудачной, и на последующих трех экземплярах кабина вновь стала открытой (14756).</w:t>
      </w:r>
    </w:p>
    <w:p w14:paraId="6EA0ED79" w14:textId="77777777" w:rsidR="004E6CC2" w:rsidRPr="00E14102" w:rsidRDefault="004E6CC2" w:rsidP="00E14102">
      <w:pPr>
        <w:jc w:val="both"/>
        <w:rPr>
          <w:color w:val="000000" w:themeColor="text1"/>
          <w:sz w:val="16"/>
          <w:szCs w:val="16"/>
        </w:rPr>
      </w:pPr>
    </w:p>
    <w:p w14:paraId="2EC336F7" w14:textId="77777777" w:rsidR="004E6CC2" w:rsidRPr="00E14102" w:rsidRDefault="004E6CC2" w:rsidP="00E14102">
      <w:pPr>
        <w:jc w:val="both"/>
        <w:rPr>
          <w:color w:val="000000" w:themeColor="text1"/>
          <w:sz w:val="16"/>
          <w:szCs w:val="16"/>
        </w:rPr>
      </w:pPr>
      <w:r w:rsidRPr="00E14102">
        <w:rPr>
          <w:color w:val="000000" w:themeColor="text1"/>
          <w:sz w:val="16"/>
          <w:szCs w:val="16"/>
        </w:rPr>
        <w:t>1 сентября 1935 Состоялся первый полет прототипа XFM-1. FM-1 Airacuda - тяжелый эскортный истребитель, разработанный американской фирмой Bell. При обозначении самолета случился небольшой конфуз, стандартное обозначении ВВС США FM (Fighter Multiplace) совпало с обозначением в ВМС США истребителей FM-1 и -2 Wildcat производства фирмы General Motors. Самолет оснащенный поршневым двигателем Allison V-1710-13 мощностью 1133 л.с. смог развить скорость 490 км/ч. По результатам испытаний была заказана экспериментальная серия из 13 самолетов, первый из которых был готов сентябре 1939 года. Однако различные проблемы с механикой и невысокие скоростные характеристики помешали дальнейшему серийному производству самолета (14756).</w:t>
      </w:r>
    </w:p>
    <w:p w14:paraId="12206CE3" w14:textId="77777777" w:rsidR="004E6CC2" w:rsidRPr="00E14102" w:rsidRDefault="004E6CC2" w:rsidP="00E14102">
      <w:pPr>
        <w:jc w:val="both"/>
        <w:rPr>
          <w:color w:val="000000" w:themeColor="text1"/>
          <w:sz w:val="16"/>
          <w:szCs w:val="16"/>
        </w:rPr>
      </w:pPr>
    </w:p>
    <w:p w14:paraId="1A926CB8" w14:textId="77777777" w:rsidR="006C0F81" w:rsidRPr="00E14102" w:rsidRDefault="006C0F81" w:rsidP="00E14102">
      <w:pPr>
        <w:jc w:val="both"/>
        <w:rPr>
          <w:color w:val="0070C0"/>
          <w:sz w:val="16"/>
          <w:szCs w:val="16"/>
        </w:rPr>
      </w:pPr>
      <w:r w:rsidRPr="00E14102">
        <w:rPr>
          <w:color w:val="0070C0"/>
          <w:sz w:val="16"/>
          <w:szCs w:val="16"/>
        </w:rPr>
        <w:t>1 сентября 1935 - Под управлением шеф-пилота фирмы "Хейнкель" Герхарда Ничке впервые поднялся в воздух самолет Не 112 V1, который походил на сильно уменьшенный в размерах Не 70 "Блитц" ("Молния"). Плавные обводы фюзеляжа, эллипсовидная форма крыла и оперения придавали новому истребителю весьма элегантный вид.</w:t>
      </w:r>
    </w:p>
    <w:p w14:paraId="7E617D98" w14:textId="77777777" w:rsidR="006C0F81" w:rsidRPr="00E14102" w:rsidRDefault="006C0F81" w:rsidP="00E14102">
      <w:pPr>
        <w:jc w:val="both"/>
        <w:rPr>
          <w:color w:val="0070C0"/>
          <w:sz w:val="16"/>
          <w:szCs w:val="16"/>
        </w:rPr>
      </w:pPr>
      <w:r w:rsidRPr="00E14102">
        <w:rPr>
          <w:color w:val="0070C0"/>
          <w:sz w:val="16"/>
          <w:szCs w:val="16"/>
        </w:rPr>
        <w:t>...В мае 1934-го, министр авиации III Рейха Герман Геринг подписал спецификацию (техническое задание) на одноместный истребитель-перехватчик, призванный заменить быстро устаревающие бипланы Хейнкель-51 и Арадо-68. Задание предусматривало разработку одноместного одномоторного цельнометаллического моноплана с максимальной скоростью не ниже 400 км/ч на высоте 4000 метров.</w:t>
      </w:r>
    </w:p>
    <w:p w14:paraId="7D1C3D9B" w14:textId="77777777" w:rsidR="006C0F81" w:rsidRPr="00E14102" w:rsidRDefault="006C0F81" w:rsidP="00E14102">
      <w:pPr>
        <w:jc w:val="both"/>
        <w:rPr>
          <w:color w:val="0070C0"/>
          <w:sz w:val="16"/>
          <w:szCs w:val="16"/>
        </w:rPr>
      </w:pPr>
      <w:r w:rsidRPr="00E14102">
        <w:rPr>
          <w:color w:val="0070C0"/>
          <w:sz w:val="16"/>
          <w:szCs w:val="16"/>
        </w:rPr>
        <w:t>Документ в обстановке строгой секретности разослали трем ведущим авиастроительным фирмам "Эрнст Хейнкель Флюгцойгверк", "Фокке-Вульф Флюгцойгбау" и "Арадо Флюгцойгверк". Каждой из фирм авансом проплатили постройку трех прототипов, чтобы затем, по результатам испытаний выбрать из них наилучший.</w:t>
      </w:r>
    </w:p>
    <w:p w14:paraId="3F745A38" w14:textId="77777777" w:rsidR="006C0F81" w:rsidRPr="00E14102" w:rsidRDefault="006C0F81" w:rsidP="00E14102">
      <w:pPr>
        <w:jc w:val="both"/>
        <w:rPr>
          <w:color w:val="0070C0"/>
          <w:sz w:val="16"/>
          <w:szCs w:val="16"/>
        </w:rPr>
      </w:pPr>
      <w:r w:rsidRPr="00E14102">
        <w:rPr>
          <w:color w:val="0070C0"/>
          <w:sz w:val="16"/>
          <w:szCs w:val="16"/>
        </w:rPr>
        <w:t>Любопытно, что на фирму "Байериш Флюгцойгверк", принадлежавшую будущему победителю конкурса Вилли Мессершмитту, спецификацию решили не посылать. Молодого и еще ничем не знаменитого авиаконструктора посчитали неготовым к столь ответственному заданию. Но талантливый и честолюбивый инженер, узнав об условиях спецификации, решил на собственные средства построить опытный образец и все-таки принять участие в соревновании. ...Самолет Хейнкеля был фаворитом конкурса, из которого к тому времени выбыли все, кроме самолета Мессершмитта. Но 15 марта Не 112 потерпел аварию. Самолет быстро восстановили, однако через месяц последовала новая, более тяжелая авария, после которой его пришлось списать. Это роковым образом сказалось на дальнейшей судьбе машины (22378).</w:t>
      </w:r>
    </w:p>
    <w:p w14:paraId="6DB5FA5F" w14:textId="77777777" w:rsidR="006C0F81" w:rsidRPr="00E14102" w:rsidRDefault="006C0F81" w:rsidP="00E14102">
      <w:pPr>
        <w:jc w:val="both"/>
        <w:rPr>
          <w:color w:val="0070C0"/>
          <w:sz w:val="16"/>
          <w:szCs w:val="16"/>
        </w:rPr>
      </w:pPr>
    </w:p>
    <w:p w14:paraId="00FDFB1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A9549F0" w14:textId="77777777" w:rsidR="00D4105E" w:rsidRPr="00E14102" w:rsidRDefault="00D4105E" w:rsidP="00E14102">
      <w:pPr>
        <w:autoSpaceDE w:val="0"/>
        <w:autoSpaceDN w:val="0"/>
        <w:adjustRightInd w:val="0"/>
        <w:jc w:val="both"/>
        <w:rPr>
          <w:iCs/>
          <w:color w:val="000000" w:themeColor="text1"/>
          <w:sz w:val="16"/>
          <w:szCs w:val="16"/>
        </w:rPr>
      </w:pPr>
    </w:p>
    <w:p w14:paraId="3C424D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сентября 1935 на ДБА 4М-34РН в ходе заводских испытаний в Щелково летали 2 раза 2:35 и это был первый полет после ремонта Ф-4 и полет на проверку автоматической устойчивости, открытия щитков на 50%, замер напряжений в стержнях и это был 10-й полет машины (249).</w:t>
      </w:r>
    </w:p>
    <w:p w14:paraId="56AC1612" w14:textId="77777777" w:rsidR="00D4105E" w:rsidRPr="00E14102" w:rsidRDefault="00D4105E" w:rsidP="00E14102">
      <w:pPr>
        <w:autoSpaceDE w:val="0"/>
        <w:autoSpaceDN w:val="0"/>
        <w:adjustRightInd w:val="0"/>
        <w:jc w:val="both"/>
        <w:rPr>
          <w:color w:val="000000" w:themeColor="text1"/>
          <w:sz w:val="16"/>
          <w:szCs w:val="16"/>
        </w:rPr>
      </w:pPr>
    </w:p>
    <w:p w14:paraId="22D795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сентября 1935 вышел приказ ГУАП N 51/285:</w:t>
      </w:r>
    </w:p>
    <w:p w14:paraId="439689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"Совещание ГК АП, проведенное 9 августа 1935, показало, что за истекшие 8 месяцев мы имеем ряд достижений:</w:t>
      </w:r>
    </w:p>
    <w:p w14:paraId="012145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Этим достижениям мы обязаны главным образом нашим конструкторским кадрам, как руководителям, так и молодняку, который за последние полтора-два года значительно вырос и окреп.</w:t>
      </w:r>
    </w:p>
    <w:p w14:paraId="747506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Имена А.Н.Т., Д.П.Григоровича, Н.Н.П., Кочеригина, Швецова, А.А.Микулина, Назарова, Добрынина, К.А.К., А.С.Я., Путилова, Немана, Чижевского и др. известны Советскому Союзу не только как имена одиночек, а как генеральные фигуры, вокруг которых вырос крепкий конструкторский коллектив.</w:t>
      </w:r>
    </w:p>
    <w:p w14:paraId="487857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Многие из членов этого коллектива занимают ведущие места, не уступающие роли ГК. Таковы имена В.М.П., А.А.А., П.О.С., Погосского (ЦАГИ), Дмитриевского, Чаромского (ЦИАМ), Дубровина, Яценко, Журбиной (завод 39), Балинского (завод 18) и др." Нач. ГУАП Королев (2070,83).</w:t>
      </w:r>
    </w:p>
    <w:p w14:paraId="4BC5CF37" w14:textId="77777777" w:rsidR="00D4105E" w:rsidRPr="00E14102" w:rsidRDefault="00D4105E" w:rsidP="00E14102">
      <w:pPr>
        <w:autoSpaceDE w:val="0"/>
        <w:autoSpaceDN w:val="0"/>
        <w:adjustRightInd w:val="0"/>
        <w:jc w:val="both"/>
        <w:rPr>
          <w:color w:val="000000" w:themeColor="text1"/>
          <w:sz w:val="16"/>
          <w:szCs w:val="16"/>
        </w:rPr>
      </w:pPr>
    </w:p>
    <w:p w14:paraId="7EAB5F1F" w14:textId="77777777" w:rsidR="00386011" w:rsidRPr="00E14102" w:rsidRDefault="00386011" w:rsidP="00E14102">
      <w:pPr>
        <w:jc w:val="both"/>
        <w:rPr>
          <w:rStyle w:val="a6"/>
          <w:i w:val="0"/>
          <w:color w:val="000000" w:themeColor="text1"/>
          <w:sz w:val="16"/>
          <w:szCs w:val="16"/>
        </w:rPr>
      </w:pPr>
      <w:r w:rsidRPr="00E14102">
        <w:rPr>
          <w:rStyle w:val="a6"/>
          <w:i w:val="0"/>
          <w:color w:val="000000" w:themeColor="text1"/>
          <w:sz w:val="16"/>
          <w:szCs w:val="16"/>
        </w:rPr>
        <w:t xml:space="preserve">2 сентября 1935 г. </w:t>
      </w:r>
      <w:r w:rsidRPr="00E14102">
        <w:rPr>
          <w:color w:val="000000" w:themeColor="text1"/>
          <w:sz w:val="16"/>
          <w:szCs w:val="16"/>
        </w:rPr>
        <w:t>Приказ № 51/285 по Главному управлению авиационной промышленности НКТП СССР о мерах по организации опытно-конструкторских и научно-исследовательских работ в авиационной промышленности</w:t>
      </w:r>
    </w:p>
    <w:p w14:paraId="0F6D28EB" w14:textId="77777777" w:rsidR="00386011" w:rsidRPr="00E14102" w:rsidRDefault="00386011" w:rsidP="00E14102">
      <w:pPr>
        <w:jc w:val="both"/>
        <w:rPr>
          <w:color w:val="000000" w:themeColor="text1"/>
          <w:sz w:val="16"/>
          <w:szCs w:val="16"/>
        </w:rPr>
      </w:pPr>
      <w:r w:rsidRPr="00E14102">
        <w:rPr>
          <w:rStyle w:val="a6"/>
          <w:i w:val="0"/>
          <w:color w:val="000000" w:themeColor="text1"/>
          <w:sz w:val="16"/>
          <w:szCs w:val="16"/>
        </w:rPr>
        <w:t>Секретно.</w:t>
      </w:r>
    </w:p>
    <w:p w14:paraId="69C76E33"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1</w:t>
      </w:r>
    </w:p>
    <w:p w14:paraId="22DB8886"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Совещание главных конструкторов авиационной промышленности, проведенное 9 августа с. г. показало, что за истекшие 8 месяцев 1935 г. мы имеем ряд достижений. Эти достижения в первую очередь обязаны нашим конструкторским кадрам, как руководителям, так и молодняку, который за последние полтора-два года значительно вырос и окреп¹*. Имена Туполева, Григоровича, Поликарпова, Кочеригина, Швецова, Микулина, Назарова, Добрынина, Калинина, Яковлева, Путилова, Немана, Чижевского и др. известны Советскому Союзу не только как имена одиночек, а как центральные фигуры, вокруг которых вырос крепкий конструкторский коллектив. Многие из членов этого коллектива занимают ведущие места, не уступающие роли главного конструктора. Таковы имена тт. Петлякова, Архангельского, Сухого, Погосского (ЦАГИ), Дмитриевского, Чаромского (ЦИАМ), Дубровина, Яценко, Журбиной (завод [№] 39), Балинского (завод № 18) и др.</w:t>
      </w:r>
    </w:p>
    <w:p w14:paraId="5B114908"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Весь этот коллектив мог бы дать еще больше, значительно увеличить свою эффективность, если бы большинство наших организаций по опытному строительству не страдало рядом недостатков, выражающихся главным образом в недоучете создавшейся новой обстановки и новых требований, недоучете результатов собственного роста и тех обязательств, которые этот рост налагает на конструкторские организации по углублению и повышению качества опытно-конструкторских работ. Главные конструкторы и в первую очередь научно-исследовательские институты, работая над созданием конструкции самолета, мотора и других агрегатов, мало уделяют внимания научным вопросам, бесспорно обеспечивающим как движение вперед, так и своевременное и грамотное пользование новейшими образцами самолетов, моторов, различных агрегатов и приборов. Как на пример следует указать на разрыв между практически достигнутыми скоростями самолетов и знанием картины динамики сверхзвуковых скоростей и поведения самолета на скоростях, близких к ним. Только разрывом между теоретической и практической мыслью можно объяснить, что мы до сих пор не изучили практического применения самолета с большими скоростями, а отсюда неизбежно снижается ценность его как боевой тактической единицы.</w:t>
      </w:r>
    </w:p>
    <w:p w14:paraId="412B9544"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Новое тактическое применение самолета, обусловленное высокими скоростями и большой высотностью, тесно связано с новыми видами вооружения, специального оборудования (нагнетатели, винты переменного шага, самопуски всех видов, кислородные установки, вопросы подбора материалов исследования и подбора топлив, масел и т. п.). Эти вопросы еще не нашли должного внимания в опытно-конструкторских отделах наших заводов и научно-исследовательских институтах, а если и отражены в тематическом плане работ, то с недостаточной конкретностью.</w:t>
      </w:r>
    </w:p>
    <w:p w14:paraId="400A37FB"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В обеспечение наиболее успешного роста авиации и авиационной промышленности и в первую очередь с целью изжития недостатков, влияющих на выполнение правительственных заданий, приказываю:</w:t>
      </w:r>
    </w:p>
    <w:p w14:paraId="63126FB3"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lastRenderedPageBreak/>
        <w:t>2</w:t>
      </w:r>
    </w:p>
    <w:p w14:paraId="555405DC"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Директорам заводов создать все необходимые условия и обстановку для успешного развертывания работ опытно-конструкторских отделов на заводах и выполнения ими заданий, в первую очередь, возложенных правительством.</w:t>
      </w:r>
    </w:p>
    <w:p w14:paraId="1371AEFA"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3</w:t>
      </w:r>
    </w:p>
    <w:p w14:paraId="0B526F6F"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Директорам заводов обеспечить работу главных конструкторов исследовательскими лабораториями (аэродинамической, прочности) и производственной базой, поставив их в производственные условия наравне с техническими директорами.</w:t>
      </w:r>
    </w:p>
    <w:p w14:paraId="7489BB28"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4</w:t>
      </w:r>
    </w:p>
    <w:p w14:paraId="62DDD275"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Директорам заводов и главным конструкторам осуществить необходимые организационно-технические мероприятия по обеспечению выполнения правительственных заданий на опытно-конструкторские работы, как по линии проектирования, так и по линии производства, испытания и доводки и с учетом решающего значения последних двух этапов, приняв за основу следующие положения:</w:t>
      </w:r>
    </w:p>
    <w:p w14:paraId="72DFC61E"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а) Не допускать распыления конструкторских сил на выполнение заданий и инициативных работ, не включенных в правительственный план, если эти задания и работы ведутся в ущерб выполнению правительственного плана и не обеспечены ни кредитами, ни конструкторскими и производственными мощностями и всеми необходимыми условиями по доведению этих работ до их полного окончания.</w:t>
      </w:r>
    </w:p>
    <w:p w14:paraId="0DC05128"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б) Осуществить такое построение производственной программы опытно-конструкторской работы, при котором основные правительственные задания были бы четко выделены в условия полного обеспечения лучшими и проверенными конструкторскими кадрами и производственной обстановкой, обеспечивающей высокое качество выполнения этих заданий.</w:t>
      </w:r>
    </w:p>
    <w:p w14:paraId="25F62082"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в) Для ликвидации распыления опытно-конструкторских кадров к 15 сентября представить мне соображения по ликвидации работ, заданий и обязательств, дезорганизующих опытно-конструкторскую работу заводов и отвлекающих их от выполнения правительственных заданий.</w:t>
      </w:r>
    </w:p>
    <w:p w14:paraId="6E49DECF"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г) Осуществить действительно авторитетное руководство со стороны главного конструктора всей опытно-конструкторской работой завода, обеспечив главному конструктору все необходимые (благоприятные) условия для действительного осуществления такого руководства.</w:t>
      </w:r>
    </w:p>
    <w:p w14:paraId="22F5A542"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5</w:t>
      </w:r>
    </w:p>
    <w:p w14:paraId="44D1AAC5"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Имея в виду высокий рост скоростей отдельных типов наших самолетов, а в связи с этим вытекающее новое свойство самолета как боевой тактической единицы, ЦАГИ, заводу № 39, заводу № 1, 21 и 22 исследовать вопрос применения самолетов с большими скоростями, разработав методику этого применения. Предлагаю предварительно разработать программу исследований поведения самолетов на больших скоростях, обеспечив осуществление ее соответствующей квалификации кадрами. Программу и состав группы по каждому типу машин начальнику ЦАГИ, директорам заводов № 39, 1, 21 и 22 доложить мне не позднее 15 сентября 1935 г.</w:t>
      </w:r>
    </w:p>
    <w:p w14:paraId="3A912095"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6</w:t>
      </w:r>
    </w:p>
    <w:p w14:paraId="6C9BC5E0"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В связи с предыдущим (§ 5) обратить особое внимание на изучение машин и их оборудование в условиях военного применения их, для чего, совместно с представителями УВС, разработать методику и программу постоянного изучения, представив мне на утверждение необходимые мероприятия для изучения испытания всех самолетов, моторов и всей материальной части в условиях действительно военного применения. Срок представления 1 октября.</w:t>
      </w:r>
    </w:p>
    <w:p w14:paraId="2F0302BC"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7</w:t>
      </w:r>
    </w:p>
    <w:p w14:paraId="218CB08E"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Для исследования и проверки летно-тактических данных опытных самолетов организовать в системе ГУАПа в близлежащем районе Москвы полигон. Моему заместителю т. Кацва, учтя опыт работы УВС РККА, подобрать площадку и обеспечить ее организацию потребными кредитами.</w:t>
      </w:r>
    </w:p>
    <w:p w14:paraId="2D5DEB4A"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8</w:t>
      </w:r>
    </w:p>
    <w:p w14:paraId="0718361A"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Для усиления темпов научно-исследовательской работы немедленно объединить научно-исследовательские отделы ЦАГИ (экспериментально-аэродинамический, экспериментально-гидродинамический, отдел прочности авиационных конструкций и теоретический) в Научно-исследовательское управление ЦАГИ с возглавлением его зам. начальника ЦАГИ. Обеспечить это управление не позже 1 октября 1935 г. необходимой производственной базой (мастерскими), отдельными от мастерских опытного строительства самолетов, достаточными по своим размерам для удовлетворения потребностей Управления научно-исследовательских работ. Начальнику ЦАГИ представить мне к 5 сентября 1935 г. все мероприятия для организации этого управления с учетом вышеуказанного срока начала работ.</w:t>
      </w:r>
    </w:p>
    <w:p w14:paraId="46E02A1C"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9</w:t>
      </w:r>
    </w:p>
    <w:p w14:paraId="20BC4386"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Начальнику ЦАГИ т. Харламову организовать винто-моторную группу с соответствующей лабораторией в составе ОЭЛИДа (на аэродроме), выделить для этой лаборатории 15 самолетов. Типы и сроки представить мне на утверждение к 20 сентября.</w:t>
      </w:r>
    </w:p>
    <w:p w14:paraId="71772CDD"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10</w:t>
      </w:r>
    </w:p>
    <w:p w14:paraId="04011B8A"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Моему заместителю т. Кацва и директорам заводов форсировать достройку аэродинамических труб на заводах № 39, 18, МАИ и приступить к подготовке с постройкой в 1936 г. труб на заводах № 18, 22, 31 и 125.</w:t>
      </w:r>
    </w:p>
    <w:p w14:paraId="398A3D59"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11</w:t>
      </w:r>
    </w:p>
    <w:p w14:paraId="07604C5D"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Начальнику ЦИАМа т. Беляевскому совместно с директорами моторных заводов разработать план развития моторов на ближайшие два года. Разработку провести на основе тщательного изучения современного состояния как опытного, так и серийного моторостроения с ориентировочным указанием предприятия, которому можно было бы поручить осуществление того или иного типа мотора. Срок выполнения — 1 октября 1935 г. Материалы доложить мне.</w:t>
      </w:r>
    </w:p>
    <w:p w14:paraId="145E34C6"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12</w:t>
      </w:r>
    </w:p>
    <w:p w14:paraId="7D1B511D"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Начальнику ЦАГИ т. Харламову и директорам заводов № 39 и 32 в месячный срок разработать типовые перечни вооружения самолетов на 1936 г., точно определив характер и количество вооружения в зависимости от типа самолета (крейсер, одноместный истребитель, двухместный истребитель, скоростной бомбардировщик, штурмовик и др.). К разработанным материалам приложить указатель как разработанных типов вооружения, так и разрабатываемых в 1935 г. и на 1936 г.</w:t>
      </w:r>
    </w:p>
    <w:p w14:paraId="1C03C6CA"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13</w:t>
      </w:r>
    </w:p>
    <w:p w14:paraId="57EDF398"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Начальнику ЦАГИ т. Харламову и директорам заводов № 1, 22, 39 разработать применительно к типам самолетов соответствующий перечень аппаратуры и аэронавигационных приборов, обеспечивающих современность каждого типа самолета как опытной, так и серийной продукции. К разработке приложить указатель как существующих приборов, так и недостающих. Срок представления мне на утверждение 15 сентября 1935 г.</w:t>
      </w:r>
    </w:p>
    <w:p w14:paraId="5EA7019B"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14</w:t>
      </w:r>
    </w:p>
    <w:p w14:paraId="47F58D05"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Имея в виду максимальное приближение научно-исследовательской работы к практическим задачам ЦАГИ, ЦИАМу, ВИАМу и другим предприятиям, ведущим плановую научно-исследовательскую работу, пересмотреть тематический план научно-исследовательских работ, особо выделив вопросы, тесно связанные с требованием сегодняшнего дня. Пересмотр закончить не позднее 1 октября 1935 г. и результаты представить мне на утверждение.</w:t>
      </w:r>
    </w:p>
    <w:p w14:paraId="322FE05E"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Вместе с тем обращаю внимание руководителей н[аучно]-и[сследовательских] предприятий и участков, что н[аучно]-и[сследовательские] работы должны широко охватывать весь комплекс вопросов, требующих научно-исследовательских методов решения (подбор топлива, масла, исследование и подбор винтов переменного] ш[ага], вопросы охлаждения, карбюрации, зажигания, посадочные средства, тормозные устройства и т. п.).</w:t>
      </w:r>
    </w:p>
    <w:p w14:paraId="71BF5109"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15</w:t>
      </w:r>
    </w:p>
    <w:p w14:paraId="5394ACC5"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Начальнику ЦАГИ т. Харламову, начальнику ЦИАМа т. Беляевскому, начальнику ВИАМа т. Десятникову в месячный срок проверить состояние научно-исследовательских и конструкторских работ во втузах и техникумах авиационной промышленности и свое заключение о целесообразности дальнейшей разработки в указанных организациях доложить мне. Как на пример указываю: «Мавиат» проектирует двухтактный двигатель, в то же время аналогичная работа исследовательского порядка закончена ЦИАМом, что указывает на параллелизм. Впредь приказываю директорам заводов, начальникам втузов и техникумов не производить никаких конструкторских и научно-исследовательских работ (не связанных с учебными целями) без заключения по ним ЦАГИ, ЦИАМа, ВИАМа и моего утверждения.</w:t>
      </w:r>
    </w:p>
    <w:p w14:paraId="09B4EDFE"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16</w:t>
      </w:r>
    </w:p>
    <w:p w14:paraId="7D1AD660"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Отмечая недопустимую медлительность в проведении летных испытаний ряда объектов, как например: винт переменного шага конструкции ЦИАМа и испарительного охлаждения мотора М</w:t>
      </w:r>
      <w:r w:rsidRPr="00E14102">
        <w:rPr>
          <w:color w:val="000000" w:themeColor="text1"/>
          <w:sz w:val="16"/>
          <w:szCs w:val="16"/>
        </w:rPr>
        <w:noBreakHyphen/>
        <w:t>34 на заводе 22, испытание М</w:t>
      </w:r>
      <w:r w:rsidRPr="00E14102">
        <w:rPr>
          <w:color w:val="000000" w:themeColor="text1"/>
          <w:sz w:val="16"/>
          <w:szCs w:val="16"/>
        </w:rPr>
        <w:noBreakHyphen/>
        <w:t>58 на заводе № 21 и др., что задерживает на продолжительный срок окончательные выводы о пригодности этих объектов, предлагаю директорам заводов и институтов, которым поручено проведение летных испытаний опытных образцов, проводить их в кратчайший срок, лично принимая конкретные меры к ускорению испытаний.</w:t>
      </w:r>
    </w:p>
    <w:p w14:paraId="099F2E6B"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17</w:t>
      </w:r>
    </w:p>
    <w:p w14:paraId="3AC476FE"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Установлено, что, с одной стороны, опытно-конструкторские организации ведут параллельную работу по специальному оборудованию самолетов, встречаясь с одними и теми же трудностями и зачастую целиком дублируя одну и ту же работу, а с другой стороны, они испытывают недостаток в кадрах специалистов в области специального оборудования и снаряжения самолетов. Вышесказанное в особенности относится к сравнительно недавно созданным опытно-конструкторским бюро. С целью изжития этого явления приказываю:</w:t>
      </w:r>
    </w:p>
    <w:p w14:paraId="1E15C9FD"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Начальникам ранее сложившихся опытно-конструкторских организаций (ЦАГИ, завод [№] 39), имеющих богатый опыт и материал, как правило, предоставлять по запросам заводов и их опытных организаций все технические материалы по специальному оборудованию самолетов и моторов и особенно по оборудованию новыми образцами (рации, электрооборудование установки вооружения, химвооружение и проч.), делая специальные оговорки в каждом отдельном случае о степени испытанности установок и их утверждения.</w:t>
      </w:r>
    </w:p>
    <w:p w14:paraId="44F2AEF9"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18</w:t>
      </w:r>
    </w:p>
    <w:p w14:paraId="2D2F6BE9"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lastRenderedPageBreak/>
        <w:t>Директоров заводов (институтов) и руководителей конструкторских организаций обязываю осуществлять договоренность по обмену опытом как путем представления технических материалов, так и путем консультаций специалистами по вопросам, связанным с проектированием и постройкой самолетов, моторов, агрегатов и проч.</w:t>
      </w:r>
    </w:p>
    <w:p w14:paraId="0F4BA13D"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19</w:t>
      </w:r>
    </w:p>
    <w:p w14:paraId="63756199"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Для обеспечения дальнейшего развития опытно-конструкторских отделов на заводах и установления тесной связи с производством и приведения в соответствие с конструкторскими бюро серийных заводов ввести семичасовой рабочий день во всех опытно-конструкторских организациях ГУАПа с 5 сентября с. г.</w:t>
      </w:r>
    </w:p>
    <w:p w14:paraId="292E0C84"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20</w:t>
      </w:r>
    </w:p>
    <w:p w14:paraId="66A2E6F0"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Обращаю внимание директоров заводов и начальников институтов на неэкономное расходование средств по планам опытных работ. Несмотря на ряд моих личных указаний по этому вопросу, до сих пор финансовая дисциплина не находится на должной высоте. Истекшее полугодие показало, что ряд организаций (ЦАГИ, заводы [№] 39, 1 и др.) не только не уложились в утвержденные лимиты, но произвели незаконный перерасход средств и в настоящее время требуют дополнительных ассигнований. Предупреждаю, что нарушение финансовой дисциплины мною будет рассматриваться как отсутствие должного внимания к этому важнейшему вопросу жизни хозяйственного предприятия.</w:t>
      </w:r>
    </w:p>
    <w:p w14:paraId="12826DDE"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lang w:val="ru-RU"/>
        </w:rPr>
        <w:t>21</w:t>
      </w:r>
    </w:p>
    <w:p w14:paraId="30BD879C"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Для предварительного рассмотрения общего плана опытно-конструкторских и научно-исследовательских работ, а также отдельных работ и их взаимной увязки учредить при мне технико-конструкторский совет под моим председательством и моего заместителя т. Марголина в следующем составе:</w:t>
      </w:r>
    </w:p>
    <w:p w14:paraId="72083AB8"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а) По самолетной секции. 1. Туполев А. Н. — зам. председателя по самолетной секции; 2. Григорович Д. П. — член совета; 3. Поликарпов И. И. — член совета; 4. Калинин К. А. — член совета; 5. Неман И. Г. — член совета; 6. Бериев — член совета; 7. Марчевский — член совета; 8. Тер-Макарьян — член совета; 9. Надашкевич — член совета; 10. Фельдман — член совета; 11. Александров В. Л. — член совета; 12. Юрьев С. Н. — член совета.</w:t>
      </w:r>
    </w:p>
    <w:p w14:paraId="40C196E3"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б) По моторной секции. 1. Беляевский — зам. председателя по моторной секции; 2. Швецов — член совета; 3. Добрынин — член совета; 4. Климов — член совета; 5. Назаров — член совета; 6. Микулин — член совета; 7. Метло — член совета; 8. Марьямов — член совета; 9. Побережский — член совета.</w:t>
      </w:r>
    </w:p>
    <w:p w14:paraId="5DC6479F"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в) Секция материаловедения. Зам. председателя проф. И. И. Сидорин. Члены секции: проф. Г. В. Акимов, проф. В. О. Крениг, инженер И. Е. Кантарович, инженер П. П. Шишков, инженер Е. М. Липский, инженер Д. М. Лобанов, инженер Ю. Г. Музалевский, инженер С. М. Воронов, инженер Б. К. Бояновский, инженер В. И. Шушин, инженер Ф. О. Рыбкин.</w:t>
      </w:r>
    </w:p>
    <w:p w14:paraId="1AB691B4" w14:textId="77777777" w:rsidR="00386011" w:rsidRPr="00E14102" w:rsidRDefault="00386011" w:rsidP="00E14102">
      <w:pPr>
        <w:pStyle w:val="rtejustify"/>
        <w:spacing w:before="0" w:after="0"/>
        <w:rPr>
          <w:color w:val="000000" w:themeColor="text1"/>
          <w:sz w:val="16"/>
          <w:szCs w:val="16"/>
        </w:rPr>
      </w:pPr>
      <w:r w:rsidRPr="00E14102">
        <w:rPr>
          <w:color w:val="000000" w:themeColor="text1"/>
          <w:sz w:val="16"/>
          <w:szCs w:val="16"/>
        </w:rPr>
        <w:t>Совет собирается не реже одного раза в месяц.</w:t>
      </w:r>
    </w:p>
    <w:p w14:paraId="6900724A"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Начальник ГУАПа Королев</w:t>
      </w:r>
    </w:p>
    <w:p w14:paraId="512D8129"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Примечание</w:t>
      </w:r>
      <w:r w:rsidRPr="00E14102">
        <w:rPr>
          <w:rFonts w:ascii="Times New Roman" w:hAnsi="Times New Roman" w:cs="Times New Roman"/>
          <w:color w:val="000000" w:themeColor="text1"/>
          <w:sz w:val="16"/>
          <w:szCs w:val="16"/>
          <w:lang w:val="ru-RU"/>
        </w:rPr>
        <w:t>:</w:t>
      </w:r>
    </w:p>
    <w:p w14:paraId="59C0DA89"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¹*</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Так в тексте.</w:t>
      </w:r>
    </w:p>
    <w:p w14:paraId="568C8F09" w14:textId="77777777" w:rsidR="00386011" w:rsidRPr="00E14102" w:rsidRDefault="00386011"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АП РФ. Ф. 3. Оп. 46. Д. 7. Л. 25-31. Заверенная копия (15354).</w:t>
      </w:r>
    </w:p>
    <w:p w14:paraId="6958413B" w14:textId="77777777" w:rsidR="00386011" w:rsidRPr="00E14102" w:rsidRDefault="00386011" w:rsidP="00E14102">
      <w:pPr>
        <w:jc w:val="both"/>
        <w:rPr>
          <w:rStyle w:val="ucoz-forum-post"/>
          <w:rFonts w:eastAsiaTheme="majorEastAsia"/>
          <w:bCs/>
          <w:color w:val="000000" w:themeColor="text1"/>
          <w:sz w:val="16"/>
          <w:szCs w:val="16"/>
        </w:rPr>
      </w:pPr>
    </w:p>
    <w:p w14:paraId="79CB63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сентября 1935 была проведена круговая гонка 34 легких самолетов аэроклубной авиации (два отряда У-2, звено АИР-6, АИР-9, АИР-10, Авиавнито-1, КАИ-1, Г-15, Г-20, П-5, Сталь-3). Победил Ю.И.Пионтковский на АИР-10 (237,175).</w:t>
      </w:r>
    </w:p>
    <w:p w14:paraId="0AA2E1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летели по маршруту Москва - Горький - Казань - Пермь - Свердловск - Оренбург - Куйбышев - Саратов - Луганск - Сталино - Киев - Брянск - Москва. 4965 км. Начали 32 самолета, закончили 30. У-2 - больше всех + КАИ-1, ЛК-4, Э-23, АИР-6, АИР-9, ЯИР-10, Г-10, Г-15, Г-20, и АНИТО-1 и победили С.Даниловцев с П.Раковым на У-2, пролетевших весь путь за 46 час. (438,695).</w:t>
      </w:r>
    </w:p>
    <w:p w14:paraId="25A943A0" w14:textId="77777777" w:rsidR="00D4105E" w:rsidRPr="00E14102" w:rsidRDefault="00D4105E" w:rsidP="00E14102">
      <w:pPr>
        <w:autoSpaceDE w:val="0"/>
        <w:autoSpaceDN w:val="0"/>
        <w:adjustRightInd w:val="0"/>
        <w:jc w:val="both"/>
        <w:rPr>
          <w:color w:val="000000" w:themeColor="text1"/>
          <w:sz w:val="16"/>
          <w:szCs w:val="16"/>
        </w:rPr>
      </w:pPr>
    </w:p>
    <w:p w14:paraId="69941B0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сентября 1935 г. начались авиационные круговые гонки - перелет 34 легких самолетов авиации аэроклубов, победил Ю.И.Пионтковский на АИР-10 (6395).</w:t>
      </w:r>
    </w:p>
    <w:p w14:paraId="71DCD2F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0363C27" w14:textId="77777777" w:rsidR="00A545F9" w:rsidRPr="00E14102" w:rsidRDefault="00A545F9" w:rsidP="00E14102">
      <w:pPr>
        <w:shd w:val="clear" w:color="auto" w:fill="FFFFFF"/>
        <w:jc w:val="both"/>
        <w:rPr>
          <w:color w:val="0070C0"/>
          <w:sz w:val="16"/>
          <w:szCs w:val="16"/>
        </w:rPr>
      </w:pPr>
      <w:r w:rsidRPr="00E14102">
        <w:rPr>
          <w:color w:val="0070C0"/>
          <w:sz w:val="16"/>
          <w:szCs w:val="16"/>
        </w:rPr>
        <w:t>2 сентября 1935 года стартовал перелёт учебно-спортивных самолётов, организованный газетой «Правда» и Осоавиахим по маршруту Москва — Горький — Казань — Сарапул — Пермь — Свердловск — Оренбург — Куйбышев — Саратов — Сталинград — Луганск — Сталино — Днепропетровск — Киев — Бежица — Москва. В нём приняло участие 34 учебно-спортивных самолёта, к финишу из которых прибыли 32 (19907).</w:t>
      </w:r>
    </w:p>
    <w:p w14:paraId="1BAE8E6B" w14:textId="77777777" w:rsidR="00A545F9" w:rsidRPr="00E14102" w:rsidRDefault="00A545F9" w:rsidP="00E14102">
      <w:pPr>
        <w:shd w:val="clear" w:color="auto" w:fill="FFFFFF"/>
        <w:jc w:val="both"/>
        <w:rPr>
          <w:color w:val="0070C0"/>
          <w:sz w:val="16"/>
          <w:szCs w:val="16"/>
        </w:rPr>
      </w:pPr>
    </w:p>
    <w:p w14:paraId="129A6814"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2 сентября в 6 часов утра на Тушинском аэродроме начальником Центрального аэроклуба Дейчем взмахом флажка был дан старт большому советскому перелету легких самолетов. Кроме 32-х самолетов участников состязания, в воздух поднялись самолеты сопровождения: санитарный С-1, самолет Р-5 начальника перелета – руководителя авиации Осоавиахима Гельфера и «Сталь-3» (летчик Юхимчук, бортмеханик Начевкин) с корреспондентами центральных газет на борту. Через 48 минут после старта все самолеты были в воздухе.</w:t>
      </w:r>
    </w:p>
    <w:p w14:paraId="48978C80"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На первом этапе перелета, на участке Москва – Горький совершил, из-за отказа двигателя, вынужденную посадку самолет Г-15. К месту аварии на У-2 вылетел сам конструктор В.К. Грибовский, который немедленно установил на Г-15 мотор со связного У-2. Г-15 продолжил перелет. Однако вскоре история повторилась, и самолет пришлось снять с участия в состязаниях. Впоследствии в топливных баках Г-15 обнаружили песок, строились различные гипотезы о его появлении, подозревали, в том числе и злой умысел.</w:t>
      </w:r>
    </w:p>
    <w:p w14:paraId="78F5DE0B"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В 7 часов 48 минут лидер перелета – самолет КАИ-1 произвел посадку на аэродроме в Горьком. За ним приземлились остальные участники соревнования. Обслуживание самолетов на горьковском аэродроме было организовано отлично. Заправившись на 10-ти заправочных пунктах, самолеты скоро продолжили свой путь в Казань. Самолет АИР-9 на участке Горький – Казань совершил аварийную посадку, в ходе которой получил повреждения, которые стали причиной отстранения его от дальнейшего участия в перелете.</w:t>
      </w:r>
    </w:p>
    <w:p w14:paraId="0B543A25"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3 сентября утром был дан старт с казанского аэродрома на Сарапул – Пермь – Свердловск. По расстоянию это был самый длинный участок маршрута – 820 км. Из них – около 300 км между Пермью и Свердловском над лесами, болотами, горами, делающими чрезвычайно рискованной вынужденную посадку. Кроме того, в районе Пермь – Свердловск ухудшилась метеорологическая обстановка – сплошная облачность и боковой ветер. Самолет Г-20 задержался в Казани из-за ремонта баков.</w:t>
      </w:r>
    </w:p>
    <w:p w14:paraId="39475184"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Для машин с небольшим запасом горючего перелет Казань – Свердловск был организован с двумя промежуточными остановками – в Сарапуле и Перми. Другие машины останавливались только в Перми.</w:t>
      </w:r>
    </w:p>
    <w:p w14:paraId="000F1803"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Все самолеты, начиная с 16 часов 35 минут, с небольшими интервалами один за другим благополучно опустились на свердловский аэродром.</w:t>
      </w:r>
    </w:p>
    <w:p w14:paraId="5E18E382"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В Свердловске некоторым экипажам, вместо отдыха, пришлось заниматься устранением конструктивно-технологических недоделок. Вспоминая не совсем добрым словом директора авиационного завода №23 Орлова, пилоты и бортмеханики ремонтировали дефектные баки. У машин У-2 №№ 7297 и 5629, лопнули бензиновые баки, у самолета Э-23 – масляный.</w:t>
      </w:r>
    </w:p>
    <w:p w14:paraId="7BDCE9CF"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4 сентября перелет Свердловск — Оренбург выполнялся с промежуточной посадкой в Магнитогорске, а для аэроклубовских У-2 и Г-10 – еще и в Челябинске. Основной сложностью этого участка стало преодоление Уральских гор. Самолетам необходимо было набирать высоту до 2000 метров. Самолет «Авиавнито-1» вблизи Магнитогорска произвел вынужденную посадку, из-за растяжения тросов управления элеронами. Позже Гельфер, не описывая подробности, так прокомментировал это событие:</w:t>
      </w:r>
    </w:p>
    <w:p w14:paraId="6502B424"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«Молодой летчик т. Сукоркин… показал высокое понимание ответственности за судьбу своих товарищей и знание своих обязанностей. Я имею в виду его помощь экипажу самолета Авианито, сделавшего вынужденную посадку в тяжелых условиях Уральского хребта, кстати сказать, завершившуюся благополучно благодаря большому самообладанию и искусству пилота т. Карпова и инженера т. Герасимова» . [104]</w:t>
      </w:r>
    </w:p>
    <w:p w14:paraId="33C5B25A"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4 сентября все самолеты благополучно прибыли в Оренбург.</w:t>
      </w:r>
    </w:p>
    <w:p w14:paraId="42580867"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5 сентября оргкомитет предоставил экипажам день отдыха. Воспользовавшись этим, динамовец Сандрыкин на АИР-6, получив разрешение у Гельфера, отправился в Куйбышев, навестить отца, жившего в деревне в 12-ти километрах от города. Остальные участники перелета свободный день в Оренбурге проводили совсем не праздно. Все экипажи с утра занялись осмотром моторов, чисткой свечей, промывкой фильтров, регулировкой клапанов и прочими процедурами, предупреждающими внезапные поломки техники. Больше всех был занят летчик Федосеев, выполняющий кроме основных своих обязанностей, работы бортмеханика самолета Г-10 – единственной одноместной машины перелета. Вынужденная посадка «Авианито-1», произведенная 4 сентября, заставила его экипаж внимательно осмотреть и отрегулировать систему управления самолета.</w:t>
      </w:r>
    </w:p>
    <w:p w14:paraId="46472BDD"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6 сентября из Оренбурга на Куйбышев – Саратов самолеты стартовали в 5 часов утра. Этот этап перелета не принес никаких неожиданностей.</w:t>
      </w:r>
    </w:p>
    <w:p w14:paraId="336A8BF6"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7 сентября. Самым тяжелым на всем пути перелета оказался участок Сталинград – Луганск – Сталино. Встречный шквалистый ветер, низкая облачность и дождь затрудняли пилотирование. Пилот АИР-6 Сандрыкин так описал свои ощущения в этом перелете:</w:t>
      </w:r>
    </w:p>
    <w:p w14:paraId="19882B92"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«Ну и погодка выдалась на пути от Сталинграда до Сталино! Дождь, встречный ветер, болтанка. Иду бреющим полетом. В районе Луганска грозовой фронт. Самолет жмет к земле. Видимость – ни к черту. 40 – 50 минут веду самолет только по приборам. Да, думаю, Сандрыкин, держись! Если раньше испытывали машины, то на этом участке держат экзамен люди!»  [105]</w:t>
      </w:r>
    </w:p>
    <w:p w14:paraId="17FC334B"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Ветром прижало к земле и вынудило сесть АИР-6 пилота Сахарова. Между Луганском и Сталино совершил вынужденную посадку даже КАИ-1. Непогода вынудила половину экипажей (большинство У-2) завершить летный день не в запланированном Сталино, а в Луганске.</w:t>
      </w:r>
    </w:p>
    <w:p w14:paraId="41488103"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lastRenderedPageBreak/>
        <w:t>8 сентября. Старт на Киев был дан одновременно на двух аэродромах – в Сталино и Луганске. Уходящий на восток циклон на пути до Днепропетровска вновь подверг экипажи жестокому испытанию. На этапе Днепропетровск — Киев совершили вынужденные посадки самолет Г-10 (из-за засорения фильтра) и АИР-6 Сахарова. Этот летный день, почти все самолеты завершили в Киеве, за исключением четырех У-2, задержавшихся в Днепропетровске.</w:t>
      </w:r>
    </w:p>
    <w:p w14:paraId="158A35D8"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Заключительный этап перелета Киев – Москва с промежуточной посадкой в Бежице был пройден всеми экипажами благополучно. 9 сентября в 15 часа 30 минут самолеты начали прибывать на Тушинский аэродром. Первым произвел посадку «Сталь-3» с журналистами, затем – У-2 «Савецкая Беларусь» гомельского аэроклуба, еще один У-2, КАИ-1, АИР-10 и все остальные.</w:t>
      </w:r>
    </w:p>
    <w:p w14:paraId="72406C91"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Подводя предварительные итоги перелета «Правда» писала:</w:t>
      </w:r>
    </w:p>
    <w:p w14:paraId="2C91F35C"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«Перелет прошел великолепно … он был прежде всего проверкой людей. Летчики и авиационные техники … выдержали экзамен блестяще. Безупречно пройти огромный путь в чрезвычайно неблагоприятных условиях, на маломощных и довольно-таки утлых самолетах учебного назначения … - это сделало бы честь и старым, опытным летчикам. Однако летела молодежь … и долетела прекрасно.</w:t>
      </w:r>
    </w:p>
    <w:p w14:paraId="7631CD7C"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Перелет был также проверкой легкомоторных самолетов новых конструкций … большинство этих самолетов показало себя в большом и трудном перелете с самой лучшей стороны».</w:t>
      </w:r>
    </w:p>
    <w:p w14:paraId="6FA50FAC" w14:textId="77777777" w:rsidR="00A545F9" w:rsidRPr="00E14102" w:rsidRDefault="00A545F9" w:rsidP="00E14102">
      <w:pPr>
        <w:shd w:val="clear" w:color="auto" w:fill="FFFFFF"/>
        <w:jc w:val="both"/>
        <w:textAlignment w:val="baseline"/>
        <w:rPr>
          <w:color w:val="0070C0"/>
          <w:sz w:val="16"/>
          <w:szCs w:val="16"/>
        </w:rPr>
      </w:pPr>
      <w:r w:rsidRPr="00E14102">
        <w:rPr>
          <w:color w:val="0070C0"/>
          <w:sz w:val="16"/>
          <w:szCs w:val="16"/>
        </w:rPr>
        <w:t>Первую премию в номинации двухместных спортивных самолетов получил Ю.И. Пионтковский. А.С. Яковлев был награжден золотыми часами за лучшую конструкцию спортивного самолета АИР-10. Второе место занял Г-20 В.К. Грибовского (21249).</w:t>
      </w:r>
    </w:p>
    <w:p w14:paraId="2A571C9E" w14:textId="77777777" w:rsidR="00A545F9" w:rsidRPr="00E14102" w:rsidRDefault="00A545F9" w:rsidP="00E14102">
      <w:pPr>
        <w:jc w:val="both"/>
        <w:rPr>
          <w:color w:val="0070C0"/>
          <w:sz w:val="16"/>
          <w:szCs w:val="16"/>
        </w:rPr>
      </w:pPr>
    </w:p>
    <w:p w14:paraId="3F958919" w14:textId="77777777" w:rsidR="004E6CC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6B94F3C" w14:textId="77777777" w:rsidR="004E6CC2" w:rsidRPr="00E14102" w:rsidRDefault="004E6CC2" w:rsidP="00E14102">
      <w:pPr>
        <w:autoSpaceDE w:val="0"/>
        <w:autoSpaceDN w:val="0"/>
        <w:adjustRightInd w:val="0"/>
        <w:jc w:val="both"/>
        <w:rPr>
          <w:iCs/>
          <w:color w:val="000000" w:themeColor="text1"/>
          <w:sz w:val="16"/>
          <w:szCs w:val="16"/>
        </w:rPr>
      </w:pPr>
    </w:p>
    <w:p w14:paraId="6E2191C0" w14:textId="77777777" w:rsidR="004E6CC2" w:rsidRPr="00E14102" w:rsidRDefault="004E6CC2" w:rsidP="00E14102">
      <w:pPr>
        <w:pStyle w:val="rtejustify"/>
        <w:spacing w:before="0" w:after="0"/>
        <w:rPr>
          <w:color w:val="000000" w:themeColor="text1"/>
          <w:sz w:val="16"/>
          <w:szCs w:val="16"/>
        </w:rPr>
      </w:pPr>
      <w:r w:rsidRPr="00E14102">
        <w:rPr>
          <w:rStyle w:val="a6"/>
          <w:bCs/>
          <w:i w:val="0"/>
          <w:color w:val="000000" w:themeColor="text1"/>
          <w:sz w:val="16"/>
          <w:szCs w:val="16"/>
        </w:rPr>
        <w:t>2 сентября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111сс «Об обеспечении ободом и спицей дополнительного заказа НКО, установленного постановлением СТО за № 29/сс». (ГА РФ. Ф. Р</w:t>
      </w:r>
      <w:r w:rsidRPr="00E14102">
        <w:rPr>
          <w:color w:val="000000" w:themeColor="text1"/>
          <w:sz w:val="16"/>
          <w:szCs w:val="16"/>
        </w:rPr>
        <w:noBreakHyphen/>
        <w:t>8418. Оп. 28. Д. 7. Л. 91) (15460).</w:t>
      </w:r>
    </w:p>
    <w:p w14:paraId="18E1749A" w14:textId="77777777" w:rsidR="004E6CC2" w:rsidRPr="00E14102" w:rsidRDefault="004E6CC2" w:rsidP="00E14102">
      <w:pPr>
        <w:pStyle w:val="rtejustify"/>
        <w:spacing w:before="0" w:after="0"/>
        <w:rPr>
          <w:color w:val="000000" w:themeColor="text1"/>
          <w:sz w:val="16"/>
          <w:szCs w:val="16"/>
        </w:rPr>
      </w:pPr>
    </w:p>
    <w:p w14:paraId="1C43098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2D1EBEB" w14:textId="77777777" w:rsidR="00D4105E" w:rsidRPr="00E14102" w:rsidRDefault="00D4105E" w:rsidP="00E14102">
      <w:pPr>
        <w:autoSpaceDE w:val="0"/>
        <w:autoSpaceDN w:val="0"/>
        <w:adjustRightInd w:val="0"/>
        <w:jc w:val="both"/>
        <w:rPr>
          <w:iCs/>
          <w:color w:val="000000" w:themeColor="text1"/>
          <w:sz w:val="16"/>
          <w:szCs w:val="16"/>
        </w:rPr>
      </w:pPr>
    </w:p>
    <w:p w14:paraId="5A5468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сентября 1935 Перервинский и Хлебниковский участки трассы посетили секретарь ЦК ВКП(б) и председатель КПК Н. И. Ежов и зам. наркома внутренних дел Г. Е. Прокофьев (7560).</w:t>
      </w:r>
    </w:p>
    <w:p w14:paraId="73422638" w14:textId="77777777" w:rsidR="00D4105E" w:rsidRPr="00E14102" w:rsidRDefault="00D4105E" w:rsidP="00E14102">
      <w:pPr>
        <w:autoSpaceDE w:val="0"/>
        <w:autoSpaceDN w:val="0"/>
        <w:adjustRightInd w:val="0"/>
        <w:jc w:val="both"/>
        <w:rPr>
          <w:color w:val="000000" w:themeColor="text1"/>
          <w:sz w:val="16"/>
          <w:szCs w:val="16"/>
        </w:rPr>
      </w:pPr>
    </w:p>
    <w:p w14:paraId="4BC1283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4C304874" w14:textId="77777777" w:rsidR="00D4105E" w:rsidRPr="00E14102" w:rsidRDefault="00D4105E" w:rsidP="00E14102">
      <w:pPr>
        <w:autoSpaceDE w:val="0"/>
        <w:autoSpaceDN w:val="0"/>
        <w:adjustRightInd w:val="0"/>
        <w:jc w:val="both"/>
        <w:rPr>
          <w:iCs/>
          <w:color w:val="000000" w:themeColor="text1"/>
          <w:sz w:val="16"/>
          <w:szCs w:val="16"/>
        </w:rPr>
      </w:pPr>
    </w:p>
    <w:p w14:paraId="735863C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 сентября 1935 Япония выразила протест правительству СССР в связи с провокационными воззваниями Коминтерна (4962).</w:t>
      </w:r>
    </w:p>
    <w:p w14:paraId="20F7C63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C7D1E5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70236C4" w14:textId="77777777" w:rsidR="00D4105E" w:rsidRPr="00E14102" w:rsidRDefault="00D4105E" w:rsidP="00E14102">
      <w:pPr>
        <w:autoSpaceDE w:val="0"/>
        <w:autoSpaceDN w:val="0"/>
        <w:adjustRightInd w:val="0"/>
        <w:jc w:val="both"/>
        <w:rPr>
          <w:iCs/>
          <w:color w:val="000000" w:themeColor="text1"/>
          <w:sz w:val="16"/>
          <w:szCs w:val="16"/>
        </w:rPr>
      </w:pPr>
    </w:p>
    <w:p w14:paraId="3AFBCF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сентября 1935 Гершвин закончил работу над оперой Пурги и Бесс (3481).</w:t>
      </w:r>
    </w:p>
    <w:p w14:paraId="69505FDB" w14:textId="77777777" w:rsidR="00D4105E" w:rsidRPr="00E14102" w:rsidRDefault="00D4105E" w:rsidP="00E14102">
      <w:pPr>
        <w:autoSpaceDE w:val="0"/>
        <w:autoSpaceDN w:val="0"/>
        <w:adjustRightInd w:val="0"/>
        <w:jc w:val="both"/>
        <w:rPr>
          <w:color w:val="000000" w:themeColor="text1"/>
          <w:sz w:val="16"/>
          <w:szCs w:val="16"/>
        </w:rPr>
      </w:pPr>
    </w:p>
    <w:p w14:paraId="4B7A52A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EC21222" w14:textId="77777777" w:rsidR="00D4105E" w:rsidRPr="00E14102" w:rsidRDefault="00D4105E" w:rsidP="00E14102">
      <w:pPr>
        <w:autoSpaceDE w:val="0"/>
        <w:autoSpaceDN w:val="0"/>
        <w:adjustRightInd w:val="0"/>
        <w:jc w:val="both"/>
        <w:rPr>
          <w:iCs/>
          <w:color w:val="000000" w:themeColor="text1"/>
          <w:sz w:val="16"/>
          <w:szCs w:val="16"/>
        </w:rPr>
      </w:pPr>
    </w:p>
    <w:p w14:paraId="663E7C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3 сентября по 11 ноября 1935 на заводе 22 были проведены испытаниям металлических винтов регулируемого в полете шага конструкции ЦИАМ на ТБ-3 4М-34РН N 22633. Цель испытаний:</w:t>
      </w:r>
    </w:p>
    <w:p w14:paraId="062975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Проверить качество работы АРШ конструкции ЦИАМ при работе на земле и в воздухе</w:t>
      </w:r>
    </w:p>
    <w:p w14:paraId="7F9668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Путем снятия летных характеристик на ТБ-3 2М-34РН ВРШ выявить эффективность винтов сравнительно с деревянными (2933).</w:t>
      </w:r>
    </w:p>
    <w:p w14:paraId="48365027" w14:textId="77777777" w:rsidR="00D4105E" w:rsidRPr="00E14102" w:rsidRDefault="00D4105E" w:rsidP="00E14102">
      <w:pPr>
        <w:autoSpaceDE w:val="0"/>
        <w:autoSpaceDN w:val="0"/>
        <w:adjustRightInd w:val="0"/>
        <w:jc w:val="both"/>
        <w:rPr>
          <w:color w:val="000000" w:themeColor="text1"/>
          <w:sz w:val="16"/>
          <w:szCs w:val="16"/>
        </w:rPr>
      </w:pPr>
    </w:p>
    <w:p w14:paraId="66ADBB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сентября 1935 г. для проектирования и монтажа объектов связи, радионавигации и светооборудования аэропортов и воздушных трасс была создана АЭРМБ-408 ГВФ, «Авиасвязьснабстрой», Опытный завод (ОЗ) № 408 ГА, ГУП «ОЗ № 408 ФАС» /125167  г. Москва пр. Аэропорта, 8 тел. 157-21-00/. С 1944 г.- Авиационная электрорадиомонтажная база № 408 (АЭРМБ-408) ГВФ. В 1956(9) г. преобразована в Опытный завод № 408 ГВФ. Разработка и внедрение радио-, электро- и светотехнического оборудования, восстановление и оснащение аэродромов; создание и выпуск спецаппаратуры, средств автоматики и лабораторных установок; разработка и изготовление РЭО для УВД.</w:t>
      </w:r>
    </w:p>
    <w:p w14:paraId="31F024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Разработка и производство (2002 г.): спецоборудование для центров УВД; (2006 г.) кроме того: средства связи, навигации и УВД для аэропортов; светосигнальное оборудование и технические средства обслуживания </w:t>
      </w:r>
      <w:r w:rsidRPr="00E14102">
        <w:rPr>
          <w:color w:val="000000" w:themeColor="text1"/>
          <w:sz w:val="16"/>
          <w:szCs w:val="16"/>
          <w:lang w:val="en-US"/>
        </w:rPr>
        <w:t>AT</w:t>
      </w:r>
      <w:r w:rsidRPr="00E14102">
        <w:rPr>
          <w:color w:val="000000" w:themeColor="text1"/>
          <w:sz w:val="16"/>
          <w:szCs w:val="16"/>
        </w:rPr>
        <w:t>. В составе предприятия (2008 г.) имелось 15 корпусов (14 по адресу: пр. Аэропорта, 8 стр. 2-14 и один - ул. Коптевская, 89).</w:t>
      </w:r>
    </w:p>
    <w:p w14:paraId="64AD4C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2008 г. предприятие являлось банкротом.</w:t>
      </w:r>
    </w:p>
    <w:p w14:paraId="675CC2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Численность персонала (2002 г.)-145 чел.</w:t>
      </w:r>
    </w:p>
    <w:p w14:paraId="6CB11A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(-2000-02 Г.-)- В.К. Трикоз.</w:t>
      </w:r>
    </w:p>
    <w:p w14:paraId="614DFD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(2002 г.)- С.Н. Козин.</w:t>
      </w:r>
    </w:p>
    <w:p w14:paraId="08018C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1-й зам. директора (2006 г.)- М.В. Тюрин. Зам. директора: по финансам и экономике (2002 г.)- В.П. Крылова; по экономике (2006 г.)- Т.П. Синявская; по новой технике (2002 г.)- В.К. Олейник; по общим вопросам (2002 г.)- В.М. Лякишев.</w:t>
      </w:r>
    </w:p>
    <w:p w14:paraId="3E735063"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Производство</w:t>
      </w:r>
      <w:r w:rsidRPr="00E14102">
        <w:rPr>
          <w:color w:val="000000" w:themeColor="text1"/>
          <w:sz w:val="16"/>
          <w:szCs w:val="16"/>
        </w:rPr>
        <w:t xml:space="preserve"> (2002 г.): комплексы автоматизированных рабочих мест диспетчеров КАРМ-ДРУ, аппаратура первичной обработки РЛ информации БАРС-С, система документирования информации МАГ, комплекс аппаратуры речевой связи КОРСАД, система посадки ВС ОСП-11 (11982).</w:t>
      </w:r>
    </w:p>
    <w:p w14:paraId="68DFB610" w14:textId="77777777" w:rsidR="00D4105E" w:rsidRPr="00E14102" w:rsidRDefault="00D4105E" w:rsidP="00E14102">
      <w:pPr>
        <w:autoSpaceDE w:val="0"/>
        <w:autoSpaceDN w:val="0"/>
        <w:adjustRightInd w:val="0"/>
        <w:jc w:val="both"/>
        <w:rPr>
          <w:color w:val="000000" w:themeColor="text1"/>
          <w:sz w:val="16"/>
          <w:szCs w:val="16"/>
        </w:rPr>
      </w:pPr>
    </w:p>
    <w:p w14:paraId="69586451" w14:textId="77777777" w:rsidR="00647F1E" w:rsidRPr="00E14102" w:rsidRDefault="00647F1E" w:rsidP="00E14102">
      <w:pPr>
        <w:jc w:val="both"/>
        <w:rPr>
          <w:color w:val="000000" w:themeColor="text1"/>
          <w:sz w:val="16"/>
          <w:szCs w:val="16"/>
        </w:rPr>
      </w:pPr>
      <w:r w:rsidRPr="00E14102">
        <w:rPr>
          <w:color w:val="000000" w:themeColor="text1"/>
          <w:sz w:val="16"/>
          <w:szCs w:val="16"/>
        </w:rPr>
        <w:t>3-го сентября 1935 г. приказом по Главному управлению ГВФ была организована Всесоюзная контора "Аэросвязьснабстрой" при Управлении связи и сигнализации ГУ ГВФ.</w:t>
      </w:r>
    </w:p>
    <w:p w14:paraId="7F0D75D4" w14:textId="77777777" w:rsidR="00647F1E" w:rsidRPr="00E14102" w:rsidRDefault="00647F1E" w:rsidP="00E14102">
      <w:pPr>
        <w:jc w:val="both"/>
        <w:rPr>
          <w:color w:val="000000" w:themeColor="text1"/>
          <w:sz w:val="16"/>
          <w:szCs w:val="16"/>
        </w:rPr>
      </w:pPr>
      <w:r w:rsidRPr="00E14102">
        <w:rPr>
          <w:color w:val="000000" w:themeColor="text1"/>
          <w:sz w:val="16"/>
          <w:szCs w:val="16"/>
        </w:rPr>
        <w:t>За три с половиной года своей деятельности контора "Аэросвязьснабстрой" отремонтировала в мастерских 23 радиопередатчика МРК-0,8 и 7 радиомаяков М1, изготовила 120 ампер-вольт-омметров (тестеров Т-1), оборудовала средствами связи 44 аэропорта ГВФ. Кроме того, была оборудована для ночных полетов трасса Москва - Иркутск, состоящая из 242 светомаячных объектов.</w:t>
      </w:r>
    </w:p>
    <w:p w14:paraId="426E3044" w14:textId="77777777" w:rsidR="00647F1E" w:rsidRPr="00E14102" w:rsidRDefault="00647F1E" w:rsidP="00E14102">
      <w:pPr>
        <w:jc w:val="both"/>
        <w:rPr>
          <w:color w:val="000000" w:themeColor="text1"/>
          <w:sz w:val="16"/>
          <w:szCs w:val="16"/>
        </w:rPr>
      </w:pPr>
      <w:r w:rsidRPr="00E14102">
        <w:rPr>
          <w:color w:val="000000" w:themeColor="text1"/>
          <w:sz w:val="16"/>
          <w:szCs w:val="16"/>
        </w:rPr>
        <w:t>Производственная деятельность конторы, по мере развития, плохо сочеталась с функциями материального снабжения.</w:t>
      </w:r>
    </w:p>
    <w:p w14:paraId="183E6A10" w14:textId="77777777" w:rsidR="00647F1E" w:rsidRPr="00E14102" w:rsidRDefault="00647F1E" w:rsidP="00E14102">
      <w:pPr>
        <w:jc w:val="both"/>
        <w:rPr>
          <w:color w:val="000000" w:themeColor="text1"/>
          <w:sz w:val="16"/>
          <w:szCs w:val="16"/>
        </w:rPr>
      </w:pPr>
      <w:r w:rsidRPr="00E14102">
        <w:rPr>
          <w:color w:val="000000" w:themeColor="text1"/>
          <w:sz w:val="16"/>
          <w:szCs w:val="16"/>
        </w:rPr>
        <w:t>Поэтому по решению ГУ ГВФ контора "Аэросвязьснабстрой" с 1 января 1940г. была преобразована во Всесоюзную контору "Электрорадиомонтаж" и подчинена Строительному Управлению Аэрофлота.</w:t>
      </w:r>
    </w:p>
    <w:p w14:paraId="2D77949F" w14:textId="77777777" w:rsidR="00647F1E" w:rsidRPr="00E14102" w:rsidRDefault="00647F1E" w:rsidP="00E14102">
      <w:pPr>
        <w:jc w:val="both"/>
        <w:rPr>
          <w:color w:val="000000" w:themeColor="text1"/>
          <w:sz w:val="16"/>
          <w:szCs w:val="16"/>
        </w:rPr>
      </w:pPr>
      <w:r w:rsidRPr="00E14102">
        <w:rPr>
          <w:color w:val="000000" w:themeColor="text1"/>
          <w:sz w:val="16"/>
          <w:szCs w:val="16"/>
        </w:rPr>
        <w:t>В довоенное время были освоены: модернизация радиостанций МРК-0,8; радиомаяков М-1; монтаж агрегатов для светомаячных установок РСМ-2; изготовление универсальной аппаратуры для проверки параметров радиотехнической аппаратуры и др.</w:t>
      </w:r>
    </w:p>
    <w:p w14:paraId="5F8D6310" w14:textId="77777777" w:rsidR="00647F1E" w:rsidRPr="00E14102" w:rsidRDefault="00647F1E" w:rsidP="00E14102">
      <w:pPr>
        <w:jc w:val="both"/>
        <w:rPr>
          <w:color w:val="000000" w:themeColor="text1"/>
          <w:sz w:val="16"/>
          <w:szCs w:val="16"/>
        </w:rPr>
      </w:pPr>
      <w:r w:rsidRPr="00E14102">
        <w:rPr>
          <w:color w:val="000000" w:themeColor="text1"/>
          <w:sz w:val="16"/>
          <w:szCs w:val="16"/>
        </w:rPr>
        <w:t>22 июня 1941 года началась Великая Отечественная война Советского народа с фашистской Германией.</w:t>
      </w:r>
    </w:p>
    <w:p w14:paraId="4E1E4BB5" w14:textId="77777777" w:rsidR="00647F1E" w:rsidRPr="00E14102" w:rsidRDefault="00647F1E" w:rsidP="00E14102">
      <w:pPr>
        <w:jc w:val="both"/>
        <w:rPr>
          <w:color w:val="000000" w:themeColor="text1"/>
          <w:sz w:val="16"/>
          <w:szCs w:val="16"/>
        </w:rPr>
      </w:pPr>
      <w:r w:rsidRPr="00E14102">
        <w:rPr>
          <w:color w:val="000000" w:themeColor="text1"/>
          <w:sz w:val="16"/>
          <w:szCs w:val="16"/>
        </w:rPr>
        <w:t>Правительство принимало все меры для ускоренной доставки из США самолетов, предоставленных правительством этой страны по ленд-лизу. В связи с тем, что транспортировка авиационной техники морским путем занимала более двух месяцев, а союзнические караваны судов часто подвергались нападениям фашистских подводных лодок, необходимо было найти быстрый и надежный способ доставки самолетов на фронт.</w:t>
      </w:r>
    </w:p>
    <w:p w14:paraId="7B4B31FF" w14:textId="77777777" w:rsidR="00647F1E" w:rsidRPr="00E14102" w:rsidRDefault="00647F1E" w:rsidP="00E14102">
      <w:pPr>
        <w:jc w:val="both"/>
        <w:rPr>
          <w:color w:val="000000" w:themeColor="text1"/>
          <w:sz w:val="16"/>
          <w:szCs w:val="16"/>
        </w:rPr>
      </w:pPr>
      <w:r w:rsidRPr="00E14102">
        <w:rPr>
          <w:color w:val="000000" w:themeColor="text1"/>
          <w:sz w:val="16"/>
          <w:szCs w:val="16"/>
        </w:rPr>
        <w:t>Поэтому в июле 1941 года Государственный Комитет Обороны принял решение о строительстве воздушной трассы Уэлькаль-Красноярск. Ее подготовка и обслуживание были возложены на Главное управление ГВФ.</w:t>
      </w:r>
    </w:p>
    <w:p w14:paraId="0EC9FC46" w14:textId="77777777" w:rsidR="00647F1E" w:rsidRPr="00E14102" w:rsidRDefault="00647F1E" w:rsidP="00E14102">
      <w:pPr>
        <w:jc w:val="both"/>
        <w:rPr>
          <w:color w:val="000000" w:themeColor="text1"/>
          <w:sz w:val="16"/>
          <w:szCs w:val="16"/>
        </w:rPr>
      </w:pPr>
      <w:r w:rsidRPr="00E14102">
        <w:rPr>
          <w:color w:val="000000" w:themeColor="text1"/>
          <w:sz w:val="16"/>
          <w:szCs w:val="16"/>
        </w:rPr>
        <w:t>Контора "Электрорадиомонтаж" перебазировалась в город Красноярск, а семьи многих работников были эвакуированы в город Бугуруслан. База снабжения размещалась в Иркутске.</w:t>
      </w:r>
    </w:p>
    <w:p w14:paraId="75DFCDFC" w14:textId="77777777" w:rsidR="00647F1E" w:rsidRPr="00E14102" w:rsidRDefault="00647F1E" w:rsidP="00E14102">
      <w:pPr>
        <w:jc w:val="both"/>
        <w:rPr>
          <w:color w:val="000000" w:themeColor="text1"/>
          <w:sz w:val="16"/>
          <w:szCs w:val="16"/>
        </w:rPr>
      </w:pPr>
      <w:r w:rsidRPr="00E14102">
        <w:rPr>
          <w:color w:val="000000" w:themeColor="text1"/>
          <w:sz w:val="16"/>
          <w:szCs w:val="16"/>
        </w:rPr>
        <w:t>Предусматривалось по трассе построить и оснастить 17 объектов радиосвязи и радионавигации в аэропортах: Алдан, Уэлькаль, Усть-Белая, Снежная, Анадырь, Маркове, Верхне-Колымск, Зырянка, Сеймчан, Берелок, Оймякон, Хандыга, Якутск, Олекминск, Витим, Киренск, Красноярск.</w:t>
      </w:r>
    </w:p>
    <w:p w14:paraId="25EE4478" w14:textId="77777777" w:rsidR="00647F1E" w:rsidRPr="00E14102" w:rsidRDefault="00647F1E" w:rsidP="00E14102">
      <w:pPr>
        <w:jc w:val="both"/>
        <w:rPr>
          <w:color w:val="000000" w:themeColor="text1"/>
          <w:sz w:val="16"/>
          <w:szCs w:val="16"/>
        </w:rPr>
      </w:pPr>
      <w:r w:rsidRPr="00E14102">
        <w:rPr>
          <w:color w:val="000000" w:themeColor="text1"/>
          <w:sz w:val="16"/>
          <w:szCs w:val="16"/>
        </w:rPr>
        <w:t>Головной группе было поручено изыскать место для установки пеленгатора типа ГБ-1 и связной радиостанции типа РСБ-Збис в районе поселка Анадырь Чукотского национального округа, наиболее близкой точкой от США.</w:t>
      </w:r>
    </w:p>
    <w:p w14:paraId="40C57640" w14:textId="77777777" w:rsidR="00647F1E" w:rsidRPr="00E14102" w:rsidRDefault="00647F1E" w:rsidP="00E14102">
      <w:pPr>
        <w:jc w:val="both"/>
        <w:rPr>
          <w:color w:val="000000" w:themeColor="text1"/>
          <w:sz w:val="16"/>
          <w:szCs w:val="16"/>
        </w:rPr>
      </w:pPr>
      <w:r w:rsidRPr="00E14102">
        <w:rPr>
          <w:color w:val="000000" w:themeColor="text1"/>
          <w:sz w:val="16"/>
          <w:szCs w:val="16"/>
        </w:rPr>
        <w:t>В начале 1942 года в поселке Уэлькаль началось строительство взлетно-посадочной полосы для приема транспортных и боевых самолетов из США.</w:t>
      </w:r>
    </w:p>
    <w:p w14:paraId="72565A1A" w14:textId="77777777" w:rsidR="00647F1E" w:rsidRPr="00E14102" w:rsidRDefault="00647F1E" w:rsidP="00E14102">
      <w:pPr>
        <w:jc w:val="both"/>
        <w:rPr>
          <w:color w:val="000000" w:themeColor="text1"/>
          <w:sz w:val="16"/>
          <w:szCs w:val="16"/>
        </w:rPr>
      </w:pPr>
      <w:r w:rsidRPr="00E14102">
        <w:rPr>
          <w:color w:val="000000" w:themeColor="text1"/>
          <w:sz w:val="16"/>
          <w:szCs w:val="16"/>
        </w:rPr>
        <w:t>Строительство авиатрассы протяженностью около 5 тыс.км и проходившей большей частью над труднодоступными и малоосвоенными районами было осуществлено в небывало короткий срок - менее чем за год. К июню 1942 года завершилось строительство основных аэродромов, а в ноябре началась регулярная перегонка боевых самолетов и полеты транспортных С-47 из США в СССР.</w:t>
      </w:r>
    </w:p>
    <w:p w14:paraId="75CB8403" w14:textId="77777777" w:rsidR="00647F1E" w:rsidRPr="00E14102" w:rsidRDefault="00647F1E" w:rsidP="00E14102">
      <w:pPr>
        <w:jc w:val="both"/>
        <w:rPr>
          <w:color w:val="000000" w:themeColor="text1"/>
          <w:sz w:val="16"/>
          <w:szCs w:val="16"/>
        </w:rPr>
      </w:pPr>
      <w:r w:rsidRPr="00E14102">
        <w:rPr>
          <w:color w:val="000000" w:themeColor="text1"/>
          <w:sz w:val="16"/>
          <w:szCs w:val="16"/>
        </w:rPr>
        <w:t>Американские летчики перегоняли самолеты с заводов до авиабазы Фербенкс, где их принимала советская военная миссия. Здесь за штурвалы садились пилоты 1-ой перегоночной авиадивизии ГВФ.</w:t>
      </w:r>
    </w:p>
    <w:p w14:paraId="1B946EF0" w14:textId="77777777" w:rsidR="00647F1E" w:rsidRPr="00E14102" w:rsidRDefault="00647F1E" w:rsidP="00E14102">
      <w:pPr>
        <w:jc w:val="both"/>
        <w:rPr>
          <w:color w:val="000000" w:themeColor="text1"/>
          <w:sz w:val="16"/>
          <w:szCs w:val="16"/>
        </w:rPr>
      </w:pPr>
      <w:r w:rsidRPr="00E14102">
        <w:rPr>
          <w:color w:val="000000" w:themeColor="text1"/>
          <w:sz w:val="16"/>
          <w:szCs w:val="16"/>
        </w:rPr>
        <w:lastRenderedPageBreak/>
        <w:t>Всего за время функционирования трассы Фербенкс - Красноярск по ней доставлено 7928 самолетов.</w:t>
      </w:r>
    </w:p>
    <w:p w14:paraId="2870ACCE" w14:textId="77777777" w:rsidR="00647F1E" w:rsidRPr="00E14102" w:rsidRDefault="00647F1E" w:rsidP="00E14102">
      <w:pPr>
        <w:jc w:val="both"/>
        <w:rPr>
          <w:color w:val="000000" w:themeColor="text1"/>
          <w:sz w:val="16"/>
          <w:szCs w:val="16"/>
        </w:rPr>
      </w:pPr>
      <w:r w:rsidRPr="00E14102">
        <w:rPr>
          <w:color w:val="000000" w:themeColor="text1"/>
          <w:sz w:val="16"/>
          <w:szCs w:val="16"/>
        </w:rPr>
        <w:t>По окончании монтажных работ в Уэлькале, Монтажный участок, который подчинялся начальнику Отдела связи Управления воздушной трассы Красноярск-Уэлькаль (УВТКУ), выполнял капитальные работы по монтажу средств связи и радионавигации в аэропортах Берелех, Оймякон, Сеймичан, Якутск и Киренск.</w:t>
      </w:r>
    </w:p>
    <w:p w14:paraId="05A2167C" w14:textId="77777777" w:rsidR="00647F1E" w:rsidRPr="00E14102" w:rsidRDefault="00647F1E" w:rsidP="00E14102">
      <w:pPr>
        <w:jc w:val="both"/>
        <w:rPr>
          <w:color w:val="000000" w:themeColor="text1"/>
          <w:sz w:val="16"/>
          <w:szCs w:val="16"/>
        </w:rPr>
      </w:pPr>
      <w:r w:rsidRPr="00E14102">
        <w:rPr>
          <w:color w:val="000000" w:themeColor="text1"/>
          <w:sz w:val="16"/>
          <w:szCs w:val="16"/>
        </w:rPr>
        <w:t>В 1944 г. наряду с оснащением трассы Уэлькаль - Красноярск конторой проводился монтаж радиопеленгаторов в аэропортах: Тбилиси, Батуми, Сухуми, Баку.</w:t>
      </w:r>
    </w:p>
    <w:p w14:paraId="364536A4" w14:textId="77777777" w:rsidR="00647F1E" w:rsidRPr="00E14102" w:rsidRDefault="00647F1E" w:rsidP="00E14102">
      <w:pPr>
        <w:jc w:val="both"/>
        <w:rPr>
          <w:color w:val="000000" w:themeColor="text1"/>
          <w:sz w:val="16"/>
          <w:szCs w:val="16"/>
        </w:rPr>
      </w:pPr>
      <w:r w:rsidRPr="00E14102">
        <w:rPr>
          <w:color w:val="000000" w:themeColor="text1"/>
          <w:sz w:val="16"/>
          <w:szCs w:val="16"/>
        </w:rPr>
        <w:t>Войной было разрушено 58 аэропортов, в том числе: Ленинградский, Киевский, Минский, Харьковский, Одесский, Ростовский-на-Дону, Воронежский.</w:t>
      </w:r>
    </w:p>
    <w:p w14:paraId="184DEFC5" w14:textId="77777777" w:rsidR="00647F1E" w:rsidRPr="00E14102" w:rsidRDefault="00647F1E" w:rsidP="00E14102">
      <w:pPr>
        <w:jc w:val="both"/>
        <w:rPr>
          <w:color w:val="000000" w:themeColor="text1"/>
          <w:sz w:val="16"/>
          <w:szCs w:val="16"/>
        </w:rPr>
      </w:pPr>
      <w:r w:rsidRPr="00E14102">
        <w:rPr>
          <w:color w:val="000000" w:themeColor="text1"/>
          <w:sz w:val="16"/>
          <w:szCs w:val="16"/>
        </w:rPr>
        <w:t>Полностью были разрушены объекты связи и радионавигации. Обстановка требовала принятия необходимых мер для восстановления разрушенных объектов в этот напряженный период.</w:t>
      </w:r>
    </w:p>
    <w:p w14:paraId="00F42945" w14:textId="77777777" w:rsidR="00647F1E" w:rsidRPr="00E14102" w:rsidRDefault="00647F1E" w:rsidP="00E14102">
      <w:pPr>
        <w:jc w:val="both"/>
        <w:rPr>
          <w:color w:val="000000" w:themeColor="text1"/>
          <w:sz w:val="16"/>
          <w:szCs w:val="16"/>
        </w:rPr>
      </w:pPr>
      <w:r w:rsidRPr="00E14102">
        <w:rPr>
          <w:color w:val="000000" w:themeColor="text1"/>
          <w:sz w:val="16"/>
          <w:szCs w:val="16"/>
        </w:rPr>
        <w:t>Контору "Электрорадиомонтаж" приказом начальника ГУ ГВФ в феврале 1944 года подчинили Ремонтно-техническому управлению ГУ ГВФ, переименовав ее в "Авиационную электро-радио-ремонтно-монтажную базу ГВФ № 408" (АЭРМБ 408 ГВФ).</w:t>
      </w:r>
    </w:p>
    <w:p w14:paraId="31DFE13B" w14:textId="77777777" w:rsidR="00647F1E" w:rsidRPr="00E14102" w:rsidRDefault="00647F1E" w:rsidP="00E14102">
      <w:pPr>
        <w:jc w:val="both"/>
        <w:rPr>
          <w:color w:val="000000" w:themeColor="text1"/>
          <w:sz w:val="16"/>
          <w:szCs w:val="16"/>
        </w:rPr>
      </w:pPr>
      <w:r w:rsidRPr="00E14102">
        <w:rPr>
          <w:color w:val="000000" w:themeColor="text1"/>
          <w:sz w:val="16"/>
          <w:szCs w:val="16"/>
        </w:rPr>
        <w:t>C 1953 года началось ускорение технического переоснащения Аэрофлота.</w:t>
      </w:r>
    </w:p>
    <w:p w14:paraId="74D071DE"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15 сентября 1956 г. реактивный пассажирский самолет ТУ-104 совершил первый регулярный рейс Москва - Иркутск. Вслед за ТУ-104 на эксплуатацию в гражданскую авиацию поступили и другие реактивные самолеты. Это в свою очередь потребовало коренным образом изменить техническое оснащение аэропортов, авиаремонтных предприятий, оснастить аэропорты новыми радиотехническими и светотехническими средствами, радиолокационными системами, обеспечивающих полеты в сложных метеоусловиях. </w:t>
      </w:r>
    </w:p>
    <w:p w14:paraId="7BAD4A64" w14:textId="77777777" w:rsidR="00647F1E" w:rsidRPr="00E14102" w:rsidRDefault="00647F1E" w:rsidP="00E14102">
      <w:pPr>
        <w:jc w:val="both"/>
        <w:rPr>
          <w:color w:val="000000" w:themeColor="text1"/>
          <w:sz w:val="16"/>
          <w:szCs w:val="16"/>
        </w:rPr>
      </w:pPr>
      <w:r w:rsidRPr="00E14102">
        <w:rPr>
          <w:color w:val="000000" w:themeColor="text1"/>
          <w:sz w:val="16"/>
          <w:szCs w:val="16"/>
        </w:rPr>
        <w:t>В 1959 г. АЭРМБ 408 ГВФ реорганизовалась в Опытный завод 408 ГВФ.</w:t>
      </w:r>
    </w:p>
    <w:p w14:paraId="420BE6C6" w14:textId="77777777" w:rsidR="00647F1E" w:rsidRPr="00E14102" w:rsidRDefault="00647F1E" w:rsidP="00E14102">
      <w:pPr>
        <w:jc w:val="both"/>
        <w:rPr>
          <w:color w:val="000000" w:themeColor="text1"/>
          <w:sz w:val="16"/>
          <w:szCs w:val="16"/>
        </w:rPr>
      </w:pPr>
      <w:r w:rsidRPr="00E14102">
        <w:rPr>
          <w:color w:val="000000" w:themeColor="text1"/>
          <w:sz w:val="16"/>
          <w:szCs w:val="16"/>
        </w:rPr>
        <w:t>Для разработки конструкций средств автоматизации, специальной аппаратуры в лабораторных условиях, на заводе было организовано Опытное конструкторское бюро.</w:t>
      </w:r>
    </w:p>
    <w:p w14:paraId="5DA10AED" w14:textId="77777777" w:rsidR="00647F1E" w:rsidRPr="00E14102" w:rsidRDefault="00647F1E" w:rsidP="00E14102">
      <w:pPr>
        <w:jc w:val="both"/>
        <w:rPr>
          <w:color w:val="000000" w:themeColor="text1"/>
          <w:sz w:val="16"/>
          <w:szCs w:val="16"/>
        </w:rPr>
      </w:pPr>
      <w:r w:rsidRPr="00E14102">
        <w:rPr>
          <w:color w:val="000000" w:themeColor="text1"/>
          <w:sz w:val="16"/>
          <w:szCs w:val="16"/>
        </w:rPr>
        <w:t>В 1964 г. на базе ГУ ГВФ образовано общесоюзное Министерство гражданской авиации СССР. Завод стал именоваться - Опытный завод 408 ГА</w:t>
      </w:r>
    </w:p>
    <w:p w14:paraId="062D0D81" w14:textId="77777777" w:rsidR="00647F1E" w:rsidRPr="00E14102" w:rsidRDefault="00647F1E" w:rsidP="00E14102">
      <w:pPr>
        <w:jc w:val="both"/>
        <w:rPr>
          <w:color w:val="000000" w:themeColor="text1"/>
          <w:sz w:val="16"/>
          <w:szCs w:val="16"/>
        </w:rPr>
      </w:pPr>
      <w:r w:rsidRPr="00E14102">
        <w:rPr>
          <w:color w:val="000000" w:themeColor="text1"/>
          <w:sz w:val="16"/>
          <w:szCs w:val="16"/>
        </w:rPr>
        <w:t>В 1970 г. при Управлении "Центроналадка" Министерства цветной металлургии СССР сначала была создана группа, а затем Участок по наладке светосигнального оборудования.</w:t>
      </w:r>
    </w:p>
    <w:p w14:paraId="096BB474" w14:textId="77777777" w:rsidR="00647F1E" w:rsidRPr="00E14102" w:rsidRDefault="00647F1E" w:rsidP="00E14102">
      <w:pPr>
        <w:jc w:val="both"/>
        <w:rPr>
          <w:color w:val="000000" w:themeColor="text1"/>
          <w:sz w:val="16"/>
          <w:szCs w:val="16"/>
        </w:rPr>
      </w:pPr>
      <w:r w:rsidRPr="00E14102">
        <w:rPr>
          <w:color w:val="000000" w:themeColor="text1"/>
          <w:sz w:val="16"/>
          <w:szCs w:val="16"/>
        </w:rPr>
        <w:t>В 1972 г. из Участка по наладке ССО было создано Управление "Авиаспецмонтажналадка" ГА. Сначала были образованы группы по наладке ССО в аэропортах: "Домодедово", "Внуково", "Шереметьево", "Быково". Специалисты Управления выезжали на наладку оборудования и в другие города страны. Управление "Авиаспецмонтажналадка" вошел в состав Объединения "Авиастрой" ГА и стали создаваться наладочные участки в других городах СССР: Днепропетровске, Киеве, Краснодаре, Ленинграде, Минске, Новосибирске, Риге, Ростове-на-Дону, Свердловске, Симферополе, Ташкенте, Ульяновске, Хабаровске, Хмельницком.</w:t>
      </w:r>
    </w:p>
    <w:p w14:paraId="03F68E86" w14:textId="77777777" w:rsidR="00647F1E" w:rsidRPr="00E14102" w:rsidRDefault="00647F1E" w:rsidP="00E14102">
      <w:pPr>
        <w:jc w:val="both"/>
        <w:rPr>
          <w:color w:val="000000" w:themeColor="text1"/>
          <w:sz w:val="16"/>
          <w:szCs w:val="16"/>
        </w:rPr>
      </w:pPr>
      <w:r w:rsidRPr="00E14102">
        <w:rPr>
          <w:color w:val="000000" w:themeColor="text1"/>
          <w:sz w:val="16"/>
          <w:szCs w:val="16"/>
        </w:rPr>
        <w:t>В 1978 г. из Монтажно-установочного цеха Опытного завода 408 ГА было организовано Управление "Радиоспецмонтаж", которое оставалось при заводе.</w:t>
      </w:r>
    </w:p>
    <w:p w14:paraId="24C66FFE"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В 1981 г. из Управления "Радиоспецмонтаж" Опытного завода 408 ГА было образовано самостоятельное Управление "Аэропортспецмонтаж" ГА, которое в этом же году вошло в состав Объединения "Авиастрой" ГА. </w:t>
      </w:r>
    </w:p>
    <w:p w14:paraId="6BC3176C" w14:textId="77777777" w:rsidR="00647F1E" w:rsidRPr="00E14102" w:rsidRDefault="00647F1E" w:rsidP="00E14102">
      <w:pPr>
        <w:jc w:val="both"/>
        <w:rPr>
          <w:color w:val="000000" w:themeColor="text1"/>
          <w:sz w:val="16"/>
          <w:szCs w:val="16"/>
        </w:rPr>
      </w:pPr>
      <w:r w:rsidRPr="00E14102">
        <w:rPr>
          <w:color w:val="000000" w:themeColor="text1"/>
          <w:sz w:val="16"/>
          <w:szCs w:val="16"/>
        </w:rPr>
        <w:t>В 1988 г. Управление "Аэропортспецмонтаж" ГА и Управление "Авиаспецмонтажналадка" ГА были объединены в Трест "Авиаспецмонтаж" ГА.</w:t>
      </w:r>
    </w:p>
    <w:p w14:paraId="36667442" w14:textId="77777777" w:rsidR="00647F1E" w:rsidRPr="00E14102" w:rsidRDefault="00647F1E" w:rsidP="00E14102">
      <w:pPr>
        <w:jc w:val="both"/>
        <w:rPr>
          <w:color w:val="000000" w:themeColor="text1"/>
          <w:sz w:val="16"/>
          <w:szCs w:val="16"/>
        </w:rPr>
      </w:pPr>
      <w:r w:rsidRPr="00E14102">
        <w:rPr>
          <w:color w:val="000000" w:themeColor="text1"/>
          <w:sz w:val="16"/>
          <w:szCs w:val="16"/>
        </w:rPr>
        <w:t>В 1993 г. в результате акционирования Трест "Авиаспецмонтаж" был преобразован в Общество "Аэролайт". Традиции и направление деятельности организации в настоящее время остаются прежними (11142).</w:t>
      </w:r>
    </w:p>
    <w:p w14:paraId="1386E2B8" w14:textId="77777777" w:rsidR="00647F1E" w:rsidRPr="00E14102" w:rsidRDefault="00647F1E" w:rsidP="00E14102">
      <w:pPr>
        <w:jc w:val="both"/>
        <w:rPr>
          <w:color w:val="000000" w:themeColor="text1"/>
          <w:sz w:val="16"/>
          <w:szCs w:val="16"/>
        </w:rPr>
      </w:pPr>
    </w:p>
    <w:p w14:paraId="38B45F0C" w14:textId="77777777" w:rsidR="0000374E" w:rsidRPr="00E14102" w:rsidRDefault="0000374E" w:rsidP="00E14102">
      <w:pPr>
        <w:pStyle w:val="rtejustify"/>
        <w:spacing w:before="0" w:after="0"/>
        <w:rPr>
          <w:color w:val="000000" w:themeColor="text1"/>
          <w:sz w:val="16"/>
          <w:szCs w:val="16"/>
        </w:rPr>
      </w:pPr>
      <w:r w:rsidRPr="00E14102">
        <w:rPr>
          <w:rStyle w:val="a6"/>
          <w:bCs/>
          <w:i w:val="0"/>
          <w:color w:val="000000" w:themeColor="text1"/>
          <w:sz w:val="16"/>
          <w:szCs w:val="16"/>
        </w:rPr>
        <w:t>3 сентября 1935 вышел приказ НКО №</w:t>
      </w:r>
      <w:r w:rsidRPr="00E14102">
        <w:rPr>
          <w:color w:val="000000" w:themeColor="text1"/>
          <w:sz w:val="16"/>
          <w:szCs w:val="16"/>
        </w:rPr>
        <w:t> 0163. О проведении бомбометания боевыми бомбами при государственных испытаниях опытного самолета МК</w:t>
      </w:r>
      <w:r w:rsidRPr="00E14102">
        <w:rPr>
          <w:color w:val="000000" w:themeColor="text1"/>
          <w:sz w:val="16"/>
          <w:szCs w:val="16"/>
        </w:rPr>
        <w:noBreakHyphen/>
        <w:t>1</w:t>
      </w:r>
      <w:r w:rsidRPr="00E14102">
        <w:rPr>
          <w:color w:val="000000" w:themeColor="text1"/>
          <w:sz w:val="16"/>
          <w:szCs w:val="16"/>
        </w:rPr>
        <w:noBreakHyphen/>
        <w:t>6М</w:t>
      </w:r>
      <w:r w:rsidRPr="00E14102">
        <w:rPr>
          <w:color w:val="000000" w:themeColor="text1"/>
          <w:sz w:val="16"/>
          <w:szCs w:val="16"/>
        </w:rPr>
        <w:noBreakHyphen/>
        <w:t>34Р (15247).</w:t>
      </w:r>
    </w:p>
    <w:p w14:paraId="7AAF1DA8" w14:textId="77777777" w:rsidR="0000374E" w:rsidRPr="00E14102" w:rsidRDefault="0000374E" w:rsidP="00E14102">
      <w:pPr>
        <w:pStyle w:val="rtejustify"/>
        <w:spacing w:before="0" w:after="0"/>
        <w:rPr>
          <w:color w:val="000000" w:themeColor="text1"/>
          <w:sz w:val="16"/>
          <w:szCs w:val="16"/>
        </w:rPr>
      </w:pPr>
    </w:p>
    <w:p w14:paraId="2B11AF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сентября 1935 И.И.Зыков и А.М.Тропинин на аэростате пролетели 91:35 (271,155).</w:t>
      </w:r>
    </w:p>
    <w:p w14:paraId="6077D9C1" w14:textId="77777777" w:rsidR="00D4105E" w:rsidRPr="00E14102" w:rsidRDefault="00D4105E" w:rsidP="00E14102">
      <w:pPr>
        <w:autoSpaceDE w:val="0"/>
        <w:autoSpaceDN w:val="0"/>
        <w:adjustRightInd w:val="0"/>
        <w:jc w:val="both"/>
        <w:rPr>
          <w:color w:val="000000" w:themeColor="text1"/>
          <w:sz w:val="16"/>
          <w:szCs w:val="16"/>
        </w:rPr>
      </w:pPr>
    </w:p>
    <w:p w14:paraId="70E9A2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 сентября 1935 Б.А.Романов и А.И.Бобыкин совершили перелет на аэростате 2200 м из Звенигорода в Южный Казахстан пролетев 2300 км - 56 час. 14 мин. (438,695).</w:t>
      </w:r>
    </w:p>
    <w:p w14:paraId="4E06E782" w14:textId="77777777" w:rsidR="00D4105E" w:rsidRPr="00E14102" w:rsidRDefault="00D4105E" w:rsidP="00E14102">
      <w:pPr>
        <w:autoSpaceDE w:val="0"/>
        <w:autoSpaceDN w:val="0"/>
        <w:adjustRightInd w:val="0"/>
        <w:jc w:val="both"/>
        <w:rPr>
          <w:color w:val="000000" w:themeColor="text1"/>
          <w:sz w:val="16"/>
          <w:szCs w:val="16"/>
        </w:rPr>
      </w:pPr>
    </w:p>
    <w:p w14:paraId="79EC4D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 сентября 1935 И.И.Зыков и А.М.Тропин на аэростате в 2200 м продержались в воздухе 91:35, пролетев из Звенигорода в Актюбинскую область (438,695).</w:t>
      </w:r>
    </w:p>
    <w:p w14:paraId="796DC64F" w14:textId="77777777" w:rsidR="00D4105E" w:rsidRPr="00E14102" w:rsidRDefault="00D4105E" w:rsidP="00E14102">
      <w:pPr>
        <w:autoSpaceDE w:val="0"/>
        <w:autoSpaceDN w:val="0"/>
        <w:adjustRightInd w:val="0"/>
        <w:jc w:val="both"/>
        <w:rPr>
          <w:color w:val="000000" w:themeColor="text1"/>
          <w:sz w:val="16"/>
          <w:szCs w:val="16"/>
        </w:rPr>
      </w:pPr>
    </w:p>
    <w:p w14:paraId="7842FF28" w14:textId="77777777" w:rsidR="004B2C49" w:rsidRPr="00E14102" w:rsidRDefault="004B2C49" w:rsidP="00E14102">
      <w:pPr>
        <w:jc w:val="both"/>
        <w:rPr>
          <w:color w:val="0070C0"/>
          <w:sz w:val="16"/>
          <w:szCs w:val="16"/>
        </w:rPr>
      </w:pPr>
      <w:r w:rsidRPr="00E14102">
        <w:rPr>
          <w:color w:val="0070C0"/>
          <w:sz w:val="16"/>
          <w:szCs w:val="16"/>
        </w:rPr>
        <w:t>3 сентября 1935 г. из лагеря в Звенигороде стартовали два аэростата объёмом по 2200 м3 с за</w:t>
      </w:r>
      <w:r w:rsidRPr="00E14102">
        <w:rPr>
          <w:color w:val="0070C0"/>
          <w:sz w:val="16"/>
          <w:szCs w:val="16"/>
        </w:rPr>
        <w:softHyphen/>
        <w:t>дачей выполнить полёт на дальность. Б.А. Рома</w:t>
      </w:r>
      <w:r w:rsidRPr="00E14102">
        <w:rPr>
          <w:color w:val="0070C0"/>
          <w:sz w:val="16"/>
          <w:szCs w:val="16"/>
        </w:rPr>
        <w:softHyphen/>
        <w:t>нов и А.И. Бабыкин поднялись в воздух в 08.55. Как и в прошлый раз они взяли с собой кисло</w:t>
      </w:r>
      <w:r w:rsidRPr="00E14102">
        <w:rPr>
          <w:color w:val="0070C0"/>
          <w:sz w:val="16"/>
          <w:szCs w:val="16"/>
        </w:rPr>
        <w:softHyphen/>
        <w:t>родные приборы. Полёт проходил по маршруту Москва — Муром — Арзамас — Казань — Уфа — Челябинск — Кустанай — степь юга Казахстана. Последнее сообщение от них содержалось в вым</w:t>
      </w:r>
      <w:r w:rsidRPr="00E14102">
        <w:rPr>
          <w:color w:val="0070C0"/>
          <w:sz w:val="16"/>
          <w:szCs w:val="16"/>
        </w:rPr>
        <w:softHyphen/>
        <w:t>пеле, сброшенном 4 сентября над Челябинской областью.</w:t>
      </w:r>
    </w:p>
    <w:p w14:paraId="3D43A555" w14:textId="77777777" w:rsidR="004B2C49" w:rsidRPr="00E14102" w:rsidRDefault="004B2C49" w:rsidP="00E14102">
      <w:pPr>
        <w:jc w:val="both"/>
        <w:rPr>
          <w:color w:val="0070C0"/>
          <w:sz w:val="16"/>
          <w:szCs w:val="16"/>
        </w:rPr>
      </w:pPr>
      <w:r w:rsidRPr="00E14102">
        <w:rPr>
          <w:color w:val="0070C0"/>
          <w:sz w:val="16"/>
          <w:szCs w:val="16"/>
        </w:rPr>
        <w:t>5 сентября в 17.10 они приземлились в районе колхоза «Алгабах» Южноказахстанской области (в 300 км северо-западнее Голодной степи), но только через несколько дней, прибыв в район</w:t>
      </w:r>
      <w:r w:rsidRPr="00E14102">
        <w:rPr>
          <w:color w:val="0070C0"/>
          <w:sz w:val="16"/>
          <w:szCs w:val="16"/>
        </w:rPr>
        <w:softHyphen/>
        <w:t>ный центр Карсакпай, смогли дать телеграмму в Москву. Впервые в истории воздухоплаватели они пересекли Уральский хребет в южной его части. Б.А. Романов и А.И. Бабыкин продержа</w:t>
      </w:r>
      <w:r w:rsidRPr="00E14102">
        <w:rPr>
          <w:color w:val="0070C0"/>
          <w:sz w:val="16"/>
          <w:szCs w:val="16"/>
        </w:rPr>
        <w:softHyphen/>
        <w:t>лись в воздухе 56 ч 5 мин, пройдя по прямой 2300 км.</w:t>
      </w:r>
    </w:p>
    <w:p w14:paraId="672A74D5" w14:textId="77777777" w:rsidR="004B2C49" w:rsidRPr="00E14102" w:rsidRDefault="004B2C49" w:rsidP="00E14102">
      <w:pPr>
        <w:jc w:val="both"/>
        <w:rPr>
          <w:color w:val="0070C0"/>
          <w:sz w:val="16"/>
          <w:szCs w:val="16"/>
        </w:rPr>
      </w:pPr>
      <w:r w:rsidRPr="00E14102">
        <w:rPr>
          <w:color w:val="0070C0"/>
          <w:sz w:val="16"/>
          <w:szCs w:val="16"/>
        </w:rPr>
        <w:t>Экипаж И.И. Зыкова и А.М. Тропина нахо</w:t>
      </w:r>
      <w:r w:rsidRPr="00E14102">
        <w:rPr>
          <w:color w:val="0070C0"/>
          <w:sz w:val="16"/>
          <w:szCs w:val="16"/>
        </w:rPr>
        <w:softHyphen/>
        <w:t>дился в воздухе 91 ч 35 мин. Полёт выполнялся по маршруту Москва—Муром — Арзамас—Ка</w:t>
      </w:r>
      <w:r w:rsidRPr="00E14102">
        <w:rPr>
          <w:color w:val="0070C0"/>
          <w:sz w:val="16"/>
          <w:szCs w:val="16"/>
        </w:rPr>
        <w:softHyphen/>
        <w:t>зань — Чистополь — Уфа — Челябинск. Спуск произвели 7 сентября в верховье р. Тургай в 200 км от жилья, до которого воздухоплавате</w:t>
      </w:r>
      <w:r w:rsidRPr="00E14102">
        <w:rPr>
          <w:color w:val="0070C0"/>
          <w:sz w:val="16"/>
          <w:szCs w:val="16"/>
        </w:rPr>
        <w:softHyphen/>
        <w:t>ли добирались семь дней.</w:t>
      </w:r>
    </w:p>
    <w:p w14:paraId="62D1101B" w14:textId="77777777" w:rsidR="004B2C49" w:rsidRPr="00E14102" w:rsidRDefault="004B2C49" w:rsidP="00E14102">
      <w:pPr>
        <w:jc w:val="both"/>
        <w:rPr>
          <w:color w:val="0070C0"/>
          <w:sz w:val="16"/>
          <w:szCs w:val="16"/>
        </w:rPr>
      </w:pPr>
      <w:r w:rsidRPr="00E14102">
        <w:rPr>
          <w:color w:val="0070C0"/>
          <w:sz w:val="16"/>
          <w:szCs w:val="16"/>
        </w:rPr>
        <w:t>Командир Опытно-испытательного возду</w:t>
      </w:r>
      <w:r w:rsidRPr="00E14102">
        <w:rPr>
          <w:color w:val="0070C0"/>
          <w:sz w:val="16"/>
          <w:szCs w:val="16"/>
        </w:rPr>
        <w:softHyphen/>
        <w:t>хоплавательного дивизиона Г.А. Прокофьев от</w:t>
      </w:r>
      <w:r w:rsidRPr="00E14102">
        <w:rPr>
          <w:color w:val="0070C0"/>
          <w:sz w:val="16"/>
          <w:szCs w:val="16"/>
        </w:rPr>
        <w:softHyphen/>
        <w:t>метил успех военных воздухоплавателей. Полёт Б.А. Романова и А.И. Бабыкина превысил по дальности лучший результат воздухоплаватель</w:t>
      </w:r>
      <w:r w:rsidRPr="00E14102">
        <w:rPr>
          <w:color w:val="0070C0"/>
          <w:sz w:val="16"/>
          <w:szCs w:val="16"/>
        </w:rPr>
        <w:softHyphen/>
        <w:t>ных состязаний 1935 г. на кубок Гордона-Бен- нетта (1680 км), а И.И. Зыков и А.М. Тропин установили рекорд продолжительности полёта, превысив на четыре часа рекорд Гуго Каулена (Германия) 1913 г. (20120).</w:t>
      </w:r>
    </w:p>
    <w:p w14:paraId="0963B7E6" w14:textId="77777777" w:rsidR="004B2C49" w:rsidRPr="00E14102" w:rsidRDefault="004B2C49" w:rsidP="00E14102">
      <w:pPr>
        <w:jc w:val="both"/>
        <w:rPr>
          <w:color w:val="0070C0"/>
          <w:sz w:val="16"/>
          <w:szCs w:val="16"/>
        </w:rPr>
      </w:pPr>
    </w:p>
    <w:p w14:paraId="035DAF54" w14:textId="77777777" w:rsidR="00647F1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C1BC8E9" w14:textId="77777777" w:rsidR="00647F1E" w:rsidRPr="00E14102" w:rsidRDefault="00647F1E" w:rsidP="00E14102">
      <w:pPr>
        <w:autoSpaceDE w:val="0"/>
        <w:autoSpaceDN w:val="0"/>
        <w:adjustRightInd w:val="0"/>
        <w:jc w:val="both"/>
        <w:rPr>
          <w:iCs/>
          <w:color w:val="000000" w:themeColor="text1"/>
          <w:sz w:val="16"/>
          <w:szCs w:val="16"/>
        </w:rPr>
      </w:pPr>
    </w:p>
    <w:p w14:paraId="10F7709C" w14:textId="77777777" w:rsidR="004E6CC2" w:rsidRPr="00E14102" w:rsidRDefault="004E6CC2" w:rsidP="00E14102">
      <w:pPr>
        <w:pStyle w:val="rtejustify"/>
        <w:spacing w:before="0" w:after="0"/>
        <w:rPr>
          <w:color w:val="000000" w:themeColor="text1"/>
          <w:sz w:val="16"/>
          <w:szCs w:val="16"/>
        </w:rPr>
      </w:pPr>
      <w:r w:rsidRPr="00E14102">
        <w:rPr>
          <w:bCs/>
          <w:color w:val="000000" w:themeColor="text1"/>
          <w:sz w:val="16"/>
          <w:szCs w:val="16"/>
        </w:rPr>
        <w:t>3 сентября 1935 г. Сталин, Ворошилов — Молотову, Кагановичу 3 сентября 1935 г.</w:t>
      </w:r>
    </w:p>
    <w:p w14:paraId="7FA7BB9A"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Шифром.</w:t>
      </w:r>
    </w:p>
    <w:p w14:paraId="60D50638" w14:textId="77777777" w:rsidR="00647F1E" w:rsidRPr="00E14102" w:rsidRDefault="00647F1E" w:rsidP="00E14102">
      <w:pPr>
        <w:pStyle w:val="rtecenter"/>
        <w:spacing w:before="0" w:after="0"/>
        <w:jc w:val="both"/>
        <w:rPr>
          <w:color w:val="000000" w:themeColor="text1"/>
          <w:sz w:val="16"/>
          <w:szCs w:val="16"/>
        </w:rPr>
      </w:pPr>
      <w:r w:rsidRPr="00E14102">
        <w:rPr>
          <w:color w:val="000000" w:themeColor="text1"/>
          <w:sz w:val="16"/>
          <w:szCs w:val="16"/>
          <w:u w:val="single"/>
        </w:rPr>
        <w:t>Тов. Молотову. Кагановичу</w:t>
      </w:r>
      <w:r w:rsidRPr="00E14102">
        <w:rPr>
          <w:color w:val="000000" w:themeColor="text1"/>
          <w:sz w:val="16"/>
          <w:szCs w:val="16"/>
        </w:rPr>
        <w:t>.</w:t>
      </w:r>
    </w:p>
    <w:p w14:paraId="675C752C"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Решением КО было предложено НКО и НКТП всемерно форсировать всесторонние испытания принятого образца дивизионной пушки Ф-22 при максимальном 2-х мес[ячном] сроке. Срок уже истек, но еще не закончены и полигонные испытания. Причина — неподача снарядов и недоделки конструкции. Это обстоятельство режет армию и не дает возможности уже сейчас выдать необходимый заказ, что грозит оставить армию без дивизионных пушек.</w:t>
      </w:r>
    </w:p>
    <w:p w14:paraId="6108093A"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Считаем необходимым на специальном заседании КО это разобрать, сделать надрание виновным и заставить их в кратчайший срок закончить все испытания этой пушки, чтобы можно было теперь уже определить план заказов на 1936 год. Имейте ввиду, что на 1936 г. потребуется не менее 900 только этих пушек. HP 29.</w:t>
      </w:r>
    </w:p>
    <w:p w14:paraId="0C56D3A9"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Сталин. Ворошилов.</w:t>
      </w:r>
    </w:p>
    <w:p w14:paraId="7A02A8D9"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3/IX.35</w:t>
      </w:r>
      <w:r w:rsidRPr="00E14102">
        <w:rPr>
          <w:color w:val="000000" w:themeColor="text1"/>
          <w:sz w:val="16"/>
          <w:szCs w:val="16"/>
          <w:vertAlign w:val="superscript"/>
        </w:rPr>
        <w:t>1</w:t>
      </w:r>
    </w:p>
    <w:p w14:paraId="53147E59"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vertAlign w:val="superscript"/>
        </w:rPr>
        <w:t>1</w:t>
      </w:r>
      <w:r w:rsidRPr="00E14102">
        <w:rPr>
          <w:color w:val="000000" w:themeColor="text1"/>
          <w:sz w:val="16"/>
          <w:szCs w:val="16"/>
        </w:rPr>
        <w:t xml:space="preserve"> Номер и дата вписаны секретарем. Отправлена из Сочи в тот же день в 18 час. (Там же. Л. 17).</w:t>
      </w:r>
    </w:p>
    <w:p w14:paraId="543FFD5D"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Архив: РГАСПИ Ф. 558. Оп. 11. Д. 89. Л. 18. Рукописный текст. Подписи — автографы. </w:t>
      </w:r>
    </w:p>
    <w:p w14:paraId="35E7BB3E" w14:textId="77777777" w:rsidR="00647F1E" w:rsidRPr="00E14102" w:rsidRDefault="00647F1E" w:rsidP="00E14102">
      <w:pPr>
        <w:jc w:val="both"/>
        <w:rPr>
          <w:color w:val="000000" w:themeColor="text1"/>
          <w:sz w:val="16"/>
          <w:szCs w:val="16"/>
        </w:rPr>
      </w:pPr>
      <w:r w:rsidRPr="00E14102">
        <w:rPr>
          <w:color w:val="000000" w:themeColor="text1"/>
          <w:sz w:val="16"/>
          <w:szCs w:val="16"/>
        </w:rPr>
        <w:t>Источник: Сталин и Каганович. Переписка. 1931–1936 гг. Москва: (РОССПЭН), 2001 Стр. 546-547 (12307).</w:t>
      </w:r>
    </w:p>
    <w:p w14:paraId="160706ED" w14:textId="77777777" w:rsidR="00647F1E" w:rsidRPr="00E14102" w:rsidRDefault="00647F1E" w:rsidP="00E14102">
      <w:pPr>
        <w:jc w:val="both"/>
        <w:rPr>
          <w:color w:val="000000" w:themeColor="text1"/>
          <w:sz w:val="16"/>
          <w:szCs w:val="16"/>
          <w:u w:color="002060"/>
        </w:rPr>
      </w:pPr>
    </w:p>
    <w:p w14:paraId="26A17DED" w14:textId="77777777" w:rsidR="004E6CC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1C68C00C" w14:textId="77777777" w:rsidR="004E6CC2" w:rsidRPr="00E14102" w:rsidRDefault="004E6CC2" w:rsidP="00E14102">
      <w:pPr>
        <w:autoSpaceDE w:val="0"/>
        <w:autoSpaceDN w:val="0"/>
        <w:adjustRightInd w:val="0"/>
        <w:jc w:val="both"/>
        <w:rPr>
          <w:iCs/>
          <w:color w:val="000000" w:themeColor="text1"/>
          <w:sz w:val="16"/>
          <w:szCs w:val="16"/>
        </w:rPr>
      </w:pPr>
    </w:p>
    <w:p w14:paraId="799C42C1" w14:textId="77777777" w:rsidR="004E6CC2" w:rsidRPr="00E14102" w:rsidRDefault="004E6CC2"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3 сентября 1935 г. Приказом Наркома внутренних дел СССР «О проведении полетов в авиачастях ГУПВО НКВД СССР» в сентябре 1935 г. «Для проверки итогов боевой подготовки 35 года и готовности авиачастей к выполнению боевых заданий в условиях, приближенных к действительной обстановке их боевого применения, а также в целях ознакомления летного состава с главными оперативными направлениями округов» было приказано организовать перелеты звеньями и отрядами. Согласно прилагаемого плана, 6-й Авиационный отряд двумя авиазвеньями должен был выполнить полет без посадок по маршруту Минск – Полоцк – Витебск – Орша – Минск протяженностью 600 км. План был успешно выполнен и затем подобные перелеты были выполнены осенью 1936 г. и осенью 1937 г (15231).</w:t>
      </w:r>
    </w:p>
    <w:p w14:paraId="7AB9E15E" w14:textId="77777777" w:rsidR="004E6CC2" w:rsidRPr="00E14102" w:rsidRDefault="004E6CC2" w:rsidP="00E14102">
      <w:pPr>
        <w:pStyle w:val="24"/>
        <w:shd w:val="clear" w:color="auto" w:fill="auto"/>
        <w:spacing w:after="0" w:line="240" w:lineRule="auto"/>
        <w:ind w:firstLine="0"/>
        <w:jc w:val="both"/>
        <w:rPr>
          <w:color w:val="000000" w:themeColor="text1"/>
          <w:sz w:val="16"/>
          <w:szCs w:val="16"/>
        </w:rPr>
      </w:pPr>
    </w:p>
    <w:p w14:paraId="4807CBB5" w14:textId="77777777" w:rsidR="004E6CC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E1EC2A1" w14:textId="77777777" w:rsidR="004E6CC2" w:rsidRPr="00E14102" w:rsidRDefault="004E6CC2" w:rsidP="00E14102">
      <w:pPr>
        <w:autoSpaceDE w:val="0"/>
        <w:autoSpaceDN w:val="0"/>
        <w:adjustRightInd w:val="0"/>
        <w:jc w:val="both"/>
        <w:rPr>
          <w:iCs/>
          <w:color w:val="000000" w:themeColor="text1"/>
          <w:sz w:val="16"/>
          <w:szCs w:val="16"/>
        </w:rPr>
      </w:pPr>
    </w:p>
    <w:p w14:paraId="2D1D9F90" w14:textId="77777777" w:rsidR="004E6CC2" w:rsidRPr="00E14102" w:rsidRDefault="004E6CC2"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3 сентября </w:t>
      </w:r>
      <w:r w:rsidRPr="00E14102">
        <w:rPr>
          <w:color w:val="000000" w:themeColor="text1"/>
          <w:sz w:val="16"/>
          <w:szCs w:val="16"/>
        </w:rPr>
        <w:t>в 1935 году Malcolm Campbell устанавливает новый мировой рекорд скорости 301.13 миль в час в «Bluebird» в Bonneville Salt Flats, Юта (14758).</w:t>
      </w:r>
    </w:p>
    <w:p w14:paraId="647F2191" w14:textId="77777777" w:rsidR="004E6CC2" w:rsidRPr="00E14102" w:rsidRDefault="004E6CC2" w:rsidP="00E14102">
      <w:pPr>
        <w:jc w:val="both"/>
        <w:rPr>
          <w:color w:val="000000" w:themeColor="text1"/>
          <w:sz w:val="16"/>
          <w:szCs w:val="16"/>
        </w:rPr>
      </w:pPr>
    </w:p>
    <w:p w14:paraId="7C3791B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ADEE63C" w14:textId="77777777" w:rsidR="00D4105E" w:rsidRPr="00E14102" w:rsidRDefault="00D4105E" w:rsidP="00E14102">
      <w:pPr>
        <w:autoSpaceDE w:val="0"/>
        <w:autoSpaceDN w:val="0"/>
        <w:adjustRightInd w:val="0"/>
        <w:jc w:val="both"/>
        <w:rPr>
          <w:iCs/>
          <w:color w:val="000000" w:themeColor="text1"/>
          <w:sz w:val="16"/>
          <w:szCs w:val="16"/>
        </w:rPr>
      </w:pPr>
    </w:p>
    <w:p w14:paraId="54337F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сентября 1935 на ДБА 4М-34РН в ходе заводских испытаний в Щелково летали 2 раза 2:40 и это были полеты на проверку подъема и спуска колес и проверку пневмоуправления турели, а также мототурели (249).</w:t>
      </w:r>
    </w:p>
    <w:p w14:paraId="56A603BB" w14:textId="77777777" w:rsidR="00D4105E" w:rsidRPr="00E14102" w:rsidRDefault="00D4105E" w:rsidP="00E14102">
      <w:pPr>
        <w:autoSpaceDE w:val="0"/>
        <w:autoSpaceDN w:val="0"/>
        <w:adjustRightInd w:val="0"/>
        <w:jc w:val="both"/>
        <w:rPr>
          <w:color w:val="000000" w:themeColor="text1"/>
          <w:sz w:val="16"/>
          <w:szCs w:val="16"/>
        </w:rPr>
      </w:pPr>
    </w:p>
    <w:p w14:paraId="39EA0755" w14:textId="77777777" w:rsidR="0000374E" w:rsidRPr="00E14102" w:rsidRDefault="0000374E" w:rsidP="00E14102">
      <w:pPr>
        <w:pStyle w:val="rtejustify"/>
        <w:spacing w:before="0" w:after="0"/>
        <w:rPr>
          <w:color w:val="000000" w:themeColor="text1"/>
          <w:sz w:val="16"/>
          <w:szCs w:val="16"/>
        </w:rPr>
      </w:pPr>
      <w:r w:rsidRPr="00E14102">
        <w:rPr>
          <w:rStyle w:val="a6"/>
          <w:bCs/>
          <w:i w:val="0"/>
          <w:color w:val="000000" w:themeColor="text1"/>
          <w:sz w:val="16"/>
          <w:szCs w:val="16"/>
        </w:rPr>
        <w:lastRenderedPageBreak/>
        <w:t>4 сентября 1935 вышел приказ НКО №</w:t>
      </w:r>
      <w:r w:rsidRPr="00E14102">
        <w:rPr>
          <w:color w:val="000000" w:themeColor="text1"/>
          <w:sz w:val="16"/>
          <w:szCs w:val="16"/>
        </w:rPr>
        <w:t> 0167. О войсковых испытаниях самолета Р</w:t>
      </w:r>
      <w:r w:rsidRPr="00E14102">
        <w:rPr>
          <w:color w:val="000000" w:themeColor="text1"/>
          <w:sz w:val="16"/>
          <w:szCs w:val="16"/>
        </w:rPr>
        <w:noBreakHyphen/>
        <w:t>5, штурмовика «ССС» (15247).</w:t>
      </w:r>
    </w:p>
    <w:p w14:paraId="62281F05" w14:textId="77777777" w:rsidR="0000374E" w:rsidRPr="00E14102" w:rsidRDefault="0000374E" w:rsidP="00E14102">
      <w:pPr>
        <w:pStyle w:val="rtejustify"/>
        <w:spacing w:before="0" w:after="0"/>
        <w:rPr>
          <w:color w:val="000000" w:themeColor="text1"/>
          <w:sz w:val="16"/>
          <w:szCs w:val="16"/>
        </w:rPr>
      </w:pPr>
    </w:p>
    <w:p w14:paraId="07212E03" w14:textId="77777777" w:rsidR="006A60E0" w:rsidRPr="00E14102" w:rsidRDefault="006A60E0" w:rsidP="00E14102">
      <w:pPr>
        <w:shd w:val="clear" w:color="auto" w:fill="FFFFFF"/>
        <w:jc w:val="both"/>
        <w:rPr>
          <w:color w:val="0070C0"/>
          <w:sz w:val="16"/>
          <w:szCs w:val="16"/>
        </w:rPr>
      </w:pPr>
      <w:r w:rsidRPr="00E14102">
        <w:rPr>
          <w:color w:val="0070C0"/>
          <w:sz w:val="16"/>
          <w:szCs w:val="16"/>
        </w:rPr>
        <w:t>4 сентября 1935 года ДГ-52 перегнали на завод №1. В сводках ГУАП он некоторое время числился в ремонте и, учитывая обста</w:t>
      </w:r>
      <w:r w:rsidRPr="00E14102">
        <w:rPr>
          <w:color w:val="0070C0"/>
          <w:sz w:val="16"/>
          <w:szCs w:val="16"/>
        </w:rPr>
        <w:softHyphen/>
        <w:t>новку на заводе, вероятно был списан. Во всяком случае, данных о дальнейших полетах пока не обнаружено (19933).</w:t>
      </w:r>
    </w:p>
    <w:p w14:paraId="1EEED347" w14:textId="77777777" w:rsidR="006A60E0" w:rsidRPr="00E14102" w:rsidRDefault="006A60E0" w:rsidP="00E14102">
      <w:pPr>
        <w:shd w:val="clear" w:color="auto" w:fill="FFFFFF"/>
        <w:jc w:val="both"/>
        <w:rPr>
          <w:color w:val="0070C0"/>
          <w:sz w:val="16"/>
          <w:szCs w:val="16"/>
        </w:rPr>
      </w:pPr>
    </w:p>
    <w:p w14:paraId="383AE6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сентября 1935 года инспектор артиллерии Роговский писал письмо N 346440сс Базилевичу На N 1548/ко</w:t>
      </w:r>
    </w:p>
    <w:p w14:paraId="469CFA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исполнение постановления Комиссии инспекцией артиллерии 22 июня 1935 года были разработаны основные тактико-технические требования к самолету-корректировщику и направлены Алкснису и Марголину для согласования и развития в полные требования.</w:t>
      </w:r>
    </w:p>
    <w:p w14:paraId="0F3A5C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УВС разработало полные требования, объединяя конструкцию нового штурмовика и разведчика. Эти требования 15 июля 1935 года были подписаны мною и Алкснисом и направлены на согласование Марголину.</w:t>
      </w:r>
    </w:p>
    <w:p w14:paraId="4D0A94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Марголин октября сомневается о возможности конструкции универсального самолета (штурмовик и разведчик).</w:t>
      </w:r>
    </w:p>
    <w:p w14:paraId="29F4E3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вопрос о требованиях, а тем самым и создание самолета-корректировщика задерживается несогласованностью требований УВС и Марголина (3503,62-63).</w:t>
      </w:r>
    </w:p>
    <w:p w14:paraId="32D0CDA8" w14:textId="77777777" w:rsidR="00D4105E" w:rsidRPr="00E14102" w:rsidRDefault="00D4105E" w:rsidP="00E14102">
      <w:pPr>
        <w:autoSpaceDE w:val="0"/>
        <w:autoSpaceDN w:val="0"/>
        <w:adjustRightInd w:val="0"/>
        <w:jc w:val="both"/>
        <w:rPr>
          <w:color w:val="000000" w:themeColor="text1"/>
          <w:sz w:val="16"/>
          <w:szCs w:val="16"/>
        </w:rPr>
      </w:pPr>
    </w:p>
    <w:p w14:paraId="0F6E68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сентября 1935 Н.Н.П. писал в ГУАП и на завод 39 приехала комиссия советского контроля. Н.Н.П. поддержал В.П.Ч., но не хватило и Н.Н.П. писал снова уже в НКТП (228,114).</w:t>
      </w:r>
    </w:p>
    <w:p w14:paraId="19A2E86D" w14:textId="77777777" w:rsidR="00D4105E" w:rsidRPr="00E14102" w:rsidRDefault="00D4105E" w:rsidP="00E14102">
      <w:pPr>
        <w:autoSpaceDE w:val="0"/>
        <w:autoSpaceDN w:val="0"/>
        <w:adjustRightInd w:val="0"/>
        <w:jc w:val="both"/>
        <w:rPr>
          <w:color w:val="000000" w:themeColor="text1"/>
          <w:sz w:val="16"/>
          <w:szCs w:val="16"/>
        </w:rPr>
      </w:pPr>
    </w:p>
    <w:p w14:paraId="19BB4A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сентября 1935 г. Поликарпов был вынужден на</w:t>
      </w:r>
      <w:r w:rsidRPr="00E14102">
        <w:rPr>
          <w:color w:val="000000" w:themeColor="text1"/>
          <w:sz w:val="16"/>
          <w:szCs w:val="16"/>
        </w:rPr>
        <w:softHyphen/>
        <w:t>писать письмо начальнику ГУАП Г.Н.Королеву (копия -директору завода № 39 Марголину), в котором нашли дальнейшее отражение основные положения предыду</w:t>
      </w:r>
      <w:r w:rsidRPr="00E14102">
        <w:rPr>
          <w:color w:val="000000" w:themeColor="text1"/>
          <w:sz w:val="16"/>
          <w:szCs w:val="16"/>
        </w:rPr>
        <w:softHyphen/>
        <w:t>щего письма (от 22 июля 1935). В результате отношения с дирекцией завода стали еще хуже: бригаде № 2 фактически не дава</w:t>
      </w:r>
      <w:r w:rsidRPr="00E14102">
        <w:rPr>
          <w:color w:val="000000" w:themeColor="text1"/>
          <w:sz w:val="16"/>
          <w:szCs w:val="16"/>
        </w:rPr>
        <w:softHyphen/>
        <w:t>ли работать, опытные машины перестали строить, а об</w:t>
      </w:r>
      <w:r w:rsidRPr="00E14102">
        <w:rPr>
          <w:color w:val="000000" w:themeColor="text1"/>
          <w:sz w:val="16"/>
          <w:szCs w:val="16"/>
        </w:rPr>
        <w:softHyphen/>
        <w:t>становку, сложившуюся вокруг Поликарпова иначе как травлей назвать трудно. По этой причине ряд опытных машин, строившихся со второй половины 1935 г., завер</w:t>
      </w:r>
      <w:r w:rsidRPr="00E14102">
        <w:rPr>
          <w:color w:val="000000" w:themeColor="text1"/>
          <w:sz w:val="16"/>
          <w:szCs w:val="16"/>
        </w:rPr>
        <w:softHyphen/>
        <w:t>шить не удалось. В.П.Чкалов, по характеру человек рез</w:t>
      </w:r>
      <w:r w:rsidRPr="00E14102">
        <w:rPr>
          <w:color w:val="000000" w:themeColor="text1"/>
          <w:sz w:val="16"/>
          <w:szCs w:val="16"/>
        </w:rPr>
        <w:softHyphen/>
        <w:t>кий и прямолинейный, пытался встать на защиту бригады № 2, обращался в разные инстанции, но это не помогло. Для выяснения обстановки на завод прибыла комиссия Советского контроля. Но, как писал Н.Н.По</w:t>
      </w:r>
      <w:r w:rsidRPr="00E14102">
        <w:rPr>
          <w:color w:val="000000" w:themeColor="text1"/>
          <w:sz w:val="16"/>
          <w:szCs w:val="16"/>
        </w:rPr>
        <w:softHyphen/>
        <w:t>ликарпов: “Жесткие формулировки [комиссии] по от</w:t>
      </w:r>
      <w:r w:rsidRPr="00E14102">
        <w:rPr>
          <w:color w:val="000000" w:themeColor="text1"/>
          <w:sz w:val="16"/>
          <w:szCs w:val="16"/>
        </w:rPr>
        <w:softHyphen/>
        <w:t>ношению к директору завода т. Марголину, ко мне и к летчику Чкалову, конечно, стали известны на заводе и еще более сгущали атмосферу вокруг бригады. Партий</w:t>
      </w:r>
      <w:r w:rsidRPr="00E14102">
        <w:rPr>
          <w:color w:val="000000" w:themeColor="text1"/>
          <w:sz w:val="16"/>
          <w:szCs w:val="16"/>
        </w:rPr>
        <w:softHyphen/>
        <w:t>ное руководство завода усугубляло ее своей резкой от</w:t>
      </w:r>
      <w:r w:rsidRPr="00E14102">
        <w:rPr>
          <w:color w:val="000000" w:themeColor="text1"/>
          <w:sz w:val="16"/>
          <w:szCs w:val="16"/>
        </w:rPr>
        <w:softHyphen/>
        <w:t>рицательной критикой всей работы бригады и ничего не делало положительного для выправления”. По</w:t>
      </w:r>
      <w:r w:rsidRPr="00E14102">
        <w:rPr>
          <w:color w:val="000000" w:themeColor="text1"/>
          <w:sz w:val="16"/>
          <w:szCs w:val="16"/>
        </w:rPr>
        <w:softHyphen/>
        <w:t>ликарпову стали ставить в вину дефекты конструкции истребителей И-15 и И-16, внедрение “чайки” на И-15, многочисленный брак продукции серийных заводов, недостатки руководства авиапромышленности и даже приказы директора завода № 39, вызвавшие затяжку по</w:t>
      </w:r>
      <w:r w:rsidRPr="00E14102">
        <w:rPr>
          <w:color w:val="000000" w:themeColor="text1"/>
          <w:sz w:val="16"/>
          <w:szCs w:val="16"/>
        </w:rPr>
        <w:softHyphen/>
        <w:t>стройки опытных машин. По стране шли процессы над лидерами “зиновьевского блока” и Николай Николае</w:t>
      </w:r>
      <w:r w:rsidRPr="00E14102">
        <w:rPr>
          <w:color w:val="000000" w:themeColor="text1"/>
          <w:sz w:val="16"/>
          <w:szCs w:val="16"/>
        </w:rPr>
        <w:softHyphen/>
        <w:t>вич, не так давно выпущенный из тюрьмы, имел все ос</w:t>
      </w:r>
      <w:r w:rsidRPr="00E14102">
        <w:rPr>
          <w:color w:val="000000" w:themeColor="text1"/>
          <w:sz w:val="16"/>
          <w:szCs w:val="16"/>
        </w:rPr>
        <w:softHyphen/>
        <w:t>нования опасаться за свою судьбу. Началось постепенное “растаскивание” бригады № 2. В.К.Таирова назначили главным конструктором завода № 43 в Киеве. По договоренности с Поликарповым он взял на себя доработку некоторых проектов. Таиров пригласил в Киев ряд сотрудников бригады, с ним на за</w:t>
      </w:r>
      <w:r w:rsidRPr="00E14102">
        <w:rPr>
          <w:color w:val="000000" w:themeColor="text1"/>
          <w:sz w:val="16"/>
          <w:szCs w:val="16"/>
        </w:rPr>
        <w:softHyphen/>
        <w:t>вод № 43, в частности, поехали Бисноват, Короткое и др.; некоторые, впоследствии, вернулись обратно. Боль</w:t>
      </w:r>
      <w:r w:rsidRPr="00E14102">
        <w:rPr>
          <w:color w:val="000000" w:themeColor="text1"/>
          <w:sz w:val="16"/>
          <w:szCs w:val="16"/>
        </w:rPr>
        <w:softHyphen/>
        <w:t>шинство предпочли остаться с Поликарповым. В.И Тарасов вспоминал: “Таиров предлагал и мне поехать с ним, но я отказал</w:t>
      </w:r>
      <w:r w:rsidRPr="00E14102">
        <w:rPr>
          <w:color w:val="000000" w:themeColor="text1"/>
          <w:sz w:val="16"/>
          <w:szCs w:val="16"/>
        </w:rPr>
        <w:softHyphen/>
        <w:t>ся. Работа у Поликарпова меня вполне удовлетворяла. О моем отказе Таиров, вероятно, рассказал Николаю Ни</w:t>
      </w:r>
      <w:r w:rsidRPr="00E14102">
        <w:rPr>
          <w:color w:val="000000" w:themeColor="text1"/>
          <w:sz w:val="16"/>
          <w:szCs w:val="16"/>
        </w:rPr>
        <w:softHyphen/>
        <w:t>колаевичу, потому, что я почувствовал более доверитель</w:t>
      </w:r>
      <w:r w:rsidRPr="00E14102">
        <w:rPr>
          <w:color w:val="000000" w:themeColor="text1"/>
          <w:sz w:val="16"/>
          <w:szCs w:val="16"/>
        </w:rPr>
        <w:softHyphen/>
        <w:t>ное отношение со стороны Главного, хотя разговоров на эту тему между нами никогда не возникало. Работа под руководством Н.Н.Поликарпова прино</w:t>
      </w:r>
      <w:r w:rsidRPr="00E14102">
        <w:rPr>
          <w:color w:val="000000" w:themeColor="text1"/>
          <w:sz w:val="16"/>
          <w:szCs w:val="16"/>
        </w:rPr>
        <w:softHyphen/>
        <w:t>сила нам удовлетворение не только потому, что она проходила в творческой атмосфере. Мы еще всегда чув</w:t>
      </w:r>
      <w:r w:rsidRPr="00E14102">
        <w:rPr>
          <w:color w:val="000000" w:themeColor="text1"/>
          <w:sz w:val="16"/>
          <w:szCs w:val="16"/>
        </w:rPr>
        <w:softHyphen/>
        <w:t>ствовали большое человеческое уважение со стороны нашего Главного” (10667).</w:t>
      </w:r>
    </w:p>
    <w:p w14:paraId="4122431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A746B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сентября (28 августа) 1935 года в НИИ ВВС закончились эксплуатационные испытания самолета ИП1 РЦ Ф3, которые проходили с 4 августа 1935</w:t>
      </w:r>
    </w:p>
    <w:p w14:paraId="3F4DC6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25D544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Инженер-летчик – Федрови</w:t>
      </w:r>
    </w:p>
    <w:p w14:paraId="01ACB4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59A5955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выносливость конструкции самолета во время летной эксплуатации.</w:t>
      </w:r>
    </w:p>
    <w:p w14:paraId="405F92D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живучесть отдельных частей самолета при стрельбе в воздухе из установленных на нем орудий АПК-4М.</w:t>
      </w:r>
    </w:p>
    <w:p w14:paraId="2D8FFC5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Установить работу дифференциального управления элеронами и определить посадочные скорости при нормальном и опущенном положении элеронов.</w:t>
      </w:r>
    </w:p>
    <w:p w14:paraId="07D194F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прочность деталей и выносливость шасси в целом во время эксплуатации.</w:t>
      </w:r>
    </w:p>
    <w:p w14:paraId="0E4B9F8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Испытать работу подъемного механизма, а также подъем и опускание шасси в воздухе.</w:t>
      </w:r>
    </w:p>
    <w:p w14:paraId="06336D1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надежность сигнализации подъема шасси.</w:t>
      </w:r>
    </w:p>
    <w:p w14:paraId="7DEDA3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ИП1 проходил испытания по определению летно-тактических данных в феврале 1935 года, полного комплекса испытаний самолета проведено не было.</w:t>
      </w:r>
    </w:p>
    <w:p w14:paraId="209579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154921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могут быть рекомендованы для установки на серийных самолетах ИП1 М25.</w:t>
      </w:r>
    </w:p>
    <w:p w14:paraId="4474A76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Отклонение элеронов в 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4A465B8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0833213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Капоты винтомоторной группы требуют доработки как с аэродинамической стороны так и эксплуатационной и для серийных самолетов ИП1 М25 идущих в строевые части негодны.</w:t>
      </w:r>
    </w:p>
    <w:p w14:paraId="2C8E118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Испытываемый самолет ИП1 РЦФ3 для испытаний вооружения и живучести оперения от стрельбы из АПК 4М ввиду значительных разрушений и деформаций без капитального ремонта и устранения выявленных недостатков допустить невозможно.</w:t>
      </w:r>
    </w:p>
    <w:p w14:paraId="614313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6128"/>
        <w:gridCol w:w="1474"/>
        <w:gridCol w:w="1328"/>
      </w:tblGrid>
      <w:tr w:rsidR="00E3599D" w:rsidRPr="00E14102" w14:paraId="7E52F816" w14:textId="77777777">
        <w:tc>
          <w:tcPr>
            <w:tcW w:w="1668" w:type="dxa"/>
            <w:tcBorders>
              <w:top w:val="single" w:sz="12" w:space="0" w:color="auto"/>
            </w:tcBorders>
          </w:tcPr>
          <w:p w14:paraId="6555BC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Дата</w:t>
            </w:r>
          </w:p>
        </w:tc>
        <w:tc>
          <w:tcPr>
            <w:tcW w:w="6128" w:type="dxa"/>
            <w:tcBorders>
              <w:top w:val="single" w:sz="12" w:space="0" w:color="auto"/>
            </w:tcBorders>
          </w:tcPr>
          <w:p w14:paraId="252FEA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Проводимые работы</w:t>
            </w:r>
          </w:p>
        </w:tc>
        <w:tc>
          <w:tcPr>
            <w:tcW w:w="1474" w:type="dxa"/>
            <w:tcBorders>
              <w:top w:val="single" w:sz="12" w:space="0" w:color="auto"/>
            </w:tcBorders>
          </w:tcPr>
          <w:p w14:paraId="3A4EC7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Кол-во полетов</w:t>
            </w:r>
          </w:p>
          <w:p w14:paraId="7B57F3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подъемом шасси</w:t>
            </w:r>
          </w:p>
        </w:tc>
        <w:tc>
          <w:tcPr>
            <w:tcW w:w="1328" w:type="dxa"/>
            <w:tcBorders>
              <w:top w:val="single" w:sz="12" w:space="0" w:color="auto"/>
            </w:tcBorders>
          </w:tcPr>
          <w:p w14:paraId="7826A9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Кол-во полетов без подъема шасси</w:t>
            </w:r>
          </w:p>
        </w:tc>
      </w:tr>
      <w:tr w:rsidR="00E3599D" w:rsidRPr="00E14102" w14:paraId="336D2CBD" w14:textId="77777777">
        <w:tc>
          <w:tcPr>
            <w:tcW w:w="1668" w:type="dxa"/>
          </w:tcPr>
          <w:p w14:paraId="50046D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 августа 1935 г.</w:t>
            </w:r>
          </w:p>
        </w:tc>
        <w:tc>
          <w:tcPr>
            <w:tcW w:w="6128" w:type="dxa"/>
          </w:tcPr>
          <w:p w14:paraId="54E354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Приемка самолета на гос. испытания и полеты на испытание шасси.</w:t>
            </w:r>
          </w:p>
        </w:tc>
        <w:tc>
          <w:tcPr>
            <w:tcW w:w="1474" w:type="dxa"/>
          </w:tcPr>
          <w:p w14:paraId="301F78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w:t>
            </w:r>
          </w:p>
        </w:tc>
        <w:tc>
          <w:tcPr>
            <w:tcW w:w="1328" w:type="dxa"/>
          </w:tcPr>
          <w:p w14:paraId="4264E3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w:t>
            </w:r>
          </w:p>
        </w:tc>
      </w:tr>
      <w:tr w:rsidR="00E3599D" w:rsidRPr="00E14102" w14:paraId="208348E4" w14:textId="77777777">
        <w:tc>
          <w:tcPr>
            <w:tcW w:w="1668" w:type="dxa"/>
          </w:tcPr>
          <w:p w14:paraId="7E5A29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августа 1935 г.</w:t>
            </w:r>
          </w:p>
        </w:tc>
        <w:tc>
          <w:tcPr>
            <w:tcW w:w="6128" w:type="dxa"/>
          </w:tcPr>
          <w:p w14:paraId="63ED46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и определение посадочных скоростей.</w:t>
            </w:r>
          </w:p>
        </w:tc>
        <w:tc>
          <w:tcPr>
            <w:tcW w:w="1474" w:type="dxa"/>
          </w:tcPr>
          <w:p w14:paraId="20C4FC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328" w:type="dxa"/>
          </w:tcPr>
          <w:p w14:paraId="400F28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w:t>
            </w:r>
          </w:p>
        </w:tc>
      </w:tr>
      <w:tr w:rsidR="00E3599D" w:rsidRPr="00E14102" w14:paraId="6C4617ED" w14:textId="77777777">
        <w:tc>
          <w:tcPr>
            <w:tcW w:w="1668" w:type="dxa"/>
          </w:tcPr>
          <w:p w14:paraId="679010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августа 1935 г.</w:t>
            </w:r>
          </w:p>
        </w:tc>
        <w:tc>
          <w:tcPr>
            <w:tcW w:w="6128" w:type="dxa"/>
          </w:tcPr>
          <w:p w14:paraId="1CD87E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подъемного механизма у прицела живучести конструкции.</w:t>
            </w:r>
          </w:p>
        </w:tc>
        <w:tc>
          <w:tcPr>
            <w:tcW w:w="1474" w:type="dxa"/>
          </w:tcPr>
          <w:p w14:paraId="3871C1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328" w:type="dxa"/>
          </w:tcPr>
          <w:p w14:paraId="7F0B36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w:t>
            </w:r>
          </w:p>
        </w:tc>
      </w:tr>
      <w:tr w:rsidR="00E3599D" w:rsidRPr="00E14102" w14:paraId="54F67618" w14:textId="77777777">
        <w:tc>
          <w:tcPr>
            <w:tcW w:w="1668" w:type="dxa"/>
          </w:tcPr>
          <w:p w14:paraId="5810E1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9 августа 1935 г. </w:t>
            </w:r>
          </w:p>
        </w:tc>
        <w:tc>
          <w:tcPr>
            <w:tcW w:w="6128" w:type="dxa"/>
          </w:tcPr>
          <w:p w14:paraId="1AA3DB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Перегонка самолета на завод.</w:t>
            </w:r>
          </w:p>
        </w:tc>
        <w:tc>
          <w:tcPr>
            <w:tcW w:w="1474" w:type="dxa"/>
          </w:tcPr>
          <w:p w14:paraId="1B192E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328" w:type="dxa"/>
          </w:tcPr>
          <w:p w14:paraId="300BEFA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E675861" w14:textId="77777777">
        <w:tc>
          <w:tcPr>
            <w:tcW w:w="1668" w:type="dxa"/>
          </w:tcPr>
          <w:p w14:paraId="0E1D64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августа 1935 г.</w:t>
            </w:r>
          </w:p>
        </w:tc>
        <w:tc>
          <w:tcPr>
            <w:tcW w:w="6128" w:type="dxa"/>
          </w:tcPr>
          <w:p w14:paraId="1893AE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Перегонка самолета с завода и полеты на испытание шасси, винтомоторной группы прицела и живучести осмотр и зарядка самолета.</w:t>
            </w:r>
          </w:p>
        </w:tc>
        <w:tc>
          <w:tcPr>
            <w:tcW w:w="1474" w:type="dxa"/>
          </w:tcPr>
          <w:p w14:paraId="7486EB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1328" w:type="dxa"/>
          </w:tcPr>
          <w:p w14:paraId="770DFB1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7D165AE" w14:textId="77777777">
        <w:tc>
          <w:tcPr>
            <w:tcW w:w="1668" w:type="dxa"/>
          </w:tcPr>
          <w:p w14:paraId="0DB681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августа 1935 г.</w:t>
            </w:r>
          </w:p>
        </w:tc>
        <w:tc>
          <w:tcPr>
            <w:tcW w:w="6128" w:type="dxa"/>
          </w:tcPr>
          <w:p w14:paraId="2D851E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винтомоторной группы, шасси и живучести конструкции.</w:t>
            </w:r>
          </w:p>
        </w:tc>
        <w:tc>
          <w:tcPr>
            <w:tcW w:w="1474" w:type="dxa"/>
          </w:tcPr>
          <w:p w14:paraId="66E8D3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1328" w:type="dxa"/>
          </w:tcPr>
          <w:p w14:paraId="0D1633E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3A234B2" w14:textId="77777777">
        <w:tc>
          <w:tcPr>
            <w:tcW w:w="1668" w:type="dxa"/>
          </w:tcPr>
          <w:p w14:paraId="273692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августа 1935 г.</w:t>
            </w:r>
          </w:p>
        </w:tc>
        <w:tc>
          <w:tcPr>
            <w:tcW w:w="6128" w:type="dxa"/>
          </w:tcPr>
          <w:p w14:paraId="7399BE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винтомоторной группы, шасси.</w:t>
            </w:r>
          </w:p>
        </w:tc>
        <w:tc>
          <w:tcPr>
            <w:tcW w:w="1474" w:type="dxa"/>
          </w:tcPr>
          <w:p w14:paraId="6C30B7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1328" w:type="dxa"/>
          </w:tcPr>
          <w:p w14:paraId="23EE9A4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47AA1EB" w14:textId="77777777">
        <w:tc>
          <w:tcPr>
            <w:tcW w:w="1668" w:type="dxa"/>
          </w:tcPr>
          <w:p w14:paraId="50CC57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августа 1935 г.</w:t>
            </w:r>
          </w:p>
        </w:tc>
        <w:tc>
          <w:tcPr>
            <w:tcW w:w="6128" w:type="dxa"/>
          </w:tcPr>
          <w:p w14:paraId="4A41A9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полетов на испытание прицела с фотострелками, 24 полета на испытание шасси и подъемного механизма и живучести конструкции.</w:t>
            </w:r>
          </w:p>
        </w:tc>
        <w:tc>
          <w:tcPr>
            <w:tcW w:w="1474" w:type="dxa"/>
          </w:tcPr>
          <w:p w14:paraId="5410EF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328" w:type="dxa"/>
          </w:tcPr>
          <w:p w14:paraId="28AF34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r>
      <w:tr w:rsidR="00E3599D" w:rsidRPr="00E14102" w14:paraId="7105C42E" w14:textId="77777777">
        <w:tc>
          <w:tcPr>
            <w:tcW w:w="1668" w:type="dxa"/>
          </w:tcPr>
          <w:p w14:paraId="4FA2A5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августа 1935 г.</w:t>
            </w:r>
          </w:p>
        </w:tc>
        <w:tc>
          <w:tcPr>
            <w:tcW w:w="6128" w:type="dxa"/>
          </w:tcPr>
          <w:p w14:paraId="2DABD7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винтомоторной группы, шасси и подъемного механизма. Полеты на стрельбу из АПК и испытание живучести.</w:t>
            </w:r>
          </w:p>
        </w:tc>
        <w:tc>
          <w:tcPr>
            <w:tcW w:w="1474" w:type="dxa"/>
          </w:tcPr>
          <w:p w14:paraId="347579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p w14:paraId="19C6B1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328" w:type="dxa"/>
          </w:tcPr>
          <w:p w14:paraId="7685406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7B1F5D2" w14:textId="77777777">
        <w:tc>
          <w:tcPr>
            <w:tcW w:w="1668" w:type="dxa"/>
          </w:tcPr>
          <w:p w14:paraId="0543FB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августа 1935 г.</w:t>
            </w:r>
          </w:p>
        </w:tc>
        <w:tc>
          <w:tcPr>
            <w:tcW w:w="6128" w:type="dxa"/>
          </w:tcPr>
          <w:p w14:paraId="1C0A4D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w:t>
            </w:r>
          </w:p>
        </w:tc>
        <w:tc>
          <w:tcPr>
            <w:tcW w:w="1474" w:type="dxa"/>
          </w:tcPr>
          <w:p w14:paraId="525DF1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1328" w:type="dxa"/>
          </w:tcPr>
          <w:p w14:paraId="7910E1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r>
      <w:tr w:rsidR="00E3599D" w:rsidRPr="00E14102" w14:paraId="2B140878" w14:textId="77777777">
        <w:tc>
          <w:tcPr>
            <w:tcW w:w="1668" w:type="dxa"/>
          </w:tcPr>
          <w:p w14:paraId="213036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августа 1935 г.</w:t>
            </w:r>
          </w:p>
        </w:tc>
        <w:tc>
          <w:tcPr>
            <w:tcW w:w="6128" w:type="dxa"/>
          </w:tcPr>
          <w:p w14:paraId="51969C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стрельбу – 1. Полеты на испытание шасси – 24.</w:t>
            </w:r>
          </w:p>
        </w:tc>
        <w:tc>
          <w:tcPr>
            <w:tcW w:w="1474" w:type="dxa"/>
          </w:tcPr>
          <w:p w14:paraId="1A0BB1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1328" w:type="dxa"/>
          </w:tcPr>
          <w:p w14:paraId="4D9A14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r>
      <w:tr w:rsidR="00E3599D" w:rsidRPr="00E14102" w14:paraId="7F1B9B54" w14:textId="77777777">
        <w:tc>
          <w:tcPr>
            <w:tcW w:w="1668" w:type="dxa"/>
          </w:tcPr>
          <w:p w14:paraId="3A95BE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августа 1935 г.</w:t>
            </w:r>
          </w:p>
        </w:tc>
        <w:tc>
          <w:tcPr>
            <w:tcW w:w="6128" w:type="dxa"/>
          </w:tcPr>
          <w:p w14:paraId="1DC7BA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Перегонка самолета на завод.</w:t>
            </w:r>
          </w:p>
        </w:tc>
        <w:tc>
          <w:tcPr>
            <w:tcW w:w="1474" w:type="dxa"/>
          </w:tcPr>
          <w:p w14:paraId="124C17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1328" w:type="dxa"/>
          </w:tcPr>
          <w:p w14:paraId="0C3F9AA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C57392F" w14:textId="77777777">
        <w:tc>
          <w:tcPr>
            <w:tcW w:w="1668" w:type="dxa"/>
          </w:tcPr>
          <w:p w14:paraId="6122CF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августа 1935 г.</w:t>
            </w:r>
          </w:p>
        </w:tc>
        <w:tc>
          <w:tcPr>
            <w:tcW w:w="6128" w:type="dxa"/>
          </w:tcPr>
          <w:p w14:paraId="0F91FB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Перелет в Щелково и полеты на испытание шасси.</w:t>
            </w:r>
          </w:p>
        </w:tc>
        <w:tc>
          <w:tcPr>
            <w:tcW w:w="1474" w:type="dxa"/>
          </w:tcPr>
          <w:p w14:paraId="6E5AAD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w:t>
            </w:r>
          </w:p>
        </w:tc>
        <w:tc>
          <w:tcPr>
            <w:tcW w:w="1328" w:type="dxa"/>
          </w:tcPr>
          <w:p w14:paraId="27CF074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73B465B" w14:textId="77777777">
        <w:tc>
          <w:tcPr>
            <w:tcW w:w="1668" w:type="dxa"/>
          </w:tcPr>
          <w:p w14:paraId="4939AC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августа 1935 г.</w:t>
            </w:r>
          </w:p>
        </w:tc>
        <w:tc>
          <w:tcPr>
            <w:tcW w:w="6128" w:type="dxa"/>
          </w:tcPr>
          <w:p w14:paraId="44A3F7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и подъемного механизма.</w:t>
            </w:r>
          </w:p>
        </w:tc>
        <w:tc>
          <w:tcPr>
            <w:tcW w:w="1474" w:type="dxa"/>
          </w:tcPr>
          <w:p w14:paraId="614FFA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1328" w:type="dxa"/>
          </w:tcPr>
          <w:p w14:paraId="543CB01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1B0E742" w14:textId="77777777">
        <w:tc>
          <w:tcPr>
            <w:tcW w:w="1668" w:type="dxa"/>
          </w:tcPr>
          <w:p w14:paraId="7806E4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августа 1935 г.</w:t>
            </w:r>
          </w:p>
        </w:tc>
        <w:tc>
          <w:tcPr>
            <w:tcW w:w="6128" w:type="dxa"/>
          </w:tcPr>
          <w:p w14:paraId="3B6B96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и подъемного механизма. Вынужденная посадка на аэродроме из-за отказа мотора.</w:t>
            </w:r>
          </w:p>
        </w:tc>
        <w:tc>
          <w:tcPr>
            <w:tcW w:w="1474" w:type="dxa"/>
          </w:tcPr>
          <w:p w14:paraId="29878F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47</w:t>
            </w:r>
          </w:p>
        </w:tc>
        <w:tc>
          <w:tcPr>
            <w:tcW w:w="1328" w:type="dxa"/>
          </w:tcPr>
          <w:p w14:paraId="50914F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r>
      <w:tr w:rsidR="00E3599D" w:rsidRPr="00E14102" w14:paraId="4413B432" w14:textId="77777777">
        <w:tc>
          <w:tcPr>
            <w:tcW w:w="1668" w:type="dxa"/>
            <w:tcBorders>
              <w:bottom w:val="single" w:sz="12" w:space="0" w:color="auto"/>
            </w:tcBorders>
          </w:tcPr>
          <w:p w14:paraId="2AA4CE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6128" w:type="dxa"/>
            <w:tcBorders>
              <w:bottom w:val="single" w:sz="12" w:space="0" w:color="auto"/>
            </w:tcBorders>
          </w:tcPr>
          <w:p w14:paraId="0F8D4ACF" w14:textId="77777777" w:rsidR="00D4105E" w:rsidRPr="00E14102" w:rsidRDefault="00D4105E" w:rsidP="00E14102">
            <w:pPr>
              <w:autoSpaceDE w:val="0"/>
              <w:autoSpaceDN w:val="0"/>
              <w:adjustRightInd w:val="0"/>
              <w:jc w:val="both"/>
              <w:rPr>
                <w:color w:val="000000" w:themeColor="text1"/>
                <w:sz w:val="16"/>
                <w:szCs w:val="16"/>
              </w:rPr>
            </w:pPr>
          </w:p>
        </w:tc>
        <w:tc>
          <w:tcPr>
            <w:tcW w:w="1474" w:type="dxa"/>
            <w:tcBorders>
              <w:bottom w:val="single" w:sz="12" w:space="0" w:color="auto"/>
            </w:tcBorders>
          </w:tcPr>
          <w:p w14:paraId="3A7BA1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263</w:t>
            </w:r>
          </w:p>
        </w:tc>
        <w:tc>
          <w:tcPr>
            <w:tcW w:w="1328" w:type="dxa"/>
            <w:tcBorders>
              <w:bottom w:val="single" w:sz="12" w:space="0" w:color="auto"/>
            </w:tcBorders>
          </w:tcPr>
          <w:p w14:paraId="33E3C5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81</w:t>
            </w:r>
          </w:p>
        </w:tc>
      </w:tr>
    </w:tbl>
    <w:p w14:paraId="42F4AA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Испытания закончены.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5980"/>
        <w:gridCol w:w="1622"/>
        <w:gridCol w:w="1328"/>
      </w:tblGrid>
      <w:tr w:rsidR="00E3599D" w:rsidRPr="00E14102" w14:paraId="01001BA4" w14:textId="77777777">
        <w:tc>
          <w:tcPr>
            <w:tcW w:w="1668" w:type="dxa"/>
            <w:tcBorders>
              <w:top w:val="single" w:sz="12" w:space="0" w:color="auto"/>
            </w:tcBorders>
          </w:tcPr>
          <w:p w14:paraId="3F4262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3 сентября 1935 г.</w:t>
            </w:r>
          </w:p>
        </w:tc>
        <w:tc>
          <w:tcPr>
            <w:tcW w:w="5980" w:type="dxa"/>
            <w:tcBorders>
              <w:top w:val="single" w:sz="12" w:space="0" w:color="auto"/>
            </w:tcBorders>
          </w:tcPr>
          <w:p w14:paraId="70B7F0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пробу мотора.</w:t>
            </w:r>
          </w:p>
        </w:tc>
        <w:tc>
          <w:tcPr>
            <w:tcW w:w="1622" w:type="dxa"/>
            <w:tcBorders>
              <w:top w:val="single" w:sz="12" w:space="0" w:color="auto"/>
            </w:tcBorders>
          </w:tcPr>
          <w:p w14:paraId="5B800094" w14:textId="77777777" w:rsidR="00D4105E" w:rsidRPr="00E14102" w:rsidRDefault="00D4105E" w:rsidP="00E14102">
            <w:pPr>
              <w:autoSpaceDE w:val="0"/>
              <w:autoSpaceDN w:val="0"/>
              <w:adjustRightInd w:val="0"/>
              <w:jc w:val="both"/>
              <w:rPr>
                <w:color w:val="000000" w:themeColor="text1"/>
                <w:sz w:val="16"/>
                <w:szCs w:val="16"/>
              </w:rPr>
            </w:pPr>
          </w:p>
        </w:tc>
        <w:tc>
          <w:tcPr>
            <w:tcW w:w="1328" w:type="dxa"/>
            <w:tcBorders>
              <w:top w:val="single" w:sz="12" w:space="0" w:color="auto"/>
            </w:tcBorders>
          </w:tcPr>
          <w:p w14:paraId="58A304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r>
      <w:tr w:rsidR="00E3599D" w:rsidRPr="00E14102" w14:paraId="48E46F86" w14:textId="77777777">
        <w:tc>
          <w:tcPr>
            <w:tcW w:w="1668" w:type="dxa"/>
          </w:tcPr>
          <w:p w14:paraId="7C3110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сентября 1935 г.</w:t>
            </w:r>
          </w:p>
        </w:tc>
        <w:tc>
          <w:tcPr>
            <w:tcW w:w="5980" w:type="dxa"/>
          </w:tcPr>
          <w:p w14:paraId="015332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тарировку показателя скорости и перегонка на завод.</w:t>
            </w:r>
          </w:p>
        </w:tc>
        <w:tc>
          <w:tcPr>
            <w:tcW w:w="1622" w:type="dxa"/>
          </w:tcPr>
          <w:p w14:paraId="6FBEA3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328" w:type="dxa"/>
          </w:tcPr>
          <w:p w14:paraId="7F9316F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0526B73" w14:textId="77777777">
        <w:tc>
          <w:tcPr>
            <w:tcW w:w="1668" w:type="dxa"/>
            <w:tcBorders>
              <w:bottom w:val="single" w:sz="12" w:space="0" w:color="auto"/>
            </w:tcBorders>
          </w:tcPr>
          <w:p w14:paraId="7E973C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5980" w:type="dxa"/>
            <w:tcBorders>
              <w:bottom w:val="single" w:sz="12" w:space="0" w:color="auto"/>
            </w:tcBorders>
          </w:tcPr>
          <w:p w14:paraId="0AF0260B" w14:textId="77777777" w:rsidR="00D4105E" w:rsidRPr="00E14102" w:rsidRDefault="00D4105E" w:rsidP="00E14102">
            <w:pPr>
              <w:autoSpaceDE w:val="0"/>
              <w:autoSpaceDN w:val="0"/>
              <w:adjustRightInd w:val="0"/>
              <w:jc w:val="both"/>
              <w:rPr>
                <w:color w:val="000000" w:themeColor="text1"/>
                <w:sz w:val="16"/>
                <w:szCs w:val="16"/>
              </w:rPr>
            </w:pPr>
          </w:p>
        </w:tc>
        <w:tc>
          <w:tcPr>
            <w:tcW w:w="1622" w:type="dxa"/>
            <w:tcBorders>
              <w:bottom w:val="single" w:sz="12" w:space="0" w:color="auto"/>
            </w:tcBorders>
          </w:tcPr>
          <w:p w14:paraId="39F03A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265</w:t>
            </w:r>
          </w:p>
        </w:tc>
        <w:tc>
          <w:tcPr>
            <w:tcW w:w="1328" w:type="dxa"/>
            <w:tcBorders>
              <w:bottom w:val="single" w:sz="12" w:space="0" w:color="auto"/>
            </w:tcBorders>
          </w:tcPr>
          <w:p w14:paraId="50127D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81</w:t>
            </w:r>
          </w:p>
        </w:tc>
      </w:tr>
    </w:tbl>
    <w:p w14:paraId="24F0FD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сентября самолет перегнан на завод для капитального ремонта.</w:t>
      </w:r>
    </w:p>
    <w:p w14:paraId="4C40F3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ИП1 состоял на испытании с 4 по 29 августа.</w:t>
      </w:r>
    </w:p>
    <w:p w14:paraId="72C74F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Летные испытания – 13 дней.</w:t>
      </w:r>
    </w:p>
    <w:p w14:paraId="63495B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 испытания вооружения прерваны из-за несоответствия прочности оперения.</w:t>
      </w:r>
    </w:p>
    <w:p w14:paraId="103D61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летных испытаний было проведено:</w:t>
      </w:r>
    </w:p>
    <w:p w14:paraId="1DCEF2D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определение посадочных скоростей – 17 полетов</w:t>
      </w:r>
    </w:p>
    <w:p w14:paraId="2746884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прицела – 20 полетов</w:t>
      </w:r>
    </w:p>
    <w:p w14:paraId="57E60C4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винтомоторной группы – 7 полетов</w:t>
      </w:r>
    </w:p>
    <w:p w14:paraId="2F7160B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шасси – 344 полета</w:t>
      </w:r>
    </w:p>
    <w:p w14:paraId="2B977E4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подъемного механизма – 263 полета</w:t>
      </w:r>
    </w:p>
    <w:p w14:paraId="6DD36B8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вооружения – 3 полета</w:t>
      </w:r>
    </w:p>
    <w:p w14:paraId="62D164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Живучесть самолета определялась в периоды зимних и летних испытаний, всего на самолете произведено 382 полета с 43 часов налета при испытании в НИИ ВВС и 64 полета с 21 часом налета при заводских испытаниях.</w:t>
      </w:r>
    </w:p>
    <w:p w14:paraId="160954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Общая работа самолета:</w:t>
      </w:r>
    </w:p>
    <w:p w14:paraId="7EFD54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444 полетов</w:t>
      </w:r>
    </w:p>
    <w:p w14:paraId="57A843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64 часа работы мотора в воздухе</w:t>
      </w:r>
    </w:p>
    <w:p w14:paraId="6D346C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часов работы мотора на земле (3968).</w:t>
      </w:r>
    </w:p>
    <w:p w14:paraId="0F2B1439" w14:textId="77777777" w:rsidR="00D4105E" w:rsidRPr="00E14102" w:rsidRDefault="00D4105E" w:rsidP="00E14102">
      <w:pPr>
        <w:autoSpaceDE w:val="0"/>
        <w:autoSpaceDN w:val="0"/>
        <w:adjustRightInd w:val="0"/>
        <w:jc w:val="both"/>
        <w:rPr>
          <w:color w:val="000000" w:themeColor="text1"/>
          <w:sz w:val="16"/>
          <w:szCs w:val="16"/>
        </w:rPr>
      </w:pPr>
    </w:p>
    <w:p w14:paraId="02B391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сентября 1935 закончились воздушные стрельбы из ДРП в ходе испытаний ИП-1 М-25, которные велись с 25 августа. Далее испытания решили прекратить, так как после 444 посадок конструкция крыла и центроплана износилась и требовала ремонта. Кроме того, ремонт был необходим и хвостовому оперению, на которое негативно повлияли пороховые газы от 38 выстрелов из АПК-4М на земле и 20 выстрелов в воздухе. Поэтому самолёт отправили на завод для проведения очередных доводок и усовершенствований.</w:t>
      </w:r>
    </w:p>
    <w:p w14:paraId="3DD4FC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сами государственные испытания ИП-1 посчитали законченными, сделав некоторые выводы. В частности, отмечалось, что благодаря высокой посадке пилот обладает хорошим обзором из кабины. Самолёт устойчиво пикировал, хорошо наводился на цель; управление в воздухе охарактеризовали как простое, доступное для освоения строевыми лётчиками. Посадочная скорость равнялась 100 - 105 км/ч, разбег на взлёте - 180 - 190 м, что позволяло использовать ИП-1 с полевых аэродромов размером 400x400 м. Эффект от опускания (зависания) элеронов лётчики оценили не очень высоко: без его использования скорость самолёта на посадке составляла 115 км/ч, а с зависанием - 110 км/ч. Нормальный радиус действия ИП-1 определялся в пределах 200 - 350 км, максимальный - 250 - 450 км. Предполагалось, что лётные качества машины могут быть улучшены подбором более эффективного воздушного винта, более качественным производственным исполнением, улучшением аэродинамики и облегчением конструкции.</w:t>
      </w:r>
    </w:p>
    <w:p w14:paraId="2EF630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Акт по государственным испытаниям ИП-1 начальник ВВС Я.И. Алкснис подписал 1 октября 1935 г. В нём говорилось, что "Основными объектами нападения для ИП-1 являются тяжёлые бомбардировщики со скоростями 350 км/ч, а также земные цели, требующие для своего поражения снарядов калибра 76 мм". Как бы то ни было, мнение о самолёте складывалось благоприятное и по результатам испытаний предлагалось увеличить заказ на производство ИП-1 за счёт уменьшения заказов на машины других типов. Строить ИП-1 решили на харьковском заводе № 135, том самом, на котором уже выпускали И-Z.</w:t>
      </w:r>
    </w:p>
    <w:p w14:paraId="35BF3E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Отдельным пунктом во всех материалах по испытаниям ИП-1 указывалось требование о срочной доводке пушек АПК-4М. В процессе изготовления серии предлагалось организовать испытания головной машины с отстрелом пушек при участии представителей завода № 38 и УВВС.</w:t>
      </w:r>
    </w:p>
    <w:p w14:paraId="04BD3A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Характеристики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E3599D" w:rsidRPr="00E14102" w14:paraId="2D77BB2A" w14:textId="77777777">
        <w:tc>
          <w:tcPr>
            <w:tcW w:w="5605" w:type="dxa"/>
            <w:tcBorders>
              <w:top w:val="single" w:sz="12" w:space="0" w:color="auto"/>
            </w:tcBorders>
          </w:tcPr>
          <w:p w14:paraId="6A6D40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в линии полёта, м</w:t>
            </w:r>
          </w:p>
        </w:tc>
        <w:tc>
          <w:tcPr>
            <w:tcW w:w="5605" w:type="dxa"/>
            <w:tcBorders>
              <w:top w:val="single" w:sz="12" w:space="0" w:color="auto"/>
            </w:tcBorders>
          </w:tcPr>
          <w:p w14:paraId="7C463B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7,23</w:t>
            </w:r>
          </w:p>
        </w:tc>
      </w:tr>
      <w:tr w:rsidR="00E3599D" w:rsidRPr="00E14102" w14:paraId="53EE9FA0" w14:textId="77777777">
        <w:tc>
          <w:tcPr>
            <w:tcW w:w="5605" w:type="dxa"/>
          </w:tcPr>
          <w:p w14:paraId="65540F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в линии полёта, м</w:t>
            </w:r>
          </w:p>
        </w:tc>
        <w:tc>
          <w:tcPr>
            <w:tcW w:w="5605" w:type="dxa"/>
          </w:tcPr>
          <w:p w14:paraId="64F2DB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3,208</w:t>
            </w:r>
          </w:p>
        </w:tc>
      </w:tr>
      <w:tr w:rsidR="00E3599D" w:rsidRPr="00E14102" w14:paraId="16944964" w14:textId="77777777">
        <w:tc>
          <w:tcPr>
            <w:tcW w:w="5605" w:type="dxa"/>
          </w:tcPr>
          <w:p w14:paraId="046E9C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крыла, м</w:t>
            </w:r>
          </w:p>
        </w:tc>
        <w:tc>
          <w:tcPr>
            <w:tcW w:w="5605" w:type="dxa"/>
          </w:tcPr>
          <w:p w14:paraId="227FA9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10,97</w:t>
            </w:r>
          </w:p>
        </w:tc>
      </w:tr>
      <w:tr w:rsidR="00E3599D" w:rsidRPr="00E14102" w14:paraId="483F3B78" w14:textId="77777777">
        <w:tc>
          <w:tcPr>
            <w:tcW w:w="5605" w:type="dxa"/>
          </w:tcPr>
          <w:p w14:paraId="51D046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горизонтального оперения, м</w:t>
            </w:r>
          </w:p>
        </w:tc>
        <w:tc>
          <w:tcPr>
            <w:tcW w:w="5605" w:type="dxa"/>
          </w:tcPr>
          <w:p w14:paraId="3E1BB6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3,168</w:t>
            </w:r>
          </w:p>
        </w:tc>
      </w:tr>
      <w:tr w:rsidR="00E3599D" w:rsidRPr="00E14102" w14:paraId="3FC83C33" w14:textId="77777777">
        <w:tc>
          <w:tcPr>
            <w:tcW w:w="5605" w:type="dxa"/>
          </w:tcPr>
          <w:p w14:paraId="3CD942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центроплана, м</w:t>
            </w:r>
          </w:p>
        </w:tc>
        <w:tc>
          <w:tcPr>
            <w:tcW w:w="5605" w:type="dxa"/>
          </w:tcPr>
          <w:p w14:paraId="75CFCB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5,6</w:t>
            </w:r>
          </w:p>
        </w:tc>
      </w:tr>
      <w:tr w:rsidR="00E3599D" w:rsidRPr="00E14102" w14:paraId="3F9E3FA1" w14:textId="77777777">
        <w:tc>
          <w:tcPr>
            <w:tcW w:w="5605" w:type="dxa"/>
          </w:tcPr>
          <w:p w14:paraId="7FBA33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крыла, м2</w:t>
            </w:r>
          </w:p>
        </w:tc>
        <w:tc>
          <w:tcPr>
            <w:tcW w:w="5605" w:type="dxa"/>
          </w:tcPr>
          <w:p w14:paraId="256570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17,7</w:t>
            </w:r>
          </w:p>
        </w:tc>
      </w:tr>
      <w:tr w:rsidR="00E3599D" w:rsidRPr="00E14102" w14:paraId="04160E81" w14:textId="77777777">
        <w:tc>
          <w:tcPr>
            <w:tcW w:w="5605" w:type="dxa"/>
          </w:tcPr>
          <w:p w14:paraId="34FBE2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Колея шасси, м</w:t>
            </w:r>
          </w:p>
        </w:tc>
        <w:tc>
          <w:tcPr>
            <w:tcW w:w="5605" w:type="dxa"/>
          </w:tcPr>
          <w:p w14:paraId="3E2748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2,05</w:t>
            </w:r>
          </w:p>
        </w:tc>
      </w:tr>
      <w:tr w:rsidR="00E3599D" w:rsidRPr="00E14102" w14:paraId="16ED0E81" w14:textId="77777777">
        <w:tc>
          <w:tcPr>
            <w:tcW w:w="5605" w:type="dxa"/>
          </w:tcPr>
          <w:p w14:paraId="5D372B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пустого, кг</w:t>
            </w:r>
          </w:p>
        </w:tc>
        <w:tc>
          <w:tcPr>
            <w:tcW w:w="5605" w:type="dxa"/>
          </w:tcPr>
          <w:p w14:paraId="28992A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1405</w:t>
            </w:r>
          </w:p>
        </w:tc>
      </w:tr>
      <w:tr w:rsidR="00E3599D" w:rsidRPr="00E14102" w14:paraId="41B3FAB5" w14:textId="77777777">
        <w:tc>
          <w:tcPr>
            <w:tcW w:w="5605" w:type="dxa"/>
          </w:tcPr>
          <w:p w14:paraId="1F522F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Полётный вес, кг</w:t>
            </w:r>
          </w:p>
        </w:tc>
        <w:tc>
          <w:tcPr>
            <w:tcW w:w="5605" w:type="dxa"/>
          </w:tcPr>
          <w:p w14:paraId="2F0083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1740</w:t>
            </w:r>
          </w:p>
        </w:tc>
      </w:tr>
      <w:tr w:rsidR="00E3599D" w:rsidRPr="00E14102" w14:paraId="45DED4C0" w14:textId="77777777">
        <w:tc>
          <w:tcPr>
            <w:tcW w:w="5605" w:type="dxa"/>
          </w:tcPr>
          <w:p w14:paraId="30A5CA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Нагрузка на крыло, кг/м2</w:t>
            </w:r>
          </w:p>
        </w:tc>
        <w:tc>
          <w:tcPr>
            <w:tcW w:w="5605" w:type="dxa"/>
          </w:tcPr>
          <w:p w14:paraId="635819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98,3</w:t>
            </w:r>
          </w:p>
        </w:tc>
      </w:tr>
      <w:tr w:rsidR="00E3599D" w:rsidRPr="00E14102" w14:paraId="2C156809" w14:textId="77777777">
        <w:tc>
          <w:tcPr>
            <w:tcW w:w="5605" w:type="dxa"/>
          </w:tcPr>
          <w:p w14:paraId="109492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вооружения без крепления, кг</w:t>
            </w:r>
          </w:p>
        </w:tc>
        <w:tc>
          <w:tcPr>
            <w:tcW w:w="5605" w:type="dxa"/>
          </w:tcPr>
          <w:p w14:paraId="2ECDE6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158,8</w:t>
            </w:r>
          </w:p>
        </w:tc>
      </w:tr>
      <w:tr w:rsidR="00E3599D" w:rsidRPr="00E14102" w14:paraId="44DB7DD9" w14:textId="77777777">
        <w:tc>
          <w:tcPr>
            <w:tcW w:w="5605" w:type="dxa"/>
          </w:tcPr>
          <w:p w14:paraId="4C44E7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боеприпасов, кг</w:t>
            </w:r>
          </w:p>
        </w:tc>
        <w:tc>
          <w:tcPr>
            <w:tcW w:w="5605" w:type="dxa"/>
          </w:tcPr>
          <w:p w14:paraId="0A8253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73,2</w:t>
            </w:r>
          </w:p>
        </w:tc>
      </w:tr>
      <w:tr w:rsidR="00E3599D" w:rsidRPr="00E14102" w14:paraId="046615E2" w14:textId="77777777">
        <w:tc>
          <w:tcPr>
            <w:tcW w:w="5605" w:type="dxa"/>
          </w:tcPr>
          <w:p w14:paraId="3377CF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Двигатель Райт R-1820F-3 "Циклон" №22136</w:t>
            </w:r>
          </w:p>
        </w:tc>
        <w:tc>
          <w:tcPr>
            <w:tcW w:w="5605" w:type="dxa"/>
          </w:tcPr>
          <w:p w14:paraId="1656361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D2284C9" w14:textId="77777777">
        <w:tc>
          <w:tcPr>
            <w:tcW w:w="5605" w:type="dxa"/>
          </w:tcPr>
          <w:p w14:paraId="5B6226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мощность у земли, л.с.</w:t>
            </w:r>
          </w:p>
        </w:tc>
        <w:tc>
          <w:tcPr>
            <w:tcW w:w="5605" w:type="dxa"/>
          </w:tcPr>
          <w:p w14:paraId="5F697E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640</w:t>
            </w:r>
          </w:p>
        </w:tc>
      </w:tr>
      <w:tr w:rsidR="00E3599D" w:rsidRPr="00E14102" w14:paraId="3850E0EB" w14:textId="77777777">
        <w:tc>
          <w:tcPr>
            <w:tcW w:w="5605" w:type="dxa"/>
          </w:tcPr>
          <w:p w14:paraId="604D17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Частота вращения, об/мин</w:t>
            </w:r>
          </w:p>
        </w:tc>
        <w:tc>
          <w:tcPr>
            <w:tcW w:w="5605" w:type="dxa"/>
          </w:tcPr>
          <w:p w14:paraId="0890DB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1950</w:t>
            </w:r>
          </w:p>
        </w:tc>
      </w:tr>
      <w:tr w:rsidR="00E3599D" w:rsidRPr="00E14102" w14:paraId="6565B6FD" w14:textId="77777777">
        <w:tc>
          <w:tcPr>
            <w:tcW w:w="5605" w:type="dxa"/>
          </w:tcPr>
          <w:p w14:paraId="11D173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на высоте 2300 м (граница высотности) при частоте вращения 2050 об/мин, л.с.</w:t>
            </w:r>
          </w:p>
        </w:tc>
        <w:tc>
          <w:tcPr>
            <w:tcW w:w="5605" w:type="dxa"/>
          </w:tcPr>
          <w:p w14:paraId="2B4732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712</w:t>
            </w:r>
          </w:p>
        </w:tc>
      </w:tr>
      <w:tr w:rsidR="00E3599D" w:rsidRPr="00E14102" w14:paraId="50154330" w14:textId="77777777">
        <w:tc>
          <w:tcPr>
            <w:tcW w:w="5605" w:type="dxa"/>
            <w:tcBorders>
              <w:bottom w:val="single" w:sz="12" w:space="0" w:color="auto"/>
            </w:tcBorders>
          </w:tcPr>
          <w:p w14:paraId="0A2A07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Сухой вес двигателя, кг</w:t>
            </w:r>
          </w:p>
        </w:tc>
        <w:tc>
          <w:tcPr>
            <w:tcW w:w="5605" w:type="dxa"/>
            <w:tcBorders>
              <w:bottom w:val="single" w:sz="12" w:space="0" w:color="auto"/>
            </w:tcBorders>
          </w:tcPr>
          <w:p w14:paraId="0977B2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422</w:t>
            </w:r>
          </w:p>
        </w:tc>
      </w:tr>
    </w:tbl>
    <w:p w14:paraId="5ABF7B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Лёгные данные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E3599D" w:rsidRPr="00E14102" w14:paraId="3C2EA261" w14:textId="77777777">
        <w:tc>
          <w:tcPr>
            <w:tcW w:w="5605" w:type="dxa"/>
            <w:tcBorders>
              <w:top w:val="single" w:sz="12" w:space="0" w:color="auto"/>
            </w:tcBorders>
          </w:tcPr>
          <w:p w14:paraId="7EE464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км/ч:</w:t>
            </w:r>
          </w:p>
        </w:tc>
        <w:tc>
          <w:tcPr>
            <w:tcW w:w="5605" w:type="dxa"/>
            <w:tcBorders>
              <w:top w:val="single" w:sz="12" w:space="0" w:color="auto"/>
            </w:tcBorders>
          </w:tcPr>
          <w:p w14:paraId="1AF1755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D75D4A9" w14:textId="77777777">
        <w:tc>
          <w:tcPr>
            <w:tcW w:w="5605" w:type="dxa"/>
          </w:tcPr>
          <w:p w14:paraId="64184A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земли</w:t>
            </w:r>
          </w:p>
        </w:tc>
        <w:tc>
          <w:tcPr>
            <w:tcW w:w="5605" w:type="dxa"/>
          </w:tcPr>
          <w:p w14:paraId="12DD43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369</w:t>
            </w:r>
          </w:p>
        </w:tc>
      </w:tr>
      <w:tr w:rsidR="00E3599D" w:rsidRPr="00E14102" w14:paraId="595A6755" w14:textId="77777777">
        <w:tc>
          <w:tcPr>
            <w:tcW w:w="5605" w:type="dxa"/>
          </w:tcPr>
          <w:p w14:paraId="3C6C40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высоте 3000 м</w:t>
            </w:r>
          </w:p>
        </w:tc>
        <w:tc>
          <w:tcPr>
            <w:tcW w:w="5605" w:type="dxa"/>
          </w:tcPr>
          <w:p w14:paraId="1FE2C2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410</w:t>
            </w:r>
          </w:p>
        </w:tc>
      </w:tr>
      <w:tr w:rsidR="00E3599D" w:rsidRPr="00E14102" w14:paraId="738D5919" w14:textId="77777777">
        <w:tc>
          <w:tcPr>
            <w:tcW w:w="5605" w:type="dxa"/>
          </w:tcPr>
          <w:p w14:paraId="7C3B19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высоте 5000 м</w:t>
            </w:r>
          </w:p>
        </w:tc>
        <w:tc>
          <w:tcPr>
            <w:tcW w:w="5605" w:type="dxa"/>
          </w:tcPr>
          <w:p w14:paraId="025E37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390</w:t>
            </w:r>
          </w:p>
        </w:tc>
      </w:tr>
      <w:tr w:rsidR="00E3599D" w:rsidRPr="00E14102" w14:paraId="7817BF7F" w14:textId="77777777">
        <w:tc>
          <w:tcPr>
            <w:tcW w:w="5605" w:type="dxa"/>
          </w:tcPr>
          <w:p w14:paraId="10A015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набора высоты 5000 м, мин</w:t>
            </w:r>
          </w:p>
        </w:tc>
        <w:tc>
          <w:tcPr>
            <w:tcW w:w="5605" w:type="dxa"/>
          </w:tcPr>
          <w:p w14:paraId="6867FB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w:t>
            </w:r>
          </w:p>
        </w:tc>
      </w:tr>
      <w:tr w:rsidR="00E3599D" w:rsidRPr="00E14102" w14:paraId="6B62C784" w14:textId="77777777">
        <w:tc>
          <w:tcPr>
            <w:tcW w:w="5605" w:type="dxa"/>
          </w:tcPr>
          <w:p w14:paraId="421A62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практический, м</w:t>
            </w:r>
          </w:p>
        </w:tc>
        <w:tc>
          <w:tcPr>
            <w:tcW w:w="5605" w:type="dxa"/>
          </w:tcPr>
          <w:p w14:paraId="094D09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w:t>
            </w:r>
          </w:p>
        </w:tc>
      </w:tr>
      <w:tr w:rsidR="00E3599D" w:rsidRPr="00E14102" w14:paraId="4BE12474" w14:textId="77777777">
        <w:tc>
          <w:tcPr>
            <w:tcW w:w="5605" w:type="dxa"/>
            <w:tcBorders>
              <w:bottom w:val="single" w:sz="12" w:space="0" w:color="auto"/>
            </w:tcBorders>
          </w:tcPr>
          <w:p w14:paraId="478CFF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выполнения виража, с</w:t>
            </w:r>
          </w:p>
        </w:tc>
        <w:tc>
          <w:tcPr>
            <w:tcW w:w="5605" w:type="dxa"/>
            <w:tcBorders>
              <w:bottom w:val="single" w:sz="12" w:space="0" w:color="auto"/>
            </w:tcBorders>
          </w:tcPr>
          <w:p w14:paraId="072259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14- 15</w:t>
            </w:r>
          </w:p>
        </w:tc>
      </w:tr>
    </w:tbl>
    <w:p w14:paraId="17404E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(12005).</w:t>
      </w:r>
    </w:p>
    <w:p w14:paraId="1920E3AB" w14:textId="77777777" w:rsidR="00D4105E" w:rsidRPr="00E14102" w:rsidRDefault="00D4105E" w:rsidP="00E14102">
      <w:pPr>
        <w:autoSpaceDE w:val="0"/>
        <w:autoSpaceDN w:val="0"/>
        <w:adjustRightInd w:val="0"/>
        <w:jc w:val="both"/>
        <w:rPr>
          <w:color w:val="000000" w:themeColor="text1"/>
          <w:sz w:val="16"/>
          <w:szCs w:val="16"/>
        </w:rPr>
      </w:pPr>
    </w:p>
    <w:p w14:paraId="1DCADD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сентября 1935 возобновились летные испытания ЦКБ МС-1 с М-34 и деревянным винтом, которые проходили до 3 января 1936 с воды и на колесах. П.А.Номан выполнил 12 полетов продолжительностью 5:48. Металлический винт поставили только в конце испытаний (10507,8).</w:t>
      </w:r>
    </w:p>
    <w:p w14:paraId="0A9F80AB" w14:textId="77777777" w:rsidR="00D4105E" w:rsidRPr="00E14102" w:rsidRDefault="00D4105E" w:rsidP="00E14102">
      <w:pPr>
        <w:autoSpaceDE w:val="0"/>
        <w:autoSpaceDN w:val="0"/>
        <w:adjustRightInd w:val="0"/>
        <w:jc w:val="both"/>
        <w:rPr>
          <w:color w:val="000000" w:themeColor="text1"/>
          <w:sz w:val="16"/>
          <w:szCs w:val="16"/>
        </w:rPr>
      </w:pPr>
    </w:p>
    <w:p w14:paraId="2417D0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сентября 1935 возобновили заводские испытания ЦКБ МС-1 уже с М-34Н, но с временным деревянным винтом. 9 и 8 мая 1935 ЦКБ МС-1, построенный на заводе № 31, который, правда, ещё со старым двигателем М-17, предъявили на заводские испытания, выполнил 2 полета, после чего самолёт закатили обратно в цех для замены двигателя. Всего с 4 сентября 1935 г. по 3 января 1936 г. летчик П.А. Номан выполнил на ЦКБ МС-1 12 полётов общей продолжительностью 5 ч 48 мин. Машина летала как с воды, так и с заводского аэродрома на колёсах. Штатный металлический винт установили только в конце испытаний.</w:t>
      </w:r>
    </w:p>
    <w:p w14:paraId="40A4AB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показали, что ЦКБ МС-1 по сравнению с МБР-2 с двигателем М-17 имеет большие скорость и потолок, лучшую скороподъёмность, но меньшую дальность полёта. В отчёте по испытаниям особо отмечалось, что конструкторам удалось устранить вибрацию хвостового оперения и неравномерное давление на педали управления - недостатки, выявленные при испытаниях МБР-2 с М-17 (№ 31001).</w:t>
      </w:r>
    </w:p>
    <w:p w14:paraId="085B45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Оценка, данная заводским испытателем П.А. Номаном, тоже была весьма благоприятной. В частности, он отмечал, что: "Взлёт нормальный. Тенденций к развороту нет. При волне до 0,5 м и ветре свыше 5 м/с резких ударов в днище нет. Посадка самолёта аналогична посадке МБР-2, за исключением того, что давление на педали равномерное. При накате и волне до 0,5 м резких ударов в днище не ощущается". Правда, он же указал, что установка фонаря пилотской кабины ухудшила обзор вбок-назад.</w:t>
      </w:r>
    </w:p>
    <w:p w14:paraId="3089BD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Из других недостатков, наиболее серьёзным и самым прямым образом влиявшим на боеспособность самолёта, был дефект топливной системы. На виражах и планировании в магистралях падало давление, и мотор начинал глохнуть. Кроме того, отмечалось не очень удобное капотирование двигателя и то, что изнутри кабины без посторонней помощи закрыть фонарь было очень трудно.</w:t>
      </w:r>
    </w:p>
    <w:p w14:paraId="2F2748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Самолёт ЦКБ МС-1, Таганрог, 1935 г. Сравнительные данные МБР-2 с мотором М-17 и ЦКБ МС-1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E3599D" w:rsidRPr="00E14102" w14:paraId="53833C23" w14:textId="77777777">
        <w:tc>
          <w:tcPr>
            <w:tcW w:w="3736" w:type="dxa"/>
            <w:tcBorders>
              <w:top w:val="single" w:sz="12" w:space="0" w:color="auto"/>
            </w:tcBorders>
          </w:tcPr>
          <w:p w14:paraId="11063B95" w14:textId="77777777" w:rsidR="00D4105E" w:rsidRPr="00E14102" w:rsidRDefault="00D4105E" w:rsidP="00E14102">
            <w:pPr>
              <w:autoSpaceDE w:val="0"/>
              <w:autoSpaceDN w:val="0"/>
              <w:adjustRightInd w:val="0"/>
              <w:jc w:val="both"/>
              <w:rPr>
                <w:color w:val="000000" w:themeColor="text1"/>
                <w:sz w:val="16"/>
                <w:szCs w:val="16"/>
              </w:rPr>
            </w:pPr>
          </w:p>
        </w:tc>
        <w:tc>
          <w:tcPr>
            <w:tcW w:w="3736" w:type="dxa"/>
            <w:tcBorders>
              <w:top w:val="single" w:sz="12" w:space="0" w:color="auto"/>
            </w:tcBorders>
          </w:tcPr>
          <w:p w14:paraId="37287B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ЦКБ МС-1</w:t>
            </w:r>
          </w:p>
        </w:tc>
        <w:tc>
          <w:tcPr>
            <w:tcW w:w="3736" w:type="dxa"/>
            <w:tcBorders>
              <w:top w:val="single" w:sz="12" w:space="0" w:color="auto"/>
            </w:tcBorders>
          </w:tcPr>
          <w:p w14:paraId="271E61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 с М-17</w:t>
            </w:r>
          </w:p>
        </w:tc>
      </w:tr>
      <w:tr w:rsidR="00E3599D" w:rsidRPr="00E14102" w14:paraId="433177C2" w14:textId="77777777">
        <w:tc>
          <w:tcPr>
            <w:tcW w:w="3736" w:type="dxa"/>
          </w:tcPr>
          <w:p w14:paraId="6CA6F2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Взлётный вес, кг</w:t>
            </w:r>
          </w:p>
        </w:tc>
        <w:tc>
          <w:tcPr>
            <w:tcW w:w="3736" w:type="dxa"/>
          </w:tcPr>
          <w:p w14:paraId="5BAEB5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3920</w:t>
            </w:r>
          </w:p>
        </w:tc>
        <w:tc>
          <w:tcPr>
            <w:tcW w:w="3736" w:type="dxa"/>
          </w:tcPr>
          <w:p w14:paraId="586F5C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3630</w:t>
            </w:r>
          </w:p>
        </w:tc>
      </w:tr>
      <w:tr w:rsidR="00E3599D" w:rsidRPr="00E14102" w14:paraId="4FE2F8BC" w14:textId="77777777">
        <w:tc>
          <w:tcPr>
            <w:tcW w:w="3736" w:type="dxa"/>
          </w:tcPr>
          <w:p w14:paraId="5BCC15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крыла, м:</w:t>
            </w:r>
          </w:p>
        </w:tc>
        <w:tc>
          <w:tcPr>
            <w:tcW w:w="3736" w:type="dxa"/>
          </w:tcPr>
          <w:p w14:paraId="3F6C7E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52,75</w:t>
            </w:r>
          </w:p>
        </w:tc>
        <w:tc>
          <w:tcPr>
            <w:tcW w:w="3736" w:type="dxa"/>
          </w:tcPr>
          <w:p w14:paraId="40386E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52,75</w:t>
            </w:r>
          </w:p>
        </w:tc>
      </w:tr>
      <w:tr w:rsidR="00E3599D" w:rsidRPr="00E14102" w14:paraId="66FD560B" w14:textId="77777777">
        <w:tc>
          <w:tcPr>
            <w:tcW w:w="3736" w:type="dxa"/>
          </w:tcPr>
          <w:p w14:paraId="516D22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крыла, м</w:t>
            </w:r>
          </w:p>
        </w:tc>
        <w:tc>
          <w:tcPr>
            <w:tcW w:w="3736" w:type="dxa"/>
          </w:tcPr>
          <w:p w14:paraId="62D0AE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18,8</w:t>
            </w:r>
          </w:p>
        </w:tc>
        <w:tc>
          <w:tcPr>
            <w:tcW w:w="3736" w:type="dxa"/>
          </w:tcPr>
          <w:p w14:paraId="7AD20B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w:t>
            </w:r>
          </w:p>
        </w:tc>
      </w:tr>
      <w:tr w:rsidR="00E3599D" w:rsidRPr="00E14102" w14:paraId="68D64138" w14:textId="77777777">
        <w:tc>
          <w:tcPr>
            <w:tcW w:w="3736" w:type="dxa"/>
          </w:tcPr>
          <w:p w14:paraId="1FDAC9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Двигатель</w:t>
            </w:r>
          </w:p>
        </w:tc>
        <w:tc>
          <w:tcPr>
            <w:tcW w:w="3736" w:type="dxa"/>
          </w:tcPr>
          <w:p w14:paraId="277D77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М-34Н</w:t>
            </w:r>
          </w:p>
        </w:tc>
        <w:tc>
          <w:tcPr>
            <w:tcW w:w="3736" w:type="dxa"/>
          </w:tcPr>
          <w:p w14:paraId="1366C6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М-17</w:t>
            </w:r>
          </w:p>
        </w:tc>
      </w:tr>
      <w:tr w:rsidR="00E3599D" w:rsidRPr="00E14102" w14:paraId="12489D67" w14:textId="77777777">
        <w:tc>
          <w:tcPr>
            <w:tcW w:w="3736" w:type="dxa"/>
          </w:tcPr>
          <w:p w14:paraId="7E90FF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у земли, л.с.</w:t>
            </w:r>
          </w:p>
        </w:tc>
        <w:tc>
          <w:tcPr>
            <w:tcW w:w="3736" w:type="dxa"/>
          </w:tcPr>
          <w:p w14:paraId="1BA4AD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750</w:t>
            </w:r>
          </w:p>
        </w:tc>
        <w:tc>
          <w:tcPr>
            <w:tcW w:w="3736" w:type="dxa"/>
          </w:tcPr>
          <w:p w14:paraId="17938B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r>
      <w:tr w:rsidR="00E3599D" w:rsidRPr="00E14102" w14:paraId="08651DDC" w14:textId="77777777">
        <w:tc>
          <w:tcPr>
            <w:tcW w:w="3736" w:type="dxa"/>
          </w:tcPr>
          <w:p w14:paraId="06CB2B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у земли, км/ч</w:t>
            </w:r>
          </w:p>
        </w:tc>
        <w:tc>
          <w:tcPr>
            <w:tcW w:w="3736" w:type="dxa"/>
          </w:tcPr>
          <w:p w14:paraId="3B4E82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242</w:t>
            </w:r>
          </w:p>
        </w:tc>
        <w:tc>
          <w:tcPr>
            <w:tcW w:w="3736" w:type="dxa"/>
          </w:tcPr>
          <w:p w14:paraId="4DF699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215</w:t>
            </w:r>
          </w:p>
        </w:tc>
      </w:tr>
      <w:tr w:rsidR="00E3599D" w:rsidRPr="00E14102" w14:paraId="784864A6" w14:textId="77777777">
        <w:tc>
          <w:tcPr>
            <w:tcW w:w="3736" w:type="dxa"/>
          </w:tcPr>
          <w:p w14:paraId="2A373B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Практический потолок, м</w:t>
            </w:r>
          </w:p>
        </w:tc>
        <w:tc>
          <w:tcPr>
            <w:tcW w:w="3736" w:type="dxa"/>
          </w:tcPr>
          <w:p w14:paraId="23F032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6660</w:t>
            </w:r>
          </w:p>
        </w:tc>
        <w:tc>
          <w:tcPr>
            <w:tcW w:w="3736" w:type="dxa"/>
          </w:tcPr>
          <w:p w14:paraId="50D0E0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5100</w:t>
            </w:r>
          </w:p>
        </w:tc>
      </w:tr>
      <w:tr w:rsidR="00E3599D" w:rsidRPr="00E14102" w14:paraId="60AADC6F" w14:textId="77777777">
        <w:tc>
          <w:tcPr>
            <w:tcW w:w="3736" w:type="dxa"/>
            <w:tcBorders>
              <w:bottom w:val="single" w:sz="12" w:space="0" w:color="auto"/>
            </w:tcBorders>
          </w:tcPr>
          <w:p w14:paraId="0C4A34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Нормальная техническая дальность полёта, км</w:t>
            </w:r>
          </w:p>
        </w:tc>
        <w:tc>
          <w:tcPr>
            <w:tcW w:w="3736" w:type="dxa"/>
            <w:tcBorders>
              <w:bottom w:val="single" w:sz="12" w:space="0" w:color="auto"/>
            </w:tcBorders>
          </w:tcPr>
          <w:p w14:paraId="15D2F0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w:t>
            </w:r>
          </w:p>
        </w:tc>
        <w:tc>
          <w:tcPr>
            <w:tcW w:w="3736" w:type="dxa"/>
            <w:tcBorders>
              <w:bottom w:val="single" w:sz="12" w:space="0" w:color="auto"/>
            </w:tcBorders>
          </w:tcPr>
          <w:p w14:paraId="586974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960</w:t>
            </w:r>
          </w:p>
        </w:tc>
      </w:tr>
    </w:tbl>
    <w:p w14:paraId="15D779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(12003).</w:t>
      </w:r>
    </w:p>
    <w:p w14:paraId="0667668B" w14:textId="77777777" w:rsidR="00D4105E" w:rsidRPr="00E14102" w:rsidRDefault="00D4105E" w:rsidP="00E14102">
      <w:pPr>
        <w:autoSpaceDE w:val="0"/>
        <w:autoSpaceDN w:val="0"/>
        <w:adjustRightInd w:val="0"/>
        <w:jc w:val="both"/>
        <w:rPr>
          <w:color w:val="000000" w:themeColor="text1"/>
          <w:sz w:val="16"/>
          <w:szCs w:val="16"/>
        </w:rPr>
      </w:pPr>
    </w:p>
    <w:p w14:paraId="47D58C28" w14:textId="77777777" w:rsidR="0000374E" w:rsidRPr="00E14102" w:rsidRDefault="0000374E" w:rsidP="00E14102">
      <w:pPr>
        <w:pStyle w:val="rtejustify"/>
        <w:spacing w:before="0" w:after="0"/>
        <w:rPr>
          <w:color w:val="000000" w:themeColor="text1"/>
          <w:sz w:val="16"/>
          <w:szCs w:val="16"/>
        </w:rPr>
      </w:pPr>
      <w:r w:rsidRPr="00E14102">
        <w:rPr>
          <w:rStyle w:val="a6"/>
          <w:bCs/>
          <w:i w:val="0"/>
          <w:color w:val="000000" w:themeColor="text1"/>
          <w:sz w:val="16"/>
          <w:szCs w:val="16"/>
        </w:rPr>
        <w:t>4 сентября 1935 вышел приказ НКО №</w:t>
      </w:r>
      <w:r w:rsidRPr="00E14102">
        <w:rPr>
          <w:color w:val="000000" w:themeColor="text1"/>
          <w:sz w:val="16"/>
          <w:szCs w:val="16"/>
        </w:rPr>
        <w:t> 0166. О проведении войсковых испытаний радиокомпасов для слепой посадки (15247).</w:t>
      </w:r>
    </w:p>
    <w:p w14:paraId="666EB412" w14:textId="77777777" w:rsidR="0000374E" w:rsidRPr="00E14102" w:rsidRDefault="0000374E" w:rsidP="00E14102">
      <w:pPr>
        <w:pStyle w:val="rtejustify"/>
        <w:spacing w:before="0" w:after="0"/>
        <w:rPr>
          <w:color w:val="000000" w:themeColor="text1"/>
          <w:sz w:val="16"/>
          <w:szCs w:val="16"/>
        </w:rPr>
      </w:pPr>
    </w:p>
    <w:p w14:paraId="3FFEF2B4" w14:textId="77777777" w:rsidR="0000374E" w:rsidRPr="00E14102" w:rsidRDefault="0000374E" w:rsidP="00E14102">
      <w:pPr>
        <w:pStyle w:val="rtejustify"/>
        <w:spacing w:before="0" w:after="0"/>
        <w:rPr>
          <w:color w:val="000000" w:themeColor="text1"/>
          <w:sz w:val="16"/>
          <w:szCs w:val="16"/>
        </w:rPr>
      </w:pPr>
      <w:r w:rsidRPr="00E14102">
        <w:rPr>
          <w:rStyle w:val="a6"/>
          <w:bCs/>
          <w:i w:val="0"/>
          <w:color w:val="000000" w:themeColor="text1"/>
          <w:sz w:val="16"/>
          <w:szCs w:val="16"/>
        </w:rPr>
        <w:t>4 сентября 1935 вышел приказ НКО №</w:t>
      </w:r>
      <w:r w:rsidRPr="00E14102">
        <w:rPr>
          <w:color w:val="000000" w:themeColor="text1"/>
          <w:sz w:val="16"/>
          <w:szCs w:val="16"/>
        </w:rPr>
        <w:t> 0071. Об организации при АНИИ РККА конструкторского исследовательского бюро для разработки артвооружения самолета дальнего боя и установления порядка реализации системы (15247).</w:t>
      </w:r>
    </w:p>
    <w:p w14:paraId="32B1A6E7" w14:textId="77777777" w:rsidR="0000374E" w:rsidRPr="00E14102" w:rsidRDefault="0000374E" w:rsidP="00E14102">
      <w:pPr>
        <w:pStyle w:val="rtejustify"/>
        <w:spacing w:before="0" w:after="0"/>
        <w:rPr>
          <w:color w:val="000000" w:themeColor="text1"/>
          <w:sz w:val="16"/>
          <w:szCs w:val="16"/>
        </w:rPr>
      </w:pPr>
    </w:p>
    <w:p w14:paraId="645CB8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сентября 1935 г. Г.Э.Лангемак подготовил отчет «Ракетные авиационные бомбы». Величину приращения скорости авиабомб за счет высоты сброса было нетрудно рассчитать по таблицам бомбометания, выпускаемым в России с 1915 г. Она составила 30-40 м/с на каждые 1000 м. Кроме того, Лангемак убедительно проиллюстрировал целесообразность оптимизации конструкций существующих и перспективных фугасных авиабомб На траектории он рассмотрел три ключевые точки, в которых возможно включать в работу двигатель — непосредственно под крылом бомбарди</w:t>
      </w:r>
      <w:r w:rsidRPr="00E14102">
        <w:rPr>
          <w:color w:val="000000" w:themeColor="text1"/>
          <w:sz w:val="16"/>
          <w:szCs w:val="16"/>
        </w:rPr>
        <w:softHyphen/>
        <w:t>ровщика, в середине траектории и рядом с целью. При этом Г.Э.Ланге</w:t>
      </w:r>
      <w:r w:rsidRPr="00E14102">
        <w:rPr>
          <w:color w:val="000000" w:themeColor="text1"/>
          <w:sz w:val="16"/>
          <w:szCs w:val="16"/>
        </w:rPr>
        <w:softHyphen/>
        <w:t>мак ссылался на расчеты и анализ Д.А.Вентцеля и В.О.Сассапареля В послевоенный период их последователи допускали возможность стар</w:t>
      </w:r>
      <w:r w:rsidRPr="00E14102">
        <w:rPr>
          <w:color w:val="000000" w:themeColor="text1"/>
          <w:sz w:val="16"/>
          <w:szCs w:val="16"/>
        </w:rPr>
        <w:softHyphen/>
        <w:t>та ракетных авиабомб лишь в двух крайних точках.</w:t>
      </w:r>
    </w:p>
    <w:p w14:paraId="54246BC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Лангемак отмечал, что при старте из-под крыла дистанционные труб</w:t>
      </w:r>
      <w:r w:rsidRPr="00E14102">
        <w:rPr>
          <w:color w:val="000000" w:themeColor="text1"/>
          <w:sz w:val="16"/>
          <w:szCs w:val="16"/>
        </w:rPr>
        <w:softHyphen/>
        <w:t>ки ТМ-4 для запуска ракетных двигателей возможно унифицировать, ис</w:t>
      </w:r>
      <w:r w:rsidRPr="00E14102">
        <w:rPr>
          <w:color w:val="000000" w:themeColor="text1"/>
          <w:sz w:val="16"/>
          <w:szCs w:val="16"/>
        </w:rPr>
        <w:softHyphen/>
        <w:t>ключив переменный дистанционный узел, а время срабатывания орга</w:t>
      </w:r>
      <w:r w:rsidRPr="00E14102">
        <w:rPr>
          <w:color w:val="000000" w:themeColor="text1"/>
          <w:sz w:val="16"/>
          <w:szCs w:val="16"/>
        </w:rPr>
        <w:softHyphen/>
        <w:t>низовать постоянным. Помимо упрощения конструкции, это уменьши</w:t>
      </w:r>
      <w:r w:rsidRPr="00E14102">
        <w:rPr>
          <w:color w:val="000000" w:themeColor="text1"/>
          <w:sz w:val="16"/>
          <w:szCs w:val="16"/>
        </w:rPr>
        <w:softHyphen/>
        <w:t>ло бы время полета авиабомбы, а значит, увеличивало точность попада</w:t>
      </w:r>
      <w:r w:rsidRPr="00E14102">
        <w:rPr>
          <w:color w:val="000000" w:themeColor="text1"/>
          <w:sz w:val="16"/>
          <w:szCs w:val="16"/>
        </w:rPr>
        <w:softHyphen/>
        <w:t>ния. «Однако при этом уменьшится действие ускорения свободного па</w:t>
      </w:r>
      <w:r w:rsidRPr="00E14102">
        <w:rPr>
          <w:color w:val="000000" w:themeColor="text1"/>
          <w:sz w:val="16"/>
          <w:szCs w:val="16"/>
        </w:rPr>
        <w:softHyphen/>
        <w:t>дения. Следовательно, скорость ее (ракетной авиабомбы. - С.Р.1 в мо</w:t>
      </w:r>
      <w:r w:rsidRPr="00E14102">
        <w:rPr>
          <w:color w:val="000000" w:themeColor="text1"/>
          <w:sz w:val="16"/>
          <w:szCs w:val="16"/>
        </w:rPr>
        <w:softHyphen/>
        <w:t>мент удара в преграду будет на 1/3 меньше, чем при запуске двигателя на траектории». В итоге наиболее выгодным Лангемак признал окончание работы ракетного двигателя непосредственно перед встречей бое припа</w:t>
      </w:r>
      <w:r w:rsidRPr="00E14102">
        <w:rPr>
          <w:color w:val="000000" w:themeColor="text1"/>
          <w:sz w:val="16"/>
          <w:szCs w:val="16"/>
        </w:rPr>
        <w:softHyphen/>
        <w:t>са с преградой. И поступил он правильно, поскольку «траектория РС на</w:t>
      </w:r>
      <w:r w:rsidRPr="00E14102">
        <w:rPr>
          <w:color w:val="000000" w:themeColor="text1"/>
          <w:sz w:val="16"/>
          <w:szCs w:val="16"/>
        </w:rPr>
        <w:softHyphen/>
        <w:t>оборот», то есть, сначала пассивный участок, а затем активный миними</w:t>
      </w:r>
      <w:r w:rsidRPr="00E14102">
        <w:rPr>
          <w:color w:val="000000" w:themeColor="text1"/>
          <w:sz w:val="16"/>
          <w:szCs w:val="16"/>
        </w:rPr>
        <w:softHyphen/>
        <w:t>зировала отрицательное воздействие ЭРС на точность бомбометания.</w:t>
      </w:r>
    </w:p>
    <w:p w14:paraId="1447A9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Таблица 4.1 Прирост скоростей авиабомб в зависимости от высоты бомбометания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571"/>
        <w:gridCol w:w="482"/>
        <w:gridCol w:w="475"/>
        <w:gridCol w:w="475"/>
        <w:gridCol w:w="518"/>
      </w:tblGrid>
      <w:tr w:rsidR="00E3599D" w:rsidRPr="00E14102" w14:paraId="59DC0EC7" w14:textId="77777777">
        <w:trPr>
          <w:trHeight w:val="230"/>
        </w:trPr>
        <w:tc>
          <w:tcPr>
            <w:tcW w:w="3571" w:type="dxa"/>
            <w:tcBorders>
              <w:top w:val="single" w:sz="12" w:space="0" w:color="auto"/>
            </w:tcBorders>
          </w:tcPr>
          <w:p w14:paraId="1C37D4E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Параметры</w:t>
            </w:r>
          </w:p>
          <w:p w14:paraId="24EF96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950" w:type="dxa"/>
            <w:gridSpan w:val="4"/>
            <w:tcBorders>
              <w:top w:val="single" w:sz="12" w:space="0" w:color="auto"/>
            </w:tcBorders>
          </w:tcPr>
          <w:p w14:paraId="166DC4F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Высота бомбометания.</w:t>
            </w:r>
          </w:p>
          <w:p w14:paraId="0C2A9D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72728158" w14:textId="77777777">
        <w:trPr>
          <w:trHeight w:val="216"/>
        </w:trPr>
        <w:tc>
          <w:tcPr>
            <w:tcW w:w="3571" w:type="dxa"/>
          </w:tcPr>
          <w:p w14:paraId="6A2FBCCF" w14:textId="77777777" w:rsidR="00D4105E" w:rsidRPr="00E14102" w:rsidRDefault="00D4105E" w:rsidP="00E14102">
            <w:pPr>
              <w:autoSpaceDE w:val="0"/>
              <w:autoSpaceDN w:val="0"/>
              <w:adjustRightInd w:val="0"/>
              <w:jc w:val="both"/>
              <w:rPr>
                <w:color w:val="000000" w:themeColor="text1"/>
                <w:sz w:val="16"/>
                <w:szCs w:val="16"/>
              </w:rPr>
            </w:pPr>
          </w:p>
          <w:p w14:paraId="446B4D35" w14:textId="77777777" w:rsidR="00D4105E" w:rsidRPr="00E14102" w:rsidRDefault="00D4105E" w:rsidP="00E14102">
            <w:pPr>
              <w:autoSpaceDE w:val="0"/>
              <w:autoSpaceDN w:val="0"/>
              <w:adjustRightInd w:val="0"/>
              <w:jc w:val="both"/>
              <w:rPr>
                <w:color w:val="000000" w:themeColor="text1"/>
                <w:sz w:val="16"/>
                <w:szCs w:val="16"/>
              </w:rPr>
            </w:pPr>
          </w:p>
        </w:tc>
        <w:tc>
          <w:tcPr>
            <w:tcW w:w="482" w:type="dxa"/>
          </w:tcPr>
          <w:p w14:paraId="637DB5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1000</w:t>
            </w:r>
          </w:p>
          <w:p w14:paraId="68A257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475" w:type="dxa"/>
          </w:tcPr>
          <w:p w14:paraId="3711BF4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2000</w:t>
            </w:r>
          </w:p>
          <w:p w14:paraId="3EE318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475" w:type="dxa"/>
          </w:tcPr>
          <w:p w14:paraId="292152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3000</w:t>
            </w:r>
          </w:p>
          <w:p w14:paraId="7E6AA2A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Pr>
          <w:p w14:paraId="5BEED02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4000</w:t>
            </w:r>
          </w:p>
          <w:p w14:paraId="73B499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48370CFD" w14:textId="77777777">
        <w:trPr>
          <w:trHeight w:val="238"/>
        </w:trPr>
        <w:tc>
          <w:tcPr>
            <w:tcW w:w="3571" w:type="dxa"/>
            <w:tcBorders>
              <w:bottom w:val="single" w:sz="12" w:space="0" w:color="auto"/>
            </w:tcBorders>
          </w:tcPr>
          <w:p w14:paraId="2DD8FA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Скорость авиабомбы при ударе в преграду, м/с</w:t>
            </w:r>
          </w:p>
          <w:p w14:paraId="781DC24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482" w:type="dxa"/>
            <w:tcBorders>
              <w:bottom w:val="single" w:sz="12" w:space="0" w:color="auto"/>
            </w:tcBorders>
          </w:tcPr>
          <w:p w14:paraId="28B352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140</w:t>
            </w:r>
          </w:p>
          <w:p w14:paraId="0282D60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475" w:type="dxa"/>
            <w:tcBorders>
              <w:bottom w:val="single" w:sz="12" w:space="0" w:color="auto"/>
            </w:tcBorders>
          </w:tcPr>
          <w:p w14:paraId="70598D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200</w:t>
            </w:r>
          </w:p>
          <w:p w14:paraId="36975C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475" w:type="dxa"/>
            <w:tcBorders>
              <w:bottom w:val="single" w:sz="12" w:space="0" w:color="auto"/>
            </w:tcBorders>
          </w:tcPr>
          <w:p w14:paraId="67CCE6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240</w:t>
            </w:r>
          </w:p>
          <w:p w14:paraId="3AA6EB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518" w:type="dxa"/>
            <w:tcBorders>
              <w:bottom w:val="single" w:sz="12" w:space="0" w:color="auto"/>
            </w:tcBorders>
          </w:tcPr>
          <w:p w14:paraId="30B755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270 ;</w:t>
            </w:r>
          </w:p>
          <w:p w14:paraId="045B93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bl>
    <w:p w14:paraId="02FA1E2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Наряду с этим, практика подтвердила (и до сих пор это справедливо) его оценку внешнего облика ракетной авиабомбы. «Так как ее потеря в скорости от сопротивления воздуха ничтожна, нет надобности корпу</w:t>
      </w:r>
      <w:r w:rsidRPr="00E14102">
        <w:rPr>
          <w:color w:val="000000" w:themeColor="text1"/>
          <w:sz w:val="16"/>
          <w:szCs w:val="16"/>
        </w:rPr>
        <w:softHyphen/>
        <w:t>сам придавать веретенообразную или каплеобразную форму, тем более что это ведет к чрезвычайно большому удлинению боеприпасов. Достаточно придать передней оконечности БЧ оживальную форму для улуч</w:t>
      </w:r>
      <w:r w:rsidRPr="00E14102">
        <w:rPr>
          <w:color w:val="000000" w:themeColor="text1"/>
          <w:sz w:val="16"/>
          <w:szCs w:val="16"/>
        </w:rPr>
        <w:softHyphen/>
        <w:t>шения проникания и преграду, а остальную часть корпуса сделать цилиндрической вплоть до стабилизатора».</w:t>
      </w:r>
    </w:p>
    <w:p w14:paraId="50647D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Отдельного внимания заслуживал стабилизатор, по замыслу Лангемака, отделяемый от авиабомбы в начале горения РЗ действием газов (вариант запуска РЗ при подлете к цели): «Опыт показывает, что газовая струя оказывает весьма сильное стабилизирующее действие на снаряд».</w:t>
      </w:r>
    </w:p>
    <w:p w14:paraId="3A218A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 том, что в системном анализе Лангемака были комплексно прора</w:t>
      </w:r>
      <w:r w:rsidRPr="00E14102">
        <w:rPr>
          <w:color w:val="000000" w:themeColor="text1"/>
          <w:sz w:val="16"/>
          <w:szCs w:val="16"/>
        </w:rPr>
        <w:softHyphen/>
        <w:t xml:space="preserve">ботаны все детали проекта, говорит и наличие раздела по авиационным взрывателям, а также системе воспламенения двигателей авиабомб н траектории. «Сушествуюшие взрыватели непригодны для ракетных авиабомб. Однако осуществление взрыва не представит затрудняя. Мы считаем, что наиболее подходящим был бы взрыватель пневматического принципа, причем действие его возможно поставить в зависимость от сгорания РЗ. Для изменения времени установки ТМ-4 в полете можно ее оснастить механизмом». В части проектирования сразу полномасштабных образцов боеприпасов его мнение было однозначным: «Можно бросать также с Р-5 или У-2 и 20-40-кг модели ракетных авиабомб. </w:t>
      </w:r>
      <w:r w:rsidRPr="00E14102">
        <w:rPr>
          <w:color w:val="000000" w:themeColor="text1"/>
          <w:sz w:val="16"/>
          <w:szCs w:val="16"/>
          <w:vertAlign w:val="subscript"/>
        </w:rPr>
        <w:t>а</w:t>
      </w:r>
      <w:r w:rsidRPr="00E14102">
        <w:rPr>
          <w:color w:val="000000" w:themeColor="text1"/>
          <w:sz w:val="16"/>
          <w:szCs w:val="16"/>
        </w:rPr>
        <w:t>о они будут дорогими» (11402).</w:t>
      </w:r>
    </w:p>
    <w:p w14:paraId="33DB5D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18F4800" w14:textId="77777777" w:rsidR="0000374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0C9D926" w14:textId="77777777" w:rsidR="0000374E" w:rsidRPr="00E14102" w:rsidRDefault="0000374E" w:rsidP="00E14102">
      <w:pPr>
        <w:autoSpaceDE w:val="0"/>
        <w:autoSpaceDN w:val="0"/>
        <w:adjustRightInd w:val="0"/>
        <w:jc w:val="both"/>
        <w:rPr>
          <w:iCs/>
          <w:color w:val="000000" w:themeColor="text1"/>
          <w:sz w:val="16"/>
          <w:szCs w:val="16"/>
        </w:rPr>
      </w:pPr>
    </w:p>
    <w:p w14:paraId="0A9C8D02" w14:textId="77777777" w:rsidR="0000374E" w:rsidRPr="00E14102" w:rsidRDefault="0000374E" w:rsidP="00E14102">
      <w:pPr>
        <w:pStyle w:val="rtejustify"/>
        <w:spacing w:before="0" w:after="0"/>
        <w:rPr>
          <w:color w:val="000000" w:themeColor="text1"/>
          <w:sz w:val="16"/>
          <w:szCs w:val="16"/>
        </w:rPr>
      </w:pPr>
      <w:r w:rsidRPr="00E14102">
        <w:rPr>
          <w:rStyle w:val="a6"/>
          <w:bCs/>
          <w:i w:val="0"/>
          <w:color w:val="000000" w:themeColor="text1"/>
          <w:sz w:val="16"/>
          <w:szCs w:val="16"/>
        </w:rPr>
        <w:t>4 сентября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114сс «Об изменении сроков беспроектного финансирования заводов НКТП (постановление] СТО № С</w:t>
      </w:r>
      <w:r w:rsidRPr="00E14102">
        <w:rPr>
          <w:color w:val="000000" w:themeColor="text1"/>
          <w:sz w:val="16"/>
          <w:szCs w:val="16"/>
        </w:rPr>
        <w:noBreakHyphen/>
        <w:t>35сс)». (ГА РФ. Ф. Р</w:t>
      </w:r>
      <w:r w:rsidRPr="00E14102">
        <w:rPr>
          <w:color w:val="000000" w:themeColor="text1"/>
          <w:sz w:val="16"/>
          <w:szCs w:val="16"/>
        </w:rPr>
        <w:noBreakHyphen/>
        <w:t>8418. Оп. 28. Д. 7. Л. 97) (15460).</w:t>
      </w:r>
    </w:p>
    <w:p w14:paraId="32DA2AAB" w14:textId="77777777" w:rsidR="0000374E" w:rsidRPr="00E14102" w:rsidRDefault="0000374E" w:rsidP="00E14102">
      <w:pPr>
        <w:pStyle w:val="rtejustify"/>
        <w:spacing w:before="0" w:after="0"/>
        <w:rPr>
          <w:color w:val="000000" w:themeColor="text1"/>
          <w:sz w:val="16"/>
          <w:szCs w:val="16"/>
        </w:rPr>
      </w:pPr>
    </w:p>
    <w:p w14:paraId="76A3AAA6" w14:textId="77777777" w:rsidR="0000374E" w:rsidRPr="00E14102" w:rsidRDefault="0000374E" w:rsidP="00E14102">
      <w:pPr>
        <w:pStyle w:val="rtejustify"/>
        <w:spacing w:before="0" w:after="0"/>
        <w:rPr>
          <w:color w:val="000000" w:themeColor="text1"/>
          <w:sz w:val="16"/>
          <w:szCs w:val="16"/>
        </w:rPr>
      </w:pPr>
      <w:r w:rsidRPr="00E14102">
        <w:rPr>
          <w:rStyle w:val="a6"/>
          <w:bCs/>
          <w:i w:val="0"/>
          <w:color w:val="000000" w:themeColor="text1"/>
          <w:sz w:val="16"/>
          <w:szCs w:val="16"/>
        </w:rPr>
        <w:t>4 сентября 1935 вышел приказ НКО №</w:t>
      </w:r>
      <w:r w:rsidRPr="00E14102">
        <w:rPr>
          <w:color w:val="000000" w:themeColor="text1"/>
          <w:sz w:val="16"/>
          <w:szCs w:val="16"/>
        </w:rPr>
        <w:t> 0070. О вводе на вооружение РККА полевой стереотрубы, панорам орудийной и зенитной и бинокля полевого (15247).</w:t>
      </w:r>
    </w:p>
    <w:p w14:paraId="7FD69BE9" w14:textId="77777777" w:rsidR="0000374E" w:rsidRPr="00E14102" w:rsidRDefault="0000374E" w:rsidP="00E14102">
      <w:pPr>
        <w:pStyle w:val="rtejustify"/>
        <w:spacing w:before="0" w:after="0"/>
        <w:rPr>
          <w:color w:val="000000" w:themeColor="text1"/>
          <w:sz w:val="16"/>
          <w:szCs w:val="16"/>
        </w:rPr>
      </w:pPr>
    </w:p>
    <w:p w14:paraId="6728325A" w14:textId="77777777" w:rsidR="0000374E" w:rsidRPr="00E14102" w:rsidRDefault="0000374E" w:rsidP="00E14102">
      <w:pPr>
        <w:pStyle w:val="rtejustify"/>
        <w:spacing w:before="0" w:after="0"/>
        <w:rPr>
          <w:color w:val="000000" w:themeColor="text1"/>
          <w:sz w:val="16"/>
          <w:szCs w:val="16"/>
        </w:rPr>
      </w:pPr>
      <w:r w:rsidRPr="00E14102">
        <w:rPr>
          <w:rStyle w:val="a6"/>
          <w:bCs/>
          <w:i w:val="0"/>
          <w:color w:val="000000" w:themeColor="text1"/>
          <w:sz w:val="16"/>
          <w:szCs w:val="16"/>
        </w:rPr>
        <w:t>4 сентября 1935 вышел приказ НКО №</w:t>
      </w:r>
      <w:r w:rsidRPr="00E14102">
        <w:rPr>
          <w:color w:val="000000" w:themeColor="text1"/>
          <w:sz w:val="16"/>
          <w:szCs w:val="16"/>
        </w:rPr>
        <w:t> 0168. О назначении комиссии для проведения войсковых испытаний средств химического вооружения конницы (15247).</w:t>
      </w:r>
    </w:p>
    <w:p w14:paraId="0C209884" w14:textId="77777777" w:rsidR="0000374E" w:rsidRPr="00E14102" w:rsidRDefault="0000374E" w:rsidP="00E14102">
      <w:pPr>
        <w:pStyle w:val="rtejustify"/>
        <w:spacing w:before="0" w:after="0"/>
        <w:rPr>
          <w:color w:val="000000" w:themeColor="text1"/>
          <w:sz w:val="16"/>
          <w:szCs w:val="16"/>
        </w:rPr>
      </w:pPr>
    </w:p>
    <w:p w14:paraId="5987B00E" w14:textId="77777777" w:rsidR="0000374E" w:rsidRPr="00E14102" w:rsidRDefault="0000374E" w:rsidP="00E14102">
      <w:pPr>
        <w:pStyle w:val="rtejustify"/>
        <w:spacing w:before="0" w:after="0"/>
        <w:rPr>
          <w:color w:val="000000" w:themeColor="text1"/>
          <w:sz w:val="16"/>
          <w:szCs w:val="16"/>
        </w:rPr>
      </w:pPr>
      <w:r w:rsidRPr="00E14102">
        <w:rPr>
          <w:rStyle w:val="a6"/>
          <w:bCs/>
          <w:i w:val="0"/>
          <w:color w:val="000000" w:themeColor="text1"/>
          <w:sz w:val="16"/>
          <w:szCs w:val="16"/>
        </w:rPr>
        <w:t>4 сентября 1935 вышел приказ НКО №</w:t>
      </w:r>
      <w:r w:rsidRPr="00E14102">
        <w:rPr>
          <w:color w:val="000000" w:themeColor="text1"/>
          <w:sz w:val="16"/>
          <w:szCs w:val="16"/>
        </w:rPr>
        <w:t> 0069. О назначении комиссии для производства войсковых испытаний прибора «Береговой Симпелкс» (15247).</w:t>
      </w:r>
    </w:p>
    <w:p w14:paraId="4579FA74" w14:textId="77777777" w:rsidR="0000374E" w:rsidRPr="00E14102" w:rsidRDefault="0000374E" w:rsidP="00E14102">
      <w:pPr>
        <w:pStyle w:val="rtejustify"/>
        <w:spacing w:before="0" w:after="0"/>
        <w:rPr>
          <w:color w:val="000000" w:themeColor="text1"/>
          <w:sz w:val="16"/>
          <w:szCs w:val="16"/>
        </w:rPr>
      </w:pPr>
    </w:p>
    <w:p w14:paraId="738A0729" w14:textId="77777777" w:rsidR="0000374E" w:rsidRPr="00E14102" w:rsidRDefault="0000374E" w:rsidP="00E14102">
      <w:pPr>
        <w:pStyle w:val="rtejustify"/>
        <w:spacing w:before="0" w:after="0"/>
        <w:rPr>
          <w:color w:val="000000" w:themeColor="text1"/>
          <w:sz w:val="16"/>
          <w:szCs w:val="16"/>
        </w:rPr>
      </w:pPr>
      <w:r w:rsidRPr="00E14102">
        <w:rPr>
          <w:rStyle w:val="a6"/>
          <w:bCs/>
          <w:i w:val="0"/>
          <w:color w:val="000000" w:themeColor="text1"/>
          <w:sz w:val="16"/>
          <w:szCs w:val="16"/>
        </w:rPr>
        <w:t>4 сентября 1935 вышел приказ НКО №</w:t>
      </w:r>
      <w:r w:rsidRPr="00E14102">
        <w:rPr>
          <w:color w:val="000000" w:themeColor="text1"/>
          <w:sz w:val="16"/>
          <w:szCs w:val="16"/>
        </w:rPr>
        <w:t> 0171. Об организации приемки АУ РККА во второй смене и на новых производствах (15247).</w:t>
      </w:r>
    </w:p>
    <w:p w14:paraId="114193A1" w14:textId="77777777" w:rsidR="0000374E" w:rsidRPr="00E14102" w:rsidRDefault="0000374E" w:rsidP="00E14102">
      <w:pPr>
        <w:pStyle w:val="rtejustify"/>
        <w:spacing w:before="0" w:after="0"/>
        <w:rPr>
          <w:color w:val="000000" w:themeColor="text1"/>
          <w:sz w:val="16"/>
          <w:szCs w:val="16"/>
        </w:rPr>
      </w:pPr>
    </w:p>
    <w:p w14:paraId="1BC931FA" w14:textId="77777777" w:rsidR="0000374E" w:rsidRPr="00E14102" w:rsidRDefault="0000374E" w:rsidP="00E14102">
      <w:pPr>
        <w:pStyle w:val="rtejustify"/>
        <w:spacing w:before="0" w:after="0"/>
        <w:rPr>
          <w:color w:val="000000" w:themeColor="text1"/>
          <w:sz w:val="16"/>
          <w:szCs w:val="16"/>
        </w:rPr>
      </w:pPr>
      <w:r w:rsidRPr="00E14102">
        <w:rPr>
          <w:rStyle w:val="a6"/>
          <w:bCs/>
          <w:i w:val="0"/>
          <w:color w:val="000000" w:themeColor="text1"/>
          <w:sz w:val="16"/>
          <w:szCs w:val="16"/>
        </w:rPr>
        <w:t>4 сентября 1935 вышел приказ НКО №</w:t>
      </w:r>
      <w:r w:rsidRPr="00E14102">
        <w:rPr>
          <w:color w:val="000000" w:themeColor="text1"/>
          <w:sz w:val="16"/>
          <w:szCs w:val="16"/>
        </w:rPr>
        <w:t> 0068. О мероприятиях для обеспечения работ по чертежам и техническим условиям лит. «Б» на предметы артвооружения (15247).</w:t>
      </w:r>
    </w:p>
    <w:p w14:paraId="108EF6ED" w14:textId="77777777" w:rsidR="0000374E" w:rsidRPr="00E14102" w:rsidRDefault="0000374E" w:rsidP="00E14102">
      <w:pPr>
        <w:pStyle w:val="rtejustify"/>
        <w:spacing w:before="0" w:after="0"/>
        <w:rPr>
          <w:color w:val="000000" w:themeColor="text1"/>
          <w:sz w:val="16"/>
          <w:szCs w:val="16"/>
        </w:rPr>
      </w:pPr>
    </w:p>
    <w:p w14:paraId="57A390ED" w14:textId="77777777" w:rsidR="0000374E" w:rsidRPr="00E14102" w:rsidRDefault="0000374E" w:rsidP="00E14102">
      <w:pPr>
        <w:pStyle w:val="rtejustify"/>
        <w:spacing w:before="0" w:after="0"/>
        <w:rPr>
          <w:color w:val="000000" w:themeColor="text1"/>
          <w:sz w:val="16"/>
          <w:szCs w:val="16"/>
        </w:rPr>
      </w:pPr>
      <w:r w:rsidRPr="00E14102">
        <w:rPr>
          <w:rStyle w:val="a6"/>
          <w:bCs/>
          <w:i w:val="0"/>
          <w:color w:val="000000" w:themeColor="text1"/>
          <w:sz w:val="16"/>
          <w:szCs w:val="16"/>
        </w:rPr>
        <w:t>4 сентября 1935 вышел приказ НКО №</w:t>
      </w:r>
      <w:r w:rsidRPr="00E14102">
        <w:rPr>
          <w:color w:val="000000" w:themeColor="text1"/>
          <w:sz w:val="16"/>
          <w:szCs w:val="16"/>
        </w:rPr>
        <w:t> 0073. Об утверждении ведомостей перехода на чертежи и технические условия лит. «Б» по изделиям артхимии и распространении приказа № 004 на Главхимпром (15247).</w:t>
      </w:r>
    </w:p>
    <w:p w14:paraId="38FBC218" w14:textId="77777777" w:rsidR="0000374E" w:rsidRPr="00E14102" w:rsidRDefault="0000374E" w:rsidP="00E14102">
      <w:pPr>
        <w:pStyle w:val="rtejustify"/>
        <w:spacing w:before="0" w:after="0"/>
        <w:rPr>
          <w:color w:val="000000" w:themeColor="text1"/>
          <w:sz w:val="16"/>
          <w:szCs w:val="16"/>
        </w:rPr>
      </w:pPr>
    </w:p>
    <w:p w14:paraId="2D51DF12" w14:textId="77777777" w:rsidR="0000374E" w:rsidRPr="00E14102" w:rsidRDefault="0000374E" w:rsidP="00E14102">
      <w:pPr>
        <w:pStyle w:val="rtejustify"/>
        <w:spacing w:before="0" w:after="0"/>
        <w:rPr>
          <w:color w:val="000000" w:themeColor="text1"/>
          <w:sz w:val="16"/>
          <w:szCs w:val="16"/>
        </w:rPr>
      </w:pPr>
      <w:r w:rsidRPr="00E14102">
        <w:rPr>
          <w:rStyle w:val="a6"/>
          <w:bCs/>
          <w:i w:val="0"/>
          <w:color w:val="000000" w:themeColor="text1"/>
          <w:sz w:val="16"/>
          <w:szCs w:val="16"/>
        </w:rPr>
        <w:t>4/11 сентября 1935 вышел приказ НКТП № 0073/166сс.</w:t>
      </w:r>
      <w:r w:rsidRPr="00E14102">
        <w:rPr>
          <w:color w:val="000000" w:themeColor="text1"/>
          <w:sz w:val="16"/>
          <w:szCs w:val="16"/>
        </w:rPr>
        <w:t xml:space="preserve"> Об утверждении чертежей и технических условий литеры «Б» по изделиям артиллерийской химии. (РГАЭ. Ф. 7297. Оп. 38. Д. 171. Л. 316). (</w:t>
      </w:r>
      <w:r w:rsidRPr="00E14102">
        <w:rPr>
          <w:rStyle w:val="a6"/>
          <w:i w:val="0"/>
          <w:color w:val="000000" w:themeColor="text1"/>
          <w:sz w:val="16"/>
          <w:szCs w:val="16"/>
        </w:rPr>
        <w:t>Объединенный с НКО СССР</w:t>
      </w:r>
      <w:r w:rsidRPr="00E14102">
        <w:rPr>
          <w:color w:val="000000" w:themeColor="text1"/>
          <w:sz w:val="16"/>
          <w:szCs w:val="16"/>
        </w:rPr>
        <w:t>) (15246).</w:t>
      </w:r>
    </w:p>
    <w:p w14:paraId="38E792E7" w14:textId="77777777" w:rsidR="0000374E" w:rsidRPr="00E14102" w:rsidRDefault="0000374E" w:rsidP="00E14102">
      <w:pPr>
        <w:pStyle w:val="rtejustify"/>
        <w:spacing w:before="0" w:after="0"/>
        <w:rPr>
          <w:color w:val="000000" w:themeColor="text1"/>
          <w:sz w:val="16"/>
          <w:szCs w:val="16"/>
        </w:rPr>
      </w:pPr>
    </w:p>
    <w:p w14:paraId="26FB67D5" w14:textId="77777777" w:rsidR="0000374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5CB2DE6" w14:textId="77777777" w:rsidR="0000374E" w:rsidRPr="00E14102" w:rsidRDefault="0000374E" w:rsidP="00E14102">
      <w:pPr>
        <w:autoSpaceDE w:val="0"/>
        <w:autoSpaceDN w:val="0"/>
        <w:adjustRightInd w:val="0"/>
        <w:jc w:val="both"/>
        <w:rPr>
          <w:iCs/>
          <w:color w:val="000000" w:themeColor="text1"/>
          <w:sz w:val="16"/>
          <w:szCs w:val="16"/>
        </w:rPr>
      </w:pPr>
    </w:p>
    <w:p w14:paraId="2EAC8A07" w14:textId="77777777" w:rsidR="0000374E" w:rsidRPr="00E14102" w:rsidRDefault="0000374E" w:rsidP="00E14102">
      <w:pPr>
        <w:jc w:val="both"/>
        <w:rPr>
          <w:color w:val="000000" w:themeColor="text1"/>
          <w:sz w:val="16"/>
          <w:szCs w:val="16"/>
        </w:rPr>
      </w:pPr>
      <w:r w:rsidRPr="00E14102">
        <w:rPr>
          <w:bCs/>
          <w:color w:val="000000" w:themeColor="text1"/>
          <w:sz w:val="16"/>
          <w:szCs w:val="16"/>
        </w:rPr>
        <w:t>4 сентября 1935 года</w:t>
      </w:r>
      <w:r w:rsidRPr="00E14102">
        <w:rPr>
          <w:color w:val="000000" w:themeColor="text1"/>
          <w:sz w:val="16"/>
          <w:szCs w:val="16"/>
        </w:rPr>
        <w:t xml:space="preserve"> В воздух поднялся серийный английский легкий бомбардировщик Hind (14759).</w:t>
      </w:r>
    </w:p>
    <w:p w14:paraId="2C37EE3C" w14:textId="77777777" w:rsidR="0000374E" w:rsidRPr="00E14102" w:rsidRDefault="0000374E" w:rsidP="00E14102">
      <w:pPr>
        <w:jc w:val="both"/>
        <w:rPr>
          <w:color w:val="000000" w:themeColor="text1"/>
          <w:sz w:val="16"/>
          <w:szCs w:val="16"/>
        </w:rPr>
      </w:pPr>
    </w:p>
    <w:p w14:paraId="5CC784AF" w14:textId="77777777" w:rsidR="00A33F80" w:rsidRPr="00E14102" w:rsidRDefault="00A33F80" w:rsidP="00E14102">
      <w:pPr>
        <w:jc w:val="both"/>
        <w:rPr>
          <w:color w:val="0070C0"/>
          <w:sz w:val="16"/>
          <w:szCs w:val="16"/>
        </w:rPr>
      </w:pPr>
      <w:r w:rsidRPr="00E14102">
        <w:rPr>
          <w:color w:val="0070C0"/>
          <w:sz w:val="16"/>
          <w:szCs w:val="16"/>
        </w:rPr>
        <w:t>4 сентября 1935 - В воздух поднялся первый серийный английский лёгкий бомбардировщик Hind, спустя год после первого полёта опытного самолёта (22375).</w:t>
      </w:r>
    </w:p>
    <w:p w14:paraId="6D3A1486" w14:textId="77777777" w:rsidR="00A33F80" w:rsidRPr="00E14102" w:rsidRDefault="00A33F80" w:rsidP="00E14102">
      <w:pPr>
        <w:shd w:val="clear" w:color="auto" w:fill="FFFFFF"/>
        <w:jc w:val="both"/>
        <w:rPr>
          <w:color w:val="0070C0"/>
          <w:sz w:val="16"/>
          <w:szCs w:val="16"/>
        </w:rPr>
      </w:pPr>
    </w:p>
    <w:p w14:paraId="78BB366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1231FFA" w14:textId="77777777" w:rsidR="00D4105E" w:rsidRPr="00E14102" w:rsidRDefault="00D4105E" w:rsidP="00E14102">
      <w:pPr>
        <w:autoSpaceDE w:val="0"/>
        <w:autoSpaceDN w:val="0"/>
        <w:adjustRightInd w:val="0"/>
        <w:jc w:val="both"/>
        <w:rPr>
          <w:iCs/>
          <w:color w:val="000000" w:themeColor="text1"/>
          <w:sz w:val="16"/>
          <w:szCs w:val="16"/>
        </w:rPr>
      </w:pPr>
    </w:p>
    <w:p w14:paraId="7B8E9E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сентября 1935 в АБ НИИ ВВС закончились войсковые испытания АНТ-4 с ракетными ускорителями, которые проходили с 20 августа 1936. Ускорители сокращали разбег на 50-70% (1016,156).</w:t>
      </w:r>
    </w:p>
    <w:p w14:paraId="296CF8EE" w14:textId="77777777" w:rsidR="00D4105E" w:rsidRPr="00E14102" w:rsidRDefault="00D4105E" w:rsidP="00E14102">
      <w:pPr>
        <w:autoSpaceDE w:val="0"/>
        <w:autoSpaceDN w:val="0"/>
        <w:adjustRightInd w:val="0"/>
        <w:jc w:val="both"/>
        <w:rPr>
          <w:color w:val="000000" w:themeColor="text1"/>
          <w:sz w:val="16"/>
          <w:szCs w:val="16"/>
        </w:rPr>
      </w:pPr>
    </w:p>
    <w:p w14:paraId="54967988" w14:textId="77777777" w:rsidR="008D0D6A" w:rsidRPr="00E14102" w:rsidRDefault="008D0D6A" w:rsidP="00E14102">
      <w:pPr>
        <w:jc w:val="both"/>
        <w:rPr>
          <w:color w:val="000000" w:themeColor="text1"/>
          <w:sz w:val="16"/>
          <w:szCs w:val="16"/>
        </w:rPr>
      </w:pPr>
      <w:r w:rsidRPr="00E14102">
        <w:rPr>
          <w:color w:val="000000" w:themeColor="text1"/>
          <w:sz w:val="16"/>
          <w:szCs w:val="16"/>
        </w:rPr>
        <w:t xml:space="preserve">5 сентября 1935 закончились лётные испытания ракетного старта в НИИ ВВС на двух бомбардировщиках (заводские номера 651 и 726), которые проводились с 20 августа. Длина разбега сократилась на 50–70 %. Вскоре программу испытаний пришлось прервать, так как выяснилось, что при многократном использовании стартовых ускорителей конструкция не выдерживает нагрузок от мощных реактивных импульсов (каждая из шести пороховых ракет в течение двух секунд создавала тягу 1700 кгс). «При испытании ракетных ускорителей на ТБ-1 в НИИ ВВС установлено, что после 4–5 благополучных взлётов в дальнейшем стали лететь заклёпки у обшивки крыла самолёта. Получил серьёзные повреждения также руль высоты и подъёмник стабилизатора» </w:t>
      </w:r>
      <w:hyperlink r:id="rId195" w:history="1">
        <w:r w:rsidRPr="00E14102">
          <w:rPr>
            <w:color w:val="000000" w:themeColor="text1"/>
            <w:sz w:val="16"/>
            <w:szCs w:val="16"/>
          </w:rPr>
          <w:t>[68]</w:t>
        </w:r>
      </w:hyperlink>
      <w:r w:rsidRPr="00E14102">
        <w:rPr>
          <w:color w:val="000000" w:themeColor="text1"/>
          <w:sz w:val="16"/>
          <w:szCs w:val="16"/>
        </w:rPr>
        <w:t xml:space="preserve"> (17489).</w:t>
      </w:r>
    </w:p>
    <w:p w14:paraId="2BC143A7" w14:textId="77777777" w:rsidR="008D0D6A" w:rsidRPr="00E14102" w:rsidRDefault="008D0D6A" w:rsidP="00E14102">
      <w:pPr>
        <w:jc w:val="both"/>
        <w:rPr>
          <w:color w:val="000000" w:themeColor="text1"/>
          <w:sz w:val="16"/>
          <w:szCs w:val="16"/>
        </w:rPr>
      </w:pPr>
    </w:p>
    <w:p w14:paraId="304D31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 5 сентября по 26 октября 1935 в НИИ ВВС состоялись летные исследования ТБ-3 4М-34РН N 22570 по определению поляры. Отв. исполнители: и Доброхотов, и Н.В.Иванов. Цель исследований:</w:t>
      </w:r>
    </w:p>
    <w:p w14:paraId="1C6013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Снятие поляры ТБ-3 4М-34РН на планировании и при работающих моторах</w:t>
      </w:r>
    </w:p>
    <w:p w14:paraId="2CC689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Проработка методики эксперимента по снятию поляры на многомоторном самолете (2931).</w:t>
      </w:r>
    </w:p>
    <w:p w14:paraId="578FEFB3" w14:textId="77777777" w:rsidR="00D4105E" w:rsidRPr="00E14102" w:rsidRDefault="00D4105E" w:rsidP="00E14102">
      <w:pPr>
        <w:autoSpaceDE w:val="0"/>
        <w:autoSpaceDN w:val="0"/>
        <w:adjustRightInd w:val="0"/>
        <w:jc w:val="both"/>
        <w:rPr>
          <w:color w:val="000000" w:themeColor="text1"/>
          <w:sz w:val="16"/>
          <w:szCs w:val="16"/>
        </w:rPr>
      </w:pPr>
    </w:p>
    <w:p w14:paraId="47EB94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сентября 1935 года начальник управления воздушных сил Алкснис писал письмо № 00390 наркому обороны</w:t>
      </w:r>
    </w:p>
    <w:p w14:paraId="339D56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результатах госиспытаний Р5-М34Н (Р-ЗЕТ) постройки завода № 1 и срыве плана заказов и плана перевооружения 1935 года по легким бомбардировщикам и разведчикам</w:t>
      </w:r>
    </w:p>
    <w:p w14:paraId="360886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w:t>
      </w:r>
    </w:p>
    <w:p w14:paraId="0022C1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Госиспытания самолета Р5-М34Н (Р-ЗЕТ) постройки завода № 1 дали следующие результаты:</w:t>
      </w:r>
    </w:p>
    <w:p w14:paraId="506D2A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у земли (в зависимости от положения радиатора) – 265-267 км</w:t>
      </w:r>
    </w:p>
    <w:p w14:paraId="0706EE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на 3500 м – 305-316 км</w:t>
      </w:r>
    </w:p>
    <w:p w14:paraId="2FEF9D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на 5000 м – 299-310 км</w:t>
      </w:r>
    </w:p>
    <w:p w14:paraId="166775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подъема на 5000 м – 11, 8 мин.</w:t>
      </w:r>
    </w:p>
    <w:p w14:paraId="1A0147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 8700 м</w:t>
      </w:r>
    </w:p>
    <w:p w14:paraId="3E1F63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Полезная нагрузка 1143 кг</w:t>
      </w:r>
    </w:p>
    <w:p w14:paraId="5533DD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летным данным Р5-М34Н превосходит Р5-М17 (скорость на 70 км; скороподъемность на 5000 м – 8,5 мин.; потолок на 1900 м).</w:t>
      </w:r>
    </w:p>
    <w:p w14:paraId="41C15A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он уступает заграничным разведчикам уже состоящим на снабжении по скорости на 10-35 км, скороподъемности на 1-3 мин., потолку – 1500-1900 м, но превосходит их грузоподъемностью на 310-350 кг.</w:t>
      </w:r>
    </w:p>
    <w:p w14:paraId="31ABC0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этом самолет Р5-М34Н (Р-ЗЕТ) имеет целый ряд серьезных дефектов, выявленных испытаниями, благодаря которым введение Р5-М34Н в его теперешнем виде на снабжение и вооружение ВС – невозможно.</w:t>
      </w:r>
    </w:p>
    <w:p w14:paraId="25054C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5757FF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основными недочетами в конструкции самолета, выявленными на испытаниях, являются:</w:t>
      </w:r>
    </w:p>
    <w:p w14:paraId="65DF253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Нерегулируемый в воздухе стабилизатор и неуправляемые флетнера, что сильно усложняет пилотирование самолета в полете.</w:t>
      </w:r>
    </w:p>
    <w:p w14:paraId="3CA3132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Большой разбег самолета на взлете, большой пробег при посадке и крайне пологое планирование, что делает самолет непригодным для применения на полевых площадках с закрытыми подходами и ограниченными размерами (меньше 1000х1000 м).</w:t>
      </w:r>
    </w:p>
    <w:p w14:paraId="5723BD0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Совершенно неудовлетворительный обзор для летчика в воздушном бою, благодаря неудовлетворительной конструкции фонаря.</w:t>
      </w:r>
    </w:p>
    <w:p w14:paraId="11169B6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Совершенно неудовлетворительная кабина летчика-наблюдателя по своей тесноте и крайней затрудненности работы с прицелом, компасом и турелью, что затрудняет ведение ориентировки в полете (измерение сносов) и прицельное бомбометание.</w:t>
      </w:r>
    </w:p>
    <w:p w14:paraId="2B55195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Недостаточная прочность хвостовой части фюзеляжа.</w:t>
      </w:r>
    </w:p>
    <w:p w14:paraId="7ABAAED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Неисследованность и неясность поведения самолета на штопоре.</w:t>
      </w:r>
    </w:p>
    <w:p w14:paraId="66D1844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Недоработанность системы охлаждения.</w:t>
      </w:r>
    </w:p>
    <w:p w14:paraId="0ECD924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Недоработанность стрелкового, химического и бомбардировочного вооружения.</w:t>
      </w:r>
    </w:p>
    <w:p w14:paraId="7F70B3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Большинство отмеченных госиспытаниями дефектов самолета может быть устранено заводом № 1 в краткие сроки при соответствующей организации и ускорении темпов работ, которые шли до настоящего времени недопустимо медленно и привели к тому, что за 4,5 месяца до окончания года завод 3 1 не дал образца самолета …….</w:t>
      </w:r>
    </w:p>
    <w:p w14:paraId="219DB1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тем, завод на свой риск и страх, затягивая, с одной стороны, выпуск образца самолета Р-ЗЕТ против всех им самим даваемых сроков, с другой стороны, не дожидаясь выхода образца и его испытания – запустил в производство значительный задел этих самолетов, прекрасно зная о наличии крупных конструктивных дефектов в самолете Р-ЗЕТ.</w:t>
      </w:r>
    </w:p>
    <w:p w14:paraId="39BED0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самим заводом № 1 созданы большие перспективы крупных переделок, а следовательно больших задержек выпуска серийных самолетов Р-ЗЕТ, с вытекающей отсюда дезорганизацией производства, удорожания продукции и т.д.</w:t>
      </w:r>
    </w:p>
    <w:p w14:paraId="6860C3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открытым и прямым отказом завода № 1 от производства самолетов ЛР по постановлению СТО и в связи с вышеизложенным – ВВС, вероятно, в текущем году совершенно ничего не получит от Промышленности по разведчикам и легким бомбардировщикам по заказу 1935 на новые типы.</w:t>
      </w:r>
    </w:p>
    <w:p w14:paraId="632D45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все это благодаря полному своеволию директора завода № 1 Беленковича, не признающего решений правительства и не считающего нужным выполнять в обусловленные сроки принятые на себя обязательства.</w:t>
      </w:r>
    </w:p>
    <w:p w14:paraId="5ACF64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Ходатайствую о привлечении к ответственности директора завода 31 Беленковича за срыв плана заказа на новые типы легкого бомбардировщика и разведчика и, следовательно, плана оргмероприятия и план перевооружения по ВС в части легко бомбардировочной и разведывательной авиации, как об этом Вами лично еще в марте 1935 года был предупрежден Беленкович устно и письменно (3475,147-148).</w:t>
      </w:r>
    </w:p>
    <w:p w14:paraId="614548DB" w14:textId="77777777" w:rsidR="00D4105E" w:rsidRPr="00E14102" w:rsidRDefault="00D4105E" w:rsidP="00E14102">
      <w:pPr>
        <w:autoSpaceDE w:val="0"/>
        <w:autoSpaceDN w:val="0"/>
        <w:adjustRightInd w:val="0"/>
        <w:jc w:val="both"/>
        <w:rPr>
          <w:color w:val="000000" w:themeColor="text1"/>
          <w:sz w:val="16"/>
          <w:szCs w:val="16"/>
        </w:rPr>
      </w:pPr>
    </w:p>
    <w:p w14:paraId="3A08EB73" w14:textId="77777777" w:rsidR="008C60DE" w:rsidRPr="00E14102" w:rsidRDefault="008C60DE" w:rsidP="00E14102">
      <w:pPr>
        <w:jc w:val="both"/>
        <w:rPr>
          <w:color w:val="000000" w:themeColor="text1"/>
          <w:sz w:val="16"/>
          <w:szCs w:val="16"/>
        </w:rPr>
      </w:pPr>
      <w:r w:rsidRPr="00E14102">
        <w:rPr>
          <w:color w:val="000000" w:themeColor="text1"/>
          <w:sz w:val="16"/>
          <w:szCs w:val="16"/>
        </w:rPr>
        <w:t>5 сентября 1935 полё</w:t>
      </w:r>
      <w:r w:rsidRPr="00E14102">
        <w:rPr>
          <w:color w:val="000000" w:themeColor="text1"/>
          <w:sz w:val="16"/>
          <w:szCs w:val="16"/>
        </w:rPr>
        <w:softHyphen/>
        <w:t>ты на ДИП возобновились и с перерывами на доработки и доводки самолёта и обо</w:t>
      </w:r>
      <w:r w:rsidRPr="00E14102">
        <w:rPr>
          <w:color w:val="000000" w:themeColor="text1"/>
          <w:sz w:val="16"/>
          <w:szCs w:val="16"/>
        </w:rPr>
        <w:softHyphen/>
        <w:t>рудования продолжались до марта 1936 г. 28 марта поступило распоряжение о пре</w:t>
      </w:r>
      <w:r w:rsidRPr="00E14102">
        <w:rPr>
          <w:color w:val="000000" w:themeColor="text1"/>
          <w:sz w:val="16"/>
          <w:szCs w:val="16"/>
        </w:rPr>
        <w:softHyphen/>
        <w:t>кращении работ на самолёте ДИП. За время испытаний самолёта лётчики-испытатели Н.П. Благин, С.А. Корзинщиков, М.М. Громов, К.К. Попов и А.П. Чернавский выполнили 41 полёт общей продолжительностью 21 час 41 мин. По результатам испытаний соста</w:t>
      </w:r>
      <w:r w:rsidRPr="00E14102">
        <w:rPr>
          <w:color w:val="000000" w:themeColor="text1"/>
          <w:sz w:val="16"/>
          <w:szCs w:val="16"/>
        </w:rPr>
        <w:softHyphen/>
        <w:t>вили отчёт, в выводах которого отмечалось:</w:t>
      </w:r>
    </w:p>
    <w:p w14:paraId="033D7838" w14:textId="77777777" w:rsidR="008C60DE" w:rsidRPr="00E14102" w:rsidRDefault="008C60DE" w:rsidP="00E14102">
      <w:pPr>
        <w:jc w:val="both"/>
        <w:rPr>
          <w:color w:val="000000" w:themeColor="text1"/>
          <w:sz w:val="16"/>
          <w:szCs w:val="16"/>
        </w:rPr>
      </w:pPr>
      <w:r w:rsidRPr="00E14102">
        <w:rPr>
          <w:color w:val="000000" w:themeColor="text1"/>
          <w:sz w:val="16"/>
          <w:szCs w:val="16"/>
        </w:rPr>
        <w:t>«1. Скороподъёмность самолёта на лыжах до высоты 5000 м при полётном весе 5300 кг равна 9,6 мин</w:t>
      </w:r>
    </w:p>
    <w:p w14:paraId="68399CDC" w14:textId="77777777" w:rsidR="008C60DE" w:rsidRPr="00E14102" w:rsidRDefault="008C60DE" w:rsidP="00E14102">
      <w:pPr>
        <w:tabs>
          <w:tab w:val="left" w:pos="428"/>
        </w:tabs>
        <w:jc w:val="both"/>
        <w:rPr>
          <w:color w:val="000000" w:themeColor="text1"/>
          <w:sz w:val="16"/>
          <w:szCs w:val="16"/>
        </w:rPr>
      </w:pPr>
      <w:r w:rsidRPr="00E14102">
        <w:rPr>
          <w:color w:val="000000" w:themeColor="text1"/>
          <w:sz w:val="16"/>
          <w:szCs w:val="16"/>
        </w:rPr>
        <w:t>2. Максимальная скорость горизонтального полёта на пределе высотности (4100 м) равна 352 км/ч.</w:t>
      </w:r>
    </w:p>
    <w:p w14:paraId="05439DB0" w14:textId="77777777" w:rsidR="008C60DE" w:rsidRPr="00E14102" w:rsidRDefault="008C60DE" w:rsidP="00E14102">
      <w:pPr>
        <w:jc w:val="both"/>
        <w:rPr>
          <w:color w:val="000000" w:themeColor="text1"/>
          <w:sz w:val="16"/>
          <w:szCs w:val="16"/>
        </w:rPr>
      </w:pPr>
      <w:r w:rsidRPr="00E14102">
        <w:rPr>
          <w:color w:val="000000" w:themeColor="text1"/>
          <w:sz w:val="16"/>
          <w:szCs w:val="16"/>
        </w:rPr>
        <w:t xml:space="preserve">ПРИМЕЧАНИЕ: Самолёт на колесах и с убранными шасси на скороподъёмность и </w:t>
      </w:r>
      <w:r w:rsidRPr="00E14102">
        <w:rPr>
          <w:color w:val="000000" w:themeColor="text1"/>
          <w:sz w:val="16"/>
          <w:szCs w:val="16"/>
          <w:lang w:val="en-US"/>
        </w:rPr>
        <w:t>V</w:t>
      </w:r>
      <w:r w:rsidRPr="00E14102">
        <w:rPr>
          <w:color w:val="000000" w:themeColor="text1"/>
          <w:sz w:val="16"/>
          <w:szCs w:val="16"/>
          <w:vertAlign w:val="subscript"/>
          <w:lang w:val="en-US"/>
        </w:rPr>
        <w:t>max</w:t>
      </w:r>
      <w:r w:rsidRPr="00E14102">
        <w:rPr>
          <w:color w:val="000000" w:themeColor="text1"/>
          <w:sz w:val="16"/>
          <w:szCs w:val="16"/>
        </w:rPr>
        <w:t>не испытан.</w:t>
      </w:r>
    </w:p>
    <w:p w14:paraId="0E05136D" w14:textId="77777777" w:rsidR="008C60DE" w:rsidRPr="00E14102" w:rsidRDefault="008C60DE" w:rsidP="00E14102">
      <w:pPr>
        <w:tabs>
          <w:tab w:val="left" w:pos="447"/>
        </w:tabs>
        <w:jc w:val="both"/>
        <w:rPr>
          <w:color w:val="000000" w:themeColor="text1"/>
          <w:sz w:val="16"/>
          <w:szCs w:val="16"/>
        </w:rPr>
      </w:pPr>
      <w:r w:rsidRPr="00E14102">
        <w:rPr>
          <w:color w:val="000000" w:themeColor="text1"/>
          <w:sz w:val="16"/>
          <w:szCs w:val="16"/>
        </w:rPr>
        <w:t>3. При нормальной нагрузке (5300 кг) положение центра тяжести соответствует — 35% х.р., устойчив же самолёт только при центровке 29% х.р. (нейтрален при центров</w:t>
      </w:r>
      <w:r w:rsidRPr="00E14102">
        <w:rPr>
          <w:color w:val="000000" w:themeColor="text1"/>
          <w:sz w:val="16"/>
          <w:szCs w:val="16"/>
        </w:rPr>
        <w:softHyphen/>
        <w:t>ке 29,7%). Необходимо обеспечить устойчивость самолета на более задних центровках.</w:t>
      </w:r>
    </w:p>
    <w:p w14:paraId="73C6EFB2" w14:textId="77777777" w:rsidR="008C60DE" w:rsidRPr="00E14102" w:rsidRDefault="008C60DE" w:rsidP="00E14102">
      <w:pPr>
        <w:tabs>
          <w:tab w:val="left" w:pos="433"/>
        </w:tabs>
        <w:jc w:val="both"/>
        <w:rPr>
          <w:color w:val="000000" w:themeColor="text1"/>
          <w:sz w:val="16"/>
          <w:szCs w:val="16"/>
        </w:rPr>
      </w:pPr>
      <w:r w:rsidRPr="00E14102">
        <w:rPr>
          <w:color w:val="000000" w:themeColor="text1"/>
          <w:sz w:val="16"/>
          <w:szCs w:val="16"/>
        </w:rPr>
        <w:t>4. Горизонтальное хвостовое оперение не доведено: стабилизатор не обеспечивает устойчивость самолёта на эксплуатационных центровках, при этом руль высоты велик. Необходимо увеличить стабилизатор и уменьшить руль высоты.</w:t>
      </w:r>
    </w:p>
    <w:p w14:paraId="31E67B39" w14:textId="77777777" w:rsidR="008C60DE" w:rsidRPr="00E14102" w:rsidRDefault="008C60DE" w:rsidP="00E14102">
      <w:pPr>
        <w:tabs>
          <w:tab w:val="left" w:pos="420"/>
        </w:tabs>
        <w:jc w:val="both"/>
        <w:rPr>
          <w:color w:val="000000" w:themeColor="text1"/>
          <w:sz w:val="16"/>
          <w:szCs w:val="16"/>
        </w:rPr>
      </w:pPr>
      <w:r w:rsidRPr="00E14102">
        <w:rPr>
          <w:color w:val="000000" w:themeColor="text1"/>
          <w:sz w:val="16"/>
          <w:szCs w:val="16"/>
        </w:rPr>
        <w:t>5. Руль поворотов доведён, но не имеет запаса на случай полёта с одним мотором.</w:t>
      </w:r>
    </w:p>
    <w:p w14:paraId="72120169" w14:textId="77777777" w:rsidR="008C60DE" w:rsidRPr="00E14102" w:rsidRDefault="008C60DE" w:rsidP="00E14102">
      <w:pPr>
        <w:jc w:val="both"/>
        <w:rPr>
          <w:color w:val="000000" w:themeColor="text1"/>
          <w:sz w:val="16"/>
          <w:szCs w:val="16"/>
        </w:rPr>
      </w:pPr>
      <w:r w:rsidRPr="00E14102">
        <w:rPr>
          <w:color w:val="000000" w:themeColor="text1"/>
          <w:sz w:val="16"/>
          <w:szCs w:val="16"/>
        </w:rPr>
        <w:t>Необходимо увеличить эффективность руля.</w:t>
      </w:r>
    </w:p>
    <w:p w14:paraId="37CD12D4" w14:textId="77777777" w:rsidR="008C60DE" w:rsidRPr="00E14102" w:rsidRDefault="008C60DE" w:rsidP="00E14102">
      <w:pPr>
        <w:tabs>
          <w:tab w:val="left" w:pos="418"/>
        </w:tabs>
        <w:jc w:val="both"/>
        <w:rPr>
          <w:color w:val="000000" w:themeColor="text1"/>
          <w:sz w:val="16"/>
          <w:szCs w:val="16"/>
        </w:rPr>
      </w:pPr>
      <w:r w:rsidRPr="00E14102">
        <w:rPr>
          <w:color w:val="000000" w:themeColor="text1"/>
          <w:sz w:val="16"/>
          <w:szCs w:val="16"/>
        </w:rPr>
        <w:t xml:space="preserve">6. Элероны доведены до </w:t>
      </w:r>
      <w:r w:rsidRPr="00E14102">
        <w:rPr>
          <w:color w:val="000000" w:themeColor="text1"/>
          <w:sz w:val="16"/>
          <w:szCs w:val="16"/>
          <w:lang w:val="en-US"/>
        </w:rPr>
        <w:t>V</w:t>
      </w:r>
      <w:r w:rsidRPr="00E14102">
        <w:rPr>
          <w:color w:val="000000" w:themeColor="text1"/>
          <w:sz w:val="16"/>
          <w:szCs w:val="16"/>
        </w:rPr>
        <w:t>=350 км/ч, за исключением необходимости постановки на одном из них триммера для уничтожения заваливания самолёта вправо.</w:t>
      </w:r>
    </w:p>
    <w:p w14:paraId="51582841" w14:textId="77777777" w:rsidR="008C60DE" w:rsidRPr="00E14102" w:rsidRDefault="008C60DE" w:rsidP="00E14102">
      <w:pPr>
        <w:tabs>
          <w:tab w:val="left" w:pos="423"/>
        </w:tabs>
        <w:jc w:val="both"/>
        <w:rPr>
          <w:color w:val="000000" w:themeColor="text1"/>
          <w:sz w:val="16"/>
          <w:szCs w:val="16"/>
        </w:rPr>
      </w:pPr>
      <w:r w:rsidRPr="00E14102">
        <w:rPr>
          <w:color w:val="000000" w:themeColor="text1"/>
          <w:sz w:val="16"/>
          <w:szCs w:val="16"/>
        </w:rPr>
        <w:t>7. Водяные радиаторы не обеспечивают нормального охлаждения моторам (малы) и чрезвычайно ненадёжны в эксплуатации (течь после каждой посадки). Необходимо по</w:t>
      </w:r>
      <w:r w:rsidRPr="00E14102">
        <w:rPr>
          <w:color w:val="000000" w:themeColor="text1"/>
          <w:sz w:val="16"/>
          <w:szCs w:val="16"/>
        </w:rPr>
        <w:softHyphen/>
        <w:t>ставить на самолёт новые увеличенные радиаторы.</w:t>
      </w:r>
    </w:p>
    <w:p w14:paraId="3E0D2C44" w14:textId="77777777" w:rsidR="008C60DE" w:rsidRPr="00E14102" w:rsidRDefault="008C60DE" w:rsidP="00E14102">
      <w:pPr>
        <w:tabs>
          <w:tab w:val="left" w:pos="418"/>
        </w:tabs>
        <w:jc w:val="both"/>
        <w:rPr>
          <w:color w:val="000000" w:themeColor="text1"/>
          <w:sz w:val="16"/>
          <w:szCs w:val="16"/>
        </w:rPr>
      </w:pPr>
      <w:r w:rsidRPr="00E14102">
        <w:rPr>
          <w:color w:val="000000" w:themeColor="text1"/>
          <w:sz w:val="16"/>
          <w:szCs w:val="16"/>
        </w:rPr>
        <w:t>8. Необходимо увеличить капотажный угол самолёта на лыжах, сделав вынос их рав</w:t>
      </w:r>
      <w:r w:rsidRPr="00E14102">
        <w:rPr>
          <w:color w:val="000000" w:themeColor="text1"/>
          <w:sz w:val="16"/>
          <w:szCs w:val="16"/>
        </w:rPr>
        <w:softHyphen/>
        <w:t>ными выносу колёс.</w:t>
      </w:r>
    </w:p>
    <w:p w14:paraId="1A6800B3" w14:textId="77777777" w:rsidR="008C60DE" w:rsidRPr="00E14102" w:rsidRDefault="008C60DE" w:rsidP="00E14102">
      <w:pPr>
        <w:tabs>
          <w:tab w:val="left" w:pos="425"/>
        </w:tabs>
        <w:jc w:val="both"/>
        <w:rPr>
          <w:color w:val="000000" w:themeColor="text1"/>
          <w:sz w:val="16"/>
          <w:szCs w:val="16"/>
        </w:rPr>
      </w:pPr>
      <w:r w:rsidRPr="00E14102">
        <w:rPr>
          <w:color w:val="000000" w:themeColor="text1"/>
          <w:sz w:val="16"/>
          <w:szCs w:val="16"/>
        </w:rPr>
        <w:t>9. Необходимо резко увеличить долговечность лыж.</w:t>
      </w:r>
    </w:p>
    <w:p w14:paraId="22EF9E42" w14:textId="77777777" w:rsidR="008C60DE" w:rsidRPr="00E14102" w:rsidRDefault="008C60DE" w:rsidP="00E14102">
      <w:pPr>
        <w:tabs>
          <w:tab w:val="left" w:pos="510"/>
        </w:tabs>
        <w:jc w:val="both"/>
        <w:rPr>
          <w:color w:val="000000" w:themeColor="text1"/>
          <w:sz w:val="16"/>
          <w:szCs w:val="16"/>
        </w:rPr>
      </w:pPr>
      <w:r w:rsidRPr="00E14102">
        <w:rPr>
          <w:color w:val="000000" w:themeColor="text1"/>
          <w:sz w:val="16"/>
          <w:szCs w:val="16"/>
        </w:rPr>
        <w:t>10. Гидропневматические тормоза ненадёжны и неудобны в эксплуатации. Необходимо поставить на самолёт новые колеса с тормозами последней конструкции.</w:t>
      </w:r>
    </w:p>
    <w:p w14:paraId="5D970B8A" w14:textId="77777777" w:rsidR="008C60DE" w:rsidRPr="00E14102" w:rsidRDefault="008C60DE" w:rsidP="00E14102">
      <w:pPr>
        <w:tabs>
          <w:tab w:val="left" w:pos="472"/>
        </w:tabs>
        <w:jc w:val="both"/>
        <w:rPr>
          <w:color w:val="000000" w:themeColor="text1"/>
          <w:sz w:val="16"/>
          <w:szCs w:val="16"/>
        </w:rPr>
      </w:pPr>
      <w:r w:rsidRPr="00E14102">
        <w:rPr>
          <w:color w:val="000000" w:themeColor="text1"/>
          <w:sz w:val="16"/>
          <w:szCs w:val="16"/>
        </w:rPr>
        <w:t>11. Подъём шасси, вооружение, радиооборудование и т.п. испытанию не подвергалось.</w:t>
      </w:r>
    </w:p>
    <w:p w14:paraId="06A28481" w14:textId="77777777" w:rsidR="008C60DE" w:rsidRPr="00E14102" w:rsidRDefault="008C60DE" w:rsidP="00E14102">
      <w:pPr>
        <w:tabs>
          <w:tab w:val="left" w:pos="698"/>
        </w:tabs>
        <w:jc w:val="both"/>
        <w:rPr>
          <w:color w:val="000000" w:themeColor="text1"/>
          <w:sz w:val="16"/>
          <w:szCs w:val="16"/>
        </w:rPr>
      </w:pPr>
      <w:r w:rsidRPr="00E14102">
        <w:rPr>
          <w:color w:val="000000" w:themeColor="text1"/>
          <w:sz w:val="16"/>
          <w:szCs w:val="16"/>
        </w:rPr>
        <w:t>12. По данным испытаний, проведенных ОПАК'ом по вибрации крыла и хвостового оперения самолёта ДИП получены следующие критические скорости:</w:t>
      </w:r>
    </w:p>
    <w:p w14:paraId="23C1F466" w14:textId="77777777" w:rsidR="008C60DE" w:rsidRPr="00E14102" w:rsidRDefault="008C60DE" w:rsidP="00E14102">
      <w:pPr>
        <w:pStyle w:val="96"/>
        <w:shd w:val="clear" w:color="auto" w:fill="auto"/>
        <w:tabs>
          <w:tab w:val="left" w:pos="975"/>
          <w:tab w:val="left" w:pos="5050"/>
        </w:tabs>
        <w:spacing w:line="240" w:lineRule="auto"/>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а)</w:t>
      </w:r>
      <w:r w:rsidRPr="00E14102">
        <w:rPr>
          <w:rFonts w:ascii="Times New Roman" w:hAnsi="Times New Roman" w:cs="Times New Roman"/>
          <w:color w:val="000000" w:themeColor="text1"/>
          <w:sz w:val="16"/>
          <w:szCs w:val="16"/>
        </w:rPr>
        <w:tab/>
      </w:r>
      <w:r w:rsidRPr="00E14102">
        <w:rPr>
          <w:rFonts w:ascii="Times New Roman" w:hAnsi="Times New Roman" w:cs="Times New Roman"/>
          <w:color w:val="000000" w:themeColor="text1"/>
          <w:sz w:val="16"/>
          <w:szCs w:val="16"/>
          <w:lang w:val="en-US"/>
        </w:rPr>
        <w:t>V</w:t>
      </w:r>
      <w:r w:rsidRPr="00E14102">
        <w:rPr>
          <w:rFonts w:ascii="Times New Roman" w:hAnsi="Times New Roman" w:cs="Times New Roman"/>
          <w:color w:val="000000" w:themeColor="text1"/>
          <w:sz w:val="16"/>
          <w:szCs w:val="16"/>
        </w:rPr>
        <w:t xml:space="preserve"> критич. крыла</w:t>
      </w:r>
      <w:r w:rsidRPr="00E14102">
        <w:rPr>
          <w:rStyle w:val="995pt"/>
          <w:rFonts w:ascii="Times New Roman" w:hAnsi="Times New Roman" w:cs="Times New Roman"/>
          <w:color w:val="000000" w:themeColor="text1"/>
          <w:sz w:val="16"/>
          <w:szCs w:val="16"/>
        </w:rPr>
        <w:tab/>
        <w:t>- 832 км/ч</w:t>
      </w:r>
    </w:p>
    <w:p w14:paraId="62C9B4FC" w14:textId="77777777" w:rsidR="008C60DE" w:rsidRPr="00E14102" w:rsidRDefault="008C60DE" w:rsidP="00E14102">
      <w:pPr>
        <w:pStyle w:val="96"/>
        <w:shd w:val="clear" w:color="auto" w:fill="auto"/>
        <w:tabs>
          <w:tab w:val="left" w:pos="980"/>
          <w:tab w:val="left" w:pos="5041"/>
        </w:tabs>
        <w:spacing w:line="240" w:lineRule="auto"/>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б)</w:t>
      </w:r>
      <w:r w:rsidRPr="00E14102">
        <w:rPr>
          <w:rStyle w:val="975pt"/>
          <w:rFonts w:ascii="Times New Roman" w:hAnsi="Times New Roman" w:cs="Times New Roman"/>
          <w:color w:val="000000" w:themeColor="text1"/>
          <w:sz w:val="16"/>
          <w:szCs w:val="16"/>
        </w:rPr>
        <w:tab/>
        <w:t>V кр</w:t>
      </w:r>
      <w:r w:rsidRPr="00E14102">
        <w:rPr>
          <w:rStyle w:val="975pt"/>
          <w:rFonts w:ascii="Times New Roman" w:hAnsi="Times New Roman" w:cs="Times New Roman"/>
          <w:color w:val="000000" w:themeColor="text1"/>
          <w:sz w:val="16"/>
          <w:szCs w:val="16"/>
          <w:vertAlign w:val="subscript"/>
        </w:rPr>
        <w:t>итич</w:t>
      </w:r>
      <w:r w:rsidRPr="00E14102">
        <w:rPr>
          <w:rStyle w:val="975pt"/>
          <w:rFonts w:ascii="Times New Roman" w:hAnsi="Times New Roman" w:cs="Times New Roman"/>
          <w:color w:val="000000" w:themeColor="text1"/>
          <w:sz w:val="16"/>
          <w:szCs w:val="16"/>
        </w:rPr>
        <w:t>.</w:t>
      </w:r>
      <w:r w:rsidRPr="00E14102">
        <w:rPr>
          <w:rFonts w:ascii="Times New Roman" w:hAnsi="Times New Roman" w:cs="Times New Roman"/>
          <w:color w:val="000000" w:themeColor="text1"/>
          <w:sz w:val="16"/>
          <w:szCs w:val="16"/>
          <w:lang w:val="en-US"/>
        </w:rPr>
        <w:t>c</w:t>
      </w:r>
      <w:r w:rsidRPr="00E14102">
        <w:rPr>
          <w:rFonts w:ascii="Times New Roman" w:hAnsi="Times New Roman" w:cs="Times New Roman"/>
          <w:color w:val="000000" w:themeColor="text1"/>
          <w:sz w:val="16"/>
          <w:szCs w:val="16"/>
        </w:rPr>
        <w:t>табилиз.</w:t>
      </w:r>
      <w:r w:rsidRPr="00E14102">
        <w:rPr>
          <w:rFonts w:ascii="Times New Roman" w:hAnsi="Times New Roman" w:cs="Times New Roman"/>
          <w:color w:val="000000" w:themeColor="text1"/>
          <w:sz w:val="16"/>
          <w:szCs w:val="16"/>
        </w:rPr>
        <w:tab/>
      </w:r>
      <w:r w:rsidRPr="00E14102">
        <w:rPr>
          <w:rFonts w:ascii="Times New Roman" w:hAnsi="Times New Roman" w:cs="Times New Roman"/>
          <w:color w:val="000000" w:themeColor="text1"/>
          <w:sz w:val="16"/>
          <w:szCs w:val="16"/>
          <w:vertAlign w:val="superscript"/>
        </w:rPr>
        <w:t>—</w:t>
      </w:r>
      <w:r w:rsidRPr="00E14102">
        <w:rPr>
          <w:rFonts w:ascii="Times New Roman" w:hAnsi="Times New Roman" w:cs="Times New Roman"/>
          <w:color w:val="000000" w:themeColor="text1"/>
          <w:sz w:val="16"/>
          <w:szCs w:val="16"/>
        </w:rPr>
        <w:t xml:space="preserve"> 435 КМ/Ч</w:t>
      </w:r>
    </w:p>
    <w:p w14:paraId="6F310FC5" w14:textId="77777777" w:rsidR="008C60DE" w:rsidRPr="00E14102" w:rsidRDefault="008C60DE" w:rsidP="00E14102">
      <w:pPr>
        <w:tabs>
          <w:tab w:val="left" w:pos="5046"/>
        </w:tabs>
        <w:jc w:val="both"/>
        <w:rPr>
          <w:color w:val="000000" w:themeColor="text1"/>
          <w:sz w:val="16"/>
          <w:szCs w:val="16"/>
        </w:rPr>
      </w:pPr>
      <w:r w:rsidRPr="00E14102">
        <w:rPr>
          <w:rStyle w:val="75pt"/>
          <w:color w:val="000000" w:themeColor="text1"/>
          <w:sz w:val="16"/>
          <w:szCs w:val="16"/>
        </w:rPr>
        <w:t>В)</w:t>
      </w:r>
      <w:r w:rsidRPr="00E14102">
        <w:rPr>
          <w:rStyle w:val="11pt"/>
          <w:b w:val="0"/>
          <w:color w:val="000000" w:themeColor="text1"/>
          <w:spacing w:val="0"/>
          <w:sz w:val="16"/>
          <w:szCs w:val="16"/>
          <w:lang w:val="en-US"/>
        </w:rPr>
        <w:t>v</w:t>
      </w:r>
      <w:r w:rsidRPr="00E14102">
        <w:rPr>
          <w:color w:val="000000" w:themeColor="text1"/>
          <w:sz w:val="16"/>
          <w:szCs w:val="16"/>
          <w:vertAlign w:val="subscript"/>
        </w:rPr>
        <w:t>критич киля</w:t>
      </w:r>
      <w:r w:rsidRPr="00E14102">
        <w:rPr>
          <w:color w:val="000000" w:themeColor="text1"/>
          <w:sz w:val="16"/>
          <w:szCs w:val="16"/>
        </w:rPr>
        <w:tab/>
        <w:t>- 532 км/ч»</w:t>
      </w:r>
    </w:p>
    <w:p w14:paraId="4836EBCE" w14:textId="77777777" w:rsidR="008C60DE" w:rsidRPr="00E14102" w:rsidRDefault="008C60DE" w:rsidP="00E14102">
      <w:pPr>
        <w:jc w:val="both"/>
        <w:rPr>
          <w:color w:val="000000" w:themeColor="text1"/>
          <w:sz w:val="16"/>
          <w:szCs w:val="16"/>
        </w:rPr>
      </w:pPr>
      <w:r w:rsidRPr="00E14102">
        <w:rPr>
          <w:color w:val="000000" w:themeColor="text1"/>
          <w:sz w:val="16"/>
          <w:szCs w:val="16"/>
        </w:rPr>
        <w:t>В Заключении отчета указано:</w:t>
      </w:r>
    </w:p>
    <w:p w14:paraId="7E0125C2" w14:textId="77777777" w:rsidR="008C60DE" w:rsidRPr="00E14102" w:rsidRDefault="008C60DE" w:rsidP="00E14102">
      <w:pPr>
        <w:jc w:val="both"/>
        <w:rPr>
          <w:color w:val="000000" w:themeColor="text1"/>
          <w:sz w:val="16"/>
          <w:szCs w:val="16"/>
        </w:rPr>
      </w:pPr>
      <w:r w:rsidRPr="00E14102">
        <w:rPr>
          <w:color w:val="000000" w:themeColor="text1"/>
          <w:sz w:val="16"/>
          <w:szCs w:val="16"/>
        </w:rPr>
        <w:t>«...2. Считаем рациональным в дальнейшем использовать самолёт ДИП для производ</w:t>
      </w:r>
      <w:r w:rsidRPr="00E14102">
        <w:rPr>
          <w:color w:val="000000" w:themeColor="text1"/>
          <w:sz w:val="16"/>
          <w:szCs w:val="16"/>
        </w:rPr>
        <w:softHyphen/>
        <w:t>ства различных экспериментальных и научно-исследовательских работ, предварительно устранив указанные в отчёте недостатки».</w:t>
      </w:r>
    </w:p>
    <w:p w14:paraId="0D128136" w14:textId="77777777" w:rsidR="008C60DE" w:rsidRPr="00E14102" w:rsidRDefault="008C60DE" w:rsidP="00E14102">
      <w:pPr>
        <w:tabs>
          <w:tab w:val="left" w:pos="5186"/>
        </w:tabs>
        <w:jc w:val="both"/>
        <w:rPr>
          <w:color w:val="000000" w:themeColor="text1"/>
          <w:sz w:val="16"/>
          <w:szCs w:val="16"/>
        </w:rPr>
      </w:pPr>
      <w:r w:rsidRPr="00E14102">
        <w:rPr>
          <w:color w:val="000000" w:themeColor="text1"/>
          <w:sz w:val="16"/>
          <w:szCs w:val="16"/>
        </w:rPr>
        <w:t>По-видимому, основными причинами прекращения работ по ДИП явились неопреде</w:t>
      </w:r>
      <w:r w:rsidRPr="00E14102">
        <w:rPr>
          <w:color w:val="000000" w:themeColor="text1"/>
          <w:sz w:val="16"/>
          <w:szCs w:val="16"/>
        </w:rPr>
        <w:softHyphen/>
        <w:t>ленность с пушкой АПК-8, а также длительные доводки самолёта и силовой установки.</w:t>
      </w:r>
    </w:p>
    <w:p w14:paraId="19F3A04E" w14:textId="77777777" w:rsidR="008C60DE" w:rsidRPr="00E14102" w:rsidRDefault="008C60DE" w:rsidP="00E14102">
      <w:pPr>
        <w:tabs>
          <w:tab w:val="left" w:pos="5186"/>
        </w:tabs>
        <w:jc w:val="both"/>
        <w:rPr>
          <w:color w:val="000000" w:themeColor="text1"/>
          <w:sz w:val="16"/>
          <w:szCs w:val="16"/>
        </w:rPr>
      </w:pPr>
      <w:r w:rsidRPr="00E14102">
        <w:rPr>
          <w:color w:val="000000" w:themeColor="text1"/>
          <w:sz w:val="16"/>
          <w:szCs w:val="16"/>
        </w:rPr>
        <w:t>Основные данные самолёта ДИП 2М-100^</w:t>
      </w:r>
    </w:p>
    <w:p w14:paraId="32597FD7" w14:textId="77777777" w:rsidR="008C60DE" w:rsidRPr="00E14102" w:rsidRDefault="008C60DE" w:rsidP="00E14102">
      <w:pPr>
        <w:tabs>
          <w:tab w:val="left" w:pos="5186"/>
        </w:tabs>
        <w:jc w:val="both"/>
        <w:rPr>
          <w:color w:val="000000" w:themeColor="text1"/>
          <w:sz w:val="16"/>
          <w:szCs w:val="16"/>
        </w:rPr>
      </w:pPr>
      <w:r w:rsidRPr="00E14102">
        <w:rPr>
          <w:color w:val="000000" w:themeColor="text1"/>
          <w:sz w:val="16"/>
          <w:szCs w:val="16"/>
        </w:rPr>
        <w:lastRenderedPageBreak/>
        <w:t>Длина самолёта, мм</w:t>
      </w:r>
      <w:r w:rsidRPr="00E14102">
        <w:rPr>
          <w:color w:val="000000" w:themeColor="text1"/>
          <w:sz w:val="16"/>
          <w:szCs w:val="16"/>
        </w:rPr>
        <w:tab/>
        <w:t>- 11100</w:t>
      </w:r>
    </w:p>
    <w:p w14:paraId="2E8A3B17" w14:textId="77777777" w:rsidR="008C60DE" w:rsidRPr="00E14102" w:rsidRDefault="008C60DE" w:rsidP="00E14102">
      <w:pPr>
        <w:tabs>
          <w:tab w:val="left" w:pos="5008"/>
        </w:tabs>
        <w:jc w:val="both"/>
        <w:rPr>
          <w:color w:val="000000" w:themeColor="text1"/>
          <w:sz w:val="16"/>
          <w:szCs w:val="16"/>
        </w:rPr>
      </w:pPr>
      <w:r w:rsidRPr="00E14102">
        <w:rPr>
          <w:color w:val="000000" w:themeColor="text1"/>
          <w:sz w:val="16"/>
          <w:szCs w:val="16"/>
        </w:rPr>
        <w:t>Размах крыла, мм</w:t>
      </w:r>
      <w:r w:rsidRPr="00E14102">
        <w:rPr>
          <w:color w:val="000000" w:themeColor="text1"/>
          <w:sz w:val="16"/>
          <w:szCs w:val="16"/>
        </w:rPr>
        <w:tab/>
        <w:t>- 19190</w:t>
      </w:r>
    </w:p>
    <w:p w14:paraId="0809AEFC" w14:textId="77777777" w:rsidR="008C60DE" w:rsidRPr="00E14102" w:rsidRDefault="008C60DE" w:rsidP="00E14102">
      <w:pPr>
        <w:tabs>
          <w:tab w:val="left" w:pos="4994"/>
        </w:tabs>
        <w:jc w:val="both"/>
        <w:rPr>
          <w:color w:val="000000" w:themeColor="text1"/>
          <w:sz w:val="16"/>
          <w:szCs w:val="16"/>
        </w:rPr>
      </w:pPr>
      <w:r w:rsidRPr="00E14102">
        <w:rPr>
          <w:color w:val="000000" w:themeColor="text1"/>
          <w:sz w:val="16"/>
          <w:szCs w:val="16"/>
        </w:rPr>
        <w:t>Площадь крыла, м</w:t>
      </w:r>
      <w:r w:rsidRPr="00E14102">
        <w:rPr>
          <w:color w:val="000000" w:themeColor="text1"/>
          <w:sz w:val="16"/>
          <w:szCs w:val="16"/>
          <w:vertAlign w:val="superscript"/>
        </w:rPr>
        <w:t>2</w:t>
      </w:r>
      <w:r w:rsidRPr="00E14102">
        <w:rPr>
          <w:color w:val="000000" w:themeColor="text1"/>
          <w:sz w:val="16"/>
          <w:szCs w:val="16"/>
        </w:rPr>
        <w:tab/>
        <w:t>— 56,86</w:t>
      </w:r>
    </w:p>
    <w:p w14:paraId="768AB3EA" w14:textId="77777777" w:rsidR="008C60DE" w:rsidRPr="00E14102" w:rsidRDefault="008C60DE" w:rsidP="00E14102">
      <w:pPr>
        <w:tabs>
          <w:tab w:val="left" w:pos="4998"/>
        </w:tabs>
        <w:jc w:val="both"/>
        <w:rPr>
          <w:color w:val="000000" w:themeColor="text1"/>
          <w:sz w:val="16"/>
          <w:szCs w:val="16"/>
        </w:rPr>
      </w:pPr>
      <w:r w:rsidRPr="00E14102">
        <w:rPr>
          <w:color w:val="000000" w:themeColor="text1"/>
          <w:sz w:val="16"/>
          <w:szCs w:val="16"/>
        </w:rPr>
        <w:t>Нормальная полётная масса самолёта, кг</w:t>
      </w:r>
      <w:r w:rsidRPr="00E14102">
        <w:rPr>
          <w:color w:val="000000" w:themeColor="text1"/>
          <w:sz w:val="16"/>
          <w:szCs w:val="16"/>
        </w:rPr>
        <w:tab/>
        <w:t>— 5300</w:t>
      </w:r>
    </w:p>
    <w:p w14:paraId="422504F4" w14:textId="77777777" w:rsidR="008C60DE" w:rsidRPr="00E14102" w:rsidRDefault="008C60DE" w:rsidP="00E14102">
      <w:pPr>
        <w:jc w:val="both"/>
        <w:rPr>
          <w:color w:val="000000" w:themeColor="text1"/>
          <w:sz w:val="16"/>
          <w:szCs w:val="16"/>
        </w:rPr>
      </w:pPr>
      <w:r w:rsidRPr="00E14102">
        <w:rPr>
          <w:color w:val="000000" w:themeColor="text1"/>
          <w:sz w:val="16"/>
          <w:szCs w:val="16"/>
        </w:rPr>
        <w:t>Максимальная скорость полёта самолёта, км/ч *</w:t>
      </w:r>
    </w:p>
    <w:p w14:paraId="213BE2AE" w14:textId="77777777" w:rsidR="008C60DE" w:rsidRPr="00E14102" w:rsidRDefault="008C60DE" w:rsidP="00E14102">
      <w:pPr>
        <w:numPr>
          <w:ilvl w:val="0"/>
          <w:numId w:val="6"/>
        </w:numPr>
        <w:tabs>
          <w:tab w:val="left" w:pos="970"/>
          <w:tab w:val="left" w:pos="5046"/>
        </w:tabs>
        <w:jc w:val="both"/>
        <w:rPr>
          <w:color w:val="000000" w:themeColor="text1"/>
          <w:sz w:val="16"/>
          <w:szCs w:val="16"/>
        </w:rPr>
      </w:pPr>
      <w:r w:rsidRPr="00E14102">
        <w:rPr>
          <w:color w:val="000000" w:themeColor="text1"/>
          <w:sz w:val="16"/>
          <w:szCs w:val="16"/>
        </w:rPr>
        <w:t>у земли</w:t>
      </w:r>
      <w:r w:rsidRPr="00E14102">
        <w:rPr>
          <w:color w:val="000000" w:themeColor="text1"/>
          <w:sz w:val="16"/>
          <w:szCs w:val="16"/>
        </w:rPr>
        <w:tab/>
        <w:t>— 296</w:t>
      </w:r>
    </w:p>
    <w:p w14:paraId="1173DF1E" w14:textId="77777777" w:rsidR="008C60DE" w:rsidRPr="00E14102" w:rsidRDefault="008C60DE" w:rsidP="00E14102">
      <w:pPr>
        <w:numPr>
          <w:ilvl w:val="0"/>
          <w:numId w:val="6"/>
        </w:numPr>
        <w:tabs>
          <w:tab w:val="left" w:pos="938"/>
          <w:tab w:val="left" w:pos="4998"/>
        </w:tabs>
        <w:jc w:val="both"/>
        <w:rPr>
          <w:color w:val="000000" w:themeColor="text1"/>
          <w:sz w:val="16"/>
          <w:szCs w:val="16"/>
        </w:rPr>
      </w:pPr>
      <w:r w:rsidRPr="00E14102">
        <w:rPr>
          <w:color w:val="000000" w:themeColor="text1"/>
          <w:sz w:val="16"/>
          <w:szCs w:val="16"/>
        </w:rPr>
        <w:t>на высоте 5000 м</w:t>
      </w:r>
      <w:r w:rsidRPr="00E14102">
        <w:rPr>
          <w:color w:val="000000" w:themeColor="text1"/>
          <w:sz w:val="16"/>
          <w:szCs w:val="16"/>
        </w:rPr>
        <w:tab/>
        <w:t xml:space="preserve">— 351 </w:t>
      </w:r>
    </w:p>
    <w:p w14:paraId="25433454" w14:textId="77777777" w:rsidR="008C60DE" w:rsidRPr="00E14102" w:rsidRDefault="008C60DE" w:rsidP="00E14102">
      <w:pPr>
        <w:tabs>
          <w:tab w:val="left" w:pos="938"/>
          <w:tab w:val="left" w:pos="4998"/>
        </w:tabs>
        <w:jc w:val="both"/>
        <w:rPr>
          <w:color w:val="000000" w:themeColor="text1"/>
          <w:sz w:val="16"/>
          <w:szCs w:val="16"/>
        </w:rPr>
      </w:pPr>
      <w:r w:rsidRPr="00E14102">
        <w:rPr>
          <w:color w:val="000000" w:themeColor="text1"/>
          <w:sz w:val="16"/>
          <w:szCs w:val="16"/>
        </w:rPr>
        <w:t>Время набора высоты 5000 м, мин.</w:t>
      </w:r>
      <w:r w:rsidRPr="00E14102">
        <w:rPr>
          <w:color w:val="000000" w:themeColor="text1"/>
          <w:sz w:val="16"/>
          <w:szCs w:val="16"/>
        </w:rPr>
        <w:tab/>
        <w:t>- 9,6 (15823).</w:t>
      </w:r>
    </w:p>
    <w:p w14:paraId="1E3B375C" w14:textId="77777777" w:rsidR="008C60DE" w:rsidRPr="00E14102" w:rsidRDefault="008C60DE" w:rsidP="00E14102">
      <w:pPr>
        <w:tabs>
          <w:tab w:val="left" w:pos="938"/>
          <w:tab w:val="left" w:pos="4998"/>
        </w:tabs>
        <w:jc w:val="both"/>
        <w:rPr>
          <w:color w:val="000000" w:themeColor="text1"/>
          <w:sz w:val="16"/>
          <w:szCs w:val="16"/>
        </w:rPr>
      </w:pPr>
      <w:r w:rsidRPr="00E14102">
        <w:rPr>
          <w:color w:val="000000" w:themeColor="text1"/>
          <w:sz w:val="16"/>
          <w:szCs w:val="16"/>
        </w:rPr>
        <w:t>ПРИМЕЧАНИЕ —  с лыжным шасси .</w:t>
      </w:r>
    </w:p>
    <w:p w14:paraId="60C78AC7" w14:textId="77777777" w:rsidR="008C60DE" w:rsidRPr="00E14102" w:rsidRDefault="008C60DE" w:rsidP="00E14102">
      <w:pPr>
        <w:tabs>
          <w:tab w:val="left" w:pos="5171"/>
        </w:tabs>
        <w:jc w:val="both"/>
        <w:rPr>
          <w:color w:val="000000" w:themeColor="text1"/>
          <w:sz w:val="16"/>
          <w:szCs w:val="16"/>
        </w:rPr>
      </w:pPr>
    </w:p>
    <w:p w14:paraId="6223E3A2"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5 сентября 1935 полеты ДИП возобновились и с перерывами на доработки и доводки самолета и оборудования продолжались до марта 1936 года. 28 марта поступило распоряжение о прекращении работ на самолете ДИП. За время испытаний самолета летчики-испытатели Н. П. Благин, С. А. Корзинщиков, М. М. Громов, К. К. Попов и А. П. Чернавский выполнили 41 полет общей продолжительностью 21 час 41 минута. По результатам испытаний составили отчет, в выводах которого было отмечено:</w:t>
      </w:r>
    </w:p>
    <w:p w14:paraId="15E0BAE9"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«1. Скороподъемность самолета на лыжах до высоты 5000 м при полетном весе 5300 кг равна 9,6 мин.</w:t>
      </w:r>
    </w:p>
    <w:p w14:paraId="696F3630"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2. Максимальная скорость горизонтального полета на пределе высотности (4100 м) равна 352 км/ч.</w:t>
      </w:r>
    </w:p>
    <w:p w14:paraId="6A7EBC75"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 xml:space="preserve">ПРИМЕЧАНИЕ: Самолет на колесах и с убранными шасси на скороподъемность и </w:t>
      </w:r>
      <w:r w:rsidRPr="00E14102">
        <w:rPr>
          <w:rStyle w:val="a6"/>
          <w:rFonts w:ascii="Times New Roman" w:hAnsi="Times New Roman" w:cs="Times New Roman"/>
          <w:i w:val="0"/>
          <w:color w:val="000000" w:themeColor="text1"/>
          <w:sz w:val="16"/>
          <w:szCs w:val="16"/>
          <w:bdr w:val="none" w:sz="0" w:space="0" w:color="auto" w:frame="1"/>
        </w:rPr>
        <w:t>Vmax</w:t>
      </w:r>
      <w:r w:rsidRPr="00E14102">
        <w:rPr>
          <w:rStyle w:val="a6"/>
          <w:rFonts w:ascii="Times New Roman" w:hAnsi="Times New Roman" w:cs="Times New Roman"/>
          <w:i w:val="0"/>
          <w:color w:val="000000" w:themeColor="text1"/>
          <w:sz w:val="16"/>
          <w:szCs w:val="16"/>
          <w:bdr w:val="none" w:sz="0" w:space="0" w:color="auto" w:frame="1"/>
          <w:lang w:val="ru-RU"/>
        </w:rPr>
        <w:t xml:space="preserve"> не испытан.</w:t>
      </w:r>
    </w:p>
    <w:p w14:paraId="1B10B95C"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3. При нормальной нагрузке (5300 кг) положение центра тяжести соответствует ~ 35% х.р., устойчив же самолет только при центровке 29% х.р. (нейтрален при центровке 29,7%).</w:t>
      </w:r>
    </w:p>
    <w:p w14:paraId="6BA3C4A1"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Необходимо обеспечить устойчивость самолета на более задних центровках.</w:t>
      </w:r>
    </w:p>
    <w:p w14:paraId="04BB35E6"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4. Горизонтальное хвостовое оперение не доведено: стабилизатор не обеспечивает устойчивость самолета на эксплуатационных центровках, при этом руль высоты велик.</w:t>
      </w:r>
    </w:p>
    <w:p w14:paraId="1D0F7121"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Необходимо увеличить стабилизатор и уменьшить руль высоты.</w:t>
      </w:r>
    </w:p>
    <w:p w14:paraId="7473B7C8"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5. Руль поворотов доведен, но не имеет запаса на случай полета с одним мотором.</w:t>
      </w:r>
    </w:p>
    <w:p w14:paraId="165E67B9"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Необходимо увеличить эффективность руля.</w:t>
      </w:r>
    </w:p>
    <w:p w14:paraId="3EBDE59F"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 xml:space="preserve">6. Элероны доведены до </w:t>
      </w:r>
      <w:r w:rsidRPr="00E14102">
        <w:rPr>
          <w:rStyle w:val="a6"/>
          <w:rFonts w:ascii="Times New Roman" w:hAnsi="Times New Roman" w:cs="Times New Roman"/>
          <w:i w:val="0"/>
          <w:color w:val="000000" w:themeColor="text1"/>
          <w:sz w:val="16"/>
          <w:szCs w:val="16"/>
          <w:bdr w:val="none" w:sz="0" w:space="0" w:color="auto" w:frame="1"/>
        </w:rPr>
        <w:t>V</w:t>
      </w:r>
      <w:r w:rsidRPr="00E14102">
        <w:rPr>
          <w:rStyle w:val="a6"/>
          <w:rFonts w:ascii="Times New Roman" w:hAnsi="Times New Roman" w:cs="Times New Roman"/>
          <w:i w:val="0"/>
          <w:color w:val="000000" w:themeColor="text1"/>
          <w:sz w:val="16"/>
          <w:szCs w:val="16"/>
          <w:bdr w:val="none" w:sz="0" w:space="0" w:color="auto" w:frame="1"/>
          <w:lang w:val="ru-RU"/>
        </w:rPr>
        <w:t>=350 км/ч, за исключением необходимости постановки на одном из них триммера для уничтожения заваливания самолета вправо.</w:t>
      </w:r>
    </w:p>
    <w:p w14:paraId="161ECE32"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7. Водяные радиаторы не обеспечивают нормального охлаждения моторам (малы) и чрезвычайно не надежны в эксплуатации (течь после каждой посадки).</w:t>
      </w:r>
    </w:p>
    <w:p w14:paraId="36D907F1"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Необходимо поставить на самолет новые увеличенные радиаторы.</w:t>
      </w:r>
    </w:p>
    <w:p w14:paraId="3F126FBC"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8. Необходимо увеличить капотажный угол самолета на лыжах, сделав вынос их равными выносу колес.</w:t>
      </w:r>
    </w:p>
    <w:p w14:paraId="41554834"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9. Необходимо резко увеличить долговечность лыж.</w:t>
      </w:r>
    </w:p>
    <w:p w14:paraId="7FBFC29C"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10. Гидропневматические тормоза не надежны и неудобны в эксплуатации.</w:t>
      </w:r>
    </w:p>
    <w:p w14:paraId="7A99E510"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Необходимо поставить на самолет новые колеса с тормозами последней конструкции.</w:t>
      </w:r>
    </w:p>
    <w:p w14:paraId="7CF58388"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11. Подъем шасси, вооружение, радиооборудование и т.п. испытанию не подвергалось.</w:t>
      </w:r>
    </w:p>
    <w:p w14:paraId="71C3E7D2"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12. По данным испытаний, проведенных ОПАК-ом по вибрации крыла и хвостового оперения самолета ДИП получены следующие критические скорости:</w:t>
      </w:r>
    </w:p>
    <w:p w14:paraId="03A16764"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 xml:space="preserve">а) </w:t>
      </w:r>
      <w:r w:rsidRPr="00E14102">
        <w:rPr>
          <w:rStyle w:val="a6"/>
          <w:rFonts w:ascii="Times New Roman" w:hAnsi="Times New Roman" w:cs="Times New Roman"/>
          <w:i w:val="0"/>
          <w:color w:val="000000" w:themeColor="text1"/>
          <w:sz w:val="16"/>
          <w:szCs w:val="16"/>
          <w:bdr w:val="none" w:sz="0" w:space="0" w:color="auto" w:frame="1"/>
        </w:rPr>
        <w:t>V</w:t>
      </w:r>
      <w:r w:rsidRPr="00E14102">
        <w:rPr>
          <w:rStyle w:val="a6"/>
          <w:rFonts w:ascii="Times New Roman" w:hAnsi="Times New Roman" w:cs="Times New Roman"/>
          <w:i w:val="0"/>
          <w:color w:val="000000" w:themeColor="text1"/>
          <w:sz w:val="16"/>
          <w:szCs w:val="16"/>
          <w:bdr w:val="none" w:sz="0" w:space="0" w:color="auto" w:frame="1"/>
          <w:lang w:val="ru-RU"/>
        </w:rPr>
        <w:t xml:space="preserve"> критич. крыла = 832 км/ч</w:t>
      </w:r>
    </w:p>
    <w:p w14:paraId="620823CB"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 xml:space="preserve">б) </w:t>
      </w:r>
      <w:r w:rsidRPr="00E14102">
        <w:rPr>
          <w:rStyle w:val="a6"/>
          <w:rFonts w:ascii="Times New Roman" w:hAnsi="Times New Roman" w:cs="Times New Roman"/>
          <w:i w:val="0"/>
          <w:color w:val="000000" w:themeColor="text1"/>
          <w:sz w:val="16"/>
          <w:szCs w:val="16"/>
          <w:bdr w:val="none" w:sz="0" w:space="0" w:color="auto" w:frame="1"/>
        </w:rPr>
        <w:t>V</w:t>
      </w:r>
      <w:r w:rsidRPr="00E14102">
        <w:rPr>
          <w:rStyle w:val="a6"/>
          <w:rFonts w:ascii="Times New Roman" w:hAnsi="Times New Roman" w:cs="Times New Roman"/>
          <w:i w:val="0"/>
          <w:color w:val="000000" w:themeColor="text1"/>
          <w:sz w:val="16"/>
          <w:szCs w:val="16"/>
          <w:bdr w:val="none" w:sz="0" w:space="0" w:color="auto" w:frame="1"/>
          <w:lang w:val="ru-RU"/>
        </w:rPr>
        <w:t xml:space="preserve"> критич. стабилиз. =435 км/ч</w:t>
      </w:r>
    </w:p>
    <w:p w14:paraId="6D5212FC"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 xml:space="preserve">в) </w:t>
      </w:r>
      <w:r w:rsidRPr="00E14102">
        <w:rPr>
          <w:rStyle w:val="a6"/>
          <w:rFonts w:ascii="Times New Roman" w:hAnsi="Times New Roman" w:cs="Times New Roman"/>
          <w:i w:val="0"/>
          <w:color w:val="000000" w:themeColor="text1"/>
          <w:sz w:val="16"/>
          <w:szCs w:val="16"/>
          <w:bdr w:val="none" w:sz="0" w:space="0" w:color="auto" w:frame="1"/>
        </w:rPr>
        <w:t>V</w:t>
      </w:r>
      <w:r w:rsidRPr="00E14102">
        <w:rPr>
          <w:rStyle w:val="a6"/>
          <w:rFonts w:ascii="Times New Roman" w:hAnsi="Times New Roman" w:cs="Times New Roman"/>
          <w:i w:val="0"/>
          <w:color w:val="000000" w:themeColor="text1"/>
          <w:sz w:val="16"/>
          <w:szCs w:val="16"/>
          <w:bdr w:val="none" w:sz="0" w:space="0" w:color="auto" w:frame="1"/>
          <w:lang w:val="ru-RU"/>
        </w:rPr>
        <w:t xml:space="preserve"> критич. киля = 532 км/ч »</w:t>
      </w:r>
    </w:p>
    <w:p w14:paraId="00AF5180"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Заключении отчета указано:</w:t>
      </w:r>
    </w:p>
    <w:p w14:paraId="60D64A07"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bdr w:val="none" w:sz="0" w:space="0" w:color="auto" w:frame="1"/>
          <w:lang w:val="ru-RU"/>
        </w:rPr>
        <w:t>«…2. Считаем рациональным в дальнейшем использовать самолет ДИП для производства различных экспериментальных и научно-исследовательских работ, предварительно устранив указанные в отчете недостатки.»</w:t>
      </w:r>
    </w:p>
    <w:p w14:paraId="17E2E708"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Двухместный истребитель пушечный (в шутку прозванный Д. А. Ромейко-Гурко «жуком с соломинкой») представлял собой двухмоторный цельнометаллический моноплан с низко расположенным крылом.</w:t>
      </w:r>
    </w:p>
    <w:p w14:paraId="76C5DFD7"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Фюзеляж овального сечения технологически делился на три части: переднюю, центральную и хвостовую. В передней части с носовым обтекателем размещалась пилотская кабина, закрытая стеклянным (триплекс) фонарем. Центральная – крепилась к центроплану крыла. Хвостовая часть с кабиной стрелка-радиста переходила в нижнюю часть киля и заканчивалась колонкой, к которой крепилось вертикальное оперение. Силовой каркас фюзеляжа состоял из: двух (четырех) лонжеронов; шести рам; тринадцати шпангоутов; девяти дуг; трех ободов; пяти (двадцати двух) стрингеров; шести раскосов и гладкой обшивки, с клепкой впотай.</w:t>
      </w:r>
    </w:p>
    <w:p w14:paraId="20293551"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Крыло состояло из трех частей – центроплана и двух отъемных частей. Каркас крыла образовывали: четыре (шесть) лонжеронов; восемь (шестнадцать) нервюр; десять (тридцать восемь) формеров, стрингеры и гладкая обшивка, с клепкой впотай. На задней кромке центроплана имелись посадочные щитки типа Шренк, отклонявшиеся на 60°. На отъемных частях крыла размещались компенсированные щелевые элероны, состоявшие из двух частей.</w:t>
      </w:r>
    </w:p>
    <w:p w14:paraId="67EF21CA"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Хвостовое оперение. Вертикальное оперение состояло из верхнего, съемного киля, расположенного выше стабилизатора, и нижнего киля, выполненного за одно целое с фюзеляжем. На трех кронштейнах к колонке подвешивался руль поворота с роговой аэродинамической компенсацией и балансиром, вынесенным вперед на стальной трубе. Горизонтальное – двухлонжеронный стабилизатор крепился к колонке и подъемному механизму. Руль высоты с весовой компенсацией подвешивался в шести точках. Обшивка каркаса оперения – гладкая с клепкой впотай.</w:t>
      </w:r>
    </w:p>
    <w:p w14:paraId="5BF03984"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Шасси – трехопорное с хвостовым самоориентирующимся костылем. Основные опоры – вильчатого типа, с масляно-пневматической амортизацией. Тормозные колеса 900×200, в полете убирались наполовину назад по полету в нишу крыла, а выступающая часть закрывалась створками мотогондолы. Зимой имелась возможность установки неубирающихся лыж. Уборка и выпуск основных опор шасси осуществлялись при помощи гидросистемы, питающейся от двухступенчатой помпы с электроприводом. Аварийный выпуск производился тросовой передачей от штурвала в задней кабине.</w:t>
      </w:r>
    </w:p>
    <w:p w14:paraId="29DB75D0"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Управление самолетом: элеронами – жесткое, рулем высоты – смешанное, рулем поворота, стабилизатором, щитками и флетнерами – тросовое.</w:t>
      </w:r>
    </w:p>
    <w:p w14:paraId="634385E0"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Силовая установка состояла из двух 12-цилиндровых </w:t>
      </w:r>
      <w:r w:rsidRPr="00E14102">
        <w:rPr>
          <w:rFonts w:ascii="Times New Roman" w:hAnsi="Times New Roman" w:cs="Times New Roman"/>
          <w:color w:val="000000" w:themeColor="text1"/>
          <w:sz w:val="16"/>
          <w:szCs w:val="16"/>
        </w:rPr>
        <w:t>V</w:t>
      </w:r>
      <w:r w:rsidRPr="00E14102">
        <w:rPr>
          <w:rFonts w:ascii="Times New Roman" w:hAnsi="Times New Roman" w:cs="Times New Roman"/>
          <w:color w:val="000000" w:themeColor="text1"/>
          <w:sz w:val="16"/>
          <w:szCs w:val="16"/>
          <w:lang w:val="ru-RU"/>
        </w:rPr>
        <w:t>-образных моторов жидкостного охлаждения М-100 мощностью 760 л.с, установленных на клепанных дюралевых рамах со стальными подкосами. Моторы крепились перед передними лонжеронами центроплана крыла. Туннельные радиаторы системы охлаждения устанавливались под задней частью каждого мотора, охлаждение масла осуществлялось при помощи водомасляных радиаторов типа «РД-3», подключенных к магистрали системы охлаждения моторов. Управление моторами – жесткое. Бензобаки (1072 л) размещались в отъемных частях крыла, а масляные баки (72 л) – в центроплане. Винты – деревянные диаметром 3,4 м. Ставили и французские металлические трехлопастные винты «Ратье», с изменяемым на земле шагом.</w:t>
      </w:r>
    </w:p>
    <w:p w14:paraId="3073CFFF"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Вооружение пушечное – АПК-8100 мм, располагалась по всей длине нижней части фюзеляжа. Одна точка крепления АПК была неподвижной, остальные три позволяли регулировать угол установки при монтаже. Боезапас состоял из 6 снарядов, размещенных в трубчатом магазине и 10 – в дополнительной кассете. Стрелковое вооружение – 2 неподвижных пулемета ШКАС с боезапасом 2×1000 патронов устанавливались в центроплане крыла вне зоны вращения винта и один пулемет ШКАС на турели Тур-9, в кабине стрелка-радиста.</w:t>
      </w:r>
    </w:p>
    <w:p w14:paraId="65FF3982" w14:textId="77777777" w:rsidR="00CA1EE2" w:rsidRPr="00E14102" w:rsidRDefault="00CA1EE2"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Оборудование состояло из стандартного аэронавигационного, радиооборудования (р/с ВСК-2 или 13СК), электрооборудования, кислородного и спецоборудования (19175).</w:t>
      </w:r>
    </w:p>
    <w:p w14:paraId="0B4E2232" w14:textId="77777777" w:rsidR="00CA1EE2" w:rsidRPr="00E14102" w:rsidRDefault="00CA1EE2" w:rsidP="00E14102">
      <w:pPr>
        <w:jc w:val="both"/>
        <w:rPr>
          <w:color w:val="000000" w:themeColor="text1"/>
          <w:sz w:val="16"/>
          <w:szCs w:val="16"/>
        </w:rPr>
      </w:pPr>
    </w:p>
    <w:p w14:paraId="4F829634"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5 сентября 1935 доработка самолета КСМ закончилась, а 17 сентября был подведен бухгалтерский баланс. После чего процедура ликвидации техникума была успешно завершена, и к ноябрю М.В.Веселовский с ближайшими помощниками перешел на завод «Красный Металлист», где был организован аэросанный цех. Самолет же сдали заказчику — ГАЗ-у (12683).</w:t>
      </w:r>
    </w:p>
    <w:p w14:paraId="5FC93203" w14:textId="77777777" w:rsidR="00164F4F" w:rsidRPr="00E14102" w:rsidRDefault="00164F4F" w:rsidP="00E14102">
      <w:pPr>
        <w:shd w:val="clear" w:color="auto" w:fill="FFFFFF"/>
        <w:jc w:val="both"/>
        <w:rPr>
          <w:color w:val="000000" w:themeColor="text1"/>
          <w:sz w:val="16"/>
          <w:szCs w:val="16"/>
        </w:rPr>
      </w:pPr>
    </w:p>
    <w:p w14:paraId="44909739" w14:textId="77777777" w:rsidR="008C60DE" w:rsidRPr="00E14102" w:rsidRDefault="008C60DE" w:rsidP="00E14102">
      <w:pPr>
        <w:autoSpaceDE w:val="0"/>
        <w:autoSpaceDN w:val="0"/>
        <w:adjustRightInd w:val="0"/>
        <w:jc w:val="both"/>
        <w:rPr>
          <w:color w:val="000000" w:themeColor="text1"/>
          <w:sz w:val="16"/>
          <w:szCs w:val="16"/>
        </w:rPr>
      </w:pPr>
      <w:r w:rsidRPr="00E14102">
        <w:rPr>
          <w:color w:val="000000" w:themeColor="text1"/>
          <w:sz w:val="16"/>
          <w:szCs w:val="16"/>
        </w:rPr>
        <w:t>К 5 сентября 1935 на КСМ появилась закрытая кабина, а 17 сентября подвели бухгалтерский баланс, после чего техникум был ликвидирован. Веселовский с ближайшими соратниками перешел на завод “Красный Металлист”, где организовал аэросанный цех. Самолет сдали ГАЗу (10212).</w:t>
      </w:r>
    </w:p>
    <w:p w14:paraId="7A064264" w14:textId="77777777" w:rsidR="008C60DE" w:rsidRPr="00E14102" w:rsidRDefault="008C60DE" w:rsidP="00E14102">
      <w:pPr>
        <w:autoSpaceDE w:val="0"/>
        <w:autoSpaceDN w:val="0"/>
        <w:adjustRightInd w:val="0"/>
        <w:jc w:val="both"/>
        <w:rPr>
          <w:color w:val="000000" w:themeColor="text1"/>
          <w:sz w:val="16"/>
          <w:szCs w:val="16"/>
        </w:rPr>
      </w:pPr>
    </w:p>
    <w:p w14:paraId="5D2DEA9E" w14:textId="77777777" w:rsidR="008C60DE" w:rsidRPr="00E14102" w:rsidRDefault="008C60D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сентября 1935 доработка самолета КСМ закон</w:t>
      </w:r>
      <w:r w:rsidRPr="00E14102">
        <w:rPr>
          <w:color w:val="000000" w:themeColor="text1"/>
          <w:sz w:val="16"/>
          <w:szCs w:val="16"/>
        </w:rPr>
        <w:softHyphen/>
        <w:t>чилась, а 17 сентября был подведен бухгал</w:t>
      </w:r>
      <w:r w:rsidRPr="00E14102">
        <w:rPr>
          <w:color w:val="000000" w:themeColor="text1"/>
          <w:sz w:val="16"/>
          <w:szCs w:val="16"/>
        </w:rPr>
        <w:softHyphen/>
        <w:t>терский баланс. После чего процедура лик</w:t>
      </w:r>
      <w:r w:rsidRPr="00E14102">
        <w:rPr>
          <w:color w:val="000000" w:themeColor="text1"/>
          <w:sz w:val="16"/>
          <w:szCs w:val="16"/>
        </w:rPr>
        <w:softHyphen/>
        <w:t>видации техникума была успешно заверше</w:t>
      </w:r>
      <w:r w:rsidRPr="00E14102">
        <w:rPr>
          <w:color w:val="000000" w:themeColor="text1"/>
          <w:sz w:val="16"/>
          <w:szCs w:val="16"/>
        </w:rPr>
        <w:softHyphen/>
        <w:t>на, и к ноябрю М.В.Веселовский с ближай</w:t>
      </w:r>
      <w:r w:rsidRPr="00E14102">
        <w:rPr>
          <w:color w:val="000000" w:themeColor="text1"/>
          <w:sz w:val="16"/>
          <w:szCs w:val="16"/>
        </w:rPr>
        <w:softHyphen/>
        <w:t>шими помощниками перешел на завод “Красный Металлист”, где был организо</w:t>
      </w:r>
      <w:r w:rsidRPr="00E14102">
        <w:rPr>
          <w:color w:val="000000" w:themeColor="text1"/>
          <w:sz w:val="16"/>
          <w:szCs w:val="16"/>
        </w:rPr>
        <w:softHyphen/>
        <w:t>ван аэросанный цех. Самолет же сдали за</w:t>
      </w:r>
      <w:r w:rsidRPr="00E14102">
        <w:rPr>
          <w:color w:val="000000" w:themeColor="text1"/>
          <w:sz w:val="16"/>
          <w:szCs w:val="16"/>
        </w:rPr>
        <w:softHyphen/>
        <w:t>казчику — ГАЗу (10715).</w:t>
      </w:r>
    </w:p>
    <w:p w14:paraId="458E85A4" w14:textId="77777777" w:rsidR="008C60DE" w:rsidRPr="00E14102" w:rsidRDefault="008C60DE" w:rsidP="00E14102">
      <w:pPr>
        <w:shd w:val="clear" w:color="auto" w:fill="FFFFFF"/>
        <w:autoSpaceDE w:val="0"/>
        <w:autoSpaceDN w:val="0"/>
        <w:adjustRightInd w:val="0"/>
        <w:jc w:val="both"/>
        <w:rPr>
          <w:color w:val="000000" w:themeColor="text1"/>
          <w:sz w:val="16"/>
          <w:szCs w:val="16"/>
        </w:rPr>
      </w:pPr>
    </w:p>
    <w:p w14:paraId="07A9C10B" w14:textId="77777777" w:rsidR="006A0027" w:rsidRPr="00E14102" w:rsidRDefault="006A0027" w:rsidP="00E14102">
      <w:pPr>
        <w:jc w:val="both"/>
        <w:rPr>
          <w:color w:val="000000" w:themeColor="text1"/>
          <w:sz w:val="16"/>
          <w:szCs w:val="16"/>
        </w:rPr>
      </w:pPr>
      <w:r w:rsidRPr="00E14102">
        <w:rPr>
          <w:color w:val="000000" w:themeColor="text1"/>
          <w:sz w:val="16"/>
          <w:szCs w:val="16"/>
        </w:rPr>
        <w:t>6 сентября в 1935 году открытие Первого Всероссийского съезда парашютистов (14761).</w:t>
      </w:r>
    </w:p>
    <w:p w14:paraId="165F7C05" w14:textId="77777777" w:rsidR="006A0027" w:rsidRPr="00E14102" w:rsidRDefault="006A0027" w:rsidP="00E14102">
      <w:pPr>
        <w:jc w:val="both"/>
        <w:rPr>
          <w:color w:val="000000" w:themeColor="text1"/>
          <w:sz w:val="16"/>
          <w:szCs w:val="16"/>
        </w:rPr>
      </w:pPr>
    </w:p>
    <w:p w14:paraId="6825880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2E182CA" w14:textId="77777777" w:rsidR="00D4105E" w:rsidRPr="00E14102" w:rsidRDefault="00D4105E" w:rsidP="00E14102">
      <w:pPr>
        <w:autoSpaceDE w:val="0"/>
        <w:autoSpaceDN w:val="0"/>
        <w:adjustRightInd w:val="0"/>
        <w:jc w:val="both"/>
        <w:rPr>
          <w:iCs/>
          <w:color w:val="000000" w:themeColor="text1"/>
          <w:sz w:val="16"/>
          <w:szCs w:val="16"/>
        </w:rPr>
      </w:pPr>
    </w:p>
    <w:p w14:paraId="206342F8" w14:textId="77777777" w:rsidR="008C60DE" w:rsidRPr="00E14102" w:rsidRDefault="008C60DE" w:rsidP="00E14102">
      <w:pPr>
        <w:pStyle w:val="rtejustify"/>
        <w:spacing w:before="0" w:after="0"/>
        <w:rPr>
          <w:color w:val="000000" w:themeColor="text1"/>
          <w:sz w:val="16"/>
          <w:szCs w:val="16"/>
        </w:rPr>
      </w:pPr>
      <w:r w:rsidRPr="00E14102">
        <w:rPr>
          <w:rStyle w:val="a6"/>
          <w:bCs/>
          <w:i w:val="0"/>
          <w:color w:val="000000" w:themeColor="text1"/>
          <w:sz w:val="16"/>
          <w:szCs w:val="16"/>
        </w:rPr>
        <w:t>5 сентября 1935 вышел приказ НКО №</w:t>
      </w:r>
      <w:r w:rsidRPr="00E14102">
        <w:rPr>
          <w:color w:val="000000" w:themeColor="text1"/>
          <w:sz w:val="16"/>
          <w:szCs w:val="16"/>
        </w:rPr>
        <w:t> 0169. О назначении двух комиссий для проведения войсковых испытаний 122</w:t>
      </w:r>
      <w:r w:rsidRPr="00E14102">
        <w:rPr>
          <w:color w:val="000000" w:themeColor="text1"/>
          <w:sz w:val="16"/>
          <w:szCs w:val="16"/>
        </w:rPr>
        <w:noBreakHyphen/>
        <w:t>мм гаубицы образца 1934 г (15247).</w:t>
      </w:r>
    </w:p>
    <w:p w14:paraId="1B0CF7CB" w14:textId="77777777" w:rsidR="008C60DE" w:rsidRPr="00E14102" w:rsidRDefault="008C60DE" w:rsidP="00E14102">
      <w:pPr>
        <w:pStyle w:val="rtejustify"/>
        <w:spacing w:before="0" w:after="0"/>
        <w:rPr>
          <w:color w:val="000000" w:themeColor="text1"/>
          <w:sz w:val="16"/>
          <w:szCs w:val="16"/>
        </w:rPr>
      </w:pPr>
    </w:p>
    <w:p w14:paraId="5B8AED1A" w14:textId="77777777" w:rsidR="008C60DE" w:rsidRPr="00E14102" w:rsidRDefault="008C60DE" w:rsidP="00E14102">
      <w:pPr>
        <w:pStyle w:val="rtejustify"/>
        <w:spacing w:before="0" w:after="0"/>
        <w:rPr>
          <w:color w:val="000000" w:themeColor="text1"/>
          <w:sz w:val="16"/>
          <w:szCs w:val="16"/>
        </w:rPr>
      </w:pPr>
      <w:r w:rsidRPr="00E14102">
        <w:rPr>
          <w:rStyle w:val="a6"/>
          <w:bCs/>
          <w:i w:val="0"/>
          <w:color w:val="000000" w:themeColor="text1"/>
          <w:sz w:val="16"/>
          <w:szCs w:val="16"/>
        </w:rPr>
        <w:t>5 сентября 1935 вышел приказ НКО №</w:t>
      </w:r>
      <w:r w:rsidRPr="00E14102">
        <w:rPr>
          <w:color w:val="000000" w:themeColor="text1"/>
          <w:sz w:val="16"/>
          <w:szCs w:val="16"/>
        </w:rPr>
        <w:t> 0172. О введении на вооружение зенитно-пулеметного вагона «ЗПВ-2» для обороны поездов (15247).</w:t>
      </w:r>
    </w:p>
    <w:p w14:paraId="7BB6EDC9" w14:textId="77777777" w:rsidR="008C60DE" w:rsidRPr="00E14102" w:rsidRDefault="008C60DE" w:rsidP="00E14102">
      <w:pPr>
        <w:pStyle w:val="rtejustify"/>
        <w:spacing w:before="0" w:after="0"/>
        <w:rPr>
          <w:color w:val="000000" w:themeColor="text1"/>
          <w:sz w:val="16"/>
          <w:szCs w:val="16"/>
        </w:rPr>
      </w:pPr>
    </w:p>
    <w:p w14:paraId="33CD3513" w14:textId="77777777" w:rsidR="008C60DE" w:rsidRPr="00E14102" w:rsidRDefault="008C60DE" w:rsidP="00E14102">
      <w:pPr>
        <w:pStyle w:val="rtejustify"/>
        <w:spacing w:before="0" w:after="0"/>
        <w:rPr>
          <w:color w:val="000000" w:themeColor="text1"/>
          <w:sz w:val="16"/>
          <w:szCs w:val="16"/>
        </w:rPr>
      </w:pPr>
      <w:r w:rsidRPr="00E14102">
        <w:rPr>
          <w:rStyle w:val="a6"/>
          <w:bCs/>
          <w:i w:val="0"/>
          <w:color w:val="000000" w:themeColor="text1"/>
          <w:sz w:val="16"/>
          <w:szCs w:val="16"/>
        </w:rPr>
        <w:t>5 сентября 1935 вышел приказ НКО №</w:t>
      </w:r>
      <w:r w:rsidRPr="00E14102">
        <w:rPr>
          <w:color w:val="000000" w:themeColor="text1"/>
          <w:sz w:val="16"/>
          <w:szCs w:val="16"/>
        </w:rPr>
        <w:t> 0173. О назначении комиссии для проведения испытаний опытных образцов машин полевого сектора обслуживания (15247).</w:t>
      </w:r>
    </w:p>
    <w:p w14:paraId="6279F9E2" w14:textId="77777777" w:rsidR="008C60DE" w:rsidRPr="00E14102" w:rsidRDefault="008C60DE" w:rsidP="00E14102">
      <w:pPr>
        <w:pStyle w:val="rtejustify"/>
        <w:spacing w:before="0" w:after="0"/>
        <w:rPr>
          <w:color w:val="000000" w:themeColor="text1"/>
          <w:sz w:val="16"/>
          <w:szCs w:val="16"/>
        </w:rPr>
      </w:pPr>
    </w:p>
    <w:p w14:paraId="7C7447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сентября 1935 г. был создан ВНИИТ (НИИТ) (Ленинград). В 1937 г. преобразован в Государственный НИИ-8 (ГНИИ-8), в 1939 г. объединен с ГНИИ-9. С 15 марта 1946 г. снова ВНИИТ – головной разработчик оборудования вещательного и прикладного ТВ. После распада СССР именуется НИИТ (11482).</w:t>
      </w:r>
    </w:p>
    <w:p w14:paraId="13D81E17" w14:textId="77777777" w:rsidR="00D4105E" w:rsidRPr="00E14102" w:rsidRDefault="00D4105E" w:rsidP="00E14102">
      <w:pPr>
        <w:autoSpaceDE w:val="0"/>
        <w:autoSpaceDN w:val="0"/>
        <w:adjustRightInd w:val="0"/>
        <w:jc w:val="both"/>
        <w:rPr>
          <w:color w:val="000000" w:themeColor="text1"/>
          <w:sz w:val="16"/>
          <w:szCs w:val="16"/>
        </w:rPr>
      </w:pPr>
    </w:p>
    <w:p w14:paraId="65071F03" w14:textId="77777777" w:rsidR="008C60DE" w:rsidRPr="00E14102" w:rsidRDefault="008C60DE" w:rsidP="00E14102">
      <w:pPr>
        <w:jc w:val="both"/>
        <w:rPr>
          <w:color w:val="000000" w:themeColor="text1"/>
          <w:sz w:val="16"/>
          <w:szCs w:val="16"/>
        </w:rPr>
      </w:pPr>
      <w:r w:rsidRPr="00E14102">
        <w:rPr>
          <w:bCs/>
          <w:color w:val="000000" w:themeColor="text1"/>
          <w:sz w:val="16"/>
          <w:szCs w:val="16"/>
        </w:rPr>
        <w:t xml:space="preserve">5 сентября </w:t>
      </w:r>
      <w:r w:rsidRPr="00E14102">
        <w:rPr>
          <w:color w:val="000000" w:themeColor="text1"/>
          <w:sz w:val="16"/>
          <w:szCs w:val="16"/>
        </w:rPr>
        <w:t>в 1935 году на базе НИИ телемеханики был основан "Всесоюзный научно-исследовательский институт телевидения" (ныне Санкт-Петербургский Научно-исследовательский институт телевидения). Институт обеспечивал и обеспечивает телевизионной техникой космические корабли, станции, космические аппараты, включая корабли серии "Восток", в том числе с первым космонавтом Юрием Гагариным, "Союз", "Буран", а также станций "Салют", "Мир" и Международной космической станции, которая функционирует на околоземной орбите (14760).</w:t>
      </w:r>
    </w:p>
    <w:p w14:paraId="5D3D9AF1" w14:textId="77777777" w:rsidR="008C60DE" w:rsidRPr="00E14102" w:rsidRDefault="008C60DE" w:rsidP="00E14102">
      <w:pPr>
        <w:jc w:val="both"/>
        <w:rPr>
          <w:color w:val="000000" w:themeColor="text1"/>
          <w:sz w:val="16"/>
          <w:szCs w:val="16"/>
        </w:rPr>
      </w:pPr>
    </w:p>
    <w:p w14:paraId="1F6DFC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сентября 1935г. ЛЭФИ был объединен с Радиоэкспериментальным институтом. По пр. НКОП № Обсс от 30.12.1936г. ЭФИ переименован в НИИ-9 (ГС НИИ-9 НКОП, НКАП, НКЭП , Ленинградский электрофизический институт (ЛЭФИ, ЭФИ) НКТП /г. Ленинград/), в 03.1937г. - в ведении 5ГУ НКОП (и на 12.1938г.). Приказом № 262 от 31.07.1937г. утверждено Положение о ГС НИИ-9 5ГУ. Далее в его состав влит НИИ-8 НКОП.</w:t>
      </w:r>
    </w:p>
    <w:p w14:paraId="596E12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1935-36г. создана первая подвижная установка радиообнаружения для зенитной артиллерии «Буря». В 1937г. создана стационарная радиоустановка РИ-4. В 1938г. возобновлены работы по импульсным схемам обнаружения. В 1938г. институт определен как основная база для НИОКР по радиопеленгаторам самолетов для зенитной артиллерии и дальней радиоразведки. По пр. НКО/НКОП № 0045/421сс от 4/9.11.193 8г. была назначена комиссия для испытания опытных радиопеленгаторов НИИ-9, НИИ-11 и УФТИ. В 1939г. изготовлены опытные радиоискатели Б-2 (Е.А. Селин) и Б-3 (П.П. Кузнецов), экспериментальный радиоискатель «Мимас» и импульсный дальномер «Стрелец» (А.Е. Сузант). В 1939г. совместно с НИИИС КА создана подвижная </w:t>
      </w:r>
      <w:r w:rsidRPr="00E14102">
        <w:rPr>
          <w:color w:val="000000" w:themeColor="text1"/>
          <w:sz w:val="16"/>
          <w:szCs w:val="16"/>
          <w:lang w:val="en-US"/>
        </w:rPr>
        <w:t>PJIC</w:t>
      </w:r>
      <w:r w:rsidRPr="00E14102">
        <w:rPr>
          <w:color w:val="000000" w:themeColor="text1"/>
          <w:sz w:val="16"/>
          <w:szCs w:val="16"/>
        </w:rPr>
        <w:t xml:space="preserve"> «Редут» (РУС-2) импульсного действия. Приказом НКО от 26.07.1940 г. она пнв. 2.06.1940 г. Комитет обороны выдал институту задание изготовить к 03.1941 г. опытную станцию «Луна», но это не было выполнено. Впервые в мире создана телевизонно-РЛ доплеровская система дальнего обнаружения системы оповещения ПВО, применявшаяся в годы войны в Ленинграде (Э.И. Голованевский).</w:t>
      </w:r>
    </w:p>
    <w:p w14:paraId="6ECF09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1936г. начаты исследования по возможности радиообнаружения кораблей в море (шифр «Стрела», Б.К. Шембель).</w:t>
      </w:r>
    </w:p>
    <w:p w14:paraId="179B3D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 № 0142 от 25.06.1937г. в лаборатории № 15 института сосредоточены все работы по глушению шума самолетов; в распоряжение НИИ-9 передан самолет АНТ-25. По пр. № 332с от 16.08.1938г. «для решения проблемы бесшумного полета» лаборатория № 15 с 1.07.1938г. со всем оборудованием, личным составом и площадями была выделена из состава института и реорганизована в акустическую лабораторию при ЦИАМ в ведении 18ГУ. Временно, до создания акустической базы ЦИАМа, лаборатория была оставлена на территории НИИ-9.</w:t>
      </w:r>
    </w:p>
    <w:p w14:paraId="398967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 имел свой опытный завод. Имелась также (1935г.) полигонная испытательная база в Островках, где велись эксперименты с применением мощных излучателей электромагнитных волн.</w:t>
      </w:r>
    </w:p>
    <w:p w14:paraId="675D8C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Разработана первая в стране электронная система телевидения «по принципу Зворыкина»; изготовлена ТВ аппаратура, которой оснащен первый в СССР Ленинградский телецентр. Разработаны передающие трубки, приемные 7-дюймовые электронно-лучевые трубки </w:t>
      </w:r>
      <w:r w:rsidRPr="00E14102">
        <w:rPr>
          <w:color w:val="000000" w:themeColor="text1"/>
          <w:sz w:val="16"/>
          <w:szCs w:val="16"/>
          <w:lang w:val="en-US"/>
        </w:rPr>
        <w:t>Tl</w:t>
      </w:r>
      <w:r w:rsidRPr="00E14102">
        <w:rPr>
          <w:color w:val="000000" w:themeColor="text1"/>
          <w:sz w:val="16"/>
          <w:szCs w:val="16"/>
        </w:rPr>
        <w:t>, Т2, ТЗ; первые в стране приемные установки с большим экраном ТЭ-1, -2, первые проекционные телевизоры, фотоэлектронные умножители, электронно-оптические преобразователи. Спроектирована аппаратура типовых телецентров, для ночного танковождения и для судовождения. Перед войной создан первый отечественный телевизор ВРК (Всесоюзный радиокомитет; А.А. Расплетин), телеприемники ТК-1, 17ТМ-3. Разработаны: проект телефикации Дворца съездов в Москве; программа телефикации страны (А.В. Дубинин). Велись НИОКР по использованию телевидения на суше, на море и в воздухе.</w:t>
      </w:r>
    </w:p>
    <w:p w14:paraId="0AF48D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Указу Президиума ВС от 17.04.1940 г. и приказу НКАШЖЭП № 105/5 от 23.04.1940 г. институт передан в ведение вновь образованного НКЭП.</w:t>
      </w:r>
    </w:p>
    <w:p w14:paraId="62E1AD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начала войны сюда из ЛФТИ переданы работы по радиоопознаванию с помощью регенеративного ответчика. Здесь прибор был доработан и передан в производство (Н.Ф. Алексеев и Д.Е. Маляров). В 1941-41 г. разработаны портативные радиостанции для армии и организован их серийный выпуск (Е.Е. Фридберг).</w:t>
      </w:r>
    </w:p>
    <w:p w14:paraId="06D504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пост. ГКО № 99сс от 11.07.1941 г. НИИ-9 НКЭП эвакуирован (по 1941 г.) вместе с заводом № 327 в Красноярск в помещения Лесотехнического и Педагогического институтов, а также на другие предприятия НКЭП. В Красноярске НИИ-9 послужил основой для создания Красноярского НИИ радиосвязи. В 1941 г. НИИ-9 расформирован.</w:t>
      </w:r>
    </w:p>
    <w:p w14:paraId="351ADF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08-09.1943г. в помещение бывших мастерских НИИ-9 по Яшумову пер., 9 перебазирован завод № 10 НКЭП. В 1946г., вероятно, на месте НИИ-9 основан ВНИИ телевидения (НИИ-380).</w:t>
      </w:r>
    </w:p>
    <w:p w14:paraId="62F05C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(1934г.)- академик А.А. Чернышев, (-06-16.09.1937г.)- Н.И. Смирнов, (25.09.1937г.-)- М.И. Грознов, (1941-41 г.)- А.Г. Громов.</w:t>
      </w:r>
    </w:p>
    <w:p w14:paraId="3A20FD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директора: по научной работе (1935-40 г.)- М.А. Бонч-Бруевич; (06.1937г.)- П.Е. Егоров. Помощник директора по найму и увольнению (28.09.1938г.-)- В.Ф. Каменков.</w:t>
      </w:r>
    </w:p>
    <w:p w14:paraId="1EBBDC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(-1941 г.)- А.В. Дубинин.</w:t>
      </w:r>
    </w:p>
    <w:p w14:paraId="28107A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полигона в Островках (1935г.-)- А.Г. Громов.</w:t>
      </w:r>
    </w:p>
    <w:p w14:paraId="1B35AF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отделов: (-1941 г.)- А.Г. Громов, (-1941 г.)- М.Л. Слиозберг.</w:t>
      </w:r>
    </w:p>
    <w:p w14:paraId="758CE8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Начальники лабораторий: № 15 (06.1937г.)- профессор Андреев; измерительной (1939-41 г.)- Ю.К. Коровин; телевидения (1930-е)- А.А. Расплетин; радиопередающих устройств и магнетронов (-1941; 1941 г.)- Н.Г. Моисеев; (-1941 г.)- Э.И. Голованевский, (1930-е)- </w:t>
      </w:r>
      <w:r w:rsidRPr="00E14102">
        <w:rPr>
          <w:color w:val="000000" w:themeColor="text1"/>
          <w:sz w:val="16"/>
          <w:szCs w:val="16"/>
          <w:lang w:val="en-US"/>
        </w:rPr>
        <w:t>A</w:t>
      </w:r>
      <w:r w:rsidRPr="00E14102">
        <w:rPr>
          <w:color w:val="000000" w:themeColor="text1"/>
          <w:sz w:val="16"/>
          <w:szCs w:val="16"/>
        </w:rPr>
        <w:t>.</w:t>
      </w:r>
      <w:r w:rsidRPr="00E14102">
        <w:rPr>
          <w:color w:val="000000" w:themeColor="text1"/>
          <w:sz w:val="16"/>
          <w:szCs w:val="16"/>
          <w:lang w:val="en-US"/>
        </w:rPr>
        <w:t>M</w:t>
      </w:r>
      <w:r w:rsidRPr="00E14102">
        <w:rPr>
          <w:color w:val="000000" w:themeColor="text1"/>
          <w:sz w:val="16"/>
          <w:szCs w:val="16"/>
        </w:rPr>
        <w:t>. Кугушев, (1930-е)- М.Л. Слиозберг, (-1941 г.)- Е.Е. Фридберг, (1936г.)- Б.К. Шембель.</w:t>
      </w:r>
    </w:p>
    <w:p w14:paraId="39BF2F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секторов: радиообнаружения (1934г.)- Б.К. Шембель;</w:t>
      </w:r>
      <w:r w:rsidRPr="00E14102">
        <w:rPr>
          <w:color w:val="000000" w:themeColor="text1"/>
          <w:sz w:val="16"/>
          <w:szCs w:val="16"/>
          <w:vertAlign w:val="superscript"/>
        </w:rPr>
        <w:t>103</w:t>
      </w:r>
      <w:r w:rsidRPr="00E14102">
        <w:rPr>
          <w:color w:val="000000" w:themeColor="text1"/>
          <w:sz w:val="16"/>
          <w:szCs w:val="16"/>
        </w:rPr>
        <w:t xml:space="preserve"> (1935г.-)- А.В. Дубинин (11982).</w:t>
      </w:r>
    </w:p>
    <w:p w14:paraId="767F5E8C" w14:textId="77777777" w:rsidR="00D4105E" w:rsidRPr="00E14102" w:rsidRDefault="00D4105E" w:rsidP="00E14102">
      <w:pPr>
        <w:autoSpaceDE w:val="0"/>
        <w:autoSpaceDN w:val="0"/>
        <w:adjustRightInd w:val="0"/>
        <w:jc w:val="both"/>
        <w:rPr>
          <w:color w:val="000000" w:themeColor="text1"/>
          <w:sz w:val="16"/>
          <w:szCs w:val="16"/>
        </w:rPr>
      </w:pPr>
    </w:p>
    <w:p w14:paraId="0F5B1A19" w14:textId="77777777" w:rsidR="005837DA" w:rsidRPr="00E14102" w:rsidRDefault="005837DA"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504E0AA" w14:textId="77777777" w:rsidR="005837DA" w:rsidRPr="00E14102" w:rsidRDefault="005837DA" w:rsidP="00E14102">
      <w:pPr>
        <w:autoSpaceDE w:val="0"/>
        <w:autoSpaceDN w:val="0"/>
        <w:adjustRightInd w:val="0"/>
        <w:jc w:val="both"/>
        <w:rPr>
          <w:iCs/>
          <w:color w:val="000000" w:themeColor="text1"/>
          <w:sz w:val="16"/>
          <w:szCs w:val="16"/>
        </w:rPr>
      </w:pPr>
    </w:p>
    <w:p w14:paraId="172B9A59" w14:textId="77777777" w:rsidR="005837DA" w:rsidRPr="00E14102" w:rsidRDefault="005837DA" w:rsidP="00E14102">
      <w:pPr>
        <w:jc w:val="both"/>
        <w:rPr>
          <w:color w:val="000000" w:themeColor="text1"/>
          <w:sz w:val="16"/>
          <w:szCs w:val="16"/>
        </w:rPr>
      </w:pPr>
      <w:r w:rsidRPr="00E14102">
        <w:rPr>
          <w:color w:val="000000" w:themeColor="text1"/>
          <w:sz w:val="16"/>
          <w:szCs w:val="16"/>
        </w:rPr>
        <w:t>6 сентября 1935. В газетах опубликовано постановление об отмене карточной системы (18720).</w:t>
      </w:r>
    </w:p>
    <w:p w14:paraId="7ECD11D5" w14:textId="77777777" w:rsidR="005837DA" w:rsidRPr="00E14102" w:rsidRDefault="005837DA" w:rsidP="00E14102">
      <w:pPr>
        <w:jc w:val="both"/>
        <w:rPr>
          <w:color w:val="000000" w:themeColor="text1"/>
          <w:sz w:val="16"/>
          <w:szCs w:val="16"/>
        </w:rPr>
      </w:pPr>
    </w:p>
    <w:p w14:paraId="1C321FDA" w14:textId="77777777" w:rsidR="008C60D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9FCB141" w14:textId="77777777" w:rsidR="008C60DE" w:rsidRPr="00E14102" w:rsidRDefault="008C60DE" w:rsidP="00E14102">
      <w:pPr>
        <w:autoSpaceDE w:val="0"/>
        <w:autoSpaceDN w:val="0"/>
        <w:adjustRightInd w:val="0"/>
        <w:jc w:val="both"/>
        <w:rPr>
          <w:iCs/>
          <w:color w:val="000000" w:themeColor="text1"/>
          <w:sz w:val="16"/>
          <w:szCs w:val="16"/>
        </w:rPr>
      </w:pPr>
    </w:p>
    <w:p w14:paraId="7E28FA41" w14:textId="77777777" w:rsidR="006A0027" w:rsidRPr="00E14102" w:rsidRDefault="006A0027" w:rsidP="00E14102">
      <w:pPr>
        <w:jc w:val="both"/>
        <w:rPr>
          <w:color w:val="000000" w:themeColor="text1"/>
          <w:sz w:val="16"/>
          <w:szCs w:val="16"/>
        </w:rPr>
      </w:pPr>
      <w:r w:rsidRPr="00E14102">
        <w:rPr>
          <w:color w:val="000000" w:themeColor="text1"/>
          <w:sz w:val="16"/>
          <w:szCs w:val="16"/>
        </w:rPr>
        <w:t>6 сентября в 1935 году Адольф Гитлер, выступая на Нюрнбергском партийном съезде, где перед трибунами промаршировали 54 тысячи немецких юношей, так формулирует воспитательные критерии нацизма: "Нам не нужны интеллектуальные упражнения. Знание разрушительно для моей молодежи. По нашему мнению, молодой немец будущего должен быть сильным, ловким, резвым как борзая, гибким как кожа и твердым как крупповская сталь" (14761).</w:t>
      </w:r>
    </w:p>
    <w:p w14:paraId="0515822F" w14:textId="77777777" w:rsidR="006A0027" w:rsidRPr="00E14102" w:rsidRDefault="006A0027" w:rsidP="00E14102">
      <w:pPr>
        <w:jc w:val="both"/>
        <w:rPr>
          <w:color w:val="000000" w:themeColor="text1"/>
          <w:sz w:val="16"/>
          <w:szCs w:val="16"/>
        </w:rPr>
      </w:pPr>
    </w:p>
    <w:p w14:paraId="252FEE3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AD25CBE" w14:textId="77777777" w:rsidR="00D4105E" w:rsidRPr="00E14102" w:rsidRDefault="00D4105E" w:rsidP="00E14102">
      <w:pPr>
        <w:autoSpaceDE w:val="0"/>
        <w:autoSpaceDN w:val="0"/>
        <w:adjustRightInd w:val="0"/>
        <w:jc w:val="both"/>
        <w:rPr>
          <w:iCs/>
          <w:color w:val="000000" w:themeColor="text1"/>
          <w:sz w:val="16"/>
          <w:szCs w:val="16"/>
        </w:rPr>
      </w:pPr>
    </w:p>
    <w:p w14:paraId="23A5E407" w14:textId="77777777" w:rsidR="00A33F80" w:rsidRPr="00E14102" w:rsidRDefault="00A33F80" w:rsidP="00E14102">
      <w:pPr>
        <w:jc w:val="both"/>
        <w:rPr>
          <w:color w:val="0070C0"/>
          <w:sz w:val="16"/>
          <w:szCs w:val="16"/>
        </w:rPr>
      </w:pPr>
      <w:r w:rsidRPr="00E14102">
        <w:rPr>
          <w:color w:val="0070C0"/>
          <w:sz w:val="16"/>
          <w:szCs w:val="16"/>
        </w:rPr>
        <w:t>6 сентября 1935 г. состоялся первый полет на УТИ-3 с мотором М-58 (тип 11) совершил Валерий Павлович Чкалов с летчиком-наблюдателем Тукаловым. Несмотря на значительно больший вес по сравнению с И-16 М-22, благодаря новому мощному мотору М-58 новая спарка получила значительно лучшие летные данные против И-16 М-22. Но из-за трудностей в освоении в серии еще одного двигателя он не получил путевки в жизнь. Самолет УТИ-3 с М-58 №11211 стоил для ВВС 220000 рублей (21100).</w:t>
      </w:r>
    </w:p>
    <w:p w14:paraId="2E29A5B4" w14:textId="77777777" w:rsidR="00A33F80" w:rsidRPr="00E14102" w:rsidRDefault="00A33F80" w:rsidP="00E14102">
      <w:pPr>
        <w:jc w:val="both"/>
        <w:rPr>
          <w:color w:val="0070C0"/>
          <w:sz w:val="16"/>
          <w:szCs w:val="16"/>
        </w:rPr>
      </w:pPr>
    </w:p>
    <w:p w14:paraId="333CB7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6 сентября по 6 октября 1935 состоялся 11 Всесоюзный слет планеристов в Коктебеле (237,175). было 72 планериста и 59 летало. Было 60 планеров, в т.ч. 3 экспериментальных и 26 новых. 55 доставили 32 воздушных поезда. Налетали 854 час. (438,700).</w:t>
      </w:r>
    </w:p>
    <w:p w14:paraId="3B5F025F" w14:textId="77777777" w:rsidR="00D4105E" w:rsidRPr="00E14102" w:rsidRDefault="00D4105E" w:rsidP="00E14102">
      <w:pPr>
        <w:autoSpaceDE w:val="0"/>
        <w:autoSpaceDN w:val="0"/>
        <w:adjustRightInd w:val="0"/>
        <w:jc w:val="both"/>
        <w:rPr>
          <w:color w:val="000000" w:themeColor="text1"/>
          <w:sz w:val="16"/>
          <w:szCs w:val="16"/>
        </w:rPr>
      </w:pPr>
    </w:p>
    <w:p w14:paraId="46EADB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сентября 1935 открылся Первый Всероссийский съезд парашютистов (317,476).</w:t>
      </w:r>
    </w:p>
    <w:p w14:paraId="3B028A74" w14:textId="77777777" w:rsidR="00D4105E" w:rsidRPr="00E14102" w:rsidRDefault="00D4105E" w:rsidP="00E14102">
      <w:pPr>
        <w:autoSpaceDE w:val="0"/>
        <w:autoSpaceDN w:val="0"/>
        <w:adjustRightInd w:val="0"/>
        <w:jc w:val="both"/>
        <w:rPr>
          <w:color w:val="000000" w:themeColor="text1"/>
          <w:sz w:val="16"/>
          <w:szCs w:val="16"/>
        </w:rPr>
      </w:pPr>
    </w:p>
    <w:p w14:paraId="6B8648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сентября 1935 в Сталино шквалом сорвало дирижабль В-2 с пассажирами. В гондоле было 11 чел, в т.ч. 9 пассажиров. Всех спас командир - Н.С.Гудованцев, нач. аэропорта и милиционеры, которые держали веревки и их подняло на 5-6 м. Два сорвались (438,696).</w:t>
      </w:r>
    </w:p>
    <w:p w14:paraId="199FDC96" w14:textId="77777777" w:rsidR="00D4105E" w:rsidRPr="00E14102" w:rsidRDefault="00D4105E" w:rsidP="00E14102">
      <w:pPr>
        <w:autoSpaceDE w:val="0"/>
        <w:autoSpaceDN w:val="0"/>
        <w:adjustRightInd w:val="0"/>
        <w:jc w:val="both"/>
        <w:rPr>
          <w:color w:val="000000" w:themeColor="text1"/>
          <w:sz w:val="16"/>
          <w:szCs w:val="16"/>
        </w:rPr>
      </w:pPr>
    </w:p>
    <w:p w14:paraId="24DE2D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сентября 1935 года с дирижабль В-2 находился на бивачной стоянке на аэродроме в городе Сталино с несколькими членами экипажа на борту. Командир был на аэродроме. В 21.25 над городом неожиданно прошел шквал огромной силы. Он вырвал из земли 60 штопорных якорей, удерживавших дирижабль, и тот стал подниматься вверх. Три смельчака, схватившись за тросы, попытались удержать корабль, но оказались в воздухе. Двое сорвались с высоты 10 м, а третий — командир корабля Н. С. Гудованцев — сумел добраться до гондолы. На высоте 120 м с помощью экипажа он попал в гондолу. Когда корабль достиг 800 м высоты, удалось завести двигатели и уйти из опасной зоны. За совершенный подвиг Гудованцев был награжден орденом Красной Звезды (10731).</w:t>
      </w:r>
    </w:p>
    <w:p w14:paraId="7A76EFA8" w14:textId="77777777" w:rsidR="00D4105E" w:rsidRPr="00E14102" w:rsidRDefault="00D4105E" w:rsidP="00E14102">
      <w:pPr>
        <w:autoSpaceDE w:val="0"/>
        <w:autoSpaceDN w:val="0"/>
        <w:adjustRightInd w:val="0"/>
        <w:jc w:val="both"/>
        <w:rPr>
          <w:color w:val="000000" w:themeColor="text1"/>
          <w:sz w:val="16"/>
          <w:szCs w:val="16"/>
        </w:rPr>
      </w:pPr>
    </w:p>
    <w:p w14:paraId="7F19F78C" w14:textId="77777777" w:rsidR="00A33F80" w:rsidRPr="00E14102" w:rsidRDefault="00A33F80" w:rsidP="00E14102">
      <w:pPr>
        <w:jc w:val="both"/>
        <w:rPr>
          <w:color w:val="0070C0"/>
          <w:sz w:val="16"/>
          <w:szCs w:val="16"/>
        </w:rPr>
      </w:pPr>
      <w:r w:rsidRPr="00E14102">
        <w:rPr>
          <w:color w:val="0070C0"/>
          <w:sz w:val="16"/>
          <w:szCs w:val="16"/>
        </w:rPr>
        <w:t>6 сентября 1935 г. при стоянке в г. Сталино в 21.25 налетев</w:t>
      </w:r>
      <w:r w:rsidRPr="00E14102">
        <w:rPr>
          <w:color w:val="0070C0"/>
          <w:sz w:val="16"/>
          <w:szCs w:val="16"/>
        </w:rPr>
        <w:softHyphen/>
        <w:t>ший шквал сорвал дирижабль с бивачной стоян</w:t>
      </w:r>
      <w:r w:rsidRPr="00E14102">
        <w:rPr>
          <w:color w:val="0070C0"/>
          <w:sz w:val="16"/>
          <w:szCs w:val="16"/>
        </w:rPr>
        <w:softHyphen/>
        <w:t>ки, несмотря на 60 штопорных якорей. Ухватив</w:t>
      </w:r>
      <w:r w:rsidRPr="00E14102">
        <w:rPr>
          <w:color w:val="0070C0"/>
          <w:sz w:val="16"/>
          <w:szCs w:val="16"/>
        </w:rPr>
        <w:softHyphen/>
        <w:t>шемуся за тросы командиру дирижабля Н.С. Гудованцеву удалось на высоте 120 м добраться до гондолы, в которой находились ещё четыре члена экипажа, после чего на высоте 800 м запустить двигатели. Переждав неблагоприятные метео</w:t>
      </w:r>
      <w:r w:rsidRPr="00E14102">
        <w:rPr>
          <w:color w:val="0070C0"/>
          <w:sz w:val="16"/>
          <w:szCs w:val="16"/>
        </w:rPr>
        <w:softHyphen/>
        <w:t>условия в воздухе, дирижабль через 5 ч 45 мин после срыва благополучно вернулся на базу (20120).</w:t>
      </w:r>
    </w:p>
    <w:p w14:paraId="223AB4DD" w14:textId="77777777" w:rsidR="00A33F80" w:rsidRPr="00E14102" w:rsidRDefault="00A33F80" w:rsidP="00E14102">
      <w:pPr>
        <w:jc w:val="both"/>
        <w:rPr>
          <w:color w:val="0070C0"/>
          <w:sz w:val="16"/>
          <w:szCs w:val="16"/>
        </w:rPr>
      </w:pPr>
    </w:p>
    <w:p w14:paraId="3FD4EC9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685B16D" w14:textId="77777777" w:rsidR="00D4105E" w:rsidRPr="00E14102" w:rsidRDefault="00D4105E" w:rsidP="00E14102">
      <w:pPr>
        <w:autoSpaceDE w:val="0"/>
        <w:autoSpaceDN w:val="0"/>
        <w:adjustRightInd w:val="0"/>
        <w:jc w:val="both"/>
        <w:rPr>
          <w:iCs/>
          <w:color w:val="000000" w:themeColor="text1"/>
          <w:sz w:val="16"/>
          <w:szCs w:val="16"/>
        </w:rPr>
      </w:pPr>
    </w:p>
    <w:p w14:paraId="31F488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сентября 1935 бригада 2 ЦКБ Н.Н.П. была преобразована в ОКБ и Н.Н.П. стал начальником и ГК (228,113).</w:t>
      </w:r>
    </w:p>
    <w:p w14:paraId="0D25718B" w14:textId="77777777" w:rsidR="00D4105E" w:rsidRPr="00E14102" w:rsidRDefault="00D4105E" w:rsidP="00E14102">
      <w:pPr>
        <w:autoSpaceDE w:val="0"/>
        <w:autoSpaceDN w:val="0"/>
        <w:adjustRightInd w:val="0"/>
        <w:jc w:val="both"/>
        <w:rPr>
          <w:color w:val="000000" w:themeColor="text1"/>
          <w:sz w:val="16"/>
          <w:szCs w:val="16"/>
        </w:rPr>
      </w:pPr>
    </w:p>
    <w:p w14:paraId="708189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сентября 1935и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34799A6F" w14:textId="77777777" w:rsidR="00D4105E" w:rsidRPr="00E14102" w:rsidRDefault="00D4105E" w:rsidP="00E14102">
      <w:pPr>
        <w:autoSpaceDE w:val="0"/>
        <w:autoSpaceDN w:val="0"/>
        <w:adjustRightInd w:val="0"/>
        <w:jc w:val="both"/>
        <w:rPr>
          <w:color w:val="000000" w:themeColor="text1"/>
          <w:sz w:val="16"/>
          <w:szCs w:val="16"/>
        </w:rPr>
      </w:pPr>
    </w:p>
    <w:p w14:paraId="3826689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4885C80" w14:textId="77777777" w:rsidR="00D4105E" w:rsidRPr="00E14102" w:rsidRDefault="00D4105E" w:rsidP="00E14102">
      <w:pPr>
        <w:autoSpaceDE w:val="0"/>
        <w:autoSpaceDN w:val="0"/>
        <w:adjustRightInd w:val="0"/>
        <w:jc w:val="both"/>
        <w:rPr>
          <w:iCs/>
          <w:color w:val="000000" w:themeColor="text1"/>
          <w:sz w:val="16"/>
          <w:szCs w:val="16"/>
        </w:rPr>
      </w:pPr>
    </w:p>
    <w:p w14:paraId="6E5171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сентября 1935 был подписан Акт утверждения боевой схемы скоростного разведчика под М-85, конструируемого заводом 1:</w:t>
      </w:r>
    </w:p>
    <w:p w14:paraId="458D03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Боевую схему скоростного разведчика под М-85, конструируемого заводом 1, утверждаю..." Зам. Нач. УВВС Хрипин (2336,154).</w:t>
      </w:r>
    </w:p>
    <w:p w14:paraId="4DC8E3D5" w14:textId="77777777" w:rsidR="00D4105E" w:rsidRPr="00E14102" w:rsidRDefault="00D4105E" w:rsidP="00E14102">
      <w:pPr>
        <w:autoSpaceDE w:val="0"/>
        <w:autoSpaceDN w:val="0"/>
        <w:adjustRightInd w:val="0"/>
        <w:jc w:val="both"/>
        <w:rPr>
          <w:color w:val="000000" w:themeColor="text1"/>
          <w:sz w:val="16"/>
          <w:szCs w:val="16"/>
        </w:rPr>
      </w:pPr>
    </w:p>
    <w:p w14:paraId="2ED932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сентября 1935 летчик НИИ Евсеев на самолете И-15 с мотором Райт-Циклон Ф3 поднялся в 17 час. 30 мин. со Щелковского аэродрома для достижения предельной высоты и совершил посадку в 18 час. 50 мин., пробыв в воздухе 1 час 20 мин. и достигнув высоты 12010 м.</w:t>
      </w:r>
    </w:p>
    <w:p w14:paraId="5D7532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достижения этой высоты самолет И-15 был облегчен путем снятия с него всего вооружения и оборудования не нужного для полета....</w:t>
      </w:r>
    </w:p>
    <w:p w14:paraId="7426D0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дало облегчение самолета на 200 кг: полетный вес составил при взлете 1214 кг против обычного боевого полетного веса самолета 1414 кг, а на потолке полетный вес его был 1189 кг.</w:t>
      </w:r>
    </w:p>
    <w:p w14:paraId="102ABE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Горючего в полет было взято всего 92 кг, масла 18 кг, при чем расход горючего составлял 55,3 против 77-78 кг/час нормального расхода в связи с полетом на высоту на наивыгоднейшем режиме мотора.</w:t>
      </w:r>
    </w:p>
    <w:p w14:paraId="52DC79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самолета на потолке была: истинная - 209, по прибору 110.</w:t>
      </w:r>
    </w:p>
    <w:p w14:paraId="6F3CFD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Предварительная подготовка к полету на высоту заключалась в следующем:</w:t>
      </w:r>
    </w:p>
    <w:p w14:paraId="11E0FF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полет на 8300 м, 1 полет на 9300 м и 6 полетов на 11000 м и, наконец, рекордный полет на 12010 м.</w:t>
      </w:r>
    </w:p>
    <w:p w14:paraId="7FBD93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Подготовка материальной части и все технические расчеты были произведены инженером НИИ Часовщиковым, авиатехником Цапаевым и мотористом Сахаровым. (2484,52-53).</w:t>
      </w:r>
    </w:p>
    <w:p w14:paraId="26C4CEF7" w14:textId="77777777" w:rsidR="00D4105E" w:rsidRPr="00E14102" w:rsidRDefault="00D4105E" w:rsidP="00E14102">
      <w:pPr>
        <w:autoSpaceDE w:val="0"/>
        <w:autoSpaceDN w:val="0"/>
        <w:adjustRightInd w:val="0"/>
        <w:jc w:val="both"/>
        <w:rPr>
          <w:color w:val="000000" w:themeColor="text1"/>
          <w:sz w:val="16"/>
          <w:szCs w:val="16"/>
        </w:rPr>
      </w:pPr>
    </w:p>
    <w:p w14:paraId="6840B08F" w14:textId="77777777" w:rsidR="00A33F80" w:rsidRPr="00E14102" w:rsidRDefault="00A33F80" w:rsidP="00E14102">
      <w:pPr>
        <w:jc w:val="both"/>
        <w:rPr>
          <w:color w:val="0070C0"/>
          <w:sz w:val="16"/>
          <w:szCs w:val="16"/>
        </w:rPr>
      </w:pPr>
      <w:r w:rsidRPr="00E14102">
        <w:rPr>
          <w:color w:val="0070C0"/>
          <w:sz w:val="16"/>
          <w:szCs w:val="16"/>
        </w:rPr>
        <w:t>В период с 7 по 11 сентября 1935 г. первый опытный эк</w:t>
      </w:r>
      <w:r w:rsidRPr="00E14102">
        <w:rPr>
          <w:color w:val="0070C0"/>
          <w:sz w:val="16"/>
          <w:szCs w:val="16"/>
        </w:rPr>
        <w:softHyphen/>
        <w:t>земпляр автожира А-7 проходил эксплуатационные испытания при 108</w:t>
      </w:r>
      <w:r w:rsidRPr="00E14102">
        <w:rPr>
          <w:color w:val="0070C0"/>
          <w:sz w:val="16"/>
          <w:szCs w:val="16"/>
        </w:rPr>
        <w:softHyphen/>
        <w:t>м артиллерийском полке в районе станции Фруктовая под Москвой. Впервые проводилось корректирование стрельбы артиллерии и осуществлялась радиосвязь с на</w:t>
      </w:r>
      <w:r w:rsidRPr="00E14102">
        <w:rPr>
          <w:color w:val="0070C0"/>
          <w:sz w:val="16"/>
          <w:szCs w:val="16"/>
        </w:rPr>
        <w:softHyphen/>
        <w:t>земными войсками. В испытаниях участвовали: начальник бригады № 3 ООК ЦАГИ Н.И. Камов, летчик С.А. Корзин</w:t>
      </w:r>
      <w:r w:rsidRPr="00E14102">
        <w:rPr>
          <w:color w:val="0070C0"/>
          <w:sz w:val="16"/>
          <w:szCs w:val="16"/>
        </w:rPr>
        <w:softHyphen/>
        <w:t>щиков, ведущий инженер А.И. Иванов, радиотехник С.А. Ку- старев, борттехник Беляков. Автожир выполнил 6 полетов и провел в воздухе 5 час 35 минут (20361).</w:t>
      </w:r>
    </w:p>
    <w:p w14:paraId="14C23C10" w14:textId="77777777" w:rsidR="00A33F80" w:rsidRPr="00E14102" w:rsidRDefault="00A33F80" w:rsidP="00E14102">
      <w:pPr>
        <w:jc w:val="both"/>
        <w:rPr>
          <w:color w:val="0070C0"/>
          <w:sz w:val="16"/>
          <w:szCs w:val="16"/>
        </w:rPr>
      </w:pPr>
    </w:p>
    <w:p w14:paraId="67449F7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EA75C5F" w14:textId="77777777" w:rsidR="00D4105E" w:rsidRPr="00E14102" w:rsidRDefault="00D4105E" w:rsidP="00E14102">
      <w:pPr>
        <w:autoSpaceDE w:val="0"/>
        <w:autoSpaceDN w:val="0"/>
        <w:adjustRightInd w:val="0"/>
        <w:jc w:val="both"/>
        <w:rPr>
          <w:iCs/>
          <w:color w:val="000000" w:themeColor="text1"/>
          <w:sz w:val="16"/>
          <w:szCs w:val="16"/>
        </w:rPr>
      </w:pPr>
    </w:p>
    <w:p w14:paraId="058F79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сентября 1935 Зам. Нач. ГУАП утвердил Генеральный план проекта реконструкции завода № 16 в Воронеже. Комплексный технический проект реконструкции завода предусматривал изготовление на этом заводе легких учебных моторов, с годовой программой в 10000 шт. по типам: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E3599D" w:rsidRPr="00E14102" w14:paraId="40036051" w14:textId="77777777">
        <w:tc>
          <w:tcPr>
            <w:tcW w:w="5605" w:type="dxa"/>
            <w:tcBorders>
              <w:top w:val="single" w:sz="12" w:space="0" w:color="auto"/>
            </w:tcBorders>
            <w:shd w:val="clear" w:color="auto" w:fill="FFFFFF"/>
          </w:tcPr>
          <w:p w14:paraId="6C40D7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М-51</w:t>
            </w:r>
          </w:p>
        </w:tc>
        <w:tc>
          <w:tcPr>
            <w:tcW w:w="5605" w:type="dxa"/>
            <w:tcBorders>
              <w:top w:val="single" w:sz="12" w:space="0" w:color="auto"/>
            </w:tcBorders>
            <w:shd w:val="clear" w:color="auto" w:fill="FFFFFF"/>
          </w:tcPr>
          <w:p w14:paraId="0E8930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6000</w:t>
            </w:r>
          </w:p>
        </w:tc>
      </w:tr>
      <w:tr w:rsidR="00E3599D" w:rsidRPr="00E14102" w14:paraId="7590A1A0" w14:textId="77777777">
        <w:tc>
          <w:tcPr>
            <w:tcW w:w="5605" w:type="dxa"/>
            <w:shd w:val="clear" w:color="auto" w:fill="FFFFFF"/>
          </w:tcPr>
          <w:p w14:paraId="5C92E7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М-48</w:t>
            </w:r>
          </w:p>
        </w:tc>
        <w:tc>
          <w:tcPr>
            <w:tcW w:w="5605" w:type="dxa"/>
            <w:shd w:val="clear" w:color="auto" w:fill="FFFFFF"/>
          </w:tcPr>
          <w:p w14:paraId="0ADA58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r>
      <w:tr w:rsidR="00E3599D" w:rsidRPr="00E14102" w14:paraId="052AFC74" w14:textId="77777777">
        <w:tc>
          <w:tcPr>
            <w:tcW w:w="5605" w:type="dxa"/>
            <w:tcBorders>
              <w:bottom w:val="single" w:sz="12" w:space="0" w:color="auto"/>
            </w:tcBorders>
            <w:shd w:val="clear" w:color="auto" w:fill="FFFFFF"/>
          </w:tcPr>
          <w:p w14:paraId="48957A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М-49</w:t>
            </w:r>
          </w:p>
        </w:tc>
        <w:tc>
          <w:tcPr>
            <w:tcW w:w="5605" w:type="dxa"/>
            <w:tcBorders>
              <w:bottom w:val="single" w:sz="12" w:space="0" w:color="auto"/>
            </w:tcBorders>
            <w:shd w:val="clear" w:color="auto" w:fill="FFFFFF"/>
          </w:tcPr>
          <w:p w14:paraId="29999D0E" w14:textId="77777777" w:rsidR="00D4105E" w:rsidRPr="00E14102" w:rsidRDefault="00D4105E" w:rsidP="00E14102">
            <w:pPr>
              <w:autoSpaceDE w:val="0"/>
              <w:autoSpaceDN w:val="0"/>
              <w:adjustRightInd w:val="0"/>
              <w:jc w:val="both"/>
              <w:rPr>
                <w:smallCaps/>
                <w:color w:val="000000" w:themeColor="text1"/>
                <w:sz w:val="16"/>
                <w:szCs w:val="16"/>
              </w:rPr>
            </w:pPr>
            <w:r w:rsidRPr="00E14102">
              <w:rPr>
                <w:color w:val="000000" w:themeColor="text1"/>
                <w:sz w:val="16"/>
                <w:szCs w:val="16"/>
              </w:rPr>
              <w:t xml:space="preserve">1000 </w:t>
            </w:r>
            <w:r w:rsidRPr="00E14102">
              <w:rPr>
                <w:smallCaps/>
                <w:color w:val="000000" w:themeColor="text1"/>
                <w:sz w:val="16"/>
                <w:szCs w:val="16"/>
              </w:rPr>
              <w:t>(10504,199).</w:t>
            </w:r>
          </w:p>
        </w:tc>
      </w:tr>
    </w:tbl>
    <w:p w14:paraId="5D23A3DD" w14:textId="77777777" w:rsidR="00D4105E" w:rsidRPr="00E14102" w:rsidRDefault="00D4105E" w:rsidP="00E14102">
      <w:pPr>
        <w:shd w:val="clear" w:color="auto" w:fill="FFFFFF"/>
        <w:autoSpaceDE w:val="0"/>
        <w:autoSpaceDN w:val="0"/>
        <w:adjustRightInd w:val="0"/>
        <w:jc w:val="both"/>
        <w:rPr>
          <w:smallCaps/>
          <w:color w:val="000000" w:themeColor="text1"/>
          <w:sz w:val="16"/>
          <w:szCs w:val="16"/>
        </w:rPr>
      </w:pPr>
    </w:p>
    <w:p w14:paraId="3B5238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8 сентября 1935 экипаж ДВ СССР-Н2 просидел на зимовке к северу от Медвежьих островов в ожидании улучшения погоды. Три попытки пройти в район к северу от Медвежьих островов оказались неудачными, заряды тумана и снегопада сводили на нет результат полета. 7 сентября Молоков вылетал к устью реки Индигирки на поиски 7 человек, унесенных на кунгасе, но ничего не обнаружил. Вскоре командир самолета получил разрешение вернуться в Красноярск по маршруту Колыма - Тикси - Нордвик - Хатанга - Дудинка.</w:t>
      </w:r>
    </w:p>
    <w:p w14:paraId="5C4280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сентября СССР-Н2 вылетел в Тикси. До Индигирки шли в удаление до 80 миль от берега в тщетной надежде найти унесенный кунгас.</w:t>
      </w:r>
    </w:p>
    <w:p w14:paraId="7E4E39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из Тикси на Нордвик проходил при плохой видимости. Заряды тумана прекратились только на середине перелета. Из Нордвика самолет шел по системе рек и 12 сентября прибыл в Дудинку.</w:t>
      </w:r>
    </w:p>
    <w:p w14:paraId="1A0B0F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14 сентября по 1 октября экипаж сделал 10 полетов на Волочанск: перевезли 93 пассажира, 3590 кг груза и 1290 кг почты. 1-го октября река Дудинка и озера в тундре покрылись льдом. Самолет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3568738C" w14:textId="77777777" w:rsidR="00D4105E" w:rsidRPr="00E14102" w:rsidRDefault="00D4105E" w:rsidP="00E14102">
      <w:pPr>
        <w:autoSpaceDE w:val="0"/>
        <w:autoSpaceDN w:val="0"/>
        <w:adjustRightInd w:val="0"/>
        <w:jc w:val="both"/>
        <w:rPr>
          <w:color w:val="000000" w:themeColor="text1"/>
          <w:sz w:val="16"/>
          <w:szCs w:val="16"/>
        </w:rPr>
      </w:pPr>
    </w:p>
    <w:p w14:paraId="0325952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3D8DEF3" w14:textId="77777777" w:rsidR="00D4105E" w:rsidRPr="00E14102" w:rsidRDefault="00D4105E" w:rsidP="00E14102">
      <w:pPr>
        <w:autoSpaceDE w:val="0"/>
        <w:autoSpaceDN w:val="0"/>
        <w:adjustRightInd w:val="0"/>
        <w:jc w:val="both"/>
        <w:rPr>
          <w:iCs/>
          <w:color w:val="000000" w:themeColor="text1"/>
          <w:sz w:val="16"/>
          <w:szCs w:val="16"/>
        </w:rPr>
      </w:pPr>
    </w:p>
    <w:p w14:paraId="41EDF6EF" w14:textId="77777777" w:rsidR="006A0027" w:rsidRPr="00E14102" w:rsidRDefault="006A0027" w:rsidP="00E14102">
      <w:pPr>
        <w:pStyle w:val="rtejustify"/>
        <w:spacing w:before="0" w:after="0"/>
        <w:rPr>
          <w:color w:val="000000" w:themeColor="text1"/>
          <w:sz w:val="16"/>
          <w:szCs w:val="16"/>
        </w:rPr>
      </w:pPr>
      <w:r w:rsidRPr="00E14102">
        <w:rPr>
          <w:rStyle w:val="a6"/>
          <w:bCs/>
          <w:i w:val="0"/>
          <w:color w:val="000000" w:themeColor="text1"/>
          <w:sz w:val="16"/>
          <w:szCs w:val="16"/>
        </w:rPr>
        <w:t>8 сентября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117сс «О финансировании беспроектного строительства сооружений ЭФИ». (ГА РФ. Ф. Р</w:t>
      </w:r>
      <w:r w:rsidRPr="00E14102">
        <w:rPr>
          <w:color w:val="000000" w:themeColor="text1"/>
          <w:sz w:val="16"/>
          <w:szCs w:val="16"/>
        </w:rPr>
        <w:noBreakHyphen/>
        <w:t>8418. Оп. 28. Д. 7. Л. 100) (15460).</w:t>
      </w:r>
    </w:p>
    <w:p w14:paraId="6126F375" w14:textId="77777777" w:rsidR="006A0027" w:rsidRPr="00E14102" w:rsidRDefault="006A0027" w:rsidP="00E14102">
      <w:pPr>
        <w:pStyle w:val="rtejustify"/>
        <w:spacing w:before="0" w:after="0"/>
        <w:rPr>
          <w:color w:val="000000" w:themeColor="text1"/>
          <w:sz w:val="16"/>
          <w:szCs w:val="16"/>
        </w:rPr>
      </w:pPr>
    </w:p>
    <w:p w14:paraId="2E56B8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сентября 1935 в ВМА под общим руководством ее начальника П.Г.Стасевича были выполнены оперативно-тактические обоснования и предэскизный проект “большого артиллерийского броненосного корабля” Все пять вариантов предусматривали установку 305 мм орудий (3898).</w:t>
      </w:r>
    </w:p>
    <w:p w14:paraId="4FDECD4B" w14:textId="77777777" w:rsidR="00D4105E" w:rsidRPr="00E14102" w:rsidRDefault="00D4105E" w:rsidP="00E14102">
      <w:pPr>
        <w:autoSpaceDE w:val="0"/>
        <w:autoSpaceDN w:val="0"/>
        <w:adjustRightInd w:val="0"/>
        <w:jc w:val="both"/>
        <w:rPr>
          <w:color w:val="000000" w:themeColor="text1"/>
          <w:sz w:val="16"/>
          <w:szCs w:val="16"/>
        </w:rPr>
      </w:pPr>
    </w:p>
    <w:p w14:paraId="31768D8A" w14:textId="77777777" w:rsidR="006A0027"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2C20B210" w14:textId="77777777" w:rsidR="006A0027" w:rsidRPr="00E14102" w:rsidRDefault="006A0027" w:rsidP="00E14102">
      <w:pPr>
        <w:autoSpaceDE w:val="0"/>
        <w:autoSpaceDN w:val="0"/>
        <w:adjustRightInd w:val="0"/>
        <w:jc w:val="both"/>
        <w:rPr>
          <w:iCs/>
          <w:color w:val="000000" w:themeColor="text1"/>
          <w:sz w:val="16"/>
          <w:szCs w:val="16"/>
        </w:rPr>
      </w:pPr>
    </w:p>
    <w:p w14:paraId="7D5BDBDC" w14:textId="77777777" w:rsidR="006A0027" w:rsidRPr="00E14102" w:rsidRDefault="006A0027" w:rsidP="00E14102">
      <w:pPr>
        <w:jc w:val="both"/>
        <w:rPr>
          <w:color w:val="000000" w:themeColor="text1"/>
          <w:sz w:val="16"/>
          <w:szCs w:val="16"/>
        </w:rPr>
      </w:pPr>
      <w:r w:rsidRPr="00E14102">
        <w:rPr>
          <w:color w:val="000000" w:themeColor="text1"/>
          <w:sz w:val="16"/>
          <w:szCs w:val="16"/>
        </w:rPr>
        <w:t>8-11 сентября 1936 г. на проходивших восточнее Минска Белорус</w:t>
      </w:r>
      <w:r w:rsidRPr="00E14102">
        <w:rPr>
          <w:color w:val="000000" w:themeColor="text1"/>
          <w:sz w:val="16"/>
          <w:szCs w:val="16"/>
        </w:rPr>
        <w:softHyphen/>
        <w:t>ских маневрах так же исправно ра</w:t>
      </w:r>
      <w:r w:rsidRPr="00E14102">
        <w:rPr>
          <w:color w:val="000000" w:themeColor="text1"/>
          <w:sz w:val="16"/>
          <w:szCs w:val="16"/>
        </w:rPr>
        <w:softHyphen/>
        <w:t>ботали «красные» Р-5 из</w:t>
      </w:r>
      <w:r w:rsidRPr="00E14102">
        <w:rPr>
          <w:rStyle w:val="0pt0"/>
          <w:rFonts w:eastAsia="Arial"/>
          <w:b w:val="0"/>
          <w:color w:val="000000" w:themeColor="text1"/>
          <w:spacing w:val="0"/>
          <w:sz w:val="16"/>
          <w:szCs w:val="16"/>
        </w:rPr>
        <w:t xml:space="preserve"> Витебской </w:t>
      </w:r>
      <w:r w:rsidRPr="00E14102">
        <w:rPr>
          <w:color w:val="000000" w:themeColor="text1"/>
          <w:sz w:val="16"/>
          <w:szCs w:val="16"/>
        </w:rPr>
        <w:t>абр (имевшей 4-ю, 5-ю и 42-ю</w:t>
      </w:r>
      <w:r w:rsidRPr="00E14102">
        <w:rPr>
          <w:color w:val="000000" w:themeColor="text1"/>
          <w:sz w:val="16"/>
          <w:szCs w:val="16"/>
          <w:vertAlign w:val="superscript"/>
        </w:rPr>
        <w:t xml:space="preserve">6 </w:t>
      </w:r>
      <w:r w:rsidRPr="00E14102">
        <w:rPr>
          <w:color w:val="000000" w:themeColor="text1"/>
          <w:sz w:val="16"/>
          <w:szCs w:val="16"/>
        </w:rPr>
        <w:t>лбаэ) и ССС из Гомельской абр: массированными бомбоштурмовыми и штурмовыми ударами они задер</w:t>
      </w:r>
      <w:r w:rsidRPr="00E14102">
        <w:rPr>
          <w:color w:val="000000" w:themeColor="text1"/>
          <w:sz w:val="16"/>
          <w:szCs w:val="16"/>
        </w:rPr>
        <w:softHyphen/>
        <w:t>живали продвижение 16-го стрелко</w:t>
      </w:r>
      <w:r w:rsidRPr="00E14102">
        <w:rPr>
          <w:color w:val="000000" w:themeColor="text1"/>
          <w:sz w:val="16"/>
          <w:szCs w:val="16"/>
        </w:rPr>
        <w:softHyphen/>
        <w:t>вого корпуса «синих» к своей оборо</w:t>
      </w:r>
      <w:r w:rsidRPr="00E14102">
        <w:rPr>
          <w:color w:val="000000" w:themeColor="text1"/>
          <w:sz w:val="16"/>
          <w:szCs w:val="16"/>
        </w:rPr>
        <w:softHyphen/>
        <w:t>нительной полосе. Когда 10 сентяб</w:t>
      </w:r>
      <w:r w:rsidRPr="00E14102">
        <w:rPr>
          <w:color w:val="000000" w:themeColor="text1"/>
          <w:sz w:val="16"/>
          <w:szCs w:val="16"/>
        </w:rPr>
        <w:softHyphen/>
        <w:t>ря она всё же была прорвана, дейст</w:t>
      </w:r>
      <w:r w:rsidRPr="00E14102">
        <w:rPr>
          <w:color w:val="000000" w:themeColor="text1"/>
          <w:sz w:val="16"/>
          <w:szCs w:val="16"/>
        </w:rPr>
        <w:softHyphen/>
        <w:t>вия введенных в прорыв 6-й и 11-й кавалерийских дивизий и 5-й меха</w:t>
      </w:r>
      <w:r w:rsidRPr="00E14102">
        <w:rPr>
          <w:color w:val="000000" w:themeColor="text1"/>
          <w:sz w:val="16"/>
          <w:szCs w:val="16"/>
        </w:rPr>
        <w:softHyphen/>
        <w:t>низированной бригады поддержали «синие» Р-5 из Оршанской абр — с белыми звездами и с белой полосой вокруг фюзеляжа. В тот же день Сещинская абр (на ТБ-3 с М-34Р) и три тбаэ из 4-й и 5-й тбабр и 47-й авиадесантной бригад (на ТБ-3 с М-17) выбросили в тылу «красных», у Самохваловичей, 1500 парашютистов и высадили посадочный десант — 45-мм пушки, броневики Д-8, малые танки Т-37 и грузовики</w:t>
      </w:r>
      <w:r w:rsidRPr="00E14102">
        <w:rPr>
          <w:rStyle w:val="0pt0"/>
          <w:rFonts w:eastAsia="Arial"/>
          <w:b w:val="0"/>
          <w:color w:val="000000" w:themeColor="text1"/>
          <w:spacing w:val="0"/>
          <w:sz w:val="16"/>
          <w:szCs w:val="16"/>
        </w:rPr>
        <w:t xml:space="preserve"> 47- й</w:t>
      </w:r>
      <w:r w:rsidRPr="00E14102">
        <w:rPr>
          <w:color w:val="000000" w:themeColor="text1"/>
          <w:sz w:val="16"/>
          <w:szCs w:val="16"/>
        </w:rPr>
        <w:t xml:space="preserve"> авиадесантной бригады и 97-й стрелковый полк 33-й стрелковой дивизии. «Красные» располагали Брянской иабр (в составе 40-й, 106-й</w:t>
      </w:r>
      <w:r w:rsidRPr="00E14102">
        <w:rPr>
          <w:color w:val="000000" w:themeColor="text1"/>
          <w:sz w:val="16"/>
          <w:szCs w:val="16"/>
          <w:vertAlign w:val="superscript"/>
        </w:rPr>
        <w:t>7</w:t>
      </w:r>
      <w:r w:rsidRPr="00E14102">
        <w:rPr>
          <w:color w:val="000000" w:themeColor="text1"/>
          <w:sz w:val="16"/>
          <w:szCs w:val="16"/>
        </w:rPr>
        <w:t xml:space="preserve"> и 107-й иаэ), но выброску десанта прикрывали истребители Бобруйской абр «синих» (6-я</w:t>
      </w:r>
      <w:r w:rsidRPr="00E14102">
        <w:rPr>
          <w:color w:val="000000" w:themeColor="text1"/>
          <w:sz w:val="16"/>
          <w:szCs w:val="16"/>
          <w:vertAlign w:val="superscript"/>
        </w:rPr>
        <w:t>8</w:t>
      </w:r>
      <w:r w:rsidRPr="00E14102">
        <w:rPr>
          <w:color w:val="000000" w:themeColor="text1"/>
          <w:sz w:val="16"/>
          <w:szCs w:val="16"/>
        </w:rPr>
        <w:t>, 30-я и 33-я иаэ). Зато после приземления на парашютистов накинулись ССС, а когда 11 сентября 21-я мехбригада «красных» прорвалась, нанося контрудар, в оперативную глубину, ей тоже принялись ока</w:t>
      </w:r>
      <w:r w:rsidRPr="00E14102">
        <w:rPr>
          <w:color w:val="000000" w:themeColor="text1"/>
          <w:sz w:val="16"/>
          <w:szCs w:val="16"/>
        </w:rPr>
        <w:softHyphen/>
        <w:t>зывать поддержку Р-5... ТБ-3 наносили удары по аэродромам «противника».</w:t>
      </w:r>
    </w:p>
    <w:p w14:paraId="480E9523" w14:textId="77777777" w:rsidR="006A0027" w:rsidRPr="00E14102" w:rsidRDefault="006A0027" w:rsidP="00E14102">
      <w:pPr>
        <w:jc w:val="both"/>
        <w:rPr>
          <w:color w:val="000000" w:themeColor="text1"/>
          <w:sz w:val="16"/>
          <w:szCs w:val="16"/>
        </w:rPr>
      </w:pPr>
      <w:r w:rsidRPr="00E14102">
        <w:rPr>
          <w:color w:val="000000" w:themeColor="text1"/>
          <w:sz w:val="16"/>
          <w:szCs w:val="16"/>
        </w:rPr>
        <w:t>В общем, использование авиации на маневрах действительно было правильным, отве</w:t>
      </w:r>
      <w:r w:rsidRPr="00E14102">
        <w:rPr>
          <w:color w:val="000000" w:themeColor="text1"/>
          <w:sz w:val="16"/>
          <w:szCs w:val="16"/>
        </w:rPr>
        <w:softHyphen/>
        <w:t>чавшим требованиям боевой обстановки. Но о хорошей выучке командиров и штабов ВВС это свидетельствовать отнюдь не может: ведь обстановка стала им</w:t>
      </w:r>
      <w:r w:rsidRPr="00E14102">
        <w:rPr>
          <w:rStyle w:val="ArialUnicodeMS"/>
          <w:rFonts w:ascii="Times New Roman" w:eastAsia="Arial" w:hAnsi="Times New Roman" w:cs="Times New Roman"/>
          <w:b w:val="0"/>
          <w:i w:val="0"/>
          <w:color w:val="000000" w:themeColor="text1"/>
          <w:sz w:val="16"/>
          <w:szCs w:val="16"/>
        </w:rPr>
        <w:t xml:space="preserve"> известна заранее.</w:t>
      </w:r>
    </w:p>
    <w:p w14:paraId="727C3043" w14:textId="77777777" w:rsidR="006A0027" w:rsidRPr="00E14102" w:rsidRDefault="006A0027" w:rsidP="00E14102">
      <w:pPr>
        <w:jc w:val="both"/>
        <w:rPr>
          <w:color w:val="000000" w:themeColor="text1"/>
          <w:sz w:val="16"/>
          <w:szCs w:val="16"/>
        </w:rPr>
      </w:pPr>
      <w:r w:rsidRPr="00E14102">
        <w:rPr>
          <w:color w:val="000000" w:themeColor="text1"/>
          <w:sz w:val="16"/>
          <w:szCs w:val="16"/>
        </w:rPr>
        <w:t>Чтобы не ударить в грязь лицом перед иностранными делегациями, и Киевские, и Бе</w:t>
      </w:r>
      <w:r w:rsidRPr="00E14102">
        <w:rPr>
          <w:color w:val="000000" w:themeColor="text1"/>
          <w:sz w:val="16"/>
          <w:szCs w:val="16"/>
        </w:rPr>
        <w:softHyphen/>
        <w:t>лорусские маневры проводились по заблаговременно разработанному сценарию, и весь ход событий на них опрёделили заранее. Заранее стало известно, кто, где, когда и с ка</w:t>
      </w:r>
      <w:r w:rsidRPr="00E14102">
        <w:rPr>
          <w:color w:val="000000" w:themeColor="text1"/>
          <w:sz w:val="16"/>
          <w:szCs w:val="16"/>
        </w:rPr>
        <w:softHyphen/>
        <w:t>кими силами «противника» столкнется, кто и к какому сроку одержит — независимо от своего или «противника» умения! — верх в том или ином бою, выйдет на той или иной рубеж и т.д. (15803)</w:t>
      </w:r>
    </w:p>
    <w:p w14:paraId="21545E4C" w14:textId="77777777" w:rsidR="006A0027" w:rsidRPr="00E14102" w:rsidRDefault="006A0027" w:rsidP="00E14102">
      <w:pPr>
        <w:jc w:val="both"/>
        <w:rPr>
          <w:color w:val="000000" w:themeColor="text1"/>
          <w:sz w:val="16"/>
          <w:szCs w:val="16"/>
        </w:rPr>
      </w:pPr>
    </w:p>
    <w:p w14:paraId="3CB2491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EAA31F9" w14:textId="77777777" w:rsidR="00D4105E" w:rsidRPr="00E14102" w:rsidRDefault="00D4105E" w:rsidP="00E14102">
      <w:pPr>
        <w:autoSpaceDE w:val="0"/>
        <w:autoSpaceDN w:val="0"/>
        <w:adjustRightInd w:val="0"/>
        <w:jc w:val="both"/>
        <w:rPr>
          <w:iCs/>
          <w:color w:val="000000" w:themeColor="text1"/>
          <w:sz w:val="16"/>
          <w:szCs w:val="16"/>
        </w:rPr>
      </w:pPr>
    </w:p>
    <w:p w14:paraId="024BEF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сентября 1935 вышло постановление СНК и ЦК ВКП(б) О строительствек канала Москва-Волга (3960, 350).</w:t>
      </w:r>
    </w:p>
    <w:p w14:paraId="3635BD79" w14:textId="77777777" w:rsidR="00D4105E" w:rsidRPr="00E14102" w:rsidRDefault="00D4105E" w:rsidP="00E14102">
      <w:pPr>
        <w:autoSpaceDE w:val="0"/>
        <w:autoSpaceDN w:val="0"/>
        <w:adjustRightInd w:val="0"/>
        <w:jc w:val="both"/>
        <w:rPr>
          <w:color w:val="000000" w:themeColor="text1"/>
          <w:sz w:val="16"/>
          <w:szCs w:val="16"/>
        </w:rPr>
      </w:pPr>
    </w:p>
    <w:p w14:paraId="46B2A2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сентября 1935 Сталин и Молотов подписали постановление СНК СССР и ЦК ВКП(б) “О строительстве канала Москва-Волга”, где отмечалось, что к 1 июля (то есть за три года строительства) выполнено 45,7 процента от общего объема требуемых земляных работ, 22 процента бетонных и железобетонных работ. Проект канала предусматривал создание:</w:t>
      </w:r>
    </w:p>
    <w:p w14:paraId="4E1892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узла сооружений на Волге (бетонная и земляная плотины и шлюз);</w:t>
      </w:r>
    </w:p>
    <w:p w14:paraId="1FB570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судоходно-водоводного канала глубиной 5,5 метра от станции Иваньково на Волге до села Щукино на реке Москве, протяженностью в 128 километров с семью шлюзами (длинной в 290 метров и шириной 30 метров), шестью плотинами и пятью насосными станциями;</w:t>
      </w:r>
    </w:p>
    <w:p w14:paraId="0EA60A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двух бетонных плотин и двух шлюзов на реке Москве (у сел Карамышево и Перерва);</w:t>
      </w:r>
    </w:p>
    <w:p w14:paraId="12E78D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водопроводного канала протяженностью в 31 километр от водохранилища на реке Уче до Сталинской водопроводной станции;</w:t>
      </w:r>
    </w:p>
    <w:p w14:paraId="581F4A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Истринского гидроузла;</w:t>
      </w:r>
    </w:p>
    <w:p w14:paraId="438418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восьми гидростанций при плотинах суммарный мощностью в 67 тысяч киловатт (7560).</w:t>
      </w:r>
    </w:p>
    <w:p w14:paraId="3D9E2B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Размер капиталовложений на строительство сооружений канала устанавливался в 1400 миллионов рублей, окончить его требовалось к навигации 1937 года. Все вышеперечисленное было выполнено (7560).</w:t>
      </w:r>
    </w:p>
    <w:p w14:paraId="77FFC5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 же постановлением на МВС НКВД СССР возлагались еще и реконструкция Москвы-реки на участке “Щукино-Перерва” (с Хорошевским, Андреевским, Дорогомиловским и Лужнецким каналами-спрямлениями), строительство Юго-Восточной гавани, Северного городского канала, реконструкция и шлюзование реки Яузы. Но за вычетом Хорошевского спрямления и Южного порта все это так и останется на бумаге (7560).</w:t>
      </w:r>
    </w:p>
    <w:p w14:paraId="2A5322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СНК и ЦК ВКП(б) обязали НКПС при постройке нового моста Московско-Белорусско-Балтийской железной дороги через Москву-реку у деревни Фили предусмотреть доведение его габаритов до габаритов мостов на канале (7560).</w:t>
      </w:r>
    </w:p>
    <w:p w14:paraId="526F005D" w14:textId="77777777" w:rsidR="00D4105E" w:rsidRPr="00E14102" w:rsidRDefault="00D4105E" w:rsidP="00E14102">
      <w:pPr>
        <w:autoSpaceDE w:val="0"/>
        <w:autoSpaceDN w:val="0"/>
        <w:adjustRightInd w:val="0"/>
        <w:jc w:val="both"/>
        <w:rPr>
          <w:color w:val="000000" w:themeColor="text1"/>
          <w:sz w:val="16"/>
          <w:szCs w:val="16"/>
        </w:rPr>
      </w:pPr>
    </w:p>
    <w:p w14:paraId="076DC0B6" w14:textId="77777777" w:rsidR="00647F1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1886C030" w14:textId="77777777" w:rsidR="00647F1E" w:rsidRPr="00E14102" w:rsidRDefault="00647F1E" w:rsidP="00E14102">
      <w:pPr>
        <w:autoSpaceDE w:val="0"/>
        <w:autoSpaceDN w:val="0"/>
        <w:adjustRightInd w:val="0"/>
        <w:jc w:val="both"/>
        <w:rPr>
          <w:iCs/>
          <w:color w:val="000000" w:themeColor="text1"/>
          <w:sz w:val="16"/>
          <w:szCs w:val="16"/>
        </w:rPr>
      </w:pPr>
    </w:p>
    <w:p w14:paraId="0487C284" w14:textId="77777777" w:rsidR="00647F1E" w:rsidRPr="00E14102" w:rsidRDefault="00647F1E" w:rsidP="00E14102">
      <w:pPr>
        <w:jc w:val="both"/>
        <w:rPr>
          <w:color w:val="000000" w:themeColor="text1"/>
          <w:sz w:val="16"/>
          <w:szCs w:val="16"/>
        </w:rPr>
      </w:pPr>
      <w:r w:rsidRPr="00E14102">
        <w:rPr>
          <w:color w:val="000000" w:themeColor="text1"/>
          <w:sz w:val="16"/>
          <w:szCs w:val="16"/>
        </w:rPr>
        <w:t>8 сентября 1935 г. согласно приказу На</w:t>
      </w:r>
      <w:r w:rsidRPr="00E14102">
        <w:rPr>
          <w:color w:val="000000" w:themeColor="text1"/>
          <w:sz w:val="16"/>
          <w:szCs w:val="16"/>
        </w:rPr>
        <w:softHyphen/>
        <w:t>родного комиссара внутренних дел Союза ССР руко</w:t>
      </w:r>
      <w:r w:rsidRPr="00E14102">
        <w:rPr>
          <w:color w:val="000000" w:themeColor="text1"/>
          <w:sz w:val="16"/>
          <w:szCs w:val="16"/>
        </w:rPr>
        <w:softHyphen/>
        <w:t>водством ГУПВО в целях полной и всесторонней проверки уровня подготовки летного состава, подведения итогов боевой учебы за истекший период и опре</w:t>
      </w:r>
      <w:r w:rsidRPr="00E14102">
        <w:rPr>
          <w:color w:val="000000" w:themeColor="text1"/>
          <w:sz w:val="16"/>
          <w:szCs w:val="16"/>
        </w:rPr>
        <w:softHyphen/>
        <w:t>деления степени готовности к выполнению боевых заданий в условиях, при</w:t>
      </w:r>
      <w:r w:rsidRPr="00E14102">
        <w:rPr>
          <w:color w:val="000000" w:themeColor="text1"/>
          <w:sz w:val="16"/>
          <w:szCs w:val="16"/>
        </w:rPr>
        <w:softHyphen/>
        <w:t>ближенных к действительной обстановке их боевого применения, а также «...в целях ознакомления летного состава с главными оперативными направления</w:t>
      </w:r>
      <w:r w:rsidRPr="00E14102">
        <w:rPr>
          <w:color w:val="000000" w:themeColor="text1"/>
          <w:sz w:val="16"/>
          <w:szCs w:val="16"/>
        </w:rPr>
        <w:softHyphen/>
        <w:t>ми округов» (ЦА ФСБ, ф. 6, оп. 1, ед.хр. 242, л. 323—324) впервые было принято решение об организации в авиачас</w:t>
      </w:r>
      <w:r w:rsidRPr="00E14102">
        <w:rPr>
          <w:color w:val="000000" w:themeColor="text1"/>
          <w:sz w:val="16"/>
          <w:szCs w:val="16"/>
        </w:rPr>
        <w:softHyphen/>
        <w:t>тях перелетов в составе звеньев и отрядов по протяженным маршрутам в пределах пограничных округов. Перелеты осуществлялись по единому плану, в котором конкретно определялись задействованные части и маршрут полета, и выполнялись перелеты группами от трех до десяти самолетов в каждой. Для их проведения привлекались 56 экипажей из тринадцати различных авиача</w:t>
      </w:r>
      <w:r w:rsidRPr="00E14102">
        <w:rPr>
          <w:color w:val="000000" w:themeColor="text1"/>
          <w:sz w:val="16"/>
          <w:szCs w:val="16"/>
        </w:rPr>
        <w:softHyphen/>
        <w:t>стей пограничных войск.</w:t>
      </w:r>
    </w:p>
    <w:p w14:paraId="673DE398" w14:textId="77777777" w:rsidR="00647F1E" w:rsidRPr="00E14102" w:rsidRDefault="00647F1E" w:rsidP="00E14102">
      <w:pPr>
        <w:jc w:val="both"/>
        <w:rPr>
          <w:color w:val="000000" w:themeColor="text1"/>
          <w:sz w:val="16"/>
          <w:szCs w:val="16"/>
        </w:rPr>
      </w:pPr>
      <w:r w:rsidRPr="00E14102">
        <w:rPr>
          <w:color w:val="000000" w:themeColor="text1"/>
          <w:sz w:val="16"/>
          <w:szCs w:val="16"/>
        </w:rPr>
        <w:t>Например, в ноябре 1935 г. 15 самолетов Р-5 совершили длительный по тем временам перелет по маршруту Алма-Ата, Аягуз, Вахты, Зайсан, Семипала</w:t>
      </w:r>
      <w:r w:rsidRPr="00E14102">
        <w:rPr>
          <w:color w:val="000000" w:themeColor="text1"/>
          <w:sz w:val="16"/>
          <w:szCs w:val="16"/>
        </w:rPr>
        <w:softHyphen/>
        <w:t>тинск, Аягуз, Алма-Ата, протяженностью свыше 1200 км. Маршруты всех агитационных перелетов были проложены с максимальным соответствием реальной обстановке, и их протяженность варьировалась от 600 до 1350 км. В ходе мероприятия проверялась техника пилотирования летчиков, слетан</w:t>
      </w:r>
      <w:r w:rsidRPr="00E14102">
        <w:rPr>
          <w:color w:val="000000" w:themeColor="text1"/>
          <w:sz w:val="16"/>
          <w:szCs w:val="16"/>
        </w:rPr>
        <w:softHyphen/>
        <w:t>ность экипажей, готовность технического персонала обслуживать машины в условиях удаленности от основных баз, взаимодействие с наземными служ</w:t>
      </w:r>
      <w:r w:rsidRPr="00E14102">
        <w:rPr>
          <w:color w:val="000000" w:themeColor="text1"/>
          <w:sz w:val="16"/>
          <w:szCs w:val="16"/>
        </w:rPr>
        <w:softHyphen/>
        <w:t>бами и другие вопросы. Несмотря на сложность выполняемого задания, все экипажи успешно справились с задачей. Для делающей первые шаги авиации пограничных войск, это был существенный успех, который был отмечен руко</w:t>
      </w:r>
      <w:r w:rsidRPr="00E14102">
        <w:rPr>
          <w:color w:val="000000" w:themeColor="text1"/>
          <w:sz w:val="16"/>
          <w:szCs w:val="16"/>
        </w:rPr>
        <w:softHyphen/>
        <w:t>водством ГУПВО. Все участники авиационных перелетов были поощрены командованием, а наиболее отличившиеся были награждены ценными подарка</w:t>
      </w:r>
      <w:r w:rsidRPr="00E14102">
        <w:rPr>
          <w:color w:val="000000" w:themeColor="text1"/>
          <w:sz w:val="16"/>
          <w:szCs w:val="16"/>
        </w:rPr>
        <w:softHyphen/>
        <w:t>ми и деньгами (Из истории Советских пограничных войск. М., 1973. Т. 3. С. 95).</w:t>
      </w:r>
    </w:p>
    <w:p w14:paraId="4C512D69" w14:textId="77777777" w:rsidR="00647F1E" w:rsidRPr="00E14102" w:rsidRDefault="00647F1E" w:rsidP="00E14102">
      <w:pPr>
        <w:jc w:val="both"/>
        <w:rPr>
          <w:color w:val="000000" w:themeColor="text1"/>
          <w:sz w:val="16"/>
          <w:szCs w:val="16"/>
        </w:rPr>
      </w:pPr>
      <w:r w:rsidRPr="00E14102">
        <w:rPr>
          <w:color w:val="000000" w:themeColor="text1"/>
          <w:sz w:val="16"/>
          <w:szCs w:val="16"/>
        </w:rPr>
        <w:t>Помимо вышеуказанных перелетов в период с августа по октябрь 1935 г. помощником начальника УПВО НКВД комдивом Э. Крафтом, совместно с ко</w:t>
      </w:r>
      <w:r w:rsidRPr="00E14102">
        <w:rPr>
          <w:color w:val="000000" w:themeColor="text1"/>
          <w:sz w:val="16"/>
          <w:szCs w:val="16"/>
        </w:rPr>
        <w:softHyphen/>
        <w:t>мандиром звена особого назначения Барановым, дивизионным военврачом Барковым и инспектором отдела боевой подготовки ГУПВО Лукашевым, был совершен служебный авиаперелет на двух самолетах Р-5. Он имел цель ин</w:t>
      </w:r>
      <w:r w:rsidRPr="00E14102">
        <w:rPr>
          <w:color w:val="000000" w:themeColor="text1"/>
          <w:sz w:val="16"/>
          <w:szCs w:val="16"/>
        </w:rPr>
        <w:softHyphen/>
        <w:t>спектировать авиачасти пограничной и внутренней охраны НКВД советских республик Средней Азии.</w:t>
      </w:r>
    </w:p>
    <w:p w14:paraId="61480443" w14:textId="77777777" w:rsidR="00647F1E" w:rsidRPr="00E14102" w:rsidRDefault="00647F1E" w:rsidP="00E14102">
      <w:pPr>
        <w:jc w:val="both"/>
        <w:rPr>
          <w:color w:val="000000" w:themeColor="text1"/>
          <w:sz w:val="16"/>
          <w:szCs w:val="16"/>
        </w:rPr>
      </w:pPr>
      <w:r w:rsidRPr="00E14102">
        <w:rPr>
          <w:color w:val="000000" w:themeColor="text1"/>
          <w:sz w:val="16"/>
          <w:szCs w:val="16"/>
        </w:rPr>
        <w:t>Два самолета ГУПВО вылетели из Москвы 14 августа 1935 г. по маршруту Москва, Казань, Петропавловск, Акмолинск, Семипалатинск, Зайсан, Аягуз, Алма-Ата, Ташкент, Чарджоу, Термез, Сталинабад, Термез, Чарджоу, Ташауз, Баят-Ходжи, Ашхабад, Баку, Грозный, Ростов, Харьков, Москва. За 83,2 летных часа без единой поломки и аварии, несмотря на трудные условия мар</w:t>
      </w:r>
      <w:r w:rsidRPr="00E14102">
        <w:rPr>
          <w:color w:val="000000" w:themeColor="text1"/>
          <w:sz w:val="16"/>
          <w:szCs w:val="16"/>
        </w:rPr>
        <w:softHyphen/>
        <w:t>шрута, было пройдено 12 147 км, включая перелет на сухопутных самолетах через Каспийское море.</w:t>
      </w:r>
    </w:p>
    <w:p w14:paraId="22D8667E" w14:textId="77777777" w:rsidR="00647F1E" w:rsidRPr="00E14102" w:rsidRDefault="00647F1E" w:rsidP="00E14102">
      <w:pPr>
        <w:jc w:val="both"/>
        <w:rPr>
          <w:color w:val="000000" w:themeColor="text1"/>
          <w:sz w:val="16"/>
          <w:szCs w:val="16"/>
        </w:rPr>
      </w:pPr>
      <w:r w:rsidRPr="00E14102">
        <w:rPr>
          <w:color w:val="000000" w:themeColor="text1"/>
          <w:sz w:val="16"/>
          <w:szCs w:val="16"/>
        </w:rPr>
        <w:t>Один самолет на протяжении всего маршрута пилотировал помощник на</w:t>
      </w:r>
      <w:r w:rsidRPr="00E14102">
        <w:rPr>
          <w:color w:val="000000" w:themeColor="text1"/>
          <w:sz w:val="16"/>
          <w:szCs w:val="16"/>
        </w:rPr>
        <w:softHyphen/>
        <w:t>чальника ГУПВО комдив тов. Крафт, и другой — командир звена особого на</w:t>
      </w:r>
      <w:r w:rsidRPr="00E14102">
        <w:rPr>
          <w:color w:val="000000" w:themeColor="text1"/>
          <w:sz w:val="16"/>
          <w:szCs w:val="16"/>
        </w:rPr>
        <w:softHyphen/>
        <w:t>значения военный летчик тов. Баранов при младшем авиатехнике тов. Доро</w:t>
      </w:r>
      <w:r w:rsidRPr="00E14102">
        <w:rPr>
          <w:color w:val="000000" w:themeColor="text1"/>
          <w:sz w:val="16"/>
          <w:szCs w:val="16"/>
        </w:rPr>
        <w:softHyphen/>
        <w:t>фееве. Этим перелетом была продемонстрирована высокая профессиональная подготовка начсостава, как пример всему летному составу авиачастей, что было отмечено благодарностью всем участникам в приказе Наркома внутрен</w:t>
      </w:r>
      <w:r w:rsidRPr="00E14102">
        <w:rPr>
          <w:color w:val="000000" w:themeColor="text1"/>
          <w:sz w:val="16"/>
          <w:szCs w:val="16"/>
        </w:rPr>
        <w:softHyphen/>
        <w:t>них дел от 29 февраля 1936 г. № 73 (ЦА ФСБ, ф. 6, оп. 1, ед.хр. 369, л. 230), и одновременно дало возможность руководству погранвойск более детально ознакомиться с состоянием дел непосредственно на местах.</w:t>
      </w:r>
    </w:p>
    <w:p w14:paraId="62E0B5AE" w14:textId="77777777" w:rsidR="00647F1E" w:rsidRPr="00E14102" w:rsidRDefault="00647F1E" w:rsidP="00E14102">
      <w:pPr>
        <w:jc w:val="both"/>
        <w:rPr>
          <w:color w:val="000000" w:themeColor="text1"/>
          <w:sz w:val="16"/>
          <w:szCs w:val="16"/>
        </w:rPr>
      </w:pPr>
      <w:r w:rsidRPr="00E14102">
        <w:rPr>
          <w:color w:val="000000" w:themeColor="text1"/>
          <w:sz w:val="16"/>
          <w:szCs w:val="16"/>
        </w:rPr>
        <w:t>Не без интереса в этом приказе читаются и такие строки: «...Проведенный авиаперелет, являясь образцом четкого пилотирования и высокой выучки пи</w:t>
      </w:r>
      <w:r w:rsidRPr="00E14102">
        <w:rPr>
          <w:color w:val="000000" w:themeColor="text1"/>
          <w:sz w:val="16"/>
          <w:szCs w:val="16"/>
        </w:rPr>
        <w:softHyphen/>
        <w:t>лотов, ставлю в пример всем авиачастям пограничной и внутренней охраны НКВД. Особенно отмечаю энергию, настойчивость и успех в овладении лет</w:t>
      </w:r>
      <w:r w:rsidRPr="00E14102">
        <w:rPr>
          <w:color w:val="000000" w:themeColor="text1"/>
          <w:sz w:val="16"/>
          <w:szCs w:val="16"/>
        </w:rPr>
        <w:softHyphen/>
        <w:t>ным делом комдива тов. Э. Крафт, который, будучи военным летчиком, во вре</w:t>
      </w:r>
      <w:r w:rsidRPr="00E14102">
        <w:rPr>
          <w:color w:val="000000" w:themeColor="text1"/>
          <w:sz w:val="16"/>
          <w:szCs w:val="16"/>
        </w:rPr>
        <w:softHyphen/>
        <w:t>мя отпуска в 1935 г. прошел курс слепой подготовки для летчиков разведыва</w:t>
      </w:r>
      <w:r w:rsidRPr="00E14102">
        <w:rPr>
          <w:color w:val="000000" w:themeColor="text1"/>
          <w:sz w:val="16"/>
          <w:szCs w:val="16"/>
        </w:rPr>
        <w:softHyphen/>
        <w:t>тельной, легкобомбардировочной и штурмовой авиации с отличными показа</w:t>
      </w:r>
      <w:r w:rsidRPr="00E14102">
        <w:rPr>
          <w:color w:val="000000" w:themeColor="text1"/>
          <w:sz w:val="16"/>
          <w:szCs w:val="16"/>
        </w:rPr>
        <w:softHyphen/>
        <w:t>телями, а также отличные знания и искусство остальных участников переле</w:t>
      </w:r>
      <w:r w:rsidRPr="00E14102">
        <w:rPr>
          <w:color w:val="000000" w:themeColor="text1"/>
          <w:sz w:val="16"/>
          <w:szCs w:val="16"/>
        </w:rPr>
        <w:softHyphen/>
        <w:t>та, плодотворные результаты инспектирования» (12299).</w:t>
      </w:r>
    </w:p>
    <w:p w14:paraId="61A6C01B" w14:textId="77777777" w:rsidR="00647F1E" w:rsidRPr="00E14102" w:rsidRDefault="00647F1E" w:rsidP="00E14102">
      <w:pPr>
        <w:jc w:val="both"/>
        <w:rPr>
          <w:color w:val="000000" w:themeColor="text1"/>
          <w:sz w:val="16"/>
          <w:szCs w:val="16"/>
        </w:rPr>
      </w:pPr>
    </w:p>
    <w:p w14:paraId="5524BB3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D2F7DBA" w14:textId="77777777" w:rsidR="00D4105E" w:rsidRPr="00E14102" w:rsidRDefault="00D4105E" w:rsidP="00E14102">
      <w:pPr>
        <w:autoSpaceDE w:val="0"/>
        <w:autoSpaceDN w:val="0"/>
        <w:adjustRightInd w:val="0"/>
        <w:jc w:val="both"/>
        <w:rPr>
          <w:iCs/>
          <w:color w:val="000000" w:themeColor="text1"/>
          <w:sz w:val="16"/>
          <w:szCs w:val="16"/>
        </w:rPr>
      </w:pPr>
    </w:p>
    <w:p w14:paraId="21F74AB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9 по 23 сентября 1935 проходили испытания самолета И-16 М-22 на штопор (6684).</w:t>
      </w:r>
    </w:p>
    <w:p w14:paraId="26FA62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6E9A7F5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Никашин</w:t>
      </w:r>
    </w:p>
    <w:p w14:paraId="3814E6A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14E0923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характера штопора на самолете И-16 М-22 и выявление опасных режимов.</w:t>
      </w:r>
    </w:p>
    <w:p w14:paraId="06563F1F"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Выявление тенденций к выходу в штопор при ошибках в пилотировании.</w:t>
      </w:r>
    </w:p>
    <w:p w14:paraId="35C0346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Выяснение влияний на характер и режим штопора факторов: количественной и качественной дачи рулей, положения самолета и т.д.</w:t>
      </w:r>
    </w:p>
    <w:p w14:paraId="29A6E00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Способы вывода самолета с минимальным запаздыванием.</w:t>
      </w:r>
    </w:p>
    <w:p w14:paraId="01EC73F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Получение данных для инструкции по производству штопора на самолете И16 М22.</w:t>
      </w:r>
    </w:p>
    <w:p w14:paraId="672A5A6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EDBACD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Штопор на самолете И-16 М22 с полетным весом G=1328 кг ……….. не опасен (6684).</w:t>
      </w:r>
    </w:p>
    <w:p w14:paraId="2C82892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26D456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9 по 23 сентября 1935 проходили гос. испытанию самолета И-16 М-22 на штопор</w:t>
      </w:r>
    </w:p>
    <w:p w14:paraId="3B1530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исполнитель – инженер-летчик Никашин</w:t>
      </w:r>
    </w:p>
    <w:p w14:paraId="370104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3D10B7A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Определение характера штопора на самолете И-16 М22 и выявление опасных режимов.</w:t>
      </w:r>
    </w:p>
    <w:p w14:paraId="45625C0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Выявление тенденций к входу в штопор при ошибках в пилотировании.</w:t>
      </w:r>
    </w:p>
    <w:p w14:paraId="69717AF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Выяснение влияний на характер и режим штопора факторов: количественной и качественной дачи рулей, положение самолета и т.д.</w:t>
      </w:r>
    </w:p>
    <w:p w14:paraId="4188452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Способы вывода самолета с минимальным запаздыванием.</w:t>
      </w:r>
    </w:p>
    <w:p w14:paraId="23D2C69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Получение данных для инструкции по производству штопора на самолете И16 М22.</w:t>
      </w:r>
    </w:p>
    <w:p w14:paraId="681835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3C5F8B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Штопор на самолете И-16 М22 с полетным весом 1328 кг, центром тяжести 33,1% САХ и регулировочными данными указанными для серийных самолетов завода № 21 не опасен (7660).</w:t>
      </w:r>
    </w:p>
    <w:p w14:paraId="5CE2D905"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05AC87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сентября 1935 года начальник управления ВС Алкснис писал письмо N 03934 наркому обороны.</w:t>
      </w:r>
    </w:p>
    <w:p w14:paraId="46D849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w:t>
      </w:r>
    </w:p>
    <w:p w14:paraId="7292CA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Докладываю, что летчик НИИ Евсеев на самолете И-15 с мотором Райт-Циклон Ф3 поднялся 7.IX. с.г. в 17 час. 30 мин. со Щелковского аэродрома для достижения предельной высоты и совершил посадку в 18 час. 50 мин., пробыв в воздухе 1 час 20 мин. и достигнув высоты 12010 м.</w:t>
      </w:r>
    </w:p>
    <w:p w14:paraId="046EA8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достижения этой высоты самолет И-15 был облегчен путем снятия с него всего вооружения и оборудования не нужного для полета....</w:t>
      </w:r>
    </w:p>
    <w:p w14:paraId="24378C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дало облегчение самолета на 200 кг: полетный вес составил при взлете 1214 кг против обычного боевого полетного веса самолета 1414 кг, а на потолке полетный вес его был 1189 кг.</w:t>
      </w:r>
    </w:p>
    <w:p w14:paraId="02108B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Горючего в полет было взято всего 92 кг, масла 18 кг, при чем расход горючего составлял 55,3 против 77-78 кг/час нормального расхода в связи с полетом на высоту на наивыгоднейшем режиме мотора.</w:t>
      </w:r>
    </w:p>
    <w:p w14:paraId="4FC389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самолета на потолке была: истинная - 209, по прибору 110.</w:t>
      </w:r>
    </w:p>
    <w:p w14:paraId="1B8F5B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Предварительная подготовка к полету на высоту заключалась в следующем:</w:t>
      </w:r>
    </w:p>
    <w:p w14:paraId="65BC37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полет на 8300 м, 1 полет на 9300 м и 6 полетов на 11000 м и, наконец, рекордный полет на 12010 м.</w:t>
      </w:r>
    </w:p>
    <w:p w14:paraId="00BBC2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Подготовка материальной части и все технические расчеты были произведены инженером НИИ Часовщиковым, авиатехником Цапаевым и мотористом Сахаровым. (2484,52-53).</w:t>
      </w:r>
    </w:p>
    <w:p w14:paraId="3E2E9037" w14:textId="77777777" w:rsidR="00D4105E" w:rsidRPr="00E14102" w:rsidRDefault="00D4105E" w:rsidP="00E14102">
      <w:pPr>
        <w:autoSpaceDE w:val="0"/>
        <w:autoSpaceDN w:val="0"/>
        <w:adjustRightInd w:val="0"/>
        <w:jc w:val="both"/>
        <w:rPr>
          <w:color w:val="000000" w:themeColor="text1"/>
          <w:sz w:val="16"/>
          <w:szCs w:val="16"/>
        </w:rPr>
      </w:pPr>
    </w:p>
    <w:p w14:paraId="1B5F6D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сентября 1935 года Ворошилов писал письмо N 376284сс Молотову.</w:t>
      </w:r>
    </w:p>
    <w:p w14:paraId="36EDB7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ходе выполнения плана заказов на новые типы самолетов и моторов и производственных и конструктивных дефектах их на по состоянию на 1 сентября 1935 года.</w:t>
      </w:r>
    </w:p>
    <w:p w14:paraId="5896AF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по новым типам самолетов в 1935 за 8 месяцев сдано всего 96, что составляет 4% общего заказа на новые типы самолетов.</w:t>
      </w:r>
    </w:p>
    <w:p w14:paraId="27C82A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Истребители</w:t>
      </w:r>
    </w:p>
    <w:p w14:paraId="451610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По плану заказов 1935 года завод N 1 должен сдать 250 самолетов И-15 с мотором М-25, из коих на 1 сентября 1935 года 120, а сдал на это число всего 50 или 20% годового заказа.</w:t>
      </w:r>
    </w:p>
    <w:p w14:paraId="7A8CD3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Выпуск самолетов И-16 с мотором М-22 из серийного производства (завод N 21) задерживается в основном из-за отставания производства шасси. Кроме того имеются дефекты.</w:t>
      </w:r>
    </w:p>
    <w:p w14:paraId="078CD3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И-16 с М-25 также имеет производственные и конструктивные дефекты.</w:t>
      </w:r>
    </w:p>
    <w:p w14:paraId="409CF9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Образец и чертежи переделки этого самолета для производства по заказу 1935 года еще до сих пор не переданы заводом N 39 на завод N 21...</w:t>
      </w:r>
    </w:p>
    <w:p w14:paraId="612AF9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ИП-1 (производит завод N 135 в Харькове) еще не поступил на снабжение, но в опытном образце при стрельбе из пушек АПК-4 уже обнаружена недостаточная прочность конструкции и хвостового оперения, обтяжки крыла и фюзеляжа. Сейчас этот дефект устраняется конструктором Григоровичем.</w:t>
      </w:r>
    </w:p>
    <w:p w14:paraId="48C263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И-14 с М-25 еще не поступил на снабжение...</w:t>
      </w:r>
    </w:p>
    <w:p w14:paraId="646813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 еще не доведено окончательно вооружение на самолете И-14.</w:t>
      </w:r>
    </w:p>
    <w:p w14:paraId="07C30A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Разведчики и штурмовики</w:t>
      </w:r>
    </w:p>
    <w:p w14:paraId="606C0C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По заказу на 1935 год завод N 1 должен сделать для НКО 350 самолетов Р-5 со Шкасами (заводская марка ССС); на 1 сентября не сдано ни одного самолета этого типа.</w:t>
      </w:r>
    </w:p>
    <w:p w14:paraId="2C1B90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происходит передача первых 10-ти самолетов ССС гомельской авиабригады для войсковых испытаний, принятых с целым рядом допусков...</w:t>
      </w:r>
    </w:p>
    <w:p w14:paraId="389012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Опытный образец этого самолета, предъявленного на гос. испытания не выдержал испытаний в основном из-за вооружения.</w:t>
      </w:r>
    </w:p>
    <w:p w14:paraId="0A263B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Выявлены другие дефекты.</w:t>
      </w:r>
    </w:p>
    <w:p w14:paraId="77C713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По постановлению Правительства завод N 1 обязан в 1935 году изготовить 600 самолетов-разведчиков.</w:t>
      </w:r>
    </w:p>
    <w:p w14:paraId="2B4A6E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завода N 1 Беленкович отказался строить самолет ЛР, несмотря на решение Правительства и выпустил в серийное производство вместо ЛР самолет Р-5 под мотор М-34 под названием Р-ЗЕТ М34.</w:t>
      </w:r>
    </w:p>
    <w:p w14:paraId="6181B7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Опытный образец этого самолета завод N 1 должен был дать еще в апреле 1934 года по постановлению Правительства, однако дал только в июне 1935 года.</w:t>
      </w:r>
    </w:p>
    <w:p w14:paraId="486C73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 испытания образца выявили серьезные дефекты...</w:t>
      </w:r>
    </w:p>
    <w:p w14:paraId="03AABF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Исправленный заводом образец еще не предъявлен на повторные испытания.</w:t>
      </w:r>
    </w:p>
    <w:p w14:paraId="4875DE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скоростным бомбардировщикам</w:t>
      </w:r>
    </w:p>
    <w:p w14:paraId="6CF4C9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Заказ на 1935 год по СБ в 400 штук со сроком сдачи их к 1 апреля 1936 года.</w:t>
      </w:r>
    </w:p>
    <w:p w14:paraId="05D33F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этого заказа на 1 сентября 1935 года не сдано ни одного самолета.</w:t>
      </w:r>
    </w:p>
    <w:p w14:paraId="142FBB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тяжелым бомбардировщикам</w:t>
      </w:r>
    </w:p>
    <w:p w14:paraId="06425B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110 самолетов ТБ-3-4М34РН, подлежащих сдаче 1 сентября 1935 года не сдан ни один, кроме опытного образца...</w:t>
      </w:r>
    </w:p>
    <w:p w14:paraId="3AB401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Подачу моторов М34РН задерживает завод N 24 октября (3479,20-27).</w:t>
      </w:r>
    </w:p>
    <w:p w14:paraId="269BA554" w14:textId="77777777" w:rsidR="00D4105E" w:rsidRPr="00E14102" w:rsidRDefault="00D4105E" w:rsidP="00E14102">
      <w:pPr>
        <w:autoSpaceDE w:val="0"/>
        <w:autoSpaceDN w:val="0"/>
        <w:adjustRightInd w:val="0"/>
        <w:jc w:val="both"/>
        <w:rPr>
          <w:color w:val="000000" w:themeColor="text1"/>
          <w:sz w:val="16"/>
          <w:szCs w:val="16"/>
        </w:rPr>
      </w:pPr>
    </w:p>
    <w:p w14:paraId="3C2261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сентября 1935 Нач. В/ч 1127—Бажанов УТВЕРДИЛ</w:t>
      </w:r>
    </w:p>
    <w:p w14:paraId="0E0931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Заключение комиссии по гос. испытаниям от 11 августа 1935 г.</w:t>
      </w:r>
    </w:p>
    <w:p w14:paraId="11B1D3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«Парашют Г-36, представленный Экспериментальным институ</w:t>
      </w:r>
      <w:r w:rsidRPr="00E14102">
        <w:rPr>
          <w:color w:val="000000" w:themeColor="text1"/>
          <w:sz w:val="16"/>
          <w:szCs w:val="16"/>
        </w:rPr>
        <w:softHyphen/>
        <w:t>том НКТП — государственные испытания — выдержал.</w:t>
      </w:r>
    </w:p>
    <w:p w14:paraId="6E1A7B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Указанный парашют рекомендовать для принятия на снабжение ВС РККА».</w:t>
      </w:r>
    </w:p>
    <w:p w14:paraId="08F4C4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 Н/О В. Ч. 1698 Кабанов. Начальник 5 отдела В. Ч. 1127 Петров:</w:t>
      </w:r>
    </w:p>
    <w:p w14:paraId="3121F5F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Универсальный парашют Г-36 — -предназначен для лиц экипажа самолета, -которым по условиям работы, обычный парашют с посто</w:t>
      </w:r>
      <w:r w:rsidRPr="00E14102">
        <w:rPr>
          <w:color w:val="000000" w:themeColor="text1"/>
          <w:sz w:val="16"/>
          <w:szCs w:val="16"/>
        </w:rPr>
        <w:softHyphen/>
        <w:t>янным креплением ранца создает ряд неудобств и затрудняет выпол</w:t>
      </w:r>
      <w:r w:rsidRPr="00E14102">
        <w:rPr>
          <w:color w:val="000000" w:themeColor="text1"/>
          <w:sz w:val="16"/>
          <w:szCs w:val="16"/>
        </w:rPr>
        <w:softHyphen/>
        <w:t>нение ими своих обязанностей в полете (борт, техник, инженер, лет-наб).</w:t>
      </w:r>
    </w:p>
    <w:p w14:paraId="7EE55A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 сконструированитаким образом, что может мгновенно быть соединен с подвесной системой при помощи специального карабина.</w:t>
      </w:r>
    </w:p>
    <w:p w14:paraId="3FD25C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Применение ПД-1, как боевого парашюта — экономичней обыч</w:t>
      </w:r>
      <w:r w:rsidRPr="00E14102">
        <w:rPr>
          <w:color w:val="000000" w:themeColor="text1"/>
          <w:sz w:val="16"/>
          <w:szCs w:val="16"/>
        </w:rPr>
        <w:softHyphen/>
        <w:t>ных типов парашюта, т. к. замена шелкового купола и строп — пер-лалем и хл.-бумажными шнурами, — вдвое удешевляет стоимость ком</w:t>
      </w:r>
      <w:r w:rsidRPr="00E14102">
        <w:rPr>
          <w:color w:val="000000" w:themeColor="text1"/>
          <w:sz w:val="16"/>
          <w:szCs w:val="16"/>
        </w:rPr>
        <w:softHyphen/>
        <w:t>плекта и в сроках эксплоатацни, — превосходит в несколько раз шелковые образцы, как более подверженные разрушению, истиранию л слеживанию.</w:t>
      </w:r>
    </w:p>
    <w:p w14:paraId="0431AE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Примечание. Десантные перкалевые парашюты ПД-1 приняты на снабжение ВС РККА в 1932 г.</w:t>
      </w:r>
    </w:p>
    <w:p w14:paraId="00F1CF4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 сконструирован таким образом, что может мгновенно быть соединен с подвесной системой при помощи специального ка</w:t>
      </w:r>
      <w:r w:rsidRPr="00E14102">
        <w:rPr>
          <w:color w:val="000000" w:themeColor="text1"/>
          <w:sz w:val="16"/>
          <w:szCs w:val="16"/>
        </w:rPr>
        <w:softHyphen/>
        <w:t>рабина.</w:t>
      </w:r>
    </w:p>
    <w:p w14:paraId="57A8AAF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полете парашют, как правило, находится у рабочих мест эки</w:t>
      </w:r>
      <w:r w:rsidRPr="00E14102">
        <w:rPr>
          <w:color w:val="000000" w:themeColor="text1"/>
          <w:sz w:val="16"/>
          <w:szCs w:val="16"/>
        </w:rPr>
        <w:softHyphen/>
        <w:t>пажа.</w:t>
      </w:r>
    </w:p>
    <w:p w14:paraId="7CB44C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необходимости (в случае аварии, пожара и т. д.), борт, тех</w:t>
      </w:r>
      <w:r w:rsidRPr="00E14102">
        <w:rPr>
          <w:color w:val="000000" w:themeColor="text1"/>
          <w:sz w:val="16"/>
          <w:szCs w:val="16"/>
        </w:rPr>
        <w:softHyphen/>
        <w:t>ник, инженер или летнаб, — берет ранец с парашютом, укрепляет его мгновенно в замке подвесной системы и оставляет самолет (2186).</w:t>
      </w:r>
    </w:p>
    <w:p w14:paraId="2BD97757" w14:textId="77777777" w:rsidR="00D4105E" w:rsidRPr="00E14102" w:rsidRDefault="00D4105E" w:rsidP="00E14102">
      <w:pPr>
        <w:autoSpaceDE w:val="0"/>
        <w:autoSpaceDN w:val="0"/>
        <w:adjustRightInd w:val="0"/>
        <w:jc w:val="both"/>
        <w:rPr>
          <w:color w:val="000000" w:themeColor="text1"/>
          <w:sz w:val="16"/>
          <w:szCs w:val="16"/>
        </w:rPr>
      </w:pPr>
    </w:p>
    <w:p w14:paraId="7400EFDE" w14:textId="77777777" w:rsidR="00D7223E" w:rsidRPr="00E14102" w:rsidRDefault="00D7223E" w:rsidP="00E14102">
      <w:pPr>
        <w:jc w:val="both"/>
        <w:rPr>
          <w:color w:val="0070C0"/>
          <w:sz w:val="16"/>
          <w:szCs w:val="16"/>
          <w:shd w:val="clear" w:color="auto" w:fill="FFFFFF"/>
        </w:rPr>
      </w:pPr>
      <w:r w:rsidRPr="00E14102">
        <w:rPr>
          <w:color w:val="0070C0"/>
          <w:sz w:val="16"/>
          <w:szCs w:val="16"/>
          <w:shd w:val="clear" w:color="auto" w:fill="FFFFFF"/>
        </w:rPr>
        <w:t>9 сентября 1935 года. состоялся пробный рейс по маршруту Прага – Ужгород – Клуж – Яссы – Киев – Москва. Самолет английского производства «Эйрспид» AS-6 «Энвой» (Airspeed Envoy) преодолел расстояние от Праги до Москвы менее чем за 10 часов. Однако регулярные рейсы по трассе, получившей название «Русский экспресс», удалось начать лишь год спустя.</w:t>
      </w:r>
    </w:p>
    <w:p w14:paraId="62FF19A6" w14:textId="77777777" w:rsidR="00D7223E" w:rsidRPr="00E14102" w:rsidRDefault="00D7223E" w:rsidP="00E14102">
      <w:pPr>
        <w:jc w:val="both"/>
        <w:rPr>
          <w:color w:val="0070C0"/>
          <w:sz w:val="16"/>
          <w:szCs w:val="16"/>
          <w:shd w:val="clear" w:color="auto" w:fill="FFFFFF"/>
        </w:rPr>
      </w:pPr>
      <w:r w:rsidRPr="00E14102">
        <w:rPr>
          <w:color w:val="0070C0"/>
          <w:sz w:val="16"/>
          <w:szCs w:val="16"/>
          <w:shd w:val="clear" w:color="auto" w:fill="FFFFFF"/>
        </w:rPr>
        <w:t>В 1935 году авиакомпании «Аэрофлот» и «Чехословацкие авиалинии» (;SA, ;eskoslovensk; aerolinie) приняли решение организовать воздушное сообщение между столицами СССР и Чехословакии. Летать в Москву удобнее всего было бы через Польшу. Однако польские власти запретили полеты ;SA над своей территорией, из-за чего пришлось проложить маршрут через Румынию (21438).</w:t>
      </w:r>
    </w:p>
    <w:p w14:paraId="6F87D4D6" w14:textId="77777777" w:rsidR="00D7223E" w:rsidRPr="00E14102" w:rsidRDefault="00D7223E" w:rsidP="00E14102">
      <w:pPr>
        <w:jc w:val="both"/>
        <w:rPr>
          <w:color w:val="0070C0"/>
          <w:sz w:val="16"/>
          <w:szCs w:val="16"/>
        </w:rPr>
      </w:pPr>
    </w:p>
    <w:p w14:paraId="50C4071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B4FF570" w14:textId="77777777" w:rsidR="00D4105E" w:rsidRPr="00E14102" w:rsidRDefault="00D4105E" w:rsidP="00E14102">
      <w:pPr>
        <w:autoSpaceDE w:val="0"/>
        <w:autoSpaceDN w:val="0"/>
        <w:adjustRightInd w:val="0"/>
        <w:jc w:val="both"/>
        <w:rPr>
          <w:iCs/>
          <w:color w:val="000000" w:themeColor="text1"/>
          <w:sz w:val="16"/>
          <w:szCs w:val="16"/>
        </w:rPr>
      </w:pPr>
    </w:p>
    <w:p w14:paraId="158790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сентября 1935 года начальник Артиллерийского управления Ефимов писал письмо № 137143сс в СТО Галактионову</w:t>
      </w:r>
    </w:p>
    <w:p w14:paraId="0CBF24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 1245/ко</w:t>
      </w:r>
    </w:p>
    <w:p w14:paraId="1BEA8C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Вопросы, затронутые в письме начальника Главхимпрома Ратайчака о порядке комплектования выстрелами 305 и 152 мм систем Курчевского касаются моряков и результаты испытаний, проведенных ими, нам в достаточной мере не известны.</w:t>
      </w:r>
    </w:p>
    <w:p w14:paraId="102251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Поэтому материал, препровожденный Вами на заключение, мной направлен в Управление ВМС РККА (2426,58).</w:t>
      </w:r>
    </w:p>
    <w:p w14:paraId="0FA67131" w14:textId="77777777" w:rsidR="00D4105E" w:rsidRPr="00E14102" w:rsidRDefault="00D4105E" w:rsidP="00E14102">
      <w:pPr>
        <w:autoSpaceDE w:val="0"/>
        <w:autoSpaceDN w:val="0"/>
        <w:adjustRightInd w:val="0"/>
        <w:jc w:val="both"/>
        <w:rPr>
          <w:color w:val="000000" w:themeColor="text1"/>
          <w:sz w:val="16"/>
          <w:szCs w:val="16"/>
        </w:rPr>
      </w:pPr>
    </w:p>
    <w:p w14:paraId="7F511A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9 сентября 1935 г. было подготовлено за № 56972 </w:t>
      </w:r>
    </w:p>
    <w:p w14:paraId="657C09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СПЕЦСООБЩЕНИЕ</w:t>
      </w:r>
    </w:p>
    <w:p w14:paraId="6279AE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 Сталину</w:t>
      </w:r>
    </w:p>
    <w:p w14:paraId="711863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нашей записке от 11 УП. 1935 года за № 56425 в адрес ЦК ВКП (б) сообщалось об активной работе американской разведки в СССР в лице помощника представителя прессы Херста в СССР – Михайлова - Шофмана З.Л.</w:t>
      </w:r>
    </w:p>
    <w:p w14:paraId="4FAFDE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Следствием шпионская деятельность Михайлова - Шофмана полностью подтвердилась.</w:t>
      </w:r>
    </w:p>
    <w:p w14:paraId="290082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Арестованный Михайлов-Шофман З.Л. – советский гражданин, беспартийный, сын польского торговца, до революции был меньшевиком, эмигрировал в годы империалистической войны за границу, отбывал уже в 1925 г. ссылку за шпионаж.</w:t>
      </w:r>
    </w:p>
    <w:p w14:paraId="13AB93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Михайлов-Шофман показал, что пресса Херста фактически является прикрытием для работы американской разведки, что нынешний представитель прессы Херста в Москве Паррот Линдсей, как и его предшественники Дойс и Уэллс, являются работником американской разведки.</w:t>
      </w:r>
    </w:p>
    <w:p w14:paraId="38470B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Михайлов-Шофиан сознался в том, что прикрываясь своим официальным положением представителя английского агентства “Централь-Ньюс” и помощника представителя прессы Херста в Москве, – проводил разведывательную работу.</w:t>
      </w:r>
    </w:p>
    <w:p w14:paraId="1890A0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частности, Михайлов-Шофма З.Л. сознался в том, что передал Парроту, для американской разведки шпионские сведения о строительстве подводного флота на Дальнем Востоке, о конструкции подводных лодок и радиусе их действия, о постройке стратегической железнодорожной линии вдоль реки Амура и об имевших места контрреволюционных настроения в рядах Красной армии.</w:t>
      </w:r>
    </w:p>
    <w:p w14:paraId="7F7437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перечисленных сведений, Михайлов передал Парроту клеветнические, контрреволюционные материалы о тов. Сталине, которые были опубликованы и использованы прессой Херста, для антисоветской компании в Америке.</w:t>
      </w:r>
    </w:p>
    <w:p w14:paraId="287B46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Эти сведения и к.-р. материалы Михайлов-Шофман получал через свою агентуру в лице: 1) Хачатурова Михаила Ивановича – беспартийного, советского гражданина, без определенных занятий, отбывавшего наказание за контрреволюционную деятельность (арестован и сознался); 2) Берштейна Ефима Ливовича – беспартийного, советского гражданина, ночного редактора газеты “Советская Торговля” (арестован и сознался); 3) Шенберга Павла Эдуардовича – беспартийного, советского гражданина, без определенных занятий, отбывавшего вместе с Михайловым ссылку за шпионаж в пользу Японии (арестован и сознался); 4) Агатова Дмитрия Петровича – беспартийного, советского гражданина, без определенных занятий (выехал в Крым – дано распоряжение об аресте).</w:t>
      </w:r>
    </w:p>
    <w:p w14:paraId="1C5A72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Этих лиц Михайлов систематически оплачивал в инвалюте и совзнаках за их шпионскую работу.</w:t>
      </w:r>
    </w:p>
    <w:p w14:paraId="54EF95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Указанным лицам предъявлено обвинение в измене родине.</w:t>
      </w:r>
    </w:p>
    <w:p w14:paraId="0649D9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 – протокол допроса Михайлова-Шофмана и Бернштейна-Янтарева.</w:t>
      </w:r>
    </w:p>
    <w:p w14:paraId="5A2EDC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Заместитель Начальника Особого Отдела ГУГБ НКВД СССР Горб </w:t>
      </w:r>
    </w:p>
    <w:p w14:paraId="52C5E4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АП РФ, ф.3, оп.58, д.247, л.л.165-166 (11462).</w:t>
      </w:r>
    </w:p>
    <w:p w14:paraId="0CE7E8EA" w14:textId="77777777" w:rsidR="00D4105E" w:rsidRPr="00E14102" w:rsidRDefault="00D4105E" w:rsidP="00E14102">
      <w:pPr>
        <w:autoSpaceDE w:val="0"/>
        <w:autoSpaceDN w:val="0"/>
        <w:adjustRightInd w:val="0"/>
        <w:jc w:val="both"/>
        <w:rPr>
          <w:color w:val="000000" w:themeColor="text1"/>
          <w:sz w:val="16"/>
          <w:szCs w:val="16"/>
        </w:rPr>
      </w:pPr>
    </w:p>
    <w:p w14:paraId="37DF1B52" w14:textId="77777777" w:rsidR="00F9595A" w:rsidRPr="00E14102" w:rsidRDefault="00F9595A" w:rsidP="00E14102">
      <w:pPr>
        <w:pStyle w:val="rtejustify"/>
        <w:spacing w:before="0" w:after="0"/>
        <w:rPr>
          <w:color w:val="000000" w:themeColor="text1"/>
          <w:sz w:val="16"/>
          <w:szCs w:val="16"/>
        </w:rPr>
      </w:pPr>
      <w:r w:rsidRPr="00E14102">
        <w:rPr>
          <w:rStyle w:val="a6"/>
          <w:bCs/>
          <w:i w:val="0"/>
          <w:color w:val="000000" w:themeColor="text1"/>
          <w:sz w:val="16"/>
          <w:szCs w:val="16"/>
        </w:rPr>
        <w:t>9 сентября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118сс «О заключении договора с фирмой “Радиокорпорейшен”». (ГА РФ. Ф. Р</w:t>
      </w:r>
      <w:r w:rsidRPr="00E14102">
        <w:rPr>
          <w:color w:val="000000" w:themeColor="text1"/>
          <w:sz w:val="16"/>
          <w:szCs w:val="16"/>
        </w:rPr>
        <w:noBreakHyphen/>
        <w:t>8418. Оп. 28. Д. 7. Л. 101) (15460).</w:t>
      </w:r>
    </w:p>
    <w:p w14:paraId="0527E91E" w14:textId="77777777" w:rsidR="00F9595A" w:rsidRPr="00E14102" w:rsidRDefault="00F9595A" w:rsidP="00E14102">
      <w:pPr>
        <w:pStyle w:val="rtejustify"/>
        <w:spacing w:before="0" w:after="0"/>
        <w:rPr>
          <w:color w:val="000000" w:themeColor="text1"/>
          <w:sz w:val="16"/>
          <w:szCs w:val="16"/>
        </w:rPr>
      </w:pPr>
    </w:p>
    <w:p w14:paraId="6726CC95" w14:textId="77777777" w:rsidR="00F9595A" w:rsidRPr="00E14102" w:rsidRDefault="00F9595A"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9 сентября 1935 года СТО СССР принял постановление № С-118сс «О заключении договора с фирмой «Радиокорпорейшн». (ГАРФ. Ф. Р-8418, оп. 28, д. 7, л. 101). Основное внимание при этом уделялось военному аспекту, о чем свидетельствует тот факт, что для руководства всем этим взаимодействием был выбран начальник связи РККА Н.М. Синявский, для прикрытия переведенный на должность заместителя наркома связи СССР. Этим же можно объяснить и основное внимание освоению в первую очередь ламп с металлическим корпусом, который, видимо, представлялся более прочным. За пять лет действия договора (с 1935 года по 1940-й) было закуплено новейшее заводское оборудование и приобретены права на использование технологии изготовления радиоламп. Если учесть стоимость покупаемого оборудования и образцов, командировки американских специалистов в СССР и советских инженеров в Америку (ежегодно 100 человек), то договор обошелся государству в 6</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млн долл.</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для того времени очень значительная сумма (15736).</w:t>
      </w:r>
    </w:p>
    <w:p w14:paraId="5683622B" w14:textId="77777777" w:rsidR="00F9595A" w:rsidRPr="00E14102" w:rsidRDefault="00F9595A" w:rsidP="00E14102">
      <w:pPr>
        <w:pStyle w:val="ad"/>
        <w:spacing w:before="0" w:after="0"/>
        <w:rPr>
          <w:rFonts w:ascii="Times New Roman" w:hAnsi="Times New Roman" w:cs="Times New Roman"/>
          <w:color w:val="000000" w:themeColor="text1"/>
          <w:sz w:val="16"/>
          <w:szCs w:val="16"/>
          <w:lang w:val="ru-RU"/>
        </w:rPr>
      </w:pPr>
    </w:p>
    <w:p w14:paraId="0959F6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сентября 1935 года в Ленинграде состоя­лось подписание договора между уполномочен­ным Главморпромом НКТП «Судопроектом» (ЦКБ по проектированию транспортных су­дов) и фирмой «Одеро-Терни-Орландо». До­говор подписали: директор «Судопроекта» Л.С.Окорский и директор-распорядитель фирмы «Орландо» инженер Л .Орландо. 11 сентября того же года вышло поста­новление СТО о постройке лидера. Фирма приступила к его проектированию в начале октября 1935 года под наблюдением Морской комиссии заказчика, которую возглав­ляли А.С.Кассациер (от Главморпрома) и М.П.Бомзе (от УВМС РККА). В состав ко­миссии были включены конструкторы ЦКБС-1 В.Г.Королевич, В.И.Гинзбург, Г.Г.Краснов, А.И.Песчанский, М.Д.Царев, К.В.Шлиссель и другие. 3 февраля 1936 года фирма представи­ла Комиссии общий проект корабля, 13 фев­раля документация проекта, согласованная Комиссией, была доставлена в СССР на рассмотрение и утверждение. До 25 фев­раля она была рассмотрена в УВМС и Главморпроекте, после чего замечания и пред­ложения советских специалистов были про­работаны итальянскими конструкторами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В.М.Орловым,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водоизмещение на испытании — 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5B655347" w14:textId="77777777" w:rsidR="00D4105E" w:rsidRPr="00E14102" w:rsidRDefault="00D4105E" w:rsidP="00E14102">
      <w:pPr>
        <w:autoSpaceDE w:val="0"/>
        <w:autoSpaceDN w:val="0"/>
        <w:adjustRightInd w:val="0"/>
        <w:jc w:val="both"/>
        <w:rPr>
          <w:color w:val="000000" w:themeColor="text1"/>
          <w:sz w:val="16"/>
          <w:szCs w:val="16"/>
        </w:rPr>
      </w:pPr>
    </w:p>
    <w:p w14:paraId="59389EF0" w14:textId="77777777" w:rsidR="00132CBC" w:rsidRPr="00E14102" w:rsidRDefault="00132CBC" w:rsidP="00E14102">
      <w:pPr>
        <w:jc w:val="both"/>
        <w:rPr>
          <w:color w:val="000000" w:themeColor="text1"/>
          <w:sz w:val="16"/>
          <w:szCs w:val="16"/>
        </w:rPr>
      </w:pPr>
      <w:r w:rsidRPr="00E14102">
        <w:rPr>
          <w:color w:val="000000" w:themeColor="text1"/>
          <w:sz w:val="16"/>
          <w:szCs w:val="16"/>
        </w:rPr>
        <w:t>9 сентября 1935 г. руководством фирмы «Одеро-Терни-Орландо» и представителями «Судопроекта» (НКТП) был подписан Договор на строительство лидера эсминцев.Стоимость заказа составляла 44 млн итальянских лир [5, д. 20, л. 33]. Кораблю было присвоено наименование «Ташкент», первоначально он был предназначен для вступления в состав Балтийского флота. Однако сложившаяся в Европе ситуация вынудила 1 ноября 1938 г. народного комиссара ВМФ (НКВМФ) СССР М. П. Фриновского доложить председателю КО СНК СССР по лидеру «Ташкент»: «Чтобы избежать провокаций со стороны итальянцев, в связи с расширением отечественного судостроения, базирование корабля с итальянской сдаточной командой и администрацией в г. Ленинграде не желательно, поэтому необходимо переводить приѐмку в Одессу» [Там же, д. 22, л. 129]. В конце ноября 1938 года НКВМФ сообщал народному комиссару иностранных дел (НКИД) М. М. Литвинову: «Лидер ―Ташкент‖ предназначался для Балтийского флота, но в связи с нежелательностью прохода через Гибралтарский пролив, вступает в состав Черноморского флота. Лидер пройдѐт через проливы под итальянским флагом, с итальянской командой и без вооружения. Может возникнуть необходимость сообщения турецкому правительству сведений о вступлении этого корабля в состав Черноморского флота» [6, д. 140, л. 5] (18258).</w:t>
      </w:r>
    </w:p>
    <w:p w14:paraId="6C36365A" w14:textId="77777777" w:rsidR="00132CBC" w:rsidRPr="00E14102" w:rsidRDefault="00132CBC" w:rsidP="00E14102">
      <w:pPr>
        <w:jc w:val="both"/>
        <w:rPr>
          <w:color w:val="000000" w:themeColor="text1"/>
          <w:sz w:val="16"/>
          <w:szCs w:val="16"/>
        </w:rPr>
      </w:pPr>
    </w:p>
    <w:p w14:paraId="76CFFA60" w14:textId="77777777" w:rsidR="00164F4F" w:rsidRPr="00E14102" w:rsidRDefault="00164F4F" w:rsidP="00E14102">
      <w:pPr>
        <w:jc w:val="both"/>
        <w:rPr>
          <w:rFonts w:eastAsia="TimesNewRoman"/>
          <w:color w:val="000000" w:themeColor="text1"/>
          <w:sz w:val="16"/>
          <w:szCs w:val="16"/>
        </w:rPr>
      </w:pPr>
      <w:r w:rsidRPr="00E14102">
        <w:rPr>
          <w:rFonts w:eastAsia="TimesNewRoman"/>
          <w:color w:val="000000" w:themeColor="text1"/>
          <w:sz w:val="16"/>
          <w:szCs w:val="16"/>
        </w:rPr>
        <w:t>9 сентября 1935 г. договор на строительство лидера эсминцев был подписан руководством фирмы «Одеро-Терни-Орландо» и представителями «Судопроекта» (НКТП). Стоимость заказа составляла 44 млн итальянских лир [5, д. 20, л. 33].</w:t>
      </w:r>
    </w:p>
    <w:p w14:paraId="23C5336E" w14:textId="77777777" w:rsidR="00164F4F" w:rsidRPr="00E14102" w:rsidRDefault="00164F4F" w:rsidP="00E14102">
      <w:pPr>
        <w:jc w:val="both"/>
        <w:rPr>
          <w:rFonts w:eastAsia="TimesNewRoman"/>
          <w:color w:val="000000" w:themeColor="text1"/>
          <w:sz w:val="16"/>
          <w:szCs w:val="16"/>
        </w:rPr>
      </w:pPr>
      <w:r w:rsidRPr="00E14102">
        <w:rPr>
          <w:rFonts w:eastAsia="TimesNewRoman"/>
          <w:color w:val="000000" w:themeColor="text1"/>
          <w:sz w:val="16"/>
          <w:szCs w:val="16"/>
        </w:rPr>
        <w:t>Кораблю было присвоено наименование «Ташкент», первоначально он был предназначен для вступления в состав Балтийского флота. Однако сложившаяся в Европе ситуация вынудила 1 ноября 1938 г. народного комиссара ВМФ (НКВМФ) СССР М. П. Фриновского доложить председателю КО СНК СССР по лидеру «Ташкент»: «Чтобы избежать провокаций со стороны итальянцев, в связи с расширением отечественного судостроения, базирование корабля с итальянской сдаточной командой и администрацией в г. Ленинграде не желательно, поэтому необходимо переводить приѐ</w:t>
      </w:r>
      <w:r w:rsidRPr="00E14102">
        <w:rPr>
          <w:rFonts w:eastAsia="MS Mincho"/>
          <w:color w:val="000000" w:themeColor="text1"/>
          <w:sz w:val="16"/>
          <w:szCs w:val="16"/>
        </w:rPr>
        <w:t>мку</w:t>
      </w:r>
      <w:r w:rsidRPr="00E14102">
        <w:rPr>
          <w:rFonts w:eastAsia="TimesNewRoman"/>
          <w:color w:val="000000" w:themeColor="text1"/>
          <w:sz w:val="16"/>
          <w:szCs w:val="16"/>
        </w:rPr>
        <w:t xml:space="preserve"> в Одессу» [Там же, д. 22, л. 129] (12701).</w:t>
      </w:r>
    </w:p>
    <w:p w14:paraId="5F52D4DB" w14:textId="77777777" w:rsidR="00164F4F" w:rsidRPr="00E14102" w:rsidRDefault="00164F4F" w:rsidP="00E14102">
      <w:pPr>
        <w:jc w:val="both"/>
        <w:rPr>
          <w:rFonts w:eastAsia="TimesNewRoman"/>
          <w:color w:val="000000" w:themeColor="text1"/>
          <w:sz w:val="16"/>
          <w:szCs w:val="16"/>
        </w:rPr>
      </w:pPr>
    </w:p>
    <w:p w14:paraId="07BCC3D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FB26A6B" w14:textId="77777777" w:rsidR="00D4105E" w:rsidRPr="00E14102" w:rsidRDefault="00D4105E" w:rsidP="00E14102">
      <w:pPr>
        <w:autoSpaceDE w:val="0"/>
        <w:autoSpaceDN w:val="0"/>
        <w:adjustRightInd w:val="0"/>
        <w:jc w:val="both"/>
        <w:rPr>
          <w:iCs/>
          <w:color w:val="000000" w:themeColor="text1"/>
          <w:sz w:val="16"/>
          <w:szCs w:val="16"/>
        </w:rPr>
      </w:pPr>
    </w:p>
    <w:p w14:paraId="2AA97E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период с 10 по 12 сентября 1935 с третьей попытки был выполнен 75-часовой полет на РД (160).</w:t>
      </w:r>
    </w:p>
    <w:p w14:paraId="4357E019" w14:textId="77777777" w:rsidR="00D4105E" w:rsidRPr="00E14102" w:rsidRDefault="00D4105E" w:rsidP="00E14102">
      <w:pPr>
        <w:autoSpaceDE w:val="0"/>
        <w:autoSpaceDN w:val="0"/>
        <w:adjustRightInd w:val="0"/>
        <w:jc w:val="both"/>
        <w:rPr>
          <w:color w:val="000000" w:themeColor="text1"/>
          <w:sz w:val="16"/>
          <w:szCs w:val="16"/>
        </w:rPr>
      </w:pPr>
    </w:p>
    <w:p w14:paraId="1D3CF6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сентября 1935 вышло постановление СТО (протокол N 11 п. 2) о постройке опытного образца артиллерийского самолета-корректировщика (3503).</w:t>
      </w:r>
    </w:p>
    <w:p w14:paraId="46C76BAD" w14:textId="77777777" w:rsidR="00D4105E" w:rsidRPr="00E14102" w:rsidRDefault="00D4105E" w:rsidP="00E14102">
      <w:pPr>
        <w:autoSpaceDE w:val="0"/>
        <w:autoSpaceDN w:val="0"/>
        <w:adjustRightInd w:val="0"/>
        <w:jc w:val="both"/>
        <w:rPr>
          <w:color w:val="000000" w:themeColor="text1"/>
          <w:sz w:val="16"/>
          <w:szCs w:val="16"/>
        </w:rPr>
      </w:pPr>
    </w:p>
    <w:p w14:paraId="6B7A93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10 по 19 сентября 1935 П.М.Стефановский испытывал И-16 на штопор, чтобы составить подробную инструкцию по антиштопорным свойствам (2921,113).</w:t>
      </w:r>
    </w:p>
    <w:p w14:paraId="58842184" w14:textId="77777777" w:rsidR="00D4105E" w:rsidRPr="00E14102" w:rsidRDefault="00D4105E" w:rsidP="00E14102">
      <w:pPr>
        <w:autoSpaceDE w:val="0"/>
        <w:autoSpaceDN w:val="0"/>
        <w:adjustRightInd w:val="0"/>
        <w:jc w:val="both"/>
        <w:rPr>
          <w:color w:val="000000" w:themeColor="text1"/>
          <w:sz w:val="16"/>
          <w:szCs w:val="16"/>
        </w:rPr>
      </w:pPr>
    </w:p>
    <w:p w14:paraId="6006B8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сентября 1935 года Королева, начальник ГУАП, на заседании КО заявил, что аварии самолета И-15 происходят из-за плохого хранения и неграмотной эксплуатации (3475,13).</w:t>
      </w:r>
    </w:p>
    <w:p w14:paraId="7CD7F772" w14:textId="77777777" w:rsidR="00D4105E" w:rsidRPr="00E14102" w:rsidRDefault="00D4105E" w:rsidP="00E14102">
      <w:pPr>
        <w:autoSpaceDE w:val="0"/>
        <w:autoSpaceDN w:val="0"/>
        <w:adjustRightInd w:val="0"/>
        <w:jc w:val="both"/>
        <w:rPr>
          <w:color w:val="000000" w:themeColor="text1"/>
          <w:sz w:val="16"/>
          <w:szCs w:val="16"/>
        </w:rPr>
      </w:pPr>
    </w:p>
    <w:p w14:paraId="043CBC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сентября 1935 года закончились испытания серийных самолетов "Зет" постройки завода 135 за NN 13533, 13534 и 13535 на предмет определения разрушающего действия выстрелов из пушек "АПК-4м", которые проходили с 28 июня 1935 (3074).</w:t>
      </w:r>
    </w:p>
    <w:p w14:paraId="29087295" w14:textId="77777777" w:rsidR="00D4105E" w:rsidRPr="00E14102" w:rsidRDefault="00D4105E" w:rsidP="00E14102">
      <w:pPr>
        <w:autoSpaceDE w:val="0"/>
        <w:autoSpaceDN w:val="0"/>
        <w:adjustRightInd w:val="0"/>
        <w:jc w:val="both"/>
        <w:rPr>
          <w:color w:val="000000" w:themeColor="text1"/>
          <w:sz w:val="16"/>
          <w:szCs w:val="16"/>
        </w:rPr>
      </w:pPr>
    </w:p>
    <w:p w14:paraId="442088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сентября 1935 года выписка из протокола № 11 КО</w:t>
      </w:r>
    </w:p>
    <w:p w14:paraId="2F2B51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 качестве самолетов и моторов, выпускаемых заводами авиапромышленности.</w:t>
      </w:r>
    </w:p>
    <w:p w14:paraId="2BCFFE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КПК и КСК проверить ход выполнения ГУАПом программы 1935 года по всем новым типам самолетов и моторов.</w:t>
      </w:r>
    </w:p>
    <w:p w14:paraId="656E5A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проверить причины трех аварий и одной катастрофы самолетов И-15, происшедших из-за разрушения крыла в полете (разрыв полотна): произошло ли это по причине недостатков эксплуатации в частях ВС или по недочетам конструкции и производства.</w:t>
      </w:r>
    </w:p>
    <w:p w14:paraId="558A60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 две декады (3475,11).</w:t>
      </w:r>
    </w:p>
    <w:p w14:paraId="389BB797" w14:textId="77777777" w:rsidR="00D4105E" w:rsidRPr="00E14102" w:rsidRDefault="00D4105E" w:rsidP="00E14102">
      <w:pPr>
        <w:autoSpaceDE w:val="0"/>
        <w:autoSpaceDN w:val="0"/>
        <w:adjustRightInd w:val="0"/>
        <w:jc w:val="both"/>
        <w:rPr>
          <w:color w:val="000000" w:themeColor="text1"/>
          <w:sz w:val="16"/>
          <w:szCs w:val="16"/>
        </w:rPr>
      </w:pPr>
    </w:p>
    <w:p w14:paraId="48DF00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сентября 1935 года вышло решение СТО, которое поручило руководителю Военного контроля КСК Хаханьяну и зам. руководителя Военно-морской группы КПК Березину с привлечением членов КПК и КСК проверить выполнение авиационной промышленностью производственных заданий по новым самолетам и моторам (3475,12).</w:t>
      </w:r>
    </w:p>
    <w:p w14:paraId="2E140D5C" w14:textId="77777777" w:rsidR="00D4105E" w:rsidRPr="00E14102" w:rsidRDefault="00D4105E" w:rsidP="00E14102">
      <w:pPr>
        <w:autoSpaceDE w:val="0"/>
        <w:autoSpaceDN w:val="0"/>
        <w:adjustRightInd w:val="0"/>
        <w:jc w:val="both"/>
        <w:rPr>
          <w:color w:val="000000" w:themeColor="text1"/>
          <w:sz w:val="16"/>
          <w:szCs w:val="16"/>
        </w:rPr>
      </w:pPr>
    </w:p>
    <w:p w14:paraId="52515E6F" w14:textId="77777777" w:rsidR="004F769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6A0A444" w14:textId="77777777" w:rsidR="004F769A" w:rsidRPr="00E14102" w:rsidRDefault="004F769A" w:rsidP="00E14102">
      <w:pPr>
        <w:autoSpaceDE w:val="0"/>
        <w:autoSpaceDN w:val="0"/>
        <w:adjustRightInd w:val="0"/>
        <w:jc w:val="both"/>
        <w:rPr>
          <w:iCs/>
          <w:color w:val="000000" w:themeColor="text1"/>
          <w:sz w:val="16"/>
          <w:szCs w:val="16"/>
        </w:rPr>
      </w:pPr>
    </w:p>
    <w:p w14:paraId="2BCA734F" w14:textId="77777777" w:rsidR="004F769A" w:rsidRPr="00E14102" w:rsidRDefault="004F769A" w:rsidP="00E14102">
      <w:pPr>
        <w:jc w:val="both"/>
        <w:rPr>
          <w:color w:val="000000" w:themeColor="text1"/>
          <w:sz w:val="16"/>
          <w:szCs w:val="16"/>
        </w:rPr>
      </w:pPr>
      <w:r w:rsidRPr="00E14102">
        <w:rPr>
          <w:color w:val="000000" w:themeColor="text1"/>
          <w:sz w:val="16"/>
          <w:szCs w:val="16"/>
        </w:rPr>
        <w:t>10 сентября 1935 циркуляром №1850/сс (разослан на места 14 сентября) было предписано изъять наглядные пособия по истории ВКП (б), в которых изображались Троцкий, Каменев и Зиновьев, а также эпоха народовольческого террора XIX в. Согласно инструкции №2008 от 16 октября список изымаемых книг составлял 29 позиций. Всего за 1935 г. по приказам и инструкциям Главлита было изъято минимум 100 книг. Но одновременно с этим составлялись отдельные списки Наркомпросом, которые отчасти публиковались в «Бюллетене Наркомпроса». Особенность этих изъятий состоит в том, что до мая 1935 г. Наркомпрос рекомендовал только зачеркивать в учебных книгах и программах указания в тексте на «вредных авторов», а после мая – приказывал изымать эти книги полностью. 2 экземпляра всех изъятых в 1935 г. книг отправлялись в библиотечные спецхраны (17273).</w:t>
      </w:r>
    </w:p>
    <w:p w14:paraId="10B676CB" w14:textId="77777777" w:rsidR="004F769A" w:rsidRPr="00E14102" w:rsidRDefault="004F769A" w:rsidP="00E14102">
      <w:pPr>
        <w:jc w:val="both"/>
        <w:rPr>
          <w:color w:val="000000" w:themeColor="text1"/>
          <w:sz w:val="16"/>
          <w:szCs w:val="16"/>
        </w:rPr>
      </w:pPr>
    </w:p>
    <w:p w14:paraId="42F7FC1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E8F2752" w14:textId="77777777" w:rsidR="00D4105E" w:rsidRPr="00E14102" w:rsidRDefault="00D4105E" w:rsidP="00E14102">
      <w:pPr>
        <w:autoSpaceDE w:val="0"/>
        <w:autoSpaceDN w:val="0"/>
        <w:adjustRightInd w:val="0"/>
        <w:jc w:val="both"/>
        <w:rPr>
          <w:iCs/>
          <w:color w:val="000000" w:themeColor="text1"/>
          <w:sz w:val="16"/>
          <w:szCs w:val="16"/>
        </w:rPr>
      </w:pPr>
    </w:p>
    <w:p w14:paraId="14E43F4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 сентября 1935 в Луизиане еврейским врачом Карлом Вайсом застрелен лидер американских нацистов, кандидат в президенты США Хьюи Лонг (4962).</w:t>
      </w:r>
    </w:p>
    <w:p w14:paraId="135C02A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BDF5AB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2A7532D" w14:textId="77777777" w:rsidR="00D4105E" w:rsidRPr="00E14102" w:rsidRDefault="00D4105E" w:rsidP="00E14102">
      <w:pPr>
        <w:autoSpaceDE w:val="0"/>
        <w:autoSpaceDN w:val="0"/>
        <w:adjustRightInd w:val="0"/>
        <w:jc w:val="both"/>
        <w:rPr>
          <w:iCs/>
          <w:color w:val="000000" w:themeColor="text1"/>
          <w:sz w:val="16"/>
          <w:szCs w:val="16"/>
        </w:rPr>
      </w:pPr>
    </w:p>
    <w:p w14:paraId="782ED0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сентября 1935 года был выведен на аэродром СБ-2 Испано, который в первых числах августа 1935 самолет СБ-2 Испано поступил в ЦАГИ для новых испытаний. Согласно постановления Правительства от 4 августа на нем были произведены доработки (новое оперение, переделка крыльев, капотов, мотооборудование и пр.) (3475,103).</w:t>
      </w:r>
    </w:p>
    <w:p w14:paraId="3701683C" w14:textId="77777777" w:rsidR="00D4105E" w:rsidRPr="00E14102" w:rsidRDefault="00D4105E" w:rsidP="00E14102">
      <w:pPr>
        <w:autoSpaceDE w:val="0"/>
        <w:autoSpaceDN w:val="0"/>
        <w:adjustRightInd w:val="0"/>
        <w:jc w:val="both"/>
        <w:rPr>
          <w:color w:val="000000" w:themeColor="text1"/>
          <w:sz w:val="16"/>
          <w:szCs w:val="16"/>
        </w:rPr>
      </w:pPr>
    </w:p>
    <w:p w14:paraId="4C08A6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сентября 1935 года закончились испытания серийных самолетов "Зет" постройки завода 135 за NN 13533, 13534 и 13535 на предмет определения эксплуатационных свойств самолетов, которые проходили с 20 мая 1935 (3074).</w:t>
      </w:r>
    </w:p>
    <w:p w14:paraId="02E3B6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N 13533 - летчик Катичев К.А.</w:t>
      </w:r>
    </w:p>
    <w:p w14:paraId="74D375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N 13534 - летчик Звонарев Н.И.</w:t>
      </w:r>
    </w:p>
    <w:p w14:paraId="6F3CE4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N 13535 - летчик Кравченко Г.П.</w:t>
      </w:r>
    </w:p>
    <w:p w14:paraId="0E0506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Выводы.</w:t>
      </w:r>
    </w:p>
    <w:p w14:paraId="71C650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среднем, после 100-150 выстрелов необходим особо тщательный контроль за состоянием самолета с возможной заменой отдельных его частей и деталей (3074).</w:t>
      </w:r>
    </w:p>
    <w:p w14:paraId="6013E342" w14:textId="77777777" w:rsidR="00D4105E" w:rsidRPr="00E14102" w:rsidRDefault="00D4105E" w:rsidP="00E14102">
      <w:pPr>
        <w:autoSpaceDE w:val="0"/>
        <w:autoSpaceDN w:val="0"/>
        <w:adjustRightInd w:val="0"/>
        <w:jc w:val="both"/>
        <w:rPr>
          <w:color w:val="000000" w:themeColor="text1"/>
          <w:sz w:val="16"/>
          <w:szCs w:val="16"/>
        </w:rPr>
      </w:pPr>
    </w:p>
    <w:p w14:paraId="76024632" w14:textId="77777777" w:rsidR="00F9595A" w:rsidRPr="00E14102" w:rsidRDefault="00F9595A" w:rsidP="00E14102">
      <w:pPr>
        <w:pStyle w:val="rtejustify"/>
        <w:spacing w:before="0" w:after="0"/>
        <w:rPr>
          <w:color w:val="000000" w:themeColor="text1"/>
          <w:sz w:val="16"/>
          <w:szCs w:val="16"/>
        </w:rPr>
      </w:pPr>
      <w:r w:rsidRPr="00E14102">
        <w:rPr>
          <w:rStyle w:val="a6"/>
          <w:bCs/>
          <w:i w:val="0"/>
          <w:color w:val="000000" w:themeColor="text1"/>
          <w:sz w:val="16"/>
          <w:szCs w:val="16"/>
        </w:rPr>
        <w:t>11 сентября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119сс «О заказах в Италии». (ГА РФ. Ф. Р</w:t>
      </w:r>
      <w:r w:rsidRPr="00E14102">
        <w:rPr>
          <w:color w:val="000000" w:themeColor="text1"/>
          <w:sz w:val="16"/>
          <w:szCs w:val="16"/>
        </w:rPr>
        <w:noBreakHyphen/>
        <w:t>8418. Оп. 28. Д. 7. Л. 103</w:t>
      </w:r>
      <w:r w:rsidRPr="00E14102">
        <w:rPr>
          <w:color w:val="000000" w:themeColor="text1"/>
          <w:sz w:val="16"/>
          <w:szCs w:val="16"/>
        </w:rPr>
        <w:noBreakHyphen/>
        <w:t>104) (15460).</w:t>
      </w:r>
    </w:p>
    <w:p w14:paraId="504BE998" w14:textId="77777777" w:rsidR="00F9595A" w:rsidRPr="00E14102" w:rsidRDefault="00F9595A" w:rsidP="00E14102">
      <w:pPr>
        <w:pStyle w:val="rtejustify"/>
        <w:spacing w:before="0" w:after="0"/>
        <w:rPr>
          <w:color w:val="000000" w:themeColor="text1"/>
          <w:sz w:val="16"/>
          <w:szCs w:val="16"/>
        </w:rPr>
      </w:pPr>
    </w:p>
    <w:p w14:paraId="0B4D48C2" w14:textId="77777777" w:rsidR="00F9595A" w:rsidRPr="00E14102" w:rsidRDefault="00F9595A" w:rsidP="00E14102">
      <w:pPr>
        <w:pStyle w:val="rtejustify"/>
        <w:spacing w:before="0" w:after="0"/>
        <w:rPr>
          <w:color w:val="000000" w:themeColor="text1"/>
          <w:sz w:val="16"/>
          <w:szCs w:val="16"/>
        </w:rPr>
      </w:pPr>
      <w:r w:rsidRPr="00E14102">
        <w:rPr>
          <w:rStyle w:val="a6"/>
          <w:bCs/>
          <w:i w:val="0"/>
          <w:color w:val="000000" w:themeColor="text1"/>
          <w:sz w:val="16"/>
          <w:szCs w:val="16"/>
        </w:rPr>
        <w:t>11 сентября 1935 вышел приказ НКО №</w:t>
      </w:r>
      <w:r w:rsidRPr="00E14102">
        <w:rPr>
          <w:color w:val="000000" w:themeColor="text1"/>
          <w:sz w:val="16"/>
          <w:szCs w:val="16"/>
        </w:rPr>
        <w:t> 0181. О войсковых испытаниях самолета РЗЕТ с М</w:t>
      </w:r>
      <w:r w:rsidRPr="00E14102">
        <w:rPr>
          <w:color w:val="000000" w:themeColor="text1"/>
          <w:sz w:val="16"/>
          <w:szCs w:val="16"/>
        </w:rPr>
        <w:noBreakHyphen/>
        <w:t>34Н (15247).</w:t>
      </w:r>
    </w:p>
    <w:p w14:paraId="2EECFA77" w14:textId="77777777" w:rsidR="00F9595A" w:rsidRPr="00E14102" w:rsidRDefault="00F9595A" w:rsidP="00E14102">
      <w:pPr>
        <w:pStyle w:val="rtejustify"/>
        <w:spacing w:before="0" w:after="0"/>
        <w:rPr>
          <w:color w:val="000000" w:themeColor="text1"/>
          <w:sz w:val="16"/>
          <w:szCs w:val="16"/>
        </w:rPr>
      </w:pPr>
    </w:p>
    <w:p w14:paraId="545185B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сентября 1936 года закончились гос. испытания самолета У-4 М-11, которые проходили с 21 августа 1936 (6732).</w:t>
      </w:r>
    </w:p>
    <w:p w14:paraId="5683993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1198D33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в/инженер 2 ранга Ивановский А.А.</w:t>
      </w:r>
    </w:p>
    <w:p w14:paraId="2EEC3D8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ст. лейтенант Расстригин А.Ф.</w:t>
      </w:r>
    </w:p>
    <w:p w14:paraId="3801154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1C99DEDF"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возможности применения самолета У-4 для первоначального обучения и замены им существующего самолета У-2.</w:t>
      </w:r>
    </w:p>
    <w:p w14:paraId="5607CC9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Снятие летных характеристик самолета и выявление его основных летных качеств.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E3599D" w:rsidRPr="00E14102" w14:paraId="116CC10F" w14:textId="77777777">
        <w:tc>
          <w:tcPr>
            <w:tcW w:w="4428" w:type="dxa"/>
            <w:tcBorders>
              <w:top w:val="single" w:sz="12" w:space="0" w:color="auto"/>
            </w:tcBorders>
          </w:tcPr>
          <w:p w14:paraId="0440331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Горизонтальные максимальные скорости</w:t>
            </w:r>
          </w:p>
          <w:p w14:paraId="2DF5C83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 земли</w:t>
            </w:r>
          </w:p>
          <w:p w14:paraId="490E8FF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Н=1000 м</w:t>
            </w:r>
          </w:p>
          <w:p w14:paraId="4EB4DF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Н=3000 м</w:t>
            </w:r>
          </w:p>
        </w:tc>
        <w:tc>
          <w:tcPr>
            <w:tcW w:w="4428" w:type="dxa"/>
            <w:tcBorders>
              <w:top w:val="single" w:sz="12" w:space="0" w:color="auto"/>
            </w:tcBorders>
          </w:tcPr>
          <w:p w14:paraId="0BF2E2A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FECD92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170,5 км/час</w:t>
            </w:r>
          </w:p>
          <w:p w14:paraId="3C52D25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169,0 км/час</w:t>
            </w:r>
          </w:p>
          <w:p w14:paraId="505CC13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153,5 км/час</w:t>
            </w:r>
          </w:p>
        </w:tc>
      </w:tr>
      <w:tr w:rsidR="00E3599D" w:rsidRPr="00E14102" w14:paraId="6127662A" w14:textId="77777777">
        <w:tc>
          <w:tcPr>
            <w:tcW w:w="4428" w:type="dxa"/>
          </w:tcPr>
          <w:p w14:paraId="143715C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Скороподъемность</w:t>
            </w:r>
          </w:p>
          <w:p w14:paraId="204AFEA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 Н=1000 м</w:t>
            </w:r>
          </w:p>
          <w:p w14:paraId="78194A6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 Н=3000 м</w:t>
            </w:r>
          </w:p>
        </w:tc>
        <w:tc>
          <w:tcPr>
            <w:tcW w:w="4428" w:type="dxa"/>
          </w:tcPr>
          <w:p w14:paraId="7D49230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9D2491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6,4 мин.</w:t>
            </w:r>
          </w:p>
          <w:p w14:paraId="134BE1F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29,6 мин.</w:t>
            </w:r>
          </w:p>
        </w:tc>
      </w:tr>
      <w:tr w:rsidR="00E3599D" w:rsidRPr="00E14102" w14:paraId="2CEFB8E5" w14:textId="77777777">
        <w:tc>
          <w:tcPr>
            <w:tcW w:w="4428" w:type="dxa"/>
          </w:tcPr>
          <w:p w14:paraId="3F8739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p w14:paraId="41A32D8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закрытыми щитками</w:t>
            </w:r>
          </w:p>
          <w:p w14:paraId="2C16CDD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открытыми щитками</w:t>
            </w:r>
          </w:p>
        </w:tc>
        <w:tc>
          <w:tcPr>
            <w:tcW w:w="4428" w:type="dxa"/>
          </w:tcPr>
          <w:p w14:paraId="01E4831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6868B4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70 км/час</w:t>
            </w:r>
          </w:p>
          <w:p w14:paraId="629944C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 км/час</w:t>
            </w:r>
          </w:p>
        </w:tc>
      </w:tr>
      <w:tr w:rsidR="00E3599D" w:rsidRPr="00E14102" w14:paraId="14A467B1" w14:textId="77777777">
        <w:tc>
          <w:tcPr>
            <w:tcW w:w="4428" w:type="dxa"/>
          </w:tcPr>
          <w:p w14:paraId="0394EAA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Потолок практический</w:t>
            </w:r>
          </w:p>
        </w:tc>
        <w:tc>
          <w:tcPr>
            <w:tcW w:w="4428" w:type="dxa"/>
          </w:tcPr>
          <w:p w14:paraId="02FBE5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4000 м</w:t>
            </w:r>
          </w:p>
        </w:tc>
      </w:tr>
      <w:tr w:rsidR="00E3599D" w:rsidRPr="00E14102" w14:paraId="4D992B1E" w14:textId="77777777">
        <w:tc>
          <w:tcPr>
            <w:tcW w:w="4428" w:type="dxa"/>
          </w:tcPr>
          <w:p w14:paraId="022AB8D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Разбег</w:t>
            </w:r>
          </w:p>
        </w:tc>
        <w:tc>
          <w:tcPr>
            <w:tcW w:w="4428" w:type="dxa"/>
          </w:tcPr>
          <w:p w14:paraId="3C02AC4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130 м</w:t>
            </w:r>
          </w:p>
        </w:tc>
      </w:tr>
      <w:tr w:rsidR="00E3599D" w:rsidRPr="00E14102" w14:paraId="62F8049B" w14:textId="77777777">
        <w:tc>
          <w:tcPr>
            <w:tcW w:w="4428" w:type="dxa"/>
            <w:tcBorders>
              <w:bottom w:val="single" w:sz="12" w:space="0" w:color="auto"/>
            </w:tcBorders>
          </w:tcPr>
          <w:p w14:paraId="0817F54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Пробег</w:t>
            </w:r>
          </w:p>
          <w:p w14:paraId="1A29039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закрытыми щитками</w:t>
            </w:r>
          </w:p>
          <w:p w14:paraId="327BF2E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открытыми щитками</w:t>
            </w:r>
          </w:p>
        </w:tc>
        <w:tc>
          <w:tcPr>
            <w:tcW w:w="4428" w:type="dxa"/>
            <w:tcBorders>
              <w:bottom w:val="single" w:sz="12" w:space="0" w:color="auto"/>
            </w:tcBorders>
          </w:tcPr>
          <w:p w14:paraId="5821639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3F6D7D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150 м</w:t>
            </w:r>
          </w:p>
          <w:p w14:paraId="7FC27B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80 м</w:t>
            </w:r>
          </w:p>
        </w:tc>
      </w:tr>
    </w:tbl>
    <w:p w14:paraId="5FD5887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1DE06AF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У-4 М-11 конструкции и постройки завода № 23 в предъявленном виде по своим летно-эксплоатационным качествам менее подходит для первоначального обучения, чем существующий самолет У-2.</w:t>
      </w:r>
    </w:p>
    <w:p w14:paraId="4574284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21 августа по 11 сентября 1936 года самолет У-4 совершил 76 полетов общей продолжительностью 24 час. 17 мин.</w:t>
      </w:r>
    </w:p>
    <w:p w14:paraId="1439D52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У-4 является дальнейшей модификацией самолета У-2 после экспериментального самолета Э-23 (участвовашего в 1-м всесоюзном перелете по конкурсу легких самолетов в 1935 году) (6732).</w:t>
      </w:r>
    </w:p>
    <w:p w14:paraId="09B31D3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773F3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 сентября 1935 Нач. НОС Самолетного отдела Машкевичем был подготовлен проект:</w:t>
      </w:r>
    </w:p>
    <w:p w14:paraId="765D34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ПЛАН РАБОТ НАУЧНО-ОПЫТНОГО СЕКТОРА САМОЛЕТНОГО ОТДЕЛА НА Ш-й КВАРТАЛ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4590"/>
        <w:gridCol w:w="1131"/>
        <w:gridCol w:w="1131"/>
        <w:gridCol w:w="1131"/>
        <w:gridCol w:w="1287"/>
      </w:tblGrid>
      <w:tr w:rsidR="00E3599D" w:rsidRPr="00E14102" w14:paraId="55D6248C" w14:textId="77777777">
        <w:tc>
          <w:tcPr>
            <w:tcW w:w="468" w:type="dxa"/>
            <w:tcBorders>
              <w:top w:val="single" w:sz="12" w:space="0" w:color="auto"/>
            </w:tcBorders>
          </w:tcPr>
          <w:p w14:paraId="70B6C6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п/п</w:t>
            </w:r>
          </w:p>
        </w:tc>
        <w:tc>
          <w:tcPr>
            <w:tcW w:w="4590" w:type="dxa"/>
            <w:tcBorders>
              <w:top w:val="single" w:sz="12" w:space="0" w:color="auto"/>
            </w:tcBorders>
          </w:tcPr>
          <w:p w14:paraId="2EDF0B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работ</w:t>
            </w:r>
          </w:p>
        </w:tc>
        <w:tc>
          <w:tcPr>
            <w:tcW w:w="1131" w:type="dxa"/>
            <w:tcBorders>
              <w:top w:val="single" w:sz="12" w:space="0" w:color="auto"/>
            </w:tcBorders>
          </w:tcPr>
          <w:p w14:paraId="3DC991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июль</w:t>
            </w:r>
          </w:p>
        </w:tc>
        <w:tc>
          <w:tcPr>
            <w:tcW w:w="1131" w:type="dxa"/>
            <w:tcBorders>
              <w:top w:val="single" w:sz="12" w:space="0" w:color="auto"/>
            </w:tcBorders>
          </w:tcPr>
          <w:p w14:paraId="78D478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август</w:t>
            </w:r>
          </w:p>
        </w:tc>
        <w:tc>
          <w:tcPr>
            <w:tcW w:w="1131" w:type="dxa"/>
            <w:tcBorders>
              <w:top w:val="single" w:sz="12" w:space="0" w:color="auto"/>
            </w:tcBorders>
          </w:tcPr>
          <w:p w14:paraId="0A18A2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сентябрь</w:t>
            </w:r>
          </w:p>
        </w:tc>
        <w:tc>
          <w:tcPr>
            <w:tcW w:w="1287" w:type="dxa"/>
            <w:tcBorders>
              <w:top w:val="single" w:sz="12" w:space="0" w:color="auto"/>
            </w:tcBorders>
          </w:tcPr>
          <w:p w14:paraId="6E0BCD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Исполнители</w:t>
            </w:r>
          </w:p>
        </w:tc>
      </w:tr>
      <w:tr w:rsidR="00E3599D" w:rsidRPr="00E14102" w14:paraId="1DFE4580" w14:textId="77777777">
        <w:tc>
          <w:tcPr>
            <w:tcW w:w="468" w:type="dxa"/>
          </w:tcPr>
          <w:p w14:paraId="1344F24B"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570FDC2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Проработка плана опытного стр-ва ГВФ на 1935-36 г. согласование его с УВС и ГВФ</w:t>
            </w:r>
          </w:p>
        </w:tc>
        <w:tc>
          <w:tcPr>
            <w:tcW w:w="1131" w:type="dxa"/>
          </w:tcPr>
          <w:p w14:paraId="167D5A6D"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6202B90C"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1D81FD12"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1ED64A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 БОРОДАЧ</w:t>
            </w:r>
          </w:p>
        </w:tc>
      </w:tr>
      <w:tr w:rsidR="00E3599D" w:rsidRPr="00E14102" w14:paraId="33CB4BDF" w14:textId="77777777">
        <w:tc>
          <w:tcPr>
            <w:tcW w:w="468" w:type="dxa"/>
          </w:tcPr>
          <w:p w14:paraId="3EBCF73F"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72660B1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Распредел.заданий по опытным организации спуск их в связи со вновь утвержд.планом опыт ного стр-ва ГВФ...........</w:t>
            </w:r>
          </w:p>
        </w:tc>
        <w:tc>
          <w:tcPr>
            <w:tcW w:w="1131" w:type="dxa"/>
          </w:tcPr>
          <w:p w14:paraId="4FC578EE"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65BD2630"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246EF693"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4FF637E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МАШКЕВИЧ,-БОРОДАЧ</w:t>
            </w:r>
          </w:p>
        </w:tc>
      </w:tr>
      <w:tr w:rsidR="00E3599D" w:rsidRPr="00E14102" w14:paraId="2842E23B" w14:textId="77777777">
        <w:tc>
          <w:tcPr>
            <w:tcW w:w="468" w:type="dxa"/>
          </w:tcPr>
          <w:p w14:paraId="192A7145"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0C4833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Рассмотр.и дача заключения по техпромфлнплшам на Ш кв. опытных организаций.......</w:t>
            </w:r>
          </w:p>
        </w:tc>
        <w:tc>
          <w:tcPr>
            <w:tcW w:w="1131" w:type="dxa"/>
          </w:tcPr>
          <w:p w14:paraId="48FD7027"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3DC46C93"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3386062A"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37A74D0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 БОРОДАЧ</w:t>
            </w:r>
          </w:p>
        </w:tc>
      </w:tr>
      <w:tr w:rsidR="00E3599D" w:rsidRPr="00E14102" w14:paraId="51AF6986" w14:textId="77777777">
        <w:tc>
          <w:tcPr>
            <w:tcW w:w="468" w:type="dxa"/>
          </w:tcPr>
          <w:p w14:paraId="28EDBF5C"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43D302A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Наблюдение за ходом проект, постройки и испытаний опыт</w:t>
            </w:r>
            <w:r w:rsidRPr="00E14102">
              <w:rPr>
                <w:color w:val="000000" w:themeColor="text1"/>
                <w:sz w:val="16"/>
                <w:szCs w:val="16"/>
              </w:rPr>
              <w:softHyphen/>
              <w:t>ных самолетов. ЦАГИ - ДБ-2, СБ-РЦ, ДИ8, МДР-4, МК-1, ТБ7, МТБ, Т-1.</w:t>
            </w:r>
          </w:p>
        </w:tc>
        <w:tc>
          <w:tcPr>
            <w:tcW w:w="1131" w:type="dxa"/>
          </w:tcPr>
          <w:p w14:paraId="111A1039"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2FED13BB"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351AA92D"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5AD8FE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 БОРОДАЧ</w:t>
            </w:r>
          </w:p>
        </w:tc>
      </w:tr>
      <w:tr w:rsidR="00E3599D" w:rsidRPr="00E14102" w14:paraId="63147391" w14:textId="77777777">
        <w:tc>
          <w:tcPr>
            <w:tcW w:w="468" w:type="dxa"/>
          </w:tcPr>
          <w:p w14:paraId="51700D60"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52BDF19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То-же до зав. № 39. И17, ДИ6, ТШ-3, ББ, СР, И18, И19, В.С.</w:t>
            </w:r>
          </w:p>
        </w:tc>
        <w:tc>
          <w:tcPr>
            <w:tcW w:w="1131" w:type="dxa"/>
          </w:tcPr>
          <w:p w14:paraId="5BEA2644"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40CAD492"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4049C506"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691844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МАШКЕВИЧ,-БОРОДАЧ</w:t>
            </w:r>
          </w:p>
        </w:tc>
      </w:tr>
      <w:tr w:rsidR="00E3599D" w:rsidRPr="00E14102" w14:paraId="4D489F86" w14:textId="77777777">
        <w:tc>
          <w:tcPr>
            <w:tcW w:w="468" w:type="dxa"/>
          </w:tcPr>
          <w:p w14:paraId="22A26EA0"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4C7AA7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То-же по зав. № 1. ИП-3 и ПБ, СР, МИ, И, В.С.</w:t>
            </w:r>
          </w:p>
        </w:tc>
        <w:tc>
          <w:tcPr>
            <w:tcW w:w="1131" w:type="dxa"/>
          </w:tcPr>
          <w:p w14:paraId="187E55A3"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41A808E2"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6669A88E"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7E74435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 БОРОДАЧ</w:t>
            </w:r>
          </w:p>
        </w:tc>
      </w:tr>
      <w:tr w:rsidR="00E3599D" w:rsidRPr="00E14102" w14:paraId="0CC4EEB6" w14:textId="77777777">
        <w:tc>
          <w:tcPr>
            <w:tcW w:w="468" w:type="dxa"/>
          </w:tcPr>
          <w:p w14:paraId="761CAA9F"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44CA98E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То-же ло ХАИ. ФР, ХАИ-6, ХАИ 5. По КАИ (УТИ и У6П), по зав. 23 (УЗ, УТИ), по МАИ (Сталь-МАИ) и др.</w:t>
            </w:r>
          </w:p>
        </w:tc>
        <w:tc>
          <w:tcPr>
            <w:tcW w:w="1131" w:type="dxa"/>
          </w:tcPr>
          <w:p w14:paraId="2B581183"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6CA48848"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7F0D2D1C"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37888E3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 БОРОДАЧ</w:t>
            </w:r>
          </w:p>
        </w:tc>
      </w:tr>
      <w:tr w:rsidR="00E3599D" w:rsidRPr="00E14102" w14:paraId="17D084C9" w14:textId="77777777">
        <w:tc>
          <w:tcPr>
            <w:tcW w:w="468" w:type="dxa"/>
          </w:tcPr>
          <w:p w14:paraId="7A0672F6"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647546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Участие в комиссиях по выпу</w:t>
            </w:r>
            <w:r w:rsidRPr="00E14102">
              <w:rPr>
                <w:color w:val="000000" w:themeColor="text1"/>
                <w:sz w:val="16"/>
                <w:szCs w:val="16"/>
              </w:rPr>
              <w:softHyphen/>
              <w:t>ску в первый полет опытных самолетов (ИП-3, АТ-1, У-2 модифиц., ДБ-2 и др.</w:t>
            </w:r>
          </w:p>
        </w:tc>
        <w:tc>
          <w:tcPr>
            <w:tcW w:w="1131" w:type="dxa"/>
          </w:tcPr>
          <w:p w14:paraId="020E0060"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6E312290"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6E07D749"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3DDB0E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МАШКЕВИЧ,-БОРОДАЧ</w:t>
            </w:r>
          </w:p>
        </w:tc>
      </w:tr>
      <w:tr w:rsidR="00E3599D" w:rsidRPr="00E14102" w14:paraId="28DC3A80" w14:textId="77777777">
        <w:tc>
          <w:tcPr>
            <w:tcW w:w="468" w:type="dxa"/>
          </w:tcPr>
          <w:p w14:paraId="3582C1A0"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744AF0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Участие в комиссиях по утвер</w:t>
            </w:r>
            <w:r w:rsidRPr="00E14102">
              <w:rPr>
                <w:color w:val="000000" w:themeColor="text1"/>
                <w:sz w:val="16"/>
                <w:szCs w:val="16"/>
              </w:rPr>
              <w:softHyphen/>
              <w:t>ждению макетов (УТИ зав. № 23, СР зав. № 39 и др.</w:t>
            </w:r>
          </w:p>
        </w:tc>
        <w:tc>
          <w:tcPr>
            <w:tcW w:w="1131" w:type="dxa"/>
          </w:tcPr>
          <w:p w14:paraId="79EE46B1"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451AF6E7"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367EC679"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3890DF8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 БОРОДАЧ</w:t>
            </w:r>
          </w:p>
        </w:tc>
      </w:tr>
      <w:tr w:rsidR="00E3599D" w:rsidRPr="00E14102" w14:paraId="38A6F36B" w14:textId="77777777">
        <w:tc>
          <w:tcPr>
            <w:tcW w:w="468" w:type="dxa"/>
          </w:tcPr>
          <w:p w14:paraId="23BD0F07"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26F640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Наблюдение за ходом проектиров.и постройкой самолетов опытных организаций по пла</w:t>
            </w:r>
            <w:r w:rsidRPr="00E14102">
              <w:rPr>
                <w:color w:val="000000" w:themeColor="text1"/>
                <w:sz w:val="16"/>
                <w:szCs w:val="16"/>
              </w:rPr>
              <w:softHyphen/>
              <w:t>нам утвержд. правительством..</w:t>
            </w:r>
          </w:p>
        </w:tc>
        <w:tc>
          <w:tcPr>
            <w:tcW w:w="1131" w:type="dxa"/>
          </w:tcPr>
          <w:p w14:paraId="502100B1"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1D2468AF"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18D0C802"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1C95C4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 БОРОДАЧ</w:t>
            </w:r>
          </w:p>
        </w:tc>
      </w:tr>
      <w:tr w:rsidR="00E3599D" w:rsidRPr="00E14102" w14:paraId="1E0E884E" w14:textId="77777777">
        <w:tc>
          <w:tcPr>
            <w:tcW w:w="468" w:type="dxa"/>
          </w:tcPr>
          <w:p w14:paraId="77D53027"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48A531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Составление краткого квар</w:t>
            </w:r>
            <w:r w:rsidRPr="00E14102">
              <w:rPr>
                <w:color w:val="000000" w:themeColor="text1"/>
                <w:sz w:val="16"/>
                <w:szCs w:val="16"/>
              </w:rPr>
              <w:softHyphen/>
              <w:t>тального / отчета (за 3 кв.)</w:t>
            </w:r>
          </w:p>
        </w:tc>
        <w:tc>
          <w:tcPr>
            <w:tcW w:w="1131" w:type="dxa"/>
          </w:tcPr>
          <w:p w14:paraId="046F3D60"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3A922D98"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14EBF005"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3A63B4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МАШКЕВИЧ,-БОРОДАЧ</w:t>
            </w:r>
          </w:p>
        </w:tc>
      </w:tr>
      <w:tr w:rsidR="00E3599D" w:rsidRPr="00E14102" w14:paraId="5DA84E4B" w14:textId="77777777">
        <w:tc>
          <w:tcPr>
            <w:tcW w:w="468" w:type="dxa"/>
          </w:tcPr>
          <w:p w14:paraId="2E8FDAB9"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5FC6C2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Проработка отдельных во</w:t>
            </w:r>
            <w:r w:rsidRPr="00E14102">
              <w:rPr>
                <w:color w:val="000000" w:themeColor="text1"/>
                <w:sz w:val="16"/>
                <w:szCs w:val="16"/>
              </w:rPr>
              <w:softHyphen/>
              <w:t>просов по заданию Нач. ГУАП"а и его Зам., связан</w:t>
            </w:r>
            <w:r w:rsidRPr="00E14102">
              <w:rPr>
                <w:color w:val="000000" w:themeColor="text1"/>
                <w:sz w:val="16"/>
                <w:szCs w:val="16"/>
              </w:rPr>
              <w:softHyphen/>
              <w:t>ных с опытным строятельством</w:t>
            </w:r>
          </w:p>
        </w:tc>
        <w:tc>
          <w:tcPr>
            <w:tcW w:w="1131" w:type="dxa"/>
          </w:tcPr>
          <w:p w14:paraId="6720736D"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62F90F03"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07C1CDF2"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310666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МАШКЕВИЧ,-БОРОДАЧ</w:t>
            </w:r>
          </w:p>
        </w:tc>
      </w:tr>
      <w:tr w:rsidR="00E3599D" w:rsidRPr="00E14102" w14:paraId="62F6B8C9" w14:textId="77777777">
        <w:tc>
          <w:tcPr>
            <w:tcW w:w="468" w:type="dxa"/>
          </w:tcPr>
          <w:p w14:paraId="1CD0812B"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05F814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Проработка “Положения об опытном строительстве самолетов"</w:t>
            </w:r>
          </w:p>
        </w:tc>
        <w:tc>
          <w:tcPr>
            <w:tcW w:w="1131" w:type="dxa"/>
          </w:tcPr>
          <w:p w14:paraId="19244BD9"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207E8360"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3082AE8D"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206F25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МАШКЕВИЧ,-БОРОДАЧ</w:t>
            </w:r>
          </w:p>
        </w:tc>
      </w:tr>
      <w:tr w:rsidR="00E3599D" w:rsidRPr="00E14102" w14:paraId="77974E6D" w14:textId="77777777">
        <w:tc>
          <w:tcPr>
            <w:tcW w:w="468" w:type="dxa"/>
          </w:tcPr>
          <w:p w14:paraId="2E1BF19B"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011081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Дача отдельных- справок по текущему ходу опытного строительства.</w:t>
            </w:r>
          </w:p>
        </w:tc>
        <w:tc>
          <w:tcPr>
            <w:tcW w:w="1131" w:type="dxa"/>
          </w:tcPr>
          <w:p w14:paraId="7134B7D3"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0E7D1883"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7022062B"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6453A2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МАШКЕВИЧ,-БОРОДАЧ</w:t>
            </w:r>
          </w:p>
        </w:tc>
      </w:tr>
      <w:tr w:rsidR="00E3599D" w:rsidRPr="00E14102" w14:paraId="046E604D" w14:textId="77777777">
        <w:tc>
          <w:tcPr>
            <w:tcW w:w="468" w:type="dxa"/>
          </w:tcPr>
          <w:p w14:paraId="02A8B206"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1CC23E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Составление сводной до</w:t>
            </w:r>
            <w:r w:rsidRPr="00E14102">
              <w:rPr>
                <w:color w:val="000000" w:themeColor="text1"/>
                <w:sz w:val="16"/>
                <w:szCs w:val="16"/>
              </w:rPr>
              <w:softHyphen/>
              <w:t>кладной записки о строи</w:t>
            </w:r>
            <w:r w:rsidRPr="00E14102">
              <w:rPr>
                <w:color w:val="000000" w:themeColor="text1"/>
                <w:sz w:val="16"/>
                <w:szCs w:val="16"/>
              </w:rPr>
              <w:softHyphen/>
              <w:t>тельстве рекордных само</w:t>
            </w:r>
            <w:r w:rsidRPr="00E14102">
              <w:rPr>
                <w:color w:val="000000" w:themeColor="text1"/>
                <w:sz w:val="16"/>
                <w:szCs w:val="16"/>
              </w:rPr>
              <w:softHyphen/>
              <w:t>летов.</w:t>
            </w:r>
          </w:p>
        </w:tc>
        <w:tc>
          <w:tcPr>
            <w:tcW w:w="1131" w:type="dxa"/>
          </w:tcPr>
          <w:p w14:paraId="62E6DE7F"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4DF2AA38"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7178F863"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48DDEA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МАШКЕВИЧ,-БОРОДАЧ</w:t>
            </w:r>
          </w:p>
        </w:tc>
      </w:tr>
      <w:tr w:rsidR="00E3599D" w:rsidRPr="00E14102" w14:paraId="7DAF05EA" w14:textId="77777777">
        <w:tc>
          <w:tcPr>
            <w:tcW w:w="468" w:type="dxa"/>
          </w:tcPr>
          <w:p w14:paraId="19711F2D"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23C5B3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Участие в совещаниях и текущая работа.</w:t>
            </w:r>
          </w:p>
        </w:tc>
        <w:tc>
          <w:tcPr>
            <w:tcW w:w="1131" w:type="dxa"/>
          </w:tcPr>
          <w:p w14:paraId="728316A6"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2A08DB83"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30D9F826"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35118F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МАШКЕВИЧ,-БОРОДАЧ</w:t>
            </w:r>
          </w:p>
        </w:tc>
      </w:tr>
      <w:tr w:rsidR="00E3599D" w:rsidRPr="00E14102" w14:paraId="1481D877" w14:textId="77777777">
        <w:tc>
          <w:tcPr>
            <w:tcW w:w="468" w:type="dxa"/>
          </w:tcPr>
          <w:p w14:paraId="3E82EE46"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3FFBCE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Составление статистически: сведений и графиков по всем об"ектам опытного стр-ва.</w:t>
            </w:r>
          </w:p>
        </w:tc>
        <w:tc>
          <w:tcPr>
            <w:tcW w:w="1131" w:type="dxa"/>
          </w:tcPr>
          <w:p w14:paraId="3A2C9FAB"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5CF6474C"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6F1A2931"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59AB1C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Свистов</w:t>
            </w:r>
          </w:p>
        </w:tc>
      </w:tr>
      <w:tr w:rsidR="00E3599D" w:rsidRPr="00E14102" w14:paraId="324D7582" w14:textId="77777777">
        <w:tc>
          <w:tcPr>
            <w:tcW w:w="468" w:type="dxa"/>
          </w:tcPr>
          <w:p w14:paraId="545A0653"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1CB187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Подбор статистических сведений из газет (по материалам Госгорсправка)</w:t>
            </w:r>
          </w:p>
        </w:tc>
        <w:tc>
          <w:tcPr>
            <w:tcW w:w="1131" w:type="dxa"/>
          </w:tcPr>
          <w:p w14:paraId="61B0C1C9"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55072658"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0E56CE25"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332F22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Свистов</w:t>
            </w:r>
          </w:p>
        </w:tc>
      </w:tr>
      <w:tr w:rsidR="00E3599D" w:rsidRPr="00E14102" w14:paraId="650B936C" w14:textId="77777777">
        <w:tc>
          <w:tcPr>
            <w:tcW w:w="468" w:type="dxa"/>
          </w:tcPr>
          <w:p w14:paraId="60A1C07C"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Pr>
          <w:p w14:paraId="386241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Ведение карточек техни</w:t>
            </w:r>
            <w:r w:rsidRPr="00E14102">
              <w:rPr>
                <w:color w:val="000000" w:themeColor="text1"/>
                <w:sz w:val="16"/>
                <w:szCs w:val="16"/>
              </w:rPr>
              <w:softHyphen/>
              <w:t>ческих данных опытных самолетов 1935 г.</w:t>
            </w:r>
          </w:p>
        </w:tc>
        <w:tc>
          <w:tcPr>
            <w:tcW w:w="1131" w:type="dxa"/>
          </w:tcPr>
          <w:p w14:paraId="2C680CB6"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2EBC7789"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Pr>
          <w:p w14:paraId="0F429F4F"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Pr>
          <w:p w14:paraId="09E659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Свистов</w:t>
            </w:r>
          </w:p>
        </w:tc>
      </w:tr>
      <w:tr w:rsidR="00E3599D" w:rsidRPr="00E14102" w14:paraId="253E2DF7" w14:textId="77777777">
        <w:tc>
          <w:tcPr>
            <w:tcW w:w="468" w:type="dxa"/>
            <w:tcBorders>
              <w:bottom w:val="single" w:sz="12" w:space="0" w:color="auto"/>
            </w:tcBorders>
          </w:tcPr>
          <w:p w14:paraId="082371F3" w14:textId="77777777" w:rsidR="00D4105E" w:rsidRPr="00E14102" w:rsidRDefault="00D4105E" w:rsidP="00E14102">
            <w:pPr>
              <w:autoSpaceDE w:val="0"/>
              <w:autoSpaceDN w:val="0"/>
              <w:adjustRightInd w:val="0"/>
              <w:jc w:val="both"/>
              <w:rPr>
                <w:color w:val="000000" w:themeColor="text1"/>
                <w:sz w:val="16"/>
                <w:szCs w:val="16"/>
              </w:rPr>
            </w:pPr>
          </w:p>
        </w:tc>
        <w:tc>
          <w:tcPr>
            <w:tcW w:w="4590" w:type="dxa"/>
            <w:tcBorders>
              <w:bottom w:val="single" w:sz="12" w:space="0" w:color="auto"/>
            </w:tcBorders>
          </w:tcPr>
          <w:p w14:paraId="52D737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Составление таблицы конструкций и технических данных заграничных самоле</w:t>
            </w:r>
            <w:r w:rsidRPr="00E14102">
              <w:rPr>
                <w:color w:val="000000" w:themeColor="text1"/>
                <w:sz w:val="16"/>
                <w:szCs w:val="16"/>
              </w:rPr>
              <w:softHyphen/>
              <w:t>тов.</w:t>
            </w:r>
          </w:p>
        </w:tc>
        <w:tc>
          <w:tcPr>
            <w:tcW w:w="1131" w:type="dxa"/>
            <w:tcBorders>
              <w:bottom w:val="single" w:sz="12" w:space="0" w:color="auto"/>
            </w:tcBorders>
          </w:tcPr>
          <w:p w14:paraId="2572EA0F"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Borders>
              <w:bottom w:val="single" w:sz="12" w:space="0" w:color="auto"/>
            </w:tcBorders>
          </w:tcPr>
          <w:p w14:paraId="448A190A" w14:textId="77777777" w:rsidR="00D4105E" w:rsidRPr="00E14102" w:rsidRDefault="00D4105E" w:rsidP="00E14102">
            <w:pPr>
              <w:autoSpaceDE w:val="0"/>
              <w:autoSpaceDN w:val="0"/>
              <w:adjustRightInd w:val="0"/>
              <w:jc w:val="both"/>
              <w:rPr>
                <w:color w:val="000000" w:themeColor="text1"/>
                <w:sz w:val="16"/>
                <w:szCs w:val="16"/>
              </w:rPr>
            </w:pPr>
          </w:p>
        </w:tc>
        <w:tc>
          <w:tcPr>
            <w:tcW w:w="1131" w:type="dxa"/>
            <w:tcBorders>
              <w:bottom w:val="single" w:sz="12" w:space="0" w:color="auto"/>
            </w:tcBorders>
          </w:tcPr>
          <w:p w14:paraId="00EF7B70" w14:textId="77777777" w:rsidR="00D4105E" w:rsidRPr="00E14102" w:rsidRDefault="00D4105E" w:rsidP="00E14102">
            <w:pPr>
              <w:autoSpaceDE w:val="0"/>
              <w:autoSpaceDN w:val="0"/>
              <w:adjustRightInd w:val="0"/>
              <w:jc w:val="both"/>
              <w:rPr>
                <w:color w:val="000000" w:themeColor="text1"/>
                <w:sz w:val="16"/>
                <w:szCs w:val="16"/>
              </w:rPr>
            </w:pPr>
          </w:p>
        </w:tc>
        <w:tc>
          <w:tcPr>
            <w:tcW w:w="1287" w:type="dxa"/>
            <w:tcBorders>
              <w:bottom w:val="single" w:sz="12" w:space="0" w:color="auto"/>
            </w:tcBorders>
          </w:tcPr>
          <w:p w14:paraId="7E5F33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Свистов</w:t>
            </w:r>
          </w:p>
        </w:tc>
      </w:tr>
    </w:tbl>
    <w:p w14:paraId="5D762A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(2336,136).</w:t>
      </w:r>
    </w:p>
    <w:p w14:paraId="194C65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2DB01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сентября 1935 ДВ СССР-Н8 с разницей в 6 часов вылетел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46C23C02" w14:textId="77777777" w:rsidR="00D4105E" w:rsidRPr="00E14102" w:rsidRDefault="00D4105E" w:rsidP="00E14102">
      <w:pPr>
        <w:autoSpaceDE w:val="0"/>
        <w:autoSpaceDN w:val="0"/>
        <w:adjustRightInd w:val="0"/>
        <w:jc w:val="both"/>
        <w:rPr>
          <w:color w:val="000000" w:themeColor="text1"/>
          <w:sz w:val="16"/>
          <w:szCs w:val="16"/>
        </w:rPr>
      </w:pPr>
    </w:p>
    <w:p w14:paraId="2484FE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11-го сентября 1935 пришло известие о пропаже самолета Ш-2 с Козловым и Линделем, вылетевших на поиски сухопутных аэродромов. 12-го сентября в 4 ч. 40 мин. лодка ДВ СССР-Н26 вылетела с Диксона в район возможной разведки Козлова. Подлетев к устью р. Таймыра, летчики увидели Ш-2, стоящий на берегу, недалеко от зимовки и пошли на посадку. При осмотре аварийного самолета, авиаторы решили эвакуировать его с места вынужденной посадки пароходом, а Линделя взять с собой и перевезти на м. Челюскина. Но из-за непогоды сделать это удалось только 16-го сентября. СССР-Н26 достиг мыса Челюскина, но приводниться из-за сильного прибоя не смог. Линделя высадили у мыса Вега, сообщив об этом на ледокол "Ермак" и мыс Челюскина.</w:t>
      </w:r>
    </w:p>
    <w:p w14:paraId="1D31E1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23-го сентября СССР-Н26 выполнил рейс из Дудинки в Игарку и обратно. Затем с летающей лодки сняли морское снаряжение, и с 24-го сентября она перевозила грузы в Норильск. До 1 октября сделали 8 рейсов, доставили в Норильск 12000 кг грузов, а из Норильска в Дудинку 2000 кг горных образцов. Четвертого октября вернулись в Красноярск. Ресурс моторов практически закончился, и самолет по приказанию начальника УВС оставили на воде, как страховочный, а после того как необходимость в этом отпала, 15 октября вытащили на берег и сдали в Красноярские авиамастерские для ремонта.</w:t>
      </w:r>
    </w:p>
    <w:p w14:paraId="1D96E3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 (11970).</w:t>
      </w:r>
    </w:p>
    <w:p w14:paraId="40ADA1B0" w14:textId="77777777" w:rsidR="00D4105E" w:rsidRPr="00E14102" w:rsidRDefault="00D4105E" w:rsidP="00E14102">
      <w:pPr>
        <w:autoSpaceDE w:val="0"/>
        <w:autoSpaceDN w:val="0"/>
        <w:adjustRightInd w:val="0"/>
        <w:jc w:val="both"/>
        <w:rPr>
          <w:color w:val="000000" w:themeColor="text1"/>
          <w:sz w:val="16"/>
          <w:szCs w:val="16"/>
        </w:rPr>
      </w:pPr>
    </w:p>
    <w:p w14:paraId="6020A69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FA3DDE6" w14:textId="77777777" w:rsidR="00D4105E" w:rsidRPr="00E14102" w:rsidRDefault="00D4105E" w:rsidP="00E14102">
      <w:pPr>
        <w:autoSpaceDE w:val="0"/>
        <w:autoSpaceDN w:val="0"/>
        <w:adjustRightInd w:val="0"/>
        <w:jc w:val="both"/>
        <w:rPr>
          <w:iCs/>
          <w:color w:val="000000" w:themeColor="text1"/>
          <w:sz w:val="16"/>
          <w:szCs w:val="16"/>
        </w:rPr>
      </w:pPr>
    </w:p>
    <w:p w14:paraId="2C84A1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сентября 1935 года вышло постановление СТО о постройке «быстро­ходного разведчика» (лидера «И»). Фирма «Орландо» приступила к его проектированию в начале октября 1935 года под наблюдением Морской комиссии заказчика, которую возглав­ляли А.С.Кассациер (от Главморпрома) и М.П.Бомзе (от УВМС РККА). В состав ко­миссии были включены конструкторы ЦКБС-1 В.Г.Королевич, В.И.Гинзбург, Г.Г.Краснов, А.И.Песчанский, М.Д.Царев, К.В.Шлиссель и другие. 3 февраля 1936 года фирма представи­ла Комиссии общий проект корабля, 13 фев­раля документация проекта, согласованная Комиссией, была доставлена в СССР на рассмотрение и утверждение. До 25 фев­раля она была рассмотрена в УВМС и Главморпроекте, после чего замечания и пред­ложения советских специалистов были про­работаны итальянскими конструкторами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В.М.Орловым,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водоизмещение на испытании — 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773D99B0" w14:textId="77777777" w:rsidR="00D4105E" w:rsidRPr="00E14102" w:rsidRDefault="00D4105E" w:rsidP="00E14102">
      <w:pPr>
        <w:autoSpaceDE w:val="0"/>
        <w:autoSpaceDN w:val="0"/>
        <w:adjustRightInd w:val="0"/>
        <w:jc w:val="both"/>
        <w:rPr>
          <w:color w:val="000000" w:themeColor="text1"/>
          <w:sz w:val="16"/>
          <w:szCs w:val="16"/>
        </w:rPr>
      </w:pPr>
    </w:p>
    <w:p w14:paraId="113DE07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DD8DB86" w14:textId="77777777" w:rsidR="00D4105E" w:rsidRPr="00E14102" w:rsidRDefault="00D4105E" w:rsidP="00E14102">
      <w:pPr>
        <w:autoSpaceDE w:val="0"/>
        <w:autoSpaceDN w:val="0"/>
        <w:adjustRightInd w:val="0"/>
        <w:jc w:val="both"/>
        <w:rPr>
          <w:iCs/>
          <w:color w:val="000000" w:themeColor="text1"/>
          <w:sz w:val="16"/>
          <w:szCs w:val="16"/>
        </w:rPr>
      </w:pPr>
    </w:p>
    <w:p w14:paraId="536A5030" w14:textId="77777777" w:rsidR="00F9595A" w:rsidRPr="00E14102" w:rsidRDefault="00F9595A" w:rsidP="00E14102">
      <w:pPr>
        <w:jc w:val="both"/>
        <w:rPr>
          <w:color w:val="000000" w:themeColor="text1"/>
          <w:sz w:val="16"/>
          <w:szCs w:val="16"/>
        </w:rPr>
      </w:pPr>
      <w:r w:rsidRPr="00E14102">
        <w:rPr>
          <w:color w:val="000000" w:themeColor="text1"/>
          <w:sz w:val="16"/>
          <w:szCs w:val="16"/>
        </w:rPr>
        <w:t>11 сентября в 1935 году горловский забойщик шахты № 1 «Кочегарка» (Горловка) Никита Алексеевич Изотов установил рекорд добычи угля за одну смену (241 тонна). В 1932 году Никита Изотов стал известен как инициатор массового обучения молодых рабочих кадровыми рабочими в угольной промышленности («изотовское движение») (14766).</w:t>
      </w:r>
    </w:p>
    <w:p w14:paraId="3093173B" w14:textId="77777777" w:rsidR="00F9595A" w:rsidRPr="00E14102" w:rsidRDefault="00F9595A" w:rsidP="00E14102">
      <w:pPr>
        <w:jc w:val="both"/>
        <w:rPr>
          <w:color w:val="000000" w:themeColor="text1"/>
          <w:sz w:val="16"/>
          <w:szCs w:val="16"/>
        </w:rPr>
      </w:pPr>
    </w:p>
    <w:p w14:paraId="15EF0B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сентября 1935 шахтер Никита Изотов выполнил 30 сменных заданий (3263,506).</w:t>
      </w:r>
    </w:p>
    <w:p w14:paraId="0E970C87" w14:textId="77777777" w:rsidR="00D4105E" w:rsidRPr="00E14102" w:rsidRDefault="00D4105E" w:rsidP="00E14102">
      <w:pPr>
        <w:autoSpaceDE w:val="0"/>
        <w:autoSpaceDN w:val="0"/>
        <w:adjustRightInd w:val="0"/>
        <w:jc w:val="both"/>
        <w:rPr>
          <w:color w:val="000000" w:themeColor="text1"/>
          <w:sz w:val="16"/>
          <w:szCs w:val="16"/>
        </w:rPr>
      </w:pPr>
    </w:p>
    <w:p w14:paraId="53C8510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сентября 1935 горловский забойщик Никита Изотов установил рекорд добычи угля за смену (241 тонна) (4962).</w:t>
      </w:r>
    </w:p>
    <w:p w14:paraId="46D9B6B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9443CCA" w14:textId="77777777" w:rsidR="00F9595A" w:rsidRPr="00E14102" w:rsidRDefault="00F9595A" w:rsidP="00E14102">
      <w:pPr>
        <w:jc w:val="both"/>
        <w:rPr>
          <w:color w:val="000000" w:themeColor="text1"/>
          <w:sz w:val="16"/>
          <w:szCs w:val="16"/>
        </w:rPr>
      </w:pPr>
      <w:r w:rsidRPr="00E14102">
        <w:rPr>
          <w:color w:val="000000" w:themeColor="text1"/>
          <w:sz w:val="16"/>
          <w:szCs w:val="16"/>
        </w:rPr>
        <w:t>11 сентября в 1935 году новатор производства кузнец Горьковского автозавода Александр Бусыгин добивается рекордной выработки, отковав за смену 966 коленчатых валов при норме 675. Впоследствии он поднимет выработку до 1 146 валов и станет зачинателем стахановского движения в машиностроении.</w:t>
      </w:r>
    </w:p>
    <w:p w14:paraId="39DCD9D7" w14:textId="77777777" w:rsidR="00F9595A" w:rsidRPr="00E14102" w:rsidRDefault="00F9595A" w:rsidP="00E14102">
      <w:pPr>
        <w:jc w:val="both"/>
        <w:rPr>
          <w:color w:val="000000" w:themeColor="text1"/>
          <w:sz w:val="16"/>
          <w:szCs w:val="16"/>
        </w:rPr>
      </w:pPr>
      <w:r w:rsidRPr="00E14102">
        <w:rPr>
          <w:color w:val="000000" w:themeColor="text1"/>
          <w:sz w:val="16"/>
          <w:szCs w:val="16"/>
        </w:rPr>
        <w:t>в 1936 году в состав Краснознаменного БалтФлота принята подводная лодка С-1 — головная подводная лодка IX серии. С-1 прославилась во время советско-финляндской войны, потопив транспорт «Больхейм». Подводные лодки типа «С» отлично зарекомендовали себя и в годы Великой Отечественной войны. Многие из них стали гвардейскими и краснознаменными. Герой-подводник, капитан 3 ранга А.И.Mаринеско командовал подводной лодкой С-13. Подводная лодка С-56 (командир капитан 2 ранга Г.И.Щедрин, затем вице-адмирал и Герой Советского Союза) в день 30-летия Победы в Великой Отечественной войне была установлена на пъедестале но Владивостоке (14766).</w:t>
      </w:r>
    </w:p>
    <w:p w14:paraId="689DD961" w14:textId="77777777" w:rsidR="00F9595A" w:rsidRPr="00E14102" w:rsidRDefault="00F9595A" w:rsidP="00E14102">
      <w:pPr>
        <w:jc w:val="both"/>
        <w:rPr>
          <w:color w:val="000000" w:themeColor="text1"/>
          <w:sz w:val="16"/>
          <w:szCs w:val="16"/>
        </w:rPr>
      </w:pPr>
    </w:p>
    <w:p w14:paraId="0AA95AF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E14ACAD" w14:textId="77777777" w:rsidR="00D4105E" w:rsidRPr="00E14102" w:rsidRDefault="00D4105E" w:rsidP="00E14102">
      <w:pPr>
        <w:autoSpaceDE w:val="0"/>
        <w:autoSpaceDN w:val="0"/>
        <w:adjustRightInd w:val="0"/>
        <w:jc w:val="both"/>
        <w:rPr>
          <w:iCs/>
          <w:color w:val="000000" w:themeColor="text1"/>
          <w:sz w:val="16"/>
          <w:szCs w:val="16"/>
        </w:rPr>
      </w:pPr>
    </w:p>
    <w:p w14:paraId="1A3119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12 сентября 1935 по 3 января 1936 проходили заводские испытания И-16 РЦ Ф-3 (790).</w:t>
      </w:r>
    </w:p>
    <w:p w14:paraId="68B0F27A" w14:textId="77777777" w:rsidR="00D4105E" w:rsidRPr="00E14102" w:rsidRDefault="00D4105E" w:rsidP="00E14102">
      <w:pPr>
        <w:autoSpaceDE w:val="0"/>
        <w:autoSpaceDN w:val="0"/>
        <w:adjustRightInd w:val="0"/>
        <w:jc w:val="both"/>
        <w:rPr>
          <w:color w:val="000000" w:themeColor="text1"/>
          <w:sz w:val="16"/>
          <w:szCs w:val="16"/>
        </w:rPr>
      </w:pPr>
    </w:p>
    <w:p w14:paraId="67532C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сентября 1935 г. начались испытания истребителя И-16 № 123954 постройки завода № 39 с мотором Райт “Циклон” Р-3. Он был сделан по типу опытного самоле</w:t>
      </w:r>
      <w:r w:rsidRPr="00E14102">
        <w:rPr>
          <w:color w:val="000000" w:themeColor="text1"/>
          <w:sz w:val="16"/>
          <w:szCs w:val="16"/>
        </w:rPr>
        <w:softHyphen/>
        <w:t>та, выпущенного в январе 1935 г., и “красных машин” пилотажной группы. Самолет рассматривался как голо</w:t>
      </w:r>
      <w:r w:rsidRPr="00E14102">
        <w:rPr>
          <w:color w:val="000000" w:themeColor="text1"/>
          <w:sz w:val="16"/>
          <w:szCs w:val="16"/>
        </w:rPr>
        <w:softHyphen/>
        <w:t>вной серийный образец. Испытания продолжались до 3 января 1936 г. (ведущий летчик - В.К.Коккинаки). Зна</w:t>
      </w:r>
      <w:r w:rsidRPr="00E14102">
        <w:rPr>
          <w:color w:val="000000" w:themeColor="text1"/>
          <w:sz w:val="16"/>
          <w:szCs w:val="16"/>
        </w:rPr>
        <w:softHyphen/>
        <w:t>чения максимальных скоростей полета, полученные при полетном весе 1431,7 кг (вес пустого — 1052,6 кг) составляли 359,5 км/ч у земли, 456,2 км/ч на высоте 3600 м и 445,3 км/ч на 5000 м. Истребитель набирал вы</w:t>
      </w:r>
      <w:r w:rsidRPr="00E14102">
        <w:rPr>
          <w:color w:val="000000" w:themeColor="text1"/>
          <w:sz w:val="16"/>
          <w:szCs w:val="16"/>
        </w:rPr>
        <w:softHyphen/>
        <w:t>соту 5000 м за 5,9 мин, достигал практического потолка 9250 м. Полученные летные данные позволяли утверж- дать, что самолет И-16 № 123954 является лучшим в ми</w:t>
      </w:r>
      <w:r w:rsidRPr="00E14102">
        <w:rPr>
          <w:color w:val="000000" w:themeColor="text1"/>
          <w:sz w:val="16"/>
          <w:szCs w:val="16"/>
        </w:rPr>
        <w:softHyphen/>
        <w:t>ре истребителем (10667).</w:t>
      </w:r>
    </w:p>
    <w:p w14:paraId="7CF159EB" w14:textId="77777777" w:rsidR="00D4105E" w:rsidRPr="00E14102" w:rsidRDefault="00D4105E" w:rsidP="00E14102">
      <w:pPr>
        <w:autoSpaceDE w:val="0"/>
        <w:autoSpaceDN w:val="0"/>
        <w:adjustRightInd w:val="0"/>
        <w:jc w:val="both"/>
        <w:rPr>
          <w:color w:val="000000" w:themeColor="text1"/>
          <w:sz w:val="16"/>
          <w:szCs w:val="16"/>
        </w:rPr>
      </w:pPr>
    </w:p>
    <w:p w14:paraId="52138A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сентября 1935 г. начались государственные испытания самолёта И-16№123954 и продолжались до 3 января 1936 г.</w:t>
      </w:r>
    </w:p>
    <w:p w14:paraId="52A8B9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Основные зафиксированные характеристики были следующими: при полетном весе 1432 кг (вес пустого - 1053 кг) максимальная скорость составила 359 км/ч у земли, 456 км/ч на высоте 3600 м и 445 км/ч - на 5000 м.</w:t>
      </w:r>
    </w:p>
    <w:p w14:paraId="2DD916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 м самолет набирал за 5,9 мин, практический потолок составил 9250 м. Подученные при летных испытаниях И-16 №123954 результаты позволяли надеяться, что в конце 1935 г. в Советском Союзе построили и готовились тиражировать в значительных количествах лучший истребитель в мире.</w:t>
      </w:r>
    </w:p>
    <w:p w14:paraId="7C4735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том же 1935-м И-16 отправили в Италию. на международную авиационную выставку в Милане. Советский Союз выставил здесь несколько демонстрационных образцов: АИР-9 бис Яковлева, ОСГА-Ю1 Четверикова. Сталь-3 Путилова, Ярко раскрашенный И-16 представлялся как спортивный самолет АСБ с максимальной скоростью 467 км/ч. По сравнению с длинными, вытянутыми гоночными машинами выглядел он скромно и не вызвал большого интереса у других посетителей выставки. Мало кто из ее участников подозревал, что широкомасштабное производство таких самолетов уже разворачивается и чуть более чем через годе ними придется столкнуться в реальной боевой обстановке (12015).</w:t>
      </w:r>
    </w:p>
    <w:p w14:paraId="52EA9C1B" w14:textId="77777777" w:rsidR="00D4105E" w:rsidRPr="00E14102" w:rsidRDefault="00D4105E" w:rsidP="00E14102">
      <w:pPr>
        <w:autoSpaceDE w:val="0"/>
        <w:autoSpaceDN w:val="0"/>
        <w:adjustRightInd w:val="0"/>
        <w:jc w:val="both"/>
        <w:rPr>
          <w:color w:val="000000" w:themeColor="text1"/>
          <w:sz w:val="16"/>
          <w:szCs w:val="16"/>
        </w:rPr>
      </w:pPr>
    </w:p>
    <w:p w14:paraId="0D738776" w14:textId="77777777" w:rsidR="006E270E" w:rsidRPr="00E14102" w:rsidRDefault="006E270E" w:rsidP="00E14102">
      <w:pPr>
        <w:jc w:val="both"/>
        <w:rPr>
          <w:color w:val="000000" w:themeColor="text1"/>
          <w:sz w:val="16"/>
          <w:szCs w:val="16"/>
        </w:rPr>
      </w:pPr>
      <w:r w:rsidRPr="00E14102">
        <w:rPr>
          <w:color w:val="000000" w:themeColor="text1"/>
          <w:sz w:val="16"/>
          <w:szCs w:val="16"/>
        </w:rPr>
        <w:t>12-15 сентября 1935 г. апробация авиационных подвесок на Киевских военных маневрах показала их высокую эффективность. Так, 14 сентября на аэродром Бровары при участии бомбардировщиков ТБ-3 из 3-й авиабригады особого назначения (аброн) Ленинградского военного округа была доставлена техника мотополка - 45-мм противотанковые пушки, грузовики ГАЗ-АА, легкие бронеавтомобили Д-8 и танкетки Т-27 (19543).</w:t>
      </w:r>
    </w:p>
    <w:p w14:paraId="24207091" w14:textId="77777777" w:rsidR="006E270E" w:rsidRPr="00E14102" w:rsidRDefault="006E270E" w:rsidP="00E14102">
      <w:pPr>
        <w:jc w:val="both"/>
        <w:rPr>
          <w:color w:val="000000" w:themeColor="text1"/>
          <w:sz w:val="16"/>
          <w:szCs w:val="16"/>
        </w:rPr>
      </w:pPr>
    </w:p>
    <w:p w14:paraId="0B8B351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6802843" w14:textId="77777777" w:rsidR="00D4105E" w:rsidRPr="00E14102" w:rsidRDefault="00D4105E" w:rsidP="00E14102">
      <w:pPr>
        <w:autoSpaceDE w:val="0"/>
        <w:autoSpaceDN w:val="0"/>
        <w:adjustRightInd w:val="0"/>
        <w:jc w:val="both"/>
        <w:rPr>
          <w:iCs/>
          <w:color w:val="000000" w:themeColor="text1"/>
          <w:sz w:val="16"/>
          <w:szCs w:val="16"/>
        </w:rPr>
      </w:pPr>
    </w:p>
    <w:p w14:paraId="2D95970A" w14:textId="77777777" w:rsidR="00D4105E" w:rsidRPr="00E14102" w:rsidRDefault="00D4105E" w:rsidP="00E14102">
      <w:pPr>
        <w:shd w:val="clear" w:color="auto" w:fill="FFFFFF"/>
        <w:autoSpaceDE w:val="0"/>
        <w:autoSpaceDN w:val="0"/>
        <w:adjustRightInd w:val="0"/>
        <w:jc w:val="both"/>
        <w:rPr>
          <w:iCs/>
          <w:color w:val="000000" w:themeColor="text1"/>
          <w:sz w:val="16"/>
          <w:szCs w:val="16"/>
        </w:rPr>
      </w:pPr>
      <w:r w:rsidRPr="00E14102">
        <w:rPr>
          <w:color w:val="000000" w:themeColor="text1"/>
          <w:sz w:val="16"/>
          <w:szCs w:val="16"/>
        </w:rPr>
        <w:t>С 12 сентября по 11 октября 1935 г. в ходе заводских испытаний СУ-6 машина прошла 180 км и сделала 50 выстрелов. В выводах комиссии отмечалось сле</w:t>
      </w:r>
      <w:r w:rsidRPr="00E14102">
        <w:rPr>
          <w:color w:val="000000" w:themeColor="text1"/>
          <w:sz w:val="16"/>
          <w:szCs w:val="16"/>
        </w:rPr>
        <w:softHyphen/>
        <w:t xml:space="preserve">дующее: </w:t>
      </w:r>
      <w:r w:rsidRPr="00E14102">
        <w:rPr>
          <w:iCs/>
          <w:color w:val="000000" w:themeColor="text1"/>
          <w:sz w:val="16"/>
          <w:szCs w:val="16"/>
        </w:rPr>
        <w:t>«На основании проведенных испытаний можно счи</w:t>
      </w:r>
      <w:r w:rsidRPr="00E14102">
        <w:rPr>
          <w:iCs/>
          <w:color w:val="000000" w:themeColor="text1"/>
          <w:sz w:val="16"/>
          <w:szCs w:val="16"/>
        </w:rPr>
        <w:softHyphen/>
        <w:t>тать, что образец вполне подготовлен к полигонным испыта</w:t>
      </w:r>
      <w:r w:rsidRPr="00E14102">
        <w:rPr>
          <w:iCs/>
          <w:color w:val="000000" w:themeColor="text1"/>
          <w:sz w:val="16"/>
          <w:szCs w:val="16"/>
        </w:rPr>
        <w:softHyphen/>
        <w:t>ниям. Дефектов и разрушений не обнаружено, кроме разруше</w:t>
      </w:r>
      <w:r w:rsidRPr="00E14102">
        <w:rPr>
          <w:iCs/>
          <w:color w:val="000000" w:themeColor="text1"/>
          <w:sz w:val="16"/>
          <w:szCs w:val="16"/>
        </w:rPr>
        <w:softHyphen/>
        <w:t>ния одного опорного катка» (11417).</w:t>
      </w:r>
    </w:p>
    <w:p w14:paraId="5ED028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2ADEC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сентября 1935 г. пл Правда совершила пробное погружение без экипажа на гинях спа</w:t>
      </w:r>
      <w:r w:rsidRPr="00E14102">
        <w:rPr>
          <w:color w:val="000000" w:themeColor="text1"/>
          <w:sz w:val="16"/>
          <w:szCs w:val="16"/>
        </w:rPr>
        <w:softHyphen/>
        <w:t>сательного судна "Коммуна". Это был уникальный случай в практи</w:t>
      </w:r>
      <w:r w:rsidRPr="00E14102">
        <w:rPr>
          <w:color w:val="000000" w:themeColor="text1"/>
          <w:sz w:val="16"/>
          <w:szCs w:val="16"/>
        </w:rPr>
        <w:softHyphen/>
        <w:t>ке советского подводного кораблестроения в межвоенный период. Испытание прошло успешно: лодка выдержала пребывание на глу</w:t>
      </w:r>
      <w:r w:rsidRPr="00E14102">
        <w:rPr>
          <w:color w:val="000000" w:themeColor="text1"/>
          <w:sz w:val="16"/>
          <w:szCs w:val="16"/>
        </w:rPr>
        <w:softHyphen/>
        <w:t>бине 72,5 м в течение 1 ч 56 мин без остаточных деформаций. На основе расчетов и эксперимента предельную глубину погружения установили в 70 м, рабочую — 50 м (3898).</w:t>
      </w:r>
    </w:p>
    <w:p w14:paraId="154FE660" w14:textId="77777777" w:rsidR="00D4105E" w:rsidRPr="00E14102" w:rsidRDefault="00D4105E" w:rsidP="00E14102">
      <w:pPr>
        <w:autoSpaceDE w:val="0"/>
        <w:autoSpaceDN w:val="0"/>
        <w:adjustRightInd w:val="0"/>
        <w:jc w:val="both"/>
        <w:rPr>
          <w:color w:val="000000" w:themeColor="text1"/>
          <w:sz w:val="16"/>
          <w:szCs w:val="16"/>
        </w:rPr>
      </w:pPr>
    </w:p>
    <w:p w14:paraId="3545A9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сентября 1935 г. первую п/л взяли и погрузили без людей на глубину 72,5 м на гинях спасательного судна-катамарана "Коммуна". Большую глубину погружения она обеспечить не могла, но и это превзошло все ожидания, оставив всех довольными. После согласования последних спорных вопросов продолжили постройку и двух законсервированных корпусов (10672).</w:t>
      </w:r>
    </w:p>
    <w:p w14:paraId="4C881950" w14:textId="77777777" w:rsidR="00D4105E" w:rsidRPr="00E14102" w:rsidRDefault="00D4105E" w:rsidP="00E14102">
      <w:pPr>
        <w:autoSpaceDE w:val="0"/>
        <w:autoSpaceDN w:val="0"/>
        <w:adjustRightInd w:val="0"/>
        <w:jc w:val="both"/>
        <w:rPr>
          <w:color w:val="000000" w:themeColor="text1"/>
          <w:sz w:val="16"/>
          <w:szCs w:val="16"/>
        </w:rPr>
      </w:pPr>
    </w:p>
    <w:p w14:paraId="1C3FFDE3" w14:textId="77777777" w:rsidR="009B4CE7" w:rsidRPr="00E14102" w:rsidRDefault="009B4CE7" w:rsidP="00E14102">
      <w:pPr>
        <w:jc w:val="both"/>
        <w:rPr>
          <w:color w:val="000000" w:themeColor="text1"/>
          <w:sz w:val="16"/>
          <w:szCs w:val="16"/>
        </w:rPr>
      </w:pPr>
      <w:r w:rsidRPr="00E14102">
        <w:rPr>
          <w:color w:val="000000" w:themeColor="text1"/>
          <w:sz w:val="16"/>
          <w:szCs w:val="16"/>
        </w:rPr>
        <w:t xml:space="preserve">12 сентября 1935 года состоявшееся первое пробное погружение “Правды”, стало уникальным в своем роде экспериментом: подлодку опустили в воду без экипажа на гинях спасательного судна-катамарана “Коммуна”. “Правда” выдержала двухчасовое пребывание на глубине 72,5 м без остаточных деформаций в металлоконструкциях. </w:t>
      </w:r>
    </w:p>
    <w:p w14:paraId="5DFBAF8D" w14:textId="77777777" w:rsidR="009B4CE7" w:rsidRPr="00E14102" w:rsidRDefault="009B4CE7" w:rsidP="00E14102">
      <w:pPr>
        <w:jc w:val="both"/>
        <w:rPr>
          <w:color w:val="000000" w:themeColor="text1"/>
          <w:sz w:val="16"/>
          <w:szCs w:val="16"/>
        </w:rPr>
      </w:pPr>
      <w:r w:rsidRPr="00E14102">
        <w:rPr>
          <w:color w:val="000000" w:themeColor="text1"/>
          <w:sz w:val="16"/>
          <w:szCs w:val="16"/>
        </w:rPr>
        <w:t xml:space="preserve">Однако ходовые испытания принесли новые неприятные сюрпризы. Вследствие малой осадки и большой длины корпуса гребные винты оголялись даже при относительно небольшом волнении. Это приводило к неровным нагрузкам на соединительные муфты валов, вызывавшим деформацию мест стыка деталей. После тщетных усилий исправить дефект решили обычные муфты заменить гидравлическими. Положение исправилось, но из-за проскальзывания муфт в масле скорость лодки, и без того уменьшенная за счет отказа от вспомогательного дизель-генератора, снизилась еще на 4 узла. </w:t>
      </w:r>
    </w:p>
    <w:p w14:paraId="1B8A9602" w14:textId="77777777" w:rsidR="009B4CE7" w:rsidRPr="00E14102" w:rsidRDefault="009B4CE7" w:rsidP="00E14102">
      <w:pPr>
        <w:jc w:val="both"/>
        <w:rPr>
          <w:color w:val="000000" w:themeColor="text1"/>
          <w:sz w:val="16"/>
          <w:szCs w:val="16"/>
        </w:rPr>
      </w:pPr>
      <w:r w:rsidRPr="00E14102">
        <w:rPr>
          <w:color w:val="000000" w:themeColor="text1"/>
          <w:sz w:val="16"/>
          <w:szCs w:val="16"/>
        </w:rPr>
        <w:t xml:space="preserve">Зато другие недостатки — медленное погружение, плохая устойчивость на глубине — вообще оказались неисправимыми. Поэтому от дальнейшего строительства лодок серии П решили отказаться, а первые три зачислили 23 июня 1936 года в состав Балтийского флота в качестве учебных и опытовых кораблей. </w:t>
      </w:r>
    </w:p>
    <w:p w14:paraId="2EA97FC7" w14:textId="77777777" w:rsidR="009B4CE7" w:rsidRPr="00E14102" w:rsidRDefault="009B4CE7" w:rsidP="00E14102">
      <w:pPr>
        <w:jc w:val="both"/>
        <w:rPr>
          <w:color w:val="000000" w:themeColor="text1"/>
          <w:sz w:val="16"/>
          <w:szCs w:val="16"/>
        </w:rPr>
      </w:pPr>
      <w:r w:rsidRPr="00E14102">
        <w:rPr>
          <w:color w:val="000000" w:themeColor="text1"/>
          <w:sz w:val="16"/>
          <w:szCs w:val="16"/>
        </w:rPr>
        <w:t>Причины неудачи проекта первых океанских подводных лодок многие кораблестроители и морские историки видят в некомпетентности главного конструктора. У этого утверждения есть Свои основания. Действительно, Достаточно вспомнить атмосферу, царившую в нашей стране в начале 30-х годов. “Шахтинское дело” и другие показательные судебные процессы вызывали недоверие к старой русской интеллигенции. Неудивительно, что некоторые руководители судостроительной промышленности и Военно-морских Сил СССР начинали оценивать конструкторские кадры не по их профессиональным качествам, а по принципу: был или не был под судом или следствием? В этих условиях дилетант подчас оказывался в более выигрышном положении, чем знающий инженер с “сомнительным” прошлым (12718).</w:t>
      </w:r>
    </w:p>
    <w:p w14:paraId="3797BFD9" w14:textId="77777777" w:rsidR="009B4CE7" w:rsidRPr="00E14102" w:rsidRDefault="009B4CE7" w:rsidP="00E14102">
      <w:pPr>
        <w:autoSpaceDE w:val="0"/>
        <w:autoSpaceDN w:val="0"/>
        <w:adjustRightInd w:val="0"/>
        <w:jc w:val="both"/>
        <w:rPr>
          <w:iCs/>
          <w:color w:val="000000" w:themeColor="text1"/>
          <w:sz w:val="16"/>
          <w:szCs w:val="16"/>
        </w:rPr>
      </w:pPr>
    </w:p>
    <w:p w14:paraId="53A7B76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6433E6DF" w14:textId="77777777" w:rsidR="00D4105E" w:rsidRPr="00E14102" w:rsidRDefault="00D4105E" w:rsidP="00E14102">
      <w:pPr>
        <w:autoSpaceDE w:val="0"/>
        <w:autoSpaceDN w:val="0"/>
        <w:adjustRightInd w:val="0"/>
        <w:jc w:val="both"/>
        <w:rPr>
          <w:iCs/>
          <w:color w:val="000000" w:themeColor="text1"/>
          <w:sz w:val="16"/>
          <w:szCs w:val="16"/>
        </w:rPr>
      </w:pPr>
    </w:p>
    <w:p w14:paraId="362CED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12-17 (14 - 271,157) сентября 1935 в больших Киевских маневрах приняло участие 600 самолетов. С ТБ-3 (АНТ-6) выбросили десант в 1200 (237,176).</w:t>
      </w:r>
    </w:p>
    <w:p w14:paraId="74AF78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появлением на вооружении ВВС РККА ТБ-1 подход к применению тяжелых бомбардировщиков изменился. Упор при обучении стали делать на групповые действия: сначала отрядом, а затем всей эскадрильей, в которой по штату имелось 12 бомбардировщиков. Стоявшие на ТБ-1 немецкие оптические прицелы Герц Fl 110 позволяли эффективно осуществлять бомбометание с малых и средних высот. Полет и заход на цель выполнялся в строю. Плотный строй позволял организовать взаимное прикрытие от атак истребителей. Все стрелки могли сосредоточить огонь на наиболее опасном противнике. Командир отряда вел подчиненных клином, пеленгом или колонной. Эскадрилья обычно строилась колонной клиньев. Бомбометание группа проводила "по ведущему": штурманы ведомых самолетов дожидались, пока у лидера оторвется первая бомба, и дружно дергали за ручки механических бомбосбрасывателей (электрических еще не существовало).</w:t>
      </w:r>
    </w:p>
    <w:p w14:paraId="0AA25E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Такой подход отчасти был вынужденным. Во-первых, хотя предусматривалась установка "Герца" на каждом самолете, реально его нес лишь примерно каждый четвертый бомбардировщик. Прицелы покупали на валюту, которую старались всемерно экономить, и их постоянно не хватало. У нас выпуск копии "Герца" под названием ОПБ-1 начался с 1931 г., но в небольших количествах. Обязательно их монтировали лишь на командирских машинах. Тем, кому "Герца" не досталось, оставалось надеяться на примитивный прицел-визир векторного типа, с которым более-менее точно можно было бомбить только в плоскости ветра и с небольших высот.</w:t>
      </w:r>
    </w:p>
    <w:p w14:paraId="1212C3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Во-вторых, бурный рост численности ВВС привел к тому, что значительная доля пилотов и штурманов только- только закончила школы и имела очень небольшой налет. В тяжелобомбардировочную авиацию отбирали лучших, но и они нередко оказывались выпускниками в лучшем случае позапрошлого года. Ставка на групповое применение бомбардировщиков позволяла отчасти скомпенсировать оба указанных выше недостатка и обеспечить достаточную эффективность боевого применения тяжелых самолетов.</w:t>
      </w:r>
    </w:p>
    <w:p w14:paraId="74D79C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ТБ-1 стал действовать совместно с "крейсерами". Первый отечественный "крейсер" Р-6 был немного поменьше и полегче ТБ-1, что обеспечило ему небольшое превосходство в летных данных. А вот усиления вооружения не получилось. Самолет нес пять пулеметов ДА (при шести у бомбардировщика), но с увеличенным боезапасом. Кроме того, у Р-6 обеспечили оборону вниз-назад. Из фюзеляжа вручную выдвигалась вниз башня со шкворневой пулеметной установкой. Бомбовая нагрузка была незначительной - меньше 100 кг. "Крейсера" должны были охранять строй бомбардировщиков, окаймляя его со всех сторон (12036).</w:t>
      </w:r>
    </w:p>
    <w:p w14:paraId="0EA06DD6" w14:textId="77777777" w:rsidR="00D4105E" w:rsidRPr="00E14102" w:rsidRDefault="00D4105E" w:rsidP="00E14102">
      <w:pPr>
        <w:autoSpaceDE w:val="0"/>
        <w:autoSpaceDN w:val="0"/>
        <w:adjustRightInd w:val="0"/>
        <w:jc w:val="both"/>
        <w:rPr>
          <w:color w:val="000000" w:themeColor="text1"/>
          <w:sz w:val="16"/>
          <w:szCs w:val="16"/>
        </w:rPr>
      </w:pPr>
    </w:p>
    <w:p w14:paraId="714E0917" w14:textId="77777777" w:rsidR="0017444B" w:rsidRPr="00E14102" w:rsidRDefault="0017444B" w:rsidP="00E14102">
      <w:pPr>
        <w:jc w:val="both"/>
        <w:rPr>
          <w:color w:val="0070C0"/>
          <w:sz w:val="16"/>
          <w:szCs w:val="16"/>
        </w:rPr>
      </w:pPr>
      <w:r w:rsidRPr="00E14102">
        <w:rPr>
          <w:color w:val="0070C0"/>
          <w:sz w:val="16"/>
          <w:szCs w:val="16"/>
        </w:rPr>
        <w:t>12-17 сентября 1935 г. прошли учения под Киевом, вошедшие в историю как «учения, изумившие мир». В них участвовало 65.000 человек, более 1.000 танков, около 600 самолетов и 300 артиллерийских систем. Эти учения привлекли внимание всего советского военного руководства, на которых присутствовали его представители. Это были нарком обороны К. Ворошилов, его заместитель М. Тухачевский, начальник Генштаба А. Егоров, начальник Главного политуправления Я. Гамарник. Кроме того, на учения прибыли военные делегации из Италии, Франции, Чехословакии; приглашены аккредитованные в Москве военные атташе, среди которых был К. Штудент, который позже возглавит ВДВ Германии. На учениях был высажен десант на парашютах общей численностью 1.188 человек. Сводным парашютным полком командовал А.О. Индзер. После парашютного десанта последовал посадочный десант, когда в течение 1 часа 50 минут высадились еще 1.765 человек с оружием и боевой техникой. Увиденное на учениях ошеломило западных гостей. Отзывы о Киевских учениях в отчетах военных атташе и в западной прессе были впечатляющими, 1 что подтверждают слова зам. начальника генштаба Франции генерала Луазо: «Западная Европа отстала» (21402).</w:t>
      </w:r>
    </w:p>
    <w:p w14:paraId="59BF9BD5" w14:textId="77777777" w:rsidR="0017444B" w:rsidRPr="00E14102" w:rsidRDefault="0017444B" w:rsidP="00E14102">
      <w:pPr>
        <w:jc w:val="both"/>
        <w:rPr>
          <w:color w:val="0070C0"/>
          <w:sz w:val="16"/>
          <w:szCs w:val="16"/>
        </w:rPr>
      </w:pPr>
    </w:p>
    <w:p w14:paraId="3BA257C6" w14:textId="77777777" w:rsidR="00F9595A" w:rsidRPr="00E14102" w:rsidRDefault="00F9595A" w:rsidP="00E14102">
      <w:pPr>
        <w:jc w:val="both"/>
        <w:rPr>
          <w:color w:val="000000" w:themeColor="text1"/>
          <w:sz w:val="16"/>
          <w:szCs w:val="16"/>
        </w:rPr>
      </w:pPr>
      <w:r w:rsidRPr="00E14102">
        <w:rPr>
          <w:color w:val="000000" w:themeColor="text1"/>
          <w:sz w:val="16"/>
          <w:szCs w:val="16"/>
        </w:rPr>
        <w:t>12 сентябряв 1935 году начались крупные маневры войск Красной Армии под Киевом, на которых 14 сентября в тыл «красных» был высажен небывалый по масштабам воздушный десант «синих» в количестве более 1 тысяч парашютистов. Под их прикрытием совершили посадку транспортные самолеты, которые доставили пехоту, артиллерию и танки, Маневры завершились 17 сентября (14767).</w:t>
      </w:r>
    </w:p>
    <w:p w14:paraId="5E0E2723" w14:textId="77777777" w:rsidR="00F9595A" w:rsidRPr="00E14102" w:rsidRDefault="00F9595A" w:rsidP="00E14102">
      <w:pPr>
        <w:jc w:val="both"/>
        <w:rPr>
          <w:color w:val="000000" w:themeColor="text1"/>
          <w:sz w:val="16"/>
          <w:szCs w:val="16"/>
        </w:rPr>
      </w:pPr>
    </w:p>
    <w:p w14:paraId="60004C3E" w14:textId="77777777" w:rsidR="00F9595A" w:rsidRPr="00E14102" w:rsidRDefault="00F9595A" w:rsidP="00E14102">
      <w:pPr>
        <w:jc w:val="both"/>
        <w:rPr>
          <w:rStyle w:val="ucoz-forum-post"/>
          <w:rFonts w:eastAsiaTheme="majorEastAsia"/>
          <w:color w:val="000000" w:themeColor="text1"/>
          <w:sz w:val="16"/>
          <w:szCs w:val="16"/>
        </w:rPr>
      </w:pPr>
      <w:r w:rsidRPr="00E14102">
        <w:rPr>
          <w:color w:val="000000" w:themeColor="text1"/>
          <w:sz w:val="16"/>
          <w:szCs w:val="16"/>
        </w:rPr>
        <w:t>12 сентября</w:t>
      </w:r>
      <w:r w:rsidRPr="00E14102">
        <w:rPr>
          <w:rStyle w:val="ucoz-forum-post"/>
          <w:rFonts w:eastAsiaTheme="majorEastAsia"/>
          <w:bCs/>
          <w:color w:val="000000" w:themeColor="text1"/>
          <w:sz w:val="16"/>
          <w:szCs w:val="16"/>
        </w:rPr>
        <w:t xml:space="preserve"> 1935 г.</w:t>
      </w:r>
      <w:r w:rsidRPr="00E14102">
        <w:rPr>
          <w:rStyle w:val="ucoz-forum-post"/>
          <w:rFonts w:eastAsiaTheme="majorEastAsia"/>
          <w:color w:val="000000" w:themeColor="text1"/>
          <w:sz w:val="16"/>
          <w:szCs w:val="16"/>
        </w:rPr>
        <w:t xml:space="preserve"> – (12-17 сентября) Большие Киевские манёвры с выброской 14.09.1935 г. парашютного и посадочного десантов (1.188 и 1.766 чел.) и участием более 600 самолётов (14767).</w:t>
      </w:r>
    </w:p>
    <w:p w14:paraId="0679E143" w14:textId="77777777" w:rsidR="00F9595A" w:rsidRPr="00E14102" w:rsidRDefault="00F9595A" w:rsidP="00E14102">
      <w:pPr>
        <w:jc w:val="both"/>
        <w:rPr>
          <w:rStyle w:val="ucoz-forum-post"/>
          <w:rFonts w:eastAsiaTheme="majorEastAsia"/>
          <w:color w:val="000000" w:themeColor="text1"/>
          <w:sz w:val="16"/>
          <w:szCs w:val="16"/>
        </w:rPr>
      </w:pPr>
    </w:p>
    <w:p w14:paraId="0CC368B0" w14:textId="77777777" w:rsidR="00F9595A" w:rsidRPr="00E14102" w:rsidRDefault="00F9595A" w:rsidP="00E14102">
      <w:pPr>
        <w:jc w:val="both"/>
        <w:rPr>
          <w:color w:val="000000" w:themeColor="text1"/>
          <w:sz w:val="16"/>
          <w:szCs w:val="16"/>
        </w:rPr>
      </w:pPr>
      <w:r w:rsidRPr="00E14102">
        <w:rPr>
          <w:color w:val="000000" w:themeColor="text1"/>
          <w:sz w:val="16"/>
          <w:szCs w:val="16"/>
        </w:rPr>
        <w:t>12-15 сентября 1935 г. в Киевских маневрах участвовало около 470 самолётов (242 Р-5, 89 И-5, око</w:t>
      </w:r>
      <w:r w:rsidRPr="00E14102">
        <w:rPr>
          <w:color w:val="000000" w:themeColor="text1"/>
          <w:sz w:val="16"/>
          <w:szCs w:val="16"/>
        </w:rPr>
        <w:softHyphen/>
        <w:t>ло 90 ТБ-3 и ТБ-1, 22 Р-6 и 27 связных У-2), а в Белорусских 1936 г. — 632 (в порядке убывания численности: Р-5, И-16, ССС, ТБ-3, И-5, СБ и Р-6 — а также У-2).</w:t>
      </w:r>
    </w:p>
    <w:p w14:paraId="3F93D4E5" w14:textId="77777777" w:rsidR="00F9595A" w:rsidRPr="00E14102" w:rsidRDefault="00F9595A" w:rsidP="00E14102">
      <w:pPr>
        <w:jc w:val="both"/>
        <w:rPr>
          <w:color w:val="000000" w:themeColor="text1"/>
          <w:sz w:val="16"/>
          <w:szCs w:val="16"/>
        </w:rPr>
      </w:pPr>
      <w:r w:rsidRPr="00E14102">
        <w:rPr>
          <w:color w:val="000000" w:themeColor="text1"/>
          <w:sz w:val="16"/>
          <w:szCs w:val="16"/>
        </w:rPr>
        <w:lastRenderedPageBreak/>
        <w:t>Формально все возложенные на них на маневрах задачи ВВС КВО и БВО выполнили. Так, на Киевских маневрах тактическая ударная авиация «си</w:t>
      </w:r>
      <w:r w:rsidRPr="00E14102">
        <w:rPr>
          <w:color w:val="000000" w:themeColor="text1"/>
          <w:sz w:val="16"/>
          <w:szCs w:val="16"/>
        </w:rPr>
        <w:softHyphen/>
        <w:t>них» —лёгкие бомбардировщики Р-5 Конотопской абр с белой полосой шириной 0,5 м вокруг хвостовой части фюзеляжа и с белыми звездами вместо красных — поддержа</w:t>
      </w:r>
      <w:r w:rsidRPr="00E14102">
        <w:rPr>
          <w:color w:val="000000" w:themeColor="text1"/>
          <w:sz w:val="16"/>
          <w:szCs w:val="16"/>
        </w:rPr>
        <w:softHyphen/>
        <w:t>ла 13 сентября с воздуха прорыв укрепленной оборонительной полосы «красных» юго- западнее Киева, а «красные» штурмовики Р-5 из Киевской абр, в свою очередь, обруши</w:t>
      </w:r>
      <w:r w:rsidRPr="00E14102">
        <w:rPr>
          <w:color w:val="000000" w:themeColor="text1"/>
          <w:sz w:val="16"/>
          <w:szCs w:val="16"/>
        </w:rPr>
        <w:softHyphen/>
        <w:t>лись на устремившийся в прорыв 2-й кавалерийский корпус. А 14 сентября ВВС «синих» успешно осуществили операцию по высадке воздушного десанта в тылу «противника». Пока одна из эскадрилий Конотопской бригады отвлекала на себя истребители «красных», атакуя Киев, две другие вышли к находившемуся на противоположном бе</w:t>
      </w:r>
      <w:r w:rsidRPr="00E14102">
        <w:rPr>
          <w:color w:val="000000" w:themeColor="text1"/>
          <w:sz w:val="16"/>
          <w:szCs w:val="16"/>
        </w:rPr>
        <w:softHyphen/>
        <w:t>регу Днепра аэродрому Бровары и проштурмовапи его, чтобы нейтрализовать аэро</w:t>
      </w:r>
      <w:r w:rsidRPr="00E14102">
        <w:rPr>
          <w:color w:val="000000" w:themeColor="text1"/>
          <w:sz w:val="16"/>
          <w:szCs w:val="16"/>
        </w:rPr>
        <w:softHyphen/>
        <w:t>дромную ПВО. Вслед за Р-5 в сопровождении «крейсеров» Р-6 из 35-й краэ Запорож</w:t>
      </w:r>
      <w:r w:rsidRPr="00E14102">
        <w:rPr>
          <w:color w:val="000000" w:themeColor="text1"/>
          <w:sz w:val="16"/>
          <w:szCs w:val="16"/>
        </w:rPr>
        <w:softHyphen/>
        <w:t>ской абр к Броварам подошли 60 ТБ-3 из Кировской и Запорожской бригад и около 30 ТБ-3 и ТБ-1 из присланной Ленинградским военным округом 3-й авиабригады осо</w:t>
      </w:r>
      <w:r w:rsidRPr="00E14102">
        <w:rPr>
          <w:color w:val="000000" w:themeColor="text1"/>
          <w:sz w:val="16"/>
          <w:szCs w:val="16"/>
        </w:rPr>
        <w:softHyphen/>
        <w:t>бого назначения (аброн) — первого в мире авиадесантного соединения.</w:t>
      </w:r>
    </w:p>
    <w:p w14:paraId="255B2E6F" w14:textId="77777777" w:rsidR="00F9595A" w:rsidRPr="00E14102" w:rsidRDefault="00F9595A" w:rsidP="00E14102">
      <w:pPr>
        <w:jc w:val="both"/>
        <w:rPr>
          <w:color w:val="000000" w:themeColor="text1"/>
          <w:sz w:val="16"/>
          <w:szCs w:val="16"/>
        </w:rPr>
      </w:pPr>
      <w:r w:rsidRPr="00E14102">
        <w:rPr>
          <w:color w:val="000000" w:themeColor="text1"/>
          <w:sz w:val="16"/>
          <w:szCs w:val="16"/>
        </w:rPr>
        <w:t>Под прикрытием И-5 из 34-й и 35-й иаэ Житомирской абр тяжелые корабли выбро</w:t>
      </w:r>
      <w:r w:rsidRPr="00E14102">
        <w:rPr>
          <w:color w:val="000000" w:themeColor="text1"/>
          <w:sz w:val="16"/>
          <w:szCs w:val="16"/>
        </w:rPr>
        <w:softHyphen/>
        <w:t>сили парашютный десант из 1200 человек — личный состав моторизованного полка 3-й абр и сводный парашютный полк А.О. Индзера (сформированный из бойцов и команди</w:t>
      </w:r>
      <w:r w:rsidRPr="00E14102">
        <w:rPr>
          <w:color w:val="000000" w:themeColor="text1"/>
          <w:sz w:val="16"/>
          <w:szCs w:val="16"/>
        </w:rPr>
        <w:softHyphen/>
        <w:t>ров стрелковых частей КВО). Рота парашютистов захватила аэродром, и из приземлив</w:t>
      </w:r>
      <w:r w:rsidRPr="00E14102">
        <w:rPr>
          <w:color w:val="000000" w:themeColor="text1"/>
          <w:sz w:val="16"/>
          <w:szCs w:val="16"/>
        </w:rPr>
        <w:softHyphen/>
        <w:t>шихся на нем ТБ-3 высадился посадочный десант — 43-й и 90-й стрелковые полки (соответственно 15-й и 30-й стрелковых дивизий; всего около 3000 бойцов) и техника мотополка 3-й абр — 45-мм противотанковые пушки, грузовики ГАЗ-АА, легкие броне</w:t>
      </w:r>
      <w:r w:rsidRPr="00E14102">
        <w:rPr>
          <w:color w:val="000000" w:themeColor="text1"/>
          <w:sz w:val="16"/>
          <w:szCs w:val="16"/>
        </w:rPr>
        <w:softHyphen/>
        <w:t>автомобили Д-8 и тан</w:t>
      </w:r>
      <w:r w:rsidRPr="00E14102">
        <w:rPr>
          <w:color w:val="000000" w:themeColor="text1"/>
          <w:sz w:val="16"/>
          <w:szCs w:val="16"/>
        </w:rPr>
        <w:softHyphen/>
        <w:t>кетки Т-27. С воздуха вы</w:t>
      </w:r>
      <w:r w:rsidRPr="00E14102">
        <w:rPr>
          <w:color w:val="000000" w:themeColor="text1"/>
          <w:sz w:val="16"/>
          <w:szCs w:val="16"/>
        </w:rPr>
        <w:softHyphen/>
        <w:t>садку прикрывали «крей</w:t>
      </w:r>
      <w:r w:rsidRPr="00E14102">
        <w:rPr>
          <w:color w:val="000000" w:themeColor="text1"/>
          <w:sz w:val="16"/>
          <w:szCs w:val="16"/>
        </w:rPr>
        <w:softHyphen/>
        <w:t>сера» Р-6, сменившие одномоторные И-5 с их небольшой продолжи</w:t>
      </w:r>
      <w:r w:rsidRPr="00E14102">
        <w:rPr>
          <w:color w:val="000000" w:themeColor="text1"/>
          <w:sz w:val="16"/>
          <w:szCs w:val="16"/>
        </w:rPr>
        <w:softHyphen/>
        <w:t>тельностью полёта...</w:t>
      </w:r>
    </w:p>
    <w:p w14:paraId="3611189D" w14:textId="77777777" w:rsidR="00F9595A" w:rsidRPr="00E14102" w:rsidRDefault="00F9595A" w:rsidP="00E14102">
      <w:pPr>
        <w:jc w:val="both"/>
        <w:rPr>
          <w:color w:val="000000" w:themeColor="text1"/>
          <w:sz w:val="16"/>
          <w:szCs w:val="16"/>
        </w:rPr>
      </w:pPr>
      <w:r w:rsidRPr="00E14102">
        <w:rPr>
          <w:color w:val="000000" w:themeColor="text1"/>
          <w:sz w:val="16"/>
          <w:szCs w:val="16"/>
        </w:rPr>
        <w:t>«Красные» (из истреби</w:t>
      </w:r>
      <w:r w:rsidRPr="00E14102">
        <w:rPr>
          <w:color w:val="000000" w:themeColor="text1"/>
          <w:sz w:val="16"/>
          <w:szCs w:val="16"/>
        </w:rPr>
        <w:softHyphen/>
        <w:t>тельных аэ Киевской бри</w:t>
      </w:r>
      <w:r w:rsidRPr="00E14102">
        <w:rPr>
          <w:color w:val="000000" w:themeColor="text1"/>
          <w:sz w:val="16"/>
          <w:szCs w:val="16"/>
        </w:rPr>
        <w:softHyphen/>
        <w:t>гады) и «синие» И-5 ис</w:t>
      </w:r>
      <w:r w:rsidRPr="00E14102">
        <w:rPr>
          <w:color w:val="000000" w:themeColor="text1"/>
          <w:sz w:val="16"/>
          <w:szCs w:val="16"/>
        </w:rPr>
        <w:softHyphen/>
        <w:t>правно атаковали группы лёгких бомбардировщи</w:t>
      </w:r>
      <w:r w:rsidRPr="00E14102">
        <w:rPr>
          <w:color w:val="000000" w:themeColor="text1"/>
          <w:sz w:val="16"/>
          <w:szCs w:val="16"/>
        </w:rPr>
        <w:softHyphen/>
        <w:t>ков и штурмовиков «противника», об</w:t>
      </w:r>
      <w:r w:rsidRPr="00E14102">
        <w:rPr>
          <w:color w:val="000000" w:themeColor="text1"/>
          <w:sz w:val="16"/>
          <w:szCs w:val="16"/>
        </w:rPr>
        <w:softHyphen/>
        <w:t>стреливая иногда и наземные цели (15803).</w:t>
      </w:r>
    </w:p>
    <w:p w14:paraId="48EA1308" w14:textId="77777777" w:rsidR="00F9595A" w:rsidRPr="00E14102" w:rsidRDefault="00F9595A" w:rsidP="00E14102">
      <w:pPr>
        <w:jc w:val="both"/>
        <w:rPr>
          <w:color w:val="000000" w:themeColor="text1"/>
          <w:sz w:val="16"/>
          <w:szCs w:val="16"/>
        </w:rPr>
      </w:pPr>
    </w:p>
    <w:p w14:paraId="56E8E5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по 15 сентября 1935 г. впервые в Европе проверялись на маневрах в Киевском военном округе основные положения глубокой наступательной операции. На учениях в присутствии военных специалистов ведущих мировых держав "красные" прорвали оборону "синих" пехотой при поддержке тяжелых танков, ввели в прорыв под прикрытием дымовой завесы крупную танковую группу, поддержанную штурмовиками, а затем окружили и уничтожили кавалерийский корпус "противника". Кроме того, в тыл "синим" с самолетов было десантировано 1200 парашютистов, которые организовали круговую оборону и обеспечили высадку с транспортных самолетов посадочным способом еще 2500 бойцов с вооружением и техникой (3451).</w:t>
      </w:r>
    </w:p>
    <w:p w14:paraId="3FAB31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 в октябре</w:t>
      </w:r>
    </w:p>
    <w:p w14:paraId="258E48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Киевских маневрах была показана доставка танка Т-37А по воздуху на подвеске ПГ-12 под ТБ-3. Подвеска позволяла отделить танк без выхода экипажа ручкой у штурмана. Потом на Медвежьих озерах под Москвой опробовали сброс Т-37А на воду с подвески ТВД-2 (3547).</w:t>
      </w:r>
    </w:p>
    <w:p w14:paraId="5E731ECA"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r w:rsidRPr="00E14102">
        <w:rPr>
          <w:color w:val="000000" w:themeColor="text1"/>
          <w:sz w:val="16"/>
          <w:szCs w:val="16"/>
        </w:rPr>
        <w:t>К середине 30-х го</w:t>
      </w:r>
      <w:r w:rsidRPr="00E14102">
        <w:rPr>
          <w:color w:val="000000" w:themeColor="text1"/>
          <w:sz w:val="16"/>
          <w:szCs w:val="16"/>
        </w:rPr>
        <w:softHyphen/>
        <w:t>дов советскими военными авиаспециа</w:t>
      </w:r>
      <w:r w:rsidRPr="00E14102">
        <w:rPr>
          <w:color w:val="000000" w:themeColor="text1"/>
          <w:sz w:val="16"/>
          <w:szCs w:val="16"/>
        </w:rPr>
        <w:softHyphen/>
        <w:t>листами была выполнена сравнительная оценка тактико-тех</w:t>
      </w:r>
      <w:r w:rsidRPr="00E14102">
        <w:rPr>
          <w:color w:val="000000" w:themeColor="text1"/>
          <w:sz w:val="16"/>
          <w:szCs w:val="16"/>
        </w:rPr>
        <w:softHyphen/>
        <w:t>нических данных самолетов-штурмови</w:t>
      </w:r>
      <w:r w:rsidRPr="00E14102">
        <w:rPr>
          <w:color w:val="000000" w:themeColor="text1"/>
          <w:sz w:val="16"/>
          <w:szCs w:val="16"/>
        </w:rPr>
        <w:softHyphen/>
        <w:t>ков, которая послужила толчком к разви</w:t>
      </w:r>
      <w:r w:rsidRPr="00E14102">
        <w:rPr>
          <w:color w:val="000000" w:themeColor="text1"/>
          <w:sz w:val="16"/>
          <w:szCs w:val="16"/>
        </w:rPr>
        <w:softHyphen/>
        <w:t>тию идеи “войскового самолета”, ко</w:t>
      </w:r>
      <w:r w:rsidRPr="00E14102">
        <w:rPr>
          <w:color w:val="000000" w:themeColor="text1"/>
          <w:sz w:val="16"/>
          <w:szCs w:val="16"/>
        </w:rPr>
        <w:softHyphen/>
        <w:t>торый обеспечивал бы решение основ</w:t>
      </w:r>
      <w:r w:rsidRPr="00E14102">
        <w:rPr>
          <w:color w:val="000000" w:themeColor="text1"/>
          <w:sz w:val="16"/>
          <w:szCs w:val="16"/>
        </w:rPr>
        <w:softHyphen/>
        <w:t>ных боевых задач глубокой наступа</w:t>
      </w:r>
      <w:r w:rsidRPr="00E14102">
        <w:rPr>
          <w:color w:val="000000" w:themeColor="text1"/>
          <w:sz w:val="16"/>
          <w:szCs w:val="16"/>
        </w:rPr>
        <w:softHyphen/>
        <w:t>тельной операции. Предполагалось, что на основе базового самолета “войско</w:t>
      </w:r>
      <w:r w:rsidRPr="00E14102">
        <w:rPr>
          <w:color w:val="000000" w:themeColor="text1"/>
          <w:sz w:val="16"/>
          <w:szCs w:val="16"/>
        </w:rPr>
        <w:softHyphen/>
        <w:t>вого типа” будут созданы боевые ма</w:t>
      </w:r>
      <w:r w:rsidRPr="00E14102">
        <w:rPr>
          <w:color w:val="000000" w:themeColor="text1"/>
          <w:sz w:val="16"/>
          <w:szCs w:val="16"/>
        </w:rPr>
        <w:softHyphen/>
        <w:t>шины, способные решать задачи даль</w:t>
      </w:r>
      <w:r w:rsidRPr="00E14102">
        <w:rPr>
          <w:color w:val="000000" w:themeColor="text1"/>
          <w:sz w:val="16"/>
          <w:szCs w:val="16"/>
        </w:rPr>
        <w:softHyphen/>
        <w:t>него разведчика, корректировщика ар</w:t>
      </w:r>
      <w:r w:rsidRPr="00E14102">
        <w:rPr>
          <w:color w:val="000000" w:themeColor="text1"/>
          <w:sz w:val="16"/>
          <w:szCs w:val="16"/>
        </w:rPr>
        <w:softHyphen/>
        <w:t>тиллерийского огня, легкого бомбарди</w:t>
      </w:r>
      <w:r w:rsidRPr="00E14102">
        <w:rPr>
          <w:color w:val="000000" w:themeColor="text1"/>
          <w:sz w:val="16"/>
          <w:szCs w:val="16"/>
        </w:rPr>
        <w:softHyphen/>
        <w:t>ровщика и дальнего штурмовика (6269).</w:t>
      </w:r>
    </w:p>
    <w:p w14:paraId="017119AE"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p>
    <w:p w14:paraId="6AF2EA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12 по 15 сентября 1935 основные положения глубокой наступательной операции во всей широте впервые проверялись в Киевском особом военном округе во время маневров.</w:t>
      </w:r>
    </w:p>
    <w:p w14:paraId="040AA7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маневрах в присутствии военных специалистов ведущих мировых держав был осуществлен прорыв обороны противника пехотой при поддержке тяжелых танков, ввод в прорыв под прикрытием дымовой завесы крупной танковой группы,поддержанной штурмовиками, а затем окружение и уничтожение кавалерийского корпуса противника.</w:t>
      </w:r>
    </w:p>
    <w:p w14:paraId="27D370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этого, в тыл “синим” с самолетов было десантировано 1200 парашютистов, которые после приземления организовали круговую оборону и обеспечили высадку с транспортных самолетов посадочным способом еще 2500 бойцов с вооружением и техникой...(9649).</w:t>
      </w:r>
    </w:p>
    <w:p w14:paraId="7593D90D" w14:textId="77777777" w:rsidR="00D4105E" w:rsidRPr="00E14102" w:rsidRDefault="00D4105E" w:rsidP="00E14102">
      <w:pPr>
        <w:autoSpaceDE w:val="0"/>
        <w:autoSpaceDN w:val="0"/>
        <w:adjustRightInd w:val="0"/>
        <w:jc w:val="both"/>
        <w:rPr>
          <w:color w:val="000000" w:themeColor="text1"/>
          <w:sz w:val="16"/>
          <w:szCs w:val="16"/>
        </w:rPr>
      </w:pPr>
    </w:p>
    <w:p w14:paraId="71C78FFD" w14:textId="77777777" w:rsidR="00620D3C" w:rsidRPr="00E14102" w:rsidRDefault="00620D3C"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FEBCB95" w14:textId="77777777" w:rsidR="00620D3C" w:rsidRPr="00E14102" w:rsidRDefault="00620D3C" w:rsidP="00E14102">
      <w:pPr>
        <w:autoSpaceDE w:val="0"/>
        <w:autoSpaceDN w:val="0"/>
        <w:adjustRightInd w:val="0"/>
        <w:jc w:val="both"/>
        <w:rPr>
          <w:iCs/>
          <w:color w:val="000000" w:themeColor="text1"/>
          <w:sz w:val="16"/>
          <w:szCs w:val="16"/>
        </w:rPr>
      </w:pPr>
    </w:p>
    <w:p w14:paraId="59006915" w14:textId="77777777" w:rsidR="00620D3C" w:rsidRPr="00E14102" w:rsidRDefault="00620D3C" w:rsidP="00E14102">
      <w:pPr>
        <w:jc w:val="both"/>
        <w:rPr>
          <w:color w:val="0070C0"/>
          <w:sz w:val="16"/>
          <w:szCs w:val="16"/>
        </w:rPr>
      </w:pPr>
      <w:r w:rsidRPr="00E14102">
        <w:rPr>
          <w:color w:val="0070C0"/>
          <w:sz w:val="16"/>
          <w:szCs w:val="16"/>
        </w:rPr>
        <w:t>12 сентября 1935 отраслевая газета «Лёгкая индустрия» сообщила о первом всесоюзном рекорде обслуживания ткацких станков, достигнутом на вичугской фабрике имени Ногина ткачихами Евдокией и Марией Виноградовыми (70 станков). С октября 1935 года ткачихи Виноградовы обслуживали сначала 100 станков, затем 144 станков, а с ноября 1935 по июль 1936 года — 216 станков (21179).</w:t>
      </w:r>
    </w:p>
    <w:p w14:paraId="7FCC3B64" w14:textId="50F6A443" w:rsidR="00620D3C" w:rsidRPr="00E14102" w:rsidRDefault="00620D3C" w:rsidP="00E14102">
      <w:pPr>
        <w:jc w:val="both"/>
        <w:rPr>
          <w:color w:val="0070C0"/>
          <w:sz w:val="16"/>
          <w:szCs w:val="16"/>
        </w:rPr>
      </w:pPr>
    </w:p>
    <w:p w14:paraId="21088E96" w14:textId="7CA1A1D0" w:rsidR="00620D3C" w:rsidRPr="00E14102" w:rsidRDefault="00620D3C" w:rsidP="00E14102">
      <w:pPr>
        <w:jc w:val="both"/>
        <w:rPr>
          <w:i/>
          <w:iCs/>
          <w:color w:val="0070C0"/>
          <w:sz w:val="16"/>
          <w:szCs w:val="16"/>
        </w:rPr>
      </w:pPr>
      <w:r w:rsidRPr="00E14102">
        <w:rPr>
          <w:i/>
          <w:iCs/>
          <w:color w:val="0070C0"/>
          <w:sz w:val="16"/>
          <w:szCs w:val="16"/>
        </w:rPr>
        <w:t>За рубежом:</w:t>
      </w:r>
    </w:p>
    <w:p w14:paraId="62C48C4C" w14:textId="77777777" w:rsidR="00620D3C" w:rsidRPr="00E14102" w:rsidRDefault="00620D3C" w:rsidP="00E14102">
      <w:pPr>
        <w:jc w:val="both"/>
        <w:rPr>
          <w:i/>
          <w:iCs/>
          <w:color w:val="0070C0"/>
          <w:sz w:val="16"/>
          <w:szCs w:val="16"/>
        </w:rPr>
      </w:pPr>
    </w:p>
    <w:p w14:paraId="6FF34F9B" w14:textId="77777777" w:rsidR="00620D3C" w:rsidRPr="00E14102" w:rsidRDefault="00620D3C" w:rsidP="00E14102">
      <w:pPr>
        <w:jc w:val="both"/>
        <w:rPr>
          <w:color w:val="0070C0"/>
          <w:sz w:val="16"/>
          <w:szCs w:val="16"/>
        </w:rPr>
      </w:pPr>
      <w:r w:rsidRPr="00E14102">
        <w:rPr>
          <w:color w:val="0070C0"/>
          <w:sz w:val="16"/>
          <w:szCs w:val="16"/>
        </w:rPr>
        <w:t>12 сентября 1935 - Поднялся в воздух первый опытный английский лёгкий транспортный самолёт DH.90 "Дрэгонфлай" ("Стрекоза"). Внешне он сильно напоминал DH.89: такие же крылья, оперение, мотогондолы, шасси. Но всё пропорционально уменьшенное. Моторы - "Джипси Мэйджор" I, такие же, как на старом DH.84. Для небольшой "Стрекозы" их мощность оказалась вполне достаточной. DH.90 перевозил пять человек, включая одного или двух пилотов (управление сделали двойным) (22367).</w:t>
      </w:r>
    </w:p>
    <w:p w14:paraId="6441F23B" w14:textId="77777777" w:rsidR="00620D3C" w:rsidRPr="00E14102" w:rsidRDefault="00620D3C" w:rsidP="00E14102">
      <w:pPr>
        <w:jc w:val="both"/>
        <w:rPr>
          <w:color w:val="0070C0"/>
          <w:sz w:val="16"/>
          <w:szCs w:val="16"/>
        </w:rPr>
      </w:pPr>
    </w:p>
    <w:p w14:paraId="43FAB36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3C10449" w14:textId="77777777" w:rsidR="00D4105E" w:rsidRPr="00E14102" w:rsidRDefault="00D4105E" w:rsidP="00E14102">
      <w:pPr>
        <w:autoSpaceDE w:val="0"/>
        <w:autoSpaceDN w:val="0"/>
        <w:adjustRightInd w:val="0"/>
        <w:jc w:val="both"/>
        <w:rPr>
          <w:iCs/>
          <w:color w:val="000000" w:themeColor="text1"/>
          <w:sz w:val="16"/>
          <w:szCs w:val="16"/>
        </w:rPr>
      </w:pPr>
    </w:p>
    <w:p w14:paraId="1ECE08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сентября 1935 года постановление № С-120сс СТО</w:t>
      </w:r>
    </w:p>
    <w:p w14:paraId="6133DD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 изменениях в плане опытного строительства по самолетам для ГВФ</w:t>
      </w:r>
    </w:p>
    <w:p w14:paraId="1DC7AF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изменения постановлений СТО № С-39сс от 16 мая 1935 года и № С-81сс от 4 июля 1935 года СТО постановляет:</w:t>
      </w:r>
    </w:p>
    <w:p w14:paraId="109C526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Утвердить новые сроки сдачи на госиспытания следующих опытных самолетов для ГВФ:</w:t>
      </w:r>
    </w:p>
    <w:p w14:paraId="5812B6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завод № 39 – к 1 марта 1936 года вместо 1 ноября 1935 года</w:t>
      </w:r>
    </w:p>
    <w:p w14:paraId="610262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АНТ-35 СБ ЦАГИ – к 1 августа 1936 года вместо 1 ноября 1935 года</w:t>
      </w:r>
    </w:p>
    <w:p w14:paraId="337930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СТАЛЬ-11 завод № 81 – к 1 января 1936 года вместо 1 октября 1935 года</w:t>
      </w:r>
    </w:p>
    <w:p w14:paraId="4B51B6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АРК-3 (МДР-6) – первый экз. для ГУСМПа – к 1 января 1936 года вместо 2 июля 1935 года</w:t>
      </w:r>
    </w:p>
    <w:p w14:paraId="18E3CA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второй экз. для ГУГВФ – к 1 июля 1936 года вместо 1 ноября 1935 года</w:t>
      </w:r>
    </w:p>
    <w:p w14:paraId="75E94F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……………………….(7516, 135).</w:t>
      </w:r>
    </w:p>
    <w:p w14:paraId="12A29B2F" w14:textId="77777777" w:rsidR="00D4105E" w:rsidRPr="00E14102" w:rsidRDefault="00D4105E" w:rsidP="00E14102">
      <w:pPr>
        <w:autoSpaceDE w:val="0"/>
        <w:autoSpaceDN w:val="0"/>
        <w:adjustRightInd w:val="0"/>
        <w:jc w:val="both"/>
        <w:rPr>
          <w:color w:val="000000" w:themeColor="text1"/>
          <w:sz w:val="16"/>
          <w:szCs w:val="16"/>
        </w:rPr>
      </w:pPr>
    </w:p>
    <w:p w14:paraId="03280CF4" w14:textId="77777777" w:rsidR="00F9595A" w:rsidRPr="00E14102" w:rsidRDefault="00F9595A" w:rsidP="00E14102">
      <w:pPr>
        <w:pStyle w:val="rtejustify"/>
        <w:spacing w:before="0" w:after="0"/>
        <w:rPr>
          <w:color w:val="000000" w:themeColor="text1"/>
          <w:sz w:val="16"/>
          <w:szCs w:val="16"/>
        </w:rPr>
      </w:pPr>
      <w:r w:rsidRPr="00E14102">
        <w:rPr>
          <w:rStyle w:val="a6"/>
          <w:bCs/>
          <w:i w:val="0"/>
          <w:color w:val="000000" w:themeColor="text1"/>
          <w:sz w:val="16"/>
          <w:szCs w:val="16"/>
        </w:rPr>
        <w:t>13 сентября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120сс «Об изменениях в плане опытного строительства по самолетам для гражданского воздушного флота». (ГА РФ. Ф. Р</w:t>
      </w:r>
      <w:r w:rsidRPr="00E14102">
        <w:rPr>
          <w:color w:val="000000" w:themeColor="text1"/>
          <w:sz w:val="16"/>
          <w:szCs w:val="16"/>
        </w:rPr>
        <w:noBreakHyphen/>
        <w:t>8418. Оп. 28. Д. 7. Л. 105) (15460).</w:t>
      </w:r>
    </w:p>
    <w:p w14:paraId="3285ACEE" w14:textId="77777777" w:rsidR="00F9595A" w:rsidRPr="00E14102" w:rsidRDefault="00F9595A" w:rsidP="00E14102">
      <w:pPr>
        <w:pStyle w:val="rtejustify"/>
        <w:spacing w:before="0" w:after="0"/>
        <w:rPr>
          <w:color w:val="000000" w:themeColor="text1"/>
          <w:sz w:val="16"/>
          <w:szCs w:val="16"/>
        </w:rPr>
      </w:pPr>
    </w:p>
    <w:p w14:paraId="4D47FA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сентября 1935 года (Постановление СТО № 572) состоялось окончательное утверждение Правительством генерального плана и генеральной сметы Каширского электровозного завода.</w:t>
      </w:r>
    </w:p>
    <w:p w14:paraId="5D603C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пуска электровозного завода был установлен на начало 1936 года.</w:t>
      </w:r>
    </w:p>
    <w:p w14:paraId="5006D7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решения Правительства, приказом НКТП от 3 марта 1936 года за № 46с было предложено:</w:t>
      </w:r>
    </w:p>
    <w:p w14:paraId="3178F1B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Строительную площадку Каширского электровозного завода передать из ведения Главэнергопрома в Глававиапром.</w:t>
      </w:r>
    </w:p>
    <w:p w14:paraId="07DE180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Глававиапрому развернуть на базе стройплощадки элеткровозного завода строительство нового авиационного комбината, в первую очередь – завода винтов переменного шага и самопусков.</w:t>
      </w:r>
    </w:p>
    <w:p w14:paraId="6E4CAB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этом же заводе организовать производство мелких паровых турбин от 1 до 3 тыс. киловатт.</w:t>
      </w:r>
    </w:p>
    <w:p w14:paraId="0E6A50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Этим же приказом строительству авиакомбината было присвоено наименование “Комбинат № 150” (9504).</w:t>
      </w:r>
    </w:p>
    <w:p w14:paraId="1F8BB64A" w14:textId="77777777" w:rsidR="00D4105E" w:rsidRPr="00E14102" w:rsidRDefault="00D4105E" w:rsidP="00E14102">
      <w:pPr>
        <w:autoSpaceDE w:val="0"/>
        <w:autoSpaceDN w:val="0"/>
        <w:adjustRightInd w:val="0"/>
        <w:jc w:val="both"/>
        <w:rPr>
          <w:color w:val="000000" w:themeColor="text1"/>
          <w:sz w:val="16"/>
          <w:szCs w:val="16"/>
        </w:rPr>
      </w:pPr>
    </w:p>
    <w:p w14:paraId="4DDD07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сентября 1935 в Москву прибыли С.А.Леваневский и ш В.И.Левченко, которые 5 августа 1935 стартовали из Лос Анжелоса в СССР на амфибии Валти V-JAS с 2х750 нр СССР Н-208. Садился в Сан-Франциско, Сиэтле и Номе. Потом с трудом перелетел океан и приводнился в Уэлене. До Тикси летел над Арктическим побережье с посадкой в бухте Амбарчик, где встретился с Дорнье-Валь Молокова. 30 августа прибыл в Жиганск, а 2 сентября - в Красноярск (99,202).</w:t>
      </w:r>
    </w:p>
    <w:p w14:paraId="337F4CE8" w14:textId="77777777" w:rsidR="00D4105E" w:rsidRPr="00E14102" w:rsidRDefault="00D4105E" w:rsidP="00E14102">
      <w:pPr>
        <w:autoSpaceDE w:val="0"/>
        <w:autoSpaceDN w:val="0"/>
        <w:adjustRightInd w:val="0"/>
        <w:jc w:val="both"/>
        <w:rPr>
          <w:color w:val="000000" w:themeColor="text1"/>
          <w:sz w:val="16"/>
          <w:szCs w:val="16"/>
        </w:rPr>
      </w:pPr>
    </w:p>
    <w:p w14:paraId="35B639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сентября 1935 К.Э.Циолковский написал И.В.С. и получил ответ, а 19 - умер (271,155).</w:t>
      </w:r>
    </w:p>
    <w:p w14:paraId="2AC0EA5C" w14:textId="77777777" w:rsidR="00D4105E" w:rsidRPr="00E14102" w:rsidRDefault="00D4105E" w:rsidP="00E14102">
      <w:pPr>
        <w:autoSpaceDE w:val="0"/>
        <w:autoSpaceDN w:val="0"/>
        <w:adjustRightInd w:val="0"/>
        <w:jc w:val="both"/>
        <w:rPr>
          <w:color w:val="000000" w:themeColor="text1"/>
          <w:sz w:val="16"/>
          <w:szCs w:val="16"/>
        </w:rPr>
      </w:pPr>
    </w:p>
    <w:p w14:paraId="45EB856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76A23F9" w14:textId="77777777" w:rsidR="00D4105E" w:rsidRPr="00E14102" w:rsidRDefault="00D4105E" w:rsidP="00E14102">
      <w:pPr>
        <w:autoSpaceDE w:val="0"/>
        <w:autoSpaceDN w:val="0"/>
        <w:adjustRightInd w:val="0"/>
        <w:jc w:val="both"/>
        <w:rPr>
          <w:iCs/>
          <w:color w:val="000000" w:themeColor="text1"/>
          <w:sz w:val="16"/>
          <w:szCs w:val="16"/>
        </w:rPr>
      </w:pPr>
    </w:p>
    <w:p w14:paraId="3DF2F9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сентября 1935 года Галактионов писал письмо № 1719/ко в УМС РККА Орлову</w:t>
      </w:r>
    </w:p>
    <w:p w14:paraId="2D6BA7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Для доклада Молотова прошу дать Ваше заключение по материалу за № 1245/ко, направленному Вам АУ РККА по вопросу о порядке коплектования выстрелами 305 и 152 мм систем Курчевского.</w:t>
      </w:r>
    </w:p>
    <w:p w14:paraId="160EA3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(2426, 59).</w:t>
      </w:r>
    </w:p>
    <w:p w14:paraId="4AA614CB" w14:textId="77777777" w:rsidR="00D4105E" w:rsidRPr="00E14102" w:rsidRDefault="00D4105E" w:rsidP="00E14102">
      <w:pPr>
        <w:autoSpaceDE w:val="0"/>
        <w:autoSpaceDN w:val="0"/>
        <w:adjustRightInd w:val="0"/>
        <w:jc w:val="both"/>
        <w:rPr>
          <w:color w:val="000000" w:themeColor="text1"/>
          <w:sz w:val="16"/>
          <w:szCs w:val="16"/>
        </w:rPr>
      </w:pPr>
    </w:p>
    <w:p w14:paraId="60789A25" w14:textId="77777777" w:rsidR="00F9595A" w:rsidRPr="00E14102" w:rsidRDefault="00F9595A" w:rsidP="00E14102">
      <w:pPr>
        <w:pStyle w:val="rtejustify"/>
        <w:spacing w:before="0" w:after="0"/>
        <w:rPr>
          <w:color w:val="000000" w:themeColor="text1"/>
          <w:sz w:val="16"/>
          <w:szCs w:val="16"/>
        </w:rPr>
      </w:pPr>
      <w:r w:rsidRPr="00E14102">
        <w:rPr>
          <w:rStyle w:val="a6"/>
          <w:bCs/>
          <w:i w:val="0"/>
          <w:color w:val="000000" w:themeColor="text1"/>
          <w:sz w:val="16"/>
          <w:szCs w:val="16"/>
        </w:rPr>
        <w:t>13 сентября</w:t>
      </w:r>
      <w:r w:rsidRPr="00E14102">
        <w:rPr>
          <w:color w:val="000000" w:themeColor="text1"/>
          <w:sz w:val="16"/>
          <w:szCs w:val="16"/>
        </w:rPr>
        <w:t xml:space="preserve"> 1935. Постановление СНК СССР № С</w:t>
      </w:r>
      <w:r w:rsidRPr="00E14102">
        <w:rPr>
          <w:color w:val="000000" w:themeColor="text1"/>
          <w:sz w:val="16"/>
          <w:szCs w:val="16"/>
        </w:rPr>
        <w:noBreakHyphen/>
        <w:t>46с «О строительстве опытного завода по производству продукта СФ</w:t>
      </w:r>
      <w:r w:rsidRPr="00E14102">
        <w:rPr>
          <w:color w:val="000000" w:themeColor="text1"/>
          <w:sz w:val="16"/>
          <w:szCs w:val="16"/>
        </w:rPr>
        <w:noBreakHyphen/>
        <w:t>1 и СФ</w:t>
      </w:r>
      <w:r w:rsidRPr="00E14102">
        <w:rPr>
          <w:color w:val="000000" w:themeColor="text1"/>
          <w:sz w:val="16"/>
          <w:szCs w:val="16"/>
        </w:rPr>
        <w:noBreakHyphen/>
        <w:t>2 в районе г. Энгельса Саратовского края». (ГА РФ. Ф. Р</w:t>
      </w:r>
      <w:r w:rsidRPr="00E14102">
        <w:rPr>
          <w:color w:val="000000" w:themeColor="text1"/>
          <w:sz w:val="16"/>
          <w:szCs w:val="16"/>
        </w:rPr>
        <w:noBreakHyphen/>
        <w:t>8418. Оп. 28. Д. 17. Л. 106) (15460).</w:t>
      </w:r>
    </w:p>
    <w:p w14:paraId="0DBE5496" w14:textId="77777777" w:rsidR="00F9595A" w:rsidRPr="00E14102" w:rsidRDefault="00F9595A" w:rsidP="00E14102">
      <w:pPr>
        <w:pStyle w:val="rtejustify"/>
        <w:spacing w:before="0" w:after="0"/>
        <w:rPr>
          <w:color w:val="000000" w:themeColor="text1"/>
          <w:sz w:val="16"/>
          <w:szCs w:val="16"/>
        </w:rPr>
      </w:pPr>
    </w:p>
    <w:p w14:paraId="251DE69C" w14:textId="77777777" w:rsidR="00620D3C" w:rsidRPr="00E14102" w:rsidRDefault="00620D3C"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724B09D" w14:textId="77777777" w:rsidR="00620D3C" w:rsidRPr="00E14102" w:rsidRDefault="00620D3C" w:rsidP="00E14102">
      <w:pPr>
        <w:autoSpaceDE w:val="0"/>
        <w:autoSpaceDN w:val="0"/>
        <w:adjustRightInd w:val="0"/>
        <w:jc w:val="both"/>
        <w:rPr>
          <w:iCs/>
          <w:color w:val="000000" w:themeColor="text1"/>
          <w:sz w:val="16"/>
          <w:szCs w:val="16"/>
        </w:rPr>
      </w:pPr>
    </w:p>
    <w:p w14:paraId="75F3FD69" w14:textId="77777777" w:rsidR="00620D3C" w:rsidRPr="00E14102" w:rsidRDefault="00620D3C" w:rsidP="00E14102">
      <w:pPr>
        <w:jc w:val="both"/>
        <w:rPr>
          <w:color w:val="0070C0"/>
          <w:sz w:val="16"/>
          <w:szCs w:val="16"/>
        </w:rPr>
      </w:pPr>
      <w:r w:rsidRPr="00E14102">
        <w:rPr>
          <w:color w:val="0070C0"/>
          <w:sz w:val="16"/>
          <w:szCs w:val="16"/>
        </w:rPr>
        <w:t>13 сентября 1935 первый рекорд фрезеровщика Ивана Гудова – 272% нормы за смену. К концу 1937 – 9050%! (21179).</w:t>
      </w:r>
    </w:p>
    <w:p w14:paraId="2C4DA4C0" w14:textId="77777777" w:rsidR="00620D3C" w:rsidRPr="00E14102" w:rsidRDefault="00620D3C" w:rsidP="00E14102">
      <w:pPr>
        <w:jc w:val="both"/>
        <w:rPr>
          <w:color w:val="0070C0"/>
          <w:sz w:val="16"/>
          <w:szCs w:val="16"/>
        </w:rPr>
      </w:pPr>
    </w:p>
    <w:p w14:paraId="59BFBB7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B885858" w14:textId="77777777" w:rsidR="00D4105E" w:rsidRPr="00E14102" w:rsidRDefault="00D4105E" w:rsidP="00E14102">
      <w:pPr>
        <w:autoSpaceDE w:val="0"/>
        <w:autoSpaceDN w:val="0"/>
        <w:adjustRightInd w:val="0"/>
        <w:jc w:val="both"/>
        <w:rPr>
          <w:iCs/>
          <w:color w:val="000000" w:themeColor="text1"/>
          <w:sz w:val="16"/>
          <w:szCs w:val="16"/>
        </w:rPr>
      </w:pPr>
    </w:p>
    <w:p w14:paraId="28B1E8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сентября 1935 состоялся первый полет первого прототипа Ю-87 V1, но 24 января 1936 разбился при пикировании (347,1).</w:t>
      </w:r>
    </w:p>
    <w:p w14:paraId="4C393F32" w14:textId="77777777" w:rsidR="00D4105E" w:rsidRPr="00E14102" w:rsidRDefault="00D4105E" w:rsidP="00E14102">
      <w:pPr>
        <w:autoSpaceDE w:val="0"/>
        <w:autoSpaceDN w:val="0"/>
        <w:adjustRightInd w:val="0"/>
        <w:jc w:val="both"/>
        <w:rPr>
          <w:color w:val="000000" w:themeColor="text1"/>
          <w:sz w:val="16"/>
          <w:szCs w:val="16"/>
        </w:rPr>
      </w:pPr>
    </w:p>
    <w:p w14:paraId="4B3A3A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сентября 1935 Гарвард Хьюз взлетел на Н-1 Спешл с аэродрома Санта-Анна в Калифорнии и в ходе 6 заходов (на последнем машина была разбита) достиг скорости 567.17 км/час (4207, 93).</w:t>
      </w:r>
    </w:p>
    <w:p w14:paraId="13D108B8" w14:textId="77777777" w:rsidR="00D4105E" w:rsidRPr="00E14102" w:rsidRDefault="00D4105E" w:rsidP="00E14102">
      <w:pPr>
        <w:autoSpaceDE w:val="0"/>
        <w:autoSpaceDN w:val="0"/>
        <w:adjustRightInd w:val="0"/>
        <w:jc w:val="both"/>
        <w:rPr>
          <w:color w:val="000000" w:themeColor="text1"/>
          <w:sz w:val="16"/>
          <w:szCs w:val="16"/>
        </w:rPr>
      </w:pPr>
    </w:p>
    <w:p w14:paraId="55483D14" w14:textId="77777777" w:rsidR="00F9595A" w:rsidRPr="00E14102" w:rsidRDefault="00F9595A" w:rsidP="00E14102">
      <w:pPr>
        <w:jc w:val="both"/>
        <w:rPr>
          <w:rStyle w:val="ucoz-forum-post"/>
          <w:rFonts w:eastAsiaTheme="majorEastAsia"/>
          <w:color w:val="000000" w:themeColor="text1"/>
          <w:sz w:val="16"/>
          <w:szCs w:val="16"/>
        </w:rPr>
      </w:pPr>
      <w:r w:rsidRPr="00E14102">
        <w:rPr>
          <w:rStyle w:val="ucoz-forum-post"/>
          <w:rFonts w:eastAsiaTheme="majorEastAsia"/>
          <w:bCs/>
          <w:color w:val="000000" w:themeColor="text1"/>
          <w:sz w:val="16"/>
          <w:szCs w:val="16"/>
        </w:rPr>
        <w:t>13 сентября 1935 года</w:t>
      </w:r>
      <w:r w:rsidRPr="00E14102">
        <w:rPr>
          <w:rStyle w:val="ucoz-forum-post"/>
          <w:rFonts w:eastAsiaTheme="majorEastAsia"/>
          <w:color w:val="000000" w:themeColor="text1"/>
          <w:sz w:val="16"/>
          <w:szCs w:val="16"/>
        </w:rPr>
        <w:t xml:space="preserve"> Говард Хьюз лично поднял самолет Hughes H-1 Special в воздух с Калифорнийского аэродрома Санта-Анна и сделал четыре пролета над мерной 3 - километровой базой со скоростью, значительно превосходящей прежний мировой рекорд. И хотя всем было ясно, что "Спешл" уже вошел в историю, возбужденный Хьюз решил продолжить штурм скоростного рубежа. Он делает пятый заход, затем шестой... По на шестом проходе мерной базы в баках самолета кончилось топливо. Совершить посадку с остановившимся двигателем на таком самолете было просто невозможно. Тем не менее, благодаря своему мастерству, а скорее всего хладнокровию и мужеству, Хьюз сумел уцелеть в этой ситуации, хотя при посадке самолет, обошедшийся ему в 120 тыс.долларов, получил довольно сильные повреждения. Но результат был достигнут. Абсолютный рекорд скорости перешел к американцам. Теперь он составлял 567,17 км/ч (14768).</w:t>
      </w:r>
    </w:p>
    <w:p w14:paraId="4F5C17FC" w14:textId="77777777" w:rsidR="00F9595A" w:rsidRPr="00E14102" w:rsidRDefault="00F9595A" w:rsidP="00E14102">
      <w:pPr>
        <w:jc w:val="both"/>
        <w:rPr>
          <w:rStyle w:val="ucoz-forum-post"/>
          <w:rFonts w:eastAsiaTheme="majorEastAsia"/>
          <w:color w:val="000000" w:themeColor="text1"/>
          <w:sz w:val="16"/>
          <w:szCs w:val="16"/>
        </w:rPr>
      </w:pPr>
    </w:p>
    <w:p w14:paraId="5436F071" w14:textId="77777777" w:rsidR="00620D3C" w:rsidRPr="00E14102" w:rsidRDefault="00620D3C" w:rsidP="00E14102">
      <w:pPr>
        <w:jc w:val="both"/>
        <w:rPr>
          <w:color w:val="0070C0"/>
          <w:sz w:val="16"/>
          <w:szCs w:val="16"/>
        </w:rPr>
      </w:pPr>
      <w:r w:rsidRPr="00E14102">
        <w:rPr>
          <w:color w:val="0070C0"/>
          <w:sz w:val="16"/>
          <w:szCs w:val="16"/>
        </w:rPr>
        <w:t>13 сентября 1935 года — первый полёт гоночного самолёта Hughes H-1 Racer. /США/</w:t>
      </w:r>
    </w:p>
    <w:p w14:paraId="5AB2FE49" w14:textId="77777777" w:rsidR="00620D3C" w:rsidRPr="00E14102" w:rsidRDefault="00620D3C" w:rsidP="00E14102">
      <w:pPr>
        <w:jc w:val="both"/>
        <w:rPr>
          <w:color w:val="0070C0"/>
          <w:sz w:val="16"/>
          <w:szCs w:val="16"/>
        </w:rPr>
      </w:pPr>
      <w:r w:rsidRPr="00E14102">
        <w:rPr>
          <w:color w:val="0070C0"/>
          <w:sz w:val="16"/>
          <w:szCs w:val="16"/>
        </w:rPr>
        <w:t>Миллионер, актёр и авиатор Говард Хьюз (Howard Hughes) во время съёмок фильма «Ангелы ада» (Hell's Angels) познакомился с авиационным инженером Гленном Одекирком (Glenn Odekirk). В 1932 году они основали компанию Hughes Aircraft. Первым её проектом стал гоночный самолёт H-1 Racer, работы над которым начались в 1934 году.</w:t>
      </w:r>
    </w:p>
    <w:p w14:paraId="1FD20B31" w14:textId="77777777" w:rsidR="00620D3C" w:rsidRPr="00E14102" w:rsidRDefault="00620D3C" w:rsidP="00E14102">
      <w:pPr>
        <w:jc w:val="both"/>
        <w:rPr>
          <w:color w:val="0070C0"/>
          <w:sz w:val="16"/>
          <w:szCs w:val="16"/>
        </w:rPr>
      </w:pPr>
      <w:r w:rsidRPr="00E14102">
        <w:rPr>
          <w:color w:val="0070C0"/>
          <w:sz w:val="16"/>
          <w:szCs w:val="16"/>
        </w:rPr>
        <w:t>H-1 представлял собой аэродинамически чистый низкоплан с убираемым шасси. Оснащался двигателем Pratt &amp; Whitney R-1535 (700 л.с.) Максимальная скорость — 567 км/ч.</w:t>
      </w:r>
    </w:p>
    <w:p w14:paraId="58041404" w14:textId="77777777" w:rsidR="00620D3C" w:rsidRPr="00E14102" w:rsidRDefault="00620D3C" w:rsidP="00E14102">
      <w:pPr>
        <w:jc w:val="both"/>
        <w:rPr>
          <w:color w:val="0070C0"/>
          <w:sz w:val="16"/>
          <w:szCs w:val="16"/>
        </w:rPr>
      </w:pPr>
      <w:r w:rsidRPr="00E14102">
        <w:rPr>
          <w:color w:val="0070C0"/>
          <w:sz w:val="16"/>
          <w:szCs w:val="16"/>
        </w:rPr>
        <w:t>В первом же полёте H-1, пилотируемый самим Хьюзом, совершил аварийную посадку после остановки двигателя. Но перед этим успел побить мировой рекорд скорости. Самолёт восстановили и он установил ещё несколько рекордов, в том числе и трансконтинентального перелёта. С 1975 года H-1 Racer находится в Национальном музее воздухоплавания и астронавтики. Были построены реплики самолёта — как статические, так и летающая (22300).</w:t>
      </w:r>
    </w:p>
    <w:p w14:paraId="2F80C6A7" w14:textId="77777777" w:rsidR="00620D3C" w:rsidRPr="00E14102" w:rsidRDefault="00620D3C" w:rsidP="00E14102">
      <w:pPr>
        <w:jc w:val="both"/>
        <w:rPr>
          <w:color w:val="0070C0"/>
          <w:sz w:val="16"/>
          <w:szCs w:val="16"/>
        </w:rPr>
      </w:pPr>
    </w:p>
    <w:p w14:paraId="1B10F1B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415EB25" w14:textId="77777777" w:rsidR="00D4105E" w:rsidRPr="00E14102" w:rsidRDefault="00D4105E" w:rsidP="00E14102">
      <w:pPr>
        <w:autoSpaceDE w:val="0"/>
        <w:autoSpaceDN w:val="0"/>
        <w:adjustRightInd w:val="0"/>
        <w:jc w:val="both"/>
        <w:rPr>
          <w:iCs/>
          <w:color w:val="000000" w:themeColor="text1"/>
          <w:sz w:val="16"/>
          <w:szCs w:val="16"/>
        </w:rPr>
      </w:pPr>
    </w:p>
    <w:p w14:paraId="07EAD9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сентября 1935 Галдин от 1 отд. 4 отдела УВВС писал письмо N 41/02191 Дир. завода 1 и Ст. военпреду на заводе, а т. в самолетный отдел ГУАП:</w:t>
      </w:r>
    </w:p>
    <w:p w14:paraId="57A08B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сем сопровождается Вам заключение по эскизному проекту Р-9 постройки завода 1 и акт утверждения боевой схемы." (2336,155).</w:t>
      </w:r>
    </w:p>
    <w:p w14:paraId="45140CAE" w14:textId="77777777" w:rsidR="00D4105E" w:rsidRPr="00E14102" w:rsidRDefault="00D4105E" w:rsidP="00E14102">
      <w:pPr>
        <w:autoSpaceDE w:val="0"/>
        <w:autoSpaceDN w:val="0"/>
        <w:adjustRightInd w:val="0"/>
        <w:jc w:val="both"/>
        <w:rPr>
          <w:color w:val="000000" w:themeColor="text1"/>
          <w:sz w:val="16"/>
          <w:szCs w:val="16"/>
        </w:rPr>
      </w:pPr>
    </w:p>
    <w:p w14:paraId="2D3759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сентября 1935 года Начальник и военком НИИ ВВС Бажанов утвердил Отчет по эксплуатационным испытаниям самолета ИП1 РЦ Ф3</w:t>
      </w:r>
    </w:p>
    <w:p w14:paraId="3F83EC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4307FC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Инженер-летчик – Федрови</w:t>
      </w:r>
    </w:p>
    <w:p w14:paraId="24699E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02F94EB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выносливость конструкции самолета во время летной эксплуатации.</w:t>
      </w:r>
    </w:p>
    <w:p w14:paraId="314D32E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живучесть отдельных частей самолета при стрельбе в воздухе из установленных на нем орудий АПК-4М.</w:t>
      </w:r>
    </w:p>
    <w:p w14:paraId="79A65D6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Установить работу дифференциального управления элеронами и определить посадочные скорости при нормальном и опущенном положении элеронов.</w:t>
      </w:r>
    </w:p>
    <w:p w14:paraId="7E5AEE1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прочность деталей и выносливость шасси в целом во время эксплуатации.</w:t>
      </w:r>
    </w:p>
    <w:p w14:paraId="016D044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Испытать работу подъемного механизма, а также подъем и опускание шасси в воздухе.</w:t>
      </w:r>
    </w:p>
    <w:p w14:paraId="4E4A17D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надежность сигнализации подъема шасси.</w:t>
      </w:r>
    </w:p>
    <w:p w14:paraId="0B81A3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ИП1 проходил испытания по определению летно-тактических данных в феврале 1935 года, полного комплекса испытаний самолета проведено не было.</w:t>
      </w:r>
    </w:p>
    <w:p w14:paraId="076CDE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6AB176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могут быть рекомендованы для установки на серийных самолетах ИП1 М25.</w:t>
      </w:r>
    </w:p>
    <w:p w14:paraId="1CAD196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Отклонение элеронов в 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37B4D97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3006870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Капоты винтомоторной группы требуют доработки как с аэродинамической стороны так и эксплуатационной и для серийных самолетов ИП1 М25 идущих в строевые части негодны.</w:t>
      </w:r>
    </w:p>
    <w:p w14:paraId="05774CF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Испытываемый самолет ИП1 РЦФ3 для испытаний вооружения и живучести оперения от стрельбы из АПК 4М ввиду значительных разрушений и деформаций без капитального ремонта и устранения выявленных недостатков допустить невозможно.</w:t>
      </w:r>
    </w:p>
    <w:p w14:paraId="4CCFB0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6"/>
        <w:gridCol w:w="6881"/>
        <w:gridCol w:w="992"/>
        <w:gridCol w:w="992"/>
      </w:tblGrid>
      <w:tr w:rsidR="00E3599D" w:rsidRPr="00E14102" w14:paraId="3102A87A" w14:textId="77777777">
        <w:tc>
          <w:tcPr>
            <w:tcW w:w="2016" w:type="dxa"/>
            <w:tcBorders>
              <w:top w:val="single" w:sz="12" w:space="0" w:color="auto"/>
            </w:tcBorders>
          </w:tcPr>
          <w:p w14:paraId="56A8E3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Дата</w:t>
            </w:r>
          </w:p>
        </w:tc>
        <w:tc>
          <w:tcPr>
            <w:tcW w:w="6881" w:type="dxa"/>
            <w:tcBorders>
              <w:top w:val="single" w:sz="12" w:space="0" w:color="auto"/>
            </w:tcBorders>
          </w:tcPr>
          <w:p w14:paraId="28215A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Проводимые работы</w:t>
            </w:r>
          </w:p>
        </w:tc>
        <w:tc>
          <w:tcPr>
            <w:tcW w:w="992" w:type="dxa"/>
            <w:tcBorders>
              <w:top w:val="single" w:sz="12" w:space="0" w:color="auto"/>
            </w:tcBorders>
          </w:tcPr>
          <w:p w14:paraId="2291DA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Кол-во полетов</w:t>
            </w:r>
          </w:p>
          <w:p w14:paraId="507CC4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подъемом шасси</w:t>
            </w:r>
          </w:p>
        </w:tc>
        <w:tc>
          <w:tcPr>
            <w:tcW w:w="992" w:type="dxa"/>
            <w:tcBorders>
              <w:top w:val="single" w:sz="12" w:space="0" w:color="auto"/>
            </w:tcBorders>
          </w:tcPr>
          <w:p w14:paraId="5D8777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Кол-во полетов без подъема шасси</w:t>
            </w:r>
          </w:p>
        </w:tc>
      </w:tr>
      <w:tr w:rsidR="00E3599D" w:rsidRPr="00E14102" w14:paraId="04F4D7F5" w14:textId="77777777">
        <w:tc>
          <w:tcPr>
            <w:tcW w:w="2016" w:type="dxa"/>
          </w:tcPr>
          <w:p w14:paraId="4E0630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 августа 1935 г.</w:t>
            </w:r>
          </w:p>
        </w:tc>
        <w:tc>
          <w:tcPr>
            <w:tcW w:w="6881" w:type="dxa"/>
          </w:tcPr>
          <w:p w14:paraId="5E6C6E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Приемка самолета на гос. испытания и полеты на испытание шасси.</w:t>
            </w:r>
          </w:p>
        </w:tc>
        <w:tc>
          <w:tcPr>
            <w:tcW w:w="992" w:type="dxa"/>
          </w:tcPr>
          <w:p w14:paraId="00D72F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w:t>
            </w:r>
          </w:p>
        </w:tc>
        <w:tc>
          <w:tcPr>
            <w:tcW w:w="992" w:type="dxa"/>
          </w:tcPr>
          <w:p w14:paraId="5A4786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w:t>
            </w:r>
          </w:p>
        </w:tc>
      </w:tr>
      <w:tr w:rsidR="00E3599D" w:rsidRPr="00E14102" w14:paraId="62C5473B" w14:textId="77777777">
        <w:tc>
          <w:tcPr>
            <w:tcW w:w="2016" w:type="dxa"/>
          </w:tcPr>
          <w:p w14:paraId="400D87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августа 1935 г.</w:t>
            </w:r>
          </w:p>
        </w:tc>
        <w:tc>
          <w:tcPr>
            <w:tcW w:w="6881" w:type="dxa"/>
          </w:tcPr>
          <w:p w14:paraId="6205CE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и определение посадочных скоростей.</w:t>
            </w:r>
          </w:p>
        </w:tc>
        <w:tc>
          <w:tcPr>
            <w:tcW w:w="992" w:type="dxa"/>
          </w:tcPr>
          <w:p w14:paraId="13D043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992" w:type="dxa"/>
          </w:tcPr>
          <w:p w14:paraId="37A8D3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w:t>
            </w:r>
          </w:p>
        </w:tc>
      </w:tr>
      <w:tr w:rsidR="00E3599D" w:rsidRPr="00E14102" w14:paraId="4C661C31" w14:textId="77777777">
        <w:tc>
          <w:tcPr>
            <w:tcW w:w="2016" w:type="dxa"/>
          </w:tcPr>
          <w:p w14:paraId="454A9B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августа 1935 г.</w:t>
            </w:r>
          </w:p>
        </w:tc>
        <w:tc>
          <w:tcPr>
            <w:tcW w:w="6881" w:type="dxa"/>
          </w:tcPr>
          <w:p w14:paraId="5A4884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подъемного механизма у прицела живучести конструкции.</w:t>
            </w:r>
          </w:p>
        </w:tc>
        <w:tc>
          <w:tcPr>
            <w:tcW w:w="992" w:type="dxa"/>
          </w:tcPr>
          <w:p w14:paraId="2B15F1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992" w:type="dxa"/>
          </w:tcPr>
          <w:p w14:paraId="03EA3E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w:t>
            </w:r>
          </w:p>
        </w:tc>
      </w:tr>
      <w:tr w:rsidR="00E3599D" w:rsidRPr="00E14102" w14:paraId="573FD701" w14:textId="77777777">
        <w:tc>
          <w:tcPr>
            <w:tcW w:w="2016" w:type="dxa"/>
          </w:tcPr>
          <w:p w14:paraId="045471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9 августа 1935 г. </w:t>
            </w:r>
          </w:p>
        </w:tc>
        <w:tc>
          <w:tcPr>
            <w:tcW w:w="6881" w:type="dxa"/>
          </w:tcPr>
          <w:p w14:paraId="36900C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Перегонка самолета на завод.</w:t>
            </w:r>
          </w:p>
        </w:tc>
        <w:tc>
          <w:tcPr>
            <w:tcW w:w="992" w:type="dxa"/>
          </w:tcPr>
          <w:p w14:paraId="4F2D59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92" w:type="dxa"/>
          </w:tcPr>
          <w:p w14:paraId="19D9E55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2A04B44" w14:textId="77777777">
        <w:tc>
          <w:tcPr>
            <w:tcW w:w="2016" w:type="dxa"/>
          </w:tcPr>
          <w:p w14:paraId="472815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августа 1935 г.</w:t>
            </w:r>
          </w:p>
        </w:tc>
        <w:tc>
          <w:tcPr>
            <w:tcW w:w="6881" w:type="dxa"/>
          </w:tcPr>
          <w:p w14:paraId="67BF96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Перегонка самолета с завода и полеты на испытание шасси, винтомоторной группы прицела и живучести осмотр и зарядка самолета.</w:t>
            </w:r>
          </w:p>
        </w:tc>
        <w:tc>
          <w:tcPr>
            <w:tcW w:w="992" w:type="dxa"/>
          </w:tcPr>
          <w:p w14:paraId="3BEBCB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992" w:type="dxa"/>
          </w:tcPr>
          <w:p w14:paraId="5FED033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A8ACA90" w14:textId="77777777">
        <w:tc>
          <w:tcPr>
            <w:tcW w:w="2016" w:type="dxa"/>
          </w:tcPr>
          <w:p w14:paraId="7A7428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августа 1935 г.</w:t>
            </w:r>
          </w:p>
        </w:tc>
        <w:tc>
          <w:tcPr>
            <w:tcW w:w="6881" w:type="dxa"/>
          </w:tcPr>
          <w:p w14:paraId="554B23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винтомоторной группы, шасси и живучести конструкции.</w:t>
            </w:r>
          </w:p>
        </w:tc>
        <w:tc>
          <w:tcPr>
            <w:tcW w:w="992" w:type="dxa"/>
          </w:tcPr>
          <w:p w14:paraId="3EA9BD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992" w:type="dxa"/>
          </w:tcPr>
          <w:p w14:paraId="10E70A8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EB9F8C7" w14:textId="77777777">
        <w:tc>
          <w:tcPr>
            <w:tcW w:w="2016" w:type="dxa"/>
          </w:tcPr>
          <w:p w14:paraId="0989A5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августа 1935 г.</w:t>
            </w:r>
          </w:p>
        </w:tc>
        <w:tc>
          <w:tcPr>
            <w:tcW w:w="6881" w:type="dxa"/>
          </w:tcPr>
          <w:p w14:paraId="00A563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винтомоторной группы, шасси.</w:t>
            </w:r>
          </w:p>
        </w:tc>
        <w:tc>
          <w:tcPr>
            <w:tcW w:w="992" w:type="dxa"/>
          </w:tcPr>
          <w:p w14:paraId="63DA3E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992" w:type="dxa"/>
          </w:tcPr>
          <w:p w14:paraId="469C216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F7FA4BD" w14:textId="77777777">
        <w:tc>
          <w:tcPr>
            <w:tcW w:w="2016" w:type="dxa"/>
          </w:tcPr>
          <w:p w14:paraId="6F89E9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августа 1935 г.</w:t>
            </w:r>
          </w:p>
        </w:tc>
        <w:tc>
          <w:tcPr>
            <w:tcW w:w="6881" w:type="dxa"/>
          </w:tcPr>
          <w:p w14:paraId="18CABD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полетов на испытание прицела с фотострелками, 24 полета на испытание шасси и подъемного механизма и живучести конструкции.</w:t>
            </w:r>
          </w:p>
        </w:tc>
        <w:tc>
          <w:tcPr>
            <w:tcW w:w="992" w:type="dxa"/>
          </w:tcPr>
          <w:p w14:paraId="34DE39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992" w:type="dxa"/>
          </w:tcPr>
          <w:p w14:paraId="4C4934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r>
      <w:tr w:rsidR="00E3599D" w:rsidRPr="00E14102" w14:paraId="331A886A" w14:textId="77777777">
        <w:tc>
          <w:tcPr>
            <w:tcW w:w="2016" w:type="dxa"/>
          </w:tcPr>
          <w:p w14:paraId="4EDFB5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августа 1935 г.</w:t>
            </w:r>
          </w:p>
        </w:tc>
        <w:tc>
          <w:tcPr>
            <w:tcW w:w="6881" w:type="dxa"/>
          </w:tcPr>
          <w:p w14:paraId="7736B3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винтомоторной группы, шасси и подъемного механизма. Полеты на стрельбу из АПК и испытание живучести.</w:t>
            </w:r>
          </w:p>
        </w:tc>
        <w:tc>
          <w:tcPr>
            <w:tcW w:w="992" w:type="dxa"/>
          </w:tcPr>
          <w:p w14:paraId="0898BB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p w14:paraId="666CAF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992" w:type="dxa"/>
          </w:tcPr>
          <w:p w14:paraId="729AAE3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399709F" w14:textId="77777777">
        <w:tc>
          <w:tcPr>
            <w:tcW w:w="2016" w:type="dxa"/>
          </w:tcPr>
          <w:p w14:paraId="1BF01D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августа 1935 г.</w:t>
            </w:r>
          </w:p>
        </w:tc>
        <w:tc>
          <w:tcPr>
            <w:tcW w:w="6881" w:type="dxa"/>
          </w:tcPr>
          <w:p w14:paraId="65B807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w:t>
            </w:r>
          </w:p>
        </w:tc>
        <w:tc>
          <w:tcPr>
            <w:tcW w:w="992" w:type="dxa"/>
          </w:tcPr>
          <w:p w14:paraId="5FF639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992" w:type="dxa"/>
          </w:tcPr>
          <w:p w14:paraId="03FB87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r>
      <w:tr w:rsidR="00E3599D" w:rsidRPr="00E14102" w14:paraId="7FB6FB0F" w14:textId="77777777">
        <w:tc>
          <w:tcPr>
            <w:tcW w:w="2016" w:type="dxa"/>
          </w:tcPr>
          <w:p w14:paraId="10827D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августа 1935 г.</w:t>
            </w:r>
          </w:p>
        </w:tc>
        <w:tc>
          <w:tcPr>
            <w:tcW w:w="6881" w:type="dxa"/>
          </w:tcPr>
          <w:p w14:paraId="791357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стрельбу – 1. Полеты на испытание шасси – 24.</w:t>
            </w:r>
          </w:p>
        </w:tc>
        <w:tc>
          <w:tcPr>
            <w:tcW w:w="992" w:type="dxa"/>
          </w:tcPr>
          <w:p w14:paraId="761688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992" w:type="dxa"/>
          </w:tcPr>
          <w:p w14:paraId="597885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r>
      <w:tr w:rsidR="00E3599D" w:rsidRPr="00E14102" w14:paraId="7586528A" w14:textId="77777777">
        <w:tc>
          <w:tcPr>
            <w:tcW w:w="2016" w:type="dxa"/>
          </w:tcPr>
          <w:p w14:paraId="29CA7B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августа 1935 г.</w:t>
            </w:r>
          </w:p>
        </w:tc>
        <w:tc>
          <w:tcPr>
            <w:tcW w:w="6881" w:type="dxa"/>
          </w:tcPr>
          <w:p w14:paraId="57EF58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Перегонка самолета на завод.</w:t>
            </w:r>
          </w:p>
        </w:tc>
        <w:tc>
          <w:tcPr>
            <w:tcW w:w="992" w:type="dxa"/>
          </w:tcPr>
          <w:p w14:paraId="141E34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992" w:type="dxa"/>
          </w:tcPr>
          <w:p w14:paraId="65BF435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CEE3563" w14:textId="77777777">
        <w:tc>
          <w:tcPr>
            <w:tcW w:w="2016" w:type="dxa"/>
          </w:tcPr>
          <w:p w14:paraId="3D1969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27 августа 1935 г.</w:t>
            </w:r>
          </w:p>
        </w:tc>
        <w:tc>
          <w:tcPr>
            <w:tcW w:w="6881" w:type="dxa"/>
          </w:tcPr>
          <w:p w14:paraId="12EB66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Перелет в Щелково и полеты на испытание шасси.</w:t>
            </w:r>
          </w:p>
        </w:tc>
        <w:tc>
          <w:tcPr>
            <w:tcW w:w="992" w:type="dxa"/>
          </w:tcPr>
          <w:p w14:paraId="6BD5AC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w:t>
            </w:r>
          </w:p>
        </w:tc>
        <w:tc>
          <w:tcPr>
            <w:tcW w:w="992" w:type="dxa"/>
          </w:tcPr>
          <w:p w14:paraId="7F39869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8E2479C" w14:textId="77777777">
        <w:tc>
          <w:tcPr>
            <w:tcW w:w="2016" w:type="dxa"/>
          </w:tcPr>
          <w:p w14:paraId="3982F6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августа 1935 г.</w:t>
            </w:r>
          </w:p>
        </w:tc>
        <w:tc>
          <w:tcPr>
            <w:tcW w:w="6881" w:type="dxa"/>
          </w:tcPr>
          <w:p w14:paraId="703D16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и подъемного механизма.</w:t>
            </w:r>
          </w:p>
        </w:tc>
        <w:tc>
          <w:tcPr>
            <w:tcW w:w="992" w:type="dxa"/>
          </w:tcPr>
          <w:p w14:paraId="7291F8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992" w:type="dxa"/>
          </w:tcPr>
          <w:p w14:paraId="64E74F8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3D58969" w14:textId="77777777">
        <w:tc>
          <w:tcPr>
            <w:tcW w:w="2016" w:type="dxa"/>
          </w:tcPr>
          <w:p w14:paraId="3BE1D8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августа 1935 г.</w:t>
            </w:r>
          </w:p>
        </w:tc>
        <w:tc>
          <w:tcPr>
            <w:tcW w:w="6881" w:type="dxa"/>
          </w:tcPr>
          <w:p w14:paraId="622F32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испытание шасси и подъемного механизма. Вынужденная посадка на аэродроме из-за отказа мотора.</w:t>
            </w:r>
          </w:p>
        </w:tc>
        <w:tc>
          <w:tcPr>
            <w:tcW w:w="992" w:type="dxa"/>
          </w:tcPr>
          <w:p w14:paraId="47B157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47</w:t>
            </w:r>
          </w:p>
        </w:tc>
        <w:tc>
          <w:tcPr>
            <w:tcW w:w="992" w:type="dxa"/>
          </w:tcPr>
          <w:p w14:paraId="798524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r>
      <w:tr w:rsidR="00E3599D" w:rsidRPr="00E14102" w14:paraId="777140C1" w14:textId="77777777">
        <w:tc>
          <w:tcPr>
            <w:tcW w:w="2016" w:type="dxa"/>
            <w:tcBorders>
              <w:bottom w:val="single" w:sz="12" w:space="0" w:color="auto"/>
            </w:tcBorders>
          </w:tcPr>
          <w:p w14:paraId="320525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6881" w:type="dxa"/>
            <w:tcBorders>
              <w:bottom w:val="single" w:sz="12" w:space="0" w:color="auto"/>
            </w:tcBorders>
          </w:tcPr>
          <w:p w14:paraId="0A6AA456"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Borders>
              <w:bottom w:val="single" w:sz="12" w:space="0" w:color="auto"/>
            </w:tcBorders>
          </w:tcPr>
          <w:p w14:paraId="382F37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263</w:t>
            </w:r>
          </w:p>
        </w:tc>
        <w:tc>
          <w:tcPr>
            <w:tcW w:w="992" w:type="dxa"/>
            <w:tcBorders>
              <w:bottom w:val="single" w:sz="12" w:space="0" w:color="auto"/>
            </w:tcBorders>
          </w:tcPr>
          <w:p w14:paraId="066F50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81</w:t>
            </w:r>
          </w:p>
        </w:tc>
      </w:tr>
    </w:tbl>
    <w:p w14:paraId="4ECE13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Испытания закончены.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6"/>
        <w:gridCol w:w="6881"/>
        <w:gridCol w:w="992"/>
        <w:gridCol w:w="992"/>
      </w:tblGrid>
      <w:tr w:rsidR="00E3599D" w:rsidRPr="00E14102" w14:paraId="6CAA2A82" w14:textId="77777777">
        <w:tc>
          <w:tcPr>
            <w:tcW w:w="2016" w:type="dxa"/>
            <w:tcBorders>
              <w:top w:val="single" w:sz="12" w:space="0" w:color="auto"/>
            </w:tcBorders>
          </w:tcPr>
          <w:p w14:paraId="52D53B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сентября 1935 г.</w:t>
            </w:r>
          </w:p>
        </w:tc>
        <w:tc>
          <w:tcPr>
            <w:tcW w:w="6881" w:type="dxa"/>
            <w:tcBorders>
              <w:top w:val="single" w:sz="12" w:space="0" w:color="auto"/>
            </w:tcBorders>
          </w:tcPr>
          <w:p w14:paraId="5963CF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пробу мотора.</w:t>
            </w:r>
          </w:p>
        </w:tc>
        <w:tc>
          <w:tcPr>
            <w:tcW w:w="992" w:type="dxa"/>
            <w:tcBorders>
              <w:top w:val="single" w:sz="12" w:space="0" w:color="auto"/>
            </w:tcBorders>
          </w:tcPr>
          <w:p w14:paraId="65102240"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Borders>
              <w:top w:val="single" w:sz="12" w:space="0" w:color="auto"/>
            </w:tcBorders>
          </w:tcPr>
          <w:p w14:paraId="36FEEB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r>
      <w:tr w:rsidR="00E3599D" w:rsidRPr="00E14102" w14:paraId="07AF3179" w14:textId="77777777">
        <w:tc>
          <w:tcPr>
            <w:tcW w:w="2016" w:type="dxa"/>
          </w:tcPr>
          <w:p w14:paraId="572DBF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сентября 1935 г.</w:t>
            </w:r>
          </w:p>
        </w:tc>
        <w:tc>
          <w:tcPr>
            <w:tcW w:w="6881" w:type="dxa"/>
          </w:tcPr>
          <w:p w14:paraId="110B13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тарировку показателя скорости и перегонка на завод.</w:t>
            </w:r>
          </w:p>
        </w:tc>
        <w:tc>
          <w:tcPr>
            <w:tcW w:w="992" w:type="dxa"/>
          </w:tcPr>
          <w:p w14:paraId="7103C1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992" w:type="dxa"/>
          </w:tcPr>
          <w:p w14:paraId="3821E7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81</w:t>
            </w:r>
          </w:p>
        </w:tc>
      </w:tr>
      <w:tr w:rsidR="00E3599D" w:rsidRPr="00E14102" w14:paraId="4E0C5090" w14:textId="77777777">
        <w:tc>
          <w:tcPr>
            <w:tcW w:w="2016" w:type="dxa"/>
            <w:tcBorders>
              <w:bottom w:val="single" w:sz="12" w:space="0" w:color="auto"/>
            </w:tcBorders>
          </w:tcPr>
          <w:p w14:paraId="6709AD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6881" w:type="dxa"/>
            <w:tcBorders>
              <w:bottom w:val="single" w:sz="12" w:space="0" w:color="auto"/>
            </w:tcBorders>
          </w:tcPr>
          <w:p w14:paraId="794A1B3E"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Borders>
              <w:bottom w:val="single" w:sz="12" w:space="0" w:color="auto"/>
            </w:tcBorders>
          </w:tcPr>
          <w:p w14:paraId="2B0403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265</w:t>
            </w:r>
          </w:p>
        </w:tc>
        <w:tc>
          <w:tcPr>
            <w:tcW w:w="992" w:type="dxa"/>
            <w:tcBorders>
              <w:bottom w:val="single" w:sz="12" w:space="0" w:color="auto"/>
            </w:tcBorders>
          </w:tcPr>
          <w:p w14:paraId="53FA8D51" w14:textId="77777777" w:rsidR="00D4105E" w:rsidRPr="00E14102" w:rsidRDefault="00D4105E" w:rsidP="00E14102">
            <w:pPr>
              <w:autoSpaceDE w:val="0"/>
              <w:autoSpaceDN w:val="0"/>
              <w:adjustRightInd w:val="0"/>
              <w:jc w:val="both"/>
              <w:rPr>
                <w:color w:val="000000" w:themeColor="text1"/>
                <w:sz w:val="16"/>
                <w:szCs w:val="16"/>
              </w:rPr>
            </w:pPr>
          </w:p>
        </w:tc>
      </w:tr>
    </w:tbl>
    <w:p w14:paraId="497B92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сентября самолет перегнан на завод для капитального ремонта.</w:t>
      </w:r>
    </w:p>
    <w:p w14:paraId="24C28B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ИП1 состоял на испытании с 4 по 29 августа.</w:t>
      </w:r>
    </w:p>
    <w:p w14:paraId="567D62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Летные испытания – 13 дней.</w:t>
      </w:r>
    </w:p>
    <w:p w14:paraId="232942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 испытания вооружения прерваны из-за несоответствия прочности оперения.</w:t>
      </w:r>
    </w:p>
    <w:p w14:paraId="00F1DE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летных испытаний было проведено:</w:t>
      </w:r>
    </w:p>
    <w:p w14:paraId="59E30B1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определение посадочных скоростей – 17 полетов</w:t>
      </w:r>
    </w:p>
    <w:p w14:paraId="762DB4F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прицела – 20 полетов</w:t>
      </w:r>
    </w:p>
    <w:p w14:paraId="528563B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винтомоторной группы – 7 полетов</w:t>
      </w:r>
    </w:p>
    <w:p w14:paraId="624E5B0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шасси – 344 полета</w:t>
      </w:r>
    </w:p>
    <w:p w14:paraId="73074B0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подъемного механизма – 263 полета</w:t>
      </w:r>
    </w:p>
    <w:p w14:paraId="79D60E7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испытание вооружения – 3 полета</w:t>
      </w:r>
    </w:p>
    <w:p w14:paraId="23F559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Живучесть самолета определялась в периоды зимних и летних испытаний, всего на самолете произведено 382 полета с 43 часов налета при испытании в НИИ ВВС и 64 полета с 21 часом налета при заводских испытаниях.</w:t>
      </w:r>
    </w:p>
    <w:p w14:paraId="16878E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Общая работа самолета:</w:t>
      </w:r>
    </w:p>
    <w:p w14:paraId="6967F2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444 полетов</w:t>
      </w:r>
    </w:p>
    <w:p w14:paraId="53C48C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64 часа работы мотора в воздухе</w:t>
      </w:r>
    </w:p>
    <w:p w14:paraId="365DB6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часов работы мотора на земле (3968).</w:t>
      </w:r>
    </w:p>
    <w:p w14:paraId="443FB9D4" w14:textId="77777777" w:rsidR="00D4105E" w:rsidRPr="00E14102" w:rsidRDefault="00D4105E" w:rsidP="00E14102">
      <w:pPr>
        <w:autoSpaceDE w:val="0"/>
        <w:autoSpaceDN w:val="0"/>
        <w:adjustRightInd w:val="0"/>
        <w:jc w:val="both"/>
        <w:rPr>
          <w:color w:val="000000" w:themeColor="text1"/>
          <w:sz w:val="16"/>
          <w:szCs w:val="16"/>
        </w:rPr>
      </w:pPr>
    </w:p>
    <w:p w14:paraId="5BC8CD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сентября 1935 года начальник и военком НИИ ВС Бажанов утвердил Отчет об эксплуатационным испытаниям самолета ИП1 РЦ Ф3</w:t>
      </w:r>
    </w:p>
    <w:p w14:paraId="416EB6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исполнитель Федрови</w:t>
      </w:r>
    </w:p>
    <w:p w14:paraId="4F48EE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3BFCF46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выносливость конструкции самолета во время летной эксплуатации.</w:t>
      </w:r>
    </w:p>
    <w:p w14:paraId="7239D2E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живучесть отдельных частей самолета при стрельбе в воздухе из установленных на нем орудий АПК-4М.</w:t>
      </w:r>
    </w:p>
    <w:p w14:paraId="2F5D224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Установить работу дифференциального управления элеронами и определить посадочные скорости при нормальном и упрощенном положении элеронов.</w:t>
      </w:r>
    </w:p>
    <w:p w14:paraId="22F85AA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прочность деталей и выносливости шасси в целом во время эксплуатации.</w:t>
      </w:r>
    </w:p>
    <w:p w14:paraId="2CBA8B3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Испытать работу подъемного механизма, а также подъем и опускание шасси в воздухе.</w:t>
      </w:r>
    </w:p>
    <w:p w14:paraId="0B7C837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Определить надежность сигнализации подъема шасси.</w:t>
      </w:r>
    </w:p>
    <w:p w14:paraId="42CB6F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Ип1 проходил испытания по определению летно-тактических данных в феврале 1935 года. Полного комплекса испытаний самолета проведено не было последующим причинам:</w:t>
      </w:r>
    </w:p>
    <w:p w14:paraId="1183447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Вооружение самолета не было подготовлено к испытаниям.</w:t>
      </w:r>
    </w:p>
    <w:p w14:paraId="73E69E0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Прочность обшивки оперения не была выявлена при заводских испытаниях стрельбой из АПК-4М.</w:t>
      </w:r>
    </w:p>
    <w:p w14:paraId="7149B56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результате двух посадок самолета на не опущенное шасси самолет требовал заводского просмотра и ремонта.</w:t>
      </w:r>
    </w:p>
    <w:p w14:paraId="33C228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августа 1935 года военное представительство завода № 1 передало самолет НИИ ВС для продолжения испытаний.</w:t>
      </w:r>
    </w:p>
    <w:p w14:paraId="3A86AA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B46CF8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рекомендовано для установки на серийных самолетах ИП1 М25.</w:t>
      </w:r>
    </w:p>
    <w:p w14:paraId="46954E2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Отклонение элеронов ввиду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68E3362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6FA090A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Капоты винтомоторной группы требуют доработки как аэродинамической стороны, так и эксплуатационной и для серийных самолетов ИП1 М25 идущих в строевые части негодны.</w:t>
      </w:r>
    </w:p>
    <w:p w14:paraId="7DD9B8B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Испытываемый самолет ИП1 РЦФ3 для испытаний вооружения и живучести оперения от стрельбы при АПК 4М ввиду значительных разрушений и деформации без капитального ремонта и устранения выявленных недостатков допустить невозможно (7817).</w:t>
      </w:r>
    </w:p>
    <w:p w14:paraId="248F6BB1"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2D2335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сентября 1935 года второй МДР4-3М34Р морской дальний разведчик поступил на заводские испытания после доработок и 23 сентября самолет потерпел аварию (3475,103).</w:t>
      </w:r>
    </w:p>
    <w:p w14:paraId="3AD5A9C9" w14:textId="77777777" w:rsidR="00D4105E" w:rsidRPr="00E14102" w:rsidRDefault="00D4105E" w:rsidP="00E14102">
      <w:pPr>
        <w:autoSpaceDE w:val="0"/>
        <w:autoSpaceDN w:val="0"/>
        <w:adjustRightInd w:val="0"/>
        <w:jc w:val="both"/>
        <w:rPr>
          <w:color w:val="000000" w:themeColor="text1"/>
          <w:sz w:val="16"/>
          <w:szCs w:val="16"/>
        </w:rPr>
      </w:pPr>
    </w:p>
    <w:p w14:paraId="31DF69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сентября 1935 Г.Н.Королев писал Я.И.Алкснису, что в исполнение постановления правительства ЦАГИ получает 15 самолетов и просил ангар на ЦА и лучше ангар Ильича (1025,130).</w:t>
      </w:r>
    </w:p>
    <w:p w14:paraId="62E6BE29" w14:textId="77777777" w:rsidR="00D4105E" w:rsidRPr="00E14102" w:rsidRDefault="00D4105E" w:rsidP="00E14102">
      <w:pPr>
        <w:autoSpaceDE w:val="0"/>
        <w:autoSpaceDN w:val="0"/>
        <w:adjustRightInd w:val="0"/>
        <w:jc w:val="both"/>
        <w:rPr>
          <w:color w:val="000000" w:themeColor="text1"/>
          <w:sz w:val="16"/>
          <w:szCs w:val="16"/>
        </w:rPr>
      </w:pPr>
    </w:p>
    <w:p w14:paraId="491A05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сентября 1935 состоялся первый массовый парашютный десант и одновременно сбросили 1200, а в Белорусском округе - 1800 (271,157). 2500 - высадили с 16 орудиями, танками и пулеметами (438,696).</w:t>
      </w:r>
    </w:p>
    <w:p w14:paraId="064B70F0" w14:textId="77777777" w:rsidR="00D4105E" w:rsidRPr="00E14102" w:rsidRDefault="00D4105E" w:rsidP="00E14102">
      <w:pPr>
        <w:autoSpaceDE w:val="0"/>
        <w:autoSpaceDN w:val="0"/>
        <w:adjustRightInd w:val="0"/>
        <w:jc w:val="both"/>
        <w:rPr>
          <w:color w:val="000000" w:themeColor="text1"/>
          <w:sz w:val="16"/>
          <w:szCs w:val="16"/>
        </w:rPr>
      </w:pPr>
    </w:p>
    <w:p w14:paraId="17385F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14 сентября по 1 октября 1935 экипаж ДВ СССР-Н2 сделал 10 полетов на Волочанск: перевезли 93 пассажира, 3590 кг груза и 1290 кг почты. 1-го октября река Дудинка и озера в тундре покрылись льдом. Самолет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68B8B4E4" w14:textId="77777777" w:rsidR="00D4105E" w:rsidRPr="00E14102" w:rsidRDefault="00D4105E" w:rsidP="00E14102">
      <w:pPr>
        <w:autoSpaceDE w:val="0"/>
        <w:autoSpaceDN w:val="0"/>
        <w:adjustRightInd w:val="0"/>
        <w:jc w:val="both"/>
        <w:rPr>
          <w:color w:val="000000" w:themeColor="text1"/>
          <w:sz w:val="16"/>
          <w:szCs w:val="16"/>
        </w:rPr>
      </w:pPr>
    </w:p>
    <w:p w14:paraId="11008B2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CE67E4D" w14:textId="77777777" w:rsidR="00D4105E" w:rsidRPr="00E14102" w:rsidRDefault="00D4105E" w:rsidP="00E14102">
      <w:pPr>
        <w:autoSpaceDE w:val="0"/>
        <w:autoSpaceDN w:val="0"/>
        <w:adjustRightInd w:val="0"/>
        <w:jc w:val="both"/>
        <w:rPr>
          <w:iCs/>
          <w:color w:val="000000" w:themeColor="text1"/>
          <w:sz w:val="16"/>
          <w:szCs w:val="16"/>
        </w:rPr>
      </w:pPr>
    </w:p>
    <w:p w14:paraId="11883F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сентября 1935 Постановлением СНК СССР и ЦК ВКП(б) № 2074 на НКВД возлагалось строительство Угличского и Рыбинского гидроузлов; уже 16 сентября приказом НКВД № 302 назначались: начальником строительства Рыбинского и Угличского гидротехнических узлов - зам. начальника ГУЛАГа Я. Д. Рапопорт с освобождением его от должности начальника Белбалткомбината НКВД (4 декабря приказом НКВД № 806 Белбалткомбинат возглавил помощник начальника ГУЛАГа З. А. Алмазов); главным инженером строительства - инженер С. Я. Жук (по совместительству с занимаемой им должностью главного инженера строительства “Москва-Волга”). 16 сентября началась организация Управления строительства Рыбинского и Угличского гидроузлов (“Волголаг”) (7560).</w:t>
      </w:r>
    </w:p>
    <w:p w14:paraId="3305FC37" w14:textId="77777777" w:rsidR="00D4105E" w:rsidRPr="00E14102" w:rsidRDefault="00D4105E" w:rsidP="00E14102">
      <w:pPr>
        <w:autoSpaceDE w:val="0"/>
        <w:autoSpaceDN w:val="0"/>
        <w:adjustRightInd w:val="0"/>
        <w:jc w:val="both"/>
        <w:rPr>
          <w:color w:val="000000" w:themeColor="text1"/>
          <w:sz w:val="16"/>
          <w:szCs w:val="16"/>
        </w:rPr>
      </w:pPr>
    </w:p>
    <w:p w14:paraId="07A98D0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E94A848" w14:textId="77777777" w:rsidR="00D4105E" w:rsidRPr="00E14102" w:rsidRDefault="00D4105E" w:rsidP="00E14102">
      <w:pPr>
        <w:autoSpaceDE w:val="0"/>
        <w:autoSpaceDN w:val="0"/>
        <w:adjustRightInd w:val="0"/>
        <w:jc w:val="both"/>
        <w:rPr>
          <w:iCs/>
          <w:color w:val="000000" w:themeColor="text1"/>
          <w:sz w:val="16"/>
          <w:szCs w:val="16"/>
        </w:rPr>
      </w:pPr>
    </w:p>
    <w:p w14:paraId="780877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сентября 1935 первые 10 серийных ССС прибыли в расположение 114 (б. 252 фи) в Гомель (7456, 5).</w:t>
      </w:r>
    </w:p>
    <w:p w14:paraId="77F0410F" w14:textId="77777777" w:rsidR="00D4105E" w:rsidRPr="00E14102" w:rsidRDefault="00D4105E" w:rsidP="00E14102">
      <w:pPr>
        <w:autoSpaceDE w:val="0"/>
        <w:autoSpaceDN w:val="0"/>
        <w:adjustRightInd w:val="0"/>
        <w:jc w:val="both"/>
        <w:rPr>
          <w:color w:val="000000" w:themeColor="text1"/>
          <w:sz w:val="16"/>
          <w:szCs w:val="16"/>
        </w:rPr>
      </w:pPr>
    </w:p>
    <w:p w14:paraId="56FCCA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15 сентября 1935 г. десять машин ССС прибыли в расположение 114-й (бывшей 252-й) авиабригады в Гомель. 22 сентября на одном из ССС первым вылетел комбриг А. А. Туржанский.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ШКАСы в крыльях </w:t>
      </w:r>
      <w:r w:rsidRPr="00E14102">
        <w:rPr>
          <w:color w:val="000000" w:themeColor="text1"/>
          <w:sz w:val="16"/>
          <w:szCs w:val="16"/>
        </w:rPr>
        <w:lastRenderedPageBreak/>
        <w:t>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3B0362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0BF758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2B117C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58F169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405C09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25D46303" w14:textId="77777777" w:rsidR="00D4105E" w:rsidRPr="00E14102" w:rsidRDefault="00D4105E" w:rsidP="00E14102">
      <w:pPr>
        <w:autoSpaceDE w:val="0"/>
        <w:autoSpaceDN w:val="0"/>
        <w:adjustRightInd w:val="0"/>
        <w:jc w:val="both"/>
        <w:rPr>
          <w:color w:val="000000" w:themeColor="text1"/>
          <w:sz w:val="16"/>
          <w:szCs w:val="16"/>
        </w:rPr>
      </w:pPr>
    </w:p>
    <w:p w14:paraId="5FE726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сентября 1935 самолет И-17-1 был окончен производством на 39 заводе и выпущен на заводские испытания (2166,181).</w:t>
      </w:r>
    </w:p>
    <w:p w14:paraId="41B94616" w14:textId="77777777" w:rsidR="00D4105E" w:rsidRPr="00E14102" w:rsidRDefault="00D4105E" w:rsidP="00E14102">
      <w:pPr>
        <w:autoSpaceDE w:val="0"/>
        <w:autoSpaceDN w:val="0"/>
        <w:adjustRightInd w:val="0"/>
        <w:jc w:val="both"/>
        <w:rPr>
          <w:color w:val="000000" w:themeColor="text1"/>
          <w:sz w:val="16"/>
          <w:szCs w:val="16"/>
        </w:rPr>
      </w:pPr>
    </w:p>
    <w:p w14:paraId="7BC29F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15 сентября 1935 г. начали испытания ЦКБ-15. По устойчивос</w:t>
      </w:r>
      <w:r w:rsidRPr="00E14102">
        <w:rPr>
          <w:color w:val="000000" w:themeColor="text1"/>
          <w:sz w:val="16"/>
          <w:szCs w:val="16"/>
        </w:rPr>
        <w:softHyphen/>
        <w:t>ти и управляемости И-17 (ЦКБ-15) был лучше И-16. Однако летчикам не нравилась более тесная, по сравне</w:t>
      </w:r>
      <w:r w:rsidRPr="00E14102">
        <w:rPr>
          <w:color w:val="000000" w:themeColor="text1"/>
          <w:sz w:val="16"/>
          <w:szCs w:val="16"/>
        </w:rPr>
        <w:softHyphen/>
        <w:t>нию с И-16, кабина самолета, а также узкая колея шасси. Заводские испытания ЦКБ-15 продолжались недолго. 6 ноября 1935 г., при подготовке к параду самолет потер</w:t>
      </w:r>
      <w:r w:rsidRPr="00E14102">
        <w:rPr>
          <w:color w:val="000000" w:themeColor="text1"/>
          <w:sz w:val="16"/>
          <w:szCs w:val="16"/>
        </w:rPr>
        <w:softHyphen/>
        <w:t>пел серьезную аварию: при посадке у него из-за отказа замка сложилось и было сломано шасси. Машина завали</w:t>
      </w:r>
      <w:r w:rsidRPr="00E14102">
        <w:rPr>
          <w:color w:val="000000" w:themeColor="text1"/>
          <w:sz w:val="16"/>
          <w:szCs w:val="16"/>
        </w:rPr>
        <w:softHyphen/>
        <w:t>лась на крыло, повредив консоль, крыльевые бензобаки в центроплане. ЦКБ-15 вновь вернули на завод. Потребо</w:t>
      </w:r>
      <w:r w:rsidRPr="00E14102">
        <w:rPr>
          <w:color w:val="000000" w:themeColor="text1"/>
          <w:sz w:val="16"/>
          <w:szCs w:val="16"/>
        </w:rPr>
        <w:softHyphen/>
        <w:t>вался серьезный ремонт: пришлось заново делать шасси, консоль крыла, бензобаки. По требованию ВВС ЦКБ-15 решили оснастить убираемыми в полете лыжами. Все это задержало испытания машины, они возобновились лишь 20 марта 1936 г. Большого интереса к нему не было и к концу 1936 г. все испытания были прекращены (10667).</w:t>
      </w:r>
    </w:p>
    <w:p w14:paraId="747A0F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1E001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сентября 1935 года Начальник и военком в/части 1127 утвердил Отчет По гос. испытаниям опытного самолета Э-23 с мотором М-11</w:t>
      </w:r>
    </w:p>
    <w:p w14:paraId="199E18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611F9F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 – Куликов</w:t>
      </w:r>
    </w:p>
    <w:p w14:paraId="153E79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летчик – Ивановский</w:t>
      </w:r>
    </w:p>
    <w:p w14:paraId="18D1D8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4561E1B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Определение летных данных самолета Э-23.</w:t>
      </w:r>
    </w:p>
    <w:p w14:paraId="571E35B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Определение полетно-эксплуатационных свойств самолета для оценки его по конкурсу легких самолетов 1935 года.</w:t>
      </w:r>
    </w:p>
    <w:p w14:paraId="3CFF01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1DEF0D2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основании результатов гос. испытаний самолет Э-23 с мотором М-11 может быть допущен к участию в перелете по конкурсу легких самолетов 1935 года.</w:t>
      </w:r>
    </w:p>
    <w:p w14:paraId="76D9695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окончании перелета самолет Э-23 следует передать в в/ч 1127 для дополнительных испытаний с целью более подробного изучения влияния на полетные свойства самолета закрылков и крыла с двояковыпуклым профилем.</w:t>
      </w:r>
    </w:p>
    <w:p w14:paraId="0DAA06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Э-23 является модификацией самолета У-2 (3981).</w:t>
      </w:r>
    </w:p>
    <w:p w14:paraId="4EC6EC5B" w14:textId="77777777" w:rsidR="00D4105E" w:rsidRPr="00E14102" w:rsidRDefault="00D4105E" w:rsidP="00E14102">
      <w:pPr>
        <w:autoSpaceDE w:val="0"/>
        <w:autoSpaceDN w:val="0"/>
        <w:adjustRightInd w:val="0"/>
        <w:jc w:val="both"/>
        <w:rPr>
          <w:color w:val="000000" w:themeColor="text1"/>
          <w:sz w:val="16"/>
          <w:szCs w:val="16"/>
        </w:rPr>
      </w:pPr>
    </w:p>
    <w:p w14:paraId="406632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сентября 1935 Нач. ГУАП Королев писал письмо N 2039с Нач. УВВС Я.И.Алкснису о том, что ЦАГИ во исполнение постановления Правительства получает 15 самолетов, необходимых для организации летного отряда НИК ЦАГИ. Практическое использование встречает трудности из-за отсутствия у ОЭЛИД ангарных площадей. Просил для ЦАГИ один из ангаров на ЦА, желательно ангара Ильича (2336).</w:t>
      </w:r>
    </w:p>
    <w:p w14:paraId="2BB8CBB4" w14:textId="77777777" w:rsidR="00D4105E" w:rsidRPr="00E14102" w:rsidRDefault="00D4105E" w:rsidP="00E14102">
      <w:pPr>
        <w:autoSpaceDE w:val="0"/>
        <w:autoSpaceDN w:val="0"/>
        <w:adjustRightInd w:val="0"/>
        <w:jc w:val="both"/>
        <w:rPr>
          <w:color w:val="000000" w:themeColor="text1"/>
          <w:sz w:val="16"/>
          <w:szCs w:val="16"/>
        </w:rPr>
      </w:pPr>
    </w:p>
    <w:p w14:paraId="6B6B86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сентября 1935 года прошли испытания пулестойких бензобаков</w:t>
      </w:r>
    </w:p>
    <w:p w14:paraId="170CA7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5B8927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производились с целью проверки вновь разработанного метода крепления защитной оболочки к стенкам баков и возможности замены дефицитного материала – кожи прорезиненным кордом.</w:t>
      </w:r>
    </w:p>
    <w:p w14:paraId="37C33E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Испытаниям подвергались 2 бака от самолета Р-5 и 1 бак от самолета И-15.</w:t>
      </w:r>
    </w:p>
    <w:p w14:paraId="583D14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A386B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Считать возможным допустить баки защищенные с кожей и кордом на гос. испытания (3930).</w:t>
      </w:r>
    </w:p>
    <w:p w14:paraId="2188BED2" w14:textId="77777777" w:rsidR="00D4105E" w:rsidRPr="00E14102" w:rsidRDefault="00D4105E" w:rsidP="00E14102">
      <w:pPr>
        <w:autoSpaceDE w:val="0"/>
        <w:autoSpaceDN w:val="0"/>
        <w:adjustRightInd w:val="0"/>
        <w:jc w:val="both"/>
        <w:rPr>
          <w:color w:val="000000" w:themeColor="text1"/>
          <w:sz w:val="16"/>
          <w:szCs w:val="16"/>
        </w:rPr>
      </w:pPr>
    </w:p>
    <w:p w14:paraId="160D3D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15 сентября по 27 октября 1935 года проходили гос. испытания головного серийного образца, изготовленного заводом N 69, прицела ПВТБ-1 (СП-123).</w:t>
      </w:r>
    </w:p>
    <w:p w14:paraId="14F889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w:t>
      </w:r>
    </w:p>
    <w:p w14:paraId="1DCC70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w:t>
      </w:r>
    </w:p>
    <w:p w14:paraId="4710E3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Выявить качество производственного исполнения головного образца серийного изготовления завода N 69.</w:t>
      </w:r>
    </w:p>
    <w:p w14:paraId="6E0231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Определить возможность и точность бомбометания до высот 5000 м включительно, с оптическим визиром.</w:t>
      </w:r>
    </w:p>
    <w:p w14:paraId="654179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Отметить попутно с испытаниями серийного образца встретившиеся недостатки конструкции.</w:t>
      </w:r>
    </w:p>
    <w:p w14:paraId="1BF07C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3E151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Считать, что головной серийный образец ПВТБ-1 изготовления завода N 69, гос. испытания выдержал при условии обязательного устранения дефектов (3102).</w:t>
      </w:r>
    </w:p>
    <w:p w14:paraId="25FDFD3F" w14:textId="77777777" w:rsidR="00D4105E" w:rsidRPr="00E14102" w:rsidRDefault="00D4105E" w:rsidP="00E14102">
      <w:pPr>
        <w:autoSpaceDE w:val="0"/>
        <w:autoSpaceDN w:val="0"/>
        <w:adjustRightInd w:val="0"/>
        <w:jc w:val="both"/>
        <w:rPr>
          <w:color w:val="000000" w:themeColor="text1"/>
          <w:sz w:val="16"/>
          <w:szCs w:val="16"/>
        </w:rPr>
      </w:pPr>
    </w:p>
    <w:p w14:paraId="1BE91F59" w14:textId="77777777" w:rsidR="00D4105E" w:rsidRPr="00E14102" w:rsidRDefault="004B7965" w:rsidP="00E14102">
      <w:pPr>
        <w:autoSpaceDE w:val="0"/>
        <w:autoSpaceDN w:val="0"/>
        <w:adjustRightInd w:val="0"/>
        <w:jc w:val="both"/>
        <w:rPr>
          <w:iCs/>
          <w:color w:val="000000" w:themeColor="text1"/>
          <w:sz w:val="16"/>
          <w:szCs w:val="16"/>
          <w:lang w:val="en-US"/>
        </w:rPr>
      </w:pPr>
      <w:r w:rsidRPr="00E14102">
        <w:rPr>
          <w:i/>
          <w:iCs/>
          <w:color w:val="000000" w:themeColor="text1"/>
          <w:sz w:val="16"/>
          <w:szCs w:val="16"/>
        </w:rPr>
        <w:t>За</w:t>
      </w:r>
      <w:r w:rsidRPr="00E14102">
        <w:rPr>
          <w:i/>
          <w:iCs/>
          <w:color w:val="000000" w:themeColor="text1"/>
          <w:sz w:val="16"/>
          <w:szCs w:val="16"/>
          <w:lang w:val="en-US"/>
        </w:rPr>
        <w:t xml:space="preserve"> </w:t>
      </w:r>
      <w:r w:rsidRPr="00E14102">
        <w:rPr>
          <w:i/>
          <w:iCs/>
          <w:color w:val="000000" w:themeColor="text1"/>
          <w:sz w:val="16"/>
          <w:szCs w:val="16"/>
        </w:rPr>
        <w:t>рубежом</w:t>
      </w:r>
      <w:r w:rsidRPr="00E14102">
        <w:rPr>
          <w:i/>
          <w:iCs/>
          <w:color w:val="000000" w:themeColor="text1"/>
          <w:sz w:val="16"/>
          <w:szCs w:val="16"/>
          <w:lang w:val="en-US"/>
        </w:rPr>
        <w:t>:</w:t>
      </w:r>
    </w:p>
    <w:p w14:paraId="59645B6B" w14:textId="77777777" w:rsidR="00D4105E" w:rsidRPr="00E14102" w:rsidRDefault="00D4105E" w:rsidP="00E14102">
      <w:pPr>
        <w:autoSpaceDE w:val="0"/>
        <w:autoSpaceDN w:val="0"/>
        <w:adjustRightInd w:val="0"/>
        <w:jc w:val="both"/>
        <w:rPr>
          <w:iCs/>
          <w:color w:val="000000" w:themeColor="text1"/>
          <w:sz w:val="16"/>
          <w:szCs w:val="16"/>
          <w:lang w:val="en-US"/>
        </w:rPr>
      </w:pPr>
    </w:p>
    <w:p w14:paraId="0DE27497" w14:textId="77777777" w:rsidR="00294D59" w:rsidRPr="00E14102" w:rsidRDefault="00294D59" w:rsidP="00E14102">
      <w:pPr>
        <w:jc w:val="both"/>
        <w:rPr>
          <w:color w:val="0070C0"/>
          <w:sz w:val="16"/>
          <w:szCs w:val="16"/>
          <w:lang w:val="en-US"/>
        </w:rPr>
      </w:pPr>
      <w:r w:rsidRPr="00E14102">
        <w:rPr>
          <w:color w:val="0070C0"/>
          <w:sz w:val="16"/>
          <w:szCs w:val="16"/>
        </w:rPr>
        <w:t>15 сентября 1935 Северский SEV-3 устанавливает мировой рекорд скорости среди поршневых самолетов-амфибий, достигая скорости 230,413 миль / ч (370,814 км / ч). Рекорд</w:t>
      </w:r>
      <w:r w:rsidRPr="00E14102">
        <w:rPr>
          <w:color w:val="0070C0"/>
          <w:sz w:val="16"/>
          <w:szCs w:val="16"/>
          <w:lang w:val="en-US"/>
        </w:rPr>
        <w:t xml:space="preserve"> </w:t>
      </w:r>
      <w:r w:rsidRPr="00E14102">
        <w:rPr>
          <w:color w:val="0070C0"/>
          <w:sz w:val="16"/>
          <w:szCs w:val="16"/>
        </w:rPr>
        <w:t>все</w:t>
      </w:r>
      <w:r w:rsidRPr="00E14102">
        <w:rPr>
          <w:color w:val="0070C0"/>
          <w:sz w:val="16"/>
          <w:szCs w:val="16"/>
          <w:lang w:val="en-US"/>
        </w:rPr>
        <w:t xml:space="preserve"> </w:t>
      </w:r>
      <w:r w:rsidRPr="00E14102">
        <w:rPr>
          <w:color w:val="0070C0"/>
          <w:sz w:val="16"/>
          <w:szCs w:val="16"/>
        </w:rPr>
        <w:t>еще</w:t>
      </w:r>
      <w:r w:rsidRPr="00E14102">
        <w:rPr>
          <w:color w:val="0070C0"/>
          <w:sz w:val="16"/>
          <w:szCs w:val="16"/>
          <w:lang w:val="en-US"/>
        </w:rPr>
        <w:t xml:space="preserve"> </w:t>
      </w:r>
      <w:r w:rsidRPr="00E14102">
        <w:rPr>
          <w:color w:val="0070C0"/>
          <w:sz w:val="16"/>
          <w:szCs w:val="16"/>
        </w:rPr>
        <w:t>держится</w:t>
      </w:r>
      <w:r w:rsidRPr="00E14102">
        <w:rPr>
          <w:color w:val="0070C0"/>
          <w:sz w:val="16"/>
          <w:szCs w:val="16"/>
          <w:lang w:val="en-US"/>
        </w:rPr>
        <w:t xml:space="preserve"> (20800).</w:t>
      </w:r>
    </w:p>
    <w:p w14:paraId="439F77F5" w14:textId="77777777" w:rsidR="00294D59" w:rsidRPr="00E14102" w:rsidRDefault="00294D59" w:rsidP="00E14102">
      <w:pPr>
        <w:jc w:val="both"/>
        <w:rPr>
          <w:color w:val="0070C0"/>
          <w:sz w:val="16"/>
          <w:szCs w:val="16"/>
          <w:lang w:val="en-US"/>
        </w:rPr>
      </w:pPr>
    </w:p>
    <w:p w14:paraId="7A13F9A6" w14:textId="77777777" w:rsidR="00D4105E" w:rsidRPr="00E14102" w:rsidRDefault="00D4105E" w:rsidP="00E14102">
      <w:pPr>
        <w:autoSpaceDE w:val="0"/>
        <w:autoSpaceDN w:val="0"/>
        <w:adjustRightInd w:val="0"/>
        <w:jc w:val="both"/>
        <w:rPr>
          <w:color w:val="000000" w:themeColor="text1"/>
          <w:sz w:val="16"/>
          <w:szCs w:val="16"/>
          <w:lang w:val="en-US"/>
        </w:rPr>
      </w:pPr>
      <w:r w:rsidRPr="00E14102">
        <w:rPr>
          <w:color w:val="000000" w:themeColor="text1"/>
          <w:sz w:val="16"/>
          <w:szCs w:val="16"/>
          <w:lang w:val="en-US"/>
        </w:rPr>
        <w:t>September 15 1935 Jews stripped of German citizenship rights by Nuremberg Race Laws (1050).</w:t>
      </w:r>
    </w:p>
    <w:p w14:paraId="6B5D5714" w14:textId="77777777" w:rsidR="00D4105E" w:rsidRPr="00E14102" w:rsidRDefault="00D4105E" w:rsidP="00E14102">
      <w:pPr>
        <w:autoSpaceDE w:val="0"/>
        <w:autoSpaceDN w:val="0"/>
        <w:adjustRightInd w:val="0"/>
        <w:jc w:val="both"/>
        <w:rPr>
          <w:color w:val="000000" w:themeColor="text1"/>
          <w:sz w:val="16"/>
          <w:szCs w:val="16"/>
          <w:lang w:val="en-US"/>
        </w:rPr>
      </w:pPr>
    </w:p>
    <w:p w14:paraId="76E28B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сентября 1935 в Германии был принят закон по защите немецкой крови, запретивший браки между евреями и немцами, а также внебрачные связи (1050).</w:t>
      </w:r>
    </w:p>
    <w:p w14:paraId="6C0259B8" w14:textId="77777777" w:rsidR="00D4105E" w:rsidRPr="00E14102" w:rsidRDefault="00D4105E" w:rsidP="00E14102">
      <w:pPr>
        <w:autoSpaceDE w:val="0"/>
        <w:autoSpaceDN w:val="0"/>
        <w:adjustRightInd w:val="0"/>
        <w:jc w:val="both"/>
        <w:rPr>
          <w:color w:val="000000" w:themeColor="text1"/>
          <w:sz w:val="16"/>
          <w:szCs w:val="16"/>
        </w:rPr>
      </w:pPr>
    </w:p>
    <w:p w14:paraId="3138EB58" w14:textId="77777777" w:rsidR="00F9595A" w:rsidRPr="00E14102" w:rsidRDefault="00F9595A" w:rsidP="00E14102">
      <w:pPr>
        <w:jc w:val="both"/>
        <w:rPr>
          <w:color w:val="000000" w:themeColor="text1"/>
          <w:sz w:val="16"/>
          <w:szCs w:val="16"/>
        </w:rPr>
      </w:pPr>
      <w:r w:rsidRPr="00E14102">
        <w:rPr>
          <w:color w:val="000000" w:themeColor="text1"/>
          <w:sz w:val="16"/>
          <w:szCs w:val="16"/>
        </w:rPr>
        <w:t>15 сентября в 1935 году Рудольф Гесс (заместитель фюрера) подписал закон "О защите крови и чести", который лишал евреев германского гражданства (14770).</w:t>
      </w:r>
    </w:p>
    <w:p w14:paraId="6FA9606A" w14:textId="77777777" w:rsidR="00F9595A" w:rsidRPr="00E14102" w:rsidRDefault="00F9595A" w:rsidP="00E14102">
      <w:pPr>
        <w:jc w:val="both"/>
        <w:rPr>
          <w:color w:val="000000" w:themeColor="text1"/>
          <w:sz w:val="16"/>
          <w:szCs w:val="16"/>
        </w:rPr>
      </w:pPr>
    </w:p>
    <w:p w14:paraId="4FE4AD5B" w14:textId="77777777" w:rsidR="00F9595A" w:rsidRPr="00E14102" w:rsidRDefault="00F9595A" w:rsidP="00E14102">
      <w:pPr>
        <w:jc w:val="both"/>
        <w:rPr>
          <w:color w:val="000000" w:themeColor="text1"/>
          <w:sz w:val="16"/>
          <w:szCs w:val="16"/>
        </w:rPr>
      </w:pPr>
      <w:r w:rsidRPr="00E14102">
        <w:rPr>
          <w:color w:val="000000" w:themeColor="text1"/>
          <w:sz w:val="16"/>
          <w:szCs w:val="16"/>
        </w:rPr>
        <w:t>15 сентября в 1935 году в Нюрнберге, Германия, на съезде нацистской партии Гитлер объявляет о принятии антиеврейских законов: государственные органы должны взять на учет всех евреев, запретить им заниматься профессиональной деятельностью, запретить браки и сексуальные контакты с неевреями. Государственным флагом нацистской Германии признается полотнище с черной свастикой в белом круге на красном фоне. Свастику — древний символ плодородия — еще в 1910 предложил в качестве символа для всех антисемитских организаций поэт-националист Гвидо фон Лист, а фашистская национал-социалистическая партия Германии приняла ее в качестве своей эмблемы. Сегодня свастика и ее вариации продолжают оставаться символом различных неонацистских организаций и ассоциироваться в нашем сознании с варварством и насилием (14770).</w:t>
      </w:r>
    </w:p>
    <w:p w14:paraId="12DB56CD" w14:textId="77777777" w:rsidR="00F9595A" w:rsidRPr="00E14102" w:rsidRDefault="00F9595A" w:rsidP="00E14102">
      <w:pPr>
        <w:jc w:val="both"/>
        <w:rPr>
          <w:color w:val="000000" w:themeColor="text1"/>
          <w:sz w:val="16"/>
          <w:szCs w:val="16"/>
        </w:rPr>
      </w:pPr>
    </w:p>
    <w:p w14:paraId="039DA8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сентября 1935 в Нюрнберге на съезде нацистской партии А.Г. объявил о принятии антиеврейских законов: госорганы должны взять на учет всех евреев, запретить им заниматься профессиональной деятельностью, запретить браки и сексуальные контакты с неевреями (3907,192).</w:t>
      </w:r>
    </w:p>
    <w:p w14:paraId="525CC326" w14:textId="77777777" w:rsidR="00D4105E" w:rsidRPr="00E14102" w:rsidRDefault="00D4105E" w:rsidP="00E14102">
      <w:pPr>
        <w:autoSpaceDE w:val="0"/>
        <w:autoSpaceDN w:val="0"/>
        <w:adjustRightInd w:val="0"/>
        <w:jc w:val="both"/>
        <w:rPr>
          <w:color w:val="000000" w:themeColor="text1"/>
          <w:sz w:val="16"/>
          <w:szCs w:val="16"/>
        </w:rPr>
      </w:pPr>
    </w:p>
    <w:p w14:paraId="4BB75B86" w14:textId="77777777" w:rsidR="002C0036" w:rsidRPr="00E14102" w:rsidRDefault="002C003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lastRenderedPageBreak/>
        <w:t xml:space="preserve">15 </w:t>
      </w:r>
      <w:r w:rsidRPr="00E14102">
        <w:rPr>
          <w:rStyle w:val="highlight"/>
          <w:rFonts w:ascii="Times New Roman" w:hAnsi="Times New Roman" w:cs="Times New Roman"/>
          <w:color w:val="000000" w:themeColor="text1"/>
          <w:sz w:val="16"/>
          <w:szCs w:val="16"/>
        </w:rPr>
        <w:t> </w:t>
      </w:r>
      <w:r w:rsidRPr="00E14102">
        <w:rPr>
          <w:rStyle w:val="highlight"/>
          <w:rFonts w:ascii="Times New Roman" w:hAnsi="Times New Roman" w:cs="Times New Roman"/>
          <w:color w:val="000000" w:themeColor="text1"/>
          <w:sz w:val="16"/>
          <w:szCs w:val="16"/>
          <w:lang w:val="ru-RU"/>
        </w:rPr>
        <w:t>сентября</w:t>
      </w:r>
      <w:r w:rsidRPr="00E14102">
        <w:rPr>
          <w:rStyle w:val="highlight"/>
          <w:rFonts w:ascii="Times New Roman" w:hAnsi="Times New Roman" w:cs="Times New Roman"/>
          <w:color w:val="000000" w:themeColor="text1"/>
          <w:sz w:val="16"/>
          <w:szCs w:val="16"/>
        </w:rPr>
        <w:t> </w:t>
      </w:r>
      <w:bookmarkStart w:id="26" w:name="YANDEX_4"/>
      <w:bookmarkEnd w:id="26"/>
      <w:r w:rsidRPr="00E14102">
        <w:rPr>
          <w:rStyle w:val="highlight"/>
          <w:rFonts w:ascii="Times New Roman" w:hAnsi="Times New Roman" w:cs="Times New Roman"/>
          <w:color w:val="000000" w:themeColor="text1"/>
          <w:sz w:val="16"/>
          <w:szCs w:val="16"/>
        </w:rPr>
        <w:t> </w:t>
      </w:r>
      <w:r w:rsidRPr="00E14102">
        <w:rPr>
          <w:rStyle w:val="highlight"/>
          <w:rFonts w:ascii="Times New Roman" w:hAnsi="Times New Roman" w:cs="Times New Roman"/>
          <w:color w:val="000000" w:themeColor="text1"/>
          <w:sz w:val="16"/>
          <w:szCs w:val="16"/>
          <w:lang w:val="ru-RU"/>
        </w:rPr>
        <w:t>1935</w:t>
      </w:r>
      <w:r w:rsidRPr="00E14102">
        <w:rPr>
          <w:rStyle w:val="highlight"/>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xml:space="preserve"> г. Закон о гражданстве рейха</w:t>
      </w:r>
    </w:p>
    <w:p w14:paraId="543F11E6" w14:textId="77777777" w:rsidR="002C0036" w:rsidRPr="00E14102" w:rsidRDefault="002C003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Рейхстаг единогласно принял следующий Закон, который настоящим доводится до сведения населения:</w:t>
      </w:r>
    </w:p>
    <w:p w14:paraId="129E85D1" w14:textId="77777777" w:rsidR="002C0036" w:rsidRPr="00E14102" w:rsidRDefault="002C003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1</w:t>
      </w:r>
    </w:p>
    <w:p w14:paraId="66804D8F" w14:textId="77777777" w:rsidR="002C0036" w:rsidRPr="00E14102" w:rsidRDefault="002C003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 Подданным является всякий, кто находится под сенью Германского рейха и несет за это особые обязательства.</w:t>
      </w:r>
    </w:p>
    <w:p w14:paraId="632C4E59" w14:textId="77777777" w:rsidR="002C0036" w:rsidRPr="00E14102" w:rsidRDefault="002C003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 Подданство приобретается согласно положениям Закона о подданстве рейха и государства.</w:t>
      </w:r>
    </w:p>
    <w:p w14:paraId="35C69FA6" w14:textId="77777777" w:rsidR="002C0036" w:rsidRPr="00E14102" w:rsidRDefault="002C003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2</w:t>
      </w:r>
    </w:p>
    <w:p w14:paraId="1FE76BB0" w14:textId="77777777" w:rsidR="002C0036" w:rsidRPr="00E14102" w:rsidRDefault="002C003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 Гражданином рейха является лишь подданный немецкой или родственной ей крови, доказавший своим поведением, что он готов и достоин верно служить немецкому народу и рейху.</w:t>
      </w:r>
    </w:p>
    <w:p w14:paraId="0C1B0440" w14:textId="77777777" w:rsidR="002C0036" w:rsidRPr="00E14102" w:rsidRDefault="002C003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 Право гражданства предоставляется путем выдачи свидетельства о гражданстве рейха.</w:t>
      </w:r>
    </w:p>
    <w:p w14:paraId="037EBF67" w14:textId="77777777" w:rsidR="002C0036" w:rsidRPr="00E14102" w:rsidRDefault="002C003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3. Только гражданин рейха обладает всеми политическими правами в соответствии с законом.</w:t>
      </w:r>
    </w:p>
    <w:p w14:paraId="30819614" w14:textId="77777777" w:rsidR="002C0036" w:rsidRPr="00E14102" w:rsidRDefault="002C003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3</w:t>
      </w:r>
    </w:p>
    <w:p w14:paraId="766757ED" w14:textId="77777777" w:rsidR="002C0036" w:rsidRPr="00E14102" w:rsidRDefault="002C003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Рейхсминистр внутренних дел по согласованию с заместителем фюрера издает необходимые правовые и административные распоряжения по проведению в жизнь и дополнению данного Закона.</w:t>
      </w:r>
    </w:p>
    <w:p w14:paraId="75A5170E" w14:textId="77777777" w:rsidR="002C0036" w:rsidRPr="00E14102" w:rsidRDefault="002C003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Нюрнберг, 15 </w:t>
      </w:r>
      <w:bookmarkStart w:id="27" w:name="YANDEX_5"/>
      <w:bookmarkEnd w:id="27"/>
      <w:r w:rsidRPr="00E14102">
        <w:rPr>
          <w:rStyle w:val="highlight"/>
          <w:rFonts w:ascii="Times New Roman" w:hAnsi="Times New Roman" w:cs="Times New Roman"/>
          <w:color w:val="000000" w:themeColor="text1"/>
          <w:sz w:val="16"/>
          <w:szCs w:val="16"/>
        </w:rPr>
        <w:t> </w:t>
      </w:r>
      <w:r w:rsidRPr="00E14102">
        <w:rPr>
          <w:rStyle w:val="highlight"/>
          <w:rFonts w:ascii="Times New Roman" w:hAnsi="Times New Roman" w:cs="Times New Roman"/>
          <w:color w:val="000000" w:themeColor="text1"/>
          <w:sz w:val="16"/>
          <w:szCs w:val="16"/>
          <w:lang w:val="ru-RU"/>
        </w:rPr>
        <w:t>сентября</w:t>
      </w:r>
      <w:r w:rsidRPr="00E14102">
        <w:rPr>
          <w:rStyle w:val="highlight"/>
          <w:rFonts w:ascii="Times New Roman" w:hAnsi="Times New Roman" w:cs="Times New Roman"/>
          <w:color w:val="000000" w:themeColor="text1"/>
          <w:sz w:val="16"/>
          <w:szCs w:val="16"/>
        </w:rPr>
        <w:t>  </w:t>
      </w:r>
      <w:r w:rsidRPr="00E14102">
        <w:rPr>
          <w:rStyle w:val="highlight"/>
          <w:rFonts w:ascii="Times New Roman" w:hAnsi="Times New Roman" w:cs="Times New Roman"/>
          <w:color w:val="000000" w:themeColor="text1"/>
          <w:sz w:val="16"/>
          <w:szCs w:val="16"/>
          <w:lang w:val="ru-RU"/>
        </w:rPr>
        <w:t>1935</w:t>
      </w:r>
      <w:r w:rsidRPr="00E14102">
        <w:rPr>
          <w:rStyle w:val="highlight"/>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xml:space="preserve"> г.</w:t>
      </w:r>
    </w:p>
    <w:p w14:paraId="59726CF2" w14:textId="77777777" w:rsidR="002C0036" w:rsidRPr="00E14102" w:rsidRDefault="002C003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На рейхссъезде свободы.</w:t>
      </w:r>
    </w:p>
    <w:p w14:paraId="15CA594E" w14:textId="77777777" w:rsidR="002C0036" w:rsidRPr="00E14102" w:rsidRDefault="002C003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Фюрер и рейхсканцлер</w:t>
      </w:r>
    </w:p>
    <w:p w14:paraId="0ED0D390" w14:textId="77777777" w:rsidR="002C0036" w:rsidRPr="00E14102" w:rsidRDefault="00E14102" w:rsidP="00E14102">
      <w:pPr>
        <w:pStyle w:val="ad"/>
        <w:spacing w:before="0" w:after="0"/>
        <w:rPr>
          <w:rFonts w:ascii="Times New Roman" w:hAnsi="Times New Roman" w:cs="Times New Roman"/>
          <w:color w:val="000000" w:themeColor="text1"/>
          <w:sz w:val="16"/>
          <w:szCs w:val="16"/>
          <w:lang w:val="ru-RU"/>
        </w:rPr>
      </w:pPr>
      <w:hyperlink r:id="rId196" w:history="1">
        <w:r w:rsidR="002C0036" w:rsidRPr="00E14102">
          <w:rPr>
            <w:rStyle w:val="a4"/>
            <w:rFonts w:ascii="Times New Roman" w:hAnsi="Times New Roman" w:cs="Times New Roman"/>
            <w:color w:val="000000" w:themeColor="text1"/>
            <w:sz w:val="16"/>
            <w:szCs w:val="16"/>
            <w:u w:val="none"/>
            <w:lang w:val="ru-RU"/>
          </w:rPr>
          <w:t xml:space="preserve">Адольф Гитлер </w:t>
        </w:r>
      </w:hyperlink>
    </w:p>
    <w:p w14:paraId="7C510710" w14:textId="77777777" w:rsidR="002C0036" w:rsidRPr="00E14102" w:rsidRDefault="002C003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Рейсхсминистр внутренних дел</w:t>
      </w:r>
    </w:p>
    <w:p w14:paraId="4B88E327" w14:textId="77777777" w:rsidR="002C0036" w:rsidRPr="00E14102" w:rsidRDefault="002C0036" w:rsidP="00E14102">
      <w:pPr>
        <w:autoSpaceDE w:val="0"/>
        <w:autoSpaceDN w:val="0"/>
        <w:adjustRightInd w:val="0"/>
        <w:jc w:val="both"/>
        <w:rPr>
          <w:color w:val="000000" w:themeColor="text1"/>
          <w:sz w:val="16"/>
          <w:szCs w:val="16"/>
        </w:rPr>
      </w:pPr>
      <w:r w:rsidRPr="00E14102">
        <w:rPr>
          <w:color w:val="000000" w:themeColor="text1"/>
          <w:sz w:val="16"/>
          <w:szCs w:val="16"/>
        </w:rPr>
        <w:t>Фрик (17304).</w:t>
      </w:r>
    </w:p>
    <w:p w14:paraId="5D7F3033" w14:textId="77777777" w:rsidR="002C0036" w:rsidRPr="00E14102" w:rsidRDefault="002C0036" w:rsidP="00E14102">
      <w:pPr>
        <w:autoSpaceDE w:val="0"/>
        <w:autoSpaceDN w:val="0"/>
        <w:adjustRightInd w:val="0"/>
        <w:jc w:val="both"/>
        <w:rPr>
          <w:color w:val="000000" w:themeColor="text1"/>
          <w:sz w:val="16"/>
          <w:szCs w:val="16"/>
        </w:rPr>
      </w:pPr>
    </w:p>
    <w:p w14:paraId="7368F6FB" w14:textId="77777777" w:rsidR="00F9595A" w:rsidRPr="00E14102" w:rsidRDefault="00F9595A" w:rsidP="00E14102">
      <w:pPr>
        <w:autoSpaceDE w:val="0"/>
        <w:autoSpaceDN w:val="0"/>
        <w:adjustRightInd w:val="0"/>
        <w:jc w:val="both"/>
        <w:rPr>
          <w:color w:val="000000" w:themeColor="text1"/>
          <w:sz w:val="16"/>
          <w:szCs w:val="16"/>
        </w:rPr>
      </w:pPr>
      <w:r w:rsidRPr="00E14102">
        <w:rPr>
          <w:color w:val="000000" w:themeColor="text1"/>
          <w:sz w:val="16"/>
          <w:szCs w:val="16"/>
        </w:rPr>
        <w:t>15 сентября 1935 свастика стала официальным немецким флагом (2100).</w:t>
      </w:r>
    </w:p>
    <w:p w14:paraId="1CD7EEF3" w14:textId="77777777" w:rsidR="00F9595A" w:rsidRPr="00E14102" w:rsidRDefault="00F9595A" w:rsidP="00E14102">
      <w:pPr>
        <w:autoSpaceDE w:val="0"/>
        <w:autoSpaceDN w:val="0"/>
        <w:adjustRightInd w:val="0"/>
        <w:jc w:val="both"/>
        <w:rPr>
          <w:color w:val="000000" w:themeColor="text1"/>
          <w:sz w:val="16"/>
          <w:szCs w:val="16"/>
        </w:rPr>
      </w:pPr>
    </w:p>
    <w:p w14:paraId="22F6AC2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C383A9F" w14:textId="77777777" w:rsidR="00D4105E" w:rsidRPr="00E14102" w:rsidRDefault="00D4105E" w:rsidP="00E14102">
      <w:pPr>
        <w:autoSpaceDE w:val="0"/>
        <w:autoSpaceDN w:val="0"/>
        <w:adjustRightInd w:val="0"/>
        <w:jc w:val="both"/>
        <w:rPr>
          <w:iCs/>
          <w:color w:val="000000" w:themeColor="text1"/>
          <w:sz w:val="16"/>
          <w:szCs w:val="16"/>
        </w:rPr>
      </w:pPr>
    </w:p>
    <w:p w14:paraId="442DE4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сентября 1935 года врид начальника УВС Астахов писал письмо N 41/02193 начальнику НИИ ВС Бажанову и районному инженеру на заводе N 1 Кузнецову.</w:t>
      </w:r>
    </w:p>
    <w:p w14:paraId="2FAE08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Предлагается Вам для участия в проведении войсковых испытаний самолетов Р5-3С и Р-ЗЕТ с М-34 выделить своих инженеров.</w:t>
      </w:r>
    </w:p>
    <w:p w14:paraId="428AB8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будут производиться:</w:t>
      </w:r>
    </w:p>
    <w:p w14:paraId="5ED218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Р5-3С - в 252 авиабригаде - Гомель.</w:t>
      </w:r>
    </w:p>
    <w:p w14:paraId="3CF248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Р-ЗЕТ-М34Н - в 352 авиабригаде - г. Харьков. (3120,80).</w:t>
      </w:r>
    </w:p>
    <w:p w14:paraId="35D9E78A" w14:textId="77777777" w:rsidR="00D4105E" w:rsidRPr="00E14102" w:rsidRDefault="00D4105E" w:rsidP="00E14102">
      <w:pPr>
        <w:autoSpaceDE w:val="0"/>
        <w:autoSpaceDN w:val="0"/>
        <w:adjustRightInd w:val="0"/>
        <w:jc w:val="both"/>
        <w:rPr>
          <w:color w:val="000000" w:themeColor="text1"/>
          <w:sz w:val="16"/>
          <w:szCs w:val="16"/>
        </w:rPr>
      </w:pPr>
    </w:p>
    <w:p w14:paraId="03946D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сентября 1935 г. после проведения доводочных процедур, определения весов, центровок, гонки двигателя, рулёжек и пробежек заводской пилот Чкалов ровно в 2 часа дня совершил на самолёте ЦКБ-19, второй опытный, первый, 8-минутный полёт. В обычной своей немногословной манере испытатель записал: "Выполнено. Лётные качества хорошие. Вибраций не замечено". Затем до середины ноября было сделано ещё несколько полётов, после чего последовали доделки системы охлаждения, доводка шасси и прочее. О зимних испытаниях этого экземпляра сведений не обнаружено, очевидно, полноценные полёты возобновились к лету (9630).</w:t>
      </w:r>
    </w:p>
    <w:p w14:paraId="7045350D" w14:textId="77777777" w:rsidR="00D4105E" w:rsidRPr="00E14102" w:rsidRDefault="00D4105E" w:rsidP="00E14102">
      <w:pPr>
        <w:autoSpaceDE w:val="0"/>
        <w:autoSpaceDN w:val="0"/>
        <w:adjustRightInd w:val="0"/>
        <w:jc w:val="both"/>
        <w:rPr>
          <w:color w:val="000000" w:themeColor="text1"/>
          <w:sz w:val="16"/>
          <w:szCs w:val="16"/>
        </w:rPr>
      </w:pPr>
    </w:p>
    <w:p w14:paraId="2A111C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16 сентября 1935 г. заводской пилот В.П.Чкалов ровно в 2 часа дня совершил на самолете ЦКБ-19 восьмиминутный полет. В обычной своей немногословной манере испытатель записал: "Выполнено. Летные качества хорошие. Вибраций не замечено". Этот аппарат строился с учетом испытаний ЦКБ-15 в 1935 г. В отличие от первого опытного образца, ЦКБ-19 имел убираемое шасси другой конструкции - уборка производилась в направлении к "оси самолета". Новая компоновка позволила увеличить колею шасси в стояночном положении до 2,868 м. Выпускаемые радиаторы водяного охлаждения при этом удалось разместить сразу за убранным шасси в корневой части центроплана. Элероны уменьшились по размаху и утратили способность к дифферинциальному отклонению - теперь роль посадочной механизации играли отклоняемые щитки площадью 1,75 м2. Вооружение самолета состояло из четырех пулеметов ШКАС, размещенных в отъемной части крыла, вне диска вращения воздушного винта. После еще нескольких полетов, выполненных до середины ноября, последовали доделки системы охлаждения, доводки шасси и прочее. Зимой машина не эксплуатировалась, очевидно, полноценные полеты возобновились ближе к следующему лету. 1 мая 1936 г. ЦКБ-19 показали в полете над Красной площадью. В летний период в ходе испытаний зафиксировали максимальную скорость 485 км/ч и потолок 9700 м. О дальнейших полетах данного экземпляра сведения отсутствуют (11951) </w:t>
      </w:r>
    </w:p>
    <w:p w14:paraId="6D8F6478" w14:textId="77777777" w:rsidR="00D4105E" w:rsidRPr="00E14102" w:rsidRDefault="00D4105E" w:rsidP="00E14102">
      <w:pPr>
        <w:autoSpaceDE w:val="0"/>
        <w:autoSpaceDN w:val="0"/>
        <w:adjustRightInd w:val="0"/>
        <w:jc w:val="both"/>
        <w:rPr>
          <w:color w:val="000000" w:themeColor="text1"/>
          <w:sz w:val="16"/>
          <w:szCs w:val="16"/>
        </w:rPr>
      </w:pPr>
    </w:p>
    <w:p w14:paraId="310E4E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сентября 1935 г. ровно в 2 часа дня заводской летчик-испытатель В.П.Чкалов совершил на самолете первый, 8-минутный полет. В обычной своей немногословной манере он записал: "Выполнено. Летные качества хорошие. Вибраций не замечено". Затем, вплоть до середины ноября, было сделано еше несколько полетов, после чего последовали усовершенствования системы охлаждения, доводки шасси и прочее. О зимних испытаниях этого экземпляра сведений не обнаружено, очевидно, полноценные полеты возобновились ближе к лету. 1 мая 1936 г. ЦКБ-19 показали в полете над Красной площадью. В летний период, в ходе продолжения испытаний, зафиксировали максимальную скорость 485 км/ч и потолок 9700 м (12016).</w:t>
      </w:r>
    </w:p>
    <w:p w14:paraId="0CE73922" w14:textId="77777777" w:rsidR="00D4105E" w:rsidRPr="00E14102" w:rsidRDefault="00D4105E" w:rsidP="00E14102">
      <w:pPr>
        <w:autoSpaceDE w:val="0"/>
        <w:autoSpaceDN w:val="0"/>
        <w:adjustRightInd w:val="0"/>
        <w:jc w:val="both"/>
        <w:rPr>
          <w:color w:val="000000" w:themeColor="text1"/>
          <w:sz w:val="16"/>
          <w:szCs w:val="16"/>
        </w:rPr>
      </w:pPr>
    </w:p>
    <w:p w14:paraId="1D8787A6" w14:textId="77777777" w:rsidR="00F9595A" w:rsidRPr="00E14102" w:rsidRDefault="00F9595A" w:rsidP="00E14102">
      <w:pPr>
        <w:shd w:val="clear" w:color="auto" w:fill="FFFFFF"/>
        <w:jc w:val="both"/>
        <w:rPr>
          <w:color w:val="000000" w:themeColor="text1"/>
          <w:sz w:val="16"/>
          <w:szCs w:val="16"/>
        </w:rPr>
      </w:pPr>
      <w:r w:rsidRPr="00E14102">
        <w:rPr>
          <w:color w:val="000000" w:themeColor="text1"/>
          <w:sz w:val="16"/>
          <w:szCs w:val="16"/>
        </w:rPr>
        <w:t>16-го сентября 1935 заводской летчик-испытатель В.П. Чкалов совершил на ЦКБ-19 первый восьмиминутный полет. В своей обычной немногословной манере Чкалов записал: « Выполнено. Летные качества хорошие. Вибраций не замечено». Затем, вплоть до середины ноября, было сделано еще несколько полетов, после чего последовало отладка системы охлаждения, доводки шасси и прочее. Ближе к весне 1936 года полеты возобновились, при этом была зафиксирована максимальная скорость 485 км/ч и потолок 9700 метров (15223).</w:t>
      </w:r>
    </w:p>
    <w:p w14:paraId="736BAAEA" w14:textId="77777777" w:rsidR="00F9595A" w:rsidRPr="00E14102" w:rsidRDefault="00F9595A" w:rsidP="00E14102">
      <w:pPr>
        <w:shd w:val="clear" w:color="auto" w:fill="FFFFFF"/>
        <w:jc w:val="both"/>
        <w:rPr>
          <w:color w:val="000000" w:themeColor="text1"/>
          <w:sz w:val="16"/>
          <w:szCs w:val="16"/>
        </w:rPr>
      </w:pPr>
    </w:p>
    <w:p w14:paraId="0488DB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сентября 1935 года вышло постановление СТО № С-39с, в соответствии с которым в июне 1936 года был выпущен на испытание геликоптер 11-ЭА с мотором “Кертис-Конкверор” (3849,25).</w:t>
      </w:r>
    </w:p>
    <w:p w14:paraId="1154E232" w14:textId="77777777" w:rsidR="00D4105E" w:rsidRPr="00E14102" w:rsidRDefault="00D4105E" w:rsidP="00E14102">
      <w:pPr>
        <w:autoSpaceDE w:val="0"/>
        <w:autoSpaceDN w:val="0"/>
        <w:adjustRightInd w:val="0"/>
        <w:jc w:val="both"/>
        <w:rPr>
          <w:color w:val="000000" w:themeColor="text1"/>
          <w:sz w:val="16"/>
          <w:szCs w:val="16"/>
        </w:rPr>
      </w:pPr>
    </w:p>
    <w:p w14:paraId="0076565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6DBB1C1" w14:textId="77777777" w:rsidR="00D4105E" w:rsidRPr="00E14102" w:rsidRDefault="00D4105E" w:rsidP="00E14102">
      <w:pPr>
        <w:autoSpaceDE w:val="0"/>
        <w:autoSpaceDN w:val="0"/>
        <w:adjustRightInd w:val="0"/>
        <w:jc w:val="both"/>
        <w:rPr>
          <w:iCs/>
          <w:color w:val="000000" w:themeColor="text1"/>
          <w:sz w:val="16"/>
          <w:szCs w:val="16"/>
        </w:rPr>
      </w:pPr>
    </w:p>
    <w:p w14:paraId="453F2B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сентября 1935 Приказ НКВД № 302 от объявлял, что постановлением СНК СССР и ЦК ВКП(б) № 2074 от 14 сентября на НКВД возложено строительство Угличского и Рыбинского гидроузлов (с окончанием строительства к навигации 1939 года; на деле оно затянется). Начальником Волгостроя (Управление которого разместится в деревне Юга в бывшем монастыре - Югской Дорофеевской пустыни, ныне скрытой водами Рыбинского водохранилища) назначен зам. начальника ГУЛАГа Я. Д. Рапопорт (с освобождением от должности начальника Белбалткомбината НКВД), главным инженером - главный инженер МВС С. Я. Жук (по совместительству), Проектный отдел Волгостроя возглавил начальник Проектного отдела МВС В. Д. Журин (также по совместительству) (7560).</w:t>
      </w:r>
    </w:p>
    <w:p w14:paraId="2361AE44" w14:textId="77777777" w:rsidR="00D4105E" w:rsidRPr="00E14102" w:rsidRDefault="00D4105E" w:rsidP="00E14102">
      <w:pPr>
        <w:autoSpaceDE w:val="0"/>
        <w:autoSpaceDN w:val="0"/>
        <w:adjustRightInd w:val="0"/>
        <w:jc w:val="both"/>
        <w:rPr>
          <w:color w:val="000000" w:themeColor="text1"/>
          <w:sz w:val="16"/>
          <w:szCs w:val="16"/>
        </w:rPr>
      </w:pPr>
    </w:p>
    <w:p w14:paraId="7567259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11914BA" w14:textId="77777777" w:rsidR="00D4105E" w:rsidRPr="00E14102" w:rsidRDefault="00D4105E" w:rsidP="00E14102">
      <w:pPr>
        <w:autoSpaceDE w:val="0"/>
        <w:autoSpaceDN w:val="0"/>
        <w:adjustRightInd w:val="0"/>
        <w:jc w:val="both"/>
        <w:rPr>
          <w:iCs/>
          <w:color w:val="000000" w:themeColor="text1"/>
          <w:sz w:val="16"/>
          <w:szCs w:val="16"/>
        </w:rPr>
      </w:pPr>
    </w:p>
    <w:p w14:paraId="0A3CF0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сентября 1935 совершен первый полет экспериментального бескрылого автожира ЦАГИ А-14 (237,176).</w:t>
      </w:r>
    </w:p>
    <w:p w14:paraId="5EE40D0F" w14:textId="77777777" w:rsidR="00D4105E" w:rsidRPr="00E14102" w:rsidRDefault="00D4105E" w:rsidP="00E14102">
      <w:pPr>
        <w:autoSpaceDE w:val="0"/>
        <w:autoSpaceDN w:val="0"/>
        <w:adjustRightInd w:val="0"/>
        <w:jc w:val="both"/>
        <w:rPr>
          <w:color w:val="000000" w:themeColor="text1"/>
          <w:sz w:val="16"/>
          <w:szCs w:val="16"/>
        </w:rPr>
      </w:pPr>
    </w:p>
    <w:p w14:paraId="3BAACA22" w14:textId="77777777" w:rsidR="00294D59" w:rsidRPr="00E14102" w:rsidRDefault="00294D59" w:rsidP="00E14102">
      <w:pPr>
        <w:jc w:val="both"/>
        <w:rPr>
          <w:color w:val="000000" w:themeColor="text1"/>
          <w:sz w:val="16"/>
          <w:szCs w:val="16"/>
        </w:rPr>
      </w:pPr>
      <w:r w:rsidRPr="00E14102">
        <w:rPr>
          <w:color w:val="000000" w:themeColor="text1"/>
          <w:sz w:val="16"/>
          <w:szCs w:val="16"/>
        </w:rPr>
        <w:t>17 сентября 1935 г. С. А. Корзинщиков поднял в воздух А-14 (со второго экземпляра А-8 сняли крылья с элеронами. Была из¬менена п конструкция шасси). Управление было признано достаточно эффективным. В 1936 г. А-14 послужил летающей лабораторией для испытаний новой втулки, предназначавшейся для автожира А-12. У этой втулки оси гори¬зонтальных шарниров пересекались в центре. Впоследствии А-14 использовался для тренировочных полетов (37; 38; с, 65] (15533).</w:t>
      </w:r>
    </w:p>
    <w:p w14:paraId="22195A7D" w14:textId="77777777" w:rsidR="00294D59" w:rsidRPr="00E14102" w:rsidRDefault="00294D59" w:rsidP="00E14102">
      <w:pPr>
        <w:jc w:val="both"/>
        <w:rPr>
          <w:color w:val="000000" w:themeColor="text1"/>
          <w:sz w:val="16"/>
          <w:szCs w:val="16"/>
        </w:rPr>
      </w:pPr>
    </w:p>
    <w:p w14:paraId="371E17EE" w14:textId="77777777" w:rsidR="00294D59" w:rsidRPr="00E14102" w:rsidRDefault="00294D59" w:rsidP="00E14102">
      <w:pPr>
        <w:jc w:val="both"/>
        <w:rPr>
          <w:color w:val="0070C0"/>
          <w:sz w:val="16"/>
          <w:szCs w:val="16"/>
        </w:rPr>
      </w:pPr>
      <w:r w:rsidRPr="00E14102">
        <w:rPr>
          <w:color w:val="0070C0"/>
          <w:sz w:val="16"/>
          <w:szCs w:val="16"/>
        </w:rPr>
        <w:t xml:space="preserve">17 сентября 1935 г. С.А. Корзинщиков совершил первый полет на модифицированном аппарате А-14. </w:t>
      </w:r>
    </w:p>
    <w:p w14:paraId="1888E61F" w14:textId="77777777" w:rsidR="00294D59" w:rsidRPr="00E14102" w:rsidRDefault="00294D59" w:rsidP="00E14102">
      <w:pPr>
        <w:jc w:val="both"/>
        <w:rPr>
          <w:color w:val="0070C0"/>
          <w:sz w:val="16"/>
          <w:szCs w:val="16"/>
        </w:rPr>
      </w:pPr>
      <w:r w:rsidRPr="00E14102">
        <w:rPr>
          <w:color w:val="0070C0"/>
          <w:sz w:val="16"/>
          <w:szCs w:val="16"/>
        </w:rPr>
        <w:t>Этот аппарат первоначально начинал строиться как А-6, за</w:t>
      </w:r>
      <w:r w:rsidRPr="00E14102">
        <w:rPr>
          <w:color w:val="0070C0"/>
          <w:sz w:val="16"/>
          <w:szCs w:val="16"/>
        </w:rPr>
        <w:softHyphen/>
        <w:t>тем начал летать как второй экземпляр А-8, а в конечном итоге получил обозначение А-14.</w:t>
      </w:r>
    </w:p>
    <w:p w14:paraId="56F0F2E0" w14:textId="77777777" w:rsidR="00294D59" w:rsidRPr="00E14102" w:rsidRDefault="00294D59" w:rsidP="00E14102">
      <w:pPr>
        <w:jc w:val="both"/>
        <w:rPr>
          <w:color w:val="0070C0"/>
          <w:sz w:val="16"/>
          <w:szCs w:val="16"/>
        </w:rPr>
      </w:pPr>
      <w:r w:rsidRPr="00E14102">
        <w:rPr>
          <w:color w:val="0070C0"/>
          <w:sz w:val="16"/>
          <w:szCs w:val="16"/>
        </w:rPr>
        <w:t>Он создавался как экспериментальный для исследования летных особенностей бескрылых аппаратов с непосредст</w:t>
      </w:r>
      <w:r w:rsidRPr="00E14102">
        <w:rPr>
          <w:color w:val="0070C0"/>
          <w:sz w:val="16"/>
          <w:szCs w:val="16"/>
        </w:rPr>
        <w:softHyphen/>
        <w:t>венным управлением несущим ротором. А-14 отличался из</w:t>
      </w:r>
      <w:r w:rsidRPr="00E14102">
        <w:rPr>
          <w:color w:val="0070C0"/>
          <w:sz w:val="16"/>
          <w:szCs w:val="16"/>
        </w:rPr>
        <w:softHyphen/>
        <w:t>мененной системой управления, новым шасси и отсутст</w:t>
      </w:r>
      <w:r w:rsidRPr="00E14102">
        <w:rPr>
          <w:color w:val="0070C0"/>
          <w:sz w:val="16"/>
          <w:szCs w:val="16"/>
        </w:rPr>
        <w:softHyphen/>
        <w:t>вием крыла. Управление наклоном ротора в поперечной плоскости осуществлялось ручкой управления (взамен элеронов), в продольной плоскости штурвалом, установ</w:t>
      </w:r>
      <w:r w:rsidRPr="00E14102">
        <w:rPr>
          <w:color w:val="0070C0"/>
          <w:sz w:val="16"/>
          <w:szCs w:val="16"/>
        </w:rPr>
        <w:softHyphen/>
        <w:t>ленным на левом борту кабины пилота. Для более мягкой связи между ротором и ручкой управления в систему бы</w:t>
      </w:r>
      <w:r w:rsidRPr="00E14102">
        <w:rPr>
          <w:color w:val="0070C0"/>
          <w:sz w:val="16"/>
          <w:szCs w:val="16"/>
        </w:rPr>
        <w:softHyphen/>
        <w:t>ли включены демпфирующие пружины. Хвостовое оперение А-14 полностью соответствовало оперению, установ</w:t>
      </w:r>
      <w:r w:rsidRPr="00E14102">
        <w:rPr>
          <w:color w:val="0070C0"/>
          <w:sz w:val="16"/>
          <w:szCs w:val="16"/>
        </w:rPr>
        <w:softHyphen/>
        <w:t>ленному на А-8.</w:t>
      </w:r>
    </w:p>
    <w:p w14:paraId="74A25D61" w14:textId="77777777" w:rsidR="00294D59" w:rsidRPr="00E14102" w:rsidRDefault="00294D59" w:rsidP="00E14102">
      <w:pPr>
        <w:jc w:val="both"/>
        <w:rPr>
          <w:color w:val="0070C0"/>
          <w:sz w:val="16"/>
          <w:szCs w:val="16"/>
        </w:rPr>
      </w:pPr>
      <w:r w:rsidRPr="00E14102">
        <w:rPr>
          <w:color w:val="0070C0"/>
          <w:sz w:val="16"/>
          <w:szCs w:val="16"/>
        </w:rPr>
        <w:t>В первом полете обнару</w:t>
      </w:r>
      <w:r w:rsidRPr="00E14102">
        <w:rPr>
          <w:color w:val="0070C0"/>
          <w:sz w:val="16"/>
          <w:szCs w:val="16"/>
        </w:rPr>
        <w:softHyphen/>
        <w:t>жилась недостаточная поперечная устойчивость, которую лечили путем изменения передаточного числа в системе управления и изменением загрузки пружин. Несмотря на заметное улучшение поперечной устойчивости, вопрос окончательно не разрешился в ходе проведения летных ис</w:t>
      </w:r>
      <w:r w:rsidRPr="00E14102">
        <w:rPr>
          <w:color w:val="0070C0"/>
          <w:sz w:val="16"/>
          <w:szCs w:val="16"/>
        </w:rPr>
        <w:softHyphen/>
        <w:t>пытаний.</w:t>
      </w:r>
    </w:p>
    <w:p w14:paraId="13E5428F" w14:textId="77777777" w:rsidR="00294D59" w:rsidRPr="00E14102" w:rsidRDefault="00294D59" w:rsidP="00E14102">
      <w:pPr>
        <w:jc w:val="both"/>
        <w:rPr>
          <w:color w:val="0070C0"/>
          <w:sz w:val="16"/>
          <w:szCs w:val="16"/>
        </w:rPr>
      </w:pPr>
      <w:r w:rsidRPr="00E14102">
        <w:rPr>
          <w:color w:val="0070C0"/>
          <w:sz w:val="16"/>
          <w:szCs w:val="16"/>
        </w:rPr>
        <w:lastRenderedPageBreak/>
        <w:t>Признавалось, что основные летные характеристики А- 14 мало изменились по сравнению с предыдущими вари</w:t>
      </w:r>
      <w:r w:rsidRPr="00E14102">
        <w:rPr>
          <w:color w:val="0070C0"/>
          <w:sz w:val="16"/>
          <w:szCs w:val="16"/>
        </w:rPr>
        <w:softHyphen/>
        <w:t>антами. Поперечное управление при помощи наклона оси ротора взамен элеронов оценивалось вполне эффектив</w:t>
      </w:r>
      <w:r w:rsidRPr="00E14102">
        <w:rPr>
          <w:color w:val="0070C0"/>
          <w:sz w:val="16"/>
          <w:szCs w:val="16"/>
        </w:rPr>
        <w:softHyphen/>
        <w:t>но, одновременно продольная устойчивость значительно улучшилась.</w:t>
      </w:r>
    </w:p>
    <w:p w14:paraId="5D372637" w14:textId="77777777" w:rsidR="00294D59" w:rsidRPr="00E14102" w:rsidRDefault="00294D59" w:rsidP="00E14102">
      <w:pPr>
        <w:jc w:val="both"/>
        <w:rPr>
          <w:color w:val="0070C0"/>
          <w:sz w:val="16"/>
          <w:szCs w:val="16"/>
        </w:rPr>
      </w:pPr>
      <w:r w:rsidRPr="00E14102">
        <w:rPr>
          <w:color w:val="0070C0"/>
          <w:sz w:val="16"/>
          <w:szCs w:val="16"/>
        </w:rPr>
        <w:t>В связи с проектированием автожира А-12, на котором предполагалось применить новую втулку крепления лопа</w:t>
      </w:r>
      <w:r w:rsidRPr="00E14102">
        <w:rPr>
          <w:color w:val="0070C0"/>
          <w:sz w:val="16"/>
          <w:szCs w:val="16"/>
        </w:rPr>
        <w:softHyphen/>
        <w:t>стей ротора с пересекающимися в горизонтальной плос</w:t>
      </w:r>
      <w:r w:rsidRPr="00E14102">
        <w:rPr>
          <w:color w:val="0070C0"/>
          <w:sz w:val="16"/>
          <w:szCs w:val="16"/>
        </w:rPr>
        <w:softHyphen/>
        <w:t>кости шарнирами, новый механизм решили первоначаль</w:t>
      </w:r>
      <w:r w:rsidRPr="00E14102">
        <w:rPr>
          <w:color w:val="0070C0"/>
          <w:sz w:val="16"/>
          <w:szCs w:val="16"/>
        </w:rPr>
        <w:softHyphen/>
        <w:t>но испытать на А-14. Такая втулка была изготовлена при</w:t>
      </w:r>
      <w:r w:rsidRPr="00E14102">
        <w:rPr>
          <w:color w:val="0070C0"/>
          <w:sz w:val="16"/>
          <w:szCs w:val="16"/>
        </w:rPr>
        <w:softHyphen/>
        <w:t>менительно к А-14 и испытана в 1936 г.</w:t>
      </w:r>
    </w:p>
    <w:p w14:paraId="27C1E3A6" w14:textId="77777777" w:rsidR="00294D59" w:rsidRPr="00E14102" w:rsidRDefault="00294D59" w:rsidP="00E14102">
      <w:pPr>
        <w:jc w:val="both"/>
        <w:rPr>
          <w:color w:val="0070C0"/>
          <w:sz w:val="16"/>
          <w:szCs w:val="16"/>
        </w:rPr>
      </w:pPr>
      <w:r w:rsidRPr="00E14102">
        <w:rPr>
          <w:color w:val="0070C0"/>
          <w:sz w:val="16"/>
          <w:szCs w:val="16"/>
        </w:rPr>
        <w:t>В последующем на А-14 предприняли ряд испытатель</w:t>
      </w:r>
      <w:r w:rsidRPr="00E14102">
        <w:rPr>
          <w:color w:val="0070C0"/>
          <w:sz w:val="16"/>
          <w:szCs w:val="16"/>
        </w:rPr>
        <w:softHyphen/>
        <w:t>ных полетов, в одном из которых он потерпел аварию и да</w:t>
      </w:r>
      <w:r w:rsidRPr="00E14102">
        <w:rPr>
          <w:color w:val="0070C0"/>
          <w:sz w:val="16"/>
          <w:szCs w:val="16"/>
        </w:rPr>
        <w:softHyphen/>
        <w:t>лее не восстанавливался.</w:t>
      </w:r>
    </w:p>
    <w:p w14:paraId="54471EB6" w14:textId="77777777" w:rsidR="00294D59" w:rsidRPr="00E14102" w:rsidRDefault="00294D59" w:rsidP="00E14102">
      <w:pPr>
        <w:jc w:val="both"/>
        <w:rPr>
          <w:color w:val="0070C0"/>
          <w:sz w:val="16"/>
          <w:szCs w:val="16"/>
        </w:rPr>
      </w:pPr>
      <w:bookmarkStart w:id="28" w:name="bookmark50"/>
      <w:r w:rsidRPr="00E14102">
        <w:rPr>
          <w:color w:val="0070C0"/>
          <w:sz w:val="16"/>
          <w:szCs w:val="16"/>
        </w:rPr>
        <w:t>Данные и характеристики А-14*</w:t>
      </w:r>
      <w:bookmarkEnd w:id="28"/>
    </w:p>
    <w:p w14:paraId="477209ED" w14:textId="77777777" w:rsidR="00294D59" w:rsidRPr="00E14102" w:rsidRDefault="00294D59" w:rsidP="00E14102">
      <w:pPr>
        <w:jc w:val="both"/>
        <w:rPr>
          <w:color w:val="0070C0"/>
          <w:sz w:val="16"/>
          <w:szCs w:val="16"/>
        </w:rPr>
      </w:pPr>
      <w:r w:rsidRPr="00E14102">
        <w:rPr>
          <w:color w:val="0070C0"/>
          <w:sz w:val="16"/>
          <w:szCs w:val="16"/>
        </w:rPr>
        <w:fldChar w:fldCharType="begin"/>
      </w:r>
      <w:r w:rsidRPr="00E14102">
        <w:rPr>
          <w:color w:val="0070C0"/>
          <w:sz w:val="16"/>
          <w:szCs w:val="16"/>
        </w:rPr>
        <w:instrText xml:space="preserve"> TOC \o "1-5" \h \z </w:instrText>
      </w:r>
      <w:r w:rsidRPr="00E14102">
        <w:rPr>
          <w:color w:val="0070C0"/>
          <w:sz w:val="16"/>
          <w:szCs w:val="16"/>
        </w:rPr>
        <w:fldChar w:fldCharType="separate"/>
      </w:r>
      <w:r w:rsidRPr="00E14102">
        <w:rPr>
          <w:color w:val="0070C0"/>
          <w:sz w:val="16"/>
          <w:szCs w:val="16"/>
        </w:rPr>
        <w:t>Диаметр ротора (м)</w:t>
      </w:r>
      <w:r w:rsidRPr="00E14102">
        <w:rPr>
          <w:color w:val="0070C0"/>
          <w:sz w:val="16"/>
          <w:szCs w:val="16"/>
        </w:rPr>
        <w:tab/>
        <w:t>11,0</w:t>
      </w:r>
    </w:p>
    <w:p w14:paraId="7CF3B2D1" w14:textId="77777777" w:rsidR="00294D59" w:rsidRPr="00E14102" w:rsidRDefault="00294D59" w:rsidP="00E14102">
      <w:pPr>
        <w:jc w:val="both"/>
        <w:rPr>
          <w:color w:val="0070C0"/>
          <w:sz w:val="16"/>
          <w:szCs w:val="16"/>
        </w:rPr>
      </w:pPr>
      <w:r w:rsidRPr="00E14102">
        <w:rPr>
          <w:color w:val="0070C0"/>
          <w:sz w:val="16"/>
          <w:szCs w:val="16"/>
        </w:rPr>
        <w:t>Длина без ротора (м)</w:t>
      </w:r>
      <w:r w:rsidRPr="00E14102">
        <w:rPr>
          <w:color w:val="0070C0"/>
          <w:sz w:val="16"/>
          <w:szCs w:val="16"/>
        </w:rPr>
        <w:tab/>
        <w:t>6,17</w:t>
      </w:r>
    </w:p>
    <w:p w14:paraId="2C200772" w14:textId="77777777" w:rsidR="00294D59" w:rsidRPr="00E14102" w:rsidRDefault="00294D59" w:rsidP="00E14102">
      <w:pPr>
        <w:jc w:val="both"/>
        <w:rPr>
          <w:color w:val="0070C0"/>
          <w:sz w:val="16"/>
          <w:szCs w:val="16"/>
        </w:rPr>
      </w:pPr>
      <w:r w:rsidRPr="00E14102">
        <w:rPr>
          <w:color w:val="0070C0"/>
          <w:sz w:val="16"/>
          <w:szCs w:val="16"/>
        </w:rPr>
        <w:t>Высота в линии полета (м)</w:t>
      </w:r>
      <w:r w:rsidRPr="00E14102">
        <w:rPr>
          <w:color w:val="0070C0"/>
          <w:sz w:val="16"/>
          <w:szCs w:val="16"/>
        </w:rPr>
        <w:tab/>
        <w:t>3,0</w:t>
      </w:r>
    </w:p>
    <w:p w14:paraId="63CA5C48" w14:textId="77777777" w:rsidR="00294D59" w:rsidRPr="00E14102" w:rsidRDefault="00294D59" w:rsidP="00E14102">
      <w:pPr>
        <w:jc w:val="both"/>
        <w:rPr>
          <w:color w:val="0070C0"/>
          <w:sz w:val="16"/>
          <w:szCs w:val="16"/>
        </w:rPr>
      </w:pPr>
      <w:r w:rsidRPr="00E14102">
        <w:rPr>
          <w:color w:val="0070C0"/>
          <w:sz w:val="16"/>
          <w:szCs w:val="16"/>
        </w:rPr>
        <w:t>Вес пустого (кг)</w:t>
      </w:r>
      <w:r w:rsidRPr="00E14102">
        <w:rPr>
          <w:color w:val="0070C0"/>
          <w:sz w:val="16"/>
          <w:szCs w:val="16"/>
        </w:rPr>
        <w:tab/>
        <w:t>562</w:t>
      </w:r>
    </w:p>
    <w:p w14:paraId="65431503" w14:textId="77777777" w:rsidR="00294D59" w:rsidRPr="00E14102" w:rsidRDefault="00294D59" w:rsidP="00E14102">
      <w:pPr>
        <w:jc w:val="both"/>
        <w:rPr>
          <w:color w:val="0070C0"/>
          <w:sz w:val="16"/>
          <w:szCs w:val="16"/>
        </w:rPr>
      </w:pPr>
      <w:r w:rsidRPr="00E14102">
        <w:rPr>
          <w:color w:val="0070C0"/>
          <w:sz w:val="16"/>
          <w:szCs w:val="16"/>
        </w:rPr>
        <w:t>Полетный вес (кг)</w:t>
      </w:r>
      <w:r w:rsidRPr="00E14102">
        <w:rPr>
          <w:color w:val="0070C0"/>
          <w:sz w:val="16"/>
          <w:szCs w:val="16"/>
        </w:rPr>
        <w:tab/>
        <w:t>815</w:t>
      </w:r>
      <w:r w:rsidRPr="00E14102">
        <w:rPr>
          <w:color w:val="0070C0"/>
          <w:sz w:val="16"/>
          <w:szCs w:val="16"/>
        </w:rPr>
        <w:fldChar w:fldCharType="end"/>
      </w:r>
    </w:p>
    <w:p w14:paraId="598A12A4" w14:textId="77777777" w:rsidR="00294D59" w:rsidRPr="00E14102" w:rsidRDefault="00294D59" w:rsidP="00E14102">
      <w:pPr>
        <w:jc w:val="both"/>
        <w:rPr>
          <w:color w:val="0070C0"/>
          <w:sz w:val="16"/>
          <w:szCs w:val="16"/>
        </w:rPr>
      </w:pPr>
      <w:r w:rsidRPr="00E14102">
        <w:rPr>
          <w:color w:val="0070C0"/>
          <w:sz w:val="16"/>
          <w:szCs w:val="16"/>
        </w:rPr>
        <w:t>* Летные характеристики не фиксировались (20361).</w:t>
      </w:r>
    </w:p>
    <w:p w14:paraId="20FA15C4" w14:textId="77777777" w:rsidR="00294D59" w:rsidRPr="00E14102" w:rsidRDefault="00294D59" w:rsidP="00E14102">
      <w:pPr>
        <w:shd w:val="clear" w:color="auto" w:fill="FFFFFF"/>
        <w:jc w:val="both"/>
        <w:rPr>
          <w:color w:val="0070C0"/>
          <w:sz w:val="16"/>
          <w:szCs w:val="16"/>
        </w:rPr>
      </w:pPr>
    </w:p>
    <w:p w14:paraId="4BA3BC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сентября 1935 года в 10 часов утра в районе Толмачевского аэродрома произошла катастрофа самолета “Р-5” 11-й авиаэскадрильи 257 авиабригады, пилотируемого командиром авиаэскадрильи Шевяковым, член ВКП(б) с 1916 года, с начальником связи эскадрильи Курдюмовым – член ВКП(б).</w:t>
      </w:r>
    </w:p>
    <w:p w14:paraId="6394B7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результате катастрофы Шевяков погиб, Курдюмов получил тяжелые ожоги.</w:t>
      </w:r>
    </w:p>
    <w:p w14:paraId="5B48FC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Обстоятельства катастрофы:</w:t>
      </w:r>
    </w:p>
    <w:p w14:paraId="1A1C2F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Шевяков, имея задание на слепой полет при выполнении задания, не выдержал курса, скорости и высоты, при выходе самолета из правого крена с работающим мотором врезался в землю и сгорел (3475,98).</w:t>
      </w:r>
    </w:p>
    <w:p w14:paraId="464D563C" w14:textId="77777777" w:rsidR="00D4105E" w:rsidRPr="00E14102" w:rsidRDefault="00D4105E" w:rsidP="00E14102">
      <w:pPr>
        <w:autoSpaceDE w:val="0"/>
        <w:autoSpaceDN w:val="0"/>
        <w:adjustRightInd w:val="0"/>
        <w:jc w:val="both"/>
        <w:rPr>
          <w:color w:val="000000" w:themeColor="text1"/>
          <w:sz w:val="16"/>
          <w:szCs w:val="16"/>
        </w:rPr>
      </w:pPr>
    </w:p>
    <w:p w14:paraId="1FF207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сентября 1935 года в Харькове в 452 авиабригаде произошла авария самолета Р-5 в результате которой самолет разбит на 100%, экипаж получил тяжелые ранения (3475,98).</w:t>
      </w:r>
    </w:p>
    <w:p w14:paraId="230A18D9" w14:textId="77777777" w:rsidR="00D4105E" w:rsidRPr="00E14102" w:rsidRDefault="00D4105E" w:rsidP="00E14102">
      <w:pPr>
        <w:autoSpaceDE w:val="0"/>
        <w:autoSpaceDN w:val="0"/>
        <w:adjustRightInd w:val="0"/>
        <w:jc w:val="both"/>
        <w:rPr>
          <w:color w:val="000000" w:themeColor="text1"/>
          <w:sz w:val="16"/>
          <w:szCs w:val="16"/>
        </w:rPr>
      </w:pPr>
    </w:p>
    <w:p w14:paraId="55680B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сентября 1935 года в 10 часов 15 минут на аэродроме Чита произошла авария самолета И-16, пилотируемого помощником ком. войсками по ВС Шалимо, в результате которой Шалимо получил ушибы и легкие ранения.</w:t>
      </w:r>
    </w:p>
    <w:p w14:paraId="139F88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Обстоятельства аварии: Шалимо, убрав шасси в полете не смог их выпустить при заходе на посадку. Ряд попыток, произведенных Шалимо, выпустить шасси окончились безрезультатно, вследствие чего посадку произвел с полуубранными шасси и включенным мотором, в результате потерпел аварию. Винтомоторная группа оторвалась от фюзеляжа. Фюзеляж деформирован (3475,98).</w:t>
      </w:r>
    </w:p>
    <w:p w14:paraId="6A4A2F8E" w14:textId="77777777" w:rsidR="00D4105E" w:rsidRPr="00E14102" w:rsidRDefault="00D4105E" w:rsidP="00E14102">
      <w:pPr>
        <w:autoSpaceDE w:val="0"/>
        <w:autoSpaceDN w:val="0"/>
        <w:adjustRightInd w:val="0"/>
        <w:jc w:val="both"/>
        <w:rPr>
          <w:color w:val="000000" w:themeColor="text1"/>
          <w:sz w:val="16"/>
          <w:szCs w:val="16"/>
        </w:rPr>
      </w:pPr>
    </w:p>
    <w:p w14:paraId="57DE6C3F" w14:textId="77777777" w:rsidR="00294D59" w:rsidRPr="00E14102" w:rsidRDefault="00294D59"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17 сентября 1935 был подведен бухгал</w:t>
      </w:r>
      <w:r w:rsidRPr="00E14102">
        <w:rPr>
          <w:color w:val="000000" w:themeColor="text1"/>
          <w:sz w:val="16"/>
          <w:szCs w:val="16"/>
        </w:rPr>
        <w:softHyphen/>
        <w:t>терский баланс по строительству КСМ. После чего процедура лик</w:t>
      </w:r>
      <w:r w:rsidRPr="00E14102">
        <w:rPr>
          <w:color w:val="000000" w:themeColor="text1"/>
          <w:sz w:val="16"/>
          <w:szCs w:val="16"/>
        </w:rPr>
        <w:softHyphen/>
        <w:t>видации ГГАТ ГВФ была успешно заверше</w:t>
      </w:r>
      <w:r w:rsidRPr="00E14102">
        <w:rPr>
          <w:color w:val="000000" w:themeColor="text1"/>
          <w:sz w:val="16"/>
          <w:szCs w:val="16"/>
        </w:rPr>
        <w:softHyphen/>
        <w:t>на, и к ноябрю М.В.Веселовский с ближай</w:t>
      </w:r>
      <w:r w:rsidRPr="00E14102">
        <w:rPr>
          <w:color w:val="000000" w:themeColor="text1"/>
          <w:sz w:val="16"/>
          <w:szCs w:val="16"/>
        </w:rPr>
        <w:softHyphen/>
        <w:t>шими помощниками перешел на завод “Красный Металлист”, где был организо</w:t>
      </w:r>
      <w:r w:rsidRPr="00E14102">
        <w:rPr>
          <w:color w:val="000000" w:themeColor="text1"/>
          <w:sz w:val="16"/>
          <w:szCs w:val="16"/>
        </w:rPr>
        <w:softHyphen/>
        <w:t>ван аэросанный цех. Самолет же сдали за</w:t>
      </w:r>
      <w:r w:rsidRPr="00E14102">
        <w:rPr>
          <w:color w:val="000000" w:themeColor="text1"/>
          <w:sz w:val="16"/>
          <w:szCs w:val="16"/>
        </w:rPr>
        <w:softHyphen/>
        <w:t>казчику — ГАЗу (10715).</w:t>
      </w:r>
    </w:p>
    <w:p w14:paraId="0AEB8A53" w14:textId="77777777" w:rsidR="00294D59" w:rsidRPr="00E14102" w:rsidRDefault="00294D59" w:rsidP="00E14102">
      <w:pPr>
        <w:shd w:val="clear" w:color="auto" w:fill="FFFFFF"/>
        <w:autoSpaceDE w:val="0"/>
        <w:autoSpaceDN w:val="0"/>
        <w:adjustRightInd w:val="0"/>
        <w:jc w:val="both"/>
        <w:rPr>
          <w:color w:val="000000" w:themeColor="text1"/>
          <w:sz w:val="16"/>
          <w:szCs w:val="16"/>
        </w:rPr>
      </w:pPr>
    </w:p>
    <w:p w14:paraId="6FA536F7" w14:textId="77777777" w:rsidR="00294D59" w:rsidRPr="00E14102" w:rsidRDefault="00294D59" w:rsidP="00E14102">
      <w:pPr>
        <w:jc w:val="both"/>
        <w:rPr>
          <w:color w:val="0070C0"/>
          <w:sz w:val="16"/>
          <w:szCs w:val="16"/>
        </w:rPr>
      </w:pPr>
      <w:r w:rsidRPr="00E14102">
        <w:rPr>
          <w:color w:val="0070C0"/>
          <w:sz w:val="16"/>
          <w:szCs w:val="16"/>
        </w:rPr>
        <w:t>17 сентября 1935 г. самолет П-5 (гражданская модификация разведчика Р-5) с загруженным топливом планером Г-14 «на прицепе» перелетел из Москвы в Коктебель, пройдя без посадки 1524 км за 10,5 часа в плохую погоду (23013).</w:t>
      </w:r>
    </w:p>
    <w:p w14:paraId="303A8443" w14:textId="77777777" w:rsidR="00294D59" w:rsidRPr="00E14102" w:rsidRDefault="00294D59" w:rsidP="00E14102">
      <w:pPr>
        <w:jc w:val="both"/>
        <w:rPr>
          <w:color w:val="0070C0"/>
          <w:sz w:val="16"/>
          <w:szCs w:val="16"/>
        </w:rPr>
      </w:pPr>
    </w:p>
    <w:p w14:paraId="6D468ACF" w14:textId="77777777" w:rsidR="00294D59" w:rsidRPr="00E14102" w:rsidRDefault="00294D59" w:rsidP="00E14102">
      <w:pPr>
        <w:autoSpaceDE w:val="0"/>
        <w:autoSpaceDN w:val="0"/>
        <w:adjustRightInd w:val="0"/>
        <w:jc w:val="both"/>
        <w:rPr>
          <w:color w:val="000000" w:themeColor="text1"/>
          <w:sz w:val="16"/>
          <w:szCs w:val="16"/>
        </w:rPr>
      </w:pPr>
      <w:r w:rsidRPr="00E14102">
        <w:rPr>
          <w:color w:val="000000" w:themeColor="text1"/>
          <w:sz w:val="16"/>
          <w:szCs w:val="16"/>
        </w:rPr>
        <w:t>17 сентября 1935 л И.С.Баранов и авиатехник М.Е.Захаров на П-5 и планерист К.М.Венслав на Г-14 совершили буксирный полет из Москвы в Коктебель с дозаправкой в воздухе, пройдя 1524 км за 10:30. Обратный полет выполнили 23 сентября за 8:10 (438,686).</w:t>
      </w:r>
    </w:p>
    <w:p w14:paraId="46481292" w14:textId="77777777" w:rsidR="00294D59" w:rsidRPr="00E14102" w:rsidRDefault="00294D59" w:rsidP="00E14102">
      <w:pPr>
        <w:autoSpaceDE w:val="0"/>
        <w:autoSpaceDN w:val="0"/>
        <w:adjustRightInd w:val="0"/>
        <w:jc w:val="both"/>
        <w:rPr>
          <w:color w:val="000000" w:themeColor="text1"/>
          <w:sz w:val="16"/>
          <w:szCs w:val="16"/>
        </w:rPr>
      </w:pPr>
    </w:p>
    <w:p w14:paraId="0327E29F" w14:textId="77777777" w:rsidR="004F0E48" w:rsidRPr="00E14102" w:rsidRDefault="004F0E48" w:rsidP="00E14102">
      <w:pPr>
        <w:jc w:val="both"/>
        <w:rPr>
          <w:rStyle w:val="ucoz-forum-post"/>
          <w:rFonts w:eastAsiaTheme="majorEastAsia"/>
          <w:color w:val="000000" w:themeColor="text1"/>
          <w:sz w:val="16"/>
          <w:szCs w:val="16"/>
        </w:rPr>
      </w:pPr>
      <w:r w:rsidRPr="00E14102">
        <w:rPr>
          <w:rStyle w:val="ucoz-forum-post"/>
          <w:rFonts w:eastAsiaTheme="majorEastAsia"/>
          <w:bCs/>
          <w:color w:val="000000" w:themeColor="text1"/>
          <w:sz w:val="16"/>
          <w:szCs w:val="16"/>
        </w:rPr>
        <w:t>17 сентября 1935 года</w:t>
      </w:r>
      <w:r w:rsidRPr="00E14102">
        <w:rPr>
          <w:rStyle w:val="ucoz-forum-post"/>
          <w:rFonts w:eastAsiaTheme="majorEastAsia"/>
          <w:color w:val="000000" w:themeColor="text1"/>
          <w:sz w:val="16"/>
          <w:szCs w:val="16"/>
        </w:rPr>
        <w:t xml:space="preserve"> Беспосадочный перелёт Москва – Коктебель аэропоезда в составе самолёта П-5 (лётчик И.С. Баранов) и планера-цистерны Г-14 ЦЛ-2А (пилот К.М. Венслав) с дозаправкой в полёте, 1.524 км за 10 час. 30 мин (14772).</w:t>
      </w:r>
    </w:p>
    <w:p w14:paraId="2C2DA8F5" w14:textId="77777777" w:rsidR="004F0E48" w:rsidRPr="00E14102" w:rsidRDefault="004F0E48" w:rsidP="00E14102">
      <w:pPr>
        <w:jc w:val="both"/>
        <w:rPr>
          <w:rStyle w:val="ucoz-forum-post"/>
          <w:rFonts w:eastAsiaTheme="majorEastAsia"/>
          <w:color w:val="000000" w:themeColor="text1"/>
          <w:sz w:val="16"/>
          <w:szCs w:val="16"/>
        </w:rPr>
      </w:pPr>
    </w:p>
    <w:p w14:paraId="6EB785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сентября 1935 подвели бухгалтерский баланс, после чего техникум ГГАТ был ликвидирован. Веселовский с ближайшими соратниками перешел на завод “Красный Металлист”, где организовал аэросанный цех. Самолет сдали ГАЗу (10212).</w:t>
      </w:r>
    </w:p>
    <w:p w14:paraId="1189E083" w14:textId="77777777" w:rsidR="00D4105E" w:rsidRPr="00E14102" w:rsidRDefault="00D4105E" w:rsidP="00E14102">
      <w:pPr>
        <w:autoSpaceDE w:val="0"/>
        <w:autoSpaceDN w:val="0"/>
        <w:adjustRightInd w:val="0"/>
        <w:jc w:val="both"/>
        <w:rPr>
          <w:color w:val="000000" w:themeColor="text1"/>
          <w:sz w:val="16"/>
          <w:szCs w:val="16"/>
        </w:rPr>
      </w:pPr>
    </w:p>
    <w:p w14:paraId="7176C70C"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17 сентября 1935 был подведен бухгалтерский баланс. После чего процедура ликвидации техникума ГГАТ была успешно завершена, и к ноябрю М.В.Веселовский с ближайшими помощниками перешел на завод «Красный Металлист», где был организован аэросанный цех. Самолет же сдали заказчику — ГАЗ-у (12683).</w:t>
      </w:r>
    </w:p>
    <w:p w14:paraId="74BEFFCE" w14:textId="77777777" w:rsidR="00164F4F" w:rsidRPr="00E14102" w:rsidRDefault="00164F4F" w:rsidP="00E14102">
      <w:pPr>
        <w:shd w:val="clear" w:color="auto" w:fill="FFFFFF"/>
        <w:jc w:val="both"/>
        <w:rPr>
          <w:color w:val="000000" w:themeColor="text1"/>
          <w:sz w:val="16"/>
          <w:szCs w:val="16"/>
        </w:rPr>
      </w:pPr>
    </w:p>
    <w:p w14:paraId="5E688A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сентября 1935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E14102">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E14102">
        <w:rPr>
          <w:color w:val="000000" w:themeColor="text1"/>
          <w:sz w:val="16"/>
          <w:szCs w:val="16"/>
        </w:rPr>
        <w:softHyphen/>
        <w:t>нейшем в чертежи внесли изменения, улучшив крепление алюминиево</w:t>
      </w:r>
      <w:r w:rsidRPr="00E14102">
        <w:rPr>
          <w:color w:val="000000" w:themeColor="text1"/>
          <w:sz w:val="16"/>
          <w:szCs w:val="16"/>
        </w:rPr>
        <w:softHyphen/>
        <w:t>го головного обтекателя с дном. Готовые образцы 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E14102">
        <w:rPr>
          <w:color w:val="000000" w:themeColor="text1"/>
          <w:sz w:val="16"/>
          <w:szCs w:val="16"/>
        </w:rPr>
        <w:softHyphen/>
        <w:t>сов модели 140900 и четыре пусковых трубы модели 101700 для полигон</w:t>
      </w:r>
      <w:r w:rsidRPr="00E14102">
        <w:rPr>
          <w:color w:val="000000" w:themeColor="text1"/>
          <w:sz w:val="16"/>
          <w:szCs w:val="16"/>
        </w:rPr>
        <w:softHyphen/>
        <w:t>ных испытаний (11402).</w:t>
      </w:r>
    </w:p>
    <w:p w14:paraId="6B87FD69" w14:textId="77777777" w:rsidR="00D4105E" w:rsidRPr="00E14102" w:rsidRDefault="00D4105E" w:rsidP="00E14102">
      <w:pPr>
        <w:autoSpaceDE w:val="0"/>
        <w:autoSpaceDN w:val="0"/>
        <w:adjustRightInd w:val="0"/>
        <w:jc w:val="both"/>
        <w:rPr>
          <w:color w:val="000000" w:themeColor="text1"/>
          <w:sz w:val="16"/>
          <w:szCs w:val="16"/>
        </w:rPr>
      </w:pPr>
    </w:p>
    <w:p w14:paraId="5B1194C9" w14:textId="77777777" w:rsidR="00F9595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C85D5BC" w14:textId="77777777" w:rsidR="00F9595A" w:rsidRPr="00E14102" w:rsidRDefault="00F9595A" w:rsidP="00E14102">
      <w:pPr>
        <w:autoSpaceDE w:val="0"/>
        <w:autoSpaceDN w:val="0"/>
        <w:adjustRightInd w:val="0"/>
        <w:jc w:val="both"/>
        <w:rPr>
          <w:iCs/>
          <w:color w:val="000000" w:themeColor="text1"/>
          <w:sz w:val="16"/>
          <w:szCs w:val="16"/>
        </w:rPr>
      </w:pPr>
    </w:p>
    <w:p w14:paraId="45656AA8" w14:textId="77777777" w:rsidR="00F9595A" w:rsidRPr="00E14102" w:rsidRDefault="00F9595A" w:rsidP="00E14102">
      <w:pPr>
        <w:pStyle w:val="rtejustify"/>
        <w:spacing w:before="0" w:after="0"/>
        <w:rPr>
          <w:color w:val="000000" w:themeColor="text1"/>
          <w:sz w:val="16"/>
          <w:szCs w:val="16"/>
        </w:rPr>
      </w:pPr>
      <w:r w:rsidRPr="00E14102">
        <w:rPr>
          <w:rStyle w:val="a6"/>
          <w:bCs/>
          <w:i w:val="0"/>
          <w:color w:val="000000" w:themeColor="text1"/>
          <w:sz w:val="16"/>
          <w:szCs w:val="16"/>
        </w:rPr>
        <w:t>17 сентября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121сс «О мероприятиях по развертыванию работ по ГИМам». (ГА РФ. Ф. Р</w:t>
      </w:r>
      <w:r w:rsidRPr="00E14102">
        <w:rPr>
          <w:color w:val="000000" w:themeColor="text1"/>
          <w:sz w:val="16"/>
          <w:szCs w:val="16"/>
        </w:rPr>
        <w:noBreakHyphen/>
        <w:t>8418. Оп. 28. Д. 7. Л. 106</w:t>
      </w:r>
      <w:r w:rsidRPr="00E14102">
        <w:rPr>
          <w:color w:val="000000" w:themeColor="text1"/>
          <w:sz w:val="16"/>
          <w:szCs w:val="16"/>
        </w:rPr>
        <w:noBreakHyphen/>
        <w:t>109) (15460).</w:t>
      </w:r>
    </w:p>
    <w:p w14:paraId="5EB9954F" w14:textId="77777777" w:rsidR="00F9595A" w:rsidRPr="00E14102" w:rsidRDefault="00F9595A" w:rsidP="00E14102">
      <w:pPr>
        <w:pStyle w:val="rtejustify"/>
        <w:spacing w:before="0" w:after="0"/>
        <w:rPr>
          <w:color w:val="000000" w:themeColor="text1"/>
          <w:sz w:val="16"/>
          <w:szCs w:val="16"/>
        </w:rPr>
      </w:pPr>
    </w:p>
    <w:p w14:paraId="10A1CF38" w14:textId="77777777" w:rsidR="00F9595A" w:rsidRPr="00E14102" w:rsidRDefault="00F9595A" w:rsidP="00E14102">
      <w:pPr>
        <w:pStyle w:val="rtejustify"/>
        <w:spacing w:before="0" w:after="0"/>
        <w:rPr>
          <w:color w:val="000000" w:themeColor="text1"/>
          <w:sz w:val="16"/>
          <w:szCs w:val="16"/>
        </w:rPr>
      </w:pPr>
      <w:r w:rsidRPr="00E14102">
        <w:rPr>
          <w:rStyle w:val="a6"/>
          <w:bCs/>
          <w:i w:val="0"/>
          <w:color w:val="000000" w:themeColor="text1"/>
          <w:sz w:val="16"/>
          <w:szCs w:val="16"/>
        </w:rPr>
        <w:t>17 сентября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122сс «Об обеспечении совершенной секретности работ т. Горского (ГИМ)». (ГА РФ. Ф. Р</w:t>
      </w:r>
      <w:r w:rsidRPr="00E14102">
        <w:rPr>
          <w:color w:val="000000" w:themeColor="text1"/>
          <w:sz w:val="16"/>
          <w:szCs w:val="16"/>
        </w:rPr>
        <w:noBreakHyphen/>
        <w:t>8418. Оп. 28. Д. 7. Л. 110</w:t>
      </w:r>
      <w:r w:rsidRPr="00E14102">
        <w:rPr>
          <w:color w:val="000000" w:themeColor="text1"/>
          <w:sz w:val="16"/>
          <w:szCs w:val="16"/>
        </w:rPr>
        <w:noBreakHyphen/>
        <w:t>115) (15460).</w:t>
      </w:r>
    </w:p>
    <w:p w14:paraId="2A9750D1" w14:textId="77777777" w:rsidR="00F9595A" w:rsidRPr="00E14102" w:rsidRDefault="00F9595A" w:rsidP="00E14102">
      <w:pPr>
        <w:pStyle w:val="rtejustify"/>
        <w:spacing w:before="0" w:after="0"/>
        <w:rPr>
          <w:color w:val="000000" w:themeColor="text1"/>
          <w:sz w:val="16"/>
          <w:szCs w:val="16"/>
        </w:rPr>
      </w:pPr>
    </w:p>
    <w:p w14:paraId="0A04219E" w14:textId="77777777" w:rsidR="00F9595A" w:rsidRPr="00E14102" w:rsidRDefault="00F9595A" w:rsidP="00E14102">
      <w:pPr>
        <w:pStyle w:val="rtejustify"/>
        <w:spacing w:before="0" w:after="0"/>
        <w:rPr>
          <w:color w:val="000000" w:themeColor="text1"/>
          <w:sz w:val="16"/>
          <w:szCs w:val="16"/>
        </w:rPr>
      </w:pPr>
      <w:r w:rsidRPr="00E14102">
        <w:rPr>
          <w:rStyle w:val="a6"/>
          <w:bCs/>
          <w:i w:val="0"/>
          <w:color w:val="000000" w:themeColor="text1"/>
          <w:sz w:val="16"/>
          <w:szCs w:val="16"/>
        </w:rPr>
        <w:t>17 сентября 1935 вышел приказ НКО №</w:t>
      </w:r>
      <w:r w:rsidRPr="00E14102">
        <w:rPr>
          <w:color w:val="000000" w:themeColor="text1"/>
          <w:sz w:val="16"/>
          <w:szCs w:val="16"/>
        </w:rPr>
        <w:t> 0076. О проведении войсковых испытаний зенитных авиаламп «ЗАМ» (15247).</w:t>
      </w:r>
    </w:p>
    <w:p w14:paraId="5B8A6D02" w14:textId="77777777" w:rsidR="00F9595A" w:rsidRPr="00E14102" w:rsidRDefault="00F9595A" w:rsidP="00E14102">
      <w:pPr>
        <w:pStyle w:val="rtejustify"/>
        <w:spacing w:before="0" w:after="0"/>
        <w:rPr>
          <w:color w:val="000000" w:themeColor="text1"/>
          <w:sz w:val="16"/>
          <w:szCs w:val="16"/>
        </w:rPr>
      </w:pPr>
    </w:p>
    <w:p w14:paraId="6884D1EC" w14:textId="77777777" w:rsidR="0090737B"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4A762FAA" w14:textId="77777777" w:rsidR="0090737B" w:rsidRPr="00E14102" w:rsidRDefault="0090737B" w:rsidP="00E14102">
      <w:pPr>
        <w:autoSpaceDE w:val="0"/>
        <w:autoSpaceDN w:val="0"/>
        <w:adjustRightInd w:val="0"/>
        <w:jc w:val="both"/>
        <w:rPr>
          <w:iCs/>
          <w:color w:val="000000" w:themeColor="text1"/>
          <w:sz w:val="16"/>
          <w:szCs w:val="16"/>
        </w:rPr>
      </w:pPr>
    </w:p>
    <w:p w14:paraId="330F59EF" w14:textId="77777777" w:rsidR="0090737B" w:rsidRPr="00E14102" w:rsidRDefault="0090737B" w:rsidP="00E14102">
      <w:pPr>
        <w:autoSpaceDE w:val="0"/>
        <w:autoSpaceDN w:val="0"/>
        <w:adjustRightInd w:val="0"/>
        <w:jc w:val="both"/>
        <w:rPr>
          <w:color w:val="000000" w:themeColor="text1"/>
          <w:sz w:val="16"/>
          <w:szCs w:val="16"/>
        </w:rPr>
      </w:pPr>
      <w:r w:rsidRPr="00E14102">
        <w:rPr>
          <w:color w:val="000000" w:themeColor="text1"/>
          <w:sz w:val="16"/>
          <w:szCs w:val="16"/>
        </w:rPr>
        <w:t>17 сентября 1935 г. завершились военные маневры под Киевом</w:t>
      </w:r>
      <w:r w:rsidR="00720B3A" w:rsidRPr="00E14102">
        <w:rPr>
          <w:color w:val="000000" w:themeColor="text1"/>
          <w:sz w:val="16"/>
          <w:szCs w:val="16"/>
        </w:rPr>
        <w:t>, которые шли с 12 сентября</w:t>
      </w:r>
      <w:r w:rsidRPr="00E14102">
        <w:rPr>
          <w:color w:val="000000" w:themeColor="text1"/>
          <w:sz w:val="16"/>
          <w:szCs w:val="16"/>
        </w:rPr>
        <w:t xml:space="preserve"> — советские войска отрабатывают то, что ровно через 6 лет сделает германская армия. </w:t>
      </w:r>
      <w:r w:rsidRPr="00E14102">
        <w:rPr>
          <w:bCs/>
          <w:color w:val="000000" w:themeColor="text1"/>
          <w:sz w:val="16"/>
          <w:szCs w:val="16"/>
        </w:rPr>
        <w:t>Разрабатывалась операция по окружению Киева и его обороне — ровно за шесть лет, почти день в день, до сдачи города. «Противник» наносил удары в обход в сходящихся направлениях. Пехота поднималась в атаку после мощной артподготовки и наступала за огневым валом. За прорывом обороны следовал ввод на оперативный простор подвижных соединений — танков и кавалерии. В месте предполагаемого замыкания кольца окружения выброшен был массовый десант, военная история тогда еще не знала такого. В нем участвовало 2953 человека, имевших на вооружении, кроме карабинов, 29 станковых пулеметов, 10 орудий, танк и 6 автомашин. «Парашютный десант большой воинской части, виденный мною под Киевом, я считаю фактом, не имеющим прецедента в мире», — написал заместитель начальника штаба французской армии генерал Луазо. Английский генерал Уэйвелл доносил правительству: «Если бы я сам не был свидетелем этого, я никогда не поверил бы, что подобная операция вообще возможна</w:t>
      </w:r>
      <w:r w:rsidR="00720B3A" w:rsidRPr="00E14102">
        <w:rPr>
          <w:bCs/>
          <w:color w:val="000000" w:themeColor="text1"/>
          <w:sz w:val="16"/>
          <w:szCs w:val="16"/>
        </w:rPr>
        <w:t>. Маневры развертывались в районе Бердичева, Сквиры, Киева. По силам красная и синяя стороны были почти равны. Всего привлекалось на маневры 75 тыс. человек, 25 тыс. лошадей, 800 танков, 500 самолетов</w:t>
      </w:r>
      <w:r w:rsidRPr="00E14102">
        <w:rPr>
          <w:color w:val="000000" w:themeColor="text1"/>
          <w:sz w:val="16"/>
          <w:szCs w:val="16"/>
        </w:rPr>
        <w:t xml:space="preserve"> (17328).</w:t>
      </w:r>
    </w:p>
    <w:p w14:paraId="6EFA031B" w14:textId="77777777" w:rsidR="0090737B" w:rsidRPr="00E14102" w:rsidRDefault="0090737B" w:rsidP="00E14102">
      <w:pPr>
        <w:autoSpaceDE w:val="0"/>
        <w:autoSpaceDN w:val="0"/>
        <w:adjustRightInd w:val="0"/>
        <w:jc w:val="both"/>
        <w:rPr>
          <w:color w:val="000000" w:themeColor="text1"/>
          <w:sz w:val="16"/>
          <w:szCs w:val="16"/>
        </w:rPr>
      </w:pPr>
    </w:p>
    <w:p w14:paraId="0856287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C5BD252" w14:textId="77777777" w:rsidR="00D4105E" w:rsidRPr="00E14102" w:rsidRDefault="00D4105E" w:rsidP="00E14102">
      <w:pPr>
        <w:autoSpaceDE w:val="0"/>
        <w:autoSpaceDN w:val="0"/>
        <w:adjustRightInd w:val="0"/>
        <w:jc w:val="both"/>
        <w:rPr>
          <w:iCs/>
          <w:color w:val="000000" w:themeColor="text1"/>
          <w:sz w:val="16"/>
          <w:szCs w:val="16"/>
        </w:rPr>
      </w:pPr>
    </w:p>
    <w:p w14:paraId="19A073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сентября 1935 совершил первый полет Ю-87V-1 - еще с разнесенным оперением (1125,29).</w:t>
      </w:r>
    </w:p>
    <w:p w14:paraId="3B72219C" w14:textId="77777777" w:rsidR="00D4105E" w:rsidRPr="00E14102" w:rsidRDefault="00D4105E" w:rsidP="00E14102">
      <w:pPr>
        <w:autoSpaceDE w:val="0"/>
        <w:autoSpaceDN w:val="0"/>
        <w:adjustRightInd w:val="0"/>
        <w:jc w:val="both"/>
        <w:rPr>
          <w:color w:val="000000" w:themeColor="text1"/>
          <w:sz w:val="16"/>
          <w:szCs w:val="16"/>
        </w:rPr>
      </w:pPr>
    </w:p>
    <w:p w14:paraId="248042D4" w14:textId="77777777" w:rsidR="004F0E48" w:rsidRPr="00E14102" w:rsidRDefault="004F0E48"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17 сентября </w:t>
      </w:r>
      <w:r w:rsidRPr="00E14102">
        <w:rPr>
          <w:color w:val="000000" w:themeColor="text1"/>
          <w:sz w:val="16"/>
          <w:szCs w:val="16"/>
        </w:rPr>
        <w:t>в 1935 году состоялся первый полёт немецкого пикирующего бомбардировщика «Юнкерс» «Ju.87» «Штука» (14772).</w:t>
      </w:r>
    </w:p>
    <w:p w14:paraId="67907ABB" w14:textId="77777777" w:rsidR="004F0E48" w:rsidRPr="00E14102" w:rsidRDefault="004F0E48" w:rsidP="00E14102">
      <w:pPr>
        <w:jc w:val="both"/>
        <w:rPr>
          <w:color w:val="000000" w:themeColor="text1"/>
          <w:sz w:val="16"/>
          <w:szCs w:val="16"/>
        </w:rPr>
      </w:pPr>
    </w:p>
    <w:p w14:paraId="747ED682" w14:textId="77777777" w:rsidR="00294D59" w:rsidRPr="00E14102" w:rsidRDefault="00294D59" w:rsidP="00E14102">
      <w:pPr>
        <w:jc w:val="both"/>
        <w:rPr>
          <w:color w:val="0070C0"/>
          <w:sz w:val="16"/>
          <w:szCs w:val="16"/>
        </w:rPr>
      </w:pPr>
      <w:r w:rsidRPr="00E14102">
        <w:rPr>
          <w:color w:val="0070C0"/>
          <w:sz w:val="16"/>
          <w:szCs w:val="16"/>
        </w:rPr>
        <w:t xml:space="preserve">17 сентября 1935 состоялся первый полет </w:t>
      </w:r>
      <w:r w:rsidRPr="00E14102">
        <w:rPr>
          <w:color w:val="0070C0"/>
          <w:sz w:val="16"/>
          <w:szCs w:val="16"/>
          <w:lang w:val="en-US"/>
        </w:rPr>
        <w:t>Junkers</w:t>
      </w:r>
      <w:r w:rsidRPr="00E14102">
        <w:rPr>
          <w:color w:val="0070C0"/>
          <w:sz w:val="16"/>
          <w:szCs w:val="16"/>
        </w:rPr>
        <w:t xml:space="preserve"> </w:t>
      </w:r>
      <w:r w:rsidRPr="00E14102">
        <w:rPr>
          <w:color w:val="0070C0"/>
          <w:sz w:val="16"/>
          <w:szCs w:val="16"/>
          <w:lang w:val="en-US"/>
        </w:rPr>
        <w:t>Ju</w:t>
      </w:r>
      <w:r w:rsidRPr="00E14102">
        <w:rPr>
          <w:color w:val="0070C0"/>
          <w:sz w:val="16"/>
          <w:szCs w:val="16"/>
        </w:rPr>
        <w:t xml:space="preserve"> 87  (20800).</w:t>
      </w:r>
    </w:p>
    <w:p w14:paraId="40F81E01" w14:textId="77777777" w:rsidR="00294D59" w:rsidRPr="00E14102" w:rsidRDefault="00294D59" w:rsidP="00E14102">
      <w:pPr>
        <w:jc w:val="both"/>
        <w:rPr>
          <w:color w:val="0070C0"/>
          <w:sz w:val="16"/>
          <w:szCs w:val="16"/>
        </w:rPr>
      </w:pPr>
    </w:p>
    <w:p w14:paraId="09A3F20B" w14:textId="77777777" w:rsidR="00294D59" w:rsidRPr="00E14102" w:rsidRDefault="00294D59" w:rsidP="00E14102">
      <w:pPr>
        <w:jc w:val="both"/>
        <w:rPr>
          <w:color w:val="0070C0"/>
          <w:sz w:val="16"/>
          <w:szCs w:val="16"/>
        </w:rPr>
      </w:pPr>
      <w:r w:rsidRPr="00E14102">
        <w:rPr>
          <w:color w:val="0070C0"/>
          <w:sz w:val="16"/>
          <w:szCs w:val="16"/>
        </w:rPr>
        <w:t>17 сентября 1935 - Первый полёт пикирующего бомбардировщика Юнкерс Ju-87V1 ("лаптёжника") на заводском аэродроме Дассау. Пилот Вилли Нюэнхофен. Конструктор машины — Герман Польман (Hermann Pohlmann) (22362).</w:t>
      </w:r>
    </w:p>
    <w:p w14:paraId="71895620" w14:textId="77777777" w:rsidR="00294D59" w:rsidRPr="00E14102" w:rsidRDefault="00294D59" w:rsidP="00E14102">
      <w:pPr>
        <w:jc w:val="both"/>
        <w:rPr>
          <w:color w:val="0070C0"/>
          <w:sz w:val="16"/>
          <w:szCs w:val="16"/>
        </w:rPr>
      </w:pPr>
    </w:p>
    <w:p w14:paraId="160C76DE" w14:textId="77777777" w:rsidR="00294D59" w:rsidRPr="00E14102" w:rsidRDefault="00294D59" w:rsidP="00E14102">
      <w:pPr>
        <w:jc w:val="both"/>
        <w:rPr>
          <w:color w:val="0070C0"/>
          <w:sz w:val="16"/>
          <w:szCs w:val="16"/>
        </w:rPr>
      </w:pPr>
      <w:r w:rsidRPr="00E14102">
        <w:rPr>
          <w:color w:val="0070C0"/>
          <w:sz w:val="16"/>
          <w:szCs w:val="16"/>
        </w:rPr>
        <w:t>17 сентября 1935 профессиональный бейсболист Лен Кенеке из команды Brooklyn Dodgers во время полета в Нью-Йорк становится настолько пьян, что его приковывают к сиденью и снимают с авиалайнера в Детройте, штат Мичиган. Выспавшись там в кресле аэропорта, он заказывает самолет, чтобы доставить его в Буффало , штат Нью-Йорк . Пока самолет летит над Канадой, Кенеке не соглашается с пилотом и другим пассажиром и пытается захватить контроль над самолетом. Чтобы избежать крушения, пилот и другой пассажир ударили его огнетушителем по голове , и он умер от кровоизлияния в мозг (20800).</w:t>
      </w:r>
    </w:p>
    <w:p w14:paraId="7738D5E5" w14:textId="77777777" w:rsidR="00294D59" w:rsidRPr="00E14102" w:rsidRDefault="00294D59" w:rsidP="00E14102">
      <w:pPr>
        <w:jc w:val="both"/>
        <w:rPr>
          <w:color w:val="0070C0"/>
          <w:sz w:val="16"/>
          <w:szCs w:val="16"/>
        </w:rPr>
      </w:pPr>
    </w:p>
    <w:p w14:paraId="2CC14F39" w14:textId="77777777" w:rsidR="004F0E48" w:rsidRPr="00E14102" w:rsidRDefault="004F0E48" w:rsidP="00E14102">
      <w:pPr>
        <w:jc w:val="both"/>
        <w:rPr>
          <w:color w:val="000000" w:themeColor="text1"/>
          <w:sz w:val="16"/>
          <w:szCs w:val="16"/>
        </w:rPr>
      </w:pPr>
      <w:r w:rsidRPr="00E14102">
        <w:rPr>
          <w:rStyle w:val="ucoz-forum-post"/>
          <w:rFonts w:eastAsiaTheme="majorEastAsia"/>
          <w:bCs/>
          <w:color w:val="000000" w:themeColor="text1"/>
          <w:sz w:val="16"/>
          <w:szCs w:val="16"/>
        </w:rPr>
        <w:t>17 сентября 1935 года</w:t>
      </w:r>
      <w:r w:rsidRPr="00E14102">
        <w:rPr>
          <w:color w:val="000000" w:themeColor="text1"/>
          <w:sz w:val="16"/>
          <w:szCs w:val="16"/>
        </w:rPr>
        <w:t>в 1908 году происходит первый несчастный случай с членом экипажа аэроплана: в Форт-Мейере (штат Вирджиния, США), в 17:18 биплан Армии США «Wright Flyer III», пилотируемый Орвиллом Райтом терпит аварию и падает с высоты около 75-100 футов. Погибает пассажир - лейтенант сигнального корпуса армии США Томас Этолин Селфридж (Thomas Selfridge). Серьезные травмы получает и сам Райт (переломы ребер, таза и ноги). Авария произошла во время армейских приемных испытаний и была вызвана поломкой одной из лопастей воздушного винта. Разбалансированная неповрежденная лопасть перебила одну из расчалок, крепивших консольную балку руля направления к крыльям, вызвав тем самым падение аэроплана с высоты 22,5 метра (14772).</w:t>
      </w:r>
    </w:p>
    <w:p w14:paraId="0F08F7C8" w14:textId="77777777" w:rsidR="004F0E48" w:rsidRPr="00E14102" w:rsidRDefault="004F0E48" w:rsidP="00E14102">
      <w:pPr>
        <w:jc w:val="both"/>
        <w:rPr>
          <w:color w:val="000000" w:themeColor="text1"/>
          <w:sz w:val="16"/>
          <w:szCs w:val="16"/>
        </w:rPr>
      </w:pPr>
    </w:p>
    <w:p w14:paraId="66165E5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32F0429" w14:textId="77777777" w:rsidR="00D4105E" w:rsidRPr="00E14102" w:rsidRDefault="00D4105E" w:rsidP="00E14102">
      <w:pPr>
        <w:autoSpaceDE w:val="0"/>
        <w:autoSpaceDN w:val="0"/>
        <w:adjustRightInd w:val="0"/>
        <w:jc w:val="both"/>
        <w:rPr>
          <w:iCs/>
          <w:color w:val="000000" w:themeColor="text1"/>
          <w:sz w:val="16"/>
          <w:szCs w:val="16"/>
        </w:rPr>
      </w:pPr>
    </w:p>
    <w:p w14:paraId="3DBF3B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сентября 1935 вышло постановление СТО N С-120сс "Об изменениях в плане опытного строительства по самолетам для ГВФ" В.М.М. (2161,101).</w:t>
      </w:r>
    </w:p>
    <w:p w14:paraId="6C5527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изменение постановлений СТО N С-39сс от 16 мая 1935 и N С-81сс от 4 июля 1935 СТО постановляет:</w:t>
      </w:r>
    </w:p>
    <w:p w14:paraId="19DAD8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Установить новые сроки сдачи на гос. испытания следующих опытных самолетов для ГВФ: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3599D" w:rsidRPr="00E14102" w14:paraId="3B3AB155" w14:textId="77777777">
        <w:tc>
          <w:tcPr>
            <w:tcW w:w="5636" w:type="dxa"/>
            <w:tcBorders>
              <w:top w:val="single" w:sz="12" w:space="0" w:color="auto"/>
            </w:tcBorders>
          </w:tcPr>
          <w:p w14:paraId="7BA84B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завод 39</w:t>
            </w:r>
          </w:p>
        </w:tc>
        <w:tc>
          <w:tcPr>
            <w:tcW w:w="5636" w:type="dxa"/>
            <w:tcBorders>
              <w:top w:val="single" w:sz="12" w:space="0" w:color="auto"/>
            </w:tcBorders>
          </w:tcPr>
          <w:p w14:paraId="0270C4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марта 1936 вместо 1 ноября 1935</w:t>
            </w:r>
          </w:p>
        </w:tc>
      </w:tr>
      <w:tr w:rsidR="00E3599D" w:rsidRPr="00E14102" w14:paraId="052C5AB0" w14:textId="77777777">
        <w:tc>
          <w:tcPr>
            <w:tcW w:w="5636" w:type="dxa"/>
          </w:tcPr>
          <w:p w14:paraId="55B1E0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АНТ-35 СБ ЦАГИ</w:t>
            </w:r>
          </w:p>
        </w:tc>
        <w:tc>
          <w:tcPr>
            <w:tcW w:w="5636" w:type="dxa"/>
          </w:tcPr>
          <w:p w14:paraId="240F97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августа 1936 вместо 1 ноября 1935</w:t>
            </w:r>
          </w:p>
        </w:tc>
      </w:tr>
      <w:tr w:rsidR="00E3599D" w:rsidRPr="00E14102" w14:paraId="51718117" w14:textId="77777777">
        <w:tc>
          <w:tcPr>
            <w:tcW w:w="5636" w:type="dxa"/>
          </w:tcPr>
          <w:p w14:paraId="119FD3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Сталь-11 завода 81</w:t>
            </w:r>
          </w:p>
        </w:tc>
        <w:tc>
          <w:tcPr>
            <w:tcW w:w="5636" w:type="dxa"/>
          </w:tcPr>
          <w:p w14:paraId="3B734D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января 1936 вместо 1 октября 1935</w:t>
            </w:r>
          </w:p>
        </w:tc>
      </w:tr>
      <w:tr w:rsidR="00E3599D" w:rsidRPr="00E14102" w14:paraId="5C656404" w14:textId="77777777">
        <w:tc>
          <w:tcPr>
            <w:tcW w:w="5636" w:type="dxa"/>
          </w:tcPr>
          <w:p w14:paraId="0A723B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АРК-3 (МДР-6) - 1-й.</w:t>
            </w:r>
          </w:p>
        </w:tc>
        <w:tc>
          <w:tcPr>
            <w:tcW w:w="5636" w:type="dxa"/>
          </w:tcPr>
          <w:p w14:paraId="5B6C14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января 1936 вместо 2 июля 1935</w:t>
            </w:r>
          </w:p>
        </w:tc>
      </w:tr>
      <w:tr w:rsidR="00E3599D" w:rsidRPr="00E14102" w14:paraId="3459A118" w14:textId="77777777">
        <w:tc>
          <w:tcPr>
            <w:tcW w:w="5636" w:type="dxa"/>
          </w:tcPr>
          <w:p w14:paraId="38BACB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2-й</w:t>
            </w:r>
          </w:p>
        </w:tc>
        <w:tc>
          <w:tcPr>
            <w:tcW w:w="5636" w:type="dxa"/>
          </w:tcPr>
          <w:p w14:paraId="712BB2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июля 1936 вместо 1 января 1936</w:t>
            </w:r>
          </w:p>
        </w:tc>
      </w:tr>
      <w:tr w:rsidR="00E3599D" w:rsidRPr="00E14102" w14:paraId="29864EAA" w14:textId="77777777">
        <w:tc>
          <w:tcPr>
            <w:tcW w:w="5636" w:type="dxa"/>
            <w:tcBorders>
              <w:bottom w:val="single" w:sz="12" w:space="0" w:color="auto"/>
            </w:tcBorders>
          </w:tcPr>
          <w:p w14:paraId="6D85D4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Сталь-7 СНИИ ГУГВФ</w:t>
            </w:r>
          </w:p>
        </w:tc>
        <w:tc>
          <w:tcPr>
            <w:tcW w:w="5636" w:type="dxa"/>
            <w:tcBorders>
              <w:bottom w:val="single" w:sz="12" w:space="0" w:color="auto"/>
            </w:tcBorders>
          </w:tcPr>
          <w:p w14:paraId="423941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марта 1936 вместо 1 ноября 1935</w:t>
            </w:r>
          </w:p>
        </w:tc>
      </w:tr>
    </w:tbl>
    <w:p w14:paraId="208498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Поручить Н.Куйбышеву и Хаханьяну совместно с НКФ СССР проверить заявку НКТП на финансирование опытного строительства гражданских самолетов в соответствии с принятым СТО планом 1 июля 1935.</w:t>
      </w:r>
    </w:p>
    <w:p w14:paraId="19CD62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тт. Н.Куйбышеву и Хаханьяну и НКФ СССР проверить заявку ГУГВФ об отпуске дополнительных ассигнований на опытное строительство (2161,101).</w:t>
      </w:r>
    </w:p>
    <w:p w14:paraId="77444A7A" w14:textId="77777777" w:rsidR="00D4105E" w:rsidRPr="00E14102" w:rsidRDefault="00D4105E" w:rsidP="00E14102">
      <w:pPr>
        <w:autoSpaceDE w:val="0"/>
        <w:autoSpaceDN w:val="0"/>
        <w:adjustRightInd w:val="0"/>
        <w:jc w:val="both"/>
        <w:rPr>
          <w:color w:val="000000" w:themeColor="text1"/>
          <w:sz w:val="16"/>
          <w:szCs w:val="16"/>
        </w:rPr>
      </w:pPr>
    </w:p>
    <w:p w14:paraId="11EA14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сентября 1935 года в районе Павлово-Посаде произошла катастрофа самолета У-2 116-й истребительной эскадрильи пилотируемого пилотом Звонаревым, имевшего на борту двух летчиков той же эскадрильи комзвена Калмыкова и пилота Рева.</w:t>
      </w:r>
    </w:p>
    <w:p w14:paraId="5C1B4E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результате катастрофы Звонарев убит, Калмыков и Рева ранены. Самолет разбит (3475,98).</w:t>
      </w:r>
    </w:p>
    <w:p w14:paraId="1EA74E52" w14:textId="77777777" w:rsidR="00D4105E" w:rsidRPr="00E14102" w:rsidRDefault="00D4105E" w:rsidP="00E14102">
      <w:pPr>
        <w:autoSpaceDE w:val="0"/>
        <w:autoSpaceDN w:val="0"/>
        <w:adjustRightInd w:val="0"/>
        <w:jc w:val="both"/>
        <w:rPr>
          <w:color w:val="000000" w:themeColor="text1"/>
          <w:sz w:val="16"/>
          <w:szCs w:val="16"/>
        </w:rPr>
      </w:pPr>
    </w:p>
    <w:p w14:paraId="13746E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сентября 1935 в Сталинградской области приземлилось два польских воздушных шара Полония-2 и Варшава-2, пролетевшие 1540 км и 1620 км из Варшавы (438,697).</w:t>
      </w:r>
    </w:p>
    <w:p w14:paraId="74B03B13" w14:textId="77777777" w:rsidR="00D4105E" w:rsidRPr="00E14102" w:rsidRDefault="00D4105E" w:rsidP="00E14102">
      <w:pPr>
        <w:autoSpaceDE w:val="0"/>
        <w:autoSpaceDN w:val="0"/>
        <w:adjustRightInd w:val="0"/>
        <w:jc w:val="both"/>
        <w:rPr>
          <w:color w:val="000000" w:themeColor="text1"/>
          <w:sz w:val="16"/>
          <w:szCs w:val="16"/>
        </w:rPr>
      </w:pPr>
    </w:p>
    <w:p w14:paraId="27D73620" w14:textId="77777777" w:rsidR="00720B3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06442499" w14:textId="77777777" w:rsidR="00720B3A" w:rsidRPr="00E14102" w:rsidRDefault="00720B3A" w:rsidP="00E14102">
      <w:pPr>
        <w:autoSpaceDE w:val="0"/>
        <w:autoSpaceDN w:val="0"/>
        <w:adjustRightInd w:val="0"/>
        <w:jc w:val="both"/>
        <w:rPr>
          <w:iCs/>
          <w:color w:val="000000" w:themeColor="text1"/>
          <w:sz w:val="16"/>
          <w:szCs w:val="16"/>
        </w:rPr>
      </w:pPr>
    </w:p>
    <w:p w14:paraId="7F3CB32E" w14:textId="77777777" w:rsidR="00720B3A" w:rsidRPr="00E14102" w:rsidRDefault="00720B3A" w:rsidP="00E14102">
      <w:pPr>
        <w:autoSpaceDE w:val="0"/>
        <w:autoSpaceDN w:val="0"/>
        <w:adjustRightInd w:val="0"/>
        <w:jc w:val="both"/>
        <w:rPr>
          <w:color w:val="000000" w:themeColor="text1"/>
          <w:sz w:val="16"/>
          <w:szCs w:val="16"/>
        </w:rPr>
      </w:pPr>
      <w:r w:rsidRPr="00E14102">
        <w:rPr>
          <w:color w:val="000000" w:themeColor="text1"/>
          <w:sz w:val="16"/>
          <w:szCs w:val="16"/>
        </w:rPr>
        <w:t>18 сентября 1935 г. в районе Нахабино инженерный полк РККА провел испытания боевых отравляющих веществ. Солдаты полка РККА просто вылили несколько сотен килограммов иприта (дихлоридэтилсульфида) (17328).</w:t>
      </w:r>
    </w:p>
    <w:p w14:paraId="56B2F55A" w14:textId="77777777" w:rsidR="00720B3A" w:rsidRPr="00E14102" w:rsidRDefault="00720B3A" w:rsidP="00E14102">
      <w:pPr>
        <w:autoSpaceDE w:val="0"/>
        <w:autoSpaceDN w:val="0"/>
        <w:adjustRightInd w:val="0"/>
        <w:jc w:val="both"/>
        <w:rPr>
          <w:color w:val="000000" w:themeColor="text1"/>
          <w:sz w:val="16"/>
          <w:szCs w:val="16"/>
        </w:rPr>
      </w:pPr>
    </w:p>
    <w:p w14:paraId="2A7B717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CBC87B1" w14:textId="77777777" w:rsidR="00D4105E" w:rsidRPr="00E14102" w:rsidRDefault="00D4105E" w:rsidP="00E14102">
      <w:pPr>
        <w:autoSpaceDE w:val="0"/>
        <w:autoSpaceDN w:val="0"/>
        <w:adjustRightInd w:val="0"/>
        <w:jc w:val="both"/>
        <w:rPr>
          <w:iCs/>
          <w:color w:val="000000" w:themeColor="text1"/>
          <w:sz w:val="16"/>
          <w:szCs w:val="16"/>
        </w:rPr>
      </w:pPr>
    </w:p>
    <w:p w14:paraId="47AE8A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сентября 1935 П.М.Стефановский закончил испытания И-16 на штопор, которые шли с 10 сентября, чтобы составить подробную инструкцию по антиштопорным свойствам (2921,113).</w:t>
      </w:r>
    </w:p>
    <w:p w14:paraId="0E085F70" w14:textId="77777777" w:rsidR="00D4105E" w:rsidRPr="00E14102" w:rsidRDefault="00D4105E" w:rsidP="00E14102">
      <w:pPr>
        <w:autoSpaceDE w:val="0"/>
        <w:autoSpaceDN w:val="0"/>
        <w:adjustRightInd w:val="0"/>
        <w:jc w:val="both"/>
        <w:rPr>
          <w:color w:val="000000" w:themeColor="text1"/>
          <w:sz w:val="16"/>
          <w:szCs w:val="16"/>
        </w:rPr>
      </w:pPr>
    </w:p>
    <w:p w14:paraId="7241FA37" w14:textId="77777777" w:rsidR="00A077FF" w:rsidRPr="00E14102" w:rsidRDefault="00A077FF" w:rsidP="00E14102">
      <w:pPr>
        <w:jc w:val="both"/>
        <w:rPr>
          <w:color w:val="000000" w:themeColor="text1"/>
          <w:sz w:val="16"/>
          <w:szCs w:val="16"/>
        </w:rPr>
      </w:pPr>
      <w:r w:rsidRPr="00E14102">
        <w:rPr>
          <w:color w:val="000000" w:themeColor="text1"/>
          <w:sz w:val="16"/>
          <w:szCs w:val="16"/>
        </w:rPr>
        <w:t>19 сентября 1935 года Проект ПБ-1 с двигателем М-85 был одобрен для последующей  разработки как перспективный. В заключении по проекту было сказано: « В связи с ожидаемыми хорошими данными, обязать завод № 1, построить макет и запланировать изготовление опытного  экземпляра машины".</w:t>
      </w:r>
    </w:p>
    <w:p w14:paraId="68290877" w14:textId="77777777" w:rsidR="00A077FF" w:rsidRPr="00E14102" w:rsidRDefault="00A077FF" w:rsidP="00E14102">
      <w:pPr>
        <w:jc w:val="both"/>
        <w:rPr>
          <w:color w:val="000000" w:themeColor="text1"/>
          <w:sz w:val="16"/>
          <w:szCs w:val="16"/>
        </w:rPr>
      </w:pPr>
      <w:r w:rsidRPr="00E14102">
        <w:rPr>
          <w:color w:val="000000" w:themeColor="text1"/>
          <w:sz w:val="16"/>
          <w:szCs w:val="16"/>
        </w:rPr>
        <w:t>Планом опытного самолетостроения на 1936—1937 годы предполагалась постройка одномоторного пикирующего бомбардировщика ПБ с мотором М-85 на заводе № 1, с максимальной скоростью 400—450 км/ч при нормальной дальности полета 800 км.</w:t>
      </w:r>
    </w:p>
    <w:p w14:paraId="09369A12" w14:textId="77777777" w:rsidR="00A077FF" w:rsidRPr="00E14102" w:rsidRDefault="00A077FF" w:rsidP="00E14102">
      <w:pPr>
        <w:jc w:val="both"/>
        <w:rPr>
          <w:color w:val="000000" w:themeColor="text1"/>
          <w:sz w:val="16"/>
          <w:szCs w:val="16"/>
        </w:rPr>
      </w:pPr>
      <w:r w:rsidRPr="00E14102">
        <w:rPr>
          <w:color w:val="000000" w:themeColor="text1"/>
          <w:sz w:val="16"/>
          <w:szCs w:val="16"/>
        </w:rPr>
        <w:t>В “Отчете о состоянии опытного самолето- и моторостроения на 1 октября 1935 года” от 15 октября 1935 года, начальник 4 отдела УВС Базенков указывал, что по пикирующему бомбардировщику завода №1, “…ведется проектирования самолета. Эскизный проект представлен на рассмотрение УВС. Макет самолета построен, но еще не предъявлен…”.“…срок предъявления на госиспытания 1 марта 1936 года” ,“…ввиду того, что до настоящего времени постройка самолета не развернута, является весьма сомнительным, что завод № 1 выдержит срок предъявления на гос. испытания, стоящий в плане..” (15587).</w:t>
      </w:r>
    </w:p>
    <w:p w14:paraId="0EC15A0B" w14:textId="77777777" w:rsidR="00A077FF" w:rsidRPr="00E14102" w:rsidRDefault="00A077FF" w:rsidP="00E14102">
      <w:pPr>
        <w:jc w:val="both"/>
        <w:rPr>
          <w:color w:val="000000" w:themeColor="text1"/>
          <w:sz w:val="16"/>
          <w:szCs w:val="16"/>
        </w:rPr>
      </w:pPr>
      <w:r w:rsidRPr="00E14102">
        <w:rPr>
          <w:color w:val="000000" w:themeColor="text1"/>
          <w:sz w:val="16"/>
          <w:szCs w:val="16"/>
        </w:rPr>
        <w:t>В 1935 Группу Григоровича в количестве 25-30 конструкторов перевели с завода №1 на завод опытных конструкций (ЗОК) ЦАГИ. Так же передали и все недостроенные опытные модели самолетов, включая ПБ-1. Но ввиду специализации этого завода по разведчикам в 1937-м весь задел по самолету ПБ М-85 передали на завод №135 в Харьков. Где все и закончилось, с развитием темы ББ-2 “Иванов”, все другие незаконченные работы были закрыты.</w:t>
      </w:r>
    </w:p>
    <w:p w14:paraId="2AA7FFA3" w14:textId="77777777" w:rsidR="00A077FF" w:rsidRPr="00E14102" w:rsidRDefault="00A077FF" w:rsidP="00E14102">
      <w:pPr>
        <w:jc w:val="both"/>
        <w:rPr>
          <w:color w:val="000000" w:themeColor="text1"/>
          <w:sz w:val="16"/>
          <w:szCs w:val="16"/>
        </w:rPr>
      </w:pPr>
      <w:r w:rsidRPr="00E14102">
        <w:rPr>
          <w:color w:val="000000" w:themeColor="text1"/>
          <w:sz w:val="16"/>
          <w:szCs w:val="16"/>
        </w:rPr>
        <w:t>Сравнительные ЛТХ пикирующего бомбардировщика Григоровича и других аналогов 30-х годов.</w:t>
      </w:r>
    </w:p>
    <w:tbl>
      <w:tblPr>
        <w:tblW w:w="5000" w:type="pct"/>
        <w:tblCellSpacing w:w="0" w:type="dxa"/>
        <w:tblCellMar>
          <w:left w:w="0" w:type="dxa"/>
          <w:right w:w="0" w:type="dxa"/>
        </w:tblCellMar>
        <w:tblLook w:val="04A0" w:firstRow="1" w:lastRow="0" w:firstColumn="1" w:lastColumn="0" w:noHBand="0" w:noVBand="1"/>
      </w:tblPr>
      <w:tblGrid>
        <w:gridCol w:w="3156"/>
        <w:gridCol w:w="1230"/>
        <w:gridCol w:w="855"/>
        <w:gridCol w:w="1978"/>
        <w:gridCol w:w="1533"/>
        <w:gridCol w:w="2571"/>
      </w:tblGrid>
      <w:tr w:rsidR="00E3599D" w:rsidRPr="00E14102" w14:paraId="74110A7C"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06C711" w14:textId="77777777" w:rsidR="00A077FF" w:rsidRPr="00E14102" w:rsidRDefault="00A077FF" w:rsidP="00E14102">
            <w:pPr>
              <w:jc w:val="both"/>
              <w:rPr>
                <w:color w:val="000000" w:themeColor="text1"/>
                <w:sz w:val="16"/>
                <w:szCs w:val="16"/>
              </w:rPr>
            </w:pPr>
            <w:r w:rsidRPr="00E14102">
              <w:rPr>
                <w:color w:val="000000" w:themeColor="text1"/>
                <w:sz w:val="16"/>
                <w:szCs w:val="16"/>
              </w:rPr>
              <w:t>Наименование</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10F8927" w14:textId="77777777" w:rsidR="00A077FF" w:rsidRPr="00E14102" w:rsidRDefault="00A077FF" w:rsidP="00E14102">
            <w:pPr>
              <w:jc w:val="both"/>
              <w:rPr>
                <w:color w:val="000000" w:themeColor="text1"/>
                <w:sz w:val="16"/>
                <w:szCs w:val="16"/>
              </w:rPr>
            </w:pPr>
            <w:r w:rsidRPr="00E14102">
              <w:rPr>
                <w:color w:val="000000" w:themeColor="text1"/>
                <w:sz w:val="16"/>
                <w:szCs w:val="16"/>
              </w:rPr>
              <w:t>Григорович</w:t>
            </w:r>
          </w:p>
          <w:p w14:paraId="0C0D7CEE" w14:textId="77777777" w:rsidR="00A077FF" w:rsidRPr="00E14102" w:rsidRDefault="00A077FF" w:rsidP="00E14102">
            <w:pPr>
              <w:jc w:val="both"/>
              <w:rPr>
                <w:color w:val="000000" w:themeColor="text1"/>
                <w:sz w:val="16"/>
                <w:szCs w:val="16"/>
              </w:rPr>
            </w:pPr>
            <w:r w:rsidRPr="00E14102">
              <w:rPr>
                <w:color w:val="000000" w:themeColor="text1"/>
                <w:sz w:val="16"/>
                <w:szCs w:val="16"/>
              </w:rPr>
              <w:t>ПБ-1</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7E6F2E" w14:textId="77777777" w:rsidR="00A077FF" w:rsidRPr="00E14102" w:rsidRDefault="00A077FF" w:rsidP="00E14102">
            <w:pPr>
              <w:jc w:val="both"/>
              <w:rPr>
                <w:color w:val="000000" w:themeColor="text1"/>
                <w:sz w:val="16"/>
                <w:szCs w:val="16"/>
              </w:rPr>
            </w:pPr>
            <w:r w:rsidRPr="00E14102">
              <w:rPr>
                <w:color w:val="000000" w:themeColor="text1"/>
                <w:sz w:val="16"/>
                <w:szCs w:val="16"/>
              </w:rPr>
              <w:t>Саргоni</w:t>
            </w:r>
          </w:p>
          <w:p w14:paraId="197C24CF" w14:textId="77777777" w:rsidR="00A077FF" w:rsidRPr="00E14102" w:rsidRDefault="00A077FF" w:rsidP="00E14102">
            <w:pPr>
              <w:jc w:val="both"/>
              <w:rPr>
                <w:color w:val="000000" w:themeColor="text1"/>
                <w:sz w:val="16"/>
                <w:szCs w:val="16"/>
              </w:rPr>
            </w:pPr>
            <w:r w:rsidRPr="00E14102">
              <w:rPr>
                <w:color w:val="000000" w:themeColor="text1"/>
                <w:sz w:val="16"/>
                <w:szCs w:val="16"/>
              </w:rPr>
              <w:t>АР.1</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A9CDEA8" w14:textId="77777777" w:rsidR="00A077FF" w:rsidRPr="00E14102" w:rsidRDefault="00A077FF" w:rsidP="00E14102">
            <w:pPr>
              <w:jc w:val="both"/>
              <w:rPr>
                <w:color w:val="000000" w:themeColor="text1"/>
                <w:sz w:val="16"/>
                <w:szCs w:val="16"/>
              </w:rPr>
            </w:pPr>
            <w:r w:rsidRPr="00E14102">
              <w:rPr>
                <w:color w:val="000000" w:themeColor="text1"/>
                <w:sz w:val="16"/>
                <w:szCs w:val="16"/>
              </w:rPr>
              <w:t>Nieu-port</w:t>
            </w:r>
          </w:p>
          <w:p w14:paraId="7F16BB7A" w14:textId="77777777" w:rsidR="00A077FF" w:rsidRPr="00E14102" w:rsidRDefault="00A077FF" w:rsidP="00E14102">
            <w:pPr>
              <w:jc w:val="both"/>
              <w:rPr>
                <w:color w:val="000000" w:themeColor="text1"/>
                <w:sz w:val="16"/>
                <w:szCs w:val="16"/>
              </w:rPr>
            </w:pPr>
            <w:r w:rsidRPr="00E14102">
              <w:rPr>
                <w:color w:val="000000" w:themeColor="text1"/>
                <w:sz w:val="16"/>
                <w:szCs w:val="16"/>
              </w:rPr>
              <w:t>LN140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6233F78" w14:textId="77777777" w:rsidR="00A077FF" w:rsidRPr="00E14102" w:rsidRDefault="00A077FF" w:rsidP="00E14102">
            <w:pPr>
              <w:jc w:val="both"/>
              <w:rPr>
                <w:color w:val="000000" w:themeColor="text1"/>
                <w:sz w:val="16"/>
                <w:szCs w:val="16"/>
              </w:rPr>
            </w:pPr>
            <w:r w:rsidRPr="00E14102">
              <w:rPr>
                <w:color w:val="000000" w:themeColor="text1"/>
                <w:sz w:val="16"/>
                <w:szCs w:val="16"/>
              </w:rPr>
              <w:t>Junkers</w:t>
            </w:r>
          </w:p>
          <w:p w14:paraId="314693B8" w14:textId="77777777" w:rsidR="00A077FF" w:rsidRPr="00E14102" w:rsidRDefault="00A077FF" w:rsidP="00E14102">
            <w:pPr>
              <w:jc w:val="both"/>
              <w:rPr>
                <w:color w:val="000000" w:themeColor="text1"/>
                <w:sz w:val="16"/>
                <w:szCs w:val="16"/>
              </w:rPr>
            </w:pPr>
            <w:r w:rsidRPr="00E14102">
              <w:rPr>
                <w:color w:val="000000" w:themeColor="text1"/>
                <w:sz w:val="16"/>
                <w:szCs w:val="16"/>
              </w:rPr>
              <w:t>Ju 87А-1</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B9DCB5D" w14:textId="77777777" w:rsidR="00A077FF" w:rsidRPr="00E14102" w:rsidRDefault="00A077FF" w:rsidP="00E14102">
            <w:pPr>
              <w:jc w:val="both"/>
              <w:rPr>
                <w:color w:val="000000" w:themeColor="text1"/>
                <w:sz w:val="16"/>
                <w:szCs w:val="16"/>
              </w:rPr>
            </w:pPr>
            <w:r w:rsidRPr="00E14102">
              <w:rPr>
                <w:color w:val="000000" w:themeColor="text1"/>
                <w:sz w:val="16"/>
                <w:szCs w:val="16"/>
              </w:rPr>
              <w:t>Ajchi</w:t>
            </w:r>
          </w:p>
          <w:p w14:paraId="6F8FA099" w14:textId="77777777" w:rsidR="00A077FF" w:rsidRPr="00E14102" w:rsidRDefault="00A077FF" w:rsidP="00E14102">
            <w:pPr>
              <w:jc w:val="both"/>
              <w:rPr>
                <w:color w:val="000000" w:themeColor="text1"/>
                <w:sz w:val="16"/>
                <w:szCs w:val="16"/>
              </w:rPr>
            </w:pPr>
            <w:r w:rsidRPr="00E14102">
              <w:rPr>
                <w:color w:val="000000" w:themeColor="text1"/>
                <w:sz w:val="16"/>
                <w:szCs w:val="16"/>
              </w:rPr>
              <w:t>D-3A-1</w:t>
            </w:r>
          </w:p>
        </w:tc>
      </w:tr>
      <w:tr w:rsidR="00E3599D" w:rsidRPr="00E14102" w14:paraId="14E0B758"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CCC2F75" w14:textId="77777777" w:rsidR="00A077FF" w:rsidRPr="00E14102" w:rsidRDefault="00A077FF" w:rsidP="00E14102">
            <w:pPr>
              <w:jc w:val="both"/>
              <w:rPr>
                <w:color w:val="000000" w:themeColor="text1"/>
                <w:sz w:val="16"/>
                <w:szCs w:val="16"/>
              </w:rPr>
            </w:pPr>
            <w:r w:rsidRPr="00E14102">
              <w:rPr>
                <w:color w:val="000000" w:themeColor="text1"/>
                <w:sz w:val="16"/>
                <w:szCs w:val="16"/>
              </w:rPr>
              <w:t>Страна</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0457172" w14:textId="77777777" w:rsidR="00A077FF" w:rsidRPr="00E14102" w:rsidRDefault="00A077FF" w:rsidP="00E14102">
            <w:pPr>
              <w:jc w:val="both"/>
              <w:rPr>
                <w:color w:val="000000" w:themeColor="text1"/>
                <w:sz w:val="16"/>
                <w:szCs w:val="16"/>
              </w:rPr>
            </w:pPr>
            <w:r w:rsidRPr="00E14102">
              <w:rPr>
                <w:color w:val="000000" w:themeColor="text1"/>
                <w:sz w:val="16"/>
                <w:szCs w:val="16"/>
              </w:rPr>
              <w:t>СССР</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31E095E" w14:textId="77777777" w:rsidR="00A077FF" w:rsidRPr="00E14102" w:rsidRDefault="00A077FF" w:rsidP="00E14102">
            <w:pPr>
              <w:jc w:val="both"/>
              <w:rPr>
                <w:color w:val="000000" w:themeColor="text1"/>
                <w:sz w:val="16"/>
                <w:szCs w:val="16"/>
              </w:rPr>
            </w:pPr>
            <w:r w:rsidRPr="00E14102">
              <w:rPr>
                <w:color w:val="000000" w:themeColor="text1"/>
                <w:sz w:val="16"/>
                <w:szCs w:val="16"/>
              </w:rPr>
              <w:t>Италия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25A24A8" w14:textId="77777777" w:rsidR="00A077FF" w:rsidRPr="00E14102" w:rsidRDefault="00A077FF" w:rsidP="00E14102">
            <w:pPr>
              <w:jc w:val="both"/>
              <w:rPr>
                <w:color w:val="000000" w:themeColor="text1"/>
                <w:sz w:val="16"/>
                <w:szCs w:val="16"/>
              </w:rPr>
            </w:pPr>
            <w:r w:rsidRPr="00E14102">
              <w:rPr>
                <w:color w:val="000000" w:themeColor="text1"/>
                <w:sz w:val="16"/>
                <w:szCs w:val="16"/>
              </w:rPr>
              <w:t>Франция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3CFBC6" w14:textId="77777777" w:rsidR="00A077FF" w:rsidRPr="00E14102" w:rsidRDefault="00A077FF" w:rsidP="00E14102">
            <w:pPr>
              <w:jc w:val="both"/>
              <w:rPr>
                <w:color w:val="000000" w:themeColor="text1"/>
                <w:sz w:val="16"/>
                <w:szCs w:val="16"/>
              </w:rPr>
            </w:pPr>
            <w:r w:rsidRPr="00E14102">
              <w:rPr>
                <w:color w:val="000000" w:themeColor="text1"/>
                <w:sz w:val="16"/>
                <w:szCs w:val="16"/>
              </w:rPr>
              <w:t>Германия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993C45B" w14:textId="77777777" w:rsidR="00A077FF" w:rsidRPr="00E14102" w:rsidRDefault="00A077FF" w:rsidP="00E14102">
            <w:pPr>
              <w:jc w:val="both"/>
              <w:rPr>
                <w:color w:val="000000" w:themeColor="text1"/>
                <w:sz w:val="16"/>
                <w:szCs w:val="16"/>
              </w:rPr>
            </w:pPr>
            <w:r w:rsidRPr="00E14102">
              <w:rPr>
                <w:color w:val="000000" w:themeColor="text1"/>
                <w:sz w:val="16"/>
                <w:szCs w:val="16"/>
              </w:rPr>
              <w:t>Япония</w:t>
            </w:r>
          </w:p>
        </w:tc>
      </w:tr>
      <w:tr w:rsidR="00E3599D" w:rsidRPr="00E14102" w14:paraId="55830B6C"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BE66E1C" w14:textId="77777777" w:rsidR="00A077FF" w:rsidRPr="00E14102" w:rsidRDefault="00A077FF" w:rsidP="00E14102">
            <w:pPr>
              <w:jc w:val="both"/>
              <w:rPr>
                <w:color w:val="000000" w:themeColor="text1"/>
                <w:sz w:val="16"/>
                <w:szCs w:val="16"/>
              </w:rPr>
            </w:pPr>
            <w:r w:rsidRPr="00E14102">
              <w:rPr>
                <w:color w:val="000000" w:themeColor="text1"/>
                <w:sz w:val="16"/>
                <w:szCs w:val="16"/>
              </w:rPr>
              <w:t>Год постройки</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21AD20F" w14:textId="77777777" w:rsidR="00A077FF" w:rsidRPr="00E14102" w:rsidRDefault="00A077FF" w:rsidP="00E14102">
            <w:pPr>
              <w:jc w:val="both"/>
              <w:rPr>
                <w:color w:val="000000" w:themeColor="text1"/>
                <w:sz w:val="16"/>
                <w:szCs w:val="16"/>
              </w:rPr>
            </w:pPr>
            <w:r w:rsidRPr="00E14102">
              <w:rPr>
                <w:color w:val="000000" w:themeColor="text1"/>
                <w:sz w:val="16"/>
                <w:szCs w:val="16"/>
              </w:rPr>
              <w:t>1935</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9F95187" w14:textId="77777777" w:rsidR="00A077FF" w:rsidRPr="00E14102" w:rsidRDefault="00A077FF" w:rsidP="00E14102">
            <w:pPr>
              <w:jc w:val="both"/>
              <w:rPr>
                <w:color w:val="000000" w:themeColor="text1"/>
                <w:sz w:val="16"/>
                <w:szCs w:val="16"/>
              </w:rPr>
            </w:pPr>
            <w:r w:rsidRPr="00E14102">
              <w:rPr>
                <w:color w:val="000000" w:themeColor="text1"/>
                <w:sz w:val="16"/>
                <w:szCs w:val="16"/>
              </w:rPr>
              <w:t>1935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CB99E34" w14:textId="77777777" w:rsidR="00A077FF" w:rsidRPr="00E14102" w:rsidRDefault="00A077FF" w:rsidP="00E14102">
            <w:pPr>
              <w:jc w:val="both"/>
              <w:rPr>
                <w:color w:val="000000" w:themeColor="text1"/>
                <w:sz w:val="16"/>
                <w:szCs w:val="16"/>
              </w:rPr>
            </w:pPr>
            <w:r w:rsidRPr="00E14102">
              <w:rPr>
                <w:color w:val="000000" w:themeColor="text1"/>
                <w:sz w:val="16"/>
                <w:szCs w:val="16"/>
              </w:rPr>
              <w:t>1935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7F71BF7" w14:textId="77777777" w:rsidR="00A077FF" w:rsidRPr="00E14102" w:rsidRDefault="00A077FF" w:rsidP="00E14102">
            <w:pPr>
              <w:jc w:val="both"/>
              <w:rPr>
                <w:color w:val="000000" w:themeColor="text1"/>
                <w:sz w:val="16"/>
                <w:szCs w:val="16"/>
              </w:rPr>
            </w:pPr>
            <w:r w:rsidRPr="00E14102">
              <w:rPr>
                <w:color w:val="000000" w:themeColor="text1"/>
                <w:sz w:val="16"/>
                <w:szCs w:val="16"/>
              </w:rPr>
              <w:t>1936</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DF89BEF" w14:textId="77777777" w:rsidR="00A077FF" w:rsidRPr="00E14102" w:rsidRDefault="00A077FF" w:rsidP="00E14102">
            <w:pPr>
              <w:jc w:val="both"/>
              <w:rPr>
                <w:color w:val="000000" w:themeColor="text1"/>
                <w:sz w:val="16"/>
                <w:szCs w:val="16"/>
              </w:rPr>
            </w:pPr>
            <w:r w:rsidRPr="00E14102">
              <w:rPr>
                <w:color w:val="000000" w:themeColor="text1"/>
                <w:sz w:val="16"/>
                <w:szCs w:val="16"/>
              </w:rPr>
              <w:t>1937-39</w:t>
            </w:r>
          </w:p>
        </w:tc>
      </w:tr>
      <w:tr w:rsidR="00E3599D" w:rsidRPr="00E14102" w14:paraId="553D3520"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F5A01C8" w14:textId="77777777" w:rsidR="00A077FF" w:rsidRPr="00E14102" w:rsidRDefault="00A077FF" w:rsidP="00E14102">
            <w:pPr>
              <w:jc w:val="both"/>
              <w:rPr>
                <w:color w:val="000000" w:themeColor="text1"/>
                <w:sz w:val="16"/>
                <w:szCs w:val="16"/>
              </w:rPr>
            </w:pPr>
            <w:r w:rsidRPr="00E14102">
              <w:rPr>
                <w:color w:val="000000" w:themeColor="text1"/>
                <w:sz w:val="16"/>
                <w:szCs w:val="16"/>
              </w:rPr>
              <w:t>Длина, м</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B031D70" w14:textId="77777777" w:rsidR="00A077FF" w:rsidRPr="00E14102" w:rsidRDefault="00A077FF" w:rsidP="00E14102">
            <w:pPr>
              <w:jc w:val="both"/>
              <w:rPr>
                <w:color w:val="000000" w:themeColor="text1"/>
                <w:sz w:val="16"/>
                <w:szCs w:val="16"/>
              </w:rPr>
            </w:pPr>
            <w:r w:rsidRPr="00E14102">
              <w:rPr>
                <w:color w:val="000000" w:themeColor="text1"/>
                <w:sz w:val="16"/>
                <w:szCs w:val="16"/>
              </w:rPr>
              <w:t>8,8</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18D2BFA" w14:textId="77777777" w:rsidR="00A077FF" w:rsidRPr="00E14102" w:rsidRDefault="00A077FF" w:rsidP="00E14102">
            <w:pPr>
              <w:jc w:val="both"/>
              <w:rPr>
                <w:color w:val="000000" w:themeColor="text1"/>
                <w:sz w:val="16"/>
                <w:szCs w:val="16"/>
              </w:rPr>
            </w:pPr>
            <w:r w:rsidRPr="00E14102">
              <w:rPr>
                <w:color w:val="000000" w:themeColor="text1"/>
                <w:sz w:val="16"/>
                <w:szCs w:val="16"/>
              </w:rPr>
              <w:t>9,80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FDCEAF0" w14:textId="77777777" w:rsidR="00A077FF" w:rsidRPr="00E14102" w:rsidRDefault="00A077FF" w:rsidP="00E14102">
            <w:pPr>
              <w:jc w:val="both"/>
              <w:rPr>
                <w:color w:val="000000" w:themeColor="text1"/>
                <w:sz w:val="16"/>
                <w:szCs w:val="16"/>
              </w:rPr>
            </w:pPr>
            <w:r w:rsidRPr="00E14102">
              <w:rPr>
                <w:color w:val="000000" w:themeColor="text1"/>
                <w:sz w:val="16"/>
                <w:szCs w:val="16"/>
              </w:rPr>
              <w:t>9,63</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92DE037" w14:textId="77777777" w:rsidR="00A077FF" w:rsidRPr="00E14102" w:rsidRDefault="00A077FF" w:rsidP="00E14102">
            <w:pPr>
              <w:jc w:val="both"/>
              <w:rPr>
                <w:color w:val="000000" w:themeColor="text1"/>
                <w:sz w:val="16"/>
                <w:szCs w:val="16"/>
              </w:rPr>
            </w:pPr>
            <w:r w:rsidRPr="00E14102">
              <w:rPr>
                <w:color w:val="000000" w:themeColor="text1"/>
                <w:sz w:val="16"/>
                <w:szCs w:val="16"/>
              </w:rPr>
              <w:t>10,8</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FFF6E75" w14:textId="77777777" w:rsidR="00A077FF" w:rsidRPr="00E14102" w:rsidRDefault="00A077FF" w:rsidP="00E14102">
            <w:pPr>
              <w:jc w:val="both"/>
              <w:rPr>
                <w:color w:val="000000" w:themeColor="text1"/>
                <w:sz w:val="16"/>
                <w:szCs w:val="16"/>
              </w:rPr>
            </w:pPr>
            <w:r w:rsidRPr="00E14102">
              <w:rPr>
                <w:color w:val="000000" w:themeColor="text1"/>
                <w:sz w:val="16"/>
                <w:szCs w:val="16"/>
              </w:rPr>
              <w:t>10,19</w:t>
            </w:r>
          </w:p>
        </w:tc>
      </w:tr>
      <w:tr w:rsidR="00E3599D" w:rsidRPr="00E14102" w14:paraId="3B741AC4"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2BF66D" w14:textId="77777777" w:rsidR="00A077FF" w:rsidRPr="00E14102" w:rsidRDefault="00A077FF" w:rsidP="00E14102">
            <w:pPr>
              <w:jc w:val="both"/>
              <w:rPr>
                <w:color w:val="000000" w:themeColor="text1"/>
                <w:sz w:val="16"/>
                <w:szCs w:val="16"/>
              </w:rPr>
            </w:pPr>
            <w:r w:rsidRPr="00E14102">
              <w:rPr>
                <w:color w:val="000000" w:themeColor="text1"/>
                <w:sz w:val="16"/>
                <w:szCs w:val="16"/>
              </w:rPr>
              <w:t>Размах крыла, м</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999795B" w14:textId="77777777" w:rsidR="00A077FF" w:rsidRPr="00E14102" w:rsidRDefault="00A077FF" w:rsidP="00E14102">
            <w:pPr>
              <w:jc w:val="both"/>
              <w:rPr>
                <w:color w:val="000000" w:themeColor="text1"/>
                <w:sz w:val="16"/>
                <w:szCs w:val="16"/>
              </w:rPr>
            </w:pPr>
            <w:r w:rsidRPr="00E14102">
              <w:rPr>
                <w:color w:val="000000" w:themeColor="text1"/>
                <w:sz w:val="16"/>
                <w:szCs w:val="16"/>
              </w:rPr>
              <w:t>12,5</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FD17605" w14:textId="77777777" w:rsidR="00A077FF" w:rsidRPr="00E14102" w:rsidRDefault="00A077FF" w:rsidP="00E14102">
            <w:pPr>
              <w:jc w:val="both"/>
              <w:rPr>
                <w:color w:val="000000" w:themeColor="text1"/>
                <w:sz w:val="16"/>
                <w:szCs w:val="16"/>
              </w:rPr>
            </w:pPr>
            <w:r w:rsidRPr="00E14102">
              <w:rPr>
                <w:color w:val="000000" w:themeColor="text1"/>
                <w:sz w:val="16"/>
                <w:szCs w:val="16"/>
              </w:rPr>
              <w:t>13,01</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1A96F1D" w14:textId="77777777" w:rsidR="00A077FF" w:rsidRPr="00E14102" w:rsidRDefault="00A077FF" w:rsidP="00E14102">
            <w:pPr>
              <w:jc w:val="both"/>
              <w:rPr>
                <w:color w:val="000000" w:themeColor="text1"/>
                <w:sz w:val="16"/>
                <w:szCs w:val="16"/>
              </w:rPr>
            </w:pPr>
            <w:r w:rsidRPr="00E14102">
              <w:rPr>
                <w:color w:val="000000" w:themeColor="text1"/>
                <w:sz w:val="16"/>
                <w:szCs w:val="16"/>
              </w:rPr>
              <w:t>14,0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C188872" w14:textId="77777777" w:rsidR="00A077FF" w:rsidRPr="00E14102" w:rsidRDefault="00A077FF" w:rsidP="00E14102">
            <w:pPr>
              <w:jc w:val="both"/>
              <w:rPr>
                <w:color w:val="000000" w:themeColor="text1"/>
                <w:sz w:val="16"/>
                <w:szCs w:val="16"/>
              </w:rPr>
            </w:pPr>
            <w:r w:rsidRPr="00E14102">
              <w:rPr>
                <w:color w:val="000000" w:themeColor="text1"/>
                <w:sz w:val="16"/>
                <w:szCs w:val="16"/>
              </w:rPr>
              <w:t>13,71</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37603E" w14:textId="77777777" w:rsidR="00A077FF" w:rsidRPr="00E14102" w:rsidRDefault="00A077FF" w:rsidP="00E14102">
            <w:pPr>
              <w:jc w:val="both"/>
              <w:rPr>
                <w:color w:val="000000" w:themeColor="text1"/>
                <w:sz w:val="16"/>
                <w:szCs w:val="16"/>
              </w:rPr>
            </w:pPr>
            <w:r w:rsidRPr="00E14102">
              <w:rPr>
                <w:color w:val="000000" w:themeColor="text1"/>
                <w:sz w:val="16"/>
                <w:szCs w:val="16"/>
              </w:rPr>
              <w:t>14,36</w:t>
            </w:r>
          </w:p>
        </w:tc>
      </w:tr>
      <w:tr w:rsidR="00E3599D" w:rsidRPr="00E14102" w14:paraId="232907D3"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033AEC9" w14:textId="77777777" w:rsidR="00A077FF" w:rsidRPr="00E14102" w:rsidRDefault="00A077FF" w:rsidP="00E14102">
            <w:pPr>
              <w:jc w:val="both"/>
              <w:rPr>
                <w:color w:val="000000" w:themeColor="text1"/>
                <w:sz w:val="16"/>
                <w:szCs w:val="16"/>
              </w:rPr>
            </w:pPr>
            <w:r w:rsidRPr="00E14102">
              <w:rPr>
                <w:color w:val="000000" w:themeColor="text1"/>
                <w:sz w:val="16"/>
                <w:szCs w:val="16"/>
              </w:rPr>
              <w:t>Площадь крыла, м</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9C55035" w14:textId="77777777" w:rsidR="00A077FF" w:rsidRPr="00E14102" w:rsidRDefault="00A077FF" w:rsidP="00E14102">
            <w:pPr>
              <w:jc w:val="both"/>
              <w:rPr>
                <w:color w:val="000000" w:themeColor="text1"/>
                <w:sz w:val="16"/>
                <w:szCs w:val="16"/>
              </w:rPr>
            </w:pPr>
            <w:r w:rsidRPr="00E14102">
              <w:rPr>
                <w:color w:val="000000" w:themeColor="text1"/>
                <w:sz w:val="16"/>
                <w:szCs w:val="16"/>
              </w:rPr>
              <w:t>24,0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1A2A60A" w14:textId="77777777" w:rsidR="00A077FF" w:rsidRPr="00E14102" w:rsidRDefault="00A077FF" w:rsidP="00E14102">
            <w:pPr>
              <w:jc w:val="both"/>
              <w:rPr>
                <w:color w:val="000000" w:themeColor="text1"/>
                <w:sz w:val="16"/>
                <w:szCs w:val="16"/>
              </w:rPr>
            </w:pPr>
            <w:r w:rsidRPr="00E14102">
              <w:rPr>
                <w:color w:val="000000" w:themeColor="text1"/>
                <w:sz w:val="16"/>
                <w:szCs w:val="16"/>
              </w:rPr>
              <w:t>24,10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7C8D4F5" w14:textId="77777777" w:rsidR="00A077FF" w:rsidRPr="00E14102" w:rsidRDefault="00A077FF" w:rsidP="00E14102">
            <w:pPr>
              <w:jc w:val="both"/>
              <w:rPr>
                <w:color w:val="000000" w:themeColor="text1"/>
                <w:sz w:val="16"/>
                <w:szCs w:val="16"/>
              </w:rPr>
            </w:pPr>
            <w:r w:rsidRPr="00E14102">
              <w:rPr>
                <w:color w:val="000000" w:themeColor="text1"/>
                <w:sz w:val="16"/>
                <w:szCs w:val="16"/>
              </w:rPr>
              <w:t>26,3</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E9E7047" w14:textId="77777777" w:rsidR="00A077FF" w:rsidRPr="00E14102" w:rsidRDefault="00A077FF" w:rsidP="00E14102">
            <w:pPr>
              <w:jc w:val="both"/>
              <w:rPr>
                <w:color w:val="000000" w:themeColor="text1"/>
                <w:sz w:val="16"/>
                <w:szCs w:val="16"/>
              </w:rPr>
            </w:pPr>
            <w:r w:rsidRPr="00E14102">
              <w:rPr>
                <w:color w:val="000000" w:themeColor="text1"/>
                <w:sz w:val="16"/>
                <w:szCs w:val="16"/>
              </w:rPr>
              <w:t>31,9</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F463340" w14:textId="77777777" w:rsidR="00A077FF" w:rsidRPr="00E14102" w:rsidRDefault="00A077FF" w:rsidP="00E14102">
            <w:pPr>
              <w:jc w:val="both"/>
              <w:rPr>
                <w:color w:val="000000" w:themeColor="text1"/>
                <w:sz w:val="16"/>
                <w:szCs w:val="16"/>
              </w:rPr>
            </w:pPr>
            <w:r w:rsidRPr="00E14102">
              <w:rPr>
                <w:color w:val="000000" w:themeColor="text1"/>
                <w:sz w:val="16"/>
                <w:szCs w:val="16"/>
              </w:rPr>
              <w:t>34,9</w:t>
            </w:r>
          </w:p>
        </w:tc>
      </w:tr>
      <w:tr w:rsidR="00E3599D" w:rsidRPr="00E14102" w14:paraId="34DB3163"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81E00DE" w14:textId="77777777" w:rsidR="00A077FF" w:rsidRPr="00E14102" w:rsidRDefault="00A077FF" w:rsidP="00E14102">
            <w:pPr>
              <w:jc w:val="both"/>
              <w:rPr>
                <w:color w:val="000000" w:themeColor="text1"/>
                <w:sz w:val="16"/>
                <w:szCs w:val="16"/>
              </w:rPr>
            </w:pPr>
            <w:r w:rsidRPr="00E14102">
              <w:rPr>
                <w:color w:val="000000" w:themeColor="text1"/>
                <w:sz w:val="16"/>
                <w:szCs w:val="16"/>
              </w:rPr>
              <w:t>Масса пустого, кг</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2142EF9" w14:textId="77777777" w:rsidR="00A077FF" w:rsidRPr="00E14102" w:rsidRDefault="00A077FF" w:rsidP="00E14102">
            <w:pPr>
              <w:jc w:val="both"/>
              <w:rPr>
                <w:color w:val="000000" w:themeColor="text1"/>
                <w:sz w:val="16"/>
                <w:szCs w:val="16"/>
              </w:rPr>
            </w:pPr>
            <w:r w:rsidRPr="00E14102">
              <w:rPr>
                <w:color w:val="000000" w:themeColor="text1"/>
                <w:sz w:val="16"/>
                <w:szCs w:val="16"/>
              </w:rPr>
              <w:t> </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B5AD6B4" w14:textId="77777777" w:rsidR="00A077FF" w:rsidRPr="00E14102" w:rsidRDefault="00A077FF" w:rsidP="00E14102">
            <w:pPr>
              <w:jc w:val="both"/>
              <w:rPr>
                <w:color w:val="000000" w:themeColor="text1"/>
                <w:sz w:val="16"/>
                <w:szCs w:val="16"/>
              </w:rPr>
            </w:pPr>
            <w:r w:rsidRPr="00E14102">
              <w:rPr>
                <w:color w:val="000000" w:themeColor="text1"/>
                <w:sz w:val="16"/>
                <w:szCs w:val="16"/>
              </w:rPr>
              <w:t>1600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EBA5D5" w14:textId="77777777" w:rsidR="00A077FF" w:rsidRPr="00E14102" w:rsidRDefault="00A077FF" w:rsidP="00E14102">
            <w:pPr>
              <w:jc w:val="both"/>
              <w:rPr>
                <w:color w:val="000000" w:themeColor="text1"/>
                <w:sz w:val="16"/>
                <w:szCs w:val="16"/>
              </w:rPr>
            </w:pPr>
            <w:r w:rsidRPr="00E14102">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945D28A" w14:textId="77777777" w:rsidR="00A077FF" w:rsidRPr="00E14102" w:rsidRDefault="00A077FF" w:rsidP="00E14102">
            <w:pPr>
              <w:jc w:val="both"/>
              <w:rPr>
                <w:color w:val="000000" w:themeColor="text1"/>
                <w:sz w:val="16"/>
                <w:szCs w:val="16"/>
              </w:rPr>
            </w:pPr>
            <w:r w:rsidRPr="00E14102">
              <w:rPr>
                <w:color w:val="000000" w:themeColor="text1"/>
                <w:sz w:val="16"/>
                <w:szCs w:val="16"/>
              </w:rPr>
              <w:t>2310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6AAE335" w14:textId="77777777" w:rsidR="00A077FF" w:rsidRPr="00E14102" w:rsidRDefault="00A077FF" w:rsidP="00E14102">
            <w:pPr>
              <w:jc w:val="both"/>
              <w:rPr>
                <w:color w:val="000000" w:themeColor="text1"/>
                <w:sz w:val="16"/>
                <w:szCs w:val="16"/>
              </w:rPr>
            </w:pPr>
            <w:r w:rsidRPr="00E14102">
              <w:rPr>
                <w:color w:val="000000" w:themeColor="text1"/>
                <w:sz w:val="16"/>
                <w:szCs w:val="16"/>
              </w:rPr>
              <w:t>2408</w:t>
            </w:r>
          </w:p>
        </w:tc>
      </w:tr>
      <w:tr w:rsidR="00E3599D" w:rsidRPr="00E14102" w14:paraId="5DF6AFB9"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802613B" w14:textId="77777777" w:rsidR="00A077FF" w:rsidRPr="00E14102" w:rsidRDefault="00A077FF" w:rsidP="00E14102">
            <w:pPr>
              <w:jc w:val="both"/>
              <w:rPr>
                <w:color w:val="000000" w:themeColor="text1"/>
                <w:sz w:val="16"/>
                <w:szCs w:val="16"/>
              </w:rPr>
            </w:pPr>
            <w:r w:rsidRPr="00E14102">
              <w:rPr>
                <w:color w:val="000000" w:themeColor="text1"/>
                <w:sz w:val="16"/>
                <w:szCs w:val="16"/>
              </w:rPr>
              <w:t>Масса взлетная, кг</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E58EC19" w14:textId="77777777" w:rsidR="00A077FF" w:rsidRPr="00E14102" w:rsidRDefault="00A077FF" w:rsidP="00E14102">
            <w:pPr>
              <w:jc w:val="both"/>
              <w:rPr>
                <w:color w:val="000000" w:themeColor="text1"/>
                <w:sz w:val="16"/>
                <w:szCs w:val="16"/>
              </w:rPr>
            </w:pPr>
            <w:r w:rsidRPr="00E14102">
              <w:rPr>
                <w:color w:val="000000" w:themeColor="text1"/>
                <w:sz w:val="16"/>
                <w:szCs w:val="16"/>
              </w:rPr>
              <w:t> </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6668DA" w14:textId="77777777" w:rsidR="00A077FF" w:rsidRPr="00E14102" w:rsidRDefault="00A077FF" w:rsidP="00E14102">
            <w:pPr>
              <w:jc w:val="both"/>
              <w:rPr>
                <w:color w:val="000000" w:themeColor="text1"/>
                <w:sz w:val="16"/>
                <w:szCs w:val="16"/>
              </w:rPr>
            </w:pPr>
            <w:r w:rsidRPr="00E14102">
              <w:rPr>
                <w:color w:val="000000" w:themeColor="text1"/>
                <w:sz w:val="16"/>
                <w:szCs w:val="16"/>
              </w:rPr>
              <w:t>2500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7D15115" w14:textId="77777777" w:rsidR="00A077FF" w:rsidRPr="00E14102" w:rsidRDefault="00A077FF" w:rsidP="00E14102">
            <w:pPr>
              <w:jc w:val="both"/>
              <w:rPr>
                <w:color w:val="000000" w:themeColor="text1"/>
                <w:sz w:val="16"/>
                <w:szCs w:val="16"/>
              </w:rPr>
            </w:pPr>
            <w:r w:rsidRPr="00E14102">
              <w:rPr>
                <w:color w:val="000000" w:themeColor="text1"/>
                <w:sz w:val="16"/>
                <w:szCs w:val="16"/>
              </w:rPr>
              <w:t>2470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4205CF5" w14:textId="77777777" w:rsidR="00A077FF" w:rsidRPr="00E14102" w:rsidRDefault="00A077FF" w:rsidP="00E14102">
            <w:pPr>
              <w:jc w:val="both"/>
              <w:rPr>
                <w:color w:val="000000" w:themeColor="text1"/>
                <w:sz w:val="16"/>
                <w:szCs w:val="16"/>
              </w:rPr>
            </w:pPr>
            <w:r w:rsidRPr="00E14102">
              <w:rPr>
                <w:color w:val="000000" w:themeColor="text1"/>
                <w:sz w:val="16"/>
                <w:szCs w:val="16"/>
              </w:rPr>
              <w:t>3390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9B040A" w14:textId="77777777" w:rsidR="00A077FF" w:rsidRPr="00E14102" w:rsidRDefault="00A077FF" w:rsidP="00E14102">
            <w:pPr>
              <w:jc w:val="both"/>
              <w:rPr>
                <w:color w:val="000000" w:themeColor="text1"/>
                <w:sz w:val="16"/>
                <w:szCs w:val="16"/>
              </w:rPr>
            </w:pPr>
            <w:r w:rsidRPr="00E14102">
              <w:rPr>
                <w:color w:val="000000" w:themeColor="text1"/>
                <w:sz w:val="16"/>
                <w:szCs w:val="16"/>
              </w:rPr>
              <w:t>3650</w:t>
            </w:r>
          </w:p>
        </w:tc>
      </w:tr>
      <w:tr w:rsidR="00E3599D" w:rsidRPr="00E14102" w14:paraId="18418F28"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BC03FF8" w14:textId="77777777" w:rsidR="00A077FF" w:rsidRPr="00E14102" w:rsidRDefault="00A077FF" w:rsidP="00E14102">
            <w:pPr>
              <w:jc w:val="both"/>
              <w:rPr>
                <w:color w:val="000000" w:themeColor="text1"/>
                <w:sz w:val="16"/>
                <w:szCs w:val="16"/>
              </w:rPr>
            </w:pPr>
            <w:r w:rsidRPr="00E14102">
              <w:rPr>
                <w:color w:val="000000" w:themeColor="text1"/>
                <w:sz w:val="16"/>
                <w:szCs w:val="16"/>
              </w:rPr>
              <w:lastRenderedPageBreak/>
              <w:t>Двигатель</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962FF48" w14:textId="77777777" w:rsidR="00A077FF" w:rsidRPr="00E14102" w:rsidRDefault="00A077FF" w:rsidP="00E14102">
            <w:pPr>
              <w:jc w:val="both"/>
              <w:rPr>
                <w:color w:val="000000" w:themeColor="text1"/>
                <w:sz w:val="16"/>
                <w:szCs w:val="16"/>
              </w:rPr>
            </w:pPr>
            <w:r w:rsidRPr="00E14102">
              <w:rPr>
                <w:color w:val="000000" w:themeColor="text1"/>
                <w:sz w:val="16"/>
                <w:szCs w:val="16"/>
              </w:rPr>
              <w:t>М-85</w:t>
            </w:r>
          </w:p>
          <w:p w14:paraId="65E86677" w14:textId="77777777" w:rsidR="00A077FF" w:rsidRPr="00E14102" w:rsidRDefault="00A077FF" w:rsidP="00E14102">
            <w:pPr>
              <w:jc w:val="both"/>
              <w:rPr>
                <w:color w:val="000000" w:themeColor="text1"/>
                <w:sz w:val="16"/>
                <w:szCs w:val="16"/>
              </w:rPr>
            </w:pPr>
            <w:r w:rsidRPr="00E14102">
              <w:rPr>
                <w:color w:val="000000" w:themeColor="text1"/>
                <w:sz w:val="16"/>
                <w:szCs w:val="16"/>
              </w:rPr>
              <w:t> </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FAFC012" w14:textId="77777777" w:rsidR="00A077FF" w:rsidRPr="00E14102" w:rsidRDefault="00A077FF" w:rsidP="00E14102">
            <w:pPr>
              <w:jc w:val="both"/>
              <w:rPr>
                <w:color w:val="000000" w:themeColor="text1"/>
                <w:sz w:val="16"/>
                <w:szCs w:val="16"/>
              </w:rPr>
            </w:pPr>
            <w:r w:rsidRPr="00E14102">
              <w:rPr>
                <w:color w:val="000000" w:themeColor="text1"/>
                <w:sz w:val="16"/>
                <w:szCs w:val="16"/>
              </w:rPr>
              <w:t>Альфа-Ромео 126 RC-34</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468280A" w14:textId="77777777" w:rsidR="00A077FF" w:rsidRPr="00E14102" w:rsidRDefault="00A077FF" w:rsidP="00E14102">
            <w:pPr>
              <w:jc w:val="both"/>
              <w:rPr>
                <w:color w:val="000000" w:themeColor="text1"/>
                <w:sz w:val="16"/>
                <w:szCs w:val="16"/>
              </w:rPr>
            </w:pPr>
            <w:r w:rsidRPr="00E14102">
              <w:rPr>
                <w:color w:val="000000" w:themeColor="text1"/>
                <w:sz w:val="16"/>
                <w:szCs w:val="16"/>
              </w:rPr>
              <w:t>Испано-Сюиза 12</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AD4D5A3" w14:textId="77777777" w:rsidR="00A077FF" w:rsidRPr="00E14102" w:rsidRDefault="00A077FF" w:rsidP="00E14102">
            <w:pPr>
              <w:jc w:val="both"/>
              <w:rPr>
                <w:color w:val="000000" w:themeColor="text1"/>
                <w:sz w:val="16"/>
                <w:szCs w:val="16"/>
              </w:rPr>
            </w:pPr>
            <w:r w:rsidRPr="00E14102">
              <w:rPr>
                <w:color w:val="000000" w:themeColor="text1"/>
                <w:sz w:val="16"/>
                <w:szCs w:val="16"/>
              </w:rPr>
              <w:t>Jumo -210 Са</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214850F" w14:textId="77777777" w:rsidR="00A077FF" w:rsidRPr="00E14102" w:rsidRDefault="00A077FF" w:rsidP="00E14102">
            <w:pPr>
              <w:jc w:val="both"/>
              <w:rPr>
                <w:color w:val="000000" w:themeColor="text1"/>
                <w:sz w:val="16"/>
                <w:szCs w:val="16"/>
              </w:rPr>
            </w:pPr>
            <w:r w:rsidRPr="00E14102">
              <w:rPr>
                <w:color w:val="000000" w:themeColor="text1"/>
                <w:sz w:val="16"/>
                <w:szCs w:val="16"/>
              </w:rPr>
              <w:t>Мицубиси «Кинсей» 43</w:t>
            </w:r>
          </w:p>
        </w:tc>
      </w:tr>
      <w:tr w:rsidR="00E3599D" w:rsidRPr="00E14102" w14:paraId="434FD1CC"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61DAB01" w14:textId="77777777" w:rsidR="00A077FF" w:rsidRPr="00E14102" w:rsidRDefault="00A077FF" w:rsidP="00E14102">
            <w:pPr>
              <w:jc w:val="both"/>
              <w:rPr>
                <w:color w:val="000000" w:themeColor="text1"/>
                <w:sz w:val="16"/>
                <w:szCs w:val="16"/>
              </w:rPr>
            </w:pPr>
            <w:r w:rsidRPr="00E14102">
              <w:rPr>
                <w:color w:val="000000" w:themeColor="text1"/>
                <w:sz w:val="16"/>
                <w:szCs w:val="16"/>
              </w:rPr>
              <w:t>Мощность, л. с.</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B36050D" w14:textId="77777777" w:rsidR="00A077FF" w:rsidRPr="00E14102" w:rsidRDefault="00A077FF" w:rsidP="00E14102">
            <w:pPr>
              <w:jc w:val="both"/>
              <w:rPr>
                <w:color w:val="000000" w:themeColor="text1"/>
                <w:sz w:val="16"/>
                <w:szCs w:val="16"/>
              </w:rPr>
            </w:pPr>
            <w:r w:rsidRPr="00E14102">
              <w:rPr>
                <w:color w:val="000000" w:themeColor="text1"/>
                <w:sz w:val="16"/>
                <w:szCs w:val="16"/>
              </w:rPr>
              <w:t>800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26CACB3" w14:textId="77777777" w:rsidR="00A077FF" w:rsidRPr="00E14102" w:rsidRDefault="00A077FF" w:rsidP="00E14102">
            <w:pPr>
              <w:jc w:val="both"/>
              <w:rPr>
                <w:color w:val="000000" w:themeColor="text1"/>
                <w:sz w:val="16"/>
                <w:szCs w:val="16"/>
              </w:rPr>
            </w:pPr>
            <w:r w:rsidRPr="00E14102">
              <w:rPr>
                <w:color w:val="000000" w:themeColor="text1"/>
                <w:sz w:val="16"/>
                <w:szCs w:val="16"/>
              </w:rPr>
              <w:t>650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E2A14DC" w14:textId="77777777" w:rsidR="00A077FF" w:rsidRPr="00E14102" w:rsidRDefault="00A077FF" w:rsidP="00E14102">
            <w:pPr>
              <w:jc w:val="both"/>
              <w:rPr>
                <w:color w:val="000000" w:themeColor="text1"/>
                <w:sz w:val="16"/>
                <w:szCs w:val="16"/>
              </w:rPr>
            </w:pPr>
            <w:r w:rsidRPr="00E14102">
              <w:rPr>
                <w:color w:val="000000" w:themeColor="text1"/>
                <w:sz w:val="16"/>
                <w:szCs w:val="16"/>
              </w:rPr>
              <w:t>690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F6F20DB" w14:textId="77777777" w:rsidR="00A077FF" w:rsidRPr="00E14102" w:rsidRDefault="00A077FF" w:rsidP="00E14102">
            <w:pPr>
              <w:jc w:val="both"/>
              <w:rPr>
                <w:color w:val="000000" w:themeColor="text1"/>
                <w:sz w:val="16"/>
                <w:szCs w:val="16"/>
              </w:rPr>
            </w:pPr>
            <w:r w:rsidRPr="00E14102">
              <w:rPr>
                <w:color w:val="000000" w:themeColor="text1"/>
                <w:sz w:val="16"/>
                <w:szCs w:val="16"/>
              </w:rPr>
              <w:t>640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54C185F" w14:textId="77777777" w:rsidR="00A077FF" w:rsidRPr="00E14102" w:rsidRDefault="00A077FF" w:rsidP="00E14102">
            <w:pPr>
              <w:jc w:val="both"/>
              <w:rPr>
                <w:color w:val="000000" w:themeColor="text1"/>
                <w:sz w:val="16"/>
                <w:szCs w:val="16"/>
              </w:rPr>
            </w:pPr>
            <w:r w:rsidRPr="00E14102">
              <w:rPr>
                <w:color w:val="000000" w:themeColor="text1"/>
                <w:sz w:val="16"/>
                <w:szCs w:val="16"/>
              </w:rPr>
              <w:t>1000</w:t>
            </w:r>
          </w:p>
        </w:tc>
      </w:tr>
      <w:tr w:rsidR="00E3599D" w:rsidRPr="00E14102" w14:paraId="13FAF341"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8305E6B" w14:textId="77777777" w:rsidR="00A077FF" w:rsidRPr="00E14102" w:rsidRDefault="00A077FF" w:rsidP="00E14102">
            <w:pPr>
              <w:jc w:val="both"/>
              <w:rPr>
                <w:color w:val="000000" w:themeColor="text1"/>
                <w:sz w:val="16"/>
                <w:szCs w:val="16"/>
              </w:rPr>
            </w:pPr>
            <w:r w:rsidRPr="00E14102">
              <w:rPr>
                <w:color w:val="000000" w:themeColor="text1"/>
                <w:sz w:val="16"/>
                <w:szCs w:val="16"/>
              </w:rPr>
              <w:t>Максимальная скорость, км/ч</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2A30A83" w14:textId="77777777" w:rsidR="00A077FF" w:rsidRPr="00E14102" w:rsidRDefault="00A077FF" w:rsidP="00E14102">
            <w:pPr>
              <w:jc w:val="both"/>
              <w:rPr>
                <w:color w:val="000000" w:themeColor="text1"/>
                <w:sz w:val="16"/>
                <w:szCs w:val="16"/>
              </w:rPr>
            </w:pPr>
            <w:r w:rsidRPr="00E14102">
              <w:rPr>
                <w:color w:val="000000" w:themeColor="text1"/>
                <w:sz w:val="16"/>
                <w:szCs w:val="16"/>
              </w:rPr>
              <w:t>450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3D6FCAF" w14:textId="77777777" w:rsidR="00A077FF" w:rsidRPr="00E14102" w:rsidRDefault="00A077FF" w:rsidP="00E14102">
            <w:pPr>
              <w:jc w:val="both"/>
              <w:rPr>
                <w:color w:val="000000" w:themeColor="text1"/>
                <w:sz w:val="16"/>
                <w:szCs w:val="16"/>
              </w:rPr>
            </w:pPr>
            <w:r w:rsidRPr="00E14102">
              <w:rPr>
                <w:color w:val="000000" w:themeColor="text1"/>
                <w:sz w:val="16"/>
                <w:szCs w:val="16"/>
              </w:rPr>
              <w:t>386</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9A8AF26" w14:textId="77777777" w:rsidR="00A077FF" w:rsidRPr="00E14102" w:rsidRDefault="00A077FF" w:rsidP="00E14102">
            <w:pPr>
              <w:jc w:val="both"/>
              <w:rPr>
                <w:color w:val="000000" w:themeColor="text1"/>
                <w:sz w:val="16"/>
                <w:szCs w:val="16"/>
              </w:rPr>
            </w:pPr>
            <w:r w:rsidRPr="00E14102">
              <w:rPr>
                <w:color w:val="000000" w:themeColor="text1"/>
                <w:sz w:val="16"/>
                <w:szCs w:val="16"/>
              </w:rPr>
              <w:t>340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7541C05" w14:textId="77777777" w:rsidR="00A077FF" w:rsidRPr="00E14102" w:rsidRDefault="00A077FF" w:rsidP="00E14102">
            <w:pPr>
              <w:jc w:val="both"/>
              <w:rPr>
                <w:color w:val="000000" w:themeColor="text1"/>
                <w:sz w:val="16"/>
                <w:szCs w:val="16"/>
              </w:rPr>
            </w:pPr>
            <w:r w:rsidRPr="00E14102">
              <w:rPr>
                <w:color w:val="000000" w:themeColor="text1"/>
                <w:sz w:val="16"/>
                <w:szCs w:val="16"/>
              </w:rPr>
              <w:t>318</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C3D624" w14:textId="77777777" w:rsidR="00A077FF" w:rsidRPr="00E14102" w:rsidRDefault="00A077FF" w:rsidP="00E14102">
            <w:pPr>
              <w:jc w:val="both"/>
              <w:rPr>
                <w:color w:val="000000" w:themeColor="text1"/>
                <w:sz w:val="16"/>
                <w:szCs w:val="16"/>
              </w:rPr>
            </w:pPr>
            <w:r w:rsidRPr="00E14102">
              <w:rPr>
                <w:color w:val="000000" w:themeColor="text1"/>
                <w:sz w:val="16"/>
                <w:szCs w:val="16"/>
              </w:rPr>
              <w:t>385</w:t>
            </w:r>
          </w:p>
        </w:tc>
      </w:tr>
      <w:tr w:rsidR="00E3599D" w:rsidRPr="00E14102" w14:paraId="372D4E9B"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D52C5BA" w14:textId="77777777" w:rsidR="00A077FF" w:rsidRPr="00E14102" w:rsidRDefault="00A077FF" w:rsidP="00E14102">
            <w:pPr>
              <w:jc w:val="both"/>
              <w:rPr>
                <w:color w:val="000000" w:themeColor="text1"/>
                <w:sz w:val="16"/>
                <w:szCs w:val="16"/>
              </w:rPr>
            </w:pPr>
            <w:r w:rsidRPr="00E14102">
              <w:rPr>
                <w:color w:val="000000" w:themeColor="text1"/>
                <w:sz w:val="16"/>
                <w:szCs w:val="16"/>
              </w:rPr>
              <w:t>Дальность полета, км</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B78447E" w14:textId="77777777" w:rsidR="00A077FF" w:rsidRPr="00E14102" w:rsidRDefault="00A077FF" w:rsidP="00E14102">
            <w:pPr>
              <w:jc w:val="both"/>
              <w:rPr>
                <w:color w:val="000000" w:themeColor="text1"/>
                <w:sz w:val="16"/>
                <w:szCs w:val="16"/>
              </w:rPr>
            </w:pPr>
            <w:r w:rsidRPr="00E14102">
              <w:rPr>
                <w:color w:val="000000" w:themeColor="text1"/>
                <w:sz w:val="16"/>
                <w:szCs w:val="16"/>
              </w:rPr>
              <w:t>1050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FE85A09" w14:textId="77777777" w:rsidR="00A077FF" w:rsidRPr="00E14102" w:rsidRDefault="00A077FF" w:rsidP="00E14102">
            <w:pPr>
              <w:jc w:val="both"/>
              <w:rPr>
                <w:color w:val="000000" w:themeColor="text1"/>
                <w:sz w:val="16"/>
                <w:szCs w:val="16"/>
              </w:rPr>
            </w:pPr>
            <w:r w:rsidRPr="00E14102">
              <w:rPr>
                <w:color w:val="000000" w:themeColor="text1"/>
                <w:sz w:val="16"/>
                <w:szCs w:val="16"/>
              </w:rPr>
              <w:t>1500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FD2D0F4" w14:textId="77777777" w:rsidR="00A077FF" w:rsidRPr="00E14102" w:rsidRDefault="00A077FF" w:rsidP="00E14102">
            <w:pPr>
              <w:jc w:val="both"/>
              <w:rPr>
                <w:color w:val="000000" w:themeColor="text1"/>
                <w:sz w:val="16"/>
                <w:szCs w:val="16"/>
              </w:rPr>
            </w:pPr>
            <w:r w:rsidRPr="00E14102">
              <w:rPr>
                <w:color w:val="000000" w:themeColor="text1"/>
                <w:sz w:val="16"/>
                <w:szCs w:val="16"/>
              </w:rPr>
              <w:t>900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A6F7A2" w14:textId="77777777" w:rsidR="00A077FF" w:rsidRPr="00E14102" w:rsidRDefault="00A077FF" w:rsidP="00E14102">
            <w:pPr>
              <w:jc w:val="both"/>
              <w:rPr>
                <w:color w:val="000000" w:themeColor="text1"/>
                <w:sz w:val="16"/>
                <w:szCs w:val="16"/>
              </w:rPr>
            </w:pPr>
            <w:r w:rsidRPr="00E14102">
              <w:rPr>
                <w:color w:val="000000" w:themeColor="text1"/>
                <w:sz w:val="16"/>
                <w:szCs w:val="16"/>
              </w:rPr>
              <w:t>990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176D745" w14:textId="77777777" w:rsidR="00A077FF" w:rsidRPr="00E14102" w:rsidRDefault="00A077FF" w:rsidP="00E14102">
            <w:pPr>
              <w:jc w:val="both"/>
              <w:rPr>
                <w:color w:val="000000" w:themeColor="text1"/>
                <w:sz w:val="16"/>
                <w:szCs w:val="16"/>
              </w:rPr>
            </w:pPr>
            <w:r w:rsidRPr="00E14102">
              <w:rPr>
                <w:color w:val="000000" w:themeColor="text1"/>
                <w:sz w:val="16"/>
                <w:szCs w:val="16"/>
              </w:rPr>
              <w:t>1460</w:t>
            </w:r>
          </w:p>
        </w:tc>
      </w:tr>
      <w:tr w:rsidR="00E3599D" w:rsidRPr="00E14102" w14:paraId="054850AC"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02D504C" w14:textId="77777777" w:rsidR="00A077FF" w:rsidRPr="00E14102" w:rsidRDefault="00A077FF" w:rsidP="00E14102">
            <w:pPr>
              <w:jc w:val="both"/>
              <w:rPr>
                <w:color w:val="000000" w:themeColor="text1"/>
                <w:sz w:val="16"/>
                <w:szCs w:val="16"/>
              </w:rPr>
            </w:pPr>
            <w:r w:rsidRPr="00E14102">
              <w:rPr>
                <w:color w:val="000000" w:themeColor="text1"/>
                <w:sz w:val="16"/>
                <w:szCs w:val="16"/>
              </w:rPr>
              <w:t>Потолок, м</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6E5218" w14:textId="77777777" w:rsidR="00A077FF" w:rsidRPr="00E14102" w:rsidRDefault="00A077FF" w:rsidP="00E14102">
            <w:pPr>
              <w:jc w:val="both"/>
              <w:rPr>
                <w:color w:val="000000" w:themeColor="text1"/>
                <w:sz w:val="16"/>
                <w:szCs w:val="16"/>
              </w:rPr>
            </w:pPr>
            <w:r w:rsidRPr="00E14102">
              <w:rPr>
                <w:color w:val="000000" w:themeColor="text1"/>
                <w:sz w:val="16"/>
                <w:szCs w:val="16"/>
              </w:rPr>
              <w:t>9850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4503E6F" w14:textId="77777777" w:rsidR="00A077FF" w:rsidRPr="00E14102" w:rsidRDefault="00A077FF" w:rsidP="00E14102">
            <w:pPr>
              <w:jc w:val="both"/>
              <w:rPr>
                <w:color w:val="000000" w:themeColor="text1"/>
                <w:sz w:val="16"/>
                <w:szCs w:val="16"/>
              </w:rPr>
            </w:pPr>
            <w:r w:rsidRPr="00E14102">
              <w:rPr>
                <w:color w:val="000000" w:themeColor="text1"/>
                <w:sz w:val="16"/>
                <w:szCs w:val="16"/>
              </w:rPr>
              <w:t>8000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77E864" w14:textId="77777777" w:rsidR="00A077FF" w:rsidRPr="00E14102" w:rsidRDefault="00A077FF" w:rsidP="00E14102">
            <w:pPr>
              <w:jc w:val="both"/>
              <w:rPr>
                <w:color w:val="000000" w:themeColor="text1"/>
                <w:sz w:val="16"/>
                <w:szCs w:val="16"/>
              </w:rPr>
            </w:pPr>
            <w:r w:rsidRPr="00E14102">
              <w:rPr>
                <w:color w:val="000000" w:themeColor="text1"/>
                <w:sz w:val="16"/>
                <w:szCs w:val="16"/>
              </w:rPr>
              <w:t>9000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1B036A" w14:textId="77777777" w:rsidR="00A077FF" w:rsidRPr="00E14102" w:rsidRDefault="00A077FF" w:rsidP="00E14102">
            <w:pPr>
              <w:jc w:val="both"/>
              <w:rPr>
                <w:color w:val="000000" w:themeColor="text1"/>
                <w:sz w:val="16"/>
                <w:szCs w:val="16"/>
              </w:rPr>
            </w:pPr>
            <w:r w:rsidRPr="00E14102">
              <w:rPr>
                <w:color w:val="000000" w:themeColor="text1"/>
                <w:sz w:val="16"/>
                <w:szCs w:val="16"/>
              </w:rPr>
              <w:t>7000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B5EF775" w14:textId="77777777" w:rsidR="00A077FF" w:rsidRPr="00E14102" w:rsidRDefault="00A077FF" w:rsidP="00E14102">
            <w:pPr>
              <w:jc w:val="both"/>
              <w:rPr>
                <w:color w:val="000000" w:themeColor="text1"/>
                <w:sz w:val="16"/>
                <w:szCs w:val="16"/>
              </w:rPr>
            </w:pPr>
            <w:r w:rsidRPr="00E14102">
              <w:rPr>
                <w:color w:val="000000" w:themeColor="text1"/>
                <w:sz w:val="16"/>
                <w:szCs w:val="16"/>
              </w:rPr>
              <w:t>9300</w:t>
            </w:r>
          </w:p>
        </w:tc>
      </w:tr>
      <w:tr w:rsidR="00E3599D" w:rsidRPr="00E14102" w14:paraId="26DA71F4"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24B920D" w14:textId="77777777" w:rsidR="00A077FF" w:rsidRPr="00E14102" w:rsidRDefault="00A077FF" w:rsidP="00E14102">
            <w:pPr>
              <w:jc w:val="both"/>
              <w:rPr>
                <w:color w:val="000000" w:themeColor="text1"/>
                <w:sz w:val="16"/>
                <w:szCs w:val="16"/>
              </w:rPr>
            </w:pPr>
            <w:r w:rsidRPr="00E14102">
              <w:rPr>
                <w:color w:val="000000" w:themeColor="text1"/>
                <w:sz w:val="16"/>
                <w:szCs w:val="16"/>
              </w:rPr>
              <w:t>Время набора высоты, м/мин.</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82EE612" w14:textId="77777777" w:rsidR="00A077FF" w:rsidRPr="00E14102" w:rsidRDefault="00A077FF" w:rsidP="00E14102">
            <w:pPr>
              <w:jc w:val="both"/>
              <w:rPr>
                <w:color w:val="000000" w:themeColor="text1"/>
                <w:sz w:val="16"/>
                <w:szCs w:val="16"/>
              </w:rPr>
            </w:pPr>
            <w:r w:rsidRPr="00E14102">
              <w:rPr>
                <w:color w:val="000000" w:themeColor="text1"/>
                <w:sz w:val="16"/>
                <w:szCs w:val="16"/>
              </w:rPr>
              <w:t> </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A3D2936" w14:textId="77777777" w:rsidR="00A077FF" w:rsidRPr="00E14102" w:rsidRDefault="00A077FF" w:rsidP="00E14102">
            <w:pPr>
              <w:jc w:val="both"/>
              <w:rPr>
                <w:color w:val="000000" w:themeColor="text1"/>
                <w:sz w:val="16"/>
                <w:szCs w:val="16"/>
              </w:rPr>
            </w:pPr>
            <w:r w:rsidRPr="00E14102">
              <w:rPr>
                <w:color w:val="000000" w:themeColor="text1"/>
                <w:sz w:val="16"/>
                <w:szCs w:val="16"/>
              </w:rPr>
              <w:t>4000/8,3</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762F34E" w14:textId="77777777" w:rsidR="00A077FF" w:rsidRPr="00E14102" w:rsidRDefault="00A077FF" w:rsidP="00E14102">
            <w:pPr>
              <w:jc w:val="both"/>
              <w:rPr>
                <w:color w:val="000000" w:themeColor="text1"/>
                <w:sz w:val="16"/>
                <w:szCs w:val="16"/>
              </w:rPr>
            </w:pPr>
            <w:r w:rsidRPr="00E14102">
              <w:rPr>
                <w:color w:val="000000" w:themeColor="text1"/>
                <w:sz w:val="16"/>
                <w:szCs w:val="16"/>
              </w:rPr>
              <w:t>4000/13,3</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A1CC663" w14:textId="77777777" w:rsidR="00A077FF" w:rsidRPr="00E14102" w:rsidRDefault="00A077FF" w:rsidP="00E14102">
            <w:pPr>
              <w:jc w:val="both"/>
              <w:rPr>
                <w:color w:val="000000" w:themeColor="text1"/>
                <w:sz w:val="16"/>
                <w:szCs w:val="16"/>
              </w:rPr>
            </w:pPr>
            <w:r w:rsidRPr="00E14102">
              <w:rPr>
                <w:color w:val="000000" w:themeColor="text1"/>
                <w:sz w:val="16"/>
                <w:szCs w:val="16"/>
              </w:rPr>
              <w:t>2000/3,6</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F38FA4" w14:textId="77777777" w:rsidR="00A077FF" w:rsidRPr="00E14102" w:rsidRDefault="00A077FF" w:rsidP="00E14102">
            <w:pPr>
              <w:jc w:val="both"/>
              <w:rPr>
                <w:color w:val="000000" w:themeColor="text1"/>
                <w:sz w:val="16"/>
                <w:szCs w:val="16"/>
              </w:rPr>
            </w:pPr>
            <w:r w:rsidRPr="00E14102">
              <w:rPr>
                <w:color w:val="000000" w:themeColor="text1"/>
                <w:sz w:val="16"/>
                <w:szCs w:val="16"/>
              </w:rPr>
              <w:t>3000/6,4</w:t>
            </w:r>
          </w:p>
        </w:tc>
      </w:tr>
      <w:tr w:rsidR="00E3599D" w:rsidRPr="00E14102" w14:paraId="5D83EB58"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5525C5C" w14:textId="77777777" w:rsidR="00A077FF" w:rsidRPr="00E14102" w:rsidRDefault="00A077FF" w:rsidP="00E14102">
            <w:pPr>
              <w:jc w:val="both"/>
              <w:rPr>
                <w:color w:val="000000" w:themeColor="text1"/>
                <w:sz w:val="16"/>
                <w:szCs w:val="16"/>
              </w:rPr>
            </w:pPr>
            <w:r w:rsidRPr="00E14102">
              <w:rPr>
                <w:color w:val="000000" w:themeColor="text1"/>
                <w:sz w:val="16"/>
                <w:szCs w:val="16"/>
              </w:rPr>
              <w:t>Вооружение:</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3ADEA2B" w14:textId="77777777" w:rsidR="00A077FF" w:rsidRPr="00E14102" w:rsidRDefault="00A077FF" w:rsidP="00E14102">
            <w:pPr>
              <w:jc w:val="both"/>
              <w:rPr>
                <w:color w:val="000000" w:themeColor="text1"/>
                <w:sz w:val="16"/>
                <w:szCs w:val="16"/>
              </w:rPr>
            </w:pPr>
            <w:r w:rsidRPr="00E14102">
              <w:rPr>
                <w:color w:val="000000" w:themeColor="text1"/>
                <w:sz w:val="16"/>
                <w:szCs w:val="16"/>
              </w:rPr>
              <w:t> </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1FD6F08" w14:textId="77777777" w:rsidR="00A077FF" w:rsidRPr="00E14102" w:rsidRDefault="00A077FF" w:rsidP="00E14102">
            <w:pPr>
              <w:jc w:val="both"/>
              <w:rPr>
                <w:color w:val="000000" w:themeColor="text1"/>
                <w:sz w:val="16"/>
                <w:szCs w:val="16"/>
              </w:rPr>
            </w:pPr>
            <w:r w:rsidRPr="00E14102">
              <w:rPr>
                <w:color w:val="000000" w:themeColor="text1"/>
                <w:sz w:val="16"/>
                <w:szCs w:val="16"/>
              </w:rPr>
              <w:t> </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2993F9B" w14:textId="77777777" w:rsidR="00A077FF" w:rsidRPr="00E14102" w:rsidRDefault="00A077FF" w:rsidP="00E14102">
            <w:pPr>
              <w:jc w:val="both"/>
              <w:rPr>
                <w:color w:val="000000" w:themeColor="text1"/>
                <w:sz w:val="16"/>
                <w:szCs w:val="16"/>
              </w:rPr>
            </w:pPr>
            <w:r w:rsidRPr="00E14102">
              <w:rPr>
                <w:color w:val="000000" w:themeColor="text1"/>
                <w:sz w:val="16"/>
                <w:szCs w:val="16"/>
              </w:rPr>
              <w:t> </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C29CB8B" w14:textId="77777777" w:rsidR="00A077FF" w:rsidRPr="00E14102" w:rsidRDefault="00A077FF" w:rsidP="00E14102">
            <w:pPr>
              <w:jc w:val="both"/>
              <w:rPr>
                <w:color w:val="000000" w:themeColor="text1"/>
                <w:sz w:val="16"/>
                <w:szCs w:val="16"/>
              </w:rPr>
            </w:pPr>
            <w:r w:rsidRPr="00E14102">
              <w:rPr>
                <w:color w:val="000000" w:themeColor="text1"/>
                <w:sz w:val="16"/>
                <w:szCs w:val="16"/>
              </w:rPr>
              <w:t> </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7249BF" w14:textId="77777777" w:rsidR="00A077FF" w:rsidRPr="00E14102" w:rsidRDefault="00A077FF" w:rsidP="00E14102">
            <w:pPr>
              <w:jc w:val="both"/>
              <w:rPr>
                <w:color w:val="000000" w:themeColor="text1"/>
                <w:sz w:val="16"/>
                <w:szCs w:val="16"/>
              </w:rPr>
            </w:pPr>
            <w:r w:rsidRPr="00E14102">
              <w:rPr>
                <w:color w:val="000000" w:themeColor="text1"/>
                <w:sz w:val="16"/>
                <w:szCs w:val="16"/>
              </w:rPr>
              <w:t> </w:t>
            </w:r>
          </w:p>
        </w:tc>
      </w:tr>
      <w:tr w:rsidR="00E3599D" w:rsidRPr="00E14102" w14:paraId="44C9B58B"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E86956" w14:textId="77777777" w:rsidR="00A077FF" w:rsidRPr="00E14102" w:rsidRDefault="00A077FF" w:rsidP="00E14102">
            <w:pPr>
              <w:jc w:val="both"/>
              <w:rPr>
                <w:color w:val="000000" w:themeColor="text1"/>
                <w:sz w:val="16"/>
                <w:szCs w:val="16"/>
              </w:rPr>
            </w:pPr>
            <w:r w:rsidRPr="00E14102">
              <w:rPr>
                <w:color w:val="000000" w:themeColor="text1"/>
                <w:sz w:val="16"/>
                <w:szCs w:val="16"/>
              </w:rPr>
              <w:t>пулеметы</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71DBDF6" w14:textId="77777777" w:rsidR="00A077FF" w:rsidRPr="00E14102" w:rsidRDefault="00A077FF" w:rsidP="00E14102">
            <w:pPr>
              <w:jc w:val="both"/>
              <w:rPr>
                <w:color w:val="000000" w:themeColor="text1"/>
                <w:sz w:val="16"/>
                <w:szCs w:val="16"/>
              </w:rPr>
            </w:pPr>
            <w:r w:rsidRPr="00E14102">
              <w:rPr>
                <w:color w:val="000000" w:themeColor="text1"/>
                <w:sz w:val="16"/>
                <w:szCs w:val="16"/>
              </w:rPr>
              <w:t>1х7,62</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B0D8FA3" w14:textId="77777777" w:rsidR="00A077FF" w:rsidRPr="00E14102" w:rsidRDefault="00A077FF" w:rsidP="00E14102">
            <w:pPr>
              <w:jc w:val="both"/>
              <w:rPr>
                <w:color w:val="000000" w:themeColor="text1"/>
                <w:sz w:val="16"/>
                <w:szCs w:val="16"/>
              </w:rPr>
            </w:pPr>
            <w:r w:rsidRPr="00E14102">
              <w:rPr>
                <w:color w:val="000000" w:themeColor="text1"/>
                <w:sz w:val="16"/>
                <w:szCs w:val="16"/>
              </w:rPr>
              <w:t>3х7,7</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24C3110" w14:textId="77777777" w:rsidR="00A077FF" w:rsidRPr="00E14102" w:rsidRDefault="00A077FF" w:rsidP="00E14102">
            <w:pPr>
              <w:jc w:val="both"/>
              <w:rPr>
                <w:color w:val="000000" w:themeColor="text1"/>
                <w:sz w:val="16"/>
                <w:szCs w:val="16"/>
              </w:rPr>
            </w:pPr>
            <w:r w:rsidRPr="00E14102">
              <w:rPr>
                <w:color w:val="000000" w:themeColor="text1"/>
                <w:sz w:val="16"/>
                <w:szCs w:val="16"/>
              </w:rPr>
              <w:t>1х7,5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030C47" w14:textId="77777777" w:rsidR="00A077FF" w:rsidRPr="00E14102" w:rsidRDefault="00A077FF" w:rsidP="00E14102">
            <w:pPr>
              <w:jc w:val="both"/>
              <w:rPr>
                <w:color w:val="000000" w:themeColor="text1"/>
                <w:sz w:val="16"/>
                <w:szCs w:val="16"/>
              </w:rPr>
            </w:pPr>
            <w:r w:rsidRPr="00E14102">
              <w:rPr>
                <w:color w:val="000000" w:themeColor="text1"/>
                <w:sz w:val="16"/>
                <w:szCs w:val="16"/>
              </w:rPr>
              <w:t>2х7,92</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FFAD4FD" w14:textId="77777777" w:rsidR="00A077FF" w:rsidRPr="00E14102" w:rsidRDefault="00A077FF" w:rsidP="00E14102">
            <w:pPr>
              <w:jc w:val="both"/>
              <w:rPr>
                <w:color w:val="000000" w:themeColor="text1"/>
                <w:sz w:val="16"/>
                <w:szCs w:val="16"/>
              </w:rPr>
            </w:pPr>
            <w:r w:rsidRPr="00E14102">
              <w:rPr>
                <w:color w:val="000000" w:themeColor="text1"/>
                <w:sz w:val="16"/>
                <w:szCs w:val="16"/>
              </w:rPr>
              <w:t>3х7,7</w:t>
            </w:r>
          </w:p>
        </w:tc>
      </w:tr>
      <w:tr w:rsidR="00E3599D" w:rsidRPr="00E14102" w14:paraId="268CFC0C"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94661DA" w14:textId="77777777" w:rsidR="00A077FF" w:rsidRPr="00E14102" w:rsidRDefault="00A077FF" w:rsidP="00E14102">
            <w:pPr>
              <w:jc w:val="both"/>
              <w:rPr>
                <w:color w:val="000000" w:themeColor="text1"/>
                <w:sz w:val="16"/>
                <w:szCs w:val="16"/>
              </w:rPr>
            </w:pPr>
            <w:r w:rsidRPr="00E14102">
              <w:rPr>
                <w:color w:val="000000" w:themeColor="text1"/>
                <w:sz w:val="16"/>
                <w:szCs w:val="16"/>
              </w:rPr>
              <w:t>пушки</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C249F31" w14:textId="77777777" w:rsidR="00A077FF" w:rsidRPr="00E14102" w:rsidRDefault="00A077FF" w:rsidP="00E14102">
            <w:pPr>
              <w:jc w:val="both"/>
              <w:rPr>
                <w:color w:val="000000" w:themeColor="text1"/>
                <w:sz w:val="16"/>
                <w:szCs w:val="16"/>
              </w:rPr>
            </w:pPr>
            <w:r w:rsidRPr="00E14102">
              <w:rPr>
                <w:color w:val="000000" w:themeColor="text1"/>
                <w:sz w:val="16"/>
                <w:szCs w:val="16"/>
              </w:rPr>
              <w:t>2х20мм</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3FC0114" w14:textId="77777777" w:rsidR="00A077FF" w:rsidRPr="00E14102" w:rsidRDefault="00A077FF" w:rsidP="00E14102">
            <w:pPr>
              <w:jc w:val="both"/>
              <w:rPr>
                <w:color w:val="000000" w:themeColor="text1"/>
                <w:sz w:val="16"/>
                <w:szCs w:val="16"/>
              </w:rPr>
            </w:pPr>
            <w:r w:rsidRPr="00E14102">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C233DC" w14:textId="77777777" w:rsidR="00A077FF" w:rsidRPr="00E14102" w:rsidRDefault="00A077FF" w:rsidP="00E14102">
            <w:pPr>
              <w:jc w:val="both"/>
              <w:rPr>
                <w:color w:val="000000" w:themeColor="text1"/>
                <w:sz w:val="16"/>
                <w:szCs w:val="16"/>
              </w:rPr>
            </w:pPr>
            <w:r w:rsidRPr="00E14102">
              <w:rPr>
                <w:color w:val="000000" w:themeColor="text1"/>
                <w:sz w:val="16"/>
                <w:szCs w:val="16"/>
              </w:rPr>
              <w:t>1х20мм</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64C3F5D" w14:textId="77777777" w:rsidR="00A077FF" w:rsidRPr="00E14102" w:rsidRDefault="00A077FF" w:rsidP="00E14102">
            <w:pPr>
              <w:jc w:val="both"/>
              <w:rPr>
                <w:color w:val="000000" w:themeColor="text1"/>
                <w:sz w:val="16"/>
                <w:szCs w:val="16"/>
              </w:rPr>
            </w:pPr>
            <w:r w:rsidRPr="00E14102">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278E5B" w14:textId="77777777" w:rsidR="00A077FF" w:rsidRPr="00E14102" w:rsidRDefault="00A077FF" w:rsidP="00E14102">
            <w:pPr>
              <w:jc w:val="both"/>
              <w:rPr>
                <w:color w:val="000000" w:themeColor="text1"/>
                <w:sz w:val="16"/>
                <w:szCs w:val="16"/>
              </w:rPr>
            </w:pPr>
            <w:r w:rsidRPr="00E14102">
              <w:rPr>
                <w:color w:val="000000" w:themeColor="text1"/>
                <w:sz w:val="16"/>
                <w:szCs w:val="16"/>
              </w:rPr>
              <w:t>—</w:t>
            </w:r>
          </w:p>
        </w:tc>
      </w:tr>
      <w:tr w:rsidR="00E3599D" w:rsidRPr="00E14102" w14:paraId="6AF6FEED"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9AE1AAD" w14:textId="77777777" w:rsidR="00A077FF" w:rsidRPr="00E14102" w:rsidRDefault="00A077FF" w:rsidP="00E14102">
            <w:pPr>
              <w:jc w:val="both"/>
              <w:rPr>
                <w:color w:val="000000" w:themeColor="text1"/>
                <w:sz w:val="16"/>
                <w:szCs w:val="16"/>
              </w:rPr>
            </w:pPr>
            <w:r w:rsidRPr="00E14102">
              <w:rPr>
                <w:color w:val="000000" w:themeColor="text1"/>
                <w:sz w:val="16"/>
                <w:szCs w:val="16"/>
              </w:rPr>
              <w:t>Бомбовая нагрузка, кг</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74208CE" w14:textId="77777777" w:rsidR="00A077FF" w:rsidRPr="00E14102" w:rsidRDefault="00A077FF" w:rsidP="00E14102">
            <w:pPr>
              <w:jc w:val="both"/>
              <w:rPr>
                <w:color w:val="000000" w:themeColor="text1"/>
                <w:sz w:val="16"/>
                <w:szCs w:val="16"/>
              </w:rPr>
            </w:pPr>
            <w:r w:rsidRPr="00E14102">
              <w:rPr>
                <w:color w:val="000000" w:themeColor="text1"/>
                <w:sz w:val="16"/>
                <w:szCs w:val="16"/>
              </w:rPr>
              <w:t>500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B58BC40" w14:textId="77777777" w:rsidR="00A077FF" w:rsidRPr="00E14102" w:rsidRDefault="00A077FF" w:rsidP="00E14102">
            <w:pPr>
              <w:jc w:val="both"/>
              <w:rPr>
                <w:color w:val="000000" w:themeColor="text1"/>
                <w:sz w:val="16"/>
                <w:szCs w:val="16"/>
              </w:rPr>
            </w:pPr>
            <w:r w:rsidRPr="00E14102">
              <w:rPr>
                <w:color w:val="000000" w:themeColor="text1"/>
                <w:sz w:val="16"/>
                <w:szCs w:val="16"/>
              </w:rPr>
              <w:t>400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63AAF00" w14:textId="77777777" w:rsidR="00A077FF" w:rsidRPr="00E14102" w:rsidRDefault="00A077FF" w:rsidP="00E14102">
            <w:pPr>
              <w:jc w:val="both"/>
              <w:rPr>
                <w:color w:val="000000" w:themeColor="text1"/>
                <w:sz w:val="16"/>
                <w:szCs w:val="16"/>
              </w:rPr>
            </w:pPr>
            <w:r w:rsidRPr="00E14102">
              <w:rPr>
                <w:color w:val="000000" w:themeColor="text1"/>
                <w:sz w:val="16"/>
                <w:szCs w:val="16"/>
              </w:rPr>
              <w:t>400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4588558" w14:textId="77777777" w:rsidR="00A077FF" w:rsidRPr="00E14102" w:rsidRDefault="00A077FF" w:rsidP="00E14102">
            <w:pPr>
              <w:jc w:val="both"/>
              <w:rPr>
                <w:color w:val="000000" w:themeColor="text1"/>
                <w:sz w:val="16"/>
                <w:szCs w:val="16"/>
              </w:rPr>
            </w:pPr>
            <w:r w:rsidRPr="00E14102">
              <w:rPr>
                <w:color w:val="000000" w:themeColor="text1"/>
                <w:sz w:val="16"/>
                <w:szCs w:val="16"/>
              </w:rPr>
              <w:t>500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3003B7C" w14:textId="77777777" w:rsidR="00A077FF" w:rsidRPr="00E14102" w:rsidRDefault="00A077FF" w:rsidP="00E14102">
            <w:pPr>
              <w:jc w:val="both"/>
              <w:rPr>
                <w:color w:val="000000" w:themeColor="text1"/>
                <w:sz w:val="16"/>
                <w:szCs w:val="16"/>
              </w:rPr>
            </w:pPr>
            <w:r w:rsidRPr="00E14102">
              <w:rPr>
                <w:color w:val="000000" w:themeColor="text1"/>
                <w:sz w:val="16"/>
                <w:szCs w:val="16"/>
              </w:rPr>
              <w:t>310</w:t>
            </w:r>
          </w:p>
        </w:tc>
      </w:tr>
      <w:tr w:rsidR="00E3599D" w:rsidRPr="00E14102" w14:paraId="1FD6FDEA"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9EC61B" w14:textId="77777777" w:rsidR="00A077FF" w:rsidRPr="00E14102" w:rsidRDefault="00A077FF" w:rsidP="00E14102">
            <w:pPr>
              <w:jc w:val="both"/>
              <w:rPr>
                <w:color w:val="000000" w:themeColor="text1"/>
                <w:sz w:val="16"/>
                <w:szCs w:val="16"/>
              </w:rPr>
            </w:pPr>
            <w:r w:rsidRPr="00E14102">
              <w:rPr>
                <w:color w:val="000000" w:themeColor="text1"/>
                <w:sz w:val="16"/>
                <w:szCs w:val="16"/>
              </w:rPr>
              <w:t>Экипаж, чел.</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622C4F7" w14:textId="77777777" w:rsidR="00A077FF" w:rsidRPr="00E14102" w:rsidRDefault="00A077FF" w:rsidP="00E14102">
            <w:pPr>
              <w:jc w:val="both"/>
              <w:rPr>
                <w:color w:val="000000" w:themeColor="text1"/>
                <w:sz w:val="16"/>
                <w:szCs w:val="16"/>
              </w:rPr>
            </w:pPr>
            <w:r w:rsidRPr="00E14102">
              <w:rPr>
                <w:color w:val="000000" w:themeColor="text1"/>
                <w:sz w:val="16"/>
                <w:szCs w:val="16"/>
              </w:rPr>
              <w:t>2</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EAF252" w14:textId="77777777" w:rsidR="00A077FF" w:rsidRPr="00E14102" w:rsidRDefault="00A077FF" w:rsidP="00E14102">
            <w:pPr>
              <w:jc w:val="both"/>
              <w:rPr>
                <w:color w:val="000000" w:themeColor="text1"/>
                <w:sz w:val="16"/>
                <w:szCs w:val="16"/>
              </w:rPr>
            </w:pPr>
            <w:r w:rsidRPr="00E14102">
              <w:rPr>
                <w:color w:val="000000" w:themeColor="text1"/>
                <w:sz w:val="16"/>
                <w:szCs w:val="16"/>
              </w:rPr>
              <w:t>1-2</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65F35A5" w14:textId="77777777" w:rsidR="00A077FF" w:rsidRPr="00E14102" w:rsidRDefault="00A077FF" w:rsidP="00E14102">
            <w:pPr>
              <w:jc w:val="both"/>
              <w:rPr>
                <w:color w:val="000000" w:themeColor="text1"/>
                <w:sz w:val="16"/>
                <w:szCs w:val="16"/>
              </w:rPr>
            </w:pPr>
            <w:r w:rsidRPr="00E14102">
              <w:rPr>
                <w:color w:val="000000" w:themeColor="text1"/>
                <w:sz w:val="16"/>
                <w:szCs w:val="16"/>
              </w:rPr>
              <w:t>2</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D99A62C" w14:textId="77777777" w:rsidR="00A077FF" w:rsidRPr="00E14102" w:rsidRDefault="00A077FF" w:rsidP="00E14102">
            <w:pPr>
              <w:jc w:val="both"/>
              <w:rPr>
                <w:color w:val="000000" w:themeColor="text1"/>
                <w:sz w:val="16"/>
                <w:szCs w:val="16"/>
              </w:rPr>
            </w:pPr>
            <w:r w:rsidRPr="00E14102">
              <w:rPr>
                <w:color w:val="000000" w:themeColor="text1"/>
                <w:sz w:val="16"/>
                <w:szCs w:val="16"/>
              </w:rPr>
              <w:t>2</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A88DEC4" w14:textId="77777777" w:rsidR="00A077FF" w:rsidRPr="00E14102" w:rsidRDefault="00A077FF" w:rsidP="00E14102">
            <w:pPr>
              <w:jc w:val="both"/>
              <w:rPr>
                <w:color w:val="000000" w:themeColor="text1"/>
                <w:sz w:val="16"/>
                <w:szCs w:val="16"/>
              </w:rPr>
            </w:pPr>
            <w:r w:rsidRPr="00E14102">
              <w:rPr>
                <w:color w:val="000000" w:themeColor="text1"/>
                <w:sz w:val="16"/>
                <w:szCs w:val="16"/>
              </w:rPr>
              <w:t>2</w:t>
            </w:r>
          </w:p>
        </w:tc>
      </w:tr>
    </w:tbl>
    <w:p w14:paraId="15D7C563" w14:textId="77777777" w:rsidR="00A077FF" w:rsidRPr="00E14102" w:rsidRDefault="00A077FF" w:rsidP="00E14102">
      <w:pPr>
        <w:jc w:val="both"/>
        <w:rPr>
          <w:color w:val="000000" w:themeColor="text1"/>
          <w:sz w:val="16"/>
          <w:szCs w:val="16"/>
        </w:rPr>
      </w:pPr>
      <w:r w:rsidRPr="00E14102">
        <w:rPr>
          <w:color w:val="000000" w:themeColor="text1"/>
          <w:sz w:val="16"/>
          <w:szCs w:val="16"/>
        </w:rPr>
        <w:t>(15588).</w:t>
      </w:r>
    </w:p>
    <w:p w14:paraId="11BC3678" w14:textId="77777777" w:rsidR="00A077FF" w:rsidRPr="00E14102" w:rsidRDefault="00A077FF" w:rsidP="00E14102">
      <w:pPr>
        <w:jc w:val="both"/>
        <w:rPr>
          <w:color w:val="000000" w:themeColor="text1"/>
          <w:sz w:val="16"/>
          <w:szCs w:val="16"/>
        </w:rPr>
      </w:pPr>
    </w:p>
    <w:p w14:paraId="7C82425A" w14:textId="77777777" w:rsidR="000260ED" w:rsidRPr="00E14102" w:rsidRDefault="000260ED" w:rsidP="00E14102">
      <w:pPr>
        <w:jc w:val="both"/>
        <w:rPr>
          <w:color w:val="000000" w:themeColor="text1"/>
          <w:sz w:val="16"/>
          <w:szCs w:val="16"/>
        </w:rPr>
      </w:pPr>
      <w:r w:rsidRPr="00E14102">
        <w:rPr>
          <w:color w:val="000000" w:themeColor="text1"/>
          <w:sz w:val="16"/>
          <w:szCs w:val="16"/>
        </w:rPr>
        <w:t xml:space="preserve">19 сентября 1935 г. в 22 часа 34 минуты в возрасте 78 лет в Калуге на 2 день после своего дня рождения умер Константин Циолковский. </w:t>
      </w:r>
      <w:r w:rsidRPr="00E14102">
        <w:rPr>
          <w:bCs/>
          <w:color w:val="000000" w:themeColor="text1"/>
          <w:sz w:val="16"/>
          <w:szCs w:val="16"/>
        </w:rPr>
        <w:t xml:space="preserve">В 1903 в статье «Исследование мировых пространств реактивными приборами» он показал пути и принципы космических полетов. Вплоть до смерти в 1935, Циолковский продолжал публиковать работы о различных теоретических аспектах полетов. Он никогда не проводил практические эксперименты в ракетостроении, но его работы позднее оказали сильное влияние на ракетные исследования пространства Советском Союзе и в Европе. </w:t>
      </w:r>
      <w:r w:rsidRPr="00E14102">
        <w:rPr>
          <w:color w:val="000000" w:themeColor="text1"/>
          <w:sz w:val="16"/>
          <w:szCs w:val="16"/>
        </w:rPr>
        <w:t>В эту же ночь заблудился в полете Сергей Королев. 19 сентября 1935 года</w:t>
      </w:r>
      <w:r w:rsidRPr="00E14102">
        <w:rPr>
          <w:bCs/>
          <w:color w:val="000000" w:themeColor="text1"/>
          <w:sz w:val="16"/>
          <w:szCs w:val="16"/>
        </w:rPr>
        <w:t xml:space="preserve"> и поднял в небо последнюю и самую знаменитую авиационную конструкцию Сергея Павловича Королева. СК-9 пилотировал планерист Романов – «Романов-черненький», в отличие от «Романова-беленького», который летал с Сергеем Анохиным. Королев летел на своем планере пассажиром: СК-9 был двухместным. Когда стало смеркаться, они поняли, что заблудились: Орлов никак не мог привязать к карте все эти огни, во множестве рассыпанные на земле. Потом нашли Днепр и заночевали в Кривом Роге. До Коктебеля было уже недалеко, ничего страшного не случилось, назавтра они прилетят на слет, но Королев все равно ужасно нервничал, просто места себе не находил…(17328).</w:t>
      </w:r>
    </w:p>
    <w:p w14:paraId="2C386FB5" w14:textId="77777777" w:rsidR="000260ED" w:rsidRPr="00E14102" w:rsidRDefault="000260ED" w:rsidP="00E14102">
      <w:pPr>
        <w:jc w:val="both"/>
        <w:rPr>
          <w:color w:val="000000" w:themeColor="text1"/>
          <w:sz w:val="16"/>
          <w:szCs w:val="16"/>
        </w:rPr>
      </w:pPr>
    </w:p>
    <w:p w14:paraId="0C2233B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726DFD4" w14:textId="77777777" w:rsidR="00D4105E" w:rsidRPr="00E14102" w:rsidRDefault="00D4105E" w:rsidP="00E14102">
      <w:pPr>
        <w:autoSpaceDE w:val="0"/>
        <w:autoSpaceDN w:val="0"/>
        <w:adjustRightInd w:val="0"/>
        <w:jc w:val="both"/>
        <w:rPr>
          <w:iCs/>
          <w:color w:val="000000" w:themeColor="text1"/>
          <w:sz w:val="16"/>
          <w:szCs w:val="16"/>
        </w:rPr>
      </w:pPr>
    </w:p>
    <w:p w14:paraId="496594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сентября 1935 умер К.Э.Ц. (438,697).</w:t>
      </w:r>
    </w:p>
    <w:p w14:paraId="58FF7740" w14:textId="77777777" w:rsidR="00D4105E" w:rsidRPr="00E14102" w:rsidRDefault="00D4105E" w:rsidP="00E14102">
      <w:pPr>
        <w:autoSpaceDE w:val="0"/>
        <w:autoSpaceDN w:val="0"/>
        <w:adjustRightInd w:val="0"/>
        <w:jc w:val="both"/>
        <w:rPr>
          <w:color w:val="000000" w:themeColor="text1"/>
          <w:sz w:val="16"/>
          <w:szCs w:val="16"/>
        </w:rPr>
      </w:pPr>
    </w:p>
    <w:p w14:paraId="5B8EB0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19 и 25 сентября 1935. Протокол заседания Политбюро № 33, 1935 г.</w:t>
      </w:r>
    </w:p>
    <w:p w14:paraId="0C0DB8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 похоронах т. Циолковского </w:t>
      </w:r>
    </w:p>
    <w:p w14:paraId="0576CF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Дать в газеты следующее сообщение: </w:t>
      </w:r>
    </w:p>
    <w:p w14:paraId="3A0F1B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 ВКП(б) с глубоким прискорбием сообщает о смерти знаменитого деятеля науки в области дирижаблестроения тов. Циолковского К. Э., последовавшей 19 сентября 1935 г." (11652).</w:t>
      </w:r>
    </w:p>
    <w:p w14:paraId="709B2B23" w14:textId="77777777" w:rsidR="00D4105E" w:rsidRPr="00E14102" w:rsidRDefault="00D4105E" w:rsidP="00E14102">
      <w:pPr>
        <w:autoSpaceDE w:val="0"/>
        <w:autoSpaceDN w:val="0"/>
        <w:adjustRightInd w:val="0"/>
        <w:jc w:val="both"/>
        <w:rPr>
          <w:color w:val="000000" w:themeColor="text1"/>
          <w:sz w:val="16"/>
          <w:szCs w:val="16"/>
        </w:rPr>
      </w:pPr>
    </w:p>
    <w:p w14:paraId="0BD2CD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сентября 1935 А.Стаханов установил второй рекорд (3481).</w:t>
      </w:r>
    </w:p>
    <w:p w14:paraId="31118F4B" w14:textId="77777777" w:rsidR="00D4105E" w:rsidRPr="00E14102" w:rsidRDefault="00D4105E" w:rsidP="00E14102">
      <w:pPr>
        <w:autoSpaceDE w:val="0"/>
        <w:autoSpaceDN w:val="0"/>
        <w:adjustRightInd w:val="0"/>
        <w:jc w:val="both"/>
        <w:rPr>
          <w:color w:val="000000" w:themeColor="text1"/>
          <w:sz w:val="16"/>
          <w:szCs w:val="16"/>
        </w:rPr>
      </w:pPr>
    </w:p>
    <w:p w14:paraId="09B2F7B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сентября 1935 кадиевский шахтер А. Стаханов установил второй рекорд добычи угля за смену (4962).</w:t>
      </w:r>
    </w:p>
    <w:p w14:paraId="31D67F5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889F753" w14:textId="77777777" w:rsidR="00294D59" w:rsidRPr="00E14102" w:rsidRDefault="00294D59" w:rsidP="00E14102">
      <w:pPr>
        <w:jc w:val="both"/>
        <w:rPr>
          <w:color w:val="0070C0"/>
          <w:sz w:val="16"/>
          <w:szCs w:val="16"/>
        </w:rPr>
      </w:pPr>
      <w:r w:rsidRPr="00E14102">
        <w:rPr>
          <w:color w:val="0070C0"/>
          <w:sz w:val="16"/>
          <w:szCs w:val="16"/>
        </w:rPr>
        <w:t>19 сентября 1935 года Стаханов установил новый мировой рекорд - 207 тонн угля за смену. Рекорд Стаханова был вскоре перекрыт его последователями. Наибольшей выработки на Донбассе достиг Никита Изотов, добывший 1 февраля 1936 года 607 тонн угля за смену (21179).</w:t>
      </w:r>
    </w:p>
    <w:p w14:paraId="6FE1F840" w14:textId="77777777" w:rsidR="00294D59" w:rsidRPr="00E14102" w:rsidRDefault="00294D59" w:rsidP="00E14102">
      <w:pPr>
        <w:jc w:val="both"/>
        <w:rPr>
          <w:color w:val="0070C0"/>
          <w:sz w:val="16"/>
          <w:szCs w:val="16"/>
        </w:rPr>
      </w:pPr>
    </w:p>
    <w:p w14:paraId="0CE05EF0" w14:textId="77777777" w:rsidR="000260ED" w:rsidRPr="00E14102" w:rsidRDefault="000260ED"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сентября 1935 г. Алексей Стаханов за 3 месяца до своего 30-летия (21 декабря 1935 г.) установил феноменальный рекорд по добыче угля – он добыл 227 т угля за смену в 5 часов и 45 минут – это ровно 100 норм! Причина такой производительности в первую очередь во внедрении отбойного молотка, умении Стаханова им работать и работе нескольких крепильщиков совместно со Стахановым (16328).</w:t>
      </w:r>
    </w:p>
    <w:p w14:paraId="16A6DC5B" w14:textId="77777777" w:rsidR="000260ED" w:rsidRPr="00E14102" w:rsidRDefault="000260ED" w:rsidP="00E14102">
      <w:pPr>
        <w:tabs>
          <w:tab w:val="left" w:pos="11199"/>
        </w:tabs>
        <w:autoSpaceDE w:val="0"/>
        <w:autoSpaceDN w:val="0"/>
        <w:adjustRightInd w:val="0"/>
        <w:jc w:val="both"/>
        <w:rPr>
          <w:color w:val="000000" w:themeColor="text1"/>
          <w:sz w:val="16"/>
          <w:szCs w:val="16"/>
        </w:rPr>
      </w:pPr>
    </w:p>
    <w:p w14:paraId="1A6047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19 и 25 сентября 1935. Протокол заседания Политбюро № 33, 1935 г.</w:t>
      </w:r>
    </w:p>
    <w:p w14:paraId="7A9A6B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 строительстве порта, гидростанции и театра в Сочи </w:t>
      </w:r>
    </w:p>
    <w:p w14:paraId="1112FE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а) Построить небольшой порт в Сочи, отказавшись от строительства порта около санатория Фрунзе. Строительство окончить в 1938 году, определив стоимость его в пределах 15 миллионов рублей. </w:t>
      </w:r>
    </w:p>
    <w:p w14:paraId="20BC4D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б) Форсировать строительство гидростанции на реке Сочи мощностью в 5 тысяч киловатт с окончанием в 1937 году, определив стоимость строительства в пределах 8-9 миллионов рублей... </w:t>
      </w:r>
    </w:p>
    <w:p w14:paraId="72E4BF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Определить стоимость театра в Сочи в размере 7 миллионов рублей (11652).</w:t>
      </w:r>
    </w:p>
    <w:p w14:paraId="4C9EA0F1" w14:textId="77777777" w:rsidR="00D4105E" w:rsidRPr="00E14102" w:rsidRDefault="00D4105E" w:rsidP="00E14102">
      <w:pPr>
        <w:autoSpaceDE w:val="0"/>
        <w:autoSpaceDN w:val="0"/>
        <w:adjustRightInd w:val="0"/>
        <w:jc w:val="both"/>
        <w:rPr>
          <w:color w:val="000000" w:themeColor="text1"/>
          <w:sz w:val="16"/>
          <w:szCs w:val="16"/>
        </w:rPr>
      </w:pPr>
    </w:p>
    <w:p w14:paraId="7C9121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19 и 25 сентября 1935. Протокол заседания Политбюро № 33, 1935 г.</w:t>
      </w:r>
    </w:p>
    <w:p w14:paraId="66BC57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мероприятиях по подготовке эксплуатации канала Москва—Волга</w:t>
      </w:r>
    </w:p>
    <w:p w14:paraId="627C2B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Для обеспечения своевременного судоходного освоения канала Москва—Волга и реконструируемого участка Москвы-реки (Щукино—Перерва) обязать Наркомвод: </w:t>
      </w:r>
    </w:p>
    <w:p w14:paraId="50A6CB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а) закончить к 1 марта 1936 года перенос причалов, пристаней и пассажирского вокзала на Москве-реке на другие участки в связи с намеченным поднятием уровня реки Москвы... </w:t>
      </w:r>
    </w:p>
    <w:p w14:paraId="29E25E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построить на верфях НКВода в навигацию 1937 года деревянный тоннаж общей грузоподъемностью в 65 тыс. тонн и 20 пассажирских глиссеров вместимостью от 10 до 30 человек; </w:t>
      </w:r>
    </w:p>
    <w:p w14:paraId="6C5B12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построить на Москве-реке к тому же сроку механизированные пристани общего пользования, а также мелкие пристани внутригородского значения... (11652).</w:t>
      </w:r>
    </w:p>
    <w:p w14:paraId="7CD025B4" w14:textId="77777777" w:rsidR="00D4105E" w:rsidRPr="00E14102" w:rsidRDefault="00D4105E" w:rsidP="00E14102">
      <w:pPr>
        <w:autoSpaceDE w:val="0"/>
        <w:autoSpaceDN w:val="0"/>
        <w:adjustRightInd w:val="0"/>
        <w:jc w:val="both"/>
        <w:rPr>
          <w:color w:val="000000" w:themeColor="text1"/>
          <w:sz w:val="16"/>
          <w:szCs w:val="16"/>
        </w:rPr>
      </w:pPr>
    </w:p>
    <w:p w14:paraId="584378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19 и 25 сентября 1935. Протокол заседания Политбюро № 33, 1935 г.</w:t>
      </w:r>
    </w:p>
    <w:p w14:paraId="2F6E03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ношении формы и знаков различия, подобных или сходных со знаками РККА</w:t>
      </w:r>
    </w:p>
    <w:p w14:paraId="2A7C71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Категорически запретить всем организациям, учреждениям и лицам, за исключением войск погранохраны и внутренних войск НКВД, комплектуемых по призыву, ношение формы и знаков различия, подобных или сходных со знаками РККА (11652).</w:t>
      </w:r>
    </w:p>
    <w:p w14:paraId="032D1FC6" w14:textId="77777777" w:rsidR="00D4105E" w:rsidRPr="00E14102" w:rsidRDefault="00D4105E" w:rsidP="00E14102">
      <w:pPr>
        <w:autoSpaceDE w:val="0"/>
        <w:autoSpaceDN w:val="0"/>
        <w:adjustRightInd w:val="0"/>
        <w:jc w:val="both"/>
        <w:rPr>
          <w:color w:val="000000" w:themeColor="text1"/>
          <w:sz w:val="16"/>
          <w:szCs w:val="16"/>
        </w:rPr>
      </w:pPr>
    </w:p>
    <w:p w14:paraId="752898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19 и 25 сентября 1935. Протокол заседания Политбюро № 33, 1935 г.</w:t>
      </w:r>
    </w:p>
    <w:p w14:paraId="317E31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постановке учета естественного движения населения</w:t>
      </w:r>
    </w:p>
    <w:p w14:paraId="514C67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Признать, что вследствие отсутствия контроля и руководства со стороны местных партийных и советских организаций за работой по учету естественного движения населения на местах этот учет до последнего времени (до передачи ЗАГСов в ведение НКВД) находился в явно неудовлетворительном состоянии. Органы учета часто использовались классовыми врагами, пролезшими в эти организации и проводившими там контрреволюционную, вредительскую работу, скрывая рост населения путем недоучета рождаемости и явно преувеличивая смертность населения путем регистрации по несколько раз смертей одних и тех же лиц. </w:t>
      </w:r>
    </w:p>
    <w:p w14:paraId="7B2856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целях дальнейшего улучшения в постановке учета естественного движения населения СНК СССР и ЦК ВКП(б) постановляют: </w:t>
      </w:r>
    </w:p>
    <w:p w14:paraId="557EE2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Ввести с 1 января 1936 года обязательную выдачу отделами актов гражданского состояния НКВД специальных свидетельств на гербовой бумаге о рождении по специальной форме, утвержденной СНК СССР. Установить с этого же времени обязательное представление всеми гражданами при поступлении в школы, техникумы и ВУЗы и при призыве на военную службу указанных свидетельств о рождении... </w:t>
      </w:r>
    </w:p>
    <w:p w14:paraId="7FB7AC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Установить, что местные отделы актов гражданского состояния НКВД при регистрации браков и разводов должны требовать от регистрирующихся представления в городах паспортов, а в сельских местностях свидетельств о рождении, в которых делать отметки о вступлении в брак или о разводе (11652).</w:t>
      </w:r>
    </w:p>
    <w:p w14:paraId="446136F0" w14:textId="77777777" w:rsidR="00D4105E" w:rsidRPr="00E14102" w:rsidRDefault="00D4105E" w:rsidP="00E14102">
      <w:pPr>
        <w:autoSpaceDE w:val="0"/>
        <w:autoSpaceDN w:val="0"/>
        <w:adjustRightInd w:val="0"/>
        <w:jc w:val="both"/>
        <w:rPr>
          <w:color w:val="000000" w:themeColor="text1"/>
          <w:sz w:val="16"/>
          <w:szCs w:val="16"/>
        </w:rPr>
      </w:pPr>
    </w:p>
    <w:p w14:paraId="608575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19 и 25 сентября 1935. Протокол заседания Политбюро № 33, 1935 г.</w:t>
      </w:r>
    </w:p>
    <w:p w14:paraId="7AE726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снижении цен на хлеб и отмене карточной системы</w:t>
      </w:r>
    </w:p>
    <w:p w14:paraId="10CAFB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ЦК ВКП(б) и Совнарком Союза ССР устанавливают, что отмена карточной системы снабжения хлебом, мукой и крупой и установление широкой продажи хлеба и других продуктов населению из государственных и кооперативных магазинов по единым твердым государственным ценам на практике целиком себя оправдали, добили остатки спекуляции, улучшили товарооборот и подняли благосостояние рабочих и крестьянских масс. Исходя из этого, ЦК ВКП(б) и Совнарком Союза ССР признают необходимым: </w:t>
      </w:r>
    </w:p>
    <w:p w14:paraId="5623EF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Снизить с 1 октября 1935 г. ныне действующие цены на хлеб, муку, зерно, макароны, крупу и рис, а также на массовые сорта кондитерских изделий. </w:t>
      </w:r>
    </w:p>
    <w:p w14:paraId="3B95F1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Отменить с 1 октября 1935 г. карточную систему снабжения мясом и мясопродуктами, жирами, рыбой и рыбопродуктами, сахаром и картофелем (11652).</w:t>
      </w:r>
    </w:p>
    <w:p w14:paraId="026A34E5" w14:textId="77777777" w:rsidR="00D4105E" w:rsidRPr="00E14102" w:rsidRDefault="00D4105E" w:rsidP="00E14102">
      <w:pPr>
        <w:autoSpaceDE w:val="0"/>
        <w:autoSpaceDN w:val="0"/>
        <w:adjustRightInd w:val="0"/>
        <w:jc w:val="both"/>
        <w:rPr>
          <w:color w:val="000000" w:themeColor="text1"/>
          <w:sz w:val="16"/>
          <w:szCs w:val="16"/>
        </w:rPr>
      </w:pPr>
    </w:p>
    <w:p w14:paraId="3F7BEC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19 и 25 сентября 1935. Протокол заседания Политбюро № 33, 1935 г.</w:t>
      </w:r>
    </w:p>
    <w:p w14:paraId="102C53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 ценах на массовые обеды в столовых, обслуживающих текстильщиков предприятий Московской области и г. Калинина </w:t>
      </w:r>
    </w:p>
    <w:p w14:paraId="0F80A9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Установить для всех столовых, получавших мясо и жиры по нормированным ценам, 3 вида массовых обедов (цена без хлеба): 1) овощно-крупяные ценой 65 копеек; 2) рыбные — 1 руб.; 3) мясные — 1 р. 20 коп. (11652).</w:t>
      </w:r>
    </w:p>
    <w:p w14:paraId="55F5D194" w14:textId="77777777" w:rsidR="00D4105E" w:rsidRPr="00E14102" w:rsidRDefault="00D4105E" w:rsidP="00E14102">
      <w:pPr>
        <w:autoSpaceDE w:val="0"/>
        <w:autoSpaceDN w:val="0"/>
        <w:adjustRightInd w:val="0"/>
        <w:jc w:val="both"/>
        <w:rPr>
          <w:color w:val="000000" w:themeColor="text1"/>
          <w:sz w:val="16"/>
          <w:szCs w:val="16"/>
        </w:rPr>
      </w:pPr>
    </w:p>
    <w:p w14:paraId="5275F3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19 и 25 сентября 1935. Протокол заседания Политбюро № 33, 1935 г.</w:t>
      </w:r>
    </w:p>
    <w:p w14:paraId="120D71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школьно-письменных принадлежностях</w:t>
      </w:r>
    </w:p>
    <w:p w14:paraId="28D33F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СНК СССР и ЦК ВКП(б) устанавливают, что, несмотря на неоднократные указания партии и правительства, начальные, неполные средние и средние школы до сих пор снабжаются письменными принадлежностями совершенно неудовлетворительного качества и в недостаточном количестве. Особенно неудовлетворительны по качеству ученические тетради, карандаши, ручки и перья. Тетради производятся из бумаги низкого качества и, как правило, имеют плохую обложку. Карандаши изготовляются из недоброкачественной древесины и плохого графита, ломающегося при очинке. Ручки в своей значительной части непригодны к употреблению, а ученические перья не держат чернил и рвут бумагу. СНК СССР и ЦК ВКП(б) особо отмечают, что Наркомпросы союзных республик, проявив полнейшую безответственность к насущным интересам школьников и нежелание заниматься "прозаическими мелочами" школы, не обеспечили надлежащий контроль над качеством и не только не браковали непригодных к употреблению письменных принадлежностей, а, наоборот, направляли в школы заведомо недоброкачественные письменные принадлежности и тем самым поощряли производство недоброкачественной продукции. </w:t>
      </w:r>
    </w:p>
    <w:p w14:paraId="4B28B7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СНК СССР и ЦК ВКП(б) отмечают также, что Наркомпрос РСФСР, а равно и Наркомпросы других союзных республик не позаботились до сих пор о производстве в массовых размерах и высокого качества сумок, ранцев, ремней, клеенок для ношения книг, пеналов, готовален, грифельных досок и прочих предметов, необходимых для школьников. </w:t>
      </w:r>
    </w:p>
    <w:p w14:paraId="741F97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СНК СССР и ЦК ВКП(б) постановляют обязать НКВнуторг СССР: </w:t>
      </w:r>
    </w:p>
    <w:p w14:paraId="7AF393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а) Наметить порядок развертывания открытой торговли школьными письменными принадлежностями. </w:t>
      </w:r>
    </w:p>
    <w:p w14:paraId="6D7A59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б) Установить с 1 октября 1935 г. единые продажные цены на ученические тетради и другие школьные письменные принадлежности. </w:t>
      </w:r>
    </w:p>
    <w:p w14:paraId="09BD9E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Обеспечить строжайший контроль за качеством поступающих в продажу школьных письменных принадлежностей, за своевременной доставкой на места и за соблюдением торгующими организациями установленных цен (11652).</w:t>
      </w:r>
    </w:p>
    <w:p w14:paraId="4A6DB0AE" w14:textId="77777777" w:rsidR="00D4105E" w:rsidRPr="00E14102" w:rsidRDefault="00D4105E" w:rsidP="00E14102">
      <w:pPr>
        <w:autoSpaceDE w:val="0"/>
        <w:autoSpaceDN w:val="0"/>
        <w:adjustRightInd w:val="0"/>
        <w:jc w:val="both"/>
        <w:rPr>
          <w:color w:val="000000" w:themeColor="text1"/>
          <w:sz w:val="16"/>
          <w:szCs w:val="16"/>
        </w:rPr>
      </w:pPr>
    </w:p>
    <w:p w14:paraId="6D1FE7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19 и 25 сентября 1935. Протокол заседания Политбюро № 33, 1935 г.</w:t>
      </w:r>
    </w:p>
    <w:p w14:paraId="7BFF9B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Билибине И. Я.</w:t>
      </w:r>
    </w:p>
    <w:p w14:paraId="17FA33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Разрешить въезд в СССР художнику Билибину И. Я. (художник Иван Билибин эвакуировался вместе с Белой армией в 1920 году) (11652).</w:t>
      </w:r>
    </w:p>
    <w:p w14:paraId="74A820FB" w14:textId="77777777" w:rsidR="00D4105E" w:rsidRPr="00E14102" w:rsidRDefault="00D4105E" w:rsidP="00E14102">
      <w:pPr>
        <w:autoSpaceDE w:val="0"/>
        <w:autoSpaceDN w:val="0"/>
        <w:adjustRightInd w:val="0"/>
        <w:jc w:val="both"/>
        <w:rPr>
          <w:color w:val="000000" w:themeColor="text1"/>
          <w:sz w:val="16"/>
          <w:szCs w:val="16"/>
        </w:rPr>
      </w:pPr>
    </w:p>
    <w:p w14:paraId="71063B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19 и 25 сентября 1935. Протокол заседания Политбюро № 33, 1935 г.</w:t>
      </w:r>
    </w:p>
    <w:p w14:paraId="172034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Об архиве Степняка-Кравчинского и о пенсии его вдове </w:t>
      </w:r>
    </w:p>
    <w:p w14:paraId="497CAB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Разрешить Институту Маркса—Энгельса—Ленина приобрести у Ф. М. Степняк в Лондоне архив Степняка-Кравчинского, отпустив на это три тысячи рублей в валюте. </w:t>
      </w:r>
    </w:p>
    <w:p w14:paraId="4ED130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Определить проживающей в Лондоне Ф. М. Степняк — вдове революционера и писателя Степняка-Кравчинского — персональную пенсию в размере 1220 рублей в месяц в валюте (11652).</w:t>
      </w:r>
    </w:p>
    <w:p w14:paraId="4A4EF473" w14:textId="77777777" w:rsidR="00D4105E" w:rsidRPr="00E14102" w:rsidRDefault="00D4105E" w:rsidP="00E14102">
      <w:pPr>
        <w:autoSpaceDE w:val="0"/>
        <w:autoSpaceDN w:val="0"/>
        <w:adjustRightInd w:val="0"/>
        <w:jc w:val="both"/>
        <w:rPr>
          <w:color w:val="000000" w:themeColor="text1"/>
          <w:sz w:val="16"/>
          <w:szCs w:val="16"/>
        </w:rPr>
      </w:pPr>
    </w:p>
    <w:p w14:paraId="5204BF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19 и 25 сентября 1935. Протокол заседания Политбюро № 33, 1935 г.</w:t>
      </w:r>
    </w:p>
    <w:p w14:paraId="1B2F0A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передвижении иностранцев на территории СССР</w:t>
      </w:r>
    </w:p>
    <w:p w14:paraId="76A3C9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Утвердить принятые Совнаркомом СССР по предложению НКВД, НКИД и Прокуратуры Союза правила проживания и передвижения иностранцев на территории Союза ССР, а также правила выдачи органами НКИД местных виз иностранным гражданам (11652).</w:t>
      </w:r>
    </w:p>
    <w:p w14:paraId="04766B4E" w14:textId="77777777" w:rsidR="00D4105E" w:rsidRPr="00E14102" w:rsidRDefault="00D4105E" w:rsidP="00E14102">
      <w:pPr>
        <w:autoSpaceDE w:val="0"/>
        <w:autoSpaceDN w:val="0"/>
        <w:adjustRightInd w:val="0"/>
        <w:jc w:val="both"/>
        <w:rPr>
          <w:color w:val="000000" w:themeColor="text1"/>
          <w:sz w:val="16"/>
          <w:szCs w:val="16"/>
        </w:rPr>
      </w:pPr>
    </w:p>
    <w:p w14:paraId="4DFF322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5234D3F2" w14:textId="77777777" w:rsidR="00D4105E" w:rsidRPr="00E14102" w:rsidRDefault="00D4105E" w:rsidP="00E14102">
      <w:pPr>
        <w:autoSpaceDE w:val="0"/>
        <w:autoSpaceDN w:val="0"/>
        <w:adjustRightInd w:val="0"/>
        <w:jc w:val="both"/>
        <w:rPr>
          <w:iCs/>
          <w:color w:val="000000" w:themeColor="text1"/>
          <w:sz w:val="16"/>
          <w:szCs w:val="16"/>
        </w:rPr>
      </w:pPr>
    </w:p>
    <w:p w14:paraId="4FB3BE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19 и 25 сентября 1935. Протокол заседания Политбюро № 33, 1935 г.</w:t>
      </w:r>
    </w:p>
    <w:p w14:paraId="3D9E7C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Правила о порядке въезда из-за границы в СССР трудящихся евреев на постоянное жительство в Еврейскую Автономную Область</w:t>
      </w:r>
    </w:p>
    <w:p w14:paraId="0420C6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Въезд из-за границы для постоянного жительства в Еврейской Автономной Области разрешается лишь лицам, принявшим гражданство СССР. </w:t>
      </w:r>
    </w:p>
    <w:p w14:paraId="786F8A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 Заявления о желании принять гражданство СССР и переселиться в Еврейскую Автономную Область подаются евреями-иностранцами в консульский отдел Полпредства СССР соответствующей страны... </w:t>
      </w:r>
    </w:p>
    <w:p w14:paraId="6A1AEC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4. К переселению из-за границы в Еврейскую Автономную Область допускаются только трудящиеся — рабочие, служащие и кустари — намечаемых Еврейской Автономной Областью квалификаций, а также земледельцы, не пользующиеся наемным трудом, физически здоровые. Указанные лица представляют соответствующие документы как о своей квалификации, так и о здоровье (своем и членов семьи). </w:t>
      </w:r>
    </w:p>
    <w:p w14:paraId="25E6E3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5. Допускаемые к переселению лица дают обязательства работать в Еврейской Автономной Области не менее трех лет на общеустановленных условиях переселения граждан СССР. </w:t>
      </w:r>
    </w:p>
    <w:p w14:paraId="25B6E1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6. Все расходы по подготовке своей поездки в СССР до советской границы (медицинский осмотр, питание в пути, поездка и перевозка багажа до советской границы и др.) несут переселенцы или соответствующие общественные организации, помогающие им в переселении. </w:t>
      </w:r>
    </w:p>
    <w:p w14:paraId="74088C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7. Каждый переселяющийся глава семейства или переселяющийся одиночка вносит на особый счет Госбанка СССР 200 американских долларов, прилагая к своему заявлению о приеме в гражданство СССР и переселении в Еврейскую Автономную Область квитанцию об этом взносе. В случае отказа в переселении взнос возвращается обратно... </w:t>
      </w:r>
    </w:p>
    <w:p w14:paraId="070642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9. По водворении на место жительства в Еврейской Автономной Области переселяющийся получает: семейный — дом и корову, а одинокий — квартиру и участие во владении коровой из расчета 1 голова на 5 одиночек-переселенцев. При доме должна быть отведена в личное пользование переселенцев усадьба в размере 1/4 га в промышленных поселках и до 1 га в сельскохозяйственных местностях (11652).</w:t>
      </w:r>
    </w:p>
    <w:p w14:paraId="1644BE5A" w14:textId="77777777" w:rsidR="00D4105E" w:rsidRPr="00E14102" w:rsidRDefault="00D4105E" w:rsidP="00E14102">
      <w:pPr>
        <w:autoSpaceDE w:val="0"/>
        <w:autoSpaceDN w:val="0"/>
        <w:adjustRightInd w:val="0"/>
        <w:jc w:val="both"/>
        <w:rPr>
          <w:color w:val="000000" w:themeColor="text1"/>
          <w:sz w:val="16"/>
          <w:szCs w:val="16"/>
        </w:rPr>
      </w:pPr>
    </w:p>
    <w:p w14:paraId="66473F6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65797C0" w14:textId="77777777" w:rsidR="00D4105E" w:rsidRPr="00E14102" w:rsidRDefault="00D4105E" w:rsidP="00E14102">
      <w:pPr>
        <w:autoSpaceDE w:val="0"/>
        <w:autoSpaceDN w:val="0"/>
        <w:adjustRightInd w:val="0"/>
        <w:jc w:val="both"/>
        <w:rPr>
          <w:iCs/>
          <w:color w:val="000000" w:themeColor="text1"/>
          <w:sz w:val="16"/>
          <w:szCs w:val="16"/>
        </w:rPr>
      </w:pPr>
    </w:p>
    <w:p w14:paraId="796571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сентября 1935 Нач. и военком НИИ ВВС Бажанов утвердил Отчет по тактическому испытанию самолета Звено ТБ-3 4М-17+2И-5, которые проходили с 15 мая по 13 августа 1935 (2940).</w:t>
      </w:r>
    </w:p>
    <w:p w14:paraId="43D23366" w14:textId="77777777" w:rsidR="00D4105E" w:rsidRPr="00E14102" w:rsidRDefault="00D4105E" w:rsidP="00E14102">
      <w:pPr>
        <w:autoSpaceDE w:val="0"/>
        <w:autoSpaceDN w:val="0"/>
        <w:adjustRightInd w:val="0"/>
        <w:jc w:val="both"/>
        <w:rPr>
          <w:color w:val="000000" w:themeColor="text1"/>
          <w:sz w:val="16"/>
          <w:szCs w:val="16"/>
        </w:rPr>
      </w:pPr>
    </w:p>
    <w:p w14:paraId="720AB71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сентября 1935 года Начальник и военком НИИ ВВС Бажанов утвердил Отчет по тактическому испытанию самолета “Звено” ТБ-3 4М17+2И5 (6696).</w:t>
      </w:r>
    </w:p>
    <w:p w14:paraId="201E71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начато 15 мая 1935 года</w:t>
      </w:r>
    </w:p>
    <w:p w14:paraId="4AE5CF9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окончено 13 августа 1935 года</w:t>
      </w:r>
    </w:p>
    <w:p w14:paraId="6D59588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17A50A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 в/к 1 Отдела П. Лосюков</w:t>
      </w:r>
    </w:p>
    <w:p w14:paraId="318C0A0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6469596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Проверка возможности питания горючим и смазочным самолетов И5 от самолета ТБ3 при полете в соединении “Звено” и выбор схем для этого.</w:t>
      </w:r>
    </w:p>
    <w:p w14:paraId="38979A5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Проверка возможности решений тактической задачи на сопровождение самолетов ТБ3 истребителями на радиус действия равный удвоенному радиусу действия истребителей И5.</w:t>
      </w:r>
    </w:p>
    <w:p w14:paraId="2B09A26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Проверка возможности отражения внезапной атаки истребителей противника по пути следования к цели.</w:t>
      </w:r>
    </w:p>
    <w:p w14:paraId="2BA706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1AC985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Соединение “Звено” (ТБ-3 4М17+2И5) как устаревшее по своим летно-техническим данным не может быть рекомендовано на вооружение ВС. Его можно рекомендовать только в качестве учебно-тактического соединения, для отработки на нем тактики применения и тренировки (6696).</w:t>
      </w:r>
    </w:p>
    <w:p w14:paraId="155D516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380858F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сентября 1935 года вышел Приказ НИИ ВС № 0484 О гос. испытаниях десантных коробов самолета Р-5 конструкции Хрусталева.</w:t>
      </w:r>
    </w:p>
    <w:p w14:paraId="334A14A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начать 20 сентября 1935 года и закончить в течении 7-ми летных дней, но не позднее 30 сентября 1935 года (6815, 1).</w:t>
      </w:r>
    </w:p>
    <w:p w14:paraId="3C0766D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3004E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сентября 1935 года Начальник УВС Алкснис и Начальник ГУАПа Королев утвердили Тактико-технические требования к артиллерийскому самолету-корректировщику</w:t>
      </w:r>
    </w:p>
    <w:p w14:paraId="3DCE42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 завод N 1</w:t>
      </w:r>
    </w:p>
    <w:p w14:paraId="2CCDC5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постройки 1 мая 1936 года</w:t>
      </w:r>
    </w:p>
    <w:p w14:paraId="6D220B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Назначение самолета</w:t>
      </w:r>
    </w:p>
    <w:p w14:paraId="4E1BFD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Артиллерийский самолет-корректировщик назначается для самостоятельных без прикрытия действий по:</w:t>
      </w:r>
    </w:p>
    <w:p w14:paraId="22E67E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разведка хорошо замаскированных целей, в особенности батарей противника, скопления танков и резервов;</w:t>
      </w:r>
    </w:p>
    <w:p w14:paraId="7F8505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производства фотосъемки...</w:t>
      </w:r>
    </w:p>
    <w:p w14:paraId="2D1DEF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целеуказание и корректировка огня артиллерии по обнаруженным целям;</w:t>
      </w:r>
    </w:p>
    <w:p w14:paraId="707315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Главнейшие особенности самолета:</w:t>
      </w:r>
    </w:p>
    <w:p w14:paraId="0A125A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высокая маневренность как в горизонтальной, так и вертикальной плоскостях;</w:t>
      </w:r>
    </w:p>
    <w:p w14:paraId="7D2B4D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надежные средства оборонительного огня в воздушном бою;</w:t>
      </w:r>
    </w:p>
    <w:p w14:paraId="013688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прекрасный обзор земли;</w:t>
      </w:r>
    </w:p>
    <w:p w14:paraId="2426BA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хорошие условия для работы летчика-наблюдателя.</w:t>
      </w:r>
    </w:p>
    <w:p w14:paraId="7CBC77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Летно-тактические требования</w:t>
      </w:r>
    </w:p>
    <w:p w14:paraId="65308D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Самолет с полной нагрузкой, оборудованием и снаряжением и запасом горючего и смазочного, обеспечивающим ему техническую дальность полета в 1000 км на высоте 3000-5000 м и скорости не ниже 0,8 от максимальной, должен обладать нижеследующими летными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3599D" w:rsidRPr="00E14102" w14:paraId="314841E2" w14:textId="77777777">
        <w:tc>
          <w:tcPr>
            <w:tcW w:w="5636" w:type="dxa"/>
            <w:tcBorders>
              <w:top w:val="single" w:sz="12" w:space="0" w:color="auto"/>
            </w:tcBorders>
          </w:tcPr>
          <w:p w14:paraId="12A59A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Максимальная горизонтальная скорость</w:t>
            </w:r>
          </w:p>
        </w:tc>
        <w:tc>
          <w:tcPr>
            <w:tcW w:w="5636" w:type="dxa"/>
            <w:tcBorders>
              <w:top w:val="single" w:sz="12" w:space="0" w:color="auto"/>
            </w:tcBorders>
          </w:tcPr>
          <w:p w14:paraId="7622D4B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7694709" w14:textId="77777777">
        <w:tc>
          <w:tcPr>
            <w:tcW w:w="5636" w:type="dxa"/>
          </w:tcPr>
          <w:p w14:paraId="3C1452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высоте 3000-5000 м</w:t>
            </w:r>
          </w:p>
        </w:tc>
        <w:tc>
          <w:tcPr>
            <w:tcW w:w="5636" w:type="dxa"/>
          </w:tcPr>
          <w:p w14:paraId="72A3F7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350-400 км/час</w:t>
            </w:r>
          </w:p>
        </w:tc>
      </w:tr>
      <w:tr w:rsidR="00E3599D" w:rsidRPr="00E14102" w14:paraId="17429561" w14:textId="77777777">
        <w:tc>
          <w:tcPr>
            <w:tcW w:w="5636" w:type="dxa"/>
          </w:tcPr>
          <w:p w14:paraId="3CD6E5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Временем виража на высоте 3000 м</w:t>
            </w:r>
          </w:p>
        </w:tc>
        <w:tc>
          <w:tcPr>
            <w:tcW w:w="5636" w:type="dxa"/>
          </w:tcPr>
          <w:p w14:paraId="1B1F35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15-17 сек.</w:t>
            </w:r>
          </w:p>
        </w:tc>
      </w:tr>
      <w:tr w:rsidR="00E3599D" w:rsidRPr="00E14102" w14:paraId="709E7A3F" w14:textId="77777777">
        <w:tc>
          <w:tcPr>
            <w:tcW w:w="5636" w:type="dxa"/>
          </w:tcPr>
          <w:p w14:paraId="70696E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Скороподъемностью на 5000 м</w:t>
            </w:r>
          </w:p>
        </w:tc>
        <w:tc>
          <w:tcPr>
            <w:tcW w:w="5636" w:type="dxa"/>
          </w:tcPr>
          <w:p w14:paraId="17BE0A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мин.</w:t>
            </w:r>
          </w:p>
        </w:tc>
      </w:tr>
      <w:tr w:rsidR="00E3599D" w:rsidRPr="00E14102" w14:paraId="0D7CB3C4" w14:textId="77777777">
        <w:tc>
          <w:tcPr>
            <w:tcW w:w="5636" w:type="dxa"/>
            <w:tcBorders>
              <w:bottom w:val="single" w:sz="12" w:space="0" w:color="auto"/>
            </w:tcBorders>
          </w:tcPr>
          <w:p w14:paraId="0AC4C5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Посадочной скоростью не выше</w:t>
            </w:r>
          </w:p>
        </w:tc>
        <w:tc>
          <w:tcPr>
            <w:tcW w:w="5636" w:type="dxa"/>
            <w:tcBorders>
              <w:bottom w:val="single" w:sz="12" w:space="0" w:color="auto"/>
            </w:tcBorders>
          </w:tcPr>
          <w:p w14:paraId="39D077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80-90 км/час</w:t>
            </w:r>
          </w:p>
        </w:tc>
      </w:tr>
    </w:tbl>
    <w:p w14:paraId="040918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целью увеличения дальности полета самолета, емкость бензиновых и масляных баков должна быть рассчитана на техническую дальность полета в 1200 км на высоте 3000-5000 м.</w:t>
      </w:r>
    </w:p>
    <w:p w14:paraId="6C0E3B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Самолет должен иметь следующее вооружение и оборудование:</w:t>
      </w:r>
    </w:p>
    <w:p w14:paraId="790109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Вооружение</w:t>
      </w:r>
    </w:p>
    <w:p w14:paraId="37D98A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Один пулемет Шкас калибра 7,62 мм, установленный в крыле с боезапасом на 750 выстрелов...</w:t>
      </w:r>
    </w:p>
    <w:p w14:paraId="2F91BE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установка 1-2 пулеметов Шкас в кабине стрелка на экранированной установке с боезапасом не менее 1000 выстрелов на пулемет.</w:t>
      </w:r>
    </w:p>
    <w:p w14:paraId="05332F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Установка одного съемного пулемета в кабине летчика-наблюдателя с боезапасом не менее 500 выстрелов.</w:t>
      </w:r>
    </w:p>
    <w:p w14:paraId="17BD22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Бомбардировочное оборудование емкостью 60 кг; калибр бомб 8-25 кг. октября (3503,39-43).</w:t>
      </w:r>
    </w:p>
    <w:p w14:paraId="4DEC6105" w14:textId="77777777" w:rsidR="00D4105E" w:rsidRPr="00E14102" w:rsidRDefault="00D4105E" w:rsidP="00E14102">
      <w:pPr>
        <w:autoSpaceDE w:val="0"/>
        <w:autoSpaceDN w:val="0"/>
        <w:adjustRightInd w:val="0"/>
        <w:jc w:val="both"/>
        <w:rPr>
          <w:color w:val="000000" w:themeColor="text1"/>
          <w:sz w:val="16"/>
          <w:szCs w:val="16"/>
        </w:rPr>
      </w:pPr>
    </w:p>
    <w:p w14:paraId="0052DB2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сентября 1935 года вышел Приказ НИИ ВС № 0486 С объявлением копии приказа НКО от 10 сентября 1935 года за № 176 о запрещении полетов одиночных самолетов в горах, в открытом море и над малонаселенными территориями (6815, 8).</w:t>
      </w:r>
    </w:p>
    <w:p w14:paraId="05AE34F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731F0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20 сентября 1935 года Постановлением Правительства СССР Дирижаблестроительному учебному комбинату Гражданского воздушного флота присвоено имя К. Э. Циолковского. </w:t>
      </w:r>
    </w:p>
    <w:p w14:paraId="21D987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мая 1939 года Совет Народных Комиссаров Союза ССР своим решением № УД-200-1 разрешил реорганизовать Московский Дирижаблестроительный институт имени К. Э. Циолковского в Московский институт инженеров Гражданского воздушного флота имени К. Э. Циолковского.</w:t>
      </w:r>
    </w:p>
    <w:p w14:paraId="312CFD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ЦК ВКП (б) и Совета Народных Комиссаров СССР от 17 июня 1940 года № 1050 Московский институт инженеров Гражданского воздушного флота имени К. Э. Циолковского передан Наркомату авиационной промышлен В соответствии с постановлением Совета Министров РСФСР от 10 сентября 1973 года № 478 Московскому авиационному технологическому институту присвоено имя К. Э. Циолковского. передан Наркомату авиационной промышленности и на его базе создан Московский авиационный технологический институт (11269).</w:t>
      </w:r>
    </w:p>
    <w:p w14:paraId="25F9C61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A30F931" w14:textId="77777777" w:rsidR="00A077FF"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3D4C207" w14:textId="77777777" w:rsidR="00A077FF" w:rsidRPr="00E14102" w:rsidRDefault="00A077FF" w:rsidP="00E14102">
      <w:pPr>
        <w:autoSpaceDE w:val="0"/>
        <w:autoSpaceDN w:val="0"/>
        <w:adjustRightInd w:val="0"/>
        <w:jc w:val="both"/>
        <w:rPr>
          <w:iCs/>
          <w:color w:val="000000" w:themeColor="text1"/>
          <w:sz w:val="16"/>
          <w:szCs w:val="16"/>
        </w:rPr>
      </w:pPr>
    </w:p>
    <w:p w14:paraId="54245418" w14:textId="77777777" w:rsidR="00A077FF" w:rsidRPr="00E14102" w:rsidRDefault="00A077FF"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20 сентября </w:t>
      </w:r>
      <w:r w:rsidRPr="00E14102">
        <w:rPr>
          <w:color w:val="000000" w:themeColor="text1"/>
          <w:sz w:val="16"/>
          <w:szCs w:val="16"/>
        </w:rPr>
        <w:t>в 1935 году состоялся Всемирный радиоконцерт, в котором принял участие и Советский Союз. Концерт принимался из Америки и транслировался через радиостанцию имени Коминтерна и другие станции СССР (14775).</w:t>
      </w:r>
    </w:p>
    <w:p w14:paraId="10BAF67C" w14:textId="77777777" w:rsidR="00A077FF" w:rsidRPr="00E14102" w:rsidRDefault="00A077FF" w:rsidP="00E14102">
      <w:pPr>
        <w:jc w:val="both"/>
        <w:rPr>
          <w:color w:val="000000" w:themeColor="text1"/>
          <w:sz w:val="16"/>
          <w:szCs w:val="16"/>
        </w:rPr>
      </w:pPr>
    </w:p>
    <w:p w14:paraId="6F8EBDB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2124C42" w14:textId="77777777" w:rsidR="00D4105E" w:rsidRPr="00E14102" w:rsidRDefault="00D4105E" w:rsidP="00E14102">
      <w:pPr>
        <w:autoSpaceDE w:val="0"/>
        <w:autoSpaceDN w:val="0"/>
        <w:adjustRightInd w:val="0"/>
        <w:jc w:val="both"/>
        <w:rPr>
          <w:iCs/>
          <w:color w:val="000000" w:themeColor="text1"/>
          <w:sz w:val="16"/>
          <w:szCs w:val="16"/>
        </w:rPr>
      </w:pPr>
    </w:p>
    <w:p w14:paraId="444E6368" w14:textId="77777777" w:rsidR="00294D59" w:rsidRPr="00E14102" w:rsidRDefault="00294D59" w:rsidP="00E14102">
      <w:pPr>
        <w:jc w:val="both"/>
        <w:rPr>
          <w:color w:val="0070C0"/>
          <w:sz w:val="16"/>
          <w:szCs w:val="16"/>
        </w:rPr>
      </w:pPr>
      <w:r w:rsidRPr="00E14102">
        <w:rPr>
          <w:color w:val="0070C0"/>
          <w:sz w:val="16"/>
          <w:szCs w:val="16"/>
        </w:rPr>
        <w:t>21 СЕНТЯБРЯ 1935 Г.</w:t>
      </w:r>
    </w:p>
    <w:p w14:paraId="0E486CB1" w14:textId="77777777" w:rsidR="00294D59" w:rsidRPr="00E14102" w:rsidRDefault="00294D59" w:rsidP="00E14102">
      <w:pPr>
        <w:jc w:val="both"/>
        <w:rPr>
          <w:color w:val="0070C0"/>
          <w:sz w:val="16"/>
          <w:szCs w:val="16"/>
        </w:rPr>
      </w:pPr>
      <w:r w:rsidRPr="00E14102">
        <w:rPr>
          <w:color w:val="0070C0"/>
          <w:sz w:val="16"/>
          <w:szCs w:val="16"/>
        </w:rPr>
        <w:t>ПРИКАЗ ПО ГОСУДАРСТВЕННОМУ ЗАВОДУ № 21</w:t>
      </w:r>
    </w:p>
    <w:p w14:paraId="0B7E88F6" w14:textId="77777777" w:rsidR="00294D59" w:rsidRPr="00E14102" w:rsidRDefault="00294D59" w:rsidP="00E14102">
      <w:pPr>
        <w:jc w:val="both"/>
        <w:rPr>
          <w:color w:val="0070C0"/>
          <w:sz w:val="16"/>
          <w:szCs w:val="16"/>
        </w:rPr>
      </w:pPr>
      <w:r w:rsidRPr="00E14102">
        <w:rPr>
          <w:color w:val="0070C0"/>
          <w:sz w:val="16"/>
          <w:szCs w:val="16"/>
        </w:rPr>
        <w:t>№ 1126 ОТ 21 СЕНТЯБРЯ 1935 Г.</w:t>
      </w:r>
    </w:p>
    <w:p w14:paraId="105903DC" w14:textId="77777777" w:rsidR="00294D59" w:rsidRPr="00E14102" w:rsidRDefault="00294D59" w:rsidP="00E14102">
      <w:pPr>
        <w:jc w:val="both"/>
        <w:rPr>
          <w:color w:val="0070C0"/>
          <w:sz w:val="16"/>
          <w:szCs w:val="16"/>
        </w:rPr>
      </w:pPr>
      <w:r w:rsidRPr="00E14102">
        <w:rPr>
          <w:color w:val="0070C0"/>
          <w:sz w:val="16"/>
          <w:szCs w:val="16"/>
        </w:rPr>
        <w:t>Конструкторским отделом завода по собственной инициативе был спроектирован учебно-тренировочный двухместный самолет УТИ-2. Этот самолет прошел сейчас заводские и государственные испытания, показав отличные летные данные, почти не уступающие данным самолета И-16.</w:t>
      </w:r>
    </w:p>
    <w:p w14:paraId="41F5D521" w14:textId="77777777" w:rsidR="00294D59" w:rsidRPr="00E14102" w:rsidRDefault="00294D59" w:rsidP="00E14102">
      <w:pPr>
        <w:jc w:val="both"/>
        <w:rPr>
          <w:color w:val="0070C0"/>
          <w:sz w:val="16"/>
          <w:szCs w:val="16"/>
        </w:rPr>
      </w:pPr>
      <w:r w:rsidRPr="00E14102">
        <w:rPr>
          <w:color w:val="0070C0"/>
          <w:sz w:val="16"/>
          <w:szCs w:val="16"/>
        </w:rPr>
        <w:t>Данный тип самолета в условиях насыщения строевых частей истребителями больших скоростей полета имеет громадное значение как переходная машина, позволяющая произвести переподготовку летного состава строевых частей, прежде чем поручать им эксплуатацию новой сложной материальной части.</w:t>
      </w:r>
    </w:p>
    <w:p w14:paraId="0EFE3466" w14:textId="77777777" w:rsidR="00294D59" w:rsidRPr="00E14102" w:rsidRDefault="00294D59" w:rsidP="00E14102">
      <w:pPr>
        <w:jc w:val="both"/>
        <w:rPr>
          <w:color w:val="0070C0"/>
          <w:sz w:val="16"/>
          <w:szCs w:val="16"/>
        </w:rPr>
      </w:pPr>
      <w:r w:rsidRPr="00E14102">
        <w:rPr>
          <w:color w:val="0070C0"/>
          <w:sz w:val="16"/>
          <w:szCs w:val="16"/>
        </w:rPr>
        <w:lastRenderedPageBreak/>
        <w:t>Постановление Правительства о срочном выпуске серии УТИ-2, настойчивые требования Н[ачальни]ка Управления Воздушных Сил т. АЛКСНИС и имеющиеся у меня отзывы частей, говорят о том, какое большое значение они придают этому типу самолета, а просьбы частей о присылке им хотя бы на несколько дней опытного образца самолета для подготовки командиров и летчиков только лишний раз подчеркивают своевременное и умелое решение этой задачи молодым коллективом Конструкторского Отдела завода.</w:t>
      </w:r>
    </w:p>
    <w:p w14:paraId="492CE5A0" w14:textId="77777777" w:rsidR="00294D59" w:rsidRPr="00E14102" w:rsidRDefault="00294D59" w:rsidP="00E14102">
      <w:pPr>
        <w:jc w:val="both"/>
        <w:rPr>
          <w:color w:val="0070C0"/>
          <w:sz w:val="16"/>
          <w:szCs w:val="16"/>
        </w:rPr>
      </w:pPr>
      <w:r w:rsidRPr="00E14102">
        <w:rPr>
          <w:color w:val="0070C0"/>
          <w:sz w:val="16"/>
          <w:szCs w:val="16"/>
        </w:rPr>
        <w:t>За инициативу и правильное конструкторское решение этой задачи, настойчивость и помощь производству в выполнении опытного образца ОБЪЯВЛЯЮ БЛАГОДАРНОСТЬ всему конструкторскому отделу и ПРЕМИРУЮ:</w:t>
      </w:r>
    </w:p>
    <w:p w14:paraId="5A720A48" w14:textId="77777777" w:rsidR="00294D59" w:rsidRPr="00E14102" w:rsidRDefault="00294D59" w:rsidP="00E14102">
      <w:pPr>
        <w:jc w:val="both"/>
        <w:rPr>
          <w:color w:val="0070C0"/>
          <w:sz w:val="16"/>
          <w:szCs w:val="16"/>
        </w:rPr>
      </w:pPr>
      <w:r w:rsidRPr="00E14102">
        <w:rPr>
          <w:color w:val="0070C0"/>
          <w:sz w:val="16"/>
          <w:szCs w:val="16"/>
        </w:rPr>
        <w:t>Ст[аршего] инженера конструкторского] отдела тт. ФЛОРОВА и БОРОВКОВА денежной премией в размере 1000 руб. каждого за создание конструкции самолета УТИ-2 и непосредственную помощь в ее выполнении на производстве.</w:t>
      </w:r>
    </w:p>
    <w:p w14:paraId="64016038" w14:textId="77777777" w:rsidR="00294D59" w:rsidRPr="00E14102" w:rsidRDefault="00294D59" w:rsidP="00E14102">
      <w:pPr>
        <w:jc w:val="both"/>
        <w:rPr>
          <w:color w:val="0070C0"/>
          <w:sz w:val="16"/>
          <w:szCs w:val="16"/>
        </w:rPr>
      </w:pPr>
      <w:r w:rsidRPr="00E14102">
        <w:rPr>
          <w:color w:val="0070C0"/>
          <w:sz w:val="16"/>
          <w:szCs w:val="16"/>
        </w:rPr>
        <w:t>Заместителя] нач[альника] конструкторского отдела т. ШАТАЛОВА месячным окладом за умелое техническое руководство и организацию работ.</w:t>
      </w:r>
    </w:p>
    <w:p w14:paraId="23D52C0C" w14:textId="77777777" w:rsidR="00294D59" w:rsidRPr="00E14102" w:rsidRDefault="00294D59" w:rsidP="00E14102">
      <w:pPr>
        <w:jc w:val="both"/>
        <w:rPr>
          <w:color w:val="0070C0"/>
          <w:sz w:val="16"/>
          <w:szCs w:val="16"/>
        </w:rPr>
      </w:pPr>
      <w:r w:rsidRPr="00E14102">
        <w:rPr>
          <w:color w:val="0070C0"/>
          <w:sz w:val="16"/>
          <w:szCs w:val="16"/>
        </w:rPr>
        <w:t>Прораба К.О. т. ТУКАЛОВА денежной премией в 750 руб. за исключительно умелое руководство и организацию производственных работ.</w:t>
      </w:r>
    </w:p>
    <w:p w14:paraId="44078AD2" w14:textId="77777777" w:rsidR="00294D59" w:rsidRPr="00E14102" w:rsidRDefault="00294D59" w:rsidP="00E14102">
      <w:pPr>
        <w:jc w:val="both"/>
        <w:rPr>
          <w:color w:val="0070C0"/>
          <w:sz w:val="16"/>
          <w:szCs w:val="16"/>
        </w:rPr>
      </w:pPr>
      <w:r w:rsidRPr="00E14102">
        <w:rPr>
          <w:color w:val="0070C0"/>
          <w:sz w:val="16"/>
          <w:szCs w:val="16"/>
        </w:rPr>
        <w:t>Премирую ценными подарками конструкторов:</w:t>
      </w:r>
    </w:p>
    <w:p w14:paraId="7065788C" w14:textId="77777777" w:rsidR="00294D59" w:rsidRPr="00E14102" w:rsidRDefault="00294D59" w:rsidP="00E14102">
      <w:pPr>
        <w:jc w:val="both"/>
        <w:rPr>
          <w:color w:val="0070C0"/>
          <w:sz w:val="16"/>
          <w:szCs w:val="16"/>
        </w:rPr>
      </w:pPr>
      <w:r w:rsidRPr="00E14102">
        <w:rPr>
          <w:color w:val="0070C0"/>
          <w:sz w:val="16"/>
          <w:szCs w:val="16"/>
        </w:rPr>
        <w:t>Тт. МИНДРОВА, ШАБАНОВА, АНДРИАНОВА, ИЛЬИЧЕВУ, СЛЕПНЕВА, БЕЛЯКОВА, КАШИНА, ТОНКАЧЕВА за правильное техническое разрешение конструкции, своевременную подачу чертежей в производство и личное участие в разрешении производственно-конструкторских вопросов.</w:t>
      </w:r>
    </w:p>
    <w:p w14:paraId="7FCE8007" w14:textId="77777777" w:rsidR="00294D59" w:rsidRPr="00E14102" w:rsidRDefault="00294D59" w:rsidP="00E14102">
      <w:pPr>
        <w:jc w:val="both"/>
        <w:rPr>
          <w:color w:val="0070C0"/>
          <w:sz w:val="16"/>
          <w:szCs w:val="16"/>
        </w:rPr>
      </w:pPr>
      <w:r w:rsidRPr="00E14102">
        <w:rPr>
          <w:color w:val="0070C0"/>
          <w:sz w:val="16"/>
          <w:szCs w:val="16"/>
        </w:rPr>
        <w:t>Директор з[аво]да 21</w:t>
      </w:r>
      <w:r w:rsidRPr="00E14102">
        <w:rPr>
          <w:color w:val="0070C0"/>
          <w:sz w:val="16"/>
          <w:szCs w:val="16"/>
        </w:rPr>
        <w:tab/>
        <w:t>Е. МИРОШНИКОВ</w:t>
      </w:r>
    </w:p>
    <w:p w14:paraId="30127F69" w14:textId="77777777" w:rsidR="00294D59" w:rsidRPr="00E14102" w:rsidRDefault="00294D59" w:rsidP="00E14102">
      <w:pPr>
        <w:jc w:val="both"/>
        <w:rPr>
          <w:color w:val="0070C0"/>
          <w:sz w:val="16"/>
          <w:szCs w:val="16"/>
        </w:rPr>
      </w:pPr>
      <w:r w:rsidRPr="00E14102">
        <w:rPr>
          <w:color w:val="0070C0"/>
          <w:sz w:val="16"/>
          <w:szCs w:val="16"/>
        </w:rPr>
        <w:t>ЦАНО. Ф. 2066. Оп. 6. Д. 89. Л. 32. Подлинник.</w:t>
      </w:r>
    </w:p>
    <w:p w14:paraId="50AEA427" w14:textId="77777777" w:rsidR="00294D59" w:rsidRPr="00E14102" w:rsidRDefault="00294D59" w:rsidP="00E14102">
      <w:pPr>
        <w:jc w:val="both"/>
        <w:rPr>
          <w:color w:val="0070C0"/>
          <w:sz w:val="16"/>
          <w:szCs w:val="16"/>
        </w:rPr>
      </w:pPr>
      <w:r w:rsidRPr="00E14102">
        <w:rPr>
          <w:color w:val="0070C0"/>
          <w:sz w:val="16"/>
          <w:szCs w:val="16"/>
        </w:rPr>
        <w:t>Машинопись (20973).</w:t>
      </w:r>
    </w:p>
    <w:p w14:paraId="56DC512C" w14:textId="77777777" w:rsidR="00294D59" w:rsidRPr="00E14102" w:rsidRDefault="00294D59" w:rsidP="00E14102">
      <w:pPr>
        <w:jc w:val="both"/>
        <w:rPr>
          <w:color w:val="0070C0"/>
          <w:sz w:val="16"/>
          <w:szCs w:val="16"/>
        </w:rPr>
      </w:pPr>
    </w:p>
    <w:p w14:paraId="23047431" w14:textId="77777777" w:rsidR="00A077FF" w:rsidRPr="00E14102" w:rsidRDefault="00A077FF" w:rsidP="00E14102">
      <w:pPr>
        <w:pStyle w:val="rtejustify"/>
        <w:spacing w:before="0" w:after="0"/>
        <w:rPr>
          <w:color w:val="000000" w:themeColor="text1"/>
          <w:sz w:val="16"/>
          <w:szCs w:val="16"/>
        </w:rPr>
      </w:pPr>
      <w:r w:rsidRPr="00E14102">
        <w:rPr>
          <w:rStyle w:val="a6"/>
          <w:bCs/>
          <w:i w:val="0"/>
          <w:color w:val="000000" w:themeColor="text1"/>
          <w:sz w:val="16"/>
          <w:szCs w:val="16"/>
        </w:rPr>
        <w:t>21 сентября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123сс «О передаче производства авиалыж в систему НКЛеса и реконструкции предприятий под это производство». (ГА РФ. Ф. Р</w:t>
      </w:r>
      <w:r w:rsidRPr="00E14102">
        <w:rPr>
          <w:color w:val="000000" w:themeColor="text1"/>
          <w:sz w:val="16"/>
          <w:szCs w:val="16"/>
        </w:rPr>
        <w:noBreakHyphen/>
        <w:t>8418. Оп. 28. Д. 7. Л. 117</w:t>
      </w:r>
      <w:r w:rsidRPr="00E14102">
        <w:rPr>
          <w:color w:val="000000" w:themeColor="text1"/>
          <w:sz w:val="16"/>
          <w:szCs w:val="16"/>
        </w:rPr>
        <w:noBreakHyphen/>
        <w:t>124) (15460).</w:t>
      </w:r>
    </w:p>
    <w:p w14:paraId="7CEA4B12" w14:textId="77777777" w:rsidR="00A077FF" w:rsidRPr="00E14102" w:rsidRDefault="00A077FF" w:rsidP="00E14102">
      <w:pPr>
        <w:pStyle w:val="rtejustify"/>
        <w:spacing w:before="0" w:after="0"/>
        <w:rPr>
          <w:color w:val="000000" w:themeColor="text1"/>
          <w:sz w:val="16"/>
          <w:szCs w:val="16"/>
        </w:rPr>
      </w:pPr>
    </w:p>
    <w:p w14:paraId="434EF8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сентября 1935 вышло постановление СТО N С-120сс "О передаче производства авиалыж в систему НКЛеса и реконструкции предприятий под это производство" Зам. Пред. СТО Рудзутак (2161,101).</w:t>
      </w:r>
    </w:p>
    <w:p w14:paraId="479F8C21" w14:textId="77777777" w:rsidR="00D4105E" w:rsidRPr="00E14102" w:rsidRDefault="00D4105E" w:rsidP="00E14102">
      <w:pPr>
        <w:autoSpaceDE w:val="0"/>
        <w:autoSpaceDN w:val="0"/>
        <w:adjustRightInd w:val="0"/>
        <w:jc w:val="both"/>
        <w:rPr>
          <w:color w:val="000000" w:themeColor="text1"/>
          <w:sz w:val="16"/>
          <w:szCs w:val="16"/>
        </w:rPr>
      </w:pPr>
    </w:p>
    <w:p w14:paraId="4ECFBB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сентября 1935 года постановление № С-123сс СТО</w:t>
      </w:r>
    </w:p>
    <w:p w14:paraId="124900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передаче производства авиалыж в систему НКЛеса и реконструкции предприятий под это производство</w:t>
      </w:r>
    </w:p>
    <w:p w14:paraId="15A324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2EB1A6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развитие постановления СТО от 4 июля 1935 года № 80 сс о передаче производства авиалыж в систему НКЛеса СТО постановляет:</w:t>
      </w:r>
    </w:p>
    <w:p w14:paraId="705AD49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организации лыжного производства передать НКЛесу ……………………</w:t>
      </w:r>
    </w:p>
    <w:p w14:paraId="679B2F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Мебельную фабрику Союзлеспромтяжа НКТП в Пензе</w:t>
      </w:r>
    </w:p>
    <w:p w14:paraId="476F93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Деревообделочный завод Союзлеспромтяжа НКТП в Сызрани</w:t>
      </w:r>
    </w:p>
    <w:p w14:paraId="1E82D6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Деревообделочный комбинат треста "Стройдеталь" НКТП в Днепропетровске</w:t>
      </w:r>
    </w:p>
    <w:p w14:paraId="1C7B4C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НКЛес в 1936 году приступить к постройке нового предприятия в Восточной Сибири на мощность 10000 лыж с окончанием постройки такового к 1 января 1937 года.</w:t>
      </w:r>
    </w:p>
    <w:p w14:paraId="4139BD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5F2A8E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Включить в список предприятий оборонного назначения следующие предприятия НКЛеса, присвоив им соответствующие литерные номера:</w:t>
      </w:r>
    </w:p>
    <w:p w14:paraId="7EB2B6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Красносельская фабрика № 1 в Москве – изготовляет авиавинты</w:t>
      </w:r>
    </w:p>
    <w:p w14:paraId="290DAE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ДОЗ № 2 им. Халтурина в Ленинграде – изготовляет авиавинты</w:t>
      </w:r>
    </w:p>
    <w:p w14:paraId="0CFF2B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ДОЗ № 8 в Рязани – изготовляет авиавинты</w:t>
      </w:r>
    </w:p>
    <w:p w14:paraId="342377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41 в Москве – производство полуфабрикатов для авиавинтов и лыж</w:t>
      </w:r>
    </w:p>
    <w:p w14:paraId="4FA590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Деревообрабатывающий комбинат в Днепропетровске – изготовляет лыжи</w:t>
      </w:r>
    </w:p>
    <w:p w14:paraId="1DAC41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Деревообрабатывающий завод № 9 в Казани – изготовляет лыжи</w:t>
      </w:r>
    </w:p>
    <w:p w14:paraId="746405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Деревообрабатывающий завод в Сызрани – изготовляет лыжи</w:t>
      </w:r>
    </w:p>
    <w:p w14:paraId="3C2A24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Деревообрабатывающий завод в Пензе – изготовляет лыжи</w:t>
      </w:r>
    </w:p>
    <w:p w14:paraId="37BB51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………………………………..(7516, 137-143).</w:t>
      </w:r>
    </w:p>
    <w:p w14:paraId="2837618F" w14:textId="77777777" w:rsidR="00D4105E" w:rsidRPr="00E14102" w:rsidRDefault="00D4105E" w:rsidP="00E14102">
      <w:pPr>
        <w:autoSpaceDE w:val="0"/>
        <w:autoSpaceDN w:val="0"/>
        <w:adjustRightInd w:val="0"/>
        <w:jc w:val="both"/>
        <w:rPr>
          <w:color w:val="000000" w:themeColor="text1"/>
          <w:sz w:val="16"/>
          <w:szCs w:val="16"/>
        </w:rPr>
      </w:pPr>
    </w:p>
    <w:p w14:paraId="6FA67D2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21 сентября 1935 года Базилевич писал письмо № 1768/ко в КПК Хаханьяну</w:t>
      </w:r>
    </w:p>
    <w:p w14:paraId="611BD83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Согласно резолюции Молотова, препровождаю спецсообщение НКВД об авариях и катастрофах ВС РККА.</w:t>
      </w:r>
    </w:p>
    <w:p w14:paraId="0443C0A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 № 57095 на 2 листах (3475,186)</w:t>
      </w:r>
    </w:p>
    <w:p w14:paraId="3641AEDD" w14:textId="77777777" w:rsidR="00D4105E" w:rsidRPr="00E14102" w:rsidRDefault="00D4105E" w:rsidP="00E14102">
      <w:pPr>
        <w:autoSpaceDE w:val="0"/>
        <w:autoSpaceDN w:val="0"/>
        <w:adjustRightInd w:val="0"/>
        <w:jc w:val="both"/>
        <w:rPr>
          <w:iCs/>
          <w:color w:val="000000" w:themeColor="text1"/>
          <w:sz w:val="16"/>
          <w:szCs w:val="16"/>
        </w:rPr>
      </w:pPr>
    </w:p>
    <w:p w14:paraId="10DE2D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сентября 1935 года начальник управления ВС Алкснис писал письмо N НВ/03977 наркому обороны.</w:t>
      </w:r>
    </w:p>
    <w:p w14:paraId="369693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w:t>
      </w:r>
    </w:p>
    <w:p w14:paraId="49A790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сем представляю донесение командира-комиссара опытно-испытательного воздухоплавательного дивизиона Прокофьева о полете на свободных сферических аэростатах:</w:t>
      </w:r>
    </w:p>
    <w:p w14:paraId="3C5481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Экипажем в составе Романова и Бобыкина на дальность полета по прямой в 2300 км и</w:t>
      </w:r>
    </w:p>
    <w:p w14:paraId="110528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Экипажем в составе Зыкова и Тропина на продолжительность в 91 час. 35 мин.</w:t>
      </w:r>
    </w:p>
    <w:p w14:paraId="0DDFA2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побитием мирового рекорда продолжительности полета, удерживаемого немцами в течение 22-х лет. (2484,54).</w:t>
      </w:r>
    </w:p>
    <w:p w14:paraId="5776090F" w14:textId="77777777" w:rsidR="00D4105E" w:rsidRPr="00E14102" w:rsidRDefault="00D4105E" w:rsidP="00E14102">
      <w:pPr>
        <w:autoSpaceDE w:val="0"/>
        <w:autoSpaceDN w:val="0"/>
        <w:adjustRightInd w:val="0"/>
        <w:jc w:val="both"/>
        <w:rPr>
          <w:color w:val="000000" w:themeColor="text1"/>
          <w:sz w:val="16"/>
          <w:szCs w:val="16"/>
        </w:rPr>
      </w:pPr>
    </w:p>
    <w:p w14:paraId="66467C2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3916FAF4" w14:textId="77777777" w:rsidR="00D4105E" w:rsidRPr="00E14102" w:rsidRDefault="00D4105E" w:rsidP="00E14102">
      <w:pPr>
        <w:autoSpaceDE w:val="0"/>
        <w:autoSpaceDN w:val="0"/>
        <w:adjustRightInd w:val="0"/>
        <w:jc w:val="both"/>
        <w:rPr>
          <w:iCs/>
          <w:color w:val="000000" w:themeColor="text1"/>
          <w:sz w:val="16"/>
          <w:szCs w:val="16"/>
        </w:rPr>
      </w:pPr>
    </w:p>
    <w:p w14:paraId="41A641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сентября 1935 были восстановлены воинские звания в армии и появились первые 5 маршалов: К.Е.В., М.Тухачевский, С.М.Б., А.Егоров и В.Блюхер (3908,348).</w:t>
      </w:r>
    </w:p>
    <w:p w14:paraId="2225E3F4" w14:textId="77777777" w:rsidR="00D4105E" w:rsidRPr="00E14102" w:rsidRDefault="00D4105E" w:rsidP="00E14102">
      <w:pPr>
        <w:autoSpaceDE w:val="0"/>
        <w:autoSpaceDN w:val="0"/>
        <w:adjustRightInd w:val="0"/>
        <w:jc w:val="both"/>
        <w:rPr>
          <w:color w:val="000000" w:themeColor="text1"/>
          <w:sz w:val="16"/>
          <w:szCs w:val="16"/>
        </w:rPr>
      </w:pPr>
    </w:p>
    <w:p w14:paraId="22A6BB5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16DDF2E" w14:textId="77777777" w:rsidR="00D4105E" w:rsidRPr="00E14102" w:rsidRDefault="00D4105E" w:rsidP="00E14102">
      <w:pPr>
        <w:autoSpaceDE w:val="0"/>
        <w:autoSpaceDN w:val="0"/>
        <w:adjustRightInd w:val="0"/>
        <w:jc w:val="both"/>
        <w:rPr>
          <w:iCs/>
          <w:color w:val="000000" w:themeColor="text1"/>
          <w:sz w:val="16"/>
          <w:szCs w:val="16"/>
        </w:rPr>
      </w:pPr>
    </w:p>
    <w:p w14:paraId="1F17DB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сентября 1935 на ССС впервые вылетел комбриг 114 аб А.А.Туржанский - инициатор переделки Р-5 в штурмовик (7456, 5).</w:t>
      </w:r>
    </w:p>
    <w:p w14:paraId="713D43CB" w14:textId="77777777" w:rsidR="00D4105E" w:rsidRPr="00E14102" w:rsidRDefault="00D4105E" w:rsidP="00E14102">
      <w:pPr>
        <w:autoSpaceDE w:val="0"/>
        <w:autoSpaceDN w:val="0"/>
        <w:adjustRightInd w:val="0"/>
        <w:jc w:val="both"/>
        <w:rPr>
          <w:color w:val="000000" w:themeColor="text1"/>
          <w:sz w:val="16"/>
          <w:szCs w:val="16"/>
        </w:rPr>
      </w:pPr>
    </w:p>
    <w:p w14:paraId="565EAA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сентября 1935 на одном из ССС первым вылетел комбриг А. А. Туржанский.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08B800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15FDAE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4017A3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65E514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204096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68DA14F8" w14:textId="77777777" w:rsidR="00D4105E" w:rsidRPr="00E14102" w:rsidRDefault="00D4105E" w:rsidP="00E14102">
      <w:pPr>
        <w:autoSpaceDE w:val="0"/>
        <w:autoSpaceDN w:val="0"/>
        <w:adjustRightInd w:val="0"/>
        <w:jc w:val="both"/>
        <w:rPr>
          <w:color w:val="000000" w:themeColor="text1"/>
          <w:sz w:val="16"/>
          <w:szCs w:val="16"/>
        </w:rPr>
      </w:pPr>
    </w:p>
    <w:p w14:paraId="11636C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сентября 1935 года Алкснис писал письмо N НВ/003984 наркому обороны.</w:t>
      </w:r>
    </w:p>
    <w:p w14:paraId="2E576D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w:t>
      </w:r>
    </w:p>
    <w:p w14:paraId="6B14D0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сем представляю докладную записку летчиков Громова, Филина, Спирина об их желании лететь через Северный полюс в 1936 г. на самолете РД N 2, на котором хотел совершить перелет в этом году Леваневский.</w:t>
      </w:r>
    </w:p>
    <w:p w14:paraId="18901F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считаю необходимым доложить свои соображения по перелетам на предельную дальность в 1936 году:</w:t>
      </w:r>
    </w:p>
    <w:p w14:paraId="6C12CA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Построить до весны 1936 года 5 самолетов типа РД для полета на предельную дальность, из коих:</w:t>
      </w:r>
    </w:p>
    <w:p w14:paraId="27E5EC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2 самолета готовить для полета через полюс и</w:t>
      </w:r>
    </w:p>
    <w:p w14:paraId="3AB9DE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3 самолета готовить для полета по Европе без посадки в Южную Америку и через Дальний Восток в Северную Америку.</w:t>
      </w:r>
    </w:p>
    <w:p w14:paraId="07A5E5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Намеченных в кандидаты в экипажи для полетов на предельную дальность тренировать на Сибирской линии Москва-Владивосток.</w:t>
      </w:r>
    </w:p>
    <w:p w14:paraId="02559C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Такой способ отбора и подготовки кандидатов явится более действительным, чем тот, который был применен в отношении экипажа Леваневского, когда мы его освободили от всякой работы в течение полугода. (2484,56).</w:t>
      </w:r>
    </w:p>
    <w:p w14:paraId="295D1573" w14:textId="77777777" w:rsidR="00D4105E" w:rsidRPr="00E14102" w:rsidRDefault="00D4105E" w:rsidP="00E14102">
      <w:pPr>
        <w:autoSpaceDE w:val="0"/>
        <w:autoSpaceDN w:val="0"/>
        <w:adjustRightInd w:val="0"/>
        <w:jc w:val="both"/>
        <w:rPr>
          <w:color w:val="000000" w:themeColor="text1"/>
          <w:sz w:val="16"/>
          <w:szCs w:val="16"/>
        </w:rPr>
      </w:pPr>
    </w:p>
    <w:p w14:paraId="730C98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сентября 1935 экипаж ДВ СССР-Н10 выполнил транспортный рейс в Норильск. На обратном пути с пассажиром на борту, на высоте 150-200 метров вдруг началась тряска, сначала весьма незначительная. Махоткин, манипулируя РУДами, определил, что неисправен задний мотор, который, впрочем, вскоре после этого остановился сам. Самолет как раз проходил над озером, и летчик пошел на посадку. Осмотр мотора показал, что сломан вал и пробит картер.</w:t>
      </w:r>
    </w:p>
    <w:p w14:paraId="455467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 командира самолета начал мучить вопрос - зачем сел? Вспомнилось, что похожий случай был у М.И.Козлова над тайгой, и он на одном моторе дотянул до Енисея. Дотянуть можно было и в этом случае. До Дудинки было примерно 70 км, до Норильска - 40 км.</w:t>
      </w:r>
    </w:p>
    <w:p w14:paraId="520B40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Правда, сейчас ситуация была несколько иной: мотор встал, внизу озеро, кругом тундра, высота 100 метров - инстинкт заставил сесть.</w:t>
      </w:r>
    </w:p>
    <w:p w14:paraId="14BA08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тем, дело было сделано, а нового мотора в эту навигацию ждать уже не приходилось. Оставаться на зимовку не хотелось, поэтому решили попробовать взлететь на одном двигателе. Из машины выгрузили все инструменты и багаж, слили лишнее горючее и масло.</w:t>
      </w:r>
    </w:p>
    <w:p w14:paraId="3FEC69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Сначала Махоткин попытался взлететь один. Самолет начал разбег, но мотор не давал оборотов - падало давление бензина. Летчик, подрулив к берегу, взял на борт бортмеханика Ивашину, который быстро восстановил давление. Снова разбег - лодка вышла на редан, но озеро для взлета оказалось мало, почти круглое, диаметром не более километра. Следующая попытка - то же самое.</w:t>
      </w:r>
    </w:p>
    <w:p w14:paraId="6BA024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Тогда Махоткин начал разбег в противоположную сторону, вывел машину на редан, после чего развернулся против ветра и, уже имея значительную скорость, стал разбегаться для взлета. Скорость растет, пилот "подрывает" машину, она снова плюхается, подпрыгивает, и, у самого берега уходит в воздух. Впереди холмы, вверх самолет не идет, поэтому Махоткин "блинчиком" развернулся на 180° и взял курс на Дудинку. На озере остались пассажир и механик Афендульев со всем самолетным имуществом и без грамма продовольствия. Впрочем, в этот же день летчик Липп вывез их с места вынужденной посадки.</w:t>
      </w:r>
    </w:p>
    <w:p w14:paraId="79B114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сентября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195F1F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713D75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этого экипаж сделал еще два рейса: до Дудинки и в Игарку.</w:t>
      </w:r>
    </w:p>
    <w:p w14:paraId="5DCB8E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651A530D" w14:textId="77777777" w:rsidR="00D4105E" w:rsidRPr="00E14102" w:rsidRDefault="00D4105E" w:rsidP="00E14102">
      <w:pPr>
        <w:autoSpaceDE w:val="0"/>
        <w:autoSpaceDN w:val="0"/>
        <w:adjustRightInd w:val="0"/>
        <w:jc w:val="both"/>
        <w:rPr>
          <w:color w:val="000000" w:themeColor="text1"/>
          <w:sz w:val="16"/>
          <w:szCs w:val="16"/>
        </w:rPr>
      </w:pPr>
    </w:p>
    <w:p w14:paraId="3DF0F9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сентября 1935 на Ногинском полигоне начали обучение личного состава для испытаний аппаратов и Майзеля, которые начались 8 октября (8908,37).</w:t>
      </w:r>
    </w:p>
    <w:p w14:paraId="609FC2C4" w14:textId="77777777" w:rsidR="00D4105E" w:rsidRPr="00E14102" w:rsidRDefault="00D4105E" w:rsidP="00E14102">
      <w:pPr>
        <w:autoSpaceDE w:val="0"/>
        <w:autoSpaceDN w:val="0"/>
        <w:adjustRightInd w:val="0"/>
        <w:jc w:val="both"/>
        <w:rPr>
          <w:color w:val="000000" w:themeColor="text1"/>
          <w:sz w:val="16"/>
          <w:szCs w:val="16"/>
        </w:rPr>
      </w:pPr>
    </w:p>
    <w:p w14:paraId="6BFFC64C" w14:textId="77777777" w:rsidR="006E270E" w:rsidRPr="00E14102" w:rsidRDefault="006E270E" w:rsidP="00E14102">
      <w:pPr>
        <w:jc w:val="both"/>
        <w:rPr>
          <w:color w:val="000000" w:themeColor="text1"/>
          <w:sz w:val="16"/>
          <w:szCs w:val="16"/>
        </w:rPr>
      </w:pPr>
      <w:r w:rsidRPr="00E14102">
        <w:rPr>
          <w:color w:val="000000" w:themeColor="text1"/>
          <w:sz w:val="16"/>
          <w:szCs w:val="16"/>
        </w:rPr>
        <w:t>22 сентября 1935. В Московский институт мозга поступил мозг К. Э. Циолковского. Профессор А. С. Чернышев сообщил: "Мозг КЗ. Циолковского весит 1350 граммов. Однако основное значение и интерес представляет не вес мозга, а его строение. К изучению строения мозга мы приступаем завтра, когда с него будет снята оболочка и сделан специальный слепок. В настоящее время в нашем институте имеются более двадцати слепков мозга выдающихся людей: Куйбышева, Клары Цеткин, Сен-Катоямы, Менжинско-К&gt;" Луначарского, Мичурина, Маяковского (18720),</w:t>
      </w:r>
    </w:p>
    <w:p w14:paraId="4E673D6E" w14:textId="77777777" w:rsidR="006E270E" w:rsidRPr="00E14102" w:rsidRDefault="006E270E" w:rsidP="00E14102">
      <w:pPr>
        <w:jc w:val="both"/>
        <w:rPr>
          <w:color w:val="000000" w:themeColor="text1"/>
          <w:sz w:val="16"/>
          <w:szCs w:val="16"/>
        </w:rPr>
      </w:pPr>
    </w:p>
    <w:p w14:paraId="69AC8D7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BBCB6CD" w14:textId="77777777" w:rsidR="00D4105E" w:rsidRPr="00E14102" w:rsidRDefault="00D4105E" w:rsidP="00E14102">
      <w:pPr>
        <w:autoSpaceDE w:val="0"/>
        <w:autoSpaceDN w:val="0"/>
        <w:adjustRightInd w:val="0"/>
        <w:jc w:val="both"/>
        <w:rPr>
          <w:iCs/>
          <w:color w:val="000000" w:themeColor="text1"/>
          <w:sz w:val="16"/>
          <w:szCs w:val="16"/>
        </w:rPr>
      </w:pPr>
    </w:p>
    <w:p w14:paraId="31BD8767" w14:textId="77777777" w:rsidR="008D0D6A" w:rsidRPr="00E14102" w:rsidRDefault="008D0D6A"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 22 по 24 сентября 1935 проходили огневые испытания Т-29-5. При стрельбе на скорости 12-15 км/ч из 76-мм пушки КТ было получено от 18 до 53% попаданий. Для сравнения, в тех же условиях при стрельбе из Т-28 удавалось добиться 50-60% попаданий. Столь низкие показатели меткости оказались результатом недоработки орудийной установки на Т-29. К ней у испытателей набралась масса замечаний.</w:t>
      </w:r>
    </w:p>
    <w:p w14:paraId="4F004558" w14:textId="77777777" w:rsidR="008D0D6A" w:rsidRPr="00E14102" w:rsidRDefault="008D0D6A"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Несмотря на все недостатки, Т-29-5 выглядел очень перспективной машиной. Кроме того, он стал примером удачной кооперации большого числа заводов. За умелую организацию производства опытных образцов Т-29-4, Т-29-5 и Т-46-1 Кошкин в апреле 1936 года получил орден Красной звезды. Правительственные награды получили и другие сотрудники завода №185. В тот момент казалось, что у машины успешное будущее (17708).</w:t>
      </w:r>
    </w:p>
    <w:p w14:paraId="58713362" w14:textId="77777777" w:rsidR="008D0D6A" w:rsidRPr="00E14102" w:rsidRDefault="008D0D6A" w:rsidP="00E14102">
      <w:pPr>
        <w:jc w:val="both"/>
        <w:rPr>
          <w:color w:val="000000" w:themeColor="text1"/>
          <w:sz w:val="16"/>
          <w:szCs w:val="16"/>
        </w:rPr>
      </w:pPr>
    </w:p>
    <w:p w14:paraId="09CD1E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сентября 1935 г. был заложен легкий крейсер Киров. Присутствовавший при этом М. И. Калинин выступил с напутственной речью перед судостроителями (10700).</w:t>
      </w:r>
    </w:p>
    <w:p w14:paraId="1D16188B" w14:textId="77777777" w:rsidR="00D4105E" w:rsidRPr="00E14102" w:rsidRDefault="00D4105E" w:rsidP="00E14102">
      <w:pPr>
        <w:autoSpaceDE w:val="0"/>
        <w:autoSpaceDN w:val="0"/>
        <w:adjustRightInd w:val="0"/>
        <w:jc w:val="both"/>
        <w:rPr>
          <w:color w:val="000000" w:themeColor="text1"/>
          <w:sz w:val="16"/>
          <w:szCs w:val="16"/>
        </w:rPr>
      </w:pPr>
    </w:p>
    <w:p w14:paraId="73B83C26" w14:textId="77777777" w:rsidR="008D0D6A" w:rsidRPr="00E14102" w:rsidRDefault="008D0D6A" w:rsidP="00E14102">
      <w:pPr>
        <w:jc w:val="both"/>
        <w:rPr>
          <w:color w:val="000000" w:themeColor="text1"/>
          <w:sz w:val="16"/>
          <w:szCs w:val="16"/>
        </w:rPr>
      </w:pPr>
      <w:r w:rsidRPr="00E14102">
        <w:rPr>
          <w:color w:val="000000" w:themeColor="text1"/>
          <w:sz w:val="16"/>
          <w:szCs w:val="16"/>
        </w:rPr>
        <w:t>22 сентября 1935 г. на заводе им. Орджоникидзе в Ленинграде был заложен Легкий крейсер “Киров”. Полный комплект технических документов на крейсер СССР купил у итальянской фирмы “Ансальдо”. 30 ноября 1936 г. корабль спустили на воду. Испытания крейсера, проходившие на Балтийском море, завершились в сентябре 1938 г. В ходе испытаний произошли множественные аварии, и были выявлены недоделки. В том числе во время торпедных стрельб одна из учебных торпед, сделав циркуляцию, ударила крейсер в борт, в результате чего был отстранен, а затем арестован председатель комиссии по приемке корабля А. К. Векман. После вступления в строй в течение весны и лета 1939 г. на корабле продолжались работы по отладке систем вооружения. В октябре 1939 г. “Киров” в составе эскадры Балтийского флота был направлен в Таллин, а затем в Лиепая, где и базировался до конца советско-финской войны. В августе 1940 г. “Киров” участвовал в больших учениях флота в устье Финского залива, осенью ушел в Кронштадт на гарантийный ремонт. 21 мая 1941 г. он вновь вступил в строй. До начала Великой Отечественной войны корабль прошел 36 тыс. миль, а его механизмы отработали 4,5 тыс. часов.</w:t>
      </w:r>
    </w:p>
    <w:p w14:paraId="7DE86BB9" w14:textId="77777777" w:rsidR="008D0D6A" w:rsidRPr="00E14102" w:rsidRDefault="008D0D6A" w:rsidP="00E14102">
      <w:pPr>
        <w:jc w:val="both"/>
        <w:rPr>
          <w:color w:val="000000" w:themeColor="text1"/>
          <w:sz w:val="16"/>
          <w:szCs w:val="16"/>
        </w:rPr>
      </w:pPr>
      <w:r w:rsidRPr="00E14102">
        <w:rPr>
          <w:color w:val="000000" w:themeColor="text1"/>
          <w:sz w:val="16"/>
          <w:szCs w:val="16"/>
        </w:rPr>
        <w:t>Лидер “Ленинград” был заложен 5 ноября 1932 г. на заводе № 190 (им. А. А. Жданова) в Ленинграде. 18 ноября 1933 г. спущен на воду и 5 декабря 1936 г. вступил в строй в составе Балтийского флота. До июля  1938 г. он фактически достраивался на плаву. 31 июля 1939 г. “Ленинград” поставили на капитальный ремонт, так как во время похода на скорости 18 узлов у котла № 2 стали лопаться трубки. В ходе ремонта на лидере сменили 732 трубки — старые оказались дефектными и недобросовестно смонтированными. В ноябре 1939 г. “Ленинград” был включен в состав группы кораблей эскадры Балтийского флота. Всего со времени окончания Финской войны и до 22 июня 1941 г. лидер 9 раз вставал в док из-за различных дефектов: для клепки расползавшихся листов подводной части корпуса, смены котлов и изъеденных кавитацией гребных винтов. Накануне Великой Отечественной войны лидер “Ленинград” дислоцировался в Таллине (17786).</w:t>
      </w:r>
    </w:p>
    <w:p w14:paraId="58798407" w14:textId="77777777" w:rsidR="008D0D6A" w:rsidRPr="00E14102" w:rsidRDefault="008D0D6A" w:rsidP="00E14102">
      <w:pPr>
        <w:jc w:val="both"/>
        <w:rPr>
          <w:color w:val="000000" w:themeColor="text1"/>
          <w:sz w:val="16"/>
          <w:szCs w:val="16"/>
        </w:rPr>
      </w:pPr>
    </w:p>
    <w:p w14:paraId="48CAE91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2B5C19ED" w14:textId="77777777" w:rsidR="00D4105E" w:rsidRPr="00E14102" w:rsidRDefault="00D4105E" w:rsidP="00E14102">
      <w:pPr>
        <w:autoSpaceDE w:val="0"/>
        <w:autoSpaceDN w:val="0"/>
        <w:adjustRightInd w:val="0"/>
        <w:jc w:val="both"/>
        <w:rPr>
          <w:iCs/>
          <w:color w:val="000000" w:themeColor="text1"/>
          <w:sz w:val="16"/>
          <w:szCs w:val="16"/>
        </w:rPr>
      </w:pPr>
    </w:p>
    <w:p w14:paraId="075B70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сентября 1935 ЦИК и СНК вынесли постановление о введении персональных воинских званий начальствующему составу КА (438,698) и появились маршалы (3398,339), майоры и полковники (3481), а вернее - л, ст.л., к, м, п, комбриг, комдив, комкор, командармы 2 и 1 ранга, воентехник 2Р, 1Р, ви 3, 2, 1 р, бригинж, дивинж, коринж (438,698).</w:t>
      </w:r>
    </w:p>
    <w:p w14:paraId="59F37741" w14:textId="77777777" w:rsidR="00D4105E" w:rsidRPr="00E14102" w:rsidRDefault="00D4105E" w:rsidP="00E14102">
      <w:pPr>
        <w:autoSpaceDE w:val="0"/>
        <w:autoSpaceDN w:val="0"/>
        <w:adjustRightInd w:val="0"/>
        <w:jc w:val="both"/>
        <w:rPr>
          <w:color w:val="000000" w:themeColor="text1"/>
          <w:sz w:val="16"/>
          <w:szCs w:val="16"/>
        </w:rPr>
      </w:pPr>
    </w:p>
    <w:p w14:paraId="6C32EB0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22 сентября 1935 в СССР учреждено звание Маршал Советского Союза, введены офицерские звания (кроме генералов) (4962).</w:t>
      </w:r>
    </w:p>
    <w:p w14:paraId="786F5364"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1DF1A3D" w14:textId="77777777" w:rsidR="00A077FF" w:rsidRPr="00E14102" w:rsidRDefault="00A077FF" w:rsidP="00E14102">
      <w:pPr>
        <w:jc w:val="both"/>
        <w:rPr>
          <w:color w:val="000000" w:themeColor="text1"/>
          <w:sz w:val="16"/>
          <w:szCs w:val="16"/>
        </w:rPr>
      </w:pPr>
      <w:r w:rsidRPr="00E14102">
        <w:rPr>
          <w:color w:val="000000" w:themeColor="text1"/>
          <w:sz w:val="16"/>
          <w:szCs w:val="16"/>
        </w:rPr>
        <w:t>22 сентября в 1935 году Постановление ЦИК и СНК СССР о введении персональных воинских званий для лиц начальствующего состава Красной Армии и Военно-Морского Флота. Учреждаются звания: «маршал Советского Союза», «полковник», «майор», «капитан», «лейтенант», «старшина». Первыми маршалами стали В.К.Блюхер, С.М.Буденный, К.Е.Ворошилов, А.И.Егоров, М.Н.Тухачевский (14777).</w:t>
      </w:r>
    </w:p>
    <w:p w14:paraId="46FE7A30" w14:textId="77777777" w:rsidR="00A077FF" w:rsidRPr="00E14102" w:rsidRDefault="00A077FF" w:rsidP="00E14102">
      <w:pPr>
        <w:jc w:val="both"/>
        <w:rPr>
          <w:color w:val="000000" w:themeColor="text1"/>
          <w:sz w:val="16"/>
          <w:szCs w:val="16"/>
        </w:rPr>
      </w:pPr>
    </w:p>
    <w:p w14:paraId="71D18DFB" w14:textId="77777777" w:rsidR="00294D59" w:rsidRPr="00E14102" w:rsidRDefault="00294D59" w:rsidP="00E14102">
      <w:pPr>
        <w:jc w:val="both"/>
        <w:rPr>
          <w:color w:val="0070C0"/>
          <w:sz w:val="16"/>
          <w:szCs w:val="16"/>
        </w:rPr>
      </w:pPr>
      <w:r w:rsidRPr="00E14102">
        <w:rPr>
          <w:color w:val="0070C0"/>
          <w:sz w:val="16"/>
          <w:szCs w:val="16"/>
        </w:rPr>
        <w:t>22 сентября 1935 вышли постановления СНК за № 2590 для сухопутных и воздушных сил РККА и 2591 для морских сил РККА от 22 сентября 1935 года «О введении персональных воинских званий начальствующего состава Рабоче-Крестьянской Красной Армии и об учреждении положения о прохождении службы командным и начальствующим составом РККА». Объявлены приказом Народного Комиссара обороны за № 176 от 3 декабря 1935 года. Военные звания начальствующего состава создавались с использованием двух признаков: военной специальности (рода деятельности) и ранга, определявшего должностное предназначение носителя звания. В общей сложности для начальствующего состава РККА и ВМФ было установлено шестьдесят три различных воинских звания. 22 сентября 1935 года Постановлением ЦИК и СНК СССР было введено воинское звание "Маршал Советского Союза" (21179).</w:t>
      </w:r>
    </w:p>
    <w:p w14:paraId="0F40D437" w14:textId="77777777" w:rsidR="00294D59" w:rsidRPr="00E14102" w:rsidRDefault="00294D59" w:rsidP="00E14102">
      <w:pPr>
        <w:jc w:val="both"/>
        <w:rPr>
          <w:color w:val="0070C0"/>
          <w:sz w:val="16"/>
          <w:szCs w:val="16"/>
        </w:rPr>
      </w:pPr>
    </w:p>
    <w:p w14:paraId="2BA270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сентября 1935 по постановлению ЦИК и СНК штаб РККА преобразовали в Генштаб (3398,338) и Нач. стал А.И.Егоров (3481).</w:t>
      </w:r>
    </w:p>
    <w:p w14:paraId="11B2BE02" w14:textId="77777777" w:rsidR="00D4105E" w:rsidRPr="00E14102" w:rsidRDefault="00D4105E" w:rsidP="00E14102">
      <w:pPr>
        <w:autoSpaceDE w:val="0"/>
        <w:autoSpaceDN w:val="0"/>
        <w:adjustRightInd w:val="0"/>
        <w:jc w:val="both"/>
        <w:rPr>
          <w:color w:val="000000" w:themeColor="text1"/>
          <w:sz w:val="16"/>
          <w:szCs w:val="16"/>
        </w:rPr>
      </w:pPr>
    </w:p>
    <w:p w14:paraId="1130072E" w14:textId="77777777" w:rsidR="00A077FF" w:rsidRPr="00E14102" w:rsidRDefault="00A077FF" w:rsidP="00E14102">
      <w:pPr>
        <w:pStyle w:val="rtejustify"/>
        <w:spacing w:before="0" w:after="0"/>
        <w:rPr>
          <w:color w:val="000000" w:themeColor="text1"/>
          <w:sz w:val="16"/>
          <w:szCs w:val="16"/>
        </w:rPr>
      </w:pPr>
      <w:r w:rsidRPr="00E14102">
        <w:rPr>
          <w:color w:val="000000" w:themeColor="text1"/>
          <w:sz w:val="16"/>
          <w:szCs w:val="16"/>
        </w:rPr>
        <w:t xml:space="preserve">22 сентября 1935 г. по решению Политбюро ЦК ВКП(б), реализованным постановлением СНК СССР, Штаб РККА был преобразован в </w:t>
      </w:r>
      <w:r w:rsidRPr="00E14102">
        <w:rPr>
          <w:rStyle w:val="a6"/>
          <w:bCs/>
          <w:i w:val="0"/>
          <w:color w:val="000000" w:themeColor="text1"/>
          <w:sz w:val="16"/>
          <w:szCs w:val="16"/>
        </w:rPr>
        <w:t>Генеральный штаб РККА</w:t>
      </w:r>
      <w:r w:rsidRPr="00E14102">
        <w:rPr>
          <w:color w:val="000000" w:themeColor="text1"/>
          <w:sz w:val="16"/>
          <w:szCs w:val="16"/>
        </w:rPr>
        <w:t>. По своему положению в системе управлений НКО СССР Генеральный штаб являлся основным органом оперативного руководства по подготовке страны к обороне и вооруженных сил к ведению современной войны. На него возлагались: разработка стратегических и оперативных планов развития и боевого использования вооруженных сил для обороны страны, руководство оперативной подготовкой высшего командного состава и штабов, военно-научной работой, материально-техническое обеспечение войск, планирование заказов промышленности на военную технику и вооружение, подготовка и осуществление мобилизационных мероприятий. Первоначально в Генштабе сохранялась прежняя структура Штаба РККА, разработанная на основании положения о Наркомате обороны СССР (объявлено приказом НКО № 067 от 22 ноября 1934 г.) и включавшая 8 отделов: 1) оперативный, 2) боевой подготовки, 3) военных сообщений, 4) организационный, 5) материально-плановый, 6) снабжения горючим, 7) военно-топографической службы, 8) шифровальный. С декабря 1935 г. появился 9</w:t>
      </w:r>
      <w:r w:rsidRPr="00E14102">
        <w:rPr>
          <w:color w:val="000000" w:themeColor="text1"/>
          <w:sz w:val="16"/>
          <w:szCs w:val="16"/>
        </w:rPr>
        <w:noBreakHyphen/>
        <w:t>й отдел Генштаба, им стал военно-исторический отдел, который с 17 февраля 1936 г. был переименован в научный военно-исторический. Бывшее Разведывательное управление Штаба РККА выделилось в самостоятельное Разведывательное управление РККА. Кроме того, в состав Генштаба вошел образованный в начале 1935 г. морской отдел. Ведению морского отдела подлежали: разработка планов и заданий по развитию и организационной структуре морских сил, планов операций и оперативного использования морских сил, схемы их развертывания, материальное обеспечение. В связи с коренной реорганизацией системы управления ВМФ и созданием в декабре 1937 г. самостоятельного Наркомата Военно-морского флота и Главного морского штаба, морской отдел Генштаба был упразднен. Все отделы Генштаба, кроме морского, имели номерные обозначения. В течение 1936</w:t>
      </w:r>
      <w:r w:rsidRPr="00E14102">
        <w:rPr>
          <w:color w:val="000000" w:themeColor="text1"/>
          <w:sz w:val="16"/>
          <w:szCs w:val="16"/>
        </w:rPr>
        <w:noBreakHyphen/>
        <w:t>1937 гг. структура Генштаба РККА подвергалась организационным изменением. В феврале 1936 г. (приказ НКО СССР № 024) в связи с созданием Управления снабжения горючим Красной Армии ему передавались функции отдела снабжения горючим Генштаба. В апреле 1936 г. (приказ НКО СССР № 056) отдел боевой подготовки (2</w:t>
      </w:r>
      <w:r w:rsidRPr="00E14102">
        <w:rPr>
          <w:color w:val="000000" w:themeColor="text1"/>
          <w:sz w:val="16"/>
          <w:szCs w:val="16"/>
        </w:rPr>
        <w:noBreakHyphen/>
        <w:t>й) был выделен из состава Генштаба и развернут в самостоятельное Управление боевой подготовки РККА. Одновременно (этим же приказом) в составе Генштаба был создан отдел кадров, на который возлагались: разработка вопросов, связанных с прохождением службы Генштаба, учет, отбор, проведение назначений, связанных с мобилизационным предназначением командиров Генштаба, руководство работой и учет генштабистов. В апреле 1937 г. (приказ НКО СССР № 53) отдел кадров Генштаба был слит с 5</w:t>
      </w:r>
      <w:r w:rsidRPr="00E14102">
        <w:rPr>
          <w:color w:val="000000" w:themeColor="text1"/>
          <w:sz w:val="16"/>
          <w:szCs w:val="16"/>
        </w:rPr>
        <w:noBreakHyphen/>
        <w:t>м отделом (штабных командиров) Управления по командному и начальствующему составу при НКО СССР. В июле 1937 г. (приказ НКО СССР № 098) в целях повышения качества мобилизационно-плановой работы по материальному обеспечению РККА материально-плановый (5</w:t>
      </w:r>
      <w:r w:rsidRPr="00E14102">
        <w:rPr>
          <w:color w:val="000000" w:themeColor="text1"/>
          <w:sz w:val="16"/>
          <w:szCs w:val="16"/>
        </w:rPr>
        <w:noBreakHyphen/>
        <w:t>й) отдел Генштаба был реорганизован и расширен за счет личного состава расформированного этим приказом мобилизационно-планового отдела Главного управления вооружения и технического снабжения РККА. По положению, объявленному этим же приказом, на отдел возлагались следующие задачи: изучение материальных ресурсов страны и планов народного хозяйства в целях полного обеспечения потребности вооруженных сил в военное время; участие в работе Госплана СССР и НКО СССР по составлению мобилизационных планов и контрольных цифр военного времени и отражению в них нужд обороны в мирное время; разработка норм накапливания мобилизационных запасов и расхода на военное время по всем видам техники, вооружения, снаряжения; руководство строительством складов, работой гражданских наркоматов в отношении эвакуации предприятий и др. (СЗ СССР. 1935 1937 вышел приказ НКОП № 51. Ст. 426).</w:t>
      </w:r>
    </w:p>
    <w:p w14:paraId="7A9028E1" w14:textId="77777777" w:rsidR="00A077FF" w:rsidRPr="00E14102" w:rsidRDefault="00A077F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4372. Оп. 91. Д. 2398. Л. 14</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об.-15. Заверенная копия (15376).</w:t>
      </w:r>
    </w:p>
    <w:p w14:paraId="077D3049" w14:textId="77777777" w:rsidR="00A077FF" w:rsidRPr="00E14102" w:rsidRDefault="00A077FF" w:rsidP="00E14102">
      <w:pPr>
        <w:jc w:val="both"/>
        <w:rPr>
          <w:color w:val="000000" w:themeColor="text1"/>
          <w:sz w:val="16"/>
          <w:szCs w:val="16"/>
        </w:rPr>
      </w:pPr>
    </w:p>
    <w:p w14:paraId="68B20D66" w14:textId="77777777" w:rsidR="00A077FF" w:rsidRPr="00E14102" w:rsidRDefault="00A077FF" w:rsidP="00E14102">
      <w:pPr>
        <w:jc w:val="both"/>
        <w:rPr>
          <w:color w:val="000000" w:themeColor="text1"/>
          <w:sz w:val="16"/>
          <w:szCs w:val="16"/>
        </w:rPr>
      </w:pPr>
      <w:r w:rsidRPr="00E14102">
        <w:rPr>
          <w:color w:val="000000" w:themeColor="text1"/>
          <w:sz w:val="16"/>
          <w:szCs w:val="16"/>
        </w:rPr>
        <w:t>22 сентября в 1935 году постановление Совнаркома СССР о преобразовании штаба РККА в Генеральный штаб. Первым начальником Генштаба становится будущий маршал Александр Ильич Егоров (14777).</w:t>
      </w:r>
    </w:p>
    <w:p w14:paraId="11B8FAB1" w14:textId="77777777" w:rsidR="00A077FF" w:rsidRPr="00E14102" w:rsidRDefault="00A077FF" w:rsidP="00E14102">
      <w:pPr>
        <w:jc w:val="both"/>
        <w:rPr>
          <w:color w:val="000000" w:themeColor="text1"/>
          <w:sz w:val="16"/>
          <w:szCs w:val="16"/>
        </w:rPr>
      </w:pPr>
    </w:p>
    <w:p w14:paraId="00761C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сентября 1935 вышел приказ НКО N 182 по поводу Киевских маневров: "Особо отмечаю отлично выполненный как с организационной, так и с тактико-технической стороны, массовый авиадесант и образцовые боевые действия частей десанта на земле немедленно после выброски." (438,697).</w:t>
      </w:r>
    </w:p>
    <w:p w14:paraId="4E3845BD" w14:textId="77777777" w:rsidR="00D4105E" w:rsidRPr="00E14102" w:rsidRDefault="00D4105E" w:rsidP="00E14102">
      <w:pPr>
        <w:autoSpaceDE w:val="0"/>
        <w:autoSpaceDN w:val="0"/>
        <w:adjustRightInd w:val="0"/>
        <w:jc w:val="both"/>
        <w:rPr>
          <w:color w:val="000000" w:themeColor="text1"/>
          <w:sz w:val="16"/>
          <w:szCs w:val="16"/>
        </w:rPr>
      </w:pPr>
    </w:p>
    <w:p w14:paraId="5FD83269" w14:textId="77777777" w:rsidR="00A077FF" w:rsidRPr="00E14102" w:rsidRDefault="00A077FF" w:rsidP="00E14102">
      <w:pPr>
        <w:jc w:val="both"/>
        <w:rPr>
          <w:color w:val="000000" w:themeColor="text1"/>
          <w:sz w:val="16"/>
          <w:szCs w:val="16"/>
        </w:rPr>
      </w:pPr>
      <w:r w:rsidRPr="00E14102">
        <w:rPr>
          <w:color w:val="000000" w:themeColor="text1"/>
          <w:sz w:val="16"/>
          <w:szCs w:val="16"/>
        </w:rPr>
        <w:t>22 сентября 1935 г. приказе Наркома Обо</w:t>
      </w:r>
      <w:r w:rsidRPr="00E14102">
        <w:rPr>
          <w:color w:val="000000" w:themeColor="text1"/>
          <w:sz w:val="16"/>
          <w:szCs w:val="16"/>
        </w:rPr>
        <w:softHyphen/>
        <w:t>роны № 0182, подведшем итоги Киевских маневров, значилось, что «штурмовая авиация умело выби</w:t>
      </w:r>
      <w:r w:rsidRPr="00E14102">
        <w:rPr>
          <w:color w:val="000000" w:themeColor="text1"/>
          <w:sz w:val="16"/>
          <w:szCs w:val="16"/>
        </w:rPr>
        <w:softHyphen/>
        <w:t>рала боевые курсы и маскированно подходила к целям атаки». Но это была лакировка действительности: даже работники штаба ВВС КВО признали — в черновике отчёта о действиях авиации на Киевских маневрах, — что их штурмовики «неудачно и редко» «пользовались для захода на цель маскировкой себя солнцем, когда обстановка это по</w:t>
      </w:r>
      <w:r w:rsidRPr="00E14102">
        <w:rPr>
          <w:color w:val="000000" w:themeColor="text1"/>
          <w:sz w:val="16"/>
          <w:szCs w:val="16"/>
        </w:rPr>
        <w:softHyphen/>
        <w:t>зволяла» (15803).</w:t>
      </w:r>
    </w:p>
    <w:p w14:paraId="0412C7C8" w14:textId="77777777" w:rsidR="00A077FF" w:rsidRPr="00E14102" w:rsidRDefault="00A077FF" w:rsidP="00E14102">
      <w:pPr>
        <w:jc w:val="both"/>
        <w:rPr>
          <w:color w:val="000000" w:themeColor="text1"/>
          <w:sz w:val="16"/>
          <w:szCs w:val="16"/>
        </w:rPr>
      </w:pPr>
    </w:p>
    <w:p w14:paraId="5F86EAC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5E95A5C" w14:textId="77777777" w:rsidR="00D4105E" w:rsidRPr="00E14102" w:rsidRDefault="00D4105E" w:rsidP="00E14102">
      <w:pPr>
        <w:autoSpaceDE w:val="0"/>
        <w:autoSpaceDN w:val="0"/>
        <w:adjustRightInd w:val="0"/>
        <w:jc w:val="both"/>
        <w:rPr>
          <w:iCs/>
          <w:color w:val="000000" w:themeColor="text1"/>
          <w:sz w:val="16"/>
          <w:szCs w:val="16"/>
        </w:rPr>
      </w:pPr>
    </w:p>
    <w:p w14:paraId="743C70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сентября 1935 на ДБА 4М-34РН в ходе заводских испытаний в Щелково летали 1 раз 0:22 и это был полет c измененным (уменьшенным) флетнером РВ и на проверку автоматической устойчивости, а также на замеры расходов воздуха на пневмомотор поворота турели Ф-1, а также на подъем колес лебедкой. Это был 14-й полет (249).</w:t>
      </w:r>
    </w:p>
    <w:p w14:paraId="4DB8EDCF" w14:textId="77777777" w:rsidR="00D4105E" w:rsidRPr="00E14102" w:rsidRDefault="00D4105E" w:rsidP="00E14102">
      <w:pPr>
        <w:autoSpaceDE w:val="0"/>
        <w:autoSpaceDN w:val="0"/>
        <w:adjustRightInd w:val="0"/>
        <w:jc w:val="both"/>
        <w:rPr>
          <w:color w:val="000000" w:themeColor="text1"/>
          <w:sz w:val="16"/>
          <w:szCs w:val="16"/>
        </w:rPr>
      </w:pPr>
    </w:p>
    <w:p w14:paraId="4A87EF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 23 сентября 1935 по 11 (14 - 1076,480 и 247) февраля 1936 испытывался СБ-2М с ИС (АНТ-40) после доводки (790,11).</w:t>
      </w:r>
    </w:p>
    <w:p w14:paraId="5C0177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 ви НИИ Подлесецкий, от ЦАГИ - Рахманин, вл Миндер.</w:t>
      </w:r>
    </w:p>
    <w:p w14:paraId="3F5D5A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7B77CD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Проверить устранение дефектов, выявленных на предыдущих испытаниях и выявить возможные изменения летных данных.</w:t>
      </w:r>
    </w:p>
    <w:p w14:paraId="3E039B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Испытать стрелковое и бомбардировочное вооружение</w:t>
      </w:r>
    </w:p>
    <w:p w14:paraId="2B72A8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Выявить эксплуатационные данные самолета.</w:t>
      </w:r>
    </w:p>
    <w:p w14:paraId="68C32F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Выявить соответствие ТТТ после проведенных переделок.</w:t>
      </w:r>
    </w:p>
    <w:p w14:paraId="230D5E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был предъявлен на повторные испытания со следующими основными конструктивными изменениями:</w:t>
      </w:r>
    </w:p>
    <w:p w14:paraId="52F7F9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Поставлено новое хвостовое оперение с увеличенными площадями осевой и роговой компенсациями.</w:t>
      </w:r>
    </w:p>
    <w:p w14:paraId="0E2DC3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Отъемным частям крыла придано стреловидное расположение и увеличено поперечное V</w:t>
      </w:r>
    </w:p>
    <w:p w14:paraId="0CB8D7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Отнесена вперед на 100 мм вся ВМГ и увеличена жесткость моторамы</w:t>
      </w:r>
    </w:p>
    <w:p w14:paraId="2A22F7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Увеличена жесткость центроплана</w:t>
      </w:r>
    </w:p>
    <w:p w14:paraId="1A7A8E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Установлены новые моторные капоты, жалюзи и водяной радиатор (для сравнения).</w:t>
      </w:r>
    </w:p>
    <w:p w14:paraId="6AAE1B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Установлено пневматическое управление тормозами колес взамен гидропневматического</w:t>
      </w:r>
    </w:p>
    <w:p w14:paraId="34641F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Установлен электро-переговорный аппарат СПУ-3 и световая сигнализация</w:t>
      </w:r>
    </w:p>
    <w:p w14:paraId="0015A6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Установлен триммер на правом элероне</w:t>
      </w:r>
    </w:p>
    <w:p w14:paraId="599524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Поставлено автоматическое управление жалюзи водяного радиатора (термостат).</w:t>
      </w:r>
    </w:p>
    <w:p w14:paraId="49B584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Предъявлено 2 варианта бомбосбрасывателя (ЭМПС и обогревом и пиротехникой) (247).</w:t>
      </w:r>
    </w:p>
    <w:p w14:paraId="53B6FC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СБ (АНТ-40) М-100 был предъявлен на второй этап гос. испытаний в октябре 1935 (80,235).</w:t>
      </w:r>
    </w:p>
    <w:p w14:paraId="2E089CB8" w14:textId="77777777" w:rsidR="00D4105E" w:rsidRPr="00E14102" w:rsidRDefault="00D4105E" w:rsidP="00E14102">
      <w:pPr>
        <w:autoSpaceDE w:val="0"/>
        <w:autoSpaceDN w:val="0"/>
        <w:adjustRightInd w:val="0"/>
        <w:jc w:val="both"/>
        <w:rPr>
          <w:color w:val="000000" w:themeColor="text1"/>
          <w:sz w:val="16"/>
          <w:szCs w:val="16"/>
        </w:rPr>
      </w:pPr>
    </w:p>
    <w:p w14:paraId="1B70FB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ЦК ВКП(б) и Правительство уделяли СБ (АНТ-40) много внимания. Среди вопросов "О результатах испытаний самолета СБ", "О мероприятиях по устранению дефектов в конструкции СБ", "Об ускорении доводки СБ" (66,152).</w:t>
      </w:r>
    </w:p>
    <w:p w14:paraId="587A1509" w14:textId="77777777" w:rsidR="00D4105E" w:rsidRPr="00E14102" w:rsidRDefault="00D4105E" w:rsidP="00E14102">
      <w:pPr>
        <w:autoSpaceDE w:val="0"/>
        <w:autoSpaceDN w:val="0"/>
        <w:adjustRightInd w:val="0"/>
        <w:jc w:val="both"/>
        <w:rPr>
          <w:color w:val="000000" w:themeColor="text1"/>
          <w:sz w:val="16"/>
          <w:szCs w:val="16"/>
        </w:rPr>
      </w:pPr>
    </w:p>
    <w:p w14:paraId="5E85E1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23 сентября 1935 г. СБ 2ИС вновь был передан в НИИ ВВС для проведения дополнительных государственных испытаний. Всего было осуществлено 308 полетов, налет на самолете составил 74 часов 56 минут. Первоочередными задачами по устранению недочетов, отмеченных в отчете, считались следующие: "...доведение </w:t>
      </w:r>
      <w:r w:rsidRPr="00E14102">
        <w:rPr>
          <w:color w:val="000000" w:themeColor="text1"/>
          <w:sz w:val="16"/>
          <w:szCs w:val="16"/>
        </w:rPr>
        <w:lastRenderedPageBreak/>
        <w:t>запаса прочности до норм, требуемых постановлением в отношении С Б;...увеличение живучести лыж, по крайней мере, до 350-300 посадок;...уменьшение и полное изжитие тенденции к капотажу, особенно при посадках на размягченный грунт и разрыхленный и снежный покров;...улучшение охлаждения моторов при плюсовых наружных температурах 20° и выше,'...увеличение живучести и надежности действия приводов динамо-машин;...устранение недочетов по вооружению и спецоборудованию, отмеченных в отчете;...улучшение эксплуатации путем облегчения доступа к трущимся, быстро изнашивающимся и требующим частой проверки агрегатам самолета и особенно мотора".</w:t>
      </w:r>
    </w:p>
    <w:p w14:paraId="5123D0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дальнейшем требовалось довести нормальный радиус действия машины без уменьшения полезной нагрузки, по крайней мере, до 1200-1500 км, а максимальную скорость - до 450-480 км/ч. Кроме того, предполагалось "увеличить запас прочности до 8-9 крат, согласно действующим нормам прочности", а также бомбовую нагрузку до 750-1000 кг "за счет соответствующего уменьшения мертвого веса конструкции".</w:t>
      </w:r>
    </w:p>
    <w:p w14:paraId="6613F9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выводах по испытаниям указывалось: "Самолет СБ 2ИС, как уже отмечалось НИИ ВВС в отчетах по госиспытаниям в феврале и июне 1935 г., принадлежит к новому тактическому классу современных бомбардировочных самолетов. Высокие летные данные и достаточно мощное вооружение обеспечивают ему тактическую независимость и быстроту действий.</w:t>
      </w:r>
    </w:p>
    <w:p w14:paraId="2757B4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частности испытаниями на ведение воздушного боя установлено, что СБ может использовать свою скорость для ухода от атак истребителя типа И-15 (максимальная скорость полета на расчетной высоте 3000 м составляла 367 км/ч - авт.). Оставляя за собой сильную воздушную струю длиной до 150-200 м, самолет расстраивает атакующее сзади звено истребителей, нарушая его прицельный огонь на этих дистанциях. Благодаря своей окраске самолет С Б хорошо маскируется на снежной поверхности земли и на фоне облаков, значительно затрудняя атаки истребителей и наблюдение за ним с земли.</w:t>
      </w:r>
    </w:p>
    <w:p w14:paraId="6AA2A5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сравнению с предыдущим образцом самолета, СБ 2ИС, проходивший госиспытания, данный образец имеет следующие преимущества.</w:t>
      </w:r>
    </w:p>
    <w:p w14:paraId="7CC225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w:t>
      </w:r>
    </w:p>
    <w:p w14:paraId="3F205A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...Продольная устойчивость самолета значительно улучшена, самолет устойчив до центровки 32% САХ по разъему. Предыдущий образец был устойчив только до 29%.</w:t>
      </w:r>
    </w:p>
    <w:p w14:paraId="5735C7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...Сильное сваливание самолета влево на больших скоростях - устранено, а увеличение жесткости центроплана - устранило деформации обшивки.</w:t>
      </w:r>
    </w:p>
    <w:p w14:paraId="45296B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маршрутных полетов в неблагоприятных метеорологических условиях возможно, так как оборудование и устойчивость пути самолета позволяют осуществлять вождение по приборам.</w:t>
      </w:r>
    </w:p>
    <w:p w14:paraId="6120BA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 на одном моторе возможен длительное время и на значительных высотах (до 5000 м). Самолет при этом сохраняет значительную маневренность.</w:t>
      </w:r>
    </w:p>
    <w:p w14:paraId="3F9708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Увеличение жесткости моторной рамы повысило надежность эксплуатации самолета.</w:t>
      </w:r>
    </w:p>
    <w:p w14:paraId="2039F7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вооружению:</w:t>
      </w:r>
    </w:p>
    <w:p w14:paraId="6AD0C9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...Пулеметы всех стрелковых установок и сами установки работали на земле и в воздухе безотказно при наружных температурах воздуха до -40°С.</w:t>
      </w:r>
    </w:p>
    <w:p w14:paraId="66BC97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...Легкое маневрирование спаренной пулеметной установкой и пулемета на ТУР-9, в пределах допускаемых углов обстрела, осуществляется на скоростях до 280 км/ч.</w:t>
      </w:r>
    </w:p>
    <w:p w14:paraId="6C05B1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...Горизонтальные держатели с ЭМП до высоты 8100 м и температуры наружного воздуха до -51°С работали безотказно.</w:t>
      </w:r>
    </w:p>
    <w:p w14:paraId="31757D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...Механическая часть, аварийный сбрасыватель и механизм управления люками работали нормально на всех высотах и режимах полета.</w:t>
      </w:r>
    </w:p>
    <w:p w14:paraId="03574A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...ЭМПС с подогревом и электропи-ропатроны спуска (предъявленные впервые), установленные на бомбодержателях КВ-2, работали безотказно при температурах до -53°С и на высотах до 8200 м.</w:t>
      </w:r>
    </w:p>
    <w:p w14:paraId="46E14B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Электропиротехнические спуски обеспечивали более надежную работу, так как они проще по конструкции и проще в эксплуатации и требуют меньше расхода электроэнергии".</w:t>
      </w:r>
    </w:p>
    <w:p w14:paraId="4C2971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качестве основных недостатков самолета военные специалисты отмечали следующие:</w:t>
      </w:r>
    </w:p>
    <w:p w14:paraId="6CE3BA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"770 самолету: Не проведены статиспытания, что пока исключает возможность полетов на этом самолете и с повышенной нагрузкой и, следовательно, ограничивает возможность увеличить его радиус действия, и ограничивает маневр самолета на больших скоростях.</w:t>
      </w:r>
    </w:p>
    <w:p w14:paraId="777396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вооружению: Не обеспечена надежная работа пулеметов при минусовых температурах, турель ТУР-9 при вращении ее на больших скоростях полета свыше 280 км/ч требует значительных усилий от стрелка. Прицел ОПБ-1 на высотах более 6000 м и при наружной температуре воздуха -30°С на меньших высотах в работе отказывает.</w:t>
      </w:r>
    </w:p>
    <w:p w14:paraId="287000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спецоборудованию: СПУ-3 работает ненадежно - замерзают микрофоны.</w:t>
      </w:r>
    </w:p>
    <w:p w14:paraId="6BDF0B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эксплуатации: Отмечалось, что эксплуатация самолета сложна. Обслуживание, осмотры и мелкий ремонт требуют большого времени. Замена отдельных агрегатов мотора требует предварительного снятия других агрегатов и деталей".</w:t>
      </w:r>
    </w:p>
    <w:p w14:paraId="66D6D9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заключение отчета по испытаниям СБ 2ИС констатировалось: "Самолет СБ 2ИС считать прошедшим государственные испытания. Считать необходимым обязать ГУАП вести работу по дальнейшему устранению выявленных дефектов и по дальнейшей модификации данного типа самолета. В НИИ ВВС провести полное исследование вопросов боевого применения самолета СБ".</w:t>
      </w:r>
    </w:p>
    <w:p w14:paraId="5B5E2B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 подписали начальник НИИ ВВС КА комбриг Бажанов, начальник 1 отдела НИИ Петров, начальник ЦАГИ Харламов и начальник ОЭЛИД ЦАГИ Чесалов. Отчет по испытаниям начальник УВВС КА Я. И. Алкснис утвердил 14 февраля 1936 г. (9501)</w:t>
      </w:r>
    </w:p>
    <w:p w14:paraId="46C2BE26" w14:textId="77777777" w:rsidR="00D4105E" w:rsidRPr="00E14102" w:rsidRDefault="00D4105E" w:rsidP="00E14102">
      <w:pPr>
        <w:autoSpaceDE w:val="0"/>
        <w:autoSpaceDN w:val="0"/>
        <w:adjustRightInd w:val="0"/>
        <w:jc w:val="both"/>
        <w:rPr>
          <w:color w:val="000000" w:themeColor="text1"/>
          <w:sz w:val="16"/>
          <w:szCs w:val="16"/>
        </w:rPr>
      </w:pPr>
    </w:p>
    <w:p w14:paraId="380582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сентября 1935 года зам. наркома обороны писал письмо N 376302сс/0 Молотову.</w:t>
      </w:r>
    </w:p>
    <w:p w14:paraId="466C92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исполнение постановления СТО (протокол N 11 п. 2 от 10 сентября 1935 года), представляю согласованные с Наркомтяжпромом (ГУАПом) тактико-технические требования к постройке опытного образца артиллерийского самолета-корректировщика.</w:t>
      </w:r>
    </w:p>
    <w:p w14:paraId="4E462A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Согласовано Начальник УВС Алкснис 20 сентября 1935 года</w:t>
      </w:r>
    </w:p>
    <w:p w14:paraId="74D9B2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ГУАПа Королев</w:t>
      </w:r>
    </w:p>
    <w:p w14:paraId="5EAFA8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Тактико-технические требования к артиллерийскому самолету-корректировщику</w:t>
      </w:r>
    </w:p>
    <w:p w14:paraId="13EE2B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 завод N 1</w:t>
      </w:r>
    </w:p>
    <w:p w14:paraId="331092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постройки 1 мая 1936 года</w:t>
      </w:r>
    </w:p>
    <w:p w14:paraId="1DBF02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Назначение самолета</w:t>
      </w:r>
    </w:p>
    <w:p w14:paraId="43CA92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Артиллерийский самолет-корректировщик назначается для самостоятельных без прикрытия действий по:</w:t>
      </w:r>
    </w:p>
    <w:p w14:paraId="4D58E9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разведка хорошо замаскированных целей, в особенности батарей противника, скопления танков и резервов;</w:t>
      </w:r>
    </w:p>
    <w:p w14:paraId="6705AE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производства фотосъемки...</w:t>
      </w:r>
    </w:p>
    <w:p w14:paraId="5FF7E5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целеуказание и корректировка огня артиллерии по обнаруженным целям;</w:t>
      </w:r>
    </w:p>
    <w:p w14:paraId="442331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Главнейшие особенности самолета:</w:t>
      </w:r>
    </w:p>
    <w:p w14:paraId="152646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высокая маневренность как в горизонтальной, так и вертикальной плоскостях;</w:t>
      </w:r>
    </w:p>
    <w:p w14:paraId="787A40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надежные средства оборонительного огня в воздушном бою;</w:t>
      </w:r>
    </w:p>
    <w:p w14:paraId="051C11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прекрасный обзор земли;</w:t>
      </w:r>
    </w:p>
    <w:p w14:paraId="20D996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хорошие условия для работы летчика-наблюдателя.</w:t>
      </w:r>
    </w:p>
    <w:p w14:paraId="56773A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Летно-тактические требования</w:t>
      </w:r>
    </w:p>
    <w:p w14:paraId="37075D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Самолет с полной нагрузкой, оборудованием и снаряжением и запасом горючего и смазочного, обеспечивающим ему техническую дальность полета в 1000 км на высоте 3000-5000 м и скорости не ниже 0,8 от максимальной, должен обладать нижеследующими летными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3599D" w:rsidRPr="00E14102" w14:paraId="20ABC553" w14:textId="77777777">
        <w:tc>
          <w:tcPr>
            <w:tcW w:w="5636" w:type="dxa"/>
            <w:tcBorders>
              <w:top w:val="single" w:sz="12" w:space="0" w:color="auto"/>
            </w:tcBorders>
          </w:tcPr>
          <w:p w14:paraId="309CBA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Максимальная горизонтальная скорость</w:t>
            </w:r>
          </w:p>
        </w:tc>
        <w:tc>
          <w:tcPr>
            <w:tcW w:w="5636" w:type="dxa"/>
            <w:tcBorders>
              <w:top w:val="single" w:sz="12" w:space="0" w:color="auto"/>
            </w:tcBorders>
          </w:tcPr>
          <w:p w14:paraId="07AD5BE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69E06B2" w14:textId="77777777">
        <w:tc>
          <w:tcPr>
            <w:tcW w:w="5636" w:type="dxa"/>
          </w:tcPr>
          <w:p w14:paraId="78BDC6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высоте 3000-5000 м</w:t>
            </w:r>
          </w:p>
        </w:tc>
        <w:tc>
          <w:tcPr>
            <w:tcW w:w="5636" w:type="dxa"/>
          </w:tcPr>
          <w:p w14:paraId="2367F7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350-400 км/час</w:t>
            </w:r>
          </w:p>
        </w:tc>
      </w:tr>
      <w:tr w:rsidR="00E3599D" w:rsidRPr="00E14102" w14:paraId="4989922A" w14:textId="77777777">
        <w:tc>
          <w:tcPr>
            <w:tcW w:w="5636" w:type="dxa"/>
          </w:tcPr>
          <w:p w14:paraId="5773DA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Временем виража на высоте 3000 м</w:t>
            </w:r>
          </w:p>
        </w:tc>
        <w:tc>
          <w:tcPr>
            <w:tcW w:w="5636" w:type="dxa"/>
          </w:tcPr>
          <w:p w14:paraId="128669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15-17 сек.</w:t>
            </w:r>
          </w:p>
        </w:tc>
      </w:tr>
      <w:tr w:rsidR="00E3599D" w:rsidRPr="00E14102" w14:paraId="7DA4425E" w14:textId="77777777">
        <w:tc>
          <w:tcPr>
            <w:tcW w:w="5636" w:type="dxa"/>
          </w:tcPr>
          <w:p w14:paraId="3DB920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Скороподъемностью на 5000 м</w:t>
            </w:r>
          </w:p>
        </w:tc>
        <w:tc>
          <w:tcPr>
            <w:tcW w:w="5636" w:type="dxa"/>
          </w:tcPr>
          <w:p w14:paraId="0211BD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мин.</w:t>
            </w:r>
          </w:p>
        </w:tc>
      </w:tr>
      <w:tr w:rsidR="00E3599D" w:rsidRPr="00E14102" w14:paraId="4FF1FE07" w14:textId="77777777">
        <w:tc>
          <w:tcPr>
            <w:tcW w:w="5636" w:type="dxa"/>
            <w:tcBorders>
              <w:bottom w:val="single" w:sz="12" w:space="0" w:color="auto"/>
            </w:tcBorders>
          </w:tcPr>
          <w:p w14:paraId="219306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Посадочной скоростью не выше</w:t>
            </w:r>
          </w:p>
        </w:tc>
        <w:tc>
          <w:tcPr>
            <w:tcW w:w="5636" w:type="dxa"/>
            <w:tcBorders>
              <w:bottom w:val="single" w:sz="12" w:space="0" w:color="auto"/>
            </w:tcBorders>
          </w:tcPr>
          <w:p w14:paraId="206EA6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80-90 км/час</w:t>
            </w:r>
          </w:p>
        </w:tc>
      </w:tr>
    </w:tbl>
    <w:p w14:paraId="11AB39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целью увеличения дальности полета самолета, емкость бензиновых и масляных баков должна быть рассчитана на техническую дальность полета в 1200 км на высоте 3000-5000 м.</w:t>
      </w:r>
    </w:p>
    <w:p w14:paraId="70BB27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Самолет должен иметь следующее вооружение и оборудование:</w:t>
      </w:r>
    </w:p>
    <w:p w14:paraId="56DF11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Вооружение</w:t>
      </w:r>
    </w:p>
    <w:p w14:paraId="46A4EC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Один пулемет Шкас калибра 7,62 мм, установленный в крыле с боезапасом на 750 выстрелов...</w:t>
      </w:r>
    </w:p>
    <w:p w14:paraId="4000DD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установка 1-2 пулеметов Шкас в кабине стрелка на экранированной установке с боезапасом не менее 1000 выстрелов на пулемет.</w:t>
      </w:r>
    </w:p>
    <w:p w14:paraId="7C36DB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Установка одного съемного пулемета в кабине летчика-наблюдателя с боезапасом не менее 500 выстрелов.</w:t>
      </w:r>
    </w:p>
    <w:p w14:paraId="5F97E8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Бомбардировочное оборудование емкостью 60 кг; калибр бомб 8-25 кг. октября (3503,39-43).</w:t>
      </w:r>
    </w:p>
    <w:p w14:paraId="61B6BBBD" w14:textId="77777777" w:rsidR="00D4105E" w:rsidRPr="00E14102" w:rsidRDefault="00D4105E" w:rsidP="00E14102">
      <w:pPr>
        <w:autoSpaceDE w:val="0"/>
        <w:autoSpaceDN w:val="0"/>
        <w:adjustRightInd w:val="0"/>
        <w:jc w:val="both"/>
        <w:rPr>
          <w:color w:val="000000" w:themeColor="text1"/>
          <w:sz w:val="16"/>
          <w:szCs w:val="16"/>
        </w:rPr>
      </w:pPr>
    </w:p>
    <w:p w14:paraId="3A4D3A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сентября 1935 закончились гос. испытанию самолета И-16 М-22 на штопор, которые проходили с 9 сентября 1935.</w:t>
      </w:r>
    </w:p>
    <w:p w14:paraId="3FCDB9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Отв. исполнитель – инженер-летчик Никашин</w:t>
      </w:r>
    </w:p>
    <w:p w14:paraId="52524D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3A60C94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Определение характера штопора на самолете И-16 М22 и выявление опасных режимов.</w:t>
      </w:r>
    </w:p>
    <w:p w14:paraId="2E15645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Выявление тенденций к входу в штопор при ошибках в пилотировании.</w:t>
      </w:r>
    </w:p>
    <w:p w14:paraId="05B6E0A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Выяснение влияний на характер и режим штопора факторов: количественной и качественной дачи рулей, положение самолета и т.д.</w:t>
      </w:r>
    </w:p>
    <w:p w14:paraId="53D637D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Способы вывода самолета с минимальным запаздыванием.</w:t>
      </w:r>
    </w:p>
    <w:p w14:paraId="5C2941F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Получение данных для инструкции по производству штопора на самолете И16 М22.</w:t>
      </w:r>
    </w:p>
    <w:p w14:paraId="35D596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DE93B7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Штопор на самолете И-16 М22 с полетным весом 1328 кг, центром тяжести 33,1% САХ и регулировочными данными указанными для серийных самолетов завода № 21 не опасен (7660).</w:t>
      </w:r>
    </w:p>
    <w:p w14:paraId="579B5BE2"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7E20DF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сентября 1935 закончились испытания самолета И-16 М-22 на штопор, которые проходили с 9 сентября 1935 (6684).</w:t>
      </w:r>
    </w:p>
    <w:p w14:paraId="4E2BB2C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7D77596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Никашин</w:t>
      </w:r>
    </w:p>
    <w:p w14:paraId="66ACE88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1262756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характера штопора на самолете И-16 М-22 и выявление опасных режимов.</w:t>
      </w:r>
    </w:p>
    <w:p w14:paraId="663F379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Выявление тенденций к выходу в штопор при ошибках в пилотировании.</w:t>
      </w:r>
    </w:p>
    <w:p w14:paraId="2243FAF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Выяснение влияний на характер и режим штопора факторов: количественной и качественной дачи рулей, положения самолета и т.д.</w:t>
      </w:r>
    </w:p>
    <w:p w14:paraId="24FF932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Способы вывода самолета с минимальным запаздыванием.</w:t>
      </w:r>
    </w:p>
    <w:p w14:paraId="7BBDD6B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Получение данных для инструкции по производству штопора на самолете И16 М22.</w:t>
      </w:r>
    </w:p>
    <w:p w14:paraId="3CE36BF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BB0FCC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Штопор на самолете И-16 М22 с полетным весом G=1328 кг ……….. не опасен (6684).</w:t>
      </w:r>
    </w:p>
    <w:p w14:paraId="4FDD49C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77647D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сентября 1935 года гл. конструктор ЦНТБ и зав. кафедрой констр. авиадвигателей МАИ Трескин писал письмо N 916с Молотову.</w:t>
      </w:r>
    </w:p>
    <w:p w14:paraId="6531B3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Докладная записка</w:t>
      </w:r>
    </w:p>
    <w:p w14:paraId="3EB123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1934 года я обратился к Туполеву с предложением выполнить централизованный наддув для тяжелого бомбовоза и предложил кооперироваться по данной работе.</w:t>
      </w:r>
    </w:p>
    <w:p w14:paraId="2CA00F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1934 года МАИ по заданию ГУАП приступил к разработке центрального наддува для многомоторного бомбовоза.</w:t>
      </w:r>
    </w:p>
    <w:p w14:paraId="138C09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мая 1934 года МАИ и ЦАГИ заключили соглашение о кооперировании указанной работы. Соглашение утверждено ГУАПом.</w:t>
      </w:r>
    </w:p>
    <w:p w14:paraId="7E599E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Того же числа ЦАГИ в лице Туполева подписаны составленные мною тех. условия на проектирование.</w:t>
      </w:r>
    </w:p>
    <w:p w14:paraId="4F20C0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ноября 1934 года на тех. совещании у зам. нач. ГУАП Ермолаева я провел защиту проекта центрального наддува, в части схемы винтомоторной группы и конструкции центрального нагнетателя.</w:t>
      </w:r>
    </w:p>
    <w:p w14:paraId="369336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 был полностью одобрен.</w:t>
      </w:r>
    </w:p>
    <w:p w14:paraId="48A454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представленного проекта мощность винтомоторной группы четырехмоторного бомбовоза сохраняется до высоты 8500 м, а потолок самолета до 12000 м.</w:t>
      </w:r>
    </w:p>
    <w:p w14:paraId="6354FA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1934 года по словам Ермолаева тематика сверхвысотного тяжелого бомбовоза была утверждена СТО.</w:t>
      </w:r>
    </w:p>
    <w:p w14:paraId="4E2B75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15 марта МАИ изготовил проект центрального нагнетателя в рабочих чертежах...</w:t>
      </w:r>
    </w:p>
    <w:p w14:paraId="7454C3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72D14C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Ермолаев передал мне о согласии зав. N 24 принять заказ. Впоследствии в приеме заказа было отказано.</w:t>
      </w:r>
    </w:p>
    <w:p w14:paraId="6268F8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...(3569,4-5).</w:t>
      </w:r>
    </w:p>
    <w:p w14:paraId="7016ACB9" w14:textId="77777777" w:rsidR="00D4105E" w:rsidRPr="00E14102" w:rsidRDefault="00D4105E" w:rsidP="00E14102">
      <w:pPr>
        <w:autoSpaceDE w:val="0"/>
        <w:autoSpaceDN w:val="0"/>
        <w:adjustRightInd w:val="0"/>
        <w:jc w:val="both"/>
        <w:rPr>
          <w:color w:val="000000" w:themeColor="text1"/>
          <w:sz w:val="16"/>
          <w:szCs w:val="16"/>
        </w:rPr>
      </w:pPr>
    </w:p>
    <w:p w14:paraId="30ED21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сентября 1935 года гл. конструктор ЦНТБ и зав. кафедрой констр. авиадвигателей МАИ Трескин писал письмо N 917с Молотову.</w:t>
      </w:r>
    </w:p>
    <w:p w14:paraId="142D11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Докладная записка</w:t>
      </w:r>
    </w:p>
    <w:p w14:paraId="1FFB24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вопросу создания самолетов рекорда высоты и скорости</w:t>
      </w:r>
    </w:p>
    <w:p w14:paraId="00A21C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Техническая сущность проекта заключается в следующем: на двухмоторном самолете типа моноплан с герметической кабиной, снабженным двумя моторами Испано 12 ybrs (М-100) с винтами регулируемого в полете шага и включающимися собственными нагнетателями, устанавливается в фюзеляже центральный нагнетатель, приводимый специальным двигателем.</w:t>
      </w:r>
    </w:p>
    <w:p w14:paraId="6633D8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этой схеме моторной установки можно осуществить рекордные самолеты со следующими данными:</w:t>
      </w:r>
    </w:p>
    <w:p w14:paraId="6DF3EF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Рекорд скорости:</w:t>
      </w:r>
    </w:p>
    <w:p w14:paraId="424137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Сохранение мощности двигателей до 11000 м</w:t>
      </w:r>
    </w:p>
    <w:p w14:paraId="5B0841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Практический потолок самолета 15000 м</w:t>
      </w:r>
    </w:p>
    <w:p w14:paraId="66D896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Максимальная скорость горизонтального полета на высоте 11000 м - 650 км/час</w:t>
      </w:r>
    </w:p>
    <w:p w14:paraId="1E003B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Скорость на высоте 15000 м - 400 км/час</w:t>
      </w:r>
    </w:p>
    <w:p w14:paraId="09F65B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Скороподъемность на высоту 15000 м - 13-14 минут</w:t>
      </w:r>
    </w:p>
    <w:p w14:paraId="4B2FDF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Скороподъемность на высоту 11000 м - 9-10 минут</w:t>
      </w:r>
    </w:p>
    <w:p w14:paraId="069EB2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Рекорд высоты</w:t>
      </w:r>
    </w:p>
    <w:p w14:paraId="113E59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Сохранение мощности двигателей до 11000 м</w:t>
      </w:r>
    </w:p>
    <w:p w14:paraId="1FF228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Практический потолок самолета 17000 м</w:t>
      </w:r>
    </w:p>
    <w:p w14:paraId="2814A1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Максимальная скорость на высоте 12000 м - 480 км/час</w:t>
      </w:r>
    </w:p>
    <w:p w14:paraId="3A83D7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Скорость на высоте 17000 м - 400 км/час</w:t>
      </w:r>
    </w:p>
    <w:p w14:paraId="6EEC78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Скороподъемность на высоту 17000 м - 34-40 минут</w:t>
      </w:r>
    </w:p>
    <w:p w14:paraId="00D56C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Скороподъемность на высоту 11000 м - 11 минут</w:t>
      </w:r>
    </w:p>
    <w:p w14:paraId="16C1A7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вышеизложенное подтверждено расчетом...(3569,7-8).</w:t>
      </w:r>
    </w:p>
    <w:p w14:paraId="1E4A8C4A" w14:textId="77777777" w:rsidR="00D4105E" w:rsidRPr="00E14102" w:rsidRDefault="00D4105E" w:rsidP="00E14102">
      <w:pPr>
        <w:autoSpaceDE w:val="0"/>
        <w:autoSpaceDN w:val="0"/>
        <w:adjustRightInd w:val="0"/>
        <w:jc w:val="both"/>
        <w:rPr>
          <w:color w:val="000000" w:themeColor="text1"/>
          <w:sz w:val="16"/>
          <w:szCs w:val="16"/>
        </w:rPr>
      </w:pPr>
    </w:p>
    <w:p w14:paraId="2CF4BC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сентября 1935 разбился один из первых серийных АНТ-27 (МДР-4), построенный на 31 заводе из-за отрыва полотна крыла. Потом еще и в 1936 или 1937 серию прекратили (1076,897). Погибли л И.Ф.Якименко и еще двое (1085,112).</w:t>
      </w:r>
    </w:p>
    <w:p w14:paraId="43E4D3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- 27 сентября 1935 (2072,75).</w:t>
      </w:r>
    </w:p>
    <w:p w14:paraId="3C8EAA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третьим данным - это была опытная машина и погибла из-за устаревшей технологии крепления полотна к металлическим нервюрам. Их обматывали тесьмой и шпагатом пришивали полотно. Шов потом заклеивали лентой (6472, 33).</w:t>
      </w:r>
    </w:p>
    <w:p w14:paraId="4825AE8A" w14:textId="77777777" w:rsidR="00D4105E" w:rsidRPr="00E14102" w:rsidRDefault="00D4105E" w:rsidP="00E14102">
      <w:pPr>
        <w:autoSpaceDE w:val="0"/>
        <w:autoSpaceDN w:val="0"/>
        <w:adjustRightInd w:val="0"/>
        <w:jc w:val="both"/>
        <w:rPr>
          <w:color w:val="000000" w:themeColor="text1"/>
          <w:sz w:val="16"/>
          <w:szCs w:val="16"/>
        </w:rPr>
      </w:pPr>
    </w:p>
    <w:p w14:paraId="36C5653A" w14:textId="77777777" w:rsidR="00294D59" w:rsidRPr="00E14102" w:rsidRDefault="00294D59" w:rsidP="00E14102">
      <w:pPr>
        <w:jc w:val="both"/>
        <w:rPr>
          <w:color w:val="0070C0"/>
          <w:sz w:val="16"/>
          <w:szCs w:val="16"/>
        </w:rPr>
      </w:pPr>
      <w:r w:rsidRPr="00E14102">
        <w:rPr>
          <w:color w:val="0070C0"/>
          <w:sz w:val="16"/>
          <w:szCs w:val="16"/>
        </w:rPr>
        <w:t>23 сентября 1935 - Погибли лётчик-испытатель И.Ф. Якименко, начальник Морского отделения эксплуатации, летных испытаний и доводок (МОЭЛИД) ЦАГИ в Севастополе лётчик-испытатель Андрей Емельянович Ведмедер и механик авиамоторного завода №24 М.Д.Смирнов на АНТ-27бис (МДР-4).</w:t>
      </w:r>
    </w:p>
    <w:p w14:paraId="4DC93D1C" w14:textId="77777777" w:rsidR="00294D59" w:rsidRPr="00E14102" w:rsidRDefault="00294D59" w:rsidP="00E14102">
      <w:pPr>
        <w:jc w:val="both"/>
        <w:rPr>
          <w:color w:val="0070C0"/>
          <w:sz w:val="16"/>
          <w:szCs w:val="16"/>
        </w:rPr>
      </w:pPr>
      <w:r w:rsidRPr="00E14102">
        <w:rPr>
          <w:color w:val="0070C0"/>
          <w:sz w:val="16"/>
          <w:szCs w:val="16"/>
        </w:rPr>
        <w:t>В полёте полотно на одной из консолей сначала вспучилось, а затем начало отрываться кусками. Пилот И.Ф.Якименко решил совершить вынужденную посадку, но лодка коснулась воды на большой скорости, при пробеге потеряла устойчивость, ушла в сторону и наскочила на скалу. Самолёт вспыхнул. Причиной катастрофы признали устаревшую технологию крепления полотняной обтяжки. Металлические нервюры обматывали тесьмой, а к ней шпагатом пришивали полотно. Шов потом заклеивался лентой. Установка новых моторов несколько увеличила нагрузки, и, возможно, проявились незамеченные дефекты прошивки. Тем не менее, морское ведомство продолжило приёмку серии МТБ-1 (в 1936-1937 г. в Таганроге построено 15 самолётов, из них один потом в войсковой части тоже потерпел катастрофу из-за срыва обшивки крыла). Останки погибших испытателей были доставлены в Москву. Доступ к ним был организован 30 сентября в клубе ЦАГИ, в тот же день состоялась кремация. Урны с прахом А.Е. Ведмедера, И.Ф.Якименко и М.Д.Смирнова покоятся в нишах колумбария 1-го московского крематория...(22357).</w:t>
      </w:r>
    </w:p>
    <w:p w14:paraId="3C3A293F" w14:textId="77777777" w:rsidR="00294D59" w:rsidRPr="00E14102" w:rsidRDefault="00294D59" w:rsidP="00E14102">
      <w:pPr>
        <w:jc w:val="both"/>
        <w:rPr>
          <w:color w:val="0070C0"/>
          <w:sz w:val="16"/>
          <w:szCs w:val="16"/>
        </w:rPr>
      </w:pPr>
    </w:p>
    <w:p w14:paraId="68A5CF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сентября 1935 года второй МДР4-3М34Р морской дальний разведчик, который 14 сентября поступил на заводские испытания после доработок потерпел аварию (3475,103).</w:t>
      </w:r>
    </w:p>
    <w:p w14:paraId="3C21EC5A" w14:textId="77777777" w:rsidR="00D4105E" w:rsidRPr="00E14102" w:rsidRDefault="00D4105E" w:rsidP="00E14102">
      <w:pPr>
        <w:autoSpaceDE w:val="0"/>
        <w:autoSpaceDN w:val="0"/>
        <w:adjustRightInd w:val="0"/>
        <w:jc w:val="both"/>
        <w:rPr>
          <w:color w:val="000000" w:themeColor="text1"/>
          <w:sz w:val="16"/>
          <w:szCs w:val="16"/>
        </w:rPr>
      </w:pPr>
    </w:p>
    <w:p w14:paraId="7C74FC5A" w14:textId="77777777" w:rsidR="002F68CC" w:rsidRPr="00E14102" w:rsidRDefault="002F68CC" w:rsidP="00E14102">
      <w:pPr>
        <w:pStyle w:val="rtejustify"/>
        <w:spacing w:before="0" w:after="0"/>
        <w:rPr>
          <w:color w:val="000000" w:themeColor="text1"/>
          <w:sz w:val="16"/>
          <w:szCs w:val="16"/>
        </w:rPr>
      </w:pPr>
      <w:r w:rsidRPr="00E14102">
        <w:rPr>
          <w:rStyle w:val="a6"/>
          <w:bCs/>
          <w:i w:val="0"/>
          <w:color w:val="000000" w:themeColor="text1"/>
          <w:sz w:val="16"/>
          <w:szCs w:val="16"/>
        </w:rPr>
        <w:t>23 сентября 1935 вышел приказ НКО №</w:t>
      </w:r>
      <w:r w:rsidRPr="00E14102">
        <w:rPr>
          <w:color w:val="000000" w:themeColor="text1"/>
          <w:sz w:val="16"/>
          <w:szCs w:val="16"/>
        </w:rPr>
        <w:t> 0184. О создании при УВС РККА конструкторского бюро и о назначении нач. бюро т. Запанованного (15247).</w:t>
      </w:r>
    </w:p>
    <w:p w14:paraId="2F0209B9" w14:textId="77777777" w:rsidR="002F68CC" w:rsidRPr="00E14102" w:rsidRDefault="002F68CC" w:rsidP="00E14102">
      <w:pPr>
        <w:pStyle w:val="rtejustify"/>
        <w:spacing w:before="0" w:after="0"/>
        <w:rPr>
          <w:color w:val="000000" w:themeColor="text1"/>
          <w:sz w:val="16"/>
          <w:szCs w:val="16"/>
        </w:rPr>
      </w:pPr>
    </w:p>
    <w:p w14:paraId="7C3BCF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23-26 сентября 1935 состоялся женский перелет на воздушном поезде из трех планеров на 1950 км. Летали Л.Чистякова, Е.Коротеева и О.Ямщикова (271,158). На П-5 была В.Стручко и сцепщик А.Журавлева. за 13:15 прошли 1950 км по маршруту Ленинград - Москва - Орел - Полтава - Коктебель (438,699).</w:t>
      </w:r>
    </w:p>
    <w:p w14:paraId="1DA5A400" w14:textId="77777777" w:rsidR="00D4105E" w:rsidRPr="00E14102" w:rsidRDefault="00D4105E" w:rsidP="00E14102">
      <w:pPr>
        <w:autoSpaceDE w:val="0"/>
        <w:autoSpaceDN w:val="0"/>
        <w:adjustRightInd w:val="0"/>
        <w:jc w:val="both"/>
        <w:rPr>
          <w:color w:val="000000" w:themeColor="text1"/>
          <w:sz w:val="16"/>
          <w:szCs w:val="16"/>
        </w:rPr>
      </w:pPr>
    </w:p>
    <w:p w14:paraId="76915E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сентября 1935 Нач. ГУАП Королев писал письмо N 242/4253с Нач. УВИ РККА Русанову (копия директору завода 24 Марьямову) о том, что из договора с ОКБ-2 был исключен ВИШ под К-14 и заменен ВИШ пол М-34ФРН для самолета типа ТБ-3 (2336,162).</w:t>
      </w:r>
    </w:p>
    <w:p w14:paraId="41D9BDAD" w14:textId="77777777" w:rsidR="00D4105E" w:rsidRPr="00E14102" w:rsidRDefault="00D4105E" w:rsidP="00E14102">
      <w:pPr>
        <w:autoSpaceDE w:val="0"/>
        <w:autoSpaceDN w:val="0"/>
        <w:adjustRightInd w:val="0"/>
        <w:jc w:val="both"/>
        <w:rPr>
          <w:color w:val="000000" w:themeColor="text1"/>
          <w:sz w:val="16"/>
          <w:szCs w:val="16"/>
        </w:rPr>
      </w:pPr>
    </w:p>
    <w:p w14:paraId="594E7C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сентября 1935 п/п Нач. ГУАП Метло писал письмо N 242/4236сс Нач. ЦАГИ, Нач. ВИАМ, Нач. ЦИАМ о том, что согласно постановления Правительства от 26 марта 1935 пар. 10 НКТП и НКО надлежит разработать и представить в Правительство не позже 1 октября 1935 план НИР по авиации, включив в него в качестве основных вопросы вибрации, устойчивости (поперечной и продольной), штопора, влияния низких температур на прочность и др.. Просил материалы не позднее 25 сентября (2336,156).</w:t>
      </w:r>
    </w:p>
    <w:p w14:paraId="330DEE5E" w14:textId="77777777" w:rsidR="00D4105E" w:rsidRPr="00E14102" w:rsidRDefault="00D4105E" w:rsidP="00E14102">
      <w:pPr>
        <w:autoSpaceDE w:val="0"/>
        <w:autoSpaceDN w:val="0"/>
        <w:adjustRightInd w:val="0"/>
        <w:jc w:val="both"/>
        <w:rPr>
          <w:color w:val="000000" w:themeColor="text1"/>
          <w:sz w:val="16"/>
          <w:szCs w:val="16"/>
        </w:rPr>
      </w:pPr>
    </w:p>
    <w:p w14:paraId="387E53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сентября 1935 ДВ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614CCC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5A5E00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этого экипаж сделал еще два рейса: до Дудинки и в Игарку.</w:t>
      </w:r>
    </w:p>
    <w:p w14:paraId="63538E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179C0B01" w14:textId="77777777" w:rsidR="00D4105E" w:rsidRPr="00E14102" w:rsidRDefault="00D4105E" w:rsidP="00E14102">
      <w:pPr>
        <w:autoSpaceDE w:val="0"/>
        <w:autoSpaceDN w:val="0"/>
        <w:adjustRightInd w:val="0"/>
        <w:jc w:val="both"/>
        <w:rPr>
          <w:color w:val="000000" w:themeColor="text1"/>
          <w:sz w:val="16"/>
          <w:szCs w:val="16"/>
        </w:rPr>
      </w:pPr>
    </w:p>
    <w:p w14:paraId="585ED59E" w14:textId="77777777" w:rsidR="00A077FF"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4935E757" w14:textId="77777777" w:rsidR="00A077FF" w:rsidRPr="00E14102" w:rsidRDefault="00A077FF" w:rsidP="00E14102">
      <w:pPr>
        <w:autoSpaceDE w:val="0"/>
        <w:autoSpaceDN w:val="0"/>
        <w:adjustRightInd w:val="0"/>
        <w:jc w:val="both"/>
        <w:rPr>
          <w:iCs/>
          <w:color w:val="000000" w:themeColor="text1"/>
          <w:sz w:val="16"/>
          <w:szCs w:val="16"/>
        </w:rPr>
      </w:pPr>
    </w:p>
    <w:p w14:paraId="33F8BF63" w14:textId="77777777" w:rsidR="00A077FF" w:rsidRPr="00E14102" w:rsidRDefault="00A077FF" w:rsidP="00E14102">
      <w:pPr>
        <w:jc w:val="both"/>
        <w:rPr>
          <w:color w:val="000000" w:themeColor="text1"/>
          <w:sz w:val="16"/>
          <w:szCs w:val="16"/>
        </w:rPr>
      </w:pPr>
      <w:r w:rsidRPr="00E14102">
        <w:rPr>
          <w:color w:val="000000" w:themeColor="text1"/>
          <w:sz w:val="16"/>
          <w:szCs w:val="16"/>
        </w:rPr>
        <w:t>23 сентября 1935 г. приказ Наркома Обороны № 0080 об итогах проверки 27-30 августа боевой подготовки Витебской, Ор</w:t>
      </w:r>
      <w:r w:rsidRPr="00E14102">
        <w:rPr>
          <w:color w:val="000000" w:themeColor="text1"/>
          <w:sz w:val="16"/>
          <w:szCs w:val="16"/>
        </w:rPr>
        <w:softHyphen/>
        <w:t>шанской и Бобруйской авиабригад: согласно ему, управление авиацией и в воздухе, и с земли в ВВС БВО стало тогда всего лишь «удовлетворительным» (т.е. на «тройку»), и именно из-за выучки авиаторов — нехватки у них сноровки в использовании радиосвязи (15803).</w:t>
      </w:r>
    </w:p>
    <w:p w14:paraId="68D2F714" w14:textId="77777777" w:rsidR="00A077FF" w:rsidRPr="00E14102" w:rsidRDefault="00A077FF" w:rsidP="00E14102">
      <w:pPr>
        <w:jc w:val="both"/>
        <w:rPr>
          <w:color w:val="000000" w:themeColor="text1"/>
          <w:sz w:val="16"/>
          <w:szCs w:val="16"/>
        </w:rPr>
      </w:pPr>
    </w:p>
    <w:p w14:paraId="005DAA5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45D5B13" w14:textId="77777777" w:rsidR="00D4105E" w:rsidRPr="00E14102" w:rsidRDefault="00D4105E" w:rsidP="00E14102">
      <w:pPr>
        <w:autoSpaceDE w:val="0"/>
        <w:autoSpaceDN w:val="0"/>
        <w:adjustRightInd w:val="0"/>
        <w:jc w:val="both"/>
        <w:rPr>
          <w:iCs/>
          <w:color w:val="000000" w:themeColor="text1"/>
          <w:sz w:val="16"/>
          <w:szCs w:val="16"/>
        </w:rPr>
      </w:pPr>
    </w:p>
    <w:p w14:paraId="2C7B9E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сентября 1935 на ДБА 4М-34РН в ходе заводских испытаний в Щелково летали 2 раза 2:05 и это были полеты на снятие скоростей у земли и тренировку "Сафа". Это были 15 и 16-й полеты (249).</w:t>
      </w:r>
    </w:p>
    <w:p w14:paraId="1D8052BD" w14:textId="77777777" w:rsidR="00D4105E" w:rsidRPr="00E14102" w:rsidRDefault="00D4105E" w:rsidP="00E14102">
      <w:pPr>
        <w:autoSpaceDE w:val="0"/>
        <w:autoSpaceDN w:val="0"/>
        <w:adjustRightInd w:val="0"/>
        <w:jc w:val="both"/>
        <w:rPr>
          <w:color w:val="000000" w:themeColor="text1"/>
          <w:sz w:val="16"/>
          <w:szCs w:val="16"/>
        </w:rPr>
      </w:pPr>
    </w:p>
    <w:p w14:paraId="5EF2D980" w14:textId="77777777" w:rsidR="002F68CC" w:rsidRPr="00E14102" w:rsidRDefault="002F68CC"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24 сентября </w:t>
      </w:r>
      <w:r w:rsidRPr="00E14102">
        <w:rPr>
          <w:color w:val="000000" w:themeColor="text1"/>
          <w:sz w:val="16"/>
          <w:szCs w:val="16"/>
        </w:rPr>
        <w:t xml:space="preserve">в 1935 году мировой рекорд затяжного парашютного прыжка - 12141 м, время падения - 167 с, прыжок совершен с высоты 13 108 м, В. Романюк; </w:t>
      </w:r>
    </w:p>
    <w:p w14:paraId="258EF039" w14:textId="77777777" w:rsidR="002F68CC" w:rsidRPr="00E14102" w:rsidRDefault="002F68CC" w:rsidP="00E14102">
      <w:pPr>
        <w:jc w:val="both"/>
        <w:rPr>
          <w:color w:val="000000" w:themeColor="text1"/>
          <w:sz w:val="16"/>
          <w:szCs w:val="16"/>
        </w:rPr>
      </w:pPr>
    </w:p>
    <w:p w14:paraId="4572B50D" w14:textId="77777777" w:rsidR="006934F4" w:rsidRPr="00E14102" w:rsidRDefault="006934F4" w:rsidP="00E14102">
      <w:pPr>
        <w:jc w:val="both"/>
        <w:rPr>
          <w:color w:val="0070C0"/>
          <w:sz w:val="16"/>
          <w:szCs w:val="16"/>
        </w:rPr>
      </w:pPr>
      <w:r w:rsidRPr="00E14102">
        <w:rPr>
          <w:color w:val="0070C0"/>
          <w:sz w:val="16"/>
          <w:szCs w:val="16"/>
        </w:rPr>
        <w:t>24 сентября 1935 - Мировой рекорд затяжного парашютного прыжка - 12141 м, время падения - 167 с, прыжок совершён с высоты 13 108 м, Василий Григорьевич Романюк (22356).</w:t>
      </w:r>
    </w:p>
    <w:p w14:paraId="5C989880" w14:textId="77777777" w:rsidR="006934F4" w:rsidRPr="00E14102" w:rsidRDefault="006934F4" w:rsidP="00E14102">
      <w:pPr>
        <w:jc w:val="both"/>
        <w:rPr>
          <w:color w:val="0070C0"/>
          <w:sz w:val="16"/>
          <w:szCs w:val="16"/>
        </w:rPr>
      </w:pPr>
    </w:p>
    <w:p w14:paraId="77A283A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0A2CDA1" w14:textId="77777777" w:rsidR="00D4105E" w:rsidRPr="00E14102" w:rsidRDefault="00D4105E" w:rsidP="00E14102">
      <w:pPr>
        <w:autoSpaceDE w:val="0"/>
        <w:autoSpaceDN w:val="0"/>
        <w:adjustRightInd w:val="0"/>
        <w:jc w:val="both"/>
        <w:rPr>
          <w:iCs/>
          <w:color w:val="000000" w:themeColor="text1"/>
          <w:sz w:val="16"/>
          <w:szCs w:val="16"/>
        </w:rPr>
      </w:pPr>
    </w:p>
    <w:p w14:paraId="70B779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сентября 1935 на ДБА 4М-34РН в ходе заводских испытаний в Щелково летали 1 раз 1:40 и это был полет на потолок с кислородом. Это был 17-й полет (249).</w:t>
      </w:r>
    </w:p>
    <w:p w14:paraId="49BBE495" w14:textId="77777777" w:rsidR="00D4105E" w:rsidRPr="00E14102" w:rsidRDefault="00D4105E" w:rsidP="00E14102">
      <w:pPr>
        <w:autoSpaceDE w:val="0"/>
        <w:autoSpaceDN w:val="0"/>
        <w:adjustRightInd w:val="0"/>
        <w:jc w:val="both"/>
        <w:rPr>
          <w:color w:val="000000" w:themeColor="text1"/>
          <w:sz w:val="16"/>
          <w:szCs w:val="16"/>
        </w:rPr>
      </w:pPr>
    </w:p>
    <w:p w14:paraId="483D08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25 сентября 1935 испытания СБ официально были переведены в разряд совместных и продолжались до октября 1935 г. К их проведению привлекли как специалистов ЦАГИ, так и НИИ ВВС КА. Командиром экипажа от ЦАГИ был назначен Корзинщиков, а от НИИ ВВС КА - Степанчонок. Испытания сначала продолжались на базе ОЭЛИД, а затем их перевели на аэродром НИИ ВВС. Летные данные СБ 2РЦ оказались близкими к параметрам технического задания и эскизного проекта, но интерес к варианту с моторами Райт "Циклон" к этому времени упал, поскольку уже летал самолет СБ с моторами "Испано-Сюиза" СБ 2ИС (АНТ-40-2), имевший более высокие летные данные. СБ 2РЦ передали ОЭЛИД ЦАГИ для проведения экспериментов по доводке самолета СБ (9501).</w:t>
      </w:r>
    </w:p>
    <w:p w14:paraId="6889CCDE" w14:textId="77777777" w:rsidR="00D4105E" w:rsidRPr="00E14102" w:rsidRDefault="00D4105E" w:rsidP="00E14102">
      <w:pPr>
        <w:autoSpaceDE w:val="0"/>
        <w:autoSpaceDN w:val="0"/>
        <w:adjustRightInd w:val="0"/>
        <w:jc w:val="both"/>
        <w:rPr>
          <w:color w:val="000000" w:themeColor="text1"/>
          <w:sz w:val="16"/>
          <w:szCs w:val="16"/>
        </w:rPr>
      </w:pPr>
    </w:p>
    <w:p w14:paraId="09853E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25 сентября 1935 испытаниям СБ-2РЦ придали статус совместных. У самолета появились два экипажа. От ЦАГИ машину пилотировал Корзинщиков, от НИИ ВВС - Степанчонок. Испытания сначала шли на базе ОЭЛИД, а затем их перевели на аэродром НИИ ВВС. Данные СБ-2РЦ, замеренные на последнем, оказались примерно теми же, что ранее определили в ЦАГИ, и в целом были близки к параметрам технического задания и эскизного проекта. Так, практический потолок составлял 6800 м. Но интерес к варианту с “Циклонами” к этому времени уже упал, поскольку успешно летал самолет с моторами “Испано-Сюиза”, имевший существенно более высокие показатели. АНТ-40 передали ОЭЛИД ЦАГИ для различных экспериментов. Впоследствии на нем испытывались различные узлы, предлагавшиеся к внедрению на серийных СБ (7643).</w:t>
      </w:r>
    </w:p>
    <w:p w14:paraId="57BCD819" w14:textId="77777777" w:rsidR="00D4105E" w:rsidRPr="00E14102" w:rsidRDefault="00D4105E" w:rsidP="00E14102">
      <w:pPr>
        <w:autoSpaceDE w:val="0"/>
        <w:autoSpaceDN w:val="0"/>
        <w:adjustRightInd w:val="0"/>
        <w:jc w:val="both"/>
        <w:rPr>
          <w:color w:val="000000" w:themeColor="text1"/>
          <w:sz w:val="16"/>
          <w:szCs w:val="16"/>
        </w:rPr>
      </w:pPr>
    </w:p>
    <w:p w14:paraId="02BB18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сентября 1935 г. модифицированный СБ-2ИС вновь начал испытываться в НИИ ВВС параллельно с СБ-2РЦ. Полеты наглядно показали преимущества “дублера" в летных данных. Усилия конструкторов не пропали даром: самолет стал УСТОЙЧИВ и хорошо управляем на всех режимах полета. На СБ-2ИС стало возможно летать даже с брошенным штурвалом. Без бомб машина выполняла виражи с креном до 75 градусов, боевые развороты и штопор. Даже с одним отключенным двигателем бомбардировщик мог продолжать набирать высоту. Испытания включали отстрел вооружения и учебное бомбометание на полигоне. В целом вооружение СБ одобрили. Среди замечаний наиболее существенные относились к люковой установке. Пользоваться ей было неудобно, сектор обстрела очень ограничен. В отчете о государственных испытаниях записали: “Тактическое применение люковой установки весьма ограничено”.</w:t>
      </w:r>
    </w:p>
    <w:p w14:paraId="5E98F2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Перегрев моторов продолжал оставаться нерешенной проблемой (7643).</w:t>
      </w:r>
    </w:p>
    <w:p w14:paraId="2CAEC7AE" w14:textId="77777777" w:rsidR="00D4105E" w:rsidRPr="00E14102" w:rsidRDefault="00D4105E" w:rsidP="00E14102">
      <w:pPr>
        <w:autoSpaceDE w:val="0"/>
        <w:autoSpaceDN w:val="0"/>
        <w:adjustRightInd w:val="0"/>
        <w:jc w:val="both"/>
        <w:rPr>
          <w:color w:val="000000" w:themeColor="text1"/>
          <w:sz w:val="16"/>
          <w:szCs w:val="16"/>
        </w:rPr>
      </w:pPr>
    </w:p>
    <w:p w14:paraId="482F1A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сентября 1935 года вышел Приказ НИИ ВС № 0490 Об облете самолета И-16 на штопор.</w:t>
      </w:r>
    </w:p>
    <w:p w14:paraId="521F4F1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23 сентября 1935 года произвести облет самолета И-16 на штопор (6815, 15).</w:t>
      </w:r>
    </w:p>
    <w:p w14:paraId="162A02F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4BFAC5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25 сентября по 4 октября 1935 года в НИИ ВВС проходили гос. испытания автожира С-30 с мотором Джненет-Мажор 140 л.с. (6689).</w:t>
      </w:r>
    </w:p>
    <w:p w14:paraId="284483A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677BF1B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НИЭ НИИ ВС Ивановский А.А.</w:t>
      </w:r>
    </w:p>
    <w:p w14:paraId="18F4D4F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 время испытаний автожир совершил 38 полетов продолжительностью 14 час. 10 мин.</w:t>
      </w:r>
    </w:p>
    <w:p w14:paraId="039AFF9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Ремонта автожира и мотора за время гос. испытаний не было.</w:t>
      </w:r>
    </w:p>
    <w:p w14:paraId="6C4D1B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653250A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летных данных автожира С-30.</w:t>
      </w:r>
    </w:p>
    <w:p w14:paraId="564D54E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Выявление возможности военного применения автожира.</w:t>
      </w:r>
    </w:p>
    <w:p w14:paraId="6FBF4F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195DA26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своим летным данным и конструктивным особенностям автожир С-30 представляет несомненный интерес. Проектирующим организациям следует использовать эти качества С-30 при постройке автожиров, намеченных планом опытного строительства (6689).</w:t>
      </w:r>
    </w:p>
    <w:p w14:paraId="382D4DE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292C613" w14:textId="77777777" w:rsidR="006934F4" w:rsidRPr="00E14102" w:rsidRDefault="006934F4" w:rsidP="00E14102">
      <w:pPr>
        <w:jc w:val="both"/>
        <w:rPr>
          <w:color w:val="0070C0"/>
          <w:sz w:val="16"/>
          <w:szCs w:val="16"/>
        </w:rPr>
      </w:pPr>
      <w:r w:rsidRPr="00E14102">
        <w:rPr>
          <w:color w:val="0070C0"/>
          <w:sz w:val="16"/>
          <w:szCs w:val="16"/>
        </w:rPr>
        <w:t>В период с 25 сентября по 4 октября 1935 г. автожир С-30 проходил государственные испытания в НИИ ВВС. Ле</w:t>
      </w:r>
      <w:r w:rsidRPr="00E14102">
        <w:rPr>
          <w:color w:val="0070C0"/>
          <w:sz w:val="16"/>
          <w:szCs w:val="16"/>
        </w:rPr>
        <w:softHyphen/>
        <w:t>тал инженер-летчик А.А. Ивановский. Всего было выпол</w:t>
      </w:r>
      <w:r w:rsidRPr="00E14102">
        <w:rPr>
          <w:color w:val="0070C0"/>
          <w:sz w:val="16"/>
          <w:szCs w:val="16"/>
        </w:rPr>
        <w:softHyphen/>
        <w:t>нено 38 полетов с общим налетом 14 часов 11 минут.</w:t>
      </w:r>
    </w:p>
    <w:p w14:paraId="73C59A5F" w14:textId="77777777" w:rsidR="006934F4" w:rsidRPr="00E14102" w:rsidRDefault="006934F4" w:rsidP="00E14102">
      <w:pPr>
        <w:jc w:val="both"/>
        <w:rPr>
          <w:color w:val="0070C0"/>
          <w:sz w:val="16"/>
          <w:szCs w:val="16"/>
        </w:rPr>
      </w:pPr>
      <w:r w:rsidRPr="00E14102">
        <w:rPr>
          <w:color w:val="0070C0"/>
          <w:sz w:val="16"/>
          <w:szCs w:val="16"/>
        </w:rPr>
        <w:t>Описывая летные качества С-30, в официальном отчете по испытаниям говорилось, что данный автожир позволя т осуществлять крутые спуски и посадку почти без про</w:t>
      </w:r>
      <w:r w:rsidRPr="00E14102">
        <w:rPr>
          <w:color w:val="0070C0"/>
          <w:sz w:val="16"/>
          <w:szCs w:val="16"/>
        </w:rPr>
        <w:softHyphen/>
        <w:t>бега. Может садиться на ограниченных площадках с под</w:t>
      </w:r>
      <w:r w:rsidRPr="00E14102">
        <w:rPr>
          <w:color w:val="0070C0"/>
          <w:sz w:val="16"/>
          <w:szCs w:val="16"/>
        </w:rPr>
        <w:softHyphen/>
        <w:t>ходами размером 100х100 м. По оценкам советских спе</w:t>
      </w:r>
      <w:r w:rsidRPr="00E14102">
        <w:rPr>
          <w:color w:val="0070C0"/>
          <w:sz w:val="16"/>
          <w:szCs w:val="16"/>
        </w:rPr>
        <w:softHyphen/>
        <w:t>циалистов С-30, представлял несомненный интерес, поэто</w:t>
      </w:r>
      <w:r w:rsidRPr="00E14102">
        <w:rPr>
          <w:color w:val="0070C0"/>
          <w:sz w:val="16"/>
          <w:szCs w:val="16"/>
        </w:rPr>
        <w:softHyphen/>
        <w:t>му рекомендовалось использовать его положительные качества при постройке отечественных автожиров.</w:t>
      </w:r>
    </w:p>
    <w:p w14:paraId="7EC015AF" w14:textId="77777777" w:rsidR="006934F4" w:rsidRPr="00E14102" w:rsidRDefault="006934F4" w:rsidP="00E14102">
      <w:pPr>
        <w:jc w:val="both"/>
        <w:rPr>
          <w:color w:val="0070C0"/>
          <w:sz w:val="16"/>
          <w:szCs w:val="16"/>
        </w:rPr>
      </w:pPr>
      <w:bookmarkStart w:id="29" w:name="bookmark58"/>
      <w:r w:rsidRPr="00E14102">
        <w:rPr>
          <w:color w:val="0070C0"/>
          <w:sz w:val="16"/>
          <w:szCs w:val="16"/>
        </w:rPr>
        <w:lastRenderedPageBreak/>
        <w:t>Летные и технические характеристики С-30 по данным испытаний в НИИ ВВС</w:t>
      </w:r>
      <w:bookmarkEnd w:id="29"/>
      <w:r w:rsidRPr="00E14102">
        <w:rPr>
          <w:color w:val="0070C0"/>
          <w:sz w:val="16"/>
          <w:szCs w:val="16"/>
        </w:rPr>
        <w:t>:</w:t>
      </w:r>
    </w:p>
    <w:p w14:paraId="2A0CDF6C" w14:textId="77777777" w:rsidR="006934F4" w:rsidRPr="00E14102" w:rsidRDefault="006934F4" w:rsidP="00E14102">
      <w:pPr>
        <w:jc w:val="both"/>
        <w:rPr>
          <w:color w:val="0070C0"/>
          <w:sz w:val="16"/>
          <w:szCs w:val="16"/>
        </w:rPr>
      </w:pPr>
      <w:r w:rsidRPr="00E14102">
        <w:rPr>
          <w:color w:val="0070C0"/>
          <w:sz w:val="16"/>
          <w:szCs w:val="16"/>
        </w:rPr>
        <w:fldChar w:fldCharType="begin"/>
      </w:r>
      <w:r w:rsidRPr="00E14102">
        <w:rPr>
          <w:color w:val="0070C0"/>
          <w:sz w:val="16"/>
          <w:szCs w:val="16"/>
        </w:rPr>
        <w:instrText xml:space="preserve"> TOC \o "1-5" \h \z </w:instrText>
      </w:r>
      <w:r w:rsidRPr="00E14102">
        <w:rPr>
          <w:color w:val="0070C0"/>
          <w:sz w:val="16"/>
          <w:szCs w:val="16"/>
        </w:rPr>
        <w:fldChar w:fldCharType="separate"/>
      </w:r>
      <w:r w:rsidRPr="00E14102">
        <w:rPr>
          <w:color w:val="0070C0"/>
          <w:sz w:val="16"/>
          <w:szCs w:val="16"/>
        </w:rPr>
        <w:t>Вес пустого (кг)</w:t>
      </w:r>
      <w:r w:rsidRPr="00E14102">
        <w:rPr>
          <w:color w:val="0070C0"/>
          <w:sz w:val="16"/>
          <w:szCs w:val="16"/>
        </w:rPr>
        <w:tab/>
        <w:t>575</w:t>
      </w:r>
    </w:p>
    <w:p w14:paraId="4AE40E05" w14:textId="77777777" w:rsidR="006934F4" w:rsidRPr="00E14102" w:rsidRDefault="006934F4" w:rsidP="00E14102">
      <w:pPr>
        <w:jc w:val="both"/>
        <w:rPr>
          <w:color w:val="0070C0"/>
          <w:sz w:val="16"/>
          <w:szCs w:val="16"/>
        </w:rPr>
      </w:pPr>
      <w:r w:rsidRPr="00E14102">
        <w:rPr>
          <w:color w:val="0070C0"/>
          <w:sz w:val="16"/>
          <w:szCs w:val="16"/>
        </w:rPr>
        <w:t>Полетный вес макс. (кг)</w:t>
      </w:r>
      <w:r w:rsidRPr="00E14102">
        <w:rPr>
          <w:color w:val="0070C0"/>
          <w:sz w:val="16"/>
          <w:szCs w:val="16"/>
        </w:rPr>
        <w:tab/>
        <w:t>860</w:t>
      </w:r>
    </w:p>
    <w:p w14:paraId="29FAC337" w14:textId="77777777" w:rsidR="006934F4" w:rsidRPr="00E14102" w:rsidRDefault="006934F4" w:rsidP="00E14102">
      <w:pPr>
        <w:jc w:val="both"/>
        <w:rPr>
          <w:color w:val="0070C0"/>
          <w:sz w:val="16"/>
          <w:szCs w:val="16"/>
        </w:rPr>
      </w:pPr>
      <w:r w:rsidRPr="00E14102">
        <w:rPr>
          <w:color w:val="0070C0"/>
          <w:sz w:val="16"/>
          <w:szCs w:val="16"/>
        </w:rPr>
        <w:t>Площадь, ометаемая ротором (м2)</w:t>
      </w:r>
      <w:r w:rsidRPr="00E14102">
        <w:rPr>
          <w:color w:val="0070C0"/>
          <w:sz w:val="16"/>
          <w:szCs w:val="16"/>
        </w:rPr>
        <w:tab/>
        <w:t>100</w:t>
      </w:r>
    </w:p>
    <w:p w14:paraId="141FCFF4" w14:textId="77777777" w:rsidR="006934F4" w:rsidRPr="00E14102" w:rsidRDefault="006934F4" w:rsidP="00E14102">
      <w:pPr>
        <w:jc w:val="both"/>
        <w:rPr>
          <w:color w:val="0070C0"/>
          <w:sz w:val="16"/>
          <w:szCs w:val="16"/>
        </w:rPr>
      </w:pPr>
      <w:r w:rsidRPr="00E14102">
        <w:rPr>
          <w:color w:val="0070C0"/>
          <w:sz w:val="16"/>
          <w:szCs w:val="16"/>
        </w:rPr>
        <w:t>Скорость макс. у земли (км/ч)</w:t>
      </w:r>
      <w:r w:rsidRPr="00E14102">
        <w:rPr>
          <w:color w:val="0070C0"/>
          <w:sz w:val="16"/>
          <w:szCs w:val="16"/>
        </w:rPr>
        <w:tab/>
        <w:t>164,5</w:t>
      </w:r>
    </w:p>
    <w:p w14:paraId="2379753F" w14:textId="77777777" w:rsidR="006934F4" w:rsidRPr="00E14102" w:rsidRDefault="006934F4" w:rsidP="00E14102">
      <w:pPr>
        <w:jc w:val="both"/>
        <w:rPr>
          <w:color w:val="0070C0"/>
          <w:sz w:val="16"/>
          <w:szCs w:val="16"/>
        </w:rPr>
      </w:pPr>
      <w:r w:rsidRPr="00E14102">
        <w:rPr>
          <w:color w:val="0070C0"/>
          <w:sz w:val="16"/>
          <w:szCs w:val="16"/>
        </w:rPr>
        <w:t>Скорость макс. на высоте 3000 м (км/ч)</w:t>
      </w:r>
      <w:r w:rsidRPr="00E14102">
        <w:rPr>
          <w:color w:val="0070C0"/>
          <w:sz w:val="16"/>
          <w:szCs w:val="16"/>
        </w:rPr>
        <w:tab/>
        <w:t>132,5</w:t>
      </w:r>
    </w:p>
    <w:p w14:paraId="0593AECF" w14:textId="77777777" w:rsidR="006934F4" w:rsidRPr="00E14102" w:rsidRDefault="006934F4" w:rsidP="00E14102">
      <w:pPr>
        <w:jc w:val="both"/>
        <w:rPr>
          <w:color w:val="0070C0"/>
          <w:sz w:val="16"/>
          <w:szCs w:val="16"/>
        </w:rPr>
      </w:pPr>
      <w:r w:rsidRPr="00E14102">
        <w:rPr>
          <w:color w:val="0070C0"/>
          <w:sz w:val="16"/>
          <w:szCs w:val="16"/>
        </w:rPr>
        <w:t>Скорость мин. у земли (км/ч)</w:t>
      </w:r>
      <w:r w:rsidRPr="00E14102">
        <w:rPr>
          <w:color w:val="0070C0"/>
          <w:sz w:val="16"/>
          <w:szCs w:val="16"/>
        </w:rPr>
        <w:tab/>
        <w:t>40</w:t>
      </w:r>
    </w:p>
    <w:p w14:paraId="0DA5E22A" w14:textId="77777777" w:rsidR="006934F4" w:rsidRPr="00E14102" w:rsidRDefault="006934F4" w:rsidP="00E14102">
      <w:pPr>
        <w:jc w:val="both"/>
        <w:rPr>
          <w:color w:val="0070C0"/>
          <w:sz w:val="16"/>
          <w:szCs w:val="16"/>
        </w:rPr>
      </w:pPr>
      <w:r w:rsidRPr="00E14102">
        <w:rPr>
          <w:color w:val="0070C0"/>
          <w:sz w:val="16"/>
          <w:szCs w:val="16"/>
        </w:rPr>
        <w:t>Время набора высоты 3000 м (мин)</w:t>
      </w:r>
      <w:r w:rsidRPr="00E14102">
        <w:rPr>
          <w:color w:val="0070C0"/>
          <w:sz w:val="16"/>
          <w:szCs w:val="16"/>
        </w:rPr>
        <w:tab/>
        <w:t>62,5</w:t>
      </w:r>
    </w:p>
    <w:p w14:paraId="2FE22A1E" w14:textId="77777777" w:rsidR="006934F4" w:rsidRPr="00E14102" w:rsidRDefault="006934F4" w:rsidP="00E14102">
      <w:pPr>
        <w:jc w:val="both"/>
        <w:rPr>
          <w:color w:val="0070C0"/>
          <w:sz w:val="16"/>
          <w:szCs w:val="16"/>
        </w:rPr>
      </w:pPr>
      <w:r w:rsidRPr="00E14102">
        <w:rPr>
          <w:color w:val="0070C0"/>
          <w:sz w:val="16"/>
          <w:szCs w:val="16"/>
        </w:rPr>
        <w:t>Практический потолок (м)</w:t>
      </w:r>
      <w:r w:rsidRPr="00E14102">
        <w:rPr>
          <w:color w:val="0070C0"/>
          <w:sz w:val="16"/>
          <w:szCs w:val="16"/>
        </w:rPr>
        <w:tab/>
        <w:t>3050</w:t>
      </w:r>
    </w:p>
    <w:p w14:paraId="127697F8" w14:textId="77777777" w:rsidR="006934F4" w:rsidRPr="00E14102" w:rsidRDefault="006934F4" w:rsidP="00E14102">
      <w:pPr>
        <w:jc w:val="both"/>
        <w:rPr>
          <w:color w:val="0070C0"/>
          <w:sz w:val="16"/>
          <w:szCs w:val="16"/>
        </w:rPr>
      </w:pPr>
      <w:r w:rsidRPr="00E14102">
        <w:rPr>
          <w:color w:val="0070C0"/>
          <w:sz w:val="16"/>
          <w:szCs w:val="16"/>
        </w:rPr>
        <w:t>Время виража на 1000 м (с)</w:t>
      </w:r>
      <w:r w:rsidRPr="00E14102">
        <w:rPr>
          <w:color w:val="0070C0"/>
          <w:sz w:val="16"/>
          <w:szCs w:val="16"/>
        </w:rPr>
        <w:tab/>
        <w:t>25-26</w:t>
      </w:r>
    </w:p>
    <w:p w14:paraId="6AB0BB1D" w14:textId="77777777" w:rsidR="006934F4" w:rsidRPr="00E14102" w:rsidRDefault="006934F4" w:rsidP="00E14102">
      <w:pPr>
        <w:jc w:val="both"/>
        <w:rPr>
          <w:color w:val="0070C0"/>
          <w:sz w:val="16"/>
          <w:szCs w:val="16"/>
        </w:rPr>
      </w:pPr>
      <w:r w:rsidRPr="00E14102">
        <w:rPr>
          <w:color w:val="0070C0"/>
          <w:sz w:val="16"/>
          <w:szCs w:val="16"/>
        </w:rPr>
        <w:t>Длина разбега (м)</w:t>
      </w:r>
      <w:r w:rsidRPr="00E14102">
        <w:rPr>
          <w:color w:val="0070C0"/>
          <w:sz w:val="16"/>
          <w:szCs w:val="16"/>
        </w:rPr>
        <w:tab/>
        <w:t>95</w:t>
      </w:r>
    </w:p>
    <w:p w14:paraId="19074651" w14:textId="77777777" w:rsidR="006934F4" w:rsidRPr="00E14102" w:rsidRDefault="006934F4" w:rsidP="00E14102">
      <w:pPr>
        <w:jc w:val="both"/>
        <w:rPr>
          <w:color w:val="0070C0"/>
          <w:sz w:val="16"/>
          <w:szCs w:val="16"/>
        </w:rPr>
      </w:pPr>
      <w:r w:rsidRPr="00E14102">
        <w:rPr>
          <w:color w:val="0070C0"/>
          <w:sz w:val="16"/>
          <w:szCs w:val="16"/>
        </w:rPr>
        <w:t>Время разбега (с)</w:t>
      </w:r>
      <w:r w:rsidRPr="00E14102">
        <w:rPr>
          <w:color w:val="0070C0"/>
          <w:sz w:val="16"/>
          <w:szCs w:val="16"/>
        </w:rPr>
        <w:tab/>
        <w:t>11</w:t>
      </w:r>
    </w:p>
    <w:p w14:paraId="472151CA" w14:textId="77777777" w:rsidR="006934F4" w:rsidRPr="00E14102" w:rsidRDefault="006934F4" w:rsidP="00E14102">
      <w:pPr>
        <w:jc w:val="both"/>
        <w:rPr>
          <w:color w:val="0070C0"/>
          <w:sz w:val="16"/>
          <w:szCs w:val="16"/>
        </w:rPr>
      </w:pPr>
      <w:r w:rsidRPr="00E14102">
        <w:rPr>
          <w:color w:val="0070C0"/>
          <w:sz w:val="16"/>
          <w:szCs w:val="16"/>
        </w:rPr>
        <w:t>Длина пробега (м)</w:t>
      </w:r>
      <w:r w:rsidRPr="00E14102">
        <w:rPr>
          <w:color w:val="0070C0"/>
          <w:sz w:val="16"/>
          <w:szCs w:val="16"/>
        </w:rPr>
        <w:tab/>
        <w:t>0-3</w:t>
      </w:r>
    </w:p>
    <w:p w14:paraId="644B8D58" w14:textId="77777777" w:rsidR="006934F4" w:rsidRPr="00E14102" w:rsidRDefault="006934F4" w:rsidP="00E14102">
      <w:pPr>
        <w:shd w:val="clear" w:color="auto" w:fill="FFFFFF"/>
        <w:jc w:val="both"/>
        <w:rPr>
          <w:color w:val="0070C0"/>
          <w:sz w:val="16"/>
          <w:szCs w:val="16"/>
        </w:rPr>
      </w:pPr>
      <w:r w:rsidRPr="00E14102">
        <w:rPr>
          <w:color w:val="0070C0"/>
          <w:sz w:val="16"/>
          <w:szCs w:val="16"/>
        </w:rPr>
        <w:t>Время пробега (с)</w:t>
      </w:r>
      <w:r w:rsidRPr="00E14102">
        <w:rPr>
          <w:color w:val="0070C0"/>
          <w:sz w:val="16"/>
          <w:szCs w:val="16"/>
        </w:rPr>
        <w:tab/>
        <w:t>0-2</w:t>
      </w:r>
    </w:p>
    <w:p w14:paraId="417A5670" w14:textId="77777777" w:rsidR="006934F4" w:rsidRPr="00E14102" w:rsidRDefault="006934F4" w:rsidP="00E14102">
      <w:pPr>
        <w:shd w:val="clear" w:color="auto" w:fill="FFFFFF"/>
        <w:jc w:val="both"/>
        <w:rPr>
          <w:color w:val="0070C0"/>
          <w:sz w:val="16"/>
          <w:szCs w:val="16"/>
        </w:rPr>
      </w:pPr>
      <w:r w:rsidRPr="00E14102">
        <w:rPr>
          <w:color w:val="0070C0"/>
          <w:sz w:val="16"/>
          <w:szCs w:val="16"/>
        </w:rPr>
        <w:fldChar w:fldCharType="end"/>
      </w:r>
      <w:r w:rsidRPr="00E14102">
        <w:rPr>
          <w:color w:val="0070C0"/>
          <w:sz w:val="16"/>
          <w:szCs w:val="16"/>
        </w:rPr>
        <w:t>В период 1935-37 гг. на С-30 было выпол</w:t>
      </w:r>
      <w:r w:rsidRPr="00E14102">
        <w:rPr>
          <w:color w:val="0070C0"/>
          <w:sz w:val="16"/>
          <w:szCs w:val="16"/>
        </w:rPr>
        <w:softHyphen/>
        <w:t>нено множество полетов исследовательского характера. Согласно рукописным записям Изаксона (беседа с М.С. Ар</w:t>
      </w:r>
      <w:r w:rsidRPr="00E14102">
        <w:rPr>
          <w:color w:val="0070C0"/>
          <w:sz w:val="16"/>
          <w:szCs w:val="16"/>
        </w:rPr>
        <w:softHyphen/>
        <w:t>лазоровым 01.02.71 г.), в одном из полетов на небольшой высоте автожир неожиданно перевернулся и выполнил бочку. В момент выполнения незапланированной фигуры машина потеряла высоту и ударилась о землю. В кабине находились два пилота, которые остались живы, автожир был значительно поврежден.</w:t>
      </w:r>
    </w:p>
    <w:p w14:paraId="0D52EEFE" w14:textId="77777777" w:rsidR="006934F4" w:rsidRPr="00E14102" w:rsidRDefault="006934F4" w:rsidP="00E14102">
      <w:pPr>
        <w:jc w:val="both"/>
        <w:rPr>
          <w:color w:val="0070C0"/>
          <w:sz w:val="16"/>
          <w:szCs w:val="16"/>
        </w:rPr>
      </w:pPr>
      <w:r w:rsidRPr="00E14102">
        <w:rPr>
          <w:color w:val="0070C0"/>
          <w:sz w:val="16"/>
          <w:szCs w:val="16"/>
        </w:rPr>
        <w:t>После проведения восстановительного ремонта полеты продолжились и закончились еще одним подобным про</w:t>
      </w:r>
      <w:r w:rsidRPr="00E14102">
        <w:rPr>
          <w:color w:val="0070C0"/>
          <w:sz w:val="16"/>
          <w:szCs w:val="16"/>
        </w:rPr>
        <w:softHyphen/>
        <w:t>исшествием. При проведении планового облета С-30 на высоте 30 метров перевернулся на спину. Летчик Иванов</w:t>
      </w:r>
      <w:r w:rsidRPr="00E14102">
        <w:rPr>
          <w:color w:val="0070C0"/>
          <w:sz w:val="16"/>
          <w:szCs w:val="16"/>
        </w:rPr>
        <w:softHyphen/>
        <w:t>ский не был пристегнут ремнями, поэтому выпал из каби</w:t>
      </w:r>
      <w:r w:rsidRPr="00E14102">
        <w:rPr>
          <w:color w:val="0070C0"/>
          <w:sz w:val="16"/>
          <w:szCs w:val="16"/>
        </w:rPr>
        <w:softHyphen/>
        <w:t>ны. К счастью, он благополучно миновал лопасти ротора и упал в глубокий сугроб на краю аэродрома. Машина бы</w:t>
      </w:r>
      <w:r w:rsidRPr="00E14102">
        <w:rPr>
          <w:color w:val="0070C0"/>
          <w:sz w:val="16"/>
          <w:szCs w:val="16"/>
        </w:rPr>
        <w:softHyphen/>
        <w:t>ла разбита вдребезги.</w:t>
      </w:r>
    </w:p>
    <w:p w14:paraId="41A733C1" w14:textId="77777777" w:rsidR="006934F4" w:rsidRPr="00E14102" w:rsidRDefault="006934F4" w:rsidP="00E14102">
      <w:pPr>
        <w:jc w:val="both"/>
        <w:rPr>
          <w:color w:val="0070C0"/>
          <w:sz w:val="16"/>
          <w:szCs w:val="16"/>
        </w:rPr>
      </w:pPr>
      <w:r w:rsidRPr="00E14102">
        <w:rPr>
          <w:color w:val="0070C0"/>
          <w:sz w:val="16"/>
          <w:szCs w:val="16"/>
        </w:rPr>
        <w:t>Происшествия с С-30 привели к появлению очередной исследовательской работы М.Л. Миля. Согласно его выво</w:t>
      </w:r>
      <w:r w:rsidRPr="00E14102">
        <w:rPr>
          <w:color w:val="0070C0"/>
          <w:sz w:val="16"/>
          <w:szCs w:val="16"/>
        </w:rPr>
        <w:softHyphen/>
        <w:t>дам, они происходили по причине недостаточной устойчи</w:t>
      </w:r>
      <w:r w:rsidRPr="00E14102">
        <w:rPr>
          <w:color w:val="0070C0"/>
          <w:sz w:val="16"/>
          <w:szCs w:val="16"/>
        </w:rPr>
        <w:softHyphen/>
        <w:t>вости автожира и при сочетании неблагоприятных условий, когда имелось сильное боковое скольжение, и летчик не парировал вовремя боковой крен.</w:t>
      </w:r>
    </w:p>
    <w:p w14:paraId="467956C5" w14:textId="77777777" w:rsidR="006934F4" w:rsidRPr="00E14102" w:rsidRDefault="006934F4" w:rsidP="00E14102">
      <w:pPr>
        <w:shd w:val="clear" w:color="auto" w:fill="FFFFFF"/>
        <w:jc w:val="both"/>
        <w:rPr>
          <w:color w:val="0070C0"/>
          <w:sz w:val="16"/>
          <w:szCs w:val="16"/>
        </w:rPr>
      </w:pPr>
      <w:r w:rsidRPr="00E14102">
        <w:rPr>
          <w:color w:val="0070C0"/>
          <w:sz w:val="16"/>
          <w:szCs w:val="16"/>
        </w:rPr>
        <w:t>Несмотря на перечисленные аварии С-30, известно, что аппарат вновь восстанавливался и продолжал летать. Су</w:t>
      </w:r>
      <w:r w:rsidRPr="00E14102">
        <w:rPr>
          <w:color w:val="0070C0"/>
          <w:sz w:val="16"/>
          <w:szCs w:val="16"/>
        </w:rPr>
        <w:softHyphen/>
        <w:t>ществуют свидетельства, что в 1941 г. этот автожир был вывезен в эвакуацию (20361).</w:t>
      </w:r>
    </w:p>
    <w:p w14:paraId="38028D5F" w14:textId="77777777" w:rsidR="006934F4" w:rsidRPr="00E14102" w:rsidRDefault="006934F4" w:rsidP="00E14102">
      <w:pPr>
        <w:shd w:val="clear" w:color="auto" w:fill="FFFFFF"/>
        <w:jc w:val="both"/>
        <w:rPr>
          <w:color w:val="0070C0"/>
          <w:sz w:val="16"/>
          <w:szCs w:val="16"/>
        </w:rPr>
      </w:pPr>
    </w:p>
    <w:p w14:paraId="3D1329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 25 сентября по 5 октября 1935 прошли полигонные испытания коллиматорного прицела "РО" предъявленного КИБ ВООМП"а</w:t>
      </w:r>
    </w:p>
    <w:p w14:paraId="231EB5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6C3444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 Цветков</w:t>
      </w:r>
    </w:p>
    <w:p w14:paraId="2C2602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 Мохов</w:t>
      </w:r>
    </w:p>
    <w:p w14:paraId="4936D2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572CE1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Проверка оптического прицела "РО" типа коллиматора, разработанного и изготовленного по инициативе инженерно-технических работников КИБ ВООМП"а, с целью принятия на вооружение ВС.</w:t>
      </w:r>
    </w:p>
    <w:p w14:paraId="6FC951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193CF7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Коллиматорный прицел "РО" полигонные испытания не выдержал и требует доработки и устранения недостатков (3085).</w:t>
      </w:r>
    </w:p>
    <w:p w14:paraId="52E75268" w14:textId="77777777" w:rsidR="00D4105E" w:rsidRPr="00E14102" w:rsidRDefault="00D4105E" w:rsidP="00E14102">
      <w:pPr>
        <w:autoSpaceDE w:val="0"/>
        <w:autoSpaceDN w:val="0"/>
        <w:adjustRightInd w:val="0"/>
        <w:jc w:val="both"/>
        <w:rPr>
          <w:color w:val="000000" w:themeColor="text1"/>
          <w:sz w:val="16"/>
          <w:szCs w:val="16"/>
        </w:rPr>
      </w:pPr>
    </w:p>
    <w:p w14:paraId="0F5144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25 сентября по 13 декабря 1935 проходили гос. испытаниям и исследованиям прицела "ГЕРЦ-К".</w:t>
      </w:r>
    </w:p>
    <w:p w14:paraId="3BABE8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w:t>
      </w:r>
    </w:p>
    <w:p w14:paraId="4D01AC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Расшифровать прибор с точки зрения теоретических и конструктивных принципов его.</w:t>
      </w:r>
    </w:p>
    <w:p w14:paraId="54441F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 процессе теоретических и конструктивных исследований, а также работой в воздухе, отметить его недостатки, преимущества и свойства.</w:t>
      </w:r>
    </w:p>
    <w:p w14:paraId="548842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Опробовать прибор на взаимодействие с ЭСБР-2 при автоматическом сбрасывании бомб.</w:t>
      </w:r>
    </w:p>
    <w:p w14:paraId="0A7765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Наметить условия дальнейшего его испытания.</w:t>
      </w:r>
    </w:p>
    <w:p w14:paraId="21722E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464DC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полученных результатов теоретических исследований произвести испытание бомбометания, которые закончить в январе-феврале 1936 года (3103).</w:t>
      </w:r>
    </w:p>
    <w:p w14:paraId="1C75EF52" w14:textId="77777777" w:rsidR="00D4105E" w:rsidRPr="00E14102" w:rsidRDefault="00D4105E" w:rsidP="00E14102">
      <w:pPr>
        <w:autoSpaceDE w:val="0"/>
        <w:autoSpaceDN w:val="0"/>
        <w:adjustRightInd w:val="0"/>
        <w:jc w:val="both"/>
        <w:rPr>
          <w:color w:val="000000" w:themeColor="text1"/>
          <w:sz w:val="16"/>
          <w:szCs w:val="16"/>
        </w:rPr>
      </w:pPr>
    </w:p>
    <w:p w14:paraId="736AE5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 25 сентября по 5 октября 1935 прошли полигонные испытания оптического прицела ПАН-3, предъявленного на испытания КИБ ВООМП"а</w:t>
      </w:r>
    </w:p>
    <w:p w14:paraId="66EF2D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00C0EB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Принятие на вооружение ВС оптического прицела ПАН-3 для стрельбы из неподвижно установленных пулеметов калибра 7,62 мм, разработанного и изготовленного по инициативе инженерно-технических работников КИБ ВООМП"а.</w:t>
      </w:r>
    </w:p>
    <w:p w14:paraId="0414C6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C00F0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Оптический прицел ПАН-3 полигонные испытания выдержал и может быть допущен на войсковые испытания с устранением недочетов.</w:t>
      </w:r>
    </w:p>
    <w:p w14:paraId="3B0E73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проведения испытаний прицел был смонтирован на самолете И-15.</w:t>
      </w:r>
    </w:p>
    <w:p w14:paraId="346158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испытаний было произведено 10 полетов 6 час. 30 мин. (3086).</w:t>
      </w:r>
    </w:p>
    <w:p w14:paraId="159048F6" w14:textId="77777777" w:rsidR="00D4105E" w:rsidRPr="00E14102" w:rsidRDefault="00D4105E" w:rsidP="00E14102">
      <w:pPr>
        <w:autoSpaceDE w:val="0"/>
        <w:autoSpaceDN w:val="0"/>
        <w:adjustRightInd w:val="0"/>
        <w:jc w:val="both"/>
        <w:rPr>
          <w:color w:val="000000" w:themeColor="text1"/>
          <w:sz w:val="16"/>
          <w:szCs w:val="16"/>
        </w:rPr>
      </w:pPr>
    </w:p>
    <w:p w14:paraId="5B4BD0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сентября 1935 для испытаний мин и Майзеля на Ногинский полигон из НИИ ВВС отправили пять Р-5. Испытания начались 8 октября (8908,37).</w:t>
      </w:r>
    </w:p>
    <w:p w14:paraId="06859F89" w14:textId="77777777" w:rsidR="00D4105E" w:rsidRPr="00E14102" w:rsidRDefault="00D4105E" w:rsidP="00E14102">
      <w:pPr>
        <w:autoSpaceDE w:val="0"/>
        <w:autoSpaceDN w:val="0"/>
        <w:adjustRightInd w:val="0"/>
        <w:jc w:val="both"/>
        <w:rPr>
          <w:color w:val="000000" w:themeColor="text1"/>
          <w:sz w:val="16"/>
          <w:szCs w:val="16"/>
        </w:rPr>
      </w:pPr>
    </w:p>
    <w:p w14:paraId="4F460823" w14:textId="77777777" w:rsidR="002F68CC" w:rsidRPr="00E14102" w:rsidRDefault="002F68CC" w:rsidP="00E14102">
      <w:pPr>
        <w:pStyle w:val="rtejustify"/>
        <w:spacing w:before="0" w:after="0"/>
        <w:rPr>
          <w:color w:val="000000" w:themeColor="text1"/>
          <w:sz w:val="16"/>
          <w:szCs w:val="16"/>
        </w:rPr>
      </w:pPr>
      <w:r w:rsidRPr="00E14102">
        <w:rPr>
          <w:color w:val="000000" w:themeColor="text1"/>
          <w:sz w:val="16"/>
          <w:szCs w:val="16"/>
        </w:rPr>
        <w:t>25 сентября 1935 г. Каганович, Молотов — Сталину</w:t>
      </w:r>
    </w:p>
    <w:p w14:paraId="4CB2F77D"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Шифровка.</w:t>
      </w:r>
    </w:p>
    <w:p w14:paraId="08CD48E9"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Из Москвы 25.IX.35 г. в 23 час. 47 мин. Вх. № 76.</w:t>
      </w:r>
    </w:p>
    <w:p w14:paraId="4672C599" w14:textId="77777777" w:rsidR="00647F1E" w:rsidRPr="00E14102" w:rsidRDefault="00647F1E" w:rsidP="00E14102">
      <w:pPr>
        <w:pStyle w:val="rtecenter"/>
        <w:spacing w:before="0" w:after="0"/>
        <w:jc w:val="both"/>
        <w:rPr>
          <w:color w:val="000000" w:themeColor="text1"/>
          <w:sz w:val="16"/>
          <w:szCs w:val="16"/>
        </w:rPr>
      </w:pPr>
      <w:r w:rsidRPr="00E14102">
        <w:rPr>
          <w:color w:val="000000" w:themeColor="text1"/>
          <w:sz w:val="16"/>
          <w:szCs w:val="16"/>
        </w:rPr>
        <w:t>Сочи. Тов. Сталину.</w:t>
      </w:r>
    </w:p>
    <w:p w14:paraId="3C1345D7"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Румынский аэроклуб обратился с просьбой о том, чтобы СССР принял участие в большом авиационном празднике, организуемом румынской авиацией в двадцатых числах октября. Румыны просят нас выделить для участия в празднике 3–5 самолетов АНТ-14 и группу в 10 парашютистов. Считаем возможным принять предложение румын.</w:t>
      </w:r>
    </w:p>
    <w:p w14:paraId="4A6B18FB"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Просим сообщить Ваше мнение</w:t>
      </w:r>
      <w:r w:rsidRPr="00E14102">
        <w:rPr>
          <w:color w:val="000000" w:themeColor="text1"/>
          <w:sz w:val="16"/>
          <w:szCs w:val="16"/>
          <w:vertAlign w:val="superscript"/>
        </w:rPr>
        <w:t>1</w:t>
      </w:r>
      <w:r w:rsidRPr="00E14102">
        <w:rPr>
          <w:color w:val="000000" w:themeColor="text1"/>
          <w:sz w:val="16"/>
          <w:szCs w:val="16"/>
        </w:rPr>
        <w:t>. HP 103.</w:t>
      </w:r>
    </w:p>
    <w:p w14:paraId="09AA20CA"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rPr>
        <w:t>Каганович. Молотов.</w:t>
      </w:r>
    </w:p>
    <w:p w14:paraId="5EB8A36C" w14:textId="77777777" w:rsidR="00647F1E" w:rsidRPr="00E14102" w:rsidRDefault="00647F1E" w:rsidP="00E14102">
      <w:pPr>
        <w:pStyle w:val="rtejustify"/>
        <w:spacing w:before="0" w:after="0"/>
        <w:rPr>
          <w:color w:val="000000" w:themeColor="text1"/>
          <w:sz w:val="16"/>
          <w:szCs w:val="16"/>
        </w:rPr>
      </w:pPr>
      <w:r w:rsidRPr="00E14102">
        <w:rPr>
          <w:color w:val="000000" w:themeColor="text1"/>
          <w:sz w:val="16"/>
          <w:szCs w:val="16"/>
          <w:vertAlign w:val="superscript"/>
        </w:rPr>
        <w:t>1</w:t>
      </w:r>
      <w:r w:rsidRPr="00E14102">
        <w:rPr>
          <w:color w:val="000000" w:themeColor="text1"/>
          <w:sz w:val="16"/>
          <w:szCs w:val="16"/>
        </w:rPr>
        <w:t xml:space="preserve"> 27 сентября 1935 г. ПБ приняло решение об участии СССР в авиационном празднике в Румынии (РГАСПИ. Ф. 17. Оп. 3. Д. 971. Л. 71).</w:t>
      </w:r>
    </w:p>
    <w:p w14:paraId="6C624F5B" w14:textId="77777777" w:rsidR="00647F1E" w:rsidRPr="00E14102" w:rsidRDefault="00647F1E" w:rsidP="00E14102">
      <w:pPr>
        <w:jc w:val="both"/>
        <w:rPr>
          <w:color w:val="000000" w:themeColor="text1"/>
          <w:sz w:val="16"/>
          <w:szCs w:val="16"/>
        </w:rPr>
      </w:pPr>
      <w:r w:rsidRPr="00E14102">
        <w:rPr>
          <w:color w:val="000000" w:themeColor="text1"/>
          <w:sz w:val="16"/>
          <w:szCs w:val="16"/>
        </w:rPr>
        <w:t>Источник: Сталин и Каганович. Переписка. 1931–1936 гг. Москва: (РОССПЭН), 2001 Стр. 586</w:t>
      </w:r>
    </w:p>
    <w:p w14:paraId="128B5032" w14:textId="77777777" w:rsidR="00647F1E" w:rsidRPr="00E14102" w:rsidRDefault="00647F1E" w:rsidP="00E14102">
      <w:pPr>
        <w:jc w:val="both"/>
        <w:rPr>
          <w:color w:val="000000" w:themeColor="text1"/>
          <w:sz w:val="16"/>
          <w:szCs w:val="16"/>
        </w:rPr>
      </w:pPr>
      <w:r w:rsidRPr="00E14102">
        <w:rPr>
          <w:color w:val="000000" w:themeColor="text1"/>
          <w:sz w:val="16"/>
          <w:szCs w:val="16"/>
        </w:rPr>
        <w:t>Архив: РГАСПИ Ф. 558. Оп. 11. Д. 90. Л. 71. Подлинник. Машинопись (12584).</w:t>
      </w:r>
    </w:p>
    <w:p w14:paraId="059044A4" w14:textId="77777777" w:rsidR="00647F1E" w:rsidRPr="00E14102" w:rsidRDefault="00647F1E" w:rsidP="00E14102">
      <w:pPr>
        <w:jc w:val="both"/>
        <w:rPr>
          <w:color w:val="000000" w:themeColor="text1"/>
          <w:sz w:val="16"/>
          <w:szCs w:val="16"/>
        </w:rPr>
      </w:pPr>
    </w:p>
    <w:p w14:paraId="0AA5FD15" w14:textId="77777777" w:rsidR="002F68CC"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CEAB645" w14:textId="77777777" w:rsidR="002F68CC" w:rsidRPr="00E14102" w:rsidRDefault="002F68CC" w:rsidP="00E14102">
      <w:pPr>
        <w:autoSpaceDE w:val="0"/>
        <w:autoSpaceDN w:val="0"/>
        <w:adjustRightInd w:val="0"/>
        <w:jc w:val="both"/>
        <w:rPr>
          <w:iCs/>
          <w:color w:val="000000" w:themeColor="text1"/>
          <w:sz w:val="16"/>
          <w:szCs w:val="16"/>
        </w:rPr>
      </w:pPr>
    </w:p>
    <w:p w14:paraId="735F2BE9" w14:textId="77777777" w:rsidR="002F68CC" w:rsidRPr="00E14102" w:rsidRDefault="002F68CC" w:rsidP="00E14102">
      <w:pPr>
        <w:pStyle w:val="rtejustify"/>
        <w:spacing w:before="0" w:after="0"/>
        <w:rPr>
          <w:color w:val="000000" w:themeColor="text1"/>
          <w:sz w:val="16"/>
          <w:szCs w:val="16"/>
        </w:rPr>
      </w:pPr>
      <w:r w:rsidRPr="00E14102">
        <w:rPr>
          <w:rStyle w:val="a6"/>
          <w:bCs/>
          <w:i w:val="0"/>
          <w:color w:val="000000" w:themeColor="text1"/>
          <w:sz w:val="16"/>
          <w:szCs w:val="16"/>
        </w:rPr>
        <w:t>25 сентября 1935 вышел приказ НКО №</w:t>
      </w:r>
      <w:r w:rsidRPr="00E14102">
        <w:rPr>
          <w:color w:val="000000" w:themeColor="text1"/>
          <w:sz w:val="16"/>
          <w:szCs w:val="16"/>
        </w:rPr>
        <w:t> 0186. О назначении комиссии для проведения войсковых испытаний 152</w:t>
      </w:r>
      <w:r w:rsidRPr="00E14102">
        <w:rPr>
          <w:color w:val="000000" w:themeColor="text1"/>
          <w:sz w:val="16"/>
          <w:szCs w:val="16"/>
        </w:rPr>
        <w:noBreakHyphen/>
        <w:t>мм пушек Б</w:t>
      </w:r>
      <w:r w:rsidRPr="00E14102">
        <w:rPr>
          <w:color w:val="000000" w:themeColor="text1"/>
          <w:sz w:val="16"/>
          <w:szCs w:val="16"/>
        </w:rPr>
        <w:noBreakHyphen/>
        <w:t>10 и Б</w:t>
      </w:r>
      <w:r w:rsidRPr="00E14102">
        <w:rPr>
          <w:color w:val="000000" w:themeColor="text1"/>
          <w:sz w:val="16"/>
          <w:szCs w:val="16"/>
        </w:rPr>
        <w:noBreakHyphen/>
        <w:t>30 (15247).</w:t>
      </w:r>
    </w:p>
    <w:p w14:paraId="2524885A" w14:textId="77777777" w:rsidR="002F68CC" w:rsidRPr="00E14102" w:rsidRDefault="002F68CC" w:rsidP="00E14102">
      <w:pPr>
        <w:pStyle w:val="rtejustify"/>
        <w:spacing w:before="0" w:after="0"/>
        <w:rPr>
          <w:color w:val="000000" w:themeColor="text1"/>
          <w:sz w:val="16"/>
          <w:szCs w:val="16"/>
        </w:rPr>
      </w:pPr>
    </w:p>
    <w:p w14:paraId="058F9E2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71B3974F" w14:textId="77777777" w:rsidR="00D4105E" w:rsidRPr="00E14102" w:rsidRDefault="00D4105E" w:rsidP="00E14102">
      <w:pPr>
        <w:autoSpaceDE w:val="0"/>
        <w:autoSpaceDN w:val="0"/>
        <w:adjustRightInd w:val="0"/>
        <w:jc w:val="both"/>
        <w:rPr>
          <w:iCs/>
          <w:color w:val="000000" w:themeColor="text1"/>
          <w:sz w:val="16"/>
          <w:szCs w:val="16"/>
        </w:rPr>
      </w:pPr>
    </w:p>
    <w:p w14:paraId="11C09AA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 сентября 1935 в СССР снижены цены на хлеб, отменены карточки на мясо, рыбу, сахар (4962).</w:t>
      </w:r>
    </w:p>
    <w:p w14:paraId="24FAA4C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E8F6C0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F2F7826" w14:textId="77777777" w:rsidR="00D4105E" w:rsidRPr="00E14102" w:rsidRDefault="00D4105E" w:rsidP="00E14102">
      <w:pPr>
        <w:autoSpaceDE w:val="0"/>
        <w:autoSpaceDN w:val="0"/>
        <w:adjustRightInd w:val="0"/>
        <w:jc w:val="both"/>
        <w:rPr>
          <w:iCs/>
          <w:color w:val="000000" w:themeColor="text1"/>
          <w:sz w:val="16"/>
          <w:szCs w:val="16"/>
        </w:rPr>
      </w:pPr>
    </w:p>
    <w:p w14:paraId="7B21011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26 сентября 1935 года вышел Приказ НИИ ВС № 0506 О принятии на испытание самолетов СБ-2ИС и СБ-2РЦ</w:t>
      </w:r>
    </w:p>
    <w:p w14:paraId="3C341E3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Совместные испытания самолетов СБ-2ИС и СБ-2РЦ предъявленные ЦАГИ начать 25 сентября 1935 года.</w:t>
      </w:r>
    </w:p>
    <w:p w14:paraId="3678AAE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провести: 1-ю часть: исследования и доводки при ЦАГИ на Центральном аэродроме и 2-ю часть: летные характеристики и испытание вооружения и оборудования при НИИ ВС на аэродроме ст. Томская (6815, 51).</w:t>
      </w:r>
    </w:p>
    <w:p w14:paraId="4E41483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97C603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26 сентября 1935 года вышел Приказ НИИ ВС № 0496 Об испытании по замеру расхода горючего на самолете Р-5 с М-17 Ф.</w:t>
      </w:r>
    </w:p>
    <w:p w14:paraId="7382F51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начать 23 сентября 1935 года и закончить к 30 сентября 1935 года (6815, 22).</w:t>
      </w:r>
    </w:p>
    <w:p w14:paraId="02016387"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A53E26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26 сентября 1935 года вышел Приказ НИИ ВС № 0504 О проведении гос. испытаний автожира С-30.</w:t>
      </w:r>
    </w:p>
    <w:p w14:paraId="4F2036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автожира производства ЦАГИ начать 26 сентября 1935 года и закончить в 15 летных дней. Испытания проводить на аэродроме НИИ ВС (6815, 45).</w:t>
      </w:r>
    </w:p>
    <w:p w14:paraId="21D4AAE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6AC92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сентября 1935 закончились госиспытания самолета УБП-2М11 (вооруженный вариант самолета КАИ-1), которые проходили с 23 июля 1935.</w:t>
      </w:r>
    </w:p>
    <w:p w14:paraId="558EF9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68F45F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Инженер-летчик НИЭ НИИ ВС Ивановский</w:t>
      </w:r>
    </w:p>
    <w:p w14:paraId="020389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Схема самолета УБП-2М11 представляет собой двухмоторный свободнонесущий моноплан с низким расположением крыла. Моторы установлены на крыле. Самолет кроме моторной установки, шасси и управления, целиком сделан из дерева. Нижняя часть кокового фюзеляжа вписана в центроплан. Весь самолет имеет обтекаемые формы, не имея никаких отверстий и расчалок.</w:t>
      </w:r>
    </w:p>
    <w:p w14:paraId="5CACD0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трехместный. Летчик сидит у переднего лонжерона крыла. Впереди летчика помещается штурман, имеющий обзор по сторонам, вверх и вниз через целлулоидные окна кабины. Сзади летчика сидит стрелок, он же радист.</w:t>
      </w:r>
    </w:p>
    <w:p w14:paraId="6CCF1F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 самолета состоит из одного пулемета ДА, установленного на башенный пулеметный шкворень (БПШ-1), который укреплен на верхней обшивке фюзеляжа сзади сиденья стрелка.</w:t>
      </w:r>
    </w:p>
    <w:p w14:paraId="61068B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Варианты бомбовой нагрузки</w:t>
      </w:r>
    </w:p>
    <w:p w14:paraId="531DA1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Дер-7</w:t>
      </w:r>
    </w:p>
    <w:p w14:paraId="32DA59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бомбы П-40 – 160 кг</w:t>
      </w:r>
    </w:p>
    <w:p w14:paraId="7DADC0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бомбы АФ-50 – 150 кг</w:t>
      </w:r>
    </w:p>
    <w:p w14:paraId="0DB218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бомбы АФ-32 – 128 кг</w:t>
      </w:r>
    </w:p>
    <w:p w14:paraId="045FC9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бомбы АФ-16 – 64 кг</w:t>
      </w:r>
    </w:p>
    <w:p w14:paraId="69B539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бомбы П-25 – 100 кг</w:t>
      </w:r>
    </w:p>
    <w:p w14:paraId="686FD7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бомбы А-10 – 40 кг</w:t>
      </w:r>
    </w:p>
    <w:p w14:paraId="25BDAE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Дер-30</w:t>
      </w:r>
    </w:p>
    <w:p w14:paraId="78EA70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бомб АО-10 – 80 кг</w:t>
      </w:r>
    </w:p>
    <w:p w14:paraId="54D9E1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бомб АО-8 – 64 кг</w:t>
      </w:r>
    </w:p>
    <w:p w14:paraId="45AC63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бомб П-7 – 56 кг</w:t>
      </w:r>
    </w:p>
    <w:p w14:paraId="018294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983FF5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 УБП-2М11 подлежит доделке, после чего предъявлению на повторные испытания (7653).</w:t>
      </w:r>
    </w:p>
    <w:p w14:paraId="27E6C6B5"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5B61CB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сентября 1935 МБР-5 (внутреннее обозначение ЦКБ МС-2) П.Д.Самсонова выкатили из цеха. От чувств П.Д.Самсонов прослезился (1030,27).</w:t>
      </w:r>
    </w:p>
    <w:p w14:paraId="51CA0453" w14:textId="77777777" w:rsidR="00D4105E" w:rsidRPr="00E14102" w:rsidRDefault="00D4105E" w:rsidP="00E14102">
      <w:pPr>
        <w:autoSpaceDE w:val="0"/>
        <w:autoSpaceDN w:val="0"/>
        <w:adjustRightInd w:val="0"/>
        <w:jc w:val="both"/>
        <w:rPr>
          <w:color w:val="000000" w:themeColor="text1"/>
          <w:sz w:val="16"/>
          <w:szCs w:val="16"/>
        </w:rPr>
      </w:pPr>
    </w:p>
    <w:p w14:paraId="4E14B320" w14:textId="77777777" w:rsidR="002F68CC" w:rsidRPr="00E14102" w:rsidRDefault="002F68CC" w:rsidP="00E14102">
      <w:pPr>
        <w:pStyle w:val="rtejustify"/>
        <w:spacing w:before="0" w:after="0"/>
        <w:rPr>
          <w:color w:val="000000" w:themeColor="text1"/>
          <w:sz w:val="16"/>
          <w:szCs w:val="16"/>
        </w:rPr>
      </w:pPr>
      <w:r w:rsidRPr="00E14102">
        <w:rPr>
          <w:rStyle w:val="a6"/>
          <w:bCs/>
          <w:i w:val="0"/>
          <w:color w:val="000000" w:themeColor="text1"/>
          <w:sz w:val="16"/>
          <w:szCs w:val="16"/>
        </w:rPr>
        <w:t>26 сентября 1935 вышел приказ НКО №</w:t>
      </w:r>
      <w:r w:rsidRPr="00E14102">
        <w:rPr>
          <w:color w:val="000000" w:themeColor="text1"/>
          <w:sz w:val="16"/>
          <w:szCs w:val="16"/>
        </w:rPr>
        <w:t> 0078. О проведении испытания специальной аппаратуры инженера Ощепкова по обнаружению самолета и всех измерений, связанных с этим, на базе Монинского аэродрома (15247).</w:t>
      </w:r>
    </w:p>
    <w:p w14:paraId="0B28BDB3" w14:textId="77777777" w:rsidR="002F68CC" w:rsidRPr="00E14102" w:rsidRDefault="002F68CC" w:rsidP="00E14102">
      <w:pPr>
        <w:pStyle w:val="rtejustify"/>
        <w:spacing w:before="0" w:after="0"/>
        <w:rPr>
          <w:color w:val="000000" w:themeColor="text1"/>
          <w:sz w:val="16"/>
          <w:szCs w:val="16"/>
        </w:rPr>
      </w:pPr>
    </w:p>
    <w:p w14:paraId="35024529" w14:textId="77777777" w:rsidR="007B05F2" w:rsidRPr="00E14102" w:rsidRDefault="007B05F2"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3323F429" w14:textId="77777777" w:rsidR="007B05F2" w:rsidRPr="00E14102" w:rsidRDefault="007B05F2" w:rsidP="00E14102">
      <w:pPr>
        <w:autoSpaceDE w:val="0"/>
        <w:autoSpaceDN w:val="0"/>
        <w:adjustRightInd w:val="0"/>
        <w:jc w:val="both"/>
        <w:rPr>
          <w:iCs/>
          <w:color w:val="000000" w:themeColor="text1"/>
          <w:sz w:val="16"/>
          <w:szCs w:val="16"/>
        </w:rPr>
      </w:pPr>
    </w:p>
    <w:p w14:paraId="055AA091" w14:textId="77777777" w:rsidR="007B05F2" w:rsidRPr="00E14102" w:rsidRDefault="007B05F2" w:rsidP="00E14102">
      <w:pPr>
        <w:jc w:val="both"/>
        <w:rPr>
          <w:color w:val="000000" w:themeColor="text1"/>
          <w:sz w:val="16"/>
          <w:szCs w:val="16"/>
        </w:rPr>
      </w:pPr>
      <w:r w:rsidRPr="00E14102">
        <w:rPr>
          <w:color w:val="000000" w:themeColor="text1"/>
          <w:sz w:val="16"/>
          <w:szCs w:val="16"/>
        </w:rPr>
        <w:t>26 сентября 1935 г. путем преобразования Штаба РККА был создан Генеральный штаб РККА. Он являлся центральным органом Наркомата обороны СССР по подготовке и использованию Вооруженных сил СССР для обороны страны. Генштаб разрабатывал: а) планы войны и оперативного использования всех сухопутных, морских и воздушных сил и средств, вопросы организации тыла и материального обеспечения РККА на военное время; б) планы организации Вооруженных сил, схемы развертывания армии и директивных указаний по обеспечению мобилизационной готовности РККА; в) планы и задания по оперативной подготовке театров военных действий и планов опытных мобилизаций; г) задания по оперативной подготовке и использованию путей сообщения на военное время, по планированию и обеспечению воинских перевозок в мирное и военное время; д) мобилизационные заявки наркоматам и центральным учреждениям СССР и промышленности по обеспечению РККА материальными ресурсами на военное время; е) оперативно-тактические задания по усовершенствованию предметов вооружения и технических средств борьбы. На Генеральный штаб также было возложено руководство: а) боевой подготовкой РККА — оперативной подготовкой всех родов войск, штабов, служб и органов тыла; тактической подготовкой стрелковых, кавалерийских, артиллерийских, автобронетанковых, авиационных и морских частей и соединений, военных академий, школ и начальствующего состава кадра и запаса РККА; б) разработкой наставлений по вождению армейских соединений и боевых уставов РККА; в) составлением общего сводного годового плана заказов НКО СССР промышленности по всем видам вооружения, технического и материального снабжения; г) военно-топографической службой РККА. Начальник Генштаба в соответствии с указаниями и решениями наркома обороны объединял деятельность всех управлений НКО, давал им задания и указания.</w:t>
      </w:r>
    </w:p>
    <w:p w14:paraId="00CE7BB9" w14:textId="77777777" w:rsidR="007B05F2" w:rsidRPr="00E14102" w:rsidRDefault="007B05F2" w:rsidP="00E14102">
      <w:pPr>
        <w:jc w:val="both"/>
        <w:rPr>
          <w:color w:val="000000" w:themeColor="text1"/>
          <w:sz w:val="16"/>
          <w:szCs w:val="16"/>
        </w:rPr>
      </w:pPr>
      <w:r w:rsidRPr="00E14102">
        <w:rPr>
          <w:color w:val="000000" w:themeColor="text1"/>
          <w:sz w:val="16"/>
          <w:szCs w:val="16"/>
        </w:rPr>
        <w:t>В соответствии с решением Политбюро ЦК ВКП(б) от 25 июля 1940 г. и соответствующим приказом Наркомата обороны СССР № 0037 от 26 июля 1940 г. о новой структуре наркомата Генеральный штаб РККА стал называться Генеральным штабом Красной армии. Он являлся центральным органом управления народного комиссара обороны по подготовке и боевому использованию Вооруженных сил СССР, ведал вопросами оперативными, разведывательными, организационными, мобилизационными, укомплектования личным, рядовым, младшим начальствующим составом и конским составом, военных сообщений, устройства тыла и планирования снабжением, топографической службы, укрепленных районов и разработкой военно-исторических материалов. В соответствии с этим в составе Генерального штаба имелись управления: оперативное, разведывательное, организационное, военных сообщений, мобилизационное, устройства тыла и снабжения, по укомплектованию войск, военно-топографическое; а также отделы: укрепленных районов, военно-исторический, кадров. (РГАСПИ. Ф. 162. Оп. 162. Д. 28. Л. 52</w:t>
      </w:r>
      <w:r w:rsidRPr="00E14102">
        <w:rPr>
          <w:color w:val="000000" w:themeColor="text1"/>
          <w:sz w:val="16"/>
          <w:szCs w:val="16"/>
        </w:rPr>
        <w:noBreakHyphen/>
        <w:t>55.) (17776).</w:t>
      </w:r>
    </w:p>
    <w:p w14:paraId="0C6D1FA8" w14:textId="77777777" w:rsidR="007B05F2" w:rsidRPr="00E14102" w:rsidRDefault="007B05F2" w:rsidP="00E14102">
      <w:pPr>
        <w:jc w:val="both"/>
        <w:rPr>
          <w:color w:val="000000" w:themeColor="text1"/>
          <w:sz w:val="16"/>
          <w:szCs w:val="16"/>
        </w:rPr>
      </w:pPr>
    </w:p>
    <w:p w14:paraId="5164336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C1473FC" w14:textId="77777777" w:rsidR="00D4105E" w:rsidRPr="00E14102" w:rsidRDefault="00D4105E" w:rsidP="00E14102">
      <w:pPr>
        <w:autoSpaceDE w:val="0"/>
        <w:autoSpaceDN w:val="0"/>
        <w:adjustRightInd w:val="0"/>
        <w:jc w:val="both"/>
        <w:rPr>
          <w:iCs/>
          <w:color w:val="000000" w:themeColor="text1"/>
          <w:sz w:val="16"/>
          <w:szCs w:val="16"/>
        </w:rPr>
      </w:pPr>
    </w:p>
    <w:p w14:paraId="07B254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сентября 1935 трассу канала Москва-Волга посетили секретарь ЦК ВКП(б) Каганович, секретарь МК ВКП(б) Хрущев, Ягода, председатель Моссовета Булганин, заместитель наркома внутренних дел Агранов и начальник ГУЛАГа Берман (7560).</w:t>
      </w:r>
    </w:p>
    <w:p w14:paraId="5F6EF668" w14:textId="77777777" w:rsidR="00D4105E" w:rsidRPr="00E14102" w:rsidRDefault="00D4105E" w:rsidP="00E14102">
      <w:pPr>
        <w:autoSpaceDE w:val="0"/>
        <w:autoSpaceDN w:val="0"/>
        <w:adjustRightInd w:val="0"/>
        <w:jc w:val="both"/>
        <w:rPr>
          <w:color w:val="000000" w:themeColor="text1"/>
          <w:sz w:val="16"/>
          <w:szCs w:val="16"/>
        </w:rPr>
      </w:pPr>
    </w:p>
    <w:p w14:paraId="3EEFD63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1FAAF90" w14:textId="77777777" w:rsidR="00D4105E" w:rsidRPr="00E14102" w:rsidRDefault="00D4105E" w:rsidP="00E14102">
      <w:pPr>
        <w:autoSpaceDE w:val="0"/>
        <w:autoSpaceDN w:val="0"/>
        <w:adjustRightInd w:val="0"/>
        <w:jc w:val="both"/>
        <w:rPr>
          <w:iCs/>
          <w:color w:val="000000" w:themeColor="text1"/>
          <w:sz w:val="16"/>
          <w:szCs w:val="16"/>
        </w:rPr>
      </w:pPr>
    </w:p>
    <w:p w14:paraId="592DF3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сентября 1935 с письмом N 113/2953с был направлен Отчет о серийном испытании ТБ-3 4М-34Р N 22550 (2947).</w:t>
      </w:r>
    </w:p>
    <w:p w14:paraId="52D57F06" w14:textId="77777777" w:rsidR="00D4105E" w:rsidRPr="00E14102" w:rsidRDefault="00D4105E" w:rsidP="00E14102">
      <w:pPr>
        <w:autoSpaceDE w:val="0"/>
        <w:autoSpaceDN w:val="0"/>
        <w:adjustRightInd w:val="0"/>
        <w:jc w:val="both"/>
        <w:rPr>
          <w:color w:val="000000" w:themeColor="text1"/>
          <w:sz w:val="16"/>
          <w:szCs w:val="16"/>
        </w:rPr>
      </w:pPr>
    </w:p>
    <w:p w14:paraId="6376E5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сентября 1935 с письмом N 113/2952с был направлен Отчет о серийном испытании КР-6 N 22330 (эталон на 1935) (2936).</w:t>
      </w:r>
    </w:p>
    <w:p w14:paraId="63602371" w14:textId="77777777" w:rsidR="00D4105E" w:rsidRPr="00E14102" w:rsidRDefault="00D4105E" w:rsidP="00E14102">
      <w:pPr>
        <w:autoSpaceDE w:val="0"/>
        <w:autoSpaceDN w:val="0"/>
        <w:adjustRightInd w:val="0"/>
        <w:jc w:val="both"/>
        <w:rPr>
          <w:color w:val="000000" w:themeColor="text1"/>
          <w:sz w:val="16"/>
          <w:szCs w:val="16"/>
        </w:rPr>
      </w:pPr>
    </w:p>
    <w:p w14:paraId="7A3C9E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сентября 1935 разбился МТБ-1 (АНТ-27бис) из-за отрыва полотна с крыла, который испытывали в мае 1935. Пытались внедрить, но чуть позже была еще одна катастрофа и сдав пять и построив 10 производство прекратили (92,499).</w:t>
      </w:r>
    </w:p>
    <w:p w14:paraId="029ACA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- 23 сентября 1935 (2072,75).</w:t>
      </w:r>
    </w:p>
    <w:p w14:paraId="075B78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Осенью 1935 на АНТ-27бис поставили М-34РН мощностью 930 нр и начались его полеты (2072,75).</w:t>
      </w:r>
    </w:p>
    <w:p w14:paraId="5B20DDDB" w14:textId="77777777" w:rsidR="00D4105E" w:rsidRPr="00E14102" w:rsidRDefault="00D4105E" w:rsidP="00E14102">
      <w:pPr>
        <w:autoSpaceDE w:val="0"/>
        <w:autoSpaceDN w:val="0"/>
        <w:adjustRightInd w:val="0"/>
        <w:jc w:val="both"/>
        <w:rPr>
          <w:color w:val="000000" w:themeColor="text1"/>
          <w:sz w:val="16"/>
          <w:szCs w:val="16"/>
        </w:rPr>
      </w:pPr>
    </w:p>
    <w:p w14:paraId="16EC0A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сентября 1935 с письмом N 113/2950с был направлен Отчет об испытании М-34Р NN 301358, 301758, 3012, 13974 с экранированным зажиганием, установленных на ТБ-3 N 22621 (2947</w:t>
      </w:r>
    </w:p>
    <w:p w14:paraId="78611C4D" w14:textId="77777777" w:rsidR="00D4105E" w:rsidRPr="00E14102" w:rsidRDefault="00D4105E" w:rsidP="00E14102">
      <w:pPr>
        <w:autoSpaceDE w:val="0"/>
        <w:autoSpaceDN w:val="0"/>
        <w:adjustRightInd w:val="0"/>
        <w:jc w:val="both"/>
        <w:rPr>
          <w:color w:val="000000" w:themeColor="text1"/>
          <w:sz w:val="16"/>
          <w:szCs w:val="16"/>
        </w:rPr>
      </w:pPr>
    </w:p>
    <w:p w14:paraId="4087B7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27-го по 29-е сентября 1935 на гидроплан ДВ СССР-Н10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 После этого экипаж сделал еще два рейса: до Дудинки и в Игарку. 12 октября СССР-Н10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318FCC3B" w14:textId="77777777" w:rsidR="00D4105E" w:rsidRPr="00E14102" w:rsidRDefault="00D4105E" w:rsidP="00E14102">
      <w:pPr>
        <w:autoSpaceDE w:val="0"/>
        <w:autoSpaceDN w:val="0"/>
        <w:adjustRightInd w:val="0"/>
        <w:jc w:val="both"/>
        <w:rPr>
          <w:color w:val="000000" w:themeColor="text1"/>
          <w:sz w:val="16"/>
          <w:szCs w:val="16"/>
        </w:rPr>
      </w:pPr>
    </w:p>
    <w:p w14:paraId="749AC3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27 сентября и 28 июля 1935 г. под руководством начальника первого отдела РНИИ Ю.А.Победоносцева и начальника первого сектора РНИИ ф Н.Пойды отстреляли ракетные осколочные снаряды РОС-82 модели 110900 при углах возвышения 40° с пускового станка, установленного на лафете горной пушки обр. 1904 г.</w:t>
      </w:r>
    </w:p>
    <w:p w14:paraId="7043794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РЗ боеприпасов состоял из 35 шашек рецептуры ПТП габаритами 24/6-57,5 мм (из них одна - разрезная). По торцам РЗ были размещены пороховые воспламенители из навесок по 8 г ДРП. Воспламенение было организовано от пиропатронов. Готовые осколки в виде стержней для наполнения БЧ разработчики предпочитали именовать «палочками». Поскольку испытателей не интересовали воздушные разрывы снарядов, в головном очке РС они устанавливали габаритно-весовые макеты дис</w:t>
      </w:r>
      <w:r w:rsidRPr="00E14102">
        <w:rPr>
          <w:color w:val="000000" w:themeColor="text1"/>
          <w:sz w:val="16"/>
          <w:szCs w:val="16"/>
        </w:rPr>
        <w:softHyphen/>
        <w:t>танционных трубок ТМ-4.</w:t>
      </w:r>
    </w:p>
    <w:p w14:paraId="6791637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Корпуса двигателей 13 снарядов, оставшихся после первой стрельбы, подвергли вторичным гидравлическим испытаниям, а наиболее мягкие по материалу камеры — и огневому испытанию.</w:t>
      </w:r>
    </w:p>
    <w:p w14:paraId="4FA122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Выводы: «снаряды третьего варианта дают вполне удовлетворитель</w:t>
      </w:r>
      <w:r w:rsidRPr="00E14102">
        <w:rPr>
          <w:color w:val="000000" w:themeColor="text1"/>
          <w:sz w:val="16"/>
          <w:szCs w:val="16"/>
        </w:rPr>
        <w:softHyphen/>
        <w:t>ную дальность стрельбы. Рассеивание по дальности велико, что можно объяснить наличием БЧ, недостаточно тщательно пригнанных к каме</w:t>
      </w:r>
      <w:r w:rsidRPr="00E14102">
        <w:rPr>
          <w:color w:val="000000" w:themeColor="text1"/>
          <w:sz w:val="16"/>
          <w:szCs w:val="16"/>
        </w:rPr>
        <w:softHyphen/>
        <w:t>рам. Для предотвращения этого, БЧ необходимо фиксировать четырьмя стопорными винтами или пригонять индивидуально» (11402).</w:t>
      </w:r>
    </w:p>
    <w:p w14:paraId="73C674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203DEB6" w14:textId="77777777" w:rsidR="009E4FFE" w:rsidRPr="00E14102" w:rsidRDefault="009E4FFE" w:rsidP="00E14102">
      <w:pPr>
        <w:jc w:val="both"/>
        <w:rPr>
          <w:color w:val="0070C0"/>
          <w:sz w:val="16"/>
          <w:szCs w:val="16"/>
        </w:rPr>
      </w:pPr>
      <w:r w:rsidRPr="00E14102">
        <w:rPr>
          <w:color w:val="0070C0"/>
          <w:sz w:val="16"/>
          <w:szCs w:val="16"/>
          <w:lang w:bidi="ru-RU"/>
        </w:rPr>
        <w:t>27-28 сентября 1935 В-6 слетал по маршруту Москва - Брянск - Чернигов - Киев - Чернигов - Калуга - Москва, а также выполненный 4-5 октября перелёт до Харькова и обратно.</w:t>
      </w:r>
    </w:p>
    <w:p w14:paraId="39839C26" w14:textId="77777777" w:rsidR="009E4FFE" w:rsidRPr="00E14102" w:rsidRDefault="009E4FFE" w:rsidP="00E14102">
      <w:pPr>
        <w:shd w:val="clear" w:color="auto" w:fill="FFFFFF"/>
        <w:jc w:val="both"/>
        <w:rPr>
          <w:color w:val="0070C0"/>
          <w:sz w:val="16"/>
          <w:szCs w:val="16"/>
        </w:rPr>
      </w:pPr>
      <w:r w:rsidRPr="00E14102">
        <w:rPr>
          <w:color w:val="0070C0"/>
          <w:sz w:val="16"/>
          <w:szCs w:val="16"/>
          <w:lang w:bidi="ru-RU"/>
        </w:rPr>
        <w:t>Имея годовой план в 500 часов, «СССР-В6» налетал 213,5 часа. Но рейсы по Свердловской линии так и не начались (23192).</w:t>
      </w:r>
    </w:p>
    <w:p w14:paraId="090A38D9" w14:textId="77777777" w:rsidR="009E4FFE" w:rsidRPr="00E14102" w:rsidRDefault="009E4FFE" w:rsidP="00E14102">
      <w:pPr>
        <w:shd w:val="clear" w:color="auto" w:fill="FFFFFF"/>
        <w:jc w:val="both"/>
        <w:rPr>
          <w:color w:val="0070C0"/>
          <w:sz w:val="16"/>
          <w:szCs w:val="16"/>
        </w:rPr>
      </w:pPr>
    </w:p>
    <w:p w14:paraId="1F715E59" w14:textId="77777777" w:rsidR="002F68CC"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B3D472F" w14:textId="77777777" w:rsidR="002F68CC" w:rsidRPr="00E14102" w:rsidRDefault="002F68CC" w:rsidP="00E14102">
      <w:pPr>
        <w:autoSpaceDE w:val="0"/>
        <w:autoSpaceDN w:val="0"/>
        <w:adjustRightInd w:val="0"/>
        <w:jc w:val="both"/>
        <w:rPr>
          <w:iCs/>
          <w:color w:val="000000" w:themeColor="text1"/>
          <w:sz w:val="16"/>
          <w:szCs w:val="16"/>
        </w:rPr>
      </w:pPr>
    </w:p>
    <w:p w14:paraId="58E0C185" w14:textId="77777777" w:rsidR="002F68CC" w:rsidRPr="00E14102" w:rsidRDefault="002F68CC" w:rsidP="00E14102">
      <w:pPr>
        <w:pStyle w:val="rtejustify"/>
        <w:spacing w:before="0" w:after="0"/>
        <w:rPr>
          <w:color w:val="000000" w:themeColor="text1"/>
          <w:sz w:val="16"/>
          <w:szCs w:val="16"/>
        </w:rPr>
      </w:pPr>
      <w:r w:rsidRPr="00E14102">
        <w:rPr>
          <w:rStyle w:val="a6"/>
          <w:bCs/>
          <w:i w:val="0"/>
          <w:color w:val="000000" w:themeColor="text1"/>
          <w:sz w:val="16"/>
          <w:szCs w:val="16"/>
        </w:rPr>
        <w:t>27 сентября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126сс «Об обеспечении судоремонта военного флота на 1938 г.». (ГА РФ. Ф. Р</w:t>
      </w:r>
      <w:r w:rsidRPr="00E14102">
        <w:rPr>
          <w:color w:val="000000" w:themeColor="text1"/>
          <w:sz w:val="16"/>
          <w:szCs w:val="16"/>
        </w:rPr>
        <w:noBreakHyphen/>
        <w:t>8418. Оп. 28. Д. 7. Л. 132</w:t>
      </w:r>
      <w:r w:rsidRPr="00E14102">
        <w:rPr>
          <w:color w:val="000000" w:themeColor="text1"/>
          <w:sz w:val="16"/>
          <w:szCs w:val="16"/>
        </w:rPr>
        <w:noBreakHyphen/>
        <w:t>134) (15460).</w:t>
      </w:r>
    </w:p>
    <w:p w14:paraId="416CF74A" w14:textId="77777777" w:rsidR="002F68CC" w:rsidRPr="00E14102" w:rsidRDefault="002F68CC" w:rsidP="00E14102">
      <w:pPr>
        <w:pStyle w:val="rtejustify"/>
        <w:spacing w:before="0" w:after="0"/>
        <w:rPr>
          <w:color w:val="000000" w:themeColor="text1"/>
          <w:sz w:val="16"/>
          <w:szCs w:val="16"/>
        </w:rPr>
      </w:pPr>
    </w:p>
    <w:p w14:paraId="0C57A1E9" w14:textId="77777777" w:rsidR="002F68CC"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8EB1AD3" w14:textId="77777777" w:rsidR="002F68CC" w:rsidRPr="00E14102" w:rsidRDefault="002F68CC" w:rsidP="00E14102">
      <w:pPr>
        <w:autoSpaceDE w:val="0"/>
        <w:autoSpaceDN w:val="0"/>
        <w:adjustRightInd w:val="0"/>
        <w:jc w:val="both"/>
        <w:rPr>
          <w:iCs/>
          <w:color w:val="000000" w:themeColor="text1"/>
          <w:sz w:val="16"/>
          <w:szCs w:val="16"/>
        </w:rPr>
      </w:pPr>
    </w:p>
    <w:p w14:paraId="0E70C674" w14:textId="77777777" w:rsidR="002F68CC" w:rsidRPr="00E14102" w:rsidRDefault="002F68CC" w:rsidP="00E14102">
      <w:pPr>
        <w:jc w:val="both"/>
        <w:rPr>
          <w:color w:val="000000" w:themeColor="text1"/>
          <w:sz w:val="16"/>
          <w:szCs w:val="16"/>
        </w:rPr>
      </w:pPr>
      <w:r w:rsidRPr="00E14102">
        <w:rPr>
          <w:color w:val="000000" w:themeColor="text1"/>
          <w:sz w:val="16"/>
          <w:szCs w:val="16"/>
        </w:rPr>
        <w:t>27 сентября в 1935 году завершилась первая советская морская высокоширотная экспедиция на ледоколе «Садко» (начало 6 июля). Судно водоизмещением 3 800 тонн было построено в Англии в 1912 году, в 1916-м оно затонуло в Кандалакшском заливе Белого моря, а в 1933-м его подняли сотрудники легендарного ЭПРОНа (Экспедиции подводных работ особого назначения). Цель плавания сводилась к исследованию Арктического бассейна от Шпицбергена до Северной Земли и в регионе севернее этих архипелагов. Возглавляли экспедицию опытнейшие полярники Георгий Алексеевич Ушаков (1901–1963) и Николай Николаевич Зубов (1885–1960). Специалисты получили множество важных и зачастую неожиданных результатов: обнаружились «отроги» так называемого подводного порога Нансена — повышение дна, отделяющее Гренландское море от Арктического бассейна и играющее роль своеобразного клапана-терморегулятора (14782).</w:t>
      </w:r>
    </w:p>
    <w:p w14:paraId="177A13A7" w14:textId="094D7FE6" w:rsidR="002F68CC" w:rsidRPr="00E14102" w:rsidRDefault="002F68CC" w:rsidP="00E14102">
      <w:pPr>
        <w:jc w:val="both"/>
        <w:rPr>
          <w:color w:val="000000" w:themeColor="text1"/>
          <w:sz w:val="16"/>
          <w:szCs w:val="16"/>
        </w:rPr>
      </w:pPr>
    </w:p>
    <w:p w14:paraId="7D304E8D" w14:textId="0C6E0BF3" w:rsidR="001B55B1" w:rsidRPr="00E14102" w:rsidRDefault="001B55B1" w:rsidP="00E14102">
      <w:pPr>
        <w:jc w:val="both"/>
        <w:rPr>
          <w:color w:val="000000" w:themeColor="text1"/>
          <w:sz w:val="16"/>
          <w:szCs w:val="16"/>
        </w:rPr>
      </w:pPr>
      <w:r w:rsidRPr="00E14102">
        <w:rPr>
          <w:color w:val="000000" w:themeColor="text1"/>
          <w:sz w:val="16"/>
          <w:szCs w:val="16"/>
        </w:rPr>
        <w:t>За рубежом:</w:t>
      </w:r>
    </w:p>
    <w:p w14:paraId="2E429E77" w14:textId="77777777" w:rsidR="001B55B1" w:rsidRPr="00E14102" w:rsidRDefault="001B55B1" w:rsidP="00E14102">
      <w:pPr>
        <w:jc w:val="both"/>
        <w:rPr>
          <w:color w:val="000000" w:themeColor="text1"/>
          <w:sz w:val="16"/>
          <w:szCs w:val="16"/>
        </w:rPr>
      </w:pPr>
    </w:p>
    <w:p w14:paraId="3F60A4A0" w14:textId="77777777" w:rsidR="001B55B1" w:rsidRPr="00E14102" w:rsidRDefault="001B55B1" w:rsidP="00E14102">
      <w:pPr>
        <w:jc w:val="both"/>
        <w:rPr>
          <w:color w:val="0070C0"/>
          <w:sz w:val="16"/>
          <w:szCs w:val="16"/>
        </w:rPr>
      </w:pPr>
      <w:r w:rsidRPr="00E14102">
        <w:rPr>
          <w:color w:val="0070C0"/>
          <w:sz w:val="16"/>
          <w:szCs w:val="16"/>
        </w:rPr>
        <w:t>27 сентября 1935 года — первый полёт опытного истребителя Loire 250. /Франция/</w:t>
      </w:r>
    </w:p>
    <w:p w14:paraId="79986111" w14:textId="77777777" w:rsidR="001B55B1" w:rsidRPr="00E14102" w:rsidRDefault="001B55B1" w:rsidP="00E14102">
      <w:pPr>
        <w:jc w:val="both"/>
        <w:rPr>
          <w:color w:val="0070C0"/>
          <w:sz w:val="16"/>
          <w:szCs w:val="16"/>
        </w:rPr>
      </w:pPr>
      <w:r w:rsidRPr="00E14102">
        <w:rPr>
          <w:color w:val="0070C0"/>
          <w:sz w:val="16"/>
          <w:szCs w:val="16"/>
        </w:rPr>
        <w:t>В 1934 году Министерство авиации Франции объявило конкурс на создание одноместного истребителя. Участники подали 6 проектов. К двум из них приложила руку компания Loire Aviation — самостоятельный Loire 250 и совместный Loire-Nieuport LN-161.</w:t>
      </w:r>
    </w:p>
    <w:p w14:paraId="65D0CC4C" w14:textId="77777777" w:rsidR="001B55B1" w:rsidRPr="00E14102" w:rsidRDefault="001B55B1" w:rsidP="00E14102">
      <w:pPr>
        <w:jc w:val="both"/>
        <w:rPr>
          <w:color w:val="0070C0"/>
          <w:sz w:val="16"/>
          <w:szCs w:val="16"/>
        </w:rPr>
      </w:pPr>
      <w:r w:rsidRPr="00E14102">
        <w:rPr>
          <w:color w:val="0070C0"/>
          <w:sz w:val="16"/>
          <w:szCs w:val="16"/>
        </w:rPr>
        <w:t>Loire 250 представлял собой цельнометаллический низкоплан с убирающимся шасси. Оснащался 14-цилиндровым радиальным двигателем Hispano-Suiza 14Ha. Максимальная скорость — 480 км/ч, дальность полёта — 875 км. На прототипе вооружения не было, но по проекту предполагалась установка 2 × 20-мм пушек Hispano-Suiza HS-9 и 2 × 7,5-мм пулемётов MAC 34.</w:t>
      </w:r>
    </w:p>
    <w:p w14:paraId="163A7B05" w14:textId="77777777" w:rsidR="001B55B1" w:rsidRPr="00E14102" w:rsidRDefault="001B55B1" w:rsidP="00E14102">
      <w:pPr>
        <w:jc w:val="both"/>
        <w:rPr>
          <w:color w:val="0070C0"/>
          <w:sz w:val="16"/>
          <w:szCs w:val="16"/>
        </w:rPr>
      </w:pPr>
      <w:r w:rsidRPr="00E14102">
        <w:rPr>
          <w:color w:val="0070C0"/>
          <w:sz w:val="16"/>
          <w:szCs w:val="16"/>
        </w:rPr>
        <w:t>Испытания показали неудовлетворительные лётные характеристики Loire 250. Несмотря на доработки — замену пропеллера, модификацию хвостового оперения — истребитель не смог развить требуемой по условиям конкурса скорости в 485 км/ч. В итоге победил Morane-Saulnier MS.405. Все работы над Loire 250 были прекращены в 1936 году (22300).</w:t>
      </w:r>
    </w:p>
    <w:p w14:paraId="5C8E2883" w14:textId="77777777" w:rsidR="001B55B1" w:rsidRPr="00E14102" w:rsidRDefault="001B55B1" w:rsidP="00E14102">
      <w:pPr>
        <w:shd w:val="clear" w:color="auto" w:fill="FFFFFF"/>
        <w:jc w:val="both"/>
        <w:rPr>
          <w:color w:val="0070C0"/>
          <w:sz w:val="16"/>
          <w:szCs w:val="16"/>
        </w:rPr>
      </w:pPr>
    </w:p>
    <w:p w14:paraId="54B4FE2F" w14:textId="77777777" w:rsidR="001B55B1" w:rsidRPr="00E14102" w:rsidRDefault="001B55B1" w:rsidP="00E14102">
      <w:pPr>
        <w:jc w:val="both"/>
        <w:rPr>
          <w:color w:val="0070C0"/>
          <w:sz w:val="16"/>
          <w:szCs w:val="16"/>
        </w:rPr>
      </w:pPr>
      <w:r w:rsidRPr="00E14102">
        <w:rPr>
          <w:color w:val="0070C0"/>
          <w:sz w:val="16"/>
          <w:szCs w:val="16"/>
        </w:rPr>
        <w:t>27 сентября 1935 три устаревших бипланов, которые составляют всю исправную мощь эфиопской ВВС проводят воздушный парад в рамках военной процессии в Аддис - Абебе для императора Эфиопии, Хайле Селассие I, который пытается подготовить Эфиопию к войне с Италией (20800).</w:t>
      </w:r>
    </w:p>
    <w:p w14:paraId="3E882DB0" w14:textId="77777777" w:rsidR="001B55B1" w:rsidRPr="00E14102" w:rsidRDefault="001B55B1" w:rsidP="00E14102">
      <w:pPr>
        <w:jc w:val="both"/>
        <w:rPr>
          <w:color w:val="0070C0"/>
          <w:sz w:val="16"/>
          <w:szCs w:val="16"/>
        </w:rPr>
      </w:pPr>
    </w:p>
    <w:p w14:paraId="4150BA6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10B8E88" w14:textId="77777777" w:rsidR="00D4105E" w:rsidRPr="00E14102" w:rsidRDefault="00D4105E" w:rsidP="00E14102">
      <w:pPr>
        <w:autoSpaceDE w:val="0"/>
        <w:autoSpaceDN w:val="0"/>
        <w:adjustRightInd w:val="0"/>
        <w:jc w:val="both"/>
        <w:rPr>
          <w:iCs/>
          <w:color w:val="000000" w:themeColor="text1"/>
          <w:sz w:val="16"/>
          <w:szCs w:val="16"/>
        </w:rPr>
      </w:pPr>
    </w:p>
    <w:p w14:paraId="4367C9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сентября 1935 года вышло Постановление N С-129сс СТО Об артиллерийском самолете-корректировщике.</w:t>
      </w:r>
    </w:p>
    <w:p w14:paraId="7F99DD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4CD944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Обязать НКТП (ГУАП) спроектировать и построить на заводе N 1 опытный образец артиллерийского самолета-корректировщика к 1 мая 1936 года по прилагаемым при сем тактико-техническим требованиям (3503,1).</w:t>
      </w:r>
    </w:p>
    <w:p w14:paraId="461C63BB" w14:textId="77777777" w:rsidR="00D4105E" w:rsidRPr="00E14102" w:rsidRDefault="00D4105E" w:rsidP="00E14102">
      <w:pPr>
        <w:autoSpaceDE w:val="0"/>
        <w:autoSpaceDN w:val="0"/>
        <w:adjustRightInd w:val="0"/>
        <w:jc w:val="both"/>
        <w:rPr>
          <w:color w:val="000000" w:themeColor="text1"/>
          <w:sz w:val="16"/>
          <w:szCs w:val="16"/>
        </w:rPr>
      </w:pPr>
    </w:p>
    <w:p w14:paraId="4A2AC8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сентября 1935 вышло постановление СТО N С-129сс "Об артиллерийском самолете-корректировщике":</w:t>
      </w:r>
    </w:p>
    <w:p w14:paraId="666A73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Обязать НКТП (ГУАП) спроектировать и построить на заводе 1 опытный образец артиллерийского самолета-корректировщика к 1 мая 1936." В.М.М." (2161,21).</w:t>
      </w:r>
    </w:p>
    <w:p w14:paraId="1CDED691" w14:textId="77777777" w:rsidR="00D4105E" w:rsidRPr="00E14102" w:rsidRDefault="00D4105E" w:rsidP="00E14102">
      <w:pPr>
        <w:autoSpaceDE w:val="0"/>
        <w:autoSpaceDN w:val="0"/>
        <w:adjustRightInd w:val="0"/>
        <w:jc w:val="both"/>
        <w:rPr>
          <w:color w:val="000000" w:themeColor="text1"/>
          <w:sz w:val="16"/>
          <w:szCs w:val="16"/>
        </w:rPr>
      </w:pPr>
    </w:p>
    <w:p w14:paraId="2BDA27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сентября 1935 года вышло Постановление N С-129сс СТО Об артиллерийском самолете-корректировщике.</w:t>
      </w:r>
    </w:p>
    <w:p w14:paraId="6B3BAD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6B6BD8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Обязать НКТП (ГУАП) спроектировать и построить на заводе N 1 опытный образец артиллерийского самолета-корректировщика к 1 мая 1936 года по прилагаемым при сем тактико-техническим требованиям (3503,1).</w:t>
      </w:r>
    </w:p>
    <w:p w14:paraId="23620515" w14:textId="77777777" w:rsidR="00D4105E" w:rsidRPr="00E14102" w:rsidRDefault="00D4105E" w:rsidP="00E14102">
      <w:pPr>
        <w:autoSpaceDE w:val="0"/>
        <w:autoSpaceDN w:val="0"/>
        <w:adjustRightInd w:val="0"/>
        <w:jc w:val="both"/>
        <w:rPr>
          <w:color w:val="000000" w:themeColor="text1"/>
          <w:sz w:val="16"/>
          <w:szCs w:val="16"/>
        </w:rPr>
      </w:pPr>
    </w:p>
    <w:p w14:paraId="0269CE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сентября 1935 года постановление № С-129сс СТО</w:t>
      </w:r>
    </w:p>
    <w:p w14:paraId="303020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414CB98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НКТП (ГУАП) спроектировать и построить на заводе № 1 опытный образец артиллерийского самолета-корректировщика к 1 мая 1936 года ………………(7516, 147).</w:t>
      </w:r>
    </w:p>
    <w:p w14:paraId="3775407D"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2837BED9" w14:textId="77777777" w:rsidR="002F68CC" w:rsidRPr="00E14102" w:rsidRDefault="002F68CC" w:rsidP="00E14102">
      <w:pPr>
        <w:pStyle w:val="rtejustify"/>
        <w:spacing w:before="0" w:after="0"/>
        <w:rPr>
          <w:color w:val="000000" w:themeColor="text1"/>
          <w:sz w:val="16"/>
          <w:szCs w:val="16"/>
        </w:rPr>
      </w:pPr>
      <w:r w:rsidRPr="00E14102">
        <w:rPr>
          <w:rStyle w:val="a6"/>
          <w:bCs/>
          <w:i w:val="0"/>
          <w:color w:val="000000" w:themeColor="text1"/>
          <w:sz w:val="16"/>
          <w:szCs w:val="16"/>
        </w:rPr>
        <w:t>28 сентября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129сс «Об артиллерийском самолете-корректировщике». (ГА РФ. Ф. Р</w:t>
      </w:r>
      <w:r w:rsidRPr="00E14102">
        <w:rPr>
          <w:color w:val="000000" w:themeColor="text1"/>
          <w:sz w:val="16"/>
          <w:szCs w:val="16"/>
        </w:rPr>
        <w:noBreakHyphen/>
        <w:t>8418. Оп. 28. Д. 7. Л. 138</w:t>
      </w:r>
      <w:r w:rsidRPr="00E14102">
        <w:rPr>
          <w:color w:val="000000" w:themeColor="text1"/>
          <w:sz w:val="16"/>
          <w:szCs w:val="16"/>
        </w:rPr>
        <w:noBreakHyphen/>
        <w:t>174) (15460).</w:t>
      </w:r>
    </w:p>
    <w:p w14:paraId="7DA15096" w14:textId="77777777" w:rsidR="002F68CC" w:rsidRPr="00E14102" w:rsidRDefault="002F68CC" w:rsidP="00E14102">
      <w:pPr>
        <w:pStyle w:val="rtejustify"/>
        <w:spacing w:before="0" w:after="0"/>
        <w:rPr>
          <w:color w:val="000000" w:themeColor="text1"/>
          <w:sz w:val="16"/>
          <w:szCs w:val="16"/>
        </w:rPr>
      </w:pPr>
    </w:p>
    <w:p w14:paraId="309D8E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28 сентября по 4 ноября 1935 года проходили войсковые испытаниях самолета ЦКБ-12 с М-22 производства завода N 39 производились в/ч 1352 (3120,170-218).</w:t>
      </w:r>
    </w:p>
    <w:p w14:paraId="277CB960" w14:textId="77777777" w:rsidR="00D4105E" w:rsidRPr="00E14102" w:rsidRDefault="00D4105E" w:rsidP="00E14102">
      <w:pPr>
        <w:autoSpaceDE w:val="0"/>
        <w:autoSpaceDN w:val="0"/>
        <w:adjustRightInd w:val="0"/>
        <w:jc w:val="both"/>
        <w:rPr>
          <w:color w:val="000000" w:themeColor="text1"/>
          <w:sz w:val="16"/>
          <w:szCs w:val="16"/>
        </w:rPr>
      </w:pPr>
    </w:p>
    <w:p w14:paraId="76E05C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28 сентября по 13 ноября 1935 проходили гос. испытания АРК-Z, выпущенного в Иркутске А.И.Злоказовым (1076,630).</w:t>
      </w:r>
    </w:p>
    <w:p w14:paraId="18441003" w14:textId="77777777" w:rsidR="00D4105E" w:rsidRPr="00E14102" w:rsidRDefault="00D4105E" w:rsidP="00E14102">
      <w:pPr>
        <w:autoSpaceDE w:val="0"/>
        <w:autoSpaceDN w:val="0"/>
        <w:adjustRightInd w:val="0"/>
        <w:jc w:val="both"/>
        <w:rPr>
          <w:color w:val="000000" w:themeColor="text1"/>
          <w:sz w:val="16"/>
          <w:szCs w:val="16"/>
        </w:rPr>
      </w:pPr>
    </w:p>
    <w:p w14:paraId="06270D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сентября 1935 с письмом N 113/2951с был направлен Отчет об испытаниях радиаторов с красно-медными трубками СЕРК и серийных радиаторов с латунными трубками АНДРЕ на ТБ-3 4М-34Р N 22563 и ТБ-3 4М-34РН N 22632, которые проходили с 5 июля по 1 августа 1935 (2937).</w:t>
      </w:r>
    </w:p>
    <w:p w14:paraId="23490242" w14:textId="77777777" w:rsidR="00D4105E" w:rsidRPr="00E14102" w:rsidRDefault="00D4105E" w:rsidP="00E14102">
      <w:pPr>
        <w:autoSpaceDE w:val="0"/>
        <w:autoSpaceDN w:val="0"/>
        <w:adjustRightInd w:val="0"/>
        <w:jc w:val="both"/>
        <w:rPr>
          <w:color w:val="000000" w:themeColor="text1"/>
          <w:sz w:val="16"/>
          <w:szCs w:val="16"/>
        </w:rPr>
      </w:pPr>
    </w:p>
    <w:p w14:paraId="42E86BD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28 сентября 1935 года зам. наркома обороны Я. Гамарник писал письмо № 376307сс/о председателю СНК Молотову В.М.</w:t>
      </w:r>
    </w:p>
    <w:p w14:paraId="697D734A"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Направляю Вам доклад Алксниса с резолюцией на нем Ворошилова.</w:t>
      </w:r>
    </w:p>
    <w:p w14:paraId="0CBCBE78"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Прошу Вас рассмотреть этот вопрос (3475,146).</w:t>
      </w:r>
    </w:p>
    <w:p w14:paraId="3FE3BA3D"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1E6C9C4A" w14:textId="77777777" w:rsidR="00872260" w:rsidRPr="00E14102" w:rsidRDefault="00872260" w:rsidP="00E14102">
      <w:pPr>
        <w:pStyle w:val="61"/>
        <w:shd w:val="clear" w:color="auto" w:fill="auto"/>
        <w:spacing w:before="0" w:line="240" w:lineRule="auto"/>
        <w:rPr>
          <w:color w:val="000000" w:themeColor="text1"/>
          <w:sz w:val="16"/>
          <w:szCs w:val="16"/>
        </w:rPr>
      </w:pPr>
      <w:r w:rsidRPr="00E14102">
        <w:rPr>
          <w:rStyle w:val="65"/>
          <w:rFonts w:ascii="Times New Roman" w:hAnsi="Times New Roman" w:cs="Times New Roman"/>
          <w:iCs/>
          <w:color w:val="000000" w:themeColor="text1"/>
          <w:sz w:val="16"/>
          <w:szCs w:val="16"/>
        </w:rPr>
        <w:t>28 сентября 1935 г. из рапорта С.Г. Хорькова на имя на</w:t>
      </w:r>
      <w:r w:rsidRPr="00E14102">
        <w:rPr>
          <w:rStyle w:val="65"/>
          <w:rFonts w:ascii="Times New Roman" w:hAnsi="Times New Roman" w:cs="Times New Roman"/>
          <w:iCs/>
          <w:color w:val="000000" w:themeColor="text1"/>
          <w:sz w:val="16"/>
          <w:szCs w:val="16"/>
        </w:rPr>
        <w:softHyphen/>
        <w:t>чальника «Аэрофлота» И.Ф. Ткачева:</w:t>
      </w:r>
      <w:r w:rsidRPr="00E14102">
        <w:rPr>
          <w:color w:val="000000" w:themeColor="text1"/>
          <w:sz w:val="16"/>
          <w:szCs w:val="16"/>
        </w:rPr>
        <w:t xml:space="preserve"> «В н. вр. Нобиле не работает, находится в отпуске в Италии и длительно болеет. Ходатайствую о до</w:t>
      </w:r>
      <w:r w:rsidRPr="00E14102">
        <w:rPr>
          <w:color w:val="000000" w:themeColor="text1"/>
          <w:sz w:val="16"/>
          <w:szCs w:val="16"/>
        </w:rPr>
        <w:softHyphen/>
        <w:t>срочном расторжении с ним контракта, заканчивающегося в марте 1936 г.» (12732).</w:t>
      </w:r>
    </w:p>
    <w:p w14:paraId="47B48C76" w14:textId="77777777" w:rsidR="00872260" w:rsidRPr="00E14102" w:rsidRDefault="00872260" w:rsidP="00E14102">
      <w:pPr>
        <w:pStyle w:val="61"/>
        <w:shd w:val="clear" w:color="auto" w:fill="auto"/>
        <w:spacing w:before="0" w:line="240" w:lineRule="auto"/>
        <w:rPr>
          <w:color w:val="000000" w:themeColor="text1"/>
          <w:sz w:val="16"/>
          <w:szCs w:val="16"/>
        </w:rPr>
      </w:pPr>
    </w:p>
    <w:p w14:paraId="747D72F1" w14:textId="77777777" w:rsidR="002F68CC"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BAF6CDB" w14:textId="77777777" w:rsidR="002F68CC" w:rsidRPr="00E14102" w:rsidRDefault="002F68CC" w:rsidP="00E14102">
      <w:pPr>
        <w:autoSpaceDE w:val="0"/>
        <w:autoSpaceDN w:val="0"/>
        <w:adjustRightInd w:val="0"/>
        <w:jc w:val="both"/>
        <w:rPr>
          <w:iCs/>
          <w:color w:val="000000" w:themeColor="text1"/>
          <w:sz w:val="16"/>
          <w:szCs w:val="16"/>
        </w:rPr>
      </w:pPr>
    </w:p>
    <w:p w14:paraId="7C6EA308" w14:textId="77777777" w:rsidR="001B55B1" w:rsidRPr="00E14102" w:rsidRDefault="001B55B1" w:rsidP="00E14102">
      <w:pPr>
        <w:jc w:val="both"/>
        <w:rPr>
          <w:color w:val="0070C0"/>
          <w:sz w:val="16"/>
          <w:szCs w:val="16"/>
        </w:rPr>
      </w:pPr>
      <w:r w:rsidRPr="00E14102">
        <w:rPr>
          <w:color w:val="0070C0"/>
          <w:sz w:val="16"/>
          <w:szCs w:val="16"/>
        </w:rPr>
        <w:t>28 сентября 1935 г. состоялся пробег Моск</w:t>
      </w:r>
      <w:r w:rsidRPr="00E14102">
        <w:rPr>
          <w:color w:val="0070C0"/>
          <w:sz w:val="16"/>
          <w:szCs w:val="16"/>
        </w:rPr>
        <w:softHyphen/>
        <w:t>ва - Киев - Москва, организованный автомобильным советом «Автодора», к тором испытывалмись новые модели газогенераторных автомобилей.</w:t>
      </w:r>
    </w:p>
    <w:p w14:paraId="3B7152CE" w14:textId="77777777" w:rsidR="001B55B1" w:rsidRPr="00E14102" w:rsidRDefault="001B55B1" w:rsidP="00E14102">
      <w:pPr>
        <w:jc w:val="both"/>
        <w:rPr>
          <w:color w:val="0070C0"/>
          <w:sz w:val="16"/>
          <w:szCs w:val="16"/>
        </w:rPr>
      </w:pPr>
      <w:r w:rsidRPr="00E14102">
        <w:rPr>
          <w:color w:val="0070C0"/>
          <w:sz w:val="16"/>
          <w:szCs w:val="16"/>
        </w:rPr>
        <w:t>Активистами- автодоровцами, инжене</w:t>
      </w:r>
      <w:r w:rsidRPr="00E14102">
        <w:rPr>
          <w:color w:val="0070C0"/>
          <w:sz w:val="16"/>
          <w:szCs w:val="16"/>
        </w:rPr>
        <w:softHyphen/>
        <w:t>рами НАТИ А. Пельтцером и И. Мезиным в инициативном порядке спроектиро</w:t>
      </w:r>
      <w:r w:rsidRPr="00E14102">
        <w:rPr>
          <w:color w:val="0070C0"/>
          <w:sz w:val="16"/>
          <w:szCs w:val="16"/>
        </w:rPr>
        <w:softHyphen/>
        <w:t>ваны новые газогенера</w:t>
      </w:r>
      <w:r w:rsidRPr="00E14102">
        <w:rPr>
          <w:color w:val="0070C0"/>
          <w:sz w:val="16"/>
          <w:szCs w:val="16"/>
        </w:rPr>
        <w:softHyphen/>
        <w:t>торные установки. Они были построены и смонти</w:t>
      </w:r>
      <w:r w:rsidRPr="00E14102">
        <w:rPr>
          <w:color w:val="0070C0"/>
          <w:sz w:val="16"/>
          <w:szCs w:val="16"/>
        </w:rPr>
        <w:softHyphen/>
        <w:t>рованы на легковых авто</w:t>
      </w:r>
      <w:r w:rsidRPr="00E14102">
        <w:rPr>
          <w:color w:val="0070C0"/>
          <w:sz w:val="16"/>
          <w:szCs w:val="16"/>
        </w:rPr>
        <w:softHyphen/>
        <w:t>мобилях ГАЗ-А. В основу конструкций полож ена принципиальная схема конструкций установки «Автодор-Il».</w:t>
      </w:r>
    </w:p>
    <w:p w14:paraId="05828E11" w14:textId="77777777" w:rsidR="001B55B1" w:rsidRPr="00E14102" w:rsidRDefault="001B55B1" w:rsidP="00E14102">
      <w:pPr>
        <w:jc w:val="both"/>
        <w:rPr>
          <w:color w:val="0070C0"/>
          <w:sz w:val="16"/>
          <w:szCs w:val="16"/>
        </w:rPr>
      </w:pPr>
      <w:r w:rsidRPr="00E14102">
        <w:rPr>
          <w:color w:val="0070C0"/>
          <w:sz w:val="16"/>
          <w:szCs w:val="16"/>
        </w:rPr>
        <w:lastRenderedPageBreak/>
        <w:t>Эксплуатационные качества машин следующие: максимальная скорость - 60-70 км/час; радиус дейст</w:t>
      </w:r>
      <w:r w:rsidRPr="00E14102">
        <w:rPr>
          <w:color w:val="0070C0"/>
          <w:sz w:val="16"/>
          <w:szCs w:val="16"/>
        </w:rPr>
        <w:softHyphen/>
        <w:t>вия на одной загрузке топлива (60 кг древесных чурок) - около 150 км; расход топлива - 300-350 г на 1 км.</w:t>
      </w:r>
    </w:p>
    <w:p w14:paraId="7C90E4DC" w14:textId="77777777" w:rsidR="001B55B1" w:rsidRPr="00E14102" w:rsidRDefault="001B55B1" w:rsidP="00E14102">
      <w:pPr>
        <w:jc w:val="both"/>
        <w:rPr>
          <w:color w:val="0070C0"/>
          <w:sz w:val="16"/>
          <w:szCs w:val="16"/>
        </w:rPr>
      </w:pPr>
      <w:r w:rsidRPr="00E14102">
        <w:rPr>
          <w:color w:val="0070C0"/>
          <w:sz w:val="16"/>
          <w:szCs w:val="16"/>
        </w:rPr>
        <w:t>Весь путь от Москвы до Киева (900 с лишним кило</w:t>
      </w:r>
      <w:r w:rsidRPr="00E14102">
        <w:rPr>
          <w:color w:val="0070C0"/>
          <w:sz w:val="16"/>
          <w:szCs w:val="16"/>
        </w:rPr>
        <w:softHyphen/>
        <w:t>метров) машина с установкой Пельцера прошла за 19 ходовых часов, показав среднюю техническую скорость 45,6 км/ч. Машина с установкой Мезина про</w:t>
      </w:r>
      <w:r w:rsidRPr="00E14102">
        <w:rPr>
          <w:color w:val="0070C0"/>
          <w:sz w:val="16"/>
          <w:szCs w:val="16"/>
        </w:rPr>
        <w:softHyphen/>
        <w:t>шла этот путь за 20,5 ходовых часа со средней техни</w:t>
      </w:r>
      <w:r w:rsidRPr="00E14102">
        <w:rPr>
          <w:color w:val="0070C0"/>
          <w:sz w:val="16"/>
          <w:szCs w:val="16"/>
        </w:rPr>
        <w:softHyphen/>
        <w:t>ческой скоростью 42,5 км/ч.</w:t>
      </w:r>
    </w:p>
    <w:p w14:paraId="5DA8BF16" w14:textId="77777777" w:rsidR="001B55B1" w:rsidRPr="00E14102" w:rsidRDefault="001B55B1" w:rsidP="00E14102">
      <w:pPr>
        <w:jc w:val="both"/>
        <w:rPr>
          <w:color w:val="0070C0"/>
          <w:sz w:val="16"/>
          <w:szCs w:val="16"/>
        </w:rPr>
      </w:pPr>
      <w:r w:rsidRPr="00E14102">
        <w:rPr>
          <w:color w:val="0070C0"/>
          <w:sz w:val="16"/>
          <w:szCs w:val="16"/>
        </w:rPr>
        <w:t>В пути установка Пельтцера израсходовала 242,5 кг древесных чурок или 287 г на 1 км пробега. Установка Мезина израсходовала 280 кг или 322 г на1 км пробега. Обратный путь из Киева в Москву маши</w:t>
      </w:r>
      <w:r w:rsidRPr="00E14102">
        <w:rPr>
          <w:color w:val="0070C0"/>
          <w:sz w:val="16"/>
          <w:szCs w:val="16"/>
        </w:rPr>
        <w:softHyphen/>
        <w:t>ны шли без ограничения скорости. Финиш был в г. По</w:t>
      </w:r>
      <w:r w:rsidRPr="00E14102">
        <w:rPr>
          <w:color w:val="0070C0"/>
          <w:sz w:val="16"/>
          <w:szCs w:val="16"/>
        </w:rPr>
        <w:softHyphen/>
        <w:t>дольске. Весь путь от Киева до Подольска машина с установкой Пельцера прошла за 17 ходовых часов со средней технической скоростью 51,2 км/ч и расходо</w:t>
      </w:r>
      <w:r w:rsidRPr="00E14102">
        <w:rPr>
          <w:color w:val="0070C0"/>
          <w:sz w:val="16"/>
          <w:szCs w:val="16"/>
        </w:rPr>
        <w:softHyphen/>
        <w:t>вала 311 г топлива на 1 км пробега. Машина с установ</w:t>
      </w:r>
      <w:r w:rsidRPr="00E14102">
        <w:rPr>
          <w:color w:val="0070C0"/>
          <w:sz w:val="16"/>
          <w:szCs w:val="16"/>
        </w:rPr>
        <w:softHyphen/>
        <w:t>кой Мезина прошла путь за 19 ходовых часов со сред-</w:t>
      </w:r>
    </w:p>
    <w:p w14:paraId="2DB78FE0" w14:textId="77777777" w:rsidR="001B55B1" w:rsidRPr="00E14102" w:rsidRDefault="001B55B1" w:rsidP="00E14102">
      <w:pPr>
        <w:jc w:val="both"/>
        <w:rPr>
          <w:color w:val="0070C0"/>
          <w:sz w:val="16"/>
          <w:szCs w:val="16"/>
        </w:rPr>
      </w:pPr>
      <w:r w:rsidRPr="00E14102">
        <w:rPr>
          <w:color w:val="0070C0"/>
          <w:sz w:val="16"/>
          <w:szCs w:val="16"/>
        </w:rPr>
        <w:t>ней скоростью 46,1 км/ч и расходовала 324 г топлива на 1 км пробега.</w:t>
      </w:r>
    </w:p>
    <w:p w14:paraId="761758E4" w14:textId="77777777" w:rsidR="001B55B1" w:rsidRPr="00E14102" w:rsidRDefault="001B55B1" w:rsidP="00E14102">
      <w:pPr>
        <w:jc w:val="both"/>
        <w:rPr>
          <w:color w:val="0070C0"/>
          <w:sz w:val="16"/>
          <w:szCs w:val="16"/>
        </w:rPr>
      </w:pPr>
      <w:r w:rsidRPr="00E14102">
        <w:rPr>
          <w:color w:val="0070C0"/>
          <w:sz w:val="16"/>
          <w:szCs w:val="16"/>
        </w:rPr>
        <w:t>По результатам успешной работы установок было решено оборудовать ими несколько опытных таксомоторов в Киеве. В 1935 г. под руководством Мезина началось проектирование, а затем построй</w:t>
      </w:r>
      <w:r w:rsidRPr="00E14102">
        <w:rPr>
          <w:color w:val="0070C0"/>
          <w:sz w:val="16"/>
          <w:szCs w:val="16"/>
        </w:rPr>
        <w:softHyphen/>
        <w:t>ка на опытном заводе HATH пяти опытных газогене</w:t>
      </w:r>
      <w:r w:rsidRPr="00E14102">
        <w:rPr>
          <w:color w:val="0070C0"/>
          <w:sz w:val="16"/>
          <w:szCs w:val="16"/>
        </w:rPr>
        <w:softHyphen/>
        <w:t>раторных установок для легковых машин.</w:t>
      </w:r>
    </w:p>
    <w:p w14:paraId="78BA1ED5" w14:textId="77777777" w:rsidR="001B55B1" w:rsidRPr="00E14102" w:rsidRDefault="001B55B1" w:rsidP="00E14102">
      <w:pPr>
        <w:jc w:val="both"/>
        <w:rPr>
          <w:color w:val="0070C0"/>
          <w:sz w:val="16"/>
          <w:szCs w:val="16"/>
        </w:rPr>
      </w:pPr>
      <w:r w:rsidRPr="00E14102">
        <w:rPr>
          <w:color w:val="0070C0"/>
          <w:sz w:val="16"/>
          <w:szCs w:val="16"/>
        </w:rPr>
        <w:t>Также энтузиастами был изготовлен газоге</w:t>
      </w:r>
      <w:r w:rsidRPr="00E14102">
        <w:rPr>
          <w:color w:val="0070C0"/>
          <w:sz w:val="16"/>
          <w:szCs w:val="16"/>
        </w:rPr>
        <w:softHyphen/>
        <w:t>нераторный мотоцикл (22518).</w:t>
      </w:r>
    </w:p>
    <w:p w14:paraId="173DC2E6" w14:textId="77777777" w:rsidR="001B55B1" w:rsidRPr="00E14102" w:rsidRDefault="001B55B1" w:rsidP="00E14102">
      <w:pPr>
        <w:jc w:val="both"/>
        <w:rPr>
          <w:color w:val="0070C0"/>
          <w:sz w:val="16"/>
          <w:szCs w:val="16"/>
        </w:rPr>
      </w:pPr>
    </w:p>
    <w:p w14:paraId="63EFD736" w14:textId="77777777" w:rsidR="002F68CC" w:rsidRPr="00E14102" w:rsidRDefault="002F68CC" w:rsidP="00E14102">
      <w:pPr>
        <w:pStyle w:val="rtejustify"/>
        <w:spacing w:before="0" w:after="0"/>
        <w:rPr>
          <w:color w:val="000000" w:themeColor="text1"/>
          <w:sz w:val="16"/>
          <w:szCs w:val="16"/>
        </w:rPr>
      </w:pPr>
      <w:r w:rsidRPr="00E14102">
        <w:rPr>
          <w:rStyle w:val="a6"/>
          <w:bCs/>
          <w:i w:val="0"/>
          <w:color w:val="000000" w:themeColor="text1"/>
          <w:sz w:val="16"/>
          <w:szCs w:val="16"/>
        </w:rPr>
        <w:t>28 сентября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128сс «О финансировании беспроектного строительства Ново-Тульского патронного завода». ГА РФ. (Ф. Р</w:t>
      </w:r>
      <w:r w:rsidRPr="00E14102">
        <w:rPr>
          <w:color w:val="000000" w:themeColor="text1"/>
          <w:sz w:val="16"/>
          <w:szCs w:val="16"/>
        </w:rPr>
        <w:noBreakHyphen/>
        <w:t>8418. Оп. 28. Д. 7. Л. 136) (15460).</w:t>
      </w:r>
    </w:p>
    <w:p w14:paraId="032021AA" w14:textId="77777777" w:rsidR="002F68CC" w:rsidRPr="00E14102" w:rsidRDefault="002F68CC" w:rsidP="00E14102">
      <w:pPr>
        <w:pStyle w:val="rtejustify"/>
        <w:spacing w:before="0" w:after="0"/>
        <w:rPr>
          <w:color w:val="000000" w:themeColor="text1"/>
          <w:sz w:val="16"/>
          <w:szCs w:val="16"/>
        </w:rPr>
      </w:pPr>
    </w:p>
    <w:p w14:paraId="02B83195" w14:textId="77777777" w:rsidR="002F68CC" w:rsidRPr="00E14102" w:rsidRDefault="002F68CC" w:rsidP="00E14102">
      <w:pPr>
        <w:pStyle w:val="rtejustify"/>
        <w:spacing w:before="0" w:after="0"/>
        <w:rPr>
          <w:color w:val="000000" w:themeColor="text1"/>
          <w:sz w:val="16"/>
          <w:szCs w:val="16"/>
        </w:rPr>
      </w:pPr>
      <w:r w:rsidRPr="00E14102">
        <w:rPr>
          <w:rStyle w:val="a6"/>
          <w:bCs/>
          <w:i w:val="0"/>
          <w:color w:val="000000" w:themeColor="text1"/>
          <w:sz w:val="16"/>
          <w:szCs w:val="16"/>
        </w:rPr>
        <w:t>28 сентября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127сс «О закупке парусомоторной шхуны для РККА». (ГА РФ. Ф. Р</w:t>
      </w:r>
      <w:r w:rsidRPr="00E14102">
        <w:rPr>
          <w:color w:val="000000" w:themeColor="text1"/>
          <w:sz w:val="16"/>
          <w:szCs w:val="16"/>
        </w:rPr>
        <w:noBreakHyphen/>
        <w:t>8418. Оп. 28. Д. 7. Л. 135) (15460).</w:t>
      </w:r>
    </w:p>
    <w:p w14:paraId="6F52C4CB" w14:textId="77777777" w:rsidR="002F68CC" w:rsidRPr="00E14102" w:rsidRDefault="002F68CC" w:rsidP="00E14102">
      <w:pPr>
        <w:pStyle w:val="rtejustify"/>
        <w:spacing w:before="0" w:after="0"/>
        <w:rPr>
          <w:color w:val="000000" w:themeColor="text1"/>
          <w:sz w:val="16"/>
          <w:szCs w:val="16"/>
        </w:rPr>
      </w:pPr>
    </w:p>
    <w:p w14:paraId="5554A24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AE1ED16" w14:textId="77777777" w:rsidR="00D4105E" w:rsidRPr="00E14102" w:rsidRDefault="00D4105E" w:rsidP="00E14102">
      <w:pPr>
        <w:autoSpaceDE w:val="0"/>
        <w:autoSpaceDN w:val="0"/>
        <w:adjustRightInd w:val="0"/>
        <w:jc w:val="both"/>
        <w:rPr>
          <w:iCs/>
          <w:color w:val="000000" w:themeColor="text1"/>
          <w:sz w:val="16"/>
          <w:szCs w:val="16"/>
        </w:rPr>
      </w:pPr>
    </w:p>
    <w:p w14:paraId="38512B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сентября 1935 состоялся объединенный пленум Московских обкома и горкома партии с участием актива строителей канала, в его работе приняли участие Каганович, Ягода, Хрущев, нарком пищевой промышленности СССР Микоян и другие. С докладами “Канал Москва-Волга - важнейшая часть реконструкции Москвы” и “Родной брат метро” выступили начальники МВС и Дмитлага Коган и Фирин (7560).</w:t>
      </w:r>
    </w:p>
    <w:p w14:paraId="1CFBC48C" w14:textId="77777777" w:rsidR="00D4105E" w:rsidRPr="00E14102" w:rsidRDefault="00D4105E" w:rsidP="00E14102">
      <w:pPr>
        <w:autoSpaceDE w:val="0"/>
        <w:autoSpaceDN w:val="0"/>
        <w:adjustRightInd w:val="0"/>
        <w:jc w:val="both"/>
        <w:rPr>
          <w:color w:val="000000" w:themeColor="text1"/>
          <w:sz w:val="16"/>
          <w:szCs w:val="16"/>
        </w:rPr>
      </w:pPr>
    </w:p>
    <w:p w14:paraId="01B0016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833B93E" w14:textId="77777777" w:rsidR="00D4105E" w:rsidRPr="00E14102" w:rsidRDefault="00D4105E" w:rsidP="00E14102">
      <w:pPr>
        <w:autoSpaceDE w:val="0"/>
        <w:autoSpaceDN w:val="0"/>
        <w:adjustRightInd w:val="0"/>
        <w:jc w:val="both"/>
        <w:rPr>
          <w:iCs/>
          <w:color w:val="000000" w:themeColor="text1"/>
          <w:sz w:val="16"/>
          <w:szCs w:val="16"/>
        </w:rPr>
      </w:pPr>
    </w:p>
    <w:p w14:paraId="535669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сентября 1935 было подписано Заключение комиссии по гос. испытаниям объекта Г-52.</w:t>
      </w:r>
    </w:p>
    <w:p w14:paraId="3507F2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Предъявленный на гос. испытания самолет ТБ-3 4М-17, вооруженный двумя 76 мм пушками обр. 1927 и одной 76 мм пушкой обр. 1931 - гос. испытания выдержал.</w:t>
      </w:r>
    </w:p>
    <w:p w14:paraId="0CEC4B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Для проведения войсковых испытаний необходимо заказать серию самолетов ТБ-3 М-34Р в этом же варианте вооружения с устранением недочетов, выявленных при испытании и с учетом особенностей данных самолетов.</w:t>
      </w:r>
    </w:p>
    <w:p w14:paraId="601319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Комиссия считает, что испытания подтвердили абсолютную безопасность действия энергии отдачи на режим полета самолета, как при одиночной стрельбе, так и при стрельбе залпами из орудий полевого типа ( с энергией отдачи до 2225 кг при начальной скорости 820 м/с и весе снаряда 6.5 кг)." (2186,10).</w:t>
      </w:r>
    </w:p>
    <w:p w14:paraId="57BBB0FE" w14:textId="77777777" w:rsidR="00D4105E" w:rsidRPr="00E14102" w:rsidRDefault="00D4105E" w:rsidP="00E14102">
      <w:pPr>
        <w:autoSpaceDE w:val="0"/>
        <w:autoSpaceDN w:val="0"/>
        <w:adjustRightInd w:val="0"/>
        <w:jc w:val="both"/>
        <w:rPr>
          <w:color w:val="000000" w:themeColor="text1"/>
          <w:sz w:val="16"/>
          <w:szCs w:val="16"/>
        </w:rPr>
      </w:pPr>
    </w:p>
    <w:p w14:paraId="5681E1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сентября 1935 года зам. начальника управления Снегов писал письмо N 1004сс зам. начальника УВС Хрипину.</w:t>
      </w:r>
    </w:p>
    <w:p w14:paraId="4FC16E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доклада зам. наркома Гамарник, прошу Вашего заключения по письму начальника конструкторской бригады N 3 завода N 39 С.В.И. - о конструировании одноместного скоростного истребителя с мотором М-34.</w:t>
      </w:r>
    </w:p>
    <w:p w14:paraId="4AC7D1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Копия письма послана Вам С.В.И. 29.XI за N 01сс. (2484,84).</w:t>
      </w:r>
    </w:p>
    <w:p w14:paraId="6EB86B0D" w14:textId="77777777" w:rsidR="00D4105E" w:rsidRPr="00E14102" w:rsidRDefault="00D4105E" w:rsidP="00E14102">
      <w:pPr>
        <w:autoSpaceDE w:val="0"/>
        <w:autoSpaceDN w:val="0"/>
        <w:adjustRightInd w:val="0"/>
        <w:jc w:val="both"/>
        <w:rPr>
          <w:color w:val="000000" w:themeColor="text1"/>
          <w:sz w:val="16"/>
          <w:szCs w:val="16"/>
        </w:rPr>
      </w:pPr>
    </w:p>
    <w:p w14:paraId="33EFB26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D9B195E" w14:textId="77777777" w:rsidR="00D4105E" w:rsidRPr="00E14102" w:rsidRDefault="00D4105E" w:rsidP="00E14102">
      <w:pPr>
        <w:autoSpaceDE w:val="0"/>
        <w:autoSpaceDN w:val="0"/>
        <w:adjustRightInd w:val="0"/>
        <w:jc w:val="both"/>
        <w:rPr>
          <w:iCs/>
          <w:color w:val="000000" w:themeColor="text1"/>
          <w:sz w:val="16"/>
          <w:szCs w:val="16"/>
        </w:rPr>
      </w:pPr>
    </w:p>
    <w:p w14:paraId="1228F4BB" w14:textId="77777777" w:rsidR="002F68CC" w:rsidRPr="00E14102" w:rsidRDefault="002F68CC" w:rsidP="00E14102">
      <w:pPr>
        <w:pStyle w:val="rtejustify"/>
        <w:spacing w:before="0" w:after="0"/>
        <w:rPr>
          <w:color w:val="000000" w:themeColor="text1"/>
          <w:sz w:val="16"/>
          <w:szCs w:val="16"/>
        </w:rPr>
      </w:pPr>
      <w:r w:rsidRPr="00E14102">
        <w:rPr>
          <w:rStyle w:val="a6"/>
          <w:bCs/>
          <w:i w:val="0"/>
          <w:color w:val="000000" w:themeColor="text1"/>
          <w:sz w:val="16"/>
          <w:szCs w:val="16"/>
        </w:rPr>
        <w:t>29 сентября</w:t>
      </w:r>
      <w:r w:rsidRPr="00E14102">
        <w:rPr>
          <w:color w:val="000000" w:themeColor="text1"/>
          <w:sz w:val="16"/>
          <w:szCs w:val="16"/>
        </w:rPr>
        <w:t>1935 Решение Политбюро № 33. 76. Вопрос КО (ПБ от 9 сентября 1935 г.). — ОП. 97. О расширенном заседании авиасовета ЦС Осоавиахима (ПБ от 10 сентября 1935 г.). 105. О заказах в Италии (ПБ от 10 сентября 1935 г.). — ОП. 175. Вопрос КО (ПБ от 17 сентября 1935 г.). — ОП. 177. О размещении заказов по чехословацкому кредиту (ПБ от 17 сентября 1935 г.). — ОП. 188. О германском кредите (ПБ от 19 сентября 1935 г.). 205. О строительстве гидролизных заводов (ПБ от 19 октября 1934 г., пр. № 15, п. 262), (ПБ от 20 сентября 1935 г.). 231. Вопрос НКО (ПБ от 21 сентября 1935 г.). — ОП. 309. Вопрос НКО (ПБ от 27 сентября 1935 г.). — ОП. 327. О морском судостроении на 1936 г. (ПБ от 27 сентября 1935 г.). 362. О дополнительных затратах на капитальное строительство по заводам синтетического каучука за счет сверхплановых накоплений в 1935 г. (ПБ от 29 сентября 1935 г.). (Политбюро ЦК РКП(б)-ВКП(Б). Повестки дня заседаний. 1919</w:t>
      </w:r>
      <w:r w:rsidRPr="00E14102">
        <w:rPr>
          <w:color w:val="000000" w:themeColor="text1"/>
          <w:sz w:val="16"/>
          <w:szCs w:val="16"/>
        </w:rPr>
        <w:noBreakHyphen/>
        <w:t>1952: Каталог / Т. 2. С. 694, 695, 697, 698, 699, 701, 702, 703; РГАСПИ. Ф. 17. Оп. 162. Д. 18. Л. 139, 145, 146, 153, 155, 158</w:t>
      </w:r>
      <w:r w:rsidRPr="00E14102">
        <w:rPr>
          <w:color w:val="000000" w:themeColor="text1"/>
          <w:sz w:val="16"/>
          <w:szCs w:val="16"/>
        </w:rPr>
        <w:noBreakHyphen/>
        <w:t>169) (15462).</w:t>
      </w:r>
    </w:p>
    <w:p w14:paraId="48416BA5" w14:textId="77777777" w:rsidR="002F68CC" w:rsidRPr="00E14102" w:rsidRDefault="002F68CC" w:rsidP="00E14102">
      <w:pPr>
        <w:pStyle w:val="rtejustify"/>
        <w:spacing w:before="0" w:after="0"/>
        <w:rPr>
          <w:color w:val="000000" w:themeColor="text1"/>
          <w:sz w:val="16"/>
          <w:szCs w:val="16"/>
        </w:rPr>
      </w:pPr>
    </w:p>
    <w:p w14:paraId="10CB7E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сентября 1935 в 14:00 два танка - БТ-5 (к Маньковский и м-в Новиков и Фомин) и Т-26 на понтонах конструкции А.Ф.Кравцова пересекли Амурский залив при скорости ветра 3.5 баллы пересекли за 4 часа, преодолев 14 км (3880,26).</w:t>
      </w:r>
    </w:p>
    <w:p w14:paraId="69B7008A" w14:textId="77777777" w:rsidR="00D4105E" w:rsidRPr="00E14102" w:rsidRDefault="00D4105E" w:rsidP="00E14102">
      <w:pPr>
        <w:autoSpaceDE w:val="0"/>
        <w:autoSpaceDN w:val="0"/>
        <w:adjustRightInd w:val="0"/>
        <w:jc w:val="both"/>
        <w:rPr>
          <w:color w:val="000000" w:themeColor="text1"/>
          <w:sz w:val="16"/>
          <w:szCs w:val="16"/>
        </w:rPr>
      </w:pPr>
    </w:p>
    <w:p w14:paraId="2C9C9D2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F46A888" w14:textId="77777777" w:rsidR="00D4105E" w:rsidRPr="00E14102" w:rsidRDefault="00D4105E" w:rsidP="00E14102">
      <w:pPr>
        <w:autoSpaceDE w:val="0"/>
        <w:autoSpaceDN w:val="0"/>
        <w:adjustRightInd w:val="0"/>
        <w:jc w:val="both"/>
        <w:rPr>
          <w:iCs/>
          <w:color w:val="000000" w:themeColor="text1"/>
          <w:sz w:val="16"/>
          <w:szCs w:val="16"/>
        </w:rPr>
      </w:pPr>
    </w:p>
    <w:p w14:paraId="24BC33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сентября 1935 в городах была упразднена потребкооперация и оставлены только государственные магазины (3908,348).</w:t>
      </w:r>
    </w:p>
    <w:p w14:paraId="630E14D8" w14:textId="77777777" w:rsidR="00D4105E" w:rsidRPr="00E14102" w:rsidRDefault="00D4105E" w:rsidP="00E14102">
      <w:pPr>
        <w:autoSpaceDE w:val="0"/>
        <w:autoSpaceDN w:val="0"/>
        <w:adjustRightInd w:val="0"/>
        <w:jc w:val="both"/>
        <w:rPr>
          <w:color w:val="000000" w:themeColor="text1"/>
          <w:sz w:val="16"/>
          <w:szCs w:val="16"/>
        </w:rPr>
      </w:pPr>
    </w:p>
    <w:p w14:paraId="2E429569" w14:textId="77777777" w:rsidR="006E270E" w:rsidRPr="00E14102" w:rsidRDefault="006E270E" w:rsidP="00E14102">
      <w:pPr>
        <w:jc w:val="both"/>
        <w:rPr>
          <w:color w:val="000000" w:themeColor="text1"/>
          <w:sz w:val="16"/>
          <w:szCs w:val="16"/>
        </w:rPr>
      </w:pPr>
      <w:r w:rsidRPr="00E14102">
        <w:rPr>
          <w:color w:val="000000" w:themeColor="text1"/>
          <w:sz w:val="16"/>
          <w:szCs w:val="16"/>
        </w:rPr>
        <w:t>29 сентября 1935. Упразднение в городах потребительской кооперации, торговля стала производиться только через государственные магазины (18720).</w:t>
      </w:r>
    </w:p>
    <w:p w14:paraId="4B6AA90C" w14:textId="77777777" w:rsidR="006E270E" w:rsidRPr="00E14102" w:rsidRDefault="006E270E" w:rsidP="00E14102">
      <w:pPr>
        <w:jc w:val="both"/>
        <w:rPr>
          <w:color w:val="000000" w:themeColor="text1"/>
          <w:sz w:val="16"/>
          <w:szCs w:val="16"/>
        </w:rPr>
      </w:pPr>
    </w:p>
    <w:p w14:paraId="55E40B4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8915512" w14:textId="77777777" w:rsidR="00D4105E" w:rsidRPr="00E14102" w:rsidRDefault="00D4105E" w:rsidP="00E14102">
      <w:pPr>
        <w:autoSpaceDE w:val="0"/>
        <w:autoSpaceDN w:val="0"/>
        <w:adjustRightInd w:val="0"/>
        <w:jc w:val="both"/>
        <w:rPr>
          <w:iCs/>
          <w:color w:val="000000" w:themeColor="text1"/>
          <w:sz w:val="16"/>
          <w:szCs w:val="16"/>
        </w:rPr>
      </w:pPr>
    </w:p>
    <w:p w14:paraId="6A7968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сентября 1935 АНИТО-1 Н.Г.Нурова и С.А.Элибекяна победил в конкурсе АВИАВНИТО из 10 самолетов (438,674).</w:t>
      </w:r>
    </w:p>
    <w:p w14:paraId="4EB69BCC" w14:textId="77777777" w:rsidR="00D4105E" w:rsidRPr="00E14102" w:rsidRDefault="00D4105E" w:rsidP="00E14102">
      <w:pPr>
        <w:autoSpaceDE w:val="0"/>
        <w:autoSpaceDN w:val="0"/>
        <w:adjustRightInd w:val="0"/>
        <w:jc w:val="both"/>
        <w:rPr>
          <w:color w:val="000000" w:themeColor="text1"/>
          <w:sz w:val="16"/>
          <w:szCs w:val="16"/>
        </w:rPr>
      </w:pPr>
    </w:p>
    <w:p w14:paraId="4E83CFB4" w14:textId="77777777" w:rsidR="00647F1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1C40A21" w14:textId="77777777" w:rsidR="00647F1E" w:rsidRPr="00E14102" w:rsidRDefault="00647F1E" w:rsidP="00E14102">
      <w:pPr>
        <w:autoSpaceDE w:val="0"/>
        <w:autoSpaceDN w:val="0"/>
        <w:adjustRightInd w:val="0"/>
        <w:jc w:val="both"/>
        <w:rPr>
          <w:iCs/>
          <w:color w:val="000000" w:themeColor="text1"/>
          <w:sz w:val="16"/>
          <w:szCs w:val="16"/>
        </w:rPr>
      </w:pPr>
    </w:p>
    <w:p w14:paraId="48C55061" w14:textId="281C05A8" w:rsidR="00647F1E" w:rsidRPr="00E14102" w:rsidRDefault="00647F1E" w:rsidP="00E14102">
      <w:pPr>
        <w:jc w:val="both"/>
        <w:rPr>
          <w:color w:val="000000" w:themeColor="text1"/>
          <w:sz w:val="16"/>
          <w:szCs w:val="16"/>
        </w:rPr>
      </w:pPr>
      <w:r w:rsidRPr="00E14102">
        <w:rPr>
          <w:color w:val="000000" w:themeColor="text1"/>
          <w:sz w:val="16"/>
          <w:szCs w:val="16"/>
        </w:rPr>
        <w:t>30 сентября 1935 г. Перевод с англ.</w:t>
      </w:r>
      <w:r w:rsidR="001B55B1" w:rsidRPr="00E14102">
        <w:rPr>
          <w:color w:val="000000" w:themeColor="text1"/>
          <w:sz w:val="16"/>
          <w:szCs w:val="16"/>
        </w:rPr>
        <w:t xml:space="preserve"> </w:t>
      </w:r>
      <w:r w:rsidRPr="00E14102">
        <w:rPr>
          <w:color w:val="000000" w:themeColor="text1"/>
          <w:sz w:val="16"/>
          <w:szCs w:val="16"/>
        </w:rPr>
        <w:t xml:space="preserve">Докладная записка председателя Амторга И.В. Боева в Наркомвнешторг СССР о соглашении с американской корпорацией "Радио Корпорэйшн" по организации технической помощи советской радиопромышленности </w:t>
      </w:r>
    </w:p>
    <w:p w14:paraId="54A98283" w14:textId="77777777" w:rsidR="00647F1E" w:rsidRPr="00E14102" w:rsidRDefault="00647F1E" w:rsidP="00E14102">
      <w:pPr>
        <w:jc w:val="both"/>
        <w:rPr>
          <w:color w:val="000000" w:themeColor="text1"/>
          <w:sz w:val="16"/>
          <w:szCs w:val="16"/>
        </w:rPr>
      </w:pPr>
      <w:r w:rsidRPr="00E14102">
        <w:rPr>
          <w:color w:val="000000" w:themeColor="text1"/>
          <w:sz w:val="16"/>
          <w:szCs w:val="16"/>
        </w:rPr>
        <w:t>В связи с переговорами между мной и г-ном Сарновым касательно технической и производственной помощи американской "Радио Корпорэйшн" и ее вспомогательных отделений радиопромышленности СССР излагаем основные условия, на которых мы готовы заключить соглашение47.</w:t>
      </w:r>
    </w:p>
    <w:p w14:paraId="0600BD4D"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1. Соглашение включит все поле деятельности американской радиокомпании и вспомогательных отделений, как производственной, так и экспериментальной (следует перечисление услуг). </w:t>
      </w:r>
    </w:p>
    <w:p w14:paraId="656AE10D"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2. Американская радиокомпания предоставит советской радиопромышленности свой опыт, чертежи своих инженеров и механиков, допустит советских инженеров на заводы, лаборатории американской радиокомпании. </w:t>
      </w:r>
    </w:p>
    <w:p w14:paraId="5048A4C3"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Со своей стороны, советские организации должны дать инженерам американской радиокомпании полную возможность познакомиться с работой в СССР в объеме, согласованном в договоре. </w:t>
      </w:r>
    </w:p>
    <w:p w14:paraId="0DE59C0B"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3. Передача информации подчиняется законам и постановлениям каждой из стран, особенно в делах военных и морских. Ни одна из сторон не будет предоставлять информации, касающейся третьей страны, если, согласно письменному соглашению с этой стороной, эта информация должна остаться секретной. </w:t>
      </w:r>
    </w:p>
    <w:p w14:paraId="3CA0053F"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4. За этими исключениями и в связи с разрешениями, раньше выданными некоторым компаниям (перечисляются), американская радиокомпания предоставляет советскому радио исключительную лицензию, с ограниченным правом передачи другим. Советское радио предоставляет американской радиокомпании и подсобным станциям ограниченные лицензии согласно окончательному соглашению. </w:t>
      </w:r>
    </w:p>
    <w:p w14:paraId="61F62504"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Вопрос о вывозе из СССР в другие страны приспособлений и оборудования, изготовленных в СССР по советским патентам [для] американской радиокомпании, будет рассмотрен в связи с окончательным соглашением. </w:t>
      </w:r>
    </w:p>
    <w:p w14:paraId="3AF6F035"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5. Учитывая передачу нам информации, чертежей, описаний и т.д. в пяти экземплярах и всякие другие услуги, оказанные нам сотрудниками американской радиокомпании и ее подсобными организациями, изготовление и передачу данных, согласно § 2, а также патентов и прав, предоставляемых нам согласно § 4, мы вам уплатим в течение действия соглашения компенсацию в размере 2,9 млн долл. (следует подробности платежей и сдачи материалов, оплаты инженеров и т.д.). </w:t>
      </w:r>
    </w:p>
    <w:p w14:paraId="2E69EE5B"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 В тексте, видимо, ошибочно - представлять. </w:t>
      </w:r>
    </w:p>
    <w:p w14:paraId="30E9EF61" w14:textId="77777777" w:rsidR="00647F1E" w:rsidRPr="00E14102" w:rsidRDefault="00647F1E" w:rsidP="00E14102">
      <w:pPr>
        <w:jc w:val="both"/>
        <w:rPr>
          <w:color w:val="000000" w:themeColor="text1"/>
          <w:sz w:val="16"/>
          <w:szCs w:val="16"/>
        </w:rPr>
      </w:pPr>
      <w:r w:rsidRPr="00E14102">
        <w:rPr>
          <w:color w:val="000000" w:themeColor="text1"/>
          <w:sz w:val="16"/>
          <w:szCs w:val="16"/>
        </w:rPr>
        <w:lastRenderedPageBreak/>
        <w:t xml:space="preserve">6. После окончательного соглашения Амторг поместит твердый заказ американской радиокомпании на оборудование для телевидения. Американская радиокомпания также продаст Амторгу аэропланный тип приемки и трансляции. </w:t>
      </w:r>
    </w:p>
    <w:p w14:paraId="1991194F"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7. Окончательное соглашение заключается с 30 сентября 1935 г. по 31 декабря 1940 г. </w:t>
      </w:r>
    </w:p>
    <w:p w14:paraId="6E84A099"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Если вышеизложенное приемлемо, как основа соглашения, наши представители смогут встретиться для обсуждения окончательного текста. </w:t>
      </w:r>
    </w:p>
    <w:p w14:paraId="7111F08F"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Амторг, председатель И.В. Боев </w:t>
      </w:r>
    </w:p>
    <w:p w14:paraId="58469C34" w14:textId="77777777" w:rsidR="00647F1E" w:rsidRPr="00E14102" w:rsidRDefault="00647F1E" w:rsidP="00E14102">
      <w:pPr>
        <w:jc w:val="both"/>
        <w:rPr>
          <w:color w:val="000000" w:themeColor="text1"/>
          <w:sz w:val="16"/>
          <w:szCs w:val="16"/>
          <w:lang w:val="en-US"/>
        </w:rPr>
      </w:pPr>
      <w:r w:rsidRPr="00E14102">
        <w:rPr>
          <w:color w:val="000000" w:themeColor="text1"/>
          <w:sz w:val="16"/>
          <w:szCs w:val="16"/>
        </w:rPr>
        <w:t xml:space="preserve">РГАЭ. Ф. 413. </w:t>
      </w:r>
      <w:r w:rsidRPr="00E14102">
        <w:rPr>
          <w:color w:val="000000" w:themeColor="text1"/>
          <w:sz w:val="16"/>
          <w:szCs w:val="16"/>
          <w:lang w:val="en-US"/>
        </w:rPr>
        <w:t xml:space="preserve">On. </w:t>
      </w:r>
      <w:r w:rsidRPr="00E14102">
        <w:rPr>
          <w:color w:val="000000" w:themeColor="text1"/>
          <w:sz w:val="16"/>
          <w:szCs w:val="16"/>
        </w:rPr>
        <w:t>ІЗ</w:t>
      </w:r>
      <w:r w:rsidRPr="00E14102">
        <w:rPr>
          <w:color w:val="000000" w:themeColor="text1"/>
          <w:sz w:val="16"/>
          <w:szCs w:val="16"/>
          <w:lang w:val="en-US"/>
        </w:rPr>
        <w:t xml:space="preserve">. </w:t>
      </w:r>
      <w:r w:rsidRPr="00E14102">
        <w:rPr>
          <w:color w:val="000000" w:themeColor="text1"/>
          <w:sz w:val="16"/>
          <w:szCs w:val="16"/>
        </w:rPr>
        <w:t>Д</w:t>
      </w:r>
      <w:r w:rsidRPr="00E14102">
        <w:rPr>
          <w:color w:val="000000" w:themeColor="text1"/>
          <w:sz w:val="16"/>
          <w:szCs w:val="16"/>
          <w:lang w:val="en-US"/>
        </w:rPr>
        <w:t xml:space="preserve">. 1046. </w:t>
      </w:r>
      <w:r w:rsidRPr="00E14102">
        <w:rPr>
          <w:color w:val="000000" w:themeColor="text1"/>
          <w:sz w:val="16"/>
          <w:szCs w:val="16"/>
        </w:rPr>
        <w:t>Л</w:t>
      </w:r>
      <w:r w:rsidRPr="00E14102">
        <w:rPr>
          <w:color w:val="000000" w:themeColor="text1"/>
          <w:sz w:val="16"/>
          <w:szCs w:val="16"/>
          <w:lang w:val="en-US"/>
        </w:rPr>
        <w:t xml:space="preserve">. I. </w:t>
      </w:r>
      <w:r w:rsidRPr="00E14102">
        <w:rPr>
          <w:color w:val="000000" w:themeColor="text1"/>
          <w:sz w:val="16"/>
          <w:szCs w:val="16"/>
        </w:rPr>
        <w:t>Копия</w:t>
      </w:r>
      <w:r w:rsidRPr="00E14102">
        <w:rPr>
          <w:color w:val="000000" w:themeColor="text1"/>
          <w:sz w:val="16"/>
          <w:szCs w:val="16"/>
          <w:lang w:val="en-US"/>
        </w:rPr>
        <w:t xml:space="preserve"> (12152). </w:t>
      </w:r>
    </w:p>
    <w:p w14:paraId="27E35347" w14:textId="77777777" w:rsidR="00647F1E" w:rsidRPr="00E14102" w:rsidRDefault="00647F1E" w:rsidP="00E14102">
      <w:pPr>
        <w:jc w:val="both"/>
        <w:rPr>
          <w:color w:val="000000" w:themeColor="text1"/>
          <w:sz w:val="16"/>
          <w:szCs w:val="16"/>
          <w:lang w:val="en-US"/>
        </w:rPr>
      </w:pPr>
    </w:p>
    <w:p w14:paraId="56FEA335" w14:textId="77777777" w:rsidR="006E270E" w:rsidRPr="00E14102" w:rsidRDefault="006E270E" w:rsidP="00E14102">
      <w:pPr>
        <w:jc w:val="both"/>
        <w:rPr>
          <w:color w:val="000000" w:themeColor="text1"/>
          <w:sz w:val="16"/>
          <w:szCs w:val="16"/>
        </w:rPr>
      </w:pPr>
      <w:r w:rsidRPr="00E14102">
        <w:rPr>
          <w:color w:val="000000" w:themeColor="text1"/>
          <w:sz w:val="16"/>
          <w:szCs w:val="16"/>
        </w:rPr>
        <w:t>30 сентября 1935 г.</w:t>
      </w:r>
    </w:p>
    <w:p w14:paraId="01C80EFC" w14:textId="77777777" w:rsidR="006E270E" w:rsidRPr="00E14102" w:rsidRDefault="006E270E" w:rsidP="00E14102">
      <w:pPr>
        <w:jc w:val="both"/>
        <w:rPr>
          <w:color w:val="000000" w:themeColor="text1"/>
          <w:sz w:val="16"/>
          <w:szCs w:val="16"/>
        </w:rPr>
      </w:pPr>
      <w:r w:rsidRPr="00E14102">
        <w:rPr>
          <w:color w:val="000000" w:themeColor="text1"/>
          <w:sz w:val="16"/>
          <w:szCs w:val="16"/>
        </w:rPr>
        <w:t>Докладная записка председателя Амторга И.В. Боева в Наркомвнешторг СССР о соглашении с американской корпорацией "Радио Корпорэйшн" по организации технической помощи советской радиопромышленности</w:t>
      </w:r>
    </w:p>
    <w:p w14:paraId="72F38E25" w14:textId="77777777" w:rsidR="006E270E" w:rsidRPr="00E14102" w:rsidRDefault="006E270E" w:rsidP="00E14102">
      <w:pPr>
        <w:jc w:val="both"/>
        <w:rPr>
          <w:color w:val="000000" w:themeColor="text1"/>
          <w:sz w:val="16"/>
          <w:szCs w:val="16"/>
        </w:rPr>
      </w:pPr>
      <w:r w:rsidRPr="00E14102">
        <w:rPr>
          <w:color w:val="000000" w:themeColor="text1"/>
          <w:sz w:val="16"/>
          <w:szCs w:val="16"/>
        </w:rPr>
        <w:t>В связи с переговорами между мной и г-ном Сарновым касательно технической и производственной помощи американской "Радио Корпорэйшн" и ее вспомогательных отделений радиопромышленности СССР излагаем основные условия, на которых мы готовы заключить соглашение47.</w:t>
      </w:r>
    </w:p>
    <w:p w14:paraId="04A10EEB" w14:textId="77777777" w:rsidR="006E270E" w:rsidRPr="00E14102" w:rsidRDefault="006E270E" w:rsidP="00E14102">
      <w:pPr>
        <w:jc w:val="both"/>
        <w:rPr>
          <w:color w:val="000000" w:themeColor="text1"/>
          <w:sz w:val="16"/>
          <w:szCs w:val="16"/>
        </w:rPr>
      </w:pPr>
      <w:r w:rsidRPr="00E14102">
        <w:rPr>
          <w:color w:val="000000" w:themeColor="text1"/>
          <w:sz w:val="16"/>
          <w:szCs w:val="16"/>
        </w:rPr>
        <w:t>1. Соглашение включит все поле деятельности американской радиокомпании и вспомогательных отделений, как производственной, так и экспериментальной (следует перечисление услуг).</w:t>
      </w:r>
    </w:p>
    <w:p w14:paraId="31C5FFF3" w14:textId="77777777" w:rsidR="006E270E" w:rsidRPr="00E14102" w:rsidRDefault="006E270E" w:rsidP="00E14102">
      <w:pPr>
        <w:jc w:val="both"/>
        <w:rPr>
          <w:color w:val="000000" w:themeColor="text1"/>
          <w:sz w:val="16"/>
          <w:szCs w:val="16"/>
        </w:rPr>
      </w:pPr>
      <w:r w:rsidRPr="00E14102">
        <w:rPr>
          <w:color w:val="000000" w:themeColor="text1"/>
          <w:sz w:val="16"/>
          <w:szCs w:val="16"/>
        </w:rPr>
        <w:t>2. Американская радиокомпания предоставит советской радиопромышленности свой опыт, чертежи своих инженеров и механиков, допустит советских инженеров на заводы, лаборатории американской радиокомпании. Со своей стороны советские организации должны дать инженерам американской радиокомпании полную возможность познакомиться с работой в СССР в объеме, согласованном в договоре.</w:t>
      </w:r>
    </w:p>
    <w:p w14:paraId="13F8D80F" w14:textId="77777777" w:rsidR="006E270E" w:rsidRPr="00E14102" w:rsidRDefault="006E270E" w:rsidP="00E14102">
      <w:pPr>
        <w:jc w:val="both"/>
        <w:rPr>
          <w:color w:val="000000" w:themeColor="text1"/>
          <w:sz w:val="16"/>
          <w:szCs w:val="16"/>
        </w:rPr>
      </w:pPr>
      <w:r w:rsidRPr="00E14102">
        <w:rPr>
          <w:color w:val="000000" w:themeColor="text1"/>
          <w:sz w:val="16"/>
          <w:szCs w:val="16"/>
        </w:rPr>
        <w:t>3. Передача информации подчиняется законам и постановлениям каждой из стран, особенно в делах военных и морских. Ни одна из сторон не будет предоставлять информации, касающейся третьей страны, если, согласно письменному соглашению с этой стороной, эта информация должна остаться секретной.</w:t>
      </w:r>
    </w:p>
    <w:p w14:paraId="4C857590" w14:textId="77777777" w:rsidR="006E270E" w:rsidRPr="00E14102" w:rsidRDefault="006E270E" w:rsidP="00E14102">
      <w:pPr>
        <w:jc w:val="both"/>
        <w:rPr>
          <w:color w:val="000000" w:themeColor="text1"/>
          <w:sz w:val="16"/>
          <w:szCs w:val="16"/>
        </w:rPr>
      </w:pPr>
      <w:r w:rsidRPr="00E14102">
        <w:rPr>
          <w:color w:val="000000" w:themeColor="text1"/>
          <w:sz w:val="16"/>
          <w:szCs w:val="16"/>
        </w:rPr>
        <w:t>4. За этими исключениями и в связи с разрешениями, раньше выданными некоторым компаниям (перечисляются), американская радиокомпания предоставляет советскому радио исключительную лицензию, с ограниченным правом передачи другим. Советское радио предоставляет американской радиокомпании и подсобным станциям ограниченные лицензии согласно окончательному соглашению.</w:t>
      </w:r>
    </w:p>
    <w:p w14:paraId="36FC0568" w14:textId="77777777" w:rsidR="006E270E" w:rsidRPr="00E14102" w:rsidRDefault="006E270E" w:rsidP="00E14102">
      <w:pPr>
        <w:jc w:val="both"/>
        <w:rPr>
          <w:color w:val="000000" w:themeColor="text1"/>
          <w:sz w:val="16"/>
          <w:szCs w:val="16"/>
        </w:rPr>
      </w:pPr>
      <w:r w:rsidRPr="00E14102">
        <w:rPr>
          <w:color w:val="000000" w:themeColor="text1"/>
          <w:sz w:val="16"/>
          <w:szCs w:val="16"/>
        </w:rPr>
        <w:t>Вопрос о вывозе из СССР в другие страны приспособлений и оборудования, изготовленных в СССР по советским патентам [для] американской радиокомпании, будет рассмотрен в связи с окончательным соглашением.</w:t>
      </w:r>
    </w:p>
    <w:p w14:paraId="7D68366D" w14:textId="77777777" w:rsidR="006E270E" w:rsidRPr="00E14102" w:rsidRDefault="006E270E" w:rsidP="00E14102">
      <w:pPr>
        <w:jc w:val="both"/>
        <w:rPr>
          <w:color w:val="000000" w:themeColor="text1"/>
          <w:sz w:val="16"/>
          <w:szCs w:val="16"/>
        </w:rPr>
      </w:pPr>
      <w:r w:rsidRPr="00E14102">
        <w:rPr>
          <w:color w:val="000000" w:themeColor="text1"/>
          <w:sz w:val="16"/>
          <w:szCs w:val="16"/>
        </w:rPr>
        <w:t>5. Учитывая передачу нам информации, чертежей, описаний и т.д. в пяти экземплярах и всякие другие услуги, оказанные нам сотрудниками американской радиокомпании и ее подсобными организациями, изготовление и передачу данных, согласно § 2, а также патентов и прав, предоставляемых нам согласно § 4, мы вам уплатим в течение действия соглашения компенсацию в размере 2,9 млн долл. (следует подробности платежей и сдачи материалов, оплаты инженеров и т.д.).</w:t>
      </w:r>
    </w:p>
    <w:p w14:paraId="21FCF706" w14:textId="77777777" w:rsidR="006E270E" w:rsidRPr="00E14102" w:rsidRDefault="006E270E" w:rsidP="00E14102">
      <w:pPr>
        <w:jc w:val="both"/>
        <w:rPr>
          <w:color w:val="000000" w:themeColor="text1"/>
          <w:sz w:val="16"/>
          <w:szCs w:val="16"/>
        </w:rPr>
      </w:pPr>
      <w:r w:rsidRPr="00E14102">
        <w:rPr>
          <w:color w:val="000000" w:themeColor="text1"/>
          <w:sz w:val="16"/>
          <w:szCs w:val="16"/>
        </w:rPr>
        <w:t>6. После окончательного соглашения Амторг поместит твердый заказ американской радиокомпании на оборудование для телевидения. Американская радиокомпания также продаст Амторгу аэропланный тип приемки и трансляции.</w:t>
      </w:r>
    </w:p>
    <w:p w14:paraId="009D6BBD" w14:textId="77777777" w:rsidR="006E270E" w:rsidRPr="00E14102" w:rsidRDefault="006E270E" w:rsidP="00E14102">
      <w:pPr>
        <w:jc w:val="both"/>
        <w:rPr>
          <w:color w:val="000000" w:themeColor="text1"/>
          <w:sz w:val="16"/>
          <w:szCs w:val="16"/>
        </w:rPr>
      </w:pPr>
      <w:r w:rsidRPr="00E14102">
        <w:rPr>
          <w:color w:val="000000" w:themeColor="text1"/>
          <w:sz w:val="16"/>
          <w:szCs w:val="16"/>
        </w:rPr>
        <w:t>7. Окончательное соглашение заключается с 30 сентября 1935 г. по 31 декабря 1940 г.</w:t>
      </w:r>
    </w:p>
    <w:p w14:paraId="323ADADF" w14:textId="77777777" w:rsidR="006E270E" w:rsidRPr="00E14102" w:rsidRDefault="006E270E" w:rsidP="00E14102">
      <w:pPr>
        <w:jc w:val="both"/>
        <w:rPr>
          <w:color w:val="000000" w:themeColor="text1"/>
          <w:sz w:val="16"/>
          <w:szCs w:val="16"/>
        </w:rPr>
      </w:pPr>
      <w:r w:rsidRPr="00E14102">
        <w:rPr>
          <w:color w:val="000000" w:themeColor="text1"/>
          <w:sz w:val="16"/>
          <w:szCs w:val="16"/>
        </w:rPr>
        <w:t>Если вышеизложенное приемлемо, как основа соглашения, наши представители смогут встретиться для обсуждения окончательного текста.</w:t>
      </w:r>
    </w:p>
    <w:p w14:paraId="16EB731C" w14:textId="77777777" w:rsidR="006E270E" w:rsidRPr="00E14102" w:rsidRDefault="006E270E" w:rsidP="00E14102">
      <w:pPr>
        <w:jc w:val="both"/>
        <w:rPr>
          <w:color w:val="000000" w:themeColor="text1"/>
          <w:sz w:val="16"/>
          <w:szCs w:val="16"/>
        </w:rPr>
      </w:pPr>
      <w:r w:rsidRPr="00E14102">
        <w:rPr>
          <w:color w:val="000000" w:themeColor="text1"/>
          <w:sz w:val="16"/>
          <w:szCs w:val="16"/>
        </w:rPr>
        <w:t>Амторг, председатель И.В. Боев</w:t>
      </w:r>
    </w:p>
    <w:p w14:paraId="61ABACD5" w14:textId="77777777" w:rsidR="006E270E" w:rsidRPr="00E14102" w:rsidRDefault="006E270E" w:rsidP="00E14102">
      <w:pPr>
        <w:jc w:val="both"/>
        <w:rPr>
          <w:color w:val="000000" w:themeColor="text1"/>
          <w:sz w:val="16"/>
          <w:szCs w:val="16"/>
        </w:rPr>
      </w:pPr>
      <w:r w:rsidRPr="00E14102">
        <w:rPr>
          <w:color w:val="000000" w:themeColor="text1"/>
          <w:sz w:val="16"/>
          <w:szCs w:val="16"/>
        </w:rPr>
        <w:t>РГАЭ. Ф. 413. On. 13. Д. 1046. Л. 1. Копия (18282).</w:t>
      </w:r>
    </w:p>
    <w:p w14:paraId="12125DA8" w14:textId="77777777" w:rsidR="006E270E" w:rsidRPr="00E14102" w:rsidRDefault="006E270E" w:rsidP="00E14102">
      <w:pPr>
        <w:jc w:val="both"/>
        <w:rPr>
          <w:color w:val="000000" w:themeColor="text1"/>
          <w:sz w:val="16"/>
          <w:szCs w:val="16"/>
        </w:rPr>
      </w:pPr>
    </w:p>
    <w:p w14:paraId="5611B46E" w14:textId="77777777" w:rsidR="001B55B1" w:rsidRPr="00E14102" w:rsidRDefault="001B55B1" w:rsidP="00E14102">
      <w:pPr>
        <w:jc w:val="both"/>
        <w:rPr>
          <w:color w:val="0070C0"/>
          <w:sz w:val="16"/>
          <w:szCs w:val="16"/>
        </w:rPr>
      </w:pPr>
      <w:r w:rsidRPr="00E14102">
        <w:rPr>
          <w:color w:val="0070C0"/>
          <w:sz w:val="16"/>
          <w:szCs w:val="16"/>
        </w:rPr>
        <w:t>30 сентября 1935 председатель «Амторга» И. В. Боев направляет в Наркомвнешторг СССР докладную записку с проектом соглашения с американской корпорацией RСА по организации технической помощи советской радиопромышленности.</w:t>
      </w:r>
    </w:p>
    <w:p w14:paraId="0043B4DC" w14:textId="77777777" w:rsidR="001B55B1" w:rsidRPr="00E14102" w:rsidRDefault="001B55B1" w:rsidP="00E14102">
      <w:pPr>
        <w:jc w:val="both"/>
        <w:rPr>
          <w:color w:val="0070C0"/>
          <w:sz w:val="16"/>
          <w:szCs w:val="16"/>
        </w:rPr>
      </w:pPr>
      <w:r w:rsidRPr="00E14102">
        <w:rPr>
          <w:color w:val="0070C0"/>
          <w:sz w:val="16"/>
          <w:szCs w:val="16"/>
        </w:rPr>
        <w:t>В записке сообщалось, что в соглашение будет включено всё поле деятельности американской радиокомпании и её вспомогательных отделений, как производственных, так и экспериментальных. Она предоставит советской радиопромышленности свой опыт, чертежи, своих инженеров и механиков, допустит советских инженеров на заводы и лаборатории компании. Со своей стороны, советские организации должны дать инженерам радиокомпании полную возможность познакомиться с работой в СССР в объеме, согласованном в договоре. Учитывая передачу информации, чертежей, описаний и т. д. и всякие другие услуги, оказанные сотрудниками американской радиокомпании и ее подсобными организациями, изготовление и передачу данных, а также предоставляемые патенты и права, советская сторона уплатит в течение действия соглашения компенсацию в размере 2,9 млн долл. Окончательное соглашение заключается с 30 сентября 1935 г. по 31 декабря 1940 г. В заключение в записке сказано, что если вышеизложенное приемлемо как основа соглашения, наши представители смогут встретиться для обсуждения окончательного текста. В декабре 1935 г. договор о технической помощи между Главэспромом и RСА был заключен. Этим договором, в частности, предусматривалось: а) командировки инженеров и квалифицированных рабочих в Америку на предприятия фирмы RСА для изучения технологии производства непосредственно на рабочих местах сроком на 6 и более месяцев группами по 20…25 человек; б) изучение всей технической документации – технологической и конструкторской, относящейся к серии металлических радиоламп, например 6Q7, 6А8, 6L6, 6X6, а также к серии среднегенераторных радиоламп; в) изучение работы технологического оборудования по производству радиоламп, а также испытательного и заготовительного оборудования; г) отбор и закупка наиболее современного, технически совершенного, высокопроизводительного и перспективного оборудования и приспособлений;</w:t>
      </w:r>
    </w:p>
    <w:p w14:paraId="407E07AE" w14:textId="77777777" w:rsidR="001B55B1" w:rsidRPr="00E14102" w:rsidRDefault="001B55B1" w:rsidP="00E14102">
      <w:pPr>
        <w:jc w:val="both"/>
        <w:rPr>
          <w:color w:val="0070C0"/>
          <w:sz w:val="16"/>
          <w:szCs w:val="16"/>
        </w:rPr>
      </w:pPr>
      <w:r w:rsidRPr="00E14102">
        <w:rPr>
          <w:color w:val="0070C0"/>
          <w:sz w:val="16"/>
          <w:szCs w:val="16"/>
        </w:rPr>
        <w:t>д) закупка большого количества деталей для производства радиоламп на первый период освоения их на предприятиях Советского Союза; е) проверка всей технологической документации и отправка ее на предприятия Советского Союза. Документация фирмы хорошо отработана и при добросовестном ее соблюдении выход приборов достигает 80 % и более; и) командирование американских специалистов фирмы RСА на предприятия Советского Союза для оказания помощи на месте (21526).</w:t>
      </w:r>
    </w:p>
    <w:p w14:paraId="3DF97B0D" w14:textId="77777777" w:rsidR="001B55B1" w:rsidRPr="00E14102" w:rsidRDefault="001B55B1" w:rsidP="00E14102">
      <w:pPr>
        <w:jc w:val="both"/>
        <w:rPr>
          <w:color w:val="0070C0"/>
          <w:sz w:val="16"/>
          <w:szCs w:val="16"/>
        </w:rPr>
      </w:pPr>
    </w:p>
    <w:p w14:paraId="659FB1F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3A7B8349" w14:textId="77777777" w:rsidR="00D4105E" w:rsidRPr="00E14102" w:rsidRDefault="00D4105E" w:rsidP="00E14102">
      <w:pPr>
        <w:autoSpaceDE w:val="0"/>
        <w:autoSpaceDN w:val="0"/>
        <w:adjustRightInd w:val="0"/>
        <w:jc w:val="both"/>
        <w:rPr>
          <w:iCs/>
          <w:color w:val="000000" w:themeColor="text1"/>
          <w:sz w:val="16"/>
          <w:szCs w:val="16"/>
        </w:rPr>
      </w:pPr>
    </w:p>
    <w:p w14:paraId="0683639E" w14:textId="77777777" w:rsidR="00A16EB4" w:rsidRPr="00E14102" w:rsidRDefault="00A16EB4" w:rsidP="00E14102">
      <w:pPr>
        <w:jc w:val="both"/>
        <w:rPr>
          <w:color w:val="0070C0"/>
          <w:sz w:val="16"/>
          <w:szCs w:val="16"/>
        </w:rPr>
      </w:pPr>
      <w:r w:rsidRPr="00E14102">
        <w:rPr>
          <w:color w:val="0070C0"/>
          <w:sz w:val="16"/>
          <w:szCs w:val="16"/>
        </w:rPr>
        <w:t>30 сентября 1935 Airways Хиллмана, спартанский Air Lines и United Airways Limited сливается в Allied British Airways, Ltd. Новая авиакомпания начнет полеты 1 января 1936 года.</w:t>
      </w:r>
    </w:p>
    <w:p w14:paraId="79914B48" w14:textId="77777777" w:rsidR="00A16EB4" w:rsidRPr="00E14102" w:rsidRDefault="00A16EB4" w:rsidP="00E14102">
      <w:pPr>
        <w:jc w:val="both"/>
        <w:rPr>
          <w:color w:val="0070C0"/>
          <w:sz w:val="16"/>
          <w:szCs w:val="16"/>
        </w:rPr>
      </w:pPr>
    </w:p>
    <w:p w14:paraId="2F685B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сентября 1935 состоялся Конгресс в Италии по проблемам авиации больших скоростей, который длился до 6 октября и где А.Буземан предложил использовать для скоростных самолетов стреловидные крылья (274).</w:t>
      </w:r>
    </w:p>
    <w:p w14:paraId="518E820D" w14:textId="77777777" w:rsidR="00D4105E" w:rsidRPr="00E14102" w:rsidRDefault="00D4105E" w:rsidP="00E14102">
      <w:pPr>
        <w:autoSpaceDE w:val="0"/>
        <w:autoSpaceDN w:val="0"/>
        <w:adjustRightInd w:val="0"/>
        <w:jc w:val="both"/>
        <w:rPr>
          <w:color w:val="000000" w:themeColor="text1"/>
          <w:sz w:val="16"/>
          <w:szCs w:val="16"/>
        </w:rPr>
      </w:pPr>
    </w:p>
    <w:p w14:paraId="6320108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 сентября 1935 в Бостоне состоялась премьера оперы Джорджа Гершвина “Порги и Бесс” (4962).</w:t>
      </w:r>
    </w:p>
    <w:p w14:paraId="6026E2C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ED7076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A438762" w14:textId="77777777" w:rsidR="00D4105E" w:rsidRPr="00E14102" w:rsidRDefault="00D4105E" w:rsidP="00E14102">
      <w:pPr>
        <w:autoSpaceDE w:val="0"/>
        <w:autoSpaceDN w:val="0"/>
        <w:adjustRightInd w:val="0"/>
        <w:jc w:val="both"/>
        <w:rPr>
          <w:iCs/>
          <w:color w:val="000000" w:themeColor="text1"/>
          <w:sz w:val="16"/>
          <w:szCs w:val="16"/>
        </w:rPr>
      </w:pPr>
    </w:p>
    <w:p w14:paraId="7BAD7E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сентября 1935 были начаты (отпущены средства и наряжен самолет) и в середине октября закончены работы по прозрачному У-2 (7656).</w:t>
      </w:r>
    </w:p>
    <w:p w14:paraId="49D48AE0" w14:textId="77777777" w:rsidR="00D4105E" w:rsidRPr="00E14102" w:rsidRDefault="00D4105E" w:rsidP="00E14102">
      <w:pPr>
        <w:autoSpaceDE w:val="0"/>
        <w:autoSpaceDN w:val="0"/>
        <w:adjustRightInd w:val="0"/>
        <w:jc w:val="both"/>
        <w:rPr>
          <w:color w:val="000000" w:themeColor="text1"/>
          <w:sz w:val="16"/>
          <w:szCs w:val="16"/>
        </w:rPr>
      </w:pPr>
    </w:p>
    <w:p w14:paraId="79E080EC" w14:textId="77777777" w:rsidR="001F6389" w:rsidRPr="00E14102" w:rsidRDefault="001F6389"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4BEDDDD" w14:textId="77777777" w:rsidR="001F6389" w:rsidRPr="00E14102" w:rsidRDefault="001F6389" w:rsidP="00E14102">
      <w:pPr>
        <w:autoSpaceDE w:val="0"/>
        <w:autoSpaceDN w:val="0"/>
        <w:adjustRightInd w:val="0"/>
        <w:jc w:val="both"/>
        <w:rPr>
          <w:iCs/>
          <w:color w:val="000000" w:themeColor="text1"/>
          <w:sz w:val="16"/>
          <w:szCs w:val="16"/>
        </w:rPr>
      </w:pPr>
    </w:p>
    <w:p w14:paraId="19523224" w14:textId="77777777" w:rsidR="001F6389" w:rsidRPr="00E14102" w:rsidRDefault="001F6389" w:rsidP="00E14102">
      <w:pPr>
        <w:jc w:val="both"/>
        <w:rPr>
          <w:color w:val="000000" w:themeColor="text1"/>
          <w:sz w:val="16"/>
          <w:szCs w:val="16"/>
        </w:rPr>
      </w:pPr>
      <w:r w:rsidRPr="00E14102">
        <w:rPr>
          <w:color w:val="000000" w:themeColor="text1"/>
          <w:sz w:val="16"/>
          <w:szCs w:val="16"/>
        </w:rPr>
        <w:t>В конце сентября 1935 г. после продолжительных переговоров Амторг заключил соглашение с "Радио Корпорейшн" об организации технической помощи советской радиопромышленности. Оно было поистине важным и всеобъемлющим. Американская радиокомпания согласилась разрешить советским специалистам посещать ее радиозаводы и лаборатории88. В соглашение были включены статьи о размещении крупного заказа на оборудование, об оказании технического содействия советской радиопромышленности, предоставлении компанией чертежей, организации обмена информацией, инженерами и опытом работы. Соглашение имело большое значение для налаживания экономического сотрудничества и развития технической связи (18280).</w:t>
      </w:r>
    </w:p>
    <w:p w14:paraId="015A542B" w14:textId="77777777" w:rsidR="001F6389" w:rsidRPr="00E14102" w:rsidRDefault="001F6389" w:rsidP="00E14102">
      <w:pPr>
        <w:jc w:val="both"/>
        <w:rPr>
          <w:color w:val="000000" w:themeColor="text1"/>
          <w:sz w:val="16"/>
          <w:szCs w:val="16"/>
        </w:rPr>
      </w:pPr>
    </w:p>
    <w:p w14:paraId="015B94D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16AD8AD" w14:textId="77777777" w:rsidR="00D4105E" w:rsidRPr="00E14102" w:rsidRDefault="00D4105E" w:rsidP="00E14102">
      <w:pPr>
        <w:autoSpaceDE w:val="0"/>
        <w:autoSpaceDN w:val="0"/>
        <w:adjustRightInd w:val="0"/>
        <w:jc w:val="both"/>
        <w:rPr>
          <w:iCs/>
          <w:color w:val="000000" w:themeColor="text1"/>
          <w:sz w:val="16"/>
          <w:szCs w:val="16"/>
        </w:rPr>
      </w:pPr>
    </w:p>
    <w:p w14:paraId="6B0723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сентябре 1935 г. коллектив С.В.И., сформированный на базе бригады 3 ЦКБ, выделили в специальное ОКБ-39. К концу 1935 г. в ОКБ-39 было около 90 сотрудников (6474).</w:t>
      </w:r>
    </w:p>
    <w:p w14:paraId="0BEA9F7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2F54B8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сентябре 1935 г. коллектив бригады № 3 ЦКБ, руководите</w:t>
      </w:r>
      <w:r w:rsidRPr="00E14102">
        <w:rPr>
          <w:color w:val="000000" w:themeColor="text1"/>
          <w:sz w:val="16"/>
          <w:szCs w:val="16"/>
        </w:rPr>
        <w:softHyphen/>
        <w:t>лем которой был Ильюшин, выделили в специальное ОКБ-39. К концу года в ОКБ-39 было около 90 сотрудников (10734,5).</w:t>
      </w:r>
    </w:p>
    <w:p w14:paraId="575EB6E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79BC5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сентябре 1935 (24,85) бригада N 3 ЦКБ и опытный цех завода им. Менжинского были приказом ГУАП преобразованы в ОКБ завода им. В.Р.Менжинского, главным конструктором которого стал С.В.Ильюшин (5,29) (24,86). Численность его в конце 1935 составляла 90 чел. (24,86).</w:t>
      </w:r>
    </w:p>
    <w:p w14:paraId="5DFCB2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ясно, сохранялся ли к середине 1935 ЦКБ или он уже был поделен на отдельные ОКБ, а общая нумерация машин продолжалась по традиции.</w:t>
      </w:r>
    </w:p>
    <w:p w14:paraId="425416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вышел приказ ГУАП о преобразовании бригады N 3 ЦКБ в КБ завода им. В.Р.Менжинского. Сотрудниками КБ стали специалисты бригад N 4, 5, 6, участвующие в проектировании ЦКБ-26 и ЦКБ-30. С.В.И. был назначен ГК. Численность сотрудников - 90 чел. (3846,6).</w:t>
      </w:r>
    </w:p>
    <w:p w14:paraId="2EE53A29" w14:textId="77777777" w:rsidR="00D4105E" w:rsidRPr="00E14102" w:rsidRDefault="00D4105E" w:rsidP="00E14102">
      <w:pPr>
        <w:autoSpaceDE w:val="0"/>
        <w:autoSpaceDN w:val="0"/>
        <w:adjustRightInd w:val="0"/>
        <w:jc w:val="both"/>
        <w:rPr>
          <w:color w:val="000000" w:themeColor="text1"/>
          <w:sz w:val="16"/>
          <w:szCs w:val="16"/>
        </w:rPr>
      </w:pPr>
    </w:p>
    <w:p w14:paraId="2AF50C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сентябре 1935 года бригада №3 КОСОС ЦАГИ, возглавляемая П.О.Сухим, приступила к изыскани</w:t>
      </w:r>
      <w:r w:rsidRPr="00E14102">
        <w:rPr>
          <w:color w:val="000000" w:themeColor="text1"/>
          <w:sz w:val="16"/>
          <w:szCs w:val="16"/>
        </w:rPr>
        <w:softHyphen/>
        <w:t>ям по проекту скоростного развед</w:t>
      </w:r>
      <w:r w:rsidRPr="00E14102">
        <w:rPr>
          <w:color w:val="000000" w:themeColor="text1"/>
          <w:sz w:val="16"/>
          <w:szCs w:val="16"/>
        </w:rPr>
        <w:softHyphen/>
        <w:t>чика №51 (АНТ-51) с двигателем М-34 ФРН.</w:t>
      </w:r>
    </w:p>
    <w:p w14:paraId="15E355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предварительному расчету самолет должен был иметь следую</w:t>
      </w:r>
      <w:r w:rsidRPr="00E14102">
        <w:rPr>
          <w:color w:val="000000" w:themeColor="text1"/>
          <w:sz w:val="16"/>
          <w:szCs w:val="16"/>
        </w:rPr>
        <w:softHyphen/>
        <w:t>щие основные данные:</w:t>
      </w:r>
    </w:p>
    <w:p w14:paraId="4D5CAB0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Длина самолета, мм .................. 9390</w:t>
      </w:r>
    </w:p>
    <w:p w14:paraId="771AA31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Размах крыла, мм..................... 13000</w:t>
      </w:r>
    </w:p>
    <w:p w14:paraId="53F0220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Площадь крыла, м</w:t>
      </w:r>
      <w:r w:rsidRPr="00E14102">
        <w:rPr>
          <w:color w:val="000000" w:themeColor="text1"/>
          <w:sz w:val="16"/>
          <w:szCs w:val="16"/>
          <w:vertAlign w:val="superscript"/>
        </w:rPr>
        <w:t>2</w:t>
      </w:r>
      <w:r w:rsidRPr="00E14102">
        <w:rPr>
          <w:color w:val="000000" w:themeColor="text1"/>
          <w:sz w:val="16"/>
          <w:szCs w:val="16"/>
        </w:rPr>
        <w:t xml:space="preserve"> ...................28,16</w:t>
      </w:r>
    </w:p>
    <w:p w14:paraId="3E56D4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Масса самолета, кг:</w:t>
      </w:r>
    </w:p>
    <w:p w14:paraId="242C41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пустого.....................;................. 2076</w:t>
      </w:r>
    </w:p>
    <w:p w14:paraId="50CE73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полетная....................................3210</w:t>
      </w:r>
    </w:p>
    <w:p w14:paraId="1B2B5E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w:t>
      </w:r>
    </w:p>
    <w:p w14:paraId="69E80B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Н=4000 м, км/ч ...................... 455</w:t>
      </w:r>
    </w:p>
    <w:p w14:paraId="0607027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Посадочная скорость, км/ч....... 109</w:t>
      </w:r>
    </w:p>
    <w:p w14:paraId="55F723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Время набора высоты, мин:</w:t>
      </w:r>
    </w:p>
    <w:p w14:paraId="051F273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Н=3000м.....................................5,2</w:t>
      </w:r>
    </w:p>
    <w:p w14:paraId="172F49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Н=7000м.................................. 18,6</w:t>
      </w:r>
    </w:p>
    <w:p w14:paraId="0C2D71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Практический потолок, м......... 9800</w:t>
      </w:r>
    </w:p>
    <w:p w14:paraId="4675213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Дальность полета</w:t>
      </w:r>
    </w:p>
    <w:p w14:paraId="168737B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(Н=6000 м; У=290 км/ч ), км .. 1500</w:t>
      </w:r>
    </w:p>
    <w:p w14:paraId="5C70EB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До конца 1935 года были прове</w:t>
      </w:r>
      <w:r w:rsidRPr="00E14102">
        <w:rPr>
          <w:color w:val="000000" w:themeColor="text1"/>
          <w:sz w:val="16"/>
          <w:szCs w:val="16"/>
        </w:rPr>
        <w:softHyphen/>
        <w:t>дены аэродинамический и центровоч</w:t>
      </w:r>
      <w:r w:rsidRPr="00E14102">
        <w:rPr>
          <w:color w:val="000000" w:themeColor="text1"/>
          <w:sz w:val="16"/>
          <w:szCs w:val="16"/>
        </w:rPr>
        <w:softHyphen/>
        <w:t>ный расчеты. Сданы в производство четыре опытных отсека крыла для испытаний (11849).</w:t>
      </w:r>
    </w:p>
    <w:p w14:paraId="730B4C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37F2D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сентября 1935 г. к разработке нового многоцелевого одномоторного самолета приступила и бригада № 3 конструкторского отдела КОСОС ЦАГИ, возглавляемая П.О. Сухим. Осенью 1935 г. в бригаде № 3 начались опытно-конструкторские разработки будущего самолета, составлен весовой план скоростного разведчика с мотором М- 34ФРН мощностью 1025 л.с. До конца года были произведены аэродинамический и центровочный расчеты, сданы в производство четыре отсека крыла.</w:t>
      </w:r>
    </w:p>
    <w:p w14:paraId="10FB2A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Основные характеристики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E3599D" w:rsidRPr="00E14102" w14:paraId="7E20A8C1" w14:textId="77777777">
        <w:tc>
          <w:tcPr>
            <w:tcW w:w="5605" w:type="dxa"/>
            <w:tcBorders>
              <w:top w:val="single" w:sz="12" w:space="0" w:color="auto"/>
            </w:tcBorders>
          </w:tcPr>
          <w:p w14:paraId="0E9312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крыла, м</w:t>
            </w:r>
          </w:p>
        </w:tc>
        <w:tc>
          <w:tcPr>
            <w:tcW w:w="5605" w:type="dxa"/>
            <w:tcBorders>
              <w:top w:val="single" w:sz="12" w:space="0" w:color="auto"/>
            </w:tcBorders>
          </w:tcPr>
          <w:p w14:paraId="3B3512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w:t>
            </w:r>
          </w:p>
        </w:tc>
      </w:tr>
      <w:tr w:rsidR="00E3599D" w:rsidRPr="00E14102" w14:paraId="5B17C9DE" w14:textId="77777777">
        <w:tc>
          <w:tcPr>
            <w:tcW w:w="5605" w:type="dxa"/>
          </w:tcPr>
          <w:p w14:paraId="45F6EE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самолета, м.</w:t>
            </w:r>
          </w:p>
        </w:tc>
        <w:tc>
          <w:tcPr>
            <w:tcW w:w="5605" w:type="dxa"/>
          </w:tcPr>
          <w:p w14:paraId="2D2763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9,39</w:t>
            </w:r>
          </w:p>
        </w:tc>
      </w:tr>
      <w:tr w:rsidR="00E3599D" w:rsidRPr="00E14102" w14:paraId="15EE14AA" w14:textId="77777777">
        <w:tc>
          <w:tcPr>
            <w:tcW w:w="5605" w:type="dxa"/>
          </w:tcPr>
          <w:p w14:paraId="3AA843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Плошадь крыла, м2</w:t>
            </w:r>
          </w:p>
        </w:tc>
        <w:tc>
          <w:tcPr>
            <w:tcW w:w="5605" w:type="dxa"/>
          </w:tcPr>
          <w:p w14:paraId="64290D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28,16</w:t>
            </w:r>
          </w:p>
        </w:tc>
      </w:tr>
      <w:tr w:rsidR="00E3599D" w:rsidRPr="00E14102" w14:paraId="6A696C0E" w14:textId="77777777">
        <w:tc>
          <w:tcPr>
            <w:tcW w:w="5605" w:type="dxa"/>
          </w:tcPr>
          <w:p w14:paraId="699B6B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Полетный вес, кг</w:t>
            </w:r>
          </w:p>
        </w:tc>
        <w:tc>
          <w:tcPr>
            <w:tcW w:w="5605" w:type="dxa"/>
          </w:tcPr>
          <w:p w14:paraId="0A6547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3210</w:t>
            </w:r>
          </w:p>
        </w:tc>
      </w:tr>
      <w:tr w:rsidR="00E3599D" w:rsidRPr="00E14102" w14:paraId="030C2852" w14:textId="77777777">
        <w:tc>
          <w:tcPr>
            <w:tcW w:w="5605" w:type="dxa"/>
          </w:tcPr>
          <w:p w14:paraId="696350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Пустой вес, кг</w:t>
            </w:r>
          </w:p>
        </w:tc>
        <w:tc>
          <w:tcPr>
            <w:tcW w:w="5605" w:type="dxa"/>
          </w:tcPr>
          <w:p w14:paraId="222511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2076</w:t>
            </w:r>
          </w:p>
        </w:tc>
      </w:tr>
      <w:tr w:rsidR="00E3599D" w:rsidRPr="00E14102" w14:paraId="3C1530EF" w14:textId="77777777">
        <w:tc>
          <w:tcPr>
            <w:tcW w:w="5605" w:type="dxa"/>
          </w:tcPr>
          <w:p w14:paraId="04738A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на 4000 м, км/ч</w:t>
            </w:r>
          </w:p>
        </w:tc>
        <w:tc>
          <w:tcPr>
            <w:tcW w:w="5605" w:type="dxa"/>
          </w:tcPr>
          <w:p w14:paraId="5F8CEA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455</w:t>
            </w:r>
          </w:p>
        </w:tc>
      </w:tr>
      <w:tr w:rsidR="00E3599D" w:rsidRPr="00E14102" w14:paraId="17E80435" w14:textId="77777777">
        <w:tc>
          <w:tcPr>
            <w:tcW w:w="5605" w:type="dxa"/>
          </w:tcPr>
          <w:p w14:paraId="14030F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практический, м</w:t>
            </w:r>
          </w:p>
        </w:tc>
        <w:tc>
          <w:tcPr>
            <w:tcW w:w="5605" w:type="dxa"/>
          </w:tcPr>
          <w:p w14:paraId="5481F0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9800</w:t>
            </w:r>
          </w:p>
        </w:tc>
      </w:tr>
      <w:tr w:rsidR="00E3599D" w:rsidRPr="00E14102" w14:paraId="737096F3" w14:textId="77777777">
        <w:tc>
          <w:tcPr>
            <w:tcW w:w="5605" w:type="dxa"/>
            <w:tcBorders>
              <w:bottom w:val="single" w:sz="12" w:space="0" w:color="auto"/>
            </w:tcBorders>
          </w:tcPr>
          <w:p w14:paraId="3AF623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Крейсерская дальность, км</w:t>
            </w:r>
          </w:p>
        </w:tc>
        <w:tc>
          <w:tcPr>
            <w:tcW w:w="5605" w:type="dxa"/>
            <w:tcBorders>
              <w:bottom w:val="single" w:sz="12" w:space="0" w:color="auto"/>
            </w:tcBorders>
          </w:tcPr>
          <w:p w14:paraId="0FBD7C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 (12028).</w:t>
            </w:r>
          </w:p>
        </w:tc>
      </w:tr>
    </w:tbl>
    <w:p w14:paraId="415BEC73" w14:textId="77777777" w:rsidR="00D4105E" w:rsidRPr="00E14102" w:rsidRDefault="00D4105E" w:rsidP="00E14102">
      <w:pPr>
        <w:autoSpaceDE w:val="0"/>
        <w:autoSpaceDN w:val="0"/>
        <w:adjustRightInd w:val="0"/>
        <w:jc w:val="both"/>
        <w:rPr>
          <w:color w:val="000000" w:themeColor="text1"/>
          <w:sz w:val="16"/>
          <w:szCs w:val="16"/>
        </w:rPr>
      </w:pPr>
    </w:p>
    <w:p w14:paraId="7E8AE17F" w14:textId="77777777" w:rsidR="002F68CC" w:rsidRPr="00E14102" w:rsidRDefault="002F68CC" w:rsidP="00E14102">
      <w:pPr>
        <w:autoSpaceDE w:val="0"/>
        <w:autoSpaceDN w:val="0"/>
        <w:adjustRightInd w:val="0"/>
        <w:jc w:val="both"/>
        <w:rPr>
          <w:color w:val="000000" w:themeColor="text1"/>
          <w:sz w:val="16"/>
          <w:szCs w:val="16"/>
        </w:rPr>
      </w:pPr>
      <w:r w:rsidRPr="00E14102">
        <w:rPr>
          <w:color w:val="000000" w:themeColor="text1"/>
          <w:sz w:val="16"/>
          <w:szCs w:val="16"/>
        </w:rPr>
        <w:t>C сентября 1935 бригада П.О.С. начала ОКР по новому самолету АНТ-51, получившему обозначение СЗ - Сталинское задание под М-34ФРН (1025 нр). К середине 30-х в мировом самолетостроении на основании проектирования и эксплуатации самолетов фронтовой авиации (ЛБ, Р, Ш) сложился новый тип фронтового самолета универсального типа или "комбинированного самолета". Он должен был быть ЛБ, Р, Ш и даже двухместным истребителем. Отсюда в начале 1936 и появилась программа Иванов, но не ясно, кто же его инициировал (2232,46).</w:t>
      </w:r>
    </w:p>
    <w:p w14:paraId="30F9D0A8" w14:textId="77777777" w:rsidR="002F68CC" w:rsidRPr="00E14102" w:rsidRDefault="002F68CC" w:rsidP="00E14102">
      <w:pPr>
        <w:autoSpaceDE w:val="0"/>
        <w:autoSpaceDN w:val="0"/>
        <w:adjustRightInd w:val="0"/>
        <w:jc w:val="both"/>
        <w:rPr>
          <w:color w:val="000000" w:themeColor="text1"/>
          <w:sz w:val="16"/>
          <w:szCs w:val="16"/>
        </w:rPr>
      </w:pPr>
    </w:p>
    <w:p w14:paraId="7AC678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вышел на испытания ТБ-3 (АНТ-6) с четырехлопастными винтами и моторами М-34РН, а также ТУР-8 под ШКАС (156,20).</w:t>
      </w:r>
    </w:p>
    <w:p w14:paraId="2B18EE6A" w14:textId="77777777" w:rsidR="00D4105E" w:rsidRPr="00E14102" w:rsidRDefault="00D4105E" w:rsidP="00E14102">
      <w:pPr>
        <w:autoSpaceDE w:val="0"/>
        <w:autoSpaceDN w:val="0"/>
        <w:adjustRightInd w:val="0"/>
        <w:jc w:val="both"/>
        <w:rPr>
          <w:color w:val="000000" w:themeColor="text1"/>
          <w:sz w:val="16"/>
          <w:szCs w:val="16"/>
        </w:rPr>
      </w:pPr>
    </w:p>
    <w:p w14:paraId="767F30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испытывали старт ТБ-1Р с ускорителями (172,181).</w:t>
      </w:r>
    </w:p>
    <w:p w14:paraId="0881D498" w14:textId="77777777" w:rsidR="00D4105E" w:rsidRPr="00E14102" w:rsidRDefault="00D4105E" w:rsidP="00E14102">
      <w:pPr>
        <w:autoSpaceDE w:val="0"/>
        <w:autoSpaceDN w:val="0"/>
        <w:adjustRightInd w:val="0"/>
        <w:jc w:val="both"/>
        <w:rPr>
          <w:color w:val="000000" w:themeColor="text1"/>
          <w:sz w:val="16"/>
          <w:szCs w:val="16"/>
        </w:rPr>
      </w:pPr>
    </w:p>
    <w:p w14:paraId="77C584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сентября 1935 в ЦАГИ бригада N 5 А.А.А. начала работать над ДИ-8 (АНТ-46) - крейсер с ШВАК и 750 снарядов под фюзеляжем и 2-х ДРП АПК-4 с 15 снарядов. На гос. испытания машина не попала (2693,16).</w:t>
      </w:r>
    </w:p>
    <w:p w14:paraId="6F693B06" w14:textId="77777777" w:rsidR="00D4105E" w:rsidRPr="00E14102" w:rsidRDefault="00D4105E" w:rsidP="00E14102">
      <w:pPr>
        <w:autoSpaceDE w:val="0"/>
        <w:autoSpaceDN w:val="0"/>
        <w:adjustRightInd w:val="0"/>
        <w:jc w:val="both"/>
        <w:rPr>
          <w:color w:val="000000" w:themeColor="text1"/>
          <w:sz w:val="16"/>
          <w:szCs w:val="16"/>
        </w:rPr>
      </w:pPr>
    </w:p>
    <w:p w14:paraId="330A38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был предъявлен, но не был утвержден макет Р-9 М-85 завода 1 (3120).</w:t>
      </w:r>
    </w:p>
    <w:p w14:paraId="2A36137E" w14:textId="77777777" w:rsidR="00D4105E" w:rsidRPr="00E14102" w:rsidRDefault="00D4105E" w:rsidP="00E14102">
      <w:pPr>
        <w:autoSpaceDE w:val="0"/>
        <w:autoSpaceDN w:val="0"/>
        <w:adjustRightInd w:val="0"/>
        <w:jc w:val="both"/>
        <w:rPr>
          <w:color w:val="000000" w:themeColor="text1"/>
          <w:sz w:val="16"/>
          <w:szCs w:val="16"/>
        </w:rPr>
      </w:pPr>
    </w:p>
    <w:p w14:paraId="7796A2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закончились госиспытания Р-Зет НИИ ВВ, которые шли с 29 июня 1935. Длительный срок объяснялся недоведенностью конструкции. Всё время что-нибудь ломалось или отказывалось работать так, как надо. В одной из сводок об испытаниях записано: "Больше простаивает и числится, чем испытывается..."</w:t>
      </w:r>
    </w:p>
    <w:p w14:paraId="68DAD3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Сравнение данных самолётов ЛP и Р-Зет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E3599D" w:rsidRPr="00E14102" w14:paraId="7472902C" w14:textId="77777777">
        <w:tc>
          <w:tcPr>
            <w:tcW w:w="2802" w:type="dxa"/>
            <w:tcBorders>
              <w:top w:val="single" w:sz="12" w:space="0" w:color="auto"/>
            </w:tcBorders>
          </w:tcPr>
          <w:p w14:paraId="2DEB11C4"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Borders>
              <w:top w:val="single" w:sz="12" w:space="0" w:color="auto"/>
            </w:tcBorders>
          </w:tcPr>
          <w:p w14:paraId="2E155F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ЛР 1933 г.</w:t>
            </w:r>
          </w:p>
        </w:tc>
        <w:tc>
          <w:tcPr>
            <w:tcW w:w="2802" w:type="dxa"/>
            <w:tcBorders>
              <w:top w:val="single" w:sz="12" w:space="0" w:color="auto"/>
            </w:tcBorders>
          </w:tcPr>
          <w:p w14:paraId="04FE70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ЛР 1934 г.</w:t>
            </w:r>
          </w:p>
        </w:tc>
        <w:tc>
          <w:tcPr>
            <w:tcW w:w="2802" w:type="dxa"/>
            <w:tcBorders>
              <w:top w:val="single" w:sz="12" w:space="0" w:color="auto"/>
            </w:tcBorders>
          </w:tcPr>
          <w:p w14:paraId="303ECE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Р-Зет опытный</w:t>
            </w:r>
          </w:p>
        </w:tc>
      </w:tr>
      <w:tr w:rsidR="00E3599D" w:rsidRPr="00E14102" w14:paraId="7EDA20EE" w14:textId="77777777">
        <w:tc>
          <w:tcPr>
            <w:tcW w:w="2802" w:type="dxa"/>
          </w:tcPr>
          <w:p w14:paraId="6A11D9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верхнего крыла, м</w:t>
            </w:r>
          </w:p>
        </w:tc>
        <w:tc>
          <w:tcPr>
            <w:tcW w:w="2802" w:type="dxa"/>
          </w:tcPr>
          <w:p w14:paraId="49D4C4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w:t>
            </w:r>
          </w:p>
        </w:tc>
        <w:tc>
          <w:tcPr>
            <w:tcW w:w="2802" w:type="dxa"/>
          </w:tcPr>
          <w:p w14:paraId="027CA1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w:t>
            </w:r>
          </w:p>
        </w:tc>
        <w:tc>
          <w:tcPr>
            <w:tcW w:w="2802" w:type="dxa"/>
          </w:tcPr>
          <w:p w14:paraId="025B2D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15,5</w:t>
            </w:r>
          </w:p>
        </w:tc>
      </w:tr>
      <w:tr w:rsidR="00E3599D" w:rsidRPr="00E14102" w14:paraId="28CEFD99" w14:textId="77777777">
        <w:tc>
          <w:tcPr>
            <w:tcW w:w="2802" w:type="dxa"/>
          </w:tcPr>
          <w:p w14:paraId="112E49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нижнего крыла, м</w:t>
            </w:r>
          </w:p>
        </w:tc>
        <w:tc>
          <w:tcPr>
            <w:tcW w:w="2802" w:type="dxa"/>
          </w:tcPr>
          <w:p w14:paraId="37CDA1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w:t>
            </w:r>
          </w:p>
        </w:tc>
        <w:tc>
          <w:tcPr>
            <w:tcW w:w="2802" w:type="dxa"/>
          </w:tcPr>
          <w:p w14:paraId="66B01C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w:t>
            </w:r>
          </w:p>
        </w:tc>
        <w:tc>
          <w:tcPr>
            <w:tcW w:w="2802" w:type="dxa"/>
          </w:tcPr>
          <w:p w14:paraId="0D5249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11,6</w:t>
            </w:r>
          </w:p>
        </w:tc>
      </w:tr>
      <w:tr w:rsidR="00E3599D" w:rsidRPr="00E14102" w14:paraId="0C9CFB3C" w14:textId="77777777">
        <w:tc>
          <w:tcPr>
            <w:tcW w:w="2802" w:type="dxa"/>
          </w:tcPr>
          <w:p w14:paraId="27E3A8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м</w:t>
            </w:r>
          </w:p>
        </w:tc>
        <w:tc>
          <w:tcPr>
            <w:tcW w:w="2802" w:type="dxa"/>
          </w:tcPr>
          <w:p w14:paraId="63CEBE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8,64</w:t>
            </w:r>
          </w:p>
        </w:tc>
        <w:tc>
          <w:tcPr>
            <w:tcW w:w="2802" w:type="dxa"/>
          </w:tcPr>
          <w:p w14:paraId="0D5F9C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8,64</w:t>
            </w:r>
          </w:p>
        </w:tc>
        <w:tc>
          <w:tcPr>
            <w:tcW w:w="2802" w:type="dxa"/>
          </w:tcPr>
          <w:p w14:paraId="281019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9,7</w:t>
            </w:r>
          </w:p>
        </w:tc>
      </w:tr>
      <w:tr w:rsidR="00E3599D" w:rsidRPr="00E14102" w14:paraId="6F628AF5" w14:textId="77777777">
        <w:tc>
          <w:tcPr>
            <w:tcW w:w="2802" w:type="dxa"/>
          </w:tcPr>
          <w:p w14:paraId="7D5EF0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крыла, м2</w:t>
            </w:r>
          </w:p>
        </w:tc>
        <w:tc>
          <w:tcPr>
            <w:tcW w:w="2802" w:type="dxa"/>
          </w:tcPr>
          <w:p w14:paraId="3E3E73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36,52</w:t>
            </w:r>
          </w:p>
        </w:tc>
        <w:tc>
          <w:tcPr>
            <w:tcW w:w="2802" w:type="dxa"/>
          </w:tcPr>
          <w:p w14:paraId="7CD014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36,52</w:t>
            </w:r>
          </w:p>
        </w:tc>
        <w:tc>
          <w:tcPr>
            <w:tcW w:w="2802" w:type="dxa"/>
          </w:tcPr>
          <w:p w14:paraId="55A328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42,52</w:t>
            </w:r>
          </w:p>
        </w:tc>
      </w:tr>
      <w:tr w:rsidR="00E3599D" w:rsidRPr="00E14102" w14:paraId="6FE28D29" w14:textId="77777777">
        <w:tc>
          <w:tcPr>
            <w:tcW w:w="2802" w:type="dxa"/>
          </w:tcPr>
          <w:p w14:paraId="3279C4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кг:</w:t>
            </w:r>
          </w:p>
        </w:tc>
        <w:tc>
          <w:tcPr>
            <w:tcW w:w="2802" w:type="dxa"/>
          </w:tcPr>
          <w:p w14:paraId="04725BE7"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323C6484"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51E8ED4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DCDB7BE" w14:textId="77777777">
        <w:tc>
          <w:tcPr>
            <w:tcW w:w="2802" w:type="dxa"/>
          </w:tcPr>
          <w:p w14:paraId="614E40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пустого</w:t>
            </w:r>
          </w:p>
        </w:tc>
        <w:tc>
          <w:tcPr>
            <w:tcW w:w="2802" w:type="dxa"/>
          </w:tcPr>
          <w:p w14:paraId="1215E9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1734"</w:t>
            </w:r>
          </w:p>
        </w:tc>
        <w:tc>
          <w:tcPr>
            <w:tcW w:w="2802" w:type="dxa"/>
          </w:tcPr>
          <w:p w14:paraId="6DAC9E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1812</w:t>
            </w:r>
          </w:p>
        </w:tc>
        <w:tc>
          <w:tcPr>
            <w:tcW w:w="2802" w:type="dxa"/>
          </w:tcPr>
          <w:p w14:paraId="123F34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2007</w:t>
            </w:r>
          </w:p>
        </w:tc>
      </w:tr>
      <w:tr w:rsidR="00E3599D" w:rsidRPr="00E14102" w14:paraId="4E8C971E" w14:textId="77777777">
        <w:tc>
          <w:tcPr>
            <w:tcW w:w="2802" w:type="dxa"/>
          </w:tcPr>
          <w:p w14:paraId="780EB2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взлётный</w:t>
            </w:r>
          </w:p>
        </w:tc>
        <w:tc>
          <w:tcPr>
            <w:tcW w:w="2802" w:type="dxa"/>
          </w:tcPr>
          <w:p w14:paraId="66D1F8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2426</w:t>
            </w:r>
          </w:p>
        </w:tc>
        <w:tc>
          <w:tcPr>
            <w:tcW w:w="2802" w:type="dxa"/>
          </w:tcPr>
          <w:p w14:paraId="2047E3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2626</w:t>
            </w:r>
          </w:p>
        </w:tc>
        <w:tc>
          <w:tcPr>
            <w:tcW w:w="2802" w:type="dxa"/>
          </w:tcPr>
          <w:p w14:paraId="00DD8D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3150</w:t>
            </w:r>
          </w:p>
        </w:tc>
      </w:tr>
      <w:tr w:rsidR="00E3599D" w:rsidRPr="00E14102" w14:paraId="5A67D173" w14:textId="77777777">
        <w:tc>
          <w:tcPr>
            <w:tcW w:w="2802" w:type="dxa"/>
          </w:tcPr>
          <w:p w14:paraId="028E30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км/ч:</w:t>
            </w:r>
          </w:p>
        </w:tc>
        <w:tc>
          <w:tcPr>
            <w:tcW w:w="2802" w:type="dxa"/>
          </w:tcPr>
          <w:p w14:paraId="23E81C5C"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1A94B830"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566ACDD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BA14BCB" w14:textId="77777777">
        <w:tc>
          <w:tcPr>
            <w:tcW w:w="2802" w:type="dxa"/>
          </w:tcPr>
          <w:p w14:paraId="5BDB1D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земли</w:t>
            </w:r>
          </w:p>
        </w:tc>
        <w:tc>
          <w:tcPr>
            <w:tcW w:w="2802" w:type="dxa"/>
          </w:tcPr>
          <w:p w14:paraId="00168A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271</w:t>
            </w:r>
          </w:p>
        </w:tc>
        <w:tc>
          <w:tcPr>
            <w:tcW w:w="2802" w:type="dxa"/>
          </w:tcPr>
          <w:p w14:paraId="7BB8D1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282</w:t>
            </w:r>
          </w:p>
        </w:tc>
        <w:tc>
          <w:tcPr>
            <w:tcW w:w="2802" w:type="dxa"/>
          </w:tcPr>
          <w:p w14:paraId="7C3BC2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276</w:t>
            </w:r>
          </w:p>
        </w:tc>
      </w:tr>
      <w:tr w:rsidR="00E3599D" w:rsidRPr="00E14102" w14:paraId="5F8E1707" w14:textId="77777777">
        <w:tc>
          <w:tcPr>
            <w:tcW w:w="2802" w:type="dxa"/>
          </w:tcPr>
          <w:p w14:paraId="15E573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высоте</w:t>
            </w:r>
          </w:p>
        </w:tc>
        <w:tc>
          <w:tcPr>
            <w:tcW w:w="2802" w:type="dxa"/>
          </w:tcPr>
          <w:p w14:paraId="1E8CDD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247</w:t>
            </w:r>
          </w:p>
        </w:tc>
        <w:tc>
          <w:tcPr>
            <w:tcW w:w="2802" w:type="dxa"/>
          </w:tcPr>
          <w:p w14:paraId="1D2015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314</w:t>
            </w:r>
          </w:p>
        </w:tc>
        <w:tc>
          <w:tcPr>
            <w:tcW w:w="2802" w:type="dxa"/>
          </w:tcPr>
          <w:p w14:paraId="72E894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316</w:t>
            </w:r>
          </w:p>
        </w:tc>
      </w:tr>
      <w:tr w:rsidR="00E3599D" w:rsidRPr="00E14102" w14:paraId="45B9DCE5" w14:textId="77777777">
        <w:tc>
          <w:tcPr>
            <w:tcW w:w="2802" w:type="dxa"/>
          </w:tcPr>
          <w:p w14:paraId="691645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w:t>
            </w:r>
          </w:p>
        </w:tc>
        <w:tc>
          <w:tcPr>
            <w:tcW w:w="2802" w:type="dxa"/>
          </w:tcPr>
          <w:p w14:paraId="166C97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93</w:t>
            </w:r>
          </w:p>
        </w:tc>
        <w:tc>
          <w:tcPr>
            <w:tcW w:w="2802" w:type="dxa"/>
          </w:tcPr>
          <w:p w14:paraId="5EFEBF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94</w:t>
            </w:r>
          </w:p>
        </w:tc>
        <w:tc>
          <w:tcPr>
            <w:tcW w:w="2802" w:type="dxa"/>
          </w:tcPr>
          <w:p w14:paraId="6DF75D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w:t>
            </w:r>
          </w:p>
        </w:tc>
      </w:tr>
      <w:tr w:rsidR="00E3599D" w:rsidRPr="00E14102" w14:paraId="2ECAD19E" w14:textId="77777777">
        <w:tc>
          <w:tcPr>
            <w:tcW w:w="2802" w:type="dxa"/>
          </w:tcPr>
          <w:p w14:paraId="065C0B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Практический потолок,м</w:t>
            </w:r>
          </w:p>
        </w:tc>
        <w:tc>
          <w:tcPr>
            <w:tcW w:w="2802" w:type="dxa"/>
          </w:tcPr>
          <w:p w14:paraId="1442F2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7250"</w:t>
            </w:r>
          </w:p>
        </w:tc>
        <w:tc>
          <w:tcPr>
            <w:tcW w:w="2802" w:type="dxa"/>
          </w:tcPr>
          <w:p w14:paraId="676652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9100</w:t>
            </w:r>
          </w:p>
        </w:tc>
        <w:tc>
          <w:tcPr>
            <w:tcW w:w="2802" w:type="dxa"/>
          </w:tcPr>
          <w:p w14:paraId="5B7190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8700</w:t>
            </w:r>
          </w:p>
        </w:tc>
      </w:tr>
      <w:tr w:rsidR="00E3599D" w:rsidRPr="00E14102" w14:paraId="47081D39" w14:textId="77777777">
        <w:tc>
          <w:tcPr>
            <w:tcW w:w="2802" w:type="dxa"/>
          </w:tcPr>
          <w:p w14:paraId="35D879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полёта, м</w:t>
            </w:r>
          </w:p>
        </w:tc>
        <w:tc>
          <w:tcPr>
            <w:tcW w:w="2802" w:type="dxa"/>
          </w:tcPr>
          <w:p w14:paraId="4CB0B1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8052'</w:t>
            </w:r>
          </w:p>
        </w:tc>
        <w:tc>
          <w:tcPr>
            <w:tcW w:w="2802" w:type="dxa"/>
          </w:tcPr>
          <w:p w14:paraId="318990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2802" w:type="dxa"/>
          </w:tcPr>
          <w:p w14:paraId="057726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r>
      <w:tr w:rsidR="00E3599D" w:rsidRPr="00E14102" w14:paraId="21B8E952" w14:textId="77777777">
        <w:tc>
          <w:tcPr>
            <w:tcW w:w="2802" w:type="dxa"/>
          </w:tcPr>
          <w:p w14:paraId="1D55E0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Набор высоты 3000 м, мин</w:t>
            </w:r>
          </w:p>
        </w:tc>
        <w:tc>
          <w:tcPr>
            <w:tcW w:w="2802" w:type="dxa"/>
          </w:tcPr>
          <w:p w14:paraId="02873C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7,3</w:t>
            </w:r>
          </w:p>
        </w:tc>
        <w:tc>
          <w:tcPr>
            <w:tcW w:w="2802" w:type="dxa"/>
          </w:tcPr>
          <w:p w14:paraId="192ACB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w:t>
            </w:r>
          </w:p>
        </w:tc>
        <w:tc>
          <w:tcPr>
            <w:tcW w:w="2802" w:type="dxa"/>
          </w:tcPr>
          <w:p w14:paraId="19C47B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6,6</w:t>
            </w:r>
          </w:p>
        </w:tc>
      </w:tr>
      <w:tr w:rsidR="00E3599D" w:rsidRPr="00E14102" w14:paraId="73F3618F" w14:textId="77777777">
        <w:tc>
          <w:tcPr>
            <w:tcW w:w="2802" w:type="dxa"/>
          </w:tcPr>
          <w:p w14:paraId="4DDBA2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Разбег, м</w:t>
            </w:r>
          </w:p>
        </w:tc>
        <w:tc>
          <w:tcPr>
            <w:tcW w:w="2802" w:type="dxa"/>
          </w:tcPr>
          <w:p w14:paraId="7DF85BDB"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3BE8CF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210</w:t>
            </w:r>
          </w:p>
        </w:tc>
        <w:tc>
          <w:tcPr>
            <w:tcW w:w="2802" w:type="dxa"/>
          </w:tcPr>
          <w:p w14:paraId="6D79C7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270</w:t>
            </w:r>
          </w:p>
        </w:tc>
      </w:tr>
      <w:tr w:rsidR="00E3599D" w:rsidRPr="00E14102" w14:paraId="78713222" w14:textId="77777777">
        <w:tc>
          <w:tcPr>
            <w:tcW w:w="2802" w:type="dxa"/>
          </w:tcPr>
          <w:p w14:paraId="5AF293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Пробег, м</w:t>
            </w:r>
          </w:p>
        </w:tc>
        <w:tc>
          <w:tcPr>
            <w:tcW w:w="2802" w:type="dxa"/>
          </w:tcPr>
          <w:p w14:paraId="271071C9"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3CE9E3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w:t>
            </w:r>
          </w:p>
        </w:tc>
        <w:tc>
          <w:tcPr>
            <w:tcW w:w="2802" w:type="dxa"/>
          </w:tcPr>
          <w:p w14:paraId="73D975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220</w:t>
            </w:r>
          </w:p>
        </w:tc>
      </w:tr>
      <w:tr w:rsidR="00E3599D" w:rsidRPr="00E14102" w14:paraId="6B80DE7D" w14:textId="77777777">
        <w:tc>
          <w:tcPr>
            <w:tcW w:w="2802" w:type="dxa"/>
          </w:tcPr>
          <w:p w14:paraId="299D4D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Бомбовая нагрузка, кг</w:t>
            </w:r>
          </w:p>
        </w:tc>
        <w:tc>
          <w:tcPr>
            <w:tcW w:w="2802" w:type="dxa"/>
          </w:tcPr>
          <w:p w14:paraId="12A181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2802" w:type="dxa"/>
          </w:tcPr>
          <w:p w14:paraId="58E76C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2802" w:type="dxa"/>
          </w:tcPr>
          <w:p w14:paraId="414ABE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r>
      <w:tr w:rsidR="00E3599D" w:rsidRPr="00E14102" w14:paraId="7BE32C91" w14:textId="77777777">
        <w:tc>
          <w:tcPr>
            <w:tcW w:w="2802" w:type="dxa"/>
            <w:tcBorders>
              <w:bottom w:val="single" w:sz="12" w:space="0" w:color="auto"/>
            </w:tcBorders>
          </w:tcPr>
          <w:p w14:paraId="49E448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w:t>
            </w:r>
          </w:p>
        </w:tc>
        <w:tc>
          <w:tcPr>
            <w:tcW w:w="2802" w:type="dxa"/>
            <w:tcBorders>
              <w:bottom w:val="single" w:sz="12" w:space="0" w:color="auto"/>
            </w:tcBorders>
          </w:tcPr>
          <w:p w14:paraId="55C740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2x7,62</w:t>
            </w:r>
          </w:p>
        </w:tc>
        <w:tc>
          <w:tcPr>
            <w:tcW w:w="2802" w:type="dxa"/>
            <w:tcBorders>
              <w:bottom w:val="single" w:sz="12" w:space="0" w:color="auto"/>
            </w:tcBorders>
          </w:tcPr>
          <w:p w14:paraId="580AA6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2x7,62</w:t>
            </w:r>
          </w:p>
        </w:tc>
        <w:tc>
          <w:tcPr>
            <w:tcW w:w="2802" w:type="dxa"/>
            <w:tcBorders>
              <w:bottom w:val="single" w:sz="12" w:space="0" w:color="auto"/>
            </w:tcBorders>
          </w:tcPr>
          <w:p w14:paraId="2B9B32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2x7,62</w:t>
            </w:r>
          </w:p>
        </w:tc>
      </w:tr>
    </w:tbl>
    <w:p w14:paraId="5531B1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Примечания: 1) - по другим данным - 7400 м; 2) - по другим данным 700 км: 3) - после доработки, первоначально - 1637 кг</w:t>
      </w:r>
    </w:p>
    <w:p w14:paraId="6E7E30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Выводы испытателей были весьма интересны. Лётные данные Р-Зет по сравнению с Р-5 улучшились, хотя до уровня проектных явно не дотягивали. Прирост в основном имел место на больших высотах за счёт наличия нагнетателя на моторе. Так, у земли разница в скорости со штурмовиком ССС (вариантом Р-5 с мотором М-17Ф) составляла всего 7 км/ч. И вообще в НИИ ВВС пришли к выводу, что все преимущества привнёс более мощный и высотный двигатель М-34Н, а изменения в конструкции планёра, с точки зрения аэродинамики, оказались неэффективны. В частности, уменьшение площади крыла повышению скорости вообще не способствовало.</w:t>
      </w:r>
    </w:p>
    <w:p w14:paraId="7A0EFF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Новый мотор мог обеспечить и большую тягу, но его увязали с двухлопастным винтом постоянного шага, имевшим слишком маленький диаметр и слишком большой шаг. Но простое увеличение диаметра не дало бы существенного выигрыша. Требовалось переходить на трёхлопастный винт и к тому же снабдить мотор редуктором.</w:t>
      </w:r>
    </w:p>
    <w:p w14:paraId="2C79B2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Взлётно-посадочные качества по сравнению с Р-5 ухудшились. Дистанция разбега стала больше. У P-Z оказалась более пологая глиссада планирования. Самолёт долго нёсся над землёй, требуя больших площадок, хотя собственно пробег был даже чуть меньше, чем у Р-5. Столь же медленно новый биплан поднимал хвост на взлёте.</w:t>
      </w:r>
    </w:p>
    <w:p w14:paraId="53B7FE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Резкую критику вызвал непривычный по тому времени закрытый фонарь кабины. Обзор единодушно признали плохим. В отчёте об испытаниях указано, что из-за этого "полёт ниже 50 м просто опасен". Кроме того, замки фонаря часто заедало: его не могли то открыть, то закрыть. Экипаж жаловался на духоту и попадание в кабину выхлопных газов. Кончилось тем, что фонарь полностью демонтировали и поставили перед каждой кабиной по козырьку. Скорость упала на 8 - 10 км/ч, но зато пилот мог ясно видеть, что происходит вокруг.Мотор М-34Н перегревался, особенно на рулении. На опытном образце машины проявились и другие дефекты: самопроизвольно выпускался радиатор (висевший всего в 300 мм от земли), протекали краны и баки, разбалтывался кок винта. Отметили также отказы тормозов колёс и ненадёжность турели Тур-32.</w:t>
      </w:r>
    </w:p>
    <w:p w14:paraId="54A444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в целом вывод гласил: "признать удовлетворительным". Оговорки, конечно, были. Как обычно, перечислили все выявленные недостатки и потребовали их устранить на серийных машинах. Но деваться было уже некуда: завод № 1 получил план на 1935 г., в котором требовалось к сентябрю выпустить первую серию Р-Зет (11995).</w:t>
      </w:r>
    </w:p>
    <w:p w14:paraId="3CEBF6EB" w14:textId="77777777" w:rsidR="00D4105E" w:rsidRPr="00E14102" w:rsidRDefault="00D4105E" w:rsidP="00E14102">
      <w:pPr>
        <w:autoSpaceDE w:val="0"/>
        <w:autoSpaceDN w:val="0"/>
        <w:adjustRightInd w:val="0"/>
        <w:jc w:val="both"/>
        <w:rPr>
          <w:color w:val="000000" w:themeColor="text1"/>
          <w:sz w:val="16"/>
          <w:szCs w:val="16"/>
        </w:rPr>
      </w:pPr>
    </w:p>
    <w:p w14:paraId="436C6D30" w14:textId="77777777" w:rsidR="00BE63CE" w:rsidRPr="00E14102" w:rsidRDefault="00BE63CE" w:rsidP="00E14102">
      <w:pPr>
        <w:pStyle w:val="rtejustify"/>
        <w:spacing w:before="0" w:after="0"/>
        <w:rPr>
          <w:color w:val="000000" w:themeColor="text1"/>
          <w:sz w:val="16"/>
          <w:szCs w:val="16"/>
        </w:rPr>
      </w:pPr>
      <w:r w:rsidRPr="00E14102">
        <w:rPr>
          <w:color w:val="000000" w:themeColor="text1"/>
          <w:sz w:val="16"/>
          <w:szCs w:val="16"/>
        </w:rPr>
        <w:t>В сентябре 1934 г. заводом № 39 были получены Тактико-технические требования на самолет СР. Первый полет опытного самолета состоялся в феврале 1936 г. Головная серия из трех самолетов не сделана до сих пор. Завод № 1, которому было поручено изготовление этих самолетов, с самого начала не проявил серьезного отношения к этим машинам. Завод № 1 сосредоточил свое внимание на создании самолета собственной конструкции РШ</w:t>
      </w:r>
      <w:r w:rsidRPr="00E14102">
        <w:rPr>
          <w:color w:val="000000" w:themeColor="text1"/>
          <w:sz w:val="16"/>
          <w:szCs w:val="16"/>
        </w:rPr>
        <w:noBreakHyphen/>
        <w:t>1, который, по его мнению, должен заменить ДИ</w:t>
      </w:r>
      <w:r w:rsidRPr="00E14102">
        <w:rPr>
          <w:color w:val="000000" w:themeColor="text1"/>
          <w:sz w:val="16"/>
          <w:szCs w:val="16"/>
        </w:rPr>
        <w:noBreakHyphen/>
        <w:t>6 в штурмовом варианте. Издав немало приказов о необходимости выполнять программу по ДИ</w:t>
      </w:r>
      <w:r w:rsidRPr="00E14102">
        <w:rPr>
          <w:color w:val="000000" w:themeColor="text1"/>
          <w:sz w:val="16"/>
          <w:szCs w:val="16"/>
        </w:rPr>
        <w:noBreakHyphen/>
        <w:t>6, руководство завода № 1 своими практическими мероприятиями тормозит производство его. Это особенно видно сейчас, при наметках программы на 1937 г., в которых абсолютно не отражаются ни ДИ</w:t>
      </w:r>
      <w:r w:rsidRPr="00E14102">
        <w:rPr>
          <w:color w:val="000000" w:themeColor="text1"/>
          <w:sz w:val="16"/>
          <w:szCs w:val="16"/>
        </w:rPr>
        <w:noBreakHyphen/>
        <w:t>6, ни СР. Между тем, завод № 1 израсходовал на изготовление приспособлений и инструмента для машин ДИ</w:t>
      </w:r>
      <w:r w:rsidRPr="00E14102">
        <w:rPr>
          <w:color w:val="000000" w:themeColor="text1"/>
          <w:sz w:val="16"/>
          <w:szCs w:val="16"/>
        </w:rPr>
        <w:noBreakHyphen/>
        <w:t>6 около 10 млн. руб. (15405).</w:t>
      </w:r>
    </w:p>
    <w:p w14:paraId="31A59FC8" w14:textId="77777777" w:rsidR="00BE63CE" w:rsidRPr="00E14102" w:rsidRDefault="00BE63CE" w:rsidP="00E14102">
      <w:pPr>
        <w:jc w:val="both"/>
        <w:rPr>
          <w:bCs/>
          <w:color w:val="000000" w:themeColor="text1"/>
          <w:sz w:val="16"/>
          <w:szCs w:val="16"/>
        </w:rPr>
      </w:pPr>
    </w:p>
    <w:p w14:paraId="39EF913A" w14:textId="77777777" w:rsidR="001F6389" w:rsidRPr="00E14102" w:rsidRDefault="001F6389"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В сентябре 1935 г. бригада № 3 КОСОС ЦАГИ, возглавляемая П О. Су</w:t>
      </w:r>
      <w:r w:rsidRPr="00E14102">
        <w:rPr>
          <w:color w:val="000000" w:themeColor="text1"/>
          <w:sz w:val="16"/>
          <w:szCs w:val="16"/>
        </w:rPr>
        <w:softHyphen/>
        <w:t>хим, в инициативном порядке приступила к изысканиям по проекту скоростного разведчика № 51 (он же АНТ-51) с дви</w:t>
      </w:r>
      <w:r w:rsidRPr="00E14102">
        <w:rPr>
          <w:color w:val="000000" w:themeColor="text1"/>
          <w:sz w:val="16"/>
          <w:szCs w:val="16"/>
        </w:rPr>
        <w:softHyphen/>
        <w:t>гателем М-34ФРН</w:t>
      </w:r>
    </w:p>
    <w:p w14:paraId="36A3222E" w14:textId="77777777" w:rsidR="001F6389" w:rsidRPr="00E14102" w:rsidRDefault="001F6389"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По предварительному расчету, само</w:t>
      </w:r>
      <w:r w:rsidRPr="00E14102">
        <w:rPr>
          <w:color w:val="000000" w:themeColor="text1"/>
          <w:sz w:val="16"/>
          <w:szCs w:val="16"/>
        </w:rPr>
        <w:softHyphen/>
        <w:t>лет должен был иметь размах крыла 13 м при площади 28,16 м</w:t>
      </w:r>
      <w:r w:rsidRPr="00E14102">
        <w:rPr>
          <w:color w:val="000000" w:themeColor="text1"/>
          <w:sz w:val="16"/>
          <w:szCs w:val="16"/>
          <w:vertAlign w:val="superscript"/>
        </w:rPr>
        <w:t>2</w:t>
      </w:r>
      <w:r w:rsidRPr="00E14102">
        <w:rPr>
          <w:color w:val="000000" w:themeColor="text1"/>
          <w:sz w:val="16"/>
          <w:szCs w:val="16"/>
        </w:rPr>
        <w:t>. Вес пустой маши</w:t>
      </w:r>
      <w:r w:rsidRPr="00E14102">
        <w:rPr>
          <w:color w:val="000000" w:themeColor="text1"/>
          <w:sz w:val="16"/>
          <w:szCs w:val="16"/>
        </w:rPr>
        <w:softHyphen/>
        <w:t>ны определялся в 2076 кг, полетный - в 3210 кг. При этом максимальная скорость на высоте 4000 м достигала бы 455 км/ч при вполне приемлемой посадочной в 109 км/ч. На высоту 3000 м АНТ-51 мог подняться за 5,2 мин, на 7000 м - за 18,6 мин Практический потолок оцени</w:t>
      </w:r>
      <w:r w:rsidRPr="00E14102">
        <w:rPr>
          <w:color w:val="000000" w:themeColor="text1"/>
          <w:sz w:val="16"/>
          <w:szCs w:val="16"/>
        </w:rPr>
        <w:softHyphen/>
        <w:t>вался в 9800 м, а дальность полета на скорости 290 км/ч - в 1500 км (19102).</w:t>
      </w:r>
    </w:p>
    <w:p w14:paraId="2B631CD3" w14:textId="77777777" w:rsidR="001F6389" w:rsidRPr="00E14102" w:rsidRDefault="001F6389"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До конца 1935 г. в бригаде № 3 КОСОС ЦАГИ, возглавляемой П О. Су</w:t>
      </w:r>
      <w:r w:rsidRPr="00E14102">
        <w:rPr>
          <w:color w:val="000000" w:themeColor="text1"/>
          <w:sz w:val="16"/>
          <w:szCs w:val="16"/>
        </w:rPr>
        <w:softHyphen/>
        <w:t>хим провели аэродинами</w:t>
      </w:r>
      <w:r w:rsidRPr="00E14102">
        <w:rPr>
          <w:color w:val="000000" w:themeColor="text1"/>
          <w:sz w:val="16"/>
          <w:szCs w:val="16"/>
        </w:rPr>
        <w:softHyphen/>
        <w:t>ческий и центровочный расчеты машины В производство сдали четыре опытных отсека крыла, предназначенные для прочностных испытаний (19102).</w:t>
      </w:r>
    </w:p>
    <w:p w14:paraId="14558387" w14:textId="77777777" w:rsidR="001F6389" w:rsidRPr="00E14102" w:rsidRDefault="001F6389" w:rsidP="00E14102">
      <w:pPr>
        <w:pStyle w:val="24"/>
        <w:shd w:val="clear" w:color="auto" w:fill="auto"/>
        <w:spacing w:after="0" w:line="240" w:lineRule="auto"/>
        <w:ind w:firstLine="0"/>
        <w:jc w:val="both"/>
        <w:rPr>
          <w:color w:val="000000" w:themeColor="text1"/>
          <w:sz w:val="16"/>
          <w:szCs w:val="16"/>
        </w:rPr>
      </w:pPr>
    </w:p>
    <w:p w14:paraId="2FA380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 самолет Р-5 с V-образным оперением по второму варианту по причине разрушения V-образного оперения потерпел катастрофу. Погибли автор изобретения и летчик Гродзь (5016).</w:t>
      </w:r>
    </w:p>
    <w:p w14:paraId="2E7FB9EA" w14:textId="77777777" w:rsidR="00D4105E" w:rsidRPr="00E14102" w:rsidRDefault="00D4105E" w:rsidP="00E14102">
      <w:pPr>
        <w:autoSpaceDE w:val="0"/>
        <w:autoSpaceDN w:val="0"/>
        <w:adjustRightInd w:val="0"/>
        <w:jc w:val="both"/>
        <w:rPr>
          <w:color w:val="000000" w:themeColor="text1"/>
          <w:sz w:val="16"/>
          <w:szCs w:val="16"/>
        </w:rPr>
      </w:pPr>
    </w:p>
    <w:p w14:paraId="750C08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сентябре 1935 г. эскизный про</w:t>
      </w:r>
      <w:r w:rsidRPr="00E14102">
        <w:rPr>
          <w:color w:val="000000" w:themeColor="text1"/>
          <w:sz w:val="16"/>
          <w:szCs w:val="16"/>
        </w:rPr>
        <w:softHyphen/>
        <w:t>ект истребителя ЦКБ-29 переработали под высотный мотор Райт “Циклон” Р-54 (614 л.с. у земли, 710 л.с. на высоте 4880 м). При взлетном весе 1460 кг истребитель мог развить максимальную скорость 380 км/ч у земли, 440 км/ч на высоте 3000 м, 475 км/ч на 5000 м, 450 км/ч на 7000 м и достигать потолка 10500 м. Время набора высоты 5000 м равнялось 5,6 мин. Разрабатывая проект установки мотора Гном-Рон К-9 на И-16, Николай Николаевич не ограничился толь</w:t>
      </w:r>
      <w:r w:rsidRPr="00E14102">
        <w:rPr>
          <w:color w:val="000000" w:themeColor="text1"/>
          <w:sz w:val="16"/>
          <w:szCs w:val="16"/>
        </w:rPr>
        <w:softHyphen/>
        <w:t>ко вопросами смены двигательной установки, а попы</w:t>
      </w:r>
      <w:r w:rsidRPr="00E14102">
        <w:rPr>
          <w:color w:val="000000" w:themeColor="text1"/>
          <w:sz w:val="16"/>
          <w:szCs w:val="16"/>
        </w:rPr>
        <w:softHyphen/>
        <w:t>тался улучшить аэродинамику машины. Для этой цели у ЦКБ-29, который предполагалось выполнить в рамках традиционных для И-16 решений, заголовник был практически параллелен строительной оси самолета, введены другие улучшения. Появление новой и более совершенной модификации двигателя Гном-Рон К-14 сделало работу над ЦКБ-29 с К-9 ненужной. Точное время завершения разработки проекта неиз</w:t>
      </w:r>
      <w:r w:rsidRPr="00E14102">
        <w:rPr>
          <w:color w:val="000000" w:themeColor="text1"/>
          <w:sz w:val="16"/>
          <w:szCs w:val="16"/>
        </w:rPr>
        <w:softHyphen/>
        <w:t>вестно. На проходившем в ЦКБ под председательством С.В.Ильюшина совещании (ноябрь 1935 г.) указывалось: “...По машине (ЦКБ-29) И-16 с Ф-54 (серийная машина № 57) - чертежи в производстве. Срок выпуска машины из производства 1/1-36 г. в блоке “Б”, а доводки и испытания переходят на 1936 г., также переходят и испытания 3-х вариантов винтов (2-х электронных и 1 дюралевого). Кроме этого, данная машина подготавливается как ре</w:t>
      </w:r>
      <w:r w:rsidRPr="00E14102">
        <w:rPr>
          <w:color w:val="000000" w:themeColor="text1"/>
          <w:sz w:val="16"/>
          <w:szCs w:val="16"/>
        </w:rPr>
        <w:softHyphen/>
        <w:t>кордная на дальность полета, для чего изготовить доба</w:t>
      </w:r>
      <w:r w:rsidRPr="00E14102">
        <w:rPr>
          <w:color w:val="000000" w:themeColor="text1"/>
          <w:sz w:val="16"/>
          <w:szCs w:val="16"/>
        </w:rPr>
        <w:softHyphen/>
        <w:t>вочные баки и произвести переоборудование. Срок выхода самолета по данному варианту намечается про</w:t>
      </w:r>
      <w:r w:rsidRPr="00E14102">
        <w:rPr>
          <w:color w:val="000000" w:themeColor="text1"/>
          <w:sz w:val="16"/>
          <w:szCs w:val="16"/>
        </w:rPr>
        <w:softHyphen/>
        <w:t>изводством 15 апреля. Бригада передает эскизы в произ</w:t>
      </w:r>
      <w:r w:rsidRPr="00E14102">
        <w:rPr>
          <w:color w:val="000000" w:themeColor="text1"/>
          <w:sz w:val="16"/>
          <w:szCs w:val="16"/>
        </w:rPr>
        <w:softHyphen/>
        <w:t>водство к 1/1-36 г.”. С мотором Райт “Циклон” Ф-54 в ОКБ проектировал</w:t>
      </w:r>
      <w:r w:rsidRPr="00E14102">
        <w:rPr>
          <w:color w:val="000000" w:themeColor="text1"/>
          <w:sz w:val="16"/>
          <w:szCs w:val="16"/>
        </w:rPr>
        <w:softHyphen/>
        <w:t>ся еще один истребитель - ЦКБ-44, до постройки кото</w:t>
      </w:r>
      <w:r w:rsidRPr="00E14102">
        <w:rPr>
          <w:color w:val="000000" w:themeColor="text1"/>
          <w:sz w:val="16"/>
          <w:szCs w:val="16"/>
        </w:rPr>
        <w:softHyphen/>
        <w:t>рого дело, однако, не дошло (10667).</w:t>
      </w:r>
    </w:p>
    <w:p w14:paraId="69BC21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152C6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сентября 1935 г. Поликарпов занимался разработ</w:t>
      </w:r>
      <w:r w:rsidRPr="00E14102">
        <w:rPr>
          <w:color w:val="000000" w:themeColor="text1"/>
          <w:sz w:val="16"/>
          <w:szCs w:val="16"/>
        </w:rPr>
        <w:softHyphen/>
        <w:t>кой убираемых лыж для И-16. Лыжи прижимались к фюзеляжу, а загнутые носки укладывались в специаль</w:t>
      </w:r>
      <w:r w:rsidRPr="00E14102">
        <w:rPr>
          <w:color w:val="000000" w:themeColor="text1"/>
          <w:sz w:val="16"/>
          <w:szCs w:val="16"/>
        </w:rPr>
        <w:softHyphen/>
        <w:t>ные ниши в нижних панелях капота. Эти первые в ми</w:t>
      </w:r>
      <w:r w:rsidRPr="00E14102">
        <w:rPr>
          <w:color w:val="000000" w:themeColor="text1"/>
          <w:sz w:val="16"/>
          <w:szCs w:val="16"/>
        </w:rPr>
        <w:softHyphen/>
        <w:t>ровой практике убираемые лыжи для истребителя в феврале 1936 г. прошли испытания на двух И-16 с М-22 и в конце 1937 г. внедрены в производство (10667).</w:t>
      </w:r>
    </w:p>
    <w:p w14:paraId="0FA51477" w14:textId="77777777" w:rsidR="00D4105E" w:rsidRPr="00E14102" w:rsidRDefault="00D4105E" w:rsidP="00E14102">
      <w:pPr>
        <w:autoSpaceDE w:val="0"/>
        <w:autoSpaceDN w:val="0"/>
        <w:adjustRightInd w:val="0"/>
        <w:jc w:val="both"/>
        <w:rPr>
          <w:color w:val="000000" w:themeColor="text1"/>
          <w:sz w:val="16"/>
          <w:szCs w:val="16"/>
        </w:rPr>
      </w:pPr>
    </w:p>
    <w:p w14:paraId="4B0EC1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проходили специальные испытания серийного И-16 на штопор с участием П.М.Стефановского. Проводили чтобы успокоить летчиков. Было проведено 90 полетов за короткое время с вводом и выводом. Повторили в ноябре 1937 (121,29).</w:t>
      </w:r>
    </w:p>
    <w:p w14:paraId="1026A092" w14:textId="77777777" w:rsidR="00D4105E" w:rsidRPr="00E14102" w:rsidRDefault="00D4105E" w:rsidP="00E14102">
      <w:pPr>
        <w:autoSpaceDE w:val="0"/>
        <w:autoSpaceDN w:val="0"/>
        <w:adjustRightInd w:val="0"/>
        <w:jc w:val="both"/>
        <w:rPr>
          <w:color w:val="000000" w:themeColor="text1"/>
          <w:sz w:val="16"/>
          <w:szCs w:val="16"/>
        </w:rPr>
      </w:pPr>
    </w:p>
    <w:p w14:paraId="34EAB0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 детальные исследования штопор</w:t>
      </w:r>
      <w:r w:rsidRPr="00E14102">
        <w:rPr>
          <w:color w:val="000000" w:themeColor="text1"/>
          <w:sz w:val="16"/>
          <w:szCs w:val="16"/>
        </w:rPr>
        <w:softHyphen/>
        <w:t>ных свойств серийного И-16 с М-22 провел летчик-ис</w:t>
      </w:r>
      <w:r w:rsidRPr="00E14102">
        <w:rPr>
          <w:color w:val="000000" w:themeColor="text1"/>
          <w:sz w:val="16"/>
          <w:szCs w:val="16"/>
        </w:rPr>
        <w:softHyphen/>
        <w:t>пытатель П.М.Стефановский. В своих воспоминаниях он писал: “И-16 оказался не таким уж страшным, как о нем говорили. Хотя на штопоре он вел себя и не совсем обычно, но всегда выходил из него с самым незначи</w:t>
      </w:r>
      <w:r w:rsidRPr="00E14102">
        <w:rPr>
          <w:color w:val="000000" w:themeColor="text1"/>
          <w:sz w:val="16"/>
          <w:szCs w:val="16"/>
        </w:rPr>
        <w:softHyphen/>
        <w:t>тельным запаздыванием. Плоский и перевернутый штопоры не нем вовсе не получались. Из последнего он сразу же выходил сам” (10667).</w:t>
      </w:r>
    </w:p>
    <w:p w14:paraId="2A754521" w14:textId="77777777" w:rsidR="00D4105E" w:rsidRPr="00E14102" w:rsidRDefault="00D4105E" w:rsidP="00E14102">
      <w:pPr>
        <w:autoSpaceDE w:val="0"/>
        <w:autoSpaceDN w:val="0"/>
        <w:adjustRightInd w:val="0"/>
        <w:jc w:val="both"/>
        <w:rPr>
          <w:color w:val="000000" w:themeColor="text1"/>
          <w:sz w:val="16"/>
          <w:szCs w:val="16"/>
        </w:rPr>
      </w:pPr>
    </w:p>
    <w:p w14:paraId="6FE9BE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сентябре 1935 г. проходили заводские испытания И-16 с неубираемым шасси (был взят один из первых серийных истребителей И-16 тип 4 № 4217, у которого шасси закрыли обтекателями-“штанами”, зашили ниши на нижней поверхности крыла), испытания в НИИ ВВС - с 21 октября по 16 ноября. Их проводил летчик-испытатель П.М.Стефановский. У зем</w:t>
      </w:r>
      <w:r w:rsidRPr="00E14102">
        <w:rPr>
          <w:color w:val="000000" w:themeColor="text1"/>
          <w:sz w:val="16"/>
          <w:szCs w:val="16"/>
        </w:rPr>
        <w:softHyphen/>
        <w:t>ли удалось достичь максимальной скорости 345 км/ч и 335 км/ч на высоте 3000 м. Потолок снизился до 7110 м.</w:t>
      </w:r>
    </w:p>
    <w:p w14:paraId="754BB6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выводах по результатам испытаний отмечалось:</w:t>
      </w:r>
    </w:p>
    <w:p w14:paraId="74A1FF3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Самолет И16-М22 с неубираемым шасси по лет</w:t>
      </w:r>
      <w:r w:rsidRPr="00E14102">
        <w:rPr>
          <w:color w:val="000000" w:themeColor="text1"/>
          <w:sz w:val="16"/>
          <w:szCs w:val="16"/>
        </w:rPr>
        <w:softHyphen/>
        <w:t>ным данным уступает самолету с убираемым шасси, но имеет большую устойчивость на фигурах за счет доба</w:t>
      </w:r>
      <w:r w:rsidRPr="00E14102">
        <w:rPr>
          <w:color w:val="000000" w:themeColor="text1"/>
          <w:sz w:val="16"/>
          <w:szCs w:val="16"/>
        </w:rPr>
        <w:softHyphen/>
        <w:t>вочных вертикальных поверхностей (шасси в обтекате</w:t>
      </w:r>
      <w:r w:rsidRPr="00E14102">
        <w:rPr>
          <w:color w:val="000000" w:themeColor="text1"/>
          <w:sz w:val="16"/>
          <w:szCs w:val="16"/>
        </w:rPr>
        <w:softHyphen/>
        <w:t>лях).</w:t>
      </w:r>
    </w:p>
    <w:p w14:paraId="05C89A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Конструкция самого шасси не доработана” (10667).</w:t>
      </w:r>
    </w:p>
    <w:p w14:paraId="7BDA13E7" w14:textId="77777777" w:rsidR="00D4105E" w:rsidRPr="00E14102" w:rsidRDefault="00D4105E" w:rsidP="00E14102">
      <w:pPr>
        <w:autoSpaceDE w:val="0"/>
        <w:autoSpaceDN w:val="0"/>
        <w:adjustRightInd w:val="0"/>
        <w:jc w:val="both"/>
        <w:rPr>
          <w:color w:val="000000" w:themeColor="text1"/>
          <w:sz w:val="16"/>
          <w:szCs w:val="16"/>
        </w:rPr>
      </w:pPr>
    </w:p>
    <w:p w14:paraId="783A74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 бригада № 2 ЦКБ Н.Н. Поликарпова, которая была переведена на завод № 21 после 01.1933 г., была преобразована в ОКБ гл. конструктора Н.Н. Поликарпова на заводе № 21. С 07(05). 1936 г. Поликарпов одновременно назначен гл. конструктором завода № 21 и завода № 84.</w:t>
      </w:r>
    </w:p>
    <w:p w14:paraId="75A204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Создан истребитель И-16, первый полет 30.12.1933 г. Приказом № 00109 от 19.05.1937 г. КБ поручено к 20.05.1937 г. разработать конструкцию бронесиденья для И-16.</w:t>
      </w:r>
    </w:p>
    <w:p w14:paraId="6385F2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12.1937 г. ОКБ Поликарпова переведено на завод № 156 в Москву.</w:t>
      </w:r>
    </w:p>
    <w:p w14:paraId="24BEC4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гл. конструктор (09.1935 г.-)- Н.Н. Поликарпов.</w:t>
      </w:r>
    </w:p>
    <w:p w14:paraId="4595D1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начальника/ гл. конструктора (1934-35 г.)- В.К. Таиров, (1935-37 г.)- Д.Л. Томашевич, М.М. Пашинин (11982).</w:t>
      </w:r>
    </w:p>
    <w:p w14:paraId="1F83A8D7" w14:textId="77777777" w:rsidR="00D4105E" w:rsidRPr="00E14102" w:rsidRDefault="00D4105E" w:rsidP="00E14102">
      <w:pPr>
        <w:autoSpaceDE w:val="0"/>
        <w:autoSpaceDN w:val="0"/>
        <w:adjustRightInd w:val="0"/>
        <w:jc w:val="both"/>
        <w:rPr>
          <w:color w:val="000000" w:themeColor="text1"/>
          <w:sz w:val="16"/>
          <w:szCs w:val="16"/>
        </w:rPr>
      </w:pPr>
    </w:p>
    <w:p w14:paraId="18F104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 последовал приказ о пре</w:t>
      </w:r>
      <w:r w:rsidRPr="00E14102">
        <w:rPr>
          <w:color w:val="000000" w:themeColor="text1"/>
          <w:sz w:val="16"/>
          <w:szCs w:val="16"/>
        </w:rPr>
        <w:softHyphen/>
        <w:t>кращении серийного выпуска истребителей И-15 (10667).</w:t>
      </w:r>
    </w:p>
    <w:p w14:paraId="7138B038" w14:textId="77777777" w:rsidR="00D4105E" w:rsidRPr="00E14102" w:rsidRDefault="00D4105E" w:rsidP="00E14102">
      <w:pPr>
        <w:autoSpaceDE w:val="0"/>
        <w:autoSpaceDN w:val="0"/>
        <w:adjustRightInd w:val="0"/>
        <w:jc w:val="both"/>
        <w:rPr>
          <w:color w:val="000000" w:themeColor="text1"/>
          <w:sz w:val="16"/>
          <w:szCs w:val="16"/>
        </w:rPr>
      </w:pPr>
    </w:p>
    <w:p w14:paraId="26CD37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 летчик-испытатель В.П. Чкалов достиг на ЦКБ-15 довольно большой по тем временам скорости - 455 км/ч на высоте 3380 м, однако из-за неудачной конструкции шасси машину отклонили.</w:t>
      </w:r>
    </w:p>
    <w:p w14:paraId="29DEA2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Дальнейшие модификации создавались под индексом ЦКБ-19 (И-17) и предусматривали применение пушечного варианта мотора Hyspano Suiza 12Ycrs. Однако и они обладали целым букетом трудно устранимых недостатков. Из-за чрезмерно "обжатого" фюзеляжа кабина пилота получилась очень тесной, никак не удавалось обеспечить приемлемый температурный режим двигателю. Важнейшей "расчетной точкой" в программе создания истребителя И-17 являлось достижение скорости 500 км/ч. Однако даже приблизиться к заветному рубежу не удалось, что было предопределено недостаточной мощностью двигателя Hyspano Suiza, составлявшей всего 760-850 л.с. Аэродинамики поликарповского КБ выполнили цикл расчетов и наглядно показали - мотор перспективного истребителя должен развивать мощность не менее 1000 л.с. (12045).</w:t>
      </w:r>
    </w:p>
    <w:p w14:paraId="5D0BCAA1" w14:textId="77777777" w:rsidR="00D4105E" w:rsidRPr="00E14102" w:rsidRDefault="00D4105E" w:rsidP="00E14102">
      <w:pPr>
        <w:autoSpaceDE w:val="0"/>
        <w:autoSpaceDN w:val="0"/>
        <w:adjustRightInd w:val="0"/>
        <w:jc w:val="both"/>
        <w:rPr>
          <w:color w:val="000000" w:themeColor="text1"/>
          <w:sz w:val="16"/>
          <w:szCs w:val="16"/>
        </w:rPr>
      </w:pPr>
    </w:p>
    <w:p w14:paraId="2869780D" w14:textId="77777777" w:rsidR="00BE63CE" w:rsidRPr="00E14102" w:rsidRDefault="00BE63CE" w:rsidP="00E14102">
      <w:pPr>
        <w:shd w:val="clear" w:color="auto" w:fill="FFFFFF"/>
        <w:jc w:val="both"/>
        <w:rPr>
          <w:color w:val="000000" w:themeColor="text1"/>
          <w:sz w:val="16"/>
          <w:szCs w:val="16"/>
        </w:rPr>
      </w:pPr>
      <w:r w:rsidRPr="00E14102">
        <w:rPr>
          <w:color w:val="000000" w:themeColor="text1"/>
          <w:sz w:val="16"/>
          <w:szCs w:val="16"/>
        </w:rPr>
        <w:t xml:space="preserve">В сентябре 1935 года, после устранения недостатков, И-17 был повторно вывезен на аэродром. При дальнейших заводских испытаниях и подготовке к показу на воздушном параде, 6-го ноября он потерпел серьезную аварию. При посадке у истребителя из-за отказа замка сложилось шасси. Машина завалилась на крыло, </w:t>
      </w:r>
      <w:r w:rsidRPr="00E14102">
        <w:rPr>
          <w:color w:val="000000" w:themeColor="text1"/>
          <w:sz w:val="16"/>
          <w:szCs w:val="16"/>
        </w:rPr>
        <w:lastRenderedPageBreak/>
        <w:t>повредив консоль и крыльевые баки в центроплане. И-17 вновь вернули на завод. Истребителю требовался серьезный ремонт: пришлось заново делать шасси, консоль крыла, бензобаки. По требованию ВВС И-17 решили оснастить убираемыми в полете лыжами. Все это задержало испытание машины, и они были возобновлены лишь 20-го марта 1936 года. Однако большого интереса самолет уже не вызывал и фактически к концу 1936 года все испытания были прекращены (15223).</w:t>
      </w:r>
    </w:p>
    <w:p w14:paraId="712F6456" w14:textId="77777777" w:rsidR="00BE63CE" w:rsidRPr="00E14102" w:rsidRDefault="00BE63CE" w:rsidP="00E14102">
      <w:pPr>
        <w:shd w:val="clear" w:color="auto" w:fill="FFFFFF"/>
        <w:jc w:val="both"/>
        <w:rPr>
          <w:color w:val="000000" w:themeColor="text1"/>
          <w:sz w:val="16"/>
          <w:szCs w:val="16"/>
        </w:rPr>
      </w:pPr>
    </w:p>
    <w:p w14:paraId="42291A5F" w14:textId="77777777" w:rsidR="00BE63CE" w:rsidRPr="00E14102" w:rsidRDefault="00BE63CE" w:rsidP="00E14102">
      <w:pPr>
        <w:shd w:val="clear" w:color="auto" w:fill="FFFFFF"/>
        <w:jc w:val="both"/>
        <w:rPr>
          <w:color w:val="000000" w:themeColor="text1"/>
          <w:sz w:val="16"/>
          <w:szCs w:val="16"/>
        </w:rPr>
      </w:pPr>
      <w:r w:rsidRPr="00E14102">
        <w:rPr>
          <w:color w:val="000000" w:themeColor="text1"/>
          <w:sz w:val="16"/>
          <w:szCs w:val="16"/>
        </w:rPr>
        <w:t>С сентября 1935 года Н.Н. Поликарпов в инициативном порядке работал над проектом еще одного варианта истребителя И-18 – перехватчика ЦКБ-43 с двигателем «Испано-Сюиза». От ЦКБ-33 он отличался несколько худшей маневренностью, но большей скоростью. Проект был готов в феврале 1936 года. ЦКБ-43 мог развивать у земли скорость 450 км/ч, а на расчетной высоте 4300 метров – 520 км. Потолок – 9600 метров. Вооружение самолета состояло из двух пушек ШВАК в крыле. В перегрузку допускалась подвеска 200 кг бомб. Окончание разработки рабочих чертежей планировалось к апрелю, а начало заводских испытаний в июле 1936 года (15223).</w:t>
      </w:r>
    </w:p>
    <w:p w14:paraId="3DE59457" w14:textId="77777777" w:rsidR="00BE63CE" w:rsidRPr="00E14102" w:rsidRDefault="00BE63CE" w:rsidP="00E14102">
      <w:pPr>
        <w:shd w:val="clear" w:color="auto" w:fill="FFFFFF"/>
        <w:jc w:val="both"/>
        <w:rPr>
          <w:color w:val="000000" w:themeColor="text1"/>
          <w:sz w:val="16"/>
          <w:szCs w:val="16"/>
        </w:rPr>
      </w:pPr>
    </w:p>
    <w:p w14:paraId="2B78A1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закончились эксплуатационные испытания ИП-1, которые проходили с августа 1935 (80,154).</w:t>
      </w:r>
    </w:p>
    <w:p w14:paraId="4DDF3C0B" w14:textId="77777777" w:rsidR="00D4105E" w:rsidRPr="00E14102" w:rsidRDefault="00D4105E" w:rsidP="00E14102">
      <w:pPr>
        <w:autoSpaceDE w:val="0"/>
        <w:autoSpaceDN w:val="0"/>
        <w:adjustRightInd w:val="0"/>
        <w:jc w:val="both"/>
        <w:rPr>
          <w:color w:val="000000" w:themeColor="text1"/>
          <w:sz w:val="16"/>
          <w:szCs w:val="16"/>
        </w:rPr>
      </w:pPr>
    </w:p>
    <w:p w14:paraId="080F55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Начальник и военком в/ч 1127 Бажанов утвердил Отчет по гос. испытаниям самолета Г-20 с мотором М-11</w:t>
      </w:r>
    </w:p>
    <w:p w14:paraId="4F5B71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021319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 – Куликов</w:t>
      </w:r>
    </w:p>
    <w:p w14:paraId="31C091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летчик – Алтынов</w:t>
      </w:r>
    </w:p>
    <w:p w14:paraId="43A436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0DCB2BA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Определение летных данных самолета Г-20.</w:t>
      </w:r>
    </w:p>
    <w:p w14:paraId="46579CF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Выявление полетно-эксплуатационных свойств самолета для оценки по конкурсу легких самолетов 1935 года.</w:t>
      </w:r>
    </w:p>
    <w:p w14:paraId="2A2E43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BD3975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основании результатов гос. испытаний самолет Г-20 с мотором М-11 может быть допущен к участию в перелете по конкурсу легких самолетов при условии устранения недочетов (3985).</w:t>
      </w:r>
    </w:p>
    <w:p w14:paraId="0F62EDAF"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614501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Начальник и военком в/ч 1127 Бажанов утвердили Отчет по гос. испытаниям самолета Г-15 с мотором М-11</w:t>
      </w:r>
    </w:p>
    <w:p w14:paraId="2F5F39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733CE8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 – Куликов</w:t>
      </w:r>
    </w:p>
    <w:p w14:paraId="02AD56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летчик – Алтынов</w:t>
      </w:r>
    </w:p>
    <w:p w14:paraId="4ECCAF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1D64B2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Определение летных данных самолета Г-15.</w:t>
      </w:r>
    </w:p>
    <w:p w14:paraId="3B1591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Выявление полетно-эксплуатационных свойств самолета для оценки по конкурсу легких самолетов 1935 года.</w:t>
      </w:r>
    </w:p>
    <w:p w14:paraId="45759A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BBA257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 основании результатов гос. испытаний самолет Г-20 с мотором М-11 может быть допущен к участию в перелете по конкурсу легких самолетов при условии устранения недочетов.</w:t>
      </w:r>
    </w:p>
    <w:p w14:paraId="3F3D618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 серийной постройке самолет Г-15 как не имеющий особых преимуществ в отношении летных и эксплуатационных свойств рекомендован быть не может (3986).</w:t>
      </w:r>
    </w:p>
    <w:p w14:paraId="30D2B967"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1F1F83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самолеты В.К.Грибовского Г-15 и Г-20 под номером СССР-С 838 участвовали в перелете. На Г-15 на участке Москва - Горький уже сел на вынужденную - песок в баке. Потом - еще несколько раз. На Г-20 летел л Алтынов и занял второе место (9080).</w:t>
      </w:r>
    </w:p>
    <w:p w14:paraId="1715F1D3" w14:textId="77777777" w:rsidR="00D4105E" w:rsidRPr="00E14102" w:rsidRDefault="00D4105E" w:rsidP="00E14102">
      <w:pPr>
        <w:autoSpaceDE w:val="0"/>
        <w:autoSpaceDN w:val="0"/>
        <w:adjustRightInd w:val="0"/>
        <w:jc w:val="both"/>
        <w:rPr>
          <w:color w:val="000000" w:themeColor="text1"/>
          <w:sz w:val="16"/>
          <w:szCs w:val="16"/>
        </w:rPr>
      </w:pPr>
    </w:p>
    <w:p w14:paraId="3FEAD863"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В сентябре 1935 на первом этапе состязаний, на участке Москва - Горький Г-15 по причине остановки двигателя совершил вынужденную посадку. К месту аварии на У-2 вылетел сам конструктор, который немедленно переставил двигатель М-11 со связного самолета на перелетную машину. Г-15 после этого вторично стартовал, однако, вскоре история повторилась, и самолет пришлось снять с участия в состязаниях. Впоследствии в топливных баках Г-15 обнаружили песок, строились различные гипотезы о его появлении, подозревали в том числе и злой умысел, однако выяснить ничего не удалось.</w:t>
      </w:r>
    </w:p>
    <w:p w14:paraId="2F7C124D"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После возвращения в Москву Г-15 не летал, и работы по его совершенствованию не возобновлялись. Существовали планы использования фрагментов Г-15 для самолета «Утка», однако практического воплощения так и не последовало.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9"/>
      </w:tblGrid>
      <w:tr w:rsidR="00E3599D" w:rsidRPr="00E14102" w14:paraId="06EF086F"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D6E0A0" w14:textId="77777777" w:rsidR="00164F4F" w:rsidRPr="00E14102" w:rsidRDefault="00164F4F" w:rsidP="00E14102">
            <w:pPr>
              <w:jc w:val="both"/>
              <w:rPr>
                <w:color w:val="000000" w:themeColor="text1"/>
                <w:sz w:val="16"/>
                <w:szCs w:val="16"/>
              </w:rPr>
            </w:pPr>
            <w:r w:rsidRPr="00E14102">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742CFE" w14:textId="77777777" w:rsidR="00164F4F" w:rsidRPr="00E14102" w:rsidRDefault="00164F4F" w:rsidP="00E14102">
            <w:pPr>
              <w:jc w:val="both"/>
              <w:rPr>
                <w:color w:val="000000" w:themeColor="text1"/>
                <w:sz w:val="16"/>
                <w:szCs w:val="16"/>
              </w:rPr>
            </w:pPr>
            <w:r w:rsidRPr="00E14102">
              <w:rPr>
                <w:color w:val="000000" w:themeColor="text1"/>
                <w:sz w:val="16"/>
                <w:szCs w:val="16"/>
              </w:rPr>
              <w:t>  </w:t>
            </w:r>
            <w:r w:rsidRPr="00E14102">
              <w:rPr>
                <w:color w:val="000000" w:themeColor="text1"/>
                <w:sz w:val="16"/>
                <w:szCs w:val="16"/>
                <w:lang w:val="uk-UA"/>
              </w:rPr>
              <w:t>Г-15</w:t>
            </w:r>
          </w:p>
        </w:tc>
      </w:tr>
      <w:tr w:rsidR="00E3599D" w:rsidRPr="00E14102" w14:paraId="090CDF0A"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B233CFA" w14:textId="77777777" w:rsidR="00164F4F" w:rsidRPr="00E14102" w:rsidRDefault="00164F4F" w:rsidP="00E14102">
            <w:pPr>
              <w:jc w:val="both"/>
              <w:rPr>
                <w:color w:val="000000" w:themeColor="text1"/>
                <w:sz w:val="16"/>
                <w:szCs w:val="16"/>
              </w:rPr>
            </w:pPr>
            <w:r w:rsidRPr="00E14102">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1E71491" w14:textId="77777777" w:rsidR="00164F4F" w:rsidRPr="00E14102" w:rsidRDefault="00164F4F" w:rsidP="00E14102">
            <w:pPr>
              <w:jc w:val="both"/>
              <w:rPr>
                <w:color w:val="000000" w:themeColor="text1"/>
                <w:sz w:val="16"/>
                <w:szCs w:val="16"/>
              </w:rPr>
            </w:pPr>
            <w:r w:rsidRPr="00E14102">
              <w:rPr>
                <w:color w:val="000000" w:themeColor="text1"/>
                <w:sz w:val="16"/>
                <w:szCs w:val="16"/>
              </w:rPr>
              <w:t>  11.00</w:t>
            </w:r>
          </w:p>
        </w:tc>
      </w:tr>
      <w:tr w:rsidR="00E3599D" w:rsidRPr="00E14102" w14:paraId="504FD7D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D52660" w14:textId="77777777" w:rsidR="00164F4F" w:rsidRPr="00E14102" w:rsidRDefault="00164F4F" w:rsidP="00E14102">
            <w:pPr>
              <w:jc w:val="both"/>
              <w:rPr>
                <w:color w:val="000000" w:themeColor="text1"/>
                <w:sz w:val="16"/>
                <w:szCs w:val="16"/>
              </w:rPr>
            </w:pPr>
            <w:r w:rsidRPr="00E14102">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2DFD02" w14:textId="77777777" w:rsidR="00164F4F" w:rsidRPr="00E14102" w:rsidRDefault="00164F4F" w:rsidP="00E14102">
            <w:pPr>
              <w:jc w:val="both"/>
              <w:rPr>
                <w:color w:val="000000" w:themeColor="text1"/>
                <w:sz w:val="16"/>
                <w:szCs w:val="16"/>
              </w:rPr>
            </w:pPr>
            <w:r w:rsidRPr="00E14102">
              <w:rPr>
                <w:color w:val="000000" w:themeColor="text1"/>
                <w:sz w:val="16"/>
                <w:szCs w:val="16"/>
              </w:rPr>
              <w:t>  6.20</w:t>
            </w:r>
          </w:p>
        </w:tc>
      </w:tr>
      <w:tr w:rsidR="00E3599D" w:rsidRPr="00E14102" w14:paraId="7EA0BA92"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175F91" w14:textId="77777777" w:rsidR="00164F4F" w:rsidRPr="00E14102" w:rsidRDefault="00164F4F" w:rsidP="00E14102">
            <w:pPr>
              <w:jc w:val="both"/>
              <w:rPr>
                <w:color w:val="000000" w:themeColor="text1"/>
                <w:sz w:val="16"/>
                <w:szCs w:val="16"/>
              </w:rPr>
            </w:pPr>
            <w:r w:rsidRPr="00E14102">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5BA1411" w14:textId="77777777" w:rsidR="00164F4F" w:rsidRPr="00E14102" w:rsidRDefault="00164F4F" w:rsidP="00E14102">
            <w:pPr>
              <w:jc w:val="both"/>
              <w:rPr>
                <w:color w:val="000000" w:themeColor="text1"/>
                <w:sz w:val="16"/>
                <w:szCs w:val="16"/>
              </w:rPr>
            </w:pPr>
            <w:r w:rsidRPr="00E14102">
              <w:rPr>
                <w:color w:val="000000" w:themeColor="text1"/>
                <w:sz w:val="16"/>
                <w:szCs w:val="16"/>
              </w:rPr>
              <w:t> </w:t>
            </w:r>
          </w:p>
        </w:tc>
      </w:tr>
      <w:tr w:rsidR="00E3599D" w:rsidRPr="00E14102" w14:paraId="7E53CA6F"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22708A" w14:textId="77777777" w:rsidR="00164F4F" w:rsidRPr="00E14102" w:rsidRDefault="00164F4F" w:rsidP="00E14102">
            <w:pPr>
              <w:jc w:val="both"/>
              <w:rPr>
                <w:color w:val="000000" w:themeColor="text1"/>
                <w:sz w:val="16"/>
                <w:szCs w:val="16"/>
              </w:rPr>
            </w:pPr>
            <w:r w:rsidRPr="00E14102">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F4467EC" w14:textId="77777777" w:rsidR="00164F4F" w:rsidRPr="00E14102" w:rsidRDefault="00164F4F" w:rsidP="00E14102">
            <w:pPr>
              <w:jc w:val="both"/>
              <w:rPr>
                <w:color w:val="000000" w:themeColor="text1"/>
                <w:sz w:val="16"/>
                <w:szCs w:val="16"/>
              </w:rPr>
            </w:pPr>
            <w:r w:rsidRPr="00E14102">
              <w:rPr>
                <w:color w:val="000000" w:themeColor="text1"/>
                <w:sz w:val="16"/>
                <w:szCs w:val="16"/>
              </w:rPr>
              <w:t>  14.00</w:t>
            </w:r>
          </w:p>
        </w:tc>
      </w:tr>
      <w:tr w:rsidR="00E3599D" w:rsidRPr="00E14102" w14:paraId="50DB362E"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F89EE58" w14:textId="77777777" w:rsidR="00164F4F" w:rsidRPr="00E14102" w:rsidRDefault="00164F4F" w:rsidP="00E14102">
            <w:pPr>
              <w:jc w:val="both"/>
              <w:rPr>
                <w:color w:val="000000" w:themeColor="text1"/>
                <w:sz w:val="16"/>
                <w:szCs w:val="16"/>
              </w:rPr>
            </w:pPr>
            <w:r w:rsidRPr="00E14102">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989A713" w14:textId="77777777" w:rsidR="00164F4F" w:rsidRPr="00E14102" w:rsidRDefault="00164F4F" w:rsidP="00E14102">
            <w:pPr>
              <w:jc w:val="both"/>
              <w:rPr>
                <w:color w:val="000000" w:themeColor="text1"/>
                <w:sz w:val="16"/>
                <w:szCs w:val="16"/>
              </w:rPr>
            </w:pPr>
            <w:r w:rsidRPr="00E14102">
              <w:rPr>
                <w:color w:val="000000" w:themeColor="text1"/>
                <w:sz w:val="16"/>
                <w:szCs w:val="16"/>
              </w:rPr>
              <w:t> </w:t>
            </w:r>
          </w:p>
        </w:tc>
      </w:tr>
      <w:tr w:rsidR="00E3599D" w:rsidRPr="00E14102" w14:paraId="29E7154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BA57FC" w14:textId="77777777" w:rsidR="00164F4F" w:rsidRPr="00E14102" w:rsidRDefault="00164F4F" w:rsidP="00E14102">
            <w:pPr>
              <w:jc w:val="both"/>
              <w:rPr>
                <w:color w:val="000000" w:themeColor="text1"/>
                <w:sz w:val="16"/>
                <w:szCs w:val="16"/>
              </w:rPr>
            </w:pPr>
            <w:r w:rsidRPr="00E14102">
              <w:rPr>
                <w:color w:val="000000" w:themeColor="text1"/>
                <w:sz w:val="16"/>
                <w:szCs w:val="16"/>
              </w:rPr>
              <w:t>  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CE06C8" w14:textId="77777777" w:rsidR="00164F4F" w:rsidRPr="00E14102" w:rsidRDefault="00164F4F" w:rsidP="00E14102">
            <w:pPr>
              <w:jc w:val="both"/>
              <w:rPr>
                <w:color w:val="000000" w:themeColor="text1"/>
                <w:sz w:val="16"/>
                <w:szCs w:val="16"/>
              </w:rPr>
            </w:pPr>
            <w:r w:rsidRPr="00E14102">
              <w:rPr>
                <w:color w:val="000000" w:themeColor="text1"/>
                <w:sz w:val="16"/>
                <w:szCs w:val="16"/>
              </w:rPr>
              <w:t>  670</w:t>
            </w:r>
          </w:p>
        </w:tc>
      </w:tr>
      <w:tr w:rsidR="00E3599D" w:rsidRPr="00E14102" w14:paraId="0E533E40"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2715FD" w14:textId="77777777" w:rsidR="00164F4F" w:rsidRPr="00E14102" w:rsidRDefault="00164F4F" w:rsidP="00E14102">
            <w:pPr>
              <w:jc w:val="both"/>
              <w:rPr>
                <w:color w:val="000000" w:themeColor="text1"/>
                <w:sz w:val="16"/>
                <w:szCs w:val="16"/>
              </w:rPr>
            </w:pPr>
            <w:r w:rsidRPr="00E14102">
              <w:rPr>
                <w:color w:val="000000" w:themeColor="text1"/>
                <w:sz w:val="16"/>
                <w:szCs w:val="16"/>
              </w:rPr>
              <w:t>  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383474D" w14:textId="77777777" w:rsidR="00164F4F" w:rsidRPr="00E14102" w:rsidRDefault="00164F4F" w:rsidP="00E14102">
            <w:pPr>
              <w:jc w:val="both"/>
              <w:rPr>
                <w:color w:val="000000" w:themeColor="text1"/>
                <w:sz w:val="16"/>
                <w:szCs w:val="16"/>
              </w:rPr>
            </w:pPr>
            <w:r w:rsidRPr="00E14102">
              <w:rPr>
                <w:color w:val="000000" w:themeColor="text1"/>
                <w:sz w:val="16"/>
                <w:szCs w:val="16"/>
              </w:rPr>
              <w:t>  940</w:t>
            </w:r>
          </w:p>
        </w:tc>
      </w:tr>
      <w:tr w:rsidR="00E3599D" w:rsidRPr="00E14102" w14:paraId="057E9954"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87D8AB" w14:textId="77777777" w:rsidR="00164F4F" w:rsidRPr="00E14102" w:rsidRDefault="00164F4F" w:rsidP="00E14102">
            <w:pPr>
              <w:jc w:val="both"/>
              <w:rPr>
                <w:color w:val="000000" w:themeColor="text1"/>
                <w:sz w:val="16"/>
                <w:szCs w:val="16"/>
              </w:rPr>
            </w:pPr>
            <w:r w:rsidRPr="00E14102">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8FF389" w14:textId="77777777" w:rsidR="00164F4F" w:rsidRPr="00E14102" w:rsidRDefault="00164F4F" w:rsidP="00E14102">
            <w:pPr>
              <w:jc w:val="both"/>
              <w:rPr>
                <w:color w:val="000000" w:themeColor="text1"/>
                <w:sz w:val="16"/>
                <w:szCs w:val="16"/>
              </w:rPr>
            </w:pPr>
            <w:r w:rsidRPr="00E14102">
              <w:rPr>
                <w:color w:val="000000" w:themeColor="text1"/>
                <w:sz w:val="16"/>
                <w:szCs w:val="16"/>
              </w:rPr>
              <w:t>  1 ПД М-11</w:t>
            </w:r>
          </w:p>
        </w:tc>
      </w:tr>
      <w:tr w:rsidR="00E3599D" w:rsidRPr="00E14102" w14:paraId="0D247D49"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4CCD4B9" w14:textId="77777777" w:rsidR="00164F4F" w:rsidRPr="00E14102" w:rsidRDefault="00164F4F" w:rsidP="00E14102">
            <w:pPr>
              <w:jc w:val="both"/>
              <w:rPr>
                <w:color w:val="000000" w:themeColor="text1"/>
                <w:sz w:val="16"/>
                <w:szCs w:val="16"/>
              </w:rPr>
            </w:pPr>
            <w:r w:rsidRPr="00E14102">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09B9AA" w14:textId="77777777" w:rsidR="00164F4F" w:rsidRPr="00E14102" w:rsidRDefault="00164F4F" w:rsidP="00E14102">
            <w:pPr>
              <w:jc w:val="both"/>
              <w:rPr>
                <w:color w:val="000000" w:themeColor="text1"/>
                <w:sz w:val="16"/>
                <w:szCs w:val="16"/>
              </w:rPr>
            </w:pPr>
            <w:r w:rsidRPr="00E14102">
              <w:rPr>
                <w:color w:val="000000" w:themeColor="text1"/>
                <w:sz w:val="16"/>
                <w:szCs w:val="16"/>
              </w:rPr>
              <w:t>  1 × 100</w:t>
            </w:r>
          </w:p>
        </w:tc>
      </w:tr>
      <w:tr w:rsidR="00E3599D" w:rsidRPr="00E14102" w14:paraId="72B31FF8"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BE71AC8" w14:textId="77777777" w:rsidR="00164F4F" w:rsidRPr="00E14102" w:rsidRDefault="00164F4F" w:rsidP="00E14102">
            <w:pPr>
              <w:jc w:val="both"/>
              <w:rPr>
                <w:color w:val="000000" w:themeColor="text1"/>
                <w:sz w:val="16"/>
                <w:szCs w:val="16"/>
              </w:rPr>
            </w:pPr>
            <w:r w:rsidRPr="00E14102">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FB4C82" w14:textId="77777777" w:rsidR="00164F4F" w:rsidRPr="00E14102" w:rsidRDefault="00164F4F" w:rsidP="00E14102">
            <w:pPr>
              <w:jc w:val="both"/>
              <w:rPr>
                <w:color w:val="000000" w:themeColor="text1"/>
                <w:sz w:val="16"/>
                <w:szCs w:val="16"/>
              </w:rPr>
            </w:pPr>
            <w:r w:rsidRPr="00E14102">
              <w:rPr>
                <w:color w:val="000000" w:themeColor="text1"/>
                <w:sz w:val="16"/>
                <w:szCs w:val="16"/>
              </w:rPr>
              <w:t>  185</w:t>
            </w:r>
          </w:p>
        </w:tc>
      </w:tr>
      <w:tr w:rsidR="00E3599D" w:rsidRPr="00E14102" w14:paraId="5BE9A1A0"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DE59F7" w14:textId="77777777" w:rsidR="00164F4F" w:rsidRPr="00E14102" w:rsidRDefault="00164F4F" w:rsidP="00E14102">
            <w:pPr>
              <w:jc w:val="both"/>
              <w:rPr>
                <w:color w:val="000000" w:themeColor="text1"/>
                <w:sz w:val="16"/>
                <w:szCs w:val="16"/>
              </w:rPr>
            </w:pPr>
            <w:r w:rsidRPr="00E14102">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2E2FB9" w14:textId="77777777" w:rsidR="00164F4F" w:rsidRPr="00E14102" w:rsidRDefault="00164F4F" w:rsidP="00E14102">
            <w:pPr>
              <w:jc w:val="both"/>
              <w:rPr>
                <w:color w:val="000000" w:themeColor="text1"/>
                <w:sz w:val="16"/>
                <w:szCs w:val="16"/>
              </w:rPr>
            </w:pPr>
            <w:r w:rsidRPr="00E14102">
              <w:rPr>
                <w:color w:val="000000" w:themeColor="text1"/>
                <w:sz w:val="16"/>
                <w:szCs w:val="16"/>
              </w:rPr>
              <w:t>  146</w:t>
            </w:r>
          </w:p>
        </w:tc>
      </w:tr>
      <w:tr w:rsidR="00E3599D" w:rsidRPr="00E14102" w14:paraId="54C45DDF"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CEA53AA" w14:textId="77777777" w:rsidR="00164F4F" w:rsidRPr="00E14102" w:rsidRDefault="00164F4F" w:rsidP="00E14102">
            <w:pPr>
              <w:jc w:val="both"/>
              <w:rPr>
                <w:color w:val="000000" w:themeColor="text1"/>
                <w:sz w:val="16"/>
                <w:szCs w:val="16"/>
              </w:rPr>
            </w:pPr>
            <w:r w:rsidRPr="00E14102">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49860BF" w14:textId="77777777" w:rsidR="00164F4F" w:rsidRPr="00E14102" w:rsidRDefault="00164F4F" w:rsidP="00E14102">
            <w:pPr>
              <w:jc w:val="both"/>
              <w:rPr>
                <w:color w:val="000000" w:themeColor="text1"/>
                <w:sz w:val="16"/>
                <w:szCs w:val="16"/>
              </w:rPr>
            </w:pPr>
            <w:r w:rsidRPr="00E14102">
              <w:rPr>
                <w:color w:val="000000" w:themeColor="text1"/>
                <w:sz w:val="16"/>
                <w:szCs w:val="16"/>
              </w:rPr>
              <w:t>  4</w:t>
            </w:r>
          </w:p>
        </w:tc>
      </w:tr>
      <w:tr w:rsidR="00E3599D" w:rsidRPr="00E14102" w14:paraId="7301B64D"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C520FBA" w14:textId="77777777" w:rsidR="00164F4F" w:rsidRPr="00E14102" w:rsidRDefault="00164F4F" w:rsidP="00E14102">
            <w:pPr>
              <w:jc w:val="both"/>
              <w:rPr>
                <w:color w:val="000000" w:themeColor="text1"/>
                <w:sz w:val="16"/>
                <w:szCs w:val="16"/>
              </w:rPr>
            </w:pPr>
            <w:r w:rsidRPr="00E14102">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33212A2" w14:textId="77777777" w:rsidR="00164F4F" w:rsidRPr="00E14102" w:rsidRDefault="00164F4F" w:rsidP="00E14102">
            <w:pPr>
              <w:jc w:val="both"/>
              <w:rPr>
                <w:color w:val="000000" w:themeColor="text1"/>
                <w:sz w:val="16"/>
                <w:szCs w:val="16"/>
              </w:rPr>
            </w:pPr>
            <w:r w:rsidRPr="00E14102">
              <w:rPr>
                <w:color w:val="000000" w:themeColor="text1"/>
                <w:sz w:val="16"/>
                <w:szCs w:val="16"/>
              </w:rPr>
              <w:t> </w:t>
            </w:r>
          </w:p>
        </w:tc>
      </w:tr>
      <w:tr w:rsidR="00E3599D" w:rsidRPr="00E14102" w14:paraId="5DAA485B"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3BBA5EE" w14:textId="77777777" w:rsidR="00164F4F" w:rsidRPr="00E14102" w:rsidRDefault="00164F4F" w:rsidP="00E14102">
            <w:pPr>
              <w:jc w:val="both"/>
              <w:rPr>
                <w:color w:val="000000" w:themeColor="text1"/>
                <w:sz w:val="16"/>
                <w:szCs w:val="16"/>
              </w:rPr>
            </w:pPr>
            <w:r w:rsidRPr="00E14102">
              <w:rPr>
                <w:color w:val="000000" w:themeColor="text1"/>
                <w:sz w:val="16"/>
                <w:szCs w:val="16"/>
              </w:rPr>
              <w:lastRenderedPageBreak/>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0D95BF9" w14:textId="77777777" w:rsidR="00164F4F" w:rsidRPr="00E14102" w:rsidRDefault="00164F4F" w:rsidP="00E14102">
            <w:pPr>
              <w:jc w:val="both"/>
              <w:rPr>
                <w:color w:val="000000" w:themeColor="text1"/>
                <w:sz w:val="16"/>
                <w:szCs w:val="16"/>
              </w:rPr>
            </w:pPr>
            <w:r w:rsidRPr="00E14102">
              <w:rPr>
                <w:color w:val="000000" w:themeColor="text1"/>
                <w:sz w:val="16"/>
                <w:szCs w:val="16"/>
              </w:rPr>
              <w:t>  4500</w:t>
            </w:r>
          </w:p>
        </w:tc>
      </w:tr>
      <w:tr w:rsidR="00E3599D" w:rsidRPr="00E14102" w14:paraId="07D2B2D8"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8A6B049" w14:textId="77777777" w:rsidR="00164F4F" w:rsidRPr="00E14102" w:rsidRDefault="00164F4F" w:rsidP="00E14102">
            <w:pPr>
              <w:jc w:val="both"/>
              <w:rPr>
                <w:color w:val="000000" w:themeColor="text1"/>
                <w:sz w:val="16"/>
                <w:szCs w:val="16"/>
              </w:rPr>
            </w:pPr>
            <w:r w:rsidRPr="00E14102">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C5C991" w14:textId="77777777" w:rsidR="00164F4F" w:rsidRPr="00E14102" w:rsidRDefault="00164F4F" w:rsidP="00E14102">
            <w:pPr>
              <w:jc w:val="both"/>
              <w:rPr>
                <w:color w:val="000000" w:themeColor="text1"/>
                <w:sz w:val="16"/>
                <w:szCs w:val="16"/>
              </w:rPr>
            </w:pPr>
            <w:r w:rsidRPr="00E14102">
              <w:rPr>
                <w:color w:val="000000" w:themeColor="text1"/>
                <w:sz w:val="16"/>
                <w:szCs w:val="16"/>
              </w:rPr>
              <w:t>  2</w:t>
            </w:r>
          </w:p>
        </w:tc>
      </w:tr>
    </w:tbl>
    <w:p w14:paraId="3923C2EA" w14:textId="77777777" w:rsidR="00164F4F" w:rsidRPr="00E14102" w:rsidRDefault="00164F4F" w:rsidP="00E14102">
      <w:pPr>
        <w:pBdr>
          <w:bottom w:val="single" w:sz="6" w:space="2" w:color="EBEBEB"/>
        </w:pBdr>
        <w:shd w:val="clear" w:color="auto" w:fill="FFFFFF"/>
        <w:jc w:val="both"/>
        <w:rPr>
          <w:color w:val="000000" w:themeColor="text1"/>
          <w:sz w:val="16"/>
          <w:szCs w:val="16"/>
        </w:rPr>
      </w:pPr>
      <w:r w:rsidRPr="00E14102">
        <w:rPr>
          <w:color w:val="000000" w:themeColor="text1"/>
          <w:sz w:val="16"/>
          <w:szCs w:val="16"/>
        </w:rPr>
        <w:t>(12682).</w:t>
      </w:r>
    </w:p>
    <w:p w14:paraId="2BF9588F" w14:textId="77777777" w:rsidR="00164F4F" w:rsidRPr="00E14102" w:rsidRDefault="00164F4F" w:rsidP="00E14102">
      <w:pPr>
        <w:pBdr>
          <w:bottom w:val="single" w:sz="6" w:space="2" w:color="EBEBEB"/>
        </w:pBdr>
        <w:shd w:val="clear" w:color="auto" w:fill="FFFFFF"/>
        <w:jc w:val="both"/>
        <w:rPr>
          <w:color w:val="000000" w:themeColor="text1"/>
          <w:sz w:val="16"/>
          <w:szCs w:val="16"/>
        </w:rPr>
      </w:pPr>
    </w:p>
    <w:p w14:paraId="17C73FB7"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В сентябре 1935 г. Г-20 с регистрационным номером «СССР-С 838» участвовал в перелете. Пилотировал самолет летчик Алтынов, который успешно справился с маршрутом и возникающими мелкими неполадками.</w:t>
      </w:r>
    </w:p>
    <w:p w14:paraId="51E41A2F"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Двухместный низкоплан Г-20 стал вторым самолетом Грибовского после Г-15, оснащенным двигателем М-11. Г-20 предназначался для тренировочных полетов и обучения высшему пилотажу. Особенностью самолета являлось крыло, суженное в районе крепления к фюзеляжу. Для получения необходимой жесткости крыло подкреплялось Л-образными подкосами, связывающими центроплан с жесткой дугой под козырьком пилотской кабины. По мнению конструктора, такая схема позволяла значительно улучшить обзор вперед и вниз, а фюзеляжная стойка, скрепляющая подкосы, обеспечивала необходимую безопасность при капотировании машины.</w:t>
      </w:r>
    </w:p>
    <w:p w14:paraId="36CD5A96"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В сечении крыла использовался профиль «ЦАГИ Р-11» переменной толщины с максимальным значением в районе крепления подкосов.</w:t>
      </w:r>
    </w:p>
    <w:p w14:paraId="7F18FA57"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Обшивка крыла до второго лонжерона из фанеры толщиной 1-2 мм, далее использовалось полотно. Элероны щелевые, каждый подвешен на трех фигурных кронштейнах. Крыло снабжено посадочными закрылками Шренка, выпускаемыми при помощи штурвальчика, связанного с червячным механизмом. Использование щитков позволило снизить посадочную скорость до 66 км/ч.</w:t>
      </w:r>
    </w:p>
    <w:p w14:paraId="7C48D13D"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Фюзеляж деревянный, типа полумонокок, обшивка из 2-мм фанеры. Кабина пилотов, сидящих друг за другом, закрыта общим целлулоидным фонарем. Управление спаренное.</w:t>
      </w:r>
    </w:p>
    <w:p w14:paraId="10901842"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Задняя кабина имела полный комплект моторных и аэронавигационных приборов и считалась основной. Передняя кабина располагалась в районе центра тяжести и поэтому отсутствие в ней пилота практически не влияло на центровку самолета.</w:t>
      </w:r>
    </w:p>
    <w:p w14:paraId="02FF62A3"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Хвостовое оперение деревянное, для обеспечения необходимой жесткости подкреплено стальными подкосами. Стабилизатор и киль самолета обшиты фанерой, у рулей обшивка полотняная.</w:t>
      </w:r>
    </w:p>
    <w:p w14:paraId="1A77C5B5"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Основное шасси неубираемое, выполненное в виде гнутых трубчатых полуосей с амортизацией внутри фюзеляжа. Колеса 700×120 мм, прикрыты каплевидными обтекателями. Костыль ориентирующийся, с пластинчатой резиновой амортизацией.</w:t>
      </w:r>
    </w:p>
    <w:p w14:paraId="7FE876F6"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Двигатель М-11 мощностью 110 л.с. закрыт цилиндрическим капотом с выступающими, каплевидными выколотками вокруг головок цилиндров. В передней части капота имелись окна охлаждения.</w:t>
      </w:r>
    </w:p>
    <w:p w14:paraId="1428B3C8"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Основной топливный бак на 47 кг бензина находился в фюзеляже, два крыльевых бака, каждый на 35 кг, размещены в пространстве между лонжеронами центроплана.</w:t>
      </w:r>
    </w:p>
    <w:p w14:paraId="7885AF3C"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Г-20 занял второе место в классе двухместных машин (после АИР-10 конструкции Яковлева), коллектив МКБ получил денежную премию в размере 4000 руб. Для аппарата, изготовленного в кустарных условиях, такой результат считался вполне неплохим.</w:t>
      </w:r>
    </w:p>
    <w:p w14:paraId="3BA077C0"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После двухлетней интенсивной эксплуатации в Центральном аэроклубе Г-20 подвергся переделкам. Для более эффективного выполнения высшего пилотажа на самолет установили форсированный М-11 мощностью 150 л.с. В связи с низким качеством целлулоида, который быстро помутнел, фонарь был упразднен и заменен открытыми кабинами с козырьками. Противокапотажную дугу на фюзеляже сняли, а подкосы закрепили на силовом шпангоуте. Капот также упростили, верхняя часть цилиндров двигателя стала открытой для более эффективного охлаждения.</w:t>
      </w:r>
    </w:p>
    <w:p w14:paraId="161ECA68"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Под обозначением Г-20бис обновленная машина принимала участие в гонках спортивных самолетов 1937 г. по маршруту Москва-Севастополь-Москва, где заняла третье место. Впоследствии Г-20бис использовался для тренировки летчиков Центрального аэроклуба в Москве.</w:t>
      </w:r>
    </w:p>
    <w:p w14:paraId="3647C076"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К 1936 г. Грибовский окончательно сложился как конструктор легкомоторных самолетов. Рассказывая о своих ближайших планах на страницах журнала «Самолет» (№4,1936 г.), он говорит:</w:t>
      </w:r>
    </w:p>
    <w:p w14:paraId="79AF500C" w14:textId="77777777" w:rsidR="00164F4F" w:rsidRPr="00E14102" w:rsidRDefault="00164F4F" w:rsidP="00E14102">
      <w:pPr>
        <w:shd w:val="clear" w:color="auto" w:fill="FFFFFF"/>
        <w:jc w:val="both"/>
        <w:rPr>
          <w:iCs/>
          <w:color w:val="000000" w:themeColor="text1"/>
          <w:sz w:val="16"/>
          <w:szCs w:val="16"/>
        </w:rPr>
      </w:pPr>
      <w:r w:rsidRPr="00E14102">
        <w:rPr>
          <w:iCs/>
          <w:color w:val="000000" w:themeColor="text1"/>
          <w:sz w:val="16"/>
          <w:szCs w:val="16"/>
        </w:rPr>
        <w:t>«В этом году я буду работать только над легкими самолетами, необходимыми в системе Осоавиахима</w:t>
      </w:r>
    </w:p>
    <w:p w14:paraId="559ECCC0" w14:textId="77777777" w:rsidR="00164F4F" w:rsidRPr="00E14102" w:rsidRDefault="00164F4F" w:rsidP="00E14102">
      <w:pPr>
        <w:shd w:val="clear" w:color="auto" w:fill="FFFFFF"/>
        <w:jc w:val="both"/>
        <w:rPr>
          <w:color w:val="000000" w:themeColor="text1"/>
          <w:sz w:val="16"/>
          <w:szCs w:val="16"/>
        </w:rPr>
      </w:pPr>
      <w:r w:rsidRPr="00E14102">
        <w:rPr>
          <w:iCs/>
          <w:color w:val="000000" w:themeColor="text1"/>
          <w:sz w:val="16"/>
          <w:szCs w:val="16"/>
        </w:rPr>
        <w:t>Для развития массовой авиации материальная часть должна быть дешевой. Радикальное средство для удешевления стоимости самолета - это переход на уменьшение мощности моторов. В этом разрезе и идет работа Московского конструкторского бюро (МКБ), которым я руковожу</w:t>
      </w:r>
    </w:p>
    <w:p w14:paraId="4821CD46" w14:textId="77777777" w:rsidR="00164F4F" w:rsidRPr="00E14102" w:rsidRDefault="00164F4F" w:rsidP="00E14102">
      <w:pPr>
        <w:shd w:val="clear" w:color="auto" w:fill="FFFFFF"/>
        <w:jc w:val="both"/>
        <w:rPr>
          <w:color w:val="000000" w:themeColor="text1"/>
          <w:sz w:val="16"/>
          <w:szCs w:val="16"/>
        </w:rPr>
      </w:pPr>
      <w:r w:rsidRPr="00E14102">
        <w:rPr>
          <w:iCs/>
          <w:color w:val="000000" w:themeColor="text1"/>
          <w:sz w:val="16"/>
          <w:szCs w:val="16"/>
        </w:rPr>
        <w:t>До сих пор спроектированные и построенные самолеты имели моторы мощностью не менее 100 л. с. Мы работаем над конструкциями самолетов, которые должны дать не худшие летные качества при значительно меньших мощностях мотора (30-50 л. с). Поэтому нас особенно интересует мотор в 30 л.с, проект и рабочие чертежи которого разработаны инженером В. Доллежалем</w:t>
      </w:r>
    </w:p>
    <w:p w14:paraId="53CCC301" w14:textId="77777777" w:rsidR="00164F4F" w:rsidRPr="00E14102" w:rsidRDefault="00164F4F" w:rsidP="00E14102">
      <w:pPr>
        <w:shd w:val="clear" w:color="auto" w:fill="FFFFFF"/>
        <w:jc w:val="both"/>
        <w:rPr>
          <w:color w:val="000000" w:themeColor="text1"/>
          <w:sz w:val="16"/>
          <w:szCs w:val="16"/>
        </w:rPr>
      </w:pPr>
      <w:r w:rsidRPr="00E14102">
        <w:rPr>
          <w:iCs/>
          <w:color w:val="000000" w:themeColor="text1"/>
          <w:sz w:val="16"/>
          <w:szCs w:val="16"/>
        </w:rPr>
        <w:t>В этом году мною спроектированы легкие самолеты Г-21 и Г-22 и, очевидно, будут сконструированы еще два самолета, но тип их еще не установлен»</w:t>
      </w:r>
    </w:p>
    <w:p w14:paraId="7161EFA0"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Следует отметить, что, несмотря на переход к конструкторской деятельности, Грибовский постоянно совершенствует свое летное мастерство и первые вылеты на своих самолетах выполняет лично. Он принимает участие в различных авиационных праздниках и агитационных полетах.</w:t>
      </w:r>
    </w:p>
    <w:p w14:paraId="5532CD67"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По этому поводу известный планерист и летчик-испытатель И.И.Шелест в своей книге «С крыла на крыло» пишет:</w:t>
      </w:r>
    </w:p>
    <w:p w14:paraId="18FEC110" w14:textId="77777777" w:rsidR="00164F4F" w:rsidRPr="00E14102" w:rsidRDefault="00164F4F" w:rsidP="00E14102">
      <w:pPr>
        <w:shd w:val="clear" w:color="auto" w:fill="FFFFFF"/>
        <w:jc w:val="both"/>
        <w:rPr>
          <w:color w:val="000000" w:themeColor="text1"/>
          <w:sz w:val="16"/>
          <w:szCs w:val="16"/>
        </w:rPr>
      </w:pPr>
      <w:r w:rsidRPr="00E14102">
        <w:rPr>
          <w:iCs/>
          <w:color w:val="000000" w:themeColor="text1"/>
          <w:sz w:val="16"/>
          <w:szCs w:val="16"/>
        </w:rPr>
        <w:t>«Сочетая в себе качества конструктора и летчика, Владислав Константинович предпочитал сам испытывать свои машины. Этим достигался верх творческого взаимопонимания между создателем техники и ее испытателем. Впрочем, как знать? Не становился ли он подчас на порог раздвоения личности? Могла же в нем разыграться жаркая схватка: конструктор считал первоначальный проект непогрешимым, а летчик требовал улучшить качество самолета или планера. Как разрешал Грибовский в таких случаях спор, неизвестно. Но машины его, как правило, оказывались удачными».</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92"/>
        <w:gridCol w:w="6631"/>
      </w:tblGrid>
      <w:tr w:rsidR="00E3599D" w:rsidRPr="00E14102" w14:paraId="5A8B93A5"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4131B9" w14:textId="77777777" w:rsidR="00164F4F" w:rsidRPr="00E14102" w:rsidRDefault="00164F4F" w:rsidP="00E14102">
            <w:pPr>
              <w:jc w:val="both"/>
              <w:rPr>
                <w:color w:val="000000" w:themeColor="text1"/>
                <w:sz w:val="16"/>
                <w:szCs w:val="16"/>
              </w:rPr>
            </w:pPr>
            <w:r w:rsidRPr="00E14102">
              <w:rPr>
                <w:color w:val="000000" w:themeColor="text1"/>
                <w:sz w:val="16"/>
                <w:szCs w:val="16"/>
              </w:rPr>
              <w:t>Модификация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01D2E71" w14:textId="77777777" w:rsidR="00164F4F" w:rsidRPr="00E14102" w:rsidRDefault="00164F4F" w:rsidP="00E14102">
            <w:pPr>
              <w:jc w:val="both"/>
              <w:rPr>
                <w:color w:val="000000" w:themeColor="text1"/>
                <w:sz w:val="16"/>
                <w:szCs w:val="16"/>
              </w:rPr>
            </w:pPr>
            <w:r w:rsidRPr="00E14102">
              <w:rPr>
                <w:color w:val="000000" w:themeColor="text1"/>
                <w:sz w:val="16"/>
                <w:szCs w:val="16"/>
              </w:rPr>
              <w:t>  Г-20</w:t>
            </w:r>
          </w:p>
        </w:tc>
      </w:tr>
      <w:tr w:rsidR="00E3599D" w:rsidRPr="00E14102" w14:paraId="2257093B"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AC0D10" w14:textId="77777777" w:rsidR="00164F4F" w:rsidRPr="00E14102" w:rsidRDefault="00164F4F" w:rsidP="00E14102">
            <w:pPr>
              <w:jc w:val="both"/>
              <w:rPr>
                <w:color w:val="000000" w:themeColor="text1"/>
                <w:sz w:val="16"/>
                <w:szCs w:val="16"/>
              </w:rPr>
            </w:pPr>
            <w:r w:rsidRPr="00E14102">
              <w:rPr>
                <w:color w:val="000000" w:themeColor="text1"/>
                <w:sz w:val="16"/>
                <w:szCs w:val="16"/>
              </w:rPr>
              <w:t>Размах крыла,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E7DFCC5" w14:textId="77777777" w:rsidR="00164F4F" w:rsidRPr="00E14102" w:rsidRDefault="00164F4F" w:rsidP="00E14102">
            <w:pPr>
              <w:jc w:val="both"/>
              <w:rPr>
                <w:color w:val="000000" w:themeColor="text1"/>
                <w:sz w:val="16"/>
                <w:szCs w:val="16"/>
              </w:rPr>
            </w:pPr>
            <w:r w:rsidRPr="00E14102">
              <w:rPr>
                <w:color w:val="000000" w:themeColor="text1"/>
                <w:sz w:val="16"/>
                <w:szCs w:val="16"/>
              </w:rPr>
              <w:t>  9.70</w:t>
            </w:r>
          </w:p>
        </w:tc>
      </w:tr>
      <w:tr w:rsidR="00E3599D" w:rsidRPr="00E14102" w14:paraId="7125C555"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09D2FC" w14:textId="77777777" w:rsidR="00164F4F" w:rsidRPr="00E14102" w:rsidRDefault="00164F4F" w:rsidP="00E14102">
            <w:pPr>
              <w:jc w:val="both"/>
              <w:rPr>
                <w:color w:val="000000" w:themeColor="text1"/>
                <w:sz w:val="16"/>
                <w:szCs w:val="16"/>
              </w:rPr>
            </w:pPr>
            <w:r w:rsidRPr="00E14102">
              <w:rPr>
                <w:color w:val="000000" w:themeColor="text1"/>
                <w:sz w:val="16"/>
                <w:szCs w:val="16"/>
              </w:rPr>
              <w:t>Длина,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EFCA04" w14:textId="77777777" w:rsidR="00164F4F" w:rsidRPr="00E14102" w:rsidRDefault="00164F4F" w:rsidP="00E14102">
            <w:pPr>
              <w:jc w:val="both"/>
              <w:rPr>
                <w:color w:val="000000" w:themeColor="text1"/>
                <w:sz w:val="16"/>
                <w:szCs w:val="16"/>
              </w:rPr>
            </w:pPr>
            <w:r w:rsidRPr="00E14102">
              <w:rPr>
                <w:color w:val="000000" w:themeColor="text1"/>
                <w:sz w:val="16"/>
                <w:szCs w:val="16"/>
              </w:rPr>
              <w:t>  6.30</w:t>
            </w:r>
          </w:p>
        </w:tc>
      </w:tr>
      <w:tr w:rsidR="00E3599D" w:rsidRPr="00E14102" w14:paraId="2E852D39"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110391F" w14:textId="77777777" w:rsidR="00164F4F" w:rsidRPr="00E14102" w:rsidRDefault="00164F4F" w:rsidP="00E14102">
            <w:pPr>
              <w:jc w:val="both"/>
              <w:rPr>
                <w:color w:val="000000" w:themeColor="text1"/>
                <w:sz w:val="16"/>
                <w:szCs w:val="16"/>
              </w:rPr>
            </w:pPr>
            <w:r w:rsidRPr="00E14102">
              <w:rPr>
                <w:color w:val="000000" w:themeColor="text1"/>
                <w:sz w:val="16"/>
                <w:szCs w:val="16"/>
              </w:rPr>
              <w:t>Высота,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6C299C" w14:textId="77777777" w:rsidR="00164F4F" w:rsidRPr="00E14102" w:rsidRDefault="00164F4F" w:rsidP="00E14102">
            <w:pPr>
              <w:jc w:val="both"/>
              <w:rPr>
                <w:color w:val="000000" w:themeColor="text1"/>
                <w:sz w:val="16"/>
                <w:szCs w:val="16"/>
              </w:rPr>
            </w:pPr>
            <w:r w:rsidRPr="00E14102">
              <w:rPr>
                <w:color w:val="000000" w:themeColor="text1"/>
                <w:sz w:val="16"/>
                <w:szCs w:val="16"/>
              </w:rPr>
              <w:t>  2.30</w:t>
            </w:r>
          </w:p>
        </w:tc>
      </w:tr>
      <w:tr w:rsidR="00E3599D" w:rsidRPr="00E14102" w14:paraId="14785A0D"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24BEBF" w14:textId="77777777" w:rsidR="00164F4F" w:rsidRPr="00E14102" w:rsidRDefault="00164F4F" w:rsidP="00E14102">
            <w:pPr>
              <w:jc w:val="both"/>
              <w:rPr>
                <w:color w:val="000000" w:themeColor="text1"/>
                <w:sz w:val="16"/>
                <w:szCs w:val="16"/>
              </w:rPr>
            </w:pPr>
            <w:r w:rsidRPr="00E14102">
              <w:rPr>
                <w:color w:val="000000" w:themeColor="text1"/>
                <w:sz w:val="16"/>
                <w:szCs w:val="16"/>
              </w:rPr>
              <w:t>Площадь крыла, м²</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AB67377" w14:textId="77777777" w:rsidR="00164F4F" w:rsidRPr="00E14102" w:rsidRDefault="00164F4F" w:rsidP="00E14102">
            <w:pPr>
              <w:jc w:val="both"/>
              <w:rPr>
                <w:color w:val="000000" w:themeColor="text1"/>
                <w:sz w:val="16"/>
                <w:szCs w:val="16"/>
              </w:rPr>
            </w:pPr>
            <w:r w:rsidRPr="00E14102">
              <w:rPr>
                <w:color w:val="000000" w:themeColor="text1"/>
                <w:sz w:val="16"/>
                <w:szCs w:val="16"/>
              </w:rPr>
              <w:t>  13.20</w:t>
            </w:r>
          </w:p>
        </w:tc>
      </w:tr>
      <w:tr w:rsidR="00E3599D" w:rsidRPr="00E14102" w14:paraId="301E6E1E"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8235294" w14:textId="77777777" w:rsidR="00164F4F" w:rsidRPr="00E14102" w:rsidRDefault="00164F4F" w:rsidP="00E14102">
            <w:pPr>
              <w:jc w:val="both"/>
              <w:rPr>
                <w:color w:val="000000" w:themeColor="text1"/>
                <w:sz w:val="16"/>
                <w:szCs w:val="16"/>
              </w:rPr>
            </w:pPr>
            <w:r w:rsidRPr="00E14102">
              <w:rPr>
                <w:color w:val="000000" w:themeColor="text1"/>
                <w:sz w:val="16"/>
                <w:szCs w:val="16"/>
              </w:rPr>
              <w:t>Масса, кг</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E23D7E6" w14:textId="77777777" w:rsidR="00164F4F" w:rsidRPr="00E14102" w:rsidRDefault="00164F4F" w:rsidP="00E14102">
            <w:pPr>
              <w:jc w:val="both"/>
              <w:rPr>
                <w:color w:val="000000" w:themeColor="text1"/>
                <w:sz w:val="16"/>
                <w:szCs w:val="16"/>
              </w:rPr>
            </w:pPr>
            <w:r w:rsidRPr="00E14102">
              <w:rPr>
                <w:color w:val="000000" w:themeColor="text1"/>
                <w:sz w:val="16"/>
                <w:szCs w:val="16"/>
              </w:rPr>
              <w:t> </w:t>
            </w:r>
          </w:p>
        </w:tc>
      </w:tr>
      <w:tr w:rsidR="00E3599D" w:rsidRPr="00E14102" w14:paraId="6A8E763C"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A734D64" w14:textId="77777777" w:rsidR="00164F4F" w:rsidRPr="00E14102" w:rsidRDefault="00164F4F" w:rsidP="00E14102">
            <w:pPr>
              <w:jc w:val="both"/>
              <w:rPr>
                <w:color w:val="000000" w:themeColor="text1"/>
                <w:sz w:val="16"/>
                <w:szCs w:val="16"/>
              </w:rPr>
            </w:pPr>
            <w:r w:rsidRPr="00E14102">
              <w:rPr>
                <w:color w:val="000000" w:themeColor="text1"/>
                <w:sz w:val="16"/>
                <w:szCs w:val="16"/>
              </w:rPr>
              <w:t>  пустого самолета</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6CBCA9" w14:textId="77777777" w:rsidR="00164F4F" w:rsidRPr="00E14102" w:rsidRDefault="00164F4F" w:rsidP="00E14102">
            <w:pPr>
              <w:jc w:val="both"/>
              <w:rPr>
                <w:color w:val="000000" w:themeColor="text1"/>
                <w:sz w:val="16"/>
                <w:szCs w:val="16"/>
              </w:rPr>
            </w:pPr>
            <w:r w:rsidRPr="00E14102">
              <w:rPr>
                <w:color w:val="000000" w:themeColor="text1"/>
                <w:sz w:val="16"/>
                <w:szCs w:val="16"/>
              </w:rPr>
              <w:t>  607</w:t>
            </w:r>
          </w:p>
        </w:tc>
      </w:tr>
      <w:tr w:rsidR="00E3599D" w:rsidRPr="00E14102" w14:paraId="7233F1BC"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5AC9A4" w14:textId="77777777" w:rsidR="00164F4F" w:rsidRPr="00E14102" w:rsidRDefault="00164F4F" w:rsidP="00E14102">
            <w:pPr>
              <w:jc w:val="both"/>
              <w:rPr>
                <w:color w:val="000000" w:themeColor="text1"/>
                <w:sz w:val="16"/>
                <w:szCs w:val="16"/>
              </w:rPr>
            </w:pPr>
            <w:r w:rsidRPr="00E14102">
              <w:rPr>
                <w:color w:val="000000" w:themeColor="text1"/>
                <w:sz w:val="16"/>
                <w:szCs w:val="16"/>
              </w:rPr>
              <w:t>  нормальная взлетная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F67D5C" w14:textId="77777777" w:rsidR="00164F4F" w:rsidRPr="00E14102" w:rsidRDefault="00164F4F" w:rsidP="00E14102">
            <w:pPr>
              <w:jc w:val="both"/>
              <w:rPr>
                <w:color w:val="000000" w:themeColor="text1"/>
                <w:sz w:val="16"/>
                <w:szCs w:val="16"/>
              </w:rPr>
            </w:pPr>
            <w:r w:rsidRPr="00E14102">
              <w:rPr>
                <w:color w:val="000000" w:themeColor="text1"/>
                <w:sz w:val="16"/>
                <w:szCs w:val="16"/>
              </w:rPr>
              <w:t>  836</w:t>
            </w:r>
          </w:p>
        </w:tc>
      </w:tr>
      <w:tr w:rsidR="00E3599D" w:rsidRPr="00E14102" w14:paraId="6A77E921"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CDA5CB" w14:textId="77777777" w:rsidR="00164F4F" w:rsidRPr="00E14102" w:rsidRDefault="00164F4F" w:rsidP="00E14102">
            <w:pPr>
              <w:jc w:val="both"/>
              <w:rPr>
                <w:color w:val="000000" w:themeColor="text1"/>
                <w:sz w:val="16"/>
                <w:szCs w:val="16"/>
              </w:rPr>
            </w:pPr>
            <w:r w:rsidRPr="00E14102">
              <w:rPr>
                <w:color w:val="000000" w:themeColor="text1"/>
                <w:sz w:val="16"/>
                <w:szCs w:val="16"/>
              </w:rPr>
              <w:t>  максимальная взлетная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5E372F" w14:textId="77777777" w:rsidR="00164F4F" w:rsidRPr="00E14102" w:rsidRDefault="00164F4F" w:rsidP="00E14102">
            <w:pPr>
              <w:jc w:val="both"/>
              <w:rPr>
                <w:color w:val="000000" w:themeColor="text1"/>
                <w:sz w:val="16"/>
                <w:szCs w:val="16"/>
              </w:rPr>
            </w:pPr>
            <w:r w:rsidRPr="00E14102">
              <w:rPr>
                <w:color w:val="000000" w:themeColor="text1"/>
                <w:sz w:val="16"/>
                <w:szCs w:val="16"/>
              </w:rPr>
              <w:t>  880</w:t>
            </w:r>
          </w:p>
        </w:tc>
      </w:tr>
      <w:tr w:rsidR="00E3599D" w:rsidRPr="00E14102" w14:paraId="2CFBF41D"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53775C7" w14:textId="77777777" w:rsidR="00164F4F" w:rsidRPr="00E14102" w:rsidRDefault="00164F4F" w:rsidP="00E14102">
            <w:pPr>
              <w:jc w:val="both"/>
              <w:rPr>
                <w:color w:val="000000" w:themeColor="text1"/>
                <w:sz w:val="16"/>
                <w:szCs w:val="16"/>
              </w:rPr>
            </w:pPr>
            <w:r w:rsidRPr="00E14102">
              <w:rPr>
                <w:color w:val="000000" w:themeColor="text1"/>
                <w:sz w:val="16"/>
                <w:szCs w:val="16"/>
              </w:rPr>
              <w:t>Тип двигателя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ADFE28" w14:textId="77777777" w:rsidR="00164F4F" w:rsidRPr="00E14102" w:rsidRDefault="00164F4F" w:rsidP="00E14102">
            <w:pPr>
              <w:jc w:val="both"/>
              <w:rPr>
                <w:color w:val="000000" w:themeColor="text1"/>
                <w:sz w:val="16"/>
                <w:szCs w:val="16"/>
              </w:rPr>
            </w:pPr>
            <w:r w:rsidRPr="00E14102">
              <w:rPr>
                <w:color w:val="000000" w:themeColor="text1"/>
                <w:sz w:val="16"/>
                <w:szCs w:val="16"/>
              </w:rPr>
              <w:t>  1 ПД М-11Е</w:t>
            </w:r>
          </w:p>
        </w:tc>
      </w:tr>
      <w:tr w:rsidR="00E3599D" w:rsidRPr="00E14102" w14:paraId="67005918"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D0BD1F" w14:textId="77777777" w:rsidR="00164F4F" w:rsidRPr="00E14102" w:rsidRDefault="00164F4F" w:rsidP="00E14102">
            <w:pPr>
              <w:jc w:val="both"/>
              <w:rPr>
                <w:color w:val="000000" w:themeColor="text1"/>
                <w:sz w:val="16"/>
                <w:szCs w:val="16"/>
              </w:rPr>
            </w:pPr>
            <w:r w:rsidRPr="00E14102">
              <w:rPr>
                <w:color w:val="000000" w:themeColor="text1"/>
                <w:sz w:val="16"/>
                <w:szCs w:val="16"/>
              </w:rPr>
              <w:lastRenderedPageBreak/>
              <w:t>Мощность, л.с.</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F43E21" w14:textId="77777777" w:rsidR="00164F4F" w:rsidRPr="00E14102" w:rsidRDefault="00164F4F" w:rsidP="00E14102">
            <w:pPr>
              <w:jc w:val="both"/>
              <w:rPr>
                <w:color w:val="000000" w:themeColor="text1"/>
                <w:sz w:val="16"/>
                <w:szCs w:val="16"/>
              </w:rPr>
            </w:pPr>
            <w:r w:rsidRPr="00E14102">
              <w:rPr>
                <w:color w:val="000000" w:themeColor="text1"/>
                <w:sz w:val="16"/>
                <w:szCs w:val="16"/>
              </w:rPr>
              <w:t>  1 × 150</w:t>
            </w:r>
          </w:p>
        </w:tc>
      </w:tr>
      <w:tr w:rsidR="00E3599D" w:rsidRPr="00E14102" w14:paraId="3AC2D869"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66D725" w14:textId="77777777" w:rsidR="00164F4F" w:rsidRPr="00E14102" w:rsidRDefault="00164F4F" w:rsidP="00E14102">
            <w:pPr>
              <w:jc w:val="both"/>
              <w:rPr>
                <w:color w:val="000000" w:themeColor="text1"/>
                <w:sz w:val="16"/>
                <w:szCs w:val="16"/>
              </w:rPr>
            </w:pPr>
            <w:r w:rsidRPr="00E14102">
              <w:rPr>
                <w:color w:val="000000" w:themeColor="text1"/>
                <w:sz w:val="16"/>
                <w:szCs w:val="16"/>
              </w:rPr>
              <w:t>Максимальная скорость , км/ч</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586FB8" w14:textId="77777777" w:rsidR="00164F4F" w:rsidRPr="00E14102" w:rsidRDefault="00164F4F" w:rsidP="00E14102">
            <w:pPr>
              <w:jc w:val="both"/>
              <w:rPr>
                <w:color w:val="000000" w:themeColor="text1"/>
                <w:sz w:val="16"/>
                <w:szCs w:val="16"/>
              </w:rPr>
            </w:pPr>
            <w:r w:rsidRPr="00E14102">
              <w:rPr>
                <w:color w:val="000000" w:themeColor="text1"/>
                <w:sz w:val="16"/>
                <w:szCs w:val="16"/>
              </w:rPr>
              <w:t>  235</w:t>
            </w:r>
          </w:p>
        </w:tc>
      </w:tr>
      <w:tr w:rsidR="00E3599D" w:rsidRPr="00E14102" w14:paraId="019E7ED3"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F503A4" w14:textId="77777777" w:rsidR="00164F4F" w:rsidRPr="00E14102" w:rsidRDefault="00164F4F" w:rsidP="00E14102">
            <w:pPr>
              <w:jc w:val="both"/>
              <w:rPr>
                <w:color w:val="000000" w:themeColor="text1"/>
                <w:sz w:val="16"/>
                <w:szCs w:val="16"/>
              </w:rPr>
            </w:pPr>
            <w:r w:rsidRPr="00E14102">
              <w:rPr>
                <w:color w:val="000000" w:themeColor="text1"/>
                <w:sz w:val="16"/>
                <w:szCs w:val="16"/>
              </w:rPr>
              <w:t>Крейсерская скорость , км/ч</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599A011" w14:textId="77777777" w:rsidR="00164F4F" w:rsidRPr="00E14102" w:rsidRDefault="00164F4F" w:rsidP="00E14102">
            <w:pPr>
              <w:jc w:val="both"/>
              <w:rPr>
                <w:color w:val="000000" w:themeColor="text1"/>
                <w:sz w:val="16"/>
                <w:szCs w:val="16"/>
              </w:rPr>
            </w:pPr>
            <w:r w:rsidRPr="00E14102">
              <w:rPr>
                <w:color w:val="000000" w:themeColor="text1"/>
                <w:sz w:val="16"/>
                <w:szCs w:val="16"/>
              </w:rPr>
              <w:t>  215</w:t>
            </w:r>
          </w:p>
        </w:tc>
      </w:tr>
      <w:tr w:rsidR="00E3599D" w:rsidRPr="00E14102" w14:paraId="1FA6F1AE"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74258B" w14:textId="77777777" w:rsidR="00164F4F" w:rsidRPr="00E14102" w:rsidRDefault="00164F4F" w:rsidP="00E14102">
            <w:pPr>
              <w:jc w:val="both"/>
              <w:rPr>
                <w:color w:val="000000" w:themeColor="text1"/>
                <w:sz w:val="16"/>
                <w:szCs w:val="16"/>
              </w:rPr>
            </w:pPr>
            <w:r w:rsidRPr="00E14102">
              <w:rPr>
                <w:color w:val="000000" w:themeColor="text1"/>
                <w:sz w:val="16"/>
                <w:szCs w:val="16"/>
              </w:rPr>
              <w:t>Практическая дальность, км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D10483" w14:textId="77777777" w:rsidR="00164F4F" w:rsidRPr="00E14102" w:rsidRDefault="00164F4F" w:rsidP="00E14102">
            <w:pPr>
              <w:jc w:val="both"/>
              <w:rPr>
                <w:color w:val="000000" w:themeColor="text1"/>
                <w:sz w:val="16"/>
                <w:szCs w:val="16"/>
              </w:rPr>
            </w:pPr>
            <w:r w:rsidRPr="00E14102">
              <w:rPr>
                <w:color w:val="000000" w:themeColor="text1"/>
                <w:sz w:val="16"/>
                <w:szCs w:val="16"/>
              </w:rPr>
              <w:t>  400</w:t>
            </w:r>
          </w:p>
        </w:tc>
      </w:tr>
      <w:tr w:rsidR="00E3599D" w:rsidRPr="00E14102" w14:paraId="42193ED5"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2925CC0" w14:textId="77777777" w:rsidR="00164F4F" w:rsidRPr="00E14102" w:rsidRDefault="00164F4F" w:rsidP="00E14102">
            <w:pPr>
              <w:jc w:val="both"/>
              <w:rPr>
                <w:color w:val="000000" w:themeColor="text1"/>
                <w:sz w:val="16"/>
                <w:szCs w:val="16"/>
              </w:rPr>
            </w:pPr>
            <w:r w:rsidRPr="00E14102">
              <w:rPr>
                <w:color w:val="000000" w:themeColor="text1"/>
                <w:sz w:val="16"/>
                <w:szCs w:val="16"/>
              </w:rPr>
              <w:t>Практический потолок,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3FD28F7" w14:textId="77777777" w:rsidR="00164F4F" w:rsidRPr="00E14102" w:rsidRDefault="00164F4F" w:rsidP="00E14102">
            <w:pPr>
              <w:jc w:val="both"/>
              <w:rPr>
                <w:color w:val="000000" w:themeColor="text1"/>
                <w:sz w:val="16"/>
                <w:szCs w:val="16"/>
              </w:rPr>
            </w:pPr>
            <w:r w:rsidRPr="00E14102">
              <w:rPr>
                <w:color w:val="000000" w:themeColor="text1"/>
                <w:sz w:val="16"/>
                <w:szCs w:val="16"/>
              </w:rPr>
              <w:t>  3900</w:t>
            </w:r>
          </w:p>
        </w:tc>
      </w:tr>
      <w:tr w:rsidR="00E3599D" w:rsidRPr="00E14102" w14:paraId="5E3E4E9F"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8C4692" w14:textId="77777777" w:rsidR="00164F4F" w:rsidRPr="00E14102" w:rsidRDefault="00164F4F" w:rsidP="00E14102">
            <w:pPr>
              <w:jc w:val="both"/>
              <w:rPr>
                <w:color w:val="000000" w:themeColor="text1"/>
                <w:sz w:val="16"/>
                <w:szCs w:val="16"/>
              </w:rPr>
            </w:pPr>
            <w:r w:rsidRPr="00E14102">
              <w:rPr>
                <w:color w:val="000000" w:themeColor="text1"/>
                <w:sz w:val="16"/>
                <w:szCs w:val="16"/>
              </w:rPr>
              <w:t>Экипаж</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97C3D08" w14:textId="77777777" w:rsidR="00164F4F" w:rsidRPr="00E14102" w:rsidRDefault="00164F4F" w:rsidP="00E14102">
            <w:pPr>
              <w:jc w:val="both"/>
              <w:rPr>
                <w:color w:val="000000" w:themeColor="text1"/>
                <w:sz w:val="16"/>
                <w:szCs w:val="16"/>
              </w:rPr>
            </w:pPr>
            <w:r w:rsidRPr="00E14102">
              <w:rPr>
                <w:color w:val="000000" w:themeColor="text1"/>
                <w:sz w:val="16"/>
                <w:szCs w:val="16"/>
              </w:rPr>
              <w:t>  2</w:t>
            </w:r>
          </w:p>
        </w:tc>
      </w:tr>
    </w:tbl>
    <w:p w14:paraId="175B0720" w14:textId="77777777" w:rsidR="00164F4F" w:rsidRPr="00E14102" w:rsidRDefault="00164F4F" w:rsidP="00E14102">
      <w:pPr>
        <w:pBdr>
          <w:bottom w:val="single" w:sz="6" w:space="2" w:color="EBEBEB"/>
        </w:pBdr>
        <w:shd w:val="clear" w:color="auto" w:fill="FFFFFF"/>
        <w:jc w:val="both"/>
        <w:rPr>
          <w:color w:val="000000" w:themeColor="text1"/>
          <w:sz w:val="16"/>
          <w:szCs w:val="16"/>
        </w:rPr>
      </w:pPr>
      <w:r w:rsidRPr="00E14102">
        <w:rPr>
          <w:color w:val="000000" w:themeColor="text1"/>
          <w:sz w:val="16"/>
          <w:szCs w:val="16"/>
        </w:rPr>
        <w:t>(12682).</w:t>
      </w:r>
    </w:p>
    <w:p w14:paraId="1A2D168B" w14:textId="77777777" w:rsidR="00164F4F" w:rsidRPr="00E14102" w:rsidRDefault="00164F4F" w:rsidP="00E14102">
      <w:pPr>
        <w:pBdr>
          <w:bottom w:val="single" w:sz="6" w:space="2" w:color="EBEBEB"/>
        </w:pBdr>
        <w:shd w:val="clear" w:color="auto" w:fill="FFFFFF"/>
        <w:jc w:val="both"/>
        <w:rPr>
          <w:color w:val="000000" w:themeColor="text1"/>
          <w:sz w:val="16"/>
          <w:szCs w:val="16"/>
        </w:rPr>
      </w:pPr>
    </w:p>
    <w:p w14:paraId="4EC683A6"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В сентябре 1935 г, известный летчик-спортсмен Центрального аэроклуба СССР Н.Д.Федосеев на Г-10 Грибовского с Вальтерром выполнил круговой перелет спортивных самолетов протяженностью 5500км. (Перелет этот неоднократно будет упоминаться в дальнейшем, в частности, в связи с самолетами Г-15 и Г-20. Поэтому уместно привести его полный маршрут: Москва - Горький - Казань - Сарапул -Пермь - Свердловск - Челябинск -Магнитогорск - Оренбург - Куйбышев - Саратов - Сталинград - Луганск - Сталино - Днепропетровск -Киев - Брянск - Москва).</w:t>
      </w:r>
    </w:p>
    <w:p w14:paraId="30B55724"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Перелет, как и планировалось, занял 7 дней. Г-10 шел вне конкурса, так как имел мотор меньшей мощности, чем остальные машины, оснащенные серийными М-11. Несмотря на это, Г-10 успешно прошел весь маршрут, практически наравне с другими участниками. Летчик Федосеев за проявленную инициативу и успешный перелет был награжден призом Наркомата обороны СССР - золотыми часами.</w:t>
      </w:r>
    </w:p>
    <w:p w14:paraId="37DCBFC5"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Отсутствие серийных отечественных моторов мощностью порядка 60 л.с. не позволило внедрить Г-10 в более широкую эксплуатацию, и все ограничилось постройкой единственного экземпляра.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9"/>
      </w:tblGrid>
      <w:tr w:rsidR="00E3599D" w:rsidRPr="00E14102" w14:paraId="1964BE6D"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B5AB2E" w14:textId="77777777" w:rsidR="00164F4F" w:rsidRPr="00E14102" w:rsidRDefault="00164F4F" w:rsidP="00E14102">
            <w:pPr>
              <w:jc w:val="both"/>
              <w:rPr>
                <w:color w:val="000000" w:themeColor="text1"/>
                <w:sz w:val="16"/>
                <w:szCs w:val="16"/>
              </w:rPr>
            </w:pPr>
            <w:r w:rsidRPr="00E14102">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674C98C" w14:textId="77777777" w:rsidR="00164F4F" w:rsidRPr="00E14102" w:rsidRDefault="00164F4F" w:rsidP="00E14102">
            <w:pPr>
              <w:jc w:val="both"/>
              <w:rPr>
                <w:color w:val="000000" w:themeColor="text1"/>
                <w:sz w:val="16"/>
                <w:szCs w:val="16"/>
              </w:rPr>
            </w:pPr>
            <w:r w:rsidRPr="00E14102">
              <w:rPr>
                <w:color w:val="000000" w:themeColor="text1"/>
                <w:sz w:val="16"/>
                <w:szCs w:val="16"/>
              </w:rPr>
              <w:t>  </w:t>
            </w:r>
            <w:r w:rsidRPr="00E14102">
              <w:rPr>
                <w:color w:val="000000" w:themeColor="text1"/>
                <w:sz w:val="16"/>
                <w:szCs w:val="16"/>
                <w:lang w:val="uk-UA"/>
              </w:rPr>
              <w:t>Г-10</w:t>
            </w:r>
          </w:p>
        </w:tc>
      </w:tr>
      <w:tr w:rsidR="00E3599D" w:rsidRPr="00E14102" w14:paraId="41404A4A"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8EA28C6" w14:textId="77777777" w:rsidR="00164F4F" w:rsidRPr="00E14102" w:rsidRDefault="00164F4F" w:rsidP="00E14102">
            <w:pPr>
              <w:jc w:val="both"/>
              <w:rPr>
                <w:color w:val="000000" w:themeColor="text1"/>
                <w:sz w:val="16"/>
                <w:szCs w:val="16"/>
              </w:rPr>
            </w:pPr>
            <w:r w:rsidRPr="00E14102">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2B1137" w14:textId="77777777" w:rsidR="00164F4F" w:rsidRPr="00E14102" w:rsidRDefault="00164F4F" w:rsidP="00E14102">
            <w:pPr>
              <w:jc w:val="both"/>
              <w:rPr>
                <w:color w:val="000000" w:themeColor="text1"/>
                <w:sz w:val="16"/>
                <w:szCs w:val="16"/>
              </w:rPr>
            </w:pPr>
            <w:r w:rsidRPr="00E14102">
              <w:rPr>
                <w:color w:val="000000" w:themeColor="text1"/>
                <w:sz w:val="16"/>
                <w:szCs w:val="16"/>
              </w:rPr>
              <w:t>  8.40</w:t>
            </w:r>
          </w:p>
        </w:tc>
      </w:tr>
      <w:tr w:rsidR="00E3599D" w:rsidRPr="00E14102" w14:paraId="540B828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6ED485" w14:textId="77777777" w:rsidR="00164F4F" w:rsidRPr="00E14102" w:rsidRDefault="00164F4F" w:rsidP="00E14102">
            <w:pPr>
              <w:jc w:val="both"/>
              <w:rPr>
                <w:color w:val="000000" w:themeColor="text1"/>
                <w:sz w:val="16"/>
                <w:szCs w:val="16"/>
              </w:rPr>
            </w:pPr>
            <w:r w:rsidRPr="00E14102">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8DBD1C6" w14:textId="77777777" w:rsidR="00164F4F" w:rsidRPr="00E14102" w:rsidRDefault="00164F4F" w:rsidP="00E14102">
            <w:pPr>
              <w:jc w:val="both"/>
              <w:rPr>
                <w:color w:val="000000" w:themeColor="text1"/>
                <w:sz w:val="16"/>
                <w:szCs w:val="16"/>
              </w:rPr>
            </w:pPr>
            <w:r w:rsidRPr="00E14102">
              <w:rPr>
                <w:color w:val="000000" w:themeColor="text1"/>
                <w:sz w:val="16"/>
                <w:szCs w:val="16"/>
              </w:rPr>
              <w:t>  5.60</w:t>
            </w:r>
          </w:p>
        </w:tc>
      </w:tr>
      <w:tr w:rsidR="00E3599D" w:rsidRPr="00E14102" w14:paraId="75092C07"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9A6614" w14:textId="77777777" w:rsidR="00164F4F" w:rsidRPr="00E14102" w:rsidRDefault="00164F4F" w:rsidP="00E14102">
            <w:pPr>
              <w:jc w:val="both"/>
              <w:rPr>
                <w:color w:val="000000" w:themeColor="text1"/>
                <w:sz w:val="16"/>
                <w:szCs w:val="16"/>
              </w:rPr>
            </w:pPr>
            <w:r w:rsidRPr="00E14102">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64AF797" w14:textId="77777777" w:rsidR="00164F4F" w:rsidRPr="00E14102" w:rsidRDefault="00164F4F" w:rsidP="00E14102">
            <w:pPr>
              <w:jc w:val="both"/>
              <w:rPr>
                <w:color w:val="000000" w:themeColor="text1"/>
                <w:sz w:val="16"/>
                <w:szCs w:val="16"/>
              </w:rPr>
            </w:pPr>
            <w:r w:rsidRPr="00E14102">
              <w:rPr>
                <w:color w:val="000000" w:themeColor="text1"/>
                <w:sz w:val="16"/>
                <w:szCs w:val="16"/>
              </w:rPr>
              <w:t> </w:t>
            </w:r>
          </w:p>
        </w:tc>
      </w:tr>
      <w:tr w:rsidR="00E3599D" w:rsidRPr="00E14102" w14:paraId="4192CDDE"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EAF004" w14:textId="77777777" w:rsidR="00164F4F" w:rsidRPr="00E14102" w:rsidRDefault="00164F4F" w:rsidP="00E14102">
            <w:pPr>
              <w:jc w:val="both"/>
              <w:rPr>
                <w:color w:val="000000" w:themeColor="text1"/>
                <w:sz w:val="16"/>
                <w:szCs w:val="16"/>
              </w:rPr>
            </w:pPr>
            <w:r w:rsidRPr="00E14102">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F06C3CF" w14:textId="77777777" w:rsidR="00164F4F" w:rsidRPr="00E14102" w:rsidRDefault="00164F4F" w:rsidP="00E14102">
            <w:pPr>
              <w:jc w:val="both"/>
              <w:rPr>
                <w:color w:val="000000" w:themeColor="text1"/>
                <w:sz w:val="16"/>
                <w:szCs w:val="16"/>
              </w:rPr>
            </w:pPr>
            <w:r w:rsidRPr="00E14102">
              <w:rPr>
                <w:color w:val="000000" w:themeColor="text1"/>
                <w:sz w:val="16"/>
                <w:szCs w:val="16"/>
              </w:rPr>
              <w:t>  11.00</w:t>
            </w:r>
          </w:p>
        </w:tc>
      </w:tr>
      <w:tr w:rsidR="00E3599D" w:rsidRPr="00E14102" w14:paraId="4592A42A"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F08641" w14:textId="77777777" w:rsidR="00164F4F" w:rsidRPr="00E14102" w:rsidRDefault="00164F4F" w:rsidP="00E14102">
            <w:pPr>
              <w:jc w:val="both"/>
              <w:rPr>
                <w:color w:val="000000" w:themeColor="text1"/>
                <w:sz w:val="16"/>
                <w:szCs w:val="16"/>
              </w:rPr>
            </w:pPr>
            <w:r w:rsidRPr="00E14102">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5B45D4" w14:textId="77777777" w:rsidR="00164F4F" w:rsidRPr="00E14102" w:rsidRDefault="00164F4F" w:rsidP="00E14102">
            <w:pPr>
              <w:jc w:val="both"/>
              <w:rPr>
                <w:color w:val="000000" w:themeColor="text1"/>
                <w:sz w:val="16"/>
                <w:szCs w:val="16"/>
              </w:rPr>
            </w:pPr>
            <w:r w:rsidRPr="00E14102">
              <w:rPr>
                <w:color w:val="000000" w:themeColor="text1"/>
                <w:sz w:val="16"/>
                <w:szCs w:val="16"/>
              </w:rPr>
              <w:t> </w:t>
            </w:r>
          </w:p>
        </w:tc>
      </w:tr>
      <w:tr w:rsidR="00E3599D" w:rsidRPr="00E14102" w14:paraId="7E6DE33E"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B0CA68" w14:textId="77777777" w:rsidR="00164F4F" w:rsidRPr="00E14102" w:rsidRDefault="00164F4F" w:rsidP="00E14102">
            <w:pPr>
              <w:jc w:val="both"/>
              <w:rPr>
                <w:color w:val="000000" w:themeColor="text1"/>
                <w:sz w:val="16"/>
                <w:szCs w:val="16"/>
              </w:rPr>
            </w:pPr>
            <w:r w:rsidRPr="00E14102">
              <w:rPr>
                <w:color w:val="000000" w:themeColor="text1"/>
                <w:sz w:val="16"/>
                <w:szCs w:val="16"/>
              </w:rPr>
              <w:t>  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A51C7E2" w14:textId="77777777" w:rsidR="00164F4F" w:rsidRPr="00E14102" w:rsidRDefault="00164F4F" w:rsidP="00E14102">
            <w:pPr>
              <w:jc w:val="both"/>
              <w:rPr>
                <w:color w:val="000000" w:themeColor="text1"/>
                <w:sz w:val="16"/>
                <w:szCs w:val="16"/>
              </w:rPr>
            </w:pPr>
            <w:r w:rsidRPr="00E14102">
              <w:rPr>
                <w:color w:val="000000" w:themeColor="text1"/>
                <w:sz w:val="16"/>
                <w:szCs w:val="16"/>
              </w:rPr>
              <w:t>  330</w:t>
            </w:r>
          </w:p>
        </w:tc>
      </w:tr>
      <w:tr w:rsidR="00E3599D" w:rsidRPr="00E14102" w14:paraId="062CEC69"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B3BFED" w14:textId="77777777" w:rsidR="00164F4F" w:rsidRPr="00E14102" w:rsidRDefault="00164F4F" w:rsidP="00E14102">
            <w:pPr>
              <w:jc w:val="both"/>
              <w:rPr>
                <w:color w:val="000000" w:themeColor="text1"/>
                <w:sz w:val="16"/>
                <w:szCs w:val="16"/>
              </w:rPr>
            </w:pPr>
            <w:r w:rsidRPr="00E14102">
              <w:rPr>
                <w:color w:val="000000" w:themeColor="text1"/>
                <w:sz w:val="16"/>
                <w:szCs w:val="16"/>
              </w:rPr>
              <w:t>  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2D6D16D" w14:textId="77777777" w:rsidR="00164F4F" w:rsidRPr="00E14102" w:rsidRDefault="00164F4F" w:rsidP="00E14102">
            <w:pPr>
              <w:jc w:val="both"/>
              <w:rPr>
                <w:color w:val="000000" w:themeColor="text1"/>
                <w:sz w:val="16"/>
                <w:szCs w:val="16"/>
              </w:rPr>
            </w:pPr>
            <w:r w:rsidRPr="00E14102">
              <w:rPr>
                <w:color w:val="000000" w:themeColor="text1"/>
                <w:sz w:val="16"/>
                <w:szCs w:val="16"/>
              </w:rPr>
              <w:t>  505</w:t>
            </w:r>
          </w:p>
        </w:tc>
      </w:tr>
      <w:tr w:rsidR="00E3599D" w:rsidRPr="00E14102" w14:paraId="24F3942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763943" w14:textId="77777777" w:rsidR="00164F4F" w:rsidRPr="00E14102" w:rsidRDefault="00164F4F" w:rsidP="00E14102">
            <w:pPr>
              <w:jc w:val="both"/>
              <w:rPr>
                <w:color w:val="000000" w:themeColor="text1"/>
                <w:sz w:val="16"/>
                <w:szCs w:val="16"/>
              </w:rPr>
            </w:pPr>
            <w:r w:rsidRPr="00E14102">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7F83E4" w14:textId="77777777" w:rsidR="00164F4F" w:rsidRPr="00E14102" w:rsidRDefault="00164F4F" w:rsidP="00E14102">
            <w:pPr>
              <w:jc w:val="both"/>
              <w:rPr>
                <w:color w:val="000000" w:themeColor="text1"/>
                <w:sz w:val="16"/>
                <w:szCs w:val="16"/>
              </w:rPr>
            </w:pPr>
            <w:r w:rsidRPr="00E14102">
              <w:rPr>
                <w:color w:val="000000" w:themeColor="text1"/>
                <w:sz w:val="16"/>
                <w:szCs w:val="16"/>
              </w:rPr>
              <w:t>  1 ПД Walter</w:t>
            </w:r>
          </w:p>
        </w:tc>
      </w:tr>
      <w:tr w:rsidR="00E3599D" w:rsidRPr="00E14102" w14:paraId="6467A4C5"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8681D1" w14:textId="77777777" w:rsidR="00164F4F" w:rsidRPr="00E14102" w:rsidRDefault="00164F4F" w:rsidP="00E14102">
            <w:pPr>
              <w:jc w:val="both"/>
              <w:rPr>
                <w:color w:val="000000" w:themeColor="text1"/>
                <w:sz w:val="16"/>
                <w:szCs w:val="16"/>
              </w:rPr>
            </w:pPr>
            <w:r w:rsidRPr="00E14102">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2F01DF" w14:textId="77777777" w:rsidR="00164F4F" w:rsidRPr="00E14102" w:rsidRDefault="00164F4F" w:rsidP="00E14102">
            <w:pPr>
              <w:jc w:val="both"/>
              <w:rPr>
                <w:color w:val="000000" w:themeColor="text1"/>
                <w:sz w:val="16"/>
                <w:szCs w:val="16"/>
              </w:rPr>
            </w:pPr>
            <w:r w:rsidRPr="00E14102">
              <w:rPr>
                <w:color w:val="000000" w:themeColor="text1"/>
                <w:sz w:val="16"/>
                <w:szCs w:val="16"/>
              </w:rPr>
              <w:t>  1 × 60</w:t>
            </w:r>
          </w:p>
        </w:tc>
      </w:tr>
      <w:tr w:rsidR="00E3599D" w:rsidRPr="00E14102" w14:paraId="61F3ECC4"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2914D2" w14:textId="77777777" w:rsidR="00164F4F" w:rsidRPr="00E14102" w:rsidRDefault="00164F4F" w:rsidP="00E14102">
            <w:pPr>
              <w:jc w:val="both"/>
              <w:rPr>
                <w:color w:val="000000" w:themeColor="text1"/>
                <w:sz w:val="16"/>
                <w:szCs w:val="16"/>
              </w:rPr>
            </w:pPr>
            <w:r w:rsidRPr="00E14102">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E10B4C5" w14:textId="77777777" w:rsidR="00164F4F" w:rsidRPr="00E14102" w:rsidRDefault="00164F4F" w:rsidP="00E14102">
            <w:pPr>
              <w:jc w:val="both"/>
              <w:rPr>
                <w:color w:val="000000" w:themeColor="text1"/>
                <w:sz w:val="16"/>
                <w:szCs w:val="16"/>
              </w:rPr>
            </w:pPr>
            <w:r w:rsidRPr="00E14102">
              <w:rPr>
                <w:color w:val="000000" w:themeColor="text1"/>
                <w:sz w:val="16"/>
                <w:szCs w:val="16"/>
              </w:rPr>
              <w:t>  170</w:t>
            </w:r>
          </w:p>
        </w:tc>
      </w:tr>
      <w:tr w:rsidR="00E3599D" w:rsidRPr="00E14102" w14:paraId="2A24A673"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CEF723" w14:textId="77777777" w:rsidR="00164F4F" w:rsidRPr="00E14102" w:rsidRDefault="00164F4F" w:rsidP="00E14102">
            <w:pPr>
              <w:jc w:val="both"/>
              <w:rPr>
                <w:color w:val="000000" w:themeColor="text1"/>
                <w:sz w:val="16"/>
                <w:szCs w:val="16"/>
              </w:rPr>
            </w:pPr>
            <w:r w:rsidRPr="00E14102">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FEBF50C" w14:textId="77777777" w:rsidR="00164F4F" w:rsidRPr="00E14102" w:rsidRDefault="00164F4F" w:rsidP="00E14102">
            <w:pPr>
              <w:jc w:val="both"/>
              <w:rPr>
                <w:color w:val="000000" w:themeColor="text1"/>
                <w:sz w:val="16"/>
                <w:szCs w:val="16"/>
              </w:rPr>
            </w:pPr>
            <w:r w:rsidRPr="00E14102">
              <w:rPr>
                <w:color w:val="000000" w:themeColor="text1"/>
                <w:sz w:val="16"/>
                <w:szCs w:val="16"/>
              </w:rPr>
              <w:t>  138</w:t>
            </w:r>
          </w:p>
        </w:tc>
      </w:tr>
      <w:tr w:rsidR="00E3599D" w:rsidRPr="00E14102" w14:paraId="5D92359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12627E" w14:textId="77777777" w:rsidR="00164F4F" w:rsidRPr="00E14102" w:rsidRDefault="00164F4F" w:rsidP="00E14102">
            <w:pPr>
              <w:jc w:val="both"/>
              <w:rPr>
                <w:color w:val="000000" w:themeColor="text1"/>
                <w:sz w:val="16"/>
                <w:szCs w:val="16"/>
              </w:rPr>
            </w:pPr>
            <w:r w:rsidRPr="00E14102">
              <w:rPr>
                <w:color w:val="000000" w:themeColor="text1"/>
                <w:sz w:val="16"/>
                <w:szCs w:val="16"/>
              </w:rPr>
              <w:t>Практическая дальность, км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595802" w14:textId="77777777" w:rsidR="00164F4F" w:rsidRPr="00E14102" w:rsidRDefault="00164F4F" w:rsidP="00E14102">
            <w:pPr>
              <w:jc w:val="both"/>
              <w:rPr>
                <w:color w:val="000000" w:themeColor="text1"/>
                <w:sz w:val="16"/>
                <w:szCs w:val="16"/>
              </w:rPr>
            </w:pPr>
            <w:r w:rsidRPr="00E14102">
              <w:rPr>
                <w:color w:val="000000" w:themeColor="text1"/>
                <w:sz w:val="16"/>
                <w:szCs w:val="16"/>
              </w:rPr>
              <w:t>  700</w:t>
            </w:r>
          </w:p>
        </w:tc>
      </w:tr>
      <w:tr w:rsidR="00E3599D" w:rsidRPr="00E14102" w14:paraId="207D1E77"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1DEACB" w14:textId="77777777" w:rsidR="00164F4F" w:rsidRPr="00E14102" w:rsidRDefault="00164F4F" w:rsidP="00E14102">
            <w:pPr>
              <w:jc w:val="both"/>
              <w:rPr>
                <w:color w:val="000000" w:themeColor="text1"/>
                <w:sz w:val="16"/>
                <w:szCs w:val="16"/>
              </w:rPr>
            </w:pPr>
            <w:r w:rsidRPr="00E14102">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FC555E6" w14:textId="77777777" w:rsidR="00164F4F" w:rsidRPr="00E14102" w:rsidRDefault="00164F4F" w:rsidP="00E14102">
            <w:pPr>
              <w:jc w:val="both"/>
              <w:rPr>
                <w:color w:val="000000" w:themeColor="text1"/>
                <w:sz w:val="16"/>
                <w:szCs w:val="16"/>
              </w:rPr>
            </w:pPr>
            <w:r w:rsidRPr="00E14102">
              <w:rPr>
                <w:color w:val="000000" w:themeColor="text1"/>
                <w:sz w:val="16"/>
                <w:szCs w:val="16"/>
              </w:rPr>
              <w:t>  4</w:t>
            </w:r>
          </w:p>
        </w:tc>
      </w:tr>
      <w:tr w:rsidR="00E3599D" w:rsidRPr="00E14102" w14:paraId="1FF1C9B7"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0680C3" w14:textId="77777777" w:rsidR="00164F4F" w:rsidRPr="00E14102" w:rsidRDefault="00164F4F" w:rsidP="00E14102">
            <w:pPr>
              <w:jc w:val="both"/>
              <w:rPr>
                <w:color w:val="000000" w:themeColor="text1"/>
                <w:sz w:val="16"/>
                <w:szCs w:val="16"/>
              </w:rPr>
            </w:pPr>
            <w:r w:rsidRPr="00E14102">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386A842" w14:textId="77777777" w:rsidR="00164F4F" w:rsidRPr="00E14102" w:rsidRDefault="00164F4F" w:rsidP="00E14102">
            <w:pPr>
              <w:jc w:val="both"/>
              <w:rPr>
                <w:color w:val="000000" w:themeColor="text1"/>
                <w:sz w:val="16"/>
                <w:szCs w:val="16"/>
              </w:rPr>
            </w:pPr>
            <w:r w:rsidRPr="00E14102">
              <w:rPr>
                <w:color w:val="000000" w:themeColor="text1"/>
                <w:sz w:val="16"/>
                <w:szCs w:val="16"/>
              </w:rPr>
              <w:t>  200</w:t>
            </w:r>
          </w:p>
        </w:tc>
      </w:tr>
      <w:tr w:rsidR="00E3599D" w:rsidRPr="00E14102" w14:paraId="5B34AB3A"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9D42DE0" w14:textId="77777777" w:rsidR="00164F4F" w:rsidRPr="00E14102" w:rsidRDefault="00164F4F" w:rsidP="00E14102">
            <w:pPr>
              <w:jc w:val="both"/>
              <w:rPr>
                <w:color w:val="000000" w:themeColor="text1"/>
                <w:sz w:val="16"/>
                <w:szCs w:val="16"/>
              </w:rPr>
            </w:pPr>
            <w:r w:rsidRPr="00E14102">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F0AD48" w14:textId="77777777" w:rsidR="00164F4F" w:rsidRPr="00E14102" w:rsidRDefault="00164F4F" w:rsidP="00E14102">
            <w:pPr>
              <w:jc w:val="both"/>
              <w:rPr>
                <w:color w:val="000000" w:themeColor="text1"/>
                <w:sz w:val="16"/>
                <w:szCs w:val="16"/>
              </w:rPr>
            </w:pPr>
            <w:r w:rsidRPr="00E14102">
              <w:rPr>
                <w:color w:val="000000" w:themeColor="text1"/>
                <w:sz w:val="16"/>
                <w:szCs w:val="16"/>
              </w:rPr>
              <w:t>  5200</w:t>
            </w:r>
          </w:p>
        </w:tc>
      </w:tr>
      <w:tr w:rsidR="00E3599D" w:rsidRPr="00E14102" w14:paraId="0CF531B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99A485" w14:textId="77777777" w:rsidR="00164F4F" w:rsidRPr="00E14102" w:rsidRDefault="00164F4F" w:rsidP="00E14102">
            <w:pPr>
              <w:jc w:val="both"/>
              <w:rPr>
                <w:color w:val="000000" w:themeColor="text1"/>
                <w:sz w:val="16"/>
                <w:szCs w:val="16"/>
              </w:rPr>
            </w:pPr>
            <w:r w:rsidRPr="00E14102">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492AA1" w14:textId="77777777" w:rsidR="00164F4F" w:rsidRPr="00E14102" w:rsidRDefault="00164F4F" w:rsidP="00E14102">
            <w:pPr>
              <w:jc w:val="both"/>
              <w:rPr>
                <w:color w:val="000000" w:themeColor="text1"/>
                <w:sz w:val="16"/>
                <w:szCs w:val="16"/>
              </w:rPr>
            </w:pPr>
            <w:r w:rsidRPr="00E14102">
              <w:rPr>
                <w:color w:val="000000" w:themeColor="text1"/>
                <w:sz w:val="16"/>
                <w:szCs w:val="16"/>
              </w:rPr>
              <w:t>  2</w:t>
            </w:r>
          </w:p>
        </w:tc>
      </w:tr>
    </w:tbl>
    <w:p w14:paraId="3580068D" w14:textId="77777777" w:rsidR="00164F4F" w:rsidRPr="00E14102" w:rsidRDefault="00164F4F" w:rsidP="00E14102">
      <w:pPr>
        <w:pBdr>
          <w:bottom w:val="single" w:sz="6" w:space="2" w:color="EBEBEB"/>
        </w:pBdr>
        <w:shd w:val="clear" w:color="auto" w:fill="FFFFFF"/>
        <w:jc w:val="both"/>
        <w:rPr>
          <w:color w:val="000000" w:themeColor="text1"/>
          <w:sz w:val="16"/>
          <w:szCs w:val="16"/>
        </w:rPr>
      </w:pPr>
      <w:r w:rsidRPr="00E14102">
        <w:rPr>
          <w:color w:val="000000" w:themeColor="text1"/>
          <w:sz w:val="16"/>
          <w:szCs w:val="16"/>
        </w:rPr>
        <w:t>(12682).</w:t>
      </w:r>
    </w:p>
    <w:p w14:paraId="0B88325B" w14:textId="77777777" w:rsidR="00164F4F" w:rsidRPr="00E14102" w:rsidRDefault="00164F4F" w:rsidP="00E14102">
      <w:pPr>
        <w:shd w:val="clear" w:color="auto" w:fill="FFFFFF"/>
        <w:jc w:val="both"/>
        <w:rPr>
          <w:color w:val="000000" w:themeColor="text1"/>
          <w:sz w:val="16"/>
          <w:szCs w:val="16"/>
        </w:rPr>
      </w:pPr>
    </w:p>
    <w:p w14:paraId="03008C74"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В сентябре 1935 в 11-м планерном слете 1935 г принял участие планер Грибовского Г-17. Строился в единственном экземпляре, по схеме среднеплана, в помещении аэроклуба авиамоторного завода №24. Показал неплохие результаты. Конструктивно и внешне соответствовал предыдущим разработкам Грибовского. Имел отличительный знак на вертикальном оперении в виде трех переплетенных букв «ЗИФ» (Завод имени Фрунзе) (12682).</w:t>
      </w:r>
    </w:p>
    <w:p w14:paraId="4718E4E1" w14:textId="77777777" w:rsidR="00164F4F" w:rsidRPr="00E14102" w:rsidRDefault="00164F4F" w:rsidP="00E14102">
      <w:pPr>
        <w:shd w:val="clear" w:color="auto" w:fill="FFFFFF"/>
        <w:jc w:val="both"/>
        <w:rPr>
          <w:color w:val="000000" w:themeColor="text1"/>
          <w:sz w:val="16"/>
          <w:szCs w:val="16"/>
        </w:rPr>
      </w:pPr>
    </w:p>
    <w:p w14:paraId="211162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сентябре 1935 был предъявлен, но не был рассмотрен макет Сталь 11 М-100, являющегося одновременно пассажирским самолетом (3120).</w:t>
      </w:r>
    </w:p>
    <w:p w14:paraId="32EBAD85" w14:textId="77777777" w:rsidR="00D4105E" w:rsidRPr="00E14102" w:rsidRDefault="00D4105E" w:rsidP="00E14102">
      <w:pPr>
        <w:autoSpaceDE w:val="0"/>
        <w:autoSpaceDN w:val="0"/>
        <w:adjustRightInd w:val="0"/>
        <w:jc w:val="both"/>
        <w:rPr>
          <w:color w:val="000000" w:themeColor="text1"/>
          <w:sz w:val="16"/>
          <w:szCs w:val="16"/>
        </w:rPr>
      </w:pPr>
    </w:p>
    <w:p w14:paraId="166C99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И.С.Баранов, командир поезда М.Кокошко, сцепщик М.Е.Захаров на П-5Л и К.М.Вересаев на планере Г-14 ЦЛ-2А и летели из Москвы в Коктебель на воздушном поезде из самолета с планером-заправщиком. Пролетели 1524 км и от Курска до Ростова шли в условиях болтанки. Планер снабжал самолет горючим из 5 баков (94,9).</w:t>
      </w:r>
    </w:p>
    <w:p w14:paraId="5F4A1A65" w14:textId="77777777" w:rsidR="00D4105E" w:rsidRPr="00E14102" w:rsidRDefault="00D4105E" w:rsidP="00E14102">
      <w:pPr>
        <w:autoSpaceDE w:val="0"/>
        <w:autoSpaceDN w:val="0"/>
        <w:adjustRightInd w:val="0"/>
        <w:jc w:val="both"/>
        <w:rPr>
          <w:color w:val="000000" w:themeColor="text1"/>
          <w:sz w:val="16"/>
          <w:szCs w:val="16"/>
        </w:rPr>
      </w:pPr>
    </w:p>
    <w:p w14:paraId="38E36C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закончили сборку МБР-5 П.Д.Самсонова на 31 заводе (1030,27).</w:t>
      </w:r>
    </w:p>
    <w:p w14:paraId="07C3ACB4" w14:textId="77777777" w:rsidR="00D4105E" w:rsidRPr="00E14102" w:rsidRDefault="00D4105E" w:rsidP="00E14102">
      <w:pPr>
        <w:autoSpaceDE w:val="0"/>
        <w:autoSpaceDN w:val="0"/>
        <w:adjustRightInd w:val="0"/>
        <w:jc w:val="both"/>
        <w:rPr>
          <w:color w:val="000000" w:themeColor="text1"/>
          <w:sz w:val="16"/>
          <w:szCs w:val="16"/>
        </w:rPr>
      </w:pPr>
    </w:p>
    <w:p w14:paraId="78C528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в сентябре 1935 продолжились испытания МБР-5 П.Д.Самсонова (92,505).</w:t>
      </w:r>
    </w:p>
    <w:p w14:paraId="3EB7DE94" w14:textId="77777777" w:rsidR="00D4105E" w:rsidRPr="00E14102" w:rsidRDefault="00D4105E" w:rsidP="00E14102">
      <w:pPr>
        <w:autoSpaceDE w:val="0"/>
        <w:autoSpaceDN w:val="0"/>
        <w:adjustRightInd w:val="0"/>
        <w:jc w:val="both"/>
        <w:rPr>
          <w:color w:val="000000" w:themeColor="text1"/>
          <w:sz w:val="16"/>
          <w:szCs w:val="16"/>
        </w:rPr>
      </w:pPr>
    </w:p>
    <w:p w14:paraId="2EE2B5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был окончен постройкой МБР-5 М-25 с деревянной лодкой (2166,117).</w:t>
      </w:r>
    </w:p>
    <w:p w14:paraId="4A55D788" w14:textId="77777777" w:rsidR="00D4105E" w:rsidRPr="00E14102" w:rsidRDefault="00D4105E" w:rsidP="00E14102">
      <w:pPr>
        <w:autoSpaceDE w:val="0"/>
        <w:autoSpaceDN w:val="0"/>
        <w:adjustRightInd w:val="0"/>
        <w:jc w:val="both"/>
        <w:rPr>
          <w:color w:val="000000" w:themeColor="text1"/>
          <w:sz w:val="16"/>
          <w:szCs w:val="16"/>
        </w:rPr>
      </w:pPr>
    </w:p>
    <w:p w14:paraId="5A3A4F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сентябре 1935 г. руководство НИИ ВВС приняло решение изготовить четырехцилиндровый отсек ПБ для проверки работоспособности схемы. В июле 1935 г. работавшие в НИИ ВВС военинженеры П.Н. Павлючук и И.Ф. Буров предложили необычную компоновку авиамотора с двумя коленвалами и двумя двухрядными блоками цилиндров. Блоки располага</w:t>
      </w:r>
      <w:r w:rsidRPr="00E14102">
        <w:rPr>
          <w:color w:val="000000" w:themeColor="text1"/>
          <w:sz w:val="16"/>
          <w:szCs w:val="16"/>
        </w:rPr>
        <w:softHyphen/>
        <w:t>лись У-образно. Каждый из коленвалов вращался шатунами одного ряда цилиндров левого блока и одного — правого. При этом каждая пара ци</w:t>
      </w:r>
      <w:r w:rsidRPr="00E14102">
        <w:rPr>
          <w:color w:val="000000" w:themeColor="text1"/>
          <w:sz w:val="16"/>
          <w:szCs w:val="16"/>
        </w:rPr>
        <w:softHyphen/>
        <w:t>линдров в блоке имела общую камеру сгорания. ПБ (МОТОР ПАВЛЮЧУКА—БУРОВА). Проектные параметры ПБ: 24-цилиндровый, двойной У-образный, четы</w:t>
      </w:r>
      <w:r w:rsidRPr="00E14102">
        <w:rPr>
          <w:color w:val="000000" w:themeColor="text1"/>
          <w:sz w:val="16"/>
          <w:szCs w:val="16"/>
        </w:rPr>
        <w:softHyphen/>
        <w:t>рехтактный, жидкостного охлаждения, безредукторный, диаметр цилиндра/ ход поршня 90/100 мм, объем 15,45 л, мощность 600 л.с., степень сжа</w:t>
      </w:r>
      <w:r w:rsidRPr="00E14102">
        <w:rPr>
          <w:color w:val="000000" w:themeColor="text1"/>
          <w:sz w:val="16"/>
          <w:szCs w:val="16"/>
        </w:rPr>
        <w:softHyphen/>
        <w:t>тия 7,0, вес 290 кг. Его начали делать в 1936 г. с помощью завода № 24, используя детали от моторов М-11, М-17 и М-22. Отсек ПБ собрали в мастерских НИИ в марте 1937 г., а в апреле начали испытывать на стенде. Получили мощ</w:t>
      </w:r>
      <w:r w:rsidRPr="00E14102">
        <w:rPr>
          <w:color w:val="000000" w:themeColor="text1"/>
          <w:sz w:val="16"/>
          <w:szCs w:val="16"/>
        </w:rPr>
        <w:softHyphen/>
        <w:t>ность 83,4 л.с. (при степени сжатия 7,23). С учетом результатов эксперимента был подготовлен уточненный проект ПБ, в котором степень сжатия подняли до 7,3, мощность до 820/900 л.с. и вес до 400 кг, предусмотрев редуктор. Предлагали выпустить на заводе № 24 опытную партию из пяти двигателей. В январе 1939 г. ВВС было выдано техническое задание на создание мотора такого типа мощностью 850/900 л.с. и весом 420 кг. Реально опытный образец ПБ в целом по</w:t>
      </w:r>
      <w:r w:rsidRPr="00E14102">
        <w:rPr>
          <w:color w:val="000000" w:themeColor="text1"/>
          <w:sz w:val="16"/>
          <w:szCs w:val="16"/>
        </w:rPr>
        <w:softHyphen/>
        <w:t>строен не был. Конструкторами предлагались также варианты сдвоенного ПБ общей мощностью 1700 л.с., дизеля и двухтактного мотора на его базе (11852).</w:t>
      </w:r>
    </w:p>
    <w:p w14:paraId="09FD4C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574E5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Хаханьян и Березин прислали данные о выполнении задания КО по проверке хода выполнения ГУАПом программы 1935 года по всем новым типам самолетов и моторов и по проверке причин 3 аварий и 1 катастрофы с самолетами.</w:t>
      </w:r>
    </w:p>
    <w:p w14:paraId="0099AF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 констатирует, что по самолетам дело обстоит ……………. чем по моторам.</w:t>
      </w:r>
    </w:p>
    <w:p w14:paraId="22F8FC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Особенно неудовлетворительно положение с бомбардировочной, разведывательной и морской авиацией. Лучше с истребителями, хотя и там лишь делаются "первые …. шаги".</w:t>
      </w:r>
    </w:p>
    <w:p w14:paraId="44F980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 утверждает, что причины аварий и катастрофы лежат не в плохой эксплуатации, а в производственных дефектах.</w:t>
      </w:r>
    </w:p>
    <w:p w14:paraId="32B521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заключение Хаханьян и Березин предлагают:</w:t>
      </w:r>
    </w:p>
    <w:p w14:paraId="69CE6EF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Создать комиссию под руководством одного из секретарей ЦК, которой поручить проработку ….. по важнейшим самолетам, их вооружению и оборудованию.</w:t>
      </w:r>
    </w:p>
    <w:p w14:paraId="2F84B73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Укрепить руководство ГУАПа.</w:t>
      </w:r>
    </w:p>
    <w:p w14:paraId="117510D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Укрепить руководство заводами №№ 22, 39 и 1.</w:t>
      </w:r>
    </w:p>
    <w:p w14:paraId="531314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Королев дал два доклада имеющих отношение к тому же вопросу. Первый дает … информацию о положении с производством по всем самолетам и моторам к данному дню, второй доклад – просьба об изменении сроков по всем невыполненным заданиям опытного плана.</w:t>
      </w:r>
    </w:p>
    <w:p w14:paraId="1E0035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Королев просит лично Вам доклада.</w:t>
      </w:r>
    </w:p>
    <w:p w14:paraId="090F99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указания разослать доклад Хаханьяна и Березина членам ….. и поставить вопрос на следующем заседании КО (3475,12).</w:t>
      </w:r>
    </w:p>
    <w:p w14:paraId="369008F0" w14:textId="77777777" w:rsidR="00D4105E" w:rsidRPr="00E14102" w:rsidRDefault="00D4105E" w:rsidP="00E14102">
      <w:pPr>
        <w:autoSpaceDE w:val="0"/>
        <w:autoSpaceDN w:val="0"/>
        <w:adjustRightInd w:val="0"/>
        <w:jc w:val="both"/>
        <w:rPr>
          <w:color w:val="000000" w:themeColor="text1"/>
          <w:sz w:val="16"/>
          <w:szCs w:val="16"/>
        </w:rPr>
      </w:pPr>
    </w:p>
    <w:p w14:paraId="4EB3A6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на заводе № 47 был собран всего один самолет Р-1 при 120 произведенных моторах. Тогда же последовали очередные структурные и технологические изменения: осуществляя переход на производство экспериментальных образцов новой авиационной техники, завод № 47 стал значиться как филиал Экспериментального института (Там же. Д. 133. Л. 11.) (11176).</w:t>
      </w:r>
    </w:p>
    <w:p w14:paraId="5D10B2C5" w14:textId="77777777" w:rsidR="00D4105E" w:rsidRPr="00E14102" w:rsidRDefault="00D4105E" w:rsidP="00E14102">
      <w:pPr>
        <w:autoSpaceDE w:val="0"/>
        <w:autoSpaceDN w:val="0"/>
        <w:adjustRightInd w:val="0"/>
        <w:jc w:val="both"/>
        <w:rPr>
          <w:color w:val="000000" w:themeColor="text1"/>
          <w:sz w:val="16"/>
          <w:szCs w:val="16"/>
        </w:rPr>
      </w:pPr>
    </w:p>
    <w:p w14:paraId="64A7110C"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В сентябре 1935 был введен в строй цех № 1 — механический — первый производственный цех завода № 126. Затем — № 14 — слесарно — сборочный, № 15 — термический, № 13 — штампо-заготовительный, № 18 — цех покрытий. К концу 1935 г. были сформированы основные производственные и вспомогательные цехи, определившие облик завода. Площадь построенной части главного корпуса превышала 20 тыс. кв. м. В августе 1935 г. началось оснащение агрегатных цехов. Всего за 1935 г. было установлено свыше 270 единиц оборудования. В 1936 г. площадь построенной части главного корпуса составляла около 44 тыс. кв. м., было установлено около 470 единиц оборудования. </w:t>
      </w:r>
    </w:p>
    <w:p w14:paraId="7845DF42"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Сдерживала темпы строительства и нормальный ход работ в механическом, инструментальном и др. цехах нехватка электроэнергии. Завод пользовался э/энергией временной э/станции (ВЭС). В генеральном проекте авиационного завода, а затем в последующих заданиях главка, наркомата и правительства с самого начала строительства завода постройка в системе завода электростанции не предусматривалась. Более крупные энергообъекты на то время еще не были построены. </w:t>
      </w:r>
    </w:p>
    <w:p w14:paraId="2B92E861" w14:textId="77777777" w:rsidR="00647F1E" w:rsidRPr="00E14102" w:rsidRDefault="00647F1E" w:rsidP="00E14102">
      <w:pPr>
        <w:jc w:val="both"/>
        <w:rPr>
          <w:color w:val="000000" w:themeColor="text1"/>
          <w:sz w:val="16"/>
          <w:szCs w:val="16"/>
        </w:rPr>
      </w:pPr>
      <w:r w:rsidRPr="00E14102">
        <w:rPr>
          <w:color w:val="000000" w:themeColor="text1"/>
          <w:sz w:val="16"/>
          <w:szCs w:val="16"/>
        </w:rPr>
        <w:t>В достаточном количестве завод стал получать э/энергию лишь в январе 1936 г. с введением новых мощностей на ТЭЦ судостроительного завода, откуда к авиационному заводу была протянута ЛЭП (12211).</w:t>
      </w:r>
    </w:p>
    <w:p w14:paraId="3DE99F64" w14:textId="77777777" w:rsidR="00647F1E" w:rsidRPr="00E14102" w:rsidRDefault="00647F1E" w:rsidP="00E14102">
      <w:pPr>
        <w:jc w:val="both"/>
        <w:rPr>
          <w:color w:val="000000" w:themeColor="text1"/>
          <w:sz w:val="16"/>
          <w:szCs w:val="16"/>
        </w:rPr>
      </w:pPr>
    </w:p>
    <w:p w14:paraId="72C46706" w14:textId="77777777" w:rsidR="0057432F" w:rsidRPr="00E14102" w:rsidRDefault="0057432F" w:rsidP="00E14102">
      <w:pPr>
        <w:jc w:val="both"/>
        <w:rPr>
          <w:color w:val="0070C0"/>
          <w:sz w:val="16"/>
          <w:szCs w:val="16"/>
        </w:rPr>
      </w:pPr>
      <w:r w:rsidRPr="00E14102">
        <w:rPr>
          <w:color w:val="0070C0"/>
          <w:sz w:val="16"/>
          <w:szCs w:val="16"/>
        </w:rPr>
        <w:t>В сентябре 1935 приказе начальника ГУАП Королева сообщалось об удов</w:t>
      </w:r>
      <w:r w:rsidRPr="00E14102">
        <w:rPr>
          <w:color w:val="0070C0"/>
          <w:sz w:val="16"/>
          <w:szCs w:val="16"/>
        </w:rPr>
        <w:softHyphen/>
        <w:t>летворительном завершении работ по переводу мо</w:t>
      </w:r>
      <w:r w:rsidRPr="00E14102">
        <w:rPr>
          <w:color w:val="0070C0"/>
          <w:sz w:val="16"/>
          <w:szCs w:val="16"/>
        </w:rPr>
        <w:softHyphen/>
        <w:t>тора на испарительное охлаждение и об успешном заграничном опыте по использованию этой системы на последних типах военных самолетов (в марте 1935 года ГУАП обязал все заводы, разрабатывавшие новые самолеты под М-34, в обя</w:t>
      </w:r>
      <w:r w:rsidRPr="00E14102">
        <w:rPr>
          <w:color w:val="0070C0"/>
          <w:sz w:val="16"/>
          <w:szCs w:val="16"/>
        </w:rPr>
        <w:softHyphen/>
        <w:t>зательном порядке предусмотреть вариант испари</w:t>
      </w:r>
      <w:r w:rsidRPr="00E14102">
        <w:rPr>
          <w:color w:val="0070C0"/>
          <w:sz w:val="16"/>
          <w:szCs w:val="16"/>
        </w:rPr>
        <w:softHyphen/>
        <w:t>тельного охлаждения).</w:t>
      </w:r>
    </w:p>
    <w:p w14:paraId="73B15846" w14:textId="77777777" w:rsidR="0057432F" w:rsidRPr="00E14102" w:rsidRDefault="0057432F" w:rsidP="00E14102">
      <w:pPr>
        <w:jc w:val="both"/>
        <w:rPr>
          <w:color w:val="0070C0"/>
          <w:sz w:val="16"/>
          <w:szCs w:val="16"/>
        </w:rPr>
      </w:pPr>
      <w:r w:rsidRPr="00E14102">
        <w:rPr>
          <w:color w:val="0070C0"/>
          <w:sz w:val="16"/>
          <w:szCs w:val="16"/>
        </w:rPr>
        <w:t>В этом же приказе директорам заводов и ЦАГИ предлагалось «в целях выявления преимуществ М-34 с испарительным охлаждением» перед обыч</w:t>
      </w:r>
      <w:r w:rsidRPr="00E14102">
        <w:rPr>
          <w:color w:val="0070C0"/>
          <w:sz w:val="16"/>
          <w:szCs w:val="16"/>
        </w:rPr>
        <w:softHyphen/>
        <w:t>ным водяным еще раз срочно проработать вопрос «о его применении на самолетах, на которых можно получить наибольший эффект от такого типа охлаж</w:t>
      </w:r>
      <w:r w:rsidRPr="00E14102">
        <w:rPr>
          <w:color w:val="0070C0"/>
          <w:sz w:val="16"/>
          <w:szCs w:val="16"/>
        </w:rPr>
        <w:softHyphen/>
        <w:t>дения». Однако уже летом следующего года поста</w:t>
      </w:r>
      <w:r w:rsidRPr="00E14102">
        <w:rPr>
          <w:color w:val="0070C0"/>
          <w:sz w:val="16"/>
          <w:szCs w:val="16"/>
        </w:rPr>
        <w:softHyphen/>
        <w:t>новлением правительства авиапрому решительно предложили переходить на этиленгликолевое охлаж</w:t>
      </w:r>
      <w:r w:rsidRPr="00E14102">
        <w:rPr>
          <w:color w:val="0070C0"/>
          <w:sz w:val="16"/>
          <w:szCs w:val="16"/>
        </w:rPr>
        <w:softHyphen/>
        <w:t>дение авиационных двигателей (23188).</w:t>
      </w:r>
    </w:p>
    <w:p w14:paraId="75946273" w14:textId="77777777" w:rsidR="0057432F" w:rsidRPr="00E14102" w:rsidRDefault="0057432F" w:rsidP="00E14102">
      <w:pPr>
        <w:jc w:val="both"/>
        <w:rPr>
          <w:color w:val="0070C0"/>
          <w:sz w:val="16"/>
          <w:szCs w:val="16"/>
        </w:rPr>
      </w:pPr>
    </w:p>
    <w:p w14:paraId="469484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был круговой перелет легких самолетов, на котором второе место занял АНИТО-1 Н.Г.Нурова и С.А.Элибекяна (310).</w:t>
      </w:r>
    </w:p>
    <w:p w14:paraId="4A9D1CA2" w14:textId="77777777" w:rsidR="00D4105E" w:rsidRPr="00E14102" w:rsidRDefault="00D4105E" w:rsidP="00E14102">
      <w:pPr>
        <w:autoSpaceDE w:val="0"/>
        <w:autoSpaceDN w:val="0"/>
        <w:adjustRightInd w:val="0"/>
        <w:jc w:val="both"/>
        <w:rPr>
          <w:color w:val="000000" w:themeColor="text1"/>
          <w:sz w:val="16"/>
          <w:szCs w:val="16"/>
        </w:rPr>
      </w:pPr>
    </w:p>
    <w:p w14:paraId="0860535D" w14:textId="77777777" w:rsidR="001F6389" w:rsidRPr="00E14102" w:rsidRDefault="001F6389"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В сентябре 1935 г шесть АИР-6 участвовали в большом перелете легких самолетов. Три машины предоставил Центральный аэроклуб, два - местные аэроклубы и одну - агитэскадрилья им. М. Горького. Перелет совершался по маршруту Москва - Горький - Казань - Сарапул - Пермь- Свердловск - Челябинск - Магнитогорск - Оренбург- Куйбышев - Саратов - Сталинград-Луганск-Сталино-Днепропетровск-Киев - Бежица - Москва протяженностью 5500 км. Самолеты пилотировали Гот-Гарт, Сандрыкин, Алексеев, Марченко, Сахаров и Нусберг Перелет являлся частью Всесоюзного конкурса легких самолетов. Результат подсчитывался по сложной системе, включавшей техническую оценку машины. Экипаж из Центрального аэроклуба, включавший летчика С.В. Алексеева и механика </w:t>
      </w:r>
      <w:r w:rsidRPr="00E14102">
        <w:rPr>
          <w:rFonts w:ascii="Times New Roman" w:hAnsi="Times New Roman" w:cs="Times New Roman"/>
          <w:color w:val="000000" w:themeColor="text1"/>
          <w:sz w:val="16"/>
          <w:szCs w:val="16"/>
        </w:rPr>
        <w:t>A</w:t>
      </w:r>
      <w:r w:rsidRPr="00E14102">
        <w:rPr>
          <w:rFonts w:ascii="Times New Roman" w:hAnsi="Times New Roman" w:cs="Times New Roman"/>
          <w:color w:val="000000" w:themeColor="text1"/>
          <w:sz w:val="16"/>
          <w:szCs w:val="16"/>
          <w:lang w:val="ru-RU"/>
        </w:rPr>
        <w:t>.</w:t>
      </w:r>
      <w:r w:rsidRPr="00E14102">
        <w:rPr>
          <w:rFonts w:ascii="Times New Roman" w:hAnsi="Times New Roman" w:cs="Times New Roman"/>
          <w:color w:val="000000" w:themeColor="text1"/>
          <w:sz w:val="16"/>
          <w:szCs w:val="16"/>
        </w:rPr>
        <w:t>M</w:t>
      </w:r>
      <w:r w:rsidRPr="00E14102">
        <w:rPr>
          <w:rFonts w:ascii="Times New Roman" w:hAnsi="Times New Roman" w:cs="Times New Roman"/>
          <w:color w:val="000000" w:themeColor="text1"/>
          <w:sz w:val="16"/>
          <w:szCs w:val="16"/>
          <w:lang w:val="ru-RU"/>
        </w:rPr>
        <w:t>. Куракина, занял второе место и получил приз в 3000 рублей (19099).</w:t>
      </w:r>
    </w:p>
    <w:p w14:paraId="726AC876" w14:textId="77777777" w:rsidR="001F6389" w:rsidRPr="00E14102" w:rsidRDefault="001F6389" w:rsidP="00E14102">
      <w:pPr>
        <w:pStyle w:val="aa"/>
        <w:jc w:val="both"/>
        <w:rPr>
          <w:rFonts w:ascii="Times New Roman" w:hAnsi="Times New Roman" w:cs="Times New Roman"/>
          <w:color w:val="000000" w:themeColor="text1"/>
          <w:sz w:val="16"/>
          <w:szCs w:val="16"/>
          <w:lang w:val="ru-RU"/>
        </w:rPr>
      </w:pPr>
    </w:p>
    <w:p w14:paraId="0599411F" w14:textId="77777777" w:rsidR="00264ED4" w:rsidRPr="00E14102" w:rsidRDefault="00264ED4" w:rsidP="00E14102">
      <w:pPr>
        <w:jc w:val="both"/>
        <w:rPr>
          <w:color w:val="000000" w:themeColor="text1"/>
          <w:sz w:val="16"/>
          <w:szCs w:val="16"/>
        </w:rPr>
      </w:pPr>
      <w:r w:rsidRPr="00E14102">
        <w:rPr>
          <w:color w:val="000000" w:themeColor="text1"/>
          <w:sz w:val="16"/>
          <w:szCs w:val="16"/>
        </w:rPr>
        <w:t>В сентябре 1935 г. лётчик К.М. Венслав на Г-9 достиг высоты 7000 м, при этом он поднялся над буксирующим его самолётом на рекордные 4000 м. На этой высоте Венслав отцепил трос и спланировал к месту взлёта (17489).</w:t>
      </w:r>
    </w:p>
    <w:p w14:paraId="6363E540" w14:textId="77777777" w:rsidR="00264ED4" w:rsidRPr="00E14102" w:rsidRDefault="00264ED4" w:rsidP="00E14102">
      <w:pPr>
        <w:jc w:val="both"/>
        <w:rPr>
          <w:color w:val="000000" w:themeColor="text1"/>
          <w:sz w:val="16"/>
          <w:szCs w:val="16"/>
        </w:rPr>
      </w:pPr>
    </w:p>
    <w:p w14:paraId="0A5EC1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года Начальник и военком НИИ ВС Бажанов утвердил Отчет по испытанию пулестойких бензобаков</w:t>
      </w:r>
    </w:p>
    <w:p w14:paraId="703D07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Начало испытаний: 15 сентября 1935 года</w:t>
      </w:r>
    </w:p>
    <w:p w14:paraId="704EC3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Окончание испытаний: 15 сентября 1935 года</w:t>
      </w:r>
    </w:p>
    <w:p w14:paraId="18B5E3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14F1C1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производились с целью проверки вновь разработанного метода крепления защитной оболочки к стенкам баков и возможности замены дифицитного материала – кожи прорезиненным кордом.</w:t>
      </w:r>
    </w:p>
    <w:p w14:paraId="199E55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Испытаниям подвергались 2 бака от самолета Р-5 и 1 бак от самолета И-15.</w:t>
      </w:r>
    </w:p>
    <w:p w14:paraId="6A4677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C6B9C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Считать возможным допустить баки защищенные с кожей и кордом на гос. испытания (3930).</w:t>
      </w:r>
    </w:p>
    <w:p w14:paraId="3771A8BE" w14:textId="77777777" w:rsidR="00D4105E" w:rsidRPr="00E14102" w:rsidRDefault="00D4105E" w:rsidP="00E14102">
      <w:pPr>
        <w:autoSpaceDE w:val="0"/>
        <w:autoSpaceDN w:val="0"/>
        <w:adjustRightInd w:val="0"/>
        <w:jc w:val="both"/>
        <w:rPr>
          <w:color w:val="000000" w:themeColor="text1"/>
          <w:sz w:val="16"/>
          <w:szCs w:val="16"/>
        </w:rPr>
      </w:pPr>
    </w:p>
    <w:p w14:paraId="1E6341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35 конференция ФАИ, проходившая в Дубровнике (Югославия) рассмотрела заявление ЦАК Осоавиахима и приняла положительное решение, которое, однако, вступило в силу только с 1 февраля (24,101).</w:t>
      </w:r>
    </w:p>
    <w:p w14:paraId="60E46D05" w14:textId="77777777" w:rsidR="00D4105E" w:rsidRPr="00E14102" w:rsidRDefault="00D4105E" w:rsidP="00E14102">
      <w:pPr>
        <w:autoSpaceDE w:val="0"/>
        <w:autoSpaceDN w:val="0"/>
        <w:adjustRightInd w:val="0"/>
        <w:jc w:val="both"/>
        <w:rPr>
          <w:color w:val="000000" w:themeColor="text1"/>
          <w:sz w:val="16"/>
          <w:szCs w:val="16"/>
        </w:rPr>
      </w:pPr>
    </w:p>
    <w:p w14:paraId="36374F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года зам. начальника ОО ГУГБ НКВД Добродицкий подготовил:</w:t>
      </w:r>
    </w:p>
    <w:p w14:paraId="02FD56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Спецсообщение</w:t>
      </w:r>
    </w:p>
    <w:p w14:paraId="4BE842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сентября 1935 года в 10 часов утра в районе Толмачевского аэродрома произошла катастрофа самолета “Р-5” 11-й авиаэскадрильи 257 авиабригады, пилотируемого командиром авиаэскадрильи Шевяковым, член ВКП(б) с 1916 года, с начальником связи эскадрильи Курдюмовым – член ВКП(б).</w:t>
      </w:r>
    </w:p>
    <w:p w14:paraId="284257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результате катастрофы Шевяков погиб, Курдюмов получил тяжелые ожоги.</w:t>
      </w:r>
    </w:p>
    <w:p w14:paraId="142D9B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Обстоятельства катастрофы:</w:t>
      </w:r>
    </w:p>
    <w:p w14:paraId="34AF5D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Шевяков, имея задание на слепой полет при выполнении задания, не выдержал курса, скорости и высоты, при выходе самолета из правого крена с работающим мотором врезался в землю и сгорел.</w:t>
      </w:r>
    </w:p>
    <w:p w14:paraId="46A073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сентября 1935 года в Харькове в 452 авиабригаде произошла авария самолета Р-5 в результате которой самолет разбит на 100%, экипаж получил тяжелые ранения.</w:t>
      </w:r>
    </w:p>
    <w:p w14:paraId="146F1E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сентября 1935 года в 10 часов 15 минут на аэродроме Чита произошла авария самолета И-16, пилотируемого помощником ком. войсками по ВС Шалимо, в результате которой Шалимо получил ушибы и легкие ранения.</w:t>
      </w:r>
    </w:p>
    <w:p w14:paraId="05F2D5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Обстоятельства аварии: Шалимо, убрав шасси в полете не смог их выпустить при заходе на посадку. Ряд попыток, произведенных Шалимо, выпустить шасси окончились безрезультатно, вследствие чего посадку произвел с полуубранными шасси и включенным мотором, в результате потерпел аварию. Винто-моторная группа оторвалась от фюзеляжа. Фюзеляж деформирован.</w:t>
      </w:r>
    </w:p>
    <w:p w14:paraId="4FFDC1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сентября 1935 года в районе Павлово-Посаде произошла катастрофа самолета У-2 116-й истребительной эскадрильи пилотируемого пилотом Звонаревым, имевшего на борту двух летчиков той же эскадрильи комзвена Калмыкова и пилота Рева.</w:t>
      </w:r>
    </w:p>
    <w:p w14:paraId="550538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результате катастрофы Звонарев убит, Калмыков и Рева ранены. Самолет разбит.</w:t>
      </w:r>
    </w:p>
    <w:p w14:paraId="44574D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выяснения подробностей на место выехала комиссия и начальник политотдела (3475,98).</w:t>
      </w:r>
    </w:p>
    <w:p w14:paraId="6442C82F" w14:textId="77777777" w:rsidR="00D4105E" w:rsidRPr="00E14102" w:rsidRDefault="00D4105E" w:rsidP="00E14102">
      <w:pPr>
        <w:autoSpaceDE w:val="0"/>
        <w:autoSpaceDN w:val="0"/>
        <w:adjustRightInd w:val="0"/>
        <w:jc w:val="both"/>
        <w:rPr>
          <w:color w:val="000000" w:themeColor="text1"/>
          <w:sz w:val="16"/>
          <w:szCs w:val="16"/>
        </w:rPr>
      </w:pPr>
    </w:p>
    <w:p w14:paraId="71068E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сентября 1935 года по августа 1937 года директором завода ОЗПО был Горохов И.А.</w:t>
      </w:r>
    </w:p>
    <w:p w14:paraId="239ADB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Цаплин И.И. – с сентября 1937 года по февраль 1953 года</w:t>
      </w:r>
    </w:p>
    <w:p w14:paraId="06EB76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Васильев С.В. – с февраля 1953 года по январь 1954 года</w:t>
      </w:r>
    </w:p>
    <w:p w14:paraId="1220E0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Степанов В.Е. – с января 1954 года по январь 1955 года</w:t>
      </w:r>
    </w:p>
    <w:p w14:paraId="125943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Попов Г.М. – с января 1955 года</w:t>
      </w:r>
    </w:p>
    <w:p w14:paraId="057094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Владимир, ул. Б. Московская, д. 25</w:t>
      </w:r>
    </w:p>
    <w:p w14:paraId="4B0506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Производственный профиль – изготовление мало и среднегабаритного прецизионного оборудования</w:t>
      </w:r>
    </w:p>
    <w:p w14:paraId="1AC4BE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находится во Владимире, в центральной его части, в квартале 38</w:t>
      </w:r>
    </w:p>
    <w:p w14:paraId="08D639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Площадка завода ограничена:</w:t>
      </w:r>
    </w:p>
    <w:p w14:paraId="1D591E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юго-востока – ул. Б. Московская</w:t>
      </w:r>
    </w:p>
    <w:p w14:paraId="7EFF19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юго-запада – ул. Федосеева</w:t>
      </w:r>
    </w:p>
    <w:p w14:paraId="1B8BC9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северо-запада – ул. им. Дзержинского</w:t>
      </w:r>
    </w:p>
    <w:p w14:paraId="5CCF11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северо-востока – ул. Большие Ременники (9902).</w:t>
      </w:r>
    </w:p>
    <w:p w14:paraId="0EE5B546" w14:textId="77777777" w:rsidR="00D4105E" w:rsidRPr="00E14102" w:rsidRDefault="00D4105E" w:rsidP="00E14102">
      <w:pPr>
        <w:autoSpaceDE w:val="0"/>
        <w:autoSpaceDN w:val="0"/>
        <w:adjustRightInd w:val="0"/>
        <w:jc w:val="both"/>
        <w:rPr>
          <w:color w:val="000000" w:themeColor="text1"/>
          <w:sz w:val="16"/>
          <w:szCs w:val="16"/>
        </w:rPr>
      </w:pPr>
    </w:p>
    <w:p w14:paraId="1D680457" w14:textId="77777777" w:rsidR="001F6389" w:rsidRPr="00E14102" w:rsidRDefault="001F6389" w:rsidP="00E14102">
      <w:pPr>
        <w:jc w:val="both"/>
        <w:rPr>
          <w:color w:val="000000" w:themeColor="text1"/>
          <w:sz w:val="16"/>
          <w:szCs w:val="16"/>
        </w:rPr>
      </w:pPr>
      <w:r w:rsidRPr="00E14102">
        <w:rPr>
          <w:color w:val="000000" w:themeColor="text1"/>
          <w:sz w:val="16"/>
          <w:szCs w:val="16"/>
        </w:rPr>
        <w:t>В сентябре 1935 года в ходе </w:t>
      </w:r>
      <w:hyperlink r:id="rId197" w:history="1">
        <w:r w:rsidRPr="00E14102">
          <w:rPr>
            <w:rStyle w:val="a4"/>
            <w:rFonts w:eastAsiaTheme="majorEastAsia"/>
            <w:color w:val="000000" w:themeColor="text1"/>
            <w:sz w:val="16"/>
            <w:szCs w:val="16"/>
          </w:rPr>
          <w:t>Больших Киевских манёвров</w:t>
        </w:r>
      </w:hyperlink>
      <w:r w:rsidRPr="00E14102">
        <w:rPr>
          <w:color w:val="000000" w:themeColor="text1"/>
          <w:sz w:val="16"/>
          <w:szCs w:val="16"/>
        </w:rPr>
        <w:t> в воздух поднялось три ТБ-3, которые перевезли танки-разведчики Т-37А, бронемашины Д-12 и грузовые автомобили. Самолёты садились на заранее подготовленные площадки, после чего десантируемую технику отцепляли, в неё садился экипаж, и она шла в бой. Таким образом, СССР стал первой страной, где идею авиадесантного танка реализовали на практике (18244).</w:t>
      </w:r>
    </w:p>
    <w:p w14:paraId="3A7B4324" w14:textId="77777777" w:rsidR="001F6389" w:rsidRPr="00E14102" w:rsidRDefault="001F6389" w:rsidP="00E14102">
      <w:pPr>
        <w:jc w:val="both"/>
        <w:rPr>
          <w:color w:val="000000" w:themeColor="text1"/>
          <w:sz w:val="16"/>
          <w:szCs w:val="16"/>
        </w:rPr>
      </w:pPr>
    </w:p>
    <w:p w14:paraId="25CB85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завод № 3 сообщил, что первые авиамины близки к завершению. Это были ЗАМ-2 и Майзеля из ОКБ-2, близкие к ЗАМ-П - размах - 2.5 м, общий вес - 275 кг (8908,37).</w:t>
      </w:r>
    </w:p>
    <w:p w14:paraId="0BBF4704" w14:textId="77777777" w:rsidR="00D4105E" w:rsidRPr="00E14102" w:rsidRDefault="00D4105E" w:rsidP="00E14102">
      <w:pPr>
        <w:autoSpaceDE w:val="0"/>
        <w:autoSpaceDN w:val="0"/>
        <w:adjustRightInd w:val="0"/>
        <w:jc w:val="both"/>
        <w:rPr>
          <w:color w:val="000000" w:themeColor="text1"/>
          <w:sz w:val="16"/>
          <w:szCs w:val="16"/>
        </w:rPr>
      </w:pPr>
    </w:p>
    <w:p w14:paraId="441419E1" w14:textId="77777777" w:rsidR="00647F1E" w:rsidRPr="00E14102" w:rsidRDefault="00647F1E" w:rsidP="00E14102">
      <w:pPr>
        <w:jc w:val="both"/>
        <w:rPr>
          <w:color w:val="000000" w:themeColor="text1"/>
          <w:sz w:val="16"/>
          <w:szCs w:val="16"/>
        </w:rPr>
      </w:pPr>
      <w:r w:rsidRPr="00E14102">
        <w:rPr>
          <w:color w:val="000000" w:themeColor="text1"/>
          <w:sz w:val="16"/>
          <w:szCs w:val="16"/>
        </w:rPr>
        <w:t>В сентябре 1935 г. Г-52 проходил государственные испытания в НИИ ВВС. Там сделали 62 выстрела. Деформаций планера не обнаружили. Общий вывод испытателей гласил: «Проведенные стрельбы на земле и в воздухе показали принципиальную возможность стрельбы из откатных 76 мм пушек (обр. 1927 г. и 1931 г.), установленных на самолете ТБ-3, что является первым опытом как у нас в СССР, так и по имеющимся материалам - за границей». В числе недостатков указали на низкую скорострельность (4-5 выстрелов в минуту, при удвоении расчетов - 8-10), невозможность регулировки установки орудий, малый боезапас (Гроховский в ответ предлагал сделать «погреба» в бомбоотсеке), несинхронность стрельбы, разные баллистические характеристики пушек (снаряды летели по разным тра</w:t>
      </w:r>
      <w:r w:rsidRPr="00E14102">
        <w:rPr>
          <w:color w:val="000000" w:themeColor="text1"/>
          <w:sz w:val="16"/>
          <w:szCs w:val="16"/>
        </w:rPr>
        <w:softHyphen/>
        <w:t>екториям и при увеличении дальности стрельбы разброс попаданий значительно увеличивался), отсутствие гильзоулав- ливателя у зенитной пушки. В принципе все эти проблемы были решаемы: ввести автоматизацию подачи боеприпасов и заряжания, электрифицированный спуск, предусмотреть регулировку лафетов, ставить орудия какой-то одной системы. Частично эти вопросы уже решались для артиллерии боевых кораблей.</w:t>
      </w:r>
    </w:p>
    <w:p w14:paraId="523193C5" w14:textId="77777777" w:rsidR="00647F1E" w:rsidRPr="00E14102" w:rsidRDefault="00647F1E" w:rsidP="00E14102">
      <w:pPr>
        <w:jc w:val="both"/>
        <w:rPr>
          <w:color w:val="000000" w:themeColor="text1"/>
          <w:sz w:val="16"/>
          <w:szCs w:val="16"/>
        </w:rPr>
      </w:pPr>
      <w:r w:rsidRPr="00E14102">
        <w:rPr>
          <w:color w:val="000000" w:themeColor="text1"/>
          <w:sz w:val="16"/>
          <w:szCs w:val="16"/>
        </w:rPr>
        <w:t>Теоретики из Военно-воздушной академии уже разрабатывали сценарии возможных боевых операций с приме</w:t>
      </w:r>
      <w:r w:rsidRPr="00E14102">
        <w:rPr>
          <w:color w:val="000000" w:themeColor="text1"/>
          <w:sz w:val="16"/>
          <w:szCs w:val="16"/>
        </w:rPr>
        <w:softHyphen/>
        <w:t>нением «летающих батарей». Начальник инженерно-командного факультета писал: «Установка пушки 76 мм калибра с нормаль</w:t>
      </w:r>
      <w:r w:rsidRPr="00E14102">
        <w:rPr>
          <w:color w:val="000000" w:themeColor="text1"/>
          <w:sz w:val="16"/>
          <w:szCs w:val="16"/>
        </w:rPr>
        <w:softHyphen/>
        <w:t>ной начальной скоростью открывает новую эру в области вооружения самолетов». Г-52 собирались применять для поддержки воз</w:t>
      </w:r>
      <w:r w:rsidRPr="00E14102">
        <w:rPr>
          <w:color w:val="000000" w:themeColor="text1"/>
          <w:sz w:val="16"/>
          <w:szCs w:val="16"/>
        </w:rPr>
        <w:softHyphen/>
        <w:t>душных десантов и использовать в качестве подвижных зенитных батарей...</w:t>
      </w:r>
    </w:p>
    <w:p w14:paraId="52FECDE6" w14:textId="77777777" w:rsidR="00647F1E" w:rsidRPr="00E14102" w:rsidRDefault="00647F1E" w:rsidP="00E14102">
      <w:pPr>
        <w:jc w:val="both"/>
        <w:rPr>
          <w:color w:val="000000" w:themeColor="text1"/>
          <w:sz w:val="16"/>
          <w:szCs w:val="16"/>
        </w:rPr>
      </w:pPr>
      <w:r w:rsidRPr="00E14102">
        <w:rPr>
          <w:color w:val="000000" w:themeColor="text1"/>
          <w:sz w:val="16"/>
          <w:szCs w:val="16"/>
        </w:rPr>
        <w:t>В дальнейшем предлагалось сделать пушечные установки подвижными, снабдить артиллеристов дальномерами и полуавто</w:t>
      </w:r>
      <w:r w:rsidRPr="00E14102">
        <w:rPr>
          <w:color w:val="000000" w:themeColor="text1"/>
          <w:sz w:val="16"/>
          <w:szCs w:val="16"/>
        </w:rPr>
        <w:softHyphen/>
        <w:t>матическими прицелами, сконструировать прибор для автоматической установки дистанционных трубок. А замахиваясь еще дальше, фантазировали об эскадрах «летающих батарей» с единой системой управления огнем, где флагман мог бы сосредотачивать всю мощь артиллерии соединения на выбранных им целях, непо</w:t>
      </w:r>
      <w:r w:rsidRPr="00E14102">
        <w:rPr>
          <w:color w:val="000000" w:themeColor="text1"/>
          <w:sz w:val="16"/>
          <w:szCs w:val="16"/>
        </w:rPr>
        <w:softHyphen/>
        <w:t>средственно управляя ихорудиями по радио.</w:t>
      </w:r>
    </w:p>
    <w:p w14:paraId="142DC886" w14:textId="77777777" w:rsidR="00647F1E" w:rsidRPr="00E14102" w:rsidRDefault="00647F1E" w:rsidP="00E14102">
      <w:pPr>
        <w:jc w:val="both"/>
        <w:rPr>
          <w:color w:val="000000" w:themeColor="text1"/>
          <w:sz w:val="16"/>
          <w:szCs w:val="16"/>
        </w:rPr>
      </w:pPr>
      <w:r w:rsidRPr="00E14102">
        <w:rPr>
          <w:color w:val="000000" w:themeColor="text1"/>
          <w:sz w:val="16"/>
          <w:szCs w:val="16"/>
        </w:rPr>
        <w:t>Гроховский, хоть и считался большим фантазером, намечал на будущее более реальные цели. Следующим этапом должен был стать ТБ-ЗР (с моторами М-34Р) с тремя мощными пушками обр. 1931 г. Рассматривался и вариант с двумя неподвижными пушками в крыле (обр. 1927 г. или зенитными обр. 1931 г.) и одной 45-мм полуавтомати</w:t>
      </w:r>
      <w:r w:rsidRPr="00E14102">
        <w:rPr>
          <w:color w:val="000000" w:themeColor="text1"/>
          <w:sz w:val="16"/>
          <w:szCs w:val="16"/>
        </w:rPr>
        <w:softHyphen/>
        <w:t>ческой противотанковой 19К (знаменитой «сорокапятки») на передней или задней турели. В материалах Экспериментального института сохранился и рисунок машины с двумя неподвижными 76-мм пушками обр. 1931 г. в крыле и двумя 45-мм пушками на открытых турелях спереди и сзади. Поскольку зенитка давала гораздо более сильную отдачу, то ее переместили из консоли в пространство между двигателями. Это обеспечило и большее удобство для артиллеристов, поскольку высота крыла там была больше.</w:t>
      </w:r>
    </w:p>
    <w:p w14:paraId="3B727999" w14:textId="77777777" w:rsidR="00647F1E" w:rsidRPr="00E14102" w:rsidRDefault="00647F1E" w:rsidP="00E14102">
      <w:pPr>
        <w:jc w:val="both"/>
        <w:rPr>
          <w:color w:val="000000" w:themeColor="text1"/>
          <w:sz w:val="16"/>
          <w:szCs w:val="16"/>
        </w:rPr>
      </w:pPr>
      <w:r w:rsidRPr="00E14102">
        <w:rPr>
          <w:color w:val="000000" w:themeColor="text1"/>
          <w:sz w:val="16"/>
          <w:szCs w:val="16"/>
        </w:rPr>
        <w:t>В целом командование ВВС РККА к экспериментам с «самолетами-батареями» относилось одобрительно. В акте утверж</w:t>
      </w:r>
      <w:r w:rsidRPr="00E14102">
        <w:rPr>
          <w:color w:val="000000" w:themeColor="text1"/>
          <w:sz w:val="16"/>
          <w:szCs w:val="16"/>
        </w:rPr>
        <w:softHyphen/>
        <w:t>дения отчета о госиспытаниях «объекта Г-52» (датированным октябрем 1935 г.) было написано: «...заказать в 1935 г. серию само</w:t>
      </w:r>
      <w:r w:rsidRPr="00E14102">
        <w:rPr>
          <w:color w:val="000000" w:themeColor="text1"/>
          <w:sz w:val="16"/>
          <w:szCs w:val="16"/>
        </w:rPr>
        <w:softHyphen/>
        <w:t>летов ТБ-3 М -34Р в 12 шт. с установкой на них 2-х пушек обр. 1927 г. и одной зенитной обр. 1931 г. со сроком изготовления 1-го декабря с.г.». То есть выпустить малой серией тот же Г-52, но на базе ТБ-3 усовершенствованной модификации, запущенной к тому времени в производство.</w:t>
      </w:r>
    </w:p>
    <w:p w14:paraId="31AFAFE9" w14:textId="77777777" w:rsidR="00647F1E" w:rsidRPr="00E14102" w:rsidRDefault="00647F1E" w:rsidP="00E14102">
      <w:pPr>
        <w:jc w:val="both"/>
        <w:rPr>
          <w:color w:val="000000" w:themeColor="text1"/>
          <w:sz w:val="16"/>
          <w:szCs w:val="16"/>
        </w:rPr>
      </w:pPr>
      <w:r w:rsidRPr="00E14102">
        <w:rPr>
          <w:color w:val="000000" w:themeColor="text1"/>
          <w:sz w:val="16"/>
          <w:szCs w:val="16"/>
        </w:rPr>
        <w:t>Работу Гроховского закрыли. Ни одного серийного Г-52 не построили. А вот работы по ракетному вооружению тяжелых самолетов продолжили (12613).</w:t>
      </w:r>
    </w:p>
    <w:p w14:paraId="3BFC4281" w14:textId="77777777" w:rsidR="00647F1E" w:rsidRPr="00E14102" w:rsidRDefault="00647F1E" w:rsidP="00E14102">
      <w:pPr>
        <w:jc w:val="both"/>
        <w:rPr>
          <w:color w:val="000000" w:themeColor="text1"/>
          <w:sz w:val="16"/>
          <w:szCs w:val="16"/>
        </w:rPr>
      </w:pPr>
    </w:p>
    <w:p w14:paraId="749A5328" w14:textId="77777777" w:rsidR="00D621A3" w:rsidRPr="00E14102" w:rsidRDefault="00D621A3"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 Г-52 проходил государственные испытания в НИИ ВВС.</w:t>
      </w:r>
    </w:p>
    <w:p w14:paraId="5F750EBB" w14:textId="77777777" w:rsidR="00D621A3" w:rsidRPr="00E14102" w:rsidRDefault="00D621A3" w:rsidP="00E14102">
      <w:pPr>
        <w:autoSpaceDE w:val="0"/>
        <w:autoSpaceDN w:val="0"/>
        <w:adjustRightInd w:val="0"/>
        <w:jc w:val="both"/>
        <w:rPr>
          <w:color w:val="000000" w:themeColor="text1"/>
          <w:sz w:val="16"/>
          <w:szCs w:val="16"/>
        </w:rPr>
      </w:pPr>
      <w:r w:rsidRPr="00E14102">
        <w:rPr>
          <w:color w:val="000000" w:themeColor="text1"/>
          <w:sz w:val="16"/>
          <w:szCs w:val="16"/>
        </w:rPr>
        <w:t>В носовой части его фюзеляжа разместили 76-мм зенитное орудие обр. 1931 г. (в доработанном виде - Г-52/л), а в консолях - по одной полковой пушке обр. 1927 г. (Г-52/к). В крыле пушки крепили к лонжеронам. Крыло дополнительно усилили трубчатыми тягами и дюралевыми профилями. Орудия заряжались вручную. Толщина крыла позволяла артиллеристам находиться у пушек. Только работать им приходилось сидя с вытянутыми ногами, спиной к носку крыла. Снаряды лежали на стойках, прикрепленных к верхним и нижним стрингерам крыла. На каждую пушку имелось 12 снарядов.</w:t>
      </w:r>
    </w:p>
    <w:p w14:paraId="28C2F6AC" w14:textId="77777777" w:rsidR="00D621A3" w:rsidRPr="00E14102" w:rsidRDefault="00D621A3" w:rsidP="00E14102">
      <w:pPr>
        <w:autoSpaceDE w:val="0"/>
        <w:autoSpaceDN w:val="0"/>
        <w:adjustRightInd w:val="0"/>
        <w:jc w:val="both"/>
        <w:rPr>
          <w:color w:val="000000" w:themeColor="text1"/>
          <w:sz w:val="16"/>
          <w:szCs w:val="16"/>
        </w:rPr>
      </w:pPr>
      <w:r w:rsidRPr="00E14102">
        <w:rPr>
          <w:color w:val="000000" w:themeColor="text1"/>
          <w:sz w:val="16"/>
          <w:szCs w:val="16"/>
        </w:rPr>
        <w:t>Для размещения центральной пушки кабину штурмана перенесли в фюзеляж, к первой задней турели, а нос самолета укоротили и полностью лишили остекления. Ствол проходил по коридору между сиденьями пилотов и торчал на 250 мм наружу. Во время отката дульный срез уходил назад до 4-го шпангоута. Артиллерист располагался в центроплане. Там ему было весьма просторно. Боезапас у центральной пушки был больше, чем у крыльевых - 20 снарядов.</w:t>
      </w:r>
    </w:p>
    <w:p w14:paraId="5A7DFD0C" w14:textId="77777777" w:rsidR="00D621A3" w:rsidRPr="00E14102" w:rsidRDefault="00D621A3" w:rsidP="00E14102">
      <w:pPr>
        <w:autoSpaceDE w:val="0"/>
        <w:autoSpaceDN w:val="0"/>
        <w:adjustRightInd w:val="0"/>
        <w:jc w:val="both"/>
        <w:rPr>
          <w:color w:val="000000" w:themeColor="text1"/>
          <w:sz w:val="16"/>
          <w:szCs w:val="16"/>
        </w:rPr>
      </w:pPr>
      <w:r w:rsidRPr="00E14102">
        <w:rPr>
          <w:color w:val="000000" w:themeColor="text1"/>
          <w:sz w:val="16"/>
          <w:szCs w:val="16"/>
        </w:rPr>
        <w:t>Самолет сохранял бомбовые кассеты в фюзеляже и мог взять 1000 кг бомб.</w:t>
      </w:r>
    </w:p>
    <w:p w14:paraId="2E61AA06" w14:textId="77777777" w:rsidR="00D621A3" w:rsidRPr="00E14102" w:rsidRDefault="00D621A3" w:rsidP="00E14102">
      <w:pPr>
        <w:autoSpaceDE w:val="0"/>
        <w:autoSpaceDN w:val="0"/>
        <w:adjustRightInd w:val="0"/>
        <w:jc w:val="both"/>
        <w:rPr>
          <w:color w:val="000000" w:themeColor="text1"/>
          <w:sz w:val="16"/>
          <w:szCs w:val="16"/>
        </w:rPr>
      </w:pPr>
      <w:r w:rsidRPr="00E14102">
        <w:rPr>
          <w:color w:val="000000" w:themeColor="text1"/>
          <w:sz w:val="16"/>
          <w:szCs w:val="16"/>
        </w:rPr>
        <w:t>Предполагалось, что группы "летающих батарей" будут идти впереди основного соединения бомбардировщиков и расчищать им дорогу. Залп трех пушек поражал осколками 10000 куб.м - примерно такое пространство занимало звено тогдашних истребителей. Перед ними ставилась также задача уничтожения аэростатов заграждения, либо непосредственно осколочными снарядами, либо перебивая их тросы шрапнелью Гарфа (части которой скреплялись тросиками).</w:t>
      </w:r>
    </w:p>
    <w:p w14:paraId="73C47AE6" w14:textId="77777777" w:rsidR="00D621A3" w:rsidRPr="00E14102" w:rsidRDefault="00D621A3" w:rsidP="00E14102">
      <w:pPr>
        <w:autoSpaceDE w:val="0"/>
        <w:autoSpaceDN w:val="0"/>
        <w:adjustRightInd w:val="0"/>
        <w:jc w:val="both"/>
        <w:rPr>
          <w:color w:val="000000" w:themeColor="text1"/>
          <w:sz w:val="16"/>
          <w:szCs w:val="16"/>
        </w:rPr>
      </w:pPr>
      <w:r w:rsidRPr="00E14102">
        <w:rPr>
          <w:color w:val="000000" w:themeColor="text1"/>
          <w:sz w:val="16"/>
          <w:szCs w:val="16"/>
        </w:rPr>
        <w:t>"Летающие батареи" могли использоваться и в обороне. Имея большую дальность стрельбы, они могли стрелять по бомбардировщикам противника из-за пределов эффективного поражения их вооружением. В первую очередь, они могли расстроить боевое построение, после чего вдело вступали обычные истребители или машины, стартовавшие с других ТБ-3 - "летающих авианосцев".</w:t>
      </w:r>
    </w:p>
    <w:p w14:paraId="53ABB7C6" w14:textId="77777777" w:rsidR="00D621A3" w:rsidRPr="00E14102" w:rsidRDefault="00D621A3" w:rsidP="00E14102">
      <w:pPr>
        <w:autoSpaceDE w:val="0"/>
        <w:autoSpaceDN w:val="0"/>
        <w:adjustRightInd w:val="0"/>
        <w:jc w:val="both"/>
        <w:rPr>
          <w:color w:val="000000" w:themeColor="text1"/>
          <w:sz w:val="16"/>
          <w:szCs w:val="16"/>
        </w:rPr>
      </w:pPr>
      <w:r w:rsidRPr="00E14102">
        <w:rPr>
          <w:color w:val="000000" w:themeColor="text1"/>
          <w:sz w:val="16"/>
          <w:szCs w:val="16"/>
        </w:rPr>
        <w:t>Г-52 мог работать и против наземных целей. Стреляя сверху вниз, он получал преимущества в дальности полета снаряда. Центральная пушка могла поразить цель за 18 км от самолета, не входя в зону стрельбы зенитной артиллерии, обороняющей объект. Конструкторы считали, что целями могут являться аэродромы, корабли, мосты, железнодорожные узлы, нефтепромыслы, города.</w:t>
      </w:r>
    </w:p>
    <w:p w14:paraId="7DB60842" w14:textId="77777777" w:rsidR="00D621A3" w:rsidRPr="00E14102" w:rsidRDefault="00D621A3"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Сначала стреляли на земле. Из экипажа на борту находился только стрелявший, но ко всем креслам привязали по собаке. Опять боялись, что отдача если не разрушит конструкцию, то будет болезненной для людей - ведь новая центральная пушка была гораздо мощнее полковой. Но все прошло нормально. В отчете записали: "Состояние собак - нормальное". И с седьмого выстрела на борту находился полный экипаж - девять человек.</w:t>
      </w:r>
    </w:p>
    <w:p w14:paraId="4B67CA4E" w14:textId="77777777" w:rsidR="00D621A3" w:rsidRPr="00E14102" w:rsidRDefault="00D621A3" w:rsidP="00E14102">
      <w:pPr>
        <w:autoSpaceDE w:val="0"/>
        <w:autoSpaceDN w:val="0"/>
        <w:adjustRightInd w:val="0"/>
        <w:jc w:val="both"/>
        <w:rPr>
          <w:color w:val="000000" w:themeColor="text1"/>
          <w:sz w:val="16"/>
          <w:szCs w:val="16"/>
        </w:rPr>
      </w:pPr>
      <w:r w:rsidRPr="00E14102">
        <w:rPr>
          <w:color w:val="000000" w:themeColor="text1"/>
          <w:sz w:val="16"/>
          <w:szCs w:val="16"/>
        </w:rPr>
        <w:t>29 августа сделали первый выстрел в полете. Сделали девять выстрелов по цели на земле (щиту), но ни разу не попали. Стреляли с высоты 600 м с дистанции около 2 км, с пологого пикирования. Впечатление о выстреле: "...самолет испытывает легкое содрогание".</w:t>
      </w:r>
    </w:p>
    <w:p w14:paraId="67C8F5C4" w14:textId="77777777" w:rsidR="00D621A3" w:rsidRPr="00E14102" w:rsidRDefault="00D621A3" w:rsidP="00E14102">
      <w:pPr>
        <w:autoSpaceDE w:val="0"/>
        <w:autoSpaceDN w:val="0"/>
        <w:adjustRightInd w:val="0"/>
        <w:jc w:val="both"/>
        <w:rPr>
          <w:color w:val="000000" w:themeColor="text1"/>
          <w:sz w:val="16"/>
          <w:szCs w:val="16"/>
        </w:rPr>
      </w:pPr>
      <w:r w:rsidRPr="00E14102">
        <w:rPr>
          <w:color w:val="000000" w:themeColor="text1"/>
          <w:sz w:val="16"/>
          <w:szCs w:val="16"/>
        </w:rPr>
        <w:t>Наводка могла осуществляться только разворотом всего самолета, поскольку пушки закрепили неподвижно. Стреляли залпом, а сигналом служило загорание на командном щитке красной лампочки. Неприятным сюрпризом оказался разворот самолета за счет несинхронной стрельбы пушек в крыле: один дернул за шнур чуть раньше, другой - чуть позже. И збавиться от этого при подобной схеме управления огнем было невозможно.</w:t>
      </w:r>
    </w:p>
    <w:p w14:paraId="23893B78" w14:textId="77777777" w:rsidR="00D621A3" w:rsidRPr="00E14102" w:rsidRDefault="00D621A3" w:rsidP="00E14102">
      <w:pPr>
        <w:autoSpaceDE w:val="0"/>
        <w:autoSpaceDN w:val="0"/>
        <w:adjustRightInd w:val="0"/>
        <w:jc w:val="both"/>
        <w:rPr>
          <w:color w:val="000000" w:themeColor="text1"/>
          <w:sz w:val="16"/>
          <w:szCs w:val="16"/>
        </w:rPr>
      </w:pPr>
      <w:r w:rsidRPr="00E14102">
        <w:rPr>
          <w:color w:val="000000" w:themeColor="text1"/>
          <w:sz w:val="16"/>
          <w:szCs w:val="16"/>
        </w:rPr>
        <w:t>В НИИ ВВС сделали 62 выстрела. Деформаций планера не обнаружили. Общий вывод испытателей гласил: "Проведенные стрельбы на земле и в воздухе показали принципиальную возможность стрельбы из откатных 76-мм пушек (обр. 27 и 31 г.), установленных на самолете ТБ-3, что является первым опытом как у нас в СССР, так и по имеющимся материалам - за границей". В числе недостатков указали на низкую скорострельность (4-5 выстрелов в минуту, при удвоении расчетов - 8-10), невозможность регулировки установки орудий, малый боезапас (Гроховский предлагал сделать "погреба" в бомбоотсеке), несинхронность стрельбы, разные баллистические характеристики пушек (снаряды летели по разным траекториям, и при увеличении дальности стрельбы разброс попаданий значительно увеличивался), отсутствие гильзоулавливателя у зенитной пушки.</w:t>
      </w:r>
    </w:p>
    <w:p w14:paraId="62BB2735" w14:textId="77777777" w:rsidR="00D621A3" w:rsidRPr="00E14102" w:rsidRDefault="00D621A3" w:rsidP="00E14102">
      <w:pPr>
        <w:autoSpaceDE w:val="0"/>
        <w:autoSpaceDN w:val="0"/>
        <w:adjustRightInd w:val="0"/>
        <w:jc w:val="both"/>
        <w:rPr>
          <w:color w:val="000000" w:themeColor="text1"/>
          <w:sz w:val="16"/>
          <w:szCs w:val="16"/>
        </w:rPr>
      </w:pPr>
      <w:r w:rsidRPr="00E14102">
        <w:rPr>
          <w:color w:val="000000" w:themeColor="text1"/>
          <w:sz w:val="16"/>
          <w:szCs w:val="16"/>
        </w:rPr>
        <w:t>Теоретики из Военно-воздушной академии уже разрабатывали сценарии возможных боевых операций с применением "летающих батарей". Начальник инженерно-командного факультета писал: "Установка пушки 76 мм калибра с нормальной начальной скоростью открывает новую эру в области вооружения самолетов". Г-52 собирались применять для поддержки воздушных десантов и использовать в качестве подвижных зенитных батарей...В дальнейшем предлагалось сделать пушечные установки подвижными, снабдить артиллеристов дальномерами и полуавтоматическими прицелами, сконструировать прибор для автоматической установки дистанционных трубок. Замахиваясь еще дальше, фантазировали об эскадрах "летающих батарей" с единой системой управления огнем, где флагман бы мог сосредотачивать всю мощь артиллерии соединения на выбранных им целях, непосредственно управляя их орудиями по радио.</w:t>
      </w:r>
    </w:p>
    <w:p w14:paraId="40DC1A6F" w14:textId="77777777" w:rsidR="00D621A3" w:rsidRPr="00E14102" w:rsidRDefault="00D621A3" w:rsidP="00E14102">
      <w:pPr>
        <w:autoSpaceDE w:val="0"/>
        <w:autoSpaceDN w:val="0"/>
        <w:adjustRightInd w:val="0"/>
        <w:jc w:val="both"/>
        <w:rPr>
          <w:color w:val="000000" w:themeColor="text1"/>
          <w:sz w:val="16"/>
          <w:szCs w:val="16"/>
        </w:rPr>
      </w:pPr>
      <w:r w:rsidRPr="00E14102">
        <w:rPr>
          <w:color w:val="000000" w:themeColor="text1"/>
          <w:sz w:val="16"/>
          <w:szCs w:val="16"/>
        </w:rPr>
        <w:t>Гроховский, хоть и был большим фантазером, намечал на будущее более реальные цели. Следующим этапом должен был стать ТБ-ЗР с тремя мощными зенитными пушками обр. 31 г. В акте утверждения отчета о госиспытаниях (датированным октябрем 1935 г.) было написано: "...заказать в 1935 г. серию самолетов ТБ-3 М-34Р в 12 шт. с установкой на них 2-х пушек обр. 1927 г. и одной зенитной обр. 1931 г. со сроком изготовления 1-го декабря с.г.". В дальнейшем Гроховский думал создать специальный самолет с усиленной конструкцией для вооружения тяжелыми орудиями. Рисунки подобных конструкций в его альбомах сохранились. Одна из таких машин явно использует узлы ТБ-3, но с новым, гораздо более узким фюзеляжем, в котором нет ненужных бомбоотсеков (12036).</w:t>
      </w:r>
    </w:p>
    <w:p w14:paraId="56EEE9AB" w14:textId="77777777" w:rsidR="00D621A3" w:rsidRPr="00E14102" w:rsidRDefault="00D621A3" w:rsidP="00E14102">
      <w:pPr>
        <w:autoSpaceDE w:val="0"/>
        <w:autoSpaceDN w:val="0"/>
        <w:adjustRightInd w:val="0"/>
        <w:jc w:val="both"/>
        <w:rPr>
          <w:color w:val="000000" w:themeColor="text1"/>
          <w:sz w:val="16"/>
          <w:szCs w:val="16"/>
        </w:rPr>
      </w:pPr>
    </w:p>
    <w:p w14:paraId="579025EE" w14:textId="77777777" w:rsidR="00647F1E" w:rsidRPr="00E14102" w:rsidRDefault="00647F1E" w:rsidP="00E14102">
      <w:pPr>
        <w:jc w:val="both"/>
        <w:rPr>
          <w:color w:val="000000" w:themeColor="text1"/>
          <w:sz w:val="16"/>
          <w:szCs w:val="16"/>
        </w:rPr>
      </w:pPr>
      <w:r w:rsidRPr="00E14102">
        <w:rPr>
          <w:color w:val="000000" w:themeColor="text1"/>
          <w:sz w:val="16"/>
          <w:szCs w:val="16"/>
        </w:rPr>
        <w:t>В сентябре 1935 г. РС-132 с осколочной боевой частью с Р-6 стреляли по аэростатам, но неудачно. В 1937 - 1938 гг. в НИПАВ Р-6 опять ис-пользовали для испытаний реактивных снарядов РС-82. Прочная металличес-кая конструкция крыла не требовала дополнительного усиления или защиты от факела пламени. Ракетами стреляли на земле и в воздухе. Но самолёт при этом использовался только как летающий стенд, речь о боевом применении давно устаревших машин не шла (12264).</w:t>
      </w:r>
    </w:p>
    <w:p w14:paraId="500BF7D9" w14:textId="77777777" w:rsidR="00647F1E" w:rsidRPr="00E14102" w:rsidRDefault="00647F1E" w:rsidP="00E14102">
      <w:pPr>
        <w:jc w:val="both"/>
        <w:rPr>
          <w:color w:val="000000" w:themeColor="text1"/>
          <w:sz w:val="16"/>
          <w:szCs w:val="16"/>
        </w:rPr>
      </w:pPr>
    </w:p>
    <w:p w14:paraId="763018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 на Щелковском аэродроме на ТБ-ЗР испытывали ампульные кассеты АК-2. Они вешались на внутренние держатели Дер-9. В кассету загружалось большое количество стеклянных ампул с отравляющими веществами. Такое оружие потом широко применялось в Великой Отечественной войне, но ампулы заполнялись самовоспламеняющейся жидкостью (9964).</w:t>
      </w:r>
    </w:p>
    <w:p w14:paraId="2E1F0F9D" w14:textId="77777777" w:rsidR="00D4105E" w:rsidRPr="00E14102" w:rsidRDefault="00D4105E" w:rsidP="00E14102">
      <w:pPr>
        <w:autoSpaceDE w:val="0"/>
        <w:autoSpaceDN w:val="0"/>
        <w:adjustRightInd w:val="0"/>
        <w:jc w:val="both"/>
        <w:rPr>
          <w:color w:val="000000" w:themeColor="text1"/>
          <w:sz w:val="16"/>
          <w:szCs w:val="16"/>
        </w:rPr>
      </w:pPr>
    </w:p>
    <w:p w14:paraId="78A6D5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сентября 1935 года взамен снимаемых подкрыльных башен Б-2 на ТБ-3 велено было ставить “кинжальные” установки под пулемет ДА. Реально их смонтировали немного. Примерно в это же время приступили к постепенной замене спаренных установок ДА-2 на одиночные пулеметы ШКАС. Последние все время являлись дефицитом, так что машины с моторами М-17 и М-34 могли в результате иметь самые разнообразные сочетания двух систем. Были целые бригады, переукомплектованные ШКАСами, а были самолеты, имевшие один ШКАС и пару ДА-2, два ШКАСа и одну установку ДА-2 и т.д. Машины транспортных отрядов и эскадрилий часто несли неполное вооружение, например, один ШКАС в носу и одну спарку ДА-2 на одной из верхних турелей. Такая ситуация сохранялась вплоть до Великой Отечественной войны (9964).</w:t>
      </w:r>
    </w:p>
    <w:p w14:paraId="334907FB" w14:textId="77777777" w:rsidR="00D4105E" w:rsidRPr="00E14102" w:rsidRDefault="00D4105E" w:rsidP="00E14102">
      <w:pPr>
        <w:autoSpaceDE w:val="0"/>
        <w:autoSpaceDN w:val="0"/>
        <w:adjustRightInd w:val="0"/>
        <w:jc w:val="both"/>
        <w:rPr>
          <w:color w:val="000000" w:themeColor="text1"/>
          <w:sz w:val="16"/>
          <w:szCs w:val="16"/>
        </w:rPr>
      </w:pPr>
    </w:p>
    <w:p w14:paraId="13C3E6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 руководство авиапромышленнос</w:t>
      </w:r>
      <w:r w:rsidRPr="00E14102">
        <w:rPr>
          <w:color w:val="000000" w:themeColor="text1"/>
          <w:sz w:val="16"/>
          <w:szCs w:val="16"/>
        </w:rPr>
        <w:softHyphen/>
        <w:t>ти выяснило, что построить в течение года двигатель не</w:t>
      </w:r>
      <w:r w:rsidRPr="00E14102">
        <w:rPr>
          <w:color w:val="000000" w:themeColor="text1"/>
          <w:sz w:val="16"/>
          <w:szCs w:val="16"/>
        </w:rPr>
        <w:softHyphen/>
        <w:t>обходимой мощности моторостроители не смогут и “наскоком” установить рекорд скорости не удастся. За</w:t>
      </w:r>
      <w:r w:rsidRPr="00E14102">
        <w:rPr>
          <w:color w:val="000000" w:themeColor="text1"/>
          <w:sz w:val="16"/>
          <w:szCs w:val="16"/>
        </w:rPr>
        <w:softHyphen/>
        <w:t>дание на соответствующие разработки было отменено. Однако скоростной самолет явился хорошим “катализа</w:t>
      </w:r>
      <w:r w:rsidRPr="00E14102">
        <w:rPr>
          <w:color w:val="000000" w:themeColor="text1"/>
          <w:sz w:val="16"/>
          <w:szCs w:val="16"/>
        </w:rPr>
        <w:softHyphen/>
        <w:t>тором” в оценке требуемого уровня развития отечест</w:t>
      </w:r>
      <w:r w:rsidRPr="00E14102">
        <w:rPr>
          <w:color w:val="000000" w:themeColor="text1"/>
          <w:sz w:val="16"/>
          <w:szCs w:val="16"/>
        </w:rPr>
        <w:softHyphen/>
        <w:t>венной авиации.</w:t>
      </w:r>
    </w:p>
    <w:p w14:paraId="5D6121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(10667).</w:t>
      </w:r>
    </w:p>
    <w:p w14:paraId="7260B241" w14:textId="77777777" w:rsidR="00D4105E" w:rsidRPr="00E14102" w:rsidRDefault="00D4105E" w:rsidP="00E14102">
      <w:pPr>
        <w:autoSpaceDE w:val="0"/>
        <w:autoSpaceDN w:val="0"/>
        <w:adjustRightInd w:val="0"/>
        <w:jc w:val="both"/>
        <w:rPr>
          <w:color w:val="000000" w:themeColor="text1"/>
          <w:sz w:val="16"/>
          <w:szCs w:val="16"/>
        </w:rPr>
      </w:pPr>
    </w:p>
    <w:p w14:paraId="02A36A4B" w14:textId="77777777" w:rsidR="00264ED4" w:rsidRPr="00E14102" w:rsidRDefault="00264ED4" w:rsidP="00E14102">
      <w:pPr>
        <w:jc w:val="both"/>
        <w:rPr>
          <w:color w:val="000000" w:themeColor="text1"/>
          <w:sz w:val="16"/>
          <w:szCs w:val="16"/>
        </w:rPr>
      </w:pPr>
      <w:r w:rsidRPr="00E14102">
        <w:rPr>
          <w:color w:val="000000" w:themeColor="text1"/>
          <w:sz w:val="16"/>
          <w:szCs w:val="16"/>
        </w:rPr>
        <w:t>В сентябре 1935 «Аэрофлот» самостоятельно приобрёл во Франции два мотора «Испано-Сюиза», но вооружения, радиостанции и листов из электрона для крыльевых радиаторов по-прежнему не было. Срок выпуска самолёта И-21 (Сталь-8) был сорван.</w:t>
      </w:r>
    </w:p>
    <w:p w14:paraId="52316A54" w14:textId="77777777" w:rsidR="00264ED4" w:rsidRPr="00E14102" w:rsidRDefault="00264ED4" w:rsidP="00E14102">
      <w:pPr>
        <w:jc w:val="both"/>
        <w:rPr>
          <w:color w:val="000000" w:themeColor="text1"/>
          <w:sz w:val="16"/>
          <w:szCs w:val="16"/>
        </w:rPr>
      </w:pPr>
      <w:r w:rsidRPr="00E14102">
        <w:rPr>
          <w:color w:val="000000" w:themeColor="text1"/>
          <w:sz w:val="16"/>
          <w:szCs w:val="16"/>
        </w:rPr>
        <w:t>Ситуация не изменилась и в следующем году. Занятых собственными задачами руководителей авиационной промышленности мало заботили проблемы «чужого» ведомства. Просьба купить необходимые для самолёта детали из электрона в Германии по спецификации СНИИ ГВФ осталась без ответа. Тем не менее, «Сталь-8» вновь включили в план опытного самолётостроения под названием «пушечный истребитель» со сроком выпуска 1 июля 1936 г.</w:t>
      </w:r>
    </w:p>
    <w:p w14:paraId="4CC9035E" w14:textId="77777777" w:rsidR="00264ED4" w:rsidRPr="00E14102" w:rsidRDefault="00264ED4" w:rsidP="00E14102">
      <w:pPr>
        <w:jc w:val="both"/>
        <w:rPr>
          <w:color w:val="000000" w:themeColor="text1"/>
          <w:sz w:val="16"/>
          <w:szCs w:val="16"/>
        </w:rPr>
      </w:pPr>
      <w:r w:rsidRPr="00E14102">
        <w:rPr>
          <w:color w:val="000000" w:themeColor="text1"/>
          <w:sz w:val="16"/>
          <w:szCs w:val="16"/>
        </w:rPr>
        <w:t>Но к этому времени в КБ Бартини вовсю занимались постройкой новой машины — скоростного двухмоторного пассажирского самолёта «Сталь-7». Характеристики «пушечного истребителя», разработанные два года назад, уже не впечатляли (17489).</w:t>
      </w:r>
    </w:p>
    <w:p w14:paraId="5692F860" w14:textId="77777777" w:rsidR="00264ED4" w:rsidRPr="00E14102" w:rsidRDefault="00264ED4" w:rsidP="00E14102">
      <w:pPr>
        <w:jc w:val="both"/>
        <w:rPr>
          <w:color w:val="000000" w:themeColor="text1"/>
          <w:sz w:val="16"/>
          <w:szCs w:val="16"/>
        </w:rPr>
      </w:pPr>
    </w:p>
    <w:p w14:paraId="5F4F62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года начальник управления ВС Алкснис писал письмо N НВ/63982 наркому обороны.</w:t>
      </w:r>
    </w:p>
    <w:p w14:paraId="038E29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w:t>
      </w:r>
    </w:p>
    <w:p w14:paraId="7FE7EF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Ноябрьский воздушный парад, как правило, в Москве не удается по состоянию погоды.</w:t>
      </w:r>
    </w:p>
    <w:p w14:paraId="7FC8C1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Поэтому полагал бы в текущем году не сосредотачивать в Москве на ноябрьский парад самолетов из других округов, а ограничиться для парада самолетами Московского гарнизона, коих можно набрать до 150-200 единиц, в том числе до 60 тяжелых. (2484,55).</w:t>
      </w:r>
    </w:p>
    <w:p w14:paraId="53AC4278" w14:textId="77777777" w:rsidR="00D4105E" w:rsidRPr="00E14102" w:rsidRDefault="00D4105E" w:rsidP="00E14102">
      <w:pPr>
        <w:autoSpaceDE w:val="0"/>
        <w:autoSpaceDN w:val="0"/>
        <w:adjustRightInd w:val="0"/>
        <w:jc w:val="both"/>
        <w:rPr>
          <w:color w:val="000000" w:themeColor="text1"/>
          <w:sz w:val="16"/>
          <w:szCs w:val="16"/>
        </w:rPr>
      </w:pPr>
    </w:p>
    <w:p w14:paraId="127EE8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1935-го продолжилась подготовка к дальним перелетам. К летнему сезону 1936 г. планировалось подготовить 4 экземпляра дальних машин АНТ-25. Для этого на авиазаводе №18 в Воронеже, который строил войсковую серию военного варианта самолета, решили изготовить еще два дальних РД. Отметим, что практически все специально спроектированные рекордные самолеты предполагались для использования в военных целях, в первую очередь в качестве дальних бомбардировщиков. Не избежал подобной участи и советский рекордсмен АНТ-25. После внесения военных усовершенствований самолет стал именоваться АНТ-36 (ДБ-1), однако внешне изменился мало. Основные нововведения коснулись кабины экипажа, которую разделили отсеком бомбового вооружения для размещения 10 авиабомб калибра 100-кг. Сразу за бомбоотсеком находилась штурманская кабина, в которой на шкворневых установках монтировались 4 оборонительных пулемета ДА (Дегтярева, авиационный). Емкость крыльевых топливных баков уменьшили до 4900 литров, полетный вес самолета составлял 7800 кг (11941).</w:t>
      </w:r>
    </w:p>
    <w:p w14:paraId="29B9FB07" w14:textId="77777777" w:rsidR="00D4105E" w:rsidRPr="00E14102" w:rsidRDefault="00D4105E" w:rsidP="00E14102">
      <w:pPr>
        <w:autoSpaceDE w:val="0"/>
        <w:autoSpaceDN w:val="0"/>
        <w:adjustRightInd w:val="0"/>
        <w:jc w:val="both"/>
        <w:rPr>
          <w:color w:val="000000" w:themeColor="text1"/>
          <w:sz w:val="16"/>
          <w:szCs w:val="16"/>
        </w:rPr>
      </w:pPr>
    </w:p>
    <w:p w14:paraId="35AFDCEC" w14:textId="77777777" w:rsidR="00D621A3" w:rsidRPr="00E14102" w:rsidRDefault="00D621A3" w:rsidP="00E14102">
      <w:pPr>
        <w:jc w:val="both"/>
        <w:rPr>
          <w:color w:val="0070C0"/>
          <w:sz w:val="16"/>
          <w:szCs w:val="16"/>
        </w:rPr>
      </w:pPr>
      <w:r w:rsidRPr="00E14102">
        <w:rPr>
          <w:color w:val="0070C0"/>
          <w:sz w:val="16"/>
          <w:szCs w:val="16"/>
        </w:rPr>
        <w:t>В сентябре 1935 г. имели место два высотных полёта, к которым Г.А. Прокофьев отнёс рекорд</w:t>
      </w:r>
      <w:r w:rsidRPr="00E14102">
        <w:rPr>
          <w:color w:val="0070C0"/>
          <w:sz w:val="16"/>
          <w:szCs w:val="16"/>
        </w:rPr>
        <w:softHyphen/>
        <w:t>ные полёты на дальность. Действительно, во вре</w:t>
      </w:r>
      <w:r w:rsidRPr="00E14102">
        <w:rPr>
          <w:color w:val="0070C0"/>
          <w:sz w:val="16"/>
          <w:szCs w:val="16"/>
        </w:rPr>
        <w:softHyphen/>
        <w:t>мя полёта 3-5 сентября Б.А. Романова и А.И. Бабыкина из 50 часов пребывания в воздухе 5 часов пришлось на высоты более 5000 м (максималь</w:t>
      </w:r>
      <w:r w:rsidRPr="00E14102">
        <w:rPr>
          <w:color w:val="0070C0"/>
          <w:sz w:val="16"/>
          <w:szCs w:val="16"/>
        </w:rPr>
        <w:softHyphen/>
        <w:t>ная высота полёта 6800 м), а во время полёта 3-7 сентября И.И. Зыкова и А.М. Тропина из 91 ч 35 мин — 13 ч 25 мин при максимальной вы</w:t>
      </w:r>
      <w:r w:rsidRPr="00E14102">
        <w:rPr>
          <w:color w:val="0070C0"/>
          <w:sz w:val="16"/>
          <w:szCs w:val="16"/>
        </w:rPr>
        <w:softHyphen/>
        <w:t>соте 7500 м (20120).</w:t>
      </w:r>
    </w:p>
    <w:p w14:paraId="36BB0959" w14:textId="77777777" w:rsidR="00D621A3" w:rsidRPr="00E14102" w:rsidRDefault="00D621A3" w:rsidP="00E14102">
      <w:pPr>
        <w:jc w:val="both"/>
        <w:rPr>
          <w:color w:val="0070C0"/>
          <w:sz w:val="16"/>
          <w:szCs w:val="16"/>
        </w:rPr>
      </w:pPr>
    </w:p>
    <w:p w14:paraId="40627D57" w14:textId="77777777" w:rsidR="00D621A3" w:rsidRPr="00E14102" w:rsidRDefault="00D621A3" w:rsidP="00E14102">
      <w:pPr>
        <w:shd w:val="clear" w:color="auto" w:fill="FFFFFF"/>
        <w:jc w:val="both"/>
        <w:rPr>
          <w:color w:val="0070C0"/>
          <w:sz w:val="16"/>
          <w:szCs w:val="16"/>
        </w:rPr>
      </w:pPr>
      <w:r w:rsidRPr="00E14102">
        <w:rPr>
          <w:color w:val="0070C0"/>
          <w:sz w:val="16"/>
          <w:szCs w:val="16"/>
        </w:rPr>
        <w:t>В сентябре 1935 года, при отсутствии необходимых полётных карт, в условиях сложной метеорологической обстановки, звено военных самолётов Р-5 под командованием Ф.А. Ингауниса выполнило 61 часовой (10500 км) испытательный «Большой восточный перелёт» из Москвы через Турцию, Персию, Афганистан и Среднюю Азию, с целью проверки качества созданной советской авиационной техники. Ф.А. Ингаунис, уже имевший два ордена Красного Знамени, за этот перелет был награждён только что учрежденным орденом Красной Звезды (№5 1930г.) (21474).</w:t>
      </w:r>
    </w:p>
    <w:p w14:paraId="1D6F3C90" w14:textId="77777777" w:rsidR="00D621A3" w:rsidRPr="00E14102" w:rsidRDefault="00D621A3" w:rsidP="00E14102">
      <w:pPr>
        <w:shd w:val="clear" w:color="auto" w:fill="FFFFFF"/>
        <w:jc w:val="both"/>
        <w:rPr>
          <w:color w:val="0070C0"/>
          <w:sz w:val="16"/>
          <w:szCs w:val="16"/>
        </w:rPr>
      </w:pPr>
    </w:p>
    <w:p w14:paraId="0CD077B0" w14:textId="77777777" w:rsidR="0057432F" w:rsidRPr="00E14102" w:rsidRDefault="0057432F" w:rsidP="00E14102">
      <w:pPr>
        <w:jc w:val="both"/>
        <w:rPr>
          <w:color w:val="0070C0"/>
          <w:sz w:val="16"/>
          <w:szCs w:val="16"/>
        </w:rPr>
      </w:pPr>
      <w:r w:rsidRPr="00E14102">
        <w:rPr>
          <w:color w:val="0070C0"/>
          <w:sz w:val="16"/>
          <w:szCs w:val="16"/>
        </w:rPr>
        <w:t>В сентябре 1935 г. полеты дали основание думать «относительно возможности осуществления полётов в субстратосферу в от</w:t>
      </w:r>
      <w:r w:rsidRPr="00E14102">
        <w:rPr>
          <w:color w:val="0070C0"/>
          <w:sz w:val="16"/>
          <w:szCs w:val="16"/>
        </w:rPr>
        <w:softHyphen/>
        <w:t>крытой гондоле продолжительностью до 6 часов на высотах 10-11 км». Правда, для этого требова</w:t>
      </w:r>
      <w:r w:rsidRPr="00E14102">
        <w:rPr>
          <w:color w:val="0070C0"/>
          <w:sz w:val="16"/>
          <w:szCs w:val="16"/>
        </w:rPr>
        <w:softHyphen/>
        <w:t>лось усовершенствовать кислородное оборудо</w:t>
      </w:r>
      <w:r w:rsidRPr="00E14102">
        <w:rPr>
          <w:color w:val="0070C0"/>
          <w:sz w:val="16"/>
          <w:szCs w:val="16"/>
        </w:rPr>
        <w:softHyphen/>
        <w:t>вание, так как существовавшие приборы позво</w:t>
      </w:r>
      <w:r w:rsidRPr="00E14102">
        <w:rPr>
          <w:color w:val="0070C0"/>
          <w:sz w:val="16"/>
          <w:szCs w:val="16"/>
        </w:rPr>
        <w:softHyphen/>
        <w:t>ляли использовать для дыхания лишь четвёртую часть объёма кислорода, а остальное улетучива</w:t>
      </w:r>
      <w:r w:rsidRPr="00E14102">
        <w:rPr>
          <w:color w:val="0070C0"/>
          <w:sz w:val="16"/>
          <w:szCs w:val="16"/>
        </w:rPr>
        <w:softHyphen/>
        <w:t>лось в атмосферу.</w:t>
      </w:r>
    </w:p>
    <w:p w14:paraId="348C5130" w14:textId="77777777" w:rsidR="0057432F" w:rsidRPr="00E14102" w:rsidRDefault="0057432F" w:rsidP="00E14102">
      <w:pPr>
        <w:jc w:val="both"/>
        <w:rPr>
          <w:color w:val="0070C0"/>
          <w:sz w:val="16"/>
          <w:szCs w:val="16"/>
        </w:rPr>
      </w:pPr>
      <w:r w:rsidRPr="00E14102">
        <w:rPr>
          <w:color w:val="0070C0"/>
          <w:sz w:val="16"/>
          <w:szCs w:val="16"/>
        </w:rPr>
        <w:t>Стандартным советским субстратостатом стал сферический аэростат объёмом 2200 м3 кон</w:t>
      </w:r>
      <w:r w:rsidRPr="00E14102">
        <w:rPr>
          <w:color w:val="0070C0"/>
          <w:sz w:val="16"/>
          <w:szCs w:val="16"/>
        </w:rPr>
        <w:softHyphen/>
        <w:t>струкции инженера К.Д. Годунова, строившийся небольшой серией с 1934 г. на заводе «Каучук». Г.А. Прокофьев считал: «.в эксплуатационном отношении и в конструктивном существую</w:t>
      </w:r>
      <w:r w:rsidRPr="00E14102">
        <w:rPr>
          <w:color w:val="0070C0"/>
          <w:sz w:val="16"/>
          <w:szCs w:val="16"/>
        </w:rPr>
        <w:softHyphen/>
        <w:t>щий тип субстратостата себя целиком и полно</w:t>
      </w:r>
      <w:r w:rsidRPr="00E14102">
        <w:rPr>
          <w:color w:val="0070C0"/>
          <w:sz w:val="16"/>
          <w:szCs w:val="16"/>
        </w:rPr>
        <w:softHyphen/>
        <w:t>стью оправдывает. В полёте субстратостат легко управляем. Этому способствует благоприятное отношение веса к объёму и конструкционная подвеска, позволяющая экономить балласт при спуске». При спуске невыполненная оболочка субстратостата парашютировала, и его скорость при подходе к земле не превышала 3 м/с, что было ниже скорости подхода к земле парашютис</w:t>
      </w:r>
      <w:r w:rsidRPr="00E14102">
        <w:rPr>
          <w:color w:val="0070C0"/>
          <w:sz w:val="16"/>
          <w:szCs w:val="16"/>
        </w:rPr>
        <w:softHyphen/>
        <w:t>та (5-6 м/с).</w:t>
      </w:r>
    </w:p>
    <w:p w14:paraId="06136566" w14:textId="77777777" w:rsidR="0057432F" w:rsidRPr="00E14102" w:rsidRDefault="0057432F" w:rsidP="00E14102">
      <w:pPr>
        <w:jc w:val="both"/>
        <w:rPr>
          <w:color w:val="0070C0"/>
          <w:sz w:val="16"/>
          <w:szCs w:val="16"/>
        </w:rPr>
      </w:pPr>
      <w:r w:rsidRPr="00E14102">
        <w:rPr>
          <w:color w:val="0070C0"/>
          <w:sz w:val="16"/>
          <w:szCs w:val="16"/>
        </w:rPr>
        <w:lastRenderedPageBreak/>
        <w:t>Касаясь специфики субстратосферных полё</w:t>
      </w:r>
      <w:r w:rsidRPr="00E14102">
        <w:rPr>
          <w:color w:val="0070C0"/>
          <w:sz w:val="16"/>
          <w:szCs w:val="16"/>
        </w:rPr>
        <w:softHyphen/>
        <w:t>тов, Г.А. Прокофьев отмечал, что «.при полё</w:t>
      </w:r>
      <w:r w:rsidRPr="00E14102">
        <w:rPr>
          <w:color w:val="0070C0"/>
          <w:sz w:val="16"/>
          <w:szCs w:val="16"/>
        </w:rPr>
        <w:softHyphen/>
        <w:t>тах продолжительностью до 3-х часов, непосред</w:t>
      </w:r>
      <w:r w:rsidRPr="00E14102">
        <w:rPr>
          <w:color w:val="0070C0"/>
          <w:sz w:val="16"/>
          <w:szCs w:val="16"/>
        </w:rPr>
        <w:softHyphen/>
        <w:t>ственно научному исследованию может быть от</w:t>
      </w:r>
      <w:r w:rsidRPr="00E14102">
        <w:rPr>
          <w:color w:val="0070C0"/>
          <w:sz w:val="16"/>
          <w:szCs w:val="16"/>
        </w:rPr>
        <w:softHyphen/>
        <w:t>ведено 1-1,5 часа. На каждый полёт может быть поставлена только одна задача, ибо здесь условия пилотирования таковы, что если на подъёме вто</w:t>
      </w:r>
      <w:r w:rsidRPr="00E14102">
        <w:rPr>
          <w:color w:val="0070C0"/>
          <w:sz w:val="16"/>
          <w:szCs w:val="16"/>
        </w:rPr>
        <w:softHyphen/>
        <w:t>рой человек может вести специальные наблюде</w:t>
      </w:r>
      <w:r w:rsidRPr="00E14102">
        <w:rPr>
          <w:color w:val="0070C0"/>
          <w:sz w:val="16"/>
          <w:szCs w:val="16"/>
        </w:rPr>
        <w:softHyphen/>
        <w:t>ния, то на спуске они заняты вдвоём». Условия ра</w:t>
      </w:r>
      <w:r w:rsidRPr="00E14102">
        <w:rPr>
          <w:color w:val="0070C0"/>
          <w:sz w:val="16"/>
          <w:szCs w:val="16"/>
        </w:rPr>
        <w:softHyphen/>
        <w:t>боты на высоте он оценивал как вполне рабочие. Аэронавты не обдуваются холодным ветром, так как аэростат перемещается вместе с ним, а низ</w:t>
      </w:r>
      <w:r w:rsidRPr="00E14102">
        <w:rPr>
          <w:color w:val="0070C0"/>
          <w:sz w:val="16"/>
          <w:szCs w:val="16"/>
        </w:rPr>
        <w:softHyphen/>
        <w:t>кая температура воздуха в значительной степени компенсируется обогревом солнечными лучами.</w:t>
      </w:r>
    </w:p>
    <w:p w14:paraId="3125AE0E" w14:textId="77777777" w:rsidR="0057432F" w:rsidRPr="00E14102" w:rsidRDefault="0057432F" w:rsidP="00E14102">
      <w:pPr>
        <w:jc w:val="both"/>
        <w:rPr>
          <w:color w:val="0070C0"/>
          <w:sz w:val="16"/>
          <w:szCs w:val="16"/>
        </w:rPr>
      </w:pPr>
      <w:r w:rsidRPr="00E14102">
        <w:rPr>
          <w:color w:val="0070C0"/>
          <w:sz w:val="16"/>
          <w:szCs w:val="16"/>
        </w:rPr>
        <w:t>Субстратосферные полёты позволили испы</w:t>
      </w:r>
      <w:r w:rsidRPr="00E14102">
        <w:rPr>
          <w:color w:val="0070C0"/>
          <w:sz w:val="16"/>
          <w:szCs w:val="16"/>
        </w:rPr>
        <w:softHyphen/>
        <w:t>тать ряд стратосферных приборов, которые ра</w:t>
      </w:r>
      <w:r w:rsidRPr="00E14102">
        <w:rPr>
          <w:color w:val="0070C0"/>
          <w:sz w:val="16"/>
          <w:szCs w:val="16"/>
        </w:rPr>
        <w:softHyphen/>
        <w:t>ботали даже в более жёстких условиях, чем в гер</w:t>
      </w:r>
      <w:r w:rsidRPr="00E14102">
        <w:rPr>
          <w:color w:val="0070C0"/>
          <w:sz w:val="16"/>
          <w:szCs w:val="16"/>
        </w:rPr>
        <w:softHyphen/>
        <w:t>метической кабине. При этом стоимость таких полётов была незначительной.</w:t>
      </w:r>
    </w:p>
    <w:p w14:paraId="0D932B2D" w14:textId="77777777" w:rsidR="0057432F" w:rsidRPr="00E14102" w:rsidRDefault="0057432F" w:rsidP="00E14102">
      <w:pPr>
        <w:jc w:val="both"/>
        <w:rPr>
          <w:color w:val="0070C0"/>
          <w:sz w:val="16"/>
          <w:szCs w:val="16"/>
        </w:rPr>
      </w:pPr>
      <w:r w:rsidRPr="00E14102">
        <w:rPr>
          <w:color w:val="0070C0"/>
          <w:sz w:val="16"/>
          <w:szCs w:val="16"/>
        </w:rPr>
        <w:t>22-23 апреля 1936 г. прошла сессия групп гео</w:t>
      </w:r>
      <w:r w:rsidRPr="00E14102">
        <w:rPr>
          <w:color w:val="0070C0"/>
          <w:sz w:val="16"/>
          <w:szCs w:val="16"/>
        </w:rPr>
        <w:softHyphen/>
        <w:t>графии и Стратосферной комиссии АН СССР и Стратосферного комитета Осоавиахима. Цен</w:t>
      </w:r>
      <w:r w:rsidRPr="00E14102">
        <w:rPr>
          <w:color w:val="0070C0"/>
          <w:sz w:val="16"/>
          <w:szCs w:val="16"/>
        </w:rPr>
        <w:softHyphen/>
        <w:t>тральное место в её работе заняли доклады Г.А. Прокофьева и аспиранта Оптического инсти</w:t>
      </w:r>
      <w:r w:rsidRPr="00E14102">
        <w:rPr>
          <w:color w:val="0070C0"/>
          <w:sz w:val="16"/>
          <w:szCs w:val="16"/>
        </w:rPr>
        <w:softHyphen/>
        <w:t>тута И.А. Хвостикова об изучении стратосферы с помощью субстратостатов. В резолюциях сес</w:t>
      </w:r>
      <w:r w:rsidRPr="00E14102">
        <w:rPr>
          <w:color w:val="0070C0"/>
          <w:sz w:val="16"/>
          <w:szCs w:val="16"/>
        </w:rPr>
        <w:softHyphen/>
        <w:t>сии подчёркивалось, что субстратостаты являют</w:t>
      </w:r>
      <w:r w:rsidRPr="00E14102">
        <w:rPr>
          <w:color w:val="0070C0"/>
          <w:sz w:val="16"/>
          <w:szCs w:val="16"/>
        </w:rPr>
        <w:softHyphen/>
        <w:t>ся мощным орудием исследования стратосферы (20120).</w:t>
      </w:r>
    </w:p>
    <w:p w14:paraId="61EC19E3" w14:textId="77777777" w:rsidR="0057432F" w:rsidRPr="00E14102" w:rsidRDefault="0057432F" w:rsidP="00E14102">
      <w:pPr>
        <w:jc w:val="both"/>
        <w:rPr>
          <w:color w:val="0070C0"/>
          <w:sz w:val="16"/>
          <w:szCs w:val="16"/>
        </w:rPr>
      </w:pPr>
    </w:p>
    <w:p w14:paraId="7E5159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сентябре 1935 в РНИИ приступили к изготовлению опытной партии в 25 боеприпасов ТРС для войсковых испытаний. Их дополнили дном запального стакана, что упростило конструкцию и улучшило условия воспламене</w:t>
      </w:r>
      <w:r w:rsidRPr="00E14102">
        <w:rPr>
          <w:color w:val="000000" w:themeColor="text1"/>
          <w:sz w:val="16"/>
          <w:szCs w:val="16"/>
        </w:rPr>
        <w:softHyphen/>
        <w:t>ния заряда. 27 декабря 1935 г. готовые ТРС-60Т начальник мастерских РНИИ Надеждин, старший контрольный мастер РНИИ Шатыгин и ин</w:t>
      </w:r>
      <w:r w:rsidRPr="00E14102">
        <w:rPr>
          <w:color w:val="000000" w:themeColor="text1"/>
          <w:sz w:val="16"/>
          <w:szCs w:val="16"/>
        </w:rPr>
        <w:softHyphen/>
        <w:t>женер 1 отдела РНИИ М.Б.Новиков сдали военпреду АУ РККА Мерку</w:t>
      </w:r>
      <w:r w:rsidRPr="00E14102">
        <w:rPr>
          <w:color w:val="000000" w:themeColor="text1"/>
          <w:sz w:val="16"/>
          <w:szCs w:val="16"/>
        </w:rPr>
        <w:softHyphen/>
        <w:t>лову. Орудие модели 101800 для стрельбы оперенными 60-мм ракетными снарядами не удовлетворило заказчиков «в смысле его направляемое ги без наличия устанавливающих приборов». То есть, его практически не</w:t>
      </w:r>
      <w:r w:rsidRPr="00E14102">
        <w:rPr>
          <w:color w:val="000000" w:themeColor="text1"/>
          <w:sz w:val="16"/>
          <w:szCs w:val="16"/>
        </w:rPr>
        <w:softHyphen/>
        <w:t>возможно было нацелить строго в зенит. В итоге прежнее ракетное ору</w:t>
      </w:r>
      <w:r w:rsidRPr="00E14102">
        <w:rPr>
          <w:color w:val="000000" w:themeColor="text1"/>
          <w:sz w:val="16"/>
          <w:szCs w:val="16"/>
        </w:rPr>
        <w:softHyphen/>
        <w:t>дие модели 102200 дополнили контрольным шаровым уровнем (11402).</w:t>
      </w:r>
    </w:p>
    <w:p w14:paraId="11E285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A1BB98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4A97A5C" w14:textId="77777777" w:rsidR="00D4105E" w:rsidRPr="00E14102" w:rsidRDefault="00D4105E" w:rsidP="00E14102">
      <w:pPr>
        <w:autoSpaceDE w:val="0"/>
        <w:autoSpaceDN w:val="0"/>
        <w:adjustRightInd w:val="0"/>
        <w:jc w:val="both"/>
        <w:rPr>
          <w:iCs/>
          <w:color w:val="000000" w:themeColor="text1"/>
          <w:sz w:val="16"/>
          <w:szCs w:val="16"/>
        </w:rPr>
      </w:pPr>
    </w:p>
    <w:p w14:paraId="04C801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года на НИАП с "Большевика" поступила пушка АБ. По расчетам при стрельбе легким калиберным снарядом чертежа 5465 весом 41,7 кг начальная скорость должна была быть 1650 м/с, а дальность 120 км. 152-мм сверхдальняя пушка АБ была спроектирована в КБ завода "Большевик" в 1930-1931 годах. В 1932 году с заводом "Большевик" был заключен договор на изготовление опытной 152-мм пушки, точнее, на переделку ствола 305/52-мм штатной пушки. В старый ствол была вставлена новая внутренняя труба калибра 152 мм и сделана новая дульная часть. Наружные размеры обоймы сделали по очертаниям 356/52-мм пушки, поскольку все испытания предполагалось проводить на 356-мм станке системы Дурляхера. Длина пушки АБ составляла 18,44 м, т.е. 121,5 калибров. Крутизна нарезов 25 калибров, число нарезов 12, глубина нареза 3,0 мм. Переделка ствола затянулась из-за технологических сложностей.</w:t>
      </w:r>
    </w:p>
    <w:p w14:paraId="07DF08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 силы авиации КА впервые широкомасштабно опробовались на Киевских маневрах (3145). В Киевских маневрах приняло участие около 1000 танков. Отрабатывали прорыв обороны, взаимодействие с кавалерией и воздушным десантом (3881,33).</w:t>
      </w:r>
    </w:p>
    <w:p w14:paraId="1258F035" w14:textId="77777777" w:rsidR="00D4105E" w:rsidRPr="00E14102" w:rsidRDefault="00D4105E" w:rsidP="00E14102">
      <w:pPr>
        <w:autoSpaceDE w:val="0"/>
        <w:autoSpaceDN w:val="0"/>
        <w:adjustRightInd w:val="0"/>
        <w:jc w:val="both"/>
        <w:rPr>
          <w:color w:val="000000" w:themeColor="text1"/>
          <w:sz w:val="16"/>
          <w:szCs w:val="16"/>
        </w:rPr>
      </w:pPr>
    </w:p>
    <w:p w14:paraId="7903DDF1" w14:textId="77777777" w:rsidR="00164F4F" w:rsidRPr="00E14102" w:rsidRDefault="00164F4F" w:rsidP="00E14102">
      <w:pPr>
        <w:jc w:val="both"/>
        <w:rPr>
          <w:color w:val="000000" w:themeColor="text1"/>
          <w:sz w:val="16"/>
          <w:szCs w:val="16"/>
        </w:rPr>
      </w:pPr>
      <w:r w:rsidRPr="00E14102">
        <w:rPr>
          <w:color w:val="000000" w:themeColor="text1"/>
          <w:sz w:val="16"/>
          <w:szCs w:val="16"/>
        </w:rPr>
        <w:t>В сентябре 1935 г. пушка АБ поступила с «Большевика» на НИАП.</w:t>
      </w:r>
    </w:p>
    <w:p w14:paraId="24666BB3" w14:textId="77777777" w:rsidR="00164F4F" w:rsidRPr="00E14102" w:rsidRDefault="00164F4F" w:rsidP="00E14102">
      <w:pPr>
        <w:jc w:val="both"/>
        <w:rPr>
          <w:color w:val="000000" w:themeColor="text1"/>
          <w:sz w:val="16"/>
          <w:szCs w:val="16"/>
        </w:rPr>
      </w:pPr>
      <w:r w:rsidRPr="00E14102">
        <w:rPr>
          <w:color w:val="000000" w:themeColor="text1"/>
          <w:sz w:val="16"/>
          <w:szCs w:val="16"/>
        </w:rPr>
        <w:t>В 1930–1931 гг. в КБ завода «Большевик» спроектировали 152-мм сверхдальнюю пушку АБ, и в 1932 г. с заводом был заключен договор на изготовление опытной 152-мм пушки АБ, точнее, на переделку ствола 305/52-мм штатной пушки. В старый ствол вставили новую внутреннюю трубу калибра 152 мм и сделали новую дульную часть. Наружные размеры обоймы сделали по очертаниям 356/52-мм пушки, поскольку все испытания предполагалось проводить на 356мм станке системы Дурляхера. Длина пушки АБ составляла 18,44 м (121,5 калибра). Крутизна нарезов — 25 калибров, число нарезов — 12, глубина нареза — 3,0 мм. Переделка ствола затянулась из-за технологических сложностей.По расчетам, при стрельбе легким калиберным снарядом чертежа 5465 весом 41,7 кг начальная скорость должна была быть 1650 м/с, а дальность — 120 км.</w:t>
      </w:r>
    </w:p>
    <w:p w14:paraId="083E8354" w14:textId="77777777" w:rsidR="00164F4F" w:rsidRPr="00E14102" w:rsidRDefault="00164F4F" w:rsidP="00E14102">
      <w:pPr>
        <w:jc w:val="both"/>
        <w:rPr>
          <w:color w:val="000000" w:themeColor="text1"/>
          <w:sz w:val="16"/>
          <w:szCs w:val="16"/>
        </w:rPr>
      </w:pPr>
      <w:r w:rsidRPr="00E14102">
        <w:rPr>
          <w:color w:val="000000" w:themeColor="text1"/>
          <w:sz w:val="16"/>
          <w:szCs w:val="16"/>
        </w:rPr>
        <w:t>Первая стрельба из 152-мм пушки АБ снарядом чертежа 5465 была произведена 9 июня 1936 г. Использовался заряд пороха Б8 весом 75 кг. Однако начальная скорость составила лишь 1409 м/с, и расчетная дальность не была получена.</w:t>
      </w:r>
    </w:p>
    <w:p w14:paraId="6140E410" w14:textId="77777777" w:rsidR="00164F4F" w:rsidRPr="00E14102" w:rsidRDefault="00164F4F" w:rsidP="00E14102">
      <w:pPr>
        <w:jc w:val="both"/>
        <w:rPr>
          <w:color w:val="000000" w:themeColor="text1"/>
          <w:sz w:val="16"/>
          <w:szCs w:val="16"/>
        </w:rPr>
      </w:pPr>
      <w:r w:rsidRPr="00E14102">
        <w:rPr>
          <w:color w:val="000000" w:themeColor="text1"/>
          <w:sz w:val="16"/>
          <w:szCs w:val="16"/>
        </w:rPr>
        <w:t>После испытаний снаряды доработали. Но станок на НИАПе оказался занят по крайней мере до октября 1940 г. (как уже говорилось, все опыты с тяжелыми орудиями производились с одного-единственного станка Дурляхера). К тому же на нем в 1940 г. интенсивно шел отстрел из штатной 356/52-мм пушки новых снарядов к железнодорожным установкам ТМ-1–14. В результате повторные испытания пушки АБ неоднократно откладывались. Сведениями об испытании ее в 1941 г. автор не располагает (12705).</w:t>
      </w:r>
    </w:p>
    <w:p w14:paraId="117A1CA5" w14:textId="77777777" w:rsidR="00164F4F" w:rsidRPr="00E14102" w:rsidRDefault="00164F4F" w:rsidP="00E14102">
      <w:pPr>
        <w:jc w:val="both"/>
        <w:rPr>
          <w:color w:val="000000" w:themeColor="text1"/>
          <w:sz w:val="16"/>
          <w:szCs w:val="16"/>
        </w:rPr>
      </w:pPr>
    </w:p>
    <w:p w14:paraId="14A9AFD3" w14:textId="77777777" w:rsidR="00BE63CE" w:rsidRPr="00E14102" w:rsidRDefault="00BE63CE" w:rsidP="00E14102">
      <w:pPr>
        <w:jc w:val="both"/>
        <w:rPr>
          <w:color w:val="000000" w:themeColor="text1"/>
          <w:sz w:val="16"/>
          <w:szCs w:val="16"/>
        </w:rPr>
      </w:pPr>
      <w:r w:rsidRPr="00E14102">
        <w:rPr>
          <w:color w:val="000000" w:themeColor="text1"/>
          <w:sz w:val="16"/>
          <w:szCs w:val="16"/>
        </w:rPr>
        <w:t>В сентябре 1935 г. пушка АБ поступила с «Большевика» на НИАП.</w:t>
      </w:r>
    </w:p>
    <w:p w14:paraId="4CCAE8E0" w14:textId="77777777" w:rsidR="00BE63CE" w:rsidRPr="00E14102" w:rsidRDefault="00BE63CE" w:rsidP="00E14102">
      <w:pPr>
        <w:jc w:val="both"/>
        <w:rPr>
          <w:color w:val="000000" w:themeColor="text1"/>
          <w:sz w:val="16"/>
          <w:szCs w:val="16"/>
        </w:rPr>
      </w:pPr>
      <w:r w:rsidRPr="00E14102">
        <w:rPr>
          <w:color w:val="000000" w:themeColor="text1"/>
          <w:sz w:val="16"/>
          <w:szCs w:val="16"/>
        </w:rPr>
        <w:t>В 1930—1931 гг. в КБ завода «Большевик» спроектировали 152-мм сверхдальнюю пушку АБ, и в 1932 г. с заводом был заключен договор на изготовление опытной 152-мм пушки АБ, точнее, на переделку ствола 305/52-мм штатной пушки. В старый ствол вставили новую внутреннюю трубу калибра 152 мм и сделали новую дульную часть. Наружные размеры обоймы сделали по очертаниям 356/52-мм пушки, поскольку все испытания предполагалось проводить на 356-мм станке системы Дурляхера. Длина пушки АБ составляла 18,44 м (121,5 калибра). Крутизна нарезов 25 калибров, число нарезов 12, глубина нареза 3,0 мм. Переделка ствола затянулась из-за технологических сложностей.</w:t>
      </w:r>
    </w:p>
    <w:p w14:paraId="1F54AE32" w14:textId="77777777" w:rsidR="00BE63CE" w:rsidRPr="00E14102" w:rsidRDefault="00BE63CE" w:rsidP="00E14102">
      <w:pPr>
        <w:jc w:val="both"/>
        <w:rPr>
          <w:color w:val="000000" w:themeColor="text1"/>
          <w:sz w:val="16"/>
          <w:szCs w:val="16"/>
        </w:rPr>
      </w:pPr>
      <w:r w:rsidRPr="00E14102">
        <w:rPr>
          <w:color w:val="000000" w:themeColor="text1"/>
          <w:sz w:val="16"/>
          <w:szCs w:val="16"/>
        </w:rPr>
        <w:t>9 июня 1936 г. была произведена первая стрельба из 152-мм пушки АБ снарядом чертежа 5465.</w:t>
      </w:r>
    </w:p>
    <w:p w14:paraId="0EAB7F52" w14:textId="77777777" w:rsidR="00BE63CE" w:rsidRPr="00E14102" w:rsidRDefault="00BE63CE" w:rsidP="00E14102">
      <w:pPr>
        <w:jc w:val="both"/>
        <w:rPr>
          <w:color w:val="000000" w:themeColor="text1"/>
          <w:sz w:val="16"/>
          <w:szCs w:val="16"/>
        </w:rPr>
      </w:pPr>
      <w:r w:rsidRPr="00E14102">
        <w:rPr>
          <w:color w:val="000000" w:themeColor="text1"/>
          <w:sz w:val="16"/>
          <w:szCs w:val="16"/>
        </w:rPr>
        <w:t>По расчетам при стрельбе легким калиберным снарядом чертежа 5465 весом 41,7 кг начальная скорость должна была быть 1650 м/с, а дальность 120 км.</w:t>
      </w:r>
    </w:p>
    <w:p w14:paraId="64402762" w14:textId="77777777" w:rsidR="00BE63CE" w:rsidRPr="00E14102" w:rsidRDefault="00BE63CE" w:rsidP="00E14102">
      <w:pPr>
        <w:jc w:val="both"/>
        <w:rPr>
          <w:color w:val="000000" w:themeColor="text1"/>
          <w:sz w:val="16"/>
          <w:szCs w:val="16"/>
        </w:rPr>
      </w:pPr>
      <w:r w:rsidRPr="00E14102">
        <w:rPr>
          <w:color w:val="000000" w:themeColor="text1"/>
          <w:sz w:val="16"/>
          <w:szCs w:val="16"/>
        </w:rPr>
        <w:t>Использовался заряд пороха Б</w:t>
      </w:r>
      <w:r w:rsidRPr="00E14102">
        <w:rPr>
          <w:color w:val="000000" w:themeColor="text1"/>
          <w:sz w:val="16"/>
          <w:szCs w:val="16"/>
          <w:vertAlign w:val="subscript"/>
        </w:rPr>
        <w:t>8</w:t>
      </w:r>
      <w:r w:rsidRPr="00E14102">
        <w:rPr>
          <w:color w:val="000000" w:themeColor="text1"/>
          <w:sz w:val="16"/>
          <w:szCs w:val="16"/>
        </w:rPr>
        <w:t xml:space="preserve"> весом 75 кг. Однако начальная скорость составила лишь 1409 м/с, и расчетная дальность не была получена.</w:t>
      </w:r>
    </w:p>
    <w:p w14:paraId="0C33B618" w14:textId="77777777" w:rsidR="00BE63CE" w:rsidRPr="00E14102" w:rsidRDefault="00BE63CE" w:rsidP="00E14102">
      <w:pPr>
        <w:jc w:val="both"/>
        <w:rPr>
          <w:color w:val="000000" w:themeColor="text1"/>
          <w:sz w:val="16"/>
          <w:szCs w:val="16"/>
        </w:rPr>
      </w:pPr>
      <w:r w:rsidRPr="00E14102">
        <w:rPr>
          <w:color w:val="000000" w:themeColor="text1"/>
          <w:sz w:val="16"/>
          <w:szCs w:val="16"/>
        </w:rPr>
        <w:t>После испытаний снаряды доработали. Но станок на НИАПе оказался занят, по крайней мере, до октября 1940 г. (как уже говорилось, все опыты с тяжелыми орудиями производились с одного-единственного станка Дурляхера). К тому же на нем в 1940 г. интенсивно шел отстрел из штатной 356/52-мм пушки новых снарядов к железнодорожным установкам ТМ-1—14. В результате повторные испытания пушки АБ неоднократно откладывались (15117).</w:t>
      </w:r>
    </w:p>
    <w:p w14:paraId="36DD61E1" w14:textId="77777777" w:rsidR="00BE63CE" w:rsidRPr="00E14102" w:rsidRDefault="00BE63CE" w:rsidP="00E14102">
      <w:pPr>
        <w:jc w:val="both"/>
        <w:rPr>
          <w:color w:val="000000" w:themeColor="text1"/>
          <w:sz w:val="16"/>
          <w:szCs w:val="16"/>
        </w:rPr>
      </w:pPr>
    </w:p>
    <w:p w14:paraId="7AB8BB9B" w14:textId="77777777" w:rsidR="0057432F" w:rsidRPr="00E14102" w:rsidRDefault="0057432F" w:rsidP="00E14102">
      <w:pPr>
        <w:autoSpaceDE w:val="0"/>
        <w:autoSpaceDN w:val="0"/>
        <w:adjustRightInd w:val="0"/>
        <w:jc w:val="both"/>
        <w:rPr>
          <w:color w:val="0070C0"/>
          <w:sz w:val="16"/>
          <w:szCs w:val="16"/>
        </w:rPr>
      </w:pPr>
      <w:r w:rsidRPr="00E14102">
        <w:rPr>
          <w:color w:val="0070C0"/>
          <w:sz w:val="16"/>
          <w:szCs w:val="16"/>
        </w:rPr>
        <w:t xml:space="preserve">В отсутствие поддержки со стороны ГВМУ НКТП, учитывая значительный объем проведенных опытных работ и достигнутые положительные результаты, в сентябре 1935 г. Б. И. Шавырин обратился с письмом к начальнику НКВД УССР Салицкому, в котором попросил поставить вопрос перед Комитетом резервов при СТО СССР о внедрении подготовленных рабочих чертежей в производство для изготовления серийной партии в 1935 г. и последующего полного перехода от стальных мин к чугунным.426 </w:t>
      </w:r>
    </w:p>
    <w:p w14:paraId="1C021C07" w14:textId="77777777" w:rsidR="0057432F" w:rsidRPr="00E14102" w:rsidRDefault="0057432F" w:rsidP="00E14102">
      <w:pPr>
        <w:jc w:val="both"/>
        <w:rPr>
          <w:rFonts w:eastAsia="TimesNewRomanPSMT"/>
          <w:color w:val="0070C0"/>
          <w:sz w:val="16"/>
          <w:szCs w:val="16"/>
        </w:rPr>
      </w:pPr>
      <w:r w:rsidRPr="00E14102">
        <w:rPr>
          <w:color w:val="0070C0"/>
          <w:sz w:val="16"/>
          <w:szCs w:val="16"/>
        </w:rPr>
        <w:t>С аналогичным письмом Б. И. Шавырин обратился напрямую, в Комитет резервов при СТО СССР и в ХИМУ РККА. В нем подчеркивалась необходимость выдачи заказа на серийное изготовление чугунных мин в 1936 г. в связи с его экономическими преимуществами, дающими возможность сократить расходы на изготовление этого вида боеприпасов на несколько миллионов руб., и лучшими баллистическими характеристиками мин, отлитых в постоянные формы, подтвержденными испытаниями.427 (20074).</w:t>
      </w:r>
    </w:p>
    <w:p w14:paraId="17F9EF9E" w14:textId="77777777" w:rsidR="0057432F" w:rsidRPr="00E14102" w:rsidRDefault="0057432F" w:rsidP="00E14102">
      <w:pPr>
        <w:jc w:val="both"/>
        <w:rPr>
          <w:rFonts w:eastAsia="TimesNewRomanPSMT"/>
          <w:color w:val="0070C0"/>
          <w:sz w:val="16"/>
          <w:szCs w:val="16"/>
        </w:rPr>
      </w:pPr>
    </w:p>
    <w:p w14:paraId="6600C0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прошло испытание понтонов А.Ф.Кравцова изготовленных в войсковых мастерских Приморской группы на БТ-5 и Т-26 (3880,26).</w:t>
      </w:r>
    </w:p>
    <w:p w14:paraId="45D9EE45" w14:textId="77777777" w:rsidR="00D4105E" w:rsidRPr="00E14102" w:rsidRDefault="00D4105E" w:rsidP="00E14102">
      <w:pPr>
        <w:autoSpaceDE w:val="0"/>
        <w:autoSpaceDN w:val="0"/>
        <w:adjustRightInd w:val="0"/>
        <w:jc w:val="both"/>
        <w:rPr>
          <w:color w:val="000000" w:themeColor="text1"/>
          <w:sz w:val="16"/>
          <w:szCs w:val="16"/>
        </w:rPr>
      </w:pPr>
    </w:p>
    <w:p w14:paraId="54969812"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сентябре 1935 г. года испы</w:t>
      </w:r>
      <w:r w:rsidRPr="00E14102">
        <w:rPr>
          <w:color w:val="000000" w:themeColor="text1"/>
          <w:sz w:val="16"/>
          <w:szCs w:val="16"/>
        </w:rPr>
        <w:softHyphen/>
        <w:t>тали на Т-26 первое приспособление конструкции А.Ф. Кравцева для плава танка (танко-десантное плавсредство) Т-26 изготовили в в войсковых мастерских Примгруппы ОКДВА и при преодолении Амурского залива. Приспособление состояло из двух на</w:t>
      </w:r>
      <w:r w:rsidRPr="00E14102">
        <w:rPr>
          <w:color w:val="000000" w:themeColor="text1"/>
          <w:sz w:val="16"/>
          <w:szCs w:val="16"/>
        </w:rPr>
        <w:softHyphen/>
        <w:t>дувных лодок А-3, оснащенных лежнями (балками), щитами и специальными кре</w:t>
      </w:r>
      <w:r w:rsidRPr="00E14102">
        <w:rPr>
          <w:color w:val="000000" w:themeColor="text1"/>
          <w:sz w:val="16"/>
          <w:szCs w:val="16"/>
        </w:rPr>
        <w:softHyphen/>
        <w:t>пежными деталями. В качестве водоходно</w:t>
      </w:r>
      <w:r w:rsidRPr="00E14102">
        <w:rPr>
          <w:color w:val="000000" w:themeColor="text1"/>
          <w:sz w:val="16"/>
          <w:szCs w:val="16"/>
        </w:rPr>
        <w:softHyphen/>
        <w:t>го использовался гусеничный движитель с вставленными в гусеничные ленты автома</w:t>
      </w:r>
      <w:r w:rsidRPr="00E14102">
        <w:rPr>
          <w:color w:val="000000" w:themeColor="text1"/>
          <w:sz w:val="16"/>
          <w:szCs w:val="16"/>
        </w:rPr>
        <w:softHyphen/>
        <w:t>тическими траками для увеличения силы тяги на плаву. На танк Т-26 спереди и сза</w:t>
      </w:r>
      <w:r w:rsidRPr="00E14102">
        <w:rPr>
          <w:color w:val="000000" w:themeColor="text1"/>
          <w:sz w:val="16"/>
          <w:szCs w:val="16"/>
        </w:rPr>
        <w:softHyphen/>
        <w:t>ди подбашенной коробки укладывались две балки, прикрепленные болтами к корпусу машины. С двух сторон танка к балкам мон</w:t>
      </w:r>
      <w:r w:rsidRPr="00E14102">
        <w:rPr>
          <w:color w:val="000000" w:themeColor="text1"/>
          <w:sz w:val="16"/>
          <w:szCs w:val="16"/>
        </w:rPr>
        <w:softHyphen/>
        <w:t>тировались лодки А-3. Общее время на сборку приспособле</w:t>
      </w:r>
      <w:r w:rsidRPr="00E14102">
        <w:rPr>
          <w:color w:val="000000" w:themeColor="text1"/>
          <w:sz w:val="16"/>
          <w:szCs w:val="16"/>
        </w:rPr>
        <w:softHyphen/>
        <w:t>ния с учетом его выгрузки составляло 20 мин, а время разборки — 5 мин при ра</w:t>
      </w:r>
      <w:r w:rsidRPr="00E14102">
        <w:rPr>
          <w:color w:val="000000" w:themeColor="text1"/>
          <w:sz w:val="16"/>
          <w:szCs w:val="16"/>
        </w:rPr>
        <w:softHyphen/>
        <w:t>боте шести-восьми человек. Скорость тан</w:t>
      </w:r>
      <w:r w:rsidRPr="00E14102">
        <w:rPr>
          <w:color w:val="000000" w:themeColor="text1"/>
          <w:sz w:val="16"/>
          <w:szCs w:val="16"/>
        </w:rPr>
        <w:softHyphen/>
        <w:t>ка на плаву с установленными автоматичес</w:t>
      </w:r>
      <w:r w:rsidRPr="00E14102">
        <w:rPr>
          <w:color w:val="000000" w:themeColor="text1"/>
          <w:sz w:val="16"/>
          <w:szCs w:val="16"/>
        </w:rPr>
        <w:softHyphen/>
        <w:t>кими траками достигала 4—6 км/ч при дви</w:t>
      </w:r>
      <w:r w:rsidRPr="00E14102">
        <w:rPr>
          <w:color w:val="000000" w:themeColor="text1"/>
          <w:sz w:val="16"/>
          <w:szCs w:val="16"/>
        </w:rPr>
        <w:softHyphen/>
        <w:t>жении на 2—3-й передачах. По результатам испытаний на НИИИТ полигоне (п. Нахаби- но), проведенных в 1936 г., данное приспо</w:t>
      </w:r>
      <w:r w:rsidRPr="00E14102">
        <w:rPr>
          <w:color w:val="000000" w:themeColor="text1"/>
          <w:sz w:val="16"/>
          <w:szCs w:val="16"/>
        </w:rPr>
        <w:softHyphen/>
        <w:t>собление признали громоздким, сложным по конструкции и не имевшим никаких пре</w:t>
      </w:r>
      <w:r w:rsidRPr="00E14102">
        <w:rPr>
          <w:color w:val="000000" w:themeColor="text1"/>
          <w:sz w:val="16"/>
          <w:szCs w:val="16"/>
        </w:rPr>
        <w:softHyphen/>
        <w:t>имуществ по времени перед паромными пе</w:t>
      </w:r>
      <w:r w:rsidRPr="00E14102">
        <w:rPr>
          <w:color w:val="000000" w:themeColor="text1"/>
          <w:sz w:val="16"/>
          <w:szCs w:val="16"/>
        </w:rPr>
        <w:softHyphen/>
        <w:t>реправами. Дальнейшие работы над при</w:t>
      </w:r>
      <w:r w:rsidRPr="00E14102">
        <w:rPr>
          <w:color w:val="000000" w:themeColor="text1"/>
          <w:sz w:val="16"/>
          <w:szCs w:val="16"/>
        </w:rPr>
        <w:softHyphen/>
        <w:t>способлением были прекращены.</w:t>
      </w:r>
    </w:p>
    <w:p w14:paraId="3054BD90"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Второе приспособление конструкции А.Ф. Кравцева для плава танка БТ-5 было собрано в 1935 г. в войсковых мастерских Примгруппы ОКДВА. В сентябре того же года оно прошло испытания на танке БТ-5 при преодолении Амурского залива.</w:t>
      </w:r>
    </w:p>
    <w:p w14:paraId="3DF8FAAE"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Приспособление состояло из двух ло</w:t>
      </w:r>
      <w:r w:rsidRPr="00E14102">
        <w:rPr>
          <w:color w:val="000000" w:themeColor="text1"/>
          <w:sz w:val="16"/>
          <w:szCs w:val="16"/>
        </w:rPr>
        <w:softHyphen/>
        <w:t>док А-3, оснащенных лежнями (балками), щитами и специальными крепежными де</w:t>
      </w:r>
      <w:r w:rsidRPr="00E14102">
        <w:rPr>
          <w:color w:val="000000" w:themeColor="text1"/>
          <w:sz w:val="16"/>
          <w:szCs w:val="16"/>
        </w:rPr>
        <w:softHyphen/>
        <w:t>талями. На танке БТ-5 к корпусу фиксиро</w:t>
      </w:r>
      <w:r w:rsidRPr="00E14102">
        <w:rPr>
          <w:color w:val="000000" w:themeColor="text1"/>
          <w:sz w:val="16"/>
          <w:szCs w:val="16"/>
        </w:rPr>
        <w:softHyphen/>
        <w:t>вались болтами две балки: носовая - на подкладках у люка механика-водителя и кормовая - на уровне расположения зад</w:t>
      </w:r>
      <w:r w:rsidRPr="00E14102">
        <w:rPr>
          <w:color w:val="000000" w:themeColor="text1"/>
          <w:sz w:val="16"/>
          <w:szCs w:val="16"/>
        </w:rPr>
        <w:softHyphen/>
        <w:t>них свечей подвески. С двух сторон танка к балкам крепились лодки А-3. Движение на плаву осуществлялось за счет враще</w:t>
      </w:r>
      <w:r w:rsidRPr="00E14102">
        <w:rPr>
          <w:color w:val="000000" w:themeColor="text1"/>
          <w:sz w:val="16"/>
          <w:szCs w:val="16"/>
        </w:rPr>
        <w:softHyphen/>
        <w:t>ния гусениц машины с установленными двойными автоматическими траками кон</w:t>
      </w:r>
      <w:r w:rsidRPr="00E14102">
        <w:rPr>
          <w:color w:val="000000" w:themeColor="text1"/>
          <w:sz w:val="16"/>
          <w:szCs w:val="16"/>
        </w:rPr>
        <w:softHyphen/>
        <w:t>струкции А.Ф. Кравцева, предназначенны</w:t>
      </w:r>
      <w:r w:rsidRPr="00E14102">
        <w:rPr>
          <w:color w:val="000000" w:themeColor="text1"/>
          <w:sz w:val="16"/>
          <w:szCs w:val="16"/>
        </w:rPr>
        <w:softHyphen/>
        <w:t>ми для движения танка по болотам и грун</w:t>
      </w:r>
      <w:r w:rsidRPr="00E14102">
        <w:rPr>
          <w:color w:val="000000" w:themeColor="text1"/>
          <w:sz w:val="16"/>
          <w:szCs w:val="16"/>
        </w:rPr>
        <w:softHyphen/>
        <w:t>там с низкой несущей способностью. Для лучшей управляемости на плаву в кор</w:t>
      </w:r>
      <w:r w:rsidRPr="00E14102">
        <w:rPr>
          <w:color w:val="000000" w:themeColor="text1"/>
          <w:sz w:val="16"/>
          <w:szCs w:val="16"/>
        </w:rPr>
        <w:softHyphen/>
        <w:t>ме танка устанавливался наружный штур</w:t>
      </w:r>
      <w:r w:rsidRPr="00E14102">
        <w:rPr>
          <w:color w:val="000000" w:themeColor="text1"/>
          <w:sz w:val="16"/>
          <w:szCs w:val="16"/>
        </w:rPr>
        <w:softHyphen/>
        <w:t>вал, связанный тягами с пером водоход</w:t>
      </w:r>
      <w:r w:rsidRPr="00E14102">
        <w:rPr>
          <w:color w:val="000000" w:themeColor="text1"/>
          <w:sz w:val="16"/>
          <w:szCs w:val="16"/>
        </w:rPr>
        <w:softHyphen/>
        <w:t>ного руля.</w:t>
      </w:r>
    </w:p>
    <w:p w14:paraId="13B5B5FD"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Общее время на сборку приспособле</w:t>
      </w:r>
      <w:r w:rsidRPr="00E14102">
        <w:rPr>
          <w:color w:val="000000" w:themeColor="text1"/>
          <w:sz w:val="16"/>
          <w:szCs w:val="16"/>
        </w:rPr>
        <w:softHyphen/>
        <w:t>ния (с учетом разгрузки с автомобиля) груп</w:t>
      </w:r>
      <w:r w:rsidRPr="00E14102">
        <w:rPr>
          <w:color w:val="000000" w:themeColor="text1"/>
          <w:sz w:val="16"/>
          <w:szCs w:val="16"/>
        </w:rPr>
        <w:softHyphen/>
        <w:t>пой из шести-восьми человек составляло 20 мин, а время разборки - 5 мин при ра</w:t>
      </w:r>
      <w:r w:rsidRPr="00E14102">
        <w:rPr>
          <w:color w:val="000000" w:themeColor="text1"/>
          <w:sz w:val="16"/>
          <w:szCs w:val="16"/>
        </w:rPr>
        <w:softHyphen/>
        <w:t>боте той же команды. Скорость движения на воде на 3-й передаче при установлен</w:t>
      </w:r>
      <w:r w:rsidRPr="00E14102">
        <w:rPr>
          <w:color w:val="000000" w:themeColor="text1"/>
          <w:sz w:val="16"/>
          <w:szCs w:val="16"/>
        </w:rPr>
        <w:softHyphen/>
        <w:t>ных двойных траках составляла 2,5 км/ч, при установке траков с лопатками - 6 км/ч. Во время испытаний на НИИИТ по</w:t>
      </w:r>
      <w:r w:rsidRPr="00E14102">
        <w:rPr>
          <w:color w:val="000000" w:themeColor="text1"/>
          <w:sz w:val="16"/>
          <w:szCs w:val="16"/>
        </w:rPr>
        <w:softHyphen/>
        <w:t>лигоне данное приспособление также при</w:t>
      </w:r>
      <w:r w:rsidRPr="00E14102">
        <w:rPr>
          <w:color w:val="000000" w:themeColor="text1"/>
          <w:sz w:val="16"/>
          <w:szCs w:val="16"/>
        </w:rPr>
        <w:softHyphen/>
        <w:t>знали неудачным.</w:t>
      </w:r>
    </w:p>
    <w:p w14:paraId="3D13570B"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октябре 1935 г. помимо приспособления для плава с использованием лодок А-3, А.Ф. Кравцев предложил третий вари</w:t>
      </w:r>
      <w:r w:rsidRPr="00E14102">
        <w:rPr>
          <w:color w:val="000000" w:themeColor="text1"/>
          <w:sz w:val="16"/>
          <w:szCs w:val="16"/>
        </w:rPr>
        <w:softHyphen/>
        <w:t xml:space="preserve">ант приспособления. В его конструкции </w:t>
      </w:r>
      <w:r w:rsidRPr="00E14102">
        <w:rPr>
          <w:color w:val="000000" w:themeColor="text1"/>
          <w:sz w:val="16"/>
          <w:szCs w:val="16"/>
        </w:rPr>
        <w:lastRenderedPageBreak/>
        <w:t>использовались два металлических сига</w:t>
      </w:r>
      <w:r w:rsidRPr="00E14102">
        <w:rPr>
          <w:color w:val="000000" w:themeColor="text1"/>
          <w:sz w:val="16"/>
          <w:szCs w:val="16"/>
        </w:rPr>
        <w:softHyphen/>
        <w:t>рообразных поплавка. Опытный образец приспособления собрали в мастерских НИИИТ полигона в 1936 г., установили на танке БТ-5 и провели его полигонные испытания. Это приспособление имело те же недостатки, что и два предыдущих</w:t>
      </w:r>
    </w:p>
    <w:p w14:paraId="29FF1A50"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Четвертое приспособление — танконосец конструкции А.Ф. Кравцева для пере</w:t>
      </w:r>
      <w:r w:rsidRPr="00E14102">
        <w:rPr>
          <w:color w:val="000000" w:themeColor="text1"/>
          <w:sz w:val="16"/>
          <w:szCs w:val="16"/>
        </w:rPr>
        <w:softHyphen/>
        <w:t>правы танков типа БТ — было изготовлено в 1937 г. в Экспериментальных мастерс</w:t>
      </w:r>
      <w:r w:rsidRPr="00E14102">
        <w:rPr>
          <w:color w:val="000000" w:themeColor="text1"/>
          <w:sz w:val="16"/>
          <w:szCs w:val="16"/>
        </w:rPr>
        <w:softHyphen/>
        <w:t>ких Примгруппы ОКДВА. Танконосец состоял из специального водоизмещающего корпуса с закрытой па</w:t>
      </w:r>
      <w:r w:rsidRPr="00E14102">
        <w:rPr>
          <w:color w:val="000000" w:themeColor="text1"/>
          <w:sz w:val="16"/>
          <w:szCs w:val="16"/>
        </w:rPr>
        <w:softHyphen/>
        <w:t>лубой. На палубе по бортам размещались о два ферменных кронштейна для креп</w:t>
      </w:r>
      <w:r w:rsidRPr="00E14102">
        <w:rPr>
          <w:color w:val="000000" w:themeColor="text1"/>
          <w:sz w:val="16"/>
          <w:szCs w:val="16"/>
        </w:rPr>
        <w:softHyphen/>
        <w:t>ления боковых поддерживающих лодок. В центральной части специального водо</w:t>
      </w:r>
      <w:r w:rsidRPr="00E14102">
        <w:rPr>
          <w:color w:val="000000" w:themeColor="text1"/>
          <w:sz w:val="16"/>
          <w:szCs w:val="16"/>
        </w:rPr>
        <w:softHyphen/>
        <w:t>измещающего корпуса имелись две про</w:t>
      </w:r>
      <w:r w:rsidRPr="00E14102">
        <w:rPr>
          <w:color w:val="000000" w:themeColor="text1"/>
          <w:sz w:val="16"/>
          <w:szCs w:val="16"/>
        </w:rPr>
        <w:softHyphen/>
        <w:t>дольные колейные выемки для заезда тан</w:t>
      </w:r>
      <w:r w:rsidRPr="00E14102">
        <w:rPr>
          <w:color w:val="000000" w:themeColor="text1"/>
          <w:sz w:val="16"/>
          <w:szCs w:val="16"/>
        </w:rPr>
        <w:softHyphen/>
        <w:t>ков БТ-5 (задним ходом). Спереди выемки закрывались носовым обтекателем — ап</w:t>
      </w:r>
      <w:r w:rsidRPr="00E14102">
        <w:rPr>
          <w:color w:val="000000" w:themeColor="text1"/>
          <w:sz w:val="16"/>
          <w:szCs w:val="16"/>
        </w:rPr>
        <w:softHyphen/>
        <w:t>парелью. У правой (по ходу движения) вы</w:t>
      </w:r>
      <w:r w:rsidRPr="00E14102">
        <w:rPr>
          <w:color w:val="000000" w:themeColor="text1"/>
          <w:sz w:val="16"/>
          <w:szCs w:val="16"/>
        </w:rPr>
        <w:softHyphen/>
        <w:t>емки, напротив окончания ее задней час</w:t>
      </w:r>
      <w:r w:rsidRPr="00E14102">
        <w:rPr>
          <w:color w:val="000000" w:themeColor="text1"/>
          <w:sz w:val="16"/>
          <w:szCs w:val="16"/>
        </w:rPr>
        <w:softHyphen/>
        <w:t>ти, имелось зубчатое колесо со стыковым устройством, обеспечивающим передачу крутящего момента с заднего приводного колеса танка через зубчатую передачу к по</w:t>
      </w:r>
      <w:r w:rsidRPr="00E14102">
        <w:rPr>
          <w:color w:val="000000" w:themeColor="text1"/>
          <w:sz w:val="16"/>
          <w:szCs w:val="16"/>
        </w:rPr>
        <w:softHyphen/>
        <w:t>перечному валу и угловой редуктор на вал гребного винта, находящийся в полутонне</w:t>
      </w:r>
      <w:r w:rsidRPr="00E14102">
        <w:rPr>
          <w:color w:val="000000" w:themeColor="text1"/>
          <w:sz w:val="16"/>
          <w:szCs w:val="16"/>
        </w:rPr>
        <w:softHyphen/>
        <w:t>ле кормовой части водоизмещающего кор</w:t>
      </w:r>
      <w:r w:rsidRPr="00E14102">
        <w:rPr>
          <w:color w:val="000000" w:themeColor="text1"/>
          <w:sz w:val="16"/>
          <w:szCs w:val="16"/>
        </w:rPr>
        <w:softHyphen/>
        <w:t>пуса. Танконосец с танком БТ-5 развивал скорость движения на воде до 12 км/ч. Изделие проходило испытания непосред</w:t>
      </w:r>
      <w:r w:rsidRPr="00E14102">
        <w:rPr>
          <w:color w:val="000000" w:themeColor="text1"/>
          <w:sz w:val="16"/>
          <w:szCs w:val="16"/>
        </w:rPr>
        <w:softHyphen/>
        <w:t>ственно на побережье Японского моря, во Владивостокском и Биробиджанском ук</w:t>
      </w:r>
      <w:r w:rsidRPr="00E14102">
        <w:rPr>
          <w:color w:val="000000" w:themeColor="text1"/>
          <w:sz w:val="16"/>
          <w:szCs w:val="16"/>
        </w:rPr>
        <w:softHyphen/>
        <w:t>репленных районах. Результаты оказались удовлетворительными, средство могло уве</w:t>
      </w:r>
      <w:r w:rsidRPr="00E14102">
        <w:rPr>
          <w:color w:val="000000" w:themeColor="text1"/>
          <w:sz w:val="16"/>
          <w:szCs w:val="16"/>
        </w:rPr>
        <w:softHyphen/>
        <w:t>ренно преодолевать протяженные водные преграды (12061).</w:t>
      </w:r>
    </w:p>
    <w:p w14:paraId="3AA13652" w14:textId="77777777" w:rsidR="00D4105E" w:rsidRPr="00E14102" w:rsidRDefault="00D4105E" w:rsidP="00E14102">
      <w:pPr>
        <w:autoSpaceDE w:val="0"/>
        <w:autoSpaceDN w:val="0"/>
        <w:adjustRightInd w:val="0"/>
        <w:jc w:val="both"/>
        <w:rPr>
          <w:color w:val="000000" w:themeColor="text1"/>
          <w:sz w:val="16"/>
          <w:szCs w:val="16"/>
        </w:rPr>
      </w:pPr>
    </w:p>
    <w:p w14:paraId="55ADB7A9" w14:textId="77777777" w:rsidR="001F6389" w:rsidRPr="00E14102" w:rsidRDefault="001F6389" w:rsidP="00E14102">
      <w:pPr>
        <w:pStyle w:val="ad"/>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сентябре 1935 года поменялся индекс. Некоторое время машину всё ещё именовали Т-46, но всё чаще использовался индекс Т-46-1. Изменился и состав вооружения (19689).</w:t>
      </w:r>
    </w:p>
    <w:p w14:paraId="046BC05D" w14:textId="77777777" w:rsidR="001F6389" w:rsidRPr="00E14102" w:rsidRDefault="001F6389" w:rsidP="00E14102">
      <w:pPr>
        <w:pStyle w:val="ad"/>
        <w:spacing w:before="0" w:after="0"/>
        <w:textAlignment w:val="baseline"/>
        <w:rPr>
          <w:rFonts w:ascii="Times New Roman" w:hAnsi="Times New Roman" w:cs="Times New Roman"/>
          <w:color w:val="000000" w:themeColor="text1"/>
          <w:sz w:val="16"/>
          <w:szCs w:val="16"/>
          <w:lang w:val="ru-RU"/>
        </w:rPr>
      </w:pPr>
    </w:p>
    <w:p w14:paraId="34BF6D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года была подготовлена докладная записка начальника УММ РККА Н.А.Халепского, согласно которой:</w:t>
      </w:r>
    </w:p>
    <w:p w14:paraId="2EE520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«Заводом опытного машиностроения им.Кирова (завод № 185) в течение последних трех лет по заказу АБТУ разработаны четыре образца транспортеров на базе Т-26. </w:t>
      </w:r>
    </w:p>
    <w:p w14:paraId="272746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настоящее время изготовлены и прошли заводские и полигонные испытания следующие образцы: </w:t>
      </w:r>
    </w:p>
    <w:p w14:paraId="28B7B0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Транспортер для пехоты на 10 чел. ТР-4; </w:t>
      </w:r>
    </w:p>
    <w:p w14:paraId="29FAEC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 Tранспортер для подвоза артснарядов к танкам ТР-4-1; </w:t>
      </w:r>
    </w:p>
    <w:p w14:paraId="1A4CE7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3. Tанк — цистерна ТЦ-26. </w:t>
      </w:r>
    </w:p>
    <w:p w14:paraId="1366FF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Кроме того, разработан проект ремонтного танка ТР-4-2. </w:t>
      </w:r>
    </w:p>
    <w:p w14:paraId="71673D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Все машины имеют вес, превышающий вес Т-26. </w:t>
      </w:r>
    </w:p>
    <w:p w14:paraId="209E4B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конструктивном отношении: </w:t>
      </w:r>
    </w:p>
    <w:p w14:paraId="73B233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Все машины в связи с установкой корпуса большего объема имеют изме ненное расположение масляных радиаторов, что привело к ухудшению охлаждения. </w:t>
      </w:r>
    </w:p>
    <w:p w14:paraId="166BA0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 Увеличившаяся опорная база по сравнению с Т-26 также отрицательно влияет на работу агрегатов машины ТР. </w:t>
      </w:r>
    </w:p>
    <w:p w14:paraId="39ECFE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 данным испытаний машин ТР и ТР-4-1 двигатели их все время перегревались и несмотря на принятые меры охлаждение их не доведено до нормального. Последнее подтверждается еще тем, что в 1934 году машины ТР-4 во время учений в Татищево не могли быть полностью использованы вследствие высокого температурного режима. </w:t>
      </w:r>
    </w:p>
    <w:p w14:paraId="53FC61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3. По внешнему виду машины типа ТР имеют прямоугольную рубку с вертикальной броней и представляют большую мишень. </w:t>
      </w:r>
    </w:p>
    <w:p w14:paraId="142313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4. По пулестойкости ТР слабее Т-26 (10 мм). </w:t>
      </w:r>
    </w:p>
    <w:p w14:paraId="20AA13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ТР-4-1 помимо общих недостатков имеет малое количество подвозимых снарядов (3 комплекта 45 мм или 2—76 мм). </w:t>
      </w:r>
    </w:p>
    <w:p w14:paraId="37CC2A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Кроме того, все машины типа ТР обладают, по сравнению с линейными, пониженной проходимостью и по прочности деталей работают в более напряженных условиях. </w:t>
      </w:r>
    </w:p>
    <w:p w14:paraId="2E7C71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Разработанный проект ТР-4-2 (ремонтный танк) полностью переносит на себя указанные недостатки. Докладывая вышеупомянутое прошу не нечинать перенесенное на 1936 год строительство опытного образца ТР-4-3, а изготовленные и испытанные образцы машин ТР поставить на консервацию. </w:t>
      </w:r>
    </w:p>
    <w:p w14:paraId="770C96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Полагаю, что дальнейшая работа по проектированию новых специальных машин на базе Т-26 с весом, превышающим его вес, является нецелесообразным». К подобному заключению начальника ГАБТУ добавить что-либо трудно. Можно лишь сказать, что после 1935 года никакого нового проектирования бронетранспортеров на базе танка Т-26 не проводилось (11296).</w:t>
      </w:r>
    </w:p>
    <w:p w14:paraId="38FFC0C1" w14:textId="77777777" w:rsidR="00D4105E" w:rsidRPr="00E14102" w:rsidRDefault="00D4105E" w:rsidP="00E14102">
      <w:pPr>
        <w:autoSpaceDE w:val="0"/>
        <w:autoSpaceDN w:val="0"/>
        <w:adjustRightInd w:val="0"/>
        <w:jc w:val="both"/>
        <w:rPr>
          <w:color w:val="000000" w:themeColor="text1"/>
          <w:sz w:val="16"/>
          <w:szCs w:val="16"/>
        </w:rPr>
      </w:pPr>
    </w:p>
    <w:p w14:paraId="46927B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сентябре 1935 года «бронеавтомобиль ГАЗ-ТК» или сокра</w:t>
      </w:r>
      <w:r w:rsidRPr="00E14102">
        <w:rPr>
          <w:color w:val="000000" w:themeColor="text1"/>
          <w:sz w:val="16"/>
          <w:szCs w:val="16"/>
        </w:rPr>
        <w:softHyphen/>
        <w:t>щенно БА ГАЗ-ТК прошел за</w:t>
      </w:r>
      <w:r w:rsidRPr="00E14102">
        <w:rPr>
          <w:color w:val="000000" w:themeColor="text1"/>
          <w:sz w:val="16"/>
          <w:szCs w:val="16"/>
        </w:rPr>
        <w:softHyphen/>
        <w:t>водские испытания в окрестностях Москвы (пробег со</w:t>
      </w:r>
      <w:r w:rsidRPr="00E14102">
        <w:rPr>
          <w:color w:val="000000" w:themeColor="text1"/>
          <w:sz w:val="16"/>
          <w:szCs w:val="16"/>
        </w:rPr>
        <w:softHyphen/>
        <w:t>ставил 1565 км), которые проходили с июня 1935 и после небольшого ремонта и устране</w:t>
      </w:r>
      <w:r w:rsidRPr="00E14102">
        <w:rPr>
          <w:color w:val="000000" w:themeColor="text1"/>
          <w:sz w:val="16"/>
          <w:szCs w:val="16"/>
        </w:rPr>
        <w:softHyphen/>
        <w:t>ния выявленных недостатков 16 октября поступила на НИБТ полигон. В ходе испытаний бронеавтомобиль про</w:t>
      </w:r>
      <w:r w:rsidRPr="00E14102">
        <w:rPr>
          <w:color w:val="000000" w:themeColor="text1"/>
          <w:sz w:val="16"/>
          <w:szCs w:val="16"/>
        </w:rPr>
        <w:softHyphen/>
        <w:t>шел 571 км, из них «по щебенчатому шоссе среднего каче</w:t>
      </w:r>
      <w:r w:rsidRPr="00E14102">
        <w:rPr>
          <w:color w:val="000000" w:themeColor="text1"/>
          <w:sz w:val="16"/>
          <w:szCs w:val="16"/>
        </w:rPr>
        <w:softHyphen/>
        <w:t>ства 394 км, по проселку среднего качества с цепями 177 км». Машина уверенно преодолевала подъемы и скаты до 25 градусов, а также канавы шириной до 4 м и глубиной до метра. Максимальная скорость броневика ГАЗ-ТК составила 63,2 км/ч, средняя техническая по щебенчато</w:t>
      </w:r>
      <w:r w:rsidRPr="00E14102">
        <w:rPr>
          <w:color w:val="000000" w:themeColor="text1"/>
          <w:sz w:val="16"/>
          <w:szCs w:val="16"/>
        </w:rPr>
        <w:softHyphen/>
        <w:t>му шоссе 32 км/ч, запас хода по шоссе 230 км, по просел</w:t>
      </w:r>
      <w:r w:rsidRPr="00E14102">
        <w:rPr>
          <w:color w:val="000000" w:themeColor="text1"/>
          <w:sz w:val="16"/>
          <w:szCs w:val="16"/>
        </w:rPr>
        <w:softHyphen/>
        <w:t>ку 190 км.</w:t>
      </w:r>
    </w:p>
    <w:p w14:paraId="7CA2C4E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своем заключении по бронеавтомобилю представите</w:t>
      </w:r>
      <w:r w:rsidRPr="00E14102">
        <w:rPr>
          <w:color w:val="000000" w:themeColor="text1"/>
          <w:sz w:val="16"/>
          <w:szCs w:val="16"/>
        </w:rPr>
        <w:softHyphen/>
        <w:t>ли полигона писали следующее:</w:t>
      </w:r>
    </w:p>
    <w:p w14:paraId="0B689C5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окончании проведения войсковых испытаний на НИБТ полигоне АБТУ РККА бронемашины ГАЗ-ТК мож</w:t>
      </w:r>
      <w:r w:rsidRPr="00E14102">
        <w:rPr>
          <w:color w:val="000000" w:themeColor="text1"/>
          <w:sz w:val="16"/>
          <w:szCs w:val="16"/>
        </w:rPr>
        <w:softHyphen/>
        <w:t>но сделать следующие выводы:</w:t>
      </w:r>
    </w:p>
    <w:p w14:paraId="4741DD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Шасси ТК не может быть изготовлено из типовых Деталей ГАЗ-А и ГАЗ-АА.</w:t>
      </w:r>
    </w:p>
    <w:p w14:paraId="44E94C9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Комплект бронекорпуса ФАИ не может быть ис</w:t>
      </w:r>
      <w:r w:rsidRPr="00E14102">
        <w:rPr>
          <w:color w:val="000000" w:themeColor="text1"/>
          <w:sz w:val="16"/>
          <w:szCs w:val="16"/>
        </w:rPr>
        <w:softHyphen/>
        <w:t>пользован для изготоштения бронекорпуса ГАЗ-ТК.</w:t>
      </w:r>
    </w:p>
    <w:p w14:paraId="452C068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По вооружению — принимая во внимание, что бро</w:t>
      </w:r>
      <w:r w:rsidRPr="00E14102">
        <w:rPr>
          <w:color w:val="000000" w:themeColor="text1"/>
          <w:sz w:val="16"/>
          <w:szCs w:val="16"/>
        </w:rPr>
        <w:softHyphen/>
        <w:t>неавтомобиль ГАЗ-ТК является машиной повышенной проходимости и может быть использована в различной бо</w:t>
      </w:r>
      <w:r w:rsidRPr="00E14102">
        <w:rPr>
          <w:color w:val="000000" w:themeColor="text1"/>
          <w:sz w:val="16"/>
          <w:szCs w:val="16"/>
        </w:rPr>
        <w:softHyphen/>
        <w:t>евой обстановке считать, что вооружение ее не достаточно. Кроме того, вооружение поставленное в настоящее время страдает целым рядом недостатков...</w:t>
      </w:r>
    </w:p>
    <w:p w14:paraId="4502984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По проселку и пересеченной местности бронема</w:t>
      </w:r>
      <w:r w:rsidRPr="00E14102">
        <w:rPr>
          <w:color w:val="000000" w:themeColor="text1"/>
          <w:sz w:val="16"/>
          <w:szCs w:val="16"/>
        </w:rPr>
        <w:softHyphen/>
        <w:t>шина ГАЗ-ТК с цепями противоскольжения имеет хоро</w:t>
      </w:r>
      <w:r w:rsidRPr="00E14102">
        <w:rPr>
          <w:color w:val="000000" w:themeColor="text1"/>
          <w:sz w:val="16"/>
          <w:szCs w:val="16"/>
        </w:rPr>
        <w:softHyphen/>
        <w:t>шую проходимость. Но по сравнению с автомобилями по</w:t>
      </w:r>
      <w:r w:rsidRPr="00E14102">
        <w:rPr>
          <w:color w:val="000000" w:themeColor="text1"/>
          <w:sz w:val="16"/>
          <w:szCs w:val="16"/>
        </w:rPr>
        <w:softHyphen/>
        <w:t>вышенной проходимости, например ГАЗ-ААА и ЗИС-6, ГАЗ-ТК обладает худшей проходимостью и приспособляе</w:t>
      </w:r>
      <w:r w:rsidRPr="00E14102">
        <w:rPr>
          <w:color w:val="000000" w:themeColor="text1"/>
          <w:sz w:val="16"/>
          <w:szCs w:val="16"/>
        </w:rPr>
        <w:softHyphen/>
        <w:t>мостью.</w:t>
      </w:r>
    </w:p>
    <w:p w14:paraId="0F98704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По сравнению с ФАИ ГАЗ-ТК обладает: а. Хорошей проходимостью при движении на участках грязного проселка и подъемах;</w:t>
      </w:r>
    </w:p>
    <w:p w14:paraId="661711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Большим радиусом поворота (6,5 м против 5,5 м у ФАИ);</w:t>
      </w:r>
    </w:p>
    <w:p w14:paraId="1DFEBC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Меньшей максимальной скоростью (63,5 км/ч, ФАИ 85 км/ч);</w:t>
      </w:r>
    </w:p>
    <w:p w14:paraId="508B3C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Запас хода ГАЗ ТК - 230 км, у ФАИ - 200 км;</w:t>
      </w:r>
    </w:p>
    <w:p w14:paraId="0889BE4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 ГАЗ-ТК преодолевает препятствия, непреодолимые для ФАИ (канавы);</w:t>
      </w:r>
    </w:p>
    <w:p w14:paraId="275510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 Брод и крен одинаковы;</w:t>
      </w:r>
    </w:p>
    <w:p w14:paraId="056B560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ж. Броневой корпус ГАЗ-ТК свободнее, что дает воз</w:t>
      </w:r>
      <w:r w:rsidRPr="00E14102">
        <w:rPr>
          <w:color w:val="000000" w:themeColor="text1"/>
          <w:sz w:val="16"/>
          <w:szCs w:val="16"/>
        </w:rPr>
        <w:softHyphen/>
        <w:t>можность удобного размещения радиостанции.</w:t>
      </w:r>
    </w:p>
    <w:p w14:paraId="01D092E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Но бронеавтомобиль ГАЗ-ТК имеет ряд существен</w:t>
      </w:r>
      <w:r w:rsidRPr="00E14102">
        <w:rPr>
          <w:color w:val="000000" w:themeColor="text1"/>
          <w:sz w:val="16"/>
          <w:szCs w:val="16"/>
        </w:rPr>
        <w:softHyphen/>
        <w:t>ных недостатков:</w:t>
      </w:r>
    </w:p>
    <w:p w14:paraId="39A076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Автомобиль перегружен, в особенности его передняя ось, а при прохождении препятствий при вывешивании од</w:t>
      </w:r>
      <w:r w:rsidRPr="00E14102">
        <w:rPr>
          <w:color w:val="000000" w:themeColor="text1"/>
          <w:sz w:val="16"/>
          <w:szCs w:val="16"/>
        </w:rPr>
        <w:softHyphen/>
        <w:t>ного из мостов перегружается другой;</w:t>
      </w:r>
    </w:p>
    <w:p w14:paraId="5BEF94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Отсутствие приспособляемости подвески ведущих мостов при движении по проселку и пересеченной местно</w:t>
      </w:r>
      <w:r w:rsidRPr="00E14102">
        <w:rPr>
          <w:color w:val="000000" w:themeColor="text1"/>
          <w:sz w:val="16"/>
          <w:szCs w:val="16"/>
        </w:rPr>
        <w:softHyphen/>
        <w:t>сти — угол взаимного перекоса не более 7 градусов, тогда как к автомобилям предъявляется требование по углу пере</w:t>
      </w:r>
      <w:r w:rsidRPr="00E14102">
        <w:rPr>
          <w:color w:val="000000" w:themeColor="text1"/>
          <w:sz w:val="16"/>
          <w:szCs w:val="16"/>
        </w:rPr>
        <w:softHyphen/>
        <w:t>коса не меньше 24 градусов.</w:t>
      </w:r>
    </w:p>
    <w:p w14:paraId="1122B3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тому же неправильно технически выполнена кинемати</w:t>
      </w:r>
      <w:r w:rsidRPr="00E14102">
        <w:rPr>
          <w:color w:val="000000" w:themeColor="text1"/>
          <w:sz w:val="16"/>
          <w:szCs w:val="16"/>
        </w:rPr>
        <w:softHyphen/>
        <w:t>ческая схема главной силовой передачи к ведущим осям при данной конструкции подвески. Отсюда, как следствие, корон</w:t>
      </w:r>
      <w:r w:rsidRPr="00E14102">
        <w:rPr>
          <w:color w:val="000000" w:themeColor="text1"/>
          <w:sz w:val="16"/>
          <w:szCs w:val="16"/>
        </w:rPr>
        <w:softHyphen/>
        <w:t>ные шестерни, сателлиты, малые конические шестерни вто</w:t>
      </w:r>
      <w:r w:rsidRPr="00E14102">
        <w:rPr>
          <w:color w:val="000000" w:themeColor="text1"/>
          <w:sz w:val="16"/>
          <w:szCs w:val="16"/>
        </w:rPr>
        <w:softHyphen/>
        <w:t>рого карданного вала и полуоси воспринимают периодически неровные динамические нагрузки, и как следствие — сильный износ и поломки даже при небольшом пробеге (600 км).</w:t>
      </w:r>
    </w:p>
    <w:p w14:paraId="7B50CE4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основании результатов испытаний считаем, что бро</w:t>
      </w:r>
      <w:r w:rsidRPr="00E14102">
        <w:rPr>
          <w:color w:val="000000" w:themeColor="text1"/>
          <w:sz w:val="16"/>
          <w:szCs w:val="16"/>
        </w:rPr>
        <w:softHyphen/>
        <w:t>неавтомобиль ГАЗ-ТК к автомобилям повышенной прохо</w:t>
      </w:r>
      <w:r w:rsidRPr="00E14102">
        <w:rPr>
          <w:color w:val="000000" w:themeColor="text1"/>
          <w:sz w:val="16"/>
          <w:szCs w:val="16"/>
        </w:rPr>
        <w:softHyphen/>
        <w:t>димости, отвечающим предъявляемым к данному типу ма</w:t>
      </w:r>
      <w:r w:rsidRPr="00E14102">
        <w:rPr>
          <w:color w:val="000000" w:themeColor="text1"/>
          <w:sz w:val="16"/>
          <w:szCs w:val="16"/>
        </w:rPr>
        <w:softHyphen/>
        <w:t>шин требованиям, отнесен быть не может. Также не соот</w:t>
      </w:r>
      <w:r w:rsidRPr="00E14102">
        <w:rPr>
          <w:color w:val="000000" w:themeColor="text1"/>
          <w:sz w:val="16"/>
          <w:szCs w:val="16"/>
        </w:rPr>
        <w:softHyphen/>
        <w:t>ветствует стрелково-тактическим требованиям по огневой мощи и углам обстрела. Для применения в РККА в качест</w:t>
      </w:r>
      <w:r w:rsidRPr="00E14102">
        <w:rPr>
          <w:color w:val="000000" w:themeColor="text1"/>
          <w:sz w:val="16"/>
          <w:szCs w:val="16"/>
        </w:rPr>
        <w:softHyphen/>
        <w:t>ве боевой машины не пригоден».</w:t>
      </w:r>
    </w:p>
    <w:p w14:paraId="660617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столь нелестного мнения о бронеавтомобиле ГАЗ-ТК все дальнейшие работы по этой машине были пре</w:t>
      </w:r>
      <w:r w:rsidRPr="00E14102">
        <w:rPr>
          <w:color w:val="000000" w:themeColor="text1"/>
          <w:sz w:val="16"/>
          <w:szCs w:val="16"/>
        </w:rPr>
        <w:softHyphen/>
        <w:t>кращены (11284).</w:t>
      </w:r>
    </w:p>
    <w:p w14:paraId="12B387E4" w14:textId="77777777" w:rsidR="00D4105E" w:rsidRPr="00E14102" w:rsidRDefault="00D4105E" w:rsidP="00E14102">
      <w:pPr>
        <w:autoSpaceDE w:val="0"/>
        <w:autoSpaceDN w:val="0"/>
        <w:adjustRightInd w:val="0"/>
        <w:jc w:val="both"/>
        <w:rPr>
          <w:color w:val="000000" w:themeColor="text1"/>
          <w:sz w:val="16"/>
          <w:szCs w:val="16"/>
        </w:rPr>
      </w:pPr>
    </w:p>
    <w:p w14:paraId="0C7103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года Вохимтрест приступил к строительству завода № 113 (8831).</w:t>
      </w:r>
    </w:p>
    <w:p w14:paraId="66989A21" w14:textId="77777777" w:rsidR="00D4105E" w:rsidRPr="00E14102" w:rsidRDefault="00D4105E" w:rsidP="00E14102">
      <w:pPr>
        <w:autoSpaceDE w:val="0"/>
        <w:autoSpaceDN w:val="0"/>
        <w:adjustRightInd w:val="0"/>
        <w:jc w:val="both"/>
        <w:rPr>
          <w:color w:val="000000" w:themeColor="text1"/>
          <w:sz w:val="16"/>
          <w:szCs w:val="16"/>
        </w:rPr>
      </w:pPr>
    </w:p>
    <w:p w14:paraId="075DD9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 с итпльянской фирмой "Одеро-Терни-Орландо" (ОТО) был заключен договор о проектировании и постройке лидера и об ока</w:t>
      </w:r>
      <w:r w:rsidRPr="00E14102">
        <w:rPr>
          <w:color w:val="000000" w:themeColor="text1"/>
          <w:sz w:val="16"/>
          <w:szCs w:val="16"/>
        </w:rPr>
        <w:softHyphen/>
        <w:t>зании технической помощи при строительстве такого же корабля в СССР. Эскизный проект, впоследствии получивший номер 20, был разработан инженерами ОТО к февралю 1936 г. под наблюдением комиссии, которую возглавляли А. С. Кассациер (от Главморпро-ма) и М. И. Бомзе (от УВМС). Он предусматривал установку совет</w:t>
      </w:r>
      <w:r w:rsidRPr="00E14102">
        <w:rPr>
          <w:color w:val="000000" w:themeColor="text1"/>
          <w:sz w:val="16"/>
          <w:szCs w:val="16"/>
        </w:rPr>
        <w:softHyphen/>
        <w:t>ского вооружения, в том числе 130-мм спаренных башенных уста</w:t>
      </w:r>
      <w:r w:rsidRPr="00E14102">
        <w:rPr>
          <w:color w:val="000000" w:themeColor="text1"/>
          <w:sz w:val="16"/>
          <w:szCs w:val="16"/>
        </w:rPr>
        <w:softHyphen/>
        <w:t>новок новой конструкции, под которые итальянцы спроектировали соответствующие подкрепления (3898).</w:t>
      </w:r>
    </w:p>
    <w:p w14:paraId="3661707C" w14:textId="77777777" w:rsidR="00D4105E" w:rsidRPr="00E14102" w:rsidRDefault="00D4105E" w:rsidP="00E14102">
      <w:pPr>
        <w:autoSpaceDE w:val="0"/>
        <w:autoSpaceDN w:val="0"/>
        <w:adjustRightInd w:val="0"/>
        <w:jc w:val="both"/>
        <w:rPr>
          <w:color w:val="000000" w:themeColor="text1"/>
          <w:sz w:val="16"/>
          <w:szCs w:val="16"/>
        </w:rPr>
      </w:pPr>
    </w:p>
    <w:p w14:paraId="532516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сентябре 1935—октябре 1936 года лидер “Ленинград” проходил заводские ходовые испытания. В октябре 1936 года его предъ­явили Постоянной государственной комис­сии по приему построенных и капитально от­ремонтированных кораблей под председа­тельством флагмана 1 ранга А.К.Векмана. На заводских ходовых испытаниях 25 авгу­ста 1 936 года при водоизмещении 241 1 т и мощности ГЭУ 61 500 л.с. корабль легко развил скорость хода, превысившую про­ектную, а при спецификационной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w:t>
      </w:r>
      <w:r w:rsidRPr="00E14102">
        <w:rPr>
          <w:color w:val="000000" w:themeColor="text1"/>
          <w:sz w:val="16"/>
          <w:szCs w:val="16"/>
        </w:rPr>
        <w:lastRenderedPageBreak/>
        <w:t>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Гогланд—Родшер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спецификационную. При дальнейшем форсировании котлов мощность ГЭУ могла увеличиться еще на 4—5 тыс. л.с. В период испытаний командиром лиде­ра был капитан 2 ранга Ф.Т.Тарасов. Минером на лидере в то время служил Н.И.Иль­ин,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1 936 году сварная конструкция редуктора разрушилась, ее заменили литой, большей массы. И все же, несмотря на недоработки, на ходовых 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машинисты-турбинисты и котельные машинисты стороже­виков впоследствии быстро освоили новые турбины и котлы на кораблях проекта 1.</w:t>
      </w:r>
    </w:p>
    <w:p w14:paraId="50D9EA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530FA6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Э.Э.Пампель,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1A71C7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19F0CA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Председатель государственной прием­ной комиссии флагман 1 ранга А.К.Векман в заключительном протоколе и докладе при представлении приемного акта на утверж­дение начальнику МС РККА флагману фло­та 1 ранга В.М.Орлову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458EB8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0F51AA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шпангоутных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4B186E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035C4A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0690EF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014C2541" w14:textId="77777777" w:rsidR="00D4105E" w:rsidRPr="00E14102" w:rsidRDefault="00D4105E" w:rsidP="00E14102">
      <w:pPr>
        <w:autoSpaceDE w:val="0"/>
        <w:autoSpaceDN w:val="0"/>
        <w:adjustRightInd w:val="0"/>
        <w:jc w:val="both"/>
        <w:rPr>
          <w:color w:val="000000" w:themeColor="text1"/>
          <w:sz w:val="16"/>
          <w:szCs w:val="16"/>
        </w:rPr>
      </w:pPr>
    </w:p>
    <w:p w14:paraId="613DCE4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1B20802C" w14:textId="77777777" w:rsidR="00D4105E" w:rsidRPr="00E14102" w:rsidRDefault="00D4105E" w:rsidP="00E14102">
      <w:pPr>
        <w:autoSpaceDE w:val="0"/>
        <w:autoSpaceDN w:val="0"/>
        <w:adjustRightInd w:val="0"/>
        <w:jc w:val="both"/>
        <w:rPr>
          <w:iCs/>
          <w:color w:val="000000" w:themeColor="text1"/>
          <w:sz w:val="16"/>
          <w:szCs w:val="16"/>
        </w:rPr>
      </w:pPr>
    </w:p>
    <w:p w14:paraId="48E1E4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сентябре 1935 г. Штаб РККА по решению СНК был преобразован в Генеральный штаб РККА (10711,666).</w:t>
      </w:r>
    </w:p>
    <w:p w14:paraId="1CFEB4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26854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 в Красной Армии появились воинские звания. Все летчики, по современным меркам, относились к офицерам. Летные школы выпускали их в звании "младший лейтенант". Дальше "лестница" примерно соответствовала современной, но отсутствовало звание подполковника, введенное только в 1939 г. За полковником шел комбриг, далее следовали комдив (хотя в ВВС тогда дивизий не было), комкор, командарм 2-го ранга и командарм 1-го ранга. Отрядом обычно командовал капитан, эскадрильей - майор, бригадой - комбриг.</w:t>
      </w:r>
    </w:p>
    <w:p w14:paraId="277818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Сержант именовался "помкомвзвода"; соответственно существовали младший помкомвзвода, просто помкомвзвода и старший помкомвзвода. К этой группе относились стрелки на больших самолетах. Технический состав делился на воентехников и военинженеров. Воентехник 3-го ранга соответствовал младшему лейтенанту, военинженер 1-го ранга - полковнику. Дальше шли бригадный инженер, дивизионный и так далее. Политработники носили те же звания, что и в Красной Армии.</w:t>
      </w:r>
    </w:p>
    <w:p w14:paraId="453E5B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перехода в 1938 г. к полковой структуре эскадрильей обычно командовал старший лейтенант или капитан, полком - майор.</w:t>
      </w:r>
    </w:p>
    <w:p w14:paraId="043F5B27" w14:textId="77777777" w:rsidR="00D4105E" w:rsidRPr="00E14102" w:rsidRDefault="00D4105E" w:rsidP="00E14102">
      <w:pPr>
        <w:autoSpaceDE w:val="0"/>
        <w:autoSpaceDN w:val="0"/>
        <w:adjustRightInd w:val="0"/>
        <w:jc w:val="both"/>
        <w:rPr>
          <w:color w:val="000000" w:themeColor="text1"/>
          <w:sz w:val="16"/>
          <w:szCs w:val="16"/>
        </w:rPr>
      </w:pPr>
    </w:p>
    <w:p w14:paraId="0D98A3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сентябре 1935 года на Киевских маневрах проводилось десантирование посадочным спосо</w:t>
      </w:r>
      <w:r w:rsidRPr="00E14102">
        <w:rPr>
          <w:color w:val="000000" w:themeColor="text1"/>
          <w:sz w:val="16"/>
          <w:szCs w:val="16"/>
        </w:rPr>
        <w:softHyphen/>
        <w:t>бом бронеавтомобиля Д-8, подвешенного под самолетом ТБ-3. В конце 1936 года был утвержден штат авиадесантной бригады ВВС Красной Армии, согласно которому в ее со</w:t>
      </w:r>
      <w:r w:rsidRPr="00E14102">
        <w:rPr>
          <w:color w:val="000000" w:themeColor="text1"/>
          <w:sz w:val="16"/>
          <w:szCs w:val="16"/>
        </w:rPr>
        <w:softHyphen/>
        <w:t>ставе имелся мотомеханизированный батальон — 189 чело</w:t>
      </w:r>
      <w:r w:rsidRPr="00E14102">
        <w:rPr>
          <w:color w:val="000000" w:themeColor="text1"/>
          <w:sz w:val="16"/>
          <w:szCs w:val="16"/>
        </w:rPr>
        <w:softHyphen/>
        <w:t>век, 6 45 мм пушек, 18 82 мм минометов, 24 танка Т-37А, 9 бронеавтомобилей Д-8, 32 автомашины и 6 мотоциклов. По поводу формирования одной из таких бригад начальник автобронетанковых войск Киевского военного округа ком</w:t>
      </w:r>
      <w:r w:rsidRPr="00E14102">
        <w:rPr>
          <w:color w:val="000000" w:themeColor="text1"/>
          <w:sz w:val="16"/>
          <w:szCs w:val="16"/>
        </w:rPr>
        <w:softHyphen/>
        <w:t>бриг Игнатов докладывал начальнику АБТУ РККА комди</w:t>
      </w:r>
      <w:r w:rsidRPr="00E14102">
        <w:rPr>
          <w:color w:val="000000" w:themeColor="text1"/>
          <w:sz w:val="16"/>
          <w:szCs w:val="16"/>
        </w:rPr>
        <w:softHyphen/>
        <w:t>ву Бокису 7 января 1937 года:</w:t>
      </w:r>
    </w:p>
    <w:p w14:paraId="33D02DD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основании директивы ГШ № 4\1\35935 13 авиа-де</w:t>
      </w:r>
      <w:r w:rsidRPr="00E14102">
        <w:rPr>
          <w:color w:val="000000" w:themeColor="text1"/>
          <w:sz w:val="16"/>
          <w:szCs w:val="16"/>
        </w:rPr>
        <w:softHyphen/>
        <w:t>сантная бригада с 1 января по 1 апреля 1937 года полностью развертывается до штата 15\690. По данному штату ей поло</w:t>
      </w:r>
      <w:r w:rsidRPr="00E14102">
        <w:rPr>
          <w:color w:val="000000" w:themeColor="text1"/>
          <w:sz w:val="16"/>
          <w:szCs w:val="16"/>
        </w:rPr>
        <w:softHyphen/>
        <w:t>жено 24 Т-37 и 9 Д-8. В настоящее время бригаде за счет ча</w:t>
      </w:r>
      <w:r w:rsidRPr="00E14102">
        <w:rPr>
          <w:color w:val="000000" w:themeColor="text1"/>
          <w:sz w:val="16"/>
          <w:szCs w:val="16"/>
        </w:rPr>
        <w:softHyphen/>
        <w:t>стей округа выделено для обучения личного состава 12 тан</w:t>
      </w:r>
      <w:r w:rsidRPr="00E14102">
        <w:rPr>
          <w:color w:val="000000" w:themeColor="text1"/>
          <w:sz w:val="16"/>
          <w:szCs w:val="16"/>
        </w:rPr>
        <w:softHyphen/>
        <w:t>ков Т-37 и 6 бронемашин Д-8» (11284).</w:t>
      </w:r>
    </w:p>
    <w:p w14:paraId="547B401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7566190" w14:textId="77777777" w:rsidR="00D4105E" w:rsidRPr="00E14102" w:rsidRDefault="004B7965" w:rsidP="00E14102">
      <w:pPr>
        <w:shd w:val="clear" w:color="auto" w:fill="FFFFFF"/>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7E9956C" w14:textId="77777777" w:rsidR="00D4105E" w:rsidRPr="00E14102" w:rsidRDefault="00D4105E" w:rsidP="00E14102">
      <w:pPr>
        <w:shd w:val="clear" w:color="auto" w:fill="FFFFFF"/>
        <w:autoSpaceDE w:val="0"/>
        <w:autoSpaceDN w:val="0"/>
        <w:adjustRightInd w:val="0"/>
        <w:jc w:val="both"/>
        <w:rPr>
          <w:iCs/>
          <w:color w:val="000000" w:themeColor="text1"/>
          <w:sz w:val="16"/>
          <w:szCs w:val="16"/>
        </w:rPr>
      </w:pPr>
    </w:p>
    <w:p w14:paraId="07162E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сентябре 1935-го вышло постановление, отменившее с 1 октября карточки на мясо, сахар, жиры, картофель. В 1936-м были отменены карточки на промышленные товары. Однако отмена карточной системы в предвоенные годы не была обеспечена необходимым количеством продовольствия и товаров, а также стабильностью их </w:t>
      </w:r>
      <w:r w:rsidRPr="00E14102">
        <w:rPr>
          <w:color w:val="000000" w:themeColor="text1"/>
          <w:sz w:val="16"/>
          <w:szCs w:val="16"/>
        </w:rPr>
        <w:lastRenderedPageBreak/>
        <w:t>производства. Это показали и вновь разразившиеся перед войной тяжелые продовольственные кризисы. Они привели к стихийным рецидивам нормирования продуктов питания на местах, которое вводилось местными властями (11566).</w:t>
      </w:r>
    </w:p>
    <w:p w14:paraId="78FCC533" w14:textId="77777777" w:rsidR="00D4105E" w:rsidRPr="00E14102" w:rsidRDefault="00D4105E" w:rsidP="00E14102">
      <w:pPr>
        <w:autoSpaceDE w:val="0"/>
        <w:autoSpaceDN w:val="0"/>
        <w:adjustRightInd w:val="0"/>
        <w:jc w:val="both"/>
        <w:rPr>
          <w:color w:val="000000" w:themeColor="text1"/>
          <w:sz w:val="16"/>
          <w:szCs w:val="16"/>
        </w:rPr>
      </w:pPr>
    </w:p>
    <w:p w14:paraId="1426309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821C1AE" w14:textId="77777777" w:rsidR="00D4105E" w:rsidRPr="00E14102" w:rsidRDefault="00D4105E" w:rsidP="00E14102">
      <w:pPr>
        <w:autoSpaceDE w:val="0"/>
        <w:autoSpaceDN w:val="0"/>
        <w:adjustRightInd w:val="0"/>
        <w:jc w:val="both"/>
        <w:rPr>
          <w:iCs/>
          <w:color w:val="000000" w:themeColor="text1"/>
          <w:sz w:val="16"/>
          <w:szCs w:val="16"/>
        </w:rPr>
      </w:pPr>
    </w:p>
    <w:p w14:paraId="621000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года во время испытаний погиб первый опытный Валти V-11. Его сменил модернизированный V-11C. Кроме более мощного мотора серии С (на опытной машине смонтировали SK-1820-G2 взлетной мощностью 1000 л.с.), па самолете поменяли винт, прицел и поставили радиополукомпас, кольцевую рамку которого разместили в каплевидном обтекателе над задней частью фюзеляжа. Вслед за двухместным V-11 (л подготовили его трехместный вариант V-11GB. Третьим членом экипажа стал штурман-бомбардир. В задней кабине (за местом стрелка) сделали окно вниз для бомбового прицела и два окошка но бокам. V-11GB отличался и по вооружению - на нем поставили третий пулемет, стрелявший из специальной выдвижной установки вниз-назад. Более тяжелый трехместный вариант нес меньше горючего и уступал двухместному но радиусу действия. Информацию о новом самолете оперативно доставили в Москву. Докладывая наркому К.Е.Ворошилову о перспективах приобретения лицензий в США, начальник штаба ВВС РККА Лавров подчеркивал, что штурмовик Валти "...обладает исключительно высокими данными но скорости и но дальности". В сравнении с нашими бипланами P-5Ш и ССС так оно и было (3457,39).</w:t>
      </w:r>
    </w:p>
    <w:p w14:paraId="1B02960C" w14:textId="77777777" w:rsidR="00D4105E" w:rsidRPr="00E14102" w:rsidRDefault="00D4105E" w:rsidP="00E14102">
      <w:pPr>
        <w:autoSpaceDE w:val="0"/>
        <w:autoSpaceDN w:val="0"/>
        <w:adjustRightInd w:val="0"/>
        <w:jc w:val="both"/>
        <w:rPr>
          <w:color w:val="000000" w:themeColor="text1"/>
          <w:sz w:val="16"/>
          <w:szCs w:val="16"/>
        </w:rPr>
      </w:pPr>
    </w:p>
    <w:p w14:paraId="0D173BF6" w14:textId="77777777" w:rsidR="007E41FF" w:rsidRPr="00E14102" w:rsidRDefault="007E41FF" w:rsidP="00E14102">
      <w:pPr>
        <w:jc w:val="both"/>
        <w:rPr>
          <w:color w:val="0070C0"/>
          <w:sz w:val="16"/>
          <w:szCs w:val="16"/>
        </w:rPr>
      </w:pPr>
      <w:r w:rsidRPr="00E14102">
        <w:rPr>
          <w:color w:val="0070C0"/>
          <w:sz w:val="16"/>
          <w:szCs w:val="16"/>
        </w:rPr>
        <w:t xml:space="preserve">Сентябрь 1935 состоялся первый полет </w:t>
      </w:r>
      <w:r w:rsidRPr="00E14102">
        <w:rPr>
          <w:color w:val="0070C0"/>
          <w:sz w:val="16"/>
          <w:szCs w:val="16"/>
          <w:lang w:val="en-US"/>
        </w:rPr>
        <w:t>Heinkel</w:t>
      </w:r>
      <w:r w:rsidRPr="00E14102">
        <w:rPr>
          <w:color w:val="0070C0"/>
          <w:sz w:val="16"/>
          <w:szCs w:val="16"/>
        </w:rPr>
        <w:t xml:space="preserve"> </w:t>
      </w:r>
      <w:r w:rsidRPr="00E14102">
        <w:rPr>
          <w:color w:val="0070C0"/>
          <w:sz w:val="16"/>
          <w:szCs w:val="16"/>
          <w:lang w:val="en-US"/>
        </w:rPr>
        <w:t>He</w:t>
      </w:r>
      <w:r w:rsidRPr="00E14102">
        <w:rPr>
          <w:color w:val="0070C0"/>
          <w:sz w:val="16"/>
          <w:szCs w:val="16"/>
        </w:rPr>
        <w:t xml:space="preserve"> 112  (20800).</w:t>
      </w:r>
    </w:p>
    <w:p w14:paraId="4F640982" w14:textId="77777777" w:rsidR="007E41FF" w:rsidRPr="00E14102" w:rsidRDefault="007E41FF" w:rsidP="00E14102">
      <w:pPr>
        <w:jc w:val="both"/>
        <w:rPr>
          <w:color w:val="0070C0"/>
          <w:sz w:val="16"/>
          <w:szCs w:val="16"/>
        </w:rPr>
      </w:pPr>
    </w:p>
    <w:p w14:paraId="4D42FD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проходили испытания Ме-109 (78,62). Первый полет был также в сентябре, а в январе 1936 был второй полет с Юмо-210А (80,164).</w:t>
      </w:r>
    </w:p>
    <w:p w14:paraId="1DFCAD52" w14:textId="77777777" w:rsidR="00D4105E" w:rsidRPr="00E14102" w:rsidRDefault="00D4105E" w:rsidP="00E14102">
      <w:pPr>
        <w:autoSpaceDE w:val="0"/>
        <w:autoSpaceDN w:val="0"/>
        <w:adjustRightInd w:val="0"/>
        <w:jc w:val="both"/>
        <w:rPr>
          <w:color w:val="000000" w:themeColor="text1"/>
          <w:sz w:val="16"/>
          <w:szCs w:val="16"/>
        </w:rPr>
      </w:pPr>
    </w:p>
    <w:p w14:paraId="0191F2A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57172F5C" w14:textId="77777777" w:rsidR="00D4105E" w:rsidRPr="00E14102" w:rsidRDefault="00D4105E" w:rsidP="00E14102">
      <w:pPr>
        <w:autoSpaceDE w:val="0"/>
        <w:autoSpaceDN w:val="0"/>
        <w:adjustRightInd w:val="0"/>
        <w:jc w:val="both"/>
        <w:rPr>
          <w:iCs/>
          <w:color w:val="000000" w:themeColor="text1"/>
          <w:sz w:val="16"/>
          <w:szCs w:val="16"/>
        </w:rPr>
      </w:pPr>
    </w:p>
    <w:p w14:paraId="2F80C0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сентябре 1935 г. Совет и Ассамблея Лиги Наций проголосовали за резолюцию, в которой Италия признавалась нарушителем Устава Лиги. К ней следовало применять санкции в соответствии со ст. 16 Устава. Был установлен список товаров, поставки которых Италии были запрещены. США, не входившие в Лигу Наций, тоже рекомендовали американским компаниям прекратить торговлю с Италией. Но поставки вооружений, предоставление кредитов и экспорт сырья (в том числе нефти из СССР и США) в Италию продолжались до ноября. Решения Ассамблеи не остановили Муссолини (3871).</w:t>
      </w:r>
    </w:p>
    <w:p w14:paraId="7972533D" w14:textId="77777777" w:rsidR="00D4105E" w:rsidRPr="00E14102" w:rsidRDefault="00D4105E" w:rsidP="00E14102">
      <w:pPr>
        <w:autoSpaceDE w:val="0"/>
        <w:autoSpaceDN w:val="0"/>
        <w:adjustRightInd w:val="0"/>
        <w:jc w:val="both"/>
        <w:rPr>
          <w:color w:val="000000" w:themeColor="text1"/>
          <w:sz w:val="16"/>
          <w:szCs w:val="16"/>
        </w:rPr>
      </w:pPr>
    </w:p>
    <w:p w14:paraId="31F03D4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86B98D8" w14:textId="77777777" w:rsidR="00D4105E" w:rsidRPr="00E14102" w:rsidRDefault="00D4105E" w:rsidP="00E14102">
      <w:pPr>
        <w:autoSpaceDE w:val="0"/>
        <w:autoSpaceDN w:val="0"/>
        <w:adjustRightInd w:val="0"/>
        <w:jc w:val="both"/>
        <w:rPr>
          <w:iCs/>
          <w:color w:val="000000" w:themeColor="text1"/>
          <w:sz w:val="16"/>
          <w:szCs w:val="16"/>
        </w:rPr>
      </w:pPr>
    </w:p>
    <w:p w14:paraId="02D37E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сентября по декабрь 1935 проводились гос. испытания И-16 типа 5 завода 21 (80,129).</w:t>
      </w:r>
    </w:p>
    <w:p w14:paraId="06A1E031" w14:textId="77777777" w:rsidR="00D4105E" w:rsidRPr="00E14102" w:rsidRDefault="00D4105E" w:rsidP="00E14102">
      <w:pPr>
        <w:autoSpaceDE w:val="0"/>
        <w:autoSpaceDN w:val="0"/>
        <w:adjustRightInd w:val="0"/>
        <w:jc w:val="both"/>
        <w:rPr>
          <w:color w:val="000000" w:themeColor="text1"/>
          <w:sz w:val="16"/>
          <w:szCs w:val="16"/>
        </w:rPr>
      </w:pPr>
    </w:p>
    <w:p w14:paraId="0B22677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1E7D20E" w14:textId="77777777" w:rsidR="00D4105E" w:rsidRPr="00E14102" w:rsidRDefault="00D4105E" w:rsidP="00E14102">
      <w:pPr>
        <w:autoSpaceDE w:val="0"/>
        <w:autoSpaceDN w:val="0"/>
        <w:adjustRightInd w:val="0"/>
        <w:jc w:val="both"/>
        <w:rPr>
          <w:iCs/>
          <w:color w:val="000000" w:themeColor="text1"/>
          <w:sz w:val="16"/>
          <w:szCs w:val="16"/>
        </w:rPr>
      </w:pPr>
    </w:p>
    <w:p w14:paraId="757236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 сентября по декабрь 1935 заводом № 92 была изготовлена 76 мм облегченная батальонная гаубица Ф-23-I (7629, 42).</w:t>
      </w:r>
    </w:p>
    <w:p w14:paraId="39A200DA" w14:textId="77777777" w:rsidR="00D4105E" w:rsidRPr="00E14102" w:rsidRDefault="00D4105E" w:rsidP="00E14102">
      <w:pPr>
        <w:autoSpaceDE w:val="0"/>
        <w:autoSpaceDN w:val="0"/>
        <w:adjustRightInd w:val="0"/>
        <w:jc w:val="both"/>
        <w:rPr>
          <w:color w:val="000000" w:themeColor="text1"/>
          <w:sz w:val="16"/>
          <w:szCs w:val="16"/>
        </w:rPr>
      </w:pPr>
    </w:p>
    <w:p w14:paraId="17078D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сентября по декабрь 1935 прошли полигонные испытания зенитной САУ Су-6, разработанной на ленинградском Опытном заводе Спецмаштреста в 1934 под руководством П.Н.Сячентова на базе Т-26. В октябре-декабре 1936 испытывалась на НИАП. На вооружение не принималась, в серии не была. В январе 1937 завод № 185 изготовил 4 САУ (9527,273).</w:t>
      </w:r>
    </w:p>
    <w:p w14:paraId="17BDEDFA" w14:textId="77777777" w:rsidR="00D4105E" w:rsidRPr="00E14102" w:rsidRDefault="00D4105E" w:rsidP="00E14102">
      <w:pPr>
        <w:autoSpaceDE w:val="0"/>
        <w:autoSpaceDN w:val="0"/>
        <w:adjustRightInd w:val="0"/>
        <w:jc w:val="both"/>
        <w:rPr>
          <w:color w:val="000000" w:themeColor="text1"/>
          <w:sz w:val="16"/>
          <w:szCs w:val="16"/>
        </w:rPr>
      </w:pPr>
    </w:p>
    <w:p w14:paraId="6EFA27CE" w14:textId="77777777" w:rsidR="00257D8A" w:rsidRPr="00E14102" w:rsidRDefault="00257D8A"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DD60EB0" w14:textId="77777777" w:rsidR="00257D8A" w:rsidRPr="00E14102" w:rsidRDefault="00257D8A" w:rsidP="00E14102">
      <w:pPr>
        <w:autoSpaceDE w:val="0"/>
        <w:autoSpaceDN w:val="0"/>
        <w:adjustRightInd w:val="0"/>
        <w:jc w:val="both"/>
        <w:rPr>
          <w:iCs/>
          <w:color w:val="000000" w:themeColor="text1"/>
          <w:sz w:val="16"/>
          <w:szCs w:val="16"/>
        </w:rPr>
      </w:pPr>
    </w:p>
    <w:p w14:paraId="712C31E9" w14:textId="77777777" w:rsidR="00257D8A" w:rsidRPr="00E14102" w:rsidRDefault="00257D8A" w:rsidP="00E14102">
      <w:pPr>
        <w:jc w:val="both"/>
        <w:rPr>
          <w:color w:val="0070C0"/>
          <w:sz w:val="16"/>
          <w:szCs w:val="16"/>
        </w:rPr>
      </w:pPr>
      <w:r w:rsidRPr="00E14102">
        <w:rPr>
          <w:color w:val="0070C0"/>
          <w:sz w:val="16"/>
          <w:szCs w:val="16"/>
        </w:rPr>
        <w:t>В начале осени 1935 г. КБ С.В.И. приступило к проектированию ЦКБ-30.</w:t>
      </w:r>
    </w:p>
    <w:p w14:paraId="47839A2D" w14:textId="77777777" w:rsidR="00257D8A" w:rsidRPr="00E14102" w:rsidRDefault="00257D8A" w:rsidP="00E14102">
      <w:pPr>
        <w:jc w:val="both"/>
        <w:rPr>
          <w:color w:val="0070C0"/>
          <w:sz w:val="16"/>
          <w:szCs w:val="16"/>
        </w:rPr>
      </w:pPr>
      <w:r w:rsidRPr="00E14102">
        <w:rPr>
          <w:color w:val="0070C0"/>
          <w:sz w:val="16"/>
          <w:szCs w:val="16"/>
        </w:rPr>
        <w:t>В первую очередь конструкторам сле</w:t>
      </w:r>
      <w:r w:rsidRPr="00E14102">
        <w:rPr>
          <w:color w:val="0070C0"/>
          <w:sz w:val="16"/>
          <w:szCs w:val="16"/>
        </w:rPr>
        <w:softHyphen/>
        <w:t>довало определиться с размещением на борту всего вооружения. Согласно зада</w:t>
      </w:r>
      <w:r w:rsidRPr="00E14102">
        <w:rPr>
          <w:color w:val="0070C0"/>
          <w:sz w:val="16"/>
          <w:szCs w:val="16"/>
        </w:rPr>
        <w:softHyphen/>
        <w:t>нию, бомбоотсек должен был вмещать 10 бомб по 100 кг каждая. Традиционно такие боеприпасы размещали на боковых стенках, однако Ильюшин решил подве</w:t>
      </w:r>
      <w:r w:rsidRPr="00E14102">
        <w:rPr>
          <w:color w:val="0070C0"/>
          <w:sz w:val="16"/>
          <w:szCs w:val="16"/>
        </w:rPr>
        <w:softHyphen/>
        <w:t>шивать их на специальной раме, установ</w:t>
      </w:r>
      <w:r w:rsidRPr="00E14102">
        <w:rPr>
          <w:color w:val="0070C0"/>
          <w:sz w:val="16"/>
          <w:szCs w:val="16"/>
        </w:rPr>
        <w:softHyphen/>
        <w:t>ленной в бомбоотсеке по оси самолета. Снаружи на ней разместили еще один узел подвески бомб, дополнивший два традиционных, находившихся под борто</w:t>
      </w:r>
      <w:r w:rsidRPr="00E14102">
        <w:rPr>
          <w:color w:val="0070C0"/>
          <w:sz w:val="16"/>
          <w:szCs w:val="16"/>
        </w:rPr>
        <w:softHyphen/>
        <w:t>выми нервюрами. Это позволило зна</w:t>
      </w:r>
      <w:r w:rsidRPr="00E14102">
        <w:rPr>
          <w:color w:val="0070C0"/>
          <w:sz w:val="16"/>
          <w:szCs w:val="16"/>
        </w:rPr>
        <w:softHyphen/>
        <w:t>чительно расширить номенклатуру во</w:t>
      </w:r>
      <w:r w:rsidRPr="00E14102">
        <w:rPr>
          <w:color w:val="0070C0"/>
          <w:sz w:val="16"/>
          <w:szCs w:val="16"/>
        </w:rPr>
        <w:softHyphen/>
        <w:t>оружений самолета. В частности, на центральный узел стало возможным подвесить бомбу калибром до 1000 кг. Максимальная боевая нагрузка, которую самолет мог нести на небольшую даль</w:t>
      </w:r>
      <w:r w:rsidRPr="00E14102">
        <w:rPr>
          <w:color w:val="0070C0"/>
          <w:sz w:val="16"/>
          <w:szCs w:val="16"/>
        </w:rPr>
        <w:softHyphen/>
        <w:t>ность, достигла 2,5 т.</w:t>
      </w:r>
    </w:p>
    <w:p w14:paraId="1EBE84CB" w14:textId="77777777" w:rsidR="00257D8A" w:rsidRPr="00E14102" w:rsidRDefault="00257D8A" w:rsidP="00E14102">
      <w:pPr>
        <w:jc w:val="both"/>
        <w:rPr>
          <w:color w:val="0070C0"/>
          <w:sz w:val="16"/>
          <w:szCs w:val="16"/>
        </w:rPr>
      </w:pPr>
      <w:r w:rsidRPr="00E14102">
        <w:rPr>
          <w:color w:val="0070C0"/>
          <w:sz w:val="16"/>
          <w:szCs w:val="16"/>
        </w:rPr>
        <w:t>В конструктивном плане ЦКБ-30 стал дальнейшим развитием ЦКБ-26, отлича</w:t>
      </w:r>
      <w:r w:rsidRPr="00E14102">
        <w:rPr>
          <w:color w:val="0070C0"/>
          <w:sz w:val="16"/>
          <w:szCs w:val="16"/>
        </w:rPr>
        <w:softHyphen/>
        <w:t>ясь, главным образом, металлическим фюзеляжем с удлиненной на полметра носовой частью, да несколько большим выносом двигателей вперед. Прежде всего, это потребовалось для сохранения необходимой центровки после размеще</w:t>
      </w:r>
      <w:r w:rsidRPr="00E14102">
        <w:rPr>
          <w:color w:val="0070C0"/>
          <w:sz w:val="16"/>
          <w:szCs w:val="16"/>
        </w:rPr>
        <w:softHyphen/>
        <w:t>ния стрелковых точек в задней части са</w:t>
      </w:r>
      <w:r w:rsidRPr="00E14102">
        <w:rPr>
          <w:color w:val="0070C0"/>
          <w:sz w:val="16"/>
          <w:szCs w:val="16"/>
        </w:rPr>
        <w:softHyphen/>
        <w:t>молета, а также для улучшения условий работы штурмана.</w:t>
      </w:r>
    </w:p>
    <w:p w14:paraId="0DF92E6D" w14:textId="77777777" w:rsidR="00257D8A" w:rsidRPr="00E14102" w:rsidRDefault="00257D8A" w:rsidP="00E14102">
      <w:pPr>
        <w:jc w:val="both"/>
        <w:rPr>
          <w:color w:val="0070C0"/>
          <w:sz w:val="16"/>
          <w:szCs w:val="16"/>
        </w:rPr>
      </w:pPr>
      <w:r w:rsidRPr="00E14102">
        <w:rPr>
          <w:color w:val="0070C0"/>
          <w:sz w:val="16"/>
          <w:szCs w:val="16"/>
        </w:rPr>
        <w:t>Как и ЦКБ-26, новый самолет осна</w:t>
      </w:r>
      <w:r w:rsidRPr="00E14102">
        <w:rPr>
          <w:color w:val="0070C0"/>
          <w:sz w:val="16"/>
          <w:szCs w:val="16"/>
        </w:rPr>
        <w:softHyphen/>
        <w:t>стили импортными двигателями «Гном- Рон»14К. По проекту на ЦКБ-30 должны были стоять воздушные винты изменяе</w:t>
      </w:r>
      <w:r w:rsidRPr="00E14102">
        <w:rPr>
          <w:color w:val="0070C0"/>
          <w:sz w:val="16"/>
          <w:szCs w:val="16"/>
        </w:rPr>
        <w:softHyphen/>
        <w:t>мого шага, однако к нужному сроку их не оказалось, и пришлось использовать винты фиксированного шага, как написа</w:t>
      </w:r>
      <w:r w:rsidRPr="00E14102">
        <w:rPr>
          <w:color w:val="0070C0"/>
          <w:sz w:val="16"/>
          <w:szCs w:val="16"/>
        </w:rPr>
        <w:softHyphen/>
        <w:t>но в докладной записке,</w:t>
      </w:r>
      <w:r w:rsidRPr="00E14102">
        <w:rPr>
          <w:rStyle w:val="ae"/>
          <w:rFonts w:ascii="Times New Roman" w:hAnsi="Times New Roman"/>
          <w:color w:val="0070C0"/>
          <w:sz w:val="16"/>
          <w:szCs w:val="16"/>
        </w:rPr>
        <w:t xml:space="preserve"> «неподобранные ВФШ».</w:t>
      </w:r>
    </w:p>
    <w:p w14:paraId="2B76B46F" w14:textId="77777777" w:rsidR="00257D8A" w:rsidRPr="00E14102" w:rsidRDefault="00257D8A" w:rsidP="00E14102">
      <w:pPr>
        <w:shd w:val="clear" w:color="auto" w:fill="FFFFFF"/>
        <w:jc w:val="both"/>
        <w:rPr>
          <w:color w:val="0070C0"/>
          <w:sz w:val="16"/>
          <w:szCs w:val="16"/>
        </w:rPr>
      </w:pPr>
      <w:r w:rsidRPr="00E14102">
        <w:rPr>
          <w:color w:val="0070C0"/>
          <w:sz w:val="16"/>
          <w:szCs w:val="16"/>
        </w:rPr>
        <w:t>Оборонительное вооружение включа</w:t>
      </w:r>
      <w:r w:rsidRPr="00E14102">
        <w:rPr>
          <w:color w:val="0070C0"/>
          <w:sz w:val="16"/>
          <w:szCs w:val="16"/>
        </w:rPr>
        <w:softHyphen/>
        <w:t xml:space="preserve">ло три пулемета </w:t>
      </w:r>
      <w:r w:rsidRPr="00E14102">
        <w:rPr>
          <w:color w:val="0070C0"/>
          <w:sz w:val="16"/>
          <w:szCs w:val="16"/>
          <w:lang w:val="en-US"/>
        </w:rPr>
        <w:t>LUKAC</w:t>
      </w:r>
      <w:r w:rsidRPr="00E14102">
        <w:rPr>
          <w:color w:val="0070C0"/>
          <w:sz w:val="16"/>
          <w:szCs w:val="16"/>
        </w:rPr>
        <w:t xml:space="preserve"> калибром 7,62 мм, размещенных в носовой, средней и нижней (люковой) установках. Средняя турель в походном положении незначи</w:t>
      </w:r>
      <w:r w:rsidRPr="00E14102">
        <w:rPr>
          <w:color w:val="0070C0"/>
          <w:sz w:val="16"/>
          <w:szCs w:val="16"/>
        </w:rPr>
        <w:softHyphen/>
        <w:t>тельно выступала за контуры фюзеляжа, но в бою прозрачный колпак приподни</w:t>
      </w:r>
      <w:r w:rsidRPr="00E14102">
        <w:rPr>
          <w:color w:val="0070C0"/>
          <w:sz w:val="16"/>
          <w:szCs w:val="16"/>
        </w:rPr>
        <w:softHyphen/>
        <w:t>мался на шарнирах, так что стрелок мог смотреть через него.</w:t>
      </w:r>
    </w:p>
    <w:p w14:paraId="03F4DFF1" w14:textId="77777777" w:rsidR="00257D8A" w:rsidRPr="00E14102" w:rsidRDefault="00257D8A" w:rsidP="00E14102">
      <w:pPr>
        <w:jc w:val="both"/>
        <w:rPr>
          <w:color w:val="0070C0"/>
          <w:sz w:val="16"/>
          <w:szCs w:val="16"/>
        </w:rPr>
      </w:pPr>
      <w:r w:rsidRPr="00E14102">
        <w:rPr>
          <w:color w:val="0070C0"/>
          <w:sz w:val="16"/>
          <w:szCs w:val="16"/>
        </w:rPr>
        <w:t>Самолет построили на авиазаводе № 39. Его первый полет состоялся 31 марта 1936г., вдень рождения Ильюшина. Пилотировал машину неизменный В.К. Коккинаки (19944).</w:t>
      </w:r>
    </w:p>
    <w:p w14:paraId="643FDD51" w14:textId="77777777" w:rsidR="00257D8A" w:rsidRPr="00E14102" w:rsidRDefault="00257D8A" w:rsidP="00E14102">
      <w:pPr>
        <w:jc w:val="both"/>
        <w:rPr>
          <w:color w:val="0070C0"/>
          <w:sz w:val="16"/>
          <w:szCs w:val="16"/>
        </w:rPr>
      </w:pPr>
    </w:p>
    <w:p w14:paraId="6C5F522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FDEB2AD" w14:textId="77777777" w:rsidR="00D4105E" w:rsidRPr="00E14102" w:rsidRDefault="00D4105E" w:rsidP="00E14102">
      <w:pPr>
        <w:autoSpaceDE w:val="0"/>
        <w:autoSpaceDN w:val="0"/>
        <w:adjustRightInd w:val="0"/>
        <w:jc w:val="both"/>
        <w:rPr>
          <w:iCs/>
          <w:color w:val="000000" w:themeColor="text1"/>
          <w:sz w:val="16"/>
          <w:szCs w:val="16"/>
        </w:rPr>
      </w:pPr>
    </w:p>
    <w:p w14:paraId="3D7965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осени 1935 бригада В.М.Петлякова стала зваться КБ-1 тяжелых сухопутных самолетов (80,12).</w:t>
      </w:r>
    </w:p>
    <w:p w14:paraId="7546F4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Другие: КБ-2 - гидросамолеты - А.П.Голубкова</w:t>
      </w:r>
    </w:p>
    <w:p w14:paraId="3E1466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КБ-3 - разведчики - П.О.Сухой</w:t>
      </w:r>
    </w:p>
    <w:p w14:paraId="2FB8D1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КБ-5 - скоростные самолеты - А.А.Архангельский</w:t>
      </w:r>
    </w:p>
    <w:p w14:paraId="6059D9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КБ-6 - экспериментальные самолеты - В.М.Мясищев (80,12).</w:t>
      </w:r>
    </w:p>
    <w:p w14:paraId="71EB4F4D" w14:textId="77777777" w:rsidR="00D4105E" w:rsidRPr="00E14102" w:rsidRDefault="00D4105E" w:rsidP="00E14102">
      <w:pPr>
        <w:autoSpaceDE w:val="0"/>
        <w:autoSpaceDN w:val="0"/>
        <w:adjustRightInd w:val="0"/>
        <w:jc w:val="both"/>
        <w:rPr>
          <w:color w:val="000000" w:themeColor="text1"/>
          <w:sz w:val="16"/>
          <w:szCs w:val="16"/>
        </w:rPr>
      </w:pPr>
    </w:p>
    <w:p w14:paraId="6B4E43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Осенью 1935 подвеска танкетки Т-27 с экипажем, сбрасываемой на парашюте, для ТБ-3, разработанная П.Гроховским и принятая на вооружение под индексом ПГ-12, была испытана на маневрах в Киевском особом военном округе (2676).</w:t>
      </w:r>
    </w:p>
    <w:p w14:paraId="347C4E70" w14:textId="77777777" w:rsidR="00D4105E" w:rsidRPr="00E14102" w:rsidRDefault="00D4105E" w:rsidP="00E14102">
      <w:pPr>
        <w:autoSpaceDE w:val="0"/>
        <w:autoSpaceDN w:val="0"/>
        <w:adjustRightInd w:val="0"/>
        <w:jc w:val="both"/>
        <w:rPr>
          <w:color w:val="000000" w:themeColor="text1"/>
          <w:sz w:val="16"/>
          <w:szCs w:val="16"/>
        </w:rPr>
      </w:pPr>
    </w:p>
    <w:p w14:paraId="1FD9E2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Осенью 1935 был испытан первый серийный ДБ-1 АНТ-36, но из-за плохого качества изготовления заказчик его не принял. Всего сделали 18 и 10 передали в строевую часть, базирующуюся под Воронежем, хотя с 1937 машины законсервировали (2233,44).</w:t>
      </w:r>
    </w:p>
    <w:p w14:paraId="04E449F7" w14:textId="77777777" w:rsidR="00D4105E" w:rsidRPr="00E14102" w:rsidRDefault="00D4105E" w:rsidP="00E14102">
      <w:pPr>
        <w:autoSpaceDE w:val="0"/>
        <w:autoSpaceDN w:val="0"/>
        <w:adjustRightInd w:val="0"/>
        <w:jc w:val="both"/>
        <w:rPr>
          <w:color w:val="000000" w:themeColor="text1"/>
          <w:sz w:val="16"/>
          <w:szCs w:val="16"/>
        </w:rPr>
      </w:pPr>
    </w:p>
    <w:p w14:paraId="44F639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Осенью 1935 облетали первый серийный РД, под индексом АНТ-36 произведенный на новом заводе № 18 в Воронеже, но военная комиссия отказалась его принять как явно непригодный к эксплуатации в ВВС.</w:t>
      </w:r>
    </w:p>
    <w:p w14:paraId="350353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 же участь ожидала и семь следующих самолетов, требующих в лучшем случае длительной доводки. Из 18 построенных самолетов 2 забраковали, не допустив к эксплуатации, 3 остались на заводе (в бригаде ЦАГИ), 1 - в Ленинграде, 2 в НИИ ВВС, и лишь 10 машин передали в строевую часть, дислоцировавшуюся под Воронежем.</w:t>
      </w:r>
    </w:p>
    <w:p w14:paraId="5BB43B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отличие от первых двух прототипов на них устанавливался полный комплект вооружения, включая кассеты для десяти 100-кт бомб. Емкость топливных баков уменьшили до 4900 литров, а полетный вес не превышал 7806 кг. Обшивка была полностью гладкая. Однако качество изготовленных самолетов оставляло желать лучшего. Особенно много нареканий со стороны военной приемки вызывали клепаные и сварные соединения.</w:t>
      </w:r>
    </w:p>
    <w:p w14:paraId="2C60E8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бомбового, планировалось и обронительное вооружение - два пулемета для стрельбы вверх и по одному - для стрельбы вперед и назад с общим боекомплектом 1500 патронов.</w:t>
      </w:r>
    </w:p>
    <w:p w14:paraId="1CD4D0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Планировалось построить 24 самолета РД, из них к маю 1936 года - 20 машин. Одновременно с этим было дано задание на серийное производство 30 дальних бомбардировщиков ДБ-2, которые можно считать глубокой модификацией РД.</w:t>
      </w:r>
    </w:p>
    <w:p w14:paraId="2B60AF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период с 1936-го по 1937 год средний годовой налет самолетов составил всего лишь 25-30 часов, хотя некоторые из них налетали до 60 часов. РД как боевая машина был явно неудачен, и тем более неясно, зачем одновременно с ним планировался выпуск 30-ти ДБ-2 аналогичного назначения (160).</w:t>
      </w:r>
    </w:p>
    <w:p w14:paraId="373E738E" w14:textId="77777777" w:rsidR="00D4105E" w:rsidRPr="00E14102" w:rsidRDefault="00D4105E" w:rsidP="00E14102">
      <w:pPr>
        <w:autoSpaceDE w:val="0"/>
        <w:autoSpaceDN w:val="0"/>
        <w:adjustRightInd w:val="0"/>
        <w:jc w:val="both"/>
        <w:rPr>
          <w:color w:val="000000" w:themeColor="text1"/>
          <w:sz w:val="16"/>
          <w:szCs w:val="16"/>
        </w:rPr>
      </w:pPr>
    </w:p>
    <w:p w14:paraId="71E3CD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Осенью 1935 облетали первый РД (АНТ-36) с вооружением, сделанный на заводе 18. Из 18 построенных с 1934 - 2 забраковали, 3 - остались на заводе в бригаде ЦАГИ, 2 - в НИИ ВВС, 10 - в строевую часть под Воронежем. В 1936 после того как А.Н.Т. стал ГИ ГУАП - начали работы по установке на РД АН-1 - РДД. Ставили на 188 - последний забракованный. Летные испытания - с 15 июля 1936 (160,27).</w:t>
      </w:r>
    </w:p>
    <w:p w14:paraId="4B563D70" w14:textId="77777777" w:rsidR="00D4105E" w:rsidRPr="00E14102" w:rsidRDefault="00D4105E" w:rsidP="00E14102">
      <w:pPr>
        <w:autoSpaceDE w:val="0"/>
        <w:autoSpaceDN w:val="0"/>
        <w:adjustRightInd w:val="0"/>
        <w:jc w:val="both"/>
        <w:rPr>
          <w:color w:val="000000" w:themeColor="text1"/>
          <w:sz w:val="16"/>
          <w:szCs w:val="16"/>
        </w:rPr>
      </w:pPr>
    </w:p>
    <w:p w14:paraId="467FD8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Осенью 1935-го, когда облетали первый серийный ДБ-1, военная комиссия отказалась его принять как непригодный для эксплуатации в ВВС. Следующие семь аппаратов требовали кропотливой и длительной доводки. Из 18 построенных экземпляров два не допустили к полетам, две машины отправили в НИИ ВВС, одну в Ленинград и три остались на заводе для проведения доработок. Лишь 10 самолетов передали в 11-ю бомбардировочную авиабригаду, базирующуюся в Воронеже. ДБ-1 эксплуатировались здесь в период 1936-37 гг., однако заметного следа своего присутствия в ВВС не оставили. По причине множественных недостатков в воздух поднимались редко, отдельные экземпляры за два года налетали всего по 60 часов. В 1937 году по причине неясности предназначения все эти самолеты законсервировали до лучших времен (11941).</w:t>
      </w:r>
    </w:p>
    <w:p w14:paraId="31A3F537" w14:textId="77777777" w:rsidR="00D4105E" w:rsidRPr="00E14102" w:rsidRDefault="00D4105E" w:rsidP="00E14102">
      <w:pPr>
        <w:autoSpaceDE w:val="0"/>
        <w:autoSpaceDN w:val="0"/>
        <w:adjustRightInd w:val="0"/>
        <w:jc w:val="both"/>
        <w:rPr>
          <w:color w:val="000000" w:themeColor="text1"/>
          <w:sz w:val="16"/>
          <w:szCs w:val="16"/>
        </w:rPr>
      </w:pPr>
    </w:p>
    <w:p w14:paraId="7A02FD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Осенью 1935 г., когда в бригаде № 3 КОСОС ЦАГИ начались опытно-конструкторские разработки будущего самолета. Главный конструктор ЦАГИ АН.Туполев дал указание составить весовой план скоростного разведчика с мотором М-34ФРН мощностью 1025 л.с. (5360).</w:t>
      </w:r>
    </w:p>
    <w:p w14:paraId="5FD13084" w14:textId="77777777" w:rsidR="00D4105E" w:rsidRPr="00E14102" w:rsidRDefault="00D4105E" w:rsidP="00E14102">
      <w:pPr>
        <w:autoSpaceDE w:val="0"/>
        <w:autoSpaceDN w:val="0"/>
        <w:adjustRightInd w:val="0"/>
        <w:jc w:val="both"/>
        <w:rPr>
          <w:color w:val="000000" w:themeColor="text1"/>
          <w:sz w:val="16"/>
          <w:szCs w:val="16"/>
        </w:rPr>
      </w:pPr>
    </w:p>
    <w:p w14:paraId="773F2B4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осени 1935 года сформировался облик самолета АНТ-41 (Т-1) и его вооружения. В соответствии с основным назначением в качестве торпедоносца, проект получил обозначение Т-1 и в нем предусмотре</w:t>
      </w:r>
      <w:r w:rsidRPr="00E14102">
        <w:rPr>
          <w:color w:val="000000" w:themeColor="text1"/>
          <w:sz w:val="16"/>
          <w:szCs w:val="16"/>
        </w:rPr>
        <w:softHyphen/>
        <w:t>ли установку машины на поплавковое шасси. В техни</w:t>
      </w:r>
      <w:r w:rsidRPr="00E14102">
        <w:rPr>
          <w:color w:val="000000" w:themeColor="text1"/>
          <w:sz w:val="16"/>
          <w:szCs w:val="16"/>
        </w:rPr>
        <w:softHyphen/>
        <w:t>ческом описании машины, подписанном Мясищевым и Мосоловым 26 ноября, отмечалось, что «торпедоно</w:t>
      </w:r>
      <w:r w:rsidRPr="00E14102">
        <w:rPr>
          <w:color w:val="000000" w:themeColor="text1"/>
          <w:sz w:val="16"/>
          <w:szCs w:val="16"/>
        </w:rPr>
        <w:softHyphen/>
        <w:t>сец низкого метания (...) может быть использован как бомбардировщик и крейсер, самолет запроектирован в сухопутном и морском (на поплавках) вариантах».</w:t>
      </w:r>
    </w:p>
    <w:p w14:paraId="4D6BBE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Исходя из поставленной задачи и желая достичь наибольшей скорости, конструкторы сделали все, чтобы «облагородить» аэродинамику машины. Кроме убираю</w:t>
      </w:r>
      <w:r w:rsidRPr="00E14102">
        <w:rPr>
          <w:color w:val="000000" w:themeColor="text1"/>
          <w:sz w:val="16"/>
          <w:szCs w:val="16"/>
        </w:rPr>
        <w:softHyphen/>
        <w:t>щегося шасси (включая костыльное колесо) и шквор</w:t>
      </w:r>
      <w:r w:rsidRPr="00E14102">
        <w:rPr>
          <w:color w:val="000000" w:themeColor="text1"/>
          <w:sz w:val="16"/>
          <w:szCs w:val="16"/>
        </w:rPr>
        <w:softHyphen/>
        <w:t>невых выдвижных пулеметных установок, торпеду ре</w:t>
      </w:r>
      <w:r w:rsidRPr="00E14102">
        <w:rPr>
          <w:color w:val="000000" w:themeColor="text1"/>
          <w:sz w:val="16"/>
          <w:szCs w:val="16"/>
        </w:rPr>
        <w:softHyphen/>
        <w:t>шили поместить в грузовом отсеке фюзеляжа длиной 6,5 м. Выигрыш в лобовом сопротивлении был значи</w:t>
      </w:r>
      <w:r w:rsidRPr="00E14102">
        <w:rPr>
          <w:color w:val="000000" w:themeColor="text1"/>
          <w:sz w:val="16"/>
          <w:szCs w:val="16"/>
        </w:rPr>
        <w:softHyphen/>
        <w:t>тельный, но и вес фюзеляжа из-за усиления огромно</w:t>
      </w:r>
      <w:r w:rsidRPr="00E14102">
        <w:rPr>
          <w:color w:val="000000" w:themeColor="text1"/>
          <w:sz w:val="16"/>
          <w:szCs w:val="16"/>
        </w:rPr>
        <w:softHyphen/>
        <w:t>го выреза получился немалый.</w:t>
      </w:r>
    </w:p>
    <w:p w14:paraId="397607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Экипаж Т-1 состоял из четырех человек. В носовой кабине размещались штурман, он же стрелок носовой стрелковой установки Тур-9 с пулеметом ШКАС калиб</w:t>
      </w:r>
      <w:r w:rsidRPr="00E14102">
        <w:rPr>
          <w:color w:val="000000" w:themeColor="text1"/>
          <w:sz w:val="16"/>
          <w:szCs w:val="16"/>
        </w:rPr>
        <w:softHyphen/>
        <w:t>ра 7,62 мм, и летчик. В средней части фюзеляжа нахо</w:t>
      </w:r>
      <w:r w:rsidRPr="00E14102">
        <w:rPr>
          <w:color w:val="000000" w:themeColor="text1"/>
          <w:sz w:val="16"/>
          <w:szCs w:val="16"/>
        </w:rPr>
        <w:softHyphen/>
        <w:t>дились стрелок верхней установки и радист-стрелок нижней установки также с такими же пулеметами. Ка</w:t>
      </w:r>
      <w:r w:rsidRPr="00E14102">
        <w:rPr>
          <w:color w:val="000000" w:themeColor="text1"/>
          <w:sz w:val="16"/>
          <w:szCs w:val="16"/>
        </w:rPr>
        <w:softHyphen/>
        <w:t>бина пилота имела специальные фальшборты, закры</w:t>
      </w:r>
      <w:r w:rsidRPr="00E14102">
        <w:rPr>
          <w:color w:val="000000" w:themeColor="text1"/>
          <w:sz w:val="16"/>
          <w:szCs w:val="16"/>
        </w:rPr>
        <w:softHyphen/>
        <w:t>вавшие элементы управления и оборудования, что способствовало повышению ее комфорта.</w:t>
      </w:r>
    </w:p>
    <w:p w14:paraId="0000714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нормальном полетном весе самолет брал одну «фиумскую» (по названию австро-венгерского города Фиума, впоследствии Риека, где ее создали) или об</w:t>
      </w:r>
      <w:r w:rsidRPr="00E14102">
        <w:rPr>
          <w:color w:val="000000" w:themeColor="text1"/>
          <w:sz w:val="16"/>
          <w:szCs w:val="16"/>
        </w:rPr>
        <w:softHyphen/>
        <w:t>разца 1927 года торпеду. В бомбардировочном вари</w:t>
      </w:r>
      <w:r w:rsidRPr="00E14102">
        <w:rPr>
          <w:color w:val="000000" w:themeColor="text1"/>
          <w:sz w:val="16"/>
          <w:szCs w:val="16"/>
        </w:rPr>
        <w:softHyphen/>
        <w:t>анте самолет вмещал до 1000 кг бомб. Максимальная бомбовая нагрузка при перегрузочном весе доходила до 3000 кг.</w:t>
      </w:r>
    </w:p>
    <w:p w14:paraId="2C055F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проектировался под два форсированных двигателя М-34ФРН расчетной взлетной мощностью по 1250 л.с. с трехлопастными воздушными винтами изменяемого шага диаметром 3,55 м. Однако с мото</w:t>
      </w:r>
      <w:r w:rsidRPr="00E14102">
        <w:rPr>
          <w:color w:val="000000" w:themeColor="text1"/>
          <w:sz w:val="16"/>
          <w:szCs w:val="16"/>
        </w:rPr>
        <w:softHyphen/>
        <w:t>ром М-34ФРН еще во время наземных испытаний на стенде возникли большие трудности. Он недодавал мощности, а его ресурс не превышал 30 часов. Доста</w:t>
      </w:r>
      <w:r w:rsidRPr="00E14102">
        <w:rPr>
          <w:color w:val="000000" w:themeColor="text1"/>
          <w:sz w:val="16"/>
          <w:szCs w:val="16"/>
        </w:rPr>
        <w:softHyphen/>
        <w:t>точно сказать, что попытки установить М-34ФРН на бомбардировщик ДБ-А конструкции В.Ф. Болховити-нова в июне и осенью 1936 года также не увенчались успехом. Видимо, в первый полет, выполненный летчи</w:t>
      </w:r>
      <w:r w:rsidRPr="00E14102">
        <w:rPr>
          <w:color w:val="000000" w:themeColor="text1"/>
          <w:sz w:val="16"/>
          <w:szCs w:val="16"/>
        </w:rPr>
        <w:softHyphen/>
        <w:t>ком отдела летной эксплуатации и доводок (ОЛЭИД) ЦАГИ А.П. Чернавским 2 июня 1936 года, Т-1 ушел с моторами М-34РН меньшей мощности. Это означало снижение всех летно-технических характеристик по сравнению с расчетными (11446).</w:t>
      </w:r>
    </w:p>
    <w:p w14:paraId="6533FE8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6B8A61D" w14:textId="77777777" w:rsidR="00647F1E" w:rsidRPr="00E14102" w:rsidRDefault="00647F1E" w:rsidP="00E14102">
      <w:pPr>
        <w:jc w:val="both"/>
        <w:rPr>
          <w:color w:val="000000" w:themeColor="text1"/>
          <w:sz w:val="16"/>
          <w:szCs w:val="16"/>
        </w:rPr>
      </w:pPr>
      <w:r w:rsidRPr="00E14102">
        <w:rPr>
          <w:color w:val="000000" w:themeColor="text1"/>
          <w:sz w:val="16"/>
          <w:szCs w:val="16"/>
        </w:rPr>
        <w:t>Осенью 1935 г. последовало решение о сня</w:t>
      </w:r>
      <w:r w:rsidRPr="00E14102">
        <w:rPr>
          <w:color w:val="000000" w:themeColor="text1"/>
          <w:sz w:val="16"/>
          <w:szCs w:val="16"/>
        </w:rPr>
        <w:softHyphen/>
        <w:t>тии И-4 с вооружения ВВС. Часть их отпра</w:t>
      </w:r>
      <w:r w:rsidRPr="00E14102">
        <w:rPr>
          <w:color w:val="000000" w:themeColor="text1"/>
          <w:sz w:val="16"/>
          <w:szCs w:val="16"/>
        </w:rPr>
        <w:softHyphen/>
        <w:t>вили в учебные подразделения, еще некото</w:t>
      </w:r>
      <w:r w:rsidRPr="00E14102">
        <w:rPr>
          <w:color w:val="000000" w:themeColor="text1"/>
          <w:sz w:val="16"/>
          <w:szCs w:val="16"/>
        </w:rPr>
        <w:softHyphen/>
        <w:t>рое количество использовалось для оснаще</w:t>
      </w:r>
      <w:r w:rsidRPr="00E14102">
        <w:rPr>
          <w:color w:val="000000" w:themeColor="text1"/>
          <w:sz w:val="16"/>
          <w:szCs w:val="16"/>
        </w:rPr>
        <w:softHyphen/>
        <w:t>ния вновь сформированных эскадрилий. Та</w:t>
      </w:r>
      <w:r w:rsidRPr="00E14102">
        <w:rPr>
          <w:color w:val="000000" w:themeColor="text1"/>
          <w:sz w:val="16"/>
          <w:szCs w:val="16"/>
        </w:rPr>
        <w:softHyphen/>
        <w:t>кая практика продолжалась до 1936 года, да</w:t>
      </w:r>
      <w:r w:rsidRPr="00E14102">
        <w:rPr>
          <w:color w:val="000000" w:themeColor="text1"/>
          <w:sz w:val="16"/>
          <w:szCs w:val="16"/>
        </w:rPr>
        <w:softHyphen/>
        <w:t>лее началось перевооружение истребителями И-16 (12295).</w:t>
      </w:r>
    </w:p>
    <w:p w14:paraId="44C95FEE" w14:textId="77777777" w:rsidR="00647F1E" w:rsidRPr="00E14102" w:rsidRDefault="00647F1E" w:rsidP="00E14102">
      <w:pPr>
        <w:jc w:val="both"/>
        <w:rPr>
          <w:color w:val="000000" w:themeColor="text1"/>
          <w:sz w:val="16"/>
          <w:szCs w:val="16"/>
        </w:rPr>
      </w:pPr>
    </w:p>
    <w:p w14:paraId="7C720C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Осенью 1935 Гуров начал работать над приспособлением для оборудования самолетов для борьбы с аэростатами заграждения. Предложение Гурова было независимым от аналогичного предложения Воронина, сделанного в начале 1935 года. Своего предложения он официально не оформлял и прямо начал оборудовать свой самолет Р-6. К концу 1936 года самолет Р-6 был представлен в НИИ для испытаний. В июле 1937 года самолет “Воздушный тральщик” был испытан. Испытание доказало возможность разрушения тросов аэростатов самолетом тральщиком. Были выявлены дефекты конструкции. В настоящее время самолет Р-6 переоборудован. Задачей дальнейшего испытания поставлено помимо испытания воздушного тральщика провести испытания эффективности тросов аэростатов заграждения в отношении разрушающего действия на конструкцию незащищенного самолета. Кроме работ на самолете Р-6 начата работа по оборудованию в качестве тральщика самолета СБ. Гуровым совместно с инженером Доброхотовым разработаны чертежи оборудования и переданы на завод № 22.</w:t>
      </w:r>
    </w:p>
    <w:p w14:paraId="3E581D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Оба предложения и Воронина, и Гурова принципиальных отличий не имеют …………</w:t>
      </w:r>
    </w:p>
    <w:p w14:paraId="557415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Предложение Воронина стало известным в НИИ в марте 1937 года, когда уже начаты были работы по предложению Гурова.</w:t>
      </w:r>
    </w:p>
    <w:p w14:paraId="617076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период испытания Р-6 Воронин прислал в НИИ протест против того, что испытание ведется без его участия. Бажанов распорядился привлечь его к работе. Воронин два раза приглашался на заседания комиссии по воздушному тральщику в НИИ, но войти в работу не сумел, так он более всего интересовался признанием за ним авторства проведенной Гуровым работы (4180).</w:t>
      </w:r>
    </w:p>
    <w:p w14:paraId="32772364" w14:textId="77777777" w:rsidR="00D4105E" w:rsidRPr="00E14102" w:rsidRDefault="00D4105E" w:rsidP="00E14102">
      <w:pPr>
        <w:autoSpaceDE w:val="0"/>
        <w:autoSpaceDN w:val="0"/>
        <w:adjustRightInd w:val="0"/>
        <w:jc w:val="both"/>
        <w:rPr>
          <w:color w:val="000000" w:themeColor="text1"/>
          <w:sz w:val="16"/>
          <w:szCs w:val="16"/>
        </w:rPr>
      </w:pPr>
    </w:p>
    <w:p w14:paraId="1F958E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Осенью 1935 воздушный поезд в составе П-5Л (л - И.С.Баранов, командир поезда М.Кокошко и сцепщик М.Е.Захаров) и планера Г-14 ЦЛ-2А (л К.М.Венслав) совершили беспосадочный перелет из Москвы в Коктебель с дозаправкой в воздухе из планера (429,123).</w:t>
      </w:r>
    </w:p>
    <w:p w14:paraId="4791D994" w14:textId="77777777" w:rsidR="00D4105E" w:rsidRPr="00E14102" w:rsidRDefault="00D4105E" w:rsidP="00E14102">
      <w:pPr>
        <w:autoSpaceDE w:val="0"/>
        <w:autoSpaceDN w:val="0"/>
        <w:adjustRightInd w:val="0"/>
        <w:jc w:val="both"/>
        <w:rPr>
          <w:color w:val="000000" w:themeColor="text1"/>
          <w:sz w:val="16"/>
          <w:szCs w:val="16"/>
        </w:rPr>
      </w:pPr>
    </w:p>
    <w:p w14:paraId="4154D2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Осенью 1935 в воздухе отвалилось оперение типа бабочка с Р-5. Погибли ли Гроздь и конструктор Филатов. Было две машины. Испытания одной проводились в ВВА и на заводе 1, а другой - в НИИ, где летали М.М.Громов, И.Козлов и К.Попов (3551,18).</w:t>
      </w:r>
    </w:p>
    <w:p w14:paraId="6E1629B2" w14:textId="77777777" w:rsidR="00D4105E" w:rsidRPr="00E14102" w:rsidRDefault="00D4105E" w:rsidP="00E14102">
      <w:pPr>
        <w:autoSpaceDE w:val="0"/>
        <w:autoSpaceDN w:val="0"/>
        <w:adjustRightInd w:val="0"/>
        <w:jc w:val="both"/>
        <w:rPr>
          <w:color w:val="000000" w:themeColor="text1"/>
          <w:sz w:val="16"/>
          <w:szCs w:val="16"/>
        </w:rPr>
      </w:pPr>
    </w:p>
    <w:p w14:paraId="634A86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Осенью 1935 на заседании Правительства представитель ВВС потребовал не только прекращения производства И-15, но настаивал на немедленном снятии их с вооружения - Н.Н.П. - говорил, что низка культура производства на заводе 1 и эксплуатации. Самолет остался на вооружении только после беседы Н.Н.П. с И.В.Сталиным (222,30).</w:t>
      </w:r>
    </w:p>
    <w:p w14:paraId="3D18B6D9" w14:textId="77777777" w:rsidR="00D4105E" w:rsidRPr="00E14102" w:rsidRDefault="00D4105E" w:rsidP="00E14102">
      <w:pPr>
        <w:autoSpaceDE w:val="0"/>
        <w:autoSpaceDN w:val="0"/>
        <w:adjustRightInd w:val="0"/>
        <w:jc w:val="both"/>
        <w:rPr>
          <w:color w:val="000000" w:themeColor="text1"/>
          <w:sz w:val="16"/>
          <w:szCs w:val="16"/>
        </w:rPr>
      </w:pPr>
    </w:p>
    <w:p w14:paraId="782B84AF" w14:textId="77777777" w:rsidR="00BE63CE" w:rsidRPr="00E14102" w:rsidRDefault="00BE63CE" w:rsidP="00E14102">
      <w:pPr>
        <w:shd w:val="clear" w:color="auto" w:fill="FFFFFF"/>
        <w:jc w:val="both"/>
        <w:rPr>
          <w:color w:val="000000" w:themeColor="text1"/>
          <w:sz w:val="16"/>
          <w:szCs w:val="16"/>
        </w:rPr>
      </w:pPr>
      <w:r w:rsidRPr="00E14102">
        <w:rPr>
          <w:color w:val="000000" w:themeColor="text1"/>
          <w:sz w:val="16"/>
          <w:szCs w:val="16"/>
        </w:rPr>
        <w:t>Осенью 1935 года был разработан проект ЦКБ-19. ЦКБ-19 оснащался пулеметным вооружением в крыле. На заводе № 39 его строили сразу в двух экземплярах, причем второй из них предназначался для установки пушки. Самолет отличался от ЦКБ-15 увеличенной колеей шасси, новым пневматическим механизмом уборки колес. Впервые в отечественном самолетостроении на машине установили водомасляный радиатор, охлаждавшийся водой основных радиаторов, размещенных уже в крыле. Одновременно с ЦКБ-19 завершилось проектирование его пушечного варианта ЦКБ-19бис (иногда эту машину называли И-17бис), который отличался в основном двигателем и вооружением. В развале блока цилиндров двигателя установили скорострельную 20-мм авиационную пушку ШВАК: ее ствол проходил через полый вал редуктора винта. Данную конструкцию называли «мотор-пушка». В дополнении к пушке в отъемных частях крыла установили два пулемета ШКАС, предусматривалась и подвеска бомб до 100 кг. Такая схема размещения вооружения на истребителе также применялась впервые. Самолет получил внешние дополнительные отличия: верхний фюзеляжный люк для установки пушки и маслорадиатор, расположенный на левой нижней части капота. Крышка кабины ЦКБ-19бис сдвигалась назад.</w:t>
      </w:r>
    </w:p>
    <w:p w14:paraId="388E3652" w14:textId="77777777" w:rsidR="00BE63CE" w:rsidRPr="00E14102" w:rsidRDefault="00BE63CE" w:rsidP="00E14102">
      <w:pPr>
        <w:shd w:val="clear" w:color="auto" w:fill="FFFFFF"/>
        <w:jc w:val="both"/>
        <w:rPr>
          <w:color w:val="000000" w:themeColor="text1"/>
          <w:sz w:val="16"/>
          <w:szCs w:val="16"/>
        </w:rPr>
      </w:pPr>
      <w:r w:rsidRPr="00E14102">
        <w:rPr>
          <w:color w:val="000000" w:themeColor="text1"/>
          <w:sz w:val="16"/>
          <w:szCs w:val="16"/>
        </w:rPr>
        <w:t>Длина обеих вариантов ЦКБ-19 составляла 7,4 метра, размах – 10 метров, площадь крыла 17,65 квадратных метра. Расчетные летные характеристики самолетов были также близки: максимальная скорость - 456-458 км/ч на высоте 3380-3750 метров. ЦКБ-19 строился с двигателем М-100А, а ЦКБ-19бис – с двигателем М-100П (15223).</w:t>
      </w:r>
    </w:p>
    <w:p w14:paraId="42C6AE4C" w14:textId="77777777" w:rsidR="00BE63CE" w:rsidRPr="00E14102" w:rsidRDefault="00BE63CE" w:rsidP="00E14102">
      <w:pPr>
        <w:shd w:val="clear" w:color="auto" w:fill="FFFFFF"/>
        <w:jc w:val="both"/>
        <w:rPr>
          <w:color w:val="000000" w:themeColor="text1"/>
          <w:sz w:val="16"/>
          <w:szCs w:val="16"/>
        </w:rPr>
      </w:pPr>
    </w:p>
    <w:p w14:paraId="5B1970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Осенью 1935 А.А.Боровкову и И.Ф.Флорову, закончившим учебный И-5, поручили делать свой самолет, который стал 7211, так как поняли, что хотят что-то оригинальное (1204,88).</w:t>
      </w:r>
    </w:p>
    <w:p w14:paraId="79FEB97D" w14:textId="77777777" w:rsidR="00D4105E" w:rsidRPr="00E14102" w:rsidRDefault="00D4105E" w:rsidP="00E14102">
      <w:pPr>
        <w:autoSpaceDE w:val="0"/>
        <w:autoSpaceDN w:val="0"/>
        <w:adjustRightInd w:val="0"/>
        <w:jc w:val="both"/>
        <w:rPr>
          <w:color w:val="000000" w:themeColor="text1"/>
          <w:sz w:val="16"/>
          <w:szCs w:val="16"/>
        </w:rPr>
      </w:pPr>
    </w:p>
    <w:p w14:paraId="3C1EF7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Осенью 1935 Я.И.Алкснис лично принял макет самолета 7211 А.А.Боровкова и И.Ф.Флорова на 21 заводе (127,18).</w:t>
      </w:r>
    </w:p>
    <w:p w14:paraId="0B071D17" w14:textId="77777777" w:rsidR="00D4105E" w:rsidRPr="00E14102" w:rsidRDefault="00D4105E" w:rsidP="00E14102">
      <w:pPr>
        <w:autoSpaceDE w:val="0"/>
        <w:autoSpaceDN w:val="0"/>
        <w:adjustRightInd w:val="0"/>
        <w:jc w:val="both"/>
        <w:rPr>
          <w:color w:val="000000" w:themeColor="text1"/>
          <w:sz w:val="16"/>
          <w:szCs w:val="16"/>
        </w:rPr>
      </w:pPr>
    </w:p>
    <w:p w14:paraId="2AF3C4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Осенью 1935 испытывали систему перелива топлива из планера в самолет при перелете из Москвы в Коктебель. Дюритовый шланг с тросом внутри. Погода была плохая, но все получилось (94,9).</w:t>
      </w:r>
    </w:p>
    <w:p w14:paraId="64D6ECE6" w14:textId="77777777" w:rsidR="00D4105E" w:rsidRPr="00E14102" w:rsidRDefault="00D4105E" w:rsidP="00E14102">
      <w:pPr>
        <w:autoSpaceDE w:val="0"/>
        <w:autoSpaceDN w:val="0"/>
        <w:adjustRightInd w:val="0"/>
        <w:jc w:val="both"/>
        <w:rPr>
          <w:color w:val="000000" w:themeColor="text1"/>
          <w:sz w:val="16"/>
          <w:szCs w:val="16"/>
        </w:rPr>
      </w:pPr>
    </w:p>
    <w:p w14:paraId="244B18DC" w14:textId="77777777" w:rsidR="0096554E" w:rsidRPr="00E14102" w:rsidRDefault="0096554E" w:rsidP="00E14102">
      <w:pPr>
        <w:jc w:val="both"/>
        <w:rPr>
          <w:color w:val="000000" w:themeColor="text1"/>
          <w:sz w:val="16"/>
          <w:szCs w:val="16"/>
        </w:rPr>
      </w:pPr>
      <w:r w:rsidRPr="00E14102">
        <w:rPr>
          <w:color w:val="000000" w:themeColor="text1"/>
          <w:sz w:val="16"/>
          <w:szCs w:val="16"/>
        </w:rPr>
        <w:t xml:space="preserve">Осенью 1935 г. воздушный поезд в составе самолёта П-5 (пилот И.С. Баранов, командир поезда М. Кокошко и сцепщик М.Е. Захаров) и планера-топливовоза Г-14 ЦЛ-2 (пилот К.М. Венслав) совершил беспосадочный перелёт из Москвы в Коктебель дальностью 1524 км. Участок от Москвы до Курска происходил в условиях сильной болтанки, что послужило хорошей проверкой системы буксировки и перелива топлива. Всё прошло без происшествий, был установлен мировой рекорд дальности беспосадочного полёта планера на буксире. При посадке в баках самолёта оставалось топлива ещё примерно на 500 км полёта (перелёт был рассчитан на 2000 км, но из-за погодных условий маршрут пришлось сократить) </w:t>
      </w:r>
      <w:hyperlink r:id="rId198" w:history="1">
        <w:r w:rsidRPr="00E14102">
          <w:rPr>
            <w:color w:val="000000" w:themeColor="text1"/>
            <w:sz w:val="16"/>
            <w:szCs w:val="16"/>
          </w:rPr>
          <w:t>[62]</w:t>
        </w:r>
      </w:hyperlink>
      <w:r w:rsidRPr="00E14102">
        <w:rPr>
          <w:color w:val="000000" w:themeColor="text1"/>
          <w:sz w:val="16"/>
          <w:szCs w:val="16"/>
        </w:rPr>
        <w:t>. Следовательно, использование планера-цистерны позволяло увеличить дальность полёта П-5 почти вдвое (нормальная дальность этого самолёта — 1100 км).</w:t>
      </w:r>
    </w:p>
    <w:p w14:paraId="70057993" w14:textId="77777777" w:rsidR="0096554E" w:rsidRPr="00E14102" w:rsidRDefault="0096554E" w:rsidP="00E14102">
      <w:pPr>
        <w:jc w:val="both"/>
        <w:rPr>
          <w:color w:val="000000" w:themeColor="text1"/>
          <w:sz w:val="16"/>
          <w:szCs w:val="16"/>
        </w:rPr>
      </w:pPr>
      <w:r w:rsidRPr="00E14102">
        <w:rPr>
          <w:color w:val="000000" w:themeColor="text1"/>
          <w:sz w:val="16"/>
          <w:szCs w:val="16"/>
        </w:rPr>
        <w:lastRenderedPageBreak/>
        <w:t>Работы в этом направлении начались в 1935 г. на московском авиазаводе № 1 им. Авиахима под руководством инженера Авруцкого. Созданная при заводском аэроклубе инициативная группа конструкторов во внерабочее время разработала чертежи оборудования, которое изготовили рабочие, входившие в эту группу. Проведенный в аэроклубе эксперимент по переливу топлива из планера в самолёт показал, что всё работает нормально.</w:t>
      </w:r>
    </w:p>
    <w:p w14:paraId="1D15EB73" w14:textId="77777777" w:rsidR="0096554E" w:rsidRPr="00E14102" w:rsidRDefault="0096554E" w:rsidP="00E14102">
      <w:pPr>
        <w:jc w:val="both"/>
        <w:rPr>
          <w:color w:val="000000" w:themeColor="text1"/>
          <w:sz w:val="16"/>
          <w:szCs w:val="16"/>
        </w:rPr>
      </w:pPr>
      <w:r w:rsidRPr="00E14102">
        <w:rPr>
          <w:color w:val="000000" w:themeColor="text1"/>
          <w:sz w:val="16"/>
          <w:szCs w:val="16"/>
        </w:rPr>
        <w:t xml:space="preserve">После этого приступили к созданию «летающей цистерны» на основе двухместного планера В.К. Грибовского Г-14. Она получила обозначение Г-14 ЦЛ-2А. В работе принимал активное участие конструктор планера, поддержавший идею заводчан. Предназначавшееся для перелива в самолёт топливо разместили в пяти баках: по два установили в консолях крыла и один — в фюзеляже на месте второй кабины. Буксировщик соединялся с планером дюритовым </w:t>
      </w:r>
      <w:hyperlink r:id="rId199" w:history="1">
        <w:r w:rsidRPr="00E14102">
          <w:rPr>
            <w:color w:val="000000" w:themeColor="text1"/>
            <w:sz w:val="16"/>
            <w:szCs w:val="16"/>
          </w:rPr>
          <w:t>[60]</w:t>
        </w:r>
      </w:hyperlink>
      <w:r w:rsidRPr="00E14102">
        <w:rPr>
          <w:color w:val="000000" w:themeColor="text1"/>
          <w:sz w:val="16"/>
          <w:szCs w:val="16"/>
        </w:rPr>
        <w:t xml:space="preserve"> шлангом, внутри которого был протянут трос, воспринимающий нагрузки во время полёта. Для соединения такого буксира к планеру и самолёту сконструировали специальные замки. Топливо подавалось самотёком, в это время планер должен был лететь выше буксировщика </w:t>
      </w:r>
      <w:hyperlink r:id="rId200" w:history="1">
        <w:r w:rsidRPr="00E14102">
          <w:rPr>
            <w:color w:val="000000" w:themeColor="text1"/>
            <w:sz w:val="16"/>
            <w:szCs w:val="16"/>
          </w:rPr>
          <w:t>[61]</w:t>
        </w:r>
      </w:hyperlink>
      <w:r w:rsidRPr="00E14102">
        <w:rPr>
          <w:color w:val="000000" w:themeColor="text1"/>
          <w:sz w:val="16"/>
          <w:szCs w:val="16"/>
        </w:rPr>
        <w:t>.</w:t>
      </w:r>
    </w:p>
    <w:p w14:paraId="6CF655BE" w14:textId="77777777" w:rsidR="0096554E" w:rsidRPr="00E14102" w:rsidRDefault="0096554E" w:rsidP="00E14102">
      <w:pPr>
        <w:jc w:val="both"/>
        <w:rPr>
          <w:color w:val="000000" w:themeColor="text1"/>
          <w:sz w:val="16"/>
          <w:szCs w:val="16"/>
        </w:rPr>
      </w:pPr>
      <w:r w:rsidRPr="00E14102">
        <w:rPr>
          <w:color w:val="000000" w:themeColor="text1"/>
          <w:sz w:val="16"/>
          <w:szCs w:val="16"/>
        </w:rPr>
        <w:t>В конце 1935 г. в Таганрогском аэроклубе на основе планера Г-14 разработали проект летающей цистерны на тонну горючего. Планировалось переливать из неё в полёте бензин не только в буксировщик, но и в другие самолёты.</w:t>
      </w:r>
    </w:p>
    <w:p w14:paraId="4144585A" w14:textId="77777777" w:rsidR="0096554E" w:rsidRPr="00E14102" w:rsidRDefault="0096554E" w:rsidP="00E14102">
      <w:pPr>
        <w:jc w:val="both"/>
        <w:rPr>
          <w:color w:val="000000" w:themeColor="text1"/>
          <w:sz w:val="16"/>
          <w:szCs w:val="16"/>
        </w:rPr>
      </w:pPr>
      <w:r w:rsidRPr="00E14102">
        <w:rPr>
          <w:color w:val="000000" w:themeColor="text1"/>
          <w:sz w:val="16"/>
          <w:szCs w:val="16"/>
        </w:rPr>
        <w:t xml:space="preserve">Во время Великой Отечественной войны велись опыты по заправке бомбардировщика Ил-4 от буксируемого им десантного планера А-7. </w:t>
      </w:r>
    </w:p>
    <w:p w14:paraId="75FE581F" w14:textId="77777777" w:rsidR="0096554E" w:rsidRPr="00E14102" w:rsidRDefault="0096554E" w:rsidP="00E14102">
      <w:pPr>
        <w:jc w:val="both"/>
        <w:rPr>
          <w:color w:val="000000" w:themeColor="text1"/>
          <w:sz w:val="16"/>
          <w:szCs w:val="16"/>
        </w:rPr>
      </w:pPr>
      <w:r w:rsidRPr="00E14102">
        <w:rPr>
          <w:color w:val="000000" w:themeColor="text1"/>
          <w:sz w:val="16"/>
          <w:szCs w:val="16"/>
        </w:rPr>
        <w:t>Итак, в СССР в довоенный период эксперименты по дозаправке в полёте показали, что такой метод возможен. Однако из-за ряда технических проблем они не перешли в стадию практического применения. Несколько больший размах опыты по передаче горючего с самолёта на самолёт получили за рубежом. В 1934 г. в Англии даже была основана коммерческая фирма «Флайт Рефьюлинг» («дозаправка в полёте»). В 1939 г. она 15 раз участвовала в заправке английских тяжёлых гидросамолётов, выполнявших трансатлантические рейсы в Америку. Начавшаяся война прервала эти работы. Идея дозаправки в полёте возродилась уже после войны, на новом техническом уровне (17489).</w:t>
      </w:r>
    </w:p>
    <w:p w14:paraId="39879EE3" w14:textId="77777777" w:rsidR="0096554E" w:rsidRPr="00E14102" w:rsidRDefault="0096554E" w:rsidP="00E14102">
      <w:pPr>
        <w:jc w:val="both"/>
        <w:rPr>
          <w:color w:val="000000" w:themeColor="text1"/>
          <w:sz w:val="16"/>
          <w:szCs w:val="16"/>
        </w:rPr>
      </w:pPr>
    </w:p>
    <w:p w14:paraId="22E74D99" w14:textId="77777777" w:rsidR="0096554E" w:rsidRPr="00E14102" w:rsidRDefault="0096554E" w:rsidP="00E14102">
      <w:pPr>
        <w:jc w:val="both"/>
        <w:rPr>
          <w:color w:val="000000" w:themeColor="text1"/>
          <w:sz w:val="16"/>
          <w:szCs w:val="16"/>
        </w:rPr>
      </w:pPr>
      <w:r w:rsidRPr="00E14102">
        <w:rPr>
          <w:color w:val="000000" w:themeColor="text1"/>
          <w:sz w:val="16"/>
          <w:szCs w:val="16"/>
        </w:rPr>
        <w:t>Осенью 1935 г. СК-9 показал хорошие лётные свойства во время буксирного перелёта за самолётом Р-5 из Москвы в Крым и обратно На части маршрута планером управлял сам конструктор. В Коктебеле СК-9 с успехом участвовал на XI Всесоюзных планерных состязаниях.</w:t>
      </w:r>
    </w:p>
    <w:p w14:paraId="1E98A5F9" w14:textId="77777777" w:rsidR="0096554E" w:rsidRPr="00E14102" w:rsidRDefault="0096554E" w:rsidP="00E14102">
      <w:pPr>
        <w:jc w:val="both"/>
        <w:rPr>
          <w:color w:val="000000" w:themeColor="text1"/>
          <w:sz w:val="16"/>
          <w:szCs w:val="16"/>
        </w:rPr>
      </w:pPr>
      <w:r w:rsidRPr="00E14102">
        <w:rPr>
          <w:color w:val="000000" w:themeColor="text1"/>
          <w:sz w:val="16"/>
          <w:szCs w:val="16"/>
        </w:rPr>
        <w:t>СК-9 был построен на Московском планерном заводе в 1935 г. Королёв спроектировал его с учётом предстоящей установки жидкостного ракетного двигателя. Этим объясняется необычно большие для планера габариты фюзеляжа, приподнятое над фюзеляжем хвостовое оперение и повышенный запас прочности. Аппарат имел цельнодеревянную конструкцию со среднерасположенным крылом. Благодаря чистоте форм и большому размаху крыла он обладал высоким аэродинамическим качеством. Посадка происходила на ясеневую лыжу, окованную стальными листами и соединённую с фюзеляжем через набор резиновых амортизационных колец, закрытых брезентовым полотном. Управление рулями — тросовое (17489).</w:t>
      </w:r>
    </w:p>
    <w:p w14:paraId="61240E8E" w14:textId="77777777" w:rsidR="0096554E" w:rsidRPr="00E14102" w:rsidRDefault="0096554E" w:rsidP="00E14102">
      <w:pPr>
        <w:jc w:val="both"/>
        <w:rPr>
          <w:color w:val="000000" w:themeColor="text1"/>
          <w:sz w:val="16"/>
          <w:szCs w:val="16"/>
        </w:rPr>
      </w:pPr>
    </w:p>
    <w:p w14:paraId="3F4F5A44"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Осенью 1935 г. «воздушный поезд» в составе самолета П-5Л (пилот И.С.Баранов) и планера Г-14 ЦЛ-2А (пилот К.М.Венслав) совершил беспосадочный перелет, с переливом бензина в полете, из Москвы в Коктебель. Общая протяженность маршрута составили 1524 км, что соответствовало рекордному значению беспосадочной буксировки.</w:t>
      </w:r>
    </w:p>
    <w:p w14:paraId="6246C622"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Развивая идею ьысотной буксировки, впервые примененную на Г-9, инженер Щербаков предложил использовать метод «цепочки», когда один за другим буксируется несколько планеров, где каждый последующий летит выше предыдущего. Для отработки этого способа Щербаков использовал два планера Грибовского - Г-14 и Г-9. Первым за буксировщиком ТБ-1 шел Г-14, за ним Г-9.</w:t>
      </w:r>
    </w:p>
    <w:p w14:paraId="502BE19D"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«Промежуточный» Г-14 доработали следующим образом. Переднюю кабину увеличили и закрыли прозрачным, откидываемым назад фонарем. В задней кабине установили барабан с длинным двухмиллиметровым тросом, разматываемым специальной лебедкой. Для безопасного выхода троса, с правой стороны фюзеляжа закрепили длинную трубу, доходящую до вертикального оперения.</w:t>
      </w:r>
    </w:p>
    <w:p w14:paraId="3E7B2704"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Было выполнено много полетов «цепочки» в составе буксировщика ТБ-1, промежуточного звена Г-14 и замыкающего Г-9. В начале апреля 1936 г. зафиксировали следующие результаты: ТБ-1 летел на высоте 5000 м, Г-14 на 6000 м, а замыкающий Г-9 на 7000 м.</w:t>
      </w:r>
    </w:p>
    <w:p w14:paraId="15949C46"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Дальнейшие опыты было решено прекратить, так как высотные полеты в негерметичной планерной кабине оказались далеко не комфортными для пилотов. По предложению конструктора А.Я.Щербакова Г-14 для высотных полетов оборудовали гермокабиной, способной в значительной степени облегчить работу летчика в разреженной атмосфере.</w:t>
      </w:r>
    </w:p>
    <w:p w14:paraId="013BD86A"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«Кабина» представляла собой эластичный кокон, выклеенный из прорезиненного перкаля по форме фигуры сидящего летчика. Сверху она закрывалась металлическим колпаком с иллюминаторами. Приборный щиток пилота находился вне кабины, в носовой части фюзеляжа.</w:t>
      </w:r>
    </w:p>
    <w:p w14:paraId="6FEA09B6"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Не известно доподлинно, являлся ли «высотный» Г-14 вновь построенным аппаратом, или его переделали из планера, входящего в состав «цепочки».</w:t>
      </w:r>
    </w:p>
    <w:p w14:paraId="00837598"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Кроме построенных образцов, в планах Грибовского имелся проект превращения Г-14 в мотопланер, в котором маломощный двигатель предполагалось разместить на пилоне над фюзеляжем.</w:t>
      </w:r>
    </w:p>
    <w:p w14:paraId="4E430B94"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Рассматривался Г-14 и в качестве ракетоплана для испытаний в воздухе жидкостного ракетного двигателя РДА-1-150 конструкции Л.С.Душкина и В.А.Штоколова (этот ЖРД испытали на ракетоплане РП-318, переоборудованном из планера СК-9 С.П.Королева).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1"/>
      </w:tblGrid>
      <w:tr w:rsidR="00E3599D" w:rsidRPr="00E14102" w14:paraId="3ABF6D6D"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D2011EB" w14:textId="77777777" w:rsidR="00164F4F" w:rsidRPr="00E14102" w:rsidRDefault="00164F4F" w:rsidP="00E14102">
            <w:pPr>
              <w:jc w:val="both"/>
              <w:rPr>
                <w:color w:val="000000" w:themeColor="text1"/>
                <w:sz w:val="16"/>
                <w:szCs w:val="16"/>
              </w:rPr>
            </w:pPr>
            <w:r w:rsidRPr="00E14102">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25C51EA" w14:textId="77777777" w:rsidR="00164F4F" w:rsidRPr="00E14102" w:rsidRDefault="00164F4F" w:rsidP="00E14102">
            <w:pPr>
              <w:jc w:val="both"/>
              <w:rPr>
                <w:color w:val="000000" w:themeColor="text1"/>
                <w:sz w:val="16"/>
                <w:szCs w:val="16"/>
              </w:rPr>
            </w:pPr>
            <w:r w:rsidRPr="00E14102">
              <w:rPr>
                <w:color w:val="000000" w:themeColor="text1"/>
                <w:sz w:val="16"/>
                <w:szCs w:val="16"/>
              </w:rPr>
              <w:t>  Г-14</w:t>
            </w:r>
          </w:p>
        </w:tc>
      </w:tr>
      <w:tr w:rsidR="00E3599D" w:rsidRPr="00E14102" w14:paraId="4240B53C"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D5CC42" w14:textId="77777777" w:rsidR="00164F4F" w:rsidRPr="00E14102" w:rsidRDefault="00164F4F" w:rsidP="00E14102">
            <w:pPr>
              <w:jc w:val="both"/>
              <w:rPr>
                <w:color w:val="000000" w:themeColor="text1"/>
                <w:sz w:val="16"/>
                <w:szCs w:val="16"/>
              </w:rPr>
            </w:pPr>
            <w:r w:rsidRPr="00E14102">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09DBC4" w14:textId="77777777" w:rsidR="00164F4F" w:rsidRPr="00E14102" w:rsidRDefault="00164F4F" w:rsidP="00E14102">
            <w:pPr>
              <w:jc w:val="both"/>
              <w:rPr>
                <w:color w:val="000000" w:themeColor="text1"/>
                <w:sz w:val="16"/>
                <w:szCs w:val="16"/>
              </w:rPr>
            </w:pPr>
            <w:r w:rsidRPr="00E14102">
              <w:rPr>
                <w:color w:val="000000" w:themeColor="text1"/>
                <w:sz w:val="16"/>
                <w:szCs w:val="16"/>
              </w:rPr>
              <w:t>  15.00</w:t>
            </w:r>
          </w:p>
        </w:tc>
      </w:tr>
      <w:tr w:rsidR="00E3599D" w:rsidRPr="00E14102" w14:paraId="66F818EB"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775A021" w14:textId="77777777" w:rsidR="00164F4F" w:rsidRPr="00E14102" w:rsidRDefault="00164F4F" w:rsidP="00E14102">
            <w:pPr>
              <w:jc w:val="both"/>
              <w:rPr>
                <w:color w:val="000000" w:themeColor="text1"/>
                <w:sz w:val="16"/>
                <w:szCs w:val="16"/>
              </w:rPr>
            </w:pPr>
            <w:r w:rsidRPr="00E14102">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68CE9F5" w14:textId="77777777" w:rsidR="00164F4F" w:rsidRPr="00E14102" w:rsidRDefault="00164F4F" w:rsidP="00E14102">
            <w:pPr>
              <w:jc w:val="both"/>
              <w:rPr>
                <w:color w:val="000000" w:themeColor="text1"/>
                <w:sz w:val="16"/>
                <w:szCs w:val="16"/>
              </w:rPr>
            </w:pPr>
            <w:r w:rsidRPr="00E14102">
              <w:rPr>
                <w:color w:val="000000" w:themeColor="text1"/>
                <w:sz w:val="16"/>
                <w:szCs w:val="16"/>
              </w:rPr>
              <w:t>  7.80</w:t>
            </w:r>
          </w:p>
        </w:tc>
      </w:tr>
      <w:tr w:rsidR="00E3599D" w:rsidRPr="00E14102" w14:paraId="4B0E1A8D"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E0E30F" w14:textId="77777777" w:rsidR="00164F4F" w:rsidRPr="00E14102" w:rsidRDefault="00164F4F" w:rsidP="00E14102">
            <w:pPr>
              <w:jc w:val="both"/>
              <w:rPr>
                <w:color w:val="000000" w:themeColor="text1"/>
                <w:sz w:val="16"/>
                <w:szCs w:val="16"/>
              </w:rPr>
            </w:pPr>
            <w:r w:rsidRPr="00E14102">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C73A1AD" w14:textId="77777777" w:rsidR="00164F4F" w:rsidRPr="00E14102" w:rsidRDefault="00164F4F" w:rsidP="00E14102">
            <w:pPr>
              <w:jc w:val="both"/>
              <w:rPr>
                <w:color w:val="000000" w:themeColor="text1"/>
                <w:sz w:val="16"/>
                <w:szCs w:val="16"/>
              </w:rPr>
            </w:pPr>
            <w:r w:rsidRPr="00E14102">
              <w:rPr>
                <w:color w:val="000000" w:themeColor="text1"/>
                <w:sz w:val="16"/>
                <w:szCs w:val="16"/>
              </w:rPr>
              <w:t>  1.35</w:t>
            </w:r>
          </w:p>
        </w:tc>
      </w:tr>
      <w:tr w:rsidR="00E3599D" w:rsidRPr="00E14102" w14:paraId="69BE0EB7"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1D6F9B" w14:textId="77777777" w:rsidR="00164F4F" w:rsidRPr="00E14102" w:rsidRDefault="00164F4F" w:rsidP="00E14102">
            <w:pPr>
              <w:jc w:val="both"/>
              <w:rPr>
                <w:color w:val="000000" w:themeColor="text1"/>
                <w:sz w:val="16"/>
                <w:szCs w:val="16"/>
              </w:rPr>
            </w:pPr>
            <w:r w:rsidRPr="00E14102">
              <w:rPr>
                <w:color w:val="000000" w:themeColor="text1"/>
                <w:sz w:val="16"/>
                <w:szCs w:val="16"/>
              </w:rPr>
              <w:t>Площадь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4F8C16" w14:textId="77777777" w:rsidR="00164F4F" w:rsidRPr="00E14102" w:rsidRDefault="00164F4F" w:rsidP="00E14102">
            <w:pPr>
              <w:jc w:val="both"/>
              <w:rPr>
                <w:color w:val="000000" w:themeColor="text1"/>
                <w:sz w:val="16"/>
                <w:szCs w:val="16"/>
              </w:rPr>
            </w:pPr>
            <w:r w:rsidRPr="00E14102">
              <w:rPr>
                <w:color w:val="000000" w:themeColor="text1"/>
                <w:sz w:val="16"/>
                <w:szCs w:val="16"/>
              </w:rPr>
              <w:t>  18.00</w:t>
            </w:r>
          </w:p>
        </w:tc>
      </w:tr>
      <w:tr w:rsidR="00E3599D" w:rsidRPr="00E14102" w14:paraId="0E268FA4"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B4783CF" w14:textId="77777777" w:rsidR="00164F4F" w:rsidRPr="00E14102" w:rsidRDefault="00164F4F" w:rsidP="00E14102">
            <w:pPr>
              <w:jc w:val="both"/>
              <w:rPr>
                <w:color w:val="000000" w:themeColor="text1"/>
                <w:sz w:val="16"/>
                <w:szCs w:val="16"/>
              </w:rPr>
            </w:pPr>
            <w:r w:rsidRPr="00E14102">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198634E" w14:textId="77777777" w:rsidR="00164F4F" w:rsidRPr="00E14102" w:rsidRDefault="00164F4F" w:rsidP="00E14102">
            <w:pPr>
              <w:jc w:val="both"/>
              <w:rPr>
                <w:color w:val="000000" w:themeColor="text1"/>
                <w:sz w:val="16"/>
                <w:szCs w:val="16"/>
              </w:rPr>
            </w:pPr>
            <w:r w:rsidRPr="00E14102">
              <w:rPr>
                <w:color w:val="000000" w:themeColor="text1"/>
                <w:sz w:val="16"/>
                <w:szCs w:val="16"/>
              </w:rPr>
              <w:t> </w:t>
            </w:r>
          </w:p>
        </w:tc>
      </w:tr>
      <w:tr w:rsidR="00E3599D" w:rsidRPr="00E14102" w14:paraId="427860C3"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861340E" w14:textId="77777777" w:rsidR="00164F4F" w:rsidRPr="00E14102" w:rsidRDefault="00164F4F" w:rsidP="00E14102">
            <w:pPr>
              <w:jc w:val="both"/>
              <w:rPr>
                <w:color w:val="000000" w:themeColor="text1"/>
                <w:sz w:val="16"/>
                <w:szCs w:val="16"/>
              </w:rPr>
            </w:pPr>
            <w:r w:rsidRPr="00E14102">
              <w:rPr>
                <w:color w:val="000000" w:themeColor="text1"/>
                <w:sz w:val="16"/>
                <w:szCs w:val="16"/>
              </w:rPr>
              <w:t>  пустого снаряженного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17071B" w14:textId="77777777" w:rsidR="00164F4F" w:rsidRPr="00E14102" w:rsidRDefault="00164F4F" w:rsidP="00E14102">
            <w:pPr>
              <w:jc w:val="both"/>
              <w:rPr>
                <w:color w:val="000000" w:themeColor="text1"/>
                <w:sz w:val="16"/>
                <w:szCs w:val="16"/>
              </w:rPr>
            </w:pPr>
            <w:r w:rsidRPr="00E14102">
              <w:rPr>
                <w:color w:val="000000" w:themeColor="text1"/>
                <w:sz w:val="16"/>
                <w:szCs w:val="16"/>
              </w:rPr>
              <w:t>  261</w:t>
            </w:r>
          </w:p>
        </w:tc>
      </w:tr>
      <w:tr w:rsidR="00E3599D" w:rsidRPr="00E14102" w14:paraId="2028B3DC"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24FD65" w14:textId="77777777" w:rsidR="00164F4F" w:rsidRPr="00E14102" w:rsidRDefault="00164F4F" w:rsidP="00E14102">
            <w:pPr>
              <w:jc w:val="both"/>
              <w:rPr>
                <w:color w:val="000000" w:themeColor="text1"/>
                <w:sz w:val="16"/>
                <w:szCs w:val="16"/>
              </w:rPr>
            </w:pPr>
            <w:r w:rsidRPr="00E14102">
              <w:rPr>
                <w:color w:val="000000" w:themeColor="text1"/>
                <w:sz w:val="16"/>
                <w:szCs w:val="16"/>
              </w:rPr>
              <w:t>  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919DC63" w14:textId="77777777" w:rsidR="00164F4F" w:rsidRPr="00E14102" w:rsidRDefault="00164F4F" w:rsidP="00E14102">
            <w:pPr>
              <w:jc w:val="both"/>
              <w:rPr>
                <w:color w:val="000000" w:themeColor="text1"/>
                <w:sz w:val="16"/>
                <w:szCs w:val="16"/>
              </w:rPr>
            </w:pPr>
            <w:r w:rsidRPr="00E14102">
              <w:rPr>
                <w:color w:val="000000" w:themeColor="text1"/>
                <w:sz w:val="16"/>
                <w:szCs w:val="16"/>
              </w:rPr>
              <w:t> </w:t>
            </w:r>
          </w:p>
        </w:tc>
      </w:tr>
      <w:tr w:rsidR="00E3599D" w:rsidRPr="00E14102" w14:paraId="662BC7B6"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88B5FE" w14:textId="77777777" w:rsidR="00164F4F" w:rsidRPr="00E14102" w:rsidRDefault="00164F4F" w:rsidP="00E14102">
            <w:pPr>
              <w:jc w:val="both"/>
              <w:rPr>
                <w:color w:val="000000" w:themeColor="text1"/>
                <w:sz w:val="16"/>
                <w:szCs w:val="16"/>
              </w:rPr>
            </w:pPr>
            <w:r w:rsidRPr="00E14102">
              <w:rPr>
                <w:color w:val="000000" w:themeColor="text1"/>
                <w:sz w:val="16"/>
                <w:szCs w:val="16"/>
              </w:rPr>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BBABE85" w14:textId="77777777" w:rsidR="00164F4F" w:rsidRPr="00E14102" w:rsidRDefault="00164F4F" w:rsidP="00E14102">
            <w:pPr>
              <w:jc w:val="both"/>
              <w:rPr>
                <w:color w:val="000000" w:themeColor="text1"/>
                <w:sz w:val="16"/>
                <w:szCs w:val="16"/>
              </w:rPr>
            </w:pPr>
            <w:r w:rsidRPr="00E14102">
              <w:rPr>
                <w:color w:val="000000" w:themeColor="text1"/>
                <w:sz w:val="16"/>
                <w:szCs w:val="16"/>
              </w:rPr>
              <w:t>  15</w:t>
            </w:r>
          </w:p>
        </w:tc>
      </w:tr>
      <w:tr w:rsidR="00E3599D" w:rsidRPr="00E14102" w14:paraId="3D6C90F2"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997153" w14:textId="77777777" w:rsidR="00164F4F" w:rsidRPr="00E14102" w:rsidRDefault="00164F4F" w:rsidP="00E14102">
            <w:pPr>
              <w:jc w:val="both"/>
              <w:rPr>
                <w:color w:val="000000" w:themeColor="text1"/>
                <w:sz w:val="16"/>
                <w:szCs w:val="16"/>
              </w:rPr>
            </w:pPr>
            <w:r w:rsidRPr="00E14102">
              <w:rPr>
                <w:color w:val="000000" w:themeColor="text1"/>
                <w:sz w:val="16"/>
                <w:szCs w:val="16"/>
              </w:rPr>
              <w:t>Минимальная скорость снижения, м/с</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9D5FAE" w14:textId="77777777" w:rsidR="00164F4F" w:rsidRPr="00E14102" w:rsidRDefault="00164F4F" w:rsidP="00E14102">
            <w:pPr>
              <w:jc w:val="both"/>
              <w:rPr>
                <w:color w:val="000000" w:themeColor="text1"/>
                <w:sz w:val="16"/>
                <w:szCs w:val="16"/>
              </w:rPr>
            </w:pPr>
            <w:r w:rsidRPr="00E14102">
              <w:rPr>
                <w:color w:val="000000" w:themeColor="text1"/>
                <w:sz w:val="16"/>
                <w:szCs w:val="16"/>
              </w:rPr>
              <w:t>  1.06</w:t>
            </w:r>
          </w:p>
        </w:tc>
      </w:tr>
      <w:tr w:rsidR="00E3599D" w:rsidRPr="00E14102" w14:paraId="3BF6F0A7"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015BC6" w14:textId="77777777" w:rsidR="00164F4F" w:rsidRPr="00E14102" w:rsidRDefault="00164F4F" w:rsidP="00E14102">
            <w:pPr>
              <w:jc w:val="both"/>
              <w:rPr>
                <w:color w:val="000000" w:themeColor="text1"/>
                <w:sz w:val="16"/>
                <w:szCs w:val="16"/>
              </w:rPr>
            </w:pPr>
            <w:r w:rsidRPr="00E14102">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2A75D4" w14:textId="77777777" w:rsidR="00164F4F" w:rsidRPr="00E14102" w:rsidRDefault="00164F4F" w:rsidP="00E14102">
            <w:pPr>
              <w:jc w:val="both"/>
              <w:rPr>
                <w:color w:val="000000" w:themeColor="text1"/>
                <w:sz w:val="16"/>
                <w:szCs w:val="16"/>
              </w:rPr>
            </w:pPr>
            <w:r w:rsidRPr="00E14102">
              <w:rPr>
                <w:color w:val="000000" w:themeColor="text1"/>
                <w:sz w:val="16"/>
                <w:szCs w:val="16"/>
              </w:rPr>
              <w:t>  2</w:t>
            </w:r>
          </w:p>
        </w:tc>
      </w:tr>
    </w:tbl>
    <w:p w14:paraId="0B7AF7B6" w14:textId="77777777" w:rsidR="00164F4F" w:rsidRPr="00E14102" w:rsidRDefault="00164F4F" w:rsidP="00E14102">
      <w:pPr>
        <w:pBdr>
          <w:bottom w:val="single" w:sz="6" w:space="2" w:color="EBEBEB"/>
        </w:pBdr>
        <w:shd w:val="clear" w:color="auto" w:fill="FFFFFF"/>
        <w:jc w:val="both"/>
        <w:rPr>
          <w:color w:val="000000" w:themeColor="text1"/>
          <w:sz w:val="16"/>
          <w:szCs w:val="16"/>
        </w:rPr>
      </w:pPr>
      <w:r w:rsidRPr="00E14102">
        <w:rPr>
          <w:color w:val="000000" w:themeColor="text1"/>
          <w:sz w:val="16"/>
          <w:szCs w:val="16"/>
        </w:rPr>
        <w:t>(12682).</w:t>
      </w:r>
    </w:p>
    <w:p w14:paraId="077DA7B6" w14:textId="77777777" w:rsidR="00164F4F" w:rsidRPr="00E14102" w:rsidRDefault="00164F4F" w:rsidP="00E14102">
      <w:pPr>
        <w:pBdr>
          <w:bottom w:val="single" w:sz="6" w:space="2" w:color="EBEBEB"/>
        </w:pBdr>
        <w:shd w:val="clear" w:color="auto" w:fill="FFFFFF"/>
        <w:jc w:val="both"/>
        <w:rPr>
          <w:color w:val="000000" w:themeColor="text1"/>
          <w:sz w:val="16"/>
          <w:szCs w:val="16"/>
        </w:rPr>
      </w:pPr>
    </w:p>
    <w:p w14:paraId="7A979322"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Осенью 1935 г. «воздушный поезд» в составе самолета П-5Л (пилот И.С.Баранов) и планера Г-14 ЦЛ-2А (пилот К.М.Венслав) совершил беспосадочный перелет, с переливом бензина в полете, из Москвы в Коктебель. Общая протяженность маршрута составили 1524 км, что соответствовало рекордному значению беспосадочной буксировки.</w:t>
      </w:r>
    </w:p>
    <w:p w14:paraId="23F46B07"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lastRenderedPageBreak/>
        <w:t>Развивая идею ьысотной буксировки, впервые примененную на Г-9, инженер Щербаков предложил использовать метод «цепочки», когда один за другим буксируется несколько планеров, где каждый последующий летит выше предыдущего. Для отработки этого способа Щербаков использовал два планера Грибовского - Г-14 и Г-9. Первым за буксировщиком ТБ-1 шел Г-14, за ним Г-9.</w:t>
      </w:r>
    </w:p>
    <w:p w14:paraId="72BA9FC4"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«Промежуточный» Г-14 доработали следующим образом. Переднюю кабину увеличили и закрыли прозрачным, откидываемым назад фонарем. В задней кабине установили барабан с длинным двухмиллиметровым тросом, разматываемым специальной лебедкой. Для безопасного выхода троса, с правой стороны фюзеляжа закрепили длинную трубу, доходящую до вертикального оперения.</w:t>
      </w:r>
    </w:p>
    <w:p w14:paraId="7C901331"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Было выполнено много полетов «цепочки» в составе буксировщика ТБ-1, промежуточного звена Г-14 и замыкающего Г-9. В начале апреля 1936 г. зафиксировали следующие результаты: ТБ-1 летел на высоте 5000 м, Г-14 на 6000 м, а замыкающий Г-9 на 7000 м.</w:t>
      </w:r>
    </w:p>
    <w:p w14:paraId="3E3D3BB5"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Дальнейшие опыты было решено прекратить, так как высотные полеты в негерметичной планерной кабине оказались далеко не комфортными для пилотов. По предложению конструктора А.Я.Щербакова Г-14 для высотных полетов оборудовали гермокабиной, способной в значительной степени облегчить работу летчика в разреженной атмосфере.</w:t>
      </w:r>
    </w:p>
    <w:p w14:paraId="4E2860CD"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«Кабина» представляла собой эластичный кокон, выклеенный из прорезиненного перкаля по форме фигуры сидящего летчика. Сверху она закрывалась металлическим колпаком с иллюминаторами. Приборный щиток пилота находился вне кабины, в носовой части фюзеляжа.</w:t>
      </w:r>
    </w:p>
    <w:p w14:paraId="7E166E56"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Не известно доподлинно, являлся ли «высотный» Г-14 вновь построенным аппаратом, или его переделали из планера, входящего в состав «цепочки».</w:t>
      </w:r>
    </w:p>
    <w:p w14:paraId="3D93DF97"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Кроме построенных образцов, в планах Грибовского имелся проект превращения Г-14 в мотопланер, в котором маломощный двигатель предполагалось разместить на пилоне над фюзеляжем.</w:t>
      </w:r>
    </w:p>
    <w:p w14:paraId="6CF5718E" w14:textId="77777777" w:rsidR="00164F4F" w:rsidRPr="00E14102" w:rsidRDefault="00164F4F" w:rsidP="00E14102">
      <w:pPr>
        <w:shd w:val="clear" w:color="auto" w:fill="FFFFFF"/>
        <w:jc w:val="both"/>
        <w:rPr>
          <w:color w:val="000000" w:themeColor="text1"/>
          <w:sz w:val="16"/>
          <w:szCs w:val="16"/>
        </w:rPr>
      </w:pPr>
      <w:r w:rsidRPr="00E14102">
        <w:rPr>
          <w:color w:val="000000" w:themeColor="text1"/>
          <w:sz w:val="16"/>
          <w:szCs w:val="16"/>
        </w:rPr>
        <w:t>Рассматривался Г-14 и в качестве ракетоплана для испытаний в воздухе жидкостного ракетного двигателя РДА-1-150 конструкции Л.С.Душкина и В.А.Штоколова (этот ЖРД испытали на ракетоплане РП-318, переоборудованном из планера СК-9 С.П.Королева).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1"/>
      </w:tblGrid>
      <w:tr w:rsidR="00E3599D" w:rsidRPr="00E14102" w14:paraId="1C96FF3B"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123C4A" w14:textId="77777777" w:rsidR="00164F4F" w:rsidRPr="00E14102" w:rsidRDefault="00164F4F" w:rsidP="00E14102">
            <w:pPr>
              <w:jc w:val="both"/>
              <w:rPr>
                <w:color w:val="000000" w:themeColor="text1"/>
                <w:sz w:val="16"/>
                <w:szCs w:val="16"/>
              </w:rPr>
            </w:pPr>
            <w:r w:rsidRPr="00E14102">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99FA559" w14:textId="77777777" w:rsidR="00164F4F" w:rsidRPr="00E14102" w:rsidRDefault="00164F4F" w:rsidP="00E14102">
            <w:pPr>
              <w:jc w:val="both"/>
              <w:rPr>
                <w:color w:val="000000" w:themeColor="text1"/>
                <w:sz w:val="16"/>
                <w:szCs w:val="16"/>
              </w:rPr>
            </w:pPr>
            <w:r w:rsidRPr="00E14102">
              <w:rPr>
                <w:color w:val="000000" w:themeColor="text1"/>
                <w:sz w:val="16"/>
                <w:szCs w:val="16"/>
              </w:rPr>
              <w:t>  Г-14</w:t>
            </w:r>
          </w:p>
        </w:tc>
      </w:tr>
      <w:tr w:rsidR="00E3599D" w:rsidRPr="00E14102" w14:paraId="0845559C"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7CA413D" w14:textId="77777777" w:rsidR="00164F4F" w:rsidRPr="00E14102" w:rsidRDefault="00164F4F" w:rsidP="00E14102">
            <w:pPr>
              <w:jc w:val="both"/>
              <w:rPr>
                <w:color w:val="000000" w:themeColor="text1"/>
                <w:sz w:val="16"/>
                <w:szCs w:val="16"/>
              </w:rPr>
            </w:pPr>
            <w:r w:rsidRPr="00E14102">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535B3F3" w14:textId="77777777" w:rsidR="00164F4F" w:rsidRPr="00E14102" w:rsidRDefault="00164F4F" w:rsidP="00E14102">
            <w:pPr>
              <w:jc w:val="both"/>
              <w:rPr>
                <w:color w:val="000000" w:themeColor="text1"/>
                <w:sz w:val="16"/>
                <w:szCs w:val="16"/>
              </w:rPr>
            </w:pPr>
            <w:r w:rsidRPr="00E14102">
              <w:rPr>
                <w:color w:val="000000" w:themeColor="text1"/>
                <w:sz w:val="16"/>
                <w:szCs w:val="16"/>
              </w:rPr>
              <w:t>  15.00</w:t>
            </w:r>
          </w:p>
        </w:tc>
      </w:tr>
      <w:tr w:rsidR="00E3599D" w:rsidRPr="00E14102" w14:paraId="41ACFF93"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6F1FD76" w14:textId="77777777" w:rsidR="00164F4F" w:rsidRPr="00E14102" w:rsidRDefault="00164F4F" w:rsidP="00E14102">
            <w:pPr>
              <w:jc w:val="both"/>
              <w:rPr>
                <w:color w:val="000000" w:themeColor="text1"/>
                <w:sz w:val="16"/>
                <w:szCs w:val="16"/>
              </w:rPr>
            </w:pPr>
            <w:r w:rsidRPr="00E14102">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95961E" w14:textId="77777777" w:rsidR="00164F4F" w:rsidRPr="00E14102" w:rsidRDefault="00164F4F" w:rsidP="00E14102">
            <w:pPr>
              <w:jc w:val="both"/>
              <w:rPr>
                <w:color w:val="000000" w:themeColor="text1"/>
                <w:sz w:val="16"/>
                <w:szCs w:val="16"/>
              </w:rPr>
            </w:pPr>
            <w:r w:rsidRPr="00E14102">
              <w:rPr>
                <w:color w:val="000000" w:themeColor="text1"/>
                <w:sz w:val="16"/>
                <w:szCs w:val="16"/>
              </w:rPr>
              <w:t>  7.80</w:t>
            </w:r>
          </w:p>
        </w:tc>
      </w:tr>
      <w:tr w:rsidR="00E3599D" w:rsidRPr="00E14102" w14:paraId="058ED3CE"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4D57BDA" w14:textId="77777777" w:rsidR="00164F4F" w:rsidRPr="00E14102" w:rsidRDefault="00164F4F" w:rsidP="00E14102">
            <w:pPr>
              <w:jc w:val="both"/>
              <w:rPr>
                <w:color w:val="000000" w:themeColor="text1"/>
                <w:sz w:val="16"/>
                <w:szCs w:val="16"/>
              </w:rPr>
            </w:pPr>
            <w:r w:rsidRPr="00E14102">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CFD1EAE" w14:textId="77777777" w:rsidR="00164F4F" w:rsidRPr="00E14102" w:rsidRDefault="00164F4F" w:rsidP="00E14102">
            <w:pPr>
              <w:jc w:val="both"/>
              <w:rPr>
                <w:color w:val="000000" w:themeColor="text1"/>
                <w:sz w:val="16"/>
                <w:szCs w:val="16"/>
              </w:rPr>
            </w:pPr>
            <w:r w:rsidRPr="00E14102">
              <w:rPr>
                <w:color w:val="000000" w:themeColor="text1"/>
                <w:sz w:val="16"/>
                <w:szCs w:val="16"/>
              </w:rPr>
              <w:t>  1.35</w:t>
            </w:r>
          </w:p>
        </w:tc>
      </w:tr>
      <w:tr w:rsidR="00E3599D" w:rsidRPr="00E14102" w14:paraId="378BA4E2"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3602A1A" w14:textId="77777777" w:rsidR="00164F4F" w:rsidRPr="00E14102" w:rsidRDefault="00164F4F" w:rsidP="00E14102">
            <w:pPr>
              <w:jc w:val="both"/>
              <w:rPr>
                <w:color w:val="000000" w:themeColor="text1"/>
                <w:sz w:val="16"/>
                <w:szCs w:val="16"/>
              </w:rPr>
            </w:pPr>
            <w:r w:rsidRPr="00E14102">
              <w:rPr>
                <w:color w:val="000000" w:themeColor="text1"/>
                <w:sz w:val="16"/>
                <w:szCs w:val="16"/>
              </w:rPr>
              <w:t>Площадь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3BFDFD" w14:textId="77777777" w:rsidR="00164F4F" w:rsidRPr="00E14102" w:rsidRDefault="00164F4F" w:rsidP="00E14102">
            <w:pPr>
              <w:jc w:val="both"/>
              <w:rPr>
                <w:color w:val="000000" w:themeColor="text1"/>
                <w:sz w:val="16"/>
                <w:szCs w:val="16"/>
              </w:rPr>
            </w:pPr>
            <w:r w:rsidRPr="00E14102">
              <w:rPr>
                <w:color w:val="000000" w:themeColor="text1"/>
                <w:sz w:val="16"/>
                <w:szCs w:val="16"/>
              </w:rPr>
              <w:t>  18.00</w:t>
            </w:r>
          </w:p>
        </w:tc>
      </w:tr>
      <w:tr w:rsidR="00E3599D" w:rsidRPr="00E14102" w14:paraId="12D0B611"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414101" w14:textId="77777777" w:rsidR="00164F4F" w:rsidRPr="00E14102" w:rsidRDefault="00164F4F" w:rsidP="00E14102">
            <w:pPr>
              <w:jc w:val="both"/>
              <w:rPr>
                <w:color w:val="000000" w:themeColor="text1"/>
                <w:sz w:val="16"/>
                <w:szCs w:val="16"/>
              </w:rPr>
            </w:pPr>
            <w:r w:rsidRPr="00E14102">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67811A" w14:textId="77777777" w:rsidR="00164F4F" w:rsidRPr="00E14102" w:rsidRDefault="00164F4F" w:rsidP="00E14102">
            <w:pPr>
              <w:jc w:val="both"/>
              <w:rPr>
                <w:color w:val="000000" w:themeColor="text1"/>
                <w:sz w:val="16"/>
                <w:szCs w:val="16"/>
              </w:rPr>
            </w:pPr>
            <w:r w:rsidRPr="00E14102">
              <w:rPr>
                <w:color w:val="000000" w:themeColor="text1"/>
                <w:sz w:val="16"/>
                <w:szCs w:val="16"/>
              </w:rPr>
              <w:t> </w:t>
            </w:r>
          </w:p>
        </w:tc>
      </w:tr>
      <w:tr w:rsidR="00E3599D" w:rsidRPr="00E14102" w14:paraId="17811337"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E558B4" w14:textId="77777777" w:rsidR="00164F4F" w:rsidRPr="00E14102" w:rsidRDefault="00164F4F" w:rsidP="00E14102">
            <w:pPr>
              <w:jc w:val="both"/>
              <w:rPr>
                <w:color w:val="000000" w:themeColor="text1"/>
                <w:sz w:val="16"/>
                <w:szCs w:val="16"/>
              </w:rPr>
            </w:pPr>
            <w:r w:rsidRPr="00E14102">
              <w:rPr>
                <w:color w:val="000000" w:themeColor="text1"/>
                <w:sz w:val="16"/>
                <w:szCs w:val="16"/>
              </w:rPr>
              <w:t>  пустого снаряженного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88E9E0" w14:textId="77777777" w:rsidR="00164F4F" w:rsidRPr="00E14102" w:rsidRDefault="00164F4F" w:rsidP="00E14102">
            <w:pPr>
              <w:jc w:val="both"/>
              <w:rPr>
                <w:color w:val="000000" w:themeColor="text1"/>
                <w:sz w:val="16"/>
                <w:szCs w:val="16"/>
              </w:rPr>
            </w:pPr>
            <w:r w:rsidRPr="00E14102">
              <w:rPr>
                <w:color w:val="000000" w:themeColor="text1"/>
                <w:sz w:val="16"/>
                <w:szCs w:val="16"/>
              </w:rPr>
              <w:t>  261</w:t>
            </w:r>
          </w:p>
        </w:tc>
      </w:tr>
      <w:tr w:rsidR="00E3599D" w:rsidRPr="00E14102" w14:paraId="159F0CCA"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CADA7B" w14:textId="77777777" w:rsidR="00164F4F" w:rsidRPr="00E14102" w:rsidRDefault="00164F4F" w:rsidP="00E14102">
            <w:pPr>
              <w:jc w:val="both"/>
              <w:rPr>
                <w:color w:val="000000" w:themeColor="text1"/>
                <w:sz w:val="16"/>
                <w:szCs w:val="16"/>
              </w:rPr>
            </w:pPr>
            <w:r w:rsidRPr="00E14102">
              <w:rPr>
                <w:color w:val="000000" w:themeColor="text1"/>
                <w:sz w:val="16"/>
                <w:szCs w:val="16"/>
              </w:rPr>
              <w:t>  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2C6EAE" w14:textId="77777777" w:rsidR="00164F4F" w:rsidRPr="00E14102" w:rsidRDefault="00164F4F" w:rsidP="00E14102">
            <w:pPr>
              <w:jc w:val="both"/>
              <w:rPr>
                <w:color w:val="000000" w:themeColor="text1"/>
                <w:sz w:val="16"/>
                <w:szCs w:val="16"/>
              </w:rPr>
            </w:pPr>
            <w:r w:rsidRPr="00E14102">
              <w:rPr>
                <w:color w:val="000000" w:themeColor="text1"/>
                <w:sz w:val="16"/>
                <w:szCs w:val="16"/>
              </w:rPr>
              <w:t> </w:t>
            </w:r>
          </w:p>
        </w:tc>
      </w:tr>
      <w:tr w:rsidR="00E3599D" w:rsidRPr="00E14102" w14:paraId="506B53CB"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BA535D" w14:textId="77777777" w:rsidR="00164F4F" w:rsidRPr="00E14102" w:rsidRDefault="00164F4F" w:rsidP="00E14102">
            <w:pPr>
              <w:jc w:val="both"/>
              <w:rPr>
                <w:color w:val="000000" w:themeColor="text1"/>
                <w:sz w:val="16"/>
                <w:szCs w:val="16"/>
              </w:rPr>
            </w:pPr>
            <w:r w:rsidRPr="00E14102">
              <w:rPr>
                <w:color w:val="000000" w:themeColor="text1"/>
                <w:sz w:val="16"/>
                <w:szCs w:val="16"/>
              </w:rPr>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41CD02E" w14:textId="77777777" w:rsidR="00164F4F" w:rsidRPr="00E14102" w:rsidRDefault="00164F4F" w:rsidP="00E14102">
            <w:pPr>
              <w:jc w:val="both"/>
              <w:rPr>
                <w:color w:val="000000" w:themeColor="text1"/>
                <w:sz w:val="16"/>
                <w:szCs w:val="16"/>
              </w:rPr>
            </w:pPr>
            <w:r w:rsidRPr="00E14102">
              <w:rPr>
                <w:color w:val="000000" w:themeColor="text1"/>
                <w:sz w:val="16"/>
                <w:szCs w:val="16"/>
              </w:rPr>
              <w:t>  15</w:t>
            </w:r>
          </w:p>
        </w:tc>
      </w:tr>
      <w:tr w:rsidR="00E3599D" w:rsidRPr="00E14102" w14:paraId="7EB8DA8B"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07A7FD8" w14:textId="77777777" w:rsidR="00164F4F" w:rsidRPr="00E14102" w:rsidRDefault="00164F4F" w:rsidP="00E14102">
            <w:pPr>
              <w:jc w:val="both"/>
              <w:rPr>
                <w:color w:val="000000" w:themeColor="text1"/>
                <w:sz w:val="16"/>
                <w:szCs w:val="16"/>
              </w:rPr>
            </w:pPr>
            <w:r w:rsidRPr="00E14102">
              <w:rPr>
                <w:color w:val="000000" w:themeColor="text1"/>
                <w:sz w:val="16"/>
                <w:szCs w:val="16"/>
              </w:rPr>
              <w:t>Минимальная скорость снижения, м/с</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68746EE" w14:textId="77777777" w:rsidR="00164F4F" w:rsidRPr="00E14102" w:rsidRDefault="00164F4F" w:rsidP="00E14102">
            <w:pPr>
              <w:jc w:val="both"/>
              <w:rPr>
                <w:color w:val="000000" w:themeColor="text1"/>
                <w:sz w:val="16"/>
                <w:szCs w:val="16"/>
              </w:rPr>
            </w:pPr>
            <w:r w:rsidRPr="00E14102">
              <w:rPr>
                <w:color w:val="000000" w:themeColor="text1"/>
                <w:sz w:val="16"/>
                <w:szCs w:val="16"/>
              </w:rPr>
              <w:t>  1.06</w:t>
            </w:r>
          </w:p>
        </w:tc>
      </w:tr>
      <w:tr w:rsidR="00E3599D" w:rsidRPr="00E14102" w14:paraId="0910AEB4"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A50EA5" w14:textId="77777777" w:rsidR="00164F4F" w:rsidRPr="00E14102" w:rsidRDefault="00164F4F" w:rsidP="00E14102">
            <w:pPr>
              <w:jc w:val="both"/>
              <w:rPr>
                <w:color w:val="000000" w:themeColor="text1"/>
                <w:sz w:val="16"/>
                <w:szCs w:val="16"/>
              </w:rPr>
            </w:pPr>
            <w:r w:rsidRPr="00E14102">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B2F8511" w14:textId="77777777" w:rsidR="00164F4F" w:rsidRPr="00E14102" w:rsidRDefault="00164F4F" w:rsidP="00E14102">
            <w:pPr>
              <w:jc w:val="both"/>
              <w:rPr>
                <w:color w:val="000000" w:themeColor="text1"/>
                <w:sz w:val="16"/>
                <w:szCs w:val="16"/>
              </w:rPr>
            </w:pPr>
            <w:r w:rsidRPr="00E14102">
              <w:rPr>
                <w:color w:val="000000" w:themeColor="text1"/>
                <w:sz w:val="16"/>
                <w:szCs w:val="16"/>
              </w:rPr>
              <w:t>  2</w:t>
            </w:r>
          </w:p>
        </w:tc>
      </w:tr>
    </w:tbl>
    <w:p w14:paraId="600AD47A" w14:textId="77777777" w:rsidR="00164F4F" w:rsidRPr="00E14102" w:rsidRDefault="00164F4F" w:rsidP="00E14102">
      <w:pPr>
        <w:pBdr>
          <w:bottom w:val="single" w:sz="6" w:space="2" w:color="EBEBEB"/>
        </w:pBdr>
        <w:shd w:val="clear" w:color="auto" w:fill="FFFFFF"/>
        <w:jc w:val="both"/>
        <w:rPr>
          <w:color w:val="000000" w:themeColor="text1"/>
          <w:sz w:val="16"/>
          <w:szCs w:val="16"/>
        </w:rPr>
      </w:pPr>
      <w:r w:rsidRPr="00E14102">
        <w:rPr>
          <w:color w:val="000000" w:themeColor="text1"/>
          <w:sz w:val="16"/>
          <w:szCs w:val="16"/>
        </w:rPr>
        <w:t>(12682).</w:t>
      </w:r>
    </w:p>
    <w:p w14:paraId="1A864927" w14:textId="77777777" w:rsidR="00164F4F" w:rsidRPr="00E14102" w:rsidRDefault="00164F4F" w:rsidP="00E14102">
      <w:pPr>
        <w:pBdr>
          <w:bottom w:val="single" w:sz="6" w:space="2" w:color="EBEBEB"/>
        </w:pBdr>
        <w:shd w:val="clear" w:color="auto" w:fill="FFFFFF"/>
        <w:jc w:val="both"/>
        <w:rPr>
          <w:color w:val="000000" w:themeColor="text1"/>
          <w:sz w:val="16"/>
          <w:szCs w:val="16"/>
        </w:rPr>
      </w:pPr>
    </w:p>
    <w:p w14:paraId="5A963865" w14:textId="77777777" w:rsidR="00D65A24" w:rsidRPr="00E14102" w:rsidRDefault="00D65A24" w:rsidP="00E14102">
      <w:pPr>
        <w:jc w:val="both"/>
        <w:rPr>
          <w:color w:val="0070C0"/>
          <w:sz w:val="16"/>
          <w:szCs w:val="16"/>
        </w:rPr>
      </w:pPr>
      <w:r w:rsidRPr="00E14102">
        <w:rPr>
          <w:color w:val="0070C0"/>
          <w:sz w:val="16"/>
          <w:szCs w:val="16"/>
        </w:rPr>
        <w:t>Осенью 1935 г. после проведения дополнительных улучшений и установ</w:t>
      </w:r>
      <w:r w:rsidRPr="00E14102">
        <w:rPr>
          <w:color w:val="0070C0"/>
          <w:sz w:val="16"/>
          <w:szCs w:val="16"/>
        </w:rPr>
        <w:softHyphen/>
        <w:t>ки вооружения А-7 передали в НИИ ВВС для проведения государственных испытаний. Летали военный инженер 2 ранга Ивановский и летчик-наблюдатель капи</w:t>
      </w:r>
      <w:r w:rsidRPr="00E14102">
        <w:rPr>
          <w:color w:val="0070C0"/>
          <w:sz w:val="16"/>
          <w:szCs w:val="16"/>
        </w:rPr>
        <w:softHyphen/>
        <w:t>тан Цветков. Всего они выполнили 60 полетов с полетным временем 29 часов 17 минут.</w:t>
      </w:r>
    </w:p>
    <w:p w14:paraId="4FFE6E3B" w14:textId="77777777" w:rsidR="00D65A24" w:rsidRPr="00E14102" w:rsidRDefault="00D65A24" w:rsidP="00E14102">
      <w:pPr>
        <w:jc w:val="both"/>
        <w:rPr>
          <w:color w:val="0070C0"/>
          <w:sz w:val="16"/>
          <w:szCs w:val="16"/>
        </w:rPr>
      </w:pPr>
      <w:r w:rsidRPr="00E14102">
        <w:rPr>
          <w:color w:val="0070C0"/>
          <w:sz w:val="16"/>
          <w:szCs w:val="16"/>
        </w:rPr>
        <w:t>В заключении по результатам испытаний отмечалось, что А-7 предназначается для решения задач связи, ближней разведки и корректировки артиллерийского огня в услови</w:t>
      </w:r>
      <w:r w:rsidRPr="00E14102">
        <w:rPr>
          <w:color w:val="0070C0"/>
          <w:sz w:val="16"/>
          <w:szCs w:val="16"/>
        </w:rPr>
        <w:softHyphen/>
        <w:t>ях отсутствия воздушного противника или при обеспече</w:t>
      </w:r>
      <w:r w:rsidRPr="00E14102">
        <w:rPr>
          <w:color w:val="0070C0"/>
          <w:sz w:val="16"/>
          <w:szCs w:val="16"/>
        </w:rPr>
        <w:softHyphen/>
        <w:t>нии истребительного прикрытия. Одновременно указыва</w:t>
      </w:r>
      <w:r w:rsidRPr="00E14102">
        <w:rPr>
          <w:color w:val="0070C0"/>
          <w:sz w:val="16"/>
          <w:szCs w:val="16"/>
        </w:rPr>
        <w:softHyphen/>
        <w:t>лось, что он является единственным автожиром, имеющим вооружение и боевое снаряжение. Во фронтовых услови</w:t>
      </w:r>
      <w:r w:rsidRPr="00E14102">
        <w:rPr>
          <w:color w:val="0070C0"/>
          <w:sz w:val="16"/>
          <w:szCs w:val="16"/>
        </w:rPr>
        <w:softHyphen/>
        <w:t>ях, при ближних перемещениях А-7 предлагалось перево</w:t>
      </w:r>
      <w:r w:rsidRPr="00E14102">
        <w:rPr>
          <w:color w:val="0070C0"/>
          <w:sz w:val="16"/>
          <w:szCs w:val="16"/>
        </w:rPr>
        <w:softHyphen/>
        <w:t>зить на своем шасси со сложенными лопастями и крыль</w:t>
      </w:r>
      <w:r w:rsidRPr="00E14102">
        <w:rPr>
          <w:color w:val="0070C0"/>
          <w:sz w:val="16"/>
          <w:szCs w:val="16"/>
        </w:rPr>
        <w:softHyphen/>
        <w:t>ями по дорогам шириной не менее 4 м.</w:t>
      </w:r>
    </w:p>
    <w:p w14:paraId="6ED7AAB7" w14:textId="77777777" w:rsidR="00D65A24" w:rsidRPr="00E14102" w:rsidRDefault="00D65A24" w:rsidP="00E14102">
      <w:pPr>
        <w:jc w:val="both"/>
        <w:rPr>
          <w:color w:val="0070C0"/>
          <w:sz w:val="16"/>
          <w:szCs w:val="16"/>
        </w:rPr>
      </w:pPr>
      <w:r w:rsidRPr="00E14102">
        <w:rPr>
          <w:color w:val="0070C0"/>
          <w:sz w:val="16"/>
          <w:szCs w:val="16"/>
        </w:rPr>
        <w:t>Отработанная техника взлета автожира состояла в сле</w:t>
      </w:r>
      <w:r w:rsidRPr="00E14102">
        <w:rPr>
          <w:color w:val="0070C0"/>
          <w:sz w:val="16"/>
          <w:szCs w:val="16"/>
        </w:rPr>
        <w:softHyphen/>
        <w:t>дующем:</w:t>
      </w:r>
    </w:p>
    <w:p w14:paraId="62BD3427" w14:textId="77777777" w:rsidR="00D65A24" w:rsidRPr="00E14102" w:rsidRDefault="00D65A24" w:rsidP="00E14102">
      <w:pPr>
        <w:jc w:val="both"/>
        <w:rPr>
          <w:color w:val="0070C0"/>
          <w:sz w:val="16"/>
          <w:szCs w:val="16"/>
        </w:rPr>
      </w:pPr>
      <w:r w:rsidRPr="00E14102">
        <w:rPr>
          <w:color w:val="0070C0"/>
          <w:sz w:val="16"/>
          <w:szCs w:val="16"/>
        </w:rPr>
        <w:t>Непосредственно перед взлетом несущий ротор раскру</w:t>
      </w:r>
      <w:r w:rsidRPr="00E14102">
        <w:rPr>
          <w:color w:val="0070C0"/>
          <w:sz w:val="16"/>
          <w:szCs w:val="16"/>
        </w:rPr>
        <w:softHyphen/>
        <w:t>чивался механическим стартером до 170—220 об/мин, за</w:t>
      </w:r>
      <w:r w:rsidRPr="00E14102">
        <w:rPr>
          <w:color w:val="0070C0"/>
          <w:sz w:val="16"/>
          <w:szCs w:val="16"/>
        </w:rPr>
        <w:softHyphen/>
        <w:t>тем механизм запуска отключался (рычаг отключения раз</w:t>
      </w:r>
      <w:r w:rsidRPr="00E14102">
        <w:rPr>
          <w:color w:val="0070C0"/>
          <w:sz w:val="16"/>
          <w:szCs w:val="16"/>
        </w:rPr>
        <w:softHyphen/>
        <w:t>местили на правом борту кабины), и пилот давал полный газ двигателю. Ручка управления сразу бралась немного на себя, чтобы разгрузить переднее колесо. При достиже</w:t>
      </w:r>
      <w:r w:rsidRPr="00E14102">
        <w:rPr>
          <w:color w:val="0070C0"/>
          <w:sz w:val="16"/>
          <w:szCs w:val="16"/>
        </w:rPr>
        <w:softHyphen/>
        <w:t>нии скорости 50—55 км/ч со слегка опущенным хвостом, ручка постепенно отдавалась вперед, чтобы лыжи или ко</w:t>
      </w:r>
      <w:r w:rsidRPr="00E14102">
        <w:rPr>
          <w:color w:val="0070C0"/>
          <w:sz w:val="16"/>
          <w:szCs w:val="16"/>
        </w:rPr>
        <w:softHyphen/>
        <w:t>леса слегка касались земли. Далее следовало набрать скорость 120—130 км/ч и производить набор высоты. При разбеге и взлете отмечалось стремление автожира к по</w:t>
      </w:r>
      <w:r w:rsidRPr="00E14102">
        <w:rPr>
          <w:color w:val="0070C0"/>
          <w:sz w:val="16"/>
          <w:szCs w:val="16"/>
        </w:rPr>
        <w:softHyphen/>
        <w:t>вороту вправо — явление парировалось дачей левой педа</w:t>
      </w:r>
      <w:r w:rsidRPr="00E14102">
        <w:rPr>
          <w:color w:val="0070C0"/>
          <w:sz w:val="16"/>
          <w:szCs w:val="16"/>
        </w:rPr>
        <w:softHyphen/>
        <w:t>ли. Испытатели оценивали взлет на А-7 как более сложный, чем на самолете.</w:t>
      </w:r>
    </w:p>
    <w:p w14:paraId="0F8697CF" w14:textId="77777777" w:rsidR="00D65A24" w:rsidRPr="00E14102" w:rsidRDefault="00D65A24" w:rsidP="00E14102">
      <w:pPr>
        <w:jc w:val="both"/>
        <w:rPr>
          <w:color w:val="0070C0"/>
          <w:sz w:val="16"/>
          <w:szCs w:val="16"/>
        </w:rPr>
      </w:pPr>
      <w:r w:rsidRPr="00E14102">
        <w:rPr>
          <w:color w:val="0070C0"/>
          <w:sz w:val="16"/>
          <w:szCs w:val="16"/>
        </w:rPr>
        <w:t>При наличии ветра 10—12 м/сек автожир мог зависать в воздухе, при ветре 8 м/сек хорошо парашютировал и мог опускаться почти вертикально.</w:t>
      </w:r>
    </w:p>
    <w:p w14:paraId="397A994C" w14:textId="77777777" w:rsidR="00D65A24" w:rsidRPr="00E14102" w:rsidRDefault="00D65A24" w:rsidP="00E14102">
      <w:pPr>
        <w:jc w:val="both"/>
        <w:rPr>
          <w:color w:val="0070C0"/>
          <w:sz w:val="16"/>
          <w:szCs w:val="16"/>
        </w:rPr>
      </w:pPr>
      <w:r w:rsidRPr="00E14102">
        <w:rPr>
          <w:color w:val="0070C0"/>
          <w:sz w:val="16"/>
          <w:szCs w:val="16"/>
        </w:rPr>
        <w:t>К недостаткам А-7 отнесли следующее:</w:t>
      </w:r>
    </w:p>
    <w:p w14:paraId="2F57BBD2" w14:textId="77777777" w:rsidR="00D65A24" w:rsidRPr="00E14102" w:rsidRDefault="00D65A24" w:rsidP="00E14102">
      <w:pPr>
        <w:jc w:val="both"/>
        <w:rPr>
          <w:color w:val="0070C0"/>
          <w:sz w:val="16"/>
          <w:szCs w:val="16"/>
        </w:rPr>
      </w:pPr>
      <w:r w:rsidRPr="00E14102">
        <w:rPr>
          <w:color w:val="0070C0"/>
          <w:sz w:val="16"/>
          <w:szCs w:val="16"/>
        </w:rPr>
        <w:t>большой разбег и пробег на посадке - в обоих случаях 60-70 м (8-9 секунд) вместо ожидаемых 35-40 м;</w:t>
      </w:r>
    </w:p>
    <w:p w14:paraId="53CD3E81" w14:textId="77777777" w:rsidR="00D65A24" w:rsidRPr="00E14102" w:rsidRDefault="00D65A24" w:rsidP="00E14102">
      <w:pPr>
        <w:jc w:val="both"/>
        <w:rPr>
          <w:color w:val="0070C0"/>
          <w:sz w:val="16"/>
          <w:szCs w:val="16"/>
        </w:rPr>
      </w:pPr>
      <w:r w:rsidRPr="00E14102">
        <w:rPr>
          <w:color w:val="0070C0"/>
          <w:sz w:val="16"/>
          <w:szCs w:val="16"/>
        </w:rPr>
        <w:t>недостаточный обзор из кабины пилота;</w:t>
      </w:r>
    </w:p>
    <w:p w14:paraId="03E3C531" w14:textId="77777777" w:rsidR="00D65A24" w:rsidRPr="00E14102" w:rsidRDefault="00D65A24" w:rsidP="00E14102">
      <w:pPr>
        <w:jc w:val="both"/>
        <w:rPr>
          <w:color w:val="0070C0"/>
          <w:sz w:val="16"/>
          <w:szCs w:val="16"/>
        </w:rPr>
      </w:pPr>
      <w:r w:rsidRPr="00E14102">
        <w:rPr>
          <w:color w:val="0070C0"/>
          <w:sz w:val="16"/>
          <w:szCs w:val="16"/>
        </w:rPr>
        <w:t>вибрация хвостового оперения;</w:t>
      </w:r>
    </w:p>
    <w:p w14:paraId="5410929C" w14:textId="77777777" w:rsidR="00D65A24" w:rsidRPr="00E14102" w:rsidRDefault="00D65A24" w:rsidP="00E14102">
      <w:pPr>
        <w:jc w:val="both"/>
        <w:rPr>
          <w:color w:val="0070C0"/>
          <w:sz w:val="16"/>
          <w:szCs w:val="16"/>
        </w:rPr>
      </w:pPr>
      <w:r w:rsidRPr="00E14102">
        <w:rPr>
          <w:color w:val="0070C0"/>
          <w:sz w:val="16"/>
          <w:szCs w:val="16"/>
        </w:rPr>
        <w:t>подкосы кабана ротора мешают выбрасываться с пара</w:t>
      </w:r>
      <w:r w:rsidRPr="00E14102">
        <w:rPr>
          <w:color w:val="0070C0"/>
          <w:sz w:val="16"/>
          <w:szCs w:val="16"/>
        </w:rPr>
        <w:softHyphen/>
        <w:t>шютом.</w:t>
      </w:r>
    </w:p>
    <w:p w14:paraId="1AD55227" w14:textId="77777777" w:rsidR="00D65A24" w:rsidRPr="00E14102" w:rsidRDefault="00D65A24" w:rsidP="00E14102">
      <w:pPr>
        <w:jc w:val="both"/>
        <w:rPr>
          <w:color w:val="0070C0"/>
          <w:sz w:val="16"/>
          <w:szCs w:val="16"/>
        </w:rPr>
      </w:pPr>
      <w:r w:rsidRPr="00E14102">
        <w:rPr>
          <w:color w:val="0070C0"/>
          <w:sz w:val="16"/>
          <w:szCs w:val="16"/>
        </w:rPr>
        <w:t>Тем не менее, общая оценка А-7, зафиксированная при утверждении отчета по испытаниям 20 июля 1936 г. была положительной, поэтому следовала рекомендация о пост</w:t>
      </w:r>
      <w:r w:rsidRPr="00E14102">
        <w:rPr>
          <w:color w:val="0070C0"/>
          <w:sz w:val="16"/>
          <w:szCs w:val="16"/>
        </w:rPr>
        <w:softHyphen/>
        <w:t>ройке серии в количестве 10 экземпляров (20361).</w:t>
      </w:r>
    </w:p>
    <w:p w14:paraId="04BD4FBA" w14:textId="77777777" w:rsidR="00D65A24" w:rsidRPr="00E14102" w:rsidRDefault="00D65A24" w:rsidP="00E14102">
      <w:pPr>
        <w:shd w:val="clear" w:color="auto" w:fill="FFFFFF"/>
        <w:jc w:val="both"/>
        <w:rPr>
          <w:color w:val="0070C0"/>
          <w:sz w:val="16"/>
          <w:szCs w:val="16"/>
        </w:rPr>
      </w:pPr>
    </w:p>
    <w:p w14:paraId="273B0FF5" w14:textId="77777777" w:rsidR="00D65A24" w:rsidRPr="00E14102" w:rsidRDefault="00D65A24" w:rsidP="00E14102">
      <w:pPr>
        <w:jc w:val="both"/>
        <w:rPr>
          <w:color w:val="0070C0"/>
          <w:sz w:val="16"/>
          <w:szCs w:val="16"/>
        </w:rPr>
      </w:pPr>
      <w:r w:rsidRPr="00E14102">
        <w:rPr>
          <w:color w:val="0070C0"/>
          <w:sz w:val="16"/>
          <w:szCs w:val="16"/>
        </w:rPr>
        <w:t>Осенью 1935 г. три собираемых на заводу № 29 двига</w:t>
      </w:r>
      <w:r w:rsidRPr="00E14102">
        <w:rPr>
          <w:color w:val="0070C0"/>
          <w:sz w:val="16"/>
          <w:szCs w:val="16"/>
        </w:rPr>
        <w:softHyphen/>
        <w:t>теля определялись как М-85. Первые построенные в Запорожье двигатели получили на</w:t>
      </w:r>
      <w:r w:rsidRPr="00E14102">
        <w:rPr>
          <w:color w:val="0070C0"/>
          <w:sz w:val="16"/>
          <w:szCs w:val="16"/>
        </w:rPr>
        <w:softHyphen/>
        <w:t>именование М-75, всего их в первый год производства в сборку пошло 16 экземпляров. Еще В 1935 г., согласно официальной сводке произведенной продукции, на заводе №29 удалось произвести два М-75 и четыре М-85. Тем не менее, в дальнейшем использовалось только одно обозначение - М-85. В 1936 г. завод выпустил 129 двига</w:t>
      </w:r>
      <w:r w:rsidRPr="00E14102">
        <w:rPr>
          <w:color w:val="0070C0"/>
          <w:sz w:val="16"/>
          <w:szCs w:val="16"/>
        </w:rPr>
        <w:softHyphen/>
        <w:t>телей М-85. До прекращения производства в 1938 г. было изготовлено еще несколько сотен таких двигателей (20362).</w:t>
      </w:r>
    </w:p>
    <w:p w14:paraId="1FDFE713" w14:textId="77777777" w:rsidR="00D65A24" w:rsidRPr="00E14102" w:rsidRDefault="00D65A24" w:rsidP="00E14102">
      <w:pPr>
        <w:shd w:val="clear" w:color="auto" w:fill="FFFFFF"/>
        <w:jc w:val="both"/>
        <w:rPr>
          <w:color w:val="0070C0"/>
          <w:sz w:val="16"/>
          <w:szCs w:val="16"/>
        </w:rPr>
      </w:pPr>
    </w:p>
    <w:p w14:paraId="2CB128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Осенью 1935 г. руководителям ВВС РККА были разосланы пригласительные билеты: «10 ноября 1935 г. в РНИИ состоится доклад консультанта института профессора М.А.Петрова па тему «Тактический анализ применения ракетного вооружения в авиации». Желательно присутствие представителей 5 отдела УВС РККА. Программа доклада:</w:t>
      </w:r>
    </w:p>
    <w:p w14:paraId="235EF3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Объективные условия, стимулирующие срочность введения реактивной артиллерии на вооружение самолетов.</w:t>
      </w:r>
    </w:p>
    <w:p w14:paraId="0C9D51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Стрельба по воздушным целям.</w:t>
      </w:r>
    </w:p>
    <w:p w14:paraId="0A3CD6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Стрельба по наземным целям.</w:t>
      </w:r>
    </w:p>
    <w:p w14:paraId="5AFD724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Перспективы освоения и применения ракетных снарядов для авиации» (11402).</w:t>
      </w:r>
    </w:p>
    <w:p w14:paraId="48159A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61A0F8E" w14:textId="77777777" w:rsidR="00257D8A" w:rsidRPr="00E14102" w:rsidRDefault="00257D8A" w:rsidP="00E14102">
      <w:pPr>
        <w:jc w:val="both"/>
        <w:rPr>
          <w:color w:val="0070C0"/>
          <w:sz w:val="16"/>
          <w:szCs w:val="16"/>
        </w:rPr>
      </w:pPr>
      <w:r w:rsidRPr="00E14102">
        <w:rPr>
          <w:color w:val="0070C0"/>
          <w:sz w:val="16"/>
          <w:szCs w:val="16"/>
        </w:rPr>
        <w:t>С осени 1935 г. по май 1936 г. КБ ДУК под руко</w:t>
      </w:r>
      <w:r w:rsidRPr="00E14102">
        <w:rPr>
          <w:color w:val="0070C0"/>
          <w:sz w:val="16"/>
          <w:szCs w:val="16"/>
        </w:rPr>
        <w:softHyphen/>
        <w:t>водством инженера М.М. Кулика после пятилет</w:t>
      </w:r>
      <w:r w:rsidRPr="00E14102">
        <w:rPr>
          <w:color w:val="0070C0"/>
          <w:sz w:val="16"/>
          <w:szCs w:val="16"/>
        </w:rPr>
        <w:softHyphen/>
        <w:t>него перерыва был спроектирован дирижаб</w:t>
      </w:r>
      <w:r w:rsidRPr="00E14102">
        <w:rPr>
          <w:color w:val="0070C0"/>
          <w:sz w:val="16"/>
          <w:szCs w:val="16"/>
        </w:rPr>
        <w:softHyphen/>
        <w:t>лб мягкого типа «СССР В-10» (ДП-15) объёмом 3680 м3. Он строился как стан</w:t>
      </w:r>
      <w:r w:rsidRPr="00E14102">
        <w:rPr>
          <w:color w:val="0070C0"/>
          <w:sz w:val="16"/>
          <w:szCs w:val="16"/>
        </w:rPr>
        <w:softHyphen/>
        <w:t>дартный учебный корабль (СТУК). Р.В. Пятышев отнёс его к полумягкому типу, так как тот имел оболочку с внутренней подвеской и относитель</w:t>
      </w:r>
      <w:r w:rsidRPr="00E14102">
        <w:rPr>
          <w:color w:val="0070C0"/>
          <w:sz w:val="16"/>
          <w:szCs w:val="16"/>
        </w:rPr>
        <w:softHyphen/>
        <w:t>но длинную базу крепления гондолы к корпусу за счёт предложенного М.М. Куликом ориги</w:t>
      </w:r>
      <w:r w:rsidRPr="00E14102">
        <w:rPr>
          <w:color w:val="0070C0"/>
          <w:sz w:val="16"/>
          <w:szCs w:val="16"/>
        </w:rPr>
        <w:softHyphen/>
        <w:t>нального килевидного надгондольного развития, скреплённого с тросами внутренней подвески и узлами наружных катенарных креплений.</w:t>
      </w:r>
    </w:p>
    <w:p w14:paraId="50D37CBF" w14:textId="77777777" w:rsidR="00257D8A" w:rsidRPr="00E14102" w:rsidRDefault="00257D8A" w:rsidP="00E14102">
      <w:pPr>
        <w:jc w:val="both"/>
        <w:rPr>
          <w:color w:val="0070C0"/>
          <w:sz w:val="16"/>
          <w:szCs w:val="16"/>
        </w:rPr>
      </w:pPr>
      <w:r w:rsidRPr="00E14102">
        <w:rPr>
          <w:color w:val="0070C0"/>
          <w:sz w:val="16"/>
          <w:szCs w:val="16"/>
        </w:rPr>
        <w:t>Первоначально ДП-15 проектировался с вну</w:t>
      </w:r>
      <w:r w:rsidRPr="00E14102">
        <w:rPr>
          <w:color w:val="0070C0"/>
          <w:sz w:val="16"/>
          <w:szCs w:val="16"/>
        </w:rPr>
        <w:softHyphen/>
        <w:t>тренней подвеской без наклонных строп, переда</w:t>
      </w:r>
      <w:r w:rsidRPr="00E14102">
        <w:rPr>
          <w:color w:val="0070C0"/>
          <w:sz w:val="16"/>
          <w:szCs w:val="16"/>
        </w:rPr>
        <w:softHyphen/>
        <w:t>ющих нагрузку от гондолы на консольные части корпуса спереди и сзади кормового развития, но проведённые конструктором оболочки инжене</w:t>
      </w:r>
      <w:r w:rsidRPr="00E14102">
        <w:rPr>
          <w:color w:val="0070C0"/>
          <w:sz w:val="16"/>
          <w:szCs w:val="16"/>
        </w:rPr>
        <w:softHyphen/>
        <w:t>ром М.Р. Асташкевичем испытания гидромодели показали, что корма и нос корабля сильно отги</w:t>
      </w:r>
      <w:r w:rsidRPr="00E14102">
        <w:rPr>
          <w:color w:val="0070C0"/>
          <w:sz w:val="16"/>
          <w:szCs w:val="16"/>
        </w:rPr>
        <w:softHyphen/>
        <w:t>баются кверху. Поэтому оболочку спроектиро</w:t>
      </w:r>
      <w:r w:rsidRPr="00E14102">
        <w:rPr>
          <w:color w:val="0070C0"/>
          <w:sz w:val="16"/>
          <w:szCs w:val="16"/>
        </w:rPr>
        <w:softHyphen/>
        <w:t>вали с удлинённой внутренней подвеской, сое</w:t>
      </w:r>
      <w:r w:rsidRPr="00E14102">
        <w:rPr>
          <w:color w:val="0070C0"/>
          <w:sz w:val="16"/>
          <w:szCs w:val="16"/>
        </w:rPr>
        <w:softHyphen/>
        <w:t>динённой с килем как вертикальными, так и на</w:t>
      </w:r>
      <w:r w:rsidRPr="00E14102">
        <w:rPr>
          <w:color w:val="0070C0"/>
          <w:sz w:val="16"/>
          <w:szCs w:val="16"/>
        </w:rPr>
        <w:softHyphen/>
        <w:t>клонными (по краям) внутренними стропами.</w:t>
      </w:r>
    </w:p>
    <w:p w14:paraId="5C659423" w14:textId="77777777" w:rsidR="00257D8A" w:rsidRPr="00E14102" w:rsidRDefault="00257D8A" w:rsidP="00E14102">
      <w:pPr>
        <w:jc w:val="both"/>
        <w:rPr>
          <w:color w:val="0070C0"/>
          <w:sz w:val="16"/>
          <w:szCs w:val="16"/>
        </w:rPr>
      </w:pPr>
      <w:r w:rsidRPr="00E14102">
        <w:rPr>
          <w:color w:val="0070C0"/>
          <w:sz w:val="16"/>
          <w:szCs w:val="16"/>
        </w:rPr>
        <w:t>Оболочка корабля длиной 48,4 м и диаметром 12,1 м имела трапецеидальный раскрой и со</w:t>
      </w:r>
      <w:r w:rsidRPr="00E14102">
        <w:rPr>
          <w:color w:val="0070C0"/>
          <w:sz w:val="16"/>
          <w:szCs w:val="16"/>
        </w:rPr>
        <w:softHyphen/>
        <w:t>стояла из 12 полос. Полотнища собрали из тра</w:t>
      </w:r>
      <w:r w:rsidRPr="00E14102">
        <w:rPr>
          <w:color w:val="0070C0"/>
          <w:sz w:val="16"/>
          <w:szCs w:val="16"/>
        </w:rPr>
        <w:softHyphen/>
        <w:t>пеций, раскроенных из трёхслойной диагональ</w:t>
      </w:r>
      <w:r w:rsidRPr="00E14102">
        <w:rPr>
          <w:color w:val="0070C0"/>
          <w:sz w:val="16"/>
          <w:szCs w:val="16"/>
        </w:rPr>
        <w:softHyphen/>
        <w:t>но дублированной материи, использовавшейся на «СССР В-7». Над «килем» надгондольного развития оболочка образовывала вмятину в виде шатра, верхняя часть которого закреплялась на тросах внутренней подвески.</w:t>
      </w:r>
    </w:p>
    <w:p w14:paraId="3FF0DA02" w14:textId="77777777" w:rsidR="00257D8A" w:rsidRPr="00E14102" w:rsidRDefault="00257D8A" w:rsidP="00E14102">
      <w:pPr>
        <w:jc w:val="both"/>
        <w:rPr>
          <w:color w:val="0070C0"/>
          <w:sz w:val="16"/>
          <w:szCs w:val="16"/>
        </w:rPr>
      </w:pPr>
      <w:r w:rsidRPr="00E14102">
        <w:rPr>
          <w:color w:val="0070C0"/>
          <w:sz w:val="16"/>
          <w:szCs w:val="16"/>
        </w:rPr>
        <w:t>Для выпуска газа на хребте оболочки име</w:t>
      </w:r>
      <w:r w:rsidRPr="00E14102">
        <w:rPr>
          <w:color w:val="0070C0"/>
          <w:sz w:val="16"/>
          <w:szCs w:val="16"/>
        </w:rPr>
        <w:softHyphen/>
        <w:t>лись два газовых клапана автоматически управ</w:t>
      </w:r>
      <w:r w:rsidRPr="00E14102">
        <w:rPr>
          <w:color w:val="0070C0"/>
          <w:sz w:val="16"/>
          <w:szCs w:val="16"/>
        </w:rPr>
        <w:softHyphen/>
        <w:t>ляемого типа. Для осмотра клапанов, верхней части корпуса, верхних и боковых планов через оболочку из надгондольного развития проходи</w:t>
      </w:r>
      <w:r w:rsidRPr="00E14102">
        <w:rPr>
          <w:color w:val="0070C0"/>
          <w:sz w:val="16"/>
          <w:szCs w:val="16"/>
        </w:rPr>
        <w:softHyphen/>
        <w:t>ла шахта, аналогичная по конструкции шахтам «СССР В-6» и «СССР В-7», с закреплённой внутри неё тросовой лестницей. Через шахту шли также тросы управления к клапанам и рулям.</w:t>
      </w:r>
    </w:p>
    <w:p w14:paraId="15E849A8" w14:textId="77777777" w:rsidR="00257D8A" w:rsidRPr="00E14102" w:rsidRDefault="00257D8A" w:rsidP="00E14102">
      <w:pPr>
        <w:jc w:val="both"/>
        <w:rPr>
          <w:color w:val="0070C0"/>
          <w:sz w:val="16"/>
          <w:szCs w:val="16"/>
        </w:rPr>
      </w:pPr>
      <w:r w:rsidRPr="00E14102">
        <w:rPr>
          <w:color w:val="0070C0"/>
          <w:sz w:val="16"/>
          <w:szCs w:val="16"/>
        </w:rPr>
        <w:t>Носовое усиление состояло из 16 дюралюми</w:t>
      </w:r>
      <w:r w:rsidRPr="00E14102">
        <w:rPr>
          <w:color w:val="0070C0"/>
          <w:sz w:val="16"/>
          <w:szCs w:val="16"/>
        </w:rPr>
        <w:softHyphen/>
        <w:t>ниевых трубок, изогнутых по форме корпуса и крепившихся зашпаговкой в наклеенных на оболочку матерчатых поясах. Передние концы всех реек соединялись со стальным трубчатым кольцом носового купола, являвшегося базой для причального конуса. Дирижабль мог кре</w:t>
      </w:r>
      <w:r w:rsidRPr="00E14102">
        <w:rPr>
          <w:color w:val="0070C0"/>
          <w:sz w:val="16"/>
          <w:szCs w:val="16"/>
        </w:rPr>
        <w:softHyphen/>
        <w:t>питься на лётном поле как на высокой причаль</w:t>
      </w:r>
      <w:r w:rsidRPr="00E14102">
        <w:rPr>
          <w:color w:val="0070C0"/>
          <w:sz w:val="16"/>
          <w:szCs w:val="16"/>
        </w:rPr>
        <w:softHyphen/>
        <w:t>ной мачте за носовой купол, так и на низкой причальной мачте — за гайдропный узел на пер</w:t>
      </w:r>
      <w:r w:rsidRPr="00E14102">
        <w:rPr>
          <w:color w:val="0070C0"/>
          <w:sz w:val="16"/>
          <w:szCs w:val="16"/>
        </w:rPr>
        <w:softHyphen/>
        <w:t>вом шпангоуте надгондольного развития. Для улучшения обтекания корпуса купол и перед</w:t>
      </w:r>
      <w:r w:rsidRPr="00E14102">
        <w:rPr>
          <w:color w:val="0070C0"/>
          <w:sz w:val="16"/>
          <w:szCs w:val="16"/>
        </w:rPr>
        <w:softHyphen/>
        <w:t>нюю часть носового усиления обтянули покры</w:t>
      </w:r>
      <w:r w:rsidRPr="00E14102">
        <w:rPr>
          <w:color w:val="0070C0"/>
          <w:sz w:val="16"/>
          <w:szCs w:val="16"/>
        </w:rPr>
        <w:softHyphen/>
        <w:t>тым авиалаком перкалем.</w:t>
      </w:r>
    </w:p>
    <w:p w14:paraId="0B5E7E16" w14:textId="77777777" w:rsidR="00257D8A" w:rsidRPr="00E14102" w:rsidRDefault="00257D8A" w:rsidP="00E14102">
      <w:pPr>
        <w:jc w:val="both"/>
        <w:rPr>
          <w:color w:val="0070C0"/>
          <w:sz w:val="16"/>
          <w:szCs w:val="16"/>
        </w:rPr>
      </w:pPr>
      <w:r w:rsidRPr="00E14102">
        <w:rPr>
          <w:color w:val="0070C0"/>
          <w:sz w:val="16"/>
          <w:szCs w:val="16"/>
        </w:rPr>
        <w:t>Оперение ДП-15 состояло из четырёх симмет</w:t>
      </w:r>
      <w:r w:rsidRPr="00E14102">
        <w:rPr>
          <w:color w:val="0070C0"/>
          <w:sz w:val="16"/>
          <w:szCs w:val="16"/>
        </w:rPr>
        <w:softHyphen/>
        <w:t>рично расположенных планов со стабилизато</w:t>
      </w:r>
      <w:r w:rsidRPr="00E14102">
        <w:rPr>
          <w:color w:val="0070C0"/>
          <w:sz w:val="16"/>
          <w:szCs w:val="16"/>
        </w:rPr>
        <w:softHyphen/>
        <w:t>рами и рулями. Каркас стабилизаторов и рулей впервые в отечественном дирижаблестроении сварили из хромомолибденовых стальных труб и обтянули покрытым авиалаком перкалем.</w:t>
      </w:r>
    </w:p>
    <w:p w14:paraId="4317D37B" w14:textId="77777777" w:rsidR="00257D8A" w:rsidRPr="00E14102" w:rsidRDefault="00257D8A" w:rsidP="00E14102">
      <w:pPr>
        <w:jc w:val="both"/>
        <w:rPr>
          <w:color w:val="0070C0"/>
          <w:sz w:val="16"/>
          <w:szCs w:val="16"/>
        </w:rPr>
      </w:pPr>
      <w:r w:rsidRPr="00E14102">
        <w:rPr>
          <w:color w:val="0070C0"/>
          <w:sz w:val="16"/>
          <w:szCs w:val="16"/>
        </w:rPr>
        <w:t>Надгондольное развитие (киль) состояло из пяти треугольных шпангоутов, восьми нижних стрингерных балок, системы расчалок и двух верхних тросовых стяжек, заменявших верхние стрингеры между тремя соседними шпангоута</w:t>
      </w:r>
      <w:r w:rsidRPr="00E14102">
        <w:rPr>
          <w:color w:val="0070C0"/>
          <w:sz w:val="16"/>
          <w:szCs w:val="16"/>
        </w:rPr>
        <w:softHyphen/>
        <w:t>ми. Размеры средних шпангоутов позволяли эки</w:t>
      </w:r>
      <w:r w:rsidRPr="00E14102">
        <w:rPr>
          <w:color w:val="0070C0"/>
          <w:sz w:val="16"/>
          <w:szCs w:val="16"/>
        </w:rPr>
        <w:softHyphen/>
        <w:t>пажу проходить вдоль киля. Общая длина киля составляла 14 м. Внутри на двух шпангоутах раз</w:t>
      </w:r>
      <w:r w:rsidRPr="00E14102">
        <w:rPr>
          <w:color w:val="0070C0"/>
          <w:sz w:val="16"/>
          <w:szCs w:val="16"/>
        </w:rPr>
        <w:softHyphen/>
        <w:t>мещались четыре алюминиевых бака с горючим (всего 1082 л), маслобак на 80 л, балластный бак на 200 л и гайдроп.</w:t>
      </w:r>
    </w:p>
    <w:p w14:paraId="0418E616" w14:textId="77777777" w:rsidR="00257D8A" w:rsidRPr="00E14102" w:rsidRDefault="00257D8A" w:rsidP="00E14102">
      <w:pPr>
        <w:jc w:val="both"/>
        <w:rPr>
          <w:color w:val="0070C0"/>
          <w:sz w:val="16"/>
          <w:szCs w:val="16"/>
        </w:rPr>
      </w:pPr>
      <w:r w:rsidRPr="00E14102">
        <w:rPr>
          <w:color w:val="0070C0"/>
          <w:sz w:val="16"/>
          <w:szCs w:val="16"/>
        </w:rPr>
        <w:t>Гондола ферменного типа состояла из трёх шпангоутов и силового пола. Верхние узлы шпангоутов гондолы скреплялись с нижними уз</w:t>
      </w:r>
      <w:r w:rsidRPr="00E14102">
        <w:rPr>
          <w:color w:val="0070C0"/>
          <w:sz w:val="16"/>
          <w:szCs w:val="16"/>
        </w:rPr>
        <w:softHyphen/>
        <w:t>лами трёх соседних шпангоутов киля. При этом гондола совместно с надгондольным развитием («килем») образовывала геометрически неизме</w:t>
      </w:r>
      <w:r w:rsidRPr="00E14102">
        <w:rPr>
          <w:color w:val="0070C0"/>
          <w:sz w:val="16"/>
          <w:szCs w:val="16"/>
        </w:rPr>
        <w:softHyphen/>
        <w:t>няемую шпренгельную конструкцию. С корпу</w:t>
      </w:r>
      <w:r w:rsidRPr="00E14102">
        <w:rPr>
          <w:color w:val="0070C0"/>
          <w:sz w:val="16"/>
          <w:szCs w:val="16"/>
        </w:rPr>
        <w:softHyphen/>
        <w:t>сом эта система соединялась пятью вертикаль</w:t>
      </w:r>
      <w:r w:rsidRPr="00E14102">
        <w:rPr>
          <w:color w:val="0070C0"/>
          <w:sz w:val="16"/>
          <w:szCs w:val="16"/>
        </w:rPr>
        <w:softHyphen/>
        <w:t>ными и двумя наклонными тросовыми стропами внутренней подвески, и, кроме того, с узлами на</w:t>
      </w:r>
      <w:r w:rsidRPr="00E14102">
        <w:rPr>
          <w:color w:val="0070C0"/>
          <w:sz w:val="16"/>
          <w:szCs w:val="16"/>
        </w:rPr>
        <w:softHyphen/>
        <w:t>ружных катенарий, подходящих ко всем нижним узлам «киля». Такая система крепления гондолы с надгондольным развитием и надгондольного развития с корпусом обеспечивала геометричес</w:t>
      </w:r>
      <w:r w:rsidRPr="00E14102">
        <w:rPr>
          <w:color w:val="0070C0"/>
          <w:sz w:val="16"/>
          <w:szCs w:val="16"/>
        </w:rPr>
        <w:softHyphen/>
        <w:t>кую неизменяемость конструкции дирижабля как при нулевом, так и при положительных и от</w:t>
      </w:r>
      <w:r w:rsidRPr="00E14102">
        <w:rPr>
          <w:color w:val="0070C0"/>
          <w:sz w:val="16"/>
          <w:szCs w:val="16"/>
        </w:rPr>
        <w:softHyphen/>
        <w:t>рицательных дифферентах, образующихся при статических нагружениях и в условиях полёта. Нагрузка от тяги винтов передавалась на корпус в основном через наружные катенарии, не созда</w:t>
      </w:r>
      <w:r w:rsidRPr="00E14102">
        <w:rPr>
          <w:color w:val="0070C0"/>
          <w:sz w:val="16"/>
          <w:szCs w:val="16"/>
        </w:rPr>
        <w:softHyphen/>
        <w:t>вая больших усилий в оболочке.</w:t>
      </w:r>
    </w:p>
    <w:p w14:paraId="4A3F89A5" w14:textId="77777777" w:rsidR="00257D8A" w:rsidRPr="00E14102" w:rsidRDefault="00257D8A" w:rsidP="00E14102">
      <w:pPr>
        <w:jc w:val="both"/>
        <w:rPr>
          <w:color w:val="0070C0"/>
          <w:sz w:val="16"/>
          <w:szCs w:val="16"/>
        </w:rPr>
      </w:pPr>
      <w:r w:rsidRPr="00E14102">
        <w:rPr>
          <w:color w:val="0070C0"/>
          <w:sz w:val="16"/>
          <w:szCs w:val="16"/>
        </w:rPr>
        <w:t>Гондолу в соответствии с назначением ДП-15 как учебно-тренировочного дирижабля спроек</w:t>
      </w:r>
      <w:r w:rsidRPr="00E14102">
        <w:rPr>
          <w:color w:val="0070C0"/>
          <w:sz w:val="16"/>
          <w:szCs w:val="16"/>
        </w:rPr>
        <w:softHyphen/>
        <w:t>тировали достаточно просторной. Она подраз</w:t>
      </w:r>
      <w:r w:rsidRPr="00E14102">
        <w:rPr>
          <w:color w:val="0070C0"/>
          <w:sz w:val="16"/>
          <w:szCs w:val="16"/>
        </w:rPr>
        <w:softHyphen/>
        <w:t>делялась на штурманскую рубку, рубку управ</w:t>
      </w:r>
      <w:r w:rsidRPr="00E14102">
        <w:rPr>
          <w:color w:val="0070C0"/>
          <w:sz w:val="16"/>
          <w:szCs w:val="16"/>
        </w:rPr>
        <w:softHyphen/>
        <w:t>ления, радиорубку, помещение для отдыха, ка</w:t>
      </w:r>
      <w:r w:rsidRPr="00E14102">
        <w:rPr>
          <w:color w:val="0070C0"/>
          <w:sz w:val="16"/>
          <w:szCs w:val="16"/>
        </w:rPr>
        <w:softHyphen/>
        <w:t>бину механика и туалет. Весь силовой каркас гондолы сварили из хромомолибденовых труб. Носовая часть гондолы образовала прозрачный фонарь. Стенки гондолы обтянули покрытым аэролаком перкалем. По бортам гондолы в зоне кабины механика на моторамах разместили два мотора М-11 по 110 л.с.</w:t>
      </w:r>
    </w:p>
    <w:p w14:paraId="02906CDE" w14:textId="77777777" w:rsidR="00257D8A" w:rsidRPr="00E14102" w:rsidRDefault="00257D8A" w:rsidP="00E14102">
      <w:pPr>
        <w:jc w:val="both"/>
        <w:rPr>
          <w:color w:val="0070C0"/>
          <w:sz w:val="16"/>
          <w:szCs w:val="16"/>
        </w:rPr>
      </w:pPr>
      <w:r w:rsidRPr="00E14102">
        <w:rPr>
          <w:color w:val="0070C0"/>
          <w:sz w:val="16"/>
          <w:szCs w:val="16"/>
        </w:rPr>
        <w:t>ДП-15 развивал на высоте 100 м ско</w:t>
      </w:r>
      <w:r w:rsidRPr="00E14102">
        <w:rPr>
          <w:color w:val="0070C0"/>
          <w:sz w:val="16"/>
          <w:szCs w:val="16"/>
        </w:rPr>
        <w:softHyphen/>
        <w:t>рость: максимальную — 91 км/ч, крейсерскую — 77 км/ч. Дальность полёта при эксплуатационном режиме работы моторов составляла — 720 км, при крейсерском — 995 км. В 1937 г. дирижабль построили, а 14 января 1938 г. под управлением В.А. Устиновича состо</w:t>
      </w:r>
      <w:r w:rsidRPr="00E14102">
        <w:rPr>
          <w:color w:val="0070C0"/>
          <w:sz w:val="16"/>
          <w:szCs w:val="16"/>
        </w:rPr>
        <w:softHyphen/>
        <w:t>ялся его первый полёт, продолжавшийся около двух часов (20120).</w:t>
      </w:r>
    </w:p>
    <w:p w14:paraId="79AD1FAA" w14:textId="77777777" w:rsidR="00257D8A" w:rsidRPr="00E14102" w:rsidRDefault="00257D8A" w:rsidP="00E14102">
      <w:pPr>
        <w:jc w:val="both"/>
        <w:rPr>
          <w:color w:val="0070C0"/>
          <w:sz w:val="16"/>
          <w:szCs w:val="16"/>
        </w:rPr>
      </w:pPr>
    </w:p>
    <w:p w14:paraId="01A4C49C" w14:textId="77777777" w:rsidR="00257D8A" w:rsidRPr="00E14102" w:rsidRDefault="00257D8A" w:rsidP="00E14102">
      <w:pPr>
        <w:jc w:val="both"/>
        <w:rPr>
          <w:color w:val="0070C0"/>
          <w:sz w:val="16"/>
          <w:szCs w:val="16"/>
        </w:rPr>
      </w:pPr>
      <w:r w:rsidRPr="00E14102">
        <w:rPr>
          <w:color w:val="0070C0"/>
          <w:sz w:val="16"/>
          <w:szCs w:val="16"/>
        </w:rPr>
        <w:t>Осенью 1935 г. чертежи оболочки «СССР В-8» вновь пересмотрели и многие из них переделали. Все изменения были мелкие, за ис</w:t>
      </w:r>
      <w:r w:rsidRPr="00E14102">
        <w:rPr>
          <w:color w:val="0070C0"/>
          <w:sz w:val="16"/>
          <w:szCs w:val="16"/>
        </w:rPr>
        <w:softHyphen/>
        <w:t>ключением надкилевого полотнища, в котором однослойную ткань из перкаля заменили двух</w:t>
      </w:r>
      <w:r w:rsidRPr="00E14102">
        <w:rPr>
          <w:color w:val="0070C0"/>
          <w:sz w:val="16"/>
          <w:szCs w:val="16"/>
        </w:rPr>
        <w:softHyphen/>
        <w:t>слойной.</w:t>
      </w:r>
    </w:p>
    <w:p w14:paraId="291744DA" w14:textId="77777777" w:rsidR="00257D8A" w:rsidRPr="00E14102" w:rsidRDefault="00257D8A" w:rsidP="00E14102">
      <w:pPr>
        <w:jc w:val="both"/>
        <w:rPr>
          <w:color w:val="0070C0"/>
          <w:sz w:val="16"/>
          <w:szCs w:val="16"/>
        </w:rPr>
      </w:pPr>
      <w:r w:rsidRPr="00E14102">
        <w:rPr>
          <w:color w:val="0070C0"/>
          <w:sz w:val="16"/>
          <w:szCs w:val="16"/>
        </w:rPr>
        <w:t>Дирижабль с объёмом обо</w:t>
      </w:r>
      <w:r w:rsidRPr="00E14102">
        <w:rPr>
          <w:color w:val="0070C0"/>
          <w:sz w:val="16"/>
          <w:szCs w:val="16"/>
        </w:rPr>
        <w:softHyphen/>
        <w:t>лочки 10 000 м3 воспроизводил конструкцию «СССР В-7 бис» с учётом приобретённого опыта. Конструкция оболочки дирижабля представляла собой развитие конструкции «СССР В-7», в ком</w:t>
      </w:r>
      <w:r w:rsidRPr="00E14102">
        <w:rPr>
          <w:color w:val="0070C0"/>
          <w:sz w:val="16"/>
          <w:szCs w:val="16"/>
        </w:rPr>
        <w:softHyphen/>
        <w:t>плект чертежей которой в 1934 г. внесли ряд ис</w:t>
      </w:r>
      <w:r w:rsidRPr="00E14102">
        <w:rPr>
          <w:color w:val="0070C0"/>
          <w:sz w:val="16"/>
          <w:szCs w:val="16"/>
        </w:rPr>
        <w:softHyphen/>
        <w:t>правлений и улучшений</w:t>
      </w:r>
    </w:p>
    <w:p w14:paraId="7CB9312A" w14:textId="77777777" w:rsidR="00257D8A" w:rsidRPr="00E14102" w:rsidRDefault="00257D8A" w:rsidP="00E14102">
      <w:pPr>
        <w:jc w:val="both"/>
        <w:rPr>
          <w:color w:val="0070C0"/>
          <w:sz w:val="16"/>
          <w:szCs w:val="16"/>
        </w:rPr>
      </w:pPr>
      <w:r w:rsidRPr="00E14102">
        <w:rPr>
          <w:color w:val="0070C0"/>
          <w:sz w:val="16"/>
          <w:szCs w:val="16"/>
        </w:rPr>
        <w:t>Дирижабль построил и собрал советский пер</w:t>
      </w:r>
      <w:r w:rsidRPr="00E14102">
        <w:rPr>
          <w:color w:val="0070C0"/>
          <w:sz w:val="16"/>
          <w:szCs w:val="16"/>
        </w:rPr>
        <w:softHyphen/>
        <w:t>сонал, продемонстрировавший высокое качество работы. Однако, по мнению У. Нобиле, дири</w:t>
      </w:r>
      <w:r w:rsidRPr="00E14102">
        <w:rPr>
          <w:color w:val="0070C0"/>
          <w:sz w:val="16"/>
          <w:szCs w:val="16"/>
        </w:rPr>
        <w:softHyphen/>
        <w:t>жабль сохранил изначальный дефект схемы — несоответствие между скоростью и полезным грузом: скорость была слишком высока, а полез</w:t>
      </w:r>
      <w:r w:rsidRPr="00E14102">
        <w:rPr>
          <w:color w:val="0070C0"/>
          <w:sz w:val="16"/>
          <w:szCs w:val="16"/>
        </w:rPr>
        <w:softHyphen/>
        <w:t>ный груз — слишком мал.</w:t>
      </w:r>
    </w:p>
    <w:p w14:paraId="67A01905" w14:textId="77777777" w:rsidR="00257D8A" w:rsidRPr="00E14102" w:rsidRDefault="00257D8A" w:rsidP="00E14102">
      <w:pPr>
        <w:jc w:val="both"/>
        <w:rPr>
          <w:color w:val="0070C0"/>
          <w:sz w:val="16"/>
          <w:szCs w:val="16"/>
        </w:rPr>
      </w:pPr>
      <w:r w:rsidRPr="00E14102">
        <w:rPr>
          <w:color w:val="0070C0"/>
          <w:sz w:val="16"/>
          <w:szCs w:val="16"/>
        </w:rPr>
        <w:t>Объём дирижабля составлял 9150 м3, длина- 77,3 м, высота в миделе (без гондолы) — 15,8 м. В сечении она имела четырёхдольную форму. Рас</w:t>
      </w:r>
      <w:r w:rsidRPr="00E14102">
        <w:rPr>
          <w:color w:val="0070C0"/>
          <w:sz w:val="16"/>
          <w:szCs w:val="16"/>
        </w:rPr>
        <w:softHyphen/>
        <w:t>крой оболочки меридиональный (10 полотнищ).</w:t>
      </w:r>
    </w:p>
    <w:p w14:paraId="03ECC7AF" w14:textId="77777777" w:rsidR="00257D8A" w:rsidRPr="00E14102" w:rsidRDefault="00257D8A" w:rsidP="00E14102">
      <w:pPr>
        <w:jc w:val="both"/>
        <w:rPr>
          <w:color w:val="0070C0"/>
          <w:sz w:val="16"/>
          <w:szCs w:val="16"/>
        </w:rPr>
      </w:pPr>
      <w:r w:rsidRPr="00E14102">
        <w:rPr>
          <w:color w:val="0070C0"/>
          <w:sz w:val="16"/>
          <w:szCs w:val="16"/>
        </w:rPr>
        <w:t>В кормовой части дирижабля располагалась шахта, служившая для выхода из килевой фермы на верхнюю часть оболочки. Шахту диаметром 750 мм изготовили из материи и армировали изнутри 21 металлическим кольцом. К кольцам прикрепили лестницу из стального троса с дюра</w:t>
      </w:r>
      <w:r w:rsidRPr="00E14102">
        <w:rPr>
          <w:color w:val="0070C0"/>
          <w:sz w:val="16"/>
          <w:szCs w:val="16"/>
        </w:rPr>
        <w:softHyphen/>
        <w:t>левыми ступеньками. Сверху шахта закрывалась обтекателем с люком. Балки кормового развития заключили в особые матерчатые рукава, которые давали возможность металлическим конструк</w:t>
      </w:r>
      <w:r w:rsidRPr="00E14102">
        <w:rPr>
          <w:color w:val="0070C0"/>
          <w:sz w:val="16"/>
          <w:szCs w:val="16"/>
        </w:rPr>
        <w:softHyphen/>
        <w:t>циям кормового развития свободно деформиро</w:t>
      </w:r>
      <w:r w:rsidRPr="00E14102">
        <w:rPr>
          <w:color w:val="0070C0"/>
          <w:sz w:val="16"/>
          <w:szCs w:val="16"/>
        </w:rPr>
        <w:softHyphen/>
        <w:t>ваться и полностью изолировали их от газового пространства.</w:t>
      </w:r>
    </w:p>
    <w:p w14:paraId="2DB54982" w14:textId="77777777" w:rsidR="00257D8A" w:rsidRPr="00E14102" w:rsidRDefault="00257D8A" w:rsidP="00E14102">
      <w:pPr>
        <w:jc w:val="both"/>
        <w:rPr>
          <w:color w:val="0070C0"/>
          <w:sz w:val="16"/>
          <w:szCs w:val="16"/>
        </w:rPr>
      </w:pPr>
      <w:r w:rsidRPr="00E14102">
        <w:rPr>
          <w:color w:val="0070C0"/>
          <w:sz w:val="16"/>
          <w:szCs w:val="16"/>
        </w:rPr>
        <w:t>Оболочку оборудовали пятью газовыми ап</w:t>
      </w:r>
      <w:r w:rsidRPr="00E14102">
        <w:rPr>
          <w:color w:val="0070C0"/>
          <w:sz w:val="16"/>
          <w:szCs w:val="16"/>
        </w:rPr>
        <w:softHyphen/>
        <w:t>пендиксами (по одному на каждый газовый от</w:t>
      </w:r>
      <w:r w:rsidRPr="00E14102">
        <w:rPr>
          <w:color w:val="0070C0"/>
          <w:sz w:val="16"/>
          <w:szCs w:val="16"/>
        </w:rPr>
        <w:softHyphen/>
        <w:t>сек), три из которых после первоначального газо</w:t>
      </w:r>
      <w:r w:rsidRPr="00E14102">
        <w:rPr>
          <w:color w:val="0070C0"/>
          <w:sz w:val="16"/>
          <w:szCs w:val="16"/>
        </w:rPr>
        <w:softHyphen/>
        <w:t>наполнения завязали и заклеили, а два (носовой и кормовой) служили для подполнения дирижа</w:t>
      </w:r>
      <w:r w:rsidRPr="00E14102">
        <w:rPr>
          <w:color w:val="0070C0"/>
          <w:sz w:val="16"/>
          <w:szCs w:val="16"/>
        </w:rPr>
        <w:softHyphen/>
        <w:t>бля газом при эксплуатации. Для измерения дав</w:t>
      </w:r>
      <w:r w:rsidRPr="00E14102">
        <w:rPr>
          <w:color w:val="0070C0"/>
          <w:sz w:val="16"/>
          <w:szCs w:val="16"/>
        </w:rPr>
        <w:softHyphen/>
        <w:t>ления газа в газовых отсеках и воздуха в балло</w:t>
      </w:r>
      <w:r w:rsidRPr="00E14102">
        <w:rPr>
          <w:color w:val="0070C0"/>
          <w:sz w:val="16"/>
          <w:szCs w:val="16"/>
        </w:rPr>
        <w:softHyphen/>
        <w:t>нетах их снабдили отводными резиновыми труб</w:t>
      </w:r>
      <w:r w:rsidRPr="00E14102">
        <w:rPr>
          <w:color w:val="0070C0"/>
          <w:sz w:val="16"/>
          <w:szCs w:val="16"/>
        </w:rPr>
        <w:softHyphen/>
        <w:t>ками, выведенными в гондолу и соединёнными с манометрическими стеклянными трубками. Каждый газовый отсек имел в верхней части по правому борту по два разрывных полотнища, вскрываемых в аварийных случаях с земли при помощи длинной верёвки.</w:t>
      </w:r>
    </w:p>
    <w:p w14:paraId="1ED1DE44" w14:textId="77777777" w:rsidR="00257D8A" w:rsidRPr="00E14102" w:rsidRDefault="00257D8A" w:rsidP="00E14102">
      <w:pPr>
        <w:jc w:val="both"/>
        <w:rPr>
          <w:color w:val="0070C0"/>
          <w:sz w:val="16"/>
          <w:szCs w:val="16"/>
        </w:rPr>
      </w:pPr>
      <w:r w:rsidRPr="00E14102">
        <w:rPr>
          <w:color w:val="0070C0"/>
          <w:sz w:val="16"/>
          <w:szCs w:val="16"/>
        </w:rPr>
        <w:t>Дирижабль имел три баллонета (носовой, цен</w:t>
      </w:r>
      <w:r w:rsidRPr="00E14102">
        <w:rPr>
          <w:color w:val="0070C0"/>
          <w:sz w:val="16"/>
          <w:szCs w:val="16"/>
        </w:rPr>
        <w:softHyphen/>
        <w:t>тральный и кормовой) — суммарным объёмом 3700 м3. Питание их воздухом осуществлялось с помощью двух металлических улавливателей, расположенных за винтами моторов. От метал</w:t>
      </w:r>
      <w:r w:rsidRPr="00E14102">
        <w:rPr>
          <w:color w:val="0070C0"/>
          <w:sz w:val="16"/>
          <w:szCs w:val="16"/>
        </w:rPr>
        <w:softHyphen/>
        <w:t>лических патрубков воздух поступал в распреде</w:t>
      </w:r>
      <w:r w:rsidRPr="00E14102">
        <w:rPr>
          <w:color w:val="0070C0"/>
          <w:sz w:val="16"/>
          <w:szCs w:val="16"/>
        </w:rPr>
        <w:softHyphen/>
        <w:t>лительный воздухопровод в килевой ферме. Для каждого баллонета от воздухопровода отходили два матерчатых патрубка, снабжённых автома</w:t>
      </w:r>
      <w:r w:rsidRPr="00E14102">
        <w:rPr>
          <w:color w:val="0070C0"/>
          <w:sz w:val="16"/>
          <w:szCs w:val="16"/>
        </w:rPr>
        <w:softHyphen/>
        <w:t>тическими впускными клапаном. Регулирование подачи воздуха в баллонеты осуществлялось при помощи специального устройства в воздухоу- лавливателе. Каждый баллонет снабжался двумя выпускными воздушными клапанами.</w:t>
      </w:r>
    </w:p>
    <w:p w14:paraId="7448889A" w14:textId="77777777" w:rsidR="00257D8A" w:rsidRPr="00E14102" w:rsidRDefault="00257D8A" w:rsidP="00E14102">
      <w:pPr>
        <w:jc w:val="both"/>
        <w:rPr>
          <w:color w:val="0070C0"/>
          <w:sz w:val="16"/>
          <w:szCs w:val="16"/>
        </w:rPr>
      </w:pPr>
      <w:r w:rsidRPr="00E14102">
        <w:rPr>
          <w:color w:val="0070C0"/>
          <w:sz w:val="16"/>
          <w:szCs w:val="16"/>
        </w:rPr>
        <w:t>«СССР В-8» стал единственным советским ди</w:t>
      </w:r>
      <w:r w:rsidRPr="00E14102">
        <w:rPr>
          <w:color w:val="0070C0"/>
          <w:sz w:val="16"/>
          <w:szCs w:val="16"/>
        </w:rPr>
        <w:softHyphen/>
        <w:t>рижаблем, получившим вооружение (четыре пу</w:t>
      </w:r>
      <w:r w:rsidRPr="00E14102">
        <w:rPr>
          <w:color w:val="0070C0"/>
          <w:sz w:val="16"/>
          <w:szCs w:val="16"/>
        </w:rPr>
        <w:softHyphen/>
        <w:t>лемёта ДА-1 и один ШКАС), с которым участвовал осенью 1937 г. в войсковых тактических испыта</w:t>
      </w:r>
      <w:r w:rsidRPr="00E14102">
        <w:rPr>
          <w:color w:val="0070C0"/>
          <w:sz w:val="16"/>
          <w:szCs w:val="16"/>
        </w:rPr>
        <w:softHyphen/>
        <w:t>ниях. Дирижабль эксплуатировался до 1938 г. 10 марта 1940 г. «СССР В-8» разобрали в связи с консервацией дирижаблестроения и ликвида</w:t>
      </w:r>
      <w:r w:rsidRPr="00E14102">
        <w:rPr>
          <w:color w:val="0070C0"/>
          <w:sz w:val="16"/>
          <w:szCs w:val="16"/>
        </w:rPr>
        <w:softHyphen/>
        <w:t>цией эскадры дирижаблей ГВФ (20120).</w:t>
      </w:r>
    </w:p>
    <w:p w14:paraId="1DAD7B1A" w14:textId="77777777" w:rsidR="00257D8A" w:rsidRPr="00E14102" w:rsidRDefault="00257D8A" w:rsidP="00E14102">
      <w:pPr>
        <w:jc w:val="both"/>
        <w:rPr>
          <w:color w:val="0070C0"/>
          <w:sz w:val="16"/>
          <w:szCs w:val="16"/>
        </w:rPr>
      </w:pPr>
    </w:p>
    <w:p w14:paraId="7FD068D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9538FCB" w14:textId="77777777" w:rsidR="00D4105E" w:rsidRPr="00E14102" w:rsidRDefault="00D4105E" w:rsidP="00E14102">
      <w:pPr>
        <w:autoSpaceDE w:val="0"/>
        <w:autoSpaceDN w:val="0"/>
        <w:adjustRightInd w:val="0"/>
        <w:jc w:val="both"/>
        <w:rPr>
          <w:iCs/>
          <w:color w:val="000000" w:themeColor="text1"/>
          <w:sz w:val="16"/>
          <w:szCs w:val="16"/>
        </w:rPr>
      </w:pPr>
    </w:p>
    <w:p w14:paraId="15C050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осени 1935 года на заводе № 92 приступили к разработке и проектированию технологии серийного производства 76-мм дивизионной пушки Ф-22 (3861).</w:t>
      </w:r>
    </w:p>
    <w:p w14:paraId="0DEAFA57" w14:textId="77777777" w:rsidR="00D4105E" w:rsidRPr="00E14102" w:rsidRDefault="00D4105E" w:rsidP="00E14102">
      <w:pPr>
        <w:autoSpaceDE w:val="0"/>
        <w:autoSpaceDN w:val="0"/>
        <w:adjustRightInd w:val="0"/>
        <w:jc w:val="both"/>
        <w:rPr>
          <w:color w:val="000000" w:themeColor="text1"/>
          <w:sz w:val="16"/>
          <w:szCs w:val="16"/>
        </w:rPr>
      </w:pPr>
    </w:p>
    <w:p w14:paraId="0A929D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Осенью 1935 года был построен БА-5. Просторный бронекорпус его, сваренный из плоских листов толщиной 4-9 мм, вмещал экипаж из 5 человек. Цилиндрическая башня с 45-мм пушкой и спаренным с ней пулеметом ДТ была заимствована от танка Т-26. Еще два ДТ были смонтированы в шаровых установках лобового листа корпуса и кормовой рубки. Был введен задний пост управления (с рулем и педалями), сиденье, смотровой люк, фары.</w:t>
      </w:r>
    </w:p>
    <w:p w14:paraId="35A172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Получив удовлетворительную бронезащиту (несколько лучшую, чем у распространенного тогда среднего бронеавтомобиля БА-3) и дополнительное вооружение, машина имела все же большие габариты и невысокую проходимость. Подвижность ее ограничивалась недостаточной мощностью двигателя - 73 л. с. В целом выигрыш в боевых свойствах пока был невелик. Однако шасси и двигатель ЗИС-6 имели возможность дальнейшего совершенствования, да и размеры машины могли быть заметно уменьшены при усилении ее бронезащиты, за счет более рациональной формы корпуса (9645).</w:t>
      </w:r>
    </w:p>
    <w:p w14:paraId="0DA3BEEB" w14:textId="77777777" w:rsidR="00D4105E" w:rsidRPr="00E14102" w:rsidRDefault="00D4105E" w:rsidP="00E14102">
      <w:pPr>
        <w:autoSpaceDE w:val="0"/>
        <w:autoSpaceDN w:val="0"/>
        <w:adjustRightInd w:val="0"/>
        <w:jc w:val="both"/>
        <w:rPr>
          <w:color w:val="000000" w:themeColor="text1"/>
          <w:sz w:val="16"/>
          <w:szCs w:val="16"/>
        </w:rPr>
      </w:pPr>
    </w:p>
    <w:p w14:paraId="5DE004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Осенью 1935 года в НАТИ построили транспортный трактор С-1 (на базе трактора ЧТЗ), а 10 декабря после прохождения испытаний он был показан вместе с новыми тракторами в Кремле И.В.Сталину и другим руководителям государства. В следующем году по результатам испытаний усилили подвеску, мощность двигателя довели до 120 л.с. (и даже до 130 л.с.) при 1200 об/мин, то есть она увеличилась почти вдвое по сравнению с С-60, при этом скорость машины повысилась. Зимой 1937-го С-1 проходил испытания (водители - А.В.Сапожников от НАТИ и ВИ.Дурановский - от ЧТЗ) уже как артиллерийский тягач на Лужском полигоне, где показал неплохие результаты: среднюю скорость по шоссе без прицепа — 22 км/ч, с артсистемой массой 7,2 т — до 17 км/ч, с массой 12 т — до 11 км/ч, подъем 24° - без прицепа и 12,5° —с прицепом. Однако в это время ЧТЗ уже интенсивно готовился к переходу на новый базовый трактор С-65 с дизелем НАТИ М-17 (75 л.с.), поэтому бензиновый С-1 оказался бесперспективным. </w:t>
      </w:r>
    </w:p>
    <w:p w14:paraId="7629E3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Новый транспортный трактор с дизелем, также форсированным до требуемой, более высокой мощности, пришлось создавать почти с нуля, одновременно существенно дорабатывая подвеску и ходовую часть. </w:t>
      </w:r>
    </w:p>
    <w:p w14:paraId="4016B6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Транспортной модификацией двигателя М-17 с конца 1936 года занимался ведущий конструктор-дизелист НАТИ А.В.Лебедев, а также инженеры В.Н.Попов и А.С.Балаев. Рабочий обьем мотора увеличили на 14,3% путем доведения диаметра цилиндров до 155 мм -предела, обусловленного измененной конструкцией блока и поршневой группы; частоту вращения повысили на 35%; расширили фазы газораспределения; применили новую форкамеру. Весной 1937 года дизель МТ-17 был построен в НАТИ, Одновременно с ним компоновался и новый трактор «Сталинец-2». Очередной раз переделывались подвеска и ходовая часть, аносились изменения в трансмиссию. В конце года первый С-2 вышел на испытания, которые показали, что он требует серьезной конструкторской доработки. Однако острая потребность в артиллерийских тягачах для армии в преддверии войны вынудила передать «сырую» недоведенную машину в производство. 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42756E41" w14:textId="77777777" w:rsidR="00D4105E" w:rsidRPr="00E14102" w:rsidRDefault="00D4105E" w:rsidP="00E14102">
      <w:pPr>
        <w:autoSpaceDE w:val="0"/>
        <w:autoSpaceDN w:val="0"/>
        <w:adjustRightInd w:val="0"/>
        <w:jc w:val="both"/>
        <w:rPr>
          <w:color w:val="000000" w:themeColor="text1"/>
          <w:sz w:val="16"/>
          <w:szCs w:val="16"/>
        </w:rPr>
      </w:pPr>
    </w:p>
    <w:p w14:paraId="2E1395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Осенью 1935 г. на заводе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(1939г.)/ /150040 г. Ярославль пр. Октября, 75 тел. 27-40-11) организовано КБ по троллейбусам, начато проектирование; разработано 7 моделей, последний, ЯТБ-6 (1941 г.) в производство запустить на успели. Первый троллейбус был выпущен 25.07.1936г. В 01.1937г.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 (11982).</w:t>
      </w:r>
    </w:p>
    <w:p w14:paraId="405FBEB7" w14:textId="77777777" w:rsidR="00D4105E" w:rsidRPr="00E14102" w:rsidRDefault="00D4105E" w:rsidP="00E14102">
      <w:pPr>
        <w:autoSpaceDE w:val="0"/>
        <w:autoSpaceDN w:val="0"/>
        <w:adjustRightInd w:val="0"/>
        <w:jc w:val="both"/>
        <w:rPr>
          <w:color w:val="000000" w:themeColor="text1"/>
          <w:sz w:val="16"/>
          <w:szCs w:val="16"/>
        </w:rPr>
      </w:pPr>
    </w:p>
    <w:p w14:paraId="34245709" w14:textId="77777777" w:rsidR="00C16FF9" w:rsidRPr="00E14102" w:rsidRDefault="00C16FF9" w:rsidP="00E14102">
      <w:pPr>
        <w:autoSpaceDE w:val="0"/>
        <w:autoSpaceDN w:val="0"/>
        <w:adjustRightInd w:val="0"/>
        <w:jc w:val="both"/>
        <w:rPr>
          <w:color w:val="000000" w:themeColor="text1"/>
          <w:sz w:val="16"/>
          <w:szCs w:val="16"/>
        </w:rPr>
      </w:pPr>
      <w:r w:rsidRPr="00E14102">
        <w:rPr>
          <w:color w:val="000000" w:themeColor="text1"/>
          <w:sz w:val="16"/>
          <w:szCs w:val="16"/>
        </w:rPr>
        <w:t xml:space="preserve">Осенью 1935 года было начато проектирование ярославских троллейбусов. </w:t>
      </w:r>
      <w:r w:rsidRPr="00E14102">
        <w:rPr>
          <w:rStyle w:val="highlight"/>
          <w:color w:val="000000" w:themeColor="text1"/>
          <w:sz w:val="16"/>
          <w:szCs w:val="16"/>
        </w:rPr>
        <w:t> Директор  завода </w:t>
      </w:r>
      <w:r w:rsidRPr="00E14102">
        <w:rPr>
          <w:color w:val="000000" w:themeColor="text1"/>
          <w:sz w:val="16"/>
          <w:szCs w:val="16"/>
        </w:rPr>
        <w:t xml:space="preserve"> В. А. Еленин с большой ответственностью отнесся к организации выпуска новой продукции, выделил максимум из весьма ограниченных производственных площадей. Под новое дело использовали помещения ФЗУ — фабрично-заводского училища. Обойный участок разместили в раздевалке, жестяницкую — в литейной мастерской, компрессоры пневматического привода тормозов собирали в красном уголке инструментального цеха, кузова — во дворе завода, под навесом. В сжатые сроки для проектирования кузова организовали специальное КБ, руководить которым поручили инженеру В. В. Осепчугову, а для обеспечения серийного выпуска — смежные производства: тормозного и электрооборудования, колёс, шин, резиновых изделий и др. Деревянный кузов проектировали конструкторы Крашенинников, Васильев, Хренов, а раму — Брейтовский. В ноябре 1935 г. спроектировали дисковый стояночный тормоз, взяв за основу от грузовика ЯГ-6, и двухбарабанные тормоза колёс. Одновременно с проектированием изготавливали кузова двух опытных образцов, сдвоенные пассажирские сидения и кресло водителя с регулировкой высоты и перемещением вперёд, другие агрегаты. Также в проектировании оборудования для будущего троллейбуса занимались специалисты НАТИ и завода «Динамо» имени С. М. Кирова. Конструкторское бюро ЗиСа сыграло значительную роль в разработке троллейбуса.</w:t>
      </w:r>
    </w:p>
    <w:p w14:paraId="712BC4F7" w14:textId="77777777" w:rsidR="00C16FF9" w:rsidRPr="00E14102" w:rsidRDefault="00C16FF9" w:rsidP="00E14102">
      <w:pPr>
        <w:autoSpaceDE w:val="0"/>
        <w:autoSpaceDN w:val="0"/>
        <w:adjustRightInd w:val="0"/>
        <w:jc w:val="both"/>
        <w:rPr>
          <w:color w:val="000000" w:themeColor="text1"/>
          <w:sz w:val="16"/>
          <w:szCs w:val="16"/>
        </w:rPr>
      </w:pPr>
      <w:r w:rsidRPr="00E14102">
        <w:rPr>
          <w:color w:val="000000" w:themeColor="text1"/>
          <w:sz w:val="16"/>
          <w:szCs w:val="16"/>
        </w:rPr>
        <w:t>Первые машины модели ЯТБ-1 были выпущены в начале 1936 года. Новый троллейбус имел стандартную для тех лет рамную структуру - на прочную металлическую раму устанавливался кузов, собранный из деревянного каркаса и обшитый стальными листами Первые машины получились совсем громоздкими - пустой троллейбус весил 9100кг. По сравнению со своим предшественником ЛК-1 машина получилась гораздо современнее. Исчез страшный гул трансмиссии, благодаря переносу двигателя влево значительно понизился уровень пола в проходе. Двигатель ДТБ-60 позволял развивать скорость до 40км/ч. В салоне могли разместиться 48 пассажиров, из них 34 - сидя.</w:t>
      </w:r>
    </w:p>
    <w:p w14:paraId="3730299F" w14:textId="77777777" w:rsidR="00C16FF9" w:rsidRPr="00E14102" w:rsidRDefault="00C16FF9" w:rsidP="00E14102">
      <w:pPr>
        <w:autoSpaceDE w:val="0"/>
        <w:autoSpaceDN w:val="0"/>
        <w:adjustRightInd w:val="0"/>
        <w:jc w:val="both"/>
        <w:rPr>
          <w:color w:val="000000" w:themeColor="text1"/>
          <w:sz w:val="16"/>
          <w:szCs w:val="16"/>
        </w:rPr>
      </w:pPr>
      <w:r w:rsidRPr="00E14102">
        <w:rPr>
          <w:color w:val="000000" w:themeColor="text1"/>
          <w:sz w:val="16"/>
          <w:szCs w:val="16"/>
        </w:rPr>
        <w:t>Появились пневматические двери, дежурное освещение салона (на случай отсутсвия напряжения в КС). Были конечно и недостатки, которые постоянно устранялись - так, первые ЯТБ страдали от несовершенной тормозной и в целом пневматической системы.</w:t>
      </w:r>
    </w:p>
    <w:p w14:paraId="4DB99632" w14:textId="77777777" w:rsidR="00C16FF9" w:rsidRPr="00E14102" w:rsidRDefault="00C16FF9" w:rsidP="00E14102">
      <w:pPr>
        <w:autoSpaceDE w:val="0"/>
        <w:autoSpaceDN w:val="0"/>
        <w:adjustRightInd w:val="0"/>
        <w:jc w:val="both"/>
        <w:rPr>
          <w:color w:val="000000" w:themeColor="text1"/>
          <w:sz w:val="16"/>
          <w:szCs w:val="16"/>
        </w:rPr>
      </w:pPr>
      <w:r w:rsidRPr="00E14102">
        <w:rPr>
          <w:color w:val="000000" w:themeColor="text1"/>
          <w:sz w:val="16"/>
          <w:szCs w:val="16"/>
        </w:rPr>
        <w:t>В 1937 году в серию была запущена усовершенствованная версия - ЯТБ-2. Эти троллейбусы были чуть легче, оттого чуть динамичнее. Исчезло большинство проблем предшественника (например, роликовые токосъёмники были заменёны на графитовые вставки).</w:t>
      </w:r>
    </w:p>
    <w:p w14:paraId="63C3E968" w14:textId="77777777" w:rsidR="00C16FF9" w:rsidRPr="00E14102" w:rsidRDefault="00C16FF9" w:rsidP="00E14102">
      <w:pPr>
        <w:autoSpaceDE w:val="0"/>
        <w:autoSpaceDN w:val="0"/>
        <w:adjustRightInd w:val="0"/>
        <w:jc w:val="both"/>
        <w:rPr>
          <w:color w:val="000000" w:themeColor="text1"/>
          <w:sz w:val="16"/>
          <w:szCs w:val="16"/>
        </w:rPr>
      </w:pPr>
      <w:r w:rsidRPr="00E14102">
        <w:rPr>
          <w:color w:val="000000" w:themeColor="text1"/>
          <w:sz w:val="16"/>
          <w:szCs w:val="16"/>
        </w:rPr>
        <w:t>Следующая модель, ЯТБ-4, была запущена в серийное производство в конце 1938 года. К тому времени троллейбусные системы работали уже в десятке городов СССР, и троллейбусы выпускались довольно серьёзными партиями, более двухсот машин в год. На ЯТБ-4 устанавливались (уже по центру) новые тяговые двигатели ДК-201Б вместо ДТБ-60. Новый двигатель был мощнее (74кВт против 60кВт у ДТБ-60), меньше и легче своего предшественника, и новая машина смогла развивать скорость в 57,5км/ч, разгоняясь с ускорением до 1м/с^2. Так же новый троллейбус был чуть длиннее своих предшественников (9500мм против 9300), сидячих мест стало 33, общая вместимость - 50 человек. Троллейбус получил новый компрессор, слегка изменённую главную передачу и изменённую электросхему. Внешнее отличие было только одно - пуско-тормозные реостаты перенесли с крыши под пол для лучшей защиты от осадков (</w:t>
      </w:r>
      <w:r w:rsidRPr="00E14102">
        <w:rPr>
          <w:iCs/>
          <w:color w:val="000000" w:themeColor="text1"/>
          <w:sz w:val="16"/>
          <w:szCs w:val="16"/>
        </w:rPr>
        <w:t>к слову, через несколько десятков лет на многих моделях троллейбусов блок ПТР стали снова устанавливать на крышу, для лучшего охлаждения</w:t>
      </w:r>
      <w:r w:rsidRPr="00E14102">
        <w:rPr>
          <w:color w:val="000000" w:themeColor="text1"/>
          <w:sz w:val="16"/>
          <w:szCs w:val="16"/>
        </w:rPr>
        <w:t>).</w:t>
      </w:r>
    </w:p>
    <w:p w14:paraId="6DDE348A" w14:textId="77777777" w:rsidR="00C16FF9" w:rsidRPr="00E14102" w:rsidRDefault="00C16FF9" w:rsidP="00E14102">
      <w:pPr>
        <w:autoSpaceDE w:val="0"/>
        <w:autoSpaceDN w:val="0"/>
        <w:adjustRightInd w:val="0"/>
        <w:jc w:val="both"/>
        <w:rPr>
          <w:color w:val="000000" w:themeColor="text1"/>
          <w:sz w:val="16"/>
          <w:szCs w:val="16"/>
        </w:rPr>
      </w:pPr>
      <w:r w:rsidRPr="00E14102">
        <w:rPr>
          <w:color w:val="000000" w:themeColor="text1"/>
          <w:sz w:val="16"/>
          <w:szCs w:val="16"/>
        </w:rPr>
        <w:t>Был значительно облегчён кузов, пустой троллейбус теперь весил 8500кг. Кроме того, была применена ставшая в последствии стандартной схема торможения - левая педаль теперь сначала включала электротормоз, а при большем нажатии подключала пневматику. Салон по-прежнему вмещал 34 сидячих пассажира. Выпуск этих машин до 1941 года; часть из московских ЯТБ после войны была отправлена на экспорт в Варшаву.</w:t>
      </w:r>
    </w:p>
    <w:p w14:paraId="00927258" w14:textId="77777777" w:rsidR="00C16FF9" w:rsidRPr="00E14102" w:rsidRDefault="00C16FF9"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конце 1940-ых в Тушино был начат выпуск троллейбусов МТБ-82. Более вместительные и современные машины уже к концу 50-ых вытеснили ЯТБ с улиц большинства городов. Последние экземпляры ЯТБ исчезли с маршрутов в середине 60-ых. Долгое время считалось, что ни одного экземпляра этих троллейбусов не сохранилось, однако в 2000 году в селе Ленинградской области был обнаружен кузов троллейбуса ЯТБ-1. уникальная машина была восстановлена и уже 15 мая 2004 года вышла на улицы Санкт-Петербурга, став </w:t>
      </w:r>
      <w:hyperlink r:id="rId201" w:history="1">
        <w:r w:rsidRPr="00E14102">
          <w:rPr>
            <w:rStyle w:val="a4"/>
            <w:color w:val="000000" w:themeColor="text1"/>
            <w:sz w:val="16"/>
            <w:szCs w:val="16"/>
            <w:u w:val="none"/>
          </w:rPr>
          <w:t>действующим экспонатом</w:t>
        </w:r>
      </w:hyperlink>
      <w:r w:rsidRPr="00E14102">
        <w:rPr>
          <w:color w:val="000000" w:themeColor="text1"/>
          <w:sz w:val="16"/>
          <w:szCs w:val="16"/>
        </w:rPr>
        <w:t xml:space="preserve"> музея городского транспорта "северной столицы" (17456).</w:t>
      </w:r>
    </w:p>
    <w:p w14:paraId="0D395624" w14:textId="77777777" w:rsidR="00C16FF9" w:rsidRPr="00E14102" w:rsidRDefault="00C16FF9" w:rsidP="00E14102">
      <w:pPr>
        <w:autoSpaceDE w:val="0"/>
        <w:autoSpaceDN w:val="0"/>
        <w:adjustRightInd w:val="0"/>
        <w:jc w:val="both"/>
        <w:rPr>
          <w:color w:val="000000" w:themeColor="text1"/>
          <w:sz w:val="16"/>
          <w:szCs w:val="16"/>
        </w:rPr>
      </w:pPr>
    </w:p>
    <w:p w14:paraId="6BAA511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7FF58C32" w14:textId="77777777" w:rsidR="00D4105E" w:rsidRPr="00E14102" w:rsidRDefault="00D4105E" w:rsidP="00E14102">
      <w:pPr>
        <w:autoSpaceDE w:val="0"/>
        <w:autoSpaceDN w:val="0"/>
        <w:adjustRightInd w:val="0"/>
        <w:jc w:val="both"/>
        <w:rPr>
          <w:iCs/>
          <w:color w:val="000000" w:themeColor="text1"/>
          <w:sz w:val="16"/>
          <w:szCs w:val="16"/>
        </w:rPr>
      </w:pPr>
    </w:p>
    <w:p w14:paraId="0A1062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Осенью 1935 развернулось стахановское движение (80,421).</w:t>
      </w:r>
    </w:p>
    <w:p w14:paraId="31A3CBAC" w14:textId="77777777" w:rsidR="00D4105E" w:rsidRPr="00E14102" w:rsidRDefault="00D4105E" w:rsidP="00E14102">
      <w:pPr>
        <w:autoSpaceDE w:val="0"/>
        <w:autoSpaceDN w:val="0"/>
        <w:adjustRightInd w:val="0"/>
        <w:jc w:val="both"/>
        <w:rPr>
          <w:color w:val="000000" w:themeColor="text1"/>
          <w:sz w:val="16"/>
          <w:szCs w:val="16"/>
        </w:rPr>
      </w:pPr>
    </w:p>
    <w:p w14:paraId="73C94685" w14:textId="77777777" w:rsidR="001F6389" w:rsidRPr="00E14102" w:rsidRDefault="001F6389"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BA34FA2" w14:textId="77777777" w:rsidR="001F6389" w:rsidRPr="00E14102" w:rsidRDefault="001F6389" w:rsidP="00E14102">
      <w:pPr>
        <w:autoSpaceDE w:val="0"/>
        <w:autoSpaceDN w:val="0"/>
        <w:adjustRightInd w:val="0"/>
        <w:jc w:val="both"/>
        <w:rPr>
          <w:iCs/>
          <w:color w:val="000000" w:themeColor="text1"/>
          <w:sz w:val="16"/>
          <w:szCs w:val="16"/>
        </w:rPr>
      </w:pPr>
    </w:p>
    <w:p w14:paraId="205D6DF8" w14:textId="77777777" w:rsidR="00295700" w:rsidRPr="00E14102" w:rsidRDefault="00295700" w:rsidP="00E14102">
      <w:pPr>
        <w:jc w:val="both"/>
        <w:rPr>
          <w:color w:val="0070C0"/>
          <w:sz w:val="16"/>
          <w:szCs w:val="16"/>
        </w:rPr>
      </w:pPr>
      <w:r w:rsidRPr="00E14102">
        <w:rPr>
          <w:color w:val="0070C0"/>
          <w:sz w:val="16"/>
          <w:szCs w:val="16"/>
        </w:rPr>
        <w:t xml:space="preserve">Осень 1935 года состоялся первый полет автожира </w:t>
      </w:r>
      <w:r w:rsidRPr="00E14102">
        <w:rPr>
          <w:color w:val="0070C0"/>
          <w:sz w:val="16"/>
          <w:szCs w:val="16"/>
          <w:lang w:val="en-US"/>
        </w:rPr>
        <w:t>Hafner</w:t>
      </w:r>
      <w:r w:rsidRPr="00E14102">
        <w:rPr>
          <w:color w:val="0070C0"/>
          <w:sz w:val="16"/>
          <w:szCs w:val="16"/>
        </w:rPr>
        <w:t xml:space="preserve"> </w:t>
      </w:r>
      <w:r w:rsidRPr="00E14102">
        <w:rPr>
          <w:color w:val="0070C0"/>
          <w:sz w:val="16"/>
          <w:szCs w:val="16"/>
          <w:lang w:val="en-US"/>
        </w:rPr>
        <w:t>ARIII</w:t>
      </w:r>
      <w:r w:rsidRPr="00E14102">
        <w:rPr>
          <w:color w:val="0070C0"/>
          <w:sz w:val="16"/>
          <w:szCs w:val="16"/>
        </w:rPr>
        <w:t xml:space="preserve"> (20800).</w:t>
      </w:r>
    </w:p>
    <w:p w14:paraId="3B508A93" w14:textId="77777777" w:rsidR="00295700" w:rsidRPr="00E14102" w:rsidRDefault="00295700" w:rsidP="00E14102">
      <w:pPr>
        <w:jc w:val="both"/>
        <w:rPr>
          <w:color w:val="0070C0"/>
          <w:sz w:val="16"/>
          <w:szCs w:val="16"/>
        </w:rPr>
      </w:pPr>
    </w:p>
    <w:p w14:paraId="1332C24F" w14:textId="77777777" w:rsidR="001F6389" w:rsidRPr="00E14102" w:rsidRDefault="001F6389" w:rsidP="00E14102">
      <w:pPr>
        <w:jc w:val="both"/>
        <w:rPr>
          <w:color w:val="000000" w:themeColor="text1"/>
          <w:sz w:val="16"/>
          <w:szCs w:val="16"/>
        </w:rPr>
      </w:pPr>
      <w:r w:rsidRPr="00E14102">
        <w:rPr>
          <w:color w:val="000000" w:themeColor="text1"/>
          <w:sz w:val="16"/>
          <w:szCs w:val="16"/>
          <w:shd w:val="clear" w:color="auto" w:fill="FFFFFF"/>
        </w:rPr>
        <w:t>Осенью 1935 года немцы впервые задумались о создании 30-тонного тяжёлого танка и двигателя мощностью 600 л.с. для нового весового класса. В старых авиационных моторах вроде BMW VI они разочаровались. Те выдавали максимальную мощность на низких оборотах (1400–1600 в минуту) при значительном крутящем моменте. Это вынуждало проектировать более тяжёлые и громоздкие трансмиссии. Поэтому в октябре 1935 года Управление вооружений провело совещания с фирмами «Майбах» и «Даймлер-Бенц». Фактически, на этих встречах во многом было определено направление развития танковых моторов до самого конца войны.</w:t>
      </w:r>
    </w:p>
    <w:p w14:paraId="1D551CFB" w14:textId="77777777" w:rsidR="001F6389" w:rsidRPr="00E14102" w:rsidRDefault="001F6389" w:rsidP="00E14102">
      <w:pPr>
        <w:jc w:val="both"/>
        <w:rPr>
          <w:color w:val="000000" w:themeColor="text1"/>
          <w:sz w:val="16"/>
          <w:szCs w:val="16"/>
        </w:rPr>
      </w:pPr>
      <w:r w:rsidRPr="00E14102">
        <w:rPr>
          <w:color w:val="000000" w:themeColor="text1"/>
          <w:sz w:val="16"/>
          <w:szCs w:val="16"/>
          <w:shd w:val="clear" w:color="auto" w:fill="FFFFFF"/>
        </w:rPr>
        <w:t>В то время «Даймлер-Бенц» вела работы по новейшему авиадвигателю DB 600 мощностью 1000 л.с. на 2400 об/мин. Он был намного мощнее и быстроходнее BMW VI, но выполнялся по перевёрнутой (А-образной) схеме. Обслуживать карбюраторы через люк в полу бронекорпуса — это слишком даже для немцев, поэтому инженеры предложили создать на его основе V-образный танковый мотор мощностью 600 л.с. Эта идея осталась на бумаге, поскольку была сделана ставка на развитие линейки танковых двигателей «Майбах» (19677).</w:t>
      </w:r>
    </w:p>
    <w:p w14:paraId="65457936" w14:textId="77777777" w:rsidR="001F6389" w:rsidRPr="00E14102" w:rsidRDefault="001F6389" w:rsidP="00E14102">
      <w:pPr>
        <w:jc w:val="both"/>
        <w:rPr>
          <w:color w:val="000000" w:themeColor="text1"/>
          <w:sz w:val="16"/>
          <w:szCs w:val="16"/>
        </w:rPr>
      </w:pPr>
    </w:p>
    <w:p w14:paraId="3547F704" w14:textId="77777777" w:rsidR="00443633" w:rsidRPr="00E14102" w:rsidRDefault="00443633" w:rsidP="00E14102">
      <w:pPr>
        <w:autoSpaceDE w:val="0"/>
        <w:autoSpaceDN w:val="0"/>
        <w:adjustRightInd w:val="0"/>
        <w:jc w:val="both"/>
        <w:rPr>
          <w:i/>
          <w:iCs/>
          <w:color w:val="000000" w:themeColor="text1"/>
          <w:sz w:val="16"/>
          <w:szCs w:val="16"/>
        </w:rPr>
      </w:pPr>
      <w:r w:rsidRPr="00E14102">
        <w:rPr>
          <w:i/>
          <w:iCs/>
          <w:color w:val="000000" w:themeColor="text1"/>
          <w:sz w:val="16"/>
          <w:szCs w:val="16"/>
        </w:rPr>
        <w:t>Жизнь и внутренняя политика:</w:t>
      </w:r>
    </w:p>
    <w:p w14:paraId="24DC2B99" w14:textId="77777777" w:rsidR="00443633" w:rsidRPr="00E14102" w:rsidRDefault="00443633" w:rsidP="00E14102">
      <w:pPr>
        <w:autoSpaceDE w:val="0"/>
        <w:autoSpaceDN w:val="0"/>
        <w:adjustRightInd w:val="0"/>
        <w:jc w:val="both"/>
        <w:rPr>
          <w:i/>
          <w:iCs/>
          <w:color w:val="000000" w:themeColor="text1"/>
          <w:sz w:val="16"/>
          <w:szCs w:val="16"/>
        </w:rPr>
      </w:pPr>
    </w:p>
    <w:p w14:paraId="2D814993" w14:textId="77777777" w:rsidR="00443633" w:rsidRPr="00E14102" w:rsidRDefault="00443633" w:rsidP="00E14102">
      <w:pPr>
        <w:jc w:val="both"/>
        <w:rPr>
          <w:color w:val="000000" w:themeColor="text1"/>
          <w:sz w:val="16"/>
          <w:szCs w:val="16"/>
        </w:rPr>
      </w:pPr>
      <w:r w:rsidRPr="00E14102">
        <w:rPr>
          <w:color w:val="000000" w:themeColor="text1"/>
          <w:sz w:val="16"/>
          <w:szCs w:val="16"/>
        </w:rPr>
        <w:t>К октябрю 1935 г. награжденных орденами СССР числилось свыше 16 тыс. человек (Там же. Д. 144. Л. 5) (17281).</w:t>
      </w:r>
    </w:p>
    <w:p w14:paraId="53F060B2" w14:textId="77777777" w:rsidR="00443633" w:rsidRPr="00E14102" w:rsidRDefault="00443633" w:rsidP="00E14102">
      <w:pPr>
        <w:autoSpaceDE w:val="0"/>
        <w:autoSpaceDN w:val="0"/>
        <w:adjustRightInd w:val="0"/>
        <w:jc w:val="both"/>
        <w:rPr>
          <w:iCs/>
          <w:color w:val="000000" w:themeColor="text1"/>
          <w:sz w:val="16"/>
          <w:szCs w:val="16"/>
        </w:rPr>
      </w:pPr>
    </w:p>
    <w:p w14:paraId="47BA73C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6F7FDA5" w14:textId="77777777" w:rsidR="00D4105E" w:rsidRPr="00E14102" w:rsidRDefault="00D4105E" w:rsidP="00E14102">
      <w:pPr>
        <w:autoSpaceDE w:val="0"/>
        <w:autoSpaceDN w:val="0"/>
        <w:adjustRightInd w:val="0"/>
        <w:jc w:val="both"/>
        <w:rPr>
          <w:iCs/>
          <w:color w:val="000000" w:themeColor="text1"/>
          <w:sz w:val="16"/>
          <w:szCs w:val="16"/>
        </w:rPr>
      </w:pPr>
    </w:p>
    <w:p w14:paraId="02CA7B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по 9 октября 1935 на ТБ-3 4М-34РН испытывали масляную систему. Отв. исполнители: ст. и 3 отд. Чернявский. Цель испытаний: выявить влияние качества масла на температуру, возможность полета с выключенными водомасляными радиаторами (2935).</w:t>
      </w:r>
    </w:p>
    <w:p w14:paraId="2CFC7803" w14:textId="77777777" w:rsidR="00D4105E" w:rsidRPr="00E14102" w:rsidRDefault="00D4105E" w:rsidP="00E14102">
      <w:pPr>
        <w:autoSpaceDE w:val="0"/>
        <w:autoSpaceDN w:val="0"/>
        <w:adjustRightInd w:val="0"/>
        <w:jc w:val="both"/>
        <w:rPr>
          <w:color w:val="000000" w:themeColor="text1"/>
          <w:sz w:val="16"/>
          <w:szCs w:val="16"/>
        </w:rPr>
      </w:pPr>
    </w:p>
    <w:p w14:paraId="6C94CD5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 октября 1935 года Базилевич писал Молотову</w:t>
      </w:r>
    </w:p>
    <w:p w14:paraId="2395EFE0"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Планом заказов на 1935 год предусматривалось производство 400 штук ЛР-М34Н по эталону завода № 39.</w:t>
      </w:r>
    </w:p>
    <w:p w14:paraId="4A202EA1"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Директор завода № 1 Беленкович самостоятельно решил, исходя из удобств производства, при молчаливом согласии УВВС и ГУАПа производить не ЛР-М34Н, предусмотренный планом заказа, а свой заводской образец Р-Zet.</w:t>
      </w:r>
    </w:p>
    <w:p w14:paraId="4FA9B08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lastRenderedPageBreak/>
        <w:t>Доводка и испытание Р-Zet затянулись. До настоящего времени ни одного самолета не сдано.</w:t>
      </w:r>
    </w:p>
    <w:p w14:paraId="3BE6F7C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Алкснис ставит вопрос о привлечении Беленковича к ответственности за срыв программы по разведчикам. Ворошилов просит Гамарника поставить Вас об этом в известность и, если понадобится, вопрос обсудить в КО.</w:t>
      </w:r>
    </w:p>
    <w:p w14:paraId="26BD408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Прошу указания дать вопрос на проверку в КПК и разослать членам КО для сведения.</w:t>
      </w:r>
    </w:p>
    <w:p w14:paraId="45603DD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Вашему указанию Егоров с участием Куйбышева, …… и Каменева должен был подготовить материал к заседанию Вашей комиссии по ПВО.</w:t>
      </w:r>
    </w:p>
    <w:p w14:paraId="18319563"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Егоров сообщает, что работа им начата и будет закончена к 4-5 октября 1935 года.</w:t>
      </w:r>
    </w:p>
    <w:p w14:paraId="413CAB7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Вы мне указали. Что считаете необходимым продлить срок работы Вашей комиссии по ПВО (срок по решению …. 2 октября). Прошу ориентировочно наметить членов комиссии по ПВО.</w:t>
      </w:r>
    </w:p>
    <w:p w14:paraId="4F8BC0E9"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Ворошилов прислал для сведения доклад нашего военного атташе в Китае Лепина, который присутствовал на маневрах в ОКДВА.</w:t>
      </w:r>
    </w:p>
    <w:p w14:paraId="3F749711"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Лепин отмечает крайнюю техническую отсталость наших военных самолетов. Даже в Китае крейсерская скорость пассажирских самолетов 300 км/час, а наш тяжелый бомбардировщик ТБ-3 дает 150 км/час. Лепин считает необходимой срочную замену наших старых истребителей. Наш новый истребитель И-16 М-17, который по Лепину дает 320 км/час (на госиспытаниях машина дала 368 км/час) требует замены на И-16 с М-25. Также требует срочной замены разведчик Р-5.</w:t>
      </w:r>
    </w:p>
    <w:p w14:paraId="76D43AA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Лепин подчеркивает мнение иностранных наблюдателей о возможности начала войны японцев с нами путем внезапного массового налета (500-1000 самолетов) японской авиации на Приморье и неготовность, по мнению Лепина, нашей системы ВНОС (посты воздушного наблюдения и связи) и разведки (3475,143).</w:t>
      </w:r>
    </w:p>
    <w:p w14:paraId="46DAB31E"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4F1664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г. начальник ВВС Я.И. Алкснис подписал Акт по государственным испытаниям ИП-1 М-25. В нём говорилось, что "Основными объектами нападения для ИП-1 являются тяжёлые бомбардировщики со скоростями 350 км/ч, а также земные цели, требующие для своего поражения снарядов калибра 76 мм". Как бы то ни было, мнение о самолёте складывалось благоприятное и по результатам испытаний предлагалось увеличить заказ на производство ИП-1 за счёт уменьшения заказов на машины других типов. Строить ИП-1 решили на харьковском заводе № 135, том самом, на котором уже выпускали И-Z.</w:t>
      </w:r>
    </w:p>
    <w:p w14:paraId="2915DF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Отдельным пунктом во всех материалах по испытаниям ИП-1 указывалось требование о срочной доводке пушек АПК-4М. В процессе изготовления серии предлагалось организовать испытания головной машины с отстрелом пушек при участии представителей завода № 38 и УВВС.</w:t>
      </w:r>
    </w:p>
    <w:p w14:paraId="4724E6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сентября 1935 закончились воздушные стрельбы из ДРП в ходе испытаний ИП-1 М-25, которные велись с 25 августа. Далее испытания решили прекратить, так как после 444 посадок конструкция крыла и центроплана износилась и требовала ремонта. Кроме того, ремонт был необходим и хвостовому оперению, на которое негативно повлияли пороховые газы от 38 выстрелов из АПК-4М на земле и 20 выстрелов в воздухе. Поэтому самолёт отправили на завод для проведения очередных доводок и усовершенствований.</w:t>
      </w:r>
    </w:p>
    <w:p w14:paraId="6DAB2E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сами государственные испытания ИП-1 посчитали законченными, сделав некоторые выводы. В частности, отмечалось, что благодаря высокой посадке пилот обладает хорошим обзором из кабины. Самолёт устойчиво пикировал, хорошо наводился на цель; управление в воздухе охарактеризовали как простое, доступное для освоения строевыми лётчиками. Посадочная скорость равнялась 100 - 105 км/ч, разбег на взлёте - 180 - 190 м, что позволяло использовать ИП-1 с полевых аэродромов размером 400x400 м. Эффект от опускания (зависания) элеронов лётчики оценили не очень высоко: без его использования скорость самолёта на посадке составляла 115 км/ч, а с зависанием - 110 км/ч. Нормальный радиус действия ИП-1 определялся в пределах 200 - 350 км, максимальный - 250 - 450 км. Предполагалось, что лётные качества машины могут быть улучшены подбором более эффективного воздушного винта, более качественным производственным исполнением, улучшением аэродинамики и облегчением конструкции.</w:t>
      </w:r>
    </w:p>
    <w:p w14:paraId="5B31AB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Характеристики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E3599D" w:rsidRPr="00E14102" w14:paraId="7DE3A608" w14:textId="77777777">
        <w:tc>
          <w:tcPr>
            <w:tcW w:w="5605" w:type="dxa"/>
            <w:tcBorders>
              <w:top w:val="single" w:sz="12" w:space="0" w:color="auto"/>
            </w:tcBorders>
          </w:tcPr>
          <w:p w14:paraId="1B9B97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в линии полёта, м</w:t>
            </w:r>
          </w:p>
        </w:tc>
        <w:tc>
          <w:tcPr>
            <w:tcW w:w="5605" w:type="dxa"/>
            <w:tcBorders>
              <w:top w:val="single" w:sz="12" w:space="0" w:color="auto"/>
            </w:tcBorders>
          </w:tcPr>
          <w:p w14:paraId="3B065B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7,23</w:t>
            </w:r>
          </w:p>
        </w:tc>
      </w:tr>
      <w:tr w:rsidR="00E3599D" w:rsidRPr="00E14102" w14:paraId="43C48762" w14:textId="77777777">
        <w:tc>
          <w:tcPr>
            <w:tcW w:w="5605" w:type="dxa"/>
          </w:tcPr>
          <w:p w14:paraId="216569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в линии полёта, м</w:t>
            </w:r>
          </w:p>
        </w:tc>
        <w:tc>
          <w:tcPr>
            <w:tcW w:w="5605" w:type="dxa"/>
          </w:tcPr>
          <w:p w14:paraId="4A9EA8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3,208</w:t>
            </w:r>
          </w:p>
        </w:tc>
      </w:tr>
      <w:tr w:rsidR="00E3599D" w:rsidRPr="00E14102" w14:paraId="59FFF893" w14:textId="77777777">
        <w:tc>
          <w:tcPr>
            <w:tcW w:w="5605" w:type="dxa"/>
          </w:tcPr>
          <w:p w14:paraId="658AA6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крыла, м</w:t>
            </w:r>
          </w:p>
        </w:tc>
        <w:tc>
          <w:tcPr>
            <w:tcW w:w="5605" w:type="dxa"/>
          </w:tcPr>
          <w:p w14:paraId="1319A5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10,97</w:t>
            </w:r>
          </w:p>
        </w:tc>
      </w:tr>
      <w:tr w:rsidR="00E3599D" w:rsidRPr="00E14102" w14:paraId="088A915B" w14:textId="77777777">
        <w:tc>
          <w:tcPr>
            <w:tcW w:w="5605" w:type="dxa"/>
          </w:tcPr>
          <w:p w14:paraId="4BEFFA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горизонтального оперения, м</w:t>
            </w:r>
          </w:p>
        </w:tc>
        <w:tc>
          <w:tcPr>
            <w:tcW w:w="5605" w:type="dxa"/>
          </w:tcPr>
          <w:p w14:paraId="50592F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3,168</w:t>
            </w:r>
          </w:p>
        </w:tc>
      </w:tr>
      <w:tr w:rsidR="00E3599D" w:rsidRPr="00E14102" w14:paraId="28181B60" w14:textId="77777777">
        <w:tc>
          <w:tcPr>
            <w:tcW w:w="5605" w:type="dxa"/>
          </w:tcPr>
          <w:p w14:paraId="46F6FC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центроплана, м</w:t>
            </w:r>
          </w:p>
        </w:tc>
        <w:tc>
          <w:tcPr>
            <w:tcW w:w="5605" w:type="dxa"/>
          </w:tcPr>
          <w:p w14:paraId="0C2FFD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5,6</w:t>
            </w:r>
          </w:p>
        </w:tc>
      </w:tr>
      <w:tr w:rsidR="00E3599D" w:rsidRPr="00E14102" w14:paraId="5ECEB431" w14:textId="77777777">
        <w:tc>
          <w:tcPr>
            <w:tcW w:w="5605" w:type="dxa"/>
          </w:tcPr>
          <w:p w14:paraId="3FDF01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крыла, м2</w:t>
            </w:r>
          </w:p>
        </w:tc>
        <w:tc>
          <w:tcPr>
            <w:tcW w:w="5605" w:type="dxa"/>
          </w:tcPr>
          <w:p w14:paraId="69362F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17,7</w:t>
            </w:r>
          </w:p>
        </w:tc>
      </w:tr>
      <w:tr w:rsidR="00E3599D" w:rsidRPr="00E14102" w14:paraId="47B6D1CD" w14:textId="77777777">
        <w:tc>
          <w:tcPr>
            <w:tcW w:w="5605" w:type="dxa"/>
          </w:tcPr>
          <w:p w14:paraId="3AE3A1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Колея шасси, м</w:t>
            </w:r>
          </w:p>
        </w:tc>
        <w:tc>
          <w:tcPr>
            <w:tcW w:w="5605" w:type="dxa"/>
          </w:tcPr>
          <w:p w14:paraId="49AB32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2,05</w:t>
            </w:r>
          </w:p>
        </w:tc>
      </w:tr>
      <w:tr w:rsidR="00E3599D" w:rsidRPr="00E14102" w14:paraId="6AEE2D6C" w14:textId="77777777">
        <w:tc>
          <w:tcPr>
            <w:tcW w:w="5605" w:type="dxa"/>
          </w:tcPr>
          <w:p w14:paraId="4B9B87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пустого, кг</w:t>
            </w:r>
          </w:p>
        </w:tc>
        <w:tc>
          <w:tcPr>
            <w:tcW w:w="5605" w:type="dxa"/>
          </w:tcPr>
          <w:p w14:paraId="289804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1405</w:t>
            </w:r>
          </w:p>
        </w:tc>
      </w:tr>
      <w:tr w:rsidR="00E3599D" w:rsidRPr="00E14102" w14:paraId="07575D4E" w14:textId="77777777">
        <w:tc>
          <w:tcPr>
            <w:tcW w:w="5605" w:type="dxa"/>
          </w:tcPr>
          <w:p w14:paraId="4E517D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Полётный вес, кг</w:t>
            </w:r>
          </w:p>
        </w:tc>
        <w:tc>
          <w:tcPr>
            <w:tcW w:w="5605" w:type="dxa"/>
          </w:tcPr>
          <w:p w14:paraId="273716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1740</w:t>
            </w:r>
          </w:p>
        </w:tc>
      </w:tr>
      <w:tr w:rsidR="00E3599D" w:rsidRPr="00E14102" w14:paraId="7512A247" w14:textId="77777777">
        <w:tc>
          <w:tcPr>
            <w:tcW w:w="5605" w:type="dxa"/>
          </w:tcPr>
          <w:p w14:paraId="3DA330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Нагрузка на крыло, кг/м2</w:t>
            </w:r>
          </w:p>
        </w:tc>
        <w:tc>
          <w:tcPr>
            <w:tcW w:w="5605" w:type="dxa"/>
          </w:tcPr>
          <w:p w14:paraId="389632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98,3</w:t>
            </w:r>
          </w:p>
        </w:tc>
      </w:tr>
      <w:tr w:rsidR="00E3599D" w:rsidRPr="00E14102" w14:paraId="4D4D0E41" w14:textId="77777777">
        <w:tc>
          <w:tcPr>
            <w:tcW w:w="5605" w:type="dxa"/>
          </w:tcPr>
          <w:p w14:paraId="66E886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вооружения без крепления, кг</w:t>
            </w:r>
          </w:p>
        </w:tc>
        <w:tc>
          <w:tcPr>
            <w:tcW w:w="5605" w:type="dxa"/>
          </w:tcPr>
          <w:p w14:paraId="018102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158,8</w:t>
            </w:r>
          </w:p>
        </w:tc>
      </w:tr>
      <w:tr w:rsidR="00E3599D" w:rsidRPr="00E14102" w14:paraId="565B6745" w14:textId="77777777">
        <w:tc>
          <w:tcPr>
            <w:tcW w:w="5605" w:type="dxa"/>
          </w:tcPr>
          <w:p w14:paraId="2028C4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боеприпасов, кг</w:t>
            </w:r>
          </w:p>
        </w:tc>
        <w:tc>
          <w:tcPr>
            <w:tcW w:w="5605" w:type="dxa"/>
          </w:tcPr>
          <w:p w14:paraId="570E30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73,2</w:t>
            </w:r>
          </w:p>
        </w:tc>
      </w:tr>
      <w:tr w:rsidR="00E3599D" w:rsidRPr="00E14102" w14:paraId="7D3375D8" w14:textId="77777777">
        <w:tc>
          <w:tcPr>
            <w:tcW w:w="5605" w:type="dxa"/>
          </w:tcPr>
          <w:p w14:paraId="0B95A7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Двигатель Райт R-1820F-3 "Циклон" №22136</w:t>
            </w:r>
          </w:p>
        </w:tc>
        <w:tc>
          <w:tcPr>
            <w:tcW w:w="5605" w:type="dxa"/>
          </w:tcPr>
          <w:p w14:paraId="073451D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02A58F1" w14:textId="77777777">
        <w:tc>
          <w:tcPr>
            <w:tcW w:w="5605" w:type="dxa"/>
          </w:tcPr>
          <w:p w14:paraId="3A3CE5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мощность у земли, л.с.</w:t>
            </w:r>
          </w:p>
        </w:tc>
        <w:tc>
          <w:tcPr>
            <w:tcW w:w="5605" w:type="dxa"/>
          </w:tcPr>
          <w:p w14:paraId="4D2F71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640</w:t>
            </w:r>
          </w:p>
        </w:tc>
      </w:tr>
      <w:tr w:rsidR="00E3599D" w:rsidRPr="00E14102" w14:paraId="540A6B69" w14:textId="77777777">
        <w:tc>
          <w:tcPr>
            <w:tcW w:w="5605" w:type="dxa"/>
          </w:tcPr>
          <w:p w14:paraId="63A2D8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Частота вращения, об/мин</w:t>
            </w:r>
          </w:p>
        </w:tc>
        <w:tc>
          <w:tcPr>
            <w:tcW w:w="5605" w:type="dxa"/>
          </w:tcPr>
          <w:p w14:paraId="796288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1950</w:t>
            </w:r>
          </w:p>
        </w:tc>
      </w:tr>
      <w:tr w:rsidR="00E3599D" w:rsidRPr="00E14102" w14:paraId="629C80BA" w14:textId="77777777">
        <w:tc>
          <w:tcPr>
            <w:tcW w:w="5605" w:type="dxa"/>
          </w:tcPr>
          <w:p w14:paraId="2EC76B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на высоте 2300 м (граница высотности) при частоте вращения 2050 об/мин, л.с.</w:t>
            </w:r>
          </w:p>
        </w:tc>
        <w:tc>
          <w:tcPr>
            <w:tcW w:w="5605" w:type="dxa"/>
          </w:tcPr>
          <w:p w14:paraId="336FC9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712</w:t>
            </w:r>
          </w:p>
        </w:tc>
      </w:tr>
      <w:tr w:rsidR="00E3599D" w:rsidRPr="00E14102" w14:paraId="7212DE46" w14:textId="77777777">
        <w:tc>
          <w:tcPr>
            <w:tcW w:w="5605" w:type="dxa"/>
            <w:tcBorders>
              <w:bottom w:val="single" w:sz="12" w:space="0" w:color="auto"/>
            </w:tcBorders>
          </w:tcPr>
          <w:p w14:paraId="29034A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Сухой вес двигателя, кг</w:t>
            </w:r>
          </w:p>
        </w:tc>
        <w:tc>
          <w:tcPr>
            <w:tcW w:w="5605" w:type="dxa"/>
            <w:tcBorders>
              <w:bottom w:val="single" w:sz="12" w:space="0" w:color="auto"/>
            </w:tcBorders>
          </w:tcPr>
          <w:p w14:paraId="7E5085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422</w:t>
            </w:r>
          </w:p>
        </w:tc>
      </w:tr>
    </w:tbl>
    <w:p w14:paraId="58E621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Лёгные данные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E3599D" w:rsidRPr="00E14102" w14:paraId="59C4E12A" w14:textId="77777777">
        <w:tc>
          <w:tcPr>
            <w:tcW w:w="5605" w:type="dxa"/>
            <w:tcBorders>
              <w:top w:val="single" w:sz="12" w:space="0" w:color="auto"/>
            </w:tcBorders>
          </w:tcPr>
          <w:p w14:paraId="0F95D3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км/ч:</w:t>
            </w:r>
          </w:p>
        </w:tc>
        <w:tc>
          <w:tcPr>
            <w:tcW w:w="5605" w:type="dxa"/>
            <w:tcBorders>
              <w:top w:val="single" w:sz="12" w:space="0" w:color="auto"/>
            </w:tcBorders>
          </w:tcPr>
          <w:p w14:paraId="01E8C47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BAAD97A" w14:textId="77777777">
        <w:tc>
          <w:tcPr>
            <w:tcW w:w="5605" w:type="dxa"/>
          </w:tcPr>
          <w:p w14:paraId="70FEF8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земли</w:t>
            </w:r>
          </w:p>
        </w:tc>
        <w:tc>
          <w:tcPr>
            <w:tcW w:w="5605" w:type="dxa"/>
          </w:tcPr>
          <w:p w14:paraId="008A7B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369</w:t>
            </w:r>
          </w:p>
        </w:tc>
      </w:tr>
      <w:tr w:rsidR="00E3599D" w:rsidRPr="00E14102" w14:paraId="2731F444" w14:textId="77777777">
        <w:tc>
          <w:tcPr>
            <w:tcW w:w="5605" w:type="dxa"/>
          </w:tcPr>
          <w:p w14:paraId="4465F6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высоте 3000 м</w:t>
            </w:r>
          </w:p>
        </w:tc>
        <w:tc>
          <w:tcPr>
            <w:tcW w:w="5605" w:type="dxa"/>
          </w:tcPr>
          <w:p w14:paraId="16ADDE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410</w:t>
            </w:r>
          </w:p>
        </w:tc>
      </w:tr>
      <w:tr w:rsidR="00E3599D" w:rsidRPr="00E14102" w14:paraId="62AA3F42" w14:textId="77777777">
        <w:tc>
          <w:tcPr>
            <w:tcW w:w="5605" w:type="dxa"/>
          </w:tcPr>
          <w:p w14:paraId="42748E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высоте 5000 м</w:t>
            </w:r>
          </w:p>
        </w:tc>
        <w:tc>
          <w:tcPr>
            <w:tcW w:w="5605" w:type="dxa"/>
          </w:tcPr>
          <w:p w14:paraId="0C98F2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390</w:t>
            </w:r>
          </w:p>
        </w:tc>
      </w:tr>
      <w:tr w:rsidR="00E3599D" w:rsidRPr="00E14102" w14:paraId="60111243" w14:textId="77777777">
        <w:tc>
          <w:tcPr>
            <w:tcW w:w="5605" w:type="dxa"/>
          </w:tcPr>
          <w:p w14:paraId="3849B6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набора высоты 5000 м, мин</w:t>
            </w:r>
          </w:p>
        </w:tc>
        <w:tc>
          <w:tcPr>
            <w:tcW w:w="5605" w:type="dxa"/>
          </w:tcPr>
          <w:p w14:paraId="7EECDE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w:t>
            </w:r>
          </w:p>
        </w:tc>
      </w:tr>
      <w:tr w:rsidR="00E3599D" w:rsidRPr="00E14102" w14:paraId="5CCB8740" w14:textId="77777777">
        <w:tc>
          <w:tcPr>
            <w:tcW w:w="5605" w:type="dxa"/>
          </w:tcPr>
          <w:p w14:paraId="09F682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практический, м</w:t>
            </w:r>
          </w:p>
        </w:tc>
        <w:tc>
          <w:tcPr>
            <w:tcW w:w="5605" w:type="dxa"/>
          </w:tcPr>
          <w:p w14:paraId="50FB89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w:t>
            </w:r>
          </w:p>
        </w:tc>
      </w:tr>
      <w:tr w:rsidR="00E3599D" w:rsidRPr="00E14102" w14:paraId="0D54D425" w14:textId="77777777">
        <w:tc>
          <w:tcPr>
            <w:tcW w:w="5605" w:type="dxa"/>
            <w:tcBorders>
              <w:bottom w:val="single" w:sz="12" w:space="0" w:color="auto"/>
            </w:tcBorders>
          </w:tcPr>
          <w:p w14:paraId="071089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выполнения виража, с</w:t>
            </w:r>
          </w:p>
        </w:tc>
        <w:tc>
          <w:tcPr>
            <w:tcW w:w="5605" w:type="dxa"/>
            <w:tcBorders>
              <w:bottom w:val="single" w:sz="12" w:space="0" w:color="auto"/>
            </w:tcBorders>
          </w:tcPr>
          <w:p w14:paraId="207D98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14- 15</w:t>
            </w:r>
          </w:p>
        </w:tc>
      </w:tr>
    </w:tbl>
    <w:p w14:paraId="0A5B54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(12005).</w:t>
      </w:r>
    </w:p>
    <w:p w14:paraId="6CCF2443" w14:textId="77777777" w:rsidR="00D4105E" w:rsidRPr="00E14102" w:rsidRDefault="00D4105E" w:rsidP="00E14102">
      <w:pPr>
        <w:autoSpaceDE w:val="0"/>
        <w:autoSpaceDN w:val="0"/>
        <w:adjustRightInd w:val="0"/>
        <w:jc w:val="both"/>
        <w:rPr>
          <w:color w:val="000000" w:themeColor="text1"/>
          <w:sz w:val="16"/>
          <w:szCs w:val="16"/>
        </w:rPr>
      </w:pPr>
    </w:p>
    <w:p w14:paraId="61AF085D" w14:textId="77777777" w:rsidR="00BD2956" w:rsidRPr="00E14102" w:rsidRDefault="00BD2956" w:rsidP="00E14102">
      <w:pPr>
        <w:pStyle w:val="a7"/>
        <w:rPr>
          <w:color w:val="000000" w:themeColor="text1"/>
          <w:sz w:val="16"/>
          <w:szCs w:val="16"/>
          <w:lang w:val="ru-RU"/>
        </w:rPr>
      </w:pPr>
      <w:r w:rsidRPr="00E14102">
        <w:rPr>
          <w:color w:val="000000" w:themeColor="text1"/>
          <w:sz w:val="16"/>
          <w:szCs w:val="16"/>
          <w:lang w:val="ru-RU"/>
        </w:rPr>
        <w:t>1 октября 1935 г. начальник ВВС Я.И. Апкснис подпи</w:t>
      </w:r>
      <w:r w:rsidRPr="00E14102">
        <w:rPr>
          <w:color w:val="000000" w:themeColor="text1"/>
          <w:sz w:val="16"/>
          <w:szCs w:val="16"/>
          <w:lang w:val="ru-RU"/>
        </w:rPr>
        <w:softHyphen/>
        <w:t>сал Акт по государственным испытаниям ИП-1. В нем указывалось, что «Основными объектами нападения для ИП-1 являются тяжелые бомбардировщи</w:t>
      </w:r>
      <w:r w:rsidRPr="00E14102">
        <w:rPr>
          <w:color w:val="000000" w:themeColor="text1"/>
          <w:sz w:val="16"/>
          <w:szCs w:val="16"/>
          <w:lang w:val="ru-RU"/>
        </w:rPr>
        <w:softHyphen/>
        <w:t>ки со скоростями 350 км/ч, а также земные цели, требующие для своего поражения снарядов калибра 76 мм». В любом случае, мнение по самолету складывалось благо</w:t>
      </w:r>
      <w:r w:rsidRPr="00E14102">
        <w:rPr>
          <w:color w:val="000000" w:themeColor="text1"/>
          <w:sz w:val="16"/>
          <w:szCs w:val="16"/>
          <w:lang w:val="ru-RU"/>
        </w:rPr>
        <w:softHyphen/>
        <w:t>приятное и по результатам испытаний предлагалось увеличить заказ на произ</w:t>
      </w:r>
      <w:r w:rsidRPr="00E14102">
        <w:rPr>
          <w:color w:val="000000" w:themeColor="text1"/>
          <w:sz w:val="16"/>
          <w:szCs w:val="16"/>
          <w:lang w:val="ru-RU"/>
        </w:rPr>
        <w:softHyphen/>
        <w:t>водство ИП-1 за счет уменьшения заказа на самолеты других типов. Строить ИП-1 решили на харьковском заводе №135, том самом, на котором уже строились более ранние истребители Григоровича И-2.</w:t>
      </w:r>
    </w:p>
    <w:p w14:paraId="12E0B287" w14:textId="77777777" w:rsidR="00BD2956" w:rsidRPr="00E14102" w:rsidRDefault="00BD2956" w:rsidP="00E14102">
      <w:pPr>
        <w:pStyle w:val="a7"/>
        <w:rPr>
          <w:color w:val="000000" w:themeColor="text1"/>
          <w:sz w:val="16"/>
          <w:szCs w:val="16"/>
          <w:lang w:val="ru-RU"/>
        </w:rPr>
      </w:pPr>
      <w:r w:rsidRPr="00E14102">
        <w:rPr>
          <w:color w:val="000000" w:themeColor="text1"/>
          <w:sz w:val="16"/>
          <w:szCs w:val="16"/>
          <w:lang w:val="ru-RU"/>
        </w:rPr>
        <w:t>Отдельным пунктом во всех материа</w:t>
      </w:r>
      <w:r w:rsidRPr="00E14102">
        <w:rPr>
          <w:color w:val="000000" w:themeColor="text1"/>
          <w:sz w:val="16"/>
          <w:szCs w:val="16"/>
          <w:lang w:val="ru-RU"/>
        </w:rPr>
        <w:softHyphen/>
        <w:t>лах по испытаниям ИП-1 указывалось тре</w:t>
      </w:r>
      <w:r w:rsidRPr="00E14102">
        <w:rPr>
          <w:color w:val="000000" w:themeColor="text1"/>
          <w:sz w:val="16"/>
          <w:szCs w:val="16"/>
          <w:lang w:val="ru-RU"/>
        </w:rPr>
        <w:softHyphen/>
        <w:t>бование о срочной доводке пушек АПК-4М. В процессе изготовления серии предла</w:t>
      </w:r>
      <w:r w:rsidRPr="00E14102">
        <w:rPr>
          <w:color w:val="000000" w:themeColor="text1"/>
          <w:sz w:val="16"/>
          <w:szCs w:val="16"/>
          <w:lang w:val="ru-RU"/>
        </w:rPr>
        <w:softHyphen/>
        <w:t>галось организовать испытания головной машины с отстрелом пушек при участии представителей завода №38 и Управления ВВС. Между тем, доводка пушек Курчев- ского шла не очень гладко, поэтому перво</w:t>
      </w:r>
      <w:r w:rsidRPr="00E14102">
        <w:rPr>
          <w:color w:val="000000" w:themeColor="text1"/>
          <w:sz w:val="16"/>
          <w:szCs w:val="16"/>
          <w:lang w:val="ru-RU"/>
        </w:rPr>
        <w:softHyphen/>
        <w:t>начально ИП-1 приняли для серийной постройки на заводе №135 в варианте с двумя крыльевыми пулеметами. Коли</w:t>
      </w:r>
      <w:r w:rsidRPr="00E14102">
        <w:rPr>
          <w:color w:val="000000" w:themeColor="text1"/>
          <w:sz w:val="16"/>
          <w:szCs w:val="16"/>
          <w:lang w:val="ru-RU"/>
        </w:rPr>
        <w:softHyphen/>
        <w:t>чество заказанных самолетов составило 50 экземпляров (впоследствии эта цифра неоднократно корректировалась) (15742).</w:t>
      </w:r>
    </w:p>
    <w:p w14:paraId="512D973F" w14:textId="77777777" w:rsidR="00BD2956" w:rsidRPr="00E14102" w:rsidRDefault="00BD2956" w:rsidP="00E14102">
      <w:pPr>
        <w:pStyle w:val="a7"/>
        <w:rPr>
          <w:color w:val="000000" w:themeColor="text1"/>
          <w:sz w:val="16"/>
          <w:szCs w:val="16"/>
          <w:lang w:val="ru-RU"/>
        </w:rPr>
      </w:pPr>
    </w:p>
    <w:p w14:paraId="5D101A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Нач. ГУАП Королев писал письмо N 242/4402с Нач. УВВС Алкснису о передаче ЦАГИ самолетов Дорнье Валь и Хейнкель:</w:t>
      </w:r>
    </w:p>
    <w:p w14:paraId="4DC976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"Основные вопросы гидросамолетостроения (нормы прочности, перегрузки на воде и в воздухе, маневренность, управляемость, вибрации, винты и т.п.) требуют для своего разрешения ряда экспериментальных и исследовательских работ в натуру на Д-В и Хейнкель.</w:t>
      </w:r>
    </w:p>
    <w:p w14:paraId="44C6CA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Отсутствие этих самолетов в ЦАГИ делает невозможным произведение указанных работ и тем самым служит задержкой в развитии очественного морского самолетостроения.</w:t>
      </w:r>
    </w:p>
    <w:p w14:paraId="195D09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Поэтому прошу о предоставлении во временное распоряжение ЦАГИ (на 3-4 мес.) одного Д-В и Х." (2336,162).</w:t>
      </w:r>
    </w:p>
    <w:p w14:paraId="212F62BA" w14:textId="77777777" w:rsidR="00D4105E" w:rsidRPr="00E14102" w:rsidRDefault="00D4105E" w:rsidP="00E14102">
      <w:pPr>
        <w:autoSpaceDE w:val="0"/>
        <w:autoSpaceDN w:val="0"/>
        <w:adjustRightInd w:val="0"/>
        <w:jc w:val="both"/>
        <w:rPr>
          <w:color w:val="000000" w:themeColor="text1"/>
          <w:sz w:val="16"/>
          <w:szCs w:val="16"/>
        </w:rPr>
      </w:pPr>
    </w:p>
    <w:p w14:paraId="31EB3A9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 октября 1935 года начальник конструкторской бригады № 3 завода № 39 С.В.И. писал письмо в ЦК ВКП(б) Сталину И.В., предсовнаркома Молотову В.М., наркому тяжелой промышленности Орджоникидзе С., наркому обороны Ворошилову К.Е., начальнику УВС Алкснису Я.И., директору завода № 24 Марьямову И.Э.</w:t>
      </w:r>
    </w:p>
    <w:p w14:paraId="28343FA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 мая во время парада ВВС на аэродроме им. Фрунзе, Вами была поставлена задача перед авиационными конструкторами – дать стране в 1936 году самолет со скоростью 600 км/час.</w:t>
      </w:r>
    </w:p>
    <w:p w14:paraId="7779A581"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lastRenderedPageBreak/>
        <w:t>Приступив немедленно к исполнению поставленной задачи и произведя ряд обстоятельных исследований, в результате которых я пришел к заключению, что решение поставленной Вами задачи вполне возможно не только в виде рекордного самолета, но и в виде боевого самолета – рекордного истребителя. При исследовании выяснилось, что осуществление боевого самолета с такой скоростью возможно с мотором М34, но с внесением в него некоторых изменений и переделок, которые мною и были предложены заводу № 24.</w:t>
      </w:r>
    </w:p>
    <w:p w14:paraId="10CF318A"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Завод № 24, взявшийся горячо и энергично за эту работу все изменения и переделки мотора М34 оформил конструктивно и уже приступил к реализации их в производстве. Первый мотор с переделками и данными: 1285 сил на высоте 2200 метров при весе 630 кг директор завода Марьямов предполагает дать к 1 февраля 1936 года.</w:t>
      </w:r>
    </w:p>
    <w:p w14:paraId="77AC2F5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На основании произведенных исследований и уже разработанного предварительного проекта, руководимая мною конструкторская бригада № 3 завода № 39 при совместной работе с заводом № 24, который должен вести работу по мотору, берет на себя выполнение Вашего задания – осуществить одноместный истребитель с мотором М34 со следующими основными данными:</w:t>
      </w:r>
    </w:p>
    <w:p w14:paraId="23A1A70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на высоте 3000 м – 600 км</w:t>
      </w:r>
    </w:p>
    <w:p w14:paraId="0B92744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Потолок – 12000 м</w:t>
      </w:r>
    </w:p>
    <w:p w14:paraId="0C8326AE"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Скороподъемность на 5000 м – 4,5-5,0 минут</w:t>
      </w:r>
    </w:p>
    <w:p w14:paraId="1E6F89C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Дальность полета на наивыгоднейшей скорости – 600-700 км</w:t>
      </w:r>
    </w:p>
    <w:p w14:paraId="3804487E"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Вооружение ШКАСы – 4 пулемета</w:t>
      </w:r>
    </w:p>
    <w:p w14:paraId="175DD707"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Патронов – 2000 штук</w:t>
      </w:r>
    </w:p>
    <w:p w14:paraId="060EE57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 согласно технических требований на одноместный истребитель – 110-115 км</w:t>
      </w:r>
    </w:p>
    <w:p w14:paraId="0484AE8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 перегрузку – бомбы 4х10 – 40 кг</w:t>
      </w:r>
    </w:p>
    <w:p w14:paraId="7127B39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Этот самолет с заменой крыла истребителя на крыло с меньшей площадью, усиления системы охлаждения и некоторых других более мелких переделок может поставить рекорд скорости сухопутного самолета у земли. Величина рекорда скорости будет зависеть от того, до какой мощности удастся заводу № 24 форсировать мотор М34.</w:t>
      </w:r>
    </w:p>
    <w:p w14:paraId="1B21F6E3"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Скорости в зависимости от мощности мотора М34 выражаются так: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4394"/>
      </w:tblGrid>
      <w:tr w:rsidR="00E3599D" w:rsidRPr="00E14102" w14:paraId="5D5E3B18" w14:textId="77777777">
        <w:trPr>
          <w:cantSplit/>
        </w:trPr>
        <w:tc>
          <w:tcPr>
            <w:tcW w:w="4219" w:type="dxa"/>
          </w:tcPr>
          <w:p w14:paraId="0109112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Если мощность мотора М34 у земли будет:</w:t>
            </w:r>
          </w:p>
        </w:tc>
        <w:tc>
          <w:tcPr>
            <w:tcW w:w="4394" w:type="dxa"/>
          </w:tcPr>
          <w:p w14:paraId="53E3988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То при этой мощности скорость самолета у земли будет:</w:t>
            </w:r>
          </w:p>
        </w:tc>
      </w:tr>
      <w:tr w:rsidR="00E3599D" w:rsidRPr="00E14102" w14:paraId="049C4DDB" w14:textId="77777777">
        <w:trPr>
          <w:cantSplit/>
        </w:trPr>
        <w:tc>
          <w:tcPr>
            <w:tcW w:w="4219" w:type="dxa"/>
          </w:tcPr>
          <w:p w14:paraId="030DEFC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1450 сил</w:t>
            </w:r>
          </w:p>
          <w:p w14:paraId="48B5240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1600 сил</w:t>
            </w:r>
          </w:p>
        </w:tc>
        <w:tc>
          <w:tcPr>
            <w:tcW w:w="4394" w:type="dxa"/>
          </w:tcPr>
          <w:p w14:paraId="6834D061"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600 км</w:t>
            </w:r>
          </w:p>
          <w:p w14:paraId="4D2AF8E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625 км</w:t>
            </w:r>
          </w:p>
        </w:tc>
      </w:tr>
    </w:tbl>
    <w:p w14:paraId="7B636F0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Макетный мотор М34 со всеми требуемыми изменениями закончен заводом № 24 и 13 сентября 1935 года доставлен на завод № 39.</w:t>
      </w:r>
    </w:p>
    <w:p w14:paraId="30A80AC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Несмотря на то что:</w:t>
      </w:r>
    </w:p>
    <w:p w14:paraId="39B36CF5"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самолет по своим данным делает дальнейший огромный шаг вперед в области развития нашей авиации;</w:t>
      </w:r>
    </w:p>
    <w:p w14:paraId="3367D0F7"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самолет осуществляется с моторомМ34, хорошо освоенным и промышленностью и ВВС;</w:t>
      </w:r>
    </w:p>
    <w:p w14:paraId="30C86507"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расширяется фронт применения М34, о котором установилось твердое мнение, что он годен только на тяжелые самолеты;</w:t>
      </w:r>
    </w:p>
    <w:p w14:paraId="12D89A75"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были поданы 2 докладные записки (одна от 27 июня, вторая – 29 августа 1935 года) руководству ГУАПа,</w:t>
      </w:r>
    </w:p>
    <w:p w14:paraId="1AAA36F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Королев отказался отпустить средства на этот самолет. При этом Королев даже не поинтересовался, какой предлагается самолет. Формулировка отказа была краткой: “Никаких инициативных работ. Выполнять только самолеты плана опытного строительства”.</w:t>
      </w:r>
    </w:p>
    <w:p w14:paraId="0F0BB857"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Но руководимая мною конструкторская бригада № 3 все правительственные задания от 20 июля 1935 года уже выполнила и вносит новое предложение взять на себя осуществление серьезной и ответственной технической задачи.</w:t>
      </w:r>
    </w:p>
    <w:p w14:paraId="4FAB98D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На основании изложенного прошу Вас:</w:t>
      </w:r>
    </w:p>
    <w:p w14:paraId="0512D1D7"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Утвердить постройку самолета И21 с М34 с указанными данными и включить его дополнительно в план опытного строительства.</w:t>
      </w:r>
    </w:p>
    <w:p w14:paraId="3E08C9E5"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Обязать начальника ГУАП Королева провести постройку самолета форсированным темпом и оказать помощь и поддержку в процессе конструирования и постройки самолета, со сроком выпуска на заводские испытания 1 мая 1936 года, а на госиспытания 1 июля 1936 года.</w:t>
      </w:r>
    </w:p>
    <w:p w14:paraId="72363725"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Обязать директора завода № 24 Марьямова произвести все необходимые переделки, согласно прилагаемого перечня и дать первый мотор не позже 1 февраля 1936 года.</w:t>
      </w:r>
    </w:p>
    <w:p w14:paraId="24EE884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w:t>
      </w:r>
    </w:p>
    <w:p w14:paraId="6DEF76D7"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Фото общего вида самолета.</w:t>
      </w:r>
    </w:p>
    <w:p w14:paraId="16AF0EE5"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4 фото, на которых дано сравнение площадей сопротивления фюзеляжа с различными моторами.</w:t>
      </w:r>
    </w:p>
    <w:p w14:paraId="54DB132C"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Перечень переделок мотора М34 (3475,151-153).</w:t>
      </w:r>
    </w:p>
    <w:p w14:paraId="737B70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Перечень изменений вносимых в мотор М34 заводом № 24</w:t>
      </w:r>
    </w:p>
    <w:p w14:paraId="61A05F1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Отнести водяную помпу назад вверх и поставить ее вертикально.</w:t>
      </w:r>
    </w:p>
    <w:p w14:paraId="606C04B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Сделать привод для динамо в новом месте.</w:t>
      </w:r>
    </w:p>
    <w:p w14:paraId="2AFEA04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Перенести бензопомпу под низ моторамы.</w:t>
      </w:r>
    </w:p>
    <w:p w14:paraId="0557809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Сделать скос передней части картера.</w:t>
      </w:r>
    </w:p>
    <w:p w14:paraId="08EBD3B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Перенести масляный отстойник назад на 150 мм.</w:t>
      </w:r>
    </w:p>
    <w:p w14:paraId="5A256D7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Удлинение носка мотора на 200 мм.</w:t>
      </w:r>
    </w:p>
    <w:p w14:paraId="68E6511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Пропустить через картер мотора силовой элемент лонжерона.</w:t>
      </w:r>
    </w:p>
    <w:p w14:paraId="66C1C2C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Обеспечить работу мотора на пароводяном и гликолевом охлаждении.</w:t>
      </w:r>
    </w:p>
    <w:p w14:paraId="325A744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Сделать передачу репродуктора 1:1.</w:t>
      </w:r>
    </w:p>
    <w:p w14:paraId="532BD12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Поставить две помпы (Хорнет или Ромеко) для откачки сконденсированного пара.</w:t>
      </w:r>
    </w:p>
    <w:p w14:paraId="5303038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Мощность мотора М34 РНБ 1285 сил на высоте 2200 м.</w:t>
      </w:r>
    </w:p>
    <w:p w14:paraId="35AB4DC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Вес мотора с электронным картером 630 кг (3475,154).</w:t>
      </w:r>
    </w:p>
    <w:p w14:paraId="07D29452"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3490D1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было письмо:</w:t>
      </w:r>
    </w:p>
    <w:p w14:paraId="32D142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ЦК ВКП (б) тов. СТАЛИНУ И. В.</w:t>
      </w:r>
    </w:p>
    <w:p w14:paraId="20F752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Копия: ПРЕДСОВНАРКОМА СССР тов.</w:t>
      </w:r>
    </w:p>
    <w:p w14:paraId="4B37AE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МОЛОТОВУ В. М.</w:t>
      </w:r>
    </w:p>
    <w:p w14:paraId="323F37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НАРКОМУ ТЯЖЕЛОЙ ПРОМЫШЛЕННОСТИ Т. ОРДЖОНИКИДЗЕ С.</w:t>
      </w:r>
    </w:p>
    <w:p w14:paraId="3E32D6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НАРКОМУ ОБОРОНЫ тов. ВОРОШИЛОВУ К. Е.</w:t>
      </w:r>
    </w:p>
    <w:p w14:paraId="3F4FCA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НАЧАЛЬНИКУ У ВС тов. АДКСНИСУ Я. И.</w:t>
      </w:r>
    </w:p>
    <w:p w14:paraId="730BF8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Директору завода №24 тов. МАРЬЯМОВУ ИЗ.</w:t>
      </w:r>
    </w:p>
    <w:p w14:paraId="2D58F7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2-го мая во время парада военных воздушных сил на Аэродроме им. ФРУНЗЕ Вами была поставлена задача перед авиационными конструкторами - дать стране в 1936 г. самолет со скоростью 600 километров в час.</w:t>
      </w:r>
    </w:p>
    <w:p w14:paraId="491464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Приступив немедленно к исполнению поставленной задачи и произведя ряд обстоятельных исследований, ...я пришел к заключению, что решение ...вполне возможно не только в виде рекордного самолета, но и в виде боевого самолета - одноместного истребителя. При исследовании выяснилось, что осуществление боевого самолета с такой скоростью возможно с мотором,М34, но с внесением в него некоторых изменений и переделок, которые .мною и были предложены заводу № 24.</w:t>
      </w:r>
    </w:p>
    <w:p w14:paraId="2E602A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 взявшийся горячо и энергично за эту работу, все изменения и переделки мотора М34 оформил конструктивно и уже приступил к реализации их в производстве. Первый мотор с переделками и данными: 1285 сил на высоте 2200 метров при весе 630 килограмм - директор завода тов. Марьямов предполагает дать к 1 февраля 1936 года.</w:t>
      </w:r>
    </w:p>
    <w:p w14:paraId="3A5CFC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произведенных исследований и уже разработанного предварительного проекта руководимая мною конструкторская бригада № 3 завода № 39 при совместной работе с заводом № 24, который должен вести работу по мотору, берет на себя выполнение Вашего задания - осуществить одноместный истребитель с мотором М34 со следующими основными данными: (см. таблицу справа).</w:t>
      </w:r>
    </w:p>
    <w:p w14:paraId="1C4FB2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Этот самолет с заменой крыла истребителя на крыло с меньшей площадью, усиления системы охлаждения и некоторых других более мелких переделок может поставить рекорд скорости сухопутного самолета у земли.</w:t>
      </w:r>
    </w:p>
    <w:p w14:paraId="38758B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Если мощность мотора М34 у земли будет:</w:t>
      </w:r>
    </w:p>
    <w:p w14:paraId="107C4A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 при этой мощности скорость самолета у земли будет:</w:t>
      </w:r>
    </w:p>
    <w:p w14:paraId="0B451A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1450 сил</w:t>
      </w:r>
      <w:r w:rsidRPr="00E14102">
        <w:rPr>
          <w:color w:val="000000" w:themeColor="text1"/>
          <w:sz w:val="16"/>
          <w:szCs w:val="16"/>
        </w:rPr>
        <w:tab/>
        <w:t>600 километров</w:t>
      </w:r>
    </w:p>
    <w:p w14:paraId="750B16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1600 сил</w:t>
      </w:r>
      <w:r w:rsidRPr="00E14102">
        <w:rPr>
          <w:color w:val="000000" w:themeColor="text1"/>
          <w:sz w:val="16"/>
          <w:szCs w:val="16"/>
        </w:rPr>
        <w:tab/>
        <w:t>625 километров</w:t>
      </w:r>
    </w:p>
    <w:p w14:paraId="457C75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Величина рекорда скорости будет зависеть от того, до какой мощности удастся заводу № 24 форсировать мотор М34.</w:t>
      </w:r>
    </w:p>
    <w:p w14:paraId="52A9B2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Скорости, в зависимости от мощности мотора М34, выражаются так: (см. таблицу выше).</w:t>
      </w:r>
    </w:p>
    <w:p w14:paraId="532F95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Макетный мотор М34 со всеми требуемыми изменениями закончен заводом № 24 и 13. IX. 35 года доставлен на завод № 39.</w:t>
      </w:r>
    </w:p>
    <w:p w14:paraId="63900A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Несмотря на то, что:</w:t>
      </w:r>
    </w:p>
    <w:p w14:paraId="27EA6D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Самолет по своим данным делает дальнейший огромный шаг вперед в области развития нашей авиации;</w:t>
      </w:r>
    </w:p>
    <w:p w14:paraId="676648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Самолет осуществляется с мотором М34, хорошо освоенным и промышленностью и военными воздушными силами;</w:t>
      </w:r>
    </w:p>
    <w:p w14:paraId="59F209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Расширяется фронт применения М34, о котором установилось твердое мнение, что он годен только на тяжелые самолеты;</w:t>
      </w:r>
    </w:p>
    <w:p w14:paraId="356049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Были поданы 2 докладных записки (одна от 27 июня, вторая 29 августа 1935 года) руководству ТУАПа - тов. КОРОЛЕВ отказался отпустить средства на этот самолет. При этом тов. КОРОЛЕВ даже не поинтересовался, какой предлагается самолет. Формулировка отказа была краткой: "Никаких инициативных работ. Выполнять только самолеты плана опытного строительства".</w:t>
      </w:r>
    </w:p>
    <w:p w14:paraId="49F388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руководимая мною конструкторская бригада № 3 все правительственные задания от 20. VII. 1934 года и от 16. IV. 1935 года уже выполнила и вносит новое предложение взять на себя осуществление серьезной и ответственной технической задачи.</w:t>
      </w:r>
    </w:p>
    <w:p w14:paraId="1EC20F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изложенного прошу ВАС:</w:t>
      </w:r>
    </w:p>
    <w:p w14:paraId="15D3CD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Утвердить постройку самолета И21 с М34 с указанными данными и включить его дополнительно в план опытного строительства.</w:t>
      </w:r>
    </w:p>
    <w:p w14:paraId="798B37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Обязать Начальника ГУАП тов. КОРОЛЕВА провести постройку самолета форсированным темпом и оказать помощь и поддержку в процессе конструирования и постройки самолета, со сроком выпуска на заводские испытания 1 мая 1936 года, а на госиспытания - 1 июля 1936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E3599D" w:rsidRPr="00E14102" w14:paraId="6FC7AA64" w14:textId="77777777">
        <w:tc>
          <w:tcPr>
            <w:tcW w:w="5605" w:type="dxa"/>
            <w:tcBorders>
              <w:top w:val="single" w:sz="12" w:space="0" w:color="auto"/>
            </w:tcBorders>
          </w:tcPr>
          <w:p w14:paraId="6CCC82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Скорость максимальная на высоте 3000 м</w:t>
            </w:r>
          </w:p>
        </w:tc>
        <w:tc>
          <w:tcPr>
            <w:tcW w:w="5605" w:type="dxa"/>
            <w:tcBorders>
              <w:top w:val="single" w:sz="12" w:space="0" w:color="auto"/>
            </w:tcBorders>
          </w:tcPr>
          <w:p w14:paraId="7CAC0E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 км/ч</w:t>
            </w:r>
          </w:p>
        </w:tc>
      </w:tr>
      <w:tr w:rsidR="00E3599D" w:rsidRPr="00E14102" w14:paraId="6A55C5F6" w14:textId="77777777">
        <w:tc>
          <w:tcPr>
            <w:tcW w:w="5605" w:type="dxa"/>
          </w:tcPr>
          <w:p w14:paraId="59E0BE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Потолок</w:t>
            </w:r>
          </w:p>
        </w:tc>
        <w:tc>
          <w:tcPr>
            <w:tcW w:w="5605" w:type="dxa"/>
          </w:tcPr>
          <w:p w14:paraId="1DEEB9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12000 м</w:t>
            </w:r>
          </w:p>
        </w:tc>
      </w:tr>
      <w:tr w:rsidR="00E3599D" w:rsidRPr="00E14102" w14:paraId="0BD004A8" w14:textId="77777777">
        <w:tc>
          <w:tcPr>
            <w:tcW w:w="5605" w:type="dxa"/>
          </w:tcPr>
          <w:p w14:paraId="77985D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Скороподъемность на 5000 м</w:t>
            </w:r>
          </w:p>
        </w:tc>
        <w:tc>
          <w:tcPr>
            <w:tcW w:w="5605" w:type="dxa"/>
          </w:tcPr>
          <w:p w14:paraId="2B4186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4,5-5,0 мин</w:t>
            </w:r>
          </w:p>
        </w:tc>
      </w:tr>
      <w:tr w:rsidR="00E3599D" w:rsidRPr="00E14102" w14:paraId="34096DB0" w14:textId="77777777">
        <w:tc>
          <w:tcPr>
            <w:tcW w:w="5605" w:type="dxa"/>
          </w:tcPr>
          <w:p w14:paraId="464F65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Дальность полета на наивыгоднейшей скорости</w:t>
            </w:r>
          </w:p>
        </w:tc>
        <w:tc>
          <w:tcPr>
            <w:tcW w:w="5605" w:type="dxa"/>
          </w:tcPr>
          <w:p w14:paraId="6F01D3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600-700 км</w:t>
            </w:r>
          </w:p>
        </w:tc>
      </w:tr>
      <w:tr w:rsidR="00E3599D" w:rsidRPr="00E14102" w14:paraId="7D7F08BE" w14:textId="77777777">
        <w:tc>
          <w:tcPr>
            <w:tcW w:w="5605" w:type="dxa"/>
          </w:tcPr>
          <w:p w14:paraId="68C1D0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Вооружение ШКАСы</w:t>
            </w:r>
          </w:p>
        </w:tc>
        <w:tc>
          <w:tcPr>
            <w:tcW w:w="5605" w:type="dxa"/>
          </w:tcPr>
          <w:p w14:paraId="6E7AF1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пулемета</w:t>
            </w:r>
          </w:p>
        </w:tc>
      </w:tr>
      <w:tr w:rsidR="00E3599D" w:rsidRPr="00E14102" w14:paraId="1E8B3F3F" w14:textId="77777777">
        <w:tc>
          <w:tcPr>
            <w:tcW w:w="5605" w:type="dxa"/>
          </w:tcPr>
          <w:p w14:paraId="0D7F4C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Патронов</w:t>
            </w:r>
          </w:p>
        </w:tc>
        <w:tc>
          <w:tcPr>
            <w:tcW w:w="5605" w:type="dxa"/>
          </w:tcPr>
          <w:p w14:paraId="67AE23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 штук</w:t>
            </w:r>
          </w:p>
        </w:tc>
      </w:tr>
      <w:tr w:rsidR="00E3599D" w:rsidRPr="00E14102" w14:paraId="4048CAB4" w14:textId="77777777">
        <w:tc>
          <w:tcPr>
            <w:tcW w:w="5605" w:type="dxa"/>
          </w:tcPr>
          <w:p w14:paraId="5F0604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Посадочная скорость согласно технических</w:t>
            </w:r>
          </w:p>
        </w:tc>
        <w:tc>
          <w:tcPr>
            <w:tcW w:w="5605" w:type="dxa"/>
          </w:tcPr>
          <w:p w14:paraId="04D6D22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FFB9237" w14:textId="77777777">
        <w:tc>
          <w:tcPr>
            <w:tcW w:w="5605" w:type="dxa"/>
          </w:tcPr>
          <w:p w14:paraId="43953F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требований на одноместный истребитель</w:t>
            </w:r>
          </w:p>
        </w:tc>
        <w:tc>
          <w:tcPr>
            <w:tcW w:w="5605" w:type="dxa"/>
          </w:tcPr>
          <w:p w14:paraId="4FB1B8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 км/ч</w:t>
            </w:r>
          </w:p>
        </w:tc>
      </w:tr>
      <w:tr w:rsidR="00E3599D" w:rsidRPr="00E14102" w14:paraId="696C3EAD" w14:textId="77777777">
        <w:tc>
          <w:tcPr>
            <w:tcW w:w="5605" w:type="dxa"/>
            <w:tcBorders>
              <w:bottom w:val="single" w:sz="12" w:space="0" w:color="auto"/>
            </w:tcBorders>
          </w:tcPr>
          <w:p w14:paraId="212549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В перегрузку</w:t>
            </w:r>
          </w:p>
        </w:tc>
        <w:tc>
          <w:tcPr>
            <w:tcW w:w="5605" w:type="dxa"/>
            <w:tcBorders>
              <w:bottom w:val="single" w:sz="12" w:space="0" w:color="auto"/>
            </w:tcBorders>
          </w:tcPr>
          <w:p w14:paraId="2E82C2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бомбы 4x10 - 40 кг</w:t>
            </w:r>
          </w:p>
        </w:tc>
      </w:tr>
    </w:tbl>
    <w:p w14:paraId="78AD6A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Обязать директора завода № 24 тов. МАРЬЯМОВА произвести все необходимые переделки ...и дать первый мотор не позже 1 февраля 1936 года.</w:t>
      </w:r>
    </w:p>
    <w:p w14:paraId="2FCA9A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конструкторской бригады №3 завода №39 (Ильюшин) (12016).</w:t>
      </w:r>
    </w:p>
    <w:p w14:paraId="0AA5D85B" w14:textId="77777777" w:rsidR="00D4105E" w:rsidRPr="00E14102" w:rsidRDefault="00D4105E" w:rsidP="00E14102">
      <w:pPr>
        <w:autoSpaceDE w:val="0"/>
        <w:autoSpaceDN w:val="0"/>
        <w:adjustRightInd w:val="0"/>
        <w:jc w:val="both"/>
        <w:rPr>
          <w:color w:val="000000" w:themeColor="text1"/>
          <w:sz w:val="16"/>
          <w:szCs w:val="16"/>
        </w:rPr>
      </w:pPr>
    </w:p>
    <w:p w14:paraId="1769CA4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октября 1935 года на Ногинском полигоне прошли гос. испытания бензобаков, защищенных пулестойкими протекторами (6680).</w:t>
      </w:r>
    </w:p>
    <w:p w14:paraId="508156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гос. испытания были предъявлены 3 бензобака, из коих один бак от самолета ТБ-3, один бак от самолета И-15 и один бак от самолета Р-5. Баки были защищены следующими протекторами:</w:t>
      </w:r>
    </w:p>
    <w:p w14:paraId="0CEC47A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Бак от самолета ТБ-3 покрыт 3-мя слоями специальной резины, затем обтянут 2-мя слоями прорезиненным кордом и сверху покрыт слоем резины.</w:t>
      </w:r>
    </w:p>
    <w:p w14:paraId="5F8670B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Бак от самолета И-15 покрыт 2-мя слоями специальной резины, затем обтянут 2-мя слоями прорезиненным кордом и сверху покрыт слоем резины.</w:t>
      </w:r>
    </w:p>
    <w:p w14:paraId="439F178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Бак от самолета Р-5 покрыт 3-мя слоями специальной резины и сверху обтянут кожей.</w:t>
      </w:r>
    </w:p>
    <w:p w14:paraId="4955E02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Комиссия считает необходимым перед окончательным решением вопроса о принятии баков на снабжение ВС провести эксплуатационные испытания баков, по одному комплекту для 10 самолетов ТБ-3 и для 10 самолетов И-15 с целью выявления поведения их на самолетах в летных условиях и установления влияния различных факторов на состояние и качество защитной оболочки (6680).</w:t>
      </w:r>
    </w:p>
    <w:p w14:paraId="7E85BAD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B5CE5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 октября 1935 г. в ГВФ насчитывалось уже 603 машины П-5. Большая часть П-5 эксплуатировалась как почтовые и грузовые самолеты.</w:t>
      </w:r>
    </w:p>
    <w:p w14:paraId="65CB16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Летали П-5 и на международных трассах. С 1934 г. они обслуживали линию Ташкент- Кабул. Ни один другой пассажирский самолет не мог перелететь горные хребты на этом маршруте и сесть на маленьких промежуточных площадках. В 1936 г. П-5 использовали на линии Алма-Ата-Ланьчжоу.</w:t>
      </w:r>
    </w:p>
    <w:p w14:paraId="3B1EDE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Широкое применение П-5 объяснялось вовсе не его высокой эффективностью. Наоборот, для гражданской авиации его считали малопригодным. Большой, тяжелый, груза перевозит мало, для размещения пассажиров приспособлен плохо. Положение несколько спасала нетребовательность к качеству аэродромов и высокая ремонтопригодность. Неоднократно П-5 пытались снять с эксплуатации в Аэрофлоте. Но перегруженная военными заказами промышленность взамен ничего не давала, и П-5 продолжали летать и летать...</w:t>
      </w:r>
    </w:p>
    <w:p w14:paraId="2A4784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1930-х гг. в парке ГВФ стала значительной доля ЛП-5 и ПР-5. В 1937 г. с Дальнего Востока докладывали: "Лимузин" зарекомендовал себя как прекрасная машина, наиболее удобная во всех отношениях для Сахалинской линии зимой".</w:t>
      </w:r>
    </w:p>
    <w:p w14:paraId="14B0A7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второй половине 1930-х гг. в ГВФ влились самолеты, ставшие лишними в ВВС. В результате к началу 1940 г. П-5 занимал второе место по численности в парке гражданской авиации после У-2. На 1 марта только на линиях союзного значения работали 47 П-5, 13 ЛП-5 и 97 ПР-5 (11936).</w:t>
      </w:r>
    </w:p>
    <w:p w14:paraId="5809AE01" w14:textId="77777777" w:rsidR="00D4105E" w:rsidRPr="00E14102" w:rsidRDefault="00D4105E" w:rsidP="00E14102">
      <w:pPr>
        <w:autoSpaceDE w:val="0"/>
        <w:autoSpaceDN w:val="0"/>
        <w:adjustRightInd w:val="0"/>
        <w:jc w:val="both"/>
        <w:rPr>
          <w:color w:val="000000" w:themeColor="text1"/>
          <w:sz w:val="16"/>
          <w:szCs w:val="16"/>
        </w:rPr>
      </w:pPr>
    </w:p>
    <w:p w14:paraId="06653B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 октября 1935 г. в гражданской авиации было 603 самолета) П-5. Они применялись в различных районах - от Украины и Карелии до Кавказа и Средней Азии. Зачастую условия эксплуатации были весьма сложными. В Сибири приходилось летать зимой при температуре 40-50° мороза. При этом в полете замерзали пароотводные трубки к расширительному бачку, водяной насос, радиатор, трубопроводы карбюратора. От холода теряла эластичность резина амортизаторов. Ее грели паяльными лампами перед вылетом; этого хватало на три-четыре часа.</w:t>
      </w:r>
    </w:p>
    <w:p w14:paraId="74AC31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П-5 летали даже на международных трассах. С 1934 г. они обслуживали линию Ташкент - Кабул. Ни один другой пассажирский самолет не мог перелететь горные хребты на этом маршруте и сесть на маленьких промежуточных площадках. В 1936 г. П-5 использовали на линии Алма- Ата - Ланьчжоу, по которой снабжались советские части в Китае.</w:t>
      </w:r>
    </w:p>
    <w:p w14:paraId="0CEA47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Большая часть П-5 эксплуатировалась как почтовые и грузовые самолеты. По скорости и дальности полета П-5 значительно превосходил самую массовую тогда машину гражданской авиации - У-2. Специально оснащенными П-5 были укомплектованы все матричные звенья различных управлений ГВФ.</w:t>
      </w:r>
    </w:p>
    <w:p w14:paraId="12D279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"Матричники" летали практически в любую погоду и в любое время года, невзирая на состояние аэродромов. В Москве они стартовали с бетонной полосы, а на месте назначения в распутицу сбрасывали груз с парашютом. Самолеты матричных звеньев оборудовались приемниками В-3 для полетов по радиомаякам. Это довольно простое устройство, позволявшее пилоту лететь в равносигналь- ной зоне, курсом прямо на маяк. Если самолет шел правильно, то в обоих наушниках звук был одинаковым, если отклонялся в сторону, то в одном наушнике гудело громче, чем в другом.</w:t>
      </w:r>
    </w:p>
    <w:p w14:paraId="2F83ED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П-5 очень чувствительно реагировал на обледенение. Степень обледенения пилот мог определить по вибрации расчалок: чем больше льда, тем сильнее они тряслись. Самолет становился тяжелым и неуклюжим. От перегрузки перегревался мотор. Обледенение винта приводило к снижению тяги, при срыве льда с лопастей нарушалась балансировка, и возникала страшная тряска. А уж если колебания доходили до столь высокой частоты, что становились незаметны на глаз - готовься к разрушению бипланной коробки!</w:t>
      </w:r>
    </w:p>
    <w:p w14:paraId="733E8E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Широкое применение П-5 объяснялось вовсе не его высокой эффективностью. Наоборот, для гражданской авиации его считали малопригодным. Большой, тяжелый, груза перевозит мало, для размещения пассажиров приспособлен плохо. Еще в 1934 г. в докладе ВО ГВФ было записано: "П-5 очень неэкономичен, почти не приспособлен для гражданской работы".</w:t>
      </w:r>
    </w:p>
    <w:p w14:paraId="41E5EE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Положение несколько спасала нетребовательность к качеству аэродромов п высокая ремонтопригодность - зачастую починку вели подручными средствами, приспособив вместо сломанной рейки сук из ближайшего леса, примотанный веревками. Неоднократно П-5 пытались снять с эксплуатации в "Аэрофлоте". Это планировали сначала на I936 г., потом на 1937 г., но взамен-то перегруженная заказами военных промышленность ничего не давала. И П-5 продолжали летать и летать...(12034).</w:t>
      </w:r>
    </w:p>
    <w:p w14:paraId="2D0125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Наличие самолетов П-5, ЛП-5 и ПР-5 в ГВФ (без ведомственной авиации)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E3599D" w:rsidRPr="00E14102" w14:paraId="6D0A1C5B" w14:textId="77777777">
        <w:tc>
          <w:tcPr>
            <w:tcW w:w="2802" w:type="dxa"/>
            <w:tcBorders>
              <w:top w:val="single" w:sz="12" w:space="0" w:color="auto"/>
            </w:tcBorders>
          </w:tcPr>
          <w:p w14:paraId="200E5F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Дата</w:t>
            </w:r>
          </w:p>
        </w:tc>
        <w:tc>
          <w:tcPr>
            <w:tcW w:w="2802" w:type="dxa"/>
            <w:tcBorders>
              <w:top w:val="single" w:sz="12" w:space="0" w:color="auto"/>
            </w:tcBorders>
          </w:tcPr>
          <w:p w14:paraId="6267C2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1П-5</w:t>
            </w:r>
          </w:p>
        </w:tc>
        <w:tc>
          <w:tcPr>
            <w:tcW w:w="2802" w:type="dxa"/>
            <w:tcBorders>
              <w:top w:val="single" w:sz="12" w:space="0" w:color="auto"/>
            </w:tcBorders>
          </w:tcPr>
          <w:p w14:paraId="419337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ЛП-5</w:t>
            </w:r>
          </w:p>
        </w:tc>
        <w:tc>
          <w:tcPr>
            <w:tcW w:w="2802" w:type="dxa"/>
            <w:tcBorders>
              <w:top w:val="single" w:sz="12" w:space="0" w:color="auto"/>
            </w:tcBorders>
          </w:tcPr>
          <w:p w14:paraId="47D5B8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ПР-5</w:t>
            </w:r>
          </w:p>
        </w:tc>
      </w:tr>
      <w:tr w:rsidR="00E3599D" w:rsidRPr="00E14102" w14:paraId="0F02CC5C" w14:textId="77777777">
        <w:tc>
          <w:tcPr>
            <w:tcW w:w="2802" w:type="dxa"/>
          </w:tcPr>
          <w:p w14:paraId="37EEB6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01.01.32</w:t>
            </w:r>
          </w:p>
        </w:tc>
        <w:tc>
          <w:tcPr>
            <w:tcW w:w="2802" w:type="dxa"/>
          </w:tcPr>
          <w:p w14:paraId="5BD1FA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w:t>
            </w:r>
          </w:p>
        </w:tc>
        <w:tc>
          <w:tcPr>
            <w:tcW w:w="2802" w:type="dxa"/>
          </w:tcPr>
          <w:p w14:paraId="217B77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02" w:type="dxa"/>
          </w:tcPr>
          <w:p w14:paraId="18B266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5D854F45" w14:textId="77777777">
        <w:tc>
          <w:tcPr>
            <w:tcW w:w="2802" w:type="dxa"/>
          </w:tcPr>
          <w:p w14:paraId="796696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01.01.33</w:t>
            </w:r>
          </w:p>
        </w:tc>
        <w:tc>
          <w:tcPr>
            <w:tcW w:w="2802" w:type="dxa"/>
          </w:tcPr>
          <w:p w14:paraId="6FAE45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w:t>
            </w:r>
          </w:p>
        </w:tc>
        <w:tc>
          <w:tcPr>
            <w:tcW w:w="2802" w:type="dxa"/>
          </w:tcPr>
          <w:p w14:paraId="0B9DFE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02" w:type="dxa"/>
          </w:tcPr>
          <w:p w14:paraId="474282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1BB45706" w14:textId="77777777">
        <w:tc>
          <w:tcPr>
            <w:tcW w:w="2802" w:type="dxa"/>
          </w:tcPr>
          <w:p w14:paraId="5E3EFC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01.01.35</w:t>
            </w:r>
          </w:p>
        </w:tc>
        <w:tc>
          <w:tcPr>
            <w:tcW w:w="2802" w:type="dxa"/>
          </w:tcPr>
          <w:p w14:paraId="316EA2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156</w:t>
            </w:r>
          </w:p>
        </w:tc>
        <w:tc>
          <w:tcPr>
            <w:tcW w:w="2802" w:type="dxa"/>
          </w:tcPr>
          <w:p w14:paraId="7C5445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02" w:type="dxa"/>
          </w:tcPr>
          <w:p w14:paraId="480C52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2385E18C" w14:textId="77777777">
        <w:tc>
          <w:tcPr>
            <w:tcW w:w="2802" w:type="dxa"/>
          </w:tcPr>
          <w:p w14:paraId="707B51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01.05.39</w:t>
            </w:r>
          </w:p>
        </w:tc>
        <w:tc>
          <w:tcPr>
            <w:tcW w:w="2802" w:type="dxa"/>
          </w:tcPr>
          <w:p w14:paraId="45F850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79</w:t>
            </w:r>
          </w:p>
        </w:tc>
        <w:tc>
          <w:tcPr>
            <w:tcW w:w="2802" w:type="dxa"/>
          </w:tcPr>
          <w:p w14:paraId="623B00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2802" w:type="dxa"/>
          </w:tcPr>
          <w:p w14:paraId="0C90A1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69</w:t>
            </w:r>
          </w:p>
        </w:tc>
      </w:tr>
      <w:tr w:rsidR="00E3599D" w:rsidRPr="00E14102" w14:paraId="6B18939D" w14:textId="77777777">
        <w:tc>
          <w:tcPr>
            <w:tcW w:w="2802" w:type="dxa"/>
          </w:tcPr>
          <w:p w14:paraId="622A89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01.01.40</w:t>
            </w:r>
          </w:p>
        </w:tc>
        <w:tc>
          <w:tcPr>
            <w:tcW w:w="2802" w:type="dxa"/>
          </w:tcPr>
          <w:p w14:paraId="14EAFF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54</w:t>
            </w:r>
          </w:p>
        </w:tc>
        <w:tc>
          <w:tcPr>
            <w:tcW w:w="2802" w:type="dxa"/>
          </w:tcPr>
          <w:p w14:paraId="166403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2802" w:type="dxa"/>
          </w:tcPr>
          <w:p w14:paraId="15E0C5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83</w:t>
            </w:r>
          </w:p>
        </w:tc>
      </w:tr>
      <w:tr w:rsidR="00E3599D" w:rsidRPr="00E14102" w14:paraId="06110177" w14:textId="77777777">
        <w:tc>
          <w:tcPr>
            <w:tcW w:w="2802" w:type="dxa"/>
          </w:tcPr>
          <w:p w14:paraId="28E3CE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01.12.40</w:t>
            </w:r>
          </w:p>
        </w:tc>
        <w:tc>
          <w:tcPr>
            <w:tcW w:w="2802" w:type="dxa"/>
          </w:tcPr>
          <w:p w14:paraId="4685E1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133</w:t>
            </w:r>
          </w:p>
        </w:tc>
        <w:tc>
          <w:tcPr>
            <w:tcW w:w="2802" w:type="dxa"/>
          </w:tcPr>
          <w:p w14:paraId="193A9D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2802" w:type="dxa"/>
          </w:tcPr>
          <w:p w14:paraId="78B2FF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135</w:t>
            </w:r>
          </w:p>
        </w:tc>
      </w:tr>
      <w:tr w:rsidR="00E3599D" w:rsidRPr="00E14102" w14:paraId="12F79647" w14:textId="77777777">
        <w:tc>
          <w:tcPr>
            <w:tcW w:w="2802" w:type="dxa"/>
          </w:tcPr>
          <w:p w14:paraId="5571E8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01.04.41</w:t>
            </w:r>
          </w:p>
        </w:tc>
        <w:tc>
          <w:tcPr>
            <w:tcW w:w="2802" w:type="dxa"/>
          </w:tcPr>
          <w:p w14:paraId="0DE21E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w:t>
            </w:r>
          </w:p>
        </w:tc>
        <w:tc>
          <w:tcPr>
            <w:tcW w:w="2802" w:type="dxa"/>
          </w:tcPr>
          <w:p w14:paraId="36B0C5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2802" w:type="dxa"/>
          </w:tcPr>
          <w:p w14:paraId="369526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146</w:t>
            </w:r>
          </w:p>
        </w:tc>
      </w:tr>
      <w:tr w:rsidR="00E3599D" w:rsidRPr="00E14102" w14:paraId="761F8544" w14:textId="77777777">
        <w:tc>
          <w:tcPr>
            <w:tcW w:w="2802" w:type="dxa"/>
          </w:tcPr>
          <w:p w14:paraId="3F4CE6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20.12.41</w:t>
            </w:r>
          </w:p>
        </w:tc>
        <w:tc>
          <w:tcPr>
            <w:tcW w:w="2802" w:type="dxa"/>
          </w:tcPr>
          <w:p w14:paraId="04368B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124</w:t>
            </w:r>
          </w:p>
        </w:tc>
        <w:tc>
          <w:tcPr>
            <w:tcW w:w="2802" w:type="dxa"/>
          </w:tcPr>
          <w:p w14:paraId="3BA07D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02" w:type="dxa"/>
          </w:tcPr>
          <w:p w14:paraId="1706AC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104</w:t>
            </w:r>
          </w:p>
        </w:tc>
      </w:tr>
      <w:tr w:rsidR="00E3599D" w:rsidRPr="00E14102" w14:paraId="0E9C4165" w14:textId="77777777">
        <w:tc>
          <w:tcPr>
            <w:tcW w:w="2802" w:type="dxa"/>
          </w:tcPr>
          <w:p w14:paraId="324871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01.12.42</w:t>
            </w:r>
          </w:p>
        </w:tc>
        <w:tc>
          <w:tcPr>
            <w:tcW w:w="2802" w:type="dxa"/>
          </w:tcPr>
          <w:p w14:paraId="202E4F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w:t>
            </w:r>
          </w:p>
        </w:tc>
        <w:tc>
          <w:tcPr>
            <w:tcW w:w="2802" w:type="dxa"/>
          </w:tcPr>
          <w:p w14:paraId="2BB5E0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02" w:type="dxa"/>
          </w:tcPr>
          <w:p w14:paraId="7B65E2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73</w:t>
            </w:r>
          </w:p>
        </w:tc>
      </w:tr>
      <w:tr w:rsidR="00E3599D" w:rsidRPr="00E14102" w14:paraId="00A2C5F5" w14:textId="77777777">
        <w:tc>
          <w:tcPr>
            <w:tcW w:w="2802" w:type="dxa"/>
          </w:tcPr>
          <w:p w14:paraId="1B856B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01.01.44</w:t>
            </w:r>
          </w:p>
        </w:tc>
        <w:tc>
          <w:tcPr>
            <w:tcW w:w="2802" w:type="dxa"/>
          </w:tcPr>
          <w:p w14:paraId="686998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w:t>
            </w:r>
          </w:p>
        </w:tc>
        <w:tc>
          <w:tcPr>
            <w:tcW w:w="2802" w:type="dxa"/>
          </w:tcPr>
          <w:p w14:paraId="36030C72"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2E013D8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4ACD240" w14:textId="77777777">
        <w:tc>
          <w:tcPr>
            <w:tcW w:w="2802" w:type="dxa"/>
          </w:tcPr>
          <w:p w14:paraId="7F90ED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01.06.44</w:t>
            </w:r>
          </w:p>
        </w:tc>
        <w:tc>
          <w:tcPr>
            <w:tcW w:w="2802" w:type="dxa"/>
          </w:tcPr>
          <w:p w14:paraId="760426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221</w:t>
            </w:r>
          </w:p>
        </w:tc>
        <w:tc>
          <w:tcPr>
            <w:tcW w:w="2802" w:type="dxa"/>
          </w:tcPr>
          <w:p w14:paraId="184FFCDB"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4FA4145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DEE08EB" w14:textId="77777777">
        <w:tc>
          <w:tcPr>
            <w:tcW w:w="2802" w:type="dxa"/>
          </w:tcPr>
          <w:p w14:paraId="550AC5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01.12.45</w:t>
            </w:r>
          </w:p>
        </w:tc>
        <w:tc>
          <w:tcPr>
            <w:tcW w:w="2802" w:type="dxa"/>
          </w:tcPr>
          <w:p w14:paraId="193961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2802" w:type="dxa"/>
          </w:tcPr>
          <w:p w14:paraId="4965DA48"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6373D63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2BB5E9C" w14:textId="77777777">
        <w:tc>
          <w:tcPr>
            <w:tcW w:w="2802" w:type="dxa"/>
          </w:tcPr>
          <w:p w14:paraId="5FD912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01.12.46</w:t>
            </w:r>
          </w:p>
        </w:tc>
        <w:tc>
          <w:tcPr>
            <w:tcW w:w="2802" w:type="dxa"/>
          </w:tcPr>
          <w:p w14:paraId="25B192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2802" w:type="dxa"/>
          </w:tcPr>
          <w:p w14:paraId="284222FD"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Pr>
          <w:p w14:paraId="0C451EC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32E45F1" w14:textId="77777777">
        <w:tc>
          <w:tcPr>
            <w:tcW w:w="2802" w:type="dxa"/>
            <w:tcBorders>
              <w:bottom w:val="single" w:sz="12" w:space="0" w:color="auto"/>
            </w:tcBorders>
          </w:tcPr>
          <w:p w14:paraId="792973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01.12.47</w:t>
            </w:r>
          </w:p>
        </w:tc>
        <w:tc>
          <w:tcPr>
            <w:tcW w:w="2802" w:type="dxa"/>
            <w:tcBorders>
              <w:bottom w:val="single" w:sz="12" w:space="0" w:color="auto"/>
            </w:tcBorders>
          </w:tcPr>
          <w:p w14:paraId="463133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2802" w:type="dxa"/>
            <w:tcBorders>
              <w:bottom w:val="single" w:sz="12" w:space="0" w:color="auto"/>
            </w:tcBorders>
          </w:tcPr>
          <w:p w14:paraId="68859FC3"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Borders>
              <w:bottom w:val="single" w:sz="12" w:space="0" w:color="auto"/>
            </w:tcBorders>
          </w:tcPr>
          <w:p w14:paraId="694EE82F" w14:textId="77777777" w:rsidR="00D4105E" w:rsidRPr="00E14102" w:rsidRDefault="00D4105E" w:rsidP="00E14102">
            <w:pPr>
              <w:autoSpaceDE w:val="0"/>
              <w:autoSpaceDN w:val="0"/>
              <w:adjustRightInd w:val="0"/>
              <w:jc w:val="both"/>
              <w:rPr>
                <w:color w:val="000000" w:themeColor="text1"/>
                <w:sz w:val="16"/>
                <w:szCs w:val="16"/>
              </w:rPr>
            </w:pPr>
          </w:p>
        </w:tc>
      </w:tr>
    </w:tbl>
    <w:p w14:paraId="713DF3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 с середины 1943 г. все самолеты на базе Р-5 учитывались ГУ ГВФ совместно (12034).</w:t>
      </w:r>
    </w:p>
    <w:p w14:paraId="70B2BA14" w14:textId="77777777" w:rsidR="00D4105E" w:rsidRPr="00E14102" w:rsidRDefault="00D4105E" w:rsidP="00E14102">
      <w:pPr>
        <w:autoSpaceDE w:val="0"/>
        <w:autoSpaceDN w:val="0"/>
        <w:adjustRightInd w:val="0"/>
        <w:jc w:val="both"/>
        <w:rPr>
          <w:color w:val="000000" w:themeColor="text1"/>
          <w:sz w:val="16"/>
          <w:szCs w:val="16"/>
        </w:rPr>
      </w:pPr>
    </w:p>
    <w:p w14:paraId="13998F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1-го октября 1935 река Дудинка и озера в тундре покрылись льдом. Самолет ДВ СССР-Н2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0534FCEE" w14:textId="77777777" w:rsidR="00D4105E" w:rsidRPr="00E14102" w:rsidRDefault="00D4105E" w:rsidP="00E14102">
      <w:pPr>
        <w:autoSpaceDE w:val="0"/>
        <w:autoSpaceDN w:val="0"/>
        <w:adjustRightInd w:val="0"/>
        <w:jc w:val="both"/>
        <w:rPr>
          <w:color w:val="000000" w:themeColor="text1"/>
          <w:sz w:val="16"/>
          <w:szCs w:val="16"/>
        </w:rPr>
      </w:pPr>
    </w:p>
    <w:p w14:paraId="5CD7F626" w14:textId="77777777" w:rsidR="00D4105E" w:rsidRPr="00E14102" w:rsidRDefault="004B7965" w:rsidP="00E14102">
      <w:pPr>
        <w:tabs>
          <w:tab w:val="left" w:pos="11199"/>
        </w:tabs>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40AF8C7" w14:textId="77777777" w:rsidR="00D4105E" w:rsidRPr="00E14102" w:rsidRDefault="00D4105E" w:rsidP="00E14102">
      <w:pPr>
        <w:tabs>
          <w:tab w:val="left" w:pos="11199"/>
        </w:tabs>
        <w:autoSpaceDE w:val="0"/>
        <w:autoSpaceDN w:val="0"/>
        <w:adjustRightInd w:val="0"/>
        <w:jc w:val="both"/>
        <w:rPr>
          <w:iCs/>
          <w:color w:val="000000" w:themeColor="text1"/>
          <w:sz w:val="16"/>
          <w:szCs w:val="16"/>
        </w:rPr>
      </w:pPr>
    </w:p>
    <w:p w14:paraId="13F6D67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1 октября по 29 декабря 1935 г. прошли заводские испытания машин триплекса. В ходе них САУ прошли: СУ-5-1 - 296 км, СУ-5-2 — 206 км и СУ-5-3 — 189 км. 1 ноября после пробе</w:t>
      </w:r>
      <w:r w:rsidRPr="00E14102">
        <w:rPr>
          <w:color w:val="000000" w:themeColor="text1"/>
          <w:sz w:val="16"/>
          <w:szCs w:val="16"/>
        </w:rPr>
        <w:softHyphen/>
        <w:t>га СУ-5-3 была отправлена на парад в Москву. Кроме про</w:t>
      </w:r>
      <w:r w:rsidRPr="00E14102">
        <w:rPr>
          <w:color w:val="000000" w:themeColor="text1"/>
          <w:sz w:val="16"/>
          <w:szCs w:val="16"/>
        </w:rPr>
        <w:softHyphen/>
        <w:t>бегов, машины испытывались стрельбой — по 50 выстре</w:t>
      </w:r>
      <w:r w:rsidRPr="00E14102">
        <w:rPr>
          <w:color w:val="000000" w:themeColor="text1"/>
          <w:sz w:val="16"/>
          <w:szCs w:val="16"/>
        </w:rPr>
        <w:softHyphen/>
        <w:t>лов СУ-5-1 и СУ-5-2 и 23 выстрела СУ-5-3. В отчете по ре</w:t>
      </w:r>
      <w:r w:rsidRPr="00E14102">
        <w:rPr>
          <w:color w:val="000000" w:themeColor="text1"/>
          <w:sz w:val="16"/>
          <w:szCs w:val="16"/>
        </w:rPr>
        <w:softHyphen/>
        <w:t>зультатам испытаний были сделаны следующие выводы:</w:t>
      </w:r>
    </w:p>
    <w:p w14:paraId="7F8F5E5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iCs/>
          <w:color w:val="000000" w:themeColor="text1"/>
          <w:sz w:val="16"/>
          <w:szCs w:val="16"/>
        </w:rPr>
        <w:t>«Самоходные установки обладают тактической по</w:t>
      </w:r>
      <w:r w:rsidRPr="00E14102">
        <w:rPr>
          <w:iCs/>
          <w:color w:val="000000" w:themeColor="text1"/>
          <w:sz w:val="16"/>
          <w:szCs w:val="16"/>
        </w:rPr>
        <w:softHyphen/>
        <w:t>движностью, позволяющей им передвигаться по дорогам и вне дорог. Переход в боевое положение для 76- и 122-мм СУ-5 — немедленно, для 152-мм машины — 2—3 минуты (необходи</w:t>
      </w:r>
      <w:r w:rsidRPr="00E14102">
        <w:rPr>
          <w:iCs/>
          <w:color w:val="000000" w:themeColor="text1"/>
          <w:sz w:val="16"/>
          <w:szCs w:val="16"/>
        </w:rPr>
        <w:softHyphen/>
        <w:t>мость ведения стрельбы с упором).</w:t>
      </w:r>
    </w:p>
    <w:p w14:paraId="3A22FCC8"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Недостатки: мала прочность кронштейна, связывающего люльку с цапфовой обоймой, слабы бандажи опорных колес.</w:t>
      </w:r>
    </w:p>
    <w:p w14:paraId="6B4862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iCs/>
          <w:color w:val="000000" w:themeColor="text1"/>
          <w:sz w:val="16"/>
          <w:szCs w:val="16"/>
        </w:rPr>
        <w:t>Все выявленные дефекты принципиального значения не имеют и вполне устранимы».</w:t>
      </w:r>
    </w:p>
    <w:p w14:paraId="52E7F9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Параллельно испытаниям шла доработка конструк</w:t>
      </w:r>
      <w:r w:rsidRPr="00E14102">
        <w:rPr>
          <w:color w:val="000000" w:themeColor="text1"/>
          <w:sz w:val="16"/>
          <w:szCs w:val="16"/>
        </w:rPr>
        <w:softHyphen/>
        <w:t>ции СУ-5. Так, для СУ-5-2 была введена укладка возимо</w:t>
      </w:r>
      <w:r w:rsidRPr="00E14102">
        <w:rPr>
          <w:color w:val="000000" w:themeColor="text1"/>
          <w:sz w:val="16"/>
          <w:szCs w:val="16"/>
        </w:rPr>
        <w:softHyphen/>
        <w:t>го БК в размере всего лишь четырех снарядов и шести гильз с зарядами, позднее, шести выстрелов.</w:t>
      </w:r>
    </w:p>
    <w:p w14:paraId="285F5C7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Планом на 1936 г. предполагалось изготовить партию из 30 шт. СУ-5-2. СУ-5-1 решили не выпускать, так как АТ-1 показала более предпочтительные результаты, а для СУ-5-3, во-первых, не было серийных орудий и, во-вторых, шасси Т-26 оказалось слабоватым для 152-мм мортиры (11417).</w:t>
      </w:r>
    </w:p>
    <w:p w14:paraId="6D6C158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683C2DF" w14:textId="77777777" w:rsidR="00E9506A" w:rsidRPr="00E14102" w:rsidRDefault="00E9506A"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 октября 1935 года начались, а 3 января 1936 года закончились испытания АТ-1 на Ржевском НИАП к северу от Ленинграда. Испытания шли неравномерно, поскольку несколько раз прерывались по различным причинам. В ходе испытаний из орудия ПС-3 провели 259 выстрелов, из них 117 усиленными зарядами.</w:t>
      </w:r>
    </w:p>
    <w:p w14:paraId="67D7E091" w14:textId="77777777" w:rsidR="00E9506A" w:rsidRPr="00E14102" w:rsidRDefault="00E9506A"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ходе стрельбы выяснилось, что кучность ПС-3 выше, чему у 76-мм пушки образца 1902/30 годов. Другое дело, что это было одним из немногих положительных моментов, связанных с ПС-3. При стрельбе на дистанцию 2000 м расчёт дважды не попал в щит — это оказалось связано с работой подъёмного механизма. Не задалась и стрельба с хода и с коротких остановок. Вместо пяти стрельб удалось произвести одни, причём из 14 выстрелов в щит попало всего 4 снаряда. Причин тому оказалось несколько. Помимо уже упоминавшихся проблем с повышенной нагрузкой на рукоятку поворотного механизма, выплыли недочёты по прицелам. Прицел ТОП оказался неудобен по расположению и не имел налобника, при этом маховик поворотного механизма располагался так, что наводчик не мог одновременно поворачивать орудие и смотреть в прицел. Имелись вопросы и к месту заряжающего — при стрельбе тот рисковал получить удар казённой частью орудия в плечо. Для предотвращения этого требовалось увеличить высоту гильзоулавливателя с правой стороны. Сам гильзоулавливатель был слишком длинным и задевал за колокол двигателя.</w:t>
      </w:r>
    </w:p>
    <w:p w14:paraId="5FCF08AB" w14:textId="77777777" w:rsidR="00E9506A" w:rsidRPr="00E14102" w:rsidRDefault="00E9506A"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Немало вопросов возникло и к скорострельности — она составила не более 9 выстрелов в минуту, при условии, что наводка не исправлялась. С исправлением наводки скорострельность падала до 3 выстрелов в минуту. Причиной тому являлись конструктивные недостатки как ПС-3, так и АТ-1. Большим минусом являлось то, что 32 патрона располагались со стороны наводчика, в результате последний должен был передавать их заряжающему. Снова возникли проблемы с ножным спуском. Устойчивость машины признали неудовлетворительной, поскольку наблюдалась сбиваемость прицела. Само по себе боевое отделение АТ-1 признали довольно тесным. Предлагалось удлинить боевое отделение на 200 мм и поднять его высоту на 20-30 мм. Также выявился недостаток бронировки системы. Имелась большая щель, через которую могли проникать пули и осколки. Наконец, имелись вопросы к самой ПС-3: после стрельб труба ствола ушла внутрь кожуха на 1,4 мм, никуда не делась и деформация боковин передних крыльев при стрельбе.</w:t>
      </w:r>
    </w:p>
    <w:p w14:paraId="248C7AD7" w14:textId="77777777" w:rsidR="00E9506A" w:rsidRPr="00E14102" w:rsidRDefault="00E9506A"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Помимо огневых испытаний, АТ-1 подверглась ходовым тестам. Всего машина прошла около 520 км, преодолев половину пути по булыжному шоссе. Следует отметить, что максимальная скорость оказалась куда выше, чем на заводских испытаниях. На 4-й передаче машина разгонялась до 37-39 км/ч. Правда, отмечалось, что при этом вышли из строя семь опорных катков на задних каретках. Также имелись некоторые проблемы с работой мотора. Впрочем, к шасси вопросов оказалась куда меньше, особенно на фоне вала критики по орудию и работе в боевом отделении.</w:t>
      </w:r>
    </w:p>
    <w:p w14:paraId="3C51411A" w14:textId="77777777" w:rsidR="00E9506A" w:rsidRPr="00E14102" w:rsidRDefault="00E9506A"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 итогам испытаний было принято решение о доработке как самой АТ-1, так и ПС-3. Из пунктов исправлений, которые требовалось внести заводу №185, убрали только увеличение габаритов боевого отделения (19671).</w:t>
      </w:r>
    </w:p>
    <w:p w14:paraId="143B68BA" w14:textId="77777777" w:rsidR="00E9506A" w:rsidRPr="00E14102" w:rsidRDefault="00E9506A"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7A97E748" w14:textId="77777777" w:rsidR="00822C46" w:rsidRPr="00E14102" w:rsidRDefault="00822C46" w:rsidP="00E14102">
      <w:pPr>
        <w:jc w:val="both"/>
        <w:rPr>
          <w:color w:val="0070C0"/>
          <w:sz w:val="16"/>
          <w:szCs w:val="16"/>
        </w:rPr>
      </w:pPr>
      <w:r w:rsidRPr="00E14102">
        <w:rPr>
          <w:color w:val="0070C0"/>
          <w:sz w:val="16"/>
          <w:szCs w:val="16"/>
        </w:rPr>
        <w:t>На 1 октября 1935 года, согласно информационной записке, направленной техническим директо</w:t>
      </w:r>
      <w:r w:rsidRPr="00E14102">
        <w:rPr>
          <w:color w:val="0070C0"/>
          <w:sz w:val="16"/>
          <w:szCs w:val="16"/>
        </w:rPr>
        <w:softHyphen/>
        <w:t>ром НАТИ П.С. Кага</w:t>
      </w:r>
      <w:r w:rsidRPr="00E14102">
        <w:rPr>
          <w:color w:val="0070C0"/>
          <w:sz w:val="16"/>
          <w:szCs w:val="16"/>
        </w:rPr>
        <w:softHyphen/>
        <w:t>ном в ГУТАП (Главное управление автотрак</w:t>
      </w:r>
      <w:r w:rsidRPr="00E14102">
        <w:rPr>
          <w:color w:val="0070C0"/>
          <w:sz w:val="16"/>
          <w:szCs w:val="16"/>
        </w:rPr>
        <w:softHyphen/>
        <w:t>торной промышлен</w:t>
      </w:r>
      <w:r w:rsidRPr="00E14102">
        <w:rPr>
          <w:color w:val="0070C0"/>
          <w:sz w:val="16"/>
          <w:szCs w:val="16"/>
        </w:rPr>
        <w:softHyphen/>
        <w:t>ности) и в Академию наук, штаты НАТИ и опытного завода со</w:t>
      </w:r>
      <w:r w:rsidRPr="00E14102">
        <w:rPr>
          <w:color w:val="0070C0"/>
          <w:sz w:val="16"/>
          <w:szCs w:val="16"/>
        </w:rPr>
        <w:softHyphen/>
        <w:t>ставляли 1300 чело</w:t>
      </w:r>
      <w:r w:rsidRPr="00E14102">
        <w:rPr>
          <w:color w:val="0070C0"/>
          <w:sz w:val="16"/>
          <w:szCs w:val="16"/>
        </w:rPr>
        <w:softHyphen/>
        <w:t>век, из них ИТР - 627 человек, научных работников, утверж</w:t>
      </w:r>
      <w:r w:rsidRPr="00E14102">
        <w:rPr>
          <w:color w:val="0070C0"/>
          <w:sz w:val="16"/>
          <w:szCs w:val="16"/>
        </w:rPr>
        <w:softHyphen/>
        <w:t>денных Высшим Сове</w:t>
      </w:r>
      <w:r w:rsidRPr="00E14102">
        <w:rPr>
          <w:color w:val="0070C0"/>
          <w:sz w:val="16"/>
          <w:szCs w:val="16"/>
        </w:rPr>
        <w:softHyphen/>
        <w:t>том, - 27 человек. Годо</w:t>
      </w:r>
      <w:r w:rsidRPr="00E14102">
        <w:rPr>
          <w:color w:val="0070C0"/>
          <w:sz w:val="16"/>
          <w:szCs w:val="16"/>
        </w:rPr>
        <w:softHyphen/>
        <w:t>вой бюджет института за 1935 год составлял 11 141,7 тыс. руб.</w:t>
      </w:r>
    </w:p>
    <w:p w14:paraId="3090B92E" w14:textId="77777777" w:rsidR="00822C46" w:rsidRPr="00E14102" w:rsidRDefault="00822C46" w:rsidP="00E14102">
      <w:pPr>
        <w:jc w:val="both"/>
        <w:rPr>
          <w:color w:val="0070C0"/>
          <w:sz w:val="16"/>
          <w:szCs w:val="16"/>
        </w:rPr>
      </w:pPr>
      <w:r w:rsidRPr="00E14102">
        <w:rPr>
          <w:color w:val="0070C0"/>
          <w:sz w:val="16"/>
          <w:szCs w:val="16"/>
        </w:rPr>
        <w:t>В институте функционируют следующие научные отделы: автомобильный, тракторный, моторный, ав</w:t>
      </w:r>
      <w:r w:rsidRPr="00E14102">
        <w:rPr>
          <w:color w:val="0070C0"/>
          <w:sz w:val="16"/>
          <w:szCs w:val="16"/>
        </w:rPr>
        <w:softHyphen/>
        <w:t>тотракторных материалов, топливный, кузовной и проектно-монтажный. При институте функционирует фундаментальная техническая библиотека, насчи</w:t>
      </w:r>
      <w:r w:rsidRPr="00E14102">
        <w:rPr>
          <w:color w:val="0070C0"/>
          <w:sz w:val="16"/>
          <w:szCs w:val="16"/>
        </w:rPr>
        <w:softHyphen/>
        <w:t>тывающая 22 399 томов технической литературы, как отечественной, так и иностранной.</w:t>
      </w:r>
    </w:p>
    <w:p w14:paraId="3B1CF5A6" w14:textId="77777777" w:rsidR="00822C46" w:rsidRPr="00E14102" w:rsidRDefault="00822C46" w:rsidP="00E14102">
      <w:pPr>
        <w:jc w:val="both"/>
        <w:rPr>
          <w:color w:val="0070C0"/>
          <w:sz w:val="16"/>
          <w:szCs w:val="16"/>
        </w:rPr>
      </w:pPr>
      <w:r w:rsidRPr="00E14102">
        <w:rPr>
          <w:color w:val="0070C0"/>
          <w:sz w:val="16"/>
          <w:szCs w:val="16"/>
        </w:rPr>
        <w:t>В институте имеется опытный завод с цехами: механическим, сборочным, инструментальным, ли</w:t>
      </w:r>
      <w:r w:rsidRPr="00E14102">
        <w:rPr>
          <w:color w:val="0070C0"/>
          <w:sz w:val="16"/>
          <w:szCs w:val="16"/>
        </w:rPr>
        <w:softHyphen/>
        <w:t>тейным, термическим, кузнечным.» (22518).</w:t>
      </w:r>
    </w:p>
    <w:p w14:paraId="6108B646" w14:textId="77777777" w:rsidR="00822C46" w:rsidRPr="00E14102" w:rsidRDefault="00822C46" w:rsidP="00E14102">
      <w:pPr>
        <w:jc w:val="both"/>
        <w:rPr>
          <w:color w:val="0070C0"/>
          <w:sz w:val="16"/>
          <w:szCs w:val="16"/>
        </w:rPr>
      </w:pPr>
    </w:p>
    <w:p w14:paraId="462D58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г. ЗАПИСКА ПО ПРЯМОМУ ПРОВОДУ № 69293</w:t>
      </w:r>
    </w:p>
    <w:p w14:paraId="54B191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Доложено Сталину</w:t>
      </w:r>
    </w:p>
    <w:p w14:paraId="3B1612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Киева тов. Кацнельсон в адрес т. Ягода сообщает:</w:t>
      </w:r>
    </w:p>
    <w:p w14:paraId="58D7AC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“Нами в Донбассе арестованы на Азотно-Туковом заводе в Горловке - немецкий специалист, инженер Рунге Гихард, инженеры, советские граждане, Мевиус Вильгельм, Систер Григорий.</w:t>
      </w:r>
    </w:p>
    <w:p w14:paraId="650363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Рунге не допросах дал следующие показания о своей работе в активной разведке: а) в 1929 г. был привлечен в Германии к разведработе, послан с шпионскими заданиями в СССР руководителем германской фирмы “Паулинг” - Беккером; б) по указаниям Беккера установили в Москве деловую связь с сотрудниками посольства Мерцелеем, Гензелем; в) передавал в посольство шпионские сведения о химической оборонной промышленности по заводам “Красный боевик”, “Комсомолец” в Тамбове, о Азотно-Туковом комбинате в Горловке; г) осуществляя задания разведки организовал диверсионные группы. В этих целях привлек к работе на заводе “Комсомолец” в Тамбове инженеров Источникова и Выкрова, на Азотно-Туковом заводе в Горловке - инженеров Мевиуса и Систера; д) при содействии Источникова пропустил для горловского АТЗ и других заводов дефектную коксо-газовую аппаратуру в целях взрывов, пожаров на заводах; е) в ноябре 1934 г. и в январе 1935 г. через Мевиуса, Систера осуществил взрывы компрессорных газопроводных установок, которые по его плану должны были вызвать взрывы других агрегатов с целью полного разрушения завода. Рунге называет в своих показаниях известных ему других агентов разведки, также действующих под прикрытием германских фирм и под руководством посольства в Москве: германского инженера в Москве Тримбаера Иосифа, его сына Тримбажера Карла, германского инженера Ленца Иосифа, выехавшего в 1935 г. в Германию, австрийского инженера Айфельдер, германского инженера АТС Курта, работавших на наших химзаводах в Тамбове и выехавших в Германию.</w:t>
      </w:r>
    </w:p>
    <w:p w14:paraId="4DFBF5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Арестованный по делу инженер Мевиус подтвердил показания Рунге о привлечении его к шпионской диверсионной работе и полученных от Рунге заданиях: а) подготовить, осуществить военный период взрыв 30.000 коксо-газового газгольдера Горловского АТЗ с целью полного уничтожения завода; б) систематически вводить в аварийное состояние сложную химическую аппаратуру завода, организовать взрывы газовых аппаратов в целях вывода из строя завода; в) собирать шпионские материалы: о нашей химической оборонной промышленности для передачи германской разведке; г) передал разновременно Рунге ряд шпионских материалов об оборонной подготовке Горловского АТЗ, мощности агрегатов, цехов в военный период, состоянии и мощности аппаратуры, состоянии ремонта и т.д.; д) привлек для диверсионной работы 4-х инженеров завода: Буряка, Крушельницкого, Желиховского и Рявенко.</w:t>
      </w:r>
    </w:p>
    <w:p w14:paraId="55F367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Арестованный недавно инженер Систер откровенных показаний еще не дал.</w:t>
      </w:r>
    </w:p>
    <w:p w14:paraId="75DB68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Дальнейшие допросы арестованных продолжаем.</w:t>
      </w:r>
    </w:p>
    <w:p w14:paraId="7D4F53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АП РФ Ф.3, Оп.58. Д.248. л.1-3 (11462).</w:t>
      </w:r>
    </w:p>
    <w:p w14:paraId="673926CC" w14:textId="77777777" w:rsidR="00D4105E" w:rsidRPr="00E14102" w:rsidRDefault="00D4105E" w:rsidP="00E14102">
      <w:pPr>
        <w:autoSpaceDE w:val="0"/>
        <w:autoSpaceDN w:val="0"/>
        <w:adjustRightInd w:val="0"/>
        <w:jc w:val="both"/>
        <w:rPr>
          <w:color w:val="000000" w:themeColor="text1"/>
          <w:sz w:val="16"/>
          <w:szCs w:val="16"/>
        </w:rPr>
      </w:pPr>
    </w:p>
    <w:p w14:paraId="16923FA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03A06720" w14:textId="77777777" w:rsidR="00D4105E" w:rsidRPr="00E14102" w:rsidRDefault="00D4105E" w:rsidP="00E14102">
      <w:pPr>
        <w:autoSpaceDE w:val="0"/>
        <w:autoSpaceDN w:val="0"/>
        <w:adjustRightInd w:val="0"/>
        <w:jc w:val="both"/>
        <w:rPr>
          <w:iCs/>
          <w:color w:val="000000" w:themeColor="text1"/>
          <w:sz w:val="16"/>
          <w:szCs w:val="16"/>
        </w:rPr>
      </w:pPr>
    </w:p>
    <w:p w14:paraId="3BA0E3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октября 1935 г. ССС располагались в Красном Селе под Ленинградом (78 машин) и в трех эскадрильях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263F04C2" w14:textId="77777777" w:rsidR="00D4105E" w:rsidRPr="00E14102" w:rsidRDefault="00D4105E" w:rsidP="00E14102">
      <w:pPr>
        <w:autoSpaceDE w:val="0"/>
        <w:autoSpaceDN w:val="0"/>
        <w:adjustRightInd w:val="0"/>
        <w:jc w:val="both"/>
        <w:rPr>
          <w:color w:val="000000" w:themeColor="text1"/>
          <w:sz w:val="16"/>
          <w:szCs w:val="16"/>
        </w:rPr>
      </w:pPr>
    </w:p>
    <w:p w14:paraId="5AA6532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9CFEBDC" w14:textId="77777777" w:rsidR="00D4105E" w:rsidRPr="00E14102" w:rsidRDefault="00D4105E" w:rsidP="00E14102">
      <w:pPr>
        <w:autoSpaceDE w:val="0"/>
        <w:autoSpaceDN w:val="0"/>
        <w:adjustRightInd w:val="0"/>
        <w:jc w:val="both"/>
        <w:rPr>
          <w:iCs/>
          <w:color w:val="000000" w:themeColor="text1"/>
          <w:sz w:val="16"/>
          <w:szCs w:val="16"/>
        </w:rPr>
      </w:pPr>
    </w:p>
    <w:p w14:paraId="78982C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были отменены карточки на мясо, жиры, рыбу, сахар, картофель (1348,200).</w:t>
      </w:r>
    </w:p>
    <w:p w14:paraId="00F84180" w14:textId="77777777" w:rsidR="00D4105E" w:rsidRPr="00E14102" w:rsidRDefault="00D4105E" w:rsidP="00E14102">
      <w:pPr>
        <w:autoSpaceDE w:val="0"/>
        <w:autoSpaceDN w:val="0"/>
        <w:adjustRightInd w:val="0"/>
        <w:jc w:val="both"/>
        <w:rPr>
          <w:color w:val="000000" w:themeColor="text1"/>
          <w:sz w:val="16"/>
          <w:szCs w:val="16"/>
        </w:rPr>
      </w:pPr>
    </w:p>
    <w:p w14:paraId="4EF576E2" w14:textId="77777777" w:rsidR="00A35933" w:rsidRPr="00E14102" w:rsidRDefault="00A35933" w:rsidP="00E14102">
      <w:pPr>
        <w:jc w:val="both"/>
        <w:rPr>
          <w:color w:val="000000" w:themeColor="text1"/>
          <w:sz w:val="16"/>
          <w:szCs w:val="16"/>
        </w:rPr>
      </w:pPr>
      <w:r w:rsidRPr="00E14102">
        <w:rPr>
          <w:color w:val="000000" w:themeColor="text1"/>
          <w:sz w:val="16"/>
          <w:szCs w:val="16"/>
        </w:rPr>
        <w:t>С 1  октября 1935  г. были отменены карточки на все продукты питания. 1 января 1936 г. пришла очередь нормирования промышленных товаров, хотя дефицит и в дальнейшем порождал всякого рода ограничения в их распределении. В данной статье рассматриваются в основном третий и четвертый этапы этого процесса, изменения в системе распределения и торговли в 1932-1934 гг. и отмена карточек на хлеб.</w:t>
      </w:r>
    </w:p>
    <w:p w14:paraId="39DE9C76" w14:textId="77777777" w:rsidR="00A35933" w:rsidRPr="00E14102" w:rsidRDefault="00A35933" w:rsidP="00E14102">
      <w:pPr>
        <w:autoSpaceDE w:val="0"/>
        <w:autoSpaceDN w:val="0"/>
        <w:adjustRightInd w:val="0"/>
        <w:jc w:val="both"/>
        <w:rPr>
          <w:color w:val="000000" w:themeColor="text1"/>
          <w:sz w:val="16"/>
          <w:szCs w:val="16"/>
        </w:rPr>
      </w:pPr>
      <w:r w:rsidRPr="00E14102">
        <w:rPr>
          <w:color w:val="000000" w:themeColor="text1"/>
          <w:sz w:val="16"/>
          <w:szCs w:val="16"/>
        </w:rPr>
        <w:t>Отмена карточек оказывала огромное воздействие на экономику и повседневную жизнь страны, привела к значительному росту цен и трансформации их структуры, повлияла на налоговую систему, изменила бюджеты и потребительские привычки многих семей. Как и другие преобразования такого масштаба, отмена карточек позволяет исследовать важные аспекты механизмов принятия решений и их реализации, систему взаимодействия различных звеньев советского партийно-государственно-экономического аппарата (17296).</w:t>
      </w:r>
    </w:p>
    <w:p w14:paraId="2C253070" w14:textId="77777777" w:rsidR="00A35933" w:rsidRPr="00E14102" w:rsidRDefault="00A35933" w:rsidP="00E14102">
      <w:pPr>
        <w:autoSpaceDE w:val="0"/>
        <w:autoSpaceDN w:val="0"/>
        <w:adjustRightInd w:val="0"/>
        <w:jc w:val="both"/>
        <w:rPr>
          <w:color w:val="000000" w:themeColor="text1"/>
          <w:sz w:val="16"/>
          <w:szCs w:val="16"/>
        </w:rPr>
      </w:pPr>
    </w:p>
    <w:p w14:paraId="29BFFCCD" w14:textId="77777777" w:rsidR="00BD2956" w:rsidRPr="00E14102" w:rsidRDefault="00BD2956" w:rsidP="00E14102">
      <w:pPr>
        <w:jc w:val="both"/>
        <w:rPr>
          <w:color w:val="000000" w:themeColor="text1"/>
          <w:sz w:val="16"/>
          <w:szCs w:val="16"/>
        </w:rPr>
      </w:pPr>
      <w:r w:rsidRPr="00E14102">
        <w:rPr>
          <w:bCs/>
          <w:color w:val="000000" w:themeColor="text1"/>
          <w:sz w:val="16"/>
          <w:szCs w:val="16"/>
        </w:rPr>
        <w:t xml:space="preserve">1 октября </w:t>
      </w:r>
      <w:r w:rsidRPr="00E14102">
        <w:rPr>
          <w:color w:val="000000" w:themeColor="text1"/>
          <w:sz w:val="16"/>
          <w:szCs w:val="16"/>
        </w:rPr>
        <w:t>в 1935 году отменяются карточки на продовольствие в СССР. До того люди не покупали продукты, а "получали" или "отоваривали талоны". Карточки нужно было "прикреплять" к определенному магазину. У крупных предприятий и всяких специальных учреждений были так называемые ЗРК - закрытые рабочие кооперативы. Ходил печальный анекдот, что в русском алфавите остались только А,Б,В для детей, ВКП для партийных людей, ЗРК для рабочих и ГПУ для всех прочих. С началом войны, в 1941, продуктовые и промтоварные карточки введут опять (14786).</w:t>
      </w:r>
    </w:p>
    <w:p w14:paraId="4551FC38" w14:textId="77777777" w:rsidR="00BD2956" w:rsidRPr="00E14102" w:rsidRDefault="00BD2956" w:rsidP="00E14102">
      <w:pPr>
        <w:jc w:val="both"/>
        <w:rPr>
          <w:color w:val="000000" w:themeColor="text1"/>
          <w:sz w:val="16"/>
          <w:szCs w:val="16"/>
        </w:rPr>
      </w:pPr>
    </w:p>
    <w:p w14:paraId="7545CF93" w14:textId="77777777" w:rsidR="00BD2956" w:rsidRPr="00E14102" w:rsidRDefault="00BD2956" w:rsidP="00E14102">
      <w:pPr>
        <w:jc w:val="both"/>
        <w:rPr>
          <w:color w:val="000000" w:themeColor="text1"/>
          <w:sz w:val="16"/>
          <w:szCs w:val="16"/>
        </w:rPr>
      </w:pPr>
      <w:r w:rsidRPr="00E14102">
        <w:rPr>
          <w:bCs/>
          <w:color w:val="000000" w:themeColor="text1"/>
          <w:sz w:val="16"/>
          <w:szCs w:val="16"/>
        </w:rPr>
        <w:t xml:space="preserve">1 октября </w:t>
      </w:r>
      <w:r w:rsidRPr="00E14102">
        <w:rPr>
          <w:color w:val="000000" w:themeColor="text1"/>
          <w:sz w:val="16"/>
          <w:szCs w:val="16"/>
        </w:rPr>
        <w:t>в 1935 году у трибун ЦПКиО финишировали участники беспримерного перехода на байдарках — шестеро спортсменов. Приняв старт на озере Байкал, они по 17 рекам Азии и Европы достигли Москвы, преодолев за 84 ходовых дня 9400 км (14786).</w:t>
      </w:r>
    </w:p>
    <w:p w14:paraId="12393570" w14:textId="77777777" w:rsidR="00BD2956" w:rsidRPr="00E14102" w:rsidRDefault="00BD2956" w:rsidP="00E14102">
      <w:pPr>
        <w:jc w:val="both"/>
        <w:rPr>
          <w:color w:val="000000" w:themeColor="text1"/>
          <w:sz w:val="16"/>
          <w:szCs w:val="16"/>
        </w:rPr>
      </w:pPr>
    </w:p>
    <w:p w14:paraId="37C3C70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CB834DB" w14:textId="77777777" w:rsidR="00D4105E" w:rsidRPr="00E14102" w:rsidRDefault="00D4105E" w:rsidP="00E14102">
      <w:pPr>
        <w:autoSpaceDE w:val="0"/>
        <w:autoSpaceDN w:val="0"/>
        <w:adjustRightInd w:val="0"/>
        <w:jc w:val="both"/>
        <w:rPr>
          <w:iCs/>
          <w:color w:val="000000" w:themeColor="text1"/>
          <w:sz w:val="16"/>
          <w:szCs w:val="16"/>
        </w:rPr>
      </w:pPr>
    </w:p>
    <w:p w14:paraId="71D0AE6A"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r w:rsidRPr="00E14102">
        <w:rPr>
          <w:color w:val="000000" w:themeColor="text1"/>
          <w:sz w:val="16"/>
          <w:szCs w:val="16"/>
        </w:rPr>
        <w:t>1 октября 1935 в Германии было сформировано первое экспериментальное подразде</w:t>
      </w:r>
      <w:r w:rsidRPr="00E14102">
        <w:rPr>
          <w:color w:val="000000" w:themeColor="text1"/>
          <w:sz w:val="16"/>
          <w:szCs w:val="16"/>
        </w:rPr>
        <w:softHyphen/>
        <w:t>ления пикировщиков, так называемая авиагруппа “Шверин”, которое использовало Не 50А по пря</w:t>
      </w:r>
      <w:r w:rsidRPr="00E14102">
        <w:rPr>
          <w:color w:val="000000" w:themeColor="text1"/>
          <w:sz w:val="16"/>
          <w:szCs w:val="16"/>
        </w:rPr>
        <w:softHyphen/>
        <w:t>мому назначению (6269).</w:t>
      </w:r>
    </w:p>
    <w:p w14:paraId="6DC01842"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p>
    <w:p w14:paraId="32AC6E25" w14:textId="77777777" w:rsidR="00822C46" w:rsidRPr="00E14102" w:rsidRDefault="00822C46" w:rsidP="00E14102">
      <w:pPr>
        <w:jc w:val="both"/>
        <w:rPr>
          <w:color w:val="0070C0"/>
          <w:sz w:val="16"/>
          <w:szCs w:val="16"/>
        </w:rPr>
      </w:pPr>
      <w:r w:rsidRPr="00E14102">
        <w:rPr>
          <w:color w:val="0070C0"/>
          <w:sz w:val="16"/>
          <w:szCs w:val="16"/>
        </w:rPr>
        <w:t>1 октября 1935 образована первая компания с название British Airways Ltd как результат слияния с Airways Хиллман, спартанских Air Lines и United Airways Ltd.</w:t>
      </w:r>
    </w:p>
    <w:p w14:paraId="1C0A4BEC" w14:textId="77777777" w:rsidR="00822C46" w:rsidRPr="00E14102" w:rsidRDefault="00822C46" w:rsidP="00E14102">
      <w:pPr>
        <w:jc w:val="both"/>
        <w:rPr>
          <w:color w:val="0070C0"/>
          <w:sz w:val="16"/>
          <w:szCs w:val="16"/>
        </w:rPr>
      </w:pPr>
    </w:p>
    <w:p w14:paraId="7D6F90A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C0CB660" w14:textId="77777777" w:rsidR="00D4105E" w:rsidRPr="00E14102" w:rsidRDefault="00D4105E" w:rsidP="00E14102">
      <w:pPr>
        <w:autoSpaceDE w:val="0"/>
        <w:autoSpaceDN w:val="0"/>
        <w:adjustRightInd w:val="0"/>
        <w:jc w:val="both"/>
        <w:rPr>
          <w:iCs/>
          <w:color w:val="000000" w:themeColor="text1"/>
          <w:sz w:val="16"/>
          <w:szCs w:val="16"/>
        </w:rPr>
      </w:pPr>
    </w:p>
    <w:p w14:paraId="4EBD4F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октября 1935 Нач. ГУАП Королев с письмом № 2/4392сс направил в СТО тов. Базилевичу:</w:t>
      </w:r>
    </w:p>
    <w:p w14:paraId="4FAA43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СПРАВКА</w:t>
      </w:r>
    </w:p>
    <w:p w14:paraId="51DA7D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 СОСТОЯНИИ РАБОТ ПО САМ. ТБ-7 С ЦЕНТРАЛЬНЫМ НАДДУВОМ</w:t>
      </w:r>
    </w:p>
    <w:p w14:paraId="460E3B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Постановлением СТО от 16/1У.35г. ЦАГИ и заводу № 22 дано за</w:t>
      </w:r>
      <w:r w:rsidRPr="00E14102">
        <w:rPr>
          <w:color w:val="000000" w:themeColor="text1"/>
          <w:sz w:val="16"/>
          <w:szCs w:val="16"/>
        </w:rPr>
        <w:softHyphen/>
        <w:t>дание дать к 1/ХП-36 г. самолет БДД (ТБ-7).</w:t>
      </w:r>
    </w:p>
    <w:p w14:paraId="2B102B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осуществления заданных планом летно-тактлческих данных ЦАГИ устанавливает на самолете специальную центральную установку (ц.н. для наддува мотора до 7-8000 м.</w:t>
      </w:r>
    </w:p>
    <w:p w14:paraId="26572C1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настоящее время работы в ЦАГИ находятся в следующем состоянии:</w:t>
      </w:r>
    </w:p>
    <w:p w14:paraId="7942FD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Произведена общая компановка самолета с центральным наддувом</w:t>
      </w:r>
    </w:p>
    <w:p w14:paraId="1A0678A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Разработана схематическая установка центрального наддува и ведется конструктивная разработка самолета.</w:t>
      </w:r>
    </w:p>
    <w:p w14:paraId="054F2B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Разработка чертежей для производства и само произво будут развернуты, после рассмотрения их А.Н.ТУПОЛЕВЫМ по возвращению из отпуска 5/Х-с.г.</w:t>
      </w:r>
    </w:p>
    <w:p w14:paraId="49386A5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Производится постройка лаборатории для испытания мотообору</w:t>
      </w:r>
      <w:r w:rsidRPr="00E14102">
        <w:rPr>
          <w:color w:val="000000" w:themeColor="text1"/>
          <w:sz w:val="16"/>
          <w:szCs w:val="16"/>
        </w:rPr>
        <w:softHyphen/>
        <w:t>дования со сроком окончания в 1935 году.</w:t>
      </w:r>
    </w:p>
    <w:p w14:paraId="145545C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Спроектировано и заказано оборудование для высотной камеры.</w:t>
      </w:r>
    </w:p>
    <w:p w14:paraId="2662D4E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Заканчивается разработка строительного проекта корпуса высотной камеры и винтовой лаборатории. Строительство камеры и лаборато</w:t>
      </w:r>
      <w:r w:rsidRPr="00E14102">
        <w:rPr>
          <w:color w:val="000000" w:themeColor="text1"/>
          <w:sz w:val="16"/>
          <w:szCs w:val="16"/>
        </w:rPr>
        <w:softHyphen/>
        <w:t>рии будет .начато в текущем году со сроком окончания в первой половине 1936 года.</w:t>
      </w:r>
    </w:p>
    <w:p w14:paraId="388DCA0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Запроектированный центральный наддув Московского Авиацион</w:t>
      </w:r>
      <w:r w:rsidRPr="00E14102">
        <w:rPr>
          <w:color w:val="000000" w:themeColor="text1"/>
          <w:sz w:val="16"/>
          <w:szCs w:val="16"/>
        </w:rPr>
        <w:softHyphen/>
        <w:t>ного Института по своим габаритам не может бить использован для уста</w:t>
      </w:r>
      <w:r w:rsidRPr="00E14102">
        <w:rPr>
          <w:color w:val="000000" w:themeColor="text1"/>
          <w:sz w:val="16"/>
          <w:szCs w:val="16"/>
        </w:rPr>
        <w:softHyphen/>
        <w:t>новки на самолете ТБ-7, на котором предусмотрена установка, центрального наддува с мотором "Испано-Сюиза".</w:t>
      </w:r>
    </w:p>
    <w:p w14:paraId="328C45E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Исходя из того, что постановка самолетов с центральным наддувом .в Советском Союзе осваивается впервые и до настоящего времени заграничной практики так же не имеется, - ЦАГИ считает целесообразным запроектированный Московским авиационным. Институтом централышй наддув запустить в производство с целью всестороннего изучения его работы.</w:t>
      </w:r>
    </w:p>
    <w:p w14:paraId="4A62CD8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Заказ на изготовление центрального наддува МАИ будет передан заводу № 24 в текущем месяце с выпуском его на заводские испытания в первом квартале 1936 г. (3419,112).</w:t>
      </w:r>
    </w:p>
    <w:p w14:paraId="4B74156D" w14:textId="77777777" w:rsidR="00D4105E" w:rsidRPr="00E14102" w:rsidRDefault="00D4105E" w:rsidP="00E14102">
      <w:pPr>
        <w:autoSpaceDE w:val="0"/>
        <w:autoSpaceDN w:val="0"/>
        <w:adjustRightInd w:val="0"/>
        <w:jc w:val="both"/>
        <w:rPr>
          <w:color w:val="000000" w:themeColor="text1"/>
          <w:sz w:val="16"/>
          <w:szCs w:val="16"/>
        </w:rPr>
      </w:pPr>
    </w:p>
    <w:p w14:paraId="3F66DE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октября 1935 года районный инженер УВС на заводе N 1 Кузнецов писал письмо N ВП/0397 начальнику 4 отдела УВС Базенкову.</w:t>
      </w:r>
    </w:p>
    <w:p w14:paraId="687F11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Доношу о ходе войсковых испытаний самолетов "Триэс" в войсковой части 1364 (Гомель).</w:t>
      </w:r>
    </w:p>
    <w:p w14:paraId="6DD04F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Предварительные полеты были проведены на всех 10 машинах. (3120,82).</w:t>
      </w:r>
    </w:p>
    <w:p w14:paraId="6B92F4B7" w14:textId="77777777" w:rsidR="00D4105E" w:rsidRPr="00E14102" w:rsidRDefault="00D4105E" w:rsidP="00E14102">
      <w:pPr>
        <w:autoSpaceDE w:val="0"/>
        <w:autoSpaceDN w:val="0"/>
        <w:adjustRightInd w:val="0"/>
        <w:jc w:val="both"/>
        <w:rPr>
          <w:color w:val="000000" w:themeColor="text1"/>
          <w:sz w:val="16"/>
          <w:szCs w:val="16"/>
        </w:rPr>
      </w:pPr>
    </w:p>
    <w:p w14:paraId="7FC310F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 октября 1935 года Базилевич писал письмо № 1875/ко в НКПС Кагановичу Л.М.</w:t>
      </w:r>
    </w:p>
    <w:p w14:paraId="796F5AC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Согласно резолюции Молотова, препровождаю доклад Алксниса “О результатах госиспытаний Р5-М34Н (Р-ЗЕТ) постройки завода № 1 и срыве плана заказов и плана перевооружения 1935 года по легким бомбардировщикам и разведчикам”, представленный Гамарником.</w:t>
      </w:r>
    </w:p>
    <w:p w14:paraId="3FFB60C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 № 376307сс/о НКО и № 003909 УВС – на 3 листах</w:t>
      </w:r>
    </w:p>
    <w:p w14:paraId="29BCD1A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На № 376307сс/о НКО резолюция:</w:t>
      </w:r>
    </w:p>
    <w:p w14:paraId="4BC44E0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“Членам КО. Предлагаю поручить срочно расследовать это дело КПК (Березину). Молотов.” (3475,198).</w:t>
      </w:r>
    </w:p>
    <w:p w14:paraId="44F1881B"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00FF44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октября 1935 года районный инженер УВС на заводе N 1 Кузнецов писал письмо N ВП/0398 пом. начальника УВС Астахову и начальнику 4 отдела УВС Базенкову.</w:t>
      </w:r>
    </w:p>
    <w:p w14:paraId="5BF11A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Войсковые испытания самолетов И-15 в в/ч N 1084 начались 10 сентября 1935 года.</w:t>
      </w:r>
    </w:p>
    <w:p w14:paraId="4BA131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время полетов 10, 11, 12, 13, 17, 19, 25, 26 и 28 сентября среднее число посадок сделано каждой машиной - 120, налет часов - 11 и среднее количество фигур выполненных - 427. (3120,90-91).</w:t>
      </w:r>
    </w:p>
    <w:p w14:paraId="01FAF25F" w14:textId="77777777" w:rsidR="00D4105E" w:rsidRPr="00E14102" w:rsidRDefault="00D4105E" w:rsidP="00E14102">
      <w:pPr>
        <w:autoSpaceDE w:val="0"/>
        <w:autoSpaceDN w:val="0"/>
        <w:adjustRightInd w:val="0"/>
        <w:jc w:val="both"/>
        <w:rPr>
          <w:color w:val="000000" w:themeColor="text1"/>
          <w:sz w:val="16"/>
          <w:szCs w:val="16"/>
        </w:rPr>
      </w:pPr>
    </w:p>
    <w:p w14:paraId="1330CF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октября 1935 года пом военпреда завода N 39 Кислицин В.А. писал письмо районному инженеру УВС на заводе N 39.</w:t>
      </w:r>
    </w:p>
    <w:p w14:paraId="5283E3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Рапорт</w:t>
      </w:r>
    </w:p>
    <w:p w14:paraId="28BA30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сем прилагаю отчет о войсковых испытаниях самолета ЦКБ-12 за период с 22 августа по 1-е октября. (3120,21-35).</w:t>
      </w:r>
    </w:p>
    <w:p w14:paraId="09E2E03D" w14:textId="77777777" w:rsidR="00D4105E" w:rsidRPr="00E14102" w:rsidRDefault="00D4105E" w:rsidP="00E14102">
      <w:pPr>
        <w:autoSpaceDE w:val="0"/>
        <w:autoSpaceDN w:val="0"/>
        <w:adjustRightInd w:val="0"/>
        <w:jc w:val="both"/>
        <w:rPr>
          <w:color w:val="000000" w:themeColor="text1"/>
          <w:sz w:val="16"/>
          <w:szCs w:val="16"/>
        </w:rPr>
      </w:pPr>
    </w:p>
    <w:p w14:paraId="5FC139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октября 1935 года была подготовлена записка Молотову:</w:t>
      </w:r>
    </w:p>
    <w:p w14:paraId="12D3962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 конструкторской бригады завода № 39 С.В.И. докладывает, что во исполнение указания Сталина дать стране самолет со скоростью 600 км/час – его бригадой проведены ряд исследований и разработан предварительный проект самолета.</w:t>
      </w:r>
    </w:p>
    <w:p w14:paraId="5A3391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Бригада С.В.И. при совместной работе 24 завода по мотору берется осуществить к 1 мая 1936 года одноместный истребитель со следующими основными данными:</w:t>
      </w:r>
    </w:p>
    <w:p w14:paraId="0768BF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max – 600 км/час</w:t>
      </w:r>
    </w:p>
    <w:p w14:paraId="588DB5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 12000 м</w:t>
      </w:r>
    </w:p>
    <w:p w14:paraId="4F77BF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Скороподъемность на 5000 м – 4,5-5 мин.</w:t>
      </w:r>
    </w:p>
    <w:p w14:paraId="3FEEAB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Королев при докладе ему этого вопроса, даже не поинтересовался сущностью дела и отказал и в средствах и в разрешении продолжать работу.</w:t>
      </w:r>
    </w:p>
    <w:p w14:paraId="423BA1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С.В.И. просит обязать Королева форсированно провести постройку самолета, а Марьямова – произвести необходимые переделки в моторе М-34 и дать мотор к 1 февраля 1936 года.</w:t>
      </w:r>
    </w:p>
    <w:p w14:paraId="04B152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указания дать доклад на проверку Березину и поставить вопрос на КО (3575,149).</w:t>
      </w:r>
    </w:p>
    <w:p w14:paraId="21A6710E" w14:textId="77777777" w:rsidR="00D4105E" w:rsidRPr="00E14102" w:rsidRDefault="00D4105E" w:rsidP="00E14102">
      <w:pPr>
        <w:autoSpaceDE w:val="0"/>
        <w:autoSpaceDN w:val="0"/>
        <w:adjustRightInd w:val="0"/>
        <w:jc w:val="both"/>
        <w:rPr>
          <w:color w:val="000000" w:themeColor="text1"/>
          <w:sz w:val="16"/>
          <w:szCs w:val="16"/>
        </w:rPr>
      </w:pPr>
    </w:p>
    <w:p w14:paraId="094BEA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октября 1935 Базилевич писал письмо № 2150/ко в ГУАП тов. Марголину</w:t>
      </w:r>
    </w:p>
    <w:p w14:paraId="407E3D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копия: ГУГВФ тов. Доненко</w:t>
      </w:r>
    </w:p>
    <w:p w14:paraId="45FB3B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Начальник ГУГВФ сообщает, что проектирование и постройка опытного самолота И-21 (СТ-8) срывается из-за отсутствия альтмага.</w:t>
      </w:r>
    </w:p>
    <w:p w14:paraId="522D5A4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Тов. Королевым была дано в свое время заверение...(3419,167).</w:t>
      </w:r>
    </w:p>
    <w:p w14:paraId="30EC33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0807E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октября 1935 г. в приказе начальника ГУАП Г.Н. Королева за № 58/319 от в связи с получением из Америки самолета "Дуглас" с двумя моторами Райт "Циклон" предусматривалось составление графика осмотра самолета специалистами промышленности и УВВС. Сначала в Москве, затем в Харькове, Воронеже, Таганроге, Горьком и снова в Москве. После осмотра самолета в ЦАГИ предлагалось разобрать его в целях обеспечения более подробного ознакомления конструкторов и производственников авиационных предприятий Москвы. Известно, что это мероприятие было проведено. Позже для детального изучения самолет был передан в НИИ ВВС. По-видимому, именно он и являлся упомянутым выше ДС-2, находившимся в частях Центра ВВС перед войной. Изучение образца самолета ДС-2 принесло большую пользу нашим авиационным специалистам (3404).</w:t>
      </w:r>
    </w:p>
    <w:p w14:paraId="0C89AAFE" w14:textId="77777777" w:rsidR="00D4105E" w:rsidRPr="00E14102" w:rsidRDefault="00D4105E" w:rsidP="00E14102">
      <w:pPr>
        <w:autoSpaceDE w:val="0"/>
        <w:autoSpaceDN w:val="0"/>
        <w:adjustRightInd w:val="0"/>
        <w:jc w:val="both"/>
        <w:rPr>
          <w:color w:val="000000" w:themeColor="text1"/>
          <w:sz w:val="16"/>
          <w:szCs w:val="16"/>
        </w:rPr>
      </w:pPr>
    </w:p>
    <w:p w14:paraId="18717F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октября 1935 на планерных состязаниях в Крыму установили два рекорда продолжительности безмоторного полета, превышающие мировые рекорды. И.М.Сухомлин на одноместном Сталинце-4 В.Н.Верзилова продержался 38:10 и В.В.Лисицын на двухместном Сталинец-1бис с пассажиром продержался 38:40. Д.А.Кошиц с планера Ш-5 неоднократно передавал на бечевке пищу (438,699).</w:t>
      </w:r>
    </w:p>
    <w:p w14:paraId="55337349" w14:textId="77777777" w:rsidR="00D4105E" w:rsidRPr="00E14102" w:rsidRDefault="00D4105E" w:rsidP="00E14102">
      <w:pPr>
        <w:autoSpaceDE w:val="0"/>
        <w:autoSpaceDN w:val="0"/>
        <w:adjustRightInd w:val="0"/>
        <w:jc w:val="both"/>
        <w:rPr>
          <w:color w:val="000000" w:themeColor="text1"/>
          <w:sz w:val="16"/>
          <w:szCs w:val="16"/>
        </w:rPr>
      </w:pPr>
    </w:p>
    <w:p w14:paraId="31DA91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октября 1935 Г.А.Прокофьев и В.А.Семенов поднялись в открытой гондоле на 9000 м (271,158).</w:t>
      </w:r>
    </w:p>
    <w:p w14:paraId="29188752" w14:textId="77777777" w:rsidR="00D4105E" w:rsidRPr="00E14102" w:rsidRDefault="00D4105E" w:rsidP="00E14102">
      <w:pPr>
        <w:autoSpaceDE w:val="0"/>
        <w:autoSpaceDN w:val="0"/>
        <w:adjustRightInd w:val="0"/>
        <w:jc w:val="both"/>
        <w:rPr>
          <w:color w:val="000000" w:themeColor="text1"/>
          <w:sz w:val="16"/>
          <w:szCs w:val="16"/>
        </w:rPr>
      </w:pPr>
    </w:p>
    <w:p w14:paraId="2D0C1574" w14:textId="77777777" w:rsidR="00386011" w:rsidRPr="00E14102" w:rsidRDefault="00386011"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 октября 1935 года Прокофьев и Семенов совершили полет на сферическом аэростате с открытой гондолой на высоту 9300 метров и приземлились в 80 км от Москвы у деревни Софьино. Это был опытный полет с новым кислородным оборудованием. Кроме того, посадку удалось осуществить с полностью заполненной, почти шарообразной оболочкой. При снижении пилоты впускали в оболочку воздух и смешивали его с газом. В соответствии с заранее разработанным планом часть полета проходила ночью, так как в 1936 году планировалось запустить аэростат для исследования солнечного затмения (19614).</w:t>
      </w:r>
    </w:p>
    <w:p w14:paraId="439FD39D" w14:textId="77777777" w:rsidR="00386011" w:rsidRPr="00E14102" w:rsidRDefault="00386011" w:rsidP="00E14102">
      <w:pPr>
        <w:jc w:val="both"/>
        <w:rPr>
          <w:color w:val="000000" w:themeColor="text1"/>
          <w:sz w:val="16"/>
          <w:szCs w:val="16"/>
        </w:rPr>
      </w:pPr>
    </w:p>
    <w:p w14:paraId="65860B05" w14:textId="77777777" w:rsidR="009C655F" w:rsidRPr="00E14102" w:rsidRDefault="009C655F" w:rsidP="00E14102">
      <w:pPr>
        <w:jc w:val="both"/>
        <w:rPr>
          <w:rStyle w:val="ucoz-forum-post"/>
          <w:rFonts w:eastAsiaTheme="majorEastAsia"/>
          <w:color w:val="000000" w:themeColor="text1"/>
          <w:sz w:val="16"/>
          <w:szCs w:val="16"/>
        </w:rPr>
      </w:pPr>
      <w:r w:rsidRPr="00E14102">
        <w:rPr>
          <w:rStyle w:val="ucoz-forum-post"/>
          <w:rFonts w:eastAsiaTheme="majorEastAsia"/>
          <w:bCs/>
          <w:color w:val="000000" w:themeColor="text1"/>
          <w:sz w:val="16"/>
          <w:szCs w:val="16"/>
        </w:rPr>
        <w:t>2 октября 1935 года</w:t>
      </w:r>
      <w:r w:rsidRPr="00E14102">
        <w:rPr>
          <w:rStyle w:val="ucoz-forum-post"/>
          <w:rFonts w:eastAsiaTheme="majorEastAsia"/>
          <w:color w:val="000000" w:themeColor="text1"/>
          <w:sz w:val="16"/>
          <w:szCs w:val="16"/>
        </w:rPr>
        <w:t xml:space="preserve"> Воздухоплаватели Г.А.Прокофьев и В.А.Семенов поднялись с научной целью в открытой гондоле аэростата на высоту 9300 м (14787).</w:t>
      </w:r>
    </w:p>
    <w:p w14:paraId="6261A89D" w14:textId="77777777" w:rsidR="009C655F" w:rsidRPr="00E14102" w:rsidRDefault="009C655F" w:rsidP="00E14102">
      <w:pPr>
        <w:jc w:val="both"/>
        <w:rPr>
          <w:rStyle w:val="ucoz-forum-post"/>
          <w:rFonts w:eastAsiaTheme="majorEastAsia"/>
          <w:color w:val="000000" w:themeColor="text1"/>
          <w:sz w:val="16"/>
          <w:szCs w:val="16"/>
        </w:rPr>
      </w:pPr>
    </w:p>
    <w:p w14:paraId="71ED0A70" w14:textId="77777777" w:rsidR="00822C46" w:rsidRPr="00E14102" w:rsidRDefault="00822C46" w:rsidP="00E14102">
      <w:pPr>
        <w:jc w:val="both"/>
        <w:rPr>
          <w:color w:val="0070C0"/>
          <w:sz w:val="16"/>
          <w:szCs w:val="16"/>
        </w:rPr>
      </w:pPr>
      <w:r w:rsidRPr="00E14102">
        <w:rPr>
          <w:color w:val="0070C0"/>
          <w:sz w:val="16"/>
          <w:szCs w:val="16"/>
        </w:rPr>
        <w:t>2 октября 1935 г. руководитель кафедры воз</w:t>
      </w:r>
      <w:r w:rsidRPr="00E14102">
        <w:rPr>
          <w:color w:val="0070C0"/>
          <w:sz w:val="16"/>
          <w:szCs w:val="16"/>
        </w:rPr>
        <w:softHyphen/>
        <w:t>духоплавания ВВИА им. профессора Н.Е. Жуков</w:t>
      </w:r>
      <w:r w:rsidRPr="00E14102">
        <w:rPr>
          <w:color w:val="0070C0"/>
          <w:sz w:val="16"/>
          <w:szCs w:val="16"/>
        </w:rPr>
        <w:softHyphen/>
        <w:t>ского В.А. Семёнов вместе с комбригом Г.А. Про</w:t>
      </w:r>
      <w:r w:rsidRPr="00E14102">
        <w:rPr>
          <w:color w:val="0070C0"/>
          <w:sz w:val="16"/>
          <w:szCs w:val="16"/>
        </w:rPr>
        <w:softHyphen/>
        <w:t>кофьевым поднялись в открытой гондоле суб</w:t>
      </w:r>
      <w:r w:rsidRPr="00E14102">
        <w:rPr>
          <w:color w:val="0070C0"/>
          <w:sz w:val="16"/>
          <w:szCs w:val="16"/>
        </w:rPr>
        <w:softHyphen/>
        <w:t>стратостата на высоту 9300 м (20120).</w:t>
      </w:r>
    </w:p>
    <w:p w14:paraId="2DB655D6" w14:textId="77777777" w:rsidR="00822C46" w:rsidRPr="00E14102" w:rsidRDefault="00822C46" w:rsidP="00E14102">
      <w:pPr>
        <w:jc w:val="both"/>
        <w:rPr>
          <w:color w:val="0070C0"/>
          <w:sz w:val="16"/>
          <w:szCs w:val="16"/>
        </w:rPr>
      </w:pPr>
    </w:p>
    <w:p w14:paraId="578E7B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октября 1935 на Плещеевом озере близ Переяславля Залесского начались гос. испытания СВП Левкова Л-1 и продолжались 10 дней. Комиссию по испытаниям возглавлял представитель НИИ ВВС. Шел в озеро 250 м по земле. Достигли скорости до 60 узлов на 3 моторах и 38 узлов - на 2-х. Тухачевский предлагал включить в план опытного строительства 2 машины (3095,33).</w:t>
      </w:r>
    </w:p>
    <w:p w14:paraId="10178B7F" w14:textId="77777777" w:rsidR="00D4105E" w:rsidRPr="00E14102" w:rsidRDefault="00D4105E" w:rsidP="00E14102">
      <w:pPr>
        <w:autoSpaceDE w:val="0"/>
        <w:autoSpaceDN w:val="0"/>
        <w:adjustRightInd w:val="0"/>
        <w:jc w:val="both"/>
        <w:rPr>
          <w:color w:val="000000" w:themeColor="text1"/>
          <w:sz w:val="16"/>
          <w:szCs w:val="16"/>
        </w:rPr>
      </w:pPr>
    </w:p>
    <w:p w14:paraId="724F3211" w14:textId="77777777" w:rsidR="009C655F"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340B973" w14:textId="77777777" w:rsidR="009C655F" w:rsidRPr="00E14102" w:rsidRDefault="009C655F" w:rsidP="00E14102">
      <w:pPr>
        <w:autoSpaceDE w:val="0"/>
        <w:autoSpaceDN w:val="0"/>
        <w:adjustRightInd w:val="0"/>
        <w:jc w:val="both"/>
        <w:rPr>
          <w:iCs/>
          <w:color w:val="000000" w:themeColor="text1"/>
          <w:sz w:val="16"/>
          <w:szCs w:val="16"/>
        </w:rPr>
      </w:pPr>
    </w:p>
    <w:p w14:paraId="4517539C" w14:textId="77777777" w:rsidR="009C655F" w:rsidRPr="00E14102" w:rsidRDefault="009C655F" w:rsidP="00E14102">
      <w:pPr>
        <w:pStyle w:val="rtejustify"/>
        <w:spacing w:before="0" w:after="0"/>
        <w:rPr>
          <w:color w:val="000000" w:themeColor="text1"/>
          <w:sz w:val="16"/>
          <w:szCs w:val="16"/>
        </w:rPr>
      </w:pPr>
      <w:r w:rsidRPr="00E14102">
        <w:rPr>
          <w:rStyle w:val="a6"/>
          <w:bCs/>
          <w:i w:val="0"/>
          <w:color w:val="000000" w:themeColor="text1"/>
          <w:sz w:val="16"/>
          <w:szCs w:val="16"/>
        </w:rPr>
        <w:t>2/5 октября 1935 вышел приказ НКТП № 177с.</w:t>
      </w:r>
      <w:r w:rsidRPr="00E14102">
        <w:rPr>
          <w:color w:val="000000" w:themeColor="text1"/>
          <w:sz w:val="16"/>
          <w:szCs w:val="16"/>
        </w:rPr>
        <w:t xml:space="preserve"> Об обеспечении НКО СССР полевыми механизированными автохлебозаводами типа «ПАХ</w:t>
      </w:r>
      <w:r w:rsidRPr="00E14102">
        <w:rPr>
          <w:color w:val="000000" w:themeColor="text1"/>
          <w:sz w:val="16"/>
          <w:szCs w:val="16"/>
        </w:rPr>
        <w:noBreakHyphen/>
        <w:t>3». (РГАЭ. Ф. 7297. Оп. 38. Д. 171. Л. 273</w:t>
      </w:r>
      <w:r w:rsidRPr="00E14102">
        <w:rPr>
          <w:color w:val="000000" w:themeColor="text1"/>
          <w:sz w:val="16"/>
          <w:szCs w:val="16"/>
        </w:rPr>
        <w:noBreakHyphen/>
        <w:t>271) (15246).</w:t>
      </w:r>
    </w:p>
    <w:p w14:paraId="2AEF518E" w14:textId="77777777" w:rsidR="009C655F" w:rsidRPr="00E14102" w:rsidRDefault="009C655F" w:rsidP="00E14102">
      <w:pPr>
        <w:pStyle w:val="rtejustify"/>
        <w:spacing w:before="0" w:after="0"/>
        <w:rPr>
          <w:color w:val="000000" w:themeColor="text1"/>
          <w:sz w:val="16"/>
          <w:szCs w:val="16"/>
        </w:rPr>
      </w:pPr>
    </w:p>
    <w:p w14:paraId="3A186BC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5ECB904" w14:textId="77777777" w:rsidR="00D4105E" w:rsidRPr="00E14102" w:rsidRDefault="00D4105E" w:rsidP="00E14102">
      <w:pPr>
        <w:autoSpaceDE w:val="0"/>
        <w:autoSpaceDN w:val="0"/>
        <w:adjustRightInd w:val="0"/>
        <w:jc w:val="both"/>
        <w:rPr>
          <w:iCs/>
          <w:color w:val="000000" w:themeColor="text1"/>
          <w:sz w:val="16"/>
          <w:szCs w:val="16"/>
        </w:rPr>
      </w:pPr>
    </w:p>
    <w:p w14:paraId="7582BFF7" w14:textId="77777777" w:rsidR="009C655F" w:rsidRPr="00E14102" w:rsidRDefault="009C655F" w:rsidP="00E14102">
      <w:pPr>
        <w:jc w:val="both"/>
        <w:rPr>
          <w:rStyle w:val="ucoz-forum-post"/>
          <w:rFonts w:eastAsiaTheme="majorEastAsia"/>
          <w:color w:val="000000" w:themeColor="text1"/>
          <w:sz w:val="16"/>
          <w:szCs w:val="16"/>
        </w:rPr>
      </w:pPr>
      <w:r w:rsidRPr="00E14102">
        <w:rPr>
          <w:rStyle w:val="ucoz-forum-post"/>
          <w:rFonts w:eastAsiaTheme="majorEastAsia"/>
          <w:bCs/>
          <w:color w:val="000000" w:themeColor="text1"/>
          <w:sz w:val="16"/>
          <w:szCs w:val="16"/>
        </w:rPr>
        <w:t>2 октября 1935 года</w:t>
      </w:r>
      <w:r w:rsidRPr="00E14102">
        <w:rPr>
          <w:rStyle w:val="ucoz-forum-post"/>
          <w:rFonts w:eastAsiaTheme="majorEastAsia"/>
          <w:color w:val="000000" w:themeColor="text1"/>
          <w:sz w:val="16"/>
          <w:szCs w:val="16"/>
        </w:rPr>
        <w:t xml:space="preserve"> Первый полет скоростного гидроплана Martin-130 China Clipper. Самолет был построен по заказу Pan American Airways. Он мог летать без посадки более 5000 километров с 46 пассажирами, развивая скорость до 300 км/ч. На нём 22 ноября 1935 г. впервые в мире открылись регулярные почтовые рейсы через Тихий океан по маршруту Сан-Франциско — Гавайи — Филиппины. А с 24 октября 1936 г. авиакомпания начала перевозить на этой линии и пассажиров (14787).</w:t>
      </w:r>
    </w:p>
    <w:p w14:paraId="340B6E0D" w14:textId="77777777" w:rsidR="009C655F" w:rsidRPr="00E14102" w:rsidRDefault="009C655F" w:rsidP="00E14102">
      <w:pPr>
        <w:jc w:val="both"/>
        <w:rPr>
          <w:rStyle w:val="ucoz-forum-post"/>
          <w:rFonts w:eastAsiaTheme="majorEastAsia"/>
          <w:color w:val="000000" w:themeColor="text1"/>
          <w:sz w:val="16"/>
          <w:szCs w:val="16"/>
        </w:rPr>
      </w:pPr>
    </w:p>
    <w:p w14:paraId="45CF888E" w14:textId="77777777" w:rsidR="00822C46" w:rsidRPr="00E14102" w:rsidRDefault="00822C46" w:rsidP="00E14102">
      <w:pPr>
        <w:jc w:val="both"/>
        <w:rPr>
          <w:color w:val="0070C0"/>
          <w:sz w:val="16"/>
          <w:szCs w:val="16"/>
        </w:rPr>
      </w:pPr>
      <w:r w:rsidRPr="00E14102">
        <w:rPr>
          <w:color w:val="0070C0"/>
          <w:sz w:val="16"/>
          <w:szCs w:val="16"/>
        </w:rPr>
        <w:t>2 октября 1935 г. 1935 - Первый полёт скоростного гидроплана Martin-130 China Clipper.</w:t>
      </w:r>
    </w:p>
    <w:p w14:paraId="45B6981C" w14:textId="77777777" w:rsidR="00822C46" w:rsidRPr="00E14102" w:rsidRDefault="00822C46" w:rsidP="00E14102">
      <w:pPr>
        <w:jc w:val="both"/>
        <w:rPr>
          <w:color w:val="0070C0"/>
          <w:sz w:val="16"/>
          <w:szCs w:val="16"/>
        </w:rPr>
      </w:pPr>
      <w:r w:rsidRPr="00E14102">
        <w:rPr>
          <w:color w:val="0070C0"/>
          <w:sz w:val="16"/>
          <w:szCs w:val="16"/>
        </w:rPr>
        <w:t>Тогда эта транспортная летающая лодка перевезла из Калифорнии в Манилу 111000 писем. Позднее эти самолёты совершали регулярные рейсы до Гон-Конга, на Гавайи, Филиппины. Для а/к Pan American Airways были построены три самолёта, каждый из которых мог принять на борт до 48 пассажиров для полётов в дневное время; при необходимости салон мог быть переоборудован для полётов в ночное время с установкой спальных мест для 18 пассажиров (22349).</w:t>
      </w:r>
    </w:p>
    <w:p w14:paraId="08F652ED" w14:textId="77777777" w:rsidR="00822C46" w:rsidRPr="00E14102" w:rsidRDefault="00822C46" w:rsidP="00E14102">
      <w:pPr>
        <w:jc w:val="both"/>
        <w:rPr>
          <w:color w:val="0070C0"/>
          <w:sz w:val="16"/>
          <w:szCs w:val="16"/>
        </w:rPr>
      </w:pPr>
    </w:p>
    <w:p w14:paraId="3589C4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октября 1935 Италия ввела войска в Эфиопию (3481).</w:t>
      </w:r>
    </w:p>
    <w:p w14:paraId="013EDCE2" w14:textId="77777777" w:rsidR="00D4105E" w:rsidRPr="00E14102" w:rsidRDefault="00D4105E" w:rsidP="00E14102">
      <w:pPr>
        <w:autoSpaceDE w:val="0"/>
        <w:autoSpaceDN w:val="0"/>
        <w:adjustRightInd w:val="0"/>
        <w:jc w:val="both"/>
        <w:rPr>
          <w:color w:val="000000" w:themeColor="text1"/>
          <w:sz w:val="16"/>
          <w:szCs w:val="16"/>
        </w:rPr>
      </w:pPr>
    </w:p>
    <w:p w14:paraId="63AC8D4F" w14:textId="77777777" w:rsidR="009C655F" w:rsidRPr="00E14102" w:rsidRDefault="009C655F"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2 октября </w:t>
      </w:r>
      <w:r w:rsidRPr="00E14102">
        <w:rPr>
          <w:color w:val="000000" w:themeColor="text1"/>
          <w:sz w:val="16"/>
          <w:szCs w:val="16"/>
        </w:rPr>
        <w:t>в 1935 году войска фашистской Италии вторглись в Абиссинию (14787).</w:t>
      </w:r>
    </w:p>
    <w:p w14:paraId="6DB60D47" w14:textId="77777777" w:rsidR="009C655F" w:rsidRPr="00E14102" w:rsidRDefault="009C655F" w:rsidP="00E14102">
      <w:pPr>
        <w:jc w:val="both"/>
        <w:rPr>
          <w:color w:val="000000" w:themeColor="text1"/>
          <w:sz w:val="16"/>
          <w:szCs w:val="16"/>
        </w:rPr>
      </w:pPr>
    </w:p>
    <w:p w14:paraId="7C28529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1F4E649" w14:textId="77777777" w:rsidR="00D4105E" w:rsidRPr="00E14102" w:rsidRDefault="00D4105E" w:rsidP="00E14102">
      <w:pPr>
        <w:autoSpaceDE w:val="0"/>
        <w:autoSpaceDN w:val="0"/>
        <w:adjustRightInd w:val="0"/>
        <w:jc w:val="both"/>
        <w:rPr>
          <w:iCs/>
          <w:color w:val="000000" w:themeColor="text1"/>
          <w:sz w:val="16"/>
          <w:szCs w:val="16"/>
        </w:rPr>
      </w:pPr>
    </w:p>
    <w:p w14:paraId="1B3355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октября 1935 на ДБА 4М-34РН в ходе заводских испытаний в Щелково летали 1 раза 1:08 и это был полет на замеры скоростей по высотам. Это был 18-й полет (249).</w:t>
      </w:r>
    </w:p>
    <w:p w14:paraId="1B5E9845" w14:textId="77777777" w:rsidR="00D4105E" w:rsidRPr="00E14102" w:rsidRDefault="00D4105E" w:rsidP="00E14102">
      <w:pPr>
        <w:autoSpaceDE w:val="0"/>
        <w:autoSpaceDN w:val="0"/>
        <w:adjustRightInd w:val="0"/>
        <w:jc w:val="both"/>
        <w:rPr>
          <w:color w:val="000000" w:themeColor="text1"/>
          <w:sz w:val="16"/>
          <w:szCs w:val="16"/>
        </w:rPr>
      </w:pPr>
    </w:p>
    <w:p w14:paraId="17044D7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3 октября 1935 года Базилевич писал письмо № 1881/ко в Госплан Межлауку В.И.</w:t>
      </w:r>
    </w:p>
    <w:p w14:paraId="1B1D4D4A"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Согласно резолюции Молотова, препровождаю доклад Алксниса “О результатах госиспытаний Р5-М34Н (Р-ЗЕТ) постройки завода № 1 и срыве плана заказов и плана перевооружения 1935 года по легким бомбардировщикам и разведчикам”, представленный Гамарником.</w:t>
      </w:r>
    </w:p>
    <w:p w14:paraId="4E2ACF0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 № 376307сс/о НКО и № 003909 УВС – на 3 листах (3475,199).</w:t>
      </w:r>
    </w:p>
    <w:p w14:paraId="5B55DDEB"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082F630E"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3 октября 1935 года Базилевич писал письмо № 1889/ко в КПК Березину</w:t>
      </w:r>
    </w:p>
    <w:p w14:paraId="1CF7CC08"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Молотов поручил Вам проверить и представить предложения по докладу С.В.И. об одноместном истребителе.</w:t>
      </w:r>
    </w:p>
    <w:p w14:paraId="695B0E5E"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 № 01/сс на 9 листах. Материал подлежит возврату (3475,204).</w:t>
      </w:r>
    </w:p>
    <w:p w14:paraId="65432694"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5C2BF45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 октября 1935 года вышел Приказ НИИ ВС № 0538 О проведении экспериментального испытания электронного самолета завода № 1 им. Авиахима.</w:t>
      </w:r>
    </w:p>
    <w:p w14:paraId="1D48F7F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Предъявленный электронный самолет с мотором М-48 конструкции и постройки завода № 1 принять на гос. испытания.</w:t>
      </w:r>
    </w:p>
    <w:p w14:paraId="135D49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Работу по испытанию конструкции самолета и лабораторные исследования материалов начать с момента прибытия самолета и провести в течении 60 календарных дней, окончив таковые к 15 декабря 1935 года (6815, 105).</w:t>
      </w:r>
    </w:p>
    <w:p w14:paraId="7CE2F2C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987FC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3 октября по 24 декабря 1935 проводились заводские летные испытания самолета ЦКБ МС-2 - МБР-5 П.Д.Самсонова с мотором "Райт - Циклон" SR-1820-FIII и винтом Гамильтона, предназначенного для разведки баз противника, разведки неприятельского флота и борьбы с подводными лодками (451). Летал 11 минут А.Ульсен после рулежки на воде поднял в воздух и летал 11 минут. Сделали 51 полет прод. 9 час. 8 мин. (1030,27).</w:t>
      </w:r>
    </w:p>
    <w:p w14:paraId="60EFB137" w14:textId="77777777" w:rsidR="00D4105E" w:rsidRPr="00E14102" w:rsidRDefault="00D4105E" w:rsidP="00E14102">
      <w:pPr>
        <w:autoSpaceDE w:val="0"/>
        <w:autoSpaceDN w:val="0"/>
        <w:adjustRightInd w:val="0"/>
        <w:jc w:val="both"/>
        <w:rPr>
          <w:color w:val="000000" w:themeColor="text1"/>
          <w:sz w:val="16"/>
          <w:szCs w:val="16"/>
        </w:rPr>
      </w:pPr>
    </w:p>
    <w:p w14:paraId="666E73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октября 1935 началась рулежка и проверка управляемости машины МБР-5 на воде, а потом был первый 11 мин. полет (2555,69). Летали л 31 завода А.Ульсен и т М.Смаглюк до 24 декабря 1935 (1030,28).</w:t>
      </w:r>
    </w:p>
    <w:p w14:paraId="3654E47C" w14:textId="77777777" w:rsidR="00D4105E" w:rsidRPr="00E14102" w:rsidRDefault="00D4105E" w:rsidP="00E14102">
      <w:pPr>
        <w:autoSpaceDE w:val="0"/>
        <w:autoSpaceDN w:val="0"/>
        <w:adjustRightInd w:val="0"/>
        <w:jc w:val="both"/>
        <w:rPr>
          <w:color w:val="000000" w:themeColor="text1"/>
          <w:sz w:val="16"/>
          <w:szCs w:val="16"/>
        </w:rPr>
      </w:pPr>
    </w:p>
    <w:p w14:paraId="71CE3C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октября 1935 года зам. наркома тяжелой промышленности Пятаков писал письмо № 01/7678с председателю СТО Молотову</w:t>
      </w:r>
    </w:p>
    <w:p w14:paraId="0FE8FB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СТО от 20 декабря 1934 года за № 189сс ГУАП обязан выпустить в 1935 году 25 самолетов МДР-4 с тремя моторами М-34Р.</w:t>
      </w:r>
    </w:p>
    <w:p w14:paraId="780AD7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результате госиспытаний (акт от УВС получен 5 августа 1935 года) выявлен ряд мелких и средних дефектов, устранение которых требует большого числа переделок (подлежат изменению 2000 чертежей). В числе дефектов имеется два серьезных – изменение центровки самолета и плохая остойчивость на воде. Сейчас еще не найдены пути устранения этих двух дефектов, для чего требуется проведение экспериментов. После устранения всех дефектов самолет должен пройти вновь госиспытание.</w:t>
      </w:r>
    </w:p>
    <w:p w14:paraId="5309DF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к настоящему времени уже имеется опоздание против намеченного плана с госиспытаниями и доводкой конструкции по меньшей мере на полгода.</w:t>
      </w:r>
    </w:p>
    <w:p w14:paraId="3CDDC9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докладываю состояние производства самолета МДР-4 на заводе № 31 по агрегатам.</w:t>
      </w:r>
    </w:p>
    <w:p w14:paraId="2377A2B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Лодка</w:t>
      </w:r>
    </w:p>
    <w:p w14:paraId="3FA90A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Первая лодка находится в цеху окончательной сборки.</w:t>
      </w:r>
    </w:p>
    <w:p w14:paraId="52F2DB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Вторая и третья лодки сняты со стапеля и обшиваются.</w:t>
      </w:r>
    </w:p>
    <w:p w14:paraId="49E639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4-5-6 лодки находятся в стапелях – готовность их 40%.</w:t>
      </w:r>
    </w:p>
    <w:p w14:paraId="20325C2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Центроплан</w:t>
      </w:r>
    </w:p>
    <w:p w14:paraId="470527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комплект в сборке готовностью 75%.</w:t>
      </w:r>
    </w:p>
    <w:p w14:paraId="2BBD6E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2-й комплект – собирается, готовность – 30%.</w:t>
      </w:r>
    </w:p>
    <w:p w14:paraId="1D41129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Крыло</w:t>
      </w:r>
    </w:p>
    <w:p w14:paraId="647365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комплект находится в сборке – готовность 80%.</w:t>
      </w:r>
    </w:p>
    <w:p w14:paraId="3A126A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2-й комплект – закладывается в стапель.</w:t>
      </w:r>
    </w:p>
    <w:p w14:paraId="6F9A4F0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Оперение</w:t>
      </w:r>
    </w:p>
    <w:p w14:paraId="0DD719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комплекты готовы.</w:t>
      </w:r>
    </w:p>
    <w:p w14:paraId="100038F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Поплавки</w:t>
      </w:r>
    </w:p>
    <w:p w14:paraId="739559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комплекта готовы и 2 комплекты находятся на обшивке палубы и днищ.</w:t>
      </w:r>
    </w:p>
    <w:p w14:paraId="43978F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Задержки в развертывании производства произошли вследствие:</w:t>
      </w:r>
    </w:p>
    <w:p w14:paraId="286A8D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опоздания госиспытаний на 9-10 м (производство начато с начала текущего года);</w:t>
      </w:r>
    </w:p>
    <w:p w14:paraId="1ACB13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необходимости большого числа переделок конструкции, даже в соответствующем заделе;</w:t>
      </w:r>
    </w:p>
    <w:p w14:paraId="7BC358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наличия неустраненных серьезных дефектов (центровка и остойчивость);</w:t>
      </w:r>
    </w:p>
    <w:p w14:paraId="10157D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отсутствие у завода опыта производства технически очень сложной большой трехмоторной морской машины.</w:t>
      </w:r>
    </w:p>
    <w:p w14:paraId="236F35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вышеуказанного и учитывая, что море не позволит провести испытание всех 25 самолетов в 1935 году, прошу утвердить нижеследующие мероприятия:</w:t>
      </w:r>
    </w:p>
    <w:p w14:paraId="7C5FBFD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Утвердить программу по выпуску самолетов МДР-4 в 1935 году в количестве 5 самолетов.</w:t>
      </w:r>
    </w:p>
    <w:p w14:paraId="0050D4F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Выпуск и сдачу остальных 20 самолетов перенести на I квартал 1936 года.</w:t>
      </w:r>
    </w:p>
    <w:p w14:paraId="38069A1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Ввиду значительного накопления материальных ценностей (незавершенное производство) мотора, материалы, приборы и др., а также переноса сдачи самолетов на будущий год установить промежуточные платежи, как аванс, за счет сметы УВС РККА в размере 75% ориентировочной стоимости 20 самолетов, включая полную стоимость моторов с последующим окончанием расчетов после сдачи самолетов.</w:t>
      </w:r>
    </w:p>
    <w:p w14:paraId="70522B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Указанные платежи необходимо произвести для бесперебойной работы завода:</w:t>
      </w:r>
    </w:p>
    <w:p w14:paraId="1B4BE5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 октябре – 4 млн. руб.,</w:t>
      </w:r>
    </w:p>
    <w:p w14:paraId="49A4B9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 ноябре – 4 млн. руб.,</w:t>
      </w:r>
    </w:p>
    <w:p w14:paraId="4F63E9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 декабре – 2 млн. руб.</w:t>
      </w:r>
    </w:p>
    <w:p w14:paraId="470B3D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10 млн. руб., из нижеследующего расчета:</w:t>
      </w:r>
    </w:p>
    <w:p w14:paraId="153973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самолетов х 500 тыс. руб. = 10 млн. руб. Х 75% = 7,5 млн. руб.</w:t>
      </w:r>
    </w:p>
    <w:p w14:paraId="580559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 моторов х 40 тыс. руб. = 2,4 млн. руб.</w:t>
      </w:r>
    </w:p>
    <w:p w14:paraId="6039D6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 9,9 млн. руб.</w:t>
      </w:r>
    </w:p>
    <w:p w14:paraId="25ED9CD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Так как моторы М-34Р прекращаются производством в текущем году, переконструировать самолет МДР-4 под моторы М-34РН ( с наддувом), что улучшит летно-технические данные самолета (увеличение скорости с 230 км/час до 270 км/час и высотности в 2000 до 3500 метров), предрешив поставку самолетов с наддувом по заказу 1936 года во втором полугодии.</w:t>
      </w:r>
    </w:p>
    <w:p w14:paraId="27A5BB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Предложение: проект постановления СТО (3475,88-89).</w:t>
      </w:r>
    </w:p>
    <w:p w14:paraId="1C28DBDB" w14:textId="77777777" w:rsidR="00D4105E" w:rsidRPr="00E14102" w:rsidRDefault="00D4105E" w:rsidP="00E14102">
      <w:pPr>
        <w:autoSpaceDE w:val="0"/>
        <w:autoSpaceDN w:val="0"/>
        <w:adjustRightInd w:val="0"/>
        <w:jc w:val="both"/>
        <w:rPr>
          <w:color w:val="000000" w:themeColor="text1"/>
          <w:sz w:val="16"/>
          <w:szCs w:val="16"/>
        </w:rPr>
      </w:pPr>
    </w:p>
    <w:p w14:paraId="668734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октября 1935 на планерных состязаниях в Крыму Д.А.Кошиц на Ш-5 с 2 пассажирами продержался 11:30 и достиг высоты 525 м, М.К.Рценская на Ш-5бис продержалась 15:39, а Е.И.Зеленкова на Ш-5 с пассажиром продержалась 12:09 (438,700).</w:t>
      </w:r>
    </w:p>
    <w:p w14:paraId="6BEF5733" w14:textId="77777777" w:rsidR="00D4105E" w:rsidRPr="00E14102" w:rsidRDefault="00D4105E" w:rsidP="00E14102">
      <w:pPr>
        <w:autoSpaceDE w:val="0"/>
        <w:autoSpaceDN w:val="0"/>
        <w:adjustRightInd w:val="0"/>
        <w:jc w:val="both"/>
        <w:rPr>
          <w:color w:val="000000" w:themeColor="text1"/>
          <w:sz w:val="16"/>
          <w:szCs w:val="16"/>
        </w:rPr>
      </w:pPr>
    </w:p>
    <w:p w14:paraId="57F133D1" w14:textId="77777777" w:rsidR="009C655F" w:rsidRPr="00E14102" w:rsidRDefault="009C655F"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3 октября </w:t>
      </w:r>
      <w:r w:rsidRPr="00E14102">
        <w:rPr>
          <w:color w:val="000000" w:themeColor="text1"/>
          <w:sz w:val="16"/>
          <w:szCs w:val="16"/>
        </w:rPr>
        <w:t>в 1935 году мировой рекорд продолжительности полета для двухместных и одноместных планеров - 38 ч. 40 мин., В.В.Лисицын на планере "Сталинец-2бис" с пассажиром Доля;</w:t>
      </w:r>
    </w:p>
    <w:p w14:paraId="5B5DAF2B" w14:textId="77777777" w:rsidR="009C655F" w:rsidRPr="00E14102" w:rsidRDefault="009C655F" w:rsidP="00E14102">
      <w:pPr>
        <w:jc w:val="both"/>
        <w:rPr>
          <w:color w:val="000000" w:themeColor="text1"/>
          <w:sz w:val="16"/>
          <w:szCs w:val="16"/>
        </w:rPr>
      </w:pPr>
    </w:p>
    <w:p w14:paraId="3415E115" w14:textId="77777777" w:rsidR="009C655F" w:rsidRPr="00E14102" w:rsidRDefault="009C655F" w:rsidP="00E14102">
      <w:pPr>
        <w:jc w:val="both"/>
        <w:rPr>
          <w:color w:val="000000" w:themeColor="text1"/>
          <w:sz w:val="16"/>
          <w:szCs w:val="16"/>
        </w:rPr>
      </w:pPr>
      <w:r w:rsidRPr="00E14102">
        <w:rPr>
          <w:rStyle w:val="ucoz-forum-post"/>
          <w:rFonts w:eastAsiaTheme="majorEastAsia"/>
          <w:bCs/>
          <w:color w:val="000000" w:themeColor="text1"/>
          <w:sz w:val="16"/>
          <w:szCs w:val="16"/>
        </w:rPr>
        <w:t>3 октября 1935 года</w:t>
      </w:r>
      <w:r w:rsidRPr="00E14102">
        <w:rPr>
          <w:rStyle w:val="ucoz-forum-post"/>
          <w:rFonts w:eastAsiaTheme="majorEastAsia"/>
          <w:color w:val="000000" w:themeColor="text1"/>
          <w:sz w:val="16"/>
          <w:szCs w:val="16"/>
        </w:rPr>
        <w:t xml:space="preserve"> Мировой рекорд продолжительности полета для двухместных и одноместных планеров - 38 ч. 40 мин., планерист В.В.Лисицын на планере "Сталинец-2бис" с пассажиром Доля.</w:t>
      </w:r>
    </w:p>
    <w:p w14:paraId="4668C203" w14:textId="77777777" w:rsidR="009C655F" w:rsidRPr="00E14102" w:rsidRDefault="009C655F" w:rsidP="00E14102">
      <w:pPr>
        <w:jc w:val="both"/>
        <w:rPr>
          <w:rStyle w:val="ucoz-forum-post"/>
          <w:rFonts w:eastAsiaTheme="majorEastAsia"/>
          <w:color w:val="000000" w:themeColor="text1"/>
          <w:sz w:val="16"/>
          <w:szCs w:val="16"/>
        </w:rPr>
      </w:pPr>
      <w:r w:rsidRPr="00E14102">
        <w:rPr>
          <w:rStyle w:val="ucoz-forum-post"/>
          <w:rFonts w:eastAsiaTheme="majorEastAsia"/>
          <w:color w:val="000000" w:themeColor="text1"/>
          <w:sz w:val="16"/>
          <w:szCs w:val="16"/>
        </w:rPr>
        <w:t>Одноместный фигурно-тренировочный буксирный планер «Сталинец-1» был построен в 1934 году. Конструктор – П.А.Еремеев. Планер прилетел из Ейска в Коктебель на буксире, но к полётам на слёте допущен не был.</w:t>
      </w:r>
    </w:p>
    <w:p w14:paraId="3BE7CFB2" w14:textId="77777777" w:rsidR="009C655F" w:rsidRPr="00E14102" w:rsidRDefault="009C655F" w:rsidP="00E14102">
      <w:pPr>
        <w:jc w:val="both"/>
        <w:rPr>
          <w:rStyle w:val="ucoz-forum-post"/>
          <w:rFonts w:eastAsiaTheme="majorEastAsia"/>
          <w:color w:val="000000" w:themeColor="text1"/>
          <w:sz w:val="16"/>
          <w:szCs w:val="16"/>
        </w:rPr>
      </w:pPr>
      <w:r w:rsidRPr="00E14102">
        <w:rPr>
          <w:rStyle w:val="ucoz-forum-post"/>
          <w:rFonts w:eastAsiaTheme="majorEastAsia"/>
          <w:color w:val="000000" w:themeColor="text1"/>
          <w:sz w:val="16"/>
          <w:szCs w:val="16"/>
        </w:rPr>
        <w:t>Двухместный планер рекордного типа «Сталинец-2» был построен кустарным способом в июне-сентябре 1934 года. Конструктор – В.Н.Верзилов. 18-19 октября 1934 года (уже после окончания слёта) И.М.Сухомлин на этом планере установил всесоюзный рекорд продолжительности полёта на двухместном планере – 24 часа 10 минут. Этот рекорд превышал мировое достижение (но не был зарегистрирован, т.к. СССР ещё не входил в FAI).</w:t>
      </w:r>
    </w:p>
    <w:p w14:paraId="4717BB00" w14:textId="77777777" w:rsidR="009C655F" w:rsidRPr="00E14102" w:rsidRDefault="009C655F" w:rsidP="00E14102">
      <w:pPr>
        <w:jc w:val="both"/>
        <w:rPr>
          <w:rStyle w:val="ucoz-forum-post"/>
          <w:rFonts w:eastAsiaTheme="majorEastAsia"/>
          <w:color w:val="000000" w:themeColor="text1"/>
          <w:sz w:val="16"/>
          <w:szCs w:val="16"/>
        </w:rPr>
      </w:pPr>
      <w:r w:rsidRPr="00E14102">
        <w:rPr>
          <w:rStyle w:val="ucoz-forum-post"/>
          <w:rFonts w:eastAsiaTheme="majorEastAsia"/>
          <w:color w:val="000000" w:themeColor="text1"/>
          <w:sz w:val="16"/>
          <w:szCs w:val="16"/>
        </w:rPr>
        <w:t>Ещё через год, в XI Всесоюзных планерных состязаниях, проходивших с 6 сентября по 6 октября 1935 года, участвовали уже три планера из Ейска.</w:t>
      </w:r>
    </w:p>
    <w:p w14:paraId="746DD8F2" w14:textId="77777777" w:rsidR="009C655F" w:rsidRPr="00E14102" w:rsidRDefault="009C655F" w:rsidP="00E14102">
      <w:pPr>
        <w:jc w:val="both"/>
        <w:rPr>
          <w:rStyle w:val="ucoz-forum-post"/>
          <w:rFonts w:eastAsiaTheme="majorEastAsia"/>
          <w:color w:val="000000" w:themeColor="text1"/>
          <w:sz w:val="16"/>
          <w:szCs w:val="16"/>
        </w:rPr>
      </w:pPr>
      <w:r w:rsidRPr="00E14102">
        <w:rPr>
          <w:rStyle w:val="ucoz-forum-post"/>
          <w:rFonts w:eastAsiaTheme="majorEastAsia"/>
          <w:color w:val="000000" w:themeColor="text1"/>
          <w:sz w:val="16"/>
          <w:szCs w:val="16"/>
        </w:rPr>
        <w:t>Двухместный рекордно-буксировочный планер «Сталинец-2бис» был построен в 1935 году. Конструктор – В.Н.Верзилов. Являлся модификацией планера «Сталинец-2». 2-3 октября 1935 года В.В.Лисицын и пассажир Б.Доля на этом планере превысил мировой рекорд продолжительности полёта для двухместного планера, показав время 38 часов 40 минут. Однако рекорд был зафиксирован только как всесоюзный, т.к. СССР ещё не входил в FAI (14788).</w:t>
      </w:r>
    </w:p>
    <w:p w14:paraId="3528B5F9" w14:textId="77777777" w:rsidR="009C655F" w:rsidRPr="00E14102" w:rsidRDefault="009C655F" w:rsidP="00E14102">
      <w:pPr>
        <w:jc w:val="both"/>
        <w:rPr>
          <w:rStyle w:val="ucoz-forum-post"/>
          <w:rFonts w:eastAsiaTheme="majorEastAsia"/>
          <w:color w:val="000000" w:themeColor="text1"/>
          <w:sz w:val="16"/>
          <w:szCs w:val="16"/>
        </w:rPr>
      </w:pPr>
    </w:p>
    <w:p w14:paraId="75D9E73F" w14:textId="77777777" w:rsidR="009C655F" w:rsidRPr="00E14102" w:rsidRDefault="009C655F" w:rsidP="00E14102">
      <w:pPr>
        <w:jc w:val="both"/>
        <w:rPr>
          <w:color w:val="000000" w:themeColor="text1"/>
          <w:sz w:val="16"/>
          <w:szCs w:val="16"/>
        </w:rPr>
      </w:pPr>
      <w:r w:rsidRPr="00E14102">
        <w:rPr>
          <w:color w:val="000000" w:themeColor="text1"/>
          <w:sz w:val="16"/>
          <w:szCs w:val="16"/>
        </w:rPr>
        <w:t>3 октября 1935 г. в письме № 1581/с Комиссии советского контроля при СНК СССР начальнику ГУГВФ И.Ф.Ткачеву, где шла речь о перерасходе средств и систематическом невыполнении годовых планов, был сделан вывод о том, что «указанные факты являются результатами плохого руководства со стороны ГУГВФ» [13, л. 10-11]. Планы, поставленные перед советским дирижаблестроением на 1933 и 1934 гг. было невозможно выполнить по причинам, в основном не зависящим от Дирижаблестроя. Годовые планы Дирижаблестроя на 1933 и 1934 гг. составлялись и утверждались с большим опозданием: на целый квартал в 1933 г. и на 3 месяца в 1934 г. Планы отдельных подразделений не были в достаточной степени увязаны между собой [8, л.1-2; 15; 14, л.5, л.38-39]. Отсутствовала или была недостроена необходимая производственная инфраструктура [13, л.1-2; 7-10; 14, л. 38-39], имело место недофинансирование [8, л.1-2; 14, л. 38-39]. Условия труда и жизни большей части сотрудников были не просто тяжелыми, а невыносимыми. Около 300-400 семей сотрудников Дирижаблестроя  к 1935 г. нуждалось в жилплощади [13, л. 10-11]. Всё это порождало большую текучесть кадров [8, л.1-2; 13, л. 10-11; 14. л.71]. В 1934 г. на работу в Дирижаблестрой было принято 1500 человек, а уволено 1000 человек [13, л. 10-11]. При крайне неблагоприятных условиях Дирижаблестрой в основном справился с главной задачей этого периода - приобрел опыт проектирования, производства и эксплуатации полужестких дирижаблей. Огромную роль в этом сыграл самоотверженный труд молодых советских инженеров, к числу наиболее выдающихся из которых принадлежал Б.А. Гарф. «Гарф - наш лучший инженер», - признавал У.Нобиле еще в 1933 г. [4, л. 220]. К концу рассматриваемого периода дирижаблестроение в СССР имело большие перспективы в связи с применением дирижаблей в транспорте, других отраслях экономики, в области обороны. В наши дни, когда в России возобновилась деятельность по проектированию, строительству и эксплуатации дирижаблей, опыт советского дирижаблестроения 1930-х - 1940-х гг. может принести огромную пользу, помогая избежать ошибок прошлого и облегчить путь к новым достижениям (15797).</w:t>
      </w:r>
    </w:p>
    <w:p w14:paraId="43895B44" w14:textId="77777777" w:rsidR="009C655F" w:rsidRPr="00E14102" w:rsidRDefault="009C655F" w:rsidP="00E14102">
      <w:pPr>
        <w:jc w:val="both"/>
        <w:rPr>
          <w:color w:val="000000" w:themeColor="text1"/>
          <w:sz w:val="16"/>
          <w:szCs w:val="16"/>
        </w:rPr>
      </w:pPr>
    </w:p>
    <w:p w14:paraId="077F117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0CD4923" w14:textId="77777777" w:rsidR="00D4105E" w:rsidRPr="00E14102" w:rsidRDefault="00D4105E" w:rsidP="00E14102">
      <w:pPr>
        <w:autoSpaceDE w:val="0"/>
        <w:autoSpaceDN w:val="0"/>
        <w:adjustRightInd w:val="0"/>
        <w:jc w:val="both"/>
        <w:rPr>
          <w:iCs/>
          <w:color w:val="000000" w:themeColor="text1"/>
          <w:sz w:val="16"/>
          <w:szCs w:val="16"/>
        </w:rPr>
      </w:pPr>
    </w:p>
    <w:p w14:paraId="4E7B8D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3 и 9 октября 1935. Протокол заседания Политбюро № 34, 1935 г.</w:t>
      </w:r>
    </w:p>
    <w:p w14:paraId="74FC7D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курорте Сочи—Мацеста</w:t>
      </w:r>
    </w:p>
    <w:p w14:paraId="15643A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целях максимального сохранения естественных свойств мацестинской воды и покрытия выросшей потребности курорта Сочи—Мацеста в лечебных ваннах СНК СССР постановляет: </w:t>
      </w:r>
    </w:p>
    <w:p w14:paraId="411E74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Строительство ванных зданий сосредоточить непосредственно у источников (Старая Мацеста и Агур). В новых зданиях предусмотреть, чтобы вода подавалась чистой и доброкачественной, кабины были бы устроены удобно, с фаянсовыми ваннами, без излишней роскоши. </w:t>
      </w:r>
    </w:p>
    <w:p w14:paraId="487646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 xml:space="preserve">2. Обязать Наркомздрав РСФСР немедленно приступить к строительству двух ванных зданий, из которых одно — на Старой Мацесте на 70 ванн стоимостью 5 млн рублей и другое — в Агурском ущелье на 100 ванн стоимостью 6,5 млн рублей. </w:t>
      </w:r>
    </w:p>
    <w:p w14:paraId="7C68A1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3. Ванное отделение на Старой Мацесте сдать в эксплуатацию в 1936 г., ванное здание на Агуре строить двумя очередями, первую очередь на 50 кабин сдать в эксплуатацию в 1937 г. </w:t>
      </w:r>
    </w:p>
    <w:p w14:paraId="54F57A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4. Наркомздраву на базе ванного здания на Новой Мацесте и 7-го санатория организовать клинический институт. </w:t>
      </w:r>
    </w:p>
    <w:p w14:paraId="6877E9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5. Наркомздраву организовать надлежащее медицинское обслуживание больных, лечащихся мацестинскими ваннами, и установить строжайший контроль за постановкой лечебного дела во всех санаториях, включая ведомственные. </w:t>
      </w:r>
    </w:p>
    <w:p w14:paraId="5B486C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6. Предусмотреть в плане 1936 года необходимые ассигнования на строительство обоих ванных зданий и организацию клинического института. Средства ассигновать за счет нераспределенного между республиками остатка капиталовложений по статье здравоохранения на 1936 год. Госплану Союза обеспечить строительство всеми необходимыми строительными материалами, а Наркомлегпрому изготовить необходимые фаянсовые ванны. </w:t>
      </w:r>
    </w:p>
    <w:p w14:paraId="046797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Расширить существующую дорогу от Мацесты до Агура по типу Сочинской дороги, построив через Мацестинский овраг мост, с окончанием дорожного строительства в 1936 году, а моста — не позднее 1 июня 1937 года. Кроме того, по Агурскому ущелью построить дорогу шириной 8 метров до будущего ванного здания на Агурском источнике с окончанием строительства этой дороги в 1936 году (11652).</w:t>
      </w:r>
    </w:p>
    <w:p w14:paraId="15255DB7" w14:textId="77777777" w:rsidR="00D4105E" w:rsidRPr="00E14102" w:rsidRDefault="00D4105E" w:rsidP="00E14102">
      <w:pPr>
        <w:autoSpaceDE w:val="0"/>
        <w:autoSpaceDN w:val="0"/>
        <w:adjustRightInd w:val="0"/>
        <w:jc w:val="both"/>
        <w:rPr>
          <w:color w:val="000000" w:themeColor="text1"/>
          <w:sz w:val="16"/>
          <w:szCs w:val="16"/>
        </w:rPr>
      </w:pPr>
    </w:p>
    <w:p w14:paraId="5588F4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3 и 9 октября 1935. Протокол заседания Политбюро № 34, 1935 г.</w:t>
      </w:r>
    </w:p>
    <w:p w14:paraId="02073D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 Автодоре</w:t>
      </w:r>
    </w:p>
    <w:p w14:paraId="6AD08E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Добровольное общество Автодор (Общество содействия развитию автомобилизма и улучшению дорог), организованное в период, когда СССР не обладал автомобильной промышленностью и сколько-нибудь развитым автотранспортом, когда дело дорожного строительства находилось в зачаточном состоянии, провело положительную работу по организации общественного содействия внедрению автомобиля и строительства дорог. </w:t>
      </w:r>
    </w:p>
    <w:p w14:paraId="5DE68E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Создание автомобильных заводов, значительная насыщенность страны автомобилями, необходимость решительного улучшения качества дорог требуют, с одной стороны, более четкой работы государственных органов, а с другой стороны, значительного расширения общественных форм работы по освоению управления автомобилем, по развитию культуры автомобилизма среди широких трудящихся масс. </w:t>
      </w:r>
    </w:p>
    <w:p w14:paraId="70F1AB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этих условиях общество Автодор не смогло справиться с возросшими потребностями рабочих и трудящихся Союза, в результате чего Автодор начал терять своих членов и прибегать (в особенности местные органы) для пополнения средств к нездоровой коммерческой деятельности. </w:t>
      </w:r>
    </w:p>
    <w:p w14:paraId="024992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Исходя из необходимости дальнейшего усиления культуры автомобилизма в стране, ЦК ВКП(б) постановляет: </w:t>
      </w:r>
    </w:p>
    <w:p w14:paraId="5B7855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Общество Автодор ликвидировать. </w:t>
      </w:r>
    </w:p>
    <w:p w14:paraId="32751B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При Всесоюзном совете физической культуры и местных советах физкультуры создать автомобильные секции (11652).</w:t>
      </w:r>
    </w:p>
    <w:p w14:paraId="51A5E105" w14:textId="77777777" w:rsidR="00D4105E" w:rsidRPr="00E14102" w:rsidRDefault="00D4105E" w:rsidP="00E14102">
      <w:pPr>
        <w:autoSpaceDE w:val="0"/>
        <w:autoSpaceDN w:val="0"/>
        <w:adjustRightInd w:val="0"/>
        <w:jc w:val="both"/>
        <w:rPr>
          <w:color w:val="000000" w:themeColor="text1"/>
          <w:sz w:val="16"/>
          <w:szCs w:val="16"/>
        </w:rPr>
      </w:pPr>
    </w:p>
    <w:p w14:paraId="63B65A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3 и 9 октября 1935. Протокол заседания Политбюро № 34, 1935 г.</w:t>
      </w:r>
    </w:p>
    <w:p w14:paraId="65BCB5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 покупке в САСШ фильма Чарли Чаплина </w:t>
      </w:r>
    </w:p>
    <w:p w14:paraId="139E21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Разрешить Главному управлению фотокинопромышленности купить в САСШ фильм Чарли Чаплина "Новые времена" (11652).</w:t>
      </w:r>
    </w:p>
    <w:p w14:paraId="3468776D" w14:textId="77777777" w:rsidR="00D4105E" w:rsidRPr="00E14102" w:rsidRDefault="00D4105E" w:rsidP="00E14102">
      <w:pPr>
        <w:autoSpaceDE w:val="0"/>
        <w:autoSpaceDN w:val="0"/>
        <w:adjustRightInd w:val="0"/>
        <w:jc w:val="both"/>
        <w:rPr>
          <w:color w:val="000000" w:themeColor="text1"/>
          <w:sz w:val="16"/>
          <w:szCs w:val="16"/>
        </w:rPr>
      </w:pPr>
    </w:p>
    <w:p w14:paraId="26BA650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7C325AB" w14:textId="77777777" w:rsidR="00D4105E" w:rsidRPr="00E14102" w:rsidRDefault="00D4105E" w:rsidP="00E14102">
      <w:pPr>
        <w:autoSpaceDE w:val="0"/>
        <w:autoSpaceDN w:val="0"/>
        <w:adjustRightInd w:val="0"/>
        <w:jc w:val="both"/>
        <w:rPr>
          <w:iCs/>
          <w:color w:val="000000" w:themeColor="text1"/>
          <w:sz w:val="16"/>
          <w:szCs w:val="16"/>
        </w:rPr>
      </w:pPr>
    </w:p>
    <w:p w14:paraId="087E62AD" w14:textId="77777777" w:rsidR="00822C46" w:rsidRPr="00E14102" w:rsidRDefault="00822C46" w:rsidP="00E14102">
      <w:pPr>
        <w:pStyle w:val="ad"/>
        <w:spacing w:before="0" w:after="0"/>
        <w:rPr>
          <w:rFonts w:ascii="Times New Roman" w:hAnsi="Times New Roman" w:cs="Times New Roman"/>
          <w:color w:val="0070C0"/>
          <w:sz w:val="16"/>
          <w:szCs w:val="16"/>
          <w:lang w:val="ru-RU"/>
        </w:rPr>
      </w:pPr>
      <w:r w:rsidRPr="00E14102">
        <w:rPr>
          <w:rFonts w:ascii="Times New Roman" w:hAnsi="Times New Roman" w:cs="Times New Roman"/>
          <w:color w:val="0070C0"/>
          <w:sz w:val="16"/>
          <w:szCs w:val="16"/>
          <w:lang w:val="ru-RU"/>
        </w:rPr>
        <w:t>3 октября 1935 г. итальянская армия под командованием генерала Э. де Боно (1866-1944), вооруженная танками, самолетами, артиллерией,</w:t>
      </w:r>
      <w:r w:rsidRPr="00E14102">
        <w:rPr>
          <w:rFonts w:ascii="Times New Roman" w:hAnsi="Times New Roman" w:cs="Times New Roman"/>
          <w:color w:val="0070C0"/>
          <w:sz w:val="16"/>
          <w:szCs w:val="16"/>
        </w:rPr>
        <w:t> </w:t>
      </w:r>
      <w:hyperlink r:id="rId202" w:history="1">
        <w:r w:rsidRPr="00E14102">
          <w:rPr>
            <w:rStyle w:val="a4"/>
            <w:rFonts w:ascii="Times New Roman" w:eastAsiaTheme="majorEastAsia" w:hAnsi="Times New Roman" w:cs="Times New Roman"/>
            <w:color w:val="0070C0"/>
            <w:sz w:val="16"/>
            <w:szCs w:val="16"/>
            <w:lang w:val="ru-RU"/>
          </w:rPr>
          <w:t>вторглась на территорию Эфиопии</w:t>
        </w:r>
      </w:hyperlink>
      <w:r w:rsidRPr="00E14102">
        <w:rPr>
          <w:rFonts w:ascii="Times New Roman" w:hAnsi="Times New Roman" w:cs="Times New Roman"/>
          <w:color w:val="0070C0"/>
          <w:sz w:val="16"/>
          <w:szCs w:val="16"/>
          <w:lang w:val="ru-RU"/>
        </w:rPr>
        <w:t>. Ей противостояла эфиопская армия под командованием императора (негуса)</w:t>
      </w:r>
      <w:r w:rsidRPr="00E14102">
        <w:rPr>
          <w:rFonts w:ascii="Times New Roman" w:hAnsi="Times New Roman" w:cs="Times New Roman"/>
          <w:color w:val="0070C0"/>
          <w:sz w:val="16"/>
          <w:szCs w:val="16"/>
        </w:rPr>
        <w:t> </w:t>
      </w:r>
      <w:hyperlink r:id="rId203" w:history="1">
        <w:r w:rsidRPr="00E14102">
          <w:rPr>
            <w:rStyle w:val="a4"/>
            <w:rFonts w:ascii="Times New Roman" w:eastAsiaTheme="majorEastAsia" w:hAnsi="Times New Roman" w:cs="Times New Roman"/>
            <w:color w:val="0070C0"/>
            <w:sz w:val="16"/>
            <w:szCs w:val="16"/>
            <w:lang w:val="ru-RU"/>
          </w:rPr>
          <w:t>Хайле Селассие</w:t>
        </w:r>
      </w:hyperlink>
      <w:r w:rsidRPr="00E14102">
        <w:rPr>
          <w:rFonts w:ascii="Times New Roman" w:hAnsi="Times New Roman" w:cs="Times New Roman"/>
          <w:color w:val="0070C0"/>
          <w:sz w:val="16"/>
          <w:szCs w:val="16"/>
        </w:rPr>
        <w:t> I</w:t>
      </w:r>
      <w:r w:rsidRPr="00E14102">
        <w:rPr>
          <w:rFonts w:ascii="Times New Roman" w:hAnsi="Times New Roman" w:cs="Times New Roman"/>
          <w:color w:val="0070C0"/>
          <w:sz w:val="16"/>
          <w:szCs w:val="16"/>
          <w:lang w:val="ru-RU"/>
        </w:rPr>
        <w:t xml:space="preserve"> (в переводе с ахмарского «Сила Троицы»), сформированная из плохо вооруженных и необученных отрядов ополченцев. Регулярные части абиссинцев насчитывали всего 10 тыс. человек, обученных шведскими, норвежскими и бельгийскими офицерами.</w:t>
      </w:r>
    </w:p>
    <w:p w14:paraId="739C2C29" w14:textId="77777777" w:rsidR="00822C46" w:rsidRPr="00E14102" w:rsidRDefault="00822C46" w:rsidP="00E14102">
      <w:pPr>
        <w:pStyle w:val="ad"/>
        <w:spacing w:before="0" w:after="0"/>
        <w:rPr>
          <w:rFonts w:ascii="Times New Roman" w:hAnsi="Times New Roman" w:cs="Times New Roman"/>
          <w:color w:val="0070C0"/>
          <w:sz w:val="16"/>
          <w:szCs w:val="16"/>
          <w:lang w:val="ru-RU"/>
        </w:rPr>
      </w:pPr>
      <w:r w:rsidRPr="00E14102">
        <w:rPr>
          <w:rFonts w:ascii="Times New Roman" w:hAnsi="Times New Roman" w:cs="Times New Roman"/>
          <w:color w:val="0070C0"/>
          <w:sz w:val="16"/>
          <w:szCs w:val="16"/>
          <w:lang w:val="ru-RU"/>
        </w:rPr>
        <w:t>Во избежание внешнеполитических осложнений итальянцы не планировали вести войну с применением химического оружия. Проявлением сдержанности в выборе средств и способов ведения войны итальянское командование планировало ослабить энергию противодействия Соединенного Королевства и Лиги Наций.</w:t>
      </w:r>
    </w:p>
    <w:p w14:paraId="49570C44" w14:textId="77777777" w:rsidR="00822C46" w:rsidRPr="00E14102" w:rsidRDefault="00822C46" w:rsidP="00E14102">
      <w:pPr>
        <w:pStyle w:val="ad"/>
        <w:spacing w:before="0" w:after="0"/>
        <w:rPr>
          <w:rFonts w:ascii="Times New Roman" w:hAnsi="Times New Roman" w:cs="Times New Roman"/>
          <w:color w:val="0070C0"/>
          <w:sz w:val="16"/>
          <w:szCs w:val="16"/>
          <w:lang w:val="ru-RU"/>
        </w:rPr>
      </w:pPr>
      <w:r w:rsidRPr="00E14102">
        <w:rPr>
          <w:rFonts w:ascii="Times New Roman" w:hAnsi="Times New Roman" w:cs="Times New Roman"/>
          <w:color w:val="0070C0"/>
          <w:sz w:val="16"/>
          <w:szCs w:val="16"/>
          <w:lang w:val="ru-RU"/>
        </w:rPr>
        <w:t>Правительство негуса было достаточно осведомлено о готовящемся</w:t>
      </w:r>
      <w:r w:rsidRPr="00E14102">
        <w:rPr>
          <w:rFonts w:ascii="Times New Roman" w:hAnsi="Times New Roman" w:cs="Times New Roman"/>
          <w:color w:val="0070C0"/>
          <w:sz w:val="16"/>
          <w:szCs w:val="16"/>
        </w:rPr>
        <w:t> </w:t>
      </w:r>
      <w:hyperlink r:id="rId204" w:history="1">
        <w:r w:rsidRPr="00E14102">
          <w:rPr>
            <w:rStyle w:val="a4"/>
            <w:rFonts w:ascii="Times New Roman" w:eastAsiaTheme="majorEastAsia" w:hAnsi="Times New Roman" w:cs="Times New Roman"/>
            <w:color w:val="0070C0"/>
            <w:sz w:val="16"/>
            <w:szCs w:val="16"/>
            <w:lang w:val="ru-RU"/>
          </w:rPr>
          <w:t>нападении на Абиссинию</w:t>
        </w:r>
      </w:hyperlink>
      <w:r w:rsidRPr="00E14102">
        <w:rPr>
          <w:rFonts w:ascii="Times New Roman" w:hAnsi="Times New Roman" w:cs="Times New Roman"/>
          <w:color w:val="0070C0"/>
          <w:sz w:val="16"/>
          <w:szCs w:val="16"/>
        </w:rPr>
        <w:t> </w:t>
      </w:r>
      <w:r w:rsidRPr="00E14102">
        <w:rPr>
          <w:rFonts w:ascii="Times New Roman" w:hAnsi="Times New Roman" w:cs="Times New Roman"/>
          <w:color w:val="0070C0"/>
          <w:sz w:val="16"/>
          <w:szCs w:val="16"/>
          <w:lang w:val="ru-RU"/>
        </w:rPr>
        <w:t xml:space="preserve">осенью 1935 г. и под влиянием английских советников сосредоточило большое количество войск на эритрейской и сомалийской границах. В планах Хайле Селассие </w:t>
      </w:r>
      <w:r w:rsidRPr="00E14102">
        <w:rPr>
          <w:rFonts w:ascii="Times New Roman" w:hAnsi="Times New Roman" w:cs="Times New Roman"/>
          <w:color w:val="0070C0"/>
          <w:sz w:val="16"/>
          <w:szCs w:val="16"/>
        </w:rPr>
        <w:t>I</w:t>
      </w:r>
      <w:r w:rsidRPr="00E14102">
        <w:rPr>
          <w:rFonts w:ascii="Times New Roman" w:hAnsi="Times New Roman" w:cs="Times New Roman"/>
          <w:color w:val="0070C0"/>
          <w:sz w:val="16"/>
          <w:szCs w:val="16"/>
          <w:lang w:val="ru-RU"/>
        </w:rPr>
        <w:t xml:space="preserve"> было искать скорейшей развязки войны посредством наступательных операций. Поэтому</w:t>
      </w:r>
      <w:r w:rsidRPr="00E14102">
        <w:rPr>
          <w:rStyle w:val="a6"/>
          <w:rFonts w:ascii="Times New Roman" w:eastAsiaTheme="majorEastAsia" w:hAnsi="Times New Roman" w:cs="Times New Roman"/>
          <w:color w:val="0070C0"/>
          <w:sz w:val="16"/>
          <w:szCs w:val="16"/>
        </w:rPr>
        <w:t> </w:t>
      </w:r>
      <w:r w:rsidRPr="00E14102">
        <w:rPr>
          <w:rStyle w:val="a6"/>
          <w:rFonts w:ascii="Times New Roman" w:eastAsiaTheme="majorEastAsia" w:hAnsi="Times New Roman" w:cs="Times New Roman"/>
          <w:color w:val="0070C0"/>
          <w:sz w:val="16"/>
          <w:szCs w:val="16"/>
          <w:lang w:val="ru-RU"/>
        </w:rPr>
        <w:t>на первом периоде войны</w:t>
      </w:r>
      <w:r w:rsidRPr="00E14102">
        <w:rPr>
          <w:rStyle w:val="a6"/>
          <w:rFonts w:ascii="Times New Roman" w:eastAsiaTheme="majorEastAsia" w:hAnsi="Times New Roman" w:cs="Times New Roman"/>
          <w:color w:val="0070C0"/>
          <w:sz w:val="16"/>
          <w:szCs w:val="16"/>
        </w:rPr>
        <w:t> </w:t>
      </w:r>
      <w:r w:rsidRPr="00E14102">
        <w:rPr>
          <w:rFonts w:ascii="Times New Roman" w:hAnsi="Times New Roman" w:cs="Times New Roman"/>
          <w:color w:val="0070C0"/>
          <w:sz w:val="16"/>
          <w:szCs w:val="16"/>
          <w:lang w:val="ru-RU"/>
        </w:rPr>
        <w:t>(начало октября 1935 г. — начало февраля 1936 г.) итальянцы столкнулись с крупными силами противника, неоднократно переходившими в наступление на Эритрейском фронте (20246).</w:t>
      </w:r>
    </w:p>
    <w:p w14:paraId="2B7E71C8" w14:textId="77777777" w:rsidR="00822C46" w:rsidRPr="00E14102" w:rsidRDefault="00822C46" w:rsidP="00E14102">
      <w:pPr>
        <w:pStyle w:val="ad"/>
        <w:spacing w:before="0" w:after="0"/>
        <w:rPr>
          <w:rFonts w:ascii="Times New Roman" w:hAnsi="Times New Roman" w:cs="Times New Roman"/>
          <w:color w:val="0070C0"/>
          <w:sz w:val="16"/>
          <w:szCs w:val="16"/>
          <w:lang w:val="ru-RU"/>
        </w:rPr>
      </w:pPr>
    </w:p>
    <w:p w14:paraId="2CDFE0C5" w14:textId="77777777" w:rsidR="00822C46" w:rsidRPr="00E14102" w:rsidRDefault="00822C46" w:rsidP="00E14102">
      <w:pPr>
        <w:jc w:val="both"/>
        <w:rPr>
          <w:color w:val="0070C0"/>
          <w:sz w:val="16"/>
          <w:szCs w:val="16"/>
        </w:rPr>
      </w:pPr>
      <w:r w:rsidRPr="00E14102">
        <w:rPr>
          <w:color w:val="0070C0"/>
          <w:sz w:val="16"/>
          <w:szCs w:val="16"/>
        </w:rPr>
        <w:t>3 октября 1935 Италия вторгается в Эфиопию из своей колонии в Эритрее, начиная Вторая итало-абиссинская война. Итальянский экспедиционный корпус насчитывает 150 самолетов, в том числе бомбардировщики Savoia-Marchetti SM.81, Caproni Ca.113 и Caproni Ca.133, летающие лодки Savoia-Marchetti S.55 и стратегические разведывательные самолеты IMAM R.37 bis. Имперские ВВС Эфиопии состоят только из трех небольших устаревших бипланов (20800).</w:t>
      </w:r>
    </w:p>
    <w:p w14:paraId="23BEBA9D" w14:textId="77777777" w:rsidR="00822C46" w:rsidRPr="00E14102" w:rsidRDefault="00822C46" w:rsidP="00E14102">
      <w:pPr>
        <w:jc w:val="both"/>
        <w:rPr>
          <w:color w:val="0070C0"/>
          <w:sz w:val="16"/>
          <w:szCs w:val="16"/>
        </w:rPr>
      </w:pPr>
    </w:p>
    <w:p w14:paraId="748906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 октября 1935 началось итальянское вторжение в Эфиопию (4962).</w:t>
      </w:r>
    </w:p>
    <w:p w14:paraId="47D2413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81BB1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октября 1935 г., итальянские войска в Африке получили приказ о наступлении в Эфиопии (3871).</w:t>
      </w:r>
    </w:p>
    <w:p w14:paraId="0977ED6F" w14:textId="77777777" w:rsidR="00D4105E" w:rsidRPr="00E14102" w:rsidRDefault="00D4105E" w:rsidP="00E14102">
      <w:pPr>
        <w:autoSpaceDE w:val="0"/>
        <w:autoSpaceDN w:val="0"/>
        <w:adjustRightInd w:val="0"/>
        <w:jc w:val="both"/>
        <w:rPr>
          <w:color w:val="000000" w:themeColor="text1"/>
          <w:sz w:val="16"/>
          <w:szCs w:val="16"/>
        </w:rPr>
      </w:pPr>
    </w:p>
    <w:p w14:paraId="58DC6210" w14:textId="77777777" w:rsidR="00D4105E" w:rsidRPr="00E14102" w:rsidRDefault="00D4105E" w:rsidP="00E14102">
      <w:pPr>
        <w:autoSpaceDE w:val="0"/>
        <w:autoSpaceDN w:val="0"/>
        <w:adjustRightInd w:val="0"/>
        <w:jc w:val="both"/>
        <w:rPr>
          <w:color w:val="000000" w:themeColor="text1"/>
          <w:sz w:val="16"/>
          <w:szCs w:val="16"/>
          <w:lang w:val="en-US"/>
        </w:rPr>
      </w:pPr>
      <w:r w:rsidRPr="00E14102">
        <w:rPr>
          <w:color w:val="000000" w:themeColor="text1"/>
          <w:sz w:val="16"/>
          <w:szCs w:val="16"/>
          <w:lang w:val="en-US"/>
        </w:rPr>
        <w:t>October 3 1935 Benito Mussolini invades Ethiopia (1037).</w:t>
      </w:r>
    </w:p>
    <w:p w14:paraId="19AAD622" w14:textId="77777777" w:rsidR="00D4105E" w:rsidRPr="00E14102" w:rsidRDefault="00D4105E" w:rsidP="00E14102">
      <w:pPr>
        <w:autoSpaceDE w:val="0"/>
        <w:autoSpaceDN w:val="0"/>
        <w:adjustRightInd w:val="0"/>
        <w:jc w:val="both"/>
        <w:rPr>
          <w:color w:val="000000" w:themeColor="text1"/>
          <w:sz w:val="16"/>
          <w:szCs w:val="16"/>
          <w:lang w:val="en-US"/>
        </w:rPr>
      </w:pPr>
    </w:p>
    <w:p w14:paraId="49E593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 октября 1935 Италия напала на Абиссинию (278,385) - 377 тыс. чел. (2438,245) силами 18 дивизий (3481).</w:t>
      </w:r>
    </w:p>
    <w:p w14:paraId="07554B23" w14:textId="77777777" w:rsidR="00D4105E" w:rsidRPr="00E14102" w:rsidRDefault="00D4105E" w:rsidP="00E14102">
      <w:pPr>
        <w:autoSpaceDE w:val="0"/>
        <w:autoSpaceDN w:val="0"/>
        <w:adjustRightInd w:val="0"/>
        <w:jc w:val="both"/>
        <w:rPr>
          <w:color w:val="000000" w:themeColor="text1"/>
          <w:sz w:val="16"/>
          <w:szCs w:val="16"/>
        </w:rPr>
      </w:pPr>
    </w:p>
    <w:p w14:paraId="6E303A54" w14:textId="77777777" w:rsidR="00D54658" w:rsidRPr="00E14102" w:rsidRDefault="00D54658" w:rsidP="00E14102">
      <w:pPr>
        <w:jc w:val="both"/>
        <w:rPr>
          <w:color w:val="000000" w:themeColor="text1"/>
          <w:sz w:val="16"/>
          <w:szCs w:val="16"/>
        </w:rPr>
      </w:pPr>
      <w:r w:rsidRPr="00E14102">
        <w:rPr>
          <w:color w:val="000000" w:themeColor="text1"/>
          <w:sz w:val="16"/>
          <w:szCs w:val="16"/>
        </w:rPr>
        <w:t>В ночь на 3 октября 1935 г. без объявления войны 100-тысячная итальянская армия вторглась на территорию Абиссинии. Главнокомандующему генералу Де Боно приказано было как можно скорее захватить ее столицу. Император Хайле Селласие I издал указ о всеобщей мобилизации. Под ружье были поставлены 400 тыс. человек. Армия Эфиопии не имела современной боевой техники — самолетов, танков; ее воины были плохо обучены, не подготовлены к отражению наступления европейской регулярной армии. На 1 ноября в Эритрее были состредоточены 111 тыс. итальянских солдат и офицеров и 53 тыс., набранные из числа местного населения. В распоряжении командования было 4,2 тыс. пулеметов, 580 орудий, 126 самолетов и 3,7 тыс. автомашин. Кроме того, на территории итальянского Сомали находились 24 тыс. итальянцев и 30 тыс. сомалийских военнослужащих с 1,6 тыс. пулеметов, 117 орудиями, 38 самолетами и 1850 автомашинами, ожидая приказа о на ступлении25. По замыслу итальянского командования главный удар намечалось нанести по северным областям Эфиопии. Южный фронт играл пока второстепенную роль (18280).</w:t>
      </w:r>
    </w:p>
    <w:p w14:paraId="4B3AA6B2" w14:textId="77777777" w:rsidR="00D54658" w:rsidRPr="00E14102" w:rsidRDefault="00D54658" w:rsidP="00E14102">
      <w:pPr>
        <w:jc w:val="both"/>
        <w:rPr>
          <w:color w:val="000000" w:themeColor="text1"/>
          <w:sz w:val="16"/>
          <w:szCs w:val="16"/>
        </w:rPr>
      </w:pPr>
    </w:p>
    <w:p w14:paraId="2419D00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D4DB24C" w14:textId="77777777" w:rsidR="00D4105E" w:rsidRPr="00E14102" w:rsidRDefault="00D4105E" w:rsidP="00E14102">
      <w:pPr>
        <w:autoSpaceDE w:val="0"/>
        <w:autoSpaceDN w:val="0"/>
        <w:adjustRightInd w:val="0"/>
        <w:jc w:val="both"/>
        <w:rPr>
          <w:iCs/>
          <w:color w:val="000000" w:themeColor="text1"/>
          <w:sz w:val="16"/>
          <w:szCs w:val="16"/>
        </w:rPr>
      </w:pPr>
    </w:p>
    <w:p w14:paraId="78BDD1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октября 1935 на ДБА 4М-34РН в ходе заводских испытаний в Щелково летали 1 раза 1:25 и это был полет на замеры прочности и проверку работы левого крайнего мотора. Это был 19-й полет (249).</w:t>
      </w:r>
    </w:p>
    <w:p w14:paraId="25235DF5" w14:textId="77777777" w:rsidR="00D4105E" w:rsidRPr="00E14102" w:rsidRDefault="00D4105E" w:rsidP="00E14102">
      <w:pPr>
        <w:autoSpaceDE w:val="0"/>
        <w:autoSpaceDN w:val="0"/>
        <w:adjustRightInd w:val="0"/>
        <w:jc w:val="both"/>
        <w:rPr>
          <w:color w:val="000000" w:themeColor="text1"/>
          <w:sz w:val="16"/>
          <w:szCs w:val="16"/>
        </w:rPr>
      </w:pPr>
    </w:p>
    <w:p w14:paraId="58D838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октября 1935 года начальник НТО 4 отдела УВС Горощенко подготовил Справку о состоянии объектов, намеченных к серийному заказу на 1936 год</w:t>
      </w:r>
    </w:p>
    <w:p w14:paraId="7A0ABE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w:t>
      </w:r>
    </w:p>
    <w:p w14:paraId="09298F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ТБ-3 4М34РН</w:t>
      </w:r>
    </w:p>
    <w:p w14:paraId="1A75E3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заканчивает гос. испытания. Имеются неполадки с моторами (конденсат) и с вооружением. Самолет показал скорость на высоте 4000 м 280-290 км/час.</w:t>
      </w:r>
    </w:p>
    <w:p w14:paraId="37AC45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ДБ-4М34РН</w:t>
      </w:r>
    </w:p>
    <w:p w14:paraId="66F52D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находится на заводских испытаниях. Сможет быть предъявлен на государственные в конце октября, начале ноября. Ожидаемая скорость на высоте 4000 м 330 км/час. При установке винтов с переменным в полете шагом бомбовая нагрузка при той же дальности, что у ТБ-3. В проекте самолета завод предполагал получить при нормальной нагрузке с 2000 кг бомб дальность 1500 км и при перегрузке - 4000 км.</w:t>
      </w:r>
    </w:p>
    <w:p w14:paraId="66CD5A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w:t>
      </w:r>
    </w:p>
    <w:p w14:paraId="6F18D5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СБ-2М100</w:t>
      </w:r>
    </w:p>
    <w:p w14:paraId="26BCD1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Гос. испытания СБ-2М100 закончились в июле. Последние выявили ряд серьезных дефектов (неудовлетворительная устойчивость, деформация обшивки крыла, недостаточный запас прочности и пр.). Постановлением от 4.08.с.г. СТО обязало ЦАГИ внести необходимые изменения в конструкцию к 20.09.с.г. проверить на совместных испытаниях с НИИ ВВС эффективность переделок. Срок указанный в постановлении СТО ЦАГИ не выдержал и самолет в настоящее время находится </w:t>
      </w:r>
      <w:r w:rsidRPr="00E14102">
        <w:rPr>
          <w:color w:val="000000" w:themeColor="text1"/>
          <w:sz w:val="16"/>
          <w:szCs w:val="16"/>
        </w:rPr>
        <w:lastRenderedPageBreak/>
        <w:t>на совместных испытаниях. Последние показали, что ряд серьезных дефектов самолета устранен. Испытания еще не закончены. Максимальная скорость полета самолета 404 км/час на высоте 5000 м.</w:t>
      </w:r>
    </w:p>
    <w:p w14:paraId="34AFC2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Скоростные разведчики</w:t>
      </w:r>
    </w:p>
    <w:p w14:paraId="55B6DE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Р5-М34Н</w:t>
      </w:r>
    </w:p>
    <w:p w14:paraId="638879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гос. испытаний законченных 6 августа с.г. самолет доводится заводом до настоящего времени. В ближайшую декаду должен вновь поступить на гос. испытания. Одновременно завод строит серию для войсковых испытаний. Ориентировочный срок готовности первых пяти ноябрь с.г. На гос. испытаниях самолет показал на высоте 3500 м скорость 306-316 км/час. При полном оборудовании разведчика и 600 кг горючего. Дальность полета не замерена. Она должна лежать в пределе 1100-1300 км.</w:t>
      </w:r>
    </w:p>
    <w:p w14:paraId="05B450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Р9-М85</w:t>
      </w:r>
    </w:p>
    <w:p w14:paraId="718FD1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строит завод N 39. Согласно постановления СТО от 19.07.с.г. самолет должен был быть выпущен на аэродром в сентябре. Постройка в настоящее время заканчивается. ориентировочный срок начала заводских испытаний конец октября - начало ноября. От самолета следует ожидать максимальной скорости полета 430-450 км/час.</w:t>
      </w:r>
    </w:p>
    <w:p w14:paraId="356629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ХАИ5-М75</w:t>
      </w:r>
    </w:p>
    <w:p w14:paraId="2B5968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по проекту ХАИ строится на заводе N 135. Начало заводских испытаний ориентировочно конец октября. Самолет должен дать скорость около 380-390 км/час.</w:t>
      </w:r>
    </w:p>
    <w:p w14:paraId="200145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Р9-М85 зав. N 1 и Сталь 11-М100</w:t>
      </w:r>
    </w:p>
    <w:p w14:paraId="6BC104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Макет первого самолета в тек. месяце был предъявлен, но не утвержден. Макет второго самолета, являющегося одновременно пассажирским предъявлен, но еще не рассмотрен. Оба самолета будут построены не ранее, чем весной 1936 г.</w:t>
      </w:r>
    </w:p>
    <w:p w14:paraId="66D51F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Штурмовики</w:t>
      </w:r>
    </w:p>
    <w:p w14:paraId="192821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ДИ6-М25</w:t>
      </w:r>
    </w:p>
    <w:p w14:paraId="3391EF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постановления СТО от 4.08.с.г. штурмовой вариант ДИ-6 должен был быть предъявлен на испытания к 19.09.с.г. В настоящее время установка вооружения заканчивается и самолет должен выйти на аэродром 5.10.с.г. Он вооружен 4-мя пулеметами ПВ-1 вперед и одним ШКАСом назад. Максимальная скорость полета, согласно требованиям 390-400 км/час.</w:t>
      </w:r>
    </w:p>
    <w:p w14:paraId="009041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Истребители</w:t>
      </w:r>
    </w:p>
    <w:p w14:paraId="392AA4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И16-М25</w:t>
      </w:r>
    </w:p>
    <w:p w14:paraId="33E45C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Образец И16-М25 для постройки в тек. году, но без установленного радио и самопуска в ближайшую декаду должен перелететь из Москвы на завод N 21. Подготовка образца для заказа 1936 года на заводе N 21 только начинается. Завод N 39 в свою очередь работает над улучшенным И16-М25. Срок окончания его не ранее конца года.</w:t>
      </w:r>
    </w:p>
    <w:p w14:paraId="5AACD9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ИП1 пулеметный</w:t>
      </w:r>
    </w:p>
    <w:p w14:paraId="3415A8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Пулеметный вариант (6 пулеметами) задерживается производством ввиду отсутствия на заводе N 1 свободного самолета ИП-1. Пулеметы отстрелены на макетном крыле. Образец пулеметного самолета ориентировочно сможет быть получен в месячный - полуторамесячный срок.</w:t>
      </w:r>
    </w:p>
    <w:p w14:paraId="3DF61B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ИП1 пушечный.</w:t>
      </w:r>
    </w:p>
    <w:p w14:paraId="258A89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пушечного вооружения показали наличие разрушения конструкции самолета при стрельбе. Самолет с усиленной конструкцией будет предъявлен на повторные гос. испытания к 15.10.с.г. Самолет с двумя пушками АПК-4бис показал максимальную скорость полета на высоте 3000 м 410 км/час.</w:t>
      </w:r>
    </w:p>
    <w:p w14:paraId="4EBC23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И17-М100</w:t>
      </w:r>
    </w:p>
    <w:p w14:paraId="22A669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построен заводом N 39. Находится на заводских испытаниях. Ориентировочно срок передачи его на гос. испытания определен заводом 1.01.36 г. Самолет вооружен 4-мя пулеметами Шкас. Максимальная скорость полета не определена. Она должна быть выше 470-480 км/час.</w:t>
      </w:r>
    </w:p>
    <w:p w14:paraId="6532D9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Морские дальние разведчики</w:t>
      </w:r>
    </w:p>
    <w:p w14:paraId="6ACD7C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МДР4-3М34Р и МДР4-3М34РН</w:t>
      </w:r>
    </w:p>
    <w:p w14:paraId="682865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 моторами без нагнетателя прошел удовлетворительно гос. испытания. При заводских испытаниях самолета с моторами с нагнетателем благодаря отрыву полотна в воздухе произошла катастрофа. Моторы М-34РН будут установлены в тек. году на одном из первых серийных самолетов.</w:t>
      </w:r>
    </w:p>
    <w:p w14:paraId="70CBEE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Морские ближние разведчики.</w:t>
      </w:r>
    </w:p>
    <w:p w14:paraId="5A837A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МБР2-М34Н</w:t>
      </w:r>
    </w:p>
    <w:p w14:paraId="011022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заводе N 31 ведутся заводские испытания самолета.</w:t>
      </w:r>
    </w:p>
    <w:p w14:paraId="630596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МБР5-М25</w:t>
      </w:r>
    </w:p>
    <w:p w14:paraId="6861E9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Постройка самолета закончена и с начала октября начинаются заводские испытания.</w:t>
      </w:r>
    </w:p>
    <w:p w14:paraId="0F3DEC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Учебные</w:t>
      </w:r>
    </w:p>
    <w:p w14:paraId="55A9C9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У2-М11</w:t>
      </w:r>
    </w:p>
    <w:p w14:paraId="6DAAB8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находится в серийной постройке на заводе N 23.</w:t>
      </w:r>
    </w:p>
    <w:p w14:paraId="497511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w:t>
      </w:r>
    </w:p>
    <w:p w14:paraId="2B3586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М-100</w:t>
      </w:r>
    </w:p>
    <w:p w14:paraId="3F6A41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на гос. испытания еще не предъявлен. Серийные моторы со сроком службы 50 час. и мощностью 750 НР с завода N 26 принимаются. Предъявление на гос. испытания ожидается в ближайший период времени.</w:t>
      </w:r>
    </w:p>
    <w:p w14:paraId="6A6DDE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М-22</w:t>
      </w:r>
    </w:p>
    <w:p w14:paraId="14057F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заводе N 29 идет нормальная серийная постройка этих моторов.</w:t>
      </w:r>
    </w:p>
    <w:p w14:paraId="31F173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М-34РН и М-34Н</w:t>
      </w:r>
    </w:p>
    <w:p w14:paraId="16EDCC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Форсированные моторы находятся на заводских испытаниях. В ближайший период времени ожидается предъявление их на гос. испытания.</w:t>
      </w:r>
    </w:p>
    <w:p w14:paraId="3BC512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М-25</w:t>
      </w:r>
    </w:p>
    <w:p w14:paraId="125729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гос. испытаниях мотора обнаружен крупный дефект в креплении противовесов коленчатого вала. Завод устраняет указанный дефект. (3120,94-96).</w:t>
      </w:r>
    </w:p>
    <w:p w14:paraId="34E9B00C" w14:textId="77777777" w:rsidR="00D4105E" w:rsidRPr="00E14102" w:rsidRDefault="00D4105E" w:rsidP="00E14102">
      <w:pPr>
        <w:autoSpaceDE w:val="0"/>
        <w:autoSpaceDN w:val="0"/>
        <w:adjustRightInd w:val="0"/>
        <w:jc w:val="both"/>
        <w:rPr>
          <w:color w:val="000000" w:themeColor="text1"/>
          <w:sz w:val="16"/>
          <w:szCs w:val="16"/>
        </w:rPr>
      </w:pPr>
    </w:p>
    <w:p w14:paraId="04139B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октября 1935 Нач. Глававиапромы Королев с письмом № 270/4424сс в СНК Базилевичу направил:</w:t>
      </w:r>
    </w:p>
    <w:p w14:paraId="7F420B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w:t>
      </w:r>
    </w:p>
    <w:p w14:paraId="23AD80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 состоянии работ по самолетам Р9-К14 на 1.Х.1935 года</w:t>
      </w:r>
    </w:p>
    <w:p w14:paraId="521A40F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Постановлением Правительства от 16.1У. с.г. ГУАП"у дано задание спроектировать и изготовить разведчики со следующими данными:</w:t>
      </w:r>
    </w:p>
    <w:p w14:paraId="543C2E8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Скорость на высоте - 4300-5000 мтр. - 450-500 к/ ч.</w:t>
      </w:r>
    </w:p>
    <w:p w14:paraId="23D204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Дальность действия - 1000 км.</w:t>
      </w:r>
    </w:p>
    <w:p w14:paraId="4B066E3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Вооружение - 2-3 пул. и 60 кгр. бомб</w:t>
      </w:r>
    </w:p>
    <w:p w14:paraId="50BE32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должен быть приспособлен к варианту 2-х местного истребителя.</w:t>
      </w:r>
    </w:p>
    <w:p w14:paraId="2B95FE2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Это задание размещено по следующим организациям: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E3599D" w:rsidRPr="00E14102" w14:paraId="6FE7AEBB" w14:textId="77777777">
        <w:tc>
          <w:tcPr>
            <w:tcW w:w="3736" w:type="dxa"/>
            <w:tcBorders>
              <w:top w:val="single" w:sz="12" w:space="0" w:color="auto"/>
            </w:tcBorders>
            <w:shd w:val="clear" w:color="auto" w:fill="FFFFFF"/>
          </w:tcPr>
          <w:p w14:paraId="3443A9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Завод №.39 -</w:t>
            </w:r>
          </w:p>
        </w:tc>
        <w:tc>
          <w:tcPr>
            <w:tcW w:w="3736" w:type="dxa"/>
            <w:tcBorders>
              <w:top w:val="single" w:sz="12" w:space="0" w:color="auto"/>
            </w:tcBorders>
            <w:shd w:val="clear" w:color="auto" w:fill="FFFFFF"/>
          </w:tcPr>
          <w:p w14:paraId="22C3FE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СР-К14</w:t>
            </w:r>
          </w:p>
        </w:tc>
        <w:tc>
          <w:tcPr>
            <w:tcW w:w="3736" w:type="dxa"/>
            <w:tcBorders>
              <w:top w:val="single" w:sz="12" w:space="0" w:color="auto"/>
            </w:tcBorders>
            <w:shd w:val="clear" w:color="auto" w:fill="FFFFFF"/>
          </w:tcPr>
          <w:p w14:paraId="53FB6F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 сроком госиспытан. - 1.1Х.35г.</w:t>
            </w:r>
          </w:p>
        </w:tc>
      </w:tr>
      <w:tr w:rsidR="00E3599D" w:rsidRPr="00E14102" w14:paraId="00074C35" w14:textId="77777777">
        <w:tc>
          <w:tcPr>
            <w:tcW w:w="3736" w:type="dxa"/>
            <w:shd w:val="clear" w:color="auto" w:fill="FFFFFF"/>
          </w:tcPr>
          <w:p w14:paraId="26273C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 Завод №.1 - </w:t>
            </w:r>
          </w:p>
        </w:tc>
        <w:tc>
          <w:tcPr>
            <w:tcW w:w="3736" w:type="dxa"/>
            <w:shd w:val="clear" w:color="auto" w:fill="FFFFFF"/>
          </w:tcPr>
          <w:p w14:paraId="4A579B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СР-К14 </w:t>
            </w:r>
          </w:p>
        </w:tc>
        <w:tc>
          <w:tcPr>
            <w:tcW w:w="3736" w:type="dxa"/>
            <w:shd w:val="clear" w:color="auto" w:fill="FFFFFF"/>
          </w:tcPr>
          <w:p w14:paraId="1DE89E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- 1.ХП.35 г.</w:t>
            </w:r>
          </w:p>
        </w:tc>
      </w:tr>
      <w:tr w:rsidR="00E3599D" w:rsidRPr="00E14102" w14:paraId="2EF39320" w14:textId="77777777">
        <w:tc>
          <w:tcPr>
            <w:tcW w:w="3736" w:type="dxa"/>
            <w:shd w:val="clear" w:color="auto" w:fill="FFFFFF"/>
          </w:tcPr>
          <w:p w14:paraId="330336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3. ХАИ - </w:t>
            </w:r>
          </w:p>
        </w:tc>
        <w:tc>
          <w:tcPr>
            <w:tcW w:w="3736" w:type="dxa"/>
            <w:shd w:val="clear" w:color="auto" w:fill="FFFFFF"/>
          </w:tcPr>
          <w:p w14:paraId="1D41C9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СР-К14</w:t>
            </w:r>
          </w:p>
        </w:tc>
        <w:tc>
          <w:tcPr>
            <w:tcW w:w="3736" w:type="dxa"/>
            <w:shd w:val="clear" w:color="auto" w:fill="FFFFFF"/>
          </w:tcPr>
          <w:p w14:paraId="7FE929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- 1.ХП.35 г.</w:t>
            </w:r>
          </w:p>
        </w:tc>
      </w:tr>
      <w:tr w:rsidR="00E3599D" w:rsidRPr="00E14102" w14:paraId="7F0BD4D6" w14:textId="77777777">
        <w:tc>
          <w:tcPr>
            <w:tcW w:w="3736" w:type="dxa"/>
            <w:tcBorders>
              <w:bottom w:val="single" w:sz="12" w:space="0" w:color="auto"/>
            </w:tcBorders>
            <w:shd w:val="clear" w:color="auto" w:fill="FFFFFF"/>
          </w:tcPr>
          <w:p w14:paraId="51600D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4. Завод №.81 - </w:t>
            </w:r>
          </w:p>
        </w:tc>
        <w:tc>
          <w:tcPr>
            <w:tcW w:w="3736" w:type="dxa"/>
            <w:tcBorders>
              <w:bottom w:val="single" w:sz="12" w:space="0" w:color="auto"/>
            </w:tcBorders>
            <w:shd w:val="clear" w:color="auto" w:fill="FFFFFF"/>
          </w:tcPr>
          <w:p w14:paraId="6CF341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Сталь 11-Испано</w:t>
            </w:r>
          </w:p>
        </w:tc>
        <w:tc>
          <w:tcPr>
            <w:tcW w:w="3736" w:type="dxa"/>
            <w:tcBorders>
              <w:bottom w:val="single" w:sz="12" w:space="0" w:color="auto"/>
            </w:tcBorders>
            <w:shd w:val="clear" w:color="auto" w:fill="FFFFFF"/>
          </w:tcPr>
          <w:p w14:paraId="4B14FB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- 1.ХП.35 г.</w:t>
            </w:r>
          </w:p>
        </w:tc>
      </w:tr>
    </w:tbl>
    <w:p w14:paraId="03F103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Состояние работ следующее:</w:t>
      </w:r>
    </w:p>
    <w:p w14:paraId="502EF5E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заводу № 39</w:t>
      </w:r>
    </w:p>
    <w:p w14:paraId="349C81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детали в отдельные части готовы. Идет общая сборка основ</w:t>
      </w:r>
      <w:r w:rsidRPr="00E14102">
        <w:rPr>
          <w:color w:val="000000" w:themeColor="text1"/>
          <w:sz w:val="16"/>
          <w:szCs w:val="16"/>
        </w:rPr>
        <w:softHyphen/>
        <w:t>ных частей (шасси, фюзеляжа, оперения, мотоустановки). Процент готовности ко всему объекту определяется в 70%.</w:t>
      </w:r>
    </w:p>
    <w:p w14:paraId="73330C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Задержкой к своевременному выпуску послужили трудности при изготовлении хромо-молибденовых лонжеронов.</w:t>
      </w:r>
    </w:p>
    <w:p w14:paraId="086977C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Пред"явление на госиспытания - 1.1.36 г.</w:t>
      </w:r>
    </w:p>
    <w:p w14:paraId="5123B05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заводу № 1</w:t>
      </w:r>
    </w:p>
    <w:p w14:paraId="61306D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Разработан проект в двух вариантах. Один оригинальной схемы второй, как модификация.пикирующего бомбардировщика.</w:t>
      </w:r>
    </w:p>
    <w:p w14:paraId="19E45E1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Заканчивается постройка макетов. В производство предпола</w:t>
      </w:r>
      <w:r w:rsidRPr="00E14102">
        <w:rPr>
          <w:color w:val="000000" w:themeColor="text1"/>
          <w:sz w:val="16"/>
          <w:szCs w:val="16"/>
        </w:rPr>
        <w:softHyphen/>
        <w:t>гается пустить тот вариант, который будет принят макетной Ко</w:t>
      </w:r>
      <w:r w:rsidRPr="00E14102">
        <w:rPr>
          <w:color w:val="000000" w:themeColor="text1"/>
          <w:sz w:val="16"/>
          <w:szCs w:val="16"/>
        </w:rPr>
        <w:softHyphen/>
        <w:t>миссией.</w:t>
      </w:r>
    </w:p>
    <w:p w14:paraId="68FAC6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производстве идет заготовка отдельных деталей. Срок 1.ХП.35 г. выдержан не будет, так как время с 16.1У по 1.Х (выпуск на аэродром) оказалось недостаточным для самолета с такими высокими летно-техническими данными.</w:t>
      </w:r>
    </w:p>
    <w:p w14:paraId="779208D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Срок пред"явления на госиспытания сдвинется на 1.У.36 г.</w:t>
      </w:r>
    </w:p>
    <w:p w14:paraId="386ACF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По ХАИ Разработан эскизный проект металлического самолета по типу американских конструкций и применительно к производству завода №.135. Строится макет.</w:t>
      </w:r>
    </w:p>
    <w:p w14:paraId="74A9BA0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Небольшое конструкторское бюро, использование основных конструкторов по линии преподавания, загрузка бюро и произ</w:t>
      </w:r>
      <w:r w:rsidRPr="00E14102">
        <w:rPr>
          <w:color w:val="000000" w:themeColor="text1"/>
          <w:sz w:val="16"/>
          <w:szCs w:val="16"/>
        </w:rPr>
        <w:softHyphen/>
        <w:t>водства самолетами ХАИ-6 а ХАИ-5 не дают возможности развер</w:t>
      </w:r>
      <w:r w:rsidRPr="00E14102">
        <w:rPr>
          <w:color w:val="000000" w:themeColor="text1"/>
          <w:sz w:val="16"/>
          <w:szCs w:val="16"/>
        </w:rPr>
        <w:softHyphen/>
        <w:t>нуть работу в заводских размерах. Срок пред"явления сдвинет</w:t>
      </w:r>
      <w:r w:rsidRPr="00E14102">
        <w:rPr>
          <w:color w:val="000000" w:themeColor="text1"/>
          <w:sz w:val="16"/>
          <w:szCs w:val="16"/>
        </w:rPr>
        <w:softHyphen/>
        <w:t>ся на 1.УШ.36 г.</w:t>
      </w:r>
    </w:p>
    <w:p w14:paraId="2E527BE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заводу № 81</w:t>
      </w:r>
    </w:p>
    <w:p w14:paraId="2D68335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Чертежи сданы в производство на 65%. Готовы детали для статиспытаний и для летного экземпляра. Идет сборка отдель</w:t>
      </w:r>
      <w:r w:rsidRPr="00E14102">
        <w:rPr>
          <w:color w:val="000000" w:themeColor="text1"/>
          <w:sz w:val="16"/>
          <w:szCs w:val="16"/>
        </w:rPr>
        <w:softHyphen/>
        <w:t>ных частей.</w:t>
      </w:r>
    </w:p>
    <w:p w14:paraId="11869C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связи с встретившимися переделками в процессе произ</w:t>
      </w:r>
      <w:r w:rsidRPr="00E14102">
        <w:rPr>
          <w:color w:val="000000" w:themeColor="text1"/>
          <w:sz w:val="16"/>
          <w:szCs w:val="16"/>
        </w:rPr>
        <w:softHyphen/>
        <w:t>водства (лонжерон крыла) срок выпуска машины сдвинется на два месяца.</w:t>
      </w:r>
    </w:p>
    <w:p w14:paraId="742BB2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Параллельно с разведчиками под мотор К-14, на заводе №.135 по проекту ХАИ заканчивается разведчик под мотор М-75</w:t>
      </w:r>
    </w:p>
    <w:p w14:paraId="4B782F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Конструктивные изменения, обнаруженные в процессе по</w:t>
      </w:r>
      <w:r w:rsidRPr="00E14102">
        <w:rPr>
          <w:color w:val="000000" w:themeColor="text1"/>
          <w:sz w:val="16"/>
          <w:szCs w:val="16"/>
        </w:rPr>
        <w:softHyphen/>
        <w:t>стройки. а также переделка фюзеляжа, связанные усстановкой Турели-9 задерживают выпуск самолета до 1.Х1.35 г. (3419,110).</w:t>
      </w:r>
    </w:p>
    <w:p w14:paraId="5CC15712" w14:textId="77777777" w:rsidR="00D4105E" w:rsidRPr="00E14102" w:rsidRDefault="00D4105E" w:rsidP="00E14102">
      <w:pPr>
        <w:autoSpaceDE w:val="0"/>
        <w:autoSpaceDN w:val="0"/>
        <w:adjustRightInd w:val="0"/>
        <w:jc w:val="both"/>
        <w:rPr>
          <w:color w:val="000000" w:themeColor="text1"/>
          <w:sz w:val="16"/>
          <w:szCs w:val="16"/>
        </w:rPr>
      </w:pPr>
    </w:p>
    <w:p w14:paraId="003636E4" w14:textId="77777777" w:rsidR="009C655F" w:rsidRPr="00E14102" w:rsidRDefault="009C655F" w:rsidP="00E14102">
      <w:pPr>
        <w:pStyle w:val="rtejustify"/>
        <w:spacing w:before="0" w:after="0"/>
        <w:rPr>
          <w:color w:val="000000" w:themeColor="text1"/>
          <w:sz w:val="16"/>
          <w:szCs w:val="16"/>
        </w:rPr>
      </w:pPr>
      <w:r w:rsidRPr="00E14102">
        <w:rPr>
          <w:rStyle w:val="a6"/>
          <w:bCs/>
          <w:i w:val="0"/>
          <w:color w:val="000000" w:themeColor="text1"/>
          <w:sz w:val="16"/>
          <w:szCs w:val="16"/>
        </w:rPr>
        <w:t>4 октября 1935 вышел приказ НКО №</w:t>
      </w:r>
      <w:r w:rsidRPr="00E14102">
        <w:rPr>
          <w:color w:val="000000" w:themeColor="text1"/>
          <w:sz w:val="16"/>
          <w:szCs w:val="16"/>
        </w:rPr>
        <w:t> 0198. О войсковых испытаниях самолета СБ (15247).</w:t>
      </w:r>
    </w:p>
    <w:p w14:paraId="3AE48B24" w14:textId="77777777" w:rsidR="009C655F" w:rsidRPr="00E14102" w:rsidRDefault="009C655F" w:rsidP="00E14102">
      <w:pPr>
        <w:pStyle w:val="rtejustify"/>
        <w:spacing w:before="0" w:after="0"/>
        <w:rPr>
          <w:color w:val="000000" w:themeColor="text1"/>
          <w:sz w:val="16"/>
          <w:szCs w:val="16"/>
        </w:rPr>
      </w:pPr>
    </w:p>
    <w:p w14:paraId="6CBAB466" w14:textId="77777777" w:rsidR="009C655F" w:rsidRPr="00E14102" w:rsidRDefault="009C655F" w:rsidP="00E14102">
      <w:pPr>
        <w:pStyle w:val="rtejustify"/>
        <w:spacing w:before="0" w:after="0"/>
        <w:rPr>
          <w:color w:val="000000" w:themeColor="text1"/>
          <w:sz w:val="16"/>
          <w:szCs w:val="16"/>
        </w:rPr>
      </w:pPr>
      <w:r w:rsidRPr="00E14102">
        <w:rPr>
          <w:rStyle w:val="a6"/>
          <w:bCs/>
          <w:i w:val="0"/>
          <w:color w:val="000000" w:themeColor="text1"/>
          <w:sz w:val="16"/>
          <w:szCs w:val="16"/>
        </w:rPr>
        <w:t>4 октября 1935 вышел приказ НКО №</w:t>
      </w:r>
      <w:r w:rsidRPr="00E14102">
        <w:rPr>
          <w:color w:val="000000" w:themeColor="text1"/>
          <w:sz w:val="16"/>
          <w:szCs w:val="16"/>
        </w:rPr>
        <w:t> 0199. О войсковых испытаниях самолета ТБ</w:t>
      </w:r>
      <w:r w:rsidRPr="00E14102">
        <w:rPr>
          <w:color w:val="000000" w:themeColor="text1"/>
          <w:sz w:val="16"/>
          <w:szCs w:val="16"/>
        </w:rPr>
        <w:noBreakHyphen/>
        <w:t>3</w:t>
      </w:r>
      <w:r w:rsidRPr="00E14102">
        <w:rPr>
          <w:color w:val="000000" w:themeColor="text1"/>
          <w:sz w:val="16"/>
          <w:szCs w:val="16"/>
        </w:rPr>
        <w:noBreakHyphen/>
        <w:t>4М</w:t>
      </w:r>
      <w:r w:rsidRPr="00E14102">
        <w:rPr>
          <w:color w:val="000000" w:themeColor="text1"/>
          <w:sz w:val="16"/>
          <w:szCs w:val="16"/>
        </w:rPr>
        <w:noBreakHyphen/>
        <w:t>34 PH (15247).</w:t>
      </w:r>
    </w:p>
    <w:p w14:paraId="51A7B0DA" w14:textId="77777777" w:rsidR="009C655F" w:rsidRPr="00E14102" w:rsidRDefault="009C655F" w:rsidP="00E14102">
      <w:pPr>
        <w:pStyle w:val="rtejustify"/>
        <w:spacing w:before="0" w:after="0"/>
        <w:rPr>
          <w:color w:val="000000" w:themeColor="text1"/>
          <w:sz w:val="16"/>
          <w:szCs w:val="16"/>
        </w:rPr>
      </w:pPr>
    </w:p>
    <w:p w14:paraId="293888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октября 1935 началась постройка МТБ-2 (АНТ-44) (71,202).</w:t>
      </w:r>
    </w:p>
    <w:p w14:paraId="78DA0A50" w14:textId="77777777" w:rsidR="00D4105E" w:rsidRPr="00E14102" w:rsidRDefault="00D4105E" w:rsidP="00E14102">
      <w:pPr>
        <w:autoSpaceDE w:val="0"/>
        <w:autoSpaceDN w:val="0"/>
        <w:adjustRightInd w:val="0"/>
        <w:jc w:val="both"/>
        <w:rPr>
          <w:color w:val="000000" w:themeColor="text1"/>
          <w:sz w:val="16"/>
          <w:szCs w:val="16"/>
        </w:rPr>
      </w:pPr>
    </w:p>
    <w:p w14:paraId="5FCAA1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октября 1935 года вышло постановление СТО</w:t>
      </w:r>
    </w:p>
    <w:p w14:paraId="7BA3019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Утвердить программу 1935 года по выпуску самолетов МДР-4 3М-34Р на заводе № 31 в количестве 5 самолетов и остальные 20 самолетов сдать в I квартале 1936 года.</w:t>
      </w:r>
    </w:p>
    <w:p w14:paraId="378015D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обеспечения бесперебойности работы завода НКО произвести оплату 20 самолетов в размере 75% от установленной ориентировочной цены, с учетом стоимости мотора в сумме 10000000 рублей с нижеследующими сроками оплаты:</w:t>
      </w:r>
    </w:p>
    <w:p w14:paraId="47D347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 октябре – 4 млн. руб.</w:t>
      </w:r>
    </w:p>
    <w:p w14:paraId="0F7A3E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 ноябре - 4 млн. руб.</w:t>
      </w:r>
    </w:p>
    <w:p w14:paraId="5FBC05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 декабре – 2 млн. руб. (3475,90).</w:t>
      </w:r>
    </w:p>
    <w:p w14:paraId="4B2C9D6D" w14:textId="77777777" w:rsidR="00D4105E" w:rsidRPr="00E14102" w:rsidRDefault="00D4105E" w:rsidP="00E14102">
      <w:pPr>
        <w:autoSpaceDE w:val="0"/>
        <w:autoSpaceDN w:val="0"/>
        <w:adjustRightInd w:val="0"/>
        <w:jc w:val="both"/>
        <w:rPr>
          <w:color w:val="000000" w:themeColor="text1"/>
          <w:sz w:val="16"/>
          <w:szCs w:val="16"/>
        </w:rPr>
      </w:pPr>
    </w:p>
    <w:p w14:paraId="09A03DD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октября 1935 года в НИИ ВВС закончились гос. испытания автожира С-30 с мотором Джненет-Мажор 140 л.с., которые проходили с 25 сентября (6689).</w:t>
      </w:r>
    </w:p>
    <w:p w14:paraId="6370E90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7DA954F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НИЭ НИИ ВС Ивановский А.А.</w:t>
      </w:r>
    </w:p>
    <w:p w14:paraId="642C646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 время испытаний автожир совершил 38 полетов продолжительностью 14 час. 10 мин.</w:t>
      </w:r>
    </w:p>
    <w:p w14:paraId="161404B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Ремонта автожира и мотора за время гос. испытаний не было.</w:t>
      </w:r>
    </w:p>
    <w:p w14:paraId="190545F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7A59964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летных данных автожира С-30.</w:t>
      </w:r>
    </w:p>
    <w:p w14:paraId="59E8010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Выявление возможности военного применения автожира.</w:t>
      </w:r>
    </w:p>
    <w:p w14:paraId="347D644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97DE5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своим летным данным и конструктивным особенностям автожир С-30 представляет несомненный интерес. Проектирующим организациям следует использовать эти качества С-30 при постройке автожиров, намеченных планом опытного строительства (6689).</w:t>
      </w:r>
    </w:p>
    <w:p w14:paraId="7DDDC93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07D2A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октября 1935 года член КСК Хаханьян писал письмо Молотову.</w:t>
      </w:r>
    </w:p>
    <w:p w14:paraId="1CCFBE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Вашему поручению нами произведено расследование по существу заявления инж. С.А. Трескина.</w:t>
      </w:r>
    </w:p>
    <w:p w14:paraId="68CE15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1934 года МАИ по заданию ГУАПа приступил к разработке проекта Центрального наддува (ЦН), предложенного инж. Трескиным. После получения основных отправных материалов МАИ и ЦАГИ заключили 22 июня 1934 года соглашение о кооперировании этой работы, причем на МАИ возлагалась разработка проектов нагнетателя центрального наддува, а на ЦАГИ компоновка ЦН на самолете ТБ-3. В соответствии с указанным соглашением в октябре 1934 года Трескин послал Туполеву характеристики М34РН с ЦН для проектирования самолета. После этого Туполев вошел с ходатайством в СТО об отпуске средств на постройку тяжелого высотного самолета с ЦН (следует отметить, что в докладной записке Туполева ни словом не упоминается о Трескине).</w:t>
      </w:r>
    </w:p>
    <w:p w14:paraId="452D9067" w14:textId="77777777" w:rsidR="00D4105E" w:rsidRPr="00E14102" w:rsidRDefault="00D4105E" w:rsidP="00E14102">
      <w:pPr>
        <w:autoSpaceDE w:val="0"/>
        <w:autoSpaceDN w:val="0"/>
        <w:adjustRightInd w:val="0"/>
        <w:jc w:val="both"/>
        <w:rPr>
          <w:color w:val="000000" w:themeColor="text1"/>
          <w:sz w:val="16"/>
          <w:szCs w:val="16"/>
        </w:rPr>
      </w:pPr>
    </w:p>
    <w:p w14:paraId="000999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Еще до решения СТО в ноябре 1934 года у зам. нач. ГУАП Ермолаева состоялось техническое совещание на котором инж. Трескиным была проведена защита своего проекта ЦН. На совещании были одобрены схема и конструктивная компоновка ЦН.</w:t>
      </w:r>
    </w:p>
    <w:p w14:paraId="0B6329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МАИ в лице инж. Трескина на этом совещании было поручено закончить проект ЦН в виде рабочих чертежей. Решением того же совещания совершенно четко было установлено авторство Трескина по отношению ЦН.</w:t>
      </w:r>
    </w:p>
    <w:p w14:paraId="763B54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 жалобы Трескина являются совершенно обоснованными.</w:t>
      </w:r>
    </w:p>
    <w:p w14:paraId="5D2DA9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...(3569,10-11).</w:t>
      </w:r>
    </w:p>
    <w:p w14:paraId="3BC76E77" w14:textId="77777777" w:rsidR="00D4105E" w:rsidRPr="00E14102" w:rsidRDefault="00D4105E" w:rsidP="00E14102">
      <w:pPr>
        <w:autoSpaceDE w:val="0"/>
        <w:autoSpaceDN w:val="0"/>
        <w:adjustRightInd w:val="0"/>
        <w:jc w:val="both"/>
        <w:rPr>
          <w:color w:val="000000" w:themeColor="text1"/>
          <w:sz w:val="16"/>
          <w:szCs w:val="16"/>
        </w:rPr>
      </w:pPr>
    </w:p>
    <w:p w14:paraId="6CE5939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4 октября 1935 года вышло поручение СТО о проверке фактов, изложенных в записке Алксниса от 5 сентября 1935 года о срыве заводом № 1 правительственного задания по новым разведчикам (3475, 132).</w:t>
      </w:r>
    </w:p>
    <w:p w14:paraId="3E5CB358"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05591190" w14:textId="77777777" w:rsidR="009C655F" w:rsidRPr="00E14102" w:rsidRDefault="009C655F" w:rsidP="00E14102">
      <w:pPr>
        <w:jc w:val="both"/>
        <w:rPr>
          <w:rStyle w:val="ucoz-forum-post"/>
          <w:rFonts w:eastAsiaTheme="majorEastAsia"/>
          <w:bCs/>
          <w:color w:val="000000" w:themeColor="text1"/>
          <w:sz w:val="16"/>
          <w:szCs w:val="16"/>
        </w:rPr>
      </w:pPr>
      <w:r w:rsidRPr="00E14102">
        <w:rPr>
          <w:color w:val="000000" w:themeColor="text1"/>
          <w:sz w:val="16"/>
          <w:szCs w:val="16"/>
        </w:rPr>
        <w:t>4 октября 1935 г. СТО поручил Комиссии партийного контроля при ЦК ВКП(б) в СТО СССР проверить факты, изложенные в записке т. Алксниса от 5 сентября с. г. о срыве заводом № 1 правительственного задания по новым разведчикам (15356).</w:t>
      </w:r>
    </w:p>
    <w:p w14:paraId="45036594" w14:textId="77777777" w:rsidR="009C655F" w:rsidRPr="00E14102" w:rsidRDefault="009C655F" w:rsidP="00E14102">
      <w:pPr>
        <w:jc w:val="both"/>
        <w:rPr>
          <w:rStyle w:val="ucoz-forum-post"/>
          <w:rFonts w:eastAsiaTheme="majorEastAsia"/>
          <w:bCs/>
          <w:color w:val="000000" w:themeColor="text1"/>
          <w:sz w:val="16"/>
          <w:szCs w:val="16"/>
        </w:rPr>
      </w:pPr>
    </w:p>
    <w:p w14:paraId="2E5CB54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4 октября 1935 на Ногинский полигон поступило 62 ящика с летающими минами и Майзеля для испытаний, которые начались 8 октября (8908,37).</w:t>
      </w:r>
    </w:p>
    <w:p w14:paraId="35A469AC"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7F76BA6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8D925B6" w14:textId="77777777" w:rsidR="00D4105E" w:rsidRPr="00E14102" w:rsidRDefault="00D4105E" w:rsidP="00E14102">
      <w:pPr>
        <w:autoSpaceDE w:val="0"/>
        <w:autoSpaceDN w:val="0"/>
        <w:adjustRightInd w:val="0"/>
        <w:jc w:val="both"/>
        <w:rPr>
          <w:iCs/>
          <w:color w:val="000000" w:themeColor="text1"/>
          <w:sz w:val="16"/>
          <w:szCs w:val="16"/>
        </w:rPr>
      </w:pPr>
    </w:p>
    <w:p w14:paraId="0D885E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октября 1935 на трассу приехали председатель СНК СССР В. М. Молотов, его заместители Я. Э. Рудзутак, В. И. Межлаук и Н. К. Антипов, Ягода и начальник ГУЛАГа Берман. Они осмотрели плотины и шлюзы на Перерве и в Карамышево, 8-й шлюз на Волоколамском шоссе, мост у станции Химки и Глубокую выемку (7560).</w:t>
      </w:r>
    </w:p>
    <w:p w14:paraId="438B309E" w14:textId="77777777" w:rsidR="00D4105E" w:rsidRPr="00E14102" w:rsidRDefault="00D4105E" w:rsidP="00E14102">
      <w:pPr>
        <w:autoSpaceDE w:val="0"/>
        <w:autoSpaceDN w:val="0"/>
        <w:adjustRightInd w:val="0"/>
        <w:jc w:val="both"/>
        <w:rPr>
          <w:color w:val="000000" w:themeColor="text1"/>
          <w:sz w:val="16"/>
          <w:szCs w:val="16"/>
        </w:rPr>
      </w:pPr>
    </w:p>
    <w:p w14:paraId="4DD4F896" w14:textId="77777777" w:rsidR="00956A72" w:rsidRPr="00E14102" w:rsidRDefault="00956A72"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4 октября </w:t>
      </w:r>
      <w:r w:rsidRPr="00E14102">
        <w:rPr>
          <w:color w:val="000000" w:themeColor="text1"/>
          <w:sz w:val="16"/>
          <w:szCs w:val="16"/>
        </w:rPr>
        <w:t>в 1935 году при Всесоюзном комитете по радиофикации и радиовещанию была организована специальная литературно-драматическая студия. Она вела запись на кинопленку лучших спектаклей московских театров и радиопостановок. Одновременно была создана фабрика радиофильмов (14789).</w:t>
      </w:r>
    </w:p>
    <w:p w14:paraId="7E516E80" w14:textId="77777777" w:rsidR="00956A72" w:rsidRPr="00E14102" w:rsidRDefault="00956A72" w:rsidP="00E14102">
      <w:pPr>
        <w:jc w:val="both"/>
        <w:rPr>
          <w:color w:val="000000" w:themeColor="text1"/>
          <w:sz w:val="16"/>
          <w:szCs w:val="16"/>
        </w:rPr>
      </w:pPr>
    </w:p>
    <w:p w14:paraId="150926C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B225B85" w14:textId="77777777" w:rsidR="00D4105E" w:rsidRPr="00E14102" w:rsidRDefault="00D4105E" w:rsidP="00E14102">
      <w:pPr>
        <w:autoSpaceDE w:val="0"/>
        <w:autoSpaceDN w:val="0"/>
        <w:adjustRightInd w:val="0"/>
        <w:jc w:val="both"/>
        <w:rPr>
          <w:iCs/>
          <w:color w:val="000000" w:themeColor="text1"/>
          <w:sz w:val="16"/>
          <w:szCs w:val="16"/>
        </w:rPr>
      </w:pPr>
    </w:p>
    <w:p w14:paraId="101DB7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октября 1935 на аэродром вышел ДИ-6 в варианте штурмовика. Он вооружен 4-мя пулеметами ПВ-1 вперед и одним ШКАСом назад. Максимальная скорость полета, согласно требованиям 390-400 км/час (3120).</w:t>
      </w:r>
    </w:p>
    <w:p w14:paraId="5F02C2AF" w14:textId="77777777" w:rsidR="00D4105E" w:rsidRPr="00E14102" w:rsidRDefault="00D4105E" w:rsidP="00E14102">
      <w:pPr>
        <w:autoSpaceDE w:val="0"/>
        <w:autoSpaceDN w:val="0"/>
        <w:adjustRightInd w:val="0"/>
        <w:jc w:val="both"/>
        <w:rPr>
          <w:color w:val="000000" w:themeColor="text1"/>
          <w:sz w:val="16"/>
          <w:szCs w:val="16"/>
        </w:rPr>
      </w:pPr>
    </w:p>
    <w:p w14:paraId="07F390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октября 1935 года гл. конструктор завода № 115 А. Яковлев писал письмо наркому обороны и начальнику воздушных сил</w:t>
      </w:r>
    </w:p>
    <w:p w14:paraId="25EF48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Наша авиапромышленность в деле создания новых самолетов, в частности, истребительного типа, идет по пути все большего увеличения мощностей моторов, 800-1000 л.с. и все большего усложнения конструкции и технологии самолета.</w:t>
      </w:r>
    </w:p>
    <w:p w14:paraId="67B925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приводит к значительному удорожанию эксплуатации и стоимости самого самолета, достигающей сейчас для серийного "И-15" – ста пятидесяти тысяч рублей.</w:t>
      </w:r>
    </w:p>
    <w:p w14:paraId="44CF66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Имеется возможность добиться от истребительного самолета необходимых летно-технических качеств при самой простейшей конструкции и производственном выполнении при гораздо меньшей мощности мотора.</w:t>
      </w:r>
    </w:p>
    <w:p w14:paraId="638F88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Блестящие данные самолетов "Кодрон" во Франции и "Комета" в Англии достаточно убедительны.</w:t>
      </w:r>
    </w:p>
    <w:p w14:paraId="148363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КБ завода № 115 разработаны 2 типа маломощных истребителей со следующими характеристиками:</w:t>
      </w:r>
    </w:p>
    <w:p w14:paraId="0F93BD5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с пушечным мотором. Конструкция самолета целиком деревянная. Вооружение – скорострельная автоматическая пушка Шпитального. Стрельба через винт.</w:t>
      </w:r>
    </w:p>
    <w:p w14:paraId="31D27B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моторе "Вальтер" – 240 л.с.</w:t>
      </w:r>
    </w:p>
    <w:p w14:paraId="72CF5A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Скорость максимальная – 405-415 км/час</w:t>
      </w:r>
    </w:p>
    <w:p w14:paraId="17D3DF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 8000 м</w:t>
      </w:r>
    </w:p>
    <w:p w14:paraId="361FC6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Тот же самолет при моторе "Рено" – 350 л.с.</w:t>
      </w:r>
    </w:p>
    <w:p w14:paraId="7C1362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 480-500 км/час</w:t>
      </w:r>
    </w:p>
    <w:p w14:paraId="0EAE37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 9000 м</w:t>
      </w:r>
    </w:p>
    <w:p w14:paraId="4C95FC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Стоимость самолета в серийном производстве 25-30 тыс. рублей.</w:t>
      </w:r>
    </w:p>
    <w:p w14:paraId="3104CA5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с двумя пушечными моторами. Конструкция целиком деревянная. Вооружение – 2 пушки. Стрельба через винт.</w:t>
      </w:r>
    </w:p>
    <w:p w14:paraId="1FD422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моторах "Вальтер" – 240 л.с.</w:t>
      </w:r>
    </w:p>
    <w:p w14:paraId="282A7B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 415-420 км/час</w:t>
      </w:r>
    </w:p>
    <w:p w14:paraId="00CAFB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 8000 м</w:t>
      </w:r>
    </w:p>
    <w:p w14:paraId="061EFB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моторах "Рено" – 350 л.с.</w:t>
      </w:r>
    </w:p>
    <w:p w14:paraId="6DAD9D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 480-490 км/час</w:t>
      </w:r>
    </w:p>
    <w:p w14:paraId="38706F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 9000 м</w:t>
      </w:r>
    </w:p>
    <w:p w14:paraId="4C7645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Стоимость самолета в серийном производстве 35-40 тыс. рублей.</w:t>
      </w:r>
    </w:p>
    <w:p w14:paraId="704CA8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Оба самолета заводом № 115 могут быть построены в середине лета 1936 года.</w:t>
      </w:r>
    </w:p>
    <w:p w14:paraId="47F9A1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этого нужно:</w:t>
      </w:r>
    </w:p>
    <w:p w14:paraId="4EA753C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Выписать из-за границы моторы:</w:t>
      </w:r>
    </w:p>
    <w:p w14:paraId="04456BC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"Вальтер" – 240 л.с. – 5 шт.</w:t>
      </w:r>
    </w:p>
    <w:p w14:paraId="7645A35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"Рено" – 350 л.с. – 5 шт.</w:t>
      </w:r>
    </w:p>
    <w:p w14:paraId="6899055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Ассигновать заводу № 115 средства в сумме 1200000 рублей на осуществление постройки опытных самолетов в количестве по 2 шт. каждого типа (3527, 110).</w:t>
      </w:r>
    </w:p>
    <w:p w14:paraId="516EE3CC"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2625F9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октября 1935 г. гл. конструктор завода 115 Яковлев писал письмо наркому обороны и начальнику ВС.</w:t>
      </w:r>
    </w:p>
    <w:p w14:paraId="19DBCF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Наша авиапромышленность в деле создания новых самолетов, в частности истребительного типа, идет по пути все большего увеличения мощностей моторов, 800-1000 л.с. и все большего усложнения конструкции и технологии самолета.</w:t>
      </w:r>
    </w:p>
    <w:p w14:paraId="20ABD1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приводит к значительному удорожанию эксплуатации и стоимости самого самолета, достигающей сейчас для серийного И-15 - 150000 рублей.</w:t>
      </w:r>
    </w:p>
    <w:p w14:paraId="7AA32E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Имеется возможность добиться от истребительного самолета необходимых летно-технических качеств при самой простейшей конструкции и производственном выполнении при гораздо меньшей мощности мотора.</w:t>
      </w:r>
    </w:p>
    <w:p w14:paraId="614DE7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Блестящие данные самолетов "Кодрон" во Франции и "Комета" в Англии достаточно убедительны.</w:t>
      </w:r>
    </w:p>
    <w:p w14:paraId="04B3A9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КБ завода N 115 разработаны 2 типа маломощных истребителей со следующими характеристиками:</w:t>
      </w:r>
    </w:p>
    <w:p w14:paraId="7B6CCF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Одноместный истребитель с пушечным мотором. Конструкция самолета целиком деревянная. Вооружение - скорострельная автоматическая пушка Шпитального. Стрельба через винт.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3599D" w:rsidRPr="00E14102" w14:paraId="4E0BCE16" w14:textId="77777777">
        <w:tc>
          <w:tcPr>
            <w:tcW w:w="5636" w:type="dxa"/>
            <w:tcBorders>
              <w:top w:val="single" w:sz="12" w:space="0" w:color="auto"/>
            </w:tcBorders>
          </w:tcPr>
          <w:p w14:paraId="187094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моторе "Вальтер"</w:t>
            </w:r>
          </w:p>
        </w:tc>
        <w:tc>
          <w:tcPr>
            <w:tcW w:w="5636" w:type="dxa"/>
            <w:tcBorders>
              <w:top w:val="single" w:sz="12" w:space="0" w:color="auto"/>
            </w:tcBorders>
          </w:tcPr>
          <w:p w14:paraId="31EF8D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 л.с.</w:t>
            </w:r>
          </w:p>
        </w:tc>
      </w:tr>
      <w:tr w:rsidR="00E3599D" w:rsidRPr="00E14102" w14:paraId="2AEA6C3B" w14:textId="77777777">
        <w:tc>
          <w:tcPr>
            <w:tcW w:w="5636" w:type="dxa"/>
          </w:tcPr>
          <w:p w14:paraId="35EDEE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w:t>
            </w:r>
          </w:p>
        </w:tc>
        <w:tc>
          <w:tcPr>
            <w:tcW w:w="5636" w:type="dxa"/>
          </w:tcPr>
          <w:p w14:paraId="03D203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405-415 км/час</w:t>
            </w:r>
          </w:p>
        </w:tc>
      </w:tr>
      <w:tr w:rsidR="00E3599D" w:rsidRPr="00E14102" w14:paraId="45E46E7C" w14:textId="77777777">
        <w:tc>
          <w:tcPr>
            <w:tcW w:w="5636" w:type="dxa"/>
          </w:tcPr>
          <w:p w14:paraId="7E46E9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w:t>
            </w:r>
          </w:p>
        </w:tc>
        <w:tc>
          <w:tcPr>
            <w:tcW w:w="5636" w:type="dxa"/>
          </w:tcPr>
          <w:p w14:paraId="0176CE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 м</w:t>
            </w:r>
          </w:p>
        </w:tc>
      </w:tr>
      <w:tr w:rsidR="00E3599D" w:rsidRPr="00E14102" w14:paraId="7F7DCEFE" w14:textId="77777777">
        <w:tc>
          <w:tcPr>
            <w:tcW w:w="5636" w:type="dxa"/>
          </w:tcPr>
          <w:p w14:paraId="676F73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Тот же самолет при</w:t>
            </w:r>
          </w:p>
        </w:tc>
        <w:tc>
          <w:tcPr>
            <w:tcW w:w="5636" w:type="dxa"/>
          </w:tcPr>
          <w:p w14:paraId="39AEBC6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EE2BD5F" w14:textId="77777777">
        <w:tc>
          <w:tcPr>
            <w:tcW w:w="5636" w:type="dxa"/>
          </w:tcPr>
          <w:p w14:paraId="187AEC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моторе "Рено"</w:t>
            </w:r>
          </w:p>
        </w:tc>
        <w:tc>
          <w:tcPr>
            <w:tcW w:w="5636" w:type="dxa"/>
          </w:tcPr>
          <w:p w14:paraId="3EDCFD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 л.с.</w:t>
            </w:r>
          </w:p>
        </w:tc>
      </w:tr>
      <w:tr w:rsidR="00E3599D" w:rsidRPr="00E14102" w14:paraId="734522FF" w14:textId="77777777">
        <w:tc>
          <w:tcPr>
            <w:tcW w:w="5636" w:type="dxa"/>
          </w:tcPr>
          <w:p w14:paraId="1B87AD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w:t>
            </w:r>
          </w:p>
        </w:tc>
        <w:tc>
          <w:tcPr>
            <w:tcW w:w="5636" w:type="dxa"/>
          </w:tcPr>
          <w:p w14:paraId="3F0D10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480-500 км/час</w:t>
            </w:r>
          </w:p>
        </w:tc>
      </w:tr>
      <w:tr w:rsidR="00E3599D" w:rsidRPr="00E14102" w14:paraId="0314B3B6" w14:textId="77777777">
        <w:tc>
          <w:tcPr>
            <w:tcW w:w="5636" w:type="dxa"/>
            <w:tcBorders>
              <w:bottom w:val="single" w:sz="12" w:space="0" w:color="auto"/>
            </w:tcBorders>
          </w:tcPr>
          <w:p w14:paraId="3E5C77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w:t>
            </w:r>
          </w:p>
        </w:tc>
        <w:tc>
          <w:tcPr>
            <w:tcW w:w="5636" w:type="dxa"/>
            <w:tcBorders>
              <w:bottom w:val="single" w:sz="12" w:space="0" w:color="auto"/>
            </w:tcBorders>
          </w:tcPr>
          <w:p w14:paraId="7C5926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9000 м</w:t>
            </w:r>
          </w:p>
        </w:tc>
      </w:tr>
    </w:tbl>
    <w:p w14:paraId="4C3F06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Стоимость самолета в серийном производстве 25-30 тыс. рублей.</w:t>
      </w:r>
    </w:p>
    <w:p w14:paraId="28EC8E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Одноместный истребитель с двумя пушечными моторами. Конструкция самолета целиком деревянная. Вооружение - 2 пушки. Стрельба через винт.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3599D" w:rsidRPr="00E14102" w14:paraId="28B53CBF" w14:textId="77777777">
        <w:tc>
          <w:tcPr>
            <w:tcW w:w="5636" w:type="dxa"/>
            <w:tcBorders>
              <w:top w:val="single" w:sz="12" w:space="0" w:color="auto"/>
            </w:tcBorders>
          </w:tcPr>
          <w:p w14:paraId="16256A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моторе "Вальтер"</w:t>
            </w:r>
          </w:p>
        </w:tc>
        <w:tc>
          <w:tcPr>
            <w:tcW w:w="5636" w:type="dxa"/>
            <w:tcBorders>
              <w:top w:val="single" w:sz="12" w:space="0" w:color="auto"/>
            </w:tcBorders>
          </w:tcPr>
          <w:p w14:paraId="347287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 л.с.</w:t>
            </w:r>
          </w:p>
        </w:tc>
      </w:tr>
      <w:tr w:rsidR="00E3599D" w:rsidRPr="00E14102" w14:paraId="77D267FF" w14:textId="77777777">
        <w:tc>
          <w:tcPr>
            <w:tcW w:w="5636" w:type="dxa"/>
          </w:tcPr>
          <w:p w14:paraId="4BE838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w:t>
            </w:r>
          </w:p>
        </w:tc>
        <w:tc>
          <w:tcPr>
            <w:tcW w:w="5636" w:type="dxa"/>
          </w:tcPr>
          <w:p w14:paraId="26CBE9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415-420 км/час</w:t>
            </w:r>
          </w:p>
        </w:tc>
      </w:tr>
      <w:tr w:rsidR="00E3599D" w:rsidRPr="00E14102" w14:paraId="69C3F558" w14:textId="77777777">
        <w:tc>
          <w:tcPr>
            <w:tcW w:w="5636" w:type="dxa"/>
          </w:tcPr>
          <w:p w14:paraId="5DECA3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w:t>
            </w:r>
          </w:p>
        </w:tc>
        <w:tc>
          <w:tcPr>
            <w:tcW w:w="5636" w:type="dxa"/>
          </w:tcPr>
          <w:p w14:paraId="5A4024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 м</w:t>
            </w:r>
          </w:p>
        </w:tc>
      </w:tr>
      <w:tr w:rsidR="00E3599D" w:rsidRPr="00E14102" w14:paraId="1C425303" w14:textId="77777777">
        <w:tc>
          <w:tcPr>
            <w:tcW w:w="5636" w:type="dxa"/>
          </w:tcPr>
          <w:p w14:paraId="1DA824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Тот же самолет при</w:t>
            </w:r>
          </w:p>
        </w:tc>
        <w:tc>
          <w:tcPr>
            <w:tcW w:w="5636" w:type="dxa"/>
          </w:tcPr>
          <w:p w14:paraId="568A8CA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A2D5CA5" w14:textId="77777777">
        <w:tc>
          <w:tcPr>
            <w:tcW w:w="5636" w:type="dxa"/>
          </w:tcPr>
          <w:p w14:paraId="37774E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моторе "Рено"</w:t>
            </w:r>
          </w:p>
        </w:tc>
        <w:tc>
          <w:tcPr>
            <w:tcW w:w="5636" w:type="dxa"/>
          </w:tcPr>
          <w:p w14:paraId="771E22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 л.с.</w:t>
            </w:r>
          </w:p>
        </w:tc>
      </w:tr>
      <w:tr w:rsidR="00E3599D" w:rsidRPr="00E14102" w14:paraId="3CEA3777" w14:textId="77777777">
        <w:tc>
          <w:tcPr>
            <w:tcW w:w="5636" w:type="dxa"/>
          </w:tcPr>
          <w:p w14:paraId="1947FB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w:t>
            </w:r>
          </w:p>
        </w:tc>
        <w:tc>
          <w:tcPr>
            <w:tcW w:w="5636" w:type="dxa"/>
          </w:tcPr>
          <w:p w14:paraId="797FF5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480-490 км/час</w:t>
            </w:r>
          </w:p>
        </w:tc>
      </w:tr>
      <w:tr w:rsidR="00E3599D" w:rsidRPr="00E14102" w14:paraId="3D195CAB" w14:textId="77777777">
        <w:tc>
          <w:tcPr>
            <w:tcW w:w="5636" w:type="dxa"/>
            <w:tcBorders>
              <w:bottom w:val="single" w:sz="12" w:space="0" w:color="auto"/>
            </w:tcBorders>
          </w:tcPr>
          <w:p w14:paraId="005EAE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w:t>
            </w:r>
          </w:p>
        </w:tc>
        <w:tc>
          <w:tcPr>
            <w:tcW w:w="5636" w:type="dxa"/>
            <w:tcBorders>
              <w:bottom w:val="single" w:sz="12" w:space="0" w:color="auto"/>
            </w:tcBorders>
          </w:tcPr>
          <w:p w14:paraId="4B55FE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9000 м</w:t>
            </w:r>
          </w:p>
        </w:tc>
      </w:tr>
    </w:tbl>
    <w:p w14:paraId="1104D8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Стоимость самолета в серийном производстве 35-40 тыс. рублей.</w:t>
      </w:r>
    </w:p>
    <w:p w14:paraId="01E317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Оба самолета могут быть построены заводом N 115 в середине лета 1936 года. (3123,71).</w:t>
      </w:r>
    </w:p>
    <w:p w14:paraId="001B3341" w14:textId="77777777" w:rsidR="00D4105E" w:rsidRPr="00E14102" w:rsidRDefault="00D4105E" w:rsidP="00E14102">
      <w:pPr>
        <w:autoSpaceDE w:val="0"/>
        <w:autoSpaceDN w:val="0"/>
        <w:adjustRightInd w:val="0"/>
        <w:jc w:val="both"/>
        <w:rPr>
          <w:color w:val="000000" w:themeColor="text1"/>
          <w:sz w:val="16"/>
          <w:szCs w:val="16"/>
        </w:rPr>
      </w:pPr>
    </w:p>
    <w:p w14:paraId="15BF375C" w14:textId="77777777" w:rsidR="00177841" w:rsidRPr="00E14102" w:rsidRDefault="00177841" w:rsidP="00E14102">
      <w:pPr>
        <w:pStyle w:val="ad"/>
        <w:spacing w:before="0" w:after="0"/>
        <w:rPr>
          <w:rFonts w:ascii="Times New Roman" w:hAnsi="Times New Roman" w:cs="Times New Roman"/>
          <w:color w:val="0070C0"/>
          <w:sz w:val="16"/>
          <w:szCs w:val="16"/>
          <w:lang w:val="ru-RU"/>
        </w:rPr>
      </w:pPr>
      <w:r w:rsidRPr="00E14102">
        <w:rPr>
          <w:rFonts w:ascii="Times New Roman" w:hAnsi="Times New Roman" w:cs="Times New Roman"/>
          <w:color w:val="0070C0"/>
          <w:sz w:val="16"/>
          <w:szCs w:val="16"/>
          <w:lang w:val="ru-RU"/>
        </w:rPr>
        <w:t>5 октября 1935 года А.С.Я. писал Наркому Обороны и Начальнику ВВС: «Наша авиапромышленность в деле создания новых самолетов, в частности, истребительного типа, идет по пути все большего увеличения мощностей моторов, 800-1000 л.с. и все большего усложнения конструкции и технологии самолета. Это приводит к значительному удорожанию эксплуатации и стоимости самого самолета, достигающей сейчас для серийного «И-15» – ста пятидесяти тысяч рублей. Имеется возможность добиться от истребительного самолета необходимых летно-технических качеств, при самой простейшей конструкции и производственном выполнении при гораздо меньшей мощности мотора. Блестящие данные самолетов «Кодрон» во Франции и «Комета» в Англии достаточно убедительны». Далее в письме отмечалось, что КБ завода №115 разработаны два типа маломощных истребителей. Одномоторный и двухмоторный цельнодеревянные машины под двигатели «Вальтер» мощностью 240 л.с. или «Рено» – 350 л.с. с пушками ШВАК со стрельбой через вал винта. В зависимости от типа мотора, они могли разгоняться до 420-500 км/ч и иметь потолок 8-9 км. Расчетная стоимость самолетов была в пределах 25-40 тысяч рублей. Постройка могла быть закончена в середине 1936 года. А.С. Яковлев просил 1 200 000 рублей для изготовления четырех истребителей и, сверх того, закупку пяти «Рено» и пяти «Вальтеров». Были у него и другие идеи, но сначала надо было получить моторы (19842).</w:t>
      </w:r>
    </w:p>
    <w:p w14:paraId="63BB8D7A" w14:textId="77777777" w:rsidR="00177841" w:rsidRPr="00E14102" w:rsidRDefault="00177841" w:rsidP="00E14102">
      <w:pPr>
        <w:jc w:val="both"/>
        <w:rPr>
          <w:color w:val="0070C0"/>
          <w:sz w:val="16"/>
          <w:szCs w:val="16"/>
          <w:shd w:val="clear" w:color="auto" w:fill="DCDCDC"/>
        </w:rPr>
      </w:pPr>
    </w:p>
    <w:p w14:paraId="2E89F3E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 октября 1936 года Начальник управления ВС Алкснис утвердил Отчет по гос. испытанию самолета У-4 М-11 (6732).</w:t>
      </w:r>
    </w:p>
    <w:p w14:paraId="7D5E7A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2C8569B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в/инженер 2 ранга Ивановский А.А.</w:t>
      </w:r>
    </w:p>
    <w:p w14:paraId="1535FB7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ст. лейтенант Расстриги А.Ф.</w:t>
      </w:r>
    </w:p>
    <w:p w14:paraId="52FD81A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62632FE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возможности применения самолета У-4 для первоначального обучения и замены им существующего самолета У-2.</w:t>
      </w:r>
    </w:p>
    <w:p w14:paraId="12312A5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Снятие летных характеристик самолета и выявление его основных летных качеств.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E3599D" w:rsidRPr="00E14102" w14:paraId="75F8F4D5" w14:textId="77777777">
        <w:tc>
          <w:tcPr>
            <w:tcW w:w="4428" w:type="dxa"/>
            <w:tcBorders>
              <w:top w:val="single" w:sz="12" w:space="0" w:color="auto"/>
            </w:tcBorders>
          </w:tcPr>
          <w:p w14:paraId="03318C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Горизонтальные максимальные скорости</w:t>
            </w:r>
          </w:p>
          <w:p w14:paraId="1EEB5F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 земли</w:t>
            </w:r>
          </w:p>
          <w:p w14:paraId="46CB4C6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Н=1000 м</w:t>
            </w:r>
          </w:p>
          <w:p w14:paraId="0040003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Н=3000 м</w:t>
            </w:r>
          </w:p>
        </w:tc>
        <w:tc>
          <w:tcPr>
            <w:tcW w:w="4428" w:type="dxa"/>
            <w:tcBorders>
              <w:top w:val="single" w:sz="12" w:space="0" w:color="auto"/>
            </w:tcBorders>
          </w:tcPr>
          <w:p w14:paraId="3253FE5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B502A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170,5 км/час</w:t>
            </w:r>
          </w:p>
          <w:p w14:paraId="2D8851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169,0 км/час</w:t>
            </w:r>
          </w:p>
          <w:p w14:paraId="61BBA01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153,5 км/час</w:t>
            </w:r>
          </w:p>
        </w:tc>
      </w:tr>
      <w:tr w:rsidR="00E3599D" w:rsidRPr="00E14102" w14:paraId="55458B47" w14:textId="77777777">
        <w:tc>
          <w:tcPr>
            <w:tcW w:w="4428" w:type="dxa"/>
          </w:tcPr>
          <w:p w14:paraId="6AD579D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Скороподъемность</w:t>
            </w:r>
          </w:p>
          <w:p w14:paraId="1AB07E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 Н=1000 м</w:t>
            </w:r>
          </w:p>
          <w:p w14:paraId="7FED35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до Н=3000 м</w:t>
            </w:r>
          </w:p>
        </w:tc>
        <w:tc>
          <w:tcPr>
            <w:tcW w:w="4428" w:type="dxa"/>
          </w:tcPr>
          <w:p w14:paraId="4A2AE07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9F23B6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6,4 мин.</w:t>
            </w:r>
          </w:p>
          <w:p w14:paraId="0CDEAAA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29,6 мин.</w:t>
            </w:r>
          </w:p>
        </w:tc>
      </w:tr>
      <w:tr w:rsidR="00E3599D" w:rsidRPr="00E14102" w14:paraId="78B32412" w14:textId="77777777">
        <w:tc>
          <w:tcPr>
            <w:tcW w:w="4428" w:type="dxa"/>
          </w:tcPr>
          <w:p w14:paraId="67FD0E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p w14:paraId="7234E4D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закрытыми щитками</w:t>
            </w:r>
          </w:p>
          <w:p w14:paraId="723BD9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открытыми щитками</w:t>
            </w:r>
          </w:p>
        </w:tc>
        <w:tc>
          <w:tcPr>
            <w:tcW w:w="4428" w:type="dxa"/>
          </w:tcPr>
          <w:p w14:paraId="7D0B7C97"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CB79A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70 км/час</w:t>
            </w:r>
          </w:p>
          <w:p w14:paraId="6AA28AC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 км/час</w:t>
            </w:r>
          </w:p>
        </w:tc>
      </w:tr>
      <w:tr w:rsidR="00E3599D" w:rsidRPr="00E14102" w14:paraId="27AA0AB6" w14:textId="77777777">
        <w:tc>
          <w:tcPr>
            <w:tcW w:w="4428" w:type="dxa"/>
          </w:tcPr>
          <w:p w14:paraId="0B7BCBB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Потолок практический</w:t>
            </w:r>
          </w:p>
        </w:tc>
        <w:tc>
          <w:tcPr>
            <w:tcW w:w="4428" w:type="dxa"/>
          </w:tcPr>
          <w:p w14:paraId="2741F03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4000 м</w:t>
            </w:r>
          </w:p>
        </w:tc>
      </w:tr>
      <w:tr w:rsidR="00E3599D" w:rsidRPr="00E14102" w14:paraId="69089218" w14:textId="77777777">
        <w:tc>
          <w:tcPr>
            <w:tcW w:w="4428" w:type="dxa"/>
          </w:tcPr>
          <w:p w14:paraId="4169A49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Разбег</w:t>
            </w:r>
          </w:p>
        </w:tc>
        <w:tc>
          <w:tcPr>
            <w:tcW w:w="4428" w:type="dxa"/>
          </w:tcPr>
          <w:p w14:paraId="0CDBD86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130 м</w:t>
            </w:r>
          </w:p>
        </w:tc>
      </w:tr>
      <w:tr w:rsidR="00E3599D" w:rsidRPr="00E14102" w14:paraId="5BA166F1" w14:textId="77777777">
        <w:tc>
          <w:tcPr>
            <w:tcW w:w="4428" w:type="dxa"/>
            <w:tcBorders>
              <w:bottom w:val="single" w:sz="12" w:space="0" w:color="auto"/>
            </w:tcBorders>
          </w:tcPr>
          <w:p w14:paraId="08D99DE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Пробег</w:t>
            </w:r>
          </w:p>
          <w:p w14:paraId="1F8B721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закрытыми щитками</w:t>
            </w:r>
          </w:p>
          <w:p w14:paraId="43A3FD7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открытыми щитками</w:t>
            </w:r>
          </w:p>
        </w:tc>
        <w:tc>
          <w:tcPr>
            <w:tcW w:w="4428" w:type="dxa"/>
            <w:tcBorders>
              <w:bottom w:val="single" w:sz="12" w:space="0" w:color="auto"/>
            </w:tcBorders>
          </w:tcPr>
          <w:p w14:paraId="0540CCA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1F6E7A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150 м</w:t>
            </w:r>
          </w:p>
          <w:p w14:paraId="182196C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80 м</w:t>
            </w:r>
          </w:p>
        </w:tc>
      </w:tr>
    </w:tbl>
    <w:p w14:paraId="59F71CE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Заключение</w:t>
      </w:r>
    </w:p>
    <w:p w14:paraId="781D366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У-4 М-11 конструкции и постройки завода № 23 в предъявленном виде по своим летно-эксплоатационным качествам менее подходит для первоначального обучения, чем существующий самолет У-2.</w:t>
      </w:r>
    </w:p>
    <w:p w14:paraId="13BC7E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21 августа по 11 сентября 1936 года самолет У-4 совершил 76 полетов общей продолжительностью 24 час. 17 мин.</w:t>
      </w:r>
    </w:p>
    <w:p w14:paraId="413CD64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У-4 является дальнейшей модификацией самолета У-2 после экспериментального самолета Э-23 (участвовавшего в 1-м всесоюзном перелете по конкурсу легких самолетов в 1935 году) (6732).</w:t>
      </w:r>
    </w:p>
    <w:p w14:paraId="55F5FB1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8ADDD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октября 1935 года постановление № 2248-367сс СНК</w:t>
      </w:r>
    </w:p>
    <w:p w14:paraId="2107CF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самолетах типа "Небесная блоха"</w:t>
      </w:r>
    </w:p>
    <w:p w14:paraId="43B86B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СНК постановляет:</w:t>
      </w:r>
    </w:p>
    <w:p w14:paraId="150DA7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Разрешить Центральному Совету Осоавиахима и Авианито:</w:t>
      </w:r>
    </w:p>
    <w:p w14:paraId="47E8E3F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Приступить к конструированию в конкурсном порядке опытных образцов самолета типа "Небесная блоха" и к последующему распространению лучшего образца по системе Аэроклубов.</w:t>
      </w:r>
    </w:p>
    <w:p w14:paraId="4C7D45B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Предложить НКВТ закупить за границей пять маломощных моторов для этих самолетов ……………..(7516, 188).</w:t>
      </w:r>
    </w:p>
    <w:p w14:paraId="7CE7EA38"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681172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октября 1935 года начальник Глававиапрома Королев писал письмо № 270/4458сс Базилевичу</w:t>
      </w:r>
    </w:p>
    <w:p w14:paraId="006C65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 об изменении сроков выпуска некоторых объектов на госиспытания по плану, утвержденному правительством 16 апреля 1935 года</w:t>
      </w:r>
    </w:p>
    <w:p w14:paraId="598298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процессе выполнения плана опытного самолето- и моторостроения возник ряд затруднений производственного и организационного порядка задержавший выпуск некоторых объектов в установленные сроки.</w:t>
      </w:r>
    </w:p>
    <w:p w14:paraId="022981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силу этого, прошу по нижеследующим объектам изменить сроки предъявления на госиспытания:</w:t>
      </w:r>
    </w:p>
    <w:p w14:paraId="0D4D28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самолетам:</w:t>
      </w:r>
    </w:p>
    <w:p w14:paraId="6404C9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p w14:paraId="26AC0B2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И-17 М-100 (пулеметный вариант) – 1 ноября 1935 года вместо 1 сентября 1935 года. Причиной, задержавшей своевременный выпуск самолета послужили технические трудности при производстве отдельных частей самолета (закалка хромомолибденовых лонжеронов центроплана). В настоящее время самолет находится на заводских испытаниях.</w:t>
      </w:r>
    </w:p>
    <w:p w14:paraId="313570F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И-17 М-100 (И-18 – пушечный вариант И-17) 1 марта 1936 года вместо 1 сентября 1935 года. Этот вариант потребовал полной переработки проекта, что вызвало непредвиденную затрату времени. Кроме того, недоработанность вопроса вооружения пушкой через вал мотора (Шпитальный) явилась причиной, тормозящей работу.</w:t>
      </w:r>
    </w:p>
    <w:p w14:paraId="6A3BE01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И-19 М-85 1 июля 1936 года вместо 1 апреля 1936 года. Срок изменяется в связи с задержками по выпуску по выпуску самолетов И-17 и И-18.</w:t>
      </w:r>
    </w:p>
    <w:p w14:paraId="160FBD5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СР-М85 (скоростной разведчик) 1 января 1936 года вместо 1 сентября 1935 года. Причины, задерживающие выпуск самолета те же, что и по самолету И-17 пулеметный вариант (трудности получения полноценной закалки хромомолибденовых лонжеронов центроплана).</w:t>
      </w:r>
    </w:p>
    <w:p w14:paraId="74DEE82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В.С. – 1 июля 1936 года вместо 1 апреля 1936 года. Задание дано только 16 апреля 1935 года. Кроме того, утверждение технико-экономических требований в связи с унификацией его с артиллерийским корректировщиком последовало лишь в сентябре 1935 года.</w:t>
      </w:r>
    </w:p>
    <w:p w14:paraId="267BFEB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СБ 2М-85 – 1 мая 1936 года вместо 1 февраля 1936 года. Задание с повышенными данными дано только 16 апреля 1935 года. 1-й же экземпляр, данный по плану от 14 июля 1934 года будет выпущен к 1 декабря 1935 года на заводские испытания.</w:t>
      </w:r>
    </w:p>
    <w:p w14:paraId="7DE6E23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ДИ-6 РЦ (вариант штурмовика) – 5 ноября вместо 20 сентября. Изменение срока вызвано необходимостью разборки машины для устранения дефектов (трещины в основном шпангоуте к которому крепится моторная рама) обнаруженных при осмотре после продолжительной эксплуатации (500 посадок).</w:t>
      </w:r>
    </w:p>
    <w:p w14:paraId="1D81DD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p w14:paraId="1A094F7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ДИ-8 2М-85 – 1 ноября 1935 года вместо 1 августа 1935 года. Самолет вышел 17 июля 1935 года на заводские испытания. Ввиду недостаточности времени (до 1 августа 1935 года) нужного для проведения доводок и испытания, предъявление на госиспытание опоздает (обнаружена необходимость изменения концевых частей крыла и переделка вилки шасси).</w:t>
      </w:r>
    </w:p>
    <w:p w14:paraId="7239DCE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Геликоптер. Срок по плану СТО от 14 июля 1934 года был 1 февраля 1936 года. Срок по плану 16 апреля утвержден – 1 июля 1935 года. Очевидная опечатка, которую необходимо исправить на 1 июля 1936 года.</w:t>
      </w:r>
    </w:p>
    <w:p w14:paraId="30DD240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Т-1 (ЛК-4) – 1 апреля 1936 года вместо 1 января 1936 года, ввиду изменения задания (вместо легкого крейсера на торпедоносец) в середине 1935 года.</w:t>
      </w:r>
    </w:p>
    <w:p w14:paraId="2EBBCF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18</w:t>
      </w:r>
    </w:p>
    <w:p w14:paraId="760F5D8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СБ 2М-34 ФРН – 1 декабря 1935 года вместо 1 сентября 1935 года. Переезд конструкторской группы Калинина на завод № 18 из Харькова, организация опытного производства на заводе, необходимость переделок, выявившихся при рассмотрении макета явились причинами, препятствующими выпуску самолета в установленный срок.</w:t>
      </w:r>
    </w:p>
    <w:p w14:paraId="4683109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В.С. 2М-22 – 1 февраля 1936 года вместо 1 октября 1935 года. Причины те же, что и по СБ.</w:t>
      </w:r>
    </w:p>
    <w:p w14:paraId="2D1FDB3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3. ПБ М-85 1 июля 1936 года вместо 1 марта 1935 года. Загрузка КБ и опытного производства самолетами СБ и ВС, а также вновь данными работами по К-7 послужат причинами отдаления срока.</w:t>
      </w:r>
    </w:p>
    <w:p w14:paraId="3A2920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p w14:paraId="56DB1F5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С.Р. М-85 – 1 мая 1936 года вместо 1 декабря 1935 года. Недостаточность времени (задание дано 16 апреля 1935 года, а самолет должен выйти на аэродром 1 октября 1935 года) необходимого для проектирования и постройки, не позволит выполнить задание в срок.</w:t>
      </w:r>
    </w:p>
    <w:p w14:paraId="2F4D935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(конструктор Черановский) числится по плану от 16 апреля 1935 года за заводом № 1, так как Черановский работает в КБ Курчевского и последний предоставляет ему производственные возможности на заводе № 38, то необходимо это задание снять с завода № 1 и числить за бюро Курчевского.</w:t>
      </w:r>
    </w:p>
    <w:p w14:paraId="4E1B12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p w14:paraId="7FB2EF0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МБР-5 РЦ – 1 ноября 1935 года вместо 1 августа 1935 года. Переезд конструкторской группы Бериева на завод № 31 из Москвы и организация опытного производства на заводе потребовали времени, отразившегося на выпуске машины в намеченный срок.</w:t>
      </w:r>
    </w:p>
    <w:p w14:paraId="0E880DC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КОР РЦ – 1 марта 1936 года вместо 1 ноября 1935 года. Причины те же, что и по МБР-5.</w:t>
      </w:r>
    </w:p>
    <w:p w14:paraId="14861E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45</w:t>
      </w:r>
    </w:p>
    <w:p w14:paraId="784D1B1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МДР 1 мая 1936 года вместо 1 января 1936 года.</w:t>
      </w:r>
    </w:p>
    <w:p w14:paraId="411464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Длительное рассмотрение УВС эскизного проекта и позднее его утверждение, слабая производственная база и недостаточность времени для проектирования и изготовления самолета являются причинами сдвигающими срок.</w:t>
      </w:r>
    </w:p>
    <w:p w14:paraId="464FDA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35</w:t>
      </w:r>
    </w:p>
    <w:p w14:paraId="0090C43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СС – Экспериментальный стратосферный самолет. Срок 1 августа 1935 года следует считать как выход на заводские испытания. Утверждение этого срока как предъявление на госиспытания надо полагать опечаткой, ибо проведение экспериментальных испытаний принципиально новых конструкций могут вызвать переделки крайне неопределенные по времени. Поэтому определение срока предъявления на госиспытания экспериментальной машины помимо того, что это не нужно по существу дела, является чрезвычайно затруднительным.</w:t>
      </w:r>
    </w:p>
    <w:p w14:paraId="4CC48D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заводские же испытания самолет выйдет с опозданием, т.е. к 1 ноября 1935 года.</w:t>
      </w:r>
    </w:p>
    <w:p w14:paraId="2B84D6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p w14:paraId="2234FDC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ФР-РЦ – 1 ноября 1935 года вместо 1 июня 1935 года. Самолет находится на заводских испытаниях. Ввиду обнаруженных в результате испытаний переделок (цапы, оперение, капоты) передача на госиспытания задержится до указанного срока.</w:t>
      </w:r>
    </w:p>
    <w:p w14:paraId="65F8E5C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СР-М22 (ХАИ-5) – 1 ноября 1935 года вместо 1 августа 1935 года. Несовременность мотора М-22 и замена его на М-75 вызвала необходимость переделок узлов и моторамы.</w:t>
      </w:r>
    </w:p>
    <w:p w14:paraId="1892FFD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СР – 1 августа 1936 года вместо 1 декабря 1935 года.</w:t>
      </w:r>
    </w:p>
    <w:p w14:paraId="5A6ED0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Небольшое КБ, слабая производственная база и недостаточность времени для проектирования и изготовления самолета (5 месяцев, ибо задание дано 16 апреля, а машина должна выйти на аэродром 1 октября 1935 года) вынуждают сдвинуть срок.</w:t>
      </w:r>
    </w:p>
    <w:p w14:paraId="6851CF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23 и КАИ</w:t>
      </w:r>
    </w:p>
    <w:p w14:paraId="258FF67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УТИ-М48 и М49. Отсутствие моторов М-48 и М-49 ставит срок выхода машин в зависимости от завода № 82 ГУГВФа, который изготовляет их в виде опытной серии.</w:t>
      </w:r>
    </w:p>
    <w:p w14:paraId="1EF034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Необходимо обязать ГУГВФ передать в ГУАП не позднее 1 сентября 1935 года 4 мотора М-48 или М-49.</w:t>
      </w:r>
    </w:p>
    <w:p w14:paraId="0026DE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моторостроению</w:t>
      </w:r>
    </w:p>
    <w:p w14:paraId="6E3CB8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p w14:paraId="2A7D1D4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Мотор М-56 – 1 апреля 1936 года вместо 1 сентября 1935 года.</w:t>
      </w:r>
    </w:p>
    <w:p w14:paraId="1CD8D4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Необходимость перенесения срока госиспытаний вызвана задержкой изготовления мотора М-56, ввиду загрузки опытного завода ЦИАМ дополнительными работами по авиадизелю Н-1 в связи с его аварией.</w:t>
      </w:r>
    </w:p>
    <w:p w14:paraId="45549D6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lastRenderedPageBreak/>
        <w:t>Глиссерный мотор ГМ-44 – 1 апреля 1936 года вместо 1 января 1936 года.</w:t>
      </w:r>
    </w:p>
    <w:p w14:paraId="5A2865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Перенесение срока вызвано производственными затруднениями с изготовлением отдельных агрегатов и деталей двигателя, а равно сложностью в доводке мотора большой мощности и веса.</w:t>
      </w:r>
    </w:p>
    <w:p w14:paraId="5ACC648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Двухступенчатый нагнетатель к мотору М-34 (до высоты 6000 м) 1 июля 1936 года вместо 1 января 1936 года.</w:t>
      </w:r>
    </w:p>
    <w:p w14:paraId="6E388E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Перенесение срока вызвано тем, что в основу механизма включения этого нагнетателя должен лечь механизм переключения двухскоростного нагнетателя М-34, испытания которого будут закончены лишь к 1 января 1936 года.</w:t>
      </w:r>
    </w:p>
    <w:p w14:paraId="0AD26F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p w14:paraId="4619E66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М-34 ФРН и М-34 ФРН (форсированный) к 1 ноября 1935 года вместо 1 сентября 1935 года.</w:t>
      </w:r>
    </w:p>
    <w:p w14:paraId="6AA98A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Перенесение срока вызвано задержками с доводкой и работами по выявлению надежности на форсированных режимах.</w:t>
      </w:r>
    </w:p>
    <w:p w14:paraId="05243B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p w14:paraId="5A1CA2B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Мотор М-58 1 октября 1935 года вместо 1 июля 1935 года.</w:t>
      </w:r>
    </w:p>
    <w:p w14:paraId="179AD3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предъявлялся на госиспытания в срок, но вследствие поломки шестерни распределения потребовал дополнительной доводки и усиления этого узла.</w:t>
      </w:r>
    </w:p>
    <w:p w14:paraId="29BFBF6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Мотор М-86 (развитие К-14) 1 сентября 1936 года вместо 1 мая 1936 года. Ввиду затруднений с внедрением в серийное производство моторов М-75 и М-85, конструктивные работы по этой теме в достаточном объеме не развернуты. Кроме того, при конструктивных проработках 18 цилиндровой двойной звезды выявился большой объем работ по производству и доводке двигателя, что не было предусмотрено при утверждении плана.</w:t>
      </w:r>
    </w:p>
    <w:p w14:paraId="3C1D8E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p w14:paraId="54FB5E6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Паровая турбина ПТ-6 – 1 мая 1936 года. Срок следует считать началом заводских испытаний всей установки в целом. Срок госиспытаний может быть установлен в процессе проведения заводских испытаний.</w:t>
      </w:r>
    </w:p>
    <w:p w14:paraId="4A6093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В.Т.И.</w:t>
      </w:r>
    </w:p>
    <w:p w14:paraId="75FE845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Газовая турбина ГТ – 1000 – 1 мая 1936 года. Срок следует считать началом заводских испытаний всей установки в целом. Срок госиспытаний может быть установлен в процессе проведения заводских испытаний (3475,99-102).</w:t>
      </w:r>
    </w:p>
    <w:p w14:paraId="402832B5"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612E24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октября 1935 года руководитель Военного контроля КСК Хаханьян и зам. руководителя Военно-морской группы КПК Березин писали письмо в ЦК ВКП(б) Сталину и в СТО Молотову</w:t>
      </w:r>
    </w:p>
    <w:p w14:paraId="42408E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выполнении авиапромышленностью плана по новейшим самолетам и моторам</w:t>
      </w:r>
    </w:p>
    <w:p w14:paraId="419781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решению СТО от 10 сентября 1935 года нами с привлечением членов КПК и КСК проверено выполнение авиационной промышленностью производственных заданий по новым самолетам и моторам. Планом авиационной промышленности на 1935 год была намечена большая программа перевооружения нашей авиации.</w:t>
      </w:r>
    </w:p>
    <w:p w14:paraId="6C5710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как это следует из приводимого ниже материала, лишь в области истребительной авиации мы делаем первые существенные шаги по перевооружению КА. По всем же остальным типам самолетов выполнение плана авиационной промышленностью таково, что план перевооружения в текущем году явно сорван, в лучшем случае машины начнут поступать в самом конце года и ВВС не только не сумеют в текущем году их освоить, но даже как следует проверить и испытать.</w:t>
      </w:r>
    </w:p>
    <w:p w14:paraId="631D4C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заказа по бомбардировочной авиации</w:t>
      </w:r>
    </w:p>
    <w:p w14:paraId="761E31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с редукторно-наддувным мотором к 1 октября 1935 года авиационная промышленность должна была сдать 120 штук, но по сей день ни одной машины, за исключением эталона, не сдано. На конец сентября собрано 15 машин без вооружения, винтов и радиаторов и 61 машина без моторов и упомянутых выше агрегатов.</w:t>
      </w:r>
    </w:p>
    <w:p w14:paraId="7F5D64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сего времени не решен вопрос с вооружением этих машин. Только начинают поступать кондиционные винтов и радиаторы.</w:t>
      </w:r>
    </w:p>
    <w:p w14:paraId="3CD6DF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23 машин ТБ-3 с редукторными моторами заказа текущего года сдано только 6 машин, хотя заказ на них должен бы быть закончен к августу.</w:t>
      </w:r>
    </w:p>
    <w:p w14:paraId="1A5048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 не только сильно запаздывает с выполнением заказа текущего года, но до сего времени не разделался еще с машинами заказа 1934 года. На сей день не передано еще 10 машин, да и переделанные машины пригодны лишь для аэродромных полетов и небольших перелетов, т.е. в боевое состояние не приведены.</w:t>
      </w:r>
    </w:p>
    <w:p w14:paraId="14F8DB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 из бригад, вооруженная ТБ-3 с М-34Р (в Едрово), не имеет бомбового вооружения. В той же бригаде вновь отмечено четыре случая трещин усиленных заводом № 22 подмоторных рам. Только за последние дни в ЦАГИ начаты всесторонние испытания подмоторной рамы, которая показала неудовлетворительные результаты. Почти на всех машинах 1934 года, за исключением единиц, стоят некондиционные винты и радиаторы и завод дает гарантию заменить их не позднее 1 января 1935 года.</w:t>
      </w:r>
    </w:p>
    <w:p w14:paraId="2A14B7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решение СТО, обязывающее НКТяжпром (ГУАП) "в течение III квартала 1935 года провести в полную исправность и пригодность для эксплуатации 150 самолетов ТБ-3 с М-34Р производства 1934 года", ГУАПом не выполнено.</w:t>
      </w:r>
    </w:p>
    <w:p w14:paraId="77BFC3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Неустранение дефектов на машинах прошлого года ставит под большое сомнение и весь заказ 1935 года, который по производственным возможностям и состоянию задела легко мог быть заводом выполнен. Наиболее слабым местом при выполнении этого заказа являются вопросы вооружения, по которым нами представляется самостоятельная записка.</w:t>
      </w:r>
    </w:p>
    <w:p w14:paraId="12AD3B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итоге подобного "выполнения" плана заводом № 22 план перевооружения бомбардировочной авиации сорван; на Дальнем Востоке, например, до сего времени в качестве тяжелого бомбардировщика служит ТБ-3 с мотором М-17, который и по скорости и по потолку совершенно не отвечает современным условиям боя.</w:t>
      </w:r>
    </w:p>
    <w:p w14:paraId="1AD922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скоростному бомбардировщику СБ после всех перипетий ГУАПом установлена на IV квартал 1935 года программа в 75 самолетов. Состояние этой машины в настоящее время внушает серьезные опасения, что эта программа не будет выполнена.</w:t>
      </w:r>
    </w:p>
    <w:p w14:paraId="17159F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 обязан постановлением Правительства не позднее сентября закончить, совместно с НИИ ВВС, все испытания, но этого решения не выполнил. Испытания еще не закончены и об их окончательных результатах судить нельзя. Кроме того – на заводе № 22 налицо отставание в заделе, что осложняется выявленным браком полученных заводом хромомолибденовых труб.</w:t>
      </w:r>
    </w:p>
    <w:p w14:paraId="339A5C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дальнему бомбардировщику (РД) при годовом заказе в 25 штук к 1 сентября должно быть сделано 4 штуки. Несмотря на то, что эта машина прошлогоднего заказа, до сего времени не сдано ни одной машины. Выпущенная одна машина является недостаточно кондиционной. Задел по прочим машинам идет с запозданием, примерно, на 3 месяца.</w:t>
      </w:r>
    </w:p>
    <w:p w14:paraId="43E03E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плана заказа по морским самолетам</w:t>
      </w:r>
    </w:p>
    <w:p w14:paraId="0CC09B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 до сего времени не сдал ни одной машины МДР-4 и, судя по всему, не имеет возможности выполнить ее до замерзания моря. Но сейчас, после последней катастрофы опытного экземпляра МДР-4, вся эта программа поставлена под сомнение, ибо видимо потребуется большая работа над переделкой хвостового оперения.</w:t>
      </w:r>
    </w:p>
    <w:p w14:paraId="54159D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на вооружении остается лишь МБР-2 с максимальной скоростью в 204 км/час на высоте 3000 метров в варианте разведчика и 190 км/час в варианте легкого бомбардировщика.</w:t>
      </w:r>
    </w:p>
    <w:p w14:paraId="5C413E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заказа по истребительной авиации</w:t>
      </w:r>
    </w:p>
    <w:p w14:paraId="4E118E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Состояние заказа по истребительной авиации и по числу сданных машин и по состоянию задела – значительно лучше, чем по другим видам. Однако и в этой области положение не может быть признано удовлетворительным. Истребителей И-15 к 1 сентября 1935 года сдано только 50 штук, вместо 125, да и на сданных машинах, равно как и на машинах заказа прошлого года полеты в настоящее время прекращены из-за явлений поломки кромки крыла и срыва полотна в воздухе (о причинах этих поломок мы остановимся ниже).</w:t>
      </w:r>
    </w:p>
    <w:p w14:paraId="12A28D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Наряду с этим дефектом самолет И-15 имеет следующие крупные дефекты, резко понижающие его боеспособность. Это, во-первых, рыскание машин на больших скоростях, что затрудняет хождение в строю, так и стрельбу и отсутствие самопуска. Последнее в условиях боевой обстановки делает просто невозможной эксплуатацию истребителя, ибо нельзя же к каждому истребителю прикомандировать автостартер. Кроме того, наблюдаются поломки рам фюзеляжа и шасси.</w:t>
      </w:r>
    </w:p>
    <w:p w14:paraId="0127B3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И-16 с мотором М-22 заводом № 21 заказ 1934 года полностью выполнен к 1 июля 1935 года вместо установленного последнего срока 1 мая 1935 года. За июль и август 1935 года завод должен был сдать 150 машин заказа 1935 года, сделали всего 52 машины или, примерно, 1/3. Это запоздание явилось следствием того, что заводу не были поданы своевременно шасси и к моменту проверки больше 100 машин на заводе шасси не были обеспечены.</w:t>
      </w:r>
    </w:p>
    <w:p w14:paraId="6B2A1C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Состояние задела на заводе № 21 позволяет выполнить полностью заказ на И-16 с М-22 в начале ноября 1935 года. Что касается качества этих машин, то нужно констатировать, на основе проводимых эксплуатационных испытаний, что вообще летный состав машиной доволен. Однако, из-за плохой конструкции бензиновой системы, машина опасна в пожарном отношении.</w:t>
      </w:r>
    </w:p>
    <w:p w14:paraId="4991C1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нужно подчеркнуть, что и это значительное пополнение истребительной авиации истребителями И-16 (всего в текущем году КА получит около 500 машин) в условиях зимы будет мало эффективно, ибо зимой с лыжами машина И-16 с мотором № 22 будет иметь всего лишь 310 км скорости.</w:t>
      </w:r>
    </w:p>
    <w:p w14:paraId="77B5E4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заказа на И-16 с мотором № 25 находится в следующем положении. Завод № 21 широко развернул задел этой машины. Однако, он до сего времени не имеет образца этой машины, ибо завод № 39 до самого последнего времени не довел эту машину до такого состояния, чтобы ее можно было посылать в Горький. Помимо этого этот образец сильно отличается от тех чертежей, по которым завод № 21 строит машину, а как известно, госиспытаний И-16 с М-25 не проходил и эталона этой машины нет. Завод № 21 не получил также конструкции капота; не решен вопрос о запуске машины, что точно так же делает этой машину не боеспособной, как и И-15. До сего времени не сделан подогрев смеси и воздуха, а как известно, мотор Райт-Циклон зимой без этого эксплуатировать нельзя.</w:t>
      </w:r>
    </w:p>
    <w:p w14:paraId="181AA9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Внушает опасение с точки зрения запаса прочности конструкция центроплана. По подсчетам Поликарпова – конструктора этой машины – она несколько ниже новых норм. По подсчету завода № 21 прочность центроплана не превышает – 11,6 (при норме 13-14). Окончательных выводов по этому вопросу сделать пока нельзя до </w:t>
      </w:r>
      <w:r w:rsidRPr="00E14102">
        <w:rPr>
          <w:color w:val="000000" w:themeColor="text1"/>
          <w:sz w:val="16"/>
          <w:szCs w:val="16"/>
        </w:rPr>
        <w:lastRenderedPageBreak/>
        <w:t>проведения статических испытаний, которые по нашему настоянию сейчас проводят. Особое сомнение вызывает возможность установки на машинах форсированного мотора Райт-Циклон, к производству которого мы переходим в 1936 году.</w:t>
      </w:r>
    </w:p>
    <w:p w14:paraId="51D59B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Что касается истребителей И-14, то его конструктор (Сухой) признает, что запас прочности явно не соответствует новым нормам (11,6 вместо 13-14). Пушечное вооружение на этой машине не отработано. Таким образом эта машина в настоящее время вряд ли нужна для вооружения ВВС. Состояние ее производства таково, что и уменьшенная программа (50 штук вместо 150) не будет выполнена. Завод сейчас предполагает пустить в воздух первую машину.</w:t>
      </w:r>
    </w:p>
    <w:p w14:paraId="0ACB41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пушечному истребителю ИП-1. Заводом № 135 (в Харькове) должно быть сдано 8 штук 1 сентября и 12 в сентябре. На сей день не сдано ни одной машины. На 1 октября заводом собрана одна машина, которая прошла заводские испытания. В настоящее время на ней монтируется вооружение, но на самолете отсутствуют масляный радиатор, бензиномер, аккумулятор, аварийный спуск шасси, установка под радиостанцию, а также самопуск.</w:t>
      </w:r>
    </w:p>
    <w:p w14:paraId="329F1E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находится в состоянии прорыва и если ГУАПом не будут приняты решительные меры и по этому истребителю программа будет сорван.</w:t>
      </w:r>
    </w:p>
    <w:p w14:paraId="1D55C7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заказа на новые разведчики</w:t>
      </w:r>
    </w:p>
    <w:p w14:paraId="7EE629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Планом заказов на 1935 год предусматривалось производство 400 штук новых более современных чем Р-Z разведчиков ЛР. Этот заказ, несмотря на то, что он был утвержден Правительством, директором завода № 1 Беленковичем к исполнению не был принят; вместо ЛР Беленкович предложил другую машину, являющуюся модификацией Р-5. Эта машина под названием Р-7 была предъявлена на госиспытание, но этих испытаний не прошла и ВВС считает ее неудовлетворительной. В настоящее время завод подготовил вторую машину, на которой, по его заявлению, важнейшие недостатки устранены. Однако, в воздухе эта машина еще не проверена.</w:t>
      </w:r>
    </w:p>
    <w:p w14:paraId="5EDB7E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 должен был сдать к 1 октября 10 новых разведчиков и в октябре – 65 штук. Но по заявлению директора завода, даже если все будет благополучно, он сможет в октябре сдать не более 10-15 машин.</w:t>
      </w:r>
    </w:p>
    <w:p w14:paraId="259ECA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сколь-либо серьезного перевооружения по разведывательной авиации в текущем году произведено не будет.</w:t>
      </w:r>
    </w:p>
    <w:p w14:paraId="57C80E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Необходимо отметить также опоздание в поставке моторов для скоростных разведчиков со стороны завода № 24, который только в сентябре начал поставку нагнетательных моторов без редукторов для завода № 1.</w:t>
      </w:r>
    </w:p>
    <w:p w14:paraId="30D14A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заказа по новейшим моторам</w:t>
      </w:r>
    </w:p>
    <w:p w14:paraId="681353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плана по моторам заводами ГУАПа идет значительно успешнее, чем по самолетам. Завод № 19, полностью выполняя задание Правительства по производству М-25 (Райт-Циклон), одновременно проводит большие работы по форсированию этого мотора.</w:t>
      </w:r>
    </w:p>
    <w:p w14:paraId="48765F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последнее время, правда с большим запозданием, заметен сдвиг по заводу № 26, производящему М-100 (Испано-Сюиза). На 10 сентября 1935 года заводом было сдано 18 моторов, 43 мотора подготовлялись к контрольному испытанию, 48 моторов к 3-часовому испытанию и более сотни моторов находились в разной стадии производства. Однако, нужно отметить, что увеличенного задания в 1000 метров завод 3 26, видимо, не выполнит. Обращает внимание также, что ни один мотор 100-часовых испытаний еще не прошел. Завод объявлен мобилизованным, однако, из-за нераспорядительности ГУАПа он простоял свыше 20 дней, так как не было кремня.</w:t>
      </w:r>
    </w:p>
    <w:p w14:paraId="003455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заводе огромный брак в литейных цехах. Со стороны смежных производств не освоены еще карбюраторы, бензопомпы, экранированное зажигание, шарикоподшипники и прокладки.</w:t>
      </w:r>
    </w:p>
    <w:p w14:paraId="72B8B2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Значительно отстает в развертывании производства новых моторов завод № 29. Мотор М-85 (К-14) – 2 мотора заводом поставлены на испытание, закончены сборкой 3 мотора, в общей сборке находится 4 мотора и 4 в узловой сборке. 100-часового испытания мотор не выдержал, пройдя лишь 85 часов. Со стороны ГУАПа этому заводу уделяется несравненно меньше внимания, чем другим моторным заводам: завод не имеет оборудования для производства конических шестерен редуктора, только за последнее время стали подаваться заводом № 95 картера. Крайне недостаточна поставка поковок цилиндров заводом ХПЗ и шатунов со стороны ХТЗ, в силу чего на заводе № 29 простои.</w:t>
      </w:r>
    </w:p>
    <w:p w14:paraId="32AC6D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 также только за последние дни начинает понемногу выравнивать фронт по поставке редукторных наддувных машин и прямых наддувных машин. Мотор Р-Н к 1 октября он должен был сдать 513 штук; сдал 216, в том числе за сентябрь 105 машин; наддувных без редуктора должен был сдать 150, сдал 25, в том числе за последние дни сентября 21 машину. Но в силу прорывов на заводах №№ 22 и 1 это запоздание большого значения не имело.</w:t>
      </w:r>
    </w:p>
    <w:p w14:paraId="1BEE9B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общем, хотя и с крупными недостатками, на заводах №№ 26 и 29 производство новых моторов идет вперед. И тем более является недопустимым то положение, которое создалось на самолетных заводах. Все время боялись, что наши новейшие самолеты останутся без моторов. На практике получилось обратное.</w:t>
      </w:r>
    </w:p>
    <w:p w14:paraId="2BDB0F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причинах аварии самолета И</w:t>
      </w:r>
    </w:p>
    <w:p w14:paraId="0DEC15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заявлением Королева на заседании КО 10 сентября 1935 года, что аварии самолета И-15 происходят из-за плохого хранения и неграмотной эксплуатации, нами, по поручению СТО, проверены причины этих аварий. Мы со всей определенностью заявляем, что качество эксплуатации, во многом крайне неудовлетворительное, к данным авариям не имеем отношения. Одна из аварий (в Люберецкой бригаде) произошла на совершенно новой машине. В большинстве случаев летчики (за исключением Болотнткова) благополучно садились на поврежденных в воздухе машинах, что свидетельствует о хороших летных качествах летчиков. Неопытность летчика Болотникова была не причиной аварии, а его собственной гибели.</w:t>
      </w:r>
    </w:p>
    <w:p w14:paraId="3513EC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Действительными причинами аварии являются конструкции носка крыла, перенесенного с И-15 без учета скорости И-15, плохая склейка крыла, в силу плохого качества клея и преступной небрежности в его применении и недостаточная продуманность способа укрепления полотна к нервюрам и задней кромке крыла (гвозди вместо проклейки).</w:t>
      </w:r>
    </w:p>
    <w:p w14:paraId="58759A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во все части ВВС высланы бригады с завода № 1 для соответствующей переделки передней и задней кромки крыла.</w:t>
      </w:r>
    </w:p>
    <w:p w14:paraId="32AA00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Задачи поставленные перед ГУАПом на 1935 год, бесспорно, очень сложны ибо на производство ставится целый ряд новых машин. Но создавшееся положение объясняется не трудностью задания, а неудовлетворительной организацией работ. К тому же многие машины, по которым выполнение плана также неудовлетворительно, перешли с прошлого года (ТБ-3 РН, И-15, РД).</w:t>
      </w:r>
    </w:p>
    <w:p w14:paraId="3EE03F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нашему мнению, основные причины того, что авиапромышленность не справилась с этим ответственнейшим заданием, лежит в следующем:</w:t>
      </w:r>
    </w:p>
    <w:p w14:paraId="3BE2986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Никакого руководства в области опытного самолетостроения со стороны ГУАПа нет. Руководство серийным самолетостроением также неудовлетворительно. ГУАП не берется за то, чтобы дать частям КА вполне боеспособную современную машину. Это позволило некоторым конструкторам работать "на показ", добиваясь внешних показателей (большая скорость), но вопросы надежности, боеспособности машины, ее вооружения, быстрого запуска, удобства летчика оттеснялись на задний план или просто игнорировались.</w:t>
      </w:r>
    </w:p>
    <w:p w14:paraId="7EFE53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Примеров такого негосударственного подхода к конструкции довольно много, взять хотя бы самолеты 39 завода конструкции Поликарпова, причем подобная линия не встречала противодействия, а в известной мере даже подогревалась директором завода Марголиным.</w:t>
      </w:r>
    </w:p>
    <w:p w14:paraId="7DD0A8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Подобные же тенденции имели место и при конструкции других машин, например, СБ, И-14 и др. Несмотря на то, что в области исследовательской работы по скоростным машинам мы крайне отстали, наши конструктора нередко игнорируют самые необходимые предварительные испытания. Так, крыло И-14 испытывалось через 2 года после выпуска машины и дало неудовлетворительные результаты. Центроплан И-16 с РЦ будет испытываться только на днях. При выявлении того или иного крупного дефекта на машине нет его серьезного изучения, а обычно ограничиваются полумерами. Например, подмоторные рамы ТБ-3Р уже укрепляли 3 раза, а должного результата не добились.</w:t>
      </w:r>
    </w:p>
    <w:p w14:paraId="48CA99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Неудовлетворительность руководства ГУАПом усугубляется ошибками и отсутствием твердой линии у Управления ВВС (УВВС выдвинул идею делать И-16 с мотором К-9, что задержало запуск И-16 с РЦ; примеры с СБ, МДР4, непригодность коих обнаружена после госиспытания и т.п.). В особенности беспризорны вопросы морской авиации. Несмотря на то, что решение о передаче морской авиации начальнику морских сил было принято 4 месяца тому назад, Управление морских сил в этой области ничего не делает.</w:t>
      </w:r>
    </w:p>
    <w:p w14:paraId="1F668A4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Отсутствие государственной и внутренней дисциплины в системе ГУАПа. Наиболее ярким примером здесь является поведение директора 1-го завода Беленковича, самовольно снявшего заказ на легкие разведчики. Наряду с этим мы имеем самовольное уменьшение ГУАПом заказа заводу № 1 на И-15 на 15 машин.</w:t>
      </w:r>
    </w:p>
    <w:p w14:paraId="3BD30D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Мы считаем, что подобное нарушение государственной дисциплины директор завода № 1 Беленкович должен быть привлечен к судебной ответственности..</w:t>
      </w:r>
    </w:p>
    <w:p w14:paraId="2AC8F7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заводе № 22 весной текущего года техническим директором Фельдманом было самовольно задержано развертывание задела по ТБ-3, ибо Фельдман возбудил ходатайство о снятии этого заказа. Это самоуправство сыграло немалую роль в опоздании производства ТБ3-РН.</w:t>
      </w:r>
    </w:p>
    <w:p w14:paraId="7ABAF7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 ГУАПа нередко не выполняют и игнорируют приказы и распоряжения начальника Главного управления.</w:t>
      </w:r>
    </w:p>
    <w:p w14:paraId="71BE8F6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Штурмовщина, как метод работы на большинстве заводов ГУАПа. Это особо ярко выявляется на примере как прошлого 1934, так и текущего года. Первые 9 месяцев заводы ГУАПа почти не сдают продукцию, а потом начинается штурм, приводящий к ухудшению качества продукции и к тому, что добрая половина следующего года тратится на устранение дефектов по работам прошлого года. О качестве "организации" на некоторых заводах ГУАПа свидетельствуют следующие данные по 22 заводу: за 8 месяцев 1935 года заводом потрачено на простои рабсилы 572 тысяч часов 5,51% к отработанному времени и оборудования 454 тысячи часов или 26% к отработанному времени и одновременно сверхурочные работы достигли 500 тысяч часов.</w:t>
      </w:r>
    </w:p>
    <w:p w14:paraId="368F835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Невнимание со стороны ГУАПа ко всякого рода подсобным агрегатам, как-то винты, радиаторы, вооружение, что было более или менее терпимо при старой материальной части и за что теперь мы платимся.</w:t>
      </w:r>
    </w:p>
    <w:p w14:paraId="3AAE40E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Отсутствие должной борьбы за качество машин. ГУАП позволяет поставлять КА скоростные истребители, на которых бензиномеры не работают, указатели скорости не показывают при больших скоростях, бомбовозы с неработающим бомбовым вооружением, некондиционными винтами и радиаторами и т.п.</w:t>
      </w:r>
    </w:p>
    <w:p w14:paraId="49FC9C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Об отношении к вопросам качества продукции ярко свидетельствует случай, обнаруженный проверкой на заводе № 22: директор завода Миткевич, получив 17 августа от военного представителя ряд материалов о случаях скрытого брака, подчас граничащего с вредительством, лишь 15 сентября пишет начальнику контрольного </w:t>
      </w:r>
      <w:r w:rsidRPr="00E14102">
        <w:rPr>
          <w:color w:val="000000" w:themeColor="text1"/>
          <w:sz w:val="16"/>
          <w:szCs w:val="16"/>
        </w:rPr>
        <w:lastRenderedPageBreak/>
        <w:t>отдела: "Коломенский, надо все факты крепко проверить", а последний, учитывая подобное отношение директора, поручает одной из сотрудниц вызвать указанных в перечне товарищей и попросить их написать объяснение.</w:t>
      </w:r>
    </w:p>
    <w:p w14:paraId="7B092E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Мы считаем необходимым подчеркнуть, что создавшееся положение на самолетных заводах опасно тем, что и в 1935 году угрожает повториться та же картина, ибо некоторые машины заказа нынешнего года в эксплуатации проверены не будут, а новые машины, предположенные к постройке в будущем году, госиспытаний еще не прошли.</w:t>
      </w:r>
    </w:p>
    <w:p w14:paraId="2A4414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Учитывая всю серьезность положения и необходимость систематической бесперебойной работы авиапромышленности, мы считаем необходимым:</w:t>
      </w:r>
    </w:p>
    <w:p w14:paraId="10C4086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примеру того, как это имело место в 1931 году, образовать комиссию под руководством одного из секретарей ЦК партии, которой поручить проработку необходимых мероприятий по всем важнейшим самолетам, их вооружению и оборудованию.</w:t>
      </w:r>
    </w:p>
    <w:p w14:paraId="4B82506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Укрепить руководство Глававиапрома, ибо, как показал опыт 1934 года и 1935 года Глававиапром не справляется со сложнейшими и ответственнейшими задачами, поставленными перед ним партией и Правительством.</w:t>
      </w:r>
    </w:p>
    <w:p w14:paraId="615326C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Укрепить руководство заводов №№ 22, 39 и 1 (3475,13-24).</w:t>
      </w:r>
    </w:p>
    <w:p w14:paraId="4E02A1D0"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4E5CD341" w14:textId="77777777" w:rsidR="00177841" w:rsidRPr="00E14102" w:rsidRDefault="00177841" w:rsidP="00E14102">
      <w:pPr>
        <w:pStyle w:val="1080"/>
        <w:shd w:val="clear" w:color="auto" w:fill="auto"/>
        <w:spacing w:after="0" w:line="240" w:lineRule="auto"/>
        <w:ind w:firstLine="0"/>
        <w:jc w:val="both"/>
        <w:rPr>
          <w:rStyle w:val="ae"/>
          <w:rFonts w:ascii="Times New Roman" w:hAnsi="Times New Roman" w:cs="Times New Roman"/>
          <w:i w:val="0"/>
          <w:iCs/>
          <w:color w:val="0070C0"/>
          <w:sz w:val="16"/>
          <w:szCs w:val="16"/>
        </w:rPr>
      </w:pPr>
      <w:r w:rsidRPr="00E14102">
        <w:rPr>
          <w:rStyle w:val="820"/>
          <w:rFonts w:ascii="Times New Roman" w:hAnsi="Times New Roman" w:cs="Times New Roman"/>
          <w:color w:val="0070C0"/>
          <w:sz w:val="16"/>
          <w:szCs w:val="16"/>
        </w:rPr>
        <w:t>5 октября 1935 года начальник военной группы КСК Григорий Давидович Хаханьян в письме в ЦК ВКП(б) Сталину и в СТО Молотову так описывал текущую ситуацию:</w:t>
      </w:r>
      <w:r w:rsidRPr="00E14102">
        <w:rPr>
          <w:rStyle w:val="ae"/>
          <w:rFonts w:ascii="Times New Roman" w:hAnsi="Times New Roman" w:cs="Times New Roman"/>
          <w:color w:val="0070C0"/>
          <w:sz w:val="16"/>
          <w:szCs w:val="16"/>
        </w:rPr>
        <w:t xml:space="preserve"> </w:t>
      </w:r>
      <w:r w:rsidRPr="00E14102">
        <w:rPr>
          <w:rStyle w:val="ae"/>
          <w:rFonts w:ascii="Times New Roman" w:hAnsi="Times New Roman" w:cs="Times New Roman"/>
          <w:i w:val="0"/>
          <w:iCs/>
          <w:color w:val="0070C0"/>
          <w:sz w:val="16"/>
          <w:szCs w:val="16"/>
        </w:rPr>
        <w:t>«По пушеч</w:t>
      </w:r>
      <w:r w:rsidRPr="00E14102">
        <w:rPr>
          <w:rStyle w:val="ae"/>
          <w:rFonts w:ascii="Times New Roman" w:hAnsi="Times New Roman" w:cs="Times New Roman"/>
          <w:i w:val="0"/>
          <w:iCs/>
          <w:color w:val="0070C0"/>
          <w:sz w:val="16"/>
          <w:szCs w:val="16"/>
        </w:rPr>
        <w:softHyphen/>
        <w:t>ному истребителю ИП-1. Заводом № 135 (в Харькове) должно быть сдано 8 штук 1 сен</w:t>
      </w:r>
      <w:r w:rsidRPr="00E14102">
        <w:rPr>
          <w:rStyle w:val="ae"/>
          <w:rFonts w:ascii="Times New Roman" w:hAnsi="Times New Roman" w:cs="Times New Roman"/>
          <w:i w:val="0"/>
          <w:iCs/>
          <w:color w:val="0070C0"/>
          <w:sz w:val="16"/>
          <w:szCs w:val="16"/>
        </w:rPr>
        <w:softHyphen/>
        <w:t>тября и 12 в сентябре. На сей день не сдано ни одной машины. На 1 октября заводом со</w:t>
      </w:r>
      <w:r w:rsidRPr="00E14102">
        <w:rPr>
          <w:rStyle w:val="ae"/>
          <w:rFonts w:ascii="Times New Roman" w:hAnsi="Times New Roman" w:cs="Times New Roman"/>
          <w:i w:val="0"/>
          <w:iCs/>
          <w:color w:val="0070C0"/>
          <w:sz w:val="16"/>
          <w:szCs w:val="16"/>
        </w:rPr>
        <w:softHyphen/>
        <w:t>брана одна машина, которая прошла завод</w:t>
      </w:r>
      <w:r w:rsidRPr="00E14102">
        <w:rPr>
          <w:rStyle w:val="ae"/>
          <w:rFonts w:ascii="Times New Roman" w:hAnsi="Times New Roman" w:cs="Times New Roman"/>
          <w:i w:val="0"/>
          <w:iCs/>
          <w:color w:val="0070C0"/>
          <w:sz w:val="16"/>
          <w:szCs w:val="16"/>
        </w:rPr>
        <w:softHyphen/>
        <w:t>ские испытания. В настоящее время на ней монтируется вооружение, но на самолете отсутствуют масляный радиатор, бензино- мер, аккумулятор, аварийный спуск шасси, установка под радиостанцию, а также само</w:t>
      </w:r>
      <w:r w:rsidRPr="00E14102">
        <w:rPr>
          <w:rStyle w:val="ae"/>
          <w:rFonts w:ascii="Times New Roman" w:hAnsi="Times New Roman" w:cs="Times New Roman"/>
          <w:i w:val="0"/>
          <w:iCs/>
          <w:color w:val="0070C0"/>
          <w:sz w:val="16"/>
          <w:szCs w:val="16"/>
        </w:rPr>
        <w:softHyphen/>
        <w:t>пуск. Завод находится в состоянии прорыва, и если ГУАПом не будут приняты решитель</w:t>
      </w:r>
      <w:r w:rsidRPr="00E14102">
        <w:rPr>
          <w:rStyle w:val="ae"/>
          <w:rFonts w:ascii="Times New Roman" w:hAnsi="Times New Roman" w:cs="Times New Roman"/>
          <w:i w:val="0"/>
          <w:iCs/>
          <w:color w:val="0070C0"/>
          <w:sz w:val="16"/>
          <w:szCs w:val="16"/>
        </w:rPr>
        <w:softHyphen/>
        <w:t>ные меры, и по этому истребителю програм</w:t>
      </w:r>
      <w:r w:rsidRPr="00E14102">
        <w:rPr>
          <w:rStyle w:val="ae"/>
          <w:rFonts w:ascii="Times New Roman" w:hAnsi="Times New Roman" w:cs="Times New Roman"/>
          <w:i w:val="0"/>
          <w:iCs/>
          <w:color w:val="0070C0"/>
          <w:sz w:val="16"/>
          <w:szCs w:val="16"/>
        </w:rPr>
        <w:softHyphen/>
        <w:t>ма будет сорвана»</w:t>
      </w:r>
      <w:r w:rsidRPr="00E14102">
        <w:rPr>
          <w:rStyle w:val="ae"/>
          <w:rFonts w:ascii="Times New Roman" w:hAnsi="Times New Roman" w:cs="Times New Roman"/>
          <w:i w:val="0"/>
          <w:iCs/>
          <w:color w:val="0070C0"/>
          <w:sz w:val="16"/>
          <w:szCs w:val="16"/>
          <w:lang w:val="ru-RU"/>
        </w:rPr>
        <w:t xml:space="preserve"> (19871</w:t>
      </w:r>
      <w:r w:rsidRPr="00E14102">
        <w:rPr>
          <w:rStyle w:val="ae"/>
          <w:rFonts w:ascii="Times New Roman" w:hAnsi="Times New Roman" w:cs="Times New Roman"/>
          <w:color w:val="0070C0"/>
          <w:sz w:val="16"/>
          <w:szCs w:val="16"/>
          <w:lang w:val="ru-RU"/>
        </w:rPr>
        <w:t>)</w:t>
      </w:r>
      <w:r w:rsidRPr="00E14102">
        <w:rPr>
          <w:rStyle w:val="ae"/>
          <w:rFonts w:ascii="Times New Roman" w:hAnsi="Times New Roman" w:cs="Times New Roman"/>
          <w:color w:val="0070C0"/>
          <w:sz w:val="16"/>
          <w:szCs w:val="16"/>
        </w:rPr>
        <w:t>.</w:t>
      </w:r>
    </w:p>
    <w:p w14:paraId="5A214725" w14:textId="77777777" w:rsidR="00177841" w:rsidRPr="00E14102" w:rsidRDefault="00177841" w:rsidP="00E14102">
      <w:pPr>
        <w:pStyle w:val="1080"/>
        <w:shd w:val="clear" w:color="auto" w:fill="auto"/>
        <w:spacing w:after="0" w:line="240" w:lineRule="auto"/>
        <w:ind w:firstLine="0"/>
        <w:jc w:val="both"/>
        <w:rPr>
          <w:rStyle w:val="ae"/>
          <w:rFonts w:ascii="Times New Roman" w:hAnsi="Times New Roman" w:cs="Times New Roman"/>
          <w:i w:val="0"/>
          <w:iCs/>
          <w:color w:val="0070C0"/>
          <w:sz w:val="16"/>
          <w:szCs w:val="16"/>
        </w:rPr>
      </w:pPr>
    </w:p>
    <w:p w14:paraId="560691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октября 1935 в КО докладывался вопрос о центральном наддуве системы инж. Трескина для самолета ТБ-3, а также вопрос о специальных самолетах рекорда высоты и скорости со схемой централизованного наддува инж. Трескина.</w:t>
      </w:r>
    </w:p>
    <w:p w14:paraId="550461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Правительство было за постройку центрального наддува и склонялось к необходимости строить и спец. самолет рекорда высоты (3569,30).</w:t>
      </w:r>
    </w:p>
    <w:p w14:paraId="2412B4E1" w14:textId="77777777" w:rsidR="00D4105E" w:rsidRPr="00E14102" w:rsidRDefault="00D4105E" w:rsidP="00E14102">
      <w:pPr>
        <w:autoSpaceDE w:val="0"/>
        <w:autoSpaceDN w:val="0"/>
        <w:adjustRightInd w:val="0"/>
        <w:jc w:val="both"/>
        <w:rPr>
          <w:color w:val="000000" w:themeColor="text1"/>
          <w:sz w:val="16"/>
          <w:szCs w:val="16"/>
        </w:rPr>
      </w:pPr>
    </w:p>
    <w:p w14:paraId="7CB1E829" w14:textId="77777777" w:rsidR="00956A72" w:rsidRPr="00E14102" w:rsidRDefault="00956A72" w:rsidP="00E14102">
      <w:pPr>
        <w:pStyle w:val="rtejustify"/>
        <w:spacing w:before="0" w:after="0"/>
        <w:rPr>
          <w:color w:val="000000" w:themeColor="text1"/>
          <w:sz w:val="16"/>
          <w:szCs w:val="16"/>
        </w:rPr>
      </w:pPr>
      <w:r w:rsidRPr="00E14102">
        <w:rPr>
          <w:rStyle w:val="a6"/>
          <w:bCs/>
          <w:i w:val="0"/>
          <w:color w:val="000000" w:themeColor="text1"/>
          <w:sz w:val="16"/>
          <w:szCs w:val="16"/>
        </w:rPr>
        <w:t>5 октября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132сс «О создании самолетов рекорда высоты и скорости и о централизованном наддуве для тяжелого бомбовоза». (ГА РФ. Ф. Р</w:t>
      </w:r>
      <w:r w:rsidRPr="00E14102">
        <w:rPr>
          <w:color w:val="000000" w:themeColor="text1"/>
          <w:sz w:val="16"/>
          <w:szCs w:val="16"/>
        </w:rPr>
        <w:noBreakHyphen/>
        <w:t>8418. Оп. 28. Д. 7. Л. 178</w:t>
      </w:r>
      <w:r w:rsidRPr="00E14102">
        <w:rPr>
          <w:color w:val="000000" w:themeColor="text1"/>
          <w:sz w:val="16"/>
          <w:szCs w:val="16"/>
        </w:rPr>
        <w:noBreakHyphen/>
        <w:t>179) (15460).</w:t>
      </w:r>
    </w:p>
    <w:p w14:paraId="50247796" w14:textId="77777777" w:rsidR="00956A72" w:rsidRPr="00E14102" w:rsidRDefault="00956A72" w:rsidP="00E14102">
      <w:pPr>
        <w:pStyle w:val="rtejustify"/>
        <w:spacing w:before="0" w:after="0"/>
        <w:rPr>
          <w:color w:val="000000" w:themeColor="text1"/>
          <w:sz w:val="16"/>
          <w:szCs w:val="16"/>
        </w:rPr>
      </w:pPr>
    </w:p>
    <w:p w14:paraId="220C97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октября 1935 вышло постановление СТО N С-132сс "О создании самолетов рекорда высоты и о центральном наддуве для тяжелого бомбовоза" В.М.М. (2161,59).</w:t>
      </w:r>
    </w:p>
    <w:p w14:paraId="58257311" w14:textId="77777777" w:rsidR="00D4105E" w:rsidRPr="00E14102" w:rsidRDefault="00D4105E" w:rsidP="00E14102">
      <w:pPr>
        <w:autoSpaceDE w:val="0"/>
        <w:autoSpaceDN w:val="0"/>
        <w:adjustRightInd w:val="0"/>
        <w:jc w:val="both"/>
        <w:rPr>
          <w:color w:val="000000" w:themeColor="text1"/>
          <w:sz w:val="16"/>
          <w:szCs w:val="16"/>
        </w:rPr>
      </w:pPr>
    </w:p>
    <w:p w14:paraId="2FBC2B5E"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5 октября 1935</w:t>
      </w:r>
    </w:p>
    <w:p w14:paraId="60D886F8"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Выписка из Протокола № 12 КО от 5 октября 1935</w:t>
      </w:r>
    </w:p>
    <w:p w14:paraId="6DBEBF6B"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Слушали:</w:t>
      </w:r>
    </w:p>
    <w:p w14:paraId="49C2583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13. ОБ ИЗМЕНЕНИИ ПРОГРАММЫ 1935 г. ПО МОТОРАМ К-9 и К-14.</w:t>
      </w:r>
    </w:p>
    <w:p w14:paraId="3FBF28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 ОБ ИЗМЕНЕНИИ ПРОГРАММЫ 1935 г. по МДР4-М34Р.</w:t>
      </w:r>
    </w:p>
    <w:p w14:paraId="23949182"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r w:rsidRPr="00E14102">
        <w:rPr>
          <w:color w:val="000000" w:themeColor="text1"/>
          <w:sz w:val="16"/>
          <w:szCs w:val="16"/>
        </w:rPr>
        <w:t>Перенести на следующее заседание (3419,17).</w:t>
      </w:r>
    </w:p>
    <w:p w14:paraId="159EFE06" w14:textId="77777777" w:rsidR="00D4105E" w:rsidRPr="00E14102" w:rsidRDefault="00D4105E" w:rsidP="00E14102">
      <w:pPr>
        <w:numPr>
          <w:ilvl w:val="12"/>
          <w:numId w:val="0"/>
        </w:numPr>
        <w:autoSpaceDE w:val="0"/>
        <w:autoSpaceDN w:val="0"/>
        <w:adjustRightInd w:val="0"/>
        <w:jc w:val="both"/>
        <w:rPr>
          <w:color w:val="000000" w:themeColor="text1"/>
          <w:sz w:val="16"/>
          <w:szCs w:val="16"/>
        </w:rPr>
      </w:pPr>
    </w:p>
    <w:p w14:paraId="0F83DE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октября 1935 закончились полигонные испытания оптического прицела ПАН-3, предъявленного на испытания КИБ ВООМП"а, которые шли с 25 сентября 1935.</w:t>
      </w:r>
    </w:p>
    <w:p w14:paraId="510863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49CFA2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Принятие на вооружение ВС оптического прицела ПАН-3 для стрельбы из неподвижно установленных пулеметов калибра 7,62 мм, разработанного и изготовленного по инициативе инженерно-технических работников КИБ ВООМП"а.</w:t>
      </w:r>
    </w:p>
    <w:p w14:paraId="3DAC67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1A113D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Оптический прицел ПАН-3 полигонные испытания выдержал и может быть допущен на войсковые испытания с устранением недочетов.</w:t>
      </w:r>
    </w:p>
    <w:p w14:paraId="227C83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проведения испытаний прицел был смонтирован на самолете И-15.</w:t>
      </w:r>
    </w:p>
    <w:p w14:paraId="1DD01D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испытаний было произведено 10 полетов 6 час. 30 мин. (3086).</w:t>
      </w:r>
    </w:p>
    <w:p w14:paraId="5419F008" w14:textId="77777777" w:rsidR="00D4105E" w:rsidRPr="00E14102" w:rsidRDefault="00D4105E" w:rsidP="00E14102">
      <w:pPr>
        <w:autoSpaceDE w:val="0"/>
        <w:autoSpaceDN w:val="0"/>
        <w:adjustRightInd w:val="0"/>
        <w:jc w:val="both"/>
        <w:rPr>
          <w:color w:val="000000" w:themeColor="text1"/>
          <w:sz w:val="16"/>
          <w:szCs w:val="16"/>
        </w:rPr>
      </w:pPr>
    </w:p>
    <w:p w14:paraId="021A4D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октября 1935 закончились полигонные испытания коллиматорного прицела "РО" предъявленного КИБ ВООМП"а, которые проходили с 25 сентября 1935</w:t>
      </w:r>
    </w:p>
    <w:p w14:paraId="461480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1B91AB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 Цветков</w:t>
      </w:r>
    </w:p>
    <w:p w14:paraId="3E73F7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 Мохов</w:t>
      </w:r>
    </w:p>
    <w:p w14:paraId="01DD24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1BCD34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Проверка оптического прицела "РО" типа коллиматора, разработанного и изготовленного по инициативе инженерно-технических работников КИБ ВООМП"а, с целью принятия на вооружение ВС.</w:t>
      </w:r>
    </w:p>
    <w:p w14:paraId="2A6737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4C0BF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Коллиматорный прицел "РО" полигонные испытания не выдержал и требует доработки и устранения недостатков (3085).</w:t>
      </w:r>
    </w:p>
    <w:p w14:paraId="017A3672" w14:textId="77777777" w:rsidR="00D4105E" w:rsidRPr="00E14102" w:rsidRDefault="00D4105E" w:rsidP="00E14102">
      <w:pPr>
        <w:autoSpaceDE w:val="0"/>
        <w:autoSpaceDN w:val="0"/>
        <w:adjustRightInd w:val="0"/>
        <w:jc w:val="both"/>
        <w:rPr>
          <w:color w:val="000000" w:themeColor="text1"/>
          <w:sz w:val="16"/>
          <w:szCs w:val="16"/>
        </w:rPr>
      </w:pPr>
    </w:p>
    <w:p w14:paraId="12A84F0A" w14:textId="77777777" w:rsidR="00822C46" w:rsidRPr="00E14102" w:rsidRDefault="00822C46" w:rsidP="00E14102">
      <w:pPr>
        <w:jc w:val="both"/>
        <w:rPr>
          <w:color w:val="0070C0"/>
          <w:sz w:val="16"/>
          <w:szCs w:val="16"/>
        </w:rPr>
      </w:pPr>
      <w:r w:rsidRPr="00E14102">
        <w:rPr>
          <w:color w:val="0070C0"/>
          <w:sz w:val="16"/>
          <w:szCs w:val="16"/>
        </w:rPr>
        <w:t>В полёте 5 октября 1935 г. экипаж в составе И.И. Зыкова, Пешкова и Истомина, достигший высоты 8000 м, провёл сравнительные испыта</w:t>
      </w:r>
      <w:r w:rsidRPr="00E14102">
        <w:rPr>
          <w:color w:val="0070C0"/>
          <w:sz w:val="16"/>
          <w:szCs w:val="16"/>
        </w:rPr>
        <w:softHyphen/>
        <w:t>ния инфракрасной фотоплёнки («аэроплёнки») советского и английского производства для пред</w:t>
      </w:r>
      <w:r w:rsidRPr="00E14102">
        <w:rPr>
          <w:color w:val="0070C0"/>
          <w:sz w:val="16"/>
          <w:szCs w:val="16"/>
        </w:rPr>
        <w:softHyphen/>
        <w:t>стоящих стратосферных полётов. Испытания показали полную пригодность советской инфра</w:t>
      </w:r>
      <w:r w:rsidRPr="00E14102">
        <w:rPr>
          <w:color w:val="0070C0"/>
          <w:sz w:val="16"/>
          <w:szCs w:val="16"/>
        </w:rPr>
        <w:softHyphen/>
        <w:t>красной фотоплёнки для съёмки из стратосферы и значительно лучший эффект устранения влия</w:t>
      </w:r>
      <w:r w:rsidRPr="00E14102">
        <w:rPr>
          <w:color w:val="0070C0"/>
          <w:sz w:val="16"/>
          <w:szCs w:val="16"/>
        </w:rPr>
        <w:softHyphen/>
        <w:t>ния дымки по сравнению с английской. Съёмка велась через оранжевый фильтр (20120).</w:t>
      </w:r>
    </w:p>
    <w:p w14:paraId="5DECDFBD" w14:textId="77777777" w:rsidR="00822C46" w:rsidRPr="00E14102" w:rsidRDefault="00822C46" w:rsidP="00E14102">
      <w:pPr>
        <w:jc w:val="both"/>
        <w:rPr>
          <w:color w:val="0070C0"/>
          <w:sz w:val="16"/>
          <w:szCs w:val="16"/>
        </w:rPr>
      </w:pPr>
    </w:p>
    <w:p w14:paraId="488756DB" w14:textId="77777777" w:rsidR="00956A7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B1BE62E" w14:textId="77777777" w:rsidR="00956A72" w:rsidRPr="00E14102" w:rsidRDefault="00956A72" w:rsidP="00E14102">
      <w:pPr>
        <w:autoSpaceDE w:val="0"/>
        <w:autoSpaceDN w:val="0"/>
        <w:adjustRightInd w:val="0"/>
        <w:jc w:val="both"/>
        <w:rPr>
          <w:iCs/>
          <w:color w:val="000000" w:themeColor="text1"/>
          <w:sz w:val="16"/>
          <w:szCs w:val="16"/>
        </w:rPr>
      </w:pPr>
    </w:p>
    <w:p w14:paraId="485A30C0" w14:textId="77777777" w:rsidR="00956A72" w:rsidRPr="00E14102" w:rsidRDefault="00956A72" w:rsidP="00E14102">
      <w:pPr>
        <w:pStyle w:val="rtejustify"/>
        <w:spacing w:before="0" w:after="0"/>
        <w:rPr>
          <w:color w:val="000000" w:themeColor="text1"/>
          <w:sz w:val="16"/>
          <w:szCs w:val="16"/>
        </w:rPr>
      </w:pPr>
      <w:r w:rsidRPr="00E14102">
        <w:rPr>
          <w:rStyle w:val="a6"/>
          <w:bCs/>
          <w:i w:val="0"/>
          <w:color w:val="000000" w:themeColor="text1"/>
          <w:sz w:val="16"/>
          <w:szCs w:val="16"/>
        </w:rPr>
        <w:t>5 октября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130сс «Об исполнении постановления СТО от 5 августа 1935 г. “О порядке сдачи НКТяжпромом выстрелов НКО”». (ГА РФ. Ф. Р</w:t>
      </w:r>
      <w:r w:rsidRPr="00E14102">
        <w:rPr>
          <w:color w:val="000000" w:themeColor="text1"/>
          <w:sz w:val="16"/>
          <w:szCs w:val="16"/>
        </w:rPr>
        <w:noBreakHyphen/>
        <w:t>8418. Оп. 28. Д. 7. Л. 175</w:t>
      </w:r>
      <w:r w:rsidRPr="00E14102">
        <w:rPr>
          <w:color w:val="000000" w:themeColor="text1"/>
          <w:sz w:val="16"/>
          <w:szCs w:val="16"/>
        </w:rPr>
        <w:noBreakHyphen/>
        <w:t>176) (15460).</w:t>
      </w:r>
    </w:p>
    <w:p w14:paraId="470D1EE0" w14:textId="77777777" w:rsidR="00956A72" w:rsidRPr="00E14102" w:rsidRDefault="00956A72" w:rsidP="00E14102">
      <w:pPr>
        <w:pStyle w:val="rtejustify"/>
        <w:spacing w:before="0" w:after="0"/>
        <w:rPr>
          <w:color w:val="000000" w:themeColor="text1"/>
          <w:sz w:val="16"/>
          <w:szCs w:val="16"/>
        </w:rPr>
      </w:pPr>
    </w:p>
    <w:p w14:paraId="5D664B25" w14:textId="77777777" w:rsidR="00956A72" w:rsidRPr="00E14102" w:rsidRDefault="00956A72" w:rsidP="00E14102">
      <w:pPr>
        <w:pStyle w:val="rtejustify"/>
        <w:spacing w:before="0" w:after="0"/>
        <w:rPr>
          <w:color w:val="000000" w:themeColor="text1"/>
          <w:sz w:val="16"/>
          <w:szCs w:val="16"/>
        </w:rPr>
      </w:pPr>
      <w:r w:rsidRPr="00E14102">
        <w:rPr>
          <w:rStyle w:val="a6"/>
          <w:bCs/>
          <w:i w:val="0"/>
          <w:color w:val="000000" w:themeColor="text1"/>
          <w:sz w:val="16"/>
          <w:szCs w:val="16"/>
        </w:rPr>
        <w:t>5 октября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131сс «Об изготовлении 76</w:t>
      </w:r>
      <w:r w:rsidRPr="00E14102">
        <w:rPr>
          <w:color w:val="000000" w:themeColor="text1"/>
          <w:sz w:val="16"/>
          <w:szCs w:val="16"/>
        </w:rPr>
        <w:noBreakHyphen/>
        <w:t>мм пушки образца 1933 г. (Ф</w:t>
      </w:r>
      <w:r w:rsidRPr="00E14102">
        <w:rPr>
          <w:color w:val="000000" w:themeColor="text1"/>
          <w:sz w:val="16"/>
          <w:szCs w:val="16"/>
        </w:rPr>
        <w:noBreakHyphen/>
        <w:t>19)». (ГА РФ. Ф. Р</w:t>
      </w:r>
      <w:r w:rsidRPr="00E14102">
        <w:rPr>
          <w:color w:val="000000" w:themeColor="text1"/>
          <w:sz w:val="16"/>
          <w:szCs w:val="16"/>
        </w:rPr>
        <w:noBreakHyphen/>
        <w:t>8418. Оп. 28. Д. 7. Л. 177) (15460).</w:t>
      </w:r>
    </w:p>
    <w:p w14:paraId="385DA721" w14:textId="77777777" w:rsidR="00956A72" w:rsidRPr="00E14102" w:rsidRDefault="00956A72" w:rsidP="00E14102">
      <w:pPr>
        <w:pStyle w:val="rtejustify"/>
        <w:spacing w:before="0" w:after="0"/>
        <w:rPr>
          <w:color w:val="000000" w:themeColor="text1"/>
          <w:sz w:val="16"/>
          <w:szCs w:val="16"/>
        </w:rPr>
      </w:pPr>
    </w:p>
    <w:p w14:paraId="7BE16AE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1CF6941" w14:textId="77777777" w:rsidR="00D4105E" w:rsidRPr="00E14102" w:rsidRDefault="00D4105E" w:rsidP="00E14102">
      <w:pPr>
        <w:autoSpaceDE w:val="0"/>
        <w:autoSpaceDN w:val="0"/>
        <w:adjustRightInd w:val="0"/>
        <w:jc w:val="both"/>
        <w:rPr>
          <w:iCs/>
          <w:color w:val="000000" w:themeColor="text1"/>
          <w:sz w:val="16"/>
          <w:szCs w:val="16"/>
        </w:rPr>
      </w:pPr>
    </w:p>
    <w:p w14:paraId="08E1ED5D" w14:textId="77777777" w:rsidR="00177841" w:rsidRPr="00E14102" w:rsidRDefault="00177841" w:rsidP="00E14102">
      <w:pPr>
        <w:jc w:val="both"/>
        <w:rPr>
          <w:color w:val="0070C0"/>
          <w:sz w:val="16"/>
          <w:szCs w:val="16"/>
        </w:rPr>
      </w:pPr>
      <w:r w:rsidRPr="00E14102">
        <w:rPr>
          <w:color w:val="0070C0"/>
          <w:sz w:val="16"/>
          <w:szCs w:val="16"/>
        </w:rPr>
        <w:t>5 октября 1935 года — первый полёт истребителя Loire-Nieuport LN 161. /Франция/</w:t>
      </w:r>
    </w:p>
    <w:p w14:paraId="5E5BC7F3" w14:textId="77777777" w:rsidR="00177841" w:rsidRPr="00E14102" w:rsidRDefault="00177841" w:rsidP="00E14102">
      <w:pPr>
        <w:jc w:val="both"/>
        <w:rPr>
          <w:color w:val="0070C0"/>
          <w:sz w:val="16"/>
          <w:szCs w:val="16"/>
        </w:rPr>
      </w:pPr>
      <w:r w:rsidRPr="00E14102">
        <w:rPr>
          <w:color w:val="0070C0"/>
          <w:sz w:val="16"/>
          <w:szCs w:val="16"/>
        </w:rPr>
        <w:t>В 1934 году компании Ateliers et Chantiers de la Loire и Société Nieuport-Astra объединились в одну Groupement Aviation Loire-Nieuport. Первым проектом нового производителя стал Loire-Nieuport 161, созданный для участия в конкурсе Министерства авиации Франции на одноместный истребитель.</w:t>
      </w:r>
    </w:p>
    <w:p w14:paraId="021293D7" w14:textId="77777777" w:rsidR="00177841" w:rsidRPr="00E14102" w:rsidRDefault="00177841" w:rsidP="00E14102">
      <w:pPr>
        <w:jc w:val="both"/>
        <w:rPr>
          <w:color w:val="0070C0"/>
          <w:sz w:val="16"/>
          <w:szCs w:val="16"/>
        </w:rPr>
      </w:pPr>
      <w:r w:rsidRPr="00E14102">
        <w:rPr>
          <w:color w:val="0070C0"/>
          <w:sz w:val="16"/>
          <w:szCs w:val="16"/>
        </w:rPr>
        <w:t>LN 161 представлял собой цельнометаллический низкоплан с убирающимся шасси. На первом прототипа установили двигатель Hispano-Suiza 12Xcrs, позже заменённый на Hispano-Suiza 12Ycrs. Максимальная скорость — 478 км/ч, дальность полёта — 760 км. Вооружение пулемётно-пушечное — 1 × 20-мм пушка Hispano-Suiza HS.404 и 2 × 7,5-мм пулемётов MAC 34.</w:t>
      </w:r>
    </w:p>
    <w:p w14:paraId="1DBE5B6D" w14:textId="77777777" w:rsidR="00177841" w:rsidRPr="00E14102" w:rsidRDefault="00177841" w:rsidP="00E14102">
      <w:pPr>
        <w:jc w:val="both"/>
        <w:rPr>
          <w:color w:val="0070C0"/>
          <w:sz w:val="16"/>
          <w:szCs w:val="16"/>
        </w:rPr>
      </w:pPr>
      <w:r w:rsidRPr="00E14102">
        <w:rPr>
          <w:color w:val="0070C0"/>
          <w:sz w:val="16"/>
          <w:szCs w:val="16"/>
        </w:rPr>
        <w:t>На испытаниях LN 161 оказался быстрее всех конкурентов, но это не помогло ему победить. Конкурсная комиссия выбрала Morane-Saulnier MS.405. Успели построить всего 3 прототипа Loire-Nieuport 161, 2 из которых были потеряны в авариях. В 1938 году проект был закрыт (22300).</w:t>
      </w:r>
    </w:p>
    <w:p w14:paraId="2AC6208B" w14:textId="77777777" w:rsidR="00177841" w:rsidRPr="00E14102" w:rsidRDefault="00177841" w:rsidP="00E14102">
      <w:pPr>
        <w:pStyle w:val="129"/>
        <w:shd w:val="clear" w:color="auto" w:fill="auto"/>
        <w:spacing w:after="0" w:line="240" w:lineRule="auto"/>
        <w:rPr>
          <w:rFonts w:ascii="Times New Roman" w:hAnsi="Times New Roman" w:cs="Times New Roman"/>
          <w:color w:val="0070C0"/>
          <w:sz w:val="16"/>
          <w:szCs w:val="16"/>
        </w:rPr>
      </w:pPr>
    </w:p>
    <w:p w14:paraId="5D0598C9" w14:textId="77777777" w:rsidR="00956A72" w:rsidRPr="00E14102" w:rsidRDefault="00956A72"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5 октября </w:t>
      </w:r>
      <w:r w:rsidRPr="00E14102">
        <w:rPr>
          <w:color w:val="000000" w:themeColor="text1"/>
          <w:sz w:val="16"/>
          <w:szCs w:val="16"/>
        </w:rPr>
        <w:t>в 1935 году закрытие конгресса по проблемам авиации больших скоростей (Италия), где А.Буземан предложил использовать на скоростных самолётах стреловидные крылья (14790).</w:t>
      </w:r>
    </w:p>
    <w:p w14:paraId="3AC33D5F" w14:textId="77777777" w:rsidR="00956A72" w:rsidRPr="00E14102" w:rsidRDefault="00956A72" w:rsidP="00E14102">
      <w:pPr>
        <w:jc w:val="both"/>
        <w:rPr>
          <w:color w:val="000000" w:themeColor="text1"/>
          <w:sz w:val="16"/>
          <w:szCs w:val="16"/>
        </w:rPr>
      </w:pPr>
    </w:p>
    <w:p w14:paraId="65BE6183" w14:textId="77777777" w:rsidR="00177841" w:rsidRPr="00E14102" w:rsidRDefault="00177841" w:rsidP="00E14102">
      <w:pPr>
        <w:jc w:val="both"/>
        <w:rPr>
          <w:color w:val="0070C0"/>
          <w:sz w:val="16"/>
          <w:szCs w:val="16"/>
        </w:rPr>
      </w:pPr>
      <w:r w:rsidRPr="00E14102">
        <w:rPr>
          <w:color w:val="0070C0"/>
          <w:sz w:val="16"/>
          <w:szCs w:val="16"/>
        </w:rPr>
        <w:t>5 октября 1935 итальянские самолеты проводят разрушительную и кровавую бомбардировку Адовы, Эфиопия, после ухода из нее эфиопских войск. Деревня была местом катастрофического поражения итальянских войск эфиопскими войсками в битве при Адове в 1896 году (20800).</w:t>
      </w:r>
    </w:p>
    <w:p w14:paraId="53AFDAF8" w14:textId="77777777" w:rsidR="00177841" w:rsidRPr="00E14102" w:rsidRDefault="00177841" w:rsidP="00E14102">
      <w:pPr>
        <w:jc w:val="both"/>
        <w:rPr>
          <w:color w:val="0070C0"/>
          <w:sz w:val="16"/>
          <w:szCs w:val="16"/>
        </w:rPr>
      </w:pPr>
    </w:p>
    <w:p w14:paraId="6F1643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октября 1935 президент США запретил вывоз оружия в Италию и Эфиопию (3186).</w:t>
      </w:r>
    </w:p>
    <w:p w14:paraId="443B6959" w14:textId="77777777" w:rsidR="00D4105E" w:rsidRPr="00E14102" w:rsidRDefault="00D4105E" w:rsidP="00E14102">
      <w:pPr>
        <w:autoSpaceDE w:val="0"/>
        <w:autoSpaceDN w:val="0"/>
        <w:adjustRightInd w:val="0"/>
        <w:jc w:val="both"/>
        <w:rPr>
          <w:color w:val="000000" w:themeColor="text1"/>
          <w:sz w:val="16"/>
          <w:szCs w:val="16"/>
        </w:rPr>
      </w:pPr>
    </w:p>
    <w:p w14:paraId="364561C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EC434EF" w14:textId="77777777" w:rsidR="00D4105E" w:rsidRPr="00E14102" w:rsidRDefault="00D4105E" w:rsidP="00E14102">
      <w:pPr>
        <w:autoSpaceDE w:val="0"/>
        <w:autoSpaceDN w:val="0"/>
        <w:adjustRightInd w:val="0"/>
        <w:jc w:val="both"/>
        <w:rPr>
          <w:iCs/>
          <w:color w:val="000000" w:themeColor="text1"/>
          <w:sz w:val="16"/>
          <w:szCs w:val="16"/>
        </w:rPr>
      </w:pPr>
    </w:p>
    <w:p w14:paraId="682F66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октября 1935 на ДБА 4М-34РН в ходе заводских испытаний в Щелково летали 1 раза 1:35 и это был полет на замеры скоростей по высотам. Это был 20-й полет (249).</w:t>
      </w:r>
    </w:p>
    <w:p w14:paraId="7D6AE785" w14:textId="77777777" w:rsidR="00D4105E" w:rsidRPr="00E14102" w:rsidRDefault="00D4105E" w:rsidP="00E14102">
      <w:pPr>
        <w:autoSpaceDE w:val="0"/>
        <w:autoSpaceDN w:val="0"/>
        <w:adjustRightInd w:val="0"/>
        <w:jc w:val="both"/>
        <w:rPr>
          <w:color w:val="000000" w:themeColor="text1"/>
          <w:sz w:val="16"/>
          <w:szCs w:val="16"/>
        </w:rPr>
      </w:pPr>
    </w:p>
    <w:p w14:paraId="0940E1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октября 1935 года пять самолетов И15 поднялись строем с завода № 39 на высоту 10500 м и строем пролетели 440 км на этой высоте (38,3475).</w:t>
      </w:r>
    </w:p>
    <w:p w14:paraId="191C0719" w14:textId="77777777" w:rsidR="00D4105E" w:rsidRPr="00E14102" w:rsidRDefault="00D4105E" w:rsidP="00E14102">
      <w:pPr>
        <w:autoSpaceDE w:val="0"/>
        <w:autoSpaceDN w:val="0"/>
        <w:adjustRightInd w:val="0"/>
        <w:jc w:val="both"/>
        <w:rPr>
          <w:color w:val="000000" w:themeColor="text1"/>
          <w:sz w:val="16"/>
          <w:szCs w:val="16"/>
        </w:rPr>
      </w:pPr>
    </w:p>
    <w:p w14:paraId="634913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октября 1935 закончились 11 планерные состязания (438,700).</w:t>
      </w:r>
    </w:p>
    <w:p w14:paraId="0578A2FE" w14:textId="77777777" w:rsidR="00D4105E" w:rsidRPr="00E14102" w:rsidRDefault="00D4105E" w:rsidP="00E14102">
      <w:pPr>
        <w:autoSpaceDE w:val="0"/>
        <w:autoSpaceDN w:val="0"/>
        <w:adjustRightInd w:val="0"/>
        <w:jc w:val="both"/>
        <w:rPr>
          <w:color w:val="000000" w:themeColor="text1"/>
          <w:sz w:val="16"/>
          <w:szCs w:val="16"/>
        </w:rPr>
      </w:pPr>
    </w:p>
    <w:p w14:paraId="7520DA27" w14:textId="77777777" w:rsidR="00177841" w:rsidRPr="00E14102" w:rsidRDefault="00177841" w:rsidP="00E14102">
      <w:pPr>
        <w:jc w:val="both"/>
        <w:rPr>
          <w:color w:val="0070C0"/>
          <w:sz w:val="16"/>
          <w:szCs w:val="16"/>
        </w:rPr>
      </w:pPr>
      <w:r w:rsidRPr="00E14102">
        <w:rPr>
          <w:color w:val="0070C0"/>
          <w:sz w:val="16"/>
          <w:szCs w:val="16"/>
        </w:rPr>
        <w:t>6 октября 1935 аэростат АП-1 поднялся вновь с тем же экипажем, имея на борту 470 кг балласта. Бал</w:t>
      </w:r>
      <w:r w:rsidRPr="00E14102">
        <w:rPr>
          <w:color w:val="0070C0"/>
          <w:sz w:val="16"/>
          <w:szCs w:val="16"/>
        </w:rPr>
        <w:softHyphen/>
        <w:t>лон выполнился на высоте 3000 м. Дальнейший подъём происходил за счёт балласта, которого на высоте 5000 м осталось 210 кг. Затем приоткрыли выпускной клапан. Спуск происходил очень мед</w:t>
      </w:r>
      <w:r w:rsidRPr="00E14102">
        <w:rPr>
          <w:color w:val="0070C0"/>
          <w:sz w:val="16"/>
          <w:szCs w:val="16"/>
        </w:rPr>
        <w:softHyphen/>
        <w:t>ленно. При скорости снижения 1,5-2 м/с на ниж</w:t>
      </w:r>
      <w:r w:rsidRPr="00E14102">
        <w:rPr>
          <w:color w:val="0070C0"/>
          <w:sz w:val="16"/>
          <w:szCs w:val="16"/>
        </w:rPr>
        <w:softHyphen/>
        <w:t>ней части оболочки провисала материя, образуя складки, шахта смещалась относительно верти</w:t>
      </w:r>
      <w:r w:rsidRPr="00E14102">
        <w:rPr>
          <w:color w:val="0070C0"/>
          <w:sz w:val="16"/>
          <w:szCs w:val="16"/>
        </w:rPr>
        <w:softHyphen/>
        <w:t>кальной оси. На высоте 3600 м газовый клапан открыли на 15 с, после чего скорость снижения возросла. От 3500 до 2000 м снижение шло со ско</w:t>
      </w:r>
      <w:r w:rsidRPr="00E14102">
        <w:rPr>
          <w:color w:val="0070C0"/>
          <w:sz w:val="16"/>
          <w:szCs w:val="16"/>
        </w:rPr>
        <w:softHyphen/>
        <w:t>ростью 5-4 м/с, а с 2000 м до земли приборы по</w:t>
      </w:r>
      <w:r w:rsidRPr="00E14102">
        <w:rPr>
          <w:color w:val="0070C0"/>
          <w:sz w:val="16"/>
          <w:szCs w:val="16"/>
        </w:rPr>
        <w:softHyphen/>
        <w:t>казывали скорость 4-3,5 м/с. Балласт при спуске не расходовался. Аэростат спустился в Ногин</w:t>
      </w:r>
      <w:r w:rsidRPr="00E14102">
        <w:rPr>
          <w:color w:val="0070C0"/>
          <w:sz w:val="16"/>
          <w:szCs w:val="16"/>
        </w:rPr>
        <w:softHyphen/>
        <w:t>ском районе Московской области68.</w:t>
      </w:r>
    </w:p>
    <w:p w14:paraId="085E014F" w14:textId="77777777" w:rsidR="00177841" w:rsidRPr="00E14102" w:rsidRDefault="00177841" w:rsidP="00E14102">
      <w:pPr>
        <w:jc w:val="both"/>
        <w:rPr>
          <w:color w:val="0070C0"/>
          <w:sz w:val="16"/>
          <w:szCs w:val="16"/>
        </w:rPr>
      </w:pPr>
      <w:r w:rsidRPr="00E14102">
        <w:rPr>
          <w:color w:val="0070C0"/>
          <w:sz w:val="16"/>
          <w:szCs w:val="16"/>
        </w:rPr>
        <w:t>На аэростате АП-2 («СССР ВР-24») в авгу</w:t>
      </w:r>
      <w:r w:rsidRPr="00E14102">
        <w:rPr>
          <w:color w:val="0070C0"/>
          <w:sz w:val="16"/>
          <w:szCs w:val="16"/>
        </w:rPr>
        <w:softHyphen/>
        <w:t>сте 1937 г. и сентябре 1938 г. М.И. Волков и А.А. Фомин совершили два испытательных по</w:t>
      </w:r>
      <w:r w:rsidRPr="00E14102">
        <w:rPr>
          <w:color w:val="0070C0"/>
          <w:sz w:val="16"/>
          <w:szCs w:val="16"/>
        </w:rPr>
        <w:softHyphen/>
        <w:t>лёта на высоты соответственно 4600 м и 3100 м. Оба раза снижение происходило нормально, балласт совершенно не расходовался, а оболоч</w:t>
      </w:r>
      <w:r w:rsidRPr="00E14102">
        <w:rPr>
          <w:color w:val="0070C0"/>
          <w:sz w:val="16"/>
          <w:szCs w:val="16"/>
        </w:rPr>
        <w:softHyphen/>
        <w:t>ка принимала хорошо парашютирующие фор</w:t>
      </w:r>
      <w:r w:rsidRPr="00E14102">
        <w:rPr>
          <w:color w:val="0070C0"/>
          <w:sz w:val="16"/>
          <w:szCs w:val="16"/>
        </w:rPr>
        <w:softHyphen/>
        <w:t>мы. После этого приступили к постройке самого стратостата (20120).</w:t>
      </w:r>
    </w:p>
    <w:p w14:paraId="1964DFFC" w14:textId="77777777" w:rsidR="00177841" w:rsidRPr="00E14102" w:rsidRDefault="00177841" w:rsidP="00E14102">
      <w:pPr>
        <w:jc w:val="both"/>
        <w:rPr>
          <w:color w:val="0070C0"/>
          <w:sz w:val="16"/>
          <w:szCs w:val="16"/>
        </w:rPr>
      </w:pPr>
    </w:p>
    <w:p w14:paraId="00119357" w14:textId="77777777" w:rsidR="00956A7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D4E1266" w14:textId="77777777" w:rsidR="00956A72" w:rsidRPr="00E14102" w:rsidRDefault="00956A72" w:rsidP="00E14102">
      <w:pPr>
        <w:autoSpaceDE w:val="0"/>
        <w:autoSpaceDN w:val="0"/>
        <w:adjustRightInd w:val="0"/>
        <w:jc w:val="both"/>
        <w:rPr>
          <w:iCs/>
          <w:color w:val="000000" w:themeColor="text1"/>
          <w:sz w:val="16"/>
          <w:szCs w:val="16"/>
        </w:rPr>
      </w:pPr>
    </w:p>
    <w:p w14:paraId="7724A9D2" w14:textId="77777777" w:rsidR="00956A72" w:rsidRPr="00E14102" w:rsidRDefault="00956A72" w:rsidP="00E14102">
      <w:pPr>
        <w:jc w:val="both"/>
        <w:rPr>
          <w:rStyle w:val="ucoz-forum-post"/>
          <w:rFonts w:eastAsiaTheme="majorEastAsia"/>
          <w:bCs/>
          <w:color w:val="000000" w:themeColor="text1"/>
          <w:sz w:val="16"/>
          <w:szCs w:val="16"/>
        </w:rPr>
      </w:pPr>
      <w:r w:rsidRPr="00E14102">
        <w:rPr>
          <w:color w:val="000000" w:themeColor="text1"/>
          <w:sz w:val="16"/>
          <w:szCs w:val="16"/>
        </w:rPr>
        <w:t>6 октября 1935 г. рапортом директор Кировского машиностроительного и металлургического завода К. М. Отс доложил, что произведенные в 1935 г. конструктивные улучшения танка Т</w:t>
      </w:r>
      <w:r w:rsidRPr="00E14102">
        <w:rPr>
          <w:color w:val="000000" w:themeColor="text1"/>
          <w:sz w:val="16"/>
          <w:szCs w:val="16"/>
        </w:rPr>
        <w:noBreakHyphen/>
        <w:t>28 повысили его скорость на 50%, в среднем на 16</w:t>
      </w:r>
      <w:r w:rsidRPr="00E14102">
        <w:rPr>
          <w:color w:val="000000" w:themeColor="text1"/>
          <w:sz w:val="16"/>
          <w:szCs w:val="16"/>
        </w:rPr>
        <w:noBreakHyphen/>
        <w:t>20 км/ч, против изготовляемых ныне машин. Достигнутая скорость дает новую военно-тактическую оценку Т</w:t>
      </w:r>
      <w:r w:rsidRPr="00E14102">
        <w:rPr>
          <w:color w:val="000000" w:themeColor="text1"/>
          <w:sz w:val="16"/>
          <w:szCs w:val="16"/>
        </w:rPr>
        <w:noBreakHyphen/>
        <w:t>28, как основной боевой единицы среднего класса, и открывает широкие перспективы дальнейшего конструктивного улучшения (15361).</w:t>
      </w:r>
    </w:p>
    <w:p w14:paraId="5493D1CD" w14:textId="77777777" w:rsidR="00956A72" w:rsidRPr="00E14102" w:rsidRDefault="00956A72" w:rsidP="00E14102">
      <w:pPr>
        <w:jc w:val="both"/>
        <w:rPr>
          <w:rStyle w:val="ucoz-forum-post"/>
          <w:rFonts w:eastAsiaTheme="majorEastAsia"/>
          <w:bCs/>
          <w:color w:val="000000" w:themeColor="text1"/>
          <w:sz w:val="16"/>
          <w:szCs w:val="16"/>
        </w:rPr>
      </w:pPr>
    </w:p>
    <w:p w14:paraId="45E490B2" w14:textId="77777777" w:rsidR="00956A72" w:rsidRPr="00E14102" w:rsidRDefault="00956A72"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6 октября </w:t>
      </w:r>
      <w:r w:rsidRPr="00E14102">
        <w:rPr>
          <w:color w:val="000000" w:themeColor="text1"/>
          <w:sz w:val="16"/>
          <w:szCs w:val="16"/>
        </w:rPr>
        <w:t>в 1935 году Постановлением ЦИК и СПК СССР установлены специальные звания начальствующего состава Главного управления государственной безопасности (ГУГБ) Народного комиссариата внутренних дел НКВД СССР (от сержанта ГБ до комиссара ГБ 1 ранга) (14791).</w:t>
      </w:r>
    </w:p>
    <w:p w14:paraId="6C8FD3BA" w14:textId="77777777" w:rsidR="00956A72" w:rsidRPr="00E14102" w:rsidRDefault="00956A72" w:rsidP="00E14102">
      <w:pPr>
        <w:jc w:val="both"/>
        <w:rPr>
          <w:color w:val="000000" w:themeColor="text1"/>
          <w:sz w:val="16"/>
          <w:szCs w:val="16"/>
        </w:rPr>
      </w:pPr>
    </w:p>
    <w:p w14:paraId="64BA8951" w14:textId="77777777" w:rsidR="00956A7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332E747" w14:textId="77777777" w:rsidR="00956A72" w:rsidRPr="00E14102" w:rsidRDefault="00956A72" w:rsidP="00E14102">
      <w:pPr>
        <w:autoSpaceDE w:val="0"/>
        <w:autoSpaceDN w:val="0"/>
        <w:adjustRightInd w:val="0"/>
        <w:jc w:val="both"/>
        <w:rPr>
          <w:iCs/>
          <w:color w:val="000000" w:themeColor="text1"/>
          <w:sz w:val="16"/>
          <w:szCs w:val="16"/>
        </w:rPr>
      </w:pPr>
    </w:p>
    <w:p w14:paraId="32DF7C7D" w14:textId="77777777" w:rsidR="00956A72" w:rsidRPr="00E14102" w:rsidRDefault="00956A72"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6 октября </w:t>
      </w:r>
      <w:r w:rsidRPr="00E14102">
        <w:rPr>
          <w:color w:val="000000" w:themeColor="text1"/>
          <w:sz w:val="16"/>
          <w:szCs w:val="16"/>
        </w:rPr>
        <w:t>в 1935 году Постановлением ЦИК и СПК СССР установлены специальные звания начальствующего состава Главного управления государственной безопасности (ГУГБ) Народного комиссариата внутренних дел НКВД СССР (от сержанта ГБ до комиссара ГБ 1 ранга) (14791).</w:t>
      </w:r>
    </w:p>
    <w:p w14:paraId="42B79E41" w14:textId="77777777" w:rsidR="00956A72" w:rsidRPr="00E14102" w:rsidRDefault="00956A72" w:rsidP="00E14102">
      <w:pPr>
        <w:jc w:val="both"/>
        <w:rPr>
          <w:color w:val="000000" w:themeColor="text1"/>
          <w:sz w:val="16"/>
          <w:szCs w:val="16"/>
        </w:rPr>
      </w:pPr>
    </w:p>
    <w:p w14:paraId="193EEB19" w14:textId="77777777" w:rsidR="00956A7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DCDDC80" w14:textId="77777777" w:rsidR="00956A72" w:rsidRPr="00E14102" w:rsidRDefault="00956A72" w:rsidP="00E14102">
      <w:pPr>
        <w:autoSpaceDE w:val="0"/>
        <w:autoSpaceDN w:val="0"/>
        <w:adjustRightInd w:val="0"/>
        <w:jc w:val="both"/>
        <w:rPr>
          <w:iCs/>
          <w:color w:val="000000" w:themeColor="text1"/>
          <w:sz w:val="16"/>
          <w:szCs w:val="16"/>
        </w:rPr>
      </w:pPr>
    </w:p>
    <w:p w14:paraId="7D90D9BC" w14:textId="77777777" w:rsidR="00956A72" w:rsidRPr="00E14102" w:rsidRDefault="00956A72"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6 октября </w:t>
      </w:r>
      <w:r w:rsidRPr="00E14102">
        <w:rPr>
          <w:color w:val="000000" w:themeColor="text1"/>
          <w:sz w:val="16"/>
          <w:szCs w:val="16"/>
        </w:rPr>
        <w:t>в 1935 году вторгшаяся в Эфиопию Италия объявлена Лигой Наций агрессором и исключена из Лиги (14791).</w:t>
      </w:r>
    </w:p>
    <w:p w14:paraId="38FE0D30" w14:textId="77777777" w:rsidR="00956A72" w:rsidRPr="00E14102" w:rsidRDefault="00956A72" w:rsidP="00E14102">
      <w:pPr>
        <w:jc w:val="both"/>
        <w:rPr>
          <w:color w:val="000000" w:themeColor="text1"/>
          <w:sz w:val="16"/>
          <w:szCs w:val="16"/>
        </w:rPr>
      </w:pPr>
    </w:p>
    <w:p w14:paraId="054CC913" w14:textId="77777777" w:rsidR="00956A72" w:rsidRPr="00E14102" w:rsidRDefault="00956A72"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6 октября </w:t>
      </w:r>
      <w:r w:rsidRPr="00E14102">
        <w:rPr>
          <w:color w:val="000000" w:themeColor="text1"/>
          <w:sz w:val="16"/>
          <w:szCs w:val="16"/>
        </w:rPr>
        <w:t>в 1935 году в Вене Курт Шушниг при поддержке князя Старемберга организует "бескровный переворот" в Министерстве внутренних дел, направленный против главы ведомства Эмиля Фея и его сторонников-нацистов (события продолжаются до 17 октября) (14791).</w:t>
      </w:r>
    </w:p>
    <w:p w14:paraId="6DCAA12F" w14:textId="77777777" w:rsidR="00956A72" w:rsidRPr="00E14102" w:rsidRDefault="00956A72" w:rsidP="00E14102">
      <w:pPr>
        <w:jc w:val="both"/>
        <w:rPr>
          <w:color w:val="000000" w:themeColor="text1"/>
          <w:sz w:val="16"/>
          <w:szCs w:val="16"/>
        </w:rPr>
      </w:pPr>
    </w:p>
    <w:p w14:paraId="11968CA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79D960A" w14:textId="77777777" w:rsidR="00D4105E" w:rsidRPr="00E14102" w:rsidRDefault="00D4105E" w:rsidP="00E14102">
      <w:pPr>
        <w:autoSpaceDE w:val="0"/>
        <w:autoSpaceDN w:val="0"/>
        <w:adjustRightInd w:val="0"/>
        <w:jc w:val="both"/>
        <w:rPr>
          <w:iCs/>
          <w:color w:val="000000" w:themeColor="text1"/>
          <w:sz w:val="16"/>
          <w:szCs w:val="16"/>
        </w:rPr>
      </w:pPr>
    </w:p>
    <w:p w14:paraId="5391D52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начале октября 1935 Начальник управления ВС Алкснис утвердил Отчет по испытанию самолета И-16 М-22 на штопор (6684).</w:t>
      </w:r>
    </w:p>
    <w:p w14:paraId="1CAAF2A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начаты 9 сентября 1935 года</w:t>
      </w:r>
    </w:p>
    <w:p w14:paraId="652B3D4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окончены 23 сентября 1935 года</w:t>
      </w:r>
    </w:p>
    <w:p w14:paraId="46DA42A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3E3CD30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Никашин</w:t>
      </w:r>
    </w:p>
    <w:p w14:paraId="3E7931E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4A7D1E4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характера штопора на самолете И-16 М-22 и выявление опасных режимов.</w:t>
      </w:r>
    </w:p>
    <w:p w14:paraId="3CFF40B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Выявление тенденций к выходу в штопор при ошибках в пилотировании.</w:t>
      </w:r>
    </w:p>
    <w:p w14:paraId="27628BC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Выяснение влияний на характер и режим штопора факторов: количественной и качественной дачи рулей, положения самолета и т.д.</w:t>
      </w:r>
    </w:p>
    <w:p w14:paraId="0A99A00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Способы вывода самолета с минимальным запаздыванием.</w:t>
      </w:r>
    </w:p>
    <w:p w14:paraId="429CBF4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Получение данных для инструкции по производству штопора на самолете И16 М22.</w:t>
      </w:r>
    </w:p>
    <w:p w14:paraId="1262CA0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2EC5F9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Штопор на самолете И-16 М22 с полетным весом G=1328 кг ……….. не опасен (6684).</w:t>
      </w:r>
    </w:p>
    <w:p w14:paraId="711B9B1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4B1991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октября 1935 была закончена постройка самолета МБР-5 М-25 и начались заводские испытания (3120).</w:t>
      </w:r>
    </w:p>
    <w:p w14:paraId="2EF3AF77" w14:textId="77777777" w:rsidR="00D4105E" w:rsidRPr="00E14102" w:rsidRDefault="00D4105E" w:rsidP="00E14102">
      <w:pPr>
        <w:autoSpaceDE w:val="0"/>
        <w:autoSpaceDN w:val="0"/>
        <w:adjustRightInd w:val="0"/>
        <w:jc w:val="both"/>
        <w:rPr>
          <w:color w:val="000000" w:themeColor="text1"/>
          <w:sz w:val="16"/>
          <w:szCs w:val="16"/>
        </w:rPr>
      </w:pPr>
    </w:p>
    <w:p w14:paraId="559F3EF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940A383" w14:textId="77777777" w:rsidR="00D4105E" w:rsidRPr="00E14102" w:rsidRDefault="00D4105E" w:rsidP="00E14102">
      <w:pPr>
        <w:autoSpaceDE w:val="0"/>
        <w:autoSpaceDN w:val="0"/>
        <w:adjustRightInd w:val="0"/>
        <w:jc w:val="both"/>
        <w:rPr>
          <w:iCs/>
          <w:color w:val="000000" w:themeColor="text1"/>
          <w:sz w:val="16"/>
          <w:szCs w:val="16"/>
        </w:rPr>
      </w:pPr>
    </w:p>
    <w:p w14:paraId="1FCDC1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октября 1935 г. в степи западнее железнодорожной станции Сталино было начато строительство комбината № 144 - крупного предприятия по изготовлению боевой спецтехники для вооруженных сил и изготовлению промышленных взрывчатых веществ для угольной и горнорудной промышленности. В 05.1937 г. строительство комбината - в ведении 4ГУ. В 02.1939 г. строящийся комбинат № 144 4ГУ НКОП передан в ведение 4ГУ НКБ.</w:t>
      </w:r>
      <w:r w:rsidRPr="00E14102">
        <w:rPr>
          <w:color w:val="000000" w:themeColor="text1"/>
          <w:sz w:val="16"/>
          <w:szCs w:val="16"/>
          <w:vertAlign w:val="superscript"/>
        </w:rPr>
        <w:t>132</w:t>
      </w:r>
    </w:p>
    <w:p w14:paraId="3384BD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НКОП № 0025 от 4.02.1937 г. заводу предписано к 1.01.1938 г. создать мощности по снаряжению снарядов - 7 млн. шт. в год, авиабомб - 53 тыс. шт. Пр. № 147сс от 4.05.1938 г. вместо запроектированного пироцеха требовалось в 05.1938 г. выбрать площадку под строительство самостоятельного пиротехнического завода в районе строительства комбината.</w:t>
      </w:r>
    </w:p>
    <w:p w14:paraId="066BFF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1938 г. начат выпуск продукции. К 1941 г. комбинат вышел на проектную мощность: снаряжение артснарядов: среднего калибра - 4,95 млн. шт. в год; авиабомб АО - 3 млн. шт., ФАБ и БРАБ - 792 тыс. шт.; суррогатные ВВ - 36 тыс.т.</w:t>
      </w:r>
    </w:p>
    <w:p w14:paraId="782CA0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постановлению ГКО № 717с от 27.09.1941 г. комбинат № 144 1ГУ 1-10.10.1941 г. был эвакуирован (109 ед. оборудования, 1055 человек, 205 вагонов) и выбыл из числа действующих: часть - на завод № 114 (снаряжение снарядов среднего калибра, ФАБ-100 и производство суррогатных ВВ, 36 ед. оборудования); часть (снаряжение снарядов среднего калибра, бомб ФАБ-100 и АО, производство суррогатных ВВ, всего 62 ед. оборудования) - в  г. Миасс на площадку ремонтно-механического завода треста «Миассзолото», где создан завод № 611 НКБ; часть (снаряжение снарядов среднего калибра, И ед. оборудования) - на завод № 15; оставшееся оборудование, производственные корпуса и коммуникации были взорваны.</w:t>
      </w:r>
    </w:p>
    <w:p w14:paraId="631655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Сталино на старом месте по приказу НКБ № 903с от 22.09.1943 г. был организован новый завод № 107 НКБ.</w:t>
      </w:r>
    </w:p>
    <w:p w14:paraId="6AE175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Численность персонала (1940 г.)- 156 чел. (рабочих), (начало 1941 г.)- более 6000 чел., (09.1941 г.)- 4315 чел.</w:t>
      </w:r>
      <w:r w:rsidRPr="00E14102">
        <w:rPr>
          <w:color w:val="000000" w:themeColor="text1"/>
          <w:sz w:val="16"/>
          <w:szCs w:val="16"/>
          <w:vertAlign w:val="superscript"/>
        </w:rPr>
        <w:t>Ь2</w:t>
      </w:r>
    </w:p>
    <w:p w14:paraId="6653B4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строительства (-1.02.1937 г.)- Брауде, (1.02.1937 г.-)- М.Т. Наумов (11982).</w:t>
      </w:r>
    </w:p>
    <w:p w14:paraId="342E8820" w14:textId="77777777" w:rsidR="00D4105E" w:rsidRPr="00E14102" w:rsidRDefault="00D4105E" w:rsidP="00E14102">
      <w:pPr>
        <w:autoSpaceDE w:val="0"/>
        <w:autoSpaceDN w:val="0"/>
        <w:adjustRightInd w:val="0"/>
        <w:jc w:val="both"/>
        <w:rPr>
          <w:color w:val="000000" w:themeColor="text1"/>
          <w:sz w:val="16"/>
          <w:szCs w:val="16"/>
        </w:rPr>
      </w:pPr>
    </w:p>
    <w:p w14:paraId="7828F8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начале октября 1935 года Фирма «Орландо» приступила к проектированию «быстроходного разведчика» (лидера «И») под наблюдением Морской комиссии заказчика, которую возглав­ляли А.С.Кассациер (от Главморпрома) и М.П.Бомзе (от УВМС РККА). В состав ко­миссии были включены конструкторы ЦКБС-1 В.Г.Королевич, В.И.Гинзбург, Г.Г.Краснов, А.И.Песчанский, М.Д.Царев, К.В.Шлиссель и другие. 3 февраля 1936 года фирма представи­ла Комиссии общий проект корабля, 13 фев­раля документация проекта, согласованная Комиссией, была доставлена в СССР на рассмотрение и утверждение. До 25 фев­раля она была рассмотрена в УВМС и Главморпроекте, после чего замечания и пред­ложения советских специалистов были про­работаны итальянскими конструкторами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В.М.Орловым,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w:t>
      </w:r>
      <w:r w:rsidRPr="00E14102">
        <w:rPr>
          <w:color w:val="000000" w:themeColor="text1"/>
          <w:sz w:val="16"/>
          <w:szCs w:val="16"/>
        </w:rPr>
        <w:lastRenderedPageBreak/>
        <w:t>водоизмещение на испытании — 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56DA23B9" w14:textId="77777777" w:rsidR="00D4105E" w:rsidRPr="00E14102" w:rsidRDefault="00D4105E" w:rsidP="00E14102">
      <w:pPr>
        <w:autoSpaceDE w:val="0"/>
        <w:autoSpaceDN w:val="0"/>
        <w:adjustRightInd w:val="0"/>
        <w:jc w:val="both"/>
        <w:rPr>
          <w:color w:val="000000" w:themeColor="text1"/>
          <w:sz w:val="16"/>
          <w:szCs w:val="16"/>
        </w:rPr>
      </w:pPr>
    </w:p>
    <w:p w14:paraId="099966A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D048EA1" w14:textId="77777777" w:rsidR="00D4105E" w:rsidRPr="00E14102" w:rsidRDefault="00D4105E" w:rsidP="00E14102">
      <w:pPr>
        <w:autoSpaceDE w:val="0"/>
        <w:autoSpaceDN w:val="0"/>
        <w:adjustRightInd w:val="0"/>
        <w:jc w:val="both"/>
        <w:rPr>
          <w:iCs/>
          <w:color w:val="000000" w:themeColor="text1"/>
          <w:sz w:val="16"/>
          <w:szCs w:val="16"/>
        </w:rPr>
      </w:pPr>
    </w:p>
    <w:p w14:paraId="12E08E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октября 1935 Врид Нач. ХАИ Косенко и Нач. Пр. части Неман писали письмо N 1046с в ГУАП:</w:t>
      </w:r>
    </w:p>
    <w:p w14:paraId="4BC8BB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окончанием СР - самолета ХАИ-5 с К-9, прошу разрешить приступить к изготовлению второго экз. с К-14. Ожидаем: скорость - 450-460 км/час, посад. скор. - 100 км/час, потолок - 10000 м." (2336,158).</w:t>
      </w:r>
    </w:p>
    <w:p w14:paraId="6EC5F573" w14:textId="77777777" w:rsidR="00D4105E" w:rsidRPr="00E14102" w:rsidRDefault="00D4105E" w:rsidP="00E14102">
      <w:pPr>
        <w:autoSpaceDE w:val="0"/>
        <w:autoSpaceDN w:val="0"/>
        <w:adjustRightInd w:val="0"/>
        <w:jc w:val="both"/>
        <w:rPr>
          <w:color w:val="000000" w:themeColor="text1"/>
          <w:sz w:val="16"/>
          <w:szCs w:val="16"/>
        </w:rPr>
      </w:pPr>
    </w:p>
    <w:p w14:paraId="2C876204" w14:textId="77777777" w:rsidR="00177841" w:rsidRPr="00E14102" w:rsidRDefault="00177841" w:rsidP="00E14102">
      <w:pPr>
        <w:pStyle w:val="2540"/>
        <w:shd w:val="clear" w:color="auto" w:fill="auto"/>
        <w:spacing w:line="240" w:lineRule="auto"/>
        <w:ind w:firstLine="0"/>
        <w:jc w:val="both"/>
        <w:rPr>
          <w:rFonts w:ascii="Times New Roman" w:hAnsi="Times New Roman" w:cs="Times New Roman"/>
          <w:color w:val="0070C0"/>
          <w:sz w:val="16"/>
          <w:szCs w:val="16"/>
        </w:rPr>
      </w:pPr>
      <w:r w:rsidRPr="00E14102">
        <w:rPr>
          <w:rStyle w:val="176"/>
          <w:rFonts w:ascii="Times New Roman" w:hAnsi="Times New Roman" w:cs="Times New Roman"/>
          <w:color w:val="0070C0"/>
          <w:sz w:val="16"/>
          <w:szCs w:val="16"/>
        </w:rPr>
        <w:t>7 октября 1935 года врид. Началь</w:t>
      </w:r>
      <w:r w:rsidRPr="00E14102">
        <w:rPr>
          <w:rStyle w:val="176"/>
          <w:rFonts w:ascii="Times New Roman" w:hAnsi="Times New Roman" w:cs="Times New Roman"/>
          <w:color w:val="0070C0"/>
          <w:sz w:val="16"/>
          <w:szCs w:val="16"/>
        </w:rPr>
        <w:softHyphen/>
        <w:t>ника ХАИ Косенко и Начальник Производ</w:t>
      </w:r>
      <w:r w:rsidRPr="00E14102">
        <w:rPr>
          <w:rStyle w:val="176"/>
          <w:rFonts w:ascii="Times New Roman" w:hAnsi="Times New Roman" w:cs="Times New Roman"/>
          <w:color w:val="0070C0"/>
          <w:sz w:val="16"/>
          <w:szCs w:val="16"/>
        </w:rPr>
        <w:softHyphen/>
        <w:t>ственной части Неман направили письмо №</w:t>
      </w:r>
      <w:r w:rsidRPr="00E14102">
        <w:rPr>
          <w:rStyle w:val="177"/>
          <w:rFonts w:ascii="Times New Roman" w:hAnsi="Times New Roman" w:cs="Times New Roman"/>
          <w:color w:val="0070C0"/>
          <w:sz w:val="16"/>
          <w:szCs w:val="16"/>
        </w:rPr>
        <w:t xml:space="preserve"> </w:t>
      </w:r>
      <w:r w:rsidRPr="00E14102">
        <w:rPr>
          <w:rStyle w:val="176"/>
          <w:rFonts w:ascii="Times New Roman" w:hAnsi="Times New Roman" w:cs="Times New Roman"/>
          <w:color w:val="0070C0"/>
          <w:sz w:val="16"/>
          <w:szCs w:val="16"/>
        </w:rPr>
        <w:t>1046с в ГУАП:</w:t>
      </w:r>
      <w:r w:rsidRPr="00E14102">
        <w:rPr>
          <w:rStyle w:val="SegoeUI7pt"/>
          <w:rFonts w:ascii="Times New Roman" w:hAnsi="Times New Roman" w:cs="Times New Roman"/>
          <w:color w:val="0070C0"/>
          <w:sz w:val="16"/>
          <w:szCs w:val="16"/>
        </w:rPr>
        <w:t xml:space="preserve"> «В связи с окончанием СР - самолета ХАИ-5 с К-9, прошу разрешить при</w:t>
      </w:r>
      <w:r w:rsidRPr="00E14102">
        <w:rPr>
          <w:rStyle w:val="SegoeUI7pt"/>
          <w:rFonts w:ascii="Times New Roman" w:hAnsi="Times New Roman" w:cs="Times New Roman"/>
          <w:color w:val="0070C0"/>
          <w:sz w:val="16"/>
          <w:szCs w:val="16"/>
        </w:rPr>
        <w:softHyphen/>
        <w:t>ступить к изготовлению второго экземпля</w:t>
      </w:r>
      <w:r w:rsidRPr="00E14102">
        <w:rPr>
          <w:rStyle w:val="SegoeUI7pt"/>
          <w:rFonts w:ascii="Times New Roman" w:hAnsi="Times New Roman" w:cs="Times New Roman"/>
          <w:color w:val="0070C0"/>
          <w:sz w:val="16"/>
          <w:szCs w:val="16"/>
        </w:rPr>
        <w:softHyphen/>
        <w:t>ра с К-14. Ожидаем: скорость - 450-460 км/час, посадочная скорость - 100 км/час, потолок -10000 м».</w:t>
      </w:r>
    </w:p>
    <w:p w14:paraId="60C7EEA5" w14:textId="77777777" w:rsidR="00177841" w:rsidRPr="00E14102" w:rsidRDefault="00177841" w:rsidP="00E14102">
      <w:pPr>
        <w:shd w:val="clear" w:color="auto" w:fill="FFFFFF"/>
        <w:jc w:val="both"/>
        <w:rPr>
          <w:rStyle w:val="38ArialUnicodeMS65pt"/>
          <w:rFonts w:ascii="Times New Roman" w:hAnsi="Times New Roman" w:cs="Times New Roman"/>
          <w:i w:val="0"/>
          <w:iCs w:val="0"/>
          <w:color w:val="0070C0"/>
          <w:sz w:val="16"/>
          <w:szCs w:val="16"/>
        </w:rPr>
      </w:pPr>
      <w:r w:rsidRPr="00E14102">
        <w:rPr>
          <w:rStyle w:val="176"/>
          <w:rFonts w:ascii="Times New Roman" w:hAnsi="Times New Roman" w:cs="Times New Roman"/>
          <w:color w:val="0070C0"/>
          <w:sz w:val="16"/>
          <w:szCs w:val="16"/>
        </w:rPr>
        <w:t>Самолет был вроде бы готов, а вот с мото</w:t>
      </w:r>
      <w:r w:rsidRPr="00E14102">
        <w:rPr>
          <w:rStyle w:val="176"/>
          <w:rFonts w:ascii="Times New Roman" w:hAnsi="Times New Roman" w:cs="Times New Roman"/>
          <w:color w:val="0070C0"/>
          <w:sz w:val="16"/>
          <w:szCs w:val="16"/>
        </w:rPr>
        <w:softHyphen/>
        <w:t>ром ситуация складывалась печально. Поста</w:t>
      </w:r>
      <w:r w:rsidRPr="00E14102">
        <w:rPr>
          <w:rStyle w:val="176"/>
          <w:rFonts w:ascii="Times New Roman" w:hAnsi="Times New Roman" w:cs="Times New Roman"/>
          <w:color w:val="0070C0"/>
          <w:sz w:val="16"/>
          <w:szCs w:val="16"/>
        </w:rPr>
        <w:softHyphen/>
        <w:t>новлением СТО № К-202сс от 29 декабря 1934</w:t>
      </w:r>
      <w:r w:rsidRPr="00E14102">
        <w:rPr>
          <w:rStyle w:val="177"/>
          <w:rFonts w:ascii="Times New Roman" w:hAnsi="Times New Roman" w:cs="Times New Roman"/>
          <w:color w:val="0070C0"/>
          <w:sz w:val="16"/>
          <w:szCs w:val="16"/>
          <w:lang w:val="ru"/>
        </w:rPr>
        <w:t xml:space="preserve"> </w:t>
      </w:r>
      <w:r w:rsidRPr="00E14102">
        <w:rPr>
          <w:rStyle w:val="176"/>
          <w:rFonts w:ascii="Times New Roman" w:hAnsi="Times New Roman" w:cs="Times New Roman"/>
          <w:color w:val="0070C0"/>
          <w:sz w:val="16"/>
          <w:szCs w:val="16"/>
        </w:rPr>
        <w:t>года заводу № 29 была установлена про</w:t>
      </w:r>
      <w:r w:rsidRPr="00E14102">
        <w:rPr>
          <w:rStyle w:val="176"/>
          <w:rFonts w:ascii="Times New Roman" w:hAnsi="Times New Roman" w:cs="Times New Roman"/>
          <w:color w:val="0070C0"/>
          <w:sz w:val="16"/>
          <w:szCs w:val="16"/>
        </w:rPr>
        <w:softHyphen/>
        <w:t>изводственная программа на 1935 год по</w:t>
      </w:r>
      <w:r w:rsidRPr="00E14102">
        <w:rPr>
          <w:rStyle w:val="177"/>
          <w:rFonts w:ascii="Times New Roman" w:hAnsi="Times New Roman" w:cs="Times New Roman"/>
          <w:color w:val="0070C0"/>
          <w:sz w:val="16"/>
          <w:szCs w:val="16"/>
          <w:lang w:val="ru"/>
        </w:rPr>
        <w:t xml:space="preserve"> </w:t>
      </w:r>
      <w:r w:rsidRPr="00E14102">
        <w:rPr>
          <w:rStyle w:val="176"/>
          <w:rFonts w:ascii="Times New Roman" w:hAnsi="Times New Roman" w:cs="Times New Roman"/>
          <w:color w:val="0070C0"/>
          <w:sz w:val="16"/>
          <w:szCs w:val="16"/>
        </w:rPr>
        <w:t>выпуску моторов М-85 - 100 и М-75 - 150</w:t>
      </w:r>
      <w:r w:rsidRPr="00E14102">
        <w:rPr>
          <w:rStyle w:val="177"/>
          <w:rFonts w:ascii="Times New Roman" w:hAnsi="Times New Roman" w:cs="Times New Roman"/>
          <w:color w:val="0070C0"/>
          <w:sz w:val="16"/>
          <w:szCs w:val="16"/>
          <w:lang w:val="ru"/>
        </w:rPr>
        <w:t xml:space="preserve"> </w:t>
      </w:r>
      <w:r w:rsidRPr="00E14102">
        <w:rPr>
          <w:rStyle w:val="176"/>
          <w:rFonts w:ascii="Times New Roman" w:hAnsi="Times New Roman" w:cs="Times New Roman"/>
          <w:color w:val="0070C0"/>
          <w:sz w:val="16"/>
          <w:szCs w:val="16"/>
        </w:rPr>
        <w:t>штук, однако фактически все ресурсы были</w:t>
      </w:r>
      <w:r w:rsidRPr="00E14102">
        <w:rPr>
          <w:rStyle w:val="177"/>
          <w:rFonts w:ascii="Times New Roman" w:hAnsi="Times New Roman" w:cs="Times New Roman"/>
          <w:color w:val="0070C0"/>
          <w:sz w:val="16"/>
          <w:szCs w:val="16"/>
          <w:lang w:val="ru"/>
        </w:rPr>
        <w:t xml:space="preserve"> </w:t>
      </w:r>
      <w:r w:rsidRPr="00E14102">
        <w:rPr>
          <w:rStyle w:val="176"/>
          <w:rFonts w:ascii="Times New Roman" w:hAnsi="Times New Roman" w:cs="Times New Roman"/>
          <w:color w:val="0070C0"/>
          <w:sz w:val="16"/>
          <w:szCs w:val="16"/>
        </w:rPr>
        <w:t>брошены на освоение более мощного и пер</w:t>
      </w:r>
      <w:r w:rsidRPr="00E14102">
        <w:rPr>
          <w:rStyle w:val="176"/>
          <w:rFonts w:ascii="Times New Roman" w:hAnsi="Times New Roman" w:cs="Times New Roman"/>
          <w:color w:val="0070C0"/>
          <w:sz w:val="16"/>
          <w:szCs w:val="16"/>
        </w:rPr>
        <w:softHyphen/>
        <w:t>спективного М-85. По отчетам, было собрано</w:t>
      </w:r>
      <w:r w:rsidRPr="00E14102">
        <w:rPr>
          <w:rStyle w:val="177"/>
          <w:rFonts w:ascii="Times New Roman" w:hAnsi="Times New Roman" w:cs="Times New Roman"/>
          <w:color w:val="0070C0"/>
          <w:sz w:val="16"/>
          <w:szCs w:val="16"/>
          <w:lang w:val="ru"/>
        </w:rPr>
        <w:t xml:space="preserve"> </w:t>
      </w:r>
      <w:r w:rsidRPr="00E14102">
        <w:rPr>
          <w:rStyle w:val="176"/>
          <w:rFonts w:ascii="Times New Roman" w:hAnsi="Times New Roman" w:cs="Times New Roman"/>
          <w:color w:val="0070C0"/>
          <w:sz w:val="16"/>
          <w:szCs w:val="16"/>
        </w:rPr>
        <w:t>только два М-75 и то, возможно, эта цифра</w:t>
      </w:r>
      <w:r w:rsidRPr="00E14102">
        <w:rPr>
          <w:rStyle w:val="177"/>
          <w:rFonts w:ascii="Times New Roman" w:hAnsi="Times New Roman" w:cs="Times New Roman"/>
          <w:color w:val="0070C0"/>
          <w:sz w:val="16"/>
          <w:szCs w:val="16"/>
          <w:lang w:val="ru"/>
        </w:rPr>
        <w:t xml:space="preserve"> </w:t>
      </w:r>
      <w:r w:rsidRPr="00E14102">
        <w:rPr>
          <w:rStyle w:val="176"/>
          <w:rFonts w:ascii="Times New Roman" w:hAnsi="Times New Roman" w:cs="Times New Roman"/>
          <w:color w:val="0070C0"/>
          <w:sz w:val="16"/>
          <w:szCs w:val="16"/>
        </w:rPr>
        <w:t>означает лишь количество «Мистралей»,</w:t>
      </w:r>
      <w:r w:rsidRPr="00E14102">
        <w:rPr>
          <w:rStyle w:val="177"/>
          <w:rFonts w:ascii="Times New Roman" w:hAnsi="Times New Roman" w:cs="Times New Roman"/>
          <w:color w:val="0070C0"/>
          <w:sz w:val="16"/>
          <w:szCs w:val="16"/>
          <w:lang w:val="ru"/>
        </w:rPr>
        <w:t xml:space="preserve"> </w:t>
      </w:r>
      <w:r w:rsidRPr="00E14102">
        <w:rPr>
          <w:rStyle w:val="176"/>
          <w:rFonts w:ascii="Times New Roman" w:hAnsi="Times New Roman" w:cs="Times New Roman"/>
          <w:color w:val="0070C0"/>
          <w:sz w:val="16"/>
          <w:szCs w:val="16"/>
        </w:rPr>
        <w:t>полученных заводом от французов. Дело в</w:t>
      </w:r>
      <w:r w:rsidRPr="00E14102">
        <w:rPr>
          <w:rStyle w:val="177"/>
          <w:rFonts w:ascii="Times New Roman" w:hAnsi="Times New Roman" w:cs="Times New Roman"/>
          <w:color w:val="0070C0"/>
          <w:sz w:val="16"/>
          <w:szCs w:val="16"/>
          <w:lang w:val="ru"/>
        </w:rPr>
        <w:t xml:space="preserve"> </w:t>
      </w:r>
      <w:r w:rsidRPr="00E14102">
        <w:rPr>
          <w:rStyle w:val="176"/>
          <w:rFonts w:ascii="Times New Roman" w:hAnsi="Times New Roman" w:cs="Times New Roman"/>
          <w:color w:val="0070C0"/>
          <w:sz w:val="16"/>
          <w:szCs w:val="16"/>
        </w:rPr>
        <w:t>том, что в Перми на заводе № 19 успешно шло внедрение</w:t>
      </w:r>
      <w:r w:rsidRPr="00E14102">
        <w:rPr>
          <w:rStyle w:val="38ArialUnicodeMS65pt"/>
          <w:rFonts w:ascii="Times New Roman" w:hAnsi="Times New Roman" w:cs="Times New Roman"/>
          <w:color w:val="0070C0"/>
          <w:sz w:val="16"/>
          <w:szCs w:val="16"/>
        </w:rPr>
        <w:t xml:space="preserve"> лицензионной копии «Райт-Цикло</w:t>
      </w:r>
      <w:r w:rsidRPr="00E14102">
        <w:rPr>
          <w:rStyle w:val="38ArialUnicodeMS65pt"/>
          <w:rFonts w:ascii="Times New Roman" w:hAnsi="Times New Roman" w:cs="Times New Roman"/>
          <w:color w:val="0070C0"/>
          <w:sz w:val="16"/>
          <w:szCs w:val="16"/>
        </w:rPr>
        <w:softHyphen/>
        <w:t>на Ф3». Дублирование мощностей со всех сторон выглядело не очень рациональным (19898).</w:t>
      </w:r>
    </w:p>
    <w:p w14:paraId="711B1CCF" w14:textId="77777777" w:rsidR="00177841" w:rsidRPr="00E14102" w:rsidRDefault="00177841" w:rsidP="00E14102">
      <w:pPr>
        <w:shd w:val="clear" w:color="auto" w:fill="FFFFFF"/>
        <w:jc w:val="both"/>
        <w:rPr>
          <w:rStyle w:val="38ArialUnicodeMS65pt"/>
          <w:rFonts w:ascii="Times New Roman" w:hAnsi="Times New Roman" w:cs="Times New Roman"/>
          <w:i w:val="0"/>
          <w:iCs w:val="0"/>
          <w:color w:val="0070C0"/>
          <w:sz w:val="16"/>
          <w:szCs w:val="16"/>
        </w:rPr>
      </w:pPr>
    </w:p>
    <w:p w14:paraId="3B6628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октября 1935 года зам. начальника управления ВС Хрипин писал письмо N ЗН/004072 зам. наркома обороны Гамарник.</w:t>
      </w:r>
    </w:p>
    <w:p w14:paraId="5927BE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течение сентября с.г. по моему заданию были обследованы части ВС СИБВО в связи с массовым снятием с эксплуатации самолетов Р-5, Л-Ш вследствие поражения грибком деревянных частей самолетов. (2484,61-62).</w:t>
      </w:r>
    </w:p>
    <w:p w14:paraId="64C0FD04" w14:textId="77777777" w:rsidR="00D4105E" w:rsidRPr="00E14102" w:rsidRDefault="00D4105E" w:rsidP="00E14102">
      <w:pPr>
        <w:autoSpaceDE w:val="0"/>
        <w:autoSpaceDN w:val="0"/>
        <w:adjustRightInd w:val="0"/>
        <w:jc w:val="both"/>
        <w:rPr>
          <w:color w:val="000000" w:themeColor="text1"/>
          <w:sz w:val="16"/>
          <w:szCs w:val="16"/>
        </w:rPr>
      </w:pPr>
    </w:p>
    <w:p w14:paraId="5AB75C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октября 1935 А.В.Кржижевский установил на СПЛ-1 международный рекорд дальности в 480 км (1076,902).</w:t>
      </w:r>
    </w:p>
    <w:p w14:paraId="476DBA24" w14:textId="77777777" w:rsidR="00D4105E" w:rsidRPr="00E14102" w:rsidRDefault="00D4105E" w:rsidP="00E14102">
      <w:pPr>
        <w:autoSpaceDE w:val="0"/>
        <w:autoSpaceDN w:val="0"/>
        <w:adjustRightInd w:val="0"/>
        <w:jc w:val="both"/>
        <w:rPr>
          <w:color w:val="000000" w:themeColor="text1"/>
          <w:sz w:val="16"/>
          <w:szCs w:val="16"/>
        </w:rPr>
      </w:pPr>
    </w:p>
    <w:p w14:paraId="578ADE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октября 1935 вышло постановление СТО N С-133сс "О дополнительном заказе НКО на моторы М-22". В.М.М. (2161,191).</w:t>
      </w:r>
    </w:p>
    <w:p w14:paraId="05778249" w14:textId="77777777" w:rsidR="00D4105E" w:rsidRPr="00E14102" w:rsidRDefault="00D4105E" w:rsidP="00E14102">
      <w:pPr>
        <w:autoSpaceDE w:val="0"/>
        <w:autoSpaceDN w:val="0"/>
        <w:adjustRightInd w:val="0"/>
        <w:jc w:val="both"/>
        <w:rPr>
          <w:color w:val="000000" w:themeColor="text1"/>
          <w:sz w:val="16"/>
          <w:szCs w:val="16"/>
        </w:rPr>
      </w:pPr>
    </w:p>
    <w:p w14:paraId="54CDE1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октября 1935 года начальник Глававиапрома Королев писал письмо № 270/4486сс в СТО Базилевичу</w:t>
      </w:r>
    </w:p>
    <w:p w14:paraId="79430B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 1867 от 1 октября 1935 года</w:t>
      </w:r>
    </w:p>
    <w:p w14:paraId="1C2B7C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вопросу: Отчет о работе опытного строительства за 1935 год.</w:t>
      </w:r>
    </w:p>
    <w:p w14:paraId="4B53F2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Препровождаю отчет о работе опытных организаций и КБ по планам опытного строительства самолетов и моторов за период с 1 января по 1 октября 1935 года (3475,103).</w:t>
      </w:r>
    </w:p>
    <w:p w14:paraId="6E7E5A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Краткий технический отчет о работе опытных организаций с 1 января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3017"/>
        <w:gridCol w:w="4496"/>
      </w:tblGrid>
      <w:tr w:rsidR="00E3599D" w:rsidRPr="00E14102" w14:paraId="3B63F87D" w14:textId="77777777">
        <w:trPr>
          <w:cantSplit/>
        </w:trPr>
        <w:tc>
          <w:tcPr>
            <w:tcW w:w="2518" w:type="dxa"/>
          </w:tcPr>
          <w:p w14:paraId="005922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объекта</w:t>
            </w:r>
          </w:p>
        </w:tc>
        <w:tc>
          <w:tcPr>
            <w:tcW w:w="3017" w:type="dxa"/>
          </w:tcPr>
          <w:p w14:paraId="767BBC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Чье задание и плановый срок</w:t>
            </w:r>
          </w:p>
        </w:tc>
        <w:tc>
          <w:tcPr>
            <w:tcW w:w="4496" w:type="dxa"/>
          </w:tcPr>
          <w:p w14:paraId="040B2A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Состояние работы на 1 октября 1935 года</w:t>
            </w:r>
          </w:p>
        </w:tc>
      </w:tr>
      <w:tr w:rsidR="00E3599D" w:rsidRPr="00E14102" w14:paraId="766EF95E" w14:textId="77777777">
        <w:trPr>
          <w:cantSplit/>
        </w:trPr>
        <w:tc>
          <w:tcPr>
            <w:tcW w:w="2518" w:type="dxa"/>
          </w:tcPr>
          <w:p w14:paraId="0540A5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3017" w:type="dxa"/>
          </w:tcPr>
          <w:p w14:paraId="1C20EEFC" w14:textId="77777777" w:rsidR="00D4105E" w:rsidRPr="00E14102" w:rsidRDefault="00D4105E" w:rsidP="00E14102">
            <w:pPr>
              <w:autoSpaceDE w:val="0"/>
              <w:autoSpaceDN w:val="0"/>
              <w:adjustRightInd w:val="0"/>
              <w:jc w:val="both"/>
              <w:rPr>
                <w:color w:val="000000" w:themeColor="text1"/>
                <w:sz w:val="16"/>
                <w:szCs w:val="16"/>
              </w:rPr>
            </w:pPr>
          </w:p>
        </w:tc>
        <w:tc>
          <w:tcPr>
            <w:tcW w:w="4496" w:type="dxa"/>
          </w:tcPr>
          <w:p w14:paraId="367D0D2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317B080" w14:textId="77777777">
        <w:trPr>
          <w:cantSplit/>
        </w:trPr>
        <w:tc>
          <w:tcPr>
            <w:tcW w:w="2518" w:type="dxa"/>
          </w:tcPr>
          <w:p w14:paraId="1A6187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СБ-2 РЦ скоростной бомбардировщик</w:t>
            </w:r>
          </w:p>
        </w:tc>
        <w:tc>
          <w:tcPr>
            <w:tcW w:w="3017" w:type="dxa"/>
          </w:tcPr>
          <w:p w14:paraId="2A9EF3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 Правительства от 14 июля 1934 года</w:t>
            </w:r>
          </w:p>
          <w:p w14:paraId="2EFDE3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госиспытания – 1 декабря 1934 года</w:t>
            </w:r>
          </w:p>
        </w:tc>
        <w:tc>
          <w:tcPr>
            <w:tcW w:w="4496" w:type="dxa"/>
          </w:tcPr>
          <w:p w14:paraId="5D12BE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октября 1934 года был произведен первый полет. На 9-м полете потерпел аварию. После восстановления самолет вышел на аэродром. За время заводских испытаний устранялись дефекты винтомоторной группы (перегрев масла, новый масляный радиатор, переделка моторного капота, новый подогрев, исследования винта переменного шага Гамильтон) и велись испытания и исследования. К настоящему времени заводские испытания закончены и заканчивается испытание новых образцов вооружения. Самолет оставляется в ЦАГИ для проведения экспериментальных и исследовательских работ.</w:t>
            </w:r>
          </w:p>
        </w:tc>
      </w:tr>
      <w:tr w:rsidR="00E3599D" w:rsidRPr="00E14102" w14:paraId="203F7067" w14:textId="77777777">
        <w:trPr>
          <w:cantSplit/>
        </w:trPr>
        <w:tc>
          <w:tcPr>
            <w:tcW w:w="2518" w:type="dxa"/>
          </w:tcPr>
          <w:p w14:paraId="2EDAEF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СБ-2 Испано скоростной бомбардировщик</w:t>
            </w:r>
          </w:p>
        </w:tc>
        <w:tc>
          <w:tcPr>
            <w:tcW w:w="3017" w:type="dxa"/>
          </w:tcPr>
          <w:p w14:paraId="202882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 Правительства от 14 июля 1934 года</w:t>
            </w:r>
          </w:p>
          <w:p w14:paraId="4D1AC8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госиспытания – 1 декабря 1934 года</w:t>
            </w:r>
          </w:p>
        </w:tc>
        <w:tc>
          <w:tcPr>
            <w:tcW w:w="4496" w:type="dxa"/>
          </w:tcPr>
          <w:p w14:paraId="1798B5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декабря совершен первый полет. 3 марта 1935 года закончен первый период госиспытаний. После переделок и исследований, для устранения дефектов (устойчивость, элероны, охлаждение моторов, исследования обтекателей, монококов, триммера) самолет сдан на повторные госиспытания – 19 июня 1935 года. В первых числах августа самолет поступил в ЦАГИ для новых испытаний. Согласно постановления Правительства от 4 августа (новое оперение, переделка крыльев, капотов, мотооборудование и пр.), после внесенных исправлений, выведен на аэродром – 11 сентября 1935 года. В настоящее время проходит совместные госиспытания.</w:t>
            </w:r>
          </w:p>
          <w:p w14:paraId="588277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Материалы по изменениям для серии сданы зав. № 22 к 10 августа 1935 года.</w:t>
            </w:r>
          </w:p>
        </w:tc>
      </w:tr>
      <w:tr w:rsidR="00E3599D" w:rsidRPr="00E14102" w14:paraId="4F9166F5" w14:textId="77777777">
        <w:trPr>
          <w:cantSplit/>
        </w:trPr>
        <w:tc>
          <w:tcPr>
            <w:tcW w:w="2518" w:type="dxa"/>
          </w:tcPr>
          <w:p w14:paraId="3CC7E6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ДБ2-2К14 дальний бомбардировщик</w:t>
            </w:r>
          </w:p>
        </w:tc>
        <w:tc>
          <w:tcPr>
            <w:tcW w:w="3017" w:type="dxa"/>
          </w:tcPr>
          <w:p w14:paraId="5BEF0A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Отдельное постановление Правительства от 19 декабря 1934 года подтвержденное планом от 16 апреля 1935 года.</w:t>
            </w:r>
          </w:p>
          <w:p w14:paraId="7C713A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заводских испытаний 15 июня, госиспытаний 15 июля.</w:t>
            </w:r>
          </w:p>
        </w:tc>
        <w:tc>
          <w:tcPr>
            <w:tcW w:w="4496" w:type="dxa"/>
          </w:tcPr>
          <w:p w14:paraId="1EE198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заводские испытания вышел 16 июля 1935 года. На 11-м полете 20 июля из-за наступивших вибраций произошла авария. Постановлением Правительства от 4 августа строится второй экземпляр со сроком окончания постройки 1 марта 1936 года.</w:t>
            </w:r>
          </w:p>
        </w:tc>
      </w:tr>
      <w:tr w:rsidR="00E3599D" w:rsidRPr="00E14102" w14:paraId="0CAE42C5" w14:textId="77777777">
        <w:trPr>
          <w:cantSplit/>
        </w:trPr>
        <w:tc>
          <w:tcPr>
            <w:tcW w:w="2518" w:type="dxa"/>
          </w:tcPr>
          <w:p w14:paraId="1827A3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ДИ8-2К14 двухмоторный истребитель</w:t>
            </w:r>
          </w:p>
        </w:tc>
        <w:tc>
          <w:tcPr>
            <w:tcW w:w="3017" w:type="dxa"/>
          </w:tcPr>
          <w:p w14:paraId="43C62D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14 июля 1934 года подтвержден планом от 16 апреля 1935 года.</w:t>
            </w:r>
          </w:p>
          <w:p w14:paraId="24CB73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августа 1935 года.</w:t>
            </w:r>
          </w:p>
        </w:tc>
        <w:tc>
          <w:tcPr>
            <w:tcW w:w="4496" w:type="dxa"/>
          </w:tcPr>
          <w:p w14:paraId="2C0D13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июля вышел на аэродром. Во время испытания обнаружена необходимость изменений концевых частей крыла. В настоящее время находится в производственной доводке. В первой половине октября испытания продолжаются. На госиспытания самолет будет сдан к 1 декабря 1935 года.</w:t>
            </w:r>
          </w:p>
        </w:tc>
      </w:tr>
      <w:tr w:rsidR="00E3599D" w:rsidRPr="00E14102" w14:paraId="5B5AC4D7" w14:textId="77777777">
        <w:trPr>
          <w:cantSplit/>
        </w:trPr>
        <w:tc>
          <w:tcPr>
            <w:tcW w:w="2518" w:type="dxa"/>
          </w:tcPr>
          <w:p w14:paraId="144425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Т1-2М34РН торпедоносец</w:t>
            </w:r>
          </w:p>
          <w:p w14:paraId="156755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Т1-2М34ФРН</w:t>
            </w:r>
          </w:p>
        </w:tc>
        <w:tc>
          <w:tcPr>
            <w:tcW w:w="3017" w:type="dxa"/>
          </w:tcPr>
          <w:p w14:paraId="384F1E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14 июля 1934 года подтвержден планом от 16 апреля 1935 года.</w:t>
            </w:r>
          </w:p>
          <w:p w14:paraId="4E640E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января 1936 года.</w:t>
            </w:r>
          </w:p>
        </w:tc>
        <w:tc>
          <w:tcPr>
            <w:tcW w:w="4496" w:type="dxa"/>
          </w:tcPr>
          <w:p w14:paraId="6F95A7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Проектирование в основном закончено. Агрегатная сборка закончена и производится общая сборка. Общая готовность определяется в 60%. Выпуск самолета задерживается отсутствием моторов М34ФРН.</w:t>
            </w:r>
          </w:p>
        </w:tc>
      </w:tr>
      <w:tr w:rsidR="00E3599D" w:rsidRPr="00E14102" w14:paraId="0F9E9C6D" w14:textId="77777777">
        <w:trPr>
          <w:cantSplit/>
        </w:trPr>
        <w:tc>
          <w:tcPr>
            <w:tcW w:w="2518" w:type="dxa"/>
          </w:tcPr>
          <w:p w14:paraId="443E58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БДД (ТБ-7)-4М34ФРН бомбардировщик дальнего действия</w:t>
            </w:r>
          </w:p>
        </w:tc>
        <w:tc>
          <w:tcPr>
            <w:tcW w:w="3017" w:type="dxa"/>
          </w:tcPr>
          <w:p w14:paraId="26E285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Отдельное постановление Правительства от 27 декабря 1934 года подтвержденное планом от 16 апреля 1935 года. Срок варианта с центральным наддувом 1 декабря 1936 года, без центрального наддува 1 июля 1936 года.</w:t>
            </w:r>
          </w:p>
        </w:tc>
        <w:tc>
          <w:tcPr>
            <w:tcW w:w="4496" w:type="dxa"/>
          </w:tcPr>
          <w:p w14:paraId="5B3B5E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Проектирование по самолету закончено на 55%. Закончена компоновочная схема центрального наддува. В производстве отдельные детали и экспериментальные части (хвостовая часть фюзеляжа, шпангоуты, лонжероны и др.). По производству готовность определяется в 12%.</w:t>
            </w:r>
          </w:p>
        </w:tc>
      </w:tr>
      <w:tr w:rsidR="00E3599D" w:rsidRPr="00E14102" w14:paraId="490FD0E1" w14:textId="77777777">
        <w:trPr>
          <w:cantSplit/>
        </w:trPr>
        <w:tc>
          <w:tcPr>
            <w:tcW w:w="2518" w:type="dxa"/>
          </w:tcPr>
          <w:p w14:paraId="52E3C8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МТБ-2 4К-14 морской тяжелый бомбардировщик</w:t>
            </w:r>
          </w:p>
        </w:tc>
        <w:tc>
          <w:tcPr>
            <w:tcW w:w="3017" w:type="dxa"/>
          </w:tcPr>
          <w:p w14:paraId="07864A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Отдельное постановление Правительства от 27 декабря 1934 года подтвержденное планом от 16 апреля 1935 года. Срок 1 августа 1936 года.</w:t>
            </w:r>
          </w:p>
        </w:tc>
        <w:tc>
          <w:tcPr>
            <w:tcW w:w="4496" w:type="dxa"/>
          </w:tcPr>
          <w:p w14:paraId="45E3A3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Конструкторские работы определяются в 40%. Макет закончен на 80%. Испытано в канале 13 вариантов поплавков и 8 вариантов лодки. Продуты 2 варианта моделей. В производстве изготовляются экспериментальные отсеки лонжеронов крыла, центроплана и узлы по лодке и крылу.</w:t>
            </w:r>
          </w:p>
        </w:tc>
      </w:tr>
      <w:tr w:rsidR="00E3599D" w:rsidRPr="00E14102" w14:paraId="2A154D67" w14:textId="77777777">
        <w:trPr>
          <w:cantSplit/>
        </w:trPr>
        <w:tc>
          <w:tcPr>
            <w:tcW w:w="2518" w:type="dxa"/>
          </w:tcPr>
          <w:p w14:paraId="7ECD26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 морской ближний разведчик</w:t>
            </w:r>
          </w:p>
        </w:tc>
        <w:tc>
          <w:tcPr>
            <w:tcW w:w="3017" w:type="dxa"/>
          </w:tcPr>
          <w:p w14:paraId="1F5173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16 апреля 1935 года.</w:t>
            </w:r>
          </w:p>
          <w:p w14:paraId="12CE4E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1 сентября 1936 года.</w:t>
            </w:r>
          </w:p>
        </w:tc>
        <w:tc>
          <w:tcPr>
            <w:tcW w:w="4496" w:type="dxa"/>
          </w:tcPr>
          <w:p w14:paraId="0FB191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Ведется подготовительная работа.</w:t>
            </w:r>
          </w:p>
        </w:tc>
      </w:tr>
      <w:tr w:rsidR="00E3599D" w:rsidRPr="00E14102" w14:paraId="1515441E" w14:textId="77777777">
        <w:trPr>
          <w:cantSplit/>
        </w:trPr>
        <w:tc>
          <w:tcPr>
            <w:tcW w:w="2518" w:type="dxa"/>
          </w:tcPr>
          <w:p w14:paraId="0E4721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автожир с мотором РЦ А-12</w:t>
            </w:r>
          </w:p>
        </w:tc>
        <w:tc>
          <w:tcPr>
            <w:tcW w:w="3017" w:type="dxa"/>
          </w:tcPr>
          <w:p w14:paraId="59CC48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16 апреля 1935 года.</w:t>
            </w:r>
          </w:p>
          <w:p w14:paraId="0D170F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1 декабря 1935 года.</w:t>
            </w:r>
          </w:p>
        </w:tc>
        <w:tc>
          <w:tcPr>
            <w:tcW w:w="4496" w:type="dxa"/>
          </w:tcPr>
          <w:p w14:paraId="48AC4D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Проектируется на основе опыта на автожирах А-7, А-8 и исследований на С-30. Проектирование закончено на 85%. В производстве отдельные детали, узлы и части. Некоторое отставание идет по механическим трудоемким частям. Производство определяется в 25-30%.</w:t>
            </w:r>
          </w:p>
        </w:tc>
      </w:tr>
      <w:tr w:rsidR="00E3599D" w:rsidRPr="00E14102" w14:paraId="01CBBBF4" w14:textId="77777777">
        <w:trPr>
          <w:cantSplit/>
        </w:trPr>
        <w:tc>
          <w:tcPr>
            <w:tcW w:w="2518" w:type="dxa"/>
          </w:tcPr>
          <w:p w14:paraId="6BE2FC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Геликоптер Кертис-Конкверор ЭА-11</w:t>
            </w:r>
          </w:p>
        </w:tc>
        <w:tc>
          <w:tcPr>
            <w:tcW w:w="3017" w:type="dxa"/>
          </w:tcPr>
          <w:p w14:paraId="7DFF9C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16 апреля 1935 года.</w:t>
            </w:r>
          </w:p>
          <w:p w14:paraId="521ABE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1 июля 1936 года.</w:t>
            </w:r>
          </w:p>
        </w:tc>
        <w:tc>
          <w:tcPr>
            <w:tcW w:w="4496" w:type="dxa"/>
          </w:tcPr>
          <w:p w14:paraId="66F937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определения работ по ЭА-11 изготовлен геликоптер 5-ЭА с 1 мотором Гном и Рон 120 НР. Спроектированы самые сложные передаточные механизмы на мотор и управляемые винты и сданы для изготовления на заводы №№ 24, 119.</w:t>
            </w:r>
          </w:p>
        </w:tc>
      </w:tr>
      <w:tr w:rsidR="00E3599D" w:rsidRPr="00E14102" w14:paraId="56E1BE99" w14:textId="77777777">
        <w:trPr>
          <w:cantSplit/>
        </w:trPr>
        <w:tc>
          <w:tcPr>
            <w:tcW w:w="2518" w:type="dxa"/>
          </w:tcPr>
          <w:p w14:paraId="7FF622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МДР4-3М34Р морской дальний разведчик</w:t>
            </w:r>
          </w:p>
        </w:tc>
        <w:tc>
          <w:tcPr>
            <w:tcW w:w="3017" w:type="dxa"/>
          </w:tcPr>
          <w:p w14:paraId="2095B4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14 июля 1934 года.</w:t>
            </w:r>
          </w:p>
          <w:p w14:paraId="2A3218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марта 1935 года.</w:t>
            </w:r>
          </w:p>
        </w:tc>
        <w:tc>
          <w:tcPr>
            <w:tcW w:w="4496" w:type="dxa"/>
          </w:tcPr>
          <w:p w14:paraId="5EED76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экземпляр перешел на 1934 год из плана 1933 года. На испытаниях 15 апреля 1934 года потерпел аварию после которой начал строится второй экземпляр. Постройка второго экземпляра закончена в октябре 1934 года и 29 октября совершил первый полет. В процессе доводки обнаружена была необходимость укрепления хвостовой части лодки и улучшения по устранению вибраций. 17 марта 1935 года сдан на госиспытания, которые закончены 1 июля. После чего произведена была установка новых моторов М-34. Заводские испытания с М34РН начались 14 сентября 1935 года и 23 сентября самолет потерпел аварию. Причины аварии устанавливаются комиссией.</w:t>
            </w:r>
          </w:p>
        </w:tc>
      </w:tr>
      <w:tr w:rsidR="00E3599D" w:rsidRPr="00E14102" w14:paraId="44B9D519" w14:textId="77777777">
        <w:trPr>
          <w:cantSplit/>
        </w:trPr>
        <w:tc>
          <w:tcPr>
            <w:tcW w:w="2518" w:type="dxa"/>
          </w:tcPr>
          <w:p w14:paraId="2D59C9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МК-6 М34Р морской крейсер</w:t>
            </w:r>
          </w:p>
        </w:tc>
        <w:tc>
          <w:tcPr>
            <w:tcW w:w="3017" w:type="dxa"/>
          </w:tcPr>
          <w:p w14:paraId="6880E1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14 июля 1934 года.</w:t>
            </w:r>
          </w:p>
          <w:p w14:paraId="33592B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заводских испытаний 1 августа 1934 года.</w:t>
            </w:r>
          </w:p>
        </w:tc>
        <w:tc>
          <w:tcPr>
            <w:tcW w:w="4496" w:type="dxa"/>
          </w:tcPr>
          <w:p w14:paraId="7ED822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июня 1934 года вышел на заводские испытания. Первый полет совершил 16 августа 1934 года. В процессе испытаний и доводок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Заводские испытания и доводка окончены в июне 1935 года. С июля по 15 августа проходил госиспытания. В настоящее время подготавливается к установке моторов М34РН. Срок окончания 10 декабря 1935 года.</w:t>
            </w:r>
          </w:p>
        </w:tc>
      </w:tr>
    </w:tbl>
    <w:p w14:paraId="283106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Помимо указанных работ в ЦАГИ проведены в 1935 году большие работы:</w:t>
      </w:r>
    </w:p>
    <w:p w14:paraId="7BD38EA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самолету Максим Горький, который был закончен и подготовлен к окончательной сдаче в мае 1935 года.</w:t>
      </w:r>
    </w:p>
    <w:p w14:paraId="7E1580C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глиссеру Г6 с 8ГМ34-8400 НР. В основных работах закончен и 13 августа отправлен в Севастополь для окончательного монтажа и испытаний.</w:t>
      </w:r>
    </w:p>
    <w:p w14:paraId="19FB1F5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Закончена постройка самолета ДИП, вышедшего на аэродром 1 февраля 1935 года. Вследствие использования моторов Испано для СБ испытания были прерваны и с 1 августа начаты снова.</w:t>
      </w:r>
    </w:p>
    <w:p w14:paraId="51EE824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Произведено перевооружение самолета Р6 и ТБ3 (носовая установка, торпедодержатели, универсальная подвеска – УП взамен мостов, ампульная кассета, установка химприборов).</w:t>
      </w:r>
    </w:p>
    <w:p w14:paraId="4609D68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Произведена очень большая работа по подготовке к перелету самолета РД (новое оборудование, отопление, подогрев карбюратора, установлен новый мотор, отремонтирована вся машина, произведено полное испытание машины и испытаны винты).</w:t>
      </w:r>
    </w:p>
    <w:p w14:paraId="0278045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Изготовлены новые образцы вооружения (торпедодержатели, электрифицированные части вращения турели, турели для пул. пушек , экранированные турели. Модификация Швак 12,7-20 мм и Шкас под магазинное питание, бомбодержатели для пикирования, сбрасывание при низких температурах, свободная подвеска ВАП-500 (выливной прибор) УХАП-500 (для выживания ОВ под давлением и для дымовых завес).</w:t>
      </w:r>
    </w:p>
    <w:p w14:paraId="514B246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Новое оборудование самолетов электроприборами.</w:t>
      </w:r>
    </w:p>
    <w:p w14:paraId="4AC0FA2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Новое моторное оборудование (выхлопной коллектор из энерж для М34, К-14, туннели радиаторов, капоты воздушных моторов, испарительное охлаждение, гибкие шланги, воздушные маслорадиаторы и пр.).</w:t>
      </w:r>
    </w:p>
    <w:p w14:paraId="6849C6D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Новые металлические винты (3-х лопастной к М34Р, металлический винт к СБ).</w:t>
      </w:r>
    </w:p>
    <w:p w14:paraId="715E1F0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Новые образцы колес – 300х125, 470х210, 600х250, 800х200, 900х300 – изготовлены и испытаны. Заканчиваются проектированием 1800х700, 750х150, 750х200. Закончены проектированием 200х80, 400х150, 500х125, 600х150, 1000х350. Новая литая конструкция значительно облегчает и ускоряет производство.</w:t>
      </w:r>
    </w:p>
    <w:p w14:paraId="42D9A2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проведен ряд и других работ (винты переменного шага, изыскания к проект. рекордных самолетов, постройка П-5, параболы Черановского и др.).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3017"/>
        <w:gridCol w:w="4496"/>
      </w:tblGrid>
      <w:tr w:rsidR="00E3599D" w:rsidRPr="00E14102" w14:paraId="22E6666C" w14:textId="77777777">
        <w:trPr>
          <w:cantSplit/>
        </w:trPr>
        <w:tc>
          <w:tcPr>
            <w:tcW w:w="2518" w:type="dxa"/>
          </w:tcPr>
          <w:p w14:paraId="324BD4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c>
          <w:tcPr>
            <w:tcW w:w="3017" w:type="dxa"/>
          </w:tcPr>
          <w:p w14:paraId="22272F59" w14:textId="77777777" w:rsidR="00D4105E" w:rsidRPr="00E14102" w:rsidRDefault="00D4105E" w:rsidP="00E14102">
            <w:pPr>
              <w:autoSpaceDE w:val="0"/>
              <w:autoSpaceDN w:val="0"/>
              <w:adjustRightInd w:val="0"/>
              <w:jc w:val="both"/>
              <w:rPr>
                <w:color w:val="000000" w:themeColor="text1"/>
                <w:sz w:val="16"/>
                <w:szCs w:val="16"/>
              </w:rPr>
            </w:pPr>
          </w:p>
        </w:tc>
        <w:tc>
          <w:tcPr>
            <w:tcW w:w="4496" w:type="dxa"/>
          </w:tcPr>
          <w:p w14:paraId="54502D4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06E2A71" w14:textId="77777777">
        <w:trPr>
          <w:cantSplit/>
        </w:trPr>
        <w:tc>
          <w:tcPr>
            <w:tcW w:w="2518" w:type="dxa"/>
          </w:tcPr>
          <w:p w14:paraId="7BF3FE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ИП-1 РЦ</w:t>
            </w:r>
          </w:p>
          <w:p w14:paraId="5A7170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(истребитель пушечный)</w:t>
            </w:r>
          </w:p>
        </w:tc>
        <w:tc>
          <w:tcPr>
            <w:tcW w:w="3017" w:type="dxa"/>
          </w:tcPr>
          <w:p w14:paraId="4CEC31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Утвержден Правительством 14 июля 1934 года.</w:t>
            </w:r>
          </w:p>
        </w:tc>
        <w:tc>
          <w:tcPr>
            <w:tcW w:w="4496" w:type="dxa"/>
          </w:tcPr>
          <w:p w14:paraId="1C4224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Прошел госиспытания. В настоящее время проводится ремонт этого самолета, по окончании которого он поступит в распоряжение НИИ ВВС.</w:t>
            </w:r>
          </w:p>
        </w:tc>
      </w:tr>
      <w:tr w:rsidR="00E3599D" w:rsidRPr="00E14102" w14:paraId="6FBC4C11" w14:textId="77777777">
        <w:trPr>
          <w:cantSplit/>
        </w:trPr>
        <w:tc>
          <w:tcPr>
            <w:tcW w:w="2518" w:type="dxa"/>
          </w:tcPr>
          <w:p w14:paraId="0D5F06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ИП-3 РЦ</w:t>
            </w:r>
          </w:p>
        </w:tc>
        <w:tc>
          <w:tcPr>
            <w:tcW w:w="3017" w:type="dxa"/>
          </w:tcPr>
          <w:p w14:paraId="118806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Утвержден Правительством 16 апреля 1935 года.</w:t>
            </w:r>
          </w:p>
          <w:p w14:paraId="2A6006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августа 1935 года.</w:t>
            </w:r>
          </w:p>
        </w:tc>
        <w:tc>
          <w:tcPr>
            <w:tcW w:w="4496" w:type="dxa"/>
          </w:tcPr>
          <w:p w14:paraId="40E016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Проходит заводские испытания. Предъявление на госиспытание задерживается из-за отсутствия вооружения.</w:t>
            </w:r>
          </w:p>
        </w:tc>
      </w:tr>
      <w:tr w:rsidR="00E3599D" w:rsidRPr="00E14102" w14:paraId="0123623C" w14:textId="77777777">
        <w:trPr>
          <w:cantSplit/>
        </w:trPr>
        <w:tc>
          <w:tcPr>
            <w:tcW w:w="2518" w:type="dxa"/>
          </w:tcPr>
          <w:p w14:paraId="25BF0E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П6-М85</w:t>
            </w:r>
          </w:p>
          <w:p w14:paraId="2DA00F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(пикирующий бомбардировщик)</w:t>
            </w:r>
          </w:p>
        </w:tc>
        <w:tc>
          <w:tcPr>
            <w:tcW w:w="3017" w:type="dxa"/>
          </w:tcPr>
          <w:p w14:paraId="707E73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Утвержден Правительством 14 июля 1934 года.</w:t>
            </w:r>
          </w:p>
          <w:p w14:paraId="3E2271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марта 1936 года.</w:t>
            </w:r>
          </w:p>
        </w:tc>
        <w:tc>
          <w:tcPr>
            <w:tcW w:w="4496" w:type="dxa"/>
          </w:tcPr>
          <w:p w14:paraId="4A6E36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Макет закончен и предъявляется НИИ ВС. В производстве агрегаты для статиспытаний и отдельные детали для летного экземпляра.</w:t>
            </w:r>
          </w:p>
        </w:tc>
      </w:tr>
      <w:tr w:rsidR="00E3599D" w:rsidRPr="00E14102" w14:paraId="0C2A7C30" w14:textId="77777777">
        <w:trPr>
          <w:cantSplit/>
        </w:trPr>
        <w:tc>
          <w:tcPr>
            <w:tcW w:w="2518" w:type="dxa"/>
          </w:tcPr>
          <w:p w14:paraId="457C41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w:t>
            </w:r>
          </w:p>
          <w:p w14:paraId="4AE51F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(многоместный истребитель)</w:t>
            </w:r>
          </w:p>
        </w:tc>
        <w:tc>
          <w:tcPr>
            <w:tcW w:w="3017" w:type="dxa"/>
          </w:tcPr>
          <w:p w14:paraId="52E9C6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Утвержден Правительством 16 апреля 1935 года.</w:t>
            </w:r>
          </w:p>
          <w:p w14:paraId="6D79D5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июня 1936 года.</w:t>
            </w:r>
          </w:p>
        </w:tc>
        <w:tc>
          <w:tcPr>
            <w:tcW w:w="4496" w:type="dxa"/>
          </w:tcPr>
          <w:p w14:paraId="75FD29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Ведется разработка чертежей и постройка макета (сборка шпангоутов).</w:t>
            </w:r>
          </w:p>
        </w:tc>
      </w:tr>
      <w:tr w:rsidR="00E3599D" w:rsidRPr="00E14102" w14:paraId="741CACEA" w14:textId="77777777">
        <w:trPr>
          <w:cantSplit/>
        </w:trPr>
        <w:tc>
          <w:tcPr>
            <w:tcW w:w="2518" w:type="dxa"/>
          </w:tcPr>
          <w:p w14:paraId="54EAE5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Р-9</w:t>
            </w:r>
          </w:p>
          <w:p w14:paraId="5268A6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разведчик)</w:t>
            </w:r>
          </w:p>
        </w:tc>
        <w:tc>
          <w:tcPr>
            <w:tcW w:w="3017" w:type="dxa"/>
          </w:tcPr>
          <w:p w14:paraId="13D5EF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Утвержден Правительством 16 апреля 1935 года.</w:t>
            </w:r>
          </w:p>
          <w:p w14:paraId="1157E0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декабря 1935 года.</w:t>
            </w:r>
          </w:p>
        </w:tc>
        <w:tc>
          <w:tcPr>
            <w:tcW w:w="4496" w:type="dxa"/>
          </w:tcPr>
          <w:p w14:paraId="734DE6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Задание разрабатывается по двум направлениям:</w:t>
            </w:r>
          </w:p>
          <w:p w14:paraId="0E84103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1.</w:t>
            </w:r>
            <w:r w:rsidRPr="00E14102">
              <w:rPr>
                <w:color w:val="000000" w:themeColor="text1"/>
                <w:sz w:val="16"/>
                <w:szCs w:val="16"/>
              </w:rPr>
              <w:tab/>
              <w:t>Оригинальная схема.</w:t>
            </w:r>
          </w:p>
          <w:p w14:paraId="7B6F972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2.</w:t>
            </w:r>
            <w:r w:rsidRPr="00E14102">
              <w:rPr>
                <w:color w:val="000000" w:themeColor="text1"/>
                <w:sz w:val="16"/>
                <w:szCs w:val="16"/>
              </w:rPr>
              <w:tab/>
              <w:t>Как вариант пикирующего бомбардировщика (ПБ).</w:t>
            </w:r>
          </w:p>
          <w:p w14:paraId="03068658"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2C5C83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Разрабатываются проекты и строятся макеты, после чего будет выбран один вариант.</w:t>
            </w:r>
          </w:p>
        </w:tc>
      </w:tr>
      <w:tr w:rsidR="00E3599D" w:rsidRPr="00E14102" w14:paraId="104DB4AC" w14:textId="77777777">
        <w:trPr>
          <w:cantSplit/>
        </w:trPr>
        <w:tc>
          <w:tcPr>
            <w:tcW w:w="2518" w:type="dxa"/>
          </w:tcPr>
          <w:p w14:paraId="0B2295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w:t>
            </w:r>
          </w:p>
          <w:p w14:paraId="48C974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(войсковой самолет)</w:t>
            </w:r>
          </w:p>
        </w:tc>
        <w:tc>
          <w:tcPr>
            <w:tcW w:w="3017" w:type="dxa"/>
          </w:tcPr>
          <w:p w14:paraId="737B60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Утвержден Правительством 16 апреля 1935 года.</w:t>
            </w:r>
          </w:p>
          <w:p w14:paraId="5F2C53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мая 1936 года.</w:t>
            </w:r>
          </w:p>
        </w:tc>
        <w:tc>
          <w:tcPr>
            <w:tcW w:w="4496" w:type="dxa"/>
          </w:tcPr>
          <w:p w14:paraId="429605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начальной стадии проектирования.</w:t>
            </w:r>
          </w:p>
        </w:tc>
      </w:tr>
      <w:tr w:rsidR="00E3599D" w:rsidRPr="00E14102" w14:paraId="57DB1DCF" w14:textId="77777777">
        <w:trPr>
          <w:cantSplit/>
        </w:trPr>
        <w:tc>
          <w:tcPr>
            <w:tcW w:w="2518" w:type="dxa"/>
          </w:tcPr>
          <w:p w14:paraId="1018ED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РZ (Р-5 М34Н)</w:t>
            </w:r>
          </w:p>
        </w:tc>
        <w:tc>
          <w:tcPr>
            <w:tcW w:w="3017" w:type="dxa"/>
          </w:tcPr>
          <w:p w14:paraId="27525D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Утвержден Правительством 16 апреля 1935 года.</w:t>
            </w:r>
          </w:p>
          <w:p w14:paraId="1DDFD2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февраля 1935 года.</w:t>
            </w:r>
          </w:p>
        </w:tc>
        <w:tc>
          <w:tcPr>
            <w:tcW w:w="4496" w:type="dxa"/>
          </w:tcPr>
          <w:p w14:paraId="2EA3AA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повторных заводских испытаниях.</w:t>
            </w:r>
          </w:p>
        </w:tc>
      </w:tr>
      <w:tr w:rsidR="00E3599D" w:rsidRPr="00E14102" w14:paraId="67830AE4" w14:textId="77777777">
        <w:trPr>
          <w:cantSplit/>
        </w:trPr>
        <w:tc>
          <w:tcPr>
            <w:tcW w:w="2518" w:type="dxa"/>
          </w:tcPr>
          <w:p w14:paraId="0C136A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ИП-2 Испано</w:t>
            </w:r>
          </w:p>
        </w:tc>
        <w:tc>
          <w:tcPr>
            <w:tcW w:w="3017" w:type="dxa"/>
          </w:tcPr>
          <w:p w14:paraId="5FEFB4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Утвержден Правительством 16 апреля 1935 года.</w:t>
            </w:r>
          </w:p>
        </w:tc>
        <w:tc>
          <w:tcPr>
            <w:tcW w:w="4496" w:type="dxa"/>
          </w:tcPr>
          <w:p w14:paraId="09F718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Проектируется как вариант ИП-3. Заканчивается макет, который будет предъявлен НИИ ВС в октябре 1935 года.</w:t>
            </w:r>
          </w:p>
        </w:tc>
      </w:tr>
      <w:tr w:rsidR="00E3599D" w:rsidRPr="00E14102" w14:paraId="36C77089" w14:textId="77777777">
        <w:trPr>
          <w:cantSplit/>
        </w:trPr>
        <w:tc>
          <w:tcPr>
            <w:tcW w:w="2518" w:type="dxa"/>
          </w:tcPr>
          <w:p w14:paraId="2945B6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18</w:t>
            </w:r>
          </w:p>
        </w:tc>
        <w:tc>
          <w:tcPr>
            <w:tcW w:w="3017" w:type="dxa"/>
          </w:tcPr>
          <w:p w14:paraId="7281C3FC" w14:textId="77777777" w:rsidR="00D4105E" w:rsidRPr="00E14102" w:rsidRDefault="00D4105E" w:rsidP="00E14102">
            <w:pPr>
              <w:autoSpaceDE w:val="0"/>
              <w:autoSpaceDN w:val="0"/>
              <w:adjustRightInd w:val="0"/>
              <w:jc w:val="both"/>
              <w:rPr>
                <w:color w:val="000000" w:themeColor="text1"/>
                <w:sz w:val="16"/>
                <w:szCs w:val="16"/>
              </w:rPr>
            </w:pPr>
          </w:p>
        </w:tc>
        <w:tc>
          <w:tcPr>
            <w:tcW w:w="4496" w:type="dxa"/>
          </w:tcPr>
          <w:p w14:paraId="774896A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2AE3B4B" w14:textId="77777777">
        <w:trPr>
          <w:cantSplit/>
        </w:trPr>
        <w:tc>
          <w:tcPr>
            <w:tcW w:w="2518" w:type="dxa"/>
          </w:tcPr>
          <w:p w14:paraId="1C350D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СБ-2М34ФРН скоростной бомбардировщик</w:t>
            </w:r>
          </w:p>
        </w:tc>
        <w:tc>
          <w:tcPr>
            <w:tcW w:w="3017" w:type="dxa"/>
          </w:tcPr>
          <w:p w14:paraId="3A5BE6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16 апреля 1935 года.</w:t>
            </w:r>
          </w:p>
          <w:p w14:paraId="72960A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ноября 1935 года.</w:t>
            </w:r>
          </w:p>
        </w:tc>
        <w:tc>
          <w:tcPr>
            <w:tcW w:w="4496" w:type="dxa"/>
          </w:tcPr>
          <w:p w14:paraId="010C29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Переезд группы Калинина на завод № 18 из Харькова, организационный период, переделки, обнаруженные при рассмотрении макета, явились причинами, задержавшими выпуск машины в срок.</w:t>
            </w:r>
          </w:p>
          <w:p w14:paraId="4A91B3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все агрегаты готовы и ведется общая сборка и монтаж оборудования. К 1 января 1936 года будет предъявлен на госиспытания.</w:t>
            </w:r>
          </w:p>
        </w:tc>
      </w:tr>
      <w:tr w:rsidR="00E3599D" w:rsidRPr="00E14102" w14:paraId="482A7725" w14:textId="77777777">
        <w:trPr>
          <w:cantSplit/>
        </w:trPr>
        <w:tc>
          <w:tcPr>
            <w:tcW w:w="2518" w:type="dxa"/>
          </w:tcPr>
          <w:p w14:paraId="012583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ВС-2М22 войсковой самолет</w:t>
            </w:r>
          </w:p>
        </w:tc>
        <w:tc>
          <w:tcPr>
            <w:tcW w:w="3017" w:type="dxa"/>
          </w:tcPr>
          <w:p w14:paraId="17426F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16 апреля 1935 года.</w:t>
            </w:r>
          </w:p>
          <w:p w14:paraId="6AB913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октября 1935 года.</w:t>
            </w:r>
          </w:p>
        </w:tc>
        <w:tc>
          <w:tcPr>
            <w:tcW w:w="4496" w:type="dxa"/>
          </w:tcPr>
          <w:p w14:paraId="5926FF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Причины невыполнения те же, что и по СБ. Самолет находится в агрегатной сборке. Будет предъявлен на госиспытания к 1 февраля 1936 года.</w:t>
            </w:r>
          </w:p>
        </w:tc>
      </w:tr>
      <w:tr w:rsidR="00E3599D" w:rsidRPr="00E14102" w14:paraId="1FC0ECAB" w14:textId="77777777">
        <w:trPr>
          <w:cantSplit/>
        </w:trPr>
        <w:tc>
          <w:tcPr>
            <w:tcW w:w="2518" w:type="dxa"/>
          </w:tcPr>
          <w:p w14:paraId="202999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ПБ-К14 пикирующий бомбардировщик</w:t>
            </w:r>
          </w:p>
        </w:tc>
        <w:tc>
          <w:tcPr>
            <w:tcW w:w="3017" w:type="dxa"/>
          </w:tcPr>
          <w:p w14:paraId="76E887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16 апреля 1935 года.</w:t>
            </w:r>
          </w:p>
          <w:p w14:paraId="51B5AB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марта 1936 года.</w:t>
            </w:r>
          </w:p>
        </w:tc>
        <w:tc>
          <w:tcPr>
            <w:tcW w:w="4496" w:type="dxa"/>
          </w:tcPr>
          <w:p w14:paraId="41882A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Загрузка КБ и опытного производства самолетами СБ и ВС отодвинут срок предъявления на госиспытания 1 июля 1936 года.</w:t>
            </w:r>
          </w:p>
        </w:tc>
      </w:tr>
      <w:tr w:rsidR="00E3599D" w:rsidRPr="00E14102" w14:paraId="0EC7339F" w14:textId="77777777">
        <w:trPr>
          <w:cantSplit/>
        </w:trPr>
        <w:tc>
          <w:tcPr>
            <w:tcW w:w="2518" w:type="dxa"/>
          </w:tcPr>
          <w:p w14:paraId="474410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tc>
        <w:tc>
          <w:tcPr>
            <w:tcW w:w="3017" w:type="dxa"/>
          </w:tcPr>
          <w:p w14:paraId="1933F0F7" w14:textId="77777777" w:rsidR="00D4105E" w:rsidRPr="00E14102" w:rsidRDefault="00D4105E" w:rsidP="00E14102">
            <w:pPr>
              <w:autoSpaceDE w:val="0"/>
              <w:autoSpaceDN w:val="0"/>
              <w:adjustRightInd w:val="0"/>
              <w:jc w:val="both"/>
              <w:rPr>
                <w:color w:val="000000" w:themeColor="text1"/>
                <w:sz w:val="16"/>
                <w:szCs w:val="16"/>
              </w:rPr>
            </w:pPr>
          </w:p>
        </w:tc>
        <w:tc>
          <w:tcPr>
            <w:tcW w:w="4496" w:type="dxa"/>
          </w:tcPr>
          <w:p w14:paraId="78AFE3E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115545E" w14:textId="77777777">
        <w:trPr>
          <w:cantSplit/>
        </w:trPr>
        <w:tc>
          <w:tcPr>
            <w:tcW w:w="2518" w:type="dxa"/>
          </w:tcPr>
          <w:p w14:paraId="0B1403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ТБ-4М34 тяжелый бомбардировщик</w:t>
            </w:r>
          </w:p>
        </w:tc>
        <w:tc>
          <w:tcPr>
            <w:tcW w:w="3017" w:type="dxa"/>
          </w:tcPr>
          <w:p w14:paraId="19D51E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14 июля 1934 года.</w:t>
            </w:r>
          </w:p>
          <w:p w14:paraId="1FFE33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сентября 1935 года.</w:t>
            </w:r>
          </w:p>
        </w:tc>
        <w:tc>
          <w:tcPr>
            <w:tcW w:w="4496" w:type="dxa"/>
          </w:tcPr>
          <w:p w14:paraId="760B0D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закончен постройкой в мае 1935 года. Доводка конструкции и вооружения, а также испытания потребовали значительного времени (завод № 22 впервые выпускает опытный самолет). Сейчас заканчиваются заводские испытания и в первых числах октября 1935 года будет предъявлен на госиспытания.</w:t>
            </w:r>
          </w:p>
        </w:tc>
      </w:tr>
      <w:tr w:rsidR="00E3599D" w:rsidRPr="00E14102" w14:paraId="39BA535F" w14:textId="77777777">
        <w:trPr>
          <w:cantSplit/>
        </w:trPr>
        <w:tc>
          <w:tcPr>
            <w:tcW w:w="2518" w:type="dxa"/>
          </w:tcPr>
          <w:p w14:paraId="4A524D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Истребитель Звено под мотор К14</w:t>
            </w:r>
          </w:p>
        </w:tc>
        <w:tc>
          <w:tcPr>
            <w:tcW w:w="3017" w:type="dxa"/>
          </w:tcPr>
          <w:p w14:paraId="5261C5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16 апреля 1935 года.</w:t>
            </w:r>
          </w:p>
          <w:p w14:paraId="0BEF50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января 1936 года.</w:t>
            </w:r>
          </w:p>
        </w:tc>
        <w:tc>
          <w:tcPr>
            <w:tcW w:w="4496" w:type="dxa"/>
          </w:tcPr>
          <w:p w14:paraId="76EB3E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Конструктивные чертежи для производства готовы. В производстве ряд деталей и агрегаты для статиспытаний. Первоначально самолет спроектирован был под мотор К-9. Для повышения летных данных перепроектированы под мотор К-14. К 1 января 1936 года самолет будет выпущен на заводские испытания, а к 1 марта будет предъявлен на госиспытания.</w:t>
            </w:r>
          </w:p>
        </w:tc>
      </w:tr>
      <w:tr w:rsidR="00E3599D" w:rsidRPr="00E14102" w14:paraId="6C07AF5D" w14:textId="77777777">
        <w:trPr>
          <w:cantSplit/>
        </w:trPr>
        <w:tc>
          <w:tcPr>
            <w:tcW w:w="2518" w:type="dxa"/>
          </w:tcPr>
          <w:p w14:paraId="3C1D3A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БДД – бомбардировщик дальнего действия</w:t>
            </w:r>
          </w:p>
        </w:tc>
        <w:tc>
          <w:tcPr>
            <w:tcW w:w="3017" w:type="dxa"/>
          </w:tcPr>
          <w:p w14:paraId="486B7B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16 апреля 1935 года.</w:t>
            </w:r>
          </w:p>
          <w:p w14:paraId="5E6DEE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декабря 1936 года.</w:t>
            </w:r>
          </w:p>
        </w:tc>
        <w:tc>
          <w:tcPr>
            <w:tcW w:w="4496" w:type="dxa"/>
          </w:tcPr>
          <w:p w14:paraId="3A51B7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Летные данные, предъявляемые к самолету (400-450 км/час на высоте 8-9000 м) требуют особого нагнетательного устройства. Работа находится в начальной стадии проработки.</w:t>
            </w:r>
          </w:p>
        </w:tc>
      </w:tr>
      <w:tr w:rsidR="00E3599D" w:rsidRPr="00E14102" w14:paraId="736F4426" w14:textId="77777777">
        <w:trPr>
          <w:cantSplit/>
        </w:trPr>
        <w:tc>
          <w:tcPr>
            <w:tcW w:w="2518" w:type="dxa"/>
          </w:tcPr>
          <w:p w14:paraId="7DDF7C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3017" w:type="dxa"/>
          </w:tcPr>
          <w:p w14:paraId="01B1213F" w14:textId="77777777" w:rsidR="00D4105E" w:rsidRPr="00E14102" w:rsidRDefault="00D4105E" w:rsidP="00E14102">
            <w:pPr>
              <w:autoSpaceDE w:val="0"/>
              <w:autoSpaceDN w:val="0"/>
              <w:adjustRightInd w:val="0"/>
              <w:jc w:val="both"/>
              <w:rPr>
                <w:color w:val="000000" w:themeColor="text1"/>
                <w:sz w:val="16"/>
                <w:szCs w:val="16"/>
              </w:rPr>
            </w:pPr>
          </w:p>
        </w:tc>
        <w:tc>
          <w:tcPr>
            <w:tcW w:w="4496" w:type="dxa"/>
          </w:tcPr>
          <w:p w14:paraId="03551E1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4715DB9" w14:textId="77777777">
        <w:trPr>
          <w:cantSplit/>
        </w:trPr>
        <w:tc>
          <w:tcPr>
            <w:tcW w:w="2518" w:type="dxa"/>
          </w:tcPr>
          <w:p w14:paraId="0E964B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ФР-РЦ фоторазведчик (ХАИ-6)</w:t>
            </w:r>
          </w:p>
        </w:tc>
        <w:tc>
          <w:tcPr>
            <w:tcW w:w="3017" w:type="dxa"/>
          </w:tcPr>
          <w:p w14:paraId="36E30B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14 июля 1934 года.</w:t>
            </w:r>
          </w:p>
          <w:p w14:paraId="3F4DBD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июня 1935 года.</w:t>
            </w:r>
          </w:p>
        </w:tc>
        <w:tc>
          <w:tcPr>
            <w:tcW w:w="4496" w:type="dxa"/>
          </w:tcPr>
          <w:p w14:paraId="247DAD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был закончен в производстве в мае 1935 года. Обнаруженные в процессе постройки и испытаний дефекты потребовали ряда улучшений (капоты, щитки, оперение, доводка шасси и др.) задержали предъявление машины. В настоящее время самолет прошел заводские испытания и к 10 октября будет предъявлен на госиспытания.</w:t>
            </w:r>
          </w:p>
        </w:tc>
      </w:tr>
      <w:tr w:rsidR="00E3599D" w:rsidRPr="00E14102" w14:paraId="5C8C23B4" w14:textId="77777777">
        <w:trPr>
          <w:cantSplit/>
        </w:trPr>
        <w:tc>
          <w:tcPr>
            <w:tcW w:w="2518" w:type="dxa"/>
          </w:tcPr>
          <w:p w14:paraId="0C2542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СР-М22 скоростной разведчик (ХАИ-5)</w:t>
            </w:r>
          </w:p>
        </w:tc>
        <w:tc>
          <w:tcPr>
            <w:tcW w:w="3017" w:type="dxa"/>
          </w:tcPr>
          <w:p w14:paraId="0C8335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августа 1935 года</w:t>
            </w:r>
          </w:p>
        </w:tc>
        <w:tc>
          <w:tcPr>
            <w:tcW w:w="4496" w:type="dxa"/>
          </w:tcPr>
          <w:p w14:paraId="20A7B3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несовременности данных с мотором М22 самолет переделан под мотор К-9, а также исправления обнаруженные в процессе производства задерживают выпуск машины. В настоящее время самолет заканчивается сборкой и оборудованием и к 1 сентября 1935 года выйдет на заводские испытания.</w:t>
            </w:r>
          </w:p>
        </w:tc>
      </w:tr>
      <w:tr w:rsidR="00E3599D" w:rsidRPr="00E14102" w14:paraId="11722BE7" w14:textId="77777777">
        <w:trPr>
          <w:cantSplit/>
        </w:trPr>
        <w:tc>
          <w:tcPr>
            <w:tcW w:w="2518" w:type="dxa"/>
          </w:tcPr>
          <w:p w14:paraId="07429C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СР-К14 скоростной разведчик (ХАИ-7)</w:t>
            </w:r>
          </w:p>
        </w:tc>
        <w:tc>
          <w:tcPr>
            <w:tcW w:w="3017" w:type="dxa"/>
          </w:tcPr>
          <w:p w14:paraId="217B2B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16 апреля 1935 года.</w:t>
            </w:r>
          </w:p>
          <w:p w14:paraId="0D4291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декабря 1935 года.</w:t>
            </w:r>
          </w:p>
        </w:tc>
        <w:tc>
          <w:tcPr>
            <w:tcW w:w="4496" w:type="dxa"/>
          </w:tcPr>
          <w:p w14:paraId="4DD578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Небольшое КБ, использование основных работников по линии преподавания, загруженность самолетами ХАИ-5 и ХАИ-6 не давали возможность развернуть полностью работу. Кроме того, срок в пять месяцев (16 апреля по 1 октября … выпуск на аэродром) является недостаточным для изготовления самолета со столь высокими летно-техническими данными. В настоящее время эскизный проект закончен и идет дальнейшая проработка и постройка макета. Самолет предполагается дать металлической конструкции по типу последних американских машин. При проектировании учитываются производственные возможности завода № 135. Предъявление на госиспытание будет 1 августа 1935 года.</w:t>
            </w:r>
          </w:p>
        </w:tc>
      </w:tr>
      <w:tr w:rsidR="00E3599D" w:rsidRPr="00E14102" w14:paraId="0F938234" w14:textId="77777777">
        <w:trPr>
          <w:cantSplit/>
        </w:trPr>
        <w:tc>
          <w:tcPr>
            <w:tcW w:w="2518" w:type="dxa"/>
          </w:tcPr>
          <w:p w14:paraId="640B06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45</w:t>
            </w:r>
          </w:p>
        </w:tc>
        <w:tc>
          <w:tcPr>
            <w:tcW w:w="3017" w:type="dxa"/>
          </w:tcPr>
          <w:p w14:paraId="16109DB3" w14:textId="77777777" w:rsidR="00D4105E" w:rsidRPr="00E14102" w:rsidRDefault="00D4105E" w:rsidP="00E14102">
            <w:pPr>
              <w:autoSpaceDE w:val="0"/>
              <w:autoSpaceDN w:val="0"/>
              <w:adjustRightInd w:val="0"/>
              <w:jc w:val="both"/>
              <w:rPr>
                <w:color w:val="000000" w:themeColor="text1"/>
                <w:sz w:val="16"/>
                <w:szCs w:val="16"/>
              </w:rPr>
            </w:pPr>
          </w:p>
        </w:tc>
        <w:tc>
          <w:tcPr>
            <w:tcW w:w="4496" w:type="dxa"/>
          </w:tcPr>
          <w:p w14:paraId="167E8A7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65E9192" w14:textId="77777777">
        <w:trPr>
          <w:cantSplit/>
        </w:trPr>
        <w:tc>
          <w:tcPr>
            <w:tcW w:w="2518" w:type="dxa"/>
          </w:tcPr>
          <w:p w14:paraId="28F6BF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АРК-3-2РЦ</w:t>
            </w:r>
          </w:p>
        </w:tc>
        <w:tc>
          <w:tcPr>
            <w:tcW w:w="3017" w:type="dxa"/>
          </w:tcPr>
          <w:p w14:paraId="1D1CD3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Утвержден Правительством 4 июля 1934 года.</w:t>
            </w:r>
          </w:p>
          <w:p w14:paraId="75EC00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июля 1935 года.</w:t>
            </w:r>
          </w:p>
        </w:tc>
        <w:tc>
          <w:tcPr>
            <w:tcW w:w="4496" w:type="dxa"/>
          </w:tcPr>
          <w:p w14:paraId="79D408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Проектирование закончено. Самолет находится в общей сборке. Готовность на 1 октября 1935 года – 70%. На заводские испытания выйдет 15 ноября 1935 года.</w:t>
            </w:r>
          </w:p>
        </w:tc>
      </w:tr>
      <w:tr w:rsidR="00E3599D" w:rsidRPr="00E14102" w14:paraId="6BD875FB" w14:textId="77777777">
        <w:trPr>
          <w:cantSplit/>
        </w:trPr>
        <w:tc>
          <w:tcPr>
            <w:tcW w:w="2518" w:type="dxa"/>
          </w:tcPr>
          <w:p w14:paraId="050360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МДР-6</w:t>
            </w:r>
          </w:p>
        </w:tc>
        <w:tc>
          <w:tcPr>
            <w:tcW w:w="3017" w:type="dxa"/>
          </w:tcPr>
          <w:p w14:paraId="6D8A01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Утвержден Правительством 16 апреля 1935 года.</w:t>
            </w:r>
          </w:p>
        </w:tc>
        <w:tc>
          <w:tcPr>
            <w:tcW w:w="4496" w:type="dxa"/>
          </w:tcPr>
          <w:p w14:paraId="627634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Эскизный проект утвержден УВС в мае 1935 года вместо января, что вызвало задержку в проектировании самолета почти на 4 месяца. Ввиду этого срок 1 января 1936 года может сдвинуться на 1 мая 1936 года. В производстве детали для статиспытаний. Строится макет.</w:t>
            </w:r>
          </w:p>
        </w:tc>
      </w:tr>
      <w:tr w:rsidR="00E3599D" w:rsidRPr="00E14102" w14:paraId="5208B93A" w14:textId="77777777">
        <w:trPr>
          <w:cantSplit/>
        </w:trPr>
        <w:tc>
          <w:tcPr>
            <w:tcW w:w="2518" w:type="dxa"/>
          </w:tcPr>
          <w:p w14:paraId="6A3305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23 и КАИ</w:t>
            </w:r>
          </w:p>
        </w:tc>
        <w:tc>
          <w:tcPr>
            <w:tcW w:w="3017" w:type="dxa"/>
          </w:tcPr>
          <w:p w14:paraId="427597ED" w14:textId="77777777" w:rsidR="00D4105E" w:rsidRPr="00E14102" w:rsidRDefault="00D4105E" w:rsidP="00E14102">
            <w:pPr>
              <w:autoSpaceDE w:val="0"/>
              <w:autoSpaceDN w:val="0"/>
              <w:adjustRightInd w:val="0"/>
              <w:jc w:val="both"/>
              <w:rPr>
                <w:color w:val="000000" w:themeColor="text1"/>
                <w:sz w:val="16"/>
                <w:szCs w:val="16"/>
              </w:rPr>
            </w:pPr>
          </w:p>
        </w:tc>
        <w:tc>
          <w:tcPr>
            <w:tcW w:w="4496" w:type="dxa"/>
          </w:tcPr>
          <w:p w14:paraId="34523D5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8DDC38F" w14:textId="77777777">
        <w:trPr>
          <w:cantSplit/>
        </w:trPr>
        <w:tc>
          <w:tcPr>
            <w:tcW w:w="2518" w:type="dxa"/>
          </w:tcPr>
          <w:p w14:paraId="33B6D8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УТИ-М48 или М49</w:t>
            </w:r>
          </w:p>
          <w:p w14:paraId="08AA54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Учебный тренировочный истребитель</w:t>
            </w:r>
          </w:p>
        </w:tc>
        <w:tc>
          <w:tcPr>
            <w:tcW w:w="3017" w:type="dxa"/>
          </w:tcPr>
          <w:p w14:paraId="096EFD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16 апреля 1935 года.</w:t>
            </w:r>
          </w:p>
          <w:p w14:paraId="01FC56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октября 1935 года.</w:t>
            </w:r>
          </w:p>
        </w:tc>
        <w:tc>
          <w:tcPr>
            <w:tcW w:w="4496" w:type="dxa"/>
          </w:tcPr>
          <w:p w14:paraId="4895E0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Отсутствие моторов М-48 и М-49 задержали выпуск машин и делают неопределенным дальнейший ход работ. Необходимо обязать ГУГВФ, который изготовляет опытную серию этих моторов, передать ГУАПу 4М48-М49 или снять это задание с ГУАПа. К настоящему времени эскизный проект закончен и идет разработка конструкции. Часть деталей изготовлена и проведен ряд экспериментов на У-2 по осуществлению перевернутого полета.</w:t>
            </w:r>
          </w:p>
        </w:tc>
      </w:tr>
      <w:tr w:rsidR="00E3599D" w:rsidRPr="00E14102" w14:paraId="187C8A02" w14:textId="77777777">
        <w:trPr>
          <w:cantSplit/>
        </w:trPr>
        <w:tc>
          <w:tcPr>
            <w:tcW w:w="2518" w:type="dxa"/>
          </w:tcPr>
          <w:p w14:paraId="2EA420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c>
          <w:tcPr>
            <w:tcW w:w="3017" w:type="dxa"/>
          </w:tcPr>
          <w:p w14:paraId="697D3A35" w14:textId="77777777" w:rsidR="00D4105E" w:rsidRPr="00E14102" w:rsidRDefault="00D4105E" w:rsidP="00E14102">
            <w:pPr>
              <w:autoSpaceDE w:val="0"/>
              <w:autoSpaceDN w:val="0"/>
              <w:adjustRightInd w:val="0"/>
              <w:jc w:val="both"/>
              <w:rPr>
                <w:color w:val="000000" w:themeColor="text1"/>
                <w:sz w:val="16"/>
                <w:szCs w:val="16"/>
              </w:rPr>
            </w:pPr>
          </w:p>
        </w:tc>
        <w:tc>
          <w:tcPr>
            <w:tcW w:w="4496" w:type="dxa"/>
          </w:tcPr>
          <w:p w14:paraId="042EF51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F726804" w14:textId="77777777">
        <w:trPr>
          <w:cantSplit/>
        </w:trPr>
        <w:tc>
          <w:tcPr>
            <w:tcW w:w="2518" w:type="dxa"/>
          </w:tcPr>
          <w:p w14:paraId="7CC739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МБР5-РЦ морской ближний разведчик</w:t>
            </w:r>
          </w:p>
        </w:tc>
        <w:tc>
          <w:tcPr>
            <w:tcW w:w="3017" w:type="dxa"/>
          </w:tcPr>
          <w:p w14:paraId="01FE8D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16 апреля 1935 года.</w:t>
            </w:r>
          </w:p>
          <w:p w14:paraId="1D98AD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августа 1935 года.</w:t>
            </w:r>
          </w:p>
        </w:tc>
        <w:tc>
          <w:tcPr>
            <w:tcW w:w="4496" w:type="dxa"/>
          </w:tcPr>
          <w:p w14:paraId="053FE6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Переезд конструкторской группы Бериева из Москвы на завод № 31 и организационный период опытного производства задержали выпуск машины. Самолет с октября находится на заводских испытаниях. Будет предъявлен на госиспытания в ноябре 1935 года.</w:t>
            </w:r>
          </w:p>
        </w:tc>
      </w:tr>
      <w:tr w:rsidR="00E3599D" w:rsidRPr="00E14102" w14:paraId="5F51B3D1" w14:textId="77777777">
        <w:trPr>
          <w:cantSplit/>
        </w:trPr>
        <w:tc>
          <w:tcPr>
            <w:tcW w:w="2518" w:type="dxa"/>
          </w:tcPr>
          <w:p w14:paraId="630D58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КОР-РЦ корабельный разведчик</w:t>
            </w:r>
          </w:p>
        </w:tc>
        <w:tc>
          <w:tcPr>
            <w:tcW w:w="3017" w:type="dxa"/>
          </w:tcPr>
          <w:p w14:paraId="11F84C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ноября 1935 года.</w:t>
            </w:r>
          </w:p>
        </w:tc>
        <w:tc>
          <w:tcPr>
            <w:tcW w:w="4496" w:type="dxa"/>
          </w:tcPr>
          <w:p w14:paraId="7D952F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Выпуск машины задерживается по тем же причинам. Сейчас заканчивается конструктивная разработка и ведется заготовка деталей и частичная сборка. Общий процент готовности определяется в 40%.</w:t>
            </w:r>
          </w:p>
        </w:tc>
      </w:tr>
      <w:tr w:rsidR="00E3599D" w:rsidRPr="00E14102" w14:paraId="4DB6A263" w14:textId="77777777">
        <w:trPr>
          <w:cantSplit/>
        </w:trPr>
        <w:tc>
          <w:tcPr>
            <w:tcW w:w="2518" w:type="dxa"/>
          </w:tcPr>
          <w:p w14:paraId="5C6C41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МДР-2К14 морской дальний разведчик</w:t>
            </w:r>
          </w:p>
        </w:tc>
        <w:tc>
          <w:tcPr>
            <w:tcW w:w="3017" w:type="dxa"/>
          </w:tcPr>
          <w:p w14:paraId="402900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 1 августа 1935 года.</w:t>
            </w:r>
          </w:p>
        </w:tc>
        <w:tc>
          <w:tcPr>
            <w:tcW w:w="4496" w:type="dxa"/>
          </w:tcPr>
          <w:p w14:paraId="000EAA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Закончены два варианта эскизных проектов с моторами К-14 и 12 ybrs. Данные с К-14 значительно выше. Идет конструктивная разработка.</w:t>
            </w:r>
          </w:p>
        </w:tc>
      </w:tr>
      <w:tr w:rsidR="00E3599D" w:rsidRPr="00E14102" w14:paraId="38EE4DCB" w14:textId="77777777">
        <w:trPr>
          <w:cantSplit/>
        </w:trPr>
        <w:tc>
          <w:tcPr>
            <w:tcW w:w="2518" w:type="dxa"/>
          </w:tcPr>
          <w:p w14:paraId="72808D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21</w:t>
            </w:r>
          </w:p>
        </w:tc>
        <w:tc>
          <w:tcPr>
            <w:tcW w:w="3017" w:type="dxa"/>
          </w:tcPr>
          <w:p w14:paraId="48B7BD32" w14:textId="77777777" w:rsidR="00D4105E" w:rsidRPr="00E14102" w:rsidRDefault="00D4105E" w:rsidP="00E14102">
            <w:pPr>
              <w:autoSpaceDE w:val="0"/>
              <w:autoSpaceDN w:val="0"/>
              <w:adjustRightInd w:val="0"/>
              <w:jc w:val="both"/>
              <w:rPr>
                <w:color w:val="000000" w:themeColor="text1"/>
                <w:sz w:val="16"/>
                <w:szCs w:val="16"/>
              </w:rPr>
            </w:pPr>
          </w:p>
        </w:tc>
        <w:tc>
          <w:tcPr>
            <w:tcW w:w="4496" w:type="dxa"/>
          </w:tcPr>
          <w:p w14:paraId="4BE2053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3C7D9DC" w14:textId="77777777">
        <w:trPr>
          <w:cantSplit/>
        </w:trPr>
        <w:tc>
          <w:tcPr>
            <w:tcW w:w="2518" w:type="dxa"/>
          </w:tcPr>
          <w:p w14:paraId="292B3D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w:t>
            </w:r>
          </w:p>
        </w:tc>
        <w:tc>
          <w:tcPr>
            <w:tcW w:w="3017" w:type="dxa"/>
          </w:tcPr>
          <w:p w14:paraId="7AE493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16 апреля 1935 года.</w:t>
            </w:r>
          </w:p>
          <w:p w14:paraId="2E0DA4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Задание дано без срока.</w:t>
            </w:r>
          </w:p>
        </w:tc>
        <w:tc>
          <w:tcPr>
            <w:tcW w:w="4496" w:type="dxa"/>
          </w:tcPr>
          <w:p w14:paraId="5C6041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Разрабатывается эскизный проект, ведутся продувки и исследования.</w:t>
            </w:r>
          </w:p>
        </w:tc>
      </w:tr>
    </w:tbl>
    <w:p w14:paraId="54FDCF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этого задания заводом произведена переделка самолета И-16 под двухместный учебно-тренировочный и установлен вместо РЦ отечественный М-58 (завод № 29). И16-М58 сейчас проходит заводские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3017"/>
        <w:gridCol w:w="4496"/>
      </w:tblGrid>
      <w:tr w:rsidR="00E3599D" w:rsidRPr="00E14102" w14:paraId="04B2D5A0" w14:textId="77777777">
        <w:trPr>
          <w:cantSplit/>
        </w:trPr>
        <w:tc>
          <w:tcPr>
            <w:tcW w:w="2518" w:type="dxa"/>
          </w:tcPr>
          <w:p w14:paraId="27FDD3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35</w:t>
            </w:r>
          </w:p>
        </w:tc>
        <w:tc>
          <w:tcPr>
            <w:tcW w:w="3017" w:type="dxa"/>
          </w:tcPr>
          <w:p w14:paraId="4F94DC07" w14:textId="77777777" w:rsidR="00D4105E" w:rsidRPr="00E14102" w:rsidRDefault="00D4105E" w:rsidP="00E14102">
            <w:pPr>
              <w:autoSpaceDE w:val="0"/>
              <w:autoSpaceDN w:val="0"/>
              <w:adjustRightInd w:val="0"/>
              <w:jc w:val="both"/>
              <w:rPr>
                <w:color w:val="000000" w:themeColor="text1"/>
                <w:sz w:val="16"/>
                <w:szCs w:val="16"/>
              </w:rPr>
            </w:pPr>
          </w:p>
        </w:tc>
        <w:tc>
          <w:tcPr>
            <w:tcW w:w="4496" w:type="dxa"/>
          </w:tcPr>
          <w:p w14:paraId="1CC9CC6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4E6279B" w14:textId="77777777">
        <w:trPr>
          <w:cantSplit/>
        </w:trPr>
        <w:tc>
          <w:tcPr>
            <w:tcW w:w="2518" w:type="dxa"/>
          </w:tcPr>
          <w:p w14:paraId="5BB9FE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С.С.-М34 РН стратосферный самолет</w:t>
            </w:r>
          </w:p>
        </w:tc>
        <w:tc>
          <w:tcPr>
            <w:tcW w:w="3017" w:type="dxa"/>
          </w:tcPr>
          <w:p w14:paraId="0967D7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Правительства от 14 июля 1934 года.</w:t>
            </w:r>
          </w:p>
          <w:p w14:paraId="6FBB31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заводских испытаний 1 августа 1935 года.</w:t>
            </w:r>
          </w:p>
        </w:tc>
        <w:tc>
          <w:tcPr>
            <w:tcW w:w="4496" w:type="dxa"/>
          </w:tcPr>
          <w:p w14:paraId="7B5AC9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постройкой закончен и ведутся доводочные работы и оборудование. На испытание выйдет к 1 ноября 1935 года.</w:t>
            </w:r>
          </w:p>
        </w:tc>
      </w:tr>
    </w:tbl>
    <w:p w14:paraId="6C8A63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(3475,103-108).</w:t>
      </w:r>
    </w:p>
    <w:p w14:paraId="1414A7E3" w14:textId="77777777" w:rsidR="00D4105E" w:rsidRPr="00E14102" w:rsidRDefault="00D4105E" w:rsidP="00E14102">
      <w:pPr>
        <w:autoSpaceDE w:val="0"/>
        <w:autoSpaceDN w:val="0"/>
        <w:adjustRightInd w:val="0"/>
        <w:jc w:val="both"/>
        <w:rPr>
          <w:color w:val="000000" w:themeColor="text1"/>
          <w:sz w:val="16"/>
          <w:szCs w:val="16"/>
        </w:rPr>
      </w:pPr>
    </w:p>
    <w:p w14:paraId="777962F0" w14:textId="77777777" w:rsidR="00956A72" w:rsidRPr="00E14102" w:rsidRDefault="00956A72" w:rsidP="00E14102">
      <w:pPr>
        <w:pStyle w:val="rtejustify"/>
        <w:spacing w:before="0" w:after="0"/>
        <w:rPr>
          <w:color w:val="000000" w:themeColor="text1"/>
          <w:sz w:val="16"/>
          <w:szCs w:val="16"/>
        </w:rPr>
      </w:pPr>
      <w:r w:rsidRPr="00E14102">
        <w:rPr>
          <w:rStyle w:val="a6"/>
          <w:bCs/>
          <w:i w:val="0"/>
          <w:color w:val="000000" w:themeColor="text1"/>
          <w:sz w:val="16"/>
          <w:szCs w:val="16"/>
        </w:rPr>
        <w:t>7 октября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133сс «О дополнительном заказе НКО на моторы М</w:t>
      </w:r>
      <w:r w:rsidRPr="00E14102">
        <w:rPr>
          <w:color w:val="000000" w:themeColor="text1"/>
          <w:sz w:val="16"/>
          <w:szCs w:val="16"/>
        </w:rPr>
        <w:noBreakHyphen/>
        <w:t>22». (ГА РФ. Ф. Р</w:t>
      </w:r>
      <w:r w:rsidRPr="00E14102">
        <w:rPr>
          <w:color w:val="000000" w:themeColor="text1"/>
          <w:sz w:val="16"/>
          <w:szCs w:val="16"/>
        </w:rPr>
        <w:noBreakHyphen/>
        <w:t>8418. Оп. 28. Д. 7. Л. 180) (15460).</w:t>
      </w:r>
    </w:p>
    <w:p w14:paraId="06D5893A" w14:textId="77777777" w:rsidR="00956A72" w:rsidRPr="00E14102" w:rsidRDefault="00956A72" w:rsidP="00E14102">
      <w:pPr>
        <w:pStyle w:val="rtejustify"/>
        <w:spacing w:before="0" w:after="0"/>
        <w:rPr>
          <w:color w:val="000000" w:themeColor="text1"/>
          <w:sz w:val="16"/>
          <w:szCs w:val="16"/>
        </w:rPr>
      </w:pPr>
    </w:p>
    <w:p w14:paraId="48FE293F" w14:textId="77777777" w:rsidR="00956A7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981320C" w14:textId="77777777" w:rsidR="00956A72" w:rsidRPr="00E14102" w:rsidRDefault="00956A72" w:rsidP="00E14102">
      <w:pPr>
        <w:autoSpaceDE w:val="0"/>
        <w:autoSpaceDN w:val="0"/>
        <w:adjustRightInd w:val="0"/>
        <w:jc w:val="both"/>
        <w:rPr>
          <w:iCs/>
          <w:color w:val="000000" w:themeColor="text1"/>
          <w:sz w:val="16"/>
          <w:szCs w:val="16"/>
        </w:rPr>
      </w:pPr>
    </w:p>
    <w:p w14:paraId="4C69E03C" w14:textId="77777777" w:rsidR="00956A72" w:rsidRPr="00E14102" w:rsidRDefault="00956A72" w:rsidP="00E14102">
      <w:pPr>
        <w:pStyle w:val="rtejustify"/>
        <w:spacing w:before="0" w:after="0"/>
        <w:rPr>
          <w:color w:val="000000" w:themeColor="text1"/>
          <w:sz w:val="16"/>
          <w:szCs w:val="16"/>
        </w:rPr>
      </w:pPr>
      <w:r w:rsidRPr="00E14102">
        <w:rPr>
          <w:rStyle w:val="a6"/>
          <w:bCs/>
          <w:i w:val="0"/>
          <w:color w:val="000000" w:themeColor="text1"/>
          <w:sz w:val="16"/>
          <w:szCs w:val="16"/>
        </w:rPr>
        <w:t>7 октября</w:t>
      </w:r>
      <w:r w:rsidRPr="00E14102">
        <w:rPr>
          <w:color w:val="000000" w:themeColor="text1"/>
          <w:sz w:val="16"/>
          <w:szCs w:val="16"/>
        </w:rPr>
        <w:t xml:space="preserve"> 1935. Постановление ЦИК и СНК СССР № 20/2264 «О создании в колхозах и совхозах фонда «Обороне — повозка с упряжью»». (РГАЭ. Ф. 1562. Оп. 329. Д. 77. Л. 30) (15460).</w:t>
      </w:r>
    </w:p>
    <w:p w14:paraId="14CC2A87" w14:textId="77777777" w:rsidR="00956A72" w:rsidRPr="00E14102" w:rsidRDefault="00956A72" w:rsidP="00E14102">
      <w:pPr>
        <w:pStyle w:val="rtejustify"/>
        <w:spacing w:before="0" w:after="0"/>
        <w:rPr>
          <w:color w:val="000000" w:themeColor="text1"/>
          <w:sz w:val="16"/>
          <w:szCs w:val="16"/>
        </w:rPr>
      </w:pPr>
    </w:p>
    <w:p w14:paraId="7788308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3EBA2FFD" w14:textId="77777777" w:rsidR="00D4105E" w:rsidRPr="00E14102" w:rsidRDefault="00D4105E" w:rsidP="00E14102">
      <w:pPr>
        <w:autoSpaceDE w:val="0"/>
        <w:autoSpaceDN w:val="0"/>
        <w:adjustRightInd w:val="0"/>
        <w:jc w:val="both"/>
        <w:rPr>
          <w:iCs/>
          <w:color w:val="000000" w:themeColor="text1"/>
          <w:sz w:val="16"/>
          <w:szCs w:val="16"/>
        </w:rPr>
      </w:pPr>
    </w:p>
    <w:p w14:paraId="07CFD6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октября 1935 ЦИК и СНК приняли решение о введении специальных военных званий для ГУГосбезопасности НКВД (от сержанта ГБ до комиссара ГБ 1 ранга) (3398,352).</w:t>
      </w:r>
    </w:p>
    <w:p w14:paraId="4B62D5F0" w14:textId="77777777" w:rsidR="00D4105E" w:rsidRPr="00E14102" w:rsidRDefault="00D4105E" w:rsidP="00E14102">
      <w:pPr>
        <w:autoSpaceDE w:val="0"/>
        <w:autoSpaceDN w:val="0"/>
        <w:adjustRightInd w:val="0"/>
        <w:jc w:val="both"/>
        <w:rPr>
          <w:color w:val="000000" w:themeColor="text1"/>
          <w:sz w:val="16"/>
          <w:szCs w:val="16"/>
        </w:rPr>
      </w:pPr>
    </w:p>
    <w:p w14:paraId="29B6421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0112C8A" w14:textId="77777777" w:rsidR="00D4105E" w:rsidRPr="00E14102" w:rsidRDefault="00D4105E" w:rsidP="00E14102">
      <w:pPr>
        <w:autoSpaceDE w:val="0"/>
        <w:autoSpaceDN w:val="0"/>
        <w:adjustRightInd w:val="0"/>
        <w:jc w:val="both"/>
        <w:rPr>
          <w:iCs/>
          <w:color w:val="000000" w:themeColor="text1"/>
          <w:sz w:val="16"/>
          <w:szCs w:val="16"/>
        </w:rPr>
      </w:pPr>
    </w:p>
    <w:p w14:paraId="60AE2795" w14:textId="77777777" w:rsidR="00CC7E66" w:rsidRPr="00E14102" w:rsidRDefault="00CC7E66" w:rsidP="00E14102">
      <w:pPr>
        <w:jc w:val="both"/>
        <w:rPr>
          <w:color w:val="0070C0"/>
          <w:sz w:val="16"/>
          <w:szCs w:val="16"/>
        </w:rPr>
      </w:pPr>
      <w:r w:rsidRPr="00E14102">
        <w:rPr>
          <w:color w:val="0070C0"/>
          <w:sz w:val="16"/>
          <w:szCs w:val="16"/>
        </w:rPr>
        <w:t>7 октября 1935 United Airlines Trip 4, Boeing 247D, терпит крушение к востоку от Серебряной короны, штат Вайоминг, в результате чего погибли все 12 человек на борту (20800).</w:t>
      </w:r>
    </w:p>
    <w:p w14:paraId="1431572C" w14:textId="77777777" w:rsidR="00CC7E66" w:rsidRPr="00E14102" w:rsidRDefault="00CC7E66" w:rsidP="00E14102">
      <w:pPr>
        <w:jc w:val="both"/>
        <w:rPr>
          <w:color w:val="0070C0"/>
          <w:sz w:val="16"/>
          <w:szCs w:val="16"/>
        </w:rPr>
      </w:pPr>
    </w:p>
    <w:p w14:paraId="3DE683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октября 1935 Лига наций объявила Италию агрессором (3186).</w:t>
      </w:r>
    </w:p>
    <w:p w14:paraId="4F61B921" w14:textId="77777777" w:rsidR="00D4105E" w:rsidRPr="00E14102" w:rsidRDefault="00D4105E" w:rsidP="00E14102">
      <w:pPr>
        <w:autoSpaceDE w:val="0"/>
        <w:autoSpaceDN w:val="0"/>
        <w:adjustRightInd w:val="0"/>
        <w:jc w:val="both"/>
        <w:rPr>
          <w:color w:val="000000" w:themeColor="text1"/>
          <w:sz w:val="16"/>
          <w:szCs w:val="16"/>
        </w:rPr>
      </w:pPr>
    </w:p>
    <w:p w14:paraId="730800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октября 1935 в Вене К.Шушниг при поддержке к Старемберга организовал бескровный переворот в МВД, направленный против нацистов, работающих там (3481).</w:t>
      </w:r>
    </w:p>
    <w:p w14:paraId="15035777" w14:textId="77777777" w:rsidR="00D4105E" w:rsidRPr="00E14102" w:rsidRDefault="00D4105E" w:rsidP="00E14102">
      <w:pPr>
        <w:autoSpaceDE w:val="0"/>
        <w:autoSpaceDN w:val="0"/>
        <w:adjustRightInd w:val="0"/>
        <w:jc w:val="both"/>
        <w:rPr>
          <w:color w:val="000000" w:themeColor="text1"/>
          <w:sz w:val="16"/>
          <w:szCs w:val="16"/>
        </w:rPr>
      </w:pPr>
    </w:p>
    <w:p w14:paraId="3C3F3B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октября 1935 Канцлер К.Шушниг при поддержке князя Старемберга организует "бескровный переворот" в МВД, направленный против главы ведомства Э.Фея и его сотрудников-нацистов (7444).</w:t>
      </w:r>
    </w:p>
    <w:p w14:paraId="60ECFE86" w14:textId="77777777" w:rsidR="00D4105E" w:rsidRPr="00E14102" w:rsidRDefault="00D4105E" w:rsidP="00E14102">
      <w:pPr>
        <w:autoSpaceDE w:val="0"/>
        <w:autoSpaceDN w:val="0"/>
        <w:adjustRightInd w:val="0"/>
        <w:jc w:val="both"/>
        <w:rPr>
          <w:color w:val="000000" w:themeColor="text1"/>
          <w:sz w:val="16"/>
          <w:szCs w:val="16"/>
        </w:rPr>
      </w:pPr>
    </w:p>
    <w:p w14:paraId="7EED3B8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E12D7D4" w14:textId="77777777" w:rsidR="00D4105E" w:rsidRPr="00E14102" w:rsidRDefault="00D4105E" w:rsidP="00E14102">
      <w:pPr>
        <w:autoSpaceDE w:val="0"/>
        <w:autoSpaceDN w:val="0"/>
        <w:adjustRightInd w:val="0"/>
        <w:jc w:val="both"/>
        <w:rPr>
          <w:iCs/>
          <w:color w:val="000000" w:themeColor="text1"/>
          <w:sz w:val="16"/>
          <w:szCs w:val="16"/>
        </w:rPr>
      </w:pPr>
    </w:p>
    <w:p w14:paraId="63EEDC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октября 1935 состоялось совещание Конструкторского совета под пред. Королева (протокол 79):</w:t>
      </w:r>
    </w:p>
    <w:p w14:paraId="5D7B9D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Слушали: Проект Сильванского</w:t>
      </w:r>
    </w:p>
    <w:p w14:paraId="6A4FA6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Постановили: 1. Признать заключение ГК Д.П.Г. и Н.Н.П. правильными и сводящимися к следующему:</w:t>
      </w:r>
    </w:p>
    <w:p w14:paraId="0CC03B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вариант одноместного фоторазведчика считать задачей сугубо экспериментальной.</w:t>
      </w:r>
    </w:p>
    <w:p w14:paraId="45AD17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вариант истребителя считать технически не оправдывающим себя.</w:t>
      </w:r>
    </w:p>
    <w:p w14:paraId="1C7CDD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т.к. конструкция, предлагаемая Сильванским, в основном сходна по своей технологии с самолетом И-16, вследствие больших габаритов и веса мотора К-14..." (2177,268).</w:t>
      </w:r>
    </w:p>
    <w:p w14:paraId="7D48A7F8" w14:textId="77777777" w:rsidR="00D4105E" w:rsidRPr="00E14102" w:rsidRDefault="00D4105E" w:rsidP="00E14102">
      <w:pPr>
        <w:autoSpaceDE w:val="0"/>
        <w:autoSpaceDN w:val="0"/>
        <w:adjustRightInd w:val="0"/>
        <w:jc w:val="both"/>
        <w:rPr>
          <w:color w:val="000000" w:themeColor="text1"/>
          <w:sz w:val="16"/>
          <w:szCs w:val="16"/>
        </w:rPr>
      </w:pPr>
    </w:p>
    <w:p w14:paraId="6760C6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8 октября по 28 ноября 1935 года проходили экспериментальные испытания опытного самолета Э-1 с мотором М-48 (изготовленного из магниевых сплавов типа “Электрон” - конструкции и постройки завода N 1 ГУАПа</w:t>
      </w:r>
    </w:p>
    <w:p w14:paraId="06AA6F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53961B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 - Слободчиков</w:t>
      </w:r>
    </w:p>
    <w:p w14:paraId="409927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летчик – Стефановский</w:t>
      </w:r>
    </w:p>
    <w:p w14:paraId="4E99C2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7BD654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Полетные испытания самолета Э-1 и лабораторная проверка магниевых сплавов типа “Электрон” имели целью дать ответ о пригодности этих сплавов как конструктивного материала для самолетостроения и в частности, выявления коррозионной устойчивости их в условиях эксплуатации самолета на сухопутном аэродроме.</w:t>
      </w:r>
    </w:p>
    <w:p w14:paraId="686B40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полетные испытания должны были дать аэродинамическую характеристику самолета Э-1.</w:t>
      </w:r>
    </w:p>
    <w:p w14:paraId="75A922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Э-1 по своим аэродинамическим качествам не имеет чего-либо оригинального и представляет собой обычный моноплан с низко расположенным крылом. В ряду других машин легкомоторной авиации он не имеет каких-либо основных преимуществ.</w:t>
      </w:r>
    </w:p>
    <w:p w14:paraId="748AFA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применение магниевых сплавов типа “Электрон” в этом самолете сказалось в том, что отношение полезной нагрузки к полетному весу, выражающемуся цифрой 0,415 выделяет его как машину имеющую самый высокий показатель в этом отношении.</w:t>
      </w:r>
    </w:p>
    <w:p w14:paraId="12AC5A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Следует заметить, что самолет Э-1 является опытным и в нем есть ряд элементов, которые не могут быть в серийных машинах. Кроме того при серийном производстве сама конструкция самолета будет более совершенной ……….</w:t>
      </w:r>
    </w:p>
    <w:p w14:paraId="791CA0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A36332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Рекомендовать постройку из магниевых сплавов 4-5 машин по своим аэродинамическим качествам стоящих на уровне современных требований к боевым самолетам, с последующим широким испытанием таковых не только на сухопутном аэродроме, но и в условиях морской авиации (3932).</w:t>
      </w:r>
    </w:p>
    <w:p w14:paraId="6C560E66"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3C736314" w14:textId="77777777" w:rsidR="0096554E" w:rsidRPr="00E14102" w:rsidRDefault="0096554E" w:rsidP="00E14102">
      <w:pPr>
        <w:jc w:val="both"/>
        <w:rPr>
          <w:color w:val="000000" w:themeColor="text1"/>
          <w:sz w:val="16"/>
          <w:szCs w:val="16"/>
        </w:rPr>
      </w:pPr>
      <w:r w:rsidRPr="00E14102">
        <w:rPr>
          <w:color w:val="000000" w:themeColor="text1"/>
          <w:sz w:val="16"/>
          <w:szCs w:val="16"/>
        </w:rPr>
        <w:t>С 8 октября по 28 ноября 1935 г. проходили испытания самолёта Э-1. Их основной целью было выяснение механических свойства электрона в условиях полётных нагрузок и его коррозионной стойкости, поэтому полёты в основном сводились к взлёту и посадке, лётные характеристики машины большого интереса не представляли. Общая продолжительность 253 полётов составила всего 22 часа 35 мин., то есть каждый полёт в среднем продолжался немногим более пяти минут. Ведущим лётчиком-испытателем был П.М. Стефановский.</w:t>
      </w:r>
    </w:p>
    <w:p w14:paraId="31ACD234" w14:textId="77777777" w:rsidR="0096554E" w:rsidRPr="00E14102" w:rsidRDefault="0096554E" w:rsidP="00E14102">
      <w:pPr>
        <w:jc w:val="both"/>
        <w:rPr>
          <w:color w:val="000000" w:themeColor="text1"/>
          <w:sz w:val="16"/>
          <w:szCs w:val="16"/>
        </w:rPr>
      </w:pPr>
      <w:r w:rsidRPr="00E14102">
        <w:rPr>
          <w:color w:val="000000" w:themeColor="text1"/>
          <w:sz w:val="16"/>
          <w:szCs w:val="16"/>
        </w:rPr>
        <w:t>Электронный самолёт существенно превосходил другие машины того же класса по относительному весу полезной нагрузки (0,415). Правда, на лётных характеристиках это никак не сказалось, так как в отношении аэродинамики Э-1 был далек от совершенства.</w:t>
      </w:r>
    </w:p>
    <w:p w14:paraId="4E08E9DC" w14:textId="77777777" w:rsidR="0096554E" w:rsidRPr="00E14102" w:rsidRDefault="0096554E" w:rsidP="00E14102">
      <w:pPr>
        <w:jc w:val="both"/>
        <w:rPr>
          <w:color w:val="000000" w:themeColor="text1"/>
          <w:sz w:val="16"/>
          <w:szCs w:val="16"/>
        </w:rPr>
      </w:pPr>
      <w:r w:rsidRPr="00E14102">
        <w:rPr>
          <w:color w:val="000000" w:themeColor="text1"/>
          <w:sz w:val="16"/>
          <w:szCs w:val="16"/>
        </w:rPr>
        <w:t>В выводах по испытаниям отмечалось:</w:t>
      </w:r>
    </w:p>
    <w:p w14:paraId="47007603" w14:textId="77777777" w:rsidR="0096554E" w:rsidRPr="00E14102" w:rsidRDefault="0096554E" w:rsidP="00E14102">
      <w:pPr>
        <w:jc w:val="both"/>
        <w:rPr>
          <w:color w:val="000000" w:themeColor="text1"/>
          <w:sz w:val="16"/>
          <w:szCs w:val="16"/>
        </w:rPr>
      </w:pPr>
      <w:r w:rsidRPr="00E14102">
        <w:rPr>
          <w:color w:val="000000" w:themeColor="text1"/>
          <w:sz w:val="16"/>
          <w:szCs w:val="16"/>
        </w:rPr>
        <w:t>«1. Попытку внедрения магниевых сплавов типа „электрон“ как конструкционного материала самолётостроения на примере самолёта Э-1 надо считать удавшейся. Конструктивное оформление самолётов из магниевых сплавов возможно имеет все данные к широкому развитию и может дать выигрыш в весе конструкции как минимум 10–12 % сравнительно с дюралем и другими алюминиевыми сплавами.</w:t>
      </w:r>
    </w:p>
    <w:p w14:paraId="77BC29CD" w14:textId="77777777" w:rsidR="0096554E" w:rsidRPr="00E14102" w:rsidRDefault="0096554E" w:rsidP="00E14102">
      <w:pPr>
        <w:jc w:val="both"/>
        <w:rPr>
          <w:color w:val="000000" w:themeColor="text1"/>
          <w:sz w:val="16"/>
          <w:szCs w:val="16"/>
        </w:rPr>
      </w:pPr>
      <w:r w:rsidRPr="00E14102">
        <w:rPr>
          <w:color w:val="000000" w:themeColor="text1"/>
          <w:sz w:val="16"/>
          <w:szCs w:val="16"/>
        </w:rPr>
        <w:lastRenderedPageBreak/>
        <w:t>2. Строительство самолётов из магниевых сплавов может быть обеспечено как широкой собственной сырьевой базой, так и полуфабрикатами отечественного производства (завод № 95, завод им. Ворошилова).</w:t>
      </w:r>
    </w:p>
    <w:p w14:paraId="089CA014" w14:textId="77777777" w:rsidR="0096554E" w:rsidRPr="00E14102" w:rsidRDefault="0096554E" w:rsidP="00E14102">
      <w:pPr>
        <w:jc w:val="both"/>
        <w:rPr>
          <w:color w:val="000000" w:themeColor="text1"/>
          <w:sz w:val="16"/>
          <w:szCs w:val="16"/>
        </w:rPr>
      </w:pPr>
      <w:r w:rsidRPr="00E14102">
        <w:rPr>
          <w:color w:val="000000" w:themeColor="text1"/>
          <w:sz w:val="16"/>
          <w:szCs w:val="16"/>
        </w:rPr>
        <w:t xml:space="preserve">3. 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их от коррозии (хромпиковая оксидная плёнка и лакокрасочное покрытие). Таким образом, малая стойкость магниевых сплавов против коррозии в настоящее время не может быть препятствием к дальнейшему их внедрению в строительство самолётов…Рекомендовать постройку из магниевых сплавов 4–5 машин, по своим аэродинамическим качествам стоящих на уровне современных требований к боевым самолётам, с последующим широким испытанием таковых не только на сухопутном аэродроме, но и в условиях морской авиации» </w:t>
      </w:r>
      <w:hyperlink r:id="rId205" w:history="1">
        <w:r w:rsidRPr="00E14102">
          <w:rPr>
            <w:color w:val="000000" w:themeColor="text1"/>
            <w:sz w:val="16"/>
            <w:szCs w:val="16"/>
          </w:rPr>
          <w:t>[149]</w:t>
        </w:r>
      </w:hyperlink>
      <w:r w:rsidRPr="00E14102">
        <w:rPr>
          <w:color w:val="000000" w:themeColor="text1"/>
          <w:sz w:val="16"/>
          <w:szCs w:val="16"/>
        </w:rPr>
        <w:t xml:space="preserve"> (17489).</w:t>
      </w:r>
    </w:p>
    <w:p w14:paraId="7BB5C374" w14:textId="77777777" w:rsidR="0096554E" w:rsidRPr="00E14102" w:rsidRDefault="0096554E" w:rsidP="00E14102">
      <w:pPr>
        <w:jc w:val="both"/>
        <w:rPr>
          <w:color w:val="000000" w:themeColor="text1"/>
          <w:sz w:val="16"/>
          <w:szCs w:val="16"/>
        </w:rPr>
      </w:pPr>
    </w:p>
    <w:p w14:paraId="07182F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октября 1935 года постановление № С-134сс СТО</w:t>
      </w:r>
    </w:p>
    <w:p w14:paraId="45D2E8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строительстве авиазавода № 30 (7516, 187).</w:t>
      </w:r>
    </w:p>
    <w:p w14:paraId="472E9FB0" w14:textId="77777777" w:rsidR="00D4105E" w:rsidRPr="00E14102" w:rsidRDefault="00D4105E" w:rsidP="00E14102">
      <w:pPr>
        <w:autoSpaceDE w:val="0"/>
        <w:autoSpaceDN w:val="0"/>
        <w:adjustRightInd w:val="0"/>
        <w:jc w:val="both"/>
        <w:rPr>
          <w:color w:val="000000" w:themeColor="text1"/>
          <w:sz w:val="16"/>
          <w:szCs w:val="16"/>
        </w:rPr>
      </w:pPr>
    </w:p>
    <w:p w14:paraId="62B102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октября 1935 вышло постановление СТО N С-134сс "О строительстве завода 30" (в развитие постановления СТО N 59cc от 20 мая 1935 утвердить площадку для завода 30 - Иваньковское озеро, Калининская обл.) В.М.М. (2161,77).</w:t>
      </w:r>
    </w:p>
    <w:p w14:paraId="3BB2E665" w14:textId="77777777" w:rsidR="00D4105E" w:rsidRPr="00E14102" w:rsidRDefault="00D4105E" w:rsidP="00E14102">
      <w:pPr>
        <w:autoSpaceDE w:val="0"/>
        <w:autoSpaceDN w:val="0"/>
        <w:adjustRightInd w:val="0"/>
        <w:jc w:val="both"/>
        <w:rPr>
          <w:color w:val="000000" w:themeColor="text1"/>
          <w:sz w:val="16"/>
          <w:szCs w:val="16"/>
        </w:rPr>
      </w:pPr>
    </w:p>
    <w:p w14:paraId="593D8C07" w14:textId="77777777" w:rsidR="00956A72" w:rsidRPr="00E14102" w:rsidRDefault="00956A72" w:rsidP="00E14102">
      <w:pPr>
        <w:pStyle w:val="rtejustify"/>
        <w:spacing w:before="0" w:after="0"/>
        <w:rPr>
          <w:color w:val="000000" w:themeColor="text1"/>
          <w:sz w:val="16"/>
          <w:szCs w:val="16"/>
        </w:rPr>
      </w:pPr>
      <w:r w:rsidRPr="00E14102">
        <w:rPr>
          <w:rStyle w:val="a6"/>
          <w:bCs/>
          <w:i w:val="0"/>
          <w:color w:val="000000" w:themeColor="text1"/>
          <w:sz w:val="16"/>
          <w:szCs w:val="16"/>
        </w:rPr>
        <w:t>8 октября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134сс «О строительстве авиазавода № 30». (ГА РФ. Ф. Р</w:t>
      </w:r>
      <w:r w:rsidRPr="00E14102">
        <w:rPr>
          <w:color w:val="000000" w:themeColor="text1"/>
          <w:sz w:val="16"/>
          <w:szCs w:val="16"/>
        </w:rPr>
        <w:noBreakHyphen/>
        <w:t>8418. Оп. 28. Д. 7. Л. 182) (15460).</w:t>
      </w:r>
    </w:p>
    <w:p w14:paraId="2931D27E" w14:textId="77777777" w:rsidR="00956A72" w:rsidRPr="00E14102" w:rsidRDefault="00956A72" w:rsidP="00E14102">
      <w:pPr>
        <w:pStyle w:val="rtejustify"/>
        <w:spacing w:before="0" w:after="0"/>
        <w:rPr>
          <w:color w:val="000000" w:themeColor="text1"/>
          <w:sz w:val="16"/>
          <w:szCs w:val="16"/>
        </w:rPr>
      </w:pPr>
    </w:p>
    <w:p w14:paraId="7764FF77" w14:textId="77777777" w:rsidR="0090665C" w:rsidRPr="00E14102" w:rsidRDefault="0090665C" w:rsidP="00E14102">
      <w:pPr>
        <w:pStyle w:val="rtejustify"/>
        <w:spacing w:before="0" w:after="0"/>
        <w:rPr>
          <w:color w:val="000000" w:themeColor="text1"/>
          <w:sz w:val="16"/>
          <w:szCs w:val="16"/>
        </w:rPr>
      </w:pPr>
      <w:r w:rsidRPr="00E14102">
        <w:rPr>
          <w:rStyle w:val="a6"/>
          <w:bCs/>
          <w:i w:val="0"/>
          <w:color w:val="000000" w:themeColor="text1"/>
          <w:sz w:val="16"/>
          <w:szCs w:val="16"/>
        </w:rPr>
        <w:t>8 октября 1935 вышел приказ НКО №</w:t>
      </w:r>
      <w:r w:rsidRPr="00E14102">
        <w:rPr>
          <w:color w:val="000000" w:themeColor="text1"/>
          <w:sz w:val="16"/>
          <w:szCs w:val="16"/>
        </w:rPr>
        <w:t> 0195. О проведении НИИ ВС РККА испытания тормозов к самолету Р</w:t>
      </w:r>
      <w:r w:rsidRPr="00E14102">
        <w:rPr>
          <w:color w:val="000000" w:themeColor="text1"/>
          <w:sz w:val="16"/>
          <w:szCs w:val="16"/>
        </w:rPr>
        <w:noBreakHyphen/>
        <w:t>5 (15247).</w:t>
      </w:r>
    </w:p>
    <w:p w14:paraId="78A9744F" w14:textId="77777777" w:rsidR="0090665C" w:rsidRPr="00E14102" w:rsidRDefault="0090665C" w:rsidP="00E14102">
      <w:pPr>
        <w:pStyle w:val="rtejustify"/>
        <w:spacing w:before="0" w:after="0"/>
        <w:rPr>
          <w:color w:val="000000" w:themeColor="text1"/>
          <w:sz w:val="16"/>
          <w:szCs w:val="16"/>
        </w:rPr>
      </w:pPr>
    </w:p>
    <w:p w14:paraId="17DFF31D" w14:textId="77777777" w:rsidR="00956A72" w:rsidRPr="00E14102" w:rsidRDefault="00956A72" w:rsidP="00E14102">
      <w:pPr>
        <w:pStyle w:val="rtejustify"/>
        <w:spacing w:before="0" w:after="0"/>
        <w:rPr>
          <w:color w:val="000000" w:themeColor="text1"/>
          <w:sz w:val="16"/>
          <w:szCs w:val="16"/>
        </w:rPr>
      </w:pPr>
      <w:r w:rsidRPr="00E14102">
        <w:rPr>
          <w:rStyle w:val="a6"/>
          <w:bCs/>
          <w:i w:val="0"/>
          <w:color w:val="000000" w:themeColor="text1"/>
          <w:sz w:val="16"/>
          <w:szCs w:val="16"/>
        </w:rPr>
        <w:t>8 октября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139с «О сроках погашения ссуды Глававиапромом». (ГА РФ. Ф. Р</w:t>
      </w:r>
      <w:r w:rsidRPr="00E14102">
        <w:rPr>
          <w:color w:val="000000" w:themeColor="text1"/>
          <w:sz w:val="16"/>
          <w:szCs w:val="16"/>
        </w:rPr>
        <w:noBreakHyphen/>
        <w:t>8418. Оп. 28. Д. 7. Л. 189) (15460).</w:t>
      </w:r>
    </w:p>
    <w:p w14:paraId="057E4F1E" w14:textId="77777777" w:rsidR="00956A72" w:rsidRPr="00E14102" w:rsidRDefault="00956A72" w:rsidP="00E14102">
      <w:pPr>
        <w:pStyle w:val="rtejustify"/>
        <w:spacing w:before="0" w:after="0"/>
        <w:rPr>
          <w:color w:val="000000" w:themeColor="text1"/>
          <w:sz w:val="16"/>
          <w:szCs w:val="16"/>
        </w:rPr>
      </w:pPr>
    </w:p>
    <w:p w14:paraId="59ADF2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октября 1935 Врид Нач. УВВС Хрипин писал письмо N 42/02783 Нач. ГУАП Королеву на вх. N 242/4402с о том, что УВВС м.б. передан в ЦАГИ на 3-4 месяца только один Дорнье-Валь с ЛД и по этому вопросу необходимо обратиться в 4-й отд. УВВС...(2336,165).</w:t>
      </w:r>
    </w:p>
    <w:p w14:paraId="013C6EEB" w14:textId="77777777" w:rsidR="00D4105E" w:rsidRPr="00E14102" w:rsidRDefault="00D4105E" w:rsidP="00E14102">
      <w:pPr>
        <w:autoSpaceDE w:val="0"/>
        <w:autoSpaceDN w:val="0"/>
        <w:adjustRightInd w:val="0"/>
        <w:jc w:val="both"/>
        <w:rPr>
          <w:color w:val="000000" w:themeColor="text1"/>
          <w:sz w:val="16"/>
          <w:szCs w:val="16"/>
        </w:rPr>
      </w:pPr>
    </w:p>
    <w:p w14:paraId="0677E8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октября 1935 была подготовлена Докладная записка N 2291с "О работе ЦКБ МС завода N 31":</w:t>
      </w:r>
    </w:p>
    <w:p w14:paraId="411089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объектов программы текущего года, по опытному самолетостроению, закончены в производстве и сданы на заводские испытания модифицированный самолет МБР-2 М-34 Ни самолет МБР-5 с мотором "Райт-Циклон Е-3".</w:t>
      </w:r>
    </w:p>
    <w:p w14:paraId="328977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основном закончены чертежи корабельного самолета КОР-1 и спущены частично в производство.</w:t>
      </w:r>
    </w:p>
    <w:p w14:paraId="5EAC99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Состояние на 5/Х - по машинам нижеследующие:</w:t>
      </w:r>
    </w:p>
    <w:p w14:paraId="1E90C7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МБР-2 М-34 - эталон 1935 г.</w:t>
      </w:r>
    </w:p>
    <w:p w14:paraId="333727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данном самолете по сравнению с МБР-2 серийным модифицированы все основные агрегаты - крыло (добавлены щитки для уменьшения посадочной скорости), центроплан, лодка, оперение. Целиком перепроектированы: вооружение, оборудование, моторная группа, лыжно-колесное шасси.</w:t>
      </w:r>
    </w:p>
    <w:p w14:paraId="65E10B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заводским испытаниям приступлено с 4 сентября с.г.</w:t>
      </w:r>
    </w:p>
    <w:p w14:paraId="057619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Предварительно летные испытания показали хорошую скороподъемность (в 13,5 минут подъема на 4000 м), горизонтальную скорость ожидавшуюся по расчету (на 4000 м - 255-260 км/час).</w:t>
      </w:r>
    </w:p>
    <w:p w14:paraId="1EAA37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Дальнейшие испытания временно прекращены, ввиду неполадок с мотором. Как Вам ранее докладывалось, на самолет был выслан опытный мотор М34-Н, при чем благодаря небрежной упаковки его дополнительно повредили по дороге. Посему при появлении первых дефектов в работе мотора (отошли из гнезда 2-е подкладные седловины правого блока) нами запрошен от завода N 24, новый вполне кондиционный мотор.</w:t>
      </w:r>
    </w:p>
    <w:p w14:paraId="032F21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Дальнейшее испытание целиком зависит от своевременного получения мотора.</w:t>
      </w:r>
    </w:p>
    <w:p w14:paraId="422C1A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МБР-5.</w:t>
      </w:r>
    </w:p>
    <w:p w14:paraId="30F153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летным заводским испытаниям самолета МБР-5 приступлено 3-го октября с.г.</w:t>
      </w:r>
    </w:p>
    <w:p w14:paraId="351D25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Проделана рулежка на воде и 3 ознакомительных полета.</w:t>
      </w:r>
    </w:p>
    <w:p w14:paraId="3A2140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Предварительные результаты показывают вполне удовлетворительные морские качества и хорошие летные данные.</w:t>
      </w:r>
    </w:p>
    <w:p w14:paraId="28A5DE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Поведение машины в воздухе вполне нормальное. Заводские испытания продолжаются и в конце октября считаем возможным сдать самолет на государственные испытания.</w:t>
      </w:r>
    </w:p>
    <w:p w14:paraId="7E4CE4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процессе летных испытаний проводится доводка убирающегося в лодку сухопутного шасси.</w:t>
      </w:r>
    </w:p>
    <w:p w14:paraId="66DFDC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Статические испытания крыла на случай закончены с вполне удовлетворительными показателями (запас прочности на случай Ак=130%).</w:t>
      </w:r>
    </w:p>
    <w:p w14:paraId="35269B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КОР-1.</w:t>
      </w:r>
    </w:p>
    <w:p w14:paraId="2529A2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Освоение усиленными темпами в производство самолета КОР-1 в значительной мере лимитируются еще недостаточной мощностью опытной производственной базы, как в смысле станочного оборудования, так и укомплектования необходимым производственным персоналом. В качестве примера может служить, что при наличии большого количества станочных работ, мы не имеем ни одного фрезерного станка. Наши заявки на станочное оборудование периодически не обеспечиваются ГУАП"ом - серийное производство, имея весьма напряженную программу, также не в состоянии выполнять опытную работу.</w:t>
      </w:r>
    </w:p>
    <w:p w14:paraId="49441B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МДР-5.</w:t>
      </w:r>
    </w:p>
    <w:p w14:paraId="54CE62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Проработан эскизный проект и пересдан на утверждение в УВС и ГУАП. Приступаем к постройке макета.</w:t>
      </w:r>
    </w:p>
    <w:p w14:paraId="0C9BB7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финансировании опытных работ</w:t>
      </w:r>
    </w:p>
    <w:p w14:paraId="4CEB92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IV квартал 1935 года.</w:t>
      </w:r>
    </w:p>
    <w:p w14:paraId="04631A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того, что нами при постройке самолета МБР-5 проектировалось получение ряда готовых агрегатов самолета от зав. N 39, а в действительности пришлось строить самолет полностью на зав. N 31, плюс болезни организационного периода - привели к такому положению, что по этому самолету против плана нами произведен перерасход.</w:t>
      </w:r>
    </w:p>
    <w:p w14:paraId="68F4A9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Посему во избежание срыва работ по самол. КОр-1 необходима против плана дотация в размере 550000 руб. Подобная записка по этому вопросу была нами своевременно подана зам. нач. ГУАП"а Марголину, но положительного разрешения его до настоящего времени не имеется. (директор завода им. Димитрова Мурашев)" (2336,167).</w:t>
      </w:r>
    </w:p>
    <w:p w14:paraId="0D29C9E5" w14:textId="77777777" w:rsidR="00D4105E" w:rsidRPr="00E14102" w:rsidRDefault="00D4105E" w:rsidP="00E14102">
      <w:pPr>
        <w:autoSpaceDE w:val="0"/>
        <w:autoSpaceDN w:val="0"/>
        <w:adjustRightInd w:val="0"/>
        <w:jc w:val="both"/>
        <w:rPr>
          <w:color w:val="000000" w:themeColor="text1"/>
          <w:sz w:val="16"/>
          <w:szCs w:val="16"/>
        </w:rPr>
      </w:pPr>
    </w:p>
    <w:p w14:paraId="173303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8 октября 1935 на Ногинском полигоне начались испытания мин и Майзеля. Начали с раскрыутки роторов на земле. Уходило 8—9 минут. Из-за недостаточного охлаждения подшипники грелись и ротор клинило. Затем начали раскрутку в полете, но без сброса. Две боевые - раскрутили и взорвали на земле. Потом - перешли в воздух. Четырежды Р-5 давали залп 6 минами, но ни одного аэростата, выставленного в качестве цели, не поразили. ЗАМ-2 летели медленно - чуть быстрее 100 км/xfc. С падением оборотов - скорость еще падала. На 2000 м начинали рыскать. Согласно отчету: продемонстрировали “неправильный полет и неподдающееся учету рассеивание”. Снаряды выпускали при разной скорости полета самолетов-носителей. Чем быстрее в момент сброса летел Р-5, тем прямолинейнее выглядела тракектория мин. При разрыве ротора практически все осколки разлетались в плоскости вращения. Убойная сила - была велика, но узкая область являлась невыгодной для тех целей, которые дорлжны были поражаться. Пришли к выводу, что по наземным целям стрелять нельзя. Потом опробывали с мортирками - плохо аэродинамически и сильно бросало при выстрелах. Пробовали и зажигательные и осветительные. В конце 1935 работы свернули (8908,37).</w:t>
      </w:r>
    </w:p>
    <w:p w14:paraId="1B0CA20C" w14:textId="77777777" w:rsidR="00D4105E" w:rsidRPr="00E14102" w:rsidRDefault="00D4105E" w:rsidP="00E14102">
      <w:pPr>
        <w:autoSpaceDE w:val="0"/>
        <w:autoSpaceDN w:val="0"/>
        <w:adjustRightInd w:val="0"/>
        <w:jc w:val="both"/>
        <w:rPr>
          <w:color w:val="000000" w:themeColor="text1"/>
          <w:sz w:val="16"/>
          <w:szCs w:val="16"/>
        </w:rPr>
      </w:pPr>
    </w:p>
    <w:p w14:paraId="4EB166A6" w14:textId="77777777" w:rsidR="00956A7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6BBC24E" w14:textId="77777777" w:rsidR="00956A72" w:rsidRPr="00E14102" w:rsidRDefault="00956A72" w:rsidP="00E14102">
      <w:pPr>
        <w:autoSpaceDE w:val="0"/>
        <w:autoSpaceDN w:val="0"/>
        <w:adjustRightInd w:val="0"/>
        <w:jc w:val="both"/>
        <w:rPr>
          <w:iCs/>
          <w:color w:val="000000" w:themeColor="text1"/>
          <w:sz w:val="16"/>
          <w:szCs w:val="16"/>
        </w:rPr>
      </w:pPr>
    </w:p>
    <w:p w14:paraId="6C19CF33" w14:textId="77777777" w:rsidR="0096554E" w:rsidRPr="00E14102" w:rsidRDefault="0096554E"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К 8 октября 1935 года танк Т-29-5 преодолел 1724 километра, из них 1010 км на колёсном и 714 км на гусеничном ходу. При движении на колёсном ходу удалось развить максимальную скорость 81 км/ч. В ходе войсковых испытаний с 19 по 29 октября танк прошёл еще 375 километров. Некоторые факты, указанные в созданном по итогам испытаний отчёте, могут сбить с толку. Например, там указано, что Т-29 является развитием Т-28, это является неправдой.</w:t>
      </w:r>
    </w:p>
    <w:p w14:paraId="352EBF74" w14:textId="77777777" w:rsidR="0096554E" w:rsidRPr="00E14102" w:rsidRDefault="0096554E"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ходе испытаний была достигнута максимальная скорость около 79 км/ч на колёсах и 58 км/ч на гусеницах. Барыков, присутствовавший на испытаниях, отметил, что машина могла разогнаться на гусеничном ходу до 60-63 км/ч. Средняя скорость на гусеницах по шоссе составила 51,8 км/ч. При движении по заснеженному шоссе этот показатель уменьшился до 42,6 км/ч. На заболоченной местности танк развивал среднюю скорость 19 км/ч. Полученные данные впечатлили военных: опытный танк даже на гусеничном ходу оказался быстрее Т-28 и примерно соответствовал по скорости опытному Т-28А (17708).</w:t>
      </w:r>
    </w:p>
    <w:p w14:paraId="5D739C95" w14:textId="77777777" w:rsidR="0096554E" w:rsidRPr="00E14102" w:rsidRDefault="0096554E" w:rsidP="00E14102">
      <w:pPr>
        <w:jc w:val="both"/>
        <w:rPr>
          <w:color w:val="000000" w:themeColor="text1"/>
          <w:sz w:val="16"/>
          <w:szCs w:val="16"/>
        </w:rPr>
      </w:pPr>
    </w:p>
    <w:p w14:paraId="374AD8FF" w14:textId="77777777" w:rsidR="00956A72" w:rsidRPr="00E14102" w:rsidRDefault="00956A72" w:rsidP="00E14102">
      <w:pPr>
        <w:pStyle w:val="rtejustify"/>
        <w:spacing w:before="0" w:after="0"/>
        <w:rPr>
          <w:color w:val="000000" w:themeColor="text1"/>
          <w:sz w:val="16"/>
          <w:szCs w:val="16"/>
        </w:rPr>
      </w:pPr>
      <w:r w:rsidRPr="00E14102">
        <w:rPr>
          <w:rStyle w:val="a6"/>
          <w:bCs/>
          <w:i w:val="0"/>
          <w:color w:val="000000" w:themeColor="text1"/>
          <w:sz w:val="16"/>
          <w:szCs w:val="16"/>
        </w:rPr>
        <w:t>8 октября 1935 вышел приказ НКО №</w:t>
      </w:r>
      <w:r w:rsidRPr="00E14102">
        <w:rPr>
          <w:color w:val="000000" w:themeColor="text1"/>
          <w:sz w:val="16"/>
          <w:szCs w:val="16"/>
        </w:rPr>
        <w:t> 0083. Об изменении комиссии для проведения войсковых испытаний зенитных авиаламп «ЗАМ» (15247).</w:t>
      </w:r>
    </w:p>
    <w:p w14:paraId="4D737272" w14:textId="77777777" w:rsidR="00956A72" w:rsidRPr="00E14102" w:rsidRDefault="00956A72" w:rsidP="00E14102">
      <w:pPr>
        <w:pStyle w:val="rtejustify"/>
        <w:spacing w:before="0" w:after="0"/>
        <w:rPr>
          <w:color w:val="000000" w:themeColor="text1"/>
          <w:sz w:val="16"/>
          <w:szCs w:val="16"/>
        </w:rPr>
      </w:pPr>
    </w:p>
    <w:p w14:paraId="60FA6803" w14:textId="77777777" w:rsidR="00956A72" w:rsidRPr="00E14102" w:rsidRDefault="00956A72" w:rsidP="00E14102">
      <w:pPr>
        <w:pStyle w:val="rtejustify"/>
        <w:spacing w:before="0" w:after="0"/>
        <w:rPr>
          <w:color w:val="000000" w:themeColor="text1"/>
          <w:sz w:val="16"/>
          <w:szCs w:val="16"/>
        </w:rPr>
      </w:pPr>
      <w:r w:rsidRPr="00E14102">
        <w:rPr>
          <w:rStyle w:val="a6"/>
          <w:bCs/>
          <w:i w:val="0"/>
          <w:color w:val="000000" w:themeColor="text1"/>
          <w:sz w:val="16"/>
          <w:szCs w:val="16"/>
        </w:rPr>
        <w:t>8 октября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135сс «О резервуарах системы Стеженского». (ГА РФ. Ф. Р</w:t>
      </w:r>
      <w:r w:rsidRPr="00E14102">
        <w:rPr>
          <w:color w:val="000000" w:themeColor="text1"/>
          <w:sz w:val="16"/>
          <w:szCs w:val="16"/>
        </w:rPr>
        <w:noBreakHyphen/>
        <w:t>8418. Оп. 28. Д. 7. Л. 184) (15460).</w:t>
      </w:r>
    </w:p>
    <w:p w14:paraId="01752AD0" w14:textId="77777777" w:rsidR="00956A72" w:rsidRPr="00E14102" w:rsidRDefault="00956A72" w:rsidP="00E14102">
      <w:pPr>
        <w:pStyle w:val="rtejustify"/>
        <w:spacing w:before="0" w:after="0"/>
        <w:rPr>
          <w:color w:val="000000" w:themeColor="text1"/>
          <w:sz w:val="16"/>
          <w:szCs w:val="16"/>
        </w:rPr>
      </w:pPr>
    </w:p>
    <w:p w14:paraId="06F81A60" w14:textId="77777777" w:rsidR="00956A72" w:rsidRPr="00E14102" w:rsidRDefault="00956A72" w:rsidP="00E14102">
      <w:pPr>
        <w:pStyle w:val="rtejustify"/>
        <w:spacing w:before="0" w:after="0"/>
        <w:rPr>
          <w:color w:val="000000" w:themeColor="text1"/>
          <w:sz w:val="16"/>
          <w:szCs w:val="16"/>
        </w:rPr>
      </w:pPr>
      <w:r w:rsidRPr="00E14102">
        <w:rPr>
          <w:rStyle w:val="a6"/>
          <w:bCs/>
          <w:i w:val="0"/>
          <w:color w:val="000000" w:themeColor="text1"/>
          <w:sz w:val="16"/>
          <w:szCs w:val="16"/>
        </w:rPr>
        <w:lastRenderedPageBreak/>
        <w:t>8 октября 1935 вышел приказ НКО №</w:t>
      </w:r>
      <w:r w:rsidRPr="00E14102">
        <w:rPr>
          <w:color w:val="000000" w:themeColor="text1"/>
          <w:sz w:val="16"/>
          <w:szCs w:val="16"/>
        </w:rPr>
        <w:t> 0193. О назначении комиссии для проведения войсковых испытаний опытного образца танка Т</w:t>
      </w:r>
      <w:r w:rsidRPr="00E14102">
        <w:rPr>
          <w:color w:val="000000" w:themeColor="text1"/>
          <w:sz w:val="16"/>
          <w:szCs w:val="16"/>
        </w:rPr>
        <w:noBreakHyphen/>
        <w:t>38 (15247).</w:t>
      </w:r>
    </w:p>
    <w:p w14:paraId="771879D0" w14:textId="77777777" w:rsidR="00956A72" w:rsidRPr="00E14102" w:rsidRDefault="00956A72" w:rsidP="00E14102">
      <w:pPr>
        <w:pStyle w:val="rtejustify"/>
        <w:spacing w:before="0" w:after="0"/>
        <w:rPr>
          <w:color w:val="000000" w:themeColor="text1"/>
          <w:sz w:val="16"/>
          <w:szCs w:val="16"/>
        </w:rPr>
      </w:pPr>
    </w:p>
    <w:p w14:paraId="01061AF6" w14:textId="77777777" w:rsidR="00956A72" w:rsidRPr="00E14102" w:rsidRDefault="00956A72" w:rsidP="00E14102">
      <w:pPr>
        <w:pStyle w:val="rtejustify"/>
        <w:spacing w:before="0" w:after="0"/>
        <w:rPr>
          <w:color w:val="000000" w:themeColor="text1"/>
          <w:sz w:val="16"/>
          <w:szCs w:val="16"/>
        </w:rPr>
      </w:pPr>
      <w:r w:rsidRPr="00E14102">
        <w:rPr>
          <w:rStyle w:val="a6"/>
          <w:bCs/>
          <w:i w:val="0"/>
          <w:color w:val="000000" w:themeColor="text1"/>
          <w:sz w:val="16"/>
          <w:szCs w:val="16"/>
        </w:rPr>
        <w:t>8 октября 1935 вышел приказ НКО №</w:t>
      </w:r>
      <w:r w:rsidRPr="00E14102">
        <w:rPr>
          <w:color w:val="000000" w:themeColor="text1"/>
          <w:sz w:val="16"/>
          <w:szCs w:val="16"/>
        </w:rPr>
        <w:t> 0192. О назначении комиссии для проведения войсковых испытаний опытных образцов танков Т</w:t>
      </w:r>
      <w:r w:rsidRPr="00E14102">
        <w:rPr>
          <w:color w:val="000000" w:themeColor="text1"/>
          <w:sz w:val="16"/>
          <w:szCs w:val="16"/>
        </w:rPr>
        <w:noBreakHyphen/>
        <w:t>29 и Т</w:t>
      </w:r>
      <w:r w:rsidRPr="00E14102">
        <w:rPr>
          <w:color w:val="000000" w:themeColor="text1"/>
          <w:sz w:val="16"/>
          <w:szCs w:val="16"/>
        </w:rPr>
        <w:noBreakHyphen/>
        <w:t>46 (15247).</w:t>
      </w:r>
    </w:p>
    <w:p w14:paraId="62450AEF" w14:textId="77777777" w:rsidR="00956A72" w:rsidRPr="00E14102" w:rsidRDefault="00956A72" w:rsidP="00E14102">
      <w:pPr>
        <w:pStyle w:val="rtejustify"/>
        <w:spacing w:before="0" w:after="0"/>
        <w:rPr>
          <w:color w:val="000000" w:themeColor="text1"/>
          <w:sz w:val="16"/>
          <w:szCs w:val="16"/>
        </w:rPr>
      </w:pPr>
    </w:p>
    <w:p w14:paraId="0DC15C2E" w14:textId="77777777" w:rsidR="00956A72" w:rsidRPr="00E14102" w:rsidRDefault="00956A72" w:rsidP="00E14102">
      <w:pPr>
        <w:pStyle w:val="rtejustify"/>
        <w:spacing w:before="0" w:after="0"/>
        <w:rPr>
          <w:color w:val="000000" w:themeColor="text1"/>
          <w:sz w:val="16"/>
          <w:szCs w:val="16"/>
        </w:rPr>
      </w:pPr>
      <w:r w:rsidRPr="00E14102">
        <w:rPr>
          <w:rStyle w:val="a6"/>
          <w:bCs/>
          <w:i w:val="0"/>
          <w:color w:val="000000" w:themeColor="text1"/>
          <w:sz w:val="16"/>
          <w:szCs w:val="16"/>
        </w:rPr>
        <w:t>8 октября 1935 вышел приказ НКО №</w:t>
      </w:r>
      <w:r w:rsidRPr="00E14102">
        <w:rPr>
          <w:color w:val="000000" w:themeColor="text1"/>
          <w:sz w:val="16"/>
          <w:szCs w:val="16"/>
        </w:rPr>
        <w:t> 0194. О назначении комиссии для проведения войсковых испытаний опытного образца легкового бронеавтомобиля ГАЗ</w:t>
      </w:r>
      <w:r w:rsidRPr="00E14102">
        <w:rPr>
          <w:color w:val="000000" w:themeColor="text1"/>
          <w:sz w:val="16"/>
          <w:szCs w:val="16"/>
        </w:rPr>
        <w:noBreakHyphen/>
        <w:t>ТК (15247).</w:t>
      </w:r>
    </w:p>
    <w:p w14:paraId="4DF9F81F" w14:textId="77777777" w:rsidR="00956A72" w:rsidRPr="00E14102" w:rsidRDefault="00956A72" w:rsidP="00E14102">
      <w:pPr>
        <w:pStyle w:val="rtejustify"/>
        <w:spacing w:before="0" w:after="0"/>
        <w:rPr>
          <w:color w:val="000000" w:themeColor="text1"/>
          <w:sz w:val="16"/>
          <w:szCs w:val="16"/>
        </w:rPr>
      </w:pPr>
    </w:p>
    <w:p w14:paraId="09B0ABEF" w14:textId="77777777" w:rsidR="00D4105E" w:rsidRPr="00E14102" w:rsidRDefault="004B7965" w:rsidP="00E14102">
      <w:pPr>
        <w:autoSpaceDE w:val="0"/>
        <w:autoSpaceDN w:val="0"/>
        <w:adjustRightInd w:val="0"/>
        <w:jc w:val="both"/>
        <w:rPr>
          <w:iCs/>
          <w:color w:val="000000" w:themeColor="text1"/>
          <w:sz w:val="16"/>
          <w:szCs w:val="16"/>
          <w:lang w:val="en-US"/>
        </w:rPr>
      </w:pPr>
      <w:r w:rsidRPr="00E14102">
        <w:rPr>
          <w:i/>
          <w:iCs/>
          <w:color w:val="000000" w:themeColor="text1"/>
          <w:sz w:val="16"/>
          <w:szCs w:val="16"/>
        </w:rPr>
        <w:t>За</w:t>
      </w:r>
      <w:r w:rsidRPr="00E14102">
        <w:rPr>
          <w:i/>
          <w:iCs/>
          <w:color w:val="000000" w:themeColor="text1"/>
          <w:sz w:val="16"/>
          <w:szCs w:val="16"/>
          <w:lang w:val="en-US"/>
        </w:rPr>
        <w:t xml:space="preserve"> </w:t>
      </w:r>
      <w:r w:rsidRPr="00E14102">
        <w:rPr>
          <w:i/>
          <w:iCs/>
          <w:color w:val="000000" w:themeColor="text1"/>
          <w:sz w:val="16"/>
          <w:szCs w:val="16"/>
        </w:rPr>
        <w:t>рубежом</w:t>
      </w:r>
      <w:r w:rsidRPr="00E14102">
        <w:rPr>
          <w:i/>
          <w:iCs/>
          <w:color w:val="000000" w:themeColor="text1"/>
          <w:sz w:val="16"/>
          <w:szCs w:val="16"/>
          <w:lang w:val="en-US"/>
        </w:rPr>
        <w:t>:</w:t>
      </w:r>
    </w:p>
    <w:p w14:paraId="59C0AE2A" w14:textId="77777777" w:rsidR="00D4105E" w:rsidRPr="00E14102" w:rsidRDefault="00D4105E" w:rsidP="00E14102">
      <w:pPr>
        <w:autoSpaceDE w:val="0"/>
        <w:autoSpaceDN w:val="0"/>
        <w:adjustRightInd w:val="0"/>
        <w:jc w:val="both"/>
        <w:rPr>
          <w:iCs/>
          <w:color w:val="000000" w:themeColor="text1"/>
          <w:sz w:val="16"/>
          <w:szCs w:val="16"/>
          <w:lang w:val="en-US"/>
        </w:rPr>
      </w:pPr>
    </w:p>
    <w:p w14:paraId="4FE65FE4" w14:textId="77777777" w:rsidR="00D4105E" w:rsidRPr="00E14102" w:rsidRDefault="00D4105E" w:rsidP="00E14102">
      <w:pPr>
        <w:autoSpaceDE w:val="0"/>
        <w:autoSpaceDN w:val="0"/>
        <w:adjustRightInd w:val="0"/>
        <w:jc w:val="both"/>
        <w:rPr>
          <w:color w:val="000000" w:themeColor="text1"/>
          <w:sz w:val="16"/>
          <w:szCs w:val="16"/>
          <w:lang w:val="en-US"/>
        </w:rPr>
      </w:pPr>
      <w:r w:rsidRPr="00E14102">
        <w:rPr>
          <w:color w:val="000000" w:themeColor="text1"/>
          <w:sz w:val="16"/>
          <w:szCs w:val="16"/>
          <w:lang w:val="en-US"/>
        </w:rPr>
        <w:t>October 8, 1935 - The British War Office rejects Szilard's offer to turn over to them his patents of nuclear energy for free, an offer made to bring them under British secrecy laws (1039).</w:t>
      </w:r>
    </w:p>
    <w:p w14:paraId="53F9977A" w14:textId="77777777" w:rsidR="00D4105E" w:rsidRPr="00E14102" w:rsidRDefault="00D4105E" w:rsidP="00E14102">
      <w:pPr>
        <w:autoSpaceDE w:val="0"/>
        <w:autoSpaceDN w:val="0"/>
        <w:adjustRightInd w:val="0"/>
        <w:jc w:val="both"/>
        <w:rPr>
          <w:color w:val="000000" w:themeColor="text1"/>
          <w:sz w:val="16"/>
          <w:szCs w:val="16"/>
          <w:lang w:val="en-US"/>
        </w:rPr>
      </w:pPr>
    </w:p>
    <w:p w14:paraId="293501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октября 1935 Британское министерство обороны отказалось от бесплатного приобретения патентов на атомную энергию, предложенных Л.Сциллардом, с целью их защиты (1039).</w:t>
      </w:r>
    </w:p>
    <w:p w14:paraId="71879810" w14:textId="77777777" w:rsidR="00D4105E" w:rsidRPr="00E14102" w:rsidRDefault="00D4105E" w:rsidP="00E14102">
      <w:pPr>
        <w:autoSpaceDE w:val="0"/>
        <w:autoSpaceDN w:val="0"/>
        <w:adjustRightInd w:val="0"/>
        <w:jc w:val="both"/>
        <w:rPr>
          <w:color w:val="000000" w:themeColor="text1"/>
          <w:sz w:val="16"/>
          <w:szCs w:val="16"/>
        </w:rPr>
      </w:pPr>
    </w:p>
    <w:p w14:paraId="79E194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октября 1935 в Великобритании Д.Лэнсбери ушел в отставку с поста лидера Лейбористской партии, т.к. не смог получить поддержку партии о вооруженном отпоре итальянской агрессии в Эфиопии. И.о. лидера партии стал К.Этли (3481).</w:t>
      </w:r>
    </w:p>
    <w:p w14:paraId="5E13613C" w14:textId="77777777" w:rsidR="00D4105E" w:rsidRPr="00E14102" w:rsidRDefault="00D4105E" w:rsidP="00E14102">
      <w:pPr>
        <w:autoSpaceDE w:val="0"/>
        <w:autoSpaceDN w:val="0"/>
        <w:adjustRightInd w:val="0"/>
        <w:jc w:val="both"/>
        <w:rPr>
          <w:color w:val="000000" w:themeColor="text1"/>
          <w:sz w:val="16"/>
          <w:szCs w:val="16"/>
        </w:rPr>
      </w:pPr>
    </w:p>
    <w:p w14:paraId="28862785" w14:textId="77777777" w:rsidR="0090665C" w:rsidRPr="00E14102" w:rsidRDefault="0090665C"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8 октября </w:t>
      </w:r>
      <w:r w:rsidRPr="00E14102">
        <w:rPr>
          <w:color w:val="000000" w:themeColor="text1"/>
          <w:sz w:val="16"/>
          <w:szCs w:val="16"/>
        </w:rPr>
        <w:t>в 1935 году в Великобритании Джордж Лэнсбери уходит в отставку с поста лидера Лейбористской партии, так как не смог обеспечить поддержку решению партии о вооруженнод отпоре итальянской агрессии. Исполняющим обязанности лидера партии до конца парламентской сессии избирается Клемент Эттли (14793).</w:t>
      </w:r>
    </w:p>
    <w:p w14:paraId="3DA6E24C" w14:textId="77777777" w:rsidR="0090665C" w:rsidRPr="00E14102" w:rsidRDefault="0090665C" w:rsidP="00E14102">
      <w:pPr>
        <w:jc w:val="both"/>
        <w:rPr>
          <w:color w:val="000000" w:themeColor="text1"/>
          <w:sz w:val="16"/>
          <w:szCs w:val="16"/>
        </w:rPr>
      </w:pPr>
    </w:p>
    <w:p w14:paraId="4644544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662EDE1" w14:textId="77777777" w:rsidR="00D4105E" w:rsidRPr="00E14102" w:rsidRDefault="00D4105E" w:rsidP="00E14102">
      <w:pPr>
        <w:autoSpaceDE w:val="0"/>
        <w:autoSpaceDN w:val="0"/>
        <w:adjustRightInd w:val="0"/>
        <w:jc w:val="both"/>
        <w:rPr>
          <w:iCs/>
          <w:color w:val="000000" w:themeColor="text1"/>
          <w:sz w:val="16"/>
          <w:szCs w:val="16"/>
        </w:rPr>
      </w:pPr>
    </w:p>
    <w:p w14:paraId="5C4CBD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октября 1935 на ТБ-3 4М-34РН закончили испытания масляной системы, которые шли с 1 октября 1935. Отв. исполнители: ст. и 3 отд. Чернявский. Заключение: на основании проведенных испытаний 3-й отдел НИИ ВВ считает, что масляная система ТБ-3 4М-34РН без водомасляного радиатора не обеспечивает нормальной эксплуатации самолета (2935).</w:t>
      </w:r>
    </w:p>
    <w:p w14:paraId="0718A055" w14:textId="77777777" w:rsidR="00D4105E" w:rsidRPr="00E14102" w:rsidRDefault="00D4105E" w:rsidP="00E14102">
      <w:pPr>
        <w:autoSpaceDE w:val="0"/>
        <w:autoSpaceDN w:val="0"/>
        <w:adjustRightInd w:val="0"/>
        <w:jc w:val="both"/>
        <w:rPr>
          <w:color w:val="000000" w:themeColor="text1"/>
          <w:sz w:val="16"/>
          <w:szCs w:val="16"/>
        </w:rPr>
      </w:pPr>
    </w:p>
    <w:p w14:paraId="56CBA31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 октября 1935 года вышел Приказ НИИ ВС № 0529 О гос. испытаниях самолета И-5 с вооружением бомбардировочным, химическим и баками для переливки горючего конструкции Экспериментального института НКТП.</w:t>
      </w:r>
    </w:p>
    <w:p w14:paraId="5D3C646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Предъявленный Экспериментальным институтом НКТП самолет И-5 с бомбардировочным вооружением принять на гос. испытания.</w:t>
      </w:r>
    </w:p>
    <w:p w14:paraId="70E47BF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провести на Щелковском аэродроме и Ногинском полигоне в октябре 1935 года в 10 летных дней (6815, 84).</w:t>
      </w:r>
    </w:p>
    <w:p w14:paraId="0875781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D8C18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октября 1935 вышло постановление СНК "Об организации воздушного сообщения на линиях Красноярск-Усть-Пит и Енисейск - Советский рудник. Зам. Пред. Рудзутак (2161,105).</w:t>
      </w:r>
    </w:p>
    <w:p w14:paraId="2290839B" w14:textId="77777777" w:rsidR="00D4105E" w:rsidRPr="00E14102" w:rsidRDefault="00D4105E" w:rsidP="00E14102">
      <w:pPr>
        <w:autoSpaceDE w:val="0"/>
        <w:autoSpaceDN w:val="0"/>
        <w:adjustRightInd w:val="0"/>
        <w:jc w:val="both"/>
        <w:rPr>
          <w:color w:val="000000" w:themeColor="text1"/>
          <w:sz w:val="16"/>
          <w:szCs w:val="16"/>
        </w:rPr>
      </w:pPr>
    </w:p>
    <w:p w14:paraId="1D158B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9-10 октября 1935 года прошли полигонные испытания оптического прицела НИР-5, предъявленного на испытания КИБ ВООМП"а (3073).</w:t>
      </w:r>
    </w:p>
    <w:p w14:paraId="5E96990D" w14:textId="77777777" w:rsidR="00D4105E" w:rsidRPr="00E14102" w:rsidRDefault="00D4105E" w:rsidP="00E14102">
      <w:pPr>
        <w:autoSpaceDE w:val="0"/>
        <w:autoSpaceDN w:val="0"/>
        <w:adjustRightInd w:val="0"/>
        <w:jc w:val="both"/>
        <w:rPr>
          <w:color w:val="000000" w:themeColor="text1"/>
          <w:sz w:val="16"/>
          <w:szCs w:val="16"/>
        </w:rPr>
      </w:pPr>
    </w:p>
    <w:p w14:paraId="527A6D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по 17 октября 1935 года проходили полигонные испытания прицела "РГ" КИБ ВООМП для стрельбы из пушек АПК-4 на самолете ЗЕТ.</w:t>
      </w:r>
    </w:p>
    <w:p w14:paraId="3DD50D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317E4D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555D04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проверить работу прицельно-дальномерного устройства.</w:t>
      </w:r>
    </w:p>
    <w:p w14:paraId="6C88DD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59B0E3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226A8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502625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Стрельбой прицел испытывался на Ногинском полигоне (3089).</w:t>
      </w:r>
    </w:p>
    <w:p w14:paraId="6273AAC3" w14:textId="77777777" w:rsidR="00D4105E" w:rsidRPr="00E14102" w:rsidRDefault="00D4105E" w:rsidP="00E14102">
      <w:pPr>
        <w:autoSpaceDE w:val="0"/>
        <w:autoSpaceDN w:val="0"/>
        <w:adjustRightInd w:val="0"/>
        <w:jc w:val="both"/>
        <w:rPr>
          <w:color w:val="000000" w:themeColor="text1"/>
          <w:sz w:val="16"/>
          <w:szCs w:val="16"/>
        </w:rPr>
      </w:pPr>
    </w:p>
    <w:p w14:paraId="0A6AD61B" w14:textId="77777777" w:rsidR="0090665C"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FA4866D" w14:textId="77777777" w:rsidR="0090665C" w:rsidRPr="00E14102" w:rsidRDefault="0090665C" w:rsidP="00E14102">
      <w:pPr>
        <w:autoSpaceDE w:val="0"/>
        <w:autoSpaceDN w:val="0"/>
        <w:adjustRightInd w:val="0"/>
        <w:jc w:val="both"/>
        <w:rPr>
          <w:iCs/>
          <w:color w:val="000000" w:themeColor="text1"/>
          <w:sz w:val="16"/>
          <w:szCs w:val="16"/>
        </w:rPr>
      </w:pPr>
    </w:p>
    <w:p w14:paraId="25C5DB6A" w14:textId="77777777" w:rsidR="0090665C" w:rsidRPr="00E14102" w:rsidRDefault="0090665C" w:rsidP="00E14102">
      <w:pPr>
        <w:pStyle w:val="rtejustify"/>
        <w:spacing w:before="0" w:after="0"/>
        <w:rPr>
          <w:color w:val="000000" w:themeColor="text1"/>
          <w:sz w:val="16"/>
          <w:szCs w:val="16"/>
        </w:rPr>
      </w:pPr>
      <w:r w:rsidRPr="00E14102">
        <w:rPr>
          <w:rStyle w:val="a6"/>
          <w:bCs/>
          <w:i w:val="0"/>
          <w:color w:val="000000" w:themeColor="text1"/>
          <w:sz w:val="16"/>
          <w:szCs w:val="16"/>
        </w:rPr>
        <w:t>9 октября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140с «О выделении дизелей и паровых турбин НКО». (ГА РФ. Ф. Р</w:t>
      </w:r>
      <w:r w:rsidRPr="00E14102">
        <w:rPr>
          <w:color w:val="000000" w:themeColor="text1"/>
          <w:sz w:val="16"/>
          <w:szCs w:val="16"/>
        </w:rPr>
        <w:noBreakHyphen/>
        <w:t>8418. Оп. 28. Д. 7. Л. 190) (15460).</w:t>
      </w:r>
    </w:p>
    <w:p w14:paraId="327F46DA" w14:textId="77777777" w:rsidR="0090665C" w:rsidRPr="00E14102" w:rsidRDefault="0090665C" w:rsidP="00E14102">
      <w:pPr>
        <w:pStyle w:val="rtejustify"/>
        <w:spacing w:before="0" w:after="0"/>
        <w:rPr>
          <w:color w:val="000000" w:themeColor="text1"/>
          <w:sz w:val="16"/>
          <w:szCs w:val="16"/>
        </w:rPr>
      </w:pPr>
    </w:p>
    <w:p w14:paraId="33E6647D" w14:textId="77777777" w:rsidR="00CC7E66" w:rsidRPr="00E14102" w:rsidRDefault="00CC7E66"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8A9D7B8" w14:textId="77777777" w:rsidR="00CC7E66" w:rsidRPr="00E14102" w:rsidRDefault="00CC7E66" w:rsidP="00E14102">
      <w:pPr>
        <w:autoSpaceDE w:val="0"/>
        <w:autoSpaceDN w:val="0"/>
        <w:adjustRightInd w:val="0"/>
        <w:jc w:val="both"/>
        <w:rPr>
          <w:iCs/>
          <w:color w:val="000000" w:themeColor="text1"/>
          <w:sz w:val="16"/>
          <w:szCs w:val="16"/>
        </w:rPr>
      </w:pPr>
    </w:p>
    <w:p w14:paraId="0F46AD0F" w14:textId="77777777" w:rsidR="00CC7E66" w:rsidRPr="00E14102" w:rsidRDefault="00CC7E66" w:rsidP="00E14102">
      <w:pPr>
        <w:jc w:val="both"/>
        <w:rPr>
          <w:color w:val="0070C0"/>
          <w:sz w:val="16"/>
          <w:szCs w:val="16"/>
        </w:rPr>
      </w:pPr>
      <w:r w:rsidRPr="00E14102">
        <w:rPr>
          <w:color w:val="0070C0"/>
          <w:sz w:val="16"/>
          <w:szCs w:val="16"/>
        </w:rPr>
        <w:t>9 октября 1935 года — первый полёт лёгкого бомбардировщика FMA Ae. MB.2 Bombi. /Аргентина/</w:t>
      </w:r>
    </w:p>
    <w:p w14:paraId="2569C808" w14:textId="77777777" w:rsidR="00CC7E66" w:rsidRPr="00E14102" w:rsidRDefault="00CC7E66" w:rsidP="00E14102">
      <w:pPr>
        <w:jc w:val="both"/>
        <w:rPr>
          <w:color w:val="0070C0"/>
          <w:sz w:val="16"/>
          <w:szCs w:val="16"/>
        </w:rPr>
      </w:pPr>
      <w:r w:rsidRPr="00E14102">
        <w:rPr>
          <w:color w:val="0070C0"/>
          <w:sz w:val="16"/>
          <w:szCs w:val="16"/>
        </w:rPr>
        <w:t>В 1932 году армия Аргентины заказала Институту аэротехники в Кордобе разработку лёгкого бомбардировщика. Он призван был заменить устаревшие Breguet XIX французского производства. Выпускать новый самолёт должна была компания Fabrica Militar de Aviones (FMA). Он получил обозначение FMA Ae. MB.2 Bombi.</w:t>
      </w:r>
    </w:p>
    <w:p w14:paraId="662B9B7E" w14:textId="77777777" w:rsidR="00CC7E66" w:rsidRPr="00E14102" w:rsidRDefault="00CC7E66" w:rsidP="00E14102">
      <w:pPr>
        <w:jc w:val="both"/>
        <w:rPr>
          <w:color w:val="0070C0"/>
          <w:sz w:val="16"/>
          <w:szCs w:val="16"/>
        </w:rPr>
      </w:pPr>
      <w:r w:rsidRPr="00E14102">
        <w:rPr>
          <w:color w:val="0070C0"/>
          <w:sz w:val="16"/>
          <w:szCs w:val="16"/>
        </w:rPr>
        <w:t>Это был низкоплан смешанной конструкции (деревянное крыло + фюзеляж из дюралевых труб + полотняная обшивка) с неубираемым шасси. Оснащался двигателем Wright SGR-1820-F3 Cyclone (715 л.с.) Максимальная скорость — 285 км/ч, дальность полёта — 600 км. Вооружение — 7,65-мм пулемёт + 11,43-мм пулемёт + до 400 кг бомб. Первые варианты оснащались турелью из 2 × 7,65-мм пулемётов.</w:t>
      </w:r>
    </w:p>
    <w:p w14:paraId="31F920A4" w14:textId="77777777" w:rsidR="00CC7E66" w:rsidRPr="00E14102" w:rsidRDefault="00CC7E66" w:rsidP="00E14102">
      <w:pPr>
        <w:jc w:val="both"/>
        <w:rPr>
          <w:color w:val="0070C0"/>
          <w:sz w:val="16"/>
          <w:szCs w:val="16"/>
        </w:rPr>
      </w:pPr>
      <w:r w:rsidRPr="00E14102">
        <w:rPr>
          <w:color w:val="0070C0"/>
          <w:sz w:val="16"/>
          <w:szCs w:val="16"/>
        </w:rPr>
        <w:t>Испытания показали, что Ae. MB.2 Bombi уступает зарубежным аналогам. Но его все равно запустили в серийное производство. Выпустили 15 бомбардировщиков, которые в ВВС Аргентины выполняли разведывательные и патрульные миссии (22300).</w:t>
      </w:r>
    </w:p>
    <w:p w14:paraId="3D6614B0" w14:textId="77777777" w:rsidR="00CC7E66" w:rsidRPr="00E14102" w:rsidRDefault="00CC7E66" w:rsidP="00E14102">
      <w:pPr>
        <w:shd w:val="clear" w:color="auto" w:fill="FFFFFF"/>
        <w:jc w:val="both"/>
        <w:rPr>
          <w:rStyle w:val="38ArialUnicodeMS65pt"/>
          <w:rFonts w:ascii="Times New Roman" w:hAnsi="Times New Roman" w:cs="Times New Roman"/>
          <w:i w:val="0"/>
          <w:iCs w:val="0"/>
          <w:color w:val="0070C0"/>
          <w:sz w:val="16"/>
          <w:szCs w:val="16"/>
        </w:rPr>
      </w:pPr>
    </w:p>
    <w:p w14:paraId="57CDEEC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24D9951" w14:textId="77777777" w:rsidR="00D4105E" w:rsidRPr="00E14102" w:rsidRDefault="00D4105E" w:rsidP="00E14102">
      <w:pPr>
        <w:autoSpaceDE w:val="0"/>
        <w:autoSpaceDN w:val="0"/>
        <w:adjustRightInd w:val="0"/>
        <w:jc w:val="both"/>
        <w:rPr>
          <w:iCs/>
          <w:color w:val="000000" w:themeColor="text1"/>
          <w:sz w:val="16"/>
          <w:szCs w:val="16"/>
        </w:rPr>
      </w:pPr>
    </w:p>
    <w:p w14:paraId="45FF70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октября 1935 Зам. Нач. ГУАП Метло писал письмо N 242/4544с в Отдел внешних заказов Нач. Оперативного отделения Слуцкому о том, что техпомощь на деревянные винты Шварца ВИШ не требуется, но желательно приобрести 1-2 (2336,160).</w:t>
      </w:r>
    </w:p>
    <w:p w14:paraId="737F2737" w14:textId="77777777" w:rsidR="00D4105E" w:rsidRPr="00E14102" w:rsidRDefault="00D4105E" w:rsidP="00E14102">
      <w:pPr>
        <w:autoSpaceDE w:val="0"/>
        <w:autoSpaceDN w:val="0"/>
        <w:adjustRightInd w:val="0"/>
        <w:jc w:val="both"/>
        <w:rPr>
          <w:color w:val="000000" w:themeColor="text1"/>
          <w:sz w:val="16"/>
          <w:szCs w:val="16"/>
        </w:rPr>
      </w:pPr>
    </w:p>
    <w:p w14:paraId="701064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10 по 17 октября 1935 года проходили полигонные испытания прицела "РГ" КИБ ВООМП для стрельбы из пушек АПК-4 на самолете ЗЕТ.</w:t>
      </w:r>
    </w:p>
    <w:p w14:paraId="3FD9AA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1C7B0B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376717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проверить работу прицельно-дальномерного устройства.</w:t>
      </w:r>
    </w:p>
    <w:p w14:paraId="08F114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23BBCF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72410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3D9476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Стрельбой прицел испытывался на Ногинском полигоне (3084).</w:t>
      </w:r>
    </w:p>
    <w:p w14:paraId="039DBD16" w14:textId="77777777" w:rsidR="00D4105E" w:rsidRPr="00E14102" w:rsidRDefault="00D4105E" w:rsidP="00E14102">
      <w:pPr>
        <w:autoSpaceDE w:val="0"/>
        <w:autoSpaceDN w:val="0"/>
        <w:adjustRightInd w:val="0"/>
        <w:jc w:val="both"/>
        <w:rPr>
          <w:color w:val="000000" w:themeColor="text1"/>
          <w:sz w:val="16"/>
          <w:szCs w:val="16"/>
        </w:rPr>
      </w:pPr>
    </w:p>
    <w:p w14:paraId="556BB415" w14:textId="77777777" w:rsidR="0090665C" w:rsidRPr="00E14102" w:rsidRDefault="0090665C" w:rsidP="00E14102">
      <w:pPr>
        <w:pStyle w:val="rtejustify"/>
        <w:spacing w:before="0" w:after="0"/>
        <w:rPr>
          <w:color w:val="000000" w:themeColor="text1"/>
          <w:sz w:val="16"/>
          <w:szCs w:val="16"/>
        </w:rPr>
      </w:pPr>
      <w:r w:rsidRPr="00E14102">
        <w:rPr>
          <w:rStyle w:val="a6"/>
          <w:bCs/>
          <w:i w:val="0"/>
          <w:color w:val="000000" w:themeColor="text1"/>
          <w:sz w:val="16"/>
          <w:szCs w:val="16"/>
        </w:rPr>
        <w:t>10 октября</w:t>
      </w:r>
      <w:r w:rsidRPr="00E14102">
        <w:rPr>
          <w:color w:val="000000" w:themeColor="text1"/>
          <w:sz w:val="16"/>
          <w:szCs w:val="16"/>
        </w:rPr>
        <w:t xml:space="preserve">. </w:t>
      </w:r>
      <w:r w:rsidRPr="00E14102">
        <w:rPr>
          <w:rStyle w:val="a6"/>
          <w:bCs/>
          <w:i w:val="0"/>
          <w:color w:val="000000" w:themeColor="text1"/>
          <w:sz w:val="16"/>
          <w:szCs w:val="16"/>
        </w:rPr>
        <w:t>19 октября</w:t>
      </w:r>
      <w:r w:rsidRPr="00E14102">
        <w:rPr>
          <w:color w:val="000000" w:themeColor="text1"/>
          <w:sz w:val="16"/>
          <w:szCs w:val="16"/>
        </w:rPr>
        <w:t xml:space="preserve"> 1935. Постановление СТО СССР №С</w:t>
      </w:r>
      <w:r w:rsidRPr="00E14102">
        <w:rPr>
          <w:color w:val="000000" w:themeColor="text1"/>
          <w:sz w:val="16"/>
          <w:szCs w:val="16"/>
        </w:rPr>
        <w:noBreakHyphen/>
        <w:t>145сс «Об организации работ по внедрению авиапулеметов Шпитального». (ГА РФ. Ф. Р</w:t>
      </w:r>
      <w:r w:rsidRPr="00E14102">
        <w:rPr>
          <w:color w:val="000000" w:themeColor="text1"/>
          <w:sz w:val="16"/>
          <w:szCs w:val="16"/>
        </w:rPr>
        <w:noBreakHyphen/>
        <w:t>8418. Оп. 28. Д. 7. Л. 202</w:t>
      </w:r>
      <w:r w:rsidRPr="00E14102">
        <w:rPr>
          <w:color w:val="000000" w:themeColor="text1"/>
          <w:sz w:val="16"/>
          <w:szCs w:val="16"/>
        </w:rPr>
        <w:noBreakHyphen/>
        <w:t>203) (15460).</w:t>
      </w:r>
    </w:p>
    <w:p w14:paraId="1FE86139" w14:textId="77777777" w:rsidR="0090665C" w:rsidRPr="00E14102" w:rsidRDefault="0090665C" w:rsidP="00E14102">
      <w:pPr>
        <w:pStyle w:val="rtejustify"/>
        <w:spacing w:before="0" w:after="0"/>
        <w:rPr>
          <w:color w:val="000000" w:themeColor="text1"/>
          <w:sz w:val="16"/>
          <w:szCs w:val="16"/>
        </w:rPr>
      </w:pPr>
    </w:p>
    <w:p w14:paraId="30E68826" w14:textId="77777777" w:rsidR="00D54658" w:rsidRPr="00E14102" w:rsidRDefault="00D54658" w:rsidP="00E14102">
      <w:pPr>
        <w:shd w:val="clear" w:color="auto" w:fill="FFFFFF"/>
        <w:jc w:val="both"/>
        <w:rPr>
          <w:color w:val="000000" w:themeColor="text1"/>
          <w:sz w:val="16"/>
          <w:szCs w:val="16"/>
        </w:rPr>
      </w:pPr>
      <w:r w:rsidRPr="00E14102">
        <w:rPr>
          <w:color w:val="000000" w:themeColor="text1"/>
          <w:sz w:val="16"/>
          <w:szCs w:val="16"/>
        </w:rPr>
        <w:t>10 октября 1935 было письмо (Исх. А 705сс) ДИРЕКТОРА РНИИ И.КЛЕЙМЕНОВА в Ц К ВКП/б/, ОТДЕЛ Н А У К И тов. Г О Р О Х О В У.  [Подлинник. 17.10.1935 г. // Архив ГНЦ ФГУП "Центр Келдыша". Инв. 97. Оп. 1. Ед. хр. по описи 1. Л. 140,141.]</w:t>
      </w:r>
    </w:p>
    <w:p w14:paraId="1701D560" w14:textId="77777777" w:rsidR="00D54658" w:rsidRPr="00E14102" w:rsidRDefault="00D54658" w:rsidP="00E14102">
      <w:pPr>
        <w:shd w:val="clear" w:color="auto" w:fill="FFFFFF"/>
        <w:jc w:val="both"/>
        <w:rPr>
          <w:color w:val="000000" w:themeColor="text1"/>
          <w:sz w:val="16"/>
          <w:szCs w:val="16"/>
        </w:rPr>
      </w:pPr>
      <w:r w:rsidRPr="00E14102">
        <w:rPr>
          <w:color w:val="000000" w:themeColor="text1"/>
          <w:sz w:val="16"/>
          <w:szCs w:val="16"/>
        </w:rPr>
        <w:t>В 1935 году специалистами Реактивного Научно-исследовательского Института были осуществлены следующие объекты:</w:t>
      </w:r>
    </w:p>
    <w:p w14:paraId="3C6386DD" w14:textId="77777777" w:rsidR="00D54658" w:rsidRPr="00E14102" w:rsidRDefault="00D54658" w:rsidP="00E14102">
      <w:pPr>
        <w:numPr>
          <w:ilvl w:val="0"/>
          <w:numId w:val="11"/>
        </w:numPr>
        <w:shd w:val="clear" w:color="auto" w:fill="FFFFFF"/>
        <w:ind w:left="0" w:firstLine="0"/>
        <w:jc w:val="both"/>
        <w:rPr>
          <w:color w:val="000000" w:themeColor="text1"/>
          <w:sz w:val="16"/>
          <w:szCs w:val="16"/>
        </w:rPr>
      </w:pPr>
      <w:r w:rsidRPr="00E14102">
        <w:rPr>
          <w:color w:val="000000" w:themeColor="text1"/>
          <w:sz w:val="16"/>
          <w:szCs w:val="16"/>
        </w:rPr>
        <w:lastRenderedPageBreak/>
        <w:t>Сданы на войсковые испытания два самолёта ТБ-1 с ракетами;</w:t>
      </w:r>
    </w:p>
    <w:p w14:paraId="51398E99" w14:textId="77777777" w:rsidR="00D54658" w:rsidRPr="00E14102" w:rsidRDefault="00D54658" w:rsidP="00E14102">
      <w:pPr>
        <w:numPr>
          <w:ilvl w:val="0"/>
          <w:numId w:val="11"/>
        </w:numPr>
        <w:shd w:val="clear" w:color="auto" w:fill="FFFFFF"/>
        <w:ind w:left="0" w:firstLine="0"/>
        <w:jc w:val="both"/>
        <w:rPr>
          <w:color w:val="000000" w:themeColor="text1"/>
          <w:sz w:val="16"/>
          <w:szCs w:val="16"/>
        </w:rPr>
      </w:pPr>
      <w:r w:rsidRPr="00E14102">
        <w:rPr>
          <w:color w:val="000000" w:themeColor="text1"/>
          <w:sz w:val="16"/>
          <w:szCs w:val="16"/>
        </w:rPr>
        <w:t>Проведены огромные испытания на военных торпедных катерах в Севастополе;</w:t>
      </w:r>
    </w:p>
    <w:p w14:paraId="282053E8" w14:textId="77777777" w:rsidR="00D54658" w:rsidRPr="00E14102" w:rsidRDefault="00D54658" w:rsidP="00E14102">
      <w:pPr>
        <w:numPr>
          <w:ilvl w:val="0"/>
          <w:numId w:val="11"/>
        </w:numPr>
        <w:shd w:val="clear" w:color="auto" w:fill="FFFFFF"/>
        <w:ind w:left="0" w:firstLine="0"/>
        <w:jc w:val="both"/>
        <w:rPr>
          <w:color w:val="000000" w:themeColor="text1"/>
          <w:sz w:val="16"/>
          <w:szCs w:val="16"/>
        </w:rPr>
      </w:pPr>
      <w:r w:rsidRPr="00E14102">
        <w:rPr>
          <w:color w:val="000000" w:themeColor="text1"/>
          <w:sz w:val="16"/>
          <w:szCs w:val="16"/>
        </w:rPr>
        <w:t>Осуществлена и пущена в ход стандовая (стоит понимать стендовая) установка воздушно реактивного двигателя;</w:t>
      </w:r>
    </w:p>
    <w:p w14:paraId="7B3FBA54" w14:textId="77777777" w:rsidR="00D54658" w:rsidRPr="00E14102" w:rsidRDefault="00D54658" w:rsidP="00E14102">
      <w:pPr>
        <w:numPr>
          <w:ilvl w:val="0"/>
          <w:numId w:val="11"/>
        </w:numPr>
        <w:shd w:val="clear" w:color="auto" w:fill="FFFFFF"/>
        <w:ind w:left="0" w:firstLine="0"/>
        <w:jc w:val="both"/>
        <w:rPr>
          <w:color w:val="000000" w:themeColor="text1"/>
          <w:sz w:val="16"/>
          <w:szCs w:val="16"/>
        </w:rPr>
      </w:pPr>
      <w:r w:rsidRPr="00E14102">
        <w:rPr>
          <w:color w:val="000000" w:themeColor="text1"/>
          <w:sz w:val="16"/>
          <w:szCs w:val="16"/>
        </w:rPr>
        <w:t>Отстреляны десяти дюймовые реактивные снаряды;</w:t>
      </w:r>
    </w:p>
    <w:p w14:paraId="56DC1A8E" w14:textId="77777777" w:rsidR="00D54658" w:rsidRPr="00E14102" w:rsidRDefault="00D54658" w:rsidP="00E14102">
      <w:pPr>
        <w:numPr>
          <w:ilvl w:val="0"/>
          <w:numId w:val="11"/>
        </w:numPr>
        <w:shd w:val="clear" w:color="auto" w:fill="FFFFFF"/>
        <w:ind w:left="0" w:firstLine="0"/>
        <w:jc w:val="both"/>
        <w:rPr>
          <w:color w:val="000000" w:themeColor="text1"/>
          <w:sz w:val="16"/>
          <w:szCs w:val="16"/>
        </w:rPr>
      </w:pPr>
      <w:r w:rsidRPr="00E14102">
        <w:rPr>
          <w:color w:val="000000" w:themeColor="text1"/>
          <w:sz w:val="16"/>
          <w:szCs w:val="16"/>
        </w:rPr>
        <w:t>Испытаны авиационные ракетные бомбы, дающие скорость удара и глубину проникания от 2 до 3 большую в сравнении с бомбами, принятыми на вооружение.</w:t>
      </w:r>
    </w:p>
    <w:p w14:paraId="54F3A51B" w14:textId="77777777" w:rsidR="00D54658" w:rsidRPr="00E14102" w:rsidRDefault="00D54658" w:rsidP="00E14102">
      <w:pPr>
        <w:shd w:val="clear" w:color="auto" w:fill="FFFFFF"/>
        <w:jc w:val="both"/>
        <w:rPr>
          <w:color w:val="000000" w:themeColor="text1"/>
          <w:sz w:val="16"/>
          <w:szCs w:val="16"/>
        </w:rPr>
      </w:pPr>
      <w:r w:rsidRPr="00E14102">
        <w:rPr>
          <w:color w:val="000000" w:themeColor="text1"/>
          <w:sz w:val="16"/>
          <w:szCs w:val="16"/>
        </w:rPr>
        <w:t>Отмечалось, что разработка всех этих совершенно секретных объектов чрезвычайно важна для обороны нашей страны [Письмо Исх. А 705сс от 19.10.1935 г. от ДИРЕКТОРА РНИИ И.КЛЕЙМЕНОВА в Ц К ВКП/б/, ОТДЕЛ Н А У К И тов. Г О Р О Х О В У.  Подлинник. 17.10.1935 г. // Архив ГНЦ ФГУП "Центр Келдыша". Инв. 97. Оп. 1. Ед. хр. по описи 1. Л. 140,141.] (19771).</w:t>
      </w:r>
    </w:p>
    <w:p w14:paraId="2211EFC0" w14:textId="77777777" w:rsidR="00D54658" w:rsidRPr="00E14102" w:rsidRDefault="00D54658" w:rsidP="00E14102">
      <w:pPr>
        <w:shd w:val="clear" w:color="auto" w:fill="FFFFFF"/>
        <w:jc w:val="both"/>
        <w:rPr>
          <w:color w:val="000000" w:themeColor="text1"/>
          <w:sz w:val="16"/>
          <w:szCs w:val="16"/>
        </w:rPr>
      </w:pPr>
    </w:p>
    <w:p w14:paraId="252764A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34D3494" w14:textId="77777777" w:rsidR="00D4105E" w:rsidRPr="00E14102" w:rsidRDefault="00D4105E" w:rsidP="00E14102">
      <w:pPr>
        <w:autoSpaceDE w:val="0"/>
        <w:autoSpaceDN w:val="0"/>
        <w:adjustRightInd w:val="0"/>
        <w:jc w:val="both"/>
        <w:rPr>
          <w:iCs/>
          <w:color w:val="000000" w:themeColor="text1"/>
          <w:sz w:val="16"/>
          <w:szCs w:val="16"/>
        </w:rPr>
      </w:pPr>
    </w:p>
    <w:p w14:paraId="73E710C4" w14:textId="77777777" w:rsidR="0090665C" w:rsidRPr="00E14102" w:rsidRDefault="0090665C" w:rsidP="00E14102">
      <w:pPr>
        <w:pStyle w:val="rtejustify"/>
        <w:spacing w:before="0" w:after="0"/>
        <w:rPr>
          <w:color w:val="000000" w:themeColor="text1"/>
          <w:sz w:val="16"/>
          <w:szCs w:val="16"/>
        </w:rPr>
      </w:pPr>
      <w:r w:rsidRPr="00E14102">
        <w:rPr>
          <w:rStyle w:val="a6"/>
          <w:bCs/>
          <w:i w:val="0"/>
          <w:color w:val="000000" w:themeColor="text1"/>
          <w:sz w:val="16"/>
          <w:szCs w:val="16"/>
        </w:rPr>
        <w:t>10 октября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141сс «О цветном металле для гильз». (ГА РФ. Ф. Р</w:t>
      </w:r>
      <w:r w:rsidRPr="00E14102">
        <w:rPr>
          <w:color w:val="000000" w:themeColor="text1"/>
          <w:sz w:val="16"/>
          <w:szCs w:val="16"/>
        </w:rPr>
        <w:noBreakHyphen/>
        <w:t>8418. Оп. 28. Д. 7. Л. 191) (15460).</w:t>
      </w:r>
    </w:p>
    <w:p w14:paraId="027B2AEA" w14:textId="77777777" w:rsidR="0090665C" w:rsidRPr="00E14102" w:rsidRDefault="0090665C" w:rsidP="00E14102">
      <w:pPr>
        <w:pStyle w:val="rtejustify"/>
        <w:spacing w:before="0" w:after="0"/>
        <w:rPr>
          <w:color w:val="000000" w:themeColor="text1"/>
          <w:sz w:val="16"/>
          <w:szCs w:val="16"/>
        </w:rPr>
      </w:pPr>
    </w:p>
    <w:p w14:paraId="4A2A024A" w14:textId="77777777" w:rsidR="0090665C" w:rsidRPr="00E14102" w:rsidRDefault="0090665C" w:rsidP="00E14102">
      <w:pPr>
        <w:jc w:val="both"/>
        <w:rPr>
          <w:color w:val="000000" w:themeColor="text1"/>
          <w:sz w:val="16"/>
          <w:szCs w:val="16"/>
        </w:rPr>
      </w:pPr>
      <w:r w:rsidRPr="00E14102">
        <w:rPr>
          <w:color w:val="000000" w:themeColor="text1"/>
          <w:sz w:val="16"/>
          <w:szCs w:val="16"/>
        </w:rPr>
        <w:t>10 октября 1935 г. согласно постановлению Совета труда и обороны от № С-142сс заводу «Баррикады» было выдано задание на разработку рабочих чертежей и перестволение 368-мм пушки № 1 в 305/180-мм пушку для стрельбы подкалиберными снарядами со звездчатыми поддонами. Срок выполнения установили — май 1937 г. Окончательный вариант проекта был выполнен АНИИ под руководством М.Я. Крупчатикова при содействии Е.А. Беркалова. Калибр канала ЦЕА был изменен с 305/180-мм на 380/250-мм, а число нарезов — с трех до четырех. Чертежи были подписаны в АНИИ 4 июня 1936 г., а получены заводом «Баррикады» только в августе 1936 г. В конце осени 1936 г. поковка внутренней трубы находилась на отжиге. Ствол 368-мм пушки № 1 был подан с НИАПа на завод. Однако работы затягивались, и был установлен новый срок сдачи ствола — 1 февраля 1938 г.</w:t>
      </w:r>
    </w:p>
    <w:p w14:paraId="48A69BF7" w14:textId="77777777" w:rsidR="0090665C" w:rsidRPr="00E14102" w:rsidRDefault="0090665C" w:rsidP="00E14102">
      <w:pPr>
        <w:jc w:val="both"/>
        <w:rPr>
          <w:color w:val="000000" w:themeColor="text1"/>
          <w:sz w:val="16"/>
          <w:szCs w:val="16"/>
        </w:rPr>
      </w:pPr>
      <w:r w:rsidRPr="00E14102">
        <w:rPr>
          <w:color w:val="000000" w:themeColor="text1"/>
          <w:sz w:val="16"/>
          <w:szCs w:val="16"/>
        </w:rPr>
        <w:t>Расчеты были проведены для объема каморы 360 дм</w:t>
      </w:r>
      <w:r w:rsidRPr="00E14102">
        <w:rPr>
          <w:color w:val="000000" w:themeColor="text1"/>
          <w:sz w:val="16"/>
          <w:szCs w:val="16"/>
          <w:vertAlign w:val="superscript"/>
        </w:rPr>
        <w:t>3</w:t>
      </w:r>
      <w:r w:rsidRPr="00E14102">
        <w:rPr>
          <w:color w:val="000000" w:themeColor="text1"/>
          <w:sz w:val="16"/>
          <w:szCs w:val="16"/>
        </w:rPr>
        <w:t xml:space="preserve"> и заряда пороха НГВ весом 237 кг. Длина канала та же, что и штатной 356/52-мм пушки. Ствол скреплен в казенной части в 5 слоев. Затвор штатный от 356/52-мм пушки. Увеличение числа нарезов до четырех было сделано для упрочнения ствола и лучшего центрирования активного снаряда.</w:t>
      </w:r>
    </w:p>
    <w:p w14:paraId="3ABA1D5C" w14:textId="77777777" w:rsidR="0090665C" w:rsidRPr="00E14102" w:rsidRDefault="0090665C" w:rsidP="00E14102">
      <w:pPr>
        <w:jc w:val="both"/>
        <w:rPr>
          <w:color w:val="000000" w:themeColor="text1"/>
          <w:sz w:val="16"/>
          <w:szCs w:val="16"/>
        </w:rPr>
      </w:pPr>
      <w:r w:rsidRPr="00E14102">
        <w:rPr>
          <w:color w:val="000000" w:themeColor="text1"/>
          <w:sz w:val="16"/>
          <w:szCs w:val="16"/>
        </w:rPr>
        <w:t>Согласно расчету установка ТМ-1—14 должна была выдерживать стрельбу 380/250-мм пушки.</w:t>
      </w:r>
    </w:p>
    <w:p w14:paraId="110528F8" w14:textId="77777777" w:rsidR="0090665C" w:rsidRPr="00E14102" w:rsidRDefault="0090665C" w:rsidP="00E14102">
      <w:pPr>
        <w:jc w:val="both"/>
        <w:rPr>
          <w:color w:val="000000" w:themeColor="text1"/>
          <w:sz w:val="16"/>
          <w:szCs w:val="16"/>
        </w:rPr>
      </w:pPr>
      <w:r w:rsidRPr="00E14102">
        <w:rPr>
          <w:color w:val="000000" w:themeColor="text1"/>
          <w:sz w:val="16"/>
          <w:szCs w:val="16"/>
        </w:rPr>
        <w:t>17 января 1938 г. Артиллерийское управление уведомило «Баррикады» о приостановке работ над 380/250-мм стволом (15117).</w:t>
      </w:r>
    </w:p>
    <w:p w14:paraId="0E015DB5" w14:textId="77777777" w:rsidR="0090665C" w:rsidRPr="00E14102" w:rsidRDefault="0090665C" w:rsidP="00E14102">
      <w:pPr>
        <w:jc w:val="both"/>
        <w:rPr>
          <w:color w:val="000000" w:themeColor="text1"/>
          <w:sz w:val="16"/>
          <w:szCs w:val="16"/>
        </w:rPr>
      </w:pPr>
    </w:p>
    <w:p w14:paraId="6574914A" w14:textId="77777777" w:rsidR="0090665C" w:rsidRPr="00E14102" w:rsidRDefault="0090665C" w:rsidP="00E14102">
      <w:pPr>
        <w:pStyle w:val="rtejustify"/>
        <w:spacing w:before="0" w:after="0"/>
        <w:rPr>
          <w:color w:val="000000" w:themeColor="text1"/>
          <w:sz w:val="16"/>
          <w:szCs w:val="16"/>
        </w:rPr>
      </w:pPr>
      <w:r w:rsidRPr="00E14102">
        <w:rPr>
          <w:rStyle w:val="a6"/>
          <w:bCs/>
          <w:i w:val="0"/>
          <w:color w:val="000000" w:themeColor="text1"/>
          <w:sz w:val="16"/>
          <w:szCs w:val="16"/>
        </w:rPr>
        <w:t>10 октября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142сс «О разработке опытных образцов могущественной дальнобойной и зенитной артиллерии». (ГА РФ. Ф. Р</w:t>
      </w:r>
      <w:r w:rsidRPr="00E14102">
        <w:rPr>
          <w:color w:val="000000" w:themeColor="text1"/>
          <w:sz w:val="16"/>
          <w:szCs w:val="16"/>
        </w:rPr>
        <w:noBreakHyphen/>
        <w:t>8418. Оп. 28. Д. 7. Л. 192</w:t>
      </w:r>
      <w:r w:rsidRPr="00E14102">
        <w:rPr>
          <w:color w:val="000000" w:themeColor="text1"/>
          <w:sz w:val="16"/>
          <w:szCs w:val="16"/>
        </w:rPr>
        <w:noBreakHyphen/>
        <w:t>193) (15460).</w:t>
      </w:r>
    </w:p>
    <w:p w14:paraId="43F6A7FD" w14:textId="77777777" w:rsidR="0090665C" w:rsidRPr="00E14102" w:rsidRDefault="0090665C" w:rsidP="00E14102">
      <w:pPr>
        <w:pStyle w:val="rtejustify"/>
        <w:spacing w:before="0" w:after="0"/>
        <w:rPr>
          <w:color w:val="000000" w:themeColor="text1"/>
          <w:sz w:val="16"/>
          <w:szCs w:val="16"/>
        </w:rPr>
      </w:pPr>
    </w:p>
    <w:p w14:paraId="689762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октября 1935 года вышло постановление СТО, которым заводу "Баррикады" было выдано задание на разработку рабочих чертежей и перестволение 368-мм пушки №1 в 305/180-мм пушку для стрельбы подкалиберными снарядами со звездчатыми поддонами. Срок выполнения май 1937 года (3861).</w:t>
      </w:r>
    </w:p>
    <w:p w14:paraId="129DA327" w14:textId="77777777" w:rsidR="00D4105E" w:rsidRPr="00E14102" w:rsidRDefault="00D4105E" w:rsidP="00E14102">
      <w:pPr>
        <w:autoSpaceDE w:val="0"/>
        <w:autoSpaceDN w:val="0"/>
        <w:adjustRightInd w:val="0"/>
        <w:jc w:val="both"/>
        <w:rPr>
          <w:color w:val="000000" w:themeColor="text1"/>
          <w:sz w:val="16"/>
          <w:szCs w:val="16"/>
        </w:rPr>
      </w:pPr>
    </w:p>
    <w:p w14:paraId="4488C3FE" w14:textId="77777777" w:rsidR="00164F4F" w:rsidRPr="00E14102" w:rsidRDefault="00164F4F" w:rsidP="00E14102">
      <w:pPr>
        <w:jc w:val="both"/>
        <w:rPr>
          <w:color w:val="000000" w:themeColor="text1"/>
          <w:sz w:val="16"/>
          <w:szCs w:val="16"/>
        </w:rPr>
      </w:pPr>
      <w:r w:rsidRPr="00E14102">
        <w:rPr>
          <w:color w:val="000000" w:themeColor="text1"/>
          <w:sz w:val="16"/>
          <w:szCs w:val="16"/>
        </w:rPr>
        <w:t>10 октября 1935 г. согласно постановлению Совета Труда и Обороны № С-142сс заводу «Баррикады» было выдано задание на разработку рабочих чертежей и перестволение 368-мм пушки № 1 в 305/180-мм пушку для стрельбы подкалиберными снарядами со звездчатыми поддонами. Срок выполнения установили — май 1937 г.</w:t>
      </w:r>
    </w:p>
    <w:p w14:paraId="4DD3C349" w14:textId="77777777" w:rsidR="00164F4F" w:rsidRPr="00E14102" w:rsidRDefault="00164F4F" w:rsidP="00E14102">
      <w:pPr>
        <w:jc w:val="both"/>
        <w:rPr>
          <w:color w:val="000000" w:themeColor="text1"/>
          <w:sz w:val="16"/>
          <w:szCs w:val="16"/>
        </w:rPr>
      </w:pPr>
      <w:r w:rsidRPr="00E14102">
        <w:rPr>
          <w:color w:val="000000" w:themeColor="text1"/>
          <w:sz w:val="16"/>
          <w:szCs w:val="16"/>
        </w:rPr>
        <w:t>Орудия со звездчатыми поддонами имели небольшое число нарезов (обычно 3–4) большой глубины. Сечения поддонов снарядов повторяли сечение канала. Эти орудия формально можно отнести к орудиям с нарезными снарядами.</w:t>
      </w:r>
    </w:p>
    <w:p w14:paraId="4FF7A375" w14:textId="77777777" w:rsidR="00164F4F" w:rsidRPr="00E14102" w:rsidRDefault="00164F4F" w:rsidP="00E14102">
      <w:pPr>
        <w:jc w:val="both"/>
        <w:rPr>
          <w:color w:val="000000" w:themeColor="text1"/>
          <w:sz w:val="16"/>
          <w:szCs w:val="16"/>
        </w:rPr>
      </w:pPr>
      <w:r w:rsidRPr="00E14102">
        <w:rPr>
          <w:color w:val="000000" w:themeColor="text1"/>
          <w:sz w:val="16"/>
          <w:szCs w:val="16"/>
        </w:rPr>
        <w:t>Для начала АНИИ решил испытать зубчатые поддоны на пушке малого калибра. В ствол штатной 76-мм зенитной пушки обр. 1931 г. был вставлен лейнер калибра 67/40 мм (по нарезам/по полям). Лейнер имел 3 нареза глубиной 13,5 мм. Вес активного снаряда — 1,06 кг, вес поддона — 0,6 кг.</w:t>
      </w:r>
    </w:p>
    <w:p w14:paraId="6A469478" w14:textId="77777777" w:rsidR="00164F4F" w:rsidRPr="00E14102" w:rsidRDefault="00164F4F" w:rsidP="00E14102">
      <w:pPr>
        <w:jc w:val="both"/>
        <w:rPr>
          <w:color w:val="000000" w:themeColor="text1"/>
          <w:sz w:val="16"/>
          <w:szCs w:val="16"/>
        </w:rPr>
      </w:pPr>
      <w:r w:rsidRPr="00E14102">
        <w:rPr>
          <w:color w:val="000000" w:themeColor="text1"/>
          <w:sz w:val="16"/>
          <w:szCs w:val="16"/>
        </w:rPr>
        <w:t>Работы по изготовлению лейнера начались в 1936 г. на заводе № 8 (в Подлипках). При испытаниях пушек с 67/40-мм лейнером была достигнута начальная скорость 1200 м/с при давлении 2800 кг/см2, дальность в ходе испытаний не определялась. Снаряды кувыркались в полете («имели неправильный полет»). По мнению комиссии, 40-мм активные снаряды не получали нужной скорости вращения из-за проворотов поддонов относительно снарядов.</w:t>
      </w:r>
    </w:p>
    <w:p w14:paraId="30BABF0C" w14:textId="77777777" w:rsidR="00164F4F" w:rsidRPr="00E14102" w:rsidRDefault="00164F4F" w:rsidP="00E14102">
      <w:pPr>
        <w:jc w:val="both"/>
        <w:rPr>
          <w:color w:val="000000" w:themeColor="text1"/>
          <w:sz w:val="16"/>
          <w:szCs w:val="16"/>
        </w:rPr>
      </w:pPr>
      <w:r w:rsidRPr="00E14102">
        <w:rPr>
          <w:color w:val="000000" w:themeColor="text1"/>
          <w:sz w:val="16"/>
          <w:szCs w:val="16"/>
        </w:rPr>
        <w:t>Аналогичные опыты АНИИ провел и со штатной 152-мм пушкой Бр-2, в которую была вставлена свободная труба калибра 162/100 мм (по нарезам/по полям). Труба была нарезана по системе ЦЕА на заводе «Баррикады». В ходе испытаний снарядом общим весом 22,21 кг и весом активного снаряда 16,84 кг была достигнута начальная скорость 1100 м/с при давлении 2800 кг/см2, дальность стрельбы не определялась, так как снаряды и тут кувыркались.</w:t>
      </w:r>
    </w:p>
    <w:p w14:paraId="07400814" w14:textId="77777777" w:rsidR="00164F4F" w:rsidRPr="00E14102" w:rsidRDefault="00164F4F" w:rsidP="00E14102">
      <w:pPr>
        <w:jc w:val="both"/>
        <w:rPr>
          <w:color w:val="000000" w:themeColor="text1"/>
          <w:sz w:val="16"/>
          <w:szCs w:val="16"/>
        </w:rPr>
      </w:pPr>
      <w:r w:rsidRPr="00E14102">
        <w:rPr>
          <w:color w:val="000000" w:themeColor="text1"/>
          <w:sz w:val="16"/>
          <w:szCs w:val="16"/>
        </w:rPr>
        <w:t>Окончательный вариант проекта был выполнен АНИИ под руководством М. Я. Крупчатикова при содействии Е. А. Беркалова. Калибр канала ЦЕА был изменен с 305/180мм на 380/250-мм, а число нарезов — с трех до четырех. Чертежи были подписаны в АНИИ 4 июня 1936 г., а получены заводом «Баррикады» только в августе 1936 г. В конце осени 1936 г. поковка внутренней трубы находилась на отжиге. Ствол 368-мм пушки № 1 был подан с НИАПа на завод. Однако работы затягивались, и был установлен новый срок сдачи ствола — 1 февраля 1938 г. (рис. 5.4).</w:t>
      </w:r>
    </w:p>
    <w:p w14:paraId="3E829D24" w14:textId="77777777" w:rsidR="00164F4F" w:rsidRPr="00E14102" w:rsidRDefault="00164F4F" w:rsidP="00E14102">
      <w:pPr>
        <w:jc w:val="both"/>
        <w:rPr>
          <w:color w:val="000000" w:themeColor="text1"/>
          <w:sz w:val="16"/>
          <w:szCs w:val="16"/>
        </w:rPr>
      </w:pPr>
      <w:r w:rsidRPr="00E14102">
        <w:rPr>
          <w:color w:val="000000" w:themeColor="text1"/>
          <w:sz w:val="16"/>
          <w:szCs w:val="16"/>
        </w:rPr>
        <w:t>Расчеты были проведены для объема каморы 360 дм3 и заряда пороха НГВ весом 237 кг. Длина канала та же, что и штатной 356/52-мм пушки. Ствол скреплен в казенной части в 5 слоев. Затвор штатный от 356/52-мм пушки. Увеличение числа нарезов до четырех было сделано для упрочнения ствола и лучшего центрирования активного снаряда.</w:t>
      </w:r>
    </w:p>
    <w:p w14:paraId="33D3388F" w14:textId="77777777" w:rsidR="00164F4F" w:rsidRPr="00E14102" w:rsidRDefault="00164F4F" w:rsidP="00E14102">
      <w:pPr>
        <w:jc w:val="both"/>
        <w:rPr>
          <w:color w:val="000000" w:themeColor="text1"/>
          <w:sz w:val="16"/>
          <w:szCs w:val="16"/>
        </w:rPr>
      </w:pPr>
      <w:r w:rsidRPr="00E14102">
        <w:rPr>
          <w:color w:val="000000" w:themeColor="text1"/>
          <w:sz w:val="16"/>
          <w:szCs w:val="16"/>
        </w:rPr>
        <w:t>Согласно расчету установка ТМ-1–14 должна была выдерживать стрельбу 380/250-мм пушки.</w:t>
      </w:r>
    </w:p>
    <w:p w14:paraId="492D8E8E" w14:textId="77777777" w:rsidR="00164F4F" w:rsidRPr="00E14102" w:rsidRDefault="00164F4F" w:rsidP="00E14102">
      <w:pPr>
        <w:jc w:val="both"/>
        <w:rPr>
          <w:color w:val="000000" w:themeColor="text1"/>
          <w:sz w:val="16"/>
          <w:szCs w:val="16"/>
        </w:rPr>
      </w:pPr>
      <w:r w:rsidRPr="00E14102">
        <w:rPr>
          <w:color w:val="000000" w:themeColor="text1"/>
          <w:sz w:val="16"/>
          <w:szCs w:val="16"/>
        </w:rPr>
        <w:t>17 января 1938 г. Артиллерийское управление уведомило «Баррикады» о приостановке работ над 380/250-мм стволом (12705).</w:t>
      </w:r>
    </w:p>
    <w:p w14:paraId="73C2B7CC" w14:textId="77777777" w:rsidR="00164F4F" w:rsidRPr="00E14102" w:rsidRDefault="00164F4F" w:rsidP="00E14102">
      <w:pPr>
        <w:jc w:val="both"/>
        <w:rPr>
          <w:color w:val="000000" w:themeColor="text1"/>
          <w:sz w:val="16"/>
          <w:szCs w:val="16"/>
        </w:rPr>
      </w:pPr>
    </w:p>
    <w:p w14:paraId="101201A0" w14:textId="77777777" w:rsidR="00164F4F" w:rsidRPr="00E14102" w:rsidRDefault="00164F4F" w:rsidP="00E14102">
      <w:pPr>
        <w:autoSpaceDE w:val="0"/>
        <w:autoSpaceDN w:val="0"/>
        <w:adjustRightInd w:val="0"/>
        <w:jc w:val="both"/>
        <w:rPr>
          <w:color w:val="000000" w:themeColor="text1"/>
          <w:sz w:val="16"/>
          <w:szCs w:val="16"/>
        </w:rPr>
      </w:pPr>
      <w:r w:rsidRPr="00E14102">
        <w:rPr>
          <w:color w:val="000000" w:themeColor="text1"/>
          <w:sz w:val="16"/>
          <w:szCs w:val="16"/>
        </w:rPr>
        <w:t>10 октября 1935 г. на Кировский завод приказом ГВМУАУза № 044/093 35 была назначена специальная группа по доработке заводских чертежей 76 мм танковой пушки ПС-3 П.Сячентова, содержавшим большое количество отклонений от чертежей эталонного орудия.. (6208, 42).</w:t>
      </w:r>
    </w:p>
    <w:p w14:paraId="1DD51BFD" w14:textId="77777777" w:rsidR="00164F4F" w:rsidRPr="00E14102" w:rsidRDefault="00164F4F" w:rsidP="00E14102">
      <w:pPr>
        <w:autoSpaceDE w:val="0"/>
        <w:autoSpaceDN w:val="0"/>
        <w:adjustRightInd w:val="0"/>
        <w:jc w:val="both"/>
        <w:rPr>
          <w:color w:val="000000" w:themeColor="text1"/>
          <w:sz w:val="16"/>
          <w:szCs w:val="16"/>
        </w:rPr>
      </w:pPr>
    </w:p>
    <w:p w14:paraId="139F699E" w14:textId="77777777" w:rsidR="0090665C" w:rsidRPr="00E14102" w:rsidRDefault="0090665C" w:rsidP="00E14102">
      <w:pPr>
        <w:jc w:val="both"/>
        <w:rPr>
          <w:rStyle w:val="a6"/>
          <w:i w:val="0"/>
          <w:color w:val="000000" w:themeColor="text1"/>
          <w:sz w:val="16"/>
          <w:szCs w:val="16"/>
        </w:rPr>
      </w:pPr>
      <w:r w:rsidRPr="00E14102">
        <w:rPr>
          <w:rStyle w:val="a6"/>
          <w:i w:val="0"/>
          <w:color w:val="000000" w:themeColor="text1"/>
          <w:sz w:val="16"/>
          <w:szCs w:val="16"/>
        </w:rPr>
        <w:t xml:space="preserve">10 октября 1935 г. </w:t>
      </w:r>
      <w:r w:rsidRPr="00E14102">
        <w:rPr>
          <w:color w:val="000000" w:themeColor="text1"/>
          <w:sz w:val="16"/>
          <w:szCs w:val="16"/>
        </w:rPr>
        <w:t>Докладная записка заместителя наркома обороны СССР Я. Б. Гамарника председателю СТО СССР В. М. Молотову об организации массового производства вездеходов для оснащения РККА</w:t>
      </w:r>
    </w:p>
    <w:p w14:paraId="65A3886B" w14:textId="77777777" w:rsidR="0090665C" w:rsidRPr="00E14102" w:rsidRDefault="0090665C"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4DB56FA6" w14:textId="77777777" w:rsidR="0090665C" w:rsidRPr="00E14102" w:rsidRDefault="0090665C" w:rsidP="00E14102">
      <w:pPr>
        <w:pStyle w:val="rtejustify"/>
        <w:spacing w:before="0" w:after="0"/>
        <w:rPr>
          <w:color w:val="000000" w:themeColor="text1"/>
          <w:sz w:val="16"/>
          <w:szCs w:val="16"/>
        </w:rPr>
      </w:pPr>
      <w:r w:rsidRPr="00E14102">
        <w:rPr>
          <w:color w:val="000000" w:themeColor="text1"/>
          <w:sz w:val="16"/>
          <w:szCs w:val="16"/>
        </w:rPr>
        <w:t>Системой автобронетанкового вооружения, утвержденной правительством 13 августа 1933 г.¹*, предусмотрено оснащение РККА полугусеничным вездеходами на основе шасси серийных автомашин.</w:t>
      </w:r>
    </w:p>
    <w:p w14:paraId="44891A08" w14:textId="77777777" w:rsidR="0090665C" w:rsidRPr="00E14102" w:rsidRDefault="0090665C" w:rsidP="00E14102">
      <w:pPr>
        <w:pStyle w:val="rtejustify"/>
        <w:spacing w:before="0" w:after="0"/>
        <w:rPr>
          <w:color w:val="000000" w:themeColor="text1"/>
          <w:sz w:val="16"/>
          <w:szCs w:val="16"/>
        </w:rPr>
      </w:pPr>
      <w:r w:rsidRPr="00E14102">
        <w:rPr>
          <w:color w:val="000000" w:themeColor="text1"/>
          <w:sz w:val="16"/>
          <w:szCs w:val="16"/>
        </w:rPr>
        <w:t>В данное время работы по созданию и испытанию образцов полугусеничных вездеходов на шасси ГАЗ</w:t>
      </w:r>
      <w:r w:rsidRPr="00E14102">
        <w:rPr>
          <w:color w:val="000000" w:themeColor="text1"/>
          <w:sz w:val="16"/>
          <w:szCs w:val="16"/>
        </w:rPr>
        <w:noBreakHyphen/>
        <w:t>АА и ЗИС</w:t>
      </w:r>
      <w:r w:rsidRPr="00E14102">
        <w:rPr>
          <w:color w:val="000000" w:themeColor="text1"/>
          <w:sz w:val="16"/>
          <w:szCs w:val="16"/>
        </w:rPr>
        <w:noBreakHyphen/>
        <w:t>5 закончены и дали вполне удовлетворительные результаты. Кроме того ряд образцов на шасси ГАЗ</w:t>
      </w:r>
      <w:r w:rsidRPr="00E14102">
        <w:rPr>
          <w:color w:val="000000" w:themeColor="text1"/>
          <w:sz w:val="16"/>
          <w:szCs w:val="16"/>
        </w:rPr>
        <w:noBreakHyphen/>
        <w:t>АА находился в продолжительной эксплуатации на Севере Союза. Последний наиболее усовершенствованный образец успешно закончил пробег вездеходных снежных машин Москва — Архангельск — Москва. Необходимые чертежи и образцы-эталоны для начала организации серийного производства этих вездеходов имеются. Отличие вездеходов от серийных автомашин заключается только в том, что вместо заднего моста поставлены специальные ходовые части в виде гусеничных конструкций. Сами гусеницы выполнены из комбинаций резиновой ленты с металлическими накладками. Таким образом, для производства этих вездеходов требуются серийные шасси грузовых автомашин и гусеничные ходы упрощенного и облегченного типа.</w:t>
      </w:r>
    </w:p>
    <w:p w14:paraId="5AB87FDE" w14:textId="77777777" w:rsidR="0090665C" w:rsidRPr="00E14102" w:rsidRDefault="0090665C" w:rsidP="00E14102">
      <w:pPr>
        <w:pStyle w:val="rtejustify"/>
        <w:spacing w:before="0" w:after="0"/>
        <w:rPr>
          <w:color w:val="000000" w:themeColor="text1"/>
          <w:sz w:val="16"/>
          <w:szCs w:val="16"/>
        </w:rPr>
      </w:pPr>
      <w:r w:rsidRPr="00E14102">
        <w:rPr>
          <w:color w:val="000000" w:themeColor="text1"/>
          <w:sz w:val="16"/>
          <w:szCs w:val="16"/>
        </w:rPr>
        <w:t>Внедрение вездеходов в РККА имеет сугубо важное и срочное значение, обеспечивая в первую очередь подвижность мотомехвойск и авиации. НКО исходит из необходимости поставить на вездеходы: а) моторизованные войска (стрелково-пулеметные части мехбригад и мехкорпусов, моторизованные дивизии и т. п.); б) боевые тылы мехвойск и авиации; в) спецустановки прочих войск, требующие высокой подвижности проходимости, подчас без дорог (радиостанции, машины связи, походные мастерские и т. п.). Ориентировочная потребность в вездеходах определяется цифрой 30</w:t>
      </w:r>
      <w:r w:rsidRPr="00E14102">
        <w:rPr>
          <w:color w:val="000000" w:themeColor="text1"/>
          <w:sz w:val="16"/>
          <w:szCs w:val="16"/>
        </w:rPr>
        <w:noBreakHyphen/>
        <w:t>35 тыс. машин.</w:t>
      </w:r>
    </w:p>
    <w:p w14:paraId="730E551E" w14:textId="77777777" w:rsidR="0090665C" w:rsidRPr="00E14102" w:rsidRDefault="0090665C" w:rsidP="00E14102">
      <w:pPr>
        <w:pStyle w:val="rtejustify"/>
        <w:spacing w:before="0" w:after="0"/>
        <w:rPr>
          <w:color w:val="000000" w:themeColor="text1"/>
          <w:sz w:val="16"/>
          <w:szCs w:val="16"/>
        </w:rPr>
      </w:pPr>
      <w:r w:rsidRPr="00E14102">
        <w:rPr>
          <w:color w:val="000000" w:themeColor="text1"/>
          <w:sz w:val="16"/>
          <w:szCs w:val="16"/>
        </w:rPr>
        <w:t>Прошу Вас поставить этот вопрос на КО для рассмотрения в целях организации массового производства вездеходов на автозаводах НКТП.</w:t>
      </w:r>
    </w:p>
    <w:p w14:paraId="07E44834" w14:textId="77777777" w:rsidR="0090665C" w:rsidRPr="00E14102" w:rsidRDefault="0090665C" w:rsidP="00E14102">
      <w:pPr>
        <w:pStyle w:val="rtejustify"/>
        <w:spacing w:before="0" w:after="0"/>
        <w:rPr>
          <w:color w:val="000000" w:themeColor="text1"/>
          <w:sz w:val="16"/>
          <w:szCs w:val="16"/>
        </w:rPr>
      </w:pPr>
      <w:r w:rsidRPr="00E14102">
        <w:rPr>
          <w:rStyle w:val="a6"/>
          <w:i w:val="0"/>
          <w:color w:val="000000" w:themeColor="text1"/>
          <w:sz w:val="16"/>
          <w:szCs w:val="16"/>
        </w:rPr>
        <w:t>Приложение</w:t>
      </w:r>
      <w:r w:rsidRPr="00E14102">
        <w:rPr>
          <w:color w:val="000000" w:themeColor="text1"/>
          <w:sz w:val="16"/>
          <w:szCs w:val="16"/>
        </w:rPr>
        <w:t>: Проект постановления²*.</w:t>
      </w:r>
    </w:p>
    <w:p w14:paraId="5BB2A05F" w14:textId="77777777" w:rsidR="0090665C" w:rsidRPr="00E14102" w:rsidRDefault="0090665C"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Зам. наркома обороны СССР Я.</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Б.</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Гамарник</w:t>
      </w:r>
    </w:p>
    <w:p w14:paraId="6EBF402A" w14:textId="77777777" w:rsidR="0090665C" w:rsidRPr="00E14102" w:rsidRDefault="0090665C"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3A0D7B6D" w14:textId="77777777" w:rsidR="0090665C" w:rsidRPr="00E14102" w:rsidRDefault="0090665C" w:rsidP="00E14102">
      <w:pPr>
        <w:pStyle w:val="rtejustify"/>
        <w:spacing w:before="0" w:after="0"/>
        <w:rPr>
          <w:color w:val="000000" w:themeColor="text1"/>
          <w:sz w:val="16"/>
          <w:szCs w:val="16"/>
        </w:rPr>
      </w:pPr>
      <w:r w:rsidRPr="00E14102">
        <w:rPr>
          <w:color w:val="000000" w:themeColor="text1"/>
          <w:sz w:val="16"/>
          <w:szCs w:val="16"/>
        </w:rPr>
        <w:t xml:space="preserve">¹* См. документ от 13 августа 1933 г. — </w:t>
      </w:r>
      <w:hyperlink r:id="rId206" w:history="1">
        <w:r w:rsidRPr="00E14102">
          <w:rPr>
            <w:rStyle w:val="a4"/>
            <w:color w:val="000000" w:themeColor="text1"/>
            <w:sz w:val="16"/>
            <w:szCs w:val="16"/>
            <w:u w:val="none"/>
          </w:rPr>
          <w:t>Постановление СТО СССР № 71сс/о «О системе танкового вооружения РККА»</w:t>
        </w:r>
      </w:hyperlink>
      <w:r w:rsidRPr="00E14102">
        <w:rPr>
          <w:color w:val="000000" w:themeColor="text1"/>
          <w:sz w:val="16"/>
          <w:szCs w:val="16"/>
        </w:rPr>
        <w:t>.</w:t>
      </w:r>
    </w:p>
    <w:p w14:paraId="3244DB4A" w14:textId="77777777" w:rsidR="0090665C" w:rsidRPr="00E14102" w:rsidRDefault="0090665C" w:rsidP="00E14102">
      <w:pPr>
        <w:pStyle w:val="rtejustify"/>
        <w:spacing w:before="0" w:after="0"/>
        <w:rPr>
          <w:color w:val="000000" w:themeColor="text1"/>
          <w:sz w:val="16"/>
          <w:szCs w:val="16"/>
        </w:rPr>
      </w:pPr>
      <w:r w:rsidRPr="00E14102">
        <w:rPr>
          <w:color w:val="000000" w:themeColor="text1"/>
          <w:sz w:val="16"/>
          <w:szCs w:val="16"/>
        </w:rPr>
        <w:t>²* Приложение не публикуется (см. там же, л. 33).</w:t>
      </w:r>
    </w:p>
    <w:p w14:paraId="169D85CB" w14:textId="77777777" w:rsidR="0090665C" w:rsidRPr="00E14102" w:rsidRDefault="0090665C"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4372. Оп. 91. Д. 2551. Л. 34. Копия (15355).</w:t>
      </w:r>
    </w:p>
    <w:p w14:paraId="34228368" w14:textId="77777777" w:rsidR="0090665C" w:rsidRPr="00E14102" w:rsidRDefault="0090665C" w:rsidP="00E14102">
      <w:pPr>
        <w:jc w:val="both"/>
        <w:rPr>
          <w:color w:val="000000" w:themeColor="text1"/>
          <w:sz w:val="16"/>
          <w:szCs w:val="16"/>
        </w:rPr>
      </w:pPr>
    </w:p>
    <w:p w14:paraId="2B17EB46" w14:textId="77777777" w:rsidR="0090665C" w:rsidRPr="00E14102" w:rsidRDefault="0090665C" w:rsidP="00E14102">
      <w:pPr>
        <w:jc w:val="both"/>
        <w:rPr>
          <w:color w:val="000000" w:themeColor="text1"/>
          <w:sz w:val="16"/>
          <w:szCs w:val="16"/>
        </w:rPr>
      </w:pPr>
      <w:r w:rsidRPr="00E14102">
        <w:rPr>
          <w:color w:val="000000" w:themeColor="text1"/>
          <w:sz w:val="16"/>
          <w:szCs w:val="16"/>
        </w:rPr>
        <w:t>10 октября 1935 т. замнаркома обороны Я.Гамарник в письме №376324сс/о руководству страны отмечал:</w:t>
      </w:r>
    </w:p>
    <w:p w14:paraId="4FA9A2A3" w14:textId="77777777" w:rsidR="0090665C" w:rsidRPr="00E14102" w:rsidRDefault="0090665C" w:rsidP="00E14102">
      <w:pPr>
        <w:jc w:val="both"/>
        <w:rPr>
          <w:color w:val="000000" w:themeColor="text1"/>
          <w:sz w:val="16"/>
          <w:szCs w:val="16"/>
        </w:rPr>
      </w:pPr>
      <w:r w:rsidRPr="00E14102">
        <w:rPr>
          <w:color w:val="000000" w:themeColor="text1"/>
          <w:sz w:val="16"/>
          <w:szCs w:val="16"/>
        </w:rPr>
        <w:t>«Системой АБТВ &lt;&gt; предусмотрено оснащение РККА полугусеничными вездеходами на основе шасси серийных автомашин.</w:t>
      </w:r>
    </w:p>
    <w:p w14:paraId="39D1289F" w14:textId="77777777" w:rsidR="0090665C" w:rsidRPr="00E14102" w:rsidRDefault="0090665C" w:rsidP="00E14102">
      <w:pPr>
        <w:jc w:val="both"/>
        <w:rPr>
          <w:color w:val="000000" w:themeColor="text1"/>
          <w:sz w:val="16"/>
          <w:szCs w:val="16"/>
        </w:rPr>
      </w:pPr>
      <w:r w:rsidRPr="00E14102">
        <w:rPr>
          <w:color w:val="000000" w:themeColor="text1"/>
          <w:sz w:val="16"/>
          <w:szCs w:val="16"/>
        </w:rPr>
        <w:lastRenderedPageBreak/>
        <w:t>В данное время работы по созданию и испытанию образцов &lt;&gt; вездеходов на шасси ГАЗ-АА и ЗИС-5 закончены и дали вполне удовлетворительные результаты. Кроме того, ряд образцов на шасси ГАЗ-АА находились в продолжительной эксплуатации на севере Союза. Последний наиболее усовершенствованный образец успешно закончил пробег вездеходных снежных машин Москва - Архангельск - Москва.</w:t>
      </w:r>
    </w:p>
    <w:p w14:paraId="28103AB3" w14:textId="77777777" w:rsidR="0090665C" w:rsidRPr="00E14102" w:rsidRDefault="0090665C" w:rsidP="00E14102">
      <w:pPr>
        <w:jc w:val="both"/>
        <w:rPr>
          <w:color w:val="000000" w:themeColor="text1"/>
          <w:sz w:val="16"/>
          <w:szCs w:val="16"/>
        </w:rPr>
      </w:pPr>
      <w:r w:rsidRPr="00E14102">
        <w:rPr>
          <w:color w:val="000000" w:themeColor="text1"/>
          <w:sz w:val="16"/>
          <w:szCs w:val="16"/>
        </w:rPr>
        <w:t>Необходимые чертежи и образцы эталоны для начала серийного производства этих вездеходов имеются. Отличие вездеходов от серийных автомашин заключается только в том, что вместо заднего моста поставлены специальные ходовые части в виде гусеничных конструкций. Сами гусеницы выполнены из комбинации резиновой ленты с металлическими накладками. Таким образом, для производства этих вездеходов требуются серийные шасси грузовых автомашин и гусеничные хода упрощенного и облегченного типа.</w:t>
      </w:r>
    </w:p>
    <w:p w14:paraId="11A89DD3" w14:textId="77777777" w:rsidR="0090665C" w:rsidRPr="00E14102" w:rsidRDefault="0090665C" w:rsidP="00E14102">
      <w:pPr>
        <w:jc w:val="both"/>
        <w:rPr>
          <w:color w:val="000000" w:themeColor="text1"/>
          <w:sz w:val="16"/>
          <w:szCs w:val="16"/>
        </w:rPr>
      </w:pPr>
      <w:r w:rsidRPr="00E14102">
        <w:rPr>
          <w:color w:val="000000" w:themeColor="text1"/>
          <w:sz w:val="16"/>
          <w:szCs w:val="16"/>
        </w:rPr>
        <w:t>Внедрение вездеходов в РККА имеет сугубо важное и срочное значение, обеспечивая в первую очередь подвижность мото-мехвойск и авиации. НКО исходит из необходимости поставить на вездеходы:</w:t>
      </w:r>
    </w:p>
    <w:p w14:paraId="0CBB755B" w14:textId="77777777" w:rsidR="0090665C" w:rsidRPr="00E14102" w:rsidRDefault="0090665C" w:rsidP="00E14102">
      <w:pPr>
        <w:jc w:val="both"/>
        <w:rPr>
          <w:color w:val="000000" w:themeColor="text1"/>
          <w:sz w:val="16"/>
          <w:szCs w:val="16"/>
        </w:rPr>
      </w:pPr>
      <w:r w:rsidRPr="00E14102">
        <w:rPr>
          <w:color w:val="000000" w:themeColor="text1"/>
          <w:sz w:val="16"/>
          <w:szCs w:val="16"/>
        </w:rPr>
        <w:t>A) Моторизованные войска (стрелково-пулеметные части мехбригад и механокорпусов, моторизованные дивизии и т. п.)</w:t>
      </w:r>
    </w:p>
    <w:p w14:paraId="0E91E566" w14:textId="77777777" w:rsidR="0090665C" w:rsidRPr="00E14102" w:rsidRDefault="0090665C" w:rsidP="00E14102">
      <w:pPr>
        <w:jc w:val="both"/>
        <w:rPr>
          <w:color w:val="000000" w:themeColor="text1"/>
          <w:sz w:val="16"/>
          <w:szCs w:val="16"/>
        </w:rPr>
      </w:pPr>
      <w:r w:rsidRPr="00E14102">
        <w:rPr>
          <w:color w:val="000000" w:themeColor="text1"/>
          <w:sz w:val="16"/>
          <w:szCs w:val="16"/>
        </w:rPr>
        <w:t>Б) Боевые тылы мехвойск и авиации.</w:t>
      </w:r>
    </w:p>
    <w:p w14:paraId="0E1A3C85" w14:textId="77777777" w:rsidR="0090665C" w:rsidRPr="00E14102" w:rsidRDefault="0090665C" w:rsidP="00E14102">
      <w:pPr>
        <w:jc w:val="both"/>
        <w:rPr>
          <w:color w:val="000000" w:themeColor="text1"/>
          <w:sz w:val="16"/>
          <w:szCs w:val="16"/>
        </w:rPr>
      </w:pPr>
      <w:r w:rsidRPr="00E14102">
        <w:rPr>
          <w:color w:val="000000" w:themeColor="text1"/>
          <w:sz w:val="16"/>
          <w:szCs w:val="16"/>
        </w:rPr>
        <w:t>B) Специальные установки прочих войск, требующие высокой подвижности и проходимости, подчас без дорог (радиостанции, машины связи, походные мастерские и т. п.)</w:t>
      </w:r>
    </w:p>
    <w:p w14:paraId="1F907237" w14:textId="77777777" w:rsidR="0090665C" w:rsidRPr="00E14102" w:rsidRDefault="0090665C" w:rsidP="00E14102">
      <w:pPr>
        <w:jc w:val="both"/>
        <w:rPr>
          <w:color w:val="000000" w:themeColor="text1"/>
          <w:sz w:val="16"/>
          <w:szCs w:val="16"/>
        </w:rPr>
      </w:pPr>
      <w:r w:rsidRPr="00E14102">
        <w:rPr>
          <w:color w:val="000000" w:themeColor="text1"/>
          <w:sz w:val="16"/>
          <w:szCs w:val="16"/>
        </w:rPr>
        <w:t>Ориентировочная потребность в вездеходах определяется цифрой 30-35 тыс. машин.</w:t>
      </w:r>
    </w:p>
    <w:p w14:paraId="037A6ECB" w14:textId="77777777" w:rsidR="0090665C" w:rsidRPr="00E14102" w:rsidRDefault="0090665C" w:rsidP="00E14102">
      <w:pPr>
        <w:jc w:val="both"/>
        <w:rPr>
          <w:color w:val="000000" w:themeColor="text1"/>
          <w:sz w:val="16"/>
          <w:szCs w:val="16"/>
        </w:rPr>
      </w:pPr>
      <w:r w:rsidRPr="00E14102">
        <w:rPr>
          <w:color w:val="000000" w:themeColor="text1"/>
          <w:sz w:val="16"/>
          <w:szCs w:val="16"/>
        </w:rPr>
        <w:t>Прошу Вас поставить этот вопрос на КО для рассмотрения в целях организации массового производства вездеходов на автозаводах НКТII».</w:t>
      </w:r>
    </w:p>
    <w:p w14:paraId="0AF907D0" w14:textId="77777777" w:rsidR="0090665C" w:rsidRPr="00E14102" w:rsidRDefault="0090665C" w:rsidP="00E14102">
      <w:pPr>
        <w:jc w:val="both"/>
        <w:rPr>
          <w:color w:val="000000" w:themeColor="text1"/>
          <w:sz w:val="16"/>
          <w:szCs w:val="16"/>
        </w:rPr>
      </w:pPr>
      <w:r w:rsidRPr="00E14102">
        <w:rPr>
          <w:color w:val="000000" w:themeColor="text1"/>
          <w:sz w:val="16"/>
          <w:szCs w:val="16"/>
        </w:rPr>
        <w:t>Был подготовлен проект постановления правительства:</w:t>
      </w:r>
    </w:p>
    <w:p w14:paraId="0EAD7488" w14:textId="77777777" w:rsidR="0090665C" w:rsidRPr="00E14102" w:rsidRDefault="0090665C" w:rsidP="00E14102">
      <w:pPr>
        <w:jc w:val="both"/>
        <w:rPr>
          <w:color w:val="000000" w:themeColor="text1"/>
          <w:sz w:val="16"/>
          <w:szCs w:val="16"/>
        </w:rPr>
      </w:pPr>
      <w:r w:rsidRPr="00E14102">
        <w:rPr>
          <w:color w:val="000000" w:themeColor="text1"/>
          <w:sz w:val="16"/>
          <w:szCs w:val="16"/>
        </w:rPr>
        <w:t>«&lt;&gt; Москва. Кремль.</w:t>
      </w:r>
    </w:p>
    <w:p w14:paraId="2F5C4133" w14:textId="77777777" w:rsidR="0090665C" w:rsidRPr="00E14102" w:rsidRDefault="0090665C" w:rsidP="00E14102">
      <w:pPr>
        <w:jc w:val="both"/>
        <w:rPr>
          <w:color w:val="000000" w:themeColor="text1"/>
          <w:sz w:val="16"/>
          <w:szCs w:val="16"/>
        </w:rPr>
      </w:pPr>
      <w:r w:rsidRPr="00E14102">
        <w:rPr>
          <w:color w:val="000000" w:themeColor="text1"/>
          <w:sz w:val="16"/>
          <w:szCs w:val="16"/>
        </w:rPr>
        <w:t>1. Обязать НКТП немедленно приступить к организации производства полугусеничных вездеходов.</w:t>
      </w:r>
    </w:p>
    <w:p w14:paraId="013E196C" w14:textId="77777777" w:rsidR="0090665C" w:rsidRPr="00E14102" w:rsidRDefault="0090665C" w:rsidP="00E14102">
      <w:pPr>
        <w:jc w:val="both"/>
        <w:rPr>
          <w:color w:val="000000" w:themeColor="text1"/>
          <w:sz w:val="16"/>
          <w:szCs w:val="16"/>
        </w:rPr>
      </w:pPr>
      <w:r w:rsidRPr="00E14102">
        <w:rPr>
          <w:color w:val="000000" w:themeColor="text1"/>
          <w:sz w:val="16"/>
          <w:szCs w:val="16"/>
        </w:rPr>
        <w:t>2. Обязать НKTП обеспечить выпуск в 1936 г. 3000 вездеходов: 1500 шт. ЗИС СОМУА и 1 500 шт. HATИ ГАЗ-АА.</w:t>
      </w:r>
    </w:p>
    <w:p w14:paraId="4661FA2F" w14:textId="77777777" w:rsidR="0090665C" w:rsidRPr="00E14102" w:rsidRDefault="0090665C" w:rsidP="00E14102">
      <w:pPr>
        <w:jc w:val="both"/>
        <w:rPr>
          <w:color w:val="000000" w:themeColor="text1"/>
          <w:sz w:val="16"/>
          <w:szCs w:val="16"/>
        </w:rPr>
      </w:pPr>
      <w:r w:rsidRPr="00E14102">
        <w:rPr>
          <w:color w:val="000000" w:themeColor="text1"/>
          <w:sz w:val="16"/>
          <w:szCs w:val="16"/>
        </w:rPr>
        <w:t>3. Обязать НКТП создать в 1938 г. производственные возможности обеспечивающие годовой выпуск:</w:t>
      </w:r>
    </w:p>
    <w:p w14:paraId="37C7AE86" w14:textId="77777777" w:rsidR="0090665C" w:rsidRPr="00E14102" w:rsidRDefault="0090665C" w:rsidP="00E14102">
      <w:pPr>
        <w:jc w:val="both"/>
        <w:rPr>
          <w:color w:val="000000" w:themeColor="text1"/>
          <w:sz w:val="16"/>
          <w:szCs w:val="16"/>
        </w:rPr>
      </w:pPr>
      <w:r w:rsidRPr="00E14102">
        <w:rPr>
          <w:color w:val="000000" w:themeColor="text1"/>
          <w:sz w:val="16"/>
          <w:szCs w:val="16"/>
        </w:rPr>
        <w:t>ЗИС СОМУА - 17500 шт.</w:t>
      </w:r>
    </w:p>
    <w:p w14:paraId="027F1AA2" w14:textId="77777777" w:rsidR="0090665C" w:rsidRPr="00E14102" w:rsidRDefault="0090665C" w:rsidP="00E14102">
      <w:pPr>
        <w:jc w:val="both"/>
        <w:rPr>
          <w:color w:val="000000" w:themeColor="text1"/>
          <w:sz w:val="16"/>
          <w:szCs w:val="16"/>
        </w:rPr>
      </w:pPr>
      <w:r w:rsidRPr="00E14102">
        <w:rPr>
          <w:color w:val="000000" w:themeColor="text1"/>
          <w:sz w:val="16"/>
          <w:szCs w:val="16"/>
        </w:rPr>
        <w:t>НАТИ ГАЗ-АА - 15000 шт.</w:t>
      </w:r>
    </w:p>
    <w:p w14:paraId="612D650F" w14:textId="77777777" w:rsidR="0090665C" w:rsidRPr="00E14102" w:rsidRDefault="0090665C" w:rsidP="00E14102">
      <w:pPr>
        <w:jc w:val="both"/>
        <w:rPr>
          <w:color w:val="000000" w:themeColor="text1"/>
          <w:sz w:val="16"/>
          <w:szCs w:val="16"/>
        </w:rPr>
      </w:pPr>
      <w:r w:rsidRPr="00E14102">
        <w:rPr>
          <w:color w:val="000000" w:themeColor="text1"/>
          <w:sz w:val="16"/>
          <w:szCs w:val="16"/>
        </w:rPr>
        <w:t>Председатель Правительства» (15593).</w:t>
      </w:r>
    </w:p>
    <w:p w14:paraId="258AD0BD" w14:textId="77777777" w:rsidR="0090665C" w:rsidRPr="00E14102" w:rsidRDefault="0090665C" w:rsidP="00E14102">
      <w:pPr>
        <w:jc w:val="both"/>
        <w:rPr>
          <w:color w:val="000000" w:themeColor="text1"/>
          <w:sz w:val="16"/>
          <w:szCs w:val="16"/>
        </w:rPr>
      </w:pPr>
    </w:p>
    <w:p w14:paraId="597696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октября 1935 Зам. НКО Я.Гамарник писал письмо № 376324сс/о:</w:t>
      </w:r>
    </w:p>
    <w:p w14:paraId="35760D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“Системой АБВТ...предусмотрено оснащение РККА полугусеничными вездеходами на основе шасси серийных машин.</w:t>
      </w:r>
    </w:p>
    <w:p w14:paraId="0CFEEC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данное время работы по созданию и испытанию образцов...вездеходов на шасси ГАЗ-АА и ЗИС-5 закончены и дали вполне удовлетворительные результаты. Кроме того, ряд образцов на шасси ГАЗ-АА находились в продолжительной эксплуатации на севере Союза. Последний наиболее усовершенствованный образец успешно закончил пробег вездеходных снежных машин Москва - Архангельск - Москва.</w:t>
      </w:r>
    </w:p>
    <w:p w14:paraId="2AD3C3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Необходимые чертежи и образцы-эталоны для начала серийного производства этих вездеходов имеются. Отличие вездеходов от серийных автомашин заключается только в том, что вместо заднего моста поставлены специальные ходовые части в виде гусеничных конструкций. Сами гусеницы выполнены из комбинации резиновой ленты с металлическими накладками. Таким образом, для производства этих вездеходов требуются серийные шасси грузовых машин и гусеничные хода упрощенного и облегченного типа.</w:t>
      </w:r>
    </w:p>
    <w:p w14:paraId="18F053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Внедрение вездеходов в РККА имеет сугубо важное и срочное значение, обеспечивая в первую очередь подвижность мотомехвойск и авиации. НКО исходит из необходимости поставить на вездеходы:</w:t>
      </w:r>
    </w:p>
    <w:p w14:paraId="56C9B3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мотомеханизированные войска (стрелково-пулеметные части мехбригад и мехкорпусов, моторизованные дивизии и т.п.)</w:t>
      </w:r>
    </w:p>
    <w:p w14:paraId="12E622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боевые тылы мотомехвойск и авиации</w:t>
      </w:r>
    </w:p>
    <w:p w14:paraId="21BDFE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специальные установки прочих войск, требующие высокой подвижности и проходимости, подчас без дорог (радиостанции, машины связи, походные мастерские и т.п.</w:t>
      </w:r>
    </w:p>
    <w:p w14:paraId="10EB4F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Ориентировочная потребность в вездеходах определяется цифрой 30-35 тыс. машин.</w:t>
      </w:r>
    </w:p>
    <w:p w14:paraId="2E5A9D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Вас поставить этот вопрос на КО для рассмотрения в целях организации массового производства вездеходов на автозаводах НКТП.” Приложен проект постановления (10536,36).</w:t>
      </w:r>
    </w:p>
    <w:p w14:paraId="655F7C37" w14:textId="77777777" w:rsidR="00D4105E" w:rsidRPr="00E14102" w:rsidRDefault="00D4105E" w:rsidP="00E14102">
      <w:pPr>
        <w:autoSpaceDE w:val="0"/>
        <w:autoSpaceDN w:val="0"/>
        <w:adjustRightInd w:val="0"/>
        <w:jc w:val="both"/>
        <w:rPr>
          <w:color w:val="000000" w:themeColor="text1"/>
          <w:sz w:val="16"/>
          <w:szCs w:val="16"/>
        </w:rPr>
      </w:pPr>
    </w:p>
    <w:p w14:paraId="1B2D34AE" w14:textId="77777777" w:rsidR="00872260" w:rsidRPr="00E14102" w:rsidRDefault="00872260" w:rsidP="00E14102">
      <w:pPr>
        <w:jc w:val="both"/>
        <w:rPr>
          <w:color w:val="000000" w:themeColor="text1"/>
          <w:sz w:val="16"/>
          <w:szCs w:val="16"/>
        </w:rPr>
      </w:pPr>
      <w:r w:rsidRPr="00E14102">
        <w:rPr>
          <w:color w:val="000000" w:themeColor="text1"/>
          <w:sz w:val="16"/>
          <w:szCs w:val="16"/>
        </w:rPr>
        <w:t>10 октября 1935 г. замнаркома НКОЯ.Б. Гамарник отмечал: «Внедрение вездеходов в РККА имеет су</w:t>
      </w:r>
      <w:r w:rsidRPr="00E14102">
        <w:rPr>
          <w:color w:val="000000" w:themeColor="text1"/>
          <w:sz w:val="16"/>
          <w:szCs w:val="16"/>
        </w:rPr>
        <w:softHyphen/>
        <w:t>губо важное и срочное значение, обеспечивая в первую очередь подвижность мотомехвойск и авиации. НКО исходит из необходимости по</w:t>
      </w:r>
      <w:r w:rsidRPr="00E14102">
        <w:rPr>
          <w:color w:val="000000" w:themeColor="text1"/>
          <w:sz w:val="16"/>
          <w:szCs w:val="16"/>
        </w:rPr>
        <w:softHyphen/>
        <w:t>ставить на вездеходы... боевые тылы мехвойск и авиации,... специальные установки... требу</w:t>
      </w:r>
      <w:r w:rsidRPr="00E14102">
        <w:rPr>
          <w:color w:val="000000" w:themeColor="text1"/>
          <w:sz w:val="16"/>
          <w:szCs w:val="16"/>
        </w:rPr>
        <w:softHyphen/>
        <w:t>ющие высокой подвижности и проходимости подчас без дорог (радиостанции, машины связи, походные мастерские и т.п.)».</w:t>
      </w:r>
    </w:p>
    <w:p w14:paraId="304AC3DD" w14:textId="77777777" w:rsidR="00872260" w:rsidRPr="00E14102" w:rsidRDefault="00872260" w:rsidP="00E14102">
      <w:pPr>
        <w:jc w:val="both"/>
        <w:rPr>
          <w:color w:val="000000" w:themeColor="text1"/>
          <w:sz w:val="16"/>
          <w:szCs w:val="16"/>
        </w:rPr>
      </w:pPr>
      <w:r w:rsidRPr="00E14102">
        <w:rPr>
          <w:color w:val="000000" w:themeColor="text1"/>
          <w:sz w:val="16"/>
          <w:szCs w:val="16"/>
        </w:rPr>
        <w:t>Специальные машины имели обычное колесное шасси, а потому их проходимость по бездорожью была низкой. В этой связи снаряжались</w:t>
      </w:r>
      <w:r w:rsidRPr="00E14102">
        <w:rPr>
          <w:rStyle w:val="ae"/>
          <w:rFonts w:ascii="Times New Roman" w:hAnsi="Times New Roman"/>
          <w:i w:val="0"/>
          <w:color w:val="000000" w:themeColor="text1"/>
          <w:sz w:val="16"/>
          <w:szCs w:val="16"/>
        </w:rPr>
        <w:t xml:space="preserve"> «экспедиции по вынужденным посадкам».</w:t>
      </w:r>
      <w:r w:rsidRPr="00E14102">
        <w:rPr>
          <w:color w:val="000000" w:themeColor="text1"/>
          <w:sz w:val="16"/>
          <w:szCs w:val="16"/>
        </w:rPr>
        <w:t xml:space="preserve"> Военные отмечали:</w:t>
      </w:r>
    </w:p>
    <w:p w14:paraId="3F48C828" w14:textId="77777777" w:rsidR="00872260" w:rsidRPr="00E14102" w:rsidRDefault="00872260" w:rsidP="00E14102">
      <w:pPr>
        <w:pStyle w:val="71"/>
        <w:shd w:val="clear" w:color="auto" w:fill="auto"/>
        <w:spacing w:line="240" w:lineRule="auto"/>
        <w:jc w:val="both"/>
        <w:rPr>
          <w:rFonts w:ascii="Times New Roman" w:hAnsi="Times New Roman" w:cs="Times New Roman"/>
          <w:color w:val="000000" w:themeColor="text1"/>
          <w:spacing w:val="0"/>
          <w:sz w:val="16"/>
          <w:szCs w:val="16"/>
        </w:rPr>
      </w:pPr>
      <w:r w:rsidRPr="00E14102">
        <w:rPr>
          <w:rFonts w:ascii="Times New Roman" w:hAnsi="Times New Roman" w:cs="Times New Roman"/>
          <w:color w:val="000000" w:themeColor="text1"/>
          <w:spacing w:val="0"/>
          <w:sz w:val="16"/>
          <w:szCs w:val="16"/>
        </w:rPr>
        <w:t>«...При части должен быть специальный транспорт, машины которые могли бы пройти по любой местности. Практика показала, что в условиях зимы, в местности, где не расчищены дороги, очень трудно и дорого обходится до</w:t>
      </w:r>
      <w:r w:rsidRPr="00E14102">
        <w:rPr>
          <w:rFonts w:ascii="Times New Roman" w:hAnsi="Times New Roman" w:cs="Times New Roman"/>
          <w:color w:val="000000" w:themeColor="text1"/>
          <w:spacing w:val="0"/>
          <w:sz w:val="16"/>
          <w:szCs w:val="16"/>
        </w:rPr>
        <w:softHyphen/>
        <w:t>ставка необходимых материалов к аварийному самолету, тем более трудно вывозить весь самолет из-за бездорожной местности. Суще</w:t>
      </w:r>
      <w:r w:rsidRPr="00E14102">
        <w:rPr>
          <w:rFonts w:ascii="Times New Roman" w:hAnsi="Times New Roman" w:cs="Times New Roman"/>
          <w:color w:val="000000" w:themeColor="text1"/>
          <w:spacing w:val="0"/>
          <w:sz w:val="16"/>
          <w:szCs w:val="16"/>
        </w:rPr>
        <w:softHyphen/>
        <w:t>ствующие вездеходы с резиновыми гусеница</w:t>
      </w:r>
      <w:r w:rsidRPr="00E14102">
        <w:rPr>
          <w:rFonts w:ascii="Times New Roman" w:hAnsi="Times New Roman" w:cs="Times New Roman"/>
          <w:color w:val="000000" w:themeColor="text1"/>
          <w:spacing w:val="0"/>
          <w:sz w:val="16"/>
          <w:szCs w:val="16"/>
        </w:rPr>
        <w:softHyphen/>
        <w:t>ми не оправдали себя, очень малая грузоподъ</w:t>
      </w:r>
      <w:r w:rsidRPr="00E14102">
        <w:rPr>
          <w:rFonts w:ascii="Times New Roman" w:hAnsi="Times New Roman" w:cs="Times New Roman"/>
          <w:color w:val="000000" w:themeColor="text1"/>
          <w:spacing w:val="0"/>
          <w:sz w:val="16"/>
          <w:szCs w:val="16"/>
        </w:rPr>
        <w:softHyphen/>
        <w:t>емность, к тому же, нагруженный вездеход буксует и ехать на нем можно только по ровной дороге, плюс к этому при низких температурах резина замерзает и машина буксует даже не- нагруженная, очень много времени уходит на прогрев резины...</w:t>
      </w:r>
    </w:p>
    <w:p w14:paraId="66337C52" w14:textId="77777777" w:rsidR="00872260" w:rsidRPr="00E14102" w:rsidRDefault="00872260" w:rsidP="00E14102">
      <w:pPr>
        <w:pStyle w:val="71"/>
        <w:shd w:val="clear" w:color="auto" w:fill="auto"/>
        <w:spacing w:line="240" w:lineRule="auto"/>
        <w:jc w:val="both"/>
        <w:rPr>
          <w:rFonts w:ascii="Times New Roman" w:hAnsi="Times New Roman" w:cs="Times New Roman"/>
          <w:color w:val="000000" w:themeColor="text1"/>
          <w:spacing w:val="0"/>
          <w:sz w:val="16"/>
          <w:szCs w:val="16"/>
        </w:rPr>
      </w:pPr>
      <w:r w:rsidRPr="00E14102">
        <w:rPr>
          <w:rFonts w:ascii="Times New Roman" w:hAnsi="Times New Roman" w:cs="Times New Roman"/>
          <w:color w:val="000000" w:themeColor="text1"/>
          <w:spacing w:val="0"/>
          <w:sz w:val="16"/>
          <w:szCs w:val="16"/>
        </w:rPr>
        <w:t>На трехтонном вездеходе при 35 градусах мороза, при нагрузке в 1,5 тн пройдено 15 км. за 12 часов...»</w:t>
      </w:r>
    </w:p>
    <w:p w14:paraId="6035552A" w14:textId="77777777" w:rsidR="00872260" w:rsidRPr="00E14102" w:rsidRDefault="00872260" w:rsidP="00E14102">
      <w:pPr>
        <w:jc w:val="both"/>
        <w:rPr>
          <w:color w:val="000000" w:themeColor="text1"/>
          <w:sz w:val="16"/>
          <w:szCs w:val="16"/>
        </w:rPr>
      </w:pPr>
      <w:r w:rsidRPr="00E14102">
        <w:rPr>
          <w:color w:val="000000" w:themeColor="text1"/>
          <w:sz w:val="16"/>
          <w:szCs w:val="16"/>
        </w:rPr>
        <w:t>К этому следует добавить, что обычные колесные автомобили преодолеть 15 км снеж</w:t>
      </w:r>
      <w:r w:rsidRPr="00E14102">
        <w:rPr>
          <w:color w:val="000000" w:themeColor="text1"/>
          <w:sz w:val="16"/>
          <w:szCs w:val="16"/>
        </w:rPr>
        <w:softHyphen/>
        <w:t>ного бездорожья не могли не только за 12 ч, но и вообще никак. Поэтому руководство авиабаз неоднократно просило обеспечить подраз</w:t>
      </w:r>
      <w:r w:rsidRPr="00E14102">
        <w:rPr>
          <w:color w:val="000000" w:themeColor="text1"/>
          <w:sz w:val="16"/>
          <w:szCs w:val="16"/>
        </w:rPr>
        <w:softHyphen/>
        <w:t>деления заправщиками, стартерами и другой спецтехникой на полугусеничных шасси, а также аэросанями. Однако эти заявки так и не были удовлетворены,</w:t>
      </w:r>
    </w:p>
    <w:p w14:paraId="7911245D" w14:textId="77777777" w:rsidR="00872260" w:rsidRPr="00E14102" w:rsidRDefault="00872260" w:rsidP="00E14102">
      <w:pPr>
        <w:jc w:val="both"/>
        <w:rPr>
          <w:color w:val="000000" w:themeColor="text1"/>
          <w:sz w:val="16"/>
          <w:szCs w:val="16"/>
        </w:rPr>
      </w:pPr>
      <w:r w:rsidRPr="00E14102">
        <w:rPr>
          <w:color w:val="000000" w:themeColor="text1"/>
          <w:sz w:val="16"/>
          <w:szCs w:val="16"/>
        </w:rPr>
        <w:t>Существенным недостатком полугусенич</w:t>
      </w:r>
      <w:r w:rsidRPr="00E14102">
        <w:rPr>
          <w:color w:val="000000" w:themeColor="text1"/>
          <w:sz w:val="16"/>
          <w:szCs w:val="16"/>
        </w:rPr>
        <w:softHyphen/>
        <w:t>ных машин являлась низкая надежность из-за того, что узлы и детали базовой конструкции не были рассчитаны на повышенные эксплуата</w:t>
      </w:r>
      <w:r w:rsidRPr="00E14102">
        <w:rPr>
          <w:color w:val="000000" w:themeColor="text1"/>
          <w:sz w:val="16"/>
          <w:szCs w:val="16"/>
        </w:rPr>
        <w:softHyphen/>
        <w:t>ционные нагрузки. Многочисленные дефекты усугублялись недостаточной квалификацией обслуживающего персонала, зачастую не имевшего положенных (должны были прила</w:t>
      </w:r>
      <w:r w:rsidRPr="00E14102">
        <w:rPr>
          <w:color w:val="000000" w:themeColor="text1"/>
          <w:sz w:val="16"/>
          <w:szCs w:val="16"/>
        </w:rPr>
        <w:softHyphen/>
        <w:t>гаться к каждой машине) инструкций и не в пол</w:t>
      </w:r>
      <w:r w:rsidRPr="00E14102">
        <w:rPr>
          <w:color w:val="000000" w:themeColor="text1"/>
          <w:sz w:val="16"/>
          <w:szCs w:val="16"/>
        </w:rPr>
        <w:softHyphen/>
        <w:t>ной мере освоившего технику. Некачественное производственное исполнение в сочетании с неправильно организованной эксплуатацией привело с началом Финской кампании к мас</w:t>
      </w:r>
      <w:r w:rsidRPr="00E14102">
        <w:rPr>
          <w:color w:val="000000" w:themeColor="text1"/>
          <w:sz w:val="16"/>
          <w:szCs w:val="16"/>
        </w:rPr>
        <w:softHyphen/>
        <w:t>совому выходу из строя имевшихся в войсках машин. Рекламации и жалобы из частей были претенциозно поданы высшему руководству, которое приняло решение о прекращении про</w:t>
      </w:r>
      <w:r w:rsidRPr="00E14102">
        <w:rPr>
          <w:color w:val="000000" w:themeColor="text1"/>
          <w:sz w:val="16"/>
          <w:szCs w:val="16"/>
        </w:rPr>
        <w:softHyphen/>
        <w:t>изводства вездеходов ВЗ и ВГ.</w:t>
      </w:r>
    </w:p>
    <w:p w14:paraId="21AD0A82" w14:textId="77777777" w:rsidR="00872260" w:rsidRPr="00E14102" w:rsidRDefault="00872260" w:rsidP="00E14102">
      <w:pPr>
        <w:jc w:val="both"/>
        <w:rPr>
          <w:color w:val="000000" w:themeColor="text1"/>
          <w:sz w:val="16"/>
          <w:szCs w:val="16"/>
        </w:rPr>
      </w:pPr>
      <w:r w:rsidRPr="00E14102">
        <w:rPr>
          <w:color w:val="000000" w:themeColor="text1"/>
          <w:sz w:val="16"/>
          <w:szCs w:val="16"/>
        </w:rPr>
        <w:t>Количественный недостаток ЗИС-22 и ГАЗ-60 военные решили компенсировать по</w:t>
      </w:r>
      <w:r w:rsidRPr="00E14102">
        <w:rPr>
          <w:color w:val="000000" w:themeColor="text1"/>
          <w:sz w:val="16"/>
          <w:szCs w:val="16"/>
        </w:rPr>
        <w:softHyphen/>
        <w:t>стройкой эрзац-вездеходов ЗИС-ЗЗ и ГАЗ-65. Однако ГАЗ-65 оказались совершенно непри</w:t>
      </w:r>
      <w:r w:rsidRPr="00E14102">
        <w:rPr>
          <w:color w:val="000000" w:themeColor="text1"/>
          <w:sz w:val="16"/>
          <w:szCs w:val="16"/>
        </w:rPr>
        <w:softHyphen/>
        <w:t>годными, а у ЗИС-ЗЗ за более высокую (по сравнению с ЗИС-5) проходимость пришлось расплачиваться повышенным расходом топли</w:t>
      </w:r>
      <w:r w:rsidRPr="00E14102">
        <w:rPr>
          <w:color w:val="000000" w:themeColor="text1"/>
          <w:sz w:val="16"/>
          <w:szCs w:val="16"/>
        </w:rPr>
        <w:softHyphen/>
        <w:t>ва, которого хватало только на 50-60 км про</w:t>
      </w:r>
      <w:r w:rsidRPr="00E14102">
        <w:rPr>
          <w:color w:val="000000" w:themeColor="text1"/>
          <w:sz w:val="16"/>
          <w:szCs w:val="16"/>
        </w:rPr>
        <w:softHyphen/>
        <w:t>бега по бездорожью.</w:t>
      </w:r>
    </w:p>
    <w:p w14:paraId="0678E77C" w14:textId="77777777" w:rsidR="00872260" w:rsidRPr="00E14102" w:rsidRDefault="00872260" w:rsidP="00E14102">
      <w:pPr>
        <w:jc w:val="both"/>
        <w:rPr>
          <w:color w:val="000000" w:themeColor="text1"/>
          <w:sz w:val="16"/>
          <w:szCs w:val="16"/>
        </w:rPr>
      </w:pPr>
      <w:r w:rsidRPr="00E14102">
        <w:rPr>
          <w:color w:val="000000" w:themeColor="text1"/>
          <w:sz w:val="16"/>
          <w:szCs w:val="16"/>
        </w:rPr>
        <w:t>Поскольку ЗИС-ЗЗ не оправдал воз</w:t>
      </w:r>
      <w:r w:rsidRPr="00E14102">
        <w:rPr>
          <w:color w:val="000000" w:themeColor="text1"/>
          <w:sz w:val="16"/>
          <w:szCs w:val="16"/>
        </w:rPr>
        <w:softHyphen/>
        <w:t>ложенных на него надежд, а перспективные полноприводные машины еще не вышли из стадии испытаний, военные потребовали воз</w:t>
      </w:r>
      <w:r w:rsidRPr="00E14102">
        <w:rPr>
          <w:color w:val="000000" w:themeColor="text1"/>
          <w:sz w:val="16"/>
          <w:szCs w:val="16"/>
        </w:rPr>
        <w:softHyphen/>
        <w:t>обновить производство ЗИС-22 (12729).</w:t>
      </w:r>
    </w:p>
    <w:p w14:paraId="675533BF" w14:textId="77777777" w:rsidR="00872260" w:rsidRPr="00E14102" w:rsidRDefault="00872260" w:rsidP="00E14102">
      <w:pPr>
        <w:jc w:val="both"/>
        <w:rPr>
          <w:color w:val="000000" w:themeColor="text1"/>
          <w:sz w:val="16"/>
          <w:szCs w:val="16"/>
        </w:rPr>
      </w:pPr>
    </w:p>
    <w:p w14:paraId="4AAF0CF7" w14:textId="77777777" w:rsidR="00B90E7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8912CC2" w14:textId="77777777" w:rsidR="00B90E74" w:rsidRPr="00E14102" w:rsidRDefault="00B90E74" w:rsidP="00E14102">
      <w:pPr>
        <w:autoSpaceDE w:val="0"/>
        <w:autoSpaceDN w:val="0"/>
        <w:adjustRightInd w:val="0"/>
        <w:jc w:val="both"/>
        <w:rPr>
          <w:iCs/>
          <w:color w:val="000000" w:themeColor="text1"/>
          <w:sz w:val="16"/>
          <w:szCs w:val="16"/>
        </w:rPr>
      </w:pPr>
    </w:p>
    <w:p w14:paraId="346EDDD4" w14:textId="77777777" w:rsidR="00B90E74" w:rsidRPr="00E14102" w:rsidRDefault="00B90E74" w:rsidP="00E14102">
      <w:pPr>
        <w:jc w:val="both"/>
        <w:rPr>
          <w:color w:val="000000" w:themeColor="text1"/>
          <w:sz w:val="16"/>
          <w:szCs w:val="16"/>
        </w:rPr>
      </w:pPr>
      <w:r w:rsidRPr="00E14102">
        <w:rPr>
          <w:bCs/>
          <w:color w:val="000000" w:themeColor="text1"/>
          <w:sz w:val="16"/>
          <w:szCs w:val="16"/>
        </w:rPr>
        <w:t xml:space="preserve">10 октября </w:t>
      </w:r>
      <w:r w:rsidRPr="00E14102">
        <w:rPr>
          <w:color w:val="000000" w:themeColor="text1"/>
          <w:sz w:val="16"/>
          <w:szCs w:val="16"/>
        </w:rPr>
        <w:t>в 1935 году ЦК ВКП(б) и Совнарком приняли решение о снятии с башен Московского Кремля и Исторического музея орлов и установке на Спасской, Никольской, Боровицкой и Троицкой башнях пятиконечных рубиновых звезд (14795).</w:t>
      </w:r>
    </w:p>
    <w:p w14:paraId="1C40CF35" w14:textId="77777777" w:rsidR="00B90E74" w:rsidRPr="00E14102" w:rsidRDefault="00B90E74" w:rsidP="00E14102">
      <w:pPr>
        <w:jc w:val="both"/>
        <w:rPr>
          <w:color w:val="000000" w:themeColor="text1"/>
          <w:sz w:val="16"/>
          <w:szCs w:val="16"/>
        </w:rPr>
      </w:pPr>
    </w:p>
    <w:p w14:paraId="7D59D8C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ADE30CB" w14:textId="77777777" w:rsidR="00D4105E" w:rsidRPr="00E14102" w:rsidRDefault="00D4105E" w:rsidP="00E14102">
      <w:pPr>
        <w:autoSpaceDE w:val="0"/>
        <w:autoSpaceDN w:val="0"/>
        <w:adjustRightInd w:val="0"/>
        <w:jc w:val="both"/>
        <w:rPr>
          <w:iCs/>
          <w:color w:val="000000" w:themeColor="text1"/>
          <w:sz w:val="16"/>
          <w:szCs w:val="16"/>
        </w:rPr>
      </w:pPr>
    </w:p>
    <w:p w14:paraId="3902C82B" w14:textId="77777777" w:rsidR="00B90E74" w:rsidRPr="00E14102" w:rsidRDefault="00B90E74" w:rsidP="00E14102">
      <w:pPr>
        <w:jc w:val="both"/>
        <w:rPr>
          <w:color w:val="000000" w:themeColor="text1"/>
          <w:sz w:val="16"/>
          <w:szCs w:val="16"/>
        </w:rPr>
      </w:pPr>
      <w:r w:rsidRPr="00E14102">
        <w:rPr>
          <w:color w:val="000000" w:themeColor="text1"/>
          <w:sz w:val="16"/>
          <w:szCs w:val="16"/>
        </w:rPr>
        <w:t>10 января 1935 г. в помещении конструкторского бюро "Хаукер" в Кингстоне собралась макетная комиссия по будущему Харрикейну.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3AC5ED2B" w14:textId="77777777" w:rsidR="00B90E74" w:rsidRPr="00E14102" w:rsidRDefault="00B90E74" w:rsidP="00E14102">
      <w:pPr>
        <w:jc w:val="both"/>
        <w:rPr>
          <w:color w:val="000000" w:themeColor="text1"/>
          <w:sz w:val="16"/>
          <w:szCs w:val="16"/>
        </w:rPr>
      </w:pPr>
    </w:p>
    <w:p w14:paraId="56285267" w14:textId="77777777" w:rsidR="00B90E74" w:rsidRPr="00E14102" w:rsidRDefault="00B90E74" w:rsidP="00E14102">
      <w:pPr>
        <w:jc w:val="both"/>
        <w:rPr>
          <w:color w:val="000000" w:themeColor="text1"/>
          <w:sz w:val="16"/>
          <w:szCs w:val="16"/>
        </w:rPr>
      </w:pPr>
      <w:r w:rsidRPr="00E14102">
        <w:rPr>
          <w:bCs/>
          <w:color w:val="000000" w:themeColor="text1"/>
          <w:sz w:val="16"/>
          <w:szCs w:val="16"/>
        </w:rPr>
        <w:t xml:space="preserve">10 октября </w:t>
      </w:r>
      <w:r w:rsidRPr="00E14102">
        <w:rPr>
          <w:color w:val="000000" w:themeColor="text1"/>
          <w:sz w:val="16"/>
          <w:szCs w:val="16"/>
        </w:rPr>
        <w:t>в 1935 году премьера оперы Джорджа Гершвина "Порги и Бесс" на Бродвее (14795).</w:t>
      </w:r>
    </w:p>
    <w:p w14:paraId="63EE13B4" w14:textId="77777777" w:rsidR="00B90E74" w:rsidRPr="00E14102" w:rsidRDefault="00B90E74" w:rsidP="00E14102">
      <w:pPr>
        <w:jc w:val="both"/>
        <w:rPr>
          <w:color w:val="000000" w:themeColor="text1"/>
          <w:sz w:val="16"/>
          <w:szCs w:val="16"/>
        </w:rPr>
      </w:pPr>
    </w:p>
    <w:p w14:paraId="3F76DB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октября 1935 в Греции был военный переворот в пользу монархии (3481).</w:t>
      </w:r>
    </w:p>
    <w:p w14:paraId="4DDDE10A" w14:textId="77777777" w:rsidR="00D4105E" w:rsidRPr="00E14102" w:rsidRDefault="00D4105E" w:rsidP="00E14102">
      <w:pPr>
        <w:autoSpaceDE w:val="0"/>
        <w:autoSpaceDN w:val="0"/>
        <w:adjustRightInd w:val="0"/>
        <w:jc w:val="both"/>
        <w:rPr>
          <w:color w:val="000000" w:themeColor="text1"/>
          <w:sz w:val="16"/>
          <w:szCs w:val="16"/>
        </w:rPr>
      </w:pPr>
    </w:p>
    <w:p w14:paraId="540F0D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октября 1935 Лига наций осудила итальянское вторжение в Эфиопию (3481).</w:t>
      </w:r>
    </w:p>
    <w:p w14:paraId="6076A1CB" w14:textId="77777777" w:rsidR="00D4105E" w:rsidRPr="00E14102" w:rsidRDefault="00D4105E" w:rsidP="00E14102">
      <w:pPr>
        <w:autoSpaceDE w:val="0"/>
        <w:autoSpaceDN w:val="0"/>
        <w:adjustRightInd w:val="0"/>
        <w:jc w:val="both"/>
        <w:rPr>
          <w:color w:val="000000" w:themeColor="text1"/>
          <w:sz w:val="16"/>
          <w:szCs w:val="16"/>
        </w:rPr>
      </w:pPr>
    </w:p>
    <w:p w14:paraId="4229D28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lastRenderedPageBreak/>
        <w:t>Авиапромышленность:</w:t>
      </w:r>
    </w:p>
    <w:p w14:paraId="597F0A9E" w14:textId="77777777" w:rsidR="00D4105E" w:rsidRPr="00E14102" w:rsidRDefault="00D4105E" w:rsidP="00E14102">
      <w:pPr>
        <w:autoSpaceDE w:val="0"/>
        <w:autoSpaceDN w:val="0"/>
        <w:adjustRightInd w:val="0"/>
        <w:jc w:val="both"/>
        <w:rPr>
          <w:iCs/>
          <w:color w:val="000000" w:themeColor="text1"/>
          <w:sz w:val="16"/>
          <w:szCs w:val="16"/>
        </w:rPr>
      </w:pPr>
    </w:p>
    <w:p w14:paraId="79C72D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октября 1935 на ТБ-3 4М-34Р и РН был выполнен 1-й полет в рамках испытаний эталонного размещения аппаратуры Шутка. Цель полета: проверка работы приборов Шутки с рацией IICK-1. Продолжительность полета - 1:07. Следующий полет был 15 октября, а последний - 17 октября 1935 (870).</w:t>
      </w:r>
    </w:p>
    <w:p w14:paraId="6923F3B8" w14:textId="77777777" w:rsidR="00D4105E" w:rsidRPr="00E14102" w:rsidRDefault="00D4105E" w:rsidP="00E14102">
      <w:pPr>
        <w:autoSpaceDE w:val="0"/>
        <w:autoSpaceDN w:val="0"/>
        <w:adjustRightInd w:val="0"/>
        <w:jc w:val="both"/>
        <w:rPr>
          <w:color w:val="000000" w:themeColor="text1"/>
          <w:sz w:val="16"/>
          <w:szCs w:val="16"/>
        </w:rPr>
      </w:pPr>
    </w:p>
    <w:p w14:paraId="2349B6D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октября 1935 года вышел Приказ НИИ ВС № 0531:</w:t>
      </w:r>
    </w:p>
    <w:p w14:paraId="5DF7CC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испытание мотора М-85 на станке при заводе № 29.</w:t>
      </w:r>
    </w:p>
    <w:p w14:paraId="067933B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испытание начать 13 октября 1935 года (6815, 90).</w:t>
      </w:r>
    </w:p>
    <w:p w14:paraId="72C09E8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28EBF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октября 1935 года начальник СНИИ ГВФ Л. Малиновский писал письмо № 29/587с</w:t>
      </w:r>
    </w:p>
    <w:p w14:paraId="1944CC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w:t>
      </w:r>
    </w:p>
    <w:p w14:paraId="7F592A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Потребность в легких моторах семьи МГ НИИ АД на 1935-36 г.г. определяется следующими задачами в области опытного самолетостроения.</w:t>
      </w:r>
    </w:p>
    <w:p w14:paraId="1AC7B4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правительственного плана опытного строительства 1934-35 года на ОКБ ЛИИ ГВФ для предъявления ВВС возложено конструирование и производство двух самолетов:</w:t>
      </w:r>
    </w:p>
    <w:p w14:paraId="7A6171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П-3 с мотором МГ-31. Самолет предназначен в качестве тренировочного и переходного для пилотов на разведчике и истребителе.</w:t>
      </w:r>
    </w:p>
    <w:p w14:paraId="07433C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РК с экспериментальным раздвижным крылом под мотор МГ-21. Самолет изготовлен и ожидают вооружения к моторам.</w:t>
      </w:r>
    </w:p>
    <w:p w14:paraId="396E61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Правительственному плану по опытному строительству 1935-36 г.г. значатся следующие машины под семью МГ:</w:t>
      </w:r>
    </w:p>
    <w:p w14:paraId="5AAB801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ДКЛ с двумя моторами МГ-31, безопасный пассажирский самолет, рассчитанный на перевозку 6-ти пассажиров в условиях ночных и слепых полетов со скоростью 320 км/час. По плану должен строить КБ КИ, в случае отказа Яковлева.</w:t>
      </w:r>
    </w:p>
    <w:p w14:paraId="005CF0A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 СХ с одним мотором МГ-31, предназначенный для рентабельной эксплуатации на производственных работах по обслуживанию народного хозяйства: аэросев, опыливание, разведка и т.д. с нагрузкой 600 кг. Во втором пассажирском варианте рассчитан на 6 человек; легко переоборудуем, согласно технических требований СХ рассчитан на 6 пассажиров для местных линий.</w:t>
      </w:r>
    </w:p>
    <w:p w14:paraId="088926C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 МП-2 с мотором МГ-21, рассчитан для обслуживания местных пассажирских линий (на 3 пассажира) ОКБ ЛИИ ГВФ.</w:t>
      </w:r>
    </w:p>
    <w:p w14:paraId="10A0D67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 МП-2 с этими же техническими требованиями конструктора Яковлева.</w:t>
      </w:r>
    </w:p>
    <w:p w14:paraId="055164D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 МА – амфибия для местных линий под мотор МГ-21, рассчитанный на перевозку 360 кг груза и 3-х пассажиров с багажом. В этом самолете особенная нужда, ввиду прекращения производства и недостаточной мощности существующей амфибии Ш-2 под мотор М-11. Конструирует и строит ОКБ ЛИИ ГВФ.</w:t>
      </w:r>
    </w:p>
    <w:p w14:paraId="1E96B58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Самолет-амфибия ТА (транспортная амфибия) под 2 мотора МГ-31, рассчитанная как для внутриозерных и речных бассейнов и для приморских сообщений. Этот самолет начат проектированием еще с начала 1935 года и узаконен Правительственным постановлением.</w:t>
      </w:r>
    </w:p>
    <w:p w14:paraId="16BFED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только по правительственному плану опытного строительства нам необходимо в первой половине 1936 года иметь по числу гнезд 4 мотора МГ-21 и 6 моторов МГ-31, так как опыт конструкторов не может базироваться на одном моторе, то выявляется необходимость иметь двойное количество, т.е. 8 МГ-21 и 12 МГ-31. Возможно снятие мотора МГ-21 под РК, поскольку снятие позволяет обойтись 1 мотором или даже заменой его на М-11.</w:t>
      </w:r>
    </w:p>
    <w:p w14:paraId="5BFABE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………………………………(7727, 59-60).</w:t>
      </w:r>
    </w:p>
    <w:p w14:paraId="3D7328C4" w14:textId="77777777" w:rsidR="00D4105E" w:rsidRPr="00E14102" w:rsidRDefault="00D4105E" w:rsidP="00E14102">
      <w:pPr>
        <w:autoSpaceDE w:val="0"/>
        <w:autoSpaceDN w:val="0"/>
        <w:adjustRightInd w:val="0"/>
        <w:jc w:val="both"/>
        <w:rPr>
          <w:color w:val="000000" w:themeColor="text1"/>
          <w:sz w:val="16"/>
          <w:szCs w:val="16"/>
        </w:rPr>
      </w:pPr>
    </w:p>
    <w:p w14:paraId="05EFC4D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октября 1935 года вышел Приказ НИИ ВС № 0533 О проведении испытаний маскировочной краски для осеннего времени.</w:t>
      </w:r>
    </w:p>
    <w:p w14:paraId="5A602E1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Провести испытание краски, предназначенной для маскировки самолета ( с полотняной обшивкой) на земле в осенних условиях.</w:t>
      </w:r>
    </w:p>
    <w:p w14:paraId="36D455E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провести на Щелковском аэродроме в период с 15 октября 1935 года по 29 октября 1935 года (6815, 91).</w:t>
      </w:r>
    </w:p>
    <w:p w14:paraId="0AF1932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0A73D7F" w14:textId="77777777" w:rsidR="00D4105E" w:rsidRPr="00E14102" w:rsidRDefault="004B7965" w:rsidP="00E14102">
      <w:pPr>
        <w:tabs>
          <w:tab w:val="left" w:pos="11199"/>
        </w:tabs>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AEF146A" w14:textId="77777777" w:rsidR="00D4105E" w:rsidRPr="00E14102" w:rsidRDefault="00D4105E" w:rsidP="00E14102">
      <w:pPr>
        <w:tabs>
          <w:tab w:val="left" w:pos="11199"/>
        </w:tabs>
        <w:autoSpaceDE w:val="0"/>
        <w:autoSpaceDN w:val="0"/>
        <w:adjustRightInd w:val="0"/>
        <w:jc w:val="both"/>
        <w:rPr>
          <w:iCs/>
          <w:color w:val="000000" w:themeColor="text1"/>
          <w:sz w:val="16"/>
          <w:szCs w:val="16"/>
        </w:rPr>
      </w:pPr>
    </w:p>
    <w:p w14:paraId="20EF1A46" w14:textId="77777777" w:rsidR="00B90E74" w:rsidRPr="00E14102" w:rsidRDefault="00B90E74" w:rsidP="00E14102">
      <w:pPr>
        <w:pStyle w:val="rtejustify"/>
        <w:spacing w:before="0" w:after="0"/>
        <w:rPr>
          <w:color w:val="000000" w:themeColor="text1"/>
          <w:sz w:val="16"/>
          <w:szCs w:val="16"/>
        </w:rPr>
      </w:pPr>
      <w:r w:rsidRPr="00E14102">
        <w:rPr>
          <w:rStyle w:val="a6"/>
          <w:bCs/>
          <w:i w:val="0"/>
          <w:color w:val="000000" w:themeColor="text1"/>
          <w:sz w:val="16"/>
          <w:szCs w:val="16"/>
        </w:rPr>
        <w:t>11 октября 1935 вышел приказ НКТП № 0096.</w:t>
      </w:r>
      <w:r w:rsidRPr="00E14102">
        <w:rPr>
          <w:color w:val="000000" w:themeColor="text1"/>
          <w:sz w:val="16"/>
          <w:szCs w:val="16"/>
        </w:rPr>
        <w:t xml:space="preserve"> Об условиях конкурса на разработку и изготовление автоматического прицела к 37</w:t>
      </w:r>
      <w:r w:rsidRPr="00E14102">
        <w:rPr>
          <w:color w:val="000000" w:themeColor="text1"/>
          <w:sz w:val="16"/>
          <w:szCs w:val="16"/>
        </w:rPr>
        <w:noBreakHyphen/>
        <w:t>мм и 45</w:t>
      </w:r>
      <w:r w:rsidRPr="00E14102">
        <w:rPr>
          <w:color w:val="000000" w:themeColor="text1"/>
          <w:sz w:val="16"/>
          <w:szCs w:val="16"/>
        </w:rPr>
        <w:noBreakHyphen/>
        <w:t>мм пушкам. (РГАЭ. Ф. 7297. Оп. 38. Д. 171. Л. 310</w:t>
      </w:r>
      <w:r w:rsidRPr="00E14102">
        <w:rPr>
          <w:color w:val="000000" w:themeColor="text1"/>
          <w:sz w:val="16"/>
          <w:szCs w:val="16"/>
        </w:rPr>
        <w:noBreakHyphen/>
        <w:t>308). (</w:t>
      </w:r>
      <w:r w:rsidRPr="00E14102">
        <w:rPr>
          <w:rStyle w:val="a6"/>
          <w:i w:val="0"/>
          <w:color w:val="000000" w:themeColor="text1"/>
          <w:sz w:val="16"/>
          <w:szCs w:val="16"/>
        </w:rPr>
        <w:t>Объединенный с НКО СССР</w:t>
      </w:r>
      <w:r w:rsidRPr="00E14102">
        <w:rPr>
          <w:color w:val="000000" w:themeColor="text1"/>
          <w:sz w:val="16"/>
          <w:szCs w:val="16"/>
        </w:rPr>
        <w:t>) (15246).</w:t>
      </w:r>
    </w:p>
    <w:p w14:paraId="0FCFBB43" w14:textId="77777777" w:rsidR="00B90E74" w:rsidRPr="00E14102" w:rsidRDefault="00B90E74" w:rsidP="00E14102">
      <w:pPr>
        <w:pStyle w:val="rtejustify"/>
        <w:spacing w:before="0" w:after="0"/>
        <w:rPr>
          <w:color w:val="000000" w:themeColor="text1"/>
          <w:sz w:val="16"/>
          <w:szCs w:val="16"/>
        </w:rPr>
      </w:pPr>
    </w:p>
    <w:p w14:paraId="2F4FA5EC" w14:textId="77777777" w:rsidR="00D4105E" w:rsidRPr="00E14102" w:rsidRDefault="00D4105E" w:rsidP="00E14102">
      <w:pPr>
        <w:shd w:val="clear" w:color="auto" w:fill="FFFFFF"/>
        <w:autoSpaceDE w:val="0"/>
        <w:autoSpaceDN w:val="0"/>
        <w:adjustRightInd w:val="0"/>
        <w:jc w:val="both"/>
        <w:rPr>
          <w:iCs/>
          <w:color w:val="000000" w:themeColor="text1"/>
          <w:sz w:val="16"/>
          <w:szCs w:val="16"/>
        </w:rPr>
      </w:pPr>
      <w:r w:rsidRPr="00E14102">
        <w:rPr>
          <w:color w:val="000000" w:themeColor="text1"/>
          <w:sz w:val="16"/>
          <w:szCs w:val="16"/>
        </w:rPr>
        <w:t>11 октября 1935 г. закончились заводские испытания СУ-6, которые шли с 12 сентября. Машина прошла 180 км и сделала 50 выстрелов. В выводах комиссии отмечалось сле</w:t>
      </w:r>
      <w:r w:rsidRPr="00E14102">
        <w:rPr>
          <w:color w:val="000000" w:themeColor="text1"/>
          <w:sz w:val="16"/>
          <w:szCs w:val="16"/>
        </w:rPr>
        <w:softHyphen/>
        <w:t xml:space="preserve">дующее: </w:t>
      </w:r>
      <w:r w:rsidRPr="00E14102">
        <w:rPr>
          <w:iCs/>
          <w:color w:val="000000" w:themeColor="text1"/>
          <w:sz w:val="16"/>
          <w:szCs w:val="16"/>
        </w:rPr>
        <w:t>«На основании проведенных испытаний можно счи</w:t>
      </w:r>
      <w:r w:rsidRPr="00E14102">
        <w:rPr>
          <w:iCs/>
          <w:color w:val="000000" w:themeColor="text1"/>
          <w:sz w:val="16"/>
          <w:szCs w:val="16"/>
        </w:rPr>
        <w:softHyphen/>
        <w:t>тать, что образец вполне подготовлен к полигонным испыта</w:t>
      </w:r>
      <w:r w:rsidRPr="00E14102">
        <w:rPr>
          <w:iCs/>
          <w:color w:val="000000" w:themeColor="text1"/>
          <w:sz w:val="16"/>
          <w:szCs w:val="16"/>
        </w:rPr>
        <w:softHyphen/>
        <w:t>ниям. Дефектов и разрушений не обнаружено, кроме разруше</w:t>
      </w:r>
      <w:r w:rsidRPr="00E14102">
        <w:rPr>
          <w:iCs/>
          <w:color w:val="000000" w:themeColor="text1"/>
          <w:sz w:val="16"/>
          <w:szCs w:val="16"/>
        </w:rPr>
        <w:softHyphen/>
        <w:t>ния одного опорного катка» (11417).</w:t>
      </w:r>
    </w:p>
    <w:p w14:paraId="1D9D2B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19A7C0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E951108" w14:textId="77777777" w:rsidR="00D4105E" w:rsidRPr="00E14102" w:rsidRDefault="00D4105E" w:rsidP="00E14102">
      <w:pPr>
        <w:autoSpaceDE w:val="0"/>
        <w:autoSpaceDN w:val="0"/>
        <w:adjustRightInd w:val="0"/>
        <w:jc w:val="both"/>
        <w:rPr>
          <w:iCs/>
          <w:color w:val="000000" w:themeColor="text1"/>
          <w:sz w:val="16"/>
          <w:szCs w:val="16"/>
        </w:rPr>
      </w:pPr>
    </w:p>
    <w:p w14:paraId="07BB16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октября 1935 года было подписано соглашение между США и Германией о воздушных перевозках на дирижаблях. Намерение Германии организовать воздушную линию между Европой и США, которую будет обслуживать большой дирижабль жесткой конструкции «Гинденбург», поставило американское правительство в тупик. Во-первых, любые контакты с нацистским правительством не приветствовались международным сообществом. Во-вторых, для приема такого воздушного корабля отсутствовал гражданский аэропорт, оснащенный необходимым причальным оборудованием и ангаром для организации стоянки. После долгих колебаний правительство согласилось предоставить во временное пользование часть территории базы в Лейкхерсте. Вместе с тем Соединенные Штаты сняли с себя всякую ответственность за финансирование и страхование проекта, возложив эти проблемы на германскую сторону (11324).</w:t>
      </w:r>
    </w:p>
    <w:p w14:paraId="2F56631A" w14:textId="77777777" w:rsidR="00D4105E" w:rsidRPr="00E14102" w:rsidRDefault="00D4105E" w:rsidP="00E14102">
      <w:pPr>
        <w:autoSpaceDE w:val="0"/>
        <w:autoSpaceDN w:val="0"/>
        <w:adjustRightInd w:val="0"/>
        <w:jc w:val="both"/>
        <w:rPr>
          <w:color w:val="000000" w:themeColor="text1"/>
          <w:sz w:val="16"/>
          <w:szCs w:val="16"/>
        </w:rPr>
      </w:pPr>
    </w:p>
    <w:p w14:paraId="2024AA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октября 1935 Лига наций ввела экономические санкции против Италии (2443,409).</w:t>
      </w:r>
    </w:p>
    <w:p w14:paraId="39ABB4A0" w14:textId="77777777" w:rsidR="00D4105E" w:rsidRPr="00E14102" w:rsidRDefault="00D4105E" w:rsidP="00E14102">
      <w:pPr>
        <w:autoSpaceDE w:val="0"/>
        <w:autoSpaceDN w:val="0"/>
        <w:adjustRightInd w:val="0"/>
        <w:jc w:val="both"/>
        <w:rPr>
          <w:color w:val="000000" w:themeColor="text1"/>
          <w:sz w:val="16"/>
          <w:szCs w:val="16"/>
        </w:rPr>
      </w:pPr>
    </w:p>
    <w:p w14:paraId="0B3D367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65F52FD" w14:textId="77777777" w:rsidR="00D4105E" w:rsidRPr="00E14102" w:rsidRDefault="00D4105E" w:rsidP="00E14102">
      <w:pPr>
        <w:autoSpaceDE w:val="0"/>
        <w:autoSpaceDN w:val="0"/>
        <w:adjustRightInd w:val="0"/>
        <w:jc w:val="both"/>
        <w:rPr>
          <w:iCs/>
          <w:color w:val="000000" w:themeColor="text1"/>
          <w:sz w:val="16"/>
          <w:szCs w:val="16"/>
        </w:rPr>
      </w:pPr>
    </w:p>
    <w:p w14:paraId="51FF92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(по 28 - 273,312) октября 1935 И-15бис был признан лучшим истребителем мира на выставке в Милане (66,154). И-16 тоже демонстрировался (67,115). А.С.Я. на эту выставку просился. Глававиапром - отказал, хотя был представлен АИР. Писал Я.Э.Рудзутаку - что он ни разу не был, а другие - ездят. Были П.О.Сухой и Н.Н.П. Был и Сталь-3 (74,102) и СПЛ И.В.Четверикова (92,501).</w:t>
      </w:r>
    </w:p>
    <w:p w14:paraId="54B7075E" w14:textId="77777777" w:rsidR="00D4105E" w:rsidRPr="00E14102" w:rsidRDefault="00D4105E" w:rsidP="00E14102">
      <w:pPr>
        <w:autoSpaceDE w:val="0"/>
        <w:autoSpaceDN w:val="0"/>
        <w:adjustRightInd w:val="0"/>
        <w:jc w:val="both"/>
        <w:rPr>
          <w:color w:val="000000" w:themeColor="text1"/>
          <w:sz w:val="16"/>
          <w:szCs w:val="16"/>
        </w:rPr>
      </w:pPr>
    </w:p>
    <w:p w14:paraId="0CA28C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12-18 октября 1935 на Международной выставке в Милане показывали Сталь-3, АИР-9бис, моторы АМ-34, МГ-11, МГ-21 и МГ-31 (237,176).</w:t>
      </w:r>
    </w:p>
    <w:p w14:paraId="5306EE8B" w14:textId="77777777" w:rsidR="00D4105E" w:rsidRPr="00E14102" w:rsidRDefault="00D4105E" w:rsidP="00E14102">
      <w:pPr>
        <w:autoSpaceDE w:val="0"/>
        <w:autoSpaceDN w:val="0"/>
        <w:adjustRightInd w:val="0"/>
        <w:jc w:val="both"/>
        <w:rPr>
          <w:color w:val="000000" w:themeColor="text1"/>
          <w:sz w:val="16"/>
          <w:szCs w:val="16"/>
        </w:rPr>
      </w:pPr>
    </w:p>
    <w:p w14:paraId="4BFA2C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12-17 октября 1935 прошли большие Киевские маневры, на которые привлекли 600 самолетов и высадили десант из 1200 бойцов (66,189).</w:t>
      </w:r>
    </w:p>
    <w:p w14:paraId="57817B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 в сентябре</w:t>
      </w:r>
    </w:p>
    <w:p w14:paraId="1D606A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Киевских маневрах была показана доставка танка Т-37А по воздуху на подвеске ПГ-12 под ТБ-3. Подвеска позволяла отделить танк без выхода экипажа ручкой у штурмана. Потом на Медвежьих озерах под Москвой опробовали сброс Т-37А на воду с подвески ТВД-2.</w:t>
      </w:r>
    </w:p>
    <w:p w14:paraId="16EE56C7" w14:textId="77777777" w:rsidR="00D4105E" w:rsidRPr="00E14102" w:rsidRDefault="00D4105E" w:rsidP="00E14102">
      <w:pPr>
        <w:autoSpaceDE w:val="0"/>
        <w:autoSpaceDN w:val="0"/>
        <w:adjustRightInd w:val="0"/>
        <w:jc w:val="both"/>
        <w:rPr>
          <w:color w:val="000000" w:themeColor="text1"/>
          <w:sz w:val="16"/>
          <w:szCs w:val="16"/>
        </w:rPr>
      </w:pPr>
    </w:p>
    <w:p w14:paraId="5083C0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октября СССР-Н10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696A74B4" w14:textId="77777777" w:rsidR="00D4105E" w:rsidRPr="00E14102" w:rsidRDefault="00D4105E" w:rsidP="00E14102">
      <w:pPr>
        <w:autoSpaceDE w:val="0"/>
        <w:autoSpaceDN w:val="0"/>
        <w:adjustRightInd w:val="0"/>
        <w:jc w:val="both"/>
        <w:rPr>
          <w:color w:val="000000" w:themeColor="text1"/>
          <w:sz w:val="16"/>
          <w:szCs w:val="16"/>
        </w:rPr>
      </w:pPr>
    </w:p>
    <w:p w14:paraId="340C0504" w14:textId="77777777" w:rsidR="00B90E74" w:rsidRPr="00E14102" w:rsidRDefault="00B90E74"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12 октября </w:t>
      </w:r>
      <w:r w:rsidRPr="00E14102">
        <w:rPr>
          <w:color w:val="000000" w:themeColor="text1"/>
          <w:sz w:val="16"/>
          <w:szCs w:val="16"/>
        </w:rPr>
        <w:t>в 1935 году в Милане открылась первая Международная авиационная выставка. СССР представлял авиационные моторы, самолёты АИР-9бис, “Сталь-9” и ряд других экспонатов. В советскую делегацию вошли авиаконструкторы Н.Н.Поликарпов, П.О.Сухой, А.С.Яковлев и др (14797).</w:t>
      </w:r>
    </w:p>
    <w:p w14:paraId="4C294C4F" w14:textId="77777777" w:rsidR="00B90E74" w:rsidRPr="00E14102" w:rsidRDefault="00B90E74" w:rsidP="00E14102">
      <w:pPr>
        <w:jc w:val="both"/>
        <w:rPr>
          <w:color w:val="000000" w:themeColor="text1"/>
          <w:sz w:val="16"/>
          <w:szCs w:val="16"/>
        </w:rPr>
      </w:pPr>
    </w:p>
    <w:p w14:paraId="67615514" w14:textId="77777777" w:rsidR="00B90E74" w:rsidRPr="00E14102" w:rsidRDefault="00B90E74" w:rsidP="00E14102">
      <w:pPr>
        <w:jc w:val="both"/>
        <w:rPr>
          <w:color w:val="000000" w:themeColor="text1"/>
          <w:sz w:val="16"/>
          <w:szCs w:val="16"/>
        </w:rPr>
      </w:pPr>
      <w:r w:rsidRPr="00E14102">
        <w:rPr>
          <w:bCs/>
          <w:color w:val="000000" w:themeColor="text1"/>
          <w:sz w:val="16"/>
          <w:szCs w:val="16"/>
        </w:rPr>
        <w:t>12 октября 1935 года</w:t>
      </w:r>
      <w:r w:rsidRPr="00E14102">
        <w:rPr>
          <w:color w:val="000000" w:themeColor="text1"/>
          <w:sz w:val="16"/>
          <w:szCs w:val="16"/>
        </w:rPr>
        <w:t xml:space="preserve"> В Милане открылась первая Международная авиационная выставка. СССР представлял авиационные моторы, самолет АИР-9бис и ряд других экспонатов. В советскую делегацию вошли авиаконструкторы Н.Н. Поликарпов, П.О. Сухой, А.С. Яковлев и другие.</w:t>
      </w:r>
    </w:p>
    <w:p w14:paraId="1C09CD10" w14:textId="77777777" w:rsidR="00B90E74" w:rsidRPr="00E14102" w:rsidRDefault="00B90E74" w:rsidP="00E14102">
      <w:pPr>
        <w:jc w:val="both"/>
        <w:rPr>
          <w:color w:val="000000" w:themeColor="text1"/>
          <w:sz w:val="16"/>
          <w:szCs w:val="16"/>
        </w:rPr>
      </w:pPr>
      <w:r w:rsidRPr="00E14102">
        <w:rPr>
          <w:color w:val="000000" w:themeColor="text1"/>
          <w:sz w:val="16"/>
          <w:szCs w:val="16"/>
        </w:rPr>
        <w:t>Кольцо Тауненда — кольцевой обтекатель радиального авиационного мотора, предназначенный для снижения лобового сопротивления воздуха. Так же, как и его современник, обтекатель NACA, кольцо Тауненда управляет потоками воздуха и с внешней стороны, и с внутренней, между кольцом и цилиндрами, что улучшает охлаждение мотора.</w:t>
      </w:r>
    </w:p>
    <w:p w14:paraId="3F0CAEC3" w14:textId="77777777" w:rsidR="00B90E74" w:rsidRPr="00E14102" w:rsidRDefault="00B90E74" w:rsidP="00E14102">
      <w:pPr>
        <w:jc w:val="both"/>
        <w:rPr>
          <w:color w:val="000000" w:themeColor="text1"/>
          <w:sz w:val="16"/>
          <w:szCs w:val="16"/>
        </w:rPr>
      </w:pPr>
      <w:r w:rsidRPr="00E14102">
        <w:rPr>
          <w:color w:val="000000" w:themeColor="text1"/>
          <w:sz w:val="16"/>
          <w:szCs w:val="16"/>
        </w:rPr>
        <w:t>Запатентованное в 1929 британцем Хьюбертом Таунендом из National Physical Laboratory (NPL), кольцо стало типичным для скоростных самолётов первой половины 1930-х годов с радиальными моторами воздушного охлаждения. Установка кольца давала прибавку в максимальной скорости в 15-25 км/ч.</w:t>
      </w:r>
    </w:p>
    <w:p w14:paraId="64994169" w14:textId="77777777" w:rsidR="00B90E74" w:rsidRPr="00E14102" w:rsidRDefault="00B90E74" w:rsidP="00E14102">
      <w:pPr>
        <w:jc w:val="both"/>
        <w:rPr>
          <w:color w:val="000000" w:themeColor="text1"/>
          <w:sz w:val="16"/>
          <w:szCs w:val="16"/>
        </w:rPr>
      </w:pPr>
      <w:r w:rsidRPr="00E14102">
        <w:rPr>
          <w:color w:val="000000" w:themeColor="text1"/>
          <w:sz w:val="16"/>
          <w:szCs w:val="16"/>
        </w:rPr>
        <w:t xml:space="preserve">Между 1931 и 1935 конструкции NACA и Тауненда считались прямыми конкурентами; сторонники обеих конструкций утверждали, что их выбор — лучше. В США профиль NACA вытеснил кольцо Тауненда благодаря вмешательству военных, заказавших в 1933 серию бомбардировщиков Martin B-10 именно с обтекателем NACA </w:t>
      </w:r>
      <w:r w:rsidRPr="00E14102">
        <w:rPr>
          <w:color w:val="000000" w:themeColor="text1"/>
          <w:sz w:val="16"/>
          <w:szCs w:val="16"/>
        </w:rPr>
        <w:lastRenderedPageBreak/>
        <w:t>(и одновременно отказавшихся от Boeing B-9 с кольцом Тауненда). По утверждениям Martin, новый обтекатель не только увеличил скорость на 48 км/ч, но и существенно уменьшил посадочную скорость.</w:t>
      </w:r>
    </w:p>
    <w:p w14:paraId="666F396D" w14:textId="77777777" w:rsidR="00B90E74" w:rsidRPr="00E14102" w:rsidRDefault="00B90E74" w:rsidP="00E14102">
      <w:pPr>
        <w:jc w:val="both"/>
        <w:rPr>
          <w:color w:val="000000" w:themeColor="text1"/>
          <w:sz w:val="16"/>
          <w:szCs w:val="16"/>
        </w:rPr>
      </w:pPr>
      <w:r w:rsidRPr="00E14102">
        <w:rPr>
          <w:color w:val="000000" w:themeColor="text1"/>
          <w:sz w:val="16"/>
          <w:szCs w:val="16"/>
        </w:rPr>
        <w:t>По мере развития авиации оказалось, что кольцо Тауненда эффективно только на скоростях не более 400 км/ч, и к концу 1930-х оно перестало использоваться в новых скоростных разработках (14797).</w:t>
      </w:r>
    </w:p>
    <w:p w14:paraId="53FAF419" w14:textId="77777777" w:rsidR="00B90E74" w:rsidRPr="00E14102" w:rsidRDefault="00B90E74" w:rsidP="00E14102">
      <w:pPr>
        <w:jc w:val="both"/>
        <w:rPr>
          <w:color w:val="000000" w:themeColor="text1"/>
          <w:sz w:val="16"/>
          <w:szCs w:val="16"/>
        </w:rPr>
      </w:pPr>
    </w:p>
    <w:p w14:paraId="700A68FB" w14:textId="77777777" w:rsidR="00CC7E66" w:rsidRPr="00E14102" w:rsidRDefault="00CC7E66" w:rsidP="00E14102">
      <w:pPr>
        <w:jc w:val="both"/>
        <w:rPr>
          <w:color w:val="0070C0"/>
          <w:sz w:val="16"/>
          <w:szCs w:val="16"/>
        </w:rPr>
      </w:pPr>
      <w:r w:rsidRPr="00E14102">
        <w:rPr>
          <w:rStyle w:val="140"/>
          <w:color w:val="0070C0"/>
          <w:sz w:val="16"/>
          <w:szCs w:val="16"/>
        </w:rPr>
        <w:t>С</w:t>
      </w:r>
      <w:r w:rsidRPr="00E14102">
        <w:rPr>
          <w:color w:val="0070C0"/>
          <w:sz w:val="16"/>
          <w:szCs w:val="16"/>
        </w:rPr>
        <w:t xml:space="preserve"> 12 по 28 октября 1935 года на международной авиацион</w:t>
      </w:r>
      <w:r w:rsidRPr="00E14102">
        <w:rPr>
          <w:color w:val="0070C0"/>
          <w:sz w:val="16"/>
          <w:szCs w:val="16"/>
        </w:rPr>
        <w:softHyphen/>
        <w:t>ной выставке в Милане лишь авиационная промышленность Италии была представлена в полном объеме. Великобритания от участия отказалась, США показали всего один самолет, немецкая экс</w:t>
      </w:r>
      <w:r w:rsidRPr="00E14102">
        <w:rPr>
          <w:color w:val="0070C0"/>
          <w:sz w:val="16"/>
          <w:szCs w:val="16"/>
        </w:rPr>
        <w:softHyphen/>
        <w:t>позиция большей частью была посвящена массовой подготовке летчиков, несколько фирм Франции и Польши показали не самые новые самолеты. Невелик был и стенд СССР, однако именно там, помимо самолетов АИР-9 и Сталь-7 и нескольких моторов, впервые продемонстрировали новинку, которой вско</w:t>
      </w:r>
      <w:r w:rsidRPr="00E14102">
        <w:rPr>
          <w:color w:val="0070C0"/>
          <w:sz w:val="16"/>
          <w:szCs w:val="16"/>
        </w:rPr>
        <w:softHyphen/>
        <w:t>ре предстояло вызвать живейший интерес авиационных специалистов всего мира. Этой новинкой, названной «скоростным спортив</w:t>
      </w:r>
      <w:r w:rsidRPr="00E14102">
        <w:rPr>
          <w:color w:val="0070C0"/>
          <w:sz w:val="16"/>
          <w:szCs w:val="16"/>
        </w:rPr>
        <w:softHyphen/>
        <w:t>ным самолетом», был новейший истребитель Н.Н. Поликарпова И-16 со снятым вооруже</w:t>
      </w:r>
      <w:r w:rsidRPr="00E14102">
        <w:rPr>
          <w:color w:val="0070C0"/>
          <w:sz w:val="16"/>
          <w:szCs w:val="16"/>
        </w:rPr>
        <w:softHyphen/>
        <w:t>нием и, для сокрытия технических решений, с муляжом шасси (19864).</w:t>
      </w:r>
    </w:p>
    <w:p w14:paraId="5A6A51AE" w14:textId="77777777" w:rsidR="00CC7E66" w:rsidRPr="00E14102" w:rsidRDefault="00CC7E66" w:rsidP="00E14102">
      <w:pPr>
        <w:jc w:val="both"/>
        <w:rPr>
          <w:color w:val="0070C0"/>
          <w:sz w:val="16"/>
          <w:szCs w:val="16"/>
        </w:rPr>
      </w:pPr>
    </w:p>
    <w:p w14:paraId="3BCC5AA6" w14:textId="77777777" w:rsidR="00CC7E66" w:rsidRPr="00E14102" w:rsidRDefault="00CC7E66" w:rsidP="00E14102">
      <w:pPr>
        <w:jc w:val="both"/>
        <w:rPr>
          <w:color w:val="0070C0"/>
          <w:sz w:val="16"/>
          <w:szCs w:val="16"/>
        </w:rPr>
      </w:pPr>
      <w:bookmarkStart w:id="30" w:name="_Hlk77843784"/>
      <w:r w:rsidRPr="00E14102">
        <w:rPr>
          <w:color w:val="0070C0"/>
          <w:sz w:val="16"/>
          <w:szCs w:val="16"/>
        </w:rPr>
        <w:t>12-28 октября 1935 г. в Милане состоялась Международная авиационная выставка (Salone internazionale aeronautico). Решение об участии в ней было принято на заседании Президиума ЦК 27 марта 1935 г., в повестке дня заседания было указано: «Принять участие в Миланской выставке, ограничившись экспонатами нашей авиапромышленности и гражданской авиации и при условии минимальных затрат на это дело». Организация отправки экспонатов и советской делегации были возложены на начальника Главного управления ГВФ И.Ф.Ткачева.</w:t>
      </w:r>
    </w:p>
    <w:p w14:paraId="29BE755D" w14:textId="77777777" w:rsidR="00CC7E66" w:rsidRPr="00E14102" w:rsidRDefault="00CC7E66" w:rsidP="00E14102">
      <w:pPr>
        <w:jc w:val="both"/>
        <w:rPr>
          <w:color w:val="0070C0"/>
          <w:sz w:val="16"/>
          <w:szCs w:val="16"/>
        </w:rPr>
      </w:pPr>
      <w:r w:rsidRPr="00E14102">
        <w:rPr>
          <w:color w:val="0070C0"/>
          <w:sz w:val="16"/>
          <w:szCs w:val="16"/>
        </w:rPr>
        <w:t>На выставку была командирована группа советских инженеров и конструкторов, в числе которых был и А.С. Яковлев. Недавно в архиве ОКБ А.С. Яковлева С.Д. Кузнецовым был найден документ, приводящий список членов советской делегации и порядок выдачи им пропусков для посещения различных итальянских предприятий. Согласно этому источнику, в группу входили и другие авиаконструкторы и директоры заводов: П.О. Сухой, И.В. Четвериков, Н.Н. Поликарпов, Г.Н. Королев, К.А. Калинин, Л.П. Григорович, Б.И. Погоскин, Г.Г. Фельдман, о чем не упоминалось в общеизвестной книге вопоминаний А.С. Яковлева «Цель жизни». Группа должна была посетить заводы «Caproni», «Fiat», «SIAI-Marchetti», «Piaggio», «Macchi», «Breda», аэродром Монтечелио, на все эти заводы были поданы заявки на заказ пропусков для членов делегации.</w:t>
      </w:r>
    </w:p>
    <w:p w14:paraId="0AA92936" w14:textId="77777777" w:rsidR="00CC7E66" w:rsidRPr="00E14102" w:rsidRDefault="00CC7E66" w:rsidP="00E14102">
      <w:pPr>
        <w:jc w:val="both"/>
        <w:rPr>
          <w:color w:val="0070C0"/>
          <w:sz w:val="16"/>
          <w:szCs w:val="16"/>
        </w:rPr>
      </w:pPr>
      <w:r w:rsidRPr="00E14102">
        <w:rPr>
          <w:color w:val="0070C0"/>
          <w:sz w:val="16"/>
          <w:szCs w:val="16"/>
        </w:rPr>
        <w:t>Итальянцы показывали самолето- и моторостроение, авиационные приборы, все виды оборудования, вооружения, аэродромного оборудования и даже летного обмундирования. Италия демонстрировала почти все, что в то время производилось на ее заводах, начиная с маленьких туристских и спортивных самолетов мощностью 100-150 лошадиных сил, поражавших исключительной культурой отделки (“Бреда-79”, “Капрони”), и кончая двух- и трехмоторными бомбовозами и пассажирскими красавцами “Савойя”, “Фиат”, “Капрони”. Советская делегация осмотрела также заводы «Fiat», «Savoia» «Breda» и «Caproni».</w:t>
      </w:r>
    </w:p>
    <w:p w14:paraId="169EA77B" w14:textId="77777777" w:rsidR="00CC7E66" w:rsidRPr="00E14102" w:rsidRDefault="00CC7E66" w:rsidP="00E14102">
      <w:pPr>
        <w:jc w:val="both"/>
        <w:rPr>
          <w:color w:val="0070C0"/>
          <w:sz w:val="16"/>
          <w:szCs w:val="16"/>
        </w:rPr>
      </w:pPr>
      <w:r w:rsidRPr="00E14102">
        <w:rPr>
          <w:color w:val="0070C0"/>
          <w:sz w:val="16"/>
          <w:szCs w:val="16"/>
        </w:rPr>
        <w:t>На советском стенде Миланской выстаки были представлены самолеты И-16 тип 5, представленный как спортивный самолет АСБ, Сталь-3 Путилова, АИР-9бис Яковлева, ОСГА-101 Четверикова, двигатель М-34 (21410).</w:t>
      </w:r>
    </w:p>
    <w:p w14:paraId="5F8BC943" w14:textId="77777777" w:rsidR="00CC7E66" w:rsidRPr="00E14102" w:rsidRDefault="00CC7E66" w:rsidP="00E14102">
      <w:pPr>
        <w:jc w:val="both"/>
        <w:rPr>
          <w:color w:val="0070C0"/>
          <w:sz w:val="16"/>
          <w:szCs w:val="16"/>
        </w:rPr>
      </w:pPr>
    </w:p>
    <w:bookmarkEnd w:id="30"/>
    <w:p w14:paraId="5D73335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7850BF6" w14:textId="77777777" w:rsidR="00D4105E" w:rsidRPr="00E14102" w:rsidRDefault="00D4105E" w:rsidP="00E14102">
      <w:pPr>
        <w:autoSpaceDE w:val="0"/>
        <w:autoSpaceDN w:val="0"/>
        <w:adjustRightInd w:val="0"/>
        <w:jc w:val="both"/>
        <w:rPr>
          <w:iCs/>
          <w:color w:val="000000" w:themeColor="text1"/>
          <w:sz w:val="16"/>
          <w:szCs w:val="16"/>
        </w:rPr>
      </w:pPr>
    </w:p>
    <w:p w14:paraId="3628AC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октября 1935 года зам. начальника УВС Хрипин писал письмо N 41/002527 зам. наркома Тухачевскому.</w:t>
      </w:r>
    </w:p>
    <w:p w14:paraId="5161B2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Доношу краткие результаты войсковых испытаний И16-М22 на 5.10.с.г.</w:t>
      </w:r>
    </w:p>
    <w:p w14:paraId="2C0050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в среднем выполнили: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E3599D" w:rsidRPr="00E14102" w14:paraId="28CCF70F" w14:textId="77777777">
        <w:tc>
          <w:tcPr>
            <w:tcW w:w="2818" w:type="dxa"/>
            <w:tcBorders>
              <w:top w:val="single" w:sz="12" w:space="0" w:color="auto"/>
            </w:tcBorders>
          </w:tcPr>
          <w:p w14:paraId="230F3777" w14:textId="77777777" w:rsidR="00D4105E" w:rsidRPr="00E14102" w:rsidRDefault="00D4105E" w:rsidP="00E14102">
            <w:pPr>
              <w:autoSpaceDE w:val="0"/>
              <w:autoSpaceDN w:val="0"/>
              <w:adjustRightInd w:val="0"/>
              <w:jc w:val="both"/>
              <w:rPr>
                <w:color w:val="000000" w:themeColor="text1"/>
                <w:sz w:val="16"/>
                <w:szCs w:val="16"/>
              </w:rPr>
            </w:pPr>
          </w:p>
        </w:tc>
        <w:tc>
          <w:tcPr>
            <w:tcW w:w="2818" w:type="dxa"/>
            <w:tcBorders>
              <w:top w:val="single" w:sz="12" w:space="0" w:color="auto"/>
            </w:tcBorders>
          </w:tcPr>
          <w:p w14:paraId="19CFA7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Фигур</w:t>
            </w:r>
          </w:p>
        </w:tc>
        <w:tc>
          <w:tcPr>
            <w:tcW w:w="2818" w:type="dxa"/>
            <w:tcBorders>
              <w:top w:val="single" w:sz="12" w:space="0" w:color="auto"/>
            </w:tcBorders>
          </w:tcPr>
          <w:p w14:paraId="4E5A8A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Посадок</w:t>
            </w:r>
          </w:p>
        </w:tc>
        <w:tc>
          <w:tcPr>
            <w:tcW w:w="2818" w:type="dxa"/>
            <w:tcBorders>
              <w:top w:val="single" w:sz="12" w:space="0" w:color="auto"/>
            </w:tcBorders>
          </w:tcPr>
          <w:p w14:paraId="02844E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Час. полета</w:t>
            </w:r>
          </w:p>
        </w:tc>
      </w:tr>
      <w:tr w:rsidR="00E3599D" w:rsidRPr="00E14102" w14:paraId="679392DE" w14:textId="77777777">
        <w:tc>
          <w:tcPr>
            <w:tcW w:w="2818" w:type="dxa"/>
          </w:tcPr>
          <w:p w14:paraId="5A2ECA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Завода N 39</w:t>
            </w:r>
          </w:p>
        </w:tc>
        <w:tc>
          <w:tcPr>
            <w:tcW w:w="2818" w:type="dxa"/>
          </w:tcPr>
          <w:p w14:paraId="5028D3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1200-1400</w:t>
            </w:r>
          </w:p>
        </w:tc>
        <w:tc>
          <w:tcPr>
            <w:tcW w:w="2818" w:type="dxa"/>
          </w:tcPr>
          <w:p w14:paraId="495437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80-85</w:t>
            </w:r>
          </w:p>
        </w:tc>
        <w:tc>
          <w:tcPr>
            <w:tcW w:w="2818" w:type="dxa"/>
          </w:tcPr>
          <w:p w14:paraId="3ED0B3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30-35</w:t>
            </w:r>
          </w:p>
        </w:tc>
      </w:tr>
      <w:tr w:rsidR="00E3599D" w:rsidRPr="00E14102" w14:paraId="66EEDCD7" w14:textId="77777777">
        <w:tc>
          <w:tcPr>
            <w:tcW w:w="2818" w:type="dxa"/>
            <w:tcBorders>
              <w:bottom w:val="single" w:sz="12" w:space="0" w:color="auto"/>
            </w:tcBorders>
          </w:tcPr>
          <w:p w14:paraId="23762D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Завода N 21</w:t>
            </w:r>
          </w:p>
        </w:tc>
        <w:tc>
          <w:tcPr>
            <w:tcW w:w="2818" w:type="dxa"/>
            <w:tcBorders>
              <w:bottom w:val="single" w:sz="12" w:space="0" w:color="auto"/>
            </w:tcBorders>
          </w:tcPr>
          <w:p w14:paraId="07BF8C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1100-1200</w:t>
            </w:r>
          </w:p>
        </w:tc>
        <w:tc>
          <w:tcPr>
            <w:tcW w:w="2818" w:type="dxa"/>
            <w:tcBorders>
              <w:bottom w:val="single" w:sz="12" w:space="0" w:color="auto"/>
            </w:tcBorders>
          </w:tcPr>
          <w:p w14:paraId="5A75C0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2818" w:type="dxa"/>
            <w:tcBorders>
              <w:bottom w:val="single" w:sz="12" w:space="0" w:color="auto"/>
            </w:tcBorders>
          </w:tcPr>
          <w:p w14:paraId="7269FB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27-30</w:t>
            </w:r>
          </w:p>
        </w:tc>
      </w:tr>
    </w:tbl>
    <w:p w14:paraId="749B02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Выявлены крупные дефекты.</w:t>
      </w:r>
    </w:p>
    <w:p w14:paraId="79B976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w:t>
      </w:r>
    </w:p>
    <w:p w14:paraId="5B106B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И-16 М-22 требует еще большой работы по доводке и устранению дефектов, препятствующих использовать его как вполне надежного истребителя. (3120,93).</w:t>
      </w:r>
    </w:p>
    <w:p w14:paraId="1FF7CD50" w14:textId="77777777" w:rsidR="00D4105E" w:rsidRPr="00E14102" w:rsidRDefault="00D4105E" w:rsidP="00E14102">
      <w:pPr>
        <w:autoSpaceDE w:val="0"/>
        <w:autoSpaceDN w:val="0"/>
        <w:adjustRightInd w:val="0"/>
        <w:jc w:val="both"/>
        <w:rPr>
          <w:color w:val="000000" w:themeColor="text1"/>
          <w:sz w:val="16"/>
          <w:szCs w:val="16"/>
        </w:rPr>
      </w:pPr>
    </w:p>
    <w:p w14:paraId="008C2D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октября 1935 начались гос. испытания лицензионного мотора М-85 производства завода 29 им. Баранова, которые проходили до 13 октября 1935</w:t>
      </w:r>
    </w:p>
    <w:p w14:paraId="1CA97E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января 1936 Нач. НИИ ВВС Бажанов утвердил Отчет по гос. испытаниям лицензионного мотора М-85 производства завода 29 им. Баранова.</w:t>
      </w:r>
    </w:p>
    <w:p w14:paraId="2D6F7D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января 1936 Нач. КВВС РККА Я.И.Алкснис подписал Акт утверждения рез-тов гос. испытаний лицензионного мотора М-85 производства завода 29 им. Баранова.</w:t>
      </w:r>
    </w:p>
    <w:p w14:paraId="291EA0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исполнитель ст и 3 отд. НИИ ВВС РККА Лопатин</w:t>
      </w:r>
    </w:p>
    <w:p w14:paraId="16F984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 853 собран из деталей отечественного производства и изготовлен заводом № 29 за исключением шариковых и роликовых подшипников, пускового клапана сжатого воздуха, коллектора и проводов зажигания, свечей, магнето “Велотекс”, карбюратора “Стромборг”, компрессора “Вьет и выхлопных патрубков</w:t>
      </w:r>
    </w:p>
    <w:p w14:paraId="7D6A88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З-ду № 29 необходимо форсировать переход работы мотора с касторового на минеральное</w:t>
      </w:r>
    </w:p>
    <w:p w14:paraId="7B0695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Номинальная мощность 800 лс, 2400 оборотов, Рк 725-745</w:t>
      </w:r>
    </w:p>
    <w:p w14:paraId="46930E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Удельный расход на номинальной мощности - 300 г/лс/час</w:t>
      </w:r>
    </w:p>
    <w:p w14:paraId="129812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Сухой вес 600, удельный вес 0,75 на лс</w:t>
      </w:r>
    </w:p>
    <w:p w14:paraId="6F1863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октября 1935 на гос. испытания поступил мотор М-85 производства 29 завода (781,2).</w:t>
      </w:r>
    </w:p>
    <w:p w14:paraId="15BE6B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Двигатель М-85 был в большом дефиците и шел в основном на ДБ-3. Например, Р-9 С.А.Кочеригина он просто не достался. В 1935 сделали всего 4 (1153).</w:t>
      </w:r>
    </w:p>
    <w:p w14:paraId="452BA623" w14:textId="77777777" w:rsidR="00D4105E" w:rsidRPr="00E14102" w:rsidRDefault="00D4105E" w:rsidP="00E14102">
      <w:pPr>
        <w:autoSpaceDE w:val="0"/>
        <w:autoSpaceDN w:val="0"/>
        <w:adjustRightInd w:val="0"/>
        <w:jc w:val="both"/>
        <w:rPr>
          <w:color w:val="000000" w:themeColor="text1"/>
          <w:sz w:val="16"/>
          <w:szCs w:val="16"/>
        </w:rPr>
      </w:pPr>
    </w:p>
    <w:p w14:paraId="369164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13 октября 1935 по 20 июня 1936 года проводились испытания нового нитроцеллюлозного лакокрасочного покрытия для пропеллеров из твердых пород древесины (2729).</w:t>
      </w:r>
    </w:p>
    <w:p w14:paraId="02C4CB0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52ACE98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нового нитроцеллюлозного лакокрасочного покрытия, предложенного ВИАМом для окраски пропеллеров из твердых пород древесины, имело целью установить качества их, срок службы в условиях эксплуатации и возможность замены ими комбинированных нитромасляных покрытий, применяемых в настоящее время.</w:t>
      </w:r>
    </w:p>
    <w:p w14:paraId="4E88167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период с 13 октября 1935 года по 20 июня 1936 года было проведено эксплуатационное испытание опытного покрытия на винтах.</w:t>
      </w:r>
    </w:p>
    <w:p w14:paraId="55D3DBE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BA912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Предложенное ВИАМом лакокрасочное покрытие для деревянных пропеллеров, сделанных из твердых пород древесины, может быть допущено в серийное производство.</w:t>
      </w:r>
    </w:p>
    <w:p w14:paraId="6036A41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Серийное покрытие представляет собой комбинацию масляных и нитроцеллюлозных лакокрасочных материалов с применением авиационного полотна А-16.</w:t>
      </w:r>
    </w:p>
    <w:p w14:paraId="2B41008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Опытное покрытие исключает применение масляных лакокрасочных материалов, полотна А-16 и мездрового клея и представляет собой ряд нитроцеллюлозных материалов и разреженное суровое полотно А/П.</w:t>
      </w:r>
    </w:p>
    <w:p w14:paraId="77BE51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Технологический процесс серийной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E3599D" w:rsidRPr="00E14102" w14:paraId="78213910" w14:textId="77777777">
        <w:tc>
          <w:tcPr>
            <w:tcW w:w="4428" w:type="dxa"/>
          </w:tcPr>
          <w:p w14:paraId="5B57CA8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Оклейка винта полотном и оковка. Оковка на заклепках.</w:t>
            </w:r>
          </w:p>
        </w:tc>
        <w:tc>
          <w:tcPr>
            <w:tcW w:w="4428" w:type="dxa"/>
          </w:tcPr>
          <w:p w14:paraId="52007F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Полотно А-16, клей мездровый по ОСТу № 2188.</w:t>
            </w:r>
          </w:p>
        </w:tc>
      </w:tr>
      <w:tr w:rsidR="00E3599D" w:rsidRPr="00E14102" w14:paraId="1BC28FEB" w14:textId="77777777">
        <w:tc>
          <w:tcPr>
            <w:tcW w:w="4428" w:type="dxa"/>
          </w:tcPr>
          <w:p w14:paraId="2D97179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Грунтовка серая</w:t>
            </w:r>
          </w:p>
        </w:tc>
        <w:tc>
          <w:tcPr>
            <w:tcW w:w="4428" w:type="dxa"/>
          </w:tcPr>
          <w:p w14:paraId="1870002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МГ-28</w:t>
            </w:r>
          </w:p>
        </w:tc>
      </w:tr>
      <w:tr w:rsidR="00E3599D" w:rsidRPr="00E14102" w14:paraId="6F0FB961" w14:textId="77777777">
        <w:tc>
          <w:tcPr>
            <w:tcW w:w="4428" w:type="dxa"/>
          </w:tcPr>
          <w:p w14:paraId="1217E33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Шкурение</w:t>
            </w:r>
          </w:p>
        </w:tc>
        <w:tc>
          <w:tcPr>
            <w:tcW w:w="4428" w:type="dxa"/>
          </w:tcPr>
          <w:p w14:paraId="3975963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Наждачная бумага.</w:t>
            </w:r>
          </w:p>
        </w:tc>
      </w:tr>
      <w:tr w:rsidR="00E3599D" w:rsidRPr="00E14102" w14:paraId="63A08429" w14:textId="77777777">
        <w:tc>
          <w:tcPr>
            <w:tcW w:w="4428" w:type="dxa"/>
          </w:tcPr>
          <w:p w14:paraId="4947A77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Шпаклевка всего винта и частичная повторочная шпаклевка</w:t>
            </w:r>
          </w:p>
        </w:tc>
        <w:tc>
          <w:tcPr>
            <w:tcW w:w="4428" w:type="dxa"/>
          </w:tcPr>
          <w:p w14:paraId="5CEF4E6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Лаковая шпаклевка</w:t>
            </w:r>
          </w:p>
        </w:tc>
      </w:tr>
      <w:tr w:rsidR="00E3599D" w:rsidRPr="00E14102" w14:paraId="33CE0357" w14:textId="77777777">
        <w:tc>
          <w:tcPr>
            <w:tcW w:w="4428" w:type="dxa"/>
          </w:tcPr>
          <w:p w14:paraId="1FFB0D8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Шкурение</w:t>
            </w:r>
          </w:p>
        </w:tc>
        <w:tc>
          <w:tcPr>
            <w:tcW w:w="4428" w:type="dxa"/>
          </w:tcPr>
          <w:p w14:paraId="7D43F9A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Наждачная бумага.</w:t>
            </w:r>
          </w:p>
        </w:tc>
      </w:tr>
      <w:tr w:rsidR="00E3599D" w:rsidRPr="00E14102" w14:paraId="2800B773" w14:textId="77777777">
        <w:tc>
          <w:tcPr>
            <w:tcW w:w="4428" w:type="dxa"/>
          </w:tcPr>
          <w:p w14:paraId="016301F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Шпаклевка всего винта</w:t>
            </w:r>
          </w:p>
        </w:tc>
        <w:tc>
          <w:tcPr>
            <w:tcW w:w="4428" w:type="dxa"/>
          </w:tcPr>
          <w:p w14:paraId="4E4E2C2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Лаковая шпаклевка</w:t>
            </w:r>
          </w:p>
        </w:tc>
      </w:tr>
      <w:tr w:rsidR="00E3599D" w:rsidRPr="00E14102" w14:paraId="316CF476" w14:textId="77777777">
        <w:tc>
          <w:tcPr>
            <w:tcW w:w="4428" w:type="dxa"/>
          </w:tcPr>
          <w:p w14:paraId="3E8A8F9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Шкурение</w:t>
            </w:r>
          </w:p>
        </w:tc>
        <w:tc>
          <w:tcPr>
            <w:tcW w:w="4428" w:type="dxa"/>
          </w:tcPr>
          <w:p w14:paraId="64B290E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Наждачная бумага.</w:t>
            </w:r>
          </w:p>
        </w:tc>
      </w:tr>
      <w:tr w:rsidR="00E3599D" w:rsidRPr="00E14102" w14:paraId="79A43696" w14:textId="77777777">
        <w:tc>
          <w:tcPr>
            <w:tcW w:w="4428" w:type="dxa"/>
          </w:tcPr>
          <w:p w14:paraId="3BEB1B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Грунтовка</w:t>
            </w:r>
          </w:p>
        </w:tc>
        <w:tc>
          <w:tcPr>
            <w:tcW w:w="4428" w:type="dxa"/>
          </w:tcPr>
          <w:p w14:paraId="45982A8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ГВ № 28</w:t>
            </w:r>
          </w:p>
        </w:tc>
      </w:tr>
      <w:tr w:rsidR="00E3599D" w:rsidRPr="00E14102" w14:paraId="4111567E" w14:textId="77777777">
        <w:tc>
          <w:tcPr>
            <w:tcW w:w="4428" w:type="dxa"/>
          </w:tcPr>
          <w:p w14:paraId="2BCF058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Окраска 1 слоем</w:t>
            </w:r>
          </w:p>
        </w:tc>
        <w:tc>
          <w:tcPr>
            <w:tcW w:w="4428" w:type="dxa"/>
          </w:tcPr>
          <w:p w14:paraId="401357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Нитроэмаль ДВ защ.</w:t>
            </w:r>
          </w:p>
        </w:tc>
      </w:tr>
      <w:tr w:rsidR="00E3599D" w:rsidRPr="00E14102" w14:paraId="1D92791E" w14:textId="77777777">
        <w:tc>
          <w:tcPr>
            <w:tcW w:w="4428" w:type="dxa"/>
          </w:tcPr>
          <w:p w14:paraId="512FFD0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Шкурение</w:t>
            </w:r>
          </w:p>
        </w:tc>
        <w:tc>
          <w:tcPr>
            <w:tcW w:w="4428" w:type="dxa"/>
          </w:tcPr>
          <w:p w14:paraId="390C07C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Наждачная бумага.</w:t>
            </w:r>
          </w:p>
        </w:tc>
      </w:tr>
      <w:tr w:rsidR="00E3599D" w:rsidRPr="00E14102" w14:paraId="4A2B5D0C" w14:textId="77777777">
        <w:tc>
          <w:tcPr>
            <w:tcW w:w="4428" w:type="dxa"/>
          </w:tcPr>
          <w:p w14:paraId="173D2CF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Окраска 2 слоем</w:t>
            </w:r>
          </w:p>
        </w:tc>
        <w:tc>
          <w:tcPr>
            <w:tcW w:w="4428" w:type="dxa"/>
          </w:tcPr>
          <w:p w14:paraId="20F3F5D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Нитроэмаль ДВ защ.</w:t>
            </w:r>
          </w:p>
        </w:tc>
      </w:tr>
      <w:tr w:rsidR="00E3599D" w:rsidRPr="00E14102" w14:paraId="23198304" w14:textId="77777777">
        <w:tc>
          <w:tcPr>
            <w:tcW w:w="4428" w:type="dxa"/>
          </w:tcPr>
          <w:p w14:paraId="7C9D7F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Лакировка</w:t>
            </w:r>
          </w:p>
        </w:tc>
        <w:tc>
          <w:tcPr>
            <w:tcW w:w="4428" w:type="dxa"/>
          </w:tcPr>
          <w:p w14:paraId="41382C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Нитролак АВ4 б/ц</w:t>
            </w:r>
          </w:p>
        </w:tc>
      </w:tr>
      <w:tr w:rsidR="00E3599D" w:rsidRPr="00E14102" w14:paraId="1EE97B0B" w14:textId="77777777">
        <w:tc>
          <w:tcPr>
            <w:tcW w:w="4428" w:type="dxa"/>
          </w:tcPr>
          <w:p w14:paraId="24C3EBF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Шлифовка</w:t>
            </w:r>
          </w:p>
        </w:tc>
        <w:tc>
          <w:tcPr>
            <w:tcW w:w="4428" w:type="dxa"/>
          </w:tcPr>
          <w:p w14:paraId="0B3F854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Пемза с водой</w:t>
            </w:r>
          </w:p>
        </w:tc>
      </w:tr>
      <w:tr w:rsidR="00E3599D" w:rsidRPr="00E14102" w14:paraId="5E9AB77A" w14:textId="77777777">
        <w:tc>
          <w:tcPr>
            <w:tcW w:w="4428" w:type="dxa"/>
          </w:tcPr>
          <w:p w14:paraId="7E2224F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Лакировка</w:t>
            </w:r>
          </w:p>
        </w:tc>
        <w:tc>
          <w:tcPr>
            <w:tcW w:w="4428" w:type="dxa"/>
          </w:tcPr>
          <w:p w14:paraId="7EF02A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Нитролак АВ4 б/ц</w:t>
            </w:r>
          </w:p>
        </w:tc>
      </w:tr>
    </w:tbl>
    <w:p w14:paraId="707DBAD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Рецептуры лакокрасочных материалов примененных для опытной окраски пропеллеров</w:t>
      </w:r>
    </w:p>
    <w:p w14:paraId="22754C5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Нитроклей</w:t>
      </w:r>
    </w:p>
    <w:p w14:paraId="08FF03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Нитроцеллюлоза низковязкая (сухая) – 10%</w:t>
      </w:r>
    </w:p>
    <w:p w14:paraId="3A46257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Спирт этиловый (включая спирт из каллокселина) – 4,4%</w:t>
      </w:r>
    </w:p>
    <w:p w14:paraId="3017161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Трикрезилфосфат – 3,2%</w:t>
      </w:r>
    </w:p>
    <w:p w14:paraId="00B6AF5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Льняное масло слабополим. - - 3%</w:t>
      </w:r>
    </w:p>
    <w:p w14:paraId="7B709D2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Эфир Гарпиус – 4%</w:t>
      </w:r>
    </w:p>
    <w:p w14:paraId="2A49BC2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Бензол – 25%</w:t>
      </w:r>
    </w:p>
    <w:p w14:paraId="69C336F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Ацетон – 14%</w:t>
      </w:r>
    </w:p>
    <w:p w14:paraId="0121BBE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Этилацетат – 20%</w:t>
      </w:r>
    </w:p>
    <w:p w14:paraId="0631D8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Амилацетат – 16,4%</w:t>
      </w:r>
    </w:p>
    <w:p w14:paraId="4158A71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Нитрогрунт “В”</w:t>
      </w:r>
    </w:p>
    <w:p w14:paraId="010F13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Нитроцеллюлоза низковязкая – 6%</w:t>
      </w:r>
    </w:p>
    <w:p w14:paraId="3A767B8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Эфир Гарпиус – 6%</w:t>
      </w:r>
    </w:p>
    <w:p w14:paraId="6E6DD9C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Льняное масло слабополим. – 4%</w:t>
      </w:r>
    </w:p>
    <w:p w14:paraId="0747EC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Трикрезилфосфат – 2%</w:t>
      </w:r>
    </w:p>
    <w:p w14:paraId="6D47C7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Цинковый крон – 9%</w:t>
      </w:r>
    </w:p>
    <w:p w14:paraId="75C4435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Алюминиевый порошок – 1%</w:t>
      </w:r>
    </w:p>
    <w:p w14:paraId="0559290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Бензол – 22%</w:t>
      </w:r>
    </w:p>
    <w:p w14:paraId="48875D6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Толуол – 6%</w:t>
      </w:r>
    </w:p>
    <w:p w14:paraId="0C167E2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Ацетон – 15%</w:t>
      </w:r>
    </w:p>
    <w:p w14:paraId="55F15F5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Этилацетат – 12%</w:t>
      </w:r>
    </w:p>
    <w:p w14:paraId="27E2DAD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Спирт коллокселин – 2%</w:t>
      </w:r>
    </w:p>
    <w:p w14:paraId="44F2C60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Амилацетат 15%</w:t>
      </w:r>
    </w:p>
    <w:p w14:paraId="30A38C1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Нитрошпаклевка “В”</w:t>
      </w:r>
    </w:p>
    <w:p w14:paraId="0D41A21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Нитроцеллюлоза НВ – 6%</w:t>
      </w:r>
    </w:p>
    <w:p w14:paraId="29F37F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Эфир Гарпиус – 5%</w:t>
      </w:r>
    </w:p>
    <w:p w14:paraId="7D689D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Льняное масло слабополим. - 3%</w:t>
      </w:r>
    </w:p>
    <w:p w14:paraId="317C49A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Касторовое масло – 3%</w:t>
      </w:r>
    </w:p>
    <w:p w14:paraId="0821572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Цинковые белила – 12%</w:t>
      </w:r>
    </w:p>
    <w:p w14:paraId="0219D0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Свинцовый крон – 8%</w:t>
      </w:r>
    </w:p>
    <w:p w14:paraId="3360D46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Калин – 30%</w:t>
      </w:r>
    </w:p>
    <w:p w14:paraId="24C26B9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Бензол – 6%</w:t>
      </w:r>
    </w:p>
    <w:p w14:paraId="51A5377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Ксилол – 4%</w:t>
      </w:r>
    </w:p>
    <w:p w14:paraId="4A4EE83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Ацетон – 5%</w:t>
      </w:r>
    </w:p>
    <w:p w14:paraId="502F611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Этилацетат – 10%</w:t>
      </w:r>
    </w:p>
    <w:p w14:paraId="44ACAAC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Амилацетат – 6%</w:t>
      </w:r>
    </w:p>
    <w:p w14:paraId="2F1FDAE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Спирт коллокселин – 2%</w:t>
      </w:r>
    </w:p>
    <w:p w14:paraId="741D7E2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Нитрозащитная “В”</w:t>
      </w:r>
    </w:p>
    <w:p w14:paraId="2A7D546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Нитроцеллюлоза НВ – 6%</w:t>
      </w:r>
    </w:p>
    <w:p w14:paraId="251C53D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Эфир Гарпиус – 5%</w:t>
      </w:r>
    </w:p>
    <w:p w14:paraId="4AC8C66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Льняное масло слабополим. – 4%</w:t>
      </w:r>
    </w:p>
    <w:p w14:paraId="136F535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Трикрезилфосфат – 4%</w:t>
      </w:r>
    </w:p>
    <w:p w14:paraId="30DC7A0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Сажа нефтяная – 0,2%</w:t>
      </w:r>
    </w:p>
    <w:p w14:paraId="1543624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Цинковый крон – 3%</w:t>
      </w:r>
    </w:p>
    <w:p w14:paraId="551ED71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Свинцовый крон – 3%</w:t>
      </w:r>
    </w:p>
    <w:p w14:paraId="1B2DC91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Мумия – 1,8%</w:t>
      </w:r>
    </w:p>
    <w:p w14:paraId="46888BB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Толуол – 6%</w:t>
      </w:r>
    </w:p>
    <w:p w14:paraId="7F64B7D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Ацетон – 15%</w:t>
      </w:r>
    </w:p>
    <w:p w14:paraId="55ED43B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Этилацетат – 12%</w:t>
      </w:r>
    </w:p>
    <w:p w14:paraId="0A4C901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Амилацетат – 16%</w:t>
      </w:r>
    </w:p>
    <w:p w14:paraId="3640817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Спирт коллокселин – 2%</w:t>
      </w:r>
    </w:p>
    <w:p w14:paraId="63B2CA0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Бензол – 22%</w:t>
      </w:r>
    </w:p>
    <w:p w14:paraId="5CFC6F2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Нитролак “В”</w:t>
      </w:r>
    </w:p>
    <w:p w14:paraId="5B41803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Нитроцеллюлоза НВ – 6,5%</w:t>
      </w:r>
    </w:p>
    <w:p w14:paraId="7ADF9AC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Дибутилфталат – 3,5%</w:t>
      </w:r>
    </w:p>
    <w:p w14:paraId="6F41F9B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Ацетон – 14,3%</w:t>
      </w:r>
    </w:p>
    <w:p w14:paraId="5114F2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Амилацетат – 25%</w:t>
      </w:r>
    </w:p>
    <w:p w14:paraId="2B9725E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Касторовое масло – 3,5%</w:t>
      </w:r>
    </w:p>
    <w:p w14:paraId="609603C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Бензол – 30%</w:t>
      </w:r>
    </w:p>
    <w:p w14:paraId="761CDD7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Этилацетат - 15%</w:t>
      </w:r>
    </w:p>
    <w:p w14:paraId="4C68D9B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Спирт коллокселин – 2,2%</w:t>
      </w:r>
    </w:p>
    <w:p w14:paraId="6D7570B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Технологический процесс опытной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E3599D" w:rsidRPr="00E14102" w14:paraId="033FBB1A" w14:textId="77777777">
        <w:tc>
          <w:tcPr>
            <w:tcW w:w="4428" w:type="dxa"/>
          </w:tcPr>
          <w:p w14:paraId="4D72D70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Оклейка пропеллера тканью оковка на заклепках.</w:t>
            </w:r>
          </w:p>
        </w:tc>
        <w:tc>
          <w:tcPr>
            <w:tcW w:w="4428" w:type="dxa"/>
          </w:tcPr>
          <w:p w14:paraId="49B015C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Нитроклей. Суровое разряженное полотно А/П.</w:t>
            </w:r>
          </w:p>
        </w:tc>
      </w:tr>
      <w:tr w:rsidR="00E3599D" w:rsidRPr="00E14102" w14:paraId="31B8C914" w14:textId="77777777">
        <w:tc>
          <w:tcPr>
            <w:tcW w:w="4428" w:type="dxa"/>
          </w:tcPr>
          <w:p w14:paraId="3EF97F1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Шкурение всего пропеллера.</w:t>
            </w:r>
          </w:p>
        </w:tc>
        <w:tc>
          <w:tcPr>
            <w:tcW w:w="4428" w:type="dxa"/>
          </w:tcPr>
          <w:p w14:paraId="048D09A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Наждачная бумага.</w:t>
            </w:r>
          </w:p>
        </w:tc>
      </w:tr>
      <w:tr w:rsidR="00E3599D" w:rsidRPr="00E14102" w14:paraId="4DF971C7" w14:textId="77777777">
        <w:tc>
          <w:tcPr>
            <w:tcW w:w="4428" w:type="dxa"/>
          </w:tcPr>
          <w:p w14:paraId="1906C39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Грунтовка</w:t>
            </w:r>
          </w:p>
        </w:tc>
        <w:tc>
          <w:tcPr>
            <w:tcW w:w="4428" w:type="dxa"/>
          </w:tcPr>
          <w:p w14:paraId="3389F14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Нитрогрунт “В”.</w:t>
            </w:r>
          </w:p>
        </w:tc>
      </w:tr>
      <w:tr w:rsidR="00E3599D" w:rsidRPr="00E14102" w14:paraId="47C4E332" w14:textId="77777777">
        <w:tc>
          <w:tcPr>
            <w:tcW w:w="4428" w:type="dxa"/>
          </w:tcPr>
          <w:p w14:paraId="758EC25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Шпаклевка 1 слой</w:t>
            </w:r>
          </w:p>
        </w:tc>
        <w:tc>
          <w:tcPr>
            <w:tcW w:w="4428" w:type="dxa"/>
          </w:tcPr>
          <w:p w14:paraId="00C2AF1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Нитрошпаклевка “В”</w:t>
            </w:r>
          </w:p>
        </w:tc>
      </w:tr>
      <w:tr w:rsidR="00E3599D" w:rsidRPr="00E14102" w14:paraId="47B49364" w14:textId="77777777">
        <w:tc>
          <w:tcPr>
            <w:tcW w:w="4428" w:type="dxa"/>
          </w:tcPr>
          <w:p w14:paraId="674CD21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Шкурение</w:t>
            </w:r>
          </w:p>
        </w:tc>
        <w:tc>
          <w:tcPr>
            <w:tcW w:w="4428" w:type="dxa"/>
          </w:tcPr>
          <w:p w14:paraId="0924113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Наждачная бумага</w:t>
            </w:r>
          </w:p>
        </w:tc>
      </w:tr>
      <w:tr w:rsidR="00E3599D" w:rsidRPr="00E14102" w14:paraId="69ABC3A0" w14:textId="77777777">
        <w:tc>
          <w:tcPr>
            <w:tcW w:w="4428" w:type="dxa"/>
          </w:tcPr>
          <w:p w14:paraId="7587303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Шпаклевка 2 слой</w:t>
            </w:r>
          </w:p>
        </w:tc>
        <w:tc>
          <w:tcPr>
            <w:tcW w:w="4428" w:type="dxa"/>
          </w:tcPr>
          <w:p w14:paraId="5E5122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Нитрошпаклевка “В”</w:t>
            </w:r>
          </w:p>
        </w:tc>
      </w:tr>
      <w:tr w:rsidR="00E3599D" w:rsidRPr="00E14102" w14:paraId="10E64348" w14:textId="77777777">
        <w:tc>
          <w:tcPr>
            <w:tcW w:w="4428" w:type="dxa"/>
          </w:tcPr>
          <w:p w14:paraId="7D7CB23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Шкурение</w:t>
            </w:r>
          </w:p>
        </w:tc>
        <w:tc>
          <w:tcPr>
            <w:tcW w:w="4428" w:type="dxa"/>
          </w:tcPr>
          <w:p w14:paraId="33CE6AD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Наждачная бумага</w:t>
            </w:r>
          </w:p>
        </w:tc>
      </w:tr>
      <w:tr w:rsidR="00E3599D" w:rsidRPr="00E14102" w14:paraId="744149DF" w14:textId="77777777">
        <w:tc>
          <w:tcPr>
            <w:tcW w:w="4428" w:type="dxa"/>
          </w:tcPr>
          <w:p w14:paraId="6CAFCDF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Шпаклевка 2 слой</w:t>
            </w:r>
          </w:p>
        </w:tc>
        <w:tc>
          <w:tcPr>
            <w:tcW w:w="4428" w:type="dxa"/>
          </w:tcPr>
          <w:p w14:paraId="2F7D480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Нитрошпаклевка “В”</w:t>
            </w:r>
          </w:p>
        </w:tc>
      </w:tr>
      <w:tr w:rsidR="00E3599D" w:rsidRPr="00E14102" w14:paraId="1C25D483" w14:textId="77777777">
        <w:tc>
          <w:tcPr>
            <w:tcW w:w="4428" w:type="dxa"/>
          </w:tcPr>
          <w:p w14:paraId="07BBF0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Шкурение и шлифовка</w:t>
            </w:r>
          </w:p>
        </w:tc>
        <w:tc>
          <w:tcPr>
            <w:tcW w:w="4428" w:type="dxa"/>
          </w:tcPr>
          <w:p w14:paraId="50099F0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Наждачная бумага, пемза и вода</w:t>
            </w:r>
          </w:p>
        </w:tc>
      </w:tr>
      <w:tr w:rsidR="00E3599D" w:rsidRPr="00E14102" w14:paraId="31230A75" w14:textId="77777777">
        <w:tc>
          <w:tcPr>
            <w:tcW w:w="4428" w:type="dxa"/>
          </w:tcPr>
          <w:p w14:paraId="725675A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Грунтовка</w:t>
            </w:r>
          </w:p>
        </w:tc>
        <w:tc>
          <w:tcPr>
            <w:tcW w:w="4428" w:type="dxa"/>
          </w:tcPr>
          <w:p w14:paraId="79EDC17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Нитрогрунт “В”</w:t>
            </w:r>
          </w:p>
        </w:tc>
      </w:tr>
      <w:tr w:rsidR="00E3599D" w:rsidRPr="00E14102" w14:paraId="722125E4" w14:textId="77777777">
        <w:tc>
          <w:tcPr>
            <w:tcW w:w="4428" w:type="dxa"/>
          </w:tcPr>
          <w:p w14:paraId="2854EE7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Окраска 1 слой</w:t>
            </w:r>
          </w:p>
        </w:tc>
        <w:tc>
          <w:tcPr>
            <w:tcW w:w="4428" w:type="dxa"/>
          </w:tcPr>
          <w:p w14:paraId="5D4D1B6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Нитрозащитная “В”</w:t>
            </w:r>
          </w:p>
        </w:tc>
      </w:tr>
      <w:tr w:rsidR="00E3599D" w:rsidRPr="00E14102" w14:paraId="5A6D49DE" w14:textId="77777777">
        <w:tc>
          <w:tcPr>
            <w:tcW w:w="4428" w:type="dxa"/>
          </w:tcPr>
          <w:p w14:paraId="7CB7961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Шкурение</w:t>
            </w:r>
          </w:p>
        </w:tc>
        <w:tc>
          <w:tcPr>
            <w:tcW w:w="4428" w:type="dxa"/>
          </w:tcPr>
          <w:p w14:paraId="2A069AC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Наждачная бумага</w:t>
            </w:r>
          </w:p>
        </w:tc>
      </w:tr>
      <w:tr w:rsidR="00E3599D" w:rsidRPr="00E14102" w14:paraId="6B1AF301" w14:textId="77777777">
        <w:tc>
          <w:tcPr>
            <w:tcW w:w="4428" w:type="dxa"/>
          </w:tcPr>
          <w:p w14:paraId="2DB7A79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Окраска 2 слой</w:t>
            </w:r>
          </w:p>
        </w:tc>
        <w:tc>
          <w:tcPr>
            <w:tcW w:w="4428" w:type="dxa"/>
          </w:tcPr>
          <w:p w14:paraId="79A5DCF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Нитрозащитная “В”</w:t>
            </w:r>
          </w:p>
        </w:tc>
      </w:tr>
      <w:tr w:rsidR="00E3599D" w:rsidRPr="00E14102" w14:paraId="765F5B73" w14:textId="77777777">
        <w:tc>
          <w:tcPr>
            <w:tcW w:w="4428" w:type="dxa"/>
          </w:tcPr>
          <w:p w14:paraId="03E9503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Лакировка 1 слой</w:t>
            </w:r>
          </w:p>
        </w:tc>
        <w:tc>
          <w:tcPr>
            <w:tcW w:w="4428" w:type="dxa"/>
          </w:tcPr>
          <w:p w14:paraId="28B6581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Нитролак “В”</w:t>
            </w:r>
          </w:p>
        </w:tc>
      </w:tr>
      <w:tr w:rsidR="00E3599D" w:rsidRPr="00E14102" w14:paraId="5C882428" w14:textId="77777777">
        <w:tc>
          <w:tcPr>
            <w:tcW w:w="4428" w:type="dxa"/>
          </w:tcPr>
          <w:p w14:paraId="434441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Шлифовка</w:t>
            </w:r>
          </w:p>
        </w:tc>
        <w:tc>
          <w:tcPr>
            <w:tcW w:w="4428" w:type="dxa"/>
          </w:tcPr>
          <w:p w14:paraId="2C9EA0B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Пемза с водой</w:t>
            </w:r>
          </w:p>
        </w:tc>
      </w:tr>
      <w:tr w:rsidR="00E3599D" w:rsidRPr="00E14102" w14:paraId="0224A850" w14:textId="77777777">
        <w:tc>
          <w:tcPr>
            <w:tcW w:w="4428" w:type="dxa"/>
          </w:tcPr>
          <w:p w14:paraId="6DDFFBA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Лакировка 2 слой</w:t>
            </w:r>
          </w:p>
        </w:tc>
        <w:tc>
          <w:tcPr>
            <w:tcW w:w="4428" w:type="dxa"/>
          </w:tcPr>
          <w:p w14:paraId="44C62FC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Нитролак “В”</w:t>
            </w:r>
          </w:p>
        </w:tc>
      </w:tr>
    </w:tbl>
    <w:p w14:paraId="5359BA8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(2729).</w:t>
      </w:r>
    </w:p>
    <w:p w14:paraId="3456F45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6E79548" w14:textId="77777777" w:rsidR="00B90E74" w:rsidRPr="00E14102" w:rsidRDefault="00B90E74" w:rsidP="00E14102">
      <w:pPr>
        <w:pStyle w:val="rtejustify"/>
        <w:spacing w:before="0" w:after="0"/>
        <w:rPr>
          <w:color w:val="000000" w:themeColor="text1"/>
          <w:sz w:val="16"/>
          <w:szCs w:val="16"/>
        </w:rPr>
      </w:pPr>
      <w:r w:rsidRPr="00E14102">
        <w:rPr>
          <w:rStyle w:val="a6"/>
          <w:bCs/>
          <w:i w:val="0"/>
          <w:color w:val="000000" w:themeColor="text1"/>
          <w:sz w:val="16"/>
          <w:szCs w:val="16"/>
        </w:rPr>
        <w:t>13/14 октября 1935 вышел приказ НКТП № 180с.</w:t>
      </w:r>
      <w:r w:rsidRPr="00E14102">
        <w:rPr>
          <w:color w:val="000000" w:themeColor="text1"/>
          <w:sz w:val="16"/>
          <w:szCs w:val="16"/>
        </w:rPr>
        <w:t xml:space="preserve"> Об изготовлении опытных образцов средств механизации аэродромной службы ВВС РККА. (РГАЭ. Ф. 7297. Оп. 38. Д. 171. Л. 276</w:t>
      </w:r>
      <w:r w:rsidRPr="00E14102">
        <w:rPr>
          <w:color w:val="000000" w:themeColor="text1"/>
          <w:sz w:val="16"/>
          <w:szCs w:val="16"/>
        </w:rPr>
        <w:noBreakHyphen/>
        <w:t>274) (15246).</w:t>
      </w:r>
    </w:p>
    <w:p w14:paraId="7D569410" w14:textId="77777777" w:rsidR="00B90E74" w:rsidRPr="00E14102" w:rsidRDefault="00B90E74" w:rsidP="00E14102">
      <w:pPr>
        <w:pStyle w:val="rtejustify"/>
        <w:spacing w:before="0" w:after="0"/>
        <w:rPr>
          <w:color w:val="000000" w:themeColor="text1"/>
          <w:sz w:val="16"/>
          <w:szCs w:val="16"/>
        </w:rPr>
      </w:pPr>
    </w:p>
    <w:p w14:paraId="7D7B30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До 13 октября 1835 ДВ СССР-Н2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7A0A618F" w14:textId="77777777" w:rsidR="00D4105E" w:rsidRPr="00E14102" w:rsidRDefault="00D4105E" w:rsidP="00E14102">
      <w:pPr>
        <w:autoSpaceDE w:val="0"/>
        <w:autoSpaceDN w:val="0"/>
        <w:adjustRightInd w:val="0"/>
        <w:jc w:val="both"/>
        <w:rPr>
          <w:color w:val="000000" w:themeColor="text1"/>
          <w:sz w:val="16"/>
          <w:szCs w:val="16"/>
        </w:rPr>
      </w:pPr>
    </w:p>
    <w:p w14:paraId="7B4D981E" w14:textId="77777777" w:rsidR="00D4105E" w:rsidRPr="00E14102" w:rsidRDefault="004B7965" w:rsidP="00E14102">
      <w:pPr>
        <w:tabs>
          <w:tab w:val="left" w:pos="11199"/>
        </w:tabs>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AD1A9C3" w14:textId="77777777" w:rsidR="00D4105E" w:rsidRPr="00E14102" w:rsidRDefault="00D4105E" w:rsidP="00E14102">
      <w:pPr>
        <w:tabs>
          <w:tab w:val="left" w:pos="11199"/>
        </w:tabs>
        <w:autoSpaceDE w:val="0"/>
        <w:autoSpaceDN w:val="0"/>
        <w:adjustRightInd w:val="0"/>
        <w:jc w:val="both"/>
        <w:rPr>
          <w:iCs/>
          <w:color w:val="000000" w:themeColor="text1"/>
          <w:sz w:val="16"/>
          <w:szCs w:val="16"/>
        </w:rPr>
      </w:pPr>
    </w:p>
    <w:p w14:paraId="086A89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13 октября 1935 г. СУ-6 поступила на НИАП. Испытания шли в сложных погодных условиях, СУ-6 испытывала час</w:t>
      </w:r>
      <w:r w:rsidRPr="00E14102">
        <w:rPr>
          <w:color w:val="000000" w:themeColor="text1"/>
          <w:sz w:val="16"/>
          <w:szCs w:val="16"/>
        </w:rPr>
        <w:softHyphen/>
        <w:t>тые поломки материальной части, и потому ход испытаний затянулся до декабря. В ходе их САУ многократно ломалась. Всего СУ-6 зачетно прошла 750 км (всего до 900 км) и сдела</w:t>
      </w:r>
      <w:r w:rsidRPr="00E14102">
        <w:rPr>
          <w:color w:val="000000" w:themeColor="text1"/>
          <w:sz w:val="16"/>
          <w:szCs w:val="16"/>
        </w:rPr>
        <w:softHyphen/>
        <w:t>ла 416 выстрелов. Кучность стрельбы в начале испытаний была удовлетворительной, а в конце — неудовлетворитель</w:t>
      </w:r>
      <w:r w:rsidRPr="00E14102">
        <w:rPr>
          <w:color w:val="000000" w:themeColor="text1"/>
          <w:sz w:val="16"/>
          <w:szCs w:val="16"/>
        </w:rPr>
        <w:softHyphen/>
        <w:t>ной, как с включенными, так и с выключенными рессорами. Поэтому комиссия пришла к выводу, что выключение рес</w:t>
      </w:r>
      <w:r w:rsidRPr="00E14102">
        <w:rPr>
          <w:color w:val="000000" w:themeColor="text1"/>
          <w:sz w:val="16"/>
          <w:szCs w:val="16"/>
        </w:rPr>
        <w:softHyphen/>
        <w:t>сор не влияет на кучность, и этот механизм следует исклю</w:t>
      </w:r>
      <w:r w:rsidRPr="00E14102">
        <w:rPr>
          <w:color w:val="000000" w:themeColor="text1"/>
          <w:sz w:val="16"/>
          <w:szCs w:val="16"/>
        </w:rPr>
        <w:softHyphen/>
        <w:t>чить. Кроме того, в отчете по итогам полигонных испытаний отмечались малая мощность двигателя и неэффективность охлаждения (двигатель перегревался после 15—25 километ</w:t>
      </w:r>
      <w:r w:rsidRPr="00E14102">
        <w:rPr>
          <w:color w:val="000000" w:themeColor="text1"/>
          <w:sz w:val="16"/>
          <w:szCs w:val="16"/>
        </w:rPr>
        <w:softHyphen/>
        <w:t>ров пробега по пересеченной местности), неудовлетвори</w:t>
      </w:r>
      <w:r w:rsidRPr="00E14102">
        <w:rPr>
          <w:color w:val="000000" w:themeColor="text1"/>
          <w:sz w:val="16"/>
          <w:szCs w:val="16"/>
        </w:rPr>
        <w:softHyphen/>
        <w:t>тельная прочность опорных катков и рессор подвески, а так</w:t>
      </w:r>
      <w:r w:rsidRPr="00E14102">
        <w:rPr>
          <w:color w:val="000000" w:themeColor="text1"/>
          <w:sz w:val="16"/>
          <w:szCs w:val="16"/>
        </w:rPr>
        <w:softHyphen/>
        <w:t>же низкая устойчивость всей системы при преодолении пре</w:t>
      </w:r>
      <w:r w:rsidRPr="00E14102">
        <w:rPr>
          <w:color w:val="000000" w:themeColor="text1"/>
          <w:sz w:val="16"/>
          <w:szCs w:val="16"/>
        </w:rPr>
        <w:softHyphen/>
        <w:t>пятствий, «прыжки» и «отскоки» установки, сбивающие на</w:t>
      </w:r>
      <w:r w:rsidRPr="00E14102">
        <w:rPr>
          <w:color w:val="000000" w:themeColor="text1"/>
          <w:sz w:val="16"/>
          <w:szCs w:val="16"/>
        </w:rPr>
        <w:softHyphen/>
        <w:t>водку, раскачивание платформы. На боевой платформе не хватало места для установщиков дистанционных трубок. Комиссия сделала вывод о полной непригодности машины для использования в мехсоединениях (11417).</w:t>
      </w:r>
    </w:p>
    <w:p w14:paraId="7A1EC1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8F9A4C8" w14:textId="77777777" w:rsidR="00D4105E" w:rsidRPr="00E14102" w:rsidRDefault="004B7965" w:rsidP="00E14102">
      <w:pPr>
        <w:shd w:val="clear" w:color="auto" w:fill="FFFFFF"/>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6C333B56" w14:textId="77777777" w:rsidR="00D4105E" w:rsidRPr="00E14102" w:rsidRDefault="00D4105E" w:rsidP="00E14102">
      <w:pPr>
        <w:shd w:val="clear" w:color="auto" w:fill="FFFFFF"/>
        <w:autoSpaceDE w:val="0"/>
        <w:autoSpaceDN w:val="0"/>
        <w:adjustRightInd w:val="0"/>
        <w:jc w:val="both"/>
        <w:rPr>
          <w:iCs/>
          <w:color w:val="000000" w:themeColor="text1"/>
          <w:sz w:val="16"/>
          <w:szCs w:val="16"/>
        </w:rPr>
      </w:pPr>
    </w:p>
    <w:p w14:paraId="047832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октября 1935 г. Генеральный штаб РККА выпустил директиву № 388577с о выборе места для строительства позиций железнодорожной артиллерии на полуостровах Колгонпя и Кургальский, а также о выборе места под строительство базы железнодорожной артиллерии (11454).</w:t>
      </w:r>
    </w:p>
    <w:p w14:paraId="122E88B8" w14:textId="77777777" w:rsidR="00D4105E" w:rsidRPr="00E14102" w:rsidRDefault="00D4105E" w:rsidP="00E14102">
      <w:pPr>
        <w:autoSpaceDE w:val="0"/>
        <w:autoSpaceDN w:val="0"/>
        <w:adjustRightInd w:val="0"/>
        <w:jc w:val="both"/>
        <w:rPr>
          <w:color w:val="000000" w:themeColor="text1"/>
          <w:sz w:val="16"/>
          <w:szCs w:val="16"/>
        </w:rPr>
      </w:pPr>
    </w:p>
    <w:p w14:paraId="1E3FBF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октября 1935 года из Генерального штаба Рабоче-Крестьянской Красной Армии в адрес начальника Морских сил РККА и командующего Краснознаменным Балтийским Флотом ушла директива за № 388577с:</w:t>
      </w:r>
    </w:p>
    <w:p w14:paraId="0E9054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намеченным усилением состава железнодорожной артиллерии береговой обороны Краснознаменного Балтийского Фло та, необходимо:</w:t>
      </w:r>
    </w:p>
    <w:p w14:paraId="520B32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 . Выбрать место для строительства позиций железнодород ной артиллерии в следующих районах:</w:t>
      </w:r>
    </w:p>
    <w:p w14:paraId="12AB90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Мыс Колгонпя — одна позиция для 356-мм (305-мм) желез нодорожной батареи.</w:t>
      </w:r>
    </w:p>
    <w:p w14:paraId="5AD038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 Мыс Колгонпя — одна позиция для 180-мм железнодорожной батареи с двумя директриссами стрельбы. </w:t>
      </w:r>
    </w:p>
    <w:p w14:paraId="0124D7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3) Мыс Курголово — одна позиция для 180-мм железнодорож ной батареи с двумя директриссами. </w:t>
      </w:r>
    </w:p>
    <w:p w14:paraId="7D5B10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Деревня Кирьямо — одна позиция для 356-мм (305-мм).</w:t>
      </w:r>
    </w:p>
    <w:p w14:paraId="299C69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5) Деревня Черная Лахта — одна позиция для 180-мм желез подорожной батареи. </w:t>
      </w:r>
    </w:p>
    <w:p w14:paraId="709ACE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Деревня Кандыкюля —деревня Липово — одна позиция для 356-мм (305-мм) и одна для 180-мм железнодорожной батареи.</w:t>
      </w:r>
    </w:p>
    <w:p w14:paraId="7DF1CC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Выбрать место для строительства базы железнодорожной артиллерии в районе Косколово-Ручьи, из расчета базирования од ной 356-мм (305-мм) — 3 орудия железнодорожной батареи и двух 180-мм — 4 орудия железнодорожной батареи...</w:t>
      </w:r>
    </w:p>
    <w:p w14:paraId="404645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комиссию по выбору мест позиции и базы железнодорожной артиллерии включить представителей Генштаба РККА — по одному от Морского и 3-го отделов Генштаба РККА.</w:t>
      </w:r>
    </w:p>
    <w:p w14:paraId="62F420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Результат выбора позиций прошу представить мне к 15. 11.35 г.</w:t>
      </w:r>
    </w:p>
    <w:p w14:paraId="4A8E00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начальника Генерального штаба — Меженинов. Начальник морского отдела РККА — В. Калачов (11454).</w:t>
      </w:r>
    </w:p>
    <w:p w14:paraId="44A95F64" w14:textId="77777777" w:rsidR="00D4105E" w:rsidRPr="00E14102" w:rsidRDefault="00D4105E" w:rsidP="00E14102">
      <w:pPr>
        <w:autoSpaceDE w:val="0"/>
        <w:autoSpaceDN w:val="0"/>
        <w:adjustRightInd w:val="0"/>
        <w:jc w:val="both"/>
        <w:rPr>
          <w:color w:val="000000" w:themeColor="text1"/>
          <w:sz w:val="16"/>
          <w:szCs w:val="16"/>
        </w:rPr>
      </w:pPr>
    </w:p>
    <w:p w14:paraId="30BD5D24" w14:textId="77777777" w:rsidR="00D54658" w:rsidRPr="00E14102" w:rsidRDefault="00D54658"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6BAAF170" w14:textId="77777777" w:rsidR="00D54658" w:rsidRPr="00E14102" w:rsidRDefault="00D54658" w:rsidP="00E14102">
      <w:pPr>
        <w:autoSpaceDE w:val="0"/>
        <w:autoSpaceDN w:val="0"/>
        <w:adjustRightInd w:val="0"/>
        <w:jc w:val="both"/>
        <w:rPr>
          <w:iCs/>
          <w:color w:val="000000" w:themeColor="text1"/>
          <w:sz w:val="16"/>
          <w:szCs w:val="16"/>
        </w:rPr>
      </w:pPr>
    </w:p>
    <w:p w14:paraId="17FD3AD8" w14:textId="77777777" w:rsidR="00D54658" w:rsidRPr="00E14102" w:rsidRDefault="00D54658" w:rsidP="00E14102">
      <w:pPr>
        <w:jc w:val="both"/>
        <w:rPr>
          <w:color w:val="000000" w:themeColor="text1"/>
          <w:sz w:val="16"/>
          <w:szCs w:val="16"/>
        </w:rPr>
      </w:pPr>
      <w:r w:rsidRPr="00E14102">
        <w:rPr>
          <w:color w:val="000000" w:themeColor="text1"/>
          <w:sz w:val="16"/>
          <w:szCs w:val="16"/>
        </w:rPr>
        <w:t>13 октября 1935 г.</w:t>
      </w:r>
    </w:p>
    <w:p w14:paraId="68C72C56" w14:textId="77777777" w:rsidR="00D54658" w:rsidRPr="00E14102" w:rsidRDefault="00D54658" w:rsidP="00E14102">
      <w:pPr>
        <w:jc w:val="both"/>
        <w:rPr>
          <w:color w:val="000000" w:themeColor="text1"/>
          <w:sz w:val="16"/>
          <w:szCs w:val="16"/>
        </w:rPr>
      </w:pPr>
      <w:r w:rsidRPr="00E14102">
        <w:rPr>
          <w:color w:val="000000" w:themeColor="text1"/>
          <w:sz w:val="16"/>
          <w:szCs w:val="16"/>
        </w:rPr>
        <w:t>Телеграмма заместителя наркома иностранных дел СССР Н.Н. Крестинского полномочному представителю СССР в США А.А. Трояновскому об основных принципах экономических взаимоотношений</w:t>
      </w:r>
    </w:p>
    <w:p w14:paraId="3BFCBE1A" w14:textId="77777777" w:rsidR="00D54658" w:rsidRPr="00E14102" w:rsidRDefault="00D54658" w:rsidP="00E14102">
      <w:pPr>
        <w:jc w:val="both"/>
        <w:rPr>
          <w:color w:val="000000" w:themeColor="text1"/>
          <w:sz w:val="16"/>
          <w:szCs w:val="16"/>
        </w:rPr>
      </w:pPr>
      <w:r w:rsidRPr="00E14102">
        <w:rPr>
          <w:color w:val="000000" w:themeColor="text1"/>
          <w:sz w:val="16"/>
          <w:szCs w:val="16"/>
        </w:rPr>
        <w:t>с США</w:t>
      </w:r>
    </w:p>
    <w:p w14:paraId="6A15C3A2" w14:textId="77777777" w:rsidR="00D54658" w:rsidRPr="00E14102" w:rsidRDefault="00D54658" w:rsidP="00E14102">
      <w:pPr>
        <w:jc w:val="both"/>
        <w:rPr>
          <w:color w:val="000000" w:themeColor="text1"/>
          <w:sz w:val="16"/>
          <w:szCs w:val="16"/>
        </w:rPr>
      </w:pPr>
      <w:r w:rsidRPr="00E14102">
        <w:rPr>
          <w:color w:val="000000" w:themeColor="text1"/>
          <w:sz w:val="16"/>
          <w:szCs w:val="16"/>
        </w:rPr>
        <w:t>Подробно разъясняем Вам нашу позицию.</w:t>
      </w:r>
    </w:p>
    <w:p w14:paraId="5FFF1609" w14:textId="77777777" w:rsidR="00D54658" w:rsidRPr="00E14102" w:rsidRDefault="00D54658" w:rsidP="00E14102">
      <w:pPr>
        <w:jc w:val="both"/>
        <w:rPr>
          <w:color w:val="000000" w:themeColor="text1"/>
          <w:sz w:val="16"/>
          <w:szCs w:val="16"/>
        </w:rPr>
      </w:pPr>
      <w:r w:rsidRPr="00E14102">
        <w:rPr>
          <w:color w:val="000000" w:themeColor="text1"/>
          <w:sz w:val="16"/>
          <w:szCs w:val="16"/>
        </w:rPr>
        <w:t>1. Мы должны констатировать, что попытка договориться с США о займе или долгосрочном финансовом кредите на базе частичной уплаты нами старых долгов окончилась неудачей. Мы не должны поэтому позволять втягивать себя в какие-либо новые переговоры о долгах. Нам не следует даже в отдаленной степени вновь создавать у американцев представление, что мы когда-либо что-либо по старым долгам будем платить.</w:t>
      </w:r>
    </w:p>
    <w:p w14:paraId="57FD3E98" w14:textId="77777777" w:rsidR="00D54658" w:rsidRPr="00E14102" w:rsidRDefault="00D54658" w:rsidP="00E14102">
      <w:pPr>
        <w:jc w:val="both"/>
        <w:rPr>
          <w:color w:val="000000" w:themeColor="text1"/>
          <w:sz w:val="16"/>
          <w:szCs w:val="16"/>
        </w:rPr>
      </w:pPr>
      <w:r w:rsidRPr="00E14102">
        <w:rPr>
          <w:color w:val="000000" w:themeColor="text1"/>
          <w:sz w:val="16"/>
          <w:szCs w:val="16"/>
        </w:rPr>
        <w:t>2. Предложение деловых людей, переданное в Ваших последних телеграммах, является для нас неприемлемым, так как оно предполагает договоренность между нашими поставщиками и американским правительством о наших старых долгах. Мы же готовы рассматривать только такие конкретные кредитно-торговые предложения, которые ни прямо, ни косвенно не связаны с проблемой наших старых долгов.</w:t>
      </w:r>
    </w:p>
    <w:p w14:paraId="29573991" w14:textId="77777777" w:rsidR="00D54658" w:rsidRPr="00E14102" w:rsidRDefault="00D54658" w:rsidP="00E14102">
      <w:pPr>
        <w:jc w:val="both"/>
        <w:rPr>
          <w:color w:val="000000" w:themeColor="text1"/>
          <w:sz w:val="16"/>
          <w:szCs w:val="16"/>
        </w:rPr>
      </w:pPr>
      <w:r w:rsidRPr="00E14102">
        <w:rPr>
          <w:color w:val="000000" w:themeColor="text1"/>
          <w:sz w:val="16"/>
          <w:szCs w:val="16"/>
        </w:rPr>
        <w:t>3. Мы считаем вредным договариваться об отсрочке переговоров о долгах на пять, десять или двадцать лет, так как это означало бы наше косвенное обязательство в будущем платить что-либо по старым долгам, а это противоречит первому пункту настоящей директивы. Поэтому Вам никаких переговоров с Муром о долгах вести и никаких соглашений подписывать не надо.</w:t>
      </w:r>
    </w:p>
    <w:p w14:paraId="12483C2E" w14:textId="77777777" w:rsidR="00D54658" w:rsidRPr="00E14102" w:rsidRDefault="00D54658" w:rsidP="00E14102">
      <w:pPr>
        <w:jc w:val="both"/>
        <w:rPr>
          <w:color w:val="000000" w:themeColor="text1"/>
          <w:sz w:val="16"/>
          <w:szCs w:val="16"/>
        </w:rPr>
      </w:pPr>
      <w:r w:rsidRPr="00E14102">
        <w:rPr>
          <w:color w:val="000000" w:themeColor="text1"/>
          <w:sz w:val="16"/>
          <w:szCs w:val="16"/>
        </w:rPr>
        <w:t>4. Мы готовы разместить в Америке заказы на 50 млн долл. с 5-летним кредитом из 4-5% годовых. Покупать будем исключительно промышленные товары по той же номенклатуре, по которой покупаем в Германии в счет 200 млн кредита.</w:t>
      </w:r>
    </w:p>
    <w:p w14:paraId="783975A4" w14:textId="77777777" w:rsidR="00D54658" w:rsidRPr="00E14102" w:rsidRDefault="00D54658" w:rsidP="00E14102">
      <w:pPr>
        <w:jc w:val="both"/>
        <w:rPr>
          <w:color w:val="000000" w:themeColor="text1"/>
          <w:sz w:val="16"/>
          <w:szCs w:val="16"/>
        </w:rPr>
      </w:pPr>
      <w:r w:rsidRPr="00E14102">
        <w:rPr>
          <w:color w:val="000000" w:themeColor="text1"/>
          <w:sz w:val="16"/>
          <w:szCs w:val="16"/>
        </w:rPr>
        <w:t>123 </w:t>
      </w:r>
    </w:p>
    <w:p w14:paraId="4F6318FA" w14:textId="77777777" w:rsidR="00D54658" w:rsidRPr="00E14102" w:rsidRDefault="00D54658" w:rsidP="00E14102">
      <w:pPr>
        <w:jc w:val="both"/>
        <w:rPr>
          <w:color w:val="000000" w:themeColor="text1"/>
          <w:sz w:val="16"/>
          <w:szCs w:val="16"/>
        </w:rPr>
      </w:pPr>
      <w:r w:rsidRPr="00E14102">
        <w:rPr>
          <w:color w:val="000000" w:themeColor="text1"/>
          <w:sz w:val="16"/>
          <w:szCs w:val="16"/>
        </w:rPr>
        <w:t>5. Купим на 50, а не на 100 млн долл.; во-первых, потому, что нам не нужно больше, чем на 50, а во-вторых, потому, что сумма в 100 млн, как упоминавшаяся в переговорах Литвинова, могла бы создать впечатление, что выдаваемые нами заказы как-то связываются со старыми долгами.</w:t>
      </w:r>
    </w:p>
    <w:p w14:paraId="27C2072A" w14:textId="77777777" w:rsidR="00D54658" w:rsidRPr="00E14102" w:rsidRDefault="00D54658" w:rsidP="00E14102">
      <w:pPr>
        <w:jc w:val="both"/>
        <w:rPr>
          <w:color w:val="000000" w:themeColor="text1"/>
          <w:sz w:val="16"/>
          <w:szCs w:val="16"/>
        </w:rPr>
      </w:pPr>
      <w:r w:rsidRPr="00E14102">
        <w:rPr>
          <w:color w:val="000000" w:themeColor="text1"/>
          <w:sz w:val="16"/>
          <w:szCs w:val="16"/>
        </w:rPr>
        <w:t>По поручению инстанции.</w:t>
      </w:r>
    </w:p>
    <w:p w14:paraId="59998FA7" w14:textId="77777777" w:rsidR="00D54658" w:rsidRPr="00E14102" w:rsidRDefault="00D54658" w:rsidP="00E14102">
      <w:pPr>
        <w:jc w:val="both"/>
        <w:rPr>
          <w:color w:val="000000" w:themeColor="text1"/>
          <w:sz w:val="16"/>
          <w:szCs w:val="16"/>
        </w:rPr>
      </w:pPr>
      <w:r w:rsidRPr="00E14102">
        <w:rPr>
          <w:color w:val="000000" w:themeColor="text1"/>
          <w:sz w:val="16"/>
          <w:szCs w:val="16"/>
        </w:rPr>
        <w:t>Крестинский</w:t>
      </w:r>
    </w:p>
    <w:p w14:paraId="7328D8C0" w14:textId="77777777" w:rsidR="00D54658" w:rsidRPr="00E14102" w:rsidRDefault="00D54658" w:rsidP="00E14102">
      <w:pPr>
        <w:jc w:val="both"/>
        <w:rPr>
          <w:color w:val="000000" w:themeColor="text1"/>
          <w:sz w:val="16"/>
          <w:szCs w:val="16"/>
        </w:rPr>
      </w:pPr>
      <w:r w:rsidRPr="00E14102">
        <w:rPr>
          <w:color w:val="000000" w:themeColor="text1"/>
          <w:sz w:val="16"/>
          <w:szCs w:val="16"/>
        </w:rPr>
        <w:t>Документы внешней политики СССР. М., 1973. Т. XVIII. С. 527-528 (18282).</w:t>
      </w:r>
    </w:p>
    <w:p w14:paraId="01102ADA" w14:textId="77777777" w:rsidR="00D54658" w:rsidRPr="00E14102" w:rsidRDefault="00D54658" w:rsidP="00E14102">
      <w:pPr>
        <w:jc w:val="both"/>
        <w:rPr>
          <w:color w:val="000000" w:themeColor="text1"/>
          <w:sz w:val="16"/>
          <w:szCs w:val="16"/>
        </w:rPr>
      </w:pPr>
    </w:p>
    <w:p w14:paraId="64488C4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E3ADB55" w14:textId="77777777" w:rsidR="00D4105E" w:rsidRPr="00E14102" w:rsidRDefault="00D4105E" w:rsidP="00E14102">
      <w:pPr>
        <w:autoSpaceDE w:val="0"/>
        <w:autoSpaceDN w:val="0"/>
        <w:adjustRightInd w:val="0"/>
        <w:jc w:val="both"/>
        <w:rPr>
          <w:iCs/>
          <w:color w:val="000000" w:themeColor="text1"/>
          <w:sz w:val="16"/>
          <w:szCs w:val="16"/>
        </w:rPr>
      </w:pPr>
    </w:p>
    <w:p w14:paraId="42FD392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октября 1935 свой первый репортаж по радио провел Вадим Синявский (с матча Турция - СССР). (4962).</w:t>
      </w:r>
    </w:p>
    <w:p w14:paraId="0785540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0F5240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773DCB5" w14:textId="77777777" w:rsidR="00D4105E" w:rsidRPr="00E14102" w:rsidRDefault="00D4105E" w:rsidP="00E14102">
      <w:pPr>
        <w:autoSpaceDE w:val="0"/>
        <w:autoSpaceDN w:val="0"/>
        <w:adjustRightInd w:val="0"/>
        <w:jc w:val="both"/>
        <w:rPr>
          <w:iCs/>
          <w:color w:val="000000" w:themeColor="text1"/>
          <w:sz w:val="16"/>
          <w:szCs w:val="16"/>
        </w:rPr>
      </w:pPr>
    </w:p>
    <w:p w14:paraId="32E706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октября 1935 года врид. начальника УВС Хрипин писал письмо зам. наркома обороны Гамарнику.</w:t>
      </w:r>
    </w:p>
    <w:p w14:paraId="63F0B1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вопросу: о ходе войсковых испытаний И15-М25.</w:t>
      </w:r>
    </w:p>
    <w:p w14:paraId="23CD5E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Докладываю краткие предварительные результаты войсковых испытаний И15-М25 в Люберецкой авиабригаде.</w:t>
      </w:r>
    </w:p>
    <w:p w14:paraId="18C0D4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Десять самолетов И15-М25, выделенных для войсковых испытаний, в среднем, выполнили на 12-е октября 1935 года:</w:t>
      </w:r>
    </w:p>
    <w:p w14:paraId="389FDB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Общий налет на 1 самолет - до 16 час.</w:t>
      </w:r>
    </w:p>
    <w:p w14:paraId="67A88D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Фигур на 1 самолет - 497</w:t>
      </w:r>
    </w:p>
    <w:p w14:paraId="4844FD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Посадок на 1 самолет - 157</w:t>
      </w:r>
    </w:p>
    <w:p w14:paraId="19C5F4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завода N 1.</w:t>
      </w:r>
    </w:p>
    <w:p w14:paraId="5A3ED4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процессе испытаний выявились крупные дефекты этого самолета.</w:t>
      </w:r>
    </w:p>
    <w:p w14:paraId="375C20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Войсковые испытания И15-М25 в Киевской авиабригаде еще не начались, так как идет ремонт по усилению верхних крыльев.</w:t>
      </w:r>
    </w:p>
    <w:p w14:paraId="644BF8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Верхние крылья в Люберецкой авиабригаде усилены дополнительной прошивкой.</w:t>
      </w:r>
    </w:p>
    <w:p w14:paraId="5195AE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w:t>
      </w:r>
    </w:p>
    <w:p w14:paraId="76588F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Прочность самолета И15-М25 для его скоростей недостаточная.</w:t>
      </w:r>
    </w:p>
    <w:p w14:paraId="3E844D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Конструктивные и производственные дефекты препятствуют использованию его как надежного истребителя. (3120,49-50).</w:t>
      </w:r>
    </w:p>
    <w:p w14:paraId="74AB6FA5" w14:textId="77777777" w:rsidR="00D4105E" w:rsidRPr="00E14102" w:rsidRDefault="00D4105E" w:rsidP="00E14102">
      <w:pPr>
        <w:autoSpaceDE w:val="0"/>
        <w:autoSpaceDN w:val="0"/>
        <w:adjustRightInd w:val="0"/>
        <w:jc w:val="both"/>
        <w:rPr>
          <w:color w:val="000000" w:themeColor="text1"/>
          <w:sz w:val="16"/>
          <w:szCs w:val="16"/>
        </w:rPr>
      </w:pPr>
    </w:p>
    <w:p w14:paraId="7E66425D" w14:textId="77777777" w:rsidR="00CC7E66" w:rsidRPr="00E14102" w:rsidRDefault="00CC7E66" w:rsidP="00E14102">
      <w:pPr>
        <w:jc w:val="both"/>
        <w:rPr>
          <w:color w:val="0070C0"/>
          <w:sz w:val="16"/>
          <w:szCs w:val="16"/>
        </w:rPr>
      </w:pPr>
      <w:r w:rsidRPr="00E14102">
        <w:rPr>
          <w:color w:val="0070C0"/>
          <w:sz w:val="16"/>
          <w:szCs w:val="16"/>
        </w:rPr>
        <w:t xml:space="preserve">14 октября 1935 г. временно исполняющий должность начальника ГУАП Марголин направил послание директору ХАИ Красильникову, в котором писал, что гораздо скорее появится СР завода №39, который в середине 1936 г. должен пройти летные испытания (Марголин писал о СР конструкции Кочеригина). А у конструкторского </w:t>
      </w:r>
      <w:r w:rsidRPr="00E14102">
        <w:rPr>
          <w:color w:val="0070C0"/>
          <w:sz w:val="16"/>
          <w:szCs w:val="16"/>
        </w:rPr>
        <w:lastRenderedPageBreak/>
        <w:t>кол</w:t>
      </w:r>
      <w:r w:rsidRPr="00E14102">
        <w:rPr>
          <w:color w:val="0070C0"/>
          <w:sz w:val="16"/>
          <w:szCs w:val="16"/>
        </w:rPr>
        <w:softHyphen/>
        <w:t>лектива Харьковского авиационного института (ХАИ) в это время должен пойти на испытания сухопутный разведчик хАи-7 с М-34 (ф.8328, оп.1, д.797. Материалы по опытно</w:t>
      </w:r>
      <w:r w:rsidRPr="00E14102">
        <w:rPr>
          <w:color w:val="0070C0"/>
          <w:sz w:val="16"/>
          <w:szCs w:val="16"/>
        </w:rPr>
        <w:softHyphen/>
        <w:t>му самолетостроению) (20362).</w:t>
      </w:r>
    </w:p>
    <w:p w14:paraId="340CDD1A" w14:textId="77777777" w:rsidR="00CC7E66" w:rsidRPr="00E14102" w:rsidRDefault="00CC7E66" w:rsidP="00E14102">
      <w:pPr>
        <w:shd w:val="clear" w:color="auto" w:fill="FFFFFF"/>
        <w:jc w:val="both"/>
        <w:rPr>
          <w:color w:val="0070C0"/>
          <w:sz w:val="16"/>
          <w:szCs w:val="16"/>
        </w:rPr>
      </w:pPr>
    </w:p>
    <w:p w14:paraId="6FE709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октября 1935 года начальник ГУАПа Королев</w:t>
      </w:r>
    </w:p>
    <w:p w14:paraId="0D6EBC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работе авиапромышленности по перевооружению ВВС</w:t>
      </w:r>
    </w:p>
    <w:p w14:paraId="6C3252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постановкой в СТО вопроса о выполнении плана по новым типам самолетов и моторов, считаю необходимым доложить несколько более широко о положении.</w:t>
      </w:r>
    </w:p>
    <w:p w14:paraId="6199FFD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Истребительная авиация</w:t>
      </w:r>
    </w:p>
    <w:p w14:paraId="6BF91B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Истребительная авиация 2-3 года назад не только у нас в Союзе, но и во всем мире переживала глубочайший кризис. Причинами этого с одной стороны являлись взгляды некоторых влиятельных заграничных военных авторитетов разделявшихся в то время некоторыми работниками и у нас, по которым боевое значение авиации базировалось в основном на тяжелых бомбардировщиках, коим придавалось название наступательной авиации, а истребительной авиации отводилось крайне скромное место в пределах защитной авиации, а с другой стороны это обуславливалось низким техническим уровнем состояние истребительной авиации в то время.</w:t>
      </w:r>
    </w:p>
    <w:p w14:paraId="4EAA48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последнее время взгляды военных авторитетов начали снова склоняться к истребительной авиации, причем от истребительной авиации они стали требовать не маневренности и скороподъемности, качеств необходимых для ведения маневренного боя, а максимальных горизонтальных скоростей и сильного вооружения, нужных для активных наступательных действий. Подобное положение нашло отражение и у нас в Союзе. В 1927 году был выпущен 1 истребитель И-4, в 1928 году – один ИЗ, в 1929 году И-6, в 1930 году И-5, в 1932 году ни одного истребителя и только в 1933 году начинается снова работа по истребительной авиации и особенно усиленная на заводе № 39.</w:t>
      </w:r>
    </w:p>
    <w:p w14:paraId="759ECB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Вследствие изложенных причин состояние истребительной авиации в Союзе на 1933 год было весьма низкое. На вооружение ВВС были истребительные самолеты с низкими боевыми и полетными данными, как это можно видеть из нижеследующей таблицы: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134"/>
        <w:gridCol w:w="992"/>
        <w:gridCol w:w="1985"/>
        <w:gridCol w:w="1843"/>
        <w:gridCol w:w="2126"/>
      </w:tblGrid>
      <w:tr w:rsidR="00E3599D" w:rsidRPr="00E14102" w14:paraId="7B4B0E3D" w14:textId="77777777">
        <w:trPr>
          <w:cantSplit/>
          <w:trHeight w:val="94"/>
        </w:trPr>
        <w:tc>
          <w:tcPr>
            <w:tcW w:w="1951" w:type="dxa"/>
          </w:tcPr>
          <w:p w14:paraId="67DF6A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w:t>
            </w:r>
          </w:p>
        </w:tc>
        <w:tc>
          <w:tcPr>
            <w:tcW w:w="2126" w:type="dxa"/>
            <w:gridSpan w:val="2"/>
          </w:tcPr>
          <w:p w14:paraId="00FC78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Скорости</w:t>
            </w:r>
          </w:p>
        </w:tc>
        <w:tc>
          <w:tcPr>
            <w:tcW w:w="1985" w:type="dxa"/>
          </w:tcPr>
          <w:p w14:paraId="70A624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подъема на 500 м</w:t>
            </w:r>
          </w:p>
        </w:tc>
        <w:tc>
          <w:tcPr>
            <w:tcW w:w="1843" w:type="dxa"/>
          </w:tcPr>
          <w:p w14:paraId="30DFAA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w:t>
            </w:r>
          </w:p>
        </w:tc>
        <w:tc>
          <w:tcPr>
            <w:tcW w:w="2126" w:type="dxa"/>
          </w:tcPr>
          <w:p w14:paraId="0F95A7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Число выстрелов</w:t>
            </w:r>
          </w:p>
        </w:tc>
      </w:tr>
      <w:tr w:rsidR="00E3599D" w:rsidRPr="00E14102" w14:paraId="04F808FD" w14:textId="77777777">
        <w:trPr>
          <w:cantSplit/>
          <w:trHeight w:val="94"/>
        </w:trPr>
        <w:tc>
          <w:tcPr>
            <w:tcW w:w="1951" w:type="dxa"/>
          </w:tcPr>
          <w:p w14:paraId="096E37D2" w14:textId="77777777" w:rsidR="00D4105E" w:rsidRPr="00E14102" w:rsidRDefault="00D4105E" w:rsidP="00E14102">
            <w:pPr>
              <w:autoSpaceDE w:val="0"/>
              <w:autoSpaceDN w:val="0"/>
              <w:adjustRightInd w:val="0"/>
              <w:jc w:val="both"/>
              <w:rPr>
                <w:color w:val="000000" w:themeColor="text1"/>
                <w:sz w:val="16"/>
                <w:szCs w:val="16"/>
              </w:rPr>
            </w:pPr>
          </w:p>
        </w:tc>
        <w:tc>
          <w:tcPr>
            <w:tcW w:w="1134" w:type="dxa"/>
          </w:tcPr>
          <w:p w14:paraId="646017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3000 м</w:t>
            </w:r>
          </w:p>
        </w:tc>
        <w:tc>
          <w:tcPr>
            <w:tcW w:w="992" w:type="dxa"/>
          </w:tcPr>
          <w:p w14:paraId="5582D8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5000 м</w:t>
            </w:r>
          </w:p>
        </w:tc>
        <w:tc>
          <w:tcPr>
            <w:tcW w:w="1985" w:type="dxa"/>
          </w:tcPr>
          <w:p w14:paraId="17B7CA6A" w14:textId="77777777" w:rsidR="00D4105E" w:rsidRPr="00E14102" w:rsidRDefault="00D4105E" w:rsidP="00E14102">
            <w:pPr>
              <w:autoSpaceDE w:val="0"/>
              <w:autoSpaceDN w:val="0"/>
              <w:adjustRightInd w:val="0"/>
              <w:jc w:val="both"/>
              <w:rPr>
                <w:color w:val="000000" w:themeColor="text1"/>
                <w:sz w:val="16"/>
                <w:szCs w:val="16"/>
              </w:rPr>
            </w:pPr>
          </w:p>
        </w:tc>
        <w:tc>
          <w:tcPr>
            <w:tcW w:w="1843" w:type="dxa"/>
          </w:tcPr>
          <w:p w14:paraId="00DD1549" w14:textId="77777777" w:rsidR="00D4105E" w:rsidRPr="00E14102" w:rsidRDefault="00D4105E" w:rsidP="00E14102">
            <w:pPr>
              <w:autoSpaceDE w:val="0"/>
              <w:autoSpaceDN w:val="0"/>
              <w:adjustRightInd w:val="0"/>
              <w:jc w:val="both"/>
              <w:rPr>
                <w:color w:val="000000" w:themeColor="text1"/>
                <w:sz w:val="16"/>
                <w:szCs w:val="16"/>
              </w:rPr>
            </w:pPr>
          </w:p>
        </w:tc>
        <w:tc>
          <w:tcPr>
            <w:tcW w:w="2126" w:type="dxa"/>
          </w:tcPr>
          <w:p w14:paraId="3C863DA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7103A89" w14:textId="77777777">
        <w:trPr>
          <w:cantSplit/>
          <w:trHeight w:val="94"/>
        </w:trPr>
        <w:tc>
          <w:tcPr>
            <w:tcW w:w="1951" w:type="dxa"/>
          </w:tcPr>
          <w:p w14:paraId="3A7D7E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И3</w:t>
            </w:r>
          </w:p>
        </w:tc>
        <w:tc>
          <w:tcPr>
            <w:tcW w:w="1134" w:type="dxa"/>
          </w:tcPr>
          <w:p w14:paraId="7B61E4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275</w:t>
            </w:r>
          </w:p>
        </w:tc>
        <w:tc>
          <w:tcPr>
            <w:tcW w:w="992" w:type="dxa"/>
          </w:tcPr>
          <w:p w14:paraId="759812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265</w:t>
            </w:r>
          </w:p>
        </w:tc>
        <w:tc>
          <w:tcPr>
            <w:tcW w:w="1985" w:type="dxa"/>
          </w:tcPr>
          <w:p w14:paraId="661D6B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w:t>
            </w:r>
          </w:p>
        </w:tc>
        <w:tc>
          <w:tcPr>
            <w:tcW w:w="1843" w:type="dxa"/>
          </w:tcPr>
          <w:p w14:paraId="11AEDD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6800</w:t>
            </w:r>
          </w:p>
        </w:tc>
        <w:tc>
          <w:tcPr>
            <w:tcW w:w="2126" w:type="dxa"/>
          </w:tcPr>
          <w:p w14:paraId="7C6C05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1400</w:t>
            </w:r>
          </w:p>
        </w:tc>
      </w:tr>
      <w:tr w:rsidR="00E3599D" w:rsidRPr="00E14102" w14:paraId="18635D4E" w14:textId="77777777">
        <w:trPr>
          <w:cantSplit/>
          <w:trHeight w:val="94"/>
        </w:trPr>
        <w:tc>
          <w:tcPr>
            <w:tcW w:w="1951" w:type="dxa"/>
          </w:tcPr>
          <w:p w14:paraId="24A27E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И5</w:t>
            </w:r>
          </w:p>
        </w:tc>
        <w:tc>
          <w:tcPr>
            <w:tcW w:w="1134" w:type="dxa"/>
          </w:tcPr>
          <w:p w14:paraId="08E925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258</w:t>
            </w:r>
          </w:p>
        </w:tc>
        <w:tc>
          <w:tcPr>
            <w:tcW w:w="992" w:type="dxa"/>
          </w:tcPr>
          <w:p w14:paraId="736189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242</w:t>
            </w:r>
          </w:p>
        </w:tc>
        <w:tc>
          <w:tcPr>
            <w:tcW w:w="1985" w:type="dxa"/>
          </w:tcPr>
          <w:p w14:paraId="7FF65C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w:t>
            </w:r>
          </w:p>
        </w:tc>
        <w:tc>
          <w:tcPr>
            <w:tcW w:w="1843" w:type="dxa"/>
          </w:tcPr>
          <w:p w14:paraId="2936A6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7130</w:t>
            </w:r>
          </w:p>
        </w:tc>
        <w:tc>
          <w:tcPr>
            <w:tcW w:w="2126" w:type="dxa"/>
          </w:tcPr>
          <w:p w14:paraId="30A080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2800</w:t>
            </w:r>
          </w:p>
        </w:tc>
      </w:tr>
      <w:tr w:rsidR="00E3599D" w:rsidRPr="00E14102" w14:paraId="2574F2A2" w14:textId="77777777">
        <w:trPr>
          <w:cantSplit/>
          <w:trHeight w:val="94"/>
        </w:trPr>
        <w:tc>
          <w:tcPr>
            <w:tcW w:w="1951" w:type="dxa"/>
          </w:tcPr>
          <w:p w14:paraId="36FF29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И7</w:t>
            </w:r>
          </w:p>
        </w:tc>
        <w:tc>
          <w:tcPr>
            <w:tcW w:w="1134" w:type="dxa"/>
          </w:tcPr>
          <w:p w14:paraId="75F9BE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w:t>
            </w:r>
          </w:p>
        </w:tc>
        <w:tc>
          <w:tcPr>
            <w:tcW w:w="992" w:type="dxa"/>
          </w:tcPr>
          <w:p w14:paraId="090094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270</w:t>
            </w:r>
          </w:p>
        </w:tc>
        <w:tc>
          <w:tcPr>
            <w:tcW w:w="1985" w:type="dxa"/>
          </w:tcPr>
          <w:p w14:paraId="7647B4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w:t>
            </w:r>
          </w:p>
        </w:tc>
        <w:tc>
          <w:tcPr>
            <w:tcW w:w="1843" w:type="dxa"/>
          </w:tcPr>
          <w:p w14:paraId="37D27C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7300</w:t>
            </w:r>
          </w:p>
        </w:tc>
        <w:tc>
          <w:tcPr>
            <w:tcW w:w="2126" w:type="dxa"/>
          </w:tcPr>
          <w:p w14:paraId="20F9AD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1400</w:t>
            </w:r>
          </w:p>
        </w:tc>
      </w:tr>
    </w:tbl>
    <w:p w14:paraId="128D0A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Такое положение с истребителями было явно нетерпимо, поэтому согласно директив правительства работа по проектированию и постройке новых истребителей на заводе № 39 в 1933-34 г.г. была форсирована, в результате чего ВВС получили ряд новых истребителей летные и боевые данные которых резко повысили уровень нашей истребительной авиации и поставили ее наравне с последними достижениями истребительной авиации ведущих заграничных стран.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32"/>
        <w:gridCol w:w="1578"/>
        <w:gridCol w:w="1010"/>
        <w:gridCol w:w="1011"/>
        <w:gridCol w:w="1949"/>
        <w:gridCol w:w="1560"/>
        <w:gridCol w:w="1701"/>
      </w:tblGrid>
      <w:tr w:rsidR="00E3599D" w:rsidRPr="00E14102" w14:paraId="6F75BCF8" w14:textId="77777777">
        <w:trPr>
          <w:cantSplit/>
          <w:trHeight w:val="94"/>
        </w:trPr>
        <w:tc>
          <w:tcPr>
            <w:tcW w:w="1932" w:type="dxa"/>
          </w:tcPr>
          <w:p w14:paraId="47DA3A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Страна</w:t>
            </w:r>
          </w:p>
        </w:tc>
        <w:tc>
          <w:tcPr>
            <w:tcW w:w="1578" w:type="dxa"/>
          </w:tcPr>
          <w:p w14:paraId="19F8CB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w:t>
            </w:r>
          </w:p>
        </w:tc>
        <w:tc>
          <w:tcPr>
            <w:tcW w:w="2021" w:type="dxa"/>
            <w:gridSpan w:val="2"/>
          </w:tcPr>
          <w:p w14:paraId="789318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Скорости</w:t>
            </w:r>
          </w:p>
        </w:tc>
        <w:tc>
          <w:tcPr>
            <w:tcW w:w="1948" w:type="dxa"/>
          </w:tcPr>
          <w:p w14:paraId="3E2591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подъема на 5000 м</w:t>
            </w:r>
          </w:p>
        </w:tc>
        <w:tc>
          <w:tcPr>
            <w:tcW w:w="1560" w:type="dxa"/>
          </w:tcPr>
          <w:p w14:paraId="424A51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w:t>
            </w:r>
          </w:p>
        </w:tc>
        <w:tc>
          <w:tcPr>
            <w:tcW w:w="1701" w:type="dxa"/>
          </w:tcPr>
          <w:p w14:paraId="381743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Число выстрелов</w:t>
            </w:r>
          </w:p>
        </w:tc>
      </w:tr>
      <w:tr w:rsidR="00E3599D" w:rsidRPr="00E14102" w14:paraId="4618E1A2" w14:textId="77777777">
        <w:trPr>
          <w:cantSplit/>
          <w:trHeight w:val="94"/>
        </w:trPr>
        <w:tc>
          <w:tcPr>
            <w:tcW w:w="1932" w:type="dxa"/>
          </w:tcPr>
          <w:p w14:paraId="12DF5A5A" w14:textId="77777777" w:rsidR="00D4105E" w:rsidRPr="00E14102" w:rsidRDefault="00D4105E" w:rsidP="00E14102">
            <w:pPr>
              <w:autoSpaceDE w:val="0"/>
              <w:autoSpaceDN w:val="0"/>
              <w:adjustRightInd w:val="0"/>
              <w:jc w:val="both"/>
              <w:rPr>
                <w:color w:val="000000" w:themeColor="text1"/>
                <w:sz w:val="16"/>
                <w:szCs w:val="16"/>
              </w:rPr>
            </w:pPr>
          </w:p>
        </w:tc>
        <w:tc>
          <w:tcPr>
            <w:tcW w:w="1578" w:type="dxa"/>
          </w:tcPr>
          <w:p w14:paraId="1D99E3AC" w14:textId="77777777" w:rsidR="00D4105E" w:rsidRPr="00E14102" w:rsidRDefault="00D4105E" w:rsidP="00E14102">
            <w:pPr>
              <w:autoSpaceDE w:val="0"/>
              <w:autoSpaceDN w:val="0"/>
              <w:adjustRightInd w:val="0"/>
              <w:jc w:val="both"/>
              <w:rPr>
                <w:color w:val="000000" w:themeColor="text1"/>
                <w:sz w:val="16"/>
                <w:szCs w:val="16"/>
              </w:rPr>
            </w:pPr>
          </w:p>
        </w:tc>
        <w:tc>
          <w:tcPr>
            <w:tcW w:w="1010" w:type="dxa"/>
          </w:tcPr>
          <w:p w14:paraId="33C001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3000 м</w:t>
            </w:r>
          </w:p>
        </w:tc>
        <w:tc>
          <w:tcPr>
            <w:tcW w:w="1010" w:type="dxa"/>
          </w:tcPr>
          <w:p w14:paraId="67F5E3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5000 м</w:t>
            </w:r>
          </w:p>
        </w:tc>
        <w:tc>
          <w:tcPr>
            <w:tcW w:w="1949" w:type="dxa"/>
          </w:tcPr>
          <w:p w14:paraId="5F1B4A83" w14:textId="77777777" w:rsidR="00D4105E" w:rsidRPr="00E14102" w:rsidRDefault="00D4105E" w:rsidP="00E14102">
            <w:pPr>
              <w:autoSpaceDE w:val="0"/>
              <w:autoSpaceDN w:val="0"/>
              <w:adjustRightInd w:val="0"/>
              <w:jc w:val="both"/>
              <w:rPr>
                <w:color w:val="000000" w:themeColor="text1"/>
                <w:sz w:val="16"/>
                <w:szCs w:val="16"/>
              </w:rPr>
            </w:pPr>
          </w:p>
        </w:tc>
        <w:tc>
          <w:tcPr>
            <w:tcW w:w="1560" w:type="dxa"/>
          </w:tcPr>
          <w:p w14:paraId="35067C00"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54CFE1D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6131AA" w14:textId="77777777">
        <w:trPr>
          <w:cantSplit/>
          <w:trHeight w:val="94"/>
        </w:trPr>
        <w:tc>
          <w:tcPr>
            <w:tcW w:w="1932" w:type="dxa"/>
          </w:tcPr>
          <w:p w14:paraId="4394D1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СССР</w:t>
            </w:r>
          </w:p>
        </w:tc>
        <w:tc>
          <w:tcPr>
            <w:tcW w:w="1578" w:type="dxa"/>
          </w:tcPr>
          <w:p w14:paraId="3F35160E" w14:textId="77777777" w:rsidR="00D4105E" w:rsidRPr="00E14102" w:rsidRDefault="00D4105E" w:rsidP="00E14102">
            <w:pPr>
              <w:autoSpaceDE w:val="0"/>
              <w:autoSpaceDN w:val="0"/>
              <w:adjustRightInd w:val="0"/>
              <w:jc w:val="both"/>
              <w:rPr>
                <w:color w:val="000000" w:themeColor="text1"/>
                <w:sz w:val="16"/>
                <w:szCs w:val="16"/>
              </w:rPr>
            </w:pPr>
          </w:p>
        </w:tc>
        <w:tc>
          <w:tcPr>
            <w:tcW w:w="1010" w:type="dxa"/>
          </w:tcPr>
          <w:p w14:paraId="729BDDAA" w14:textId="77777777" w:rsidR="00D4105E" w:rsidRPr="00E14102" w:rsidRDefault="00D4105E" w:rsidP="00E14102">
            <w:pPr>
              <w:autoSpaceDE w:val="0"/>
              <w:autoSpaceDN w:val="0"/>
              <w:adjustRightInd w:val="0"/>
              <w:jc w:val="both"/>
              <w:rPr>
                <w:color w:val="000000" w:themeColor="text1"/>
                <w:sz w:val="16"/>
                <w:szCs w:val="16"/>
              </w:rPr>
            </w:pPr>
          </w:p>
        </w:tc>
        <w:tc>
          <w:tcPr>
            <w:tcW w:w="1010" w:type="dxa"/>
          </w:tcPr>
          <w:p w14:paraId="6093C701" w14:textId="77777777" w:rsidR="00D4105E" w:rsidRPr="00E14102" w:rsidRDefault="00D4105E" w:rsidP="00E14102">
            <w:pPr>
              <w:autoSpaceDE w:val="0"/>
              <w:autoSpaceDN w:val="0"/>
              <w:adjustRightInd w:val="0"/>
              <w:jc w:val="both"/>
              <w:rPr>
                <w:color w:val="000000" w:themeColor="text1"/>
                <w:sz w:val="16"/>
                <w:szCs w:val="16"/>
              </w:rPr>
            </w:pPr>
          </w:p>
        </w:tc>
        <w:tc>
          <w:tcPr>
            <w:tcW w:w="1949" w:type="dxa"/>
          </w:tcPr>
          <w:p w14:paraId="20466222" w14:textId="77777777" w:rsidR="00D4105E" w:rsidRPr="00E14102" w:rsidRDefault="00D4105E" w:rsidP="00E14102">
            <w:pPr>
              <w:autoSpaceDE w:val="0"/>
              <w:autoSpaceDN w:val="0"/>
              <w:adjustRightInd w:val="0"/>
              <w:jc w:val="both"/>
              <w:rPr>
                <w:color w:val="000000" w:themeColor="text1"/>
                <w:sz w:val="16"/>
                <w:szCs w:val="16"/>
              </w:rPr>
            </w:pPr>
          </w:p>
        </w:tc>
        <w:tc>
          <w:tcPr>
            <w:tcW w:w="1560" w:type="dxa"/>
          </w:tcPr>
          <w:p w14:paraId="472F73FD"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02818F4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967705F" w14:textId="77777777">
        <w:trPr>
          <w:cantSplit/>
          <w:trHeight w:val="94"/>
        </w:trPr>
        <w:tc>
          <w:tcPr>
            <w:tcW w:w="1932" w:type="dxa"/>
          </w:tcPr>
          <w:p w14:paraId="0EBB0F12" w14:textId="77777777" w:rsidR="00D4105E" w:rsidRPr="00E14102" w:rsidRDefault="00D4105E" w:rsidP="00E14102">
            <w:pPr>
              <w:autoSpaceDE w:val="0"/>
              <w:autoSpaceDN w:val="0"/>
              <w:adjustRightInd w:val="0"/>
              <w:jc w:val="both"/>
              <w:rPr>
                <w:color w:val="000000" w:themeColor="text1"/>
                <w:sz w:val="16"/>
                <w:szCs w:val="16"/>
              </w:rPr>
            </w:pPr>
          </w:p>
        </w:tc>
        <w:tc>
          <w:tcPr>
            <w:tcW w:w="1578" w:type="dxa"/>
          </w:tcPr>
          <w:p w14:paraId="393DD4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И15-М25</w:t>
            </w:r>
          </w:p>
        </w:tc>
        <w:tc>
          <w:tcPr>
            <w:tcW w:w="1010" w:type="dxa"/>
          </w:tcPr>
          <w:p w14:paraId="140EC7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367</w:t>
            </w:r>
          </w:p>
        </w:tc>
        <w:tc>
          <w:tcPr>
            <w:tcW w:w="1010" w:type="dxa"/>
          </w:tcPr>
          <w:p w14:paraId="161713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w:t>
            </w:r>
          </w:p>
        </w:tc>
        <w:tc>
          <w:tcPr>
            <w:tcW w:w="1949" w:type="dxa"/>
          </w:tcPr>
          <w:p w14:paraId="0E56CC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6,1</w:t>
            </w:r>
          </w:p>
        </w:tc>
        <w:tc>
          <w:tcPr>
            <w:tcW w:w="1560" w:type="dxa"/>
          </w:tcPr>
          <w:p w14:paraId="32F09C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9800</w:t>
            </w:r>
          </w:p>
        </w:tc>
        <w:tc>
          <w:tcPr>
            <w:tcW w:w="1701" w:type="dxa"/>
          </w:tcPr>
          <w:p w14:paraId="53BD1F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2800</w:t>
            </w:r>
          </w:p>
        </w:tc>
      </w:tr>
      <w:tr w:rsidR="00E3599D" w:rsidRPr="00E14102" w14:paraId="361C299A" w14:textId="77777777">
        <w:trPr>
          <w:cantSplit/>
          <w:trHeight w:val="94"/>
        </w:trPr>
        <w:tc>
          <w:tcPr>
            <w:tcW w:w="1932" w:type="dxa"/>
          </w:tcPr>
          <w:p w14:paraId="304EAF59" w14:textId="77777777" w:rsidR="00D4105E" w:rsidRPr="00E14102" w:rsidRDefault="00D4105E" w:rsidP="00E14102">
            <w:pPr>
              <w:autoSpaceDE w:val="0"/>
              <w:autoSpaceDN w:val="0"/>
              <w:adjustRightInd w:val="0"/>
              <w:jc w:val="both"/>
              <w:rPr>
                <w:color w:val="000000" w:themeColor="text1"/>
                <w:sz w:val="16"/>
                <w:szCs w:val="16"/>
              </w:rPr>
            </w:pPr>
          </w:p>
        </w:tc>
        <w:tc>
          <w:tcPr>
            <w:tcW w:w="1578" w:type="dxa"/>
          </w:tcPr>
          <w:p w14:paraId="55A9C4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И16-М22</w:t>
            </w:r>
          </w:p>
        </w:tc>
        <w:tc>
          <w:tcPr>
            <w:tcW w:w="1010" w:type="dxa"/>
          </w:tcPr>
          <w:p w14:paraId="6CD3BF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w:t>
            </w:r>
          </w:p>
        </w:tc>
        <w:tc>
          <w:tcPr>
            <w:tcW w:w="1010" w:type="dxa"/>
          </w:tcPr>
          <w:p w14:paraId="12573D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340</w:t>
            </w:r>
          </w:p>
        </w:tc>
        <w:tc>
          <w:tcPr>
            <w:tcW w:w="1949" w:type="dxa"/>
          </w:tcPr>
          <w:p w14:paraId="37D02D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9,4</w:t>
            </w:r>
          </w:p>
        </w:tc>
        <w:tc>
          <w:tcPr>
            <w:tcW w:w="1560" w:type="dxa"/>
          </w:tcPr>
          <w:p w14:paraId="488051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w:t>
            </w:r>
          </w:p>
        </w:tc>
        <w:tc>
          <w:tcPr>
            <w:tcW w:w="1701" w:type="dxa"/>
          </w:tcPr>
          <w:p w14:paraId="7DD381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3600</w:t>
            </w:r>
          </w:p>
        </w:tc>
      </w:tr>
      <w:tr w:rsidR="00E3599D" w:rsidRPr="00E14102" w14:paraId="1CD8099F" w14:textId="77777777">
        <w:trPr>
          <w:cantSplit/>
          <w:trHeight w:val="94"/>
        </w:trPr>
        <w:tc>
          <w:tcPr>
            <w:tcW w:w="1932" w:type="dxa"/>
          </w:tcPr>
          <w:p w14:paraId="7174B69C" w14:textId="77777777" w:rsidR="00D4105E" w:rsidRPr="00E14102" w:rsidRDefault="00D4105E" w:rsidP="00E14102">
            <w:pPr>
              <w:autoSpaceDE w:val="0"/>
              <w:autoSpaceDN w:val="0"/>
              <w:adjustRightInd w:val="0"/>
              <w:jc w:val="both"/>
              <w:rPr>
                <w:color w:val="000000" w:themeColor="text1"/>
                <w:sz w:val="16"/>
                <w:szCs w:val="16"/>
              </w:rPr>
            </w:pPr>
          </w:p>
        </w:tc>
        <w:tc>
          <w:tcPr>
            <w:tcW w:w="1578" w:type="dxa"/>
          </w:tcPr>
          <w:p w14:paraId="258E6B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И16-М25</w:t>
            </w:r>
          </w:p>
        </w:tc>
        <w:tc>
          <w:tcPr>
            <w:tcW w:w="1010" w:type="dxa"/>
          </w:tcPr>
          <w:p w14:paraId="63B7EA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455</w:t>
            </w:r>
          </w:p>
        </w:tc>
        <w:tc>
          <w:tcPr>
            <w:tcW w:w="1010" w:type="dxa"/>
          </w:tcPr>
          <w:p w14:paraId="21BD55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445</w:t>
            </w:r>
          </w:p>
        </w:tc>
        <w:tc>
          <w:tcPr>
            <w:tcW w:w="1949" w:type="dxa"/>
          </w:tcPr>
          <w:p w14:paraId="7773C4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6,2</w:t>
            </w:r>
          </w:p>
        </w:tc>
        <w:tc>
          <w:tcPr>
            <w:tcW w:w="1560" w:type="dxa"/>
          </w:tcPr>
          <w:p w14:paraId="2F5310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8800</w:t>
            </w:r>
          </w:p>
        </w:tc>
        <w:tc>
          <w:tcPr>
            <w:tcW w:w="1701" w:type="dxa"/>
          </w:tcPr>
          <w:p w14:paraId="20B362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3600</w:t>
            </w:r>
          </w:p>
        </w:tc>
      </w:tr>
      <w:tr w:rsidR="00E3599D" w:rsidRPr="00E14102" w14:paraId="77437DB9" w14:textId="77777777">
        <w:trPr>
          <w:cantSplit/>
          <w:trHeight w:val="94"/>
        </w:trPr>
        <w:tc>
          <w:tcPr>
            <w:tcW w:w="1932" w:type="dxa"/>
          </w:tcPr>
          <w:p w14:paraId="26F5E929" w14:textId="77777777" w:rsidR="00D4105E" w:rsidRPr="00E14102" w:rsidRDefault="00D4105E" w:rsidP="00E14102">
            <w:pPr>
              <w:autoSpaceDE w:val="0"/>
              <w:autoSpaceDN w:val="0"/>
              <w:adjustRightInd w:val="0"/>
              <w:jc w:val="both"/>
              <w:rPr>
                <w:color w:val="000000" w:themeColor="text1"/>
                <w:sz w:val="16"/>
                <w:szCs w:val="16"/>
              </w:rPr>
            </w:pPr>
          </w:p>
        </w:tc>
        <w:tc>
          <w:tcPr>
            <w:tcW w:w="1578" w:type="dxa"/>
          </w:tcPr>
          <w:p w14:paraId="42FE9F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ИП-М25</w:t>
            </w:r>
          </w:p>
        </w:tc>
        <w:tc>
          <w:tcPr>
            <w:tcW w:w="1010" w:type="dxa"/>
          </w:tcPr>
          <w:p w14:paraId="3D499B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410</w:t>
            </w:r>
          </w:p>
        </w:tc>
        <w:tc>
          <w:tcPr>
            <w:tcW w:w="1010" w:type="dxa"/>
          </w:tcPr>
          <w:p w14:paraId="4BE1CF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390</w:t>
            </w:r>
          </w:p>
        </w:tc>
        <w:tc>
          <w:tcPr>
            <w:tcW w:w="1949" w:type="dxa"/>
          </w:tcPr>
          <w:p w14:paraId="30D153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w:t>
            </w:r>
          </w:p>
        </w:tc>
        <w:tc>
          <w:tcPr>
            <w:tcW w:w="1560" w:type="dxa"/>
          </w:tcPr>
          <w:p w14:paraId="698DB7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w:t>
            </w:r>
          </w:p>
        </w:tc>
        <w:tc>
          <w:tcPr>
            <w:tcW w:w="1701" w:type="dxa"/>
          </w:tcPr>
          <w:p w14:paraId="7CC045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Пушечный</w:t>
            </w:r>
          </w:p>
        </w:tc>
      </w:tr>
      <w:tr w:rsidR="00E3599D" w:rsidRPr="00E14102" w14:paraId="698E9BB8" w14:textId="77777777">
        <w:trPr>
          <w:cantSplit/>
          <w:trHeight w:val="94"/>
        </w:trPr>
        <w:tc>
          <w:tcPr>
            <w:tcW w:w="1932" w:type="dxa"/>
          </w:tcPr>
          <w:p w14:paraId="733B2C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Франция</w:t>
            </w:r>
          </w:p>
        </w:tc>
        <w:tc>
          <w:tcPr>
            <w:tcW w:w="1578" w:type="dxa"/>
          </w:tcPr>
          <w:p w14:paraId="403655C9" w14:textId="77777777" w:rsidR="00D4105E" w:rsidRPr="00E14102" w:rsidRDefault="00D4105E" w:rsidP="00E14102">
            <w:pPr>
              <w:autoSpaceDE w:val="0"/>
              <w:autoSpaceDN w:val="0"/>
              <w:adjustRightInd w:val="0"/>
              <w:jc w:val="both"/>
              <w:rPr>
                <w:color w:val="000000" w:themeColor="text1"/>
                <w:sz w:val="16"/>
                <w:szCs w:val="16"/>
              </w:rPr>
            </w:pPr>
          </w:p>
        </w:tc>
        <w:tc>
          <w:tcPr>
            <w:tcW w:w="1010" w:type="dxa"/>
          </w:tcPr>
          <w:p w14:paraId="7F85DEF3" w14:textId="77777777" w:rsidR="00D4105E" w:rsidRPr="00E14102" w:rsidRDefault="00D4105E" w:rsidP="00E14102">
            <w:pPr>
              <w:autoSpaceDE w:val="0"/>
              <w:autoSpaceDN w:val="0"/>
              <w:adjustRightInd w:val="0"/>
              <w:jc w:val="both"/>
              <w:rPr>
                <w:color w:val="000000" w:themeColor="text1"/>
                <w:sz w:val="16"/>
                <w:szCs w:val="16"/>
              </w:rPr>
            </w:pPr>
          </w:p>
        </w:tc>
        <w:tc>
          <w:tcPr>
            <w:tcW w:w="1010" w:type="dxa"/>
          </w:tcPr>
          <w:p w14:paraId="4DC715CD" w14:textId="77777777" w:rsidR="00D4105E" w:rsidRPr="00E14102" w:rsidRDefault="00D4105E" w:rsidP="00E14102">
            <w:pPr>
              <w:autoSpaceDE w:val="0"/>
              <w:autoSpaceDN w:val="0"/>
              <w:adjustRightInd w:val="0"/>
              <w:jc w:val="both"/>
              <w:rPr>
                <w:color w:val="000000" w:themeColor="text1"/>
                <w:sz w:val="16"/>
                <w:szCs w:val="16"/>
              </w:rPr>
            </w:pPr>
          </w:p>
        </w:tc>
        <w:tc>
          <w:tcPr>
            <w:tcW w:w="1949" w:type="dxa"/>
          </w:tcPr>
          <w:p w14:paraId="699C2752" w14:textId="77777777" w:rsidR="00D4105E" w:rsidRPr="00E14102" w:rsidRDefault="00D4105E" w:rsidP="00E14102">
            <w:pPr>
              <w:autoSpaceDE w:val="0"/>
              <w:autoSpaceDN w:val="0"/>
              <w:adjustRightInd w:val="0"/>
              <w:jc w:val="both"/>
              <w:rPr>
                <w:color w:val="000000" w:themeColor="text1"/>
                <w:sz w:val="16"/>
                <w:szCs w:val="16"/>
              </w:rPr>
            </w:pPr>
          </w:p>
        </w:tc>
        <w:tc>
          <w:tcPr>
            <w:tcW w:w="1560" w:type="dxa"/>
          </w:tcPr>
          <w:p w14:paraId="269D6A6E"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0008B82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B8DF744" w14:textId="77777777">
        <w:trPr>
          <w:cantSplit/>
          <w:trHeight w:val="94"/>
        </w:trPr>
        <w:tc>
          <w:tcPr>
            <w:tcW w:w="1932" w:type="dxa"/>
          </w:tcPr>
          <w:p w14:paraId="1EF8C7FA" w14:textId="77777777" w:rsidR="00D4105E" w:rsidRPr="00E14102" w:rsidRDefault="00D4105E" w:rsidP="00E14102">
            <w:pPr>
              <w:autoSpaceDE w:val="0"/>
              <w:autoSpaceDN w:val="0"/>
              <w:adjustRightInd w:val="0"/>
              <w:jc w:val="both"/>
              <w:rPr>
                <w:color w:val="000000" w:themeColor="text1"/>
                <w:sz w:val="16"/>
                <w:szCs w:val="16"/>
              </w:rPr>
            </w:pPr>
          </w:p>
        </w:tc>
        <w:tc>
          <w:tcPr>
            <w:tcW w:w="1578" w:type="dxa"/>
          </w:tcPr>
          <w:p w14:paraId="491C72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Девуатин Д-372</w:t>
            </w:r>
          </w:p>
        </w:tc>
        <w:tc>
          <w:tcPr>
            <w:tcW w:w="1010" w:type="dxa"/>
          </w:tcPr>
          <w:p w14:paraId="63681A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380</w:t>
            </w:r>
          </w:p>
        </w:tc>
        <w:tc>
          <w:tcPr>
            <w:tcW w:w="1010" w:type="dxa"/>
          </w:tcPr>
          <w:p w14:paraId="2BD947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395</w:t>
            </w:r>
          </w:p>
        </w:tc>
        <w:tc>
          <w:tcPr>
            <w:tcW w:w="1949" w:type="dxa"/>
          </w:tcPr>
          <w:p w14:paraId="4993EE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w:t>
            </w:r>
          </w:p>
        </w:tc>
        <w:tc>
          <w:tcPr>
            <w:tcW w:w="1560" w:type="dxa"/>
          </w:tcPr>
          <w:p w14:paraId="4B4433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11000</w:t>
            </w:r>
          </w:p>
        </w:tc>
        <w:tc>
          <w:tcPr>
            <w:tcW w:w="1701" w:type="dxa"/>
          </w:tcPr>
          <w:p w14:paraId="128536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2400</w:t>
            </w:r>
          </w:p>
        </w:tc>
      </w:tr>
      <w:tr w:rsidR="00E3599D" w:rsidRPr="00E14102" w14:paraId="5DDE2CFE" w14:textId="77777777">
        <w:trPr>
          <w:cantSplit/>
          <w:trHeight w:val="94"/>
        </w:trPr>
        <w:tc>
          <w:tcPr>
            <w:tcW w:w="1932" w:type="dxa"/>
          </w:tcPr>
          <w:p w14:paraId="30539C55" w14:textId="77777777" w:rsidR="00D4105E" w:rsidRPr="00E14102" w:rsidRDefault="00D4105E" w:rsidP="00E14102">
            <w:pPr>
              <w:autoSpaceDE w:val="0"/>
              <w:autoSpaceDN w:val="0"/>
              <w:adjustRightInd w:val="0"/>
              <w:jc w:val="both"/>
              <w:rPr>
                <w:color w:val="000000" w:themeColor="text1"/>
                <w:sz w:val="16"/>
                <w:szCs w:val="16"/>
              </w:rPr>
            </w:pPr>
          </w:p>
        </w:tc>
        <w:tc>
          <w:tcPr>
            <w:tcW w:w="1578" w:type="dxa"/>
          </w:tcPr>
          <w:p w14:paraId="12A13E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Ньюпор 122 С1</w:t>
            </w:r>
          </w:p>
        </w:tc>
        <w:tc>
          <w:tcPr>
            <w:tcW w:w="1010" w:type="dxa"/>
          </w:tcPr>
          <w:p w14:paraId="4EDFC6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370</w:t>
            </w:r>
          </w:p>
        </w:tc>
        <w:tc>
          <w:tcPr>
            <w:tcW w:w="1010" w:type="dxa"/>
          </w:tcPr>
          <w:p w14:paraId="79C15F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949" w:type="dxa"/>
          </w:tcPr>
          <w:p w14:paraId="0A84CD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560" w:type="dxa"/>
          </w:tcPr>
          <w:p w14:paraId="23C22C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701" w:type="dxa"/>
          </w:tcPr>
          <w:p w14:paraId="6B274D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2400</w:t>
            </w:r>
          </w:p>
        </w:tc>
      </w:tr>
      <w:tr w:rsidR="00E3599D" w:rsidRPr="00E14102" w14:paraId="3F3DCAA1" w14:textId="77777777">
        <w:trPr>
          <w:cantSplit/>
          <w:trHeight w:val="94"/>
        </w:trPr>
        <w:tc>
          <w:tcPr>
            <w:tcW w:w="1932" w:type="dxa"/>
          </w:tcPr>
          <w:p w14:paraId="2F70E451" w14:textId="77777777" w:rsidR="00D4105E" w:rsidRPr="00E14102" w:rsidRDefault="00D4105E" w:rsidP="00E14102">
            <w:pPr>
              <w:autoSpaceDE w:val="0"/>
              <w:autoSpaceDN w:val="0"/>
              <w:adjustRightInd w:val="0"/>
              <w:jc w:val="both"/>
              <w:rPr>
                <w:color w:val="000000" w:themeColor="text1"/>
                <w:sz w:val="16"/>
                <w:szCs w:val="16"/>
              </w:rPr>
            </w:pPr>
          </w:p>
        </w:tc>
        <w:tc>
          <w:tcPr>
            <w:tcW w:w="1578" w:type="dxa"/>
          </w:tcPr>
          <w:p w14:paraId="18F3BB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Девуатин Д-510</w:t>
            </w:r>
          </w:p>
        </w:tc>
        <w:tc>
          <w:tcPr>
            <w:tcW w:w="1010" w:type="dxa"/>
          </w:tcPr>
          <w:p w14:paraId="5965B5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w:t>
            </w:r>
          </w:p>
        </w:tc>
        <w:tc>
          <w:tcPr>
            <w:tcW w:w="1010" w:type="dxa"/>
          </w:tcPr>
          <w:p w14:paraId="2DE7DD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410-420</w:t>
            </w:r>
          </w:p>
        </w:tc>
        <w:tc>
          <w:tcPr>
            <w:tcW w:w="1949" w:type="dxa"/>
          </w:tcPr>
          <w:p w14:paraId="3321A6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w:t>
            </w:r>
          </w:p>
        </w:tc>
        <w:tc>
          <w:tcPr>
            <w:tcW w:w="1560" w:type="dxa"/>
          </w:tcPr>
          <w:p w14:paraId="2CFE04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11000</w:t>
            </w:r>
          </w:p>
        </w:tc>
        <w:tc>
          <w:tcPr>
            <w:tcW w:w="1701" w:type="dxa"/>
          </w:tcPr>
          <w:p w14:paraId="27F00D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2400</w:t>
            </w:r>
          </w:p>
        </w:tc>
      </w:tr>
      <w:tr w:rsidR="00E3599D" w:rsidRPr="00E14102" w14:paraId="5EEC6621" w14:textId="77777777">
        <w:trPr>
          <w:cantSplit/>
          <w:trHeight w:val="94"/>
        </w:trPr>
        <w:tc>
          <w:tcPr>
            <w:tcW w:w="1932" w:type="dxa"/>
          </w:tcPr>
          <w:p w14:paraId="409369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Англия</w:t>
            </w:r>
          </w:p>
        </w:tc>
        <w:tc>
          <w:tcPr>
            <w:tcW w:w="1578" w:type="dxa"/>
          </w:tcPr>
          <w:p w14:paraId="7243BD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Хаукер Супер Фьюри</w:t>
            </w:r>
          </w:p>
        </w:tc>
        <w:tc>
          <w:tcPr>
            <w:tcW w:w="1010" w:type="dxa"/>
          </w:tcPr>
          <w:p w14:paraId="2BC6DB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010" w:type="dxa"/>
          </w:tcPr>
          <w:p w14:paraId="06E2CD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404</w:t>
            </w:r>
          </w:p>
        </w:tc>
        <w:tc>
          <w:tcPr>
            <w:tcW w:w="1949" w:type="dxa"/>
          </w:tcPr>
          <w:p w14:paraId="45DF6C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7,4</w:t>
            </w:r>
          </w:p>
        </w:tc>
        <w:tc>
          <w:tcPr>
            <w:tcW w:w="1560" w:type="dxa"/>
          </w:tcPr>
          <w:p w14:paraId="274288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9700</w:t>
            </w:r>
          </w:p>
        </w:tc>
        <w:tc>
          <w:tcPr>
            <w:tcW w:w="1701" w:type="dxa"/>
          </w:tcPr>
          <w:p w14:paraId="3E6FB7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2400</w:t>
            </w:r>
          </w:p>
        </w:tc>
      </w:tr>
      <w:tr w:rsidR="00E3599D" w:rsidRPr="00E14102" w14:paraId="39E49D58" w14:textId="77777777">
        <w:trPr>
          <w:cantSplit/>
          <w:trHeight w:val="94"/>
        </w:trPr>
        <w:tc>
          <w:tcPr>
            <w:tcW w:w="1932" w:type="dxa"/>
          </w:tcPr>
          <w:p w14:paraId="2E16F4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Италия</w:t>
            </w:r>
          </w:p>
        </w:tc>
        <w:tc>
          <w:tcPr>
            <w:tcW w:w="1578" w:type="dxa"/>
          </w:tcPr>
          <w:p w14:paraId="41B19D85" w14:textId="77777777" w:rsidR="00D4105E" w:rsidRPr="00E14102" w:rsidRDefault="00D4105E" w:rsidP="00E14102">
            <w:pPr>
              <w:autoSpaceDE w:val="0"/>
              <w:autoSpaceDN w:val="0"/>
              <w:adjustRightInd w:val="0"/>
              <w:jc w:val="both"/>
              <w:rPr>
                <w:color w:val="000000" w:themeColor="text1"/>
                <w:sz w:val="16"/>
                <w:szCs w:val="16"/>
              </w:rPr>
            </w:pPr>
          </w:p>
        </w:tc>
        <w:tc>
          <w:tcPr>
            <w:tcW w:w="1010" w:type="dxa"/>
          </w:tcPr>
          <w:p w14:paraId="55F4C34B" w14:textId="77777777" w:rsidR="00D4105E" w:rsidRPr="00E14102" w:rsidRDefault="00D4105E" w:rsidP="00E14102">
            <w:pPr>
              <w:autoSpaceDE w:val="0"/>
              <w:autoSpaceDN w:val="0"/>
              <w:adjustRightInd w:val="0"/>
              <w:jc w:val="both"/>
              <w:rPr>
                <w:color w:val="000000" w:themeColor="text1"/>
                <w:sz w:val="16"/>
                <w:szCs w:val="16"/>
              </w:rPr>
            </w:pPr>
          </w:p>
        </w:tc>
        <w:tc>
          <w:tcPr>
            <w:tcW w:w="1010" w:type="dxa"/>
          </w:tcPr>
          <w:p w14:paraId="29F4F521" w14:textId="77777777" w:rsidR="00D4105E" w:rsidRPr="00E14102" w:rsidRDefault="00D4105E" w:rsidP="00E14102">
            <w:pPr>
              <w:autoSpaceDE w:val="0"/>
              <w:autoSpaceDN w:val="0"/>
              <w:adjustRightInd w:val="0"/>
              <w:jc w:val="both"/>
              <w:rPr>
                <w:color w:val="000000" w:themeColor="text1"/>
                <w:sz w:val="16"/>
                <w:szCs w:val="16"/>
              </w:rPr>
            </w:pPr>
          </w:p>
        </w:tc>
        <w:tc>
          <w:tcPr>
            <w:tcW w:w="1949" w:type="dxa"/>
          </w:tcPr>
          <w:p w14:paraId="356CC782" w14:textId="77777777" w:rsidR="00D4105E" w:rsidRPr="00E14102" w:rsidRDefault="00D4105E" w:rsidP="00E14102">
            <w:pPr>
              <w:autoSpaceDE w:val="0"/>
              <w:autoSpaceDN w:val="0"/>
              <w:adjustRightInd w:val="0"/>
              <w:jc w:val="both"/>
              <w:rPr>
                <w:color w:val="000000" w:themeColor="text1"/>
                <w:sz w:val="16"/>
                <w:szCs w:val="16"/>
              </w:rPr>
            </w:pPr>
          </w:p>
        </w:tc>
        <w:tc>
          <w:tcPr>
            <w:tcW w:w="1560" w:type="dxa"/>
          </w:tcPr>
          <w:p w14:paraId="292E9BDF"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7C1E851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23DA988" w14:textId="77777777">
        <w:trPr>
          <w:cantSplit/>
          <w:trHeight w:val="94"/>
        </w:trPr>
        <w:tc>
          <w:tcPr>
            <w:tcW w:w="1932" w:type="dxa"/>
          </w:tcPr>
          <w:p w14:paraId="127518A8" w14:textId="77777777" w:rsidR="00D4105E" w:rsidRPr="00E14102" w:rsidRDefault="00D4105E" w:rsidP="00E14102">
            <w:pPr>
              <w:autoSpaceDE w:val="0"/>
              <w:autoSpaceDN w:val="0"/>
              <w:adjustRightInd w:val="0"/>
              <w:jc w:val="both"/>
              <w:rPr>
                <w:color w:val="000000" w:themeColor="text1"/>
                <w:sz w:val="16"/>
                <w:szCs w:val="16"/>
              </w:rPr>
            </w:pPr>
          </w:p>
        </w:tc>
        <w:tc>
          <w:tcPr>
            <w:tcW w:w="1578" w:type="dxa"/>
          </w:tcPr>
          <w:p w14:paraId="313F96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Фиат С-32</w:t>
            </w:r>
          </w:p>
        </w:tc>
        <w:tc>
          <w:tcPr>
            <w:tcW w:w="1010" w:type="dxa"/>
          </w:tcPr>
          <w:p w14:paraId="6F8867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390</w:t>
            </w:r>
          </w:p>
        </w:tc>
        <w:tc>
          <w:tcPr>
            <w:tcW w:w="1010" w:type="dxa"/>
          </w:tcPr>
          <w:p w14:paraId="5F05C1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370</w:t>
            </w:r>
          </w:p>
        </w:tc>
        <w:tc>
          <w:tcPr>
            <w:tcW w:w="1949" w:type="dxa"/>
          </w:tcPr>
          <w:p w14:paraId="7ADB91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560" w:type="dxa"/>
          </w:tcPr>
          <w:p w14:paraId="546E85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950</w:t>
            </w:r>
          </w:p>
        </w:tc>
        <w:tc>
          <w:tcPr>
            <w:tcW w:w="1701" w:type="dxa"/>
          </w:tcPr>
          <w:p w14:paraId="2EF46E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2400</w:t>
            </w:r>
          </w:p>
        </w:tc>
      </w:tr>
      <w:tr w:rsidR="00E3599D" w:rsidRPr="00E14102" w14:paraId="1169F15F" w14:textId="77777777">
        <w:trPr>
          <w:cantSplit/>
          <w:trHeight w:val="94"/>
        </w:trPr>
        <w:tc>
          <w:tcPr>
            <w:tcW w:w="1932" w:type="dxa"/>
          </w:tcPr>
          <w:p w14:paraId="429DC7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Чехословакия</w:t>
            </w:r>
          </w:p>
        </w:tc>
        <w:tc>
          <w:tcPr>
            <w:tcW w:w="1578" w:type="dxa"/>
          </w:tcPr>
          <w:p w14:paraId="39F5DF20" w14:textId="77777777" w:rsidR="00D4105E" w:rsidRPr="00E14102" w:rsidRDefault="00D4105E" w:rsidP="00E14102">
            <w:pPr>
              <w:autoSpaceDE w:val="0"/>
              <w:autoSpaceDN w:val="0"/>
              <w:adjustRightInd w:val="0"/>
              <w:jc w:val="both"/>
              <w:rPr>
                <w:color w:val="000000" w:themeColor="text1"/>
                <w:sz w:val="16"/>
                <w:szCs w:val="16"/>
              </w:rPr>
            </w:pPr>
          </w:p>
        </w:tc>
        <w:tc>
          <w:tcPr>
            <w:tcW w:w="1010" w:type="dxa"/>
          </w:tcPr>
          <w:p w14:paraId="287DAC23" w14:textId="77777777" w:rsidR="00D4105E" w:rsidRPr="00E14102" w:rsidRDefault="00D4105E" w:rsidP="00E14102">
            <w:pPr>
              <w:autoSpaceDE w:val="0"/>
              <w:autoSpaceDN w:val="0"/>
              <w:adjustRightInd w:val="0"/>
              <w:jc w:val="both"/>
              <w:rPr>
                <w:color w:val="000000" w:themeColor="text1"/>
                <w:sz w:val="16"/>
                <w:szCs w:val="16"/>
              </w:rPr>
            </w:pPr>
          </w:p>
        </w:tc>
        <w:tc>
          <w:tcPr>
            <w:tcW w:w="1010" w:type="dxa"/>
          </w:tcPr>
          <w:p w14:paraId="78418890" w14:textId="77777777" w:rsidR="00D4105E" w:rsidRPr="00E14102" w:rsidRDefault="00D4105E" w:rsidP="00E14102">
            <w:pPr>
              <w:autoSpaceDE w:val="0"/>
              <w:autoSpaceDN w:val="0"/>
              <w:adjustRightInd w:val="0"/>
              <w:jc w:val="both"/>
              <w:rPr>
                <w:color w:val="000000" w:themeColor="text1"/>
                <w:sz w:val="16"/>
                <w:szCs w:val="16"/>
              </w:rPr>
            </w:pPr>
          </w:p>
        </w:tc>
        <w:tc>
          <w:tcPr>
            <w:tcW w:w="1949" w:type="dxa"/>
          </w:tcPr>
          <w:p w14:paraId="0520F1F4" w14:textId="77777777" w:rsidR="00D4105E" w:rsidRPr="00E14102" w:rsidRDefault="00D4105E" w:rsidP="00E14102">
            <w:pPr>
              <w:autoSpaceDE w:val="0"/>
              <w:autoSpaceDN w:val="0"/>
              <w:adjustRightInd w:val="0"/>
              <w:jc w:val="both"/>
              <w:rPr>
                <w:color w:val="000000" w:themeColor="text1"/>
                <w:sz w:val="16"/>
                <w:szCs w:val="16"/>
              </w:rPr>
            </w:pPr>
          </w:p>
        </w:tc>
        <w:tc>
          <w:tcPr>
            <w:tcW w:w="1560" w:type="dxa"/>
          </w:tcPr>
          <w:p w14:paraId="5BEED802"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74E1B1A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DB37D64" w14:textId="77777777">
        <w:trPr>
          <w:cantSplit/>
          <w:trHeight w:val="94"/>
        </w:trPr>
        <w:tc>
          <w:tcPr>
            <w:tcW w:w="1932" w:type="dxa"/>
          </w:tcPr>
          <w:p w14:paraId="285D93EB" w14:textId="77777777" w:rsidR="00D4105E" w:rsidRPr="00E14102" w:rsidRDefault="00D4105E" w:rsidP="00E14102">
            <w:pPr>
              <w:autoSpaceDE w:val="0"/>
              <w:autoSpaceDN w:val="0"/>
              <w:adjustRightInd w:val="0"/>
              <w:jc w:val="both"/>
              <w:rPr>
                <w:color w:val="000000" w:themeColor="text1"/>
                <w:sz w:val="16"/>
                <w:szCs w:val="16"/>
              </w:rPr>
            </w:pPr>
          </w:p>
        </w:tc>
        <w:tc>
          <w:tcPr>
            <w:tcW w:w="1578" w:type="dxa"/>
          </w:tcPr>
          <w:p w14:paraId="290060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Авиа 534</w:t>
            </w:r>
          </w:p>
        </w:tc>
        <w:tc>
          <w:tcPr>
            <w:tcW w:w="1010" w:type="dxa"/>
          </w:tcPr>
          <w:p w14:paraId="0E700B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380</w:t>
            </w:r>
          </w:p>
        </w:tc>
        <w:tc>
          <w:tcPr>
            <w:tcW w:w="1010" w:type="dxa"/>
          </w:tcPr>
          <w:p w14:paraId="7B6532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403</w:t>
            </w:r>
          </w:p>
        </w:tc>
        <w:tc>
          <w:tcPr>
            <w:tcW w:w="1949" w:type="dxa"/>
          </w:tcPr>
          <w:p w14:paraId="745293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560" w:type="dxa"/>
          </w:tcPr>
          <w:p w14:paraId="1EE470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701" w:type="dxa"/>
          </w:tcPr>
          <w:p w14:paraId="3CC35C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2400</w:t>
            </w:r>
          </w:p>
        </w:tc>
      </w:tr>
      <w:tr w:rsidR="00E3599D" w:rsidRPr="00E14102" w14:paraId="1FA70852" w14:textId="77777777">
        <w:trPr>
          <w:cantSplit/>
          <w:trHeight w:val="94"/>
        </w:trPr>
        <w:tc>
          <w:tcPr>
            <w:tcW w:w="1932" w:type="dxa"/>
          </w:tcPr>
          <w:p w14:paraId="59DE3F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Америка</w:t>
            </w:r>
          </w:p>
        </w:tc>
        <w:tc>
          <w:tcPr>
            <w:tcW w:w="1578" w:type="dxa"/>
          </w:tcPr>
          <w:p w14:paraId="3E412542" w14:textId="77777777" w:rsidR="00D4105E" w:rsidRPr="00E14102" w:rsidRDefault="00D4105E" w:rsidP="00E14102">
            <w:pPr>
              <w:autoSpaceDE w:val="0"/>
              <w:autoSpaceDN w:val="0"/>
              <w:adjustRightInd w:val="0"/>
              <w:jc w:val="both"/>
              <w:rPr>
                <w:color w:val="000000" w:themeColor="text1"/>
                <w:sz w:val="16"/>
                <w:szCs w:val="16"/>
              </w:rPr>
            </w:pPr>
          </w:p>
        </w:tc>
        <w:tc>
          <w:tcPr>
            <w:tcW w:w="1010" w:type="dxa"/>
          </w:tcPr>
          <w:p w14:paraId="643F33C2" w14:textId="77777777" w:rsidR="00D4105E" w:rsidRPr="00E14102" w:rsidRDefault="00D4105E" w:rsidP="00E14102">
            <w:pPr>
              <w:autoSpaceDE w:val="0"/>
              <w:autoSpaceDN w:val="0"/>
              <w:adjustRightInd w:val="0"/>
              <w:jc w:val="both"/>
              <w:rPr>
                <w:color w:val="000000" w:themeColor="text1"/>
                <w:sz w:val="16"/>
                <w:szCs w:val="16"/>
              </w:rPr>
            </w:pPr>
          </w:p>
        </w:tc>
        <w:tc>
          <w:tcPr>
            <w:tcW w:w="1010" w:type="dxa"/>
          </w:tcPr>
          <w:p w14:paraId="67B1910F" w14:textId="77777777" w:rsidR="00D4105E" w:rsidRPr="00E14102" w:rsidRDefault="00D4105E" w:rsidP="00E14102">
            <w:pPr>
              <w:autoSpaceDE w:val="0"/>
              <w:autoSpaceDN w:val="0"/>
              <w:adjustRightInd w:val="0"/>
              <w:jc w:val="both"/>
              <w:rPr>
                <w:color w:val="000000" w:themeColor="text1"/>
                <w:sz w:val="16"/>
                <w:szCs w:val="16"/>
              </w:rPr>
            </w:pPr>
          </w:p>
        </w:tc>
        <w:tc>
          <w:tcPr>
            <w:tcW w:w="1949" w:type="dxa"/>
          </w:tcPr>
          <w:p w14:paraId="2216E8C2" w14:textId="77777777" w:rsidR="00D4105E" w:rsidRPr="00E14102" w:rsidRDefault="00D4105E" w:rsidP="00E14102">
            <w:pPr>
              <w:autoSpaceDE w:val="0"/>
              <w:autoSpaceDN w:val="0"/>
              <w:adjustRightInd w:val="0"/>
              <w:jc w:val="both"/>
              <w:rPr>
                <w:color w:val="000000" w:themeColor="text1"/>
                <w:sz w:val="16"/>
                <w:szCs w:val="16"/>
              </w:rPr>
            </w:pPr>
          </w:p>
        </w:tc>
        <w:tc>
          <w:tcPr>
            <w:tcW w:w="1560" w:type="dxa"/>
          </w:tcPr>
          <w:p w14:paraId="63EC1B10"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73D724A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AAD7810" w14:textId="77777777">
        <w:trPr>
          <w:cantSplit/>
          <w:trHeight w:val="94"/>
        </w:trPr>
        <w:tc>
          <w:tcPr>
            <w:tcW w:w="1932" w:type="dxa"/>
          </w:tcPr>
          <w:p w14:paraId="65F6F4D9" w14:textId="77777777" w:rsidR="00D4105E" w:rsidRPr="00E14102" w:rsidRDefault="00D4105E" w:rsidP="00E14102">
            <w:pPr>
              <w:autoSpaceDE w:val="0"/>
              <w:autoSpaceDN w:val="0"/>
              <w:adjustRightInd w:val="0"/>
              <w:jc w:val="both"/>
              <w:rPr>
                <w:color w:val="000000" w:themeColor="text1"/>
                <w:sz w:val="16"/>
                <w:szCs w:val="16"/>
              </w:rPr>
            </w:pPr>
          </w:p>
        </w:tc>
        <w:tc>
          <w:tcPr>
            <w:tcW w:w="1578" w:type="dxa"/>
          </w:tcPr>
          <w:p w14:paraId="4E1C18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Боинг Р-26</w:t>
            </w:r>
          </w:p>
        </w:tc>
        <w:tc>
          <w:tcPr>
            <w:tcW w:w="1010" w:type="dxa"/>
          </w:tcPr>
          <w:p w14:paraId="26E3CC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370</w:t>
            </w:r>
          </w:p>
        </w:tc>
        <w:tc>
          <w:tcPr>
            <w:tcW w:w="1010" w:type="dxa"/>
          </w:tcPr>
          <w:p w14:paraId="0C2A00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w:t>
            </w:r>
          </w:p>
        </w:tc>
        <w:tc>
          <w:tcPr>
            <w:tcW w:w="1949" w:type="dxa"/>
          </w:tcPr>
          <w:p w14:paraId="4252D3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560" w:type="dxa"/>
          </w:tcPr>
          <w:p w14:paraId="7E9A81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w:t>
            </w:r>
          </w:p>
        </w:tc>
        <w:tc>
          <w:tcPr>
            <w:tcW w:w="1701" w:type="dxa"/>
          </w:tcPr>
          <w:p w14:paraId="0866CC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2400</w:t>
            </w:r>
          </w:p>
        </w:tc>
      </w:tr>
      <w:tr w:rsidR="00E3599D" w:rsidRPr="00E14102" w14:paraId="5BADE544" w14:textId="77777777">
        <w:trPr>
          <w:cantSplit/>
          <w:trHeight w:val="94"/>
        </w:trPr>
        <w:tc>
          <w:tcPr>
            <w:tcW w:w="1932" w:type="dxa"/>
          </w:tcPr>
          <w:p w14:paraId="1BE3EA03" w14:textId="77777777" w:rsidR="00D4105E" w:rsidRPr="00E14102" w:rsidRDefault="00D4105E" w:rsidP="00E14102">
            <w:pPr>
              <w:autoSpaceDE w:val="0"/>
              <w:autoSpaceDN w:val="0"/>
              <w:adjustRightInd w:val="0"/>
              <w:jc w:val="both"/>
              <w:rPr>
                <w:color w:val="000000" w:themeColor="text1"/>
                <w:sz w:val="16"/>
                <w:szCs w:val="16"/>
              </w:rPr>
            </w:pPr>
          </w:p>
        </w:tc>
        <w:tc>
          <w:tcPr>
            <w:tcW w:w="1578" w:type="dxa"/>
          </w:tcPr>
          <w:p w14:paraId="119533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Опытный Нортроп</w:t>
            </w:r>
          </w:p>
        </w:tc>
        <w:tc>
          <w:tcPr>
            <w:tcW w:w="1010" w:type="dxa"/>
          </w:tcPr>
          <w:p w14:paraId="23EB81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480 (по неоффициальным данным)</w:t>
            </w:r>
          </w:p>
        </w:tc>
        <w:tc>
          <w:tcPr>
            <w:tcW w:w="1010" w:type="dxa"/>
          </w:tcPr>
          <w:p w14:paraId="1CC8AB8B" w14:textId="77777777" w:rsidR="00D4105E" w:rsidRPr="00E14102" w:rsidRDefault="00D4105E" w:rsidP="00E14102">
            <w:pPr>
              <w:autoSpaceDE w:val="0"/>
              <w:autoSpaceDN w:val="0"/>
              <w:adjustRightInd w:val="0"/>
              <w:jc w:val="both"/>
              <w:rPr>
                <w:color w:val="000000" w:themeColor="text1"/>
                <w:sz w:val="16"/>
                <w:szCs w:val="16"/>
              </w:rPr>
            </w:pPr>
          </w:p>
        </w:tc>
        <w:tc>
          <w:tcPr>
            <w:tcW w:w="1949" w:type="dxa"/>
          </w:tcPr>
          <w:p w14:paraId="5969AC71" w14:textId="77777777" w:rsidR="00D4105E" w:rsidRPr="00E14102" w:rsidRDefault="00D4105E" w:rsidP="00E14102">
            <w:pPr>
              <w:autoSpaceDE w:val="0"/>
              <w:autoSpaceDN w:val="0"/>
              <w:adjustRightInd w:val="0"/>
              <w:jc w:val="both"/>
              <w:rPr>
                <w:color w:val="000000" w:themeColor="text1"/>
                <w:sz w:val="16"/>
                <w:szCs w:val="16"/>
              </w:rPr>
            </w:pPr>
          </w:p>
        </w:tc>
        <w:tc>
          <w:tcPr>
            <w:tcW w:w="1560" w:type="dxa"/>
          </w:tcPr>
          <w:p w14:paraId="460946B0"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6CE9AD6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4B35DA5" w14:textId="77777777">
        <w:trPr>
          <w:cantSplit/>
          <w:trHeight w:val="94"/>
        </w:trPr>
        <w:tc>
          <w:tcPr>
            <w:tcW w:w="1932" w:type="dxa"/>
          </w:tcPr>
          <w:p w14:paraId="394138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Польша</w:t>
            </w:r>
          </w:p>
        </w:tc>
        <w:tc>
          <w:tcPr>
            <w:tcW w:w="1578" w:type="dxa"/>
          </w:tcPr>
          <w:p w14:paraId="16345991" w14:textId="77777777" w:rsidR="00D4105E" w:rsidRPr="00E14102" w:rsidRDefault="00D4105E" w:rsidP="00E14102">
            <w:pPr>
              <w:autoSpaceDE w:val="0"/>
              <w:autoSpaceDN w:val="0"/>
              <w:adjustRightInd w:val="0"/>
              <w:jc w:val="both"/>
              <w:rPr>
                <w:color w:val="000000" w:themeColor="text1"/>
                <w:sz w:val="16"/>
                <w:szCs w:val="16"/>
              </w:rPr>
            </w:pPr>
          </w:p>
        </w:tc>
        <w:tc>
          <w:tcPr>
            <w:tcW w:w="1010" w:type="dxa"/>
          </w:tcPr>
          <w:p w14:paraId="715CDBBA" w14:textId="77777777" w:rsidR="00D4105E" w:rsidRPr="00E14102" w:rsidRDefault="00D4105E" w:rsidP="00E14102">
            <w:pPr>
              <w:autoSpaceDE w:val="0"/>
              <w:autoSpaceDN w:val="0"/>
              <w:adjustRightInd w:val="0"/>
              <w:jc w:val="both"/>
              <w:rPr>
                <w:color w:val="000000" w:themeColor="text1"/>
                <w:sz w:val="16"/>
                <w:szCs w:val="16"/>
              </w:rPr>
            </w:pPr>
          </w:p>
        </w:tc>
        <w:tc>
          <w:tcPr>
            <w:tcW w:w="1010" w:type="dxa"/>
          </w:tcPr>
          <w:p w14:paraId="1266566D" w14:textId="77777777" w:rsidR="00D4105E" w:rsidRPr="00E14102" w:rsidRDefault="00D4105E" w:rsidP="00E14102">
            <w:pPr>
              <w:autoSpaceDE w:val="0"/>
              <w:autoSpaceDN w:val="0"/>
              <w:adjustRightInd w:val="0"/>
              <w:jc w:val="both"/>
              <w:rPr>
                <w:color w:val="000000" w:themeColor="text1"/>
                <w:sz w:val="16"/>
                <w:szCs w:val="16"/>
              </w:rPr>
            </w:pPr>
          </w:p>
        </w:tc>
        <w:tc>
          <w:tcPr>
            <w:tcW w:w="1949" w:type="dxa"/>
          </w:tcPr>
          <w:p w14:paraId="7B0E3DC7" w14:textId="77777777" w:rsidR="00D4105E" w:rsidRPr="00E14102" w:rsidRDefault="00D4105E" w:rsidP="00E14102">
            <w:pPr>
              <w:autoSpaceDE w:val="0"/>
              <w:autoSpaceDN w:val="0"/>
              <w:adjustRightInd w:val="0"/>
              <w:jc w:val="both"/>
              <w:rPr>
                <w:color w:val="000000" w:themeColor="text1"/>
                <w:sz w:val="16"/>
                <w:szCs w:val="16"/>
              </w:rPr>
            </w:pPr>
          </w:p>
        </w:tc>
        <w:tc>
          <w:tcPr>
            <w:tcW w:w="1560" w:type="dxa"/>
          </w:tcPr>
          <w:p w14:paraId="6C65059C"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7A95177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0681A6E" w14:textId="77777777">
        <w:trPr>
          <w:cantSplit/>
          <w:trHeight w:val="94"/>
        </w:trPr>
        <w:tc>
          <w:tcPr>
            <w:tcW w:w="1932" w:type="dxa"/>
          </w:tcPr>
          <w:p w14:paraId="301C5C2F" w14:textId="77777777" w:rsidR="00D4105E" w:rsidRPr="00E14102" w:rsidRDefault="00D4105E" w:rsidP="00E14102">
            <w:pPr>
              <w:autoSpaceDE w:val="0"/>
              <w:autoSpaceDN w:val="0"/>
              <w:adjustRightInd w:val="0"/>
              <w:jc w:val="both"/>
              <w:rPr>
                <w:color w:val="000000" w:themeColor="text1"/>
                <w:sz w:val="16"/>
                <w:szCs w:val="16"/>
              </w:rPr>
            </w:pPr>
          </w:p>
        </w:tc>
        <w:tc>
          <w:tcPr>
            <w:tcW w:w="1578" w:type="dxa"/>
          </w:tcPr>
          <w:p w14:paraId="4B0937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Р-24</w:t>
            </w:r>
          </w:p>
        </w:tc>
        <w:tc>
          <w:tcPr>
            <w:tcW w:w="1010" w:type="dxa"/>
          </w:tcPr>
          <w:p w14:paraId="3B9DBE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380</w:t>
            </w:r>
          </w:p>
        </w:tc>
        <w:tc>
          <w:tcPr>
            <w:tcW w:w="1010" w:type="dxa"/>
          </w:tcPr>
          <w:p w14:paraId="2DACC9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416</w:t>
            </w:r>
          </w:p>
        </w:tc>
        <w:tc>
          <w:tcPr>
            <w:tcW w:w="1949" w:type="dxa"/>
          </w:tcPr>
          <w:p w14:paraId="58C9CB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w:t>
            </w:r>
          </w:p>
        </w:tc>
        <w:tc>
          <w:tcPr>
            <w:tcW w:w="1560" w:type="dxa"/>
          </w:tcPr>
          <w:p w14:paraId="507EA2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10000</w:t>
            </w:r>
          </w:p>
        </w:tc>
        <w:tc>
          <w:tcPr>
            <w:tcW w:w="1701" w:type="dxa"/>
          </w:tcPr>
          <w:p w14:paraId="253C96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bl>
    <w:p w14:paraId="54CAAF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изложенного очевидно, как крупный шаг был сделан в истребительной авиации СССР сравнительно с положением на 1933 год с введением на вооружение новых истребителей И15 М-25, И16-М22, И16-М25 и ИП-1 М25. По скоростям мы вышли из класса скорости 250-260 км/час на 5000 к 350-445, по времени подъема на 5000 с 10-11 минут до 6-6,5 минут, по потолку с 7-7500 до 9-10000 метров.</w:t>
      </w:r>
    </w:p>
    <w:p w14:paraId="7EC7FE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Боевая мощь современных истребителей также значительно усилилась. Если раньше количество выстрелов в минуту доходило до 1400, то теперь возросло в среднем до 2800-3600 и удалось создать пушечный истребитель ИП-1.</w:t>
      </w:r>
    </w:p>
    <w:p w14:paraId="597C68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Культура конструкции самолетов за эти годы сильно возросла в смысле выработки оформления отдельных деталей в виде убирающегося шасси, аэродинамически выгодных капотов, общей аэродинамической обработки самолета, так и применения новых технологических процессов и материалов, применение хромомолибдена, электронов, пластмасс и т.д., термической обработки, специальных покрытий и пр.</w:t>
      </w:r>
    </w:p>
    <w:p w14:paraId="14CE09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это характеризует с достаточной ясностью тот большой шаг, который был сделан в деле поднятия истребительной авиации на более высокую ступень. Совершенно понятно, что напряженно развернувшаяся в течение 33-34 и в начале 1935 года работа по созданию новых образцов истребительной авиации сопровождалась большими трудностями как по линии научно-исследовательской работы и связанного непосредственно с ней проектирования и конструирования самолетов, так по линии выработки новых производственных процессов в постройке самолетов и еще больше в процессе испытаний образцов самолетов на прочность и на летные и боевые качества. Тесно связанным с этим является вопрос доводок самолета как с точки устранения дефектов летного характера, так и конструктивных и эксплуатационных дефектов, понижающих боеспособность самолета и затрудняющих его эксплуатацию.</w:t>
      </w:r>
    </w:p>
    <w:p w14:paraId="3F5A91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Надо еще раз констатировать, что исследовательская работа у нас в Союзе далеко отстала от тех потребностей, какие вызываются своевременным состоянием строительства новых самолетов. Наши аэродинамические лаборатории, наши лаборатории прочности, наши лаборатории по исследованию новых технологических процессов и материалов не стоят на уровне современных достижений научно-исследовательской работы за границей и не служат базой, на которой нормально может развиваться проектирование и конструирование новых самолетов, требующих для себя как соответствующей аэродинамической проработки самолета, так и проработки самолета в смысле прочностей и технологии.</w:t>
      </w:r>
    </w:p>
    <w:p w14:paraId="109A41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основном проектирование наших самолетов базировалось до сих пор на иностранных литературных данных, а с каждым годом получение таки данных становится все труднее, вследствие засекречивания их и затягивания времени в опубликовании.</w:t>
      </w:r>
    </w:p>
    <w:p w14:paraId="08D43A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Методика наших статиспытаний является действительно статической, а не динамическим испытанием, совершенно неудовлетворительным в той области скоростей, в которую мы вступили с нашими новыми самолетами, где динамика набегающего потока является решающим фактором для прочности самолета. Явление вибрации и вместе с этим поломка машин может быть исследована только при условии получения соответствующих аэродинамических данных и исследования испытания самолета на прочность, а не статическими, которые не являются достаточно показательными.</w:t>
      </w:r>
    </w:p>
    <w:p w14:paraId="50C384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Такое же положение можно указать и в отношении моторной рамы и других частей самолета. Летные испытания в ВВС, по своей методике, по своей программе и по аппаратуре являются совершенно неудовлетворительными для современных скоростей и быстроходных самолетов, вследствие чего огромное количество дефектов или не выявляется своевременно во время этих испытаний или же выявляется недостаточно выпукло, вследствие чего причины этих дефектов оказываются неясными и само выявление этих дефектов и устранение их затягивается на весьма продолжительные сроки (1-2 года).</w:t>
      </w:r>
    </w:p>
    <w:p w14:paraId="77B367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Переходя конкретно к истребителям завода № 39 – И15 и И16 необходимо отметить ту неустойчивую линию поведения, которую заняли ВВС в отношении к первому из этих истребителей, а именно, к истребителю И-15. При испытании опытного самолета в декабре 1933 года ВВС в своем отзыве отмечают, что: а) "Самолет И15 с мотором РЦ 3 как полностью и с повышением удовлетворяющий техническим требованиям, рекомендовать для серийной постройки.</w:t>
      </w:r>
    </w:p>
    <w:p w14:paraId="38A7C3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На опытном экземпляре надлежит добиться еще в процессе дополнительных испытаний улучшения устойчивости пути и разработать мероприятия для серии".</w:t>
      </w:r>
    </w:p>
    <w:p w14:paraId="170F3F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Уже при испытании первого серийного образца в 1934 году ВВС резко стали выпячивать дефекты этого самолета, хотя в этом же акте они признают, что летные данные этого самолета ничуть не уступают опытному образцу. В последнее время ВВС заняли совершенно категоричную позицию по отношению к этому самолету, не включая его даже в программу постройки 1936 года.</w:t>
      </w:r>
    </w:p>
    <w:p w14:paraId="3F153B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Такое положение в достаточной степени характеризует изменчивую и неопределенную политику ВВС по отношению к одному и тому же фактически самолету. Это опасно еще в том отношении, что И15 является на сегодня единственным маневренным истребителем в Союзе. Отсутствие заказа на него в 1936 году при фактической невозможности дать новый маневренный истребитель в 1936 году в серии поставит ВВС под удар в том отношении, что они будут иметь только скоростные истребители и не будут иметь маневренных истребителей. По нашему мнению это неправильно и маневренный истребитель необходим.</w:t>
      </w:r>
    </w:p>
    <w:p w14:paraId="2C89F9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процессе испытания самолета И15, в процессе постройки, в процессе эксплуатации этого самолета в ВВС выявился ряд дефектов, из коих главнейшими являются:</w:t>
      </w:r>
    </w:p>
    <w:p w14:paraId="4423DA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Рыскание самолета на скорости свыше 320 км, рыскание самолета является одним из тех дефектов, кои не могли быть выявлены в результате продувки в наших аэродинамических трубах, причины возникновения коего были выяснены только после эксплуатационного испытания и последующих исследовательских работах и которые оказались устраненными в результате перехода от центроплана типа "Чайки" к нормальному центроплану в НИИ ВВС специально выстроенного самолета И15 с нормальным центропланом. По отзывам летчиков Люберецкой бригады, летающих на самолете И15 и проводящих войсковые испытания, рыскание самолета И16 не является дефектом значительно понижающим боеспособность этого самолета. Вождение в строю, стрельба на этом самолете, требует только некоторого усиления внимания. При внимательном вождении этого самолета дефект рыскания если не целиком, то в значительной степени смягчается, вследствие чего и стрельба и вождение в строю на высоких скоростях вполне возможна (пример, парад 1 мая 1935 года, когда в строю шли 2 эскадрильи И15).</w:t>
      </w:r>
    </w:p>
    <w:p w14:paraId="2E7815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Срыв полотна с верхнего крыла является дефектом обнаруженным в последнее время. Дефект этот в настоящее время целиком устраняется на всех самолетах И15, путем специальной прошивки полотна к нервюре крыла и путем усиления носка верхнего крыла постановкой добавочной головки нервюры и утолщением обшивки носка крыла.</w:t>
      </w:r>
    </w:p>
    <w:p w14:paraId="4FD6EF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Случаи поломки моторной рамы, наблюдавшиеся в частях в основном являются результатом вибрации от мотора с одной стороны и дефектами сварки с другой. Рамы неоднократно и во многих экземплярах статически испытывались и по старым и по новым нормам 1934 года и этому испытанию удовлетворяли полностью. Однако отдельные экземпляры таких рам ломались в эксплуатации на 5-6 часов работы, в то время как огромное большинство рам в настоящее время работает уже по 60-70-80 часов без всяких поломок. В настоящее время спроектированы и изготовляются опытные моторамы, на которых мотор упруго подшивается с помощью резиновых прокладок по типу самолета "Дуглас". По изготовлении эта рама будет поставлена на вибрационное испытание и мы надеемся, что таким путем мы получим полный ответ по моторамам, устраняющий поломку их от вибрации.</w:t>
      </w:r>
    </w:p>
    <w:p w14:paraId="03B6FB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Поломки ног шасси имевшие место при эксплуатации ВВС, по нашему мнению в основном происходили от неправильного технологического процесса и недостаточного контроля его вызванного до некоторой степени сложностью конструкции ног шасси. В настоящее время на 1-м заводе при консультации завода № 39 изготовлен ряд опытных образцов ног шасси, в которых устраняются указанные дефекты. Эти образцы испытываются и мы надеемся в ближайшее время получить решение не только по получению ноги шасси достаточно прочной и гарантирующей эксплуатацию, но и ответ на вопрос о лечении тех ног шасси, кои имели те или другие дефекты, замеченные в эксплуатации.</w:t>
      </w:r>
    </w:p>
    <w:p w14:paraId="1DE6A3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Самолет И15, находящийся на эксплуатации не имеет самопуска. По требованиям ВВС заводом 39 на одном из самолетов был установлен электроинерционный самопуск, по которому только в октябре 1935 года мы получили заключение, что при температуре наружного воздуха + 15 градусов этот самопуск действует удовлетворительно.</w:t>
      </w:r>
    </w:p>
    <w:p w14:paraId="3417FF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Относительно работы этого самопуска при более низкой температуре заключения от НИИ ВВС не поступало. Это заключение явилось уже окончательным после первого заключения, в коем говорилось о том, что "целесообразность эксплуатации электроинерционного самопуска еще не выяснена". С нашей точки зрения установка электроинерционного самопуска, весящая в основном около 70 кг и сильно снижающая боевые качества самолета И15 не является выходом из создавшегося положения. Наиболее подходящим типом самопуска для такого типа самолета является воздушный самопуск, работы по которому ведутся на заводе № 19.</w:t>
      </w:r>
    </w:p>
    <w:p w14:paraId="17AB5A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Самым последним по обнаружению дефектом явилась поломка стабилизатора в Люберецкой бригаде во время войсковых испытаний, 7 октября 1935 года. Поломка произошла во время пикирования, причем летчик совершил благополучную посадку. Сломалась часть переднего ребра правой стороны стабилизатора. Причины поломки в настоящее время выясняются.</w:t>
      </w:r>
    </w:p>
    <w:p w14:paraId="23B481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эти поломки обнаружились через один-полтора года после выпуска опытного самолета, причем опытный самолет, находящийся до сих пор на заводе № 39 и совершающий в настоящее время рекордный полет на высоту, имеет свыше 600 посадок и около 80-100 часов эксплуатации.</w:t>
      </w:r>
    </w:p>
    <w:p w14:paraId="5ECFA4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Пять самолетов И15, 6 октября 1935 года поднялись строем с завода № 39 на высоту 10500 м и строем пролетели 440 км на этой высоте. Это крупнейший шаг вперед по овладению высотой и хороший экзамен для самолета И-15. На этом же самолете И15 летчик Евсеев поднялся на высоту 12020 м, а летчик Коккинаки на 11800 м, побив этим наши союзные рекорды.</w:t>
      </w:r>
    </w:p>
    <w:p w14:paraId="5EF164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И16-М22 является первым серийным истребителем, имеющим убирающееся шасси. Выработка этого шасси являлась весьма сложной проблемой и отняла и у завода № 39 и у завода № 21 весьма много времени и трудов. В настоящее время эта проблема может считаться решенной удовлетворительно, так как замеченные в войсковых испытаниях дефекты шасси легко устранимы и уже устраняются в серийном производстве.</w:t>
      </w:r>
    </w:p>
    <w:p w14:paraId="6DA56B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Одним из дефектов И16-М22, отмеченным войсковыми испытаниями является неудовлетворительная работа бензиновой системы, заключающаяся в сгорании при скапливании бензинового патрубка. Это явление наблюдалось только в полете на спине, причем первой причиной этого явилось заедание иглы карбюратора и протекание бензина через них. Дефект этот устраняется путем постоянного наблюдения за состоянием игл карбюратора и устранением течи через них. Кроме того, приняты все меры к уплотнению отверстия во всасывающем патрубке с целью устранения возможности протекания бензина из него.</w:t>
      </w:r>
    </w:p>
    <w:p w14:paraId="7E1734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Войсковые испытания этого самолета, проводящиеся в настоящее время Люберецкой бригадой и Брянской бригадой протекают вполне удовлетворительно. Летный состав осваивается с данным типом самолета, делает хорошо фигуры и проводит тренировку на посадки. Весь состав дает хорошие отзывы о летных свойствах и качествах этого самолета. Мелкие дефекты, отмечаемые летным составом, касаются в основном эксплуатационных удобств на этом самолете, каковые будут устранены в серии в ближайшее время.</w:t>
      </w:r>
    </w:p>
    <w:p w14:paraId="5B4BAE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Одним из самых серьезных моментов в летной эксплуатации этой машины являлся вопрос штопора. По этому вопросу мы получили совершенно категоричное заявление со стороны ЦАГИ и Академии воздушного флота, предостерегающее от производства штопора на этом самолете, однако в действительности оказалось, что самолет И16-М22 по своим штопорным качествам является наиболее удовлетворительным самолетом, допускающий производить штопор до 10-11 витков при усиленном положении ручки выходящий из штопора без запозданий.</w:t>
      </w:r>
    </w:p>
    <w:p w14:paraId="017167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Наиболее современным и перспективным истребителем с точки зрения летных качеств является истребитель И16-М25. Опытный экземпляр этого самолета был выстроен еще в 1934 году, в 1934 году он проходил госиспытания. Госиспытания не были утверждены начальником ВВС из-за неудовлетворительного действия стоящего на нем в то время убирающегося шасси и неудовлетворительной пулеметной установки, стоявшей в то время на нем. Самолет был возвращен на завод № 39, а так как в то время на заводе № 39 протекала самая напряженная работа по окончанию серии самолета И16 М22, то выработка эталона этого самолета была задержана до пуска небольшой серии самолета И16 М25 в количестве 10 штук. Устранение замеченных дефектов в виде усиления хвостового оперения и 4-й нервюры, отдалили срок выработки эталона до 1 сентября. В сентябре завод № 39 начал эксплуатационные испытания И16 М25, каковые еще не закончены. Для завода № 21 11 октября отправлен образец самолета И16 М25, однако расходящийся с теми чертежами, кои посланы на завод № 21 заводом № 39 и по коим строится в настоящее время И16 М25. Расхождения эти касаются с одной стороны улучшением аэродинамики самолета, в части устройства нещелевого компенсированного элерона и хвостового оперения, в части улучшения капотов, в части установки подогрева смеси в карбюраторе и с другой стороны в них учитывается весь опыт, который является в результате войсковых испытаний самолета И16 М22 и переносится на этот самолет (усиление образцов костыля, усиление штопора и собачка шасси и т.д.).</w:t>
      </w:r>
    </w:p>
    <w:p w14:paraId="768914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Чертежи на эти отличия заводом № 39 посланы на завод № 21 и по мере выявления тех или иных дефектов во время войсковых испытаний он переносит их на завод № 21 для принятия соответствующих мер при постройке самолета И16 М25.</w:t>
      </w:r>
    </w:p>
    <w:p w14:paraId="03F5F0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процессе эксплуатационных на заводе № 39 окончательно решен вопрос о конструкции капотов И16 М25. Чертежи этих капотов, посланные в начале октября на завод № 21 полностью гарантируют эти капоты от прогарания во время эксплуатации.</w:t>
      </w:r>
    </w:p>
    <w:p w14:paraId="0D1510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всех самолетах И16 М25 будет поставлена смесительная камера карбюратора. Что касается установки подогрева всасывающего воздух, то завод № 39 осуществил это на одном из образцов и этот самолет в настоящее время находится на испытании.</w:t>
      </w:r>
    </w:p>
    <w:p w14:paraId="7C19E6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на одном из самолетов И16 М25 установлен электроинерционный самопуск и радио установка и в ближайшее время мы приступим к испытанию этих агрегатов.</w:t>
      </w:r>
    </w:p>
    <w:p w14:paraId="08A08B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Прочность самолета И16 доведена нами до новых норм 1934 года, а прочность крыла проработана статиспытанием, согласно коему мы получили прочность крыла на случай АК перегрузку вместо 13 по норме свыше 15, что полностью гарантирует прочность крыла и в частности центроплана.</w:t>
      </w:r>
    </w:p>
    <w:p w14:paraId="121422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Истребитель И17 с мотором Испано-Сюиза, построен на заводе 39 в 2 экземплярах и второй из них проходит сейчас заводские испытания. Есть все основания утверждать, что этот самолет даст дальнейшее увеличение горизонтальной скорости наших истребителей. Пушечный истребитель ИП-1 строится на заводе 135. </w:t>
      </w:r>
      <w:r w:rsidRPr="00E14102">
        <w:rPr>
          <w:color w:val="000000" w:themeColor="text1"/>
          <w:sz w:val="16"/>
          <w:szCs w:val="16"/>
        </w:rPr>
        <w:lastRenderedPageBreak/>
        <w:t>Основной трудностью на этом заводе является нехватка высококвалифицированных рабочих дюральщиков и это по существу и лимитирует программу завода, не обеспечивая полного ее выполнения. В вопросах снабжения и оборудования заводу оказана серьезная помощь и эти вопросы не лимитируют производство.</w:t>
      </w:r>
    </w:p>
    <w:p w14:paraId="297614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изложенного можно видеть:</w:t>
      </w:r>
    </w:p>
    <w:p w14:paraId="3201769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Что, несмотря на все трудности проектирования и постройки этих истребителей, возникающих из недостаточной исследовательской базы, из недостаточно высокого уровня производства и летных испытаний как заводов, так и ВВС промышленность преодолевает эти трудности и борется с этими дефектами, которые обнаруживаются и обнаружены на данных истребителях.</w:t>
      </w:r>
    </w:p>
    <w:p w14:paraId="7D2E86F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Что, эти истребители по летным и боевым данным, по сравнению с истребителями, находившимися на снабжении ВВС в 1933 году представляют собой громадный шаг в развитии истребительной авиации.</w:t>
      </w:r>
    </w:p>
    <w:p w14:paraId="7CFCC05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Что истребители, находящиеся в настоящее время на вооружении ВВС являются по своим летным и боевым данным не уступающим истребителям ведущих заграничных стран.</w:t>
      </w:r>
    </w:p>
    <w:p w14:paraId="076AD6B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Совершенно неправильным и неполезным является обвинение в записке Березина и Хаханьяна зав. № 39 (конструктор Поликарпов) в негосударственном подходе к конструкции и руководства завода № 39 (директор Марголин) в потворстве этому. Все высказанное говорит об обратном.</w:t>
      </w:r>
    </w:p>
    <w:p w14:paraId="28BCFF7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Штурмовая и двухместная истребительная авиация:</w:t>
      </w:r>
    </w:p>
    <w:p w14:paraId="75A1DD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1935 года штурмовой авиации по существу у нас не было за исключением штурмового варианта "Р-5".</w:t>
      </w:r>
    </w:p>
    <w:p w14:paraId="5DCCFC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текущем году на заводе № 1 производится 350 самолетов "ЗС" представляющих из себя улучшение машины "Р-5", имеющую штурмовой вариант пять пулеметов ШКАСС и бомбы.</w:t>
      </w:r>
    </w:p>
    <w:p w14:paraId="1C0988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с этим по решению Правительства на заводе № 39 закончено производство опытного штурмовика переделанного из двухместного истребителя ДИ-6, имеющего четыре пулемета "ПВ" и один пулемет "ШКАСС", а также бомбовое вооружение. Этот самолет безусловно даст максимальную скорость порядка около 400 км.</w:t>
      </w:r>
    </w:p>
    <w:p w14:paraId="34D7B0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путем имея сейчас в серийном производстве штурмовик "З-С", мы к 1936 году готовим новый более совершенный штурмовик "ДИ-6" с мотором М-25.</w:t>
      </w:r>
    </w:p>
    <w:p w14:paraId="5196A5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Двухместные истребители нам не удавалось сконструировать и построить все эти годы в сколько-нибудь удовлетворительном виде.</w:t>
      </w:r>
    </w:p>
    <w:p w14:paraId="1B4C6A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 один из построенных двухместных истребителей до 1935 года не удовлетворял требованиям УВС.</w:t>
      </w:r>
    </w:p>
    <w:p w14:paraId="5D92E3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текущем году нам удалось на заводе № 39 построить двухместный истребитель "ДИ-6", который на заводских испытаниях и на совместных летных испытаниях показал высокие летно-тактические данные. Двухместный истребитель "ДИ-6" с тем же мотором М-25, что и И-15, дает скорость выше И-15, высокую маневренность и уступает только по скороподъемности.</w:t>
      </w:r>
    </w:p>
    <w:p w14:paraId="6737D9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Сейчас самолет проходит госиспытания и надо полагать, что этим самолетом проблема вооружения ВВС двухместным истребителем на ближайшие 1-1,5 года будет решена.</w:t>
      </w:r>
    </w:p>
    <w:p w14:paraId="64953A7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Разведывательная авиация.</w:t>
      </w:r>
    </w:p>
    <w:p w14:paraId="4BEFFF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записке Березина и Хаханьяна, директор завода № 1 Беленкович обвиняется в самовольной замене самолета "ЛР" самолетом "РZ". Замена одного самолета другим была произведена с согласия наркома обороны с наркомом тяжелой промышленности.</w:t>
      </w:r>
    </w:p>
    <w:p w14:paraId="513C0E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этот задерживался исполнением главным образом потому, что с одной стороны, завод долго доводил самолет, а НИИ ВВС долго его испытывал.</w:t>
      </w:r>
    </w:p>
    <w:p w14:paraId="08047D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Основными недостатками самолета являются:</w:t>
      </w:r>
    </w:p>
    <w:p w14:paraId="2F59B6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большой пробег самолета</w:t>
      </w:r>
    </w:p>
    <w:p w14:paraId="1FB82E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недоведенность задней пулеметной точки (электрифицированная турель).</w:t>
      </w:r>
    </w:p>
    <w:p w14:paraId="77DC68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остальном самолет значительно превышает все летные данные старого разведчика "Р-5".</w:t>
      </w:r>
    </w:p>
    <w:p w14:paraId="5DAC34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Сейчас завод № 1 устраняет два основных дефекта на втором экземпляре этого самолета, одновременно развернув его серийное производство.</w:t>
      </w:r>
    </w:p>
    <w:p w14:paraId="3278DB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"РZ" не является перспективным самолетом, точно также как и "ЛР", а является переходным, до поступления на серийное производство нового заданного нам Правительством самолета "Р-9". Новый разведчик "Р-9" строится в нескольких организациях (для перестраховки) и в ноябре самолет "Р-9" с мотором К-14 выходит на заводе № 39 на заводские испытания. От самолета "Р-9", строящегося на заводе № 39, мы ожидаем высоких летно-технических данных (скорость порядка 450 км).</w:t>
      </w:r>
    </w:p>
    <w:p w14:paraId="617823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Немедленно же после госиспытаний этого самолета, необходимо будет заложить и выпустить войсковую серию порядка 10 самолетов для производства на них всесторонних эксплуатационных испытаний. Это необходимо для того, чтобы предупредить и выявить возможные дефекты до постройки большой серии.</w:t>
      </w:r>
    </w:p>
    <w:p w14:paraId="58FFF5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же по разведывательной авиации мы несомненно имеем отставание.</w:t>
      </w:r>
    </w:p>
    <w:p w14:paraId="6E73986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Морская авиация.</w:t>
      </w:r>
    </w:p>
    <w:p w14:paraId="63AA1E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"МБР-2" на заводе № 31 производством закончен и заканчивается сдачей.</w:t>
      </w:r>
    </w:p>
    <w:p w14:paraId="105B3D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Сейчас на испытаниях на 31 заводе находится машина "МБР2" с мотором М-34Н. Надо полагать, что самолет "МБР-2" с этим мотором даст скорость порядка 230-240 км, что значительно улучшит его боеспособность. Также находится на испытании на заводе самолет "Амфибия" МБР-5 с мотором "Райт-Циклон".</w:t>
      </w:r>
    </w:p>
    <w:p w14:paraId="1750A3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ведет себя на испытаниях не плохо и тем самым дает основание полагать, что на 1936 год мы будем иметь более современный морской ближний разведчик.</w:t>
      </w:r>
    </w:p>
    <w:p w14:paraId="0BAC30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Положение с дальним разведчиком чрезвычайно осложнилось последней катастрофой опытного самолета ЦАГИ "МДР-4".</w:t>
      </w:r>
    </w:p>
    <w:p w14:paraId="67BF34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Целый ряд вопросов подлежащих выяснению на этом опытном самолете, для обеспечения развернутого производства их в серии, остался невыясненным. Производство же этого самолета на заводе № 31 развернуто.</w:t>
      </w:r>
    </w:p>
    <w:p w14:paraId="2D55F1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сборке на заводе № 31 находится: лодок на 9 штук, центропланов на 3, крыльев на 3 штуки, водонепроницаемых отсеков – на 3 штуки, элеронов на 3 штуки, стабилизаторов на 6 штук, поплавков на 6 штук, рулей высоты и рулей поворота на 6 штук и 5 штук килей.</w:t>
      </w:r>
    </w:p>
    <w:p w14:paraId="5530BE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самолета "МДР-4" приспособлениями обеспечено, также усилено сейчас и снабжение материалами по этому самолету. Основной причиной задержки с развертыванием этого самолета является задержка с испытанием этого самолета, закончившимся только в августе 1935 года, после чего ЦАГИ, на основании результатов этих испытаний, вынужден был переделать целый ряд агрегатов и чертежей, что в свою очередь повлияло на подготовку производства на заводе № 31. До замерзания моря собрать самолеты программы этого года не удастся.</w:t>
      </w:r>
    </w:p>
    <w:p w14:paraId="4A1143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заводе № 45 сейчас заканчивается производством самолет конструкции инженера Четверикова "АРК-3" с двумя моторами "Райт-Циклон".</w:t>
      </w:r>
    </w:p>
    <w:p w14:paraId="135686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Если испытания этого самолета покажут хорошие данные, то мы будем иметь возможность переделать "АРК-3" под дальний разведчик.</w:t>
      </w:r>
    </w:p>
    <w:p w14:paraId="797B34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Постройка в серии МДР-4, выпуск МБР-5, МБР-2 с мотором М-34Н и работы по АРК-3 могут несколько подтянуть, один из самых отсталых участком нашей авиации – гидроавиацию.</w:t>
      </w:r>
    </w:p>
    <w:p w14:paraId="068CD14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Бомбардировочная авиация:</w:t>
      </w:r>
    </w:p>
    <w:p w14:paraId="634556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тяжелых бомбардировщиков за последние 3 года значительно выросла. Так мы имеем на ТБ-3 с М-17 197 км, с мотором М-34 мы получили 204 км, с М-34 с редуктором мы получили 242 км и с постановкой наконец мотора М-34 РН (нефорсированных) 280 км на 5000 м.</w:t>
      </w:r>
    </w:p>
    <w:p w14:paraId="760ABD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Машина сконструированная и построенная на заводе № 22, так называемая ТБ3А показала летные данные 329 км на высоте 5000 м. За последние 3 года мы увеличили скорость тяжелых бомбардировщиков ТБ-3 с 197 км до 329 км.</w:t>
      </w:r>
    </w:p>
    <w:p w14:paraId="151C5D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Потолки самолетов также значительно возросли. Мы имеем с мотором М-17 потолок практически 3800 м, с редукторным мотором М-34 5100 и с наддувом имеем 6800.</w:t>
      </w:r>
    </w:p>
    <w:p w14:paraId="7C47A9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Этот рост скоростей и потолка самолета, достигнутый за последние два года встретил целый ряд серьезнейших трудностей в работе завода № 22. Только за один 1935 год выявился целый ряд дефектов в конструкции самолета ТБ-3, особенно в связи с новыми большими скоростями его и в связи с целым рядом переделок вызванных установкой новых моторов.</w:t>
      </w:r>
    </w:p>
    <w:p w14:paraId="644596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Большинство дефектов на этих машинах на сегодня устранено.</w:t>
      </w:r>
    </w:p>
    <w:p w14:paraId="5CA9F8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невыполненных работ следует отметить, что мы еще не успели заменить винтов и редукторов на значительном количестве машин.</w:t>
      </w:r>
    </w:p>
    <w:p w14:paraId="7FA838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машинах ТБ-3 с мотором М-34РН одним из сложнейших мест является доводка вооружения этой машины. Эталон этой машины находится на испытаниях в НИИ УВС.</w:t>
      </w:r>
    </w:p>
    <w:p w14:paraId="738306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Эталон ТБ3 РН коих заказано на текущий год 130 штук передан в НИИ УВС на госиспытания в середине августа, на сегодня он уже сделал 260 посадок. Хотя прошло уже 2 месяца, но госиспытания еще не закончены.</w:t>
      </w:r>
    </w:p>
    <w:p w14:paraId="04AF9E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Как и на И-15, так и на машине ТБ-3, мы за последнее время обнаружили новое явление – поломку подмоторных рам в результате вибрационных нагрузок. Рамы выдержавшие статические испытания вполне удовлетворительно, в отдельных случаях все же дают трещины.</w:t>
      </w:r>
    </w:p>
    <w:p w14:paraId="6057F4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Сейчас ведется усиленная работа в ЦАГИ и на заводе № 39 по изучению и устранению этого явления.</w:t>
      </w:r>
    </w:p>
    <w:p w14:paraId="294E32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частности мы используем опыт самолета "Дуглас" по резиновым прокладкам в местах крепления подмоторной рамы.</w:t>
      </w:r>
    </w:p>
    <w:p w14:paraId="37EC5C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История с самолетом "С-Б" достаточно известна.</w:t>
      </w:r>
    </w:p>
    <w:p w14:paraId="01A00B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года, когда еще самолет не был достаточно испытан, по докладу НКО самолет был принят на серийное производство.</w:t>
      </w:r>
    </w:p>
    <w:p w14:paraId="73E975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Последующие госиспытания машины выявили на самолете такое большое количество дефектов, что и ЦАГИ и заводу № 22 пришлось переделывать большинство чертежей и приспособлений этой машины.</w:t>
      </w:r>
    </w:p>
    <w:p w14:paraId="5E47BA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Решением Правительства сдача этих машин отложена на I квартал 1936 года.</w:t>
      </w:r>
    </w:p>
    <w:p w14:paraId="00D791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На сегодня в производство (задел) на заводе № 22 запущено 13 серий этих самолетов, т.е. 125 штук.</w:t>
      </w:r>
    </w:p>
    <w:p w14:paraId="68F62C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обеспечения выполнения постановления правительства о сдаче на I квартал 1936 года 400 штук "СБ" ГУАПом дано задание заводу № 22 еще в IV квартале изготовить 75 самолетов.</w:t>
      </w:r>
    </w:p>
    <w:p w14:paraId="47122E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Изготовление дальнего бомбардировщика "РД" на заводе № 18 сейчас несколько улучшилось.</w:t>
      </w:r>
    </w:p>
    <w:p w14:paraId="1F9978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Второй самолет выходит на аэродром сегодня и в ближайшее время выйдут еще два.</w:t>
      </w:r>
    </w:p>
    <w:p w14:paraId="5DC05CB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Выполнение программы 1935 года по самолетам.</w:t>
      </w:r>
    </w:p>
    <w:p w14:paraId="37B172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Программа 1935 года резко отличается от программы 1933-34 г.г.</w:t>
      </w:r>
    </w:p>
    <w:p w14:paraId="2D7BF3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1933 году из 4000 самолетов "Р5", "У2", "К5" и "АШ" составляли 3450 машин, т.е. 85% программы были самолеты либо небоевые, либо устаревшие.</w:t>
      </w:r>
    </w:p>
    <w:p w14:paraId="0748DA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1934 году из 4500 машин Р5, У2, К5 и АШ 3150 машин, т.е. около 75%.</w:t>
      </w:r>
    </w:p>
    <w:p w14:paraId="10F83A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из 4036 машин только около 1000 машин учебных и старых типов, все остальные новые боевые машины.</w:t>
      </w:r>
    </w:p>
    <w:p w14:paraId="1DD76C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качественно задание 1935 года несравнимо ни с заданиями 1933 года, ни с заданиями 1934 года.</w:t>
      </w:r>
    </w:p>
    <w:p w14:paraId="6C6B10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1934 и в 1935 году внедряется по существу новых 13 типов самолетов и в основном напряжение имеющееся сейчас на заводе авиапромышленности и является результатом больших технических затруднений испытываемых промышленностью при внедрении новых конструкций, материалов и технологических процессов.</w:t>
      </w:r>
    </w:p>
    <w:p w14:paraId="62710E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Безусловно имело место и недостаточно оперативное техническое решение целого ряда вопросов с нашей стороны.</w:t>
      </w:r>
    </w:p>
    <w:p w14:paraId="26403F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Отсутствие твердой линии технически обоснованной в своих требованиях со стороны УВС к промышленности еще более осложнило работу заводов.</w:t>
      </w:r>
    </w:p>
    <w:p w14:paraId="09DF62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Положение, имевшее место с самолетом ТБ3 и И15, на которых после многократных испытаний УВС, обнаруживались вновь различные дефекты, достаточно характеризует недостатки в этом вопросе и со стороны УВС.</w:t>
      </w:r>
    </w:p>
    <w:p w14:paraId="59D362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же оставшийся IV квартал дает возможность подтянуть выполнение программы и на это дело сейчас мобилизован весь состав авиапромышленности.</w:t>
      </w:r>
    </w:p>
    <w:p w14:paraId="1D7AA9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Перспектива выполнения рисуется в следующем виде:</w:t>
      </w:r>
    </w:p>
    <w:p w14:paraId="05C2A1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 1 по Р-5 (для ГУГВФ и ГУПО) по торпедоносцам, по И15 и по ЗС программа будет безусловно выполнена. Самым трудным местом является сборка и выпуск 400 "РZов", но и таковые за оставшееся время, если не выявятся какие-либо новые недочеты в машине должны быть сделаны.</w:t>
      </w:r>
    </w:p>
    <w:p w14:paraId="16BF47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 18 25-РД, если не будут полностью облетаны, то во всяком случае будут все сделаны.</w:t>
      </w:r>
    </w:p>
    <w:p w14:paraId="432A95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 21 И16, М22 в количестве 500 и 150 с "Райт-Циклоном" (добавочная программа) будут безусловно сделаны.</w:t>
      </w:r>
    </w:p>
    <w:p w14:paraId="53B8C5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 22 ТБ3 Р и РН, Р6, Р6А будут сделаны и опасения имеются лишь за облет всех машин с мотором М34 РН.</w:t>
      </w:r>
    </w:p>
    <w:p w14:paraId="727C9F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основные агрегаты по машине "РН" производством закончены и на аэродроме находятся уже 80 самолетов состыкованных.</w:t>
      </w:r>
    </w:p>
    <w:p w14:paraId="31EFA0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Наиболее узким местом является вооружение и винты для этих самолетов.</w:t>
      </w:r>
    </w:p>
    <w:p w14:paraId="50E2A2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Положение с "СБ" благодаря переделки около 5000 чертежей из общего числа 6200 достаточно напряженное. Нами принимаются все меры к тому, чтобы 50-75 штук собрать еще в этом году и обеспечить такой задел, который позволил бы полностью выполнить задание Правительства по сдаче в I квартале 1936 года 400 штук.</w:t>
      </w:r>
    </w:p>
    <w:p w14:paraId="21818C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 23. По производству учебных машин программу выполнит.</w:t>
      </w:r>
    </w:p>
    <w:p w14:paraId="02036F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 31 МБР-2 полностью сдано. По МДР-4 завод большинство из этих машин (25) изготовит, но окончательно собрать, облетать всех машин не сможет.</w:t>
      </w:r>
    </w:p>
    <w:p w14:paraId="58C883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заводе № 135 основная программа завода в 50 ИП-1 будет выполнена и только недостаток кадров на заводе ставит под угрозу выполнение 50 заданных Правительством машин дополнительно.</w:t>
      </w:r>
    </w:p>
    <w:p w14:paraId="1F675C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Иркутский завод № 125 полностью 50 машин И14 не сделает.</w:t>
      </w:r>
    </w:p>
    <w:p w14:paraId="5B581C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по истребителям программа будет выполнена полностью за исключением нескольких десятков ИП-1 и И-14.</w:t>
      </w:r>
    </w:p>
    <w:p w14:paraId="5E3E6F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разведчикам и штурмовикам программа должна быть выполнена, по бомбардировщикам программа будет выполнена. По морским машинам мы не додадим МДР-4.</w:t>
      </w:r>
    </w:p>
    <w:p w14:paraId="1C5B6E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этого нами будут полностью использованы все наши ресурсы, за оставшийся квартал и на это дело мобилизуем все силы.</w:t>
      </w:r>
    </w:p>
    <w:p w14:paraId="7AAD7DD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Моторное хозяйство.</w:t>
      </w:r>
    </w:p>
    <w:p w14:paraId="6CC1F1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Авиационной промышленностью за период с 1933 года по 1 октября 1935 года выпущено следующее количество моторов:</w:t>
      </w:r>
    </w:p>
    <w:p w14:paraId="6759DB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1933 году – 7771, из них в IV квартале – 4030.</w:t>
      </w:r>
    </w:p>
    <w:p w14:paraId="7D35FD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1934 году – 10319, из них в IV квартале – 3401.</w:t>
      </w:r>
    </w:p>
    <w:p w14:paraId="1B589C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по плану утвержденному Правительством подлежит выпуску 9310 моторов, из которых на 1 октября 1935 года сдано 5571 мотор и на IV квартал подает 3739 моторов.</w:t>
      </w:r>
    </w:p>
    <w:p w14:paraId="3186B0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Отмечая рост на 33% по выпуску моторов в 1934 году по сравнению с 1933 годом, в 1935 году имеем снижение роста по отношению к 1934 году на 10%, последнее обстоятельство объясняется внедрением в 1935 году на заводах №№ 19, 26 и 29 новых объектов производства (М-25, М-75, М-85 и М-100).</w:t>
      </w:r>
    </w:p>
    <w:p w14:paraId="171F1C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Анализируя технические данные моторов выпускаемых в 1933-34 г.г. имеем следующие данные: мотор М-17 сохранял номинальную мощность в 500 л.с. на высоте 3050 метров, мотор М-22 эту же мощность в 480 л.с. имел на высоте 1500 метров и М34, номинальную мощность в 750 л.с. сохранял на 1200 метров. Сравнивая эти данные с моторами выпускаемыми в 1935 году мы имеем:</w:t>
      </w:r>
    </w:p>
    <w:p w14:paraId="1F9938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М85 номинальную мощность 800 л.с. сохраняет на высоте 3850 м</w:t>
      </w:r>
    </w:p>
    <w:p w14:paraId="541990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М75 номинальную мощность 600 л.с. сохраняет на высоте 4000 м</w:t>
      </w:r>
    </w:p>
    <w:p w14:paraId="73CFC7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М34РН номинальную мощность 750 л.с. сохраняет на высоте 3500 м</w:t>
      </w:r>
    </w:p>
    <w:p w14:paraId="053337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М25 (РЦ) мощность 635 л.с. сохраняет на высоте 2250 м</w:t>
      </w:r>
    </w:p>
    <w:p w14:paraId="18EB28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М100 (ИС) мощность 750 л.с. сохраняет на высоте 3700 м</w:t>
      </w:r>
    </w:p>
    <w:p w14:paraId="107357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каждый из приведенных моторов выпуска 1935 года перекрывает все данные моторов выпускаемых в 1933 году и 1934 году.</w:t>
      </w:r>
    </w:p>
    <w:p w14:paraId="33EF6F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Внедрив в производство на всех моторостроительных заводах указанные выше новые объекты кроме завода № 16 (выпускает мотор М11 – 120 л.с.) следует отметить, что в процессе освоения производства новых моторов был внедрен весь опыт и своевременная техническая культура путем, как постоянных командировок за границу наших специалистов на соответствующие заводы, так и приглашением к нам специалистов из-за границы.</w:t>
      </w:r>
    </w:p>
    <w:p w14:paraId="03A7E4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производство новых моторов с технологической стороны по всем заводам освоено и, кроме того, все заводы усиленными темпами ведут работы по модификации этих моторов, имея уже от этой работы следующие результаты:</w:t>
      </w:r>
    </w:p>
    <w:p w14:paraId="5B004B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19 не внося конструктивных изменений в мотор М25 (РЦ) провел 100 часовое госиспытание на форсированных режимах, получив максимальную наземную мощность 720 л.с. (вместо 635 л.с. типового РЦ) с высотностью до 2250 м.</w:t>
      </w:r>
    </w:p>
    <w:p w14:paraId="356444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при дальнейших заводских испытаниях с мотора М25 (РЦ) была снята максимальная мощность 820 л.с.</w:t>
      </w:r>
    </w:p>
    <w:p w14:paraId="62A6B6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ноября 1935 года будет предъявлен на госиспытание мотор М25, данные которого будут соответствовать последней модификации мотора фирмы "Райт", - 54 с максимальной мощностью в 700 л.с. и сохранением ее на высоте 4940 метров (вместо 2250 м).</w:t>
      </w:r>
    </w:p>
    <w:p w14:paraId="30A4FE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 – ЦИАМ в текущем году дал новую модификацию мотора М34 РН под маркой М-34ФРН повышающую мощность до 850 л.с. на высоте 3500 м (вместо 750 л.с. с высотой 4500 м). Завод № 24 в последующих своих работах повысил максимальную мощность до 1200 л.с. сохранив номинальную мощность 1050 л.с., на высоте 3500 м, серия таких моторов в количестве 40 штук будет выпущена в текущем году. Кроме того при дальнейшем форсировании этого мотора, максимальная мощность была снята в 1400 л.с.</w:t>
      </w:r>
    </w:p>
    <w:p w14:paraId="44BDB2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Эти данные по мотору М34 РН делают его первоклассным мотором.</w:t>
      </w:r>
    </w:p>
    <w:p w14:paraId="3C6899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имеющимся у меня сведениям Военное министерство САСШ выдало заказ 6-ти моторным фирмам на выпуск моторов водяного охлаждения с мощностью в пределах 1200-1500 л.с.</w:t>
      </w:r>
    </w:p>
    <w:p w14:paraId="13E7BF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указанных моторов работающих на бензиновом топливе, ЦИАМом спроектирован, построен и предъявляется на госиспытание нефтяной авиадизель Н-1 с номинальной мощностью 720 л.с. и максимальной 800 л.с. с удельным весом на лошадиную силу 1,2 кг и расходом топлива 170-175 грамм на силу-час.</w:t>
      </w:r>
    </w:p>
    <w:p w14:paraId="3CA858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производятся работы по дальнейшему форсированию этого двигателя до 850 л.с. с сохранением ее до высоты 3000 м.</w:t>
      </w:r>
    </w:p>
    <w:p w14:paraId="2145AF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проверки летно-технических данных мотора Н-1 заказан самолет Р …. на заводу № 1 с выпуском его на испытания к концу текущего года.</w:t>
      </w:r>
    </w:p>
    <w:p w14:paraId="0963F8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Перспектива выполнения программы 1935 года по моторным заводам:</w:t>
      </w:r>
    </w:p>
    <w:p w14:paraId="5B40BE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16</w:t>
      </w:r>
    </w:p>
    <w:p w14:paraId="5DD864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завод впервые осваивает производство моторов.</w:t>
      </w:r>
    </w:p>
    <w:p w14:paraId="5187F6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I полугодии для накопления опыта производил лишь сборку моторов М-11 из деталей завода № 29, параллельно производя подготовку производства. К производству моторов из деталей своего изготовления приступил только во II полугодии. Программа по сдаче будет выполнена в количестве 500 вместо 705 по плану ГУАПа.</w:t>
      </w:r>
    </w:p>
    <w:p w14:paraId="681AAC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19</w:t>
      </w:r>
    </w:p>
    <w:p w14:paraId="6257FE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Программа будет выполнена полностью.</w:t>
      </w:r>
    </w:p>
    <w:p w14:paraId="64D775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 и завод № 29</w:t>
      </w:r>
    </w:p>
    <w:p w14:paraId="38CC97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Программа должна быть выполнена полностью.</w:t>
      </w:r>
    </w:p>
    <w:p w14:paraId="1BCA7F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26</w:t>
      </w:r>
    </w:p>
    <w:p w14:paraId="429C2F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Программа по мотору М17 будет выполнена полностью.</w:t>
      </w:r>
    </w:p>
    <w:p w14:paraId="7CCAA2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мотору М100 будет сдано 500 штук против 1000 утвержденных Правительством.</w:t>
      </w:r>
    </w:p>
    <w:p w14:paraId="04C011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Одной из причин недовыполнения является внедрение в производство мотора М-100 еще не доведенного фирмой "Испано-Сюиза", ввиду чего на протяжении 9 месяцев работы завода пришлось изживать все недоработки конструкции по этому мотору, которые имеют место и до настоящего времени. (Замена жесткой редукторной шестерни на эластичную, стеллитирование клапанов, усиление конструкции блока).</w:t>
      </w:r>
    </w:p>
    <w:p w14:paraId="576C2CA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итоге:</w:t>
      </w:r>
    </w:p>
    <w:p w14:paraId="6BF9AB4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Выполняя решение партии и правительства за последние полтора года мы имеем значительное движение вперед в освоении новых наиболее современных типов моторов.</w:t>
      </w:r>
    </w:p>
    <w:p w14:paraId="642CAD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с внедрением в серию моторов "Райт-Циклон", К14 и "Испано-Сюиза", мы ведем большую работу по их дальнейшей модификации, что должно обеспечить дальнейшее движение вперед моторной техники.</w:t>
      </w:r>
    </w:p>
    <w:p w14:paraId="2116E6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Особо следует отметить успешную работу по форсированию мотора М-34 от которого мы в ближайшее время ждем мощности в 1200 сил на высоте.</w:t>
      </w:r>
    </w:p>
    <w:p w14:paraId="06A324C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истребительной авиации за последние 2 года мы сделали резкий скачек вперед по горизонтальным скоростям, главным образом на заводе № 39.</w:t>
      </w:r>
    </w:p>
    <w:p w14:paraId="3BC753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Переходу на новые скорости сопутствовал целый ряд технических трудностей, давших в результате ряд дефектов по самолету. На самолете И16 они уже устранены, на самолете И15 устраняются.</w:t>
      </w:r>
    </w:p>
    <w:p w14:paraId="68D32C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силу этого мы можем согласиться с ссылкой Березина и Хаханьяна на машины завода 39, как например негосударственного подхода к конструкции. Именно на этом заводе на самолетах:</w:t>
      </w:r>
    </w:p>
    <w:p w14:paraId="084CE2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 М22, И16 М25, И15 М25, ДИ6 М25 мы сделали тот скачек вперед в области истребительной авиации, который поставил нас в ряды лучших заграничных истребителей.</w:t>
      </w:r>
    </w:p>
    <w:p w14:paraId="08A6DA8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области бомбардировочной авиации мы имеем систематическое движение вперед по скоростям и высотам. Трудности освоения новых скоростей бомбардировщиков ТБ3 нами почти изжиты и сейчас стоит задача освоения нового тяжелого бомбардировщика ТБ3-А и СБ.</w:t>
      </w:r>
    </w:p>
    <w:p w14:paraId="0419212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Отставание по разведчикам до сих пор нами не ликвидировано и эта задача ставится нами как основная.</w:t>
      </w:r>
    </w:p>
    <w:p w14:paraId="531A18B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Во исполнение директив правительства, подготовка в 1936 году серии ДИ6 в штурмовом варианте должна подтянуть этот тип самолетов, которого по сути дела у нас не было.</w:t>
      </w:r>
    </w:p>
    <w:p w14:paraId="2B339AE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гидросамолетам мы делаем только первые шаги, чтобы подтянуть их уровень до заграничных морских самолетов. На оставшийся квартал 1935 года и 1936 год эта задача является основной.</w:t>
      </w:r>
    </w:p>
    <w:p w14:paraId="75CB132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Качество наших самолетов и моторов все же недостаточно и борьба за это дело является основным вопросом нашей работы. Движение отличничества, начавшееся в рядах авиапромышленности развертывается и направляется нами именно по линии борьбы за высокое качество самолета и мотора.</w:t>
      </w:r>
    </w:p>
    <w:p w14:paraId="0AAB44B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Несомненно, ошибкой является то положение, что мы допустили в течение 8-ми месячной болезни главного инженера Ермолаева, незамещение никем этой должности, а также совместительство Марголиным работы в ГУАПе первым заместителем начальника ГУАПа с работой на заводе № 39 в качестве директора. Это дело будет нами срочно исправлено.</w:t>
      </w:r>
    </w:p>
    <w:p w14:paraId="67790B0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Несмотря на всю напряженность и сложность программы, мы сейчас делаем и сделали все к тому, чтобы максимально обеспечить выполнение заданий Правительства на 1935 год (3475,38-57).</w:t>
      </w:r>
    </w:p>
    <w:p w14:paraId="29AA16B7"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7D36434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 октября 1935 года вышел Приказ НИИ ВС № 0545 О гос. испытании мотора АН-1.</w:t>
      </w:r>
    </w:p>
    <w:p w14:paraId="25BF914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 приемке и испытаниям приступить 15 октября 1935 года и закончить к 1 ноября 1935 года (6815, 113).</w:t>
      </w:r>
    </w:p>
    <w:p w14:paraId="4134F0C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7063E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октября 1935 ГУАП начал просить у УВВС ангар (предпочтительно им. Ильича на ЦА) для 15 самолетов летного отряда НИК ЦАГИ (2336).</w:t>
      </w:r>
    </w:p>
    <w:p w14:paraId="35934C7A" w14:textId="77777777" w:rsidR="00D4105E" w:rsidRPr="00E14102" w:rsidRDefault="00D4105E" w:rsidP="00E14102">
      <w:pPr>
        <w:autoSpaceDE w:val="0"/>
        <w:autoSpaceDN w:val="0"/>
        <w:adjustRightInd w:val="0"/>
        <w:jc w:val="both"/>
        <w:rPr>
          <w:color w:val="000000" w:themeColor="text1"/>
          <w:sz w:val="16"/>
          <w:szCs w:val="16"/>
        </w:rPr>
      </w:pPr>
    </w:p>
    <w:p w14:paraId="6EE9C43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919D218" w14:textId="77777777" w:rsidR="00D4105E" w:rsidRPr="00E14102" w:rsidRDefault="00D4105E" w:rsidP="00E14102">
      <w:pPr>
        <w:autoSpaceDE w:val="0"/>
        <w:autoSpaceDN w:val="0"/>
        <w:adjustRightInd w:val="0"/>
        <w:jc w:val="both"/>
        <w:rPr>
          <w:iCs/>
          <w:color w:val="000000" w:themeColor="text1"/>
          <w:sz w:val="16"/>
          <w:szCs w:val="16"/>
        </w:rPr>
      </w:pPr>
    </w:p>
    <w:p w14:paraId="0E9DA1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октября 1935 г. 76-мм полууниверсальная пушка 31-К прибыла на НИАП(3862).</w:t>
      </w:r>
    </w:p>
    <w:p w14:paraId="50413AB2" w14:textId="77777777" w:rsidR="00D4105E" w:rsidRPr="00E14102" w:rsidRDefault="00D4105E" w:rsidP="00E14102">
      <w:pPr>
        <w:autoSpaceDE w:val="0"/>
        <w:autoSpaceDN w:val="0"/>
        <w:adjustRightInd w:val="0"/>
        <w:jc w:val="both"/>
        <w:rPr>
          <w:color w:val="000000" w:themeColor="text1"/>
          <w:sz w:val="16"/>
          <w:szCs w:val="16"/>
        </w:rPr>
      </w:pPr>
    </w:p>
    <w:p w14:paraId="71759B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октября 1935 года на НИАП с завода № 8 поступил первый образец новой 76-мм полуавтоматической пушки 32-К, спроектированной взамен 31-К на заводе № 8 и явившейся развитием 31-К. Конструкция пушки была сохранена практически без изменений. Ствол состоял из свободной трубы, кожуха, казенника и щелевого дульного тормоза. Камора идентична Ф-22. Образцы № 1 и № 2 имели полуавтоматику механического типа и съемный поддон. Боковины поддона в походном положении навешивают на станины.</w:t>
      </w:r>
    </w:p>
    <w:p w14:paraId="47EC98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Образец № 3 имел полуавтоматику 76-мм зенитной пушки обр. 1931 г. (3-К) и несъемный поддон.</w:t>
      </w:r>
    </w:p>
    <w:p w14:paraId="5AA68E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Колеса были двух типов:</w:t>
      </w:r>
    </w:p>
    <w:p w14:paraId="42A767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деревянные диаметром 1230 мм с металлическим ободом шириной 120 мм (от 122-мм гаубицы обр. 1910 г.);</w:t>
      </w:r>
    </w:p>
    <w:p w14:paraId="2B3869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металлические диаметром 1240 мм или 1250 мм с шириной обода 100 мм.</w:t>
      </w:r>
    </w:p>
    <w:p w14:paraId="2E46E6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было изготовлено три опытных образца 32-К (3861).</w:t>
      </w:r>
    </w:p>
    <w:p w14:paraId="70F743F2" w14:textId="77777777" w:rsidR="00D4105E" w:rsidRPr="00E14102" w:rsidRDefault="00D4105E" w:rsidP="00E14102">
      <w:pPr>
        <w:autoSpaceDE w:val="0"/>
        <w:autoSpaceDN w:val="0"/>
        <w:adjustRightInd w:val="0"/>
        <w:jc w:val="both"/>
        <w:rPr>
          <w:color w:val="000000" w:themeColor="text1"/>
          <w:sz w:val="16"/>
          <w:szCs w:val="16"/>
        </w:rPr>
      </w:pPr>
    </w:p>
    <w:p w14:paraId="58F69173" w14:textId="77777777" w:rsidR="00B90E74" w:rsidRPr="00E14102" w:rsidRDefault="00B90E74" w:rsidP="00E14102">
      <w:pPr>
        <w:jc w:val="both"/>
        <w:rPr>
          <w:color w:val="000000" w:themeColor="text1"/>
          <w:sz w:val="16"/>
          <w:szCs w:val="16"/>
        </w:rPr>
      </w:pPr>
      <w:r w:rsidRPr="00E14102">
        <w:rPr>
          <w:color w:val="000000" w:themeColor="text1"/>
          <w:sz w:val="16"/>
          <w:szCs w:val="16"/>
        </w:rPr>
        <w:t>14 октября 1935 г. первый образец новой 76-мм полуавтоматической пушки 32-К, явившейся развитием 31-К, поступил на НИАП с завода № 8.</w:t>
      </w:r>
    </w:p>
    <w:p w14:paraId="0636D068" w14:textId="77777777" w:rsidR="00B90E74" w:rsidRPr="00E14102" w:rsidRDefault="00B90E74" w:rsidP="00E14102">
      <w:pPr>
        <w:jc w:val="both"/>
        <w:rPr>
          <w:color w:val="000000" w:themeColor="text1"/>
          <w:sz w:val="16"/>
          <w:szCs w:val="16"/>
        </w:rPr>
      </w:pPr>
      <w:r w:rsidRPr="00E14102">
        <w:rPr>
          <w:color w:val="000000" w:themeColor="text1"/>
          <w:sz w:val="16"/>
          <w:szCs w:val="16"/>
        </w:rPr>
        <w:t>Со 2 ноября по 20 декабря 1935 г. проводили испытания стрельбой и возкой новой 76-мм полуавтоматической пушки 32-К, явившейся развитием 31-К.</w:t>
      </w:r>
    </w:p>
    <w:p w14:paraId="7FE5E145" w14:textId="77777777" w:rsidR="00B90E74" w:rsidRPr="00E14102" w:rsidRDefault="00B90E74" w:rsidP="00E14102">
      <w:pPr>
        <w:jc w:val="both"/>
        <w:rPr>
          <w:color w:val="000000" w:themeColor="text1"/>
          <w:sz w:val="16"/>
          <w:szCs w:val="16"/>
        </w:rPr>
      </w:pPr>
      <w:r w:rsidRPr="00E14102">
        <w:rPr>
          <w:color w:val="000000" w:themeColor="text1"/>
          <w:sz w:val="16"/>
          <w:szCs w:val="16"/>
        </w:rPr>
        <w:t>Конструкция пушки была сохранена практически без изменений.</w:t>
      </w:r>
    </w:p>
    <w:p w14:paraId="31001CD0" w14:textId="77777777" w:rsidR="00B90E74" w:rsidRPr="00E14102" w:rsidRDefault="00B90E74" w:rsidP="00E14102">
      <w:pPr>
        <w:jc w:val="both"/>
        <w:rPr>
          <w:color w:val="000000" w:themeColor="text1"/>
          <w:sz w:val="16"/>
          <w:szCs w:val="16"/>
        </w:rPr>
      </w:pPr>
      <w:r w:rsidRPr="00E14102">
        <w:rPr>
          <w:color w:val="000000" w:themeColor="text1"/>
          <w:sz w:val="16"/>
          <w:szCs w:val="16"/>
        </w:rPr>
        <w:t>Ствол состоял из свободной трубы, кожуха, казенника и щелевого дульного тормоза. Камора идентична Ф-22.</w:t>
      </w:r>
    </w:p>
    <w:p w14:paraId="6C5E1E11" w14:textId="77777777" w:rsidR="00B90E74" w:rsidRPr="00E14102" w:rsidRDefault="00B90E74" w:rsidP="00E14102">
      <w:pPr>
        <w:jc w:val="both"/>
        <w:rPr>
          <w:color w:val="000000" w:themeColor="text1"/>
          <w:sz w:val="16"/>
          <w:szCs w:val="16"/>
        </w:rPr>
      </w:pPr>
      <w:r w:rsidRPr="00E14102">
        <w:rPr>
          <w:color w:val="000000" w:themeColor="text1"/>
          <w:sz w:val="16"/>
          <w:szCs w:val="16"/>
        </w:rPr>
        <w:t>Образцы № 1 и № 2 имели полуавтоматику механического типа и съемный поддон. Боковины поддона в походном положении навешивают на станины.</w:t>
      </w:r>
    </w:p>
    <w:p w14:paraId="71B46F74" w14:textId="77777777" w:rsidR="00B90E74" w:rsidRPr="00E14102" w:rsidRDefault="00B90E74" w:rsidP="00E14102">
      <w:pPr>
        <w:jc w:val="both"/>
        <w:rPr>
          <w:color w:val="000000" w:themeColor="text1"/>
          <w:sz w:val="16"/>
          <w:szCs w:val="16"/>
        </w:rPr>
      </w:pPr>
      <w:r w:rsidRPr="00E14102">
        <w:rPr>
          <w:color w:val="000000" w:themeColor="text1"/>
          <w:sz w:val="16"/>
          <w:szCs w:val="16"/>
        </w:rPr>
        <w:t>Образец № 3 имел полуавтоматику 76-мм зенитной пушки обр. 1931 г. (3-К) и несъемный поддон.</w:t>
      </w:r>
    </w:p>
    <w:p w14:paraId="3224A9F4" w14:textId="77777777" w:rsidR="00B90E74" w:rsidRPr="00E14102" w:rsidRDefault="00B90E74" w:rsidP="00E14102">
      <w:pPr>
        <w:jc w:val="both"/>
        <w:rPr>
          <w:color w:val="000000" w:themeColor="text1"/>
          <w:sz w:val="16"/>
          <w:szCs w:val="16"/>
        </w:rPr>
      </w:pPr>
      <w:r w:rsidRPr="00E14102">
        <w:rPr>
          <w:color w:val="000000" w:themeColor="text1"/>
          <w:sz w:val="16"/>
          <w:szCs w:val="16"/>
        </w:rPr>
        <w:t>Колеса были двух типов:</w:t>
      </w:r>
    </w:p>
    <w:p w14:paraId="4398D660" w14:textId="77777777" w:rsidR="00B90E74" w:rsidRPr="00E14102" w:rsidRDefault="00B90E74" w:rsidP="00E14102">
      <w:pPr>
        <w:jc w:val="both"/>
        <w:rPr>
          <w:color w:val="000000" w:themeColor="text1"/>
          <w:sz w:val="16"/>
          <w:szCs w:val="16"/>
        </w:rPr>
      </w:pPr>
      <w:r w:rsidRPr="00E14102">
        <w:rPr>
          <w:color w:val="000000" w:themeColor="text1"/>
          <w:sz w:val="16"/>
          <w:szCs w:val="16"/>
        </w:rPr>
        <w:t>а) деревянные диаметром 1230 мм с металлическим ободом шириной 120 мм (от 122-мм гаубицы обр. 1910 г.);</w:t>
      </w:r>
    </w:p>
    <w:p w14:paraId="5964E775" w14:textId="77777777" w:rsidR="00B90E74" w:rsidRPr="00E14102" w:rsidRDefault="00B90E74" w:rsidP="00E14102">
      <w:pPr>
        <w:jc w:val="both"/>
        <w:rPr>
          <w:color w:val="000000" w:themeColor="text1"/>
          <w:sz w:val="16"/>
          <w:szCs w:val="16"/>
        </w:rPr>
      </w:pPr>
      <w:r w:rsidRPr="00E14102">
        <w:rPr>
          <w:color w:val="000000" w:themeColor="text1"/>
          <w:sz w:val="16"/>
          <w:szCs w:val="16"/>
        </w:rPr>
        <w:t>б) металлические диаметром 1240 мм или 1250 мм с шириной обода 100 мм.</w:t>
      </w:r>
    </w:p>
    <w:p w14:paraId="0F105164" w14:textId="77777777" w:rsidR="00B90E74" w:rsidRPr="00E14102" w:rsidRDefault="00B90E74" w:rsidP="00E14102">
      <w:pPr>
        <w:jc w:val="both"/>
        <w:rPr>
          <w:color w:val="000000" w:themeColor="text1"/>
          <w:sz w:val="16"/>
          <w:szCs w:val="16"/>
        </w:rPr>
      </w:pPr>
      <w:r w:rsidRPr="00E14102">
        <w:rPr>
          <w:color w:val="000000" w:themeColor="text1"/>
          <w:sz w:val="16"/>
          <w:szCs w:val="16"/>
        </w:rPr>
        <w:t>Система была рассчитана на начальную скорость 740 м/с при весе снаряда 7,1 кг и давлении 2600 кг/см</w:t>
      </w:r>
      <w:r w:rsidRPr="00E14102">
        <w:rPr>
          <w:color w:val="000000" w:themeColor="text1"/>
          <w:sz w:val="16"/>
          <w:szCs w:val="16"/>
          <w:vertAlign w:val="superscript"/>
        </w:rPr>
        <w:t>2</w:t>
      </w:r>
      <w:r w:rsidRPr="00E14102">
        <w:rPr>
          <w:color w:val="000000" w:themeColor="text1"/>
          <w:sz w:val="16"/>
          <w:szCs w:val="16"/>
        </w:rPr>
        <w:t>, или начальную скорость 780 м/с при весе снаряда 6,45 кг. На испытаниях на НИАПе снаряд весом 6,45 кг при заряде 1,66 кг пороха марки 12/7 имел начальную скорость 761,6 м/с и дальность 14 600 м при угле +45°.</w:t>
      </w:r>
    </w:p>
    <w:p w14:paraId="000F33A9" w14:textId="77777777" w:rsidR="00B90E74" w:rsidRPr="00E14102" w:rsidRDefault="00B90E74" w:rsidP="00E14102">
      <w:pPr>
        <w:jc w:val="both"/>
        <w:rPr>
          <w:color w:val="000000" w:themeColor="text1"/>
          <w:sz w:val="16"/>
          <w:szCs w:val="16"/>
        </w:rPr>
      </w:pPr>
      <w:r w:rsidRPr="00E14102">
        <w:rPr>
          <w:color w:val="000000" w:themeColor="text1"/>
          <w:sz w:val="16"/>
          <w:szCs w:val="16"/>
        </w:rPr>
        <w:t>Согласно заключению комиссии НИАПа: надо снизить вес системы с 1572 кг до 1500 кг (как задано для дивизионных систем), доработать полуавтоматику, упрочить сошники. После исправления неисправностей системы можно подавать ее на войсковые испытания. Но до них дело не дошло в связи с успехами Ф-22 (15117).</w:t>
      </w:r>
    </w:p>
    <w:p w14:paraId="623D9510" w14:textId="77777777" w:rsidR="00B90E74" w:rsidRPr="00E14102" w:rsidRDefault="00B90E74" w:rsidP="00E14102">
      <w:pPr>
        <w:jc w:val="both"/>
        <w:rPr>
          <w:color w:val="000000" w:themeColor="text1"/>
          <w:sz w:val="16"/>
          <w:szCs w:val="16"/>
        </w:rPr>
      </w:pPr>
    </w:p>
    <w:p w14:paraId="6F8C694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8AF571A" w14:textId="77777777" w:rsidR="00D4105E" w:rsidRPr="00E14102" w:rsidRDefault="00D4105E" w:rsidP="00E14102">
      <w:pPr>
        <w:autoSpaceDE w:val="0"/>
        <w:autoSpaceDN w:val="0"/>
        <w:adjustRightInd w:val="0"/>
        <w:jc w:val="both"/>
        <w:rPr>
          <w:iCs/>
          <w:color w:val="000000" w:themeColor="text1"/>
          <w:sz w:val="16"/>
          <w:szCs w:val="16"/>
        </w:rPr>
      </w:pPr>
    </w:p>
    <w:p w14:paraId="79AD74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октября 1935 поступило указание заводу № 22 сборку СБ - прекратить, а ЦАГИ - привести в порядок чертежи. Весь выпуск 1935 ограничили 10 машинами для войсковых испытаний. Завод был готов сдать лишь 4 и СНК постановлением разрешил сдать 6 к 1 апреля 1936 (9393,2).</w:t>
      </w:r>
    </w:p>
    <w:p w14:paraId="0E6CC63B" w14:textId="77777777" w:rsidR="00D4105E" w:rsidRPr="00E14102" w:rsidRDefault="00D4105E" w:rsidP="00E14102">
      <w:pPr>
        <w:autoSpaceDE w:val="0"/>
        <w:autoSpaceDN w:val="0"/>
        <w:adjustRightInd w:val="0"/>
        <w:jc w:val="both"/>
        <w:rPr>
          <w:color w:val="000000" w:themeColor="text1"/>
          <w:sz w:val="16"/>
          <w:szCs w:val="16"/>
        </w:rPr>
      </w:pPr>
    </w:p>
    <w:p w14:paraId="7DFD763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октября 1935 г. начальник главка Г.Н.Королев на</w:t>
      </w:r>
      <w:r w:rsidRPr="00E14102">
        <w:rPr>
          <w:color w:val="000000" w:themeColor="text1"/>
          <w:sz w:val="16"/>
          <w:szCs w:val="16"/>
        </w:rPr>
        <w:softHyphen/>
        <w:t>правил в адрес заместителя наркома обороны М.Н.Туха</w:t>
      </w:r>
      <w:r w:rsidRPr="00E14102">
        <w:rPr>
          <w:color w:val="000000" w:themeColor="text1"/>
          <w:sz w:val="16"/>
          <w:szCs w:val="16"/>
        </w:rPr>
        <w:softHyphen/>
        <w:t>чевского письмо, в котором нашли отражение все основные положения докладной записки Поликарпова:</w:t>
      </w:r>
    </w:p>
    <w:p w14:paraId="7FACD8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связи с выявившимися за последнее время круп</w:t>
      </w:r>
      <w:r w:rsidRPr="00E14102">
        <w:rPr>
          <w:color w:val="000000" w:themeColor="text1"/>
          <w:sz w:val="16"/>
          <w:szCs w:val="16"/>
        </w:rPr>
        <w:softHyphen/>
        <w:t>ными дефектами сам[олета] И-15 Р.Ц., ставится вопрос о прекращении дальнейшей серийной постройке этих ма</w:t>
      </w:r>
      <w:r w:rsidRPr="00E14102">
        <w:rPr>
          <w:color w:val="000000" w:themeColor="text1"/>
          <w:sz w:val="16"/>
          <w:szCs w:val="16"/>
        </w:rPr>
        <w:softHyphen/>
        <w:t>шин, что с нашей точки зрения является неправильным.</w:t>
      </w:r>
    </w:p>
    <w:p w14:paraId="250C9CE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нашему твердому убеждению, РККА, одновре</w:t>
      </w:r>
      <w:r w:rsidRPr="00E14102">
        <w:rPr>
          <w:color w:val="000000" w:themeColor="text1"/>
          <w:sz w:val="16"/>
          <w:szCs w:val="16"/>
        </w:rPr>
        <w:softHyphen/>
        <w:t>менно со скоростным истребителем, безусловно, необ</w:t>
      </w:r>
      <w:r w:rsidRPr="00E14102">
        <w:rPr>
          <w:color w:val="000000" w:themeColor="text1"/>
          <w:sz w:val="16"/>
          <w:szCs w:val="16"/>
        </w:rPr>
        <w:softHyphen/>
        <w:t>ходим высокоманевренный одноместный истребитель типа И-15 Р.Ц., тем более, что все даже наиболее круп</w:t>
      </w:r>
      <w:r w:rsidRPr="00E14102">
        <w:rPr>
          <w:color w:val="000000" w:themeColor="text1"/>
          <w:sz w:val="16"/>
          <w:szCs w:val="16"/>
        </w:rPr>
        <w:softHyphen/>
        <w:t>ные дефекты в настоящее время настолько технически выявлены и проработаны, что устранение их вполне возможно в довольно короткий срок. С этой целью в случае Вашего принципиального согласия на дальней</w:t>
      </w:r>
      <w:r w:rsidRPr="00E14102">
        <w:rPr>
          <w:color w:val="000000" w:themeColor="text1"/>
          <w:sz w:val="16"/>
          <w:szCs w:val="16"/>
        </w:rPr>
        <w:softHyphen/>
        <w:t>шую постройку сам. И-15 Р.Ц. с полностью устранен</w:t>
      </w:r>
      <w:r w:rsidRPr="00E14102">
        <w:rPr>
          <w:color w:val="000000" w:themeColor="text1"/>
          <w:sz w:val="16"/>
          <w:szCs w:val="16"/>
        </w:rPr>
        <w:softHyphen/>
        <w:t>ными на них дефектами, нами поручается заводу № 39 не позднее 1 ноября 1935 г. разработать эталон этого са</w:t>
      </w:r>
      <w:r w:rsidRPr="00E14102">
        <w:rPr>
          <w:color w:val="000000" w:themeColor="text1"/>
          <w:sz w:val="16"/>
          <w:szCs w:val="16"/>
        </w:rPr>
        <w:softHyphen/>
        <w:t>молета на 1936 г.</w:t>
      </w:r>
    </w:p>
    <w:p w14:paraId="6FEC18A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Эталон этот будет представлять из себя самолет типа И-15 со следующими основными модификациями:</w:t>
      </w:r>
    </w:p>
    <w:p w14:paraId="4F7B2E4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Нормальный центроплан взамен центроплана ти</w:t>
      </w:r>
      <w:r w:rsidRPr="00E14102">
        <w:rPr>
          <w:color w:val="000000" w:themeColor="text1"/>
          <w:sz w:val="16"/>
          <w:szCs w:val="16"/>
        </w:rPr>
        <w:softHyphen/>
        <w:t>па “чайки”, что полностью устраняет явление типа “ры</w:t>
      </w:r>
      <w:r w:rsidRPr="00E14102">
        <w:rPr>
          <w:color w:val="000000" w:themeColor="text1"/>
          <w:sz w:val="16"/>
          <w:szCs w:val="16"/>
        </w:rPr>
        <w:softHyphen/>
        <w:t>сканья”.</w:t>
      </w:r>
    </w:p>
    <w:p w14:paraId="43ABA2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Установка самопуска типа “эклипс”.</w:t>
      </w:r>
    </w:p>
    <w:p w14:paraId="2A86E0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Установка подогрева карбюратора.</w:t>
      </w:r>
    </w:p>
    <w:p w14:paraId="1350DF4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Туннельный капот взамен кольца Тауненда.</w:t>
      </w:r>
    </w:p>
    <w:p w14:paraId="209179D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Кабина с закрывающимся козырьком.</w:t>
      </w:r>
    </w:p>
    <w:p w14:paraId="07FCBE1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6. Улучшение обтекания фюзеляжа.</w:t>
      </w:r>
    </w:p>
    <w:p w14:paraId="0614878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Устранение всех выявленных дефектов (срыв по</w:t>
      </w:r>
      <w:r w:rsidRPr="00E14102">
        <w:rPr>
          <w:color w:val="000000" w:themeColor="text1"/>
          <w:sz w:val="16"/>
          <w:szCs w:val="16"/>
        </w:rPr>
        <w:softHyphen/>
        <w:t>лотна, поломка ног шасси, моторамы и пр.) и другие бо</w:t>
      </w:r>
      <w:r w:rsidRPr="00E14102">
        <w:rPr>
          <w:color w:val="000000" w:themeColor="text1"/>
          <w:sz w:val="16"/>
          <w:szCs w:val="16"/>
        </w:rPr>
        <w:softHyphen/>
        <w:t>лее мелкие улучшения.</w:t>
      </w:r>
    </w:p>
    <w:p w14:paraId="5C9F97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постройке эталона самолет будет пересчитан и доведен по нормам прочности 1934 г.</w:t>
      </w:r>
    </w:p>
    <w:p w14:paraId="718A1DE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нашим пока ориентировочным подсчетам сам. И-15 этой модификации при нормальном моторе Р.Ц. должен иметь следующие летные данные:</w:t>
      </w:r>
    </w:p>
    <w:p w14:paraId="5AA9721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w:t>
      </w:r>
      <w:r w:rsidRPr="00E14102">
        <w:rPr>
          <w:color w:val="000000" w:themeColor="text1"/>
          <w:sz w:val="16"/>
          <w:szCs w:val="16"/>
          <w:vertAlign w:val="subscript"/>
        </w:rPr>
        <w:t>тах</w:t>
      </w:r>
      <w:r w:rsidRPr="00E14102">
        <w:rPr>
          <w:color w:val="000000" w:themeColor="text1"/>
          <w:sz w:val="16"/>
          <w:szCs w:val="16"/>
        </w:rPr>
        <w:t xml:space="preserve"> на 3000 мт = 385-395 км/час</w:t>
      </w:r>
    </w:p>
    <w:p w14:paraId="318ADA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Скороподъемность и потолок (без учета влияния ве</w:t>
      </w:r>
      <w:r w:rsidRPr="00E14102">
        <w:rPr>
          <w:color w:val="000000" w:themeColor="text1"/>
          <w:sz w:val="16"/>
          <w:szCs w:val="16"/>
        </w:rPr>
        <w:softHyphen/>
        <w:t>са установки самопуска “эклипс”) можно ожидать прежние.</w:t>
      </w:r>
    </w:p>
    <w:p w14:paraId="36EBAF3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установке на него мотора типа Р.Ц. Р-54 ориен</w:t>
      </w:r>
      <w:r w:rsidRPr="00E14102">
        <w:rPr>
          <w:color w:val="000000" w:themeColor="text1"/>
          <w:sz w:val="16"/>
          <w:szCs w:val="16"/>
        </w:rPr>
        <w:softHyphen/>
        <w:t>тировочные летные данные машины еще более улуч</w:t>
      </w:r>
      <w:r w:rsidRPr="00E14102">
        <w:rPr>
          <w:color w:val="000000" w:themeColor="text1"/>
          <w:sz w:val="16"/>
          <w:szCs w:val="16"/>
        </w:rPr>
        <w:softHyphen/>
        <w:t>шатся в пределах до:</w:t>
      </w:r>
    </w:p>
    <w:p w14:paraId="0AAEB7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w:t>
      </w:r>
      <w:r w:rsidRPr="00E14102">
        <w:rPr>
          <w:color w:val="000000" w:themeColor="text1"/>
          <w:sz w:val="16"/>
          <w:szCs w:val="16"/>
          <w:vertAlign w:val="subscript"/>
        </w:rPr>
        <w:t>тах</w:t>
      </w:r>
      <w:r w:rsidRPr="00E14102">
        <w:rPr>
          <w:color w:val="000000" w:themeColor="text1"/>
          <w:sz w:val="16"/>
          <w:szCs w:val="16"/>
        </w:rPr>
        <w:t xml:space="preserve"> на 5000 мт - 405-415 км/час</w:t>
      </w:r>
    </w:p>
    <w:p w14:paraId="6BB77C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Скороподъемность и потолок должны улучшиться против самолета с нормальным центропланом.</w:t>
      </w:r>
    </w:p>
    <w:p w14:paraId="79385A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 как на самолет этого типа возможна в будущем установка винта с переменным в полете шагом, опыт</w:t>
      </w:r>
      <w:r w:rsidRPr="00E14102">
        <w:rPr>
          <w:color w:val="000000" w:themeColor="text1"/>
          <w:sz w:val="16"/>
          <w:szCs w:val="16"/>
        </w:rPr>
        <w:softHyphen/>
        <w:t>ный образец которого запускается в настоящее время в производство, то можно ожидать еще дополнительного улучшения данных машины.</w:t>
      </w:r>
    </w:p>
    <w:p w14:paraId="01E5D8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вышеизложенных соображений про</w:t>
      </w:r>
      <w:r w:rsidRPr="00E14102">
        <w:rPr>
          <w:color w:val="000000" w:themeColor="text1"/>
          <w:sz w:val="16"/>
          <w:szCs w:val="16"/>
        </w:rPr>
        <w:softHyphen/>
        <w:t>сим в ближайшее же время дать Ваше принципиальное решение по этому вопросу” (10667).</w:t>
      </w:r>
    </w:p>
    <w:p w14:paraId="699F9DD4" w14:textId="77777777" w:rsidR="00D4105E" w:rsidRPr="00E14102" w:rsidRDefault="00D4105E" w:rsidP="00E14102">
      <w:pPr>
        <w:autoSpaceDE w:val="0"/>
        <w:autoSpaceDN w:val="0"/>
        <w:adjustRightInd w:val="0"/>
        <w:jc w:val="both"/>
        <w:rPr>
          <w:color w:val="000000" w:themeColor="text1"/>
          <w:sz w:val="16"/>
          <w:szCs w:val="16"/>
        </w:rPr>
      </w:pPr>
    </w:p>
    <w:p w14:paraId="2B76C60E" w14:textId="77777777" w:rsidR="00B90E74" w:rsidRPr="00E14102" w:rsidRDefault="00B90E74" w:rsidP="00E14102">
      <w:pPr>
        <w:jc w:val="both"/>
        <w:rPr>
          <w:rStyle w:val="a6"/>
          <w:i w:val="0"/>
          <w:color w:val="000000" w:themeColor="text1"/>
          <w:sz w:val="16"/>
          <w:szCs w:val="16"/>
        </w:rPr>
      </w:pPr>
      <w:r w:rsidRPr="00E14102">
        <w:rPr>
          <w:rStyle w:val="a6"/>
          <w:i w:val="0"/>
          <w:color w:val="000000" w:themeColor="text1"/>
          <w:sz w:val="16"/>
          <w:szCs w:val="16"/>
        </w:rPr>
        <w:t>15 октября 1935 г.</w:t>
      </w:r>
      <w:r w:rsidRPr="00E14102">
        <w:rPr>
          <w:color w:val="000000" w:themeColor="text1"/>
          <w:sz w:val="16"/>
          <w:szCs w:val="16"/>
        </w:rPr>
        <w:t>Докладная записка руководителей военно-морской группы Комиссии партийного контроля при ЦК ВКП(б) в СТО СССР о срыве заводом № 1 правительственного задания по новым разведывательным самолетам</w:t>
      </w:r>
    </w:p>
    <w:p w14:paraId="0698D11E" w14:textId="77777777" w:rsidR="00B90E74" w:rsidRPr="00E14102" w:rsidRDefault="00B90E74"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2F9B310F" w14:textId="77777777" w:rsidR="00B90E74" w:rsidRPr="00E14102" w:rsidRDefault="00B90E74" w:rsidP="00E14102">
      <w:pPr>
        <w:pStyle w:val="rtejustify"/>
        <w:spacing w:before="0" w:after="0"/>
        <w:rPr>
          <w:color w:val="000000" w:themeColor="text1"/>
          <w:sz w:val="16"/>
          <w:szCs w:val="16"/>
        </w:rPr>
      </w:pPr>
      <w:r w:rsidRPr="00E14102">
        <w:rPr>
          <w:color w:val="000000" w:themeColor="text1"/>
          <w:sz w:val="16"/>
          <w:szCs w:val="16"/>
        </w:rPr>
        <w:t>По поручению СТО от 4 октября с. г. нами проверены факты, изложенные в записке т. Алксниса от 5 сентября с. г. о срыве заводом № 1 правительственного задания по новым разведчикам. Выполнение программы по новым разведчикам уже проверялось членом Комиссии советского контроля т. Геммервертом во время общей проверки выполнения авиационной промышленностью плана по новым самолетам и моторам. Как об этом уже сообщалось в записке т.т. Хаханьяна и Березина о выполнении плана авиационной промышленностью, было установлено, что заводом № 1 самовольно прекращен задел по самолетам ЛР, заказ на которые утвержден правительством, в то время как предлагаемый заводом № 1 разведчик Р</w:t>
      </w:r>
      <w:r w:rsidRPr="00E14102">
        <w:rPr>
          <w:color w:val="000000" w:themeColor="text1"/>
          <w:sz w:val="16"/>
          <w:szCs w:val="16"/>
        </w:rPr>
        <w:noBreakHyphen/>
        <w:t>ЗЕТ на государственные испытания предъявлен с опозданием на 2,5 месяца и этих испытаний не прошел.</w:t>
      </w:r>
    </w:p>
    <w:p w14:paraId="6FB5D906" w14:textId="77777777" w:rsidR="00B90E74" w:rsidRPr="00E14102" w:rsidRDefault="00B90E74" w:rsidP="00E14102">
      <w:pPr>
        <w:pStyle w:val="rtejustify"/>
        <w:spacing w:before="0" w:after="0"/>
        <w:rPr>
          <w:color w:val="000000" w:themeColor="text1"/>
          <w:sz w:val="16"/>
          <w:szCs w:val="16"/>
        </w:rPr>
      </w:pPr>
      <w:r w:rsidRPr="00E14102">
        <w:rPr>
          <w:color w:val="000000" w:themeColor="text1"/>
          <w:sz w:val="16"/>
          <w:szCs w:val="16"/>
        </w:rPr>
        <w:t>Дополнительно произведенной проверкой установлена следующая картина, подтверждающая выводы т. Геммерверта. Утвержденным правительством планом заказов предусматривалось производство 400 шт. новых разведчиков ЛР конструкции завода № 39. Ввиду того, что ЛР хотя и прошел государственные испытания, но требовал большой доводки (увеличение запаса прочности, непригодность вооружения и т. п.), эталон самолета ЛР отсутствовал и завод № 1 должен был строить по чертежам, измененным заводом № 39. Директор завода № 1 т. Беленкович решительно возражал против производства этого самолета, предлагал вместо него свой разведчик, модифицированный Р</w:t>
      </w:r>
      <w:r w:rsidRPr="00E14102">
        <w:rPr>
          <w:color w:val="000000" w:themeColor="text1"/>
          <w:sz w:val="16"/>
          <w:szCs w:val="16"/>
        </w:rPr>
        <w:noBreakHyphen/>
        <w:t>5 с мотором М</w:t>
      </w:r>
      <w:r w:rsidRPr="00E14102">
        <w:rPr>
          <w:color w:val="000000" w:themeColor="text1"/>
          <w:sz w:val="16"/>
          <w:szCs w:val="16"/>
        </w:rPr>
        <w:noBreakHyphen/>
        <w:t>34, названный заводом Р</w:t>
      </w:r>
      <w:r w:rsidRPr="00E14102">
        <w:rPr>
          <w:color w:val="000000" w:themeColor="text1"/>
          <w:sz w:val="16"/>
          <w:szCs w:val="16"/>
        </w:rPr>
        <w:noBreakHyphen/>
        <w:t>ЗЕТ. Означенный разведчик т. Беленкович обязывался не позднее 14 апреля с. г. предъявить в доведенном виде на государственные испытания. Со стороны Наркомата обороны было принципиальное согласие на замену ЛР на Р</w:t>
      </w:r>
      <w:r w:rsidRPr="00E14102">
        <w:rPr>
          <w:color w:val="000000" w:themeColor="text1"/>
          <w:sz w:val="16"/>
          <w:szCs w:val="16"/>
        </w:rPr>
        <w:noBreakHyphen/>
        <w:t>ЗЕТ в случае, ежели предъявленный заводом № 1 самолет пройдет государственные испытания. Одновременно Наркомат обороны подчеркивал необходимость продолжения производства разведчика ЛР, ибо легко могло случиться, как это и вышло, что Р</w:t>
      </w:r>
      <w:r w:rsidRPr="00E14102">
        <w:rPr>
          <w:color w:val="000000" w:themeColor="text1"/>
          <w:sz w:val="16"/>
          <w:szCs w:val="16"/>
        </w:rPr>
        <w:noBreakHyphen/>
        <w:t>ЗЕТ государственные испытания не пройдет.</w:t>
      </w:r>
    </w:p>
    <w:p w14:paraId="2E53AD72" w14:textId="77777777" w:rsidR="00B90E74" w:rsidRPr="00E14102" w:rsidRDefault="00B90E74" w:rsidP="00E14102">
      <w:pPr>
        <w:pStyle w:val="rtejustify"/>
        <w:spacing w:before="0" w:after="0"/>
        <w:rPr>
          <w:color w:val="000000" w:themeColor="text1"/>
          <w:sz w:val="16"/>
          <w:szCs w:val="16"/>
        </w:rPr>
      </w:pPr>
      <w:r w:rsidRPr="00E14102">
        <w:rPr>
          <w:color w:val="000000" w:themeColor="text1"/>
          <w:sz w:val="16"/>
          <w:szCs w:val="16"/>
        </w:rPr>
        <w:t>Директором завода № 1 т. Беленковичем кое-какие работы по самолету ЛР велись. На подготовку чертежей, приспособления и задел ряда деталей заводом № 1 затрачено до 1,5 млн. руб. Однако состояние этих работ производит такое впечатление, что они велись лишь для того, чтобы избежать обвинения в отказе строить самолет ЛР. Задел велся крайне некомплектно. Самолет ЛР — смешанной конструкции с применением хромомолибденовых труб, а заказ на хромомолибденовые трубы сдан за границу со сроками поставки, начиная с декабря с. г., причем завод не только не предпринимал никаких мер к ускорению выполнения заказа на трубы, но просто не интересовался им. Естественно, что ни одного узла из хромомолибденовых труб на сей день не сварено, ибо труб нет. Со времени выхода самолета Р</w:t>
      </w:r>
      <w:r w:rsidRPr="00E14102">
        <w:rPr>
          <w:color w:val="000000" w:themeColor="text1"/>
          <w:sz w:val="16"/>
          <w:szCs w:val="16"/>
        </w:rPr>
        <w:noBreakHyphen/>
        <w:t>ЗЕТ на государственные испытания завод № 1 просто прекратил работу по самолету ЛР, ссылаясь на то, что в присланной ГУАПом от 19 июня с. г. наметке промтехплана за подписью т. Марголина о ЛР вообще ничего не упоминается, а намечено производство 400 Р</w:t>
      </w:r>
      <w:r w:rsidRPr="00E14102">
        <w:rPr>
          <w:color w:val="000000" w:themeColor="text1"/>
          <w:sz w:val="16"/>
          <w:szCs w:val="16"/>
        </w:rPr>
        <w:noBreakHyphen/>
        <w:t>ЗЕТ. Равным образом и в утвержденном 21 июля ГУАПом (т. Марголин) техпромфинплане завода № 1 значатся 400 штук Р</w:t>
      </w:r>
      <w:r w:rsidRPr="00E14102">
        <w:rPr>
          <w:color w:val="000000" w:themeColor="text1"/>
          <w:sz w:val="16"/>
          <w:szCs w:val="16"/>
        </w:rPr>
        <w:noBreakHyphen/>
        <w:t>ЗЕТ, а ЛР вовсе не упоминается.</w:t>
      </w:r>
    </w:p>
    <w:p w14:paraId="5B31C867" w14:textId="77777777" w:rsidR="00B90E74" w:rsidRPr="00E14102" w:rsidRDefault="00B90E74" w:rsidP="00E14102">
      <w:pPr>
        <w:pStyle w:val="rtejustify"/>
        <w:spacing w:before="0" w:after="0"/>
        <w:rPr>
          <w:color w:val="000000" w:themeColor="text1"/>
          <w:sz w:val="16"/>
          <w:szCs w:val="16"/>
        </w:rPr>
      </w:pPr>
      <w:r w:rsidRPr="00E14102">
        <w:rPr>
          <w:color w:val="000000" w:themeColor="text1"/>
          <w:sz w:val="16"/>
          <w:szCs w:val="16"/>
        </w:rPr>
        <w:t>Самолет Р</w:t>
      </w:r>
      <w:r w:rsidRPr="00E14102">
        <w:rPr>
          <w:color w:val="000000" w:themeColor="text1"/>
          <w:sz w:val="16"/>
          <w:szCs w:val="16"/>
        </w:rPr>
        <w:noBreakHyphen/>
        <w:t>ЗЕТ, имеющий перед ЛР преимущество в грузоподъемности и несколько больший радиус действия, как уже упоминалось, государственные испытания не прошел из-за большого пробега самолета, крайне пологого планирования, нерегулируемости в воздухе стабилизатора, неудовлетворительности кабины летчика-наблюдателя, недоработанности системы охлаждения, а также стрелкового, химического и бомбардировочного вооружения. Невзирая на это, т. Беленкович довольно широко развернул задел самолетов Р</w:t>
      </w:r>
      <w:r w:rsidRPr="00E14102">
        <w:rPr>
          <w:color w:val="000000" w:themeColor="text1"/>
          <w:sz w:val="16"/>
          <w:szCs w:val="16"/>
        </w:rPr>
        <w:noBreakHyphen/>
        <w:t>ЗЕТ. Естественно, что приходится и придется еще иметь довольно большие переделки заготовленных деталей.</w:t>
      </w:r>
    </w:p>
    <w:p w14:paraId="1FE1F707" w14:textId="77777777" w:rsidR="00B90E74" w:rsidRPr="00E14102" w:rsidRDefault="00B90E74" w:rsidP="00E14102">
      <w:pPr>
        <w:pStyle w:val="rtejustify"/>
        <w:spacing w:before="0" w:after="0"/>
        <w:rPr>
          <w:color w:val="000000" w:themeColor="text1"/>
          <w:sz w:val="16"/>
          <w:szCs w:val="16"/>
        </w:rPr>
      </w:pPr>
      <w:r w:rsidRPr="00E14102">
        <w:rPr>
          <w:color w:val="000000" w:themeColor="text1"/>
          <w:sz w:val="16"/>
          <w:szCs w:val="16"/>
        </w:rPr>
        <w:t>В настоящее время заводом № 1 приготовлена для повторных государственных испытаний новая машина, на которой, по заявлению завода, все основные дефекты, за исключением пологого планирования, по мнению завода, устранены. Последнее завод обещает устранить в серии. Поскольку это так, судить до повторных государственных испытаний трудно. Во всяком случае то, что машина до сего времени не прошла еще государственные испытания, ставит под сомнение выполнение заказа на новые разведчики и, помимо этого, даже если машина выдержит повторные государственные испытания, положение таково, что 400 машин завод № 1 явно не сдаст. Пока что производство разведчиков не обеспечено моторами (от завода № 24 получен всего 21 мотор), от 28 завода получено всего лишь 3 металлических винта, нет лака, в силу чего в производстве перебои и т. п. В то же время работа по ЛР прекращены, производство его материалами не обеспечено и, следовательно, ни одной машины ЛР в текущем году также произведено быть не может.</w:t>
      </w:r>
    </w:p>
    <w:p w14:paraId="3ACE98B1" w14:textId="77777777" w:rsidR="00B90E74" w:rsidRPr="00E14102" w:rsidRDefault="00B90E74" w:rsidP="00E14102">
      <w:pPr>
        <w:pStyle w:val="rtejustify"/>
        <w:spacing w:before="0" w:after="0"/>
        <w:rPr>
          <w:color w:val="000000" w:themeColor="text1"/>
          <w:sz w:val="16"/>
          <w:szCs w:val="16"/>
        </w:rPr>
      </w:pPr>
      <w:r w:rsidRPr="00E14102">
        <w:rPr>
          <w:color w:val="000000" w:themeColor="text1"/>
          <w:sz w:val="16"/>
          <w:szCs w:val="16"/>
        </w:rPr>
        <w:t>Таким образом, задание правительства по перевооружению нашей разведывательной авиации более современными машинами в текущем году явно сорвано по вине завода № 1 и Глававиапрома. Поэтому мы предлагаем поручить прокурору СССР начать следствие по этому вопросу и привлечь виновников к судебной ответственности.</w:t>
      </w:r>
    </w:p>
    <w:p w14:paraId="22C48D47" w14:textId="77777777" w:rsidR="00B90E74" w:rsidRPr="00E14102" w:rsidRDefault="00B90E74"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Член бюро Комиссии партконтроля, руководитель военно-морской группы Н.</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Куйбышев</w:t>
      </w:r>
    </w:p>
    <w:p w14:paraId="696CA180" w14:textId="77777777" w:rsidR="00B90E74" w:rsidRPr="00E14102" w:rsidRDefault="00B90E74"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Член бюро Комиссии партконтроля, зам. руководителя военно-морской группы Н.</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Березин</w:t>
      </w:r>
    </w:p>
    <w:p w14:paraId="077C9AFF" w14:textId="77777777" w:rsidR="00B90E74" w:rsidRPr="00E14102" w:rsidRDefault="00B90E7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8328. Оп. 1. Д. 777. Л. 80-83. Копия (15356).</w:t>
      </w:r>
    </w:p>
    <w:p w14:paraId="5252E6E7" w14:textId="77777777" w:rsidR="00B90E74" w:rsidRPr="00E14102" w:rsidRDefault="00B90E74" w:rsidP="00E14102">
      <w:pPr>
        <w:pStyle w:val="rtejustify"/>
        <w:spacing w:before="0" w:after="0"/>
        <w:rPr>
          <w:rStyle w:val="a6"/>
          <w:bCs/>
          <w:i w:val="0"/>
          <w:color w:val="000000" w:themeColor="text1"/>
          <w:sz w:val="16"/>
          <w:szCs w:val="16"/>
        </w:rPr>
      </w:pPr>
    </w:p>
    <w:p w14:paraId="517103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октября 1935 Дир. завода 35 Филатов и Нач. БОК Чижевский в письме N 15/37 Аз-35 в само. отдел ГУАП Машкевичу направили план опытных работ БОК на 1936 (2336,182).</w:t>
      </w:r>
    </w:p>
    <w:p w14:paraId="77A358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Объяснительная записка</w:t>
      </w:r>
    </w:p>
    <w:p w14:paraId="50964D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плану работ бюро особых конструкций завода N 35 на 1936 год.</w:t>
      </w:r>
    </w:p>
    <w:p w14:paraId="3122D2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работ БОК на 1935 год составлен на предположении, что производственной базой является цех 08 завода N 35.</w:t>
      </w:r>
    </w:p>
    <w:p w14:paraId="1FF2AA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проведения летных испытаний предполагается расширение летно-испытательной станции завода.</w:t>
      </w:r>
    </w:p>
    <w:p w14:paraId="3B7F2D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план включены следующие объекты:</w:t>
      </w:r>
    </w:p>
    <w:p w14:paraId="18FA73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БОК-1.</w:t>
      </w:r>
    </w:p>
    <w:p w14:paraId="5B35ED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БОК-1 - экспериментальный стратосферный самолет, приспособлен к длительным полетам в стратосфере, путем устройства на нем герметической кабины и особой системы охлаждения и питания двигателя. Подробное описание приложено к плану.</w:t>
      </w:r>
    </w:p>
    <w:p w14:paraId="3EE70B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заканчивается постройкой в октябре 1935 г., после чего начнутся летные испытания самолета, которые займут по времени конец 1935 года и весь 1936 год.</w:t>
      </w:r>
    </w:p>
    <w:p w14:paraId="40A92A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Длительность летных испытаний объясняется тем, что на этот самолет будет последовательно установлен ряд моторов большой высотности для проведения испытания этих моторов в условиях нормальной эксплуатации. самолет БОК-1 наиболее приспособлен к высотным испытаниям этих моторов.</w:t>
      </w:r>
    </w:p>
    <w:p w14:paraId="34D4B8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Намечена установка следующих моторов: М34РФН, М34КН, М34-РАТО и М34 Фарман.</w:t>
      </w:r>
    </w:p>
    <w:p w14:paraId="5FAC78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Постановка мотора М34 Фарман не вызывает каких-либо переделок. моторы М34 КН и М34РФН требуют новой моторной рамы, а для мотора М34КН, кроме того, новый капот и воздушный радиатор.</w:t>
      </w:r>
    </w:p>
    <w:p w14:paraId="768BB1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М34 РАТО требует, кроме перечисленных изменений, переделку отъемной передней части фюзеляжа.</w:t>
      </w:r>
    </w:p>
    <w:p w14:paraId="6828B3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БОК-7.</w:t>
      </w:r>
    </w:p>
    <w:p w14:paraId="7C852B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БОК-7 - стратосферный разведчик, является модификацией самолета БОК-1, с введением вооружения и повышением аэродинамических качеств. самолет имеет крыло большого удлинения, с гладкой работающей металлической обшивкой.</w:t>
      </w:r>
    </w:p>
    <w:p w14:paraId="1BEE9A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самолета увеличена для повышения эффективности оперения. Герметическая кабина переработана с точки зрения обеспечения максимальной безопасности полета. Вооружение состоит из 2-х ШКАСов, установленных на крыле и 2-х пулеметов для обстрела верхней и нижней задней полусферы. бомбовая нагрузка составляет 400 кг. Самолет приспособлен для фотосъемки до высот 14-16000 метров.</w:t>
      </w:r>
    </w:p>
    <w:p w14:paraId="2BAD46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Проектирование самолета началось в 1935 году. в течении года разработан эскизный проект, закончены расчеты и проектирование крыла с гладкой обшивкой, проработан ряд схем по вооружению машины.</w:t>
      </w:r>
    </w:p>
    <w:p w14:paraId="31647D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БОК-11.</w:t>
      </w:r>
    </w:p>
    <w:p w14:paraId="771EDF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БОК-11 - герметическая кабина для высотного истребителя. Общий рост высоты полета и повышение боевого потолка самолетов до 8-12000 метров - требует уже создания специальных условий, полностью обеспечивающих нормальную работу экипажа. Это требование может быть лучше всего выполнено путем постройки </w:t>
      </w:r>
      <w:r w:rsidRPr="00E14102">
        <w:rPr>
          <w:color w:val="000000" w:themeColor="text1"/>
          <w:sz w:val="16"/>
          <w:szCs w:val="16"/>
        </w:rPr>
        <w:lastRenderedPageBreak/>
        <w:t>самолета с герметической кабиной. Эта работа проводится на кооперативных началах с заводом N 39 - бригадой Поликарпова. Бригада изготовляет самолет, Бюро Особых Конструкций - герметическую кабину с оборудованием.</w:t>
      </w:r>
    </w:p>
    <w:p w14:paraId="765FC2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БОК-10.</w:t>
      </w:r>
    </w:p>
    <w:p w14:paraId="52B38F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БОК-10 - скафандр, является вторым средством для обеспечения работы экипажа на больших высотах.</w:t>
      </w:r>
    </w:p>
    <w:p w14:paraId="4D9972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Скафандр начат разработкой и постройкой в 1935 году и представляет из себя легкую одежду из воздухонепроницаемой ткани и металлической отъемной головы. На спине имеется искусственное "легкое", автоматически подающее пилоту воздух, обогащенный кислородом и очищенный от углекислоты.</w:t>
      </w:r>
    </w:p>
    <w:p w14:paraId="12BCD5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1936 году предполагается окончание постройки, испытания и доводка скафандра.</w:t>
      </w:r>
    </w:p>
    <w:p w14:paraId="7162E3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БОК-12.</w:t>
      </w:r>
    </w:p>
    <w:p w14:paraId="79C170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Непрестанное повышение потолка современных самолетов требует детального и регулярного изучения верхних слоев атмосферы. Полеты стратостатов носят эпизодический характер, стоимость каждого полета исчисляется миллионами и не дают полной картины физических явлений в стратосфере в различное время дня и года.</w:t>
      </w:r>
    </w:p>
    <w:p w14:paraId="0D14C9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Постройка самолета - стратосферная лаборатория позволит начать регулярные полеты в стратосферу ученых, с различными научными приборами.</w:t>
      </w:r>
    </w:p>
    <w:p w14:paraId="7188B1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намечается, как видоизменение БОК-7, при чем сохраняются все части самолета, за исключением центроплана, в котором создается обширная камера для научных наблюдений.</w:t>
      </w:r>
    </w:p>
    <w:p w14:paraId="241457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М-34 заменяется двумя моторами Мистраль-Мажор (К-14) с добавочными турбонагнетателями.</w:t>
      </w:r>
    </w:p>
    <w:p w14:paraId="3B697D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БОК-8.</w:t>
      </w:r>
    </w:p>
    <w:p w14:paraId="590A3A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на высотах 8-10000 м в самолетах, имеющих герметические кабины, требуют проработки ряда фактических вопросов: возможность вождения самолетов строем, бомбометание с большой высоты, ведение боя из герметической кабины, ориентировка и т.п. Своеобразность полетов на больших высотах требует соответствующей подготовки и тренировки летного состава.</w:t>
      </w:r>
    </w:p>
    <w:p w14:paraId="7875A4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Быстрое создание достаточного количества самолетов для этих полетов, возможно путем отвысочивания одного из серийных самолетов.</w:t>
      </w:r>
    </w:p>
    <w:p w14:paraId="542BAB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Эта работа будет заключаться в постановке герметической кабины на самолет, с возможно меньшими переделками фюзеляжа и моторного оборудования.</w:t>
      </w:r>
    </w:p>
    <w:p w14:paraId="2A5F55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БОК-5.</w:t>
      </w:r>
    </w:p>
    <w:p w14:paraId="266B36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БОК-5 - самолет летающее крыло, является летающей моделью большого латающего крыла типа бомбовоза, начатого разработкой в 1934 году и временно приостановленного до получения летных данных самолета БОК-5.</w:t>
      </w:r>
    </w:p>
    <w:p w14:paraId="7A071F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Характерной особенностью самолета БОК-5 является возможность изменения кривизны профиля во время полета. Подробное описание дано в приложении.</w:t>
      </w:r>
    </w:p>
    <w:p w14:paraId="7E4C36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заканчивается постройкой в 1935 году и в 1936 году предполагаются летные испытания самолета.</w:t>
      </w:r>
    </w:p>
    <w:p w14:paraId="4CC106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БОК-2.</w:t>
      </w:r>
    </w:p>
    <w:p w14:paraId="24234E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БОК-2 - самолет с разр. крылом, ставил своей задачей осуществление полета по поляре огибающей.</w:t>
      </w:r>
    </w:p>
    <w:p w14:paraId="798BCF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прошел предварительные летные испытания, показал хорошую летучесть и скороподъемность и в 1936 году предположено закончить аэродинамические исследования. Описание самолета дано в приложении.</w:t>
      </w:r>
    </w:p>
    <w:p w14:paraId="039F76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БОК-3.</w:t>
      </w:r>
    </w:p>
    <w:p w14:paraId="179BC5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БОК-3 - двухместный исполкомовский самолет, был спроектирован по особому заданию Баранова П.И. и начат постройкой на заводе N 39. По этому самолету имеются все рабочие чертежи и расчеты, а так же изготовлено большинство деталей самолета, как то: полностью изготовлены в полуторном размере все нервюры, лонжероны, гориз. и вертикальное оперение, шпангоуты, моторная рама, шасси, детали управления и моторного управления и т.д. Остаются работы по сборке.</w:t>
      </w:r>
    </w:p>
    <w:p w14:paraId="4DE420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этот самолет, еще в бытность его на заводе N 39, израсходовано около 200000 рублей. для постройки требуется по сравнению с затраченной, незначительная сумма.</w:t>
      </w:r>
    </w:p>
    <w:p w14:paraId="43B23F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имеет, помимо основного варианта, еще варианты: военно-тренировочный и сельскохозяйственный. На самолете имеется двойное управление. Заднее - выключающееся в полете по желанию летчика. Подробное описание смотри в приложении.</w:t>
      </w:r>
    </w:p>
    <w:p w14:paraId="282C88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Общее заключение:</w:t>
      </w:r>
    </w:p>
    <w:p w14:paraId="4F902D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Как видно из плана, основное направление работ, если не считать доводок по ранее начатым работам, Бюро Особых Конструкций - разрешение проблемы стратосферных полетов. Актуальность этой проблемы - очевидна, однако, постройка спроектированных Бюро самолетов - тянется чрезвычайно долго, например: самолет БОК-1 на свою постройку потребовал около 3-х лет. При таком положении машины устаревают не успев выйти в воздух.</w:t>
      </w:r>
    </w:p>
    <w:p w14:paraId="694172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Объясняется это, главным образом, отсутствием соответствующей производственной базы, так как существующая база, в виде цеха 08 очень слаба, как в отношении кадров (ведущий разряд в цехе - третий), так и технического оборудования. Более года существования цех не имеет подводки тока к станкам. Ответственные работы приходится сдавать на сторону. Поэтому требуется усилить цех 08 как оборудованием, так и рабсилой.</w:t>
      </w:r>
    </w:p>
    <w:p w14:paraId="0ED40F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Выполнение работ на 1936 год потребует 82800 конструкторских часов (40 чел.) и 213500 производственных часов (около 100 чел.). В связи с этим, потребуется добавление в Бюро 3-4 инженеров. Это тем более необходимо, что за последние 1,5 года Бюро не получало пополнения, а наоборот лучшие силы Бюро были взяты на другие заводы. (директор з-да N 35 Филатов, Нач-к БОК - Чижевский).</w:t>
      </w:r>
    </w:p>
    <w:p w14:paraId="785D7C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работы Бюро Особых Конструкций завода N 35 на 1936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682"/>
        <w:gridCol w:w="682"/>
        <w:gridCol w:w="762"/>
        <w:gridCol w:w="850"/>
        <w:gridCol w:w="1055"/>
        <w:gridCol w:w="606"/>
        <w:gridCol w:w="749"/>
        <w:gridCol w:w="709"/>
        <w:gridCol w:w="709"/>
        <w:gridCol w:w="850"/>
        <w:gridCol w:w="1288"/>
      </w:tblGrid>
      <w:tr w:rsidR="00E3599D" w:rsidRPr="00E14102" w14:paraId="48B8BDB6" w14:textId="77777777">
        <w:tc>
          <w:tcPr>
            <w:tcW w:w="1668" w:type="dxa"/>
            <w:tcBorders>
              <w:top w:val="single" w:sz="12" w:space="0" w:color="auto"/>
            </w:tcBorders>
          </w:tcPr>
          <w:p w14:paraId="357B83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w:t>
            </w:r>
          </w:p>
        </w:tc>
        <w:tc>
          <w:tcPr>
            <w:tcW w:w="682" w:type="dxa"/>
            <w:tcBorders>
              <w:top w:val="single" w:sz="12" w:space="0" w:color="auto"/>
            </w:tcBorders>
          </w:tcPr>
          <w:p w14:paraId="5E714D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Шифр</w:t>
            </w:r>
          </w:p>
        </w:tc>
        <w:tc>
          <w:tcPr>
            <w:tcW w:w="682" w:type="dxa"/>
            <w:tcBorders>
              <w:top w:val="single" w:sz="12" w:space="0" w:color="auto"/>
            </w:tcBorders>
          </w:tcPr>
          <w:p w14:paraId="3BA4B2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w:t>
            </w:r>
          </w:p>
        </w:tc>
        <w:tc>
          <w:tcPr>
            <w:tcW w:w="762" w:type="dxa"/>
            <w:tcBorders>
              <w:top w:val="single" w:sz="12" w:space="0" w:color="auto"/>
            </w:tcBorders>
          </w:tcPr>
          <w:p w14:paraId="3860B1BE"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Borders>
              <w:top w:val="single" w:sz="12" w:space="0" w:color="auto"/>
            </w:tcBorders>
          </w:tcPr>
          <w:p w14:paraId="708F86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Сроки</w:t>
            </w:r>
          </w:p>
        </w:tc>
        <w:tc>
          <w:tcPr>
            <w:tcW w:w="1055" w:type="dxa"/>
            <w:tcBorders>
              <w:top w:val="single" w:sz="12" w:space="0" w:color="auto"/>
            </w:tcBorders>
          </w:tcPr>
          <w:p w14:paraId="4D207F0F" w14:textId="77777777" w:rsidR="00D4105E" w:rsidRPr="00E14102" w:rsidRDefault="00D4105E" w:rsidP="00E14102">
            <w:pPr>
              <w:autoSpaceDE w:val="0"/>
              <w:autoSpaceDN w:val="0"/>
              <w:adjustRightInd w:val="0"/>
              <w:jc w:val="both"/>
              <w:rPr>
                <w:color w:val="000000" w:themeColor="text1"/>
                <w:sz w:val="16"/>
                <w:szCs w:val="16"/>
              </w:rPr>
            </w:pPr>
          </w:p>
        </w:tc>
        <w:tc>
          <w:tcPr>
            <w:tcW w:w="606" w:type="dxa"/>
            <w:tcBorders>
              <w:top w:val="single" w:sz="12" w:space="0" w:color="auto"/>
            </w:tcBorders>
          </w:tcPr>
          <w:p w14:paraId="72B72D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Технические</w:t>
            </w:r>
          </w:p>
        </w:tc>
        <w:tc>
          <w:tcPr>
            <w:tcW w:w="749" w:type="dxa"/>
            <w:tcBorders>
              <w:top w:val="single" w:sz="12" w:space="0" w:color="auto"/>
            </w:tcBorders>
          </w:tcPr>
          <w:p w14:paraId="78630DA4"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Borders>
              <w:top w:val="single" w:sz="12" w:space="0" w:color="auto"/>
            </w:tcBorders>
          </w:tcPr>
          <w:p w14:paraId="0B0F4631"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Borders>
              <w:top w:val="single" w:sz="12" w:space="0" w:color="auto"/>
            </w:tcBorders>
          </w:tcPr>
          <w:p w14:paraId="640471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Трудоемкость на всю</w:t>
            </w:r>
          </w:p>
        </w:tc>
        <w:tc>
          <w:tcPr>
            <w:tcW w:w="850" w:type="dxa"/>
            <w:tcBorders>
              <w:top w:val="single" w:sz="12" w:space="0" w:color="auto"/>
            </w:tcBorders>
          </w:tcPr>
          <w:p w14:paraId="198DF766" w14:textId="77777777" w:rsidR="00D4105E" w:rsidRPr="00E14102" w:rsidRDefault="00D4105E" w:rsidP="00E14102">
            <w:pPr>
              <w:autoSpaceDE w:val="0"/>
              <w:autoSpaceDN w:val="0"/>
              <w:adjustRightInd w:val="0"/>
              <w:jc w:val="both"/>
              <w:rPr>
                <w:color w:val="000000" w:themeColor="text1"/>
                <w:sz w:val="16"/>
                <w:szCs w:val="16"/>
              </w:rPr>
            </w:pPr>
          </w:p>
        </w:tc>
        <w:tc>
          <w:tcPr>
            <w:tcW w:w="1288" w:type="dxa"/>
            <w:tcBorders>
              <w:top w:val="single" w:sz="12" w:space="0" w:color="auto"/>
            </w:tcBorders>
          </w:tcPr>
          <w:p w14:paraId="7658D38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A347C30" w14:textId="77777777">
        <w:tc>
          <w:tcPr>
            <w:tcW w:w="1668" w:type="dxa"/>
          </w:tcPr>
          <w:p w14:paraId="7252C1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объекта</w:t>
            </w:r>
          </w:p>
        </w:tc>
        <w:tc>
          <w:tcPr>
            <w:tcW w:w="682" w:type="dxa"/>
          </w:tcPr>
          <w:p w14:paraId="6BE03D17"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149480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кол-во</w:t>
            </w:r>
          </w:p>
        </w:tc>
        <w:tc>
          <w:tcPr>
            <w:tcW w:w="762" w:type="dxa"/>
          </w:tcPr>
          <w:p w14:paraId="20213C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w:t>
            </w:r>
          </w:p>
        </w:tc>
        <w:tc>
          <w:tcPr>
            <w:tcW w:w="850" w:type="dxa"/>
          </w:tcPr>
          <w:p w14:paraId="3623E1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начало</w:t>
            </w:r>
          </w:p>
        </w:tc>
        <w:tc>
          <w:tcPr>
            <w:tcW w:w="1055" w:type="dxa"/>
          </w:tcPr>
          <w:p w14:paraId="199FDF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конец</w:t>
            </w:r>
          </w:p>
        </w:tc>
        <w:tc>
          <w:tcPr>
            <w:tcW w:w="606" w:type="dxa"/>
          </w:tcPr>
          <w:p w14:paraId="253EA8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условия</w:t>
            </w:r>
          </w:p>
        </w:tc>
        <w:tc>
          <w:tcPr>
            <w:tcW w:w="749" w:type="dxa"/>
          </w:tcPr>
          <w:p w14:paraId="6FCAC911"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51907521"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2DEA58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работу в человеко-часах</w:t>
            </w:r>
          </w:p>
        </w:tc>
        <w:tc>
          <w:tcPr>
            <w:tcW w:w="850" w:type="dxa"/>
          </w:tcPr>
          <w:p w14:paraId="125E1E00" w14:textId="77777777" w:rsidR="00D4105E" w:rsidRPr="00E14102" w:rsidRDefault="00D4105E" w:rsidP="00E14102">
            <w:pPr>
              <w:autoSpaceDE w:val="0"/>
              <w:autoSpaceDN w:val="0"/>
              <w:adjustRightInd w:val="0"/>
              <w:jc w:val="both"/>
              <w:rPr>
                <w:color w:val="000000" w:themeColor="text1"/>
                <w:sz w:val="16"/>
                <w:szCs w:val="16"/>
              </w:rPr>
            </w:pPr>
          </w:p>
        </w:tc>
        <w:tc>
          <w:tcPr>
            <w:tcW w:w="1288" w:type="dxa"/>
          </w:tcPr>
          <w:p w14:paraId="3FB191D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A0DA723" w14:textId="77777777">
        <w:tc>
          <w:tcPr>
            <w:tcW w:w="1668" w:type="dxa"/>
          </w:tcPr>
          <w:p w14:paraId="6A8CEED0"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3BB2964D"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4D3CE1A9"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Pr>
          <w:p w14:paraId="33A9FA7E"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1AFB9568"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Pr>
          <w:p w14:paraId="409F8442" w14:textId="77777777" w:rsidR="00D4105E" w:rsidRPr="00E14102" w:rsidRDefault="00D4105E" w:rsidP="00E14102">
            <w:pPr>
              <w:autoSpaceDE w:val="0"/>
              <w:autoSpaceDN w:val="0"/>
              <w:adjustRightInd w:val="0"/>
              <w:jc w:val="both"/>
              <w:rPr>
                <w:color w:val="000000" w:themeColor="text1"/>
                <w:sz w:val="16"/>
                <w:szCs w:val="16"/>
              </w:rPr>
            </w:pPr>
          </w:p>
        </w:tc>
        <w:tc>
          <w:tcPr>
            <w:tcW w:w="606" w:type="dxa"/>
          </w:tcPr>
          <w:p w14:paraId="42A1AA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w:t>
            </w:r>
          </w:p>
        </w:tc>
        <w:tc>
          <w:tcPr>
            <w:tcW w:w="749" w:type="dxa"/>
          </w:tcPr>
          <w:p w14:paraId="4F213C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w:t>
            </w:r>
          </w:p>
        </w:tc>
        <w:tc>
          <w:tcPr>
            <w:tcW w:w="709" w:type="dxa"/>
          </w:tcPr>
          <w:p w14:paraId="492495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w:t>
            </w:r>
          </w:p>
        </w:tc>
        <w:tc>
          <w:tcPr>
            <w:tcW w:w="709" w:type="dxa"/>
          </w:tcPr>
          <w:p w14:paraId="1B7E89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ИТР</w:t>
            </w:r>
          </w:p>
        </w:tc>
        <w:tc>
          <w:tcPr>
            <w:tcW w:w="850" w:type="dxa"/>
          </w:tcPr>
          <w:p w14:paraId="60727C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КСХ</w:t>
            </w:r>
          </w:p>
        </w:tc>
        <w:tc>
          <w:tcPr>
            <w:tcW w:w="1288" w:type="dxa"/>
          </w:tcPr>
          <w:p w14:paraId="23247E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Рабоч.</w:t>
            </w:r>
          </w:p>
        </w:tc>
      </w:tr>
      <w:tr w:rsidR="00E3599D" w:rsidRPr="00E14102" w14:paraId="49B41717" w14:textId="77777777">
        <w:tc>
          <w:tcPr>
            <w:tcW w:w="1668" w:type="dxa"/>
          </w:tcPr>
          <w:p w14:paraId="08D1C3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(CC)</w:t>
            </w:r>
          </w:p>
        </w:tc>
        <w:tc>
          <w:tcPr>
            <w:tcW w:w="682" w:type="dxa"/>
          </w:tcPr>
          <w:p w14:paraId="72508F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БОК-1</w:t>
            </w:r>
          </w:p>
        </w:tc>
        <w:tc>
          <w:tcPr>
            <w:tcW w:w="682" w:type="dxa"/>
          </w:tcPr>
          <w:p w14:paraId="17AC2B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2" w:type="dxa"/>
          </w:tcPr>
          <w:p w14:paraId="42FBED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М34РН</w:t>
            </w:r>
          </w:p>
        </w:tc>
        <w:tc>
          <w:tcPr>
            <w:tcW w:w="850" w:type="dxa"/>
          </w:tcPr>
          <w:p w14:paraId="55E59D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Январь</w:t>
            </w:r>
          </w:p>
        </w:tc>
        <w:tc>
          <w:tcPr>
            <w:tcW w:w="1055" w:type="dxa"/>
          </w:tcPr>
          <w:p w14:paraId="64E110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октябрь</w:t>
            </w:r>
          </w:p>
        </w:tc>
        <w:tc>
          <w:tcPr>
            <w:tcW w:w="606" w:type="dxa"/>
          </w:tcPr>
          <w:p w14:paraId="2936C1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289км</w:t>
            </w:r>
          </w:p>
        </w:tc>
        <w:tc>
          <w:tcPr>
            <w:tcW w:w="749" w:type="dxa"/>
          </w:tcPr>
          <w:p w14:paraId="34AD10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10170</w:t>
            </w:r>
          </w:p>
        </w:tc>
        <w:tc>
          <w:tcPr>
            <w:tcW w:w="709" w:type="dxa"/>
          </w:tcPr>
          <w:p w14:paraId="6E6B42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09" w:type="dxa"/>
          </w:tcPr>
          <w:p w14:paraId="23D486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3725</w:t>
            </w:r>
          </w:p>
        </w:tc>
        <w:tc>
          <w:tcPr>
            <w:tcW w:w="850" w:type="dxa"/>
          </w:tcPr>
          <w:p w14:paraId="2B3655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1175</w:t>
            </w:r>
          </w:p>
        </w:tc>
        <w:tc>
          <w:tcPr>
            <w:tcW w:w="1288" w:type="dxa"/>
          </w:tcPr>
          <w:p w14:paraId="5E6E54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r>
      <w:tr w:rsidR="00E3599D" w:rsidRPr="00E14102" w14:paraId="087D58B0" w14:textId="77777777">
        <w:tc>
          <w:tcPr>
            <w:tcW w:w="1668" w:type="dxa"/>
          </w:tcPr>
          <w:p w14:paraId="1CE6B2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Стратосферный</w:t>
            </w:r>
          </w:p>
        </w:tc>
        <w:tc>
          <w:tcPr>
            <w:tcW w:w="682" w:type="dxa"/>
          </w:tcPr>
          <w:p w14:paraId="596686CA"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4D4DDA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w:t>
            </w:r>
          </w:p>
        </w:tc>
        <w:tc>
          <w:tcPr>
            <w:tcW w:w="762" w:type="dxa"/>
          </w:tcPr>
          <w:p w14:paraId="3EB81F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 г.</w:t>
            </w:r>
          </w:p>
        </w:tc>
        <w:tc>
          <w:tcPr>
            <w:tcW w:w="850" w:type="dxa"/>
          </w:tcPr>
          <w:p w14:paraId="388A52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1936г.</w:t>
            </w:r>
          </w:p>
        </w:tc>
        <w:tc>
          <w:tcPr>
            <w:tcW w:w="1055" w:type="dxa"/>
          </w:tcPr>
          <w:p w14:paraId="2D93F8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304</w:t>
            </w:r>
          </w:p>
        </w:tc>
        <w:tc>
          <w:tcPr>
            <w:tcW w:w="606" w:type="dxa"/>
          </w:tcPr>
          <w:p w14:paraId="20BC54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11500</w:t>
            </w:r>
          </w:p>
        </w:tc>
        <w:tc>
          <w:tcPr>
            <w:tcW w:w="749" w:type="dxa"/>
          </w:tcPr>
          <w:p w14:paraId="73F20596"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26CD3D89"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2ABE75EE"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67BEF809" w14:textId="77777777" w:rsidR="00D4105E" w:rsidRPr="00E14102" w:rsidRDefault="00D4105E" w:rsidP="00E14102">
            <w:pPr>
              <w:autoSpaceDE w:val="0"/>
              <w:autoSpaceDN w:val="0"/>
              <w:adjustRightInd w:val="0"/>
              <w:jc w:val="both"/>
              <w:rPr>
                <w:color w:val="000000" w:themeColor="text1"/>
                <w:sz w:val="16"/>
                <w:szCs w:val="16"/>
              </w:rPr>
            </w:pPr>
          </w:p>
        </w:tc>
        <w:tc>
          <w:tcPr>
            <w:tcW w:w="1288" w:type="dxa"/>
          </w:tcPr>
          <w:p w14:paraId="243E638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E1F845A" w14:textId="77777777">
        <w:tc>
          <w:tcPr>
            <w:tcW w:w="1668" w:type="dxa"/>
          </w:tcPr>
          <w:p w14:paraId="4BC00A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w:t>
            </w:r>
          </w:p>
        </w:tc>
        <w:tc>
          <w:tcPr>
            <w:tcW w:w="682" w:type="dxa"/>
          </w:tcPr>
          <w:p w14:paraId="2154B540"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49BA26D9"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Pr>
          <w:p w14:paraId="057141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ФРН</w:t>
            </w:r>
          </w:p>
        </w:tc>
        <w:tc>
          <w:tcPr>
            <w:tcW w:w="850" w:type="dxa"/>
          </w:tcPr>
          <w:p w14:paraId="64E7D055"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Pr>
          <w:p w14:paraId="2C302FA3" w14:textId="77777777" w:rsidR="00D4105E" w:rsidRPr="00E14102" w:rsidRDefault="00D4105E" w:rsidP="00E14102">
            <w:pPr>
              <w:autoSpaceDE w:val="0"/>
              <w:autoSpaceDN w:val="0"/>
              <w:adjustRightInd w:val="0"/>
              <w:jc w:val="both"/>
              <w:rPr>
                <w:color w:val="000000" w:themeColor="text1"/>
                <w:sz w:val="16"/>
                <w:szCs w:val="16"/>
              </w:rPr>
            </w:pPr>
          </w:p>
        </w:tc>
        <w:tc>
          <w:tcPr>
            <w:tcW w:w="606" w:type="dxa"/>
          </w:tcPr>
          <w:p w14:paraId="4FA04320" w14:textId="77777777" w:rsidR="00D4105E" w:rsidRPr="00E14102" w:rsidRDefault="00D4105E" w:rsidP="00E14102">
            <w:pPr>
              <w:autoSpaceDE w:val="0"/>
              <w:autoSpaceDN w:val="0"/>
              <w:adjustRightInd w:val="0"/>
              <w:jc w:val="both"/>
              <w:rPr>
                <w:color w:val="000000" w:themeColor="text1"/>
                <w:sz w:val="16"/>
                <w:szCs w:val="16"/>
              </w:rPr>
            </w:pPr>
          </w:p>
        </w:tc>
        <w:tc>
          <w:tcPr>
            <w:tcW w:w="749" w:type="dxa"/>
          </w:tcPr>
          <w:p w14:paraId="523C0455"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637F0552"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1AFC0FD4"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52F80737" w14:textId="77777777" w:rsidR="00D4105E" w:rsidRPr="00E14102" w:rsidRDefault="00D4105E" w:rsidP="00E14102">
            <w:pPr>
              <w:autoSpaceDE w:val="0"/>
              <w:autoSpaceDN w:val="0"/>
              <w:adjustRightInd w:val="0"/>
              <w:jc w:val="both"/>
              <w:rPr>
                <w:color w:val="000000" w:themeColor="text1"/>
                <w:sz w:val="16"/>
                <w:szCs w:val="16"/>
              </w:rPr>
            </w:pPr>
          </w:p>
        </w:tc>
        <w:tc>
          <w:tcPr>
            <w:tcW w:w="1288" w:type="dxa"/>
          </w:tcPr>
          <w:p w14:paraId="1039A29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5605FFF" w14:textId="77777777">
        <w:tc>
          <w:tcPr>
            <w:tcW w:w="1668" w:type="dxa"/>
          </w:tcPr>
          <w:p w14:paraId="6A253015"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2FB28918"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6F423409"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Pr>
          <w:p w14:paraId="59D320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М34КН</w:t>
            </w:r>
          </w:p>
        </w:tc>
        <w:tc>
          <w:tcPr>
            <w:tcW w:w="850" w:type="dxa"/>
          </w:tcPr>
          <w:p w14:paraId="139A4E5E"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Pr>
          <w:p w14:paraId="21BD2FBC" w14:textId="77777777" w:rsidR="00D4105E" w:rsidRPr="00E14102" w:rsidRDefault="00D4105E" w:rsidP="00E14102">
            <w:pPr>
              <w:autoSpaceDE w:val="0"/>
              <w:autoSpaceDN w:val="0"/>
              <w:adjustRightInd w:val="0"/>
              <w:jc w:val="both"/>
              <w:rPr>
                <w:color w:val="000000" w:themeColor="text1"/>
                <w:sz w:val="16"/>
                <w:szCs w:val="16"/>
              </w:rPr>
            </w:pPr>
          </w:p>
        </w:tc>
        <w:tc>
          <w:tcPr>
            <w:tcW w:w="606" w:type="dxa"/>
          </w:tcPr>
          <w:p w14:paraId="71DD12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310</w:t>
            </w:r>
          </w:p>
        </w:tc>
        <w:tc>
          <w:tcPr>
            <w:tcW w:w="749" w:type="dxa"/>
          </w:tcPr>
          <w:p w14:paraId="492E6F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14000</w:t>
            </w:r>
          </w:p>
        </w:tc>
        <w:tc>
          <w:tcPr>
            <w:tcW w:w="709" w:type="dxa"/>
          </w:tcPr>
          <w:p w14:paraId="158B3553"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188960A9"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694DED03" w14:textId="77777777" w:rsidR="00D4105E" w:rsidRPr="00E14102" w:rsidRDefault="00D4105E" w:rsidP="00E14102">
            <w:pPr>
              <w:autoSpaceDE w:val="0"/>
              <w:autoSpaceDN w:val="0"/>
              <w:adjustRightInd w:val="0"/>
              <w:jc w:val="both"/>
              <w:rPr>
                <w:color w:val="000000" w:themeColor="text1"/>
                <w:sz w:val="16"/>
                <w:szCs w:val="16"/>
              </w:rPr>
            </w:pPr>
          </w:p>
        </w:tc>
        <w:tc>
          <w:tcPr>
            <w:tcW w:w="1288" w:type="dxa"/>
          </w:tcPr>
          <w:p w14:paraId="6D8A801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26E775B" w14:textId="77777777">
        <w:tc>
          <w:tcPr>
            <w:tcW w:w="1668" w:type="dxa"/>
          </w:tcPr>
          <w:p w14:paraId="0D4FA6A9"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43B95FF6"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39A32D8B"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Pr>
          <w:p w14:paraId="44170A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w:t>
            </w:r>
          </w:p>
        </w:tc>
        <w:tc>
          <w:tcPr>
            <w:tcW w:w="850" w:type="dxa"/>
          </w:tcPr>
          <w:p w14:paraId="430579F7"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Pr>
          <w:p w14:paraId="4424D45E" w14:textId="77777777" w:rsidR="00D4105E" w:rsidRPr="00E14102" w:rsidRDefault="00D4105E" w:rsidP="00E14102">
            <w:pPr>
              <w:autoSpaceDE w:val="0"/>
              <w:autoSpaceDN w:val="0"/>
              <w:adjustRightInd w:val="0"/>
              <w:jc w:val="both"/>
              <w:rPr>
                <w:color w:val="000000" w:themeColor="text1"/>
                <w:sz w:val="16"/>
                <w:szCs w:val="16"/>
              </w:rPr>
            </w:pPr>
          </w:p>
        </w:tc>
        <w:tc>
          <w:tcPr>
            <w:tcW w:w="606" w:type="dxa"/>
          </w:tcPr>
          <w:p w14:paraId="53F3F9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295</w:t>
            </w:r>
          </w:p>
        </w:tc>
        <w:tc>
          <w:tcPr>
            <w:tcW w:w="749" w:type="dxa"/>
          </w:tcPr>
          <w:p w14:paraId="51BB98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12000</w:t>
            </w:r>
          </w:p>
        </w:tc>
        <w:tc>
          <w:tcPr>
            <w:tcW w:w="709" w:type="dxa"/>
          </w:tcPr>
          <w:p w14:paraId="24E4ED52"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7D7126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1800</w:t>
            </w:r>
          </w:p>
        </w:tc>
        <w:tc>
          <w:tcPr>
            <w:tcW w:w="850" w:type="dxa"/>
          </w:tcPr>
          <w:p w14:paraId="78E863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1400</w:t>
            </w:r>
          </w:p>
        </w:tc>
        <w:tc>
          <w:tcPr>
            <w:tcW w:w="1288" w:type="dxa"/>
          </w:tcPr>
          <w:p w14:paraId="064E3C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10800</w:t>
            </w:r>
          </w:p>
        </w:tc>
      </w:tr>
      <w:tr w:rsidR="00E3599D" w:rsidRPr="00E14102" w14:paraId="6A0F01FC" w14:textId="77777777">
        <w:tc>
          <w:tcPr>
            <w:tcW w:w="1668" w:type="dxa"/>
          </w:tcPr>
          <w:p w14:paraId="62E5A10B"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1E600BAD"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65ACACCF"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Pr>
          <w:p w14:paraId="2C6E6D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Фарман</w:t>
            </w:r>
          </w:p>
        </w:tc>
        <w:tc>
          <w:tcPr>
            <w:tcW w:w="850" w:type="dxa"/>
          </w:tcPr>
          <w:p w14:paraId="236D605D"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Pr>
          <w:p w14:paraId="361694B8" w14:textId="77777777" w:rsidR="00D4105E" w:rsidRPr="00E14102" w:rsidRDefault="00D4105E" w:rsidP="00E14102">
            <w:pPr>
              <w:autoSpaceDE w:val="0"/>
              <w:autoSpaceDN w:val="0"/>
              <w:adjustRightInd w:val="0"/>
              <w:jc w:val="both"/>
              <w:rPr>
                <w:color w:val="000000" w:themeColor="text1"/>
                <w:sz w:val="16"/>
                <w:szCs w:val="16"/>
              </w:rPr>
            </w:pPr>
          </w:p>
        </w:tc>
        <w:tc>
          <w:tcPr>
            <w:tcW w:w="606" w:type="dxa"/>
          </w:tcPr>
          <w:p w14:paraId="1B5434E2" w14:textId="77777777" w:rsidR="00D4105E" w:rsidRPr="00E14102" w:rsidRDefault="00D4105E" w:rsidP="00E14102">
            <w:pPr>
              <w:autoSpaceDE w:val="0"/>
              <w:autoSpaceDN w:val="0"/>
              <w:adjustRightInd w:val="0"/>
              <w:jc w:val="both"/>
              <w:rPr>
                <w:color w:val="000000" w:themeColor="text1"/>
                <w:sz w:val="16"/>
                <w:szCs w:val="16"/>
              </w:rPr>
            </w:pPr>
          </w:p>
        </w:tc>
        <w:tc>
          <w:tcPr>
            <w:tcW w:w="749" w:type="dxa"/>
          </w:tcPr>
          <w:p w14:paraId="087D7402"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4FD82327"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31C97260"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1835933C" w14:textId="77777777" w:rsidR="00D4105E" w:rsidRPr="00E14102" w:rsidRDefault="00D4105E" w:rsidP="00E14102">
            <w:pPr>
              <w:autoSpaceDE w:val="0"/>
              <w:autoSpaceDN w:val="0"/>
              <w:adjustRightInd w:val="0"/>
              <w:jc w:val="both"/>
              <w:rPr>
                <w:color w:val="000000" w:themeColor="text1"/>
                <w:sz w:val="16"/>
                <w:szCs w:val="16"/>
              </w:rPr>
            </w:pPr>
          </w:p>
        </w:tc>
        <w:tc>
          <w:tcPr>
            <w:tcW w:w="1288" w:type="dxa"/>
          </w:tcPr>
          <w:p w14:paraId="5A5E2DC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00DA6A7" w14:textId="77777777">
        <w:tc>
          <w:tcPr>
            <w:tcW w:w="1668" w:type="dxa"/>
          </w:tcPr>
          <w:p w14:paraId="5CCC0074"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193A4F2A"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6CFBBCBF"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Pr>
          <w:p w14:paraId="1084D7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Рато</w:t>
            </w:r>
          </w:p>
        </w:tc>
        <w:tc>
          <w:tcPr>
            <w:tcW w:w="850" w:type="dxa"/>
          </w:tcPr>
          <w:p w14:paraId="535DB37C"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Pr>
          <w:p w14:paraId="4CBB81F3" w14:textId="77777777" w:rsidR="00D4105E" w:rsidRPr="00E14102" w:rsidRDefault="00D4105E" w:rsidP="00E14102">
            <w:pPr>
              <w:autoSpaceDE w:val="0"/>
              <w:autoSpaceDN w:val="0"/>
              <w:adjustRightInd w:val="0"/>
              <w:jc w:val="both"/>
              <w:rPr>
                <w:color w:val="000000" w:themeColor="text1"/>
                <w:sz w:val="16"/>
                <w:szCs w:val="16"/>
              </w:rPr>
            </w:pPr>
          </w:p>
        </w:tc>
        <w:tc>
          <w:tcPr>
            <w:tcW w:w="606" w:type="dxa"/>
          </w:tcPr>
          <w:p w14:paraId="507522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749" w:type="dxa"/>
          </w:tcPr>
          <w:p w14:paraId="38B24B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13500</w:t>
            </w:r>
          </w:p>
        </w:tc>
        <w:tc>
          <w:tcPr>
            <w:tcW w:w="709" w:type="dxa"/>
          </w:tcPr>
          <w:p w14:paraId="2B0751AE"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52D5546E"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5D14E018" w14:textId="77777777" w:rsidR="00D4105E" w:rsidRPr="00E14102" w:rsidRDefault="00D4105E" w:rsidP="00E14102">
            <w:pPr>
              <w:autoSpaceDE w:val="0"/>
              <w:autoSpaceDN w:val="0"/>
              <w:adjustRightInd w:val="0"/>
              <w:jc w:val="both"/>
              <w:rPr>
                <w:color w:val="000000" w:themeColor="text1"/>
                <w:sz w:val="16"/>
                <w:szCs w:val="16"/>
              </w:rPr>
            </w:pPr>
          </w:p>
        </w:tc>
        <w:tc>
          <w:tcPr>
            <w:tcW w:w="1288" w:type="dxa"/>
          </w:tcPr>
          <w:p w14:paraId="04E5D44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EA5F9CD" w14:textId="77777777">
        <w:tc>
          <w:tcPr>
            <w:tcW w:w="1668" w:type="dxa"/>
          </w:tcPr>
          <w:p w14:paraId="26BEF5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w:t>
            </w:r>
          </w:p>
        </w:tc>
        <w:tc>
          <w:tcPr>
            <w:tcW w:w="682" w:type="dxa"/>
          </w:tcPr>
          <w:p w14:paraId="06E245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БОК-7</w:t>
            </w:r>
          </w:p>
        </w:tc>
        <w:tc>
          <w:tcPr>
            <w:tcW w:w="682" w:type="dxa"/>
          </w:tcPr>
          <w:p w14:paraId="318025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2" w:type="dxa"/>
          </w:tcPr>
          <w:p w14:paraId="1C2E12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М34КН</w:t>
            </w:r>
          </w:p>
        </w:tc>
        <w:tc>
          <w:tcPr>
            <w:tcW w:w="850" w:type="dxa"/>
          </w:tcPr>
          <w:p w14:paraId="2E9053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Январь</w:t>
            </w:r>
          </w:p>
        </w:tc>
        <w:tc>
          <w:tcPr>
            <w:tcW w:w="1055" w:type="dxa"/>
          </w:tcPr>
          <w:p w14:paraId="71EE22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сентяб.</w:t>
            </w:r>
          </w:p>
        </w:tc>
        <w:tc>
          <w:tcPr>
            <w:tcW w:w="606" w:type="dxa"/>
          </w:tcPr>
          <w:p w14:paraId="57A59A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w:t>
            </w:r>
          </w:p>
        </w:tc>
        <w:tc>
          <w:tcPr>
            <w:tcW w:w="749" w:type="dxa"/>
          </w:tcPr>
          <w:p w14:paraId="0732FC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15000</w:t>
            </w:r>
          </w:p>
        </w:tc>
        <w:tc>
          <w:tcPr>
            <w:tcW w:w="709" w:type="dxa"/>
          </w:tcPr>
          <w:p w14:paraId="4A09FF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пулем.</w:t>
            </w:r>
          </w:p>
        </w:tc>
        <w:tc>
          <w:tcPr>
            <w:tcW w:w="709" w:type="dxa"/>
          </w:tcPr>
          <w:p w14:paraId="7CA4ED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32900</w:t>
            </w:r>
          </w:p>
        </w:tc>
        <w:tc>
          <w:tcPr>
            <w:tcW w:w="850" w:type="dxa"/>
          </w:tcPr>
          <w:p w14:paraId="5E313F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10300</w:t>
            </w:r>
          </w:p>
        </w:tc>
        <w:tc>
          <w:tcPr>
            <w:tcW w:w="1288" w:type="dxa"/>
          </w:tcPr>
          <w:p w14:paraId="226598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1800</w:t>
            </w:r>
          </w:p>
        </w:tc>
      </w:tr>
      <w:tr w:rsidR="00E3599D" w:rsidRPr="00E14102" w14:paraId="30842BCA" w14:textId="77777777">
        <w:tc>
          <w:tcPr>
            <w:tcW w:w="1668" w:type="dxa"/>
          </w:tcPr>
          <w:p w14:paraId="306D0B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Стратосферный</w:t>
            </w:r>
          </w:p>
        </w:tc>
        <w:tc>
          <w:tcPr>
            <w:tcW w:w="682" w:type="dxa"/>
          </w:tcPr>
          <w:p w14:paraId="624E1344"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68460938"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Pr>
          <w:p w14:paraId="61DC8A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1935г.</w:t>
            </w:r>
          </w:p>
        </w:tc>
        <w:tc>
          <w:tcPr>
            <w:tcW w:w="850" w:type="dxa"/>
          </w:tcPr>
          <w:p w14:paraId="64B287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1936г.</w:t>
            </w:r>
          </w:p>
        </w:tc>
        <w:tc>
          <w:tcPr>
            <w:tcW w:w="1055" w:type="dxa"/>
          </w:tcPr>
          <w:p w14:paraId="30038B64" w14:textId="77777777" w:rsidR="00D4105E" w:rsidRPr="00E14102" w:rsidRDefault="00D4105E" w:rsidP="00E14102">
            <w:pPr>
              <w:autoSpaceDE w:val="0"/>
              <w:autoSpaceDN w:val="0"/>
              <w:adjustRightInd w:val="0"/>
              <w:jc w:val="both"/>
              <w:rPr>
                <w:color w:val="000000" w:themeColor="text1"/>
                <w:sz w:val="16"/>
                <w:szCs w:val="16"/>
              </w:rPr>
            </w:pPr>
          </w:p>
        </w:tc>
        <w:tc>
          <w:tcPr>
            <w:tcW w:w="606" w:type="dxa"/>
          </w:tcPr>
          <w:p w14:paraId="130746C9" w14:textId="77777777" w:rsidR="00D4105E" w:rsidRPr="00E14102" w:rsidRDefault="00D4105E" w:rsidP="00E14102">
            <w:pPr>
              <w:autoSpaceDE w:val="0"/>
              <w:autoSpaceDN w:val="0"/>
              <w:adjustRightInd w:val="0"/>
              <w:jc w:val="both"/>
              <w:rPr>
                <w:color w:val="000000" w:themeColor="text1"/>
                <w:sz w:val="16"/>
                <w:szCs w:val="16"/>
              </w:rPr>
            </w:pPr>
          </w:p>
        </w:tc>
        <w:tc>
          <w:tcPr>
            <w:tcW w:w="749" w:type="dxa"/>
          </w:tcPr>
          <w:p w14:paraId="19333D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400кг бомб</w:t>
            </w:r>
          </w:p>
        </w:tc>
        <w:tc>
          <w:tcPr>
            <w:tcW w:w="709" w:type="dxa"/>
          </w:tcPr>
          <w:p w14:paraId="5DBCBF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13000</w:t>
            </w:r>
          </w:p>
        </w:tc>
        <w:tc>
          <w:tcPr>
            <w:tcW w:w="709" w:type="dxa"/>
          </w:tcPr>
          <w:p w14:paraId="2D1056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77000</w:t>
            </w:r>
          </w:p>
        </w:tc>
        <w:tc>
          <w:tcPr>
            <w:tcW w:w="850" w:type="dxa"/>
          </w:tcPr>
          <w:p w14:paraId="66D39CF4" w14:textId="77777777" w:rsidR="00D4105E" w:rsidRPr="00E14102" w:rsidRDefault="00D4105E" w:rsidP="00E14102">
            <w:pPr>
              <w:autoSpaceDE w:val="0"/>
              <w:autoSpaceDN w:val="0"/>
              <w:adjustRightInd w:val="0"/>
              <w:jc w:val="both"/>
              <w:rPr>
                <w:color w:val="000000" w:themeColor="text1"/>
                <w:sz w:val="16"/>
                <w:szCs w:val="16"/>
              </w:rPr>
            </w:pPr>
          </w:p>
        </w:tc>
        <w:tc>
          <w:tcPr>
            <w:tcW w:w="1288" w:type="dxa"/>
          </w:tcPr>
          <w:p w14:paraId="5F3933C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D720FC1" w14:textId="77777777">
        <w:tc>
          <w:tcPr>
            <w:tcW w:w="1668" w:type="dxa"/>
          </w:tcPr>
          <w:p w14:paraId="5990BD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разведчик</w:t>
            </w:r>
          </w:p>
        </w:tc>
        <w:tc>
          <w:tcPr>
            <w:tcW w:w="682" w:type="dxa"/>
          </w:tcPr>
          <w:p w14:paraId="20CA4349"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0A841766"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Pr>
          <w:p w14:paraId="0882494C"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0942A6A7"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Pr>
          <w:p w14:paraId="5D00176D" w14:textId="77777777" w:rsidR="00D4105E" w:rsidRPr="00E14102" w:rsidRDefault="00D4105E" w:rsidP="00E14102">
            <w:pPr>
              <w:autoSpaceDE w:val="0"/>
              <w:autoSpaceDN w:val="0"/>
              <w:adjustRightInd w:val="0"/>
              <w:jc w:val="both"/>
              <w:rPr>
                <w:color w:val="000000" w:themeColor="text1"/>
                <w:sz w:val="16"/>
                <w:szCs w:val="16"/>
              </w:rPr>
            </w:pPr>
          </w:p>
        </w:tc>
        <w:tc>
          <w:tcPr>
            <w:tcW w:w="606" w:type="dxa"/>
          </w:tcPr>
          <w:p w14:paraId="678FAABB" w14:textId="77777777" w:rsidR="00D4105E" w:rsidRPr="00E14102" w:rsidRDefault="00D4105E" w:rsidP="00E14102">
            <w:pPr>
              <w:autoSpaceDE w:val="0"/>
              <w:autoSpaceDN w:val="0"/>
              <w:adjustRightInd w:val="0"/>
              <w:jc w:val="both"/>
              <w:rPr>
                <w:color w:val="000000" w:themeColor="text1"/>
                <w:sz w:val="16"/>
                <w:szCs w:val="16"/>
              </w:rPr>
            </w:pPr>
          </w:p>
        </w:tc>
        <w:tc>
          <w:tcPr>
            <w:tcW w:w="749" w:type="dxa"/>
          </w:tcPr>
          <w:p w14:paraId="0D95A4A0"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40D935B0"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67ED772E"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1C01FC2D" w14:textId="77777777" w:rsidR="00D4105E" w:rsidRPr="00E14102" w:rsidRDefault="00D4105E" w:rsidP="00E14102">
            <w:pPr>
              <w:autoSpaceDE w:val="0"/>
              <w:autoSpaceDN w:val="0"/>
              <w:adjustRightInd w:val="0"/>
              <w:jc w:val="both"/>
              <w:rPr>
                <w:color w:val="000000" w:themeColor="text1"/>
                <w:sz w:val="16"/>
                <w:szCs w:val="16"/>
              </w:rPr>
            </w:pPr>
          </w:p>
        </w:tc>
        <w:tc>
          <w:tcPr>
            <w:tcW w:w="1288" w:type="dxa"/>
          </w:tcPr>
          <w:p w14:paraId="1334035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283462E" w14:textId="77777777">
        <w:tc>
          <w:tcPr>
            <w:tcW w:w="1668" w:type="dxa"/>
          </w:tcPr>
          <w:p w14:paraId="2BD33A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Герметическая</w:t>
            </w:r>
          </w:p>
        </w:tc>
        <w:tc>
          <w:tcPr>
            <w:tcW w:w="682" w:type="dxa"/>
          </w:tcPr>
          <w:p w14:paraId="617637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БОК-11</w:t>
            </w:r>
          </w:p>
        </w:tc>
        <w:tc>
          <w:tcPr>
            <w:tcW w:w="682" w:type="dxa"/>
          </w:tcPr>
          <w:p w14:paraId="0F44AE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2" w:type="dxa"/>
          </w:tcPr>
          <w:p w14:paraId="58DE3C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К-14</w:t>
            </w:r>
          </w:p>
        </w:tc>
        <w:tc>
          <w:tcPr>
            <w:tcW w:w="850" w:type="dxa"/>
          </w:tcPr>
          <w:p w14:paraId="60C0CD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1936г.</w:t>
            </w:r>
          </w:p>
        </w:tc>
        <w:tc>
          <w:tcPr>
            <w:tcW w:w="1055" w:type="dxa"/>
          </w:tcPr>
          <w:p w14:paraId="5F9019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август</w:t>
            </w:r>
          </w:p>
        </w:tc>
        <w:tc>
          <w:tcPr>
            <w:tcW w:w="606" w:type="dxa"/>
          </w:tcPr>
          <w:p w14:paraId="361CDB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749" w:type="dxa"/>
          </w:tcPr>
          <w:p w14:paraId="0C10A7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15000</w:t>
            </w:r>
          </w:p>
        </w:tc>
        <w:tc>
          <w:tcPr>
            <w:tcW w:w="709" w:type="dxa"/>
          </w:tcPr>
          <w:p w14:paraId="760569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пулем.</w:t>
            </w:r>
          </w:p>
        </w:tc>
        <w:tc>
          <w:tcPr>
            <w:tcW w:w="709" w:type="dxa"/>
          </w:tcPr>
          <w:p w14:paraId="48B9FD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5850</w:t>
            </w:r>
          </w:p>
        </w:tc>
        <w:tc>
          <w:tcPr>
            <w:tcW w:w="850" w:type="dxa"/>
          </w:tcPr>
          <w:p w14:paraId="223837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1850</w:t>
            </w:r>
          </w:p>
        </w:tc>
        <w:tc>
          <w:tcPr>
            <w:tcW w:w="1288" w:type="dxa"/>
          </w:tcPr>
          <w:p w14:paraId="61AA04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r>
      <w:tr w:rsidR="00E3599D" w:rsidRPr="00E14102" w14:paraId="366EC0BE" w14:textId="77777777">
        <w:tc>
          <w:tcPr>
            <w:tcW w:w="1668" w:type="dxa"/>
          </w:tcPr>
          <w:p w14:paraId="112835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кабина для</w:t>
            </w:r>
          </w:p>
        </w:tc>
        <w:tc>
          <w:tcPr>
            <w:tcW w:w="682" w:type="dxa"/>
          </w:tcPr>
          <w:p w14:paraId="4EA93EBA"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4DD854EA"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Pr>
          <w:p w14:paraId="7F3E6BB2"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18B691F0"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Pr>
          <w:p w14:paraId="2F096A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1936г.</w:t>
            </w:r>
          </w:p>
        </w:tc>
        <w:tc>
          <w:tcPr>
            <w:tcW w:w="606" w:type="dxa"/>
          </w:tcPr>
          <w:p w14:paraId="1754C553" w14:textId="77777777" w:rsidR="00D4105E" w:rsidRPr="00E14102" w:rsidRDefault="00D4105E" w:rsidP="00E14102">
            <w:pPr>
              <w:autoSpaceDE w:val="0"/>
              <w:autoSpaceDN w:val="0"/>
              <w:adjustRightInd w:val="0"/>
              <w:jc w:val="both"/>
              <w:rPr>
                <w:color w:val="000000" w:themeColor="text1"/>
                <w:sz w:val="16"/>
                <w:szCs w:val="16"/>
              </w:rPr>
            </w:pPr>
          </w:p>
        </w:tc>
        <w:tc>
          <w:tcPr>
            <w:tcW w:w="749" w:type="dxa"/>
          </w:tcPr>
          <w:p w14:paraId="2A22C75D"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1346F5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пушка</w:t>
            </w:r>
          </w:p>
        </w:tc>
        <w:tc>
          <w:tcPr>
            <w:tcW w:w="709" w:type="dxa"/>
          </w:tcPr>
          <w:p w14:paraId="2451A4F4"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6B31DD6F" w14:textId="77777777" w:rsidR="00D4105E" w:rsidRPr="00E14102" w:rsidRDefault="00D4105E" w:rsidP="00E14102">
            <w:pPr>
              <w:autoSpaceDE w:val="0"/>
              <w:autoSpaceDN w:val="0"/>
              <w:adjustRightInd w:val="0"/>
              <w:jc w:val="both"/>
              <w:rPr>
                <w:color w:val="000000" w:themeColor="text1"/>
                <w:sz w:val="16"/>
                <w:szCs w:val="16"/>
              </w:rPr>
            </w:pPr>
          </w:p>
        </w:tc>
        <w:tc>
          <w:tcPr>
            <w:tcW w:w="1288" w:type="dxa"/>
          </w:tcPr>
          <w:p w14:paraId="7308DF6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0031CCA" w14:textId="77777777">
        <w:tc>
          <w:tcPr>
            <w:tcW w:w="1668" w:type="dxa"/>
          </w:tcPr>
          <w:p w14:paraId="51E502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высотного истреб.</w:t>
            </w:r>
          </w:p>
        </w:tc>
        <w:tc>
          <w:tcPr>
            <w:tcW w:w="682" w:type="dxa"/>
          </w:tcPr>
          <w:p w14:paraId="599ED626"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3D8A593B"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Pr>
          <w:p w14:paraId="7F8DF5B6"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041839B0"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Pr>
          <w:p w14:paraId="3069BE13" w14:textId="77777777" w:rsidR="00D4105E" w:rsidRPr="00E14102" w:rsidRDefault="00D4105E" w:rsidP="00E14102">
            <w:pPr>
              <w:autoSpaceDE w:val="0"/>
              <w:autoSpaceDN w:val="0"/>
              <w:adjustRightInd w:val="0"/>
              <w:jc w:val="both"/>
              <w:rPr>
                <w:color w:val="000000" w:themeColor="text1"/>
                <w:sz w:val="16"/>
                <w:szCs w:val="16"/>
              </w:rPr>
            </w:pPr>
          </w:p>
        </w:tc>
        <w:tc>
          <w:tcPr>
            <w:tcW w:w="606" w:type="dxa"/>
          </w:tcPr>
          <w:p w14:paraId="63ADAE06" w14:textId="77777777" w:rsidR="00D4105E" w:rsidRPr="00E14102" w:rsidRDefault="00D4105E" w:rsidP="00E14102">
            <w:pPr>
              <w:autoSpaceDE w:val="0"/>
              <w:autoSpaceDN w:val="0"/>
              <w:adjustRightInd w:val="0"/>
              <w:jc w:val="both"/>
              <w:rPr>
                <w:color w:val="000000" w:themeColor="text1"/>
                <w:sz w:val="16"/>
                <w:szCs w:val="16"/>
              </w:rPr>
            </w:pPr>
          </w:p>
        </w:tc>
        <w:tc>
          <w:tcPr>
            <w:tcW w:w="749" w:type="dxa"/>
          </w:tcPr>
          <w:p w14:paraId="18FA1531"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4D0BB9B0"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55DF7A51"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7964460C" w14:textId="77777777" w:rsidR="00D4105E" w:rsidRPr="00E14102" w:rsidRDefault="00D4105E" w:rsidP="00E14102">
            <w:pPr>
              <w:autoSpaceDE w:val="0"/>
              <w:autoSpaceDN w:val="0"/>
              <w:adjustRightInd w:val="0"/>
              <w:jc w:val="both"/>
              <w:rPr>
                <w:color w:val="000000" w:themeColor="text1"/>
                <w:sz w:val="16"/>
                <w:szCs w:val="16"/>
              </w:rPr>
            </w:pPr>
          </w:p>
        </w:tc>
        <w:tc>
          <w:tcPr>
            <w:tcW w:w="1288" w:type="dxa"/>
          </w:tcPr>
          <w:p w14:paraId="16E0254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9EBA5A9" w14:textId="77777777">
        <w:tc>
          <w:tcPr>
            <w:tcW w:w="1668" w:type="dxa"/>
          </w:tcPr>
          <w:p w14:paraId="02743E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Скафандр</w:t>
            </w:r>
          </w:p>
        </w:tc>
        <w:tc>
          <w:tcPr>
            <w:tcW w:w="682" w:type="dxa"/>
          </w:tcPr>
          <w:p w14:paraId="409C50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БОК-10</w:t>
            </w:r>
          </w:p>
        </w:tc>
        <w:tc>
          <w:tcPr>
            <w:tcW w:w="682" w:type="dxa"/>
          </w:tcPr>
          <w:p w14:paraId="47D171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62" w:type="dxa"/>
          </w:tcPr>
          <w:p w14:paraId="4902A1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850" w:type="dxa"/>
          </w:tcPr>
          <w:p w14:paraId="04F14F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55" w:type="dxa"/>
          </w:tcPr>
          <w:p w14:paraId="388951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06" w:type="dxa"/>
          </w:tcPr>
          <w:p w14:paraId="070E05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49" w:type="dxa"/>
          </w:tcPr>
          <w:p w14:paraId="3FF8C2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09" w:type="dxa"/>
          </w:tcPr>
          <w:p w14:paraId="45394A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09" w:type="dxa"/>
          </w:tcPr>
          <w:p w14:paraId="41FB8C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2190</w:t>
            </w:r>
          </w:p>
        </w:tc>
        <w:tc>
          <w:tcPr>
            <w:tcW w:w="850" w:type="dxa"/>
          </w:tcPr>
          <w:p w14:paraId="6A4941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690</w:t>
            </w:r>
          </w:p>
        </w:tc>
        <w:tc>
          <w:tcPr>
            <w:tcW w:w="1288" w:type="dxa"/>
          </w:tcPr>
          <w:p w14:paraId="176648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w:t>
            </w:r>
          </w:p>
        </w:tc>
      </w:tr>
      <w:tr w:rsidR="00E3599D" w:rsidRPr="00E14102" w14:paraId="51A1747B" w14:textId="77777777">
        <w:tc>
          <w:tcPr>
            <w:tcW w:w="1668" w:type="dxa"/>
          </w:tcPr>
          <w:p w14:paraId="703F30E3"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43437544"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0DF694D6"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Pr>
          <w:p w14:paraId="47B89522"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0F3E0675"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Pr>
          <w:p w14:paraId="598A6675" w14:textId="77777777" w:rsidR="00D4105E" w:rsidRPr="00E14102" w:rsidRDefault="00D4105E" w:rsidP="00E14102">
            <w:pPr>
              <w:autoSpaceDE w:val="0"/>
              <w:autoSpaceDN w:val="0"/>
              <w:adjustRightInd w:val="0"/>
              <w:jc w:val="both"/>
              <w:rPr>
                <w:color w:val="000000" w:themeColor="text1"/>
                <w:sz w:val="16"/>
                <w:szCs w:val="16"/>
              </w:rPr>
            </w:pPr>
          </w:p>
        </w:tc>
        <w:tc>
          <w:tcPr>
            <w:tcW w:w="606" w:type="dxa"/>
          </w:tcPr>
          <w:p w14:paraId="2D8979EF" w14:textId="77777777" w:rsidR="00D4105E" w:rsidRPr="00E14102" w:rsidRDefault="00D4105E" w:rsidP="00E14102">
            <w:pPr>
              <w:autoSpaceDE w:val="0"/>
              <w:autoSpaceDN w:val="0"/>
              <w:adjustRightInd w:val="0"/>
              <w:jc w:val="both"/>
              <w:rPr>
                <w:color w:val="000000" w:themeColor="text1"/>
                <w:sz w:val="16"/>
                <w:szCs w:val="16"/>
              </w:rPr>
            </w:pPr>
          </w:p>
        </w:tc>
        <w:tc>
          <w:tcPr>
            <w:tcW w:w="749" w:type="dxa"/>
          </w:tcPr>
          <w:p w14:paraId="0E17A117"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3B8BABF9"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785147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w:t>
            </w:r>
          </w:p>
        </w:tc>
        <w:tc>
          <w:tcPr>
            <w:tcW w:w="850" w:type="dxa"/>
          </w:tcPr>
          <w:p w14:paraId="61281D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1288" w:type="dxa"/>
          </w:tcPr>
          <w:p w14:paraId="5B0B0A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3850</w:t>
            </w:r>
          </w:p>
        </w:tc>
      </w:tr>
      <w:tr w:rsidR="00E3599D" w:rsidRPr="00E14102" w14:paraId="05EC801A" w14:textId="77777777">
        <w:tc>
          <w:tcPr>
            <w:tcW w:w="1668" w:type="dxa"/>
          </w:tcPr>
          <w:p w14:paraId="39FE6C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Стратосферная</w:t>
            </w:r>
          </w:p>
        </w:tc>
        <w:tc>
          <w:tcPr>
            <w:tcW w:w="682" w:type="dxa"/>
          </w:tcPr>
          <w:p w14:paraId="709BE2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БОК-12</w:t>
            </w:r>
          </w:p>
        </w:tc>
        <w:tc>
          <w:tcPr>
            <w:tcW w:w="682" w:type="dxa"/>
          </w:tcPr>
          <w:p w14:paraId="273D83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762" w:type="dxa"/>
          </w:tcPr>
          <w:p w14:paraId="7DF8AA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К-14</w:t>
            </w:r>
          </w:p>
        </w:tc>
        <w:tc>
          <w:tcPr>
            <w:tcW w:w="850" w:type="dxa"/>
          </w:tcPr>
          <w:p w14:paraId="47B960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1936г.</w:t>
            </w:r>
          </w:p>
        </w:tc>
        <w:tc>
          <w:tcPr>
            <w:tcW w:w="1055" w:type="dxa"/>
          </w:tcPr>
          <w:p w14:paraId="2DBFC4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май</w:t>
            </w:r>
          </w:p>
        </w:tc>
        <w:tc>
          <w:tcPr>
            <w:tcW w:w="606" w:type="dxa"/>
          </w:tcPr>
          <w:p w14:paraId="30F211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w:t>
            </w:r>
          </w:p>
        </w:tc>
        <w:tc>
          <w:tcPr>
            <w:tcW w:w="749" w:type="dxa"/>
          </w:tcPr>
          <w:p w14:paraId="519973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15000</w:t>
            </w:r>
          </w:p>
        </w:tc>
        <w:tc>
          <w:tcPr>
            <w:tcW w:w="709" w:type="dxa"/>
          </w:tcPr>
          <w:p w14:paraId="06ECC3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09" w:type="dxa"/>
          </w:tcPr>
          <w:p w14:paraId="4418E9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14600</w:t>
            </w:r>
          </w:p>
        </w:tc>
        <w:tc>
          <w:tcPr>
            <w:tcW w:w="850" w:type="dxa"/>
          </w:tcPr>
          <w:p w14:paraId="0AD3E4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4600</w:t>
            </w:r>
          </w:p>
        </w:tc>
        <w:tc>
          <w:tcPr>
            <w:tcW w:w="1288" w:type="dxa"/>
          </w:tcPr>
          <w:p w14:paraId="7DF39D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r>
      <w:tr w:rsidR="00E3599D" w:rsidRPr="00E14102" w14:paraId="3EC91587" w14:textId="77777777">
        <w:tc>
          <w:tcPr>
            <w:tcW w:w="1668" w:type="dxa"/>
          </w:tcPr>
          <w:p w14:paraId="5CFB1C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лаборатория</w:t>
            </w:r>
          </w:p>
        </w:tc>
        <w:tc>
          <w:tcPr>
            <w:tcW w:w="682" w:type="dxa"/>
          </w:tcPr>
          <w:p w14:paraId="288D60AF"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52C2DC7C"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Pr>
          <w:p w14:paraId="189162C2"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1C865A8F"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Pr>
          <w:p w14:paraId="694CEE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1937г.</w:t>
            </w:r>
          </w:p>
        </w:tc>
        <w:tc>
          <w:tcPr>
            <w:tcW w:w="606" w:type="dxa"/>
          </w:tcPr>
          <w:p w14:paraId="476B3F53" w14:textId="77777777" w:rsidR="00D4105E" w:rsidRPr="00E14102" w:rsidRDefault="00D4105E" w:rsidP="00E14102">
            <w:pPr>
              <w:autoSpaceDE w:val="0"/>
              <w:autoSpaceDN w:val="0"/>
              <w:adjustRightInd w:val="0"/>
              <w:jc w:val="both"/>
              <w:rPr>
                <w:color w:val="000000" w:themeColor="text1"/>
                <w:sz w:val="16"/>
                <w:szCs w:val="16"/>
              </w:rPr>
            </w:pPr>
          </w:p>
        </w:tc>
        <w:tc>
          <w:tcPr>
            <w:tcW w:w="749" w:type="dxa"/>
          </w:tcPr>
          <w:p w14:paraId="78692CC3"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75E73E55"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434F28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13000</w:t>
            </w:r>
          </w:p>
        </w:tc>
        <w:tc>
          <w:tcPr>
            <w:tcW w:w="850" w:type="dxa"/>
          </w:tcPr>
          <w:p w14:paraId="4ED97B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10000</w:t>
            </w:r>
          </w:p>
        </w:tc>
        <w:tc>
          <w:tcPr>
            <w:tcW w:w="1288" w:type="dxa"/>
          </w:tcPr>
          <w:p w14:paraId="0872FF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77000</w:t>
            </w:r>
          </w:p>
        </w:tc>
      </w:tr>
      <w:tr w:rsidR="00E3599D" w:rsidRPr="00E14102" w14:paraId="3A09347D" w14:textId="77777777">
        <w:tc>
          <w:tcPr>
            <w:tcW w:w="1668" w:type="dxa"/>
          </w:tcPr>
          <w:p w14:paraId="434BB4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Герметическая</w:t>
            </w:r>
          </w:p>
        </w:tc>
        <w:tc>
          <w:tcPr>
            <w:tcW w:w="682" w:type="dxa"/>
          </w:tcPr>
          <w:p w14:paraId="4A4B53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БОК-8</w:t>
            </w:r>
          </w:p>
        </w:tc>
        <w:tc>
          <w:tcPr>
            <w:tcW w:w="682" w:type="dxa"/>
          </w:tcPr>
          <w:p w14:paraId="46D8B1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62" w:type="dxa"/>
          </w:tcPr>
          <w:p w14:paraId="022B24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850" w:type="dxa"/>
          </w:tcPr>
          <w:p w14:paraId="4C1E60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55" w:type="dxa"/>
          </w:tcPr>
          <w:p w14:paraId="44714C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06" w:type="dxa"/>
          </w:tcPr>
          <w:p w14:paraId="498C3E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49" w:type="dxa"/>
          </w:tcPr>
          <w:p w14:paraId="2450C6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09" w:type="dxa"/>
          </w:tcPr>
          <w:p w14:paraId="49C92E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09" w:type="dxa"/>
          </w:tcPr>
          <w:p w14:paraId="460F23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7300</w:t>
            </w:r>
          </w:p>
        </w:tc>
        <w:tc>
          <w:tcPr>
            <w:tcW w:w="850" w:type="dxa"/>
          </w:tcPr>
          <w:p w14:paraId="4DCBB1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2300</w:t>
            </w:r>
          </w:p>
        </w:tc>
        <w:tc>
          <w:tcPr>
            <w:tcW w:w="1288" w:type="dxa"/>
          </w:tcPr>
          <w:p w14:paraId="1A6BF0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r>
      <w:tr w:rsidR="00E3599D" w:rsidRPr="00E14102" w14:paraId="3405EA7C" w14:textId="77777777">
        <w:tc>
          <w:tcPr>
            <w:tcW w:w="1668" w:type="dxa"/>
          </w:tcPr>
          <w:p w14:paraId="0E2F6E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кабина к</w:t>
            </w:r>
          </w:p>
        </w:tc>
        <w:tc>
          <w:tcPr>
            <w:tcW w:w="682" w:type="dxa"/>
          </w:tcPr>
          <w:p w14:paraId="4CB61028"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7F96AD89"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Pr>
          <w:p w14:paraId="528C6D42"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70486CFE"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Pr>
          <w:p w14:paraId="258A3B52" w14:textId="77777777" w:rsidR="00D4105E" w:rsidRPr="00E14102" w:rsidRDefault="00D4105E" w:rsidP="00E14102">
            <w:pPr>
              <w:autoSpaceDE w:val="0"/>
              <w:autoSpaceDN w:val="0"/>
              <w:adjustRightInd w:val="0"/>
              <w:jc w:val="both"/>
              <w:rPr>
                <w:color w:val="000000" w:themeColor="text1"/>
                <w:sz w:val="16"/>
                <w:szCs w:val="16"/>
              </w:rPr>
            </w:pPr>
          </w:p>
        </w:tc>
        <w:tc>
          <w:tcPr>
            <w:tcW w:w="606" w:type="dxa"/>
          </w:tcPr>
          <w:p w14:paraId="431273C2" w14:textId="77777777" w:rsidR="00D4105E" w:rsidRPr="00E14102" w:rsidRDefault="00D4105E" w:rsidP="00E14102">
            <w:pPr>
              <w:autoSpaceDE w:val="0"/>
              <w:autoSpaceDN w:val="0"/>
              <w:adjustRightInd w:val="0"/>
              <w:jc w:val="both"/>
              <w:rPr>
                <w:color w:val="000000" w:themeColor="text1"/>
                <w:sz w:val="16"/>
                <w:szCs w:val="16"/>
              </w:rPr>
            </w:pPr>
          </w:p>
        </w:tc>
        <w:tc>
          <w:tcPr>
            <w:tcW w:w="749" w:type="dxa"/>
          </w:tcPr>
          <w:p w14:paraId="35EFB171"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47771F55"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3FF9CD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3900</w:t>
            </w:r>
          </w:p>
        </w:tc>
        <w:tc>
          <w:tcPr>
            <w:tcW w:w="850" w:type="dxa"/>
          </w:tcPr>
          <w:p w14:paraId="6D422F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1288" w:type="dxa"/>
          </w:tcPr>
          <w:p w14:paraId="1F1642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22100</w:t>
            </w:r>
          </w:p>
        </w:tc>
      </w:tr>
      <w:tr w:rsidR="00E3599D" w:rsidRPr="00E14102" w14:paraId="7280C379" w14:textId="77777777">
        <w:tc>
          <w:tcPr>
            <w:tcW w:w="1668" w:type="dxa"/>
          </w:tcPr>
          <w:p w14:paraId="620157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существующему</w:t>
            </w:r>
          </w:p>
        </w:tc>
        <w:tc>
          <w:tcPr>
            <w:tcW w:w="682" w:type="dxa"/>
          </w:tcPr>
          <w:p w14:paraId="6874D2C1"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64C611D3"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Pr>
          <w:p w14:paraId="1DA6B215"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1F0A8EB9"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Pr>
          <w:p w14:paraId="7312006F" w14:textId="77777777" w:rsidR="00D4105E" w:rsidRPr="00E14102" w:rsidRDefault="00D4105E" w:rsidP="00E14102">
            <w:pPr>
              <w:autoSpaceDE w:val="0"/>
              <w:autoSpaceDN w:val="0"/>
              <w:adjustRightInd w:val="0"/>
              <w:jc w:val="both"/>
              <w:rPr>
                <w:color w:val="000000" w:themeColor="text1"/>
                <w:sz w:val="16"/>
                <w:szCs w:val="16"/>
              </w:rPr>
            </w:pPr>
          </w:p>
        </w:tc>
        <w:tc>
          <w:tcPr>
            <w:tcW w:w="606" w:type="dxa"/>
          </w:tcPr>
          <w:p w14:paraId="14A78921" w14:textId="77777777" w:rsidR="00D4105E" w:rsidRPr="00E14102" w:rsidRDefault="00D4105E" w:rsidP="00E14102">
            <w:pPr>
              <w:autoSpaceDE w:val="0"/>
              <w:autoSpaceDN w:val="0"/>
              <w:adjustRightInd w:val="0"/>
              <w:jc w:val="both"/>
              <w:rPr>
                <w:color w:val="000000" w:themeColor="text1"/>
                <w:sz w:val="16"/>
                <w:szCs w:val="16"/>
              </w:rPr>
            </w:pPr>
          </w:p>
        </w:tc>
        <w:tc>
          <w:tcPr>
            <w:tcW w:w="749" w:type="dxa"/>
          </w:tcPr>
          <w:p w14:paraId="7A44728E"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2EEB9AF0"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1FA3ABA7"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64FCDD90" w14:textId="77777777" w:rsidR="00D4105E" w:rsidRPr="00E14102" w:rsidRDefault="00D4105E" w:rsidP="00E14102">
            <w:pPr>
              <w:autoSpaceDE w:val="0"/>
              <w:autoSpaceDN w:val="0"/>
              <w:adjustRightInd w:val="0"/>
              <w:jc w:val="both"/>
              <w:rPr>
                <w:color w:val="000000" w:themeColor="text1"/>
                <w:sz w:val="16"/>
                <w:szCs w:val="16"/>
              </w:rPr>
            </w:pPr>
          </w:p>
        </w:tc>
        <w:tc>
          <w:tcPr>
            <w:tcW w:w="1288" w:type="dxa"/>
          </w:tcPr>
          <w:p w14:paraId="53CCCA7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C69077C" w14:textId="77777777">
        <w:tc>
          <w:tcPr>
            <w:tcW w:w="1668" w:type="dxa"/>
          </w:tcPr>
          <w:p w14:paraId="50D7DD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серийному с-ту</w:t>
            </w:r>
          </w:p>
        </w:tc>
        <w:tc>
          <w:tcPr>
            <w:tcW w:w="682" w:type="dxa"/>
          </w:tcPr>
          <w:p w14:paraId="04511BC1"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36A2739C"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Pr>
          <w:p w14:paraId="1139FFDE"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7919931B"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Pr>
          <w:p w14:paraId="652D5A22" w14:textId="77777777" w:rsidR="00D4105E" w:rsidRPr="00E14102" w:rsidRDefault="00D4105E" w:rsidP="00E14102">
            <w:pPr>
              <w:autoSpaceDE w:val="0"/>
              <w:autoSpaceDN w:val="0"/>
              <w:adjustRightInd w:val="0"/>
              <w:jc w:val="both"/>
              <w:rPr>
                <w:color w:val="000000" w:themeColor="text1"/>
                <w:sz w:val="16"/>
                <w:szCs w:val="16"/>
              </w:rPr>
            </w:pPr>
          </w:p>
        </w:tc>
        <w:tc>
          <w:tcPr>
            <w:tcW w:w="606" w:type="dxa"/>
          </w:tcPr>
          <w:p w14:paraId="17E7B6C7" w14:textId="77777777" w:rsidR="00D4105E" w:rsidRPr="00E14102" w:rsidRDefault="00D4105E" w:rsidP="00E14102">
            <w:pPr>
              <w:autoSpaceDE w:val="0"/>
              <w:autoSpaceDN w:val="0"/>
              <w:adjustRightInd w:val="0"/>
              <w:jc w:val="both"/>
              <w:rPr>
                <w:color w:val="000000" w:themeColor="text1"/>
                <w:sz w:val="16"/>
                <w:szCs w:val="16"/>
              </w:rPr>
            </w:pPr>
          </w:p>
        </w:tc>
        <w:tc>
          <w:tcPr>
            <w:tcW w:w="749" w:type="dxa"/>
          </w:tcPr>
          <w:p w14:paraId="2F5B9D67"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68B2393B"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184A6AD9"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79F1B536" w14:textId="77777777" w:rsidR="00D4105E" w:rsidRPr="00E14102" w:rsidRDefault="00D4105E" w:rsidP="00E14102">
            <w:pPr>
              <w:autoSpaceDE w:val="0"/>
              <w:autoSpaceDN w:val="0"/>
              <w:adjustRightInd w:val="0"/>
              <w:jc w:val="both"/>
              <w:rPr>
                <w:color w:val="000000" w:themeColor="text1"/>
                <w:sz w:val="16"/>
                <w:szCs w:val="16"/>
              </w:rPr>
            </w:pPr>
          </w:p>
        </w:tc>
        <w:tc>
          <w:tcPr>
            <w:tcW w:w="1288" w:type="dxa"/>
          </w:tcPr>
          <w:p w14:paraId="48C1C32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93B812C" w14:textId="77777777">
        <w:tc>
          <w:tcPr>
            <w:tcW w:w="1668" w:type="dxa"/>
          </w:tcPr>
          <w:p w14:paraId="745109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Летающее крыло</w:t>
            </w:r>
          </w:p>
        </w:tc>
        <w:tc>
          <w:tcPr>
            <w:tcW w:w="682" w:type="dxa"/>
          </w:tcPr>
          <w:p w14:paraId="63D6D0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БОК-5</w:t>
            </w:r>
          </w:p>
        </w:tc>
        <w:tc>
          <w:tcPr>
            <w:tcW w:w="682" w:type="dxa"/>
          </w:tcPr>
          <w:p w14:paraId="43184E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2" w:type="dxa"/>
          </w:tcPr>
          <w:p w14:paraId="169AEE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М-11</w:t>
            </w:r>
          </w:p>
        </w:tc>
        <w:tc>
          <w:tcPr>
            <w:tcW w:w="850" w:type="dxa"/>
          </w:tcPr>
          <w:p w14:paraId="50ABD7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55" w:type="dxa"/>
          </w:tcPr>
          <w:p w14:paraId="6B835E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06" w:type="dxa"/>
          </w:tcPr>
          <w:p w14:paraId="29C816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49" w:type="dxa"/>
          </w:tcPr>
          <w:p w14:paraId="7C061C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09" w:type="dxa"/>
          </w:tcPr>
          <w:p w14:paraId="117C4D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09" w:type="dxa"/>
          </w:tcPr>
          <w:p w14:paraId="68A95B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850" w:type="dxa"/>
          </w:tcPr>
          <w:p w14:paraId="44350C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88" w:type="dxa"/>
          </w:tcPr>
          <w:p w14:paraId="422179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380B195C" w14:textId="77777777">
        <w:tc>
          <w:tcPr>
            <w:tcW w:w="1668" w:type="dxa"/>
          </w:tcPr>
          <w:p w14:paraId="1AD728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Разрезное крыло</w:t>
            </w:r>
          </w:p>
        </w:tc>
        <w:tc>
          <w:tcPr>
            <w:tcW w:w="682" w:type="dxa"/>
          </w:tcPr>
          <w:p w14:paraId="4B2C89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БОК-2</w:t>
            </w:r>
          </w:p>
        </w:tc>
        <w:tc>
          <w:tcPr>
            <w:tcW w:w="682" w:type="dxa"/>
          </w:tcPr>
          <w:p w14:paraId="0692C7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2" w:type="dxa"/>
          </w:tcPr>
          <w:p w14:paraId="480DF5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М-11</w:t>
            </w:r>
          </w:p>
        </w:tc>
        <w:tc>
          <w:tcPr>
            <w:tcW w:w="850" w:type="dxa"/>
          </w:tcPr>
          <w:p w14:paraId="5A80738E"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Pr>
          <w:p w14:paraId="0CDE06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постройкой</w:t>
            </w:r>
          </w:p>
        </w:tc>
        <w:tc>
          <w:tcPr>
            <w:tcW w:w="606" w:type="dxa"/>
          </w:tcPr>
          <w:p w14:paraId="3CB0DB27" w14:textId="77777777" w:rsidR="00D4105E" w:rsidRPr="00E14102" w:rsidRDefault="00D4105E" w:rsidP="00E14102">
            <w:pPr>
              <w:autoSpaceDE w:val="0"/>
              <w:autoSpaceDN w:val="0"/>
              <w:adjustRightInd w:val="0"/>
              <w:jc w:val="both"/>
              <w:rPr>
                <w:color w:val="000000" w:themeColor="text1"/>
                <w:sz w:val="16"/>
                <w:szCs w:val="16"/>
              </w:rPr>
            </w:pPr>
          </w:p>
        </w:tc>
        <w:tc>
          <w:tcPr>
            <w:tcW w:w="749" w:type="dxa"/>
          </w:tcPr>
          <w:p w14:paraId="67D43564"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53112F71"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5555F4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585</w:t>
            </w:r>
          </w:p>
        </w:tc>
        <w:tc>
          <w:tcPr>
            <w:tcW w:w="850" w:type="dxa"/>
          </w:tcPr>
          <w:p w14:paraId="5D8D81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w:t>
            </w:r>
          </w:p>
        </w:tc>
        <w:tc>
          <w:tcPr>
            <w:tcW w:w="1288" w:type="dxa"/>
          </w:tcPr>
          <w:p w14:paraId="18A2C9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r>
      <w:tr w:rsidR="00E3599D" w:rsidRPr="00E14102" w14:paraId="4AA39FEE" w14:textId="77777777">
        <w:tc>
          <w:tcPr>
            <w:tcW w:w="1668" w:type="dxa"/>
          </w:tcPr>
          <w:p w14:paraId="1CD8A981"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3EEB6D7D"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68D43404"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Pr>
          <w:p w14:paraId="2FDC74F7"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377FF6B5"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Pr>
          <w:p w14:paraId="432842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окончена, идут</w:t>
            </w:r>
          </w:p>
        </w:tc>
        <w:tc>
          <w:tcPr>
            <w:tcW w:w="606" w:type="dxa"/>
          </w:tcPr>
          <w:p w14:paraId="7A8A985B" w14:textId="77777777" w:rsidR="00D4105E" w:rsidRPr="00E14102" w:rsidRDefault="00D4105E" w:rsidP="00E14102">
            <w:pPr>
              <w:autoSpaceDE w:val="0"/>
              <w:autoSpaceDN w:val="0"/>
              <w:adjustRightInd w:val="0"/>
              <w:jc w:val="both"/>
              <w:rPr>
                <w:color w:val="000000" w:themeColor="text1"/>
                <w:sz w:val="16"/>
                <w:szCs w:val="16"/>
              </w:rPr>
            </w:pPr>
          </w:p>
        </w:tc>
        <w:tc>
          <w:tcPr>
            <w:tcW w:w="749" w:type="dxa"/>
          </w:tcPr>
          <w:p w14:paraId="3203E60D"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5A9D5876"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61579B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850" w:type="dxa"/>
          </w:tcPr>
          <w:p w14:paraId="78F962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288" w:type="dxa"/>
          </w:tcPr>
          <w:p w14:paraId="1257BA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1150</w:t>
            </w:r>
          </w:p>
        </w:tc>
      </w:tr>
      <w:tr w:rsidR="00E3599D" w:rsidRPr="00E14102" w14:paraId="3557E261" w14:textId="77777777">
        <w:tc>
          <w:tcPr>
            <w:tcW w:w="1668" w:type="dxa"/>
          </w:tcPr>
          <w:p w14:paraId="023B3AF1"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3550DBFC"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Pr>
          <w:p w14:paraId="7A14215F"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Pr>
          <w:p w14:paraId="71512DA6"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5251281F"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Pr>
          <w:p w14:paraId="0E7D1F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w:t>
            </w:r>
          </w:p>
        </w:tc>
        <w:tc>
          <w:tcPr>
            <w:tcW w:w="606" w:type="dxa"/>
          </w:tcPr>
          <w:p w14:paraId="7140972E" w14:textId="77777777" w:rsidR="00D4105E" w:rsidRPr="00E14102" w:rsidRDefault="00D4105E" w:rsidP="00E14102">
            <w:pPr>
              <w:autoSpaceDE w:val="0"/>
              <w:autoSpaceDN w:val="0"/>
              <w:adjustRightInd w:val="0"/>
              <w:jc w:val="both"/>
              <w:rPr>
                <w:color w:val="000000" w:themeColor="text1"/>
                <w:sz w:val="16"/>
                <w:szCs w:val="16"/>
              </w:rPr>
            </w:pPr>
          </w:p>
        </w:tc>
        <w:tc>
          <w:tcPr>
            <w:tcW w:w="749" w:type="dxa"/>
          </w:tcPr>
          <w:p w14:paraId="55F4A5FD"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2590B281"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Pr>
          <w:p w14:paraId="3B1CBF4D"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Pr>
          <w:p w14:paraId="58E3CEE7" w14:textId="77777777" w:rsidR="00D4105E" w:rsidRPr="00E14102" w:rsidRDefault="00D4105E" w:rsidP="00E14102">
            <w:pPr>
              <w:autoSpaceDE w:val="0"/>
              <w:autoSpaceDN w:val="0"/>
              <w:adjustRightInd w:val="0"/>
              <w:jc w:val="both"/>
              <w:rPr>
                <w:color w:val="000000" w:themeColor="text1"/>
                <w:sz w:val="16"/>
                <w:szCs w:val="16"/>
              </w:rPr>
            </w:pPr>
          </w:p>
        </w:tc>
        <w:tc>
          <w:tcPr>
            <w:tcW w:w="1288" w:type="dxa"/>
          </w:tcPr>
          <w:p w14:paraId="36855D4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D2910D2" w14:textId="77777777">
        <w:tc>
          <w:tcPr>
            <w:tcW w:w="1668" w:type="dxa"/>
          </w:tcPr>
          <w:p w14:paraId="079473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Исполкомовский</w:t>
            </w:r>
          </w:p>
        </w:tc>
        <w:tc>
          <w:tcPr>
            <w:tcW w:w="682" w:type="dxa"/>
          </w:tcPr>
          <w:p w14:paraId="65222A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БОК-3</w:t>
            </w:r>
          </w:p>
        </w:tc>
        <w:tc>
          <w:tcPr>
            <w:tcW w:w="682" w:type="dxa"/>
          </w:tcPr>
          <w:p w14:paraId="6ABFFD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762" w:type="dxa"/>
          </w:tcPr>
          <w:p w14:paraId="626B83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М-11</w:t>
            </w:r>
          </w:p>
        </w:tc>
        <w:tc>
          <w:tcPr>
            <w:tcW w:w="850" w:type="dxa"/>
          </w:tcPr>
          <w:p w14:paraId="5196A0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1933г.</w:t>
            </w:r>
          </w:p>
        </w:tc>
        <w:tc>
          <w:tcPr>
            <w:tcW w:w="1055" w:type="dxa"/>
          </w:tcPr>
          <w:p w14:paraId="1A8B3F68" w14:textId="77777777" w:rsidR="00D4105E" w:rsidRPr="00E14102" w:rsidRDefault="00D4105E" w:rsidP="00E14102">
            <w:pPr>
              <w:autoSpaceDE w:val="0"/>
              <w:autoSpaceDN w:val="0"/>
              <w:adjustRightInd w:val="0"/>
              <w:jc w:val="both"/>
              <w:rPr>
                <w:color w:val="000000" w:themeColor="text1"/>
                <w:sz w:val="16"/>
                <w:szCs w:val="16"/>
              </w:rPr>
            </w:pPr>
          </w:p>
        </w:tc>
        <w:tc>
          <w:tcPr>
            <w:tcW w:w="606" w:type="dxa"/>
          </w:tcPr>
          <w:p w14:paraId="6B0C2B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49" w:type="dxa"/>
          </w:tcPr>
          <w:p w14:paraId="4CF0D2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09" w:type="dxa"/>
          </w:tcPr>
          <w:p w14:paraId="4DD44D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09" w:type="dxa"/>
          </w:tcPr>
          <w:p w14:paraId="64B7B6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850" w:type="dxa"/>
          </w:tcPr>
          <w:p w14:paraId="76F1D6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88" w:type="dxa"/>
          </w:tcPr>
          <w:p w14:paraId="36B15C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46DA1C77" w14:textId="77777777">
        <w:tc>
          <w:tcPr>
            <w:tcW w:w="1668" w:type="dxa"/>
            <w:tcBorders>
              <w:bottom w:val="single" w:sz="12" w:space="0" w:color="auto"/>
            </w:tcBorders>
          </w:tcPr>
          <w:p w14:paraId="3B771B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(2336,181)</w:t>
            </w:r>
          </w:p>
        </w:tc>
        <w:tc>
          <w:tcPr>
            <w:tcW w:w="682" w:type="dxa"/>
            <w:tcBorders>
              <w:bottom w:val="single" w:sz="12" w:space="0" w:color="auto"/>
            </w:tcBorders>
          </w:tcPr>
          <w:p w14:paraId="6359C9B0" w14:textId="77777777" w:rsidR="00D4105E" w:rsidRPr="00E14102" w:rsidRDefault="00D4105E" w:rsidP="00E14102">
            <w:pPr>
              <w:autoSpaceDE w:val="0"/>
              <w:autoSpaceDN w:val="0"/>
              <w:adjustRightInd w:val="0"/>
              <w:jc w:val="both"/>
              <w:rPr>
                <w:color w:val="000000" w:themeColor="text1"/>
                <w:sz w:val="16"/>
                <w:szCs w:val="16"/>
              </w:rPr>
            </w:pPr>
          </w:p>
        </w:tc>
        <w:tc>
          <w:tcPr>
            <w:tcW w:w="682" w:type="dxa"/>
            <w:tcBorders>
              <w:bottom w:val="single" w:sz="12" w:space="0" w:color="auto"/>
            </w:tcBorders>
          </w:tcPr>
          <w:p w14:paraId="069B3DF5" w14:textId="77777777" w:rsidR="00D4105E" w:rsidRPr="00E14102" w:rsidRDefault="00D4105E" w:rsidP="00E14102">
            <w:pPr>
              <w:autoSpaceDE w:val="0"/>
              <w:autoSpaceDN w:val="0"/>
              <w:adjustRightInd w:val="0"/>
              <w:jc w:val="both"/>
              <w:rPr>
                <w:color w:val="000000" w:themeColor="text1"/>
                <w:sz w:val="16"/>
                <w:szCs w:val="16"/>
              </w:rPr>
            </w:pPr>
          </w:p>
        </w:tc>
        <w:tc>
          <w:tcPr>
            <w:tcW w:w="762" w:type="dxa"/>
            <w:tcBorders>
              <w:bottom w:val="single" w:sz="12" w:space="0" w:color="auto"/>
            </w:tcBorders>
          </w:tcPr>
          <w:p w14:paraId="0CA48B64"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Borders>
              <w:bottom w:val="single" w:sz="12" w:space="0" w:color="auto"/>
            </w:tcBorders>
          </w:tcPr>
          <w:p w14:paraId="1F843553" w14:textId="77777777" w:rsidR="00D4105E" w:rsidRPr="00E14102" w:rsidRDefault="00D4105E" w:rsidP="00E14102">
            <w:pPr>
              <w:autoSpaceDE w:val="0"/>
              <w:autoSpaceDN w:val="0"/>
              <w:adjustRightInd w:val="0"/>
              <w:jc w:val="both"/>
              <w:rPr>
                <w:color w:val="000000" w:themeColor="text1"/>
                <w:sz w:val="16"/>
                <w:szCs w:val="16"/>
              </w:rPr>
            </w:pPr>
          </w:p>
        </w:tc>
        <w:tc>
          <w:tcPr>
            <w:tcW w:w="1055" w:type="dxa"/>
            <w:tcBorders>
              <w:bottom w:val="single" w:sz="12" w:space="0" w:color="auto"/>
            </w:tcBorders>
          </w:tcPr>
          <w:p w14:paraId="2DFE7B42" w14:textId="77777777" w:rsidR="00D4105E" w:rsidRPr="00E14102" w:rsidRDefault="00D4105E" w:rsidP="00E14102">
            <w:pPr>
              <w:autoSpaceDE w:val="0"/>
              <w:autoSpaceDN w:val="0"/>
              <w:adjustRightInd w:val="0"/>
              <w:jc w:val="both"/>
              <w:rPr>
                <w:color w:val="000000" w:themeColor="text1"/>
                <w:sz w:val="16"/>
                <w:szCs w:val="16"/>
              </w:rPr>
            </w:pPr>
          </w:p>
        </w:tc>
        <w:tc>
          <w:tcPr>
            <w:tcW w:w="606" w:type="dxa"/>
            <w:tcBorders>
              <w:bottom w:val="single" w:sz="12" w:space="0" w:color="auto"/>
            </w:tcBorders>
          </w:tcPr>
          <w:p w14:paraId="16CB5F1B" w14:textId="77777777" w:rsidR="00D4105E" w:rsidRPr="00E14102" w:rsidRDefault="00D4105E" w:rsidP="00E14102">
            <w:pPr>
              <w:autoSpaceDE w:val="0"/>
              <w:autoSpaceDN w:val="0"/>
              <w:adjustRightInd w:val="0"/>
              <w:jc w:val="both"/>
              <w:rPr>
                <w:color w:val="000000" w:themeColor="text1"/>
                <w:sz w:val="16"/>
                <w:szCs w:val="16"/>
              </w:rPr>
            </w:pPr>
          </w:p>
        </w:tc>
        <w:tc>
          <w:tcPr>
            <w:tcW w:w="749" w:type="dxa"/>
            <w:tcBorders>
              <w:bottom w:val="single" w:sz="12" w:space="0" w:color="auto"/>
            </w:tcBorders>
          </w:tcPr>
          <w:p w14:paraId="130C5744"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Borders>
              <w:bottom w:val="single" w:sz="12" w:space="0" w:color="auto"/>
            </w:tcBorders>
          </w:tcPr>
          <w:p w14:paraId="5B7C97FB" w14:textId="77777777" w:rsidR="00D4105E" w:rsidRPr="00E14102" w:rsidRDefault="00D4105E" w:rsidP="00E14102">
            <w:pPr>
              <w:autoSpaceDE w:val="0"/>
              <w:autoSpaceDN w:val="0"/>
              <w:adjustRightInd w:val="0"/>
              <w:jc w:val="both"/>
              <w:rPr>
                <w:color w:val="000000" w:themeColor="text1"/>
                <w:sz w:val="16"/>
                <w:szCs w:val="16"/>
              </w:rPr>
            </w:pPr>
          </w:p>
        </w:tc>
        <w:tc>
          <w:tcPr>
            <w:tcW w:w="709" w:type="dxa"/>
            <w:tcBorders>
              <w:bottom w:val="single" w:sz="12" w:space="0" w:color="auto"/>
            </w:tcBorders>
          </w:tcPr>
          <w:p w14:paraId="55DF4E93" w14:textId="77777777" w:rsidR="00D4105E" w:rsidRPr="00E14102" w:rsidRDefault="00D4105E" w:rsidP="00E14102">
            <w:pPr>
              <w:autoSpaceDE w:val="0"/>
              <w:autoSpaceDN w:val="0"/>
              <w:adjustRightInd w:val="0"/>
              <w:jc w:val="both"/>
              <w:rPr>
                <w:color w:val="000000" w:themeColor="text1"/>
                <w:sz w:val="16"/>
                <w:szCs w:val="16"/>
              </w:rPr>
            </w:pPr>
          </w:p>
        </w:tc>
        <w:tc>
          <w:tcPr>
            <w:tcW w:w="850" w:type="dxa"/>
            <w:tcBorders>
              <w:bottom w:val="single" w:sz="12" w:space="0" w:color="auto"/>
            </w:tcBorders>
          </w:tcPr>
          <w:p w14:paraId="72D647CC" w14:textId="77777777" w:rsidR="00D4105E" w:rsidRPr="00E14102" w:rsidRDefault="00D4105E" w:rsidP="00E14102">
            <w:pPr>
              <w:autoSpaceDE w:val="0"/>
              <w:autoSpaceDN w:val="0"/>
              <w:adjustRightInd w:val="0"/>
              <w:jc w:val="both"/>
              <w:rPr>
                <w:color w:val="000000" w:themeColor="text1"/>
                <w:sz w:val="16"/>
                <w:szCs w:val="16"/>
              </w:rPr>
            </w:pPr>
          </w:p>
        </w:tc>
        <w:tc>
          <w:tcPr>
            <w:tcW w:w="1288" w:type="dxa"/>
            <w:tcBorders>
              <w:bottom w:val="single" w:sz="12" w:space="0" w:color="auto"/>
            </w:tcBorders>
          </w:tcPr>
          <w:p w14:paraId="218D5A9E" w14:textId="77777777" w:rsidR="00D4105E" w:rsidRPr="00E14102" w:rsidRDefault="00D4105E" w:rsidP="00E14102">
            <w:pPr>
              <w:autoSpaceDE w:val="0"/>
              <w:autoSpaceDN w:val="0"/>
              <w:adjustRightInd w:val="0"/>
              <w:jc w:val="both"/>
              <w:rPr>
                <w:color w:val="000000" w:themeColor="text1"/>
                <w:sz w:val="16"/>
                <w:szCs w:val="16"/>
              </w:rPr>
            </w:pPr>
          </w:p>
        </w:tc>
      </w:tr>
    </w:tbl>
    <w:p w14:paraId="3882DC7E"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0F51B0C2" w14:textId="77777777" w:rsidR="005532C5" w:rsidRPr="00E14102" w:rsidRDefault="005532C5" w:rsidP="00E14102">
      <w:pPr>
        <w:jc w:val="both"/>
        <w:rPr>
          <w:color w:val="000000" w:themeColor="text1"/>
          <w:sz w:val="16"/>
          <w:szCs w:val="16"/>
        </w:rPr>
      </w:pPr>
      <w:r w:rsidRPr="00E14102">
        <w:rPr>
          <w:color w:val="000000" w:themeColor="text1"/>
          <w:sz w:val="16"/>
          <w:szCs w:val="16"/>
        </w:rPr>
        <w:t>15 октября 1935 г. в отчете директора завода № 35 Филатова и начальника БОК Чижевского говорилось:</w:t>
      </w:r>
    </w:p>
    <w:p w14:paraId="4BF6B3EE" w14:textId="77777777" w:rsidR="005532C5" w:rsidRPr="00E14102" w:rsidRDefault="005532C5" w:rsidP="00E14102">
      <w:pPr>
        <w:jc w:val="both"/>
        <w:rPr>
          <w:color w:val="000000" w:themeColor="text1"/>
          <w:sz w:val="16"/>
          <w:szCs w:val="16"/>
        </w:rPr>
      </w:pPr>
      <w:r w:rsidRPr="00E14102">
        <w:rPr>
          <w:color w:val="000000" w:themeColor="text1"/>
          <w:sz w:val="16"/>
          <w:szCs w:val="16"/>
        </w:rPr>
        <w:t xml:space="preserve">«Самолёт БОК-7 — стратосферный разведчик, является модификацией самолёта БОК-1, с введением вооружения и повышением аэродинамических качеств. Самолёт имеет крыло большого удлинения с гладкой работающей металлической обшивкой. Длина самолёта увеличена для повышения эффективности оперения. Герметическая кабина переработана с точки зрения обеспечения максимальной безопасности полёта. Вооружение состоит из 2-х ШКАСов, установленных на крыле, и 2-х пулеметов для обстрела верхней и нижней задней полусферы, бомбовая нагрузка составляет 400 кг. Самолёт приспособлен для фотосъёмки до высот 14-16000 метров. Проектирование самолёта началось в 1935 году. В течение года разработан эскизный проект, закончены расчёты и проектирование крыла с гладкой обшивкой, проработан ряд схем по вооружению машины» </w:t>
      </w:r>
      <w:hyperlink r:id="rId207" w:history="1">
        <w:r w:rsidRPr="00E14102">
          <w:rPr>
            <w:color w:val="000000" w:themeColor="text1"/>
            <w:sz w:val="16"/>
            <w:szCs w:val="16"/>
          </w:rPr>
          <w:t>[172]</w:t>
        </w:r>
      </w:hyperlink>
      <w:r w:rsidRPr="00E14102">
        <w:rPr>
          <w:color w:val="000000" w:themeColor="text1"/>
          <w:sz w:val="16"/>
          <w:szCs w:val="16"/>
        </w:rPr>
        <w:t>.</w:t>
      </w:r>
    </w:p>
    <w:p w14:paraId="526186CE" w14:textId="77777777" w:rsidR="005532C5" w:rsidRPr="00E14102" w:rsidRDefault="005532C5" w:rsidP="00E14102">
      <w:pPr>
        <w:jc w:val="both"/>
        <w:rPr>
          <w:color w:val="000000" w:themeColor="text1"/>
          <w:sz w:val="16"/>
          <w:szCs w:val="16"/>
        </w:rPr>
      </w:pPr>
      <w:r w:rsidRPr="00E14102">
        <w:rPr>
          <w:color w:val="000000" w:themeColor="text1"/>
          <w:sz w:val="16"/>
          <w:szCs w:val="16"/>
        </w:rPr>
        <w:t>В отличие от БОК-1, на БОК-7 герметическая кабина составляла одно целое с фюзеляжем. Она имела две выступающие вверх башни для лётчика и наблюдателя с расположенными по периметру иллюминаторами, обеспечивающими круговой обзор.</w:t>
      </w:r>
    </w:p>
    <w:p w14:paraId="027D6268" w14:textId="77777777" w:rsidR="005532C5" w:rsidRPr="00E14102" w:rsidRDefault="005532C5" w:rsidP="00E14102">
      <w:pPr>
        <w:jc w:val="both"/>
        <w:rPr>
          <w:color w:val="000000" w:themeColor="text1"/>
          <w:sz w:val="16"/>
          <w:szCs w:val="16"/>
        </w:rPr>
      </w:pPr>
      <w:r w:rsidRPr="00E14102">
        <w:rPr>
          <w:color w:val="000000" w:themeColor="text1"/>
          <w:sz w:val="16"/>
          <w:szCs w:val="16"/>
        </w:rPr>
        <w:t>На основе БОК-7 в Бюро особых конструкцию разработали проекты новых стратопланов: летающую научную лабораторию БОК-12 для изучения стратосферы, транспортный БОК-13 с гермокабиной на шесть пассажиров. Но В.А. Чижевский получил совсем другое правительственное задание — изготовить первый экземпляр БОК-7 в варианте рекордного самолёта для полёта на высоту 16000 м, а второй экземпляр, названный позднее БОК-11, строить как военный самолёт с вооружением. Кроме того, в начале 1937 г. был дан заказ на постройку высотного самолёта с дизельным мотором, предназначенного для установления мирового рекорда дальности и продолжительности полёта. Эта машина получила обозначение БОК-15. Согласно плану, БОК-7 следовало изготовить и передать на заводские испытания в середине 1937 г., БОК-11 — в конце того же года, БОК-15 — к маю 1939 г. (17489).</w:t>
      </w:r>
    </w:p>
    <w:p w14:paraId="1F34F3E5" w14:textId="77777777" w:rsidR="005532C5" w:rsidRPr="00E14102" w:rsidRDefault="005532C5" w:rsidP="00E14102">
      <w:pPr>
        <w:jc w:val="both"/>
        <w:rPr>
          <w:color w:val="000000" w:themeColor="text1"/>
          <w:sz w:val="16"/>
          <w:szCs w:val="16"/>
        </w:rPr>
      </w:pPr>
    </w:p>
    <w:p w14:paraId="4D7D4FF1"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15 октября 1935 года секретарь-информатор группы по военно-морским делам М. Лакис писал письмо № 207/290сс в СТО Базилевичу</w:t>
      </w:r>
    </w:p>
    <w:p w14:paraId="5B70A06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поручению члена КПК Березина, возвращаю при сем материалы о результатах госиспытаний Р-ЗЕТ (письмо СТО № 1899/ко от 4 октября 1935 года, НКО № 376307сс/о от 28 сентября 1935 года и УВВС № 003909 от 5 сентября 1935 года).</w:t>
      </w:r>
    </w:p>
    <w:p w14:paraId="0AC7413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 упомянутое на 4-х листах (3475,144).</w:t>
      </w:r>
    </w:p>
    <w:p w14:paraId="191D25EF"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0E450497"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15 октября 1935 года член бюро Комиссии партконтроля – руководитель военно-морской группы Н.Куйбышев и член Комиссии партконтроля – зам. Руководителя военно-морской группы Н.Березин писали письмо № 207/389сс в СТО Молотову</w:t>
      </w:r>
    </w:p>
    <w:p w14:paraId="08CDC24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поручению СТО от 4 октября 1935 года нами проверены факты, изложенные в записке Алксниса от 5 сентября 1935 года о срыве заводом № 1 правительственного задания по новым разведчикам.</w:t>
      </w:r>
    </w:p>
    <w:p w14:paraId="58A2610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Выполнение программы по новым разведчикам уже проверялось членом Комиссии Советского контроля Геммерверт во время общей проверки выполнения авиапромышленностью плана по новым самолетам и моторам. Как об этом уже сообщалось в записке Хаханьяна и Березина о выполнении плана авиапромышленностью, было установлено, что заводом № 1 самовольно прекращен задел по самолетам ЛР, заказ на которые утвержден Правительством, в то время как предлагаемый заводом № 1 разведчик Р-Зет на госиспытания предъявлен с опозданием на 2,5 месяца и этих испытаний не прошел. Дополнительно произведенной проверкой установлена следующая картина, подтверждающая выводы Геммертверта.</w:t>
      </w:r>
    </w:p>
    <w:p w14:paraId="68711777"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Утвержденным правительством планом заказов предусматривалось производство 400 штук новых разведчиков “ЛР” конструкции завода № 39. Ввиду того, что ЛР хотя и прошел госиспытания, но требовал большой доводки (увеличение запаса прочности, непригодность вооружения и т.п.), эталон самолета ЛР отсутствовал и завод № 1 должен был строить по чертежам, измененным заводом , 39. Директор завода № 1 Беленкович решительно возражал против производства этого самолета, предлагая вместо него свой разведчик, модифицированный Р-5 с мотором М-34, названный заводом Р-Зет. Означенный разведчик Беленкович обязывался не позднее 15 апреля 1935 года предъявить в доведенном виде на госиспытания.</w:t>
      </w:r>
    </w:p>
    <w:p w14:paraId="559E2CD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Со стороны Наркомата обороны было принципиальное согласие на замену ЛР на Р-Зет в случае, ежели предъявленный заводом № 1 самолет пройдет госиспытания. Одновременно Наркомат обороны подчеркивал необходимость продолжения производства разведчика ЛР, ибо могло случиться, как это и вышло, что Р-Зет госиспытания не пройдет.</w:t>
      </w:r>
    </w:p>
    <w:p w14:paraId="302AEA3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Директором завода № 1 Беленковичем кое-какие работы по самолету ЛР велись. На подготовку чертежей, приспособления и задел ряда деталей заводом № 1 затрачено до 1,5 млн. рублей. Однако, состояние этих работ производит такое впечатление, что они велись лишь для того, чтобы избежать обвинения в отказе строить самолет ЛР. Задел велся крайне некомплектно. Самолет ЛР смешанной конструкции с применением хромомолибденовых труб, а заказ на хромомолибденовые трубы сдан за границу со сроками поставки начиная с декабря 1935 года, причем завод не только не предпринимал никаких мер к ускорению выполнения заказа на трубы, но просто не интересовался им. Естественно, что ни одного узла из хромомолибденовых труб на сей день не сварено, ибо труб нет.</w:t>
      </w:r>
    </w:p>
    <w:p w14:paraId="7967AC4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Со времени выхода самолета Р-Зет на госиспытания завод 3 1 просто прекратил работу по самолету ЛР, ссылаясь на то, что в присланной ГУАПом от 19 июня 1935 года наметке промтехплана за подписью Марголина о ЛР вообще ничего не упоминается, а намечено производство 400 Р-Зет. Равным образом и в утвержденном 21 июля 1935 года ГУАПом (Марголин) техпромфинплане завода № 1 значатся 400 штук Р-Зет, а ЛР вовсе не упоминается.</w:t>
      </w:r>
    </w:p>
    <w:p w14:paraId="1948DC0A"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Самолет Р-Зет, имеющий перед ЛР преимущество в грузоподъемности и несколько больший радиус действия, как уже упоминалось, госиспытания не прошел из-за большого пробега самолета, крайне пологого планирования, нерегулируемости в воздухе стабилизатора, неудовлетворительности кабины летчика-наблюдателя, недоработанности системы охлаждения, а также стрелкового, химического и бомбардировочного вооружения. Не взирая на это, Беленкович довольно широко развернул задел самолетов Р-Зет. Естественно, что приходится и придется еще иметь довольно большие переделки заготовленных деталей.</w:t>
      </w:r>
    </w:p>
    <w:p w14:paraId="1B2E209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 настоящее время заводом № 1 приготовлена для повторных госиспытаний новая машина, на которой по заявлению завода все основные дефекты, за исключением пологого планирования, по мнению завода, устранены. Последнее завод обещает устранить в серии. Поскольку это так, судить сейчас, до повторных госиспытаний трудно. Во всяком случае то, что машина до сего времени не прошла еще госиспытания, ставит под сомнение выполнение заказа на новые разведчики и помимо этого даже, если машина выдержит повторные госиспытания, положение таково, что 400 машин завод № 1 явно не сдаст.</w:t>
      </w:r>
    </w:p>
    <w:p w14:paraId="53A5C44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Пока что производство разведчиков не обеспечено моторами (от завода № 24 получено всего 21 мотор), от 28 завода получено всего лишь 3 металлических винта, нет лака, в силу чего в производстве перебои и т.п.</w:t>
      </w:r>
    </w:p>
    <w:p w14:paraId="1966EBA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 то же время работы по ЛР прекращены, производство его материалами не обеспечено и, следовательно, ни одной машины ЛР в текущем году также произведено быть не может.</w:t>
      </w:r>
    </w:p>
    <w:p w14:paraId="1C6BFB3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Таким образом, задание правительства по перевооружению нашей разведывательной авиации более современными машинами в текущем году явно сорвано по вине завода № 1 и Глававиапрома.</w:t>
      </w:r>
    </w:p>
    <w:p w14:paraId="7590CBE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Поэтому мы предлагаем поручить прокурору начать следствие по этому вопросу и привлечь виновников к судебной ответственности (3475,136-139).</w:t>
      </w:r>
    </w:p>
    <w:p w14:paraId="4EEC8C0E"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63C5D5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октября 1935 года врид начальника Управления воздушных сил Хрипин писал письмо № 41/002630 зам. наркома обороны Гамарнику</w:t>
      </w:r>
    </w:p>
    <w:p w14:paraId="3791A0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Настоящим представляю отчет о состоянии выполнения плана опытного моторо- и самолетостроения на 1 октября 1935 года.</w:t>
      </w:r>
    </w:p>
    <w:p w14:paraId="68D6BC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отчета вытекает, что выполнение плана опытного самолетостроения промышленностью явно неудовлетворительно.</w:t>
      </w:r>
    </w:p>
    <w:p w14:paraId="1114BF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настоящему времени сроки предъявления на госиспытания 12-ти опытных самолетов промышленностью не выдержаны.</w:t>
      </w:r>
    </w:p>
    <w:p w14:paraId="63FA44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Состояние постройки других 11-ти опытных самолетов таково, что без принятия ГУАПом и директорами заводов решительных мер по ускорению их постройки, сроки предъявления на госиспытания также будут сорваны.</w:t>
      </w:r>
    </w:p>
    <w:p w14:paraId="131686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Действующий в настоящее время план опытного самолето- и моторостроения был утвержден СТО 19 апреля 1935 года, после того, как план опытного самолето- и моторостроения, утвержденный СТО 14 июля 1934 года фактически промышленностью был сорван. Все сроки выхода на госиспытания самолетов, стоящие в действующем плане, были заявлены ГУАПом, однако, они не выдерживаются также, как не выдерживались ранее.</w:t>
      </w:r>
    </w:p>
    <w:p w14:paraId="6234DA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Опоздание большинства объектов объясняется исключительно тем, что:</w:t>
      </w:r>
    </w:p>
    <w:p w14:paraId="20AA076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авиапромышленности стало обычным не рассматривать сроки предъявления самолетов и моторов, стоящие в плане, утвержденном СТО как обязательные.</w:t>
      </w:r>
    </w:p>
    <w:p w14:paraId="35EA467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Благодаря этому, вокруг точного выдерживания сроков ни ГУАПом, ни директорами заводов не ведется должной борьбы и опытное строительство по существу идет самотеком.</w:t>
      </w:r>
    </w:p>
    <w:p w14:paraId="779F2E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Управление ВС, несмотря на ряд усилий, не может добиться у промышленности необходимого перелома в отношении к выполнению плана опытного самолето- и моторостроения. В итоге, как в прошлом, так и текущем году, спустя полгода после утверждения плана Правительством, он в отношении сроков срывается и перестает быть для промышленности основным руководящим документом.</w:t>
      </w:r>
    </w:p>
    <w:p w14:paraId="30C155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Срыв сроков, стоящих в плане, в свою очередь приводит к задержке пуска в серийную постройку новых более совершенных образцов. В частности, в настоящее время под непосредственной угрозой стоит постройка крайне необходимых для ВС скоростных разведчиков.</w:t>
      </w:r>
    </w:p>
    <w:p w14:paraId="03FC31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поставить перед СТО вопрос о невыполнении авиапромышленностью действующего плана опытного самолето- и моторостроения.</w:t>
      </w:r>
    </w:p>
    <w:p w14:paraId="7CFD50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 Отчет о состоянии опытного самолето- и моторостроения на 1 октября 1935 года (3475,115).</w:t>
      </w:r>
    </w:p>
    <w:p w14:paraId="1CFEDD03" w14:textId="77777777" w:rsidR="00D4105E" w:rsidRPr="00E14102" w:rsidRDefault="00D4105E" w:rsidP="00E14102">
      <w:pPr>
        <w:autoSpaceDE w:val="0"/>
        <w:autoSpaceDN w:val="0"/>
        <w:adjustRightInd w:val="0"/>
        <w:jc w:val="both"/>
        <w:rPr>
          <w:color w:val="000000" w:themeColor="text1"/>
          <w:sz w:val="16"/>
          <w:szCs w:val="16"/>
        </w:rPr>
      </w:pPr>
    </w:p>
    <w:p w14:paraId="78718E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октября 1935 года начальник 4 отдела УВС Базенков</w:t>
      </w:r>
    </w:p>
    <w:p w14:paraId="377DA9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Отчет о состоянии объектов опытного строительства моторов и самолетов, согласно плана, утвержденного СТО 16 апреля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559"/>
        <w:gridCol w:w="1701"/>
        <w:gridCol w:w="4820"/>
      </w:tblGrid>
      <w:tr w:rsidR="00E3599D" w:rsidRPr="00E14102" w14:paraId="076B600E" w14:textId="77777777">
        <w:trPr>
          <w:cantSplit/>
        </w:trPr>
        <w:tc>
          <w:tcPr>
            <w:tcW w:w="2518" w:type="dxa"/>
          </w:tcPr>
          <w:p w14:paraId="6ADE45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работ</w:t>
            </w:r>
          </w:p>
        </w:tc>
        <w:tc>
          <w:tcPr>
            <w:tcW w:w="1559" w:type="dxa"/>
          </w:tcPr>
          <w:p w14:paraId="6C18C5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Строит. организация </w:t>
            </w:r>
          </w:p>
        </w:tc>
        <w:tc>
          <w:tcPr>
            <w:tcW w:w="1701" w:type="dxa"/>
          </w:tcPr>
          <w:p w14:paraId="0D5E88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госиспытания</w:t>
            </w:r>
          </w:p>
        </w:tc>
        <w:tc>
          <w:tcPr>
            <w:tcW w:w="4820" w:type="dxa"/>
          </w:tcPr>
          <w:p w14:paraId="7EA7D3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Состояние работ по данному объекту на 1 октября 1935 года</w:t>
            </w:r>
          </w:p>
        </w:tc>
      </w:tr>
      <w:tr w:rsidR="00E3599D" w:rsidRPr="00E14102" w14:paraId="633A2BFB" w14:textId="77777777">
        <w:trPr>
          <w:cantSplit/>
        </w:trPr>
        <w:tc>
          <w:tcPr>
            <w:tcW w:w="2518" w:type="dxa"/>
          </w:tcPr>
          <w:p w14:paraId="3D50A3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Моторостроение</w:t>
            </w:r>
          </w:p>
        </w:tc>
        <w:tc>
          <w:tcPr>
            <w:tcW w:w="1559" w:type="dxa"/>
          </w:tcPr>
          <w:p w14:paraId="599FF181"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6800B70E"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7E7B821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2C1154F" w14:textId="77777777">
        <w:trPr>
          <w:cantSplit/>
        </w:trPr>
        <w:tc>
          <w:tcPr>
            <w:tcW w:w="2518" w:type="dxa"/>
          </w:tcPr>
          <w:p w14:paraId="49B619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Новые моторы</w:t>
            </w:r>
          </w:p>
        </w:tc>
        <w:tc>
          <w:tcPr>
            <w:tcW w:w="1559" w:type="dxa"/>
          </w:tcPr>
          <w:p w14:paraId="6A01AFA4"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5DBC2056"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1531637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12FC6D" w14:textId="77777777">
        <w:trPr>
          <w:cantSplit/>
        </w:trPr>
        <w:tc>
          <w:tcPr>
            <w:tcW w:w="2518" w:type="dxa"/>
          </w:tcPr>
          <w:p w14:paraId="645B4C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Бесклапанный мотор (бензиновый) – мощность 650-700 л.с. на высоте 4000 м</w:t>
            </w:r>
          </w:p>
        </w:tc>
        <w:tc>
          <w:tcPr>
            <w:tcW w:w="1559" w:type="dxa"/>
          </w:tcPr>
          <w:p w14:paraId="1D8216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229C42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года</w:t>
            </w:r>
          </w:p>
        </w:tc>
        <w:tc>
          <w:tcPr>
            <w:tcW w:w="4820" w:type="dxa"/>
          </w:tcPr>
          <w:p w14:paraId="5FA4C4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сентября 1935 года начато проектирование двигателя. В настоящее время ведется разработка и компоновка главных узлов.</w:t>
            </w:r>
          </w:p>
        </w:tc>
      </w:tr>
      <w:tr w:rsidR="00E3599D" w:rsidRPr="00E14102" w14:paraId="0FDFC65B" w14:textId="77777777">
        <w:trPr>
          <w:cantSplit/>
        </w:trPr>
        <w:tc>
          <w:tcPr>
            <w:tcW w:w="2518" w:type="dxa"/>
          </w:tcPr>
          <w:p w14:paraId="266AB5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Маломощный мотор 250-300 л.с. (рядный перевернутый)</w:t>
            </w:r>
          </w:p>
        </w:tc>
        <w:tc>
          <w:tcPr>
            <w:tcW w:w="1559" w:type="dxa"/>
          </w:tcPr>
          <w:p w14:paraId="66C553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3B1F24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года</w:t>
            </w:r>
          </w:p>
        </w:tc>
        <w:tc>
          <w:tcPr>
            <w:tcW w:w="4820" w:type="dxa"/>
          </w:tcPr>
          <w:p w14:paraId="34C1F4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 закончен, изготовлены чертежи и переданы на завод № 16 для изготовления.</w:t>
            </w:r>
          </w:p>
        </w:tc>
      </w:tr>
      <w:tr w:rsidR="00E3599D" w:rsidRPr="00E14102" w14:paraId="745E0D47" w14:textId="77777777">
        <w:trPr>
          <w:cantSplit/>
        </w:trPr>
        <w:tc>
          <w:tcPr>
            <w:tcW w:w="2518" w:type="dxa"/>
          </w:tcPr>
          <w:p w14:paraId="16C958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тяжелом топливе</w:t>
            </w:r>
          </w:p>
        </w:tc>
        <w:tc>
          <w:tcPr>
            <w:tcW w:w="1559" w:type="dxa"/>
          </w:tcPr>
          <w:p w14:paraId="4567CA23"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39C26D98"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72F321A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970414D" w14:textId="77777777">
        <w:trPr>
          <w:cantSplit/>
        </w:trPr>
        <w:tc>
          <w:tcPr>
            <w:tcW w:w="2518" w:type="dxa"/>
          </w:tcPr>
          <w:p w14:paraId="57305D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Развитие опытного дизеля Н-1 (мощность 850 л.с. на высоте 3000 м)</w:t>
            </w:r>
          </w:p>
        </w:tc>
        <w:tc>
          <w:tcPr>
            <w:tcW w:w="1559" w:type="dxa"/>
          </w:tcPr>
          <w:p w14:paraId="7577F3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15D35B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года</w:t>
            </w:r>
          </w:p>
        </w:tc>
        <w:tc>
          <w:tcPr>
            <w:tcW w:w="4820" w:type="dxa"/>
          </w:tcPr>
          <w:p w14:paraId="686AEF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Закончены 75-ти часовые заводские испытания. На госиспытания будет передан в середине октября 1935 года.</w:t>
            </w:r>
          </w:p>
        </w:tc>
      </w:tr>
      <w:tr w:rsidR="00E3599D" w:rsidRPr="00E14102" w14:paraId="1B1DBD59" w14:textId="77777777">
        <w:trPr>
          <w:cantSplit/>
        </w:trPr>
        <w:tc>
          <w:tcPr>
            <w:tcW w:w="2518" w:type="dxa"/>
          </w:tcPr>
          <w:p w14:paraId="128607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Дизель двухрядная звезда АН-3, мощность 600 л.с. на высоте 3000-3500 м</w:t>
            </w:r>
          </w:p>
        </w:tc>
        <w:tc>
          <w:tcPr>
            <w:tcW w:w="1559" w:type="dxa"/>
          </w:tcPr>
          <w:p w14:paraId="3AE831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78AFA1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года</w:t>
            </w:r>
          </w:p>
        </w:tc>
        <w:tc>
          <w:tcPr>
            <w:tcW w:w="4820" w:type="dxa"/>
          </w:tcPr>
          <w:p w14:paraId="04E332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Ведутся экспериментальные работы на 2-х цилиндровой установке, с целью получения пониженных расходов и меньшего значения Рк. Закончена компоновка. Изготовление рабочих чертежей приостановлено до получения результатов из опытной установки.</w:t>
            </w:r>
          </w:p>
        </w:tc>
      </w:tr>
      <w:tr w:rsidR="00E3599D" w:rsidRPr="00E14102" w14:paraId="7A79D4BD" w14:textId="77777777">
        <w:trPr>
          <w:cantSplit/>
        </w:trPr>
        <w:tc>
          <w:tcPr>
            <w:tcW w:w="2518" w:type="dxa"/>
          </w:tcPr>
          <w:p w14:paraId="5EF5C6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Двухтактный дизель Н-4 мощность 600 л.с. на высоте 3000-5000 м</w:t>
            </w:r>
          </w:p>
        </w:tc>
        <w:tc>
          <w:tcPr>
            <w:tcW w:w="1559" w:type="dxa"/>
          </w:tcPr>
          <w:p w14:paraId="15CD7E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1701" w:type="dxa"/>
          </w:tcPr>
          <w:p w14:paraId="07888D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года</w:t>
            </w:r>
          </w:p>
        </w:tc>
        <w:tc>
          <w:tcPr>
            <w:tcW w:w="4820" w:type="dxa"/>
          </w:tcPr>
          <w:p w14:paraId="1CAED6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декабря 1935 года будет закончено изготовление деталей для двух моторов (на заводе № 24). Место сборки и доводки дизеля ГУАПом еще не определено.</w:t>
            </w:r>
          </w:p>
        </w:tc>
      </w:tr>
      <w:tr w:rsidR="00E3599D" w:rsidRPr="00E14102" w14:paraId="2981ECFD" w14:textId="77777777">
        <w:trPr>
          <w:cantSplit/>
        </w:trPr>
        <w:tc>
          <w:tcPr>
            <w:tcW w:w="2518" w:type="dxa"/>
          </w:tcPr>
          <w:p w14:paraId="2EE33F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Дизель Н-3 мощность 600 л.с. на высоте 4000-5000 м</w:t>
            </w:r>
          </w:p>
        </w:tc>
        <w:tc>
          <w:tcPr>
            <w:tcW w:w="1559" w:type="dxa"/>
          </w:tcPr>
          <w:p w14:paraId="5EF617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УНИАДИ и ГУГВФ</w:t>
            </w:r>
          </w:p>
        </w:tc>
        <w:tc>
          <w:tcPr>
            <w:tcW w:w="1701" w:type="dxa"/>
          </w:tcPr>
          <w:p w14:paraId="21E340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года</w:t>
            </w:r>
          </w:p>
        </w:tc>
        <w:tc>
          <w:tcPr>
            <w:tcW w:w="4820" w:type="dxa"/>
          </w:tcPr>
          <w:p w14:paraId="261C5F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Дизель Н-3 находится в стадии заводских испытаний и доводки. Представление дизеля на госиспытание предполагается в конце 1935 года.</w:t>
            </w:r>
          </w:p>
        </w:tc>
      </w:tr>
      <w:tr w:rsidR="00E3599D" w:rsidRPr="00E14102" w14:paraId="3246DD5B" w14:textId="77777777">
        <w:trPr>
          <w:cantSplit/>
        </w:trPr>
        <w:tc>
          <w:tcPr>
            <w:tcW w:w="2518" w:type="dxa"/>
          </w:tcPr>
          <w:p w14:paraId="786D66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Турбины</w:t>
            </w:r>
          </w:p>
        </w:tc>
        <w:tc>
          <w:tcPr>
            <w:tcW w:w="1559" w:type="dxa"/>
          </w:tcPr>
          <w:p w14:paraId="180AA59F"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6B807324"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39CE16A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4B77473" w14:textId="77777777">
        <w:trPr>
          <w:cantSplit/>
        </w:trPr>
        <w:tc>
          <w:tcPr>
            <w:tcW w:w="2518" w:type="dxa"/>
          </w:tcPr>
          <w:p w14:paraId="63A6AE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Паровая турбина ПТ-3 мощность 300 л.с. на высоте 5000 м</w:t>
            </w:r>
          </w:p>
        </w:tc>
        <w:tc>
          <w:tcPr>
            <w:tcW w:w="1559" w:type="dxa"/>
          </w:tcPr>
          <w:p w14:paraId="0C8AA2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ГУГВФ</w:t>
            </w:r>
          </w:p>
        </w:tc>
        <w:tc>
          <w:tcPr>
            <w:tcW w:w="1701" w:type="dxa"/>
          </w:tcPr>
          <w:p w14:paraId="3D7CEC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4820" w:type="dxa"/>
          </w:tcPr>
          <w:p w14:paraId="7C7FFA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Турбина целиком смонтирована на макете самолета, за исключением котла, для заводских испытаний. Два построенных котла в течение 1934-35 г.г. оказались не годными. В настоящее время в постройке находится 3 котел на импортных трубах. Заводские испытания турбина не прошла по причине того, что не решен вопрос с котлом. Срок представления на госиспытания определить не представляется возможным.</w:t>
            </w:r>
          </w:p>
        </w:tc>
      </w:tr>
      <w:tr w:rsidR="00E3599D" w:rsidRPr="00E14102" w14:paraId="446645B0" w14:textId="77777777">
        <w:trPr>
          <w:cantSplit/>
        </w:trPr>
        <w:tc>
          <w:tcPr>
            <w:tcW w:w="2518" w:type="dxa"/>
          </w:tcPr>
          <w:p w14:paraId="1CFB50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Паровая турбина ПТ-6 мощность 6000 л.с. на высоте 5000 м</w:t>
            </w:r>
          </w:p>
        </w:tc>
        <w:tc>
          <w:tcPr>
            <w:tcW w:w="1559" w:type="dxa"/>
          </w:tcPr>
          <w:p w14:paraId="705F0B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1701" w:type="dxa"/>
          </w:tcPr>
          <w:p w14:paraId="09517D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1935 года</w:t>
            </w:r>
          </w:p>
        </w:tc>
        <w:tc>
          <w:tcPr>
            <w:tcW w:w="4820" w:type="dxa"/>
          </w:tcPr>
          <w:p w14:paraId="16548B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Турбина будет изготовлена на Кировском заводе, Ленинград, в декабре 1935 года (с опозданием на 16 месяцев по вине завода). Опытный котел станет на испытания в ближайшее время. По конденсатору заканчиваются экспериментальные работы. Сборка редукторов задерживается по вине завода № 24, который не подает картеров. ЛМЗ с большим нажимом заканчивает изготовление стендовых насосов. Медленность изготовления ПТ-6 происходит по вине ГУАПа, Кировского завода, ЛМЗ и завода № 24, которые не выдерживают сроков изготовления и не дает (ГУАП) своевременно ассигнований. Срок выхода ПТ-6 на госиспытания 1 мая 1936 года выдержан не будет.</w:t>
            </w:r>
          </w:p>
        </w:tc>
      </w:tr>
      <w:tr w:rsidR="00E3599D" w:rsidRPr="00E14102" w14:paraId="0C421B2E" w14:textId="77777777">
        <w:trPr>
          <w:cantSplit/>
        </w:trPr>
        <w:tc>
          <w:tcPr>
            <w:tcW w:w="2518" w:type="dxa"/>
          </w:tcPr>
          <w:p w14:paraId="228C48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Газовая турбина мощность 1000 л.с. на высоте 5000 м</w:t>
            </w:r>
          </w:p>
        </w:tc>
        <w:tc>
          <w:tcPr>
            <w:tcW w:w="1559" w:type="dxa"/>
          </w:tcPr>
          <w:p w14:paraId="7AD889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Теплотехнический институт, Москва</w:t>
            </w:r>
          </w:p>
        </w:tc>
        <w:tc>
          <w:tcPr>
            <w:tcW w:w="1701" w:type="dxa"/>
          </w:tcPr>
          <w:p w14:paraId="600F40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w:t>
            </w:r>
          </w:p>
        </w:tc>
        <w:tc>
          <w:tcPr>
            <w:tcW w:w="4820" w:type="dxa"/>
          </w:tcPr>
          <w:p w14:paraId="4433A4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Изготовление рабочих чертежей закончено полностью. Начаты переговоры с Кировским заводом по заключению договора на изготовление “ГТ”. Срок представления ГТ на госиспытания (1 мая 1936 года) выдержан не будет.</w:t>
            </w:r>
          </w:p>
        </w:tc>
      </w:tr>
      <w:tr w:rsidR="00E3599D" w:rsidRPr="00E14102" w14:paraId="124E7476" w14:textId="77777777">
        <w:trPr>
          <w:cantSplit/>
        </w:trPr>
        <w:tc>
          <w:tcPr>
            <w:tcW w:w="2518" w:type="dxa"/>
          </w:tcPr>
          <w:p w14:paraId="5F1977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Модификация серийных моторов</w:t>
            </w:r>
          </w:p>
        </w:tc>
        <w:tc>
          <w:tcPr>
            <w:tcW w:w="1559" w:type="dxa"/>
          </w:tcPr>
          <w:p w14:paraId="6F05522C"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3A2E59F2"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1F3D6B6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2637DF4" w14:textId="77777777">
        <w:trPr>
          <w:cantSplit/>
        </w:trPr>
        <w:tc>
          <w:tcPr>
            <w:tcW w:w="2518" w:type="dxa"/>
          </w:tcPr>
          <w:p w14:paraId="66D69A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ФРН и ФН первый этап мощность 850 л.с. на высоте 4500 м</w:t>
            </w:r>
          </w:p>
        </w:tc>
        <w:tc>
          <w:tcPr>
            <w:tcW w:w="1559" w:type="dxa"/>
          </w:tcPr>
          <w:p w14:paraId="51E38D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701" w:type="dxa"/>
          </w:tcPr>
          <w:p w14:paraId="21B833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4820" w:type="dxa"/>
          </w:tcPr>
          <w:p w14:paraId="328D50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ФРН проходит заводские испытания. Предъявление на госиспытания предполагается в ноябре 1935 года.</w:t>
            </w:r>
          </w:p>
        </w:tc>
      </w:tr>
      <w:tr w:rsidR="00E3599D" w:rsidRPr="00E14102" w14:paraId="53F41573" w14:textId="77777777">
        <w:trPr>
          <w:cantSplit/>
        </w:trPr>
        <w:tc>
          <w:tcPr>
            <w:tcW w:w="2518" w:type="dxa"/>
          </w:tcPr>
          <w:p w14:paraId="6DE3F3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ФРН и ФН второй этап мощность 1000 л.с. на высоте 5000 м</w:t>
            </w:r>
          </w:p>
        </w:tc>
        <w:tc>
          <w:tcPr>
            <w:tcW w:w="1559" w:type="dxa"/>
          </w:tcPr>
          <w:p w14:paraId="5D0BCF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701" w:type="dxa"/>
          </w:tcPr>
          <w:p w14:paraId="292E6E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года</w:t>
            </w:r>
          </w:p>
        </w:tc>
        <w:tc>
          <w:tcPr>
            <w:tcW w:w="4820" w:type="dxa"/>
          </w:tcPr>
          <w:p w14:paraId="754430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будут вестись после удовлетворительных результатов испытаний 1-го этапа.</w:t>
            </w:r>
          </w:p>
        </w:tc>
      </w:tr>
      <w:tr w:rsidR="00E3599D" w:rsidRPr="00E14102" w14:paraId="12EE3087" w14:textId="77777777">
        <w:trPr>
          <w:cantSplit/>
        </w:trPr>
        <w:tc>
          <w:tcPr>
            <w:tcW w:w="2518" w:type="dxa"/>
          </w:tcPr>
          <w:p w14:paraId="55E7B5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М-86 (развитие К9 и К14) мощность 1030 л.с. на высоте 3850 м</w:t>
            </w:r>
          </w:p>
        </w:tc>
        <w:tc>
          <w:tcPr>
            <w:tcW w:w="1559" w:type="dxa"/>
          </w:tcPr>
          <w:p w14:paraId="352D5E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1701" w:type="dxa"/>
          </w:tcPr>
          <w:p w14:paraId="289DCA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w:t>
            </w:r>
          </w:p>
        </w:tc>
        <w:tc>
          <w:tcPr>
            <w:tcW w:w="4820" w:type="dxa"/>
          </w:tcPr>
          <w:p w14:paraId="486CD9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Разработанный первый вариант мотора забракован на техническом совещании завода. Приступают к разработке второго проекта.</w:t>
            </w:r>
          </w:p>
        </w:tc>
      </w:tr>
      <w:tr w:rsidR="00E3599D" w:rsidRPr="00E14102" w14:paraId="3BF5212B" w14:textId="77777777">
        <w:trPr>
          <w:cantSplit/>
        </w:trPr>
        <w:tc>
          <w:tcPr>
            <w:tcW w:w="2518" w:type="dxa"/>
          </w:tcPr>
          <w:p w14:paraId="56C864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Развитие М-25</w:t>
            </w:r>
          </w:p>
        </w:tc>
        <w:tc>
          <w:tcPr>
            <w:tcW w:w="1559" w:type="dxa"/>
          </w:tcPr>
          <w:p w14:paraId="60C7BB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19</w:t>
            </w:r>
          </w:p>
        </w:tc>
        <w:tc>
          <w:tcPr>
            <w:tcW w:w="1701" w:type="dxa"/>
          </w:tcPr>
          <w:p w14:paraId="697175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 год</w:t>
            </w:r>
          </w:p>
        </w:tc>
        <w:tc>
          <w:tcPr>
            <w:tcW w:w="4820" w:type="dxa"/>
          </w:tcPr>
          <w:p w14:paraId="40B35C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Разрабатываются рабочие чертежи, часть деталей находится в производстве.</w:t>
            </w:r>
          </w:p>
        </w:tc>
      </w:tr>
      <w:tr w:rsidR="00E3599D" w:rsidRPr="00E14102" w14:paraId="6F1905FE" w14:textId="77777777">
        <w:trPr>
          <w:cantSplit/>
        </w:trPr>
        <w:tc>
          <w:tcPr>
            <w:tcW w:w="2518" w:type="dxa"/>
          </w:tcPr>
          <w:p w14:paraId="46064D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Сдваивание М-25</w:t>
            </w:r>
          </w:p>
        </w:tc>
        <w:tc>
          <w:tcPr>
            <w:tcW w:w="1559" w:type="dxa"/>
          </w:tcPr>
          <w:p w14:paraId="7ADA1F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19</w:t>
            </w:r>
          </w:p>
        </w:tc>
        <w:tc>
          <w:tcPr>
            <w:tcW w:w="1701" w:type="dxa"/>
          </w:tcPr>
          <w:p w14:paraId="1D00B0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 года</w:t>
            </w:r>
          </w:p>
        </w:tc>
        <w:tc>
          <w:tcPr>
            <w:tcW w:w="4820" w:type="dxa"/>
          </w:tcPr>
          <w:p w14:paraId="3E7023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Ведется подготовка к проектированию.</w:t>
            </w:r>
          </w:p>
        </w:tc>
      </w:tr>
      <w:tr w:rsidR="00E3599D" w:rsidRPr="00E14102" w14:paraId="5A90E6B8" w14:textId="77777777">
        <w:trPr>
          <w:cantSplit/>
        </w:trPr>
        <w:tc>
          <w:tcPr>
            <w:tcW w:w="2518" w:type="dxa"/>
          </w:tcPr>
          <w:p w14:paraId="2E07E1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Развитие М-100 мощность 860 л.с. на высоте 5000 м</w:t>
            </w:r>
          </w:p>
        </w:tc>
        <w:tc>
          <w:tcPr>
            <w:tcW w:w="1559" w:type="dxa"/>
          </w:tcPr>
          <w:p w14:paraId="7F6D568C"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209E2F19"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6F819D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ноябре 1935 года предполагается предъявление на госиспытания.</w:t>
            </w:r>
          </w:p>
        </w:tc>
      </w:tr>
      <w:tr w:rsidR="00E3599D" w:rsidRPr="00E14102" w14:paraId="76CD23FD" w14:textId="77777777">
        <w:trPr>
          <w:cantSplit/>
        </w:trPr>
        <w:tc>
          <w:tcPr>
            <w:tcW w:w="2518" w:type="dxa"/>
          </w:tcPr>
          <w:p w14:paraId="03F001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Новые агрегаты</w:t>
            </w:r>
          </w:p>
        </w:tc>
        <w:tc>
          <w:tcPr>
            <w:tcW w:w="1559" w:type="dxa"/>
          </w:tcPr>
          <w:p w14:paraId="2984D0D5"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674C48C7"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7490EC7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AB19A86" w14:textId="77777777">
        <w:trPr>
          <w:cantSplit/>
        </w:trPr>
        <w:tc>
          <w:tcPr>
            <w:tcW w:w="2518" w:type="dxa"/>
          </w:tcPr>
          <w:p w14:paraId="36EAA4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Винты с переменным в полете шагом (7 типов)</w:t>
            </w:r>
          </w:p>
        </w:tc>
        <w:tc>
          <w:tcPr>
            <w:tcW w:w="1559" w:type="dxa"/>
          </w:tcPr>
          <w:p w14:paraId="62A6A2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p w14:paraId="2DA5E124" w14:textId="77777777" w:rsidR="00D4105E" w:rsidRPr="00E14102" w:rsidRDefault="00D4105E" w:rsidP="00E14102">
            <w:pPr>
              <w:autoSpaceDE w:val="0"/>
              <w:autoSpaceDN w:val="0"/>
              <w:adjustRightInd w:val="0"/>
              <w:jc w:val="both"/>
              <w:rPr>
                <w:color w:val="000000" w:themeColor="text1"/>
                <w:sz w:val="16"/>
                <w:szCs w:val="16"/>
              </w:rPr>
            </w:pPr>
          </w:p>
          <w:p w14:paraId="4FBAFB2B" w14:textId="77777777" w:rsidR="00D4105E" w:rsidRPr="00E14102" w:rsidRDefault="00D4105E" w:rsidP="00E14102">
            <w:pPr>
              <w:autoSpaceDE w:val="0"/>
              <w:autoSpaceDN w:val="0"/>
              <w:adjustRightInd w:val="0"/>
              <w:jc w:val="both"/>
              <w:rPr>
                <w:color w:val="000000" w:themeColor="text1"/>
                <w:sz w:val="16"/>
                <w:szCs w:val="16"/>
              </w:rPr>
            </w:pPr>
          </w:p>
          <w:p w14:paraId="53427956" w14:textId="77777777" w:rsidR="00D4105E" w:rsidRPr="00E14102" w:rsidRDefault="00D4105E" w:rsidP="00E14102">
            <w:pPr>
              <w:autoSpaceDE w:val="0"/>
              <w:autoSpaceDN w:val="0"/>
              <w:adjustRightInd w:val="0"/>
              <w:jc w:val="both"/>
              <w:rPr>
                <w:color w:val="000000" w:themeColor="text1"/>
                <w:sz w:val="16"/>
                <w:szCs w:val="16"/>
              </w:rPr>
            </w:pPr>
          </w:p>
          <w:p w14:paraId="3835B47B" w14:textId="77777777" w:rsidR="00D4105E" w:rsidRPr="00E14102" w:rsidRDefault="00D4105E" w:rsidP="00E14102">
            <w:pPr>
              <w:autoSpaceDE w:val="0"/>
              <w:autoSpaceDN w:val="0"/>
              <w:adjustRightInd w:val="0"/>
              <w:jc w:val="both"/>
              <w:rPr>
                <w:color w:val="000000" w:themeColor="text1"/>
                <w:sz w:val="16"/>
                <w:szCs w:val="16"/>
              </w:rPr>
            </w:pPr>
          </w:p>
          <w:p w14:paraId="7F599D29" w14:textId="77777777" w:rsidR="00D4105E" w:rsidRPr="00E14102" w:rsidRDefault="00D4105E" w:rsidP="00E14102">
            <w:pPr>
              <w:autoSpaceDE w:val="0"/>
              <w:autoSpaceDN w:val="0"/>
              <w:adjustRightInd w:val="0"/>
              <w:jc w:val="both"/>
              <w:rPr>
                <w:color w:val="000000" w:themeColor="text1"/>
                <w:sz w:val="16"/>
                <w:szCs w:val="16"/>
              </w:rPr>
            </w:pPr>
          </w:p>
          <w:p w14:paraId="2BEF1CDD" w14:textId="77777777" w:rsidR="00D4105E" w:rsidRPr="00E14102" w:rsidRDefault="00D4105E" w:rsidP="00E14102">
            <w:pPr>
              <w:autoSpaceDE w:val="0"/>
              <w:autoSpaceDN w:val="0"/>
              <w:adjustRightInd w:val="0"/>
              <w:jc w:val="both"/>
              <w:rPr>
                <w:color w:val="000000" w:themeColor="text1"/>
                <w:sz w:val="16"/>
                <w:szCs w:val="16"/>
              </w:rPr>
            </w:pPr>
          </w:p>
          <w:p w14:paraId="0F332494" w14:textId="77777777" w:rsidR="00D4105E" w:rsidRPr="00E14102" w:rsidRDefault="00D4105E" w:rsidP="00E14102">
            <w:pPr>
              <w:autoSpaceDE w:val="0"/>
              <w:autoSpaceDN w:val="0"/>
              <w:adjustRightInd w:val="0"/>
              <w:jc w:val="both"/>
              <w:rPr>
                <w:color w:val="000000" w:themeColor="text1"/>
                <w:sz w:val="16"/>
                <w:szCs w:val="16"/>
              </w:rPr>
            </w:pPr>
          </w:p>
          <w:p w14:paraId="380EF0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28</w:t>
            </w:r>
          </w:p>
        </w:tc>
        <w:tc>
          <w:tcPr>
            <w:tcW w:w="1701" w:type="dxa"/>
          </w:tcPr>
          <w:p w14:paraId="302E0558"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708FD1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ВПШ-1 к мотору М-34РН конструкции ЦИАМа установлен в количестве 4-х экземпляров на самолете ТБ3 и проходит первые полетные испытания.</w:t>
            </w:r>
          </w:p>
          <w:p w14:paraId="5862B9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ВПШ-3 к мотору М-34ФРН (конструкции ЦИАМа) находится в сборке и подготавливается к заводским испытаниям.</w:t>
            </w:r>
          </w:p>
          <w:p w14:paraId="5E6178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ВПШ-4 к мотору М-25 (конструкции ЦИАМа) изготовлен и находится в доводке.</w:t>
            </w:r>
          </w:p>
          <w:p w14:paraId="5C4AF0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ВПШ-5 к мотору М-34ФРН с электроприводом(конструкции ЦИАМа) находится в производстве.</w:t>
            </w:r>
          </w:p>
          <w:p w14:paraId="41EC7B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ВРШ-2 завода № 28 к М-25 с механическим приводом находится в производстве. В виду трудности с обработкой втулки срок предъявления на госиспытания не известен.</w:t>
            </w:r>
          </w:p>
          <w:p w14:paraId="28492F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ВРШ конструкции КБ2 (Бас-Дубова) к М-34 3-х лопастной. Лопасти находятся в производстве на заводе № 2.. в количестве 3-х штук и 5 штук на заводе № 95. Последние 5 штук лопастей изготавливаются заводом № 95 вместо забракованных поковок завода № 28.</w:t>
            </w:r>
          </w:p>
        </w:tc>
      </w:tr>
      <w:tr w:rsidR="00E3599D" w:rsidRPr="00E14102" w14:paraId="5D6FB829" w14:textId="77777777">
        <w:trPr>
          <w:cantSplit/>
        </w:trPr>
        <w:tc>
          <w:tcPr>
            <w:tcW w:w="2518" w:type="dxa"/>
          </w:tcPr>
          <w:p w14:paraId="2A81D4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на непосредственный впрыск мотора М-34</w:t>
            </w:r>
          </w:p>
        </w:tc>
        <w:tc>
          <w:tcPr>
            <w:tcW w:w="1559" w:type="dxa"/>
          </w:tcPr>
          <w:p w14:paraId="51D194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7028E9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4820" w:type="dxa"/>
          </w:tcPr>
          <w:p w14:paraId="6C88F6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Экспериментальная работа ведется. Изготовлен прибор для автоматического регулирования подачи смеси и в октябре будет испытан.</w:t>
            </w:r>
          </w:p>
        </w:tc>
      </w:tr>
      <w:tr w:rsidR="00E3599D" w:rsidRPr="00E14102" w14:paraId="4C413A5A" w14:textId="77777777">
        <w:trPr>
          <w:cantSplit/>
        </w:trPr>
        <w:tc>
          <w:tcPr>
            <w:tcW w:w="2518" w:type="dxa"/>
          </w:tcPr>
          <w:p w14:paraId="21F8D9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на непосредственный впрыск моторов М-25, М-85 и М-100</w:t>
            </w:r>
          </w:p>
        </w:tc>
        <w:tc>
          <w:tcPr>
            <w:tcW w:w="1559" w:type="dxa"/>
          </w:tcPr>
          <w:p w14:paraId="62BFF7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7975AA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 год</w:t>
            </w:r>
          </w:p>
        </w:tc>
        <w:tc>
          <w:tcPr>
            <w:tcW w:w="4820" w:type="dxa"/>
          </w:tcPr>
          <w:p w14:paraId="321434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будет вестись после испытания М-34.</w:t>
            </w:r>
          </w:p>
        </w:tc>
      </w:tr>
      <w:tr w:rsidR="00E3599D" w:rsidRPr="00E14102" w14:paraId="78E6183D" w14:textId="77777777">
        <w:trPr>
          <w:cantSplit/>
        </w:trPr>
        <w:tc>
          <w:tcPr>
            <w:tcW w:w="2518" w:type="dxa"/>
          </w:tcPr>
          <w:p w14:paraId="7D687F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Турбокомпрессор к М-34 до высоты 8500 м</w:t>
            </w:r>
          </w:p>
        </w:tc>
        <w:tc>
          <w:tcPr>
            <w:tcW w:w="1559" w:type="dxa"/>
          </w:tcPr>
          <w:p w14:paraId="2CE61A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128A1A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4820" w:type="dxa"/>
          </w:tcPr>
          <w:p w14:paraId="57231B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комплекта турбокомпрессора к одному М-34 изготовлено. Ведутся заводские испытания ротора турбины на прочность.</w:t>
            </w:r>
          </w:p>
        </w:tc>
      </w:tr>
      <w:tr w:rsidR="00E3599D" w:rsidRPr="00E14102" w14:paraId="10A2C8B1" w14:textId="77777777">
        <w:trPr>
          <w:cantSplit/>
        </w:trPr>
        <w:tc>
          <w:tcPr>
            <w:tcW w:w="2518" w:type="dxa"/>
          </w:tcPr>
          <w:p w14:paraId="2E3CD8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Двухступенчатый нагнетатель к моторам М-25, М-100 и М-85</w:t>
            </w:r>
          </w:p>
        </w:tc>
        <w:tc>
          <w:tcPr>
            <w:tcW w:w="1559" w:type="dxa"/>
          </w:tcPr>
          <w:p w14:paraId="6F51D3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313CB5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 год</w:t>
            </w:r>
          </w:p>
        </w:tc>
        <w:tc>
          <w:tcPr>
            <w:tcW w:w="4820" w:type="dxa"/>
          </w:tcPr>
          <w:p w14:paraId="011EAB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не ведутся.</w:t>
            </w:r>
          </w:p>
        </w:tc>
      </w:tr>
      <w:tr w:rsidR="00E3599D" w:rsidRPr="00E14102" w14:paraId="245C30E0" w14:textId="77777777">
        <w:trPr>
          <w:cantSplit/>
        </w:trPr>
        <w:tc>
          <w:tcPr>
            <w:tcW w:w="2518" w:type="dxa"/>
          </w:tcPr>
          <w:p w14:paraId="4FF9F7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Двухступенчатый нагнетатель к М-34 до высоты 6500 м</w:t>
            </w:r>
          </w:p>
        </w:tc>
        <w:tc>
          <w:tcPr>
            <w:tcW w:w="1559" w:type="dxa"/>
          </w:tcPr>
          <w:p w14:paraId="438D87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279345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4820" w:type="dxa"/>
          </w:tcPr>
          <w:p w14:paraId="57EFC4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Изготовлены рабочие чертежи двухскоростного одноступенчатого нагнетателя до высоты 6000 м. Чертежи в ближайшее время будут сданы в производство.</w:t>
            </w:r>
          </w:p>
        </w:tc>
      </w:tr>
      <w:tr w:rsidR="00E3599D" w:rsidRPr="00E14102" w14:paraId="1343F21A" w14:textId="77777777">
        <w:trPr>
          <w:cantSplit/>
        </w:trPr>
        <w:tc>
          <w:tcPr>
            <w:tcW w:w="2518" w:type="dxa"/>
          </w:tcPr>
          <w:p w14:paraId="7FCBD8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Двухступенчатый нагнетатель к М-34 до высоты 6000 м</w:t>
            </w:r>
          </w:p>
        </w:tc>
        <w:tc>
          <w:tcPr>
            <w:tcW w:w="1559" w:type="dxa"/>
          </w:tcPr>
          <w:p w14:paraId="4A3E23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4CDD62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4820" w:type="dxa"/>
          </w:tcPr>
          <w:p w14:paraId="640AF4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Изготовлена схема двухступенчатого нагнетателя на 9000 м. К разработке рабочих чертежей не приступлено.</w:t>
            </w:r>
          </w:p>
        </w:tc>
      </w:tr>
      <w:tr w:rsidR="00E3599D" w:rsidRPr="00E14102" w14:paraId="3DA49F43" w14:textId="77777777">
        <w:trPr>
          <w:cantSplit/>
        </w:trPr>
        <w:tc>
          <w:tcPr>
            <w:tcW w:w="2518" w:type="dxa"/>
          </w:tcPr>
          <w:p w14:paraId="30AB82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на паровое охлаждение мотора М-34</w:t>
            </w:r>
          </w:p>
        </w:tc>
        <w:tc>
          <w:tcPr>
            <w:tcW w:w="1559" w:type="dxa"/>
          </w:tcPr>
          <w:p w14:paraId="3EC1C9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2B6756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1935 года</w:t>
            </w:r>
          </w:p>
        </w:tc>
        <w:tc>
          <w:tcPr>
            <w:tcW w:w="4820" w:type="dxa"/>
          </w:tcPr>
          <w:p w14:paraId="366E39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закончено. Мотор удовлетворительно проработал на станке 72 часа и установлен на самолет ТБ3.</w:t>
            </w:r>
          </w:p>
        </w:tc>
      </w:tr>
      <w:tr w:rsidR="00E3599D" w:rsidRPr="00E14102" w14:paraId="15B6D045" w14:textId="77777777">
        <w:trPr>
          <w:cantSplit/>
        </w:trPr>
        <w:tc>
          <w:tcPr>
            <w:tcW w:w="2518" w:type="dxa"/>
          </w:tcPr>
          <w:p w14:paraId="6F7EB0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на паровое охлаждение мотора М-100</w:t>
            </w:r>
          </w:p>
        </w:tc>
        <w:tc>
          <w:tcPr>
            <w:tcW w:w="1559" w:type="dxa"/>
          </w:tcPr>
          <w:p w14:paraId="6A5050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2639B8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года</w:t>
            </w:r>
          </w:p>
        </w:tc>
        <w:tc>
          <w:tcPr>
            <w:tcW w:w="4820" w:type="dxa"/>
          </w:tcPr>
          <w:p w14:paraId="0F5A49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50-ти часовое испытание закончено с удовлетворительными результатами.</w:t>
            </w:r>
          </w:p>
        </w:tc>
      </w:tr>
      <w:tr w:rsidR="00E3599D" w:rsidRPr="00E14102" w14:paraId="25B8DCD6" w14:textId="77777777">
        <w:trPr>
          <w:cantSplit/>
        </w:trPr>
        <w:tc>
          <w:tcPr>
            <w:tcW w:w="2518" w:type="dxa"/>
          </w:tcPr>
          <w:p w14:paraId="216097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М-34 на водородном топливе</w:t>
            </w:r>
          </w:p>
        </w:tc>
        <w:tc>
          <w:tcPr>
            <w:tcW w:w="1559" w:type="dxa"/>
          </w:tcPr>
          <w:p w14:paraId="118E7E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228E12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4820" w:type="dxa"/>
          </w:tcPr>
          <w:p w14:paraId="3F5B1E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первому этапу испытания закончены с доведением присадки водорода к бензино-воздушной смеси от 2-х до 20%. Дальнейшие испытания продолжаются.</w:t>
            </w:r>
          </w:p>
        </w:tc>
      </w:tr>
      <w:tr w:rsidR="00E3599D" w:rsidRPr="00E14102" w14:paraId="3FEAC834" w14:textId="77777777">
        <w:trPr>
          <w:cantSplit/>
        </w:trPr>
        <w:tc>
          <w:tcPr>
            <w:tcW w:w="2518" w:type="dxa"/>
          </w:tcPr>
          <w:p w14:paraId="3FFCD3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Доводка моторов</w:t>
            </w:r>
          </w:p>
        </w:tc>
        <w:tc>
          <w:tcPr>
            <w:tcW w:w="1559" w:type="dxa"/>
          </w:tcPr>
          <w:p w14:paraId="613AC88F"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272D006D"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04760D5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53723E8" w14:textId="77777777">
        <w:trPr>
          <w:cantSplit/>
        </w:trPr>
        <w:tc>
          <w:tcPr>
            <w:tcW w:w="2518" w:type="dxa"/>
          </w:tcPr>
          <w:p w14:paraId="2D0F47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М56 (700 л.с. на высоте 3500 м)</w:t>
            </w:r>
          </w:p>
        </w:tc>
        <w:tc>
          <w:tcPr>
            <w:tcW w:w="1559" w:type="dxa"/>
          </w:tcPr>
          <w:p w14:paraId="3E391C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300850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1936 года</w:t>
            </w:r>
          </w:p>
        </w:tc>
        <w:tc>
          <w:tcPr>
            <w:tcW w:w="4820" w:type="dxa"/>
          </w:tcPr>
          <w:p w14:paraId="49FB35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на заводских испытаниях отработал 20 часов. Испытания продолжаются.</w:t>
            </w:r>
          </w:p>
        </w:tc>
      </w:tr>
      <w:tr w:rsidR="00E3599D" w:rsidRPr="00E14102" w14:paraId="1530B72F" w14:textId="77777777">
        <w:trPr>
          <w:cantSplit/>
        </w:trPr>
        <w:tc>
          <w:tcPr>
            <w:tcW w:w="2518" w:type="dxa"/>
          </w:tcPr>
          <w:p w14:paraId="6F6949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М-58Н (630 л.с. на высоте 4000 м)</w:t>
            </w:r>
          </w:p>
        </w:tc>
        <w:tc>
          <w:tcPr>
            <w:tcW w:w="1559" w:type="dxa"/>
          </w:tcPr>
          <w:p w14:paraId="3538AB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1701" w:type="dxa"/>
          </w:tcPr>
          <w:p w14:paraId="5A2592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1935 года</w:t>
            </w:r>
          </w:p>
        </w:tc>
        <w:tc>
          <w:tcPr>
            <w:tcW w:w="4820" w:type="dxa"/>
          </w:tcPr>
          <w:p w14:paraId="6E60DD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был предъявлен на госиспытания 1 июля 1935 года, но испытание не прошел из-за имеющихся дефектов.</w:t>
            </w:r>
          </w:p>
        </w:tc>
      </w:tr>
      <w:tr w:rsidR="00E3599D" w:rsidRPr="00E14102" w14:paraId="718E5982" w14:textId="77777777">
        <w:trPr>
          <w:cantSplit/>
        </w:trPr>
        <w:tc>
          <w:tcPr>
            <w:tcW w:w="2518" w:type="dxa"/>
          </w:tcPr>
          <w:p w14:paraId="08F047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 семейства МГ-31 (100, 200 и 300 л.с.)</w:t>
            </w:r>
          </w:p>
        </w:tc>
        <w:tc>
          <w:tcPr>
            <w:tcW w:w="1559" w:type="dxa"/>
          </w:tcPr>
          <w:p w14:paraId="04E7D0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82 ГВФ</w:t>
            </w:r>
          </w:p>
        </w:tc>
        <w:tc>
          <w:tcPr>
            <w:tcW w:w="1701" w:type="dxa"/>
          </w:tcPr>
          <w:p w14:paraId="4C311D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1936 года</w:t>
            </w:r>
          </w:p>
        </w:tc>
        <w:tc>
          <w:tcPr>
            <w:tcW w:w="4820" w:type="dxa"/>
          </w:tcPr>
          <w:p w14:paraId="134C88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МГ-21 госиспытания прошел удовлетворительно</w:t>
            </w:r>
          </w:p>
          <w:p w14:paraId="7A1422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МГ-31 находится на госиспытания</w:t>
            </w:r>
          </w:p>
        </w:tc>
      </w:tr>
      <w:tr w:rsidR="00E3599D" w:rsidRPr="00E14102" w14:paraId="549A9DC0" w14:textId="77777777">
        <w:trPr>
          <w:cantSplit/>
        </w:trPr>
        <w:tc>
          <w:tcPr>
            <w:tcW w:w="2518" w:type="dxa"/>
          </w:tcPr>
          <w:p w14:paraId="7D0CD3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ГМ-44 (для торпедных катеров)</w:t>
            </w:r>
          </w:p>
        </w:tc>
        <w:tc>
          <w:tcPr>
            <w:tcW w:w="1559" w:type="dxa"/>
          </w:tcPr>
          <w:p w14:paraId="700C59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24C12D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4820" w:type="dxa"/>
          </w:tcPr>
          <w:p w14:paraId="21F1CE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Заканчивается монтаж и 10 октября станет на заводские испытания.</w:t>
            </w:r>
          </w:p>
        </w:tc>
      </w:tr>
      <w:tr w:rsidR="00E3599D" w:rsidRPr="00E14102" w14:paraId="07C57E61" w14:textId="77777777">
        <w:trPr>
          <w:cantSplit/>
        </w:trPr>
        <w:tc>
          <w:tcPr>
            <w:tcW w:w="2518" w:type="dxa"/>
          </w:tcPr>
          <w:p w14:paraId="4AA2AC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Самолетостроение</w:t>
            </w:r>
          </w:p>
        </w:tc>
        <w:tc>
          <w:tcPr>
            <w:tcW w:w="1559" w:type="dxa"/>
          </w:tcPr>
          <w:p w14:paraId="5DD13306"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3D9F6417"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26CFAA5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8707CE4" w14:textId="77777777">
        <w:trPr>
          <w:cantSplit/>
        </w:trPr>
        <w:tc>
          <w:tcPr>
            <w:tcW w:w="2518" w:type="dxa"/>
          </w:tcPr>
          <w:p w14:paraId="3E8E15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Бомбардировщик дальнего действия (ТБ-7)</w:t>
            </w:r>
          </w:p>
        </w:tc>
        <w:tc>
          <w:tcPr>
            <w:tcW w:w="1559" w:type="dxa"/>
          </w:tcPr>
          <w:p w14:paraId="6BD6B7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p w14:paraId="275BC856" w14:textId="77777777" w:rsidR="00D4105E" w:rsidRPr="00E14102" w:rsidRDefault="00D4105E" w:rsidP="00E14102">
            <w:pPr>
              <w:autoSpaceDE w:val="0"/>
              <w:autoSpaceDN w:val="0"/>
              <w:adjustRightInd w:val="0"/>
              <w:jc w:val="both"/>
              <w:rPr>
                <w:color w:val="000000" w:themeColor="text1"/>
                <w:sz w:val="16"/>
                <w:szCs w:val="16"/>
              </w:rPr>
            </w:pPr>
          </w:p>
          <w:p w14:paraId="072143D1" w14:textId="77777777" w:rsidR="00D4105E" w:rsidRPr="00E14102" w:rsidRDefault="00D4105E" w:rsidP="00E14102">
            <w:pPr>
              <w:autoSpaceDE w:val="0"/>
              <w:autoSpaceDN w:val="0"/>
              <w:adjustRightInd w:val="0"/>
              <w:jc w:val="both"/>
              <w:rPr>
                <w:color w:val="000000" w:themeColor="text1"/>
                <w:sz w:val="16"/>
                <w:szCs w:val="16"/>
              </w:rPr>
            </w:pPr>
          </w:p>
          <w:p w14:paraId="223361B9" w14:textId="77777777" w:rsidR="00D4105E" w:rsidRPr="00E14102" w:rsidRDefault="00D4105E" w:rsidP="00E14102">
            <w:pPr>
              <w:autoSpaceDE w:val="0"/>
              <w:autoSpaceDN w:val="0"/>
              <w:adjustRightInd w:val="0"/>
              <w:jc w:val="both"/>
              <w:rPr>
                <w:color w:val="000000" w:themeColor="text1"/>
                <w:sz w:val="16"/>
                <w:szCs w:val="16"/>
              </w:rPr>
            </w:pPr>
          </w:p>
          <w:p w14:paraId="2838C3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tc>
        <w:tc>
          <w:tcPr>
            <w:tcW w:w="1701" w:type="dxa"/>
          </w:tcPr>
          <w:p w14:paraId="24C082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года</w:t>
            </w:r>
          </w:p>
          <w:p w14:paraId="086DC003" w14:textId="77777777" w:rsidR="00D4105E" w:rsidRPr="00E14102" w:rsidRDefault="00D4105E" w:rsidP="00E14102">
            <w:pPr>
              <w:autoSpaceDE w:val="0"/>
              <w:autoSpaceDN w:val="0"/>
              <w:adjustRightInd w:val="0"/>
              <w:jc w:val="both"/>
              <w:rPr>
                <w:color w:val="000000" w:themeColor="text1"/>
                <w:sz w:val="16"/>
                <w:szCs w:val="16"/>
              </w:rPr>
            </w:pPr>
          </w:p>
          <w:p w14:paraId="756BEAFC" w14:textId="77777777" w:rsidR="00D4105E" w:rsidRPr="00E14102" w:rsidRDefault="00D4105E" w:rsidP="00E14102">
            <w:pPr>
              <w:autoSpaceDE w:val="0"/>
              <w:autoSpaceDN w:val="0"/>
              <w:adjustRightInd w:val="0"/>
              <w:jc w:val="both"/>
              <w:rPr>
                <w:color w:val="000000" w:themeColor="text1"/>
                <w:sz w:val="16"/>
                <w:szCs w:val="16"/>
              </w:rPr>
            </w:pPr>
          </w:p>
          <w:p w14:paraId="4822B2B8" w14:textId="77777777" w:rsidR="00D4105E" w:rsidRPr="00E14102" w:rsidRDefault="00D4105E" w:rsidP="00E14102">
            <w:pPr>
              <w:autoSpaceDE w:val="0"/>
              <w:autoSpaceDN w:val="0"/>
              <w:adjustRightInd w:val="0"/>
              <w:jc w:val="both"/>
              <w:rPr>
                <w:color w:val="000000" w:themeColor="text1"/>
                <w:sz w:val="16"/>
                <w:szCs w:val="16"/>
              </w:rPr>
            </w:pPr>
          </w:p>
          <w:p w14:paraId="762F09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года</w:t>
            </w:r>
          </w:p>
        </w:tc>
        <w:tc>
          <w:tcPr>
            <w:tcW w:w="4820" w:type="dxa"/>
          </w:tcPr>
          <w:p w14:paraId="058660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Схема самолета окончательно установлена. Приступлено к разработке рабочих чертежей. Ведется ряд статических испытаний отдельных элементов (типовых) конструкции крыла.</w:t>
            </w:r>
          </w:p>
          <w:p w14:paraId="0F27EE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Макет на утверждение еще не предъявлен.</w:t>
            </w:r>
          </w:p>
          <w:p w14:paraId="09FEA0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Ведется только предварительная компоновка самолета и разработка его схемы.</w:t>
            </w:r>
          </w:p>
        </w:tc>
      </w:tr>
      <w:tr w:rsidR="00E3599D" w:rsidRPr="00E14102" w14:paraId="5FDA0EBF" w14:textId="77777777">
        <w:trPr>
          <w:cantSplit/>
        </w:trPr>
        <w:tc>
          <w:tcPr>
            <w:tcW w:w="2518" w:type="dxa"/>
          </w:tcPr>
          <w:p w14:paraId="5E73F3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бомбардировщик ближнего действия</w:t>
            </w:r>
          </w:p>
        </w:tc>
        <w:tc>
          <w:tcPr>
            <w:tcW w:w="1559" w:type="dxa"/>
          </w:tcPr>
          <w:p w14:paraId="2157D3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p w14:paraId="4166CE73" w14:textId="77777777" w:rsidR="00D4105E" w:rsidRPr="00E14102" w:rsidRDefault="00D4105E" w:rsidP="00E14102">
            <w:pPr>
              <w:autoSpaceDE w:val="0"/>
              <w:autoSpaceDN w:val="0"/>
              <w:adjustRightInd w:val="0"/>
              <w:jc w:val="both"/>
              <w:rPr>
                <w:color w:val="000000" w:themeColor="text1"/>
                <w:sz w:val="16"/>
                <w:szCs w:val="16"/>
              </w:rPr>
            </w:pPr>
          </w:p>
          <w:p w14:paraId="200AE879" w14:textId="77777777" w:rsidR="00D4105E" w:rsidRPr="00E14102" w:rsidRDefault="00D4105E" w:rsidP="00E14102">
            <w:pPr>
              <w:autoSpaceDE w:val="0"/>
              <w:autoSpaceDN w:val="0"/>
              <w:adjustRightInd w:val="0"/>
              <w:jc w:val="both"/>
              <w:rPr>
                <w:color w:val="000000" w:themeColor="text1"/>
                <w:sz w:val="16"/>
                <w:szCs w:val="16"/>
              </w:rPr>
            </w:pPr>
          </w:p>
          <w:p w14:paraId="5D8523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18</w:t>
            </w:r>
          </w:p>
        </w:tc>
        <w:tc>
          <w:tcPr>
            <w:tcW w:w="1701" w:type="dxa"/>
          </w:tcPr>
          <w:p w14:paraId="57AFD2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февраля 1936 года</w:t>
            </w:r>
          </w:p>
          <w:p w14:paraId="0F2C1D2C" w14:textId="77777777" w:rsidR="00D4105E" w:rsidRPr="00E14102" w:rsidRDefault="00D4105E" w:rsidP="00E14102">
            <w:pPr>
              <w:autoSpaceDE w:val="0"/>
              <w:autoSpaceDN w:val="0"/>
              <w:adjustRightInd w:val="0"/>
              <w:jc w:val="both"/>
              <w:rPr>
                <w:color w:val="000000" w:themeColor="text1"/>
                <w:sz w:val="16"/>
                <w:szCs w:val="16"/>
              </w:rPr>
            </w:pPr>
          </w:p>
          <w:p w14:paraId="2A67E732" w14:textId="77777777" w:rsidR="00D4105E" w:rsidRPr="00E14102" w:rsidRDefault="00D4105E" w:rsidP="00E14102">
            <w:pPr>
              <w:autoSpaceDE w:val="0"/>
              <w:autoSpaceDN w:val="0"/>
              <w:adjustRightInd w:val="0"/>
              <w:jc w:val="both"/>
              <w:rPr>
                <w:color w:val="000000" w:themeColor="text1"/>
                <w:sz w:val="16"/>
                <w:szCs w:val="16"/>
              </w:rPr>
            </w:pPr>
          </w:p>
          <w:p w14:paraId="6F1D24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4820" w:type="dxa"/>
          </w:tcPr>
          <w:p w14:paraId="4C02E4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Фюзеляж готов. На центроплане устанавливаются нервюры. Производится на стапелях – обшивка крыльев. Шасси готово. Управление заканчивается постройкой. В ноябре ожидается выход самолета на заводские испытания.</w:t>
            </w:r>
          </w:p>
          <w:p w14:paraId="25F8E4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госиспытания самолета не выдержан. Задержка может быть частично объяснена переводом конструкторской группы Калинина из Харькова на завод № 18.</w:t>
            </w:r>
          </w:p>
          <w:p w14:paraId="58696F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производится окончательная сборка самолета и монтаж оборудования и вооружения. Заводские испытания начнутся не ранее конца октября.</w:t>
            </w:r>
          </w:p>
        </w:tc>
      </w:tr>
      <w:tr w:rsidR="00E3599D" w:rsidRPr="00E14102" w14:paraId="700E5CBE" w14:textId="77777777">
        <w:trPr>
          <w:cantSplit/>
        </w:trPr>
        <w:tc>
          <w:tcPr>
            <w:tcW w:w="2518" w:type="dxa"/>
          </w:tcPr>
          <w:p w14:paraId="4B749E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Пикирующий бомбардировщик</w:t>
            </w:r>
          </w:p>
        </w:tc>
        <w:tc>
          <w:tcPr>
            <w:tcW w:w="1559" w:type="dxa"/>
          </w:tcPr>
          <w:p w14:paraId="53F4BB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p w14:paraId="6EBF9EFF" w14:textId="77777777" w:rsidR="00D4105E" w:rsidRPr="00E14102" w:rsidRDefault="00D4105E" w:rsidP="00E14102">
            <w:pPr>
              <w:autoSpaceDE w:val="0"/>
              <w:autoSpaceDN w:val="0"/>
              <w:adjustRightInd w:val="0"/>
              <w:jc w:val="both"/>
              <w:rPr>
                <w:color w:val="000000" w:themeColor="text1"/>
                <w:sz w:val="16"/>
                <w:szCs w:val="16"/>
              </w:rPr>
            </w:pPr>
          </w:p>
          <w:p w14:paraId="4843914D" w14:textId="77777777" w:rsidR="00D4105E" w:rsidRPr="00E14102" w:rsidRDefault="00D4105E" w:rsidP="00E14102">
            <w:pPr>
              <w:autoSpaceDE w:val="0"/>
              <w:autoSpaceDN w:val="0"/>
              <w:adjustRightInd w:val="0"/>
              <w:jc w:val="both"/>
              <w:rPr>
                <w:color w:val="000000" w:themeColor="text1"/>
                <w:sz w:val="16"/>
                <w:szCs w:val="16"/>
              </w:rPr>
            </w:pPr>
          </w:p>
          <w:p w14:paraId="632A09C4" w14:textId="77777777" w:rsidR="00D4105E" w:rsidRPr="00E14102" w:rsidRDefault="00D4105E" w:rsidP="00E14102">
            <w:pPr>
              <w:autoSpaceDE w:val="0"/>
              <w:autoSpaceDN w:val="0"/>
              <w:adjustRightInd w:val="0"/>
              <w:jc w:val="both"/>
              <w:rPr>
                <w:color w:val="000000" w:themeColor="text1"/>
                <w:sz w:val="16"/>
                <w:szCs w:val="16"/>
              </w:rPr>
            </w:pPr>
          </w:p>
          <w:p w14:paraId="5EC59964" w14:textId="77777777" w:rsidR="00D4105E" w:rsidRPr="00E14102" w:rsidRDefault="00D4105E" w:rsidP="00E14102">
            <w:pPr>
              <w:autoSpaceDE w:val="0"/>
              <w:autoSpaceDN w:val="0"/>
              <w:adjustRightInd w:val="0"/>
              <w:jc w:val="both"/>
              <w:rPr>
                <w:color w:val="000000" w:themeColor="text1"/>
                <w:sz w:val="16"/>
                <w:szCs w:val="16"/>
              </w:rPr>
            </w:pPr>
          </w:p>
          <w:p w14:paraId="5D9A6E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18</w:t>
            </w:r>
          </w:p>
        </w:tc>
        <w:tc>
          <w:tcPr>
            <w:tcW w:w="1701" w:type="dxa"/>
          </w:tcPr>
          <w:p w14:paraId="088C9C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1936 года</w:t>
            </w:r>
          </w:p>
          <w:p w14:paraId="1560A3D4" w14:textId="77777777" w:rsidR="00D4105E" w:rsidRPr="00E14102" w:rsidRDefault="00D4105E" w:rsidP="00E14102">
            <w:pPr>
              <w:autoSpaceDE w:val="0"/>
              <w:autoSpaceDN w:val="0"/>
              <w:adjustRightInd w:val="0"/>
              <w:jc w:val="both"/>
              <w:rPr>
                <w:color w:val="000000" w:themeColor="text1"/>
                <w:sz w:val="16"/>
                <w:szCs w:val="16"/>
              </w:rPr>
            </w:pPr>
          </w:p>
          <w:p w14:paraId="3779B45D" w14:textId="77777777" w:rsidR="00D4105E" w:rsidRPr="00E14102" w:rsidRDefault="00D4105E" w:rsidP="00E14102">
            <w:pPr>
              <w:autoSpaceDE w:val="0"/>
              <w:autoSpaceDN w:val="0"/>
              <w:adjustRightInd w:val="0"/>
              <w:jc w:val="both"/>
              <w:rPr>
                <w:color w:val="000000" w:themeColor="text1"/>
                <w:sz w:val="16"/>
                <w:szCs w:val="16"/>
              </w:rPr>
            </w:pPr>
          </w:p>
          <w:p w14:paraId="53091E0A" w14:textId="77777777" w:rsidR="00D4105E" w:rsidRPr="00E14102" w:rsidRDefault="00D4105E" w:rsidP="00E14102">
            <w:pPr>
              <w:autoSpaceDE w:val="0"/>
              <w:autoSpaceDN w:val="0"/>
              <w:adjustRightInd w:val="0"/>
              <w:jc w:val="both"/>
              <w:rPr>
                <w:color w:val="000000" w:themeColor="text1"/>
                <w:sz w:val="16"/>
                <w:szCs w:val="16"/>
              </w:rPr>
            </w:pPr>
          </w:p>
          <w:p w14:paraId="1FD23FB3" w14:textId="77777777" w:rsidR="00D4105E" w:rsidRPr="00E14102" w:rsidRDefault="00D4105E" w:rsidP="00E14102">
            <w:pPr>
              <w:autoSpaceDE w:val="0"/>
              <w:autoSpaceDN w:val="0"/>
              <w:adjustRightInd w:val="0"/>
              <w:jc w:val="both"/>
              <w:rPr>
                <w:color w:val="000000" w:themeColor="text1"/>
                <w:sz w:val="16"/>
                <w:szCs w:val="16"/>
              </w:rPr>
            </w:pPr>
          </w:p>
          <w:p w14:paraId="5FE276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1936 года</w:t>
            </w:r>
          </w:p>
        </w:tc>
        <w:tc>
          <w:tcPr>
            <w:tcW w:w="4820" w:type="dxa"/>
          </w:tcPr>
          <w:p w14:paraId="0DDEF5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Ведется проектирования самолета. Эскизный проект представлен на рассмотрение УВС. Макет самолета построен, но еще не предъявлен.</w:t>
            </w:r>
          </w:p>
          <w:p w14:paraId="3D7EF1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того, что до настоящего времени постройка самолета не развернута, является весьма сомнительным, что завод № 1 выдержит срок предъявления на госиспытания, стоящий в плане.</w:t>
            </w:r>
          </w:p>
          <w:p w14:paraId="4A0655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Ведется разработка эскизного проекта. Макет самолета еще не готов. Срок передачи самолета на госиспытания находится под непосредственной угрозой.</w:t>
            </w:r>
          </w:p>
        </w:tc>
      </w:tr>
      <w:tr w:rsidR="00E3599D" w:rsidRPr="00E14102" w14:paraId="14DA13F1" w14:textId="77777777">
        <w:trPr>
          <w:cantSplit/>
        </w:trPr>
        <w:tc>
          <w:tcPr>
            <w:tcW w:w="2518" w:type="dxa"/>
          </w:tcPr>
          <w:p w14:paraId="7208CB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Войсковой самолет общего назначения</w:t>
            </w:r>
          </w:p>
        </w:tc>
        <w:tc>
          <w:tcPr>
            <w:tcW w:w="1559" w:type="dxa"/>
          </w:tcPr>
          <w:p w14:paraId="5674C0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p w14:paraId="57FA78FD" w14:textId="77777777" w:rsidR="00D4105E" w:rsidRPr="00E14102" w:rsidRDefault="00D4105E" w:rsidP="00E14102">
            <w:pPr>
              <w:autoSpaceDE w:val="0"/>
              <w:autoSpaceDN w:val="0"/>
              <w:adjustRightInd w:val="0"/>
              <w:jc w:val="both"/>
              <w:rPr>
                <w:color w:val="000000" w:themeColor="text1"/>
                <w:sz w:val="16"/>
                <w:szCs w:val="16"/>
              </w:rPr>
            </w:pPr>
          </w:p>
          <w:p w14:paraId="3F0070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c>
          <w:tcPr>
            <w:tcW w:w="1701" w:type="dxa"/>
          </w:tcPr>
          <w:p w14:paraId="0ED7A3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w:t>
            </w:r>
          </w:p>
          <w:p w14:paraId="01A36EFF" w14:textId="77777777" w:rsidR="00D4105E" w:rsidRPr="00E14102" w:rsidRDefault="00D4105E" w:rsidP="00E14102">
            <w:pPr>
              <w:autoSpaceDE w:val="0"/>
              <w:autoSpaceDN w:val="0"/>
              <w:adjustRightInd w:val="0"/>
              <w:jc w:val="both"/>
              <w:rPr>
                <w:color w:val="000000" w:themeColor="text1"/>
                <w:sz w:val="16"/>
                <w:szCs w:val="16"/>
              </w:rPr>
            </w:pPr>
          </w:p>
          <w:p w14:paraId="75E5ED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w:t>
            </w:r>
          </w:p>
        </w:tc>
        <w:tc>
          <w:tcPr>
            <w:tcW w:w="4820" w:type="dxa"/>
          </w:tcPr>
          <w:p w14:paraId="10CD73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Разработан эскизный проект. Готовится макет. В связи с указаниями начальника УВС, проект пересматривается в отношении возможности уменьшения посадочной скорости.</w:t>
            </w:r>
          </w:p>
          <w:p w14:paraId="34D2C4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Начата лишь предварительная компоновка самолета.</w:t>
            </w:r>
          </w:p>
        </w:tc>
      </w:tr>
      <w:tr w:rsidR="00E3599D" w:rsidRPr="00E14102" w14:paraId="650A061D" w14:textId="77777777">
        <w:trPr>
          <w:cantSplit/>
        </w:trPr>
        <w:tc>
          <w:tcPr>
            <w:tcW w:w="2518" w:type="dxa"/>
          </w:tcPr>
          <w:p w14:paraId="0D3BB5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Разведчик скоростной</w:t>
            </w:r>
          </w:p>
        </w:tc>
        <w:tc>
          <w:tcPr>
            <w:tcW w:w="1559" w:type="dxa"/>
          </w:tcPr>
          <w:p w14:paraId="46ADFA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p w14:paraId="1B742517" w14:textId="77777777" w:rsidR="00D4105E" w:rsidRPr="00E14102" w:rsidRDefault="00D4105E" w:rsidP="00E14102">
            <w:pPr>
              <w:autoSpaceDE w:val="0"/>
              <w:autoSpaceDN w:val="0"/>
              <w:adjustRightInd w:val="0"/>
              <w:jc w:val="both"/>
              <w:rPr>
                <w:color w:val="000000" w:themeColor="text1"/>
                <w:sz w:val="16"/>
                <w:szCs w:val="16"/>
              </w:rPr>
            </w:pPr>
          </w:p>
          <w:p w14:paraId="51BFA4D8" w14:textId="77777777" w:rsidR="00D4105E" w:rsidRPr="00E14102" w:rsidRDefault="00D4105E" w:rsidP="00E14102">
            <w:pPr>
              <w:autoSpaceDE w:val="0"/>
              <w:autoSpaceDN w:val="0"/>
              <w:adjustRightInd w:val="0"/>
              <w:jc w:val="both"/>
              <w:rPr>
                <w:color w:val="000000" w:themeColor="text1"/>
                <w:sz w:val="16"/>
                <w:szCs w:val="16"/>
              </w:rPr>
            </w:pPr>
          </w:p>
          <w:p w14:paraId="4023C2DE" w14:textId="77777777" w:rsidR="00D4105E" w:rsidRPr="00E14102" w:rsidRDefault="00D4105E" w:rsidP="00E14102">
            <w:pPr>
              <w:autoSpaceDE w:val="0"/>
              <w:autoSpaceDN w:val="0"/>
              <w:adjustRightInd w:val="0"/>
              <w:jc w:val="both"/>
              <w:rPr>
                <w:color w:val="000000" w:themeColor="text1"/>
                <w:sz w:val="16"/>
                <w:szCs w:val="16"/>
              </w:rPr>
            </w:pPr>
          </w:p>
          <w:p w14:paraId="36F794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p w14:paraId="530F2BAD" w14:textId="77777777" w:rsidR="00D4105E" w:rsidRPr="00E14102" w:rsidRDefault="00D4105E" w:rsidP="00E14102">
            <w:pPr>
              <w:autoSpaceDE w:val="0"/>
              <w:autoSpaceDN w:val="0"/>
              <w:adjustRightInd w:val="0"/>
              <w:jc w:val="both"/>
              <w:rPr>
                <w:color w:val="000000" w:themeColor="text1"/>
                <w:sz w:val="16"/>
                <w:szCs w:val="16"/>
              </w:rPr>
            </w:pPr>
          </w:p>
          <w:p w14:paraId="080B7799" w14:textId="77777777" w:rsidR="00D4105E" w:rsidRPr="00E14102" w:rsidRDefault="00D4105E" w:rsidP="00E14102">
            <w:pPr>
              <w:autoSpaceDE w:val="0"/>
              <w:autoSpaceDN w:val="0"/>
              <w:adjustRightInd w:val="0"/>
              <w:jc w:val="both"/>
              <w:rPr>
                <w:color w:val="000000" w:themeColor="text1"/>
                <w:sz w:val="16"/>
                <w:szCs w:val="16"/>
              </w:rPr>
            </w:pPr>
          </w:p>
          <w:p w14:paraId="3AF7E3B3" w14:textId="77777777" w:rsidR="00D4105E" w:rsidRPr="00E14102" w:rsidRDefault="00D4105E" w:rsidP="00E14102">
            <w:pPr>
              <w:autoSpaceDE w:val="0"/>
              <w:autoSpaceDN w:val="0"/>
              <w:adjustRightInd w:val="0"/>
              <w:jc w:val="both"/>
              <w:rPr>
                <w:color w:val="000000" w:themeColor="text1"/>
                <w:sz w:val="16"/>
                <w:szCs w:val="16"/>
              </w:rPr>
            </w:pPr>
          </w:p>
          <w:p w14:paraId="52E72F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1701" w:type="dxa"/>
          </w:tcPr>
          <w:p w14:paraId="0A2698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p w14:paraId="05B53494" w14:textId="77777777" w:rsidR="00D4105E" w:rsidRPr="00E14102" w:rsidRDefault="00D4105E" w:rsidP="00E14102">
            <w:pPr>
              <w:autoSpaceDE w:val="0"/>
              <w:autoSpaceDN w:val="0"/>
              <w:adjustRightInd w:val="0"/>
              <w:jc w:val="both"/>
              <w:rPr>
                <w:color w:val="000000" w:themeColor="text1"/>
                <w:sz w:val="16"/>
                <w:szCs w:val="16"/>
              </w:rPr>
            </w:pPr>
          </w:p>
          <w:p w14:paraId="13AECF96" w14:textId="77777777" w:rsidR="00D4105E" w:rsidRPr="00E14102" w:rsidRDefault="00D4105E" w:rsidP="00E14102">
            <w:pPr>
              <w:autoSpaceDE w:val="0"/>
              <w:autoSpaceDN w:val="0"/>
              <w:adjustRightInd w:val="0"/>
              <w:jc w:val="both"/>
              <w:rPr>
                <w:color w:val="000000" w:themeColor="text1"/>
                <w:sz w:val="16"/>
                <w:szCs w:val="16"/>
              </w:rPr>
            </w:pPr>
          </w:p>
          <w:p w14:paraId="345E5B59" w14:textId="77777777" w:rsidR="00D4105E" w:rsidRPr="00E14102" w:rsidRDefault="00D4105E" w:rsidP="00E14102">
            <w:pPr>
              <w:autoSpaceDE w:val="0"/>
              <w:autoSpaceDN w:val="0"/>
              <w:adjustRightInd w:val="0"/>
              <w:jc w:val="both"/>
              <w:rPr>
                <w:color w:val="000000" w:themeColor="text1"/>
                <w:sz w:val="16"/>
                <w:szCs w:val="16"/>
              </w:rPr>
            </w:pPr>
          </w:p>
          <w:p w14:paraId="22E345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года</w:t>
            </w:r>
          </w:p>
          <w:p w14:paraId="03ECC1CC" w14:textId="77777777" w:rsidR="00D4105E" w:rsidRPr="00E14102" w:rsidRDefault="00D4105E" w:rsidP="00E14102">
            <w:pPr>
              <w:autoSpaceDE w:val="0"/>
              <w:autoSpaceDN w:val="0"/>
              <w:adjustRightInd w:val="0"/>
              <w:jc w:val="both"/>
              <w:rPr>
                <w:color w:val="000000" w:themeColor="text1"/>
                <w:sz w:val="16"/>
                <w:szCs w:val="16"/>
              </w:rPr>
            </w:pPr>
          </w:p>
          <w:p w14:paraId="2CD3613D" w14:textId="77777777" w:rsidR="00D4105E" w:rsidRPr="00E14102" w:rsidRDefault="00D4105E" w:rsidP="00E14102">
            <w:pPr>
              <w:autoSpaceDE w:val="0"/>
              <w:autoSpaceDN w:val="0"/>
              <w:adjustRightInd w:val="0"/>
              <w:jc w:val="both"/>
              <w:rPr>
                <w:color w:val="000000" w:themeColor="text1"/>
                <w:sz w:val="16"/>
                <w:szCs w:val="16"/>
              </w:rPr>
            </w:pPr>
          </w:p>
          <w:p w14:paraId="4446287E" w14:textId="77777777" w:rsidR="00D4105E" w:rsidRPr="00E14102" w:rsidRDefault="00D4105E" w:rsidP="00E14102">
            <w:pPr>
              <w:autoSpaceDE w:val="0"/>
              <w:autoSpaceDN w:val="0"/>
              <w:adjustRightInd w:val="0"/>
              <w:jc w:val="both"/>
              <w:rPr>
                <w:color w:val="000000" w:themeColor="text1"/>
                <w:sz w:val="16"/>
                <w:szCs w:val="16"/>
              </w:rPr>
            </w:pPr>
          </w:p>
          <w:p w14:paraId="528C40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года</w:t>
            </w:r>
          </w:p>
        </w:tc>
        <w:tc>
          <w:tcPr>
            <w:tcW w:w="4820" w:type="dxa"/>
          </w:tcPr>
          <w:p w14:paraId="6997B4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самолета на госиспытания сорван. Срыв срока лежит, безусловно, на заводе № 39, не форсировавшим своевременно его постройку. В настоящее время производится окончательная сборка самолета и монтаж оборудования. Начало заводских испытаний ожидается в первой декаде ноября.</w:t>
            </w:r>
          </w:p>
          <w:p w14:paraId="7C0300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Эскизный проект самолета (боевая схема) рассмотрен и утвержден УВС. Макет самолета был предъявлен, но не утвержден в основном из-за тесноты кабины летнаба. К постройке самолета завод еще не приступил, благодаря чему является совершенно несомненным, что срок предъявления его на госиспытания выдержан не будет.</w:t>
            </w:r>
          </w:p>
          <w:p w14:paraId="1A37AD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Ведется проектирование самолета. Эскизный проект и макет УВС не предъявлены. Срок предъявления на госиспытания выдержан не будет.</w:t>
            </w:r>
          </w:p>
        </w:tc>
      </w:tr>
      <w:tr w:rsidR="00E3599D" w:rsidRPr="00E14102" w14:paraId="3CE79D52" w14:textId="77777777">
        <w:trPr>
          <w:cantSplit/>
        </w:trPr>
        <w:tc>
          <w:tcPr>
            <w:tcW w:w="2518" w:type="dxa"/>
          </w:tcPr>
          <w:p w14:paraId="4C9965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Многоместный истребитель</w:t>
            </w:r>
          </w:p>
        </w:tc>
        <w:tc>
          <w:tcPr>
            <w:tcW w:w="1559" w:type="dxa"/>
          </w:tcPr>
          <w:p w14:paraId="33C82C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c>
          <w:tcPr>
            <w:tcW w:w="1701" w:type="dxa"/>
          </w:tcPr>
          <w:p w14:paraId="215C27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года</w:t>
            </w:r>
          </w:p>
        </w:tc>
        <w:tc>
          <w:tcPr>
            <w:tcW w:w="4820" w:type="dxa"/>
          </w:tcPr>
          <w:p w14:paraId="675EDA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Заканчивается эскизный проект. Начато изготовление макета.</w:t>
            </w:r>
          </w:p>
        </w:tc>
      </w:tr>
      <w:tr w:rsidR="00E3599D" w:rsidRPr="00E14102" w14:paraId="75259BEF" w14:textId="77777777">
        <w:trPr>
          <w:cantSplit/>
        </w:trPr>
        <w:tc>
          <w:tcPr>
            <w:tcW w:w="2518" w:type="dxa"/>
          </w:tcPr>
          <w:p w14:paraId="1C8B24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(И-19)</w:t>
            </w:r>
          </w:p>
        </w:tc>
        <w:tc>
          <w:tcPr>
            <w:tcW w:w="1559" w:type="dxa"/>
          </w:tcPr>
          <w:p w14:paraId="2116BB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p w14:paraId="001E4371" w14:textId="77777777" w:rsidR="00D4105E" w:rsidRPr="00E14102" w:rsidRDefault="00D4105E" w:rsidP="00E14102">
            <w:pPr>
              <w:autoSpaceDE w:val="0"/>
              <w:autoSpaceDN w:val="0"/>
              <w:adjustRightInd w:val="0"/>
              <w:jc w:val="both"/>
              <w:rPr>
                <w:color w:val="000000" w:themeColor="text1"/>
                <w:sz w:val="16"/>
                <w:szCs w:val="16"/>
              </w:rPr>
            </w:pPr>
          </w:p>
          <w:p w14:paraId="240DEE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p w14:paraId="4572B581" w14:textId="77777777" w:rsidR="00D4105E" w:rsidRPr="00E14102" w:rsidRDefault="00D4105E" w:rsidP="00E14102">
            <w:pPr>
              <w:autoSpaceDE w:val="0"/>
              <w:autoSpaceDN w:val="0"/>
              <w:adjustRightInd w:val="0"/>
              <w:jc w:val="both"/>
              <w:rPr>
                <w:color w:val="000000" w:themeColor="text1"/>
                <w:sz w:val="16"/>
                <w:szCs w:val="16"/>
              </w:rPr>
            </w:pPr>
          </w:p>
          <w:p w14:paraId="5CA9E7FC" w14:textId="77777777" w:rsidR="00D4105E" w:rsidRPr="00E14102" w:rsidRDefault="00D4105E" w:rsidP="00E14102">
            <w:pPr>
              <w:autoSpaceDE w:val="0"/>
              <w:autoSpaceDN w:val="0"/>
              <w:adjustRightInd w:val="0"/>
              <w:jc w:val="both"/>
              <w:rPr>
                <w:color w:val="000000" w:themeColor="text1"/>
                <w:sz w:val="16"/>
                <w:szCs w:val="16"/>
              </w:rPr>
            </w:pPr>
          </w:p>
          <w:p w14:paraId="7D358B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21</w:t>
            </w:r>
          </w:p>
        </w:tc>
        <w:tc>
          <w:tcPr>
            <w:tcW w:w="1701" w:type="dxa"/>
          </w:tcPr>
          <w:p w14:paraId="0A310A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года</w:t>
            </w:r>
          </w:p>
          <w:p w14:paraId="166B4562" w14:textId="77777777" w:rsidR="00D4105E" w:rsidRPr="00E14102" w:rsidRDefault="00D4105E" w:rsidP="00E14102">
            <w:pPr>
              <w:autoSpaceDE w:val="0"/>
              <w:autoSpaceDN w:val="0"/>
              <w:adjustRightInd w:val="0"/>
              <w:jc w:val="both"/>
              <w:rPr>
                <w:color w:val="000000" w:themeColor="text1"/>
                <w:sz w:val="16"/>
                <w:szCs w:val="16"/>
              </w:rPr>
            </w:pPr>
          </w:p>
          <w:p w14:paraId="2C5185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p w14:paraId="4E76F710" w14:textId="77777777" w:rsidR="00D4105E" w:rsidRPr="00E14102" w:rsidRDefault="00D4105E" w:rsidP="00E14102">
            <w:pPr>
              <w:autoSpaceDE w:val="0"/>
              <w:autoSpaceDN w:val="0"/>
              <w:adjustRightInd w:val="0"/>
              <w:jc w:val="both"/>
              <w:rPr>
                <w:color w:val="000000" w:themeColor="text1"/>
                <w:sz w:val="16"/>
                <w:szCs w:val="16"/>
              </w:rPr>
            </w:pPr>
          </w:p>
          <w:p w14:paraId="44F10152" w14:textId="77777777" w:rsidR="00D4105E" w:rsidRPr="00E14102" w:rsidRDefault="00D4105E" w:rsidP="00E14102">
            <w:pPr>
              <w:autoSpaceDE w:val="0"/>
              <w:autoSpaceDN w:val="0"/>
              <w:adjustRightInd w:val="0"/>
              <w:jc w:val="both"/>
              <w:rPr>
                <w:color w:val="000000" w:themeColor="text1"/>
                <w:sz w:val="16"/>
                <w:szCs w:val="16"/>
              </w:rPr>
            </w:pPr>
          </w:p>
          <w:p w14:paraId="6CCC7ED4"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7C2A75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Разрабатывается эскизный проект под модифицированный мотор М34РН. Сдача чертежей на производство намечена на середину ноября.</w:t>
            </w:r>
          </w:p>
          <w:p w14:paraId="03E17B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Эскизный проект и макет самолета утверждены. Проектирование заканчивается и начинается производство. Срок предъявления объекта на госиспытания выдержан не будет.</w:t>
            </w:r>
          </w:p>
          <w:p w14:paraId="7C3AC1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Ведется проектирование самолета. Эскизный проект еще в УВС не предъявлен.</w:t>
            </w:r>
          </w:p>
        </w:tc>
      </w:tr>
      <w:tr w:rsidR="00E3599D" w:rsidRPr="00E14102" w14:paraId="582AA8D2" w14:textId="77777777">
        <w:trPr>
          <w:cantSplit/>
        </w:trPr>
        <w:tc>
          <w:tcPr>
            <w:tcW w:w="2518" w:type="dxa"/>
          </w:tcPr>
          <w:p w14:paraId="3EDC0A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пушечный</w:t>
            </w:r>
          </w:p>
        </w:tc>
        <w:tc>
          <w:tcPr>
            <w:tcW w:w="1559" w:type="dxa"/>
          </w:tcPr>
          <w:p w14:paraId="1A9523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c>
          <w:tcPr>
            <w:tcW w:w="1701" w:type="dxa"/>
          </w:tcPr>
          <w:p w14:paraId="666D44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w:t>
            </w:r>
          </w:p>
        </w:tc>
        <w:tc>
          <w:tcPr>
            <w:tcW w:w="4820" w:type="dxa"/>
          </w:tcPr>
          <w:p w14:paraId="08E1C4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Ведется проектирование самолета. Эскизный проект (боевая схема) предъявлен на утверждение в УВС. Строится макет.</w:t>
            </w:r>
          </w:p>
        </w:tc>
      </w:tr>
      <w:tr w:rsidR="00E3599D" w:rsidRPr="00E14102" w14:paraId="343E02A8" w14:textId="77777777">
        <w:trPr>
          <w:cantSplit/>
        </w:trPr>
        <w:tc>
          <w:tcPr>
            <w:tcW w:w="2518" w:type="dxa"/>
          </w:tcPr>
          <w:p w14:paraId="779B5D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Морской тяжелый бомбардировщик (МТБ)</w:t>
            </w:r>
          </w:p>
        </w:tc>
        <w:tc>
          <w:tcPr>
            <w:tcW w:w="1559" w:type="dxa"/>
          </w:tcPr>
          <w:p w14:paraId="1E5BEF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4811E1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года</w:t>
            </w:r>
          </w:p>
        </w:tc>
        <w:tc>
          <w:tcPr>
            <w:tcW w:w="4820" w:type="dxa"/>
          </w:tcPr>
          <w:p w14:paraId="70F64E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Продолжается проектирование самолета. Пущены в производство консольные части крыльев. Эскизный проект и макет УВС еще не предъявлены.</w:t>
            </w:r>
          </w:p>
        </w:tc>
      </w:tr>
      <w:tr w:rsidR="00E3599D" w:rsidRPr="00E14102" w14:paraId="0CF3184C" w14:textId="77777777">
        <w:trPr>
          <w:cantSplit/>
        </w:trPr>
        <w:tc>
          <w:tcPr>
            <w:tcW w:w="2518" w:type="dxa"/>
          </w:tcPr>
          <w:p w14:paraId="49F8C1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Дальний разведчик (морской)</w:t>
            </w:r>
          </w:p>
        </w:tc>
        <w:tc>
          <w:tcPr>
            <w:tcW w:w="1559" w:type="dxa"/>
          </w:tcPr>
          <w:p w14:paraId="67343A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p w14:paraId="59C3696F" w14:textId="77777777" w:rsidR="00D4105E" w:rsidRPr="00E14102" w:rsidRDefault="00D4105E" w:rsidP="00E14102">
            <w:pPr>
              <w:autoSpaceDE w:val="0"/>
              <w:autoSpaceDN w:val="0"/>
              <w:adjustRightInd w:val="0"/>
              <w:jc w:val="both"/>
              <w:rPr>
                <w:color w:val="000000" w:themeColor="text1"/>
                <w:sz w:val="16"/>
                <w:szCs w:val="16"/>
              </w:rPr>
            </w:pPr>
          </w:p>
          <w:p w14:paraId="38B09A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45</w:t>
            </w:r>
          </w:p>
        </w:tc>
        <w:tc>
          <w:tcPr>
            <w:tcW w:w="1701" w:type="dxa"/>
          </w:tcPr>
          <w:p w14:paraId="6A2F44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года</w:t>
            </w:r>
          </w:p>
          <w:p w14:paraId="3273F025" w14:textId="77777777" w:rsidR="00D4105E" w:rsidRPr="00E14102" w:rsidRDefault="00D4105E" w:rsidP="00E14102">
            <w:pPr>
              <w:autoSpaceDE w:val="0"/>
              <w:autoSpaceDN w:val="0"/>
              <w:adjustRightInd w:val="0"/>
              <w:jc w:val="both"/>
              <w:rPr>
                <w:color w:val="000000" w:themeColor="text1"/>
                <w:sz w:val="16"/>
                <w:szCs w:val="16"/>
              </w:rPr>
            </w:pPr>
          </w:p>
          <w:p w14:paraId="24D090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4820" w:type="dxa"/>
          </w:tcPr>
          <w:p w14:paraId="703845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Эскизный проект самолета предъявлен на утверждение в УВС. Проектирование гидросамолета продолжается. Макет должен быть предъявлен в конце октября.</w:t>
            </w:r>
          </w:p>
          <w:p w14:paraId="39D3C9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Эскизный проект самолета утвержден. Макет еще не предъявлен. Постройка только начата. Срок предъявления на госиспытания находится под непосредственной угрозой.</w:t>
            </w:r>
          </w:p>
        </w:tc>
      </w:tr>
      <w:tr w:rsidR="00E3599D" w:rsidRPr="00E14102" w14:paraId="00EE9F70" w14:textId="77777777">
        <w:trPr>
          <w:cantSplit/>
        </w:trPr>
        <w:tc>
          <w:tcPr>
            <w:tcW w:w="2518" w:type="dxa"/>
          </w:tcPr>
          <w:p w14:paraId="64F7D1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Морской ближний разведчик</w:t>
            </w:r>
          </w:p>
        </w:tc>
        <w:tc>
          <w:tcPr>
            <w:tcW w:w="1559" w:type="dxa"/>
          </w:tcPr>
          <w:p w14:paraId="1223AC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7DAD61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1936 года</w:t>
            </w:r>
          </w:p>
        </w:tc>
        <w:tc>
          <w:tcPr>
            <w:tcW w:w="4820" w:type="dxa"/>
          </w:tcPr>
          <w:p w14:paraId="7F948C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проектированию самолета ЦАГИ еще не приступал.</w:t>
            </w:r>
          </w:p>
        </w:tc>
      </w:tr>
      <w:tr w:rsidR="00E3599D" w:rsidRPr="00E14102" w14:paraId="01880FC2" w14:textId="77777777">
        <w:trPr>
          <w:cantSplit/>
        </w:trPr>
        <w:tc>
          <w:tcPr>
            <w:tcW w:w="2518" w:type="dxa"/>
          </w:tcPr>
          <w:p w14:paraId="5D6748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Торпедоносец</w:t>
            </w:r>
          </w:p>
        </w:tc>
        <w:tc>
          <w:tcPr>
            <w:tcW w:w="1559" w:type="dxa"/>
          </w:tcPr>
          <w:p w14:paraId="5E592F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1E8550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4820" w:type="dxa"/>
          </w:tcPr>
          <w:p w14:paraId="7B6F8D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находится в постройке. Сборка центроплана выполнена на 70%. Сборка хвостовой части фюзеляжа на 50%; сборка крыльев заканчивается. Оперение готово. По состоянию готовности самолет все же в срок на госиспытания предъявлен не будет.</w:t>
            </w:r>
          </w:p>
        </w:tc>
      </w:tr>
      <w:tr w:rsidR="00E3599D" w:rsidRPr="00E14102" w14:paraId="7F3B1CCA" w14:textId="77777777">
        <w:trPr>
          <w:cantSplit/>
        </w:trPr>
        <w:tc>
          <w:tcPr>
            <w:tcW w:w="2518" w:type="dxa"/>
          </w:tcPr>
          <w:p w14:paraId="5BD124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корабельной службы</w:t>
            </w:r>
          </w:p>
        </w:tc>
        <w:tc>
          <w:tcPr>
            <w:tcW w:w="1559" w:type="dxa"/>
          </w:tcPr>
          <w:p w14:paraId="01695E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c>
          <w:tcPr>
            <w:tcW w:w="1701" w:type="dxa"/>
          </w:tcPr>
          <w:p w14:paraId="42484A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года</w:t>
            </w:r>
          </w:p>
        </w:tc>
        <w:tc>
          <w:tcPr>
            <w:tcW w:w="4820" w:type="dxa"/>
          </w:tcPr>
          <w:p w14:paraId="6A4F4C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Эскизный проект и макет самолета утверждены. Проектирование закончено. Ведется постройка. По ее состоянию, очевидно, что к 1 ноября 1935 года самолет на госиспытания предъявлен не будет.</w:t>
            </w:r>
          </w:p>
        </w:tc>
      </w:tr>
      <w:tr w:rsidR="00E3599D" w:rsidRPr="00E14102" w14:paraId="35E5CD06" w14:textId="77777777">
        <w:trPr>
          <w:cantSplit/>
        </w:trPr>
        <w:tc>
          <w:tcPr>
            <w:tcW w:w="2518" w:type="dxa"/>
          </w:tcPr>
          <w:p w14:paraId="19CC77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Переходный самолет (тренировочный)</w:t>
            </w:r>
          </w:p>
        </w:tc>
        <w:tc>
          <w:tcPr>
            <w:tcW w:w="1559" w:type="dxa"/>
          </w:tcPr>
          <w:p w14:paraId="5422AE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23</w:t>
            </w:r>
          </w:p>
          <w:p w14:paraId="5180A2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КАИ</w:t>
            </w:r>
          </w:p>
        </w:tc>
        <w:tc>
          <w:tcPr>
            <w:tcW w:w="1701" w:type="dxa"/>
          </w:tcPr>
          <w:p w14:paraId="4EE144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года</w:t>
            </w:r>
          </w:p>
          <w:p w14:paraId="3317E6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года</w:t>
            </w:r>
          </w:p>
        </w:tc>
        <w:tc>
          <w:tcPr>
            <w:tcW w:w="4820" w:type="dxa"/>
          </w:tcPr>
          <w:p w14:paraId="36F37B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Эскизный проект и макет утверждены. Проектирование закончено. Постройка не начата из-за отсутствия мотора М-48, снятого со строительства ГУАПом. Срок предъявления на госиспытания – сорван.</w:t>
            </w:r>
          </w:p>
        </w:tc>
      </w:tr>
      <w:tr w:rsidR="00E3599D" w:rsidRPr="00E14102" w14:paraId="33394000" w14:textId="77777777">
        <w:trPr>
          <w:cantSplit/>
        </w:trPr>
        <w:tc>
          <w:tcPr>
            <w:tcW w:w="2518" w:type="dxa"/>
          </w:tcPr>
          <w:p w14:paraId="4BF733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Транспортный самолет</w:t>
            </w:r>
          </w:p>
        </w:tc>
        <w:tc>
          <w:tcPr>
            <w:tcW w:w="1559" w:type="dxa"/>
          </w:tcPr>
          <w:p w14:paraId="657310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18</w:t>
            </w:r>
          </w:p>
        </w:tc>
        <w:tc>
          <w:tcPr>
            <w:tcW w:w="1701" w:type="dxa"/>
          </w:tcPr>
          <w:p w14:paraId="0A4FBF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1936 года</w:t>
            </w:r>
          </w:p>
        </w:tc>
        <w:tc>
          <w:tcPr>
            <w:tcW w:w="4820" w:type="dxa"/>
          </w:tcPr>
          <w:p w14:paraId="306BD0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проектированию самолета завод еще не приступил.</w:t>
            </w:r>
          </w:p>
        </w:tc>
      </w:tr>
      <w:tr w:rsidR="00E3599D" w:rsidRPr="00E14102" w14:paraId="76AED708" w14:textId="77777777">
        <w:trPr>
          <w:cantSplit/>
        </w:trPr>
        <w:tc>
          <w:tcPr>
            <w:tcW w:w="2518" w:type="dxa"/>
          </w:tcPr>
          <w:p w14:paraId="365907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для побития мирового рекорда скорости</w:t>
            </w:r>
          </w:p>
        </w:tc>
        <w:tc>
          <w:tcPr>
            <w:tcW w:w="1559" w:type="dxa"/>
          </w:tcPr>
          <w:p w14:paraId="10921DB0"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5089B5D0"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4E10D4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постановления СТО от 16 апреля 1935 года. НКТП и НКО должны были разработать и предъявить 16 июня 1935 года план работ по созданию указанных самолетов. Однако, несмотря на настояния НКО (УВС), ГУАП такого плана не создал.</w:t>
            </w:r>
          </w:p>
        </w:tc>
      </w:tr>
      <w:tr w:rsidR="00E3599D" w:rsidRPr="00E14102" w14:paraId="048D053D" w14:textId="77777777">
        <w:trPr>
          <w:cantSplit/>
        </w:trPr>
        <w:tc>
          <w:tcPr>
            <w:tcW w:w="2518" w:type="dxa"/>
          </w:tcPr>
          <w:p w14:paraId="2C7C4E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для побития мирового рекорда высоты</w:t>
            </w:r>
          </w:p>
        </w:tc>
        <w:tc>
          <w:tcPr>
            <w:tcW w:w="1559" w:type="dxa"/>
          </w:tcPr>
          <w:p w14:paraId="37D8D967"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1519144B"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7E2C4C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постановления СТО от 16 апреля 1935 года. НКТП и НКО должны были разработать и предъявить 16 июня 1935 года план работ по созданию указанных самолетов. Однако, несмотря на настояния НКО (УВС), ГУАП такого плана не создал.</w:t>
            </w:r>
          </w:p>
        </w:tc>
      </w:tr>
      <w:tr w:rsidR="00E3599D" w:rsidRPr="00E14102" w14:paraId="0931300D" w14:textId="77777777">
        <w:trPr>
          <w:cantSplit/>
        </w:trPr>
        <w:tc>
          <w:tcPr>
            <w:tcW w:w="2518" w:type="dxa"/>
          </w:tcPr>
          <w:p w14:paraId="310EB7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Достройка самолетов из плана, утвержденного СТО 14 июля 1934 года</w:t>
            </w:r>
          </w:p>
        </w:tc>
        <w:tc>
          <w:tcPr>
            <w:tcW w:w="1559" w:type="dxa"/>
          </w:tcPr>
          <w:p w14:paraId="1CB2AC82"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0D90AD8E"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025EC82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89281A2" w14:textId="77777777">
        <w:trPr>
          <w:cantSplit/>
        </w:trPr>
        <w:tc>
          <w:tcPr>
            <w:tcW w:w="2518" w:type="dxa"/>
          </w:tcPr>
          <w:p w14:paraId="3F0D18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И17-М100</w:t>
            </w:r>
          </w:p>
        </w:tc>
        <w:tc>
          <w:tcPr>
            <w:tcW w:w="1559" w:type="dxa"/>
          </w:tcPr>
          <w:p w14:paraId="747E26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701" w:type="dxa"/>
          </w:tcPr>
          <w:p w14:paraId="269E38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4820" w:type="dxa"/>
          </w:tcPr>
          <w:p w14:paraId="1EE595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самолета на госиспытания – сорван. В настоящее время ведутся его заводские испытания. Ориентировочно на госиспытания самолет будет предъявлен в конце декабря.</w:t>
            </w:r>
          </w:p>
        </w:tc>
      </w:tr>
      <w:tr w:rsidR="00E3599D" w:rsidRPr="00E14102" w14:paraId="3C794A46" w14:textId="77777777">
        <w:trPr>
          <w:cantSplit/>
        </w:trPr>
        <w:tc>
          <w:tcPr>
            <w:tcW w:w="2518" w:type="dxa"/>
          </w:tcPr>
          <w:p w14:paraId="578413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пушечный (ИП3-М25)</w:t>
            </w:r>
          </w:p>
        </w:tc>
        <w:tc>
          <w:tcPr>
            <w:tcW w:w="1559" w:type="dxa"/>
          </w:tcPr>
          <w:p w14:paraId="00DE5B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c>
          <w:tcPr>
            <w:tcW w:w="1701" w:type="dxa"/>
          </w:tcPr>
          <w:p w14:paraId="6D7BB6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4820" w:type="dxa"/>
          </w:tcPr>
          <w:p w14:paraId="3E1812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самолета на госиспытания – сорван, в основном, из-за отсутствия пушек АПК-11 и необходимости переделки шасси. В настоящее время пушки АПК-11 получены заводом № 8 и устанавливаются на самолет.</w:t>
            </w:r>
          </w:p>
        </w:tc>
      </w:tr>
      <w:tr w:rsidR="00E3599D" w:rsidRPr="00E14102" w14:paraId="098662FB" w14:textId="77777777">
        <w:trPr>
          <w:cantSplit/>
        </w:trPr>
        <w:tc>
          <w:tcPr>
            <w:tcW w:w="2518" w:type="dxa"/>
          </w:tcPr>
          <w:p w14:paraId="142339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Дальний бомбардировщик (ДБ2-2М85)</w:t>
            </w:r>
          </w:p>
        </w:tc>
        <w:tc>
          <w:tcPr>
            <w:tcW w:w="1559" w:type="dxa"/>
          </w:tcPr>
          <w:p w14:paraId="2655FD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4BF90B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июня 1935 года</w:t>
            </w:r>
          </w:p>
        </w:tc>
        <w:tc>
          <w:tcPr>
            <w:tcW w:w="4820" w:type="dxa"/>
          </w:tcPr>
          <w:p w14:paraId="2C2DF1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июле в период заводских испытаний, благодаря вибрации оперения, самолет разрушился в воздухе. Специальным постановлением СТО, ЦАГИ обязан построить к марту 1936 года второй опытный образец. Последний спроектирован. К 1 октября – 80% рабочих чертежей сданы в производство.</w:t>
            </w:r>
          </w:p>
          <w:p w14:paraId="799FFB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Сборка крыльев в производстве заканчивается; оперение готово. Начата сборка носовой части фюзеляжа.</w:t>
            </w:r>
          </w:p>
        </w:tc>
      </w:tr>
      <w:tr w:rsidR="00E3599D" w:rsidRPr="00E14102" w14:paraId="41D7C580" w14:textId="77777777">
        <w:trPr>
          <w:cantSplit/>
        </w:trPr>
        <w:tc>
          <w:tcPr>
            <w:tcW w:w="2518" w:type="dxa"/>
          </w:tcPr>
          <w:p w14:paraId="038FEF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Дальний бомбардировщик (ДБ-М34)</w:t>
            </w:r>
          </w:p>
        </w:tc>
        <w:tc>
          <w:tcPr>
            <w:tcW w:w="1559" w:type="dxa"/>
          </w:tcPr>
          <w:p w14:paraId="43F35E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tc>
        <w:tc>
          <w:tcPr>
            <w:tcW w:w="1701" w:type="dxa"/>
          </w:tcPr>
          <w:p w14:paraId="6A6A84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4820" w:type="dxa"/>
          </w:tcPr>
          <w:p w14:paraId="1379C7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самолета на госиспытания – сорван, благодаря недостаточного ему внимания директора завода № 22 к работам по доводке самолета, его заводским испытаниям и установке оборудования и вооружения. Заводские испытания самолета начаты в мае и несмотря на отсутствие дефектов, требующих серьезных переделок, продолжаются до настоящего времени. Передача самолета на госиспытания ориентировочно намечена на конец октября 1935 года.</w:t>
            </w:r>
          </w:p>
        </w:tc>
      </w:tr>
      <w:tr w:rsidR="00E3599D" w:rsidRPr="00E14102" w14:paraId="61D52A8C" w14:textId="77777777">
        <w:trPr>
          <w:cantSplit/>
        </w:trPr>
        <w:tc>
          <w:tcPr>
            <w:tcW w:w="2518" w:type="dxa"/>
          </w:tcPr>
          <w:p w14:paraId="0DC09A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Фоторазведчик (ФР-М25)</w:t>
            </w:r>
          </w:p>
        </w:tc>
        <w:tc>
          <w:tcPr>
            <w:tcW w:w="1559" w:type="dxa"/>
          </w:tcPr>
          <w:p w14:paraId="3103CD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1701" w:type="dxa"/>
          </w:tcPr>
          <w:p w14:paraId="79F1DC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1935 года</w:t>
            </w:r>
          </w:p>
        </w:tc>
        <w:tc>
          <w:tcPr>
            <w:tcW w:w="4820" w:type="dxa"/>
          </w:tcPr>
          <w:p w14:paraId="4EB3C6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самолета на госиспытания – сорван, в основном благодаря тому, что ГУАП не обеспечил ХАИ сколь-нибудь сносных производственных условий. В настоящее время заводские испытания самолета закончены и он предъявляется на госиспытания.</w:t>
            </w:r>
          </w:p>
        </w:tc>
      </w:tr>
      <w:tr w:rsidR="00E3599D" w:rsidRPr="00E14102" w14:paraId="709FE50B" w14:textId="77777777">
        <w:trPr>
          <w:cantSplit/>
        </w:trPr>
        <w:tc>
          <w:tcPr>
            <w:tcW w:w="2518" w:type="dxa"/>
          </w:tcPr>
          <w:p w14:paraId="49CE2B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Пушечный истребитель (И21-М100)</w:t>
            </w:r>
          </w:p>
        </w:tc>
        <w:tc>
          <w:tcPr>
            <w:tcW w:w="1559" w:type="dxa"/>
          </w:tcPr>
          <w:p w14:paraId="0565DE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СНИИ ГУГВФ</w:t>
            </w:r>
          </w:p>
        </w:tc>
        <w:tc>
          <w:tcPr>
            <w:tcW w:w="1701" w:type="dxa"/>
          </w:tcPr>
          <w:p w14:paraId="30241A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года</w:t>
            </w:r>
          </w:p>
        </w:tc>
        <w:tc>
          <w:tcPr>
            <w:tcW w:w="4820" w:type="dxa"/>
          </w:tcPr>
          <w:p w14:paraId="740B4D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Эскизный проект и макет самолета утверждены. Проект самолета готов на 40%. Начато производство отдельных деталей. Срок предъявления самолета на госиспытания, ввиду слабой продвинутости проектирования и постройки – не будет выдержан.</w:t>
            </w:r>
          </w:p>
        </w:tc>
      </w:tr>
      <w:tr w:rsidR="00E3599D" w:rsidRPr="00E14102" w14:paraId="405101B6" w14:textId="77777777">
        <w:trPr>
          <w:cantSplit/>
        </w:trPr>
        <w:tc>
          <w:tcPr>
            <w:tcW w:w="2518" w:type="dxa"/>
          </w:tcPr>
          <w:p w14:paraId="4122D1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Многоместный истребитель (ДИ8-2М85)</w:t>
            </w:r>
          </w:p>
        </w:tc>
        <w:tc>
          <w:tcPr>
            <w:tcW w:w="1559" w:type="dxa"/>
          </w:tcPr>
          <w:p w14:paraId="6FD79A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3D5242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4820" w:type="dxa"/>
          </w:tcPr>
          <w:p w14:paraId="17D423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самолета на госиспытания – сорван, ввиду выявления в процессе заводских испытаний ряда дефектов аналогичных дефектам скоростного бомбардировщика СБ и потребовавшим серьезных конструктивных изменений. Конструктивные изменения сейчас в самолет вносятся.</w:t>
            </w:r>
          </w:p>
        </w:tc>
      </w:tr>
      <w:tr w:rsidR="00E3599D" w:rsidRPr="00E14102" w14:paraId="25107454" w14:textId="77777777">
        <w:trPr>
          <w:cantSplit/>
        </w:trPr>
        <w:tc>
          <w:tcPr>
            <w:tcW w:w="2518" w:type="dxa"/>
          </w:tcPr>
          <w:p w14:paraId="7EBB7D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Морской ближний разведчик (МБР5-М25)</w:t>
            </w:r>
          </w:p>
        </w:tc>
        <w:tc>
          <w:tcPr>
            <w:tcW w:w="1559" w:type="dxa"/>
          </w:tcPr>
          <w:p w14:paraId="79BB54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c>
          <w:tcPr>
            <w:tcW w:w="1701" w:type="dxa"/>
          </w:tcPr>
          <w:p w14:paraId="22A25E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4820" w:type="dxa"/>
          </w:tcPr>
          <w:p w14:paraId="49FDB4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самолета на госиспытания – сорван, в основном благодаря слабости производственной базы опытных гидросамолетов на заводе № 31. В настоящее время самолет производством закончен и начаты его заводские испытания.</w:t>
            </w:r>
          </w:p>
        </w:tc>
      </w:tr>
      <w:tr w:rsidR="00E3599D" w:rsidRPr="00E14102" w14:paraId="4B6173C7" w14:textId="77777777">
        <w:trPr>
          <w:cantSplit/>
        </w:trPr>
        <w:tc>
          <w:tcPr>
            <w:tcW w:w="2518" w:type="dxa"/>
          </w:tcPr>
          <w:p w14:paraId="034B7F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Экспериментальные самолеты и работы</w:t>
            </w:r>
          </w:p>
        </w:tc>
        <w:tc>
          <w:tcPr>
            <w:tcW w:w="1559" w:type="dxa"/>
          </w:tcPr>
          <w:p w14:paraId="02681CB0"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6F2139B8" w14:textId="77777777" w:rsidR="00D4105E" w:rsidRPr="00E14102" w:rsidRDefault="00D4105E" w:rsidP="00E14102">
            <w:pPr>
              <w:autoSpaceDE w:val="0"/>
              <w:autoSpaceDN w:val="0"/>
              <w:adjustRightInd w:val="0"/>
              <w:jc w:val="both"/>
              <w:rPr>
                <w:color w:val="000000" w:themeColor="text1"/>
                <w:sz w:val="16"/>
                <w:szCs w:val="16"/>
              </w:rPr>
            </w:pPr>
          </w:p>
        </w:tc>
        <w:tc>
          <w:tcPr>
            <w:tcW w:w="4820" w:type="dxa"/>
          </w:tcPr>
          <w:p w14:paraId="68B0380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BDF649B" w14:textId="77777777">
        <w:trPr>
          <w:cantSplit/>
        </w:trPr>
        <w:tc>
          <w:tcPr>
            <w:tcW w:w="2518" w:type="dxa"/>
          </w:tcPr>
          <w:p w14:paraId="74A364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Войсковой самолет (ВС2-2М22) летающее крыло</w:t>
            </w:r>
          </w:p>
        </w:tc>
        <w:tc>
          <w:tcPr>
            <w:tcW w:w="1559" w:type="dxa"/>
          </w:tcPr>
          <w:p w14:paraId="3B6569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18</w:t>
            </w:r>
          </w:p>
        </w:tc>
        <w:tc>
          <w:tcPr>
            <w:tcW w:w="1701" w:type="dxa"/>
          </w:tcPr>
          <w:p w14:paraId="3C8BDF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года</w:t>
            </w:r>
          </w:p>
        </w:tc>
        <w:tc>
          <w:tcPr>
            <w:tcW w:w="4820" w:type="dxa"/>
          </w:tcPr>
          <w:p w14:paraId="5D02B4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самолета на госиспытания – сорван. Проект самолета закончен на 80%. Начато производство.</w:t>
            </w:r>
          </w:p>
        </w:tc>
      </w:tr>
      <w:tr w:rsidR="00E3599D" w:rsidRPr="00E14102" w14:paraId="5E097359" w14:textId="77777777">
        <w:trPr>
          <w:cantSplit/>
        </w:trPr>
        <w:tc>
          <w:tcPr>
            <w:tcW w:w="2518" w:type="dxa"/>
          </w:tcPr>
          <w:p w14:paraId="54236E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Стратосферный самолет</w:t>
            </w:r>
          </w:p>
        </w:tc>
        <w:tc>
          <w:tcPr>
            <w:tcW w:w="1559" w:type="dxa"/>
          </w:tcPr>
          <w:p w14:paraId="6E4DE0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35</w:t>
            </w:r>
          </w:p>
        </w:tc>
        <w:tc>
          <w:tcPr>
            <w:tcW w:w="1701" w:type="dxa"/>
          </w:tcPr>
          <w:p w14:paraId="3CB3B5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4820" w:type="dxa"/>
          </w:tcPr>
          <w:p w14:paraId="554BF5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постройкой закончен. В ближайшее время начнутся заводские испытания.</w:t>
            </w:r>
          </w:p>
        </w:tc>
      </w:tr>
      <w:tr w:rsidR="00E3599D" w:rsidRPr="00E14102" w14:paraId="1F8159FA" w14:textId="77777777">
        <w:trPr>
          <w:cantSplit/>
        </w:trPr>
        <w:tc>
          <w:tcPr>
            <w:tcW w:w="2518" w:type="dxa"/>
          </w:tcPr>
          <w:p w14:paraId="2B9AF9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Истребитель - летающее крыло</w:t>
            </w:r>
          </w:p>
        </w:tc>
        <w:tc>
          <w:tcPr>
            <w:tcW w:w="1559" w:type="dxa"/>
          </w:tcPr>
          <w:p w14:paraId="735F60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p w14:paraId="2D1083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(Черановский)</w:t>
            </w:r>
          </w:p>
        </w:tc>
        <w:tc>
          <w:tcPr>
            <w:tcW w:w="1701" w:type="dxa"/>
          </w:tcPr>
          <w:p w14:paraId="6D83D5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года</w:t>
            </w:r>
          </w:p>
        </w:tc>
        <w:tc>
          <w:tcPr>
            <w:tcW w:w="4820" w:type="dxa"/>
          </w:tcPr>
          <w:p w14:paraId="75A6EA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согласия ГУАПа бригада Черановского была передана в УСР НКТП (Курчевскому). Эскизный проект самолета УВС утвердило. Производство его, однако, не начато так как Курчевский начал проектировать нормальный пушечный истребитель вместо летающего крыла.</w:t>
            </w:r>
          </w:p>
        </w:tc>
      </w:tr>
      <w:tr w:rsidR="00E3599D" w:rsidRPr="00E14102" w14:paraId="0872E82D" w14:textId="77777777">
        <w:trPr>
          <w:cantSplit/>
        </w:trPr>
        <w:tc>
          <w:tcPr>
            <w:tcW w:w="2518" w:type="dxa"/>
          </w:tcPr>
          <w:p w14:paraId="406580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автожир</w:t>
            </w:r>
          </w:p>
        </w:tc>
        <w:tc>
          <w:tcPr>
            <w:tcW w:w="1559" w:type="dxa"/>
          </w:tcPr>
          <w:p w14:paraId="10F3D6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758192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года</w:t>
            </w:r>
          </w:p>
        </w:tc>
        <w:tc>
          <w:tcPr>
            <w:tcW w:w="4820" w:type="dxa"/>
          </w:tcPr>
          <w:p w14:paraId="06D3DA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Проектирование автожира закончено. Рабочие чертежи сданы в производство. Изготовлена ферма фюзеляжа; приступлено к изготовлению лопасти ротора и головки.</w:t>
            </w:r>
          </w:p>
        </w:tc>
      </w:tr>
      <w:tr w:rsidR="00E3599D" w:rsidRPr="00E14102" w14:paraId="6ED4327D" w14:textId="77777777">
        <w:trPr>
          <w:cantSplit/>
        </w:trPr>
        <w:tc>
          <w:tcPr>
            <w:tcW w:w="2518" w:type="dxa"/>
          </w:tcPr>
          <w:p w14:paraId="3B41C1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Геликоптер</w:t>
            </w:r>
          </w:p>
        </w:tc>
        <w:tc>
          <w:tcPr>
            <w:tcW w:w="1559" w:type="dxa"/>
          </w:tcPr>
          <w:p w14:paraId="649F38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4B482D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1935 года</w:t>
            </w:r>
          </w:p>
        </w:tc>
        <w:tc>
          <w:tcPr>
            <w:tcW w:w="4820" w:type="dxa"/>
          </w:tcPr>
          <w:p w14:paraId="2B0EB8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Проектирование закончено. Начато производство.</w:t>
            </w:r>
          </w:p>
        </w:tc>
      </w:tr>
      <w:tr w:rsidR="00E3599D" w:rsidRPr="00E14102" w14:paraId="5A28BBF8" w14:textId="77777777">
        <w:trPr>
          <w:cantSplit/>
        </w:trPr>
        <w:tc>
          <w:tcPr>
            <w:tcW w:w="2518" w:type="dxa"/>
          </w:tcPr>
          <w:p w14:paraId="5DA1D1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по взлету и посадке истребителей с ТБ</w:t>
            </w:r>
          </w:p>
        </w:tc>
        <w:tc>
          <w:tcPr>
            <w:tcW w:w="1559" w:type="dxa"/>
          </w:tcPr>
          <w:p w14:paraId="23DEED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tc>
        <w:tc>
          <w:tcPr>
            <w:tcW w:w="1701" w:type="dxa"/>
          </w:tcPr>
          <w:p w14:paraId="3A3F47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1935-1936 г.г.</w:t>
            </w:r>
          </w:p>
        </w:tc>
        <w:tc>
          <w:tcPr>
            <w:tcW w:w="4820" w:type="dxa"/>
          </w:tcPr>
          <w:p w14:paraId="28B8F2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по посадке истребителя на ТБ продолжаются. Осуществлена конструкция, обеспечивающая взлет 2-х И16 с ТБ3.</w:t>
            </w:r>
          </w:p>
        </w:tc>
      </w:tr>
    </w:tbl>
    <w:p w14:paraId="67C00E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(3475,116-122).</w:t>
      </w:r>
    </w:p>
    <w:p w14:paraId="4DF39D2A" w14:textId="77777777" w:rsidR="00D4105E" w:rsidRPr="00E14102" w:rsidRDefault="00D4105E" w:rsidP="00E14102">
      <w:pPr>
        <w:autoSpaceDE w:val="0"/>
        <w:autoSpaceDN w:val="0"/>
        <w:adjustRightInd w:val="0"/>
        <w:jc w:val="both"/>
        <w:rPr>
          <w:color w:val="000000" w:themeColor="text1"/>
          <w:sz w:val="16"/>
          <w:szCs w:val="16"/>
        </w:rPr>
      </w:pPr>
    </w:p>
    <w:p w14:paraId="15E121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октября 1935 года врид начальника управления ВС Хрипин писал письмо N ЗП/04098 зам. наркома обороны Гамарник.</w:t>
      </w:r>
    </w:p>
    <w:p w14:paraId="78CF5C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в вопросе борьбы за увеличение скорости полета приобретает особо важную роль снабжение самолетов паровым или этиленгликолевым охлаждением моторов, вместо водяного, так как при этом могут быть вовсе уничтожены или значительно сокращены по размерам радиаторы, обладающие очень большим лобовым сопротивлением.</w:t>
      </w:r>
    </w:p>
    <w:p w14:paraId="461BB5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проведена значительная работа по переводу моторов М34 и М100 на паровое охлаждение, однако реализация этого охлаждения на самолетах ведется недопустимо медленными темпами. (2484,64).</w:t>
      </w:r>
    </w:p>
    <w:p w14:paraId="301D081A" w14:textId="77777777" w:rsidR="00D4105E" w:rsidRPr="00E14102" w:rsidRDefault="00D4105E" w:rsidP="00E14102">
      <w:pPr>
        <w:autoSpaceDE w:val="0"/>
        <w:autoSpaceDN w:val="0"/>
        <w:adjustRightInd w:val="0"/>
        <w:jc w:val="both"/>
        <w:rPr>
          <w:color w:val="000000" w:themeColor="text1"/>
          <w:sz w:val="16"/>
          <w:szCs w:val="16"/>
        </w:rPr>
      </w:pPr>
    </w:p>
    <w:p w14:paraId="64CC89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октября 1935 на ТБ-3 4М-34Р и РН был выполнен 2-й полет в рамках испытаний эталонного размещения аппаратуры Шутка. Цель полета: проверка работы приборов Шутки с рацией IICK-1. Продолжительность полета - 0:55. Предыдущий полет был 11 октября, а третий и последний - 17 октября 1935 (870).</w:t>
      </w:r>
    </w:p>
    <w:p w14:paraId="15D67FC3" w14:textId="77777777" w:rsidR="00D4105E" w:rsidRPr="00E14102" w:rsidRDefault="00D4105E" w:rsidP="00E14102">
      <w:pPr>
        <w:autoSpaceDE w:val="0"/>
        <w:autoSpaceDN w:val="0"/>
        <w:adjustRightInd w:val="0"/>
        <w:jc w:val="both"/>
        <w:rPr>
          <w:color w:val="000000" w:themeColor="text1"/>
          <w:sz w:val="16"/>
          <w:szCs w:val="16"/>
        </w:rPr>
      </w:pPr>
    </w:p>
    <w:p w14:paraId="60F00E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октября 1935 года прошли испытания прицела ШД-2 конструкции КИБ ВООМП"а для авиационных 7,62 мм пушек АПК-4.</w:t>
      </w:r>
    </w:p>
    <w:p w14:paraId="747A08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08AE4F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Определение боевых характеристик прицела ШД-2 для авиационных 76,2 мм пушек АПК-4 стрельбой в воздухе с самолета "Зет".</w:t>
      </w:r>
    </w:p>
    <w:p w14:paraId="221A3F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Прицел испытывался в Особой авиагруппе в Евпатории на территории Научно-испытательного зенитного полигона.</w:t>
      </w:r>
    </w:p>
    <w:p w14:paraId="63F631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6E850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Предъявленный КИБ ВООМП"а на полигонные испытания прицел ШД-2 испытаний не выдержал. Дальнейшая разработка прицела в предъявленном виде не целесообразна (3080).</w:t>
      </w:r>
    </w:p>
    <w:p w14:paraId="49639662" w14:textId="77777777" w:rsidR="00D4105E" w:rsidRPr="00E14102" w:rsidRDefault="00D4105E" w:rsidP="00E14102">
      <w:pPr>
        <w:autoSpaceDE w:val="0"/>
        <w:autoSpaceDN w:val="0"/>
        <w:adjustRightInd w:val="0"/>
        <w:jc w:val="both"/>
        <w:rPr>
          <w:color w:val="000000" w:themeColor="text1"/>
          <w:sz w:val="16"/>
          <w:szCs w:val="16"/>
        </w:rPr>
      </w:pPr>
    </w:p>
    <w:p w14:paraId="0C8D0D70" w14:textId="77777777" w:rsidR="00B90E74" w:rsidRPr="00E14102" w:rsidRDefault="00B90E74" w:rsidP="00E14102">
      <w:pPr>
        <w:pStyle w:val="rtejustify"/>
        <w:spacing w:before="0" w:after="0"/>
        <w:rPr>
          <w:color w:val="000000" w:themeColor="text1"/>
          <w:sz w:val="16"/>
          <w:szCs w:val="16"/>
        </w:rPr>
      </w:pPr>
      <w:r w:rsidRPr="00E14102">
        <w:rPr>
          <w:rStyle w:val="a6"/>
          <w:bCs/>
          <w:i w:val="0"/>
          <w:color w:val="000000" w:themeColor="text1"/>
          <w:sz w:val="16"/>
          <w:szCs w:val="16"/>
        </w:rPr>
        <w:t>15 октября 1935 вышел приказ НКО №</w:t>
      </w:r>
      <w:r w:rsidRPr="00E14102">
        <w:rPr>
          <w:color w:val="000000" w:themeColor="text1"/>
          <w:sz w:val="16"/>
          <w:szCs w:val="16"/>
        </w:rPr>
        <w:t> 0085. О проведении войсковых испытаний системы комкора Алферова для высотного торпедирования торпедами образца 1912и 1915 гг (15247).</w:t>
      </w:r>
    </w:p>
    <w:p w14:paraId="1A494161" w14:textId="77777777" w:rsidR="00B90E74" w:rsidRPr="00E14102" w:rsidRDefault="00B90E74" w:rsidP="00E14102">
      <w:pPr>
        <w:pStyle w:val="rtejustify"/>
        <w:spacing w:before="0" w:after="0"/>
        <w:rPr>
          <w:color w:val="000000" w:themeColor="text1"/>
          <w:sz w:val="16"/>
          <w:szCs w:val="16"/>
        </w:rPr>
      </w:pPr>
    </w:p>
    <w:p w14:paraId="075DE8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октября 1935 ДВ СССР-Н26 вытащили на берег и сдали в Красноярские авиамастерские для ремонта. 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w:t>
      </w:r>
    </w:p>
    <w:p w14:paraId="38BAB9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1937 г. самолет действовал в составе Енисейской авиагруппы.</w:t>
      </w:r>
    </w:p>
    <w:p w14:paraId="6E5926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1938 г. на СССР-Н26 работал экипаж И.И.Чернецкого, базируясь на полярной станции Диксон.</w:t>
      </w:r>
    </w:p>
    <w:p w14:paraId="6D25BD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1939 г. СССР-Н26 перерегистрировали с опознавательным знаком СССР-Ф135, затем подчинили Московской авиагруппе УПА с заданием на сезон провести аэрофотосъемку побережья Ледовитого океана. Для этого на КАРЗе в лодке прорезали фотолюки и установили дополнительное аэронавигационное и радиооборудование. Экипаж: командир И.И.Чернецкий, штурман-аэросьемщик - сначала предполагался В.В.Жадринский, 1-й бортмеханик Г.Н.Но- чевкин, 2-й бортмеханик М.И.Наумов, бортрадист И.Ю.Хуторецкий (11970).</w:t>
      </w:r>
    </w:p>
    <w:p w14:paraId="5BD59EC9" w14:textId="77777777" w:rsidR="00D4105E" w:rsidRPr="00E14102" w:rsidRDefault="00D4105E" w:rsidP="00E14102">
      <w:pPr>
        <w:autoSpaceDE w:val="0"/>
        <w:autoSpaceDN w:val="0"/>
        <w:adjustRightInd w:val="0"/>
        <w:jc w:val="both"/>
        <w:rPr>
          <w:color w:val="000000" w:themeColor="text1"/>
          <w:sz w:val="16"/>
          <w:szCs w:val="16"/>
        </w:rPr>
      </w:pPr>
    </w:p>
    <w:p w14:paraId="2D39725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FE44DF9" w14:textId="77777777" w:rsidR="00D4105E" w:rsidRPr="00E14102" w:rsidRDefault="00D4105E" w:rsidP="00E14102">
      <w:pPr>
        <w:autoSpaceDE w:val="0"/>
        <w:autoSpaceDN w:val="0"/>
        <w:adjustRightInd w:val="0"/>
        <w:jc w:val="both"/>
        <w:rPr>
          <w:iCs/>
          <w:color w:val="000000" w:themeColor="text1"/>
          <w:sz w:val="16"/>
          <w:szCs w:val="16"/>
        </w:rPr>
      </w:pPr>
    </w:p>
    <w:p w14:paraId="448FFF2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середине октября 1935 г. в ответ на требования ВВС Николай Николае</w:t>
      </w:r>
      <w:r w:rsidRPr="00E14102">
        <w:rPr>
          <w:color w:val="000000" w:themeColor="text1"/>
          <w:sz w:val="16"/>
          <w:szCs w:val="16"/>
        </w:rPr>
        <w:softHyphen/>
        <w:t>вич представил отчет, подтверж</w:t>
      </w:r>
      <w:r w:rsidRPr="00E14102">
        <w:rPr>
          <w:color w:val="000000" w:themeColor="text1"/>
          <w:sz w:val="16"/>
          <w:szCs w:val="16"/>
        </w:rPr>
        <w:softHyphen/>
        <w:t>дающий характеристики истребителя с нормальным центропланом. В нем отмечалось: “Результаты испыта</w:t>
      </w:r>
      <w:r w:rsidRPr="00E14102">
        <w:rPr>
          <w:color w:val="000000" w:themeColor="text1"/>
          <w:sz w:val="16"/>
          <w:szCs w:val="16"/>
        </w:rPr>
        <w:softHyphen/>
        <w:t>ний показали, что вопрос устойчивости пути самолета ЦКБ-3 нормальный центроплан полностью решает. При этом летно-тактические данные самолета ЦКБ-3 с нор</w:t>
      </w:r>
      <w:r w:rsidRPr="00E14102">
        <w:rPr>
          <w:color w:val="000000" w:themeColor="text1"/>
          <w:sz w:val="16"/>
          <w:szCs w:val="16"/>
        </w:rPr>
        <w:softHyphen/>
        <w:t>мальным центропланом не уступают данным самолета ЦКБ-3 с "чайкой"”.</w:t>
      </w:r>
    </w:p>
    <w:p w14:paraId="633D6A9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Затем испытания продолжились с привлечением летчиков НИИ ВВС. Самолет облетал и В.К.Коккинаки. Он дал такой отзыв о машине:</w:t>
      </w:r>
    </w:p>
    <w:p w14:paraId="463000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“Устойчивость пути самолета можно считать полно</w:t>
      </w:r>
      <w:r w:rsidRPr="00E14102">
        <w:rPr>
          <w:color w:val="000000" w:themeColor="text1"/>
          <w:sz w:val="16"/>
          <w:szCs w:val="16"/>
        </w:rPr>
        <w:softHyphen/>
        <w:t>стью достигнутой. При определении устойчивости за</w:t>
      </w:r>
      <w:r w:rsidRPr="00E14102">
        <w:rPr>
          <w:color w:val="000000" w:themeColor="text1"/>
          <w:sz w:val="16"/>
          <w:szCs w:val="16"/>
        </w:rPr>
        <w:softHyphen/>
        <w:t>мечено, что вертикальное оперение самолета имеется с большим запасом, что не было на самолете с “чайкой”.</w:t>
      </w:r>
    </w:p>
    <w:p w14:paraId="3A864A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Обзор вперед и вверх значительно улучшились...</w:t>
      </w:r>
    </w:p>
    <w:p w14:paraId="4CDF33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получении данных скорости, скороподъемнос</w:t>
      </w:r>
      <w:r w:rsidRPr="00E14102">
        <w:rPr>
          <w:color w:val="000000" w:themeColor="text1"/>
          <w:sz w:val="16"/>
          <w:szCs w:val="16"/>
        </w:rPr>
        <w:softHyphen/>
        <w:t>ти, маневренности и хорошей устойчивости пути, кото</w:t>
      </w:r>
      <w:r w:rsidRPr="00E14102">
        <w:rPr>
          <w:color w:val="000000" w:themeColor="text1"/>
          <w:sz w:val="16"/>
          <w:szCs w:val="16"/>
        </w:rPr>
        <w:softHyphen/>
        <w:t>рой добились, применив нормальный центроплан, считаю необходимым в дальнейшем прекратить пост</w:t>
      </w:r>
      <w:r w:rsidRPr="00E14102">
        <w:rPr>
          <w:color w:val="000000" w:themeColor="text1"/>
          <w:sz w:val="16"/>
          <w:szCs w:val="16"/>
        </w:rPr>
        <w:softHyphen/>
        <w:t>ройку самолетов с "чайкой"” (10667).</w:t>
      </w:r>
    </w:p>
    <w:p w14:paraId="29D67976" w14:textId="77777777" w:rsidR="00D4105E" w:rsidRPr="00E14102" w:rsidRDefault="00D4105E" w:rsidP="00E14102">
      <w:pPr>
        <w:autoSpaceDE w:val="0"/>
        <w:autoSpaceDN w:val="0"/>
        <w:adjustRightInd w:val="0"/>
        <w:jc w:val="both"/>
        <w:rPr>
          <w:color w:val="000000" w:themeColor="text1"/>
          <w:sz w:val="16"/>
          <w:szCs w:val="16"/>
        </w:rPr>
      </w:pPr>
    </w:p>
    <w:p w14:paraId="23FE70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середине октября 1935 были закончены испытания и приемка четырех ПСН-1 под ТБ-3 (АНТ-6). Проводили и отцепку ПСН с планированием на озеро Ильмень. Летали с аэродрома Кречевицы. Дальность планирования - до 27 км при сбросе с 3000-3500 м. Заказали небольшую партию, но основные испытания планировали на 1940, а к этому времени всех уже пересажали (1085,130).</w:t>
      </w:r>
    </w:p>
    <w:p w14:paraId="7323F1B4" w14:textId="77777777" w:rsidR="00D4105E" w:rsidRPr="00E14102" w:rsidRDefault="00D4105E" w:rsidP="00E14102">
      <w:pPr>
        <w:autoSpaceDE w:val="0"/>
        <w:autoSpaceDN w:val="0"/>
        <w:adjustRightInd w:val="0"/>
        <w:jc w:val="both"/>
        <w:rPr>
          <w:color w:val="000000" w:themeColor="text1"/>
          <w:sz w:val="16"/>
          <w:szCs w:val="16"/>
        </w:rPr>
      </w:pPr>
    </w:p>
    <w:p w14:paraId="44FC6CA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lastRenderedPageBreak/>
        <w:t>Авиапромышленность:</w:t>
      </w:r>
    </w:p>
    <w:p w14:paraId="22E1B3B7" w14:textId="77777777" w:rsidR="00D4105E" w:rsidRPr="00E14102" w:rsidRDefault="00D4105E" w:rsidP="00E14102">
      <w:pPr>
        <w:autoSpaceDE w:val="0"/>
        <w:autoSpaceDN w:val="0"/>
        <w:adjustRightInd w:val="0"/>
        <w:jc w:val="both"/>
        <w:rPr>
          <w:iCs/>
          <w:color w:val="000000" w:themeColor="text1"/>
          <w:sz w:val="16"/>
          <w:szCs w:val="16"/>
        </w:rPr>
      </w:pPr>
    </w:p>
    <w:p w14:paraId="47B833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октября 1935 по пор. врид Нач. ГУАП Кацва писал письмо N 242/4696с Дир. ХАИ Красильникову на вх. 1046с от 7 октября 1935:</w:t>
      </w:r>
    </w:p>
    <w:p w14:paraId="00ACA0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"Считаю, что предлагаемую машину СР с мотором К-14 изготовлять нет смысла по следующим соображениям:</w:t>
      </w:r>
    </w:p>
    <w:p w14:paraId="798E93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Самолет будет готов не ранее 3 кв. 1936</w:t>
      </w:r>
    </w:p>
    <w:p w14:paraId="6DB699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Гораздо раньше этого срока с аналогичными данными самолет завода 39 уже внедряется в серию, ибо он раньше проходит заводские испытания.</w:t>
      </w:r>
    </w:p>
    <w:p w14:paraId="112A46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Аналогичный самолет завода 1 в 1 половине 1936 д. б. пройти все испытания.</w:t>
      </w:r>
    </w:p>
    <w:p w14:paraId="1DD2B4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не позднее июля 1936 д. выйти ХАИ-7.</w:t>
      </w:r>
    </w:p>
    <w:p w14:paraId="3769BD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 тип разведчика под К-14 будет в 1936 достаточно полно обеспечен." (2336,158).</w:t>
      </w:r>
    </w:p>
    <w:p w14:paraId="6EA3CF84" w14:textId="77777777" w:rsidR="00D4105E" w:rsidRPr="00E14102" w:rsidRDefault="00D4105E" w:rsidP="00E14102">
      <w:pPr>
        <w:autoSpaceDE w:val="0"/>
        <w:autoSpaceDN w:val="0"/>
        <w:adjustRightInd w:val="0"/>
        <w:jc w:val="both"/>
        <w:rPr>
          <w:color w:val="000000" w:themeColor="text1"/>
          <w:sz w:val="16"/>
          <w:szCs w:val="16"/>
        </w:rPr>
      </w:pPr>
    </w:p>
    <w:p w14:paraId="1D5CFD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октября 1935 УВВС утвердило договор с заводом №1 и началась приемка серийных ССС. Цена - 63000 руб. И за 1935 сделали 221 вместо 500 зпапланированных (7456, 5).</w:t>
      </w:r>
    </w:p>
    <w:p w14:paraId="13865A6C" w14:textId="77777777" w:rsidR="00D4105E" w:rsidRPr="00E14102" w:rsidRDefault="00D4105E" w:rsidP="00E14102">
      <w:pPr>
        <w:autoSpaceDE w:val="0"/>
        <w:autoSpaceDN w:val="0"/>
        <w:adjustRightInd w:val="0"/>
        <w:jc w:val="both"/>
        <w:rPr>
          <w:color w:val="000000" w:themeColor="text1"/>
          <w:sz w:val="16"/>
          <w:szCs w:val="16"/>
        </w:rPr>
      </w:pPr>
    </w:p>
    <w:p w14:paraId="244795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октября 1935 г. после того, как ССС сочли пригодным для принятия на вооружение, УВВС утвердило договор с заводом № 1. Началась приемка серийных штурмовиков. Каждая машина обходилась казне в 63 000 рублей.</w:t>
      </w:r>
    </w:p>
    <w:p w14:paraId="6934FA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308993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28D984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3BBFD4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49561DD7" w14:textId="77777777" w:rsidR="00D4105E" w:rsidRPr="00E14102" w:rsidRDefault="00D4105E" w:rsidP="00E14102">
      <w:pPr>
        <w:autoSpaceDE w:val="0"/>
        <w:autoSpaceDN w:val="0"/>
        <w:adjustRightInd w:val="0"/>
        <w:jc w:val="both"/>
        <w:rPr>
          <w:color w:val="000000" w:themeColor="text1"/>
          <w:sz w:val="16"/>
          <w:szCs w:val="16"/>
        </w:rPr>
      </w:pPr>
    </w:p>
    <w:p w14:paraId="07C3AF1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16 октября 1935 года Базилевич писал письмо Молотову</w:t>
      </w:r>
    </w:p>
    <w:p w14:paraId="792144C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Вашему указанию Куйбышев и Березин произвели рассмотрение фактов срыва (заводом № 1 Беленкович) правительственного задания по строительству самолета ЛР (легкий разведчик).</w:t>
      </w:r>
    </w:p>
    <w:p w14:paraId="0C59237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Расследование произведено и факты подтвердились, причем выявлено, что НКО дал принципиальное согласие на постройку нового самолета P-Z, не снимая одновременно с производства ЛР.</w:t>
      </w:r>
    </w:p>
    <w:p w14:paraId="52B2990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Куйбышев и Березин предлагают дело передать прокурору для привлечения виновных к ответственности.</w:t>
      </w:r>
    </w:p>
    <w:p w14:paraId="28A53A4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Прошу указания поставить вопрос на обсуждение в КО, а материал разослать членам КО (3475,135).</w:t>
      </w:r>
    </w:p>
    <w:p w14:paraId="65B940A8"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0EF253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октября 1935 состоялось заседание Гос. макетной комиссии под пред. Тухачевского по принятию макета Сталь 11 (Р-9) завода 81, но представителей Аэрофлота не было и поэтому решили созвать еще одну комиссию по машине в гражданской версии (2336,183).</w:t>
      </w:r>
    </w:p>
    <w:p w14:paraId="0186F450" w14:textId="77777777" w:rsidR="00D4105E" w:rsidRPr="00E14102" w:rsidRDefault="00D4105E" w:rsidP="00E14102">
      <w:pPr>
        <w:autoSpaceDE w:val="0"/>
        <w:autoSpaceDN w:val="0"/>
        <w:adjustRightInd w:val="0"/>
        <w:jc w:val="both"/>
        <w:rPr>
          <w:color w:val="000000" w:themeColor="text1"/>
          <w:sz w:val="16"/>
          <w:szCs w:val="16"/>
        </w:rPr>
      </w:pPr>
    </w:p>
    <w:p w14:paraId="4859C83F" w14:textId="77777777" w:rsidR="00640E94" w:rsidRPr="00E14102" w:rsidRDefault="00640E94" w:rsidP="00E14102">
      <w:pPr>
        <w:jc w:val="both"/>
        <w:rPr>
          <w:color w:val="0070C0"/>
          <w:sz w:val="16"/>
          <w:szCs w:val="16"/>
          <w:lang w:bidi="ru-RU"/>
        </w:rPr>
      </w:pPr>
      <w:r w:rsidRPr="00E14102">
        <w:rPr>
          <w:color w:val="0070C0"/>
          <w:sz w:val="16"/>
          <w:szCs w:val="16"/>
          <w:lang w:bidi="ru-RU"/>
        </w:rPr>
        <w:t>16 октября 1935 года на заводе №81, со</w:t>
      </w:r>
      <w:r w:rsidRPr="00E14102">
        <w:rPr>
          <w:color w:val="0070C0"/>
          <w:sz w:val="16"/>
          <w:szCs w:val="16"/>
          <w:lang w:bidi="ru-RU"/>
        </w:rPr>
        <w:softHyphen/>
      </w:r>
      <w:r w:rsidRPr="00E14102">
        <w:rPr>
          <w:color w:val="0070C0"/>
          <w:sz w:val="16"/>
          <w:szCs w:val="16"/>
        </w:rPr>
        <w:t xml:space="preserve"> </w:t>
      </w:r>
      <w:r w:rsidRPr="00E14102">
        <w:rPr>
          <w:color w:val="0070C0"/>
          <w:sz w:val="16"/>
          <w:szCs w:val="16"/>
          <w:lang w:bidi="ru-RU"/>
        </w:rPr>
        <w:t>брана была ма</w:t>
      </w:r>
      <w:r w:rsidRPr="00E14102">
        <w:rPr>
          <w:color w:val="0070C0"/>
          <w:sz w:val="16"/>
          <w:szCs w:val="16"/>
          <w:lang w:bidi="ru-RU"/>
        </w:rPr>
        <w:softHyphen/>
        <w:t>кетная комиссия под председательством М.Н.Тухачевско- го скоростного пасса</w:t>
      </w:r>
      <w:r w:rsidRPr="00E14102">
        <w:rPr>
          <w:color w:val="0070C0"/>
          <w:sz w:val="16"/>
          <w:szCs w:val="16"/>
          <w:lang w:bidi="ru-RU"/>
        </w:rPr>
        <w:softHyphen/>
        <w:t>жирского самолета под обозначением Сталь-11. Представители «Аэрофло</w:t>
      </w:r>
      <w:r w:rsidRPr="00E14102">
        <w:rPr>
          <w:color w:val="0070C0"/>
          <w:sz w:val="16"/>
          <w:szCs w:val="16"/>
          <w:lang w:bidi="ru-RU"/>
        </w:rPr>
        <w:softHyphen/>
        <w:t>та» на нее не прибыли. Было решено, что рассмотрения гражданской версии состоятся отдельно. Очевидно, что в 1935 году постройка Сталь-11 была в самом разгаре.</w:t>
      </w:r>
    </w:p>
    <w:p w14:paraId="3763F1FA" w14:textId="77777777" w:rsidR="00640E94" w:rsidRPr="00E14102" w:rsidRDefault="00640E94" w:rsidP="00E14102">
      <w:pPr>
        <w:jc w:val="both"/>
        <w:rPr>
          <w:color w:val="0070C0"/>
          <w:sz w:val="16"/>
          <w:szCs w:val="16"/>
        </w:rPr>
      </w:pPr>
      <w:r w:rsidRPr="00E14102">
        <w:rPr>
          <w:color w:val="0070C0"/>
          <w:sz w:val="16"/>
          <w:szCs w:val="16"/>
          <w:lang w:bidi="ru-RU"/>
        </w:rPr>
        <w:t>В 1934 году началось проектирование скоростного пасса</w:t>
      </w:r>
      <w:r w:rsidRPr="00E14102">
        <w:rPr>
          <w:color w:val="0070C0"/>
          <w:sz w:val="16"/>
          <w:szCs w:val="16"/>
          <w:lang w:bidi="ru-RU"/>
        </w:rPr>
        <w:softHyphen/>
        <w:t>жирского самолета под обозначением Сталь-11. Само</w:t>
      </w:r>
      <w:r w:rsidRPr="00E14102">
        <w:rPr>
          <w:color w:val="0070C0"/>
          <w:sz w:val="16"/>
          <w:szCs w:val="16"/>
          <w:lang w:bidi="ru-RU"/>
        </w:rPr>
        <w:softHyphen/>
        <w:t>лет предполагался в виде свободнонесущего моноплана с гладкой обшивкой и убирающимся шасси. Понятно, что ос</w:t>
      </w:r>
      <w:r w:rsidRPr="00E14102">
        <w:rPr>
          <w:color w:val="0070C0"/>
          <w:sz w:val="16"/>
          <w:szCs w:val="16"/>
          <w:lang w:bidi="ru-RU"/>
        </w:rPr>
        <w:softHyphen/>
        <w:t>новным материалом при этом выбрали нержавеющую сталь.</w:t>
      </w:r>
    </w:p>
    <w:p w14:paraId="1046DC8A" w14:textId="77777777" w:rsidR="00640E94" w:rsidRPr="00E14102" w:rsidRDefault="00640E94" w:rsidP="00E14102">
      <w:pPr>
        <w:jc w:val="both"/>
        <w:rPr>
          <w:color w:val="0070C0"/>
          <w:sz w:val="16"/>
          <w:szCs w:val="16"/>
        </w:rPr>
      </w:pPr>
      <w:r w:rsidRPr="00E14102">
        <w:rPr>
          <w:color w:val="0070C0"/>
          <w:sz w:val="16"/>
          <w:szCs w:val="16"/>
          <w:lang w:bidi="ru-RU"/>
        </w:rPr>
        <w:t>Полноценное проектирование машины развернулось в 1935 году. Сталь-11 определялся как почтово-пассажир</w:t>
      </w:r>
      <w:r w:rsidRPr="00E14102">
        <w:rPr>
          <w:color w:val="0070C0"/>
          <w:sz w:val="16"/>
          <w:szCs w:val="16"/>
          <w:lang w:bidi="ru-RU"/>
        </w:rPr>
        <w:softHyphen/>
        <w:t>ский экспресс, предполагался для перевозки 4-х пассажи</w:t>
      </w:r>
      <w:r w:rsidRPr="00E14102">
        <w:rPr>
          <w:color w:val="0070C0"/>
          <w:sz w:val="16"/>
          <w:szCs w:val="16"/>
          <w:lang w:bidi="ru-RU"/>
        </w:rPr>
        <w:softHyphen/>
        <w:t>ров, почты и багажа. Кроме гражданского образца прак</w:t>
      </w:r>
      <w:r w:rsidRPr="00E14102">
        <w:rPr>
          <w:color w:val="0070C0"/>
          <w:sz w:val="16"/>
          <w:szCs w:val="16"/>
          <w:lang w:bidi="ru-RU"/>
        </w:rPr>
        <w:softHyphen/>
        <w:t>тически сразу под обозначением Р-9 создавался его во</w:t>
      </w:r>
      <w:r w:rsidRPr="00E14102">
        <w:rPr>
          <w:color w:val="0070C0"/>
          <w:sz w:val="16"/>
          <w:szCs w:val="16"/>
          <w:lang w:bidi="ru-RU"/>
        </w:rPr>
        <w:softHyphen/>
        <w:t>енный вариант. Нужно отметить, что идея создания скоростного разведчика в этот период являлась весьма ак</w:t>
      </w:r>
      <w:r w:rsidRPr="00E14102">
        <w:rPr>
          <w:color w:val="0070C0"/>
          <w:sz w:val="16"/>
          <w:szCs w:val="16"/>
          <w:lang w:bidi="ru-RU"/>
        </w:rPr>
        <w:softHyphen/>
        <w:t>туальной, поэтому под обозначением Р-9 проектировалось несколько подобных аппаратов разными конструкторами. Интересно, что военный вариант поначалу оказался даже более востребованным.</w:t>
      </w:r>
    </w:p>
    <w:p w14:paraId="09875003" w14:textId="77777777" w:rsidR="00640E94" w:rsidRPr="00E14102" w:rsidRDefault="00640E94" w:rsidP="00E14102">
      <w:pPr>
        <w:jc w:val="both"/>
        <w:rPr>
          <w:color w:val="0070C0"/>
          <w:sz w:val="16"/>
          <w:szCs w:val="16"/>
        </w:rPr>
      </w:pPr>
      <w:r w:rsidRPr="00E14102">
        <w:rPr>
          <w:color w:val="0070C0"/>
          <w:sz w:val="16"/>
          <w:szCs w:val="16"/>
          <w:lang w:bidi="ru-RU"/>
        </w:rPr>
        <w:t>Конструкцию Сталь-11 емко и доходчиво описал Вадим Борисович Шавров в своей «Истории конструкций...»:</w:t>
      </w:r>
    </w:p>
    <w:p w14:paraId="27152735" w14:textId="77777777" w:rsidR="00640E94" w:rsidRPr="00E14102" w:rsidRDefault="00640E94" w:rsidP="00E14102">
      <w:pPr>
        <w:jc w:val="both"/>
        <w:rPr>
          <w:color w:val="0070C0"/>
          <w:sz w:val="16"/>
          <w:szCs w:val="16"/>
        </w:rPr>
      </w:pPr>
      <w:r w:rsidRPr="00E14102">
        <w:rPr>
          <w:color w:val="0070C0"/>
          <w:sz w:val="16"/>
          <w:szCs w:val="16"/>
          <w:lang w:bidi="ru-RU"/>
        </w:rPr>
        <w:t>Известно, что Сталь-11 хотели отправить на Парижскую вы</w:t>
      </w:r>
      <w:r w:rsidRPr="00E14102">
        <w:rPr>
          <w:color w:val="0070C0"/>
          <w:sz w:val="16"/>
          <w:szCs w:val="16"/>
          <w:lang w:bidi="ru-RU"/>
        </w:rPr>
        <w:softHyphen/>
        <w:t>ставку, но к сроку не успели. Поэтому, в период с 13 по 30 ноября 1936 г. на выставке демонстрировался макет Ст-11 (20365).</w:t>
      </w:r>
    </w:p>
    <w:p w14:paraId="718DE4DB" w14:textId="77777777" w:rsidR="00640E94" w:rsidRPr="00E14102" w:rsidRDefault="00640E94" w:rsidP="00E14102">
      <w:pPr>
        <w:jc w:val="both"/>
        <w:rPr>
          <w:color w:val="0070C0"/>
          <w:sz w:val="16"/>
          <w:szCs w:val="16"/>
          <w:lang w:bidi="ru-RU"/>
        </w:rPr>
      </w:pPr>
    </w:p>
    <w:p w14:paraId="315764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октября 1935 года на базе производственных мастерских Владимирского механического техникума на основании приказа № 107 по тресту ВОТИ НКТП был организован будущий завод № 452, который назывался первоначально Опытный завод прецизионного оборудования (ОЗПО).</w:t>
      </w:r>
    </w:p>
    <w:p w14:paraId="00A609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занял помещение бывш. ремесленного училища, построенного в 1885 году, которое в 1919 году было преобразовано в механический техникум.</w:t>
      </w:r>
    </w:p>
    <w:p w14:paraId="7CB57A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Перед заводом была поставлена задача освоить производство прецизионного оборудования для приборных заводов. В декабре 1936 года завод был переведен в систему НКОП.</w:t>
      </w:r>
    </w:p>
    <w:p w14:paraId="5919C8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момента организации НКАП завод был передан в его систему. В 1942 году заводу был присвоен № 452.</w:t>
      </w:r>
    </w:p>
    <w:p w14:paraId="4D2A88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постановлением СМ за № 1318-671с от 20 сентября 1956 года и приказом МАП за № 639с от 28 декабря 1956 года в 1957 году при заводе организовано СКБ по проектированию специального оборудования и манипуляторов по заказам Министерства среднего машиностроения.</w:t>
      </w:r>
    </w:p>
    <w:p w14:paraId="73C1FD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Руководители:</w:t>
      </w:r>
    </w:p>
    <w:p w14:paraId="742D6B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Горохов И.А. – с сентября 1935 года по августа 1937 года</w:t>
      </w:r>
    </w:p>
    <w:p w14:paraId="0D70BB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Цаплин И.И. – с сентября 1937 года по февраль 1953 года</w:t>
      </w:r>
    </w:p>
    <w:p w14:paraId="38C86A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Васильев С.В. – с февраля 1953 года по январь 1954 года</w:t>
      </w:r>
    </w:p>
    <w:p w14:paraId="7B9D7A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Степанов В.Е. – с января 1954 года по январь 1955 года</w:t>
      </w:r>
    </w:p>
    <w:p w14:paraId="6360A9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Попов Г.М. – с января 1955 года</w:t>
      </w:r>
    </w:p>
    <w:p w14:paraId="0E529C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Владимир, ул. Б. Московская, д. 25</w:t>
      </w:r>
    </w:p>
    <w:p w14:paraId="12429D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Производственный профиль – изготовление мало и среднегабаритного прецизионного оборудования</w:t>
      </w:r>
    </w:p>
    <w:p w14:paraId="209196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находится во Владимире, в центральной его части, в квартале 38</w:t>
      </w:r>
    </w:p>
    <w:p w14:paraId="0C3D40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Площадка завода ограничена:</w:t>
      </w:r>
    </w:p>
    <w:p w14:paraId="24E364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юго-востока – ул. Б. Московская</w:t>
      </w:r>
    </w:p>
    <w:p w14:paraId="4288E5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юго-запада – ул. Федосеева</w:t>
      </w:r>
    </w:p>
    <w:p w14:paraId="18DC36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северо-запада – ул. им. Дзержинского</w:t>
      </w:r>
    </w:p>
    <w:p w14:paraId="532F67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северо-востока – ул. Большие Ременники (9902).</w:t>
      </w:r>
    </w:p>
    <w:p w14:paraId="5C928032" w14:textId="77777777" w:rsidR="00D4105E" w:rsidRPr="00E14102" w:rsidRDefault="00D4105E" w:rsidP="00E14102">
      <w:pPr>
        <w:autoSpaceDE w:val="0"/>
        <w:autoSpaceDN w:val="0"/>
        <w:adjustRightInd w:val="0"/>
        <w:jc w:val="both"/>
        <w:rPr>
          <w:color w:val="000000" w:themeColor="text1"/>
          <w:sz w:val="16"/>
          <w:szCs w:val="16"/>
        </w:rPr>
      </w:pPr>
    </w:p>
    <w:p w14:paraId="7B4CE9C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16 и 26 октября 1935 г. стрельба проходила в присутствии начальни ка первого отдела РНИИ Ю.А.Победоносцева, начальника первого сек</w:t>
      </w:r>
      <w:r w:rsidRPr="00E14102">
        <w:rPr>
          <w:color w:val="000000" w:themeColor="text1"/>
          <w:sz w:val="16"/>
          <w:szCs w:val="16"/>
        </w:rPr>
        <w:softHyphen/>
        <w:t>тора РНИИ Ф.Н.Пойды и ведущего инженера М.Ф.Фокина. Отстрели</w:t>
      </w:r>
      <w:r w:rsidRPr="00E14102">
        <w:rPr>
          <w:color w:val="000000" w:themeColor="text1"/>
          <w:sz w:val="16"/>
          <w:szCs w:val="16"/>
        </w:rPr>
        <w:softHyphen/>
        <w:t>вали РОС-82 модели 110800 «на дальность и меткость». Для этого в меха</w:t>
      </w:r>
      <w:r w:rsidRPr="00E14102">
        <w:rPr>
          <w:color w:val="000000" w:themeColor="text1"/>
          <w:sz w:val="16"/>
          <w:szCs w:val="16"/>
        </w:rPr>
        <w:softHyphen/>
        <w:t>нических мастерских РНИИ изготовили 15 снарядов с корпусами двига</w:t>
      </w:r>
      <w:r w:rsidRPr="00E14102">
        <w:rPr>
          <w:color w:val="000000" w:themeColor="text1"/>
          <w:sz w:val="16"/>
          <w:szCs w:val="16"/>
        </w:rPr>
        <w:softHyphen/>
        <w:t>телей из стали марки ЗОХМА (из заготовок для 107-мм артснарядов). Из стали этой же марки, но термообработанной, были изготовлены и со</w:t>
      </w:r>
      <w:r w:rsidRPr="00E14102">
        <w:rPr>
          <w:color w:val="000000" w:themeColor="text1"/>
          <w:sz w:val="16"/>
          <w:szCs w:val="16"/>
        </w:rPr>
        <w:softHyphen/>
        <w:t>пловые крышки. Дюралюминиевые крылья стабилизатора были прикле</w:t>
      </w:r>
      <w:r w:rsidRPr="00E14102">
        <w:rPr>
          <w:color w:val="000000" w:themeColor="text1"/>
          <w:sz w:val="16"/>
          <w:szCs w:val="16"/>
        </w:rPr>
        <w:softHyphen/>
        <w:t>паны к алюминиевому сопловому обтекателю, как у прототипа. РЗ — 35-шашечный из пороха рецептуры ПТП габаритами 24/6-57,5 мм. По его торцам располагались два воспламенителя из 6 г ДРП каждый. Воспламеняли РЗ от пиропатрона.</w:t>
      </w:r>
    </w:p>
    <w:p w14:paraId="50B0B1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Таблица 1.2 Условия стрельбы и требования к снарядам при испытании на меткость</w:t>
      </w:r>
    </w:p>
    <w:tbl>
      <w:tblPr>
        <w:tblW w:w="0" w:type="auto"/>
        <w:tblInd w:w="40" w:type="dxa"/>
        <w:tblLayout w:type="fixed"/>
        <w:tblCellMar>
          <w:left w:w="40" w:type="dxa"/>
          <w:right w:w="40" w:type="dxa"/>
        </w:tblCellMar>
        <w:tblLook w:val="0000" w:firstRow="0" w:lastRow="0" w:firstColumn="0" w:lastColumn="0" w:noHBand="0" w:noVBand="0"/>
      </w:tblPr>
      <w:tblGrid>
        <w:gridCol w:w="3331"/>
        <w:gridCol w:w="1286"/>
        <w:gridCol w:w="1315"/>
      </w:tblGrid>
      <w:tr w:rsidR="00E3599D" w:rsidRPr="00E14102" w14:paraId="100DF34C" w14:textId="77777777">
        <w:trPr>
          <w:trHeight w:val="240"/>
        </w:trPr>
        <w:tc>
          <w:tcPr>
            <w:tcW w:w="3331" w:type="dxa"/>
            <w:tcBorders>
              <w:top w:val="single" w:sz="6" w:space="0" w:color="auto"/>
              <w:left w:val="single" w:sz="6" w:space="0" w:color="auto"/>
              <w:bottom w:val="single" w:sz="6" w:space="0" w:color="auto"/>
              <w:right w:val="single" w:sz="6" w:space="0" w:color="auto"/>
            </w:tcBorders>
          </w:tcPr>
          <w:p w14:paraId="2591EA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Параметры</w:t>
            </w:r>
          </w:p>
          <w:p w14:paraId="69EA5B8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EC6DA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РС-82</w:t>
            </w:r>
          </w:p>
          <w:p w14:paraId="0DC6EAF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2330AC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РС-132</w:t>
            </w:r>
          </w:p>
          <w:p w14:paraId="1D4F8E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51C0E7FA" w14:textId="77777777">
        <w:trPr>
          <w:trHeight w:val="221"/>
        </w:trPr>
        <w:tc>
          <w:tcPr>
            <w:tcW w:w="3331" w:type="dxa"/>
            <w:tcBorders>
              <w:top w:val="single" w:sz="6" w:space="0" w:color="auto"/>
              <w:left w:val="single" w:sz="6" w:space="0" w:color="auto"/>
              <w:bottom w:val="single" w:sz="6" w:space="0" w:color="auto"/>
              <w:right w:val="single" w:sz="6" w:space="0" w:color="auto"/>
            </w:tcBorders>
          </w:tcPr>
          <w:p w14:paraId="023B5E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стрельбе по местности под углом, град</w:t>
            </w:r>
          </w:p>
          <w:p w14:paraId="3AAF22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BCB63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40</w:t>
            </w:r>
          </w:p>
          <w:p w14:paraId="74A82A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281034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40</w:t>
            </w:r>
          </w:p>
          <w:p w14:paraId="5A678E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5C410E5A" w14:textId="77777777">
        <w:trPr>
          <w:trHeight w:val="221"/>
        </w:trPr>
        <w:tc>
          <w:tcPr>
            <w:tcW w:w="3331" w:type="dxa"/>
            <w:tcBorders>
              <w:top w:val="single" w:sz="6" w:space="0" w:color="auto"/>
              <w:left w:val="single" w:sz="6" w:space="0" w:color="auto"/>
              <w:bottom w:val="single" w:sz="6" w:space="0" w:color="auto"/>
              <w:right w:val="single" w:sz="6" w:space="0" w:color="auto"/>
            </w:tcBorders>
          </w:tcPr>
          <w:p w14:paraId="709053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Дистанция, м</w:t>
            </w:r>
          </w:p>
          <w:p w14:paraId="6BE28A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CF41CC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5200</w:t>
            </w:r>
          </w:p>
          <w:p w14:paraId="6C003E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606BAB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7200</w:t>
            </w:r>
          </w:p>
          <w:p w14:paraId="1D9445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6B5E2A77" w14:textId="77777777">
        <w:trPr>
          <w:trHeight w:val="211"/>
        </w:trPr>
        <w:tc>
          <w:tcPr>
            <w:tcW w:w="3331" w:type="dxa"/>
            <w:tcBorders>
              <w:top w:val="single" w:sz="6" w:space="0" w:color="auto"/>
              <w:left w:val="single" w:sz="6" w:space="0" w:color="auto"/>
              <w:bottom w:val="single" w:sz="6" w:space="0" w:color="auto"/>
              <w:right w:val="single" w:sz="6" w:space="0" w:color="auto"/>
            </w:tcBorders>
          </w:tcPr>
          <w:p w14:paraId="46D088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Рассеивание по дальности, доли дистанции</w:t>
            </w:r>
          </w:p>
          <w:p w14:paraId="490265D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C0A21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1/100</w:t>
            </w:r>
          </w:p>
          <w:p w14:paraId="2BA8ACE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0FDA1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1/100</w:t>
            </w:r>
          </w:p>
          <w:p w14:paraId="1D23396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4C6148B0" w14:textId="77777777">
        <w:trPr>
          <w:trHeight w:val="211"/>
        </w:trPr>
        <w:tc>
          <w:tcPr>
            <w:tcW w:w="3331" w:type="dxa"/>
            <w:tcBorders>
              <w:top w:val="single" w:sz="6" w:space="0" w:color="auto"/>
              <w:left w:val="single" w:sz="6" w:space="0" w:color="auto"/>
              <w:bottom w:val="single" w:sz="6" w:space="0" w:color="auto"/>
              <w:right w:val="single" w:sz="6" w:space="0" w:color="auto"/>
            </w:tcBorders>
          </w:tcPr>
          <w:p w14:paraId="168FFA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Рассеивание по боковому, доли дистанции</w:t>
            </w:r>
          </w:p>
          <w:p w14:paraId="2C97305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F2788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1/60</w:t>
            </w:r>
          </w:p>
          <w:p w14:paraId="6AB318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3BA4E2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1/80</w:t>
            </w:r>
          </w:p>
          <w:p w14:paraId="4D54E1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5582FC02" w14:textId="77777777">
        <w:trPr>
          <w:trHeight w:val="221"/>
        </w:trPr>
        <w:tc>
          <w:tcPr>
            <w:tcW w:w="3331" w:type="dxa"/>
            <w:tcBorders>
              <w:top w:val="single" w:sz="6" w:space="0" w:color="auto"/>
              <w:left w:val="single" w:sz="6" w:space="0" w:color="auto"/>
              <w:bottom w:val="single" w:sz="6" w:space="0" w:color="auto"/>
              <w:right w:val="single" w:sz="6" w:space="0" w:color="auto"/>
            </w:tcBorders>
          </w:tcPr>
          <w:p w14:paraId="4B2E684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_ При стрельбе по щиту, м</w:t>
            </w:r>
          </w:p>
          <w:p w14:paraId="4E63F5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BD6399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50</w:t>
            </w:r>
          </w:p>
          <w:p w14:paraId="146CDE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2F9264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100</w:t>
            </w:r>
          </w:p>
          <w:p w14:paraId="1E203A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1CC6039F" w14:textId="77777777">
        <w:trPr>
          <w:trHeight w:val="211"/>
        </w:trPr>
        <w:tc>
          <w:tcPr>
            <w:tcW w:w="3331" w:type="dxa"/>
            <w:tcBorders>
              <w:top w:val="single" w:sz="6" w:space="0" w:color="auto"/>
              <w:left w:val="single" w:sz="6" w:space="0" w:color="auto"/>
              <w:bottom w:val="single" w:sz="6" w:space="0" w:color="auto"/>
              <w:right w:val="single" w:sz="6" w:space="0" w:color="auto"/>
            </w:tcBorders>
          </w:tcPr>
          <w:p w14:paraId="1D0AB0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__ Рассеивание по высоте, не более м</w:t>
            </w:r>
          </w:p>
          <w:p w14:paraId="3E181A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DB7FB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0,95</w:t>
            </w:r>
          </w:p>
          <w:p w14:paraId="56294A2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90E59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w:t>
            </w:r>
          </w:p>
          <w:p w14:paraId="0691A72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73DC934F" w14:textId="77777777">
        <w:trPr>
          <w:trHeight w:val="269"/>
        </w:trPr>
        <w:tc>
          <w:tcPr>
            <w:tcW w:w="3331" w:type="dxa"/>
            <w:tcBorders>
              <w:top w:val="single" w:sz="6" w:space="0" w:color="auto"/>
              <w:left w:val="single" w:sz="6" w:space="0" w:color="auto"/>
              <w:bottom w:val="single" w:sz="6" w:space="0" w:color="auto"/>
              <w:right w:val="single" w:sz="6" w:space="0" w:color="auto"/>
            </w:tcBorders>
          </w:tcPr>
          <w:p w14:paraId="7385A1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Рассеивание по боковому, не более м</w:t>
            </w:r>
          </w:p>
          <w:p w14:paraId="689895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0BADAB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0,75</w:t>
            </w:r>
          </w:p>
          <w:p w14:paraId="5B66641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21BBC7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w:t>
            </w:r>
          </w:p>
          <w:p w14:paraId="7D1A45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bl>
    <w:p w14:paraId="700C24D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ходе испытаний 16 октября 1935 г. в третьем и четвертом выстрелах выбило сопловые крышки снарядов. При обследовании выяснилось, что дисковые диафрагмы с упорами при горении РЗ раскаляясь, прогиба</w:t>
      </w:r>
      <w:r w:rsidRPr="00E14102">
        <w:rPr>
          <w:color w:val="000000" w:themeColor="text1"/>
          <w:sz w:val="16"/>
          <w:szCs w:val="16"/>
        </w:rPr>
        <w:softHyphen/>
        <w:t>лись настолько, что угрожали закупорить сопло. В оставшихся снарядах дисковые диафрагмы заменили колосниковыми. 26 октября отстрел ими благополучно завершился. Пусковой станок был установлен на лафете 76-мм короткой пушки обр.1913 г. Из 11 выстрелов обнаружить удалось девять снарядов.</w:t>
      </w:r>
    </w:p>
    <w:p w14:paraId="1CEF83D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итогам стрельбы баллистические качества боеприпасов не улуч</w:t>
      </w:r>
      <w:r w:rsidRPr="00E14102">
        <w:rPr>
          <w:color w:val="000000" w:themeColor="text1"/>
          <w:sz w:val="16"/>
          <w:szCs w:val="16"/>
        </w:rPr>
        <w:softHyphen/>
        <w:t>шились. Показатели технического рассеивания возросли. Дальность стрельбы осталась той же, что и у снарядов первого варианта. Получен</w:t>
      </w:r>
      <w:r w:rsidRPr="00E14102">
        <w:rPr>
          <w:color w:val="000000" w:themeColor="text1"/>
          <w:sz w:val="16"/>
          <w:szCs w:val="16"/>
        </w:rPr>
        <w:softHyphen/>
        <w:t>ная скорость оказалась значительно меньше расчетной. В выводах зна</w:t>
      </w:r>
      <w:r w:rsidRPr="00E14102">
        <w:rPr>
          <w:color w:val="000000" w:themeColor="text1"/>
          <w:sz w:val="16"/>
          <w:szCs w:val="16"/>
        </w:rPr>
        <w:softHyphen/>
        <w:t>чилось, что в последующих перспективных образцах РС необходимо от</w:t>
      </w:r>
      <w:r w:rsidRPr="00E14102">
        <w:rPr>
          <w:color w:val="000000" w:themeColor="text1"/>
          <w:sz w:val="16"/>
          <w:szCs w:val="16"/>
        </w:rPr>
        <w:softHyphen/>
        <w:t>казаться от использования дюралюминиевых стабилизаторов - дюрале</w:t>
      </w:r>
      <w:r w:rsidRPr="00E14102">
        <w:rPr>
          <w:color w:val="000000" w:themeColor="text1"/>
          <w:sz w:val="16"/>
          <w:szCs w:val="16"/>
        </w:rPr>
        <w:softHyphen/>
        <w:t>вого соплового обтекателя и крепления крыльев к нему заклепками за отогнутые закраины. «Крылья следует делать стальные и приваривать их к стальному сопловому обтекателю. Для уточнения баллистических ка</w:t>
      </w:r>
      <w:r w:rsidRPr="00E14102">
        <w:rPr>
          <w:color w:val="000000" w:themeColor="text1"/>
          <w:sz w:val="16"/>
          <w:szCs w:val="16"/>
        </w:rPr>
        <w:softHyphen/>
        <w:t>честв снаряда испытания желательно повторить» (11402).</w:t>
      </w:r>
    </w:p>
    <w:p w14:paraId="2BA26A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0E48F2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B548623" w14:textId="77777777" w:rsidR="00D4105E" w:rsidRPr="00E14102" w:rsidRDefault="00D4105E" w:rsidP="00E14102">
      <w:pPr>
        <w:autoSpaceDE w:val="0"/>
        <w:autoSpaceDN w:val="0"/>
        <w:adjustRightInd w:val="0"/>
        <w:jc w:val="both"/>
        <w:rPr>
          <w:iCs/>
          <w:color w:val="000000" w:themeColor="text1"/>
          <w:sz w:val="16"/>
          <w:szCs w:val="16"/>
        </w:rPr>
      </w:pPr>
    </w:p>
    <w:p w14:paraId="64AAC4AE" w14:textId="77777777" w:rsidR="00B90E74" w:rsidRPr="00E14102" w:rsidRDefault="00B90E74" w:rsidP="00E14102">
      <w:pPr>
        <w:pStyle w:val="rtejustify"/>
        <w:spacing w:before="0" w:after="0"/>
        <w:rPr>
          <w:color w:val="000000" w:themeColor="text1"/>
          <w:sz w:val="16"/>
          <w:szCs w:val="16"/>
        </w:rPr>
      </w:pPr>
      <w:r w:rsidRPr="00E14102">
        <w:rPr>
          <w:rStyle w:val="a6"/>
          <w:bCs/>
          <w:i w:val="0"/>
          <w:color w:val="000000" w:themeColor="text1"/>
          <w:sz w:val="16"/>
          <w:szCs w:val="16"/>
        </w:rPr>
        <w:t>16 октября 1935 вышел приказ НКО №</w:t>
      </w:r>
      <w:r w:rsidRPr="00E14102">
        <w:rPr>
          <w:color w:val="000000" w:themeColor="text1"/>
          <w:sz w:val="16"/>
          <w:szCs w:val="16"/>
        </w:rPr>
        <w:t> 0206. О назначении комиссии для проведения войсковых испытаний беспламенных порохов на КБФ (15247).</w:t>
      </w:r>
    </w:p>
    <w:p w14:paraId="06482A7F" w14:textId="77777777" w:rsidR="00B90E74" w:rsidRPr="00E14102" w:rsidRDefault="00B90E74" w:rsidP="00E14102">
      <w:pPr>
        <w:pStyle w:val="rtejustify"/>
        <w:spacing w:before="0" w:after="0"/>
        <w:rPr>
          <w:color w:val="000000" w:themeColor="text1"/>
          <w:sz w:val="16"/>
          <w:szCs w:val="16"/>
        </w:rPr>
      </w:pPr>
    </w:p>
    <w:p w14:paraId="1992F11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16 октября 1935 «бронеавтомобиль ГАЗ-ТК» или сокра</w:t>
      </w:r>
      <w:r w:rsidRPr="00E14102">
        <w:rPr>
          <w:color w:val="000000" w:themeColor="text1"/>
          <w:sz w:val="16"/>
          <w:szCs w:val="16"/>
        </w:rPr>
        <w:softHyphen/>
        <w:t>щенно БА ГАЗ-ТК, который прошел за</w:t>
      </w:r>
      <w:r w:rsidRPr="00E14102">
        <w:rPr>
          <w:color w:val="000000" w:themeColor="text1"/>
          <w:sz w:val="16"/>
          <w:szCs w:val="16"/>
        </w:rPr>
        <w:softHyphen/>
        <w:t>водские испытания в окрестностях Москвы (пробег со</w:t>
      </w:r>
      <w:r w:rsidRPr="00E14102">
        <w:rPr>
          <w:color w:val="000000" w:themeColor="text1"/>
          <w:sz w:val="16"/>
          <w:szCs w:val="16"/>
        </w:rPr>
        <w:softHyphen/>
        <w:t>ставил 1565 км) поступил на НИБТ полигон. В ходе испытаний бронеавтомобиль про</w:t>
      </w:r>
      <w:r w:rsidRPr="00E14102">
        <w:rPr>
          <w:color w:val="000000" w:themeColor="text1"/>
          <w:sz w:val="16"/>
          <w:szCs w:val="16"/>
        </w:rPr>
        <w:softHyphen/>
        <w:t>шел 571 км, из них «по щебенчатому шоссе среднего каче</w:t>
      </w:r>
      <w:r w:rsidRPr="00E14102">
        <w:rPr>
          <w:color w:val="000000" w:themeColor="text1"/>
          <w:sz w:val="16"/>
          <w:szCs w:val="16"/>
        </w:rPr>
        <w:softHyphen/>
        <w:t>ства 394 км, по проселку среднего качества с цепями 177 км». Машина уверенно преодолевала подъемы и скаты до 25 градусов, а также канавы шириной до 4 м и глубиной до метра. Максимальная скорость броневика ГАЗ-ТК составила 63,2 км/ч, средняя техническая по щебенчато</w:t>
      </w:r>
      <w:r w:rsidRPr="00E14102">
        <w:rPr>
          <w:color w:val="000000" w:themeColor="text1"/>
          <w:sz w:val="16"/>
          <w:szCs w:val="16"/>
        </w:rPr>
        <w:softHyphen/>
        <w:t>му шоссе 32 км/ч, запас хода по шоссе 230 км, по просел</w:t>
      </w:r>
      <w:r w:rsidRPr="00E14102">
        <w:rPr>
          <w:color w:val="000000" w:themeColor="text1"/>
          <w:sz w:val="16"/>
          <w:szCs w:val="16"/>
        </w:rPr>
        <w:softHyphen/>
        <w:t>ку 190 км.</w:t>
      </w:r>
    </w:p>
    <w:p w14:paraId="353837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своем заключении по бронеавтомобилю представите</w:t>
      </w:r>
      <w:r w:rsidRPr="00E14102">
        <w:rPr>
          <w:color w:val="000000" w:themeColor="text1"/>
          <w:sz w:val="16"/>
          <w:szCs w:val="16"/>
        </w:rPr>
        <w:softHyphen/>
        <w:t>ли полигона писали следующее:</w:t>
      </w:r>
    </w:p>
    <w:p w14:paraId="48AE82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окончании проведения войсковых испытаний на НИБТ полигоне АБТУ РККА бронемашины ГАЗ-ТК мож</w:t>
      </w:r>
      <w:r w:rsidRPr="00E14102">
        <w:rPr>
          <w:color w:val="000000" w:themeColor="text1"/>
          <w:sz w:val="16"/>
          <w:szCs w:val="16"/>
        </w:rPr>
        <w:softHyphen/>
        <w:t>но сделать следующие выводы:</w:t>
      </w:r>
    </w:p>
    <w:p w14:paraId="69CD85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Шасси ТК не может быть изготовлено из типовых Деталей ГАЗ-А и ГАЗ-АА.</w:t>
      </w:r>
    </w:p>
    <w:p w14:paraId="0C93084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Комплект бронекорпуса ФАИ не может быть ис</w:t>
      </w:r>
      <w:r w:rsidRPr="00E14102">
        <w:rPr>
          <w:color w:val="000000" w:themeColor="text1"/>
          <w:sz w:val="16"/>
          <w:szCs w:val="16"/>
        </w:rPr>
        <w:softHyphen/>
        <w:t>пользован для изготоштения бронекорпуса ГАЗ-ТК.</w:t>
      </w:r>
    </w:p>
    <w:p w14:paraId="7FB065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По вооружению — принимая во внимание, что бро</w:t>
      </w:r>
      <w:r w:rsidRPr="00E14102">
        <w:rPr>
          <w:color w:val="000000" w:themeColor="text1"/>
          <w:sz w:val="16"/>
          <w:szCs w:val="16"/>
        </w:rPr>
        <w:softHyphen/>
        <w:t>неавтомобиль ГАЗ-ТК является машиной повышенной проходимости и может быть использована в различной бо</w:t>
      </w:r>
      <w:r w:rsidRPr="00E14102">
        <w:rPr>
          <w:color w:val="000000" w:themeColor="text1"/>
          <w:sz w:val="16"/>
          <w:szCs w:val="16"/>
        </w:rPr>
        <w:softHyphen/>
        <w:t>евой обстановке считать, что вооружение ее не достаточно. Кроме того, вооружение поставленное в настоящее время страдает целым рядом недостатков...</w:t>
      </w:r>
    </w:p>
    <w:p w14:paraId="2D4502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По проселку и пересеченной местности бронема</w:t>
      </w:r>
      <w:r w:rsidRPr="00E14102">
        <w:rPr>
          <w:color w:val="000000" w:themeColor="text1"/>
          <w:sz w:val="16"/>
          <w:szCs w:val="16"/>
        </w:rPr>
        <w:softHyphen/>
        <w:t>шина ГАЗ-ТК с цепями противоскольжения имеет хоро</w:t>
      </w:r>
      <w:r w:rsidRPr="00E14102">
        <w:rPr>
          <w:color w:val="000000" w:themeColor="text1"/>
          <w:sz w:val="16"/>
          <w:szCs w:val="16"/>
        </w:rPr>
        <w:softHyphen/>
        <w:t>шую проходимость. Но по сравнению с автомобилями по</w:t>
      </w:r>
      <w:r w:rsidRPr="00E14102">
        <w:rPr>
          <w:color w:val="000000" w:themeColor="text1"/>
          <w:sz w:val="16"/>
          <w:szCs w:val="16"/>
        </w:rPr>
        <w:softHyphen/>
        <w:t>вышенной проходимости, например ГАЗ-ААА и ЗИС-6, ГАЗ-ТК обладает худшей проходимостью и приспособляе</w:t>
      </w:r>
      <w:r w:rsidRPr="00E14102">
        <w:rPr>
          <w:color w:val="000000" w:themeColor="text1"/>
          <w:sz w:val="16"/>
          <w:szCs w:val="16"/>
        </w:rPr>
        <w:softHyphen/>
        <w:t>мостью.</w:t>
      </w:r>
    </w:p>
    <w:p w14:paraId="4B88A0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По сравнению с ФАИ ГАЗ-ТК обладает: а. Хорошей проходимостью при движении на участках грязного проселка и подъемах;</w:t>
      </w:r>
    </w:p>
    <w:p w14:paraId="537993A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Большим радиусом поворота (6,5 м против 5,5 м у ФАИ);</w:t>
      </w:r>
    </w:p>
    <w:p w14:paraId="7A22D2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Меньшей максимальной скоростью (63,5 км/ч, ФАИ 85 км/ч);</w:t>
      </w:r>
    </w:p>
    <w:p w14:paraId="24FAE79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Запас хода ГАЗ ТК - 230 км, у ФАИ - 200 км;</w:t>
      </w:r>
    </w:p>
    <w:p w14:paraId="489434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 ГАЗ-ТК преодолевает препятствия, непреодолимые для ФАИ (канавы);</w:t>
      </w:r>
    </w:p>
    <w:p w14:paraId="78BA49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 Брод и крен одинаковы;</w:t>
      </w:r>
    </w:p>
    <w:p w14:paraId="1DB119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ж. Броневой корпус ГАЗ-ТК свободнее, что дает воз</w:t>
      </w:r>
      <w:r w:rsidRPr="00E14102">
        <w:rPr>
          <w:color w:val="000000" w:themeColor="text1"/>
          <w:sz w:val="16"/>
          <w:szCs w:val="16"/>
        </w:rPr>
        <w:softHyphen/>
        <w:t>можность удобного размещения радиостанции.</w:t>
      </w:r>
    </w:p>
    <w:p w14:paraId="2E2938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Но бронеавтомобиль ГАЗ-ТК имеет ряд существен</w:t>
      </w:r>
      <w:r w:rsidRPr="00E14102">
        <w:rPr>
          <w:color w:val="000000" w:themeColor="text1"/>
          <w:sz w:val="16"/>
          <w:szCs w:val="16"/>
        </w:rPr>
        <w:softHyphen/>
        <w:t>ных недостатков:</w:t>
      </w:r>
    </w:p>
    <w:p w14:paraId="7E6D22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Автомобиль перегружен, в особенности его передняя ось, а при прохождении препятствий при вывешивании од</w:t>
      </w:r>
      <w:r w:rsidRPr="00E14102">
        <w:rPr>
          <w:color w:val="000000" w:themeColor="text1"/>
          <w:sz w:val="16"/>
          <w:szCs w:val="16"/>
        </w:rPr>
        <w:softHyphen/>
        <w:t>ного из мостов перегружается другой;</w:t>
      </w:r>
    </w:p>
    <w:p w14:paraId="3BDC9E1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Отсутствие приспособляемости подвески ведущих мостов при движении по проселку и пересеченной местно</w:t>
      </w:r>
      <w:r w:rsidRPr="00E14102">
        <w:rPr>
          <w:color w:val="000000" w:themeColor="text1"/>
          <w:sz w:val="16"/>
          <w:szCs w:val="16"/>
        </w:rPr>
        <w:softHyphen/>
        <w:t>сти — угол взаимного перекоса не более 7 градусов, тогда как к автомобилям предъявляется требование по углу пере</w:t>
      </w:r>
      <w:r w:rsidRPr="00E14102">
        <w:rPr>
          <w:color w:val="000000" w:themeColor="text1"/>
          <w:sz w:val="16"/>
          <w:szCs w:val="16"/>
        </w:rPr>
        <w:softHyphen/>
        <w:t>коса не меньше 24 градусов.</w:t>
      </w:r>
    </w:p>
    <w:p w14:paraId="19A991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тому же неправильно технически выполнена кинемати</w:t>
      </w:r>
      <w:r w:rsidRPr="00E14102">
        <w:rPr>
          <w:color w:val="000000" w:themeColor="text1"/>
          <w:sz w:val="16"/>
          <w:szCs w:val="16"/>
        </w:rPr>
        <w:softHyphen/>
        <w:t>ческая схема главной силовой передачи к ведущим осям при данной конструкции подвески. Отсюда, как следствие, корон</w:t>
      </w:r>
      <w:r w:rsidRPr="00E14102">
        <w:rPr>
          <w:color w:val="000000" w:themeColor="text1"/>
          <w:sz w:val="16"/>
          <w:szCs w:val="16"/>
        </w:rPr>
        <w:softHyphen/>
        <w:t>ные шестерни, сателлиты, малые конические шестерни вто</w:t>
      </w:r>
      <w:r w:rsidRPr="00E14102">
        <w:rPr>
          <w:color w:val="000000" w:themeColor="text1"/>
          <w:sz w:val="16"/>
          <w:szCs w:val="16"/>
        </w:rPr>
        <w:softHyphen/>
        <w:t>рого карданного вала и полуоси воспринимают периодически неровные динамические нагрузки, и как следствие — сильный износ и поломки даже при небольшом пробеге (600 км).</w:t>
      </w:r>
    </w:p>
    <w:p w14:paraId="194C31B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основании результатов испытаний считаем, что бро</w:t>
      </w:r>
      <w:r w:rsidRPr="00E14102">
        <w:rPr>
          <w:color w:val="000000" w:themeColor="text1"/>
          <w:sz w:val="16"/>
          <w:szCs w:val="16"/>
        </w:rPr>
        <w:softHyphen/>
        <w:t>неавтомобиль ГАЗ-ТК к автомобилям повышенной прохо</w:t>
      </w:r>
      <w:r w:rsidRPr="00E14102">
        <w:rPr>
          <w:color w:val="000000" w:themeColor="text1"/>
          <w:sz w:val="16"/>
          <w:szCs w:val="16"/>
        </w:rPr>
        <w:softHyphen/>
        <w:t>димости, отвечающим предъявляемым к данному типу ма</w:t>
      </w:r>
      <w:r w:rsidRPr="00E14102">
        <w:rPr>
          <w:color w:val="000000" w:themeColor="text1"/>
          <w:sz w:val="16"/>
          <w:szCs w:val="16"/>
        </w:rPr>
        <w:softHyphen/>
        <w:t>шин требованиям, отнесен быть не может. Также не соот</w:t>
      </w:r>
      <w:r w:rsidRPr="00E14102">
        <w:rPr>
          <w:color w:val="000000" w:themeColor="text1"/>
          <w:sz w:val="16"/>
          <w:szCs w:val="16"/>
        </w:rPr>
        <w:softHyphen/>
        <w:t>ветствует стрелково-тактическим требованиям по огневой мощи и углам обстрела. Для применения в РККА в качест</w:t>
      </w:r>
      <w:r w:rsidRPr="00E14102">
        <w:rPr>
          <w:color w:val="000000" w:themeColor="text1"/>
          <w:sz w:val="16"/>
          <w:szCs w:val="16"/>
        </w:rPr>
        <w:softHyphen/>
        <w:t>ве боевой машины не пригоден».</w:t>
      </w:r>
    </w:p>
    <w:p w14:paraId="1B1BAF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столь нелестного мнения о бронеавтомобиле ГАЗ-ТК все дальнейшие работы по этой машине были пре</w:t>
      </w:r>
      <w:r w:rsidRPr="00E14102">
        <w:rPr>
          <w:color w:val="000000" w:themeColor="text1"/>
          <w:sz w:val="16"/>
          <w:szCs w:val="16"/>
        </w:rPr>
        <w:softHyphen/>
        <w:t>кращены (11284).</w:t>
      </w:r>
    </w:p>
    <w:p w14:paraId="10236EFC" w14:textId="77777777" w:rsidR="00D4105E" w:rsidRPr="00E14102" w:rsidRDefault="00D4105E" w:rsidP="00E14102">
      <w:pPr>
        <w:autoSpaceDE w:val="0"/>
        <w:autoSpaceDN w:val="0"/>
        <w:adjustRightInd w:val="0"/>
        <w:jc w:val="both"/>
        <w:rPr>
          <w:color w:val="000000" w:themeColor="text1"/>
          <w:sz w:val="16"/>
          <w:szCs w:val="16"/>
        </w:rPr>
      </w:pPr>
    </w:p>
    <w:p w14:paraId="3A65781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61BDBDB6" w14:textId="77777777" w:rsidR="00D4105E" w:rsidRPr="00E14102" w:rsidRDefault="00D4105E" w:rsidP="00E14102">
      <w:pPr>
        <w:autoSpaceDE w:val="0"/>
        <w:autoSpaceDN w:val="0"/>
        <w:adjustRightInd w:val="0"/>
        <w:jc w:val="both"/>
        <w:rPr>
          <w:iCs/>
          <w:color w:val="000000" w:themeColor="text1"/>
          <w:sz w:val="16"/>
          <w:szCs w:val="16"/>
        </w:rPr>
      </w:pPr>
    </w:p>
    <w:p w14:paraId="4723CC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октября 1935 года, в адрес исполнителей директивы было направлено «Предварительное тактическое задание на базу железнодорожной артиллерии», подписанное начальником 2-го отдела УМС РККА И. Горским.</w:t>
      </w:r>
    </w:p>
    <w:p w14:paraId="43656A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Предстояло создать:</w:t>
      </w:r>
    </w:p>
    <w:p w14:paraId="24BC3D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Основное место стоянки 305-мм 52 клб. железнодорожной батареи № 9 и 180-мм железнодорожной батареи № 17 и № 18 и проживания их личного состава в мирное время, и место отдыха личного состава при кратковременных заходах в военное время.</w:t>
      </w:r>
    </w:p>
    <w:p w14:paraId="6484F9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Центр снабжения железнодорожных единиц боезапасом, продовольствием и всякого рода имуществом и материалами...</w:t>
      </w:r>
    </w:p>
    <w:p w14:paraId="5C6CA4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 мирное время и военное время вместе с железнодорожными батареями будут базироваться три дивизиона зенитной артиллерии для прикрытия железнодорожных батарей с воздуха, в составе двух батарей по 11-76 мм орудий на мех. тяге.</w:t>
      </w:r>
    </w:p>
    <w:p w14:paraId="4EF6F1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 возможности расширения базы должны быть предусмотрены.</w:t>
      </w:r>
    </w:p>
    <w:p w14:paraId="729C3F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Снабжение и ремонт.</w:t>
      </w:r>
    </w:p>
    <w:p w14:paraId="6F3456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В базе должно храниться горючее для силовых установок батарей, запасные части и табельное имущество, для чего должен иметься соответствующие склады. То же в отношении продовольствия — из расчета хранить его месячный запас.</w:t>
      </w:r>
    </w:p>
    <w:p w14:paraId="45F929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 боезапас в базе хранится лишь в вагонах-погребах, (никаких стационарных складов не строится); пополнение боезапаса осуществляется из боескладов на Ижорском берегу.</w:t>
      </w:r>
    </w:p>
    <w:p w14:paraId="02B469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5. В базе должен храниться запас топлива и смазочных матери алое для 4-х паровозов серии «Э» и 6 паровозов серии «Щ» на 15 суток и дрова (уголь) для отопления подвижного состава на 15 су ток. </w:t>
      </w:r>
    </w:p>
    <w:p w14:paraId="5E52F8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6. Должно быть обеспечено питание паровозов водой, исход из необходимости (максимальной) выбросить один за другим 9 эшелонов, через 10 —15 мин. каждый, учитывая заправку паровоза и растяжку в отправлении. </w:t>
      </w:r>
    </w:p>
    <w:p w14:paraId="300AE4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7. Ремонт подвижного состава и матчасти артиллерии осуще ствляется в базе в пределах возможностей, имеющихся у вагонов артмастерских, входящих в состав железнодорожных батарей; остальной ремонт в базе железнодорожной артиллерии Лебяжье и на заводах. </w:t>
      </w:r>
    </w:p>
    <w:p w14:paraId="2CF2C1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III. Путевые устройства:</w:t>
      </w:r>
    </w:p>
    <w:p w14:paraId="780919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8. Путевые устройства базы предназначаются для стоянки, подвижного состава батарей, организованного в эшелоны, для быстрого выхода на главный путь для следования на позицию для необходимого маневрирования при погрузке всякого имущества, продовольствия, автотранспорта и т.д.</w:t>
      </w:r>
    </w:p>
    <w:p w14:paraId="1028B5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Они расчитываются нормально на стоянку одной 305-мм батареи и двух 180-мм батарей... и должны удовлетворять следующим условиям:</w:t>
      </w:r>
    </w:p>
    <w:p w14:paraId="04BEB6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любой эшелон батареи должен быть в состоянии войти на главный путь с минимальным количеством маневров;</w:t>
      </w:r>
    </w:p>
    <w:p w14:paraId="237449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из соображений живучести желательно обеспечить возможность расстановки систем на путях так, чтобы расстояние между ними было не меньше 50 —60 метров (принимая радиус разрушительного действия авиабомбы весом 250 кг за 50—80 метров);</w:t>
      </w:r>
    </w:p>
    <w:p w14:paraId="3F25FE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должны быть отведены специальные пути для вагонов-погребов, отделяемых от систем при длительных стоянках в базе;</w:t>
      </w:r>
    </w:p>
    <w:p w14:paraId="2F9DB4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находясь на этих путях вагоны-погреба должны быть не ближе 100 —150 метров к любым иным вагонам и системам и сооружениям базы;</w:t>
      </w:r>
    </w:p>
    <w:p w14:paraId="503387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должна иметься специальная ветка к базовым складам;</w:t>
      </w:r>
    </w:p>
    <w:p w14:paraId="63E5D0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Должна быть обеспечена возможность маневров для переформирования составов, для изъятия из них любой системы или вагона и подачи в нужное место для ремонта, погрузки и выгрузки и т.д.</w:t>
      </w:r>
    </w:p>
    <w:p w14:paraId="02842D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11)Должна иметься платформа для быстрой и удобной погрузки и выгрузки тракторов и автомобилей и т.д. </w:t>
      </w:r>
    </w:p>
    <w:p w14:paraId="23E0FC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12) Полезная длина путей должна быть такова, чтобы допускать в случае необходимости и установку, помимо 305-мм батареи № 9 и 180-мм и № 17 и № 18 в полном составе, также 356-мм батарею №11. </w:t>
      </w:r>
    </w:p>
    <w:p w14:paraId="093783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этом случае допускается установка на базовых путях только 356-мм систем и специально оборудованных вагонов подвижного состава батареи №11, вынося в случае необходимости нормальные железнодорожные вагоны за пределы базы.</w:t>
      </w:r>
    </w:p>
    <w:p w14:paraId="31AB4A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«Тактическое задание» содержало также требования по связи и сигнализации, маскировке, защите базы с воздуха и сухопутного направления...</w:t>
      </w:r>
    </w:p>
    <w:p w14:paraId="135188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Очень важным для определения параметров базы является указание о количестве личного состава, который предполагалось разместить на проживание в казарменном городке. Все расчеты исходили из того, что на «Базе» планируется проживание лиц начальствующего состава — 129 человек, младшего начальствующего состава — 265 человек, краснофлотцев — 1030 человек. Итого: 1424 человека.</w:t>
      </w:r>
    </w:p>
    <w:p w14:paraId="39EC0D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Несколько позже, когда вопрос о выборе места базы был решен окончательно и началось непосредственное сооружение ее объектов, техническим заданием на постройку хлебопекарни было определено, в частности, что ее производительность — «ежедневное удовлетворение печеным хлебом (черным и белым) — 2500 чел.» (11454).</w:t>
      </w:r>
    </w:p>
    <w:p w14:paraId="2FD56949" w14:textId="77777777" w:rsidR="00D4105E" w:rsidRPr="00E14102" w:rsidRDefault="00D4105E" w:rsidP="00E14102">
      <w:pPr>
        <w:autoSpaceDE w:val="0"/>
        <w:autoSpaceDN w:val="0"/>
        <w:adjustRightInd w:val="0"/>
        <w:jc w:val="both"/>
        <w:rPr>
          <w:color w:val="000000" w:themeColor="text1"/>
          <w:sz w:val="16"/>
          <w:szCs w:val="16"/>
        </w:rPr>
      </w:pPr>
    </w:p>
    <w:p w14:paraId="2934DB4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BCD10C0" w14:textId="77777777" w:rsidR="00D4105E" w:rsidRPr="00E14102" w:rsidRDefault="00D4105E" w:rsidP="00E14102">
      <w:pPr>
        <w:autoSpaceDE w:val="0"/>
        <w:autoSpaceDN w:val="0"/>
        <w:adjustRightInd w:val="0"/>
        <w:jc w:val="both"/>
        <w:rPr>
          <w:iCs/>
          <w:color w:val="000000" w:themeColor="text1"/>
          <w:sz w:val="16"/>
          <w:szCs w:val="16"/>
        </w:rPr>
      </w:pPr>
    </w:p>
    <w:p w14:paraId="35088D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октября 1935 г. ЦИК и СНК СССР приняли постановление “Об утверждении Положения о прохождении службы командным и начальствующим составам пограничной и внутренней охраны Наркомвнудел Союза ССР” (10303).</w:t>
      </w:r>
    </w:p>
    <w:p w14:paraId="2425D222" w14:textId="77777777" w:rsidR="00D4105E" w:rsidRPr="00E14102" w:rsidRDefault="00D4105E" w:rsidP="00E14102">
      <w:pPr>
        <w:autoSpaceDE w:val="0"/>
        <w:autoSpaceDN w:val="0"/>
        <w:adjustRightInd w:val="0"/>
        <w:jc w:val="both"/>
        <w:rPr>
          <w:color w:val="000000" w:themeColor="text1"/>
          <w:sz w:val="16"/>
          <w:szCs w:val="16"/>
        </w:rPr>
      </w:pPr>
    </w:p>
    <w:p w14:paraId="59FB25C9" w14:textId="77777777" w:rsidR="004F769A" w:rsidRPr="00E14102" w:rsidRDefault="004F769A" w:rsidP="00E14102">
      <w:pPr>
        <w:jc w:val="both"/>
        <w:rPr>
          <w:color w:val="000000" w:themeColor="text1"/>
          <w:sz w:val="16"/>
          <w:szCs w:val="16"/>
        </w:rPr>
      </w:pPr>
      <w:r w:rsidRPr="00E14102">
        <w:rPr>
          <w:color w:val="000000" w:themeColor="text1"/>
          <w:sz w:val="16"/>
          <w:szCs w:val="16"/>
        </w:rPr>
        <w:t>16 октября й935, согласно инструкции №2008, список изымаемых книг составлял 29 позиций. Всего за 1935 г. по приказам и инструкциям Главлита было изъято минимум 100 книг. Но одновременно с этим составлялись отдельные списки Наркомпросом, которые отчасти публиковались в «Бюллетене Наркомпроса». Особенность этих изъятий состоит в том, что до мая 1935 г. Наркомпрос рекомендовал только зачеркивать в учебных книгах и программах указания в тексте на «вредных авторов», а после мая – приказывал изымать эти книги полностью. 2 экземпляра всех изъятых в 1935 г. книг отправлялись в библиотечные спецхраны (17273).</w:t>
      </w:r>
    </w:p>
    <w:p w14:paraId="12E57C25" w14:textId="77777777" w:rsidR="004F769A" w:rsidRPr="00E14102" w:rsidRDefault="004F769A" w:rsidP="00E14102">
      <w:pPr>
        <w:jc w:val="both"/>
        <w:rPr>
          <w:color w:val="000000" w:themeColor="text1"/>
          <w:sz w:val="16"/>
          <w:szCs w:val="16"/>
        </w:rPr>
      </w:pPr>
    </w:p>
    <w:p w14:paraId="08D84F0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D5D03ED" w14:textId="77777777" w:rsidR="00D4105E" w:rsidRPr="00E14102" w:rsidRDefault="00D4105E" w:rsidP="00E14102">
      <w:pPr>
        <w:autoSpaceDE w:val="0"/>
        <w:autoSpaceDN w:val="0"/>
        <w:adjustRightInd w:val="0"/>
        <w:jc w:val="both"/>
        <w:rPr>
          <w:iCs/>
          <w:color w:val="000000" w:themeColor="text1"/>
          <w:sz w:val="16"/>
          <w:szCs w:val="16"/>
        </w:rPr>
      </w:pPr>
    </w:p>
    <w:p w14:paraId="246C9E6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17 октября 1935 года письмо № 2034/ко членам КО Кагановичу Л.М., Ворошилову, Орджоникидзе, Межлауку В.</w:t>
      </w:r>
    </w:p>
    <w:p w14:paraId="76048557"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указанию Молотова препровождаю доклад КПК о результатах проверки фактов, изложенных в записке Алксниса о срыве заводом № 1 правительственного …….(3475,200).</w:t>
      </w:r>
    </w:p>
    <w:p w14:paraId="267C4ADA"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095044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октября 1935 был подписан приказ о снятии И-4 с вооружения, но остались на флоте (1060,53).</w:t>
      </w:r>
    </w:p>
    <w:p w14:paraId="6763516E" w14:textId="77777777" w:rsidR="00D4105E" w:rsidRPr="00E14102" w:rsidRDefault="00D4105E" w:rsidP="00E14102">
      <w:pPr>
        <w:autoSpaceDE w:val="0"/>
        <w:autoSpaceDN w:val="0"/>
        <w:adjustRightInd w:val="0"/>
        <w:jc w:val="both"/>
        <w:rPr>
          <w:color w:val="000000" w:themeColor="text1"/>
          <w:sz w:val="16"/>
          <w:szCs w:val="16"/>
        </w:rPr>
      </w:pPr>
    </w:p>
    <w:p w14:paraId="6837D23C" w14:textId="77777777" w:rsidR="009959D0" w:rsidRPr="00E14102" w:rsidRDefault="009959D0"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17 октября 1935 г. подписали приказ о снятии самолета И-4 с вооружения. Последние машины этого типа сдала 119-я эскадрилья в Баку в связи с получением монопланов И-16. Устаревшие истребители предписали сдать в авиационные школы или разобрать на запасные части. В школы передали чуть более трех десятков машин, которые прослужили там около двух лет, пока не были вытеснены И-5, ставшими основными учебными истребителями во второй половине 1930-х гг.</w:t>
      </w:r>
    </w:p>
    <w:p w14:paraId="40892981" w14:textId="77777777" w:rsidR="009959D0" w:rsidRPr="00E14102" w:rsidRDefault="009959D0"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Уже после официального снятия с вооружения И-4 ненадолго появились вновь в ВВС Балтийского флота. Взятые со складов законсервированные истребители использовали для оснащения трех новых эскадрилий. В декабре 1935 г. сформировали 4-ю эскадрилью в Петергофе, в феврале следующего года - 3-ю и 8-ю там же. Но И-4 служили в них лишь как учебные машины до поступления И-16 летом 1936 г.</w:t>
      </w:r>
    </w:p>
    <w:p w14:paraId="690A0E4E" w14:textId="77777777" w:rsidR="009959D0" w:rsidRPr="00E14102" w:rsidRDefault="009959D0"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Отдельные самолеты кое-где продолжали использовать как тренировочные. В 92-й бригаде в Люберцах 21 февраля 1936 г. летчик Цандлер сорвался в штопор на высоте 1500 м, выйти из него не смог и покинул истребитель с парашютом. Пять дней спустя там же лейтенант Демин совершил на другом И-4 вынужденную посадку после отказа двигателя.</w:t>
      </w:r>
    </w:p>
    <w:p w14:paraId="41D3BB60" w14:textId="77777777" w:rsidR="009959D0" w:rsidRPr="00E14102" w:rsidRDefault="009959D0"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Многие еще способные летать И-4 передали в летные и технические школы. Ранее в школах этих машин насчитывалось очень мало. На 1 декабря всего в трех школах числились четыре истребителя и еще один - в Военно-воздушной академии. Теперь же туда перебрасывали И-4 из строевых частей, переходивших на более современную технику. Например, во 2-ю военную школу командиров звеньев в Борисоглебске поступили потрепанные машины из Евпатории. На 1 декабря 1935 г. там их насчитывалось пять штук. В школе уже порядком потрепанные самолеты стали быстро добивать курсанты и слушатели. Так, 22 мая 1936 г. слушатель Гущин после «двух грубых козлов» ушел на второй круг, но при повторном заходе на посадку ударился о землю сперва левым, а потом правым крылом и «встал на нос». 14 июня слушатель Фериери, совершавший на другой машине первый самостоятельный полет, на большой скорости ударился колесами о землю и скапотировал.</w:t>
      </w:r>
    </w:p>
    <w:p w14:paraId="72C82112" w14:textId="77777777" w:rsidR="009959D0" w:rsidRPr="00E14102" w:rsidRDefault="009959D0"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Долго продержался И-4 в НИИ ВВС. Там старые истребители использовали для разных экспериментов. Например, на них отрабатывали разные способы прогрева двигателя в мороз. На воздушном празднике в Тушино 18 августа 1937 г. один из последних И-4 изображал истребитель противника. Сбитый в «воздушном бою», он вошел в штопор и, дымя, устремился к земле, а затем тихо на малой высоте улетел восвояси.</w:t>
      </w:r>
    </w:p>
    <w:p w14:paraId="02A9AF85" w14:textId="77777777" w:rsidR="009959D0" w:rsidRPr="00E14102" w:rsidRDefault="009959D0"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К концу 1937 г. ни одного И-4 в ВВС РККА уже не осталось (19100).</w:t>
      </w:r>
    </w:p>
    <w:p w14:paraId="42BF3E15" w14:textId="77777777" w:rsidR="009959D0" w:rsidRPr="00E14102" w:rsidRDefault="009959D0" w:rsidP="00E14102">
      <w:pPr>
        <w:pStyle w:val="aa"/>
        <w:jc w:val="both"/>
        <w:rPr>
          <w:rFonts w:ascii="Times New Roman" w:hAnsi="Times New Roman" w:cs="Times New Roman"/>
          <w:color w:val="000000" w:themeColor="text1"/>
          <w:sz w:val="16"/>
          <w:szCs w:val="16"/>
          <w:lang w:val="ru-RU"/>
        </w:rPr>
      </w:pPr>
    </w:p>
    <w:p w14:paraId="3DBD91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октября 1935 Врид Нач. УВВС Хрипин писал письмо N 41/002585 Врид Нач. ГУАП Марголину (копия - врид. дир. завода 22 Фельдману):</w:t>
      </w:r>
    </w:p>
    <w:p w14:paraId="2C7F40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"Ознакомившись с состоянием работ и Вахмистрова считаю, что на сегодняшний день наиболее актуальной работой является осуществление взлета и посадки одного-двух истребителей И-16 М-25 с ТБ-3 4М-34РН, а впоследствии с ДБ 4М-34ФРН.</w:t>
      </w:r>
    </w:p>
    <w:p w14:paraId="28E22D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Указанная работа должна всемерно форсироваться, однако, не в ущерб начатой постройке специального истребительного звена.</w:t>
      </w:r>
    </w:p>
    <w:p w14:paraId="07E563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появившейся за границей работой п Майо над сложным самолетом, считаю необходимым дать бригаде и Вахмистрова задание на предварительные подсчеты ЛД ДСБ, катапультируемого в воздухе другим самолетом.</w:t>
      </w:r>
    </w:p>
    <w:p w14:paraId="062B7F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Считаю работы б Вахмистрова весьма важными и актуальными, прошу дать указание заводу 22 о всяческом форсировании последних." (2336,163).</w:t>
      </w:r>
    </w:p>
    <w:p w14:paraId="4DCA7981" w14:textId="77777777" w:rsidR="00D4105E" w:rsidRPr="00E14102" w:rsidRDefault="00D4105E" w:rsidP="00E14102">
      <w:pPr>
        <w:autoSpaceDE w:val="0"/>
        <w:autoSpaceDN w:val="0"/>
        <w:adjustRightInd w:val="0"/>
        <w:jc w:val="both"/>
        <w:rPr>
          <w:color w:val="000000" w:themeColor="text1"/>
          <w:sz w:val="16"/>
          <w:szCs w:val="16"/>
        </w:rPr>
      </w:pPr>
    </w:p>
    <w:p w14:paraId="6BA425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октября 1935 года врид. начальника управления ВС Хрипин писал письмо N ЗН/04097 зам. наркома обороны.</w:t>
      </w:r>
    </w:p>
    <w:p w14:paraId="134AFE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инженера Вахмистрова в настоящее время идут в трех направлениях:</w:t>
      </w:r>
    </w:p>
    <w:p w14:paraId="3F100E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Осуществление взлета истребителей с тяжелого бомбардировщика.</w:t>
      </w:r>
    </w:p>
    <w:p w14:paraId="660113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Отработан и прошел войсковые испытания взлет самолетов И4-М22 с самолета ТБ1-2М17;</w:t>
      </w:r>
    </w:p>
    <w:p w14:paraId="525742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отработан и прошел государственные и тактические испытания взлет 2-3 истребителей И5-М22 с самолета ТБ3-4М17;</w:t>
      </w:r>
    </w:p>
    <w:p w14:paraId="78A924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предъявлен на гос. испытания - взлет 2-х истребителей И16-М22 с самолета ТБ3.</w:t>
      </w:r>
    </w:p>
    <w:p w14:paraId="0BE777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Поскольку истребители И5-М22 устарели и вскоре будут сняты с вооружения ВС, мною предположено после окончания гос. испытаний взлета И16-М22 с самолета ТБ3 дать заказ авиационной промышленности на приспособление по установке указанных выше истребителей на тяжелый бомбардировщик.</w:t>
      </w:r>
    </w:p>
    <w:p w14:paraId="49EF16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Осуществление посадки и взлета истребителя с тяжелого бомбардировщика.</w:t>
      </w:r>
    </w:p>
    <w:p w14:paraId="744E9B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Отработан и прошел гос. испытания взлет и посадка истребителя ИЗЭТ-М22 с самолета ТБ3-4М17.</w:t>
      </w:r>
    </w:p>
    <w:p w14:paraId="06A2C4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Установка истребителя носила экспериментальный характер и при ней бомбардировщик не мог пользоваться бомбами расположенными в кассетах.</w:t>
      </w:r>
    </w:p>
    <w:p w14:paraId="2D5DA3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Вахмистров заканчивает переработку подцепки истребителя, позволяющую пользоваться бомбами в кассетах.</w:t>
      </w:r>
    </w:p>
    <w:p w14:paraId="7C5E4D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Для дальнейшего развития работ по взлету и посадке истребителя, мною дана Вахмистрову установка вести работы по обеспечению взлета и посадки одного и двух истребителей И16-М25 с самолетов ТБ3-4М34 РН, поскольку истребитель ИЗЕТ-М22 явно старел.</w:t>
      </w:r>
    </w:p>
    <w:p w14:paraId="48CDB7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Одновременно в качестве экспериментальной работы Вахмистровым осуществляется одновременная транспортировка на самолете ТБ3-4М17 шести истребителей.</w:t>
      </w:r>
    </w:p>
    <w:p w14:paraId="16F62C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этом случае тяжелый бомбардировщик рассматривается как авиаматка.</w:t>
      </w:r>
    </w:p>
    <w:p w14:paraId="7D0A6C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Вахмистровым закончено проектирование и начата постройка специального истребителя рассчитанного на взлет и посадку с ТБ, согласно плана опытного строительства.</w:t>
      </w:r>
    </w:p>
    <w:p w14:paraId="13F171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виду того, что работы инженера Вахмистрова весьма близки к изобретенному за границей полковником Майо сложному самолету мною предложено Вахмистрову сделать просчеты летных данных дальнего бомбардировщика, осуществляемого по принципу сложного самолета.</w:t>
      </w:r>
    </w:p>
    <w:p w14:paraId="30A580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Есть полное основание полагать, что такой бомбардировщик действительно будет весьма выгоден, особенно при снабжении его рядными перевернутыми моторами средних мощностей (200-300 НР). (2484,63).</w:t>
      </w:r>
    </w:p>
    <w:p w14:paraId="5851F9CB" w14:textId="77777777" w:rsidR="00D4105E" w:rsidRPr="00E14102" w:rsidRDefault="00D4105E" w:rsidP="00E14102">
      <w:pPr>
        <w:autoSpaceDE w:val="0"/>
        <w:autoSpaceDN w:val="0"/>
        <w:adjustRightInd w:val="0"/>
        <w:jc w:val="both"/>
        <w:rPr>
          <w:color w:val="000000" w:themeColor="text1"/>
          <w:sz w:val="16"/>
          <w:szCs w:val="16"/>
        </w:rPr>
      </w:pPr>
    </w:p>
    <w:p w14:paraId="79232CBE" w14:textId="77777777" w:rsidR="0006088F" w:rsidRPr="00E14102" w:rsidRDefault="0006088F" w:rsidP="00E14102">
      <w:pPr>
        <w:jc w:val="both"/>
        <w:rPr>
          <w:color w:val="0070C0"/>
          <w:sz w:val="16"/>
          <w:szCs w:val="16"/>
        </w:rPr>
      </w:pPr>
      <w:r w:rsidRPr="00E14102">
        <w:rPr>
          <w:color w:val="0070C0"/>
          <w:sz w:val="16"/>
          <w:szCs w:val="16"/>
        </w:rPr>
        <w:t>17 октября 1935 года начальник штаба Управления ВВС РККА В.С. Хрипин (уже в ноябре стал заместителем началь</w:t>
      </w:r>
      <w:r w:rsidRPr="00E14102">
        <w:rPr>
          <w:color w:val="0070C0"/>
          <w:sz w:val="16"/>
          <w:szCs w:val="16"/>
        </w:rPr>
        <w:softHyphen/>
        <w:t>ника ВВС), в послании на имя заместителя наркома обо</w:t>
      </w:r>
      <w:r w:rsidRPr="00E14102">
        <w:rPr>
          <w:color w:val="0070C0"/>
          <w:sz w:val="16"/>
          <w:szCs w:val="16"/>
        </w:rPr>
        <w:softHyphen/>
        <w:t>роны подробно описал все достижения и последующие планы В.С. Вахмистрова. В заключительной части письма сообщалось, что в качестве экспериментальной работы за</w:t>
      </w:r>
      <w:r w:rsidRPr="00E14102">
        <w:rPr>
          <w:color w:val="0070C0"/>
          <w:sz w:val="16"/>
          <w:szCs w:val="16"/>
        </w:rPr>
        <w:softHyphen/>
        <w:t>кончено проектирование и начата постройка специально</w:t>
      </w:r>
      <w:r w:rsidRPr="00E14102">
        <w:rPr>
          <w:color w:val="0070C0"/>
          <w:sz w:val="16"/>
          <w:szCs w:val="16"/>
        </w:rPr>
        <w:softHyphen/>
        <w:t>го истребителя, рассчитанного на взлет и посадку с тяже</w:t>
      </w:r>
      <w:r w:rsidRPr="00E14102">
        <w:rPr>
          <w:color w:val="0070C0"/>
          <w:sz w:val="16"/>
          <w:szCs w:val="16"/>
        </w:rPr>
        <w:softHyphen/>
        <w:t>лого бомбардировщика. «Работы инженера Вахмистрова весьма близки к изобретенному за границей полковником Майо сложному самолету... предложено Вахмистрову сде</w:t>
      </w:r>
      <w:r w:rsidRPr="00E14102">
        <w:rPr>
          <w:color w:val="0070C0"/>
          <w:sz w:val="16"/>
          <w:szCs w:val="16"/>
        </w:rPr>
        <w:softHyphen/>
        <w:t>лать просчеты летных данных дальнего бомбардировщи</w:t>
      </w:r>
      <w:r w:rsidRPr="00E14102">
        <w:rPr>
          <w:color w:val="0070C0"/>
          <w:sz w:val="16"/>
          <w:szCs w:val="16"/>
        </w:rPr>
        <w:softHyphen/>
        <w:t>ка, осуществляемого по принципу сложного самолета. Есть полное основание полагать, что такой бомбарди</w:t>
      </w:r>
      <w:r w:rsidRPr="00E14102">
        <w:rPr>
          <w:color w:val="0070C0"/>
          <w:sz w:val="16"/>
          <w:szCs w:val="16"/>
        </w:rPr>
        <w:softHyphen/>
        <w:t>ровщик действительно будет весьма выгоден, особенно при снабжении его рядными перевернутыми моторами средних мощностей (200-300 НР)» (20345).</w:t>
      </w:r>
    </w:p>
    <w:p w14:paraId="55787021" w14:textId="77777777" w:rsidR="0006088F" w:rsidRPr="00E14102" w:rsidRDefault="0006088F" w:rsidP="00E14102">
      <w:pPr>
        <w:jc w:val="both"/>
        <w:rPr>
          <w:color w:val="0070C0"/>
          <w:sz w:val="16"/>
          <w:szCs w:val="16"/>
        </w:rPr>
      </w:pPr>
    </w:p>
    <w:p w14:paraId="5BE8CE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октября 1935 на ТБ-3 4М-34Р и РН был выполнен 3-й и последний полет в рамках испытаний эталонного размещения аппаратуры Шутка. Цель полета: проверка работы приборов Шутки с рацией IICK-1. Предыдущие полеты были 11 и 15 октября (870).</w:t>
      </w:r>
    </w:p>
    <w:p w14:paraId="0D363C8B" w14:textId="77777777" w:rsidR="00D4105E" w:rsidRPr="00E14102" w:rsidRDefault="00D4105E" w:rsidP="00E14102">
      <w:pPr>
        <w:autoSpaceDE w:val="0"/>
        <w:autoSpaceDN w:val="0"/>
        <w:adjustRightInd w:val="0"/>
        <w:jc w:val="both"/>
        <w:rPr>
          <w:color w:val="000000" w:themeColor="text1"/>
          <w:sz w:val="16"/>
          <w:szCs w:val="16"/>
        </w:rPr>
      </w:pPr>
    </w:p>
    <w:p w14:paraId="74BD56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октября 1935 года закончились полигонные испытания прицела "РГ" КИБ ВООМП для стрельбы из пушек АПК-4 на самолете ЗЕТ, которые проходили с 10 октября 1935.</w:t>
      </w:r>
    </w:p>
    <w:p w14:paraId="1EA185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3581B9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4CA6CD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Проверить работу прицельно-дальномерного устройства.</w:t>
      </w:r>
    </w:p>
    <w:p w14:paraId="362849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428765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F5610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03B82B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Стрельбой прицел испытывался на Ногинском полигоне (3089).</w:t>
      </w:r>
    </w:p>
    <w:p w14:paraId="4B6A99F5" w14:textId="77777777" w:rsidR="00D4105E" w:rsidRPr="00E14102" w:rsidRDefault="00D4105E" w:rsidP="00E14102">
      <w:pPr>
        <w:autoSpaceDE w:val="0"/>
        <w:autoSpaceDN w:val="0"/>
        <w:adjustRightInd w:val="0"/>
        <w:jc w:val="both"/>
        <w:rPr>
          <w:color w:val="000000" w:themeColor="text1"/>
          <w:sz w:val="16"/>
          <w:szCs w:val="16"/>
        </w:rPr>
      </w:pPr>
    </w:p>
    <w:p w14:paraId="53A123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октября 1935 года закончились полигонные испытания прицела "РГ" КИБ ВООМП для стрельбы из пушек АПК-4 на самолете ЗЕТ, которые шли с 10 октября 1935.</w:t>
      </w:r>
    </w:p>
    <w:p w14:paraId="67DC85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11ECE8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48AE02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проверить работу прицельно-дальномерного устройства.</w:t>
      </w:r>
    </w:p>
    <w:p w14:paraId="56A407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6DC483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703F5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5DEFFF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Стрельбой прицел испытывался на Ногинском полигоне (3084).</w:t>
      </w:r>
    </w:p>
    <w:p w14:paraId="5B2FBD46" w14:textId="77777777" w:rsidR="00D4105E" w:rsidRPr="00E14102" w:rsidRDefault="00D4105E" w:rsidP="00E14102">
      <w:pPr>
        <w:autoSpaceDE w:val="0"/>
        <w:autoSpaceDN w:val="0"/>
        <w:adjustRightInd w:val="0"/>
        <w:jc w:val="both"/>
        <w:rPr>
          <w:color w:val="000000" w:themeColor="text1"/>
          <w:sz w:val="16"/>
          <w:szCs w:val="16"/>
        </w:rPr>
      </w:pPr>
    </w:p>
    <w:p w14:paraId="517D20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17 октября 1935 г., пока перспективные варианты боеприпасов только планировали из готовить, провели наземные огневые испытания РС-132 модели 2-01172 с двумя новыми вариантами стабилизатора. Для исследо</w:t>
      </w:r>
      <w:r w:rsidRPr="00E14102">
        <w:rPr>
          <w:color w:val="000000" w:themeColor="text1"/>
          <w:sz w:val="16"/>
          <w:szCs w:val="16"/>
        </w:rPr>
        <w:softHyphen/>
        <w:t>вания вопросов, сопутствующих повышению точности стрельбы, исполь</w:t>
      </w:r>
      <w:r w:rsidRPr="00E14102">
        <w:rPr>
          <w:color w:val="000000" w:themeColor="text1"/>
          <w:sz w:val="16"/>
          <w:szCs w:val="16"/>
        </w:rPr>
        <w:softHyphen/>
        <w:t>зовали снаряд со сварным обтекателем и приваренными к нему стальны</w:t>
      </w:r>
      <w:r w:rsidRPr="00E14102">
        <w:rPr>
          <w:color w:val="000000" w:themeColor="text1"/>
          <w:sz w:val="16"/>
          <w:szCs w:val="16"/>
        </w:rPr>
        <w:softHyphen/>
        <w:t>ми крыльями оперения, но размахом 250 мм. Боеприпасы другого вариан</w:t>
      </w:r>
      <w:r w:rsidRPr="00E14102">
        <w:rPr>
          <w:color w:val="000000" w:themeColor="text1"/>
          <w:sz w:val="16"/>
          <w:szCs w:val="16"/>
        </w:rPr>
        <w:softHyphen/>
        <w:t>та оснастили монолитным дюралюминиевым оперением, отлитым с обте</w:t>
      </w:r>
      <w:r w:rsidRPr="00E14102">
        <w:rPr>
          <w:color w:val="000000" w:themeColor="text1"/>
          <w:sz w:val="16"/>
          <w:szCs w:val="16"/>
        </w:rPr>
        <w:softHyphen/>
        <w:t>кателем и крыльями с продольным гофром (зигой) размахом 300 мм. Обе партии (20 снарядов первого варианта и 10 второго) изготовили на заводе №75. Стрельбу вели в присутствии начальника 1 отдела РНИИ Ю.А.Побе</w:t>
      </w:r>
      <w:r w:rsidRPr="00E14102">
        <w:rPr>
          <w:color w:val="000000" w:themeColor="text1"/>
          <w:sz w:val="16"/>
          <w:szCs w:val="16"/>
        </w:rPr>
        <w:softHyphen/>
        <w:t>доносцева и инженера 1 отдела РНИИ М.Ф.Фокина из пускового приспо</w:t>
      </w:r>
      <w:r w:rsidRPr="00E14102">
        <w:rPr>
          <w:color w:val="000000" w:themeColor="text1"/>
          <w:sz w:val="16"/>
          <w:szCs w:val="16"/>
        </w:rPr>
        <w:softHyphen/>
        <w:t>собления при углах возвышения 40°. Снаряжали боеприпасы в лаборатории Софринского КИАП. РЗ снарядов обоих типов состояли из 35 шашек пороха рецептуры ПТП габаритами 40/8-57,5 мм изготовления 1933-1935 гг. По торцам РЗ располагались стандартные воспламенители из двух навесок по 12 г ДРП. Воспламеняли РЗ пиропатронами. После стрельбы наблюдателям не удалось найти пять снарядов первого варианта и четы</w:t>
      </w:r>
      <w:r w:rsidRPr="00E14102">
        <w:rPr>
          <w:color w:val="000000" w:themeColor="text1"/>
          <w:sz w:val="16"/>
          <w:szCs w:val="16"/>
        </w:rPr>
        <w:softHyphen/>
        <w:t>ре — второго. Результаты сравнивали со штатным образцом РС-132 моде</w:t>
      </w:r>
      <w:r w:rsidRPr="00E14102">
        <w:rPr>
          <w:color w:val="000000" w:themeColor="text1"/>
          <w:sz w:val="16"/>
          <w:szCs w:val="16"/>
        </w:rPr>
        <w:softHyphen/>
        <w:t>ли 2-01172, стрельбу которым проводили 17 августа 1935 г.</w:t>
      </w:r>
    </w:p>
    <w:p w14:paraId="4848B1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Новые варианты стабилизаторов не улучшили баллистики РС. А уменьшение размаха оперения увеличило их рассеивание при стрельбе на предельную дальность. Испытатели пришли к заключению, что при обычной длине и толщине крыла РС-132 не следует уменьшать размах оперения боеприпаса менее 250 мм. «Дюралевые влитые крылья с гоф</w:t>
      </w:r>
      <w:r w:rsidRPr="00E14102">
        <w:rPr>
          <w:color w:val="000000" w:themeColor="text1"/>
          <w:sz w:val="16"/>
          <w:szCs w:val="16"/>
        </w:rPr>
        <w:softHyphen/>
        <w:t>ром, как не имеющие преимуществ перед стальным оперением, тоже не следует считать рациональными» (11402).</w:t>
      </w:r>
    </w:p>
    <w:p w14:paraId="27D3E9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7B09B54" w14:textId="77777777" w:rsidR="00B90E7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D43AD39" w14:textId="77777777" w:rsidR="00B90E74" w:rsidRPr="00E14102" w:rsidRDefault="00B90E74" w:rsidP="00E14102">
      <w:pPr>
        <w:autoSpaceDE w:val="0"/>
        <w:autoSpaceDN w:val="0"/>
        <w:adjustRightInd w:val="0"/>
        <w:jc w:val="both"/>
        <w:rPr>
          <w:iCs/>
          <w:color w:val="000000" w:themeColor="text1"/>
          <w:sz w:val="16"/>
          <w:szCs w:val="16"/>
        </w:rPr>
      </w:pPr>
    </w:p>
    <w:p w14:paraId="48593707" w14:textId="77777777" w:rsidR="0094028D" w:rsidRPr="00E14102" w:rsidRDefault="0094028D" w:rsidP="00E14102">
      <w:pPr>
        <w:pStyle w:val="rtejustify"/>
        <w:spacing w:before="0" w:after="0"/>
        <w:rPr>
          <w:color w:val="000000" w:themeColor="text1"/>
          <w:sz w:val="16"/>
          <w:szCs w:val="16"/>
        </w:rPr>
      </w:pPr>
      <w:r w:rsidRPr="00E14102">
        <w:rPr>
          <w:rStyle w:val="a6"/>
          <w:bCs/>
          <w:i w:val="0"/>
          <w:color w:val="000000" w:themeColor="text1"/>
          <w:sz w:val="16"/>
          <w:szCs w:val="16"/>
        </w:rPr>
        <w:t>17 октября 1935 вышел приказ НКО №</w:t>
      </w:r>
      <w:r w:rsidRPr="00E14102">
        <w:rPr>
          <w:color w:val="000000" w:themeColor="text1"/>
          <w:sz w:val="16"/>
          <w:szCs w:val="16"/>
        </w:rPr>
        <w:t> 0209. О проведении войсковых испытаний 122</w:t>
      </w:r>
      <w:r w:rsidRPr="00E14102">
        <w:rPr>
          <w:color w:val="000000" w:themeColor="text1"/>
          <w:sz w:val="16"/>
          <w:szCs w:val="16"/>
        </w:rPr>
        <w:noBreakHyphen/>
        <w:t>мм пушки образца 1931 г (15247).</w:t>
      </w:r>
    </w:p>
    <w:p w14:paraId="21A0E0C9" w14:textId="77777777" w:rsidR="0094028D" w:rsidRPr="00E14102" w:rsidRDefault="0094028D" w:rsidP="00E14102">
      <w:pPr>
        <w:pStyle w:val="rtejustify"/>
        <w:spacing w:before="0" w:after="0"/>
        <w:rPr>
          <w:color w:val="000000" w:themeColor="text1"/>
          <w:sz w:val="16"/>
          <w:szCs w:val="16"/>
        </w:rPr>
      </w:pPr>
    </w:p>
    <w:p w14:paraId="33DC3F4F" w14:textId="77777777" w:rsidR="0094028D" w:rsidRPr="00E14102" w:rsidRDefault="0094028D" w:rsidP="00E14102">
      <w:pPr>
        <w:pStyle w:val="rtejustify"/>
        <w:spacing w:before="0" w:after="0"/>
        <w:rPr>
          <w:color w:val="000000" w:themeColor="text1"/>
          <w:sz w:val="16"/>
          <w:szCs w:val="16"/>
        </w:rPr>
      </w:pPr>
      <w:r w:rsidRPr="00E14102">
        <w:rPr>
          <w:rStyle w:val="a6"/>
          <w:bCs/>
          <w:i w:val="0"/>
          <w:color w:val="000000" w:themeColor="text1"/>
          <w:sz w:val="16"/>
          <w:szCs w:val="16"/>
        </w:rPr>
        <w:t>17 октября 1935 вышел приказ НКО №</w:t>
      </w:r>
      <w:r w:rsidRPr="00E14102">
        <w:rPr>
          <w:color w:val="000000" w:themeColor="text1"/>
          <w:sz w:val="16"/>
          <w:szCs w:val="16"/>
        </w:rPr>
        <w:t> 0210. О проведении войсковых испытаний корпусных гаубиц (15247).</w:t>
      </w:r>
    </w:p>
    <w:p w14:paraId="23758DB2" w14:textId="77777777" w:rsidR="0094028D" w:rsidRPr="00E14102" w:rsidRDefault="0094028D" w:rsidP="00E14102">
      <w:pPr>
        <w:pStyle w:val="rtejustify"/>
        <w:spacing w:before="0" w:after="0"/>
        <w:rPr>
          <w:color w:val="000000" w:themeColor="text1"/>
          <w:sz w:val="16"/>
          <w:szCs w:val="16"/>
        </w:rPr>
      </w:pPr>
    </w:p>
    <w:p w14:paraId="6FC9B0E4" w14:textId="77777777" w:rsidR="0094028D" w:rsidRPr="00E14102" w:rsidRDefault="0094028D" w:rsidP="00E14102">
      <w:pPr>
        <w:pStyle w:val="rtejustify"/>
        <w:spacing w:before="0" w:after="0"/>
        <w:rPr>
          <w:color w:val="000000" w:themeColor="text1"/>
          <w:sz w:val="16"/>
          <w:szCs w:val="16"/>
        </w:rPr>
      </w:pPr>
      <w:r w:rsidRPr="00E14102">
        <w:rPr>
          <w:rStyle w:val="a6"/>
          <w:bCs/>
          <w:i w:val="0"/>
          <w:color w:val="000000" w:themeColor="text1"/>
          <w:sz w:val="16"/>
          <w:szCs w:val="16"/>
        </w:rPr>
        <w:t>17 октября 1935 вышел приказ НКО №</w:t>
      </w:r>
      <w:r w:rsidRPr="00E14102">
        <w:rPr>
          <w:color w:val="000000" w:themeColor="text1"/>
          <w:sz w:val="16"/>
          <w:szCs w:val="16"/>
        </w:rPr>
        <w:t> 0087. О назначении комиссии для проведения испытаний разработанных образцов стального шлема (15247).</w:t>
      </w:r>
    </w:p>
    <w:p w14:paraId="279402C1" w14:textId="77777777" w:rsidR="0094028D" w:rsidRPr="00E14102" w:rsidRDefault="0094028D" w:rsidP="00E14102">
      <w:pPr>
        <w:pStyle w:val="rtejustify"/>
        <w:spacing w:before="0" w:after="0"/>
        <w:rPr>
          <w:color w:val="000000" w:themeColor="text1"/>
          <w:sz w:val="16"/>
          <w:szCs w:val="16"/>
        </w:rPr>
      </w:pPr>
    </w:p>
    <w:p w14:paraId="743A7D8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02EF8974" w14:textId="77777777" w:rsidR="00D4105E" w:rsidRPr="00E14102" w:rsidRDefault="00D4105E" w:rsidP="00E14102">
      <w:pPr>
        <w:autoSpaceDE w:val="0"/>
        <w:autoSpaceDN w:val="0"/>
        <w:adjustRightInd w:val="0"/>
        <w:jc w:val="both"/>
        <w:rPr>
          <w:iCs/>
          <w:color w:val="000000" w:themeColor="text1"/>
          <w:sz w:val="16"/>
          <w:szCs w:val="16"/>
        </w:rPr>
      </w:pPr>
    </w:p>
    <w:p w14:paraId="3A78EB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октября 1935 года Приказом № 0012 Начальника Морских Сил РККА для выбора мест железнодорожных позиций, базы железнодорожной артиллерии и новых мест батарей № 211 и № 212 Ижорского Укрепленного района КБФ была назначена комиссия в составе:</w:t>
      </w:r>
    </w:p>
    <w:p w14:paraId="4BE014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председатель — комендант ИУРа КБФ — т. Воробьев;</w:t>
      </w:r>
    </w:p>
    <w:p w14:paraId="6E83EF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помощник коменданта ИУРа по артиллерийской части — т. Якубович;</w:t>
      </w:r>
    </w:p>
    <w:p w14:paraId="569655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инженеров ИУРа КБФ — т. Кузьмин;</w:t>
      </w:r>
    </w:p>
    <w:p w14:paraId="605E6D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отделения Морского отдела Генштаба РККА — т. Бакулин;</w:t>
      </w:r>
    </w:p>
    <w:p w14:paraId="2196EE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5-го отдела инженеров управления РККА — т. Дубов;</w:t>
      </w:r>
    </w:p>
    <w:p w14:paraId="365493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помощник начальника 1-го отделения 2-го отдела УМС РККА — т. Кригель;</w:t>
      </w:r>
    </w:p>
    <w:p w14:paraId="65B805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 штаба КБФ — по назначению командующего КБФ;</w:t>
      </w:r>
    </w:p>
    <w:p w14:paraId="5FC854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 штаба Л ВО — по назначению начальника штаба ЛВО (Ленинградского военного округа).</w:t>
      </w:r>
    </w:p>
    <w:p w14:paraId="234F3E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Командующему КБФ было предписано обеспечить комиссию необходимыми специалистами Гидрографического отдела КБФ, а также средствами транспорта. Комиссия должна была начать работу на месте 25 октября 1935 года и с заключением командующего КБФ представить материалы к 10 марта 1935 года.** Приказ был подписан заместителем начальника морских сил РККА (11454).</w:t>
      </w:r>
    </w:p>
    <w:p w14:paraId="3225C115" w14:textId="77777777" w:rsidR="00D4105E" w:rsidRPr="00E14102" w:rsidRDefault="00D4105E" w:rsidP="00E14102">
      <w:pPr>
        <w:autoSpaceDE w:val="0"/>
        <w:autoSpaceDN w:val="0"/>
        <w:adjustRightInd w:val="0"/>
        <w:jc w:val="both"/>
        <w:rPr>
          <w:color w:val="000000" w:themeColor="text1"/>
          <w:sz w:val="16"/>
          <w:szCs w:val="16"/>
        </w:rPr>
      </w:pPr>
    </w:p>
    <w:p w14:paraId="6D6D0A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октября 1935 СНК СССР постановил образовать в НКТ Центральное объединение военной торговли и обслуживания производственно-бытовых нужд КА и ВМФ - Центрвоенторг (3398,363).</w:t>
      </w:r>
    </w:p>
    <w:p w14:paraId="0B4677A9" w14:textId="77777777" w:rsidR="00D4105E" w:rsidRPr="00E14102" w:rsidRDefault="00D4105E" w:rsidP="00E14102">
      <w:pPr>
        <w:autoSpaceDE w:val="0"/>
        <w:autoSpaceDN w:val="0"/>
        <w:adjustRightInd w:val="0"/>
        <w:jc w:val="both"/>
        <w:rPr>
          <w:color w:val="000000" w:themeColor="text1"/>
          <w:sz w:val="16"/>
          <w:szCs w:val="16"/>
        </w:rPr>
      </w:pPr>
    </w:p>
    <w:p w14:paraId="29694ADD" w14:textId="77777777" w:rsidR="00333132" w:rsidRPr="00E14102" w:rsidRDefault="00333132"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769CA2A" w14:textId="77777777" w:rsidR="00333132" w:rsidRPr="00E14102" w:rsidRDefault="00333132" w:rsidP="00E14102">
      <w:pPr>
        <w:autoSpaceDE w:val="0"/>
        <w:autoSpaceDN w:val="0"/>
        <w:adjustRightInd w:val="0"/>
        <w:jc w:val="both"/>
        <w:rPr>
          <w:iCs/>
          <w:color w:val="000000" w:themeColor="text1"/>
          <w:sz w:val="16"/>
          <w:szCs w:val="16"/>
        </w:rPr>
      </w:pPr>
    </w:p>
    <w:p w14:paraId="407D8AD8" w14:textId="77777777" w:rsidR="00333132" w:rsidRPr="00E14102" w:rsidRDefault="00333132" w:rsidP="00E14102">
      <w:pPr>
        <w:jc w:val="both"/>
        <w:rPr>
          <w:color w:val="000000" w:themeColor="text1"/>
          <w:sz w:val="16"/>
          <w:szCs w:val="16"/>
        </w:rPr>
      </w:pPr>
      <w:r w:rsidRPr="00E14102">
        <w:rPr>
          <w:color w:val="000000" w:themeColor="text1"/>
          <w:sz w:val="16"/>
          <w:szCs w:val="16"/>
        </w:rPr>
        <w:lastRenderedPageBreak/>
        <w:t>18 октября 1935. Последние двуглавые орлы -символы Российской империи - были сняты с Никольской и Спасской башен Кремля. Днем 24 октября на Спасской башне установили первую звезду, изготовленную ЦАГИ. Днем 25 октября установили вторую звезду на Троицкой башне Кремля. Она тоже изготовлена ЦАГИ. Утром 26 октября установили третью звезду, сделанную на заводе имени Молотова для Никольской башни (18720).</w:t>
      </w:r>
    </w:p>
    <w:p w14:paraId="2B44554A" w14:textId="77777777" w:rsidR="00333132" w:rsidRPr="00E14102" w:rsidRDefault="00333132" w:rsidP="00E14102">
      <w:pPr>
        <w:jc w:val="both"/>
        <w:rPr>
          <w:color w:val="000000" w:themeColor="text1"/>
          <w:sz w:val="16"/>
          <w:szCs w:val="16"/>
        </w:rPr>
      </w:pPr>
    </w:p>
    <w:p w14:paraId="7788C308" w14:textId="77777777" w:rsidR="00CE425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4AF113A" w14:textId="77777777" w:rsidR="00CE4250" w:rsidRPr="00E14102" w:rsidRDefault="00CE4250" w:rsidP="00E14102">
      <w:pPr>
        <w:autoSpaceDE w:val="0"/>
        <w:autoSpaceDN w:val="0"/>
        <w:adjustRightInd w:val="0"/>
        <w:jc w:val="both"/>
        <w:rPr>
          <w:iCs/>
          <w:color w:val="000000" w:themeColor="text1"/>
          <w:sz w:val="16"/>
          <w:szCs w:val="16"/>
        </w:rPr>
      </w:pPr>
    </w:p>
    <w:p w14:paraId="5B34B9B5" w14:textId="77777777" w:rsidR="00CE4250" w:rsidRPr="00E14102" w:rsidRDefault="00CE4250" w:rsidP="00E14102">
      <w:pPr>
        <w:autoSpaceDE w:val="0"/>
        <w:autoSpaceDN w:val="0"/>
        <w:adjustRightInd w:val="0"/>
        <w:jc w:val="both"/>
        <w:rPr>
          <w:color w:val="000000" w:themeColor="text1"/>
          <w:sz w:val="16"/>
          <w:szCs w:val="16"/>
        </w:rPr>
      </w:pPr>
      <w:r w:rsidRPr="00E14102">
        <w:rPr>
          <w:color w:val="000000" w:themeColor="text1"/>
          <w:sz w:val="16"/>
          <w:szCs w:val="16"/>
        </w:rPr>
        <w:t>18 октября (1935 г.)</w:t>
      </w:r>
      <w:r w:rsidRPr="00E14102">
        <w:rPr>
          <w:bCs/>
          <w:color w:val="000000" w:themeColor="text1"/>
          <w:sz w:val="16"/>
          <w:szCs w:val="16"/>
        </w:rPr>
        <w:t xml:space="preserve"> итальянский генерал Грациани успешно атаковал абиссинскую позицию у Дагнерей на скалистой высоте в 200 м, преграждавшую долину, причем </w:t>
      </w:r>
      <w:r w:rsidRPr="00E14102">
        <w:rPr>
          <w:bCs/>
          <w:iCs/>
          <w:color w:val="000000" w:themeColor="text1"/>
          <w:sz w:val="16"/>
          <w:szCs w:val="16"/>
        </w:rPr>
        <w:t>впервые он здесь употребил повторенный им впоследствии прием атаки</w:t>
      </w:r>
      <w:r w:rsidRPr="00E14102">
        <w:rPr>
          <w:bCs/>
          <w:color w:val="000000" w:themeColor="text1"/>
          <w:sz w:val="16"/>
          <w:szCs w:val="16"/>
        </w:rPr>
        <w:t>. Внезапно, ночью, подошли части, состоявшие преимущественно из чернорубашечников. Бомбардировщики совершили несколько атак на абиссинскую позицию, а затем последовал штурм силами быстро выброшенных вперед моторизованных пулеметных отрядов при одновременной атаке на бреющем полете бомбардировщиков, поражавших неприятеля бомбами и из пулеметов. Так как в пустынной местности нельзя было укрыться от наблюдения и атак с воздуха, абиссинцы не долго могли противостоять итальянскому наступлению (17328).</w:t>
      </w:r>
    </w:p>
    <w:p w14:paraId="10C53437" w14:textId="77777777" w:rsidR="00CE4250" w:rsidRPr="00E14102" w:rsidRDefault="00CE4250" w:rsidP="00E14102">
      <w:pPr>
        <w:autoSpaceDE w:val="0"/>
        <w:autoSpaceDN w:val="0"/>
        <w:adjustRightInd w:val="0"/>
        <w:jc w:val="both"/>
        <w:rPr>
          <w:color w:val="000000" w:themeColor="text1"/>
          <w:sz w:val="16"/>
          <w:szCs w:val="16"/>
        </w:rPr>
      </w:pPr>
    </w:p>
    <w:p w14:paraId="7870E53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E156005" w14:textId="77777777" w:rsidR="00D4105E" w:rsidRPr="00E14102" w:rsidRDefault="00D4105E" w:rsidP="00E14102">
      <w:pPr>
        <w:autoSpaceDE w:val="0"/>
        <w:autoSpaceDN w:val="0"/>
        <w:adjustRightInd w:val="0"/>
        <w:jc w:val="both"/>
        <w:rPr>
          <w:iCs/>
          <w:color w:val="000000" w:themeColor="text1"/>
          <w:sz w:val="16"/>
          <w:szCs w:val="16"/>
        </w:rPr>
      </w:pPr>
    </w:p>
    <w:p w14:paraId="351163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октября 1935 вышло постановление СТО N С-145сс "Об организации работ по внедрению авиапулеметов Шпитального" В.М.М. (2161,120).</w:t>
      </w:r>
    </w:p>
    <w:p w14:paraId="772D99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целях обеспечения правильной организации работы по внедрению авиапулеметов Б.Г.Ш. СТО постановляет:</w:t>
      </w:r>
    </w:p>
    <w:p w14:paraId="2B6551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Обязать НКО организовать работу макетных комиссий по новым образцам самолетов под личным председательством Нач. вооружений РККА, с обязательным участием в них лично Нач. УВВС или его зам., Нач. НИИ ВВС, Нач. ГУАП или его зам., директора соотв. завода и ГК этого завода, с обязательным участием и Б.Г.Ш. по всем самолетам, на которых будет использовано оружие его конструкции.</w:t>
      </w:r>
    </w:p>
    <w:p w14:paraId="68FC60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Предложить тт. Тухачевскому, Хрипину, Марголину и Б.Г.Ш. в месячный срок пересмотреть все конструкции авиапулеметных установок ШКАС и ШВАК, имеющихся на самолетных серийных и опытных и утвердить самые лучшие из них для изготовления в 1936.</w:t>
      </w:r>
    </w:p>
    <w:p w14:paraId="351870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Обязать нач. ГУАП, Дир. ЦАГИ и директоров всех заводов обязательно привлекать тов. Б.Г.Ш. как консультанта ко всем работам по стрелковым установкам ШКАС и ШВАК, проводимых в ЦАГИ, на заводах ГУАП и в других организациях.</w:t>
      </w:r>
    </w:p>
    <w:p w14:paraId="05B30E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Поручить т. Б.Г.Ш. разработать к 1 июня 1936 типовые стрелковые установки под ШКАС и ШВАК на ТБ-3-А, СБ, Рзет, Р-9 с тем, чтобы эти установки могли быть использованы как стандартные на вновь строящихся самолетах.</w:t>
      </w:r>
    </w:p>
    <w:p w14:paraId="41498C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НКТП (ГВМУ) обеспечить полностью работу Б.Г.Ш. на тульском заводе и в частности, пересмотреть весь состав конструкторов и программу конструкторских работ на Тульском заводе, перенеся на другие заводы все те работы, с переводом соответствующих конструкторов, которые могут затруднить работу Б.Г.Ш. по настоящему поручению.</w:t>
      </w:r>
    </w:p>
    <w:p w14:paraId="3DA99A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Обязать НКТП (ГВМУ) к 1 января 1936 закончить переоборудование завода 519, переданного Б.Г.Ш. на сумму КВ в 700 тыс. руб.. обязав Промбанк профинансировать работы без утв. сметы и проекта.</w:t>
      </w:r>
    </w:p>
    <w:p w14:paraId="2E862D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Обязать т. Королева в месячный срок ввести по ГУАП должность ГИ по авиаоборудованию и организовать Отдел вооружений самолетов</w:t>
      </w:r>
    </w:p>
    <w:p w14:paraId="6C7A01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Предложить НКТП (ГВМУ и ГУАП) к 30 октября доложить СТО о выполнении постановления СТО № К-205сс от 29 декабря 1934 по крупнокалиберному вооружению (авиапулеметы ШВАК, турели и установки к ним 37мм пушки Шпитального) (2161,120).</w:t>
      </w:r>
    </w:p>
    <w:p w14:paraId="1F86CFE0" w14:textId="77777777" w:rsidR="00D4105E" w:rsidRPr="00E14102" w:rsidRDefault="00D4105E" w:rsidP="00E14102">
      <w:pPr>
        <w:autoSpaceDE w:val="0"/>
        <w:autoSpaceDN w:val="0"/>
        <w:adjustRightInd w:val="0"/>
        <w:jc w:val="both"/>
        <w:rPr>
          <w:color w:val="000000" w:themeColor="text1"/>
          <w:sz w:val="16"/>
          <w:szCs w:val="16"/>
        </w:rPr>
      </w:pPr>
    </w:p>
    <w:p w14:paraId="11E185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октября 1935 года вышло постановление СТО № С-145сс, в которым, в частности, был пункт 4-й о разработке Шпитальным к 1 июня типовых стрелковых установок по ШКАС и ШВАК на самолеты ТБ-3 А, СБ, РЗЕТ, Р-9 (3554,79).</w:t>
      </w:r>
    </w:p>
    <w:p w14:paraId="13DC1F8F" w14:textId="77777777" w:rsidR="00D4105E" w:rsidRPr="00E14102" w:rsidRDefault="00D4105E" w:rsidP="00E14102">
      <w:pPr>
        <w:autoSpaceDE w:val="0"/>
        <w:autoSpaceDN w:val="0"/>
        <w:adjustRightInd w:val="0"/>
        <w:jc w:val="both"/>
        <w:rPr>
          <w:color w:val="000000" w:themeColor="text1"/>
          <w:sz w:val="16"/>
          <w:szCs w:val="16"/>
        </w:rPr>
      </w:pPr>
    </w:p>
    <w:p w14:paraId="7EB35C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 и 26 октября 1935 г. бригада исследователей в том же составе про</w:t>
      </w:r>
      <w:r w:rsidRPr="00E14102">
        <w:rPr>
          <w:color w:val="000000" w:themeColor="text1"/>
          <w:sz w:val="16"/>
          <w:szCs w:val="16"/>
        </w:rPr>
        <w:softHyphen/>
        <w:t>вела аналогичные опыты с РС-82 модели 2-01171, но с оперением разма</w:t>
      </w:r>
      <w:r w:rsidRPr="00E14102">
        <w:rPr>
          <w:color w:val="000000" w:themeColor="text1"/>
          <w:sz w:val="16"/>
          <w:szCs w:val="16"/>
        </w:rPr>
        <w:softHyphen/>
        <w:t>хом 150 мм вместо 200. Партию из 20 боеприпасов также изготовили на заводе №75. В первой серии отстрелов 19 октября удалось выпустить во</w:t>
      </w:r>
      <w:r w:rsidRPr="00E14102">
        <w:rPr>
          <w:color w:val="000000" w:themeColor="text1"/>
          <w:sz w:val="16"/>
          <w:szCs w:val="16"/>
        </w:rPr>
        <w:softHyphen/>
        <w:t>семь снарядов. Стрельба прекратилась из-за разрыва в пусковом устрой</w:t>
      </w:r>
      <w:r w:rsidRPr="00E14102">
        <w:rPr>
          <w:color w:val="000000" w:themeColor="text1"/>
          <w:sz w:val="16"/>
          <w:szCs w:val="16"/>
        </w:rPr>
        <w:softHyphen/>
        <w:t>стве девятого боеприпаса, повредившего ПУ. Во второй серии 26 октяб</w:t>
      </w:r>
      <w:r w:rsidRPr="00E14102">
        <w:rPr>
          <w:color w:val="000000" w:themeColor="text1"/>
          <w:sz w:val="16"/>
          <w:szCs w:val="16"/>
        </w:rPr>
        <w:softHyphen/>
        <w:t>ря выпустили остальные 11 снарядов, из которых четыре найти не уда</w:t>
      </w:r>
      <w:r w:rsidRPr="00E14102">
        <w:rPr>
          <w:color w:val="000000" w:themeColor="text1"/>
          <w:sz w:val="16"/>
          <w:szCs w:val="16"/>
        </w:rPr>
        <w:softHyphen/>
        <w:t>лось. Из-за этого результаты технологического рассеивания при стрель</w:t>
      </w:r>
      <w:r w:rsidRPr="00E14102">
        <w:rPr>
          <w:color w:val="000000" w:themeColor="text1"/>
          <w:sz w:val="16"/>
          <w:szCs w:val="16"/>
        </w:rPr>
        <w:softHyphen/>
        <w:t>бе получились намного лучше. Как и в предыдущем случае, уменьшение размаха оперения «ухудшило меткость», в сравнении с результатами стрельбы 22 марта 1935 г. штатными образцами РС-82 модели 1454, но с оперением размахом 150 мм, где отклонение по дальности получи</w:t>
      </w:r>
      <w:r w:rsidRPr="00E14102">
        <w:rPr>
          <w:color w:val="000000" w:themeColor="text1"/>
          <w:sz w:val="16"/>
          <w:szCs w:val="16"/>
        </w:rPr>
        <w:softHyphen/>
        <w:t>лось 1/76. Выводы были практически теми же - от изменения размаха оперения без изменения толщины и длины крыла следует воздержаться.</w:t>
      </w:r>
    </w:p>
    <w:p w14:paraId="41EFC8F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Наряду с этим, в РНИИ ГУБ НКТП продолжались эксперименталь</w:t>
      </w:r>
      <w:r w:rsidRPr="00E14102">
        <w:rPr>
          <w:color w:val="000000" w:themeColor="text1"/>
          <w:sz w:val="16"/>
          <w:szCs w:val="16"/>
        </w:rPr>
        <w:softHyphen/>
        <w:t>ные работы по уменьшению рассеивания РС. Если в 1935 г. они ограни</w:t>
      </w:r>
      <w:r w:rsidRPr="00E14102">
        <w:rPr>
          <w:color w:val="000000" w:themeColor="text1"/>
          <w:sz w:val="16"/>
          <w:szCs w:val="16"/>
        </w:rPr>
        <w:softHyphen/>
        <w:t>чились лишь исследованиями новых способов крепления различного числа крыльев стабилизатора, то в следующем году по теме объекта 25а отстреляли 18 снарядов РОС-82 с восьмью вариантами стабилизаторов из РО двух вариантов. При этом также исследовали влияние длины на</w:t>
      </w:r>
      <w:r w:rsidRPr="00E14102">
        <w:rPr>
          <w:color w:val="000000" w:themeColor="text1"/>
          <w:sz w:val="16"/>
          <w:szCs w:val="16"/>
        </w:rPr>
        <w:softHyphen/>
        <w:t>правляющей на правильный полет боеприпасов. Исследования по теме объекта 256 преследовали те же цели, но применительно к снарядам РС-132. В ходе этих опытов отстреляли 17 боеприпасов, из которых во</w:t>
      </w:r>
      <w:r w:rsidRPr="00E14102">
        <w:rPr>
          <w:color w:val="000000" w:themeColor="text1"/>
          <w:sz w:val="16"/>
          <w:szCs w:val="16"/>
        </w:rPr>
        <w:softHyphen/>
        <w:t>семь обладали различными вариантами оперения (11402).</w:t>
      </w:r>
    </w:p>
    <w:p w14:paraId="26FE07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A61243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 октяб</w:t>
      </w:r>
      <w:r w:rsidRPr="00E14102">
        <w:rPr>
          <w:color w:val="000000" w:themeColor="text1"/>
          <w:sz w:val="16"/>
          <w:szCs w:val="16"/>
        </w:rPr>
        <w:softHyphen/>
        <w:t>ря 1935 г. было писбмо помощника начальника ОБАА АУ РККА Г.Е.Беккера и по</w:t>
      </w:r>
      <w:r w:rsidRPr="00E14102">
        <w:rPr>
          <w:color w:val="000000" w:themeColor="text1"/>
          <w:sz w:val="16"/>
          <w:szCs w:val="16"/>
        </w:rPr>
        <w:softHyphen/>
        <w:t>мощника начальника НТО-1 ОБАА М.М.Зандера начальнику 5 отде</w:t>
      </w:r>
      <w:r w:rsidRPr="00E14102">
        <w:rPr>
          <w:color w:val="000000" w:themeColor="text1"/>
          <w:sz w:val="16"/>
          <w:szCs w:val="16"/>
        </w:rPr>
        <w:softHyphen/>
        <w:t>ла УВС РККА, начальнику 4 отдела НИИ ВВС РККА, начальнику РНИИ НКТП, военпреду АУ при РНИИ: «НТО ОБАА АУ РККА просит провести опытное бомбометание ракетными снарядами РС-245 в холостом снаряжении, но с ракетным зарядом, оснащен</w:t>
      </w:r>
      <w:r w:rsidRPr="00E14102">
        <w:rPr>
          <w:color w:val="000000" w:themeColor="text1"/>
          <w:sz w:val="16"/>
          <w:szCs w:val="16"/>
        </w:rPr>
        <w:softHyphen/>
        <w:t>ные дистанционными трубками ТМ-4 для включения РЗ на траекто</w:t>
      </w:r>
      <w:r w:rsidRPr="00E14102">
        <w:rPr>
          <w:color w:val="000000" w:themeColor="text1"/>
          <w:sz w:val="16"/>
          <w:szCs w:val="16"/>
        </w:rPr>
        <w:softHyphen/>
        <w:t>рии, и с взрывателями АПУВ в головном очке. Испытание бомбоме</w:t>
      </w:r>
      <w:r w:rsidRPr="00E14102">
        <w:rPr>
          <w:color w:val="000000" w:themeColor="text1"/>
          <w:sz w:val="16"/>
          <w:szCs w:val="16"/>
        </w:rPr>
        <w:softHyphen/>
        <w:t>танием проведите с целью определения глубины проникания и технического рассеивания снаряда с высоты 1000 м. Установка дистанционной трубки — с таким расчетом, чтобы РЗ начал работать в 150-200 м от земли.</w:t>
      </w:r>
    </w:p>
    <w:p w14:paraId="7BB7F9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Бомбометание надлежит провести с одновременным сбрасыванием 50- или 100-кг фугасных авиабомб и выполнить всего два залпа, сбро</w:t>
      </w:r>
      <w:r w:rsidRPr="00E14102">
        <w:rPr>
          <w:color w:val="000000" w:themeColor="text1"/>
          <w:sz w:val="16"/>
          <w:szCs w:val="16"/>
        </w:rPr>
        <w:softHyphen/>
        <w:t>сив по два снаряда и две авиабомбы в каждом из них. Так как в насто</w:t>
      </w:r>
      <w:r w:rsidRPr="00E14102">
        <w:rPr>
          <w:color w:val="000000" w:themeColor="text1"/>
          <w:sz w:val="16"/>
          <w:szCs w:val="16"/>
        </w:rPr>
        <w:softHyphen/>
        <w:t>ящее время изготовлена опытная партия РС-245 для испытания бом</w:t>
      </w:r>
      <w:r w:rsidRPr="00E14102">
        <w:rPr>
          <w:color w:val="000000" w:themeColor="text1"/>
          <w:sz w:val="16"/>
          <w:szCs w:val="16"/>
        </w:rPr>
        <w:softHyphen/>
        <w:t>бометанием по железобетону, НТО просит указанные выше испытания провести срочно. РС-245 с бугелями будут поданы из РНИИ в 4-й от</w:t>
      </w:r>
      <w:r w:rsidRPr="00E14102">
        <w:rPr>
          <w:color w:val="000000" w:themeColor="text1"/>
          <w:sz w:val="16"/>
          <w:szCs w:val="16"/>
        </w:rPr>
        <w:softHyphen/>
        <w:t>дел НИИ ВВС в снаряженном виде и приняты военной приемкой АУ РККА. Одновременно с этим. НТО просит 5-й отдел УВС РККА дать РНИИ один комплект бомбодержателей самолета Р-5, чтобы возможно было проектировать подвески для авиабомб с дополнительными скоростями» (11402).</w:t>
      </w:r>
    </w:p>
    <w:p w14:paraId="5BEE45E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EFCB676" w14:textId="77777777" w:rsidR="00333132" w:rsidRPr="00E14102" w:rsidRDefault="00333132" w:rsidP="00E14102">
      <w:pPr>
        <w:jc w:val="both"/>
        <w:rPr>
          <w:color w:val="000000" w:themeColor="text1"/>
          <w:sz w:val="16"/>
          <w:szCs w:val="16"/>
        </w:rPr>
      </w:pPr>
      <w:r w:rsidRPr="00E14102">
        <w:rPr>
          <w:color w:val="000000" w:themeColor="text1"/>
          <w:sz w:val="16"/>
          <w:szCs w:val="16"/>
        </w:rPr>
        <w:t>19 октября 1935 г. было Письмо (Исх. А 705сс) ДИРЕКТОРА РНИИ И.КЛЕЙМЕНОВА в Ц К ВКП/б/, ОТДЕЛ Н А У К И тов. Г О Р О Х О В У.  [Подлинник. 17.10.1935 г. // Архив ГНЦ ФГУП "Центр Келдыша". Инв. 97. Оп. 1. Ед. хр. по описи 1. Л. 140,141.] о том, что в 1934-1935 годах два инженера Реактивного Научно-исследовательского Института тов. АЛЕКСАНДРОВ и тов. ПАВЛОВ провели большую научно-исследовательскую работу на тему: "Разработка состава и способа изготовления пороха для ракетного двигателя с пониженной скоростью горения".</w:t>
      </w:r>
    </w:p>
    <w:p w14:paraId="1FF0BD43" w14:textId="77777777" w:rsidR="00333132" w:rsidRPr="00E14102" w:rsidRDefault="00333132" w:rsidP="00E14102">
      <w:pPr>
        <w:shd w:val="clear" w:color="auto" w:fill="FFFFFF"/>
        <w:jc w:val="both"/>
        <w:rPr>
          <w:color w:val="000000" w:themeColor="text1"/>
          <w:sz w:val="16"/>
          <w:szCs w:val="16"/>
        </w:rPr>
      </w:pPr>
      <w:r w:rsidRPr="00E14102">
        <w:rPr>
          <w:color w:val="000000" w:themeColor="text1"/>
          <w:sz w:val="16"/>
          <w:szCs w:val="16"/>
        </w:rPr>
        <w:t>Областью практического применения этого пороха являются так называемые тяговые ракеты, употребляемые в качестве двинателя для установки на самолётах и ракетных планерах.</w:t>
      </w:r>
    </w:p>
    <w:p w14:paraId="7199787F" w14:textId="77777777" w:rsidR="00333132" w:rsidRPr="00E14102" w:rsidRDefault="00333132" w:rsidP="00E14102">
      <w:pPr>
        <w:shd w:val="clear" w:color="auto" w:fill="FFFFFF"/>
        <w:jc w:val="both"/>
        <w:rPr>
          <w:color w:val="000000" w:themeColor="text1"/>
          <w:sz w:val="16"/>
          <w:szCs w:val="16"/>
        </w:rPr>
      </w:pPr>
      <w:r w:rsidRPr="00E14102">
        <w:rPr>
          <w:color w:val="000000" w:themeColor="text1"/>
          <w:sz w:val="16"/>
          <w:szCs w:val="16"/>
        </w:rPr>
        <w:t>При проведении лабораторных и заводских испытаниях химические исследования показали, что основная задача разрешена удовлетворительно. Скорость горения пороха нового состава на 60% ниже, чем у существовавших на тот момент бездымных порохов. Новый порох стоял выше, применявшегося до этого ракетного пороха [Письмо Исх. А 705сс от 19.10.1935 г. от ДИРЕКТОРА РНИИ И.КЛЕЙМЕНОВА в Ц К ВКП/б/, ОТДЕЛ Н А У К И тов. Г О Р О Х О В У.  Подлинник. 17.10.1935 г. // Архив ГНЦ ФГУП "Центр Келдыша". Инв. 97. Оп. 1. Ед. хр. по описи 1. Л. 140,141.] (19771).</w:t>
      </w:r>
    </w:p>
    <w:p w14:paraId="27B09314" w14:textId="77777777" w:rsidR="00333132" w:rsidRPr="00E14102" w:rsidRDefault="00333132" w:rsidP="00E14102">
      <w:pPr>
        <w:shd w:val="clear" w:color="auto" w:fill="FFFFFF"/>
        <w:jc w:val="both"/>
        <w:rPr>
          <w:color w:val="000000" w:themeColor="text1"/>
          <w:sz w:val="16"/>
          <w:szCs w:val="16"/>
        </w:rPr>
      </w:pPr>
    </w:p>
    <w:p w14:paraId="3C07325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B223546" w14:textId="77777777" w:rsidR="00D4105E" w:rsidRPr="00E14102" w:rsidRDefault="00D4105E" w:rsidP="00E14102">
      <w:pPr>
        <w:autoSpaceDE w:val="0"/>
        <w:autoSpaceDN w:val="0"/>
        <w:adjustRightInd w:val="0"/>
        <w:jc w:val="both"/>
        <w:rPr>
          <w:iCs/>
          <w:color w:val="000000" w:themeColor="text1"/>
          <w:sz w:val="16"/>
          <w:szCs w:val="16"/>
        </w:rPr>
      </w:pPr>
    </w:p>
    <w:p w14:paraId="6A62B5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октября 1935 на заводском полигоне ХПЗ начались испытания БТ-7А (артиллерийский0 с 76-мм пушкой. Произвели 197 выстрелов. Наводили телескопическим прицелом ТОП и перескопическим ПТ-1. В протоколе по результатам отметили необходимость удлинения брони маски на 30 мм для уменьшения зазора между корпусом и башней. В таком виде и приняли на вооружение (3881,6).</w:t>
      </w:r>
    </w:p>
    <w:p w14:paraId="67CDEEE4" w14:textId="77777777" w:rsidR="00D4105E" w:rsidRPr="00E14102" w:rsidRDefault="00D4105E" w:rsidP="00E14102">
      <w:pPr>
        <w:autoSpaceDE w:val="0"/>
        <w:autoSpaceDN w:val="0"/>
        <w:adjustRightInd w:val="0"/>
        <w:jc w:val="both"/>
        <w:rPr>
          <w:color w:val="000000" w:themeColor="text1"/>
          <w:sz w:val="16"/>
          <w:szCs w:val="16"/>
        </w:rPr>
      </w:pPr>
    </w:p>
    <w:p w14:paraId="625295B7" w14:textId="77777777" w:rsidR="00272E5F" w:rsidRPr="00E14102" w:rsidRDefault="00272E5F"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 19 по 29 октября 1935 в ходе войсковых испытаний танк Т-29 прошёл еще 375 километров. Некоторые факты, указанные в созданном по итогам испытаний отчёте, могут сбить с толку. Например, там указано, что Т-29 является развитием Т-28, это является неправдой.</w:t>
      </w:r>
    </w:p>
    <w:p w14:paraId="1546751C" w14:textId="77777777" w:rsidR="00272E5F" w:rsidRPr="00E14102" w:rsidRDefault="00272E5F"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ходе испытаний была достигнута максимальная скорость около 79 км/ч на колёсах и 58 км/ч на гусеницах. Барыков, присутствовавший на испытаниях, отметил, что машина могла разогнаться на гусеничном ходу до 60-63 км/ч. Средняя скорость на гусеницах по шоссе составила 51,8 км/ч. При движении по заснеженному шоссе этот показатель уменьшился до 42,6 км/ч. На заболоченной местности танк развивал среднюю скорость 19 км/ч. Полученные данные впечатлили военных: опытный танк даже на гусеничном ходу оказался быстрее Т-28 и примерно соответствовал по скорости опытному Т-28А.</w:t>
      </w:r>
    </w:p>
    <w:p w14:paraId="4B076EAA" w14:textId="77777777" w:rsidR="00272E5F" w:rsidRPr="00E14102" w:rsidRDefault="00272E5F"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lastRenderedPageBreak/>
        <w:t>Войсковые испытания выявили у Т-29-5 не только достоинства. Место механика-водителя было признано не очень удобным, особенно по ширине. Плохо обстояли дела с орудийной башней — она получилась узковатой. Оставлял желать лучшего и относительно небольшой диаметр погона. Не очень удачными были признаны и пулемётные башни, которые получились чересчур низкими. Набралось и немало других недочётов, которые предстояло исправить в эталонной машине. Изучение боевого отделения стало продолжением огневых испытаний, которые проходили с 22 по 24 сентября. При стрельбе на скорости 12-15 км/ч из 76-мм пушки КТ было получено от 18 до 53% попаданий. Для сравнения, в тех же условиях при стрельбе из Т-28 удавалось добиться 50-60% попаданий. Столь низкие показатели меткости оказались результатом недоработки орудийной установки на Т-29. К ней у испытателей набралась масса замечаний.</w:t>
      </w:r>
    </w:p>
    <w:p w14:paraId="772D5223" w14:textId="77777777" w:rsidR="00272E5F" w:rsidRPr="00E14102" w:rsidRDefault="00272E5F"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Несмотря на все недостатки, Т-29-5 выглядел очень перспективной машиной. Кроме того, он стал примером удачной кооперации большого числа заводов. За умелую организацию производства опытных образцов Т-29-4, Т-29-5 и Т-46-1 Кошкин в апреле 1936 года получил орден Красной звезды. Правительственные награды получили и другие сотрудники завода №185. В тот момент казалось, что у машины успешное будущее (17708).</w:t>
      </w:r>
    </w:p>
    <w:p w14:paraId="20B4F583" w14:textId="77777777" w:rsidR="00272E5F" w:rsidRPr="00E14102" w:rsidRDefault="00272E5F" w:rsidP="00E14102">
      <w:pPr>
        <w:jc w:val="both"/>
        <w:rPr>
          <w:color w:val="000000" w:themeColor="text1"/>
          <w:sz w:val="16"/>
          <w:szCs w:val="16"/>
        </w:rPr>
      </w:pPr>
    </w:p>
    <w:p w14:paraId="593B728A" w14:textId="77777777" w:rsidR="00333132" w:rsidRPr="00E14102" w:rsidRDefault="00333132" w:rsidP="00E14102">
      <w:pPr>
        <w:pStyle w:val="ad"/>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 19 по 29 октября 1935 проходили войсковые испытания, причём на сей раз машина ездила только на гусеничном ходу. Причина оказалась прозаичной: в связи с поломкой шатуна двигателя проверить танк на колёсах не представилось возможным, поэтому при оценке танка учитывался опыт заводских испытаний. Проходили испытания в районе Ленинграда.</w:t>
      </w:r>
    </w:p>
    <w:p w14:paraId="58A5EAB4" w14:textId="77777777" w:rsidR="00333132" w:rsidRPr="00E14102" w:rsidRDefault="00333132" w:rsidP="00E14102">
      <w:pPr>
        <w:pStyle w:val="ad"/>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За время войсковых испытаний Т-46 преодолел ещё 270 км. В ходе проверки максимальной скорости машины на залитом дождём щебенчатом шоссе была развита максимальная скорость 58 км/ч. Развил её танк на всё тех же гусеницах Т-28, которые в любом случае собирались менять на облегчённые. Средняя скорость также оказалась очень высокой — 49 км/ч. При этом машина преодолела 31 км, после чего из-за производственного дефекта произошла поломка кривошипа балансира заднего левого опорного катка.</w:t>
      </w:r>
    </w:p>
    <w:p w14:paraId="7029DBAC" w14:textId="77777777" w:rsidR="00333132" w:rsidRPr="00E14102" w:rsidRDefault="00333132" w:rsidP="00E14102">
      <w:pPr>
        <w:pStyle w:val="ad"/>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Следующий этап испытаний проходил по просёлку и целине, в обоих случаях отмечались очень тяжёлые дорожные условия. Разбитую просёлочную дорогу, покрытую мокрым снегом глубиной 10-15 см, танк преодолел со средней скоростью </w:t>
      </w:r>
      <w:r w:rsidRPr="00E14102">
        <w:rPr>
          <w:rFonts w:ascii="Times New Roman" w:hAnsi="Times New Roman" w:cs="Times New Roman"/>
          <w:color w:val="000000" w:themeColor="text1"/>
          <w:sz w:val="16"/>
          <w:szCs w:val="16"/>
        </w:rPr>
        <w:t xml:space="preserve">17 км/ч — учитывая характер трассы, это вполне достойный результат. </w:t>
      </w:r>
      <w:r w:rsidRPr="00E14102">
        <w:rPr>
          <w:rFonts w:ascii="Times New Roman" w:hAnsi="Times New Roman" w:cs="Times New Roman"/>
          <w:color w:val="000000" w:themeColor="text1"/>
          <w:sz w:val="16"/>
          <w:szCs w:val="16"/>
          <w:lang w:val="ru-RU"/>
        </w:rPr>
        <w:t>Заболоченную пересечённую целину, также покрытую снегом глубиной 10-15 см, танк преодолел со средней скоростью 14 км/ч. В обоих случаях комиссия осталась довольна результатам. Полученные средние скорости, по мнению комиссии, свидетельствовали о хорошей боевой скорости машины.</w:t>
      </w:r>
    </w:p>
    <w:p w14:paraId="10DD3EFD" w14:textId="77777777" w:rsidR="00333132" w:rsidRPr="00E14102" w:rsidRDefault="00333132" w:rsidP="00E14102">
      <w:pPr>
        <w:pStyle w:val="ad"/>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ходе преодоления препятствий удалось пройти затяжной подъём под углом 22 градуса и 7-метровый подъём под углом 30 градусов. Максимальный угол преодолеваемого крена составил 30 градусов. Вполне успешно прошёл танк и окоп шириной 2,5 м, и вертикальную стенку высотой 1 м. Также машина прошла воронку диаметром 8 и глубиной 2,5 м. Кроме того, был определён запас хода: по шоссе он составил 200-225 км, а при езде по разбитому заснеженному просёлку и целине снижался до 90-110 км. Дефектов на сей раз было немного, они носили в основном производственный характер.</w:t>
      </w:r>
    </w:p>
    <w:p w14:paraId="12C619CC" w14:textId="77777777" w:rsidR="00333132" w:rsidRPr="00E14102" w:rsidRDefault="00333132" w:rsidP="00E14102">
      <w:pPr>
        <w:pStyle w:val="ad"/>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Отдельным пунктом испытаний стало изучение мест экипажа. Место механика-водителя подверглось критике. Залезать и вылезать было неудобно, сильно мешало рулевое колесо. Неудобным оказался ветровой щиток, посадку механика-водителя признали утомительной. При езде рулевое колесо било водителя по рукам. В целом же основные претензии относились к езде на колёсном ходу. Оценка боевого отделения оказалась более высокой. Забираться в башню было удобно, вполне нормально выполнили укладку боезапаса. Однако имелись и претензии: сиденья не регулировались по высоте, недостаточно удобно размещалась радиостанция, неудобно размещались огнемёт и спусковой механизм спаренной установки вооружения. Как и в случае с заводскими испытаниями, отмечалось неудобство обслуживания агрегатов. Также предлагалось сделать подвеску более мягкой.</w:t>
      </w:r>
    </w:p>
    <w:p w14:paraId="54D86F30" w14:textId="77777777" w:rsidR="00333132" w:rsidRPr="00E14102" w:rsidRDefault="00333132" w:rsidP="00E14102">
      <w:pPr>
        <w:pStyle w:val="ad"/>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Несмотря на ряд замечаний и довольно сложную конструкцию, в целом комиссия признала испытания Т-46 успешными. Новый танк существенно превосходил по скорости и манёвренности Т-26, вооружение признали более мощным и удобным в обслуживании. На тот момент достоинства перевесили недостатки, обнаруженные в ходе испытаний. Не смутила комиссию и цена в 200 000 рублей за один танк (для сравнения, Т-26 стоил 80 000 рублей). Это стало основанием для принятия на вооружение Т-46. На этом испытания опытной машины не закончились: к 7 июля 1937 года она прошла 1228 км на гусеницах и 1706 км на колёсах (18689).</w:t>
      </w:r>
    </w:p>
    <w:p w14:paraId="0E2E7A9A" w14:textId="77777777" w:rsidR="00333132" w:rsidRPr="00E14102" w:rsidRDefault="00333132" w:rsidP="00E14102">
      <w:pPr>
        <w:pStyle w:val="ad"/>
        <w:spacing w:before="0" w:after="0"/>
        <w:textAlignment w:val="baseline"/>
        <w:rPr>
          <w:rFonts w:ascii="Times New Roman" w:hAnsi="Times New Roman" w:cs="Times New Roman"/>
          <w:color w:val="000000" w:themeColor="text1"/>
          <w:sz w:val="16"/>
          <w:szCs w:val="16"/>
          <w:lang w:val="ru-RU"/>
        </w:rPr>
      </w:pPr>
    </w:p>
    <w:p w14:paraId="28222A95" w14:textId="77777777" w:rsidR="0094028D" w:rsidRPr="00E14102" w:rsidRDefault="0094028D" w:rsidP="00E14102">
      <w:pPr>
        <w:pStyle w:val="rtejustify"/>
        <w:spacing w:before="0" w:after="0"/>
        <w:rPr>
          <w:color w:val="000000" w:themeColor="text1"/>
          <w:sz w:val="16"/>
          <w:szCs w:val="16"/>
        </w:rPr>
      </w:pPr>
      <w:r w:rsidRPr="00E14102">
        <w:rPr>
          <w:rStyle w:val="a6"/>
          <w:bCs/>
          <w:i w:val="0"/>
          <w:color w:val="000000" w:themeColor="text1"/>
          <w:sz w:val="16"/>
          <w:szCs w:val="16"/>
        </w:rPr>
        <w:t>19 октября 1935 вышел приказ НКО №</w:t>
      </w:r>
      <w:r w:rsidRPr="00E14102">
        <w:rPr>
          <w:color w:val="000000" w:themeColor="text1"/>
          <w:sz w:val="16"/>
          <w:szCs w:val="16"/>
        </w:rPr>
        <w:t> 0089. О вводе на вооружение РККА новых образцов химического вооружения (15247).</w:t>
      </w:r>
    </w:p>
    <w:p w14:paraId="41C8584A" w14:textId="77777777" w:rsidR="0094028D" w:rsidRPr="00E14102" w:rsidRDefault="0094028D" w:rsidP="00E14102">
      <w:pPr>
        <w:pStyle w:val="rtejustify"/>
        <w:spacing w:before="0" w:after="0"/>
        <w:rPr>
          <w:color w:val="000000" w:themeColor="text1"/>
          <w:sz w:val="16"/>
          <w:szCs w:val="16"/>
        </w:rPr>
      </w:pPr>
    </w:p>
    <w:p w14:paraId="3DEFF7A2" w14:textId="77777777" w:rsidR="0094028D" w:rsidRPr="00E14102" w:rsidRDefault="0094028D" w:rsidP="00E14102">
      <w:pPr>
        <w:pStyle w:val="rtejustify"/>
        <w:spacing w:before="0" w:after="0"/>
        <w:rPr>
          <w:color w:val="000000" w:themeColor="text1"/>
          <w:sz w:val="16"/>
          <w:szCs w:val="16"/>
        </w:rPr>
      </w:pPr>
      <w:r w:rsidRPr="00E14102">
        <w:rPr>
          <w:rStyle w:val="a6"/>
          <w:bCs/>
          <w:i w:val="0"/>
          <w:color w:val="000000" w:themeColor="text1"/>
          <w:sz w:val="16"/>
          <w:szCs w:val="16"/>
        </w:rPr>
        <w:t>19 октября 1935 вышел приказ НКО №</w:t>
      </w:r>
      <w:r w:rsidRPr="00E14102">
        <w:rPr>
          <w:color w:val="000000" w:themeColor="text1"/>
          <w:sz w:val="16"/>
          <w:szCs w:val="16"/>
        </w:rPr>
        <w:t> 0088. О вводе на вооружение РККА прибора «Блок» (15247).</w:t>
      </w:r>
    </w:p>
    <w:p w14:paraId="39FBD925" w14:textId="77777777" w:rsidR="0094028D" w:rsidRPr="00E14102" w:rsidRDefault="0094028D" w:rsidP="00E14102">
      <w:pPr>
        <w:pStyle w:val="rtejustify"/>
        <w:spacing w:before="0" w:after="0"/>
        <w:rPr>
          <w:color w:val="000000" w:themeColor="text1"/>
          <w:sz w:val="16"/>
          <w:szCs w:val="16"/>
        </w:rPr>
      </w:pPr>
    </w:p>
    <w:p w14:paraId="0DC62B60" w14:textId="77777777" w:rsidR="0094028D" w:rsidRPr="00E14102" w:rsidRDefault="0094028D" w:rsidP="00E14102">
      <w:pPr>
        <w:pStyle w:val="rtejustify"/>
        <w:spacing w:before="0" w:after="0"/>
        <w:rPr>
          <w:color w:val="000000" w:themeColor="text1"/>
          <w:sz w:val="16"/>
          <w:szCs w:val="16"/>
        </w:rPr>
      </w:pPr>
      <w:r w:rsidRPr="00E14102">
        <w:rPr>
          <w:rStyle w:val="a6"/>
          <w:bCs/>
          <w:i w:val="0"/>
          <w:color w:val="000000" w:themeColor="text1"/>
          <w:sz w:val="16"/>
          <w:szCs w:val="16"/>
        </w:rPr>
        <w:t>19 октября 1935 вышел приказ НКО №</w:t>
      </w:r>
      <w:r w:rsidRPr="00E14102">
        <w:rPr>
          <w:color w:val="000000" w:themeColor="text1"/>
          <w:sz w:val="16"/>
          <w:szCs w:val="16"/>
        </w:rPr>
        <w:t> 0090. О вводе на вооружение РККА прибора «Шутка» (15247).</w:t>
      </w:r>
    </w:p>
    <w:p w14:paraId="067AA791" w14:textId="77777777" w:rsidR="0094028D" w:rsidRPr="00E14102" w:rsidRDefault="0094028D" w:rsidP="00E14102">
      <w:pPr>
        <w:pStyle w:val="rtejustify"/>
        <w:spacing w:before="0" w:after="0"/>
        <w:rPr>
          <w:color w:val="000000" w:themeColor="text1"/>
          <w:sz w:val="16"/>
          <w:szCs w:val="16"/>
        </w:rPr>
      </w:pPr>
    </w:p>
    <w:p w14:paraId="2A7B272A" w14:textId="77777777" w:rsidR="0094028D" w:rsidRPr="00E14102" w:rsidRDefault="0094028D" w:rsidP="00E14102">
      <w:pPr>
        <w:pStyle w:val="rtejustify"/>
        <w:spacing w:before="0" w:after="0"/>
        <w:rPr>
          <w:color w:val="000000" w:themeColor="text1"/>
          <w:sz w:val="16"/>
          <w:szCs w:val="16"/>
        </w:rPr>
      </w:pPr>
      <w:r w:rsidRPr="00E14102">
        <w:rPr>
          <w:rStyle w:val="a6"/>
          <w:bCs/>
          <w:i w:val="0"/>
          <w:color w:val="000000" w:themeColor="text1"/>
          <w:sz w:val="16"/>
          <w:szCs w:val="16"/>
        </w:rPr>
        <w:t>19 октября 1935 вышел приказ НКО №</w:t>
      </w:r>
      <w:r w:rsidRPr="00E14102">
        <w:rPr>
          <w:color w:val="000000" w:themeColor="text1"/>
          <w:sz w:val="16"/>
          <w:szCs w:val="16"/>
        </w:rPr>
        <w:t> 0207. О принятии на вооружение и снабжение РККА новыми образцами военно-инженерной техники (15247).</w:t>
      </w:r>
    </w:p>
    <w:p w14:paraId="519A46A8" w14:textId="77777777" w:rsidR="0094028D" w:rsidRPr="00E14102" w:rsidRDefault="0094028D" w:rsidP="00E14102">
      <w:pPr>
        <w:pStyle w:val="rtejustify"/>
        <w:spacing w:before="0" w:after="0"/>
        <w:rPr>
          <w:color w:val="000000" w:themeColor="text1"/>
          <w:sz w:val="16"/>
          <w:szCs w:val="16"/>
        </w:rPr>
      </w:pPr>
    </w:p>
    <w:p w14:paraId="2695710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E1EC747" w14:textId="77777777" w:rsidR="00D4105E" w:rsidRPr="00E14102" w:rsidRDefault="00D4105E" w:rsidP="00E14102">
      <w:pPr>
        <w:autoSpaceDE w:val="0"/>
        <w:autoSpaceDN w:val="0"/>
        <w:adjustRightInd w:val="0"/>
        <w:jc w:val="both"/>
        <w:rPr>
          <w:iCs/>
          <w:color w:val="000000" w:themeColor="text1"/>
          <w:sz w:val="16"/>
          <w:szCs w:val="16"/>
        </w:rPr>
      </w:pPr>
    </w:p>
    <w:p w14:paraId="0DCFDA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октября 1935 Лига наций ввела санкции против Италии из-за вторжения в Абиссинию (3481).</w:t>
      </w:r>
    </w:p>
    <w:p w14:paraId="79FFC19C" w14:textId="77777777" w:rsidR="00D4105E" w:rsidRPr="00E14102" w:rsidRDefault="00D4105E" w:rsidP="00E14102">
      <w:pPr>
        <w:autoSpaceDE w:val="0"/>
        <w:autoSpaceDN w:val="0"/>
        <w:adjustRightInd w:val="0"/>
        <w:jc w:val="both"/>
        <w:rPr>
          <w:color w:val="000000" w:themeColor="text1"/>
          <w:sz w:val="16"/>
          <w:szCs w:val="16"/>
        </w:rPr>
      </w:pPr>
    </w:p>
    <w:p w14:paraId="63B389F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9BF9739" w14:textId="77777777" w:rsidR="00D4105E" w:rsidRPr="00E14102" w:rsidRDefault="00D4105E" w:rsidP="00E14102">
      <w:pPr>
        <w:autoSpaceDE w:val="0"/>
        <w:autoSpaceDN w:val="0"/>
        <w:adjustRightInd w:val="0"/>
        <w:jc w:val="both"/>
        <w:rPr>
          <w:iCs/>
          <w:color w:val="000000" w:themeColor="text1"/>
          <w:sz w:val="16"/>
          <w:szCs w:val="16"/>
        </w:rPr>
      </w:pPr>
    </w:p>
    <w:p w14:paraId="46195A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октября 1935 года директор завода N 1 Беленкович писал письмо N 4325 начальнику ГУАП Королеву.</w:t>
      </w:r>
    </w:p>
    <w:p w14:paraId="55A421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Докладная записка</w:t>
      </w:r>
    </w:p>
    <w:p w14:paraId="14B064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программу завода N 1 на 1936 год, Вашим письмом от 29 августа 935 года за N 337/3909, включен самолет ДИ-6 в штурмовом варианте, конструкции Кочеригина, изготовления завода N 39.</w:t>
      </w:r>
    </w:p>
    <w:p w14:paraId="4E14E5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отдельные части конструкции ДИ-6 являются полной аналогией с таковыми же И-15, вызвавшими целый ряд аварий.</w:t>
      </w:r>
    </w:p>
    <w:p w14:paraId="12A5CC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сегодняшний день осуществлен и сдан на гос. испытания ДИ-6 в варианте только истребителя, вариант же штурмовика до сих пор не закончен и не испытан, поэтому завод N 1 может принять к постройке в настоящий момент лишь вариант истребителя, с переходом на штурмовик только по окончании всех видов испытаний такового.</w:t>
      </w:r>
    </w:p>
    <w:p w14:paraId="7D9F10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конструктивные дефекты, вызванные указанными недостатками на И-15, при просмотре чертежей самолета ДИ-6 на заводе N 39 полностью обнаружены и на последнем. В частности, еще более редко расставлены нервюры по размаху крыла, также не усилена фанерная обшивка переднего носка крыла; также не доработан вопрос обшивки полотном октября также слаба конструкция передней кромки стабилизатора, как и на И-15, где это вызвало известные Вам аварии.</w:t>
      </w:r>
    </w:p>
    <w:p w14:paraId="5A3AF9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Винтомоторная группа сконструирована под мотор Райт-Циклон (импортный) с карбюратором Стромберг, тогда как сейчас выпускаются и будут выпускаться исключительно моторы М-25 под карбюратор Райт-Солекс, требующие специального подогрева, имеющего капоты и бензомаслосхему.</w:t>
      </w:r>
    </w:p>
    <w:p w14:paraId="2384E4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Вопрос об установке этого мотора на ДИ-6 не проработан.</w:t>
      </w:r>
    </w:p>
    <w:p w14:paraId="3C2D9F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3D44A8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варианте штурмовика установлен пулемет ПВ1, при внедрении в производство необходимо получить подтверждение заказчика, что при наличии Постановления правительства о переходе на пулемет ШКАС, эти машины будут с пулеметом ПВ-1.... (3501,6-7).</w:t>
      </w:r>
    </w:p>
    <w:p w14:paraId="0DF4E5CC" w14:textId="77777777" w:rsidR="00D4105E" w:rsidRPr="00E14102" w:rsidRDefault="00D4105E" w:rsidP="00E14102">
      <w:pPr>
        <w:autoSpaceDE w:val="0"/>
        <w:autoSpaceDN w:val="0"/>
        <w:adjustRightInd w:val="0"/>
        <w:jc w:val="both"/>
        <w:rPr>
          <w:color w:val="000000" w:themeColor="text1"/>
          <w:sz w:val="16"/>
          <w:szCs w:val="16"/>
        </w:rPr>
      </w:pPr>
    </w:p>
    <w:p w14:paraId="07208A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октября 1935 из Москвы на трех самолетах (АНТ-14 и два АНТ-9) в Бухарест вылетела делегация Осоавиахима для участия в международном слете во главе с П.С.Горшениным. На АНТ-14 командиром был В.И.Чулков. Летали В.К.Грибовский и Л.Г.Минов. В Бухарест прибыли 26 октября (438,701).</w:t>
      </w:r>
    </w:p>
    <w:p w14:paraId="068006FE" w14:textId="77777777" w:rsidR="00D4105E" w:rsidRPr="00E14102" w:rsidRDefault="00D4105E" w:rsidP="00E14102">
      <w:pPr>
        <w:autoSpaceDE w:val="0"/>
        <w:autoSpaceDN w:val="0"/>
        <w:adjustRightInd w:val="0"/>
        <w:jc w:val="both"/>
        <w:rPr>
          <w:color w:val="000000" w:themeColor="text1"/>
          <w:sz w:val="16"/>
          <w:szCs w:val="16"/>
        </w:rPr>
      </w:pPr>
    </w:p>
    <w:p w14:paraId="7898E8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октября 1935 АНТ-14 и два АНТ-9 повезли делегацию Осоавиахима в Бухарест и прилетели 26 (438,701).</w:t>
      </w:r>
    </w:p>
    <w:p w14:paraId="1D2BF3AF" w14:textId="77777777" w:rsidR="00D4105E" w:rsidRPr="00E14102" w:rsidRDefault="00D4105E" w:rsidP="00E14102">
      <w:pPr>
        <w:autoSpaceDE w:val="0"/>
        <w:autoSpaceDN w:val="0"/>
        <w:adjustRightInd w:val="0"/>
        <w:jc w:val="both"/>
        <w:rPr>
          <w:color w:val="000000" w:themeColor="text1"/>
          <w:sz w:val="16"/>
          <w:szCs w:val="16"/>
        </w:rPr>
      </w:pPr>
    </w:p>
    <w:p w14:paraId="3A304D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октября 1935г Заключен договор с Остехбюро на выполнение работы “Газогенератор для морских торпед” (11330).</w:t>
      </w:r>
    </w:p>
    <w:p w14:paraId="6A1AFC6C" w14:textId="77777777" w:rsidR="00D4105E" w:rsidRPr="00E14102" w:rsidRDefault="00D4105E" w:rsidP="00E14102">
      <w:pPr>
        <w:autoSpaceDE w:val="0"/>
        <w:autoSpaceDN w:val="0"/>
        <w:adjustRightInd w:val="0"/>
        <w:jc w:val="both"/>
        <w:rPr>
          <w:color w:val="000000" w:themeColor="text1"/>
          <w:sz w:val="16"/>
          <w:szCs w:val="16"/>
        </w:rPr>
      </w:pPr>
    </w:p>
    <w:p w14:paraId="2852A6E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 октября 1935 г. в НТО 5-го отдела УВС РККА состоялось рассмотрение эскизного проекта РНИИ «вариант внутренней установки РО для стрельбы фугасными снарядами РС-245 с самолета ТБ-3, с боепитанием магазинного типа», выполненной по упомянутым ТТТ от 9 марта. На обсуждении присутствовали ВРИД начальника 5 отдела УВС РККА Солдатов, ВРИЛ начальника НТО 5 отдела УВС РККА Панов, начальник 1 отделения 5 тлела УВС А.И.Калинин, инженер РНИИ Атександров и инженер РНИИ Л.П.обачев.</w:t>
      </w:r>
    </w:p>
    <w:p w14:paraId="05D9EC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Орудие длиной 4242 мм состояло из двух направляющих, соединенных между собой бугелями. В положении выстрела оно опускалось на 800 мм от обшивки фюзеляжа. Поднимали орудие для перезаряжания специальным механизмом. Установка имела четыре направляющих колонки, которые перемещались в специальных пазах направляющих, за</w:t>
      </w:r>
      <w:r w:rsidRPr="00E14102">
        <w:rPr>
          <w:color w:val="000000" w:themeColor="text1"/>
          <w:sz w:val="16"/>
          <w:szCs w:val="16"/>
        </w:rPr>
        <w:softHyphen/>
        <w:t>крепленных на лонжеронах. Поднимать орудие планировали при помощи троса лебедки с ручным приводом с усилием не менее 8 кг. В процессе поднимания и опускания орудия створки бомбового отсека открывались и закрывались автоматически. В положение для стрельбы орудие опускалось под собственным весом на тросе.</w:t>
      </w:r>
    </w:p>
    <w:p w14:paraId="145E11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Магазин под РС помещался в отсеке самолета и был рассчитан на четыре снаряда. Он состоял из четырех колонок, собранных из «нормального дюралевого профиля». Каждая колонка имела свою непрерывную цепь Галля с зубчатой звездочкой и натягивающим роликом. Снаряды были подвешены к пластинам с прорезями, закрепленными на цепях Галля. Подъем снаряда требовал 44 оборотов рукоятки лебедки. Воспламенять РЗ планировали электрозапалом. Сигнализация электролампами показывала, когда снаряд находится в орудии, а орудие в положении для заряжания или на линии огня. Обслуживал орудие один в каждом отсеке. Скорострельность каждой установки — 1 - 2 выстр.</w:t>
      </w:r>
    </w:p>
    <w:p w14:paraId="77DC8D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рассмотрении проекта па предмет соответствия ТТТ установлено, что общий вес установки на два орудия будет 600 кг и превысит за данную втрое. Кроме того, в проекте не предусмотрена возможность регулировки установки в горизонтальной и вертикальной плоскостях в пределах трех градусов в каждую сторону. Не представлена также схема электросети для воспламенения РЗ и применения в ней электробомбос</w:t>
      </w:r>
      <w:r w:rsidRPr="00E14102">
        <w:rPr>
          <w:color w:val="000000" w:themeColor="text1"/>
          <w:sz w:val="16"/>
          <w:szCs w:val="16"/>
        </w:rPr>
        <w:softHyphen/>
        <w:t>брасывателя ЭСБР-3.</w:t>
      </w:r>
    </w:p>
    <w:p w14:paraId="6322E20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Выводы: проект в целом отклонить ввиду низкой скорострельности громоздкости и сложности установки, к тому же, без полной гарантии безотказной работы, особенно в части механизмов подъема и опускания орудия, а также подачи снарядов. Принять за основу дополнительный проект РНИИ, разработавшего простейшую пусковую установку с раз</w:t>
      </w:r>
      <w:r w:rsidRPr="00E14102">
        <w:rPr>
          <w:color w:val="000000" w:themeColor="text1"/>
          <w:sz w:val="16"/>
          <w:szCs w:val="16"/>
        </w:rPr>
        <w:softHyphen/>
        <w:t>мещением под консольной частью крыла самолета ТБ-3. Но, кстати, ни</w:t>
      </w:r>
      <w:r w:rsidRPr="00E14102">
        <w:rPr>
          <w:color w:val="000000" w:themeColor="text1"/>
          <w:sz w:val="16"/>
          <w:szCs w:val="16"/>
        </w:rPr>
        <w:softHyphen/>
        <w:t>кто не удосужился объяснить, каким образом на земле будут снаряжать ракетными боеприпасами те самые магазины с пятью тяжелыми снаря</w:t>
      </w:r>
      <w:r w:rsidRPr="00E14102">
        <w:rPr>
          <w:color w:val="000000" w:themeColor="text1"/>
          <w:sz w:val="16"/>
          <w:szCs w:val="16"/>
        </w:rPr>
        <w:softHyphen/>
        <w:t>дами каждый...(11402).</w:t>
      </w:r>
    </w:p>
    <w:p w14:paraId="4C461F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92F8B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 октября 1935 г., ВРИД начальника УВС РККА В.В.Хрипин утвердил ТТТ на установку РС-245 на самолете ТБ-3 (под консольные части плоскостей), составленные ВРИД начальника 5 отде</w:t>
      </w:r>
      <w:r w:rsidRPr="00E14102">
        <w:rPr>
          <w:color w:val="000000" w:themeColor="text1"/>
          <w:sz w:val="16"/>
          <w:szCs w:val="16"/>
        </w:rPr>
        <w:softHyphen/>
        <w:t>ла УВС РККА Солдатовым. Установка, в основном, была предназначена «иметь возможность вести обстрел земных объектов снарядами крупных калибров, не проходя над целью». Вспомогательное назначение - «рас</w:t>
      </w:r>
      <w:r w:rsidRPr="00E14102">
        <w:rPr>
          <w:color w:val="000000" w:themeColor="text1"/>
          <w:sz w:val="16"/>
          <w:szCs w:val="16"/>
        </w:rPr>
        <w:softHyphen/>
        <w:t>стройство крупных соединений тяжелых самолетов противника и про</w:t>
      </w:r>
      <w:r w:rsidRPr="00E14102">
        <w:rPr>
          <w:color w:val="000000" w:themeColor="text1"/>
          <w:sz w:val="16"/>
          <w:szCs w:val="16"/>
        </w:rPr>
        <w:softHyphen/>
        <w:t>рыв баллонных заграждений обороняемых пунктов».</w:t>
      </w:r>
    </w:p>
    <w:p w14:paraId="7010728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Установка должна была состоять из двух агрегатов, подвешенных под плоскостями самолета на консольной части крыла. Каждый агрегат со</w:t>
      </w:r>
      <w:r w:rsidRPr="00E14102">
        <w:rPr>
          <w:color w:val="000000" w:themeColor="text1"/>
          <w:sz w:val="16"/>
          <w:szCs w:val="16"/>
        </w:rPr>
        <w:softHyphen/>
        <w:t>стоял из четырех орудий (четырех пар направляющих, соединенных ме</w:t>
      </w:r>
      <w:r w:rsidRPr="00E14102">
        <w:rPr>
          <w:color w:val="000000" w:themeColor="text1"/>
          <w:sz w:val="16"/>
          <w:szCs w:val="16"/>
        </w:rPr>
        <w:softHyphen/>
        <w:t>жду собой). Требовалось исключить возможность выпадения снаряда вперед или назад при взлете, посадке или выполнении фигур, допускае</w:t>
      </w:r>
      <w:r w:rsidRPr="00E14102">
        <w:rPr>
          <w:color w:val="000000" w:themeColor="text1"/>
          <w:sz w:val="16"/>
          <w:szCs w:val="16"/>
        </w:rPr>
        <w:softHyphen/>
        <w:t>мых на данном самолете.</w:t>
      </w:r>
    </w:p>
    <w:p w14:paraId="420781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Агрегаты требовалось подвесить строго горизонтально в плоскости самолета и при монтаже регулировать положение направляющих в горизонтальной плоскостях в пределах Г в каждую сторону. В вертикальной плоскости - до 3° в каждую сторону от оси самолета. Воспламенять РЗ снарядов требовалось электрическим путем с управлением из кабины летчика и электроцепь оснастить предохранителем.</w:t>
      </w:r>
    </w:p>
    <w:p w14:paraId="34FE57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Прибор управления огнем должен был допускать возможность стрельбы одиночной, залпом и любым количеством снарядов, вплоть до шести, с временным интервалом от 0,13 до 1.0 с автоматически. Каждое орудие в агрегате должно выдержать испытание стрельбой не менее 100 выстрелов, то есть 400 выстрелов из агрегата, не понижая меткости. Масса одного агрегата без боеприпасов не должна превышать 175 кг вместе "приспособлением для подъема снарядов при заряжании. Подъемник снарядов должен был включать лебедку или прочее для подъема РС (11402).</w:t>
      </w:r>
    </w:p>
    <w:p w14:paraId="1C743A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1FE458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 октября 1935 г. было письмо помощника начальника ОБАА АУ РККА Г.Е.Беккера и помощника начальника НТО-1 ОБАА М.М.Зандера начальнику РНИИ НКТП:</w:t>
      </w:r>
    </w:p>
    <w:p w14:paraId="02BEBA0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«НТО-1 рассмотрело отчет по испытаниям РС-132 бомбометанием и считает, что:</w:t>
      </w:r>
    </w:p>
    <w:p w14:paraId="69F3011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Техническое рассеивание авиабомб проведенным испытанием не определено;</w:t>
      </w:r>
    </w:p>
    <w:p w14:paraId="2A7DE7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Испытание организовано плохо, так как часть сброшенных снаря</w:t>
      </w:r>
      <w:r w:rsidRPr="00E14102">
        <w:rPr>
          <w:color w:val="000000" w:themeColor="text1"/>
          <w:sz w:val="16"/>
          <w:szCs w:val="16"/>
        </w:rPr>
        <w:softHyphen/>
        <w:t>дов не найдена;</w:t>
      </w:r>
    </w:p>
    <w:p w14:paraId="3B1A00E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РЗ вместо воспламенения на высоте 200-250 м от земли воспламе</w:t>
      </w:r>
      <w:r w:rsidRPr="00E14102">
        <w:rPr>
          <w:color w:val="000000" w:themeColor="text1"/>
          <w:sz w:val="16"/>
          <w:szCs w:val="16"/>
        </w:rPr>
        <w:softHyphen/>
        <w:t>нялся на высоте 600-800 м, что не соответствует установкам НТО ОБАА АУ. которые были даны Вам на совещании;</w:t>
      </w:r>
    </w:p>
    <w:p w14:paraId="6FA0DB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НТО не считает целесообразным немедленно приступать к проек</w:t>
      </w:r>
      <w:r w:rsidRPr="00E14102">
        <w:rPr>
          <w:color w:val="000000" w:themeColor="text1"/>
          <w:sz w:val="16"/>
          <w:szCs w:val="16"/>
        </w:rPr>
        <w:softHyphen/>
        <w:t>тированию авиабомбы весом не менее 500 кг с дополнительной скоро</w:t>
      </w:r>
      <w:r w:rsidRPr="00E14102">
        <w:rPr>
          <w:color w:val="000000" w:themeColor="text1"/>
          <w:sz w:val="16"/>
          <w:szCs w:val="16"/>
        </w:rPr>
        <w:softHyphen/>
        <w:t>стью, ибо целесообразность такой авиабомбы надо сперва обосновать. Необходимо провести опыты по сжиганию пороха в ракетной камере, так как его горение в количествах, необходимых для крупных авиабомб, в РНИИ не изучено.</w:t>
      </w:r>
    </w:p>
    <w:p w14:paraId="08FEADB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Кроме того, опыты по сбрасыванию авиабомб с дополнительны</w:t>
      </w:r>
      <w:r w:rsidRPr="00E14102">
        <w:rPr>
          <w:color w:val="000000" w:themeColor="text1"/>
          <w:sz w:val="16"/>
          <w:szCs w:val="16"/>
        </w:rPr>
        <w:softHyphen/>
        <w:t>ми скоростями проводить с дистанционными трубками ТМ-4, гак как если АГДТ поставлена в хвосте, она не обеспечивает своевременного срабатывания.</w:t>
      </w:r>
    </w:p>
    <w:p w14:paraId="2D5A7B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Принимая во внимание ограниченность полигона, АУ РККА счи</w:t>
      </w:r>
      <w:r w:rsidRPr="00E14102">
        <w:rPr>
          <w:color w:val="000000" w:themeColor="text1"/>
          <w:sz w:val="16"/>
          <w:szCs w:val="16"/>
        </w:rPr>
        <w:softHyphen/>
        <w:t>тает необходимым прекратить опыты на боевом поле завода №6. и за</w:t>
      </w:r>
      <w:r w:rsidRPr="00E14102">
        <w:rPr>
          <w:color w:val="000000" w:themeColor="text1"/>
          <w:sz w:val="16"/>
          <w:szCs w:val="16"/>
        </w:rPr>
        <w:softHyphen/>
        <w:t>прещает проводить опыты с включением РЗ на высоте, превышают 200 м от земли.</w:t>
      </w:r>
    </w:p>
    <w:p w14:paraId="033079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Как видно из опыта по точкам падения бомб, замки бомбодержателей не отлажены для залпового бомбометания. АУ запрещает впредь проводить опыты (если по программе предусмотрено залповое бомбометание) неотлаженными сбрасывателями и предлагает прилагать к отчету акты проверки бомбардировочного оборудования». Адекватный ответ не заставил себя долго ждать (11402).</w:t>
      </w:r>
    </w:p>
    <w:p w14:paraId="75C2FD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4942BBD" w14:textId="77777777" w:rsidR="0094028D"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35EDCE2" w14:textId="77777777" w:rsidR="0094028D" w:rsidRPr="00E14102" w:rsidRDefault="0094028D" w:rsidP="00E14102">
      <w:pPr>
        <w:autoSpaceDE w:val="0"/>
        <w:autoSpaceDN w:val="0"/>
        <w:adjustRightInd w:val="0"/>
        <w:jc w:val="both"/>
        <w:rPr>
          <w:iCs/>
          <w:color w:val="000000" w:themeColor="text1"/>
          <w:sz w:val="16"/>
          <w:szCs w:val="16"/>
        </w:rPr>
      </w:pPr>
    </w:p>
    <w:p w14:paraId="794CA12A" w14:textId="77777777" w:rsidR="0094028D" w:rsidRPr="00E14102" w:rsidRDefault="0094028D" w:rsidP="00E14102">
      <w:pPr>
        <w:pStyle w:val="rtejustify"/>
        <w:spacing w:before="0" w:after="0"/>
        <w:rPr>
          <w:color w:val="000000" w:themeColor="text1"/>
          <w:sz w:val="16"/>
          <w:szCs w:val="16"/>
        </w:rPr>
      </w:pPr>
      <w:r w:rsidRPr="00E14102">
        <w:rPr>
          <w:rStyle w:val="a6"/>
          <w:bCs/>
          <w:i w:val="0"/>
          <w:color w:val="000000" w:themeColor="text1"/>
          <w:sz w:val="16"/>
          <w:szCs w:val="16"/>
        </w:rPr>
        <w:t>20 октября 1935 вышел приказ НКТП № 181сс.</w:t>
      </w:r>
      <w:r w:rsidRPr="00E14102">
        <w:rPr>
          <w:color w:val="000000" w:themeColor="text1"/>
          <w:sz w:val="16"/>
          <w:szCs w:val="16"/>
        </w:rPr>
        <w:t xml:space="preserve"> Об артиллерийской программе Уралмашзавода им. С. Орджоникидзе на 1936 г. (РГАЭ. Ф. 7297. Оп. 38. Д. 171. Л. 279</w:t>
      </w:r>
      <w:r w:rsidRPr="00E14102">
        <w:rPr>
          <w:color w:val="000000" w:themeColor="text1"/>
          <w:sz w:val="16"/>
          <w:szCs w:val="16"/>
        </w:rPr>
        <w:noBreakHyphen/>
        <w:t>278) (15246).</w:t>
      </w:r>
    </w:p>
    <w:p w14:paraId="0BCFCB03" w14:textId="77777777" w:rsidR="0094028D" w:rsidRPr="00E14102" w:rsidRDefault="0094028D" w:rsidP="00E14102">
      <w:pPr>
        <w:pStyle w:val="rtejustify"/>
        <w:spacing w:before="0" w:after="0"/>
        <w:rPr>
          <w:color w:val="000000" w:themeColor="text1"/>
          <w:sz w:val="16"/>
          <w:szCs w:val="16"/>
        </w:rPr>
      </w:pPr>
    </w:p>
    <w:p w14:paraId="3DABE43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65EFFAE" w14:textId="77777777" w:rsidR="00D4105E" w:rsidRPr="00E14102" w:rsidRDefault="00D4105E" w:rsidP="00E14102">
      <w:pPr>
        <w:autoSpaceDE w:val="0"/>
        <w:autoSpaceDN w:val="0"/>
        <w:adjustRightInd w:val="0"/>
        <w:jc w:val="both"/>
        <w:rPr>
          <w:iCs/>
          <w:color w:val="000000" w:themeColor="text1"/>
          <w:sz w:val="16"/>
          <w:szCs w:val="16"/>
        </w:rPr>
      </w:pPr>
    </w:p>
    <w:p w14:paraId="058366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октября 1935 была образована Калмыкская АССР (3908,348).</w:t>
      </w:r>
    </w:p>
    <w:p w14:paraId="1D075BC9" w14:textId="77777777" w:rsidR="00D4105E" w:rsidRPr="00E14102" w:rsidRDefault="00D4105E" w:rsidP="00E14102">
      <w:pPr>
        <w:autoSpaceDE w:val="0"/>
        <w:autoSpaceDN w:val="0"/>
        <w:adjustRightInd w:val="0"/>
        <w:jc w:val="both"/>
        <w:rPr>
          <w:color w:val="000000" w:themeColor="text1"/>
          <w:sz w:val="16"/>
          <w:szCs w:val="16"/>
        </w:rPr>
      </w:pPr>
    </w:p>
    <w:p w14:paraId="3E58EC6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47343ED" w14:textId="77777777" w:rsidR="00D4105E" w:rsidRPr="00E14102" w:rsidRDefault="00D4105E" w:rsidP="00E14102">
      <w:pPr>
        <w:autoSpaceDE w:val="0"/>
        <w:autoSpaceDN w:val="0"/>
        <w:adjustRightInd w:val="0"/>
        <w:jc w:val="both"/>
        <w:rPr>
          <w:iCs/>
          <w:color w:val="000000" w:themeColor="text1"/>
          <w:sz w:val="16"/>
          <w:szCs w:val="16"/>
        </w:rPr>
      </w:pPr>
    </w:p>
    <w:p w14:paraId="0501C0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октября 1935 в Мадриде прошла демонстрация против фашизма, в которой приняло участие 400 тыс. человек (3481).</w:t>
      </w:r>
    </w:p>
    <w:p w14:paraId="2F4798C3" w14:textId="77777777" w:rsidR="00D4105E" w:rsidRPr="00E14102" w:rsidRDefault="00D4105E" w:rsidP="00E14102">
      <w:pPr>
        <w:autoSpaceDE w:val="0"/>
        <w:autoSpaceDN w:val="0"/>
        <w:adjustRightInd w:val="0"/>
        <w:jc w:val="both"/>
        <w:rPr>
          <w:color w:val="000000" w:themeColor="text1"/>
          <w:sz w:val="16"/>
          <w:szCs w:val="16"/>
        </w:rPr>
      </w:pPr>
    </w:p>
    <w:p w14:paraId="68BC342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октября 1935 завершился “Длинный марш” Мао Цзе Дуна из Южного в Северо-Западный Китай (4962).</w:t>
      </w:r>
    </w:p>
    <w:p w14:paraId="17288DD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FF01BC0" w14:textId="77777777" w:rsidR="00A826D9" w:rsidRPr="00E14102" w:rsidRDefault="00A826D9" w:rsidP="00E14102">
      <w:pPr>
        <w:jc w:val="both"/>
        <w:rPr>
          <w:color w:val="0070C0"/>
          <w:sz w:val="16"/>
          <w:szCs w:val="16"/>
        </w:rPr>
      </w:pPr>
      <w:r w:rsidRPr="00E14102">
        <w:rPr>
          <w:color w:val="0070C0"/>
          <w:sz w:val="16"/>
          <w:szCs w:val="16"/>
        </w:rPr>
        <w:t>20 октября 1935 года в ходе революционной войны в Ваяобао завершился Великий поход китайской Красной Армии во главе с Мао Цзэдуном из Южного в Северо-Западный Китай.</w:t>
      </w:r>
    </w:p>
    <w:p w14:paraId="3965A403" w14:textId="77777777" w:rsidR="00A826D9" w:rsidRPr="00E14102" w:rsidRDefault="00A826D9" w:rsidP="00E14102">
      <w:pPr>
        <w:jc w:val="both"/>
        <w:rPr>
          <w:color w:val="0070C0"/>
          <w:sz w:val="16"/>
          <w:szCs w:val="16"/>
        </w:rPr>
      </w:pPr>
      <w:r w:rsidRPr="00E14102">
        <w:rPr>
          <w:color w:val="0070C0"/>
          <w:sz w:val="16"/>
          <w:szCs w:val="16"/>
        </w:rPr>
        <w:t>Из 80 тысяч выжили только 4 тысячи коммунистов. Однако именно эти 4 тысячи прошедших огонь и воду солдат, станут костяком армии, которая спустя полтора десятилетия завершит Гражданскую войну победой коммунистов.</w:t>
      </w:r>
    </w:p>
    <w:p w14:paraId="0B51EC52" w14:textId="77777777" w:rsidR="00A826D9" w:rsidRPr="00E14102" w:rsidRDefault="00A826D9" w:rsidP="00E14102">
      <w:pPr>
        <w:jc w:val="both"/>
        <w:rPr>
          <w:color w:val="0070C0"/>
          <w:sz w:val="16"/>
          <w:szCs w:val="16"/>
        </w:rPr>
      </w:pPr>
      <w:r w:rsidRPr="00E14102">
        <w:rPr>
          <w:color w:val="0070C0"/>
          <w:sz w:val="16"/>
          <w:szCs w:val="16"/>
        </w:rPr>
        <w:t>Великий поход оказался уникальной операцией — за год Красная армия прошла с непрерывными боями свыше 10 тысяч километров, пересекла 12 провинций, преодолела 18 горных цепей, форсировала 24 крупные реки.</w:t>
      </w:r>
    </w:p>
    <w:p w14:paraId="60E3C879" w14:textId="77777777" w:rsidR="00A826D9" w:rsidRPr="00E14102" w:rsidRDefault="00A826D9" w:rsidP="00E14102">
      <w:pPr>
        <w:jc w:val="both"/>
        <w:rPr>
          <w:color w:val="0070C0"/>
          <w:sz w:val="16"/>
          <w:szCs w:val="16"/>
        </w:rPr>
      </w:pPr>
      <w:r w:rsidRPr="00E14102">
        <w:rPr>
          <w:color w:val="0070C0"/>
          <w:sz w:val="16"/>
          <w:szCs w:val="16"/>
        </w:rPr>
        <w:t>Территории, контролируемые Компартией, получили название «Особый район Китая».</w:t>
      </w:r>
    </w:p>
    <w:p w14:paraId="1D8EBD20" w14:textId="77777777" w:rsidR="00A826D9" w:rsidRPr="00E14102" w:rsidRDefault="00A826D9" w:rsidP="00E14102">
      <w:pPr>
        <w:jc w:val="both"/>
        <w:rPr>
          <w:color w:val="0070C0"/>
          <w:sz w:val="16"/>
          <w:szCs w:val="16"/>
        </w:rPr>
      </w:pPr>
      <w:r w:rsidRPr="00E14102">
        <w:rPr>
          <w:color w:val="0070C0"/>
          <w:sz w:val="16"/>
          <w:szCs w:val="16"/>
        </w:rPr>
        <w:t>В Гражданской войне наступила пауза длиной в девять лет...(21179)ю</w:t>
      </w:r>
    </w:p>
    <w:p w14:paraId="07FA2F13" w14:textId="77777777" w:rsidR="00A826D9" w:rsidRPr="00E14102" w:rsidRDefault="00A826D9" w:rsidP="00E14102">
      <w:pPr>
        <w:jc w:val="both"/>
        <w:rPr>
          <w:color w:val="0070C0"/>
          <w:sz w:val="16"/>
          <w:szCs w:val="16"/>
        </w:rPr>
      </w:pPr>
    </w:p>
    <w:p w14:paraId="09D5246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0E253F7" w14:textId="77777777" w:rsidR="00D4105E" w:rsidRPr="00E14102" w:rsidRDefault="00D4105E" w:rsidP="00E14102">
      <w:pPr>
        <w:autoSpaceDE w:val="0"/>
        <w:autoSpaceDN w:val="0"/>
        <w:adjustRightInd w:val="0"/>
        <w:jc w:val="both"/>
        <w:rPr>
          <w:iCs/>
          <w:color w:val="000000" w:themeColor="text1"/>
          <w:sz w:val="16"/>
          <w:szCs w:val="16"/>
        </w:rPr>
      </w:pPr>
    </w:p>
    <w:p w14:paraId="15BC0E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октября 1935 закончились испытания ТБ-3 (АНТ-6) 22 завода N 22452, полностью обшитого полотном, которые начались 1 февраля 1935 (1017,169).</w:t>
      </w:r>
    </w:p>
    <w:p w14:paraId="6A8C3540" w14:textId="77777777" w:rsidR="00D4105E" w:rsidRPr="00E14102" w:rsidRDefault="00D4105E" w:rsidP="00E14102">
      <w:pPr>
        <w:autoSpaceDE w:val="0"/>
        <w:autoSpaceDN w:val="0"/>
        <w:adjustRightInd w:val="0"/>
        <w:jc w:val="both"/>
        <w:rPr>
          <w:color w:val="000000" w:themeColor="text1"/>
          <w:sz w:val="16"/>
          <w:szCs w:val="16"/>
        </w:rPr>
      </w:pPr>
    </w:p>
    <w:p w14:paraId="1FE3C4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21 октября по 1 декабря 1935 проходило испытание соединения “Звено” (ТБ3-4М17 + 2И16) (6695).</w:t>
      </w:r>
    </w:p>
    <w:p w14:paraId="7FFFADD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0EBC5AB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 Лосюков</w:t>
      </w:r>
    </w:p>
    <w:p w14:paraId="6AF0B0B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2EB72F1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Проверить надежность конструкции установок для подвески истребителей и безотказность их работы.</w:t>
      </w:r>
    </w:p>
    <w:p w14:paraId="44969FEF"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Проверить надежность схем питания горючим и смазочным самолетов И16 от ТБ3 в полете.</w:t>
      </w:r>
    </w:p>
    <w:p w14:paraId="6182631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Выявить влияние установок на летные данные.</w:t>
      </w:r>
    </w:p>
    <w:p w14:paraId="622096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1740D6C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Установку соединения “Звено” (ТБ3-4М17+2И16) заводской литер 3-6 считать прошедшей испытание (6695).</w:t>
      </w:r>
    </w:p>
    <w:p w14:paraId="2D7C035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09989D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21 октября по 1 декабря 1935 проходили испытания соединения "ЗВЕНО" (ТБ3-4М17+2И16)</w:t>
      </w:r>
    </w:p>
    <w:p w14:paraId="3EDD79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518E08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Вед. инженер Лосюков</w:t>
      </w:r>
    </w:p>
    <w:p w14:paraId="50D864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18889AD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Проверить надежность конструкции установок для подвески истребителей и безотказность их работы.</w:t>
      </w:r>
    </w:p>
    <w:p w14:paraId="4BA931A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Проверить надежность схем питания горючим и смазочным самолетов И16 от ТБ3 в полете.</w:t>
      </w:r>
    </w:p>
    <w:p w14:paraId="34E29DB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Выявить влияние установок на летные данные.</w:t>
      </w:r>
    </w:p>
    <w:p w14:paraId="74C8A1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FDC7B0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Установку соединения "Звено" (ТБ3-4М17+2И16) заводской литер 3-6 считать прошедшей испытание (7657).</w:t>
      </w:r>
    </w:p>
    <w:p w14:paraId="58681481"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2BE780B7" w14:textId="77777777" w:rsidR="00B27E5D" w:rsidRPr="00E14102" w:rsidRDefault="00B27E5D" w:rsidP="00E14102">
      <w:pPr>
        <w:jc w:val="both"/>
        <w:rPr>
          <w:color w:val="000000" w:themeColor="text1"/>
          <w:sz w:val="16"/>
          <w:szCs w:val="16"/>
        </w:rPr>
      </w:pPr>
      <w:r w:rsidRPr="00E14102">
        <w:rPr>
          <w:color w:val="000000" w:themeColor="text1"/>
          <w:sz w:val="16"/>
          <w:szCs w:val="16"/>
        </w:rPr>
        <w:t>С 21 октября по 1 декабря 1935 прошли государственные испытания «Звена-6». Перед этим И-16 оборудовали системой подпитки топливом и маслом от ТБ-3. Самолёты соединялись резиновыми шлангами, они крепились к истребителям замками, открывающимися из кабины И-16. На концах шлангов стояли клапаны, которые перекрывали магистрали при расцеплении самолётов.</w:t>
      </w:r>
    </w:p>
    <w:p w14:paraId="6B41BCE0" w14:textId="77777777" w:rsidR="00B27E5D" w:rsidRPr="00E14102" w:rsidRDefault="00B27E5D" w:rsidP="00E14102">
      <w:pPr>
        <w:jc w:val="both"/>
        <w:rPr>
          <w:color w:val="000000" w:themeColor="text1"/>
          <w:sz w:val="16"/>
          <w:szCs w:val="16"/>
        </w:rPr>
      </w:pPr>
      <w:r w:rsidRPr="00E14102">
        <w:rPr>
          <w:color w:val="000000" w:themeColor="text1"/>
          <w:sz w:val="16"/>
          <w:szCs w:val="16"/>
        </w:rPr>
        <w:t>Сначала тренировались в подвеске и сбрасывании И-16 на земле — это упражнение сделали 26 раз. Затем выполнили 10 полётов с разделением самолётов. Лётные качества «звена» по сравнению с обычным ТБ-3 изменились несущественно: потолок уменьшился на 400 м, максимальная скорость возросла на 7–8 км/ч. Среди замечаний отмечались недоработанность системы внешнего питания истребителя горючим и маслом (течь в местах крепления шлангов к истребителю, нечёткая работа замков их отсоединения) и отсутствие средств связи между экипажами бомбардировщика и подвесных самолётов.</w:t>
      </w:r>
    </w:p>
    <w:p w14:paraId="53F7D9C1" w14:textId="77777777" w:rsidR="00B27E5D" w:rsidRPr="00E14102" w:rsidRDefault="00B27E5D" w:rsidP="00E14102">
      <w:pPr>
        <w:jc w:val="both"/>
        <w:rPr>
          <w:color w:val="000000" w:themeColor="text1"/>
          <w:sz w:val="16"/>
          <w:szCs w:val="16"/>
        </w:rPr>
      </w:pPr>
      <w:r w:rsidRPr="00E14102">
        <w:rPr>
          <w:color w:val="000000" w:themeColor="text1"/>
          <w:sz w:val="16"/>
          <w:szCs w:val="16"/>
        </w:rPr>
        <w:t>Но в целом впечатление было положительное. Заключение по полётам гласило:</w:t>
      </w:r>
    </w:p>
    <w:p w14:paraId="6669AF08" w14:textId="77777777" w:rsidR="00B27E5D" w:rsidRPr="00E14102" w:rsidRDefault="00B27E5D" w:rsidP="00E14102">
      <w:pPr>
        <w:jc w:val="both"/>
        <w:rPr>
          <w:color w:val="000000" w:themeColor="text1"/>
          <w:sz w:val="16"/>
          <w:szCs w:val="16"/>
        </w:rPr>
      </w:pPr>
      <w:r w:rsidRPr="00E14102">
        <w:rPr>
          <w:color w:val="000000" w:themeColor="text1"/>
          <w:sz w:val="16"/>
          <w:szCs w:val="16"/>
        </w:rPr>
        <w:t>«1. Установку соединения Звено (ТБ-3 4М-17 + 2 И-16), заводской литер 3–6, считать прошедшей испытания.</w:t>
      </w:r>
    </w:p>
    <w:p w14:paraId="7F6CB1A6" w14:textId="77777777" w:rsidR="00B27E5D" w:rsidRPr="00E14102" w:rsidRDefault="00B27E5D" w:rsidP="00E14102">
      <w:pPr>
        <w:jc w:val="both"/>
        <w:rPr>
          <w:color w:val="000000" w:themeColor="text1"/>
          <w:sz w:val="16"/>
          <w:szCs w:val="16"/>
        </w:rPr>
      </w:pPr>
      <w:r w:rsidRPr="00E14102">
        <w:rPr>
          <w:color w:val="000000" w:themeColor="text1"/>
          <w:sz w:val="16"/>
          <w:szCs w:val="16"/>
        </w:rPr>
        <w:t>2. При условии замены на ТБ-3 отдельных деталей шасси на усиленные (узлы крепления полуоси, амортстойки, подкосы) и устранении выявленных дефектов, соединение Звено в составе ТБ-3 4М-17 + 2 И-16 может быть рекомендовано на вооружение ВВС в качестве:</w:t>
      </w:r>
    </w:p>
    <w:p w14:paraId="07E83527" w14:textId="77777777" w:rsidR="00B27E5D" w:rsidRPr="00E14102" w:rsidRDefault="00B27E5D" w:rsidP="00E14102">
      <w:pPr>
        <w:jc w:val="both"/>
        <w:rPr>
          <w:color w:val="000000" w:themeColor="text1"/>
          <w:sz w:val="16"/>
          <w:szCs w:val="16"/>
        </w:rPr>
      </w:pPr>
      <w:r w:rsidRPr="00E14102">
        <w:rPr>
          <w:color w:val="000000" w:themeColor="text1"/>
          <w:sz w:val="16"/>
          <w:szCs w:val="16"/>
        </w:rPr>
        <w:t>а) транспортного для заброски на далёкие расстояния;</w:t>
      </w:r>
    </w:p>
    <w:p w14:paraId="724BD8C8" w14:textId="77777777" w:rsidR="00B27E5D" w:rsidRPr="00E14102" w:rsidRDefault="00B27E5D" w:rsidP="00E14102">
      <w:pPr>
        <w:jc w:val="both"/>
        <w:rPr>
          <w:color w:val="000000" w:themeColor="text1"/>
          <w:sz w:val="16"/>
          <w:szCs w:val="16"/>
        </w:rPr>
      </w:pPr>
      <w:r w:rsidRPr="00E14102">
        <w:rPr>
          <w:color w:val="000000" w:themeColor="text1"/>
          <w:sz w:val="16"/>
          <w:szCs w:val="16"/>
        </w:rPr>
        <w:t>б) авиаматки ПВО.</w:t>
      </w:r>
    </w:p>
    <w:p w14:paraId="62C852A9" w14:textId="77777777" w:rsidR="00B27E5D" w:rsidRPr="00E14102" w:rsidRDefault="00B27E5D" w:rsidP="00E14102">
      <w:pPr>
        <w:jc w:val="both"/>
        <w:rPr>
          <w:color w:val="000000" w:themeColor="text1"/>
          <w:sz w:val="16"/>
          <w:szCs w:val="16"/>
        </w:rPr>
      </w:pPr>
      <w:r w:rsidRPr="00E14102">
        <w:rPr>
          <w:color w:val="000000" w:themeColor="text1"/>
          <w:sz w:val="16"/>
          <w:szCs w:val="16"/>
        </w:rPr>
        <w:t>Кроме того, при условии замены ТБ-3 4М-17 на более современный вариант ТБ-3 4М-34Р или PН в качестве:</w:t>
      </w:r>
    </w:p>
    <w:p w14:paraId="3A180DB6" w14:textId="77777777" w:rsidR="00B27E5D" w:rsidRPr="00E14102" w:rsidRDefault="00B27E5D" w:rsidP="00E14102">
      <w:pPr>
        <w:jc w:val="both"/>
        <w:rPr>
          <w:color w:val="000000" w:themeColor="text1"/>
          <w:sz w:val="16"/>
          <w:szCs w:val="16"/>
        </w:rPr>
      </w:pPr>
      <w:r w:rsidRPr="00E14102">
        <w:rPr>
          <w:color w:val="000000" w:themeColor="text1"/>
          <w:sz w:val="16"/>
          <w:szCs w:val="16"/>
        </w:rPr>
        <w:t>а) ТБ с собственным охранением и</w:t>
      </w:r>
    </w:p>
    <w:p w14:paraId="47D2E3AC" w14:textId="77777777" w:rsidR="00B27E5D" w:rsidRPr="00E14102" w:rsidRDefault="00B27E5D" w:rsidP="00E14102">
      <w:pPr>
        <w:jc w:val="both"/>
        <w:rPr>
          <w:color w:val="000000" w:themeColor="text1"/>
          <w:sz w:val="16"/>
          <w:szCs w:val="16"/>
        </w:rPr>
      </w:pPr>
      <w:r w:rsidRPr="00E14102">
        <w:rPr>
          <w:color w:val="000000" w:themeColor="text1"/>
          <w:sz w:val="16"/>
          <w:szCs w:val="16"/>
        </w:rPr>
        <w:t>б) тяжёлого крейсера с 2 истребителями на нём.</w:t>
      </w:r>
    </w:p>
    <w:p w14:paraId="00750E30" w14:textId="77777777" w:rsidR="00B27E5D" w:rsidRPr="00E14102" w:rsidRDefault="00B27E5D" w:rsidP="00E14102">
      <w:pPr>
        <w:jc w:val="both"/>
        <w:rPr>
          <w:color w:val="000000" w:themeColor="text1"/>
          <w:sz w:val="16"/>
          <w:szCs w:val="16"/>
        </w:rPr>
      </w:pPr>
      <w:r w:rsidRPr="00E14102">
        <w:rPr>
          <w:color w:val="000000" w:themeColor="text1"/>
          <w:sz w:val="16"/>
          <w:szCs w:val="16"/>
        </w:rPr>
        <w:t>&lt;…&gt;</w:t>
      </w:r>
    </w:p>
    <w:p w14:paraId="25ADEC9B" w14:textId="77777777" w:rsidR="00B27E5D" w:rsidRPr="00E14102" w:rsidRDefault="00B27E5D" w:rsidP="00E14102">
      <w:pPr>
        <w:jc w:val="both"/>
        <w:rPr>
          <w:color w:val="000000" w:themeColor="text1"/>
          <w:sz w:val="16"/>
          <w:szCs w:val="16"/>
        </w:rPr>
      </w:pPr>
      <w:r w:rsidRPr="00E14102">
        <w:rPr>
          <w:color w:val="000000" w:themeColor="text1"/>
          <w:sz w:val="16"/>
          <w:szCs w:val="16"/>
        </w:rPr>
        <w:t>4. Учитывая полную принципиальную отработку вопроса с установкой на тяжёлые самолёты и его тактическую ценность, считать необходимым дополнить существующие требования к проектируемым истребителям и ТБ и включить в новые ТТТ к самолётам этого типа пункт о разработке приспособлений аналогичного типа, одновременно с разработкой конструкции самого самолёта и об учёте подвески во всех видах расчётов».</w:t>
      </w:r>
    </w:p>
    <w:p w14:paraId="1C5AAD62" w14:textId="77777777" w:rsidR="00B27E5D" w:rsidRPr="00E14102" w:rsidRDefault="00B27E5D" w:rsidP="00E14102">
      <w:pPr>
        <w:jc w:val="both"/>
        <w:rPr>
          <w:color w:val="000000" w:themeColor="text1"/>
          <w:sz w:val="16"/>
          <w:szCs w:val="16"/>
        </w:rPr>
      </w:pPr>
      <w:r w:rsidRPr="00E14102">
        <w:rPr>
          <w:color w:val="000000" w:themeColor="text1"/>
          <w:sz w:val="16"/>
          <w:szCs w:val="16"/>
        </w:rPr>
        <w:t xml:space="preserve">Начальник ВВС Алкснис добавил предложение о формировании авиабригады составных самолётов и распорядился дать заказ на оборудование 48 ТБ-3 4М-17 и 96 И-16 М-22 устройствами для подвески </w:t>
      </w:r>
      <w:hyperlink r:id="rId208" w:history="1">
        <w:r w:rsidRPr="00E14102">
          <w:rPr>
            <w:color w:val="000000" w:themeColor="text1"/>
            <w:sz w:val="16"/>
            <w:szCs w:val="16"/>
          </w:rPr>
          <w:t>[91]</w:t>
        </w:r>
      </w:hyperlink>
      <w:r w:rsidRPr="00E14102">
        <w:rPr>
          <w:color w:val="000000" w:themeColor="text1"/>
          <w:sz w:val="16"/>
          <w:szCs w:val="16"/>
        </w:rPr>
        <w:t xml:space="preserve"> .</w:t>
      </w:r>
    </w:p>
    <w:p w14:paraId="5DBA5AFC" w14:textId="77777777" w:rsidR="00B27E5D" w:rsidRPr="00E14102" w:rsidRDefault="00B27E5D" w:rsidP="00E14102">
      <w:pPr>
        <w:jc w:val="both"/>
        <w:rPr>
          <w:color w:val="000000" w:themeColor="text1"/>
          <w:sz w:val="16"/>
          <w:szCs w:val="16"/>
        </w:rPr>
      </w:pPr>
      <w:r w:rsidRPr="00E14102">
        <w:rPr>
          <w:color w:val="000000" w:themeColor="text1"/>
          <w:sz w:val="16"/>
          <w:szCs w:val="16"/>
        </w:rPr>
        <w:t xml:space="preserve">Успешные полёты «звеньев» разных типов позволили Вахмистрову заняться воплощением в жизнь «авиаматки ПВО» — по сути, летающего аэродрома с базирующимися на нём истребителями. «Я предлагаю авиацию с её аэродромами поднять в воздух», — писал изобретатель </w:t>
      </w:r>
      <w:hyperlink r:id="rId209" w:history="1">
        <w:r w:rsidRPr="00E14102">
          <w:rPr>
            <w:color w:val="000000" w:themeColor="text1"/>
            <w:sz w:val="16"/>
            <w:szCs w:val="16"/>
          </w:rPr>
          <w:t>[92]</w:t>
        </w:r>
      </w:hyperlink>
      <w:r w:rsidRPr="00E14102">
        <w:rPr>
          <w:color w:val="000000" w:themeColor="text1"/>
          <w:sz w:val="16"/>
          <w:szCs w:val="16"/>
        </w:rPr>
        <w:t xml:space="preserve"> . Авиаматка должна была подолгу барражировать над охраняемым объектом. При приближении вражеских самолётов от неё отсоединялись истребители и атаковали противника. Затем они приземлялись на аэродром или вновь сцеплялись с самолётом-носителем.</w:t>
      </w:r>
    </w:p>
    <w:p w14:paraId="51415797" w14:textId="77777777" w:rsidR="00B27E5D" w:rsidRPr="00E14102" w:rsidRDefault="00B27E5D" w:rsidP="00E14102">
      <w:pPr>
        <w:jc w:val="both"/>
        <w:rPr>
          <w:color w:val="000000" w:themeColor="text1"/>
          <w:sz w:val="16"/>
          <w:szCs w:val="16"/>
        </w:rPr>
      </w:pPr>
      <w:r w:rsidRPr="00E14102">
        <w:rPr>
          <w:color w:val="000000" w:themeColor="text1"/>
          <w:sz w:val="16"/>
          <w:szCs w:val="16"/>
        </w:rPr>
        <w:t xml:space="preserve">В.С. Вахмистров вспоминал: «Для авиаматки проектировалось огромное летающее крыло Черановского. Матка должна была представлять собой бомбардировщик с бомбами, поднимающий шесть истребителей. (Ранее предлагался ещё более грандиозный проект — самолёт-парабола размахом 100 м с 15 истребителями И-15 сверху и 5–6 И-Z снизу. — Д.С.) </w:t>
      </w:r>
      <w:hyperlink r:id="rId210" w:history="1">
        <w:r w:rsidRPr="00E14102">
          <w:rPr>
            <w:color w:val="000000" w:themeColor="text1"/>
            <w:sz w:val="16"/>
            <w:szCs w:val="16"/>
          </w:rPr>
          <w:t>[93]</w:t>
        </w:r>
      </w:hyperlink>
      <w:r w:rsidRPr="00E14102">
        <w:rPr>
          <w:color w:val="000000" w:themeColor="text1"/>
          <w:sz w:val="16"/>
          <w:szCs w:val="16"/>
        </w:rPr>
        <w:t xml:space="preserve"> .</w:t>
      </w:r>
    </w:p>
    <w:p w14:paraId="52CA1C83" w14:textId="77777777" w:rsidR="00B27E5D" w:rsidRPr="00E14102" w:rsidRDefault="00B27E5D" w:rsidP="00E14102">
      <w:pPr>
        <w:jc w:val="both"/>
        <w:rPr>
          <w:color w:val="000000" w:themeColor="text1"/>
          <w:sz w:val="16"/>
          <w:szCs w:val="16"/>
        </w:rPr>
      </w:pPr>
      <w:r w:rsidRPr="00E14102">
        <w:rPr>
          <w:color w:val="000000" w:themeColor="text1"/>
          <w:sz w:val="16"/>
          <w:szCs w:val="16"/>
        </w:rPr>
        <w:t>Мне пришлось докладывать об этом проекте на заседании Реввоенсовета. Я привез туда все чертежи и рисунки. Мне дали для доклада 15–20 минут. Семён Михайлович Будённый помог мне развесить рисунки. Рисунок самолёта-параболы был непонятен, и Будённый повесил его вверх ногами.</w:t>
      </w:r>
    </w:p>
    <w:p w14:paraId="2EB4B392" w14:textId="77777777" w:rsidR="00B27E5D" w:rsidRPr="00E14102" w:rsidRDefault="00B27E5D" w:rsidP="00E14102">
      <w:pPr>
        <w:jc w:val="both"/>
        <w:rPr>
          <w:color w:val="000000" w:themeColor="text1"/>
          <w:sz w:val="16"/>
          <w:szCs w:val="16"/>
        </w:rPr>
      </w:pPr>
      <w:r w:rsidRPr="00E14102">
        <w:rPr>
          <w:color w:val="000000" w:themeColor="text1"/>
          <w:sz w:val="16"/>
          <w:szCs w:val="16"/>
        </w:rPr>
        <w:t>К докладу был проявлен очень большой интерес. Эта беседа вместо 15–20 минут длилась около двух часов. Я был откомандирован для его постройки на 22 завод. Работу по проекту вела молодёжь, студенты из МАИ. Спроектировали. Пропустили через макетную комиссию. Начали строить.</w:t>
      </w:r>
    </w:p>
    <w:p w14:paraId="6559A3AE" w14:textId="77777777" w:rsidR="00B27E5D" w:rsidRPr="00E14102" w:rsidRDefault="00B27E5D" w:rsidP="00E14102">
      <w:pPr>
        <w:jc w:val="both"/>
        <w:rPr>
          <w:color w:val="000000" w:themeColor="text1"/>
          <w:sz w:val="16"/>
          <w:szCs w:val="16"/>
        </w:rPr>
      </w:pPr>
      <w:r w:rsidRPr="00E14102">
        <w:rPr>
          <w:color w:val="000000" w:themeColor="text1"/>
          <w:sz w:val="16"/>
          <w:szCs w:val="16"/>
        </w:rPr>
        <w:t>Тухачевский очень поддерживал нашу работу. Однако когда он доложил о нашем проекте Сталину, Сталин сказал:</w:t>
      </w:r>
    </w:p>
    <w:p w14:paraId="3AE93A87" w14:textId="77777777" w:rsidR="00B27E5D" w:rsidRPr="00E14102" w:rsidRDefault="00B27E5D" w:rsidP="00E14102">
      <w:pPr>
        <w:jc w:val="both"/>
        <w:rPr>
          <w:color w:val="000000" w:themeColor="text1"/>
          <w:sz w:val="16"/>
          <w:szCs w:val="16"/>
        </w:rPr>
      </w:pPr>
      <w:r w:rsidRPr="00E14102">
        <w:rPr>
          <w:color w:val="000000" w:themeColor="text1"/>
          <w:sz w:val="16"/>
          <w:szCs w:val="16"/>
        </w:rPr>
        <w:t>— Товарищ Тухачевский, вы очень хороший маршал, но очень большой фантазёр!</w:t>
      </w:r>
    </w:p>
    <w:p w14:paraId="20773199" w14:textId="77777777" w:rsidR="00B27E5D" w:rsidRPr="00E14102" w:rsidRDefault="00B27E5D" w:rsidP="00E14102">
      <w:pPr>
        <w:jc w:val="both"/>
        <w:rPr>
          <w:color w:val="000000" w:themeColor="text1"/>
          <w:sz w:val="16"/>
          <w:szCs w:val="16"/>
        </w:rPr>
      </w:pPr>
      <w:r w:rsidRPr="00E14102">
        <w:rPr>
          <w:color w:val="000000" w:themeColor="text1"/>
          <w:sz w:val="16"/>
          <w:szCs w:val="16"/>
        </w:rPr>
        <w:t xml:space="preserve">На следующий день моя тема была закрыта, а недостроенный самолёт выброшен в утиль» </w:t>
      </w:r>
      <w:hyperlink r:id="rId211" w:history="1">
        <w:r w:rsidRPr="00E14102">
          <w:rPr>
            <w:color w:val="000000" w:themeColor="text1"/>
            <w:sz w:val="16"/>
            <w:szCs w:val="16"/>
          </w:rPr>
          <w:t>[94]</w:t>
        </w:r>
      </w:hyperlink>
      <w:r w:rsidRPr="00E14102">
        <w:rPr>
          <w:color w:val="000000" w:themeColor="text1"/>
          <w:sz w:val="16"/>
          <w:szCs w:val="16"/>
        </w:rPr>
        <w:t xml:space="preserve"> .</w:t>
      </w:r>
    </w:p>
    <w:p w14:paraId="17B68B48" w14:textId="77777777" w:rsidR="00B27E5D" w:rsidRPr="00E14102" w:rsidRDefault="00B27E5D" w:rsidP="00E14102">
      <w:pPr>
        <w:jc w:val="both"/>
        <w:rPr>
          <w:color w:val="000000" w:themeColor="text1"/>
          <w:sz w:val="16"/>
          <w:szCs w:val="16"/>
        </w:rPr>
      </w:pPr>
      <w:r w:rsidRPr="00E14102">
        <w:rPr>
          <w:color w:val="000000" w:themeColor="text1"/>
          <w:sz w:val="16"/>
          <w:szCs w:val="16"/>
        </w:rPr>
        <w:t>Тогда Вахмистров решил упростить задачу — объединить уже испытанные «Звено-2», «Звено-5» и «Звено-6» в комплекс из шести самолётов. На крыле ТБ-3 разместили два И-5, под крылом — два И-16, под фюзеляжем — устройство для подцепления в полёте И-Z. По результатам сделанного в ЦАГИ расчёта усилили некоторые узлы крыла и шасси ТБ-3. Истребители И-5 и И-16 могли питаться горючим и смазочным материалом из баков самолёта-авиаматки (17489).</w:t>
      </w:r>
    </w:p>
    <w:p w14:paraId="510A14AF" w14:textId="77777777" w:rsidR="00B27E5D" w:rsidRPr="00E14102" w:rsidRDefault="00B27E5D" w:rsidP="00E14102">
      <w:pPr>
        <w:jc w:val="both"/>
        <w:rPr>
          <w:color w:val="000000" w:themeColor="text1"/>
          <w:sz w:val="16"/>
          <w:szCs w:val="16"/>
        </w:rPr>
      </w:pPr>
    </w:p>
    <w:p w14:paraId="0AC85B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октября 1935 года зам. Наркома обороны Я. Гамарник писал письмо № 376350сс/о председателю СНК Молотову В.М.</w:t>
      </w:r>
    </w:p>
    <w:p w14:paraId="435848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Представляю при сем докладную записку конструктора легкомоторных самолетов Яковлева А.С. о возможности постройки в 1936 году опытных истребителей.</w:t>
      </w:r>
    </w:p>
    <w:p w14:paraId="2CF44BD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Одноместного одномоторного – с мотором Рено 220-350 л.с., вооруженного 1-20 мм пушкой Шпитального и 2 7,62 мм пулеметами ШКАС со скоростью полета 480-500 км/час и потолком в 9600 метров.</w:t>
      </w:r>
    </w:p>
    <w:p w14:paraId="330ECA6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Одноместного двухмоторного с моторами Рено 220-350 л.с., вооруженного 2 - 20 мм пушками Шпитального и 4 пулеметами ШКАС со скоростью полета 480-490 км/час и потолком в 9000 м.</w:t>
      </w:r>
    </w:p>
    <w:p w14:paraId="5977B3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рассмотреть этот вопрос в КО.</w:t>
      </w:r>
    </w:p>
    <w:p w14:paraId="603F45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 постановления при сем прилагаю</w:t>
      </w:r>
    </w:p>
    <w:p w14:paraId="765FB9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 проект постановления (3527, 108).</w:t>
      </w:r>
    </w:p>
    <w:p w14:paraId="51497B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 СТО (проект).</w:t>
      </w:r>
    </w:p>
    <w:p w14:paraId="0B1044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работам Яковлева</w:t>
      </w:r>
    </w:p>
    <w:p w14:paraId="0A1C4A4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Включить в план опытного самолетостроения постройку двух истребителей по проектам конструктора Яковлева с мотором Вальтер 240 л.с. или Рено 220-350 л.с.</w:t>
      </w:r>
    </w:p>
    <w:p w14:paraId="7A59739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Поручить конструктору Яковлеву по возвращении с авиационной выставки в Милане заехать во Францию и Чехословакию, где установить возможность покупки моторов Рено (Франция) или Вальтер (Чехословакия), а также ознакомиться с работами фирмы КОРДОН и ШМОЛИК по постройке самолетов с этими моторами.</w:t>
      </w:r>
    </w:p>
    <w:p w14:paraId="54B4F2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ГУАП купить в текущем году 10 моторов (Вальтер или Рено) для установки их на истребители и скоростные легкомоторные самолеты (3527, 109).</w:t>
      </w:r>
    </w:p>
    <w:p w14:paraId="3CD7497B" w14:textId="77777777" w:rsidR="00D4105E" w:rsidRPr="00E14102" w:rsidRDefault="00D4105E" w:rsidP="00E14102">
      <w:pPr>
        <w:autoSpaceDE w:val="0"/>
        <w:autoSpaceDN w:val="0"/>
        <w:adjustRightInd w:val="0"/>
        <w:jc w:val="both"/>
        <w:rPr>
          <w:color w:val="000000" w:themeColor="text1"/>
          <w:sz w:val="16"/>
          <w:szCs w:val="16"/>
        </w:rPr>
      </w:pPr>
    </w:p>
    <w:p w14:paraId="027A012C" w14:textId="77777777" w:rsidR="00A826D9" w:rsidRPr="00E14102" w:rsidRDefault="00A826D9" w:rsidP="00E14102">
      <w:pPr>
        <w:pStyle w:val="ad"/>
        <w:spacing w:before="0" w:after="0"/>
        <w:rPr>
          <w:rFonts w:ascii="Times New Roman" w:hAnsi="Times New Roman" w:cs="Times New Roman"/>
          <w:color w:val="0070C0"/>
          <w:sz w:val="16"/>
          <w:szCs w:val="16"/>
          <w:lang w:val="ru-RU"/>
        </w:rPr>
      </w:pPr>
      <w:r w:rsidRPr="00E14102">
        <w:rPr>
          <w:rFonts w:ascii="Times New Roman" w:hAnsi="Times New Roman" w:cs="Times New Roman"/>
          <w:color w:val="0070C0"/>
          <w:sz w:val="16"/>
          <w:szCs w:val="16"/>
          <w:lang w:val="ru-RU"/>
        </w:rPr>
        <w:t>21 октября 1935 года Заместитель Наркома Обороны Я.Б. Гамарник направил письмо № 376350сс/о председателю СНК В.М. Молотову: «Представляю при сем докладную записку конструктора легкомоторных самолетов Яковлева А.С. о возможности постройки в 1936 году опытных истребителей…. Прошу рассмотреть этот вопрос в КО». К письму прилагался проект постановления СТО по работам Яковлева, в котором предлагалось: «Включить в план опытного самолетостроения постройку двух истребителей по проектам конструктора Яковлева с мотором Вальтер 240 л.с. или Рено 220-350 л.с. Поручить конструктору Яковлеву по возвращении с авиационной выставки в Милане заехать во Францию и Чехословакию, где установить возможность покупки моторов Рено (Франция) или Вальтер (Чехословакия), а также ознакомиться с работами фирмы КОДРОН и ШМОЛИК по постройке самолетов с этими моторами. Обязать ГУАП купить в текущем году 10 моторов (Вальтер или Рено) для установки их на истребители и скоростные легкомоторные самолеты» (19842).</w:t>
      </w:r>
    </w:p>
    <w:p w14:paraId="1D8B992D" w14:textId="77777777" w:rsidR="00A826D9" w:rsidRPr="00E14102" w:rsidRDefault="00A826D9" w:rsidP="00E14102">
      <w:pPr>
        <w:jc w:val="both"/>
        <w:rPr>
          <w:color w:val="0070C0"/>
          <w:sz w:val="16"/>
          <w:szCs w:val="16"/>
          <w:shd w:val="clear" w:color="auto" w:fill="DCDCDC"/>
        </w:rPr>
      </w:pPr>
    </w:p>
    <w:p w14:paraId="2A2ACB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октября 1935 года было подготовлено:</w:t>
      </w:r>
    </w:p>
    <w:p w14:paraId="46BC83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 СТО (проект).</w:t>
      </w:r>
    </w:p>
    <w:p w14:paraId="491232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работам Яковлева</w:t>
      </w:r>
    </w:p>
    <w:p w14:paraId="5A2F988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Включить в план опытного самолетостроения постройку двух истребителей по проектам конструктора Яковлева с мотором Вальтер 240 л.с. или Рено 220-350 л.с.</w:t>
      </w:r>
    </w:p>
    <w:p w14:paraId="6EFB3FE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Поручить конструктору Яковлеву по возвращении с авиационной выставки в Милане заехать во Францию и Чехословакию, где установить возможность покупки моторов Рено (Франция) или Вальтер (Чехословакия), а также ознакомиться с работами фирмы КОРДОН и ШМОЛИК по постройке самолетов с этими моторами.</w:t>
      </w:r>
    </w:p>
    <w:p w14:paraId="37D002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ГУАП купить в текущем году 10 моторов (Вальтер или Рено) для установки их на истребители и скоростные легкомоторные самолеты (3527, 109).</w:t>
      </w:r>
    </w:p>
    <w:p w14:paraId="41EF354F" w14:textId="77777777" w:rsidR="00D4105E" w:rsidRPr="00E14102" w:rsidRDefault="00D4105E" w:rsidP="00E14102">
      <w:pPr>
        <w:autoSpaceDE w:val="0"/>
        <w:autoSpaceDN w:val="0"/>
        <w:adjustRightInd w:val="0"/>
        <w:jc w:val="both"/>
        <w:rPr>
          <w:color w:val="000000" w:themeColor="text1"/>
          <w:sz w:val="16"/>
          <w:szCs w:val="16"/>
        </w:rPr>
      </w:pPr>
    </w:p>
    <w:p w14:paraId="10DCF8C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21 октября по 16 ноября 1935 года проходили гос. испытания самолета И-16 М-22 № 4217 с неубирающимися шасси постройки завода № 21 (6698).</w:t>
      </w:r>
    </w:p>
    <w:p w14:paraId="0841E04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6245339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инженер-летчик Алтынов</w:t>
      </w:r>
    </w:p>
    <w:p w14:paraId="13DA26F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летчик Стефановский</w:t>
      </w:r>
    </w:p>
    <w:p w14:paraId="3315A12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5FD443B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Гос. испытания самолета для сравнительных летных данных с серийным самолетом И-16 М22 с убирающимся шасси.</w:t>
      </w:r>
    </w:p>
    <w:p w14:paraId="6D358DB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A8A194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Применение шасси установленного на самолете вполне целесообразно в комбинации с лыжами, при условии установки шасси на те же (и если нужно – и на легко устанавливаемые средствами частей ВС дополнительные) кронштейны крепления шасси убирающегося в полете.</w:t>
      </w:r>
    </w:p>
    <w:p w14:paraId="5EF82EA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 (6698).</w:t>
      </w:r>
    </w:p>
    <w:p w14:paraId="72238F0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9337D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21 октября по 16 ноября 1935 года проходили госиспытания самолета И-16 М-22 № 4217 с неубирающимися шасси постройки завода № 21</w:t>
      </w:r>
    </w:p>
    <w:p w14:paraId="2772BA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7763CC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 – летчик Алтынов</w:t>
      </w:r>
    </w:p>
    <w:p w14:paraId="4AAC71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летчик – Стефановский</w:t>
      </w:r>
    </w:p>
    <w:p w14:paraId="5491FC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7F88D2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Госиспытания самолета для сравнительных летных данных с серийным самолетом И-16 М22 с убирающимся шасси.</w:t>
      </w:r>
    </w:p>
    <w:p w14:paraId="3F00E2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009AC0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Применение шасси установленного на самолете вполне целесообразно в комбинации с лыжами зимой, при условии возможности установки шасси на те же (и если нужно и на легкоустанавливаемые средствами частей ВС дополнительные) кронштейны крепления шасси убирающегося в полете.</w:t>
      </w:r>
    </w:p>
    <w:p w14:paraId="2E18CB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w:t>
      </w:r>
    </w:p>
    <w:p w14:paraId="083A402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Применение неубирающегося шасси чрезвычайно полезно для выпуска и предварительной тренировки летчиков как в школах, так и в строю.</w:t>
      </w:r>
    </w:p>
    <w:p w14:paraId="3DBAD85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предъявленном виде неубирающееся шасси самолета И-16 М22 конструкции завода № 21 госиспытаний не выдержало.</w:t>
      </w:r>
    </w:p>
    <w:p w14:paraId="440ACE8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Вполне целесообразна доводка указанного шасси в частности в качестве зимнего варианта в комбинации с лыжами при условии возможности установки его на нормальные серийные самолеты И-16 М-22 силами и средствами частей ВС (7655).</w:t>
      </w:r>
    </w:p>
    <w:p w14:paraId="6DA22F70"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0202DB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21 октября по 16 ноября 1935 в НИИ ВВС проходили государственные испытания И-16 с неубираемым шасси (был взят один из первых серийных истребителей И-16 тип 4 № 4217, у которого шасси закрыли обтекателями-“штанами”, зашили ниши на нижней поверхности крыла). Их проводил летчик-испытатель П.М.Стефановский. У зем</w:t>
      </w:r>
      <w:r w:rsidRPr="00E14102">
        <w:rPr>
          <w:color w:val="000000" w:themeColor="text1"/>
          <w:sz w:val="16"/>
          <w:szCs w:val="16"/>
        </w:rPr>
        <w:softHyphen/>
        <w:t>ли удалось достичь максимальной скорости 345 км/ч и 335 км/ч на высоте 3000 м. Потолок снизился до 7110 м.</w:t>
      </w:r>
    </w:p>
    <w:p w14:paraId="42A94C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выводах по результатам испытаний отмечалось:</w:t>
      </w:r>
    </w:p>
    <w:p w14:paraId="73E2EB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Самолет И16-М22 с неубираемым шасси по лет</w:t>
      </w:r>
      <w:r w:rsidRPr="00E14102">
        <w:rPr>
          <w:color w:val="000000" w:themeColor="text1"/>
          <w:sz w:val="16"/>
          <w:szCs w:val="16"/>
        </w:rPr>
        <w:softHyphen/>
        <w:t>ным данным уступает самолету с убираемым шасси, но имеет большую устойчивость на фигурах за счет доба</w:t>
      </w:r>
      <w:r w:rsidRPr="00E14102">
        <w:rPr>
          <w:color w:val="000000" w:themeColor="text1"/>
          <w:sz w:val="16"/>
          <w:szCs w:val="16"/>
        </w:rPr>
        <w:softHyphen/>
        <w:t>вочных вертикальных поверхностей (шасси в обтекате</w:t>
      </w:r>
      <w:r w:rsidRPr="00E14102">
        <w:rPr>
          <w:color w:val="000000" w:themeColor="text1"/>
          <w:sz w:val="16"/>
          <w:szCs w:val="16"/>
        </w:rPr>
        <w:softHyphen/>
        <w:t>лях).</w:t>
      </w:r>
    </w:p>
    <w:p w14:paraId="636E46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Конструкция самого шасси не доработана” (10667).</w:t>
      </w:r>
    </w:p>
    <w:p w14:paraId="189C4C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Характеристики различных вариантов истребителя И-16 с М-22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966"/>
        <w:gridCol w:w="2035"/>
        <w:gridCol w:w="1680"/>
        <w:gridCol w:w="1843"/>
        <w:gridCol w:w="1680"/>
      </w:tblGrid>
      <w:tr w:rsidR="00E3599D" w:rsidRPr="00E14102" w14:paraId="24867D7F" w14:textId="77777777">
        <w:trPr>
          <w:trHeight w:val="662"/>
        </w:trPr>
        <w:tc>
          <w:tcPr>
            <w:tcW w:w="2966" w:type="dxa"/>
            <w:tcBorders>
              <w:top w:val="single" w:sz="12" w:space="0" w:color="auto"/>
            </w:tcBorders>
          </w:tcPr>
          <w:p w14:paraId="3F26F9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2035" w:type="dxa"/>
            <w:tcBorders>
              <w:top w:val="single" w:sz="12" w:space="0" w:color="auto"/>
            </w:tcBorders>
          </w:tcPr>
          <w:p w14:paraId="553285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Опытный на неубираемых лыжах</w:t>
            </w:r>
          </w:p>
        </w:tc>
        <w:tc>
          <w:tcPr>
            <w:tcW w:w="1680" w:type="dxa"/>
            <w:tcBorders>
              <w:top w:val="single" w:sz="12" w:space="0" w:color="auto"/>
            </w:tcBorders>
          </w:tcPr>
          <w:p w14:paraId="0E392C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Опытный с убираемым колесным шасси</w:t>
            </w:r>
          </w:p>
        </w:tc>
        <w:tc>
          <w:tcPr>
            <w:tcW w:w="1843" w:type="dxa"/>
            <w:tcBorders>
              <w:top w:val="single" w:sz="12" w:space="0" w:color="auto"/>
            </w:tcBorders>
          </w:tcPr>
          <w:p w14:paraId="4269A3F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Серийный с убираемым колесным шасси</w:t>
            </w:r>
          </w:p>
        </w:tc>
        <w:tc>
          <w:tcPr>
            <w:tcW w:w="1680" w:type="dxa"/>
            <w:tcBorders>
              <w:top w:val="single" w:sz="12" w:space="0" w:color="auto"/>
            </w:tcBorders>
          </w:tcPr>
          <w:p w14:paraId="69C4232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Опытный с колесным шасси в обтекателях</w:t>
            </w:r>
          </w:p>
        </w:tc>
      </w:tr>
      <w:tr w:rsidR="00E3599D" w:rsidRPr="00E14102" w14:paraId="61528355" w14:textId="77777777">
        <w:trPr>
          <w:trHeight w:val="346"/>
        </w:trPr>
        <w:tc>
          <w:tcPr>
            <w:tcW w:w="2966" w:type="dxa"/>
          </w:tcPr>
          <w:p w14:paraId="568926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w:t>
            </w:r>
          </w:p>
        </w:tc>
        <w:tc>
          <w:tcPr>
            <w:tcW w:w="2035" w:type="dxa"/>
          </w:tcPr>
          <w:p w14:paraId="668AC9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39</w:t>
            </w:r>
          </w:p>
        </w:tc>
        <w:tc>
          <w:tcPr>
            <w:tcW w:w="1680" w:type="dxa"/>
          </w:tcPr>
          <w:p w14:paraId="7573E4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№39</w:t>
            </w:r>
          </w:p>
        </w:tc>
        <w:tc>
          <w:tcPr>
            <w:tcW w:w="1843" w:type="dxa"/>
          </w:tcPr>
          <w:p w14:paraId="7A1F2E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w:t>
            </w:r>
          </w:p>
        </w:tc>
        <w:tc>
          <w:tcPr>
            <w:tcW w:w="1680" w:type="dxa"/>
          </w:tcPr>
          <w:p w14:paraId="195808B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w:t>
            </w:r>
          </w:p>
        </w:tc>
      </w:tr>
      <w:tr w:rsidR="00E3599D" w:rsidRPr="00E14102" w14:paraId="04364DC9" w14:textId="77777777">
        <w:trPr>
          <w:trHeight w:val="230"/>
        </w:trPr>
        <w:tc>
          <w:tcPr>
            <w:tcW w:w="2966" w:type="dxa"/>
          </w:tcPr>
          <w:p w14:paraId="358538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Полетный вес, кг</w:t>
            </w:r>
          </w:p>
        </w:tc>
        <w:tc>
          <w:tcPr>
            <w:tcW w:w="2035" w:type="dxa"/>
          </w:tcPr>
          <w:p w14:paraId="52D88A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1322,8</w:t>
            </w:r>
          </w:p>
        </w:tc>
        <w:tc>
          <w:tcPr>
            <w:tcW w:w="1680" w:type="dxa"/>
          </w:tcPr>
          <w:p w14:paraId="5850447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1311,7</w:t>
            </w:r>
          </w:p>
        </w:tc>
        <w:tc>
          <w:tcPr>
            <w:tcW w:w="1843" w:type="dxa"/>
          </w:tcPr>
          <w:p w14:paraId="1A604D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1354,8</w:t>
            </w:r>
          </w:p>
        </w:tc>
        <w:tc>
          <w:tcPr>
            <w:tcW w:w="1680" w:type="dxa"/>
          </w:tcPr>
          <w:p w14:paraId="7B8DA66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1335,1</w:t>
            </w:r>
          </w:p>
        </w:tc>
      </w:tr>
      <w:tr w:rsidR="00E3599D" w:rsidRPr="00E14102" w14:paraId="471928EE" w14:textId="77777777">
        <w:trPr>
          <w:trHeight w:val="269"/>
        </w:trPr>
        <w:tc>
          <w:tcPr>
            <w:tcW w:w="2966" w:type="dxa"/>
          </w:tcPr>
          <w:p w14:paraId="3252D5B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Макс, скорость, км/ч</w:t>
            </w:r>
          </w:p>
        </w:tc>
        <w:tc>
          <w:tcPr>
            <w:tcW w:w="2035" w:type="dxa"/>
          </w:tcPr>
          <w:p w14:paraId="2EDC873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680" w:type="dxa"/>
          </w:tcPr>
          <w:p w14:paraId="5D3C57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843" w:type="dxa"/>
          </w:tcPr>
          <w:p w14:paraId="6EFE08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680" w:type="dxa"/>
          </w:tcPr>
          <w:p w14:paraId="229EF4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26ECAD03" w14:textId="77777777">
        <w:trPr>
          <w:trHeight w:val="230"/>
        </w:trPr>
        <w:tc>
          <w:tcPr>
            <w:tcW w:w="2966" w:type="dxa"/>
          </w:tcPr>
          <w:p w14:paraId="2B440C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у земли</w:t>
            </w:r>
          </w:p>
        </w:tc>
        <w:tc>
          <w:tcPr>
            <w:tcW w:w="2035" w:type="dxa"/>
          </w:tcPr>
          <w:p w14:paraId="6CA1574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306</w:t>
            </w:r>
          </w:p>
        </w:tc>
        <w:tc>
          <w:tcPr>
            <w:tcW w:w="1680" w:type="dxa"/>
          </w:tcPr>
          <w:p w14:paraId="049D4C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359</w:t>
            </w:r>
          </w:p>
        </w:tc>
        <w:tc>
          <w:tcPr>
            <w:tcW w:w="1843" w:type="dxa"/>
          </w:tcPr>
          <w:p w14:paraId="217991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362</w:t>
            </w:r>
          </w:p>
        </w:tc>
        <w:tc>
          <w:tcPr>
            <w:tcW w:w="1680" w:type="dxa"/>
          </w:tcPr>
          <w:p w14:paraId="4FD7DA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345</w:t>
            </w:r>
          </w:p>
        </w:tc>
      </w:tr>
      <w:tr w:rsidR="00E3599D" w:rsidRPr="00E14102" w14:paraId="5E9B154D" w14:textId="77777777">
        <w:trPr>
          <w:trHeight w:val="230"/>
        </w:trPr>
        <w:tc>
          <w:tcPr>
            <w:tcW w:w="2966" w:type="dxa"/>
          </w:tcPr>
          <w:p w14:paraId="60B60C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на 3000 м</w:t>
            </w:r>
          </w:p>
        </w:tc>
        <w:tc>
          <w:tcPr>
            <w:tcW w:w="2035" w:type="dxa"/>
          </w:tcPr>
          <w:p w14:paraId="42FFF97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296,5</w:t>
            </w:r>
          </w:p>
        </w:tc>
        <w:tc>
          <w:tcPr>
            <w:tcW w:w="1680" w:type="dxa"/>
          </w:tcPr>
          <w:p w14:paraId="71132A3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339,5</w:t>
            </w:r>
          </w:p>
        </w:tc>
        <w:tc>
          <w:tcPr>
            <w:tcW w:w="1843" w:type="dxa"/>
          </w:tcPr>
          <w:p w14:paraId="074873B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346,5</w:t>
            </w:r>
          </w:p>
        </w:tc>
        <w:tc>
          <w:tcPr>
            <w:tcW w:w="1680" w:type="dxa"/>
          </w:tcPr>
          <w:p w14:paraId="018B788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335</w:t>
            </w:r>
          </w:p>
        </w:tc>
      </w:tr>
      <w:tr w:rsidR="00E3599D" w:rsidRPr="00E14102" w14:paraId="275B1983" w14:textId="77777777">
        <w:trPr>
          <w:trHeight w:val="230"/>
        </w:trPr>
        <w:tc>
          <w:tcPr>
            <w:tcW w:w="2966" w:type="dxa"/>
          </w:tcPr>
          <w:p w14:paraId="7E8D116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на 5000 м</w:t>
            </w:r>
          </w:p>
        </w:tc>
        <w:tc>
          <w:tcPr>
            <w:tcW w:w="2035" w:type="dxa"/>
          </w:tcPr>
          <w:p w14:paraId="04E166F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283</w:t>
            </w:r>
          </w:p>
        </w:tc>
        <w:tc>
          <w:tcPr>
            <w:tcW w:w="1680" w:type="dxa"/>
          </w:tcPr>
          <w:p w14:paraId="56382E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325</w:t>
            </w:r>
          </w:p>
        </w:tc>
        <w:tc>
          <w:tcPr>
            <w:tcW w:w="1843" w:type="dxa"/>
          </w:tcPr>
          <w:p w14:paraId="444D9ED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330</w:t>
            </w:r>
          </w:p>
        </w:tc>
        <w:tc>
          <w:tcPr>
            <w:tcW w:w="1680" w:type="dxa"/>
          </w:tcPr>
          <w:p w14:paraId="70D49B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317,5</w:t>
            </w:r>
          </w:p>
        </w:tc>
      </w:tr>
      <w:tr w:rsidR="00E3599D" w:rsidRPr="00E14102" w14:paraId="3316F189" w14:textId="77777777">
        <w:trPr>
          <w:trHeight w:val="259"/>
        </w:trPr>
        <w:tc>
          <w:tcPr>
            <w:tcW w:w="2966" w:type="dxa"/>
          </w:tcPr>
          <w:p w14:paraId="6CEE6E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Время набора высоты 5000 м, мин.</w:t>
            </w:r>
          </w:p>
        </w:tc>
        <w:tc>
          <w:tcPr>
            <w:tcW w:w="2035" w:type="dxa"/>
          </w:tcPr>
          <w:p w14:paraId="121458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10,9</w:t>
            </w:r>
          </w:p>
        </w:tc>
        <w:tc>
          <w:tcPr>
            <w:tcW w:w="1680" w:type="dxa"/>
          </w:tcPr>
          <w:p w14:paraId="318432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9,4</w:t>
            </w:r>
          </w:p>
        </w:tc>
        <w:tc>
          <w:tcPr>
            <w:tcW w:w="1843" w:type="dxa"/>
          </w:tcPr>
          <w:p w14:paraId="379E21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9,2</w:t>
            </w:r>
          </w:p>
        </w:tc>
        <w:tc>
          <w:tcPr>
            <w:tcW w:w="1680" w:type="dxa"/>
          </w:tcPr>
          <w:p w14:paraId="48850B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1AA602CC" w14:textId="77777777">
        <w:trPr>
          <w:trHeight w:val="307"/>
        </w:trPr>
        <w:tc>
          <w:tcPr>
            <w:tcW w:w="2966" w:type="dxa"/>
            <w:tcBorders>
              <w:bottom w:val="single" w:sz="12" w:space="0" w:color="auto"/>
            </w:tcBorders>
          </w:tcPr>
          <w:p w14:paraId="123CEBE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Потолок, м</w:t>
            </w:r>
          </w:p>
        </w:tc>
        <w:tc>
          <w:tcPr>
            <w:tcW w:w="2035" w:type="dxa"/>
            <w:tcBorders>
              <w:bottom w:val="single" w:sz="12" w:space="0" w:color="auto"/>
            </w:tcBorders>
          </w:tcPr>
          <w:p w14:paraId="46332D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6350</w:t>
            </w:r>
          </w:p>
        </w:tc>
        <w:tc>
          <w:tcPr>
            <w:tcW w:w="1680" w:type="dxa"/>
            <w:tcBorders>
              <w:bottom w:val="single" w:sz="12" w:space="0" w:color="auto"/>
            </w:tcBorders>
          </w:tcPr>
          <w:p w14:paraId="34522D4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7180</w:t>
            </w:r>
          </w:p>
        </w:tc>
        <w:tc>
          <w:tcPr>
            <w:tcW w:w="1843" w:type="dxa"/>
            <w:tcBorders>
              <w:bottom w:val="single" w:sz="12" w:space="0" w:color="auto"/>
            </w:tcBorders>
          </w:tcPr>
          <w:p w14:paraId="4FA07D5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7440</w:t>
            </w:r>
          </w:p>
        </w:tc>
        <w:tc>
          <w:tcPr>
            <w:tcW w:w="1680" w:type="dxa"/>
            <w:tcBorders>
              <w:bottom w:val="single" w:sz="12" w:space="0" w:color="auto"/>
            </w:tcBorders>
          </w:tcPr>
          <w:p w14:paraId="5AF596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7110</w:t>
            </w:r>
          </w:p>
        </w:tc>
      </w:tr>
    </w:tbl>
    <w:p w14:paraId="6DC60F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(10667).</w:t>
      </w:r>
    </w:p>
    <w:p w14:paraId="625D92F8" w14:textId="77777777" w:rsidR="00D4105E" w:rsidRPr="00E14102" w:rsidRDefault="00D4105E" w:rsidP="00E14102">
      <w:pPr>
        <w:autoSpaceDE w:val="0"/>
        <w:autoSpaceDN w:val="0"/>
        <w:adjustRightInd w:val="0"/>
        <w:jc w:val="both"/>
        <w:rPr>
          <w:color w:val="000000" w:themeColor="text1"/>
          <w:sz w:val="16"/>
          <w:szCs w:val="16"/>
        </w:rPr>
      </w:pPr>
    </w:p>
    <w:p w14:paraId="3ADC23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21 октября по 5 ноября 1936 года проходили гос. испытания самолета АИР-14 с мотором М-11 (6731).</w:t>
      </w:r>
    </w:p>
    <w:p w14:paraId="2A56B5B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5B86B8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 и летчик в/инженер 3 ранга Липкин М.А.</w:t>
      </w:r>
    </w:p>
    <w:p w14:paraId="5A64B4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646C7F9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возможности применения самолета АИР-14 в качестве тренировочного самолета для истребительных частей ВВС.</w:t>
      </w:r>
    </w:p>
    <w:p w14:paraId="3166AFF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летных данных и эксплуатационных качеств самолета.</w:t>
      </w:r>
    </w:p>
    <w:p w14:paraId="4B78C1B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Летные данные самолета при полетном весе 590 кг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E3599D" w:rsidRPr="00E14102" w14:paraId="3E114545" w14:textId="77777777">
        <w:tc>
          <w:tcPr>
            <w:tcW w:w="4428" w:type="dxa"/>
            <w:tcBorders>
              <w:top w:val="single" w:sz="12" w:space="0" w:color="auto"/>
            </w:tcBorders>
          </w:tcPr>
          <w:p w14:paraId="72AB508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у земли</w:t>
            </w:r>
          </w:p>
        </w:tc>
        <w:tc>
          <w:tcPr>
            <w:tcW w:w="4428" w:type="dxa"/>
            <w:tcBorders>
              <w:top w:val="single" w:sz="12" w:space="0" w:color="auto"/>
            </w:tcBorders>
          </w:tcPr>
          <w:p w14:paraId="313E4CB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252 км/час</w:t>
            </w:r>
          </w:p>
        </w:tc>
      </w:tr>
      <w:tr w:rsidR="00E3599D" w:rsidRPr="00E14102" w14:paraId="661C0E34" w14:textId="77777777">
        <w:tc>
          <w:tcPr>
            <w:tcW w:w="4428" w:type="dxa"/>
          </w:tcPr>
          <w:p w14:paraId="379B448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4428" w:type="dxa"/>
          </w:tcPr>
          <w:p w14:paraId="5AA0CE6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80 км/час</w:t>
            </w:r>
          </w:p>
        </w:tc>
      </w:tr>
      <w:tr w:rsidR="00E3599D" w:rsidRPr="00E14102" w14:paraId="76297E82" w14:textId="77777777">
        <w:tc>
          <w:tcPr>
            <w:tcW w:w="4428" w:type="dxa"/>
          </w:tcPr>
          <w:p w14:paraId="5D59BC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Потолок</w:t>
            </w:r>
          </w:p>
        </w:tc>
        <w:tc>
          <w:tcPr>
            <w:tcW w:w="4428" w:type="dxa"/>
          </w:tcPr>
          <w:p w14:paraId="5696E70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6180 м</w:t>
            </w:r>
          </w:p>
        </w:tc>
      </w:tr>
      <w:tr w:rsidR="00E3599D" w:rsidRPr="00E14102" w14:paraId="3CA66241" w14:textId="77777777">
        <w:tc>
          <w:tcPr>
            <w:tcW w:w="4428" w:type="dxa"/>
          </w:tcPr>
          <w:p w14:paraId="30E73D4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Время набора потолка</w:t>
            </w:r>
          </w:p>
        </w:tc>
        <w:tc>
          <w:tcPr>
            <w:tcW w:w="4428" w:type="dxa"/>
          </w:tcPr>
          <w:p w14:paraId="3227D1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42,2 мин.</w:t>
            </w:r>
          </w:p>
        </w:tc>
      </w:tr>
      <w:tr w:rsidR="00E3599D" w:rsidRPr="00E14102" w14:paraId="504BEFFC" w14:textId="77777777">
        <w:tc>
          <w:tcPr>
            <w:tcW w:w="4428" w:type="dxa"/>
          </w:tcPr>
          <w:p w14:paraId="561437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Время набора 3000 м</w:t>
            </w:r>
          </w:p>
        </w:tc>
        <w:tc>
          <w:tcPr>
            <w:tcW w:w="4428" w:type="dxa"/>
          </w:tcPr>
          <w:p w14:paraId="60A5B63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9,5 мин.</w:t>
            </w:r>
          </w:p>
        </w:tc>
      </w:tr>
      <w:tr w:rsidR="00E3599D" w:rsidRPr="00E14102" w14:paraId="23F85BBA" w14:textId="77777777">
        <w:tc>
          <w:tcPr>
            <w:tcW w:w="4428" w:type="dxa"/>
          </w:tcPr>
          <w:p w14:paraId="0C42837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Скороподъемность у земли</w:t>
            </w:r>
          </w:p>
        </w:tc>
        <w:tc>
          <w:tcPr>
            <w:tcW w:w="4428" w:type="dxa"/>
          </w:tcPr>
          <w:p w14:paraId="6EBB56A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7,07 м/сек</w:t>
            </w:r>
          </w:p>
        </w:tc>
      </w:tr>
      <w:tr w:rsidR="00E3599D" w:rsidRPr="00E14102" w14:paraId="258D59CD" w14:textId="77777777">
        <w:tc>
          <w:tcPr>
            <w:tcW w:w="4428" w:type="dxa"/>
          </w:tcPr>
          <w:p w14:paraId="09E3A93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Разбег</w:t>
            </w:r>
          </w:p>
        </w:tc>
        <w:tc>
          <w:tcPr>
            <w:tcW w:w="4428" w:type="dxa"/>
          </w:tcPr>
          <w:p w14:paraId="7DE06B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120 м (7-8 сек)</w:t>
            </w:r>
          </w:p>
        </w:tc>
      </w:tr>
      <w:tr w:rsidR="00E3599D" w:rsidRPr="00E14102" w14:paraId="74E14B05" w14:textId="77777777">
        <w:tc>
          <w:tcPr>
            <w:tcW w:w="4428" w:type="dxa"/>
          </w:tcPr>
          <w:p w14:paraId="3ABAD96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Пробег</w:t>
            </w:r>
          </w:p>
        </w:tc>
        <w:tc>
          <w:tcPr>
            <w:tcW w:w="4428" w:type="dxa"/>
          </w:tcPr>
          <w:p w14:paraId="2D3211C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160 м (13 сек)</w:t>
            </w:r>
          </w:p>
        </w:tc>
      </w:tr>
      <w:tr w:rsidR="00E3599D" w:rsidRPr="00E14102" w14:paraId="6C5BFD36" w14:textId="77777777">
        <w:tc>
          <w:tcPr>
            <w:tcW w:w="4428" w:type="dxa"/>
            <w:tcBorders>
              <w:bottom w:val="single" w:sz="12" w:space="0" w:color="auto"/>
            </w:tcBorders>
          </w:tcPr>
          <w:p w14:paraId="0207FA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Техническая дальность самолета на крейсерской скорости 190 км/час (у земли)</w:t>
            </w:r>
          </w:p>
        </w:tc>
        <w:tc>
          <w:tcPr>
            <w:tcW w:w="4428" w:type="dxa"/>
            <w:tcBorders>
              <w:bottom w:val="single" w:sz="12" w:space="0" w:color="auto"/>
            </w:tcBorders>
          </w:tcPr>
          <w:p w14:paraId="071FDC8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670 км</w:t>
            </w:r>
          </w:p>
        </w:tc>
      </w:tr>
    </w:tbl>
    <w:p w14:paraId="200DED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имеет хорошую маневренность: минимальное время виража 9 сек.</w:t>
      </w:r>
    </w:p>
    <w:p w14:paraId="514DF01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хорошо штопорит, выходит из штопора при нейтральных рулях, без запаздывания после любого количества витков.</w:t>
      </w:r>
    </w:p>
    <w:p w14:paraId="3601511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статически устойчив в продольном и поперечном отношении.</w:t>
      </w:r>
    </w:p>
    <w:p w14:paraId="6B8FCC6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 время испытаний сделано 233 посадки, общий налет – 33 час. 55 мин.</w:t>
      </w:r>
    </w:p>
    <w:p w14:paraId="06A21D8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находился на испытании 17 дней, из них летных дней – 15.</w:t>
      </w:r>
    </w:p>
    <w:p w14:paraId="1452C8C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6EDA89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Самолет АИР-14 с мотором М-11 может быть рекомендован для серийного производства как хороший самолет в качестве:</w:t>
      </w:r>
    </w:p>
    <w:p w14:paraId="2668FC4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 тренировочного самолета для истребительных частей ВВС;</w:t>
      </w:r>
    </w:p>
    <w:p w14:paraId="24A2E0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 тренировочного самолета для летных школ и аэроклубов (6731).</w:t>
      </w:r>
    </w:p>
    <w:p w14:paraId="178584C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843CD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октября 1935 летчики Каверин, Уроничев и Долгов закончили испытания Р-1 с турбонаддувом, которые шли с 23 июля 1935. Всего совершили 17 полетов с различными летнабами. Опыт знакомства с американским устройством позже использовали при разработке первых отечественных турбонагнетателей. В 1935 г. в НИИ ВВС на одну машину установили купленный в США турбокомпрессор «Дженерал электрик». Нагнетатель предназначался для «Либерти» и подогнать его к М-5 не составило особой проблемы. В этой работе участвовали сотрудники НИИ ВВС и ЦИАМ, руководил ей военный инженер Павлючук. Турбонагнетатель прикрепили к подмоторной раме. Обшивку фюзеляжа у выхлопных патрубков прикрыли стальным листом с асбестовой прокладкой. Пришлось также внести изменения в капотирование. Вес мотоустановки увеличился на 60 кг. Пилотировал машину летчик Каверин, а в кабине летнаба сидел Павлючук. После посадки пилот выключил зажигание, но двигатель не остановился. Попробовали включить зажигание вновь — начался пожар в нагнетателе; но когда Каверин прибавил обороты, огонь потух. В дальнейших полетах таких неприятностей уже не встретили. Выявили только чрезмерный выброс масла из пошипников турбокомпрессора (11923).</w:t>
      </w:r>
    </w:p>
    <w:p w14:paraId="5C285C0A" w14:textId="77777777" w:rsidR="00D4105E" w:rsidRPr="00E14102" w:rsidRDefault="00D4105E" w:rsidP="00E14102">
      <w:pPr>
        <w:autoSpaceDE w:val="0"/>
        <w:autoSpaceDN w:val="0"/>
        <w:adjustRightInd w:val="0"/>
        <w:jc w:val="both"/>
        <w:rPr>
          <w:color w:val="000000" w:themeColor="text1"/>
          <w:sz w:val="16"/>
          <w:szCs w:val="16"/>
        </w:rPr>
      </w:pPr>
    </w:p>
    <w:p w14:paraId="135FCDB8" w14:textId="77777777" w:rsidR="0094028D"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D63B667" w14:textId="77777777" w:rsidR="0094028D" w:rsidRPr="00E14102" w:rsidRDefault="0094028D" w:rsidP="00E14102">
      <w:pPr>
        <w:autoSpaceDE w:val="0"/>
        <w:autoSpaceDN w:val="0"/>
        <w:adjustRightInd w:val="0"/>
        <w:jc w:val="both"/>
        <w:rPr>
          <w:iCs/>
          <w:color w:val="000000" w:themeColor="text1"/>
          <w:sz w:val="16"/>
          <w:szCs w:val="16"/>
        </w:rPr>
      </w:pPr>
    </w:p>
    <w:p w14:paraId="55596DDA" w14:textId="77777777" w:rsidR="0094028D" w:rsidRPr="00E14102" w:rsidRDefault="0094028D" w:rsidP="00E14102">
      <w:pPr>
        <w:pStyle w:val="rtejustify"/>
        <w:spacing w:before="0" w:after="0"/>
        <w:rPr>
          <w:color w:val="000000" w:themeColor="text1"/>
          <w:sz w:val="16"/>
          <w:szCs w:val="16"/>
        </w:rPr>
      </w:pPr>
      <w:r w:rsidRPr="00E14102">
        <w:rPr>
          <w:rStyle w:val="a6"/>
          <w:bCs/>
          <w:i w:val="0"/>
          <w:color w:val="000000" w:themeColor="text1"/>
          <w:sz w:val="16"/>
          <w:szCs w:val="16"/>
        </w:rPr>
        <w:t>21 октября 1935 вышел приказ НКТП № 182сс.</w:t>
      </w:r>
      <w:r w:rsidRPr="00E14102">
        <w:rPr>
          <w:color w:val="000000" w:themeColor="text1"/>
          <w:sz w:val="16"/>
          <w:szCs w:val="16"/>
        </w:rPr>
        <w:t xml:space="preserve"> О мерах по обеспечению сдачи в 1936 г. заводами № 92 и Кировским 1000 систем 76</w:t>
      </w:r>
      <w:r w:rsidRPr="00E14102">
        <w:rPr>
          <w:color w:val="000000" w:themeColor="text1"/>
          <w:sz w:val="16"/>
          <w:szCs w:val="16"/>
        </w:rPr>
        <w:noBreakHyphen/>
        <w:t>мм дивизионных пушек образца 1935 г. (Ф</w:t>
      </w:r>
      <w:r w:rsidRPr="00E14102">
        <w:rPr>
          <w:color w:val="000000" w:themeColor="text1"/>
          <w:sz w:val="16"/>
          <w:szCs w:val="16"/>
        </w:rPr>
        <w:noBreakHyphen/>
        <w:t>22). (РГАЭ. Ф. 7297. Оп. 38. Д. 171. Л. 295</w:t>
      </w:r>
      <w:r w:rsidRPr="00E14102">
        <w:rPr>
          <w:color w:val="000000" w:themeColor="text1"/>
          <w:sz w:val="16"/>
          <w:szCs w:val="16"/>
        </w:rPr>
        <w:noBreakHyphen/>
        <w:t>280) (15246).</w:t>
      </w:r>
    </w:p>
    <w:p w14:paraId="62D81544" w14:textId="77777777" w:rsidR="0094028D" w:rsidRPr="00E14102" w:rsidRDefault="0094028D" w:rsidP="00E14102">
      <w:pPr>
        <w:pStyle w:val="rtejustify"/>
        <w:spacing w:before="0" w:after="0"/>
        <w:rPr>
          <w:color w:val="000000" w:themeColor="text1"/>
          <w:sz w:val="16"/>
          <w:szCs w:val="16"/>
        </w:rPr>
      </w:pPr>
    </w:p>
    <w:p w14:paraId="16B4C013" w14:textId="77777777" w:rsidR="0094028D"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F3961BC" w14:textId="77777777" w:rsidR="0094028D" w:rsidRPr="00E14102" w:rsidRDefault="0094028D" w:rsidP="00E14102">
      <w:pPr>
        <w:autoSpaceDE w:val="0"/>
        <w:autoSpaceDN w:val="0"/>
        <w:adjustRightInd w:val="0"/>
        <w:jc w:val="both"/>
        <w:rPr>
          <w:iCs/>
          <w:color w:val="000000" w:themeColor="text1"/>
          <w:sz w:val="16"/>
          <w:szCs w:val="16"/>
        </w:rPr>
      </w:pPr>
    </w:p>
    <w:p w14:paraId="4767320D" w14:textId="77777777" w:rsidR="0094028D" w:rsidRPr="00E14102" w:rsidRDefault="0094028D"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21 октября </w:t>
      </w:r>
      <w:r w:rsidRPr="00E14102">
        <w:rPr>
          <w:color w:val="000000" w:themeColor="text1"/>
          <w:sz w:val="16"/>
          <w:szCs w:val="16"/>
        </w:rPr>
        <w:t>в 1935 году Германия официально вышла из состава Лиги Наций (14806).</w:t>
      </w:r>
    </w:p>
    <w:p w14:paraId="5CF804DF" w14:textId="77777777" w:rsidR="0094028D" w:rsidRPr="00E14102" w:rsidRDefault="0094028D" w:rsidP="00E14102">
      <w:pPr>
        <w:jc w:val="both"/>
        <w:rPr>
          <w:color w:val="000000" w:themeColor="text1"/>
          <w:sz w:val="16"/>
          <w:szCs w:val="16"/>
        </w:rPr>
      </w:pPr>
    </w:p>
    <w:p w14:paraId="31DFCB4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186750D" w14:textId="77777777" w:rsidR="00D4105E" w:rsidRPr="00E14102" w:rsidRDefault="00D4105E" w:rsidP="00E14102">
      <w:pPr>
        <w:autoSpaceDE w:val="0"/>
        <w:autoSpaceDN w:val="0"/>
        <w:adjustRightInd w:val="0"/>
        <w:jc w:val="both"/>
        <w:rPr>
          <w:iCs/>
          <w:color w:val="000000" w:themeColor="text1"/>
          <w:sz w:val="16"/>
          <w:szCs w:val="16"/>
        </w:rPr>
      </w:pPr>
    </w:p>
    <w:p w14:paraId="4E4563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октября 1935 года начальник 4 отдела УВС Базенков писал письмо N 41/002761 Базилевичу.</w:t>
      </w:r>
    </w:p>
    <w:p w14:paraId="56F939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Согласно постановлению СТО от 4 августа 1935 года N С-96сс, ДИ-6 в штурмовом варианте должен был быть выпущен с завода в полуторамесячный срок, т.е. к 19 сентября 1935 года.</w:t>
      </w:r>
    </w:p>
    <w:p w14:paraId="322BC3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вышел на аэродром только на днях (совершил один полет).</w:t>
      </w:r>
    </w:p>
    <w:p w14:paraId="53F0E3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Согласно постановления СТО от 19 июля 1935 года скоростной разведчик завода N 39 должен был быть выпущен в сентябре. Этим постановлением срок выпуска скоростного разведчика уже несколько сдвигался, т.к. согласно плана опытного строительства, утвержденного СТО, он должен был быть предъявлен на доиспытания 1 сентября 1935 года.</w:t>
      </w:r>
    </w:p>
    <w:p w14:paraId="5B5C2B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самолет достраивается и выйдет на заводские испытания не ранее ноября.</w:t>
      </w:r>
    </w:p>
    <w:p w14:paraId="7A069F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Согласно плану опытного строительства, утвержденному СТО 16 апреля 1935 года на гос. испытания заводом N 39 должен был быть предъявлен 1 сентября истребитель И17-М100.</w:t>
      </w:r>
    </w:p>
    <w:p w14:paraId="6B2B0A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проходит в настоящее время заводские испытания.</w:t>
      </w:r>
    </w:p>
    <w:p w14:paraId="6D4644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Согласно постановлению СТО от 4 августа 1935 года N С-94сс к 20 сентября 1935 года на самолете СБ-2М100 должны были быть устранены дефекты, указанные в постановлении самолет проверен в воздухе.</w:t>
      </w:r>
    </w:p>
    <w:p w14:paraId="3BB9FE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благодаря задержке с устранением дефектов, идут летные испытания, которые должны в ближайшее время окончиться (3501,14).</w:t>
      </w:r>
    </w:p>
    <w:p w14:paraId="6965566E" w14:textId="77777777" w:rsidR="00D4105E" w:rsidRPr="00E14102" w:rsidRDefault="00D4105E" w:rsidP="00E14102">
      <w:pPr>
        <w:autoSpaceDE w:val="0"/>
        <w:autoSpaceDN w:val="0"/>
        <w:adjustRightInd w:val="0"/>
        <w:jc w:val="both"/>
        <w:rPr>
          <w:color w:val="000000" w:themeColor="text1"/>
          <w:sz w:val="16"/>
          <w:szCs w:val="16"/>
        </w:rPr>
      </w:pPr>
    </w:p>
    <w:p w14:paraId="6FB1A3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октября 1935 г. закончились испытания электробомбардировочной установки на самолете Р-5 в г. Оренбурге, которые проходили с 1 августа 1935</w:t>
      </w:r>
    </w:p>
    <w:p w14:paraId="0CD2F6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144291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Проверить работу электробомбардировочной установки на самолетах Р-5 в условиях, приближенным к войсковым испытаниям.</w:t>
      </w:r>
    </w:p>
    <w:p w14:paraId="58CC00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53A03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испытания на самолетах Р-5 электрифицированных бомбодержателей "Дер-7" и "Дер-6", на последних приходилось производить доделки. На основании этого работа их в таком виде, как они есть - является неудовлетворительной (3119).</w:t>
      </w:r>
    </w:p>
    <w:p w14:paraId="3D9EBFA0" w14:textId="77777777" w:rsidR="00D4105E" w:rsidRPr="00E14102" w:rsidRDefault="00D4105E" w:rsidP="00E14102">
      <w:pPr>
        <w:autoSpaceDE w:val="0"/>
        <w:autoSpaceDN w:val="0"/>
        <w:adjustRightInd w:val="0"/>
        <w:jc w:val="both"/>
        <w:rPr>
          <w:color w:val="000000" w:themeColor="text1"/>
          <w:sz w:val="16"/>
          <w:szCs w:val="16"/>
        </w:rPr>
      </w:pPr>
    </w:p>
    <w:p w14:paraId="0E2A3E9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22 октября 1935 года Начальник управления ВС Алкснис утвердил Отчет по гос. испытаниям автожира С-30 с мотором Джненет-Мажор 140 л.с. (6689).</w:t>
      </w:r>
    </w:p>
    <w:p w14:paraId="05B0A63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начато 25 сентября 1935 года</w:t>
      </w:r>
    </w:p>
    <w:p w14:paraId="64E540A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окончено 4 октября 1935 года</w:t>
      </w:r>
    </w:p>
    <w:p w14:paraId="49EE3B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535E5E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НИЭ НИИ ВС Ивановский А.А.</w:t>
      </w:r>
    </w:p>
    <w:p w14:paraId="666EE42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 время испытаний автожир совершил 38 полетов продолжительностью 14 час. 10 мин.</w:t>
      </w:r>
    </w:p>
    <w:p w14:paraId="4732A61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Ремонта автожира и мотора за время гос. испытаний не было.</w:t>
      </w:r>
    </w:p>
    <w:p w14:paraId="7D1BCED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2EDA4D2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летных данных автожира С-30.</w:t>
      </w:r>
    </w:p>
    <w:p w14:paraId="07CE4BD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Выявление возможности военного применения автожира.</w:t>
      </w:r>
    </w:p>
    <w:p w14:paraId="1040A1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1A85FA4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 своим летным данным и конструктивным особенностям автожир С-30 представляет несомненный интерес. Проектирующим организациям следует использовать эти качества С-30 при постройке автожиров, намеченных планом опытного строительства (6689).</w:t>
      </w:r>
    </w:p>
    <w:p w14:paraId="20E0412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62F4AB5" w14:textId="77777777" w:rsidR="0094028D" w:rsidRPr="00E14102" w:rsidRDefault="0094028D" w:rsidP="00E14102">
      <w:pPr>
        <w:pStyle w:val="rtejustify"/>
        <w:spacing w:before="0" w:after="0"/>
        <w:rPr>
          <w:color w:val="000000" w:themeColor="text1"/>
          <w:sz w:val="16"/>
          <w:szCs w:val="16"/>
        </w:rPr>
      </w:pPr>
      <w:r w:rsidRPr="00E14102">
        <w:rPr>
          <w:rStyle w:val="a6"/>
          <w:bCs/>
          <w:i w:val="0"/>
          <w:color w:val="000000" w:themeColor="text1"/>
          <w:sz w:val="16"/>
          <w:szCs w:val="16"/>
        </w:rPr>
        <w:t>22 октября 1935 вышел приказ НКО №</w:t>
      </w:r>
      <w:r w:rsidRPr="00E14102">
        <w:rPr>
          <w:color w:val="000000" w:themeColor="text1"/>
          <w:sz w:val="16"/>
          <w:szCs w:val="16"/>
        </w:rPr>
        <w:t> 0215. О назначении комиссии для производства государственных испытаний универсального моста для подвески и транспортировки по воздуху на самолете ТБ</w:t>
      </w:r>
      <w:r w:rsidRPr="00E14102">
        <w:rPr>
          <w:color w:val="000000" w:themeColor="text1"/>
          <w:sz w:val="16"/>
          <w:szCs w:val="16"/>
        </w:rPr>
        <w:noBreakHyphen/>
        <w:t>3 двух автомобилей «Пикап», двух бронемашин Д</w:t>
      </w:r>
      <w:r w:rsidRPr="00E14102">
        <w:rPr>
          <w:color w:val="000000" w:themeColor="text1"/>
          <w:sz w:val="16"/>
          <w:szCs w:val="16"/>
        </w:rPr>
        <w:noBreakHyphen/>
        <w:t>8, четырех пушек калибра 76 мм и пр (15247).</w:t>
      </w:r>
    </w:p>
    <w:p w14:paraId="6F51D2AD" w14:textId="77777777" w:rsidR="0094028D" w:rsidRPr="00E14102" w:rsidRDefault="0094028D" w:rsidP="00E14102">
      <w:pPr>
        <w:pStyle w:val="rtejustify"/>
        <w:spacing w:before="0" w:after="0"/>
        <w:rPr>
          <w:color w:val="000000" w:themeColor="text1"/>
          <w:sz w:val="16"/>
          <w:szCs w:val="16"/>
        </w:rPr>
      </w:pPr>
    </w:p>
    <w:p w14:paraId="310C174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7E5F64E" w14:textId="77777777" w:rsidR="00D4105E" w:rsidRPr="00E14102" w:rsidRDefault="00D4105E" w:rsidP="00E14102">
      <w:pPr>
        <w:autoSpaceDE w:val="0"/>
        <w:autoSpaceDN w:val="0"/>
        <w:adjustRightInd w:val="0"/>
        <w:jc w:val="both"/>
        <w:rPr>
          <w:iCs/>
          <w:color w:val="000000" w:themeColor="text1"/>
          <w:sz w:val="16"/>
          <w:szCs w:val="16"/>
        </w:rPr>
      </w:pPr>
    </w:p>
    <w:p w14:paraId="0C26DD50" w14:textId="77777777" w:rsidR="0094028D" w:rsidRPr="00E14102" w:rsidRDefault="0094028D" w:rsidP="00E14102">
      <w:pPr>
        <w:pStyle w:val="rtejustify"/>
        <w:spacing w:before="0" w:after="0"/>
        <w:rPr>
          <w:color w:val="000000" w:themeColor="text1"/>
          <w:sz w:val="16"/>
          <w:szCs w:val="16"/>
        </w:rPr>
      </w:pPr>
      <w:r w:rsidRPr="00E14102">
        <w:rPr>
          <w:rStyle w:val="a6"/>
          <w:bCs/>
          <w:i w:val="0"/>
          <w:color w:val="000000" w:themeColor="text1"/>
          <w:sz w:val="16"/>
          <w:szCs w:val="16"/>
        </w:rPr>
        <w:t>22 октября 1935 вышел приказ НКО №</w:t>
      </w:r>
      <w:r w:rsidRPr="00E14102">
        <w:rPr>
          <w:color w:val="000000" w:themeColor="text1"/>
          <w:sz w:val="16"/>
          <w:szCs w:val="16"/>
        </w:rPr>
        <w:t> 0211. Объявление штата и положения о Центральной лаборатории военного приборостроения и мастерских при ней (15247).</w:t>
      </w:r>
    </w:p>
    <w:p w14:paraId="4A050AC5" w14:textId="77777777" w:rsidR="0094028D" w:rsidRPr="00E14102" w:rsidRDefault="0094028D" w:rsidP="00E14102">
      <w:pPr>
        <w:pStyle w:val="rtejustify"/>
        <w:spacing w:before="0" w:after="0"/>
        <w:rPr>
          <w:color w:val="000000" w:themeColor="text1"/>
          <w:sz w:val="16"/>
          <w:szCs w:val="16"/>
        </w:rPr>
      </w:pPr>
    </w:p>
    <w:p w14:paraId="3E7B17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октября 1935 на балтийском заводе заложили первый отечественный крейсер проекта 26 - Киров (3398,367).</w:t>
      </w:r>
    </w:p>
    <w:p w14:paraId="13307F15" w14:textId="77777777" w:rsidR="00D4105E" w:rsidRPr="00E14102" w:rsidRDefault="00D4105E" w:rsidP="00E14102">
      <w:pPr>
        <w:autoSpaceDE w:val="0"/>
        <w:autoSpaceDN w:val="0"/>
        <w:adjustRightInd w:val="0"/>
        <w:jc w:val="both"/>
        <w:rPr>
          <w:color w:val="000000" w:themeColor="text1"/>
          <w:sz w:val="16"/>
          <w:szCs w:val="16"/>
        </w:rPr>
      </w:pPr>
    </w:p>
    <w:p w14:paraId="4687F9E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98C0D3B" w14:textId="77777777" w:rsidR="00D4105E" w:rsidRPr="00E14102" w:rsidRDefault="00D4105E" w:rsidP="00E14102">
      <w:pPr>
        <w:autoSpaceDE w:val="0"/>
        <w:autoSpaceDN w:val="0"/>
        <w:adjustRightInd w:val="0"/>
        <w:jc w:val="both"/>
        <w:rPr>
          <w:iCs/>
          <w:color w:val="000000" w:themeColor="text1"/>
          <w:sz w:val="16"/>
          <w:szCs w:val="16"/>
        </w:rPr>
      </w:pPr>
    </w:p>
    <w:p w14:paraId="3CE46E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октября 1935 состоялся визит на канал Москва - Волга секретаря ЦК ВКП(б) Андреева, секретаря ЦК ВЛКСМ Косарева, заместителя наркома обороны Гамарника, Шкирятова и Поскребышева (7560).</w:t>
      </w:r>
    </w:p>
    <w:p w14:paraId="22662A40" w14:textId="73903DE9" w:rsidR="00D4105E" w:rsidRPr="00E14102" w:rsidRDefault="00D4105E" w:rsidP="00E14102">
      <w:pPr>
        <w:autoSpaceDE w:val="0"/>
        <w:autoSpaceDN w:val="0"/>
        <w:adjustRightInd w:val="0"/>
        <w:jc w:val="both"/>
        <w:rPr>
          <w:color w:val="000000" w:themeColor="text1"/>
          <w:sz w:val="16"/>
          <w:szCs w:val="16"/>
        </w:rPr>
      </w:pPr>
    </w:p>
    <w:p w14:paraId="7FA413FF" w14:textId="44C7252B" w:rsidR="00A826D9" w:rsidRPr="00E14102" w:rsidRDefault="00A826D9" w:rsidP="00E14102">
      <w:pPr>
        <w:autoSpaceDE w:val="0"/>
        <w:autoSpaceDN w:val="0"/>
        <w:adjustRightInd w:val="0"/>
        <w:jc w:val="both"/>
        <w:rPr>
          <w:i/>
          <w:iCs/>
          <w:color w:val="000000" w:themeColor="text1"/>
          <w:sz w:val="16"/>
          <w:szCs w:val="16"/>
        </w:rPr>
      </w:pPr>
      <w:r w:rsidRPr="00E14102">
        <w:rPr>
          <w:i/>
          <w:iCs/>
          <w:color w:val="000000" w:themeColor="text1"/>
          <w:sz w:val="16"/>
          <w:szCs w:val="16"/>
        </w:rPr>
        <w:t>За рубежом:</w:t>
      </w:r>
    </w:p>
    <w:p w14:paraId="1AD6F330" w14:textId="77777777" w:rsidR="00A826D9" w:rsidRPr="00E14102" w:rsidRDefault="00A826D9" w:rsidP="00E14102">
      <w:pPr>
        <w:autoSpaceDE w:val="0"/>
        <w:autoSpaceDN w:val="0"/>
        <w:adjustRightInd w:val="0"/>
        <w:jc w:val="both"/>
        <w:rPr>
          <w:i/>
          <w:iCs/>
          <w:color w:val="000000" w:themeColor="text1"/>
          <w:sz w:val="16"/>
          <w:szCs w:val="16"/>
        </w:rPr>
      </w:pPr>
    </w:p>
    <w:p w14:paraId="14A077D8" w14:textId="77777777" w:rsidR="00A826D9" w:rsidRPr="00E14102" w:rsidRDefault="00A826D9" w:rsidP="00E14102">
      <w:pPr>
        <w:jc w:val="both"/>
        <w:rPr>
          <w:color w:val="0070C0"/>
          <w:sz w:val="16"/>
          <w:szCs w:val="16"/>
        </w:rPr>
      </w:pPr>
      <w:r w:rsidRPr="00E14102">
        <w:rPr>
          <w:color w:val="0070C0"/>
          <w:sz w:val="16"/>
          <w:szCs w:val="16"/>
        </w:rPr>
        <w:t>22 октября 1935 года — первый полёт транспортного гидросамолёта Short S.22 Scion Senior. /Англия/</w:t>
      </w:r>
    </w:p>
    <w:p w14:paraId="6B2257CF" w14:textId="77777777" w:rsidR="00A826D9" w:rsidRPr="00E14102" w:rsidRDefault="00A826D9" w:rsidP="00E14102">
      <w:pPr>
        <w:jc w:val="both"/>
        <w:rPr>
          <w:color w:val="0070C0"/>
          <w:sz w:val="16"/>
          <w:szCs w:val="16"/>
        </w:rPr>
      </w:pPr>
      <w:r w:rsidRPr="00E14102">
        <w:rPr>
          <w:color w:val="0070C0"/>
          <w:sz w:val="16"/>
          <w:szCs w:val="16"/>
        </w:rPr>
        <w:t>Получив первые заказы на лёгкий транспортный самолёт S.16 Scion, компания Short Brothers приступила к работе над его увеличенной версией. Главной задачей было увеличение числа пассажирских мест с сохранением дальности полёта. Новый самолёт получил обозначение S.22 Scion Senior.</w:t>
      </w:r>
    </w:p>
    <w:p w14:paraId="1F8F7ED6" w14:textId="77777777" w:rsidR="00A826D9" w:rsidRPr="00E14102" w:rsidRDefault="00A826D9" w:rsidP="00E14102">
      <w:pPr>
        <w:jc w:val="both"/>
        <w:rPr>
          <w:color w:val="0070C0"/>
          <w:sz w:val="16"/>
          <w:szCs w:val="16"/>
        </w:rPr>
      </w:pPr>
      <w:r w:rsidRPr="00E14102">
        <w:rPr>
          <w:color w:val="0070C0"/>
          <w:sz w:val="16"/>
          <w:szCs w:val="16"/>
        </w:rPr>
        <w:t>Он представлял собой высокоплан с поплавковым шасси. Оснащался 4 × двигателями Pobjoy Niagara III (90 л.с.). Крейсерская скорость — 185 км/ч, дальность полёта — 640 км. Брал на борт 10 пассажиров (на 4 человека больше, чем у S.16 Scion).</w:t>
      </w:r>
    </w:p>
    <w:p w14:paraId="5F019B1A" w14:textId="77777777" w:rsidR="00A826D9" w:rsidRPr="00E14102" w:rsidRDefault="00A826D9" w:rsidP="00E14102">
      <w:pPr>
        <w:jc w:val="both"/>
        <w:rPr>
          <w:color w:val="0070C0"/>
          <w:sz w:val="16"/>
          <w:szCs w:val="16"/>
        </w:rPr>
      </w:pPr>
      <w:r w:rsidRPr="00E14102">
        <w:rPr>
          <w:color w:val="0070C0"/>
          <w:sz w:val="16"/>
          <w:szCs w:val="16"/>
        </w:rPr>
        <w:t>Shorts Brothers не смогли получить заказы на Scion Senior от английских авиакомпаний. К тому моменту они уже купили у de Havilland самолёты Dragon и Dragon Rapide. Поэтому выпустили всего 6 самолётов S.22 Scion Senior (пара из них была с колёсным шасси). Они летали в Бирме, Сьерра-Леоне и Палестине. Последний Scion Senior был потерян в годы Второй мировой войны (22300).</w:t>
      </w:r>
    </w:p>
    <w:p w14:paraId="5BA81999" w14:textId="77777777" w:rsidR="00A826D9" w:rsidRPr="00E14102" w:rsidRDefault="00A826D9" w:rsidP="00E14102">
      <w:pPr>
        <w:pStyle w:val="651"/>
        <w:shd w:val="clear" w:color="auto" w:fill="auto"/>
        <w:spacing w:line="240" w:lineRule="auto"/>
        <w:jc w:val="both"/>
        <w:rPr>
          <w:rFonts w:ascii="Times New Roman" w:hAnsi="Times New Roman" w:cs="Times New Roman"/>
          <w:color w:val="0070C0"/>
          <w:spacing w:val="0"/>
          <w:sz w:val="16"/>
          <w:szCs w:val="16"/>
        </w:rPr>
      </w:pPr>
    </w:p>
    <w:p w14:paraId="446F980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82899B8" w14:textId="77777777" w:rsidR="00D4105E" w:rsidRPr="00E14102" w:rsidRDefault="00D4105E" w:rsidP="00E14102">
      <w:pPr>
        <w:autoSpaceDE w:val="0"/>
        <w:autoSpaceDN w:val="0"/>
        <w:adjustRightInd w:val="0"/>
        <w:jc w:val="both"/>
        <w:rPr>
          <w:iCs/>
          <w:color w:val="000000" w:themeColor="text1"/>
          <w:sz w:val="16"/>
          <w:szCs w:val="16"/>
        </w:rPr>
      </w:pPr>
    </w:p>
    <w:p w14:paraId="189DD2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23 октября по 21 ноября 1935 в НИИ ВВС в рамках заводских испытаний проходили испытания по определению усилий в лонжеронах ДБ-2 4М-34РН в полете. Отв. исполнители: ви 1 отд. П.В.Рудинцев</w:t>
      </w:r>
    </w:p>
    <w:p w14:paraId="799D99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2E2411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Освоить и изучить методику замера усилий в стержнях конструкции в полете при помощи прибора тензограф</w:t>
      </w:r>
    </w:p>
    <w:p w14:paraId="38B74C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Определить усилия в поясах и раскосах лонжеронов крыла ДБ-2 в полете применительно к нагружению в случаях А и В (525).</w:t>
      </w:r>
    </w:p>
    <w:p w14:paraId="6AF3FD79" w14:textId="77777777" w:rsidR="00D4105E" w:rsidRPr="00E14102" w:rsidRDefault="00D4105E" w:rsidP="00E14102">
      <w:pPr>
        <w:autoSpaceDE w:val="0"/>
        <w:autoSpaceDN w:val="0"/>
        <w:adjustRightInd w:val="0"/>
        <w:jc w:val="both"/>
        <w:rPr>
          <w:color w:val="000000" w:themeColor="text1"/>
          <w:sz w:val="16"/>
          <w:szCs w:val="16"/>
        </w:rPr>
      </w:pPr>
    </w:p>
    <w:p w14:paraId="2D4FF1D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23 октября 1935 года Базилевич писал письмо № 2068/ко в ГУАП Королеву</w:t>
      </w:r>
    </w:p>
    <w:p w14:paraId="6EFD615A"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указанию Молотова, прошу сообщить какие приняты меры по устранению дефектов на самолетах И-15 и И-16.</w:t>
      </w:r>
    </w:p>
    <w:p w14:paraId="098CA5E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 спецсообщение НКВД на 5 листах (3475,189).</w:t>
      </w:r>
    </w:p>
    <w:p w14:paraId="73C500C1"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67BADF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23 октября 1935 года - № 01583/с протокол заседания у начальника ГУГВФ по вопросу составления трехлетнего плана развития ГВФ</w:t>
      </w:r>
    </w:p>
    <w:p w14:paraId="0722E7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Предусмотреть в планах пуск во втором полугодии 1936 года в серийное производство новой пассажирской машины А.Н. Туполева АНТ-35 ……………..(7729, 28).</w:t>
      </w:r>
    </w:p>
    <w:p w14:paraId="6108BDB0" w14:textId="77777777" w:rsidR="00D4105E" w:rsidRPr="00E14102" w:rsidRDefault="00D4105E" w:rsidP="00E14102">
      <w:pPr>
        <w:autoSpaceDE w:val="0"/>
        <w:autoSpaceDN w:val="0"/>
        <w:adjustRightInd w:val="0"/>
        <w:jc w:val="both"/>
        <w:rPr>
          <w:color w:val="000000" w:themeColor="text1"/>
          <w:sz w:val="16"/>
          <w:szCs w:val="16"/>
        </w:rPr>
      </w:pPr>
    </w:p>
    <w:p w14:paraId="276202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октября 1935 года начальник Опытного отдела Тарахтунов, вед. Инженер Чернышев, ст. военпред УВС Иванов писали письмо № 2435с</w:t>
      </w:r>
    </w:p>
    <w:p w14:paraId="760E46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 по испытаниям М-34ФРН № 25 на повышенном наддуве и оборотах 22 октября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843"/>
        <w:gridCol w:w="1843"/>
        <w:gridCol w:w="1984"/>
        <w:gridCol w:w="2126"/>
      </w:tblGrid>
      <w:tr w:rsidR="00E3599D" w:rsidRPr="00E14102" w14:paraId="7B29C956" w14:textId="77777777">
        <w:trPr>
          <w:cantSplit/>
        </w:trPr>
        <w:tc>
          <w:tcPr>
            <w:tcW w:w="1951" w:type="dxa"/>
          </w:tcPr>
          <w:p w14:paraId="1CC1BB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 Ne привед.</w:t>
            </w:r>
          </w:p>
        </w:tc>
        <w:tc>
          <w:tcPr>
            <w:tcW w:w="1843" w:type="dxa"/>
          </w:tcPr>
          <w:p w14:paraId="4F4497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Обороты n</w:t>
            </w:r>
          </w:p>
        </w:tc>
        <w:tc>
          <w:tcPr>
            <w:tcW w:w="1843" w:type="dxa"/>
          </w:tcPr>
          <w:p w14:paraId="1585C7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Наддув Рк</w:t>
            </w:r>
          </w:p>
        </w:tc>
        <w:tc>
          <w:tcPr>
            <w:tcW w:w="1984" w:type="dxa"/>
          </w:tcPr>
          <w:p w14:paraId="4838CB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Уд. расход Qe гр/л.с.ч.</w:t>
            </w:r>
          </w:p>
        </w:tc>
        <w:tc>
          <w:tcPr>
            <w:tcW w:w="2126" w:type="dxa"/>
          </w:tcPr>
          <w:p w14:paraId="45DAEF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Продолж. испытаний </w:t>
            </w:r>
          </w:p>
        </w:tc>
      </w:tr>
      <w:tr w:rsidR="00E3599D" w:rsidRPr="00E14102" w14:paraId="6D011B67" w14:textId="77777777">
        <w:trPr>
          <w:cantSplit/>
        </w:trPr>
        <w:tc>
          <w:tcPr>
            <w:tcW w:w="1951" w:type="dxa"/>
          </w:tcPr>
          <w:p w14:paraId="0D1DF4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1240</w:t>
            </w:r>
          </w:p>
        </w:tc>
        <w:tc>
          <w:tcPr>
            <w:tcW w:w="1843" w:type="dxa"/>
          </w:tcPr>
          <w:p w14:paraId="51343A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2050</w:t>
            </w:r>
          </w:p>
        </w:tc>
        <w:tc>
          <w:tcPr>
            <w:tcW w:w="1843" w:type="dxa"/>
          </w:tcPr>
          <w:p w14:paraId="5BBBBC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1,57</w:t>
            </w:r>
          </w:p>
        </w:tc>
        <w:tc>
          <w:tcPr>
            <w:tcW w:w="1984" w:type="dxa"/>
          </w:tcPr>
          <w:p w14:paraId="4C4479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2126" w:type="dxa"/>
          </w:tcPr>
          <w:p w14:paraId="7A0355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минуты</w:t>
            </w:r>
          </w:p>
        </w:tc>
      </w:tr>
      <w:tr w:rsidR="00E3599D" w:rsidRPr="00E14102" w14:paraId="14D5CF90" w14:textId="77777777">
        <w:trPr>
          <w:cantSplit/>
        </w:trPr>
        <w:tc>
          <w:tcPr>
            <w:tcW w:w="1951" w:type="dxa"/>
          </w:tcPr>
          <w:p w14:paraId="5E8539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1330</w:t>
            </w:r>
          </w:p>
        </w:tc>
        <w:tc>
          <w:tcPr>
            <w:tcW w:w="1843" w:type="dxa"/>
          </w:tcPr>
          <w:p w14:paraId="380833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2100</w:t>
            </w:r>
          </w:p>
        </w:tc>
        <w:tc>
          <w:tcPr>
            <w:tcW w:w="1843" w:type="dxa"/>
          </w:tcPr>
          <w:p w14:paraId="2DB781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1,65</w:t>
            </w:r>
          </w:p>
        </w:tc>
        <w:tc>
          <w:tcPr>
            <w:tcW w:w="1984" w:type="dxa"/>
          </w:tcPr>
          <w:p w14:paraId="73F309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2126" w:type="dxa"/>
          </w:tcPr>
          <w:p w14:paraId="4DC4E0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минуты</w:t>
            </w:r>
          </w:p>
        </w:tc>
      </w:tr>
      <w:tr w:rsidR="00E3599D" w:rsidRPr="00E14102" w14:paraId="0CD5C209" w14:textId="77777777">
        <w:trPr>
          <w:cantSplit/>
        </w:trPr>
        <w:tc>
          <w:tcPr>
            <w:tcW w:w="1951" w:type="dxa"/>
          </w:tcPr>
          <w:p w14:paraId="69888E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1370</w:t>
            </w:r>
          </w:p>
        </w:tc>
        <w:tc>
          <w:tcPr>
            <w:tcW w:w="1843" w:type="dxa"/>
          </w:tcPr>
          <w:p w14:paraId="36DAE6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2125</w:t>
            </w:r>
          </w:p>
        </w:tc>
        <w:tc>
          <w:tcPr>
            <w:tcW w:w="1843" w:type="dxa"/>
          </w:tcPr>
          <w:p w14:paraId="06CA88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w:t>
            </w:r>
          </w:p>
        </w:tc>
        <w:tc>
          <w:tcPr>
            <w:tcW w:w="1984" w:type="dxa"/>
          </w:tcPr>
          <w:p w14:paraId="22DB17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296</w:t>
            </w:r>
          </w:p>
        </w:tc>
        <w:tc>
          <w:tcPr>
            <w:tcW w:w="2126" w:type="dxa"/>
          </w:tcPr>
          <w:p w14:paraId="4A2873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минуты</w:t>
            </w:r>
          </w:p>
        </w:tc>
      </w:tr>
      <w:tr w:rsidR="00E3599D" w:rsidRPr="00E14102" w14:paraId="147BD08A" w14:textId="77777777">
        <w:trPr>
          <w:cantSplit/>
        </w:trPr>
        <w:tc>
          <w:tcPr>
            <w:tcW w:w="1951" w:type="dxa"/>
          </w:tcPr>
          <w:p w14:paraId="7F818F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1462</w:t>
            </w:r>
          </w:p>
        </w:tc>
        <w:tc>
          <w:tcPr>
            <w:tcW w:w="1843" w:type="dxa"/>
          </w:tcPr>
          <w:p w14:paraId="285FF0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2170</w:t>
            </w:r>
          </w:p>
        </w:tc>
        <w:tc>
          <w:tcPr>
            <w:tcW w:w="1843" w:type="dxa"/>
          </w:tcPr>
          <w:p w14:paraId="039819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1,78</w:t>
            </w:r>
          </w:p>
        </w:tc>
        <w:tc>
          <w:tcPr>
            <w:tcW w:w="1984" w:type="dxa"/>
          </w:tcPr>
          <w:p w14:paraId="7D195C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304</w:t>
            </w:r>
          </w:p>
        </w:tc>
        <w:tc>
          <w:tcPr>
            <w:tcW w:w="2126" w:type="dxa"/>
          </w:tcPr>
          <w:p w14:paraId="50EFA4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минуты</w:t>
            </w:r>
          </w:p>
        </w:tc>
      </w:tr>
      <w:tr w:rsidR="00E3599D" w:rsidRPr="00E14102" w14:paraId="5C9F8BA4" w14:textId="77777777">
        <w:trPr>
          <w:cantSplit/>
        </w:trPr>
        <w:tc>
          <w:tcPr>
            <w:tcW w:w="1951" w:type="dxa"/>
          </w:tcPr>
          <w:p w14:paraId="6CFBE9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1520</w:t>
            </w:r>
          </w:p>
        </w:tc>
        <w:tc>
          <w:tcPr>
            <w:tcW w:w="1843" w:type="dxa"/>
          </w:tcPr>
          <w:p w14:paraId="173D2D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2230</w:t>
            </w:r>
          </w:p>
        </w:tc>
        <w:tc>
          <w:tcPr>
            <w:tcW w:w="1843" w:type="dxa"/>
          </w:tcPr>
          <w:p w14:paraId="20FB2A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1,81</w:t>
            </w:r>
          </w:p>
        </w:tc>
        <w:tc>
          <w:tcPr>
            <w:tcW w:w="1984" w:type="dxa"/>
          </w:tcPr>
          <w:p w14:paraId="5E8C2D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281</w:t>
            </w:r>
          </w:p>
        </w:tc>
        <w:tc>
          <w:tcPr>
            <w:tcW w:w="2126" w:type="dxa"/>
          </w:tcPr>
          <w:p w14:paraId="42C6B8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минуты</w:t>
            </w:r>
          </w:p>
        </w:tc>
      </w:tr>
      <w:tr w:rsidR="00E3599D" w:rsidRPr="00E14102" w14:paraId="340A42D5" w14:textId="77777777">
        <w:trPr>
          <w:cantSplit/>
        </w:trPr>
        <w:tc>
          <w:tcPr>
            <w:tcW w:w="1951" w:type="dxa"/>
          </w:tcPr>
          <w:p w14:paraId="6FBCE7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1692</w:t>
            </w:r>
          </w:p>
        </w:tc>
        <w:tc>
          <w:tcPr>
            <w:tcW w:w="1843" w:type="dxa"/>
          </w:tcPr>
          <w:p w14:paraId="3D031F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2300</w:t>
            </w:r>
          </w:p>
        </w:tc>
        <w:tc>
          <w:tcPr>
            <w:tcW w:w="1843" w:type="dxa"/>
          </w:tcPr>
          <w:p w14:paraId="3BD60B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w:t>
            </w:r>
          </w:p>
        </w:tc>
        <w:tc>
          <w:tcPr>
            <w:tcW w:w="1984" w:type="dxa"/>
          </w:tcPr>
          <w:p w14:paraId="1D82E3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278</w:t>
            </w:r>
          </w:p>
        </w:tc>
        <w:tc>
          <w:tcPr>
            <w:tcW w:w="2126" w:type="dxa"/>
          </w:tcPr>
          <w:p w14:paraId="4163FD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минуты</w:t>
            </w:r>
          </w:p>
        </w:tc>
      </w:tr>
      <w:tr w:rsidR="00E3599D" w:rsidRPr="00E14102" w14:paraId="7DD13F30" w14:textId="77777777">
        <w:trPr>
          <w:cantSplit/>
        </w:trPr>
        <w:tc>
          <w:tcPr>
            <w:tcW w:w="1951" w:type="dxa"/>
          </w:tcPr>
          <w:p w14:paraId="08B2B2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1680</w:t>
            </w:r>
          </w:p>
        </w:tc>
        <w:tc>
          <w:tcPr>
            <w:tcW w:w="1843" w:type="dxa"/>
          </w:tcPr>
          <w:p w14:paraId="4A872E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2280</w:t>
            </w:r>
          </w:p>
        </w:tc>
        <w:tc>
          <w:tcPr>
            <w:tcW w:w="1843" w:type="dxa"/>
          </w:tcPr>
          <w:p w14:paraId="3F0531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1,84</w:t>
            </w:r>
          </w:p>
        </w:tc>
        <w:tc>
          <w:tcPr>
            <w:tcW w:w="1984" w:type="dxa"/>
          </w:tcPr>
          <w:p w14:paraId="455356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w:t>
            </w:r>
          </w:p>
        </w:tc>
        <w:tc>
          <w:tcPr>
            <w:tcW w:w="2126" w:type="dxa"/>
          </w:tcPr>
          <w:p w14:paraId="2927FA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минут</w:t>
            </w:r>
          </w:p>
        </w:tc>
      </w:tr>
      <w:tr w:rsidR="00E3599D" w:rsidRPr="00E14102" w14:paraId="272DDDC9" w14:textId="77777777">
        <w:trPr>
          <w:cantSplit/>
        </w:trPr>
        <w:tc>
          <w:tcPr>
            <w:tcW w:w="1951" w:type="dxa"/>
          </w:tcPr>
          <w:p w14:paraId="5F721B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1693</w:t>
            </w:r>
          </w:p>
        </w:tc>
        <w:tc>
          <w:tcPr>
            <w:tcW w:w="1843" w:type="dxa"/>
          </w:tcPr>
          <w:p w14:paraId="37915D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2295</w:t>
            </w:r>
          </w:p>
        </w:tc>
        <w:tc>
          <w:tcPr>
            <w:tcW w:w="1843" w:type="dxa"/>
          </w:tcPr>
          <w:p w14:paraId="5EC3EF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1,84</w:t>
            </w:r>
          </w:p>
        </w:tc>
        <w:tc>
          <w:tcPr>
            <w:tcW w:w="1984" w:type="dxa"/>
          </w:tcPr>
          <w:p w14:paraId="1DCE5E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w:t>
            </w:r>
          </w:p>
        </w:tc>
        <w:tc>
          <w:tcPr>
            <w:tcW w:w="2126" w:type="dxa"/>
          </w:tcPr>
          <w:p w14:paraId="111D2C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 10 минут</w:t>
            </w:r>
          </w:p>
        </w:tc>
      </w:tr>
    </w:tbl>
    <w:p w14:paraId="25A21D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работал на форсированном режиме всего 34 минуты (3475,112).</w:t>
      </w:r>
    </w:p>
    <w:p w14:paraId="57420617" w14:textId="77777777" w:rsidR="00D4105E" w:rsidRPr="00E14102" w:rsidRDefault="00D4105E" w:rsidP="00E14102">
      <w:pPr>
        <w:autoSpaceDE w:val="0"/>
        <w:autoSpaceDN w:val="0"/>
        <w:adjustRightInd w:val="0"/>
        <w:jc w:val="both"/>
        <w:rPr>
          <w:color w:val="000000" w:themeColor="text1"/>
          <w:sz w:val="16"/>
          <w:szCs w:val="16"/>
        </w:rPr>
      </w:pPr>
    </w:p>
    <w:p w14:paraId="1AF0964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23 октября 1935 г. стрельбу на Софринском полигоне РС-82 модели 1454, «но с кольцевыми стабилизаторами» провели с целью проверки их устойчивости на траектории, определения предельной дистанции огня, а также меткости. Как говорилось в отчете, «снаряды с кольцевыми ста</w:t>
      </w:r>
      <w:r w:rsidRPr="00E14102">
        <w:rPr>
          <w:color w:val="000000" w:themeColor="text1"/>
          <w:sz w:val="16"/>
          <w:szCs w:val="16"/>
        </w:rPr>
        <w:softHyphen/>
        <w:t>билизаторами представляют большой практический интерес не только потому, что легко позволяют удержать стабилизирующие органы в габа</w:t>
      </w:r>
      <w:r w:rsidRPr="00E14102">
        <w:rPr>
          <w:color w:val="000000" w:themeColor="text1"/>
          <w:sz w:val="16"/>
          <w:szCs w:val="16"/>
        </w:rPr>
        <w:softHyphen/>
        <w:t>ритах боеприпаса, но и потому, что в данном случае стабилизатор рас</w:t>
      </w:r>
      <w:r w:rsidRPr="00E14102">
        <w:rPr>
          <w:color w:val="000000" w:themeColor="text1"/>
          <w:sz w:val="16"/>
          <w:szCs w:val="16"/>
        </w:rPr>
        <w:softHyphen/>
        <w:t>сматривают, как насадок, увеличивающий тягу ракетного мотора. Пос</w:t>
      </w:r>
      <w:r w:rsidRPr="00E14102">
        <w:rPr>
          <w:color w:val="000000" w:themeColor="text1"/>
          <w:sz w:val="16"/>
          <w:szCs w:val="16"/>
        </w:rPr>
        <w:softHyphen/>
        <w:t>леднее, впрочем, утверждать с уверенностью нельзя, поскольку вопрос о насадках, вообще говоря, не разрешен теоретически и недостаточно исследован экспериментально».</w:t>
      </w:r>
    </w:p>
    <w:p w14:paraId="1AC291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Дело в том, что в ходе предварительных исследований баллистиче</w:t>
      </w:r>
      <w:r w:rsidRPr="00E14102">
        <w:rPr>
          <w:color w:val="000000" w:themeColor="text1"/>
          <w:sz w:val="16"/>
          <w:szCs w:val="16"/>
        </w:rPr>
        <w:softHyphen/>
        <w:t>ских характеристик кольцевых стабилизаторов в аэродинамической тру</w:t>
      </w:r>
      <w:r w:rsidRPr="00E14102">
        <w:rPr>
          <w:color w:val="000000" w:themeColor="text1"/>
          <w:sz w:val="16"/>
          <w:szCs w:val="16"/>
        </w:rPr>
        <w:softHyphen/>
        <w:t>бе заметили, что продольная устойчивость снарядов весьма мала и на ма</w:t>
      </w:r>
      <w:r w:rsidRPr="00E14102">
        <w:rPr>
          <w:color w:val="000000" w:themeColor="text1"/>
          <w:sz w:val="16"/>
          <w:szCs w:val="16"/>
        </w:rPr>
        <w:softHyphen/>
        <w:t>лых углах атаки (до 4°) практически не отличается от нуля. При этом «калиберные» цилиндрические стабилизаторы обладали длиной 110 и 150 мм, просветом между сопловым срезом и кольцом цилиндра в 18 мм.</w:t>
      </w:r>
    </w:p>
    <w:p w14:paraId="354E85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стрельбы изготовили 20 боеприпасов (четыре партии по пять штук) со стабилизаторами разной длины и различными способами их крепления к обтекателю. У снарядов первой партии ширина кольца бы</w:t>
      </w:r>
      <w:r w:rsidRPr="00E14102">
        <w:rPr>
          <w:color w:val="000000" w:themeColor="text1"/>
          <w:sz w:val="16"/>
          <w:szCs w:val="16"/>
        </w:rPr>
        <w:softHyphen/>
        <w:t>ла 200 мм. Крепилось оно к обтекателю шестью стальными пластинами длиной 18 см и толщиной 1,5 мм. Вторая партия была выполнена с коль</w:t>
      </w:r>
      <w:r w:rsidRPr="00E14102">
        <w:rPr>
          <w:color w:val="000000" w:themeColor="text1"/>
          <w:sz w:val="16"/>
          <w:szCs w:val="16"/>
        </w:rPr>
        <w:softHyphen/>
        <w:t>цом шириной 130 мм, прикрепленном четырьмя стальными пластинами длиной 18 см и толщиной 1 ,5 мм, приклепанных к обтекателю с внутрен</w:t>
      </w:r>
      <w:r w:rsidRPr="00E14102">
        <w:rPr>
          <w:color w:val="000000" w:themeColor="text1"/>
          <w:sz w:val="16"/>
          <w:szCs w:val="16"/>
        </w:rPr>
        <w:softHyphen/>
        <w:t>ними усилительными пластинами. Снаряды третьей партии располагали кольцом шириной 200 мм, установленным на шести коротких дюралю</w:t>
      </w:r>
      <w:r w:rsidRPr="00E14102">
        <w:rPr>
          <w:color w:val="000000" w:themeColor="text1"/>
          <w:sz w:val="16"/>
          <w:szCs w:val="16"/>
        </w:rPr>
        <w:softHyphen/>
        <w:t>миниевых граненых стержнях толщиной 10мм, отлитых заодно с обтека</w:t>
      </w:r>
      <w:r w:rsidRPr="00E14102">
        <w:rPr>
          <w:color w:val="000000" w:themeColor="text1"/>
          <w:sz w:val="16"/>
          <w:szCs w:val="16"/>
        </w:rPr>
        <w:softHyphen/>
        <w:t>телем. У боеприпасов четвертой партии кольцо стабилизатора было так</w:t>
      </w:r>
      <w:r w:rsidRPr="00E14102">
        <w:rPr>
          <w:color w:val="000000" w:themeColor="text1"/>
          <w:sz w:val="16"/>
          <w:szCs w:val="16"/>
        </w:rPr>
        <w:softHyphen/>
        <w:t>же шириной 200 мм, однако, в отличие от предшествующей модели, кре</w:t>
      </w:r>
      <w:r w:rsidRPr="00E14102">
        <w:rPr>
          <w:color w:val="000000" w:themeColor="text1"/>
          <w:sz w:val="16"/>
          <w:szCs w:val="16"/>
        </w:rPr>
        <w:softHyphen/>
        <w:t>пилось оно к обтекателю посредством шести коротких отлитых заодно с обтекателем дюралюминиевых стержней обтекаемой формы.</w:t>
      </w:r>
    </w:p>
    <w:p w14:paraId="20562A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отстрела снарядов начальник 1 отдела РНИИ Ю.А.Победоносцев и инженер 1 отдела РНИИ И.В.Воднев использовали пусковое приспо</w:t>
      </w:r>
      <w:r w:rsidRPr="00E14102">
        <w:rPr>
          <w:color w:val="000000" w:themeColor="text1"/>
          <w:sz w:val="16"/>
          <w:szCs w:val="16"/>
        </w:rPr>
        <w:softHyphen/>
        <w:t>собление с «ажурной трубой». Устойчивость боеприпасов на траектории оказалась недостаточной, а лобовое сопротивление (почему-то) слишком большим, что соответствовало заключениям и прогнозам после продувок снарядов в аэродинамической трубе. Баллистический коэффициент пра</w:t>
      </w:r>
      <w:r w:rsidRPr="00E14102">
        <w:rPr>
          <w:color w:val="000000" w:themeColor="text1"/>
          <w:sz w:val="16"/>
          <w:szCs w:val="16"/>
        </w:rPr>
        <w:softHyphen/>
        <w:t>ктически совпал с вычисленным в лабораторных экспериментах.</w:t>
      </w:r>
    </w:p>
    <w:p w14:paraId="24ADAAE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Незначительные расхождения расчетных и опытных параметров у боеприпасов второй партии разработчики отнесли на счет разницы в размерах оперений, изготовленных для продувок и отстрела. Снаряды первой партии с большей площадью стабилизатора летели неустойчиво, а второй партии (с меньшей длиной кольца стабилизатора) — устойчивее и намного дальше. Кажется парадоксальным, что эти снаряды, отличаю</w:t>
      </w:r>
      <w:r w:rsidRPr="00E14102">
        <w:rPr>
          <w:color w:val="000000" w:themeColor="text1"/>
          <w:sz w:val="16"/>
          <w:szCs w:val="16"/>
        </w:rPr>
        <w:softHyphen/>
        <w:t>щиеся только длиной кольца стабилизатора, вели себя настолько различ</w:t>
      </w:r>
      <w:r w:rsidRPr="00E14102">
        <w:rPr>
          <w:color w:val="000000" w:themeColor="text1"/>
          <w:sz w:val="16"/>
          <w:szCs w:val="16"/>
        </w:rPr>
        <w:softHyphen/>
        <w:t>но. Хотя специалисты РНИИ НКТП ожидали, что эти результаты будут обратными.</w:t>
      </w:r>
    </w:p>
    <w:p w14:paraId="3581CF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Объяснение этого явления испытатели нашли не столько в аэродина</w:t>
      </w:r>
      <w:r w:rsidRPr="00E14102">
        <w:rPr>
          <w:color w:val="000000" w:themeColor="text1"/>
          <w:sz w:val="16"/>
          <w:szCs w:val="16"/>
        </w:rPr>
        <w:softHyphen/>
        <w:t>мических качествах боеприпасов, сколько в отрицательном воздействии стальных пластин, соединяющих кольцо стабилизатора с сопловым об</w:t>
      </w:r>
      <w:r w:rsidRPr="00E14102">
        <w:rPr>
          <w:color w:val="000000" w:themeColor="text1"/>
          <w:sz w:val="16"/>
          <w:szCs w:val="16"/>
        </w:rPr>
        <w:softHyphen/>
        <w:t>текателем снарядов. К примеру, снаряды третьей и четвертой партий, об</w:t>
      </w:r>
      <w:r w:rsidRPr="00E14102">
        <w:rPr>
          <w:color w:val="000000" w:themeColor="text1"/>
          <w:sz w:val="16"/>
          <w:szCs w:val="16"/>
        </w:rPr>
        <w:softHyphen/>
        <w:t>ладавшие стабилизатором той же длины, что и цилиндры в первой пар</w:t>
      </w:r>
      <w:r w:rsidRPr="00E14102">
        <w:rPr>
          <w:color w:val="000000" w:themeColor="text1"/>
          <w:sz w:val="16"/>
          <w:szCs w:val="16"/>
        </w:rPr>
        <w:softHyphen/>
        <w:t>тии, летели относительно правильно. В этом конструкторы были склон</w:t>
      </w:r>
      <w:r w:rsidRPr="00E14102">
        <w:rPr>
          <w:color w:val="000000" w:themeColor="text1"/>
          <w:sz w:val="16"/>
          <w:szCs w:val="16"/>
        </w:rPr>
        <w:softHyphen/>
        <w:t>ны подозревать, скорее, прогорание стенки цилиндра или соединитель</w:t>
      </w:r>
      <w:r w:rsidRPr="00E14102">
        <w:rPr>
          <w:color w:val="000000" w:themeColor="text1"/>
          <w:sz w:val="16"/>
          <w:szCs w:val="16"/>
        </w:rPr>
        <w:softHyphen/>
        <w:t>ных пластин. Однако на стендовых испытаниях боеприпасов подобного не наблюдалось.</w:t>
      </w:r>
    </w:p>
    <w:p w14:paraId="4FF711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Разница между снарядами третьей и четвертой партий была практи</w:t>
      </w:r>
      <w:r w:rsidRPr="00E14102">
        <w:rPr>
          <w:color w:val="000000" w:themeColor="text1"/>
          <w:sz w:val="16"/>
          <w:szCs w:val="16"/>
        </w:rPr>
        <w:softHyphen/>
        <w:t>чески неуловима. Отсутствовало также и приращение тяги ракетного двигателя за счет подсасывания массы воздуха цилиндром стабилизато</w:t>
      </w:r>
      <w:r w:rsidRPr="00E14102">
        <w:rPr>
          <w:color w:val="000000" w:themeColor="text1"/>
          <w:sz w:val="16"/>
          <w:szCs w:val="16"/>
        </w:rPr>
        <w:softHyphen/>
        <w:t>ра, что наблюдалось в опытах на стенде. Оставалось проблемой и соблю</w:t>
      </w:r>
      <w:r w:rsidRPr="00E14102">
        <w:rPr>
          <w:color w:val="000000" w:themeColor="text1"/>
          <w:sz w:val="16"/>
          <w:szCs w:val="16"/>
        </w:rPr>
        <w:softHyphen/>
        <w:t>дение строгой соосности кольца стабилизатора со снарядом. Здесь дос</w:t>
      </w:r>
      <w:r w:rsidRPr="00E14102">
        <w:rPr>
          <w:color w:val="000000" w:themeColor="text1"/>
          <w:sz w:val="16"/>
          <w:szCs w:val="16"/>
        </w:rPr>
        <w:softHyphen/>
        <w:t>таточно было малейшего перекоса, чтобы снаряд полетел «с накоплени</w:t>
      </w:r>
      <w:r w:rsidRPr="00E14102">
        <w:rPr>
          <w:color w:val="000000" w:themeColor="text1"/>
          <w:sz w:val="16"/>
          <w:szCs w:val="16"/>
        </w:rPr>
        <w:softHyphen/>
        <w:t>ем ошибки» по точности.</w:t>
      </w:r>
    </w:p>
    <w:p w14:paraId="5455EFA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итоге испытатели сочли целесообразным снова поставить серию опытов в аэродинамической трубе. Варьируя длиной кольца и зазором между сопловым срезом и кольцом стабилизатора, они предполагали оп</w:t>
      </w:r>
      <w:r w:rsidRPr="00E14102">
        <w:rPr>
          <w:color w:val="000000" w:themeColor="text1"/>
          <w:sz w:val="16"/>
          <w:szCs w:val="16"/>
        </w:rPr>
        <w:softHyphen/>
        <w:t>тимизировать устойчивость снаряда и уменьшить его лобовое сопротив</w:t>
      </w:r>
      <w:r w:rsidRPr="00E14102">
        <w:rPr>
          <w:color w:val="000000" w:themeColor="text1"/>
          <w:sz w:val="16"/>
          <w:szCs w:val="16"/>
        </w:rPr>
        <w:softHyphen/>
        <w:t>ление. Впредь до удовлетворительных результатов продувок решено бы</w:t>
      </w:r>
      <w:r w:rsidRPr="00E14102">
        <w:rPr>
          <w:color w:val="000000" w:themeColor="text1"/>
          <w:sz w:val="16"/>
          <w:szCs w:val="16"/>
        </w:rPr>
        <w:softHyphen/>
        <w:t>ло боеприпасы с цилиндрическими стабилизаторами не отстреливать (11402).</w:t>
      </w:r>
    </w:p>
    <w:p w14:paraId="7FD86C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CB6355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23 октября 1935 г. Отчет РНИИ НКТП об испы</w:t>
      </w:r>
      <w:r w:rsidRPr="00E14102">
        <w:rPr>
          <w:color w:val="000000" w:themeColor="text1"/>
          <w:sz w:val="16"/>
          <w:szCs w:val="16"/>
        </w:rPr>
        <w:softHyphen/>
        <w:t>тании РС-132 на самолете Р-5 в качестве ракетных авиабомб в рамках темы объекта 59 прошли на плошадке завода № 67 НКТП Ногинского полиго</w:t>
      </w:r>
      <w:r w:rsidRPr="00E14102">
        <w:rPr>
          <w:color w:val="000000" w:themeColor="text1"/>
          <w:sz w:val="16"/>
          <w:szCs w:val="16"/>
        </w:rPr>
        <w:softHyphen/>
        <w:t>на, составлен</w:t>
      </w:r>
      <w:r w:rsidRPr="00E14102">
        <w:rPr>
          <w:color w:val="000000" w:themeColor="text1"/>
          <w:sz w:val="16"/>
          <w:szCs w:val="16"/>
        </w:rPr>
        <w:softHyphen/>
        <w:t>ный заместителем начальника РНИИ Г.Э.Лангемаком, начальником I отдела РНИИ Ю.А.Победоносцевым и ведушим инженером по теме Л.П.Лобачевым поступил в адрес начальника АУ РККА, где получил высокую оценку.</w:t>
      </w:r>
    </w:p>
    <w:p w14:paraId="652A40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нем. в частости, говорилось: «В настоящее время одной из важнейших задач в области борьбы с бронированными объектами являете повышение бронепробиваемости авиабомбами. Из всех возможных решений этой задачи наиболее рациональным является искусственное повышение скорости падения бомбы. Наиболее просто это может быть достигнуто путем применения РЗ, сгорающего во время движения бомбы. Имея это в виду, начальник АУ РККА тов. Ефимов предложил НИИ совместно с заводом № 67 теперь же приступить к составлению проектов опытных образцов ракетных авиабомб. Вследствие новизны работы, институт и НИО завода №67 перед началом проектирования таких боеприпасов решили провести испытания существующих в настоя</w:t>
      </w:r>
      <w:r w:rsidRPr="00E14102">
        <w:rPr>
          <w:color w:val="000000" w:themeColor="text1"/>
          <w:sz w:val="16"/>
          <w:szCs w:val="16"/>
        </w:rPr>
        <w:softHyphen/>
        <w:t>щее время ракетных снарядов системы РНИИ путем сбрасывания их с самолета, как ракетных авиабомб. Это испытание имело целью главным образом исследовать влияние реактивного импульса, получаемого путем сжигания РЗ, на его аэробаллистические качества и определение глубины проникания и степени рассеивания в сравнении с существую</w:t>
      </w:r>
      <w:r w:rsidRPr="00E14102">
        <w:rPr>
          <w:color w:val="000000" w:themeColor="text1"/>
          <w:sz w:val="16"/>
          <w:szCs w:val="16"/>
        </w:rPr>
        <w:softHyphen/>
        <w:t>щими авиабомбами».</w:t>
      </w:r>
    </w:p>
    <w:p w14:paraId="2101D0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авиабомбы переделали 14 ракетных снарядов РС-132 модели 1458, изготовленных в мастерских РНИИ. Из них десять штук оснастили ра</w:t>
      </w:r>
      <w:r w:rsidRPr="00E14102">
        <w:rPr>
          <w:color w:val="000000" w:themeColor="text1"/>
          <w:sz w:val="16"/>
          <w:szCs w:val="16"/>
        </w:rPr>
        <w:softHyphen/>
        <w:t>кетными зарядами. Остальные были инертными и охолощенными, но приведенными к массе снаряженных. Кроме того, для сравнения опытах использовали семь штук инертных образцов фугасных авиабомб ФАБ-50.</w:t>
      </w:r>
    </w:p>
    <w:p w14:paraId="5DA5A9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РЗ ракетных боеприпасов состоял из 35 шашек пороха рецептуры ПТП габаритами 40/8-57,5, воспламенители - из двух навесок ДРП массй по 12 г каждая. Диаметр критического сечения сопла - 31,0 мм. У четырех снарядов вместо РЗ были вложены деревянные весовые имитато</w:t>
      </w:r>
      <w:r w:rsidRPr="00E14102">
        <w:rPr>
          <w:color w:val="000000" w:themeColor="text1"/>
          <w:sz w:val="16"/>
          <w:szCs w:val="16"/>
        </w:rPr>
        <w:softHyphen/>
        <w:t>ры, на торцах которых разместили по пороховому 12-граммовому воспламенителю. В головное очко БЧ всех РАБ-132 установили габаритно-весовые макеты дистанционной трубки ТМ-4. Воспламенение РЗ было организовано от дистанционной трубки АГДТ-Б, помещенной в районе соплового среза на алюминиевой крестовине. Оперение снарядов площадью 1040 см кв. соответствовало штатному РС.</w:t>
      </w:r>
    </w:p>
    <w:p w14:paraId="3766A3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вылетам самолет готовили на Монинском аэродроме. Там снаряды подвешивал и в замки бомбодержателей Дер-7. Всю программу испытаний закончили за три вылета. При бомбометании с высоты 2000 м, как свидетельствуют очевидцы, работа двигагеля РС сопровождалась сильным звуковым эффектом. Но высокий уровень грунтовых вод не позволил испытателям откопать ракетные боеприпасы.</w:t>
      </w:r>
    </w:p>
    <w:p w14:paraId="778CC3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Дистанционные трубки для запуска двигателей авиабомб устанавливали на 10 с горения, крыльчатки были предварительно вынуты, но боевые чеки оставлены. Они выдергивались при отцепке боеприпасов от замков бомбодержателей. В заключении отчета было отмечено, что РС-132 как под действием РЗ, так и в свободном падении обладают хорошей устойчивостью в воздухе. Разнобой в запуске двигателей первых авиабомб испытатели объяснили различным временем скручивания крыльчаток АГДТ в воздухе, что увеличивало показатели рассеивания ракетных боеприпасов в залпе, по сравнению с авиабомбами ФАБ-50.</w:t>
      </w:r>
    </w:p>
    <w:p w14:paraId="6E3DFD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отсутствии крыльчаток действие дистанционных трубок было одновременным и соответствовало установке времени срабатывания.</w:t>
      </w:r>
    </w:p>
    <w:p w14:paraId="5B36016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Глубина проникания в грунт РС-132 как холостых, так и с запущенным двигателем была значительно больше, нежели у ФАБ-50, сброшенных в тех же залпах. Авиабомбы заглублялись не более, чем на 1,5 м, а ракетные снаряды на этой глубине обнаружить не удалось. Таким образом, принцип увеличения скорости авиабомбы в момент падения путем применения РЗ можно было считать под</w:t>
      </w:r>
      <w:r w:rsidRPr="00E14102">
        <w:rPr>
          <w:color w:val="000000" w:themeColor="text1"/>
          <w:sz w:val="16"/>
          <w:szCs w:val="16"/>
        </w:rPr>
        <w:softHyphen/>
        <w:t>твержденным. Способ воспламенения РЗ при помощи дистанцион</w:t>
      </w:r>
      <w:r w:rsidRPr="00E14102">
        <w:rPr>
          <w:color w:val="000000" w:themeColor="text1"/>
          <w:sz w:val="16"/>
          <w:szCs w:val="16"/>
        </w:rPr>
        <w:softHyphen/>
        <w:t>ной трубки оказался «вполне целесообразным», однако для безот</w:t>
      </w:r>
      <w:r w:rsidRPr="00E14102">
        <w:rPr>
          <w:color w:val="000000" w:themeColor="text1"/>
          <w:sz w:val="16"/>
          <w:szCs w:val="16"/>
        </w:rPr>
        <w:softHyphen/>
        <w:t>казности, надежности и своевременности воспламенения РЗ необ</w:t>
      </w:r>
      <w:r w:rsidRPr="00E14102">
        <w:rPr>
          <w:color w:val="000000" w:themeColor="text1"/>
          <w:sz w:val="16"/>
          <w:szCs w:val="16"/>
        </w:rPr>
        <w:softHyphen/>
        <w:t>ходимо было добиться одновременного свертывания крыльчаток АГДТ. Испытатели признали целесообразным продолжить опыты с ракетными снарядами малых калибров, чтобы уточнить баллисти</w:t>
      </w:r>
      <w:r w:rsidRPr="00E14102">
        <w:rPr>
          <w:color w:val="000000" w:themeColor="text1"/>
          <w:sz w:val="16"/>
          <w:szCs w:val="16"/>
        </w:rPr>
        <w:softHyphen/>
        <w:t>ческие качества боеприпасов и их действие у цели в качестве ракет</w:t>
      </w:r>
      <w:r w:rsidRPr="00E14102">
        <w:rPr>
          <w:color w:val="000000" w:themeColor="text1"/>
          <w:sz w:val="16"/>
          <w:szCs w:val="16"/>
        </w:rPr>
        <w:softHyphen/>
        <w:t>ных авиабомб.</w:t>
      </w:r>
    </w:p>
    <w:p w14:paraId="41E01F1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По итогам испытаний заказчики и разработчики обменялись любо</w:t>
      </w:r>
      <w:r w:rsidRPr="00E14102">
        <w:rPr>
          <w:color w:val="000000" w:themeColor="text1"/>
          <w:sz w:val="16"/>
          <w:szCs w:val="16"/>
        </w:rPr>
        <w:softHyphen/>
        <w:t>пытными посланиями, претендующими на небольшой скандал. Впро</w:t>
      </w:r>
      <w:r w:rsidRPr="00E14102">
        <w:rPr>
          <w:color w:val="000000" w:themeColor="text1"/>
          <w:sz w:val="16"/>
          <w:szCs w:val="16"/>
        </w:rPr>
        <w:softHyphen/>
        <w:t>чем, в истории их взаимоотношений это случается неоднократно, и вплоть до настоящего времени (11402).</w:t>
      </w:r>
    </w:p>
    <w:p w14:paraId="4E156CF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4544E3A" w14:textId="77777777" w:rsidR="00577914" w:rsidRPr="00E14102" w:rsidRDefault="00577914" w:rsidP="00E14102">
      <w:pPr>
        <w:jc w:val="both"/>
        <w:rPr>
          <w:color w:val="0070C0"/>
          <w:sz w:val="16"/>
          <w:szCs w:val="16"/>
        </w:rPr>
      </w:pPr>
      <w:r w:rsidRPr="00E14102">
        <w:rPr>
          <w:color w:val="0070C0"/>
          <w:sz w:val="16"/>
          <w:szCs w:val="16"/>
        </w:rPr>
        <w:t>В ночь с 23 на 24 октября 1935 г. «СССР В-7 бис» погиб при аварийной посадке, вызванной не</w:t>
      </w:r>
      <w:r w:rsidRPr="00E14102">
        <w:rPr>
          <w:color w:val="0070C0"/>
          <w:sz w:val="16"/>
          <w:szCs w:val="16"/>
        </w:rPr>
        <w:softHyphen/>
        <w:t>хваткой топлива.</w:t>
      </w:r>
    </w:p>
    <w:p w14:paraId="6149F8F6" w14:textId="77777777" w:rsidR="00577914" w:rsidRPr="00E14102" w:rsidRDefault="00577914" w:rsidP="00E14102">
      <w:pPr>
        <w:jc w:val="both"/>
        <w:rPr>
          <w:color w:val="0070C0"/>
          <w:sz w:val="16"/>
          <w:szCs w:val="16"/>
        </w:rPr>
      </w:pPr>
      <w:r w:rsidRPr="00E14102">
        <w:rPr>
          <w:color w:val="0070C0"/>
          <w:sz w:val="16"/>
          <w:szCs w:val="16"/>
        </w:rPr>
        <w:t>Дирижабль строился по про</w:t>
      </w:r>
      <w:r w:rsidRPr="00E14102">
        <w:rPr>
          <w:color w:val="0070C0"/>
          <w:sz w:val="16"/>
          <w:szCs w:val="16"/>
        </w:rPr>
        <w:softHyphen/>
        <w:t>екту «СССР В-7» с некоторыми изменениями. На этот раз советские инженеры хотели выполнить все работы самостоятельно, без участия итальян</w:t>
      </w:r>
      <w:r w:rsidRPr="00E14102">
        <w:rPr>
          <w:color w:val="0070C0"/>
          <w:sz w:val="16"/>
          <w:szCs w:val="16"/>
        </w:rPr>
        <w:softHyphen/>
        <w:t>цев (Ф. Трояни уже вернулся на родину), что</w:t>
      </w:r>
      <w:r w:rsidRPr="00E14102">
        <w:rPr>
          <w:color w:val="0070C0"/>
          <w:sz w:val="16"/>
          <w:szCs w:val="16"/>
        </w:rPr>
        <w:softHyphen/>
        <w:t>бы проверить свои возмоности. По мнению</w:t>
      </w:r>
    </w:p>
    <w:p w14:paraId="6DE0D2CD" w14:textId="77777777" w:rsidR="00577914" w:rsidRPr="00E14102" w:rsidRDefault="00577914" w:rsidP="00E14102">
      <w:pPr>
        <w:jc w:val="both"/>
        <w:rPr>
          <w:color w:val="0070C0"/>
          <w:sz w:val="16"/>
          <w:szCs w:val="16"/>
        </w:rPr>
      </w:pPr>
      <w:r w:rsidRPr="00E14102">
        <w:rPr>
          <w:color w:val="0070C0"/>
          <w:sz w:val="16"/>
          <w:szCs w:val="16"/>
        </w:rPr>
        <w:t>У. Нобиле, результат проектирования оказался неудовлетворительным вследствие неудачно вы</w:t>
      </w:r>
      <w:r w:rsidRPr="00E14102">
        <w:rPr>
          <w:color w:val="0070C0"/>
          <w:sz w:val="16"/>
          <w:szCs w:val="16"/>
        </w:rPr>
        <w:softHyphen/>
        <w:t>полненной установки датчиков измерителей дав</w:t>
      </w:r>
      <w:r w:rsidRPr="00E14102">
        <w:rPr>
          <w:color w:val="0070C0"/>
          <w:sz w:val="16"/>
          <w:szCs w:val="16"/>
        </w:rPr>
        <w:softHyphen/>
        <w:t>ления несущего газа. В полёте под воздействием воздушного потока они показывали завышенные значения давления газа в оболочке. Поэтому нес</w:t>
      </w:r>
      <w:r w:rsidRPr="00E14102">
        <w:rPr>
          <w:color w:val="0070C0"/>
          <w:sz w:val="16"/>
          <w:szCs w:val="16"/>
        </w:rPr>
        <w:softHyphen/>
        <w:t>колько полётов дирижабль сделал с недостаточно выполненной и натянутой оболочкой, что в не</w:t>
      </w:r>
      <w:r w:rsidRPr="00E14102">
        <w:rPr>
          <w:color w:val="0070C0"/>
          <w:sz w:val="16"/>
          <w:szCs w:val="16"/>
        </w:rPr>
        <w:softHyphen/>
        <w:t>спокойном воздухе могло привести к поломке жёстких элементов конструкции.</w:t>
      </w:r>
    </w:p>
    <w:p w14:paraId="6503EFB7" w14:textId="77777777" w:rsidR="00577914" w:rsidRPr="00E14102" w:rsidRDefault="00577914" w:rsidP="00E14102">
      <w:pPr>
        <w:jc w:val="both"/>
        <w:rPr>
          <w:color w:val="0070C0"/>
          <w:sz w:val="16"/>
          <w:szCs w:val="16"/>
        </w:rPr>
      </w:pPr>
      <w:r w:rsidRPr="00E14102">
        <w:rPr>
          <w:color w:val="0070C0"/>
          <w:sz w:val="16"/>
          <w:szCs w:val="16"/>
        </w:rPr>
        <w:t>После возвращения из отпуска в Италии Но</w:t>
      </w:r>
      <w:r w:rsidRPr="00E14102">
        <w:rPr>
          <w:color w:val="0070C0"/>
          <w:sz w:val="16"/>
          <w:szCs w:val="16"/>
        </w:rPr>
        <w:softHyphen/>
        <w:t>биле по просьбе начальника «Дирижаблестроя» провёл исследование причин изменения формы оболочки. Выявив ошибку датчиков, Нобиле предложил «держать закрытыми окна гондолы управления во время полёта или заключить ука</w:t>
      </w:r>
      <w:r w:rsidRPr="00E14102">
        <w:rPr>
          <w:color w:val="0070C0"/>
          <w:sz w:val="16"/>
          <w:szCs w:val="16"/>
        </w:rPr>
        <w:softHyphen/>
        <w:t>затели давления в ящики со спокойным возду</w:t>
      </w:r>
      <w:r w:rsidRPr="00E14102">
        <w:rPr>
          <w:color w:val="0070C0"/>
          <w:sz w:val="16"/>
          <w:szCs w:val="16"/>
        </w:rPr>
        <w:softHyphen/>
        <w:t>хом»46. Советские пилоты предпочли первый ва</w:t>
      </w:r>
      <w:r w:rsidRPr="00E14102">
        <w:rPr>
          <w:color w:val="0070C0"/>
          <w:sz w:val="16"/>
          <w:szCs w:val="16"/>
        </w:rPr>
        <w:softHyphen/>
        <w:t>риант, и «СССР В-7 бис» продолжил свои полёты.</w:t>
      </w:r>
    </w:p>
    <w:p w14:paraId="63103963" w14:textId="77777777" w:rsidR="00577914" w:rsidRPr="00E14102" w:rsidRDefault="00577914" w:rsidP="00E14102">
      <w:pPr>
        <w:jc w:val="both"/>
        <w:rPr>
          <w:color w:val="0070C0"/>
          <w:sz w:val="16"/>
          <w:szCs w:val="16"/>
        </w:rPr>
      </w:pPr>
      <w:r w:rsidRPr="00E14102">
        <w:rPr>
          <w:color w:val="0070C0"/>
          <w:sz w:val="16"/>
          <w:szCs w:val="16"/>
        </w:rPr>
        <w:t>У. Нобиле считал, что «дирижабль был фа</w:t>
      </w:r>
      <w:r w:rsidRPr="00E14102">
        <w:rPr>
          <w:color w:val="0070C0"/>
          <w:sz w:val="16"/>
          <w:szCs w:val="16"/>
        </w:rPr>
        <w:softHyphen/>
        <w:t>тально обречён к плохому концу» из-за заложен</w:t>
      </w:r>
      <w:r w:rsidRPr="00E14102">
        <w:rPr>
          <w:color w:val="0070C0"/>
          <w:sz w:val="16"/>
          <w:szCs w:val="16"/>
        </w:rPr>
        <w:softHyphen/>
        <w:t>ной в проекте диспропорции между крейсер</w:t>
      </w:r>
      <w:r w:rsidRPr="00E14102">
        <w:rPr>
          <w:color w:val="0070C0"/>
          <w:sz w:val="16"/>
          <w:szCs w:val="16"/>
        </w:rPr>
        <w:softHyphen/>
        <w:t>ской скоростью 111 км/ч (чрезмерной для такого небольшого дирижабля) и большим весом его конструкции. Оба этих фактора имели следстви</w:t>
      </w:r>
      <w:r w:rsidRPr="00E14102">
        <w:rPr>
          <w:color w:val="0070C0"/>
          <w:sz w:val="16"/>
          <w:szCs w:val="16"/>
        </w:rPr>
        <w:softHyphen/>
        <w:t>ем малый радиус действия (20120).</w:t>
      </w:r>
    </w:p>
    <w:p w14:paraId="0076791D" w14:textId="77777777" w:rsidR="00577914" w:rsidRPr="00E14102" w:rsidRDefault="00577914" w:rsidP="00E14102">
      <w:pPr>
        <w:jc w:val="both"/>
        <w:rPr>
          <w:color w:val="0070C0"/>
          <w:sz w:val="16"/>
          <w:szCs w:val="16"/>
        </w:rPr>
      </w:pPr>
    </w:p>
    <w:p w14:paraId="5C110176" w14:textId="77777777" w:rsidR="00577914" w:rsidRPr="00E14102" w:rsidRDefault="00577914" w:rsidP="00E14102">
      <w:pPr>
        <w:jc w:val="both"/>
        <w:rPr>
          <w:color w:val="0070C0"/>
          <w:sz w:val="16"/>
          <w:szCs w:val="16"/>
        </w:rPr>
      </w:pPr>
      <w:r w:rsidRPr="00E14102">
        <w:rPr>
          <w:color w:val="0070C0"/>
          <w:sz w:val="16"/>
          <w:szCs w:val="16"/>
        </w:rPr>
        <w:t>23 октя</w:t>
      </w:r>
      <w:r w:rsidRPr="00E14102">
        <w:rPr>
          <w:color w:val="0070C0"/>
          <w:sz w:val="16"/>
          <w:szCs w:val="16"/>
        </w:rPr>
        <w:softHyphen/>
        <w:t>бря 1935 в 10.08 дирижабль «СССР В-7 бис» при ровном встречном ветре вылетел из Сализи в Петрозаводск.</w:t>
      </w:r>
    </w:p>
    <w:p w14:paraId="1371E0FD" w14:textId="77777777" w:rsidR="00577914" w:rsidRPr="00E14102" w:rsidRDefault="00577914" w:rsidP="00E14102">
      <w:pPr>
        <w:jc w:val="both"/>
        <w:rPr>
          <w:color w:val="0070C0"/>
          <w:sz w:val="16"/>
          <w:szCs w:val="16"/>
        </w:rPr>
      </w:pPr>
      <w:r w:rsidRPr="00E14102">
        <w:rPr>
          <w:color w:val="0070C0"/>
          <w:sz w:val="16"/>
          <w:szCs w:val="16"/>
        </w:rPr>
        <w:t>После завершения учений ПВО по ходатайству командования ВМФ «СССР В-7 бис» оставили в Ленинграде для уча</w:t>
      </w:r>
      <w:r w:rsidRPr="00E14102">
        <w:rPr>
          <w:color w:val="0070C0"/>
          <w:sz w:val="16"/>
          <w:szCs w:val="16"/>
        </w:rPr>
        <w:softHyphen/>
        <w:t>стия в учениях Краснознаменного Балтийского флота (КБФ), в ходе которых планировалось от</w:t>
      </w:r>
      <w:r w:rsidRPr="00E14102">
        <w:rPr>
          <w:color w:val="0070C0"/>
          <w:sz w:val="16"/>
          <w:szCs w:val="16"/>
        </w:rPr>
        <w:softHyphen/>
        <w:t>работать сопровождение дирижаблем кораблей и поддержание связи с ними, а также посадку его на воду с высадкой людей и передачей поч</w:t>
      </w:r>
      <w:r w:rsidRPr="00E14102">
        <w:rPr>
          <w:color w:val="0070C0"/>
          <w:sz w:val="16"/>
          <w:szCs w:val="16"/>
        </w:rPr>
        <w:softHyphen/>
        <w:t>ты и грузов на катер. Эти задачи ставились ещё на манёврах 1933 г., но тогда приводнение вы</w:t>
      </w:r>
      <w:r w:rsidRPr="00E14102">
        <w:rPr>
          <w:color w:val="0070C0"/>
          <w:sz w:val="16"/>
          <w:szCs w:val="16"/>
        </w:rPr>
        <w:softHyphen/>
        <w:t>полнить не удалось.</w:t>
      </w:r>
    </w:p>
    <w:p w14:paraId="12D1160A" w14:textId="77777777" w:rsidR="00577914" w:rsidRPr="00E14102" w:rsidRDefault="00577914" w:rsidP="00E14102">
      <w:pPr>
        <w:jc w:val="both"/>
        <w:rPr>
          <w:color w:val="0070C0"/>
          <w:sz w:val="16"/>
          <w:szCs w:val="16"/>
        </w:rPr>
      </w:pPr>
      <w:r w:rsidRPr="00E14102">
        <w:rPr>
          <w:color w:val="0070C0"/>
          <w:sz w:val="16"/>
          <w:szCs w:val="16"/>
        </w:rPr>
        <w:t>«СССР В-7 бис» получил водяные якоря и под- гондольный амортизатор («пуф»), для проверки работоспособности которых В.А. Устинович ре</w:t>
      </w:r>
      <w:r w:rsidRPr="00E14102">
        <w:rPr>
          <w:color w:val="0070C0"/>
          <w:sz w:val="16"/>
          <w:szCs w:val="16"/>
        </w:rPr>
        <w:softHyphen/>
        <w:t>шил перед манёврами выполнить две-три опыт</w:t>
      </w:r>
      <w:r w:rsidRPr="00E14102">
        <w:rPr>
          <w:color w:val="0070C0"/>
          <w:sz w:val="16"/>
          <w:szCs w:val="16"/>
        </w:rPr>
        <w:softHyphen/>
        <w:t>ные посадки на воду на озере Велде (недалеко от Гатчины). Первую в СССР посадку полужёстко</w:t>
      </w:r>
      <w:r w:rsidRPr="00E14102">
        <w:rPr>
          <w:color w:val="0070C0"/>
          <w:sz w:val="16"/>
          <w:szCs w:val="16"/>
        </w:rPr>
        <w:softHyphen/>
        <w:t>го дирижабля на воду осуществили следующим образом: «СССР В-7 бис» зашёл к озеру с подве</w:t>
      </w:r>
      <w:r w:rsidRPr="00E14102">
        <w:rPr>
          <w:color w:val="0070C0"/>
          <w:sz w:val="16"/>
          <w:szCs w:val="16"/>
        </w:rPr>
        <w:softHyphen/>
        <w:t>тренной стороны и стал против ветра, уравнове</w:t>
      </w:r>
      <w:r w:rsidRPr="00E14102">
        <w:rPr>
          <w:color w:val="0070C0"/>
          <w:sz w:val="16"/>
          <w:szCs w:val="16"/>
        </w:rPr>
        <w:softHyphen/>
        <w:t>сив его силу соответствующим режимом работы двигателей, затем, удерживаемый в плоскости ветра с помощью рулей высоты, начал снижение. На высоте 8-10 м сбросили водяной якорь. Мед</w:t>
      </w:r>
      <w:r w:rsidRPr="00E14102">
        <w:rPr>
          <w:color w:val="0070C0"/>
          <w:sz w:val="16"/>
          <w:szCs w:val="16"/>
        </w:rPr>
        <w:softHyphen/>
        <w:t>ленно снижаясь, «СССР В-7 бис» стал «пуфом» на воду. Пилот В. Раевский на лодке отошёл от ди</w:t>
      </w:r>
      <w:r w:rsidRPr="00E14102">
        <w:rPr>
          <w:color w:val="0070C0"/>
          <w:sz w:val="16"/>
          <w:szCs w:val="16"/>
        </w:rPr>
        <w:softHyphen/>
        <w:t>рижабля и сфотографировал его. После часового пребывания на воде «СССР В-7 бис» взял Раев</w:t>
      </w:r>
      <w:r w:rsidRPr="00E14102">
        <w:rPr>
          <w:color w:val="0070C0"/>
          <w:sz w:val="16"/>
          <w:szCs w:val="16"/>
        </w:rPr>
        <w:softHyphen/>
        <w:t>ского на борт и ушёл на базу.</w:t>
      </w:r>
    </w:p>
    <w:p w14:paraId="7A474616" w14:textId="77777777" w:rsidR="00577914" w:rsidRPr="00E14102" w:rsidRDefault="00577914" w:rsidP="00E14102">
      <w:pPr>
        <w:jc w:val="both"/>
        <w:rPr>
          <w:color w:val="0070C0"/>
          <w:sz w:val="16"/>
          <w:szCs w:val="16"/>
        </w:rPr>
      </w:pPr>
      <w:r w:rsidRPr="00E14102">
        <w:rPr>
          <w:color w:val="0070C0"/>
          <w:sz w:val="16"/>
          <w:szCs w:val="16"/>
        </w:rPr>
        <w:t>По</w:t>
      </w:r>
      <w:r w:rsidRPr="00E14102">
        <w:rPr>
          <w:color w:val="0070C0"/>
          <w:sz w:val="16"/>
          <w:szCs w:val="16"/>
        </w:rPr>
        <w:softHyphen/>
        <w:t>сле двух пробных заходов «СССР В-7 бис» при</w:t>
      </w:r>
      <w:r w:rsidRPr="00E14102">
        <w:rPr>
          <w:color w:val="0070C0"/>
          <w:sz w:val="16"/>
          <w:szCs w:val="16"/>
        </w:rPr>
        <w:softHyphen/>
        <w:t>воднился на Онежском озере при волнении 1-2 балла. Через 20 минут дирижабль взлетел, но направление ветра изменилось, и обратно при</w:t>
      </w:r>
      <w:r w:rsidRPr="00E14102">
        <w:rPr>
          <w:color w:val="0070C0"/>
          <w:sz w:val="16"/>
          <w:szCs w:val="16"/>
        </w:rPr>
        <w:softHyphen/>
        <w:t>шлось возвращаться против него. В 17.00 для экономии бензина Устинович перевёл корабль на один мотор, что резко увеличило время перелёта. При попытке совершить вынужденную посадку на озеро Колпино мотор остановился, и «СССР В-7 бис» перешёл в режим свободного полёта, волоча за собой выброшенные гайдро</w:t>
      </w:r>
      <w:r w:rsidRPr="00E14102">
        <w:rPr>
          <w:color w:val="0070C0"/>
          <w:sz w:val="16"/>
          <w:szCs w:val="16"/>
        </w:rPr>
        <w:softHyphen/>
        <w:t>пы. У Бадайского стекольного завода вновь по</w:t>
      </w:r>
      <w:r w:rsidRPr="00E14102">
        <w:rPr>
          <w:color w:val="0070C0"/>
          <w:sz w:val="16"/>
          <w:szCs w:val="16"/>
        </w:rPr>
        <w:softHyphen/>
        <w:t>пытались приземлиться, при этом трое человек экипажа спустились по гайдропам на землю, чтобы закрепить канаты. Облегчённый дири</w:t>
      </w:r>
      <w:r w:rsidRPr="00E14102">
        <w:rPr>
          <w:color w:val="0070C0"/>
          <w:sz w:val="16"/>
          <w:szCs w:val="16"/>
        </w:rPr>
        <w:softHyphen/>
        <w:t>жабль сразу набрал высоту 1200 м. Устинович, несмотря на отсутствие балласта, решил поса</w:t>
      </w:r>
      <w:r w:rsidRPr="00E14102">
        <w:rPr>
          <w:color w:val="0070C0"/>
          <w:sz w:val="16"/>
          <w:szCs w:val="16"/>
        </w:rPr>
        <w:softHyphen/>
        <w:t>дить дирижабль. При спуске на землю 24 ок</w:t>
      </w:r>
      <w:r w:rsidRPr="00E14102">
        <w:rPr>
          <w:color w:val="0070C0"/>
          <w:sz w:val="16"/>
          <w:szCs w:val="16"/>
        </w:rPr>
        <w:softHyphen/>
        <w:t>тября около 2 часов ночи «СССР В-7 бис» заце</w:t>
      </w:r>
      <w:r w:rsidRPr="00E14102">
        <w:rPr>
          <w:color w:val="0070C0"/>
          <w:sz w:val="16"/>
          <w:szCs w:val="16"/>
        </w:rPr>
        <w:softHyphen/>
        <w:t>пился за провода линии электропередачи, и на корме между стабилизаторами вспыхнул огонь. Экипаж, выпрыгнувший по команде коман</w:t>
      </w:r>
      <w:r w:rsidRPr="00E14102">
        <w:rPr>
          <w:color w:val="0070C0"/>
          <w:sz w:val="16"/>
          <w:szCs w:val="16"/>
        </w:rPr>
        <w:softHyphen/>
        <w:t>дира с малой высоты в болото, спасся, но пи</w:t>
      </w:r>
      <w:r w:rsidRPr="00E14102">
        <w:rPr>
          <w:color w:val="0070C0"/>
          <w:sz w:val="16"/>
          <w:szCs w:val="16"/>
        </w:rPr>
        <w:softHyphen/>
        <w:t>лот-штурвальный В. Скрынник, находивший</w:t>
      </w:r>
      <w:r w:rsidRPr="00E14102">
        <w:rPr>
          <w:color w:val="0070C0"/>
          <w:sz w:val="16"/>
          <w:szCs w:val="16"/>
        </w:rPr>
        <w:softHyphen/>
        <w:t>ся в момент катастрофы в киле, погиб в огне. Загоревшийся дирижабль упал на территорию Шлиссельбургского порохового и динамитного завода № 52 им. Н.А. Морозова в 200-250 м от производственных помещений завода и в 700</w:t>
      </w:r>
      <w:r w:rsidRPr="00E14102">
        <w:rPr>
          <w:color w:val="0070C0"/>
          <w:sz w:val="16"/>
          <w:szCs w:val="16"/>
        </w:rPr>
        <w:softHyphen/>
        <w:t>800 м от пороховых и динамитных складов.</w:t>
      </w:r>
    </w:p>
    <w:p w14:paraId="1B58ACA3" w14:textId="77777777" w:rsidR="00577914" w:rsidRPr="00E14102" w:rsidRDefault="00577914" w:rsidP="00E14102">
      <w:pPr>
        <w:jc w:val="both"/>
        <w:rPr>
          <w:color w:val="0070C0"/>
          <w:sz w:val="16"/>
          <w:szCs w:val="16"/>
        </w:rPr>
      </w:pPr>
      <w:r w:rsidRPr="00E14102">
        <w:rPr>
          <w:color w:val="0070C0"/>
          <w:sz w:val="16"/>
          <w:szCs w:val="16"/>
        </w:rPr>
        <w:t>Расследование катастрофы велось в духе того сурового времени. Констатирующая часть ре</w:t>
      </w:r>
      <w:r w:rsidRPr="00E14102">
        <w:rPr>
          <w:color w:val="0070C0"/>
          <w:sz w:val="16"/>
          <w:szCs w:val="16"/>
        </w:rPr>
        <w:softHyphen/>
        <w:t>шения заседания Ленинградского обкома ВКП (б) 25 марта 1936 г под председательством А.А. Жданова гласила: «главной причиной, при</w:t>
      </w:r>
      <w:r w:rsidRPr="00E14102">
        <w:rPr>
          <w:color w:val="0070C0"/>
          <w:sz w:val="16"/>
          <w:szCs w:val="16"/>
        </w:rPr>
        <w:softHyphen/>
        <w:t>ведшей к гибели В-7 явилась возмутительная безответственность руководства и преступная расхлябанность в работе «Дирижаблестроя». Наряду с допуском к управлению воздушным кораблём абсолютно нетренированной, техни</w:t>
      </w:r>
      <w:r w:rsidRPr="00E14102">
        <w:rPr>
          <w:color w:val="0070C0"/>
          <w:sz w:val="16"/>
          <w:szCs w:val="16"/>
        </w:rPr>
        <w:softHyphen/>
        <w:t>чески неподготовленной и политически непро</w:t>
      </w:r>
      <w:r w:rsidRPr="00E14102">
        <w:rPr>
          <w:color w:val="0070C0"/>
          <w:sz w:val="16"/>
          <w:szCs w:val="16"/>
        </w:rPr>
        <w:softHyphen/>
        <w:t>веренной команды, руководством «Дирижабле</w:t>
      </w:r>
      <w:r w:rsidRPr="00E14102">
        <w:rPr>
          <w:color w:val="0070C0"/>
          <w:sz w:val="16"/>
          <w:szCs w:val="16"/>
        </w:rPr>
        <w:softHyphen/>
        <w:t>строя» и ГУ ГВФ не был разработан детальный план полёта, не было проведено тщательной проверки обеспеченности корабля горючим и метеоусловий полёта»78.</w:t>
      </w:r>
    </w:p>
    <w:p w14:paraId="33E39965" w14:textId="77777777" w:rsidR="00577914" w:rsidRPr="00E14102" w:rsidRDefault="00577914" w:rsidP="00E14102">
      <w:pPr>
        <w:jc w:val="both"/>
        <w:rPr>
          <w:color w:val="0070C0"/>
          <w:sz w:val="16"/>
          <w:szCs w:val="16"/>
        </w:rPr>
      </w:pPr>
      <w:r w:rsidRPr="00E14102">
        <w:rPr>
          <w:color w:val="0070C0"/>
          <w:sz w:val="16"/>
          <w:szCs w:val="16"/>
        </w:rPr>
        <w:t>В ходе следствия экипаж не смог объяснить, почему в полёте не хватило горючего. Это по</w:t>
      </w:r>
      <w:r w:rsidRPr="00E14102">
        <w:rPr>
          <w:color w:val="0070C0"/>
          <w:sz w:val="16"/>
          <w:szCs w:val="16"/>
        </w:rPr>
        <w:softHyphen/>
        <w:t>влекло за собой осуждение командира и штур</w:t>
      </w:r>
      <w:r w:rsidRPr="00E14102">
        <w:rPr>
          <w:color w:val="0070C0"/>
          <w:sz w:val="16"/>
          <w:szCs w:val="16"/>
        </w:rPr>
        <w:softHyphen/>
        <w:t>мана соответственно на два и полтора года. Вскоре выяснилось, что сдаточные испытания «СССР В-7 бис» провели не полностью, и их ру</w:t>
      </w:r>
      <w:r w:rsidRPr="00E14102">
        <w:rPr>
          <w:color w:val="0070C0"/>
          <w:sz w:val="16"/>
          <w:szCs w:val="16"/>
        </w:rPr>
        <w:softHyphen/>
        <w:t>ководители Г.Б. Харабковский и А.Ф. Померан</w:t>
      </w:r>
      <w:r w:rsidRPr="00E14102">
        <w:rPr>
          <w:color w:val="0070C0"/>
          <w:sz w:val="16"/>
          <w:szCs w:val="16"/>
        </w:rPr>
        <w:softHyphen/>
        <w:t>цев заложили в формуляр не действительные, а расчётные цифры, оказавшиеся завышенными. Осуждённых освободили, а Г.Б. Харабковский и А.Ф. Померанцев оказались под арестом (20120).</w:t>
      </w:r>
    </w:p>
    <w:p w14:paraId="3D8089AA" w14:textId="77777777" w:rsidR="00577914" w:rsidRPr="00E14102" w:rsidRDefault="00577914" w:rsidP="00E14102">
      <w:pPr>
        <w:jc w:val="both"/>
        <w:rPr>
          <w:color w:val="0070C0"/>
          <w:sz w:val="16"/>
          <w:szCs w:val="16"/>
        </w:rPr>
      </w:pPr>
    </w:p>
    <w:p w14:paraId="27019DF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414DD1A" w14:textId="77777777" w:rsidR="00D4105E" w:rsidRPr="00E14102" w:rsidRDefault="00D4105E" w:rsidP="00E14102">
      <w:pPr>
        <w:autoSpaceDE w:val="0"/>
        <w:autoSpaceDN w:val="0"/>
        <w:adjustRightInd w:val="0"/>
        <w:jc w:val="both"/>
        <w:rPr>
          <w:iCs/>
          <w:color w:val="000000" w:themeColor="text1"/>
          <w:sz w:val="16"/>
          <w:szCs w:val="16"/>
        </w:rPr>
      </w:pPr>
    </w:p>
    <w:p w14:paraId="2F72EA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октября 1935 г. на открытом стапеле Балтийского завода в Ленинграде состоялась закладка головного ледокола "Иосиф Сталин". Главным строителем судна был Г. А. Куиш. Ледокол был спущен на воду 14 августа 1937 г. и, выйдя в первый рейс 23 авгу</w:t>
      </w:r>
      <w:r w:rsidRPr="00E14102">
        <w:rPr>
          <w:color w:val="000000" w:themeColor="text1"/>
          <w:sz w:val="16"/>
          <w:szCs w:val="16"/>
        </w:rPr>
        <w:softHyphen/>
        <w:t>ста 1938 г., 29 сентября того же года достиг 83-й параллели в ак</w:t>
      </w:r>
      <w:r w:rsidRPr="00E14102">
        <w:rPr>
          <w:color w:val="000000" w:themeColor="text1"/>
          <w:sz w:val="16"/>
          <w:szCs w:val="16"/>
        </w:rPr>
        <w:softHyphen/>
        <w:t>тивном арктическом плавании (3898).</w:t>
      </w:r>
    </w:p>
    <w:p w14:paraId="66AADCE3" w14:textId="77777777" w:rsidR="00D4105E" w:rsidRPr="00E14102" w:rsidRDefault="00D4105E" w:rsidP="00E14102">
      <w:pPr>
        <w:autoSpaceDE w:val="0"/>
        <w:autoSpaceDN w:val="0"/>
        <w:adjustRightInd w:val="0"/>
        <w:jc w:val="both"/>
        <w:rPr>
          <w:color w:val="000000" w:themeColor="text1"/>
          <w:sz w:val="16"/>
          <w:szCs w:val="16"/>
        </w:rPr>
      </w:pPr>
    </w:p>
    <w:p w14:paraId="3DC22253" w14:textId="77777777" w:rsidR="00A826D9" w:rsidRPr="00E14102" w:rsidRDefault="00A826D9" w:rsidP="00E14102">
      <w:pPr>
        <w:jc w:val="both"/>
        <w:rPr>
          <w:color w:val="0070C0"/>
          <w:sz w:val="16"/>
          <w:szCs w:val="16"/>
        </w:rPr>
      </w:pPr>
      <w:r w:rsidRPr="00E14102">
        <w:rPr>
          <w:color w:val="0070C0"/>
          <w:sz w:val="16"/>
          <w:szCs w:val="16"/>
        </w:rPr>
        <w:t>23 октября 1935 года на Балтийском заводе состоялась закладка первого из четырех ледокола — " Иосиф Сталин", потом заложили еще три однотипных корабля: в Ленинграде — “В. Молотов” и в Николаеве — “Л. Каганович” и “А. Микоян”. По конструкции новые паровые ледоколы существенно отличались от своего прототипа - "Красина" - даже по внешнему виду. При проектировании и постройке кораблей особое внимание уделялось условиям работы экипажа, насчитывавшего 138 человек, — двух- и четырехместные каюты, кают-компании, столовые, библиотеки, души, баня, лазарет, механизированная кухня — все это делало новые ледоколы самыми комфортабельными на флоте. Для ведения научных работ на них оборудовали гидрологические, гидрохимические, биологические и другие лаборатории. Старые машины работали на насыщенном паре, новые - на перегретом, что давало значительную экономию топлива, это были самые мощные судовые машины, построенные в СССР. Для целей ледовой разведки на борту могло быть размещено до трех самолетов, три мощные радиостанции (длинноволновая, коротковолновая и аварийная) имели огромную дальность действия (21179).</w:t>
      </w:r>
    </w:p>
    <w:p w14:paraId="5BABA617" w14:textId="77777777" w:rsidR="00A826D9" w:rsidRPr="00E14102" w:rsidRDefault="00A826D9" w:rsidP="00E14102">
      <w:pPr>
        <w:pStyle w:val="651"/>
        <w:shd w:val="clear" w:color="auto" w:fill="auto"/>
        <w:spacing w:line="240" w:lineRule="auto"/>
        <w:jc w:val="both"/>
        <w:rPr>
          <w:rFonts w:ascii="Times New Roman" w:hAnsi="Times New Roman" w:cs="Times New Roman"/>
          <w:color w:val="0070C0"/>
          <w:spacing w:val="0"/>
          <w:sz w:val="16"/>
          <w:szCs w:val="16"/>
        </w:rPr>
      </w:pPr>
    </w:p>
    <w:p w14:paraId="43E8CE0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5359D8A" w14:textId="77777777" w:rsidR="00D4105E" w:rsidRPr="00E14102" w:rsidRDefault="00D4105E" w:rsidP="00E14102">
      <w:pPr>
        <w:autoSpaceDE w:val="0"/>
        <w:autoSpaceDN w:val="0"/>
        <w:adjustRightInd w:val="0"/>
        <w:jc w:val="both"/>
        <w:rPr>
          <w:iCs/>
          <w:color w:val="000000" w:themeColor="text1"/>
          <w:sz w:val="16"/>
          <w:szCs w:val="16"/>
        </w:rPr>
      </w:pPr>
    </w:p>
    <w:p w14:paraId="04E9A8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октября 1935 г. в ЦПКиО им. Горького устроили невиданную доселе выставку: показывали звезды, изготовленные для башен Кремля. Рядом с ними поместили двух орлов, снятых с башен. Вечером в парке звезды осматривали тысячи рабочих. Однако первые звезды не долго украшали кремлевские башни. За год они потеряли яркость и хорошо выглядели только вблизи Кремля. Полудрагоценные камни, не выдержав испытание непогодой, помутнели и, несмотря на освещавшие их прожектора, не сверкали. Кроме того, из-за больших размеров они не вписались в облик Кремля. Они придавали башням непропорциональный вид. И меньше чем через 2 года вместо звезд с уральскими самоцветами установили рубиновые (11716).</w:t>
      </w:r>
    </w:p>
    <w:p w14:paraId="12F7C944" w14:textId="77777777" w:rsidR="00D4105E" w:rsidRPr="00E14102" w:rsidRDefault="00D4105E" w:rsidP="00E14102">
      <w:pPr>
        <w:autoSpaceDE w:val="0"/>
        <w:autoSpaceDN w:val="0"/>
        <w:adjustRightInd w:val="0"/>
        <w:jc w:val="both"/>
        <w:rPr>
          <w:color w:val="000000" w:themeColor="text1"/>
          <w:sz w:val="16"/>
          <w:szCs w:val="16"/>
        </w:rPr>
      </w:pPr>
    </w:p>
    <w:p w14:paraId="46F0EAD4" w14:textId="77777777" w:rsidR="004E5DD8" w:rsidRPr="00E14102" w:rsidRDefault="004E5DD8" w:rsidP="00E14102">
      <w:pPr>
        <w:shd w:val="clear" w:color="auto" w:fill="FFFFFF"/>
        <w:jc w:val="both"/>
        <w:rPr>
          <w:color w:val="000000" w:themeColor="text1"/>
          <w:sz w:val="16"/>
          <w:szCs w:val="16"/>
        </w:rPr>
      </w:pPr>
      <w:r w:rsidRPr="00E14102">
        <w:rPr>
          <w:color w:val="000000" w:themeColor="text1"/>
          <w:sz w:val="16"/>
          <w:szCs w:val="16"/>
        </w:rPr>
        <w:t>23-го октября 1935 первые кремлевские звезды доставили в Центральный парк имени Горького и установили на постаментах, обитых кумачем. В свете прожекторов засверкали лучи, заискрились уральские самоцветы. В парк пришли сотни людей. Всем хотелось полюбоваться красотой и величием звезд, которые вскоре должны были вспыхнуть в небе столицы. Звезды начали устанавливать 24-го октября, а через три дня звезды засияли над Никольской и Боровицкой башнями. Установленные внутри объемной звезды лампы общей мощностью 5000 вт ярко горели в небе ночной Москвы. Однако эти звезды недолго украшали башни московского Кремля. Их сочли скромными и через два года заменили новыми рубиновыми. А одну из снятых звезд установили на шпиле Северного речного вокзала столицы (15223).</w:t>
      </w:r>
    </w:p>
    <w:p w14:paraId="236D988A" w14:textId="77777777" w:rsidR="004E5DD8" w:rsidRPr="00E14102" w:rsidRDefault="004E5DD8" w:rsidP="00E14102">
      <w:pPr>
        <w:shd w:val="clear" w:color="auto" w:fill="FFFFFF"/>
        <w:jc w:val="both"/>
        <w:rPr>
          <w:color w:val="000000" w:themeColor="text1"/>
          <w:sz w:val="16"/>
          <w:szCs w:val="16"/>
        </w:rPr>
      </w:pPr>
    </w:p>
    <w:p w14:paraId="43DF8881" w14:textId="77777777" w:rsidR="00A826D9" w:rsidRPr="00E14102" w:rsidRDefault="00A826D9" w:rsidP="00E14102">
      <w:pPr>
        <w:jc w:val="both"/>
        <w:rPr>
          <w:color w:val="0070C0"/>
          <w:sz w:val="16"/>
          <w:szCs w:val="16"/>
        </w:rPr>
      </w:pPr>
      <w:r w:rsidRPr="00E14102">
        <w:rPr>
          <w:color w:val="0070C0"/>
          <w:sz w:val="16"/>
          <w:szCs w:val="16"/>
        </w:rPr>
        <w:t>23 октября 1935 года звезды доставили в Центральный парк культуры и отдыха им. М. Горького и установили на постаментах, обитых кумачом. В свете прожекторов засверкали позолотой лучи, заискрились уральские самоцветы. Осмотреть звезды прибыли секретари городского и районных комитетов ВКП(б), председатель Моссовета. В парк пришли сотни москвичей и гостей столицы.</w:t>
      </w:r>
    </w:p>
    <w:p w14:paraId="71849068" w14:textId="77777777" w:rsidR="00A826D9" w:rsidRPr="00E14102" w:rsidRDefault="00A826D9" w:rsidP="00E14102">
      <w:pPr>
        <w:jc w:val="both"/>
        <w:rPr>
          <w:color w:val="0070C0"/>
          <w:sz w:val="16"/>
          <w:szCs w:val="16"/>
        </w:rPr>
      </w:pPr>
      <w:r w:rsidRPr="00E14102">
        <w:rPr>
          <w:color w:val="0070C0"/>
          <w:sz w:val="16"/>
          <w:szCs w:val="16"/>
        </w:rPr>
        <w:t>24 октября 1935 года на Спасской башне установили первую звезду. На следующий день пятиконечная звезда была установлена на шпиле Троицкой башни. 26 и 27 октября звезды засияли над Никольской и Боровицкой башнями.</w:t>
      </w:r>
    </w:p>
    <w:p w14:paraId="05A4EAEF" w14:textId="77777777" w:rsidR="00A826D9" w:rsidRPr="00E14102" w:rsidRDefault="00A826D9" w:rsidP="00E14102">
      <w:pPr>
        <w:jc w:val="both"/>
        <w:rPr>
          <w:color w:val="0070C0"/>
          <w:sz w:val="16"/>
          <w:szCs w:val="16"/>
        </w:rPr>
      </w:pPr>
      <w:r w:rsidRPr="00E14102">
        <w:rPr>
          <w:color w:val="0070C0"/>
          <w:sz w:val="16"/>
          <w:szCs w:val="16"/>
        </w:rPr>
        <w:t>В мае 1937 года в Кремле было принято решение о замене металлических звезд на рубиновые с мощной внутренней подсветкой. Причем Сталин принял решение об установке такой звезды и на пятой кремлевской башне — Водовзводной (21179).</w:t>
      </w:r>
    </w:p>
    <w:p w14:paraId="22D57DC3" w14:textId="77777777" w:rsidR="00A826D9" w:rsidRPr="00E14102" w:rsidRDefault="00A826D9" w:rsidP="00E14102">
      <w:pPr>
        <w:jc w:val="both"/>
        <w:rPr>
          <w:color w:val="0070C0"/>
          <w:sz w:val="16"/>
          <w:szCs w:val="16"/>
        </w:rPr>
      </w:pPr>
    </w:p>
    <w:p w14:paraId="3E81B1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октября 1935 появился приказ № 334:</w:t>
      </w:r>
    </w:p>
    <w:p w14:paraId="10869D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“Благодаря энергичной и дружной работе лучших ударников как вольнонаемных, так и заключенных, Дальстрой и Севвостлаг НКВД добились перевыполнения основного плана. Приказываю:</w:t>
      </w:r>
    </w:p>
    <w:p w14:paraId="1766B1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 Начальнику Дальстроя и начальнику Севвостлага освободить досрочно 200 человек заключенных и сократить срок от 6 месяцев до 3 лет 1.000 заключенным-ударникам и отличникам, показавшим лучшие образцы работы и поведения в лагере. Указанные льготы объявить заключенным не позднее 7 ноября, проведя соответствующую разъяснительную работу (7560).</w:t>
      </w:r>
    </w:p>
    <w:p w14:paraId="59AF5C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Списки заключенных, в отношении которых будут применены льготы, выслать в ГУЛАГ (7560).</w:t>
      </w:r>
    </w:p>
    <w:p w14:paraId="377DB1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Список лиц, осужденных за контрреволюционные преступления, кои достойны применения льгот, представить мне на утверждение (7560).</w:t>
      </w:r>
    </w:p>
    <w:p w14:paraId="6C015C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Вольнонаемных работников треста и лагеря, а также Московского представительства за хорошую ударную работу премировать денежными пособиями (7560).</w:t>
      </w:r>
    </w:p>
    <w:p w14:paraId="0B45F9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Приказ передать по телеграфу и распубликовать широко по лагерю” (7560).</w:t>
      </w:r>
    </w:p>
    <w:p w14:paraId="169112AC" w14:textId="77777777" w:rsidR="00D4105E" w:rsidRPr="00E14102" w:rsidRDefault="00D4105E" w:rsidP="00E14102">
      <w:pPr>
        <w:autoSpaceDE w:val="0"/>
        <w:autoSpaceDN w:val="0"/>
        <w:adjustRightInd w:val="0"/>
        <w:jc w:val="both"/>
        <w:rPr>
          <w:color w:val="000000" w:themeColor="text1"/>
          <w:sz w:val="16"/>
          <w:szCs w:val="16"/>
        </w:rPr>
      </w:pPr>
    </w:p>
    <w:p w14:paraId="56861EB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254F7DE" w14:textId="77777777" w:rsidR="00D4105E" w:rsidRPr="00E14102" w:rsidRDefault="00D4105E" w:rsidP="00E14102">
      <w:pPr>
        <w:autoSpaceDE w:val="0"/>
        <w:autoSpaceDN w:val="0"/>
        <w:adjustRightInd w:val="0"/>
        <w:jc w:val="both"/>
        <w:rPr>
          <w:iCs/>
          <w:color w:val="000000" w:themeColor="text1"/>
          <w:sz w:val="16"/>
          <w:szCs w:val="16"/>
        </w:rPr>
      </w:pPr>
    </w:p>
    <w:p w14:paraId="40B5F1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октября 1935 началась постройка прототипа Харрикейна с двигателем Роллс-Ройс Мерлин в 760 KW под обозначением F.36/34 (1022,119).</w:t>
      </w:r>
    </w:p>
    <w:p w14:paraId="1F1157F2" w14:textId="77777777" w:rsidR="00D4105E" w:rsidRPr="00E14102" w:rsidRDefault="00D4105E" w:rsidP="00E14102">
      <w:pPr>
        <w:autoSpaceDE w:val="0"/>
        <w:autoSpaceDN w:val="0"/>
        <w:adjustRightInd w:val="0"/>
        <w:jc w:val="both"/>
        <w:rPr>
          <w:color w:val="000000" w:themeColor="text1"/>
          <w:sz w:val="16"/>
          <w:szCs w:val="16"/>
        </w:rPr>
      </w:pPr>
    </w:p>
    <w:p w14:paraId="77679B01" w14:textId="77777777" w:rsidR="004E5DD8" w:rsidRPr="00E14102" w:rsidRDefault="004E5DD8" w:rsidP="00E14102">
      <w:pPr>
        <w:jc w:val="both"/>
        <w:rPr>
          <w:color w:val="000000" w:themeColor="text1"/>
          <w:sz w:val="16"/>
          <w:szCs w:val="16"/>
        </w:rPr>
      </w:pPr>
      <w:r w:rsidRPr="00E14102">
        <w:rPr>
          <w:color w:val="000000" w:themeColor="text1"/>
          <w:sz w:val="16"/>
          <w:szCs w:val="16"/>
        </w:rPr>
        <w:t>23 октября 1935 самолет Харрикейн перевезли в Бруклендс, где вновь собрали после транспортировки. Машину взвесили, опробовали мотор, и испытатель П.Балмэн начал пробежки по летному полю. 6 ноября он впервые оторвался от земли (15129).</w:t>
      </w:r>
    </w:p>
    <w:p w14:paraId="5CB26920" w14:textId="77777777" w:rsidR="004E5DD8" w:rsidRPr="00E14102" w:rsidRDefault="004E5DD8" w:rsidP="00E14102">
      <w:pPr>
        <w:jc w:val="both"/>
        <w:rPr>
          <w:color w:val="000000" w:themeColor="text1"/>
          <w:sz w:val="16"/>
          <w:szCs w:val="16"/>
        </w:rPr>
      </w:pPr>
    </w:p>
    <w:p w14:paraId="4377E2E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октября 1935 в таверне Ньюарка (Нью-Джерси) убит один из боссов американской мафии Датч Шульц (4962).</w:t>
      </w:r>
    </w:p>
    <w:p w14:paraId="69481EB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ED037A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4F44A06" w14:textId="77777777" w:rsidR="00D4105E" w:rsidRPr="00E14102" w:rsidRDefault="00D4105E" w:rsidP="00E14102">
      <w:pPr>
        <w:autoSpaceDE w:val="0"/>
        <w:autoSpaceDN w:val="0"/>
        <w:adjustRightInd w:val="0"/>
        <w:jc w:val="both"/>
        <w:rPr>
          <w:iCs/>
          <w:color w:val="000000" w:themeColor="text1"/>
          <w:sz w:val="16"/>
          <w:szCs w:val="16"/>
        </w:rPr>
      </w:pPr>
    </w:p>
    <w:p w14:paraId="0AC8BD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октября 1935 состоялся первый полет дирижабля СССР-В-7-бис (233,166).</w:t>
      </w:r>
    </w:p>
    <w:p w14:paraId="520CFCAC" w14:textId="77777777" w:rsidR="00D4105E" w:rsidRPr="00E14102" w:rsidRDefault="00D4105E" w:rsidP="00E14102">
      <w:pPr>
        <w:autoSpaceDE w:val="0"/>
        <w:autoSpaceDN w:val="0"/>
        <w:adjustRightInd w:val="0"/>
        <w:jc w:val="both"/>
        <w:rPr>
          <w:color w:val="000000" w:themeColor="text1"/>
          <w:sz w:val="16"/>
          <w:szCs w:val="16"/>
        </w:rPr>
      </w:pPr>
    </w:p>
    <w:p w14:paraId="5746303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AB4B71A" w14:textId="77777777" w:rsidR="00D4105E" w:rsidRPr="00E14102" w:rsidRDefault="00D4105E" w:rsidP="00E14102">
      <w:pPr>
        <w:autoSpaceDE w:val="0"/>
        <w:autoSpaceDN w:val="0"/>
        <w:adjustRightInd w:val="0"/>
        <w:jc w:val="both"/>
        <w:rPr>
          <w:iCs/>
          <w:color w:val="000000" w:themeColor="text1"/>
          <w:sz w:val="16"/>
          <w:szCs w:val="16"/>
        </w:rPr>
      </w:pPr>
    </w:p>
    <w:p w14:paraId="41E1235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24 октября 1935 на Спасской башне Кремля установлена рубиновая звезда, изготовленная в Донбассе. (4962).</w:t>
      </w:r>
    </w:p>
    <w:p w14:paraId="75163BC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B12066C" w14:textId="77777777" w:rsidR="00577914" w:rsidRPr="00E14102" w:rsidRDefault="00577914" w:rsidP="00E14102">
      <w:pPr>
        <w:jc w:val="both"/>
        <w:rPr>
          <w:color w:val="0070C0"/>
          <w:sz w:val="16"/>
          <w:szCs w:val="16"/>
        </w:rPr>
      </w:pPr>
      <w:r w:rsidRPr="00E14102">
        <w:rPr>
          <w:color w:val="0070C0"/>
          <w:sz w:val="16"/>
          <w:szCs w:val="16"/>
        </w:rPr>
        <w:t>24 октября 1935 года на Спасской башне установили первую звезду. На следующий день пятиконечная звезда была установлена на шпиле Троицкой башни. 26 и 27 октября звезды засияли над Никольской и Боровицкой башнями.</w:t>
      </w:r>
    </w:p>
    <w:p w14:paraId="5D8D4396" w14:textId="77777777" w:rsidR="00577914" w:rsidRPr="00E14102" w:rsidRDefault="00577914" w:rsidP="00E14102">
      <w:pPr>
        <w:jc w:val="both"/>
        <w:rPr>
          <w:color w:val="0070C0"/>
          <w:sz w:val="16"/>
          <w:szCs w:val="16"/>
        </w:rPr>
      </w:pPr>
      <w:r w:rsidRPr="00E14102">
        <w:rPr>
          <w:color w:val="0070C0"/>
          <w:sz w:val="16"/>
          <w:szCs w:val="16"/>
        </w:rPr>
        <w:t>В мае 1937 года в Кремле было принято решение о замене металлических звезд на рубиновые с мощной внутренней подсветкой. Причем Сталин принял решение об установке такой звезды и на пятой кремлевской башне — Водовзводной (21179).</w:t>
      </w:r>
    </w:p>
    <w:p w14:paraId="0F66AFFB" w14:textId="77777777" w:rsidR="00577914" w:rsidRPr="00E14102" w:rsidRDefault="00577914" w:rsidP="00E14102">
      <w:pPr>
        <w:jc w:val="both"/>
        <w:rPr>
          <w:color w:val="0070C0"/>
          <w:sz w:val="16"/>
          <w:szCs w:val="16"/>
        </w:rPr>
      </w:pPr>
    </w:p>
    <w:p w14:paraId="70FFA2A5" w14:textId="77777777" w:rsidR="004E5DD8" w:rsidRPr="00E14102" w:rsidRDefault="004E5DD8"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24 октября </w:t>
      </w:r>
      <w:r w:rsidRPr="00E14102">
        <w:rPr>
          <w:color w:val="000000" w:themeColor="text1"/>
          <w:sz w:val="16"/>
          <w:szCs w:val="16"/>
        </w:rPr>
        <w:t>в 1935 году на Спасской башне московского Кремля устанавливается первая пятиконечная звезда диаметром 4,3 м, изготовленная в Донбассе. До 1935 года шпили кремлевских башен украшали геральдические двуглавые орлы. Первого двуглавого орла водрузили на вершине шатра Спасской башни в 50-х годах XVII века. Позднее русские гербы были установлены на самых высоких проездных башнях Кремля - Никольской, Троицкой, Боровицкой. В октябре 1935 года над Кремлем вместо двуглавых царских орлов появились пятиконечные звезды. Первая звезда была установлена на Спасской башне 24 октября. К 1 ноября рубиновые звезды украсили Никольскую, Троицкую и Боровицкую башни. Звезды были изготовлены из нержавеющей стали и красной меди, знаки серпа и молота были выложены горным хрусталем, аметистами, александритами, топазами и аквамаринами. Изготавливали звезды на двух московских заводах и в мастерских ЦАГИ. Освещенные снизу прожекторами, первые звезды украшали Кремль почти два года, но под действием атмосферных осадков самоцветы потускнели и потеряли свой праздничный вид. В мае 1937 года было решено установить к двадцатилетию Октябрьской революции на пяти кремлевских башнях, в том числе и на Водовзводной, рубиновые звезды. Эскизы новых звезд подготовил народный художник СССР Ф.Федоровский, он рассчитал размеры, определил форму и рисунок, предложил рубиновый цвет стекла. Перед промышленностью поставили задачу сварить рубиновое стекло. Госзаказ получил Донбасский завод. Сложность заключалась не только в том, что никогда прежде в таком количестве рубиновое стекло в нашей стране не производили. По техническому заданию оно должно было иметь разную плотность, пропускать красные лучи определенной длины волн, быть устойчивым к резким перепадам температуры. Специальное рубиновое стекло, отвечающее предъявляемым требованиям, изобрел Н.Курочкин, сделавший первый саркофаг для мавзолея Ленина. Для равномерного и яркого освещения всей поверхности звезды изготовили уникальные лампы накаливания мощностью от 3700 до 5000 ватт, а для предохранения звезд от перегрева специалисты разработали особую вентиляционную систему. Рубиновые звезды на пяти башнях Кремля зажглись 2 ноября 1937 года. Звезду из самоцветов, стоявшую на Спасской башне, можно увидеть на шпиле здания северного Речного вокзала в Химках. У кремлевских звезд двойное остекление: внутри - молочное стекло, снаружи - рубиновое. Вес каждой звезды - около тонны.</w:t>
      </w:r>
    </w:p>
    <w:p w14:paraId="1A0F890F" w14:textId="77777777" w:rsidR="004E5DD8" w:rsidRPr="00E14102" w:rsidRDefault="004E5DD8" w:rsidP="00E14102">
      <w:pPr>
        <w:jc w:val="both"/>
        <w:rPr>
          <w:color w:val="000000" w:themeColor="text1"/>
          <w:sz w:val="16"/>
          <w:szCs w:val="16"/>
        </w:rPr>
      </w:pPr>
      <w:r w:rsidRPr="00E14102">
        <w:rPr>
          <w:color w:val="000000" w:themeColor="text1"/>
          <w:sz w:val="16"/>
          <w:szCs w:val="16"/>
        </w:rPr>
        <w:t>Звезды на башнях - разной величины, так как кремлевские башни имеют разную высоту. На Водовзводной размах лучей три метра, на Боровицкой - 3,2 метра, на Троицкой - 3,5 метра, на Спасской и Никольской - 3,75 метра. Несущей конструкцией звезд является пространственный каркас, опирающийся у нижнего основания на трубу, в которой располагаются подшипники для вращения. Такая конструкция предусматривает их вращение при изменении ветра. Более того, конструкция рассчитана на давление ураганного ветра, поскольку для звезд была выполнена специальная нержавеющая сталь. Механизмы для обслуживания кремлевских звезд расположены внутри башен. Специальные подъемные приспособления дают возможность периодически производить очистку внутренних и внешних поверхностей звезд от пыли и копоти. Механизирующие устройства заменяют перегоревшие лампы в течение 30-35 минут. Управление оборудованием и механизмами сосредоточено на центральном пункте, куда автоматически подаются сведения о режиме работы ламп. Рубиновые звезды на кремлевских башнях горят днем и ночью. За всю историю они гасли всего один раз, когда в Кремле в 1996 году снимали историческую киноленту. Даже во время войны их не выключали, а закрывали чехлами. Ремонт и реконструкция звезд производилась в 1945 и 1974 годах (14809).</w:t>
      </w:r>
    </w:p>
    <w:p w14:paraId="6109B454" w14:textId="77777777" w:rsidR="004E5DD8" w:rsidRPr="00E14102" w:rsidRDefault="004E5DD8" w:rsidP="00E14102">
      <w:pPr>
        <w:jc w:val="both"/>
        <w:rPr>
          <w:color w:val="000000" w:themeColor="text1"/>
          <w:sz w:val="16"/>
          <w:szCs w:val="16"/>
        </w:rPr>
      </w:pPr>
    </w:p>
    <w:p w14:paraId="4C57D6F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0DF1434" w14:textId="77777777" w:rsidR="00D4105E" w:rsidRPr="00E14102" w:rsidRDefault="00D4105E" w:rsidP="00E14102">
      <w:pPr>
        <w:autoSpaceDE w:val="0"/>
        <w:autoSpaceDN w:val="0"/>
        <w:adjustRightInd w:val="0"/>
        <w:jc w:val="both"/>
        <w:rPr>
          <w:iCs/>
          <w:color w:val="000000" w:themeColor="text1"/>
          <w:sz w:val="16"/>
          <w:szCs w:val="16"/>
        </w:rPr>
      </w:pPr>
    </w:p>
    <w:p w14:paraId="6916F1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октября 1935 с письмом N 113/3253 был направлен Отчет об испытаниях водо-масляных радиаторов на ТБ-3 4М-34РН N 22566, которые проходили с 17 по 21 августа 1935 (2939).</w:t>
      </w:r>
    </w:p>
    <w:p w14:paraId="303B707A" w14:textId="77777777" w:rsidR="00D4105E" w:rsidRPr="00E14102" w:rsidRDefault="00D4105E" w:rsidP="00E14102">
      <w:pPr>
        <w:autoSpaceDE w:val="0"/>
        <w:autoSpaceDN w:val="0"/>
        <w:adjustRightInd w:val="0"/>
        <w:jc w:val="both"/>
        <w:rPr>
          <w:color w:val="000000" w:themeColor="text1"/>
          <w:sz w:val="16"/>
          <w:szCs w:val="16"/>
        </w:rPr>
      </w:pPr>
    </w:p>
    <w:p w14:paraId="7356BB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октября 1935 года Базилевич писал письмо № 2073/ко в НКТП Пятакову</w:t>
      </w:r>
    </w:p>
    <w:p w14:paraId="617386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Молотов просит срочно дать указание ГУАПу обсудить на Техсовете предложение главного конструктора завода № 115 Яковлева о постройке одноместного истребителя с мотором Рено 220-350 НР и одноместного двухмоторного с моторами Рено.</w:t>
      </w:r>
    </w:p>
    <w:p w14:paraId="280DFA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 № 376530сс/о и письмо Яковлева, все на 8 листах (3527, 112).</w:t>
      </w:r>
    </w:p>
    <w:p w14:paraId="3B54320D" w14:textId="77777777" w:rsidR="00D4105E" w:rsidRPr="00E14102" w:rsidRDefault="00D4105E" w:rsidP="00E14102">
      <w:pPr>
        <w:autoSpaceDE w:val="0"/>
        <w:autoSpaceDN w:val="0"/>
        <w:adjustRightInd w:val="0"/>
        <w:jc w:val="both"/>
        <w:rPr>
          <w:color w:val="000000" w:themeColor="text1"/>
          <w:sz w:val="16"/>
          <w:szCs w:val="16"/>
        </w:rPr>
      </w:pPr>
    </w:p>
    <w:p w14:paraId="2810EE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октября 1935 года. Базилевич писал:</w:t>
      </w:r>
    </w:p>
    <w:p w14:paraId="2C9951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Гамарник представил доклад конструктора легких самолетов (АИР) Яковлева с предложением построить:</w:t>
      </w:r>
    </w:p>
    <w:p w14:paraId="10E9C7B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одномоторный истребитель с мотором Рено в 350 НР со скоростью 480-500 км/час, потолок 9000 м</w:t>
      </w:r>
    </w:p>
    <w:p w14:paraId="73A0B68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двухместный истребитель с 2-мя моторами Рено со скоростью 480-490 км/час, потолок 9000 м</w:t>
      </w:r>
    </w:p>
    <w:p w14:paraId="7786AE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 необходимо закупить за границей.</w:t>
      </w:r>
    </w:p>
    <w:p w14:paraId="04DDBE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до постановки вопроса на КО как этого просит Гамарник, дать указание получить заключение Техсовета ГУАПа (3527, 107).</w:t>
      </w:r>
    </w:p>
    <w:p w14:paraId="49E1EB92" w14:textId="77777777" w:rsidR="00D4105E" w:rsidRPr="00E14102" w:rsidRDefault="00D4105E" w:rsidP="00E14102">
      <w:pPr>
        <w:autoSpaceDE w:val="0"/>
        <w:autoSpaceDN w:val="0"/>
        <w:adjustRightInd w:val="0"/>
        <w:jc w:val="both"/>
        <w:rPr>
          <w:color w:val="000000" w:themeColor="text1"/>
          <w:sz w:val="16"/>
          <w:szCs w:val="16"/>
        </w:rPr>
      </w:pPr>
    </w:p>
    <w:p w14:paraId="2A2C6AEB" w14:textId="77777777" w:rsidR="00577914" w:rsidRPr="00E14102" w:rsidRDefault="00577914" w:rsidP="00E14102">
      <w:pPr>
        <w:pStyle w:val="651"/>
        <w:shd w:val="clear" w:color="auto" w:fill="auto"/>
        <w:spacing w:line="240" w:lineRule="auto"/>
        <w:jc w:val="both"/>
        <w:rPr>
          <w:rFonts w:ascii="Times New Roman" w:hAnsi="Times New Roman" w:cs="Times New Roman"/>
          <w:color w:val="0070C0"/>
          <w:spacing w:val="0"/>
          <w:sz w:val="16"/>
          <w:szCs w:val="16"/>
        </w:rPr>
      </w:pPr>
      <w:r w:rsidRPr="00E14102">
        <w:rPr>
          <w:rStyle w:val="652"/>
          <w:rFonts w:ascii="Times New Roman" w:hAnsi="Times New Roman" w:cs="Times New Roman"/>
          <w:i w:val="0"/>
          <w:iCs w:val="0"/>
          <w:color w:val="0070C0"/>
          <w:sz w:val="16"/>
          <w:szCs w:val="16"/>
        </w:rPr>
        <w:t>25 октября 1935 года секретарь Комиссии Обороны при СТО Г.Д. Базилевич написал письмо в НКТП зам. Наркома Г.Д. Пятакову:</w:t>
      </w:r>
      <w:r w:rsidRPr="00E14102">
        <w:rPr>
          <w:rStyle w:val="652"/>
          <w:rFonts w:ascii="Times New Roman" w:hAnsi="Times New Roman" w:cs="Times New Roman"/>
          <w:color w:val="0070C0"/>
          <w:sz w:val="16"/>
          <w:szCs w:val="16"/>
        </w:rPr>
        <w:t xml:space="preserve"> </w:t>
      </w:r>
      <w:r w:rsidRPr="00E14102">
        <w:rPr>
          <w:rFonts w:ascii="Times New Roman" w:hAnsi="Times New Roman" w:cs="Times New Roman"/>
          <w:color w:val="0070C0"/>
          <w:spacing w:val="0"/>
          <w:sz w:val="16"/>
          <w:szCs w:val="16"/>
        </w:rPr>
        <w:t>«Молотов просит срочно дать указание ГУАПу обсудить на Техсовете предложение главного конструктора завода №115 Яков</w:t>
      </w:r>
      <w:r w:rsidRPr="00E14102">
        <w:rPr>
          <w:rFonts w:ascii="Times New Roman" w:hAnsi="Times New Roman" w:cs="Times New Roman"/>
          <w:color w:val="0070C0"/>
          <w:spacing w:val="0"/>
          <w:sz w:val="16"/>
          <w:szCs w:val="16"/>
        </w:rPr>
        <w:softHyphen/>
        <w:t>лева о постройке одноместного истребите</w:t>
      </w:r>
      <w:r w:rsidRPr="00E14102">
        <w:rPr>
          <w:rFonts w:ascii="Times New Roman" w:hAnsi="Times New Roman" w:cs="Times New Roman"/>
          <w:color w:val="0070C0"/>
          <w:spacing w:val="0"/>
          <w:sz w:val="16"/>
          <w:szCs w:val="16"/>
        </w:rPr>
        <w:softHyphen/>
        <w:t>ля с мотором Рено 220-350 НР и одноместно</w:t>
      </w:r>
      <w:r w:rsidRPr="00E14102">
        <w:rPr>
          <w:rFonts w:ascii="Times New Roman" w:hAnsi="Times New Roman" w:cs="Times New Roman"/>
          <w:color w:val="0070C0"/>
          <w:spacing w:val="0"/>
          <w:sz w:val="16"/>
          <w:szCs w:val="16"/>
        </w:rPr>
        <w:softHyphen/>
        <w:t>го двухмоторного с моторами Рено».</w:t>
      </w:r>
    </w:p>
    <w:p w14:paraId="050E7CA9" w14:textId="77777777" w:rsidR="00577914" w:rsidRPr="00E14102" w:rsidRDefault="00577914" w:rsidP="00E14102">
      <w:pPr>
        <w:pStyle w:val="129"/>
        <w:shd w:val="clear" w:color="auto" w:fill="auto"/>
        <w:spacing w:after="0" w:line="240" w:lineRule="auto"/>
        <w:rPr>
          <w:rStyle w:val="830"/>
          <w:rFonts w:ascii="Times New Roman" w:hAnsi="Times New Roman" w:cs="Times New Roman"/>
          <w:color w:val="0070C0"/>
          <w:sz w:val="16"/>
          <w:szCs w:val="16"/>
        </w:rPr>
      </w:pPr>
      <w:r w:rsidRPr="00E14102">
        <w:rPr>
          <w:rStyle w:val="830"/>
          <w:rFonts w:ascii="Times New Roman" w:hAnsi="Times New Roman" w:cs="Times New Roman"/>
          <w:color w:val="0070C0"/>
          <w:sz w:val="16"/>
          <w:szCs w:val="16"/>
        </w:rPr>
        <w:t>Начальник ГУАП Г.Н. Королев попытался запустить процесс по бюрократической спи</w:t>
      </w:r>
      <w:r w:rsidRPr="00E14102">
        <w:rPr>
          <w:rStyle w:val="830"/>
          <w:rFonts w:ascii="Times New Roman" w:hAnsi="Times New Roman" w:cs="Times New Roman"/>
          <w:color w:val="0070C0"/>
          <w:sz w:val="16"/>
          <w:szCs w:val="16"/>
        </w:rPr>
        <w:softHyphen/>
        <w:t>рали. Выждав почти месяц, 19 ноября 1935 года он в ответе писал, что предложение Яковлева «требует рассмотрения эскизных проектов этих самолетов Конструкторским советом ГУАПа и положительного заключе</w:t>
      </w:r>
      <w:r w:rsidRPr="00E14102">
        <w:rPr>
          <w:rStyle w:val="830"/>
          <w:rFonts w:ascii="Times New Roman" w:hAnsi="Times New Roman" w:cs="Times New Roman"/>
          <w:color w:val="0070C0"/>
          <w:sz w:val="16"/>
          <w:szCs w:val="16"/>
        </w:rPr>
        <w:softHyphen/>
        <w:t>ния», но в дело достаточно быстро вмешался Сам</w:t>
      </w:r>
      <w:r w:rsidRPr="00E14102">
        <w:rPr>
          <w:rStyle w:val="830"/>
          <w:rFonts w:ascii="Times New Roman" w:hAnsi="Times New Roman" w:cs="Times New Roman"/>
          <w:color w:val="0070C0"/>
          <w:sz w:val="16"/>
          <w:szCs w:val="16"/>
          <w:lang w:val="ru-RU"/>
        </w:rPr>
        <w:t xml:space="preserve"> (19938)</w:t>
      </w:r>
      <w:r w:rsidRPr="00E14102">
        <w:rPr>
          <w:rStyle w:val="830"/>
          <w:rFonts w:ascii="Times New Roman" w:hAnsi="Times New Roman" w:cs="Times New Roman"/>
          <w:color w:val="0070C0"/>
          <w:sz w:val="16"/>
          <w:szCs w:val="16"/>
        </w:rPr>
        <w:t xml:space="preserve">. </w:t>
      </w:r>
    </w:p>
    <w:p w14:paraId="17D11738" w14:textId="77777777" w:rsidR="00577914" w:rsidRPr="00E14102" w:rsidRDefault="00577914" w:rsidP="00E14102">
      <w:pPr>
        <w:pStyle w:val="129"/>
        <w:shd w:val="clear" w:color="auto" w:fill="auto"/>
        <w:spacing w:after="0" w:line="240" w:lineRule="auto"/>
        <w:rPr>
          <w:rStyle w:val="830"/>
          <w:rFonts w:ascii="Times New Roman" w:hAnsi="Times New Roman" w:cs="Times New Roman"/>
          <w:color w:val="0070C0"/>
          <w:sz w:val="16"/>
          <w:szCs w:val="16"/>
        </w:rPr>
      </w:pPr>
    </w:p>
    <w:p w14:paraId="0DE080FD" w14:textId="77777777" w:rsidR="00577914" w:rsidRPr="00E14102" w:rsidRDefault="00577914" w:rsidP="00E14102">
      <w:pPr>
        <w:pStyle w:val="ad"/>
        <w:spacing w:before="0" w:after="0"/>
        <w:rPr>
          <w:rFonts w:ascii="Times New Roman" w:hAnsi="Times New Roman" w:cs="Times New Roman"/>
          <w:color w:val="0070C0"/>
          <w:sz w:val="16"/>
          <w:szCs w:val="16"/>
          <w:lang w:val="ru-RU"/>
        </w:rPr>
      </w:pPr>
      <w:r w:rsidRPr="00E14102">
        <w:rPr>
          <w:rFonts w:ascii="Times New Roman" w:hAnsi="Times New Roman" w:cs="Times New Roman"/>
          <w:color w:val="0070C0"/>
          <w:sz w:val="16"/>
          <w:szCs w:val="16"/>
          <w:lang w:val="ru-RU"/>
        </w:rPr>
        <w:t>25 октября 1935 года секретарь Комиссии Обороны при СТО Г.Д. Базилевич написал письмо в НКТП зам. Наркома Г.Д. Пятакову: «Молотов просит срочно дать указание ГУАПу обсудить на Техсовете предложение главного конструктора завода №115 Яковлева о постройке одноместного истребителя с мотором Рено 220-350 НР и одноместного двухмоторного с моторами Рено».</w:t>
      </w:r>
    </w:p>
    <w:p w14:paraId="78C11EE2" w14:textId="77777777" w:rsidR="00577914" w:rsidRPr="00E14102" w:rsidRDefault="00577914" w:rsidP="00E14102">
      <w:pPr>
        <w:pStyle w:val="ad"/>
        <w:spacing w:before="0" w:after="0"/>
        <w:rPr>
          <w:rFonts w:ascii="Times New Roman" w:hAnsi="Times New Roman" w:cs="Times New Roman"/>
          <w:color w:val="0070C0"/>
          <w:sz w:val="16"/>
          <w:szCs w:val="16"/>
          <w:lang w:val="ru-RU"/>
        </w:rPr>
      </w:pPr>
      <w:r w:rsidRPr="00E14102">
        <w:rPr>
          <w:rFonts w:ascii="Times New Roman" w:hAnsi="Times New Roman" w:cs="Times New Roman"/>
          <w:color w:val="0070C0"/>
          <w:sz w:val="16"/>
          <w:szCs w:val="16"/>
          <w:lang w:val="ru-RU"/>
        </w:rPr>
        <w:t xml:space="preserve">Начальник ГУАП Г.Н. Королев попытался запустить процесс по бюрократической спирали. Выждав почти месяц, 19 ноября 1935 года он в ответе писал, что предложение Яковлева «требует рассмотрения эскизных проектов этих самолетов Конструкторским советом ГУАПа и положительного заключения», но в дело </w:t>
      </w:r>
      <w:r w:rsidRPr="00E14102">
        <w:rPr>
          <w:rFonts w:ascii="Times New Roman" w:hAnsi="Times New Roman" w:cs="Times New Roman"/>
          <w:color w:val="0070C0"/>
          <w:sz w:val="16"/>
          <w:szCs w:val="16"/>
          <w:lang w:val="ru-RU"/>
        </w:rPr>
        <w:lastRenderedPageBreak/>
        <w:t>достаточно быстро вмешался Сам. В январе 1937 года с личного одобрения И.В. Сталина комиссия во главе с директором московского авиамоторного завода № 24 И.Э. Марьямовым отправилась в Париж, Лондон и Прагу. Очевидно, не только Яковлеву были нужны импортные моторы (19842).</w:t>
      </w:r>
    </w:p>
    <w:p w14:paraId="23CAAE0D" w14:textId="77777777" w:rsidR="00577914" w:rsidRPr="00E14102" w:rsidRDefault="00577914" w:rsidP="00E14102">
      <w:pPr>
        <w:pStyle w:val="ad"/>
        <w:spacing w:before="0" w:after="0"/>
        <w:rPr>
          <w:rFonts w:ascii="Times New Roman" w:hAnsi="Times New Roman" w:cs="Times New Roman"/>
          <w:color w:val="0070C0"/>
          <w:sz w:val="16"/>
          <w:szCs w:val="16"/>
          <w:lang w:val="ru-RU"/>
        </w:rPr>
      </w:pPr>
    </w:p>
    <w:p w14:paraId="7B172D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октября 1935 Зам. Нач. ГУАП Кобрин писал Дир. завода 22 Миткевичу письмо N 242/5056сс:</w:t>
      </w:r>
    </w:p>
    <w:p w14:paraId="43311C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появившейся за границей работой полковника Майо над сложным самолетом, предлагаю дать бригаде и Вахмистрова задание на предварительные подсчеты ЛД дальнего скоростного бомбардировщика, катапультируемого в воздухе другим самолетом.</w:t>
      </w:r>
    </w:p>
    <w:p w14:paraId="4E2F1D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Результаты подсчета доложить мне не позднее 1 декабря с.г.</w:t>
      </w:r>
    </w:p>
    <w:p w14:paraId="008389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подтверждаю просьбу Врид Нач. УВС Хрипина (17 октября N 41/002585) о всемерном форсировании работ бригады и Вахмистрова, в связи с чем предлагаю разработать конкретные меры, имея в виду актуальность и важность задания.</w:t>
      </w:r>
    </w:p>
    <w:p w14:paraId="513A44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Перечень мероприятий представить не позднее 15 ноября с.г." (2336,164).</w:t>
      </w:r>
    </w:p>
    <w:p w14:paraId="43702747" w14:textId="77777777" w:rsidR="00D4105E" w:rsidRPr="00E14102" w:rsidRDefault="00D4105E" w:rsidP="00E14102">
      <w:pPr>
        <w:autoSpaceDE w:val="0"/>
        <w:autoSpaceDN w:val="0"/>
        <w:adjustRightInd w:val="0"/>
        <w:jc w:val="both"/>
        <w:rPr>
          <w:color w:val="000000" w:themeColor="text1"/>
          <w:sz w:val="16"/>
          <w:szCs w:val="16"/>
        </w:rPr>
      </w:pPr>
    </w:p>
    <w:p w14:paraId="409FAA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25 октября по 1 декабря 1935 состоялись испытания самолета Звено (ТБ-3 4М-17 + 2И-16). Отв. исполнители - ви Лосюков. Цель испытаний:</w:t>
      </w:r>
    </w:p>
    <w:p w14:paraId="484BBE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Проверить надежность конструкции установок для подвески и и безопасности их работы.</w:t>
      </w:r>
    </w:p>
    <w:p w14:paraId="1CC769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Проверить надежность схемы питания горючим и смазочными И-16 от ТБ-3 в полете</w:t>
      </w:r>
    </w:p>
    <w:p w14:paraId="293A0A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Выявить влияние установок на ЛД (2763).</w:t>
      </w:r>
    </w:p>
    <w:p w14:paraId="32B624F8" w14:textId="77777777" w:rsidR="00D4105E" w:rsidRPr="00E14102" w:rsidRDefault="00D4105E" w:rsidP="00E14102">
      <w:pPr>
        <w:autoSpaceDE w:val="0"/>
        <w:autoSpaceDN w:val="0"/>
        <w:adjustRightInd w:val="0"/>
        <w:jc w:val="both"/>
        <w:rPr>
          <w:color w:val="000000" w:themeColor="text1"/>
          <w:sz w:val="16"/>
          <w:szCs w:val="16"/>
        </w:rPr>
      </w:pPr>
    </w:p>
    <w:p w14:paraId="10B50235" w14:textId="77777777" w:rsidR="004E5DD8"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B226301" w14:textId="77777777" w:rsidR="004E5DD8" w:rsidRPr="00E14102" w:rsidRDefault="004E5DD8" w:rsidP="00E14102">
      <w:pPr>
        <w:autoSpaceDE w:val="0"/>
        <w:autoSpaceDN w:val="0"/>
        <w:adjustRightInd w:val="0"/>
        <w:jc w:val="both"/>
        <w:rPr>
          <w:iCs/>
          <w:color w:val="000000" w:themeColor="text1"/>
          <w:sz w:val="16"/>
          <w:szCs w:val="16"/>
        </w:rPr>
      </w:pPr>
    </w:p>
    <w:p w14:paraId="413CD63C" w14:textId="77777777" w:rsidR="004E5DD8" w:rsidRPr="00E14102" w:rsidRDefault="004E5DD8" w:rsidP="00E14102">
      <w:pPr>
        <w:pStyle w:val="rtejustify"/>
        <w:spacing w:before="0" w:after="0"/>
        <w:rPr>
          <w:color w:val="000000" w:themeColor="text1"/>
          <w:sz w:val="16"/>
          <w:szCs w:val="16"/>
        </w:rPr>
      </w:pPr>
      <w:r w:rsidRPr="00E14102">
        <w:rPr>
          <w:rStyle w:val="a6"/>
          <w:bCs/>
          <w:i w:val="0"/>
          <w:color w:val="000000" w:themeColor="text1"/>
          <w:sz w:val="16"/>
          <w:szCs w:val="16"/>
        </w:rPr>
        <w:t>25 октября 1935 вышел приказ НКО №</w:t>
      </w:r>
      <w:r w:rsidRPr="00E14102">
        <w:rPr>
          <w:color w:val="000000" w:themeColor="text1"/>
          <w:sz w:val="16"/>
          <w:szCs w:val="16"/>
        </w:rPr>
        <w:t> 0092. О назначении комиссии для проведения войсковых испытаний опытной серии зенитных пулеметных установок на машинах Т</w:t>
      </w:r>
      <w:r w:rsidRPr="00E14102">
        <w:rPr>
          <w:color w:val="000000" w:themeColor="text1"/>
          <w:sz w:val="16"/>
          <w:szCs w:val="16"/>
        </w:rPr>
        <w:noBreakHyphen/>
        <w:t>26 и Т</w:t>
      </w:r>
      <w:r w:rsidRPr="00E14102">
        <w:rPr>
          <w:color w:val="000000" w:themeColor="text1"/>
          <w:sz w:val="16"/>
          <w:szCs w:val="16"/>
        </w:rPr>
        <w:noBreakHyphen/>
        <w:t>28 (15247).</w:t>
      </w:r>
    </w:p>
    <w:p w14:paraId="55F39077" w14:textId="77777777" w:rsidR="004E5DD8" w:rsidRPr="00E14102" w:rsidRDefault="004E5DD8" w:rsidP="00E14102">
      <w:pPr>
        <w:pStyle w:val="rtejustify"/>
        <w:spacing w:before="0" w:after="0"/>
        <w:rPr>
          <w:color w:val="000000" w:themeColor="text1"/>
          <w:sz w:val="16"/>
          <w:szCs w:val="16"/>
        </w:rPr>
      </w:pPr>
    </w:p>
    <w:p w14:paraId="7BFA08CF" w14:textId="77777777" w:rsidR="004E5DD8" w:rsidRPr="00E14102" w:rsidRDefault="004E5DD8" w:rsidP="00E14102">
      <w:pPr>
        <w:pStyle w:val="rtejustify"/>
        <w:spacing w:before="0" w:after="0"/>
        <w:rPr>
          <w:color w:val="000000" w:themeColor="text1"/>
          <w:sz w:val="16"/>
          <w:szCs w:val="16"/>
        </w:rPr>
      </w:pPr>
      <w:r w:rsidRPr="00E14102">
        <w:rPr>
          <w:rStyle w:val="a6"/>
          <w:bCs/>
          <w:i w:val="0"/>
          <w:color w:val="000000" w:themeColor="text1"/>
          <w:sz w:val="16"/>
          <w:szCs w:val="16"/>
        </w:rPr>
        <w:t>25 октября 1935 вышел приказ НКО №</w:t>
      </w:r>
      <w:r w:rsidRPr="00E14102">
        <w:rPr>
          <w:color w:val="000000" w:themeColor="text1"/>
          <w:sz w:val="16"/>
          <w:szCs w:val="16"/>
        </w:rPr>
        <w:t> 0217. О назначении комиссии для проведения полигонных испытаний перископического танкового прицела № 7 Цейса в Т</w:t>
      </w:r>
      <w:r w:rsidRPr="00E14102">
        <w:rPr>
          <w:color w:val="000000" w:themeColor="text1"/>
          <w:sz w:val="16"/>
          <w:szCs w:val="16"/>
        </w:rPr>
        <w:noBreakHyphen/>
        <w:t>28 с 76</w:t>
      </w:r>
      <w:r w:rsidRPr="00E14102">
        <w:rPr>
          <w:color w:val="000000" w:themeColor="text1"/>
          <w:sz w:val="16"/>
          <w:szCs w:val="16"/>
        </w:rPr>
        <w:noBreakHyphen/>
        <w:t>мм пушкой образца 1928/32 гг. и удлиненного танкового телескопического прицела, шифр «ТОД» (15247).</w:t>
      </w:r>
    </w:p>
    <w:p w14:paraId="4230D666" w14:textId="77777777" w:rsidR="004E5DD8" w:rsidRPr="00E14102" w:rsidRDefault="004E5DD8" w:rsidP="00E14102">
      <w:pPr>
        <w:pStyle w:val="rtejustify"/>
        <w:spacing w:before="0" w:after="0"/>
        <w:rPr>
          <w:color w:val="000000" w:themeColor="text1"/>
          <w:sz w:val="16"/>
          <w:szCs w:val="16"/>
        </w:rPr>
      </w:pPr>
    </w:p>
    <w:p w14:paraId="669DE1CA" w14:textId="77777777" w:rsidR="004E5DD8" w:rsidRPr="00E14102" w:rsidRDefault="004E5DD8" w:rsidP="00E14102">
      <w:pPr>
        <w:pStyle w:val="rtejustify"/>
        <w:spacing w:before="0" w:after="0"/>
        <w:rPr>
          <w:color w:val="000000" w:themeColor="text1"/>
          <w:sz w:val="16"/>
          <w:szCs w:val="16"/>
        </w:rPr>
      </w:pPr>
      <w:r w:rsidRPr="00E14102">
        <w:rPr>
          <w:rStyle w:val="a6"/>
          <w:bCs/>
          <w:i w:val="0"/>
          <w:color w:val="000000" w:themeColor="text1"/>
          <w:sz w:val="16"/>
          <w:szCs w:val="16"/>
        </w:rPr>
        <w:t>25 октября 1935 вышел приказ НКО №</w:t>
      </w:r>
      <w:r w:rsidRPr="00E14102">
        <w:rPr>
          <w:color w:val="000000" w:themeColor="text1"/>
          <w:sz w:val="16"/>
          <w:szCs w:val="16"/>
        </w:rPr>
        <w:t> 0216. О назначении комиссии для производства полигонных испытаний бронированного самоходного наблюдательного пункта БСНП (15247).</w:t>
      </w:r>
    </w:p>
    <w:p w14:paraId="51EC0150" w14:textId="77777777" w:rsidR="004E5DD8" w:rsidRPr="00E14102" w:rsidRDefault="004E5DD8" w:rsidP="00E14102">
      <w:pPr>
        <w:pStyle w:val="rtejustify"/>
        <w:spacing w:before="0" w:after="0"/>
        <w:rPr>
          <w:color w:val="000000" w:themeColor="text1"/>
          <w:sz w:val="16"/>
          <w:szCs w:val="16"/>
        </w:rPr>
      </w:pPr>
    </w:p>
    <w:p w14:paraId="65FB285C" w14:textId="77777777" w:rsidR="004E5DD8"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F484A81" w14:textId="77777777" w:rsidR="004E5DD8" w:rsidRPr="00E14102" w:rsidRDefault="004E5DD8" w:rsidP="00E14102">
      <w:pPr>
        <w:autoSpaceDE w:val="0"/>
        <w:autoSpaceDN w:val="0"/>
        <w:adjustRightInd w:val="0"/>
        <w:jc w:val="both"/>
        <w:rPr>
          <w:iCs/>
          <w:color w:val="000000" w:themeColor="text1"/>
          <w:sz w:val="16"/>
          <w:szCs w:val="16"/>
        </w:rPr>
      </w:pPr>
    </w:p>
    <w:p w14:paraId="435F2515" w14:textId="77777777" w:rsidR="004E5DD8" w:rsidRPr="00E14102" w:rsidRDefault="004E5DD8"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25 октября </w:t>
      </w:r>
      <w:r w:rsidRPr="00E14102">
        <w:rPr>
          <w:color w:val="000000" w:themeColor="text1"/>
          <w:sz w:val="16"/>
          <w:szCs w:val="16"/>
        </w:rPr>
        <w:t>в 1935 году в Германии запрещена передача джазовой музыки по радио, если в составе ансамбля есть евреи или чернокожие американцы, признанные по Нюрнбергским законам от 15 сентября 1935 "неполноценными народами" (14810).</w:t>
      </w:r>
    </w:p>
    <w:p w14:paraId="341E77F6" w14:textId="77777777" w:rsidR="004E5DD8" w:rsidRPr="00E14102" w:rsidRDefault="004E5DD8" w:rsidP="00E14102">
      <w:pPr>
        <w:jc w:val="both"/>
        <w:rPr>
          <w:color w:val="000000" w:themeColor="text1"/>
          <w:sz w:val="16"/>
          <w:szCs w:val="16"/>
        </w:rPr>
      </w:pPr>
    </w:p>
    <w:p w14:paraId="0FECF05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FCCD02A" w14:textId="77777777" w:rsidR="00D4105E" w:rsidRPr="00E14102" w:rsidRDefault="00D4105E" w:rsidP="00E14102">
      <w:pPr>
        <w:autoSpaceDE w:val="0"/>
        <w:autoSpaceDN w:val="0"/>
        <w:adjustRightInd w:val="0"/>
        <w:jc w:val="both"/>
        <w:rPr>
          <w:iCs/>
          <w:color w:val="000000" w:themeColor="text1"/>
          <w:sz w:val="16"/>
          <w:szCs w:val="16"/>
        </w:rPr>
      </w:pPr>
    </w:p>
    <w:p w14:paraId="3F5A82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26 октября 1935 года закончились гос. испытания самолета ТБ-3 4М34-РН, эталона 1935 года, которые проходили с 17 августа (6679).</w:t>
      </w:r>
    </w:p>
    <w:p w14:paraId="0E42899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29A456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Белозеров И.П.</w:t>
      </w:r>
    </w:p>
    <w:p w14:paraId="20A0936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4B43FB8F"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эталона самолета ТБ-3 4М 34РН с целью выявления летных, эксплуатационных и весовых характеристик.</w:t>
      </w:r>
    </w:p>
    <w:p w14:paraId="0A1683A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Сравнение полученных на эталоне данных с данными предыдущих испытаний других тяжелых самолетов.</w:t>
      </w:r>
    </w:p>
    <w:p w14:paraId="1CC65ED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стрелкового и бомбардировочного вооружения и спецоборудования.</w:t>
      </w:r>
    </w:p>
    <w:p w14:paraId="013018A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испытывался на земле и в воздухе 22 дня, налетал 97 часов.</w:t>
      </w:r>
    </w:p>
    <w:p w14:paraId="2D2F40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8C7431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ТБ-3 4М 34РН в предъявленном на гос. испытания виде, по своему состоянию, по состоянию винтомоторной группы, вооружения и кислородного оборудования, не может быть допущен в качестве эталона для постройки серийных самолетов без устранения выявленных в процессе испытаний основных дефектов (6679).</w:t>
      </w:r>
    </w:p>
    <w:p w14:paraId="5F65456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4B2518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октября 1935 закончились гос. испытания ТБ-3 (АНТ-6) 22 завода (N 22570) с М-34РН, которые были начаты еще 17 августа 1935. Поняли, что отстаем от зарубежных и одними двигателями дело не поправишь. Тем не менее рекомендовали в серию в качестве эталона на 1936 (346,27).</w:t>
      </w:r>
    </w:p>
    <w:p w14:paraId="6930EF01" w14:textId="77777777" w:rsidR="00D4105E" w:rsidRPr="00E14102" w:rsidRDefault="00D4105E" w:rsidP="00E14102">
      <w:pPr>
        <w:autoSpaceDE w:val="0"/>
        <w:autoSpaceDN w:val="0"/>
        <w:adjustRightInd w:val="0"/>
        <w:jc w:val="both"/>
        <w:rPr>
          <w:color w:val="000000" w:themeColor="text1"/>
          <w:sz w:val="16"/>
          <w:szCs w:val="16"/>
        </w:rPr>
      </w:pPr>
    </w:p>
    <w:p w14:paraId="154DD5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октября 1935 в НИИ ВВС закончились летные исследования ТБ-3 4М-34РН N 22570 по определению поляры, которые шли с 5 сентября 1940. Отв. исполнители: и Доброхотов, и Н.В.Иванов.</w:t>
      </w:r>
    </w:p>
    <w:p w14:paraId="660DFF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202D4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Результаты летного исследования ТБ-3 4М-34РН по снятию поляры признать удовлетворительным (2931).</w:t>
      </w:r>
    </w:p>
    <w:p w14:paraId="01B1A284" w14:textId="77777777" w:rsidR="00D4105E" w:rsidRPr="00E14102" w:rsidRDefault="00D4105E" w:rsidP="00E14102">
      <w:pPr>
        <w:autoSpaceDE w:val="0"/>
        <w:autoSpaceDN w:val="0"/>
        <w:adjustRightInd w:val="0"/>
        <w:jc w:val="both"/>
        <w:rPr>
          <w:color w:val="000000" w:themeColor="text1"/>
          <w:sz w:val="16"/>
          <w:szCs w:val="16"/>
        </w:rPr>
      </w:pPr>
    </w:p>
    <w:p w14:paraId="16B442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октября 1935 в НИИ ВВС закончились гос. испытаниях ТБ-3 4М-34РН эталона 1935, которые проходили с 17 августа 1935. Отв. исполнители: и-л И.П.Белозеров. Заключение:</w:t>
      </w:r>
    </w:p>
    <w:p w14:paraId="1C6F8E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ТБ-3 4М034РН в предъявленном на гос. испытания виде, по своему состоянию, по состоянию ВМГ, вооружения и кислородного оборудования, не м.б. допущен в качестве эталона для постройки серийных самолетов, без устранения выявленных в процессе испытаний основных дефектов.</w:t>
      </w:r>
    </w:p>
    <w:p w14:paraId="7ECC84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Превосходя по своим ЛД ТБ-3 2М-17 и 4М-34Р, этот самолет по скорости и дальности при равной грузоподъемности значительно отстает от однотипных и даже 3-х моторных, меньшей мощности заграничных самолетов.</w:t>
      </w:r>
    </w:p>
    <w:p w14:paraId="0706FC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НИИ считает необходимым потребовать от завода 22 быстрейшего устранения основных, выявленных на испытании дефектов, на уже выпущенных самолетах этого типа. Без этого они не м.б. переданы строевым частям ВС.</w:t>
      </w:r>
    </w:p>
    <w:p w14:paraId="320BF9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После устранения дефектов, ведущих к сильному заворачиванию самолета при взлете и после проведения статических испытаний, необходимо передать его в НИИ ВВС на испытания на дальность с предельной нагрузкой (2934).</w:t>
      </w:r>
    </w:p>
    <w:p w14:paraId="10798B5B" w14:textId="77777777" w:rsidR="00D4105E" w:rsidRPr="00E14102" w:rsidRDefault="00D4105E" w:rsidP="00E14102">
      <w:pPr>
        <w:autoSpaceDE w:val="0"/>
        <w:autoSpaceDN w:val="0"/>
        <w:adjustRightInd w:val="0"/>
        <w:jc w:val="both"/>
        <w:rPr>
          <w:color w:val="000000" w:themeColor="text1"/>
          <w:sz w:val="16"/>
          <w:szCs w:val="16"/>
        </w:rPr>
      </w:pPr>
    </w:p>
    <w:p w14:paraId="21E3C98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26 октября 1935 года зам. Наркома тяжелой промышленности Пятаков писал письмо председателю СНК Молотову</w:t>
      </w:r>
    </w:p>
    <w:p w14:paraId="3AB7CF2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на № 2034/КО от 17 октября 1935 года</w:t>
      </w:r>
    </w:p>
    <w:p w14:paraId="38922BE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 связи с тем, что вопрос об изготовлении на заводе № 1 в 1935 году самолетов PZ вместо ЛР обсуждался Орджоникидзе с Ворошиловым и я не в курсе этого вопроса, прошу Вас рассмотрение докладной записки Куйбышева и Березина по этому вопросу отложить до приезда Орджоникидзе и Ворошилова (3475,134).</w:t>
      </w:r>
    </w:p>
    <w:p w14:paraId="5AAC4ED5"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1F5927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26 и 19 октября 1935 г. бригада исследователей в том же составе про</w:t>
      </w:r>
      <w:r w:rsidRPr="00E14102">
        <w:rPr>
          <w:color w:val="000000" w:themeColor="text1"/>
          <w:sz w:val="16"/>
          <w:szCs w:val="16"/>
        </w:rPr>
        <w:softHyphen/>
        <w:t>вела аналогичные опыты с РС-82 модели 2-01171, но с оперением разма</w:t>
      </w:r>
      <w:r w:rsidRPr="00E14102">
        <w:rPr>
          <w:color w:val="000000" w:themeColor="text1"/>
          <w:sz w:val="16"/>
          <w:szCs w:val="16"/>
        </w:rPr>
        <w:softHyphen/>
        <w:t>хом 150 мм вместо 200. Партию из 20 боеприпасов также изготовили на заводе №75. В первой серии отстрелов 19 октября удалось выпустить во</w:t>
      </w:r>
      <w:r w:rsidRPr="00E14102">
        <w:rPr>
          <w:color w:val="000000" w:themeColor="text1"/>
          <w:sz w:val="16"/>
          <w:szCs w:val="16"/>
        </w:rPr>
        <w:softHyphen/>
        <w:t>семь снарядов. Стрельба прекратилась из-за разрыва в пусковом устрой</w:t>
      </w:r>
      <w:r w:rsidRPr="00E14102">
        <w:rPr>
          <w:color w:val="000000" w:themeColor="text1"/>
          <w:sz w:val="16"/>
          <w:szCs w:val="16"/>
        </w:rPr>
        <w:softHyphen/>
        <w:t>стве девятого боеприпаса, повредившего ПУ. Во второй серии 26 октяб</w:t>
      </w:r>
      <w:r w:rsidRPr="00E14102">
        <w:rPr>
          <w:color w:val="000000" w:themeColor="text1"/>
          <w:sz w:val="16"/>
          <w:szCs w:val="16"/>
        </w:rPr>
        <w:softHyphen/>
        <w:t>ря выпустили остальные 11 снарядов, из которых четыре найти не уда</w:t>
      </w:r>
      <w:r w:rsidRPr="00E14102">
        <w:rPr>
          <w:color w:val="000000" w:themeColor="text1"/>
          <w:sz w:val="16"/>
          <w:szCs w:val="16"/>
        </w:rPr>
        <w:softHyphen/>
        <w:t>лось. Из-за этого результаты технологического рассеивания при стрель</w:t>
      </w:r>
      <w:r w:rsidRPr="00E14102">
        <w:rPr>
          <w:color w:val="000000" w:themeColor="text1"/>
          <w:sz w:val="16"/>
          <w:szCs w:val="16"/>
        </w:rPr>
        <w:softHyphen/>
        <w:t>бе получились намного лучше. Как и в предыдущем случае, уменьшение размаха оперения «ухудшило меткость», в сравнении с результатами стрельбы 22 марта 1935 г. штатными образцами РС-82 модели 1454, но с оперением размахом 150 мм, где отклонение по дальности получи</w:t>
      </w:r>
      <w:r w:rsidRPr="00E14102">
        <w:rPr>
          <w:color w:val="000000" w:themeColor="text1"/>
          <w:sz w:val="16"/>
          <w:szCs w:val="16"/>
        </w:rPr>
        <w:softHyphen/>
        <w:t>лось 1/76. Выводы были практически теми же - от изменения размаха оперения без изменения толщины и длины крыла следует воздержаться.</w:t>
      </w:r>
    </w:p>
    <w:p w14:paraId="3A4D6F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Наряду с этим, в РНИИ ГУБ НКТП продолжались эксперименталь</w:t>
      </w:r>
      <w:r w:rsidRPr="00E14102">
        <w:rPr>
          <w:color w:val="000000" w:themeColor="text1"/>
          <w:sz w:val="16"/>
          <w:szCs w:val="16"/>
        </w:rPr>
        <w:softHyphen/>
        <w:t>ные работы по уменьшению рассеивания РС. Если в 1935 г. они ограни</w:t>
      </w:r>
      <w:r w:rsidRPr="00E14102">
        <w:rPr>
          <w:color w:val="000000" w:themeColor="text1"/>
          <w:sz w:val="16"/>
          <w:szCs w:val="16"/>
        </w:rPr>
        <w:softHyphen/>
        <w:t>чились лишь исследованиями новых способов крепления различного числа крыльев стабилизатора, то в следующем году по теме объекта 25а отстреляли 18 снарядов РОС-82 с восьмью вариантами стабилизаторов из РО двух вариантов. При этом также исследовали влияние длины на</w:t>
      </w:r>
      <w:r w:rsidRPr="00E14102">
        <w:rPr>
          <w:color w:val="000000" w:themeColor="text1"/>
          <w:sz w:val="16"/>
          <w:szCs w:val="16"/>
        </w:rPr>
        <w:softHyphen/>
        <w:t>правляющей на правильный полет боеприпасов. Исследования по теме объекта 256 преследовали те же цели, но применительно к снарядам РС-132. В ходе этих опытов отстреляли 17 боеприпасов, из которых во</w:t>
      </w:r>
      <w:r w:rsidRPr="00E14102">
        <w:rPr>
          <w:color w:val="000000" w:themeColor="text1"/>
          <w:sz w:val="16"/>
          <w:szCs w:val="16"/>
        </w:rPr>
        <w:softHyphen/>
        <w:t>семь обладали различными вариантами оперения (11402).</w:t>
      </w:r>
    </w:p>
    <w:p w14:paraId="47C719E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C39E4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26 октября 1935 т. было письмо начальника ОБАА АУ РККА Могилевкина начальнику АУ РККА Н.А.Ефимову: «Докладываю, что для испытания опытных РФС-245 и РБС-245, разработанных по заданию АУ РККА, в РНИИ необходимо представить лафет 107-мм полевой пушки для монтажа на нем направля</w:t>
      </w:r>
      <w:r w:rsidRPr="00E14102">
        <w:rPr>
          <w:color w:val="000000" w:themeColor="text1"/>
          <w:sz w:val="16"/>
          <w:szCs w:val="16"/>
        </w:rPr>
        <w:softHyphen/>
        <w:t>ющих. НИАП имеет возможность удовлетворить требование РНИИ, но требуется ваше распоряжение начальнику ОМЭК тов. Дроздову. Ходатайствую о предоставлении РНИИ вышеупомянутого лафета из имею</w:t>
      </w:r>
      <w:r w:rsidRPr="00E14102">
        <w:rPr>
          <w:color w:val="000000" w:themeColor="text1"/>
          <w:sz w:val="16"/>
          <w:szCs w:val="16"/>
        </w:rPr>
        <w:softHyphen/>
        <w:t>щихся на НИАП». Данное ходатайство было удовлетворено, и для по</w:t>
      </w:r>
      <w:r w:rsidRPr="00E14102">
        <w:rPr>
          <w:color w:val="000000" w:themeColor="text1"/>
          <w:sz w:val="16"/>
          <w:szCs w:val="16"/>
        </w:rPr>
        <w:softHyphen/>
        <w:t>томков сохранилось фото такой установки (11402).</w:t>
      </w:r>
    </w:p>
    <w:p w14:paraId="141107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C6A2481" w14:textId="77777777" w:rsidR="004E5DD8"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F074A0C" w14:textId="77777777" w:rsidR="004E5DD8" w:rsidRPr="00E14102" w:rsidRDefault="004E5DD8" w:rsidP="00E14102">
      <w:pPr>
        <w:autoSpaceDE w:val="0"/>
        <w:autoSpaceDN w:val="0"/>
        <w:adjustRightInd w:val="0"/>
        <w:jc w:val="both"/>
        <w:rPr>
          <w:iCs/>
          <w:color w:val="000000" w:themeColor="text1"/>
          <w:sz w:val="16"/>
          <w:szCs w:val="16"/>
        </w:rPr>
      </w:pPr>
    </w:p>
    <w:p w14:paraId="15B07877" w14:textId="77777777" w:rsidR="004E5DD8" w:rsidRPr="00E14102" w:rsidRDefault="004E5DD8" w:rsidP="00E14102">
      <w:pPr>
        <w:pStyle w:val="rtejustify"/>
        <w:spacing w:before="0" w:after="0"/>
        <w:rPr>
          <w:color w:val="000000" w:themeColor="text1"/>
          <w:sz w:val="16"/>
          <w:szCs w:val="16"/>
        </w:rPr>
      </w:pPr>
      <w:r w:rsidRPr="00E14102">
        <w:rPr>
          <w:rStyle w:val="a6"/>
          <w:bCs/>
          <w:i w:val="0"/>
          <w:color w:val="000000" w:themeColor="text1"/>
          <w:sz w:val="16"/>
          <w:szCs w:val="16"/>
        </w:rPr>
        <w:t>26 октября 1935 вышел приказ НКО №</w:t>
      </w:r>
      <w:r w:rsidRPr="00E14102">
        <w:rPr>
          <w:color w:val="000000" w:themeColor="text1"/>
          <w:sz w:val="16"/>
          <w:szCs w:val="16"/>
        </w:rPr>
        <w:t> 0093. О назначении комиссии [для] производства испытаний объектов Химического института № 2 (15247).</w:t>
      </w:r>
    </w:p>
    <w:p w14:paraId="2E0A395C" w14:textId="77777777" w:rsidR="004E5DD8" w:rsidRPr="00E14102" w:rsidRDefault="004E5DD8" w:rsidP="00E14102">
      <w:pPr>
        <w:pStyle w:val="rtejustify"/>
        <w:spacing w:before="0" w:after="0"/>
        <w:rPr>
          <w:color w:val="000000" w:themeColor="text1"/>
          <w:sz w:val="16"/>
          <w:szCs w:val="16"/>
        </w:rPr>
      </w:pPr>
    </w:p>
    <w:p w14:paraId="594746E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E76F205" w14:textId="77777777" w:rsidR="00D4105E" w:rsidRPr="00E14102" w:rsidRDefault="00D4105E" w:rsidP="00E14102">
      <w:pPr>
        <w:autoSpaceDE w:val="0"/>
        <w:autoSpaceDN w:val="0"/>
        <w:adjustRightInd w:val="0"/>
        <w:jc w:val="both"/>
        <w:rPr>
          <w:iCs/>
          <w:color w:val="000000" w:themeColor="text1"/>
          <w:sz w:val="16"/>
          <w:szCs w:val="16"/>
        </w:rPr>
      </w:pPr>
    </w:p>
    <w:p w14:paraId="542F59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октября 1935 г. эскизный проект самолета И-21 (ЦКБ-32) и макет предъявили начальнику управления ВВС Я.И.Алкснпсу. Самолет отличался малыми размерами, довольно высокой для того времени удельной нагрузкой на крыло (-150 кг/м2), имел убирающееся одностоечное шасси, закрытую кабину и испарительную систему охлаждения. Применение подобной системы на И-21 предписывалось выпущенным в марте 1935 г. приказом Главного управления авиационной промышленности, предлагавшим “...срочно проработать вопрос о применении испарительного охлаждения на самолетах, на которых можно получить наибольший эффект от такого типа охлаждения”. Испарительная система охлаждения позволяла отказаться от громоздких, выступающих в воздушный поток и создающих большое лобовое сопротивление радиаторов. На И-21 она представляла собой двойную обшивку центроплана крыла из тонких листов нержавеющей стали. В пространство между листами обшивки поступала использованная в системе охлаждения вода, превратившаяся в пар. Охлаждаясь воздухом, обтекавшим крыло, пар конденсировался, вода при циркуляции в крыле дополнительно охлаждалась и вновь поступала в двигатель. Для охлаждения на режимах руления и набора высоты предусматривалась установка небольшого выдвижного водорадиатора.</w:t>
      </w:r>
    </w:p>
    <w:p w14:paraId="37969D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Предполагали, что И-21 с полетным весом 2170 кг будет иметь максимальную скорость 598-620 км/ч. Вооружение состояло из четырех ШКАСов и бомбодержателей под крылом (9528).</w:t>
      </w:r>
    </w:p>
    <w:p w14:paraId="283324CB" w14:textId="77777777" w:rsidR="00D4105E" w:rsidRPr="00E14102" w:rsidRDefault="00D4105E" w:rsidP="00E14102">
      <w:pPr>
        <w:autoSpaceDE w:val="0"/>
        <w:autoSpaceDN w:val="0"/>
        <w:adjustRightInd w:val="0"/>
        <w:jc w:val="both"/>
        <w:rPr>
          <w:color w:val="000000" w:themeColor="text1"/>
          <w:sz w:val="16"/>
          <w:szCs w:val="16"/>
        </w:rPr>
      </w:pPr>
    </w:p>
    <w:p w14:paraId="4D173CB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27 октября 1935 года письмо № 2096/ко в НКФ Гринько</w:t>
      </w:r>
    </w:p>
    <w:p w14:paraId="0F81F2F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указанию Молотова препровождаю на Ваше заключение письмо Пятакова о финансовом состоянии завода № 22.</w:t>
      </w:r>
    </w:p>
    <w:p w14:paraId="075261B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 на 1 листе № 01/8282с (3475,190).</w:t>
      </w:r>
    </w:p>
    <w:p w14:paraId="7E7C8D76"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0B4BE7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октября 1935 АНТ-14 и 2 АНТ-6 (ТБ-3) летали в Бухарест. Показывали групповые прыжки (71,184).</w:t>
      </w:r>
    </w:p>
    <w:p w14:paraId="79ED6E0A" w14:textId="77777777" w:rsidR="00D4105E" w:rsidRPr="00E14102" w:rsidRDefault="00D4105E" w:rsidP="00E14102">
      <w:pPr>
        <w:autoSpaceDE w:val="0"/>
        <w:autoSpaceDN w:val="0"/>
        <w:adjustRightInd w:val="0"/>
        <w:jc w:val="both"/>
        <w:rPr>
          <w:color w:val="000000" w:themeColor="text1"/>
          <w:sz w:val="16"/>
          <w:szCs w:val="16"/>
        </w:rPr>
      </w:pPr>
    </w:p>
    <w:p w14:paraId="24A36C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27 октября 1935 г. М-85 проходил государственные стендовые испытания в НИИ ВВС, успешно завершил их (со второго предъявления) январе 1936 г. На испытаниях зафиксировали мощность 761/812 л.с. Поздние серии частично унифицировались с М-86, в частности от последнего взяли усиленный кривошипно-шатунный механизм. Двигате; сняли с производства в конце 1937 г. Всего выпущено 463 экз.</w:t>
      </w:r>
    </w:p>
    <w:p w14:paraId="2C79954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Характеристики:</w:t>
      </w:r>
    </w:p>
    <w:p w14:paraId="4F5F73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14-цилиндровый, двухрядный звездообразный, четырехтактный, воз</w:t>
      </w:r>
      <w:r w:rsidRPr="00E14102">
        <w:rPr>
          <w:color w:val="000000" w:themeColor="text1"/>
          <w:sz w:val="16"/>
          <w:szCs w:val="16"/>
        </w:rPr>
        <w:softHyphen/>
        <w:t>душного охлаждения, редукторный, с односкоростным ПЦН;</w:t>
      </w:r>
    </w:p>
    <w:p w14:paraId="1BE822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мощность 720/800 л.с. (с винтом фиксированного шага 765 л.с.);</w:t>
      </w:r>
    </w:p>
    <w:p w14:paraId="337CB63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вес 600 кг;</w:t>
      </w:r>
    </w:p>
    <w:p w14:paraId="52672BE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диаметр цилиндра/ход поршня 146/165 мм;</w:t>
      </w:r>
    </w:p>
    <w:p w14:paraId="5B0D1C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полный рабочий объем 38,68 л;</w:t>
      </w:r>
    </w:p>
    <w:p w14:paraId="20F93F3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степень сжатия 5,5.</w:t>
      </w:r>
    </w:p>
    <w:p w14:paraId="14F9FD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Применялся на серийных самолетах ДБ-3, опытных самолетах И-207, ДГ-58 (ПБ, недостроен), ДГ-58Р (Р-9, недостроен), Р-9 (ЛБШ), ПС-35, ДИ-8. Предусматривался в проекте одной из модификаций СБ (11852).</w:t>
      </w:r>
    </w:p>
    <w:p w14:paraId="558FB0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47080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октября 1935 года закончились гос. испытания головного серийного образца, изготовленного заводом N 69, прицела ПВТБ-1 (СП-123), которые проходили с 15 сентября 1935.</w:t>
      </w:r>
    </w:p>
    <w:p w14:paraId="6B08D5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w:t>
      </w:r>
    </w:p>
    <w:p w14:paraId="4CEE3B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Выявить качество производственного исполнения головного образца серийного изготовления завода N 69.</w:t>
      </w:r>
    </w:p>
    <w:p w14:paraId="6A7850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Определить возможность и точность бомбометания до высот 5000 м включительно, с оптическим визиром.</w:t>
      </w:r>
    </w:p>
    <w:p w14:paraId="24A8DD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Отметить попутно с испытаниями серийного образца встретившиеся недостатки конструкции.</w:t>
      </w:r>
    </w:p>
    <w:p w14:paraId="7D44CF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3CC22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Считать, что головной серийный образец ПВТБ-1 изготовления завода N 69, гос. испытания выдержал при условии обязательного устранения дефектов (3102).</w:t>
      </w:r>
    </w:p>
    <w:p w14:paraId="5960C4B4" w14:textId="77777777" w:rsidR="00D4105E" w:rsidRPr="00E14102" w:rsidRDefault="00D4105E" w:rsidP="00E14102">
      <w:pPr>
        <w:autoSpaceDE w:val="0"/>
        <w:autoSpaceDN w:val="0"/>
        <w:adjustRightInd w:val="0"/>
        <w:jc w:val="both"/>
        <w:rPr>
          <w:color w:val="000000" w:themeColor="text1"/>
          <w:sz w:val="16"/>
          <w:szCs w:val="16"/>
        </w:rPr>
      </w:pPr>
    </w:p>
    <w:p w14:paraId="7067153D" w14:textId="77777777" w:rsidR="004E5DD8" w:rsidRPr="00E14102" w:rsidRDefault="004E5DD8" w:rsidP="00E14102">
      <w:pPr>
        <w:jc w:val="both"/>
        <w:rPr>
          <w:rStyle w:val="a6"/>
          <w:i w:val="0"/>
          <w:color w:val="000000" w:themeColor="text1"/>
          <w:sz w:val="16"/>
          <w:szCs w:val="16"/>
        </w:rPr>
      </w:pPr>
      <w:r w:rsidRPr="00E14102">
        <w:rPr>
          <w:rStyle w:val="a6"/>
          <w:i w:val="0"/>
          <w:color w:val="000000" w:themeColor="text1"/>
          <w:sz w:val="16"/>
          <w:szCs w:val="16"/>
        </w:rPr>
        <w:t xml:space="preserve">27 октября 1935 г. </w:t>
      </w:r>
      <w:r w:rsidRPr="00E14102">
        <w:rPr>
          <w:color w:val="000000" w:themeColor="text1"/>
          <w:sz w:val="16"/>
          <w:szCs w:val="16"/>
        </w:rPr>
        <w:t>Из доклада начальника Главного управления авиационной промышленности Г. Н. Королева в Наркомат тяжелой промышленности СССР «О работе авиационной промышленности по перевооружению военно-воздушных сил РККА»¹*</w:t>
      </w:r>
    </w:p>
    <w:p w14:paraId="3DA6BBEC" w14:textId="77777777" w:rsidR="004E5DD8" w:rsidRPr="00E14102" w:rsidRDefault="004E5DD8"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408422D4"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В связи с постановкой в СТО вопроса о выполнении плана по новым типам самолетов и моторов считаю необходимым доложить несколько более широко о положении.</w:t>
      </w:r>
    </w:p>
    <w:p w14:paraId="2838ED8B"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1) Истребительная авиация</w:t>
      </w:r>
    </w:p>
    <w:p w14:paraId="2AFDAEC3"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Истребительная авиация 2</w:t>
      </w:r>
      <w:r w:rsidRPr="00E14102">
        <w:rPr>
          <w:color w:val="000000" w:themeColor="text1"/>
          <w:sz w:val="16"/>
          <w:szCs w:val="16"/>
        </w:rPr>
        <w:noBreakHyphen/>
        <w:t>3 года тому назад не только у нас в Союзе, но и во всем мире переживала глубочайший кризис. Причинами этого, с одной стороны, являлись взгляды некоторых влиятельных заграничных военных авторитетов, разделявшихся в то время некоторыми работниками и у нас, по которым боевое значение авиации базировалось в основном на тяжелых бомбардировщиках, коим придавалось название наступательной авиации, а истребительной авиации отводилось крайне скромное место в пределах защитной авиации, а с другой стороны, это обуславливалось низким техническим уровнем состояния истребительной авиации в то время.</w:t>
      </w:r>
    </w:p>
    <w:p w14:paraId="61262A55"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За последнее время взгляды военных авторитетов начали снова склоняться к истребительной авиации, причем от истребительной авиации они стали требовать не маневренности и скороподъемности, качеств, необходимых для ведения маневренного боя, а максимальных горизонтальных скоростей и сильного вооружения, нужных для активных наступательных действий. Подобное положение нашло отражение и у нас в Союзе. В 1927 г. был выпущен один истребитель И</w:t>
      </w:r>
      <w:r w:rsidRPr="00E14102">
        <w:rPr>
          <w:color w:val="000000" w:themeColor="text1"/>
          <w:sz w:val="16"/>
          <w:szCs w:val="16"/>
        </w:rPr>
        <w:noBreakHyphen/>
        <w:t>4, в 1928 г. — один И</w:t>
      </w:r>
      <w:r w:rsidRPr="00E14102">
        <w:rPr>
          <w:color w:val="000000" w:themeColor="text1"/>
          <w:sz w:val="16"/>
          <w:szCs w:val="16"/>
        </w:rPr>
        <w:noBreakHyphen/>
        <w:t>3, в 1929 г. — И</w:t>
      </w:r>
      <w:r w:rsidRPr="00E14102">
        <w:rPr>
          <w:color w:val="000000" w:themeColor="text1"/>
          <w:sz w:val="16"/>
          <w:szCs w:val="16"/>
        </w:rPr>
        <w:noBreakHyphen/>
        <w:t>6, в 1930 г. — И</w:t>
      </w:r>
      <w:r w:rsidRPr="00E14102">
        <w:rPr>
          <w:color w:val="000000" w:themeColor="text1"/>
          <w:sz w:val="16"/>
          <w:szCs w:val="16"/>
        </w:rPr>
        <w:noBreakHyphen/>
        <w:t>5, в 1932 г. ни одного истребителя, и только в 1933 г. начинается снова работа по истребительной авиации и особенно усиленная на заводе № 39.</w:t>
      </w:r>
    </w:p>
    <w:p w14:paraId="1032E143"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Вследствие изложенных причин состояние истребительной авиации в Союзе на 1933 г. было весьма низкое. На вооружении военно-воздушных сил были истребительные самолеты с низкими боевыми и полетными данными, как это можно видеть из нижеследующей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03"/>
        <w:gridCol w:w="1659"/>
        <w:gridCol w:w="1659"/>
        <w:gridCol w:w="2298"/>
        <w:gridCol w:w="1839"/>
        <w:gridCol w:w="2565"/>
      </w:tblGrid>
      <w:tr w:rsidR="00E3599D" w:rsidRPr="00E14102" w14:paraId="6808078F" w14:textId="77777777" w:rsidTr="00DC3D0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AF88DC7" w14:textId="77777777" w:rsidR="004E5DD8" w:rsidRPr="00E14102" w:rsidRDefault="004E5DD8" w:rsidP="00E14102">
            <w:pPr>
              <w:jc w:val="both"/>
              <w:rPr>
                <w:color w:val="000000" w:themeColor="text1"/>
                <w:sz w:val="16"/>
                <w:szCs w:val="16"/>
              </w:rPr>
            </w:pPr>
            <w:r w:rsidRPr="00E14102">
              <w:rPr>
                <w:color w:val="000000" w:themeColor="text1"/>
                <w:sz w:val="16"/>
                <w:szCs w:val="16"/>
              </w:rPr>
              <w:t>Самолет</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63B4E0" w14:textId="77777777" w:rsidR="004E5DD8" w:rsidRPr="00E14102" w:rsidRDefault="004E5DD8" w:rsidP="00E14102">
            <w:pPr>
              <w:jc w:val="both"/>
              <w:rPr>
                <w:color w:val="000000" w:themeColor="text1"/>
                <w:sz w:val="16"/>
                <w:szCs w:val="16"/>
              </w:rPr>
            </w:pPr>
            <w:r w:rsidRPr="00E14102">
              <w:rPr>
                <w:color w:val="000000" w:themeColor="text1"/>
                <w:sz w:val="16"/>
                <w:szCs w:val="16"/>
              </w:rPr>
              <w:t>Скорости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81EEE50" w14:textId="77777777" w:rsidR="004E5DD8" w:rsidRPr="00E14102" w:rsidRDefault="004E5DD8" w:rsidP="00E14102">
            <w:pPr>
              <w:jc w:val="both"/>
              <w:rPr>
                <w:color w:val="000000" w:themeColor="text1"/>
                <w:sz w:val="16"/>
                <w:szCs w:val="16"/>
              </w:rPr>
            </w:pPr>
            <w:r w:rsidRPr="00E14102">
              <w:rPr>
                <w:color w:val="000000" w:themeColor="text1"/>
                <w:sz w:val="16"/>
                <w:szCs w:val="16"/>
              </w:rPr>
              <w:t>Время подъема</w:t>
            </w:r>
          </w:p>
          <w:p w14:paraId="75A92D21" w14:textId="77777777" w:rsidR="004E5DD8" w:rsidRPr="00E14102" w:rsidRDefault="004E5DD8" w:rsidP="00E14102">
            <w:pPr>
              <w:jc w:val="both"/>
              <w:rPr>
                <w:color w:val="000000" w:themeColor="text1"/>
                <w:sz w:val="16"/>
                <w:szCs w:val="16"/>
              </w:rPr>
            </w:pPr>
            <w:r w:rsidRPr="00E14102">
              <w:rPr>
                <w:color w:val="000000" w:themeColor="text1"/>
                <w:sz w:val="16"/>
                <w:szCs w:val="16"/>
              </w:rPr>
              <w:t>на 5 тыс. м</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635426C" w14:textId="77777777" w:rsidR="004E5DD8" w:rsidRPr="00E14102" w:rsidRDefault="004E5DD8" w:rsidP="00E14102">
            <w:pPr>
              <w:jc w:val="both"/>
              <w:rPr>
                <w:color w:val="000000" w:themeColor="text1"/>
                <w:sz w:val="16"/>
                <w:szCs w:val="16"/>
              </w:rPr>
            </w:pPr>
            <w:r w:rsidRPr="00E14102">
              <w:rPr>
                <w:color w:val="000000" w:themeColor="text1"/>
                <w:sz w:val="16"/>
                <w:szCs w:val="16"/>
              </w:rPr>
              <w:t>Потолок (м)</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44217C0" w14:textId="77777777" w:rsidR="004E5DD8" w:rsidRPr="00E14102" w:rsidRDefault="004E5DD8" w:rsidP="00E14102">
            <w:pPr>
              <w:jc w:val="both"/>
              <w:rPr>
                <w:color w:val="000000" w:themeColor="text1"/>
                <w:sz w:val="16"/>
                <w:szCs w:val="16"/>
              </w:rPr>
            </w:pPr>
            <w:r w:rsidRPr="00E14102">
              <w:rPr>
                <w:color w:val="000000" w:themeColor="text1"/>
                <w:sz w:val="16"/>
                <w:szCs w:val="16"/>
              </w:rPr>
              <w:t>Число выстрелов</w:t>
            </w:r>
          </w:p>
          <w:p w14:paraId="26961DF5" w14:textId="77777777" w:rsidR="004E5DD8" w:rsidRPr="00E14102" w:rsidRDefault="004E5DD8" w:rsidP="00E14102">
            <w:pPr>
              <w:jc w:val="both"/>
              <w:rPr>
                <w:color w:val="000000" w:themeColor="text1"/>
                <w:sz w:val="16"/>
                <w:szCs w:val="16"/>
              </w:rPr>
            </w:pPr>
            <w:r w:rsidRPr="00E14102">
              <w:rPr>
                <w:color w:val="000000" w:themeColor="text1"/>
                <w:sz w:val="16"/>
                <w:szCs w:val="16"/>
              </w:rPr>
              <w:t>в мин.</w:t>
            </w:r>
          </w:p>
        </w:tc>
      </w:tr>
      <w:tr w:rsidR="00E3599D" w:rsidRPr="00E14102" w14:paraId="49E98CC7" w14:textId="77777777" w:rsidTr="00DC3D0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716E4B3" w14:textId="77777777" w:rsidR="004E5DD8" w:rsidRPr="00E14102" w:rsidRDefault="004E5DD8" w:rsidP="00E14102">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506225" w14:textId="77777777" w:rsidR="004E5DD8" w:rsidRPr="00E14102" w:rsidRDefault="004E5DD8" w:rsidP="00E14102">
            <w:pPr>
              <w:jc w:val="both"/>
              <w:rPr>
                <w:color w:val="000000" w:themeColor="text1"/>
                <w:sz w:val="16"/>
                <w:szCs w:val="16"/>
              </w:rPr>
            </w:pPr>
            <w:r w:rsidRPr="00E14102">
              <w:rPr>
                <w:color w:val="000000" w:themeColor="text1"/>
                <w:sz w:val="16"/>
                <w:szCs w:val="16"/>
              </w:rPr>
              <w:t>на 3 тыс.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20B57" w14:textId="77777777" w:rsidR="004E5DD8" w:rsidRPr="00E14102" w:rsidRDefault="004E5DD8" w:rsidP="00E14102">
            <w:pPr>
              <w:jc w:val="both"/>
              <w:rPr>
                <w:color w:val="000000" w:themeColor="text1"/>
                <w:sz w:val="16"/>
                <w:szCs w:val="16"/>
              </w:rPr>
            </w:pPr>
            <w:r w:rsidRPr="00E14102">
              <w:rPr>
                <w:color w:val="000000" w:themeColor="text1"/>
                <w:sz w:val="16"/>
                <w:szCs w:val="16"/>
              </w:rPr>
              <w:t>на 5 тыс. м</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70A0A01" w14:textId="77777777" w:rsidR="004E5DD8" w:rsidRPr="00E14102" w:rsidRDefault="004E5DD8" w:rsidP="00E14102">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72EBCE1" w14:textId="77777777" w:rsidR="004E5DD8" w:rsidRPr="00E14102" w:rsidRDefault="004E5DD8" w:rsidP="00E14102">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710C886" w14:textId="77777777" w:rsidR="004E5DD8" w:rsidRPr="00E14102" w:rsidRDefault="004E5DD8" w:rsidP="00E14102">
            <w:pPr>
              <w:jc w:val="both"/>
              <w:rPr>
                <w:color w:val="000000" w:themeColor="text1"/>
                <w:sz w:val="16"/>
                <w:szCs w:val="16"/>
              </w:rPr>
            </w:pPr>
          </w:p>
        </w:tc>
      </w:tr>
      <w:tr w:rsidR="00E3599D" w:rsidRPr="00E14102" w14:paraId="7116C14F"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CA8ECE" w14:textId="77777777" w:rsidR="004E5DD8" w:rsidRPr="00E14102" w:rsidRDefault="004E5DD8" w:rsidP="00E14102">
            <w:pPr>
              <w:jc w:val="both"/>
              <w:rPr>
                <w:color w:val="000000" w:themeColor="text1"/>
                <w:sz w:val="16"/>
                <w:szCs w:val="16"/>
              </w:rPr>
            </w:pPr>
            <w:r w:rsidRPr="00E14102">
              <w:rPr>
                <w:color w:val="000000" w:themeColor="text1"/>
                <w:sz w:val="16"/>
                <w:szCs w:val="16"/>
              </w:rPr>
              <w:t>И-3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52684" w14:textId="77777777" w:rsidR="004E5DD8" w:rsidRPr="00E14102" w:rsidRDefault="004E5DD8" w:rsidP="00E14102">
            <w:pPr>
              <w:jc w:val="both"/>
              <w:rPr>
                <w:color w:val="000000" w:themeColor="text1"/>
                <w:sz w:val="16"/>
                <w:szCs w:val="16"/>
              </w:rPr>
            </w:pPr>
            <w:r w:rsidRPr="00E14102">
              <w:rPr>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359D6" w14:textId="77777777" w:rsidR="004E5DD8" w:rsidRPr="00E14102" w:rsidRDefault="004E5DD8" w:rsidP="00E14102">
            <w:pPr>
              <w:jc w:val="both"/>
              <w:rPr>
                <w:color w:val="000000" w:themeColor="text1"/>
                <w:sz w:val="16"/>
                <w:szCs w:val="16"/>
              </w:rPr>
            </w:pPr>
            <w:r w:rsidRPr="00E14102">
              <w:rPr>
                <w:color w:val="000000" w:themeColor="text1"/>
                <w:sz w:val="16"/>
                <w:szCs w:val="16"/>
              </w:rPr>
              <w:t>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A5650" w14:textId="77777777" w:rsidR="004E5DD8" w:rsidRPr="00E14102" w:rsidRDefault="004E5DD8" w:rsidP="00E14102">
            <w:pPr>
              <w:jc w:val="both"/>
              <w:rPr>
                <w:color w:val="000000" w:themeColor="text1"/>
                <w:sz w:val="16"/>
                <w:szCs w:val="16"/>
              </w:rPr>
            </w:pPr>
            <w:r w:rsidRPr="00E14102">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E004C" w14:textId="77777777" w:rsidR="004E5DD8" w:rsidRPr="00E14102" w:rsidRDefault="004E5DD8" w:rsidP="00E14102">
            <w:pPr>
              <w:jc w:val="both"/>
              <w:rPr>
                <w:color w:val="000000" w:themeColor="text1"/>
                <w:sz w:val="16"/>
                <w:szCs w:val="16"/>
              </w:rPr>
            </w:pPr>
            <w:r w:rsidRPr="00E14102">
              <w:rPr>
                <w:color w:val="000000" w:themeColor="text1"/>
                <w:sz w:val="16"/>
                <w:szCs w:val="16"/>
              </w:rPr>
              <w:t>6800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E3727" w14:textId="77777777" w:rsidR="004E5DD8" w:rsidRPr="00E14102" w:rsidRDefault="004E5DD8" w:rsidP="00E14102">
            <w:pPr>
              <w:jc w:val="both"/>
              <w:rPr>
                <w:color w:val="000000" w:themeColor="text1"/>
                <w:sz w:val="16"/>
                <w:szCs w:val="16"/>
              </w:rPr>
            </w:pPr>
            <w:r w:rsidRPr="00E14102">
              <w:rPr>
                <w:color w:val="000000" w:themeColor="text1"/>
                <w:sz w:val="16"/>
                <w:szCs w:val="16"/>
              </w:rPr>
              <w:t>1400</w:t>
            </w:r>
          </w:p>
        </w:tc>
      </w:tr>
      <w:tr w:rsidR="00E3599D" w:rsidRPr="00E14102" w14:paraId="1F74B7AE"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02F45B" w14:textId="77777777" w:rsidR="004E5DD8" w:rsidRPr="00E14102" w:rsidRDefault="004E5DD8" w:rsidP="00E14102">
            <w:pPr>
              <w:jc w:val="both"/>
              <w:rPr>
                <w:color w:val="000000" w:themeColor="text1"/>
                <w:sz w:val="16"/>
                <w:szCs w:val="16"/>
              </w:rPr>
            </w:pPr>
            <w:r w:rsidRPr="00E14102">
              <w:rPr>
                <w:color w:val="000000" w:themeColor="text1"/>
                <w:sz w:val="16"/>
                <w:szCs w:val="16"/>
              </w:rPr>
              <w:t>И-5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4F5E4" w14:textId="77777777" w:rsidR="004E5DD8" w:rsidRPr="00E14102" w:rsidRDefault="004E5DD8" w:rsidP="00E14102">
            <w:pPr>
              <w:jc w:val="both"/>
              <w:rPr>
                <w:color w:val="000000" w:themeColor="text1"/>
                <w:sz w:val="16"/>
                <w:szCs w:val="16"/>
              </w:rPr>
            </w:pPr>
            <w:r w:rsidRPr="00E14102">
              <w:rPr>
                <w:color w:val="000000" w:themeColor="text1"/>
                <w:sz w:val="16"/>
                <w:szCs w:val="16"/>
              </w:rPr>
              <w:t>258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9F375" w14:textId="77777777" w:rsidR="004E5DD8" w:rsidRPr="00E14102" w:rsidRDefault="004E5DD8" w:rsidP="00E14102">
            <w:pPr>
              <w:jc w:val="both"/>
              <w:rPr>
                <w:color w:val="000000" w:themeColor="text1"/>
                <w:sz w:val="16"/>
                <w:szCs w:val="16"/>
              </w:rPr>
            </w:pPr>
            <w:r w:rsidRPr="00E14102">
              <w:rPr>
                <w:color w:val="000000" w:themeColor="text1"/>
                <w:sz w:val="16"/>
                <w:szCs w:val="16"/>
              </w:rPr>
              <w:t>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DC238" w14:textId="77777777" w:rsidR="004E5DD8" w:rsidRPr="00E14102" w:rsidRDefault="004E5DD8" w:rsidP="00E14102">
            <w:pPr>
              <w:jc w:val="both"/>
              <w:rPr>
                <w:color w:val="000000" w:themeColor="text1"/>
                <w:sz w:val="16"/>
                <w:szCs w:val="16"/>
              </w:rPr>
            </w:pPr>
            <w:r w:rsidRPr="00E14102">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0BBC7" w14:textId="77777777" w:rsidR="004E5DD8" w:rsidRPr="00E14102" w:rsidRDefault="004E5DD8" w:rsidP="00E14102">
            <w:pPr>
              <w:jc w:val="both"/>
              <w:rPr>
                <w:color w:val="000000" w:themeColor="text1"/>
                <w:sz w:val="16"/>
                <w:szCs w:val="16"/>
              </w:rPr>
            </w:pPr>
            <w:r w:rsidRPr="00E14102">
              <w:rPr>
                <w:color w:val="000000" w:themeColor="text1"/>
                <w:sz w:val="16"/>
                <w:szCs w:val="16"/>
              </w:rPr>
              <w:t>7130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0AE89" w14:textId="77777777" w:rsidR="004E5DD8" w:rsidRPr="00E14102" w:rsidRDefault="004E5DD8" w:rsidP="00E14102">
            <w:pPr>
              <w:jc w:val="both"/>
              <w:rPr>
                <w:color w:val="000000" w:themeColor="text1"/>
                <w:sz w:val="16"/>
                <w:szCs w:val="16"/>
              </w:rPr>
            </w:pPr>
            <w:r w:rsidRPr="00E14102">
              <w:rPr>
                <w:color w:val="000000" w:themeColor="text1"/>
                <w:sz w:val="16"/>
                <w:szCs w:val="16"/>
              </w:rPr>
              <w:t>2800</w:t>
            </w:r>
          </w:p>
        </w:tc>
      </w:tr>
      <w:tr w:rsidR="00E3599D" w:rsidRPr="00E14102" w14:paraId="2C939C72"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B75611" w14:textId="77777777" w:rsidR="004E5DD8" w:rsidRPr="00E14102" w:rsidRDefault="004E5DD8" w:rsidP="00E14102">
            <w:pPr>
              <w:jc w:val="both"/>
              <w:rPr>
                <w:color w:val="000000" w:themeColor="text1"/>
                <w:sz w:val="16"/>
                <w:szCs w:val="16"/>
              </w:rPr>
            </w:pPr>
            <w:r w:rsidRPr="00E14102">
              <w:rPr>
                <w:color w:val="000000" w:themeColor="text1"/>
                <w:sz w:val="16"/>
                <w:szCs w:val="16"/>
              </w:rPr>
              <w:t>И-7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DAB6F" w14:textId="77777777" w:rsidR="004E5DD8" w:rsidRPr="00E14102" w:rsidRDefault="004E5DD8" w:rsidP="00E14102">
            <w:pPr>
              <w:jc w:val="both"/>
              <w:rPr>
                <w:color w:val="000000" w:themeColor="text1"/>
                <w:sz w:val="16"/>
                <w:szCs w:val="16"/>
              </w:rPr>
            </w:pPr>
            <w:r w:rsidRPr="00E14102">
              <w:rPr>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69252" w14:textId="77777777" w:rsidR="004E5DD8" w:rsidRPr="00E14102" w:rsidRDefault="004E5DD8" w:rsidP="00E14102">
            <w:pPr>
              <w:jc w:val="both"/>
              <w:rPr>
                <w:color w:val="000000" w:themeColor="text1"/>
                <w:sz w:val="16"/>
                <w:szCs w:val="16"/>
              </w:rPr>
            </w:pPr>
            <w:r w:rsidRPr="00E14102">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83B31" w14:textId="77777777" w:rsidR="004E5DD8" w:rsidRPr="00E14102" w:rsidRDefault="004E5DD8" w:rsidP="00E14102">
            <w:pPr>
              <w:jc w:val="both"/>
              <w:rPr>
                <w:color w:val="000000" w:themeColor="text1"/>
                <w:sz w:val="16"/>
                <w:szCs w:val="16"/>
              </w:rPr>
            </w:pPr>
            <w:r w:rsidRPr="00E14102">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393C0" w14:textId="77777777" w:rsidR="004E5DD8" w:rsidRPr="00E14102" w:rsidRDefault="004E5DD8" w:rsidP="00E14102">
            <w:pPr>
              <w:jc w:val="both"/>
              <w:rPr>
                <w:color w:val="000000" w:themeColor="text1"/>
                <w:sz w:val="16"/>
                <w:szCs w:val="16"/>
              </w:rPr>
            </w:pPr>
            <w:r w:rsidRPr="00E14102">
              <w:rPr>
                <w:color w:val="000000" w:themeColor="text1"/>
                <w:sz w:val="16"/>
                <w:szCs w:val="16"/>
              </w:rPr>
              <w:t>7300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81B7F" w14:textId="77777777" w:rsidR="004E5DD8" w:rsidRPr="00E14102" w:rsidRDefault="004E5DD8" w:rsidP="00E14102">
            <w:pPr>
              <w:jc w:val="both"/>
              <w:rPr>
                <w:color w:val="000000" w:themeColor="text1"/>
                <w:sz w:val="16"/>
                <w:szCs w:val="16"/>
              </w:rPr>
            </w:pPr>
            <w:r w:rsidRPr="00E14102">
              <w:rPr>
                <w:color w:val="000000" w:themeColor="text1"/>
                <w:sz w:val="16"/>
                <w:szCs w:val="16"/>
              </w:rPr>
              <w:t>1400</w:t>
            </w:r>
          </w:p>
        </w:tc>
      </w:tr>
    </w:tbl>
    <w:p w14:paraId="35E59BEE"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Такое положение с истребителями было явно нетерпимо, поэтому, согласно директивам правительства, работа по проектированию и постройке новых истребителей на заводе № 39 в 1933</w:t>
      </w:r>
      <w:r w:rsidRPr="00E14102">
        <w:rPr>
          <w:color w:val="000000" w:themeColor="text1"/>
          <w:sz w:val="16"/>
          <w:szCs w:val="16"/>
        </w:rPr>
        <w:noBreakHyphen/>
        <w:t>1934 гг. была форсирована, в результате чего военно-воздушные силы получили ряд новых истребителей, летные и боевые данные которых резко повысили уровень нашей истребительной авиации и поставили ее наравне с последними достижениями истребительной авиации ведущих заграничных стран...²*</w:t>
      </w:r>
    </w:p>
    <w:p w14:paraId="449BBD1F"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Боевая мощь современных истребителей также значительно усилилась. Если раньше количество выстрелов в минуту доходило до 1400, то теперь возросло в среднем до 2800</w:t>
      </w:r>
      <w:r w:rsidRPr="00E14102">
        <w:rPr>
          <w:color w:val="000000" w:themeColor="text1"/>
          <w:sz w:val="16"/>
          <w:szCs w:val="16"/>
        </w:rPr>
        <w:noBreakHyphen/>
        <w:t>3600, и удалось создать пушечный истребитель ИП</w:t>
      </w:r>
      <w:r w:rsidRPr="00E14102">
        <w:rPr>
          <w:color w:val="000000" w:themeColor="text1"/>
          <w:sz w:val="16"/>
          <w:szCs w:val="16"/>
        </w:rPr>
        <w:noBreakHyphen/>
        <w:t>1. Культура конструкции самолетов за эти годы сильно возросла как в смысле выработки оформления отдельных деталей в виде убирающегося шасси, аэродинамически выгодных капотов, общей аэродинамической обработки самолета, так и применения новых технологических процессов и материалов, применение хромомолибдена, электронов, пластмасс и т. д., термической обработки, специальных покрытий и проч. Все это характеризует с достаточной ясностью тот большой шаг, который был сделан в деле поднятия истребительной авиации на более высокую ступень. Совершенно понятно, что напряженно развернувшаяся в течение 1933</w:t>
      </w:r>
      <w:r w:rsidRPr="00E14102">
        <w:rPr>
          <w:color w:val="000000" w:themeColor="text1"/>
          <w:sz w:val="16"/>
          <w:szCs w:val="16"/>
        </w:rPr>
        <w:noBreakHyphen/>
        <w:t xml:space="preserve">1934 и в начале 1935 г. работа по созданию новых образцов истребительной авиации сопровождалась большими трудностями как по линии научно-исследовательской работы и связанного непосредственно с ней проектирования и конструирования самолетов, так и по линии выработки новых производственных процессов в постройке самолетов и еще больше в процессе испытаний образцов самолетов на прочность и на летные и </w:t>
      </w:r>
      <w:r w:rsidRPr="00E14102">
        <w:rPr>
          <w:color w:val="000000" w:themeColor="text1"/>
          <w:sz w:val="16"/>
          <w:szCs w:val="16"/>
        </w:rPr>
        <w:lastRenderedPageBreak/>
        <w:t>боевые качества. Тесно связанным с этим является вопрос доводок самолета как с точки зрения устранения дефектов летного характера, так и конструктивных и эксплуатационных дефектов, понижающих боеспособность самолета и затрудняющих его эксплуатацию.</w:t>
      </w:r>
    </w:p>
    <w:p w14:paraId="25B328ED"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Надо еще раз констатировать, что исследовательская работа у нас в Союзе далеко отстала от тех потребностей, какие вызываются современным состоянием строительства новых самолетов. Наши аэродинамические лаборатории, наши лаборатории прочности, наши лаборатории по исследованию новых технологических процессов и материалов не стоят на уровне современных достижений научно-исследовательской работы за границей и не служат базой, на которой нормально может развиваться проектирование и конструирование новых самолетов, требующих для себя как соответствующей аэродинамической проработки самолета, так и проработки самолета в смысле прочностей и технологии. В основном проектирование наших самолетов базировалось до сих пор на иностранных литературных данных, а с каждым годом получение таких данных становится все труднее и труднее, вследствие засекречивания их и затягивания времени в опубликовании.</w:t>
      </w:r>
    </w:p>
    <w:p w14:paraId="6535DDB1"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Методика наших статиспытаний является действительно статической, а не динамическим испытанием, совершенно неудовлетворительным в той области скоростей, в которую мы вступили с нашими новыми самолетами, где динамика набегающего потока является решающим фактором для прочности самолета. Явление вибрации и вместе с этим поломка машины может быть исследована только при условии получения соответствующих аэродинамических данных и исследования самолета на прочность, а не статическими, которые не являются достаточно показательными.</w:t>
      </w:r>
    </w:p>
    <w:p w14:paraId="5E86C815"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Такое же положение можно указать и в отношении моторной рамы и других частей самолета. Летные испытания в военно-воздушных силах по своей методике, по своей программе и по аппаратуре являются совершенно неудовлетворительными для современных скоростей и быстроходных самолетов, вследствие чего огромное количество дефектов или не выявляется своевременно во время этих испытаний, или же выявляется недостаточно выпукло, вследствие чего причины этих дефектов оказываются неясными, и само выявление этих дефектов и устранение их затягивается на весьма продолжительные сроки (1</w:t>
      </w:r>
      <w:r w:rsidRPr="00E14102">
        <w:rPr>
          <w:color w:val="000000" w:themeColor="text1"/>
          <w:sz w:val="16"/>
          <w:szCs w:val="16"/>
        </w:rPr>
        <w:noBreakHyphen/>
        <w:t>2 года).</w:t>
      </w:r>
    </w:p>
    <w:p w14:paraId="73B6C656"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Переходя конкретно к истребителям завода № 39 — И</w:t>
      </w:r>
      <w:r w:rsidRPr="00E14102">
        <w:rPr>
          <w:color w:val="000000" w:themeColor="text1"/>
          <w:sz w:val="16"/>
          <w:szCs w:val="16"/>
        </w:rPr>
        <w:noBreakHyphen/>
        <w:t>15 и И</w:t>
      </w:r>
      <w:r w:rsidRPr="00E14102">
        <w:rPr>
          <w:color w:val="000000" w:themeColor="text1"/>
          <w:sz w:val="16"/>
          <w:szCs w:val="16"/>
        </w:rPr>
        <w:noBreakHyphen/>
        <w:t>16 — необходимо отметить ту неустойчивую линию поведения, которую заняли военно-воздушные силы в отношении к первому из этих истребителей, а именно к истребителю И</w:t>
      </w:r>
      <w:r w:rsidRPr="00E14102">
        <w:rPr>
          <w:color w:val="000000" w:themeColor="text1"/>
          <w:sz w:val="16"/>
          <w:szCs w:val="16"/>
        </w:rPr>
        <w:noBreakHyphen/>
        <w:t>15. При испытании опытного самолета в декабре 1933 г. военно-воздушные силы в своем отзыве отмечают, что: а) «Самолет И</w:t>
      </w:r>
      <w:r w:rsidRPr="00E14102">
        <w:rPr>
          <w:color w:val="000000" w:themeColor="text1"/>
          <w:sz w:val="16"/>
          <w:szCs w:val="16"/>
        </w:rPr>
        <w:noBreakHyphen/>
        <w:t>15 с мотором РЦ</w:t>
      </w:r>
      <w:r w:rsidRPr="00E14102">
        <w:rPr>
          <w:color w:val="000000" w:themeColor="text1"/>
          <w:sz w:val="16"/>
          <w:szCs w:val="16"/>
        </w:rPr>
        <w:noBreakHyphen/>
        <w:t>3, как полностью и с превышением удовлетворяющий техническим требованиям, рекомендовать для серийной постройки; б) на опытном экземпляре надлежит добиться еще в процессе дополнительных испытаний улучшения устойчивости пути и разработать мероприятия для серии». Уже при испытании первого серийного образца в 1934 г. военно-воздушные силы резко стали выпячивать дефекты этого самолета, хотя в этом же акте они признают, что летные данные этого самолета ничуть не уступают опытному образцу. В последнее время военно-воздушные силы заняли совершенно категоричную позицию по отношению к этому самолету, не включая его даже в программу постройки 1936 г.</w:t>
      </w:r>
    </w:p>
    <w:p w14:paraId="45E3C2FC"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Такое положение в достаточной степени характеризует изменчивую и неопределенную политику военно-воздушных сил по отношению к одному и тому же фактически самолету. Это опасно еще в том отношении, что И</w:t>
      </w:r>
      <w:r w:rsidRPr="00E14102">
        <w:rPr>
          <w:color w:val="000000" w:themeColor="text1"/>
          <w:sz w:val="16"/>
          <w:szCs w:val="16"/>
        </w:rPr>
        <w:noBreakHyphen/>
        <w:t>15 является на сегодня единственным маневренным истребителем в Союзе. Отсутствие заказа на него в 1936 г. при фактической невозможности дать новый маневренный истребитель в 1936 г. в серии поставит военно-воздушные силы под удар в том отношении, что они будут иметь только скоростные истребители и не будут иметь маневренных истребителей. По нашему мнению, это неправильно, и маневренный истребитель необходим...³* Пять самолетов И</w:t>
      </w:r>
      <w:r w:rsidRPr="00E14102">
        <w:rPr>
          <w:color w:val="000000" w:themeColor="text1"/>
          <w:sz w:val="16"/>
          <w:szCs w:val="16"/>
        </w:rPr>
        <w:noBreakHyphen/>
        <w:t>15 6 октября с. г. поднялись строем с завода № 39 на высоту 10 500 м и строем пролетели 440 км на этой высоте. Это крупный шаг вперед по овладению высотой и хороший экзамен для самолета И</w:t>
      </w:r>
      <w:r w:rsidRPr="00E14102">
        <w:rPr>
          <w:color w:val="000000" w:themeColor="text1"/>
          <w:sz w:val="16"/>
          <w:szCs w:val="16"/>
        </w:rPr>
        <w:noBreakHyphen/>
        <w:t>15. На этом же самолете И</w:t>
      </w:r>
      <w:r w:rsidRPr="00E14102">
        <w:rPr>
          <w:color w:val="000000" w:themeColor="text1"/>
          <w:sz w:val="16"/>
          <w:szCs w:val="16"/>
        </w:rPr>
        <w:noBreakHyphen/>
        <w:t>15 летчик Евсеев поднялся на высоту 12 020 м, а летчик Коккинаки — на 11 800 м, побив этим наши союзные рекорды.</w:t>
      </w:r>
    </w:p>
    <w:p w14:paraId="4DBC0D32"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Самолет И</w:t>
      </w:r>
      <w:r w:rsidRPr="00E14102">
        <w:rPr>
          <w:color w:val="000000" w:themeColor="text1"/>
          <w:sz w:val="16"/>
          <w:szCs w:val="16"/>
        </w:rPr>
        <w:noBreakHyphen/>
        <w:t>16</w:t>
      </w:r>
      <w:r w:rsidRPr="00E14102">
        <w:rPr>
          <w:color w:val="000000" w:themeColor="text1"/>
          <w:sz w:val="16"/>
          <w:szCs w:val="16"/>
        </w:rPr>
        <w:noBreakHyphen/>
        <w:t>М</w:t>
      </w:r>
      <w:r w:rsidRPr="00E14102">
        <w:rPr>
          <w:color w:val="000000" w:themeColor="text1"/>
          <w:sz w:val="16"/>
          <w:szCs w:val="16"/>
        </w:rPr>
        <w:noBreakHyphen/>
        <w:t>22 является первым серийным истребителем, имеющим убирающееся шасси. Выработка этого шасси являлась весьма сложной проблемой и отняла у завода № 39 и у завода 21 весьма много времени и трудов. В настоящее время эта проблема может считаться решенной удовлетворительно, так как замеченные в войсковых испытаниях дефекты шасси легко устранимы и уже устраняются в серийном производстве. Одним из дефектов И</w:t>
      </w:r>
      <w:r w:rsidRPr="00E14102">
        <w:rPr>
          <w:color w:val="000000" w:themeColor="text1"/>
          <w:sz w:val="16"/>
          <w:szCs w:val="16"/>
        </w:rPr>
        <w:noBreakHyphen/>
        <w:t>16</w:t>
      </w:r>
      <w:r w:rsidRPr="00E14102">
        <w:rPr>
          <w:color w:val="000000" w:themeColor="text1"/>
          <w:sz w:val="16"/>
          <w:szCs w:val="16"/>
        </w:rPr>
        <w:noBreakHyphen/>
        <w:t>М</w:t>
      </w:r>
      <w:r w:rsidRPr="00E14102">
        <w:rPr>
          <w:color w:val="000000" w:themeColor="text1"/>
          <w:sz w:val="16"/>
          <w:szCs w:val="16"/>
        </w:rPr>
        <w:noBreakHyphen/>
        <w:t>22, отмеченным войсковыми испытаниями, является неудовлетворительная работа бензиновой системы, заключающаяся в сгорании при скапливании бензинового патрубка. Это явление наблюдалось только в полете на спине, причем первой причиной этого явилось заедание иглы карбюратора и протекание бензина через них. Дефект этот устраняется путем постоянного наблюдения за состоянием игл карбюратора и устранением течи через них. Кроме того, приняты все меры к уплотнению отверстия во всасывающем патрубке с целью устранения возможности протекания бензина из него. Войсковые испытания этого самолета, проводящиеся в настоящее время Люберецкой бригадой и Брянской бригадой, протекают вполне удовлетворительно. Летный состав осваивается с данным типом самолета, делает хорошо фигуры и проводит тренировку на посадки. Весь состав дает хорошие отзывы о летных свойствах и качествах этого самолета. Мелкие дефекты, отмечаемые летным составом, касаются в основном эксплуатационных удобств на этом самолете, каковые будут устранены в серии в ближайшее время. Одним из самых серьезных моментов в летной эксплуатации этой машины являлся вопрос штопора. По этому вопросу мы получили совершенно категоричное заявление со стороны ЦАГИ и Академии воздушного флота, предостерегающее от производства штопора на этом самолете, однако в действительности оказалось, что самолет И</w:t>
      </w:r>
      <w:r w:rsidRPr="00E14102">
        <w:rPr>
          <w:color w:val="000000" w:themeColor="text1"/>
          <w:sz w:val="16"/>
          <w:szCs w:val="16"/>
        </w:rPr>
        <w:noBreakHyphen/>
        <w:t>16</w:t>
      </w:r>
      <w:r w:rsidRPr="00E14102">
        <w:rPr>
          <w:color w:val="000000" w:themeColor="text1"/>
          <w:sz w:val="16"/>
          <w:szCs w:val="16"/>
        </w:rPr>
        <w:noBreakHyphen/>
        <w:t>М</w:t>
      </w:r>
      <w:r w:rsidRPr="00E14102">
        <w:rPr>
          <w:color w:val="000000" w:themeColor="text1"/>
          <w:sz w:val="16"/>
          <w:szCs w:val="16"/>
        </w:rPr>
        <w:noBreakHyphen/>
        <w:t>22 по своим штопорным качествам является наиболее удовлетворительным самолетом, допускающим производить штопор до 10</w:t>
      </w:r>
      <w:r w:rsidRPr="00E14102">
        <w:rPr>
          <w:color w:val="000000" w:themeColor="text1"/>
          <w:sz w:val="16"/>
          <w:szCs w:val="16"/>
        </w:rPr>
        <w:noBreakHyphen/>
        <w:t>11 витков при усиленном положении ручки выходящим из штопора без запозданий.</w:t>
      </w:r>
    </w:p>
    <w:p w14:paraId="4253143A"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Наиболее современным и перспективным истребителем с точки зрения летных качеств является истребитель И</w:t>
      </w:r>
      <w:r w:rsidRPr="00E14102">
        <w:rPr>
          <w:color w:val="000000" w:themeColor="text1"/>
          <w:sz w:val="16"/>
          <w:szCs w:val="16"/>
        </w:rPr>
        <w:noBreakHyphen/>
        <w:t>16</w:t>
      </w:r>
      <w:r w:rsidRPr="00E14102">
        <w:rPr>
          <w:color w:val="000000" w:themeColor="text1"/>
          <w:sz w:val="16"/>
          <w:szCs w:val="16"/>
        </w:rPr>
        <w:noBreakHyphen/>
        <w:t>М</w:t>
      </w:r>
      <w:r w:rsidRPr="00E14102">
        <w:rPr>
          <w:color w:val="000000" w:themeColor="text1"/>
          <w:sz w:val="16"/>
          <w:szCs w:val="16"/>
        </w:rPr>
        <w:noBreakHyphen/>
        <w:t>25. Опытный экземпляр этого самолета был выстроен еще в 1934 г., в 1934 г. он проходил гос. испытания. Гос. испытания не были утверждены начальником военно-воздушных сил из-за неудовлетворительного действия стоящего в нем в то время убирающегося шасси и неудовлетворительной пулеметной установки, стоящей в то время на нем. Самолет был возвращен на завод № 39, а так как в то время на заводе № 39 протекала самая напряженная работа по окончании серии самолета И</w:t>
      </w:r>
      <w:r w:rsidRPr="00E14102">
        <w:rPr>
          <w:color w:val="000000" w:themeColor="text1"/>
          <w:sz w:val="16"/>
          <w:szCs w:val="16"/>
        </w:rPr>
        <w:noBreakHyphen/>
        <w:t>16</w:t>
      </w:r>
      <w:r w:rsidRPr="00E14102">
        <w:rPr>
          <w:color w:val="000000" w:themeColor="text1"/>
          <w:sz w:val="16"/>
          <w:szCs w:val="16"/>
        </w:rPr>
        <w:noBreakHyphen/>
        <w:t>М</w:t>
      </w:r>
      <w:r w:rsidRPr="00E14102">
        <w:rPr>
          <w:color w:val="000000" w:themeColor="text1"/>
          <w:sz w:val="16"/>
          <w:szCs w:val="16"/>
        </w:rPr>
        <w:noBreakHyphen/>
        <w:t>22, то выработка эталона этого самолета была задержана до пуска небольшой серии самолета И</w:t>
      </w:r>
      <w:r w:rsidRPr="00E14102">
        <w:rPr>
          <w:color w:val="000000" w:themeColor="text1"/>
          <w:sz w:val="16"/>
          <w:szCs w:val="16"/>
        </w:rPr>
        <w:noBreakHyphen/>
        <w:t>16</w:t>
      </w:r>
      <w:r w:rsidRPr="00E14102">
        <w:rPr>
          <w:color w:val="000000" w:themeColor="text1"/>
          <w:sz w:val="16"/>
          <w:szCs w:val="16"/>
        </w:rPr>
        <w:noBreakHyphen/>
        <w:t>М</w:t>
      </w:r>
      <w:r w:rsidRPr="00E14102">
        <w:rPr>
          <w:color w:val="000000" w:themeColor="text1"/>
          <w:sz w:val="16"/>
          <w:szCs w:val="16"/>
        </w:rPr>
        <w:noBreakHyphen/>
        <w:t>25 в количестве 10 шт. Устранение замеченных дефектов в виде усиления хвостового оперения и четвертой нервюры отдалили срок выработки эталона до 1 сентября. В сентябре завод № 39 начал эксплуатационные испытания И</w:t>
      </w:r>
      <w:r w:rsidRPr="00E14102">
        <w:rPr>
          <w:color w:val="000000" w:themeColor="text1"/>
          <w:sz w:val="16"/>
          <w:szCs w:val="16"/>
        </w:rPr>
        <w:noBreakHyphen/>
        <w:t>16</w:t>
      </w:r>
      <w:r w:rsidRPr="00E14102">
        <w:rPr>
          <w:color w:val="000000" w:themeColor="text1"/>
          <w:sz w:val="16"/>
          <w:szCs w:val="16"/>
        </w:rPr>
        <w:noBreakHyphen/>
        <w:t>М</w:t>
      </w:r>
      <w:r w:rsidRPr="00E14102">
        <w:rPr>
          <w:color w:val="000000" w:themeColor="text1"/>
          <w:sz w:val="16"/>
          <w:szCs w:val="16"/>
        </w:rPr>
        <w:noBreakHyphen/>
        <w:t>25, каковые еще не закончены...⁴*</w:t>
      </w:r>
    </w:p>
    <w:p w14:paraId="083BBF7A"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Истребитель И</w:t>
      </w:r>
      <w:r w:rsidRPr="00E14102">
        <w:rPr>
          <w:color w:val="000000" w:themeColor="text1"/>
          <w:sz w:val="16"/>
          <w:szCs w:val="16"/>
        </w:rPr>
        <w:noBreakHyphen/>
        <w:t>17 с мотором «Испано-Сюиза» построен на заводе 39 в двух экземплярах, и второй из них проходит сейчас заводские испытания. Есть все основания утверждать, что этот самолет даст дальнейшее увеличение горизонтальной скорости наших истребителей. Пушечный истребитель ИП</w:t>
      </w:r>
      <w:r w:rsidRPr="00E14102">
        <w:rPr>
          <w:color w:val="000000" w:themeColor="text1"/>
          <w:sz w:val="16"/>
          <w:szCs w:val="16"/>
        </w:rPr>
        <w:noBreakHyphen/>
        <w:t>1 строится на заводе 135. Основной трудностью на этом заводе является нехватка высококвалифицированных рабочих-дюралыциков, и это по существу и лимитирует программу завода, не обеспечивая полного ее выполнения. В вопросах снабжения и оборудования заводу оказана серьезная помощь, и эти вопросы не лимитируют производство.</w:t>
      </w:r>
    </w:p>
    <w:p w14:paraId="772D6CF4"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На основании изложенного можно видеть: 1. Что, несмотря на все трудности проектирования и постройки этих истребителей, возникающих из недостаточной исследовательской базы, из недостаточно высокого уровня производства и летных испытаний как заводов, так и военно-воздушных сил, промышленность преодолевает эти трудности и борется с этими дефектами, которые обнаруживаются и обнаружены на данных истребителях. 2. Что эти истребители по летным и боевым данным, по сравнению с истребителями, находившимися на снабжении военно-воздушных сил в 1933 г., представляют собой громадный шаг в развитии истребительной авиации. 3. Что истребители, находящиеся в настоящее время на вооружении военно-воздушных сил, являются по своим летным и боевым данным не уступающим истребителям ведущих заграничных стран. 4. Совершенно неправильным и неполезным является обвинение в записке тт. Березина и Хаханьяна завода № 39 (конструктор т. Поликарпов) в негосударственном подходе к конструкции и руководства завода № 39 (директор Марголин) в потворстве этому. Все вышесказанное говорит об обратном.</w:t>
      </w:r>
    </w:p>
    <w:p w14:paraId="24B9D157"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2) Штурмовая и двухместная истребительная авиация</w:t>
      </w:r>
    </w:p>
    <w:p w14:paraId="07A0C476"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До 1935 г. штурмовой авиации по существу у нас не было за исключением штурмового варианта Р</w:t>
      </w:r>
      <w:r w:rsidRPr="00E14102">
        <w:rPr>
          <w:color w:val="000000" w:themeColor="text1"/>
          <w:sz w:val="16"/>
          <w:szCs w:val="16"/>
        </w:rPr>
        <w:noBreakHyphen/>
        <w:t>5. В текущем году на заводе № 1 производится 350 самолетов ЗО, представляющих из себя улучшение машины Р</w:t>
      </w:r>
      <w:r w:rsidRPr="00E14102">
        <w:rPr>
          <w:color w:val="000000" w:themeColor="text1"/>
          <w:sz w:val="16"/>
          <w:szCs w:val="16"/>
        </w:rPr>
        <w:noBreakHyphen/>
        <w:t>5, имеющую штурмовой вариант, 5 пулеметов ШКАС и бомбы. Одновременно с этим по решению правительства на заводе № 39 закончено производство опытного штурмовика, переделанного из двухместного истребителя ДИ</w:t>
      </w:r>
      <w:r w:rsidRPr="00E14102">
        <w:rPr>
          <w:color w:val="000000" w:themeColor="text1"/>
          <w:sz w:val="16"/>
          <w:szCs w:val="16"/>
        </w:rPr>
        <w:noBreakHyphen/>
        <w:t>6, имеющего 4 пулемета ПВ и 1 пулемет ШКАС, а также бомбовое вооружение. Этот самолет безусловно даст максимальную скорость порядка около 400 км. Таким путем, имея сейчас в серийном производстве штурмовик ЗС, мы к 1936 г. готовим новый более совершенный штурмовик ДИ</w:t>
      </w:r>
      <w:r w:rsidRPr="00E14102">
        <w:rPr>
          <w:color w:val="000000" w:themeColor="text1"/>
          <w:sz w:val="16"/>
          <w:szCs w:val="16"/>
        </w:rPr>
        <w:noBreakHyphen/>
        <w:t>6 с мотором М</w:t>
      </w:r>
      <w:r w:rsidRPr="00E14102">
        <w:rPr>
          <w:color w:val="000000" w:themeColor="text1"/>
          <w:sz w:val="16"/>
          <w:szCs w:val="16"/>
        </w:rPr>
        <w:noBreakHyphen/>
        <w:t>25.</w:t>
      </w:r>
    </w:p>
    <w:p w14:paraId="3D9D8BC7"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Двухместные истребители нам не удавалось сконструировать и построить все эти годы в сколько-нибудь удовлетворительном виде. Ни один из построенных двухместных истребителей до 1935 г. не удовлетворял требованиям УВС. В текущем году нам удалось на заводе № 39 построить двухместный истребитель ДИ</w:t>
      </w:r>
      <w:r w:rsidRPr="00E14102">
        <w:rPr>
          <w:color w:val="000000" w:themeColor="text1"/>
          <w:sz w:val="16"/>
          <w:szCs w:val="16"/>
        </w:rPr>
        <w:noBreakHyphen/>
        <w:t>6, который на заводских испытаниях и на совместных летных испытаниях показал высокие летно-тактические данные. Двухместный истребитель ДИ</w:t>
      </w:r>
      <w:r w:rsidRPr="00E14102">
        <w:rPr>
          <w:color w:val="000000" w:themeColor="text1"/>
          <w:sz w:val="16"/>
          <w:szCs w:val="16"/>
        </w:rPr>
        <w:noBreakHyphen/>
        <w:t>6 с тем же мотором М</w:t>
      </w:r>
      <w:r w:rsidRPr="00E14102">
        <w:rPr>
          <w:color w:val="000000" w:themeColor="text1"/>
          <w:sz w:val="16"/>
          <w:szCs w:val="16"/>
        </w:rPr>
        <w:noBreakHyphen/>
        <w:t>25, что и И</w:t>
      </w:r>
      <w:r w:rsidRPr="00E14102">
        <w:rPr>
          <w:color w:val="000000" w:themeColor="text1"/>
          <w:sz w:val="16"/>
          <w:szCs w:val="16"/>
        </w:rPr>
        <w:noBreakHyphen/>
        <w:t>15, дает скорость выше И</w:t>
      </w:r>
      <w:r w:rsidRPr="00E14102">
        <w:rPr>
          <w:color w:val="000000" w:themeColor="text1"/>
          <w:sz w:val="16"/>
          <w:szCs w:val="16"/>
        </w:rPr>
        <w:noBreakHyphen/>
        <w:t>15, высокую маневренность и уступает только на скороподъемности. Сейчас самолет проходит гос. испытания и надо полагать, что этим самолетом проблема вооружения ВВС двухместным истребителем на ближайшие 1</w:t>
      </w:r>
      <w:r w:rsidRPr="00E14102">
        <w:rPr>
          <w:color w:val="000000" w:themeColor="text1"/>
          <w:sz w:val="16"/>
          <w:szCs w:val="16"/>
        </w:rPr>
        <w:noBreakHyphen/>
        <w:t>1,5 года будет решена.</w:t>
      </w:r>
    </w:p>
    <w:p w14:paraId="600831E0"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3) Разведывательная авиация</w:t>
      </w:r>
    </w:p>
    <w:p w14:paraId="356E3D63"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В записке тт. Березина и Хаханьяна директор завода № 1 т. Беленкович обвиняется в самовольной замене самолета ЛР самолетом PZ. Замена одного самолета другим была произведена с согласия наркома обороны с наркомом тяжелой промышленности. Самолет этот задерживался исполнением главным образом потому, что, с одной стороны, завод долго доводил самолет, а НИИ ВВС долго его испытывал. Основными недостатками самолета являются: а) большой пробег самолета; б) недоведенность задней пулеметной точки (электрофицированная турель). В остальном самолет значительно превышает все летные данные старого разведчика Р</w:t>
      </w:r>
      <w:r w:rsidRPr="00E14102">
        <w:rPr>
          <w:color w:val="000000" w:themeColor="text1"/>
          <w:sz w:val="16"/>
          <w:szCs w:val="16"/>
        </w:rPr>
        <w:noBreakHyphen/>
        <w:t>5. Сейчас завод № 1 устраняет указанные два основных дефекта на втором экземпляре этого самолета, одновременно развернув его серийное производство. Самолет PZ не является перспективным самолетом, точно так же, как и ЛР, а является переходным, до поступления на серийное производство нового заданного нам правительством самолета Р</w:t>
      </w:r>
      <w:r w:rsidRPr="00E14102">
        <w:rPr>
          <w:color w:val="000000" w:themeColor="text1"/>
          <w:sz w:val="16"/>
          <w:szCs w:val="16"/>
        </w:rPr>
        <w:noBreakHyphen/>
        <w:t>9. Новый разведчик Р</w:t>
      </w:r>
      <w:r w:rsidRPr="00E14102">
        <w:rPr>
          <w:color w:val="000000" w:themeColor="text1"/>
          <w:sz w:val="16"/>
          <w:szCs w:val="16"/>
        </w:rPr>
        <w:noBreakHyphen/>
        <w:t>9 строится в нескольких организациях (для перестраховки), и в ноябре первый самолет Р</w:t>
      </w:r>
      <w:r w:rsidRPr="00E14102">
        <w:rPr>
          <w:color w:val="000000" w:themeColor="text1"/>
          <w:sz w:val="16"/>
          <w:szCs w:val="16"/>
        </w:rPr>
        <w:noBreakHyphen/>
        <w:t>9 с мотором К</w:t>
      </w:r>
      <w:r w:rsidRPr="00E14102">
        <w:rPr>
          <w:color w:val="000000" w:themeColor="text1"/>
          <w:sz w:val="16"/>
          <w:szCs w:val="16"/>
        </w:rPr>
        <w:noBreakHyphen/>
        <w:t>14 выходит на заводе № 39 на заводские испытания. От самолета Р</w:t>
      </w:r>
      <w:r w:rsidRPr="00E14102">
        <w:rPr>
          <w:color w:val="000000" w:themeColor="text1"/>
          <w:sz w:val="16"/>
          <w:szCs w:val="16"/>
        </w:rPr>
        <w:noBreakHyphen/>
        <w:t xml:space="preserve">9, строящегося на заводе № 39, мы ожидаем высоких летно-тактических данных (скорость порядка 450 км). Немедленно же после гос. испытаний этого самолета необходимо будет заложить и выпустить войсковую серию порядка 10 самолетов для производства на них </w:t>
      </w:r>
      <w:r w:rsidRPr="00E14102">
        <w:rPr>
          <w:color w:val="000000" w:themeColor="text1"/>
          <w:sz w:val="16"/>
          <w:szCs w:val="16"/>
        </w:rPr>
        <w:lastRenderedPageBreak/>
        <w:t>всесторонних эксплуатационных испытаний. Это необходимо для того, чтобы предупредить и выявить возможные дефекты до постройки большой серии. Все же по разведывательной авиации мы несомненно имеем отставание.</w:t>
      </w:r>
    </w:p>
    <w:p w14:paraId="6135BEBA"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4) Морская авиация</w:t>
      </w:r>
    </w:p>
    <w:p w14:paraId="65E2D583"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Самолет МБР</w:t>
      </w:r>
      <w:r w:rsidRPr="00E14102">
        <w:rPr>
          <w:color w:val="000000" w:themeColor="text1"/>
          <w:sz w:val="16"/>
          <w:szCs w:val="16"/>
        </w:rPr>
        <w:noBreakHyphen/>
        <w:t>2 на заводе № 31 производством закончен и заканчивается сдачей. Сейчас на испытаниях на 31</w:t>
      </w:r>
      <w:r w:rsidRPr="00E14102">
        <w:rPr>
          <w:color w:val="000000" w:themeColor="text1"/>
          <w:sz w:val="16"/>
          <w:szCs w:val="16"/>
        </w:rPr>
        <w:noBreakHyphen/>
        <w:t>м заводе находится машина МБР</w:t>
      </w:r>
      <w:r w:rsidRPr="00E14102">
        <w:rPr>
          <w:color w:val="000000" w:themeColor="text1"/>
          <w:sz w:val="16"/>
          <w:szCs w:val="16"/>
        </w:rPr>
        <w:noBreakHyphen/>
        <w:t>2 с мотором М</w:t>
      </w:r>
      <w:r w:rsidRPr="00E14102">
        <w:rPr>
          <w:color w:val="000000" w:themeColor="text1"/>
          <w:sz w:val="16"/>
          <w:szCs w:val="16"/>
        </w:rPr>
        <w:noBreakHyphen/>
        <w:t>34Н. Надо полагать, что самолет МБР</w:t>
      </w:r>
      <w:r w:rsidRPr="00E14102">
        <w:rPr>
          <w:color w:val="000000" w:themeColor="text1"/>
          <w:sz w:val="16"/>
          <w:szCs w:val="16"/>
        </w:rPr>
        <w:noBreakHyphen/>
        <w:t>2 с этим мотором даст скорость порядка 230</w:t>
      </w:r>
      <w:r w:rsidRPr="00E14102">
        <w:rPr>
          <w:color w:val="000000" w:themeColor="text1"/>
          <w:sz w:val="16"/>
          <w:szCs w:val="16"/>
        </w:rPr>
        <w:noBreakHyphen/>
        <w:t>240 км, что значительно улучшит его боеспособность. Также находится на испытании на заводе самолет «Амфибия» МБР</w:t>
      </w:r>
      <w:r w:rsidRPr="00E14102">
        <w:rPr>
          <w:color w:val="000000" w:themeColor="text1"/>
          <w:sz w:val="16"/>
          <w:szCs w:val="16"/>
        </w:rPr>
        <w:noBreakHyphen/>
        <w:t>5 с мотором «Райт-Циклон». Самолет ведет себя на испытаниях неплохо и тем самым дает основание полагать, что на 1936 г. мы будем иметь более современный морской ближний разведчик.</w:t>
      </w:r>
    </w:p>
    <w:p w14:paraId="4A25EAAA"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Положение с дальним разведчиком чрезвычайно осложнилось последней катастрофой опытного самолета ЦАГИ — МДР</w:t>
      </w:r>
      <w:r w:rsidRPr="00E14102">
        <w:rPr>
          <w:color w:val="000000" w:themeColor="text1"/>
          <w:sz w:val="16"/>
          <w:szCs w:val="16"/>
        </w:rPr>
        <w:noBreakHyphen/>
        <w:t>4. Целый ряд вопросов, подлежащих выяснению на этом опытном самолете для обеспечения развернутого производства их в серии, остался невыясненным. Производство же этого самолета на заводе № 31 развернуто. В сборке на заводе № 31 находится: лодок на 9 шт., центропланов на 3, крыльев на 3 шт., водонепроницаемых отсеков на 3 шт., элеронов на 3 шт., стабилизаторов на 6 шт., поплавков на 6 шт., рулей высоты и рулей поворота на 6 шт. и 5 шт. килей. Производство самолета МДР</w:t>
      </w:r>
      <w:r w:rsidRPr="00E14102">
        <w:rPr>
          <w:color w:val="000000" w:themeColor="text1"/>
          <w:sz w:val="16"/>
          <w:szCs w:val="16"/>
        </w:rPr>
        <w:noBreakHyphen/>
        <w:t>4 приспособлениями обеспечено, также усилено сейчас и снабжение материалами по этому самолету. Основной причиной задержки с развертыванием этого самолета является задержка с испытанием этого самолета, закончившимся только в августе текущего года, после чего ЦАГИ на основании результатов этих испытаний вынужден был переделать целый ряд агрегатов и чертежей, что в свою очередь повлияло на подготовку производства на заводе № 31. До замерзания моря собрать самолеты программы этого года не удастся.</w:t>
      </w:r>
    </w:p>
    <w:p w14:paraId="2BA86110"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На заводе № 45 сейчас заканчивается производством самолет конструкции инженера Четверикова АРК</w:t>
      </w:r>
      <w:r w:rsidRPr="00E14102">
        <w:rPr>
          <w:color w:val="000000" w:themeColor="text1"/>
          <w:sz w:val="16"/>
          <w:szCs w:val="16"/>
        </w:rPr>
        <w:noBreakHyphen/>
        <w:t>3 с двумя моторами «Райт-Циклон». Если испытания этого самолета покажут хорошие данные, то мы будем иметь возможность переделать АРК</w:t>
      </w:r>
      <w:r w:rsidRPr="00E14102">
        <w:rPr>
          <w:color w:val="000000" w:themeColor="text1"/>
          <w:sz w:val="16"/>
          <w:szCs w:val="16"/>
        </w:rPr>
        <w:noBreakHyphen/>
        <w:t>3 под дальний разведчик. Постройка в серии МДР</w:t>
      </w:r>
      <w:r w:rsidRPr="00E14102">
        <w:rPr>
          <w:color w:val="000000" w:themeColor="text1"/>
          <w:sz w:val="16"/>
          <w:szCs w:val="16"/>
        </w:rPr>
        <w:noBreakHyphen/>
        <w:t>4, выпуск МБР</w:t>
      </w:r>
      <w:r w:rsidRPr="00E14102">
        <w:rPr>
          <w:color w:val="000000" w:themeColor="text1"/>
          <w:sz w:val="16"/>
          <w:szCs w:val="16"/>
        </w:rPr>
        <w:noBreakHyphen/>
        <w:t>5, МБР</w:t>
      </w:r>
      <w:r w:rsidRPr="00E14102">
        <w:rPr>
          <w:color w:val="000000" w:themeColor="text1"/>
          <w:sz w:val="16"/>
          <w:szCs w:val="16"/>
        </w:rPr>
        <w:noBreakHyphen/>
        <w:t>2 с мотором М</w:t>
      </w:r>
      <w:r w:rsidRPr="00E14102">
        <w:rPr>
          <w:color w:val="000000" w:themeColor="text1"/>
          <w:sz w:val="16"/>
          <w:szCs w:val="16"/>
        </w:rPr>
        <w:noBreakHyphen/>
        <w:t>34Н и работы по АРК</w:t>
      </w:r>
      <w:r w:rsidRPr="00E14102">
        <w:rPr>
          <w:color w:val="000000" w:themeColor="text1"/>
          <w:sz w:val="16"/>
          <w:szCs w:val="16"/>
        </w:rPr>
        <w:noBreakHyphen/>
        <w:t>3 могут несколько подтянуть один из самых отсталых участков нашей авиации — гидроавиацию.</w:t>
      </w:r>
    </w:p>
    <w:p w14:paraId="75A06C77"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5) Бомбардировочная авиация</w:t>
      </w:r>
    </w:p>
    <w:p w14:paraId="266E0047"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Скорость тяжелых бомбардировщиков за последние 3 года значительно выросла. Так мы имеем на ТБ</w:t>
      </w:r>
      <w:r w:rsidRPr="00E14102">
        <w:rPr>
          <w:color w:val="000000" w:themeColor="text1"/>
          <w:sz w:val="16"/>
          <w:szCs w:val="16"/>
        </w:rPr>
        <w:noBreakHyphen/>
        <w:t>3 с М</w:t>
      </w:r>
      <w:r w:rsidRPr="00E14102">
        <w:rPr>
          <w:color w:val="000000" w:themeColor="text1"/>
          <w:sz w:val="16"/>
          <w:szCs w:val="16"/>
        </w:rPr>
        <w:noBreakHyphen/>
        <w:t>17 197 км, с мотором М</w:t>
      </w:r>
      <w:r w:rsidRPr="00E14102">
        <w:rPr>
          <w:color w:val="000000" w:themeColor="text1"/>
          <w:sz w:val="16"/>
          <w:szCs w:val="16"/>
        </w:rPr>
        <w:noBreakHyphen/>
        <w:t>34 мы получили 204 км, с М</w:t>
      </w:r>
      <w:r w:rsidRPr="00E14102">
        <w:rPr>
          <w:color w:val="000000" w:themeColor="text1"/>
          <w:sz w:val="16"/>
          <w:szCs w:val="16"/>
        </w:rPr>
        <w:noBreakHyphen/>
        <w:t>34 с редуктором мы получили 242 км и постановкой наконец мотора М</w:t>
      </w:r>
      <w:r w:rsidRPr="00E14102">
        <w:rPr>
          <w:color w:val="000000" w:themeColor="text1"/>
          <w:sz w:val="16"/>
          <w:szCs w:val="16"/>
        </w:rPr>
        <w:noBreakHyphen/>
        <w:t>34РН (нефорсированных) 280 км на 5 тыс. м. Машина, сконструированная и построенная на заводе № 22, так называемая ТБ</w:t>
      </w:r>
      <w:r w:rsidRPr="00E14102">
        <w:rPr>
          <w:color w:val="000000" w:themeColor="text1"/>
          <w:sz w:val="16"/>
          <w:szCs w:val="16"/>
        </w:rPr>
        <w:noBreakHyphen/>
        <w:t>ЗА, показала летные данные 329 км на высоте 5 тыс. м. За последние три года мы увеличили скорость тяжелых бомбардировщиков ТБ</w:t>
      </w:r>
      <w:r w:rsidRPr="00E14102">
        <w:rPr>
          <w:color w:val="000000" w:themeColor="text1"/>
          <w:sz w:val="16"/>
          <w:szCs w:val="16"/>
        </w:rPr>
        <w:noBreakHyphen/>
        <w:t>3 со 197 до 329 км. Потолки самолетов также значительно возросли. Мы имеем с мотором М</w:t>
      </w:r>
      <w:r w:rsidRPr="00E14102">
        <w:rPr>
          <w:color w:val="000000" w:themeColor="text1"/>
          <w:sz w:val="16"/>
          <w:szCs w:val="16"/>
        </w:rPr>
        <w:noBreakHyphen/>
        <w:t>17 потолок практически 3800 м, с редукторным мотором М</w:t>
      </w:r>
      <w:r w:rsidRPr="00E14102">
        <w:rPr>
          <w:color w:val="000000" w:themeColor="text1"/>
          <w:sz w:val="16"/>
          <w:szCs w:val="16"/>
        </w:rPr>
        <w:noBreakHyphen/>
        <w:t>34 — 5100, с наддувным имеем 6800. Этот рост скоростей и потолка самолета, достигнутый за последние два года, встретил целый ряд серьезнейших трудностей в работе завода № 22. Только за один 1935 г. выявился целый ряд дефектов в конструкции самолета ТБ</w:t>
      </w:r>
      <w:r w:rsidRPr="00E14102">
        <w:rPr>
          <w:color w:val="000000" w:themeColor="text1"/>
          <w:sz w:val="16"/>
          <w:szCs w:val="16"/>
        </w:rPr>
        <w:noBreakHyphen/>
        <w:t>3, особенно в связи с новыми большими скоростями его и в связи с целым рядом переделок, вызванных установкой новых моторов. Большинство дефектов на этих машинах на сегодня устранено.</w:t>
      </w:r>
    </w:p>
    <w:p w14:paraId="650D5EC2"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Из невыполненных работ следует отметить, что мы еще не успели заменить винтов и радиаторов на значительном количестве машин. На машинах ТБ</w:t>
      </w:r>
      <w:r w:rsidRPr="00E14102">
        <w:rPr>
          <w:color w:val="000000" w:themeColor="text1"/>
          <w:sz w:val="16"/>
          <w:szCs w:val="16"/>
        </w:rPr>
        <w:noBreakHyphen/>
        <w:t>3 с мотором М</w:t>
      </w:r>
      <w:r w:rsidRPr="00E14102">
        <w:rPr>
          <w:color w:val="000000" w:themeColor="text1"/>
          <w:sz w:val="16"/>
          <w:szCs w:val="16"/>
        </w:rPr>
        <w:noBreakHyphen/>
        <w:t>34НР одним из сложнейших мест является доводка вооружений этой машины. Эталон этой машины находится на испытаниях в НИИ УВС. Эталон ТБ</w:t>
      </w:r>
      <w:r w:rsidRPr="00E14102">
        <w:rPr>
          <w:color w:val="000000" w:themeColor="text1"/>
          <w:sz w:val="16"/>
          <w:szCs w:val="16"/>
        </w:rPr>
        <w:noBreakHyphen/>
        <w:t>ЗРН, коих заказано на текущий год 130 шт., передан в НИИ УВС на гос. испытания в середине августа, на сегодня он уже сделал 260 посадок. Хотя прошло уже 2 месяца, но гос. испытания еще не закончены. Как и на И</w:t>
      </w:r>
      <w:r w:rsidRPr="00E14102">
        <w:rPr>
          <w:color w:val="000000" w:themeColor="text1"/>
          <w:sz w:val="16"/>
          <w:szCs w:val="16"/>
        </w:rPr>
        <w:noBreakHyphen/>
        <w:t>15, так и на машине ТБ</w:t>
      </w:r>
      <w:r w:rsidRPr="00E14102">
        <w:rPr>
          <w:color w:val="000000" w:themeColor="text1"/>
          <w:sz w:val="16"/>
          <w:szCs w:val="16"/>
        </w:rPr>
        <w:noBreakHyphen/>
        <w:t>3 мы за последнее время обнаружили новое явление — поломку подмоторных рам в результате вибрационных нагрузок. Рамы, выдержавшие статистические испытания вполне удовлетворительно, в отдельных случаях все же дают трещины. Сейчас ведется усиленная работа в ЦАГИ и на заводе № 39 по изучению и устранению этого явления. В частности мы используем опыт самолета «Дуглас» по резиновым прокладкам в местах крепления подмоторной рамы.</w:t>
      </w:r>
    </w:p>
    <w:p w14:paraId="4CF936CE"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История с самолетом СБ достаточно известна. В начале года, когда еще самолет не был достаточно испытан, по докладу НКО самолет был принят на серийное производство. Последующие гос. испытания машины выявили на самолете такое большое количество дефектов, что и ЦАГИ, и заводу 22 пришлось переделывать большинство чертежей и приспособлений этой машины. Решением правительства сдача этих машин отложена на I квартал 1936 г. На сегодня в производство (задел) на заводе № 22 запущено 13 серий этих самолетов, т. е. 125 шт. Для обеспечения выполнения постановления правительства о сдаче на III квартал 1936 г. 400 шт. СБ ГУАПом дано задание заводу № 22 еще в IV квартале изготовить 75 самолетов.</w:t>
      </w:r>
    </w:p>
    <w:p w14:paraId="0FB8601F"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Изготовление дальнего бомбардировщика РД на заводе № 18 сейчас несколько улучшилось. Второй самолет выходит на аэродром сегодня, и в ближайшее время выйдут еще два.</w:t>
      </w:r>
    </w:p>
    <w:p w14:paraId="2F4C2C3A"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6) Выполнение программы 1935 г. по самолетам</w:t>
      </w:r>
    </w:p>
    <w:p w14:paraId="184971EF"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Программа 1935 г. резко отличается от программы 1933</w:t>
      </w:r>
      <w:r w:rsidRPr="00E14102">
        <w:rPr>
          <w:color w:val="000000" w:themeColor="text1"/>
          <w:sz w:val="16"/>
          <w:szCs w:val="16"/>
        </w:rPr>
        <w:noBreakHyphen/>
        <w:t>1934 гг. В 1933 г. из 4 тыс. самолетов Р</w:t>
      </w:r>
      <w:r w:rsidRPr="00E14102">
        <w:rPr>
          <w:color w:val="000000" w:themeColor="text1"/>
          <w:sz w:val="16"/>
          <w:szCs w:val="16"/>
        </w:rPr>
        <w:noBreakHyphen/>
        <w:t>5, У</w:t>
      </w:r>
      <w:r w:rsidRPr="00E14102">
        <w:rPr>
          <w:color w:val="000000" w:themeColor="text1"/>
          <w:sz w:val="16"/>
          <w:szCs w:val="16"/>
        </w:rPr>
        <w:noBreakHyphen/>
        <w:t>2, К</w:t>
      </w:r>
      <w:r w:rsidRPr="00E14102">
        <w:rPr>
          <w:color w:val="000000" w:themeColor="text1"/>
          <w:sz w:val="16"/>
          <w:szCs w:val="16"/>
        </w:rPr>
        <w:noBreakHyphen/>
        <w:t>5 и АШ составляли 3450 машин, т. е. 85% программы были самолеты либо небоевые, либо устаревшие. В 1934 г. на 4500 машин Р</w:t>
      </w:r>
      <w:r w:rsidRPr="00E14102">
        <w:rPr>
          <w:color w:val="000000" w:themeColor="text1"/>
          <w:sz w:val="16"/>
          <w:szCs w:val="16"/>
        </w:rPr>
        <w:noBreakHyphen/>
        <w:t>5, У</w:t>
      </w:r>
      <w:r w:rsidRPr="00E14102">
        <w:rPr>
          <w:color w:val="000000" w:themeColor="text1"/>
          <w:sz w:val="16"/>
          <w:szCs w:val="16"/>
        </w:rPr>
        <w:noBreakHyphen/>
        <w:t>2, К</w:t>
      </w:r>
      <w:r w:rsidRPr="00E14102">
        <w:rPr>
          <w:color w:val="000000" w:themeColor="text1"/>
          <w:sz w:val="16"/>
          <w:szCs w:val="16"/>
        </w:rPr>
        <w:noBreakHyphen/>
        <w:t>5 и АШ — 3150 машин, т. е. около 75%. В 1935 г. из 4036 машин только около 1 тыс. машин учебных и старых типов, все остальные — новые боевые машины. Таким образом, качественно задание 1935 г. не сравнимо ни с заданиями 1933 г., ни с заданиями 1934 г.</w:t>
      </w:r>
    </w:p>
    <w:p w14:paraId="54A48E87"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В конце 1934 г. и в 1935 г. внедряется по существу новых 13 типов самолетов, и в основном напряжение, имеющееся сейчас на заводе авиапромышленности, и является результатом больших технических затруднений, испытываемых промышленностью при внедрении новых конструкций, материалов и технологических процессов. Безусловно, имело место и недостаточно оперативное техническое решение целого ряда вопросов с нашей стороны. Отсутствие твердой линии, технически обоснованной в своих требованиях, со стороны УВС к промышленности еще более осложнило работу заводов. Положение, имевшее место с самолетом ТБ</w:t>
      </w:r>
      <w:r w:rsidRPr="00E14102">
        <w:rPr>
          <w:color w:val="000000" w:themeColor="text1"/>
          <w:sz w:val="16"/>
          <w:szCs w:val="16"/>
        </w:rPr>
        <w:noBreakHyphen/>
        <w:t>3 и И</w:t>
      </w:r>
      <w:r w:rsidRPr="00E14102">
        <w:rPr>
          <w:color w:val="000000" w:themeColor="text1"/>
          <w:sz w:val="16"/>
          <w:szCs w:val="16"/>
        </w:rPr>
        <w:noBreakHyphen/>
        <w:t>15, на которых после многократных испытаний УВС обнаруживались вновь различные дефекты, достаточно характеризует недостатки в этом вопросе и со стороны УВС. Все же оставшийся IV квартал дает возможность подтянуть выполнение программы, и на это дело сейчас мобилизован весь состав авиапромышленности...⁵*</w:t>
      </w:r>
    </w:p>
    <w:p w14:paraId="47FCAD6E"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7) Моторное хозяйство</w:t>
      </w:r>
    </w:p>
    <w:p w14:paraId="43962D60"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Авиационной промышленностью за период с 1933 по 1 октября 1935 г. выпущено следующее количество моторов: в 1933 г. — 7771, из них в IV квартале — 4030. В 1934 г. — 10 319, из них в IV квартале — 3401. В 1935 г. по плану, утвержденному правительством, подлежит выпуску 9310 моторов, из которых на 1 октября с. г. сдано 5571 мотор и на IV квартал подает 3739 моторов. Отмечая рост на 33% по выпуску моторов в 1934 г. по сравнению с 1933 г., в 1935 г. имеем снижение роста по отношению к 1934 г. на 10%, последнее обстоятельство объясняется внедрением в 1935 г. на заводах № 19, 26 и 29 новых объектов производства (М</w:t>
      </w:r>
      <w:r w:rsidRPr="00E14102">
        <w:rPr>
          <w:color w:val="000000" w:themeColor="text1"/>
          <w:sz w:val="16"/>
          <w:szCs w:val="16"/>
        </w:rPr>
        <w:noBreakHyphen/>
        <w:t>25, М</w:t>
      </w:r>
      <w:r w:rsidRPr="00E14102">
        <w:rPr>
          <w:color w:val="000000" w:themeColor="text1"/>
          <w:sz w:val="16"/>
          <w:szCs w:val="16"/>
        </w:rPr>
        <w:noBreakHyphen/>
        <w:t>75, М</w:t>
      </w:r>
      <w:r w:rsidRPr="00E14102">
        <w:rPr>
          <w:color w:val="000000" w:themeColor="text1"/>
          <w:sz w:val="16"/>
          <w:szCs w:val="16"/>
        </w:rPr>
        <w:noBreakHyphen/>
        <w:t>85 и М</w:t>
      </w:r>
      <w:r w:rsidRPr="00E14102">
        <w:rPr>
          <w:color w:val="000000" w:themeColor="text1"/>
          <w:sz w:val="16"/>
          <w:szCs w:val="16"/>
        </w:rPr>
        <w:noBreakHyphen/>
        <w:t>100).</w:t>
      </w:r>
    </w:p>
    <w:p w14:paraId="7357A299"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Анализируя технические данные моторов, выпускаемых в 1933</w:t>
      </w:r>
      <w:r w:rsidRPr="00E14102">
        <w:rPr>
          <w:color w:val="000000" w:themeColor="text1"/>
          <w:sz w:val="16"/>
          <w:szCs w:val="16"/>
        </w:rPr>
        <w:noBreakHyphen/>
        <w:t>1934 гг., имеем следующие данные: мотор М</w:t>
      </w:r>
      <w:r w:rsidRPr="00E14102">
        <w:rPr>
          <w:color w:val="000000" w:themeColor="text1"/>
          <w:sz w:val="16"/>
          <w:szCs w:val="16"/>
        </w:rPr>
        <w:noBreakHyphen/>
        <w:t>17 сохранял номинальную мощность в 500 л. с. на высоте 3050 м, мотор М</w:t>
      </w:r>
      <w:r w:rsidRPr="00E14102">
        <w:rPr>
          <w:color w:val="000000" w:themeColor="text1"/>
          <w:sz w:val="16"/>
          <w:szCs w:val="16"/>
        </w:rPr>
        <w:noBreakHyphen/>
        <w:t>22 эту же мощность в 480 л. с. имел на высоте 1500 м, и М</w:t>
      </w:r>
      <w:r w:rsidRPr="00E14102">
        <w:rPr>
          <w:color w:val="000000" w:themeColor="text1"/>
          <w:sz w:val="16"/>
          <w:szCs w:val="16"/>
        </w:rPr>
        <w:noBreakHyphen/>
        <w:t>34 номинальную мощность в 750 л. с. сохранял на 1200 м. Сравнивая эти данные с моторами, выпускаемыми в 1935 г., мы имеем: мотор М</w:t>
      </w:r>
      <w:r w:rsidRPr="00E14102">
        <w:rPr>
          <w:color w:val="000000" w:themeColor="text1"/>
          <w:sz w:val="16"/>
          <w:szCs w:val="16"/>
        </w:rPr>
        <w:noBreakHyphen/>
        <w:t>85 номинальную мощность 800 л. с. сохраняет на высоте 3850 м; мотор М</w:t>
      </w:r>
      <w:r w:rsidRPr="00E14102">
        <w:rPr>
          <w:color w:val="000000" w:themeColor="text1"/>
          <w:sz w:val="16"/>
          <w:szCs w:val="16"/>
        </w:rPr>
        <w:noBreakHyphen/>
        <w:t>75 номинальную мощность 600 л. с. сохраняет на высоте 4000 м; мотор М</w:t>
      </w:r>
      <w:r w:rsidRPr="00E14102">
        <w:rPr>
          <w:color w:val="000000" w:themeColor="text1"/>
          <w:sz w:val="16"/>
          <w:szCs w:val="16"/>
        </w:rPr>
        <w:noBreakHyphen/>
        <w:t>34РН номинальную мощность 750 л. с. сохраняет на высоте 3500 м; мотор М</w:t>
      </w:r>
      <w:r w:rsidRPr="00E14102">
        <w:rPr>
          <w:color w:val="000000" w:themeColor="text1"/>
          <w:sz w:val="16"/>
          <w:szCs w:val="16"/>
        </w:rPr>
        <w:noBreakHyphen/>
        <w:t>25 (РЦ) номинальную мощность 635 л. с. сохраняет на высоте 2250 м; мотор М</w:t>
      </w:r>
      <w:r w:rsidRPr="00E14102">
        <w:rPr>
          <w:color w:val="000000" w:themeColor="text1"/>
          <w:sz w:val="16"/>
          <w:szCs w:val="16"/>
        </w:rPr>
        <w:noBreakHyphen/>
        <w:t>100 (ИС) номинальную мощность 750 л. с. сохраняет на высоте 3700 м. Таким образом, каждый из приведенных моторов выпуска 1935 г. перекрывает все данные моторов, выпускаемых в 1933 и 1934 гг.</w:t>
      </w:r>
    </w:p>
    <w:p w14:paraId="0405C8EA"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Внедрив в производство на всех моторостроительных заводах указанные выше новые объекты кроме завода № 16 (выпускает мотор М</w:t>
      </w:r>
      <w:r w:rsidRPr="00E14102">
        <w:rPr>
          <w:color w:val="000000" w:themeColor="text1"/>
          <w:sz w:val="16"/>
          <w:szCs w:val="16"/>
        </w:rPr>
        <w:noBreakHyphen/>
        <w:t>11 — 120 л. с.), следует отметить, что в процессе освоения производства новых моторов был внедрен весь опыт и современная техническая культура путем как постоянных командировок за границу наших специалистов на соответствующие заводы, так и приглашения к нам специалистов из-за границы...⁶*</w:t>
      </w:r>
    </w:p>
    <w:p w14:paraId="6CF959E6"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8) В итоге</w:t>
      </w:r>
    </w:p>
    <w:p w14:paraId="34FAC2CB"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1. Выполняя решение партии и правительства, за последние полтора года мы имеем значительное движение вперед в освоении новых, наиболее современных типов моторов. Одновременно с внедрением в серию моторов «Райт-Циклон» К</w:t>
      </w:r>
      <w:r w:rsidRPr="00E14102">
        <w:rPr>
          <w:color w:val="000000" w:themeColor="text1"/>
          <w:sz w:val="16"/>
          <w:szCs w:val="16"/>
        </w:rPr>
        <w:noBreakHyphen/>
        <w:t>14 и «Испано-Сюиза», мы ведем большую работу по их дальнейшей модификации, что должно обеспечить дальнейшее движение вперед моторной техники. Особо следует отметить успешную работу по форсированию мотора М</w:t>
      </w:r>
      <w:r w:rsidRPr="00E14102">
        <w:rPr>
          <w:color w:val="000000" w:themeColor="text1"/>
          <w:sz w:val="16"/>
          <w:szCs w:val="16"/>
        </w:rPr>
        <w:noBreakHyphen/>
        <w:t>34, от которого мы в ближайшее время ждем мощности в 1200 сил на высоте.</w:t>
      </w:r>
    </w:p>
    <w:p w14:paraId="130FB180"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2. По истребительной авиации за последние два года мы сделали резкий скачок вперед по горизонтальным скоростям, главным образом, на заводе № 39. Переходу на новые скорости сопутствовал целый ряд технических трудностей, давших в результате ряд дефектов по самолету. На самолете И</w:t>
      </w:r>
      <w:r w:rsidRPr="00E14102">
        <w:rPr>
          <w:color w:val="000000" w:themeColor="text1"/>
          <w:sz w:val="16"/>
          <w:szCs w:val="16"/>
        </w:rPr>
        <w:noBreakHyphen/>
        <w:t>16 они уже устранены, на самолете И</w:t>
      </w:r>
      <w:r w:rsidRPr="00E14102">
        <w:rPr>
          <w:color w:val="000000" w:themeColor="text1"/>
          <w:sz w:val="16"/>
          <w:szCs w:val="16"/>
        </w:rPr>
        <w:noBreakHyphen/>
        <w:t>15 устраняются. В силу этого мы не можем согласиться с ссылкой тт. Березина и Хаханьяна на машины 39</w:t>
      </w:r>
      <w:r w:rsidRPr="00E14102">
        <w:rPr>
          <w:color w:val="000000" w:themeColor="text1"/>
          <w:sz w:val="16"/>
          <w:szCs w:val="16"/>
        </w:rPr>
        <w:noBreakHyphen/>
        <w:t>го завода как на пример негосударственного подхода к конструкции. Именно на этом заводе на самолетах И</w:t>
      </w:r>
      <w:r w:rsidRPr="00E14102">
        <w:rPr>
          <w:color w:val="000000" w:themeColor="text1"/>
          <w:sz w:val="16"/>
          <w:szCs w:val="16"/>
        </w:rPr>
        <w:noBreakHyphen/>
        <w:t>16, М</w:t>
      </w:r>
      <w:r w:rsidRPr="00E14102">
        <w:rPr>
          <w:color w:val="000000" w:themeColor="text1"/>
          <w:sz w:val="16"/>
          <w:szCs w:val="16"/>
        </w:rPr>
        <w:noBreakHyphen/>
        <w:t>22; И</w:t>
      </w:r>
      <w:r w:rsidRPr="00E14102">
        <w:rPr>
          <w:color w:val="000000" w:themeColor="text1"/>
          <w:sz w:val="16"/>
          <w:szCs w:val="16"/>
        </w:rPr>
        <w:noBreakHyphen/>
        <w:t>16, М</w:t>
      </w:r>
      <w:r w:rsidRPr="00E14102">
        <w:rPr>
          <w:color w:val="000000" w:themeColor="text1"/>
          <w:sz w:val="16"/>
          <w:szCs w:val="16"/>
        </w:rPr>
        <w:noBreakHyphen/>
        <w:t>25; И</w:t>
      </w:r>
      <w:r w:rsidRPr="00E14102">
        <w:rPr>
          <w:color w:val="000000" w:themeColor="text1"/>
          <w:sz w:val="16"/>
          <w:szCs w:val="16"/>
        </w:rPr>
        <w:noBreakHyphen/>
        <w:t>15, М</w:t>
      </w:r>
      <w:r w:rsidRPr="00E14102">
        <w:rPr>
          <w:color w:val="000000" w:themeColor="text1"/>
          <w:sz w:val="16"/>
          <w:szCs w:val="16"/>
        </w:rPr>
        <w:noBreakHyphen/>
        <w:t>25; ДИ</w:t>
      </w:r>
      <w:r w:rsidRPr="00E14102">
        <w:rPr>
          <w:color w:val="000000" w:themeColor="text1"/>
          <w:sz w:val="16"/>
          <w:szCs w:val="16"/>
        </w:rPr>
        <w:noBreakHyphen/>
        <w:t>6, М</w:t>
      </w:r>
      <w:r w:rsidRPr="00E14102">
        <w:rPr>
          <w:color w:val="000000" w:themeColor="text1"/>
          <w:sz w:val="16"/>
          <w:szCs w:val="16"/>
        </w:rPr>
        <w:noBreakHyphen/>
        <w:t>25 мы сделали тот скачок вперед в области истребительной авиации, который поставил нас в ряды лучших заграничных истребителей.</w:t>
      </w:r>
    </w:p>
    <w:p w14:paraId="5C19477A"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3. В области бомбардировочной авиации мы имеем систематическое движение вперед по скоростям и высотам. Трудности освоения новых скоростей бомбардировщиков ТБ</w:t>
      </w:r>
      <w:r w:rsidRPr="00E14102">
        <w:rPr>
          <w:color w:val="000000" w:themeColor="text1"/>
          <w:sz w:val="16"/>
          <w:szCs w:val="16"/>
        </w:rPr>
        <w:noBreakHyphen/>
        <w:t>3 нами почти изжиты, и сейчас стоит задача освоения нового тяжелого бомбардировщика ТБ</w:t>
      </w:r>
      <w:r w:rsidRPr="00E14102">
        <w:rPr>
          <w:color w:val="000000" w:themeColor="text1"/>
          <w:sz w:val="16"/>
          <w:szCs w:val="16"/>
        </w:rPr>
        <w:noBreakHyphen/>
        <w:t>ЗА и СБ.</w:t>
      </w:r>
    </w:p>
    <w:p w14:paraId="50D7F434"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4. Отставание по разведчикам до сих пор нами не ликвидировано, и эта задача ставится нами как основная.</w:t>
      </w:r>
    </w:p>
    <w:p w14:paraId="07C0436A"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5. Во исполнение директив правительства подготовка в 1936 г. серии ДИ</w:t>
      </w:r>
      <w:r w:rsidRPr="00E14102">
        <w:rPr>
          <w:color w:val="000000" w:themeColor="text1"/>
          <w:sz w:val="16"/>
          <w:szCs w:val="16"/>
        </w:rPr>
        <w:noBreakHyphen/>
        <w:t>6 в штурмовом варианте должна подтянуть этот тип самолетов, которого по сути дела у нас не было.</w:t>
      </w:r>
    </w:p>
    <w:p w14:paraId="75E6E8C9"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6. По гидросамолетам мы делаем только первые шаги, чтобы подтянуть их уровень до заграничных морских самолетов. На оставшийся квартал 1935 и 1936 г. эта задача является основной.</w:t>
      </w:r>
    </w:p>
    <w:p w14:paraId="367D5876"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7. Качество наших самолетов и моторов все же недостаточно, и борьба за это дело является основным вопросом нашей работы. Движение отличничества⁷*, начавшееся в рядах авиапромышленности, развертывается и направляется нами именно по линии борьбы за высокое качество самолета и мотора.</w:t>
      </w:r>
    </w:p>
    <w:p w14:paraId="01B78103"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lastRenderedPageBreak/>
        <w:t>8. Несомненно, ошибкой является то положение, что мы допустили в течение восьмимесячной болезни главного инженера т. Ермолаева незамещение никем этой должности, а также совместительство т. Марголиным работы в ГУАПе первым заместителем начальника ГУАПа с работой на заводе № 39 в качестве директора. Это дело будет нами срочно исправлено.</w:t>
      </w:r>
    </w:p>
    <w:p w14:paraId="77DCF0E8"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9. Несмотря на всю напряженность и сложность программы, мы сейчас делаем и сделали все к тому, чтобы максимально обеспечить выполнение заданий правительства на 1935 г.</w:t>
      </w:r>
    </w:p>
    <w:p w14:paraId="7212E38D" w14:textId="77777777" w:rsidR="004E5DD8" w:rsidRPr="00E14102" w:rsidRDefault="004E5DD8"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Начальник ГУАПа Королев</w:t>
      </w:r>
    </w:p>
    <w:p w14:paraId="59B07EF3" w14:textId="77777777" w:rsidR="004E5DD8" w:rsidRPr="00E14102" w:rsidRDefault="004E5DD8" w:rsidP="00E14102">
      <w:pPr>
        <w:pStyle w:val="rtejustify"/>
        <w:spacing w:before="0" w:after="0"/>
        <w:rPr>
          <w:color w:val="000000" w:themeColor="text1"/>
          <w:sz w:val="16"/>
          <w:szCs w:val="16"/>
        </w:rPr>
      </w:pPr>
      <w:r w:rsidRPr="00E14102">
        <w:rPr>
          <w:rStyle w:val="a6"/>
          <w:i w:val="0"/>
          <w:color w:val="000000" w:themeColor="text1"/>
          <w:sz w:val="16"/>
          <w:szCs w:val="16"/>
        </w:rPr>
        <w:t>Примечания</w:t>
      </w:r>
      <w:r w:rsidRPr="00E14102">
        <w:rPr>
          <w:color w:val="000000" w:themeColor="text1"/>
          <w:sz w:val="16"/>
          <w:szCs w:val="16"/>
        </w:rPr>
        <w:t>:</w:t>
      </w:r>
    </w:p>
    <w:p w14:paraId="63030B50"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¹* В этот же день заместителем наркома тяжелой промышленности Г. Л. Пятаковым доклад был послан председателю СТО СССР В. М. Молотову.</w:t>
      </w:r>
    </w:p>
    <w:p w14:paraId="06D5F081"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²* Опущена таблица, содержащая сравнительные данные о тактико-технических характеристиках самолетов-истребителей различных стран.</w:t>
      </w:r>
    </w:p>
    <w:p w14:paraId="587842AE"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³* Опущено техническое описание дефектов, выявленных при испытании самолета И</w:t>
      </w:r>
      <w:r w:rsidRPr="00E14102">
        <w:rPr>
          <w:color w:val="000000" w:themeColor="text1"/>
          <w:sz w:val="16"/>
          <w:szCs w:val="16"/>
        </w:rPr>
        <w:noBreakHyphen/>
        <w:t>15.</w:t>
      </w:r>
    </w:p>
    <w:p w14:paraId="18A2E16F"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⁴* Опущено техническое описание самолета И</w:t>
      </w:r>
      <w:r w:rsidRPr="00E14102">
        <w:rPr>
          <w:color w:val="000000" w:themeColor="text1"/>
          <w:sz w:val="16"/>
          <w:szCs w:val="16"/>
        </w:rPr>
        <w:noBreakHyphen/>
        <w:t>16</w:t>
      </w:r>
      <w:r w:rsidRPr="00E14102">
        <w:rPr>
          <w:color w:val="000000" w:themeColor="text1"/>
          <w:sz w:val="16"/>
          <w:szCs w:val="16"/>
        </w:rPr>
        <w:noBreakHyphen/>
        <w:t>М</w:t>
      </w:r>
      <w:r w:rsidRPr="00E14102">
        <w:rPr>
          <w:color w:val="000000" w:themeColor="text1"/>
          <w:sz w:val="16"/>
          <w:szCs w:val="16"/>
        </w:rPr>
        <w:noBreakHyphen/>
        <w:t>25.</w:t>
      </w:r>
    </w:p>
    <w:p w14:paraId="3BAF1918"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⁵* Опущены сведения о предполагаемом выполнении плана в IV квартале 1935 г.</w:t>
      </w:r>
    </w:p>
    <w:p w14:paraId="47628948"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⁶* Опущены данные о работе отдельных заводов по модификации моторов.</w:t>
      </w:r>
    </w:p>
    <w:p w14:paraId="2A3967A6"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⁷* В первой половине 1930</w:t>
      </w:r>
      <w:r w:rsidRPr="00E14102">
        <w:rPr>
          <w:color w:val="000000" w:themeColor="text1"/>
          <w:sz w:val="16"/>
          <w:szCs w:val="16"/>
        </w:rPr>
        <w:noBreakHyphen/>
        <w:t xml:space="preserve">х годов широко развернулось соревнование рабочих за отличную сдачу продукции — </w:t>
      </w:r>
      <w:r w:rsidRPr="00E14102">
        <w:rPr>
          <w:rStyle w:val="a6"/>
          <w:bCs/>
          <w:i w:val="0"/>
          <w:color w:val="000000" w:themeColor="text1"/>
          <w:sz w:val="16"/>
          <w:szCs w:val="16"/>
        </w:rPr>
        <w:t>движение отличников</w:t>
      </w:r>
      <w:r w:rsidRPr="00E14102">
        <w:rPr>
          <w:color w:val="000000" w:themeColor="text1"/>
          <w:sz w:val="16"/>
          <w:szCs w:val="16"/>
        </w:rPr>
        <w:t>, то есть рабочих, перевыполнявших план, полностью ликвидировавших брак и выпускавших продукцию только высокого качества. Им было охвачено 50</w:t>
      </w:r>
      <w:r w:rsidRPr="00E14102">
        <w:rPr>
          <w:color w:val="000000" w:themeColor="text1"/>
          <w:sz w:val="16"/>
          <w:szCs w:val="16"/>
        </w:rPr>
        <w:noBreakHyphen/>
        <w:t>70% предприятий, а в некоторых отраслях (железнорудная, химическая) — до 100%. Соревнование отличников особенно развилось среди ударников.</w:t>
      </w:r>
    </w:p>
    <w:p w14:paraId="774A12A2" w14:textId="77777777" w:rsidR="004E5DD8" w:rsidRPr="00E14102" w:rsidRDefault="004E5DD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АП РФ. Ф. 3. Оп. 46. Д. 7. Л. 49-69. Копия (15358).</w:t>
      </w:r>
    </w:p>
    <w:p w14:paraId="6FB9CE0E" w14:textId="77777777" w:rsidR="004E5DD8" w:rsidRPr="00E14102" w:rsidRDefault="004E5DD8" w:rsidP="00E14102">
      <w:pPr>
        <w:pStyle w:val="rtejustify"/>
        <w:spacing w:before="0" w:after="0"/>
        <w:rPr>
          <w:rStyle w:val="a6"/>
          <w:bCs/>
          <w:i w:val="0"/>
          <w:color w:val="000000" w:themeColor="text1"/>
          <w:sz w:val="16"/>
          <w:szCs w:val="16"/>
        </w:rPr>
      </w:pPr>
    </w:p>
    <w:p w14:paraId="4622DD01" w14:textId="77777777" w:rsidR="004E5DD8" w:rsidRPr="00E14102" w:rsidRDefault="004E5DD8" w:rsidP="00E14102">
      <w:pPr>
        <w:jc w:val="both"/>
        <w:rPr>
          <w:rStyle w:val="a6"/>
          <w:i w:val="0"/>
          <w:color w:val="000000" w:themeColor="text1"/>
          <w:sz w:val="16"/>
          <w:szCs w:val="16"/>
        </w:rPr>
      </w:pPr>
      <w:r w:rsidRPr="00E14102">
        <w:rPr>
          <w:rStyle w:val="a6"/>
          <w:i w:val="0"/>
          <w:color w:val="000000" w:themeColor="text1"/>
          <w:sz w:val="16"/>
          <w:szCs w:val="16"/>
        </w:rPr>
        <w:t xml:space="preserve">27 октября 1935 г. </w:t>
      </w:r>
      <w:r w:rsidRPr="00E14102">
        <w:rPr>
          <w:color w:val="000000" w:themeColor="text1"/>
          <w:sz w:val="16"/>
          <w:szCs w:val="16"/>
        </w:rPr>
        <w:t>Письмо начальника Реактивного научно-исследовательского института И. Т. Клейменова секретарю ЦК ВКП(б) И. В. Сталину о достижениях института за два года и о создании условии для его дальнейшей работы</w:t>
      </w:r>
    </w:p>
    <w:p w14:paraId="42855B2F" w14:textId="77777777" w:rsidR="004E5DD8" w:rsidRPr="00E14102" w:rsidRDefault="004E5DD8"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11080287" w14:textId="77777777" w:rsidR="004E5DD8" w:rsidRPr="00E14102" w:rsidRDefault="004E5DD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Дорогой т. Сталин!</w:t>
      </w:r>
    </w:p>
    <w:p w14:paraId="7B55B075"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Советский Союз недавно потерял в лице Константина Эдуардовича Циолковского крупнейшего ученого в области реактивного движения. Трудящиеся Советского Союза и Вы лично отметили ту роль, которую сыграли работы Циолковского в области дирижаблестроения, а еще более в области реактивного движения. К. Э. Циолковский занимался теоретической разработкой вопросов реактивного дела. Техническое осуществление его идей и практическим применением ракетной техники занимается Реактивный научно-исследовательский институт, организованный постановлением СТО в 1933 г.</w:t>
      </w:r>
    </w:p>
    <w:p w14:paraId="215F7A48"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Трудам Циолковского трудящиеся Советского Союза дали должную оценку, между тем как продолжению этих трудов — новейшему живому делу и живым людям Реактивного научно-исследовательского института должного внимания нет. А между тем за два года существования института мы имеем хотя и небольшие, но несомненные достижения. Разработаны:</w:t>
      </w:r>
    </w:p>
    <w:p w14:paraId="66E2E6B5"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1. Артснаряды 82</w:t>
      </w:r>
      <w:r w:rsidRPr="00E14102">
        <w:rPr>
          <w:color w:val="000000" w:themeColor="text1"/>
          <w:sz w:val="16"/>
          <w:szCs w:val="16"/>
        </w:rPr>
        <w:noBreakHyphen/>
        <w:t>мм, 132</w:t>
      </w:r>
      <w:r w:rsidRPr="00E14102">
        <w:rPr>
          <w:color w:val="000000" w:themeColor="text1"/>
          <w:sz w:val="16"/>
          <w:szCs w:val="16"/>
        </w:rPr>
        <w:noBreakHyphen/>
        <w:t>мм и 245</w:t>
      </w:r>
      <w:r w:rsidRPr="00E14102">
        <w:rPr>
          <w:color w:val="000000" w:themeColor="text1"/>
          <w:sz w:val="16"/>
          <w:szCs w:val="16"/>
        </w:rPr>
        <w:noBreakHyphen/>
        <w:t>мм для вооружения самолетов, танков и торпедных катеров. Снаряды 82 и 132</w:t>
      </w:r>
      <w:r w:rsidRPr="00E14102">
        <w:rPr>
          <w:color w:val="000000" w:themeColor="text1"/>
          <w:sz w:val="16"/>
          <w:szCs w:val="16"/>
        </w:rPr>
        <w:noBreakHyphen/>
        <w:t>мм в валовых партиях по заказу НКОбороны изготовляются в промышленности.</w:t>
      </w:r>
    </w:p>
    <w:p w14:paraId="29B9A3B1"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2. Реактивные моторы на жидком топливе (жидкий кислород — спирт, азотная кислота — керосин) с тягою от 100 до 300 кг, могущие служить для полетов в стратосферу.</w:t>
      </w:r>
    </w:p>
    <w:p w14:paraId="51C99365"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3. Несколько опытных ракет были испробованы в воздухе.</w:t>
      </w:r>
    </w:p>
    <w:p w14:paraId="3D285837"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4. Разработаны и испытаны ракеты для ускорения взлета тяжелых самолетов, что уменьшает взлетную площадь аэродрома и увеличивает радиус действия самолета.</w:t>
      </w:r>
    </w:p>
    <w:p w14:paraId="4FCD1D9B"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5. Осуществлена и пущена в ход реактивная баллистическая труба со скоростью потока 1100 м/с, дающая возможность определять качество пуль и снарядов.</w:t>
      </w:r>
    </w:p>
    <w:p w14:paraId="0AF5A52B"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6. Разработана и испытана опытная стендовая установка воздушно-реактивного двигателя, предназначаемого для сверхскоростных самолетов.</w:t>
      </w:r>
    </w:p>
    <w:p w14:paraId="0CCE1EA4"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7. В настоящее время институтом испытывается образец авиационной бомбы, дающей скорость удара и глубину проникания в 2</w:t>
      </w:r>
      <w:r w:rsidRPr="00E14102">
        <w:rPr>
          <w:color w:val="000000" w:themeColor="text1"/>
          <w:sz w:val="16"/>
          <w:szCs w:val="16"/>
        </w:rPr>
        <w:noBreakHyphen/>
        <w:t>3 раза большую, чем нормальная авиационная бомба.</w:t>
      </w:r>
    </w:p>
    <w:p w14:paraId="5A7A4002"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Несмотря на то, что авиация уже почти достигла предела высоты и скорости полета, несмотря на то, что дальнейшее завоевание скоростей и высоты возможны только при применении реактивных двигателей, которыми занимается Реактивный институт, несмотря на общепризнанную важность ракетного дела, Реактивный институт находится в ненормальных условиях: 1. На строительство института отпускается всего только 1,5 млн. руб. в год. 2. Оборудование отпускается в мизерных количествах, совершенно недостаточных для самой скромной программы. 3. Средств на выполнение тематических работ отпускается недостаточно. 4. Кадров не хватает, да и те в материально-бытовом отношении не обеспечены. 5. Автомобильный транспорт — недостаточен.</w:t>
      </w:r>
    </w:p>
    <w:p w14:paraId="1EF6830A" w14:textId="77777777" w:rsidR="004E5DD8" w:rsidRPr="00E14102" w:rsidRDefault="004E5DD8" w:rsidP="00E14102">
      <w:pPr>
        <w:pStyle w:val="rtejustify"/>
        <w:spacing w:before="0" w:after="0"/>
        <w:rPr>
          <w:color w:val="000000" w:themeColor="text1"/>
          <w:sz w:val="16"/>
          <w:szCs w:val="16"/>
        </w:rPr>
      </w:pPr>
      <w:r w:rsidRPr="00E14102">
        <w:rPr>
          <w:color w:val="000000" w:themeColor="text1"/>
          <w:sz w:val="16"/>
          <w:szCs w:val="16"/>
        </w:rPr>
        <w:t>При таком положении быстрое развитие этой важнейшей проблемы чрезвычайно затруднено. Учитывая ее огромное значение, в особенности для обороны страны, прошу Ваших указаний НКТяжпрому о создании необходимых условий для продуктивной работы Реактивного института.</w:t>
      </w:r>
    </w:p>
    <w:p w14:paraId="720DE933" w14:textId="77777777" w:rsidR="004E5DD8" w:rsidRPr="00E14102" w:rsidRDefault="004E5DD8"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Начальник Реактивного научно-исследовательского института Клейменов</w:t>
      </w:r>
    </w:p>
    <w:p w14:paraId="1AB8502D" w14:textId="77777777" w:rsidR="004E5DD8" w:rsidRPr="00E14102" w:rsidRDefault="004E5DD8"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7297. Оп. 38. Д. 269. Л. 14-15. Заверенная копия (15357).</w:t>
      </w:r>
    </w:p>
    <w:p w14:paraId="2BE8918F" w14:textId="77777777" w:rsidR="004E5DD8" w:rsidRPr="00E14102" w:rsidRDefault="004E5DD8" w:rsidP="00E14102">
      <w:pPr>
        <w:pStyle w:val="rtejustify"/>
        <w:spacing w:before="0" w:after="0"/>
        <w:rPr>
          <w:rStyle w:val="a6"/>
          <w:bCs/>
          <w:i w:val="0"/>
          <w:color w:val="000000" w:themeColor="text1"/>
          <w:sz w:val="16"/>
          <w:szCs w:val="16"/>
        </w:rPr>
      </w:pPr>
    </w:p>
    <w:p w14:paraId="1424F22B" w14:textId="77777777" w:rsidR="00CD3BA6"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686B1F94" w14:textId="77777777" w:rsidR="00CD3BA6" w:rsidRPr="00E14102" w:rsidRDefault="00CD3BA6" w:rsidP="00E14102">
      <w:pPr>
        <w:autoSpaceDE w:val="0"/>
        <w:autoSpaceDN w:val="0"/>
        <w:adjustRightInd w:val="0"/>
        <w:jc w:val="both"/>
        <w:rPr>
          <w:iCs/>
          <w:color w:val="000000" w:themeColor="text1"/>
          <w:sz w:val="16"/>
          <w:szCs w:val="16"/>
        </w:rPr>
      </w:pPr>
    </w:p>
    <w:p w14:paraId="70A7674D" w14:textId="77777777" w:rsidR="00CD3BA6" w:rsidRPr="00E14102" w:rsidRDefault="00CD3BA6" w:rsidP="00E14102">
      <w:pPr>
        <w:jc w:val="both"/>
        <w:rPr>
          <w:color w:val="000000" w:themeColor="text1"/>
          <w:sz w:val="16"/>
          <w:szCs w:val="16"/>
        </w:rPr>
      </w:pPr>
      <w:r w:rsidRPr="00E14102">
        <w:rPr>
          <w:color w:val="000000" w:themeColor="text1"/>
          <w:sz w:val="16"/>
          <w:szCs w:val="16"/>
        </w:rPr>
        <w:t>27 октября 1935 было крушение воинского эшелона на станции Шумиха. 30 бойцов погибло, примерно столько же получили увечья (12629).</w:t>
      </w:r>
    </w:p>
    <w:p w14:paraId="6132DC72" w14:textId="77777777" w:rsidR="00CD3BA6" w:rsidRPr="00E14102" w:rsidRDefault="00CD3BA6" w:rsidP="00E14102">
      <w:pPr>
        <w:autoSpaceDE w:val="0"/>
        <w:autoSpaceDN w:val="0"/>
        <w:adjustRightInd w:val="0"/>
        <w:jc w:val="both"/>
        <w:rPr>
          <w:iCs/>
          <w:color w:val="000000" w:themeColor="text1"/>
          <w:sz w:val="16"/>
          <w:szCs w:val="16"/>
        </w:rPr>
      </w:pPr>
    </w:p>
    <w:p w14:paraId="773FFBC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CAAA628" w14:textId="77777777" w:rsidR="00D4105E" w:rsidRPr="00E14102" w:rsidRDefault="00D4105E" w:rsidP="00E14102">
      <w:pPr>
        <w:autoSpaceDE w:val="0"/>
        <w:autoSpaceDN w:val="0"/>
        <w:adjustRightInd w:val="0"/>
        <w:jc w:val="both"/>
        <w:rPr>
          <w:iCs/>
          <w:color w:val="000000" w:themeColor="text1"/>
          <w:sz w:val="16"/>
          <w:szCs w:val="16"/>
        </w:rPr>
      </w:pPr>
    </w:p>
    <w:p w14:paraId="69B534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октября 1935 испытания СБ-2ИС временно приостановили из-за недоведенности ВМГ. Машину опять вернули в ЦАГИ. Пробыла она там недолго (7643).</w:t>
      </w:r>
    </w:p>
    <w:p w14:paraId="67AA43F1" w14:textId="77777777" w:rsidR="00D4105E" w:rsidRPr="00E14102" w:rsidRDefault="00D4105E" w:rsidP="00E14102">
      <w:pPr>
        <w:autoSpaceDE w:val="0"/>
        <w:autoSpaceDN w:val="0"/>
        <w:adjustRightInd w:val="0"/>
        <w:jc w:val="both"/>
        <w:rPr>
          <w:color w:val="000000" w:themeColor="text1"/>
          <w:sz w:val="16"/>
          <w:szCs w:val="16"/>
        </w:rPr>
      </w:pPr>
    </w:p>
    <w:p w14:paraId="09FD73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октября 1935 года врид начальника 4 отдела УВС и начальник НТО 4 отдела УВС Горощенко писали письмо N 41/02775 Базелевичу.</w:t>
      </w:r>
    </w:p>
    <w:p w14:paraId="5B4F83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постановлению СТО от 4 августа 1935 года N С-96сс ГУАП (завод N 39) должен был к 20 сентября 1935 года приспособить самолет ДИ6-М25 под штурмовик.</w:t>
      </w:r>
    </w:p>
    <w:p w14:paraId="147354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Поставленный срок 20 сентября 1935 года зав. N 39 не был выдержан, самолет только в настоящий момент готов и с 28 октября поступает на совместные испытания завода и НИИ ВС.</w:t>
      </w:r>
    </w:p>
    <w:p w14:paraId="278A38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задняя точка имеет пулемет Шкасс вместо ПВ-1, значащегося в указанном постановлении СТО.</w:t>
      </w:r>
    </w:p>
    <w:p w14:paraId="7CAF57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Подготовка производства по размещению серийного заказа ведется на зав. N 1, вместо значащегося в постановлении N 81.</w:t>
      </w:r>
    </w:p>
    <w:p w14:paraId="6DBB61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81 подготавливает серийное производство ДИ6-М25 в истребительном варианте (3501,15).</w:t>
      </w:r>
    </w:p>
    <w:p w14:paraId="48A77D29" w14:textId="77777777" w:rsidR="00D4105E" w:rsidRPr="00E14102" w:rsidRDefault="00D4105E" w:rsidP="00E14102">
      <w:pPr>
        <w:autoSpaceDE w:val="0"/>
        <w:autoSpaceDN w:val="0"/>
        <w:adjustRightInd w:val="0"/>
        <w:jc w:val="both"/>
        <w:rPr>
          <w:color w:val="000000" w:themeColor="text1"/>
          <w:sz w:val="16"/>
          <w:szCs w:val="16"/>
        </w:rPr>
      </w:pPr>
    </w:p>
    <w:p w14:paraId="5C7968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октября 1935 ЭКУ НКВД подготовил и представил КО доклад "О конструктивных дефектах самолета ИП-1 (конструкции Григоровича), выпускаемого заводом 135" (1566,107).</w:t>
      </w:r>
    </w:p>
    <w:p w14:paraId="389EA832" w14:textId="77777777" w:rsidR="00D4105E" w:rsidRPr="00E14102" w:rsidRDefault="00D4105E" w:rsidP="00E14102">
      <w:pPr>
        <w:autoSpaceDE w:val="0"/>
        <w:autoSpaceDN w:val="0"/>
        <w:adjustRightInd w:val="0"/>
        <w:jc w:val="both"/>
        <w:rPr>
          <w:color w:val="000000" w:themeColor="text1"/>
          <w:sz w:val="16"/>
          <w:szCs w:val="16"/>
        </w:rPr>
      </w:pPr>
    </w:p>
    <w:p w14:paraId="39A746D4" w14:textId="77777777" w:rsidR="00333132" w:rsidRPr="00E14102" w:rsidRDefault="00333132" w:rsidP="00E14102">
      <w:pPr>
        <w:jc w:val="both"/>
        <w:rPr>
          <w:color w:val="000000" w:themeColor="text1"/>
          <w:sz w:val="16"/>
          <w:szCs w:val="16"/>
        </w:rPr>
      </w:pPr>
      <w:r w:rsidRPr="00E14102">
        <w:rPr>
          <w:color w:val="000000" w:themeColor="text1"/>
          <w:sz w:val="16"/>
          <w:szCs w:val="16"/>
        </w:rPr>
        <w:t>28 октября 1935 года» было составлено «специальные сообщения» ЭКУ НКВД для СТО и Комиссии Обороны CHK СССР «О конструктивных дефектах самолета ИП-1 (конструкции Григоровича), выпускаемых заводом № 135» от /60/.</w:t>
      </w:r>
    </w:p>
    <w:p w14:paraId="6155037D" w14:textId="77777777" w:rsidR="00333132" w:rsidRPr="00E14102" w:rsidRDefault="00333132" w:rsidP="00E14102">
      <w:pPr>
        <w:jc w:val="both"/>
        <w:rPr>
          <w:color w:val="000000" w:themeColor="text1"/>
          <w:sz w:val="16"/>
          <w:szCs w:val="16"/>
        </w:rPr>
      </w:pPr>
      <w:r w:rsidRPr="00E14102">
        <w:rPr>
          <w:color w:val="000000" w:themeColor="text1"/>
          <w:sz w:val="16"/>
          <w:szCs w:val="16"/>
        </w:rPr>
        <w:t>После упразднения в 1934 г. ЦКК-НК РКИ функции контроля за работой военной промышленности сосредоточились в двух органах: Комиссии Советского Контроля CHK СССР и Экономическом управлении (ЭКУ) НКВД, причем, функции последнего являлись как бы одновременно ревизионными и следственными. Работники территориальных управлений ЭКУ НКВД осуществляли систематическую проверку финансовой и хозяйственной деятельности заводов, имеющих оборонный заказ, а также состояние оборудования, инструмента, качество полуфабрикатов, осуществление процесса технического контроля и т.д.</w:t>
      </w:r>
    </w:p>
    <w:p w14:paraId="1573AF66" w14:textId="77777777" w:rsidR="00333132" w:rsidRPr="00E14102" w:rsidRDefault="00333132" w:rsidP="00E14102">
      <w:pPr>
        <w:jc w:val="both"/>
        <w:rPr>
          <w:color w:val="000000" w:themeColor="text1"/>
          <w:sz w:val="16"/>
          <w:szCs w:val="16"/>
        </w:rPr>
      </w:pPr>
      <w:r w:rsidRPr="00E14102">
        <w:rPr>
          <w:color w:val="000000" w:themeColor="text1"/>
          <w:sz w:val="16"/>
          <w:szCs w:val="16"/>
        </w:rPr>
        <w:t>По фактам нарушений технологического процесса и другим недостаткам работы военно-промышленных предприятий ЭКУ НКВД составлял для СТО и Комиссии Обороны CHK СССР «специальные сообщения» (19527).</w:t>
      </w:r>
    </w:p>
    <w:p w14:paraId="121C9F7E" w14:textId="77777777" w:rsidR="00333132" w:rsidRPr="00E14102" w:rsidRDefault="00333132" w:rsidP="00E14102">
      <w:pPr>
        <w:jc w:val="both"/>
        <w:rPr>
          <w:color w:val="000000" w:themeColor="text1"/>
          <w:sz w:val="16"/>
          <w:szCs w:val="16"/>
        </w:rPr>
      </w:pPr>
    </w:p>
    <w:p w14:paraId="6F1F6A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 октября 1935 года в Комиссию Обороны поступило спецсообщение ЭКУ НКВД «О конструктивных дефектах самолета ИП-1 (конструкции Григоровича), выпускае</w:t>
      </w:r>
      <w:r w:rsidRPr="00E14102">
        <w:rPr>
          <w:color w:val="000000" w:themeColor="text1"/>
          <w:sz w:val="16"/>
          <w:szCs w:val="16"/>
        </w:rPr>
        <w:softHyphen/>
        <w:t>мых заводом № 135» от » (1566,106).</w:t>
      </w:r>
    </w:p>
    <w:p w14:paraId="2346C1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C7504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октября 1935 года врид начальника 4 отдела УВС Галдин писал письмо N 41/02774 начальнику 5 отдела УВС.</w:t>
      </w:r>
    </w:p>
    <w:p w14:paraId="603E26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ИП-4М25 проходит в настоящий момент заводские испытания.</w:t>
      </w:r>
    </w:p>
    <w:p w14:paraId="4B4734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самолете установлены макетные системы АПК-11 без магазинов.</w:t>
      </w:r>
    </w:p>
    <w:p w14:paraId="05C5CD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Отсутствие эталонного вооружения не дает возможности в полном объеме провести заводские испытания и задерживает таковые. (3120,112).</w:t>
      </w:r>
    </w:p>
    <w:p w14:paraId="106C4EB5" w14:textId="77777777" w:rsidR="00D4105E" w:rsidRPr="00E14102" w:rsidRDefault="00D4105E" w:rsidP="00E14102">
      <w:pPr>
        <w:autoSpaceDE w:val="0"/>
        <w:autoSpaceDN w:val="0"/>
        <w:adjustRightInd w:val="0"/>
        <w:jc w:val="both"/>
        <w:rPr>
          <w:color w:val="000000" w:themeColor="text1"/>
          <w:sz w:val="16"/>
          <w:szCs w:val="16"/>
        </w:rPr>
      </w:pPr>
    </w:p>
    <w:p w14:paraId="2614221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28 октября 1935 года член комиссии партконтроля – зам. руководителя группы по военно-морским делам Н. Березин писал письмо № 207/302сс в СТО Молотову</w:t>
      </w:r>
    </w:p>
    <w:p w14:paraId="6D6D7A6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вашему поручению я ознакомился с работами С.В.И. по новому истребителю.</w:t>
      </w:r>
    </w:p>
    <w:p w14:paraId="1BFD2F9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Машина, задуманная С.В.И. представляет, бесспорно, большой интерес. Конструкторский опыт самого С.В.И. позволяет рассчитывать на то, что С.В.И. справится с поставленной задачей.</w:t>
      </w:r>
    </w:p>
    <w:p w14:paraId="5B175EA3"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Исходя из этого, считаю постройку этой машины вполне целесообразной.</w:t>
      </w:r>
    </w:p>
    <w:p w14:paraId="2A96888E"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Положение дел с ее постройкой на сегодняшний день таково:</w:t>
      </w:r>
    </w:p>
    <w:p w14:paraId="6C01744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Зам. начальника ГУАПа Марголин сообщил, что по его докладу начальник ГУАП Королев пересмотрел прежнее свое решение и дал согласие на постройку этой машины и распорядился поручить техсовету ГУАПа рассмотреть проект этой машины.</w:t>
      </w:r>
    </w:p>
    <w:p w14:paraId="0ED750BE"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Работы по конструированию машины продолжаются, но в план опытного строительства они не включены.</w:t>
      </w:r>
    </w:p>
    <w:p w14:paraId="7541474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Полагаю, что после рассмотрения проекта машины С.В.И. на техсовете ГУАПа этот истребитель нужно будет включить в правительственный план опытного самолетостроения (3475,161).</w:t>
      </w:r>
    </w:p>
    <w:p w14:paraId="6458B98C"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3AD31D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октября 1935:</w:t>
      </w:r>
    </w:p>
    <w:p w14:paraId="502A47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Письмо в комиссию партийного контроля от 28 октября 1935 г.:</w:t>
      </w:r>
    </w:p>
    <w:p w14:paraId="00F42C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СОВЕТ ТРУДА И ОБОРОНЫ - тов. МОЛОТОВУ.</w:t>
      </w:r>
    </w:p>
    <w:p w14:paraId="324D3A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вашему поручению я ознакомился с работами т. Ильюшина по новому истребителю.</w:t>
      </w:r>
    </w:p>
    <w:p w14:paraId="57C7B5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Машина, задуманная т. Ильюшиным, представляет, бесспорно, большой интерес. Конструкторский опыт самого т. Ильюшина позволяет рассчитывать на то, что т. Ильюшин справится с поставленной задачей.</w:t>
      </w:r>
    </w:p>
    <w:p w14:paraId="23937A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Исходя из этого, считаю постройку этой машины вполне целесообразной.</w:t>
      </w:r>
    </w:p>
    <w:p w14:paraId="6BC1D0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Положение дел с ее постройкой на сегодняшний день таково:</w:t>
      </w:r>
    </w:p>
    <w:p w14:paraId="055E4B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Нач. ГУАПа т. Марголин сообщил, что по его докладу Нач. ГУАПа т. Королев пересмотрел прежнее свое решение и дал согласие на постройку этой машины и распорядился поручить тех. совету ГУАПа рассмотреть проект этой машины.</w:t>
      </w:r>
    </w:p>
    <w:p w14:paraId="0D8D5A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по конструированию машины продолжаются, но в план опытного строительства они не включены. Полагаю, что после рассмотрения проекта машины т. Ильюшина на тех. совете ГУАПа этот истребитель нужно будет включить в правительственный план опытного самолетостроения.</w:t>
      </w:r>
    </w:p>
    <w:p w14:paraId="02C543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Член комиссии парт, контроля Зам. Руководителя группы по военно-морским делам (И.Березин)</w:t>
      </w:r>
    </w:p>
    <w:p w14:paraId="64B778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Приведенные два документа (данный и письмо С.В.И. от 1 октября) представлены читателю практически без изменений, поэтому некоторая их нескладность смущать не должна. Из них следует, что самолет, который задумал Ильюшин, назывался И-21 (ЦКБ-32) и оснащаться он должен был форсированным двигателем М-34ФРН. Дополнительным отличием И-21 стало использование пароиспарительной системы охлаждения, размещенной в крыле. Каких-либо других сведений об этой машине, истории создания, проведении испытаний и фотографий летного экземпляра не обнаружено - как будто их и не было (12016).</w:t>
      </w:r>
    </w:p>
    <w:p w14:paraId="6D8CDAB5" w14:textId="77777777" w:rsidR="00D4105E" w:rsidRPr="00E14102" w:rsidRDefault="00D4105E" w:rsidP="00E14102">
      <w:pPr>
        <w:autoSpaceDE w:val="0"/>
        <w:autoSpaceDN w:val="0"/>
        <w:adjustRightInd w:val="0"/>
        <w:jc w:val="both"/>
        <w:rPr>
          <w:color w:val="000000" w:themeColor="text1"/>
          <w:sz w:val="16"/>
          <w:szCs w:val="16"/>
        </w:rPr>
      </w:pPr>
    </w:p>
    <w:p w14:paraId="4FAF501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октября 1936 года Начальник штаба ВВС комкор Лавров утвердил Отчет по испытаниям маскирующей мелкопятнистой окраски самолетов Р-5 в летних условиях (6699).</w:t>
      </w:r>
    </w:p>
    <w:p w14:paraId="13A019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работы</w:t>
      </w:r>
    </w:p>
    <w:p w14:paraId="7FEE2FB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Целью работы являлась проверка предложенного ВИА метода маскировки самолетов Р-5 на земле и в воздухе способом мелкопятнистой окраски в условиях летнего фона.</w:t>
      </w:r>
    </w:p>
    <w:p w14:paraId="6FA93C1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Маскирующая окраска самолетов имела своим назначением получение невидимости или уменьшения видимости как отдельных самолетов, так и их соединений при следующих условиях наблюдения:</w:t>
      </w:r>
    </w:p>
    <w:p w14:paraId="4A7362F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Для самолетов стоящих на земле высота наблюдения 500 м и радиус наблюдения 5000 м.</w:t>
      </w:r>
    </w:p>
    <w:p w14:paraId="47A8C6D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Для самолетов в воздухе, проектирующихся в полете на фоне земли и наблюдаемых с выше летящего самолета противника, высоту собственного самолета принять от 50 до 4000 м………….</w:t>
      </w:r>
    </w:p>
    <w:p w14:paraId="30E124E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Для проведения испытаний были окрашены два самолета Р-5. В процессе выполнения самой окраски самолетов оказалось, что предлагаемый ВИАМом казеиновый закрепитель обладает целым рядом дефектов, заключающихся в его способности изменять значность цветовых констант у компонентов в сторону их посветления и понижения чистоты цветов.</w:t>
      </w:r>
    </w:p>
    <w:p w14:paraId="4850D8D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целях получения сравнительных результатов испытания был окрашен еще один самолет Р-5 в 3-х цветный камуфляж.</w:t>
      </w:r>
    </w:p>
    <w:p w14:paraId="609B17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8F3BF4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Предложенный ВИА метод мелкопятнистой окраски самолетов типа Р-5 дал лучший маскэффект, чем это обеспечивает серийная одноцветная защитная окраска. Однако этот метод маскировки самолетов может быть рекомендован только после повторных испытаний с внесением необходимых изменений (подбор расцветки, маскировка теней самолета и т.д.).</w:t>
      </w:r>
    </w:p>
    <w:p w14:paraId="79FE622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Метод камуфляжа самолетов создает маскэффект и может быть рекомендован как новый тип окраски самолетов при условии маскировки их на камуфлированной местности и полной матовой окраски.</w:t>
      </w:r>
    </w:p>
    <w:p w14:paraId="2F0978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Общая характеристика цветных компонентов (проектная)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552"/>
      </w:tblGrid>
      <w:tr w:rsidR="00E3599D" w:rsidRPr="00E14102" w14:paraId="0C6E146C" w14:textId="77777777">
        <w:tc>
          <w:tcPr>
            <w:tcW w:w="2952" w:type="dxa"/>
          </w:tcPr>
          <w:p w14:paraId="1970B31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цветных компонентов</w:t>
            </w:r>
          </w:p>
        </w:tc>
        <w:tc>
          <w:tcPr>
            <w:tcW w:w="2952" w:type="dxa"/>
          </w:tcPr>
          <w:p w14:paraId="1393BD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Удельный вес компонента в окраске</w:t>
            </w:r>
          </w:p>
        </w:tc>
        <w:tc>
          <w:tcPr>
            <w:tcW w:w="4552" w:type="dxa"/>
          </w:tcPr>
          <w:p w14:paraId="25CEDF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красителей</w:t>
            </w:r>
          </w:p>
        </w:tc>
      </w:tr>
      <w:tr w:rsidR="00E3599D" w:rsidRPr="00E14102" w14:paraId="2980A26E" w14:textId="77777777">
        <w:tc>
          <w:tcPr>
            <w:tcW w:w="2952" w:type="dxa"/>
          </w:tcPr>
          <w:p w14:paraId="76123A7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Темно-зелено-коричневый</w:t>
            </w:r>
          </w:p>
        </w:tc>
        <w:tc>
          <w:tcPr>
            <w:tcW w:w="2952" w:type="dxa"/>
          </w:tcPr>
          <w:p w14:paraId="345AC3A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w:t>
            </w:r>
          </w:p>
        </w:tc>
        <w:tc>
          <w:tcPr>
            <w:tcW w:w="4552" w:type="dxa"/>
          </w:tcPr>
          <w:p w14:paraId="1910830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Сажа, зеленая земля, сурик железный</w:t>
            </w:r>
          </w:p>
        </w:tc>
      </w:tr>
      <w:tr w:rsidR="00E3599D" w:rsidRPr="00E14102" w14:paraId="1D565DDA" w14:textId="77777777">
        <w:tc>
          <w:tcPr>
            <w:tcW w:w="2952" w:type="dxa"/>
          </w:tcPr>
          <w:p w14:paraId="46E410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Зеленая</w:t>
            </w:r>
          </w:p>
        </w:tc>
        <w:tc>
          <w:tcPr>
            <w:tcW w:w="2952" w:type="dxa"/>
          </w:tcPr>
          <w:p w14:paraId="3659133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w:t>
            </w:r>
          </w:p>
        </w:tc>
        <w:tc>
          <w:tcPr>
            <w:tcW w:w="4552" w:type="dxa"/>
          </w:tcPr>
          <w:p w14:paraId="1242878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Зеленая земля, фисташковая зелень, мел</w:t>
            </w:r>
          </w:p>
        </w:tc>
      </w:tr>
      <w:tr w:rsidR="00E3599D" w:rsidRPr="00E14102" w14:paraId="4150025E" w14:textId="77777777">
        <w:tc>
          <w:tcPr>
            <w:tcW w:w="2952" w:type="dxa"/>
          </w:tcPr>
          <w:p w14:paraId="155B27D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Зелено-коричневая</w:t>
            </w:r>
          </w:p>
        </w:tc>
        <w:tc>
          <w:tcPr>
            <w:tcW w:w="2952" w:type="dxa"/>
          </w:tcPr>
          <w:p w14:paraId="651382E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w:t>
            </w:r>
          </w:p>
        </w:tc>
        <w:tc>
          <w:tcPr>
            <w:tcW w:w="4552" w:type="dxa"/>
          </w:tcPr>
          <w:p w14:paraId="389182B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Не был выполнен</w:t>
            </w:r>
          </w:p>
        </w:tc>
      </w:tr>
      <w:tr w:rsidR="00E3599D" w:rsidRPr="00E14102" w14:paraId="33C7DC5D" w14:textId="77777777">
        <w:tc>
          <w:tcPr>
            <w:tcW w:w="2952" w:type="dxa"/>
          </w:tcPr>
          <w:p w14:paraId="357794D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Коричневая</w:t>
            </w:r>
          </w:p>
        </w:tc>
        <w:tc>
          <w:tcPr>
            <w:tcW w:w="2952" w:type="dxa"/>
          </w:tcPr>
          <w:p w14:paraId="4796850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w:t>
            </w:r>
          </w:p>
        </w:tc>
        <w:tc>
          <w:tcPr>
            <w:tcW w:w="4552" w:type="dxa"/>
          </w:tcPr>
          <w:p w14:paraId="747B28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Сурик свинцовый, сурик железный, охра, мел</w:t>
            </w:r>
          </w:p>
        </w:tc>
      </w:tr>
      <w:tr w:rsidR="00E3599D" w:rsidRPr="00E14102" w14:paraId="050A5641" w14:textId="77777777">
        <w:tc>
          <w:tcPr>
            <w:tcW w:w="2952" w:type="dxa"/>
          </w:tcPr>
          <w:p w14:paraId="155DA35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Светло-зеленая</w:t>
            </w:r>
          </w:p>
        </w:tc>
        <w:tc>
          <w:tcPr>
            <w:tcW w:w="2952" w:type="dxa"/>
          </w:tcPr>
          <w:p w14:paraId="44502C5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w:t>
            </w:r>
          </w:p>
        </w:tc>
        <w:tc>
          <w:tcPr>
            <w:tcW w:w="4552" w:type="dxa"/>
          </w:tcPr>
          <w:p w14:paraId="52C25A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Зеленая земля, мел</w:t>
            </w:r>
          </w:p>
        </w:tc>
      </w:tr>
      <w:tr w:rsidR="00E3599D" w:rsidRPr="00E14102" w14:paraId="6AC16208" w14:textId="77777777">
        <w:tc>
          <w:tcPr>
            <w:tcW w:w="2952" w:type="dxa"/>
          </w:tcPr>
          <w:p w14:paraId="789BB04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Желто-зеленая</w:t>
            </w:r>
          </w:p>
        </w:tc>
        <w:tc>
          <w:tcPr>
            <w:tcW w:w="2952" w:type="dxa"/>
          </w:tcPr>
          <w:p w14:paraId="07C6D4F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w:t>
            </w:r>
          </w:p>
        </w:tc>
        <w:tc>
          <w:tcPr>
            <w:tcW w:w="4552" w:type="dxa"/>
          </w:tcPr>
          <w:p w14:paraId="71E49F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Фисташковая зелень, крон, мел</w:t>
            </w:r>
          </w:p>
        </w:tc>
      </w:tr>
      <w:tr w:rsidR="00E3599D" w:rsidRPr="00E14102" w14:paraId="4C9D9848" w14:textId="77777777">
        <w:tc>
          <w:tcPr>
            <w:tcW w:w="2952" w:type="dxa"/>
          </w:tcPr>
          <w:p w14:paraId="17DACB5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Защитный цвет “ЗБ”</w:t>
            </w:r>
          </w:p>
        </w:tc>
        <w:tc>
          <w:tcPr>
            <w:tcW w:w="2952" w:type="dxa"/>
          </w:tcPr>
          <w:p w14:paraId="3FB67FF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w:t>
            </w:r>
          </w:p>
        </w:tc>
        <w:tc>
          <w:tcPr>
            <w:tcW w:w="4552" w:type="dxa"/>
          </w:tcPr>
          <w:p w14:paraId="575756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r>
    </w:tbl>
    <w:p w14:paraId="54E7D5B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виду отсутствия вышеуказанных красителей и частичной замены их другими, окраска по варианту II была составлена из 5 цветных компонентов: №№ 1, 3, 4, 6, 7 с изменением и удельного веса каждого из них: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552"/>
      </w:tblGrid>
      <w:tr w:rsidR="00E3599D" w:rsidRPr="00E14102" w14:paraId="75BBD7E2" w14:textId="77777777">
        <w:tc>
          <w:tcPr>
            <w:tcW w:w="2952" w:type="dxa"/>
          </w:tcPr>
          <w:p w14:paraId="5CFE222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Темно-сине-зеленый</w:t>
            </w:r>
          </w:p>
        </w:tc>
        <w:tc>
          <w:tcPr>
            <w:tcW w:w="2952" w:type="dxa"/>
          </w:tcPr>
          <w:p w14:paraId="1C71CC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w:t>
            </w:r>
          </w:p>
        </w:tc>
        <w:tc>
          <w:tcPr>
            <w:tcW w:w="4552" w:type="dxa"/>
          </w:tcPr>
          <w:p w14:paraId="54B66E8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Зеленая земля, берл. синий, мел</w:t>
            </w:r>
          </w:p>
        </w:tc>
      </w:tr>
      <w:tr w:rsidR="00E3599D" w:rsidRPr="00E14102" w14:paraId="3033B4B6" w14:textId="77777777">
        <w:tc>
          <w:tcPr>
            <w:tcW w:w="2952" w:type="dxa"/>
          </w:tcPr>
          <w:p w14:paraId="4255EFF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Зеленый</w:t>
            </w:r>
          </w:p>
        </w:tc>
        <w:tc>
          <w:tcPr>
            <w:tcW w:w="2952" w:type="dxa"/>
          </w:tcPr>
          <w:p w14:paraId="75E2A75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w:t>
            </w:r>
          </w:p>
        </w:tc>
        <w:tc>
          <w:tcPr>
            <w:tcW w:w="4552" w:type="dxa"/>
          </w:tcPr>
          <w:p w14:paraId="1339EC8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Зеленая земля, мел</w:t>
            </w:r>
          </w:p>
        </w:tc>
      </w:tr>
      <w:tr w:rsidR="00E3599D" w:rsidRPr="00E14102" w14:paraId="54B07276" w14:textId="77777777">
        <w:tc>
          <w:tcPr>
            <w:tcW w:w="2952" w:type="dxa"/>
          </w:tcPr>
          <w:p w14:paraId="4AA8706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Светло-зеленый</w:t>
            </w:r>
          </w:p>
        </w:tc>
        <w:tc>
          <w:tcPr>
            <w:tcW w:w="2952" w:type="dxa"/>
          </w:tcPr>
          <w:p w14:paraId="3AECE16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37%</w:t>
            </w:r>
          </w:p>
        </w:tc>
        <w:tc>
          <w:tcPr>
            <w:tcW w:w="4552" w:type="dxa"/>
          </w:tcPr>
          <w:p w14:paraId="2C9113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Зеленая земля, мел</w:t>
            </w:r>
          </w:p>
        </w:tc>
      </w:tr>
      <w:tr w:rsidR="00E3599D" w:rsidRPr="00E14102" w14:paraId="2B004E93" w14:textId="77777777">
        <w:tc>
          <w:tcPr>
            <w:tcW w:w="2952" w:type="dxa"/>
          </w:tcPr>
          <w:p w14:paraId="1024096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Светло-коричневый</w:t>
            </w:r>
          </w:p>
        </w:tc>
        <w:tc>
          <w:tcPr>
            <w:tcW w:w="2952" w:type="dxa"/>
          </w:tcPr>
          <w:p w14:paraId="5189D43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w:t>
            </w:r>
          </w:p>
        </w:tc>
        <w:tc>
          <w:tcPr>
            <w:tcW w:w="4552" w:type="dxa"/>
          </w:tcPr>
          <w:p w14:paraId="2FA012D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Зеленая земля, крон, сурик, мел</w:t>
            </w:r>
          </w:p>
        </w:tc>
      </w:tr>
      <w:tr w:rsidR="00E3599D" w:rsidRPr="00E14102" w14:paraId="73D69CF3" w14:textId="77777777">
        <w:tc>
          <w:tcPr>
            <w:tcW w:w="2952" w:type="dxa"/>
          </w:tcPr>
          <w:p w14:paraId="45D3304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Коричневый</w:t>
            </w:r>
          </w:p>
        </w:tc>
        <w:tc>
          <w:tcPr>
            <w:tcW w:w="2952" w:type="dxa"/>
          </w:tcPr>
          <w:p w14:paraId="51EFC3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w:t>
            </w:r>
          </w:p>
        </w:tc>
        <w:tc>
          <w:tcPr>
            <w:tcW w:w="4552" w:type="dxa"/>
          </w:tcPr>
          <w:p w14:paraId="76213A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Сурик железный, сурик свинцовый, охра, мел, “ЗБ”</w:t>
            </w:r>
          </w:p>
        </w:tc>
      </w:tr>
    </w:tbl>
    <w:p w14:paraId="0B501D1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действительности, запроектированная окраска после ее выполнения получила совершенно другие константы, изменившие характер окраски, как в отношении ее цветности, так и ее контрастности.</w:t>
      </w:r>
    </w:p>
    <w:p w14:paraId="1B78330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У окраски по варианту 1 оказались следующие константы: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E3599D" w:rsidRPr="00E14102" w14:paraId="75387EDD" w14:textId="77777777">
        <w:tc>
          <w:tcPr>
            <w:tcW w:w="4428" w:type="dxa"/>
          </w:tcPr>
          <w:p w14:paraId="6D4B48B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цветных компонентов</w:t>
            </w:r>
          </w:p>
        </w:tc>
        <w:tc>
          <w:tcPr>
            <w:tcW w:w="6170" w:type="dxa"/>
          </w:tcPr>
          <w:p w14:paraId="7C30BFB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Красители для составления тона</w:t>
            </w:r>
          </w:p>
        </w:tc>
      </w:tr>
      <w:tr w:rsidR="00E3599D" w:rsidRPr="00E14102" w14:paraId="28FFC5D9" w14:textId="77777777">
        <w:tc>
          <w:tcPr>
            <w:tcW w:w="4428" w:type="dxa"/>
          </w:tcPr>
          <w:p w14:paraId="1367CFF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Темно-зелено-коричневый</w:t>
            </w:r>
          </w:p>
        </w:tc>
        <w:tc>
          <w:tcPr>
            <w:tcW w:w="6170" w:type="dxa"/>
          </w:tcPr>
          <w:p w14:paraId="10A1C4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Сажа, зеленая земля, мел</w:t>
            </w:r>
          </w:p>
        </w:tc>
      </w:tr>
      <w:tr w:rsidR="00E3599D" w:rsidRPr="00E14102" w14:paraId="337983E2" w14:textId="77777777">
        <w:tc>
          <w:tcPr>
            <w:tcW w:w="4428" w:type="dxa"/>
          </w:tcPr>
          <w:p w14:paraId="7755EC5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Зеленый</w:t>
            </w:r>
          </w:p>
        </w:tc>
        <w:tc>
          <w:tcPr>
            <w:tcW w:w="6170" w:type="dxa"/>
          </w:tcPr>
          <w:p w14:paraId="3659F0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Зеленая земля, мел, фисташковая зелень, синяя берлинская</w:t>
            </w:r>
          </w:p>
        </w:tc>
      </w:tr>
      <w:tr w:rsidR="00E3599D" w:rsidRPr="00E14102" w14:paraId="1BDA47C4" w14:textId="77777777">
        <w:tc>
          <w:tcPr>
            <w:tcW w:w="4428" w:type="dxa"/>
          </w:tcPr>
          <w:p w14:paraId="57C540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Светло-зеленый</w:t>
            </w:r>
          </w:p>
        </w:tc>
        <w:tc>
          <w:tcPr>
            <w:tcW w:w="6170" w:type="dxa"/>
          </w:tcPr>
          <w:p w14:paraId="4552FD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Зеленая земля, мел</w:t>
            </w:r>
          </w:p>
        </w:tc>
      </w:tr>
      <w:tr w:rsidR="00E3599D" w:rsidRPr="00E14102" w14:paraId="6A4DA0CC" w14:textId="77777777">
        <w:tc>
          <w:tcPr>
            <w:tcW w:w="4428" w:type="dxa"/>
          </w:tcPr>
          <w:p w14:paraId="1FFFD7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Светло-желто-зеленая</w:t>
            </w:r>
          </w:p>
        </w:tc>
        <w:tc>
          <w:tcPr>
            <w:tcW w:w="6170" w:type="dxa"/>
          </w:tcPr>
          <w:p w14:paraId="350DB7B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Фисташковая зелень, крон желтый, мел</w:t>
            </w:r>
          </w:p>
        </w:tc>
      </w:tr>
      <w:tr w:rsidR="00E3599D" w:rsidRPr="00E14102" w14:paraId="3FF01A34" w14:textId="77777777">
        <w:tc>
          <w:tcPr>
            <w:tcW w:w="4428" w:type="dxa"/>
          </w:tcPr>
          <w:p w14:paraId="3F1EB09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Коричневая</w:t>
            </w:r>
          </w:p>
        </w:tc>
        <w:tc>
          <w:tcPr>
            <w:tcW w:w="6170" w:type="dxa"/>
          </w:tcPr>
          <w:p w14:paraId="17695BB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Сурик железный, сурик свинцовый, охра, сажа, мел</w:t>
            </w:r>
          </w:p>
        </w:tc>
      </w:tr>
      <w:tr w:rsidR="00E3599D" w:rsidRPr="00E14102" w14:paraId="58E9C638" w14:textId="77777777">
        <w:tc>
          <w:tcPr>
            <w:tcW w:w="4428" w:type="dxa"/>
          </w:tcPr>
          <w:p w14:paraId="792A027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Защитный цвет “ЗБ”</w:t>
            </w:r>
          </w:p>
        </w:tc>
        <w:tc>
          <w:tcPr>
            <w:tcW w:w="6170" w:type="dxa"/>
          </w:tcPr>
          <w:p w14:paraId="5BAEB88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Краситель цвета “ЗБ”</w:t>
            </w:r>
          </w:p>
        </w:tc>
      </w:tr>
    </w:tbl>
    <w:p w14:paraId="1B662E8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Окраска по варианту II получила следующие константы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E3599D" w:rsidRPr="00E14102" w14:paraId="36AB86CE" w14:textId="77777777">
        <w:tc>
          <w:tcPr>
            <w:tcW w:w="4428" w:type="dxa"/>
          </w:tcPr>
          <w:p w14:paraId="3A12F4B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цветных компонентов</w:t>
            </w:r>
          </w:p>
        </w:tc>
        <w:tc>
          <w:tcPr>
            <w:tcW w:w="6170" w:type="dxa"/>
          </w:tcPr>
          <w:p w14:paraId="0443C36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Красители для составления тона</w:t>
            </w:r>
          </w:p>
        </w:tc>
      </w:tr>
      <w:tr w:rsidR="00E3599D" w:rsidRPr="00E14102" w14:paraId="2CA1CDB3" w14:textId="77777777">
        <w:tc>
          <w:tcPr>
            <w:tcW w:w="4428" w:type="dxa"/>
          </w:tcPr>
          <w:p w14:paraId="6D5F5E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Темно-синий</w:t>
            </w:r>
          </w:p>
        </w:tc>
        <w:tc>
          <w:tcPr>
            <w:tcW w:w="6170" w:type="dxa"/>
          </w:tcPr>
          <w:p w14:paraId="7EB97A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Сажа, синяя берлинская, мел</w:t>
            </w:r>
          </w:p>
        </w:tc>
      </w:tr>
      <w:tr w:rsidR="00E3599D" w:rsidRPr="00E14102" w14:paraId="02B34C76" w14:textId="77777777">
        <w:tc>
          <w:tcPr>
            <w:tcW w:w="4428" w:type="dxa"/>
          </w:tcPr>
          <w:p w14:paraId="565D1ED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Зеленый</w:t>
            </w:r>
          </w:p>
        </w:tc>
        <w:tc>
          <w:tcPr>
            <w:tcW w:w="6170" w:type="dxa"/>
          </w:tcPr>
          <w:p w14:paraId="4D7453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Зеленая земля, мел, синяя берлинская</w:t>
            </w:r>
          </w:p>
        </w:tc>
      </w:tr>
      <w:tr w:rsidR="00E3599D" w:rsidRPr="00E14102" w14:paraId="3EBE9153" w14:textId="77777777">
        <w:tc>
          <w:tcPr>
            <w:tcW w:w="4428" w:type="dxa"/>
          </w:tcPr>
          <w:p w14:paraId="3388F5E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Светло-зеленый</w:t>
            </w:r>
          </w:p>
        </w:tc>
        <w:tc>
          <w:tcPr>
            <w:tcW w:w="6170" w:type="dxa"/>
          </w:tcPr>
          <w:p w14:paraId="284D764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Зеленая земля, синяя берлинская, мел</w:t>
            </w:r>
          </w:p>
        </w:tc>
      </w:tr>
      <w:tr w:rsidR="00E3599D" w:rsidRPr="00E14102" w14:paraId="6528B24B" w14:textId="77777777">
        <w:tc>
          <w:tcPr>
            <w:tcW w:w="4428" w:type="dxa"/>
          </w:tcPr>
          <w:p w14:paraId="2FDA04B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Светло-коричневый</w:t>
            </w:r>
          </w:p>
        </w:tc>
        <w:tc>
          <w:tcPr>
            <w:tcW w:w="6170" w:type="dxa"/>
          </w:tcPr>
          <w:p w14:paraId="59F348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Сурик железный, охра, сажа, мел. охра</w:t>
            </w:r>
          </w:p>
        </w:tc>
      </w:tr>
      <w:tr w:rsidR="00E3599D" w:rsidRPr="00E14102" w14:paraId="5B45FA08" w14:textId="77777777">
        <w:tc>
          <w:tcPr>
            <w:tcW w:w="4428" w:type="dxa"/>
          </w:tcPr>
          <w:p w14:paraId="654CD3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Коричневый</w:t>
            </w:r>
          </w:p>
        </w:tc>
        <w:tc>
          <w:tcPr>
            <w:tcW w:w="6170" w:type="dxa"/>
          </w:tcPr>
          <w:p w14:paraId="4F611A9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Сурик железный, сажа, мел. Охра</w:t>
            </w:r>
          </w:p>
        </w:tc>
      </w:tr>
      <w:tr w:rsidR="00E3599D" w:rsidRPr="00E14102" w14:paraId="793BAF2A" w14:textId="77777777">
        <w:tc>
          <w:tcPr>
            <w:tcW w:w="4428" w:type="dxa"/>
          </w:tcPr>
          <w:p w14:paraId="2695E3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Защитный цвет “ЗБ”</w:t>
            </w:r>
          </w:p>
        </w:tc>
        <w:tc>
          <w:tcPr>
            <w:tcW w:w="6170" w:type="dxa"/>
          </w:tcPr>
          <w:p w14:paraId="5F3E6F2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Краситель цвета “ЗБ”</w:t>
            </w:r>
          </w:p>
        </w:tc>
      </w:tr>
    </w:tbl>
    <w:p w14:paraId="01BBE9B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Для проведения сравнительных испытаний была произведена камуфляжная окраска самолета Р-5, цвет № 1 – черный, цвет № 3 – светло-коричневый и цвет № 2 – защитный серийной окраски: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E3599D" w:rsidRPr="00E14102" w14:paraId="23F360E3" w14:textId="77777777">
        <w:tc>
          <w:tcPr>
            <w:tcW w:w="2952" w:type="dxa"/>
          </w:tcPr>
          <w:p w14:paraId="2101533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Черный</w:t>
            </w:r>
          </w:p>
        </w:tc>
        <w:tc>
          <w:tcPr>
            <w:tcW w:w="2952" w:type="dxa"/>
          </w:tcPr>
          <w:p w14:paraId="4AE240F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w:t>
            </w:r>
          </w:p>
        </w:tc>
        <w:tc>
          <w:tcPr>
            <w:tcW w:w="4694" w:type="dxa"/>
          </w:tcPr>
          <w:p w14:paraId="64E4433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Сажа</w:t>
            </w:r>
          </w:p>
        </w:tc>
      </w:tr>
      <w:tr w:rsidR="00E3599D" w:rsidRPr="00E14102" w14:paraId="0E0BCBAA" w14:textId="77777777">
        <w:tc>
          <w:tcPr>
            <w:tcW w:w="2952" w:type="dxa"/>
          </w:tcPr>
          <w:p w14:paraId="4AD898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Светло-коричневый</w:t>
            </w:r>
          </w:p>
        </w:tc>
        <w:tc>
          <w:tcPr>
            <w:tcW w:w="2952" w:type="dxa"/>
          </w:tcPr>
          <w:p w14:paraId="724CAA1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40%</w:t>
            </w:r>
          </w:p>
        </w:tc>
        <w:tc>
          <w:tcPr>
            <w:tcW w:w="4694" w:type="dxa"/>
          </w:tcPr>
          <w:p w14:paraId="02262FF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Сурик железный, охра, сажа, мел, сурик свинцовый</w:t>
            </w:r>
          </w:p>
        </w:tc>
      </w:tr>
      <w:tr w:rsidR="00E3599D" w:rsidRPr="00E14102" w14:paraId="7CDA5B44" w14:textId="77777777">
        <w:tc>
          <w:tcPr>
            <w:tcW w:w="2952" w:type="dxa"/>
          </w:tcPr>
          <w:p w14:paraId="7590E89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Защитный цвет “ЗБ”</w:t>
            </w:r>
          </w:p>
        </w:tc>
        <w:tc>
          <w:tcPr>
            <w:tcW w:w="2952" w:type="dxa"/>
          </w:tcPr>
          <w:p w14:paraId="5336C8C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w:t>
            </w:r>
          </w:p>
        </w:tc>
        <w:tc>
          <w:tcPr>
            <w:tcW w:w="4694" w:type="dxa"/>
          </w:tcPr>
          <w:p w14:paraId="77C287A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Краситель цвета “ЗБ”</w:t>
            </w:r>
          </w:p>
        </w:tc>
      </w:tr>
    </w:tbl>
    <w:p w14:paraId="5FEC450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Красочная смесь для всех видов окраски составлялась на казеиновом закрепителе, аналогично применявшимся покрасочным условиям по ранее произведенным разработкам.</w:t>
      </w:r>
    </w:p>
    <w:p w14:paraId="061FF03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Методика окраски самолетов</w:t>
      </w:r>
    </w:p>
    <w:p w14:paraId="1250027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Процесс выполнения самой окраски заключался в нанесении на серийное защитное покрытие самолета мелких круглых пятен, диаметром 7-9 см, которые получались в результате прикосновения кисти под 90 градусов к поверхности и последовательного поворота ее слева направо (по часовой стрелке) вокруг своей оси.</w:t>
      </w:r>
    </w:p>
    <w:p w14:paraId="227B72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Пятна одного цвета располагались в пределах соответствующей группировки, конфигурация и размеры которой определялись по чертежам.</w:t>
      </w:r>
    </w:p>
    <w:p w14:paraId="74F0586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Система расположения пятен внутри группировки заключалась в асимметричном сочетании их на разных интервалах, по принципу касания и наложения одного на другое.</w:t>
      </w:r>
    </w:p>
    <w:p w14:paraId="437C1BC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составе пятен каждой группировки до 10-15% общего числа их вводились дополнительно пятна соседних цветных компонентов.</w:t>
      </w:r>
    </w:p>
    <w:p w14:paraId="0B43136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процессе окраски самолета по варианту II ввиду ряда организационных условий работы вместо 8-ми запроектированных компонентов было нанесено лишь 5 (6699).</w:t>
      </w:r>
    </w:p>
    <w:p w14:paraId="274B923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935D66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28 октября 1935 года письмо № 2101/ко членам КО Сталину, Кагановичу Л., Ворошилову, Орджоникидзе, Межлауку В.Н.</w:t>
      </w:r>
    </w:p>
    <w:p w14:paraId="416ECF4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указанию Молотова препровождаю заключение Пятакова по докладной записке Хаханьяна и Березина “О положении дела в авиационной промышленности”.</w:t>
      </w:r>
    </w:p>
    <w:p w14:paraId="53130141"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Одновременно сообщаю, что вопрос включен в повестку очередного заседания КО (3475,191).</w:t>
      </w:r>
    </w:p>
    <w:p w14:paraId="1B23FD5F"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4EBBE8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 28 октября по 4 декабря 1935 проходили полигонные испытания импортного ДАП"а британской фирмы приборов на самолете И-5 М-22</w:t>
      </w:r>
    </w:p>
    <w:p w14:paraId="19D058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68F0E9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Выявить конструктивные и эксплуатационные качества английского ДАП"а на самолете И-5 М-22.</w:t>
      </w:r>
    </w:p>
    <w:p w14:paraId="7D4DAA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78B8E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Дымоприбор британской фирмы приборов допустим для применения, согласно сделанных выводов.</w:t>
      </w:r>
    </w:p>
    <w:p w14:paraId="2FDD7A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Провести испытания прибора с дымосмесью S-IV (3079).</w:t>
      </w:r>
    </w:p>
    <w:p w14:paraId="5E9F48A4" w14:textId="77777777" w:rsidR="00D4105E" w:rsidRPr="00E14102" w:rsidRDefault="00D4105E" w:rsidP="00E14102">
      <w:pPr>
        <w:autoSpaceDE w:val="0"/>
        <w:autoSpaceDN w:val="0"/>
        <w:adjustRightInd w:val="0"/>
        <w:jc w:val="both"/>
        <w:rPr>
          <w:color w:val="000000" w:themeColor="text1"/>
          <w:sz w:val="16"/>
          <w:szCs w:val="16"/>
        </w:rPr>
      </w:pPr>
    </w:p>
    <w:p w14:paraId="1FB29D3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245EE18" w14:textId="77777777" w:rsidR="00D4105E" w:rsidRPr="00E14102" w:rsidRDefault="00D4105E" w:rsidP="00E14102">
      <w:pPr>
        <w:autoSpaceDE w:val="0"/>
        <w:autoSpaceDN w:val="0"/>
        <w:adjustRightInd w:val="0"/>
        <w:jc w:val="both"/>
        <w:rPr>
          <w:iCs/>
          <w:color w:val="000000" w:themeColor="text1"/>
          <w:sz w:val="16"/>
          <w:szCs w:val="16"/>
        </w:rPr>
      </w:pPr>
    </w:p>
    <w:p w14:paraId="6FCBE1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октября 1935 года Центральное управление шоссейных и грунтовых дорог и автомобильного транспорта (Цудортранс) было передано в ведение НКВД, а постановлением СНК СССР № 424 от 3 марта и приказом НКВД № 0086 от 4 марта было реорганизовано в Главное управление шоссейных дорог (ГУШОСДОР) НКВД (7560).</w:t>
      </w:r>
    </w:p>
    <w:p w14:paraId="7B9753C6" w14:textId="77777777" w:rsidR="00D4105E" w:rsidRPr="00E14102" w:rsidRDefault="00D4105E" w:rsidP="00E14102">
      <w:pPr>
        <w:autoSpaceDE w:val="0"/>
        <w:autoSpaceDN w:val="0"/>
        <w:adjustRightInd w:val="0"/>
        <w:jc w:val="both"/>
        <w:rPr>
          <w:color w:val="000000" w:themeColor="text1"/>
          <w:sz w:val="16"/>
          <w:szCs w:val="16"/>
        </w:rPr>
      </w:pPr>
    </w:p>
    <w:p w14:paraId="7775D6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октября 1935 г. в связи с Постановлением ЦИК и СНК Центральное управление шоссейных и грунтовых дорог и автотранспорта (ЦУДОРТРАНС) было передано в НКВД СССР на правах главка (9051).</w:t>
      </w:r>
    </w:p>
    <w:p w14:paraId="7EB00B68" w14:textId="77777777" w:rsidR="00D4105E" w:rsidRPr="00E14102" w:rsidRDefault="00D4105E" w:rsidP="00E14102">
      <w:pPr>
        <w:autoSpaceDE w:val="0"/>
        <w:autoSpaceDN w:val="0"/>
        <w:adjustRightInd w:val="0"/>
        <w:jc w:val="both"/>
        <w:rPr>
          <w:color w:val="000000" w:themeColor="text1"/>
          <w:sz w:val="16"/>
          <w:szCs w:val="16"/>
        </w:rPr>
      </w:pPr>
    </w:p>
    <w:p w14:paraId="42B27FB4" w14:textId="77777777" w:rsidR="002F1CFA" w:rsidRPr="00E14102" w:rsidRDefault="002F1CFA" w:rsidP="00E14102">
      <w:pPr>
        <w:jc w:val="both"/>
        <w:rPr>
          <w:color w:val="000000" w:themeColor="text1"/>
          <w:sz w:val="16"/>
          <w:szCs w:val="16"/>
        </w:rPr>
      </w:pPr>
      <w:r w:rsidRPr="00E14102">
        <w:rPr>
          <w:color w:val="000000" w:themeColor="text1"/>
          <w:sz w:val="16"/>
          <w:szCs w:val="16"/>
        </w:rPr>
        <w:t>С 28 октября 1935 г. Малокалиберные винтовки в торгующих организациях в соответствии с приказом НКВД СССР № 0140 от можно было приобрести гражданам без получения предварительного разрешения в органах НКВД, но с последующей регистрацией в милиции.</w:t>
      </w:r>
    </w:p>
    <w:p w14:paraId="54D9FE05" w14:textId="77777777" w:rsidR="002F1CFA" w:rsidRPr="00E14102" w:rsidRDefault="002F1CFA" w:rsidP="00E14102">
      <w:pPr>
        <w:jc w:val="both"/>
        <w:rPr>
          <w:color w:val="000000" w:themeColor="text1"/>
          <w:sz w:val="16"/>
          <w:szCs w:val="16"/>
        </w:rPr>
      </w:pPr>
      <w:r w:rsidRPr="00E14102">
        <w:rPr>
          <w:color w:val="000000" w:themeColor="text1"/>
          <w:sz w:val="16"/>
          <w:szCs w:val="16"/>
        </w:rPr>
        <w:t>Лица, относившиеся к командному составу армии и флота должны были зарегистрировать приобретенное оружие в своей воинской части.</w:t>
      </w:r>
    </w:p>
    <w:p w14:paraId="49F2F9A8" w14:textId="77777777" w:rsidR="002F1CFA" w:rsidRPr="00E14102" w:rsidRDefault="002F1CFA" w:rsidP="00E14102">
      <w:pPr>
        <w:jc w:val="both"/>
        <w:rPr>
          <w:color w:val="000000" w:themeColor="text1"/>
          <w:sz w:val="16"/>
          <w:szCs w:val="16"/>
        </w:rPr>
      </w:pPr>
      <w:r w:rsidRPr="00E14102">
        <w:rPr>
          <w:color w:val="000000" w:themeColor="text1"/>
          <w:sz w:val="16"/>
          <w:szCs w:val="16"/>
        </w:rPr>
        <w:t>В этот период был произведен переучет огнестрельного оружия, находящегося на руках у бывших сотрудников органов государственной безопасности: без специального разрешения право ношения и хранения оружия предоставлялось лишь лицам, состоящим в запасе ГУГБ НКВД награжденным знаком «Почетный чекист» или боевым оружием, все остальные находящиеся в запасе ГУГБ НКВД, должны были в обязательном порядке получить разрешение на право хранения и ношения огнестрельного оружия</w:t>
      </w:r>
      <w:bookmarkStart w:id="31" w:name="annot_21"/>
      <w:r w:rsidRPr="00E14102">
        <w:rPr>
          <w:color w:val="000000" w:themeColor="text1"/>
          <w:sz w:val="16"/>
          <w:szCs w:val="16"/>
        </w:rPr>
        <w:t xml:space="preserve"> (18514)</w:t>
      </w:r>
      <w:bookmarkEnd w:id="31"/>
      <w:r w:rsidRPr="00E14102">
        <w:rPr>
          <w:color w:val="000000" w:themeColor="text1"/>
          <w:sz w:val="16"/>
          <w:szCs w:val="16"/>
        </w:rPr>
        <w:t>.</w:t>
      </w:r>
    </w:p>
    <w:p w14:paraId="096074D5" w14:textId="77777777" w:rsidR="002F1CFA" w:rsidRPr="00E14102" w:rsidRDefault="002F1CFA" w:rsidP="00E14102">
      <w:pPr>
        <w:jc w:val="both"/>
        <w:rPr>
          <w:color w:val="000000" w:themeColor="text1"/>
          <w:sz w:val="16"/>
          <w:szCs w:val="16"/>
        </w:rPr>
      </w:pPr>
    </w:p>
    <w:p w14:paraId="546EB7D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68F903E" w14:textId="77777777" w:rsidR="00D4105E" w:rsidRPr="00E14102" w:rsidRDefault="00D4105E" w:rsidP="00E14102">
      <w:pPr>
        <w:autoSpaceDE w:val="0"/>
        <w:autoSpaceDN w:val="0"/>
        <w:adjustRightInd w:val="0"/>
        <w:jc w:val="both"/>
        <w:rPr>
          <w:iCs/>
          <w:color w:val="000000" w:themeColor="text1"/>
          <w:sz w:val="16"/>
          <w:szCs w:val="16"/>
        </w:rPr>
      </w:pPr>
    </w:p>
    <w:p w14:paraId="3C9D6BE5" w14:textId="77777777" w:rsidR="00872260" w:rsidRPr="00E14102" w:rsidRDefault="00872260" w:rsidP="00E14102">
      <w:pPr>
        <w:jc w:val="both"/>
        <w:rPr>
          <w:color w:val="000000" w:themeColor="text1"/>
          <w:sz w:val="16"/>
          <w:szCs w:val="16"/>
        </w:rPr>
      </w:pPr>
      <w:r w:rsidRPr="00E14102">
        <w:rPr>
          <w:color w:val="000000" w:themeColor="text1"/>
          <w:sz w:val="16"/>
          <w:szCs w:val="16"/>
        </w:rPr>
        <w:t>На 29 октября 1935 года воронежский завод, который по договору должен был по</w:t>
      </w:r>
      <w:r w:rsidRPr="00E14102">
        <w:rPr>
          <w:color w:val="000000" w:themeColor="text1"/>
          <w:sz w:val="16"/>
          <w:szCs w:val="16"/>
        </w:rPr>
        <w:softHyphen/>
        <w:t>ставить 24 самолета РД с моторами М-34Р, ни одной машины заказчик не сдал. Дело в том, что завод был совсем недавно введен в строй, не хва</w:t>
      </w:r>
      <w:r w:rsidRPr="00E14102">
        <w:rPr>
          <w:color w:val="000000" w:themeColor="text1"/>
          <w:sz w:val="16"/>
          <w:szCs w:val="16"/>
        </w:rPr>
        <w:softHyphen/>
        <w:t>тало квалифицированных рабочих, осо</w:t>
      </w:r>
      <w:r w:rsidRPr="00E14102">
        <w:rPr>
          <w:color w:val="000000" w:themeColor="text1"/>
          <w:sz w:val="16"/>
          <w:szCs w:val="16"/>
        </w:rPr>
        <w:softHyphen/>
        <w:t>бенно станочников и слесарей. Изготов</w:t>
      </w:r>
      <w:r w:rsidRPr="00E14102">
        <w:rPr>
          <w:color w:val="000000" w:themeColor="text1"/>
          <w:sz w:val="16"/>
          <w:szCs w:val="16"/>
        </w:rPr>
        <w:softHyphen/>
        <w:t>ленный первый экземпляр ДБ-1 (по неко</w:t>
      </w:r>
      <w:r w:rsidRPr="00E14102">
        <w:rPr>
          <w:color w:val="000000" w:themeColor="text1"/>
          <w:sz w:val="16"/>
          <w:szCs w:val="16"/>
        </w:rPr>
        <w:softHyphen/>
        <w:t>торым данным, осенью 1934 года) был об</w:t>
      </w:r>
      <w:r w:rsidRPr="00E14102">
        <w:rPr>
          <w:color w:val="000000" w:themeColor="text1"/>
          <w:sz w:val="16"/>
          <w:szCs w:val="16"/>
        </w:rPr>
        <w:softHyphen/>
        <w:t>летан заводскими летчиками-испытате</w:t>
      </w:r>
      <w:r w:rsidRPr="00E14102">
        <w:rPr>
          <w:color w:val="000000" w:themeColor="text1"/>
          <w:sz w:val="16"/>
          <w:szCs w:val="16"/>
        </w:rPr>
        <w:softHyphen/>
        <w:t>лями, но забракован военной приемкой. В том же году облетали и вторую машину, но военпредам она не предъявлялась, по</w:t>
      </w:r>
      <w:r w:rsidRPr="00E14102">
        <w:rPr>
          <w:color w:val="000000" w:themeColor="text1"/>
          <w:sz w:val="16"/>
          <w:szCs w:val="16"/>
        </w:rPr>
        <w:softHyphen/>
        <w:t>скольку была выявлена масса дефектов.</w:t>
      </w:r>
    </w:p>
    <w:p w14:paraId="7E411411" w14:textId="77777777" w:rsidR="00872260" w:rsidRPr="00E14102" w:rsidRDefault="00872260" w:rsidP="00E14102">
      <w:pPr>
        <w:jc w:val="both"/>
        <w:rPr>
          <w:color w:val="000000" w:themeColor="text1"/>
          <w:sz w:val="16"/>
          <w:szCs w:val="16"/>
        </w:rPr>
      </w:pPr>
      <w:r w:rsidRPr="00E14102">
        <w:rPr>
          <w:color w:val="000000" w:themeColor="text1"/>
          <w:sz w:val="16"/>
          <w:szCs w:val="16"/>
        </w:rPr>
        <w:t>Та же участь постигла и семь последую</w:t>
      </w:r>
      <w:r w:rsidRPr="00E14102">
        <w:rPr>
          <w:color w:val="000000" w:themeColor="text1"/>
          <w:sz w:val="16"/>
          <w:szCs w:val="16"/>
        </w:rPr>
        <w:softHyphen/>
        <w:t>щих машин, требовавших в лучшем случае длительной доводки.</w:t>
      </w:r>
    </w:p>
    <w:p w14:paraId="21ABD540" w14:textId="77777777" w:rsidR="00872260" w:rsidRPr="00E14102" w:rsidRDefault="00872260" w:rsidP="00E14102">
      <w:pPr>
        <w:jc w:val="both"/>
        <w:rPr>
          <w:color w:val="000000" w:themeColor="text1"/>
          <w:sz w:val="16"/>
          <w:szCs w:val="16"/>
        </w:rPr>
      </w:pPr>
      <w:r w:rsidRPr="00E14102">
        <w:rPr>
          <w:color w:val="000000" w:themeColor="text1"/>
          <w:sz w:val="16"/>
          <w:szCs w:val="16"/>
        </w:rPr>
        <w:t>На 1936 год завод имел задание на 20 даль</w:t>
      </w:r>
      <w:r w:rsidRPr="00E14102">
        <w:rPr>
          <w:color w:val="000000" w:themeColor="text1"/>
          <w:sz w:val="16"/>
          <w:szCs w:val="16"/>
        </w:rPr>
        <w:softHyphen/>
        <w:t>них бомбардировщиков ДБ-1 и напятьдвух моторных ДБ-2. Причем нее ДБ-1 планиро</w:t>
      </w:r>
      <w:r w:rsidRPr="00E14102">
        <w:rPr>
          <w:color w:val="000000" w:themeColor="text1"/>
          <w:sz w:val="16"/>
          <w:szCs w:val="16"/>
        </w:rPr>
        <w:softHyphen/>
        <w:t>вали построить к маю 1936 года.</w:t>
      </w:r>
    </w:p>
    <w:p w14:paraId="5820C281" w14:textId="77777777" w:rsidR="00872260" w:rsidRPr="00E14102" w:rsidRDefault="00872260" w:rsidP="00E14102">
      <w:pPr>
        <w:jc w:val="both"/>
        <w:rPr>
          <w:color w:val="000000" w:themeColor="text1"/>
          <w:sz w:val="16"/>
          <w:szCs w:val="16"/>
        </w:rPr>
      </w:pPr>
      <w:r w:rsidRPr="00E14102">
        <w:rPr>
          <w:color w:val="000000" w:themeColor="text1"/>
          <w:sz w:val="16"/>
          <w:szCs w:val="16"/>
        </w:rPr>
        <w:t>Согласно статистике Министерства ави</w:t>
      </w:r>
      <w:r w:rsidRPr="00E14102">
        <w:rPr>
          <w:color w:val="000000" w:themeColor="text1"/>
          <w:sz w:val="16"/>
          <w:szCs w:val="16"/>
        </w:rPr>
        <w:softHyphen/>
        <w:t>ационной промышленности СССР, завод № 18 построил в 1936-м одиннадцать, и в следующем году — два самолета. Однако, как следует из документа Российского го</w:t>
      </w:r>
      <w:r w:rsidRPr="00E14102">
        <w:rPr>
          <w:color w:val="000000" w:themeColor="text1"/>
          <w:sz w:val="16"/>
          <w:szCs w:val="16"/>
        </w:rPr>
        <w:softHyphen/>
        <w:t xml:space="preserve">сударственного военного архива (РГВА, </w:t>
      </w:r>
      <w:r w:rsidRPr="00E14102">
        <w:rPr>
          <w:rStyle w:val="75pt"/>
          <w:rFonts w:eastAsia="Calibri"/>
          <w:color w:val="000000" w:themeColor="text1"/>
          <w:sz w:val="16"/>
          <w:szCs w:val="16"/>
        </w:rPr>
        <w:t xml:space="preserve">ф. 24708, </w:t>
      </w:r>
      <w:r w:rsidRPr="00E14102">
        <w:rPr>
          <w:rStyle w:val="75pt"/>
          <w:rFonts w:eastAsia="Calibri"/>
          <w:color w:val="000000" w:themeColor="text1"/>
          <w:sz w:val="16"/>
          <w:szCs w:val="16"/>
          <w:lang w:val="en-US"/>
        </w:rPr>
        <w:t>on</w:t>
      </w:r>
      <w:r w:rsidRPr="00E14102">
        <w:rPr>
          <w:rStyle w:val="75pt"/>
          <w:rFonts w:eastAsia="Calibri"/>
          <w:color w:val="000000" w:themeColor="text1"/>
          <w:sz w:val="16"/>
          <w:szCs w:val="16"/>
        </w:rPr>
        <w:t>. 8,</w:t>
      </w:r>
      <w:r w:rsidRPr="00E14102">
        <w:rPr>
          <w:color w:val="000000" w:themeColor="text1"/>
          <w:sz w:val="16"/>
          <w:szCs w:val="16"/>
        </w:rPr>
        <w:t xml:space="preserve"> д.</w:t>
      </w:r>
      <w:r w:rsidRPr="00E14102">
        <w:rPr>
          <w:rStyle w:val="75pt"/>
          <w:rFonts w:eastAsia="Calibri"/>
          <w:color w:val="000000" w:themeColor="text1"/>
          <w:sz w:val="16"/>
          <w:szCs w:val="16"/>
        </w:rPr>
        <w:t xml:space="preserve"> 594),</w:t>
      </w:r>
      <w:r w:rsidRPr="00E14102">
        <w:rPr>
          <w:color w:val="000000" w:themeColor="text1"/>
          <w:sz w:val="16"/>
          <w:szCs w:val="16"/>
        </w:rPr>
        <w:t xml:space="preserve"> в Воронеже по</w:t>
      </w:r>
      <w:r w:rsidRPr="00E14102">
        <w:rPr>
          <w:color w:val="000000" w:themeColor="text1"/>
          <w:sz w:val="16"/>
          <w:szCs w:val="16"/>
        </w:rPr>
        <w:softHyphen/>
        <w:t>строили лишь 18 машин. Из них два само</w:t>
      </w:r>
      <w:r w:rsidRPr="00E14102">
        <w:rPr>
          <w:color w:val="000000" w:themeColor="text1"/>
          <w:sz w:val="16"/>
          <w:szCs w:val="16"/>
        </w:rPr>
        <w:softHyphen/>
        <w:t>лета забраковали, не допустив к полетам, три оставили на заводе (в бригаде ЦАГИ), один был в Ленинграде, два - в НИИ ВВС на Щелковском аэродроме и лишь десять ДБ-1 передали в 21-ю крейсерскую авиа</w:t>
      </w:r>
      <w:r w:rsidRPr="00E14102">
        <w:rPr>
          <w:color w:val="000000" w:themeColor="text1"/>
          <w:sz w:val="16"/>
          <w:szCs w:val="16"/>
        </w:rPr>
        <w:softHyphen/>
        <w:t>ционную эскадрилью (командир Грачев) 11-го тяжелобомбардировочного авиао</w:t>
      </w:r>
      <w:r w:rsidRPr="00E14102">
        <w:rPr>
          <w:color w:val="000000" w:themeColor="text1"/>
          <w:sz w:val="16"/>
          <w:szCs w:val="16"/>
        </w:rPr>
        <w:softHyphen/>
        <w:t>тряда (командир Иванов), дислоцировав</w:t>
      </w:r>
      <w:r w:rsidRPr="00E14102">
        <w:rPr>
          <w:color w:val="000000" w:themeColor="text1"/>
          <w:sz w:val="16"/>
          <w:szCs w:val="16"/>
        </w:rPr>
        <w:softHyphen/>
        <w:t>шуюся под Воронежем (12725).</w:t>
      </w:r>
    </w:p>
    <w:p w14:paraId="7BD2A8EC" w14:textId="77777777" w:rsidR="00872260" w:rsidRPr="00E14102" w:rsidRDefault="00872260" w:rsidP="00E14102">
      <w:pPr>
        <w:jc w:val="both"/>
        <w:rPr>
          <w:color w:val="000000" w:themeColor="text1"/>
          <w:sz w:val="16"/>
          <w:szCs w:val="16"/>
        </w:rPr>
      </w:pPr>
    </w:p>
    <w:p w14:paraId="5BA772A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 октября 1935 года вышел Приказ НИИ ВС № 0563 О прекращении гос. испытаний самолета СБ-2ИС.</w:t>
      </w:r>
    </w:p>
    <w:p w14:paraId="41E723F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Ввиду неисправности винтомоторной группы самолета СБ-2ИС гос. испытания с 28 октября 1935 года временно прекратить, самолет передан ЦАГИ для доводки (6815, 128).</w:t>
      </w:r>
    </w:p>
    <w:p w14:paraId="5B5AF79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BD965A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29 октября по 13 ноября 1935 года проходили гос. испытания самолета И-16 М-22 № 421230 с убирающимся шасси постройки завода № 21 (6700).</w:t>
      </w:r>
    </w:p>
    <w:p w14:paraId="6E1D6C9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79DAD9A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инженер-летчик Алтынов</w:t>
      </w:r>
    </w:p>
    <w:p w14:paraId="5BDCD9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42A10F1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с целью сравнительной оценки летных данных серийного самолета постройки завода № 21 с данными опытного экземпляра самолета.</w:t>
      </w:r>
    </w:p>
    <w:p w14:paraId="37CDF0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находился на испытаниях 16 дней из них летных – 7.</w:t>
      </w:r>
    </w:p>
    <w:p w14:paraId="7297039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670F95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И-16 № 421230 постройки завода № 21 гос. испытания прошел удовлетворительно (6700).</w:t>
      </w:r>
    </w:p>
    <w:p w14:paraId="571B526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60A4B364" w14:textId="77777777" w:rsidR="00577914" w:rsidRPr="00E14102" w:rsidRDefault="00577914" w:rsidP="00E14102">
      <w:pPr>
        <w:jc w:val="both"/>
        <w:rPr>
          <w:color w:val="0070C0"/>
          <w:sz w:val="16"/>
          <w:szCs w:val="16"/>
        </w:rPr>
      </w:pPr>
      <w:r w:rsidRPr="00E14102">
        <w:rPr>
          <w:color w:val="0070C0"/>
          <w:sz w:val="16"/>
          <w:szCs w:val="16"/>
        </w:rPr>
        <w:t>С 29 октября 1935 г. по 13 ноября 1935 г. проходили госиспытания И-16 № 421230. На этой машине оценивались убирающиеся шасси конструкции завода № 21 и одновременно доработки по усилению покрытия крыла, доведения стрелковой установки Ведущим летчиком был определен Т.П. Алтынов. Летал и Стефановский. Было отмечено, что. несмотря на длительный период доводки, самолет обладает рядом существенных недостатков. Наиболее серьезные из них:</w:t>
      </w:r>
    </w:p>
    <w:p w14:paraId="2982E8DC" w14:textId="77777777" w:rsidR="00577914" w:rsidRPr="00E14102" w:rsidRDefault="00577914" w:rsidP="00E14102">
      <w:pPr>
        <w:jc w:val="both"/>
        <w:rPr>
          <w:color w:val="0070C0"/>
          <w:sz w:val="16"/>
          <w:szCs w:val="16"/>
        </w:rPr>
      </w:pPr>
      <w:r w:rsidRPr="00E14102">
        <w:rPr>
          <w:color w:val="0070C0"/>
          <w:sz w:val="16"/>
          <w:szCs w:val="16"/>
        </w:rPr>
        <w:t>- вспучивание полотняной обтяжки крыльев на больших скоростях;</w:t>
      </w:r>
    </w:p>
    <w:p w14:paraId="1E2BF81F" w14:textId="77777777" w:rsidR="00577914" w:rsidRPr="00E14102" w:rsidRDefault="00577914" w:rsidP="00E14102">
      <w:pPr>
        <w:jc w:val="both"/>
        <w:rPr>
          <w:color w:val="0070C0"/>
          <w:sz w:val="16"/>
          <w:szCs w:val="16"/>
        </w:rPr>
      </w:pPr>
      <w:r w:rsidRPr="00E14102">
        <w:rPr>
          <w:color w:val="0070C0"/>
          <w:sz w:val="16"/>
          <w:szCs w:val="16"/>
        </w:rPr>
        <w:t>- попадание выхлопных газов в кабину;</w:t>
      </w:r>
    </w:p>
    <w:p w14:paraId="17DA7995" w14:textId="77777777" w:rsidR="00577914" w:rsidRPr="00E14102" w:rsidRDefault="00577914" w:rsidP="00E14102">
      <w:pPr>
        <w:jc w:val="both"/>
        <w:rPr>
          <w:color w:val="0070C0"/>
          <w:sz w:val="16"/>
          <w:szCs w:val="16"/>
        </w:rPr>
      </w:pPr>
      <w:r w:rsidRPr="00E14102">
        <w:rPr>
          <w:color w:val="0070C0"/>
          <w:sz w:val="16"/>
          <w:szCs w:val="16"/>
        </w:rPr>
        <w:t>- вывод атмосферной трубки бензобака внутрь фюзеляжа.</w:t>
      </w:r>
    </w:p>
    <w:p w14:paraId="33770513" w14:textId="77777777" w:rsidR="00577914" w:rsidRPr="00E14102" w:rsidRDefault="00577914" w:rsidP="00E14102">
      <w:pPr>
        <w:jc w:val="both"/>
        <w:rPr>
          <w:color w:val="0070C0"/>
          <w:sz w:val="16"/>
          <w:szCs w:val="16"/>
        </w:rPr>
      </w:pPr>
      <w:r w:rsidRPr="00E14102">
        <w:rPr>
          <w:color w:val="0070C0"/>
          <w:sz w:val="16"/>
          <w:szCs w:val="16"/>
        </w:rPr>
        <w:t>Этот самолет стал эталоном самолета И-16 программы 1935 года (21100).</w:t>
      </w:r>
    </w:p>
    <w:p w14:paraId="780A695D" w14:textId="77777777" w:rsidR="00577914" w:rsidRPr="00E14102" w:rsidRDefault="00577914" w:rsidP="00E14102">
      <w:pPr>
        <w:jc w:val="both"/>
        <w:rPr>
          <w:color w:val="0070C0"/>
          <w:sz w:val="16"/>
          <w:szCs w:val="16"/>
        </w:rPr>
      </w:pPr>
    </w:p>
    <w:p w14:paraId="4E352F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период с 29 октября  по 13 ноября 1935 г. И-16 М-22 производства авиазавода №21, заводской №421230 испытывался в НИИ ВВС. Помимо прочего, данный экземпляр был более качественно выполнен. имел ряд усовершенствований, усиленную обшивку, для увеличения жесткости киля снабжен расчалками на хвостовом оперении. В ходе испытаний самолет сравнивался с образцом завода №39. причем это сравнение оказалось в пользу нижегородской машины.</w:t>
      </w:r>
    </w:p>
    <w:p w14:paraId="69720B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Начальник ВВС Я.Алкснис утвердил отчет по испытаниям И-16 №421230 21 декабря 1935 г. В числе прочих требований указал - срочно довести стрелковую установку истребителя (12015).</w:t>
      </w:r>
    </w:p>
    <w:p w14:paraId="57352A41" w14:textId="77777777" w:rsidR="00D4105E" w:rsidRPr="00E14102" w:rsidRDefault="00D4105E" w:rsidP="00E14102">
      <w:pPr>
        <w:autoSpaceDE w:val="0"/>
        <w:autoSpaceDN w:val="0"/>
        <w:adjustRightInd w:val="0"/>
        <w:jc w:val="both"/>
        <w:rPr>
          <w:color w:val="000000" w:themeColor="text1"/>
          <w:sz w:val="16"/>
          <w:szCs w:val="16"/>
        </w:rPr>
      </w:pPr>
    </w:p>
    <w:p w14:paraId="2DA2E8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октября 1935 Нач. Секр. Отдела завода 31 П.Н.Иванов писал в ответ на сношение N 2110л от 21 октября 1935 по вопросу недосылки фотографий в количестве 5 шт. письмо N 139п/о Нач. Секр. отдела Кавицкой, в котором сообщал, что эти фото были переданы лично директором завода 31 Мурашевым Зам. Нач. ГУАП Марголину и имеется расписка (2336,168).</w:t>
      </w:r>
    </w:p>
    <w:p w14:paraId="5DC76E6E" w14:textId="77777777" w:rsidR="00D4105E" w:rsidRPr="00E14102" w:rsidRDefault="00D4105E" w:rsidP="00E14102">
      <w:pPr>
        <w:autoSpaceDE w:val="0"/>
        <w:autoSpaceDN w:val="0"/>
        <w:adjustRightInd w:val="0"/>
        <w:jc w:val="both"/>
        <w:rPr>
          <w:color w:val="000000" w:themeColor="text1"/>
          <w:sz w:val="16"/>
          <w:szCs w:val="16"/>
        </w:rPr>
      </w:pPr>
    </w:p>
    <w:p w14:paraId="46E44EA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29 октября 1935 года член комиссии партконтроля – зам. руководителя группы по военно-морским делам Березин писал письмо № 207/305сс в СТО Базилевичу</w:t>
      </w:r>
    </w:p>
    <w:p w14:paraId="3FAA043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Возвращаю при сем доклад С.В.И. об одноместном истребителе.</w:t>
      </w:r>
    </w:p>
    <w:p w14:paraId="787121A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 в/исх. № 1889/ко от 3 октября 1935 года на 10-ти листах (3475,150).</w:t>
      </w:r>
    </w:p>
    <w:p w14:paraId="2725C65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 мая во время парада ВВС на аэродроме им. Фрунзе, Вами была поставлена задача перед авиационными конструкторами – дать стране в 1936 году самолет со скоростью 600 км/час.</w:t>
      </w:r>
    </w:p>
    <w:p w14:paraId="6F35A43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Приступив немедленно к исполнению поставленной задачи и произведя ряд обстоятельных исследований, в результате которых я пришел к заключению, что решение поставленной Вами задачи вполне возможно не только в виде рекордного самолета, но и в виде боевого самолета – рекордного истребителя. При исследовании выяснилось, что осуществление боевого самолета с такой скоростью возможно с мотором М34, но с внесением в него некоторых изменений и переделок, которые мною и были предложены заводу № 24.</w:t>
      </w:r>
    </w:p>
    <w:p w14:paraId="77EA5BF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Завод № 24, взявшийся горячо и энергично за эту работу все изменения и переделки мотора М34 оформил конструктивно и уже приступил к реализации их в производстве. Первый мотор с переделками и данными: 1285 сил на высоте 2200 метров при весе 630 кг директор завода Марьямов предполагает дать к 1 февраля 1936 года.</w:t>
      </w:r>
    </w:p>
    <w:p w14:paraId="74D7591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На основании произведенных исследований и уже разработанного предварительного проекта, руководимая мною конструкторская бригада № 3 завода № 39 при совместной работе с заводом № 24, который должен вести работу по мотору, берет на себя выполнение Вашего задания – осуществить одноместный истребитель с мотором М34 со следующими основными данными:</w:t>
      </w:r>
    </w:p>
    <w:p w14:paraId="0480B387"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на высоте 3000 м – 600 км</w:t>
      </w:r>
    </w:p>
    <w:p w14:paraId="5873E72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Потолок – 12000 м</w:t>
      </w:r>
    </w:p>
    <w:p w14:paraId="7176D9D1"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Скороподъемность на 5000 м – 4,5-5,0 минут</w:t>
      </w:r>
    </w:p>
    <w:p w14:paraId="778F184A"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Дальность полета на наивыгоднейшей скорости – 600-700 км</w:t>
      </w:r>
    </w:p>
    <w:p w14:paraId="47A3C857"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Вооружение ШКАСы – 4 пулемета</w:t>
      </w:r>
    </w:p>
    <w:p w14:paraId="71499C6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Патронов – 2000 штук</w:t>
      </w:r>
    </w:p>
    <w:p w14:paraId="300108D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 согласно технических требований на одноместный истребитель – 110-115 км</w:t>
      </w:r>
    </w:p>
    <w:p w14:paraId="32BDAEA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 перегрузку – бомбы 4х10 – 40 кг</w:t>
      </w:r>
    </w:p>
    <w:p w14:paraId="31E2D2A7"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Этот самолет с заменой крыла истребителя на крыло с меньшей площадью, усиления системы охлаждения и некоторых других более мелких переделок может поставить рекорд скорости сухопутного самолета у земли. Величина рекорда скорости будет зависеть от того, до какой мощности удастся заводу № 24 форсировать мотор М34.</w:t>
      </w:r>
    </w:p>
    <w:p w14:paraId="65B8262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Скорости в зависимости от мощности мотора М34 выражаются так: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4110"/>
      </w:tblGrid>
      <w:tr w:rsidR="00E3599D" w:rsidRPr="00E14102" w14:paraId="15D77462" w14:textId="77777777">
        <w:trPr>
          <w:cantSplit/>
        </w:trPr>
        <w:tc>
          <w:tcPr>
            <w:tcW w:w="3936" w:type="dxa"/>
          </w:tcPr>
          <w:p w14:paraId="649CD66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Если мощность мотора М34 у земли будет:</w:t>
            </w:r>
          </w:p>
        </w:tc>
        <w:tc>
          <w:tcPr>
            <w:tcW w:w="4110" w:type="dxa"/>
          </w:tcPr>
          <w:p w14:paraId="6FD9E948"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То при этой мощности скорость самолета у земли будет:</w:t>
            </w:r>
          </w:p>
        </w:tc>
      </w:tr>
      <w:tr w:rsidR="00E3599D" w:rsidRPr="00E14102" w14:paraId="5822CEA5" w14:textId="77777777">
        <w:trPr>
          <w:cantSplit/>
        </w:trPr>
        <w:tc>
          <w:tcPr>
            <w:tcW w:w="3936" w:type="dxa"/>
          </w:tcPr>
          <w:p w14:paraId="0598859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1450 сил</w:t>
            </w:r>
          </w:p>
          <w:p w14:paraId="47495E8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1600 сил</w:t>
            </w:r>
          </w:p>
        </w:tc>
        <w:tc>
          <w:tcPr>
            <w:tcW w:w="4110" w:type="dxa"/>
          </w:tcPr>
          <w:p w14:paraId="64BC19C3"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600 км</w:t>
            </w:r>
          </w:p>
          <w:p w14:paraId="1F353AF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625 км</w:t>
            </w:r>
          </w:p>
        </w:tc>
      </w:tr>
    </w:tbl>
    <w:p w14:paraId="4A5E786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Макетный мотор М34 со всеми требуемыми изменениями закончен заводом № 24 и 13 сентября 1935 года доставлен на завод № 39.</w:t>
      </w:r>
    </w:p>
    <w:p w14:paraId="253D761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Несмотря на то что:</w:t>
      </w:r>
    </w:p>
    <w:p w14:paraId="41E8EB96"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самолет по своим данным делает дальнейший огромный шаг вперед в области развития нашей авиации;</w:t>
      </w:r>
    </w:p>
    <w:p w14:paraId="1FA2A40C"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самолет осуществляется с моторомМ34, хорошо освоенным и промышленностью и ВВС;</w:t>
      </w:r>
    </w:p>
    <w:p w14:paraId="3D7C2FEF"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расширяется фронт применения М34, о котором установилось твердое мнение, что он годен только на тяжелые самолеты;</w:t>
      </w:r>
    </w:p>
    <w:p w14:paraId="6047B9EA"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были поданы 2 докладные записки (одна от 27 июня, вторая – 29 августа 1935 года) руководству ГУАПа,</w:t>
      </w:r>
    </w:p>
    <w:p w14:paraId="3AB43AE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Королев отказался отпустить средства на этот самолет. При этом Королев даже не поинтересовался, какой предлагается самолет. Формулировка отказа была краткой: “Никаких инициативных работ. Выполнять только самолеты плана опытного строительства”.</w:t>
      </w:r>
    </w:p>
    <w:p w14:paraId="2F444AD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Но руководимая мною конструкторская бригада № 3 все правительственные задания от 20 июля 1935 года уже выполнила и вносит новое предложение взять на себя осуществление серьезной и ответственной технической задачи.</w:t>
      </w:r>
    </w:p>
    <w:p w14:paraId="69F715C8"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На основании изложенного прошу Вас:</w:t>
      </w:r>
    </w:p>
    <w:p w14:paraId="470B7C09"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Утвердить постройку самолета И21 с М34 с указанными данными и включить его дополнительно в план опытного строительства.</w:t>
      </w:r>
    </w:p>
    <w:p w14:paraId="1EA25211"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Обязать начальника ГУАП Королева провести постройку самолета форсированным темпом и оказать помощь и поддержку в процессе конструирования и постройки самолета, со сроком выпуска на заводские испытания 1 мая 1936 года, а на госиспытания 1 июля 1936 года.</w:t>
      </w:r>
    </w:p>
    <w:p w14:paraId="54332620"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Обязать директора завода № 24 Марьямова произвести все необходимые переделки, согласно прилагаемого перечня и дать первый мотор не позже 1 февраля 1936 года.</w:t>
      </w:r>
    </w:p>
    <w:p w14:paraId="494A6C3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w:t>
      </w:r>
    </w:p>
    <w:p w14:paraId="47259A72"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Фото общего вида самолета.</w:t>
      </w:r>
    </w:p>
    <w:p w14:paraId="08A2F0EB"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4 фото, на которых дано сравнение площадей сопротивления фюзеляжа с различными моторами.</w:t>
      </w:r>
    </w:p>
    <w:p w14:paraId="6E011141"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Перечень переделок мотора М34 (3475,151-153).</w:t>
      </w:r>
    </w:p>
    <w:p w14:paraId="39FFD9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Перечень изменений вносимых в мотор М34 заводом № 24</w:t>
      </w:r>
    </w:p>
    <w:p w14:paraId="2736E46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Отнести водяную помпу назад вверх и поставить ее вертикально.</w:t>
      </w:r>
    </w:p>
    <w:p w14:paraId="7FE4EF9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Сделать привод для динамо в новом месте.</w:t>
      </w:r>
    </w:p>
    <w:p w14:paraId="0CC9AD6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Перенести бензопомпу под низ моторамы.</w:t>
      </w:r>
    </w:p>
    <w:p w14:paraId="300E585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Сделать скос передней части картера.</w:t>
      </w:r>
    </w:p>
    <w:p w14:paraId="3160724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Перенести масляный отстойник назад на 150 мм.</w:t>
      </w:r>
    </w:p>
    <w:p w14:paraId="5C0CD1C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Удлинение носка мотора на 200 мм.</w:t>
      </w:r>
    </w:p>
    <w:p w14:paraId="72D7A94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Пропустить через картер мотора силовой элемент лонжерона.</w:t>
      </w:r>
    </w:p>
    <w:p w14:paraId="56863CF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Обеспечить работу мотора на пароводяном и гликолевом охлаждении.</w:t>
      </w:r>
    </w:p>
    <w:p w14:paraId="76DED6A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Сделать передачу репродуктора 1:1.</w:t>
      </w:r>
    </w:p>
    <w:p w14:paraId="5DDCD01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Поставить две помпы (Хорнет или Ромеко) для откачки сконденсированного пара.</w:t>
      </w:r>
    </w:p>
    <w:p w14:paraId="7B27773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Мощность мотора М34 РНБ 1285 сил на высоте 2200 м.</w:t>
      </w:r>
    </w:p>
    <w:p w14:paraId="34146A2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Вес мотора с электронным картером 630 кг (3475,154).</w:t>
      </w:r>
    </w:p>
    <w:p w14:paraId="0E39C5AC"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596106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октября 1935 года врид. начальника ВС Хрипин писал письмо N зН/04127 зам. наркома обороны.</w:t>
      </w:r>
    </w:p>
    <w:p w14:paraId="7A55F7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w:t>
      </w:r>
    </w:p>
    <w:p w14:paraId="4F13D9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Посадка самолета У-2 на Финляндской территории, имевшая место 17 сентября с.г., произошла из-за того, что экипаж самолета (летчик Лучихин и командир звена Уляхин) потерял ориентировку, попав в тяжелые метеорологические условия.</w:t>
      </w:r>
    </w:p>
    <w:p w14:paraId="479807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Отсутствие установленных в ВС опознавательных знаков объясняется тем, что данный самолет не является боевым типом, а служит исключительно для тренировочных учебных полетов.</w:t>
      </w:r>
    </w:p>
    <w:p w14:paraId="2E6AA4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Докладываю Вам по этому вопросу те данные, которые можно использовать в ответе на ноту Финляндского правительства. Полагаю, что упоминать в этом ответе о наших распоряжениях о нанесении опознавательных знаков на тренировочные самолеты не следует, чтобы не ухудшить наших позиций. (2484,69).</w:t>
      </w:r>
    </w:p>
    <w:p w14:paraId="4C47E8B4" w14:textId="77777777" w:rsidR="00D4105E" w:rsidRPr="00E14102" w:rsidRDefault="00D4105E" w:rsidP="00E14102">
      <w:pPr>
        <w:autoSpaceDE w:val="0"/>
        <w:autoSpaceDN w:val="0"/>
        <w:adjustRightInd w:val="0"/>
        <w:jc w:val="both"/>
        <w:rPr>
          <w:color w:val="000000" w:themeColor="text1"/>
          <w:sz w:val="16"/>
          <w:szCs w:val="16"/>
        </w:rPr>
      </w:pPr>
    </w:p>
    <w:p w14:paraId="7DB7321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29 октября 1935 года Базилевич писал:</w:t>
      </w:r>
    </w:p>
    <w:p w14:paraId="780930A8"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Березин прислал заключение по предложениям Техсовета при ГУАПе в отношении центрального наддува и скоростных и высотных самолетов Трескина и Эберзина.</w:t>
      </w:r>
    </w:p>
    <w:p w14:paraId="139CA5EE"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Он согласен с Техсоветом по всем пунктам, поддерживает строительство самолетов, в чем Техсовет Трескину отказал.</w:t>
      </w:r>
    </w:p>
    <w:p w14:paraId="7B96498A"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Установка ЦН на ТБ-3 заключением Техсовета предусмотрена со сроком испытаний – июнь 1936 года. Прошу указания поставить на КО (3475,185).</w:t>
      </w:r>
    </w:p>
    <w:p w14:paraId="4F90282C" w14:textId="7AF8153D" w:rsidR="00D4105E" w:rsidRPr="00E14102" w:rsidRDefault="00D4105E" w:rsidP="00E14102">
      <w:pPr>
        <w:tabs>
          <w:tab w:val="left" w:pos="567"/>
        </w:tabs>
        <w:autoSpaceDE w:val="0"/>
        <w:autoSpaceDN w:val="0"/>
        <w:adjustRightInd w:val="0"/>
        <w:jc w:val="both"/>
        <w:rPr>
          <w:color w:val="000000" w:themeColor="text1"/>
          <w:sz w:val="16"/>
          <w:szCs w:val="16"/>
        </w:rPr>
      </w:pPr>
    </w:p>
    <w:p w14:paraId="1A53BE2C" w14:textId="519EC388" w:rsidR="00577914" w:rsidRPr="00E14102" w:rsidRDefault="00577914" w:rsidP="00E14102">
      <w:pPr>
        <w:tabs>
          <w:tab w:val="left" w:pos="567"/>
        </w:tabs>
        <w:autoSpaceDE w:val="0"/>
        <w:autoSpaceDN w:val="0"/>
        <w:adjustRightInd w:val="0"/>
        <w:jc w:val="both"/>
        <w:rPr>
          <w:i/>
          <w:iCs/>
          <w:color w:val="000000" w:themeColor="text1"/>
          <w:sz w:val="16"/>
          <w:szCs w:val="16"/>
        </w:rPr>
      </w:pPr>
      <w:r w:rsidRPr="00E14102">
        <w:rPr>
          <w:i/>
          <w:iCs/>
          <w:color w:val="000000" w:themeColor="text1"/>
          <w:sz w:val="16"/>
          <w:szCs w:val="16"/>
        </w:rPr>
        <w:lastRenderedPageBreak/>
        <w:t>За рубежом:</w:t>
      </w:r>
    </w:p>
    <w:p w14:paraId="114E5643" w14:textId="77777777" w:rsidR="00577914" w:rsidRPr="00E14102" w:rsidRDefault="00577914" w:rsidP="00E14102">
      <w:pPr>
        <w:tabs>
          <w:tab w:val="left" w:pos="567"/>
        </w:tabs>
        <w:autoSpaceDE w:val="0"/>
        <w:autoSpaceDN w:val="0"/>
        <w:adjustRightInd w:val="0"/>
        <w:jc w:val="both"/>
        <w:rPr>
          <w:i/>
          <w:iCs/>
          <w:color w:val="000000" w:themeColor="text1"/>
          <w:sz w:val="16"/>
          <w:szCs w:val="16"/>
        </w:rPr>
      </w:pPr>
    </w:p>
    <w:p w14:paraId="59FFB6AD" w14:textId="77777777" w:rsidR="00577914" w:rsidRPr="00E14102" w:rsidRDefault="00577914" w:rsidP="00E14102">
      <w:pPr>
        <w:jc w:val="both"/>
        <w:rPr>
          <w:color w:val="0070C0"/>
          <w:sz w:val="16"/>
          <w:szCs w:val="16"/>
        </w:rPr>
      </w:pPr>
      <w:r w:rsidRPr="00E14102">
        <w:rPr>
          <w:color w:val="0070C0"/>
          <w:sz w:val="16"/>
          <w:szCs w:val="16"/>
          <w:lang w:val="en-US"/>
        </w:rPr>
        <w:t xml:space="preserve">29 </w:t>
      </w:r>
      <w:r w:rsidRPr="00E14102">
        <w:rPr>
          <w:color w:val="0070C0"/>
          <w:sz w:val="16"/>
          <w:szCs w:val="16"/>
        </w:rPr>
        <w:t>октября</w:t>
      </w:r>
      <w:r w:rsidRPr="00E14102">
        <w:rPr>
          <w:color w:val="0070C0"/>
          <w:sz w:val="16"/>
          <w:szCs w:val="16"/>
          <w:lang w:val="en-US"/>
        </w:rPr>
        <w:t xml:space="preserve"> 1935 Allied British Airways Ltd </w:t>
      </w:r>
      <w:r w:rsidRPr="00E14102">
        <w:rPr>
          <w:color w:val="0070C0"/>
          <w:sz w:val="16"/>
          <w:szCs w:val="16"/>
        </w:rPr>
        <w:t>переименована</w:t>
      </w:r>
      <w:r w:rsidRPr="00E14102">
        <w:rPr>
          <w:color w:val="0070C0"/>
          <w:sz w:val="16"/>
          <w:szCs w:val="16"/>
          <w:lang w:val="en-US"/>
        </w:rPr>
        <w:t xml:space="preserve"> </w:t>
      </w:r>
      <w:r w:rsidRPr="00E14102">
        <w:rPr>
          <w:color w:val="0070C0"/>
          <w:sz w:val="16"/>
          <w:szCs w:val="16"/>
        </w:rPr>
        <w:t>в</w:t>
      </w:r>
      <w:r w:rsidRPr="00E14102">
        <w:rPr>
          <w:color w:val="0070C0"/>
          <w:sz w:val="16"/>
          <w:szCs w:val="16"/>
          <w:lang w:val="en-US"/>
        </w:rPr>
        <w:t xml:space="preserve"> British Airways Ltd. </w:t>
      </w:r>
      <w:r w:rsidRPr="00E14102">
        <w:rPr>
          <w:color w:val="0070C0"/>
          <w:sz w:val="16"/>
          <w:szCs w:val="16"/>
        </w:rPr>
        <w:t>Он начнет полеты 1 января 1936 года (20800).</w:t>
      </w:r>
    </w:p>
    <w:p w14:paraId="421000B6" w14:textId="77777777" w:rsidR="00577914" w:rsidRPr="00E14102" w:rsidRDefault="00577914" w:rsidP="00E14102">
      <w:pPr>
        <w:jc w:val="both"/>
        <w:rPr>
          <w:color w:val="0070C0"/>
          <w:sz w:val="16"/>
          <w:szCs w:val="16"/>
        </w:rPr>
      </w:pPr>
    </w:p>
    <w:p w14:paraId="6861EF5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027776F" w14:textId="77777777" w:rsidR="00D4105E" w:rsidRPr="00E14102" w:rsidRDefault="00D4105E" w:rsidP="00E14102">
      <w:pPr>
        <w:autoSpaceDE w:val="0"/>
        <w:autoSpaceDN w:val="0"/>
        <w:adjustRightInd w:val="0"/>
        <w:jc w:val="both"/>
        <w:rPr>
          <w:iCs/>
          <w:color w:val="000000" w:themeColor="text1"/>
          <w:sz w:val="16"/>
          <w:szCs w:val="16"/>
        </w:rPr>
      </w:pPr>
    </w:p>
    <w:p w14:paraId="551D91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октября 1935 г. заводом № 39 был предъявлен на полигонные и заводские испытания вооружения первый опытный образец ДИ-6 в варианте штурмовика. Основные его отличия от базовой машины сводились к установке под нижним крылом вместо двух ШКАСов попарно четырех пулеметов ПВ-1, закрытых обтекателями. Их патронные ящики располагались в фюзеляже. К четырем бомбодержателям Д-1 под крылом добавили столько же Дер-32 под фюзеляжем.</w:t>
      </w:r>
    </w:p>
    <w:p w14:paraId="6A7118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тот же день в заводском тире произвели пристрелку и испытание крыльевых пулеметных установок короткими и длинными очередями полным боекомплектом в 3000 патронов. 1 ноября штурмовик выполнил два полета с Центрального аэродрома на полигон НИПАВ под Ногинском. Из-за дождя летное поле в Ногинске раскисло и садиться на него было опасно. Поэтому, расстреляв над полигоном весь боекомплект в горизонтальном полете и на глубоких виражах, самолет вернулся в Москву.</w:t>
      </w:r>
    </w:p>
    <w:p w14:paraId="0FBF61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Несколько полетов было назначено на 2 ноября. В первом планировалась стрельба на высоте 5000 м, но на взлете отказал двигатель и самолет совершил вынужденную посадку. После замены свечей "Циклон" опять работал с перебоями и, поднявшись в воздух 3 ноября, летчик решил не испытывать судьбу и вернулся на Центральный аэродром. Причину отказов выяснить не удалось; во второй половине дня штурмовик совершил контрольный полет над Центральным аэродромом. После чего летчик заявил, что плохо работает магнето и потекли верхние бензобаки. Пока заводские специалисты устраняли течь и неисправность мотора, чтобы не терять время, ведущий конструктор НИИ ВВС Воротников провел 5 ноября наземные испытания бомбардировочного вооружения. В ходе сбрасывании корпусов осколочных авиабомб АО-8 отказал электробомбосбрасыватель ЭСБР-1. При его разборке выяснилось, что просто от одной из клемм отошел проводник.</w:t>
      </w:r>
    </w:p>
    <w:p w14:paraId="3C049A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ноябрьских праздников различные мелкие дефекты буквально преследовали испытательную бригаду, а осенняя погода мешала проведению полетов. Из-за тумана на маршруте</w:t>
      </w:r>
    </w:p>
    <w:p w14:paraId="17A5C8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ноября пришлось проверять работу створок бомболюка прямо над Центральным аэродромом. На следующий день полеты отменили: к испытателям нагрянул заместитель наркома обороны М.Н. Тухачевский, ознакомившийся с вооружением ДИ-бш. 11 ноября при рулежке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4DFF37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53003E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4B67C6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67295E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391BEF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7FBD24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161B1A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28D175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06A7E2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71A415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3ECF2D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2D05391F" w14:textId="77777777" w:rsidR="00D4105E" w:rsidRPr="00E14102" w:rsidRDefault="00D4105E" w:rsidP="00E14102">
      <w:pPr>
        <w:autoSpaceDE w:val="0"/>
        <w:autoSpaceDN w:val="0"/>
        <w:adjustRightInd w:val="0"/>
        <w:jc w:val="both"/>
        <w:rPr>
          <w:color w:val="000000" w:themeColor="text1"/>
          <w:sz w:val="16"/>
          <w:szCs w:val="16"/>
        </w:rPr>
      </w:pPr>
    </w:p>
    <w:p w14:paraId="3C6D13F5" w14:textId="77777777" w:rsidR="002F1CFA" w:rsidRPr="00E14102" w:rsidRDefault="002F1CFA" w:rsidP="00E14102">
      <w:pPr>
        <w:jc w:val="both"/>
        <w:rPr>
          <w:color w:val="000000" w:themeColor="text1"/>
          <w:sz w:val="16"/>
          <w:szCs w:val="16"/>
        </w:rPr>
      </w:pPr>
      <w:r w:rsidRPr="00E14102">
        <w:rPr>
          <w:color w:val="000000" w:themeColor="text1"/>
          <w:sz w:val="16"/>
          <w:szCs w:val="16"/>
        </w:rPr>
        <w:t>30 октября 1935 г. заводом № 39 был предъявлен на полигонные и заводские испытания вооружения первый опытный образец ДИ-6 в варианте штурмовика. Основные его  отличия от базовой машины сводились к установке под нижним крылом вместо двух ШКАСов, попарно четырех пулеметов ПВ-1, закрытых обтекателями. Их патронные ящики располагались в фюзеляже. К четырем бомбодержателям Д-1 под крылом добавили столько же ДЕР-32 под фюзеляжем. Пристрелку и испытание крыльевых пулеметных установок длинными и короткими очередями полным боекомплектом производили в заводском тире. На полигоне в Ногинске стрельбы вели в горизонтальных полетах на разных высотах, в глубоких виражах и с пикирования, осуществляли бомбометание корпусами авиабомб АО-8, испытывали выливные приборы ВАП-6. Всего за время испытаний было выполнено 10 полетов, израсходовано 20785 патронов – пулеметы работали безотказно. Но при этом различные мелкие дефекты самолета буквально преследовали испытательную бригаду, а осенняя погода мешала проведению полетов.</w:t>
      </w:r>
    </w:p>
    <w:p w14:paraId="3FA37299" w14:textId="77777777" w:rsidR="002F1CFA" w:rsidRPr="00E14102" w:rsidRDefault="002F1CFA" w:rsidP="00E14102">
      <w:pPr>
        <w:jc w:val="both"/>
        <w:rPr>
          <w:color w:val="000000" w:themeColor="text1"/>
          <w:sz w:val="16"/>
          <w:szCs w:val="16"/>
        </w:rPr>
      </w:pPr>
      <w:r w:rsidRPr="00E14102">
        <w:rPr>
          <w:color w:val="000000" w:themeColor="text1"/>
          <w:sz w:val="16"/>
          <w:szCs w:val="16"/>
        </w:rPr>
        <w:t>По итогам испытаний ДИ-6ш начальник ВВС Я.И. Алкснис принял решение о проведении дополнительных полигонных испытаний вооружения штурмовика, с привлечением наиболее подготовленных летчиков из строевых частей. В этих испытаниях, проведенных НИИ ВВС в феврале–марте 1936 года, приняли участие экипажи Ленинградского, Белорусского и Киевского военных округов. Строевые летчики в первую очередь обратили внимание на эксплуатационные недостатки штурмовика. В их отзывах встречаются такие замечания (101):</w:t>
      </w:r>
    </w:p>
    <w:p w14:paraId="7C703431" w14:textId="77777777" w:rsidR="002F1CFA" w:rsidRPr="00E14102" w:rsidRDefault="002F1CFA" w:rsidP="00E14102">
      <w:pPr>
        <w:jc w:val="both"/>
        <w:rPr>
          <w:color w:val="000000" w:themeColor="text1"/>
          <w:sz w:val="16"/>
          <w:szCs w:val="16"/>
        </w:rPr>
      </w:pPr>
      <w:r w:rsidRPr="00E14102">
        <w:rPr>
          <w:color w:val="000000" w:themeColor="text1"/>
          <w:sz w:val="16"/>
          <w:szCs w:val="16"/>
        </w:rPr>
        <w:t>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градусов в переднюю полусферу), а поэтому теряется основное свойство штурмовика – внезапность.</w:t>
      </w:r>
    </w:p>
    <w:p w14:paraId="778F291E" w14:textId="77777777" w:rsidR="002F1CFA" w:rsidRPr="00E14102" w:rsidRDefault="002F1CFA" w:rsidP="00E14102">
      <w:pPr>
        <w:jc w:val="both"/>
        <w:rPr>
          <w:color w:val="000000" w:themeColor="text1"/>
          <w:sz w:val="16"/>
          <w:szCs w:val="16"/>
        </w:rPr>
      </w:pPr>
      <w:r w:rsidRPr="00E14102">
        <w:rPr>
          <w:color w:val="000000" w:themeColor="text1"/>
          <w:sz w:val="16"/>
          <w:szCs w:val="16"/>
        </w:rPr>
        <w:t xml:space="preserve">Претензии высказывались к стрелковому вооружению. Указывали на невозможность ведения огня из задней стрелковой установки по земле и ограниченность сектора обстрела воздушных целей, невозможность поддержки огнем соседних самолетов в строю. Подвергалось критике и бомбардировочное вооружение. Количество и </w:t>
      </w:r>
      <w:r w:rsidRPr="00E14102">
        <w:rPr>
          <w:color w:val="000000" w:themeColor="text1"/>
          <w:sz w:val="16"/>
          <w:szCs w:val="16"/>
        </w:rPr>
        <w:lastRenderedPageBreak/>
        <w:t>ассортимент бомб не соответствовали тактическим задачам штурмовика.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 Были и другие серьезные замечания.</w:t>
      </w:r>
    </w:p>
    <w:p w14:paraId="4A2964B3" w14:textId="77777777" w:rsidR="002F1CFA" w:rsidRPr="00E14102" w:rsidRDefault="002F1CFA" w:rsidP="00E14102">
      <w:pPr>
        <w:jc w:val="both"/>
        <w:rPr>
          <w:color w:val="000000" w:themeColor="text1"/>
          <w:sz w:val="16"/>
          <w:szCs w:val="16"/>
        </w:rPr>
      </w:pPr>
      <w:r w:rsidRPr="00E14102">
        <w:rPr>
          <w:color w:val="000000" w:themeColor="text1"/>
          <w:sz w:val="16"/>
          <w:szCs w:val="16"/>
        </w:rPr>
        <w:t>В феврале 1936 года завод № 39 изготовил и предъявил на войсковые испытания два серийных ДИ-6М-25. До этого в советской авиации войсковые испытания самолетов не проводились. ДИ-6 стали первыми самолетами, на которых предстояло отработать организацию и методику войсковых испытаний. В ходе них летчики–испытатели НИИ ВВС отрабатывали тактические приемы применения стрелкового вооружения, в варианте штурмовика проводили бомбометания, проверяли выливные авиаприборы химического вооружения ВАП-6. Эти два образца ДИ-6 принимали участие в традиционном первомайском воздушном параде 1936 года над Красной площадью столицы.</w:t>
      </w:r>
    </w:p>
    <w:p w14:paraId="31090A29" w14:textId="77777777" w:rsidR="002F1CFA" w:rsidRPr="00E14102" w:rsidRDefault="002F1CFA" w:rsidP="00E14102">
      <w:pPr>
        <w:jc w:val="both"/>
        <w:rPr>
          <w:color w:val="000000" w:themeColor="text1"/>
          <w:sz w:val="16"/>
          <w:szCs w:val="16"/>
        </w:rPr>
      </w:pPr>
      <w:r w:rsidRPr="00E14102">
        <w:rPr>
          <w:color w:val="000000" w:themeColor="text1"/>
          <w:sz w:val="16"/>
          <w:szCs w:val="16"/>
        </w:rPr>
        <w:t>Несмотря на наличие целого ряда недостатков, ДИ-6 был принят к серийному производству, начало которого было запланировано на 1937 год на авиазаводах № № 1 и 81 (18393).</w:t>
      </w:r>
    </w:p>
    <w:p w14:paraId="42D78649" w14:textId="77777777" w:rsidR="002F1CFA" w:rsidRPr="00E14102" w:rsidRDefault="002F1CFA" w:rsidP="00E14102">
      <w:pPr>
        <w:jc w:val="both"/>
        <w:rPr>
          <w:color w:val="000000" w:themeColor="text1"/>
          <w:sz w:val="16"/>
          <w:szCs w:val="16"/>
        </w:rPr>
      </w:pPr>
    </w:p>
    <w:p w14:paraId="61476B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октября 1935 состоялось открытие международной линии Москва-Прага. Первый рейс на АНТ-9 сделал П.Е.Тимашев (438,701).</w:t>
      </w:r>
    </w:p>
    <w:p w14:paraId="0BF88915" w14:textId="77777777" w:rsidR="00D4105E" w:rsidRPr="00E14102" w:rsidRDefault="00D4105E" w:rsidP="00E14102">
      <w:pPr>
        <w:autoSpaceDE w:val="0"/>
        <w:autoSpaceDN w:val="0"/>
        <w:adjustRightInd w:val="0"/>
        <w:jc w:val="both"/>
        <w:rPr>
          <w:color w:val="000000" w:themeColor="text1"/>
          <w:sz w:val="16"/>
          <w:szCs w:val="16"/>
        </w:rPr>
      </w:pPr>
    </w:p>
    <w:p w14:paraId="58AFA7B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5C132ED" w14:textId="77777777" w:rsidR="00D4105E" w:rsidRPr="00E14102" w:rsidRDefault="00D4105E" w:rsidP="00E14102">
      <w:pPr>
        <w:autoSpaceDE w:val="0"/>
        <w:autoSpaceDN w:val="0"/>
        <w:adjustRightInd w:val="0"/>
        <w:jc w:val="both"/>
        <w:rPr>
          <w:iCs/>
          <w:color w:val="000000" w:themeColor="text1"/>
          <w:sz w:val="16"/>
          <w:szCs w:val="16"/>
        </w:rPr>
      </w:pPr>
    </w:p>
    <w:p w14:paraId="3FCB91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октября 1935 г. “Остехбюро” ус</w:t>
      </w:r>
      <w:r w:rsidRPr="00E14102">
        <w:rPr>
          <w:color w:val="000000" w:themeColor="text1"/>
          <w:sz w:val="16"/>
          <w:szCs w:val="16"/>
        </w:rPr>
        <w:softHyphen/>
        <w:t>пешно произвело заводские испытания радиоуправляемых торпед “Акула-1” и “Акула-2”, проводившиеся на Онежском озере в Петрозаводской губе, которые проходили с 26 августа 1935. По результатам завод</w:t>
      </w:r>
      <w:r w:rsidRPr="00E14102">
        <w:rPr>
          <w:color w:val="000000" w:themeColor="text1"/>
          <w:sz w:val="16"/>
          <w:szCs w:val="16"/>
        </w:rPr>
        <w:softHyphen/>
        <w:t>ских испытаний “Акулу-2” решили передать на войсковые испытания. Управление торпедами производилось с самолета (10675).</w:t>
      </w:r>
    </w:p>
    <w:p w14:paraId="7F898414" w14:textId="77777777" w:rsidR="00D4105E" w:rsidRPr="00E14102" w:rsidRDefault="00D4105E" w:rsidP="00E14102">
      <w:pPr>
        <w:autoSpaceDE w:val="0"/>
        <w:autoSpaceDN w:val="0"/>
        <w:adjustRightInd w:val="0"/>
        <w:jc w:val="both"/>
        <w:rPr>
          <w:color w:val="000000" w:themeColor="text1"/>
          <w:sz w:val="16"/>
          <w:szCs w:val="16"/>
        </w:rPr>
      </w:pPr>
    </w:p>
    <w:p w14:paraId="20D3C9AA" w14:textId="77777777" w:rsidR="00577914" w:rsidRPr="00E14102" w:rsidRDefault="00577914" w:rsidP="00E14102">
      <w:pPr>
        <w:jc w:val="both"/>
        <w:rPr>
          <w:color w:val="0070C0"/>
          <w:sz w:val="16"/>
          <w:szCs w:val="16"/>
        </w:rPr>
      </w:pPr>
      <w:r w:rsidRPr="00E14102">
        <w:rPr>
          <w:color w:val="0070C0"/>
          <w:sz w:val="16"/>
          <w:szCs w:val="16"/>
        </w:rPr>
        <w:t>30 октября 1935 г. были завершены заводские испытания радиоуправляемых торпед «Акула-1» и «Акула-2» на Онежском озере в Петрозаводской губе (22288).</w:t>
      </w:r>
    </w:p>
    <w:p w14:paraId="77EC4D48" w14:textId="63F5FF45" w:rsidR="00577914" w:rsidRPr="00E14102" w:rsidRDefault="00577914" w:rsidP="00E14102">
      <w:pPr>
        <w:jc w:val="both"/>
        <w:rPr>
          <w:color w:val="0070C0"/>
          <w:sz w:val="16"/>
          <w:szCs w:val="16"/>
        </w:rPr>
      </w:pPr>
    </w:p>
    <w:p w14:paraId="6F4ED69A" w14:textId="673F5A6E" w:rsidR="00577914" w:rsidRPr="00E14102" w:rsidRDefault="00577914" w:rsidP="00E14102">
      <w:pPr>
        <w:jc w:val="both"/>
        <w:rPr>
          <w:i/>
          <w:iCs/>
          <w:color w:val="0070C0"/>
          <w:sz w:val="16"/>
          <w:szCs w:val="16"/>
        </w:rPr>
      </w:pPr>
      <w:r w:rsidRPr="00E14102">
        <w:rPr>
          <w:i/>
          <w:iCs/>
          <w:color w:val="0070C0"/>
          <w:sz w:val="16"/>
          <w:szCs w:val="16"/>
        </w:rPr>
        <w:t>За рубежом:</w:t>
      </w:r>
    </w:p>
    <w:p w14:paraId="112A1A3F" w14:textId="77777777" w:rsidR="00577914" w:rsidRPr="00E14102" w:rsidRDefault="00577914" w:rsidP="00E14102">
      <w:pPr>
        <w:jc w:val="both"/>
        <w:rPr>
          <w:i/>
          <w:iCs/>
          <w:color w:val="0070C0"/>
          <w:sz w:val="16"/>
          <w:szCs w:val="16"/>
        </w:rPr>
      </w:pPr>
    </w:p>
    <w:p w14:paraId="07DD8099" w14:textId="77777777" w:rsidR="00577914" w:rsidRPr="00E14102" w:rsidRDefault="00577914" w:rsidP="00E14102">
      <w:pPr>
        <w:jc w:val="both"/>
        <w:rPr>
          <w:color w:val="0070C0"/>
          <w:sz w:val="16"/>
          <w:szCs w:val="16"/>
        </w:rPr>
      </w:pPr>
      <w:r w:rsidRPr="00E14102">
        <w:rPr>
          <w:color w:val="0070C0"/>
          <w:sz w:val="16"/>
          <w:szCs w:val="16"/>
        </w:rPr>
        <w:t xml:space="preserve">30 октября 1935 </w:t>
      </w:r>
      <w:r w:rsidRPr="00E14102">
        <w:rPr>
          <w:color w:val="0070C0"/>
          <w:sz w:val="16"/>
          <w:szCs w:val="16"/>
          <w:lang w:val="en-US"/>
        </w:rPr>
        <w:t>Boeing</w:t>
      </w:r>
      <w:r w:rsidRPr="00E14102">
        <w:rPr>
          <w:color w:val="0070C0"/>
          <w:sz w:val="16"/>
          <w:szCs w:val="16"/>
        </w:rPr>
        <w:t xml:space="preserve"> </w:t>
      </w:r>
      <w:r w:rsidRPr="00E14102">
        <w:rPr>
          <w:color w:val="0070C0"/>
          <w:sz w:val="16"/>
          <w:szCs w:val="16"/>
          <w:lang w:val="en-US"/>
        </w:rPr>
        <w:t>Model</w:t>
      </w:r>
      <w:r w:rsidRPr="00E14102">
        <w:rPr>
          <w:color w:val="0070C0"/>
          <w:sz w:val="16"/>
          <w:szCs w:val="16"/>
        </w:rPr>
        <w:t xml:space="preserve"> 299, прототип из </w:t>
      </w:r>
      <w:r w:rsidRPr="00E14102">
        <w:rPr>
          <w:color w:val="0070C0"/>
          <w:sz w:val="16"/>
          <w:szCs w:val="16"/>
          <w:lang w:val="en-US"/>
        </w:rPr>
        <w:t>Boeing</w:t>
      </w:r>
      <w:r w:rsidRPr="00E14102">
        <w:rPr>
          <w:color w:val="0070C0"/>
          <w:sz w:val="16"/>
          <w:szCs w:val="16"/>
        </w:rPr>
        <w:t xml:space="preserve"> </w:t>
      </w:r>
      <w:r w:rsidRPr="00E14102">
        <w:rPr>
          <w:color w:val="0070C0"/>
          <w:sz w:val="16"/>
          <w:szCs w:val="16"/>
          <w:lang w:val="en-US"/>
        </w:rPr>
        <w:t>B</w:t>
      </w:r>
      <w:r w:rsidRPr="00E14102">
        <w:rPr>
          <w:color w:val="0070C0"/>
          <w:sz w:val="16"/>
          <w:szCs w:val="16"/>
        </w:rPr>
        <w:t xml:space="preserve">-17 </w:t>
      </w:r>
      <w:r w:rsidRPr="00E14102">
        <w:rPr>
          <w:color w:val="0070C0"/>
          <w:sz w:val="16"/>
          <w:szCs w:val="16"/>
          <w:lang w:val="en-US"/>
        </w:rPr>
        <w:t>Flying</w:t>
      </w:r>
      <w:r w:rsidRPr="00E14102">
        <w:rPr>
          <w:color w:val="0070C0"/>
          <w:sz w:val="16"/>
          <w:szCs w:val="16"/>
        </w:rPr>
        <w:t xml:space="preserve"> </w:t>
      </w:r>
      <w:r w:rsidRPr="00E14102">
        <w:rPr>
          <w:color w:val="0070C0"/>
          <w:sz w:val="16"/>
          <w:szCs w:val="16"/>
          <w:lang w:val="en-US"/>
        </w:rPr>
        <w:t>Fortress</w:t>
      </w:r>
      <w:r w:rsidRPr="00E14102">
        <w:rPr>
          <w:color w:val="0070C0"/>
          <w:sz w:val="16"/>
          <w:szCs w:val="16"/>
        </w:rPr>
        <w:t xml:space="preserve">, врезается в Райт Филд, штат Огайо на взлете из - за не снятых стопоров. Погибли летчик - испытатель </w:t>
      </w:r>
      <w:r w:rsidRPr="00E14102">
        <w:rPr>
          <w:color w:val="0070C0"/>
          <w:sz w:val="16"/>
          <w:szCs w:val="16"/>
          <w:lang w:val="en-US"/>
        </w:rPr>
        <w:t>Boeing</w:t>
      </w:r>
      <w:r w:rsidRPr="00E14102">
        <w:rPr>
          <w:color w:val="0070C0"/>
          <w:sz w:val="16"/>
          <w:szCs w:val="16"/>
        </w:rPr>
        <w:t xml:space="preserve"> Лесли Тауэр и США </w:t>
      </w:r>
      <w:r w:rsidRPr="00E14102">
        <w:rPr>
          <w:color w:val="0070C0"/>
          <w:sz w:val="16"/>
          <w:szCs w:val="16"/>
          <w:lang w:val="en-US"/>
        </w:rPr>
        <w:t>Army</w:t>
      </w:r>
      <w:r w:rsidRPr="00E14102">
        <w:rPr>
          <w:color w:val="0070C0"/>
          <w:sz w:val="16"/>
          <w:szCs w:val="16"/>
        </w:rPr>
        <w:t xml:space="preserve"> </w:t>
      </w:r>
      <w:r w:rsidRPr="00E14102">
        <w:rPr>
          <w:color w:val="0070C0"/>
          <w:sz w:val="16"/>
          <w:szCs w:val="16"/>
          <w:lang w:val="en-US"/>
        </w:rPr>
        <w:t>Air</w:t>
      </w:r>
      <w:r w:rsidRPr="00E14102">
        <w:rPr>
          <w:color w:val="0070C0"/>
          <w:sz w:val="16"/>
          <w:szCs w:val="16"/>
        </w:rPr>
        <w:t xml:space="preserve"> </w:t>
      </w:r>
      <w:r w:rsidRPr="00E14102">
        <w:rPr>
          <w:color w:val="0070C0"/>
          <w:sz w:val="16"/>
          <w:szCs w:val="16"/>
          <w:lang w:val="en-US"/>
        </w:rPr>
        <w:t>Corps</w:t>
      </w:r>
      <w:r w:rsidRPr="00E14102">
        <w:rPr>
          <w:color w:val="0070C0"/>
          <w:sz w:val="16"/>
          <w:szCs w:val="16"/>
        </w:rPr>
        <w:t xml:space="preserve"> летчик - испытатель </w:t>
      </w:r>
      <w:r w:rsidRPr="00E14102">
        <w:rPr>
          <w:color w:val="0070C0"/>
          <w:sz w:val="16"/>
          <w:szCs w:val="16"/>
          <w:lang w:val="en-US"/>
        </w:rPr>
        <w:t>PLOYER</w:t>
      </w:r>
      <w:r w:rsidRPr="00E14102">
        <w:rPr>
          <w:color w:val="0070C0"/>
          <w:sz w:val="16"/>
          <w:szCs w:val="16"/>
        </w:rPr>
        <w:t xml:space="preserve"> Питер Хилл (20800).</w:t>
      </w:r>
    </w:p>
    <w:p w14:paraId="579B2255" w14:textId="77777777" w:rsidR="00577914" w:rsidRPr="00E14102" w:rsidRDefault="00577914" w:rsidP="00E14102">
      <w:pPr>
        <w:jc w:val="both"/>
        <w:rPr>
          <w:color w:val="0070C0"/>
          <w:sz w:val="16"/>
          <w:szCs w:val="16"/>
        </w:rPr>
      </w:pPr>
    </w:p>
    <w:p w14:paraId="7580EBEB" w14:textId="77777777" w:rsidR="00577914" w:rsidRPr="00E14102" w:rsidRDefault="00577914" w:rsidP="00E14102">
      <w:pPr>
        <w:jc w:val="both"/>
        <w:rPr>
          <w:color w:val="0070C0"/>
          <w:sz w:val="16"/>
          <w:szCs w:val="16"/>
        </w:rPr>
      </w:pPr>
      <w:r w:rsidRPr="00E14102">
        <w:rPr>
          <w:color w:val="0070C0"/>
          <w:sz w:val="16"/>
          <w:szCs w:val="16"/>
        </w:rPr>
        <w:t>30 октября 1935 г. в первом же полете Боинг Модель 299 по программе официальных испытаний самолет был разбит из-за ошибки технического состава, который забыл отключить стояночное стопорение рулей. В то же время была вина и летного экипажа (П. Хилл и Л. Тауэр), который не проверил расстопорение рулей ни по световой сигнализации, ни движением командных рычагов, хотя обязан был это сделать. В результате их ошибки после отрыва самолет вышел на закрититический угол атаки и упал. При этом оба летчика, Хилл и Тауэр, погибли. Остальные члены экипажа были спасены в т.ч. благодаря правильным действиям оказавшегося рядом с упавшим самолетом летчика-испытателя Джиованноли (Lt. Robert K. Giovannoli), который помог эвакуироваться выжившим.</w:t>
      </w:r>
    </w:p>
    <w:p w14:paraId="6DE79CCA" w14:textId="77777777" w:rsidR="00577914" w:rsidRPr="00E14102" w:rsidRDefault="00577914" w:rsidP="00E14102">
      <w:pPr>
        <w:jc w:val="both"/>
        <w:rPr>
          <w:color w:val="0070C0"/>
          <w:sz w:val="16"/>
          <w:szCs w:val="16"/>
        </w:rPr>
      </w:pPr>
      <w:r w:rsidRPr="00E14102">
        <w:rPr>
          <w:color w:val="0070C0"/>
          <w:sz w:val="16"/>
          <w:szCs w:val="16"/>
        </w:rPr>
        <w:t>При разбирательстве причина катастрофы была установлена верно, но под давлением конкурентов (прежде всего, фирмы «Дуглас») были сделаны неправильные выводы о недопустимости установки системы электрического стопорения рулей, наличие которой было объявлено главной причиной катастрофы, хотя очевидно, что решающее значение имела ошибка летчиков, не проверивших ее положение.</w:t>
      </w:r>
    </w:p>
    <w:p w14:paraId="6976EC7D" w14:textId="77777777" w:rsidR="00577914" w:rsidRPr="00E14102" w:rsidRDefault="00577914" w:rsidP="00E14102">
      <w:pPr>
        <w:jc w:val="both"/>
        <w:rPr>
          <w:color w:val="0070C0"/>
          <w:sz w:val="16"/>
          <w:szCs w:val="16"/>
        </w:rPr>
      </w:pPr>
      <w:r w:rsidRPr="00E14102">
        <w:rPr>
          <w:color w:val="0070C0"/>
          <w:sz w:val="16"/>
          <w:szCs w:val="16"/>
        </w:rPr>
        <w:t>После катастрофы опытного самолета начальник штаба (командующий) Армии США ген. М. Крейг (Malin Craig) отменил заказ на 65 серийных самолетов В-17, отдав распоряжение на те же деньги закупить 130 самолетов Douglas B-18. Также предполагалось не оплачивать фирме опытный самолет, поскольку было определено, что он разбился из-за КПН (23158).</w:t>
      </w:r>
    </w:p>
    <w:p w14:paraId="125B6209" w14:textId="77777777" w:rsidR="00577914" w:rsidRPr="00E14102" w:rsidRDefault="00577914" w:rsidP="00E14102">
      <w:pPr>
        <w:jc w:val="both"/>
        <w:rPr>
          <w:color w:val="0070C0"/>
          <w:sz w:val="16"/>
          <w:szCs w:val="16"/>
        </w:rPr>
      </w:pPr>
    </w:p>
    <w:p w14:paraId="56CCB8F4" w14:textId="77777777" w:rsidR="00577914" w:rsidRPr="00E14102" w:rsidRDefault="00577914" w:rsidP="00E14102">
      <w:pPr>
        <w:jc w:val="both"/>
        <w:rPr>
          <w:color w:val="0070C0"/>
          <w:sz w:val="16"/>
          <w:szCs w:val="16"/>
        </w:rPr>
      </w:pPr>
      <w:r w:rsidRPr="00E14102">
        <w:rPr>
          <w:color w:val="0070C0"/>
          <w:sz w:val="16"/>
          <w:szCs w:val="16"/>
        </w:rPr>
        <w:t>30 октября 1935 Boeing Model 247D United Airlines на обратном рейсе без пассажиров на борту потерпел аварию возле Шайенн, штат Вайоминг, убив весь экипаж из четырех человек (20800).</w:t>
      </w:r>
    </w:p>
    <w:p w14:paraId="06E03FA3" w14:textId="77777777" w:rsidR="00577914" w:rsidRPr="00E14102" w:rsidRDefault="00577914" w:rsidP="00E14102">
      <w:pPr>
        <w:jc w:val="both"/>
        <w:rPr>
          <w:color w:val="0070C0"/>
          <w:sz w:val="16"/>
          <w:szCs w:val="16"/>
        </w:rPr>
      </w:pPr>
    </w:p>
    <w:p w14:paraId="599CEEF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4889C19" w14:textId="77777777" w:rsidR="00D4105E" w:rsidRPr="00E14102" w:rsidRDefault="00D4105E" w:rsidP="00E14102">
      <w:pPr>
        <w:autoSpaceDE w:val="0"/>
        <w:autoSpaceDN w:val="0"/>
        <w:adjustRightInd w:val="0"/>
        <w:jc w:val="both"/>
        <w:rPr>
          <w:iCs/>
          <w:color w:val="000000" w:themeColor="text1"/>
          <w:sz w:val="16"/>
          <w:szCs w:val="16"/>
        </w:rPr>
      </w:pPr>
    </w:p>
    <w:p w14:paraId="37D95C86" w14:textId="77777777" w:rsidR="002F1CFA" w:rsidRPr="00E14102" w:rsidRDefault="002F1CFA" w:rsidP="00E14102">
      <w:pPr>
        <w:jc w:val="both"/>
        <w:rPr>
          <w:color w:val="000000" w:themeColor="text1"/>
          <w:sz w:val="16"/>
          <w:szCs w:val="16"/>
        </w:rPr>
      </w:pPr>
      <w:r w:rsidRPr="00E14102">
        <w:rPr>
          <w:color w:val="000000" w:themeColor="text1"/>
          <w:sz w:val="16"/>
          <w:szCs w:val="16"/>
        </w:rPr>
        <w:t>31 октября 1935 года первый опытный образец ДИ-6 в варианте штурмовика был предъявлен на полигонные и заводские испытания вооружения. Основные его 30 октября 1935 г. завершены заводские испытания радиоуправляемых торпед «Акула-1» и «Акула-2» на Онежском озере в Петрозаводской губе (18667).</w:t>
      </w:r>
    </w:p>
    <w:p w14:paraId="28BF5AD2" w14:textId="77777777" w:rsidR="002F1CFA" w:rsidRPr="00E14102" w:rsidRDefault="002F1CFA" w:rsidP="00E14102">
      <w:pPr>
        <w:jc w:val="both"/>
        <w:rPr>
          <w:color w:val="000000" w:themeColor="text1"/>
          <w:sz w:val="16"/>
          <w:szCs w:val="16"/>
        </w:rPr>
      </w:pPr>
    </w:p>
    <w:p w14:paraId="500BF1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31 октября по 29 ноября 1935 года проходили совместные полигонные и заводские испытания стрелкового, бомбардировочного и химического вооружения на самолете ДИ-6 в варианте штурмовика, предъявленного заводом № 39</w:t>
      </w:r>
    </w:p>
    <w:p w14:paraId="753B77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w:t>
      </w:r>
    </w:p>
    <w:p w14:paraId="057229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079C15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 в/к 4 отдела Воротников</w:t>
      </w:r>
    </w:p>
    <w:p w14:paraId="09FB79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 в/к 4 отдела Никольский</w:t>
      </w:r>
    </w:p>
    <w:p w14:paraId="0F7AEF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7A5059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Степень выполнения промышленностью тактико-технических требований, предъявляемых к стрелковому, бомбардировочному и химическому вооружению, установленному на самолете ДИ-6 в варианте штурмовика.</w:t>
      </w:r>
    </w:p>
    <w:p w14:paraId="777381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532B1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Предъявленное заводом № 39 стрелковое и химическое вооружение на самолете ДИ-6 в варианте штурмовика полигонные испытания выдержало при условии, что в изготовлении серии самолетов должны быть устранены недостатки.</w:t>
      </w:r>
    </w:p>
    <w:p w14:paraId="24D3EE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Полетные испытания бомбардировочного вооружения на самолете ДИ-6 в варианте штурмовика полностью не закончены вследствие порчи мотора.</w:t>
      </w:r>
    </w:p>
    <w:p w14:paraId="716C06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 состоит из двух пулеметных батарей по два пулемета ПВ-1 в каждой батареи, установленными по одной батарее под нижними плоскостями самолета.</w:t>
      </w:r>
    </w:p>
    <w:p w14:paraId="584631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17DADA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 – прибор ВАП-6 стандартного типа модернизирован в части подвесных приспособлений и управления ……………………………….(7397, 30-57).</w:t>
      </w:r>
    </w:p>
    <w:p w14:paraId="4207EF4A" w14:textId="77777777" w:rsidR="00D4105E" w:rsidRPr="00E14102" w:rsidRDefault="00D4105E" w:rsidP="00E14102">
      <w:pPr>
        <w:autoSpaceDE w:val="0"/>
        <w:autoSpaceDN w:val="0"/>
        <w:adjustRightInd w:val="0"/>
        <w:jc w:val="both"/>
        <w:rPr>
          <w:color w:val="000000" w:themeColor="text1"/>
          <w:sz w:val="16"/>
          <w:szCs w:val="16"/>
        </w:rPr>
      </w:pPr>
    </w:p>
    <w:p w14:paraId="4573D268"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r w:rsidRPr="00E14102">
        <w:rPr>
          <w:color w:val="000000" w:themeColor="text1"/>
          <w:sz w:val="16"/>
          <w:szCs w:val="16"/>
        </w:rPr>
        <w:t>В период с 31 октября по 19 ноября 1935 проводились совместные завод</w:t>
      </w:r>
      <w:r w:rsidRPr="00E14102">
        <w:rPr>
          <w:color w:val="000000" w:themeColor="text1"/>
          <w:sz w:val="16"/>
          <w:szCs w:val="16"/>
        </w:rPr>
        <w:softHyphen/>
        <w:t>ские и полигонные испытания 1-го эк</w:t>
      </w:r>
      <w:r w:rsidRPr="00E14102">
        <w:rPr>
          <w:color w:val="000000" w:themeColor="text1"/>
          <w:sz w:val="16"/>
          <w:szCs w:val="16"/>
        </w:rPr>
        <w:softHyphen/>
        <w:t>земпляра Ди-6ш М-25 (ЦКБ-38). При полетном весе 2115 кг самолет разви</w:t>
      </w:r>
      <w:r w:rsidRPr="00E14102">
        <w:rPr>
          <w:color w:val="000000" w:themeColor="text1"/>
          <w:sz w:val="16"/>
          <w:szCs w:val="16"/>
        </w:rPr>
        <w:softHyphen/>
        <w:t>вал скорость у земли 305 км/ч, а на высоте 3000 м - 358 км/ч. Время набо</w:t>
      </w:r>
      <w:r w:rsidRPr="00E14102">
        <w:rPr>
          <w:color w:val="000000" w:themeColor="text1"/>
          <w:sz w:val="16"/>
          <w:szCs w:val="16"/>
        </w:rPr>
        <w:softHyphen/>
        <w:t>ра высоты 5000 м составляло 17,5 мин. В восьми полетах испытывалось стрел</w:t>
      </w:r>
      <w:r w:rsidRPr="00E14102">
        <w:rPr>
          <w:color w:val="000000" w:themeColor="text1"/>
          <w:sz w:val="16"/>
          <w:szCs w:val="16"/>
        </w:rPr>
        <w:softHyphen/>
        <w:t>ковое вооружение, в трех - бомбовое и в двух - химическое вооружение. Несмотря на наличие целого ряда явных недостатков (плохой обзор впе</w:t>
      </w:r>
      <w:r w:rsidRPr="00E14102">
        <w:rPr>
          <w:color w:val="000000" w:themeColor="text1"/>
          <w:sz w:val="16"/>
          <w:szCs w:val="16"/>
        </w:rPr>
        <w:softHyphen/>
        <w:t>ред-вниз, сложность пилотирования на малых высотах, слабое вооружение и т.д.), Ди-6ш был принят к серийной постройке и выпускался в небольшом количестве с конца 1936 г. на авиаза</w:t>
      </w:r>
      <w:r w:rsidRPr="00E14102">
        <w:rPr>
          <w:color w:val="000000" w:themeColor="text1"/>
          <w:sz w:val="16"/>
          <w:szCs w:val="16"/>
        </w:rPr>
        <w:softHyphen/>
        <w:t>воде № 1 (61 экземпляр). Кроме того, в строевых частях по мере снятия с вооружения истребителей Ди-6 пос</w:t>
      </w:r>
      <w:r w:rsidRPr="00E14102">
        <w:rPr>
          <w:color w:val="000000" w:themeColor="text1"/>
          <w:sz w:val="16"/>
          <w:szCs w:val="16"/>
        </w:rPr>
        <w:softHyphen/>
        <w:t>ледние переоборудовались силами ин</w:t>
      </w:r>
      <w:r w:rsidRPr="00E14102">
        <w:rPr>
          <w:color w:val="000000" w:themeColor="text1"/>
          <w:sz w:val="16"/>
          <w:szCs w:val="16"/>
        </w:rPr>
        <w:softHyphen/>
        <w:t>женерно-технического состава частей в штурмовые варианты (6269).</w:t>
      </w:r>
    </w:p>
    <w:p w14:paraId="075BC889"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p>
    <w:p w14:paraId="6728E0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31 октября по 29 ноября 1935 проходили совместные полигонные и заводские испытания стрелкового, бомбардировочного и химического вооружения на самолете ДИ-6 в варианте штурмовика, предъявленного заводом N 39.</w:t>
      </w:r>
    </w:p>
    <w:p w14:paraId="2640FD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265B6C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 в/кв. 4 отд. Воротников, Никольский.</w:t>
      </w:r>
    </w:p>
    <w:p w14:paraId="1C4D3C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5A2793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Степень выполнения промышленностью тактико-технических требований предъявляемых к стрелковому, бомбардировочному и химическому вооружению установленного на самолете ДИ-6 в варианте штурмовика (3081).</w:t>
      </w:r>
    </w:p>
    <w:p w14:paraId="3B55B7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с 31 октября по 19 ноября 1935 (3807,68).</w:t>
      </w:r>
    </w:p>
    <w:p w14:paraId="626DE4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выполнили 10 полетов. В восьми испытывали крыльевые батареи, которые работали безотказно, а в трех - бомбометание на Ногинском полигоне корпусами бомб АО-8, в двух - проверили ВАП-6 (3876,8).</w:t>
      </w:r>
    </w:p>
    <w:p w14:paraId="2CD64B31" w14:textId="77777777" w:rsidR="00D4105E" w:rsidRPr="00E14102" w:rsidRDefault="00D4105E" w:rsidP="00E14102">
      <w:pPr>
        <w:autoSpaceDE w:val="0"/>
        <w:autoSpaceDN w:val="0"/>
        <w:adjustRightInd w:val="0"/>
        <w:jc w:val="both"/>
        <w:rPr>
          <w:color w:val="000000" w:themeColor="text1"/>
          <w:sz w:val="16"/>
          <w:szCs w:val="16"/>
        </w:rPr>
      </w:pPr>
    </w:p>
    <w:p w14:paraId="340F51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октября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велась стрельба из 4-х пулеметов в тире завода N 39 на безотказность действия крыльевой установки (3081).</w:t>
      </w:r>
    </w:p>
    <w:p w14:paraId="4AC68A46" w14:textId="77777777" w:rsidR="00D4105E" w:rsidRPr="00E14102" w:rsidRDefault="00D4105E" w:rsidP="00E14102">
      <w:pPr>
        <w:autoSpaceDE w:val="0"/>
        <w:autoSpaceDN w:val="0"/>
        <w:adjustRightInd w:val="0"/>
        <w:jc w:val="both"/>
        <w:rPr>
          <w:color w:val="000000" w:themeColor="text1"/>
          <w:sz w:val="16"/>
          <w:szCs w:val="16"/>
        </w:rPr>
      </w:pPr>
    </w:p>
    <w:p w14:paraId="3DB37A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период с 31 октября по 19 ноября 1935 г. проводились совместные заводские и полигонные испытания первого экземпляра легкого скоростного штурмовика Ди-бШ М-25 (ЦКБ-38), выпущенного в ЦКБ завода № 39 отделом В. П. Яценко при общем руководстве начальника бригады (или КБ-1) С. А. Кочеригина.</w:t>
      </w:r>
    </w:p>
    <w:p w14:paraId="296E1B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являлся модификацией двухместного истребителя Ди-б, выполненного по схеме одностоечного полутораплана с убирающимся в центроплан нижнего крыла шасси с оригинальными тормозными колесами с внутренней амортизацией.</w:t>
      </w:r>
    </w:p>
    <w:p w14:paraId="002853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Ди-бШ имел бронированные спинку и чашку сиденья летчика.</w:t>
      </w:r>
    </w:p>
    <w:p w14:paraId="261085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Наступательное вооружение состояло из двух синхронных пулеметов ПВ-1, четырех пулеметов ПВ-1, установленных под нижним крылом в специальных обтекателях под углом 2°17" к продольной оси самолета с боезапасом 3000 (в перегрузку 4000) патронов и бомбовой нагрузки до 80 кг (бомбы 8-10 кг, 4 под крылом и 4 под фюзеляжем). При этом на подкрыльевыеузлы могли подвешиваться два выливных авиаприбора химического вооружения типа ВАП-б.</w:t>
      </w:r>
    </w:p>
    <w:p w14:paraId="62D288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обороны от атак истребителей противника со стороны задней полусферы служил ШКАС (боекомплект 750 патронов) на шкворневой установке у стрелка.</w:t>
      </w:r>
    </w:p>
    <w:p w14:paraId="41DC22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полетном весе 2115 кг самолет развивал скорость у земли 305 км/ч, а на высоте 3000 м - 358 км/ч. Время набора высоты 5000 м составляло 17,5 мин.</w:t>
      </w:r>
    </w:p>
    <w:p w14:paraId="352ED9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восьми полетах испытывалось стрелковое вооружение, в трех - бомбовое и в двух - химическое вооружение.</w:t>
      </w:r>
    </w:p>
    <w:p w14:paraId="615FA4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Крыльевые пулеметные батареи работали нормально. Управление пулеметами и прицеливание удобное. Стрельба велась с высоты 10-15 м.</w:t>
      </w:r>
    </w:p>
    <w:p w14:paraId="2D43C4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Мишень представляла собой роту пехоты в походном порядке. На площади 20х100 м были расставлены фанерные “солдаты”, 80% из которых были поражены в результате атаки ДИ-6Ш. При этом по мишеням попало около 20% от общего числа выпущенных пуль.</w:t>
      </w:r>
    </w:p>
    <w:p w14:paraId="1BD6D1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целом результаты стрельбы были признаны хорошими. Однако отмечалось, что на высотах выше 17 м “стрельба не обеспечена” ввиду неудовлетворительного обзора вперед-вниз.</w:t>
      </w:r>
    </w:p>
    <w:p w14:paraId="1B3C45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Бомбовое и химическое вооружение за все время испытаний ни разу не отказало. Но военные летчики отмечали, что вес бомбовой нагрузки и номенклатура авиабомб не соответствуют тактическим задачам и сильно ограничивают боевые возможности машины как самолета-штурмовика.</w:t>
      </w:r>
    </w:p>
    <w:p w14:paraId="723A5C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управление штурмовиком у земли, особенно на больших скоростях, было сложным и утомительным для летчика (самолет сильно кабриро-вал, давление на ручку управления было высоким).</w:t>
      </w:r>
    </w:p>
    <w:p w14:paraId="43EA65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Последнее сильно затрудняло летчику ведение детальной ориентировки для выхода на цель и не позволяло производить прицельное бомбометание. Штурман же, из-за отсутствия необходимого обзора, помочь командиру ничем не мог.</w:t>
      </w:r>
    </w:p>
    <w:p w14:paraId="1250EF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Несмотря на наличие целого ряда явных недостатков, Ди-бШ был принят к серийной постройке и выпускался в небольшом количестве с конца 1936 г. на авиазаводе № 1 (61 экземпляр).</w:t>
      </w:r>
    </w:p>
    <w:p w14:paraId="4611FB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в строевых частях по мере снятия с вооружения истребителей Ди-б последние переоборудовались силами инженерно-технического состава частей в штурмовые варианты (9649).</w:t>
      </w:r>
    </w:p>
    <w:p w14:paraId="3AF47AC6" w14:textId="77777777" w:rsidR="00D4105E" w:rsidRPr="00E14102" w:rsidRDefault="00D4105E" w:rsidP="00E14102">
      <w:pPr>
        <w:autoSpaceDE w:val="0"/>
        <w:autoSpaceDN w:val="0"/>
        <w:adjustRightInd w:val="0"/>
        <w:jc w:val="both"/>
        <w:rPr>
          <w:color w:val="000000" w:themeColor="text1"/>
          <w:sz w:val="16"/>
          <w:szCs w:val="16"/>
        </w:rPr>
      </w:pPr>
    </w:p>
    <w:p w14:paraId="5016DF5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31 октября 1935 года вышел Приказ НИИ ВС № 0566 Об облете самолета ДИ-6</w:t>
      </w:r>
    </w:p>
    <w:p w14:paraId="1882C52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Провести облет самолета ДИ-6 на аэродроме ст. Томская (6815, 130).</w:t>
      </w:r>
    </w:p>
    <w:p w14:paraId="6BD32E8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FABFEE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31 октября 1935 года вышел Приказ НИИ ВС № 0567 О гос. испытаниях самолета Р-5 М-17 с тормозами системы Шауло (6815, 131).</w:t>
      </w:r>
    </w:p>
    <w:p w14:paraId="245FB1E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637A7C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31 октября 1935 года вышел Приказ НИИ ВС № 0569 О гос. испытаниях самолета И-16 с мотором М-22 с неубирающимися шасси постройки завода № 21.</w:t>
      </w:r>
    </w:p>
    <w:p w14:paraId="202D63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проводить на аэродроме в Томской.</w:t>
      </w:r>
    </w:p>
    <w:p w14:paraId="0861350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самолета начать с 28 октября и закончить в течении 10 летных дней (6815, 132).</w:t>
      </w:r>
    </w:p>
    <w:p w14:paraId="143B304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DB796C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31 октября 1935 года вышел Приказ НИИ ВС № 0571 О гос. испытаниях головного серийного самолета И-16 с мотором М-22 постройки завода № 21.</w:t>
      </w:r>
    </w:p>
    <w:p w14:paraId="4720A76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проводить на аэродроме в Томской.</w:t>
      </w:r>
    </w:p>
    <w:p w14:paraId="4AC353C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самолета начать с 28 октября и закончить в течении 10 летных дней (6815, 133).</w:t>
      </w:r>
    </w:p>
    <w:p w14:paraId="427254C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72A714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31 октября 1935 И.о. Нач. ГУ ГВФ Доненко писал письмо № 1631/с в СОВЕТ ТРУДА И ОБОРОНЫ - тов. ЕАЗЮ1ЕВИЧУ:</w:t>
      </w:r>
    </w:p>
    <w:p w14:paraId="724903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копия:В Комиссию Партийного Контроля при ЦК ВКП(б).</w:t>
      </w:r>
    </w:p>
    <w:p w14:paraId="7614EA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Мной уже сообщалось СТО, что срок проектированию и постройки опытного самолета И-21 (Ст-8) в Самолетном Науч</w:t>
      </w:r>
      <w:r w:rsidRPr="00E14102">
        <w:rPr>
          <w:color w:val="000000" w:themeColor="text1"/>
          <w:sz w:val="16"/>
          <w:szCs w:val="16"/>
        </w:rPr>
        <w:softHyphen/>
        <w:t>но-исследовательском Институте ГВФ находится в полной зави</w:t>
      </w:r>
      <w:r w:rsidRPr="00E14102">
        <w:rPr>
          <w:color w:val="000000" w:themeColor="text1"/>
          <w:sz w:val="16"/>
          <w:szCs w:val="16"/>
        </w:rPr>
        <w:softHyphen/>
        <w:t>симости от представления СНИИ ГВФ мотора, пушки и альтмага, В сентябре мес. т.г. Аэрофлот самостоятельно получил два импортных мотора для самолета И-21, что касается обеспече</w:t>
      </w:r>
      <w:r w:rsidRPr="00E14102">
        <w:rPr>
          <w:color w:val="000000" w:themeColor="text1"/>
          <w:sz w:val="16"/>
          <w:szCs w:val="16"/>
        </w:rPr>
        <w:softHyphen/>
        <w:t>ния пушкой с механизмами, радиостанцией и выделение 2-х постоянных консультантов по вооружению, без чего невозможно дальнейшее развертывание проектировочных работ - до сих пор остается не обеспеченным.</w:t>
      </w:r>
    </w:p>
    <w:p w14:paraId="1B63C7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Кроме того, несмотря на данное согласие тов. КОРОЛЕВА (Нач.ГУАП"а), о немедленном обеспечении всем необходимым строительства опытного самолета (см. письмо Секретариата СТО от 15.УШ.с.г., адресованное на мое имя), в частности, обеспечения СНИИ ГВФ альтмагом также остается не выполненным. Исследованный СНИИ ГВФ алътмаг, имеющийся на заводах ГУАП"а (з-ды 31, 1 и 39) не соответствуем техническим условиям и в конструкцию самолета И-21 применен быть не может.</w:t>
      </w:r>
    </w:p>
    <w:p w14:paraId="5DFB477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Таким образом, несмотря на все принятые со стороны ГВФ меры для ликвидации задержек, тормозящих развертывание конструкторских, экспериментальных и производственных ра</w:t>
      </w:r>
      <w:r w:rsidRPr="00E14102">
        <w:rPr>
          <w:color w:val="000000" w:themeColor="text1"/>
          <w:sz w:val="16"/>
          <w:szCs w:val="16"/>
        </w:rPr>
        <w:softHyphen/>
        <w:t>бот по сам. И-21, положение по независящим от ГВФ обстоя</w:t>
      </w:r>
      <w:r w:rsidRPr="00E14102">
        <w:rPr>
          <w:color w:val="000000" w:themeColor="text1"/>
          <w:sz w:val="16"/>
          <w:szCs w:val="16"/>
        </w:rPr>
        <w:softHyphen/>
        <w:t>тельствам не изменилось.</w:t>
      </w:r>
    </w:p>
    <w:p w14:paraId="0BF085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связи с вышеизложенным, срок установленный Правителе ством как проектирование и постройку опытного самолета их из-за отсутствия альтмага, сорван.</w:t>
      </w:r>
    </w:p>
    <w:p w14:paraId="253B9C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Прошу:</w:t>
      </w:r>
    </w:p>
    <w:p w14:paraId="7AEE29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обязать правительственным постановлением ГУАП под личную ответственность т. КОРОЛЕВА и директора завода № 95 тов. МАЗУЛЕВСКОГО не позднее 1.ХП.с.г. выполнить за</w:t>
      </w:r>
      <w:r w:rsidRPr="00E14102">
        <w:rPr>
          <w:color w:val="000000" w:themeColor="text1"/>
          <w:sz w:val="16"/>
          <w:szCs w:val="16"/>
        </w:rPr>
        <w:softHyphen/>
        <w:t>каз на поставку альтмага, по техническим условиям СНИИ.</w:t>
      </w:r>
    </w:p>
    <w:p w14:paraId="1DCDC7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В случае неполучения проверенной и твердой гарантии со стотзэны ГУАП'а, на обеспечение к указанному сроку альтмагом, обязать ГУАП свочно импортировать 1 тон. альтмага от германской Фирмы </w:t>
      </w:r>
      <w:r w:rsidRPr="00E14102">
        <w:rPr>
          <w:color w:val="000000" w:themeColor="text1"/>
          <w:sz w:val="16"/>
          <w:szCs w:val="16"/>
          <w:lang w:val="en-US"/>
        </w:rPr>
        <w:t>Farbenindstrie</w:t>
      </w:r>
      <w:r w:rsidRPr="00E14102">
        <w:rPr>
          <w:color w:val="000000" w:themeColor="text1"/>
          <w:sz w:val="16"/>
          <w:szCs w:val="16"/>
        </w:rPr>
        <w:t xml:space="preserve"> по спесификации СНИИ ГВФ.</w:t>
      </w:r>
    </w:p>
    <w:p w14:paraId="7A7B69B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установить срок готовности самолета И-21 (Ст-8) через 7 мес. после получения необходимого количества альт</w:t>
      </w:r>
      <w:r w:rsidRPr="00E14102">
        <w:rPr>
          <w:color w:val="000000" w:themeColor="text1"/>
          <w:sz w:val="16"/>
          <w:szCs w:val="16"/>
        </w:rPr>
        <w:softHyphen/>
        <w:t>мага (3419,113).</w:t>
      </w:r>
    </w:p>
    <w:p w14:paraId="6B92BE02" w14:textId="77777777" w:rsidR="00D4105E" w:rsidRPr="00E14102" w:rsidRDefault="00D4105E" w:rsidP="00E14102">
      <w:pPr>
        <w:autoSpaceDE w:val="0"/>
        <w:autoSpaceDN w:val="0"/>
        <w:adjustRightInd w:val="0"/>
        <w:jc w:val="both"/>
        <w:rPr>
          <w:color w:val="000000" w:themeColor="text1"/>
          <w:sz w:val="16"/>
          <w:szCs w:val="16"/>
        </w:rPr>
      </w:pPr>
    </w:p>
    <w:p w14:paraId="779045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октября 1935 года начальник и военком НИИ ВС Бажанов утвердил Отчет по государственным испытаниям самолета ВВА-1 с мотором М-11</w:t>
      </w:r>
    </w:p>
    <w:p w14:paraId="74D05C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788B72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 Куликов</w:t>
      </w:r>
    </w:p>
    <w:p w14:paraId="18C4F0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летчик Калилец</w:t>
      </w:r>
    </w:p>
    <w:p w14:paraId="56474E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088BF52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Определение летных данных самолета.</w:t>
      </w:r>
    </w:p>
    <w:p w14:paraId="7C483AA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Определение полетно-эксплуатационных свойств самолета.</w:t>
      </w:r>
    </w:p>
    <w:p w14:paraId="79FFB5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1D3470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своим летно-эксплуатационным данным самолет ВВА-1 интереса не представляет.</w:t>
      </w:r>
    </w:p>
    <w:p w14:paraId="0159251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Дальнейшая модификация предъявленного на испытание экземпляра самолета не целесообразна, так как основные два недочета – перетяжеление конструкции и неудачная схема коробки крыльев – неустранимы.</w:t>
      </w:r>
    </w:p>
    <w:p w14:paraId="53F0069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Ввиду интересных элементов положенных в основу проектирования и постройки самолета ВВА-1 считать желательным постройку нового экземпляра самолета по тем же техническим требованиям, но с учетом дефектов, отмеченных при испытании опытного образца.</w:t>
      </w:r>
    </w:p>
    <w:p w14:paraId="3A39D4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Назначение самолета</w:t>
      </w:r>
    </w:p>
    <w:p w14:paraId="578707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построен по требованиям конкурса на легкий безопасный самолет. Основное внимание было обращено на средства уменьшения посадочной скорости, на удобства и комфорт для пассажиров и на внешнюю отделку самолета.</w:t>
      </w:r>
    </w:p>
    <w:p w14:paraId="72264B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предназначен для перевозки трех человек, включая пилота (7818).</w:t>
      </w:r>
    </w:p>
    <w:p w14:paraId="4230F58C" w14:textId="77777777" w:rsidR="00D4105E" w:rsidRPr="00E14102" w:rsidRDefault="00D4105E" w:rsidP="00E14102">
      <w:pPr>
        <w:autoSpaceDE w:val="0"/>
        <w:autoSpaceDN w:val="0"/>
        <w:adjustRightInd w:val="0"/>
        <w:jc w:val="both"/>
        <w:rPr>
          <w:color w:val="000000" w:themeColor="text1"/>
          <w:sz w:val="16"/>
          <w:szCs w:val="16"/>
        </w:rPr>
      </w:pPr>
    </w:p>
    <w:p w14:paraId="6B48D865" w14:textId="77777777" w:rsidR="009B3BCF" w:rsidRPr="00E14102" w:rsidRDefault="009B3BCF" w:rsidP="00E14102">
      <w:pPr>
        <w:pStyle w:val="rtejustify"/>
        <w:spacing w:before="0" w:after="0"/>
        <w:rPr>
          <w:color w:val="000000" w:themeColor="text1"/>
          <w:sz w:val="16"/>
          <w:szCs w:val="16"/>
        </w:rPr>
      </w:pPr>
      <w:r w:rsidRPr="00E14102">
        <w:rPr>
          <w:rStyle w:val="a6"/>
          <w:bCs/>
          <w:i w:val="0"/>
          <w:color w:val="000000" w:themeColor="text1"/>
          <w:sz w:val="16"/>
          <w:szCs w:val="16"/>
        </w:rPr>
        <w:t>31 октября 1935 вышел приказ НКО №</w:t>
      </w:r>
      <w:r w:rsidRPr="00E14102">
        <w:rPr>
          <w:color w:val="000000" w:themeColor="text1"/>
          <w:sz w:val="16"/>
          <w:szCs w:val="16"/>
        </w:rPr>
        <w:t> 0223. О проведении испытаний автопилота АВП</w:t>
      </w:r>
      <w:r w:rsidRPr="00E14102">
        <w:rPr>
          <w:color w:val="000000" w:themeColor="text1"/>
          <w:sz w:val="16"/>
          <w:szCs w:val="16"/>
        </w:rPr>
        <w:noBreakHyphen/>
        <w:t>10 (15247).</w:t>
      </w:r>
    </w:p>
    <w:p w14:paraId="64A2810B" w14:textId="77777777" w:rsidR="009B3BCF" w:rsidRPr="00E14102" w:rsidRDefault="009B3BCF" w:rsidP="00E14102">
      <w:pPr>
        <w:pStyle w:val="rtejustify"/>
        <w:spacing w:before="0" w:after="0"/>
        <w:rPr>
          <w:color w:val="000000" w:themeColor="text1"/>
          <w:sz w:val="16"/>
          <w:szCs w:val="16"/>
        </w:rPr>
      </w:pPr>
    </w:p>
    <w:p w14:paraId="493D61A1" w14:textId="77777777" w:rsidR="009B3BCF" w:rsidRPr="00E14102" w:rsidRDefault="009B3BCF" w:rsidP="00E14102">
      <w:pPr>
        <w:pStyle w:val="rtejustify"/>
        <w:spacing w:before="0" w:after="0"/>
        <w:rPr>
          <w:color w:val="000000" w:themeColor="text1"/>
          <w:sz w:val="16"/>
          <w:szCs w:val="16"/>
        </w:rPr>
      </w:pPr>
      <w:r w:rsidRPr="00E14102">
        <w:rPr>
          <w:rStyle w:val="a6"/>
          <w:bCs/>
          <w:i w:val="0"/>
          <w:color w:val="000000" w:themeColor="text1"/>
          <w:sz w:val="16"/>
          <w:szCs w:val="16"/>
        </w:rPr>
        <w:t>31 октября 1935 вышел приказ НКО №</w:t>
      </w:r>
      <w:r w:rsidRPr="00E14102">
        <w:rPr>
          <w:color w:val="000000" w:themeColor="text1"/>
          <w:sz w:val="16"/>
          <w:szCs w:val="16"/>
        </w:rPr>
        <w:t> 0222. О назначении комиссии для производства государственных испытаний опытных образцов аэростатов заграждения (15247).</w:t>
      </w:r>
    </w:p>
    <w:p w14:paraId="52D74723" w14:textId="77777777" w:rsidR="009B3BCF" w:rsidRPr="00E14102" w:rsidRDefault="009B3BCF" w:rsidP="00E14102">
      <w:pPr>
        <w:pStyle w:val="rtejustify"/>
        <w:spacing w:before="0" w:after="0"/>
        <w:rPr>
          <w:color w:val="000000" w:themeColor="text1"/>
          <w:sz w:val="16"/>
          <w:szCs w:val="16"/>
        </w:rPr>
      </w:pPr>
    </w:p>
    <w:p w14:paraId="27D0E7E7" w14:textId="77777777" w:rsidR="009B3BCF"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45D48C3" w14:textId="77777777" w:rsidR="009B3BCF" w:rsidRPr="00E14102" w:rsidRDefault="009B3BCF" w:rsidP="00E14102">
      <w:pPr>
        <w:autoSpaceDE w:val="0"/>
        <w:autoSpaceDN w:val="0"/>
        <w:adjustRightInd w:val="0"/>
        <w:jc w:val="both"/>
        <w:rPr>
          <w:iCs/>
          <w:color w:val="000000" w:themeColor="text1"/>
          <w:sz w:val="16"/>
          <w:szCs w:val="16"/>
        </w:rPr>
      </w:pPr>
    </w:p>
    <w:p w14:paraId="59BD0B06" w14:textId="77777777" w:rsidR="009B3BCF" w:rsidRPr="00E14102" w:rsidRDefault="009B3BCF" w:rsidP="00E14102">
      <w:pPr>
        <w:pStyle w:val="rtejustify"/>
        <w:spacing w:before="0" w:after="0"/>
        <w:rPr>
          <w:color w:val="000000" w:themeColor="text1"/>
          <w:sz w:val="16"/>
          <w:szCs w:val="16"/>
        </w:rPr>
      </w:pPr>
      <w:r w:rsidRPr="00E14102">
        <w:rPr>
          <w:rStyle w:val="a6"/>
          <w:bCs/>
          <w:i w:val="0"/>
          <w:color w:val="000000" w:themeColor="text1"/>
          <w:sz w:val="16"/>
          <w:szCs w:val="16"/>
        </w:rPr>
        <w:lastRenderedPageBreak/>
        <w:t>31 октября 1935 вышел приказ НКО №</w:t>
      </w:r>
      <w:r w:rsidRPr="00E14102">
        <w:rPr>
          <w:color w:val="000000" w:themeColor="text1"/>
          <w:sz w:val="16"/>
          <w:szCs w:val="16"/>
        </w:rPr>
        <w:t> 0094. Об изменении приказа 1935 г № 0086 (испытание телемеханических катеров) (15247).</w:t>
      </w:r>
    </w:p>
    <w:p w14:paraId="445CC922" w14:textId="77777777" w:rsidR="009B3BCF" w:rsidRPr="00E14102" w:rsidRDefault="009B3BCF" w:rsidP="00E14102">
      <w:pPr>
        <w:pStyle w:val="rtejustify"/>
        <w:spacing w:before="0" w:after="0"/>
        <w:rPr>
          <w:color w:val="000000" w:themeColor="text1"/>
          <w:sz w:val="16"/>
          <w:szCs w:val="16"/>
        </w:rPr>
      </w:pPr>
    </w:p>
    <w:p w14:paraId="369D0308" w14:textId="77777777" w:rsidR="009B3BCF" w:rsidRPr="00E14102" w:rsidRDefault="009B3BCF" w:rsidP="00E14102">
      <w:pPr>
        <w:pStyle w:val="rtejustify"/>
        <w:spacing w:before="0" w:after="0"/>
        <w:rPr>
          <w:color w:val="000000" w:themeColor="text1"/>
          <w:sz w:val="16"/>
          <w:szCs w:val="16"/>
        </w:rPr>
      </w:pPr>
      <w:r w:rsidRPr="00E14102">
        <w:rPr>
          <w:rStyle w:val="a6"/>
          <w:bCs/>
          <w:i w:val="0"/>
          <w:color w:val="000000" w:themeColor="text1"/>
          <w:sz w:val="16"/>
          <w:szCs w:val="16"/>
        </w:rPr>
        <w:t>31 октября 1935 вышел приказ НКО №</w:t>
      </w:r>
      <w:r w:rsidRPr="00E14102">
        <w:rPr>
          <w:color w:val="000000" w:themeColor="text1"/>
          <w:sz w:val="16"/>
          <w:szCs w:val="16"/>
        </w:rPr>
        <w:t> 0220. Об организации конструкторского бюро Кондакова при АНИИ (15247).</w:t>
      </w:r>
    </w:p>
    <w:p w14:paraId="408A100A" w14:textId="77777777" w:rsidR="009B3BCF" w:rsidRPr="00E14102" w:rsidRDefault="009B3BCF" w:rsidP="00E14102">
      <w:pPr>
        <w:pStyle w:val="rtejustify"/>
        <w:spacing w:before="0" w:after="0"/>
        <w:rPr>
          <w:color w:val="000000" w:themeColor="text1"/>
          <w:sz w:val="16"/>
          <w:szCs w:val="16"/>
        </w:rPr>
      </w:pPr>
    </w:p>
    <w:p w14:paraId="0B962A1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AD8D799" w14:textId="77777777" w:rsidR="00D4105E" w:rsidRPr="00E14102" w:rsidRDefault="00D4105E" w:rsidP="00E14102">
      <w:pPr>
        <w:autoSpaceDE w:val="0"/>
        <w:autoSpaceDN w:val="0"/>
        <w:adjustRightInd w:val="0"/>
        <w:jc w:val="both"/>
        <w:rPr>
          <w:iCs/>
          <w:color w:val="000000" w:themeColor="text1"/>
          <w:sz w:val="16"/>
          <w:szCs w:val="16"/>
        </w:rPr>
      </w:pPr>
    </w:p>
    <w:p w14:paraId="0BD3C1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октября 1935 после продолжительной доводки ТБ-3 (АНТ-6) М-34РН был одобрен в качестве эталона на 1936 (хотя хотели еще в 1934 сделать 100) и потом сделали 74 (1854,9).</w:t>
      </w:r>
    </w:p>
    <w:p w14:paraId="55A01496" w14:textId="77777777" w:rsidR="00D4105E" w:rsidRPr="00E14102" w:rsidRDefault="00D4105E" w:rsidP="00E14102">
      <w:pPr>
        <w:autoSpaceDE w:val="0"/>
        <w:autoSpaceDN w:val="0"/>
        <w:adjustRightInd w:val="0"/>
        <w:jc w:val="both"/>
        <w:rPr>
          <w:color w:val="000000" w:themeColor="text1"/>
          <w:sz w:val="16"/>
          <w:szCs w:val="16"/>
        </w:rPr>
      </w:pPr>
    </w:p>
    <w:p w14:paraId="7942946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A454D48" w14:textId="77777777" w:rsidR="00D4105E" w:rsidRPr="00E14102" w:rsidRDefault="00D4105E" w:rsidP="00E14102">
      <w:pPr>
        <w:autoSpaceDE w:val="0"/>
        <w:autoSpaceDN w:val="0"/>
        <w:adjustRightInd w:val="0"/>
        <w:jc w:val="both"/>
        <w:rPr>
          <w:iCs/>
          <w:color w:val="000000" w:themeColor="text1"/>
          <w:sz w:val="16"/>
          <w:szCs w:val="16"/>
        </w:rPr>
      </w:pPr>
    </w:p>
    <w:p w14:paraId="1FB266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31 октября и 6 ноября 1935. Протокол заседания Политбюро № 34, 1935 г.</w:t>
      </w:r>
    </w:p>
    <w:p w14:paraId="1A1112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 переименовании Луганска в Ворошиловград </w:t>
      </w:r>
    </w:p>
    <w:p w14:paraId="1BFDF3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Одобрить предложение Донецкого обкома и облисполкома о переименовании Луганска в Ворошиловград. </w:t>
      </w:r>
    </w:p>
    <w:p w14:paraId="787A70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Ввиду того, что в советской практике не принято особо отмечать десятилетие наркомства или секретарства кого бы то ни было, предложить Донецкому обкому и облисполкому приурочить переименование к 7 ноября сего года (11652).</w:t>
      </w:r>
    </w:p>
    <w:p w14:paraId="0C4C9F42" w14:textId="77777777" w:rsidR="00D4105E" w:rsidRPr="00E14102" w:rsidRDefault="00D4105E" w:rsidP="00E14102">
      <w:pPr>
        <w:autoSpaceDE w:val="0"/>
        <w:autoSpaceDN w:val="0"/>
        <w:adjustRightInd w:val="0"/>
        <w:jc w:val="both"/>
        <w:rPr>
          <w:color w:val="000000" w:themeColor="text1"/>
          <w:sz w:val="16"/>
          <w:szCs w:val="16"/>
        </w:rPr>
      </w:pPr>
    </w:p>
    <w:p w14:paraId="72864D4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54EFC93" w14:textId="77777777" w:rsidR="00D4105E" w:rsidRPr="00E14102" w:rsidRDefault="00D4105E" w:rsidP="00E14102">
      <w:pPr>
        <w:autoSpaceDE w:val="0"/>
        <w:autoSpaceDN w:val="0"/>
        <w:adjustRightInd w:val="0"/>
        <w:jc w:val="both"/>
        <w:rPr>
          <w:iCs/>
          <w:color w:val="000000" w:themeColor="text1"/>
          <w:sz w:val="16"/>
          <w:szCs w:val="16"/>
        </w:rPr>
      </w:pPr>
    </w:p>
    <w:p w14:paraId="623C69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октября 1932 г. в ЦАГИ начали работу по самому ТБ-6 Но могучий мотор М-44 тогда существовал только на бумаге. Сразу потребовалось искать ему замену. Вот так вместо шести М-44 бомбардировщик ТБ-6, обозначенный Туполевым как АНТ-26, получил двенадцать М-34. Замена не была эквивалентной: шесть моторов по 2000 л.с. в сумме дают 12 000 л.е., а двенадцать М-34 - почти в два раза меньше. Правда, конструкторы рассчитывали получить пока еще не существующие, но тоже записанные в планах моторы М-34ФРН. С ними потери в мощности практически компенсировались. Но с дюжиной М-34ФРН мотоустановка получалась существенно тяжелее, чем с шестью М-44, а аэродинамика ухудшалась.</w:t>
      </w:r>
    </w:p>
    <w:p w14:paraId="42A23B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Положение не спасли бы и предложенные Управлением ВВС альтернативно дизели АН-1 конструкции А.Д. Чаромского. По мощности они были примерно эквивалентны М-34: номинальная - 750 л.с., максимальная - 800 л.с. Применение дизелей оказывалось особенно выгодным для тяжелых бомбардировщиков с их большой продолжительностью полета. За счет повышенной экономичности они позволяли либо увеличить дальность, либо нарастить бомбовую нагрузку. Дизеля давали и еше один выигрыш: они работали не на высокооктановом бензине, которого в СССР всегда не хватало из-за отсталой технологии переработки нефти, а на "тракторном керосине" (солярке), которого имелось много. Но первые более-менее надежные дизеля М-30 и М-40 запустили в серийное производство лишь перед Великой Отечественной войной.</w:t>
      </w:r>
    </w:p>
    <w:p w14:paraId="64E196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Пришлось пойти на уменьшение нормальной бомбовой нагрузки до 10 000 кг и отказаться от широкого применения стали, предусмотренного заданием, но и это не помогло. Ничего не оставалось, как увеличивать площадь и так огромного крыла.</w:t>
      </w:r>
    </w:p>
    <w:p w14:paraId="3D4D83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М-34ФРН представлял собой форсированный пооборотам вариант М-34РН. По проекту он должен был иметь номинальную мощность 1050 л.с. и максимальную - 1200 л.с. Это должно было стать большим шагом вперед. Недаром этот мотор вписали во многие задания на тяжелые бомбардировщики. Но первый образец двигателя модификации ФРН выставили на государственные испытания в январе 1935 г. Однако при весе 735 кг его номинальная мощность не превышала 900 л.с., а надежность подвергалась суровой критике. Лишь в 1938 г. конструкторам удалось добиться для М-34ФРН требуемого ресурса.</w:t>
      </w:r>
    </w:p>
    <w:p w14:paraId="61B1B1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Восемь моторов у АНТ-26 разместили на передней кромке крыла и еще четыре - в двух тандемных установках сверху на фермах, но не над фюзеляжем, а над крылом. Размах крыла - 95 м, взлетный вес - около 70 т. Оперение выполнили трехкилевым - возможно, побоялись, что один огромный киль станет очень сложен в изготовлении и техническом обслуживании. Большой киль крепился к фюзеляжу, а два поменьше стояли на стабилизаторе примерно в трети размаха от него.</w:t>
      </w:r>
    </w:p>
    <w:p w14:paraId="78E508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Туполев заложил в проект еше большую максимальную бомбовую нагрузку, чем предусматривалось заданием, - 25 000 кг. В огромном бомбоотсеке могли подвешиваться бомбы калибром в одну и две тонны.</w:t>
      </w:r>
    </w:p>
    <w:p w14:paraId="057B0B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ходе проектирования в конструкцию, оборудование и вооружение самолета внесли много изменении, учитывающих опыт создания ТБ-4, "Максима Горького" и модернизации ТБ-3. Шасси в первоначальном виде имело огромные двухколесные тележки-тан- дем по типу ранних серий ТБ-3, но без сдвига колес вбок. Оба колеса одной тележки шли по одной колее. Сбоку тележки закрывались щитами, стойка тоже прикрывалась обтекателем. И хвостовое колесо тоже находилось в здоровенной алюминиевой капле. Позже самолет получил шасси по типу АНТ-20 с колесами, стоящими в тележках бок о бок. Вся стойка и верхняя часть колеса прикрывались длинным обтекателем, переходящим далее в огневую точку (нечто похожее сделали позже на ТБ-7 - Пе-8). Обтекатель хвостового колеса на этой стадии ликвидировали, посчитав бесполезным. И, наконец, попробовали ввести убирающееся, точнее, полуубирающееся шасси. Стойка складывалась на середине длины, и ее нижняя часть поворачивалась на 90°, поднимая колеса в нишу огромного корыта обтекателя.</w:t>
      </w:r>
    </w:p>
    <w:p w14:paraId="5C6C25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Меняли размеры и форму вертикального и горизонтального оперения. Руль направления то увеличивали по площади, то уменьшали. В последнем варианте средний киль вытянули вверх и сделали его законцовку округлой.</w:t>
      </w:r>
    </w:p>
    <w:p w14:paraId="3BE9FA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Модернизировали мотоустановки, стараясь сделать их более обтекаемыми. Несколько раз переделывали радиаторы, убранные в тоннели.</w:t>
      </w:r>
    </w:p>
    <w:p w14:paraId="1A475D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все это несравнимо с вариациями вооружения гигантского бомбовоза. Как и у военного варианта МГ, сначала упор делали на пушки "Рейнметалл" (РМ) или "Эрликон" и пулеметы ДА, позднее вытесненные более современными LUKAC и ШВАК. В одном из первых вариантов проекта над фюзеляжем за крылом высилось сооружение, по форме подобное рубке подводной лодки, в котором располагалась одна из огневых точек. В носовой части самолета монтировалась экранированная пушечная установка. Такую же одно время хотели разместить и в корме. Позже по типу ТБ-4 предусмотрели две открытые турели с пушками на фюзеляже и одну в корме. Огневые точки располагались и на крыльях. В отличие от проекта военного МГ, их поместили не на верхнюю поверхность крыла, а выдвинули выступами из задней и передней кромок. Установки на крыле были экранированными. Передних огневых точек во всех вариантах было две, а задних - то две, то четыре. В некоторых случаях предусматривались еще бортовые пулеметы, стреляющие из окон фюзеляжа.</w:t>
      </w:r>
    </w:p>
    <w:p w14:paraId="3ECC2F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Построили несколько макетов АНТ-26 для продувки в аэродинамической трубе, а затем большой макет-планер с размахом крыла 24 м (то есть примерно в четверть настоящего самолета). Его испытывали в полете в мае 1935 г. на буксире за бипланом Р-5. Буксировал летчик В.В. Рябушкин, а пилотом планера являлся Н.П. Благин, тот, который позже врезался на И-5 в крыло "Максима Горького". В ЗОК ЦАГИ начали строить опытный образец самолета, но в том же 1935 г. прекратили, считая дальнейшую работу бесперспективной.</w:t>
      </w:r>
    </w:p>
    <w:p w14:paraId="3A39AA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Вместе с АНТ-26 канул в лету его военно- транспортный вариант АНТ-28, предназначенный для перевозки и десантирования тяжелой военной техники. Он отличался конструкцией средней части фюзеляжа и специальным оборудованием для механизации разгрузки и погрузки. При необходимости он также мог быть использован как тяжелый бомбардировщик.</w:t>
      </w:r>
    </w:p>
    <w:p w14:paraId="51429D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 уже поняли, что многомоторность отечественных самолетов-гигантов во многом была вынужденной. В стране, да и во всем мире, тогда не имелось двигателей подходящей мощности. Поэтому и приходилось ставить вместо одного мотора - два.</w:t>
      </w:r>
    </w:p>
    <w:p w14:paraId="03A8A0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одной стороны, наличие на самолете большого количества двигателей повышает безопасность полетов. Если на машине всего один мотор, и он отказал - неизбежна вынужденная посадка, где бог пошлет. Если моторов два, и они стоят на крыле, то самолет и с одним заглохшим двигателем может продолжать полет, хотя и с неприятной для летчика асимметрией тяги. А уж если моторов много, то отказ одного, двух и даже трех из них не критичен. Для двенадцатимоторного гиганта три неработающих двигателя - это всего потеря 25% тяги, которую можно скомпенсировать, прибавив газ оставшимся моторам. Это важно и для боевой живучести бомбардировщика, у которого двигатели могут пострадать от зенитного огня или атак истребителей.</w:t>
      </w:r>
    </w:p>
    <w:p w14:paraId="77257C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другой стороны, один мотор большой мощности обычно (но не всегда) легче двух мощностью вполовину меньше. Однако такой двигатель - сосредоточенная цель, которую врагу легче вывести из строя, чем два мотора, расположенных в разных местах. Так что вопрос неоднозначен.</w:t>
      </w:r>
    </w:p>
    <w:p w14:paraId="7414C5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нашей стране очень долго гражданская авиация считалась лишь придатком военной. Она всегда считалась какой-то "второсортной". Ей зачастую доставались устаревшие самолеты, отбракованные военными моторы.</w:t>
      </w:r>
    </w:p>
    <w:p w14:paraId="5BDF3F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Нужды наркомата обороны, наоборот, оценивались как приоритетные. Заказы ВВС определяли планы развития советской авиапромышленности. Для них предназначались гигантские бомбовозы, считавшиеся в первой половине 30-х годов главным стратегическим оружием авиации. Многомоторные самолеты для гражданских целей могли появиться только как модификации военных. Такой переделкой был и "Максим Горький".</w:t>
      </w:r>
    </w:p>
    <w:p w14:paraId="1E910E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Нельзя умалять достижений советских конструкторов во главе с А.Н. Туполевым, которые сделали то, на что не решался никто в мире. Наши инженеры и рабочие показали, что они могут решить сложнейшую задачу. При этом они обошли множество барьеров, поставленных технологическим отставанием отечественной промышленности.</w:t>
      </w:r>
    </w:p>
    <w:p w14:paraId="3DD66B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Все грандиозные планы создания гигантов писались "от желаемого". В задания вписывались несуществующие моторы, оборудование и вооружение. ВВС требовали для бомбовозов авиационные пушки и крупнокалиберные пулеметы, а отечественные образцы их отсутствовали. Огромные размеры самолетов требовали применения электромеханических или гидравлических приводов, но здесь делались лишь первые шаги. Не было подходящего электрооборудования, радиостанций, многих </w:t>
      </w:r>
      <w:r w:rsidRPr="00E14102">
        <w:rPr>
          <w:color w:val="000000" w:themeColor="text1"/>
          <w:sz w:val="16"/>
          <w:szCs w:val="16"/>
        </w:rPr>
        <w:lastRenderedPageBreak/>
        <w:t>приборов. Приходилось завозить из-за границы легированные стали и легкие сплавы, подшипники и прицелы. На наших заводах не было цехов, где можно было собирать гигантские самолеты, не было оборудования для изготовления их узлов.</w:t>
      </w:r>
    </w:p>
    <w:p w14:paraId="65F4B9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стране ощущалась острая нехватка квалифицированных специалистов, многие отрасли промышленности значительно отставали от мирового уровня. Не случайно на ТБ-4 и К-7 колеса американские, покрышки - английские, прицелы - немецкие, пушки - швейцарские...</w:t>
      </w:r>
    </w:p>
    <w:p w14:paraId="786FEC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стоит говорить уже об астрономической стоимости создания флота сверхтяжелых гигантов. Каждый из них стоил столько же, сколько несколько эскадрилий истребителей или легких бомбардировщиков. Но ведь требовались не только сами самолеты, но и новые аэродромы, масса специального оборудования для обслуживания машин, мощные топливозаправщики, огромные ангары, ремонтная база плюс подготовка личного состава, способного все это по-настоящему использовать.</w:t>
      </w:r>
    </w:p>
    <w:p w14:paraId="78BEA0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над ТБ-4, "Максимом Горьким" и ПС-124 дала неоценимый опыт, использованный позднее при проектировании других самолетов. Но сам "Максим Горький" создавался лишь как своеобразная реклама достижений страны социализма, эдакий летающий символ нашей авиации. Символ получился очень дорогостоящим, но на пропаганду тогда денег не жалели (12024).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E3599D" w:rsidRPr="00E14102" w14:paraId="3A37A5E9" w14:textId="77777777">
        <w:tc>
          <w:tcPr>
            <w:tcW w:w="1245" w:type="dxa"/>
            <w:tcBorders>
              <w:top w:val="single" w:sz="12" w:space="0" w:color="auto"/>
            </w:tcBorders>
          </w:tcPr>
          <w:p w14:paraId="44291E32"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Borders>
              <w:top w:val="single" w:sz="12" w:space="0" w:color="auto"/>
            </w:tcBorders>
          </w:tcPr>
          <w:p w14:paraId="78782C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ТБ-4</w:t>
            </w:r>
          </w:p>
        </w:tc>
        <w:tc>
          <w:tcPr>
            <w:tcW w:w="1245" w:type="dxa"/>
            <w:tcBorders>
              <w:top w:val="single" w:sz="12" w:space="0" w:color="auto"/>
            </w:tcBorders>
          </w:tcPr>
          <w:p w14:paraId="35435C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АНТ-16</w:t>
            </w:r>
          </w:p>
        </w:tc>
        <w:tc>
          <w:tcPr>
            <w:tcW w:w="1245" w:type="dxa"/>
            <w:tcBorders>
              <w:top w:val="single" w:sz="12" w:space="0" w:color="auto"/>
            </w:tcBorders>
          </w:tcPr>
          <w:p w14:paraId="744C86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АНТ-16</w:t>
            </w:r>
          </w:p>
        </w:tc>
        <w:tc>
          <w:tcPr>
            <w:tcW w:w="1245" w:type="dxa"/>
            <w:tcBorders>
              <w:top w:val="single" w:sz="12" w:space="0" w:color="auto"/>
            </w:tcBorders>
          </w:tcPr>
          <w:p w14:paraId="36D7A9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w:t>
            </w:r>
          </w:p>
        </w:tc>
        <w:tc>
          <w:tcPr>
            <w:tcW w:w="1245" w:type="dxa"/>
            <w:tcBorders>
              <w:top w:val="single" w:sz="12" w:space="0" w:color="auto"/>
            </w:tcBorders>
          </w:tcPr>
          <w:p w14:paraId="0A891A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w:t>
            </w:r>
          </w:p>
        </w:tc>
        <w:tc>
          <w:tcPr>
            <w:tcW w:w="1245" w:type="dxa"/>
            <w:tcBorders>
              <w:top w:val="single" w:sz="12" w:space="0" w:color="auto"/>
            </w:tcBorders>
          </w:tcPr>
          <w:p w14:paraId="48D7A3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 воен. проект</w:t>
            </w:r>
          </w:p>
        </w:tc>
        <w:tc>
          <w:tcPr>
            <w:tcW w:w="1245" w:type="dxa"/>
            <w:tcBorders>
              <w:top w:val="single" w:sz="12" w:space="0" w:color="auto"/>
            </w:tcBorders>
          </w:tcPr>
          <w:p w14:paraId="13B915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ПС-124</w:t>
            </w:r>
          </w:p>
        </w:tc>
        <w:tc>
          <w:tcPr>
            <w:tcW w:w="1245" w:type="dxa"/>
            <w:tcBorders>
              <w:top w:val="single" w:sz="12" w:space="0" w:color="auto"/>
            </w:tcBorders>
          </w:tcPr>
          <w:p w14:paraId="3E756F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ПС-124</w:t>
            </w:r>
          </w:p>
        </w:tc>
      </w:tr>
      <w:tr w:rsidR="00E3599D" w:rsidRPr="00E14102" w14:paraId="6ABEBCD4" w14:textId="77777777">
        <w:tc>
          <w:tcPr>
            <w:tcW w:w="1245" w:type="dxa"/>
          </w:tcPr>
          <w:p w14:paraId="03E49FD5"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74D46D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ТЗ</w:t>
            </w:r>
          </w:p>
        </w:tc>
        <w:tc>
          <w:tcPr>
            <w:tcW w:w="1245" w:type="dxa"/>
          </w:tcPr>
          <w:p w14:paraId="146A0C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w:t>
            </w:r>
          </w:p>
        </w:tc>
        <w:tc>
          <w:tcPr>
            <w:tcW w:w="1245" w:type="dxa"/>
          </w:tcPr>
          <w:p w14:paraId="437B1C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госиспыт.</w:t>
            </w:r>
          </w:p>
        </w:tc>
        <w:tc>
          <w:tcPr>
            <w:tcW w:w="1245" w:type="dxa"/>
          </w:tcPr>
          <w:p w14:paraId="64FE3B4A"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083580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 ТЗ</w:t>
            </w:r>
          </w:p>
        </w:tc>
        <w:tc>
          <w:tcPr>
            <w:tcW w:w="1245" w:type="dxa"/>
          </w:tcPr>
          <w:p w14:paraId="079C94B8"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1D021DCE"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753E1B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w:t>
            </w:r>
          </w:p>
        </w:tc>
      </w:tr>
      <w:tr w:rsidR="00E3599D" w:rsidRPr="00E14102" w14:paraId="32663BC4" w14:textId="77777777">
        <w:tc>
          <w:tcPr>
            <w:tcW w:w="1245" w:type="dxa"/>
          </w:tcPr>
          <w:p w14:paraId="325EF3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м</w:t>
            </w:r>
          </w:p>
        </w:tc>
        <w:tc>
          <w:tcPr>
            <w:tcW w:w="1245" w:type="dxa"/>
          </w:tcPr>
          <w:p w14:paraId="7FC355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45" w:type="dxa"/>
          </w:tcPr>
          <w:p w14:paraId="03B218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54.0</w:t>
            </w:r>
          </w:p>
        </w:tc>
        <w:tc>
          <w:tcPr>
            <w:tcW w:w="1245" w:type="dxa"/>
          </w:tcPr>
          <w:p w14:paraId="626222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54,0</w:t>
            </w:r>
          </w:p>
        </w:tc>
        <w:tc>
          <w:tcPr>
            <w:tcW w:w="1245" w:type="dxa"/>
          </w:tcPr>
          <w:p w14:paraId="69D9AB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63,0</w:t>
            </w:r>
          </w:p>
        </w:tc>
        <w:tc>
          <w:tcPr>
            <w:tcW w:w="1245" w:type="dxa"/>
          </w:tcPr>
          <w:p w14:paraId="5E9082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45" w:type="dxa"/>
          </w:tcPr>
          <w:p w14:paraId="68E0CA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63,0</w:t>
            </w:r>
          </w:p>
        </w:tc>
        <w:tc>
          <w:tcPr>
            <w:tcW w:w="1245" w:type="dxa"/>
          </w:tcPr>
          <w:p w14:paraId="12CC46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63,0</w:t>
            </w:r>
          </w:p>
        </w:tc>
        <w:tc>
          <w:tcPr>
            <w:tcW w:w="1245" w:type="dxa"/>
          </w:tcPr>
          <w:p w14:paraId="41B406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63.0</w:t>
            </w:r>
          </w:p>
        </w:tc>
      </w:tr>
      <w:tr w:rsidR="00E3599D" w:rsidRPr="00E14102" w14:paraId="33CEABFA" w14:textId="77777777">
        <w:tc>
          <w:tcPr>
            <w:tcW w:w="1245" w:type="dxa"/>
          </w:tcPr>
          <w:p w14:paraId="170F97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м</w:t>
            </w:r>
          </w:p>
        </w:tc>
        <w:tc>
          <w:tcPr>
            <w:tcW w:w="1245" w:type="dxa"/>
          </w:tcPr>
          <w:p w14:paraId="4C2D7C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45" w:type="dxa"/>
          </w:tcPr>
          <w:p w14:paraId="080E5E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32.4</w:t>
            </w:r>
          </w:p>
        </w:tc>
        <w:tc>
          <w:tcPr>
            <w:tcW w:w="1245" w:type="dxa"/>
          </w:tcPr>
          <w:p w14:paraId="2A5B3E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32,4</w:t>
            </w:r>
          </w:p>
        </w:tc>
        <w:tc>
          <w:tcPr>
            <w:tcW w:w="1245" w:type="dxa"/>
          </w:tcPr>
          <w:p w14:paraId="097D51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45" w:type="dxa"/>
          </w:tcPr>
          <w:p w14:paraId="27A853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45" w:type="dxa"/>
          </w:tcPr>
          <w:p w14:paraId="7F86FE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32,5</w:t>
            </w:r>
          </w:p>
        </w:tc>
        <w:tc>
          <w:tcPr>
            <w:tcW w:w="1245" w:type="dxa"/>
          </w:tcPr>
          <w:p w14:paraId="78ECB9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34,1</w:t>
            </w:r>
          </w:p>
        </w:tc>
        <w:tc>
          <w:tcPr>
            <w:tcW w:w="1245" w:type="dxa"/>
          </w:tcPr>
          <w:p w14:paraId="2C938E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34,1</w:t>
            </w:r>
          </w:p>
        </w:tc>
      </w:tr>
      <w:tr w:rsidR="00E3599D" w:rsidRPr="00E14102" w14:paraId="4FD818A3" w14:textId="77777777">
        <w:tc>
          <w:tcPr>
            <w:tcW w:w="1245" w:type="dxa"/>
          </w:tcPr>
          <w:p w14:paraId="1AA869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м</w:t>
            </w:r>
          </w:p>
        </w:tc>
        <w:tc>
          <w:tcPr>
            <w:tcW w:w="1245" w:type="dxa"/>
          </w:tcPr>
          <w:p w14:paraId="49ED62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45" w:type="dxa"/>
          </w:tcPr>
          <w:p w14:paraId="32E050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11,73</w:t>
            </w:r>
          </w:p>
        </w:tc>
        <w:tc>
          <w:tcPr>
            <w:tcW w:w="1245" w:type="dxa"/>
          </w:tcPr>
          <w:p w14:paraId="6271B1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11.73</w:t>
            </w:r>
          </w:p>
        </w:tc>
        <w:tc>
          <w:tcPr>
            <w:tcW w:w="1245" w:type="dxa"/>
          </w:tcPr>
          <w:p w14:paraId="3EC200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45" w:type="dxa"/>
          </w:tcPr>
          <w:p w14:paraId="339ACA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45" w:type="dxa"/>
          </w:tcPr>
          <w:p w14:paraId="5464F3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45" w:type="dxa"/>
          </w:tcPr>
          <w:p w14:paraId="3FE020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10,85</w:t>
            </w:r>
          </w:p>
        </w:tc>
        <w:tc>
          <w:tcPr>
            <w:tcW w:w="1245" w:type="dxa"/>
          </w:tcPr>
          <w:p w14:paraId="1445AB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10,85</w:t>
            </w:r>
          </w:p>
        </w:tc>
      </w:tr>
      <w:tr w:rsidR="00E3599D" w:rsidRPr="00E14102" w14:paraId="5F674C67" w14:textId="77777777">
        <w:tc>
          <w:tcPr>
            <w:tcW w:w="1245" w:type="dxa"/>
          </w:tcPr>
          <w:p w14:paraId="30360A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пустого, кг</w:t>
            </w:r>
          </w:p>
        </w:tc>
        <w:tc>
          <w:tcPr>
            <w:tcW w:w="1245" w:type="dxa"/>
          </w:tcPr>
          <w:p w14:paraId="244419B7"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639B41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31 000</w:t>
            </w:r>
          </w:p>
        </w:tc>
        <w:tc>
          <w:tcPr>
            <w:tcW w:w="1245" w:type="dxa"/>
          </w:tcPr>
          <w:p w14:paraId="563CB6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21 390</w:t>
            </w:r>
          </w:p>
        </w:tc>
        <w:tc>
          <w:tcPr>
            <w:tcW w:w="1245" w:type="dxa"/>
          </w:tcPr>
          <w:p w14:paraId="722A91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28 500</w:t>
            </w:r>
          </w:p>
        </w:tc>
        <w:tc>
          <w:tcPr>
            <w:tcW w:w="1245" w:type="dxa"/>
          </w:tcPr>
          <w:p w14:paraId="6615DF76"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702AA8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26 500</w:t>
            </w:r>
          </w:p>
        </w:tc>
        <w:tc>
          <w:tcPr>
            <w:tcW w:w="1245" w:type="dxa"/>
          </w:tcPr>
          <w:p w14:paraId="2F93FE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32 046</w:t>
            </w:r>
          </w:p>
        </w:tc>
        <w:tc>
          <w:tcPr>
            <w:tcW w:w="1245" w:type="dxa"/>
          </w:tcPr>
          <w:p w14:paraId="5B9788C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77C9ADA" w14:textId="77777777">
        <w:tc>
          <w:tcPr>
            <w:tcW w:w="1245" w:type="dxa"/>
          </w:tcPr>
          <w:p w14:paraId="18EAEC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взлетный нормальный, кг</w:t>
            </w:r>
          </w:p>
          <w:p w14:paraId="078F19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взлетный максимальный, кг</w:t>
            </w:r>
          </w:p>
        </w:tc>
        <w:tc>
          <w:tcPr>
            <w:tcW w:w="1245" w:type="dxa"/>
          </w:tcPr>
          <w:p w14:paraId="17D078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45" w:type="dxa"/>
          </w:tcPr>
          <w:p w14:paraId="33AD3A93" w14:textId="77777777" w:rsidR="00D4105E" w:rsidRPr="00E14102" w:rsidRDefault="00D4105E" w:rsidP="00E14102">
            <w:pPr>
              <w:autoSpaceDE w:val="0"/>
              <w:autoSpaceDN w:val="0"/>
              <w:adjustRightInd w:val="0"/>
              <w:jc w:val="both"/>
              <w:rPr>
                <w:color w:val="000000" w:themeColor="text1"/>
                <w:sz w:val="16"/>
                <w:szCs w:val="16"/>
              </w:rPr>
            </w:pPr>
          </w:p>
          <w:p w14:paraId="17ACD739" w14:textId="77777777" w:rsidR="00D4105E" w:rsidRPr="00E14102" w:rsidRDefault="00D4105E" w:rsidP="00E14102">
            <w:pPr>
              <w:autoSpaceDE w:val="0"/>
              <w:autoSpaceDN w:val="0"/>
              <w:adjustRightInd w:val="0"/>
              <w:jc w:val="both"/>
              <w:rPr>
                <w:color w:val="000000" w:themeColor="text1"/>
                <w:sz w:val="16"/>
                <w:szCs w:val="16"/>
              </w:rPr>
            </w:pPr>
          </w:p>
          <w:p w14:paraId="5CC953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37 000</w:t>
            </w:r>
          </w:p>
        </w:tc>
        <w:tc>
          <w:tcPr>
            <w:tcW w:w="1245" w:type="dxa"/>
          </w:tcPr>
          <w:p w14:paraId="32979B72" w14:textId="77777777" w:rsidR="00D4105E" w:rsidRPr="00E14102" w:rsidRDefault="00D4105E" w:rsidP="00E14102">
            <w:pPr>
              <w:autoSpaceDE w:val="0"/>
              <w:autoSpaceDN w:val="0"/>
              <w:adjustRightInd w:val="0"/>
              <w:jc w:val="both"/>
              <w:rPr>
                <w:color w:val="000000" w:themeColor="text1"/>
                <w:sz w:val="16"/>
                <w:szCs w:val="16"/>
              </w:rPr>
            </w:pPr>
          </w:p>
          <w:p w14:paraId="7D333FF9" w14:textId="77777777" w:rsidR="00D4105E" w:rsidRPr="00E14102" w:rsidRDefault="00D4105E" w:rsidP="00E14102">
            <w:pPr>
              <w:autoSpaceDE w:val="0"/>
              <w:autoSpaceDN w:val="0"/>
              <w:adjustRightInd w:val="0"/>
              <w:jc w:val="both"/>
              <w:rPr>
                <w:color w:val="000000" w:themeColor="text1"/>
                <w:sz w:val="16"/>
                <w:szCs w:val="16"/>
              </w:rPr>
            </w:pPr>
          </w:p>
          <w:p w14:paraId="322A32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33 000</w:t>
            </w:r>
          </w:p>
          <w:p w14:paraId="17D8EE79" w14:textId="77777777" w:rsidR="00D4105E" w:rsidRPr="00E14102" w:rsidRDefault="00D4105E" w:rsidP="00E14102">
            <w:pPr>
              <w:autoSpaceDE w:val="0"/>
              <w:autoSpaceDN w:val="0"/>
              <w:adjustRightInd w:val="0"/>
              <w:jc w:val="both"/>
              <w:rPr>
                <w:color w:val="000000" w:themeColor="text1"/>
                <w:sz w:val="16"/>
                <w:szCs w:val="16"/>
              </w:rPr>
            </w:pPr>
          </w:p>
          <w:p w14:paraId="78414F67" w14:textId="77777777" w:rsidR="00D4105E" w:rsidRPr="00E14102" w:rsidRDefault="00D4105E" w:rsidP="00E14102">
            <w:pPr>
              <w:autoSpaceDE w:val="0"/>
              <w:autoSpaceDN w:val="0"/>
              <w:adjustRightInd w:val="0"/>
              <w:jc w:val="both"/>
              <w:rPr>
                <w:color w:val="000000" w:themeColor="text1"/>
                <w:sz w:val="16"/>
                <w:szCs w:val="16"/>
              </w:rPr>
            </w:pPr>
          </w:p>
          <w:p w14:paraId="7C900C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37 000</w:t>
            </w:r>
          </w:p>
        </w:tc>
        <w:tc>
          <w:tcPr>
            <w:tcW w:w="1245" w:type="dxa"/>
          </w:tcPr>
          <w:p w14:paraId="3D2EA64F" w14:textId="77777777" w:rsidR="00D4105E" w:rsidRPr="00E14102" w:rsidRDefault="00D4105E" w:rsidP="00E14102">
            <w:pPr>
              <w:autoSpaceDE w:val="0"/>
              <w:autoSpaceDN w:val="0"/>
              <w:adjustRightInd w:val="0"/>
              <w:jc w:val="both"/>
              <w:rPr>
                <w:color w:val="000000" w:themeColor="text1"/>
                <w:sz w:val="16"/>
                <w:szCs w:val="16"/>
              </w:rPr>
            </w:pPr>
          </w:p>
          <w:p w14:paraId="41AEE776" w14:textId="77777777" w:rsidR="00D4105E" w:rsidRPr="00E14102" w:rsidRDefault="00D4105E" w:rsidP="00E14102">
            <w:pPr>
              <w:autoSpaceDE w:val="0"/>
              <w:autoSpaceDN w:val="0"/>
              <w:adjustRightInd w:val="0"/>
              <w:jc w:val="both"/>
              <w:rPr>
                <w:color w:val="000000" w:themeColor="text1"/>
                <w:sz w:val="16"/>
                <w:szCs w:val="16"/>
              </w:rPr>
            </w:pPr>
          </w:p>
          <w:p w14:paraId="6DF26D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42 000</w:t>
            </w:r>
          </w:p>
          <w:p w14:paraId="0864E2E8" w14:textId="77777777" w:rsidR="00D4105E" w:rsidRPr="00E14102" w:rsidRDefault="00D4105E" w:rsidP="00E14102">
            <w:pPr>
              <w:autoSpaceDE w:val="0"/>
              <w:autoSpaceDN w:val="0"/>
              <w:adjustRightInd w:val="0"/>
              <w:jc w:val="both"/>
              <w:rPr>
                <w:color w:val="000000" w:themeColor="text1"/>
                <w:sz w:val="16"/>
                <w:szCs w:val="16"/>
              </w:rPr>
            </w:pPr>
          </w:p>
          <w:p w14:paraId="216185EC" w14:textId="77777777" w:rsidR="00D4105E" w:rsidRPr="00E14102" w:rsidRDefault="00D4105E" w:rsidP="00E14102">
            <w:pPr>
              <w:autoSpaceDE w:val="0"/>
              <w:autoSpaceDN w:val="0"/>
              <w:adjustRightInd w:val="0"/>
              <w:jc w:val="both"/>
              <w:rPr>
                <w:color w:val="000000" w:themeColor="text1"/>
                <w:sz w:val="16"/>
                <w:szCs w:val="16"/>
              </w:rPr>
            </w:pPr>
          </w:p>
          <w:p w14:paraId="355B65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53 000</w:t>
            </w:r>
          </w:p>
        </w:tc>
        <w:tc>
          <w:tcPr>
            <w:tcW w:w="1245" w:type="dxa"/>
          </w:tcPr>
          <w:p w14:paraId="0E54DD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45" w:type="dxa"/>
          </w:tcPr>
          <w:p w14:paraId="68C1245A" w14:textId="77777777" w:rsidR="00D4105E" w:rsidRPr="00E14102" w:rsidRDefault="00D4105E" w:rsidP="00E14102">
            <w:pPr>
              <w:autoSpaceDE w:val="0"/>
              <w:autoSpaceDN w:val="0"/>
              <w:adjustRightInd w:val="0"/>
              <w:jc w:val="both"/>
              <w:rPr>
                <w:color w:val="000000" w:themeColor="text1"/>
                <w:sz w:val="16"/>
                <w:szCs w:val="16"/>
              </w:rPr>
            </w:pPr>
          </w:p>
          <w:p w14:paraId="549C6FC7" w14:textId="77777777" w:rsidR="00D4105E" w:rsidRPr="00E14102" w:rsidRDefault="00D4105E" w:rsidP="00E14102">
            <w:pPr>
              <w:autoSpaceDE w:val="0"/>
              <w:autoSpaceDN w:val="0"/>
              <w:adjustRightInd w:val="0"/>
              <w:jc w:val="both"/>
              <w:rPr>
                <w:color w:val="000000" w:themeColor="text1"/>
                <w:sz w:val="16"/>
                <w:szCs w:val="16"/>
              </w:rPr>
            </w:pPr>
          </w:p>
          <w:p w14:paraId="107912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41 000</w:t>
            </w:r>
          </w:p>
          <w:p w14:paraId="0FC34BCA" w14:textId="77777777" w:rsidR="00D4105E" w:rsidRPr="00E14102" w:rsidRDefault="00D4105E" w:rsidP="00E14102">
            <w:pPr>
              <w:autoSpaceDE w:val="0"/>
              <w:autoSpaceDN w:val="0"/>
              <w:adjustRightInd w:val="0"/>
              <w:jc w:val="both"/>
              <w:rPr>
                <w:color w:val="000000" w:themeColor="text1"/>
                <w:sz w:val="16"/>
                <w:szCs w:val="16"/>
              </w:rPr>
            </w:pPr>
          </w:p>
          <w:p w14:paraId="523F4678" w14:textId="77777777" w:rsidR="00D4105E" w:rsidRPr="00E14102" w:rsidRDefault="00D4105E" w:rsidP="00E14102">
            <w:pPr>
              <w:autoSpaceDE w:val="0"/>
              <w:autoSpaceDN w:val="0"/>
              <w:adjustRightInd w:val="0"/>
              <w:jc w:val="both"/>
              <w:rPr>
                <w:color w:val="000000" w:themeColor="text1"/>
                <w:sz w:val="16"/>
                <w:szCs w:val="16"/>
              </w:rPr>
            </w:pPr>
          </w:p>
          <w:p w14:paraId="607F4B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45 000</w:t>
            </w:r>
          </w:p>
        </w:tc>
        <w:tc>
          <w:tcPr>
            <w:tcW w:w="1245" w:type="dxa"/>
          </w:tcPr>
          <w:p w14:paraId="0E7B7D4A" w14:textId="77777777" w:rsidR="00D4105E" w:rsidRPr="00E14102" w:rsidRDefault="00D4105E" w:rsidP="00E14102">
            <w:pPr>
              <w:autoSpaceDE w:val="0"/>
              <w:autoSpaceDN w:val="0"/>
              <w:adjustRightInd w:val="0"/>
              <w:jc w:val="both"/>
              <w:rPr>
                <w:color w:val="000000" w:themeColor="text1"/>
                <w:sz w:val="16"/>
                <w:szCs w:val="16"/>
              </w:rPr>
            </w:pPr>
          </w:p>
          <w:p w14:paraId="32824A70" w14:textId="77777777" w:rsidR="00D4105E" w:rsidRPr="00E14102" w:rsidRDefault="00D4105E" w:rsidP="00E14102">
            <w:pPr>
              <w:autoSpaceDE w:val="0"/>
              <w:autoSpaceDN w:val="0"/>
              <w:adjustRightInd w:val="0"/>
              <w:jc w:val="both"/>
              <w:rPr>
                <w:color w:val="000000" w:themeColor="text1"/>
                <w:sz w:val="16"/>
                <w:szCs w:val="16"/>
              </w:rPr>
            </w:pPr>
          </w:p>
          <w:p w14:paraId="4B6E7A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44 000</w:t>
            </w:r>
          </w:p>
        </w:tc>
        <w:tc>
          <w:tcPr>
            <w:tcW w:w="1245" w:type="dxa"/>
          </w:tcPr>
          <w:p w14:paraId="685532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170FBB4C" w14:textId="77777777">
        <w:tc>
          <w:tcPr>
            <w:tcW w:w="1245" w:type="dxa"/>
          </w:tcPr>
          <w:p w14:paraId="724D5E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w:t>
            </w:r>
          </w:p>
        </w:tc>
        <w:tc>
          <w:tcPr>
            <w:tcW w:w="1245" w:type="dxa"/>
          </w:tcPr>
          <w:p w14:paraId="1D2D905D"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7807FBF3"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65599402"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388FFEF2"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07346B2D"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010047FC"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02D64F97"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72B7FA7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3E9F8A2" w14:textId="77777777">
        <w:tc>
          <w:tcPr>
            <w:tcW w:w="1245" w:type="dxa"/>
          </w:tcPr>
          <w:p w14:paraId="51910F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нормальная, км максимальная, км</w:t>
            </w:r>
          </w:p>
        </w:tc>
        <w:tc>
          <w:tcPr>
            <w:tcW w:w="1245" w:type="dxa"/>
          </w:tcPr>
          <w:p w14:paraId="45133B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1245" w:type="dxa"/>
          </w:tcPr>
          <w:p w14:paraId="0DCF84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1600</w:t>
            </w:r>
          </w:p>
        </w:tc>
        <w:tc>
          <w:tcPr>
            <w:tcW w:w="1245" w:type="dxa"/>
          </w:tcPr>
          <w:p w14:paraId="6D0DA3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1100</w:t>
            </w:r>
          </w:p>
          <w:p w14:paraId="3F58CFE4" w14:textId="77777777" w:rsidR="00D4105E" w:rsidRPr="00E14102" w:rsidRDefault="00D4105E" w:rsidP="00E14102">
            <w:pPr>
              <w:autoSpaceDE w:val="0"/>
              <w:autoSpaceDN w:val="0"/>
              <w:adjustRightInd w:val="0"/>
              <w:jc w:val="both"/>
              <w:rPr>
                <w:color w:val="000000" w:themeColor="text1"/>
                <w:sz w:val="16"/>
                <w:szCs w:val="16"/>
              </w:rPr>
            </w:pPr>
          </w:p>
          <w:p w14:paraId="4D2C33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1600</w:t>
            </w:r>
          </w:p>
        </w:tc>
        <w:tc>
          <w:tcPr>
            <w:tcW w:w="1245" w:type="dxa"/>
          </w:tcPr>
          <w:p w14:paraId="33BF74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45" w:type="dxa"/>
          </w:tcPr>
          <w:p w14:paraId="52D357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p w14:paraId="10C75E97" w14:textId="77777777" w:rsidR="00D4105E" w:rsidRPr="00E14102" w:rsidRDefault="00D4105E" w:rsidP="00E14102">
            <w:pPr>
              <w:autoSpaceDE w:val="0"/>
              <w:autoSpaceDN w:val="0"/>
              <w:adjustRightInd w:val="0"/>
              <w:jc w:val="both"/>
              <w:rPr>
                <w:color w:val="000000" w:themeColor="text1"/>
                <w:sz w:val="16"/>
                <w:szCs w:val="16"/>
              </w:rPr>
            </w:pPr>
          </w:p>
          <w:p w14:paraId="4B8471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1245" w:type="dxa"/>
          </w:tcPr>
          <w:p w14:paraId="33086F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1300</w:t>
            </w:r>
          </w:p>
        </w:tc>
        <w:tc>
          <w:tcPr>
            <w:tcW w:w="1245" w:type="dxa"/>
          </w:tcPr>
          <w:p w14:paraId="65AC5F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45" w:type="dxa"/>
          </w:tcPr>
          <w:p w14:paraId="20D0AF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p w14:paraId="00F2CA4B" w14:textId="77777777" w:rsidR="00D4105E" w:rsidRPr="00E14102" w:rsidRDefault="00D4105E" w:rsidP="00E14102">
            <w:pPr>
              <w:autoSpaceDE w:val="0"/>
              <w:autoSpaceDN w:val="0"/>
              <w:adjustRightInd w:val="0"/>
              <w:jc w:val="both"/>
              <w:rPr>
                <w:color w:val="000000" w:themeColor="text1"/>
                <w:sz w:val="16"/>
                <w:szCs w:val="16"/>
              </w:rPr>
            </w:pPr>
          </w:p>
          <w:p w14:paraId="7D4750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r>
      <w:tr w:rsidR="00E3599D" w:rsidRPr="00E14102" w14:paraId="57740ABB" w14:textId="77777777">
        <w:tc>
          <w:tcPr>
            <w:tcW w:w="1245" w:type="dxa"/>
          </w:tcPr>
          <w:p w14:paraId="31F421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Практический потолок, м</w:t>
            </w:r>
          </w:p>
        </w:tc>
        <w:tc>
          <w:tcPr>
            <w:tcW w:w="1245" w:type="dxa"/>
          </w:tcPr>
          <w:p w14:paraId="7DC5D7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245" w:type="dxa"/>
          </w:tcPr>
          <w:p w14:paraId="29E0FE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3400</w:t>
            </w:r>
          </w:p>
        </w:tc>
        <w:tc>
          <w:tcPr>
            <w:tcW w:w="1245" w:type="dxa"/>
          </w:tcPr>
          <w:p w14:paraId="378061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2750</w:t>
            </w:r>
          </w:p>
        </w:tc>
        <w:tc>
          <w:tcPr>
            <w:tcW w:w="1245" w:type="dxa"/>
          </w:tcPr>
          <w:p w14:paraId="5328ED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6000</w:t>
            </w:r>
          </w:p>
        </w:tc>
        <w:tc>
          <w:tcPr>
            <w:tcW w:w="1245" w:type="dxa"/>
          </w:tcPr>
          <w:p w14:paraId="643B63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6000</w:t>
            </w:r>
          </w:p>
        </w:tc>
        <w:tc>
          <w:tcPr>
            <w:tcW w:w="1245" w:type="dxa"/>
          </w:tcPr>
          <w:p w14:paraId="555982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4180</w:t>
            </w:r>
          </w:p>
        </w:tc>
        <w:tc>
          <w:tcPr>
            <w:tcW w:w="1245" w:type="dxa"/>
          </w:tcPr>
          <w:p w14:paraId="65FAF1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45" w:type="dxa"/>
          </w:tcPr>
          <w:p w14:paraId="671624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6000</w:t>
            </w:r>
          </w:p>
        </w:tc>
      </w:tr>
      <w:tr w:rsidR="00E3599D" w:rsidRPr="00E14102" w14:paraId="1F788753" w14:textId="77777777">
        <w:tc>
          <w:tcPr>
            <w:tcW w:w="1245" w:type="dxa"/>
          </w:tcPr>
          <w:p w14:paraId="19CC89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w:t>
            </w:r>
          </w:p>
        </w:tc>
        <w:tc>
          <w:tcPr>
            <w:tcW w:w="1245" w:type="dxa"/>
          </w:tcPr>
          <w:p w14:paraId="56C36D48"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22443A13"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2E74B95B"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4EF7925A"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0AB66CAD"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1373E47E"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60117FBA" w14:textId="77777777" w:rsidR="00D4105E" w:rsidRPr="00E14102" w:rsidRDefault="00D4105E" w:rsidP="00E14102">
            <w:pPr>
              <w:autoSpaceDE w:val="0"/>
              <w:autoSpaceDN w:val="0"/>
              <w:adjustRightInd w:val="0"/>
              <w:jc w:val="both"/>
              <w:rPr>
                <w:color w:val="000000" w:themeColor="text1"/>
                <w:sz w:val="16"/>
                <w:szCs w:val="16"/>
              </w:rPr>
            </w:pPr>
          </w:p>
        </w:tc>
        <w:tc>
          <w:tcPr>
            <w:tcW w:w="1245" w:type="dxa"/>
          </w:tcPr>
          <w:p w14:paraId="1A5DE72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0A7FE60" w14:textId="77777777">
        <w:tc>
          <w:tcPr>
            <w:tcW w:w="1245" w:type="dxa"/>
            <w:tcBorders>
              <w:bottom w:val="single" w:sz="12" w:space="0" w:color="auto"/>
            </w:tcBorders>
          </w:tcPr>
          <w:p w14:paraId="6DEC46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земли, км/ч на высоте, км/ч</w:t>
            </w:r>
          </w:p>
        </w:tc>
        <w:tc>
          <w:tcPr>
            <w:tcW w:w="1245" w:type="dxa"/>
            <w:tcBorders>
              <w:bottom w:val="single" w:sz="12" w:space="0" w:color="auto"/>
            </w:tcBorders>
          </w:tcPr>
          <w:p w14:paraId="1C605E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1245" w:type="dxa"/>
            <w:tcBorders>
              <w:bottom w:val="single" w:sz="12" w:space="0" w:color="auto"/>
            </w:tcBorders>
          </w:tcPr>
          <w:p w14:paraId="381BCD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208</w:t>
            </w:r>
          </w:p>
        </w:tc>
        <w:tc>
          <w:tcPr>
            <w:tcW w:w="1245" w:type="dxa"/>
            <w:tcBorders>
              <w:bottom w:val="single" w:sz="12" w:space="0" w:color="auto"/>
            </w:tcBorders>
          </w:tcPr>
          <w:p w14:paraId="1D9E5D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p w14:paraId="5F7D9E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187,5</w:t>
            </w:r>
          </w:p>
        </w:tc>
        <w:tc>
          <w:tcPr>
            <w:tcW w:w="1245" w:type="dxa"/>
            <w:tcBorders>
              <w:bottom w:val="single" w:sz="12" w:space="0" w:color="auto"/>
            </w:tcBorders>
          </w:tcPr>
          <w:p w14:paraId="713591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260</w:t>
            </w:r>
          </w:p>
        </w:tc>
        <w:tc>
          <w:tcPr>
            <w:tcW w:w="1245" w:type="dxa"/>
            <w:tcBorders>
              <w:bottom w:val="single" w:sz="12" w:space="0" w:color="auto"/>
            </w:tcBorders>
          </w:tcPr>
          <w:p w14:paraId="2F112E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w:t>
            </w:r>
          </w:p>
        </w:tc>
        <w:tc>
          <w:tcPr>
            <w:tcW w:w="1245" w:type="dxa"/>
            <w:tcBorders>
              <w:bottom w:val="single" w:sz="12" w:space="0" w:color="auto"/>
            </w:tcBorders>
          </w:tcPr>
          <w:p w14:paraId="4141C6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215</w:t>
            </w:r>
          </w:p>
          <w:p w14:paraId="1378B4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192</w:t>
            </w:r>
          </w:p>
        </w:tc>
        <w:tc>
          <w:tcPr>
            <w:tcW w:w="1245" w:type="dxa"/>
            <w:tcBorders>
              <w:bottom w:val="single" w:sz="12" w:space="0" w:color="auto"/>
            </w:tcBorders>
          </w:tcPr>
          <w:p w14:paraId="18BD2C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235</w:t>
            </w:r>
          </w:p>
        </w:tc>
        <w:tc>
          <w:tcPr>
            <w:tcW w:w="1245" w:type="dxa"/>
            <w:tcBorders>
              <w:bottom w:val="single" w:sz="12" w:space="0" w:color="auto"/>
            </w:tcBorders>
          </w:tcPr>
          <w:p w14:paraId="2C690E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w:t>
            </w:r>
          </w:p>
          <w:p w14:paraId="556B4E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275</w:t>
            </w:r>
          </w:p>
        </w:tc>
      </w:tr>
    </w:tbl>
    <w:p w14:paraId="17D65B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(12024).</w:t>
      </w:r>
    </w:p>
    <w:p w14:paraId="15907B25" w14:textId="77777777" w:rsidR="00D4105E" w:rsidRPr="00E14102" w:rsidRDefault="00D4105E" w:rsidP="00E14102">
      <w:pPr>
        <w:autoSpaceDE w:val="0"/>
        <w:autoSpaceDN w:val="0"/>
        <w:adjustRightInd w:val="0"/>
        <w:jc w:val="both"/>
        <w:rPr>
          <w:color w:val="000000" w:themeColor="text1"/>
          <w:sz w:val="16"/>
          <w:szCs w:val="16"/>
        </w:rPr>
      </w:pPr>
    </w:p>
    <w:p w14:paraId="62D106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на СБ (АНТ-40) М-100 был предъявлен на второй этап гос. испытаний (80,235).</w:t>
      </w:r>
    </w:p>
    <w:p w14:paraId="07E77825" w14:textId="77777777" w:rsidR="00D4105E" w:rsidRPr="00E14102" w:rsidRDefault="00D4105E" w:rsidP="00E14102">
      <w:pPr>
        <w:autoSpaceDE w:val="0"/>
        <w:autoSpaceDN w:val="0"/>
        <w:adjustRightInd w:val="0"/>
        <w:jc w:val="both"/>
        <w:rPr>
          <w:color w:val="000000" w:themeColor="text1"/>
          <w:sz w:val="16"/>
          <w:szCs w:val="16"/>
        </w:rPr>
      </w:pPr>
    </w:p>
    <w:p w14:paraId="55F8DD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ЦК ВКП(б) и Правительство уделяли СБ (АНТ-40) много внимания. Среди вопросов "О результатах испытаний самолета СБ", "О мероприятиях по устранению дефектов в конструкции СБ", "Об ускорении доводки СБ" (66,152).</w:t>
      </w:r>
    </w:p>
    <w:p w14:paraId="4767FAE3" w14:textId="77777777" w:rsidR="00D4105E" w:rsidRPr="00E14102" w:rsidRDefault="00D4105E" w:rsidP="00E14102">
      <w:pPr>
        <w:autoSpaceDE w:val="0"/>
        <w:autoSpaceDN w:val="0"/>
        <w:adjustRightInd w:val="0"/>
        <w:jc w:val="both"/>
        <w:rPr>
          <w:color w:val="000000" w:themeColor="text1"/>
          <w:sz w:val="16"/>
          <w:szCs w:val="16"/>
        </w:rPr>
      </w:pPr>
    </w:p>
    <w:p w14:paraId="7B10AC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в НИИ ВВС самолет СБ прошел госиспытания (7717, 16).</w:t>
      </w:r>
    </w:p>
    <w:p w14:paraId="49A77940" w14:textId="77777777" w:rsidR="00D4105E" w:rsidRPr="00E14102" w:rsidRDefault="00D4105E" w:rsidP="00E14102">
      <w:pPr>
        <w:autoSpaceDE w:val="0"/>
        <w:autoSpaceDN w:val="0"/>
        <w:adjustRightInd w:val="0"/>
        <w:jc w:val="both"/>
        <w:rPr>
          <w:color w:val="000000" w:themeColor="text1"/>
          <w:sz w:val="16"/>
          <w:szCs w:val="16"/>
        </w:rPr>
      </w:pPr>
    </w:p>
    <w:p w14:paraId="38E3666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 октябре 1935 года Базилевич писал письмо № 1899/ко в КПК Березину</w:t>
      </w:r>
    </w:p>
    <w:p w14:paraId="06DBD18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Согласно резолюции Молотова, препровождаю доклад Алксниса “О результатах госиспытаний Р5-М34Н (Р-ЗЕТ) постройки завода № 1 и срыве плана заказов и плана перевооружения 1935 года по легким бомбардировщикам и разведчикам”, представленный Гамарником.</w:t>
      </w:r>
    </w:p>
    <w:p w14:paraId="3A01577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 № 376307сс/о НКО и № 003909 УВС – на 3-х листах (3475,145).</w:t>
      </w:r>
    </w:p>
    <w:p w14:paraId="608672DC"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20F145F4" w14:textId="77777777" w:rsidR="00647F1E" w:rsidRPr="00E14102" w:rsidRDefault="00647F1E" w:rsidP="00E14102">
      <w:pPr>
        <w:jc w:val="both"/>
        <w:rPr>
          <w:color w:val="000000" w:themeColor="text1"/>
          <w:sz w:val="16"/>
          <w:szCs w:val="16"/>
        </w:rPr>
      </w:pPr>
      <w:r w:rsidRPr="00E14102">
        <w:rPr>
          <w:color w:val="000000" w:themeColor="text1"/>
          <w:sz w:val="16"/>
          <w:szCs w:val="16"/>
        </w:rPr>
        <w:t>С октября 1935 109-й эскадрильей 256-й авиабригады проводились войсковые испытания И-15. Новую технику она получила ещё в июне, но машины имели много дефектов, которые устраняли бригады с завода. Пришлось на всех истребителях менять маслобаки и бензонасосы. Работы шли всё лето, но к осени так и не были завершены. Командование части сообщало, что в результате переделок внешний вид самолётов «сильно испорчен», что скажется на лётных данных. Первые же полёты выявили деформацию стабилизатора, самопроизвольную перетечку топлива через дренаж при выполнении разворотов, расшатывание крепления капотов, выброс масла. Обнаружилось даже такое: «Лётный состав, сбрасывая ремни, пробивает задний кок фюзеляжа» (гаргрот обтягивался полотном). Были случаи самопроизвольного включения тормозов колёс на посадке. Стрелковый прицел в полёте трясся. Вибрации влияли и на приборы. В сообщении о ходе испытаний указывалось: «Компас КИ-1 совершенно не годен». Лётчики жаловались на тесноту и неудобство кабины. Машины поступали недоукомплектованными. Например, отсутствовало кислородное оборудование, что не позволяло подниматься выше 6000 м.</w:t>
      </w:r>
    </w:p>
    <w:p w14:paraId="631567EC" w14:textId="77777777" w:rsidR="00647F1E" w:rsidRPr="00E14102" w:rsidRDefault="00647F1E" w:rsidP="00E14102">
      <w:pPr>
        <w:jc w:val="both"/>
        <w:rPr>
          <w:color w:val="000000" w:themeColor="text1"/>
          <w:sz w:val="16"/>
          <w:szCs w:val="16"/>
        </w:rPr>
      </w:pPr>
      <w:r w:rsidRPr="00E14102">
        <w:rPr>
          <w:color w:val="000000" w:themeColor="text1"/>
          <w:sz w:val="16"/>
          <w:szCs w:val="16"/>
        </w:rPr>
        <w:t>К декабрю истребители ещё не были боеспособны, специалисты только монтировали синхронизаторы и пристреливали пулемёты. К концу года удалось пройти программу лишь первой части испытаний. Большинство И-15 налетало примерно по 20 ч, некоторые - до 35 ч. Общая оценка при этом была вполне положительна: «Лётному составу в общем машина нравится, и он летает с большой охотой» (12261).</w:t>
      </w:r>
    </w:p>
    <w:p w14:paraId="4740B11C" w14:textId="77777777" w:rsidR="00647F1E" w:rsidRPr="00E14102" w:rsidRDefault="00647F1E" w:rsidP="00E14102">
      <w:pPr>
        <w:jc w:val="both"/>
        <w:rPr>
          <w:color w:val="000000" w:themeColor="text1"/>
          <w:sz w:val="16"/>
          <w:szCs w:val="16"/>
        </w:rPr>
      </w:pPr>
    </w:p>
    <w:p w14:paraId="17D759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октября 1935 по ноябрь проходили гос. испытания И-16 тип 4 21 завода (80,129).</w:t>
      </w:r>
    </w:p>
    <w:p w14:paraId="3BA3F815" w14:textId="77777777" w:rsidR="00D4105E" w:rsidRPr="00E14102" w:rsidRDefault="00D4105E" w:rsidP="00E14102">
      <w:pPr>
        <w:autoSpaceDE w:val="0"/>
        <w:autoSpaceDN w:val="0"/>
        <w:adjustRightInd w:val="0"/>
        <w:jc w:val="both"/>
        <w:rPr>
          <w:color w:val="000000" w:themeColor="text1"/>
          <w:sz w:val="16"/>
          <w:szCs w:val="16"/>
        </w:rPr>
      </w:pPr>
    </w:p>
    <w:p w14:paraId="1C7107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 в НИИ ВВС проходили испытания И-16 №4217. От завода летал летчик Алтынов, от НИИ ВВС испытатель Стсфановский.</w:t>
      </w:r>
    </w:p>
    <w:p w14:paraId="374563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1934 г. в период "шассийных" проблем, но предложению Боровкова и Фролова построили И-16 №4217 с неубираемыми колесами, заключенными в широкие обтекатели ("штаны"). К достоинствам этого варианта относили несложную установку обтекателей в строевых частях и возможность удачного сочетания в комплекте с неубираемыми лыжами. Самолет пытались сдать военной приемке с первой партией из 15 самолетов в счет головой программы, однако неожиданно машиной заинтересовались и рекомендовали направить се для прохождения госиспытаний.</w:t>
      </w:r>
    </w:p>
    <w:p w14:paraId="7BFF1E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Неубираемое шасси на И-16 получило положительную оценку. Самолет в oштанах" имел заметно более высокую устойчивость на фигурах при выполнении пилотажа, кроме того, налицо было снижение полетного веса. В выводах по результатам испытаний указывалось, что выпускать самолеты в таком виде целесообразно. Начальник ВВС Я.Алкснис рекомендовал машину доводить и в дальнейшем испытать в строевых частях</w:t>
      </w:r>
    </w:p>
    <w:p w14:paraId="0552F6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Впрочем, в 1935 г. многие упомянутые проблемы благополучно разрешились и в серии строились только машины с убираемым шасси (12015).</w:t>
      </w:r>
    </w:p>
    <w:p w14:paraId="5AC9EB9F" w14:textId="77777777" w:rsidR="00D4105E" w:rsidRPr="00E14102" w:rsidRDefault="00D4105E" w:rsidP="00E14102">
      <w:pPr>
        <w:autoSpaceDE w:val="0"/>
        <w:autoSpaceDN w:val="0"/>
        <w:adjustRightInd w:val="0"/>
        <w:jc w:val="both"/>
        <w:rPr>
          <w:color w:val="000000" w:themeColor="text1"/>
          <w:sz w:val="16"/>
          <w:szCs w:val="16"/>
        </w:rPr>
      </w:pPr>
    </w:p>
    <w:p w14:paraId="0F610F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 один из самолетов И-16 был представлен в центре советской экспозиции на международной авиационной выставке в Милане. Но зарубежный дебют И-16, в то время являвшегося одним из самых скоростных истребителей мира, остался практически незамеченным. Иностранные специалисты и посетители выставки со значительно большим интересом разглядывали привычные истребители-бипланы с их стойками и многочисленными расчалками, чем необычного вида моноплан с коротким фюзеляжем и небольшими крыльями, так не похожий на самолеты того времени. Известный английский авиационный журнал “Флайт”, помещая отчет о выставке в Милане, даже не упомянул о самолете И-16 и посвятил свои страницы описанию окутанного расчалками двухстоечного полутораплана фирмы Фиат - истребителя CR.32, несмотря на полное отсутствие оригинальности в конструкции этой машины (9528).</w:t>
      </w:r>
    </w:p>
    <w:p w14:paraId="199D5C93" w14:textId="77777777" w:rsidR="00D4105E" w:rsidRPr="00E14102" w:rsidRDefault="00D4105E" w:rsidP="00E14102">
      <w:pPr>
        <w:autoSpaceDE w:val="0"/>
        <w:autoSpaceDN w:val="0"/>
        <w:adjustRightInd w:val="0"/>
        <w:jc w:val="both"/>
        <w:rPr>
          <w:color w:val="000000" w:themeColor="text1"/>
          <w:sz w:val="16"/>
          <w:szCs w:val="16"/>
        </w:rPr>
      </w:pPr>
    </w:p>
    <w:p w14:paraId="44F545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октября 1935 г. Н.Н.Поликарпов в инициативном порядке работал над проектом еще одного варианта ис</w:t>
      </w:r>
      <w:r w:rsidRPr="00E14102">
        <w:rPr>
          <w:color w:val="000000" w:themeColor="text1"/>
          <w:sz w:val="16"/>
          <w:szCs w:val="16"/>
        </w:rPr>
        <w:softHyphen/>
        <w:t>требителя И-18 - перехватчика ЦКБ-43 (встречалось и обозначение И-18бис). От ЦКБ-33 он отличался мень</w:t>
      </w:r>
      <w:r w:rsidRPr="00E14102">
        <w:rPr>
          <w:color w:val="000000" w:themeColor="text1"/>
          <w:sz w:val="16"/>
          <w:szCs w:val="16"/>
        </w:rPr>
        <w:softHyphen/>
        <w:t>шей площадью крыла и, соответственно, худшей мане</w:t>
      </w:r>
      <w:r w:rsidRPr="00E14102">
        <w:rPr>
          <w:color w:val="000000" w:themeColor="text1"/>
          <w:sz w:val="16"/>
          <w:szCs w:val="16"/>
        </w:rPr>
        <w:softHyphen/>
        <w:t>вренностью, но большей скоростью. Вооружение самолета состояло из двух пушек ШВАК в крыле. Ввиду близости его конструкции к ЦКБ-33, выполнялся не де</w:t>
      </w:r>
      <w:r w:rsidRPr="00E14102">
        <w:rPr>
          <w:color w:val="000000" w:themeColor="text1"/>
          <w:sz w:val="16"/>
          <w:szCs w:val="16"/>
        </w:rPr>
        <w:softHyphen/>
        <w:t>тально разработанный эскизный проект, а только об</w:t>
      </w:r>
      <w:r w:rsidRPr="00E14102">
        <w:rPr>
          <w:color w:val="000000" w:themeColor="text1"/>
          <w:sz w:val="16"/>
          <w:szCs w:val="16"/>
        </w:rPr>
        <w:softHyphen/>
        <w:t>щий. Его завершили в феврале 1936 г. Размах крыла стал равным 8,3 м, площадь крыла 14 м</w:t>
      </w:r>
      <w:r w:rsidRPr="00E14102">
        <w:rPr>
          <w:color w:val="000000" w:themeColor="text1"/>
          <w:sz w:val="16"/>
          <w:szCs w:val="16"/>
          <w:vertAlign w:val="superscript"/>
        </w:rPr>
        <w:t>2</w:t>
      </w:r>
      <w:r w:rsidRPr="00E14102">
        <w:rPr>
          <w:color w:val="000000" w:themeColor="text1"/>
          <w:sz w:val="16"/>
          <w:szCs w:val="16"/>
        </w:rPr>
        <w:t>, длина самоле</w:t>
      </w:r>
      <w:r w:rsidRPr="00E14102">
        <w:rPr>
          <w:color w:val="000000" w:themeColor="text1"/>
          <w:sz w:val="16"/>
          <w:szCs w:val="16"/>
        </w:rPr>
        <w:softHyphen/>
        <w:t>та 7,45 м (за счет более длинного кока). При полетном весе 1863-</w:t>
      </w:r>
      <w:r w:rsidRPr="00E14102">
        <w:rPr>
          <w:color w:val="000000" w:themeColor="text1"/>
          <w:sz w:val="16"/>
          <w:szCs w:val="16"/>
        </w:rPr>
        <w:lastRenderedPageBreak/>
        <w:t>1925 кг (вес пустого 1409 кг) ЦКБ-43 мог раз</w:t>
      </w:r>
      <w:r w:rsidRPr="00E14102">
        <w:rPr>
          <w:color w:val="000000" w:themeColor="text1"/>
          <w:sz w:val="16"/>
          <w:szCs w:val="16"/>
        </w:rPr>
        <w:softHyphen/>
        <w:t>вивать у земли скорость 450 км/ч, а на расчетной высо</w:t>
      </w:r>
      <w:r w:rsidRPr="00E14102">
        <w:rPr>
          <w:color w:val="000000" w:themeColor="text1"/>
          <w:sz w:val="16"/>
          <w:szCs w:val="16"/>
        </w:rPr>
        <w:softHyphen/>
        <w:t>те 4300 м - 520 км/ч. Потолок 9600 м. В перегрузку допускалась подвеска 200 кг бомб. Окончание выхода рабочих чертежей планировалось к первому апреля, а начало заводских испытаний наме</w:t>
      </w:r>
      <w:r w:rsidRPr="00E14102">
        <w:rPr>
          <w:color w:val="000000" w:themeColor="text1"/>
          <w:sz w:val="16"/>
          <w:szCs w:val="16"/>
        </w:rPr>
        <w:softHyphen/>
        <w:t>чалось на 1 июля 1936 г. (10667).</w:t>
      </w:r>
    </w:p>
    <w:p w14:paraId="10790285" w14:textId="77777777" w:rsidR="00D4105E" w:rsidRPr="00E14102" w:rsidRDefault="00D4105E" w:rsidP="00E14102">
      <w:pPr>
        <w:autoSpaceDE w:val="0"/>
        <w:autoSpaceDN w:val="0"/>
        <w:adjustRightInd w:val="0"/>
        <w:jc w:val="both"/>
        <w:rPr>
          <w:color w:val="000000" w:themeColor="text1"/>
          <w:sz w:val="16"/>
          <w:szCs w:val="16"/>
        </w:rPr>
      </w:pPr>
    </w:p>
    <w:p w14:paraId="0D625DD2" w14:textId="77777777" w:rsidR="00647F1E" w:rsidRPr="00E14102" w:rsidRDefault="00647F1E" w:rsidP="00E14102">
      <w:pPr>
        <w:jc w:val="both"/>
        <w:rPr>
          <w:color w:val="000000" w:themeColor="text1"/>
          <w:sz w:val="16"/>
          <w:szCs w:val="16"/>
        </w:rPr>
      </w:pPr>
      <w:r w:rsidRPr="00E14102">
        <w:rPr>
          <w:color w:val="000000" w:themeColor="text1"/>
          <w:sz w:val="16"/>
          <w:szCs w:val="16"/>
        </w:rPr>
        <w:t>В октябре 1935 г. два разоружённых Р-6 продали могущественному Дальстрою НКВД, имевшему собственный авиаотряд. В марте 1936 г. один из этих самолётов, пилотируемый Д.Н. Тарасовым, на перелёте из Хабаровска в Магадан заблудился в тумане и совершил вынужденную посадку, сломав одну лыжу. Экипажу удалось дать сигнал по радио. Спасатели добрались сюда только через девять дней. Лыжу сняли и на собаках повезли на ремонт в ближайший посёлок. Вернули её через шесть дней, доставив заодно горючее. Восемь дней ушло на монтаж лыжи и расчистку взлётной полосы. От момента вылета из Хабаровска до посадки в Магадане прошёл месяц! (12264).</w:t>
      </w:r>
    </w:p>
    <w:p w14:paraId="11B5E8EE" w14:textId="77777777" w:rsidR="00647F1E" w:rsidRPr="00E14102" w:rsidRDefault="00647F1E" w:rsidP="00E14102">
      <w:pPr>
        <w:jc w:val="both"/>
        <w:rPr>
          <w:color w:val="000000" w:themeColor="text1"/>
          <w:sz w:val="16"/>
          <w:szCs w:val="16"/>
        </w:rPr>
      </w:pPr>
    </w:p>
    <w:p w14:paraId="0AB5A95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октябре 1935 года Начальник и военком в/ч № 1127 Бажанов утвердил Отчет по гос. испытаниям самолета ВВА-1 с мотором М-11 (6821).</w:t>
      </w:r>
    </w:p>
    <w:p w14:paraId="762D140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3A66A36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 – куликов</w:t>
      </w:r>
    </w:p>
    <w:p w14:paraId="0E97129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летчик – Калилец</w:t>
      </w:r>
    </w:p>
    <w:p w14:paraId="54AFF2F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7D096AC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летных данных самолета.</w:t>
      </w:r>
    </w:p>
    <w:p w14:paraId="6D51A40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полетно-эксплуатационных свойств самолета.</w:t>
      </w:r>
    </w:p>
    <w:p w14:paraId="700EEE5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7DB8B2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 своим летно-эксплоатационным данным самолет ВВА-1 интереса не представляет (6821).</w:t>
      </w:r>
    </w:p>
    <w:p w14:paraId="0C762C8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2C967329" w14:textId="77777777" w:rsidR="008F77C6" w:rsidRPr="00E14102" w:rsidRDefault="008F77C6" w:rsidP="00E14102">
      <w:pPr>
        <w:pStyle w:val="rtejustify"/>
        <w:spacing w:before="0" w:after="0"/>
        <w:rPr>
          <w:color w:val="000000" w:themeColor="text1"/>
          <w:sz w:val="16"/>
          <w:szCs w:val="16"/>
        </w:rPr>
      </w:pPr>
      <w:r w:rsidRPr="00E14102">
        <w:rPr>
          <w:color w:val="000000" w:themeColor="text1"/>
          <w:sz w:val="16"/>
          <w:szCs w:val="16"/>
        </w:rPr>
        <w:t>В октябре месяце 1935 г. опытный образец штурмовика прошел государственные испытания. Несмотря на то, что еще нет серийного выпуска штурмовика ДИ</w:t>
      </w:r>
      <w:r w:rsidRPr="00E14102">
        <w:rPr>
          <w:color w:val="000000" w:themeColor="text1"/>
          <w:sz w:val="16"/>
          <w:szCs w:val="16"/>
        </w:rPr>
        <w:noBreakHyphen/>
        <w:t>6 имеются настроения вовсе отказаться от его производства (15405).</w:t>
      </w:r>
    </w:p>
    <w:p w14:paraId="22CCB002" w14:textId="77777777" w:rsidR="008F77C6" w:rsidRPr="00E14102" w:rsidRDefault="008F77C6" w:rsidP="00E14102">
      <w:pPr>
        <w:pStyle w:val="rtejustify"/>
        <w:spacing w:before="0" w:after="0"/>
        <w:rPr>
          <w:color w:val="000000" w:themeColor="text1"/>
          <w:sz w:val="16"/>
          <w:szCs w:val="16"/>
        </w:rPr>
      </w:pPr>
    </w:p>
    <w:p w14:paraId="0C44C933" w14:textId="77777777" w:rsidR="00BF0408" w:rsidRPr="00E14102" w:rsidRDefault="00BF0408" w:rsidP="00E14102">
      <w:pPr>
        <w:jc w:val="both"/>
        <w:rPr>
          <w:color w:val="0070C0"/>
          <w:sz w:val="16"/>
          <w:szCs w:val="16"/>
        </w:rPr>
      </w:pPr>
      <w:r w:rsidRPr="00E14102">
        <w:rPr>
          <w:color w:val="0070C0"/>
          <w:sz w:val="16"/>
          <w:szCs w:val="16"/>
        </w:rPr>
        <w:t>В октябре 1935 г. в справке, подготовленной и подписанной директором завода № 35 Филатовым и начальни</w:t>
      </w:r>
      <w:r w:rsidRPr="00E14102">
        <w:rPr>
          <w:color w:val="0070C0"/>
          <w:sz w:val="16"/>
          <w:szCs w:val="16"/>
        </w:rPr>
        <w:softHyphen/>
        <w:t>ком БОК Чижевским, в частности, говорилось: «произ</w:t>
      </w:r>
      <w:r w:rsidRPr="00E14102">
        <w:rPr>
          <w:color w:val="0070C0"/>
          <w:sz w:val="16"/>
          <w:szCs w:val="16"/>
        </w:rPr>
        <w:softHyphen/>
        <w:t>водственная база (цех 08) слабая, кадры слабые». Тем не менее, конструкторское бюро вело в этот период активные, плодотворные разработки и других экспериментальных объектов.</w:t>
      </w:r>
    </w:p>
    <w:p w14:paraId="45E74F37" w14:textId="77777777" w:rsidR="00BF0408" w:rsidRPr="00E14102" w:rsidRDefault="00BF0408" w:rsidP="00E14102">
      <w:pPr>
        <w:jc w:val="both"/>
        <w:rPr>
          <w:color w:val="0070C0"/>
          <w:sz w:val="16"/>
          <w:szCs w:val="16"/>
        </w:rPr>
      </w:pPr>
      <w:r w:rsidRPr="00E14102">
        <w:rPr>
          <w:color w:val="0070C0"/>
          <w:sz w:val="16"/>
          <w:szCs w:val="16"/>
        </w:rPr>
        <w:t>Перечень работ, проведенных в БОК в период 1935-36 гг. был следующим:</w:t>
      </w:r>
    </w:p>
    <w:p w14:paraId="55D6D8D4" w14:textId="77777777" w:rsidR="00BF0408" w:rsidRPr="00E14102" w:rsidRDefault="00BF0408" w:rsidP="00E14102">
      <w:pPr>
        <w:jc w:val="both"/>
        <w:rPr>
          <w:color w:val="0070C0"/>
          <w:sz w:val="16"/>
          <w:szCs w:val="16"/>
        </w:rPr>
      </w:pPr>
      <w:r w:rsidRPr="00E14102">
        <w:rPr>
          <w:color w:val="0070C0"/>
          <w:sz w:val="16"/>
          <w:szCs w:val="16"/>
        </w:rPr>
        <w:t>БОК-1. Доводки и летные испытания.</w:t>
      </w:r>
    </w:p>
    <w:p w14:paraId="2E4933C7" w14:textId="77777777" w:rsidR="00BF0408" w:rsidRPr="00E14102" w:rsidRDefault="00BF0408" w:rsidP="00E14102">
      <w:pPr>
        <w:jc w:val="both"/>
        <w:rPr>
          <w:color w:val="0070C0"/>
          <w:sz w:val="16"/>
          <w:szCs w:val="16"/>
        </w:rPr>
      </w:pPr>
      <w:r w:rsidRPr="00E14102">
        <w:rPr>
          <w:color w:val="0070C0"/>
          <w:sz w:val="16"/>
          <w:szCs w:val="16"/>
        </w:rPr>
        <w:t>БОК-2 (ЦКБ-5). Небольшой самолет с разрезным кры</w:t>
      </w:r>
      <w:r w:rsidRPr="00E14102">
        <w:rPr>
          <w:color w:val="0070C0"/>
          <w:sz w:val="16"/>
          <w:szCs w:val="16"/>
        </w:rPr>
        <w:softHyphen/>
        <w:t>лом конструкции С. Кричевского, оснащен двигателем М-11, проходил испытания в 1935-36 гг.</w:t>
      </w:r>
    </w:p>
    <w:p w14:paraId="49542F4F" w14:textId="77777777" w:rsidR="00BF0408" w:rsidRPr="00E14102" w:rsidRDefault="00BF0408" w:rsidP="00E14102">
      <w:pPr>
        <w:jc w:val="both"/>
        <w:rPr>
          <w:color w:val="0070C0"/>
          <w:sz w:val="16"/>
          <w:szCs w:val="16"/>
        </w:rPr>
      </w:pPr>
      <w:r w:rsidRPr="00E14102">
        <w:rPr>
          <w:color w:val="0070C0"/>
          <w:sz w:val="16"/>
          <w:szCs w:val="16"/>
        </w:rPr>
        <w:t>БОК-3 (ЦКБ-9). Начинал строиться как самолет для местных воздушных линий, или исполкомовский самолет (ИС). Достраивался в Смоленске на авиазаводе №35 до 1936 г. под обозначением БОК-3. Имел измененный внешний облик по сравнению с первоначальным проек</w:t>
      </w:r>
      <w:r w:rsidRPr="00E14102">
        <w:rPr>
          <w:color w:val="0070C0"/>
          <w:sz w:val="16"/>
          <w:szCs w:val="16"/>
        </w:rPr>
        <w:softHyphen/>
        <w:t>том. Двигатель воздушного охлаждения М-48, размах крыла 11,0 м, длина 7,10 м.</w:t>
      </w:r>
    </w:p>
    <w:p w14:paraId="3DA7D79F" w14:textId="77777777" w:rsidR="00BF0408" w:rsidRPr="00E14102" w:rsidRDefault="00BF0408" w:rsidP="00E14102">
      <w:pPr>
        <w:jc w:val="both"/>
        <w:rPr>
          <w:color w:val="0070C0"/>
          <w:sz w:val="16"/>
          <w:szCs w:val="16"/>
        </w:rPr>
      </w:pPr>
      <w:r w:rsidRPr="00E14102">
        <w:rPr>
          <w:color w:val="0070C0"/>
          <w:sz w:val="16"/>
          <w:szCs w:val="16"/>
        </w:rPr>
        <w:t>БОК-4. Данные не обнаружены.</w:t>
      </w:r>
    </w:p>
    <w:p w14:paraId="6B07B425" w14:textId="77777777" w:rsidR="00BF0408" w:rsidRPr="00E14102" w:rsidRDefault="00BF0408" w:rsidP="00E14102">
      <w:pPr>
        <w:jc w:val="both"/>
        <w:rPr>
          <w:color w:val="0070C0"/>
          <w:sz w:val="16"/>
          <w:szCs w:val="16"/>
        </w:rPr>
      </w:pPr>
      <w:r w:rsidRPr="00E14102">
        <w:rPr>
          <w:color w:val="0070C0"/>
          <w:sz w:val="16"/>
          <w:szCs w:val="16"/>
        </w:rPr>
        <w:t>БОК-5 (ЦКБ-13). Легкий самолет «летающее крыло» с двигателем М-11. В документах БОК значился как лета</w:t>
      </w:r>
      <w:r w:rsidRPr="00E14102">
        <w:rPr>
          <w:color w:val="0070C0"/>
          <w:sz w:val="16"/>
          <w:szCs w:val="16"/>
        </w:rPr>
        <w:softHyphen/>
        <w:t>ющая модель большого самолета типа бомбовоза, вы</w:t>
      </w:r>
      <w:r w:rsidRPr="00E14102">
        <w:rPr>
          <w:color w:val="0070C0"/>
          <w:sz w:val="16"/>
          <w:szCs w:val="16"/>
        </w:rPr>
        <w:softHyphen/>
        <w:t>полненного по схеме «летающее крыло» (ЛК). Проектные работы начаты в 1934 г. конструктором В.А. Чижевским. При испытаниях БОК-5 показал отличные пилотажные ка</w:t>
      </w:r>
      <w:r w:rsidRPr="00E14102">
        <w:rPr>
          <w:color w:val="0070C0"/>
          <w:sz w:val="16"/>
          <w:szCs w:val="16"/>
        </w:rPr>
        <w:softHyphen/>
        <w:t>чества, много летал и совершенствовался.</w:t>
      </w:r>
    </w:p>
    <w:p w14:paraId="2196D0ED" w14:textId="77777777" w:rsidR="00BF0408" w:rsidRPr="00E14102" w:rsidRDefault="00BF0408" w:rsidP="00E14102">
      <w:pPr>
        <w:jc w:val="both"/>
        <w:rPr>
          <w:color w:val="0070C0"/>
          <w:sz w:val="16"/>
          <w:szCs w:val="16"/>
        </w:rPr>
      </w:pPr>
      <w:r w:rsidRPr="00E14102">
        <w:rPr>
          <w:color w:val="0070C0"/>
          <w:sz w:val="16"/>
          <w:szCs w:val="16"/>
        </w:rPr>
        <w:t>БОК-6. Двухмоторный бомбардировщик, выполнен</w:t>
      </w:r>
      <w:r w:rsidRPr="00E14102">
        <w:rPr>
          <w:color w:val="0070C0"/>
          <w:sz w:val="16"/>
          <w:szCs w:val="16"/>
        </w:rPr>
        <w:softHyphen/>
        <w:t>ный по схеме «летающее крыло» с учетом проектирова</w:t>
      </w:r>
      <w:r w:rsidRPr="00E14102">
        <w:rPr>
          <w:color w:val="0070C0"/>
          <w:sz w:val="16"/>
          <w:szCs w:val="16"/>
        </w:rPr>
        <w:softHyphen/>
        <w:t>ния и испытаний БОК-5. Проект не реализован.</w:t>
      </w:r>
    </w:p>
    <w:p w14:paraId="31D9D3B7" w14:textId="77777777" w:rsidR="00BF0408" w:rsidRPr="00E14102" w:rsidRDefault="00BF0408" w:rsidP="00E14102">
      <w:pPr>
        <w:jc w:val="both"/>
        <w:rPr>
          <w:color w:val="0070C0"/>
          <w:sz w:val="16"/>
          <w:szCs w:val="16"/>
        </w:rPr>
      </w:pPr>
      <w:r w:rsidRPr="00E14102">
        <w:rPr>
          <w:color w:val="0070C0"/>
          <w:sz w:val="16"/>
          <w:szCs w:val="16"/>
        </w:rPr>
        <w:t>БОК-7. По первоначальному плану стратосферный разведчик, проектирование началось в январе 1935 г.</w:t>
      </w:r>
    </w:p>
    <w:p w14:paraId="0C9BCF20" w14:textId="77777777" w:rsidR="00BF0408" w:rsidRPr="00E14102" w:rsidRDefault="00BF0408" w:rsidP="00E14102">
      <w:pPr>
        <w:jc w:val="both"/>
        <w:rPr>
          <w:color w:val="0070C0"/>
          <w:sz w:val="16"/>
          <w:szCs w:val="16"/>
        </w:rPr>
      </w:pPr>
      <w:r w:rsidRPr="00E14102">
        <w:rPr>
          <w:color w:val="0070C0"/>
          <w:sz w:val="16"/>
          <w:szCs w:val="16"/>
        </w:rPr>
        <w:t>БОК-8. Проект гермокабины серийного самолета для обучения летного состава.</w:t>
      </w:r>
    </w:p>
    <w:p w14:paraId="5065C894" w14:textId="77777777" w:rsidR="00BF0408" w:rsidRPr="00E14102" w:rsidRDefault="00BF0408" w:rsidP="00E14102">
      <w:pPr>
        <w:jc w:val="both"/>
        <w:rPr>
          <w:color w:val="0070C0"/>
          <w:sz w:val="16"/>
          <w:szCs w:val="16"/>
        </w:rPr>
      </w:pPr>
      <w:r w:rsidRPr="00E14102">
        <w:rPr>
          <w:color w:val="0070C0"/>
          <w:sz w:val="16"/>
          <w:szCs w:val="16"/>
        </w:rPr>
        <w:t>БОК-9. Данные не обнаружены.</w:t>
      </w:r>
    </w:p>
    <w:p w14:paraId="6BCCBA51" w14:textId="77777777" w:rsidR="00BF0408" w:rsidRPr="00E14102" w:rsidRDefault="00BF0408" w:rsidP="00E14102">
      <w:pPr>
        <w:jc w:val="both"/>
        <w:rPr>
          <w:color w:val="0070C0"/>
          <w:sz w:val="16"/>
          <w:szCs w:val="16"/>
        </w:rPr>
      </w:pPr>
      <w:r w:rsidRPr="00E14102">
        <w:rPr>
          <w:color w:val="0070C0"/>
          <w:sz w:val="16"/>
          <w:szCs w:val="16"/>
        </w:rPr>
        <w:t>БОК-10. Скафандр из воздухонепроницаемой ткани, ра</w:t>
      </w:r>
      <w:r w:rsidRPr="00E14102">
        <w:rPr>
          <w:color w:val="0070C0"/>
          <w:sz w:val="16"/>
          <w:szCs w:val="16"/>
        </w:rPr>
        <w:softHyphen/>
        <w:t>боты начаты в 1935 г.</w:t>
      </w:r>
    </w:p>
    <w:p w14:paraId="2814AC7D" w14:textId="77777777" w:rsidR="00BF0408" w:rsidRPr="00E14102" w:rsidRDefault="00BF0408" w:rsidP="00E14102">
      <w:pPr>
        <w:jc w:val="both"/>
        <w:rPr>
          <w:color w:val="0070C0"/>
          <w:sz w:val="16"/>
          <w:szCs w:val="16"/>
        </w:rPr>
      </w:pPr>
      <w:r w:rsidRPr="00E14102">
        <w:rPr>
          <w:color w:val="0070C0"/>
          <w:sz w:val="16"/>
          <w:szCs w:val="16"/>
        </w:rPr>
        <w:t>БОК-11. В 1935-36 гг. гермокабина для истребителя, которая предполагалась на кооперативных началах с КБ Поликарпова. Позднее так именовался высотный са</w:t>
      </w:r>
      <w:r w:rsidRPr="00E14102">
        <w:rPr>
          <w:color w:val="0070C0"/>
          <w:sz w:val="16"/>
          <w:szCs w:val="16"/>
        </w:rPr>
        <w:softHyphen/>
        <w:t>молет, конструктивно повторяющий БОК-7.</w:t>
      </w:r>
    </w:p>
    <w:p w14:paraId="3C2A0303" w14:textId="77777777" w:rsidR="00BF0408" w:rsidRPr="00E14102" w:rsidRDefault="00BF0408" w:rsidP="00E14102">
      <w:pPr>
        <w:jc w:val="both"/>
        <w:rPr>
          <w:color w:val="0070C0"/>
          <w:sz w:val="16"/>
          <w:szCs w:val="16"/>
        </w:rPr>
      </w:pPr>
      <w:r w:rsidRPr="00E14102">
        <w:rPr>
          <w:color w:val="0070C0"/>
          <w:sz w:val="16"/>
          <w:szCs w:val="16"/>
        </w:rPr>
        <w:t>БОК-12. Двухмоторный вариант БОК-7. Научная лабо</w:t>
      </w:r>
      <w:r w:rsidRPr="00E14102">
        <w:rPr>
          <w:color w:val="0070C0"/>
          <w:sz w:val="16"/>
          <w:szCs w:val="16"/>
        </w:rPr>
        <w:softHyphen/>
        <w:t>ратория, способная заменить дорогостоящие страто</w:t>
      </w:r>
      <w:r w:rsidRPr="00E14102">
        <w:rPr>
          <w:color w:val="0070C0"/>
          <w:sz w:val="16"/>
          <w:szCs w:val="16"/>
        </w:rPr>
        <w:softHyphen/>
        <w:t>статы. В центроплане этого аппарата планировалось разместить обширную камеру для наблюдений. Проект не реализован.</w:t>
      </w:r>
    </w:p>
    <w:p w14:paraId="32C26E7F" w14:textId="77777777" w:rsidR="00BF0408" w:rsidRPr="00E14102" w:rsidRDefault="00BF0408" w:rsidP="00E14102">
      <w:pPr>
        <w:jc w:val="both"/>
        <w:rPr>
          <w:color w:val="0070C0"/>
          <w:sz w:val="16"/>
          <w:szCs w:val="16"/>
        </w:rPr>
      </w:pPr>
      <w:r w:rsidRPr="00E14102">
        <w:rPr>
          <w:color w:val="0070C0"/>
          <w:sz w:val="16"/>
          <w:szCs w:val="16"/>
        </w:rPr>
        <w:t>БОК-13. Пассажирский вариант БОК-7 на 6 пассажи</w:t>
      </w:r>
      <w:r w:rsidRPr="00E14102">
        <w:rPr>
          <w:color w:val="0070C0"/>
          <w:sz w:val="16"/>
          <w:szCs w:val="16"/>
        </w:rPr>
        <w:softHyphen/>
        <w:t>ров. Проект не реализован.</w:t>
      </w:r>
    </w:p>
    <w:p w14:paraId="6815C0E5" w14:textId="77777777" w:rsidR="00BF0408" w:rsidRPr="00E14102" w:rsidRDefault="00BF0408" w:rsidP="00E14102">
      <w:pPr>
        <w:jc w:val="both"/>
        <w:rPr>
          <w:color w:val="0070C0"/>
          <w:sz w:val="16"/>
          <w:szCs w:val="16"/>
        </w:rPr>
      </w:pPr>
      <w:r w:rsidRPr="00E14102">
        <w:rPr>
          <w:color w:val="0070C0"/>
          <w:sz w:val="16"/>
          <w:szCs w:val="16"/>
        </w:rPr>
        <w:t>Позднее, в 1937 г., в Бюро особых конструкций присту</w:t>
      </w:r>
      <w:r w:rsidRPr="00E14102">
        <w:rPr>
          <w:color w:val="0070C0"/>
          <w:sz w:val="16"/>
          <w:szCs w:val="16"/>
        </w:rPr>
        <w:softHyphen/>
        <w:t>пили к проектированию сверхдальнего стратосферного самолета БОК-15 (20363).</w:t>
      </w:r>
    </w:p>
    <w:p w14:paraId="25960B54" w14:textId="77777777" w:rsidR="00BF0408" w:rsidRPr="00E14102" w:rsidRDefault="00BF0408" w:rsidP="00E14102">
      <w:pPr>
        <w:shd w:val="clear" w:color="auto" w:fill="FFFFFF"/>
        <w:jc w:val="both"/>
        <w:rPr>
          <w:color w:val="0070C0"/>
          <w:sz w:val="16"/>
          <w:szCs w:val="16"/>
        </w:rPr>
      </w:pPr>
    </w:p>
    <w:p w14:paraId="2188F4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завод 31 закончил проектирование КОР-1 М-25, которое шло с апреля 1935 и началась постройка машины, которая была закончена только в сентябре 1936 (2405,86).</w:t>
      </w:r>
    </w:p>
    <w:p w14:paraId="1E17A531" w14:textId="77777777" w:rsidR="00D4105E" w:rsidRPr="00E14102" w:rsidRDefault="00D4105E" w:rsidP="00E14102">
      <w:pPr>
        <w:autoSpaceDE w:val="0"/>
        <w:autoSpaceDN w:val="0"/>
        <w:adjustRightInd w:val="0"/>
        <w:jc w:val="both"/>
        <w:rPr>
          <w:color w:val="000000" w:themeColor="text1"/>
          <w:sz w:val="16"/>
          <w:szCs w:val="16"/>
        </w:rPr>
      </w:pPr>
    </w:p>
    <w:p w14:paraId="0C291D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Окончательная договорен</w:t>
      </w:r>
      <w:r w:rsidRPr="00E14102">
        <w:rPr>
          <w:color w:val="000000" w:themeColor="text1"/>
          <w:sz w:val="16"/>
          <w:szCs w:val="16"/>
        </w:rPr>
        <w:softHyphen/>
        <w:t>ность с фирмой Хейнкель была достигнута в октябре 1935 г. Общая сумма за</w:t>
      </w:r>
      <w:r w:rsidRPr="00E14102">
        <w:rPr>
          <w:color w:val="000000" w:themeColor="text1"/>
          <w:sz w:val="16"/>
          <w:szCs w:val="16"/>
        </w:rPr>
        <w:softHyphen/>
        <w:t>каза составила 450 тыс. германских марок, срок постав</w:t>
      </w:r>
      <w:r w:rsidRPr="00E14102">
        <w:rPr>
          <w:color w:val="000000" w:themeColor="text1"/>
          <w:sz w:val="16"/>
          <w:szCs w:val="16"/>
        </w:rPr>
        <w:softHyphen/>
        <w:t>ки - конец 1937 г. Впрочем, впоследствии менялись и суммы, и сроки исполнения заказа (11107).</w:t>
      </w:r>
    </w:p>
    <w:p w14:paraId="205C68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4154930" w14:textId="77777777" w:rsidR="00647F1E" w:rsidRPr="00E14102" w:rsidRDefault="00647F1E" w:rsidP="00E14102">
      <w:pPr>
        <w:jc w:val="both"/>
        <w:rPr>
          <w:color w:val="000000" w:themeColor="text1"/>
          <w:sz w:val="16"/>
          <w:szCs w:val="16"/>
        </w:rPr>
      </w:pPr>
      <w:r w:rsidRPr="00E14102">
        <w:rPr>
          <w:color w:val="000000" w:themeColor="text1"/>
          <w:sz w:val="16"/>
          <w:szCs w:val="16"/>
        </w:rPr>
        <w:t>В октябре 1935 г. была достигнута окончательная договоренность с Хейнкелем по вопросу катапульт. Общая стоимость зака</w:t>
      </w:r>
      <w:r w:rsidRPr="00E14102">
        <w:rPr>
          <w:color w:val="000000" w:themeColor="text1"/>
          <w:sz w:val="16"/>
          <w:szCs w:val="16"/>
        </w:rPr>
        <w:softHyphen/>
        <w:t>за составила 450 000 германских марок, срок поставки двух катапульт определили в конце 1937 г. Впрочем, впоследствии неоднократно менялись и стоимость, и сроки исполнения заказа. Лишь в сентябре 1936 г. советской стороной были высланы уточненные дан</w:t>
      </w:r>
      <w:r w:rsidRPr="00E14102">
        <w:rPr>
          <w:color w:val="000000" w:themeColor="text1"/>
          <w:sz w:val="16"/>
          <w:szCs w:val="16"/>
        </w:rPr>
        <w:softHyphen/>
        <w:t>ные самолета: взлетный вес 2375 (2800) кг, скорость старта 125 км/ч, ускорение не свы</w:t>
      </w:r>
      <w:r w:rsidRPr="00E14102">
        <w:rPr>
          <w:color w:val="000000" w:themeColor="text1"/>
          <w:sz w:val="16"/>
          <w:szCs w:val="16"/>
        </w:rPr>
        <w:softHyphen/>
        <w:t>ше 4,0 Затем последовали дополнитель</w:t>
      </w:r>
      <w:r w:rsidRPr="00E14102">
        <w:rPr>
          <w:color w:val="000000" w:themeColor="text1"/>
          <w:sz w:val="16"/>
          <w:szCs w:val="16"/>
        </w:rPr>
        <w:softHyphen/>
        <w:t>ные уточнения и доработки проекта, после которых две катапульты конструкции Хейн</w:t>
      </w:r>
      <w:r w:rsidRPr="00E14102">
        <w:rPr>
          <w:color w:val="000000" w:themeColor="text1"/>
          <w:sz w:val="16"/>
          <w:szCs w:val="16"/>
        </w:rPr>
        <w:softHyphen/>
        <w:t>келя - К-12А и К-12В - были изготовлены и доставлены в Советский Союз (12301).</w:t>
      </w:r>
    </w:p>
    <w:p w14:paraId="0FA56AD1" w14:textId="77777777" w:rsidR="00647F1E" w:rsidRPr="00E14102" w:rsidRDefault="00647F1E" w:rsidP="00E14102">
      <w:pPr>
        <w:jc w:val="both"/>
        <w:rPr>
          <w:color w:val="000000" w:themeColor="text1"/>
          <w:sz w:val="16"/>
          <w:szCs w:val="16"/>
        </w:rPr>
      </w:pPr>
    </w:p>
    <w:p w14:paraId="57FF86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закончилось проектирование автожира А-12, которое шло с декабря 1935 г. Построен в период с января 1935 г. по март 1936 г. Впервые в практике автожиростроения применена головка ротора с совмещенными шарнирами для уменьшения усилий на ручку и регулируемые заслонки капота NACA для регулировки температуры головок цилиндров, послужившие прототипами в дальнейших конструкциях. Помимо этого введены усовершенствования в отдельных деталях автожира (3305).</w:t>
      </w:r>
    </w:p>
    <w:p w14:paraId="00C96E4B" w14:textId="77777777" w:rsidR="00D4105E" w:rsidRPr="00E14102" w:rsidRDefault="00D4105E" w:rsidP="00E14102">
      <w:pPr>
        <w:autoSpaceDE w:val="0"/>
        <w:autoSpaceDN w:val="0"/>
        <w:adjustRightInd w:val="0"/>
        <w:jc w:val="both"/>
        <w:rPr>
          <w:color w:val="000000" w:themeColor="text1"/>
          <w:sz w:val="16"/>
          <w:szCs w:val="16"/>
        </w:rPr>
      </w:pPr>
    </w:p>
    <w:p w14:paraId="4A98DF9A" w14:textId="77777777" w:rsidR="00647F1E" w:rsidRPr="00E14102" w:rsidRDefault="00647F1E" w:rsidP="00E14102">
      <w:pPr>
        <w:jc w:val="both"/>
        <w:rPr>
          <w:color w:val="000000" w:themeColor="text1"/>
          <w:sz w:val="16"/>
          <w:szCs w:val="16"/>
        </w:rPr>
      </w:pPr>
      <w:r w:rsidRPr="00E14102">
        <w:rPr>
          <w:color w:val="000000" w:themeColor="text1"/>
          <w:sz w:val="16"/>
          <w:szCs w:val="16"/>
        </w:rPr>
        <w:t>В октябре 1935 г. после стажировки на авиазаводах Москвы и Таганрога в Комсомольск прибыла группа выпускников Воронежского авиационного техникума в количестве 123 чел. Это был первый выпуск специалистов, в большом количестве прибывших на комсомольский авиазавод. Среди них: А.Г. Зайцев, П.Н. Степанюк, В.А. Тимошилов, В.С. Шавгаров, П.И. Шурыгин, А.Н. Сумароковская, И.З. Куриленко, Е.В. Холодова, А.П. Палец, А.Т. Агапиев, В.Т. Артеменко и др. воронежцы в большинстве к началу ВОВ стали опытными специалистами, руководителями ведущих цехов и отделов. Они сыграли значительную роль в создании основного производства и внесли большой вклад в становление завода, многие из них впоследствии навсегда связали свою жизнь с заводом.</w:t>
      </w:r>
    </w:p>
    <w:p w14:paraId="65C7052A"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Одновременно с вводом в эксплуатацию производственных цехов и других объектов коллектив завода готовился к выпуску перв. самолета Р-6 конструкции А.Н. Туполева. Р-6 участвовал в покорении Северного полюса, освоении Арктики, спасении челюскинцев. Это была цельнометаллическая двухмоторная машина с жестким каркасом и гофрированной обшивкой. Серийный выпуск ее был начат еще в 1929 г., она была хорошо отлажена и отработана на других заводах, но к 1936 г. как боевая уже устарела. </w:t>
      </w:r>
    </w:p>
    <w:p w14:paraId="1F1E08FB" w14:textId="77777777" w:rsidR="00647F1E" w:rsidRPr="00E14102" w:rsidRDefault="00647F1E" w:rsidP="00E14102">
      <w:pPr>
        <w:jc w:val="both"/>
        <w:rPr>
          <w:color w:val="000000" w:themeColor="text1"/>
          <w:sz w:val="16"/>
          <w:szCs w:val="16"/>
        </w:rPr>
      </w:pPr>
      <w:r w:rsidRPr="00E14102">
        <w:rPr>
          <w:color w:val="000000" w:themeColor="text1"/>
          <w:sz w:val="16"/>
          <w:szCs w:val="16"/>
        </w:rPr>
        <w:t>Монтаж нового оборудования и освоение первого изделия проходили в сложных условиях. Работы на изделии были трудоемкими, много операций выполнялось вручную. Особую сложность представляли сборка, сверловка, клепка каркаса, в основном трубчатой конструкции. Отсутствовали необходимые станки, технологическое оборудование, оснастка, материалы, квалифицированные рабочие. Сверловка проводилась ручными дрелями, клёпка — слесарными молотками. Не было ни сжатого воздуха, ни пневматического инструмента. При остеклении кабины пилота не нашлось специального материала, предусмотренного технологией,- тогда использовали автомобильное лобовое стекло «триплекс» (12211).</w:t>
      </w:r>
    </w:p>
    <w:p w14:paraId="5E4B4E2A" w14:textId="77777777" w:rsidR="00647F1E" w:rsidRPr="00E14102" w:rsidRDefault="00647F1E" w:rsidP="00E14102">
      <w:pPr>
        <w:jc w:val="both"/>
        <w:rPr>
          <w:color w:val="000000" w:themeColor="text1"/>
          <w:sz w:val="16"/>
          <w:szCs w:val="16"/>
        </w:rPr>
      </w:pPr>
    </w:p>
    <w:p w14:paraId="0A0277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была подготовлена:</w:t>
      </w:r>
    </w:p>
    <w:p w14:paraId="1BC085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Ведомость выполнения заводами ГУАПа заказов УВС на самолеты, запасные моторы и групповые комплекты за 10 месяцев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01"/>
        <w:gridCol w:w="1701"/>
        <w:gridCol w:w="1701"/>
        <w:gridCol w:w="992"/>
        <w:gridCol w:w="992"/>
        <w:gridCol w:w="1843"/>
      </w:tblGrid>
      <w:tr w:rsidR="00E3599D" w:rsidRPr="00E14102" w14:paraId="24EA93A4" w14:textId="77777777">
        <w:trPr>
          <w:cantSplit/>
          <w:trHeight w:val="188"/>
        </w:trPr>
        <w:tc>
          <w:tcPr>
            <w:tcW w:w="1668" w:type="dxa"/>
          </w:tcPr>
          <w:p w14:paraId="43C249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самолета и мотора</w:t>
            </w:r>
          </w:p>
        </w:tc>
        <w:tc>
          <w:tcPr>
            <w:tcW w:w="1701" w:type="dxa"/>
          </w:tcPr>
          <w:p w14:paraId="0F7B02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Годовой заказ</w:t>
            </w:r>
          </w:p>
        </w:tc>
        <w:tc>
          <w:tcPr>
            <w:tcW w:w="1701" w:type="dxa"/>
          </w:tcPr>
          <w:p w14:paraId="7D1E87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Подлеж. сдаче за 10 месяцев 1935 года</w:t>
            </w:r>
          </w:p>
        </w:tc>
        <w:tc>
          <w:tcPr>
            <w:tcW w:w="1701" w:type="dxa"/>
          </w:tcPr>
          <w:p w14:paraId="17454D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Сдано за 10 месяцев</w:t>
            </w:r>
          </w:p>
        </w:tc>
        <w:tc>
          <w:tcPr>
            <w:tcW w:w="1984" w:type="dxa"/>
            <w:gridSpan w:val="2"/>
          </w:tcPr>
          <w:p w14:paraId="58AAD7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выполнения</w:t>
            </w:r>
          </w:p>
        </w:tc>
        <w:tc>
          <w:tcPr>
            <w:tcW w:w="1843" w:type="dxa"/>
          </w:tcPr>
          <w:p w14:paraId="2D0E9E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Завод-поставщик</w:t>
            </w:r>
          </w:p>
        </w:tc>
      </w:tr>
      <w:tr w:rsidR="00E3599D" w:rsidRPr="00E14102" w14:paraId="56CEBD54" w14:textId="77777777">
        <w:trPr>
          <w:cantSplit/>
          <w:trHeight w:val="188"/>
        </w:trPr>
        <w:tc>
          <w:tcPr>
            <w:tcW w:w="1668" w:type="dxa"/>
          </w:tcPr>
          <w:p w14:paraId="562EBBEA"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59EBE8D5"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4A5011A3"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7CC18762"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2773AD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годовому заказу</w:t>
            </w:r>
          </w:p>
        </w:tc>
        <w:tc>
          <w:tcPr>
            <w:tcW w:w="992" w:type="dxa"/>
          </w:tcPr>
          <w:p w14:paraId="1BCFB9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кол-ву подл. сдаче за 10 месяцев</w:t>
            </w:r>
          </w:p>
        </w:tc>
        <w:tc>
          <w:tcPr>
            <w:tcW w:w="1843" w:type="dxa"/>
          </w:tcPr>
          <w:p w14:paraId="0B12443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6B4A156" w14:textId="77777777">
        <w:trPr>
          <w:cantSplit/>
          <w:trHeight w:val="188"/>
        </w:trPr>
        <w:tc>
          <w:tcPr>
            <w:tcW w:w="1668" w:type="dxa"/>
          </w:tcPr>
          <w:p w14:paraId="54421B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c>
          <w:tcPr>
            <w:tcW w:w="1701" w:type="dxa"/>
          </w:tcPr>
          <w:p w14:paraId="07326577"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336B4AB7"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361E2912"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3E1A622B"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1534E22B" w14:textId="77777777" w:rsidR="00D4105E" w:rsidRPr="00E14102" w:rsidRDefault="00D4105E" w:rsidP="00E14102">
            <w:pPr>
              <w:autoSpaceDE w:val="0"/>
              <w:autoSpaceDN w:val="0"/>
              <w:adjustRightInd w:val="0"/>
              <w:jc w:val="both"/>
              <w:rPr>
                <w:color w:val="000000" w:themeColor="text1"/>
                <w:sz w:val="16"/>
                <w:szCs w:val="16"/>
              </w:rPr>
            </w:pPr>
          </w:p>
        </w:tc>
        <w:tc>
          <w:tcPr>
            <w:tcW w:w="1843" w:type="dxa"/>
          </w:tcPr>
          <w:p w14:paraId="28D5373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0611DF8" w14:textId="77777777">
        <w:trPr>
          <w:cantSplit/>
          <w:trHeight w:val="188"/>
        </w:trPr>
        <w:tc>
          <w:tcPr>
            <w:tcW w:w="1668" w:type="dxa"/>
          </w:tcPr>
          <w:p w14:paraId="2A9E1D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И14-М25</w:t>
            </w:r>
          </w:p>
        </w:tc>
        <w:tc>
          <w:tcPr>
            <w:tcW w:w="1701" w:type="dxa"/>
          </w:tcPr>
          <w:p w14:paraId="0EF119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701" w:type="dxa"/>
          </w:tcPr>
          <w:p w14:paraId="52778B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701" w:type="dxa"/>
          </w:tcPr>
          <w:p w14:paraId="4F2A49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2464B1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992" w:type="dxa"/>
          </w:tcPr>
          <w:p w14:paraId="45F924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843" w:type="dxa"/>
          </w:tcPr>
          <w:p w14:paraId="01FB4A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125</w:t>
            </w:r>
          </w:p>
        </w:tc>
      </w:tr>
      <w:tr w:rsidR="00E3599D" w:rsidRPr="00E14102" w14:paraId="28305CD9" w14:textId="77777777">
        <w:trPr>
          <w:cantSplit/>
          <w:trHeight w:val="188"/>
        </w:trPr>
        <w:tc>
          <w:tcPr>
            <w:tcW w:w="1668" w:type="dxa"/>
          </w:tcPr>
          <w:p w14:paraId="48C765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И15-М25</w:t>
            </w:r>
          </w:p>
        </w:tc>
        <w:tc>
          <w:tcPr>
            <w:tcW w:w="1701" w:type="dxa"/>
          </w:tcPr>
          <w:p w14:paraId="248BB9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w:t>
            </w:r>
          </w:p>
        </w:tc>
        <w:tc>
          <w:tcPr>
            <w:tcW w:w="1701" w:type="dxa"/>
          </w:tcPr>
          <w:p w14:paraId="1F5E23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183</w:t>
            </w:r>
          </w:p>
        </w:tc>
        <w:tc>
          <w:tcPr>
            <w:tcW w:w="1701" w:type="dxa"/>
          </w:tcPr>
          <w:p w14:paraId="798295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141</w:t>
            </w:r>
          </w:p>
        </w:tc>
        <w:tc>
          <w:tcPr>
            <w:tcW w:w="992" w:type="dxa"/>
          </w:tcPr>
          <w:p w14:paraId="21BB59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56,5</w:t>
            </w:r>
          </w:p>
        </w:tc>
        <w:tc>
          <w:tcPr>
            <w:tcW w:w="992" w:type="dxa"/>
          </w:tcPr>
          <w:p w14:paraId="2B697C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77</w:t>
            </w:r>
          </w:p>
        </w:tc>
        <w:tc>
          <w:tcPr>
            <w:tcW w:w="1843" w:type="dxa"/>
          </w:tcPr>
          <w:p w14:paraId="08EA86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r>
      <w:tr w:rsidR="00E3599D" w:rsidRPr="00E14102" w14:paraId="3F325E1F" w14:textId="77777777">
        <w:trPr>
          <w:cantSplit/>
          <w:trHeight w:val="188"/>
        </w:trPr>
        <w:tc>
          <w:tcPr>
            <w:tcW w:w="1668" w:type="dxa"/>
          </w:tcPr>
          <w:p w14:paraId="6266AE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И16-М22</w:t>
            </w:r>
          </w:p>
        </w:tc>
        <w:tc>
          <w:tcPr>
            <w:tcW w:w="1701" w:type="dxa"/>
          </w:tcPr>
          <w:p w14:paraId="184F8A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316</w:t>
            </w:r>
          </w:p>
        </w:tc>
        <w:tc>
          <w:tcPr>
            <w:tcW w:w="1701" w:type="dxa"/>
          </w:tcPr>
          <w:p w14:paraId="3E7334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1701" w:type="dxa"/>
          </w:tcPr>
          <w:p w14:paraId="64B155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w:t>
            </w:r>
          </w:p>
        </w:tc>
        <w:tc>
          <w:tcPr>
            <w:tcW w:w="992" w:type="dxa"/>
          </w:tcPr>
          <w:p w14:paraId="0232DB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61,0</w:t>
            </w:r>
          </w:p>
        </w:tc>
        <w:tc>
          <w:tcPr>
            <w:tcW w:w="992" w:type="dxa"/>
          </w:tcPr>
          <w:p w14:paraId="7410EF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w:t>
            </w:r>
          </w:p>
        </w:tc>
        <w:tc>
          <w:tcPr>
            <w:tcW w:w="1843" w:type="dxa"/>
          </w:tcPr>
          <w:p w14:paraId="48D219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21</w:t>
            </w:r>
          </w:p>
        </w:tc>
      </w:tr>
      <w:tr w:rsidR="00E3599D" w:rsidRPr="00E14102" w14:paraId="414A8B6F" w14:textId="77777777">
        <w:trPr>
          <w:cantSplit/>
          <w:trHeight w:val="188"/>
        </w:trPr>
        <w:tc>
          <w:tcPr>
            <w:tcW w:w="1668" w:type="dxa"/>
          </w:tcPr>
          <w:p w14:paraId="0A51AB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И16-М22 двухместный</w:t>
            </w:r>
          </w:p>
        </w:tc>
        <w:tc>
          <w:tcPr>
            <w:tcW w:w="1701" w:type="dxa"/>
          </w:tcPr>
          <w:p w14:paraId="7A377C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701" w:type="dxa"/>
          </w:tcPr>
          <w:p w14:paraId="3DB430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701" w:type="dxa"/>
          </w:tcPr>
          <w:p w14:paraId="44B7A7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92" w:type="dxa"/>
          </w:tcPr>
          <w:p w14:paraId="549A2E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992" w:type="dxa"/>
          </w:tcPr>
          <w:p w14:paraId="39F6FC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843" w:type="dxa"/>
          </w:tcPr>
          <w:p w14:paraId="5342B5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21</w:t>
            </w:r>
          </w:p>
        </w:tc>
      </w:tr>
      <w:tr w:rsidR="00E3599D" w:rsidRPr="00E14102" w14:paraId="29F2D4D2" w14:textId="77777777">
        <w:trPr>
          <w:cantSplit/>
          <w:trHeight w:val="188"/>
        </w:trPr>
        <w:tc>
          <w:tcPr>
            <w:tcW w:w="1668" w:type="dxa"/>
          </w:tcPr>
          <w:p w14:paraId="63D3F3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И16-М25</w:t>
            </w:r>
          </w:p>
        </w:tc>
        <w:tc>
          <w:tcPr>
            <w:tcW w:w="1701" w:type="dxa"/>
          </w:tcPr>
          <w:p w14:paraId="5534F8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701" w:type="dxa"/>
          </w:tcPr>
          <w:p w14:paraId="6C40FB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701" w:type="dxa"/>
          </w:tcPr>
          <w:p w14:paraId="140C4E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373D49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4544CD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43" w:type="dxa"/>
          </w:tcPr>
          <w:p w14:paraId="7B8149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21</w:t>
            </w:r>
          </w:p>
        </w:tc>
      </w:tr>
      <w:tr w:rsidR="00E3599D" w:rsidRPr="00E14102" w14:paraId="77DCC6F1" w14:textId="77777777">
        <w:trPr>
          <w:cantSplit/>
          <w:trHeight w:val="188"/>
        </w:trPr>
        <w:tc>
          <w:tcPr>
            <w:tcW w:w="1668" w:type="dxa"/>
          </w:tcPr>
          <w:p w14:paraId="63DB57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И16-М25</w:t>
            </w:r>
          </w:p>
        </w:tc>
        <w:tc>
          <w:tcPr>
            <w:tcW w:w="1701" w:type="dxa"/>
          </w:tcPr>
          <w:p w14:paraId="70BD7F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1701" w:type="dxa"/>
          </w:tcPr>
          <w:p w14:paraId="30C0CF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701" w:type="dxa"/>
          </w:tcPr>
          <w:p w14:paraId="6FE8F6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992" w:type="dxa"/>
          </w:tcPr>
          <w:p w14:paraId="574099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22,0</w:t>
            </w:r>
          </w:p>
        </w:tc>
        <w:tc>
          <w:tcPr>
            <w:tcW w:w="992" w:type="dxa"/>
          </w:tcPr>
          <w:p w14:paraId="645C91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1843" w:type="dxa"/>
          </w:tcPr>
          <w:p w14:paraId="4E4994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r>
      <w:tr w:rsidR="00E3599D" w:rsidRPr="00E14102" w14:paraId="25C05938" w14:textId="77777777">
        <w:trPr>
          <w:cantSplit/>
          <w:trHeight w:val="188"/>
        </w:trPr>
        <w:tc>
          <w:tcPr>
            <w:tcW w:w="1668" w:type="dxa"/>
          </w:tcPr>
          <w:p w14:paraId="6BC8FE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ДИ6-М25</w:t>
            </w:r>
          </w:p>
        </w:tc>
        <w:tc>
          <w:tcPr>
            <w:tcW w:w="1701" w:type="dxa"/>
          </w:tcPr>
          <w:p w14:paraId="18C6B4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701" w:type="dxa"/>
          </w:tcPr>
          <w:p w14:paraId="1A0592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701" w:type="dxa"/>
          </w:tcPr>
          <w:p w14:paraId="62D1C9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251E03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992" w:type="dxa"/>
          </w:tcPr>
          <w:p w14:paraId="0B7E0F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843" w:type="dxa"/>
          </w:tcPr>
          <w:p w14:paraId="7E1279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r>
      <w:tr w:rsidR="00E3599D" w:rsidRPr="00E14102" w14:paraId="6A92B4F1" w14:textId="77777777">
        <w:trPr>
          <w:cantSplit/>
          <w:trHeight w:val="188"/>
        </w:trPr>
        <w:tc>
          <w:tcPr>
            <w:tcW w:w="1668" w:type="dxa"/>
          </w:tcPr>
          <w:p w14:paraId="5F2B7C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ИП1-М25</w:t>
            </w:r>
          </w:p>
        </w:tc>
        <w:tc>
          <w:tcPr>
            <w:tcW w:w="1701" w:type="dxa"/>
          </w:tcPr>
          <w:p w14:paraId="2244EB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701" w:type="dxa"/>
          </w:tcPr>
          <w:p w14:paraId="490E69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w:t>
            </w:r>
          </w:p>
        </w:tc>
        <w:tc>
          <w:tcPr>
            <w:tcW w:w="1701" w:type="dxa"/>
          </w:tcPr>
          <w:p w14:paraId="48F055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46FC43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992" w:type="dxa"/>
          </w:tcPr>
          <w:p w14:paraId="56B33C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843" w:type="dxa"/>
          </w:tcPr>
          <w:p w14:paraId="351E68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135</w:t>
            </w:r>
          </w:p>
        </w:tc>
      </w:tr>
      <w:tr w:rsidR="00E3599D" w:rsidRPr="00E14102" w14:paraId="4602E3B3" w14:textId="77777777">
        <w:trPr>
          <w:cantSplit/>
          <w:trHeight w:val="188"/>
        </w:trPr>
        <w:tc>
          <w:tcPr>
            <w:tcW w:w="1668" w:type="dxa"/>
          </w:tcPr>
          <w:p w14:paraId="193483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Р5-М17 торп.</w:t>
            </w:r>
          </w:p>
        </w:tc>
        <w:tc>
          <w:tcPr>
            <w:tcW w:w="1701" w:type="dxa"/>
          </w:tcPr>
          <w:p w14:paraId="0E9C18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701" w:type="dxa"/>
          </w:tcPr>
          <w:p w14:paraId="155930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701" w:type="dxa"/>
          </w:tcPr>
          <w:p w14:paraId="199BD0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992" w:type="dxa"/>
          </w:tcPr>
          <w:p w14:paraId="0997B7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992" w:type="dxa"/>
          </w:tcPr>
          <w:p w14:paraId="1C6D0A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843" w:type="dxa"/>
          </w:tcPr>
          <w:p w14:paraId="1E4487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r>
      <w:tr w:rsidR="00E3599D" w:rsidRPr="00E14102" w14:paraId="3C514B5B" w14:textId="77777777">
        <w:trPr>
          <w:cantSplit/>
          <w:trHeight w:val="188"/>
        </w:trPr>
        <w:tc>
          <w:tcPr>
            <w:tcW w:w="1668" w:type="dxa"/>
          </w:tcPr>
          <w:p w14:paraId="77E62A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 – штурмовик</w:t>
            </w:r>
          </w:p>
        </w:tc>
        <w:tc>
          <w:tcPr>
            <w:tcW w:w="1701" w:type="dxa"/>
          </w:tcPr>
          <w:p w14:paraId="540341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w:t>
            </w:r>
          </w:p>
        </w:tc>
        <w:tc>
          <w:tcPr>
            <w:tcW w:w="1701" w:type="dxa"/>
          </w:tcPr>
          <w:p w14:paraId="1BF1AA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145</w:t>
            </w:r>
          </w:p>
        </w:tc>
        <w:tc>
          <w:tcPr>
            <w:tcW w:w="1701" w:type="dxa"/>
          </w:tcPr>
          <w:p w14:paraId="211DF1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w:t>
            </w:r>
          </w:p>
        </w:tc>
        <w:tc>
          <w:tcPr>
            <w:tcW w:w="992" w:type="dxa"/>
          </w:tcPr>
          <w:p w14:paraId="14C022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w:t>
            </w:r>
          </w:p>
        </w:tc>
        <w:tc>
          <w:tcPr>
            <w:tcW w:w="992" w:type="dxa"/>
          </w:tcPr>
          <w:p w14:paraId="29FEDD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w:t>
            </w:r>
          </w:p>
        </w:tc>
        <w:tc>
          <w:tcPr>
            <w:tcW w:w="1843" w:type="dxa"/>
          </w:tcPr>
          <w:p w14:paraId="317DA5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r>
      <w:tr w:rsidR="00E3599D" w:rsidRPr="00E14102" w14:paraId="517D3280" w14:textId="77777777">
        <w:trPr>
          <w:cantSplit/>
          <w:trHeight w:val="188"/>
        </w:trPr>
        <w:tc>
          <w:tcPr>
            <w:tcW w:w="1668" w:type="dxa"/>
          </w:tcPr>
          <w:p w14:paraId="15C4B8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ЛР-М34Н</w:t>
            </w:r>
          </w:p>
        </w:tc>
        <w:tc>
          <w:tcPr>
            <w:tcW w:w="1701" w:type="dxa"/>
          </w:tcPr>
          <w:p w14:paraId="36F07D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701" w:type="dxa"/>
          </w:tcPr>
          <w:p w14:paraId="431183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701" w:type="dxa"/>
          </w:tcPr>
          <w:p w14:paraId="11DD6E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6E7E9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3A07D6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43" w:type="dxa"/>
          </w:tcPr>
          <w:p w14:paraId="59CABB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r>
      <w:tr w:rsidR="00E3599D" w:rsidRPr="00E14102" w14:paraId="7C5CF5F3" w14:textId="77777777">
        <w:trPr>
          <w:cantSplit/>
          <w:trHeight w:val="188"/>
        </w:trPr>
        <w:tc>
          <w:tcPr>
            <w:tcW w:w="1668" w:type="dxa"/>
          </w:tcPr>
          <w:p w14:paraId="4B074C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РД-М34Р</w:t>
            </w:r>
          </w:p>
        </w:tc>
        <w:tc>
          <w:tcPr>
            <w:tcW w:w="1701" w:type="dxa"/>
          </w:tcPr>
          <w:p w14:paraId="721118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1701" w:type="dxa"/>
          </w:tcPr>
          <w:p w14:paraId="14D313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w:t>
            </w:r>
          </w:p>
        </w:tc>
        <w:tc>
          <w:tcPr>
            <w:tcW w:w="1701" w:type="dxa"/>
          </w:tcPr>
          <w:p w14:paraId="00AFD6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4BEBB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992" w:type="dxa"/>
          </w:tcPr>
          <w:p w14:paraId="543556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843" w:type="dxa"/>
          </w:tcPr>
          <w:p w14:paraId="1D4BB4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18</w:t>
            </w:r>
          </w:p>
        </w:tc>
      </w:tr>
      <w:tr w:rsidR="00E3599D" w:rsidRPr="00E14102" w14:paraId="3EB70520" w14:textId="77777777">
        <w:trPr>
          <w:cantSplit/>
          <w:trHeight w:val="188"/>
        </w:trPr>
        <w:tc>
          <w:tcPr>
            <w:tcW w:w="1668" w:type="dxa"/>
          </w:tcPr>
          <w:p w14:paraId="155462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КР6-2М17</w:t>
            </w:r>
          </w:p>
        </w:tc>
        <w:tc>
          <w:tcPr>
            <w:tcW w:w="1701" w:type="dxa"/>
          </w:tcPr>
          <w:p w14:paraId="614D6F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701" w:type="dxa"/>
          </w:tcPr>
          <w:p w14:paraId="72B028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701" w:type="dxa"/>
          </w:tcPr>
          <w:p w14:paraId="6B149E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992" w:type="dxa"/>
          </w:tcPr>
          <w:p w14:paraId="110438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992" w:type="dxa"/>
          </w:tcPr>
          <w:p w14:paraId="69F39E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843" w:type="dxa"/>
          </w:tcPr>
          <w:p w14:paraId="421871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tc>
      </w:tr>
      <w:tr w:rsidR="00E3599D" w:rsidRPr="00E14102" w14:paraId="5BD6E3B5" w14:textId="77777777">
        <w:trPr>
          <w:cantSplit/>
          <w:trHeight w:val="188"/>
        </w:trPr>
        <w:tc>
          <w:tcPr>
            <w:tcW w:w="1668" w:type="dxa"/>
          </w:tcPr>
          <w:p w14:paraId="0E4C75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КР6а-2М17</w:t>
            </w:r>
          </w:p>
        </w:tc>
        <w:tc>
          <w:tcPr>
            <w:tcW w:w="1701" w:type="dxa"/>
          </w:tcPr>
          <w:p w14:paraId="265565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1701" w:type="dxa"/>
          </w:tcPr>
          <w:p w14:paraId="352F86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1701" w:type="dxa"/>
          </w:tcPr>
          <w:p w14:paraId="7B3752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992" w:type="dxa"/>
          </w:tcPr>
          <w:p w14:paraId="146503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992" w:type="dxa"/>
          </w:tcPr>
          <w:p w14:paraId="023B30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843" w:type="dxa"/>
          </w:tcPr>
          <w:p w14:paraId="33CD08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tc>
      </w:tr>
      <w:tr w:rsidR="00E3599D" w:rsidRPr="00E14102" w14:paraId="6FFA4A91" w14:textId="77777777">
        <w:trPr>
          <w:cantSplit/>
          <w:trHeight w:val="188"/>
        </w:trPr>
        <w:tc>
          <w:tcPr>
            <w:tcW w:w="1668" w:type="dxa"/>
          </w:tcPr>
          <w:p w14:paraId="5DEA7B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ТБ3-М34Р</w:t>
            </w:r>
          </w:p>
        </w:tc>
        <w:tc>
          <w:tcPr>
            <w:tcW w:w="1701" w:type="dxa"/>
          </w:tcPr>
          <w:p w14:paraId="0797B5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1701" w:type="dxa"/>
          </w:tcPr>
          <w:p w14:paraId="622464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1701" w:type="dxa"/>
          </w:tcPr>
          <w:p w14:paraId="291E8C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1403E5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992" w:type="dxa"/>
          </w:tcPr>
          <w:p w14:paraId="74847F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843" w:type="dxa"/>
          </w:tcPr>
          <w:p w14:paraId="1A2A9D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tc>
      </w:tr>
      <w:tr w:rsidR="00E3599D" w:rsidRPr="00E14102" w14:paraId="09045213" w14:textId="77777777">
        <w:trPr>
          <w:cantSplit/>
          <w:trHeight w:val="188"/>
        </w:trPr>
        <w:tc>
          <w:tcPr>
            <w:tcW w:w="1668" w:type="dxa"/>
          </w:tcPr>
          <w:p w14:paraId="700B8D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ТБ3-М34РН</w:t>
            </w:r>
          </w:p>
        </w:tc>
        <w:tc>
          <w:tcPr>
            <w:tcW w:w="1701" w:type="dxa"/>
          </w:tcPr>
          <w:p w14:paraId="06522F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w:t>
            </w:r>
          </w:p>
        </w:tc>
        <w:tc>
          <w:tcPr>
            <w:tcW w:w="1701" w:type="dxa"/>
          </w:tcPr>
          <w:p w14:paraId="19E786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w:t>
            </w:r>
          </w:p>
        </w:tc>
        <w:tc>
          <w:tcPr>
            <w:tcW w:w="1701" w:type="dxa"/>
          </w:tcPr>
          <w:p w14:paraId="621A9B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992" w:type="dxa"/>
          </w:tcPr>
          <w:p w14:paraId="31CCE8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0,77</w:t>
            </w:r>
          </w:p>
        </w:tc>
        <w:tc>
          <w:tcPr>
            <w:tcW w:w="992" w:type="dxa"/>
          </w:tcPr>
          <w:p w14:paraId="1D0DBB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0,77</w:t>
            </w:r>
          </w:p>
        </w:tc>
        <w:tc>
          <w:tcPr>
            <w:tcW w:w="1843" w:type="dxa"/>
          </w:tcPr>
          <w:p w14:paraId="32D0A2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tc>
      </w:tr>
      <w:tr w:rsidR="00E3599D" w:rsidRPr="00E14102" w14:paraId="7E5EEEC2" w14:textId="77777777">
        <w:trPr>
          <w:cantSplit/>
          <w:trHeight w:val="188"/>
        </w:trPr>
        <w:tc>
          <w:tcPr>
            <w:tcW w:w="1668" w:type="dxa"/>
          </w:tcPr>
          <w:p w14:paraId="05CD64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СБ-М100</w:t>
            </w:r>
          </w:p>
        </w:tc>
        <w:tc>
          <w:tcPr>
            <w:tcW w:w="1701" w:type="dxa"/>
          </w:tcPr>
          <w:p w14:paraId="338E40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701" w:type="dxa"/>
          </w:tcPr>
          <w:p w14:paraId="735AEB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701" w:type="dxa"/>
          </w:tcPr>
          <w:p w14:paraId="0210F9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03555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92485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43" w:type="dxa"/>
          </w:tcPr>
          <w:p w14:paraId="0914CF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tc>
      </w:tr>
      <w:tr w:rsidR="00E3599D" w:rsidRPr="00E14102" w14:paraId="17A09075" w14:textId="77777777">
        <w:trPr>
          <w:cantSplit/>
          <w:trHeight w:val="188"/>
        </w:trPr>
        <w:tc>
          <w:tcPr>
            <w:tcW w:w="1668" w:type="dxa"/>
          </w:tcPr>
          <w:p w14:paraId="1AFA91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МБР2-М17</w:t>
            </w:r>
          </w:p>
        </w:tc>
        <w:tc>
          <w:tcPr>
            <w:tcW w:w="1701" w:type="dxa"/>
          </w:tcPr>
          <w:p w14:paraId="19995E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701" w:type="dxa"/>
          </w:tcPr>
          <w:p w14:paraId="2BD1FD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701" w:type="dxa"/>
          </w:tcPr>
          <w:p w14:paraId="31E771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992" w:type="dxa"/>
          </w:tcPr>
          <w:p w14:paraId="16F1E9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62</w:t>
            </w:r>
          </w:p>
        </w:tc>
        <w:tc>
          <w:tcPr>
            <w:tcW w:w="992" w:type="dxa"/>
          </w:tcPr>
          <w:p w14:paraId="5988F7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62</w:t>
            </w:r>
          </w:p>
        </w:tc>
        <w:tc>
          <w:tcPr>
            <w:tcW w:w="1843" w:type="dxa"/>
          </w:tcPr>
          <w:p w14:paraId="768998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r>
      <w:tr w:rsidR="00E3599D" w:rsidRPr="00E14102" w14:paraId="5A096FD6" w14:textId="77777777">
        <w:trPr>
          <w:cantSplit/>
          <w:trHeight w:val="188"/>
        </w:trPr>
        <w:tc>
          <w:tcPr>
            <w:tcW w:w="1668" w:type="dxa"/>
          </w:tcPr>
          <w:p w14:paraId="05D287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МДР4-М34Р</w:t>
            </w:r>
          </w:p>
        </w:tc>
        <w:tc>
          <w:tcPr>
            <w:tcW w:w="1701" w:type="dxa"/>
          </w:tcPr>
          <w:p w14:paraId="789EB5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1701" w:type="dxa"/>
          </w:tcPr>
          <w:p w14:paraId="7BB41E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1701" w:type="dxa"/>
          </w:tcPr>
          <w:p w14:paraId="480BA3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01794A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992" w:type="dxa"/>
          </w:tcPr>
          <w:p w14:paraId="2532F5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843" w:type="dxa"/>
          </w:tcPr>
          <w:p w14:paraId="2F11D4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r>
      <w:tr w:rsidR="00E3599D" w:rsidRPr="00E14102" w14:paraId="66132A79" w14:textId="77777777">
        <w:trPr>
          <w:cantSplit/>
          <w:trHeight w:val="188"/>
        </w:trPr>
        <w:tc>
          <w:tcPr>
            <w:tcW w:w="1668" w:type="dxa"/>
          </w:tcPr>
          <w:p w14:paraId="371444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У2-М11</w:t>
            </w:r>
          </w:p>
        </w:tc>
        <w:tc>
          <w:tcPr>
            <w:tcW w:w="1701" w:type="dxa"/>
          </w:tcPr>
          <w:p w14:paraId="1F8AB2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1701" w:type="dxa"/>
          </w:tcPr>
          <w:p w14:paraId="26DE5B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1701" w:type="dxa"/>
          </w:tcPr>
          <w:p w14:paraId="3B6AB8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298</w:t>
            </w:r>
          </w:p>
        </w:tc>
        <w:tc>
          <w:tcPr>
            <w:tcW w:w="992" w:type="dxa"/>
          </w:tcPr>
          <w:p w14:paraId="083F05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99,4</w:t>
            </w:r>
          </w:p>
        </w:tc>
        <w:tc>
          <w:tcPr>
            <w:tcW w:w="992" w:type="dxa"/>
          </w:tcPr>
          <w:p w14:paraId="74CE78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99,4</w:t>
            </w:r>
          </w:p>
        </w:tc>
        <w:tc>
          <w:tcPr>
            <w:tcW w:w="1843" w:type="dxa"/>
          </w:tcPr>
          <w:p w14:paraId="2FE101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23</w:t>
            </w:r>
          </w:p>
        </w:tc>
      </w:tr>
      <w:tr w:rsidR="00E3599D" w:rsidRPr="00E14102" w14:paraId="57FB2B26" w14:textId="77777777">
        <w:trPr>
          <w:cantSplit/>
          <w:trHeight w:val="188"/>
        </w:trPr>
        <w:tc>
          <w:tcPr>
            <w:tcW w:w="1668" w:type="dxa"/>
          </w:tcPr>
          <w:p w14:paraId="085154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1701" w:type="dxa"/>
          </w:tcPr>
          <w:p w14:paraId="331806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2703</w:t>
            </w:r>
          </w:p>
        </w:tc>
        <w:tc>
          <w:tcPr>
            <w:tcW w:w="1701" w:type="dxa"/>
          </w:tcPr>
          <w:p w14:paraId="3BAF5B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1334</w:t>
            </w:r>
          </w:p>
        </w:tc>
        <w:tc>
          <w:tcPr>
            <w:tcW w:w="1701" w:type="dxa"/>
          </w:tcPr>
          <w:p w14:paraId="51507D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859</w:t>
            </w:r>
          </w:p>
        </w:tc>
        <w:tc>
          <w:tcPr>
            <w:tcW w:w="992" w:type="dxa"/>
          </w:tcPr>
          <w:p w14:paraId="17E061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992" w:type="dxa"/>
          </w:tcPr>
          <w:p w14:paraId="160C1F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64</w:t>
            </w:r>
          </w:p>
        </w:tc>
        <w:tc>
          <w:tcPr>
            <w:tcW w:w="1843" w:type="dxa"/>
          </w:tcPr>
          <w:p w14:paraId="6A303F59" w14:textId="77777777" w:rsidR="00D4105E" w:rsidRPr="00E14102" w:rsidRDefault="00D4105E" w:rsidP="00E14102">
            <w:pPr>
              <w:autoSpaceDE w:val="0"/>
              <w:autoSpaceDN w:val="0"/>
              <w:adjustRightInd w:val="0"/>
              <w:jc w:val="both"/>
              <w:rPr>
                <w:color w:val="000000" w:themeColor="text1"/>
                <w:sz w:val="16"/>
                <w:szCs w:val="16"/>
              </w:rPr>
            </w:pPr>
          </w:p>
        </w:tc>
      </w:tr>
    </w:tbl>
    <w:p w14:paraId="59B327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 * со сдачей в I квартале 1936 года (3475,65).</w:t>
      </w:r>
    </w:p>
    <w:p w14:paraId="48F6736F" w14:textId="77777777" w:rsidR="00D4105E" w:rsidRPr="00E14102" w:rsidRDefault="00D4105E" w:rsidP="00E14102">
      <w:pPr>
        <w:autoSpaceDE w:val="0"/>
        <w:autoSpaceDN w:val="0"/>
        <w:adjustRightInd w:val="0"/>
        <w:jc w:val="both"/>
        <w:rPr>
          <w:color w:val="000000" w:themeColor="text1"/>
          <w:sz w:val="16"/>
          <w:szCs w:val="16"/>
        </w:rPr>
      </w:pPr>
    </w:p>
    <w:p w14:paraId="31B73C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года начальник 4 отдела УВС Базенков подготовил Сводку опытных самолетов и моторов, сроки предъявления на гос. испытания которых не выдержаны ГУАПом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3402"/>
        <w:gridCol w:w="2099"/>
        <w:gridCol w:w="3572"/>
      </w:tblGrid>
      <w:tr w:rsidR="00E3599D" w:rsidRPr="00E14102" w14:paraId="0D8A3268" w14:textId="77777777">
        <w:tc>
          <w:tcPr>
            <w:tcW w:w="1526" w:type="dxa"/>
            <w:tcBorders>
              <w:top w:val="single" w:sz="12" w:space="0" w:color="auto"/>
            </w:tcBorders>
          </w:tcPr>
          <w:p w14:paraId="5D92DF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w:t>
            </w:r>
          </w:p>
        </w:tc>
        <w:tc>
          <w:tcPr>
            <w:tcW w:w="3402" w:type="dxa"/>
            <w:tcBorders>
              <w:top w:val="single" w:sz="12" w:space="0" w:color="auto"/>
            </w:tcBorders>
          </w:tcPr>
          <w:p w14:paraId="669CA6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объекта</w:t>
            </w:r>
          </w:p>
        </w:tc>
        <w:tc>
          <w:tcPr>
            <w:tcW w:w="2099" w:type="dxa"/>
            <w:tcBorders>
              <w:top w:val="single" w:sz="12" w:space="0" w:color="auto"/>
            </w:tcBorders>
          </w:tcPr>
          <w:p w14:paraId="22B7D8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Срок </w:t>
            </w:r>
          </w:p>
        </w:tc>
        <w:tc>
          <w:tcPr>
            <w:tcW w:w="3572" w:type="dxa"/>
            <w:tcBorders>
              <w:top w:val="single" w:sz="12" w:space="0" w:color="auto"/>
            </w:tcBorders>
          </w:tcPr>
          <w:p w14:paraId="020B7B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Состояние постройки</w:t>
            </w:r>
          </w:p>
        </w:tc>
      </w:tr>
      <w:tr w:rsidR="00E3599D" w:rsidRPr="00E14102" w14:paraId="21C23FC1" w14:textId="77777777">
        <w:tc>
          <w:tcPr>
            <w:tcW w:w="1526" w:type="dxa"/>
          </w:tcPr>
          <w:p w14:paraId="09BC69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организ.</w:t>
            </w:r>
          </w:p>
        </w:tc>
        <w:tc>
          <w:tcPr>
            <w:tcW w:w="3402" w:type="dxa"/>
          </w:tcPr>
          <w:p w14:paraId="1C2044DB" w14:textId="77777777" w:rsidR="00D4105E" w:rsidRPr="00E14102" w:rsidRDefault="00D4105E" w:rsidP="00E14102">
            <w:pPr>
              <w:autoSpaceDE w:val="0"/>
              <w:autoSpaceDN w:val="0"/>
              <w:adjustRightInd w:val="0"/>
              <w:jc w:val="both"/>
              <w:rPr>
                <w:color w:val="000000" w:themeColor="text1"/>
                <w:sz w:val="16"/>
                <w:szCs w:val="16"/>
              </w:rPr>
            </w:pPr>
          </w:p>
        </w:tc>
        <w:tc>
          <w:tcPr>
            <w:tcW w:w="2099" w:type="dxa"/>
          </w:tcPr>
          <w:p w14:paraId="1CFE3A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предъяв.</w:t>
            </w:r>
          </w:p>
        </w:tc>
        <w:tc>
          <w:tcPr>
            <w:tcW w:w="3572" w:type="dxa"/>
          </w:tcPr>
          <w:p w14:paraId="60185D5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11E249C" w14:textId="77777777">
        <w:tc>
          <w:tcPr>
            <w:tcW w:w="1526" w:type="dxa"/>
          </w:tcPr>
          <w:p w14:paraId="3414A4D5"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Pr>
          <w:p w14:paraId="1704516E" w14:textId="77777777" w:rsidR="00D4105E" w:rsidRPr="00E14102" w:rsidRDefault="00D4105E" w:rsidP="00E14102">
            <w:pPr>
              <w:autoSpaceDE w:val="0"/>
              <w:autoSpaceDN w:val="0"/>
              <w:adjustRightInd w:val="0"/>
              <w:jc w:val="both"/>
              <w:rPr>
                <w:color w:val="000000" w:themeColor="text1"/>
                <w:sz w:val="16"/>
                <w:szCs w:val="16"/>
              </w:rPr>
            </w:pPr>
          </w:p>
        </w:tc>
        <w:tc>
          <w:tcPr>
            <w:tcW w:w="2099" w:type="dxa"/>
          </w:tcPr>
          <w:p w14:paraId="1BB498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плану</w:t>
            </w:r>
          </w:p>
        </w:tc>
        <w:tc>
          <w:tcPr>
            <w:tcW w:w="3572" w:type="dxa"/>
          </w:tcPr>
          <w:p w14:paraId="7A49ED3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02478FB" w14:textId="77777777">
        <w:tc>
          <w:tcPr>
            <w:tcW w:w="1526" w:type="dxa"/>
          </w:tcPr>
          <w:p w14:paraId="7C6F2F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3402" w:type="dxa"/>
          </w:tcPr>
          <w:p w14:paraId="506C7F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Многоместный истребитель ДИ-8</w:t>
            </w:r>
          </w:p>
        </w:tc>
        <w:tc>
          <w:tcPr>
            <w:tcW w:w="2099" w:type="dxa"/>
          </w:tcPr>
          <w:p w14:paraId="6D673A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1.08.35 г.</w:t>
            </w:r>
          </w:p>
        </w:tc>
        <w:tc>
          <w:tcPr>
            <w:tcW w:w="3572" w:type="dxa"/>
          </w:tcPr>
          <w:p w14:paraId="2C3033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Находится на заводских испытаниях</w:t>
            </w:r>
          </w:p>
        </w:tc>
      </w:tr>
      <w:tr w:rsidR="00E3599D" w:rsidRPr="00E14102" w14:paraId="579586F0" w14:textId="77777777">
        <w:tc>
          <w:tcPr>
            <w:tcW w:w="1526" w:type="dxa"/>
          </w:tcPr>
          <w:p w14:paraId="224212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N 39</w:t>
            </w:r>
          </w:p>
        </w:tc>
        <w:tc>
          <w:tcPr>
            <w:tcW w:w="3402" w:type="dxa"/>
          </w:tcPr>
          <w:p w14:paraId="5BCE44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w:t>
            </w:r>
          </w:p>
        </w:tc>
        <w:tc>
          <w:tcPr>
            <w:tcW w:w="2099" w:type="dxa"/>
          </w:tcPr>
          <w:p w14:paraId="133137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1.09.35 г.</w:t>
            </w:r>
          </w:p>
        </w:tc>
        <w:tc>
          <w:tcPr>
            <w:tcW w:w="3572" w:type="dxa"/>
          </w:tcPr>
          <w:p w14:paraId="6228F0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Находится на заводских испытаниях</w:t>
            </w:r>
          </w:p>
        </w:tc>
      </w:tr>
      <w:tr w:rsidR="00E3599D" w:rsidRPr="00E14102" w14:paraId="7667C4F2" w14:textId="77777777">
        <w:tc>
          <w:tcPr>
            <w:tcW w:w="1526" w:type="dxa"/>
          </w:tcPr>
          <w:p w14:paraId="1E668E2A"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Pr>
          <w:p w14:paraId="5F68A7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И17-М100</w:t>
            </w:r>
          </w:p>
        </w:tc>
        <w:tc>
          <w:tcPr>
            <w:tcW w:w="2099" w:type="dxa"/>
          </w:tcPr>
          <w:p w14:paraId="4CDF0249" w14:textId="77777777" w:rsidR="00D4105E" w:rsidRPr="00E14102" w:rsidRDefault="00D4105E" w:rsidP="00E14102">
            <w:pPr>
              <w:autoSpaceDE w:val="0"/>
              <w:autoSpaceDN w:val="0"/>
              <w:adjustRightInd w:val="0"/>
              <w:jc w:val="both"/>
              <w:rPr>
                <w:color w:val="000000" w:themeColor="text1"/>
                <w:sz w:val="16"/>
                <w:szCs w:val="16"/>
              </w:rPr>
            </w:pPr>
          </w:p>
        </w:tc>
        <w:tc>
          <w:tcPr>
            <w:tcW w:w="3572" w:type="dxa"/>
          </w:tcPr>
          <w:p w14:paraId="226777B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692DB20" w14:textId="77777777">
        <w:tc>
          <w:tcPr>
            <w:tcW w:w="1526" w:type="dxa"/>
          </w:tcPr>
          <w:p w14:paraId="05FB7D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N 39</w:t>
            </w:r>
          </w:p>
        </w:tc>
        <w:tc>
          <w:tcPr>
            <w:tcW w:w="3402" w:type="dxa"/>
          </w:tcPr>
          <w:p w14:paraId="1C0DBF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разведчик Р9-М85</w:t>
            </w:r>
          </w:p>
        </w:tc>
        <w:tc>
          <w:tcPr>
            <w:tcW w:w="2099" w:type="dxa"/>
          </w:tcPr>
          <w:p w14:paraId="566A34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1.09.35 г.</w:t>
            </w:r>
          </w:p>
        </w:tc>
        <w:tc>
          <w:tcPr>
            <w:tcW w:w="3572" w:type="dxa"/>
          </w:tcPr>
          <w:p w14:paraId="436AE2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Заканчивается постройкой</w:t>
            </w:r>
          </w:p>
        </w:tc>
      </w:tr>
      <w:tr w:rsidR="00E3599D" w:rsidRPr="00E14102" w14:paraId="0246B3FF" w14:textId="77777777">
        <w:tc>
          <w:tcPr>
            <w:tcW w:w="1526" w:type="dxa"/>
          </w:tcPr>
          <w:p w14:paraId="7AED44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N 18</w:t>
            </w:r>
          </w:p>
        </w:tc>
        <w:tc>
          <w:tcPr>
            <w:tcW w:w="3402" w:type="dxa"/>
          </w:tcPr>
          <w:p w14:paraId="7B7AEE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бомбардировщик</w:t>
            </w:r>
          </w:p>
        </w:tc>
        <w:tc>
          <w:tcPr>
            <w:tcW w:w="2099" w:type="dxa"/>
          </w:tcPr>
          <w:p w14:paraId="361D79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1.09.35 г.</w:t>
            </w:r>
          </w:p>
        </w:tc>
        <w:tc>
          <w:tcPr>
            <w:tcW w:w="3572" w:type="dxa"/>
          </w:tcPr>
          <w:p w14:paraId="23BF70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Заканчивается постройкой</w:t>
            </w:r>
          </w:p>
        </w:tc>
      </w:tr>
      <w:tr w:rsidR="00E3599D" w:rsidRPr="00E14102" w14:paraId="00910C93" w14:textId="77777777">
        <w:tc>
          <w:tcPr>
            <w:tcW w:w="1526" w:type="dxa"/>
          </w:tcPr>
          <w:p w14:paraId="6D73FC0D"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Pr>
          <w:p w14:paraId="159964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2М34</w:t>
            </w:r>
          </w:p>
        </w:tc>
        <w:tc>
          <w:tcPr>
            <w:tcW w:w="2099" w:type="dxa"/>
          </w:tcPr>
          <w:p w14:paraId="38AAC0C2" w14:textId="77777777" w:rsidR="00D4105E" w:rsidRPr="00E14102" w:rsidRDefault="00D4105E" w:rsidP="00E14102">
            <w:pPr>
              <w:autoSpaceDE w:val="0"/>
              <w:autoSpaceDN w:val="0"/>
              <w:adjustRightInd w:val="0"/>
              <w:jc w:val="both"/>
              <w:rPr>
                <w:color w:val="000000" w:themeColor="text1"/>
                <w:sz w:val="16"/>
                <w:szCs w:val="16"/>
              </w:rPr>
            </w:pPr>
          </w:p>
        </w:tc>
        <w:tc>
          <w:tcPr>
            <w:tcW w:w="3572" w:type="dxa"/>
          </w:tcPr>
          <w:p w14:paraId="09B1AEF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82F3AD5" w14:textId="77777777">
        <w:tc>
          <w:tcPr>
            <w:tcW w:w="1526" w:type="dxa"/>
          </w:tcPr>
          <w:p w14:paraId="579C1F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N 18</w:t>
            </w:r>
          </w:p>
        </w:tc>
        <w:tc>
          <w:tcPr>
            <w:tcW w:w="3402" w:type="dxa"/>
          </w:tcPr>
          <w:p w14:paraId="1B76D8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Войсковой самолет 2М22</w:t>
            </w:r>
          </w:p>
        </w:tc>
        <w:tc>
          <w:tcPr>
            <w:tcW w:w="2099" w:type="dxa"/>
          </w:tcPr>
          <w:p w14:paraId="395411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1.10.35 г.</w:t>
            </w:r>
          </w:p>
        </w:tc>
        <w:tc>
          <w:tcPr>
            <w:tcW w:w="3572" w:type="dxa"/>
          </w:tcPr>
          <w:p w14:paraId="6924E9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Находится в постройке</w:t>
            </w:r>
          </w:p>
        </w:tc>
      </w:tr>
      <w:tr w:rsidR="00E3599D" w:rsidRPr="00E14102" w14:paraId="202EA524" w14:textId="77777777">
        <w:tc>
          <w:tcPr>
            <w:tcW w:w="1526" w:type="dxa"/>
          </w:tcPr>
          <w:p w14:paraId="56F0E262"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Pr>
          <w:p w14:paraId="72299D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(экспериментальный)</w:t>
            </w:r>
          </w:p>
        </w:tc>
        <w:tc>
          <w:tcPr>
            <w:tcW w:w="2099" w:type="dxa"/>
          </w:tcPr>
          <w:p w14:paraId="4195818D" w14:textId="77777777" w:rsidR="00D4105E" w:rsidRPr="00E14102" w:rsidRDefault="00D4105E" w:rsidP="00E14102">
            <w:pPr>
              <w:autoSpaceDE w:val="0"/>
              <w:autoSpaceDN w:val="0"/>
              <w:adjustRightInd w:val="0"/>
              <w:jc w:val="both"/>
              <w:rPr>
                <w:color w:val="000000" w:themeColor="text1"/>
                <w:sz w:val="16"/>
                <w:szCs w:val="16"/>
              </w:rPr>
            </w:pPr>
          </w:p>
        </w:tc>
        <w:tc>
          <w:tcPr>
            <w:tcW w:w="3572" w:type="dxa"/>
          </w:tcPr>
          <w:p w14:paraId="1F97DE0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8030E0A" w14:textId="77777777">
        <w:tc>
          <w:tcPr>
            <w:tcW w:w="1526" w:type="dxa"/>
          </w:tcPr>
          <w:p w14:paraId="388218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N 1</w:t>
            </w:r>
          </w:p>
        </w:tc>
        <w:tc>
          <w:tcPr>
            <w:tcW w:w="3402" w:type="dxa"/>
          </w:tcPr>
          <w:p w14:paraId="71FA04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Истребитель пушечный ИП-3</w:t>
            </w:r>
          </w:p>
        </w:tc>
        <w:tc>
          <w:tcPr>
            <w:tcW w:w="2099" w:type="dxa"/>
          </w:tcPr>
          <w:p w14:paraId="1F7D71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1.08.35 г.</w:t>
            </w:r>
          </w:p>
        </w:tc>
        <w:tc>
          <w:tcPr>
            <w:tcW w:w="3572" w:type="dxa"/>
          </w:tcPr>
          <w:p w14:paraId="2A6FA4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Находится на заводских испытаниях</w:t>
            </w:r>
          </w:p>
        </w:tc>
      </w:tr>
      <w:tr w:rsidR="00E3599D" w:rsidRPr="00E14102" w14:paraId="73676732" w14:textId="77777777">
        <w:tc>
          <w:tcPr>
            <w:tcW w:w="1526" w:type="dxa"/>
          </w:tcPr>
          <w:p w14:paraId="483E4A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N 22</w:t>
            </w:r>
          </w:p>
        </w:tc>
        <w:tc>
          <w:tcPr>
            <w:tcW w:w="3402" w:type="dxa"/>
          </w:tcPr>
          <w:p w14:paraId="18BB46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Тяжелый бомбардировщик</w:t>
            </w:r>
          </w:p>
        </w:tc>
        <w:tc>
          <w:tcPr>
            <w:tcW w:w="2099" w:type="dxa"/>
          </w:tcPr>
          <w:p w14:paraId="638D11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1.09.35 г.</w:t>
            </w:r>
          </w:p>
        </w:tc>
        <w:tc>
          <w:tcPr>
            <w:tcW w:w="3572" w:type="dxa"/>
          </w:tcPr>
          <w:p w14:paraId="35F42C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Находится на заводских испытаниях</w:t>
            </w:r>
          </w:p>
        </w:tc>
      </w:tr>
      <w:tr w:rsidR="00E3599D" w:rsidRPr="00E14102" w14:paraId="2A9907E8" w14:textId="77777777">
        <w:tc>
          <w:tcPr>
            <w:tcW w:w="1526" w:type="dxa"/>
          </w:tcPr>
          <w:p w14:paraId="60EEE83E"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Pr>
          <w:p w14:paraId="48506E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ДБ-4М34</w:t>
            </w:r>
          </w:p>
        </w:tc>
        <w:tc>
          <w:tcPr>
            <w:tcW w:w="2099" w:type="dxa"/>
          </w:tcPr>
          <w:p w14:paraId="50B5F951" w14:textId="77777777" w:rsidR="00D4105E" w:rsidRPr="00E14102" w:rsidRDefault="00D4105E" w:rsidP="00E14102">
            <w:pPr>
              <w:autoSpaceDE w:val="0"/>
              <w:autoSpaceDN w:val="0"/>
              <w:adjustRightInd w:val="0"/>
              <w:jc w:val="both"/>
              <w:rPr>
                <w:color w:val="000000" w:themeColor="text1"/>
                <w:sz w:val="16"/>
                <w:szCs w:val="16"/>
              </w:rPr>
            </w:pPr>
          </w:p>
        </w:tc>
        <w:tc>
          <w:tcPr>
            <w:tcW w:w="3572" w:type="dxa"/>
          </w:tcPr>
          <w:p w14:paraId="702A876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EFF1C72" w14:textId="77777777">
        <w:tc>
          <w:tcPr>
            <w:tcW w:w="1526" w:type="dxa"/>
          </w:tcPr>
          <w:p w14:paraId="4BD11D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3402" w:type="dxa"/>
          </w:tcPr>
          <w:p w14:paraId="3062F0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Фоторазведчик ФР-М25</w:t>
            </w:r>
          </w:p>
        </w:tc>
        <w:tc>
          <w:tcPr>
            <w:tcW w:w="2099" w:type="dxa"/>
          </w:tcPr>
          <w:p w14:paraId="5EA232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1.06.35 г.</w:t>
            </w:r>
          </w:p>
        </w:tc>
        <w:tc>
          <w:tcPr>
            <w:tcW w:w="3572" w:type="dxa"/>
          </w:tcPr>
          <w:p w14:paraId="0F6F61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Подготавливаются к сдаче на гос. испытания</w:t>
            </w:r>
          </w:p>
        </w:tc>
      </w:tr>
      <w:tr w:rsidR="00E3599D" w:rsidRPr="00E14102" w14:paraId="0C4E36A7" w14:textId="77777777">
        <w:tc>
          <w:tcPr>
            <w:tcW w:w="1526" w:type="dxa"/>
          </w:tcPr>
          <w:p w14:paraId="5BF305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N 31</w:t>
            </w:r>
          </w:p>
        </w:tc>
        <w:tc>
          <w:tcPr>
            <w:tcW w:w="3402" w:type="dxa"/>
          </w:tcPr>
          <w:p w14:paraId="151F24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Морской ближний разведчик</w:t>
            </w:r>
          </w:p>
        </w:tc>
        <w:tc>
          <w:tcPr>
            <w:tcW w:w="2099" w:type="dxa"/>
          </w:tcPr>
          <w:p w14:paraId="66BBBD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1.08.35 г.</w:t>
            </w:r>
          </w:p>
        </w:tc>
        <w:tc>
          <w:tcPr>
            <w:tcW w:w="3572" w:type="dxa"/>
          </w:tcPr>
          <w:p w14:paraId="4B72C0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Начаты заводские испытания</w:t>
            </w:r>
          </w:p>
        </w:tc>
      </w:tr>
      <w:tr w:rsidR="00E3599D" w:rsidRPr="00E14102" w14:paraId="76FB341E" w14:textId="77777777">
        <w:tc>
          <w:tcPr>
            <w:tcW w:w="1526" w:type="dxa"/>
          </w:tcPr>
          <w:p w14:paraId="2F935898"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Pr>
          <w:p w14:paraId="42BA94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МБР5-М25</w:t>
            </w:r>
          </w:p>
        </w:tc>
        <w:tc>
          <w:tcPr>
            <w:tcW w:w="2099" w:type="dxa"/>
          </w:tcPr>
          <w:p w14:paraId="0AD98E46" w14:textId="77777777" w:rsidR="00D4105E" w:rsidRPr="00E14102" w:rsidRDefault="00D4105E" w:rsidP="00E14102">
            <w:pPr>
              <w:autoSpaceDE w:val="0"/>
              <w:autoSpaceDN w:val="0"/>
              <w:adjustRightInd w:val="0"/>
              <w:jc w:val="both"/>
              <w:rPr>
                <w:color w:val="000000" w:themeColor="text1"/>
                <w:sz w:val="16"/>
                <w:szCs w:val="16"/>
              </w:rPr>
            </w:pPr>
          </w:p>
        </w:tc>
        <w:tc>
          <w:tcPr>
            <w:tcW w:w="3572" w:type="dxa"/>
          </w:tcPr>
          <w:p w14:paraId="5733BD8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EE421AB" w14:textId="77777777">
        <w:tc>
          <w:tcPr>
            <w:tcW w:w="1526" w:type="dxa"/>
          </w:tcPr>
          <w:p w14:paraId="1E0B4C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N 35</w:t>
            </w:r>
          </w:p>
        </w:tc>
        <w:tc>
          <w:tcPr>
            <w:tcW w:w="3402" w:type="dxa"/>
          </w:tcPr>
          <w:p w14:paraId="328A34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Стратосферный (эксперимент.)</w:t>
            </w:r>
          </w:p>
        </w:tc>
        <w:tc>
          <w:tcPr>
            <w:tcW w:w="2099" w:type="dxa"/>
          </w:tcPr>
          <w:p w14:paraId="7B17E0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1.08.35 г.</w:t>
            </w:r>
          </w:p>
        </w:tc>
        <w:tc>
          <w:tcPr>
            <w:tcW w:w="3572" w:type="dxa"/>
          </w:tcPr>
          <w:p w14:paraId="5E1ECE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Заканчивается постройкой</w:t>
            </w:r>
          </w:p>
        </w:tc>
      </w:tr>
      <w:tr w:rsidR="00E3599D" w:rsidRPr="00E14102" w14:paraId="51180305" w14:textId="77777777">
        <w:tc>
          <w:tcPr>
            <w:tcW w:w="1526" w:type="dxa"/>
          </w:tcPr>
          <w:p w14:paraId="70EC86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N 23</w:t>
            </w:r>
          </w:p>
        </w:tc>
        <w:tc>
          <w:tcPr>
            <w:tcW w:w="3402" w:type="dxa"/>
          </w:tcPr>
          <w:p w14:paraId="3D00D1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Учебно-трениров. Истребитель</w:t>
            </w:r>
          </w:p>
        </w:tc>
        <w:tc>
          <w:tcPr>
            <w:tcW w:w="2099" w:type="dxa"/>
          </w:tcPr>
          <w:p w14:paraId="6371AC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1.10.35 г.</w:t>
            </w:r>
          </w:p>
        </w:tc>
        <w:tc>
          <w:tcPr>
            <w:tcW w:w="3572" w:type="dxa"/>
          </w:tcPr>
          <w:p w14:paraId="1AFF59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постройке не приступлено, хотя проект</w:t>
            </w:r>
          </w:p>
        </w:tc>
      </w:tr>
      <w:tr w:rsidR="00E3599D" w:rsidRPr="00E14102" w14:paraId="743948FA" w14:textId="77777777">
        <w:tc>
          <w:tcPr>
            <w:tcW w:w="1526" w:type="dxa"/>
          </w:tcPr>
          <w:p w14:paraId="2138BA06"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Pr>
          <w:p w14:paraId="18453E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М48</w:t>
            </w:r>
          </w:p>
        </w:tc>
        <w:tc>
          <w:tcPr>
            <w:tcW w:w="2099" w:type="dxa"/>
          </w:tcPr>
          <w:p w14:paraId="337CFD1D" w14:textId="77777777" w:rsidR="00D4105E" w:rsidRPr="00E14102" w:rsidRDefault="00D4105E" w:rsidP="00E14102">
            <w:pPr>
              <w:autoSpaceDE w:val="0"/>
              <w:autoSpaceDN w:val="0"/>
              <w:adjustRightInd w:val="0"/>
              <w:jc w:val="both"/>
              <w:rPr>
                <w:color w:val="000000" w:themeColor="text1"/>
                <w:sz w:val="16"/>
                <w:szCs w:val="16"/>
              </w:rPr>
            </w:pPr>
          </w:p>
        </w:tc>
        <w:tc>
          <w:tcPr>
            <w:tcW w:w="3572" w:type="dxa"/>
          </w:tcPr>
          <w:p w14:paraId="5D0718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готов, так как ГУАП не довел мотор М-48</w:t>
            </w:r>
          </w:p>
        </w:tc>
      </w:tr>
      <w:tr w:rsidR="00E3599D" w:rsidRPr="00E14102" w14:paraId="12877E6A" w14:textId="77777777">
        <w:tc>
          <w:tcPr>
            <w:tcW w:w="1526" w:type="dxa"/>
          </w:tcPr>
          <w:p w14:paraId="54B18B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КАИ</w:t>
            </w:r>
          </w:p>
        </w:tc>
        <w:tc>
          <w:tcPr>
            <w:tcW w:w="3402" w:type="dxa"/>
          </w:tcPr>
          <w:p w14:paraId="3A4E9C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Учебно-трениров. Истребитель</w:t>
            </w:r>
          </w:p>
        </w:tc>
        <w:tc>
          <w:tcPr>
            <w:tcW w:w="2099" w:type="dxa"/>
          </w:tcPr>
          <w:p w14:paraId="74C4D2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1.10.35 г.</w:t>
            </w:r>
          </w:p>
        </w:tc>
        <w:tc>
          <w:tcPr>
            <w:tcW w:w="3572" w:type="dxa"/>
          </w:tcPr>
          <w:p w14:paraId="3DCA3C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постройке не приступлено, хотя проект</w:t>
            </w:r>
          </w:p>
        </w:tc>
      </w:tr>
      <w:tr w:rsidR="00E3599D" w:rsidRPr="00E14102" w14:paraId="6243A37E" w14:textId="77777777">
        <w:tc>
          <w:tcPr>
            <w:tcW w:w="1526" w:type="dxa"/>
          </w:tcPr>
          <w:p w14:paraId="730964BF" w14:textId="77777777" w:rsidR="00D4105E" w:rsidRPr="00E14102" w:rsidRDefault="00D4105E" w:rsidP="00E14102">
            <w:pPr>
              <w:autoSpaceDE w:val="0"/>
              <w:autoSpaceDN w:val="0"/>
              <w:adjustRightInd w:val="0"/>
              <w:jc w:val="both"/>
              <w:rPr>
                <w:color w:val="000000" w:themeColor="text1"/>
                <w:sz w:val="16"/>
                <w:szCs w:val="16"/>
              </w:rPr>
            </w:pPr>
          </w:p>
        </w:tc>
        <w:tc>
          <w:tcPr>
            <w:tcW w:w="3402" w:type="dxa"/>
          </w:tcPr>
          <w:p w14:paraId="4A6AF5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М48</w:t>
            </w:r>
          </w:p>
        </w:tc>
        <w:tc>
          <w:tcPr>
            <w:tcW w:w="2099" w:type="dxa"/>
          </w:tcPr>
          <w:p w14:paraId="04493705" w14:textId="77777777" w:rsidR="00D4105E" w:rsidRPr="00E14102" w:rsidRDefault="00D4105E" w:rsidP="00E14102">
            <w:pPr>
              <w:autoSpaceDE w:val="0"/>
              <w:autoSpaceDN w:val="0"/>
              <w:adjustRightInd w:val="0"/>
              <w:jc w:val="both"/>
              <w:rPr>
                <w:color w:val="000000" w:themeColor="text1"/>
                <w:sz w:val="16"/>
                <w:szCs w:val="16"/>
              </w:rPr>
            </w:pPr>
          </w:p>
        </w:tc>
        <w:tc>
          <w:tcPr>
            <w:tcW w:w="3572" w:type="dxa"/>
          </w:tcPr>
          <w:p w14:paraId="07D06F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готов, так как ГУАП не довел мотор М-48</w:t>
            </w:r>
          </w:p>
        </w:tc>
      </w:tr>
      <w:tr w:rsidR="00E3599D" w:rsidRPr="00E14102" w14:paraId="23A5FF45" w14:textId="77777777">
        <w:tc>
          <w:tcPr>
            <w:tcW w:w="1526" w:type="dxa"/>
          </w:tcPr>
          <w:p w14:paraId="57E411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w:t>
            </w:r>
          </w:p>
        </w:tc>
        <w:tc>
          <w:tcPr>
            <w:tcW w:w="3402" w:type="dxa"/>
          </w:tcPr>
          <w:p w14:paraId="63826D4B" w14:textId="77777777" w:rsidR="00D4105E" w:rsidRPr="00E14102" w:rsidRDefault="00D4105E" w:rsidP="00E14102">
            <w:pPr>
              <w:autoSpaceDE w:val="0"/>
              <w:autoSpaceDN w:val="0"/>
              <w:adjustRightInd w:val="0"/>
              <w:jc w:val="both"/>
              <w:rPr>
                <w:color w:val="000000" w:themeColor="text1"/>
                <w:sz w:val="16"/>
                <w:szCs w:val="16"/>
              </w:rPr>
            </w:pPr>
          </w:p>
        </w:tc>
        <w:tc>
          <w:tcPr>
            <w:tcW w:w="2099" w:type="dxa"/>
          </w:tcPr>
          <w:p w14:paraId="1DA7C7FD" w14:textId="77777777" w:rsidR="00D4105E" w:rsidRPr="00E14102" w:rsidRDefault="00D4105E" w:rsidP="00E14102">
            <w:pPr>
              <w:autoSpaceDE w:val="0"/>
              <w:autoSpaceDN w:val="0"/>
              <w:adjustRightInd w:val="0"/>
              <w:jc w:val="both"/>
              <w:rPr>
                <w:color w:val="000000" w:themeColor="text1"/>
                <w:sz w:val="16"/>
                <w:szCs w:val="16"/>
              </w:rPr>
            </w:pPr>
          </w:p>
        </w:tc>
        <w:tc>
          <w:tcPr>
            <w:tcW w:w="3572" w:type="dxa"/>
          </w:tcPr>
          <w:p w14:paraId="48B0046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190E3AF" w14:textId="77777777">
        <w:tc>
          <w:tcPr>
            <w:tcW w:w="1526" w:type="dxa"/>
          </w:tcPr>
          <w:p w14:paraId="323ECC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 N 24</w:t>
            </w:r>
          </w:p>
        </w:tc>
        <w:tc>
          <w:tcPr>
            <w:tcW w:w="3402" w:type="dxa"/>
          </w:tcPr>
          <w:p w14:paraId="2E4049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ФРН первый этап</w:t>
            </w:r>
          </w:p>
        </w:tc>
        <w:tc>
          <w:tcPr>
            <w:tcW w:w="2099" w:type="dxa"/>
          </w:tcPr>
          <w:p w14:paraId="734B80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1.09.35 г.</w:t>
            </w:r>
          </w:p>
        </w:tc>
        <w:tc>
          <w:tcPr>
            <w:tcW w:w="3572" w:type="dxa"/>
          </w:tcPr>
          <w:p w14:paraId="328E8B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Находится на заводских испытаниях</w:t>
            </w:r>
          </w:p>
        </w:tc>
      </w:tr>
      <w:tr w:rsidR="00E3599D" w:rsidRPr="00E14102" w14:paraId="4328DF51" w14:textId="77777777">
        <w:tc>
          <w:tcPr>
            <w:tcW w:w="1526" w:type="dxa"/>
            <w:tcBorders>
              <w:bottom w:val="single" w:sz="12" w:space="0" w:color="auto"/>
            </w:tcBorders>
          </w:tcPr>
          <w:p w14:paraId="4E7B6B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3402" w:type="dxa"/>
            <w:tcBorders>
              <w:bottom w:val="single" w:sz="12" w:space="0" w:color="auto"/>
            </w:tcBorders>
          </w:tcPr>
          <w:p w14:paraId="6FE22B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М-56</w:t>
            </w:r>
          </w:p>
        </w:tc>
        <w:tc>
          <w:tcPr>
            <w:tcW w:w="2099" w:type="dxa"/>
            <w:tcBorders>
              <w:bottom w:val="single" w:sz="12" w:space="0" w:color="auto"/>
            </w:tcBorders>
          </w:tcPr>
          <w:p w14:paraId="529B4E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1.09.35 г.</w:t>
            </w:r>
          </w:p>
        </w:tc>
        <w:tc>
          <w:tcPr>
            <w:tcW w:w="3572" w:type="dxa"/>
            <w:tcBorders>
              <w:bottom w:val="single" w:sz="12" w:space="0" w:color="auto"/>
            </w:tcBorders>
          </w:tcPr>
          <w:p w14:paraId="2B2B9C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Находится на заводских испытаниях (3120)</w:t>
            </w:r>
          </w:p>
        </w:tc>
      </w:tr>
    </w:tbl>
    <w:p w14:paraId="120C0C68" w14:textId="77777777" w:rsidR="00D4105E" w:rsidRPr="00E14102" w:rsidRDefault="00D4105E" w:rsidP="00E14102">
      <w:pPr>
        <w:autoSpaceDE w:val="0"/>
        <w:autoSpaceDN w:val="0"/>
        <w:adjustRightInd w:val="0"/>
        <w:jc w:val="both"/>
        <w:rPr>
          <w:color w:val="000000" w:themeColor="text1"/>
          <w:sz w:val="16"/>
          <w:szCs w:val="16"/>
        </w:rPr>
      </w:pPr>
    </w:p>
    <w:p w14:paraId="7344AD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при заводе № 135 был образован ОКО-135.</w:t>
      </w:r>
    </w:p>
    <w:p w14:paraId="2CBDF8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 НКОП № 264 от 14.07.1938 г. организованы группа найма и секретная часть ОКО (отдельно от завода).</w:t>
      </w:r>
    </w:p>
    <w:p w14:paraId="0EF51D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гл. конструктора по производству (5.11.1938 г.-)- И.А. Энгельштейн (11982).</w:t>
      </w:r>
    </w:p>
    <w:p w14:paraId="6C870BDC" w14:textId="77777777" w:rsidR="00D4105E" w:rsidRPr="00E14102" w:rsidRDefault="00D4105E" w:rsidP="00E14102">
      <w:pPr>
        <w:autoSpaceDE w:val="0"/>
        <w:autoSpaceDN w:val="0"/>
        <w:adjustRightInd w:val="0"/>
        <w:jc w:val="both"/>
        <w:rPr>
          <w:color w:val="000000" w:themeColor="text1"/>
          <w:sz w:val="16"/>
          <w:szCs w:val="16"/>
        </w:rPr>
      </w:pPr>
    </w:p>
    <w:p w14:paraId="13DEE4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года зам. наркома тяжелой промышленности Пятаков писал письмо № 01/7677сс Молотову В.М.</w:t>
      </w:r>
    </w:p>
    <w:p w14:paraId="68F838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СТО от 29 декабря 1934 года заводу № 29 установлена производственная программа на 1935 год по выпуску моторов К-14 - 100 и К-9 - 150 штук.</w:t>
      </w:r>
    </w:p>
    <w:p w14:paraId="159053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полной обеспеченности в 1936 году всех истребителей моторами М-25 (Р.Ц.) и отсутствия, как в настоящее время серийных самолетов с моторами К-9, так и в предварительной заявке НКО на 1936 год самолетов с этим мотором (К-9) не значится, настоящим прошу утвердить по заводу № 29 программу в текущем году по выпуску мотора К-9 в количестве 50 штук вместо 150 установленных, за счет чего будет увеличен выпуск моторов К-14 до 150 штук вместо утвержденных 100 моторов.</w:t>
      </w:r>
    </w:p>
    <w:p w14:paraId="5CEA67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следует отметить, что мотор К-14 является более совершенным по своим техническим данным и с этим мотором находятся в опытном строительстве самолеты С.Р. (скоростной разведчик) на заводах №№ 1, 39, ХАИ, на заводах №№ 1 и 18 пикирующие бомбардировщики, в ЦАГИ ДБ-2 (дальний бомбардировщик и др.).</w:t>
      </w:r>
    </w:p>
    <w:p w14:paraId="27874B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Оставив в производстве завода № 29 один тип мотора (К-14), завод в будущем году сможет выпускать часть моторов с повышенными техническими данными, произведя модификацию по которой уже ведутся работы.</w:t>
      </w:r>
    </w:p>
    <w:p w14:paraId="0C5ECA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имеющимся данным фирма “Гном и Рон” также отказалась от производства мотора К-9 и занята выпуском мотора К-14, работая над модификацией его (3475,91).</w:t>
      </w:r>
    </w:p>
    <w:p w14:paraId="2B78C748" w14:textId="77777777" w:rsidR="00D4105E" w:rsidRPr="00E14102" w:rsidRDefault="00D4105E" w:rsidP="00E14102">
      <w:pPr>
        <w:autoSpaceDE w:val="0"/>
        <w:autoSpaceDN w:val="0"/>
        <w:adjustRightInd w:val="0"/>
        <w:jc w:val="both"/>
        <w:rPr>
          <w:color w:val="000000" w:themeColor="text1"/>
          <w:sz w:val="16"/>
          <w:szCs w:val="16"/>
        </w:rPr>
      </w:pPr>
    </w:p>
    <w:p w14:paraId="1889B343" w14:textId="77777777" w:rsidR="00B32032" w:rsidRPr="00E14102" w:rsidRDefault="00B32032" w:rsidP="00E14102">
      <w:pPr>
        <w:shd w:val="clear" w:color="auto" w:fill="FFFFFF"/>
        <w:jc w:val="both"/>
        <w:rPr>
          <w:color w:val="0070C0"/>
          <w:sz w:val="16"/>
          <w:szCs w:val="16"/>
        </w:rPr>
      </w:pPr>
      <w:r w:rsidRPr="00E14102">
        <w:rPr>
          <w:rStyle w:val="38ArialUnicodeMS65pt"/>
          <w:rFonts w:ascii="Times New Roman" w:hAnsi="Times New Roman" w:cs="Times New Roman"/>
          <w:i w:val="0"/>
          <w:iCs w:val="0"/>
          <w:color w:val="0070C0"/>
          <w:sz w:val="16"/>
          <w:szCs w:val="16"/>
        </w:rPr>
        <w:t>В октябре 1935 года Замнаркома тяжелой про</w:t>
      </w:r>
      <w:r w:rsidRPr="00E14102">
        <w:rPr>
          <w:rStyle w:val="38ArialUnicodeMS65pt"/>
          <w:rFonts w:ascii="Times New Roman" w:hAnsi="Times New Roman" w:cs="Times New Roman"/>
          <w:i w:val="0"/>
          <w:iCs w:val="0"/>
          <w:color w:val="0070C0"/>
          <w:sz w:val="16"/>
          <w:szCs w:val="16"/>
        </w:rPr>
        <w:softHyphen/>
        <w:t>мышленности Г.Л. Пятаков обратился к В.М. Молотову</w:t>
      </w:r>
      <w:r w:rsidRPr="00E14102">
        <w:rPr>
          <w:rStyle w:val="38ArialUnicodeMS65pt"/>
          <w:rFonts w:ascii="Times New Roman" w:hAnsi="Times New Roman" w:cs="Times New Roman"/>
          <w:color w:val="0070C0"/>
          <w:sz w:val="16"/>
          <w:szCs w:val="16"/>
        </w:rPr>
        <w:t>:</w:t>
      </w:r>
      <w:r w:rsidRPr="00E14102">
        <w:rPr>
          <w:rStyle w:val="381"/>
          <w:rFonts w:ascii="Times New Roman" w:hAnsi="Times New Roman" w:cs="Times New Roman"/>
          <w:color w:val="0070C0"/>
          <w:sz w:val="16"/>
          <w:szCs w:val="16"/>
        </w:rPr>
        <w:t xml:space="preserve"> «В виду полной обеспеченности в 1936 году всех истребителей моторами М- 25 (Р.Ц.) и отсутствия, как в настоящее время серийных самолетов с моторами К-9, так и в предварительной заявке НКО на 1936 год самолетов с этим мотором (К-9) не зна</w:t>
      </w:r>
      <w:r w:rsidRPr="00E14102">
        <w:rPr>
          <w:rStyle w:val="381"/>
          <w:rFonts w:ascii="Times New Roman" w:hAnsi="Times New Roman" w:cs="Times New Roman"/>
          <w:color w:val="0070C0"/>
          <w:sz w:val="16"/>
          <w:szCs w:val="16"/>
        </w:rPr>
        <w:softHyphen/>
        <w:t>чится. Настоящим прошу утвердить по заводу № 29 программу в текущем году по выпуску мотора К-9 в количестве 50 штук вместо 150 установленных, за счет чего будет увеличен выпуск моторов К-14 до 150 штук вместо утвержденных 100 моторов. Кроме того следует отметить, что мотор К-14 является более совершенным по своим техническим данным и с этим мотором нахо</w:t>
      </w:r>
      <w:r w:rsidRPr="00E14102">
        <w:rPr>
          <w:rStyle w:val="381"/>
          <w:rFonts w:ascii="Times New Roman" w:hAnsi="Times New Roman" w:cs="Times New Roman"/>
          <w:color w:val="0070C0"/>
          <w:sz w:val="16"/>
          <w:szCs w:val="16"/>
        </w:rPr>
        <w:softHyphen/>
        <w:t>дятся в опытном строительстве самолеты С.Р. (скоростной разведчик) на заводах №№ 1,39, ХАИ, на заводах №№ 1 и 18 пикирующие бомбардировщики, в ЦАГИ ДБ-2 (дальний бомбардировщик и др.). Оставив в производ</w:t>
      </w:r>
      <w:r w:rsidRPr="00E14102">
        <w:rPr>
          <w:rStyle w:val="381"/>
          <w:rFonts w:ascii="Times New Roman" w:hAnsi="Times New Roman" w:cs="Times New Roman"/>
          <w:color w:val="0070C0"/>
          <w:sz w:val="16"/>
          <w:szCs w:val="16"/>
        </w:rPr>
        <w:softHyphen/>
        <w:t xml:space="preserve">стве завода № 29 один </w:t>
      </w:r>
      <w:r w:rsidRPr="00E14102">
        <w:rPr>
          <w:rStyle w:val="381"/>
          <w:rFonts w:ascii="Times New Roman" w:hAnsi="Times New Roman" w:cs="Times New Roman"/>
          <w:color w:val="0070C0"/>
          <w:sz w:val="16"/>
          <w:szCs w:val="16"/>
        </w:rPr>
        <w:lastRenderedPageBreak/>
        <w:t>тип мотора (К-14), завод в будущем году сможет выпускать часть моторов с повышенными технически</w:t>
      </w:r>
      <w:r w:rsidRPr="00E14102">
        <w:rPr>
          <w:rStyle w:val="381"/>
          <w:rFonts w:ascii="Times New Roman" w:hAnsi="Times New Roman" w:cs="Times New Roman"/>
          <w:color w:val="0070C0"/>
          <w:sz w:val="16"/>
          <w:szCs w:val="16"/>
        </w:rPr>
        <w:softHyphen/>
        <w:t>ми данными, произведя модификацию по которой уже ведутся работы. По имеющим</w:t>
      </w:r>
      <w:r w:rsidRPr="00E14102">
        <w:rPr>
          <w:rStyle w:val="381"/>
          <w:rFonts w:ascii="Times New Roman" w:hAnsi="Times New Roman" w:cs="Times New Roman"/>
          <w:color w:val="0070C0"/>
          <w:sz w:val="16"/>
          <w:szCs w:val="16"/>
        </w:rPr>
        <w:softHyphen/>
        <w:t>ся данным фирма "Гном и Рон" также отка</w:t>
      </w:r>
      <w:r w:rsidRPr="00E14102">
        <w:rPr>
          <w:rStyle w:val="381"/>
          <w:rFonts w:ascii="Times New Roman" w:hAnsi="Times New Roman" w:cs="Times New Roman"/>
          <w:color w:val="0070C0"/>
          <w:sz w:val="16"/>
          <w:szCs w:val="16"/>
        </w:rPr>
        <w:softHyphen/>
        <w:t>залась от производства мотора К-9 и заня</w:t>
      </w:r>
      <w:r w:rsidRPr="00E14102">
        <w:rPr>
          <w:rStyle w:val="381"/>
          <w:rFonts w:ascii="Times New Roman" w:hAnsi="Times New Roman" w:cs="Times New Roman"/>
          <w:color w:val="0070C0"/>
          <w:sz w:val="16"/>
          <w:szCs w:val="16"/>
        </w:rPr>
        <w:softHyphen/>
        <w:t>та выпуском мотора К-14, работая над модификацией его» (19898).</w:t>
      </w:r>
    </w:p>
    <w:p w14:paraId="75AEDC6A" w14:textId="77777777" w:rsidR="00B32032" w:rsidRPr="00E14102" w:rsidRDefault="00B32032" w:rsidP="00E14102">
      <w:pPr>
        <w:jc w:val="both"/>
        <w:rPr>
          <w:color w:val="0070C0"/>
          <w:sz w:val="16"/>
          <w:szCs w:val="16"/>
        </w:rPr>
      </w:pPr>
    </w:p>
    <w:p w14:paraId="39A39E0F" w14:textId="77777777" w:rsidR="00136D5A" w:rsidRPr="00E14102" w:rsidRDefault="00136D5A" w:rsidP="00E14102">
      <w:pPr>
        <w:jc w:val="both"/>
        <w:rPr>
          <w:color w:val="0070C0"/>
          <w:sz w:val="16"/>
          <w:szCs w:val="16"/>
        </w:rPr>
      </w:pPr>
      <w:r w:rsidRPr="00E14102">
        <w:rPr>
          <w:color w:val="0070C0"/>
          <w:sz w:val="16"/>
          <w:szCs w:val="16"/>
        </w:rPr>
        <w:t>В октябре 1935 г. первый образец М-85 был представлен на го</w:t>
      </w:r>
      <w:r w:rsidRPr="00E14102">
        <w:rPr>
          <w:color w:val="0070C0"/>
          <w:sz w:val="16"/>
          <w:szCs w:val="16"/>
        </w:rPr>
        <w:softHyphen/>
        <w:t>сударственные 100-часовые испытания. По мощности и вы</w:t>
      </w:r>
      <w:r w:rsidRPr="00E14102">
        <w:rPr>
          <w:color w:val="0070C0"/>
          <w:sz w:val="16"/>
          <w:szCs w:val="16"/>
        </w:rPr>
        <w:softHyphen/>
        <w:t>сотности советский «Мистраль Мажор» полностью соответ</w:t>
      </w:r>
      <w:r w:rsidRPr="00E14102">
        <w:rPr>
          <w:color w:val="0070C0"/>
          <w:sz w:val="16"/>
          <w:szCs w:val="16"/>
        </w:rPr>
        <w:softHyphen/>
        <w:t>ствовал лицензионному прототипу, однако уступал ему по ресурсу и имел увеличенный расход горючего. Между тем, двигатель уже в 1935 г. был зарезервирован для многих новейших советских самолетов, более того, он был определен для оснащения дальних бомбардировщи</w:t>
      </w:r>
      <w:r w:rsidRPr="00E14102">
        <w:rPr>
          <w:color w:val="0070C0"/>
          <w:sz w:val="16"/>
          <w:szCs w:val="16"/>
        </w:rPr>
        <w:softHyphen/>
        <w:t>ков ДБ-3, внимание к которым наблюдалось на высочай</w:t>
      </w:r>
      <w:r w:rsidRPr="00E14102">
        <w:rPr>
          <w:color w:val="0070C0"/>
          <w:sz w:val="16"/>
          <w:szCs w:val="16"/>
        </w:rPr>
        <w:softHyphen/>
        <w:t>шем правительственном уровне. Именно поэтому на ско</w:t>
      </w:r>
      <w:r w:rsidRPr="00E14102">
        <w:rPr>
          <w:color w:val="0070C0"/>
          <w:sz w:val="16"/>
          <w:szCs w:val="16"/>
        </w:rPr>
        <w:softHyphen/>
        <w:t>рейшее внедрение в серийное производство М-85 и до</w:t>
      </w:r>
      <w:r w:rsidRPr="00E14102">
        <w:rPr>
          <w:color w:val="0070C0"/>
          <w:sz w:val="16"/>
          <w:szCs w:val="16"/>
        </w:rPr>
        <w:softHyphen/>
        <w:t>ведение его до высоких показателей качества и надежности были затрачены значительные усилия.</w:t>
      </w:r>
    </w:p>
    <w:p w14:paraId="54F38834" w14:textId="77777777" w:rsidR="00136D5A" w:rsidRPr="00E14102" w:rsidRDefault="00136D5A" w:rsidP="00E14102">
      <w:pPr>
        <w:jc w:val="both"/>
        <w:rPr>
          <w:color w:val="0070C0"/>
          <w:sz w:val="16"/>
          <w:szCs w:val="16"/>
        </w:rPr>
      </w:pPr>
      <w:r w:rsidRPr="00E14102">
        <w:rPr>
          <w:color w:val="0070C0"/>
          <w:sz w:val="16"/>
          <w:szCs w:val="16"/>
        </w:rPr>
        <w:t>Первые построенные в Запорожье двигатели получили на</w:t>
      </w:r>
      <w:r w:rsidRPr="00E14102">
        <w:rPr>
          <w:color w:val="0070C0"/>
          <w:sz w:val="16"/>
          <w:szCs w:val="16"/>
        </w:rPr>
        <w:softHyphen/>
        <w:t>именование М-75, всего их в первый год производства в сборку пошло 16 экземпляров. Еще три собираемых двига</w:t>
      </w:r>
      <w:r w:rsidRPr="00E14102">
        <w:rPr>
          <w:color w:val="0070C0"/>
          <w:sz w:val="16"/>
          <w:szCs w:val="16"/>
        </w:rPr>
        <w:softHyphen/>
        <w:t>теля осенью 1935 г. определялись как М-85. В 1935 г., согласно официальной сводке произведенной продукции, на заводе №29 удалось произвести два М-75 и четыре М-85. Тем не менее, в дальнейшем использовалось только одно обозначение - М-85. В 1936 г. завод выпустил 129 двига</w:t>
      </w:r>
      <w:r w:rsidRPr="00E14102">
        <w:rPr>
          <w:color w:val="0070C0"/>
          <w:sz w:val="16"/>
          <w:szCs w:val="16"/>
        </w:rPr>
        <w:softHyphen/>
        <w:t>телей М-85. До прекращения производства в 1938 г. было изготовлено еще несколько сотен таких двигателей (20362).</w:t>
      </w:r>
    </w:p>
    <w:p w14:paraId="1DBD1C2B" w14:textId="77777777" w:rsidR="00136D5A" w:rsidRPr="00E14102" w:rsidRDefault="00136D5A" w:rsidP="00E14102">
      <w:pPr>
        <w:shd w:val="clear" w:color="auto" w:fill="FFFFFF"/>
        <w:jc w:val="both"/>
        <w:rPr>
          <w:color w:val="0070C0"/>
          <w:sz w:val="16"/>
          <w:szCs w:val="16"/>
        </w:rPr>
      </w:pPr>
    </w:p>
    <w:p w14:paraId="5381E81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октябре 1935 года один выпущенных на заводе № 29 двигателей Гном-Рон К-14 вы</w:t>
      </w:r>
      <w:r w:rsidRPr="00E14102">
        <w:rPr>
          <w:color w:val="000000" w:themeColor="text1"/>
          <w:sz w:val="16"/>
          <w:szCs w:val="16"/>
        </w:rPr>
        <w:softHyphen/>
        <w:t>ставили на государственные 100-часо</w:t>
      </w:r>
      <w:r w:rsidRPr="00E14102">
        <w:rPr>
          <w:color w:val="000000" w:themeColor="text1"/>
          <w:sz w:val="16"/>
          <w:szCs w:val="16"/>
        </w:rPr>
        <w:softHyphen/>
        <w:t>вые испытания. В первых М-85 было немало французских частей — клапа</w:t>
      </w:r>
      <w:r w:rsidRPr="00E14102">
        <w:rPr>
          <w:color w:val="000000" w:themeColor="text1"/>
          <w:sz w:val="16"/>
          <w:szCs w:val="16"/>
        </w:rPr>
        <w:softHyphen/>
        <w:t>ны, втулки винтов, бензонасосы, кар</w:t>
      </w:r>
      <w:r w:rsidRPr="00E14102">
        <w:rPr>
          <w:color w:val="000000" w:themeColor="text1"/>
          <w:sz w:val="16"/>
          <w:szCs w:val="16"/>
        </w:rPr>
        <w:softHyphen/>
        <w:t>бюраторы, компрессоры, выхлопные патрубки. Из Франции импортирова</w:t>
      </w:r>
      <w:r w:rsidRPr="00E14102">
        <w:rPr>
          <w:color w:val="000000" w:themeColor="text1"/>
          <w:sz w:val="16"/>
          <w:szCs w:val="16"/>
        </w:rPr>
        <w:softHyphen/>
        <w:t>лась вся система зажигания, из Англии — шарикоподшипники для нагнетате</w:t>
      </w:r>
      <w:r w:rsidRPr="00E14102">
        <w:rPr>
          <w:color w:val="000000" w:themeColor="text1"/>
          <w:sz w:val="16"/>
          <w:szCs w:val="16"/>
        </w:rPr>
        <w:softHyphen/>
        <w:t>ля. По мощности и высотности М-85 полностью соответствовал прототипу, но уступал ему по ресурсу и имел больший расход топлива. Относительно по</w:t>
      </w:r>
      <w:r w:rsidRPr="00E14102">
        <w:rPr>
          <w:color w:val="000000" w:themeColor="text1"/>
          <w:sz w:val="16"/>
          <w:szCs w:val="16"/>
        </w:rPr>
        <w:softHyphen/>
        <w:t>следнего завод клятвенно обязывался довести его до уровня оригинального «Гном-Рона» (10734,9).</w:t>
      </w:r>
    </w:p>
    <w:p w14:paraId="39B20A3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E3E682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нача</w:t>
      </w:r>
      <w:r w:rsidRPr="00E14102">
        <w:rPr>
          <w:color w:val="000000" w:themeColor="text1"/>
          <w:sz w:val="16"/>
          <w:szCs w:val="16"/>
        </w:rPr>
        <w:softHyphen/>
        <w:t>лу июля 1935 завод № 24 полностью перешел на выпуск дви</w:t>
      </w:r>
      <w:r w:rsidRPr="00E14102">
        <w:rPr>
          <w:color w:val="000000" w:themeColor="text1"/>
          <w:sz w:val="16"/>
          <w:szCs w:val="16"/>
        </w:rPr>
        <w:softHyphen/>
        <w:t xml:space="preserve">гателей М-34 с экранированным зажиганием, не создающим помехи для радиостанции. Так появились, </w:t>
      </w:r>
    </w:p>
    <w:p w14:paraId="3B2E4BE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A239FE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октябре 1935 г. были за</w:t>
      </w:r>
      <w:r w:rsidRPr="00E14102">
        <w:rPr>
          <w:color w:val="000000" w:themeColor="text1"/>
          <w:sz w:val="16"/>
          <w:szCs w:val="16"/>
        </w:rPr>
        <w:softHyphen/>
        <w:t>пущенные в серию М-34НБ и М-34РНБ. На последнем внедрили облегченный редуктор, так что при равной мощ</w:t>
      </w:r>
      <w:r w:rsidRPr="00E14102">
        <w:rPr>
          <w:color w:val="000000" w:themeColor="text1"/>
          <w:sz w:val="16"/>
          <w:szCs w:val="16"/>
        </w:rPr>
        <w:softHyphen/>
        <w:t>ности вес получился меньше, чем у М-34РНА - 725 кг. Вариант М-34РБ выпускался в не</w:t>
      </w:r>
      <w:r w:rsidRPr="00E14102">
        <w:rPr>
          <w:color w:val="000000" w:themeColor="text1"/>
          <w:sz w:val="16"/>
          <w:szCs w:val="16"/>
        </w:rPr>
        <w:softHyphen/>
        <w:t>больших количествах, но впослед</w:t>
      </w:r>
      <w:r w:rsidRPr="00E14102">
        <w:rPr>
          <w:color w:val="000000" w:themeColor="text1"/>
          <w:sz w:val="16"/>
          <w:szCs w:val="16"/>
        </w:rPr>
        <w:softHyphen/>
        <w:t>ствии их много «всплыло» в ходе ремонтов (в 1938-39 годах с М-34РНБ на предприятиях ГВФ снимали нагне</w:t>
      </w:r>
      <w:r w:rsidRPr="00E14102">
        <w:rPr>
          <w:color w:val="000000" w:themeColor="text1"/>
          <w:sz w:val="16"/>
          <w:szCs w:val="16"/>
        </w:rPr>
        <w:softHyphen/>
        <w:t>татели, чтобы продлить ресурс дви</w:t>
      </w:r>
      <w:r w:rsidRPr="00E14102">
        <w:rPr>
          <w:color w:val="000000" w:themeColor="text1"/>
          <w:sz w:val="16"/>
          <w:szCs w:val="16"/>
        </w:rPr>
        <w:softHyphen/>
        <w:t>гателей. Так получались дополнитель</w:t>
      </w:r>
      <w:r w:rsidRPr="00E14102">
        <w:rPr>
          <w:color w:val="000000" w:themeColor="text1"/>
          <w:sz w:val="16"/>
          <w:szCs w:val="16"/>
        </w:rPr>
        <w:softHyphen/>
        <w:t>ные М-34РБ). Это была вторая стадия модернизации М-34, которая именовалась «типом Б». В ее рамках «ужесточили» картер, ввели облегченный коленчатый вал с изменен</w:t>
      </w:r>
      <w:r w:rsidRPr="00E14102">
        <w:rPr>
          <w:color w:val="000000" w:themeColor="text1"/>
          <w:sz w:val="16"/>
          <w:szCs w:val="16"/>
        </w:rPr>
        <w:softHyphen/>
        <w:t>ным носком, поставили карбюратор К-34Б и доработали нагнетатель (11848).</w:t>
      </w:r>
    </w:p>
    <w:p w14:paraId="43BB6FB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8B881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 на заводе № 22 в Горьком М-58МН установили на самолет УТИ-3. С 30 ноября 1935 г. по 25 мая 1936 г. он испытывался в НИИ ВВС. В Запорожье готовили модификацию М-58Н с полным наддувом. Опыт</w:t>
      </w:r>
      <w:r w:rsidRPr="00E14102">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293D14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Характеристики:</w:t>
      </w:r>
    </w:p>
    <w:p w14:paraId="273A792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9-цилиндровый, звездообразный, четырехтактный, воздушного охлаж</w:t>
      </w:r>
      <w:r w:rsidRPr="00E14102">
        <w:rPr>
          <w:color w:val="000000" w:themeColor="text1"/>
          <w:sz w:val="16"/>
          <w:szCs w:val="16"/>
        </w:rPr>
        <w:softHyphen/>
        <w:t>дения, безредукторный, с одноступенчатым односкоростным ПЦН;</w:t>
      </w:r>
    </w:p>
    <w:p w14:paraId="094793D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диаметр цилиндра/ход поршня 160/190 мм;</w:t>
      </w:r>
    </w:p>
    <w:p w14:paraId="1A0010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объем 34,4 л;</w:t>
      </w:r>
    </w:p>
    <w:p w14:paraId="0F89A7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степень сжатия 5,5;</w:t>
      </w:r>
    </w:p>
    <w:p w14:paraId="2EF85F9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мощность по проекту 630/800 л.с., реально 630/785 л.с.;</w:t>
      </w:r>
    </w:p>
    <w:p w14:paraId="0977C2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вес в зависимости от модификации. Известны модификации:</w:t>
      </w:r>
    </w:p>
    <w:p w14:paraId="52762D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 М-58Н</w:t>
      </w:r>
    </w:p>
    <w:p w14:paraId="1AAD9F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М-58, три первых опытных экземпляра с полным наддувом, 630/680 л.с., вес 445^450 кг.</w:t>
      </w:r>
    </w:p>
    <w:p w14:paraId="11D3B08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М-58МН, последующие два (возможно, три) образца с уменьшенным наддувом. Мощность 630/785 л.с., вес 465^476 кг.</w:t>
      </w:r>
    </w:p>
    <w:p w14:paraId="0126F3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М-58Н, отличался от М-58МН передачей к ПЦН, крыльчаткой и диф</w:t>
      </w:r>
      <w:r w:rsidRPr="00E14102">
        <w:rPr>
          <w:color w:val="000000" w:themeColor="text1"/>
          <w:sz w:val="16"/>
          <w:szCs w:val="16"/>
        </w:rPr>
        <w:softHyphen/>
        <w:t>фузором.</w:t>
      </w:r>
    </w:p>
    <w:p w14:paraId="4E5CDB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5B5AB5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1E15B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 первый образец М-85 завода № 29 был представлен на государственные 100-часовые испытания. По мощности и высотности советский "Мистраль Мажор" полностью соответствовал лицензионному прототипу, однако уступал ему по ресурсу и имел увеличенный расход горючего. Между тем, двигатель уже в 1935 г. был зарезервирован для многих новейших советских самолетов, более того, он был определен для оснащения дальних бомбардировщиков ДБ-3, внимание к которым наблюдалось на самом высочайшем правительственном уровне. Именно поэтому, на скорейшее внедрение в серийное производство М-85 и доведение его до высоких показателей качества и надежности были затрачены значительные усилия. Первые построенные в Запорожье двигатели получили наименование М-75, всего их в первый год производства в сборку пошло 16 экземпляров. Еще три собираемых двигателя осенью 1935-го определялись как М-85. В 1935 г., согласно официальной сводке произведенной продукции на заводе №29 удалось произвести два М-75 и четыре М-85. Тем не менее, в дальнейшем использовалось только одно обозначение - М-85. В 1936 г. завод выпустил 129 двигателей М-85. До прекращения производства в 1938 г. было изготовлено еще несколько сотен таких двигателей (11948).</w:t>
      </w:r>
    </w:p>
    <w:p w14:paraId="7D92DAB0" w14:textId="77777777" w:rsidR="00D4105E" w:rsidRPr="00E14102" w:rsidRDefault="00D4105E" w:rsidP="00E14102">
      <w:pPr>
        <w:autoSpaceDE w:val="0"/>
        <w:autoSpaceDN w:val="0"/>
        <w:adjustRightInd w:val="0"/>
        <w:jc w:val="both"/>
        <w:rPr>
          <w:color w:val="000000" w:themeColor="text1"/>
          <w:sz w:val="16"/>
          <w:szCs w:val="16"/>
        </w:rPr>
      </w:pPr>
    </w:p>
    <w:p w14:paraId="05DC93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октябре 1934 поступило предложение снять М-75 с производства. Се</w:t>
      </w:r>
      <w:r w:rsidRPr="00E14102">
        <w:rPr>
          <w:color w:val="000000" w:themeColor="text1"/>
          <w:sz w:val="16"/>
          <w:szCs w:val="16"/>
        </w:rPr>
        <w:softHyphen/>
        <w:t>рийный выпуск М-75 планировался на 1936 г. Предполагалось изготовить 150 двигателей. Но фактически сделали всего несколько штук. 5 октября 1936 г. ГУАП предложило снизить план до 50 моторов. Реально же не сделали и их. В конце года все силы бросили на увеличение выпуска М-85, а работы по М-75 полностью свернули. Первоначально планировали модернизировать М-75, создав форсирован</w:t>
      </w:r>
      <w:r w:rsidRPr="00E14102">
        <w:rPr>
          <w:color w:val="000000" w:themeColor="text1"/>
          <w:sz w:val="16"/>
          <w:szCs w:val="16"/>
        </w:rPr>
        <w:softHyphen/>
        <w:t>ный М-76 с выключаемым нагнетателем. На него подготовили техниче</w:t>
      </w:r>
      <w:r w:rsidRPr="00E14102">
        <w:rPr>
          <w:color w:val="000000" w:themeColor="text1"/>
          <w:sz w:val="16"/>
          <w:szCs w:val="16"/>
        </w:rPr>
        <w:softHyphen/>
        <w:t>ское задание. В конструировании же вряд ли ушли дальше простейших прикидок (11852).</w:t>
      </w:r>
    </w:p>
    <w:p w14:paraId="7A1B9E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08A8E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года зам. наркома обороны Я. Гамарник писал письмо № 376360сс/о председателю СТО Молотову В.М.</w:t>
      </w:r>
    </w:p>
    <w:p w14:paraId="2E96CA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Посылаю доклад Хрипина о состоянии объектов опытного строительства моторов и самолетов, согласно плана, утвержденного СТО 16 апреля 1935 года.</w:t>
      </w:r>
    </w:p>
    <w:p w14:paraId="69EB84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заслушать этот вопрос в КО.</w:t>
      </w:r>
    </w:p>
    <w:p w14:paraId="0B4A01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 на 8 листах (3475,114)</w:t>
      </w:r>
    </w:p>
    <w:p w14:paraId="311AF1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1936 Начальник Глававиапрома писал письмо в СТО Базилевичу подготовил:</w:t>
      </w:r>
    </w:p>
    <w:p w14:paraId="71AC24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 о состоянии опытных работ по авиамоторостроению на 1 октября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126"/>
        <w:gridCol w:w="2000"/>
        <w:gridCol w:w="4095"/>
      </w:tblGrid>
      <w:tr w:rsidR="00E3599D" w:rsidRPr="00E14102" w14:paraId="638DACE0" w14:textId="77777777">
        <w:trPr>
          <w:cantSplit/>
        </w:trPr>
        <w:tc>
          <w:tcPr>
            <w:tcW w:w="2093" w:type="dxa"/>
          </w:tcPr>
          <w:p w14:paraId="74006C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Объекты</w:t>
            </w:r>
          </w:p>
        </w:tc>
        <w:tc>
          <w:tcPr>
            <w:tcW w:w="2126" w:type="dxa"/>
          </w:tcPr>
          <w:p w14:paraId="4F5456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выполнения</w:t>
            </w:r>
          </w:p>
        </w:tc>
        <w:tc>
          <w:tcPr>
            <w:tcW w:w="2000" w:type="dxa"/>
          </w:tcPr>
          <w:p w14:paraId="718ECE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Исполнитель</w:t>
            </w:r>
          </w:p>
        </w:tc>
        <w:tc>
          <w:tcPr>
            <w:tcW w:w="4095" w:type="dxa"/>
          </w:tcPr>
          <w:p w14:paraId="0E90C9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Состояние работ на 1 октября 1935 года</w:t>
            </w:r>
          </w:p>
        </w:tc>
      </w:tr>
      <w:tr w:rsidR="00E3599D" w:rsidRPr="00E14102" w14:paraId="67ABCAA7" w14:textId="77777777">
        <w:trPr>
          <w:cantSplit/>
        </w:trPr>
        <w:tc>
          <w:tcPr>
            <w:tcW w:w="2093" w:type="dxa"/>
          </w:tcPr>
          <w:p w14:paraId="4D2DF4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М34ФРН и М34ФН</w:t>
            </w:r>
          </w:p>
        </w:tc>
        <w:tc>
          <w:tcPr>
            <w:tcW w:w="2126" w:type="dxa"/>
          </w:tcPr>
          <w:p w14:paraId="770E83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2000" w:type="dxa"/>
          </w:tcPr>
          <w:p w14:paraId="02D7BC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4095" w:type="dxa"/>
          </w:tcPr>
          <w:p w14:paraId="2966CB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Изготовлено деталей на 20 моторов: в сборке – 10 моторов. Собрано 4. Три мотора используются на предварительных заводских испытаниях: мотор предъявляется в первой декаде октября на госиспытания. Результаты предварительных заводских испытаний: мощность на земле – 1150 л.с. на высоте 3500 м – 1050 л.с. (по правительственному заданию – 1050 л.с. на высоте 3000 м).</w:t>
            </w:r>
          </w:p>
        </w:tc>
      </w:tr>
      <w:tr w:rsidR="00E3599D" w:rsidRPr="00E14102" w14:paraId="3C0021FD" w14:textId="77777777">
        <w:trPr>
          <w:cantSplit/>
        </w:trPr>
        <w:tc>
          <w:tcPr>
            <w:tcW w:w="2093" w:type="dxa"/>
          </w:tcPr>
          <w:p w14:paraId="448A46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М-86</w:t>
            </w:r>
          </w:p>
        </w:tc>
        <w:tc>
          <w:tcPr>
            <w:tcW w:w="2126" w:type="dxa"/>
          </w:tcPr>
          <w:p w14:paraId="07B320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w:t>
            </w:r>
          </w:p>
        </w:tc>
        <w:tc>
          <w:tcPr>
            <w:tcW w:w="2000" w:type="dxa"/>
          </w:tcPr>
          <w:p w14:paraId="7DF503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4095" w:type="dxa"/>
          </w:tcPr>
          <w:p w14:paraId="3B9772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Выполнен эскизный проект мотора: проведены расчеты; идет изготовление рабочих чертежей основных деталей мотора. Работа не будет закончена к намеченному сроку вследствие затруднений с внедрением в серийное производство моторов М-75 и М-85. Кроме того, при конструктивной проработке 18 цилиндровой звезды выявился больший объем работ против предусмотренных планом. Срок окончания необходимо перенести на 1 сентября 1936 года.</w:t>
            </w:r>
          </w:p>
        </w:tc>
      </w:tr>
      <w:tr w:rsidR="00E3599D" w:rsidRPr="00E14102" w14:paraId="7FF2CE3E" w14:textId="77777777">
        <w:trPr>
          <w:cantSplit/>
        </w:trPr>
        <w:tc>
          <w:tcPr>
            <w:tcW w:w="2093" w:type="dxa"/>
          </w:tcPr>
          <w:p w14:paraId="6C24AD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М-58Н</w:t>
            </w:r>
          </w:p>
        </w:tc>
        <w:tc>
          <w:tcPr>
            <w:tcW w:w="2126" w:type="dxa"/>
          </w:tcPr>
          <w:p w14:paraId="562658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1935 года</w:t>
            </w:r>
          </w:p>
        </w:tc>
        <w:tc>
          <w:tcPr>
            <w:tcW w:w="2000" w:type="dxa"/>
          </w:tcPr>
          <w:p w14:paraId="181A29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4095" w:type="dxa"/>
          </w:tcPr>
          <w:p w14:paraId="3EB9FB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М-58МН (с пониженным наддувом) прошел госиспытания удовлетворительно. Два мотора переданы на завод № 21 для испытаний на самолете И-16; испытания на И-16 заканчиваются. По предварительным данным результаты испытаний хорошие. В ближайшее время самолет с М-58МН предъявляется на госиспытания. М-58Н (с нормальным наддувом). Предъявлялся на госиспытания два раза. В первый раз снят на 22 часу режимной работы (поломка крыльчатки нагнетателя). Второй – на 25 часу (поломка ведущей шестерни распределения). В настоящее время подготовляются к новым госиспытаниям два мотора.</w:t>
            </w:r>
          </w:p>
        </w:tc>
      </w:tr>
      <w:tr w:rsidR="00E3599D" w:rsidRPr="00E14102" w14:paraId="79E1721E" w14:textId="77777777">
        <w:trPr>
          <w:cantSplit/>
        </w:trPr>
        <w:tc>
          <w:tcPr>
            <w:tcW w:w="2093" w:type="dxa"/>
          </w:tcPr>
          <w:p w14:paraId="20DF11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Двухступенчатый нагнетатель к М-85</w:t>
            </w:r>
          </w:p>
        </w:tc>
        <w:tc>
          <w:tcPr>
            <w:tcW w:w="2126" w:type="dxa"/>
          </w:tcPr>
          <w:p w14:paraId="28BB4A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 год</w:t>
            </w:r>
          </w:p>
        </w:tc>
        <w:tc>
          <w:tcPr>
            <w:tcW w:w="2000" w:type="dxa"/>
          </w:tcPr>
          <w:p w14:paraId="343840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4095" w:type="dxa"/>
          </w:tcPr>
          <w:p w14:paraId="6D15D6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ЦИАМе разработан эскизный проект и согласован с заводом. Изготовление рабочих чертежей намечено к 1 ноября 1935 года.</w:t>
            </w:r>
          </w:p>
        </w:tc>
      </w:tr>
      <w:tr w:rsidR="00E3599D" w:rsidRPr="00E14102" w14:paraId="376E1D18" w14:textId="77777777">
        <w:trPr>
          <w:cantSplit/>
        </w:trPr>
        <w:tc>
          <w:tcPr>
            <w:tcW w:w="2093" w:type="dxa"/>
          </w:tcPr>
          <w:p w14:paraId="58E3D6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М-85 на непосредственный впрыск</w:t>
            </w:r>
          </w:p>
        </w:tc>
        <w:tc>
          <w:tcPr>
            <w:tcW w:w="2126" w:type="dxa"/>
          </w:tcPr>
          <w:p w14:paraId="37B4FB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 год</w:t>
            </w:r>
          </w:p>
        </w:tc>
        <w:tc>
          <w:tcPr>
            <w:tcW w:w="2000" w:type="dxa"/>
          </w:tcPr>
          <w:p w14:paraId="352AB6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4095" w:type="dxa"/>
          </w:tcPr>
          <w:p w14:paraId="42B511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будет развернута в ноябре-декабре 1935 года после окончания аналогичных работ в ЦИАМе на М-34.</w:t>
            </w:r>
          </w:p>
        </w:tc>
      </w:tr>
      <w:tr w:rsidR="00E3599D" w:rsidRPr="00E14102" w14:paraId="744A982A" w14:textId="77777777">
        <w:trPr>
          <w:cantSplit/>
        </w:trPr>
        <w:tc>
          <w:tcPr>
            <w:tcW w:w="2093" w:type="dxa"/>
          </w:tcPr>
          <w:p w14:paraId="165EEC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Доведение мощности М-85 до 1000 л.с.</w:t>
            </w:r>
          </w:p>
        </w:tc>
        <w:tc>
          <w:tcPr>
            <w:tcW w:w="2126" w:type="dxa"/>
          </w:tcPr>
          <w:p w14:paraId="529B09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года</w:t>
            </w:r>
          </w:p>
        </w:tc>
        <w:tc>
          <w:tcPr>
            <w:tcW w:w="2000" w:type="dxa"/>
          </w:tcPr>
          <w:p w14:paraId="20B541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4095" w:type="dxa"/>
          </w:tcPr>
          <w:p w14:paraId="649CF4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Проведены предварительные работы по испытанию М-85 на нормальных режимах. Работа задерживается по причине затруднений в доводке и подготовке М-85 к госиспытаниям.</w:t>
            </w:r>
          </w:p>
        </w:tc>
      </w:tr>
      <w:tr w:rsidR="00E3599D" w:rsidRPr="00E14102" w14:paraId="32F92AD0" w14:textId="77777777">
        <w:trPr>
          <w:cantSplit/>
        </w:trPr>
        <w:tc>
          <w:tcPr>
            <w:tcW w:w="2093" w:type="dxa"/>
          </w:tcPr>
          <w:p w14:paraId="6CBC8B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Перестановка карбюратора на М85 снизу вверх</w:t>
            </w:r>
          </w:p>
        </w:tc>
        <w:tc>
          <w:tcPr>
            <w:tcW w:w="2126" w:type="dxa"/>
          </w:tcPr>
          <w:p w14:paraId="183FA9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года</w:t>
            </w:r>
          </w:p>
        </w:tc>
        <w:tc>
          <w:tcPr>
            <w:tcW w:w="2000" w:type="dxa"/>
          </w:tcPr>
          <w:p w14:paraId="5D63E4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4095" w:type="dxa"/>
          </w:tcPr>
          <w:p w14:paraId="5C4736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не начата.</w:t>
            </w:r>
          </w:p>
        </w:tc>
      </w:tr>
      <w:tr w:rsidR="00E3599D" w:rsidRPr="00E14102" w14:paraId="317284AF" w14:textId="77777777">
        <w:trPr>
          <w:cantSplit/>
        </w:trPr>
        <w:tc>
          <w:tcPr>
            <w:tcW w:w="2093" w:type="dxa"/>
          </w:tcPr>
          <w:p w14:paraId="1BEC47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Сдваивание М-25</w:t>
            </w:r>
          </w:p>
        </w:tc>
        <w:tc>
          <w:tcPr>
            <w:tcW w:w="2126" w:type="dxa"/>
          </w:tcPr>
          <w:p w14:paraId="52736C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 года</w:t>
            </w:r>
          </w:p>
        </w:tc>
        <w:tc>
          <w:tcPr>
            <w:tcW w:w="2000" w:type="dxa"/>
          </w:tcPr>
          <w:p w14:paraId="31156A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19</w:t>
            </w:r>
          </w:p>
        </w:tc>
        <w:tc>
          <w:tcPr>
            <w:tcW w:w="4095" w:type="dxa"/>
          </w:tcPr>
          <w:p w14:paraId="1D9328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Ведется разработка проекта мотора в двух вариантах. Первый вариант будет закончен к 1 ноября 1935 года, второй к 1 января 1936 года.</w:t>
            </w:r>
          </w:p>
        </w:tc>
      </w:tr>
      <w:tr w:rsidR="00E3599D" w:rsidRPr="00E14102" w14:paraId="3CFBF48B" w14:textId="77777777">
        <w:trPr>
          <w:cantSplit/>
        </w:trPr>
        <w:tc>
          <w:tcPr>
            <w:tcW w:w="2093" w:type="dxa"/>
          </w:tcPr>
          <w:p w14:paraId="1158EA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М-25 на непосредственный впрыск</w:t>
            </w:r>
          </w:p>
        </w:tc>
        <w:tc>
          <w:tcPr>
            <w:tcW w:w="2126" w:type="dxa"/>
          </w:tcPr>
          <w:p w14:paraId="1B2E70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 год</w:t>
            </w:r>
          </w:p>
        </w:tc>
        <w:tc>
          <w:tcPr>
            <w:tcW w:w="2000" w:type="dxa"/>
          </w:tcPr>
          <w:p w14:paraId="5FABCB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 №№ 19 и 33</w:t>
            </w:r>
          </w:p>
        </w:tc>
        <w:tc>
          <w:tcPr>
            <w:tcW w:w="4095" w:type="dxa"/>
          </w:tcPr>
          <w:p w14:paraId="5C9AE2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33 заводе заканчивается разработка проекта насоса и форсунки; изготовление их намечено к 1 января 1936 года.</w:t>
            </w:r>
          </w:p>
        </w:tc>
      </w:tr>
      <w:tr w:rsidR="00E3599D" w:rsidRPr="00E14102" w14:paraId="34592CE1" w14:textId="77777777">
        <w:trPr>
          <w:cantSplit/>
        </w:trPr>
        <w:tc>
          <w:tcPr>
            <w:tcW w:w="2093" w:type="dxa"/>
          </w:tcPr>
          <w:p w14:paraId="28E14E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Двухступенчатый нагнетатель к М-25</w:t>
            </w:r>
          </w:p>
        </w:tc>
        <w:tc>
          <w:tcPr>
            <w:tcW w:w="2126" w:type="dxa"/>
          </w:tcPr>
          <w:p w14:paraId="667CA6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 год</w:t>
            </w:r>
          </w:p>
        </w:tc>
        <w:tc>
          <w:tcPr>
            <w:tcW w:w="2000" w:type="dxa"/>
          </w:tcPr>
          <w:p w14:paraId="57041C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 №№ 19 и 33</w:t>
            </w:r>
          </w:p>
        </w:tc>
        <w:tc>
          <w:tcPr>
            <w:tcW w:w="4095" w:type="dxa"/>
          </w:tcPr>
          <w:p w14:paraId="53CB2B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будет развернута по получении результатов испытаний двухскоростного нагнетателя на М-62.</w:t>
            </w:r>
          </w:p>
        </w:tc>
      </w:tr>
      <w:tr w:rsidR="00E3599D" w:rsidRPr="00E14102" w14:paraId="614811B8" w14:textId="77777777">
        <w:trPr>
          <w:cantSplit/>
        </w:trPr>
        <w:tc>
          <w:tcPr>
            <w:tcW w:w="2093" w:type="dxa"/>
          </w:tcPr>
          <w:p w14:paraId="5C1B70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Переключающийся нагнетатель к М-62</w:t>
            </w:r>
          </w:p>
        </w:tc>
        <w:tc>
          <w:tcPr>
            <w:tcW w:w="2126" w:type="dxa"/>
          </w:tcPr>
          <w:p w14:paraId="23C929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1936 года</w:t>
            </w:r>
          </w:p>
        </w:tc>
        <w:tc>
          <w:tcPr>
            <w:tcW w:w="2000" w:type="dxa"/>
          </w:tcPr>
          <w:p w14:paraId="7756F7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 №№ 19 и 33</w:t>
            </w:r>
          </w:p>
        </w:tc>
        <w:tc>
          <w:tcPr>
            <w:tcW w:w="4095" w:type="dxa"/>
          </w:tcPr>
          <w:p w14:paraId="5E6EF2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Изготовлен вариант нагнетателя с гидравлическим приводом. Ведутся предварительные испытания на заводе. Вариант с механическим приводом нагнетателя изготовляется. Будет выполнен в ноябре 1935 года.</w:t>
            </w:r>
          </w:p>
        </w:tc>
      </w:tr>
      <w:tr w:rsidR="00E3599D" w:rsidRPr="00E14102" w14:paraId="4ACFBE39" w14:textId="77777777">
        <w:trPr>
          <w:cantSplit/>
        </w:trPr>
        <w:tc>
          <w:tcPr>
            <w:tcW w:w="2093" w:type="dxa"/>
          </w:tcPr>
          <w:p w14:paraId="24DCA0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М-25Ф</w:t>
            </w:r>
          </w:p>
        </w:tc>
        <w:tc>
          <w:tcPr>
            <w:tcW w:w="2126" w:type="dxa"/>
          </w:tcPr>
          <w:p w14:paraId="3F0634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1936 года</w:t>
            </w:r>
          </w:p>
        </w:tc>
        <w:tc>
          <w:tcPr>
            <w:tcW w:w="2000" w:type="dxa"/>
          </w:tcPr>
          <w:p w14:paraId="6C180E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 №№ 19 и 33</w:t>
            </w:r>
          </w:p>
        </w:tc>
        <w:tc>
          <w:tcPr>
            <w:tcW w:w="4095" w:type="dxa"/>
          </w:tcPr>
          <w:p w14:paraId="71EA76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Ведутся опытные работы по форсированию М-25 до 2250 об/мин. На основании результатов этих опытов будут вестись работы по дальнейшему форсированию до 2400 об/мин.</w:t>
            </w:r>
          </w:p>
        </w:tc>
      </w:tr>
      <w:tr w:rsidR="00E3599D" w:rsidRPr="00E14102" w14:paraId="0C05F09D" w14:textId="77777777">
        <w:trPr>
          <w:cantSplit/>
        </w:trPr>
        <w:tc>
          <w:tcPr>
            <w:tcW w:w="2093" w:type="dxa"/>
          </w:tcPr>
          <w:p w14:paraId="1EC168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М-25У</w:t>
            </w:r>
          </w:p>
        </w:tc>
        <w:tc>
          <w:tcPr>
            <w:tcW w:w="2126" w:type="dxa"/>
          </w:tcPr>
          <w:p w14:paraId="7CD0D2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года</w:t>
            </w:r>
          </w:p>
        </w:tc>
        <w:tc>
          <w:tcPr>
            <w:tcW w:w="2000" w:type="dxa"/>
          </w:tcPr>
          <w:p w14:paraId="721AFB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 №№ 19 и 33</w:t>
            </w:r>
          </w:p>
        </w:tc>
        <w:tc>
          <w:tcPr>
            <w:tcW w:w="4095" w:type="dxa"/>
          </w:tcPr>
          <w:p w14:paraId="103CEA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Закончено проектирование: выполнены рабочие чертежи. Размещены заказы на поковки, дюралевые шатуны. Изготовление мотора намечено к 1 января 1936 года.</w:t>
            </w:r>
          </w:p>
        </w:tc>
      </w:tr>
      <w:tr w:rsidR="00E3599D" w:rsidRPr="00E14102" w14:paraId="0A4720CA" w14:textId="77777777">
        <w:trPr>
          <w:cantSplit/>
        </w:trPr>
        <w:tc>
          <w:tcPr>
            <w:tcW w:w="2093" w:type="dxa"/>
          </w:tcPr>
          <w:p w14:paraId="5AEC60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Воздушный самопуск с передачей от вала</w:t>
            </w:r>
          </w:p>
        </w:tc>
        <w:tc>
          <w:tcPr>
            <w:tcW w:w="2126" w:type="dxa"/>
          </w:tcPr>
          <w:p w14:paraId="3951E5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2000" w:type="dxa"/>
          </w:tcPr>
          <w:p w14:paraId="15E55C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 №№ 19 и 33</w:t>
            </w:r>
          </w:p>
        </w:tc>
        <w:tc>
          <w:tcPr>
            <w:tcW w:w="4095" w:type="dxa"/>
          </w:tcPr>
          <w:p w14:paraId="1B1EDE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Изготовленный ЦИАМом самопуск показал неудовлетворительную работу. Завод изготовил второй экземпляр. Ведутся испытания его, будут закончены в ноябре 1935 года (необходимо проверить его работу при низких температурах).</w:t>
            </w:r>
          </w:p>
        </w:tc>
      </w:tr>
      <w:tr w:rsidR="00E3599D" w:rsidRPr="00E14102" w14:paraId="52AD59A6" w14:textId="77777777">
        <w:trPr>
          <w:cantSplit/>
        </w:trPr>
        <w:tc>
          <w:tcPr>
            <w:tcW w:w="2093" w:type="dxa"/>
          </w:tcPr>
          <w:p w14:paraId="65C193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Подготовительные работы по двойным звездам:</w:t>
            </w:r>
          </w:p>
          <w:p w14:paraId="4E378B6C" w14:textId="77777777" w:rsidR="00D4105E" w:rsidRPr="00E14102" w:rsidRDefault="00D4105E" w:rsidP="00E14102">
            <w:pPr>
              <w:tabs>
                <w:tab w:val="left" w:pos="600"/>
              </w:tabs>
              <w:autoSpaceDE w:val="0"/>
              <w:autoSpaceDN w:val="0"/>
              <w:adjustRightInd w:val="0"/>
              <w:jc w:val="both"/>
              <w:rPr>
                <w:color w:val="000000" w:themeColor="text1"/>
                <w:sz w:val="16"/>
                <w:szCs w:val="16"/>
              </w:rPr>
            </w:pPr>
            <w:r w:rsidRPr="00E14102">
              <w:rPr>
                <w:color w:val="000000" w:themeColor="text1"/>
                <w:sz w:val="16"/>
                <w:szCs w:val="16"/>
              </w:rPr>
              <w:t>1.</w:t>
            </w:r>
            <w:r w:rsidRPr="00E14102">
              <w:rPr>
                <w:color w:val="000000" w:themeColor="text1"/>
                <w:sz w:val="16"/>
                <w:szCs w:val="16"/>
              </w:rPr>
              <w:tab/>
              <w:t>воздушного охлаждения (компоновка)</w:t>
            </w:r>
          </w:p>
          <w:p w14:paraId="43EC8DEB" w14:textId="77777777" w:rsidR="00D4105E" w:rsidRPr="00E14102" w:rsidRDefault="00D4105E" w:rsidP="00E14102">
            <w:pPr>
              <w:tabs>
                <w:tab w:val="left" w:pos="600"/>
              </w:tabs>
              <w:autoSpaceDE w:val="0"/>
              <w:autoSpaceDN w:val="0"/>
              <w:adjustRightInd w:val="0"/>
              <w:jc w:val="both"/>
              <w:rPr>
                <w:color w:val="000000" w:themeColor="text1"/>
                <w:sz w:val="16"/>
                <w:szCs w:val="16"/>
              </w:rPr>
            </w:pPr>
            <w:r w:rsidRPr="00E14102">
              <w:rPr>
                <w:color w:val="000000" w:themeColor="text1"/>
                <w:sz w:val="16"/>
                <w:szCs w:val="16"/>
              </w:rPr>
              <w:t>2.</w:t>
            </w:r>
            <w:r w:rsidRPr="00E14102">
              <w:rPr>
                <w:color w:val="000000" w:themeColor="text1"/>
                <w:sz w:val="16"/>
                <w:szCs w:val="16"/>
              </w:rPr>
              <w:tab/>
              <w:t>смешанного охлаждения (испытание блока)</w:t>
            </w:r>
          </w:p>
        </w:tc>
        <w:tc>
          <w:tcPr>
            <w:tcW w:w="2126" w:type="dxa"/>
          </w:tcPr>
          <w:p w14:paraId="650D48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w:t>
            </w:r>
          </w:p>
        </w:tc>
        <w:tc>
          <w:tcPr>
            <w:tcW w:w="2000" w:type="dxa"/>
          </w:tcPr>
          <w:p w14:paraId="49A2AE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19</w:t>
            </w:r>
          </w:p>
        </w:tc>
        <w:tc>
          <w:tcPr>
            <w:tcW w:w="4095" w:type="dxa"/>
          </w:tcPr>
          <w:p w14:paraId="01042B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Ведется проектирование обоих вариантов мотора. Проектирование будет закончено</w:t>
            </w:r>
          </w:p>
          <w:p w14:paraId="1810A9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первого варианта к 1 января 1936 года</w:t>
            </w:r>
          </w:p>
          <w:p w14:paraId="525645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второго варианта к 1 февраля 1936 года</w:t>
            </w:r>
          </w:p>
        </w:tc>
      </w:tr>
      <w:tr w:rsidR="00E3599D" w:rsidRPr="00E14102" w14:paraId="7D9C87AA" w14:textId="77777777">
        <w:trPr>
          <w:cantSplit/>
        </w:trPr>
        <w:tc>
          <w:tcPr>
            <w:tcW w:w="2093" w:type="dxa"/>
          </w:tcPr>
          <w:p w14:paraId="5F5520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М-100 на пароводяное охлаждение</w:t>
            </w:r>
          </w:p>
        </w:tc>
        <w:tc>
          <w:tcPr>
            <w:tcW w:w="2126" w:type="dxa"/>
          </w:tcPr>
          <w:p w14:paraId="5FBF52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квартал 1935 года</w:t>
            </w:r>
          </w:p>
        </w:tc>
        <w:tc>
          <w:tcPr>
            <w:tcW w:w="2000" w:type="dxa"/>
          </w:tcPr>
          <w:p w14:paraId="49D6A7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26</w:t>
            </w:r>
          </w:p>
        </w:tc>
        <w:tc>
          <w:tcPr>
            <w:tcW w:w="4095" w:type="dxa"/>
          </w:tcPr>
          <w:p w14:paraId="4AD58D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ЦИАМе изготовлена специальная установка для испытания М-100 с пароводяным охлаждением. Проведено 50-часовое испытание мотора. Мотор показал удовлетворительную работу; мощность и расход горючего нормальные. Дальнейшие испытания будут проводиться на самолете.</w:t>
            </w:r>
          </w:p>
        </w:tc>
      </w:tr>
      <w:tr w:rsidR="00E3599D" w:rsidRPr="00E14102" w14:paraId="3874BBC1" w14:textId="77777777">
        <w:trPr>
          <w:cantSplit/>
        </w:trPr>
        <w:tc>
          <w:tcPr>
            <w:tcW w:w="2093" w:type="dxa"/>
          </w:tcPr>
          <w:p w14:paraId="790D7A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Доведение надежной работы М-100 до 100 часов</w:t>
            </w:r>
          </w:p>
        </w:tc>
        <w:tc>
          <w:tcPr>
            <w:tcW w:w="2126" w:type="dxa"/>
          </w:tcPr>
          <w:p w14:paraId="150EF6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квартал 1935 года</w:t>
            </w:r>
          </w:p>
        </w:tc>
        <w:tc>
          <w:tcPr>
            <w:tcW w:w="2000" w:type="dxa"/>
          </w:tcPr>
          <w:p w14:paraId="7A000B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26</w:t>
            </w:r>
          </w:p>
        </w:tc>
        <w:tc>
          <w:tcPr>
            <w:tcW w:w="4095" w:type="dxa"/>
          </w:tcPr>
          <w:p w14:paraId="6ED690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Предъявленные на госиспытания мотор М-100 снят по причине прогорания клапанов. Идут работы по освоению процесса стелитирования клапанов. На госиспытания мотор будет предъявлен с стелитированными клапанами.</w:t>
            </w:r>
          </w:p>
        </w:tc>
      </w:tr>
      <w:tr w:rsidR="00E3599D" w:rsidRPr="00E14102" w14:paraId="58FBF141" w14:textId="77777777">
        <w:trPr>
          <w:cantSplit/>
        </w:trPr>
        <w:tc>
          <w:tcPr>
            <w:tcW w:w="2093" w:type="dxa"/>
          </w:tcPr>
          <w:p w14:paraId="7153B4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М-100 на непосредственный впрыск</w:t>
            </w:r>
          </w:p>
        </w:tc>
        <w:tc>
          <w:tcPr>
            <w:tcW w:w="2126" w:type="dxa"/>
          </w:tcPr>
          <w:p w14:paraId="332F47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 год</w:t>
            </w:r>
          </w:p>
        </w:tc>
        <w:tc>
          <w:tcPr>
            <w:tcW w:w="2000" w:type="dxa"/>
          </w:tcPr>
          <w:p w14:paraId="37E4CD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26</w:t>
            </w:r>
          </w:p>
        </w:tc>
        <w:tc>
          <w:tcPr>
            <w:tcW w:w="4095" w:type="dxa"/>
          </w:tcPr>
          <w:p w14:paraId="5FBC61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будет начата по окончании аналогичных работ в ЦИАМе на М-34.</w:t>
            </w:r>
          </w:p>
        </w:tc>
      </w:tr>
      <w:tr w:rsidR="00E3599D" w:rsidRPr="00E14102" w14:paraId="70C213B2" w14:textId="77777777">
        <w:trPr>
          <w:cantSplit/>
        </w:trPr>
        <w:tc>
          <w:tcPr>
            <w:tcW w:w="2093" w:type="dxa"/>
          </w:tcPr>
          <w:p w14:paraId="546328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Двухскоростной нагнетатель к М-100</w:t>
            </w:r>
          </w:p>
        </w:tc>
        <w:tc>
          <w:tcPr>
            <w:tcW w:w="2126" w:type="dxa"/>
          </w:tcPr>
          <w:p w14:paraId="7B12A0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 год</w:t>
            </w:r>
          </w:p>
        </w:tc>
        <w:tc>
          <w:tcPr>
            <w:tcW w:w="2000" w:type="dxa"/>
          </w:tcPr>
          <w:p w14:paraId="14B5BC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26</w:t>
            </w:r>
          </w:p>
        </w:tc>
        <w:tc>
          <w:tcPr>
            <w:tcW w:w="4095" w:type="dxa"/>
          </w:tcPr>
          <w:p w14:paraId="1B002C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 нагнетателя разрабатывает ЦИАМ со сроком окончания рабочих чертежей к 1 декабря 1935 года.</w:t>
            </w:r>
          </w:p>
        </w:tc>
      </w:tr>
      <w:tr w:rsidR="00E3599D" w:rsidRPr="00E14102" w14:paraId="621F2706" w14:textId="77777777">
        <w:trPr>
          <w:cantSplit/>
        </w:trPr>
        <w:tc>
          <w:tcPr>
            <w:tcW w:w="2093" w:type="dxa"/>
          </w:tcPr>
          <w:p w14:paraId="607A92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Бесклапанный мотор МФ-1</w:t>
            </w:r>
          </w:p>
        </w:tc>
        <w:tc>
          <w:tcPr>
            <w:tcW w:w="2126" w:type="dxa"/>
          </w:tcPr>
          <w:p w14:paraId="594840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года</w:t>
            </w:r>
          </w:p>
        </w:tc>
        <w:tc>
          <w:tcPr>
            <w:tcW w:w="2000" w:type="dxa"/>
          </w:tcPr>
          <w:p w14:paraId="43D552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69C914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Проведено 25 часовое режимное испытание экспериментальной одноцилиндровой установки водяного охлаждения на мощности в 80 л.с. с литра. Ведется разработка эскизной компоновки мотора. Срок сдачи рабочих чертежей намечен на 15 февраля 1936 года.</w:t>
            </w:r>
          </w:p>
        </w:tc>
      </w:tr>
      <w:tr w:rsidR="00E3599D" w:rsidRPr="00E14102" w14:paraId="4447AB6A" w14:textId="77777777">
        <w:trPr>
          <w:cantSplit/>
        </w:trPr>
        <w:tc>
          <w:tcPr>
            <w:tcW w:w="2093" w:type="dxa"/>
          </w:tcPr>
          <w:p w14:paraId="6028F8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Авиадизель Н-1</w:t>
            </w:r>
          </w:p>
        </w:tc>
        <w:tc>
          <w:tcPr>
            <w:tcW w:w="2126" w:type="dxa"/>
          </w:tcPr>
          <w:p w14:paraId="1EE398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1935 года</w:t>
            </w:r>
          </w:p>
        </w:tc>
        <w:tc>
          <w:tcPr>
            <w:tcW w:w="2000" w:type="dxa"/>
          </w:tcPr>
          <w:p w14:paraId="1C5BB4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052700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Предъявленный в апреле 1935 года на госиспытания мотор снят вследствие поломки коленвала. Проведены 75-часовые заводские испытания опытного мотора с усиленным коленвалом. Заканчивается сборка мотора, предъявленного на госиспытания 10 октября 1935 года.</w:t>
            </w:r>
          </w:p>
        </w:tc>
      </w:tr>
      <w:tr w:rsidR="00E3599D" w:rsidRPr="00E14102" w14:paraId="754D9E8A" w14:textId="77777777">
        <w:trPr>
          <w:cantSplit/>
        </w:trPr>
        <w:tc>
          <w:tcPr>
            <w:tcW w:w="2093" w:type="dxa"/>
          </w:tcPr>
          <w:p w14:paraId="0C87D1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Авиадизель Н-1Ф (форсированный)</w:t>
            </w:r>
          </w:p>
        </w:tc>
        <w:tc>
          <w:tcPr>
            <w:tcW w:w="2126" w:type="dxa"/>
          </w:tcPr>
          <w:p w14:paraId="5172A8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2000" w:type="dxa"/>
          </w:tcPr>
          <w:p w14:paraId="36B5A3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714EC0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изготовлен; заканчивается сборка его. 5 октября 1935 года поступает на заводские испытания.</w:t>
            </w:r>
          </w:p>
        </w:tc>
      </w:tr>
      <w:tr w:rsidR="00E3599D" w:rsidRPr="00E14102" w14:paraId="51A7C328" w14:textId="77777777">
        <w:trPr>
          <w:cantSplit/>
        </w:trPr>
        <w:tc>
          <w:tcPr>
            <w:tcW w:w="2093" w:type="dxa"/>
          </w:tcPr>
          <w:p w14:paraId="3DC81A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Авиадизель Н-3 (двухрядная четырехтактная звезда)</w:t>
            </w:r>
          </w:p>
        </w:tc>
        <w:tc>
          <w:tcPr>
            <w:tcW w:w="2126" w:type="dxa"/>
          </w:tcPr>
          <w:p w14:paraId="409B6F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года</w:t>
            </w:r>
          </w:p>
        </w:tc>
        <w:tc>
          <w:tcPr>
            <w:tcW w:w="2000" w:type="dxa"/>
          </w:tcPr>
          <w:p w14:paraId="260451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0EC90A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УВВС предъявило новые ТУ на этот мотор. В связи с этим работы по проектированию мотора приостановлены до получения результатов экспериментирования на двух одноцилиндровых установках, проводимого в настоящее время в форсированном порядке.</w:t>
            </w:r>
          </w:p>
        </w:tc>
      </w:tr>
      <w:tr w:rsidR="00E3599D" w:rsidRPr="00E14102" w14:paraId="28B2EC99" w14:textId="77777777">
        <w:trPr>
          <w:cantSplit/>
        </w:trPr>
        <w:tc>
          <w:tcPr>
            <w:tcW w:w="2093" w:type="dxa"/>
          </w:tcPr>
          <w:p w14:paraId="2BF6A4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ВПШ-3 (винт переменного шага для М-34)</w:t>
            </w:r>
          </w:p>
        </w:tc>
        <w:tc>
          <w:tcPr>
            <w:tcW w:w="2126" w:type="dxa"/>
          </w:tcPr>
          <w:p w14:paraId="302033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года</w:t>
            </w:r>
          </w:p>
        </w:tc>
        <w:tc>
          <w:tcPr>
            <w:tcW w:w="2000" w:type="dxa"/>
          </w:tcPr>
          <w:p w14:paraId="5E5C78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1C9204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Заканчивается сборка. С 3 октября 1935 года поступает на испытания.</w:t>
            </w:r>
          </w:p>
        </w:tc>
      </w:tr>
      <w:tr w:rsidR="00E3599D" w:rsidRPr="00E14102" w14:paraId="2719F566" w14:textId="77777777">
        <w:trPr>
          <w:cantSplit/>
        </w:trPr>
        <w:tc>
          <w:tcPr>
            <w:tcW w:w="2093" w:type="dxa"/>
          </w:tcPr>
          <w:p w14:paraId="732B7D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ВПШ-32 Д/М (с электроприводом)</w:t>
            </w:r>
          </w:p>
        </w:tc>
        <w:tc>
          <w:tcPr>
            <w:tcW w:w="2126" w:type="dxa"/>
          </w:tcPr>
          <w:p w14:paraId="666942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испытания к 1 ноября 1935 года</w:t>
            </w:r>
          </w:p>
        </w:tc>
        <w:tc>
          <w:tcPr>
            <w:tcW w:w="2000" w:type="dxa"/>
          </w:tcPr>
          <w:p w14:paraId="6F3850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5E636B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производстве. Будет закончен к 1 ноября 1935 года. Проведены лабораторные испытания электрической части винта, результаты удовлетворительные.</w:t>
            </w:r>
          </w:p>
        </w:tc>
      </w:tr>
      <w:tr w:rsidR="00E3599D" w:rsidRPr="00E14102" w14:paraId="661E68EC" w14:textId="77777777">
        <w:trPr>
          <w:cantSplit/>
        </w:trPr>
        <w:tc>
          <w:tcPr>
            <w:tcW w:w="2093" w:type="dxa"/>
          </w:tcPr>
          <w:p w14:paraId="29E809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ВПШ РЦ (д/М-25)</w:t>
            </w:r>
          </w:p>
        </w:tc>
        <w:tc>
          <w:tcPr>
            <w:tcW w:w="2126" w:type="dxa"/>
          </w:tcPr>
          <w:p w14:paraId="45B3A8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2000" w:type="dxa"/>
          </w:tcPr>
          <w:p w14:paraId="184221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3C13FE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Ведутся заводские испытания, в процессе которых выявился ряд конструктивных дефектов в механизме винта. Дополнительные работы по устранению дефектов и переконтруированию отдельных частей механизма вызвали удлинение срока изготовления винта.</w:t>
            </w:r>
          </w:p>
        </w:tc>
      </w:tr>
      <w:tr w:rsidR="00E3599D" w:rsidRPr="00E14102" w14:paraId="6BDAADC5" w14:textId="77777777">
        <w:trPr>
          <w:cantSplit/>
        </w:trPr>
        <w:tc>
          <w:tcPr>
            <w:tcW w:w="2093" w:type="dxa"/>
          </w:tcPr>
          <w:p w14:paraId="37AC0E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М-34 на непосредственный впрыск</w:t>
            </w:r>
          </w:p>
        </w:tc>
        <w:tc>
          <w:tcPr>
            <w:tcW w:w="2126" w:type="dxa"/>
          </w:tcPr>
          <w:p w14:paraId="5EB1A2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2000" w:type="dxa"/>
          </w:tcPr>
          <w:p w14:paraId="5FB2A4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636319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Проведены предварительные испытания на одноцилиндровой установке и на одном блоке М-34. Одноплунжерный насос изготовлен и испытан. Подготовляется испытание его на моторе. Двенадцати-плунжерный насос с приводом и деталями – в производстве. Будет закончен к 15 ноября 1935 года.</w:t>
            </w:r>
          </w:p>
        </w:tc>
      </w:tr>
      <w:tr w:rsidR="00E3599D" w:rsidRPr="00E14102" w14:paraId="1D704D54" w14:textId="77777777">
        <w:trPr>
          <w:cantSplit/>
        </w:trPr>
        <w:tc>
          <w:tcPr>
            <w:tcW w:w="2093" w:type="dxa"/>
          </w:tcPr>
          <w:p w14:paraId="3F4943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Турбокомпрессор к М-34</w:t>
            </w:r>
          </w:p>
        </w:tc>
        <w:tc>
          <w:tcPr>
            <w:tcW w:w="2126" w:type="dxa"/>
          </w:tcPr>
          <w:p w14:paraId="78B20C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2000" w:type="dxa"/>
          </w:tcPr>
          <w:p w14:paraId="618A40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0FCF43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Изготовление первого экземпляра турбокомпрессора закончено. Идет испытание и доводка его.</w:t>
            </w:r>
          </w:p>
        </w:tc>
      </w:tr>
      <w:tr w:rsidR="00E3599D" w:rsidRPr="00E14102" w14:paraId="45EC229A" w14:textId="77777777">
        <w:trPr>
          <w:cantSplit/>
        </w:trPr>
        <w:tc>
          <w:tcPr>
            <w:tcW w:w="2093" w:type="dxa"/>
          </w:tcPr>
          <w:p w14:paraId="785352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Двухскоростной нагнетатель к М-34</w:t>
            </w:r>
          </w:p>
        </w:tc>
        <w:tc>
          <w:tcPr>
            <w:tcW w:w="2126" w:type="dxa"/>
          </w:tcPr>
          <w:p w14:paraId="2F8281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2000" w:type="dxa"/>
          </w:tcPr>
          <w:p w14:paraId="3CBB3A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75B543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Изготовлено два экземпляра первого варианта нагнетателя. Идет испытание их. Второй вариант проектируется. Выпуск рабочих чертежей намечен на 15 октября 1935 года.</w:t>
            </w:r>
          </w:p>
        </w:tc>
      </w:tr>
      <w:tr w:rsidR="00E3599D" w:rsidRPr="00E14102" w14:paraId="5E070A1A" w14:textId="77777777">
        <w:trPr>
          <w:cantSplit/>
        </w:trPr>
        <w:tc>
          <w:tcPr>
            <w:tcW w:w="2093" w:type="dxa"/>
          </w:tcPr>
          <w:p w14:paraId="0EF84D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Двухскоростные нагнетатели к М85</w:t>
            </w:r>
          </w:p>
        </w:tc>
        <w:tc>
          <w:tcPr>
            <w:tcW w:w="2126" w:type="dxa"/>
          </w:tcPr>
          <w:p w14:paraId="66BB72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 год</w:t>
            </w:r>
          </w:p>
        </w:tc>
        <w:tc>
          <w:tcPr>
            <w:tcW w:w="2000" w:type="dxa"/>
          </w:tcPr>
          <w:p w14:paraId="4015EA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23D5D9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 в разработке.</w:t>
            </w:r>
          </w:p>
        </w:tc>
      </w:tr>
      <w:tr w:rsidR="00E3599D" w:rsidRPr="00E14102" w14:paraId="72E4D513" w14:textId="77777777">
        <w:trPr>
          <w:cantSplit/>
        </w:trPr>
        <w:tc>
          <w:tcPr>
            <w:tcW w:w="2093" w:type="dxa"/>
          </w:tcPr>
          <w:p w14:paraId="4F1B5D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Двухскоростные нагнетатели к М-100</w:t>
            </w:r>
          </w:p>
        </w:tc>
        <w:tc>
          <w:tcPr>
            <w:tcW w:w="2126" w:type="dxa"/>
          </w:tcPr>
          <w:p w14:paraId="67D1E6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 год</w:t>
            </w:r>
          </w:p>
        </w:tc>
        <w:tc>
          <w:tcPr>
            <w:tcW w:w="2000" w:type="dxa"/>
          </w:tcPr>
          <w:p w14:paraId="7A7D14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2B7CEE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Ведется разработка проекта.</w:t>
            </w:r>
          </w:p>
        </w:tc>
      </w:tr>
      <w:tr w:rsidR="00E3599D" w:rsidRPr="00E14102" w14:paraId="0A508216" w14:textId="77777777">
        <w:trPr>
          <w:cantSplit/>
        </w:trPr>
        <w:tc>
          <w:tcPr>
            <w:tcW w:w="2093" w:type="dxa"/>
          </w:tcPr>
          <w:p w14:paraId="4FCF21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Двухскоростные нагнетатели к М-25</w:t>
            </w:r>
          </w:p>
        </w:tc>
        <w:tc>
          <w:tcPr>
            <w:tcW w:w="2126" w:type="dxa"/>
          </w:tcPr>
          <w:p w14:paraId="5848F9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 год</w:t>
            </w:r>
          </w:p>
        </w:tc>
        <w:tc>
          <w:tcPr>
            <w:tcW w:w="2000" w:type="dxa"/>
          </w:tcPr>
          <w:p w14:paraId="02A2D8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3C6503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перегрузки отдела № 1 Института проектирование начато.</w:t>
            </w:r>
          </w:p>
        </w:tc>
      </w:tr>
      <w:tr w:rsidR="00E3599D" w:rsidRPr="00E14102" w14:paraId="6C56D2AE" w14:textId="77777777">
        <w:trPr>
          <w:cantSplit/>
        </w:trPr>
        <w:tc>
          <w:tcPr>
            <w:tcW w:w="2093" w:type="dxa"/>
          </w:tcPr>
          <w:p w14:paraId="4D9B34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Двухступенчатый нагнетатели к М34</w:t>
            </w:r>
          </w:p>
        </w:tc>
        <w:tc>
          <w:tcPr>
            <w:tcW w:w="2126" w:type="dxa"/>
          </w:tcPr>
          <w:p w14:paraId="563DAA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2000" w:type="dxa"/>
          </w:tcPr>
          <w:p w14:paraId="16C961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46A2BD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Ведется проектирование. Ввиду того, что в основу механизма включения нагнетателя должен лечь механизм двухскоростного нагнетателя к М-34, испытания которого будут закончены только 1 января 1936 года, срок окончания работы необходимо продлить до 1 июля 1936 года.</w:t>
            </w:r>
          </w:p>
        </w:tc>
      </w:tr>
      <w:tr w:rsidR="00E3599D" w:rsidRPr="00E14102" w14:paraId="6FAE0991" w14:textId="77777777">
        <w:trPr>
          <w:cantSplit/>
        </w:trPr>
        <w:tc>
          <w:tcPr>
            <w:tcW w:w="2093" w:type="dxa"/>
          </w:tcPr>
          <w:p w14:paraId="59DD4C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М-34 на паровое охлаждение</w:t>
            </w:r>
          </w:p>
        </w:tc>
        <w:tc>
          <w:tcPr>
            <w:tcW w:w="2126" w:type="dxa"/>
          </w:tcPr>
          <w:p w14:paraId="19C05B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1935 года</w:t>
            </w:r>
          </w:p>
        </w:tc>
        <w:tc>
          <w:tcPr>
            <w:tcW w:w="2000" w:type="dxa"/>
          </w:tcPr>
          <w:p w14:paraId="036FE4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768F39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Разработанная и выполненная схема прошла лабораторные и летные испытания на самолете удовлетворительно. Работа закончена.</w:t>
            </w:r>
          </w:p>
        </w:tc>
      </w:tr>
      <w:tr w:rsidR="00E3599D" w:rsidRPr="00E14102" w14:paraId="209D5B1F" w14:textId="77777777">
        <w:trPr>
          <w:cantSplit/>
        </w:trPr>
        <w:tc>
          <w:tcPr>
            <w:tcW w:w="2093" w:type="dxa"/>
          </w:tcPr>
          <w:p w14:paraId="02B203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М-100 на паровое охлаждение</w:t>
            </w:r>
          </w:p>
        </w:tc>
        <w:tc>
          <w:tcPr>
            <w:tcW w:w="2126" w:type="dxa"/>
          </w:tcPr>
          <w:p w14:paraId="0230A6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года</w:t>
            </w:r>
          </w:p>
        </w:tc>
        <w:tc>
          <w:tcPr>
            <w:tcW w:w="2000" w:type="dxa"/>
          </w:tcPr>
          <w:p w14:paraId="1F7BA4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65664C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Лабораторные испытания выполненной схемы дали удовлетворительные результаты. Ведется заводом № 39 подготовка мотора для испытаний схемы на самолете в воздухе.</w:t>
            </w:r>
          </w:p>
        </w:tc>
      </w:tr>
      <w:tr w:rsidR="00E3599D" w:rsidRPr="00E14102" w14:paraId="6622DF1E" w14:textId="77777777">
        <w:trPr>
          <w:cantSplit/>
        </w:trPr>
        <w:tc>
          <w:tcPr>
            <w:tcW w:w="2093" w:type="dxa"/>
          </w:tcPr>
          <w:p w14:paraId="4FBD77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М-34 на водородное топливо</w:t>
            </w:r>
          </w:p>
        </w:tc>
        <w:tc>
          <w:tcPr>
            <w:tcW w:w="2126" w:type="dxa"/>
          </w:tcPr>
          <w:p w14:paraId="329A54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2000" w:type="dxa"/>
          </w:tcPr>
          <w:p w14:paraId="65A0FC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6C0064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по питанию мотора на чистом газообразном водороде дали отрицательные результаты. Испытания на смесях водорода с бензином будут закончены в IV квартале 1935 года. Отсутствие жидкого водорода не позволило провести испытание на этом топливе.</w:t>
            </w:r>
          </w:p>
        </w:tc>
      </w:tr>
      <w:tr w:rsidR="00E3599D" w:rsidRPr="00E14102" w14:paraId="31832353" w14:textId="77777777">
        <w:trPr>
          <w:cantSplit/>
        </w:trPr>
        <w:tc>
          <w:tcPr>
            <w:tcW w:w="2093" w:type="dxa"/>
          </w:tcPr>
          <w:p w14:paraId="62D66A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М-56</w:t>
            </w:r>
          </w:p>
        </w:tc>
        <w:tc>
          <w:tcPr>
            <w:tcW w:w="2126" w:type="dxa"/>
          </w:tcPr>
          <w:p w14:paraId="56BD99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2000" w:type="dxa"/>
          </w:tcPr>
          <w:p w14:paraId="42C92F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3B3D16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экземпляр мотора изготовлен и проходит заводские испытания. Второй экземпляр – в производстве. Вследствие загрузки опытного завода дополнительными работами по авиадизелю Н-1 в связи с его аварией во время госиспытаний, срок предъявления М-56 на госиспытания следует перенести на 1 апреля 1935 года.</w:t>
            </w:r>
          </w:p>
        </w:tc>
      </w:tr>
      <w:tr w:rsidR="00E3599D" w:rsidRPr="00E14102" w14:paraId="7F68E523" w14:textId="77777777">
        <w:trPr>
          <w:cantSplit/>
        </w:trPr>
        <w:tc>
          <w:tcPr>
            <w:tcW w:w="2093" w:type="dxa"/>
          </w:tcPr>
          <w:p w14:paraId="0EEEE8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ГМ-44</w:t>
            </w:r>
          </w:p>
        </w:tc>
        <w:tc>
          <w:tcPr>
            <w:tcW w:w="2126" w:type="dxa"/>
          </w:tcPr>
          <w:p w14:paraId="7E5FAB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2000" w:type="dxa"/>
          </w:tcPr>
          <w:p w14:paraId="37556B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4095" w:type="dxa"/>
          </w:tcPr>
          <w:p w14:paraId="6316DE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Собран один экземпляр мотора для испытаний с вкладышами из свинцовистой бронзы. Агрегаты к М-34 (морские) в производстве. Вследствие затруднений в изготовлении агрегатов и сложности в доводке их срок окончания работы следует перенести на 1 апреля 1936 года.</w:t>
            </w:r>
          </w:p>
        </w:tc>
      </w:tr>
      <w:tr w:rsidR="00E3599D" w:rsidRPr="00E14102" w14:paraId="245DA428" w14:textId="77777777">
        <w:trPr>
          <w:cantSplit/>
        </w:trPr>
        <w:tc>
          <w:tcPr>
            <w:tcW w:w="2093" w:type="dxa"/>
          </w:tcPr>
          <w:p w14:paraId="762B77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Газовая турбина ГТ-1</w:t>
            </w:r>
          </w:p>
        </w:tc>
        <w:tc>
          <w:tcPr>
            <w:tcW w:w="2126" w:type="dxa"/>
          </w:tcPr>
          <w:p w14:paraId="7C968E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w:t>
            </w:r>
          </w:p>
        </w:tc>
        <w:tc>
          <w:tcPr>
            <w:tcW w:w="2000" w:type="dxa"/>
          </w:tcPr>
          <w:p w14:paraId="36F5FC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ВТИ</w:t>
            </w:r>
          </w:p>
        </w:tc>
        <w:tc>
          <w:tcPr>
            <w:tcW w:w="4095" w:type="dxa"/>
          </w:tcPr>
          <w:p w14:paraId="15D841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Закончена разработка чертежей. Идут переговоры с Кировским заводом об изготовлении трех экземпляров турбины. Срок 1 мая 1936 года следует рассматривать как начало заводских испытаний.</w:t>
            </w:r>
          </w:p>
        </w:tc>
      </w:tr>
      <w:tr w:rsidR="00E3599D" w:rsidRPr="00E14102" w14:paraId="66354DCA" w14:textId="77777777">
        <w:trPr>
          <w:cantSplit/>
        </w:trPr>
        <w:tc>
          <w:tcPr>
            <w:tcW w:w="2093" w:type="dxa"/>
          </w:tcPr>
          <w:p w14:paraId="376F5F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Паровая турбина ПТ-6</w:t>
            </w:r>
          </w:p>
        </w:tc>
        <w:tc>
          <w:tcPr>
            <w:tcW w:w="2126" w:type="dxa"/>
          </w:tcPr>
          <w:p w14:paraId="46AEE0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w:t>
            </w:r>
          </w:p>
        </w:tc>
        <w:tc>
          <w:tcPr>
            <w:tcW w:w="2000" w:type="dxa"/>
          </w:tcPr>
          <w:p w14:paraId="3DE4A1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4095" w:type="dxa"/>
          </w:tcPr>
          <w:p w14:paraId="070BAE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 закончен. Котел изготовлен. Готовность турбины и редуктора 65%; готовность насосно-вентиляторной группы 90%. Испытание котла в ноябре 1935 года. Начало испытаний всей установки ориентировочно в апреле 1936 года.</w:t>
            </w:r>
          </w:p>
        </w:tc>
      </w:tr>
      <w:tr w:rsidR="00E3599D" w:rsidRPr="00E14102" w14:paraId="6686454A" w14:textId="77777777">
        <w:trPr>
          <w:cantSplit/>
        </w:trPr>
        <w:tc>
          <w:tcPr>
            <w:tcW w:w="2093" w:type="dxa"/>
          </w:tcPr>
          <w:p w14:paraId="25F619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Авиадизель Н-4 (двухтактный)</w:t>
            </w:r>
          </w:p>
        </w:tc>
        <w:tc>
          <w:tcPr>
            <w:tcW w:w="2126" w:type="dxa"/>
          </w:tcPr>
          <w:p w14:paraId="6D2BB2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w:t>
            </w:r>
          </w:p>
        </w:tc>
        <w:tc>
          <w:tcPr>
            <w:tcW w:w="2000" w:type="dxa"/>
          </w:tcPr>
          <w:p w14:paraId="407D33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4095" w:type="dxa"/>
          </w:tcPr>
          <w:p w14:paraId="1E2AAE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Двигатель в производстве; готовность деталей 60%.</w:t>
            </w:r>
          </w:p>
        </w:tc>
      </w:tr>
    </w:tbl>
    <w:p w14:paraId="481D1D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(3475,109-111).</w:t>
      </w:r>
    </w:p>
    <w:p w14:paraId="200AF783" w14:textId="77777777" w:rsidR="00D4105E" w:rsidRPr="00E14102" w:rsidRDefault="00D4105E" w:rsidP="00E14102">
      <w:pPr>
        <w:autoSpaceDE w:val="0"/>
        <w:autoSpaceDN w:val="0"/>
        <w:adjustRightInd w:val="0"/>
        <w:jc w:val="both"/>
        <w:rPr>
          <w:color w:val="000000" w:themeColor="text1"/>
          <w:sz w:val="16"/>
          <w:szCs w:val="16"/>
        </w:rPr>
      </w:pPr>
    </w:p>
    <w:p w14:paraId="5FC62F3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октябре 1935 года был подготовлен Акт N 030 о результатах гос. испытаний бензобаков, защищенных пулестойкими протекторами (6680).</w:t>
      </w:r>
    </w:p>
    <w:p w14:paraId="510EF80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проводились 1 октября 1935 года на Ногинском полигоне.</w:t>
      </w:r>
    </w:p>
    <w:p w14:paraId="464EC9B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гос. испытания были предъявлены 3 бензобака, из коих один бак от самолета ТБ-3, один бак от самолета И-15 и один бак от самолета Р-5. Баки были защищены следующими протекторами:</w:t>
      </w:r>
    </w:p>
    <w:p w14:paraId="579E284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Бак от самолета ТБ-3 покрыт 3-мя слоями специальной резины, затем обтянут 2-мя слоями прорезиненным кордом и сверху покрыт слоем резины.</w:t>
      </w:r>
    </w:p>
    <w:p w14:paraId="697C3D1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Бак от самолета И-15 покрыт 2-мя слоями специальной резины, затем обтянут 2-мя слоями прорезиненным кордом и сверху покрыт слоем резины.</w:t>
      </w:r>
    </w:p>
    <w:p w14:paraId="5E4009D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Бак от самолета Р-5 покрыт 3-мя слоями специальной резины и сверху обтянут кожей.</w:t>
      </w:r>
    </w:p>
    <w:p w14:paraId="59C5AA2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Комиссия считает необходимым перед окончательным решением вопроса о принятии баков на снабжение ВС провести эксплуатационные испытания баков, по одному комплекту для 10 самолетов ТБ-3 и для 10 самолетов И-15 с целью выявления поведения их на самолетах в летных условиях и установления влияния различных факторов на состояние и качество защитной оболочки (6680).</w:t>
      </w:r>
    </w:p>
    <w:p w14:paraId="0F1DBDD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307A3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 в строю "Аэрофлота" оставались еще семь машин ПС-5 (Юг-1). На следующий год планировали списать все их, но эксплуатация продолжалась. До весны 1936 г. два ПС-5 на поплавках летали на Ленской гидроавиалинии. Когда закончилась служба последних ЮГ-1, пока установить не удалось... (3224,17).</w:t>
      </w:r>
    </w:p>
    <w:p w14:paraId="57058ABF" w14:textId="77777777" w:rsidR="00D4105E" w:rsidRPr="00E14102" w:rsidRDefault="00D4105E" w:rsidP="00E14102">
      <w:pPr>
        <w:autoSpaceDE w:val="0"/>
        <w:autoSpaceDN w:val="0"/>
        <w:adjustRightInd w:val="0"/>
        <w:jc w:val="both"/>
        <w:rPr>
          <w:color w:val="000000" w:themeColor="text1"/>
          <w:sz w:val="16"/>
          <w:szCs w:val="16"/>
        </w:rPr>
      </w:pPr>
    </w:p>
    <w:p w14:paraId="0AA8A7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ГВФ и авиация Главсевморпути получили предложения по получению высвобожденных из ВВС Р-6. 2 передали Дальстрою НКВД и стали ПС-7 и МП-6 (2766,39).</w:t>
      </w:r>
    </w:p>
    <w:p w14:paraId="032993CC" w14:textId="77777777" w:rsidR="00D4105E" w:rsidRPr="00E14102" w:rsidRDefault="00D4105E" w:rsidP="00E14102">
      <w:pPr>
        <w:autoSpaceDE w:val="0"/>
        <w:autoSpaceDN w:val="0"/>
        <w:adjustRightInd w:val="0"/>
        <w:jc w:val="both"/>
        <w:rPr>
          <w:color w:val="000000" w:themeColor="text1"/>
          <w:sz w:val="16"/>
          <w:szCs w:val="16"/>
        </w:rPr>
      </w:pPr>
    </w:p>
    <w:p w14:paraId="6D17B9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в парке ГВФ было 51 АНТ-9 (ПС-9), которые эксплуатировались в Московском, Среднеазиатском (15), Западно-Сибирском (13), Закавказском и Южно-Казахском управлениях (10542,34).</w:t>
      </w:r>
    </w:p>
    <w:p w14:paraId="42475104" w14:textId="77777777" w:rsidR="00D4105E" w:rsidRPr="00E14102" w:rsidRDefault="00D4105E" w:rsidP="00E14102">
      <w:pPr>
        <w:autoSpaceDE w:val="0"/>
        <w:autoSpaceDN w:val="0"/>
        <w:adjustRightInd w:val="0"/>
        <w:jc w:val="both"/>
        <w:rPr>
          <w:color w:val="000000" w:themeColor="text1"/>
          <w:sz w:val="16"/>
          <w:szCs w:val="16"/>
        </w:rPr>
      </w:pPr>
    </w:p>
    <w:p w14:paraId="44FBEE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года был основан ОЗПО</w:t>
      </w:r>
    </w:p>
    <w:p w14:paraId="0FE957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Год ввода в эксплуатацию – 1936 год</w:t>
      </w:r>
    </w:p>
    <w:p w14:paraId="05C022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Реконструируемое</w:t>
      </w:r>
    </w:p>
    <w:p w14:paraId="36FDDA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Характер производства –мелкосерийное</w:t>
      </w:r>
    </w:p>
    <w:p w14:paraId="43AF64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производства – станкостроение и инструментальное</w:t>
      </w:r>
    </w:p>
    <w:p w14:paraId="3ABBC5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Владимир Ивановской области (завод расположен в городе)</w:t>
      </w:r>
    </w:p>
    <w:p w14:paraId="5089FB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Опытный завод был организован в конце 1935 года (октябрь) на базе мастерских Владимирского механического техникума и находился в ведении ВОТИ. Выпускаемая продукция – станки, блоки – штампов, прессформы, державки, цанги и пр. Идет гл. образом для заводов 8 шд. Управления НКАП для других заводов главков (9348).</w:t>
      </w:r>
    </w:p>
    <w:p w14:paraId="58950268" w14:textId="77777777" w:rsidR="00D4105E" w:rsidRPr="00E14102" w:rsidRDefault="00D4105E" w:rsidP="00E14102">
      <w:pPr>
        <w:autoSpaceDE w:val="0"/>
        <w:autoSpaceDN w:val="0"/>
        <w:adjustRightInd w:val="0"/>
        <w:jc w:val="both"/>
        <w:rPr>
          <w:color w:val="000000" w:themeColor="text1"/>
          <w:sz w:val="16"/>
          <w:szCs w:val="16"/>
        </w:rPr>
      </w:pPr>
    </w:p>
    <w:p w14:paraId="678A46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 в результате реконструкции мастерских Владимирского механического техникума был образован ОЗПО (ГС Завод № 452 НКАП, МАП, ГС опытный завод промышленного оборудования (ОЗПО) НКОП /г. Владимир Ивановской обл. ул. Б. Московская, 27 (1940-47 г.)/) в ведении ВОТИ. Введен в эксплуатацию в 1936 г. (употреблялось также название «Опытный завод прецизионного оборудования»). По пр. № 59 от 14.02.1937 г. ОЗПО передан в ведение 10ГУ НКОП, приказом № 90 от 13.03.1937 г. утвержден Устав завода, в 12.1938 г. - в ведении 10ГУ.</w:t>
      </w:r>
    </w:p>
    <w:p w14:paraId="3EBB58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Прецизионное станкостроение: сверлильные, токарные, револьверные, резьбонарезные, фрезерные станки для авиазаводов; производство инструментов. Приказом № 0220 от 28.09.1937 г. заводу была установлена программа по выпуску в 1938 г. 580 станков, в т.ч.: вертикальный сверлильный типа ВЕБО - 290, токарные: типа Шаублин - 120, типа Беллинг-Любке - 100, револьверный типа Болей - 50, универсально-фрезерный типа Деккель Р-1 - 20. Приказом № 161с от 14.05.1938 г. заводу поручено организовать к 1.01.1939 г. производство стандартных блоков- кондукторов.</w:t>
      </w:r>
      <w:r w:rsidRPr="00E14102">
        <w:rPr>
          <w:color w:val="000000" w:themeColor="text1"/>
          <w:sz w:val="16"/>
          <w:szCs w:val="16"/>
          <w:vertAlign w:val="superscript"/>
        </w:rPr>
        <w:t>139</w:t>
      </w:r>
    </w:p>
    <w:p w14:paraId="344973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приказу № 5 Юс от 11.07.1942 г. ОЗПО присвоено наименование ГС завод № 452 НКАП в 5ГУ. По приказу № 605сс от 23.10.1944 г. завод с 1.10.1944 г. передан в 17ГУ. Станкостроение. В 1947 г. - в ведении МАП.</w:t>
      </w:r>
    </w:p>
    <w:p w14:paraId="00E991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Позднее передан из НКАП в другое ведомство (к 1951 г.).</w:t>
      </w:r>
    </w:p>
    <w:p w14:paraId="1B8250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(10.1937; 8.03.1938-09.1943 г.-)- И.И. Цагшин.</w:t>
      </w:r>
    </w:p>
    <w:p w14:paraId="714B9D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(06.1938 г.)- А.С. Дроздов (11982).</w:t>
      </w:r>
    </w:p>
    <w:p w14:paraId="7CDD8F95" w14:textId="77777777" w:rsidR="00D4105E" w:rsidRPr="00E14102" w:rsidRDefault="00D4105E" w:rsidP="00E14102">
      <w:pPr>
        <w:autoSpaceDE w:val="0"/>
        <w:autoSpaceDN w:val="0"/>
        <w:adjustRightInd w:val="0"/>
        <w:jc w:val="both"/>
        <w:rPr>
          <w:color w:val="000000" w:themeColor="text1"/>
          <w:sz w:val="16"/>
          <w:szCs w:val="16"/>
        </w:rPr>
      </w:pPr>
    </w:p>
    <w:p w14:paraId="5ADA47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 в НИИ ВВС проходили испытания И-5 с мощным бомбардировочным вооружением, которые показали резкое ухудшение всех характеристик самолёта. В 1934 г. в Экспериментальном институте НКТП, руководимом П.И. Гроховским, самолёт И-5 оснастили мощными подкрыльными держателями под две бомбы по 250 кг. По тем временам это была нормальная нагрузка одномоторного бомбардировщика. Машина получила обозначение Г-50. Сделали два варианта подвески, в обоих случаях держатели размещались под корневой частью нижнего крыла. Нагрузка в полтонны явно была чрезмерна для маленького истребителя. Взлетал он с огромным трудом, разбегаясь очень долго. В ходе испытаний 250-кг бомбы бросали и с пикирования - это был первый советский пикирующий бомбардировщик (11997).</w:t>
      </w:r>
    </w:p>
    <w:p w14:paraId="02E999E3" w14:textId="77777777" w:rsidR="00D4105E" w:rsidRPr="00E14102" w:rsidRDefault="00D4105E" w:rsidP="00E14102">
      <w:pPr>
        <w:autoSpaceDE w:val="0"/>
        <w:autoSpaceDN w:val="0"/>
        <w:adjustRightInd w:val="0"/>
        <w:jc w:val="both"/>
        <w:rPr>
          <w:color w:val="000000" w:themeColor="text1"/>
          <w:sz w:val="16"/>
          <w:szCs w:val="16"/>
        </w:rPr>
      </w:pPr>
    </w:p>
    <w:p w14:paraId="56C15B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 в испытаниях ЗАМ принимали участие пять Р-5. Четырежды производили пуск одновременно шести аппаратами ЗАМ-2. Результаты были плачевны. Ни одного аэростата не сбили. В щиты тоже не попади, поскольку ЗАМы опять дали "неправильный полет и не поддающееся учету рассеяние".</w:t>
      </w:r>
    </w:p>
    <w:p w14:paraId="52E7D1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Доводка различных вариантов "приборов" Майзеля велась до конца 30-х годов, когда их, наконец признали бесперспективными. Крылатые ракеты обеспечивали и большую дальность, и лучшую точность попадания.</w:t>
      </w:r>
    </w:p>
    <w:p w14:paraId="226676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расшифровывалось как "защитная авиационная мина". На самом деле на мину это было не очень похоже. Сам ее создатель, инженер Майзель из ОКБ-2, предпочитал именовать свое творение "прибором". Это было что-то вроде маленького самолета, но без мотора. Винт приводился во вращение ротором. Последний предварительно 6-9 минут раскручивали от ветрянки, смонтированной на самолете-носителе, через редуктор. Не позже, чем через 4 минуты после этого "прибор" надо было сбросить. Пролетев определенное расстояние, аппарат взрывался. Взрывчатку закладывали в ротор, поэтому осколки в основном разлетались в плоскости его вращения. В варианте ЗАМ-УСП в так называемых "блямбах" (так и было написано в техническом описании) в головной части фюзеляжа и на концах крыла монтировались 54 однозарядных мортирки, срабатывавшие тремя очередями через заданные интервалы. Были также модификации, заряженные шрапнелью (в том числе стержневой), зажигательными или отравляющими веществами. Разные варианты весили от 115 до 275 кг, дальность стрельбы достигала 2 км.</w:t>
      </w:r>
    </w:p>
    <w:p w14:paraId="4FDF34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Укладка оперенного реактивного снаряда в пусковую трубу</w:t>
      </w:r>
    </w:p>
    <w:p w14:paraId="40EFCE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 мог нести два ЗАМа на подвеске под нижним крылом, скорость при этом падала до 132-198 км/ч. Ими собирались прорывать аэростатные заграждения, сбивать дирижабли и разрушать плотный строй бомбардировщиков, лишая их огневого взаимодействия. Но испытания на Ногинском полигоне, серьезно подорвали доверие к ЗАМу (12034).</w:t>
      </w:r>
    </w:p>
    <w:p w14:paraId="4AD4D6F0" w14:textId="77777777" w:rsidR="00D4105E" w:rsidRPr="00E14102" w:rsidRDefault="00D4105E" w:rsidP="00E14102">
      <w:pPr>
        <w:autoSpaceDE w:val="0"/>
        <w:autoSpaceDN w:val="0"/>
        <w:adjustRightInd w:val="0"/>
        <w:jc w:val="both"/>
        <w:rPr>
          <w:color w:val="000000" w:themeColor="text1"/>
          <w:sz w:val="16"/>
          <w:szCs w:val="16"/>
        </w:rPr>
      </w:pPr>
    </w:p>
    <w:p w14:paraId="624680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 "Огненный дождь" испытывали на полигоне НИХИ. Те же ВАП-6 заполнялись гранулированным фосфором в растворе хлористого кальция. Гранулы имели вид небольших цилиндриков размером около 15 мм. Всего в бак входило около 10 кг чистого фосфора. Заправка занимала около получаса. В воздухе смесь разбрызгивалась и соединялась с зажигательным составом из подвешенного под ВАП-6 прибора ёмкостью 3 л. Из него шла смесь С-4 для постановки дымовых завес или олеум. При соединении двух струй за самолётом появлялся огненный "хвост". Удар наносился с высоты около 25 м при скорости 180 км/ч. Один истребитель накрывал полосу шириной 20 - 25 м и длиной 100 м. Внизу горели сухая трава, ткань (в том числе обмундирование, надетое на подопытных животных), соломенные крыши. Солдаты в летнем обмундировании могли получить тяжёлые ожоги, фосфор водой не тушился. Пробовали там и другой вариант снаряжения ВАП-6 - шариками жидкого сплава натрия с калием в трансформаторном масле. Поджигать их не требовалось, сплав вспыхивал при соединении с воздухом даже на мокрой траве. Но и в обращении жидкий металл был сложнее и опаснее (11997).</w:t>
      </w:r>
    </w:p>
    <w:p w14:paraId="45BC2A4E" w14:textId="77777777" w:rsidR="00D4105E" w:rsidRPr="00E14102" w:rsidRDefault="00D4105E" w:rsidP="00E14102">
      <w:pPr>
        <w:autoSpaceDE w:val="0"/>
        <w:autoSpaceDN w:val="0"/>
        <w:adjustRightInd w:val="0"/>
        <w:jc w:val="both"/>
        <w:rPr>
          <w:color w:val="000000" w:themeColor="text1"/>
          <w:sz w:val="16"/>
          <w:szCs w:val="16"/>
        </w:rPr>
      </w:pPr>
    </w:p>
    <w:p w14:paraId="5EAFC594"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октябре 1935 г. провели испы</w:t>
      </w:r>
      <w:r w:rsidRPr="00E14102">
        <w:rPr>
          <w:color w:val="000000" w:themeColor="text1"/>
          <w:sz w:val="16"/>
          <w:szCs w:val="16"/>
        </w:rPr>
        <w:softHyphen/>
        <w:t>тания зажигательного прибора на основе ВАП-6. Под выливным при</w:t>
      </w:r>
      <w:r w:rsidRPr="00E14102">
        <w:rPr>
          <w:color w:val="000000" w:themeColor="text1"/>
          <w:sz w:val="16"/>
          <w:szCs w:val="16"/>
        </w:rPr>
        <w:softHyphen/>
        <w:t>бором смонтировали сигарообраз</w:t>
      </w:r>
      <w:r w:rsidRPr="00E14102">
        <w:rPr>
          <w:color w:val="000000" w:themeColor="text1"/>
          <w:sz w:val="16"/>
          <w:szCs w:val="16"/>
        </w:rPr>
        <w:softHyphen/>
        <w:t>ный баллон емкостью около 3 л. Общий вес комплекта из двух вы</w:t>
      </w:r>
      <w:r w:rsidRPr="00E14102">
        <w:rPr>
          <w:color w:val="000000" w:themeColor="text1"/>
          <w:sz w:val="16"/>
          <w:szCs w:val="16"/>
        </w:rPr>
        <w:softHyphen/>
        <w:t>ливных и двух дополнительных при</w:t>
      </w:r>
      <w:r w:rsidRPr="00E14102">
        <w:rPr>
          <w:color w:val="000000" w:themeColor="text1"/>
          <w:sz w:val="16"/>
          <w:szCs w:val="16"/>
        </w:rPr>
        <w:softHyphen/>
        <w:t>боров, монтировавшегося на истре</w:t>
      </w:r>
      <w:r w:rsidRPr="00E14102">
        <w:rPr>
          <w:color w:val="000000" w:themeColor="text1"/>
          <w:sz w:val="16"/>
          <w:szCs w:val="16"/>
        </w:rPr>
        <w:softHyphen/>
        <w:t>бителе И-5, составлял 53,6 кг. Баки опять заправляли, сняв с самолета. У двух рабочих на это уходило око</w:t>
      </w:r>
      <w:r w:rsidRPr="00E14102">
        <w:rPr>
          <w:color w:val="000000" w:themeColor="text1"/>
          <w:sz w:val="16"/>
          <w:szCs w:val="16"/>
        </w:rPr>
        <w:softHyphen/>
        <w:t>ло получаса.</w:t>
      </w:r>
    </w:p>
    <w:p w14:paraId="183BB767"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Испытания вели на полигоне НИХИ. Истребитель сбрасывал фосфор с высоты 25 м на скорости 180 км/ч. Была поражена площадь длиной около 100 м и шириной 20- 25 м. Полоса имела не прямоуголь</w:t>
      </w:r>
      <w:r w:rsidRPr="00E14102">
        <w:rPr>
          <w:color w:val="000000" w:themeColor="text1"/>
          <w:sz w:val="16"/>
          <w:szCs w:val="16"/>
        </w:rPr>
        <w:softHyphen/>
        <w:t>ную форму, а сужалось клином к концу работы приборов.</w:t>
      </w:r>
    </w:p>
    <w:p w14:paraId="45F7AED4"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Параллельно с испытанием за</w:t>
      </w:r>
      <w:r w:rsidRPr="00E14102">
        <w:rPr>
          <w:color w:val="000000" w:themeColor="text1"/>
          <w:sz w:val="16"/>
          <w:szCs w:val="16"/>
        </w:rPr>
        <w:softHyphen/>
        <w:t>жигательных приборов шли рабо</w:t>
      </w:r>
      <w:r w:rsidRPr="00E14102">
        <w:rPr>
          <w:color w:val="000000" w:themeColor="text1"/>
          <w:sz w:val="16"/>
          <w:szCs w:val="16"/>
        </w:rPr>
        <w:softHyphen/>
        <w:t>ты по поиску альтернативных зажи</w:t>
      </w:r>
      <w:r w:rsidRPr="00E14102">
        <w:rPr>
          <w:color w:val="000000" w:themeColor="text1"/>
          <w:sz w:val="16"/>
          <w:szCs w:val="16"/>
        </w:rPr>
        <w:softHyphen/>
        <w:t>гательных средств. Искали химика</w:t>
      </w:r>
      <w:r w:rsidRPr="00E14102">
        <w:rPr>
          <w:color w:val="000000" w:themeColor="text1"/>
          <w:sz w:val="16"/>
          <w:szCs w:val="16"/>
        </w:rPr>
        <w:softHyphen/>
        <w:t>ты подешевле и менее опасные для обслуживающего персонала. Ос</w:t>
      </w:r>
      <w:r w:rsidRPr="00E14102">
        <w:rPr>
          <w:color w:val="000000" w:themeColor="text1"/>
          <w:sz w:val="16"/>
          <w:szCs w:val="16"/>
        </w:rPr>
        <w:softHyphen/>
        <w:t>новная ставка делалась все же на фосфор, но варьировали размеры гранул и жидкость, в которую его погружали. Пробовали различные кислотные и соляные растворы, а также простую воду. Смесь С-4, которая воспламеняла фосфор, пытались заменить кислотами или щелочами (12022).</w:t>
      </w:r>
    </w:p>
    <w:p w14:paraId="49FACEA3" w14:textId="77777777" w:rsidR="00D4105E" w:rsidRPr="00E14102" w:rsidRDefault="00D4105E" w:rsidP="00E14102">
      <w:pPr>
        <w:widowControl w:val="0"/>
        <w:autoSpaceDE w:val="0"/>
        <w:autoSpaceDN w:val="0"/>
        <w:adjustRightInd w:val="0"/>
        <w:jc w:val="both"/>
        <w:rPr>
          <w:color w:val="000000" w:themeColor="text1"/>
          <w:sz w:val="16"/>
          <w:szCs w:val="16"/>
        </w:rPr>
      </w:pPr>
    </w:p>
    <w:p w14:paraId="35D611F7"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октябре 1935 г. испытывали принципиально иную композицию: эвтектический сплав натрия с кали</w:t>
      </w:r>
      <w:r w:rsidRPr="00E14102">
        <w:rPr>
          <w:color w:val="000000" w:themeColor="text1"/>
          <w:sz w:val="16"/>
          <w:szCs w:val="16"/>
        </w:rPr>
        <w:softHyphen/>
        <w:t>ем должен был взаимодействовать с водой. Этот сплав при комнатной температуре находится в жидком состоянии. В бак его заправляли в виде эмульсии в трансформаторном масле - три части сплава на одну часть масла. Истребитель И-5 нес под одним крылом ВАП-6 с эмульси</w:t>
      </w:r>
      <w:r w:rsidRPr="00E14102">
        <w:rPr>
          <w:color w:val="000000" w:themeColor="text1"/>
          <w:sz w:val="16"/>
          <w:szCs w:val="16"/>
        </w:rPr>
        <w:softHyphen/>
        <w:t>ей (примерно 30 кг), под другим - с водой. Испытания проходили на полигоне НИХИ. Летчик открыл зас</w:t>
      </w:r>
      <w:r w:rsidRPr="00E14102">
        <w:rPr>
          <w:color w:val="000000" w:themeColor="text1"/>
          <w:sz w:val="16"/>
          <w:szCs w:val="16"/>
        </w:rPr>
        <w:softHyphen/>
        <w:t>лонки на высоте около 25 м при скорости 180 км/ч. За истребите</w:t>
      </w:r>
      <w:r w:rsidRPr="00E14102">
        <w:rPr>
          <w:color w:val="000000" w:themeColor="text1"/>
          <w:sz w:val="16"/>
          <w:szCs w:val="16"/>
        </w:rPr>
        <w:softHyphen/>
        <w:t>лем потянулись два «хвоста» - бу</w:t>
      </w:r>
      <w:r w:rsidRPr="00E14102">
        <w:rPr>
          <w:color w:val="000000" w:themeColor="text1"/>
          <w:sz w:val="16"/>
          <w:szCs w:val="16"/>
        </w:rPr>
        <w:softHyphen/>
        <w:t>рый и белый, но вспышки не про</w:t>
      </w:r>
      <w:r w:rsidRPr="00E14102">
        <w:rPr>
          <w:color w:val="000000" w:themeColor="text1"/>
          <w:sz w:val="16"/>
          <w:szCs w:val="16"/>
        </w:rPr>
        <w:softHyphen/>
        <w:t>изошло. Жидкий металл начал го</w:t>
      </w:r>
      <w:r w:rsidRPr="00E14102">
        <w:rPr>
          <w:color w:val="000000" w:themeColor="text1"/>
          <w:sz w:val="16"/>
          <w:szCs w:val="16"/>
        </w:rPr>
        <w:softHyphen/>
        <w:t>реть только на земле там, где его капли упали на покрытую росой траву.</w:t>
      </w:r>
    </w:p>
    <w:p w14:paraId="707C06E5"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результате эффективность аль</w:t>
      </w:r>
      <w:r w:rsidRPr="00E14102">
        <w:rPr>
          <w:color w:val="000000" w:themeColor="text1"/>
          <w:sz w:val="16"/>
          <w:szCs w:val="16"/>
        </w:rPr>
        <w:softHyphen/>
        <w:t>тернативного варианта признали недостаточной. Кроме того, он об</w:t>
      </w:r>
      <w:r w:rsidRPr="00E14102">
        <w:rPr>
          <w:color w:val="000000" w:themeColor="text1"/>
          <w:sz w:val="16"/>
          <w:szCs w:val="16"/>
        </w:rPr>
        <w:softHyphen/>
        <w:t xml:space="preserve">ходился дороже, а снаряжение бака было опаснее. От применения </w:t>
      </w:r>
      <w:r w:rsidRPr="00E14102">
        <w:rPr>
          <w:color w:val="000000" w:themeColor="text1"/>
          <w:sz w:val="16"/>
          <w:szCs w:val="16"/>
        </w:rPr>
        <w:lastRenderedPageBreak/>
        <w:t>жид</w:t>
      </w:r>
      <w:r w:rsidRPr="00E14102">
        <w:rPr>
          <w:color w:val="000000" w:themeColor="text1"/>
          <w:sz w:val="16"/>
          <w:szCs w:val="16"/>
        </w:rPr>
        <w:softHyphen/>
        <w:t>кого металла отказались.</w:t>
      </w:r>
    </w:p>
    <w:p w14:paraId="61217B0C"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результате вернулись к перво</w:t>
      </w:r>
      <w:r w:rsidRPr="00E14102">
        <w:rPr>
          <w:color w:val="000000" w:themeColor="text1"/>
          <w:sz w:val="16"/>
          <w:szCs w:val="16"/>
        </w:rPr>
        <w:softHyphen/>
        <w:t>начальной композиции - фосфор в растворе хлористого кальция плюс смесь С-4 (12022).</w:t>
      </w:r>
    </w:p>
    <w:p w14:paraId="5C7A5EF0" w14:textId="77777777" w:rsidR="00D4105E" w:rsidRPr="00E14102" w:rsidRDefault="00D4105E" w:rsidP="00E14102">
      <w:pPr>
        <w:widowControl w:val="0"/>
        <w:autoSpaceDE w:val="0"/>
        <w:autoSpaceDN w:val="0"/>
        <w:adjustRightInd w:val="0"/>
        <w:jc w:val="both"/>
        <w:rPr>
          <w:color w:val="000000" w:themeColor="text1"/>
          <w:sz w:val="16"/>
          <w:szCs w:val="16"/>
        </w:rPr>
      </w:pPr>
    </w:p>
    <w:p w14:paraId="5D9906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аппарат для постановки дымзавесы Х-3 опробовали на ТБ-3 повторно и заказали 20 комплектов для войсковых испытаний. Дальнейшая их судьба неизвестна (9964).</w:t>
      </w:r>
    </w:p>
    <w:p w14:paraId="5296DEB4" w14:textId="77777777" w:rsidR="00D4105E" w:rsidRPr="00E14102" w:rsidRDefault="00D4105E" w:rsidP="00E14102">
      <w:pPr>
        <w:autoSpaceDE w:val="0"/>
        <w:autoSpaceDN w:val="0"/>
        <w:adjustRightInd w:val="0"/>
        <w:jc w:val="both"/>
        <w:rPr>
          <w:color w:val="000000" w:themeColor="text1"/>
          <w:sz w:val="16"/>
          <w:szCs w:val="16"/>
        </w:rPr>
      </w:pPr>
    </w:p>
    <w:p w14:paraId="00EA77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Начальник управления ВС Алкснис октябрь 1935 года утвердил Отчет о полигонных испытаниях оптического прицела ПАН-3, предъявленного на испытания КИБ ВООМП"а</w:t>
      </w:r>
    </w:p>
    <w:p w14:paraId="3E08C0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w:t>
      </w:r>
    </w:p>
    <w:p w14:paraId="70C643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Начато 25.09.1935 г.</w:t>
      </w:r>
    </w:p>
    <w:p w14:paraId="010769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Окончено 5.10.1935 г.</w:t>
      </w:r>
    </w:p>
    <w:p w14:paraId="147183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61DA5C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Принятие на вооружение ВС оптического прицела ПАН-3 для стрельбы из неподвижно установленных пулеметов калибра 7,62 мм, разработанного и изготовленного по инициативе инженерно-технических работников КИБ ВООМП"а.</w:t>
      </w:r>
    </w:p>
    <w:p w14:paraId="111B06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4E4CC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Оптический прицел ПАН-3 полигонные испытания выдержал и может быть допущен на войсковые испытания с устранением недочетов.</w:t>
      </w:r>
    </w:p>
    <w:p w14:paraId="687A72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проведения испытаний прицел был смонтирован на самолете И-15.</w:t>
      </w:r>
    </w:p>
    <w:p w14:paraId="3C931E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испытаний было произведено 10 полетов 6 час. 30 мин. (3086).</w:t>
      </w:r>
    </w:p>
    <w:p w14:paraId="72F6C068" w14:textId="77777777" w:rsidR="00D4105E" w:rsidRPr="00E14102" w:rsidRDefault="00D4105E" w:rsidP="00E14102">
      <w:pPr>
        <w:autoSpaceDE w:val="0"/>
        <w:autoSpaceDN w:val="0"/>
        <w:adjustRightInd w:val="0"/>
        <w:jc w:val="both"/>
        <w:rPr>
          <w:color w:val="000000" w:themeColor="text1"/>
          <w:sz w:val="16"/>
          <w:szCs w:val="16"/>
        </w:rPr>
      </w:pPr>
    </w:p>
    <w:p w14:paraId="7F4044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Начальник управления ВС Алкснис утвердил Отчет о полигонных испытаниях коллиматорного прицела "РО" предъявленного КИБ ВООМП"а</w:t>
      </w:r>
    </w:p>
    <w:p w14:paraId="5F8BF4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w:t>
      </w:r>
    </w:p>
    <w:p w14:paraId="1733E7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Начато 25.09.1935 г.</w:t>
      </w:r>
    </w:p>
    <w:p w14:paraId="3D4509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Окончено 5.10.1935 г.</w:t>
      </w:r>
    </w:p>
    <w:p w14:paraId="1C939B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65C584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 Цветков</w:t>
      </w:r>
    </w:p>
    <w:p w14:paraId="6578A0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 Мохов</w:t>
      </w:r>
    </w:p>
    <w:p w14:paraId="5FC285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447745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Проверка оптического прицела "РО" типа коллиматора, разработанного и изготовленного по инициативе инженерно-технических работников КИБ ВООМП"а, с целью принятия на вооружение ВС.</w:t>
      </w:r>
    </w:p>
    <w:p w14:paraId="2EB4E9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D7EF4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Коллиматорный прицел "РО" полигонные испытания не выдержал и требует доработки и устранения недостатков (3085).</w:t>
      </w:r>
    </w:p>
    <w:p w14:paraId="3A789BB1" w14:textId="77777777" w:rsidR="00D4105E" w:rsidRPr="00E14102" w:rsidRDefault="00D4105E" w:rsidP="00E14102">
      <w:pPr>
        <w:autoSpaceDE w:val="0"/>
        <w:autoSpaceDN w:val="0"/>
        <w:adjustRightInd w:val="0"/>
        <w:jc w:val="both"/>
        <w:rPr>
          <w:color w:val="000000" w:themeColor="text1"/>
          <w:sz w:val="16"/>
          <w:szCs w:val="16"/>
        </w:rPr>
      </w:pPr>
    </w:p>
    <w:p w14:paraId="3FF9A0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года Начальник Управления ВС Алкснис утвердил Отчет о полигонных испытаниях оптического прицела НИР-5, предъявленного на испытания КИБ ВООМП"а.</w:t>
      </w:r>
    </w:p>
    <w:p w14:paraId="668D63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w:t>
      </w:r>
    </w:p>
    <w:p w14:paraId="591F91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Начато 9.10.35 г.</w:t>
      </w:r>
    </w:p>
    <w:p w14:paraId="2B205F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Окончено 20.10.35 г.</w:t>
      </w:r>
    </w:p>
    <w:p w14:paraId="13FEE2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344E4F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 в/к Цветков.</w:t>
      </w:r>
    </w:p>
    <w:p w14:paraId="3B5344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047742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Проверка оптического прицела НИР-5, разработанного и изготовленного по инициативе инженерно-технических работников КИБ ВООМП"а с целью определения возможности и целесообразности применения прицелов с переменным увеличением в поле зрения.</w:t>
      </w:r>
    </w:p>
    <w:p w14:paraId="6E3C59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1C49AC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Оптический прицел НИР-5 полигонные испытания не выдержал (3073).</w:t>
      </w:r>
    </w:p>
    <w:p w14:paraId="515B278C" w14:textId="77777777" w:rsidR="00D4105E" w:rsidRPr="00E14102" w:rsidRDefault="00D4105E" w:rsidP="00E14102">
      <w:pPr>
        <w:autoSpaceDE w:val="0"/>
        <w:autoSpaceDN w:val="0"/>
        <w:adjustRightInd w:val="0"/>
        <w:jc w:val="both"/>
        <w:rPr>
          <w:color w:val="000000" w:themeColor="text1"/>
          <w:sz w:val="16"/>
          <w:szCs w:val="16"/>
        </w:rPr>
      </w:pPr>
    </w:p>
    <w:p w14:paraId="31090D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октябре 1935 стрельба ракетными осколочными снарядами РОС-132 модели 121000 проходила под руководством начальника первого отдела РНИИ Ю.А.Победоносцева и инженера этого отдела М.Ф.Фоки</w:t>
      </w:r>
      <w:r w:rsidRPr="00E14102">
        <w:rPr>
          <w:color w:val="000000" w:themeColor="text1"/>
          <w:sz w:val="16"/>
          <w:szCs w:val="16"/>
        </w:rPr>
        <w:softHyphen/>
        <w:t>на. Партию боеприпасов из 15 штук изготовили в мастерской РНИИ. От снаряда этой модели предполагалось получить повышенное оско</w:t>
      </w:r>
      <w:r w:rsidRPr="00E14102">
        <w:rPr>
          <w:color w:val="000000" w:themeColor="text1"/>
          <w:sz w:val="16"/>
          <w:szCs w:val="16"/>
        </w:rPr>
        <w:softHyphen/>
        <w:t>лочное действие, увеличение меткости в результате новой конструкции БЧ и повышенной жесткости крыльев. Очевидно, на основании этой фразы из отчета и возникла легенда о вибрации алюминиевых крыльев оперения. Отстрел проходил при углах возвышения 40°.</w:t>
      </w:r>
    </w:p>
    <w:p w14:paraId="4348D08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РЗ боеприпасов состояли из 35 шашек габаритами 40/8-57,5 мм (из них одна разрезная). По торцам РЗ были размещены пороховые воспла</w:t>
      </w:r>
      <w:r w:rsidRPr="00E14102">
        <w:rPr>
          <w:color w:val="000000" w:themeColor="text1"/>
          <w:sz w:val="16"/>
          <w:szCs w:val="16"/>
        </w:rPr>
        <w:softHyphen/>
        <w:t>менители их навесок по 12 г ДРП. Воспламенение - перовой гальвани</w:t>
      </w:r>
      <w:r w:rsidRPr="00E14102">
        <w:rPr>
          <w:color w:val="000000" w:themeColor="text1"/>
          <w:sz w:val="16"/>
          <w:szCs w:val="16"/>
        </w:rPr>
        <w:softHyphen/>
        <w:t>ческой трубкой от индуктора. Корпус БЧ — чугунный, наполненный го</w:t>
      </w:r>
      <w:r w:rsidRPr="00E14102">
        <w:rPr>
          <w:color w:val="000000" w:themeColor="text1"/>
          <w:sz w:val="16"/>
          <w:szCs w:val="16"/>
        </w:rPr>
        <w:softHyphen/>
        <w:t>товыми осколками. В головном очке также был установлен габаритно-весовой макет дистанционной трубки ТМ-4. Корпуса двигателей изгото</w:t>
      </w:r>
      <w:r w:rsidRPr="00E14102">
        <w:rPr>
          <w:color w:val="000000" w:themeColor="text1"/>
          <w:sz w:val="16"/>
          <w:szCs w:val="16"/>
        </w:rPr>
        <w:softHyphen/>
        <w:t>вили из термически обработанной стали. Сопла - из стали ЗОХМА, тер</w:t>
      </w:r>
      <w:r w:rsidRPr="00E14102">
        <w:rPr>
          <w:color w:val="000000" w:themeColor="text1"/>
          <w:sz w:val="16"/>
          <w:szCs w:val="16"/>
        </w:rPr>
        <w:softHyphen/>
        <w:t>мически не обработанной. Снаряды прошли гидравлические испытания, причем, камеры испытывали вместе с сопловыми крышками под давле</w:t>
      </w:r>
      <w:r w:rsidRPr="00E14102">
        <w:rPr>
          <w:color w:val="000000" w:themeColor="text1"/>
          <w:sz w:val="16"/>
          <w:szCs w:val="16"/>
        </w:rPr>
        <w:softHyphen/>
        <w:t>нием 250-260 кг/см</w:t>
      </w:r>
      <w:r w:rsidRPr="00E14102">
        <w:rPr>
          <w:color w:val="000000" w:themeColor="text1"/>
          <w:sz w:val="16"/>
          <w:szCs w:val="16"/>
          <w:vertAlign w:val="superscript"/>
        </w:rPr>
        <w:t>2</w:t>
      </w:r>
      <w:r w:rsidRPr="00E14102">
        <w:rPr>
          <w:color w:val="000000" w:themeColor="text1"/>
          <w:sz w:val="16"/>
          <w:szCs w:val="16"/>
        </w:rPr>
        <w:t xml:space="preserve"> в течение 3 мин.</w:t>
      </w:r>
    </w:p>
    <w:p w14:paraId="5B7581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Выводы: «техническое рассеивание по дальности вполне удовлетво</w:t>
      </w:r>
      <w:r w:rsidRPr="00E14102">
        <w:rPr>
          <w:color w:val="000000" w:themeColor="text1"/>
          <w:sz w:val="16"/>
          <w:szCs w:val="16"/>
        </w:rPr>
        <w:softHyphen/>
        <w:t>ряет предъявленным ТТТ. Боковое рассеивание все еще велико. Сталь</w:t>
      </w:r>
      <w:r w:rsidRPr="00E14102">
        <w:rPr>
          <w:color w:val="000000" w:themeColor="text1"/>
          <w:sz w:val="16"/>
          <w:szCs w:val="16"/>
        </w:rPr>
        <w:softHyphen/>
        <w:t>ные сварные крылья вполне оправдали возложенные на них надежды. В дальнейшем следует добиваться, чтобы крылья не деформировались при транспортировке и обращении со снарядом» (11402).</w:t>
      </w:r>
    </w:p>
    <w:p w14:paraId="460326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1E4AB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 оперенные PC-132 испытывали в качестве "ракетных авиабомб". Их сбрасывали как бомбы с Дер-7, далее включался двигатель и ракета, падая, быстро разгонялась. Это должно было увеличить бронепроби- ваемость и увеличить вероятность поражения маневрирующих целей (12034).</w:t>
      </w:r>
    </w:p>
    <w:p w14:paraId="3CA2E9F9" w14:textId="77777777" w:rsidR="00D4105E" w:rsidRPr="00E14102" w:rsidRDefault="00D4105E" w:rsidP="00E14102">
      <w:pPr>
        <w:autoSpaceDE w:val="0"/>
        <w:autoSpaceDN w:val="0"/>
        <w:adjustRightInd w:val="0"/>
        <w:jc w:val="both"/>
        <w:rPr>
          <w:color w:val="000000" w:themeColor="text1"/>
          <w:sz w:val="16"/>
          <w:szCs w:val="16"/>
        </w:rPr>
      </w:pPr>
    </w:p>
    <w:p w14:paraId="50F6CC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 первый вариант ВАП-4м из опытной партии прошел испытания в НИИ ВВС. В феврале 1936 г. там же летал уже серийный его образец. ВАП-4м отличался универсальностью подвески - его можно было крепить не только на балках Дер-7, но и на Дер-6 и новых Дер-31. В последнем случае прибор мог работать от электробомбосбрасывателя (ЭСБР-1 или другого типа). Электропиротехнический механизм обеспечивал открывание баков по одному или попарно, старый механический - только всех вместе. При вскрытии или сбросе "чистой механикой" усилие, ранее достигавшее при сбросе 20 кг, существенно уменьшили. Этот прибор вошел в состав химического вооружения Р-5 последних серий, штурмовиков ССС, легких бомбардировщиков Р-Зет, летающих лодок МБР-2 и доже ранних вариантов дальнего бомбардировщика ДБ-3. ВАП-4м выпускался и в первые годы Великой Отечественной войны - ими намеревались укомплектовать Р-5 ночных легких бомбардировочных полков. На базе удачной конструкции ВАП-4 создали целый ряд зажигательных приборов, которые заслуживают отдельного рассказа (11931).</w:t>
      </w:r>
    </w:p>
    <w:p w14:paraId="270B6454" w14:textId="77777777" w:rsidR="00D4105E" w:rsidRPr="00E14102" w:rsidRDefault="00D4105E" w:rsidP="00E14102">
      <w:pPr>
        <w:autoSpaceDE w:val="0"/>
        <w:autoSpaceDN w:val="0"/>
        <w:adjustRightInd w:val="0"/>
        <w:jc w:val="both"/>
        <w:rPr>
          <w:color w:val="000000" w:themeColor="text1"/>
          <w:sz w:val="16"/>
          <w:szCs w:val="16"/>
        </w:rPr>
      </w:pPr>
    </w:p>
    <w:p w14:paraId="5294FB93" w14:textId="77777777" w:rsidR="00136D5A" w:rsidRPr="00E14102" w:rsidRDefault="00136D5A" w:rsidP="00E14102">
      <w:pPr>
        <w:jc w:val="both"/>
        <w:rPr>
          <w:color w:val="0070C0"/>
          <w:sz w:val="16"/>
          <w:szCs w:val="16"/>
        </w:rPr>
      </w:pPr>
      <w:r w:rsidRPr="00E14102">
        <w:rPr>
          <w:color w:val="0070C0"/>
          <w:sz w:val="16"/>
          <w:szCs w:val="16"/>
        </w:rPr>
        <w:t xml:space="preserve">В октябре 1935 года Комиссия партийного контроля, созданная 8 августа 1935 года постановлением СНК СССР и ЦК ВКП(б) № 1750 «Об Осоавиахиме», куда вошли секретарь партийной коллегии ЦКК ВКП(б) М.Ф. Шкирятов и два члена КПК при ЦК ВКП(б) Я.Х. Петерс и Н.В. Куйбышев, проверила состояние производства и эксплуатации парашютов, а также качество подготовки кадров. Материалы проверки были изложены в докладной записке «О парашютизме» и направлены в ЦК ВКП(б) И.В. Сталину и в СТО СССР В.М. Молотову. Комиссия выявила, что «…в производстве…парашютов имеют место значительные недостатки, влекущие за собой аварии и катастрофы и требующие немедленного устранения» (АП РФ. Ф. 3. Оп. 50. Д. 660. Л. 81.). Члены комиссии отметили также, что качество парашютов было неудовлетворительным и не соответствовало возросшим требованиям скоростных полетов и затяжным прыжкам. Для эксплуатируемого с 1932 года парашюта «Ирвин» норма опытным путем была установлена в 100 прыжков, хотя отдельные парашюты выдерживали до 180 прыжков. В соответствии с конструктивными нормативами этот парашют выдерживал динамический удар, получаемый грузом в 180 кг и сброшенный на скорости 180 км/час. При этом скорость приземления парашюта с грузом 80 кг не превышала 5,5 м/сек. при нормальных атмосферных условиях (Парашют системы «Ирвин». Описание и инструкция по укладке, пользованию, хранению, испытанию и ремонту / Под ред. А. Панкова. М.: Госвоениздат, 1931. С. 8-9.). Начиная же с 1934 года парашюты в лучшем случае выдерживали 30-50 прыжков, многие выходили из строя и того быстрее, в 1935 г. нередки были случаи порыва парашютов при первом же прыжке. Основные повреждения были связаны с обрывами строп и ожогами купола. Например, в 100 парашютах, поступивших для ремонта на завод № 1, было выявлено 112 случаев отрыва строп, 136 ожогов купола и 74 случая порывов купола по полотнищам.1 Одной из основных причин неудовлетворительного качества парашютов, по мнению комиссии, были недостатки в конструкции парашюта. Парашют типа «Ирвин», принятый на вооружение с 1932 года, был рассчитан на скорость падения 10-12 м/сек. и на скорость самолетов до 130 км/час. Рост скоростей полета самолетов и скорости падения (затяжные прыжки) требовал внесения в конструкцию парашюта и в </w:t>
      </w:r>
      <w:r w:rsidRPr="00E14102">
        <w:rPr>
          <w:color w:val="0070C0"/>
          <w:sz w:val="16"/>
          <w:szCs w:val="16"/>
        </w:rPr>
        <w:lastRenderedPageBreak/>
        <w:t>стандарты материалов для их изготовления изменений, а это не было сделано, и советские летчики продолжали пользоваться парашютом, не отвечавшим возросшим аэродинамическим требованиям.</w:t>
      </w:r>
    </w:p>
    <w:p w14:paraId="38842167" w14:textId="77777777" w:rsidR="00136D5A" w:rsidRPr="00E14102" w:rsidRDefault="00136D5A" w:rsidP="00E14102">
      <w:pPr>
        <w:jc w:val="both"/>
        <w:rPr>
          <w:color w:val="0070C0"/>
          <w:sz w:val="16"/>
          <w:szCs w:val="16"/>
        </w:rPr>
      </w:pPr>
      <w:r w:rsidRPr="00E14102">
        <w:rPr>
          <w:color w:val="0070C0"/>
          <w:sz w:val="16"/>
          <w:szCs w:val="16"/>
        </w:rPr>
        <w:t>Комиссия указала, что руководители Наркомата легпрома, а также Управления ВВС РККА исключительно слабо наладили работу по конструированию парашютов. Если авиапромышленность уделяла внимание парашютостроению, то УВВС ведущей роли в этом вопросе не играло. В частности, до сих пор не были испытаны несколько различных образцов современных иностранных парашютов. Парашюты 1933 года производства, изготовленные из новых, выработанных фабрикой «Красная Роза» тканей, разных по весу, воздухопроницаемости, крепости, 2 года назад были разосланы в части, но УВВС до сего времени не располагало результатами их испытаний. Его руководство точно не знало, в какие части для опыта они были направлены. Резкой критике подвергся и директор парашютного завода № 1 Савицкий. Была раскритикована конструкторская работа. Это объяснялось некомпетентностью кадров. Так, до 1935 года среди конструкторов не было ни одного инженера. Завод не получал никаких рекомендаций со стороны УВВС по реконструкции парашюта. Даже когда завод внес ряд конструктивных улучшений в парашют и передал его образцы для заключения, никаких оценок по ним от УВВС не поступило (АП РФ. Ф. 3. Оп. 50. Д. 660. Лл. 82-83).</w:t>
      </w:r>
    </w:p>
    <w:p w14:paraId="40022E94" w14:textId="77777777" w:rsidR="00136D5A" w:rsidRPr="00E14102" w:rsidRDefault="00136D5A" w:rsidP="00E14102">
      <w:pPr>
        <w:jc w:val="both"/>
        <w:rPr>
          <w:color w:val="0070C0"/>
          <w:sz w:val="16"/>
          <w:szCs w:val="16"/>
        </w:rPr>
      </w:pPr>
      <w:r w:rsidRPr="00E14102">
        <w:rPr>
          <w:color w:val="0070C0"/>
          <w:sz w:val="16"/>
          <w:szCs w:val="16"/>
        </w:rPr>
        <w:t>Недостатки имелись на производстве парашютов (заводы № 1 и № 2), руководство которыми в Наркомлегпроме осуществлял мобилизационный отдел, но из-за отсутствия профессиональных специалистов производства он был не в состоянии квалифицированно управлять процессом. Реконструкция завода № 1 и строительство нового корпуса в срок до 1934 года не были завершены. В связи с затянувшейся реконструкцией в старых цехах было тесно и грязно. Технический контроль проводился слабо, нарушалась технология рабочих процессов. Не лучше оказалось и производство парашютных тканей, которые вырабатывали фабрики Наркомата местной промышленности (НКМП). В 1932-1933 годах, когда производилось очень мало парашютов, каждая партия кокона, пряжи, ее отварка и отмывка находились под особым наблюдением и контролем. К 1936 году парашюты стали производиться десятками тысяч и внимание к производству тканей явно ослабело. Значительным был брак при производстве тканей. Например, на Глуховском комбинате этот брак при производстве перкаля доходил до 50%, до 20% составлял возврат отходов при закройке парашютов (АП РФ. Ф. 3. Оп. 50. Д. 660. Лл. 83-84).</w:t>
      </w:r>
    </w:p>
    <w:p w14:paraId="2EC1CC84" w14:textId="77777777" w:rsidR="00136D5A" w:rsidRPr="00E14102" w:rsidRDefault="00136D5A" w:rsidP="00E14102">
      <w:pPr>
        <w:jc w:val="both"/>
        <w:rPr>
          <w:color w:val="0070C0"/>
          <w:sz w:val="16"/>
          <w:szCs w:val="16"/>
        </w:rPr>
      </w:pPr>
      <w:r w:rsidRPr="00E14102">
        <w:rPr>
          <w:color w:val="0070C0"/>
          <w:sz w:val="16"/>
          <w:szCs w:val="16"/>
        </w:rPr>
        <w:t>Для качественного улучшения производства парашютов комиссия разработала большой план. Решено было организовать в системе НКЛП специальный парашютный трест, куда вошли парашютные заводы № 1 и № 2 этого Наркомата и фабрика № 5 НКМП, которая передавалась с 1 января 1936 года в ведение НКЛП. Комиссия предложила ввести специализацию заводов. С этого времени завод № 1 специализировался на производстве людских парашютов, а завод № 2 – на производстве грузовых парашютов. Кроме того, эти заводы были включены в номенклатуру особорежимных предприятий.</w:t>
      </w:r>
    </w:p>
    <w:p w14:paraId="5BCFBB3E" w14:textId="77777777" w:rsidR="00136D5A" w:rsidRPr="00E14102" w:rsidRDefault="00136D5A" w:rsidP="00E14102">
      <w:pPr>
        <w:jc w:val="both"/>
        <w:rPr>
          <w:color w:val="0070C0"/>
          <w:sz w:val="16"/>
          <w:szCs w:val="16"/>
        </w:rPr>
      </w:pPr>
      <w:r w:rsidRPr="00E14102">
        <w:rPr>
          <w:color w:val="0070C0"/>
          <w:sz w:val="16"/>
          <w:szCs w:val="16"/>
        </w:rPr>
        <w:t>НКЛП во главе с его организатором и руководителем И.Е. Любимовым обязывался к 1 января 1936 года окончить строительство, оборудование и пуск нового корпуса, а также создать специальный ремонтный цех.</w:t>
      </w:r>
    </w:p>
    <w:p w14:paraId="4B4F2AD1" w14:textId="77777777" w:rsidR="00136D5A" w:rsidRPr="00E14102" w:rsidRDefault="00136D5A" w:rsidP="00E14102">
      <w:pPr>
        <w:jc w:val="both"/>
        <w:rPr>
          <w:color w:val="0070C0"/>
          <w:sz w:val="16"/>
          <w:szCs w:val="16"/>
        </w:rPr>
      </w:pPr>
      <w:r w:rsidRPr="00E14102">
        <w:rPr>
          <w:color w:val="0070C0"/>
          <w:sz w:val="16"/>
          <w:szCs w:val="16"/>
        </w:rPr>
        <w:t xml:space="preserve">Командующий ВВС РККА Я.И. Алкснис совместно с НКЛП должен был организовать и проконтролировать выработку технических условий и стандартов на производство парашютов. Одновременно необходимо было установить строгую приемку всех видов материалов, идущих на парашюты. </w:t>
      </w:r>
    </w:p>
    <w:p w14:paraId="372A5FFB" w14:textId="77777777" w:rsidR="00136D5A" w:rsidRPr="00E14102" w:rsidRDefault="00136D5A" w:rsidP="00E14102">
      <w:pPr>
        <w:jc w:val="both"/>
        <w:rPr>
          <w:color w:val="0070C0"/>
          <w:sz w:val="16"/>
          <w:szCs w:val="16"/>
        </w:rPr>
      </w:pPr>
      <w:r w:rsidRPr="00E14102">
        <w:rPr>
          <w:color w:val="0070C0"/>
          <w:sz w:val="16"/>
          <w:szCs w:val="16"/>
        </w:rPr>
        <w:t xml:space="preserve">Все эти меры требовали значительных финансовых и материальных затрат. Поэтому Госплану было предложено для производства парашютов обеспечить НКЛПром на 1936 год фондами на все материалы и металлы специальных марок. Наркомат внешней торговли СССР должен был для производства полотна для парашютов закупить в 1 квартале 1936 года за границей 500 ткацких станков и 14.000 крутильных веретен. </w:t>
      </w:r>
    </w:p>
    <w:p w14:paraId="6FB0E1AB" w14:textId="77777777" w:rsidR="00136D5A" w:rsidRPr="00E14102" w:rsidRDefault="00136D5A" w:rsidP="00E14102">
      <w:pPr>
        <w:jc w:val="both"/>
        <w:rPr>
          <w:color w:val="0070C0"/>
          <w:sz w:val="16"/>
          <w:szCs w:val="16"/>
        </w:rPr>
      </w:pPr>
      <w:r w:rsidRPr="00E14102">
        <w:rPr>
          <w:color w:val="0070C0"/>
          <w:sz w:val="16"/>
          <w:szCs w:val="16"/>
        </w:rPr>
        <w:t>ЦК ВКП(б) предложил меры для замены устаревших конструкций парашюта, которые не соответствовали повышенным динамическим нагрузкам при затяжных прыжках и при прыжках со скоростных самолетов, более совершенными моделями. Управление ВВС РККА, наркомат легкой промышленности, Центральный Совет Осоавиахима должны были в двухмесячный срок разработать технические условия на новые более совершенные парашюты. Требовалось изготовить по ним опытные образцы, подобрав высококачественные по прочности, легкости, огнеупорности материалы. Одновременно надо было удешевить производство парашютов. Наконец, необходимо было провести государственные испытания и  установить типы парашютов для того, чтобы в 1936 году взять их на вооружение РККА и Осоавиахимом (АП РФ. Ф. 3. Оп. 50. Д. 660. Лл. 88-89) (21402).</w:t>
      </w:r>
    </w:p>
    <w:p w14:paraId="6FCE53E1" w14:textId="77777777" w:rsidR="00136D5A" w:rsidRPr="00E14102" w:rsidRDefault="00136D5A" w:rsidP="00E14102">
      <w:pPr>
        <w:jc w:val="both"/>
        <w:rPr>
          <w:color w:val="0070C0"/>
          <w:sz w:val="16"/>
          <w:szCs w:val="16"/>
        </w:rPr>
      </w:pPr>
    </w:p>
    <w:p w14:paraId="0D6452BF" w14:textId="77777777" w:rsidR="00136D5A" w:rsidRPr="00E14102" w:rsidRDefault="00136D5A" w:rsidP="00E14102">
      <w:pPr>
        <w:jc w:val="both"/>
        <w:rPr>
          <w:color w:val="0070C0"/>
          <w:sz w:val="16"/>
          <w:szCs w:val="16"/>
          <w:lang w:bidi="ru-RU"/>
        </w:rPr>
      </w:pPr>
      <w:r w:rsidRPr="00E14102">
        <w:rPr>
          <w:color w:val="0070C0"/>
          <w:sz w:val="16"/>
          <w:szCs w:val="16"/>
          <w:lang w:bidi="ru-RU"/>
        </w:rPr>
        <w:t>В октябре 1935 года Харабковский представил начальнику Управления ПВО РККА Сергею Каменеву эскизный проект нового типа высотного дирижабля-наблюдателя для системы противовоздушной обороны Ленинграда и получил его одобрение.</w:t>
      </w:r>
    </w:p>
    <w:p w14:paraId="5CC72687" w14:textId="77777777" w:rsidR="00136D5A" w:rsidRPr="00E14102" w:rsidRDefault="00136D5A" w:rsidP="00E14102">
      <w:pPr>
        <w:jc w:val="both"/>
        <w:rPr>
          <w:color w:val="0070C0"/>
          <w:sz w:val="16"/>
          <w:szCs w:val="16"/>
        </w:rPr>
      </w:pPr>
      <w:r w:rsidRPr="00E14102">
        <w:rPr>
          <w:color w:val="0070C0"/>
          <w:sz w:val="16"/>
          <w:szCs w:val="16"/>
          <w:lang w:bidi="ru-RU"/>
        </w:rPr>
        <w:t xml:space="preserve">Это был аппарат конструкции итальянского инженера Энрико Форланини, заметно отличавшийся от кораблей Нобиле и совершенно новый для Дирижаблестроя. Для его выпуска требовалось выполнить полный цикл расчётов и опытных работ, подобрать материалы, овладеть соответствующей техникой проектирования. Имевшиеся наработки по полужёстким кораблям типа </w:t>
      </w:r>
      <w:r w:rsidRPr="00E14102">
        <w:rPr>
          <w:color w:val="0070C0"/>
          <w:sz w:val="16"/>
          <w:szCs w:val="16"/>
          <w:lang w:val="en-US" w:bidi="en-US"/>
        </w:rPr>
        <w:t>N</w:t>
      </w:r>
      <w:r w:rsidRPr="00E14102">
        <w:rPr>
          <w:color w:val="0070C0"/>
          <w:sz w:val="16"/>
          <w:szCs w:val="16"/>
          <w:lang w:bidi="en-US"/>
        </w:rPr>
        <w:t xml:space="preserve"> </w:t>
      </w:r>
      <w:r w:rsidRPr="00E14102">
        <w:rPr>
          <w:color w:val="0070C0"/>
          <w:sz w:val="16"/>
          <w:szCs w:val="16"/>
          <w:lang w:bidi="ru-RU"/>
        </w:rPr>
        <w:t>могли быть использованы лишь частично.</w:t>
      </w:r>
    </w:p>
    <w:p w14:paraId="5F1DEB46" w14:textId="77777777" w:rsidR="00136D5A" w:rsidRPr="00E14102" w:rsidRDefault="00136D5A" w:rsidP="00E14102">
      <w:pPr>
        <w:jc w:val="both"/>
        <w:rPr>
          <w:color w:val="0070C0"/>
          <w:sz w:val="16"/>
          <w:szCs w:val="16"/>
        </w:rPr>
      </w:pPr>
      <w:r w:rsidRPr="00E14102">
        <w:rPr>
          <w:color w:val="0070C0"/>
          <w:sz w:val="16"/>
          <w:szCs w:val="16"/>
          <w:lang w:bidi="ru-RU"/>
        </w:rPr>
        <w:t>Харабковский рассчитывал на получение технической помощи от наследников Форланини. С технической помощью ничего не вышло, но дирижабль, которому присвоили индекс ДП-16, включили в план 1936 года, спроектировали и у осени 1938 года построили, присвоив индекс ДП-16 (23192).</w:t>
      </w:r>
    </w:p>
    <w:p w14:paraId="19D7BB4B" w14:textId="77777777" w:rsidR="00136D5A" w:rsidRPr="00E14102" w:rsidRDefault="00136D5A" w:rsidP="00E14102">
      <w:pPr>
        <w:shd w:val="clear" w:color="auto" w:fill="FFFFFF"/>
        <w:jc w:val="both"/>
        <w:rPr>
          <w:color w:val="0070C0"/>
          <w:sz w:val="16"/>
          <w:szCs w:val="16"/>
        </w:rPr>
      </w:pPr>
    </w:p>
    <w:p w14:paraId="2C0DDA5A" w14:textId="77777777" w:rsidR="00B32032" w:rsidRPr="00E14102" w:rsidRDefault="00B32032" w:rsidP="00E14102">
      <w:pPr>
        <w:jc w:val="both"/>
        <w:rPr>
          <w:color w:val="0070C0"/>
          <w:sz w:val="16"/>
          <w:szCs w:val="16"/>
        </w:rPr>
      </w:pPr>
      <w:r w:rsidRPr="00E14102">
        <w:rPr>
          <w:color w:val="0070C0"/>
          <w:sz w:val="16"/>
          <w:szCs w:val="16"/>
        </w:rPr>
        <w:t>В октябре 1935 помимо обеспечения боевых действий флота на «СССР В-8» проверялись и огневые возможности дирижаблей. Для этой цели на нём оборудовали пять огневых точек: четыре пулемёта ДА-1 в гон</w:t>
      </w:r>
      <w:r w:rsidRPr="00E14102">
        <w:rPr>
          <w:color w:val="0070C0"/>
          <w:sz w:val="16"/>
          <w:szCs w:val="16"/>
        </w:rPr>
        <w:softHyphen/>
        <w:t>доле и однотурельная установка ШКАС в башне в верхней части оболочки. Гондольные пулемёты располагались в носу, на корме и по обоим бор</w:t>
      </w:r>
      <w:r w:rsidRPr="00E14102">
        <w:rPr>
          <w:color w:val="0070C0"/>
          <w:sz w:val="16"/>
          <w:szCs w:val="16"/>
        </w:rPr>
        <w:softHyphen/>
        <w:t>там. Над каждым пулемётом крепилась кассета с шестью магазинами.</w:t>
      </w:r>
    </w:p>
    <w:p w14:paraId="2A7E773A" w14:textId="77777777" w:rsidR="00B32032" w:rsidRPr="00E14102" w:rsidRDefault="00B32032" w:rsidP="00E14102">
      <w:pPr>
        <w:jc w:val="both"/>
        <w:rPr>
          <w:color w:val="0070C0"/>
          <w:sz w:val="16"/>
          <w:szCs w:val="16"/>
        </w:rPr>
      </w:pPr>
      <w:r w:rsidRPr="00E14102">
        <w:rPr>
          <w:color w:val="0070C0"/>
          <w:sz w:val="16"/>
          <w:szCs w:val="16"/>
        </w:rPr>
        <w:t>Верхняя турель представляла собой деревян</w:t>
      </w:r>
      <w:r w:rsidRPr="00E14102">
        <w:rPr>
          <w:color w:val="0070C0"/>
          <w:sz w:val="16"/>
          <w:szCs w:val="16"/>
        </w:rPr>
        <w:softHyphen/>
        <w:t>ную башню коробчатого сечения высотой 1,1 м, расположенную на трубчатом «пауке», концы которого с помощью специальных карманов кре</w:t>
      </w:r>
      <w:r w:rsidRPr="00E14102">
        <w:rPr>
          <w:color w:val="0070C0"/>
          <w:sz w:val="16"/>
          <w:szCs w:val="16"/>
        </w:rPr>
        <w:softHyphen/>
        <w:t>пились к оболочке. Крепление усилили четырь</w:t>
      </w:r>
      <w:r w:rsidRPr="00E14102">
        <w:rPr>
          <w:color w:val="0070C0"/>
          <w:sz w:val="16"/>
          <w:szCs w:val="16"/>
        </w:rPr>
        <w:softHyphen/>
        <w:t>мя трубчатыми раскосами и снабдили амортиза</w:t>
      </w:r>
      <w:r w:rsidRPr="00E14102">
        <w:rPr>
          <w:color w:val="0070C0"/>
          <w:sz w:val="16"/>
          <w:szCs w:val="16"/>
        </w:rPr>
        <w:softHyphen/>
        <w:t>тором. Внутри башни оборудовались подвесное и откидное сиденья для стрелков. На полу нахо</w:t>
      </w:r>
      <w:r w:rsidRPr="00E14102">
        <w:rPr>
          <w:color w:val="0070C0"/>
          <w:sz w:val="16"/>
          <w:szCs w:val="16"/>
        </w:rPr>
        <w:softHyphen/>
        <w:t>дился компас, под турельным кольцом — при</w:t>
      </w:r>
      <w:r w:rsidRPr="00E14102">
        <w:rPr>
          <w:color w:val="0070C0"/>
          <w:sz w:val="16"/>
          <w:szCs w:val="16"/>
        </w:rPr>
        <w:softHyphen/>
        <w:t>борная доска. Имелся телефон для связи с ко</w:t>
      </w:r>
      <w:r w:rsidRPr="00E14102">
        <w:rPr>
          <w:color w:val="0070C0"/>
          <w:sz w:val="16"/>
          <w:szCs w:val="16"/>
        </w:rPr>
        <w:softHyphen/>
        <w:t>мандиром. Между 16 и 17 шпангоутами киля дирижабля располагалась бомбовая установка, представлявшая собой балку трёхгранного се</w:t>
      </w:r>
      <w:r w:rsidRPr="00E14102">
        <w:rPr>
          <w:color w:val="0070C0"/>
          <w:sz w:val="16"/>
          <w:szCs w:val="16"/>
        </w:rPr>
        <w:softHyphen/>
        <w:t>чения с десятью гнёздами для держателей бомб весом от 5 до 100 кг. Общая бомбовая нагрузка достигала 1 т.</w:t>
      </w:r>
    </w:p>
    <w:p w14:paraId="50B0BF51" w14:textId="77777777" w:rsidR="00B32032" w:rsidRPr="00E14102" w:rsidRDefault="00B32032" w:rsidP="00E14102">
      <w:pPr>
        <w:jc w:val="both"/>
        <w:rPr>
          <w:color w:val="0070C0"/>
          <w:sz w:val="16"/>
          <w:szCs w:val="16"/>
        </w:rPr>
      </w:pPr>
      <w:r w:rsidRPr="00E14102">
        <w:rPr>
          <w:color w:val="0070C0"/>
          <w:sz w:val="16"/>
          <w:szCs w:val="16"/>
        </w:rPr>
        <w:t>По результатам испытаний комиссия заклю</w:t>
      </w:r>
      <w:r w:rsidRPr="00E14102">
        <w:rPr>
          <w:color w:val="0070C0"/>
          <w:sz w:val="16"/>
          <w:szCs w:val="16"/>
        </w:rPr>
        <w:softHyphen/>
        <w:t>чила, что «СССР В-8» поставленные перед ним задачи «выполнил вполне удовлетворительно и его использование в системе Морских Сил це</w:t>
      </w:r>
      <w:r w:rsidRPr="00E14102">
        <w:rPr>
          <w:color w:val="0070C0"/>
          <w:sz w:val="16"/>
          <w:szCs w:val="16"/>
        </w:rPr>
        <w:softHyphen/>
        <w:t>лесообразно в условиях не стеснённых морских театров и там, где система ПВО противника не развита и где встреча с ним наименее вероятна».</w:t>
      </w:r>
    </w:p>
    <w:tbl>
      <w:tblPr>
        <w:tblW w:w="0" w:type="auto"/>
        <w:jc w:val="center"/>
        <w:tblLayout w:type="fixed"/>
        <w:tblCellMar>
          <w:left w:w="10" w:type="dxa"/>
          <w:right w:w="10" w:type="dxa"/>
        </w:tblCellMar>
        <w:tblLook w:val="04A0" w:firstRow="1" w:lastRow="0" w:firstColumn="1" w:lastColumn="0" w:noHBand="0" w:noVBand="1"/>
      </w:tblPr>
      <w:tblGrid>
        <w:gridCol w:w="2150"/>
        <w:gridCol w:w="7661"/>
      </w:tblGrid>
      <w:tr w:rsidR="00B32032" w:rsidRPr="00E14102" w14:paraId="6D0E8F4E" w14:textId="77777777" w:rsidTr="003D0776">
        <w:trPr>
          <w:trHeight w:val="432"/>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27A858B3" w14:textId="77777777" w:rsidR="00B32032" w:rsidRPr="00E14102" w:rsidRDefault="00B32032" w:rsidP="00E14102">
            <w:pPr>
              <w:jc w:val="both"/>
              <w:rPr>
                <w:color w:val="0070C0"/>
                <w:sz w:val="16"/>
                <w:szCs w:val="16"/>
              </w:rPr>
            </w:pPr>
            <w:r w:rsidRPr="00E14102">
              <w:rPr>
                <w:color w:val="0070C0"/>
                <w:sz w:val="16"/>
                <w:szCs w:val="16"/>
              </w:rPr>
              <w:t>3 октября 1525 — 1815</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005F8F71" w14:textId="77777777" w:rsidR="00B32032" w:rsidRPr="00E14102" w:rsidRDefault="00B32032" w:rsidP="00E14102">
            <w:pPr>
              <w:jc w:val="both"/>
              <w:rPr>
                <w:color w:val="0070C0"/>
                <w:sz w:val="16"/>
                <w:szCs w:val="16"/>
              </w:rPr>
            </w:pPr>
            <w:r w:rsidRPr="00E14102">
              <w:rPr>
                <w:color w:val="0070C0"/>
                <w:sz w:val="16"/>
                <w:szCs w:val="16"/>
              </w:rPr>
              <w:t>Бомбометание. Маршрут: Гребной Порт — Сализи</w:t>
            </w:r>
          </w:p>
        </w:tc>
      </w:tr>
      <w:tr w:rsidR="00B32032" w:rsidRPr="00E14102" w14:paraId="20B5B430" w14:textId="77777777" w:rsidTr="003D0776">
        <w:trPr>
          <w:trHeight w:val="619"/>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629C9873" w14:textId="77777777" w:rsidR="00B32032" w:rsidRPr="00E14102" w:rsidRDefault="00B32032" w:rsidP="00E14102">
            <w:pPr>
              <w:jc w:val="both"/>
              <w:rPr>
                <w:color w:val="0070C0"/>
                <w:sz w:val="16"/>
                <w:szCs w:val="16"/>
              </w:rPr>
            </w:pPr>
            <w:r w:rsidRPr="00E14102">
              <w:rPr>
                <w:color w:val="0070C0"/>
                <w:sz w:val="16"/>
                <w:szCs w:val="16"/>
              </w:rPr>
              <w:t>5 октября</w:t>
            </w:r>
          </w:p>
          <w:p w14:paraId="2C915868" w14:textId="77777777" w:rsidR="00B32032" w:rsidRPr="00E14102" w:rsidRDefault="00B32032" w:rsidP="00E14102">
            <w:pPr>
              <w:jc w:val="both"/>
              <w:rPr>
                <w:color w:val="0070C0"/>
                <w:sz w:val="16"/>
                <w:szCs w:val="16"/>
              </w:rPr>
            </w:pPr>
            <w:r w:rsidRPr="00E14102">
              <w:rPr>
                <w:color w:val="0070C0"/>
                <w:sz w:val="16"/>
                <w:szCs w:val="16"/>
              </w:rPr>
              <w:t>1 145 — 1930</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5EF96572" w14:textId="77777777" w:rsidR="00B32032" w:rsidRPr="00E14102" w:rsidRDefault="00B32032" w:rsidP="00E14102">
            <w:pPr>
              <w:jc w:val="both"/>
              <w:rPr>
                <w:color w:val="0070C0"/>
                <w:sz w:val="16"/>
                <w:szCs w:val="16"/>
              </w:rPr>
            </w:pPr>
            <w:r w:rsidRPr="00E14102">
              <w:rPr>
                <w:color w:val="0070C0"/>
                <w:sz w:val="16"/>
                <w:szCs w:val="16"/>
              </w:rPr>
              <w:t>Сопровождение флота под флагом наркома обороны в район осенних учений. Маршрут: Сализи — Петергоф — Кронштадт — м. Шепелев — о. Сескар — Ораниенбаум — Сализи. Ветер 20 км/ч, высота 100-500 м</w:t>
            </w:r>
          </w:p>
        </w:tc>
      </w:tr>
      <w:tr w:rsidR="00B32032" w:rsidRPr="00E14102" w14:paraId="6DCA7AE1" w14:textId="77777777" w:rsidTr="003D0776">
        <w:trPr>
          <w:trHeight w:val="624"/>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75CE4CE2" w14:textId="77777777" w:rsidR="00B32032" w:rsidRPr="00E14102" w:rsidRDefault="00B32032" w:rsidP="00E14102">
            <w:pPr>
              <w:jc w:val="both"/>
              <w:rPr>
                <w:color w:val="0070C0"/>
                <w:sz w:val="16"/>
                <w:szCs w:val="16"/>
              </w:rPr>
            </w:pPr>
            <w:r w:rsidRPr="00E14102">
              <w:rPr>
                <w:color w:val="0070C0"/>
                <w:sz w:val="16"/>
                <w:szCs w:val="16"/>
              </w:rPr>
              <w:t>8 октября 1200 — 1335</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066863D4" w14:textId="77777777" w:rsidR="00B32032" w:rsidRPr="00E14102" w:rsidRDefault="00B32032" w:rsidP="00E14102">
            <w:pPr>
              <w:jc w:val="both"/>
              <w:rPr>
                <w:color w:val="0070C0"/>
                <w:sz w:val="16"/>
                <w:szCs w:val="16"/>
              </w:rPr>
            </w:pPr>
            <w:r w:rsidRPr="00E14102">
              <w:rPr>
                <w:color w:val="0070C0"/>
                <w:sz w:val="16"/>
                <w:szCs w:val="16"/>
              </w:rPr>
              <w:t>Сализи — рейд Петергофа (посадка на воду с помощью плавучего якоря). Стоянка на воде 1 час. Водный район был покрыт туманом высотой 100-125 м. С дирижабля была спущена шлюпка, на которую высажены и доставлены на пристань Авсюкевич и Исаев.</w:t>
            </w:r>
          </w:p>
        </w:tc>
      </w:tr>
      <w:tr w:rsidR="00B32032" w:rsidRPr="00E14102" w14:paraId="646B379F" w14:textId="77777777" w:rsidTr="003D0776">
        <w:trPr>
          <w:trHeight w:val="1003"/>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0BD8F2CB" w14:textId="77777777" w:rsidR="00B32032" w:rsidRPr="00E14102" w:rsidRDefault="00B32032" w:rsidP="00E14102">
            <w:pPr>
              <w:jc w:val="both"/>
              <w:rPr>
                <w:color w:val="0070C0"/>
                <w:sz w:val="16"/>
                <w:szCs w:val="16"/>
              </w:rPr>
            </w:pPr>
            <w:r w:rsidRPr="00E14102">
              <w:rPr>
                <w:color w:val="0070C0"/>
                <w:sz w:val="16"/>
                <w:szCs w:val="16"/>
              </w:rPr>
              <w:t>8 октября 1435 — 1520</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1CE6FC56" w14:textId="77777777" w:rsidR="00B32032" w:rsidRPr="00E14102" w:rsidRDefault="00B32032" w:rsidP="00E14102">
            <w:pPr>
              <w:jc w:val="both"/>
              <w:rPr>
                <w:color w:val="0070C0"/>
                <w:sz w:val="16"/>
                <w:szCs w:val="16"/>
              </w:rPr>
            </w:pPr>
            <w:r w:rsidRPr="00E14102">
              <w:rPr>
                <w:color w:val="0070C0"/>
                <w:sz w:val="16"/>
                <w:szCs w:val="16"/>
              </w:rPr>
              <w:t>Маршрут: рейд Петергофа — рейд Петрергофа. Взлёт и посадка на воду. Стоянка на воде 1 час 10 мин. Посадка заняла 10 мин. Затем была спущена надувная шлюпка и с подошедшего катера был с её помощью на борт принят Исаев. После этого катер буксировал дирижабль со скоростью 10-15 км/ч с поворотами на 360°, моторы дирижабля не работали.</w:t>
            </w:r>
          </w:p>
        </w:tc>
      </w:tr>
      <w:tr w:rsidR="00B32032" w:rsidRPr="00E14102" w14:paraId="553811C4" w14:textId="77777777" w:rsidTr="003D0776">
        <w:trPr>
          <w:trHeight w:val="427"/>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0041BA70" w14:textId="77777777" w:rsidR="00B32032" w:rsidRPr="00E14102" w:rsidRDefault="00B32032" w:rsidP="00E14102">
            <w:pPr>
              <w:jc w:val="both"/>
              <w:rPr>
                <w:color w:val="0070C0"/>
                <w:sz w:val="16"/>
                <w:szCs w:val="16"/>
              </w:rPr>
            </w:pPr>
            <w:r w:rsidRPr="00E14102">
              <w:rPr>
                <w:color w:val="0070C0"/>
                <w:sz w:val="16"/>
                <w:szCs w:val="16"/>
              </w:rPr>
              <w:t>8 октября 1630 — 1715</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749A0ED6" w14:textId="77777777" w:rsidR="00B32032" w:rsidRPr="00E14102" w:rsidRDefault="00B32032" w:rsidP="00E14102">
            <w:pPr>
              <w:jc w:val="both"/>
              <w:rPr>
                <w:color w:val="0070C0"/>
                <w:sz w:val="16"/>
                <w:szCs w:val="16"/>
              </w:rPr>
            </w:pPr>
            <w:r w:rsidRPr="00E14102">
              <w:rPr>
                <w:color w:val="0070C0"/>
                <w:sz w:val="16"/>
                <w:szCs w:val="16"/>
              </w:rPr>
              <w:t>Маршрут: рейд Петергофа (с воды) — Сализи. Сплошной туман, видимость до 100 м, ветер 10-15 км/ч. Высота 150-200 м</w:t>
            </w:r>
          </w:p>
        </w:tc>
      </w:tr>
      <w:tr w:rsidR="00B32032" w:rsidRPr="00E14102" w14:paraId="76CA2C34" w14:textId="77777777" w:rsidTr="003D0776">
        <w:trPr>
          <w:trHeight w:val="427"/>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630E7553" w14:textId="77777777" w:rsidR="00B32032" w:rsidRPr="00E14102" w:rsidRDefault="00B32032" w:rsidP="00E14102">
            <w:pPr>
              <w:jc w:val="both"/>
              <w:rPr>
                <w:color w:val="0070C0"/>
                <w:sz w:val="16"/>
                <w:szCs w:val="16"/>
              </w:rPr>
            </w:pPr>
            <w:r w:rsidRPr="00E14102">
              <w:rPr>
                <w:color w:val="0070C0"/>
                <w:sz w:val="16"/>
                <w:szCs w:val="16"/>
              </w:rPr>
              <w:t>14 октября 825 — 1045</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3CB7EB49" w14:textId="77777777" w:rsidR="00B32032" w:rsidRPr="00E14102" w:rsidRDefault="00B32032" w:rsidP="00E14102">
            <w:pPr>
              <w:jc w:val="both"/>
              <w:rPr>
                <w:color w:val="0070C0"/>
                <w:sz w:val="16"/>
                <w:szCs w:val="16"/>
              </w:rPr>
            </w:pPr>
            <w:r w:rsidRPr="00E14102">
              <w:rPr>
                <w:color w:val="0070C0"/>
                <w:sz w:val="16"/>
                <w:szCs w:val="16"/>
              </w:rPr>
              <w:t>Поиск подводных лодок, участвующих в учениях флота. Маршрут: Сализи — Петергоф — Сализи. Скорость ветра 28 км/ч, высота 100-700 м.</w:t>
            </w:r>
          </w:p>
        </w:tc>
      </w:tr>
      <w:tr w:rsidR="00B32032" w:rsidRPr="00E14102" w14:paraId="7C97D219" w14:textId="77777777" w:rsidTr="003D0776">
        <w:trPr>
          <w:trHeight w:val="437"/>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450EBB2E" w14:textId="77777777" w:rsidR="00B32032" w:rsidRPr="00E14102" w:rsidRDefault="00B32032" w:rsidP="00E14102">
            <w:pPr>
              <w:jc w:val="both"/>
              <w:rPr>
                <w:color w:val="0070C0"/>
                <w:sz w:val="16"/>
                <w:szCs w:val="16"/>
              </w:rPr>
            </w:pPr>
            <w:r w:rsidRPr="00E14102">
              <w:rPr>
                <w:color w:val="0070C0"/>
                <w:sz w:val="16"/>
                <w:szCs w:val="16"/>
              </w:rPr>
              <w:t>14 октября 1217 — 2217</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612FA9F4" w14:textId="77777777" w:rsidR="00B32032" w:rsidRPr="00E14102" w:rsidRDefault="00B32032" w:rsidP="00E14102">
            <w:pPr>
              <w:jc w:val="both"/>
              <w:rPr>
                <w:color w:val="0070C0"/>
                <w:sz w:val="16"/>
                <w:szCs w:val="16"/>
              </w:rPr>
            </w:pPr>
            <w:r w:rsidRPr="00E14102">
              <w:rPr>
                <w:color w:val="0070C0"/>
                <w:sz w:val="16"/>
                <w:szCs w:val="16"/>
              </w:rPr>
              <w:t>Проведение сеансов радиосвязи. Маршрут: Сализи — Петергоф — Кронштадт — м. Шепелев — Кургальский риф — Ораниенбаум. Высота 100-700 м.</w:t>
            </w:r>
          </w:p>
        </w:tc>
      </w:tr>
    </w:tbl>
    <w:p w14:paraId="67640ED4" w14:textId="77777777" w:rsidR="00B32032" w:rsidRPr="00E14102" w:rsidRDefault="00B32032" w:rsidP="00E14102">
      <w:pPr>
        <w:jc w:val="both"/>
        <w:rPr>
          <w:color w:val="0070C0"/>
          <w:sz w:val="16"/>
          <w:szCs w:val="16"/>
        </w:rPr>
      </w:pPr>
      <w:r w:rsidRPr="00E14102">
        <w:rPr>
          <w:color w:val="0070C0"/>
          <w:sz w:val="16"/>
          <w:szCs w:val="16"/>
        </w:rPr>
        <w:t>Испытания показали, что в ясную погоду при волнении моря в два балла экипаж дири</w:t>
      </w:r>
      <w:r w:rsidRPr="00E14102">
        <w:rPr>
          <w:color w:val="0070C0"/>
          <w:sz w:val="16"/>
          <w:szCs w:val="16"/>
        </w:rPr>
        <w:softHyphen/>
        <w:t>жабля способен невооружённым глазом обна</w:t>
      </w:r>
      <w:r w:rsidRPr="00E14102">
        <w:rPr>
          <w:color w:val="0070C0"/>
          <w:sz w:val="16"/>
          <w:szCs w:val="16"/>
        </w:rPr>
        <w:softHyphen/>
        <w:t>ружить подводную лодку, идущую под пери</w:t>
      </w:r>
      <w:r w:rsidRPr="00E14102">
        <w:rPr>
          <w:color w:val="0070C0"/>
          <w:sz w:val="16"/>
          <w:szCs w:val="16"/>
        </w:rPr>
        <w:softHyphen/>
        <w:t>скопом, на расстоянии до 50 кабельтовых (1 ка</w:t>
      </w:r>
      <w:r w:rsidRPr="00E14102">
        <w:rPr>
          <w:color w:val="0070C0"/>
          <w:sz w:val="16"/>
          <w:szCs w:val="16"/>
        </w:rPr>
        <w:softHyphen/>
        <w:t>бельтов = 0,1 мили =185,2 м). В крейсерском положении малая подлодка обнаруживается на расстоянии до 80 кабельтовых, большая — до 100 кабельтовых. С опущенным перископом подводная лодка обнаруживается по очертаниям рубки и антенны на расстоянии 3-5 кабельтовых. В ясную погоду при хорошей видимости дири</w:t>
      </w:r>
      <w:r w:rsidRPr="00E14102">
        <w:rPr>
          <w:color w:val="0070C0"/>
          <w:sz w:val="16"/>
          <w:szCs w:val="16"/>
        </w:rPr>
        <w:softHyphen/>
        <w:t>жабль обнаруживался подводной лодкой с рас</w:t>
      </w:r>
      <w:r w:rsidRPr="00E14102">
        <w:rPr>
          <w:color w:val="0070C0"/>
          <w:sz w:val="16"/>
          <w:szCs w:val="16"/>
        </w:rPr>
        <w:softHyphen/>
        <w:t>стояния 20-30 миль, с помощью перископа — 12-15 миль. На острых углах видимость резко снижалась. Бомбометание с дирижабля произ</w:t>
      </w:r>
      <w:r w:rsidRPr="00E14102">
        <w:rPr>
          <w:color w:val="0070C0"/>
          <w:sz w:val="16"/>
          <w:szCs w:val="16"/>
        </w:rPr>
        <w:softHyphen/>
        <w:t>водилось с малых высот на различных скоростях по подвижным и неподвижным целям и при за</w:t>
      </w:r>
      <w:r w:rsidRPr="00E14102">
        <w:rPr>
          <w:color w:val="0070C0"/>
          <w:sz w:val="16"/>
          <w:szCs w:val="16"/>
        </w:rPr>
        <w:softHyphen/>
        <w:t>висании над целью. Все опыты получили оценку «отлично». Внезапно меняя положение продоль</w:t>
      </w:r>
      <w:r w:rsidRPr="00E14102">
        <w:rPr>
          <w:color w:val="0070C0"/>
          <w:sz w:val="16"/>
          <w:szCs w:val="16"/>
        </w:rPr>
        <w:softHyphen/>
        <w:t>ной оси в вертикальной плоскости, дирижабль не позволял самолётам безнаказанно находиться в области кормы. Для посадки на воду требова</w:t>
      </w:r>
      <w:r w:rsidRPr="00E14102">
        <w:rPr>
          <w:color w:val="0070C0"/>
          <w:sz w:val="16"/>
          <w:szCs w:val="16"/>
        </w:rPr>
        <w:softHyphen/>
        <w:t>лось 5-6 минут. Стоя на воде, «СССР В-8» сдавал и принимал грузы в пределах своей подъёмной силы и габаритов киля. Он мог производить немедленный взлёт без посторонней помощи. Большой интерес у моряков вызвала способ</w:t>
      </w:r>
      <w:r w:rsidRPr="00E14102">
        <w:rPr>
          <w:color w:val="0070C0"/>
          <w:sz w:val="16"/>
          <w:szCs w:val="16"/>
        </w:rPr>
        <w:softHyphen/>
        <w:t xml:space="preserve">ность </w:t>
      </w:r>
      <w:r w:rsidRPr="00E14102">
        <w:rPr>
          <w:color w:val="0070C0"/>
          <w:sz w:val="16"/>
          <w:szCs w:val="16"/>
        </w:rPr>
        <w:lastRenderedPageBreak/>
        <w:t>дирижабля при волне 3-4 балла двигаться по воде в любом направлении с помощью сво</w:t>
      </w:r>
      <w:r w:rsidRPr="00E14102">
        <w:rPr>
          <w:color w:val="0070C0"/>
          <w:sz w:val="16"/>
          <w:szCs w:val="16"/>
        </w:rPr>
        <w:softHyphen/>
        <w:t>их моторов со скоростью 20 км/ч. За всё время испытаний не было ни одного случая отказа ма</w:t>
      </w:r>
      <w:r w:rsidRPr="00E14102">
        <w:rPr>
          <w:color w:val="0070C0"/>
          <w:sz w:val="16"/>
          <w:szCs w:val="16"/>
        </w:rPr>
        <w:softHyphen/>
        <w:t>териальной части.</w:t>
      </w:r>
    </w:p>
    <w:p w14:paraId="0499BDB3" w14:textId="77777777" w:rsidR="00B32032" w:rsidRPr="00E14102" w:rsidRDefault="00B32032" w:rsidP="00E14102">
      <w:pPr>
        <w:jc w:val="both"/>
        <w:rPr>
          <w:color w:val="0070C0"/>
          <w:sz w:val="16"/>
          <w:szCs w:val="16"/>
        </w:rPr>
      </w:pPr>
      <w:r w:rsidRPr="00E14102">
        <w:rPr>
          <w:color w:val="0070C0"/>
          <w:sz w:val="16"/>
          <w:szCs w:val="16"/>
        </w:rPr>
        <w:t>Вместе с тем к морскому дирижаблю предъя</w:t>
      </w:r>
      <w:r w:rsidRPr="00E14102">
        <w:rPr>
          <w:color w:val="0070C0"/>
          <w:sz w:val="16"/>
          <w:szCs w:val="16"/>
        </w:rPr>
        <w:softHyphen/>
        <w:t>вили ряд дополнительных требований: наполне</w:t>
      </w:r>
      <w:r w:rsidRPr="00E14102">
        <w:rPr>
          <w:color w:val="0070C0"/>
          <w:sz w:val="16"/>
          <w:szCs w:val="16"/>
        </w:rPr>
        <w:softHyphen/>
        <w:t>ние оболочки гелием, работа двигателей на тяжё</w:t>
      </w:r>
      <w:r w:rsidRPr="00E14102">
        <w:rPr>
          <w:color w:val="0070C0"/>
          <w:sz w:val="16"/>
          <w:szCs w:val="16"/>
        </w:rPr>
        <w:softHyphen/>
        <w:t>лом топливе, насыщение огневыми средствами, позволяющими вести активную оборону при атаке самолётов противника.</w:t>
      </w:r>
    </w:p>
    <w:p w14:paraId="190F37F9" w14:textId="77777777" w:rsidR="00B32032" w:rsidRPr="00E14102" w:rsidRDefault="00B32032" w:rsidP="00E14102">
      <w:pPr>
        <w:jc w:val="both"/>
        <w:rPr>
          <w:color w:val="0070C0"/>
          <w:sz w:val="16"/>
          <w:szCs w:val="16"/>
        </w:rPr>
      </w:pPr>
      <w:r w:rsidRPr="00E14102">
        <w:rPr>
          <w:color w:val="0070C0"/>
          <w:sz w:val="16"/>
          <w:szCs w:val="16"/>
        </w:rPr>
        <w:t>К.Е. Ворошилов утвердил предложение о со</w:t>
      </w:r>
      <w:r w:rsidRPr="00E14102">
        <w:rPr>
          <w:color w:val="0070C0"/>
          <w:sz w:val="16"/>
          <w:szCs w:val="16"/>
        </w:rPr>
        <w:softHyphen/>
        <w:t>вместной эксплуатации дирижаблей ВМФ и Аэро</w:t>
      </w:r>
      <w:r w:rsidRPr="00E14102">
        <w:rPr>
          <w:color w:val="0070C0"/>
          <w:sz w:val="16"/>
          <w:szCs w:val="16"/>
        </w:rPr>
        <w:softHyphen/>
        <w:t>флотом, а «Дирижаблестрой» приступил к проек</w:t>
      </w:r>
      <w:r w:rsidRPr="00E14102">
        <w:rPr>
          <w:color w:val="0070C0"/>
          <w:sz w:val="16"/>
          <w:szCs w:val="16"/>
        </w:rPr>
        <w:softHyphen/>
        <w:t>тированию специальных морских разведчиков80. Однако в 1940 г. работы над ними прекратили (20120).</w:t>
      </w:r>
    </w:p>
    <w:p w14:paraId="77E30AEB" w14:textId="77777777" w:rsidR="00B32032" w:rsidRPr="00E14102" w:rsidRDefault="00B32032" w:rsidP="00E14102">
      <w:pPr>
        <w:shd w:val="clear" w:color="auto" w:fill="FFFFFF"/>
        <w:jc w:val="both"/>
        <w:rPr>
          <w:color w:val="0070C0"/>
          <w:sz w:val="16"/>
          <w:szCs w:val="16"/>
        </w:rPr>
      </w:pPr>
    </w:p>
    <w:p w14:paraId="7B14C21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6676C9C" w14:textId="77777777" w:rsidR="00D4105E" w:rsidRPr="00E14102" w:rsidRDefault="00D4105E" w:rsidP="00E14102">
      <w:pPr>
        <w:autoSpaceDE w:val="0"/>
        <w:autoSpaceDN w:val="0"/>
        <w:adjustRightInd w:val="0"/>
        <w:jc w:val="both"/>
        <w:rPr>
          <w:iCs/>
          <w:color w:val="000000" w:themeColor="text1"/>
          <w:sz w:val="16"/>
          <w:szCs w:val="16"/>
        </w:rPr>
      </w:pPr>
    </w:p>
    <w:p w14:paraId="28BE7E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года было решено проектировать новую 100-мм пушку (3861).</w:t>
      </w:r>
    </w:p>
    <w:p w14:paraId="2F0BC34C" w14:textId="77777777" w:rsidR="00D4105E" w:rsidRPr="00E14102" w:rsidRDefault="00D4105E" w:rsidP="00E14102">
      <w:pPr>
        <w:autoSpaceDE w:val="0"/>
        <w:autoSpaceDN w:val="0"/>
        <w:adjustRightInd w:val="0"/>
        <w:jc w:val="both"/>
        <w:rPr>
          <w:color w:val="000000" w:themeColor="text1"/>
          <w:sz w:val="16"/>
          <w:szCs w:val="16"/>
        </w:rPr>
      </w:pPr>
    </w:p>
    <w:p w14:paraId="5E7BADEA" w14:textId="77777777" w:rsidR="00136D5A" w:rsidRPr="00E14102" w:rsidRDefault="00136D5A" w:rsidP="00E14102">
      <w:pPr>
        <w:shd w:val="clear" w:color="auto" w:fill="FFFFFF"/>
        <w:jc w:val="both"/>
        <w:rPr>
          <w:color w:val="0070C0"/>
          <w:sz w:val="16"/>
          <w:szCs w:val="16"/>
        </w:rPr>
      </w:pPr>
      <w:r w:rsidRPr="00E14102">
        <w:rPr>
          <w:color w:val="0070C0"/>
          <w:sz w:val="16"/>
          <w:szCs w:val="16"/>
          <w:shd w:val="clear" w:color="auto" w:fill="FFFFFF"/>
        </w:rPr>
        <w:t>В октябре 1935 года приняли решение об установке на первый образец Су-14 более совершенного орудия — Б-30. Установили это орудие в 1937 году, а в сентябре провели испытания стрельбой. В 1936 году начались работы по СУ-10 — по сути той же СУ-14, но для моряков, со 152-мм пушкой, предназначалась она для береговой обороны. Между тем, испытания СУ-14-1 оказались не столь уж и гладкими: по их итогам было выявлено 167 различных дефектов, при этом выводов и заключения по испытаниям не делалось. В ноябре 1936 года из АБТУ КА последовало указание о доработке эталонного образца (19857).</w:t>
      </w:r>
    </w:p>
    <w:p w14:paraId="49CBC246" w14:textId="77777777" w:rsidR="00136D5A" w:rsidRPr="00E14102" w:rsidRDefault="00136D5A" w:rsidP="00E14102">
      <w:pPr>
        <w:shd w:val="clear" w:color="auto" w:fill="FFFFFF"/>
        <w:jc w:val="both"/>
        <w:rPr>
          <w:color w:val="0070C0"/>
          <w:sz w:val="16"/>
          <w:szCs w:val="16"/>
        </w:rPr>
      </w:pPr>
    </w:p>
    <w:p w14:paraId="714FFC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в районе Кубинки провели испытания БТ-5 с дополнительной деревянной гусеницей, крепящейся на основную с помощью скоб. Скорость движения - до 5 км/час. Монтировали за час. Не могла преодолевать участки с деревьями (3880,33).</w:t>
      </w:r>
    </w:p>
    <w:p w14:paraId="24A6BA0F" w14:textId="77777777" w:rsidR="00D4105E" w:rsidRPr="00E14102" w:rsidRDefault="00D4105E" w:rsidP="00E14102">
      <w:pPr>
        <w:autoSpaceDE w:val="0"/>
        <w:autoSpaceDN w:val="0"/>
        <w:adjustRightInd w:val="0"/>
        <w:jc w:val="both"/>
        <w:rPr>
          <w:color w:val="000000" w:themeColor="text1"/>
          <w:sz w:val="16"/>
          <w:szCs w:val="16"/>
        </w:rPr>
      </w:pPr>
    </w:p>
    <w:p w14:paraId="2B3CA0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на НИАБТП проводились испытания БТ-5 с дополнительными болотными брезентовыми гусеницами конструкции и НИИТ Богачева. Ширина - 300 мм, скорость - до 10 км/час, минимальный радиус поворота - 25 м. Лучшие результаты показали дополнительные отдельные металлические траки конструкции КБ НИАБТП. Дополнительные траки шириной до 250 мм устанавливали на основные с помощью кронштейнов. Монтаж занимал 2 часа. Комплект перевозили на гусеничных полках. Скорость движения - 10 км/час, радиус - 25 м (3880,33).</w:t>
      </w:r>
    </w:p>
    <w:p w14:paraId="4FE61A2D" w14:textId="77777777" w:rsidR="00D4105E" w:rsidRPr="00E14102" w:rsidRDefault="00D4105E" w:rsidP="00E14102">
      <w:pPr>
        <w:autoSpaceDE w:val="0"/>
        <w:autoSpaceDN w:val="0"/>
        <w:adjustRightInd w:val="0"/>
        <w:jc w:val="both"/>
        <w:rPr>
          <w:color w:val="000000" w:themeColor="text1"/>
          <w:sz w:val="16"/>
          <w:szCs w:val="16"/>
        </w:rPr>
      </w:pPr>
    </w:p>
    <w:p w14:paraId="49871B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 новый танк, получивший индекс БТ-7А поступил на испытания на заводской полигон ХПЗ. Несмотря на благосклонное заключение по результатам испытаний, производство танка было отложено, пока шли разбирательства с ЧП 19 сентября 1934 г., когда в ходе учений произошел прорыв газов через затвор в боевое отделение вследствие разрушения гильзы (6469, 12).</w:t>
      </w:r>
    </w:p>
    <w:p w14:paraId="5F3F46D8" w14:textId="77777777" w:rsidR="00D4105E" w:rsidRPr="00E14102" w:rsidRDefault="00D4105E" w:rsidP="00E14102">
      <w:pPr>
        <w:autoSpaceDE w:val="0"/>
        <w:autoSpaceDN w:val="0"/>
        <w:adjustRightInd w:val="0"/>
        <w:jc w:val="both"/>
        <w:rPr>
          <w:color w:val="000000" w:themeColor="text1"/>
          <w:sz w:val="16"/>
          <w:szCs w:val="16"/>
        </w:rPr>
      </w:pPr>
    </w:p>
    <w:p w14:paraId="198DC6F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октябре 1935 г. новый танк, получивший индекс БТ-7А, поступил на испытания на заводской полигон ХПЗ. Несмотря на благосклонное заключение по результатам ис</w:t>
      </w:r>
      <w:r w:rsidRPr="00E14102">
        <w:rPr>
          <w:color w:val="000000" w:themeColor="text1"/>
          <w:sz w:val="16"/>
          <w:szCs w:val="16"/>
        </w:rPr>
        <w:softHyphen/>
        <w:t>пытаний, производство танка было отложено, так как еще шло разбирательство с ЧП 19 сентября 1934 г., когда в результате прорыва газов в боевое отделение Т-26-4 были травматированы двое членов экипажа (10733,353).</w:t>
      </w:r>
    </w:p>
    <w:p w14:paraId="6F173D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9B1CC3A" w14:textId="77777777" w:rsidR="008F77C6" w:rsidRPr="00E14102" w:rsidRDefault="008F77C6" w:rsidP="00E14102">
      <w:pPr>
        <w:jc w:val="both"/>
        <w:rPr>
          <w:color w:val="000000" w:themeColor="text1"/>
          <w:sz w:val="16"/>
          <w:szCs w:val="16"/>
        </w:rPr>
      </w:pPr>
      <w:r w:rsidRPr="00E14102">
        <w:rPr>
          <w:color w:val="000000" w:themeColor="text1"/>
          <w:sz w:val="16"/>
          <w:szCs w:val="16"/>
        </w:rPr>
        <w:t>В октябре 1935 года новый танк вывели на заводской поли</w:t>
      </w:r>
      <w:r w:rsidRPr="00E14102">
        <w:rPr>
          <w:color w:val="000000" w:themeColor="text1"/>
          <w:sz w:val="16"/>
          <w:szCs w:val="16"/>
        </w:rPr>
        <w:softHyphen/>
        <w:t>гон, а в начале 1936 года началась сборка первой серии из пяти танков БТ-7А (А — артиллерийский) с башней Т-26-4 (15232).</w:t>
      </w:r>
    </w:p>
    <w:p w14:paraId="64F4CB9F" w14:textId="77777777" w:rsidR="008F77C6" w:rsidRPr="00E14102" w:rsidRDefault="008F77C6" w:rsidP="00E14102">
      <w:pPr>
        <w:jc w:val="both"/>
        <w:rPr>
          <w:color w:val="000000" w:themeColor="text1"/>
          <w:sz w:val="16"/>
          <w:szCs w:val="16"/>
        </w:rPr>
      </w:pPr>
    </w:p>
    <w:p w14:paraId="1E348A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прошли испытания построеннного к 1 мая 1935 опытного образца Т-28А, разработанного СКБ-2 ЛКЗ, который получил персональное название Сталин. Отличался бортовыми редукторами и ходовой частью. На испытаниях показал среднюю скорость движения на местности 48.6 км/час и максимальную - 68 км/час (9527,137).</w:t>
      </w:r>
    </w:p>
    <w:p w14:paraId="60C34D3D" w14:textId="77777777" w:rsidR="00D4105E" w:rsidRPr="00E14102" w:rsidRDefault="00D4105E" w:rsidP="00E14102">
      <w:pPr>
        <w:autoSpaceDE w:val="0"/>
        <w:autoSpaceDN w:val="0"/>
        <w:adjustRightInd w:val="0"/>
        <w:jc w:val="both"/>
        <w:rPr>
          <w:color w:val="000000" w:themeColor="text1"/>
          <w:sz w:val="16"/>
          <w:szCs w:val="16"/>
        </w:rPr>
      </w:pPr>
    </w:p>
    <w:p w14:paraId="3F7709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октябре 1935 г. новый танк, получивший индекс БТ-7А, поступил на испытания на заводской полигон ХПЗ. Несмотря на благосклонное заключение по результатам ис</w:t>
      </w:r>
      <w:r w:rsidRPr="00E14102">
        <w:rPr>
          <w:color w:val="000000" w:themeColor="text1"/>
          <w:sz w:val="16"/>
          <w:szCs w:val="16"/>
        </w:rPr>
        <w:softHyphen/>
        <w:t>пытаний, производство танка было отложено, так как еще шло разбирательство с ЧП 19 сентября 1934 г., когда в результате прорыва газов в боевое отделение Т-26-4 были травматированы двое членов экипажа (10733,353).</w:t>
      </w:r>
    </w:p>
    <w:p w14:paraId="54B48CB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D87A6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НИИХО совместно с НИХП ХУ РККА разработал и изготовил усовершенствованный вариант Т-26 с минометом ХМ-31. Испытывали до конца 1936 и прекратили работы в этом направлении осенью 1937 послу отстранения М.Н.Тухачевского (9527,182).</w:t>
      </w:r>
    </w:p>
    <w:p w14:paraId="481970AF" w14:textId="77777777" w:rsidR="00D4105E" w:rsidRPr="00E14102" w:rsidRDefault="00D4105E" w:rsidP="00E14102">
      <w:pPr>
        <w:autoSpaceDE w:val="0"/>
        <w:autoSpaceDN w:val="0"/>
        <w:adjustRightInd w:val="0"/>
        <w:jc w:val="both"/>
        <w:rPr>
          <w:color w:val="000000" w:themeColor="text1"/>
          <w:sz w:val="16"/>
          <w:szCs w:val="16"/>
        </w:rPr>
      </w:pPr>
    </w:p>
    <w:p w14:paraId="1304C1D8"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октябре 1935 г. помимо приспособления для плава с использованием лодок А-3, А.Ф. Кравцев предложил третий вари</w:t>
      </w:r>
      <w:r w:rsidRPr="00E14102">
        <w:rPr>
          <w:color w:val="000000" w:themeColor="text1"/>
          <w:sz w:val="16"/>
          <w:szCs w:val="16"/>
        </w:rPr>
        <w:softHyphen/>
        <w:t>ант приспособления. В его конструкции использовались два металлических сига</w:t>
      </w:r>
      <w:r w:rsidRPr="00E14102">
        <w:rPr>
          <w:color w:val="000000" w:themeColor="text1"/>
          <w:sz w:val="16"/>
          <w:szCs w:val="16"/>
        </w:rPr>
        <w:softHyphen/>
        <w:t>рообразных поплавка. Опытный образец приспособления собрали в мастерских НИИИТ полигона в 1936 г., установили на танке БТ-5 и провели его полигонные испытания. Это приспособление имело те же недостатки, что и два предыдущих</w:t>
      </w:r>
    </w:p>
    <w:p w14:paraId="388D2DE5"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Четвертое приспособление — танконосец конструкции А.Ф. Кравцева для пере</w:t>
      </w:r>
      <w:r w:rsidRPr="00E14102">
        <w:rPr>
          <w:color w:val="000000" w:themeColor="text1"/>
          <w:sz w:val="16"/>
          <w:szCs w:val="16"/>
        </w:rPr>
        <w:softHyphen/>
        <w:t>правы танков типа БТ — было изготовлено в 1937 г. в Экспериментальных мастерс</w:t>
      </w:r>
      <w:r w:rsidRPr="00E14102">
        <w:rPr>
          <w:color w:val="000000" w:themeColor="text1"/>
          <w:sz w:val="16"/>
          <w:szCs w:val="16"/>
        </w:rPr>
        <w:softHyphen/>
        <w:t>ких Примгруппы ОКДВА. Танконосец состоял из специального водоизмещающего корпуса с закрытой па</w:t>
      </w:r>
      <w:r w:rsidRPr="00E14102">
        <w:rPr>
          <w:color w:val="000000" w:themeColor="text1"/>
          <w:sz w:val="16"/>
          <w:szCs w:val="16"/>
        </w:rPr>
        <w:softHyphen/>
        <w:t>лубой. На палубе по бортам размещались о два ферменных кронштейна для креп</w:t>
      </w:r>
      <w:r w:rsidRPr="00E14102">
        <w:rPr>
          <w:color w:val="000000" w:themeColor="text1"/>
          <w:sz w:val="16"/>
          <w:szCs w:val="16"/>
        </w:rPr>
        <w:softHyphen/>
        <w:t>ления боковых поддерживающих лодок. В центральной части специального водо</w:t>
      </w:r>
      <w:r w:rsidRPr="00E14102">
        <w:rPr>
          <w:color w:val="000000" w:themeColor="text1"/>
          <w:sz w:val="16"/>
          <w:szCs w:val="16"/>
        </w:rPr>
        <w:softHyphen/>
        <w:t>измещающего корпуса имелись две про</w:t>
      </w:r>
      <w:r w:rsidRPr="00E14102">
        <w:rPr>
          <w:color w:val="000000" w:themeColor="text1"/>
          <w:sz w:val="16"/>
          <w:szCs w:val="16"/>
        </w:rPr>
        <w:softHyphen/>
        <w:t>дольные колейные выемки для заезда тан</w:t>
      </w:r>
      <w:r w:rsidRPr="00E14102">
        <w:rPr>
          <w:color w:val="000000" w:themeColor="text1"/>
          <w:sz w:val="16"/>
          <w:szCs w:val="16"/>
        </w:rPr>
        <w:softHyphen/>
        <w:t>ков БТ-5 (задним ходом). Спереди выемки закрывались носовым обтекателем — ап</w:t>
      </w:r>
      <w:r w:rsidRPr="00E14102">
        <w:rPr>
          <w:color w:val="000000" w:themeColor="text1"/>
          <w:sz w:val="16"/>
          <w:szCs w:val="16"/>
        </w:rPr>
        <w:softHyphen/>
        <w:t>парелью. У правой (по ходу движения) вы</w:t>
      </w:r>
      <w:r w:rsidRPr="00E14102">
        <w:rPr>
          <w:color w:val="000000" w:themeColor="text1"/>
          <w:sz w:val="16"/>
          <w:szCs w:val="16"/>
        </w:rPr>
        <w:softHyphen/>
        <w:t>емки, напротив окончания ее задней час</w:t>
      </w:r>
      <w:r w:rsidRPr="00E14102">
        <w:rPr>
          <w:color w:val="000000" w:themeColor="text1"/>
          <w:sz w:val="16"/>
          <w:szCs w:val="16"/>
        </w:rPr>
        <w:softHyphen/>
        <w:t>ти, имелось зубчатое колесо со стыковым устройством, обеспечивающим передачу крутящего момента с заднего приводного колеса танка через зубчатую передачу к по</w:t>
      </w:r>
      <w:r w:rsidRPr="00E14102">
        <w:rPr>
          <w:color w:val="000000" w:themeColor="text1"/>
          <w:sz w:val="16"/>
          <w:szCs w:val="16"/>
        </w:rPr>
        <w:softHyphen/>
        <w:t>перечному валу и угловой редуктор на вал гребного винта, находящийся в полутонне</w:t>
      </w:r>
      <w:r w:rsidRPr="00E14102">
        <w:rPr>
          <w:color w:val="000000" w:themeColor="text1"/>
          <w:sz w:val="16"/>
          <w:szCs w:val="16"/>
        </w:rPr>
        <w:softHyphen/>
        <w:t>ле кормовой части водоизмещающего кор</w:t>
      </w:r>
      <w:r w:rsidRPr="00E14102">
        <w:rPr>
          <w:color w:val="000000" w:themeColor="text1"/>
          <w:sz w:val="16"/>
          <w:szCs w:val="16"/>
        </w:rPr>
        <w:softHyphen/>
        <w:t>пуса. Танконосец с танком БТ-5 развивал скорость движения на воде до 12 км/ч. Изделие проходило испытания непосред</w:t>
      </w:r>
      <w:r w:rsidRPr="00E14102">
        <w:rPr>
          <w:color w:val="000000" w:themeColor="text1"/>
          <w:sz w:val="16"/>
          <w:szCs w:val="16"/>
        </w:rPr>
        <w:softHyphen/>
        <w:t>ственно на побережье Японского моря, во Владивостокском и Биробиджанском ук</w:t>
      </w:r>
      <w:r w:rsidRPr="00E14102">
        <w:rPr>
          <w:color w:val="000000" w:themeColor="text1"/>
          <w:sz w:val="16"/>
          <w:szCs w:val="16"/>
        </w:rPr>
        <w:softHyphen/>
        <w:t>репленных районах. Результаты оказались удовлетворительными, средство могло уве</w:t>
      </w:r>
      <w:r w:rsidRPr="00E14102">
        <w:rPr>
          <w:color w:val="000000" w:themeColor="text1"/>
          <w:sz w:val="16"/>
          <w:szCs w:val="16"/>
        </w:rPr>
        <w:softHyphen/>
        <w:t>ренно преодолевать протяженные водные преграды (12061).</w:t>
      </w:r>
    </w:p>
    <w:p w14:paraId="1B268D66" w14:textId="77777777" w:rsidR="00D4105E" w:rsidRPr="00E14102" w:rsidRDefault="00D4105E" w:rsidP="00E14102">
      <w:pPr>
        <w:autoSpaceDE w:val="0"/>
        <w:autoSpaceDN w:val="0"/>
        <w:adjustRightInd w:val="0"/>
        <w:jc w:val="both"/>
        <w:rPr>
          <w:color w:val="000000" w:themeColor="text1"/>
          <w:sz w:val="16"/>
          <w:szCs w:val="16"/>
        </w:rPr>
      </w:pPr>
    </w:p>
    <w:p w14:paraId="310B486A" w14:textId="77777777" w:rsidR="002F1CFA" w:rsidRPr="00E14102" w:rsidRDefault="002F1CFA"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октябре 1935 года и марте 1936-го справка и предложение американского инженера Джона Уо́лтера Кри́сти (</w:t>
      </w:r>
      <w:r w:rsidRPr="00E14102">
        <w:rPr>
          <w:rFonts w:ascii="Times New Roman" w:hAnsi="Times New Roman" w:cs="Times New Roman"/>
          <w:color w:val="000000" w:themeColor="text1"/>
          <w:sz w:val="16"/>
          <w:szCs w:val="16"/>
        </w:rPr>
        <w:t>John</w:t>
      </w:r>
      <w:r w:rsidRPr="00E14102">
        <w:rPr>
          <w:rFonts w:ascii="Times New Roman" w:hAnsi="Times New Roman" w:cs="Times New Roman"/>
          <w:color w:val="000000" w:themeColor="text1"/>
          <w:sz w:val="16"/>
          <w:szCs w:val="16"/>
          <w:lang w:val="ru-RU"/>
        </w:rPr>
        <w:t xml:space="preserve"> </w:t>
      </w:r>
      <w:r w:rsidRPr="00E14102">
        <w:rPr>
          <w:rFonts w:ascii="Times New Roman" w:hAnsi="Times New Roman" w:cs="Times New Roman"/>
          <w:color w:val="000000" w:themeColor="text1"/>
          <w:sz w:val="16"/>
          <w:szCs w:val="16"/>
        </w:rPr>
        <w:t>Walter</w:t>
      </w:r>
      <w:r w:rsidRPr="00E14102">
        <w:rPr>
          <w:rFonts w:ascii="Times New Roman" w:hAnsi="Times New Roman" w:cs="Times New Roman"/>
          <w:color w:val="000000" w:themeColor="text1"/>
          <w:sz w:val="16"/>
          <w:szCs w:val="16"/>
          <w:lang w:val="ru-RU"/>
        </w:rPr>
        <w:t xml:space="preserve"> </w:t>
      </w:r>
      <w:r w:rsidRPr="00E14102">
        <w:rPr>
          <w:rFonts w:ascii="Times New Roman" w:hAnsi="Times New Roman" w:cs="Times New Roman"/>
          <w:color w:val="000000" w:themeColor="text1"/>
          <w:sz w:val="16"/>
          <w:szCs w:val="16"/>
        </w:rPr>
        <w:t>Christie</w:t>
      </w:r>
      <w:r w:rsidRPr="00E14102">
        <w:rPr>
          <w:rFonts w:ascii="Times New Roman" w:hAnsi="Times New Roman" w:cs="Times New Roman"/>
          <w:color w:val="000000" w:themeColor="text1"/>
          <w:sz w:val="16"/>
          <w:szCs w:val="16"/>
          <w:lang w:val="ru-RU"/>
        </w:rPr>
        <w:t>) о постройке лёгкого колёсно-гусеничного танка типа «М.1933», имевшем приспособление для крепления к самолёту в СССР — были направлены заместителю наркома обороны маршалу М.Н. Тухачевскому (19054).</w:t>
      </w:r>
    </w:p>
    <w:p w14:paraId="18E5D37E" w14:textId="77777777" w:rsidR="002F1CFA" w:rsidRPr="00E14102" w:rsidRDefault="002F1CFA" w:rsidP="00E14102">
      <w:pPr>
        <w:pStyle w:val="ad"/>
        <w:spacing w:before="0" w:after="0"/>
        <w:rPr>
          <w:rFonts w:ascii="Times New Roman" w:hAnsi="Times New Roman" w:cs="Times New Roman"/>
          <w:color w:val="000000" w:themeColor="text1"/>
          <w:sz w:val="16"/>
          <w:szCs w:val="16"/>
          <w:lang w:val="ru-RU"/>
        </w:rPr>
      </w:pPr>
    </w:p>
    <w:p w14:paraId="43EF39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на Ижорском заводе велись проектные работы по разработке железнодорожного хода для ба БА-5 (9527,330).</w:t>
      </w:r>
    </w:p>
    <w:p w14:paraId="4B6E7A5A" w14:textId="77777777" w:rsidR="00D4105E" w:rsidRPr="00E14102" w:rsidRDefault="00D4105E" w:rsidP="00E14102">
      <w:pPr>
        <w:autoSpaceDE w:val="0"/>
        <w:autoSpaceDN w:val="0"/>
        <w:adjustRightInd w:val="0"/>
        <w:jc w:val="both"/>
        <w:rPr>
          <w:color w:val="000000" w:themeColor="text1"/>
          <w:sz w:val="16"/>
          <w:szCs w:val="16"/>
        </w:rPr>
      </w:pPr>
    </w:p>
    <w:p w14:paraId="6858BB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октябре 1935 года на Ижорском заводе в КБС изготовили опытный образец бронеавтомобиля БА-5 изготовили. Благодаря использованию более проч</w:t>
      </w:r>
      <w:r w:rsidRPr="00E14102">
        <w:rPr>
          <w:color w:val="000000" w:themeColor="text1"/>
          <w:sz w:val="16"/>
          <w:szCs w:val="16"/>
        </w:rPr>
        <w:softHyphen/>
        <w:t>ного, чем ГАЗ-ААА, шасси ЗИС-6 толщину основных бронелистов корпуса и башни довели до 9 мм. Вооружение со</w:t>
      </w:r>
      <w:r w:rsidRPr="00E14102">
        <w:rPr>
          <w:color w:val="000000" w:themeColor="text1"/>
          <w:sz w:val="16"/>
          <w:szCs w:val="16"/>
        </w:rPr>
        <w:softHyphen/>
        <w:t>стояло из 45-мм пушки 20К и трех пулеметов ДТ. Масса ма</w:t>
      </w:r>
      <w:r w:rsidRPr="00E14102">
        <w:rPr>
          <w:color w:val="000000" w:themeColor="text1"/>
          <w:sz w:val="16"/>
          <w:szCs w:val="16"/>
        </w:rPr>
        <w:softHyphen/>
        <w:t>шины с экипажем из 5 человек достигла 8,5 т, поэтому, даже несмотря на наличие кормового поста управления, проходимость и маневренность броневика оставляла же</w:t>
      </w:r>
      <w:r w:rsidRPr="00E14102">
        <w:rPr>
          <w:color w:val="000000" w:themeColor="text1"/>
          <w:sz w:val="16"/>
          <w:szCs w:val="16"/>
        </w:rPr>
        <w:softHyphen/>
        <w:t>лать лучшего.</w:t>
      </w:r>
    </w:p>
    <w:p w14:paraId="2F26405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ходе заводских пробегов выяснилось, что новый бро</w:t>
      </w:r>
      <w:r w:rsidRPr="00E14102">
        <w:rPr>
          <w:color w:val="000000" w:themeColor="text1"/>
          <w:sz w:val="16"/>
          <w:szCs w:val="16"/>
        </w:rPr>
        <w:softHyphen/>
        <w:t>неавтомобиль не имеет больших преимуществ перед серий</w:t>
      </w:r>
      <w:r w:rsidRPr="00E14102">
        <w:rPr>
          <w:color w:val="000000" w:themeColor="text1"/>
          <w:sz w:val="16"/>
          <w:szCs w:val="16"/>
        </w:rPr>
        <w:softHyphen/>
        <w:t>ным БА-6. Поэтому БА-5 не заинтересовал военных и не проходил полигонных испытаний. А так как материалы Ижорского завода по проектированию этой машины по</w:t>
      </w:r>
      <w:r w:rsidRPr="00E14102">
        <w:rPr>
          <w:color w:val="000000" w:themeColor="text1"/>
          <w:sz w:val="16"/>
          <w:szCs w:val="16"/>
        </w:rPr>
        <w:softHyphen/>
        <w:t>гибли во время Великой Отечественной войны, автору не удалось обнаружить в архивах подробного описания БА-5.</w:t>
      </w:r>
    </w:p>
    <w:p w14:paraId="697EE9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1936 года бронеавтомобиль передали на Ле</w:t>
      </w:r>
      <w:r w:rsidRPr="00E14102">
        <w:rPr>
          <w:color w:val="000000" w:themeColor="text1"/>
          <w:sz w:val="16"/>
          <w:szCs w:val="16"/>
        </w:rPr>
        <w:softHyphen/>
        <w:t>нинградские курсы усовершенствования командного со</w:t>
      </w:r>
      <w:r w:rsidRPr="00E14102">
        <w:rPr>
          <w:color w:val="000000" w:themeColor="text1"/>
          <w:sz w:val="16"/>
          <w:szCs w:val="16"/>
        </w:rPr>
        <w:softHyphen/>
        <w:t>става танковых войск. Дальнейшая его судьба неизвестна (11284).</w:t>
      </w:r>
    </w:p>
    <w:p w14:paraId="44CEC22F" w14:textId="77777777" w:rsidR="00D4105E" w:rsidRPr="00E14102" w:rsidRDefault="00D4105E" w:rsidP="00E14102">
      <w:pPr>
        <w:autoSpaceDE w:val="0"/>
        <w:autoSpaceDN w:val="0"/>
        <w:adjustRightInd w:val="0"/>
        <w:jc w:val="both"/>
        <w:rPr>
          <w:color w:val="000000" w:themeColor="text1"/>
          <w:sz w:val="16"/>
          <w:szCs w:val="16"/>
        </w:rPr>
      </w:pPr>
    </w:p>
    <w:p w14:paraId="4AFC64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октябре 1935 г. взялись ленинградские кон</w:t>
      </w:r>
      <w:r w:rsidRPr="00E14102">
        <w:rPr>
          <w:color w:val="000000" w:themeColor="text1"/>
          <w:sz w:val="16"/>
          <w:szCs w:val="16"/>
        </w:rPr>
        <w:softHyphen/>
        <w:t>структоры В.В. Бекман и А.А. Иванов, работавшие на Ленин</w:t>
      </w:r>
      <w:r w:rsidRPr="00E14102">
        <w:rPr>
          <w:color w:val="000000" w:themeColor="text1"/>
          <w:sz w:val="16"/>
          <w:szCs w:val="16"/>
        </w:rPr>
        <w:softHyphen/>
        <w:t>градском заводе «Вулкан», взялись за проектирование легкого мотоцикла. В 30-х годах прошлого века надолго во</w:t>
      </w:r>
      <w:r w:rsidRPr="00E14102">
        <w:rPr>
          <w:color w:val="000000" w:themeColor="text1"/>
          <w:sz w:val="16"/>
          <w:szCs w:val="16"/>
        </w:rPr>
        <w:softHyphen/>
        <w:t>шли в моду лёгкие мотоциклы с малолитражными двигателями рабочим объёмом 100-200 см</w:t>
      </w:r>
      <w:r w:rsidRPr="00E14102">
        <w:rPr>
          <w:color w:val="000000" w:themeColor="text1"/>
          <w:sz w:val="16"/>
          <w:szCs w:val="16"/>
          <w:vertAlign w:val="superscript"/>
        </w:rPr>
        <w:t>3</w:t>
      </w:r>
      <w:r w:rsidRPr="00E14102">
        <w:rPr>
          <w:color w:val="000000" w:themeColor="text1"/>
          <w:sz w:val="16"/>
          <w:szCs w:val="16"/>
        </w:rPr>
        <w:t>. И если в 1930 г. на Парижской выставке лишь 4% экспонируемых мотоциклов были с моторами ра</w:t>
      </w:r>
      <w:r w:rsidRPr="00E14102">
        <w:rPr>
          <w:color w:val="000000" w:themeColor="text1"/>
          <w:sz w:val="16"/>
          <w:szCs w:val="16"/>
        </w:rPr>
        <w:softHyphen/>
        <w:t>бочим объемом до 200 см</w:t>
      </w:r>
      <w:r w:rsidRPr="00E14102">
        <w:rPr>
          <w:color w:val="000000" w:themeColor="text1"/>
          <w:sz w:val="16"/>
          <w:szCs w:val="16"/>
          <w:vertAlign w:val="superscript"/>
        </w:rPr>
        <w:t>3</w:t>
      </w:r>
      <w:r w:rsidRPr="00E14102">
        <w:rPr>
          <w:color w:val="000000" w:themeColor="text1"/>
          <w:sz w:val="16"/>
          <w:szCs w:val="16"/>
        </w:rPr>
        <w:t xml:space="preserve"> [4.157], то спустя два года на Берлин</w:t>
      </w:r>
      <w:r w:rsidRPr="00E14102">
        <w:rPr>
          <w:color w:val="000000" w:themeColor="text1"/>
          <w:sz w:val="16"/>
          <w:szCs w:val="16"/>
        </w:rPr>
        <w:softHyphen/>
        <w:t>ской - их доля достигла 60%, а выпуск в Германии - 75 %. Обыч</w:t>
      </w:r>
      <w:r w:rsidRPr="00E14102">
        <w:rPr>
          <w:color w:val="000000" w:themeColor="text1"/>
          <w:sz w:val="16"/>
          <w:szCs w:val="16"/>
        </w:rPr>
        <w:softHyphen/>
        <w:t>но на них устанавливали двухтактные двигатели, мощностью 2,5 л.с. и степенью сжатия примерно 6, обеспечивавшие макси</w:t>
      </w:r>
      <w:r w:rsidRPr="00E14102">
        <w:rPr>
          <w:color w:val="000000" w:themeColor="text1"/>
          <w:sz w:val="16"/>
          <w:szCs w:val="16"/>
        </w:rPr>
        <w:softHyphen/>
        <w:t>мальную скорость движения по шоссе до 60 км/ч [4.158]. Опытный образец сделали к 9 мая 1936 г., и обозначили В-125, что означало: сделан на заводе «Вулкан», рабочий объем двигателя - 125 см</w:t>
      </w:r>
      <w:r w:rsidRPr="00E14102">
        <w:rPr>
          <w:color w:val="000000" w:themeColor="text1"/>
          <w:sz w:val="16"/>
          <w:szCs w:val="16"/>
          <w:vertAlign w:val="superscript"/>
        </w:rPr>
        <w:t>3</w:t>
      </w:r>
      <w:r w:rsidRPr="00E14102">
        <w:rPr>
          <w:color w:val="000000" w:themeColor="text1"/>
          <w:sz w:val="16"/>
          <w:szCs w:val="16"/>
        </w:rPr>
        <w:t>. Симметричные половины закрытой рамы штамповали из листовой стали толщиной 2 мм и соединяли свар</w:t>
      </w:r>
      <w:r w:rsidRPr="00E14102">
        <w:rPr>
          <w:color w:val="000000" w:themeColor="text1"/>
          <w:sz w:val="16"/>
          <w:szCs w:val="16"/>
        </w:rPr>
        <w:softHyphen/>
        <w:t>кой. Масса рамы не превышала 7 кг. В нашей стране впервые по</w:t>
      </w:r>
      <w:r w:rsidRPr="00E14102">
        <w:rPr>
          <w:color w:val="000000" w:themeColor="text1"/>
          <w:sz w:val="16"/>
          <w:szCs w:val="16"/>
        </w:rPr>
        <w:softHyphen/>
        <w:t>добную конструкцию применил П.В. Можаров на мотоцикле ИЖ-3. В двигателе использовали алюминиевый поршень без де</w:t>
      </w:r>
      <w:r w:rsidRPr="00E14102">
        <w:rPr>
          <w:color w:val="000000" w:themeColor="text1"/>
          <w:sz w:val="16"/>
          <w:szCs w:val="16"/>
        </w:rPr>
        <w:softHyphen/>
        <w:t>флектора. Цилиндр слегка наклонили вперед. В КП было три передачи с постоянным зацеплением шестерён. Для подзарядки щелочного аккумулятора сконструировали маховичную динамо-машину постоянного тока напряжением 6 В мощностью 30 Вт. Зажигание - батарейное от бобины. Передняя вилка - параллело-граммная, из двух симметричных штампованных половин с двумя фрикционными гасителями колебаний. Оба тормозных бараба</w:t>
      </w:r>
      <w:r w:rsidRPr="00E14102">
        <w:rPr>
          <w:color w:val="000000" w:themeColor="text1"/>
          <w:sz w:val="16"/>
          <w:szCs w:val="16"/>
        </w:rPr>
        <w:softHyphen/>
        <w:t xml:space="preserve">на - диаметром </w:t>
      </w:r>
      <w:r w:rsidRPr="00E14102">
        <w:rPr>
          <w:color w:val="000000" w:themeColor="text1"/>
          <w:sz w:val="16"/>
          <w:szCs w:val="16"/>
        </w:rPr>
        <w:lastRenderedPageBreak/>
        <w:t>140 мм. Сухая масса мотоцикла не превышала 70 кг. В-125 изготовили в трёх экземплярах. Конструкторы сами испытали новинку. Мотоцикл развивал максимальную скорость не менее 60 км/ч, при пробеге 100 км по шоссе расходовал не бо</w:t>
      </w:r>
      <w:r w:rsidRPr="00E14102">
        <w:rPr>
          <w:color w:val="000000" w:themeColor="text1"/>
          <w:sz w:val="16"/>
          <w:szCs w:val="16"/>
        </w:rPr>
        <w:softHyphen/>
        <w:t>лее 3 л горючего [4.159]. Директора ленинградских заводов «ПРОМЕТ» и «Красный Октябрь» от освоения В-125 отказались, и конструкторы пред</w:t>
      </w:r>
      <w:r w:rsidRPr="00E14102">
        <w:rPr>
          <w:color w:val="000000" w:themeColor="text1"/>
          <w:sz w:val="16"/>
          <w:szCs w:val="16"/>
        </w:rPr>
        <w:softHyphen/>
        <w:t>ложили свою разработку ПМЗ, а 2 сентября 1937 г. А.А. Иванов заключил с этим заводом трудовое соглашение, по которому обязался до 25 сентября предоставить комплект чертежей [4.160]. Дальнейшую разработку этого проекта выполнили спе</w:t>
      </w:r>
      <w:r w:rsidRPr="00E14102">
        <w:rPr>
          <w:color w:val="000000" w:themeColor="text1"/>
          <w:sz w:val="16"/>
          <w:szCs w:val="16"/>
        </w:rPr>
        <w:softHyphen/>
        <w:t>циалисты ПМЗ (11429).</w:t>
      </w:r>
    </w:p>
    <w:p w14:paraId="4F957FE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557F52B" w14:textId="77777777" w:rsidR="004A7BDF" w:rsidRPr="00E14102" w:rsidRDefault="004A7BDF" w:rsidP="00E14102">
      <w:pPr>
        <w:jc w:val="both"/>
        <w:rPr>
          <w:color w:val="000000" w:themeColor="text1"/>
          <w:sz w:val="16"/>
          <w:szCs w:val="16"/>
        </w:rPr>
      </w:pPr>
      <w:r w:rsidRPr="00E14102">
        <w:rPr>
          <w:color w:val="000000" w:themeColor="text1"/>
          <w:sz w:val="16"/>
          <w:szCs w:val="16"/>
        </w:rPr>
        <w:t>В октябре 1935 г. 6</w:t>
      </w:r>
      <w:r w:rsidRPr="00E14102">
        <w:rPr>
          <w:color w:val="000000" w:themeColor="text1"/>
          <w:sz w:val="16"/>
          <w:szCs w:val="16"/>
        </w:rPr>
        <w:noBreakHyphen/>
        <w:t>м Главным управлением НКОП был заключен Договор с фирмой “Тер-Рар” (Франция) сроком на 10 лет на техпомощь по организации производства перекиси водорода способом Мерсье на заводе № 96. Указанный завод построенную мощность установки освоил и на базе имеющегося опыта может довести дело до конца. Договор заключен без поставок запасных частей, недостающие детали оборудования (спецстекло) осваиваются заводом им. Ломоносова. Фирма, не имея подобных заводов и опыта эксплуатации, реальной помощи в дальнейшем оказать не в состоянии (17783).</w:t>
      </w:r>
    </w:p>
    <w:p w14:paraId="0A6533F6" w14:textId="77777777" w:rsidR="004A7BDF" w:rsidRPr="00E14102" w:rsidRDefault="004A7BDF" w:rsidP="00E14102">
      <w:pPr>
        <w:jc w:val="both"/>
        <w:rPr>
          <w:color w:val="000000" w:themeColor="text1"/>
          <w:sz w:val="16"/>
          <w:szCs w:val="16"/>
        </w:rPr>
      </w:pPr>
    </w:p>
    <w:p w14:paraId="678726D4" w14:textId="77777777" w:rsidR="004A7BDF" w:rsidRPr="00E14102" w:rsidRDefault="004A7BDF" w:rsidP="00E14102">
      <w:pPr>
        <w:jc w:val="both"/>
        <w:rPr>
          <w:color w:val="000000" w:themeColor="text1"/>
          <w:sz w:val="16"/>
          <w:szCs w:val="16"/>
        </w:rPr>
      </w:pPr>
      <w:r w:rsidRPr="00E14102">
        <w:rPr>
          <w:color w:val="000000" w:themeColor="text1"/>
          <w:sz w:val="16"/>
          <w:szCs w:val="16"/>
        </w:rPr>
        <w:t>В октябре 1935 г. 6</w:t>
      </w:r>
      <w:r w:rsidRPr="00E14102">
        <w:rPr>
          <w:color w:val="000000" w:themeColor="text1"/>
          <w:sz w:val="16"/>
          <w:szCs w:val="16"/>
        </w:rPr>
        <w:noBreakHyphen/>
        <w:t>м Главным управлением НКОП был заключен Договор с фирмой “Катализ” (Франция) сроком на 3 года на техпомощь по проектированию установки окиси этилена. Построенная установка за год работы не давала выходов, гарантируемых фирмой. 6</w:t>
      </w:r>
      <w:r w:rsidRPr="00E14102">
        <w:rPr>
          <w:color w:val="000000" w:themeColor="text1"/>
          <w:sz w:val="16"/>
          <w:szCs w:val="16"/>
        </w:rPr>
        <w:noBreakHyphen/>
        <w:t>е Главное управление НКОП проводит работы по освоению своего метода получения окиси этилена, показывающего ряд преимуществ по сравнению с методом фирмы (монтаж установки заканчивается в 1938 г.). Поэтому Госплан, не соглашаясь с НКОП, считает целесообразным договор с фирмой расторгнуть, обязав НКОП предъявить фирме претензии в счет уплаченных сумм (200 тыс. франков) в части выполнения последней гарантии по выходам и освоению установки (17783).</w:t>
      </w:r>
    </w:p>
    <w:p w14:paraId="46E97146" w14:textId="77777777" w:rsidR="004A7BDF" w:rsidRPr="00E14102" w:rsidRDefault="004A7BDF" w:rsidP="00E14102">
      <w:pPr>
        <w:jc w:val="both"/>
        <w:rPr>
          <w:color w:val="000000" w:themeColor="text1"/>
          <w:sz w:val="16"/>
          <w:szCs w:val="16"/>
        </w:rPr>
      </w:pPr>
    </w:p>
    <w:p w14:paraId="04AB77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был заложен первый легкий крейсер (359,96).</w:t>
      </w:r>
    </w:p>
    <w:p w14:paraId="41181B5F" w14:textId="77777777" w:rsidR="00D4105E" w:rsidRPr="00E14102" w:rsidRDefault="00D4105E" w:rsidP="00E14102">
      <w:pPr>
        <w:autoSpaceDE w:val="0"/>
        <w:autoSpaceDN w:val="0"/>
        <w:adjustRightInd w:val="0"/>
        <w:jc w:val="both"/>
        <w:rPr>
          <w:color w:val="000000" w:themeColor="text1"/>
          <w:sz w:val="16"/>
          <w:szCs w:val="16"/>
        </w:rPr>
      </w:pPr>
    </w:p>
    <w:p w14:paraId="54DEEF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w:t>
      </w:r>
      <w:r w:rsidRPr="00E14102">
        <w:rPr>
          <w:color w:val="000000" w:themeColor="text1"/>
          <w:sz w:val="16"/>
          <w:szCs w:val="16"/>
        </w:rPr>
        <w:softHyphen/>
        <w:t>тябре 1935 г. были заложены на ленинградском заводе им. А. Марта Дизель-электрические ледоколы "Киров" и "Куйбышев" (есть сведения, что собирались строить и третий ледокол — "Казак Хаба</w:t>
      </w:r>
      <w:r w:rsidRPr="00E14102">
        <w:rPr>
          <w:color w:val="000000" w:themeColor="text1"/>
          <w:sz w:val="16"/>
          <w:szCs w:val="16"/>
        </w:rPr>
        <w:softHyphen/>
        <w:t>ров"). Однако их постройку вскоре прекратили из-за про</w:t>
      </w:r>
      <w:r w:rsidRPr="00E14102">
        <w:rPr>
          <w:color w:val="000000" w:themeColor="text1"/>
          <w:sz w:val="16"/>
          <w:szCs w:val="16"/>
        </w:rPr>
        <w:softHyphen/>
        <w:t>блематичности скорого завершения в условиях увеличения объе</w:t>
      </w:r>
      <w:r w:rsidRPr="00E14102">
        <w:rPr>
          <w:color w:val="000000" w:themeColor="text1"/>
          <w:sz w:val="16"/>
          <w:szCs w:val="16"/>
        </w:rPr>
        <w:softHyphen/>
        <w:t>мов военного кораблестроения. Сам технический проект послужил основой для разработанньхх Судопроектом в исследовательском плане проектов дизель-электрических и турбоэлектрических ледо</w:t>
      </w:r>
      <w:r w:rsidRPr="00E14102">
        <w:rPr>
          <w:color w:val="000000" w:themeColor="text1"/>
          <w:sz w:val="16"/>
          <w:szCs w:val="16"/>
        </w:rPr>
        <w:softHyphen/>
        <w:t>колов мощностью 18 000 л. с. и 24 000 л. с. соответственно, кото</w:t>
      </w:r>
      <w:r w:rsidRPr="00E14102">
        <w:rPr>
          <w:color w:val="000000" w:themeColor="text1"/>
          <w:sz w:val="16"/>
          <w:szCs w:val="16"/>
        </w:rPr>
        <w:softHyphen/>
        <w:t>рые наметили перспективы развития ледоколостроения (3898).</w:t>
      </w:r>
    </w:p>
    <w:p w14:paraId="07A3ED44" w14:textId="77777777" w:rsidR="00D4105E" w:rsidRPr="00E14102" w:rsidRDefault="00D4105E" w:rsidP="00E14102">
      <w:pPr>
        <w:autoSpaceDE w:val="0"/>
        <w:autoSpaceDN w:val="0"/>
        <w:adjustRightInd w:val="0"/>
        <w:jc w:val="both"/>
        <w:rPr>
          <w:color w:val="000000" w:themeColor="text1"/>
          <w:sz w:val="16"/>
          <w:szCs w:val="16"/>
        </w:rPr>
      </w:pPr>
    </w:p>
    <w:p w14:paraId="36D1FB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 на Балтийском заводе был официально заложен</w:t>
      </w:r>
      <w:r w:rsidRPr="00E14102">
        <w:rPr>
          <w:color w:val="000000" w:themeColor="text1"/>
          <w:sz w:val="16"/>
          <w:szCs w:val="16"/>
        </w:rPr>
        <w:softHyphen/>
        <w:t>н крейсер "Киров" и к 1 января 1936 г. он достиг готовности по корпусу 22,7% от полной и был спущен на воду 30 октября 1936 года, а 7 августа 1937 г. впервые вышел в море (3898).</w:t>
      </w:r>
    </w:p>
    <w:p w14:paraId="309FE2BF" w14:textId="77777777" w:rsidR="00D4105E" w:rsidRPr="00E14102" w:rsidRDefault="00D4105E" w:rsidP="00E14102">
      <w:pPr>
        <w:autoSpaceDE w:val="0"/>
        <w:autoSpaceDN w:val="0"/>
        <w:adjustRightInd w:val="0"/>
        <w:jc w:val="both"/>
        <w:rPr>
          <w:color w:val="000000" w:themeColor="text1"/>
          <w:sz w:val="16"/>
          <w:szCs w:val="16"/>
        </w:rPr>
      </w:pPr>
    </w:p>
    <w:p w14:paraId="00CA8A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Закладка первых двух легких крейсеров типа «Киров» состоялась в октябре 1935 г. на верфях Ленинграда и Ни</w:t>
      </w:r>
      <w:r w:rsidRPr="00E14102">
        <w:rPr>
          <w:color w:val="000000" w:themeColor="text1"/>
          <w:sz w:val="16"/>
          <w:szCs w:val="16"/>
        </w:rPr>
        <w:softHyphen/>
        <w:t xml:space="preserve">колаева. Это </w:t>
      </w:r>
      <w:r w:rsidRPr="00E14102">
        <w:rPr>
          <w:iCs/>
          <w:color w:val="000000" w:themeColor="text1"/>
          <w:sz w:val="16"/>
          <w:szCs w:val="16"/>
        </w:rPr>
        <w:t xml:space="preserve">были </w:t>
      </w:r>
      <w:r w:rsidRPr="00E14102">
        <w:rPr>
          <w:color w:val="000000" w:themeColor="text1"/>
          <w:sz w:val="16"/>
          <w:szCs w:val="16"/>
        </w:rPr>
        <w:t>первые советские корабли, строивши</w:t>
      </w:r>
      <w:r w:rsidRPr="00E14102">
        <w:rPr>
          <w:color w:val="000000" w:themeColor="text1"/>
          <w:sz w:val="16"/>
          <w:szCs w:val="16"/>
        </w:rPr>
        <w:softHyphen/>
        <w:t>еся с учетом размещения на них вращающейся катапуль</w:t>
      </w:r>
      <w:r w:rsidRPr="00E14102">
        <w:rPr>
          <w:color w:val="000000" w:themeColor="text1"/>
          <w:sz w:val="16"/>
          <w:szCs w:val="16"/>
        </w:rPr>
        <w:softHyphen/>
        <w:t>ты и двух самолетов. Техническое задание на новый кора</w:t>
      </w:r>
      <w:r w:rsidRPr="00E14102">
        <w:rPr>
          <w:color w:val="000000" w:themeColor="text1"/>
          <w:sz w:val="16"/>
          <w:szCs w:val="16"/>
        </w:rPr>
        <w:softHyphen/>
        <w:t>бельный разведчик КОР-1 появилось в 1934 г. - рассказ об этом самолете ниже.</w:t>
      </w:r>
    </w:p>
    <w:p w14:paraId="753CF83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Первый крейсер «Киров» водоизмещением 9436 т спу</w:t>
      </w:r>
      <w:r w:rsidRPr="00E14102">
        <w:rPr>
          <w:color w:val="000000" w:themeColor="text1"/>
          <w:sz w:val="16"/>
          <w:szCs w:val="16"/>
        </w:rPr>
        <w:softHyphen/>
        <w:t>стили на воду в 1936 г., в состав Балтийского флота он во</w:t>
      </w:r>
      <w:r w:rsidRPr="00E14102">
        <w:rPr>
          <w:color w:val="000000" w:themeColor="text1"/>
          <w:sz w:val="16"/>
          <w:szCs w:val="16"/>
        </w:rPr>
        <w:softHyphen/>
        <w:t>шел 29 сентября 1939 г. Второй - «Ворошилов» - водоиз</w:t>
      </w:r>
      <w:r w:rsidRPr="00E14102">
        <w:rPr>
          <w:color w:val="000000" w:themeColor="text1"/>
          <w:sz w:val="16"/>
          <w:szCs w:val="16"/>
        </w:rPr>
        <w:softHyphen/>
        <w:t>мещением 9550 т, спущен на воду в 1937 г., в состав Черно</w:t>
      </w:r>
      <w:r w:rsidRPr="00E14102">
        <w:rPr>
          <w:color w:val="000000" w:themeColor="text1"/>
          <w:sz w:val="16"/>
          <w:szCs w:val="16"/>
        </w:rPr>
        <w:softHyphen/>
        <w:t>морского флота вошел 20 июня 1940 г.</w:t>
      </w:r>
    </w:p>
    <w:p w14:paraId="3F0BA3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Следующими стали четыре подобные крейсера типа «Максим Горький»:</w:t>
      </w:r>
    </w:p>
    <w:p w14:paraId="3C9260A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«Максим Горький» водоизмещением 9778 т заложили в декабре 1936 г., в 1938 г. он был спущен на воду, 25 октя</w:t>
      </w:r>
      <w:r w:rsidRPr="00E14102">
        <w:rPr>
          <w:color w:val="000000" w:themeColor="text1"/>
          <w:sz w:val="16"/>
          <w:szCs w:val="16"/>
        </w:rPr>
        <w:softHyphen/>
        <w:t>бря 1940 г. вступил в строй Балтийского флота;</w:t>
      </w:r>
    </w:p>
    <w:p w14:paraId="569229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«Молотов» водоизмещением 9760 т заложили в янва</w:t>
      </w:r>
      <w:r w:rsidRPr="00E14102">
        <w:rPr>
          <w:color w:val="000000" w:themeColor="text1"/>
          <w:sz w:val="16"/>
          <w:szCs w:val="16"/>
        </w:rPr>
        <w:softHyphen/>
        <w:t>ре 1937 г., в 1939 г. он был спущен на воду, в состав Черно</w:t>
      </w:r>
      <w:r w:rsidRPr="00E14102">
        <w:rPr>
          <w:color w:val="000000" w:themeColor="text1"/>
          <w:sz w:val="16"/>
          <w:szCs w:val="16"/>
        </w:rPr>
        <w:softHyphen/>
        <w:t>морского флота вошел 14 июня 1941 г.;</w:t>
      </w:r>
    </w:p>
    <w:p w14:paraId="4055B13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«Калинин» заложен в 1938 г., в состав Тихоокеанско</w:t>
      </w:r>
      <w:r w:rsidRPr="00E14102">
        <w:rPr>
          <w:color w:val="000000" w:themeColor="text1"/>
          <w:sz w:val="16"/>
          <w:szCs w:val="16"/>
        </w:rPr>
        <w:softHyphen/>
        <w:t>го флота вошел 31 декабря 1942 г.;</w:t>
      </w:r>
    </w:p>
    <w:p w14:paraId="327D07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«Каганович» заложен в 1938 г., в состав Тихоокеан</w:t>
      </w:r>
      <w:r w:rsidRPr="00E14102">
        <w:rPr>
          <w:color w:val="000000" w:themeColor="text1"/>
          <w:sz w:val="16"/>
          <w:szCs w:val="16"/>
        </w:rPr>
        <w:softHyphen/>
        <w:t>ского флота вошел 6 декабря 1944 г. (11107).</w:t>
      </w:r>
    </w:p>
    <w:p w14:paraId="0183E5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соответствии с техническими требованиями на но</w:t>
      </w:r>
      <w:r w:rsidRPr="00E14102">
        <w:rPr>
          <w:color w:val="000000" w:themeColor="text1"/>
          <w:sz w:val="16"/>
          <w:szCs w:val="16"/>
        </w:rPr>
        <w:softHyphen/>
        <w:t>вый корабельный разведчик, для крейсеров нужно было построить и новую корабельную катапульту, причем пред</w:t>
      </w:r>
      <w:r w:rsidRPr="00E14102">
        <w:rPr>
          <w:color w:val="000000" w:themeColor="text1"/>
          <w:sz w:val="16"/>
          <w:szCs w:val="16"/>
        </w:rPr>
        <w:softHyphen/>
        <w:t>лагалось установить катапульты не только на крейсеры, но и (в облегченном варианте) на лидеры эсминцев типа «Ленинград». Кроме этого, планировалось оборудовать катапультами шесть ледоколов ГУСМП. Впрочем, на практике катапульту установили только на шести крейсе</w:t>
      </w:r>
      <w:r w:rsidRPr="00E14102">
        <w:rPr>
          <w:color w:val="000000" w:themeColor="text1"/>
          <w:sz w:val="16"/>
          <w:szCs w:val="16"/>
        </w:rPr>
        <w:softHyphen/>
        <w:t>рах, с базированием на них самолетов КОР-1 и КОР-2 (11107).</w:t>
      </w:r>
    </w:p>
    <w:p w14:paraId="3C1A450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6D78AB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25F0897C" w14:textId="77777777" w:rsidR="00D4105E" w:rsidRPr="00E14102" w:rsidRDefault="00D4105E" w:rsidP="00E14102">
      <w:pPr>
        <w:autoSpaceDE w:val="0"/>
        <w:autoSpaceDN w:val="0"/>
        <w:adjustRightInd w:val="0"/>
        <w:jc w:val="both"/>
        <w:rPr>
          <w:iCs/>
          <w:color w:val="000000" w:themeColor="text1"/>
          <w:sz w:val="16"/>
          <w:szCs w:val="16"/>
        </w:rPr>
      </w:pPr>
    </w:p>
    <w:p w14:paraId="17D724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 появился приказ начальника УВВС о передаче десяти И-5 во 2-ю школу лётчиков в Борисоглебске. Машины брали из числа старых и изношенных, сдававшихся строевыми частями. Реально лишь в 1936 г. "пятерками" стали укомплектовывать Борисоглебскую и Качинс- кую школы, а затем и другие, готовившие лётчиков-истребителей. Там они сменили И-3 и И-4.</w:t>
      </w:r>
    </w:p>
    <w:p w14:paraId="338FD8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И-5 стал ступенькой для перехода с чисто учебных машин на боевые И-15 и И-16. Например, в Борисоглебской школе в 1937 г. перед полётами на УТИ-4 (двухместном варианте И-16) курсанты, освоившие У-2, обязательно тренировались на И-5. В конце 1930-х гг. они имелись в Ульяновской, Оренбургской, Одесской школах. Самые потрёпанные, со снятым с крыльев полотном, использовались для тренировки курсантов в рулении по аэродрому.</w:t>
      </w:r>
    </w:p>
    <w:p w14:paraId="306E9A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Располагали И-5 и авиационно-технические школы, готовившие механиков. Например, школа в Иркутске имела шесть таких машин, служивших нелетающими учебными пособиями.</w:t>
      </w:r>
    </w:p>
    <w:p w14:paraId="1E1D7C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Самолёты ранних серий к тому времени были уже сильно изношены. Например, в июле 1936 г. командующий Ленинградским военным округом Б.М. Шапошников докладывал наркому К.Е. Ворошилову, что в 13-й эскадрилье осталось 14 истребителей на 43 лётчика, причём только три машины были исправны настолько, что им разрешалось удаляться от аэродрома (11997).</w:t>
      </w:r>
    </w:p>
    <w:p w14:paraId="6C347D29" w14:textId="77777777" w:rsidR="00D4105E" w:rsidRPr="00E14102" w:rsidRDefault="00D4105E" w:rsidP="00E14102">
      <w:pPr>
        <w:autoSpaceDE w:val="0"/>
        <w:autoSpaceDN w:val="0"/>
        <w:adjustRightInd w:val="0"/>
        <w:jc w:val="both"/>
        <w:rPr>
          <w:color w:val="000000" w:themeColor="text1"/>
          <w:sz w:val="16"/>
          <w:szCs w:val="16"/>
        </w:rPr>
      </w:pPr>
    </w:p>
    <w:p w14:paraId="34B28C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И-5 впервые попал за границу. В Монголию перебросили 21 авиаэскадрилью из двух отрядов - истребительного и штурмового (191,27).</w:t>
      </w:r>
    </w:p>
    <w:p w14:paraId="40D428E6" w14:textId="77777777" w:rsidR="00D4105E" w:rsidRPr="00E14102" w:rsidRDefault="00D4105E" w:rsidP="00E14102">
      <w:pPr>
        <w:autoSpaceDE w:val="0"/>
        <w:autoSpaceDN w:val="0"/>
        <w:adjustRightInd w:val="0"/>
        <w:jc w:val="both"/>
        <w:rPr>
          <w:color w:val="000000" w:themeColor="text1"/>
          <w:sz w:val="16"/>
          <w:szCs w:val="16"/>
        </w:rPr>
      </w:pPr>
    </w:p>
    <w:p w14:paraId="2631D5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октябре 1935 г. перед лицом японской угрозы 21-я эскадрилья из двух отрядов перелетела в Монголию, в Тамсаг-Булак, где занималась патрулированием границы (10667).</w:t>
      </w:r>
    </w:p>
    <w:p w14:paraId="60C9F0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E253A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 И-5 впервые попали за границу. Нет, они никогда не состояли на вооружении ни в одной стране мира, кроме СССР. Просто перед лицом японской угрозы в Монголию перебросили 21-ю эскадрилью из двух отрядов - истребительного и штурмового; командовал ею И.Г. Манн. Истребители И-5 расположились в Тамцаг-Булаке, откуда осуществляли патрулирование границы. Надо сказать, что наши лётчики скептически оценивали возможности своих машин, которым противостояли отборные части авиации Квантунской армии.</w:t>
      </w:r>
    </w:p>
    <w:p w14:paraId="353E87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Японцы получили информацию о данных И-5 в 1934 г. Она поступала по разведывательным каналам, а позже стажировавшийся в ВВС Черноморского флота японский офицер капитан Харада, бывший испытатель, смог и полетать на советском самолёте. Собрав все сведения об И-5, японцы не очень обеспокоились, сочтя, что сосредоточенные в Маньчжурии истребители типа 91 превосходят его по скорости (это действительно было так до высоты 3000 м), а машины типа 92 не уступают по манёвренности. Возможно, именно скромные возможности И-5 привели к тому, что в конфликте у посёлка треста "Монголрыба" в 1936 г. их не использовали, хотя обеими сторонами были задействованы артиллерия и авиация; и к тому же японцы пустили в ход лёгкие танки, а наши - бронемашины.</w:t>
      </w:r>
    </w:p>
    <w:p w14:paraId="3ACE79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Наличие И-5 в частях ВВС РККА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E3599D" w:rsidRPr="00E14102" w14:paraId="653F8A8A" w14:textId="77777777">
        <w:tc>
          <w:tcPr>
            <w:tcW w:w="3736" w:type="dxa"/>
            <w:tcBorders>
              <w:top w:val="single" w:sz="12" w:space="0" w:color="auto"/>
            </w:tcBorders>
          </w:tcPr>
          <w:p w14:paraId="1E097D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1.01.1931</w:t>
            </w:r>
          </w:p>
        </w:tc>
        <w:tc>
          <w:tcPr>
            <w:tcW w:w="3736" w:type="dxa"/>
            <w:tcBorders>
              <w:top w:val="single" w:sz="12" w:space="0" w:color="auto"/>
            </w:tcBorders>
          </w:tcPr>
          <w:p w14:paraId="6D2D8A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w:t>
            </w:r>
          </w:p>
        </w:tc>
        <w:tc>
          <w:tcPr>
            <w:tcW w:w="3736" w:type="dxa"/>
            <w:tcBorders>
              <w:top w:val="single" w:sz="12" w:space="0" w:color="auto"/>
            </w:tcBorders>
          </w:tcPr>
          <w:p w14:paraId="071FAD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r>
      <w:tr w:rsidR="00E3599D" w:rsidRPr="00E14102" w14:paraId="172160EA" w14:textId="77777777">
        <w:tc>
          <w:tcPr>
            <w:tcW w:w="3736" w:type="dxa"/>
          </w:tcPr>
          <w:p w14:paraId="51B2CB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1.01.1932</w:t>
            </w:r>
          </w:p>
        </w:tc>
        <w:tc>
          <w:tcPr>
            <w:tcW w:w="3736" w:type="dxa"/>
          </w:tcPr>
          <w:p w14:paraId="533FEC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58</w:t>
            </w:r>
          </w:p>
        </w:tc>
        <w:tc>
          <w:tcPr>
            <w:tcW w:w="3736" w:type="dxa"/>
          </w:tcPr>
          <w:p w14:paraId="566C63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w:t>
            </w:r>
          </w:p>
        </w:tc>
      </w:tr>
      <w:tr w:rsidR="00E3599D" w:rsidRPr="00E14102" w14:paraId="4A2C7A06" w14:textId="77777777">
        <w:tc>
          <w:tcPr>
            <w:tcW w:w="3736" w:type="dxa"/>
          </w:tcPr>
          <w:p w14:paraId="768FAD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1.01.1933</w:t>
            </w:r>
          </w:p>
        </w:tc>
        <w:tc>
          <w:tcPr>
            <w:tcW w:w="3736" w:type="dxa"/>
          </w:tcPr>
          <w:p w14:paraId="00FC0B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128</w:t>
            </w:r>
          </w:p>
        </w:tc>
        <w:tc>
          <w:tcPr>
            <w:tcW w:w="3736" w:type="dxa"/>
          </w:tcPr>
          <w:p w14:paraId="604B77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r>
      <w:tr w:rsidR="00E3599D" w:rsidRPr="00E14102" w14:paraId="26C6835C" w14:textId="77777777">
        <w:tc>
          <w:tcPr>
            <w:tcW w:w="3736" w:type="dxa"/>
          </w:tcPr>
          <w:p w14:paraId="27520E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1.12.1933</w:t>
            </w:r>
          </w:p>
        </w:tc>
        <w:tc>
          <w:tcPr>
            <w:tcW w:w="3736" w:type="dxa"/>
          </w:tcPr>
          <w:p w14:paraId="11F782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323</w:t>
            </w:r>
          </w:p>
        </w:tc>
        <w:tc>
          <w:tcPr>
            <w:tcW w:w="3736" w:type="dxa"/>
          </w:tcPr>
          <w:p w14:paraId="5F464B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r>
      <w:tr w:rsidR="00E3599D" w:rsidRPr="00E14102" w14:paraId="429BBFBD" w14:textId="77777777">
        <w:tc>
          <w:tcPr>
            <w:tcW w:w="3736" w:type="dxa"/>
          </w:tcPr>
          <w:p w14:paraId="28AA1F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1.01.1934</w:t>
            </w:r>
          </w:p>
        </w:tc>
        <w:tc>
          <w:tcPr>
            <w:tcW w:w="3736" w:type="dxa"/>
          </w:tcPr>
          <w:p w14:paraId="2198FB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409</w:t>
            </w:r>
          </w:p>
        </w:tc>
        <w:tc>
          <w:tcPr>
            <w:tcW w:w="3736" w:type="dxa"/>
          </w:tcPr>
          <w:p w14:paraId="04F192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29E669C4" w14:textId="77777777">
        <w:tc>
          <w:tcPr>
            <w:tcW w:w="3736" w:type="dxa"/>
          </w:tcPr>
          <w:p w14:paraId="6C1789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1.01.1938</w:t>
            </w:r>
          </w:p>
        </w:tc>
        <w:tc>
          <w:tcPr>
            <w:tcW w:w="3736" w:type="dxa"/>
          </w:tcPr>
          <w:p w14:paraId="5E115C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374</w:t>
            </w:r>
          </w:p>
        </w:tc>
        <w:tc>
          <w:tcPr>
            <w:tcW w:w="3736" w:type="dxa"/>
          </w:tcPr>
          <w:p w14:paraId="5B24B2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7F60C95" w14:textId="77777777">
        <w:tc>
          <w:tcPr>
            <w:tcW w:w="3736" w:type="dxa"/>
            <w:tcBorders>
              <w:bottom w:val="single" w:sz="12" w:space="0" w:color="auto"/>
            </w:tcBorders>
          </w:tcPr>
          <w:p w14:paraId="077447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25.09.1940</w:t>
            </w:r>
          </w:p>
        </w:tc>
        <w:tc>
          <w:tcPr>
            <w:tcW w:w="3736" w:type="dxa"/>
            <w:tcBorders>
              <w:bottom w:val="single" w:sz="12" w:space="0" w:color="auto"/>
            </w:tcBorders>
          </w:tcPr>
          <w:p w14:paraId="12E484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342*</w:t>
            </w:r>
          </w:p>
        </w:tc>
        <w:tc>
          <w:tcPr>
            <w:tcW w:w="3736" w:type="dxa"/>
            <w:tcBorders>
              <w:bottom w:val="single" w:sz="12" w:space="0" w:color="auto"/>
            </w:tcBorders>
          </w:tcPr>
          <w:p w14:paraId="63C497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w:t>
            </w:r>
          </w:p>
        </w:tc>
      </w:tr>
    </w:tbl>
    <w:p w14:paraId="054D71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*Плюс 43 И-5 в морской авиации (11997).</w:t>
      </w:r>
    </w:p>
    <w:p w14:paraId="06FE2B72" w14:textId="77777777" w:rsidR="00D4105E" w:rsidRPr="00E14102" w:rsidRDefault="00D4105E" w:rsidP="00E14102">
      <w:pPr>
        <w:autoSpaceDE w:val="0"/>
        <w:autoSpaceDN w:val="0"/>
        <w:adjustRightInd w:val="0"/>
        <w:jc w:val="both"/>
        <w:rPr>
          <w:color w:val="000000" w:themeColor="text1"/>
          <w:sz w:val="16"/>
          <w:szCs w:val="16"/>
        </w:rPr>
      </w:pPr>
    </w:p>
    <w:p w14:paraId="5FD578A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B834A89" w14:textId="77777777" w:rsidR="00D4105E" w:rsidRPr="00E14102" w:rsidRDefault="00D4105E" w:rsidP="00E14102">
      <w:pPr>
        <w:autoSpaceDE w:val="0"/>
        <w:autoSpaceDN w:val="0"/>
        <w:adjustRightInd w:val="0"/>
        <w:jc w:val="both"/>
        <w:rPr>
          <w:iCs/>
          <w:color w:val="000000" w:themeColor="text1"/>
          <w:sz w:val="16"/>
          <w:szCs w:val="16"/>
        </w:rPr>
      </w:pPr>
    </w:p>
    <w:p w14:paraId="16CF1A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СНК и ЦК ВКП(б) приняли решение снять четырех орлов со Спасской, Никольской, Боровицкой и Троицкой башен и с двух с Исторического музея к 7 ноября 1935. Для Спасской и Троицкой сделали в ЦАГИ под руководством А.А.А., а для Никольской и Боровицкой - на заводе 39 под руководством Н.Н.П. Пока были металлические. Простояли до ноября 1937 (172,69).</w:t>
      </w:r>
    </w:p>
    <w:p w14:paraId="2234907A" w14:textId="77777777" w:rsidR="00D4105E" w:rsidRPr="00E14102" w:rsidRDefault="00D4105E" w:rsidP="00E14102">
      <w:pPr>
        <w:autoSpaceDE w:val="0"/>
        <w:autoSpaceDN w:val="0"/>
        <w:adjustRightInd w:val="0"/>
        <w:jc w:val="both"/>
        <w:rPr>
          <w:color w:val="000000" w:themeColor="text1"/>
          <w:sz w:val="16"/>
          <w:szCs w:val="16"/>
        </w:rPr>
      </w:pPr>
    </w:p>
    <w:p w14:paraId="55974E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1935-го “Конъюнктурный обзор” ГУЛАГа приводит следующие сведения: среднесписочный состав лагерного населения на октябрь 1934-го - 694 100 человек, на октябрь 1935-го - 828 800 человек, в том числе:</w:t>
      </w:r>
    </w:p>
    <w:p w14:paraId="28AB1E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Бамлаг 190 300 чел.</w:t>
      </w:r>
    </w:p>
    <w:p w14:paraId="47AF90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Дмитлаг 193 300 </w:t>
      </w:r>
    </w:p>
    <w:p w14:paraId="35385D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Волголаг 2300 </w:t>
      </w:r>
    </w:p>
    <w:p w14:paraId="4E768D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Белбалтлаг 82 000 </w:t>
      </w:r>
    </w:p>
    <w:p w14:paraId="352059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Ухтпечлаг 20 900 </w:t>
      </w:r>
    </w:p>
    <w:p w14:paraId="351634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Свирлаг 36 500 </w:t>
      </w:r>
    </w:p>
    <w:p w14:paraId="2FF1AA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Темлаг 21 100 </w:t>
      </w:r>
    </w:p>
    <w:p w14:paraId="6521E0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Дальлаг 70 200 </w:t>
      </w:r>
    </w:p>
    <w:p w14:paraId="5FAC38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Сиблаг 74 600 </w:t>
      </w:r>
    </w:p>
    <w:p w14:paraId="6CFC89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Сазлаг 29 400 </w:t>
      </w:r>
    </w:p>
    <w:p w14:paraId="2F3C9B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Карлаг 34 100 </w:t>
      </w:r>
    </w:p>
    <w:p w14:paraId="431D02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Прорвлаг 11 100 </w:t>
      </w:r>
    </w:p>
    <w:p w14:paraId="4AE392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Сарлаг 2500 </w:t>
      </w:r>
    </w:p>
    <w:p w14:paraId="176D59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Ветлаг 10 300 </w:t>
      </w:r>
    </w:p>
    <w:p w14:paraId="5917A6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Севвостлаг 47 700 </w:t>
      </w:r>
    </w:p>
    <w:p w14:paraId="7B5AB7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Вайгач 1300 </w:t>
      </w:r>
    </w:p>
    <w:p w14:paraId="6232AB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Норильсклаг 1200 </w:t>
      </w:r>
    </w:p>
    <w:p w14:paraId="4CFC02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828 800 человек (7560).</w:t>
      </w:r>
    </w:p>
    <w:p w14:paraId="7AFB345D" w14:textId="77777777" w:rsidR="00D4105E" w:rsidRPr="00E14102" w:rsidRDefault="00D4105E" w:rsidP="00E14102">
      <w:pPr>
        <w:autoSpaceDE w:val="0"/>
        <w:autoSpaceDN w:val="0"/>
        <w:adjustRightInd w:val="0"/>
        <w:jc w:val="both"/>
        <w:rPr>
          <w:color w:val="000000" w:themeColor="text1"/>
          <w:sz w:val="16"/>
          <w:szCs w:val="16"/>
        </w:rPr>
      </w:pPr>
    </w:p>
    <w:p w14:paraId="1214BC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Октябрь 1935 г. Решением правительства Цудортранс вместе с ГАИ передается в ведение НКВД СССР, в качестве одного из управлений (10303).</w:t>
      </w:r>
    </w:p>
    <w:p w14:paraId="409A4AC0" w14:textId="77777777" w:rsidR="00D4105E" w:rsidRPr="00E14102" w:rsidRDefault="00D4105E" w:rsidP="00E14102">
      <w:pPr>
        <w:autoSpaceDE w:val="0"/>
        <w:autoSpaceDN w:val="0"/>
        <w:adjustRightInd w:val="0"/>
        <w:jc w:val="both"/>
        <w:rPr>
          <w:color w:val="000000" w:themeColor="text1"/>
          <w:sz w:val="16"/>
          <w:szCs w:val="16"/>
        </w:rPr>
      </w:pPr>
    </w:p>
    <w:p w14:paraId="7A326D4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B975292" w14:textId="77777777" w:rsidR="00D4105E" w:rsidRPr="00E14102" w:rsidRDefault="00D4105E" w:rsidP="00E14102">
      <w:pPr>
        <w:autoSpaceDE w:val="0"/>
        <w:autoSpaceDN w:val="0"/>
        <w:adjustRightInd w:val="0"/>
        <w:jc w:val="both"/>
        <w:rPr>
          <w:iCs/>
          <w:color w:val="000000" w:themeColor="text1"/>
          <w:sz w:val="16"/>
          <w:szCs w:val="16"/>
        </w:rPr>
      </w:pPr>
    </w:p>
    <w:p w14:paraId="31A1B089" w14:textId="77777777" w:rsidR="00136D5A" w:rsidRPr="00E14102" w:rsidRDefault="00136D5A" w:rsidP="00E14102">
      <w:pPr>
        <w:jc w:val="both"/>
        <w:rPr>
          <w:color w:val="0070C0"/>
          <w:sz w:val="16"/>
          <w:szCs w:val="16"/>
        </w:rPr>
      </w:pPr>
      <w:r w:rsidRPr="00E14102">
        <w:rPr>
          <w:color w:val="0070C0"/>
          <w:sz w:val="16"/>
          <w:szCs w:val="16"/>
        </w:rPr>
        <w:t>В октябре 1935 Хелен Ричи, первая женщина - пилот для рейсовой авиакомпании, уходит в отставку с позиции в качестве первого офицера в Пенсильвании Центральной авиакомпании после 10 месяцев работы. Она нашла опыт унизительным: у нее было мало возможностей летать; пилоты-мужчины игнорировали ее или заставляли ее чувствовать себя неуютно в кабине, угрожали нанести удар и проголосовали за отказ от ее членства в Ассоциации пилотов авиалиний. Бюро полетов отказало ей в посадках при плохой погоде и поддержала запрос «профсоюз» пилотов на предел в три рейса в месяц для нее (20800).</w:t>
      </w:r>
    </w:p>
    <w:p w14:paraId="22FE3DC1" w14:textId="77777777" w:rsidR="00136D5A" w:rsidRPr="00E14102" w:rsidRDefault="00136D5A" w:rsidP="00E14102">
      <w:pPr>
        <w:jc w:val="both"/>
        <w:rPr>
          <w:color w:val="0070C0"/>
          <w:sz w:val="16"/>
          <w:szCs w:val="16"/>
        </w:rPr>
      </w:pPr>
    </w:p>
    <w:p w14:paraId="7747AF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После подавления восстания король А.Зогу назначил либеральное правительство во главе с известным националистом М.Фрашери. 1936 Распущено правительство М.Фрашери. Забастовка в г.Кучов (7594).</w:t>
      </w:r>
    </w:p>
    <w:p w14:paraId="1416B48C" w14:textId="77777777" w:rsidR="00D4105E" w:rsidRPr="00E14102" w:rsidRDefault="00D4105E" w:rsidP="00E14102">
      <w:pPr>
        <w:autoSpaceDE w:val="0"/>
        <w:autoSpaceDN w:val="0"/>
        <w:adjustRightInd w:val="0"/>
        <w:jc w:val="both"/>
        <w:rPr>
          <w:color w:val="000000" w:themeColor="text1"/>
          <w:sz w:val="16"/>
          <w:szCs w:val="16"/>
        </w:rPr>
      </w:pPr>
    </w:p>
    <w:p w14:paraId="461928D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E3F981E" w14:textId="77777777" w:rsidR="00D4105E" w:rsidRPr="00E14102" w:rsidRDefault="00D4105E" w:rsidP="00E14102">
      <w:pPr>
        <w:autoSpaceDE w:val="0"/>
        <w:autoSpaceDN w:val="0"/>
        <w:adjustRightInd w:val="0"/>
        <w:jc w:val="both"/>
        <w:rPr>
          <w:iCs/>
          <w:color w:val="000000" w:themeColor="text1"/>
          <w:sz w:val="16"/>
          <w:szCs w:val="16"/>
        </w:rPr>
      </w:pPr>
    </w:p>
    <w:p w14:paraId="78BB87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октябре-ноябре 1935 года, т.е. через год после его постройки, прошли первые испытания самолета Э-1, построенного в конце 1934 года. При приемке самолета на испытания, в нем были обнаружены некоторые скопления продуктов коррозии. После удаления этих продуктов коррозии поверхность была покрыта оксидной пленкой селенистой кислоты и дальнейшее наблюдение за самолетом не обнаружило увеличения коррозии, несмотря на пребывание машины в условиях влажной атмосферы осенней погоды. На испытаниях в период октября-ноября 1935 года было сделано 273 полета общей продолжительностью 23 часа, в том числе и полета на максимальной скорости. (Отчет 1935 года по экспериментальным испытаниям самолета Э-1 с мотором М-48). С конца 1935 года до середины 1937 года испытаний с самолетом не проводилось, причем самолет в этот период времени находился в различных условиях: в ангаре и под открытым небом. К концу 1937 года самолет был отремонтирован и участвовал в скоростных перелетах Москва-Севастополь. После этого до весны 1938 года самолет находился под открытым небом. Весной 1938 года самолет был перевезен на аэродром НИИ ВВС, где он был отремонтирован, оставшаяся покраска была смыта обычной смывкой, после чего в течение мая-июня с самолетом проводились дополнительные полетные испытания. К 5 июня было проведено 152 испытательных полетов на взлет-посадку (время 11 час. 45 мин.), после чего был проведен осмотр самолета (6749).</w:t>
      </w:r>
    </w:p>
    <w:p w14:paraId="4D4DC41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B6943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октябре-ноябре 1935 года, т.е. через год после его постройки были проведены первые испытания самолета Э-1. На испытаниях в период октября-ноября 1935 года было сделано 273 полета общей продолжительностью 23 часа.</w:t>
      </w:r>
    </w:p>
    <w:p w14:paraId="50537E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Э-1 был построен в конце 1934 года.</w:t>
      </w:r>
    </w:p>
    <w:p w14:paraId="2E2AE0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В ряду других машин легкомоторной авиации он не имеет каких-либо особых преимуществ.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 (По другим самолетам легкомоторной авиации это отношение колеблется от 0,156 до 0,341).</w:t>
      </w:r>
    </w:p>
    <w:p w14:paraId="3E05DD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Исходным материалом для изготовления самолета Э-1 был взят магниевый сплав типа "Электрон", следующего химического состава:</w:t>
      </w:r>
    </w:p>
    <w:p w14:paraId="020B27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алюминий – 66,5%</w:t>
      </w:r>
    </w:p>
    <w:p w14:paraId="0104F7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марганец – 0,5%</w:t>
      </w:r>
    </w:p>
    <w:p w14:paraId="368FBF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цинк – 0,8-1%</w:t>
      </w:r>
    </w:p>
    <w:p w14:paraId="43C3DD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магний – остальное</w:t>
      </w:r>
    </w:p>
    <w:p w14:paraId="4C26E3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электронные детали были обработаны хромпиком и покрыты лакокрасочным покрытием.</w:t>
      </w:r>
    </w:p>
    <w:p w14:paraId="0AEFF4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конца 1935 года до середины 1937 года испытаний с самолетом не производилось.</w:t>
      </w:r>
    </w:p>
    <w:p w14:paraId="328701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концу 1937 года самолет был отремонтирован и участвовал в скоростных перелетах Москва-Симферополь. Весной 1938 года самолет был перевезен на аэродром НИИ ВВС, где он был отремонтирован, после чего в течение мая-июня с самолетом проводились дополнительные полетные испытания.</w:t>
      </w:r>
    </w:p>
    <w:p w14:paraId="005056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51DBF4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от коррозии (хромпиковая оксидная пленка и лакокрасочное покрытие) (7755).</w:t>
      </w:r>
    </w:p>
    <w:p w14:paraId="013FB601"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0435F0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октябре-ноябре 1935 г. АН-1 в первый раз проходил государственные испытания, подтвердив номинальную мощность 750 л.с. и максимальную - 814 л.с. В ходе испытаний дизель смог проработать всего 50 ч. (9035).</w:t>
      </w:r>
    </w:p>
    <w:p w14:paraId="24581174" w14:textId="77777777" w:rsidR="00D4105E" w:rsidRPr="00E14102" w:rsidRDefault="00D4105E" w:rsidP="00E14102">
      <w:pPr>
        <w:autoSpaceDE w:val="0"/>
        <w:autoSpaceDN w:val="0"/>
        <w:adjustRightInd w:val="0"/>
        <w:jc w:val="both"/>
        <w:rPr>
          <w:color w:val="000000" w:themeColor="text1"/>
          <w:sz w:val="16"/>
          <w:szCs w:val="16"/>
        </w:rPr>
      </w:pPr>
    </w:p>
    <w:p w14:paraId="61A261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октябре — ноябре 1935 г. АН-1 прошел госиспытания. По их результатам предложили выпустить опытную партию из 35—40 дизелей. В конце 1936 г. двигатель проходил летные испытания (50 ч) на самолете АНТ-36 (РДД) — АНТ-25 (РД), переделанном под дизель. Впоследствии АН-1 неоднократно модифицировался, включая и не авиа</w:t>
      </w:r>
      <w:r w:rsidRPr="00E14102">
        <w:rPr>
          <w:color w:val="000000" w:themeColor="text1"/>
          <w:sz w:val="16"/>
          <w:szCs w:val="16"/>
        </w:rPr>
        <w:softHyphen/>
        <w:t>ционные варианты. В массовом производстве он не был, но различные модификации изготавливались небольшими опытными сериями. В общей сложности выпущено около 100 экз.</w:t>
      </w:r>
    </w:p>
    <w:p w14:paraId="2D9265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Характеристики:</w:t>
      </w:r>
    </w:p>
    <w:p w14:paraId="643C41A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12-цилиндровый, рядный У-образный дизель, четырехтактный, водя</w:t>
      </w:r>
      <w:r w:rsidRPr="00E14102">
        <w:rPr>
          <w:color w:val="000000" w:themeColor="text1"/>
          <w:sz w:val="16"/>
          <w:szCs w:val="16"/>
        </w:rPr>
        <w:softHyphen/>
        <w:t>ного охлаждения;</w:t>
      </w:r>
    </w:p>
    <w:p w14:paraId="76AF5C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объем 61,04 л;</w:t>
      </w:r>
    </w:p>
    <w:p w14:paraId="407DEEC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диаметр цилиндра/ход поршня 180/200 мм (в цилиндрах с прицепными шатунами 209,95 мм);</w:t>
      </w:r>
    </w:p>
    <w:p w14:paraId="3A3F12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степень сжатия 13,5;</w:t>
      </w:r>
    </w:p>
    <w:p w14:paraId="20AA25A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мощность и вес в зависимости от модификации. Известны следующие модификации:</w:t>
      </w:r>
    </w:p>
    <w:p w14:paraId="3A73BD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АН-1, первый опытный вариант, изготовлен летом 1933 г. Первона</w:t>
      </w:r>
      <w:r w:rsidRPr="00E14102">
        <w:rPr>
          <w:color w:val="000000" w:themeColor="text1"/>
          <w:sz w:val="16"/>
          <w:szCs w:val="16"/>
        </w:rPr>
        <w:softHyphen/>
        <w:t>чально не имел наддува, затем испытывался с односкоростным ПЦН конструкции П.И. Орлова. По плану заводские испытания предполага</w:t>
      </w:r>
      <w:r w:rsidRPr="00E14102">
        <w:rPr>
          <w:color w:val="000000" w:themeColor="text1"/>
          <w:sz w:val="16"/>
          <w:szCs w:val="16"/>
        </w:rPr>
        <w:softHyphen/>
        <w:t>лось начать 1 ноября 1933 г. В действительности АН-1 проходил ис-| пытания и доводку в 1933-1934 гг. Мощность 750/800 л.с. (фактиче-| ски на испытаниях добились 814 л.с.). Вес по заданию 950 кг, позднее поднятый до 975 кг, фактически 1003 кг, после доводки и внесения</w:t>
      </w:r>
    </w:p>
    <w:p w14:paraId="05303F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ряда местных усилений 1021 кг. В октябре — ноябре двигатель про</w:t>
      </w:r>
      <w:r w:rsidRPr="00E14102">
        <w:rPr>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E14102">
        <w:rPr>
          <w:color w:val="000000" w:themeColor="text1"/>
          <w:sz w:val="16"/>
          <w:szCs w:val="16"/>
        </w:rPr>
        <w:softHyphen/>
        <w:t>струкциям по удельному весу и имел большую лобовую площадь.</w:t>
      </w:r>
    </w:p>
    <w:p w14:paraId="271154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 АН-1А, модифицированный вариант 1936 г. с одно скоростным ПЦН. Проектировался и доводился под руководством Чаромского, после ареста последнего — Ф.Я. Тулупова. Форсирован по оборотам. Мощ</w:t>
      </w:r>
      <w:r w:rsidRPr="00E14102">
        <w:rPr>
          <w:color w:val="000000" w:themeColor="text1"/>
          <w:sz w:val="16"/>
          <w:szCs w:val="16"/>
        </w:rPr>
        <w:softHyphen/>
        <w:t>ность 850/900 л.с., вес 1040 кг. Первый раз выставлялся на госиспы</w:t>
      </w:r>
      <w:r w:rsidRPr="00E14102">
        <w:rPr>
          <w:color w:val="000000" w:themeColor="text1"/>
          <w:sz w:val="16"/>
          <w:szCs w:val="16"/>
        </w:rPr>
        <w:softHyphen/>
        <w:t>тания в 1936 г., но неудачно. В январе 1937 г. прошел госиспытания (100 ч), показав мощность 900/913 л.с. Изготовлена малая серия в мастерских ЦИАМ. В начале 1937 г. испытывался на ТБ-ЗД (испы</w:t>
      </w:r>
      <w:r w:rsidRPr="00E14102">
        <w:rPr>
          <w:color w:val="000000" w:themeColor="text1"/>
          <w:sz w:val="16"/>
          <w:szCs w:val="16"/>
        </w:rPr>
        <w:softHyphen/>
        <w:t>тания закончились катастрофой).</w:t>
      </w:r>
    </w:p>
    <w:p w14:paraId="5EEBE6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АН-1Р, редукторный вариант АН-1А. Разрабатывался параллельно с последним с 1936 г. Мощность 850/900 л.с., вес 1000 кг (по заданию). Прошел госиспытания на стенде в начале 1938 г., в том же году — летные испытания. В январе 1939 г. передан ЦИАМ для доработки. Предполагалось серийное производство АН-1Р на заводе № 82, но затем решили делать более позднюю модификацию — АН-1РТК.</w:t>
      </w:r>
    </w:p>
    <w:p w14:paraId="1AFEEC7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АН-1РТК, усовершенствованный вариант с турбонаддувом. Проекти</w:t>
      </w:r>
      <w:r w:rsidRPr="00E14102">
        <w:rPr>
          <w:color w:val="000000" w:themeColor="text1"/>
          <w:sz w:val="16"/>
          <w:szCs w:val="16"/>
        </w:rPr>
        <w:softHyphen/>
        <w:t>ровался с 1936 г. под руководством Чаромского, затем В.М. Яковле</w:t>
      </w:r>
      <w:r w:rsidRPr="00E14102">
        <w:rPr>
          <w:color w:val="000000" w:themeColor="text1"/>
          <w:sz w:val="16"/>
          <w:szCs w:val="16"/>
        </w:rPr>
        <w:softHyphen/>
        <w:t>ва. В январе 1938 г. АН-1РТК предъявили на госиспытания с двумя турбонагнетателями конструкции В.И. Дмитриевского и И.Е. Скляра и ПЦН Э-88. Мощность этого варианта 1000/1200 л.с. В 1939 г. дви</w:t>
      </w:r>
      <w:r w:rsidRPr="00E14102">
        <w:rPr>
          <w:color w:val="000000" w:themeColor="text1"/>
          <w:sz w:val="16"/>
          <w:szCs w:val="16"/>
        </w:rPr>
        <w:softHyphen/>
        <w:t>гатель проходил стендовые высотные испытания на Памире. В ходе Памирской экспедиции 1939 г. АН-1Р испытывали на передвижном стенде в высокогорье с тремя системами наддува: с турбокомпрес</w:t>
      </w:r>
      <w:r w:rsidRPr="00E14102">
        <w:rPr>
          <w:color w:val="000000" w:themeColor="text1"/>
          <w:sz w:val="16"/>
          <w:szCs w:val="16"/>
        </w:rPr>
        <w:softHyphen/>
        <w:t>сорами, с Э-88 и с комбинированной — два турбонагнетателя плюс ПЦН. Лучшим признали вариант с Э-88.</w:t>
      </w:r>
    </w:p>
    <w:p w14:paraId="40C1B5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1940 г. изготовлен вариант с измененной системой наддува, он имел четыре турбонагнетателя конструкции М.А. Кузьмина и И.Е. Скля</w:t>
      </w:r>
      <w:r w:rsidRPr="00E14102">
        <w:rPr>
          <w:color w:val="000000" w:themeColor="text1"/>
          <w:sz w:val="16"/>
          <w:szCs w:val="16"/>
        </w:rPr>
        <w:softHyphen/>
        <w:t>ра без ПЦН. Этот дизель имел мощность 1000/1250 л.с., вес 1100 кг. В 1940 г. готовился специальный вариант с приводом наддува гермо-кабины для планировавшегося кругосветного перелета М.М. Громова.</w:t>
      </w:r>
    </w:p>
    <w:p w14:paraId="6268FC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АН-1М, катерный вариант АН-1А с реверс-муфтой, без наддува и с агре</w:t>
      </w:r>
      <w:r w:rsidRPr="00E14102">
        <w:rPr>
          <w:color w:val="000000" w:themeColor="text1"/>
          <w:sz w:val="16"/>
          <w:szCs w:val="16"/>
        </w:rPr>
        <w:softHyphen/>
        <w:t>гатами от ГАМ-34. Мощность 850/950 л.с., вес 1350 кг. Создавался в кон</w:t>
      </w:r>
      <w:r w:rsidRPr="00E14102">
        <w:rPr>
          <w:color w:val="000000" w:themeColor="text1"/>
          <w:sz w:val="16"/>
          <w:szCs w:val="16"/>
        </w:rPr>
        <w:softHyphen/>
        <w:t>структорском бюро завода № 24 под руководством В.М. Яковлева с начала 1937 г. В 1939 г. прошел заводские испытания. В конце 1939 г. работу прекратили, поскольку наркомат ВМФ изменил требования задания. Модификация АН-1РТК послужила основой для более поздних дизелей М-30, М-40 и М-50. Разработки по АН-1Р использовали для проектирова</w:t>
      </w:r>
      <w:r w:rsidRPr="00E14102">
        <w:rPr>
          <w:color w:val="000000" w:themeColor="text1"/>
          <w:sz w:val="16"/>
          <w:szCs w:val="16"/>
        </w:rPr>
        <w:softHyphen/>
        <w:t>ния катерного М-50Р, строившегося серийно. Многие элементы конструк</w:t>
      </w:r>
      <w:r w:rsidRPr="00E14102">
        <w:rPr>
          <w:color w:val="000000" w:themeColor="text1"/>
          <w:sz w:val="16"/>
          <w:szCs w:val="16"/>
        </w:rPr>
        <w:softHyphen/>
        <w:t>ции АН-1 заимствовали в массовом танковом дизеле В-2.</w:t>
      </w:r>
    </w:p>
    <w:p w14:paraId="709A52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АН-1 проходил летные испытания на самолетах РДД и ТБ-ЗД (11852).</w:t>
      </w:r>
    </w:p>
    <w:p w14:paraId="6B5B887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18EE4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 ноябре 1935 года на И-5 опробовали английский прибор для выполнения надписей в небе. Он заряжался смесями, дававшими след белого, оранжевого, красного или зелёного цветов. Прибор ставился над нижним крылом слева. В полёте в его бак ёмкостью 50 л помпа-ветрянка нагнетала воздух. Добавочное давление создавалось при нагревании смеси. Эту штуковину собирались использовать на парадах и воздушных праздниках, рисуя буквы. След держался в воздухе несколько минут. Но сочли, что прибор громоздок и неудобен, сложен в обращении и имеет много других недостатков (11997).</w:t>
      </w:r>
    </w:p>
    <w:p w14:paraId="51EEF5EF" w14:textId="77777777" w:rsidR="00D4105E" w:rsidRPr="00E14102" w:rsidRDefault="00D4105E" w:rsidP="00E14102">
      <w:pPr>
        <w:autoSpaceDE w:val="0"/>
        <w:autoSpaceDN w:val="0"/>
        <w:adjustRightInd w:val="0"/>
        <w:jc w:val="both"/>
        <w:rPr>
          <w:color w:val="000000" w:themeColor="text1"/>
          <w:sz w:val="16"/>
          <w:szCs w:val="16"/>
        </w:rPr>
      </w:pPr>
    </w:p>
    <w:p w14:paraId="575DB12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06140FD" w14:textId="77777777" w:rsidR="00D4105E" w:rsidRPr="00E14102" w:rsidRDefault="00D4105E" w:rsidP="00E14102">
      <w:pPr>
        <w:autoSpaceDE w:val="0"/>
        <w:autoSpaceDN w:val="0"/>
        <w:adjustRightInd w:val="0"/>
        <w:jc w:val="both"/>
        <w:rPr>
          <w:iCs/>
          <w:color w:val="000000" w:themeColor="text1"/>
          <w:sz w:val="16"/>
          <w:szCs w:val="16"/>
        </w:rPr>
      </w:pPr>
    </w:p>
    <w:p w14:paraId="6E0709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ноябрю 1935 г. они вступили в строй собранные на Дальзаводе сторожевики Гром и Бурун, изготовленные на николаевском заводе и спущенные на воду в июне-сентябре 1934 (3898).</w:t>
      </w:r>
    </w:p>
    <w:p w14:paraId="1EFF44BA" w14:textId="77777777" w:rsidR="00D4105E" w:rsidRPr="00E14102" w:rsidRDefault="00D4105E" w:rsidP="00E14102">
      <w:pPr>
        <w:autoSpaceDE w:val="0"/>
        <w:autoSpaceDN w:val="0"/>
        <w:adjustRightInd w:val="0"/>
        <w:jc w:val="both"/>
        <w:rPr>
          <w:color w:val="000000" w:themeColor="text1"/>
          <w:sz w:val="16"/>
          <w:szCs w:val="16"/>
        </w:rPr>
      </w:pPr>
    </w:p>
    <w:p w14:paraId="41FC448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5DCAD6F" w14:textId="77777777" w:rsidR="00D4105E" w:rsidRPr="00E14102" w:rsidRDefault="00D4105E" w:rsidP="00E14102">
      <w:pPr>
        <w:autoSpaceDE w:val="0"/>
        <w:autoSpaceDN w:val="0"/>
        <w:adjustRightInd w:val="0"/>
        <w:jc w:val="both"/>
        <w:rPr>
          <w:iCs/>
          <w:color w:val="000000" w:themeColor="text1"/>
          <w:sz w:val="16"/>
          <w:szCs w:val="16"/>
        </w:rPr>
      </w:pPr>
    </w:p>
    <w:p w14:paraId="7DF6210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 ноября 1935 года С.В.И. писал Базилевичу</w:t>
      </w:r>
    </w:p>
    <w:p w14:paraId="665D57F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Посылая Вам настоящее письмо, прошу принять меня лично, так как я не имел возможности изложить в письме всех подробностей.</w:t>
      </w:r>
    </w:p>
    <w:p w14:paraId="2603891A"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 данный момент я лежу больной гриппом с 28 октября.</w:t>
      </w:r>
    </w:p>
    <w:p w14:paraId="70AF680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Как только поправлюсь, буду просить Вас принять меня в тот же день.</w:t>
      </w:r>
    </w:p>
    <w:p w14:paraId="143706F3"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Докладная записка</w:t>
      </w:r>
    </w:p>
    <w:p w14:paraId="1E125E7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Согласно плана опытного строительства утвержденного Правительством 14 июля 1934 года, заводу № 39 им. Менжинского было дано задание на двухмоторный бомбардировщик ближнего действия ББ (или иначе СБ) со сроком сдачи на госиспытания 1 ноября 1935 года.</w:t>
      </w:r>
    </w:p>
    <w:p w14:paraId="41BF9C7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На основании обстоятельных исследований и расчетов, спроектированный и уже строящийся бомбардировщик будет иметь следующие данные:</w:t>
      </w:r>
    </w:p>
    <w:p w14:paraId="6EE1ED1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на высоте 4500-5000 м – 410-425 км/час</w:t>
      </w:r>
    </w:p>
    <w:p w14:paraId="6C50D10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Дальность полета –1000-2000 км</w:t>
      </w:r>
    </w:p>
    <w:p w14:paraId="737120A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Бомбовая нагрузка – 600-1000 кг</w:t>
      </w:r>
    </w:p>
    <w:p w14:paraId="55FEE91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Потолок – 9700 м</w:t>
      </w:r>
    </w:p>
    <w:p w14:paraId="2F41987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Этот же бомбардировщик ближнего действия, на основании плана опытного строительства, утвержденного Правительством от апреля 1935 года развивается в бомбардировщик дальнего действия (таким образом оба типа объединяются в один), со сроком сдачи на госиспытания к 1 февраля 1936 года. Данные этого самолета будут следующие:</w:t>
      </w:r>
    </w:p>
    <w:p w14:paraId="0281BC2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на высоте 4500-5000 м – 400-415 км/час</w:t>
      </w:r>
    </w:p>
    <w:p w14:paraId="461D1317"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Дальность полета – 4500 км</w:t>
      </w:r>
    </w:p>
    <w:p w14:paraId="64724627"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Бомбовая нагрузка – 600-1000 кг</w:t>
      </w:r>
    </w:p>
    <w:p w14:paraId="0EFA2D1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Потолок – 9000 м</w:t>
      </w:r>
    </w:p>
    <w:p w14:paraId="2EA1C7C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 проектировании обоих самолетов были приняты соответствующие меры против вибрации крыльев и хвостового оперения. Кроме того, при проектировании, наряду с достижением высоких летных данных самолета, во всех его звеньях были приняты меры обеспечивающие надежность в эксплуатации.</w:t>
      </w:r>
    </w:p>
    <w:p w14:paraId="0F798B5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Внимательно наблюдая за движением авиационной техники за границей, в частности за развитием типов и конструкций самолетов, мы видим, что спроектированные нами самолеты стоят значительно выше, лучше иностранных бомбардировщиков этого типа.</w:t>
      </w:r>
    </w:p>
    <w:p w14:paraId="44E23F2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Сравнительная таблица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1417"/>
        <w:gridCol w:w="1560"/>
        <w:gridCol w:w="1417"/>
        <w:gridCol w:w="1418"/>
        <w:gridCol w:w="1559"/>
        <w:gridCol w:w="1559"/>
      </w:tblGrid>
      <w:tr w:rsidR="00E3599D" w:rsidRPr="00E14102" w14:paraId="20DBD02A" w14:textId="77777777">
        <w:trPr>
          <w:cantSplit/>
        </w:trPr>
        <w:tc>
          <w:tcPr>
            <w:tcW w:w="1526" w:type="dxa"/>
          </w:tcPr>
          <w:p w14:paraId="369C77E8"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Страна и название самолета</w:t>
            </w:r>
          </w:p>
        </w:tc>
        <w:tc>
          <w:tcPr>
            <w:tcW w:w="1417" w:type="dxa"/>
          </w:tcPr>
          <w:p w14:paraId="2BB0CB7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на высоте</w:t>
            </w:r>
          </w:p>
        </w:tc>
        <w:tc>
          <w:tcPr>
            <w:tcW w:w="1560" w:type="dxa"/>
          </w:tcPr>
          <w:p w14:paraId="387B237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Дальность полета</w:t>
            </w:r>
          </w:p>
        </w:tc>
        <w:tc>
          <w:tcPr>
            <w:tcW w:w="1417" w:type="dxa"/>
          </w:tcPr>
          <w:p w14:paraId="670CA11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Потолок</w:t>
            </w:r>
          </w:p>
        </w:tc>
        <w:tc>
          <w:tcPr>
            <w:tcW w:w="1418" w:type="dxa"/>
          </w:tcPr>
          <w:p w14:paraId="6A8DAC4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Бомбовая нагрузка</w:t>
            </w:r>
          </w:p>
        </w:tc>
        <w:tc>
          <w:tcPr>
            <w:tcW w:w="1559" w:type="dxa"/>
          </w:tcPr>
          <w:p w14:paraId="5817ECD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Химвооружение</w:t>
            </w:r>
          </w:p>
        </w:tc>
        <w:tc>
          <w:tcPr>
            <w:tcW w:w="1559" w:type="dxa"/>
          </w:tcPr>
          <w:p w14:paraId="28E629B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Источник сведений</w:t>
            </w:r>
          </w:p>
        </w:tc>
      </w:tr>
      <w:tr w:rsidR="00E3599D" w:rsidRPr="00E14102" w14:paraId="60470637" w14:textId="77777777">
        <w:trPr>
          <w:cantSplit/>
        </w:trPr>
        <w:tc>
          <w:tcPr>
            <w:tcW w:w="1526" w:type="dxa"/>
          </w:tcPr>
          <w:p w14:paraId="2BCD9DF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СССР</w:t>
            </w:r>
          </w:p>
        </w:tc>
        <w:tc>
          <w:tcPr>
            <w:tcW w:w="1417" w:type="dxa"/>
          </w:tcPr>
          <w:p w14:paraId="0A3119B8"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60" w:type="dxa"/>
          </w:tcPr>
          <w:p w14:paraId="18B4624A"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417" w:type="dxa"/>
          </w:tcPr>
          <w:p w14:paraId="5B2B7E6F"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418" w:type="dxa"/>
          </w:tcPr>
          <w:p w14:paraId="2E9E4217"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085A3710"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07FF17F7"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r>
      <w:tr w:rsidR="00E3599D" w:rsidRPr="00E14102" w14:paraId="7777501A" w14:textId="77777777">
        <w:trPr>
          <w:cantSplit/>
        </w:trPr>
        <w:tc>
          <w:tcPr>
            <w:tcW w:w="1526" w:type="dxa"/>
          </w:tcPr>
          <w:p w14:paraId="1FC6619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ББ2-2М85 1-й экз.</w:t>
            </w:r>
          </w:p>
        </w:tc>
        <w:tc>
          <w:tcPr>
            <w:tcW w:w="1417" w:type="dxa"/>
          </w:tcPr>
          <w:p w14:paraId="189BCAF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410-425/4500-5000</w:t>
            </w:r>
          </w:p>
        </w:tc>
        <w:tc>
          <w:tcPr>
            <w:tcW w:w="1560" w:type="dxa"/>
          </w:tcPr>
          <w:p w14:paraId="2BC6DE3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От 1000 до 2000 км</w:t>
            </w:r>
          </w:p>
        </w:tc>
        <w:tc>
          <w:tcPr>
            <w:tcW w:w="1417" w:type="dxa"/>
          </w:tcPr>
          <w:p w14:paraId="0746E3E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9700</w:t>
            </w:r>
          </w:p>
        </w:tc>
        <w:tc>
          <w:tcPr>
            <w:tcW w:w="1418" w:type="dxa"/>
          </w:tcPr>
          <w:p w14:paraId="45A2EB0A"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От 600 до 1000</w:t>
            </w:r>
          </w:p>
        </w:tc>
        <w:tc>
          <w:tcPr>
            <w:tcW w:w="1559" w:type="dxa"/>
          </w:tcPr>
          <w:p w14:paraId="161FC6B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ОВ 4 по 150</w:t>
            </w:r>
          </w:p>
        </w:tc>
        <w:tc>
          <w:tcPr>
            <w:tcW w:w="1559" w:type="dxa"/>
          </w:tcPr>
          <w:p w14:paraId="5C16F30E"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r>
      <w:tr w:rsidR="00E3599D" w:rsidRPr="00E14102" w14:paraId="15628D32" w14:textId="77777777">
        <w:trPr>
          <w:cantSplit/>
        </w:trPr>
        <w:tc>
          <w:tcPr>
            <w:tcW w:w="1526" w:type="dxa"/>
          </w:tcPr>
          <w:p w14:paraId="3748E47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ББ2-2М85 2-й экз.</w:t>
            </w:r>
          </w:p>
        </w:tc>
        <w:tc>
          <w:tcPr>
            <w:tcW w:w="1417" w:type="dxa"/>
          </w:tcPr>
          <w:p w14:paraId="027270B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400-415/4500-5000</w:t>
            </w:r>
          </w:p>
        </w:tc>
        <w:tc>
          <w:tcPr>
            <w:tcW w:w="1560" w:type="dxa"/>
          </w:tcPr>
          <w:p w14:paraId="7B5C00F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4500 км</w:t>
            </w:r>
          </w:p>
        </w:tc>
        <w:tc>
          <w:tcPr>
            <w:tcW w:w="1417" w:type="dxa"/>
          </w:tcPr>
          <w:p w14:paraId="139ECD3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9000</w:t>
            </w:r>
          </w:p>
        </w:tc>
        <w:tc>
          <w:tcPr>
            <w:tcW w:w="1418" w:type="dxa"/>
          </w:tcPr>
          <w:p w14:paraId="4E32B521"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От 600 до 1000</w:t>
            </w:r>
          </w:p>
        </w:tc>
        <w:tc>
          <w:tcPr>
            <w:tcW w:w="1559" w:type="dxa"/>
          </w:tcPr>
          <w:p w14:paraId="0A5B952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ОВ 4 по 125</w:t>
            </w:r>
          </w:p>
        </w:tc>
        <w:tc>
          <w:tcPr>
            <w:tcW w:w="1559" w:type="dxa"/>
          </w:tcPr>
          <w:p w14:paraId="76758454"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r>
      <w:tr w:rsidR="00E3599D" w:rsidRPr="00E14102" w14:paraId="257094AE" w14:textId="77777777">
        <w:trPr>
          <w:cantSplit/>
        </w:trPr>
        <w:tc>
          <w:tcPr>
            <w:tcW w:w="1526" w:type="dxa"/>
          </w:tcPr>
          <w:p w14:paraId="00CF6241"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Франция</w:t>
            </w:r>
          </w:p>
        </w:tc>
        <w:tc>
          <w:tcPr>
            <w:tcW w:w="1417" w:type="dxa"/>
          </w:tcPr>
          <w:p w14:paraId="2EF8F5BC"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60" w:type="dxa"/>
          </w:tcPr>
          <w:p w14:paraId="1FF807E3"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417" w:type="dxa"/>
          </w:tcPr>
          <w:p w14:paraId="09536599"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418" w:type="dxa"/>
          </w:tcPr>
          <w:p w14:paraId="5F6D5D68"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01A55788"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3F1BB80D"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r>
      <w:tr w:rsidR="00E3599D" w:rsidRPr="00E14102" w14:paraId="6B0854F8" w14:textId="77777777">
        <w:trPr>
          <w:cantSplit/>
        </w:trPr>
        <w:tc>
          <w:tcPr>
            <w:tcW w:w="1526" w:type="dxa"/>
          </w:tcPr>
          <w:p w14:paraId="6B04A0D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Бреге 460</w:t>
            </w:r>
          </w:p>
        </w:tc>
        <w:tc>
          <w:tcPr>
            <w:tcW w:w="1417" w:type="dxa"/>
          </w:tcPr>
          <w:p w14:paraId="2B9C2D5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385/4000</w:t>
            </w:r>
          </w:p>
        </w:tc>
        <w:tc>
          <w:tcPr>
            <w:tcW w:w="1560" w:type="dxa"/>
          </w:tcPr>
          <w:p w14:paraId="2183D0DA"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От 1000 до 2000 км</w:t>
            </w:r>
          </w:p>
        </w:tc>
        <w:tc>
          <w:tcPr>
            <w:tcW w:w="1417" w:type="dxa"/>
          </w:tcPr>
          <w:p w14:paraId="58EFECC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9500</w:t>
            </w:r>
          </w:p>
        </w:tc>
        <w:tc>
          <w:tcPr>
            <w:tcW w:w="1418" w:type="dxa"/>
          </w:tcPr>
          <w:p w14:paraId="075C316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От 750 до 1000</w:t>
            </w:r>
          </w:p>
        </w:tc>
        <w:tc>
          <w:tcPr>
            <w:tcW w:w="1559" w:type="dxa"/>
          </w:tcPr>
          <w:p w14:paraId="76DF96A7"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7AA36FE3"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L’Aeronautiqa № 1248 за 1935 год</w:t>
            </w:r>
          </w:p>
        </w:tc>
      </w:tr>
      <w:tr w:rsidR="00E3599D" w:rsidRPr="00E14102" w14:paraId="50CC2B31" w14:textId="77777777">
        <w:trPr>
          <w:cantSplit/>
        </w:trPr>
        <w:tc>
          <w:tcPr>
            <w:tcW w:w="1526" w:type="dxa"/>
          </w:tcPr>
          <w:p w14:paraId="39B0918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Фарман 420</w:t>
            </w:r>
          </w:p>
        </w:tc>
        <w:tc>
          <w:tcPr>
            <w:tcW w:w="1417" w:type="dxa"/>
          </w:tcPr>
          <w:p w14:paraId="45CB9D0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360/4000</w:t>
            </w:r>
          </w:p>
        </w:tc>
        <w:tc>
          <w:tcPr>
            <w:tcW w:w="1560" w:type="dxa"/>
          </w:tcPr>
          <w:p w14:paraId="2F538C67"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От 1000 до 1400 км</w:t>
            </w:r>
          </w:p>
        </w:tc>
        <w:tc>
          <w:tcPr>
            <w:tcW w:w="1417" w:type="dxa"/>
          </w:tcPr>
          <w:p w14:paraId="333E1F1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 xml:space="preserve">7500 </w:t>
            </w:r>
          </w:p>
        </w:tc>
        <w:tc>
          <w:tcPr>
            <w:tcW w:w="1418" w:type="dxa"/>
          </w:tcPr>
          <w:p w14:paraId="713C714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От 1000 до 1200</w:t>
            </w:r>
          </w:p>
        </w:tc>
        <w:tc>
          <w:tcPr>
            <w:tcW w:w="1559" w:type="dxa"/>
          </w:tcPr>
          <w:p w14:paraId="36D19CA9"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2273D557"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Les Ailes № 740 за 1935 год</w:t>
            </w:r>
          </w:p>
        </w:tc>
      </w:tr>
      <w:tr w:rsidR="00E3599D" w:rsidRPr="00E14102" w14:paraId="1F997E41" w14:textId="77777777">
        <w:trPr>
          <w:cantSplit/>
        </w:trPr>
        <w:tc>
          <w:tcPr>
            <w:tcW w:w="1526" w:type="dxa"/>
          </w:tcPr>
          <w:p w14:paraId="43A1E6A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Амио</w:t>
            </w:r>
          </w:p>
        </w:tc>
        <w:tc>
          <w:tcPr>
            <w:tcW w:w="1417" w:type="dxa"/>
          </w:tcPr>
          <w:p w14:paraId="351B0F3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385-400/4000</w:t>
            </w:r>
          </w:p>
        </w:tc>
        <w:tc>
          <w:tcPr>
            <w:tcW w:w="1560" w:type="dxa"/>
          </w:tcPr>
          <w:p w14:paraId="6A240D7E"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Не известны</w:t>
            </w:r>
          </w:p>
        </w:tc>
        <w:tc>
          <w:tcPr>
            <w:tcW w:w="1417" w:type="dxa"/>
          </w:tcPr>
          <w:p w14:paraId="04268A6C"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418" w:type="dxa"/>
          </w:tcPr>
          <w:p w14:paraId="5598F712"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684B6353"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2F2E55AC"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r>
      <w:tr w:rsidR="00E3599D" w:rsidRPr="00E14102" w14:paraId="754E2B47" w14:textId="77777777">
        <w:trPr>
          <w:cantSplit/>
        </w:trPr>
        <w:tc>
          <w:tcPr>
            <w:tcW w:w="1526" w:type="dxa"/>
          </w:tcPr>
          <w:p w14:paraId="5E8D442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Италия</w:t>
            </w:r>
          </w:p>
        </w:tc>
        <w:tc>
          <w:tcPr>
            <w:tcW w:w="1417" w:type="dxa"/>
          </w:tcPr>
          <w:p w14:paraId="6C7B6886"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60" w:type="dxa"/>
          </w:tcPr>
          <w:p w14:paraId="5565C1E8"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417" w:type="dxa"/>
          </w:tcPr>
          <w:p w14:paraId="3BCCCA68"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418" w:type="dxa"/>
          </w:tcPr>
          <w:p w14:paraId="3A7DCB8D"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06F6BCEA"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42BA0492"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r>
      <w:tr w:rsidR="00E3599D" w:rsidRPr="00E14102" w14:paraId="1BBB81F2" w14:textId="77777777">
        <w:trPr>
          <w:cantSplit/>
        </w:trPr>
        <w:tc>
          <w:tcPr>
            <w:tcW w:w="1526" w:type="dxa"/>
          </w:tcPr>
          <w:p w14:paraId="52DF459E"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Савойя 79</w:t>
            </w:r>
          </w:p>
        </w:tc>
        <w:tc>
          <w:tcPr>
            <w:tcW w:w="1417" w:type="dxa"/>
          </w:tcPr>
          <w:p w14:paraId="5A7E9DEE"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400/4000</w:t>
            </w:r>
          </w:p>
        </w:tc>
        <w:tc>
          <w:tcPr>
            <w:tcW w:w="1560" w:type="dxa"/>
          </w:tcPr>
          <w:p w14:paraId="467DA401"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1500</w:t>
            </w:r>
          </w:p>
        </w:tc>
        <w:tc>
          <w:tcPr>
            <w:tcW w:w="1417" w:type="dxa"/>
          </w:tcPr>
          <w:p w14:paraId="5D098D7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7100</w:t>
            </w:r>
          </w:p>
        </w:tc>
        <w:tc>
          <w:tcPr>
            <w:tcW w:w="1418" w:type="dxa"/>
          </w:tcPr>
          <w:p w14:paraId="5284AC33"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46CF138B"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112D8E5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Rivista Aeronautiqa за 1935 год</w:t>
            </w:r>
          </w:p>
        </w:tc>
      </w:tr>
      <w:tr w:rsidR="00E3599D" w:rsidRPr="00E14102" w14:paraId="2FB057A9" w14:textId="77777777">
        <w:trPr>
          <w:cantSplit/>
        </w:trPr>
        <w:tc>
          <w:tcPr>
            <w:tcW w:w="1526" w:type="dxa"/>
          </w:tcPr>
          <w:p w14:paraId="0374D39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Капрони 123</w:t>
            </w:r>
          </w:p>
        </w:tc>
        <w:tc>
          <w:tcPr>
            <w:tcW w:w="1417" w:type="dxa"/>
          </w:tcPr>
          <w:p w14:paraId="33E5336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340/2000</w:t>
            </w:r>
          </w:p>
        </w:tc>
        <w:tc>
          <w:tcPr>
            <w:tcW w:w="1560" w:type="dxa"/>
          </w:tcPr>
          <w:p w14:paraId="7AF29697"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1500</w:t>
            </w:r>
          </w:p>
        </w:tc>
        <w:tc>
          <w:tcPr>
            <w:tcW w:w="1417" w:type="dxa"/>
          </w:tcPr>
          <w:p w14:paraId="47880F53"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7500</w:t>
            </w:r>
          </w:p>
        </w:tc>
        <w:tc>
          <w:tcPr>
            <w:tcW w:w="1418" w:type="dxa"/>
          </w:tcPr>
          <w:p w14:paraId="49C0AF5B"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0014057D"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1B232E3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Les Ailes за 1935 год</w:t>
            </w:r>
          </w:p>
        </w:tc>
      </w:tr>
      <w:tr w:rsidR="00E3599D" w:rsidRPr="00E14102" w14:paraId="5EC8BE52" w14:textId="77777777">
        <w:trPr>
          <w:cantSplit/>
        </w:trPr>
        <w:tc>
          <w:tcPr>
            <w:tcW w:w="1526" w:type="dxa"/>
          </w:tcPr>
          <w:p w14:paraId="1B1FBC8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Англия</w:t>
            </w:r>
          </w:p>
        </w:tc>
        <w:tc>
          <w:tcPr>
            <w:tcW w:w="1417" w:type="dxa"/>
          </w:tcPr>
          <w:p w14:paraId="2B910BA5"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60" w:type="dxa"/>
          </w:tcPr>
          <w:p w14:paraId="76788909"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417" w:type="dxa"/>
          </w:tcPr>
          <w:p w14:paraId="092E2525"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418" w:type="dxa"/>
          </w:tcPr>
          <w:p w14:paraId="4A53AE1E"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074B9F27"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7B253E02"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r>
      <w:tr w:rsidR="00E3599D" w:rsidRPr="00E14102" w14:paraId="774361B3" w14:textId="77777777">
        <w:trPr>
          <w:cantSplit/>
        </w:trPr>
        <w:tc>
          <w:tcPr>
            <w:tcW w:w="1526" w:type="dxa"/>
          </w:tcPr>
          <w:p w14:paraId="563A49B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Авро 652</w:t>
            </w:r>
          </w:p>
        </w:tc>
        <w:tc>
          <w:tcPr>
            <w:tcW w:w="1417" w:type="dxa"/>
          </w:tcPr>
          <w:p w14:paraId="152A1FD0"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60" w:type="dxa"/>
          </w:tcPr>
          <w:p w14:paraId="0C13227E"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417" w:type="dxa"/>
          </w:tcPr>
          <w:p w14:paraId="551EEA87"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418" w:type="dxa"/>
          </w:tcPr>
          <w:p w14:paraId="1E182412"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1F2C9704"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0CAA2B14"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r>
      <w:tr w:rsidR="00E3599D" w:rsidRPr="00E14102" w14:paraId="20741CCF" w14:textId="77777777">
        <w:trPr>
          <w:cantSplit/>
        </w:trPr>
        <w:tc>
          <w:tcPr>
            <w:tcW w:w="1526" w:type="dxa"/>
          </w:tcPr>
          <w:p w14:paraId="6F07FC2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Бристол 142</w:t>
            </w:r>
          </w:p>
        </w:tc>
        <w:tc>
          <w:tcPr>
            <w:tcW w:w="1417" w:type="dxa"/>
          </w:tcPr>
          <w:p w14:paraId="20611BD8"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400</w:t>
            </w:r>
          </w:p>
        </w:tc>
        <w:tc>
          <w:tcPr>
            <w:tcW w:w="1560" w:type="dxa"/>
          </w:tcPr>
          <w:p w14:paraId="4875DF7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Не известны</w:t>
            </w:r>
          </w:p>
        </w:tc>
        <w:tc>
          <w:tcPr>
            <w:tcW w:w="1417" w:type="dxa"/>
          </w:tcPr>
          <w:p w14:paraId="6D09F82C"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418" w:type="dxa"/>
          </w:tcPr>
          <w:p w14:paraId="32828F12"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55B76C58"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78C45EC1"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Les Ailes за 1935 год</w:t>
            </w:r>
          </w:p>
        </w:tc>
      </w:tr>
      <w:tr w:rsidR="00E3599D" w:rsidRPr="00E14102" w14:paraId="13ACE128" w14:textId="77777777">
        <w:trPr>
          <w:cantSplit/>
        </w:trPr>
        <w:tc>
          <w:tcPr>
            <w:tcW w:w="1526" w:type="dxa"/>
          </w:tcPr>
          <w:p w14:paraId="2181ED1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САСШ</w:t>
            </w:r>
          </w:p>
        </w:tc>
        <w:tc>
          <w:tcPr>
            <w:tcW w:w="1417" w:type="dxa"/>
          </w:tcPr>
          <w:p w14:paraId="1070840A"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60" w:type="dxa"/>
          </w:tcPr>
          <w:p w14:paraId="47862576"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417" w:type="dxa"/>
          </w:tcPr>
          <w:p w14:paraId="0057F1B1"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418" w:type="dxa"/>
          </w:tcPr>
          <w:p w14:paraId="48DFD443"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4DDEFAB0"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7E440CD2"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r>
      <w:tr w:rsidR="00E3599D" w:rsidRPr="00E14102" w14:paraId="58286B80" w14:textId="77777777">
        <w:trPr>
          <w:cantSplit/>
        </w:trPr>
        <w:tc>
          <w:tcPr>
            <w:tcW w:w="1526" w:type="dxa"/>
          </w:tcPr>
          <w:p w14:paraId="6A46819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..рнелли ИВ14</w:t>
            </w:r>
          </w:p>
        </w:tc>
        <w:tc>
          <w:tcPr>
            <w:tcW w:w="1417" w:type="dxa"/>
          </w:tcPr>
          <w:p w14:paraId="2DE6515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361/3000</w:t>
            </w:r>
          </w:p>
        </w:tc>
        <w:tc>
          <w:tcPr>
            <w:tcW w:w="1560" w:type="dxa"/>
          </w:tcPr>
          <w:p w14:paraId="77CAC453"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1000</w:t>
            </w:r>
          </w:p>
        </w:tc>
        <w:tc>
          <w:tcPr>
            <w:tcW w:w="1417" w:type="dxa"/>
          </w:tcPr>
          <w:p w14:paraId="38DAA8E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6700</w:t>
            </w:r>
          </w:p>
        </w:tc>
        <w:tc>
          <w:tcPr>
            <w:tcW w:w="1418" w:type="dxa"/>
          </w:tcPr>
          <w:p w14:paraId="378F60D8"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128302A8" w14:textId="77777777" w:rsidR="00D4105E" w:rsidRPr="00E14102" w:rsidRDefault="00D4105E" w:rsidP="00E14102">
            <w:pPr>
              <w:tabs>
                <w:tab w:val="left" w:pos="567"/>
              </w:tabs>
              <w:autoSpaceDE w:val="0"/>
              <w:autoSpaceDN w:val="0"/>
              <w:adjustRightInd w:val="0"/>
              <w:jc w:val="both"/>
              <w:rPr>
                <w:color w:val="000000" w:themeColor="text1"/>
                <w:sz w:val="16"/>
                <w:szCs w:val="16"/>
              </w:rPr>
            </w:pPr>
          </w:p>
        </w:tc>
        <w:tc>
          <w:tcPr>
            <w:tcW w:w="1559" w:type="dxa"/>
          </w:tcPr>
          <w:p w14:paraId="4709A5B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Aviation, сентябрь 1935 года</w:t>
            </w:r>
          </w:p>
        </w:tc>
      </w:tr>
    </w:tbl>
    <w:p w14:paraId="21B0E28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lastRenderedPageBreak/>
        <w:t>Нужны ли нашей стране самолеты с такими данными? Нужны ли нашей стране самолеты в основу проектирования которых положено условие надежности эксплуатации?</w:t>
      </w:r>
    </w:p>
    <w:p w14:paraId="19EFCE8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Не может быть двух мнений о том, что такие самолеты нужны нашей стране.</w:t>
      </w:r>
    </w:p>
    <w:p w14:paraId="1FD3F22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Разве было плохо, если бы наше Правительство могло выбирать из нескольких опытных образцов лучший для постройки в серии?</w:t>
      </w:r>
    </w:p>
    <w:p w14:paraId="20FEAB53"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Именно с этой целью и дано задание заводу № 39 по бомбардировщикам.</w:t>
      </w:r>
    </w:p>
    <w:p w14:paraId="64FF561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Возникает вопрос: почему завод № 39 не выполняет прямого Правительственного задания?</w:t>
      </w:r>
    </w:p>
    <w:p w14:paraId="32974A8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Ответ на этот вопрос состоит в том, что руководители ГУАПа Королев и Марголин (а Марголин в одно и то же время и директор 39 завода) не желают исполнять задание по этим самолетам. Это их отношение передается на завод, а отсюда и соответствующее отношение на заводе.</w:t>
      </w:r>
    </w:p>
    <w:p w14:paraId="711345D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 доказательство можно было привести десятки безобразнейших, ничем не оправдываемых фактов задержки постройки самолетов. По месяцам задерживается подача деталей, по месяцам стоят без движения целые агрегаты самолета, причем самое замечательное состоит в том, что за все это никто не несет никакой ответственности. Да это и неудивительно, так как никто не спрашивает и никто не интересуется сроками машин.</w:t>
      </w:r>
    </w:p>
    <w:p w14:paraId="0B6BC578"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Между тем, на заводе № 39 имелись все необходимые и достаточные условия для выпуска этих самолетов в срок: 1-го экземпляра на заводские испытания 1 сентября 1935 года, а 2-го экземпляра 1 декабря 1935 года.</w:t>
      </w:r>
    </w:p>
    <w:p w14:paraId="4083371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Сегодня подошел срок сдачи первого экземпляра на госиспытания, но самолет еще не готов и нет точного срока, когда он выйдет.</w:t>
      </w:r>
    </w:p>
    <w:p w14:paraId="04E4D3B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Во всяком случае, самолет в этом году выпущен не будет.</w:t>
      </w:r>
    </w:p>
    <w:p w14:paraId="599B822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Что же касается 2-го экземпляра самолета с большой дальностью действия, который должен выйти на заводские испытания 1-го декабря, то о нем вообще очень трудно сказать, когда он выйдет.</w:t>
      </w:r>
    </w:p>
    <w:p w14:paraId="3DDBF39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Рабочие чертежи по обоим самолетам были сданы на производство: по 1 экземпляру с 1-го марта по 1 мая 1935 года. Таким образом, для производства имелся срок (с 1 марта по 1 сентября) шесть месяцев, срок более чем достаточный.</w:t>
      </w:r>
    </w:p>
    <w:p w14:paraId="3A1DE71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2-й экземпляр самолета на 70% строится по чертежам первого экземпляра. Новые чертежи 30% были сданы к 1 августа, точно также, срок вполне достаточный.</w:t>
      </w:r>
    </w:p>
    <w:p w14:paraId="283820E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Повторяю: завод 3 39 имел все необходимые и достаточные условия для того, чтобы выполнить задание Правительства по этим самолетам в срок.</w:t>
      </w:r>
    </w:p>
    <w:p w14:paraId="0C52D77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Все наши требования и нажимы на руководство заводом (Марголин и Леонтьев) в отношении ускорения и постройки самолетов в срок, остались безрезультатными. Мы не могли пробить стены равнодушия и незаинтересованности выпустить эти машины в срок, о чем со всей ответственностью считаю необходимым сообщить Вам и просить доложить этот вопрос председателю СТО Молотову В.М. (3475,168-176).</w:t>
      </w:r>
    </w:p>
    <w:p w14:paraId="6120EE1C"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475B88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г. С.В.Ильюшин направил на имя секретаря Совета Труда и Обороны СССР Базилевича докладную записку (вх. № 2871 от 02.11.35 г.), в которой писал о безобразном отношении руководителей ГУАП и завода № 39 Королева, Марголина и Леонтьева к выполнению Правительственного задания по постройке самолетов ЦКБ-26 и ЦКБ-30. Несмотря на то, что чертежи по ЦКБ-26 были сданы 39-му заводу до 1 мая 1935 г., а по ЦКБ-30 - до 1 августа, завод к постройке самолетов к 1 ноября 1935 г. практически понастоящему не приступил.</w:t>
      </w:r>
    </w:p>
    <w:p w14:paraId="1D7D74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Плана Опытного строительства, утвержденного Правительством 14 июля 1934 г., заводу № 39 им. т. Менжинского было дано задание на двухмоторный бомбардировщик ближнего действия ББ (или иначе СБ) со сроком сдачи на Государственные испытания 1 ноября 1935 г.</w:t>
      </w:r>
    </w:p>
    <w:p w14:paraId="70E7EF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...Этот же бомбардировщик ближнего действия, на основании Плана опытного строительства, утвержденного Правительством от апреля 1935 г., развивается в бомбардировщик дальнего действия (таким образом, оба типа объединяются в один), со сроком сдачи на Государственные испытания к 1 февраля 1936 г.</w:t>
      </w:r>
    </w:p>
    <w:p w14:paraId="0CDB2D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...Рабочие чертежи по обоим самолетам были сданы на производство: по 1 экземпляру с 1-го марта по 1 мая 1935 г. Таким образом, для производства имелся срок (с 1.3. по 1.9) шесть месяцев. Срок более чем достаточный. 2-й экземпляр самолета на 70% строится по чертежам первого ЦКБ-26 самолета экземпляра. Новые чертежи на 30% были сданы к 1 августа. Точно так же срок вполне достаточный.</w:t>
      </w:r>
    </w:p>
    <w:p w14:paraId="4F7BF5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Повторяю: Завод 39 имел все необходимые и достаточные условия, для того чтобы выполнить Задание Правительства по этим самолетам в срок.</w:t>
      </w:r>
    </w:p>
    <w:p w14:paraId="618C6E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наши требования и нажимы на руководство Заводом (т. Марголин и т. Леонтьев) в отношении ускорения постройки самолетов в срок - остались безрезультатными. Мы не могли пробить стены равнодушия и не-за и н тересова н н ост и в ы пуст и т ь эт и машины в срок, о чем со всей ответственностью считаю необходимым сообщить Вам и просить доложить этот вопрос Председателю Совета Труда и Обороны СССР т. Молотову В. М. Нач. 3 конструкт, бригады зав. No 39 Сер. Ильюшин. 1.11.35. NQ 2/ ее" (9501).</w:t>
      </w:r>
    </w:p>
    <w:p w14:paraId="637036E5" w14:textId="77777777" w:rsidR="00D4105E" w:rsidRPr="00E14102" w:rsidRDefault="00D4105E" w:rsidP="00E14102">
      <w:pPr>
        <w:autoSpaceDE w:val="0"/>
        <w:autoSpaceDN w:val="0"/>
        <w:adjustRightInd w:val="0"/>
        <w:jc w:val="both"/>
        <w:rPr>
          <w:color w:val="000000" w:themeColor="text1"/>
          <w:sz w:val="16"/>
          <w:szCs w:val="16"/>
        </w:rPr>
      </w:pPr>
    </w:p>
    <w:p w14:paraId="62F6CE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ноября 1935 через военную приемку прошли 57 моторов М-85. Не хватало импортных магнето. Советское ВМ-14, которое должно было заменить французский оригинал, до конца года так и не было доведено до рабо</w:t>
      </w:r>
      <w:r w:rsidRPr="00E14102">
        <w:rPr>
          <w:color w:val="000000" w:themeColor="text1"/>
          <w:sz w:val="16"/>
          <w:szCs w:val="16"/>
        </w:rPr>
        <w:softHyphen/>
        <w:t>тоспособного состояния. Велик был брак клапанных пружин. В октябре 1935 г. М-85 впервые выставили на 100-часовые стендовые госиспыта</w:t>
      </w:r>
      <w:r w:rsidRPr="00E14102">
        <w:rPr>
          <w:color w:val="000000" w:themeColor="text1"/>
          <w:sz w:val="16"/>
          <w:szCs w:val="16"/>
        </w:rPr>
        <w:softHyphen/>
        <w:t>ния в НИИ ВВС. Но последовали две аварии подряд. 8 декабря 1935 г. на испытания предъявили два новых мотора, которые прошли испытания с оценкой «удовлетворительно». Советская копия соответствовала ори</w:t>
      </w:r>
      <w:r w:rsidRPr="00E14102">
        <w:rPr>
          <w:color w:val="000000" w:themeColor="text1"/>
          <w:sz w:val="16"/>
          <w:szCs w:val="16"/>
        </w:rPr>
        <w:softHyphen/>
        <w:t>гиналу по мощности и расходу топлива, но отличалась большим рас</w:t>
      </w:r>
      <w:r w:rsidRPr="00E14102">
        <w:rPr>
          <w:color w:val="000000" w:themeColor="text1"/>
          <w:sz w:val="16"/>
          <w:szCs w:val="16"/>
        </w:rPr>
        <w:softHyphen/>
        <w:t>ходом масла и имела существенно более низкий межремонтный ресурс. ГУА.П требовало от завода 150 часов, завод официально заявлял о ре</w:t>
      </w:r>
      <w:r w:rsidRPr="00E14102">
        <w:rPr>
          <w:color w:val="000000" w:themeColor="text1"/>
          <w:sz w:val="16"/>
          <w:szCs w:val="16"/>
        </w:rPr>
        <w:softHyphen/>
        <w:t>сурсе 100 часов. Фактически же в воинских частях М-85 ранних серий вырабатывали 50-60 часов. Мотор М-85 был хорош для 1933 г., но для конца 1935 г. он уже не</w:t>
      </w:r>
      <w:r w:rsidRPr="00E14102">
        <w:rPr>
          <w:color w:val="000000" w:themeColor="text1"/>
          <w:sz w:val="16"/>
          <w:szCs w:val="16"/>
        </w:rPr>
        <w:softHyphen/>
        <w:t>сколько устарел. Началась модернизация конструкции, которая привела к созданию довольно большого семейства двигателей на его базе. Этот процесс был своеобразен тем, что на разных стадиях им руководили со</w:t>
      </w:r>
      <w:r w:rsidRPr="00E14102">
        <w:rPr>
          <w:color w:val="000000" w:themeColor="text1"/>
          <w:sz w:val="16"/>
          <w:szCs w:val="16"/>
        </w:rPr>
        <w:softHyphen/>
        <w:t>вершенно разные люди, зачастую ранее не имевшие никакого отношения к работам по М-85 и его «потомкам». Если совершенствование М-25 от начала до конца вел А.Д. Швецов, аналогичную работу по М-100 — В.Я. Климов, то в Запорожье за этот период сменилось около десятка главных конструкторов. Для дальнейшего совершенствования М-85 еще 1 января 1935 г. сфор</w:t>
      </w:r>
      <w:r w:rsidRPr="00E14102">
        <w:rPr>
          <w:color w:val="000000" w:themeColor="text1"/>
          <w:sz w:val="16"/>
          <w:szCs w:val="16"/>
        </w:rPr>
        <w:softHyphen/>
        <w:t>мировали ОКБ-29, руководимое А.С. Назаровым. Назаров к этому време</w:t>
      </w:r>
      <w:r w:rsidRPr="00E14102">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E14102">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E14102">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Назарова возник серьезный конфликт с подчинен</w:t>
      </w:r>
      <w:r w:rsidRPr="00E14102">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E14102">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E14102">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E14102">
        <w:rPr>
          <w:color w:val="000000" w:themeColor="text1"/>
          <w:sz w:val="16"/>
          <w:szCs w:val="16"/>
        </w:rPr>
        <w:softHyphen/>
        <w:t>ным нагнетателем» и исходно не предусматривала внесения других изме</w:t>
      </w:r>
      <w:r w:rsidRPr="00E14102">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E14102">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E14102">
        <w:rPr>
          <w:color w:val="000000" w:themeColor="text1"/>
          <w:sz w:val="16"/>
          <w:szCs w:val="16"/>
        </w:rPr>
        <w:softHyphen/>
        <w:t>стояло довести до серийного производства М-87 и двигатель с двухско</w:t>
      </w:r>
      <w:r w:rsidRPr="00E14102">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E14102">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E14102">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E14102">
        <w:rPr>
          <w:color w:val="000000" w:themeColor="text1"/>
          <w:sz w:val="16"/>
          <w:szCs w:val="16"/>
        </w:rPr>
        <w:softHyphen/>
        <w:t>енную приемку. До конца года сдали 711 таких двигателей. Старые М-85 и М-86 строить перестали (11852).</w:t>
      </w:r>
    </w:p>
    <w:p w14:paraId="315CE023" w14:textId="77777777" w:rsidR="00D4105E" w:rsidRPr="00E14102" w:rsidRDefault="00D4105E" w:rsidP="00E14102">
      <w:pPr>
        <w:autoSpaceDE w:val="0"/>
        <w:autoSpaceDN w:val="0"/>
        <w:adjustRightInd w:val="0"/>
        <w:jc w:val="both"/>
        <w:rPr>
          <w:color w:val="000000" w:themeColor="text1"/>
          <w:sz w:val="16"/>
          <w:szCs w:val="16"/>
        </w:rPr>
      </w:pPr>
    </w:p>
    <w:p w14:paraId="530F7E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отчет по гос. испытаниям самолета ТБ3-4М34РН был рассмотрен совместно НИИ и военпредами и потом был переработан ввиду того, что отчет по испытаниям, а также выводы и заключение являлись неприемлемыми, поскольку в них требовалось до передачи самолетов в строй устранение более чем 200 дефектов, из которых ряд не являются серьезными, но требовали больших переделок в конструкции самолета. Испытания самолета были проведены НИИ очень полно (3120).</w:t>
      </w:r>
    </w:p>
    <w:p w14:paraId="14684790" w14:textId="77777777" w:rsidR="00D4105E" w:rsidRPr="00E14102" w:rsidRDefault="00D4105E" w:rsidP="00E14102">
      <w:pPr>
        <w:autoSpaceDE w:val="0"/>
        <w:autoSpaceDN w:val="0"/>
        <w:adjustRightInd w:val="0"/>
        <w:jc w:val="both"/>
        <w:rPr>
          <w:color w:val="000000" w:themeColor="text1"/>
          <w:sz w:val="16"/>
          <w:szCs w:val="16"/>
        </w:rPr>
      </w:pPr>
    </w:p>
    <w:p w14:paraId="7F8E102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ноября 1935 года вышел Приказ НИИ ВС № 0600 О проведении экспериментальных испытаний соединения “ЗВЕНО” (ТБ3-4М17+2И16+3И5+ЗЕТ) совместно с заводом № 22 (6815, 193-194).</w:t>
      </w:r>
    </w:p>
    <w:p w14:paraId="080F059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355F5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были выполнены 1-й полет по маршруту Москва-Ногинск. Стрельба в воздухе и 2-й полет по маршруту Москва-Ногинск. Стрельба в воздухе (3081).</w:t>
      </w:r>
    </w:p>
    <w:p w14:paraId="53B35252" w14:textId="77777777" w:rsidR="00D4105E" w:rsidRPr="00E14102" w:rsidRDefault="00D4105E" w:rsidP="00E14102">
      <w:pPr>
        <w:autoSpaceDE w:val="0"/>
        <w:autoSpaceDN w:val="0"/>
        <w:adjustRightInd w:val="0"/>
        <w:jc w:val="both"/>
        <w:rPr>
          <w:color w:val="000000" w:themeColor="text1"/>
          <w:sz w:val="16"/>
          <w:szCs w:val="16"/>
        </w:rPr>
      </w:pPr>
    </w:p>
    <w:p w14:paraId="2169E39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64CDC7D" w14:textId="77777777" w:rsidR="00D4105E" w:rsidRPr="00E14102" w:rsidRDefault="00D4105E" w:rsidP="00E14102">
      <w:pPr>
        <w:autoSpaceDE w:val="0"/>
        <w:autoSpaceDN w:val="0"/>
        <w:adjustRightInd w:val="0"/>
        <w:jc w:val="both"/>
        <w:rPr>
          <w:iCs/>
          <w:color w:val="000000" w:themeColor="text1"/>
          <w:sz w:val="16"/>
          <w:szCs w:val="16"/>
        </w:rPr>
      </w:pPr>
    </w:p>
    <w:p w14:paraId="7DB38F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года на НИАП поступил опытный образец 76-мм полууниверсальной пушки Л-4 КБ Кировского завода. Испытания были начаты в том же месяце, но по разным причинам затянулись. Так например, на 1 мая 1936 года еще не был доведен прицел. Полная длина ствола пушки Л-4 была 45 клб. Вес ствола с затвором 410 кг. Угол ВН 5; +68, угол ГН 60. Откат переменный: при +68 525 мм, а при 0 1250 мм. Высота линии огня 1118 мм, ширина хода 1546 мм, диаметр колес 1200 мм. Пушка получилась довольно легкой: вес качающейся части 598 кг, а всей системы в боевом положении 1560 кг. При весе снаряда 7,1 кг вес и весе заряда 1,7 кг начальная скорость 750 м/с. Понятно, что камора и гильза были более мощные, чем у пушки обр. 1902 г (3861).</w:t>
      </w:r>
    </w:p>
    <w:p w14:paraId="6CA5ACA6" w14:textId="77777777" w:rsidR="00D4105E" w:rsidRPr="00E14102" w:rsidRDefault="00D4105E" w:rsidP="00E14102">
      <w:pPr>
        <w:autoSpaceDE w:val="0"/>
        <w:autoSpaceDN w:val="0"/>
        <w:adjustRightInd w:val="0"/>
        <w:jc w:val="both"/>
        <w:rPr>
          <w:color w:val="000000" w:themeColor="text1"/>
          <w:sz w:val="16"/>
          <w:szCs w:val="16"/>
        </w:rPr>
      </w:pPr>
    </w:p>
    <w:p w14:paraId="2ADD3A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по 15 ноября 1935 года на Лужском полигоне были проведены войсковые испытания 122-мм пушки А-19. В заключении комиссии сказано, что 122-мм пушка обр. 1931 г. может быть принята на вооружение, но надо ее испытать в зимних условиях (3861).</w:t>
      </w:r>
    </w:p>
    <w:p w14:paraId="041F736F" w14:textId="77777777" w:rsidR="00D4105E" w:rsidRPr="00E14102" w:rsidRDefault="00D4105E" w:rsidP="00E14102">
      <w:pPr>
        <w:autoSpaceDE w:val="0"/>
        <w:autoSpaceDN w:val="0"/>
        <w:adjustRightInd w:val="0"/>
        <w:jc w:val="both"/>
        <w:rPr>
          <w:color w:val="000000" w:themeColor="text1"/>
          <w:sz w:val="16"/>
          <w:szCs w:val="16"/>
        </w:rPr>
      </w:pPr>
    </w:p>
    <w:p w14:paraId="459C123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F746862" w14:textId="77777777" w:rsidR="00D4105E" w:rsidRPr="00E14102" w:rsidRDefault="00D4105E" w:rsidP="00E14102">
      <w:pPr>
        <w:autoSpaceDE w:val="0"/>
        <w:autoSpaceDN w:val="0"/>
        <w:adjustRightInd w:val="0"/>
        <w:jc w:val="both"/>
        <w:rPr>
          <w:iCs/>
          <w:color w:val="000000" w:themeColor="text1"/>
          <w:sz w:val="16"/>
          <w:szCs w:val="16"/>
        </w:rPr>
      </w:pPr>
    </w:p>
    <w:p w14:paraId="7FD530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г. была подготовлена записка № 57495</w:t>
      </w:r>
    </w:p>
    <w:p w14:paraId="30A8C7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СЕКРЕТАРЮ ЦК ВКП(б) </w:t>
      </w:r>
    </w:p>
    <w:p w14:paraId="55E7AE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Тов. Сталину</w:t>
      </w:r>
    </w:p>
    <w:p w14:paraId="340F30DA"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Резолюция Сталина: Никого не арестовывать</w:t>
      </w:r>
    </w:p>
    <w:p w14:paraId="45D1FC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Агентурными и следственными данными установлено, что швейцар германского посольства, гражданин СССР, Шульц А.И. является резидентом “Союза Зарубежных Немцев” и по поручению этой организации ведет фашистскую и шпионскую работу.</w:t>
      </w:r>
    </w:p>
    <w:p w14:paraId="23CBDF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1933, 1934 и 1935 гг. в Москве и Саратове ликвидирован ряд фашистских группировок, созданных Шульцем. Контнрреволюционные группы вели по поручению Шульца террористическую пропаганду и доставляли ему контрреволюционную клеветническую информацию о положении в СССР.</w:t>
      </w:r>
    </w:p>
    <w:p w14:paraId="5F411F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Установлено, что Шульц до последнего времени продолжает контрреволцюионную работу.</w:t>
      </w:r>
    </w:p>
    <w:p w14:paraId="6057C0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нами арестованы две фашистских группы, созданные Шульцем в Москве и в Саратове. Следствие целиком подтверждает руководящую роль Шульца в создании фашистских кадров и шпионаже.</w:t>
      </w:r>
    </w:p>
    <w:p w14:paraId="21866C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нашим данным германское посольство предложило Шульцу принять меры к получению подробной информации о “принудительном” труде в СССР (дислокация исправительно-трудовых лагерей, письма из лагерей, фото-материал и т.п.). Наличие у германского посольства такого рода заданий из Берлина подтверждено документально.</w:t>
      </w:r>
    </w:p>
    <w:p w14:paraId="3CF207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этим, нами арестовывается сеть доверенных лиц Шульца (завербованных им немецких колонистов-кулаков) в исправительно-трудовых лагерях и местах ссылки.</w:t>
      </w:r>
    </w:p>
    <w:p w14:paraId="2C09D5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установлено, что анологичную контр-революционную работу проводит тесно связанный с Шульцем гражданин СССР, пастор лютеранской церкви «Петра и Павла» (Москва) Штрек А.В.</w:t>
      </w:r>
    </w:p>
    <w:p w14:paraId="104740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Формирование фашистских кадров и сбор контр-революционной клеветнической информации о положении в СССР, осуществляется Штреком по указаниям областного руководителя национал-социалисткой партии в СССР Гензеля (секретаря германского посольства).</w:t>
      </w:r>
    </w:p>
    <w:p w14:paraId="18866F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Нами ранее был арестован ряд лиц, проводивших по поручению Штрека шпионскую и фашистскую работу.</w:t>
      </w:r>
    </w:p>
    <w:p w14:paraId="786798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ликвидирваны две фашистские группы, созданные Штреком в Москве и Саратове. Следственными материалами руководящая роль Штрека в контр-революционной работе доказана.</w:t>
      </w:r>
    </w:p>
    <w:p w14:paraId="395869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разрешить арест немцев, граждан СССР Шульца А.И. и Штрека А.В.</w:t>
      </w:r>
    </w:p>
    <w:p w14:paraId="0FC5F9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Народный Комиссар Внутренних Дел Союза СССР Ягода</w:t>
      </w:r>
    </w:p>
    <w:p w14:paraId="390DB7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АП РФ Ф.3, Оп.58. Д.248. л.10-11 (11462).</w:t>
      </w:r>
    </w:p>
    <w:p w14:paraId="5E38CA34" w14:textId="68770450" w:rsidR="00D4105E" w:rsidRPr="00E14102" w:rsidRDefault="00D4105E" w:rsidP="00E14102">
      <w:pPr>
        <w:autoSpaceDE w:val="0"/>
        <w:autoSpaceDN w:val="0"/>
        <w:adjustRightInd w:val="0"/>
        <w:jc w:val="both"/>
        <w:rPr>
          <w:color w:val="000000" w:themeColor="text1"/>
          <w:sz w:val="16"/>
          <w:szCs w:val="16"/>
        </w:rPr>
      </w:pPr>
    </w:p>
    <w:p w14:paraId="38ED4E80" w14:textId="4C71C350" w:rsidR="00AB49AD" w:rsidRPr="00E14102" w:rsidRDefault="00AB49AD" w:rsidP="00E14102">
      <w:pPr>
        <w:autoSpaceDE w:val="0"/>
        <w:autoSpaceDN w:val="0"/>
        <w:adjustRightInd w:val="0"/>
        <w:jc w:val="both"/>
        <w:rPr>
          <w:i/>
          <w:iCs/>
          <w:color w:val="000000" w:themeColor="text1"/>
          <w:sz w:val="16"/>
          <w:szCs w:val="16"/>
        </w:rPr>
      </w:pPr>
      <w:r w:rsidRPr="00E14102">
        <w:rPr>
          <w:i/>
          <w:iCs/>
          <w:color w:val="000000" w:themeColor="text1"/>
          <w:sz w:val="16"/>
          <w:szCs w:val="16"/>
        </w:rPr>
        <w:t>За рубежом:</w:t>
      </w:r>
    </w:p>
    <w:p w14:paraId="4AFDC1FF" w14:textId="77777777" w:rsidR="00AB49AD" w:rsidRPr="00E14102" w:rsidRDefault="00AB49AD" w:rsidP="00E14102">
      <w:pPr>
        <w:autoSpaceDE w:val="0"/>
        <w:autoSpaceDN w:val="0"/>
        <w:adjustRightInd w:val="0"/>
        <w:jc w:val="both"/>
        <w:rPr>
          <w:i/>
          <w:iCs/>
          <w:color w:val="000000" w:themeColor="text1"/>
          <w:sz w:val="16"/>
          <w:szCs w:val="16"/>
        </w:rPr>
      </w:pPr>
    </w:p>
    <w:p w14:paraId="1D36E0B2" w14:textId="77777777" w:rsidR="00AB49AD" w:rsidRPr="00E14102" w:rsidRDefault="00AB49AD" w:rsidP="00E14102">
      <w:pPr>
        <w:shd w:val="clear" w:color="auto" w:fill="FFFFFF"/>
        <w:jc w:val="both"/>
        <w:rPr>
          <w:color w:val="0070C0"/>
          <w:sz w:val="16"/>
          <w:szCs w:val="16"/>
        </w:rPr>
      </w:pPr>
      <w:r w:rsidRPr="00E14102">
        <w:rPr>
          <w:color w:val="0070C0"/>
          <w:sz w:val="16"/>
          <w:szCs w:val="16"/>
        </w:rPr>
        <w:t>1 ноября 1935 года для того, чтобы не дать Хейнкелю почувствовать себя монополистом, фирме «Гамбургер Флюгцойгбау» был выдан заказ Рейхсминистерства авиации на двухмоторный поплавковый торпедоносец для замены недавно принятого на вооружение самолета Не.59 и была оплачена постройка трех опытных На.140V (22917).</w:t>
      </w:r>
    </w:p>
    <w:p w14:paraId="5D56DD5C" w14:textId="77777777" w:rsidR="00AB49AD" w:rsidRPr="00E14102" w:rsidRDefault="00AB49AD" w:rsidP="00E14102">
      <w:pPr>
        <w:shd w:val="clear" w:color="auto" w:fill="FFFFFF"/>
        <w:jc w:val="both"/>
        <w:rPr>
          <w:color w:val="0070C0"/>
          <w:sz w:val="16"/>
          <w:szCs w:val="16"/>
        </w:rPr>
      </w:pPr>
    </w:p>
    <w:p w14:paraId="43B2281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4B82C0F" w14:textId="77777777" w:rsidR="00D4105E" w:rsidRPr="00E14102" w:rsidRDefault="00D4105E" w:rsidP="00E14102">
      <w:pPr>
        <w:autoSpaceDE w:val="0"/>
        <w:autoSpaceDN w:val="0"/>
        <w:adjustRightInd w:val="0"/>
        <w:jc w:val="both"/>
        <w:rPr>
          <w:iCs/>
          <w:color w:val="000000" w:themeColor="text1"/>
          <w:sz w:val="16"/>
          <w:szCs w:val="16"/>
        </w:rPr>
      </w:pPr>
    </w:p>
    <w:p w14:paraId="487EF6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были выполнены 3-й полет по маршруту Москва-Ногинск, который был прерван по причине отказа мотора в воздухе (3081).</w:t>
      </w:r>
    </w:p>
    <w:p w14:paraId="49B1DF7C" w14:textId="77777777" w:rsidR="00D4105E" w:rsidRPr="00E14102" w:rsidRDefault="00D4105E" w:rsidP="00E14102">
      <w:pPr>
        <w:autoSpaceDE w:val="0"/>
        <w:autoSpaceDN w:val="0"/>
        <w:adjustRightInd w:val="0"/>
        <w:jc w:val="both"/>
        <w:rPr>
          <w:color w:val="000000" w:themeColor="text1"/>
          <w:sz w:val="16"/>
          <w:szCs w:val="16"/>
        </w:rPr>
      </w:pPr>
    </w:p>
    <w:p w14:paraId="47D769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2 ноября 1935 было назначено несколько полетов ДИ-6ш. В первом планировалась стрельба на высоте 5000 м, но на взлете отказал двигатель и самолет совершил вынужденную посадку. После замены свечей "Циклон" опять работал с перебоями и, поднявшись в воздух 3 ноября, летчик решил не испытывать судьбу и вернулся на Центральный аэродром. Причину отказов выяснить не удалось; во второй половине дня штурмовик совершил контрольный полет над Центральным аэродромом. После чего летчик заявил, что плохо работает магнето и потекли верхние бензобаки. Пока заводские специалисты устраняли течь и неисправность мотора, чтобы не терять время, ведущий конструктор НИИ ВВС Воротников провел 5 ноября наземные испытания бомбардировочного вооружения. В ходе сбрасывании корпусов осколочных авиабомб АО-8 отказал электробомбосбрасыватель ЭСБР-1. При его разборке выяснилось, что просто от одной из клемм отошел проводник.</w:t>
      </w:r>
    </w:p>
    <w:p w14:paraId="2DF9D1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ноябрьских праздников различные мелкие дефекты буквально преследовали испытательную бригаду, а осенняя погода мешала проведению полетов. Из-за тумана на маршруте</w:t>
      </w:r>
    </w:p>
    <w:p w14:paraId="63E6A5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ноября пришлось проверять работу створок бомболюка прямо над Центральным аэродромом. На следующий день полеты отменили: к испытателям нагрянул заместитель наркома обороны М.Н. Тухачевский, ознакомившийся с вооружением ДИ-бш. 11 ноября при рулежке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225E06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0C2D3C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3E6615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6D5546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7B7597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w:t>
      </w:r>
      <w:r w:rsidRPr="00E14102">
        <w:rPr>
          <w:color w:val="000000" w:themeColor="text1"/>
          <w:sz w:val="16"/>
          <w:szCs w:val="16"/>
        </w:rPr>
        <w:lastRenderedPageBreak/>
        <w:t>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694448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7BA5EF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27E92C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374AAA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4669FC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6B0998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6A1A9F08" w14:textId="77777777" w:rsidR="00D4105E" w:rsidRPr="00E14102" w:rsidRDefault="00D4105E" w:rsidP="00E14102">
      <w:pPr>
        <w:autoSpaceDE w:val="0"/>
        <w:autoSpaceDN w:val="0"/>
        <w:adjustRightInd w:val="0"/>
        <w:jc w:val="both"/>
        <w:rPr>
          <w:color w:val="000000" w:themeColor="text1"/>
          <w:sz w:val="16"/>
          <w:szCs w:val="16"/>
        </w:rPr>
      </w:pPr>
    </w:p>
    <w:p w14:paraId="1A53E93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ноября 1935 г. было письмо директора РНИИ НКТП Ветрова (так должность звучи в документе) начальнику НТО-1 ОБАА АУ РККА Г.Е.Беккеру: «РНИИ считает заключение НТО-1 об опытах по бомбометанию РС-132 неправильным по существу и недопустимым по форме. НТО должно быть известно, что основная и единственная цель подобных опытов — проверка устойчивости и правильности полета снарядов при сбросах их бомбометания. Задача определения меткости не ставилась, что совершенно ясно из отчета.</w:t>
      </w:r>
    </w:p>
    <w:p w14:paraId="2026F8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пределах поставленной задачи организация опытов была проведена вполне удовлетворительно. Нельзя претендовать на большее при первом опыте, когда неизвестна баллистика снаряда. На совещании в НТО был обмен мнениями по вопросу о высоте включения РЗ. Причем, заключение о высоте в 250-300 м являет собой вывод из работы, проведенной РНИИ. Никаких определенных установок НТО по этому вопросу до сих пор не было.</w:t>
      </w:r>
    </w:p>
    <w:p w14:paraId="12084F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 время опытов высота включения двигателей достигала 600-800 м вследствие того, что не была отработана дистанционная трубка. В планах РНИИ дальнейшая установка на проведение опытов сделана на испытаниях модели для отработки баллистики. Проектирование авиабомбы по</w:t>
      </w:r>
      <w:r w:rsidRPr="00E14102">
        <w:rPr>
          <w:color w:val="000000" w:themeColor="text1"/>
          <w:sz w:val="16"/>
          <w:szCs w:val="16"/>
        </w:rPr>
        <w:softHyphen/>
        <w:t>рядка 500 кг необходимо теперь же, хотя бы для определения массы РЗ и камеры. Обоснование бомбы является составной частью проектирова-1я, для чего должны быть даны ТТТ</w:t>
      </w:r>
    </w:p>
    <w:p w14:paraId="63E5074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Институт оставляет за собой право обосновать выбор дистанционной рубки, отвечающей требованиям. Ограничение высоты включения по-эгом в 200 м также непродуманно. Эта высота должна быть выбранной с расчетом получения полного сгорания РЗ к моменту достижения земли. Например, для заряда, составленного из шашек диаметром 75 мм. эта высота составит не менее 500 м.</w:t>
      </w:r>
    </w:p>
    <w:p w14:paraId="6454CC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перечисленные вопросы (даже и отлаживание замков) могли быть разрешены до опытов при наличии ТТТ со стороны НТО, а также при участии НТО в выработке программы испытаний и проведении самих испытаний. Между тем, вопреки прямым указаниям начальника АУ РККА Н.А.Ефимова, НТО до сих пор не приняло абсолютно никакого участия в выполнении этой новой работы, ограничившись бюрократическими отписками даже в вопросе об оплате уже проведенной работы».</w:t>
      </w:r>
    </w:p>
    <w:p w14:paraId="242669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итоге все остались при своем мнении, а 16 ноября 1935 г. начальник ККА Ефимов утвердил программу демонстрационных испытаний объектов РНИИ НКТП для показа новых видов ракетного вооружения, применения и боевого действия. В частности, на тренировке одним из пунктов программы было бомбометание авиабомбами и ракетами с самолета Р-5. С высоты 1000 м надлежало сбросить одну РАБ-132 с за</w:t>
      </w:r>
      <w:r w:rsidRPr="00E14102">
        <w:rPr>
          <w:color w:val="000000" w:themeColor="text1"/>
          <w:sz w:val="16"/>
          <w:szCs w:val="16"/>
        </w:rPr>
        <w:softHyphen/>
        <w:t>пуском двигателя на высоте 250-300 м и одну ФАБ-50 без взрывателя. В том же порядке требовалось провести и демонстрационное бомбомета</w:t>
      </w:r>
      <w:r w:rsidRPr="00E14102">
        <w:rPr>
          <w:color w:val="000000" w:themeColor="text1"/>
          <w:sz w:val="16"/>
          <w:szCs w:val="16"/>
        </w:rPr>
        <w:softHyphen/>
        <w:t>ние. В обшей сложности для этих целей планировали израсходовать три РАБ-132 (11402).</w:t>
      </w:r>
    </w:p>
    <w:p w14:paraId="7097B669" w14:textId="77777777" w:rsidR="00D4105E" w:rsidRPr="00E14102" w:rsidRDefault="00D4105E" w:rsidP="00E14102">
      <w:pPr>
        <w:autoSpaceDE w:val="0"/>
        <w:autoSpaceDN w:val="0"/>
        <w:adjustRightInd w:val="0"/>
        <w:jc w:val="both"/>
        <w:rPr>
          <w:color w:val="000000" w:themeColor="text1"/>
          <w:sz w:val="16"/>
          <w:szCs w:val="16"/>
        </w:rPr>
      </w:pPr>
    </w:p>
    <w:p w14:paraId="1DFF6254" w14:textId="77777777" w:rsidR="00B40924" w:rsidRPr="00E14102" w:rsidRDefault="00B40924" w:rsidP="00E14102">
      <w:pPr>
        <w:jc w:val="both"/>
        <w:rPr>
          <w:color w:val="0070C0"/>
          <w:sz w:val="16"/>
          <w:szCs w:val="16"/>
        </w:rPr>
      </w:pPr>
      <w:r w:rsidRPr="00E14102">
        <w:rPr>
          <w:color w:val="0070C0"/>
          <w:sz w:val="16"/>
          <w:szCs w:val="16"/>
        </w:rPr>
        <w:t>2 ноября 1935 г.</w:t>
      </w:r>
    </w:p>
    <w:p w14:paraId="696BEBA2" w14:textId="77777777" w:rsidR="00B40924" w:rsidRPr="00E14102" w:rsidRDefault="00B40924" w:rsidP="00E14102">
      <w:pPr>
        <w:jc w:val="both"/>
        <w:rPr>
          <w:color w:val="0070C0"/>
          <w:sz w:val="16"/>
          <w:szCs w:val="16"/>
        </w:rPr>
      </w:pPr>
      <w:r w:rsidRPr="00E14102">
        <w:rPr>
          <w:color w:val="0070C0"/>
          <w:sz w:val="16"/>
          <w:szCs w:val="16"/>
        </w:rPr>
        <w:t>Записка члена Комитета партийного контроля при ЦК ВКП(б)</w:t>
      </w:r>
    </w:p>
    <w:p w14:paraId="6C3B8BC0" w14:textId="77777777" w:rsidR="00B40924" w:rsidRPr="00E14102" w:rsidRDefault="00B40924" w:rsidP="00E14102">
      <w:pPr>
        <w:jc w:val="both"/>
        <w:rPr>
          <w:color w:val="0070C0"/>
          <w:sz w:val="16"/>
          <w:szCs w:val="16"/>
        </w:rPr>
      </w:pPr>
      <w:r w:rsidRPr="00E14102">
        <w:rPr>
          <w:color w:val="0070C0"/>
          <w:sz w:val="16"/>
          <w:szCs w:val="16"/>
        </w:rPr>
        <w:t>МЛ. Сорокина И.В. Сталину</w:t>
      </w:r>
    </w:p>
    <w:p w14:paraId="436D4627" w14:textId="77777777" w:rsidR="00B40924" w:rsidRPr="00E14102" w:rsidRDefault="00B40924" w:rsidP="00E14102">
      <w:pPr>
        <w:jc w:val="both"/>
        <w:rPr>
          <w:color w:val="0070C0"/>
          <w:sz w:val="16"/>
          <w:szCs w:val="16"/>
        </w:rPr>
      </w:pPr>
      <w:r w:rsidRPr="00E14102">
        <w:rPr>
          <w:color w:val="0070C0"/>
          <w:sz w:val="16"/>
          <w:szCs w:val="16"/>
        </w:rPr>
        <w:t>с характеристикой промышленности США и необходимости заимствования ее достижений в СССР'</w:t>
      </w:r>
    </w:p>
    <w:p w14:paraId="52291451" w14:textId="77777777" w:rsidR="00B40924" w:rsidRPr="00E14102" w:rsidRDefault="00B40924" w:rsidP="00E14102">
      <w:pPr>
        <w:jc w:val="both"/>
        <w:rPr>
          <w:color w:val="0070C0"/>
          <w:sz w:val="16"/>
          <w:szCs w:val="16"/>
        </w:rPr>
      </w:pPr>
      <w:r w:rsidRPr="00E14102">
        <w:rPr>
          <w:color w:val="0070C0"/>
          <w:sz w:val="16"/>
          <w:szCs w:val="16"/>
        </w:rPr>
        <w:t>2 ноября 1935 г.</w:t>
      </w:r>
    </w:p>
    <w:p w14:paraId="0CFD5294" w14:textId="77777777" w:rsidR="00B40924" w:rsidRPr="00E14102" w:rsidRDefault="00B40924" w:rsidP="00E14102">
      <w:pPr>
        <w:jc w:val="both"/>
        <w:rPr>
          <w:color w:val="0070C0"/>
          <w:sz w:val="16"/>
          <w:szCs w:val="16"/>
        </w:rPr>
      </w:pPr>
      <w:r w:rsidRPr="00E14102">
        <w:rPr>
          <w:color w:val="0070C0"/>
          <w:sz w:val="16"/>
          <w:szCs w:val="16"/>
        </w:rPr>
        <w:t>Из поездки в Соединенные Штаты</w:t>
      </w:r>
    </w:p>
    <w:p w14:paraId="6D55A180" w14:textId="77777777" w:rsidR="00B40924" w:rsidRPr="00E14102" w:rsidRDefault="00B40924" w:rsidP="00E14102">
      <w:pPr>
        <w:jc w:val="both"/>
        <w:rPr>
          <w:color w:val="0070C0"/>
          <w:sz w:val="16"/>
          <w:szCs w:val="16"/>
        </w:rPr>
      </w:pPr>
      <w:r w:rsidRPr="00E14102">
        <w:rPr>
          <w:color w:val="0070C0"/>
          <w:sz w:val="16"/>
          <w:szCs w:val="16"/>
        </w:rPr>
        <w:t>Я был в Соединенных Штатах четыре раза. На этот раз мне удалось посмотреть меньше, чем раньше. Ввиду большого объема и срочности заказов для Горьковского автозавода и ЗИСа мне пришлось по существу возглавлять эту работу и оперативно помогать комиссиям и Амторгу. Тем не менее ряд наблюдений и выводов я накопил. Излагаю наиболее важные из них вкратце.</w:t>
      </w:r>
    </w:p>
    <w:p w14:paraId="09218C03" w14:textId="77777777" w:rsidR="00B40924" w:rsidRPr="00E14102" w:rsidRDefault="00B40924" w:rsidP="00E14102">
      <w:pPr>
        <w:jc w:val="both"/>
        <w:rPr>
          <w:color w:val="0070C0"/>
          <w:sz w:val="16"/>
          <w:szCs w:val="16"/>
        </w:rPr>
      </w:pPr>
      <w:r w:rsidRPr="00E14102">
        <w:rPr>
          <w:color w:val="0070C0"/>
          <w:sz w:val="16"/>
          <w:szCs w:val="16"/>
        </w:rPr>
        <w:t>Авиамоторы и «Райт»</w:t>
      </w:r>
    </w:p>
    <w:p w14:paraId="670500C4" w14:textId="77777777" w:rsidR="00B40924" w:rsidRPr="00E14102" w:rsidRDefault="00B40924" w:rsidP="00E14102">
      <w:pPr>
        <w:jc w:val="both"/>
        <w:rPr>
          <w:color w:val="0070C0"/>
          <w:sz w:val="16"/>
          <w:szCs w:val="16"/>
        </w:rPr>
      </w:pPr>
      <w:r w:rsidRPr="00E14102">
        <w:rPr>
          <w:color w:val="0070C0"/>
          <w:sz w:val="16"/>
          <w:szCs w:val="16"/>
        </w:rPr>
        <w:t>Я познакомился с ходом выполнения договора с «Райтом» по авиамоторам. Договор выполняется в значительной части удовлетворительно.</w:t>
      </w:r>
    </w:p>
    <w:p w14:paraId="45FB4974" w14:textId="77777777" w:rsidR="00B40924" w:rsidRPr="00E14102" w:rsidRDefault="00B40924" w:rsidP="00E14102">
      <w:pPr>
        <w:jc w:val="both"/>
        <w:rPr>
          <w:color w:val="0070C0"/>
          <w:sz w:val="16"/>
          <w:szCs w:val="16"/>
        </w:rPr>
      </w:pPr>
      <w:r w:rsidRPr="00E14102">
        <w:rPr>
          <w:color w:val="0070C0"/>
          <w:sz w:val="16"/>
          <w:szCs w:val="16"/>
        </w:rPr>
        <w:t>Договор не выполняется удовлетворительно в отношении:</w:t>
      </w:r>
    </w:p>
    <w:p w14:paraId="543DB058" w14:textId="77777777" w:rsidR="00B40924" w:rsidRPr="00E14102" w:rsidRDefault="00B40924" w:rsidP="00E14102">
      <w:pPr>
        <w:jc w:val="both"/>
        <w:rPr>
          <w:color w:val="0070C0"/>
          <w:sz w:val="16"/>
          <w:szCs w:val="16"/>
        </w:rPr>
      </w:pPr>
      <w:r w:rsidRPr="00E14102">
        <w:rPr>
          <w:color w:val="0070C0"/>
          <w:sz w:val="16"/>
          <w:szCs w:val="16"/>
        </w:rPr>
        <w:t>а) некоторых агрегатов мотора - самопуск, карбюратор, бензопомпа;</w:t>
      </w:r>
    </w:p>
    <w:p w14:paraId="5DA30B90" w14:textId="77777777" w:rsidR="00B40924" w:rsidRPr="00E14102" w:rsidRDefault="00B40924" w:rsidP="00E14102">
      <w:pPr>
        <w:jc w:val="both"/>
        <w:rPr>
          <w:color w:val="0070C0"/>
          <w:sz w:val="16"/>
          <w:szCs w:val="16"/>
        </w:rPr>
      </w:pPr>
      <w:r w:rsidRPr="00E14102">
        <w:rPr>
          <w:color w:val="0070C0"/>
          <w:sz w:val="16"/>
          <w:szCs w:val="16"/>
        </w:rPr>
        <w:t>б) технологии производства деталей, изготовляемых для «Райта» другими заводами, например. Алюминиевой компанией по литью и штамповке, «Дженерал электриком» - по крыльчатке нагнетателя и т. д.;</w:t>
      </w:r>
    </w:p>
    <w:p w14:paraId="52FF8D38" w14:textId="77777777" w:rsidR="00B40924" w:rsidRPr="00E14102" w:rsidRDefault="00B40924" w:rsidP="00E14102">
      <w:pPr>
        <w:jc w:val="both"/>
        <w:rPr>
          <w:color w:val="0070C0"/>
          <w:sz w:val="16"/>
          <w:szCs w:val="16"/>
        </w:rPr>
      </w:pPr>
      <w:r w:rsidRPr="00E14102">
        <w:rPr>
          <w:color w:val="0070C0"/>
          <w:sz w:val="16"/>
          <w:szCs w:val="16"/>
        </w:rPr>
        <w:t>в) передачи нам материалов по конструктивному развитию основного лицензионного мотора. Например, конструктивные чертежи по моторам «Циклон», серии 50, имеющей значительно улучшенную характеристику по сравнению с лицензионным мотором, были даны нам после того, как фирма построила для американского военвед[омств]а еще более улучшенную серию.</w:t>
      </w:r>
    </w:p>
    <w:p w14:paraId="30D98B7D" w14:textId="77777777" w:rsidR="00B40924" w:rsidRPr="00E14102" w:rsidRDefault="00B40924" w:rsidP="00E14102">
      <w:pPr>
        <w:jc w:val="both"/>
        <w:rPr>
          <w:color w:val="0070C0"/>
          <w:sz w:val="16"/>
          <w:szCs w:val="16"/>
        </w:rPr>
      </w:pPr>
      <w:r w:rsidRPr="00E14102">
        <w:rPr>
          <w:color w:val="0070C0"/>
          <w:sz w:val="16"/>
          <w:szCs w:val="16"/>
        </w:rPr>
        <w:t>Самый главный недостаток договора в том, что фирма удерживает от нас новинки. Она отказывается дать материалы по новому мотору с двухрядной звездой по двухскоростному нагнетателю. по турбокомпрессору. Двухскоростной нагнетатель при полетах до 3000 метров высоты может увеличить мощность нашей модели «Циклона» на ±100 л.с.; к нашему мотору, который мы строим, подходит с некоторыми изменениями в моторе. Фирма не продает нам нагнетатели, мы сможем получить их официально через год. Нагнетатель прошел испытания в американском военвед[омств]е в конце августа, и «Райт» недавно получил первый серийный заказ на них.</w:t>
      </w:r>
    </w:p>
    <w:p w14:paraId="24C914B3" w14:textId="77777777" w:rsidR="00B40924" w:rsidRPr="00E14102" w:rsidRDefault="00B40924" w:rsidP="00E14102">
      <w:pPr>
        <w:jc w:val="both"/>
        <w:rPr>
          <w:color w:val="0070C0"/>
          <w:sz w:val="16"/>
          <w:szCs w:val="16"/>
        </w:rPr>
      </w:pPr>
      <w:r w:rsidRPr="00E14102">
        <w:rPr>
          <w:color w:val="0070C0"/>
          <w:sz w:val="16"/>
          <w:szCs w:val="16"/>
        </w:rPr>
        <w:t>Мотор «G» является дальнейшим развитием модели «Циклона». Его мощность повышена на 50-70 л.с. при одновременном повышении надежности. Государственные испытания он прошел.</w:t>
      </w:r>
    </w:p>
    <w:p w14:paraId="512BEC25" w14:textId="77777777" w:rsidR="00B40924" w:rsidRPr="00E14102" w:rsidRDefault="00B40924" w:rsidP="00E14102">
      <w:pPr>
        <w:jc w:val="both"/>
        <w:rPr>
          <w:color w:val="0070C0"/>
          <w:sz w:val="16"/>
          <w:szCs w:val="16"/>
        </w:rPr>
      </w:pPr>
      <w:r w:rsidRPr="00E14102">
        <w:rPr>
          <w:color w:val="0070C0"/>
          <w:sz w:val="16"/>
          <w:szCs w:val="16"/>
        </w:rPr>
        <w:t>Начинается поставка серии американскому военвед[омств]у, а нам не дают - обещают через год. Этот мотор с двухскоростным нагнетателем, имеет у земли 850 л.с. и на высоте 5000 метров - 750 л.с., вес 46СМ-70 кг. Значит при повышении веса на 25-30 кг против модели Ф-3, которую мы строим, его мощность больше на 50-70 л.с.</w:t>
      </w:r>
    </w:p>
    <w:p w14:paraId="1D0F2E78" w14:textId="77777777" w:rsidR="00B40924" w:rsidRPr="00E14102" w:rsidRDefault="00B40924" w:rsidP="00E14102">
      <w:pPr>
        <w:jc w:val="both"/>
        <w:rPr>
          <w:color w:val="0070C0"/>
          <w:sz w:val="16"/>
          <w:szCs w:val="16"/>
        </w:rPr>
      </w:pPr>
      <w:r w:rsidRPr="00E14102">
        <w:rPr>
          <w:color w:val="0070C0"/>
          <w:sz w:val="16"/>
          <w:szCs w:val="16"/>
        </w:rPr>
        <w:t>С турбокомпрессором такое же безобразие. Во всех этих случаях фирма ссылается на запрет американского военвед[омств]а и будто бы существующие правила, согласно которым экспорт или передача материалов разрешается через год после начала серийного производства новой модели, перекрывающей предыдущую.</w:t>
      </w:r>
    </w:p>
    <w:p w14:paraId="6A768211" w14:textId="77777777" w:rsidR="00B40924" w:rsidRPr="00E14102" w:rsidRDefault="00B40924" w:rsidP="00E14102">
      <w:pPr>
        <w:jc w:val="both"/>
        <w:rPr>
          <w:color w:val="0070C0"/>
          <w:sz w:val="16"/>
          <w:szCs w:val="16"/>
        </w:rPr>
      </w:pPr>
      <w:r w:rsidRPr="00E14102">
        <w:rPr>
          <w:color w:val="0070C0"/>
          <w:sz w:val="16"/>
          <w:szCs w:val="16"/>
        </w:rPr>
        <w:t>Я имел продолжительный и безрезультатный разговор с вице-президентом фирмы Чаплайном на тему о задержках в передаче нам указанных выше новинок. Затем мы с т. Петровским поехали к т. Трояновскому в Вашингтон и просили его провентилировать у американских чиновников возможность упорядочения ненормальностей с новинками.</w:t>
      </w:r>
    </w:p>
    <w:p w14:paraId="5F68A329" w14:textId="77777777" w:rsidR="00B40924" w:rsidRPr="00E14102" w:rsidRDefault="00B40924" w:rsidP="00E14102">
      <w:pPr>
        <w:jc w:val="both"/>
        <w:rPr>
          <w:color w:val="0070C0"/>
          <w:sz w:val="16"/>
          <w:szCs w:val="16"/>
        </w:rPr>
      </w:pPr>
      <w:r w:rsidRPr="00E14102">
        <w:rPr>
          <w:color w:val="0070C0"/>
          <w:sz w:val="16"/>
          <w:szCs w:val="16"/>
        </w:rPr>
        <w:t>Я думаю, что гвоздь здесь не только в ограничениях, которые чинит военвед[омство] САШ, но и в недостаточной материальной заинтересованности самой фирмы.</w:t>
      </w:r>
    </w:p>
    <w:p w14:paraId="4C4845B1" w14:textId="77777777" w:rsidR="00B40924" w:rsidRPr="00E14102" w:rsidRDefault="00B40924" w:rsidP="00E14102">
      <w:pPr>
        <w:jc w:val="both"/>
        <w:rPr>
          <w:color w:val="0070C0"/>
          <w:sz w:val="16"/>
          <w:szCs w:val="16"/>
        </w:rPr>
      </w:pPr>
      <w:r w:rsidRPr="00E14102">
        <w:rPr>
          <w:color w:val="0070C0"/>
          <w:sz w:val="16"/>
          <w:szCs w:val="16"/>
        </w:rPr>
        <w:t>Если бы мы предложили серьезный заказ на три десятка моторов серии «G» с двухскоростным нагнетателем, фирма разговаривала бы с нами другим языком.</w:t>
      </w:r>
    </w:p>
    <w:p w14:paraId="0BA6836D" w14:textId="77777777" w:rsidR="00B40924" w:rsidRPr="00E14102" w:rsidRDefault="00B40924" w:rsidP="00E14102">
      <w:pPr>
        <w:jc w:val="both"/>
        <w:rPr>
          <w:color w:val="0070C0"/>
          <w:sz w:val="16"/>
          <w:szCs w:val="16"/>
        </w:rPr>
      </w:pPr>
      <w:r w:rsidRPr="00E14102">
        <w:rPr>
          <w:color w:val="0070C0"/>
          <w:sz w:val="16"/>
          <w:szCs w:val="16"/>
        </w:rPr>
        <w:t>Двухрядная звезда «Райта» прошла официальное испытание, дает 700-750 сил, по габариту - меньше мотора Ф-3. Тов. Петровский думает, что у «Райта» можно было бы получить эту модель двухрядной звезды при заказе 25 моторов или заключении договора на техпомощь по ней. Стоимость двухрядной звезды около 9500 долларов. Но у «Райта» уже есть улучшенная модель двухрядной звезды, с повышенной мощностью на 10% - дает 775 сил, надеются довести до 800 сил; этот мотор ставят на последние типы истребителей - на «Нортропы», на и самолеты Северского18 и «Кертисса». Этот мотор не продают.</w:t>
      </w:r>
    </w:p>
    <w:p w14:paraId="0E0CA433" w14:textId="77777777" w:rsidR="00B40924" w:rsidRPr="00E14102" w:rsidRDefault="00B40924" w:rsidP="00E14102">
      <w:pPr>
        <w:jc w:val="both"/>
        <w:rPr>
          <w:color w:val="0070C0"/>
          <w:sz w:val="16"/>
          <w:szCs w:val="16"/>
        </w:rPr>
      </w:pPr>
      <w:r w:rsidRPr="00E14102">
        <w:rPr>
          <w:color w:val="0070C0"/>
          <w:sz w:val="16"/>
          <w:szCs w:val="16"/>
        </w:rPr>
        <w:t>Турбокомпрессор изготовляется «Дженерал электриком», ставится на истребители «Кертисс-Конкверор» с моторами жидкостного охлаждения. Сохраняет высотность мотора до 6,5-7 тыс. метров.</w:t>
      </w:r>
    </w:p>
    <w:p w14:paraId="1603E377" w14:textId="77777777" w:rsidR="00B40924" w:rsidRPr="00E14102" w:rsidRDefault="00B40924" w:rsidP="00E14102">
      <w:pPr>
        <w:jc w:val="both"/>
        <w:rPr>
          <w:color w:val="0070C0"/>
          <w:sz w:val="16"/>
          <w:szCs w:val="16"/>
        </w:rPr>
      </w:pPr>
      <w:r w:rsidRPr="00E14102">
        <w:rPr>
          <w:color w:val="0070C0"/>
          <w:sz w:val="16"/>
          <w:szCs w:val="16"/>
        </w:rPr>
        <w:lastRenderedPageBreak/>
        <w:t>«Пратт и Уитней»</w:t>
      </w:r>
    </w:p>
    <w:p w14:paraId="2E3A02C8" w14:textId="77777777" w:rsidR="00B40924" w:rsidRPr="00E14102" w:rsidRDefault="00B40924" w:rsidP="00E14102">
      <w:pPr>
        <w:jc w:val="both"/>
        <w:rPr>
          <w:color w:val="0070C0"/>
          <w:sz w:val="16"/>
          <w:szCs w:val="16"/>
        </w:rPr>
      </w:pPr>
      <w:r w:rsidRPr="00E14102">
        <w:rPr>
          <w:color w:val="0070C0"/>
          <w:sz w:val="16"/>
          <w:szCs w:val="16"/>
        </w:rPr>
        <w:t>Фирму «Райт» можно сделать более податливой, если нам связаться с другой ведущей фирмой - «Пратт и Уитней». Это желательно и по техническим соображениям.</w:t>
      </w:r>
    </w:p>
    <w:p w14:paraId="02896F21" w14:textId="77777777" w:rsidR="00B40924" w:rsidRPr="00E14102" w:rsidRDefault="00B40924" w:rsidP="00E14102">
      <w:pPr>
        <w:jc w:val="both"/>
        <w:rPr>
          <w:color w:val="0070C0"/>
          <w:sz w:val="16"/>
          <w:szCs w:val="16"/>
        </w:rPr>
      </w:pPr>
      <w:r w:rsidRPr="00E14102">
        <w:rPr>
          <w:color w:val="0070C0"/>
          <w:sz w:val="16"/>
          <w:szCs w:val="16"/>
        </w:rPr>
        <w:t>Мотор «Хорнет» этой фирмы имеет примерно аналогичную характеристику с «Циклоном» «Райта» серии 50. Он стоит на бомбовозах, истребителях и гражданских самолетах.</w:t>
      </w:r>
    </w:p>
    <w:p w14:paraId="6D78E880" w14:textId="77777777" w:rsidR="00B40924" w:rsidRPr="00E14102" w:rsidRDefault="00B40924" w:rsidP="00E14102">
      <w:pPr>
        <w:jc w:val="both"/>
        <w:rPr>
          <w:color w:val="0070C0"/>
          <w:sz w:val="16"/>
          <w:szCs w:val="16"/>
        </w:rPr>
      </w:pPr>
      <w:r w:rsidRPr="00E14102">
        <w:rPr>
          <w:color w:val="0070C0"/>
          <w:sz w:val="16"/>
          <w:szCs w:val="16"/>
        </w:rPr>
        <w:t>Но большой интерес - двухрядная звезда «Твин-восп» «Пратт и Уитнея». Она находится в серийном производстве в течение 11/2 лет, наиболее доработана. «Твин-восп джуниор», 700 сил, вес 450 кг, а диаметр мотора около 1100 мм, т.е. на 'А метра меньше, чем однорядный мотор «Циклона» Ф-3. По словам тов. Петровского, «Пратт и Уитней» согласны продать нам партию двухрядок.</w:t>
      </w:r>
    </w:p>
    <w:p w14:paraId="527C7A73" w14:textId="77777777" w:rsidR="00B40924" w:rsidRPr="00E14102" w:rsidRDefault="00B40924" w:rsidP="00E14102">
      <w:pPr>
        <w:jc w:val="both"/>
        <w:rPr>
          <w:color w:val="0070C0"/>
          <w:sz w:val="16"/>
          <w:szCs w:val="16"/>
        </w:rPr>
      </w:pPr>
      <w:r w:rsidRPr="00E14102">
        <w:rPr>
          <w:color w:val="0070C0"/>
          <w:sz w:val="16"/>
          <w:szCs w:val="16"/>
        </w:rPr>
        <w:t>Следовало бы связаться с фирмой «Пратт и Уитней», у нее хороший завод, богатый опыт, важные поставки американскому военвед[омств]у. Надо бы у «Пратт-Уитнея» купить по паре образцов «Хорнета», однорядного «Воспа» и два десятка двухрядной звезды на базе договора о некоторой техпомощи.</w:t>
      </w:r>
    </w:p>
    <w:p w14:paraId="0C72799A" w14:textId="77777777" w:rsidR="00B40924" w:rsidRPr="00E14102" w:rsidRDefault="00B40924" w:rsidP="00E14102">
      <w:pPr>
        <w:jc w:val="both"/>
        <w:rPr>
          <w:color w:val="0070C0"/>
          <w:sz w:val="16"/>
          <w:szCs w:val="16"/>
        </w:rPr>
      </w:pPr>
      <w:r w:rsidRPr="00E14102">
        <w:rPr>
          <w:color w:val="0070C0"/>
          <w:sz w:val="16"/>
          <w:szCs w:val="16"/>
        </w:rPr>
        <w:t>Наши недостатки по «Райту»</w:t>
      </w:r>
    </w:p>
    <w:p w14:paraId="1EAFCB09" w14:textId="77777777" w:rsidR="00B40924" w:rsidRPr="00E14102" w:rsidRDefault="00B40924" w:rsidP="00E14102">
      <w:pPr>
        <w:jc w:val="both"/>
        <w:rPr>
          <w:color w:val="0070C0"/>
          <w:sz w:val="16"/>
          <w:szCs w:val="16"/>
        </w:rPr>
      </w:pPr>
      <w:r w:rsidRPr="00E14102">
        <w:rPr>
          <w:color w:val="0070C0"/>
          <w:sz w:val="16"/>
          <w:szCs w:val="16"/>
        </w:rPr>
        <w:t>Тов. Петровский — серьезный, вдумчивый и интересующийся авиацией. Он мог бы сделать по договору гораздо больше. Его надо нагружать конкретными поручениями главка и авиазаводов.</w:t>
      </w:r>
    </w:p>
    <w:p w14:paraId="590CD3B0" w14:textId="77777777" w:rsidR="00B40924" w:rsidRPr="00E14102" w:rsidRDefault="00B40924" w:rsidP="00E14102">
      <w:pPr>
        <w:jc w:val="both"/>
        <w:rPr>
          <w:color w:val="0070C0"/>
          <w:sz w:val="16"/>
          <w:szCs w:val="16"/>
        </w:rPr>
      </w:pPr>
      <w:r w:rsidRPr="00E14102">
        <w:rPr>
          <w:color w:val="0070C0"/>
          <w:sz w:val="16"/>
          <w:szCs w:val="16"/>
        </w:rPr>
        <w:t xml:space="preserve">Главк не использует возможностей договора. На заводе у «Райта» имеем право держать на производственной практике до 15 человек, а было в сентябре только 9, и все с завода № 19. Вообще выходит, что договором пользуется, главным образом, Побережский. </w:t>
      </w:r>
    </w:p>
    <w:p w14:paraId="5C21E259" w14:textId="77777777" w:rsidR="00B40924" w:rsidRPr="00E14102" w:rsidRDefault="00B40924" w:rsidP="00E14102">
      <w:pPr>
        <w:jc w:val="both"/>
        <w:rPr>
          <w:color w:val="0070C0"/>
          <w:sz w:val="16"/>
          <w:szCs w:val="16"/>
        </w:rPr>
      </w:pPr>
      <w:r w:rsidRPr="00E14102">
        <w:rPr>
          <w:color w:val="0070C0"/>
          <w:sz w:val="16"/>
          <w:szCs w:val="16"/>
        </w:rPr>
        <w:t>Марьямов никого не посылает. Рыбинский завод также никого не посылает. Я был на заводе «Испано-Сюиза», мотор которого делает Рыбинский завод. Французский завод по производственным методам, оборудованию и темпам работы ниже райтовского завода, а рыбинцам есть что посмотреть у «Райта».</w:t>
      </w:r>
    </w:p>
    <w:p w14:paraId="1AF56140" w14:textId="77777777" w:rsidR="00B40924" w:rsidRPr="00E14102" w:rsidRDefault="00B40924" w:rsidP="00E14102">
      <w:pPr>
        <w:jc w:val="both"/>
        <w:rPr>
          <w:color w:val="0070C0"/>
          <w:sz w:val="16"/>
          <w:szCs w:val="16"/>
        </w:rPr>
      </w:pPr>
      <w:r w:rsidRPr="00E14102">
        <w:rPr>
          <w:color w:val="0070C0"/>
          <w:sz w:val="16"/>
          <w:szCs w:val="16"/>
        </w:rPr>
        <w:t>Литейная «Райта» исключительно хороша. Из завода № 24 и других авиазаводов надо послать к «Райту» производственников и конструкторов.</w:t>
      </w:r>
    </w:p>
    <w:p w14:paraId="52A0A3D3" w14:textId="77777777" w:rsidR="00B40924" w:rsidRPr="00E14102" w:rsidRDefault="00B40924" w:rsidP="00E14102">
      <w:pPr>
        <w:jc w:val="both"/>
        <w:rPr>
          <w:color w:val="0070C0"/>
          <w:sz w:val="16"/>
          <w:szCs w:val="16"/>
        </w:rPr>
      </w:pPr>
      <w:r w:rsidRPr="00E14102">
        <w:rPr>
          <w:color w:val="0070C0"/>
          <w:sz w:val="16"/>
          <w:szCs w:val="16"/>
        </w:rPr>
        <w:t>Плохо мы используем договор по линии «смежников». С завода № 20 был лишь один человек за все время. Недавно мы купили 100 бензопомп у фирмы «Ромек». Японцы этим воспользовались бы, а мы не прислали для приемки с завода № 20 ни одного человека. Недавно купили 100 карбюраторов, но никого с завода № 33 для приемки не послали. По клапанам, поршням, кольцам, нормалям плохо использует ГУАП возможности по договору с «Райтом». То же - по кузнечным поковкам. Был здесь как-то техдиректор Электростали, а серьезных людей из Мотовилихи, поставляющей поковки Побережскому, не посылали.</w:t>
      </w:r>
    </w:p>
    <w:p w14:paraId="77B9ABBE" w14:textId="77777777" w:rsidR="00B40924" w:rsidRPr="00E14102" w:rsidRDefault="00B40924" w:rsidP="00E14102">
      <w:pPr>
        <w:jc w:val="both"/>
        <w:rPr>
          <w:color w:val="0070C0"/>
          <w:sz w:val="16"/>
          <w:szCs w:val="16"/>
        </w:rPr>
      </w:pPr>
      <w:r w:rsidRPr="00E14102">
        <w:rPr>
          <w:color w:val="0070C0"/>
          <w:sz w:val="16"/>
          <w:szCs w:val="16"/>
        </w:rPr>
        <w:t>Договор по мотору «Циклон» заключен не только с «Райтом», но и с концерном «Кертисс-Райт», у которого два самолетных завода. На этой базе можно изучать новинки самолетостроения. но мы не используем регулярно договора по самолетостроению.</w:t>
      </w:r>
    </w:p>
    <w:p w14:paraId="28FE8CEA" w14:textId="77777777" w:rsidR="00B40924" w:rsidRPr="00E14102" w:rsidRDefault="00B40924" w:rsidP="00E14102">
      <w:pPr>
        <w:jc w:val="both"/>
        <w:rPr>
          <w:color w:val="0070C0"/>
          <w:sz w:val="16"/>
          <w:szCs w:val="16"/>
        </w:rPr>
      </w:pPr>
      <w:r w:rsidRPr="00E14102">
        <w:rPr>
          <w:color w:val="0070C0"/>
          <w:sz w:val="16"/>
          <w:szCs w:val="16"/>
        </w:rPr>
        <w:t>райтовского завода, а рыбинцам есть что посмотреть у «Райта».</w:t>
      </w:r>
    </w:p>
    <w:p w14:paraId="4870AE45" w14:textId="77777777" w:rsidR="00B40924" w:rsidRPr="00E14102" w:rsidRDefault="00B40924" w:rsidP="00E14102">
      <w:pPr>
        <w:jc w:val="both"/>
        <w:rPr>
          <w:color w:val="0070C0"/>
          <w:sz w:val="16"/>
          <w:szCs w:val="16"/>
        </w:rPr>
      </w:pPr>
      <w:r w:rsidRPr="00E14102">
        <w:rPr>
          <w:color w:val="0070C0"/>
          <w:sz w:val="16"/>
          <w:szCs w:val="16"/>
        </w:rPr>
        <w:t>Это, по-моему, чрезвычайно заманчивая задача, за которую нам надо взяться безотлагательно. Жалею, что за недостатком времени я не доработал этот вопрос в Америке. Тов. Петровский мне говорил, что ранее работавший у «Марвела» конструктор приборов непосредственного вспрыска хочет ехать к нам, сделать 12 приборов для моторов М-34 и «Циклонов», просит за это 60 тыс. долл. Американский военвед платил фирме «Марвел» около 1400 долл, за прибор. Предложение должно быть в ГУАПе.</w:t>
      </w:r>
    </w:p>
    <w:p w14:paraId="25DA6EED" w14:textId="77777777" w:rsidR="00B40924" w:rsidRPr="00E14102" w:rsidRDefault="00B40924" w:rsidP="00E14102">
      <w:pPr>
        <w:jc w:val="both"/>
        <w:rPr>
          <w:color w:val="0070C0"/>
          <w:sz w:val="16"/>
          <w:szCs w:val="16"/>
        </w:rPr>
      </w:pPr>
      <w:r w:rsidRPr="00E14102">
        <w:rPr>
          <w:color w:val="0070C0"/>
          <w:sz w:val="16"/>
          <w:szCs w:val="16"/>
        </w:rPr>
        <w:t>Некоторые вопросы</w:t>
      </w:r>
    </w:p>
    <w:p w14:paraId="47DE361D" w14:textId="77777777" w:rsidR="00B40924" w:rsidRPr="00E14102" w:rsidRDefault="00B40924" w:rsidP="00E14102">
      <w:pPr>
        <w:jc w:val="both"/>
        <w:rPr>
          <w:color w:val="0070C0"/>
          <w:sz w:val="16"/>
          <w:szCs w:val="16"/>
        </w:rPr>
      </w:pPr>
      <w:r w:rsidRPr="00E14102">
        <w:rPr>
          <w:color w:val="0070C0"/>
          <w:sz w:val="16"/>
          <w:szCs w:val="16"/>
        </w:rPr>
        <w:t>(Авиация)</w:t>
      </w:r>
    </w:p>
    <w:p w14:paraId="32CEE355" w14:textId="77777777" w:rsidR="00B40924" w:rsidRPr="00E14102" w:rsidRDefault="00B40924" w:rsidP="00E14102">
      <w:pPr>
        <w:jc w:val="both"/>
        <w:rPr>
          <w:color w:val="0070C0"/>
          <w:sz w:val="16"/>
          <w:szCs w:val="16"/>
        </w:rPr>
      </w:pPr>
      <w:r w:rsidRPr="00E14102">
        <w:rPr>
          <w:color w:val="0070C0"/>
          <w:sz w:val="16"/>
          <w:szCs w:val="16"/>
        </w:rPr>
        <w:t xml:space="preserve">В Соединенных Штатах по примеру Англии и Франции (авиэтки «Пу-де-сиель») правильно интересуются делом создания самолетов с маломощными моторами. Экспериментируют с автомоторами - 8-цилиндровым «Фордом», с 6-цилиндровым «Плимутом». </w:t>
      </w:r>
    </w:p>
    <w:p w14:paraId="45F403D4" w14:textId="77777777" w:rsidR="00B40924" w:rsidRPr="00E14102" w:rsidRDefault="00B40924" w:rsidP="00E14102">
      <w:pPr>
        <w:jc w:val="both"/>
        <w:rPr>
          <w:color w:val="0070C0"/>
          <w:sz w:val="16"/>
          <w:szCs w:val="16"/>
        </w:rPr>
      </w:pPr>
      <w:r w:rsidRPr="00E14102">
        <w:rPr>
          <w:color w:val="0070C0"/>
          <w:sz w:val="16"/>
          <w:szCs w:val="16"/>
        </w:rPr>
        <w:t>Крепко позади этого дела (субсидиями и агитацией) Министерство торговли (авиадепартамент). В Соединенных Штатах наряду с большими и мощными моторами есть серия авиамоторов средней и малой мощности: «Аэромарин» 40-50 сил, «Менаско» 95, 125, 150 и 200 сил.</w:t>
      </w:r>
    </w:p>
    <w:p w14:paraId="3D43AE96" w14:textId="77777777" w:rsidR="00B40924" w:rsidRPr="00E14102" w:rsidRDefault="00B40924" w:rsidP="00E14102">
      <w:pPr>
        <w:jc w:val="both"/>
        <w:rPr>
          <w:color w:val="0070C0"/>
          <w:sz w:val="16"/>
          <w:szCs w:val="16"/>
        </w:rPr>
      </w:pPr>
      <w:r w:rsidRPr="00E14102">
        <w:rPr>
          <w:color w:val="0070C0"/>
          <w:sz w:val="16"/>
          <w:szCs w:val="16"/>
        </w:rPr>
        <w:t>В Соединенных Штатах сильно развиты авиационные «смежники».</w:t>
      </w:r>
    </w:p>
    <w:p w14:paraId="688D90C6" w14:textId="77777777" w:rsidR="00B40924" w:rsidRPr="00E14102" w:rsidRDefault="00B40924" w:rsidP="00E14102">
      <w:pPr>
        <w:jc w:val="both"/>
        <w:rPr>
          <w:color w:val="0070C0"/>
          <w:sz w:val="16"/>
          <w:szCs w:val="16"/>
        </w:rPr>
      </w:pPr>
      <w:r w:rsidRPr="00E14102">
        <w:rPr>
          <w:color w:val="0070C0"/>
          <w:sz w:val="16"/>
          <w:szCs w:val="16"/>
        </w:rPr>
        <w:t>Автожир должен привлечь наше внимание. ЦАГИ этим серьезно не занимался.</w:t>
      </w:r>
    </w:p>
    <w:p w14:paraId="19F7E56E" w14:textId="77777777" w:rsidR="00B40924" w:rsidRPr="00E14102" w:rsidRDefault="00B40924" w:rsidP="00E14102">
      <w:pPr>
        <w:jc w:val="both"/>
        <w:rPr>
          <w:color w:val="0070C0"/>
          <w:sz w:val="16"/>
          <w:szCs w:val="16"/>
        </w:rPr>
      </w:pPr>
      <w:r w:rsidRPr="00E14102">
        <w:rPr>
          <w:color w:val="0070C0"/>
          <w:sz w:val="16"/>
          <w:szCs w:val="16"/>
        </w:rPr>
        <w:t>Я касаюсь только тех вопросов, которые у нас еще не поставлены на производственные рельсы.</w:t>
      </w:r>
    </w:p>
    <w:p w14:paraId="56297D35" w14:textId="77777777" w:rsidR="00B40924" w:rsidRPr="00E14102" w:rsidRDefault="00B40924" w:rsidP="00E14102">
      <w:pPr>
        <w:jc w:val="both"/>
        <w:rPr>
          <w:color w:val="0070C0"/>
          <w:sz w:val="16"/>
          <w:szCs w:val="16"/>
        </w:rPr>
      </w:pPr>
      <w:r w:rsidRPr="00E14102">
        <w:rPr>
          <w:color w:val="0070C0"/>
          <w:sz w:val="16"/>
          <w:szCs w:val="16"/>
        </w:rPr>
        <w:t>Брак</w:t>
      </w:r>
    </w:p>
    <w:p w14:paraId="10B548B4" w14:textId="77777777" w:rsidR="00B40924" w:rsidRPr="00E14102" w:rsidRDefault="00B40924" w:rsidP="00E14102">
      <w:pPr>
        <w:jc w:val="both"/>
        <w:rPr>
          <w:color w:val="0070C0"/>
          <w:sz w:val="16"/>
          <w:szCs w:val="16"/>
        </w:rPr>
      </w:pPr>
      <w:r w:rsidRPr="00E14102">
        <w:rPr>
          <w:color w:val="0070C0"/>
          <w:sz w:val="16"/>
          <w:szCs w:val="16"/>
        </w:rPr>
        <w:t>Хочу подчеркнуть важность отношения к браку. У американцев исправление брака одна из важнейших производственных функций. Даже у «Форда» имеются специальные мастерские, где бракованные детали исправляются сваркой, доделкой, на машинах, руками. Вопрос об исправлении брака - вопрос подсчета: в пределах стоимости изготовления новой детали есть прямой смысл затратить средства на исправление бракованной.</w:t>
      </w:r>
    </w:p>
    <w:p w14:paraId="15B2CAD4" w14:textId="77777777" w:rsidR="00B40924" w:rsidRPr="00E14102" w:rsidRDefault="00B40924" w:rsidP="00E14102">
      <w:pPr>
        <w:jc w:val="both"/>
        <w:rPr>
          <w:color w:val="0070C0"/>
          <w:sz w:val="16"/>
          <w:szCs w:val="16"/>
        </w:rPr>
      </w:pPr>
      <w:r w:rsidRPr="00E14102">
        <w:rPr>
          <w:color w:val="0070C0"/>
          <w:sz w:val="16"/>
          <w:szCs w:val="16"/>
        </w:rPr>
        <w:t>На Горьковском автозаводе я как-то видел колоссальную кучу шестерен. Микронные отклонения в размерах, малейшее биение и в результате шестерня летит в брак. В другом месте на заводе я видел тысяч 10 поршней, полностью обработанных, тоже брак. Мне рассказывал начальник механического цеха Горьковского завода Гиссин, что от «Форда» как-то были получены клапанные втулки. Долго эти втулки лежали, но когда приперло с программой, их взяли, проверили, нашли отклонения от чертежей и предъявили «Форду» рекламацию. Тот послал наших к черту: «не теоретизируйте, а ставьте в дело, мы у себя тоже ставим».</w:t>
      </w:r>
    </w:p>
    <w:p w14:paraId="071BEBA7" w14:textId="77777777" w:rsidR="00B40924" w:rsidRPr="00E14102" w:rsidRDefault="00B40924" w:rsidP="00E14102">
      <w:pPr>
        <w:jc w:val="both"/>
        <w:rPr>
          <w:color w:val="0070C0"/>
          <w:sz w:val="16"/>
          <w:szCs w:val="16"/>
        </w:rPr>
      </w:pPr>
      <w:r w:rsidRPr="00E14102">
        <w:rPr>
          <w:color w:val="0070C0"/>
          <w:sz w:val="16"/>
          <w:szCs w:val="16"/>
        </w:rPr>
        <w:t>Нужно браковать по несоответствию техническим условиям, но столь же важно исправлять и восстанавливать бракованное, насколько возможно. Я уверен, что, если будет поставлено тщательно исправление и восстановление бракованных деталей на автомобильных, металлургических и других заводах, набежит к выпуску добавочных 10-15% хорошей продукции.</w:t>
      </w:r>
    </w:p>
    <w:p w14:paraId="552C27D4" w14:textId="77777777" w:rsidR="00B40924" w:rsidRPr="00E14102" w:rsidRDefault="00B40924" w:rsidP="00E14102">
      <w:pPr>
        <w:jc w:val="both"/>
        <w:rPr>
          <w:color w:val="0070C0"/>
          <w:sz w:val="16"/>
          <w:szCs w:val="16"/>
        </w:rPr>
      </w:pPr>
      <w:r w:rsidRPr="00E14102">
        <w:rPr>
          <w:color w:val="0070C0"/>
          <w:sz w:val="16"/>
          <w:szCs w:val="16"/>
        </w:rPr>
        <w:t>Специализация и кооперирование</w:t>
      </w:r>
    </w:p>
    <w:p w14:paraId="1A00D8C5" w14:textId="77777777" w:rsidR="00B40924" w:rsidRPr="00E14102" w:rsidRDefault="00B40924" w:rsidP="00E14102">
      <w:pPr>
        <w:jc w:val="both"/>
        <w:rPr>
          <w:color w:val="0070C0"/>
          <w:sz w:val="16"/>
          <w:szCs w:val="16"/>
        </w:rPr>
      </w:pPr>
      <w:r w:rsidRPr="00E14102">
        <w:rPr>
          <w:color w:val="0070C0"/>
          <w:sz w:val="16"/>
          <w:szCs w:val="16"/>
        </w:rPr>
        <w:t>В Соединенных Штатах специализация и кооперирование между заводами развиты в гораздо большей мере, чем в Европе. В автомобильной промышленности это выражено полнее, чем в других отраслях. Имеются кузовые заводы, рамные, моторы, заводы коробки скоростей, нормалей, руля, тормозов, колес. Специализация идет в ряде случаев дальше и глубже: заводы шестерен, поршней, колец для порошей, ободов для колес и т.д. «Форд» и «Дженерал моторе» заказывают на стороне много деталей.</w:t>
      </w:r>
    </w:p>
    <w:p w14:paraId="2D88AE7F" w14:textId="77777777" w:rsidR="00B40924" w:rsidRPr="00E14102" w:rsidRDefault="00B40924" w:rsidP="00E14102">
      <w:pPr>
        <w:jc w:val="both"/>
        <w:rPr>
          <w:color w:val="0070C0"/>
          <w:sz w:val="16"/>
          <w:szCs w:val="16"/>
        </w:rPr>
      </w:pPr>
      <w:r w:rsidRPr="00E14102">
        <w:rPr>
          <w:color w:val="0070C0"/>
          <w:sz w:val="16"/>
          <w:szCs w:val="16"/>
        </w:rPr>
        <w:t>В станочной промышленности специализация и кооперирование также развиты: литье и основные поковки изготовляют на стороне, насосы, смазочные устройства, нормали, арматура, отдельные узлы, шестерни выпускаются специальными фирмами.</w:t>
      </w:r>
    </w:p>
    <w:p w14:paraId="6F9B0910" w14:textId="77777777" w:rsidR="00B40924" w:rsidRPr="00E14102" w:rsidRDefault="00B40924" w:rsidP="00E14102">
      <w:pPr>
        <w:jc w:val="both"/>
        <w:rPr>
          <w:color w:val="0070C0"/>
          <w:sz w:val="16"/>
          <w:szCs w:val="16"/>
        </w:rPr>
      </w:pPr>
      <w:r w:rsidRPr="00E14102">
        <w:rPr>
          <w:color w:val="0070C0"/>
          <w:sz w:val="16"/>
          <w:szCs w:val="16"/>
        </w:rPr>
        <w:t xml:space="preserve">Небольшая литейная в Виндзоре обслуживает 3-4 станочных завода. </w:t>
      </w:r>
    </w:p>
    <w:p w14:paraId="29B79D3B" w14:textId="77777777" w:rsidR="00B40924" w:rsidRPr="00E14102" w:rsidRDefault="00B40924" w:rsidP="00E14102">
      <w:pPr>
        <w:jc w:val="both"/>
        <w:rPr>
          <w:color w:val="0070C0"/>
          <w:sz w:val="16"/>
          <w:szCs w:val="16"/>
        </w:rPr>
      </w:pPr>
      <w:r w:rsidRPr="00E14102">
        <w:rPr>
          <w:color w:val="0070C0"/>
          <w:sz w:val="16"/>
          <w:szCs w:val="16"/>
        </w:rPr>
        <w:t>Мировая станочная фирма «Нортон» получает литье со стороны. Станочный завод «Буллард» выполняет заказы по литью для других.</w:t>
      </w:r>
    </w:p>
    <w:p w14:paraId="0417A200" w14:textId="77777777" w:rsidR="00B40924" w:rsidRPr="00E14102" w:rsidRDefault="00B40924" w:rsidP="00E14102">
      <w:pPr>
        <w:jc w:val="both"/>
        <w:rPr>
          <w:color w:val="0070C0"/>
          <w:sz w:val="16"/>
          <w:szCs w:val="16"/>
        </w:rPr>
      </w:pPr>
      <w:r w:rsidRPr="00E14102">
        <w:rPr>
          <w:color w:val="0070C0"/>
          <w:sz w:val="16"/>
          <w:szCs w:val="16"/>
        </w:rPr>
        <w:t>Кузнечный завод в Кентоне выполняет заказы по поковкам, в частности дает коленчатые валы авиационному заводу «Райта», «Париж манюфакчюринг компани» выполняет заказы по штамповкам.</w:t>
      </w:r>
    </w:p>
    <w:p w14:paraId="19AE8B01" w14:textId="77777777" w:rsidR="00B40924" w:rsidRPr="00E14102" w:rsidRDefault="00B40924" w:rsidP="00E14102">
      <w:pPr>
        <w:jc w:val="both"/>
        <w:rPr>
          <w:color w:val="0070C0"/>
          <w:sz w:val="16"/>
          <w:szCs w:val="16"/>
        </w:rPr>
      </w:pPr>
      <w:r w:rsidRPr="00E14102">
        <w:rPr>
          <w:color w:val="0070C0"/>
          <w:sz w:val="16"/>
          <w:szCs w:val="16"/>
        </w:rPr>
        <w:t>В Соединенных Штатах много таких заводов: металлообрабатывающих, литейных, кузниц, штамповочных, модельных, штамповых мастерских, сварочных мастерских, которые играют по существу роль подсобных предприятий для машиностроительных, электромеханических и автомобильных заводов. Среди подсобных есть не только мелкие, но и крупные, например, рамный завод «Смита» в Мильвоки, делающий 7000-8000 автомобильных рам в день для большинства автозаводов. Среди тех, которые так обслуживаются, встречаются также и крупные, и мелкие заводы.</w:t>
      </w:r>
    </w:p>
    <w:p w14:paraId="58177742" w14:textId="77777777" w:rsidR="00B40924" w:rsidRPr="00E14102" w:rsidRDefault="00B40924" w:rsidP="00E14102">
      <w:pPr>
        <w:jc w:val="both"/>
        <w:rPr>
          <w:color w:val="0070C0"/>
          <w:sz w:val="16"/>
          <w:szCs w:val="16"/>
        </w:rPr>
      </w:pPr>
      <w:r w:rsidRPr="00E14102">
        <w:rPr>
          <w:color w:val="0070C0"/>
          <w:sz w:val="16"/>
          <w:szCs w:val="16"/>
        </w:rPr>
        <w:t>Продиктовано это не только инвестиционными соображениями, но и производственно-техническими выгодами специализации.</w:t>
      </w:r>
    </w:p>
    <w:p w14:paraId="17470D46" w14:textId="77777777" w:rsidR="00B40924" w:rsidRPr="00E14102" w:rsidRDefault="00B40924" w:rsidP="00E14102">
      <w:pPr>
        <w:jc w:val="both"/>
        <w:rPr>
          <w:color w:val="0070C0"/>
          <w:sz w:val="16"/>
          <w:szCs w:val="16"/>
        </w:rPr>
      </w:pPr>
      <w:r w:rsidRPr="00E14102">
        <w:rPr>
          <w:color w:val="0070C0"/>
          <w:sz w:val="16"/>
          <w:szCs w:val="16"/>
        </w:rPr>
        <w:t>Нередко такие подсобные и специализированные заводы используются для изготовления опытных конструкций или опытной партии изделий и машин. Заметно, что эти предприятия располагаются в районе большого завода или заводов и выполняют роль производственных сателлитов: к ним прибегают при расшивке узких мест, при пиках, им передают «дикие» заказы, они выполняют для больших заводов трудные индивидуальные работы, конструируют специальное оборудование (скорее и с большей секретностью) и т.д.</w:t>
      </w:r>
    </w:p>
    <w:p w14:paraId="1BD4F84B" w14:textId="77777777" w:rsidR="00B40924" w:rsidRPr="00E14102" w:rsidRDefault="00B40924" w:rsidP="00E14102">
      <w:pPr>
        <w:jc w:val="both"/>
        <w:rPr>
          <w:color w:val="0070C0"/>
          <w:sz w:val="16"/>
          <w:szCs w:val="16"/>
        </w:rPr>
      </w:pPr>
      <w:r w:rsidRPr="00E14102">
        <w:rPr>
          <w:color w:val="0070C0"/>
          <w:sz w:val="16"/>
          <w:szCs w:val="16"/>
        </w:rPr>
        <w:t>Специализация на крупных предприятиях носит характер выделения отдельных единиц в самостоятельные заводы. У «Форда» вдоль реки Руж на протяжении четырех десятков миль расположено 8 крохотных заводов, узкоспециализированных. На одном я был. Тут делается и ремонтируются только мерительные скобы. Завод по размерам - коттедж. Плотина мельничного типа дает электроэнергию. Три десятка рабочих, заведующий, сторож, счетовод - и все. Накладные расходы, конечно, ничтожные.</w:t>
      </w:r>
    </w:p>
    <w:p w14:paraId="5446221F" w14:textId="77777777" w:rsidR="00B40924" w:rsidRPr="00E14102" w:rsidRDefault="00B40924" w:rsidP="00E14102">
      <w:pPr>
        <w:jc w:val="both"/>
        <w:rPr>
          <w:color w:val="0070C0"/>
          <w:sz w:val="16"/>
          <w:szCs w:val="16"/>
        </w:rPr>
      </w:pPr>
      <w:r w:rsidRPr="00E14102">
        <w:rPr>
          <w:color w:val="0070C0"/>
          <w:sz w:val="16"/>
          <w:szCs w:val="16"/>
        </w:rPr>
        <w:t>Управлять таким предприятием легко, оно послушно, гибко, экономично, всё на глазах, учет прост. Рабочие - местные, занимаются в свободное время огородом (20657).</w:t>
      </w:r>
    </w:p>
    <w:p w14:paraId="2197E70A" w14:textId="77777777" w:rsidR="00B40924" w:rsidRPr="00E14102" w:rsidRDefault="00B40924" w:rsidP="00E14102">
      <w:pPr>
        <w:jc w:val="both"/>
        <w:rPr>
          <w:color w:val="0070C0"/>
          <w:sz w:val="16"/>
          <w:szCs w:val="16"/>
        </w:rPr>
      </w:pPr>
    </w:p>
    <w:p w14:paraId="073DD2E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9D1C6CE" w14:textId="77777777" w:rsidR="00D4105E" w:rsidRPr="00E14102" w:rsidRDefault="00D4105E" w:rsidP="00E14102">
      <w:pPr>
        <w:autoSpaceDE w:val="0"/>
        <w:autoSpaceDN w:val="0"/>
        <w:adjustRightInd w:val="0"/>
        <w:jc w:val="both"/>
        <w:rPr>
          <w:iCs/>
          <w:color w:val="000000" w:themeColor="text1"/>
          <w:sz w:val="16"/>
          <w:szCs w:val="16"/>
        </w:rPr>
      </w:pPr>
    </w:p>
    <w:p w14:paraId="2FC4BE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2 ноября по 20 декабря 1935 года на НИАПе проходили испытания стрельбой и возкой образца новой 76-мм полуавтоматической пушки 32-К, спроектированной взамен 31-К на заводе № 8. Система была рассчитана на начальную скорость 740 м/с при весе снаряда 7,1 кг и давлении 2600 кг/см2, или начальную скорость 780 м/с при весе снаряда 6,45 кг. На испытаниях на НИАПе снаряд весом 6,45 кг при заряде 1,66 кг пороха марки 12/7 имел начальную скорость 761,6 м/с и дальность 14600 м при угле +45. Согласно заключению комиссии НИАПа: надо снизить вес системы с 1572 кг до 1500 кг (как задано для дивизионных систем), доработать полуавтоматику, упрочить сошники. После исправления неисправностей системы можно подавать ее на войсковые испытания. Но до них дело не дошло в связи с успехами Ф-22 (3861).</w:t>
      </w:r>
    </w:p>
    <w:p w14:paraId="29D00344" w14:textId="77777777" w:rsidR="00D4105E" w:rsidRPr="00E14102" w:rsidRDefault="00D4105E" w:rsidP="00E14102">
      <w:pPr>
        <w:autoSpaceDE w:val="0"/>
        <w:autoSpaceDN w:val="0"/>
        <w:adjustRightInd w:val="0"/>
        <w:jc w:val="both"/>
        <w:rPr>
          <w:color w:val="000000" w:themeColor="text1"/>
          <w:sz w:val="16"/>
          <w:szCs w:val="16"/>
        </w:rPr>
      </w:pPr>
    </w:p>
    <w:p w14:paraId="2C1A16D4" w14:textId="77777777" w:rsidR="0070181A" w:rsidRPr="00E14102" w:rsidRDefault="0070181A" w:rsidP="00E14102">
      <w:pPr>
        <w:jc w:val="both"/>
        <w:rPr>
          <w:color w:val="000000" w:themeColor="text1"/>
          <w:sz w:val="16"/>
          <w:szCs w:val="16"/>
        </w:rPr>
      </w:pPr>
      <w:r w:rsidRPr="00E14102">
        <w:rPr>
          <w:color w:val="000000" w:themeColor="text1"/>
          <w:sz w:val="16"/>
          <w:szCs w:val="16"/>
        </w:rPr>
        <w:t>Со 2 ноября по 20 декабря 1935 г. проводили испытания стрельбой и возкой новой 76-мм полуавтоматической пушки 32-К, явившейся развитием 31-К.</w:t>
      </w:r>
    </w:p>
    <w:p w14:paraId="7FEA95A8" w14:textId="77777777" w:rsidR="0070181A" w:rsidRPr="00E14102" w:rsidRDefault="0070181A" w:rsidP="00E14102">
      <w:pPr>
        <w:jc w:val="both"/>
        <w:rPr>
          <w:color w:val="000000" w:themeColor="text1"/>
          <w:sz w:val="16"/>
          <w:szCs w:val="16"/>
        </w:rPr>
      </w:pPr>
      <w:r w:rsidRPr="00E14102">
        <w:rPr>
          <w:color w:val="000000" w:themeColor="text1"/>
          <w:sz w:val="16"/>
          <w:szCs w:val="16"/>
        </w:rPr>
        <w:lastRenderedPageBreak/>
        <w:t>Конструкция пушки была сохранена практически без изменений.</w:t>
      </w:r>
    </w:p>
    <w:p w14:paraId="657C5BA5" w14:textId="77777777" w:rsidR="0070181A" w:rsidRPr="00E14102" w:rsidRDefault="0070181A" w:rsidP="00E14102">
      <w:pPr>
        <w:jc w:val="both"/>
        <w:rPr>
          <w:color w:val="000000" w:themeColor="text1"/>
          <w:sz w:val="16"/>
          <w:szCs w:val="16"/>
        </w:rPr>
      </w:pPr>
      <w:r w:rsidRPr="00E14102">
        <w:rPr>
          <w:color w:val="000000" w:themeColor="text1"/>
          <w:sz w:val="16"/>
          <w:szCs w:val="16"/>
        </w:rPr>
        <w:t>Ствол состоял из свободной трубы, кожуха, казенника и щелевого дульного тормоза. Камора идентична Ф-22.</w:t>
      </w:r>
    </w:p>
    <w:p w14:paraId="6ED4AE77" w14:textId="77777777" w:rsidR="0070181A" w:rsidRPr="00E14102" w:rsidRDefault="0070181A" w:rsidP="00E14102">
      <w:pPr>
        <w:jc w:val="both"/>
        <w:rPr>
          <w:color w:val="000000" w:themeColor="text1"/>
          <w:sz w:val="16"/>
          <w:szCs w:val="16"/>
        </w:rPr>
      </w:pPr>
      <w:r w:rsidRPr="00E14102">
        <w:rPr>
          <w:color w:val="000000" w:themeColor="text1"/>
          <w:sz w:val="16"/>
          <w:szCs w:val="16"/>
        </w:rPr>
        <w:t>Образцы № 1 и № 2 имели полуавтоматику механического типа и съемный поддон. Боковины поддона в походном положении навешивают на станины.</w:t>
      </w:r>
    </w:p>
    <w:p w14:paraId="70361027" w14:textId="77777777" w:rsidR="0070181A" w:rsidRPr="00E14102" w:rsidRDefault="0070181A" w:rsidP="00E14102">
      <w:pPr>
        <w:jc w:val="both"/>
        <w:rPr>
          <w:color w:val="000000" w:themeColor="text1"/>
          <w:sz w:val="16"/>
          <w:szCs w:val="16"/>
        </w:rPr>
      </w:pPr>
      <w:r w:rsidRPr="00E14102">
        <w:rPr>
          <w:color w:val="000000" w:themeColor="text1"/>
          <w:sz w:val="16"/>
          <w:szCs w:val="16"/>
        </w:rPr>
        <w:t>Образец № 3 имел полуавтоматику 76-мм зенитной пушки обр. 1931 г. (3-К) и несъемный поддон.</w:t>
      </w:r>
    </w:p>
    <w:p w14:paraId="65168AFF" w14:textId="77777777" w:rsidR="0070181A" w:rsidRPr="00E14102" w:rsidRDefault="0070181A" w:rsidP="00E14102">
      <w:pPr>
        <w:jc w:val="both"/>
        <w:rPr>
          <w:color w:val="000000" w:themeColor="text1"/>
          <w:sz w:val="16"/>
          <w:szCs w:val="16"/>
        </w:rPr>
      </w:pPr>
      <w:r w:rsidRPr="00E14102">
        <w:rPr>
          <w:color w:val="000000" w:themeColor="text1"/>
          <w:sz w:val="16"/>
          <w:szCs w:val="16"/>
        </w:rPr>
        <w:t>Колеса были двух типов:</w:t>
      </w:r>
    </w:p>
    <w:p w14:paraId="2CDF48F5" w14:textId="77777777" w:rsidR="0070181A" w:rsidRPr="00E14102" w:rsidRDefault="0070181A" w:rsidP="00E14102">
      <w:pPr>
        <w:jc w:val="both"/>
        <w:rPr>
          <w:color w:val="000000" w:themeColor="text1"/>
          <w:sz w:val="16"/>
          <w:szCs w:val="16"/>
        </w:rPr>
      </w:pPr>
      <w:r w:rsidRPr="00E14102">
        <w:rPr>
          <w:color w:val="000000" w:themeColor="text1"/>
          <w:sz w:val="16"/>
          <w:szCs w:val="16"/>
        </w:rPr>
        <w:t>а) деревянные диаметром 1230 мм с металлическим ободом шириной 120 мм (от 122-мм гаубицы обр. 1910 г.);</w:t>
      </w:r>
    </w:p>
    <w:p w14:paraId="0CFE9D33" w14:textId="77777777" w:rsidR="0070181A" w:rsidRPr="00E14102" w:rsidRDefault="0070181A" w:rsidP="00E14102">
      <w:pPr>
        <w:jc w:val="both"/>
        <w:rPr>
          <w:color w:val="000000" w:themeColor="text1"/>
          <w:sz w:val="16"/>
          <w:szCs w:val="16"/>
        </w:rPr>
      </w:pPr>
      <w:r w:rsidRPr="00E14102">
        <w:rPr>
          <w:color w:val="000000" w:themeColor="text1"/>
          <w:sz w:val="16"/>
          <w:szCs w:val="16"/>
        </w:rPr>
        <w:t>б) металлические диаметром 1240 мм или 1250 мм с шириной обода 100 мм.</w:t>
      </w:r>
    </w:p>
    <w:p w14:paraId="1EE157DD" w14:textId="77777777" w:rsidR="0070181A" w:rsidRPr="00E14102" w:rsidRDefault="0070181A" w:rsidP="00E14102">
      <w:pPr>
        <w:jc w:val="both"/>
        <w:rPr>
          <w:color w:val="000000" w:themeColor="text1"/>
          <w:sz w:val="16"/>
          <w:szCs w:val="16"/>
        </w:rPr>
      </w:pPr>
      <w:r w:rsidRPr="00E14102">
        <w:rPr>
          <w:color w:val="000000" w:themeColor="text1"/>
          <w:sz w:val="16"/>
          <w:szCs w:val="16"/>
        </w:rPr>
        <w:t>Система была рассчитана на начальную скорость 740 м/с при весе снаряда 7,1 кг и давлении 2600 кг/см</w:t>
      </w:r>
      <w:r w:rsidRPr="00E14102">
        <w:rPr>
          <w:color w:val="000000" w:themeColor="text1"/>
          <w:sz w:val="16"/>
          <w:szCs w:val="16"/>
          <w:vertAlign w:val="superscript"/>
        </w:rPr>
        <w:t>2</w:t>
      </w:r>
      <w:r w:rsidRPr="00E14102">
        <w:rPr>
          <w:color w:val="000000" w:themeColor="text1"/>
          <w:sz w:val="16"/>
          <w:szCs w:val="16"/>
        </w:rPr>
        <w:t>, или начальную скорость 780 м/с при весе снаряда 6,45 кг. На испытаниях на НИАПе снаряд весом 6,45 кг при заряде 1,66 кг пороха марки 12/7 имел начальную скорость 761,6 м/с и дальность 14 600 м при угле +45°.</w:t>
      </w:r>
    </w:p>
    <w:p w14:paraId="45F484D0" w14:textId="77777777" w:rsidR="0070181A" w:rsidRPr="00E14102" w:rsidRDefault="0070181A" w:rsidP="00E14102">
      <w:pPr>
        <w:jc w:val="both"/>
        <w:rPr>
          <w:color w:val="000000" w:themeColor="text1"/>
          <w:sz w:val="16"/>
          <w:szCs w:val="16"/>
        </w:rPr>
      </w:pPr>
      <w:r w:rsidRPr="00E14102">
        <w:rPr>
          <w:color w:val="000000" w:themeColor="text1"/>
          <w:sz w:val="16"/>
          <w:szCs w:val="16"/>
        </w:rPr>
        <w:t>Согласно заключению комиссии НИАПа: надо снизить вес системы с 1572 кг до 1500 кг (как задано для дивизионных систем), доработать полуавтоматику, упрочить сошники. После исправления неисправностей системы можно подавать ее на войсковые испытания. Но до них дело не дошло в связи с успехами Ф-22 (15117).</w:t>
      </w:r>
    </w:p>
    <w:p w14:paraId="5097FCFF" w14:textId="77777777" w:rsidR="0070181A" w:rsidRPr="00E14102" w:rsidRDefault="0070181A" w:rsidP="00E14102">
      <w:pPr>
        <w:jc w:val="both"/>
        <w:rPr>
          <w:color w:val="000000" w:themeColor="text1"/>
          <w:sz w:val="16"/>
          <w:szCs w:val="16"/>
        </w:rPr>
      </w:pPr>
    </w:p>
    <w:p w14:paraId="71D1AF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ноября 1935 г. замнаркомобороны М.Н.Тухачевский подготовил записку в СНК СССР, согласно которой Наркомтяжпром запрашивает «за военную продукцию столько, сколько она стоит — вне зависимости от того, является ли полученная стоимость результатом правильной работы про</w:t>
      </w:r>
      <w:r w:rsidRPr="00E14102">
        <w:rPr>
          <w:color w:val="000000" w:themeColor="text1"/>
          <w:sz w:val="16"/>
          <w:szCs w:val="16"/>
        </w:rPr>
        <w:softHyphen/>
        <w:t>мышленности или же ее бесхозяйственности» (ГАРФ ф. 8418, оп. 12, д. 16, л. 147) (1566,93).</w:t>
      </w:r>
    </w:p>
    <w:p w14:paraId="145544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6319C6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84A9E5E" w14:textId="77777777" w:rsidR="00D4105E" w:rsidRPr="00E14102" w:rsidRDefault="00D4105E" w:rsidP="00E14102">
      <w:pPr>
        <w:autoSpaceDE w:val="0"/>
        <w:autoSpaceDN w:val="0"/>
        <w:adjustRightInd w:val="0"/>
        <w:jc w:val="both"/>
        <w:rPr>
          <w:iCs/>
          <w:color w:val="000000" w:themeColor="text1"/>
          <w:sz w:val="16"/>
          <w:szCs w:val="16"/>
        </w:rPr>
      </w:pPr>
    </w:p>
    <w:p w14:paraId="41AA72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были выполнены два полета по заданию 3-го полета, не состоявшегося 2 ноября по причине отказа мотора в воздухе (3081).</w:t>
      </w:r>
    </w:p>
    <w:p w14:paraId="43016AEC" w14:textId="77777777" w:rsidR="00D4105E" w:rsidRPr="00E14102" w:rsidRDefault="00D4105E" w:rsidP="00E14102">
      <w:pPr>
        <w:autoSpaceDE w:val="0"/>
        <w:autoSpaceDN w:val="0"/>
        <w:adjustRightInd w:val="0"/>
        <w:jc w:val="both"/>
        <w:rPr>
          <w:color w:val="000000" w:themeColor="text1"/>
          <w:sz w:val="16"/>
          <w:szCs w:val="16"/>
        </w:rPr>
      </w:pPr>
    </w:p>
    <w:p w14:paraId="286FAF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ноября 1935, поднявшись в воздух на ДИ-6ш, летчик решил не испытывать судьбу и вернулся на Центральный аэродром. Причину отказов выяснить не удалось; во второй половине дня штурмовик совершил контрольный полет над Центральным аэродромом. После чего летчик заявил, что плохо работает магнето и потекли верхние бензобаки. Пока заводские специалисты устраняли течь и неисправность мотора, чтобы не терять время, ведущий конструктор НИИ ВВС Воротников провел 5 ноября наземные испытания бомбардировочного вооружения. В ходе сбрасывании корпусов осколочных авиабомб АО-8 отказал электробомбосбрасыватель ЭСБР-1. При его разборке выяснилось, что просто от одной из клемм отошел проводник.</w:t>
      </w:r>
    </w:p>
    <w:p w14:paraId="5FADDF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ноябрьских праздников различные мелкие дефекты буквально преследовали испытательную бригаду, а осенняя погода мешала проведению полетов. Из-за тумана на маршруте</w:t>
      </w:r>
    </w:p>
    <w:p w14:paraId="2C605A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ноября пришлось проверять работу створок бомболюка прямо над Центральным аэродромом. На следующий день полеты отменили: к испытателям нагрянул заместитель наркома обороны М.Н. Тухачевский, ознакомившийся с вооружением ДИ-бш. 11 ноября при рулежке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078DB8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62E439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6875B0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060602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2FAA3F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315D38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605F31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3F045A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25094E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71055D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75D1E1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0FB470F2" w14:textId="77777777" w:rsidR="00D4105E" w:rsidRPr="00E14102" w:rsidRDefault="00D4105E" w:rsidP="00E14102">
      <w:pPr>
        <w:autoSpaceDE w:val="0"/>
        <w:autoSpaceDN w:val="0"/>
        <w:adjustRightInd w:val="0"/>
        <w:jc w:val="both"/>
        <w:rPr>
          <w:color w:val="000000" w:themeColor="text1"/>
          <w:sz w:val="16"/>
          <w:szCs w:val="16"/>
        </w:rPr>
      </w:pPr>
    </w:p>
    <w:p w14:paraId="185D9BB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ноября 1935 г. десять машин пост</w:t>
      </w:r>
      <w:r w:rsidRPr="00E14102">
        <w:rPr>
          <w:color w:val="000000" w:themeColor="text1"/>
          <w:sz w:val="16"/>
          <w:szCs w:val="16"/>
        </w:rPr>
        <w:softHyphen/>
        <w:t>ройки завода № 39 закончили войсковые испытания в 107-й эскадрилье 402-й Брянской авиабригады, которые проходили с 28 августа. Было выполнено более 500 полетов (из них 100 - ночью), свыше 2000 фигур высшего пилотажа. В отчете о войсковых испытаниях строевые летчики давали такую оценку И-16: “Обладает отличными пилотажными качества</w:t>
      </w:r>
      <w:r w:rsidRPr="00E14102">
        <w:rPr>
          <w:color w:val="000000" w:themeColor="text1"/>
          <w:sz w:val="16"/>
          <w:szCs w:val="16"/>
        </w:rPr>
        <w:softHyphen/>
        <w:t>ми... Управление самолетом легкое, чувствительно реа</w:t>
      </w:r>
      <w:r w:rsidRPr="00E14102">
        <w:rPr>
          <w:color w:val="000000" w:themeColor="text1"/>
          <w:sz w:val="16"/>
          <w:szCs w:val="16"/>
        </w:rPr>
        <w:softHyphen/>
        <w:t>гирует на малейшее движение рулей,...малейших ошибок не прощает... Передирание ручки на вираже и посадке опасно сваливанием в штопор... Самолет што</w:t>
      </w:r>
      <w:r w:rsidRPr="00E14102">
        <w:rPr>
          <w:color w:val="000000" w:themeColor="text1"/>
          <w:sz w:val="16"/>
          <w:szCs w:val="16"/>
        </w:rPr>
        <w:softHyphen/>
        <w:t>порит хорошо на всех высотах,...в процессе штопора при ослабленной ноге заметна после каждого витка тен</w:t>
      </w:r>
      <w:r w:rsidRPr="00E14102">
        <w:rPr>
          <w:color w:val="000000" w:themeColor="text1"/>
          <w:sz w:val="16"/>
          <w:szCs w:val="16"/>
        </w:rPr>
        <w:softHyphen/>
        <w:t>денция самолета выйти из штопора... Правый штопор проводится до 12 витков без запаздывания при выводе. Штопор влево происходит энергичнее..., ввод и вывод как в правый, но полного добора ручки не желательно, так как в этот момент самолет поднимает нос между го</w:t>
      </w:r>
      <w:r w:rsidRPr="00E14102">
        <w:rPr>
          <w:color w:val="000000" w:themeColor="text1"/>
          <w:sz w:val="16"/>
          <w:szCs w:val="16"/>
        </w:rPr>
        <w:softHyphen/>
        <w:t>ризонтом и нормальным штопором, вращение проис</w:t>
      </w:r>
      <w:r w:rsidRPr="00E14102">
        <w:rPr>
          <w:color w:val="000000" w:themeColor="text1"/>
          <w:sz w:val="16"/>
          <w:szCs w:val="16"/>
        </w:rPr>
        <w:softHyphen/>
        <w:t xml:space="preserve">ходит плоское, а вывод с запаздыванием - после пяти витков два витка запаздывания”. </w:t>
      </w:r>
      <w:r w:rsidRPr="00E14102">
        <w:rPr>
          <w:color w:val="000000" w:themeColor="text1"/>
          <w:sz w:val="16"/>
          <w:szCs w:val="16"/>
        </w:rPr>
        <w:lastRenderedPageBreak/>
        <w:t>Во время “воздушных боев” И-16 с И-7, Р-5, а также И-16 с И-16 отрабатывались рекомендации по тактичес</w:t>
      </w:r>
      <w:r w:rsidRPr="00E14102">
        <w:rPr>
          <w:color w:val="000000" w:themeColor="text1"/>
          <w:sz w:val="16"/>
          <w:szCs w:val="16"/>
        </w:rPr>
        <w:softHyphen/>
        <w:t>кому использованию истребителя. В 107-ю эскадрилью несколько раз приезжал и сам Н.Н.Поликарпов. Встречаясь со строевыми летчиками, он внимательно выслушивал их замечания по конст</w:t>
      </w:r>
      <w:r w:rsidRPr="00E14102">
        <w:rPr>
          <w:color w:val="000000" w:themeColor="text1"/>
          <w:sz w:val="16"/>
          <w:szCs w:val="16"/>
        </w:rPr>
        <w:softHyphen/>
        <w:t>рукции и характеристикам машины. Анализ этих бесед позволял оперативно изживать обнаруженные дефекты (10667).</w:t>
      </w:r>
    </w:p>
    <w:p w14:paraId="5A2B0D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0A547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ноября 1935 10 И-16 39 завода закончились войсковые испытания в 107 авиаэскадрильи Брянской бригады, которые шли с 28 августа 1935. Оценили хорошо (1808,9).</w:t>
      </w:r>
    </w:p>
    <w:p w14:paraId="1FB2C0ED" w14:textId="77777777" w:rsidR="00D4105E" w:rsidRPr="00E14102" w:rsidRDefault="00D4105E" w:rsidP="00E14102">
      <w:pPr>
        <w:autoSpaceDE w:val="0"/>
        <w:autoSpaceDN w:val="0"/>
        <w:adjustRightInd w:val="0"/>
        <w:jc w:val="both"/>
        <w:rPr>
          <w:color w:val="000000" w:themeColor="text1"/>
          <w:sz w:val="16"/>
          <w:szCs w:val="16"/>
        </w:rPr>
      </w:pPr>
    </w:p>
    <w:p w14:paraId="279FF5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ноября 1935 г. 10 И-16 М-22, построенных на заводе №39, закончили войсковые испытания в 107-й авиаэскадрилье Брянской авиабригады, которые шли с 28 августа. Изучались все слабые и положительные стороны самолета, возможные варианты его боевого применения. Выяснилось, например, что опускаемые на взлете элероны (на И-16 тип 4 и тип 5 элероны выполняли также функцию закрылков) действительно ощутимо сокращают дистанцию взлета и посадки. Это заключение стало весомым аргументом для сторонников И-16, ибо работы по расширению действующих аэродромов для новых истребителей только начались.</w:t>
      </w:r>
    </w:p>
    <w:p w14:paraId="3EA497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оценке пилотирования отмечалось, что "управление самолетом легкое, он чувствительно реагирует на движение рулей ...малейших ошибок не прощает ...Передирание ручки на вираже и посадке опасно сваливанием в штопор". Такая высокая чувствительность самолета на малые движения ручки управления -затрудняла пользование гашетками пулеметов, оснащенных механическим спуском - требовался более мягкий электроспуск. Вращение вокруг продольной оси - "бочку" - И-16 крутил за 1 - 1.2 секунды, причем самолет всегда можно было зафиксировать и в промежуточном положении. Отметили армейские пилоты (как несколько ранее испытатели), что при полетах на максимальной скорости верхняя обшивка крыльев отсасывается потоком и как бы вспучивается. В качестве пожелания предлагалось увеличить частоту нервюр - это было сделано лишь в 1937-38 гг.</w:t>
      </w:r>
    </w:p>
    <w:p w14:paraId="4B4888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Особое внимание уделили выполнению штопора. Вот основные оценки: "Самолет штопорит хорошо на всех высотах... в процессе штопора, при ослабленной ноге, заметна после каждого витка тенденция самолета выйти из штопора... правый штопор проводится до 12 витков без запаздывания при выводе. Штопор влево происходит энергичнее... ввод и вывод как в правый, но полного добора ручки не желательно, так как в этот момент самолет поднимает нос между горизонтом и нормальным штопором, вращение происходит плоское, а вывод с запаздыванием - после пяти витков два витка запаздывания ...случаев отказа управления при штопоре не было". Общая оценка самолета гласила: "Обладает отличными пилотаж ными качествами" (12015).</w:t>
      </w:r>
    </w:p>
    <w:p w14:paraId="38B9649B" w14:textId="77777777" w:rsidR="00D4105E" w:rsidRPr="00E14102" w:rsidRDefault="00D4105E" w:rsidP="00E14102">
      <w:pPr>
        <w:autoSpaceDE w:val="0"/>
        <w:autoSpaceDN w:val="0"/>
        <w:adjustRightInd w:val="0"/>
        <w:jc w:val="both"/>
        <w:rPr>
          <w:color w:val="000000" w:themeColor="text1"/>
          <w:sz w:val="16"/>
          <w:szCs w:val="16"/>
        </w:rPr>
      </w:pPr>
    </w:p>
    <w:p w14:paraId="3B5561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ноября 1935 года врид начальника УВС Хрипин писал письмо N 111/00220сс Алкснису.</w:t>
      </w:r>
    </w:p>
    <w:p w14:paraId="5597D6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w:t>
      </w:r>
    </w:p>
    <w:p w14:paraId="3D06A1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ходе выполнения основных вопросов</w:t>
      </w:r>
    </w:p>
    <w:p w14:paraId="427DA3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самолетов</w:t>
      </w:r>
    </w:p>
    <w:p w14:paraId="68EEF4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Испытания самолета ТБ3-4М34РН в НИИ закончены. Ввиду того, что отчет по испытаниям, а также выводы и заключение являлись неприемлемыми, поскольку в них требовалось до передачи самолетов в строй устранение более чем 200 дефектов, из которых ряд не являются серьезными, но потребует больших переделок в конструкции самолета. Первого ноября отчет был рассмотрен совместно НИИ и военпредами и в настоящее время перерабатывается.</w:t>
      </w:r>
    </w:p>
    <w:p w14:paraId="322F54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самолета были проведены НИИ очень полно. С точки зрения конструкции самолета в настоящее время особо опасных дефектов (поломок) нет. Хуже обстоит вопрос с вооружением, так как в КД-2 необходимо внести ряд серьезных улучшений.</w:t>
      </w:r>
    </w:p>
    <w:p w14:paraId="5CB806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точки зрения работы мотора по-прежнему наиболее серьезным остается вопрос конденсата, так как это явление проверено недостаточно.</w:t>
      </w:r>
    </w:p>
    <w:p w14:paraId="1AF0B4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Для окончания гос. испытаний ДИ6 необходимо еще 1-2 летных дня.</w:t>
      </w:r>
    </w:p>
    <w:p w14:paraId="1F5BED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Для окончания гос. испытаний СБ необходимо 5-7 летных дней. СБ сейчас возвращен ЦАГИ для отрегулировки регуляторов наддува. ЦАГИ должен возвратить самолет в НИИ 2-3 ноября с.г.</w:t>
      </w:r>
    </w:p>
    <w:p w14:paraId="24ABA7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На заводе N 39 начались совместные испытания ДИ6 в варианте штурмовика и испытание И16-М25 с установленным на него Эклипсом.</w:t>
      </w:r>
    </w:p>
    <w:p w14:paraId="683DDF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Образец И16-М25 завода N 39 для завода N 21 перегнан летом в Горький.</w:t>
      </w:r>
    </w:p>
    <w:p w14:paraId="28C3A4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Закончились удовлетворительно 50-часовые гос. испытания дизеля АН-1. Отчет по испытаниям еще не представлен.</w:t>
      </w:r>
    </w:p>
    <w:p w14:paraId="747ECE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Войсковые испытания</w:t>
      </w:r>
    </w:p>
    <w:p w14:paraId="3FC9E6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Войсковые испытания И15-М25 в Киеве и Люберцах продвинуты до выполнения 500-900 фигур и около 200 посадок. Наиболее серьезными дефектами являются трещины в нижней поперечной трубе фюзеляжа, соединяющей ноги шасси (более 10 случаев), трещины труб подмоторных установок.</w:t>
      </w:r>
    </w:p>
    <w:p w14:paraId="3FA571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Статические испытания стабилизатора показали его слабость (по новым нормам).</w:t>
      </w:r>
    </w:p>
    <w:p w14:paraId="49068F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ноября с.г. у начальника ГУАП состоится совещание по подведению предварительных итогов войсковых испытаний И15 и И16.</w:t>
      </w:r>
    </w:p>
    <w:p w14:paraId="1BCA6D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Войсковые испытания И16-М22 продолжаются, новых дефектов, неизвестных ранее, не обнаружено.</w:t>
      </w:r>
    </w:p>
    <w:p w14:paraId="3FDD5B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Войсковые испытания самолетов ТРИЭС показали наличие ряда дефектов, основными являются: повышение температуры воды, выбрасывание воды, вибрация стабилизатора, отмеченная ранее отчетом гос. испытаний.</w:t>
      </w:r>
    </w:p>
    <w:p w14:paraId="29F956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Стрельба из крыльевых пулеметов, удовлетворительная на земле, в воздухе приводит к возможности использовать около 45% патрон. Возможно, что с лучшим освоением самолетов количество отказов уменьшится.</w:t>
      </w:r>
    </w:p>
    <w:p w14:paraId="5D7994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Заводом N 1 принимаются меры к устранению дефектов.</w:t>
      </w:r>
    </w:p>
    <w:p w14:paraId="1C40A8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точки зрения пилотажных и летных данных летный состав самолетом доволен.</w:t>
      </w:r>
    </w:p>
    <w:p w14:paraId="779168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Опытное строительство</w:t>
      </w:r>
    </w:p>
    <w:p w14:paraId="20688B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истекший период времени ничего особого нет.</w:t>
      </w:r>
    </w:p>
    <w:p w14:paraId="65BA07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ДБ-4М34РН (машина А) завода N 22 был предъявлен военному представителю, но последним не принят из-за отсутствия металлических винтов и недоведенности вооружения.</w:t>
      </w:r>
    </w:p>
    <w:p w14:paraId="2CB137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Ранее второй половины ноября вряд ли будет принят.</w:t>
      </w:r>
    </w:p>
    <w:p w14:paraId="25A0F1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УВС поставило вопрос перед ГУАПом о начале производства еще в текущем году 5-ти самолетов ДБ-4М34РН для войсковых испытаний. ГУАП дал соответствующее задание заводу N 22. Вопрос с самим заводом еще полностью не согласован.</w:t>
      </w:r>
    </w:p>
    <w:p w14:paraId="2A5813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10 и 15 ноября завод N 1 должен получить от завода N 135 самолет ИП-1 для срочной переделки его под 6 пулеметов Шкас на крыльях.</w:t>
      </w:r>
    </w:p>
    <w:p w14:paraId="0FFEDD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УВС усиленно нажимает на эту работу, так как отстрел первой головной машины ИП1 в Харькове, а также опытного самолета в Ногинске показал необходимость дальнейших усилений обшивки хвостового оперения, не выдерживающей 100 выстрелов из АПК.</w:t>
      </w:r>
    </w:p>
    <w:p w14:paraId="3F7223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том виде в каком ИП1 строится на заводе N 135, по указанным выше причинам самолет для ВС является неприемлемым. Отстрелы на макетном крыле батареи ШКАС"ов проведены вполне удовлетворительно, одобрены Шпитальным.</w:t>
      </w:r>
    </w:p>
    <w:p w14:paraId="18D8C8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Установка эксплуатационно чрезвычайно удобна. При демонстрации зарядка патронного ящика на 750 патрон и установка пулеметов отняла только 3,5 мин. (3120,61-69).</w:t>
      </w:r>
    </w:p>
    <w:p w14:paraId="4F7FD18C" w14:textId="77777777" w:rsidR="00D4105E" w:rsidRPr="00E14102" w:rsidRDefault="00D4105E" w:rsidP="00E14102">
      <w:pPr>
        <w:autoSpaceDE w:val="0"/>
        <w:autoSpaceDN w:val="0"/>
        <w:adjustRightInd w:val="0"/>
        <w:jc w:val="both"/>
        <w:rPr>
          <w:color w:val="000000" w:themeColor="text1"/>
          <w:sz w:val="16"/>
          <w:szCs w:val="16"/>
        </w:rPr>
      </w:pPr>
    </w:p>
    <w:p w14:paraId="7596C9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ноября 1935 года зам. наркома обороны Тухачевский писал письмо № 376375сс/о председателю СТО Молотову</w:t>
      </w:r>
    </w:p>
    <w:p w14:paraId="34BCB44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Заводом № 24 изготовлен форсированный высотный мотор М-34, развивающий мощность в 1200 л.с.</w:t>
      </w:r>
    </w:p>
    <w:p w14:paraId="465BCE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прошел 60-ти часовые испытания.</w:t>
      </w:r>
    </w:p>
    <w:p w14:paraId="4B0230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того, что такой мотор может значительно повысить скоростные показатели самолетов, прошу заслушать этот вопрос на заседании КО и обязать директора 24-го завода Марьямова изготовить в течении ближайших месяцев 40 форсированных моторов М-34.</w:t>
      </w:r>
    </w:p>
    <w:p w14:paraId="2E1BC8F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Одновременно докладываю, что мотор М-34, при крайнем его форсировании, развил мощность до 1700 л.с., что позволяет сконструировать самолет для установления мирового рекорда скорости (3475,92).</w:t>
      </w:r>
    </w:p>
    <w:p w14:paraId="7AFA8A64"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789C2186" w14:textId="77777777" w:rsidR="0070181A"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8BF13FC" w14:textId="77777777" w:rsidR="0070181A" w:rsidRPr="00E14102" w:rsidRDefault="0070181A" w:rsidP="00E14102">
      <w:pPr>
        <w:autoSpaceDE w:val="0"/>
        <w:autoSpaceDN w:val="0"/>
        <w:adjustRightInd w:val="0"/>
        <w:jc w:val="both"/>
        <w:rPr>
          <w:iCs/>
          <w:color w:val="000000" w:themeColor="text1"/>
          <w:sz w:val="16"/>
          <w:szCs w:val="16"/>
        </w:rPr>
      </w:pPr>
    </w:p>
    <w:p w14:paraId="756E5939" w14:textId="77777777" w:rsidR="0070181A" w:rsidRPr="00E14102" w:rsidRDefault="0070181A"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3 ноября </w:t>
      </w:r>
      <w:r w:rsidRPr="00E14102">
        <w:rPr>
          <w:color w:val="000000" w:themeColor="text1"/>
          <w:sz w:val="16"/>
          <w:szCs w:val="16"/>
        </w:rPr>
        <w:t>в 1935 году как доложили наркому НКВД Генриху Ягоде питерские чекисты, в 22 часа из-под стражи были освобождены арестованные в Ленинграде в одну ночь искусствовед Николай Пунин (1888–1953) и будущий историк Лев Гумилев (1912–1992). Первый — муж Анны Ахматовой, второй, соответственно, ее сын от первого брака с поэтом Николаем Гумилевым, расстрелянным в 1921 году. Тем самым было выполнено распоряжение И.В.Сталина и В.М.Молотова «освободить из-под ареста Пунина и Гумилева и сообщить об исполнении», последовавшее через несколько дней после того, как вождям передали письмо Анны Ахматовой и Бориса Пастернака со смиренной просьбой принять участие в судьбе арестованных (14819).</w:t>
      </w:r>
    </w:p>
    <w:p w14:paraId="2561E621" w14:textId="77777777" w:rsidR="0070181A" w:rsidRPr="00E14102" w:rsidRDefault="0070181A" w:rsidP="00E14102">
      <w:pPr>
        <w:jc w:val="both"/>
        <w:rPr>
          <w:color w:val="000000" w:themeColor="text1"/>
          <w:sz w:val="16"/>
          <w:szCs w:val="16"/>
        </w:rPr>
      </w:pPr>
    </w:p>
    <w:p w14:paraId="37C654B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EAD747B" w14:textId="77777777" w:rsidR="00D4105E" w:rsidRPr="00E14102" w:rsidRDefault="00D4105E" w:rsidP="00E14102">
      <w:pPr>
        <w:autoSpaceDE w:val="0"/>
        <w:autoSpaceDN w:val="0"/>
        <w:adjustRightInd w:val="0"/>
        <w:jc w:val="both"/>
        <w:rPr>
          <w:iCs/>
          <w:color w:val="000000" w:themeColor="text1"/>
          <w:sz w:val="16"/>
          <w:szCs w:val="16"/>
        </w:rPr>
      </w:pPr>
    </w:p>
    <w:p w14:paraId="6F5A77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ноября 1935 в Греции была восстановлена монархия (2249) в результате плебисцита - 97% (3481).</w:t>
      </w:r>
    </w:p>
    <w:p w14:paraId="7CB14EF3" w14:textId="77777777" w:rsidR="00D4105E" w:rsidRPr="00E14102" w:rsidRDefault="00D4105E" w:rsidP="00E14102">
      <w:pPr>
        <w:autoSpaceDE w:val="0"/>
        <w:autoSpaceDN w:val="0"/>
        <w:adjustRightInd w:val="0"/>
        <w:jc w:val="both"/>
        <w:rPr>
          <w:color w:val="000000" w:themeColor="text1"/>
          <w:sz w:val="16"/>
          <w:szCs w:val="16"/>
        </w:rPr>
      </w:pPr>
    </w:p>
    <w:p w14:paraId="392EBBAF" w14:textId="77777777" w:rsidR="0070181A" w:rsidRPr="00E14102" w:rsidRDefault="0070181A" w:rsidP="00E14102">
      <w:pPr>
        <w:jc w:val="both"/>
        <w:rPr>
          <w:color w:val="000000" w:themeColor="text1"/>
          <w:sz w:val="16"/>
          <w:szCs w:val="16"/>
        </w:rPr>
      </w:pPr>
      <w:r w:rsidRPr="00E14102">
        <w:rPr>
          <w:rStyle w:val="ucoz-forum-post"/>
          <w:rFonts w:eastAsiaTheme="majorEastAsia"/>
          <w:bCs/>
          <w:color w:val="000000" w:themeColor="text1"/>
          <w:sz w:val="16"/>
          <w:szCs w:val="16"/>
        </w:rPr>
        <w:lastRenderedPageBreak/>
        <w:t xml:space="preserve">3 ноября </w:t>
      </w:r>
      <w:r w:rsidRPr="00E14102">
        <w:rPr>
          <w:color w:val="000000" w:themeColor="text1"/>
          <w:sz w:val="16"/>
          <w:szCs w:val="16"/>
        </w:rPr>
        <w:t>в 1935 году в Греции на плебисците по вопросу о восстановлении монархии и избрании королем Георга II положительно высказываются 97% проголосовавших граждан. По мнению многих историков, итоги голосования были сфальсифицированы участниками недавнего переворота в стране, пришедшими к власти. Тем не менее, Георг, правивший страной в 1922-24 вплоть до провозглашения республики, после чего отрекшийся и уехавший за границу, вновь взойдет на престол (14819).</w:t>
      </w:r>
    </w:p>
    <w:p w14:paraId="50E308B5" w14:textId="77777777" w:rsidR="0070181A" w:rsidRPr="00E14102" w:rsidRDefault="0070181A" w:rsidP="00E14102">
      <w:pPr>
        <w:jc w:val="both"/>
        <w:rPr>
          <w:color w:val="000000" w:themeColor="text1"/>
          <w:sz w:val="16"/>
          <w:szCs w:val="16"/>
        </w:rPr>
      </w:pPr>
    </w:p>
    <w:p w14:paraId="30D1E3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ноября 1935 французские социалистические организации объединились в Союз социалистов и республиканцев во главе с Леоном Блюмом и вскоре установили тесные отношения с социал-радикалами и коммунистами для образования Народного фронта (3481).</w:t>
      </w:r>
    </w:p>
    <w:p w14:paraId="7F0A72EA" w14:textId="77777777" w:rsidR="00D4105E" w:rsidRPr="00E14102" w:rsidRDefault="00D4105E" w:rsidP="00E14102">
      <w:pPr>
        <w:autoSpaceDE w:val="0"/>
        <w:autoSpaceDN w:val="0"/>
        <w:adjustRightInd w:val="0"/>
        <w:jc w:val="both"/>
        <w:rPr>
          <w:color w:val="000000" w:themeColor="text1"/>
          <w:sz w:val="16"/>
          <w:szCs w:val="16"/>
        </w:rPr>
      </w:pPr>
    </w:p>
    <w:p w14:paraId="4EE768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ноября 1935 Япония организовала в Китае марионеточное правительство в Хэбэе (3186).</w:t>
      </w:r>
    </w:p>
    <w:p w14:paraId="1EA8983C" w14:textId="77777777" w:rsidR="00D4105E" w:rsidRPr="00E14102" w:rsidRDefault="00D4105E" w:rsidP="00E14102">
      <w:pPr>
        <w:autoSpaceDE w:val="0"/>
        <w:autoSpaceDN w:val="0"/>
        <w:adjustRightInd w:val="0"/>
        <w:jc w:val="both"/>
        <w:rPr>
          <w:color w:val="000000" w:themeColor="text1"/>
          <w:sz w:val="16"/>
          <w:szCs w:val="16"/>
        </w:rPr>
      </w:pPr>
    </w:p>
    <w:p w14:paraId="44E4FD4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FD57193" w14:textId="77777777" w:rsidR="00D4105E" w:rsidRPr="00E14102" w:rsidRDefault="00D4105E" w:rsidP="00E14102">
      <w:pPr>
        <w:autoSpaceDE w:val="0"/>
        <w:autoSpaceDN w:val="0"/>
        <w:adjustRightInd w:val="0"/>
        <w:jc w:val="both"/>
        <w:rPr>
          <w:iCs/>
          <w:color w:val="000000" w:themeColor="text1"/>
          <w:sz w:val="16"/>
          <w:szCs w:val="16"/>
        </w:rPr>
      </w:pPr>
    </w:p>
    <w:p w14:paraId="5A72D3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ноября 1935 состоялось совещание у А.Н.Т. по вопросу состояния работ по ТБ-7 (АНТ-42) (1077,281).</w:t>
      </w:r>
    </w:p>
    <w:p w14:paraId="022E201C" w14:textId="77777777" w:rsidR="00D4105E" w:rsidRPr="00E14102" w:rsidRDefault="00D4105E" w:rsidP="00E14102">
      <w:pPr>
        <w:autoSpaceDE w:val="0"/>
        <w:autoSpaceDN w:val="0"/>
        <w:adjustRightInd w:val="0"/>
        <w:jc w:val="both"/>
        <w:rPr>
          <w:color w:val="000000" w:themeColor="text1"/>
          <w:sz w:val="16"/>
          <w:szCs w:val="16"/>
        </w:rPr>
      </w:pPr>
    </w:p>
    <w:p w14:paraId="3E928A5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 ноября 1935 года вышел Приказ НИИ ВС № 0574 О принятии на гос. испытания самолета амфибии МБР5 с мотором РЦ постройки завода № 31.</w:t>
      </w:r>
    </w:p>
    <w:p w14:paraId="16D31AD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провести в Севастополе (6815, 144).</w:t>
      </w:r>
    </w:p>
    <w:p w14:paraId="3BB9305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A7FBC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ноября 1935 года закончились войсковые испытания самолета ЦКБ-12 с М-22 производства завода N 39 производились в/ч 1352, которые проходили с 28 сентября (3120,170-218).</w:t>
      </w:r>
    </w:p>
    <w:p w14:paraId="217F31E7" w14:textId="77777777" w:rsidR="00D4105E" w:rsidRPr="00E14102" w:rsidRDefault="00D4105E" w:rsidP="00E14102">
      <w:pPr>
        <w:autoSpaceDE w:val="0"/>
        <w:autoSpaceDN w:val="0"/>
        <w:adjustRightInd w:val="0"/>
        <w:jc w:val="both"/>
        <w:rPr>
          <w:color w:val="000000" w:themeColor="text1"/>
          <w:sz w:val="16"/>
          <w:szCs w:val="16"/>
        </w:rPr>
      </w:pPr>
    </w:p>
    <w:p w14:paraId="27AA3D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ноября 1935 состоялось совещание у зам. нач. ГУАП Марголина (протокол 83):</w:t>
      </w:r>
    </w:p>
    <w:p w14:paraId="48F485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Слушали: О дефектах, опасных для полета на самолете И-16, выявившихся при войсковых испытания:</w:t>
      </w:r>
    </w:p>
    <w:p w14:paraId="67B128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подогрев карбюратора (течь бензина).</w:t>
      </w:r>
    </w:p>
    <w:p w14:paraId="1269DE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попадание отработанных газов в кабину л</w:t>
      </w:r>
    </w:p>
    <w:p w14:paraId="0289D8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подогрев отработанными газами патронного ящика." (2177,281).</w:t>
      </w:r>
    </w:p>
    <w:p w14:paraId="7D33293D" w14:textId="77777777" w:rsidR="00D4105E" w:rsidRPr="00E14102" w:rsidRDefault="00D4105E" w:rsidP="00E14102">
      <w:pPr>
        <w:autoSpaceDE w:val="0"/>
        <w:autoSpaceDN w:val="0"/>
        <w:adjustRightInd w:val="0"/>
        <w:jc w:val="both"/>
        <w:rPr>
          <w:color w:val="000000" w:themeColor="text1"/>
          <w:sz w:val="16"/>
          <w:szCs w:val="16"/>
        </w:rPr>
      </w:pPr>
    </w:p>
    <w:p w14:paraId="2EC20F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ноября 1935 на ДБА 4М-34РН в ходе заводских испытаний в Щелково летали 1 раз 0:45 и это был первый полет с металлическими винтами на снятие скоростей и оборотов на расчетной высоте. Это был 21-й полет (249).</w:t>
      </w:r>
    </w:p>
    <w:p w14:paraId="65D13351" w14:textId="77777777" w:rsidR="00D4105E" w:rsidRPr="00E14102" w:rsidRDefault="00D4105E" w:rsidP="00E14102">
      <w:pPr>
        <w:autoSpaceDE w:val="0"/>
        <w:autoSpaceDN w:val="0"/>
        <w:adjustRightInd w:val="0"/>
        <w:jc w:val="both"/>
        <w:rPr>
          <w:color w:val="000000" w:themeColor="text1"/>
          <w:sz w:val="16"/>
          <w:szCs w:val="16"/>
        </w:rPr>
      </w:pPr>
    </w:p>
    <w:p w14:paraId="25AA95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ноября 1935 п/п Зам. НКО Тухачевского появилось письмо № 3120/с Зам. НКТП тов. Пятакову:</w:t>
      </w:r>
    </w:p>
    <w:p w14:paraId="1C3338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Согласно плану опытного строительства, утвер</w:t>
      </w:r>
      <w:r w:rsidRPr="00E14102">
        <w:rPr>
          <w:color w:val="000000" w:themeColor="text1"/>
          <w:sz w:val="16"/>
          <w:szCs w:val="16"/>
        </w:rPr>
        <w:softHyphen/>
        <w:t>жденному Советом Труда и Обороны 16/1У - 1935г., НКТП и НКО были обязаны в двухмесячный срок, т.е. к 16-му июня с. г. представить на утверждение СТО план работ по созданию самолетов и моторов для побития мировых рекордов высоты и дальности полета.</w:t>
      </w:r>
    </w:p>
    <w:p w14:paraId="7415533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Несмотря на неоднократные обращения УВС в ГУАП, после дний до настоящего времени указанный план не составил.</w:t>
      </w:r>
    </w:p>
    <w:p w14:paraId="7126AF5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Вместе с тем, отдельные разрозненные работы над рекордными самолетами в системе ГУАП"а ведутся.</w:t>
      </w:r>
    </w:p>
    <w:p w14:paraId="74224D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Прошу дать указание Начальнику ГУАП"а немед</w:t>
      </w:r>
      <w:r w:rsidRPr="00E14102">
        <w:rPr>
          <w:color w:val="000000" w:themeColor="text1"/>
          <w:sz w:val="16"/>
          <w:szCs w:val="16"/>
        </w:rPr>
        <w:softHyphen/>
        <w:t>ленно разработать упомянутый выше план и согласовав его с НКО - внести на утверждение СТО (3419,122).</w:t>
      </w:r>
    </w:p>
    <w:p w14:paraId="630F117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41E601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C594C57" w14:textId="77777777" w:rsidR="00D4105E" w:rsidRPr="00E14102" w:rsidRDefault="00D4105E" w:rsidP="00E14102">
      <w:pPr>
        <w:autoSpaceDE w:val="0"/>
        <w:autoSpaceDN w:val="0"/>
        <w:adjustRightInd w:val="0"/>
        <w:jc w:val="both"/>
        <w:rPr>
          <w:iCs/>
          <w:color w:val="000000" w:themeColor="text1"/>
          <w:sz w:val="16"/>
          <w:szCs w:val="16"/>
        </w:rPr>
      </w:pPr>
    </w:p>
    <w:p w14:paraId="78D2745A" w14:textId="77777777" w:rsidR="0070181A" w:rsidRPr="00E14102" w:rsidRDefault="0070181A" w:rsidP="00E14102">
      <w:pPr>
        <w:jc w:val="both"/>
        <w:rPr>
          <w:rStyle w:val="a6"/>
          <w:i w:val="0"/>
          <w:color w:val="000000" w:themeColor="text1"/>
          <w:sz w:val="16"/>
          <w:szCs w:val="16"/>
        </w:rPr>
      </w:pPr>
      <w:r w:rsidRPr="00E14102">
        <w:rPr>
          <w:rStyle w:val="a6"/>
          <w:i w:val="0"/>
          <w:color w:val="000000" w:themeColor="text1"/>
          <w:sz w:val="16"/>
          <w:szCs w:val="16"/>
        </w:rPr>
        <w:t xml:space="preserve">4 ноября 1935 г. </w:t>
      </w:r>
      <w:r w:rsidRPr="00E14102">
        <w:rPr>
          <w:color w:val="000000" w:themeColor="text1"/>
          <w:sz w:val="16"/>
          <w:szCs w:val="16"/>
        </w:rPr>
        <w:t>Заключение Госплана СССР по ходатайству Наркомата тяжелой промышленности СССР о соблюдении плановой дисциплины главными управлениями военной промышленности¹*</w:t>
      </w:r>
    </w:p>
    <w:p w14:paraId="3CC69D3A" w14:textId="77777777" w:rsidR="0070181A" w:rsidRPr="00E14102" w:rsidRDefault="0070181A"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2A8A8FB7"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В связи с постановкой данного вопроса Госплан считает необходимым прежде всего отметить, что в строительстве военной промышленности очень слабо соблюдается плановая дисциплина. Обычная практика военных главков такова, что на другой же день после утверждения плана начинается его ломка и переверстка, которая на протяжении года повторяется множество раз и которая превращает план в документ, нужный только для получения денег. В результате часто урезываются ассигнования более важным стройкам и даются дополнительные средства менее важным. Такая практика приводит к тому, что на заводах нередко строятся внетитульные работы, нет надлежащей борьбы за мобилизацию материальных ресурсов, за снижение стоимости строительства, допускаются излишества и т. п. В свете этих замечаний Госплан подходит и к разбираемому ходатайству НКТП.</w:t>
      </w:r>
    </w:p>
    <w:p w14:paraId="20B82A90"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По заводам ГВМУ</w:t>
      </w:r>
    </w:p>
    <w:p w14:paraId="544589F0"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НКТП снижает план по целому ряду заводов, которые имеют первостепенное значение и которым постановлением СТО от 16 июля с. г. даны были добавочные ассигнования с целью форсирования их строительства¹*. Так, например, уменьшаются на 1020 тыс. руб. вложения по Ковровскому заводу ИНЗ № 2, на котором строится цех крупнокалиберного пулемета ШВАК. Пулемет этот нам крайне нужен, строительство цеха перешло с прошлого года и могло бы быть в основном закончено в 1935 г., для чего, по просьбе НКТП, в III и IV кварталах правительство добавило этому заводу 1500 тыс. руб. Уменьшение вложений по этому объекту отодвигает срок его окончания на 1936 г. С завода № 78 в Челябинске снимается 6183 тыс. руб. Между тем, это — наиболее важная и срочная стройка в системе ГВМУ, так как до пуска этого завода наша тяжелая артиллерия не обеспечена снарядами. Для этой стройки НКТП тоже получил во II полугодии дополнительно 1800 тыс. руб. Строительство завода настолько развернуто, что не могло быть никаких сомнений в возможности выполнения назначенного ему объема работ. Уменьшение вложений по этому объекту на такую крупную сумму Госплану представляется совершенно необоснованным. С завода № 42 в Самаре НКТП снимает 9150 тыс. руб., хотя и для него получено дополнительно во II полугодии 1200 тыс. руб. На этом заводе уже второй год строится цех механической трубки, в которой армия испытывает острую нужду. Кроме того специальным постановлением правительства от 21 апреля с. г. заводу отпущено свыше 20 млн. руб. на строительство по часовому производству, связанному с механической трубкой. НКТП снимает отсюда свыше 9 млн. руб. и тем самым не выполняет постановлений правительства ни по механической трубке, ни по часам. Уменьшаются вложения по Тульскому патронному заводу (ТПЗ) на 5315 тыс. руб., в то время как во II полугодии НКТП получил для этого завода дополнительно к годовому плану 6250 тыс. руб. То же самое сделано и с заводом им. Серго (орудийные гильзы), с которого снято 2047 тыс. руб. из 3650 тыс. руб., полученных дополнительно во II полугодии. Спрашивается, зачем НКТП просил у правительства дополнительных ассигнований для данных заводов, если они оказались им ненужными?</w:t>
      </w:r>
    </w:p>
    <w:p w14:paraId="0AC99BCD"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НКТП произвел уменьшение вложений почти по всем снарядным заводам, между тем как снарядная база у нас крайне отстала, и снарядные заводы нуждаются в упорядочении и развитии больше, чем другие. Произведено уменьшение ассигнований по восточным базам Бензоскладстроя на 11 266 тыс. руб. Тем самым не обеспечивается окончание строительства III очереди емкостей для ОКДВА. Госплан не может признать целесообразность такой операции и считает, что у НКТП были все возможности ввести в эксплуатацию в 1935 г. III очередь емкостей на Востоке. Госплан не видит также целесообразности в уменьшении вложений по заводам оптической промышленности, принимая во внимание отставание этой отрасли от уровня развития артиллерии, танков и авиации и небольшие размеры вложений, утвержденных правительством для этих заводов.</w:t>
      </w:r>
    </w:p>
    <w:p w14:paraId="736AB241"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Таким образом, большинство сокращений, произведенных НКТП по заводам ГВМУ, представляются Госплану необоснованными и нарушающими директивы правительства о подтягивании наиболее отстающих военных производств и о форсировании строительства наиболее важных объектов. При этом Госплан отмечает совершенную ненормальность такого положения, когда сокращения произведены именно по тем объектам, которым, по ходатайству НКТП, отпущены дополнительные ассигнования во II полугодии в целях ускорения сроков их окончания. Между тем НКТП, получив из резерва СНК средства для одних заводов, перебрасывает их на другие, сводя тем самым на нет целевое назначение этих средств. С другой стороны, можно предположить, что НКТП испрашивал избыточные средства для некоторых заводов, не создав необходимых условий для их эффективного освоения.</w:t>
      </w:r>
    </w:p>
    <w:p w14:paraId="5F455CF3"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Обращаясь к произведенным НКТП увеличениям вложений, Госплан считает необходимым заявить, что он тоже не может признать их целесообразным.</w:t>
      </w:r>
    </w:p>
    <w:p w14:paraId="030BC181"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Прежде всего Госплан считает неправильной переброску средств из военной промышленности в другие отрасли. В записке т. Пятакова показывается изъятие из военной промышленности в пользу других отраслей 16,5 млн. руб., из коих 6,5 млн. руб. в пользу золотопромышленности и НКО по решению СНК, а 10 млн. руб. распоряжением НКТП. Фактически, однако, изъятие средств из военной промышленности составляет значительно большую сумму. Так, например, по сумме четырех кварталов на капитальные работы ГВМУ отпущено НКТПромом 487,1 млн. руб. (без ОРСов), тогда как по годовому плану правительством утверждено 509,6 млн. руб., т. е. недодано 22,5 млн. руб. Подобные изъятия средств производились и по другим главкам военной промышленности из общей суммы.</w:t>
      </w:r>
    </w:p>
    <w:p w14:paraId="750B2290"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 xml:space="preserve">Госплан отмечает, что из общей суммы увеличения плана по заводам ГВМУ на 40,6 млн. руб. основная часть падает на артиллерийские заводы (14,1 млн. руб.), на танковые заводы (5,7 млн. руб.) и на оружейные заводы (3,7 млн. руб.), т. е. как раз на те заводы, мощности которых у нас наиболее развиты. Увеличение вложений по большинству из этих заводов не имеет серьезных обоснований. Так, например, по орудийному заводу им. Молотова в Перми НКТП увеличил вложения на 6,3 млн. руб. Строительство на этом заводе ведется безобразно, все всякого плана, по одному лишь усмотрению директора завода. Основная черта этого </w:t>
      </w:r>
      <w:r w:rsidRPr="00E14102">
        <w:rPr>
          <w:color w:val="000000" w:themeColor="text1"/>
          <w:sz w:val="16"/>
          <w:szCs w:val="16"/>
        </w:rPr>
        <w:lastRenderedPageBreak/>
        <w:t>строительства — это внеплановые работы, которые составляют несколько миллионов рублей. Завод для этого систематически заимствует значительные суммы из оборотных средств, для восстановления которых ГВМУ вынуждено давать ему дополнительные ассигнования. На заводе нет сметной дисциплины, нет никакой борьбы за снижение стоимости строительства, в результате чего мы имеем удорожание против сметы в I полугодии на 40%. В строительстве завода можно отметить дорогостоящие излишества. Наряду с этим плановые работы из года в год не выполняются, и реконструкции завода не видно конца, хотя она и обошлась уже стране в 125 млн. руб. При таком положении увеличение ассигнований этому строительству объективно означает санкционирование творящихся на нем безобразий.</w:t>
      </w:r>
    </w:p>
    <w:p w14:paraId="4739F111"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Отмеченные выше особенности строительства на заводе им. Молотова имеют место в той или иной мере и на других орудийных заводах, которым ГВМУ увеличило ассигнования. Внеплановые работы, позаимствование оборотных средств, удорожание строительства наряду с невыполнением плана по основным работам — все это можно найти и на «Баррикадах», и на «Большевике», и на заводе № 8. Увеличение затрат по этим заводам в основном идет на погашение издержек от плохой работы. То же самое можно сказать и про оружейные заводы — Ижевский и Тульский. Здесь тоже увеличение вложений не обосновано и вызвано главным образом наличием внеплановых работ, удорожанием и задолженностью. Не было также действительной необходимости в увеличении вложений по танковым заводам, особенно учитывая, что для этого пришлось уменьшать вложения по снарядным, гильзовым и трубочным заводам.</w:t>
      </w:r>
    </w:p>
    <w:p w14:paraId="14E1E23C"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Госплан вместе с тем отмечает, что несмотря на наличие закона, запрещающего наркоматам производить изменения титульных списков в размерах свыше 10% ассигнований, НКТП произвел эти изменения без разрешения СНК и обратился теперь за санкцией лишь после того, как Промбанк закрыл финансирование строек, исчерпавших свои годовые лимиты.</w:t>
      </w:r>
    </w:p>
    <w:p w14:paraId="38B0CF18"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На основании всего изложенного Госплан приходит к выводу, что в части заводов ГВМУ нет оснований к удовлетворению ходатайства НКТП.</w:t>
      </w:r>
    </w:p>
    <w:p w14:paraId="7205A781"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По заводам ГУАПа и точной индустрии</w:t>
      </w:r>
    </w:p>
    <w:p w14:paraId="5DF7ED42"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В отношении заводов ГУАПа Госплан отмечает, что утвержденного СНК годового титульного списка по ГУАПу нет. Это единственный главк НКТП, который финансируется по своему собственному титульному списку. Поэтому производимые ГУАПом перегруппировки вложений между заводами невозможно оценить с точки зрения выполнения плана. По существу же намечаемых передвижек особых возражений со стороны Госплана нет.</w:t>
      </w:r>
    </w:p>
    <w:p w14:paraId="0B55DE50"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Точно так же нет возражений против изменений по титульному списку точной индустрии.</w:t>
      </w:r>
    </w:p>
    <w:p w14:paraId="783E54A9" w14:textId="77777777" w:rsidR="0070181A" w:rsidRPr="00E14102" w:rsidRDefault="0070181A"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Председатель Госплана СССР Межлаук</w:t>
      </w:r>
    </w:p>
    <w:p w14:paraId="0A42E10B" w14:textId="77777777" w:rsidR="0070181A" w:rsidRPr="00E14102" w:rsidRDefault="0070181A"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42C00A09"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¹* Заключение было направлено в СНК СССР В. М. Молотову.</w:t>
      </w:r>
    </w:p>
    <w:p w14:paraId="5C4DC718"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²* ГА РФ. Ф. Р</w:t>
      </w:r>
      <w:r w:rsidRPr="00E14102">
        <w:rPr>
          <w:color w:val="000000" w:themeColor="text1"/>
          <w:sz w:val="16"/>
          <w:szCs w:val="16"/>
        </w:rPr>
        <w:noBreakHyphen/>
        <w:t>8418. Оп. 28. Д. 7. Л. 34</w:t>
      </w:r>
      <w:r w:rsidRPr="00E14102">
        <w:rPr>
          <w:color w:val="000000" w:themeColor="text1"/>
          <w:sz w:val="16"/>
          <w:szCs w:val="16"/>
        </w:rPr>
        <w:noBreakHyphen/>
        <w:t>39.</w:t>
      </w:r>
    </w:p>
    <w:p w14:paraId="2EDBDD07" w14:textId="77777777" w:rsidR="0070181A" w:rsidRPr="00E14102" w:rsidRDefault="0070181A"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ГА РФ. Ф. 5446. Оп. 16а. Д. 55. Л. 3-4 об. Подлинник (15359).</w:t>
      </w:r>
    </w:p>
    <w:p w14:paraId="43BB324E" w14:textId="77777777" w:rsidR="0070181A" w:rsidRPr="00E14102" w:rsidRDefault="0070181A" w:rsidP="00E14102">
      <w:pPr>
        <w:shd w:val="clear" w:color="auto" w:fill="FFFFFF"/>
        <w:jc w:val="both"/>
        <w:rPr>
          <w:color w:val="000000" w:themeColor="text1"/>
          <w:sz w:val="16"/>
          <w:szCs w:val="16"/>
        </w:rPr>
      </w:pPr>
    </w:p>
    <w:p w14:paraId="7F85AF3A" w14:textId="77777777" w:rsidR="0070181A" w:rsidRPr="00E14102" w:rsidRDefault="0070181A" w:rsidP="00E14102">
      <w:pPr>
        <w:jc w:val="both"/>
        <w:rPr>
          <w:rStyle w:val="a6"/>
          <w:i w:val="0"/>
          <w:color w:val="000000" w:themeColor="text1"/>
          <w:sz w:val="16"/>
          <w:szCs w:val="16"/>
        </w:rPr>
      </w:pPr>
      <w:r w:rsidRPr="00E14102">
        <w:rPr>
          <w:rStyle w:val="a6"/>
          <w:i w:val="0"/>
          <w:color w:val="000000" w:themeColor="text1"/>
          <w:sz w:val="16"/>
          <w:szCs w:val="16"/>
        </w:rPr>
        <w:t xml:space="preserve">4 ноября 1935 г. </w:t>
      </w:r>
      <w:r w:rsidRPr="00E14102">
        <w:rPr>
          <w:color w:val="000000" w:themeColor="text1"/>
          <w:sz w:val="16"/>
          <w:szCs w:val="16"/>
        </w:rPr>
        <w:t>Из доклада заместителя наркома тяжелой промышленности СССР, начальника ГВМУ И. П. Павлуновского председателю СТО СССР В. М. Молотову о работе оборонных заводов в 1935 г. — О перестройке военной промышленности на современное массовое производство</w:t>
      </w:r>
    </w:p>
    <w:p w14:paraId="46A03C8E" w14:textId="77777777" w:rsidR="0070181A" w:rsidRPr="00E14102" w:rsidRDefault="0070181A"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0C3FF06D" w14:textId="77777777" w:rsidR="0070181A" w:rsidRPr="00E14102" w:rsidRDefault="0070181A"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rPr>
        <w:t>I</w:t>
      </w:r>
    </w:p>
    <w:p w14:paraId="0BF73B1A"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В 1935 г. промышленностью, наряду с выполнением заказов НКО, проведена большая работа по перестройке производства военных изделий на заводах с отсталого, полукустарного метода работы на современный метод массового производства (так называемые чертежи лит. “Б”).</w:t>
      </w:r>
    </w:p>
    <w:p w14:paraId="26A2FC16"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1. Существовавший до 1935 г. метод производства на военных заводах основывался целиком на квалифицированных рабочих 5, 6, 7 и 8 разрядов с многолетним опытом в данном производстве. На военных заводах не было твердо установленного технологического процесса и проверенных конструктивных и рабочих чертежей. Производство орудий, винтовок, пулеметов, взрывателей велось по чертежам, в которых не были увязаны размеры, допуски, базы обмера и т. д. Все производство военных изделий базировалось на квалифицированном рабочем-кустаре. Эта зависимость военных производств от небольшого кадра высококвалифицированной рабочей силы до крайности затрудняла развертывание производства даже по выполнению заказов НКО и делала военные заводы косными и неспособными быстро овладевать производством новых образцов вооружения.</w:t>
      </w:r>
    </w:p>
    <w:p w14:paraId="55AD8ED7"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2. Полукустарный способ производства не обеспечивал постоянства качества военных изделий и требовал многократных испытаний, отстрелов, переделок, доделок, пригонок. Поэтому каждое орудие приходилось возить на полигон для отстрела не менее трех раз; пулеметы — не менее четырех раз и винтовки — не менее пяти раз.</w:t>
      </w:r>
    </w:p>
    <w:p w14:paraId="7E4DA671"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3. Не было взаимозаменяемости деталей орудий, винтовок и пулеметов. Винтовки производятся на Тульском и Ижевском заводах. Чертежи винтовок и способы их производства на этих двух заводах были различны. В результате значительное количество деталей, изготовленных на одном заводе, не подходило к винтовкам, изготовленным на другом заводе. Это осложняло снабжение армии запчастями и организацию ремонта винтовок. Смена частей орудий и пулеметов требовала пригонки запчастей, для чего необходимо было иметь в войсковых частях ремонтных слесарей.</w:t>
      </w:r>
    </w:p>
    <w:p w14:paraId="03F7432D"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4. Снаряды, аэробомбы и взрыватели производятся на 57</w:t>
      </w:r>
      <w:r w:rsidRPr="00E14102">
        <w:rPr>
          <w:color w:val="000000" w:themeColor="text1"/>
          <w:sz w:val="16"/>
          <w:szCs w:val="16"/>
        </w:rPr>
        <w:noBreakHyphen/>
        <w:t>ми заводах. Почти все заводы имели чертежи с разными допусками. Различие в допусках приводило к тому, что на заводах производились снаряды, аэробомбы и взрыватели с различными баллистическими качествами. Чтобы в этих условиях производства дать армии снаряды, аэробомбы и взрыватели, удовлетворяющие техническим условиям, заводам приходилось проводить большое количество испытаний, стрельб и только путем большой отбраковки добиваться сдачи армии снарядов, аэробомб и взрывателей нужного боевого качества.</w:t>
      </w:r>
    </w:p>
    <w:p w14:paraId="3FD8CE38"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5. Такое положение с чертежами и технологическим процессом снижало мощности военных заводов и делало почти невозможным кооперацию по изготовлению изделий и отдельных деталей.</w:t>
      </w:r>
    </w:p>
    <w:p w14:paraId="7B6C0F02"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6. Полукустарный способ производства затруднял контроль за качеством выпускаемой военной продукции и создавал условия, при которых вредительство отдельных лиц и организаций долгое время оставалось незамеченным.</w:t>
      </w:r>
    </w:p>
    <w:p w14:paraId="7B88C9AB"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Начиная с середины 1934 г., НКТП начата перестройка 67</w:t>
      </w:r>
      <w:r w:rsidRPr="00E14102">
        <w:rPr>
          <w:color w:val="000000" w:themeColor="text1"/>
          <w:sz w:val="16"/>
          <w:szCs w:val="16"/>
        </w:rPr>
        <w:noBreakHyphen/>
        <w:t>ми военных заводов на новые современные методы массового производства. Перевод заводов на современный массовый способ производства оказался делом очень трудным и сложным. Инженерно-технические кадры на военных заводах, целиком воспитанные на кустарных методах работы, долгое время не понимали необходимости работать по твердо установленной технологии. Часть же инженерно-технического персонала, мастера и квалифицированные рабочие просто сопротивлялись проведению перестройки производства и поэтому перестройку производства на военных заводах пришлось проводить под большим нажимом.</w:t>
      </w:r>
    </w:p>
    <w:p w14:paraId="49AD8E65"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Технические и организационные основы перестройки производства заводов следующие:</w:t>
      </w:r>
    </w:p>
    <w:p w14:paraId="223C9A7A"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1) Созданы единые конструктивные и рабочие чертежи на военные изделия, обязательные для всех заводов, производящих эти изделия.</w:t>
      </w:r>
    </w:p>
    <w:p w14:paraId="09FEEF60"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2) На основе новых чертежей разработана твердая технология производства.</w:t>
      </w:r>
    </w:p>
    <w:p w14:paraId="1431DA12"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3) На базе новой технологии, оснащенной приспособлениями, режущим и контрольно-мерительным инструментом, стало возможным перевести производство военных изделий на низкоразрядную рабочую силу (2, 3, 4 разряды).</w:t>
      </w:r>
    </w:p>
    <w:p w14:paraId="57878DC0"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4) Обеспечена полная взаимозаменяемость необходимых деталей.</w:t>
      </w:r>
    </w:p>
    <w:p w14:paraId="0655D4D9"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5) Стал возможен твердый и однородный контроль качества выпускаемой военной продукции.</w:t>
      </w:r>
    </w:p>
    <w:p w14:paraId="25D330FF"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6) Новые чертежи и технология проверены и проверяются производством и отстрелом орудий, винтовок, пулеметов, снарядов, трубок, взрывателей.</w:t>
      </w:r>
    </w:p>
    <w:p w14:paraId="320B67E7"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7) Для проверки взаимозаменяемости устанавливается следующий порядок: винтовки — каждый квартал Ижевский завод должен посылать 10</w:t>
      </w:r>
      <w:r w:rsidRPr="00E14102">
        <w:rPr>
          <w:color w:val="000000" w:themeColor="text1"/>
          <w:sz w:val="16"/>
          <w:szCs w:val="16"/>
        </w:rPr>
        <w:noBreakHyphen/>
        <w:t>20 винтовок на Тульский завод, где их разбирают, смешивают с деталями 10</w:t>
      </w:r>
      <w:r w:rsidRPr="00E14102">
        <w:rPr>
          <w:color w:val="000000" w:themeColor="text1"/>
          <w:sz w:val="16"/>
          <w:szCs w:val="16"/>
        </w:rPr>
        <w:noBreakHyphen/>
        <w:t>20 винтовок Тульского завода. Из всех смешанных деталей собираются 20</w:t>
      </w:r>
      <w:r w:rsidRPr="00E14102">
        <w:rPr>
          <w:color w:val="000000" w:themeColor="text1"/>
          <w:sz w:val="16"/>
          <w:szCs w:val="16"/>
        </w:rPr>
        <w:noBreakHyphen/>
        <w:t>40 винтовок, которые должны удовлетворять всем требованиям технических условий. Такой же порядок вводится для проверки взаимозаменяемости деталей трубок и взрывателей. Взаимозаменяемость деталей орудий, пулеметов, револьверов систематически должна проверяться путем разборки, перемешивания деталей нескольких изделий из партии и новой сборки из них.</w:t>
      </w:r>
    </w:p>
    <w:p w14:paraId="7A9DC468"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8) На каждом заводе организована систематическая проверка контрольно-мерительного инструмента и приспособлений, что обеспечивает улучшение качества военных изделий и контроль за производством и качеством изделий.</w:t>
      </w:r>
    </w:p>
    <w:p w14:paraId="1184D287"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9) Перестройка производства заводов увеличивает возможности использования мощностей военных заводов и создает технические условия для широкой кооперации.</w:t>
      </w:r>
    </w:p>
    <w:p w14:paraId="2F8D4B8D"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В 1935 г. на современные методы производства переводятся военные изделия: по артиллерии — из 12 артиллерийских систем переведено 8; по снарядам — из 22 типов сухопутных снарядов переведено 17 типов. Кроме того, проводится подготовка к переводу в 1936 г. тяжелых морских снарядов (9 типов); по аэробомбам — из 22 типов аэробомб переведено 15 типов; по трубкам и взрывателям — из 19 типов переведено 11; по гильзам — из 16 типов переведено 12 типов; по винтпатронам — из 13 типов переведено 11; по пулеметам — из 12 типов переведено 5; по винтовкам — оба завода будут переведены в I квартале 1936 г.; по танкам — все танки изготовляются по твердому технологическому процессу; по оптике — в 1935 г. проведена подготовительная работа и в 1936 г. производство всех военных изделий будет переведено на массовый способ производства.</w:t>
      </w:r>
    </w:p>
    <w:p w14:paraId="5A983723" w14:textId="77777777" w:rsidR="0070181A" w:rsidRPr="00E14102" w:rsidRDefault="0070181A" w:rsidP="00E14102">
      <w:pPr>
        <w:pStyle w:val="rtejustify"/>
        <w:spacing w:before="0" w:after="0"/>
        <w:rPr>
          <w:color w:val="000000" w:themeColor="text1"/>
          <w:sz w:val="16"/>
          <w:szCs w:val="16"/>
        </w:rPr>
      </w:pPr>
      <w:r w:rsidRPr="00E14102">
        <w:rPr>
          <w:color w:val="000000" w:themeColor="text1"/>
          <w:sz w:val="16"/>
          <w:szCs w:val="16"/>
        </w:rPr>
        <w:t>Перевод на твердый технологический процесс снаряжения снарядов и аэробомб будет проведен в I квартале 1936 г. Все образцы вооружения, не переведенные в 1935 г., будут переведены на твердый технологический процесс в 1936 г.¹*</w:t>
      </w:r>
    </w:p>
    <w:p w14:paraId="1C882E88" w14:textId="77777777" w:rsidR="0070181A" w:rsidRPr="00E14102" w:rsidRDefault="0070181A"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Павлуновский</w:t>
      </w:r>
    </w:p>
    <w:p w14:paraId="2F6DD1B4" w14:textId="77777777" w:rsidR="0070181A" w:rsidRPr="00E14102" w:rsidRDefault="0070181A"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Примечание</w:t>
      </w:r>
      <w:r w:rsidRPr="00E14102">
        <w:rPr>
          <w:rFonts w:ascii="Times New Roman" w:hAnsi="Times New Roman" w:cs="Times New Roman"/>
          <w:color w:val="000000" w:themeColor="text1"/>
          <w:sz w:val="16"/>
          <w:szCs w:val="16"/>
          <w:lang w:val="ru-RU"/>
        </w:rPr>
        <w:t>:</w:t>
      </w:r>
    </w:p>
    <w:p w14:paraId="2312A602" w14:textId="77777777" w:rsidR="0070181A" w:rsidRPr="00E14102" w:rsidRDefault="0070181A"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¹*</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Опущены разделы доклада о работе оборонных заводов за 9</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месяцев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w:t>
      </w:r>
    </w:p>
    <w:p w14:paraId="1D77565F" w14:textId="77777777" w:rsidR="0070181A" w:rsidRPr="00E14102" w:rsidRDefault="0070181A"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lastRenderedPageBreak/>
        <w:t>ГА РФ. Ф. Р-8418. Оп. 10. Д. 30. Л. 66-73. Подлинник.</w:t>
      </w:r>
    </w:p>
    <w:p w14:paraId="06394478" w14:textId="77777777" w:rsidR="0070181A" w:rsidRPr="00E14102" w:rsidRDefault="0070181A" w:rsidP="00E14102">
      <w:pPr>
        <w:shd w:val="clear" w:color="auto" w:fill="FFFFFF"/>
        <w:jc w:val="both"/>
        <w:rPr>
          <w:color w:val="000000" w:themeColor="text1"/>
          <w:sz w:val="16"/>
          <w:szCs w:val="16"/>
        </w:rPr>
      </w:pPr>
    </w:p>
    <w:p w14:paraId="5E046DC8" w14:textId="77777777" w:rsidR="0070181A" w:rsidRPr="00E14102" w:rsidRDefault="0070181A" w:rsidP="00E14102">
      <w:pPr>
        <w:pStyle w:val="rtejustify"/>
        <w:spacing w:before="0" w:after="0"/>
        <w:rPr>
          <w:color w:val="000000" w:themeColor="text1"/>
          <w:sz w:val="16"/>
          <w:szCs w:val="16"/>
        </w:rPr>
      </w:pPr>
      <w:r w:rsidRPr="00E14102">
        <w:rPr>
          <w:rStyle w:val="a6"/>
          <w:bCs/>
          <w:i w:val="0"/>
          <w:color w:val="000000" w:themeColor="text1"/>
          <w:sz w:val="16"/>
          <w:szCs w:val="16"/>
        </w:rPr>
        <w:t>4 ноября</w:t>
      </w:r>
      <w:r w:rsidRPr="00E14102">
        <w:rPr>
          <w:color w:val="000000" w:themeColor="text1"/>
          <w:sz w:val="16"/>
          <w:szCs w:val="16"/>
        </w:rPr>
        <w:t xml:space="preserve"> 1935. Постановление СНК СССР № 2443 «О дополнении постановления СНК СССР от 19 сентября 1935 г. о затратах по строительству, производимому вне планов капитальных работ». (СЗ. 1935 № 60. Ст. 487.) (15460).</w:t>
      </w:r>
    </w:p>
    <w:p w14:paraId="6AF488B7" w14:textId="77777777" w:rsidR="0070181A" w:rsidRPr="00E14102" w:rsidRDefault="0070181A" w:rsidP="00E14102">
      <w:pPr>
        <w:pStyle w:val="rtejustify"/>
        <w:spacing w:before="0" w:after="0"/>
        <w:rPr>
          <w:rStyle w:val="a6"/>
          <w:bCs/>
          <w:i w:val="0"/>
          <w:color w:val="000000" w:themeColor="text1"/>
          <w:sz w:val="16"/>
          <w:szCs w:val="16"/>
        </w:rPr>
      </w:pPr>
    </w:p>
    <w:p w14:paraId="422DC65F" w14:textId="77777777" w:rsidR="0070181A" w:rsidRPr="00E14102" w:rsidRDefault="0070181A" w:rsidP="00E14102">
      <w:pPr>
        <w:pStyle w:val="3f"/>
        <w:shd w:val="clear" w:color="auto" w:fill="auto"/>
        <w:spacing w:after="0" w:line="240" w:lineRule="auto"/>
        <w:jc w:val="both"/>
        <w:outlineLvl w:val="9"/>
        <w:rPr>
          <w:color w:val="000000" w:themeColor="text1"/>
          <w:sz w:val="16"/>
          <w:szCs w:val="16"/>
        </w:rPr>
      </w:pPr>
      <w:r w:rsidRPr="00E14102">
        <w:rPr>
          <w:color w:val="000000" w:themeColor="text1"/>
          <w:sz w:val="16"/>
          <w:szCs w:val="16"/>
        </w:rPr>
        <w:t>4 ноября 1935 г. Описание изобретения П.И. Гроховского «Аэроглиссер-крыло» из Заявочных материалов на изобретение</w:t>
      </w:r>
    </w:p>
    <w:p w14:paraId="712007F2" w14:textId="77777777" w:rsidR="0070181A" w:rsidRPr="00E14102" w:rsidRDefault="0070181A" w:rsidP="00E14102">
      <w:pPr>
        <w:jc w:val="both"/>
        <w:rPr>
          <w:color w:val="000000" w:themeColor="text1"/>
          <w:sz w:val="16"/>
          <w:szCs w:val="16"/>
        </w:rPr>
      </w:pPr>
      <w:r w:rsidRPr="00E14102">
        <w:rPr>
          <w:color w:val="000000" w:themeColor="text1"/>
          <w:sz w:val="16"/>
          <w:szCs w:val="16"/>
        </w:rPr>
        <w:t>На изложенных принципах в моей заявке за № 162773 в дополне</w:t>
      </w:r>
      <w:r w:rsidRPr="00E14102">
        <w:rPr>
          <w:color w:val="000000" w:themeColor="text1"/>
          <w:sz w:val="16"/>
          <w:szCs w:val="16"/>
        </w:rPr>
        <w:softHyphen/>
        <w:t>ние и развитие ее предлагаемый мною «Аэроглиссер-крыло» обладает отличительным свойством в использовании полностью гидродинами</w:t>
      </w:r>
      <w:r w:rsidRPr="00E14102">
        <w:rPr>
          <w:color w:val="000000" w:themeColor="text1"/>
          <w:sz w:val="16"/>
          <w:szCs w:val="16"/>
        </w:rPr>
        <w:softHyphen/>
        <w:t>ческих и аэродинамических принципов.</w:t>
      </w:r>
    </w:p>
    <w:p w14:paraId="74DDBC28" w14:textId="77777777" w:rsidR="0070181A" w:rsidRPr="00E14102" w:rsidRDefault="0070181A" w:rsidP="00E14102">
      <w:pPr>
        <w:jc w:val="both"/>
        <w:rPr>
          <w:color w:val="000000" w:themeColor="text1"/>
          <w:sz w:val="16"/>
          <w:szCs w:val="16"/>
        </w:rPr>
      </w:pPr>
      <w:r w:rsidRPr="00E14102">
        <w:rPr>
          <w:color w:val="000000" w:themeColor="text1"/>
          <w:sz w:val="16"/>
          <w:szCs w:val="16"/>
        </w:rPr>
        <w:t>Цель настоящего изобретения заключается в придании корпу</w:t>
      </w:r>
      <w:r w:rsidRPr="00E14102">
        <w:rPr>
          <w:color w:val="000000" w:themeColor="text1"/>
          <w:sz w:val="16"/>
          <w:szCs w:val="16"/>
        </w:rPr>
        <w:softHyphen/>
        <w:t>су аэродинамической формы, дабы использовать корпус как несущую поверхность на установившихся скоростях, разгружающих давление на колеса, лыжи или поплавки, одновременно дающие возможность про</w:t>
      </w:r>
      <w:r w:rsidRPr="00E14102">
        <w:rPr>
          <w:color w:val="000000" w:themeColor="text1"/>
          <w:sz w:val="16"/>
          <w:szCs w:val="16"/>
        </w:rPr>
        <w:softHyphen/>
        <w:t>изводить на них короткие взлеты.</w:t>
      </w:r>
    </w:p>
    <w:p w14:paraId="79884470" w14:textId="77777777" w:rsidR="0070181A" w:rsidRPr="00E14102" w:rsidRDefault="0070181A" w:rsidP="00E14102">
      <w:pPr>
        <w:jc w:val="both"/>
        <w:rPr>
          <w:color w:val="000000" w:themeColor="text1"/>
          <w:sz w:val="16"/>
          <w:szCs w:val="16"/>
        </w:rPr>
      </w:pPr>
      <w:r w:rsidRPr="00E14102">
        <w:rPr>
          <w:color w:val="000000" w:themeColor="text1"/>
          <w:sz w:val="16"/>
          <w:szCs w:val="16"/>
        </w:rPr>
        <w:t>Предлагаемый аэроглиссер используется с целью пассажирского сообщения, но может быть приспособлен для военных целей.</w:t>
      </w:r>
    </w:p>
    <w:p w14:paraId="7BB66AE7" w14:textId="77777777" w:rsidR="0070181A" w:rsidRPr="00E14102" w:rsidRDefault="0070181A" w:rsidP="00E14102">
      <w:pPr>
        <w:jc w:val="both"/>
        <w:rPr>
          <w:color w:val="000000" w:themeColor="text1"/>
          <w:sz w:val="16"/>
          <w:szCs w:val="16"/>
        </w:rPr>
      </w:pPr>
      <w:r w:rsidRPr="00E14102">
        <w:rPr>
          <w:color w:val="000000" w:themeColor="text1"/>
          <w:sz w:val="16"/>
          <w:szCs w:val="16"/>
        </w:rPr>
        <w:t>Предмет изобретения</w:t>
      </w:r>
    </w:p>
    <w:p w14:paraId="2030279E" w14:textId="77777777" w:rsidR="0070181A" w:rsidRPr="00E14102" w:rsidRDefault="0070181A" w:rsidP="00E14102">
      <w:pPr>
        <w:jc w:val="both"/>
        <w:rPr>
          <w:color w:val="000000" w:themeColor="text1"/>
          <w:sz w:val="16"/>
          <w:szCs w:val="16"/>
        </w:rPr>
      </w:pPr>
      <w:r w:rsidRPr="00E14102">
        <w:rPr>
          <w:color w:val="000000" w:themeColor="text1"/>
          <w:sz w:val="16"/>
          <w:szCs w:val="16"/>
        </w:rPr>
        <w:t>«Аэроглиссер-крыло», отличающийся тем, что корпус самого глиссера выполнен в форме крыла, которое, создавая воздушную поду</w:t>
      </w:r>
      <w:r w:rsidRPr="00E14102">
        <w:rPr>
          <w:color w:val="000000" w:themeColor="text1"/>
          <w:sz w:val="16"/>
          <w:szCs w:val="16"/>
        </w:rPr>
        <w:softHyphen/>
        <w:t>шку, дает аэродинамический момент, разгружающий при движении на</w:t>
      </w:r>
      <w:r w:rsidRPr="00E14102">
        <w:rPr>
          <w:color w:val="000000" w:themeColor="text1"/>
          <w:sz w:val="16"/>
          <w:szCs w:val="16"/>
        </w:rPr>
        <w:softHyphen/>
        <w:t>грузку на лыжи, колеса или поплавки.</w:t>
      </w:r>
    </w:p>
    <w:p w14:paraId="726C8A13" w14:textId="77777777" w:rsidR="0070181A" w:rsidRPr="00E14102" w:rsidRDefault="0070181A" w:rsidP="00E14102">
      <w:pPr>
        <w:tabs>
          <w:tab w:val="left" w:pos="3140"/>
          <w:tab w:val="left" w:pos="4873"/>
        </w:tabs>
        <w:jc w:val="both"/>
        <w:rPr>
          <w:color w:val="000000" w:themeColor="text1"/>
          <w:sz w:val="16"/>
          <w:szCs w:val="16"/>
        </w:rPr>
      </w:pPr>
      <w:r w:rsidRPr="00E14102">
        <w:rPr>
          <w:color w:val="000000" w:themeColor="text1"/>
          <w:sz w:val="16"/>
          <w:szCs w:val="16"/>
        </w:rPr>
        <w:t>Автор П.И. Гроховский</w:t>
      </w:r>
    </w:p>
    <w:p w14:paraId="48F9E527" w14:textId="77777777" w:rsidR="0070181A" w:rsidRPr="00E14102" w:rsidRDefault="0070181A" w:rsidP="00E14102">
      <w:pPr>
        <w:jc w:val="both"/>
        <w:rPr>
          <w:color w:val="000000" w:themeColor="text1"/>
          <w:sz w:val="16"/>
          <w:szCs w:val="16"/>
        </w:rPr>
      </w:pPr>
      <w:r w:rsidRPr="00E14102">
        <w:rPr>
          <w:color w:val="000000" w:themeColor="text1"/>
          <w:sz w:val="16"/>
          <w:szCs w:val="16"/>
        </w:rPr>
        <w:t>Филиал РГАНТД. Ф. Р-1. Оп. 47-5. Д. 2514. Л. 22. Подлинник (15633).</w:t>
      </w:r>
    </w:p>
    <w:p w14:paraId="35D8D286" w14:textId="77777777" w:rsidR="0070181A" w:rsidRPr="00E14102" w:rsidRDefault="0070181A" w:rsidP="00E14102">
      <w:pPr>
        <w:pStyle w:val="332"/>
        <w:shd w:val="clear" w:color="auto" w:fill="auto"/>
        <w:spacing w:before="0" w:line="240" w:lineRule="auto"/>
        <w:jc w:val="both"/>
        <w:outlineLvl w:val="9"/>
        <w:rPr>
          <w:color w:val="000000" w:themeColor="text1"/>
          <w:sz w:val="16"/>
          <w:szCs w:val="16"/>
        </w:rPr>
      </w:pPr>
      <w:bookmarkStart w:id="32" w:name="bookmark10"/>
    </w:p>
    <w:bookmarkEnd w:id="32"/>
    <w:p w14:paraId="5A1131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ноября 1935 г. Щ-103 была выброшена сильным штормом на берег, и, хотя весной 1936 г. ее сняли с камней, но уже не восстановили и разобрали на запасные части (3898).</w:t>
      </w:r>
    </w:p>
    <w:p w14:paraId="60B2437F" w14:textId="77777777" w:rsidR="00D4105E" w:rsidRPr="00E14102" w:rsidRDefault="00D4105E" w:rsidP="00E14102">
      <w:pPr>
        <w:autoSpaceDE w:val="0"/>
        <w:autoSpaceDN w:val="0"/>
        <w:adjustRightInd w:val="0"/>
        <w:jc w:val="both"/>
        <w:rPr>
          <w:color w:val="000000" w:themeColor="text1"/>
          <w:sz w:val="16"/>
          <w:szCs w:val="16"/>
        </w:rPr>
      </w:pPr>
    </w:p>
    <w:p w14:paraId="1E603344" w14:textId="77777777" w:rsidR="00B40924" w:rsidRPr="00E14102" w:rsidRDefault="00B40924" w:rsidP="00E14102">
      <w:pPr>
        <w:pStyle w:val="116"/>
        <w:shd w:val="clear" w:color="auto" w:fill="auto"/>
        <w:spacing w:after="0" w:line="240" w:lineRule="auto"/>
        <w:ind w:firstLine="0"/>
        <w:jc w:val="both"/>
        <w:rPr>
          <w:rStyle w:val="900"/>
          <w:rFonts w:ascii="Times New Roman" w:hAnsi="Times New Roman" w:cs="Times New Roman"/>
          <w:color w:val="0070C0"/>
          <w:sz w:val="16"/>
          <w:szCs w:val="16"/>
        </w:rPr>
      </w:pPr>
      <w:r w:rsidRPr="00E14102">
        <w:rPr>
          <w:rStyle w:val="900"/>
          <w:rFonts w:ascii="Times New Roman" w:hAnsi="Times New Roman" w:cs="Times New Roman"/>
          <w:color w:val="0070C0"/>
          <w:sz w:val="16"/>
          <w:szCs w:val="16"/>
        </w:rPr>
        <w:t>4 ноября 1935 г. была выброшена на камни Щ-103. Лодка, находившаяся на дозорной позиции, подходя к Владивостоку попала в шторм. Вместо того чтобы переждать непогоду в море, молодой командир стал прижиматься к берегу и пошел в Уссурийский залив. Там он не смог правильно учесть дрейф корабля под воздействием волн и ветра, и очень скоро оказался на камнях. После получения много</w:t>
      </w:r>
      <w:r w:rsidRPr="00E14102">
        <w:rPr>
          <w:rStyle w:val="900"/>
          <w:rFonts w:ascii="Times New Roman" w:hAnsi="Times New Roman" w:cs="Times New Roman"/>
          <w:color w:val="0070C0"/>
          <w:sz w:val="16"/>
          <w:szCs w:val="16"/>
        </w:rPr>
        <w:softHyphen/>
        <w:t>численных пробоин «щука» начала заполнят</w:t>
      </w:r>
      <w:r w:rsidRPr="00E14102">
        <w:rPr>
          <w:rStyle w:val="900"/>
          <w:rFonts w:ascii="Times New Roman" w:hAnsi="Times New Roman" w:cs="Times New Roman"/>
          <w:color w:val="0070C0"/>
          <w:sz w:val="16"/>
          <w:szCs w:val="16"/>
        </w:rPr>
        <w:softHyphen/>
        <w:t>ся водой, и была оставлена экипажем. К счастью, жертв не было. В марте следующего года лодку сняли с камней и отбуксировали во Владивосток, где спустя несколько лет разобрали</w:t>
      </w:r>
      <w:r w:rsidRPr="00E14102">
        <w:rPr>
          <w:rStyle w:val="900"/>
          <w:rFonts w:ascii="Times New Roman" w:hAnsi="Times New Roman" w:cs="Times New Roman"/>
          <w:color w:val="0070C0"/>
          <w:sz w:val="16"/>
          <w:szCs w:val="16"/>
          <w:lang w:val="ru-RU"/>
        </w:rPr>
        <w:t xml:space="preserve"> (19891)</w:t>
      </w:r>
      <w:r w:rsidRPr="00E14102">
        <w:rPr>
          <w:rStyle w:val="900"/>
          <w:rFonts w:ascii="Times New Roman" w:hAnsi="Times New Roman" w:cs="Times New Roman"/>
          <w:color w:val="0070C0"/>
          <w:sz w:val="16"/>
          <w:szCs w:val="16"/>
        </w:rPr>
        <w:t>.</w:t>
      </w:r>
    </w:p>
    <w:p w14:paraId="6B9B7478" w14:textId="77777777" w:rsidR="00B40924" w:rsidRPr="00E14102" w:rsidRDefault="00B40924" w:rsidP="00E14102">
      <w:pPr>
        <w:pStyle w:val="116"/>
        <w:shd w:val="clear" w:color="auto" w:fill="auto"/>
        <w:spacing w:after="0" w:line="240" w:lineRule="auto"/>
        <w:ind w:firstLine="0"/>
        <w:jc w:val="both"/>
        <w:rPr>
          <w:rFonts w:ascii="Times New Roman" w:hAnsi="Times New Roman" w:cs="Times New Roman"/>
          <w:color w:val="0070C0"/>
          <w:sz w:val="16"/>
          <w:szCs w:val="16"/>
        </w:rPr>
      </w:pPr>
    </w:p>
    <w:p w14:paraId="31D44E0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8C25C27" w14:textId="77777777" w:rsidR="00D4105E" w:rsidRPr="00E14102" w:rsidRDefault="00D4105E" w:rsidP="00E14102">
      <w:pPr>
        <w:autoSpaceDE w:val="0"/>
        <w:autoSpaceDN w:val="0"/>
        <w:adjustRightInd w:val="0"/>
        <w:jc w:val="both"/>
        <w:rPr>
          <w:iCs/>
          <w:color w:val="000000" w:themeColor="text1"/>
          <w:sz w:val="16"/>
          <w:szCs w:val="16"/>
        </w:rPr>
      </w:pPr>
    </w:p>
    <w:p w14:paraId="135616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ноября 1935 приемочная комиссия МВС приняла Химкинский мост через канал на линии Октябрьской железной дороги. Длинна моста составила 116 метров. Сразу же после этого по мосту было открыто движение товарных и пассажирских поездов (7560).</w:t>
      </w:r>
    </w:p>
    <w:p w14:paraId="68A7B175" w14:textId="77777777" w:rsidR="00D4105E" w:rsidRPr="00E14102" w:rsidRDefault="00D4105E" w:rsidP="00E14102">
      <w:pPr>
        <w:autoSpaceDE w:val="0"/>
        <w:autoSpaceDN w:val="0"/>
        <w:adjustRightInd w:val="0"/>
        <w:jc w:val="both"/>
        <w:rPr>
          <w:color w:val="000000" w:themeColor="text1"/>
          <w:sz w:val="16"/>
          <w:szCs w:val="16"/>
        </w:rPr>
      </w:pPr>
    </w:p>
    <w:p w14:paraId="044FCF7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4D7BD2A" w14:textId="77777777" w:rsidR="00D4105E" w:rsidRPr="00E14102" w:rsidRDefault="00D4105E" w:rsidP="00E14102">
      <w:pPr>
        <w:autoSpaceDE w:val="0"/>
        <w:autoSpaceDN w:val="0"/>
        <w:adjustRightInd w:val="0"/>
        <w:jc w:val="both"/>
        <w:rPr>
          <w:iCs/>
          <w:color w:val="000000" w:themeColor="text1"/>
          <w:sz w:val="16"/>
          <w:szCs w:val="16"/>
        </w:rPr>
      </w:pPr>
    </w:p>
    <w:p w14:paraId="6380A4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ноября 1935 было подписано польско-германское соглашение об экономическом сотрудничестве (3481).</w:t>
      </w:r>
    </w:p>
    <w:p w14:paraId="5922CF4E" w14:textId="77777777" w:rsidR="00D4105E" w:rsidRPr="00E14102" w:rsidRDefault="00D4105E" w:rsidP="00E14102">
      <w:pPr>
        <w:autoSpaceDE w:val="0"/>
        <w:autoSpaceDN w:val="0"/>
        <w:adjustRightInd w:val="0"/>
        <w:jc w:val="both"/>
        <w:rPr>
          <w:color w:val="000000" w:themeColor="text1"/>
          <w:sz w:val="16"/>
          <w:szCs w:val="16"/>
        </w:rPr>
      </w:pPr>
    </w:p>
    <w:p w14:paraId="2777C6D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9140856" w14:textId="77777777" w:rsidR="00D4105E" w:rsidRPr="00E14102" w:rsidRDefault="00D4105E" w:rsidP="00E14102">
      <w:pPr>
        <w:autoSpaceDE w:val="0"/>
        <w:autoSpaceDN w:val="0"/>
        <w:adjustRightInd w:val="0"/>
        <w:jc w:val="both"/>
        <w:rPr>
          <w:iCs/>
          <w:color w:val="000000" w:themeColor="text1"/>
          <w:sz w:val="16"/>
          <w:szCs w:val="16"/>
        </w:rPr>
      </w:pPr>
    </w:p>
    <w:p w14:paraId="5090AA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ноября 1935 ведущий конструктор НИИ ВВС Воротников провел на ДИ-6ш наземные испытания бомбардировочного вооружения. В ходе сбрасывании корпусов осколочных авиабомб АО-8 отказал электробомбосбрасыватель ЭСБР-1. При его разборке выяснилось, что просто от одной из клемм отошел проводник.</w:t>
      </w:r>
    </w:p>
    <w:p w14:paraId="58DA7F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ноябрьских праздников различные мелкие дефекты буквально преследовали испытательную бригаду, а осенняя погода мешала проведению полетов. Из-за тумана на маршруте</w:t>
      </w:r>
    </w:p>
    <w:p w14:paraId="515F62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ноября пришлось проверять работу створок бомболюка прямо над Центральным аэродромом. На следующий день полеты отменили: к испытателям нагрянул заместитель наркома обороны М.Н. Тухачевский, ознакомившийся с вооружением ДИ-бш. 11 ноября при рулежке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5340DA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7A0EE5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2889B8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466B81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255C54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622FDC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613D3B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053312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134F39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615FA1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2CB341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73DEDF4D" w14:textId="77777777" w:rsidR="00D4105E" w:rsidRPr="00E14102" w:rsidRDefault="00D4105E" w:rsidP="00E14102">
      <w:pPr>
        <w:autoSpaceDE w:val="0"/>
        <w:autoSpaceDN w:val="0"/>
        <w:adjustRightInd w:val="0"/>
        <w:jc w:val="both"/>
        <w:rPr>
          <w:color w:val="000000" w:themeColor="text1"/>
          <w:sz w:val="16"/>
          <w:szCs w:val="16"/>
        </w:rPr>
      </w:pPr>
    </w:p>
    <w:p w14:paraId="482983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ноября 1935 на ДБА 4М-34РН в ходе заводских испытаний в Щелково летали 1 раз 1:30 и это был полет на скороподъемность и снятие скоростей по высотам. Это был 22-й полет (249).</w:t>
      </w:r>
    </w:p>
    <w:p w14:paraId="7BA139F5" w14:textId="77777777" w:rsidR="00D4105E" w:rsidRPr="00E14102" w:rsidRDefault="00D4105E" w:rsidP="00E14102">
      <w:pPr>
        <w:autoSpaceDE w:val="0"/>
        <w:autoSpaceDN w:val="0"/>
        <w:adjustRightInd w:val="0"/>
        <w:jc w:val="both"/>
        <w:rPr>
          <w:color w:val="000000" w:themeColor="text1"/>
          <w:sz w:val="16"/>
          <w:szCs w:val="16"/>
        </w:rPr>
      </w:pPr>
    </w:p>
    <w:p w14:paraId="73396E8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 ноября 1936 года закончились гос. испытания самолета АИР-14 с мотором М-11, которые проходили с 21 октября 1936 (6731).</w:t>
      </w:r>
    </w:p>
    <w:p w14:paraId="7D521B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51E535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 и летчик в/инженер 3 ранга Липкин М.А.</w:t>
      </w:r>
    </w:p>
    <w:p w14:paraId="61522A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283AF79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возможности применения самолета АИР-14 в качестве тренировочного самолета для истребительных частей ВВС.</w:t>
      </w:r>
    </w:p>
    <w:p w14:paraId="7938910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летных данных и эксплуатационных качеств самолета.</w:t>
      </w:r>
    </w:p>
    <w:p w14:paraId="0A1F9B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Летные данные самолета при полетном весе 590 кг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E3599D" w:rsidRPr="00E14102" w14:paraId="72EA9E1D" w14:textId="77777777">
        <w:tc>
          <w:tcPr>
            <w:tcW w:w="4428" w:type="dxa"/>
            <w:tcBorders>
              <w:top w:val="single" w:sz="12" w:space="0" w:color="auto"/>
            </w:tcBorders>
          </w:tcPr>
          <w:p w14:paraId="79A0F3F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у земли</w:t>
            </w:r>
          </w:p>
        </w:tc>
        <w:tc>
          <w:tcPr>
            <w:tcW w:w="4428" w:type="dxa"/>
            <w:tcBorders>
              <w:top w:val="single" w:sz="12" w:space="0" w:color="auto"/>
            </w:tcBorders>
          </w:tcPr>
          <w:p w14:paraId="2EBBBA6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252 км/час</w:t>
            </w:r>
          </w:p>
        </w:tc>
      </w:tr>
      <w:tr w:rsidR="00E3599D" w:rsidRPr="00E14102" w14:paraId="5C3B2E2C" w14:textId="77777777">
        <w:tc>
          <w:tcPr>
            <w:tcW w:w="4428" w:type="dxa"/>
          </w:tcPr>
          <w:p w14:paraId="2DC0AE2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4428" w:type="dxa"/>
          </w:tcPr>
          <w:p w14:paraId="53E6E7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80 км/час</w:t>
            </w:r>
          </w:p>
        </w:tc>
      </w:tr>
      <w:tr w:rsidR="00E3599D" w:rsidRPr="00E14102" w14:paraId="734F4264" w14:textId="77777777">
        <w:tc>
          <w:tcPr>
            <w:tcW w:w="4428" w:type="dxa"/>
          </w:tcPr>
          <w:p w14:paraId="6567344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Потолок</w:t>
            </w:r>
          </w:p>
        </w:tc>
        <w:tc>
          <w:tcPr>
            <w:tcW w:w="4428" w:type="dxa"/>
          </w:tcPr>
          <w:p w14:paraId="434CC5D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6180 м</w:t>
            </w:r>
          </w:p>
        </w:tc>
      </w:tr>
      <w:tr w:rsidR="00E3599D" w:rsidRPr="00E14102" w14:paraId="15D9E98F" w14:textId="77777777">
        <w:tc>
          <w:tcPr>
            <w:tcW w:w="4428" w:type="dxa"/>
          </w:tcPr>
          <w:p w14:paraId="42B2DC6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Время набора потолка</w:t>
            </w:r>
          </w:p>
        </w:tc>
        <w:tc>
          <w:tcPr>
            <w:tcW w:w="4428" w:type="dxa"/>
          </w:tcPr>
          <w:p w14:paraId="62BD5E5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42,2 мин.</w:t>
            </w:r>
          </w:p>
        </w:tc>
      </w:tr>
      <w:tr w:rsidR="00E3599D" w:rsidRPr="00E14102" w14:paraId="7C5E894C" w14:textId="77777777">
        <w:tc>
          <w:tcPr>
            <w:tcW w:w="4428" w:type="dxa"/>
          </w:tcPr>
          <w:p w14:paraId="63E1C94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Время набора 3000 м</w:t>
            </w:r>
          </w:p>
        </w:tc>
        <w:tc>
          <w:tcPr>
            <w:tcW w:w="4428" w:type="dxa"/>
          </w:tcPr>
          <w:p w14:paraId="67F3505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9,5 мин.</w:t>
            </w:r>
          </w:p>
        </w:tc>
      </w:tr>
      <w:tr w:rsidR="00E3599D" w:rsidRPr="00E14102" w14:paraId="6D626219" w14:textId="77777777">
        <w:tc>
          <w:tcPr>
            <w:tcW w:w="4428" w:type="dxa"/>
          </w:tcPr>
          <w:p w14:paraId="51C62B6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Скороподъемность у земли</w:t>
            </w:r>
          </w:p>
        </w:tc>
        <w:tc>
          <w:tcPr>
            <w:tcW w:w="4428" w:type="dxa"/>
          </w:tcPr>
          <w:p w14:paraId="3A7D20D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7,07 м/сек</w:t>
            </w:r>
          </w:p>
        </w:tc>
      </w:tr>
      <w:tr w:rsidR="00E3599D" w:rsidRPr="00E14102" w14:paraId="186831FB" w14:textId="77777777">
        <w:tc>
          <w:tcPr>
            <w:tcW w:w="4428" w:type="dxa"/>
          </w:tcPr>
          <w:p w14:paraId="725A528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Разбег</w:t>
            </w:r>
          </w:p>
        </w:tc>
        <w:tc>
          <w:tcPr>
            <w:tcW w:w="4428" w:type="dxa"/>
          </w:tcPr>
          <w:p w14:paraId="0E1D62E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120 м (7-8 сек)</w:t>
            </w:r>
          </w:p>
        </w:tc>
      </w:tr>
      <w:tr w:rsidR="00E3599D" w:rsidRPr="00E14102" w14:paraId="6329DBA7" w14:textId="77777777">
        <w:tc>
          <w:tcPr>
            <w:tcW w:w="4428" w:type="dxa"/>
          </w:tcPr>
          <w:p w14:paraId="7052198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Пробег</w:t>
            </w:r>
          </w:p>
        </w:tc>
        <w:tc>
          <w:tcPr>
            <w:tcW w:w="4428" w:type="dxa"/>
          </w:tcPr>
          <w:p w14:paraId="18AA952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160 м (13 сек)</w:t>
            </w:r>
          </w:p>
        </w:tc>
      </w:tr>
      <w:tr w:rsidR="00E3599D" w:rsidRPr="00E14102" w14:paraId="2E5B76D0" w14:textId="77777777">
        <w:tc>
          <w:tcPr>
            <w:tcW w:w="4428" w:type="dxa"/>
            <w:tcBorders>
              <w:bottom w:val="single" w:sz="12" w:space="0" w:color="auto"/>
            </w:tcBorders>
          </w:tcPr>
          <w:p w14:paraId="57DC7C9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Техническая дальность самолета на крейсерской скорости 190 км/час (у земли)</w:t>
            </w:r>
          </w:p>
        </w:tc>
        <w:tc>
          <w:tcPr>
            <w:tcW w:w="4428" w:type="dxa"/>
            <w:tcBorders>
              <w:bottom w:val="single" w:sz="12" w:space="0" w:color="auto"/>
            </w:tcBorders>
          </w:tcPr>
          <w:p w14:paraId="40A5A94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670 км</w:t>
            </w:r>
          </w:p>
        </w:tc>
      </w:tr>
    </w:tbl>
    <w:p w14:paraId="05E9CCA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Самолет имеет хорошую маневренность: минимальное время виража 9 сек.</w:t>
      </w:r>
    </w:p>
    <w:p w14:paraId="755BDF6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хорошо штопорит, выходит из штопора при нейтральных рулях, без запаздывания после любого количества витков.</w:t>
      </w:r>
    </w:p>
    <w:p w14:paraId="609664F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статически устойчив в продольном и поперечном отношении.</w:t>
      </w:r>
    </w:p>
    <w:p w14:paraId="04ACE70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 время испытаний сделано 233 посадки, общий налет – 33 час. 55 мин.</w:t>
      </w:r>
    </w:p>
    <w:p w14:paraId="782886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находился на испытании 17 дней, из них летных дней – 15.</w:t>
      </w:r>
    </w:p>
    <w:p w14:paraId="45BC15B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B990EA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Самолет АИР-14 с мотором М-11 может быть рекомендован для серийного производства как хороший самолет в качестве:</w:t>
      </w:r>
    </w:p>
    <w:p w14:paraId="19D2FC7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 тренировочного самолета для истребительных частей ВВС;</w:t>
      </w:r>
    </w:p>
    <w:p w14:paraId="4E2C7A7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 тренировочного самолета для летных школ и аэроклубов (6731).</w:t>
      </w:r>
    </w:p>
    <w:p w14:paraId="1B62C5C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74B27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ноября 1935 Нач. 1У отдела УВС РККА Базенков писал письмо № 41/002933 в СТО тов. Базилевичу:</w:t>
      </w:r>
    </w:p>
    <w:p w14:paraId="59377E7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Согласно постановления СТО от 16/1У-35 года за № 39сс завод № 31 обязан был пред"явить на государ</w:t>
      </w:r>
      <w:r w:rsidRPr="00E14102">
        <w:rPr>
          <w:color w:val="000000" w:themeColor="text1"/>
          <w:sz w:val="16"/>
          <w:szCs w:val="16"/>
        </w:rPr>
        <w:softHyphen/>
        <w:t>ственные испытания гидросамолет корабельной службы (КОР) к 1/П-35 года.</w:t>
      </w:r>
    </w:p>
    <w:p w14:paraId="40FC80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Сообщаю, что макет этого гидросамолета был утвержден еще в апреле 1935 года, однако до сегодняшнего дня постройка гидросамолета должны образом не развернута и срок предъявления на гос. испытания сорван (3419,104).</w:t>
      </w:r>
    </w:p>
    <w:p w14:paraId="31DCF7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5106FAE"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5 ноября 1935 года Базилевич писал письмо № 2165/ко в КПК Куйбышеву Н.</w:t>
      </w:r>
    </w:p>
    <w:p w14:paraId="629908D3"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Согласно Вашей просьбы препровождаю на ознакомление докладную записку Пятакова по вопросу о работе авиационной промышленности по перевооружению ВВС РККА.</w:t>
      </w:r>
    </w:p>
    <w:p w14:paraId="23F483B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 доклад НКТП № 01/8277сс (подлежит возврату) (3475,193).</w:t>
      </w:r>
    </w:p>
    <w:p w14:paraId="766D96A9"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6539BE6A"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5 ноября 1935 года Базилевич писал письмо № 2164/ко членам КО Сталину, Ворошилову, Орджоникидзе, Кагановичу Л., Межлауку В.</w:t>
      </w:r>
    </w:p>
    <w:p w14:paraId="734ACD6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указанию Молотова направляю доклад Тухачевского по вопросу изготовления на 24 заводе 40 форсированных моторов М-34.</w:t>
      </w:r>
    </w:p>
    <w:p w14:paraId="17B80EDE"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Одновременно сообщаю, что вопрос включен в повестку очередного заседания КО.</w:t>
      </w:r>
    </w:p>
    <w:p w14:paraId="0B1F11B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 № 376375 (3475,192).</w:t>
      </w:r>
    </w:p>
    <w:p w14:paraId="41F7AD17"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55B81EC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ноября 1935 г. было письмо начальнику артуправления РККА комкору Н.А.Ефимову от ВРИД начальника УВС РККА В.В.Хрипина: «РНИИ в 1936 г. переходит на проектирование и испытания РС калибров, принятых в артиллерии: 107, 152 и 203 мм вместо ныне суще</w:t>
      </w:r>
      <w:r w:rsidRPr="00E14102">
        <w:rPr>
          <w:color w:val="000000" w:themeColor="text1"/>
          <w:sz w:val="16"/>
          <w:szCs w:val="16"/>
        </w:rPr>
        <w:softHyphen/>
        <w:t>ствующих: 82, 132 и 245 мм. Прошу срочно сообщить, на получение ка</w:t>
      </w:r>
      <w:r w:rsidRPr="00E14102">
        <w:rPr>
          <w:color w:val="000000" w:themeColor="text1"/>
          <w:sz w:val="16"/>
          <w:szCs w:val="16"/>
        </w:rPr>
        <w:softHyphen/>
        <w:t>ких калибров РС могут рассчитывать Воздушные Силы в 1936 г., чтобы проектировать для них ракетные установки на самолеты».</w:t>
      </w:r>
    </w:p>
    <w:p w14:paraId="13808BF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концу года авиаторам уда</w:t>
      </w:r>
      <w:r w:rsidRPr="00E14102">
        <w:rPr>
          <w:color w:val="000000" w:themeColor="text1"/>
          <w:sz w:val="16"/>
          <w:szCs w:val="16"/>
        </w:rPr>
        <w:softHyphen/>
        <w:t>лось отбиться от навязанных ар</w:t>
      </w:r>
      <w:r w:rsidRPr="00E14102">
        <w:rPr>
          <w:color w:val="000000" w:themeColor="text1"/>
          <w:sz w:val="16"/>
          <w:szCs w:val="16"/>
        </w:rPr>
        <w:softHyphen/>
        <w:t>тиллеристами калибров. Исключе</w:t>
      </w:r>
      <w:r w:rsidRPr="00E14102">
        <w:rPr>
          <w:color w:val="000000" w:themeColor="text1"/>
          <w:sz w:val="16"/>
          <w:szCs w:val="16"/>
        </w:rPr>
        <w:softHyphen/>
        <w:t>ние составили лишь РС-245 для тяжелобомбардировочной авиа</w:t>
      </w:r>
      <w:r w:rsidRPr="00E14102">
        <w:rPr>
          <w:color w:val="000000" w:themeColor="text1"/>
          <w:sz w:val="16"/>
          <w:szCs w:val="16"/>
        </w:rPr>
        <w:softHyphen/>
        <w:t>ции — их сильное воздействие при старте на обшивку самолета-носи</w:t>
      </w:r>
      <w:r w:rsidRPr="00E14102">
        <w:rPr>
          <w:color w:val="000000" w:themeColor="text1"/>
          <w:sz w:val="16"/>
          <w:szCs w:val="16"/>
        </w:rPr>
        <w:softHyphen/>
        <w:t>теля заставило отказаться от готовой ракетной системы в пользу менее мощных РС-203. Остальные же системы для стрельбы РС-82 в истреби</w:t>
      </w:r>
      <w:r w:rsidRPr="00E14102">
        <w:rPr>
          <w:color w:val="000000" w:themeColor="text1"/>
          <w:sz w:val="16"/>
          <w:szCs w:val="16"/>
        </w:rPr>
        <w:softHyphen/>
        <w:t>тельной авиации и РС-132 в легкобомбардировочной оставили в покое, оговорив, впрочем, что это будет временным исключением.</w:t>
      </w:r>
    </w:p>
    <w:p w14:paraId="458618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Жизнь в очередной раз подтвердила тезис о наиболее прочном посто</w:t>
      </w:r>
      <w:r w:rsidRPr="00E14102">
        <w:rPr>
          <w:color w:val="000000" w:themeColor="text1"/>
          <w:sz w:val="16"/>
          <w:szCs w:val="16"/>
        </w:rPr>
        <w:softHyphen/>
        <w:t>янстве решения временного, и войну Красная Армия встретила именно с хорошо отработанными 82-мм и 132-мм авиационными ракетными си</w:t>
      </w:r>
      <w:r w:rsidRPr="00E14102">
        <w:rPr>
          <w:color w:val="000000" w:themeColor="text1"/>
          <w:sz w:val="16"/>
          <w:szCs w:val="16"/>
        </w:rPr>
        <w:softHyphen/>
        <w:t>стемами, которые пришлось приспосабливать для полевой реактивной артиллерии. Между тем накануне грозных событий у Сухопутных войск РККА был шанс обзавестись собственными ракетными системами, адаптированными к выполнению специальных задач, но они им не вос</w:t>
      </w:r>
      <w:r w:rsidRPr="00E14102">
        <w:rPr>
          <w:color w:val="000000" w:themeColor="text1"/>
          <w:sz w:val="16"/>
          <w:szCs w:val="16"/>
        </w:rPr>
        <w:softHyphen/>
        <w:t>пользовались (11402).</w:t>
      </w:r>
    </w:p>
    <w:p w14:paraId="446814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7D970C8" w14:textId="77777777" w:rsidR="00D4105E" w:rsidRPr="00E14102" w:rsidRDefault="004B7965" w:rsidP="00E14102">
      <w:pPr>
        <w:shd w:val="clear" w:color="auto" w:fill="FFFFFF"/>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BC8A258" w14:textId="77777777" w:rsidR="00D4105E" w:rsidRPr="00E14102" w:rsidRDefault="00D4105E" w:rsidP="00E14102">
      <w:pPr>
        <w:shd w:val="clear" w:color="auto" w:fill="FFFFFF"/>
        <w:autoSpaceDE w:val="0"/>
        <w:autoSpaceDN w:val="0"/>
        <w:adjustRightInd w:val="0"/>
        <w:jc w:val="both"/>
        <w:rPr>
          <w:iCs/>
          <w:color w:val="000000" w:themeColor="text1"/>
          <w:sz w:val="16"/>
          <w:szCs w:val="16"/>
        </w:rPr>
      </w:pPr>
    </w:p>
    <w:p w14:paraId="7B08BC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ноября 1935 года на Электрозаводе был подготовлен «План мероприятий по стахановскому движению», предусматривавший 52 различных нововведения в различных подразделениях комбината. Судя по всему, администрация очень серьёзно подошла к внедрению стахановского движения, возлагая на эту методику крупные надежды. Тем не менее, ещё до утверждения «Плана…», уже к концу сентября на Электроза-воде было 275 рабочих и 7 сотрудников инженерно-технического персонала, считавшихся стахановцами. На конец 1935 г., согласно отчёту о состоянии стахановского движения на Электрокомбинате за 1935 г., 15% рабочих уже являлись стахановцами. Представляет интерес распределение стахановцев по заводам Электрокомбината: АТЭ – 594, Ламповый завод – 313, МТЗ – 190, ЗЭМ – 154, Отдел главного механика – 18, Газоразрезный цех – 36, прочие подразделения – 112. В партийном отношении 123 стахановца являлись коммунистами, а 185 – комсомольцами. Наибольшей возрастной группой среди стахановцев была страта 25–35 лет, дальше шёл слой «старше 35», молодёжь до 25 лет была в меньшинстве. Большинство стахановцев имели производственный стаж 5–10 лет.</w:t>
      </w:r>
    </w:p>
    <w:p w14:paraId="194191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 по-стахановски, как правило, позволяла рабочему резко повысить месячный заработок, однако не все стахановцы могли выдержать такой темп работ длительное время:</w:t>
      </w:r>
    </w:p>
    <w:p w14:paraId="036926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Выборочная динамика зарплаты отдельных стахановцев Электрокомбината за сентябрь-ноябрь 1935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1187"/>
        <w:gridCol w:w="1372"/>
        <w:gridCol w:w="1465"/>
        <w:gridCol w:w="816"/>
        <w:gridCol w:w="741"/>
        <w:gridCol w:w="710"/>
        <w:gridCol w:w="710"/>
      </w:tblGrid>
      <w:tr w:rsidR="00E3599D" w:rsidRPr="00E14102" w14:paraId="0F92BB40" w14:textId="77777777" w:rsidTr="00D4105E">
        <w:trPr>
          <w:jc w:val="center"/>
        </w:trPr>
        <w:tc>
          <w:tcPr>
            <w:tcW w:w="1187" w:type="dxa"/>
            <w:tcBorders>
              <w:top w:val="single" w:sz="12" w:space="0" w:color="auto"/>
            </w:tcBorders>
          </w:tcPr>
          <w:p w14:paraId="73F33C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w:t>
            </w:r>
          </w:p>
        </w:tc>
        <w:tc>
          <w:tcPr>
            <w:tcW w:w="1372" w:type="dxa"/>
            <w:tcBorders>
              <w:top w:val="single" w:sz="12" w:space="0" w:color="auto"/>
            </w:tcBorders>
          </w:tcPr>
          <w:p w14:paraId="5575EF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Фамилия</w:t>
            </w:r>
          </w:p>
        </w:tc>
        <w:tc>
          <w:tcPr>
            <w:tcW w:w="1465" w:type="dxa"/>
            <w:tcBorders>
              <w:top w:val="single" w:sz="12" w:space="0" w:color="auto"/>
            </w:tcBorders>
          </w:tcPr>
          <w:p w14:paraId="287598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Специальность</w:t>
            </w:r>
          </w:p>
        </w:tc>
        <w:tc>
          <w:tcPr>
            <w:tcW w:w="816" w:type="dxa"/>
            <w:tcBorders>
              <w:top w:val="single" w:sz="12" w:space="0" w:color="auto"/>
            </w:tcBorders>
          </w:tcPr>
          <w:p w14:paraId="4272B5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Разряд</w:t>
            </w:r>
          </w:p>
        </w:tc>
        <w:tc>
          <w:tcPr>
            <w:tcW w:w="741" w:type="dxa"/>
            <w:gridSpan w:val="3"/>
            <w:tcBorders>
              <w:top w:val="single" w:sz="12" w:space="0" w:color="auto"/>
            </w:tcBorders>
          </w:tcPr>
          <w:p w14:paraId="45B36E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Зарплата за месяц (руб)</w:t>
            </w:r>
          </w:p>
        </w:tc>
      </w:tr>
      <w:tr w:rsidR="00E3599D" w:rsidRPr="00E14102" w14:paraId="2556EBFB" w14:textId="77777777">
        <w:trPr>
          <w:jc w:val="center"/>
        </w:trPr>
        <w:tc>
          <w:tcPr>
            <w:tcW w:w="1187" w:type="dxa"/>
          </w:tcPr>
          <w:p w14:paraId="0B2652C1" w14:textId="77777777" w:rsidR="00D4105E" w:rsidRPr="00E14102" w:rsidRDefault="00D4105E" w:rsidP="00E14102">
            <w:pPr>
              <w:autoSpaceDE w:val="0"/>
              <w:autoSpaceDN w:val="0"/>
              <w:adjustRightInd w:val="0"/>
              <w:jc w:val="both"/>
              <w:rPr>
                <w:color w:val="000000" w:themeColor="text1"/>
                <w:sz w:val="16"/>
                <w:szCs w:val="16"/>
              </w:rPr>
            </w:pPr>
          </w:p>
        </w:tc>
        <w:tc>
          <w:tcPr>
            <w:tcW w:w="1372" w:type="dxa"/>
          </w:tcPr>
          <w:p w14:paraId="58417B0C" w14:textId="77777777" w:rsidR="00D4105E" w:rsidRPr="00E14102" w:rsidRDefault="00D4105E" w:rsidP="00E14102">
            <w:pPr>
              <w:autoSpaceDE w:val="0"/>
              <w:autoSpaceDN w:val="0"/>
              <w:adjustRightInd w:val="0"/>
              <w:jc w:val="both"/>
              <w:rPr>
                <w:color w:val="000000" w:themeColor="text1"/>
                <w:sz w:val="16"/>
                <w:szCs w:val="16"/>
              </w:rPr>
            </w:pPr>
          </w:p>
        </w:tc>
        <w:tc>
          <w:tcPr>
            <w:tcW w:w="1465" w:type="dxa"/>
          </w:tcPr>
          <w:p w14:paraId="631A5964" w14:textId="77777777" w:rsidR="00D4105E" w:rsidRPr="00E14102" w:rsidRDefault="00D4105E" w:rsidP="00E14102">
            <w:pPr>
              <w:autoSpaceDE w:val="0"/>
              <w:autoSpaceDN w:val="0"/>
              <w:adjustRightInd w:val="0"/>
              <w:jc w:val="both"/>
              <w:rPr>
                <w:color w:val="000000" w:themeColor="text1"/>
                <w:sz w:val="16"/>
                <w:szCs w:val="16"/>
              </w:rPr>
            </w:pPr>
          </w:p>
        </w:tc>
        <w:tc>
          <w:tcPr>
            <w:tcW w:w="816" w:type="dxa"/>
          </w:tcPr>
          <w:p w14:paraId="04E44FF6" w14:textId="77777777" w:rsidR="00D4105E" w:rsidRPr="00E14102" w:rsidRDefault="00D4105E" w:rsidP="00E14102">
            <w:pPr>
              <w:autoSpaceDE w:val="0"/>
              <w:autoSpaceDN w:val="0"/>
              <w:adjustRightInd w:val="0"/>
              <w:jc w:val="both"/>
              <w:rPr>
                <w:color w:val="000000" w:themeColor="text1"/>
                <w:sz w:val="16"/>
                <w:szCs w:val="16"/>
              </w:rPr>
            </w:pPr>
          </w:p>
        </w:tc>
        <w:tc>
          <w:tcPr>
            <w:tcW w:w="741" w:type="dxa"/>
          </w:tcPr>
          <w:p w14:paraId="45DC42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сентябрь</w:t>
            </w:r>
          </w:p>
        </w:tc>
        <w:tc>
          <w:tcPr>
            <w:tcW w:w="710" w:type="dxa"/>
          </w:tcPr>
          <w:p w14:paraId="2DFB48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октябрь</w:t>
            </w:r>
          </w:p>
        </w:tc>
        <w:tc>
          <w:tcPr>
            <w:tcW w:w="710" w:type="dxa"/>
          </w:tcPr>
          <w:p w14:paraId="1C2A7F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ноябрь</w:t>
            </w:r>
          </w:p>
        </w:tc>
      </w:tr>
      <w:tr w:rsidR="00E3599D" w:rsidRPr="00E14102" w14:paraId="4374A105" w14:textId="77777777">
        <w:trPr>
          <w:jc w:val="center"/>
        </w:trPr>
        <w:tc>
          <w:tcPr>
            <w:tcW w:w="1187" w:type="dxa"/>
          </w:tcPr>
          <w:p w14:paraId="12A7D2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АТЭ</w:t>
            </w:r>
          </w:p>
        </w:tc>
        <w:tc>
          <w:tcPr>
            <w:tcW w:w="1372" w:type="dxa"/>
          </w:tcPr>
          <w:p w14:paraId="4B51BB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Пляцидевский</w:t>
            </w:r>
          </w:p>
        </w:tc>
        <w:tc>
          <w:tcPr>
            <w:tcW w:w="1465" w:type="dxa"/>
          </w:tcPr>
          <w:p w14:paraId="198AA6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шлифовальщик</w:t>
            </w:r>
          </w:p>
        </w:tc>
        <w:tc>
          <w:tcPr>
            <w:tcW w:w="816" w:type="dxa"/>
          </w:tcPr>
          <w:p w14:paraId="7715F1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VII</w:t>
            </w:r>
          </w:p>
        </w:tc>
        <w:tc>
          <w:tcPr>
            <w:tcW w:w="741" w:type="dxa"/>
          </w:tcPr>
          <w:p w14:paraId="1FD31E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455</w:t>
            </w:r>
          </w:p>
        </w:tc>
        <w:tc>
          <w:tcPr>
            <w:tcW w:w="710" w:type="dxa"/>
          </w:tcPr>
          <w:p w14:paraId="013686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525</w:t>
            </w:r>
          </w:p>
        </w:tc>
        <w:tc>
          <w:tcPr>
            <w:tcW w:w="710" w:type="dxa"/>
          </w:tcPr>
          <w:p w14:paraId="23D528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518</w:t>
            </w:r>
          </w:p>
        </w:tc>
      </w:tr>
      <w:tr w:rsidR="00E3599D" w:rsidRPr="00E14102" w14:paraId="4968A3F4" w14:textId="77777777">
        <w:trPr>
          <w:jc w:val="center"/>
        </w:trPr>
        <w:tc>
          <w:tcPr>
            <w:tcW w:w="1187" w:type="dxa"/>
          </w:tcPr>
          <w:p w14:paraId="6C5216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ЗЭМ</w:t>
            </w:r>
          </w:p>
        </w:tc>
        <w:tc>
          <w:tcPr>
            <w:tcW w:w="1372" w:type="dxa"/>
          </w:tcPr>
          <w:p w14:paraId="2431ED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Греков</w:t>
            </w:r>
          </w:p>
        </w:tc>
        <w:tc>
          <w:tcPr>
            <w:tcW w:w="1465" w:type="dxa"/>
          </w:tcPr>
          <w:p w14:paraId="2A627C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токарь</w:t>
            </w:r>
          </w:p>
        </w:tc>
        <w:tc>
          <w:tcPr>
            <w:tcW w:w="816" w:type="dxa"/>
          </w:tcPr>
          <w:p w14:paraId="1F449F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III</w:t>
            </w:r>
          </w:p>
        </w:tc>
        <w:tc>
          <w:tcPr>
            <w:tcW w:w="741" w:type="dxa"/>
          </w:tcPr>
          <w:p w14:paraId="269D4B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274</w:t>
            </w:r>
          </w:p>
        </w:tc>
        <w:tc>
          <w:tcPr>
            <w:tcW w:w="710" w:type="dxa"/>
          </w:tcPr>
          <w:p w14:paraId="7B77F8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710" w:type="dxa"/>
          </w:tcPr>
          <w:p w14:paraId="448BFC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257</w:t>
            </w:r>
          </w:p>
        </w:tc>
      </w:tr>
      <w:tr w:rsidR="00E3599D" w:rsidRPr="00E14102" w14:paraId="17FEF494" w14:textId="77777777">
        <w:trPr>
          <w:jc w:val="center"/>
        </w:trPr>
        <w:tc>
          <w:tcPr>
            <w:tcW w:w="1187" w:type="dxa"/>
          </w:tcPr>
          <w:p w14:paraId="4E66A9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ЗЭМ</w:t>
            </w:r>
          </w:p>
        </w:tc>
        <w:tc>
          <w:tcPr>
            <w:tcW w:w="1372" w:type="dxa"/>
          </w:tcPr>
          <w:p w14:paraId="5375D0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Ефимова</w:t>
            </w:r>
          </w:p>
        </w:tc>
        <w:tc>
          <w:tcPr>
            <w:tcW w:w="1465" w:type="dxa"/>
          </w:tcPr>
          <w:p w14:paraId="69BAC0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сборщица</w:t>
            </w:r>
          </w:p>
        </w:tc>
        <w:tc>
          <w:tcPr>
            <w:tcW w:w="816" w:type="dxa"/>
          </w:tcPr>
          <w:p w14:paraId="3C6BBF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V</w:t>
            </w:r>
          </w:p>
        </w:tc>
        <w:tc>
          <w:tcPr>
            <w:tcW w:w="741" w:type="dxa"/>
          </w:tcPr>
          <w:p w14:paraId="0CAD48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340</w:t>
            </w:r>
          </w:p>
        </w:tc>
        <w:tc>
          <w:tcPr>
            <w:tcW w:w="710" w:type="dxa"/>
          </w:tcPr>
          <w:p w14:paraId="6EB4B3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529</w:t>
            </w:r>
          </w:p>
        </w:tc>
        <w:tc>
          <w:tcPr>
            <w:tcW w:w="710" w:type="dxa"/>
          </w:tcPr>
          <w:p w14:paraId="254D0D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384</w:t>
            </w:r>
          </w:p>
        </w:tc>
      </w:tr>
      <w:tr w:rsidR="00E3599D" w:rsidRPr="00E14102" w14:paraId="5B47D57F" w14:textId="77777777">
        <w:trPr>
          <w:jc w:val="center"/>
        </w:trPr>
        <w:tc>
          <w:tcPr>
            <w:tcW w:w="1187" w:type="dxa"/>
          </w:tcPr>
          <w:p w14:paraId="2AF98F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w:t>
            </w:r>
          </w:p>
        </w:tc>
        <w:tc>
          <w:tcPr>
            <w:tcW w:w="1372" w:type="dxa"/>
          </w:tcPr>
          <w:p w14:paraId="43147A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Валенштейн</w:t>
            </w:r>
          </w:p>
        </w:tc>
        <w:tc>
          <w:tcPr>
            <w:tcW w:w="1465" w:type="dxa"/>
          </w:tcPr>
          <w:p w14:paraId="03B416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фрезеровщик</w:t>
            </w:r>
          </w:p>
        </w:tc>
        <w:tc>
          <w:tcPr>
            <w:tcW w:w="816" w:type="dxa"/>
          </w:tcPr>
          <w:p w14:paraId="2EE012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VIII</w:t>
            </w:r>
          </w:p>
        </w:tc>
        <w:tc>
          <w:tcPr>
            <w:tcW w:w="741" w:type="dxa"/>
          </w:tcPr>
          <w:p w14:paraId="653E56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369</w:t>
            </w:r>
          </w:p>
        </w:tc>
        <w:tc>
          <w:tcPr>
            <w:tcW w:w="710" w:type="dxa"/>
          </w:tcPr>
          <w:p w14:paraId="237937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394</w:t>
            </w:r>
          </w:p>
        </w:tc>
        <w:tc>
          <w:tcPr>
            <w:tcW w:w="710" w:type="dxa"/>
          </w:tcPr>
          <w:p w14:paraId="7C40C1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420</w:t>
            </w:r>
          </w:p>
        </w:tc>
      </w:tr>
      <w:tr w:rsidR="00E3599D" w:rsidRPr="00E14102" w14:paraId="7692B543" w14:textId="77777777">
        <w:trPr>
          <w:jc w:val="center"/>
        </w:trPr>
        <w:tc>
          <w:tcPr>
            <w:tcW w:w="1187" w:type="dxa"/>
            <w:tcBorders>
              <w:bottom w:val="single" w:sz="12" w:space="0" w:color="auto"/>
            </w:tcBorders>
          </w:tcPr>
          <w:p w14:paraId="6DD63D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Машиностр.</w:t>
            </w:r>
          </w:p>
        </w:tc>
        <w:tc>
          <w:tcPr>
            <w:tcW w:w="1372" w:type="dxa"/>
            <w:tcBorders>
              <w:bottom w:val="single" w:sz="12" w:space="0" w:color="auto"/>
            </w:tcBorders>
          </w:tcPr>
          <w:p w14:paraId="4F054B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Дутов</w:t>
            </w:r>
          </w:p>
        </w:tc>
        <w:tc>
          <w:tcPr>
            <w:tcW w:w="1465" w:type="dxa"/>
            <w:tcBorders>
              <w:bottom w:val="single" w:sz="12" w:space="0" w:color="auto"/>
            </w:tcBorders>
          </w:tcPr>
          <w:p w14:paraId="1939ED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фрезеровщик</w:t>
            </w:r>
          </w:p>
        </w:tc>
        <w:tc>
          <w:tcPr>
            <w:tcW w:w="816" w:type="dxa"/>
            <w:tcBorders>
              <w:bottom w:val="single" w:sz="12" w:space="0" w:color="auto"/>
            </w:tcBorders>
          </w:tcPr>
          <w:p w14:paraId="5E4D0B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VIII</w:t>
            </w:r>
          </w:p>
        </w:tc>
        <w:tc>
          <w:tcPr>
            <w:tcW w:w="741" w:type="dxa"/>
            <w:tcBorders>
              <w:bottom w:val="single" w:sz="12" w:space="0" w:color="auto"/>
            </w:tcBorders>
          </w:tcPr>
          <w:p w14:paraId="4CC3D4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441</w:t>
            </w:r>
          </w:p>
        </w:tc>
        <w:tc>
          <w:tcPr>
            <w:tcW w:w="710" w:type="dxa"/>
            <w:tcBorders>
              <w:bottom w:val="single" w:sz="12" w:space="0" w:color="auto"/>
            </w:tcBorders>
          </w:tcPr>
          <w:p w14:paraId="0FA95D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58</w:t>
            </w:r>
          </w:p>
        </w:tc>
        <w:tc>
          <w:tcPr>
            <w:tcW w:w="710" w:type="dxa"/>
            <w:tcBorders>
              <w:bottom w:val="single" w:sz="12" w:space="0" w:color="auto"/>
            </w:tcBorders>
          </w:tcPr>
          <w:p w14:paraId="6F785646" w14:textId="77777777" w:rsidR="00D4105E" w:rsidRPr="00E14102" w:rsidRDefault="00D4105E" w:rsidP="00E14102">
            <w:pPr>
              <w:autoSpaceDE w:val="0"/>
              <w:autoSpaceDN w:val="0"/>
              <w:adjustRightInd w:val="0"/>
              <w:jc w:val="both"/>
              <w:rPr>
                <w:color w:val="000000" w:themeColor="text1"/>
                <w:sz w:val="16"/>
                <w:szCs w:val="16"/>
              </w:rPr>
            </w:pPr>
          </w:p>
        </w:tc>
      </w:tr>
    </w:tbl>
    <w:p w14:paraId="7540B2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Отчёты и доклады о развитии стахановского движения пестрят многочисленными примерами успешных инициатив «многостаночников». Так, в автоматной мастерской АТЭ в бригаде Иванова ранее на 1 установщика и 1 автоматчика приходилось 5 станков. После начала работы «по-стахановски» пара установщик-автоматчик стали обслуживать по 8 станков, а установщики Смирнов и Шурыгин вообще отказались от помощи автоматчиков. Немало было аналогичных примеров и в других подразделениях АТЭ: шлифовальщица Афанасьева перешла с обслуживания 1 станка на 2, при этом её удалось выработать 487 кулачков при норме 194[5]; в чугунной мастерской по инициативе мастера Кутькина был изменён режим работы зуборезного станка, в результате чего дневная выработка возросла с 69 шестерён до 130.</w:t>
      </w:r>
    </w:p>
    <w:p w14:paraId="4E1310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масштабах всего завода автотракторного электрооборудования был проведён ряд мероприятий по рационализации производства:</w:t>
      </w:r>
    </w:p>
    <w:p w14:paraId="4C6088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Проведена организация рабочих мест</w:t>
      </w:r>
    </w:p>
    <w:p w14:paraId="2E5813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Централизована заточка инструмента</w:t>
      </w:r>
    </w:p>
    <w:p w14:paraId="03FAD3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Разделён ряд операций</w:t>
      </w:r>
    </w:p>
    <w:p w14:paraId="489ADB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Налажена предварительная заготовка мелких деталей</w:t>
      </w:r>
    </w:p>
    <w:p w14:paraId="77DCBF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«Подварщики» освобождены от окраски и очистки ванны, а так же от приболчивания к радиаторам осей</w:t>
      </w:r>
    </w:p>
    <w:p w14:paraId="6AB785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Освобождены обмотчики от перемотки меди</w:t>
      </w:r>
    </w:p>
    <w:p w14:paraId="1D8577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Ускорен режим обработки на сварке, механических работах, штамповке и сверловке»</w:t>
      </w:r>
    </w:p>
    <w:p w14:paraId="243A64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Эти меры сравнительно быстро стали приносить практические результаты. Так, в цехе стекольного ширпотреба в результате «</w:t>
      </w:r>
      <w:r w:rsidRPr="00E14102">
        <w:rPr>
          <w:iCs/>
          <w:color w:val="000000" w:themeColor="text1"/>
          <w:sz w:val="16"/>
          <w:szCs w:val="16"/>
        </w:rPr>
        <w:t>выправления огней горелок</w:t>
      </w:r>
      <w:r w:rsidRPr="00E14102">
        <w:rPr>
          <w:color w:val="000000" w:themeColor="text1"/>
          <w:sz w:val="16"/>
          <w:szCs w:val="16"/>
        </w:rPr>
        <w:t>» и организации доставки материалов к рабочему месту, цех повысил производство подвесков с 33000 до 56000. Отдельные бригады выполнили план на 130-140%. В гончарном цехе глиномял Чоботов рационализировал работу глиномялок повысил выработку глины с 2 до 7 тонн.</w:t>
      </w:r>
    </w:p>
    <w:p w14:paraId="6F21CF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 второй половины декабря 1935 г. намечается переход от единичных рекордов к рекордам массовым. Крайней степенью этого увлечения стали т. н. «Стахановские сутки». Например, 19 декабря стахановские сутки были проведены в Механической мастерской Трансформаторного завода. В этот день первая смена выполнила план на 195%, вторая – на 236, а ночная – на 248. Т.о., мастерская, ранее выполнявшая план на 120-130%, в те сутки выполнила план на 225% (11563).</w:t>
      </w:r>
    </w:p>
    <w:p w14:paraId="7F302FFE" w14:textId="77777777" w:rsidR="00D4105E" w:rsidRPr="00E14102" w:rsidRDefault="00D4105E" w:rsidP="00E14102">
      <w:pPr>
        <w:autoSpaceDE w:val="0"/>
        <w:autoSpaceDN w:val="0"/>
        <w:adjustRightInd w:val="0"/>
        <w:jc w:val="both"/>
        <w:rPr>
          <w:color w:val="000000" w:themeColor="text1"/>
          <w:sz w:val="16"/>
          <w:szCs w:val="16"/>
        </w:rPr>
      </w:pPr>
    </w:p>
    <w:p w14:paraId="76AE13E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0F3DEBF8" w14:textId="77777777" w:rsidR="00D4105E" w:rsidRPr="00E14102" w:rsidRDefault="00D4105E" w:rsidP="00E14102">
      <w:pPr>
        <w:autoSpaceDE w:val="0"/>
        <w:autoSpaceDN w:val="0"/>
        <w:adjustRightInd w:val="0"/>
        <w:jc w:val="both"/>
        <w:rPr>
          <w:iCs/>
          <w:color w:val="000000" w:themeColor="text1"/>
          <w:sz w:val="16"/>
          <w:szCs w:val="16"/>
        </w:rPr>
      </w:pPr>
    </w:p>
    <w:p w14:paraId="5592505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5 ноября 1935 года военный атташе в Китае Э. Лерин писал письмо наркому обороны Ворошилову</w:t>
      </w:r>
    </w:p>
    <w:p w14:paraId="69215C91"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Вашему приказу три недели провел в ОКДВА и присутствовал на маневрах. Сангурский представил все возможности для ознакомления с боевой подготовкой армии. Очевидно, на лицо большие достижения и в области боевой подготовки войск и командного состава, укрепления политико-морального состояния, освоения техники. Но все это Вам гораздо лучше известно, чем мне, поэтому я хочу обратить Ваше внимание только на состояние нашего воздушного флота на Дальнем Востоке.</w:t>
      </w:r>
    </w:p>
    <w:p w14:paraId="3FE918A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На маневрах наша авиация работала прекрасно, мне кажется, что она работала даже более четко, чем другие рода войск, очевидно, мы имеем прекрасный летный состав, но что касается технического состояния нашей авиации на Дальнем Востоке, то в этом отношении она отстала не только от Европы и Америки, но даже от Японии.</w:t>
      </w:r>
    </w:p>
    <w:p w14:paraId="6C632FF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 наши дни, когда пассажирские самолеты даже в Китае дают крейсерскую скорость 300 км/час, мы на Приморье имеем бомбардировочную авиацию со скоростью только 150 км/час. При радиусе действий в 1200 км, даже с нагрузкой горючего 6 тонн и только одной тонной бомб, воздушный налет на Японские острова может превратиться во вредную для нас авантюру. Очевидно, надо поскорее создать на Приморье авиационную группу с современными бомбовозами и специально подготовить таковую для бомбардировки объектов на японских островах. БЗ можно использовать только на континенте. Весь Восток, особенно Китай, восхищается нашей авиацией; у всех полная уверенность, что мы с воздуха будем громить японские промышленные центры и базы на островах, но при нынешнем техническом уровне нашей бомбардировочной авиации мы очевидно с таковой задачей не справимся.</w:t>
      </w:r>
    </w:p>
    <w:p w14:paraId="3434994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Очевидно также, что пора сдать поскорее в музей все наши старые истребители, ведь они совершенно бесполезны сейчас, так как не могут угнаться ни за бомбардировщиком, ни за разведчиком. На новом истребителе И-16, очевидно на до поскорее сменить мотор, чтобы вместо нынешней скорости в 320 км/час получить нормальную в 450 км/час. В ОКДВА также на вооружении находится до сих пор, устаревший давно разведчик Р-5. Самолеты отсталой японской авиации уже сейчас превосходят в отношении скорости и наши бомбовозы и старые истребители и разведчики, а теперь японцы осваивают производство новых американских машин.</w:t>
      </w:r>
    </w:p>
    <w:p w14:paraId="60EA3F8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 отношении начала войны иностранные наблюдатели говорят. Что таковая начнется внезапным налетом массы японских самолетов (500-1000) на Приморье с целью уничтожения наших аэродромов и баз и, может быть, в целях маскировки воздушной операции накануне войны японской дипломатией будут сделаны миролюбивые жесты по адресу СССР. Система ВНОС и разведки очевидно не обеспечивают наши аэродромы от внезапного удара, поэтому должны быть предприняты какие-то меры по предупреждению подобного случая.</w:t>
      </w:r>
    </w:p>
    <w:p w14:paraId="15949B27"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Надо заметить, что за границей мало знают о технической отсталости нашей авиации, особенно французы много содействовали распространению сведений о нашей авиации как передовой во всех отношениях (3475,140-141).</w:t>
      </w:r>
    </w:p>
    <w:p w14:paraId="0110F0FA"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01F9571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58E4CD8" w14:textId="77777777" w:rsidR="00D4105E" w:rsidRPr="00E14102" w:rsidRDefault="00D4105E" w:rsidP="00E14102">
      <w:pPr>
        <w:autoSpaceDE w:val="0"/>
        <w:autoSpaceDN w:val="0"/>
        <w:adjustRightInd w:val="0"/>
        <w:jc w:val="both"/>
        <w:rPr>
          <w:iCs/>
          <w:color w:val="000000" w:themeColor="text1"/>
          <w:sz w:val="16"/>
          <w:szCs w:val="16"/>
        </w:rPr>
      </w:pPr>
    </w:p>
    <w:p w14:paraId="4F26D0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 ноября 1935 в Киеве пущен первый троллейбус (4962).</w:t>
      </w:r>
    </w:p>
    <w:p w14:paraId="1F230B8D"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E7EE3B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4F37007" w14:textId="77777777" w:rsidR="00D4105E" w:rsidRPr="00E14102" w:rsidRDefault="00D4105E" w:rsidP="00E14102">
      <w:pPr>
        <w:autoSpaceDE w:val="0"/>
        <w:autoSpaceDN w:val="0"/>
        <w:adjustRightInd w:val="0"/>
        <w:jc w:val="both"/>
        <w:rPr>
          <w:iCs/>
          <w:color w:val="000000" w:themeColor="text1"/>
          <w:sz w:val="16"/>
          <w:szCs w:val="16"/>
        </w:rPr>
      </w:pPr>
    </w:p>
    <w:p w14:paraId="0A1D70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ноября 1935 в Чехословакии М.Ходза сформировал новое правительство (3481).</w:t>
      </w:r>
    </w:p>
    <w:p w14:paraId="265F417D" w14:textId="77777777" w:rsidR="00D4105E" w:rsidRPr="00E14102" w:rsidRDefault="00D4105E" w:rsidP="00E14102">
      <w:pPr>
        <w:autoSpaceDE w:val="0"/>
        <w:autoSpaceDN w:val="0"/>
        <w:adjustRightInd w:val="0"/>
        <w:jc w:val="both"/>
        <w:rPr>
          <w:color w:val="000000" w:themeColor="text1"/>
          <w:sz w:val="16"/>
          <w:szCs w:val="16"/>
        </w:rPr>
      </w:pPr>
    </w:p>
    <w:p w14:paraId="2F6031C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86353B3" w14:textId="77777777" w:rsidR="00D4105E" w:rsidRPr="00E14102" w:rsidRDefault="00D4105E" w:rsidP="00E14102">
      <w:pPr>
        <w:autoSpaceDE w:val="0"/>
        <w:autoSpaceDN w:val="0"/>
        <w:adjustRightInd w:val="0"/>
        <w:jc w:val="both"/>
        <w:rPr>
          <w:iCs/>
          <w:color w:val="000000" w:themeColor="text1"/>
          <w:sz w:val="16"/>
          <w:szCs w:val="16"/>
        </w:rPr>
      </w:pPr>
    </w:p>
    <w:p w14:paraId="358EC5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ноября 1935 состоялся первый полет звена ТБ-3 (АНТ-6) с двумя И-16 под крылом, двумя И-5 на крыле и с подцепом И-Z (237,176).</w:t>
      </w:r>
    </w:p>
    <w:p w14:paraId="414655A2" w14:textId="77777777" w:rsidR="00D4105E" w:rsidRPr="00E14102" w:rsidRDefault="00D4105E" w:rsidP="00E14102">
      <w:pPr>
        <w:autoSpaceDE w:val="0"/>
        <w:autoSpaceDN w:val="0"/>
        <w:adjustRightInd w:val="0"/>
        <w:jc w:val="both"/>
        <w:rPr>
          <w:color w:val="000000" w:themeColor="text1"/>
          <w:sz w:val="16"/>
          <w:szCs w:val="16"/>
        </w:rPr>
      </w:pPr>
    </w:p>
    <w:p w14:paraId="425008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ноября 1935 в ходе заводских испытаний, которые начались 15 сентября 1935, И-17 Н.Н.П. потерпел серьезную аварию (поломав шасси и крыло) (2166,181).</w:t>
      </w:r>
    </w:p>
    <w:p w14:paraId="136BE8D2" w14:textId="77777777" w:rsidR="00D4105E" w:rsidRPr="00E14102" w:rsidRDefault="00D4105E" w:rsidP="00E14102">
      <w:pPr>
        <w:autoSpaceDE w:val="0"/>
        <w:autoSpaceDN w:val="0"/>
        <w:adjustRightInd w:val="0"/>
        <w:jc w:val="both"/>
        <w:rPr>
          <w:color w:val="000000" w:themeColor="text1"/>
          <w:sz w:val="16"/>
          <w:szCs w:val="16"/>
        </w:rPr>
      </w:pPr>
    </w:p>
    <w:p w14:paraId="2DCF6F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ноября 1935 г., при подготовке к параду самолет ЦКБ-15 потер</w:t>
      </w:r>
      <w:r w:rsidRPr="00E14102">
        <w:rPr>
          <w:color w:val="000000" w:themeColor="text1"/>
          <w:sz w:val="16"/>
          <w:szCs w:val="16"/>
        </w:rPr>
        <w:softHyphen/>
        <w:t>пел серьезную аварию: при посадке у него из-за отказа замка сложилось и было сломано шасси. Машина завали</w:t>
      </w:r>
      <w:r w:rsidRPr="00E14102">
        <w:rPr>
          <w:color w:val="000000" w:themeColor="text1"/>
          <w:sz w:val="16"/>
          <w:szCs w:val="16"/>
        </w:rPr>
        <w:softHyphen/>
        <w:t>лась на крыло, повредив консоль, крыльевые бензобаки в центроплане. ЦКБ-15 вновь вернули на завод (10667).</w:t>
      </w:r>
    </w:p>
    <w:p w14:paraId="09F7FF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A02FBE4" w14:textId="77777777" w:rsidR="009602A3" w:rsidRPr="00E14102" w:rsidRDefault="009602A3" w:rsidP="00E14102">
      <w:pPr>
        <w:shd w:val="clear" w:color="auto" w:fill="FFFFFF"/>
        <w:jc w:val="both"/>
        <w:rPr>
          <w:color w:val="000000" w:themeColor="text1"/>
          <w:sz w:val="16"/>
          <w:szCs w:val="16"/>
        </w:rPr>
      </w:pPr>
      <w:r w:rsidRPr="00E14102">
        <w:rPr>
          <w:color w:val="000000" w:themeColor="text1"/>
          <w:sz w:val="16"/>
          <w:szCs w:val="16"/>
        </w:rPr>
        <w:t>6-го ноября 1935 ЦКБ-15 (И-17) потерпел серьезную аварию. При посадке у истребителя из-за отказа замка сложилось шасси. Машина завалилась на крыло, повредив консоль и крыльевые баки в центроплане. И-17 вновь вернули на завод. Истребителю требовался серьезный ремонт: пришлось заново делать шасси, консоль крыла, бензобаки. По требованию ВВС И-17 решили оснастить убираемыми в полете лыжами. Все это задержало испытание машины, и они были возобновлены лишь 20-го марта 1936 года. Однако большого интереса самолет уже не вызывал и фактически к концу 1936 года все испытания были прекращены (15223).</w:t>
      </w:r>
    </w:p>
    <w:p w14:paraId="2F861313" w14:textId="77777777" w:rsidR="009602A3" w:rsidRPr="00E14102" w:rsidRDefault="009602A3" w:rsidP="00E14102">
      <w:pPr>
        <w:shd w:val="clear" w:color="auto" w:fill="FFFFFF"/>
        <w:jc w:val="both"/>
        <w:rPr>
          <w:color w:val="000000" w:themeColor="text1"/>
          <w:sz w:val="16"/>
          <w:szCs w:val="16"/>
        </w:rPr>
      </w:pPr>
    </w:p>
    <w:p w14:paraId="4596910D" w14:textId="77777777" w:rsidR="009602A3" w:rsidRPr="00E14102" w:rsidRDefault="009602A3" w:rsidP="00E14102">
      <w:pPr>
        <w:jc w:val="both"/>
        <w:rPr>
          <w:color w:val="000000" w:themeColor="text1"/>
          <w:sz w:val="16"/>
          <w:szCs w:val="16"/>
        </w:rPr>
      </w:pPr>
      <w:r w:rsidRPr="00E14102">
        <w:rPr>
          <w:bCs/>
          <w:color w:val="000000" w:themeColor="text1"/>
          <w:sz w:val="16"/>
          <w:szCs w:val="16"/>
        </w:rPr>
        <w:t>6 ноября</w:t>
      </w:r>
      <w:r w:rsidRPr="00E14102">
        <w:rPr>
          <w:color w:val="000000" w:themeColor="text1"/>
          <w:sz w:val="16"/>
          <w:szCs w:val="16"/>
        </w:rPr>
        <w:t xml:space="preserve"> в 1935 году опубликована работа Г.Э.Лангемака и В.П.Глушко "Ракеты, их устройство и применение" (14822).</w:t>
      </w:r>
    </w:p>
    <w:p w14:paraId="3C476EB3" w14:textId="77777777" w:rsidR="009602A3" w:rsidRPr="00E14102" w:rsidRDefault="009602A3" w:rsidP="00E14102">
      <w:pPr>
        <w:jc w:val="both"/>
        <w:rPr>
          <w:color w:val="000000" w:themeColor="text1"/>
          <w:sz w:val="16"/>
          <w:szCs w:val="16"/>
        </w:rPr>
      </w:pPr>
    </w:p>
    <w:p w14:paraId="1B6E8DB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B4054C9" w14:textId="77777777" w:rsidR="00D4105E" w:rsidRPr="00E14102" w:rsidRDefault="00D4105E" w:rsidP="00E14102">
      <w:pPr>
        <w:autoSpaceDE w:val="0"/>
        <w:autoSpaceDN w:val="0"/>
        <w:adjustRightInd w:val="0"/>
        <w:jc w:val="both"/>
        <w:rPr>
          <w:iCs/>
          <w:color w:val="000000" w:themeColor="text1"/>
          <w:sz w:val="16"/>
          <w:szCs w:val="16"/>
        </w:rPr>
      </w:pPr>
    </w:p>
    <w:p w14:paraId="6E01AE02" w14:textId="77777777" w:rsidR="009602A3" w:rsidRPr="00E14102" w:rsidRDefault="009602A3" w:rsidP="00E14102">
      <w:pPr>
        <w:jc w:val="both"/>
        <w:rPr>
          <w:rStyle w:val="a6"/>
          <w:i w:val="0"/>
          <w:color w:val="000000" w:themeColor="text1"/>
          <w:sz w:val="16"/>
          <w:szCs w:val="16"/>
        </w:rPr>
      </w:pPr>
      <w:r w:rsidRPr="00E14102">
        <w:rPr>
          <w:rStyle w:val="a6"/>
          <w:i w:val="0"/>
          <w:color w:val="000000" w:themeColor="text1"/>
          <w:sz w:val="16"/>
          <w:szCs w:val="16"/>
        </w:rPr>
        <w:t xml:space="preserve">6 ноября 1935 г. </w:t>
      </w:r>
      <w:r w:rsidRPr="00E14102">
        <w:rPr>
          <w:color w:val="000000" w:themeColor="text1"/>
          <w:sz w:val="16"/>
          <w:szCs w:val="16"/>
        </w:rPr>
        <w:t>Докладная записка директора Кировского машиностроительного и металлургического завода К. М. Отса секретарю ЦК ВКП(б) И. В. Сталину о перспективах производства скоростных танков Т-28 и Т-29 в 1936 г.</w:t>
      </w:r>
    </w:p>
    <w:p w14:paraId="517D80D5" w14:textId="77777777" w:rsidR="009602A3" w:rsidRPr="00E14102" w:rsidRDefault="009602A3" w:rsidP="00E14102">
      <w:pPr>
        <w:jc w:val="both"/>
        <w:rPr>
          <w:color w:val="000000" w:themeColor="text1"/>
          <w:sz w:val="16"/>
          <w:szCs w:val="16"/>
        </w:rPr>
      </w:pPr>
      <w:r w:rsidRPr="00E14102">
        <w:rPr>
          <w:rStyle w:val="a6"/>
          <w:i w:val="0"/>
          <w:color w:val="000000" w:themeColor="text1"/>
          <w:sz w:val="16"/>
          <w:szCs w:val="16"/>
        </w:rPr>
        <w:t>Секретно.</w:t>
      </w:r>
    </w:p>
    <w:p w14:paraId="56C439D4" w14:textId="77777777" w:rsidR="009602A3" w:rsidRPr="00E14102" w:rsidRDefault="009602A3" w:rsidP="00E14102">
      <w:pPr>
        <w:pStyle w:val="rtejustify"/>
        <w:spacing w:before="0" w:after="0"/>
        <w:rPr>
          <w:color w:val="000000" w:themeColor="text1"/>
          <w:sz w:val="16"/>
          <w:szCs w:val="16"/>
        </w:rPr>
      </w:pPr>
      <w:r w:rsidRPr="00E14102">
        <w:rPr>
          <w:color w:val="000000" w:themeColor="text1"/>
          <w:sz w:val="16"/>
          <w:szCs w:val="16"/>
        </w:rPr>
        <w:t>Рапортом от 6 октября 1935 г. я доложил, что произведенные в 1935 г. конструктивные улучшения танка Т</w:t>
      </w:r>
      <w:r w:rsidRPr="00E14102">
        <w:rPr>
          <w:color w:val="000000" w:themeColor="text1"/>
          <w:sz w:val="16"/>
          <w:szCs w:val="16"/>
        </w:rPr>
        <w:noBreakHyphen/>
        <w:t>28 повысили его скорость на 50%, в среднем на 16</w:t>
      </w:r>
      <w:r w:rsidRPr="00E14102">
        <w:rPr>
          <w:color w:val="000000" w:themeColor="text1"/>
          <w:sz w:val="16"/>
          <w:szCs w:val="16"/>
        </w:rPr>
        <w:noBreakHyphen/>
        <w:t>20 км/ч, против изготовляемых ныне машин. Достигнутая скорость дает новую военно-тактическую оценку Т</w:t>
      </w:r>
      <w:r w:rsidRPr="00E14102">
        <w:rPr>
          <w:color w:val="000000" w:themeColor="text1"/>
          <w:sz w:val="16"/>
          <w:szCs w:val="16"/>
        </w:rPr>
        <w:noBreakHyphen/>
        <w:t>28, как основной боевой единицы среднего класса, и открывает широкие перспективы дальнейшего конструктивного улучшения. Между тем АБТУ РККА ставит вопрос о прекращении в 1936 г. производства этих машин на нашем заводе в связи с переходом на производство колесно-гусеничной машины Т</w:t>
      </w:r>
      <w:r w:rsidRPr="00E14102">
        <w:rPr>
          <w:color w:val="000000" w:themeColor="text1"/>
          <w:sz w:val="16"/>
          <w:szCs w:val="16"/>
        </w:rPr>
        <w:noBreakHyphen/>
        <w:t>29. При этом упускается из вида, что освоение производства новой машины при самых боевых темпах и величайшем напряжении займет от 4</w:t>
      </w:r>
      <w:r w:rsidRPr="00E14102">
        <w:rPr>
          <w:color w:val="000000" w:themeColor="text1"/>
          <w:sz w:val="16"/>
          <w:szCs w:val="16"/>
        </w:rPr>
        <w:noBreakHyphen/>
        <w:t>6 месяцев, в течение коих выпуск машин Т</w:t>
      </w:r>
      <w:r w:rsidRPr="00E14102">
        <w:rPr>
          <w:color w:val="000000" w:themeColor="text1"/>
          <w:sz w:val="16"/>
          <w:szCs w:val="16"/>
        </w:rPr>
        <w:noBreakHyphen/>
        <w:t>28 должен быть прекращен, а новые машины еще выходить не будут. Такой переход не только ослабляет мобилизационную готовность, но и снова вводит Кировский завод в длительный период освоения новой машины, недостаточно проверенной в конструктивном отношении и требующей для ее усовершенствования 1</w:t>
      </w:r>
      <w:r w:rsidRPr="00E14102">
        <w:rPr>
          <w:color w:val="000000" w:themeColor="text1"/>
          <w:sz w:val="16"/>
          <w:szCs w:val="16"/>
        </w:rPr>
        <w:noBreakHyphen/>
        <w:t>2 года цеховой работы.</w:t>
      </w:r>
    </w:p>
    <w:p w14:paraId="40EB5AAC" w14:textId="77777777" w:rsidR="009602A3" w:rsidRPr="00E14102" w:rsidRDefault="009602A3" w:rsidP="00E14102">
      <w:pPr>
        <w:pStyle w:val="rtejustify"/>
        <w:spacing w:before="0" w:after="0"/>
        <w:rPr>
          <w:color w:val="000000" w:themeColor="text1"/>
          <w:sz w:val="16"/>
          <w:szCs w:val="16"/>
        </w:rPr>
      </w:pPr>
      <w:r w:rsidRPr="00E14102">
        <w:rPr>
          <w:color w:val="000000" w:themeColor="text1"/>
          <w:sz w:val="16"/>
          <w:szCs w:val="16"/>
        </w:rPr>
        <w:lastRenderedPageBreak/>
        <w:t>Как показывает пример мировых автомобильных и тракторных заводов, технический прогресс заводов транспортного машиностроения идет по линии органического конструктивного и производственного улучшения машин, находящихся на производстве данного завода. Скоростная машина Т</w:t>
      </w:r>
      <w:r w:rsidRPr="00E14102">
        <w:rPr>
          <w:color w:val="000000" w:themeColor="text1"/>
          <w:sz w:val="16"/>
          <w:szCs w:val="16"/>
        </w:rPr>
        <w:noBreakHyphen/>
        <w:t>28А, обладая максимальной скоростью в 65 км и средней — 46, превышает среднюю скорость Т</w:t>
      </w:r>
      <w:r w:rsidRPr="00E14102">
        <w:rPr>
          <w:color w:val="000000" w:themeColor="text1"/>
          <w:sz w:val="16"/>
          <w:szCs w:val="16"/>
        </w:rPr>
        <w:noBreakHyphen/>
        <w:t>29, достигнутую на войсковых испытаниях: на гусенице — 42 км, на колесах — 39 км. Отсюда видно, что танк Т</w:t>
      </w:r>
      <w:r w:rsidRPr="00E14102">
        <w:rPr>
          <w:color w:val="000000" w:themeColor="text1"/>
          <w:sz w:val="16"/>
          <w:szCs w:val="16"/>
        </w:rPr>
        <w:noBreakHyphen/>
        <w:t>29 по своим тактическим качествам пока еще ниже Т</w:t>
      </w:r>
      <w:r w:rsidRPr="00E14102">
        <w:rPr>
          <w:color w:val="000000" w:themeColor="text1"/>
          <w:sz w:val="16"/>
          <w:szCs w:val="16"/>
        </w:rPr>
        <w:noBreakHyphen/>
        <w:t>28А и нуждается в дальнейших продолжительных конструктивных улучшениях и ни в коем случае не может рассматриваться, как машина, заменяющая последнюю.</w:t>
      </w:r>
    </w:p>
    <w:p w14:paraId="20025E77" w14:textId="77777777" w:rsidR="009602A3" w:rsidRPr="00E14102" w:rsidRDefault="009602A3" w:rsidP="00E14102">
      <w:pPr>
        <w:pStyle w:val="rtejustify"/>
        <w:spacing w:before="0" w:after="0"/>
        <w:rPr>
          <w:color w:val="000000" w:themeColor="text1"/>
          <w:sz w:val="16"/>
          <w:szCs w:val="16"/>
        </w:rPr>
      </w:pPr>
      <w:r w:rsidRPr="00E14102">
        <w:rPr>
          <w:color w:val="000000" w:themeColor="text1"/>
          <w:sz w:val="16"/>
          <w:szCs w:val="16"/>
        </w:rPr>
        <w:t>До сих пор специалисты-танкисты считали, что гусеничные тяжелые машины не могут выдержать продолжительных скоростных пробегов вследствие износа гусениц и разрыва отдельных звеньев. На машине Т</w:t>
      </w:r>
      <w:r w:rsidRPr="00E14102">
        <w:rPr>
          <w:color w:val="000000" w:themeColor="text1"/>
          <w:sz w:val="16"/>
          <w:szCs w:val="16"/>
        </w:rPr>
        <w:noBreakHyphen/>
        <w:t>28А мы испытали усиленную экспериментальным путем гусеницу и достигли хороших результатов с литыми звеньями. При переходе же на штампованные звенья мы можем гарантировать длительные скоростные пробеги не более 1 тыс. км машины Т</w:t>
      </w:r>
      <w:r w:rsidRPr="00E14102">
        <w:rPr>
          <w:color w:val="000000" w:themeColor="text1"/>
          <w:sz w:val="16"/>
          <w:szCs w:val="16"/>
        </w:rPr>
        <w:noBreakHyphen/>
        <w:t>28А без повреждения гусеницы.</w:t>
      </w:r>
    </w:p>
    <w:p w14:paraId="15EEB6E0" w14:textId="77777777" w:rsidR="009602A3" w:rsidRPr="00E14102" w:rsidRDefault="009602A3" w:rsidP="00E14102">
      <w:pPr>
        <w:pStyle w:val="rtejustify"/>
        <w:spacing w:before="0" w:after="0"/>
        <w:rPr>
          <w:color w:val="000000" w:themeColor="text1"/>
          <w:sz w:val="16"/>
          <w:szCs w:val="16"/>
        </w:rPr>
      </w:pPr>
      <w:r w:rsidRPr="00E14102">
        <w:rPr>
          <w:color w:val="000000" w:themeColor="text1"/>
          <w:sz w:val="16"/>
          <w:szCs w:val="16"/>
        </w:rPr>
        <w:t>Докладывая вышеизложенное, выражаю твердую уверенность в том, что ставить в 1936 г. на серийное производство Т</w:t>
      </w:r>
      <w:r w:rsidRPr="00E14102">
        <w:rPr>
          <w:color w:val="000000" w:themeColor="text1"/>
          <w:sz w:val="16"/>
          <w:szCs w:val="16"/>
        </w:rPr>
        <w:noBreakHyphen/>
        <w:t>29 в таком конструктивном оформлении, как в настоящее время, совершенно нецелесообразно, поэтому прошу Вашей директивы о сохранении на производстве Кировского завода машины Т</w:t>
      </w:r>
      <w:r w:rsidRPr="00E14102">
        <w:rPr>
          <w:color w:val="000000" w:themeColor="text1"/>
          <w:sz w:val="16"/>
          <w:szCs w:val="16"/>
        </w:rPr>
        <w:noBreakHyphen/>
        <w:t>28 с теми конструктивными изменениями и улучшениями, которые уже осуществлены и намечаются в дальнейшем.</w:t>
      </w:r>
    </w:p>
    <w:p w14:paraId="01EA7955" w14:textId="77777777" w:rsidR="009602A3" w:rsidRPr="00E14102" w:rsidRDefault="009602A3"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Директор завода К. Отс</w:t>
      </w:r>
    </w:p>
    <w:p w14:paraId="1B3D7012" w14:textId="77777777" w:rsidR="009602A3" w:rsidRPr="00E14102" w:rsidRDefault="009602A3"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Помета</w:t>
      </w:r>
      <w:r w:rsidRPr="00E14102">
        <w:rPr>
          <w:rFonts w:ascii="Times New Roman" w:hAnsi="Times New Roman" w:cs="Times New Roman"/>
          <w:color w:val="000000" w:themeColor="text1"/>
          <w:sz w:val="16"/>
          <w:szCs w:val="16"/>
          <w:lang w:val="ru-RU"/>
        </w:rPr>
        <w:t>: «Тов. Орджоникидзе. В чем тут дело? И.</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Сталин».</w:t>
      </w:r>
    </w:p>
    <w:p w14:paraId="1F01333E" w14:textId="77777777" w:rsidR="009602A3" w:rsidRPr="00E14102" w:rsidRDefault="009602A3"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РГАСПИ. Ф. 558. Оп. 2. Д. 128. Л. 1-3. Подлинник (15361).</w:t>
      </w:r>
    </w:p>
    <w:p w14:paraId="0C178DB2" w14:textId="77777777" w:rsidR="009602A3" w:rsidRPr="00E14102" w:rsidRDefault="009602A3" w:rsidP="00E14102">
      <w:pPr>
        <w:jc w:val="both"/>
        <w:rPr>
          <w:bCs/>
          <w:color w:val="000000" w:themeColor="text1"/>
          <w:sz w:val="16"/>
          <w:szCs w:val="16"/>
        </w:rPr>
      </w:pPr>
    </w:p>
    <w:p w14:paraId="7EA393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ноября 1935 года в присутствии делегации сто­лицы Белоруссии, взявшей шефство над строительством корабля«Минск» сошел на воду. Достройка «Минска» у стенки завода шла еще более трудно и долго, чем сборка его корпуса на стапеле. Чтобы ускорить сдачу корабля, к достроечным работам пришлось привлечь его экипаж. К концу 1937 года на корабле были, наконец, смон­тированы все механизмы и почти закончен монтаж паропроводов и систем. Еще до за­вершения достроечных работ, во второй по­ловине 1 937 года на лидере начались швар­товные испытания, в апреле следующего года состоялось вселение команды. И наконец 9 мая 1938 года лидер «Минск» впервые своим ходом отошел от стенки завода-стро­ителя и направился в море на заводские ходовые испытания (11866).</w:t>
      </w:r>
    </w:p>
    <w:p w14:paraId="6464F530" w14:textId="77777777" w:rsidR="00D4105E" w:rsidRPr="00E14102" w:rsidRDefault="00D4105E" w:rsidP="00E14102">
      <w:pPr>
        <w:autoSpaceDE w:val="0"/>
        <w:autoSpaceDN w:val="0"/>
        <w:adjustRightInd w:val="0"/>
        <w:jc w:val="both"/>
        <w:rPr>
          <w:color w:val="000000" w:themeColor="text1"/>
          <w:sz w:val="16"/>
          <w:szCs w:val="16"/>
        </w:rPr>
      </w:pPr>
    </w:p>
    <w:p w14:paraId="101F2C3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6EF5A60" w14:textId="77777777" w:rsidR="00D4105E" w:rsidRPr="00E14102" w:rsidRDefault="00D4105E" w:rsidP="00E14102">
      <w:pPr>
        <w:autoSpaceDE w:val="0"/>
        <w:autoSpaceDN w:val="0"/>
        <w:adjustRightInd w:val="0"/>
        <w:jc w:val="both"/>
        <w:rPr>
          <w:iCs/>
          <w:color w:val="000000" w:themeColor="text1"/>
          <w:sz w:val="16"/>
          <w:szCs w:val="16"/>
        </w:rPr>
      </w:pPr>
    </w:p>
    <w:p w14:paraId="776AD1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ноября 1935 состоялся первый полет самолета "Харрикейн" (274).</w:t>
      </w:r>
    </w:p>
    <w:p w14:paraId="57E2675D" w14:textId="77777777" w:rsidR="00D4105E" w:rsidRPr="00E14102" w:rsidRDefault="00D4105E" w:rsidP="00E14102">
      <w:pPr>
        <w:autoSpaceDE w:val="0"/>
        <w:autoSpaceDN w:val="0"/>
        <w:adjustRightInd w:val="0"/>
        <w:jc w:val="both"/>
        <w:rPr>
          <w:color w:val="000000" w:themeColor="text1"/>
          <w:sz w:val="16"/>
          <w:szCs w:val="16"/>
        </w:rPr>
      </w:pPr>
    </w:p>
    <w:p w14:paraId="23A44902" w14:textId="77777777" w:rsidR="009602A3" w:rsidRPr="00E14102" w:rsidRDefault="009602A3" w:rsidP="00E14102">
      <w:pPr>
        <w:jc w:val="both"/>
        <w:rPr>
          <w:color w:val="000000" w:themeColor="text1"/>
          <w:sz w:val="16"/>
          <w:szCs w:val="16"/>
        </w:rPr>
      </w:pPr>
      <w:r w:rsidRPr="00E14102">
        <w:rPr>
          <w:bCs/>
          <w:color w:val="000000" w:themeColor="text1"/>
          <w:sz w:val="16"/>
          <w:szCs w:val="16"/>
        </w:rPr>
        <w:t>6 ноября</w:t>
      </w:r>
      <w:r w:rsidRPr="00E14102">
        <w:rPr>
          <w:color w:val="000000" w:themeColor="text1"/>
          <w:sz w:val="16"/>
          <w:szCs w:val="16"/>
        </w:rPr>
        <w:t xml:space="preserve"> в 1935 году состоялся первый полет истребителя "Hawker Hurricane" (Великобритания). Вариант «МКI» с 1030-сильным мотором Роллс-Ройс «Мерлин» II и восемью пулеметами калибра 7,69 мм стал основным британским истребителем в 1940 г., уничтожив в итоге больше вражеских самолетов, чем все остальные английские истребители и зенитные батареи, вместе взятые (14822).</w:t>
      </w:r>
    </w:p>
    <w:p w14:paraId="70918C9E" w14:textId="77777777" w:rsidR="009602A3" w:rsidRPr="00E14102" w:rsidRDefault="009602A3" w:rsidP="00E14102">
      <w:pPr>
        <w:jc w:val="both"/>
        <w:rPr>
          <w:color w:val="000000" w:themeColor="text1"/>
          <w:sz w:val="16"/>
          <w:szCs w:val="16"/>
        </w:rPr>
      </w:pPr>
    </w:p>
    <w:p w14:paraId="1ACC80C3" w14:textId="77777777" w:rsidR="009602A3" w:rsidRPr="00E14102" w:rsidRDefault="009602A3" w:rsidP="00E14102">
      <w:pPr>
        <w:jc w:val="both"/>
        <w:rPr>
          <w:color w:val="000000" w:themeColor="text1"/>
          <w:sz w:val="16"/>
          <w:szCs w:val="16"/>
        </w:rPr>
      </w:pPr>
      <w:r w:rsidRPr="00E14102">
        <w:rPr>
          <w:color w:val="000000" w:themeColor="text1"/>
          <w:sz w:val="16"/>
          <w:szCs w:val="16"/>
        </w:rPr>
        <w:t>6 ноября 1935 Харрикейн впервые оторвался от земли. В конце 1935 г. дальновидные люди в руководстве британской авиации уже четко осознали, что последует за приходом Гитлера к власти. Королевские  ВВС  все ускоряющимися темпами приступили к программе расширения и модернизации. Им насущно необходимы были новые истребители. Многие трудности, с которыми столкнулись в ходе доводки моноплана "Хаукер" и при его внедрении в серию были связаны именно со спешкой. Так, "сырой" мотор вышел из строя в феврале 1936 г. Были неприятности и с другими узлами и агрегатами. Все первые полеты выполнял Балмэн, опытный летчик, ветеран Первой мировой, проработавший до "Хаукер" испытателем в исследовательском центре в Фарнборо. С 1925 г. через его руки прошли все машины, выпускавшиеся фирмой. В течение трех месяцев истребитель претерпел ряд изменений. Двигатель перегревался. Для борьбы с этим увеличили площадь радиатора, соответственно укрупнив и его обтекатель, Подкосы стабилизатора сочли излишними и убрали совсем. Зато существенно усилили каркас фонаря кабины, вибрировавший на ветру. Чуть позже сняли центральную секцию посадочных щитков, нарушавшую обтекание радиатора. Убрали как ненужные нижние секции створок шасси, ранее при посадке отгибавшиеся вбок, перпендикулярно колесу. После всех этих доработок взлетный вес достиг 2577 кг. Балмэн сперва жаловался на тесную кабину и плохой обзор вперед на рулении, но постепенно привык. До расчетной скорости истребитель не дотягивал, но показал на испытаниях 507 км/ч. Это был первый английский истребитель, переваливший за недостижимую ранее отметку 300 миль/час (483 км/ч). Устойчивость и управляемость были в норме. В феврале 1936 г.  опытный  самолет передали в экспериментальный центр ААЕЕ в Мартлшем-Хис. Летавший там на нем испытатель Д.Андерсон подтвердил данные заводских полетов и достаточно высоко оценил маневренность и управляемость истребителя, отметив только увеличение нагрузки на рули при больших скоростях (15129).</w:t>
      </w:r>
    </w:p>
    <w:p w14:paraId="327479F4" w14:textId="77777777" w:rsidR="009602A3" w:rsidRPr="00E14102" w:rsidRDefault="009602A3" w:rsidP="00E14102">
      <w:pPr>
        <w:jc w:val="both"/>
        <w:rPr>
          <w:color w:val="000000" w:themeColor="text1"/>
          <w:sz w:val="16"/>
          <w:szCs w:val="16"/>
        </w:rPr>
      </w:pPr>
    </w:p>
    <w:p w14:paraId="2D574C7F" w14:textId="77777777" w:rsidR="00B40924" w:rsidRPr="00E14102" w:rsidRDefault="00B40924" w:rsidP="00E14102">
      <w:pPr>
        <w:jc w:val="both"/>
        <w:rPr>
          <w:color w:val="0070C0"/>
          <w:sz w:val="16"/>
          <w:szCs w:val="16"/>
        </w:rPr>
      </w:pPr>
      <w:r w:rsidRPr="00E14102">
        <w:rPr>
          <w:color w:val="0070C0"/>
          <w:sz w:val="16"/>
          <w:szCs w:val="16"/>
        </w:rPr>
        <w:t>6 ноября 1935 состоялся первый полет Hawker Hurricane K5083 (20800).</w:t>
      </w:r>
    </w:p>
    <w:p w14:paraId="091E6CBF" w14:textId="77777777" w:rsidR="00B40924" w:rsidRPr="00E14102" w:rsidRDefault="00B40924" w:rsidP="00E14102">
      <w:pPr>
        <w:jc w:val="both"/>
        <w:rPr>
          <w:color w:val="0070C0"/>
          <w:sz w:val="16"/>
          <w:szCs w:val="16"/>
        </w:rPr>
      </w:pPr>
    </w:p>
    <w:p w14:paraId="6F3E8F3C" w14:textId="77777777" w:rsidR="00B40924" w:rsidRPr="00E14102" w:rsidRDefault="00B40924" w:rsidP="00E14102">
      <w:pPr>
        <w:jc w:val="both"/>
        <w:rPr>
          <w:color w:val="0070C0"/>
          <w:sz w:val="16"/>
          <w:szCs w:val="16"/>
        </w:rPr>
      </w:pPr>
      <w:r w:rsidRPr="00E14102">
        <w:rPr>
          <w:color w:val="0070C0"/>
          <w:sz w:val="16"/>
          <w:szCs w:val="16"/>
          <w:shd w:val="clear" w:color="auto" w:fill="FFFFFF"/>
        </w:rPr>
        <w:t>6 ноября 1935 года — Состоялся первый полёт истребителя-перехватчика Hawker Hurricane (Великобритания). Вариант Мk.I с 1030-сильным мотором Роллс-Ройс «Мерлин» II и восемью пулемётами калибра 7,69 мм стал основным британским истребителем в 1940 г., уничтожив в итоге, как уверяют, больше вражеских самолётов, чем все остальные английские истребители и зенитные батареи, вместе взятые. Всего построено более 14 500 экземпляров. Различные модификации самолёта могли действовать как перехватчики, истребители-бомбардировщики (известные также как «Hurribombers») и штурмовики. Для действия с авианосцев существовала модификация, называемая Sea Hurricane (22302).</w:t>
      </w:r>
    </w:p>
    <w:p w14:paraId="4E09E54F" w14:textId="77777777" w:rsidR="00B40924" w:rsidRPr="00E14102" w:rsidRDefault="00B40924" w:rsidP="00E14102">
      <w:pPr>
        <w:jc w:val="both"/>
        <w:rPr>
          <w:color w:val="0070C0"/>
          <w:sz w:val="16"/>
          <w:szCs w:val="16"/>
        </w:rPr>
      </w:pPr>
    </w:p>
    <w:p w14:paraId="6CAEF2EB" w14:textId="77777777" w:rsidR="00B40924" w:rsidRPr="00E14102" w:rsidRDefault="00B40924" w:rsidP="00E14102">
      <w:pPr>
        <w:jc w:val="both"/>
        <w:rPr>
          <w:color w:val="0070C0"/>
          <w:sz w:val="16"/>
          <w:szCs w:val="16"/>
        </w:rPr>
      </w:pPr>
      <w:r w:rsidRPr="00E14102">
        <w:rPr>
          <w:color w:val="0070C0"/>
          <w:sz w:val="16"/>
          <w:szCs w:val="16"/>
        </w:rPr>
        <w:t>6 ноября 1935 года — первый полёт поршневого истребителя Hawker Hurricane. /Англия/</w:t>
      </w:r>
    </w:p>
    <w:p w14:paraId="0EAA1ECE" w14:textId="77777777" w:rsidR="00B40924" w:rsidRPr="00E14102" w:rsidRDefault="00B40924" w:rsidP="00E14102">
      <w:pPr>
        <w:jc w:val="both"/>
        <w:rPr>
          <w:color w:val="0070C0"/>
          <w:sz w:val="16"/>
          <w:szCs w:val="16"/>
        </w:rPr>
      </w:pPr>
      <w:r w:rsidRPr="00E14102">
        <w:rPr>
          <w:color w:val="0070C0"/>
          <w:sz w:val="16"/>
          <w:szCs w:val="16"/>
        </w:rPr>
        <w:t>Главный конструктор Hawker Aircraft сэр Сидней Кэмм ещё в начале 1930-х годов обсуждал с представителями Королевских ВВС Великобритании истребитель-моноплан для замены биплана Hawker Fury. В 1934 году компания получила от авиационного министерства заказ на разработку такого проекта. Новый истребитель получил имя Hurricane.</w:t>
      </w:r>
    </w:p>
    <w:p w14:paraId="2F6C7B03" w14:textId="77777777" w:rsidR="00B40924" w:rsidRPr="00E14102" w:rsidRDefault="00B40924" w:rsidP="00E14102">
      <w:pPr>
        <w:jc w:val="both"/>
        <w:rPr>
          <w:color w:val="0070C0"/>
          <w:sz w:val="16"/>
          <w:szCs w:val="16"/>
        </w:rPr>
      </w:pPr>
      <w:r w:rsidRPr="00E14102">
        <w:rPr>
          <w:color w:val="0070C0"/>
          <w:sz w:val="16"/>
          <w:szCs w:val="16"/>
        </w:rPr>
        <w:t>Это был одноместный низкоплан с убираемым шасси. В варианте Mk.IIC оснащался двигателем Rolls-Royce Merlin XX (1185 л.с.) Максимальная скорость — 550 км/ч, дальность полёта — 970 км. Вооружение — 4 × 20-мм пушек Hispano Mk II + 2 × 110-кг или 230-кг бомбы.</w:t>
      </w:r>
    </w:p>
    <w:p w14:paraId="6FB7E213" w14:textId="77777777" w:rsidR="00B40924" w:rsidRPr="00E14102" w:rsidRDefault="00B40924" w:rsidP="00E14102">
      <w:pPr>
        <w:jc w:val="both"/>
        <w:rPr>
          <w:color w:val="0070C0"/>
          <w:sz w:val="16"/>
          <w:szCs w:val="16"/>
        </w:rPr>
      </w:pPr>
      <w:r w:rsidRPr="00E14102">
        <w:rPr>
          <w:color w:val="0070C0"/>
          <w:sz w:val="16"/>
          <w:szCs w:val="16"/>
        </w:rPr>
        <w:t>Надёжный и простой в производстве Hurricane поступил на вооружение Королевских ВВС уже в 1937 году. Было выпущено 14487 истребителей всех вариантов. Hurricane активно участвовали во Второй мировой войне — 60% всех сбитых немецких самолётов во время Битвы за Британию были сбиты на этих истребителя. Кроме Великобритании, они стояли на вооружении ещё более чем 20 стран (Австралия, Канада, Франция, СССР и др.) (22300).</w:t>
      </w:r>
    </w:p>
    <w:p w14:paraId="7C68F7BF" w14:textId="77777777" w:rsidR="00B40924" w:rsidRPr="00E14102" w:rsidRDefault="00B40924" w:rsidP="00E14102">
      <w:pPr>
        <w:jc w:val="both"/>
        <w:rPr>
          <w:color w:val="0070C0"/>
          <w:sz w:val="16"/>
          <w:szCs w:val="16"/>
        </w:rPr>
      </w:pPr>
    </w:p>
    <w:p w14:paraId="3977599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2B3AD93" w14:textId="77777777" w:rsidR="00D4105E" w:rsidRPr="00E14102" w:rsidRDefault="00D4105E" w:rsidP="00E14102">
      <w:pPr>
        <w:autoSpaceDE w:val="0"/>
        <w:autoSpaceDN w:val="0"/>
        <w:adjustRightInd w:val="0"/>
        <w:jc w:val="both"/>
        <w:rPr>
          <w:iCs/>
          <w:color w:val="000000" w:themeColor="text1"/>
          <w:sz w:val="16"/>
          <w:szCs w:val="16"/>
        </w:rPr>
      </w:pPr>
    </w:p>
    <w:p w14:paraId="3216A6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ноября 1935 СБ-2ИС опять появился на аэродроме НИИ. Забот о перегреве стало гораздо меньше (7643).</w:t>
      </w:r>
    </w:p>
    <w:p w14:paraId="29EE70FC" w14:textId="77777777" w:rsidR="00D4105E" w:rsidRPr="00E14102" w:rsidRDefault="00D4105E" w:rsidP="00E14102">
      <w:pPr>
        <w:autoSpaceDE w:val="0"/>
        <w:autoSpaceDN w:val="0"/>
        <w:adjustRightInd w:val="0"/>
        <w:jc w:val="both"/>
        <w:rPr>
          <w:color w:val="000000" w:themeColor="text1"/>
          <w:sz w:val="16"/>
          <w:szCs w:val="16"/>
        </w:rPr>
      </w:pPr>
    </w:p>
    <w:p w14:paraId="3B7148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ноября 1935 после доработок возобновились полеты на АНТ-29 ДИП (2072,76).</w:t>
      </w:r>
    </w:p>
    <w:p w14:paraId="04090845" w14:textId="77777777" w:rsidR="00D4105E" w:rsidRPr="00E14102" w:rsidRDefault="00D4105E" w:rsidP="00E14102">
      <w:pPr>
        <w:autoSpaceDE w:val="0"/>
        <w:autoSpaceDN w:val="0"/>
        <w:adjustRightInd w:val="0"/>
        <w:jc w:val="both"/>
        <w:rPr>
          <w:color w:val="000000" w:themeColor="text1"/>
          <w:sz w:val="16"/>
          <w:szCs w:val="16"/>
        </w:rPr>
      </w:pPr>
    </w:p>
    <w:p w14:paraId="698EFF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ноября 1935 опытный ХАИ-6 передали в НИИ ВВС, где его испытывал П.М.Стефановский, в т.ч. и на лыжах. Где-то в это время в ХАИ приезжал С.В.И. как начальник самолетного отдела ГУАП и сообщил, что ВВС от разведчика без вооружения отказывается и цель его визита - убедиться в правильности решения. Тематику закрыли (1166,29).</w:t>
      </w:r>
    </w:p>
    <w:p w14:paraId="2DDB9A92" w14:textId="77777777" w:rsidR="00D4105E" w:rsidRPr="00E14102" w:rsidRDefault="00D4105E" w:rsidP="00E14102">
      <w:pPr>
        <w:autoSpaceDE w:val="0"/>
        <w:autoSpaceDN w:val="0"/>
        <w:adjustRightInd w:val="0"/>
        <w:jc w:val="both"/>
        <w:rPr>
          <w:color w:val="000000" w:themeColor="text1"/>
          <w:sz w:val="16"/>
          <w:szCs w:val="16"/>
        </w:rPr>
      </w:pPr>
    </w:p>
    <w:p w14:paraId="5CC5AE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ноября 1935 работу по экспериментальному самолету ПС передали в экспериментальный институт П.И.Гроховского и включили в план на 1936 (7460).</w:t>
      </w:r>
    </w:p>
    <w:p w14:paraId="26CDE22E" w14:textId="77777777" w:rsidR="00D4105E" w:rsidRPr="00E14102" w:rsidRDefault="00D4105E" w:rsidP="00E14102">
      <w:pPr>
        <w:autoSpaceDE w:val="0"/>
        <w:autoSpaceDN w:val="0"/>
        <w:adjustRightInd w:val="0"/>
        <w:jc w:val="both"/>
        <w:rPr>
          <w:color w:val="000000" w:themeColor="text1"/>
          <w:sz w:val="16"/>
          <w:szCs w:val="16"/>
        </w:rPr>
      </w:pPr>
    </w:p>
    <w:p w14:paraId="436ABDCD"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начале ноября 1935 года работы по прозрачному самолету передали в Экспериментальный институт Гроховского, а Отдел изобретений оставался в наблюдателем за ходом работ.</w:t>
      </w:r>
    </w:p>
    <w:p w14:paraId="71003910"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Гроховский согласился включить новую работу в план института на 1936 г. Техническое руководство, по договоренности с Гроховским, возлагалось на С.Г. Козлова, которому вместе с инженерами ВВА Я.Г. Красных и Н.Е. Жовинскому, участвовавшим в постройке ПС, разрешалась работа по совместительству в Экспериментальном Институте. Однако прозрачного самолета Гроховский так и не построил.</w:t>
      </w:r>
    </w:p>
    <w:p w14:paraId="309A019E"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Последнее, что сделал Отдел изобретений для реализации программы по прозрачному самолету, был заключенный 1 декабря 1935 года договор с мытищинским Научно- исследовательским комбинатом искусственного волокна. По договору в течение пяти месяцев должно было быть изготовлено 300 м</w:t>
      </w:r>
      <w:r w:rsidRPr="00E14102">
        <w:rPr>
          <w:rFonts w:ascii="Times New Roman" w:hAnsi="Times New Roman" w:cs="Times New Roman"/>
          <w:iCs/>
          <w:color w:val="000000" w:themeColor="text1"/>
          <w:sz w:val="16"/>
          <w:szCs w:val="16"/>
          <w:lang w:val="ru-RU"/>
        </w:rPr>
        <w:t>;</w:t>
      </w:r>
      <w:r w:rsidRPr="00E14102">
        <w:rPr>
          <w:rFonts w:ascii="Times New Roman" w:hAnsi="Times New Roman" w:cs="Times New Roman"/>
          <w:color w:val="000000" w:themeColor="text1"/>
          <w:sz w:val="16"/>
          <w:szCs w:val="16"/>
          <w:lang w:val="ru-RU"/>
        </w:rPr>
        <w:t xml:space="preserve"> целлона, удовлетворяющего требованиям Козлова и изучен вопрос армирования его металлом (например, сеткой), что могло увеличить, правда, в ущерб прозрачности, прочность материала.</w:t>
      </w:r>
    </w:p>
    <w:p w14:paraId="1F3CC5F8"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В это же время (по данным В.Б. Шаврова – в 1935 г.) С.Г. Козлов в мастерских ВВА построил под патронажем Гроховского экспериментальную бесхвостку с мотором М-11. Самолет, похожий на таракана, получил название Г-39 «Кукарача». Конструкция крыла – однолонжеронная, материал – дерево, фанера, полотно. Машина получилась перетяжеленной и не смогла оторваться от земли. Не был ли это тот самый специальный самолет, на котором под временной фанерной и полотняной </w:t>
      </w:r>
      <w:r w:rsidRPr="00E14102">
        <w:rPr>
          <w:rFonts w:ascii="Times New Roman" w:hAnsi="Times New Roman" w:cs="Times New Roman"/>
          <w:color w:val="000000" w:themeColor="text1"/>
          <w:sz w:val="16"/>
          <w:szCs w:val="16"/>
          <w:lang w:val="ru-RU"/>
        </w:rPr>
        <w:lastRenderedPageBreak/>
        <w:t>обшивкой отрабатывались принципы конструирования внутренних силовых элементов пониженной видимости? По крайней мере, использование схемы летающего крыла и однолонжеронное крыло говорят в пользу этой версии (12703).</w:t>
      </w:r>
    </w:p>
    <w:p w14:paraId="79837E14" w14:textId="77777777" w:rsidR="00164F4F" w:rsidRPr="00E14102" w:rsidRDefault="00164F4F" w:rsidP="00E14102">
      <w:pPr>
        <w:pStyle w:val="ad"/>
        <w:spacing w:before="0" w:after="0"/>
        <w:rPr>
          <w:rFonts w:ascii="Times New Roman" w:hAnsi="Times New Roman" w:cs="Times New Roman"/>
          <w:color w:val="000000" w:themeColor="text1"/>
          <w:sz w:val="16"/>
          <w:szCs w:val="16"/>
          <w:lang w:val="ru-RU"/>
        </w:rPr>
      </w:pPr>
    </w:p>
    <w:p w14:paraId="4488AD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начале ноября 1935 г. в присутствии начальника первого отдела "НИИ Ю.А.Победоносцева, начальника первого сектора РНИИ Ф-Н.Пойды и инженера РНИИ М.Ф.Фокина отстреляли и РОС-132 мо</w:t>
      </w:r>
      <w:r w:rsidR="00647F1E" w:rsidRPr="00E14102">
        <w:rPr>
          <w:color w:val="000000" w:themeColor="text1"/>
          <w:sz w:val="16"/>
          <w:szCs w:val="16"/>
        </w:rPr>
        <w:t>д</w:t>
      </w:r>
      <w:r w:rsidRPr="00E14102">
        <w:rPr>
          <w:color w:val="000000" w:themeColor="text1"/>
          <w:sz w:val="16"/>
          <w:szCs w:val="16"/>
        </w:rPr>
        <w:t>ели 120800. Партию из 20 снарядов второго варианта изготовили в мас</w:t>
      </w:r>
      <w:r w:rsidRPr="00E14102">
        <w:rPr>
          <w:color w:val="000000" w:themeColor="text1"/>
          <w:sz w:val="16"/>
          <w:szCs w:val="16"/>
        </w:rPr>
        <w:softHyphen/>
        <w:t>терских РНИИ. Они были рассчитаны «на повышенную дальность и меткость», чего предполагалось достичь увеличением их скорости. Хо</w:t>
      </w:r>
      <w:r w:rsidRPr="00E14102">
        <w:rPr>
          <w:color w:val="000000" w:themeColor="text1"/>
          <w:sz w:val="16"/>
          <w:szCs w:val="16"/>
        </w:rPr>
        <w:softHyphen/>
        <w:t>тя, откровенно говоря, скорость и дальность стрельбы могли повлиять на рассеивание РС лишь косвенно. Пусковое приспособление было устано</w:t>
      </w:r>
      <w:r w:rsidRPr="00E14102">
        <w:rPr>
          <w:color w:val="000000" w:themeColor="text1"/>
          <w:sz w:val="16"/>
          <w:szCs w:val="16"/>
        </w:rPr>
        <w:softHyphen/>
        <w:t>влено на лафете 76-мм короткой пушки образца 1913 г. Угол его возвы</w:t>
      </w:r>
      <w:r w:rsidRPr="00E14102">
        <w:rPr>
          <w:color w:val="000000" w:themeColor="text1"/>
          <w:sz w:val="16"/>
          <w:szCs w:val="16"/>
        </w:rPr>
        <w:softHyphen/>
        <w:t>шения составлял 40°.</w:t>
      </w:r>
    </w:p>
    <w:p w14:paraId="4A85C6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 10 снарядов этой партии использовали камеры двигателей и корпу</w:t>
      </w:r>
      <w:r w:rsidRPr="00E14102">
        <w:rPr>
          <w:color w:val="000000" w:themeColor="text1"/>
          <w:sz w:val="16"/>
          <w:szCs w:val="16"/>
        </w:rPr>
        <w:softHyphen/>
        <w:t>са БЧ, оставшиеся от стрельбы 17 июля 1935 г. В этот раз их оснастили соплами, термически обработанными. 15 снарядов использовали для стрельбы на дальность. Корпуса их двигателей изготавливали из загото</w:t>
      </w:r>
      <w:r w:rsidRPr="00E14102">
        <w:rPr>
          <w:color w:val="000000" w:themeColor="text1"/>
          <w:sz w:val="16"/>
          <w:szCs w:val="16"/>
        </w:rPr>
        <w:softHyphen/>
        <w:t>вок для 152-мм артснарядов, термически обработанных и испытанных гидравликой. Сопловые крышки - из стали ЗОХМА и термически обра</w:t>
      </w:r>
      <w:r w:rsidRPr="00E14102">
        <w:rPr>
          <w:color w:val="000000" w:themeColor="text1"/>
          <w:sz w:val="16"/>
          <w:szCs w:val="16"/>
        </w:rPr>
        <w:softHyphen/>
        <w:t>ботанных. Сопловые обтекатели были выполнены из дюралюминия с приклепанными стальными крыльями оперения.</w:t>
      </w:r>
    </w:p>
    <w:p w14:paraId="092E2E4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Снаряжали боеприпасы в лаборатории полигона. РЗ каждого из них состоял из 42 шашек рецептуры ПТП габаритами 40/8-57,5 мм. Одна из них - разрезная. По его торцам располагались воспламенители из 15 г ДРП каждый. В головном очке - габаритно-весовой макет дистанцион</w:t>
      </w:r>
      <w:r w:rsidRPr="00E14102">
        <w:rPr>
          <w:color w:val="000000" w:themeColor="text1"/>
          <w:sz w:val="16"/>
          <w:szCs w:val="16"/>
        </w:rPr>
        <w:softHyphen/>
        <w:t>ной трубки ТМ-4. Воспламеняли двигатели снарядов пиропатронами.</w:t>
      </w:r>
    </w:p>
    <w:p w14:paraId="4BB2E1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Заключение: снаряды дали вполне удовлетворительную дальность полета и рассеивание по дальности. Боковое рассеивание - еще велико, и его причины необходимо детально изучить. Для улучшения стабилиза</w:t>
      </w:r>
      <w:r w:rsidRPr="00E14102">
        <w:rPr>
          <w:color w:val="000000" w:themeColor="text1"/>
          <w:sz w:val="16"/>
          <w:szCs w:val="16"/>
        </w:rPr>
        <w:softHyphen/>
        <w:t>ции необходимо отказаться от клепанных крыльев и перейти на их кре</w:t>
      </w:r>
      <w:r w:rsidRPr="00E14102">
        <w:rPr>
          <w:color w:val="000000" w:themeColor="text1"/>
          <w:sz w:val="16"/>
          <w:szCs w:val="16"/>
        </w:rPr>
        <w:softHyphen/>
        <w:t>пление сваркой (11402).</w:t>
      </w:r>
    </w:p>
    <w:p w14:paraId="2874F4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9C1ABD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5EA6360" w14:textId="77777777" w:rsidR="00D4105E" w:rsidRPr="00E14102" w:rsidRDefault="00D4105E" w:rsidP="00E14102">
      <w:pPr>
        <w:autoSpaceDE w:val="0"/>
        <w:autoSpaceDN w:val="0"/>
        <w:adjustRightInd w:val="0"/>
        <w:jc w:val="both"/>
        <w:rPr>
          <w:iCs/>
          <w:color w:val="000000" w:themeColor="text1"/>
          <w:sz w:val="16"/>
          <w:szCs w:val="16"/>
        </w:rPr>
      </w:pPr>
    </w:p>
    <w:p w14:paraId="0BF30E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Накануне 7 ноября 1935 СТО решил заменить орлов на звезды на Кремлевских башнях и на историческом музее. Для Спасской и Троицкой делал ЦАГИ под руководством А.А.А., а для Никольской и Боровицкой - завод Н.Н.П. (172,69).</w:t>
      </w:r>
    </w:p>
    <w:p w14:paraId="068205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Интересно, чего С.В.И.-то зевал</w:t>
      </w:r>
    </w:p>
    <w:p w14:paraId="451218CA" w14:textId="77777777" w:rsidR="00D4105E" w:rsidRPr="00E14102" w:rsidRDefault="00D4105E" w:rsidP="00E14102">
      <w:pPr>
        <w:autoSpaceDE w:val="0"/>
        <w:autoSpaceDN w:val="0"/>
        <w:adjustRightInd w:val="0"/>
        <w:jc w:val="both"/>
        <w:rPr>
          <w:iCs/>
          <w:color w:val="000000" w:themeColor="text1"/>
          <w:sz w:val="16"/>
          <w:szCs w:val="16"/>
        </w:rPr>
      </w:pPr>
    </w:p>
    <w:p w14:paraId="624DD19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E6EE114" w14:textId="77777777" w:rsidR="00D4105E" w:rsidRPr="00E14102" w:rsidRDefault="00D4105E" w:rsidP="00E14102">
      <w:pPr>
        <w:autoSpaceDE w:val="0"/>
        <w:autoSpaceDN w:val="0"/>
        <w:adjustRightInd w:val="0"/>
        <w:jc w:val="both"/>
        <w:rPr>
          <w:iCs/>
          <w:color w:val="000000" w:themeColor="text1"/>
          <w:sz w:val="16"/>
          <w:szCs w:val="16"/>
        </w:rPr>
      </w:pPr>
    </w:p>
    <w:p w14:paraId="5EBD97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ноябрьские праздники 1935 в Москве на пл. Маяковского демонстрировали двухместную цельноэлектронную авиетку Э-2 Клим Ворошилов М.Л.Бабада при участии Гиммельфарба и Петрова-Губина А.И. Н.Е.Жуков выполнил на ней один полет в 1934, так как машина была перетяжелена (1076,788).</w:t>
      </w:r>
    </w:p>
    <w:p w14:paraId="2A767882" w14:textId="77777777" w:rsidR="00D4105E" w:rsidRPr="00E14102" w:rsidRDefault="00D4105E" w:rsidP="00E14102">
      <w:pPr>
        <w:autoSpaceDE w:val="0"/>
        <w:autoSpaceDN w:val="0"/>
        <w:adjustRightInd w:val="0"/>
        <w:jc w:val="both"/>
        <w:rPr>
          <w:color w:val="000000" w:themeColor="text1"/>
          <w:sz w:val="16"/>
          <w:szCs w:val="16"/>
        </w:rPr>
      </w:pPr>
    </w:p>
    <w:p w14:paraId="1DF9DA90" w14:textId="77777777" w:rsidR="00647F1E" w:rsidRPr="00E14102" w:rsidRDefault="00647F1E" w:rsidP="00E14102">
      <w:pPr>
        <w:jc w:val="both"/>
        <w:rPr>
          <w:color w:val="000000" w:themeColor="text1"/>
          <w:sz w:val="16"/>
          <w:szCs w:val="16"/>
        </w:rPr>
      </w:pPr>
      <w:r w:rsidRPr="00E14102">
        <w:rPr>
          <w:color w:val="000000" w:themeColor="text1"/>
          <w:sz w:val="16"/>
          <w:szCs w:val="16"/>
        </w:rPr>
        <w:t>7 ноября 1935 во время парада в столице Азербайджана над марширующими войсками пролетели два И-15 и 13 старых И-5. Позже много истребителей отправили в состав ВВС ОКДВА и авиации МСДВ (будущего Тихоокеанского флота) (12261).</w:t>
      </w:r>
    </w:p>
    <w:p w14:paraId="154276CB" w14:textId="77777777" w:rsidR="00647F1E" w:rsidRPr="00E14102" w:rsidRDefault="00647F1E" w:rsidP="00E14102">
      <w:pPr>
        <w:jc w:val="both"/>
        <w:rPr>
          <w:color w:val="000000" w:themeColor="text1"/>
          <w:sz w:val="16"/>
          <w:szCs w:val="16"/>
        </w:rPr>
      </w:pPr>
    </w:p>
    <w:p w14:paraId="31D4113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FA5C2DA" w14:textId="77777777" w:rsidR="00D4105E" w:rsidRPr="00E14102" w:rsidRDefault="00D4105E" w:rsidP="00E14102">
      <w:pPr>
        <w:autoSpaceDE w:val="0"/>
        <w:autoSpaceDN w:val="0"/>
        <w:adjustRightInd w:val="0"/>
        <w:jc w:val="both"/>
        <w:rPr>
          <w:iCs/>
          <w:color w:val="000000" w:themeColor="text1"/>
          <w:sz w:val="16"/>
          <w:szCs w:val="16"/>
        </w:rPr>
      </w:pPr>
    </w:p>
    <w:p w14:paraId="0530E4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ноября 1935 вышли указания № 105784 об испытания Су-14, которая предусматривали испытание обкаткой не проводить (7437, 4).</w:t>
      </w:r>
    </w:p>
    <w:p w14:paraId="3FB85BDA" w14:textId="77777777" w:rsidR="00D4105E" w:rsidRPr="00E14102" w:rsidRDefault="00D4105E" w:rsidP="00E14102">
      <w:pPr>
        <w:autoSpaceDE w:val="0"/>
        <w:autoSpaceDN w:val="0"/>
        <w:adjustRightInd w:val="0"/>
        <w:jc w:val="both"/>
        <w:rPr>
          <w:color w:val="000000" w:themeColor="text1"/>
          <w:sz w:val="16"/>
          <w:szCs w:val="16"/>
        </w:rPr>
      </w:pPr>
    </w:p>
    <w:p w14:paraId="1EA898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ноября 1935 года арттягачи Пионер приняли участие в параде на Красной площади. Производство их продолжалось по 1937 год. В войсках они не прижились из-за неустойчивости при езде и на поворотах, низких тяговых свойств и малой вместимости. В ходе короткой эксплуатации выявилась необходимость в броневой защите водителя, двигателя, радиатора и бензобака от огня стрелкового оружия, так как тягач должен работать в непосредственной близости от противника — в зоне вероятного обстрела. Такую бронированную модификацию вскоре разработали и построили в НАТИ (конструктор Маринин) в двух вариантах: «Пионер Б1» (расчет сидит лицом друг к другу) и «Пионер Б2» (расчет сидит спинами друг к другу). Вскоре стало очевидно, что машина, в основе своей и без того не очень удачная, получилась еще хуже (11639).</w:t>
      </w:r>
    </w:p>
    <w:p w14:paraId="44F906CB" w14:textId="77777777" w:rsidR="00D4105E" w:rsidRPr="00E14102" w:rsidRDefault="00D4105E" w:rsidP="00E14102">
      <w:pPr>
        <w:autoSpaceDE w:val="0"/>
        <w:autoSpaceDN w:val="0"/>
        <w:adjustRightInd w:val="0"/>
        <w:jc w:val="both"/>
        <w:rPr>
          <w:color w:val="000000" w:themeColor="text1"/>
          <w:sz w:val="16"/>
          <w:szCs w:val="16"/>
        </w:rPr>
      </w:pPr>
    </w:p>
    <w:p w14:paraId="20867C0E" w14:textId="77777777" w:rsidR="009602A3" w:rsidRPr="00E14102" w:rsidRDefault="009602A3" w:rsidP="00E14102">
      <w:pPr>
        <w:jc w:val="both"/>
        <w:rPr>
          <w:color w:val="000000" w:themeColor="text1"/>
          <w:sz w:val="16"/>
          <w:szCs w:val="16"/>
        </w:rPr>
      </w:pPr>
      <w:r w:rsidRPr="00E14102">
        <w:rPr>
          <w:bCs/>
          <w:color w:val="000000" w:themeColor="text1"/>
          <w:sz w:val="16"/>
          <w:szCs w:val="16"/>
        </w:rPr>
        <w:t>7 ноября</w:t>
      </w:r>
      <w:r w:rsidRPr="00E14102">
        <w:rPr>
          <w:color w:val="000000" w:themeColor="text1"/>
          <w:sz w:val="16"/>
          <w:szCs w:val="16"/>
        </w:rPr>
        <w:t xml:space="preserve"> в 1935 году образовано ОАО "Загорский оптико-механический завод". Загорский оптико-механический завод был создан по Постановлению Правительства (Совета труда и обороны) от 11 июня 1934 г. 7 ноября 1935 г. был заложен первый камень фундамента будующего оптического цеха. В довоенные и военные годы завод организовал серийное производство ряда наблюдательных оптико-механических приборов для Советской Армии. ЗОМЗ -один из основных разработчиков и изготовителей большой гаммы наблюдательных приборов, медецинской аппаратуры для диагностики и лечении заболеваний тканей и сосудов глаза, флюорографов и усилителей яркости ренгеновского изображения, а также различных фотометрических приборов. ЗОМЗ является головным предприятие по разработке и серийному выпуску биноклей и монокуляров. В 1994 году ЗОМЗ преобразован в ОАО "Загорский оптико-механический завод". Завод был награжден орденом Трудового Красного Знамени (1971 г.) и ордером Октябрьской Революции (1985 г.) (14823).</w:t>
      </w:r>
    </w:p>
    <w:p w14:paraId="6251E48C" w14:textId="77777777" w:rsidR="009602A3" w:rsidRPr="00E14102" w:rsidRDefault="009602A3" w:rsidP="00E14102">
      <w:pPr>
        <w:jc w:val="both"/>
        <w:rPr>
          <w:color w:val="000000" w:themeColor="text1"/>
          <w:sz w:val="16"/>
          <w:szCs w:val="16"/>
        </w:rPr>
      </w:pPr>
    </w:p>
    <w:p w14:paraId="7AB9C94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46C1471" w14:textId="77777777" w:rsidR="00D4105E" w:rsidRPr="00E14102" w:rsidRDefault="00D4105E" w:rsidP="00E14102">
      <w:pPr>
        <w:autoSpaceDE w:val="0"/>
        <w:autoSpaceDN w:val="0"/>
        <w:adjustRightInd w:val="0"/>
        <w:jc w:val="both"/>
        <w:rPr>
          <w:iCs/>
          <w:color w:val="000000" w:themeColor="text1"/>
          <w:sz w:val="16"/>
          <w:szCs w:val="16"/>
        </w:rPr>
      </w:pPr>
    </w:p>
    <w:p w14:paraId="015916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7 и 12 ноября 1935. Протокол заседания Политбюро № 34, 1935 г.</w:t>
      </w:r>
    </w:p>
    <w:p w14:paraId="51D187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Об Автодоре </w:t>
      </w:r>
    </w:p>
    <w:p w14:paraId="6E3B6D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Добровольное общество Автодор (Общество содействия развитию автомобилизма и улучшению железных дорог), организованное в период, когда СССР не обладал автомобильной промышленностью и сколько-нибудь развитым автотранспортом, когда дело дорожного строительства находилось в зачаточном состоянии, провело положительную работу по организации общественного содействия внедрению автомобиля и строительства дорог. </w:t>
      </w:r>
    </w:p>
    <w:p w14:paraId="78DAA2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Создание автомобильных заводов, значительная насыщенность страны автомобилями, необходимость решительного улучшения качества дорог требуют, с одной стороны, более четкой работы государственных органов, а с другой стороны — значительного расширения общественных форм работы по освоению управления автомобилем, по развитию культуры автомобилизма среди широких трудящихся масс. </w:t>
      </w:r>
    </w:p>
    <w:p w14:paraId="76A018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этих условиях Общество Автодор не смогло справиться с возросшими потребностями рабочих и трудящихся Союза, в результате чего Автодор начал терять своих членов и прибегать (в особенности местные органы) для пополнения средств к нездоровой коммерческой деятельности. </w:t>
      </w:r>
    </w:p>
    <w:p w14:paraId="76DB82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Исходя из необходимости дальнейшего усиления культуры автомобилизма в стране... ЦК ВКП(б) постановляет: </w:t>
      </w:r>
    </w:p>
    <w:p w14:paraId="5E3458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Общество Автодор ликвидировать. </w:t>
      </w:r>
    </w:p>
    <w:p w14:paraId="19236D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При ВСФК Союза и местных советах физкультуры создать автомобильные секции... (11652).</w:t>
      </w:r>
    </w:p>
    <w:p w14:paraId="7F24F6BD" w14:textId="77777777" w:rsidR="00D4105E" w:rsidRPr="00E14102" w:rsidRDefault="00D4105E" w:rsidP="00E14102">
      <w:pPr>
        <w:autoSpaceDE w:val="0"/>
        <w:autoSpaceDN w:val="0"/>
        <w:adjustRightInd w:val="0"/>
        <w:jc w:val="both"/>
        <w:rPr>
          <w:color w:val="000000" w:themeColor="text1"/>
          <w:sz w:val="16"/>
          <w:szCs w:val="16"/>
        </w:rPr>
      </w:pPr>
    </w:p>
    <w:p w14:paraId="481AB3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7 и 12 ноября 1935. Протокол заседания Политбюро № 34, 1935 г.</w:t>
      </w:r>
    </w:p>
    <w:p w14:paraId="436D1B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ликвидации Торгсина</w:t>
      </w:r>
    </w:p>
    <w:p w14:paraId="4BB62B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...3. Предложить Торгсину с момента опубликования постановления о его ликвидации прекратить выдачу именных расчетных книжек по каким бы то ни было операциям, за исключением операций по переводам из-за границы, поступающим до 15 декабря. Операции по отовариванию выданных ранее расчетных книжек, а также торговлю против наличной иностранной валюты и перечислений по валютным займам производить до 1 февраля 1936 года. Предложить Интуристу: </w:t>
      </w:r>
    </w:p>
    <w:p w14:paraId="26A0A9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а) прекратить с 1 января 1936 г. на территории СССР торговлю и оказание каких бы то ни было услуг на инвалюту... </w:t>
      </w:r>
    </w:p>
    <w:p w14:paraId="7C93E6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продажу билетов на советские самолеты и советские пароходы, отправляющиеся из СССР за границу, производить на советскую валюту; взимание платы за билеты международных железнодорожных сообщений, а также на иностранные пароходы и самолеты, отправляющиеся из СССР за границу, производить на протяжении пути по территории СССР — в советской валюте и за путь вне территории СССР — в иностранной валюте... </w:t>
      </w:r>
    </w:p>
    <w:p w14:paraId="50F8C3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Обязать Госбанк организовать необходимое количество меняльных пунктов... (11652).</w:t>
      </w:r>
    </w:p>
    <w:p w14:paraId="726DA6AD" w14:textId="77777777" w:rsidR="00D4105E" w:rsidRPr="00E14102" w:rsidRDefault="00D4105E" w:rsidP="00E14102">
      <w:pPr>
        <w:autoSpaceDE w:val="0"/>
        <w:autoSpaceDN w:val="0"/>
        <w:adjustRightInd w:val="0"/>
        <w:jc w:val="both"/>
        <w:rPr>
          <w:color w:val="000000" w:themeColor="text1"/>
          <w:sz w:val="16"/>
          <w:szCs w:val="16"/>
        </w:rPr>
      </w:pPr>
    </w:p>
    <w:p w14:paraId="73A02DA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6303AA8B" w14:textId="77777777" w:rsidR="00D4105E" w:rsidRPr="00E14102" w:rsidRDefault="00D4105E" w:rsidP="00E14102">
      <w:pPr>
        <w:autoSpaceDE w:val="0"/>
        <w:autoSpaceDN w:val="0"/>
        <w:adjustRightInd w:val="0"/>
        <w:jc w:val="both"/>
        <w:rPr>
          <w:iCs/>
          <w:color w:val="000000" w:themeColor="text1"/>
          <w:sz w:val="16"/>
          <w:szCs w:val="16"/>
        </w:rPr>
      </w:pPr>
    </w:p>
    <w:p w14:paraId="1EB278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ноября 1935 на 10 лет были продлены советско-турецкие договора (3481).</w:t>
      </w:r>
    </w:p>
    <w:p w14:paraId="3FCE566E" w14:textId="77777777" w:rsidR="00D4105E" w:rsidRPr="00E14102" w:rsidRDefault="00D4105E" w:rsidP="00E14102">
      <w:pPr>
        <w:autoSpaceDE w:val="0"/>
        <w:autoSpaceDN w:val="0"/>
        <w:adjustRightInd w:val="0"/>
        <w:jc w:val="both"/>
        <w:rPr>
          <w:color w:val="000000" w:themeColor="text1"/>
          <w:sz w:val="16"/>
          <w:szCs w:val="16"/>
        </w:rPr>
      </w:pPr>
    </w:p>
    <w:p w14:paraId="435E17A8" w14:textId="77777777" w:rsidR="00B40924" w:rsidRPr="00E14102" w:rsidRDefault="00B40924"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BBE58BC" w14:textId="77777777" w:rsidR="00B40924" w:rsidRPr="00E14102" w:rsidRDefault="00B40924" w:rsidP="00E14102">
      <w:pPr>
        <w:autoSpaceDE w:val="0"/>
        <w:autoSpaceDN w:val="0"/>
        <w:adjustRightInd w:val="0"/>
        <w:jc w:val="both"/>
        <w:rPr>
          <w:iCs/>
          <w:color w:val="000000" w:themeColor="text1"/>
          <w:sz w:val="16"/>
          <w:szCs w:val="16"/>
        </w:rPr>
      </w:pPr>
    </w:p>
    <w:p w14:paraId="202CC976" w14:textId="77777777" w:rsidR="00B40924" w:rsidRPr="00E14102" w:rsidRDefault="00B40924" w:rsidP="00E14102">
      <w:pPr>
        <w:jc w:val="both"/>
        <w:rPr>
          <w:color w:val="0070C0"/>
          <w:sz w:val="16"/>
          <w:szCs w:val="16"/>
        </w:rPr>
      </w:pPr>
      <w:r w:rsidRPr="00E14102">
        <w:rPr>
          <w:color w:val="0070C0"/>
          <w:sz w:val="16"/>
          <w:szCs w:val="16"/>
        </w:rPr>
        <w:t>8 ноября 1935 сэр Чарльз Кингсфорд Смит и его штурман Томми Pethybridge на Локхид Альтаир Леди Южный Крест исчезают над Андаманским морем у берегов Бирмы близ острова Айе при попытке установить рекорд скорости перелета Англия-Австралия (20800).</w:t>
      </w:r>
    </w:p>
    <w:p w14:paraId="713987B6" w14:textId="77777777" w:rsidR="00B40924" w:rsidRPr="00E14102" w:rsidRDefault="00B40924" w:rsidP="00E14102">
      <w:pPr>
        <w:jc w:val="both"/>
        <w:rPr>
          <w:color w:val="0070C0"/>
          <w:sz w:val="16"/>
          <w:szCs w:val="16"/>
        </w:rPr>
      </w:pPr>
    </w:p>
    <w:p w14:paraId="69D69226" w14:textId="77777777" w:rsidR="009602A3"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7B1B3FD" w14:textId="77777777" w:rsidR="009602A3" w:rsidRPr="00E14102" w:rsidRDefault="009602A3" w:rsidP="00E14102">
      <w:pPr>
        <w:autoSpaceDE w:val="0"/>
        <w:autoSpaceDN w:val="0"/>
        <w:adjustRightInd w:val="0"/>
        <w:jc w:val="both"/>
        <w:rPr>
          <w:iCs/>
          <w:color w:val="000000" w:themeColor="text1"/>
          <w:sz w:val="16"/>
          <w:szCs w:val="16"/>
        </w:rPr>
      </w:pPr>
    </w:p>
    <w:p w14:paraId="2752D83D" w14:textId="77777777" w:rsidR="009602A3" w:rsidRPr="00E14102" w:rsidRDefault="009602A3" w:rsidP="00E14102">
      <w:pPr>
        <w:pStyle w:val="rtejustify"/>
        <w:spacing w:before="0" w:after="0"/>
        <w:rPr>
          <w:color w:val="000000" w:themeColor="text1"/>
          <w:sz w:val="16"/>
          <w:szCs w:val="16"/>
        </w:rPr>
      </w:pPr>
      <w:r w:rsidRPr="00E14102">
        <w:rPr>
          <w:rStyle w:val="a6"/>
          <w:bCs/>
          <w:i w:val="0"/>
          <w:color w:val="000000" w:themeColor="text1"/>
          <w:sz w:val="16"/>
          <w:szCs w:val="16"/>
        </w:rPr>
        <w:t>9 ноября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146сс «О распространении на завод № 148 постановления СТО № С</w:t>
      </w:r>
      <w:r w:rsidRPr="00E14102">
        <w:rPr>
          <w:color w:val="000000" w:themeColor="text1"/>
          <w:sz w:val="16"/>
          <w:szCs w:val="16"/>
        </w:rPr>
        <w:noBreakHyphen/>
        <w:t>104сс от 15 августа 1935 г.». (ГА РФ. Ф. Р</w:t>
      </w:r>
      <w:r w:rsidRPr="00E14102">
        <w:rPr>
          <w:color w:val="000000" w:themeColor="text1"/>
          <w:sz w:val="16"/>
          <w:szCs w:val="16"/>
        </w:rPr>
        <w:noBreakHyphen/>
        <w:t>8418. Оп. 28. Д. 7. Л. 210) (15460).</w:t>
      </w:r>
    </w:p>
    <w:p w14:paraId="303E6225" w14:textId="77777777" w:rsidR="009602A3" w:rsidRPr="00E14102" w:rsidRDefault="009602A3" w:rsidP="00E14102">
      <w:pPr>
        <w:pStyle w:val="rtejustify"/>
        <w:spacing w:before="0" w:after="0"/>
        <w:rPr>
          <w:color w:val="000000" w:themeColor="text1"/>
          <w:sz w:val="16"/>
          <w:szCs w:val="16"/>
        </w:rPr>
      </w:pPr>
    </w:p>
    <w:p w14:paraId="6447F1F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71995D9" w14:textId="77777777" w:rsidR="00D4105E" w:rsidRPr="00E14102" w:rsidRDefault="00D4105E" w:rsidP="00E14102">
      <w:pPr>
        <w:autoSpaceDE w:val="0"/>
        <w:autoSpaceDN w:val="0"/>
        <w:adjustRightInd w:val="0"/>
        <w:jc w:val="both"/>
        <w:rPr>
          <w:iCs/>
          <w:color w:val="000000" w:themeColor="text1"/>
          <w:sz w:val="16"/>
          <w:szCs w:val="16"/>
        </w:rPr>
      </w:pPr>
    </w:p>
    <w:p w14:paraId="6B9683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ноября 1937 года зам. начальника ВВС комкор Смушкевич писал письмо № 474508сс начальнику ВВС</w:t>
      </w:r>
    </w:p>
    <w:p w14:paraId="084DB3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Вашему приказанию проведено испытание самолетов ДИ-6, И-15, ИПМ, И-16 и Р-10 с целью проверки, какой из этих типов лучше подойдет для штурмовика.</w:t>
      </w:r>
    </w:p>
    <w:p w14:paraId="27FBF0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проводили:</w:t>
      </w:r>
    </w:p>
    <w:p w14:paraId="075765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Летчики:</w:t>
      </w:r>
    </w:p>
    <w:p w14:paraId="3ECCAE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Комокр Смушкевич – НИИ</w:t>
      </w:r>
    </w:p>
    <w:p w14:paraId="4D51BA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Комдив Бажанов – НИИ</w:t>
      </w:r>
    </w:p>
    <w:p w14:paraId="5368F7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 лейтенант Шишкин – НИИ</w:t>
      </w:r>
    </w:p>
    <w:p w14:paraId="7CE914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 лейтенант Благовещенский – НИИ</w:t>
      </w:r>
    </w:p>
    <w:p w14:paraId="14B1F4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 лейтенант Супрун – НИИ</w:t>
      </w:r>
    </w:p>
    <w:p w14:paraId="0A00E0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Лейтенант Кукушка – 81 АБ</w:t>
      </w:r>
    </w:p>
    <w:p w14:paraId="5EA610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 лейтенант Ткаченко – 114 АБ</w:t>
      </w:r>
    </w:p>
    <w:p w14:paraId="23C817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 лейтенант Храбрых – 114 АБ</w:t>
      </w:r>
    </w:p>
    <w:p w14:paraId="4E469B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Капитан Долгов – НИИ</w:t>
      </w:r>
    </w:p>
    <w:p w14:paraId="05DA5A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Летнабы:</w:t>
      </w:r>
    </w:p>
    <w:p w14:paraId="24C61F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Лейтенант Гришин - 81 АБ</w:t>
      </w:r>
    </w:p>
    <w:p w14:paraId="5FBFA6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 лейтенант Титов - 114 АБ</w:t>
      </w:r>
    </w:p>
    <w:p w14:paraId="566F46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Капитан Соколов – НИИ</w:t>
      </w:r>
    </w:p>
    <w:p w14:paraId="05E29E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Капитан Цветков – НИИ</w:t>
      </w:r>
    </w:p>
    <w:p w14:paraId="61F9DD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Лейтенант Журавлев - 114 АБ</w:t>
      </w:r>
    </w:p>
    <w:p w14:paraId="49A3E0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результате испытаний и изучения летно-тактических и боевых данных каждого самолета – И-16, ИПМ и И-15 с теми летно-тактическими, боевыми данными, состояния вооружения, запасом горючего – для штурмовика не подходят.</w:t>
      </w:r>
    </w:p>
    <w:p w14:paraId="2EF0EE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Могут быть использованы в качестве штурмовика – ДИ-6 и Р-10. Из этих двух самолетов во всех отношениях имеет преимущество самолет Р-10 Харьковского завода, конструктор Нейман.</w:t>
      </w:r>
    </w:p>
    <w:p w14:paraId="6BF98C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5FA001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Вношу предложения:</w:t>
      </w:r>
    </w:p>
    <w:p w14:paraId="18783E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Принять самолет Р-10 в качестве штурмовика. Просмотреть вопрос о его производстве не только на Харьковском, но и на другом заводе.</w:t>
      </w:r>
    </w:p>
    <w:p w14:paraId="58013D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Предложить заводу и конструктору внести следующие изменения к улучшению самолета:</w:t>
      </w:r>
    </w:p>
    <w:p w14:paraId="42B3D5D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Поставить для стрельбы летчику еще два пулемета.</w:t>
      </w:r>
    </w:p>
    <w:p w14:paraId="081EBB0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Увеличить количество замков до 30.</w:t>
      </w:r>
    </w:p>
    <w:p w14:paraId="1DF89D1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Поставить электросбрасыватель.</w:t>
      </w:r>
    </w:p>
    <w:p w14:paraId="65AEFD4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Сделать приспособление для ВАПов и ДАПов.</w:t>
      </w:r>
    </w:p>
    <w:p w14:paraId="0538688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Облегчить управление уборкой и выпуском шасси.</w:t>
      </w:r>
    </w:p>
    <w:p w14:paraId="600F296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Улучшить тормоза.</w:t>
      </w:r>
    </w:p>
    <w:p w14:paraId="40B377B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Сделать двойное управление.</w:t>
      </w:r>
    </w:p>
    <w:p w14:paraId="400526B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Облегчить и улучшить управление закрылками.</w:t>
      </w:r>
    </w:p>
    <w:p w14:paraId="20A9FB0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Повысить запас воздуха для работы шасси и закрылок.</w:t>
      </w:r>
    </w:p>
    <w:p w14:paraId="341084F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Увеличить скорость за счет установки более мощного мотора и более культурной и обтекаемой отделки.</w:t>
      </w:r>
    </w:p>
    <w:p w14:paraId="78C941B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Приспособить храповик для запуска автостартером.</w:t>
      </w:r>
    </w:p>
    <w:p w14:paraId="5BEA980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Установить задний фонарь летнаба по конструкции НИИ с некоторым выдвижением пулемета для увеличения углов обстрела вниз.</w:t>
      </w:r>
    </w:p>
    <w:p w14:paraId="51D6B49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Установку АФА снять.</w:t>
      </w:r>
    </w:p>
    <w:p w14:paraId="34DA9DE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Кислородное оборудование сделать легкосъемным.</w:t>
      </w:r>
    </w:p>
    <w:p w14:paraId="41E7B43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Установить броню для эктпажей и баки сделать протектированными.</w:t>
      </w:r>
    </w:p>
    <w:p w14:paraId="70F905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Считаю, что Р-10 в качестве штурмовика и даже дневного легко-бомбардировщика подойдет на 1937 год и возможно на 1938 год.</w:t>
      </w:r>
    </w:p>
    <w:p w14:paraId="1C49A5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Окончательно на нем останавливать на ближайшие год-два нельзя. Для этого у него мала скорость. Поэтому предлагаю наряду с форсированием производства самолета Р-10 поставить задачу перед конструкторами и промышленностью работать над созданием нового, современного штурмовика.</w:t>
      </w:r>
    </w:p>
    <w:p w14:paraId="506605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……………………………………….(7528, 28-31).</w:t>
      </w:r>
    </w:p>
    <w:p w14:paraId="74FDA597" w14:textId="77777777" w:rsidR="00D4105E" w:rsidRPr="00E14102" w:rsidRDefault="00D4105E" w:rsidP="00E14102">
      <w:pPr>
        <w:autoSpaceDE w:val="0"/>
        <w:autoSpaceDN w:val="0"/>
        <w:adjustRightInd w:val="0"/>
        <w:jc w:val="both"/>
        <w:rPr>
          <w:color w:val="000000" w:themeColor="text1"/>
          <w:sz w:val="16"/>
          <w:szCs w:val="16"/>
        </w:rPr>
      </w:pPr>
    </w:p>
    <w:p w14:paraId="41C68B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контрольный полет над аэродромом с заданием проверить удобство открывания пружинной ручкой бомбардировочных люков (3081).</w:t>
      </w:r>
    </w:p>
    <w:p w14:paraId="78F265CC" w14:textId="77777777" w:rsidR="00D4105E" w:rsidRPr="00E14102" w:rsidRDefault="00D4105E" w:rsidP="00E14102">
      <w:pPr>
        <w:autoSpaceDE w:val="0"/>
        <w:autoSpaceDN w:val="0"/>
        <w:adjustRightInd w:val="0"/>
        <w:jc w:val="both"/>
        <w:rPr>
          <w:color w:val="000000" w:themeColor="text1"/>
          <w:sz w:val="16"/>
          <w:szCs w:val="16"/>
        </w:rPr>
      </w:pPr>
    </w:p>
    <w:p w14:paraId="063842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ноября 1935 в ходе совместных испытаний ДИ-6ш пришлось проверять работу створок бомболюка прямо над Центральным аэродромом. На следующий день полеты отменили: к испытателям нагрянул заместитель наркома обороны М.Н. Тухачевский, ознакомившийся с вооружением ДИ-бш. 11 ноября при рулежке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375B87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4D5CE9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008599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206F31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64DC26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6CAE64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796030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7A41C8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48ABCB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01B4DE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12CB3B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19BBC9B1" w14:textId="77777777" w:rsidR="00D4105E" w:rsidRPr="00E14102" w:rsidRDefault="00D4105E" w:rsidP="00E14102">
      <w:pPr>
        <w:autoSpaceDE w:val="0"/>
        <w:autoSpaceDN w:val="0"/>
        <w:adjustRightInd w:val="0"/>
        <w:jc w:val="both"/>
        <w:rPr>
          <w:color w:val="000000" w:themeColor="text1"/>
          <w:sz w:val="16"/>
          <w:szCs w:val="16"/>
        </w:rPr>
      </w:pPr>
    </w:p>
    <w:p w14:paraId="54353D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ноября 1935 Начальник ВВС командарм 2 ранга Алкснис утвердил Отчет по испытанию серийного самолета Р-ЗЕТ (заводской номер N 2032).</w:t>
      </w:r>
    </w:p>
    <w:p w14:paraId="1993AB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5127CB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Инженеры-летчики НИИ ВВС:</w:t>
      </w:r>
    </w:p>
    <w:p w14:paraId="7EB42B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в/инженер 2 ранга Калилец К.А.</w:t>
      </w:r>
    </w:p>
    <w:p w14:paraId="60E487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 лейтенант Расстригин А.Ф.</w:t>
      </w:r>
    </w:p>
    <w:p w14:paraId="3A3814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1474B7B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Определение летных данных.</w:t>
      </w:r>
    </w:p>
    <w:p w14:paraId="5CB80B8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Проверка выполнения указаний начальника ВВС и начальника ГУАП по устранению основных дефектов самолета (протокол согласительного совещания на заводе N 1, утвержденный двумя наркомами 5 апреля 1936 года).</w:t>
      </w:r>
    </w:p>
    <w:p w14:paraId="1B9FB2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проходил серийный самолет Р=ЗЕТ заводской N 2032 с мотором АМ-34Н. Самолет принят военной приемкой завода N 1 29 октября 1936 года.</w:t>
      </w:r>
    </w:p>
    <w:p w14:paraId="588465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отличие от серийных самолет N 2032 имеет увеличенные углы отклонения рулей высоты (рули высоты сделаны разрезными).</w:t>
      </w:r>
    </w:p>
    <w:p w14:paraId="6A3706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имеет закрылки и тормоза колодочного типа с пневматическим управлением.</w:t>
      </w:r>
    </w:p>
    <w:p w14:paraId="5BF92B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1051A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Основные дефекты самолета, отмеченные при испытаниях опытного самолета в июле 1935 года устранены далеко не полностью.</w:t>
      </w:r>
    </w:p>
    <w:p w14:paraId="3BE592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этого на серийном самолете по сравнению с опытным управление стало грубым и тяжелым. Вес конструкции серийного самолета увеличился на 84 кг.</w:t>
      </w:r>
    </w:p>
    <w:p w14:paraId="71339F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Боевые свойства серийного самолета остаются неудовлетворительными (3989).</w:t>
      </w:r>
    </w:p>
    <w:p w14:paraId="6481E2ED" w14:textId="77777777" w:rsidR="00D4105E" w:rsidRPr="00E14102" w:rsidRDefault="00D4105E" w:rsidP="00E14102">
      <w:pPr>
        <w:autoSpaceDE w:val="0"/>
        <w:autoSpaceDN w:val="0"/>
        <w:adjustRightInd w:val="0"/>
        <w:jc w:val="both"/>
        <w:rPr>
          <w:color w:val="000000" w:themeColor="text1"/>
          <w:sz w:val="16"/>
          <w:szCs w:val="16"/>
        </w:rPr>
      </w:pPr>
    </w:p>
    <w:p w14:paraId="65EB7C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ноября 1935 года Врид начальник-комиссар НИИ ВС Коробов утвердил Отчет по испытаниям прицела ШД-2 конструкции КИБ ВООМП"а для авиационных 7,62 мм пушек АПК-4, которые прошли 15 октября 1935 года.</w:t>
      </w:r>
    </w:p>
    <w:p w14:paraId="161CFB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70EC61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Определение боевых характеристик прицела ШД-2 для авиационных 76,2 мм пушек АПК-4 стрельбой в воздухе с самолета "Зет".</w:t>
      </w:r>
    </w:p>
    <w:p w14:paraId="375E20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Прицел испытывался в Особой авиагруппе в Евпатории на территории Научно-испытательного зенитного полигона.</w:t>
      </w:r>
    </w:p>
    <w:p w14:paraId="3108A1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31EF8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Предъявленный КИБ ВООМП"а на полигонные испытания прицел ШД-2 испытаний не выдержал. Дальнейшая разработка прицела в предъявленном виде не целесообразна (3080).</w:t>
      </w:r>
    </w:p>
    <w:p w14:paraId="4624C891" w14:textId="77777777" w:rsidR="00D4105E" w:rsidRPr="00E14102" w:rsidRDefault="00D4105E" w:rsidP="00E14102">
      <w:pPr>
        <w:autoSpaceDE w:val="0"/>
        <w:autoSpaceDN w:val="0"/>
        <w:adjustRightInd w:val="0"/>
        <w:jc w:val="both"/>
        <w:rPr>
          <w:color w:val="000000" w:themeColor="text1"/>
          <w:sz w:val="16"/>
          <w:szCs w:val="16"/>
        </w:rPr>
      </w:pPr>
    </w:p>
    <w:p w14:paraId="0C2F4F2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DFD256D" w14:textId="77777777" w:rsidR="00D4105E" w:rsidRPr="00E14102" w:rsidRDefault="00D4105E" w:rsidP="00E14102">
      <w:pPr>
        <w:autoSpaceDE w:val="0"/>
        <w:autoSpaceDN w:val="0"/>
        <w:adjustRightInd w:val="0"/>
        <w:jc w:val="both"/>
        <w:rPr>
          <w:iCs/>
          <w:color w:val="000000" w:themeColor="text1"/>
          <w:sz w:val="16"/>
          <w:szCs w:val="16"/>
        </w:rPr>
      </w:pPr>
    </w:p>
    <w:p w14:paraId="439183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ноября 1935 японские войска вторглись в Шанхай (2100).</w:t>
      </w:r>
    </w:p>
    <w:p w14:paraId="40668CAB" w14:textId="77777777" w:rsidR="00D4105E" w:rsidRPr="00E14102" w:rsidRDefault="00D4105E" w:rsidP="00E14102">
      <w:pPr>
        <w:autoSpaceDE w:val="0"/>
        <w:autoSpaceDN w:val="0"/>
        <w:adjustRightInd w:val="0"/>
        <w:jc w:val="both"/>
        <w:rPr>
          <w:color w:val="000000" w:themeColor="text1"/>
          <w:sz w:val="16"/>
          <w:szCs w:val="16"/>
        </w:rPr>
      </w:pPr>
    </w:p>
    <w:p w14:paraId="392F4D5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6B6FEE9" w14:textId="77777777" w:rsidR="00D4105E" w:rsidRPr="00E14102" w:rsidRDefault="00D4105E" w:rsidP="00E14102">
      <w:pPr>
        <w:autoSpaceDE w:val="0"/>
        <w:autoSpaceDN w:val="0"/>
        <w:adjustRightInd w:val="0"/>
        <w:jc w:val="both"/>
        <w:rPr>
          <w:iCs/>
          <w:color w:val="000000" w:themeColor="text1"/>
          <w:sz w:val="16"/>
          <w:szCs w:val="16"/>
        </w:rPr>
      </w:pPr>
    </w:p>
    <w:p w14:paraId="155E17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ноября 1935 года начальник 4 отдела УВС Базенков подготовил справку: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1806"/>
        <w:gridCol w:w="1738"/>
        <w:gridCol w:w="3969"/>
      </w:tblGrid>
      <w:tr w:rsidR="00E3599D" w:rsidRPr="00E14102" w14:paraId="4F4E7694" w14:textId="77777777">
        <w:trPr>
          <w:cantSplit/>
        </w:trPr>
        <w:tc>
          <w:tcPr>
            <w:tcW w:w="2660" w:type="dxa"/>
          </w:tcPr>
          <w:p w14:paraId="55BC12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работ</w:t>
            </w:r>
          </w:p>
        </w:tc>
        <w:tc>
          <w:tcPr>
            <w:tcW w:w="1806" w:type="dxa"/>
          </w:tcPr>
          <w:p w14:paraId="2B0EB7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1738" w:type="dxa"/>
          </w:tcPr>
          <w:p w14:paraId="6E9323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госиспытания</w:t>
            </w:r>
          </w:p>
        </w:tc>
        <w:tc>
          <w:tcPr>
            <w:tcW w:w="3969" w:type="dxa"/>
          </w:tcPr>
          <w:p w14:paraId="1DC5FB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Состояние работ по данному объекту на 1 ноября 1935 года</w:t>
            </w:r>
          </w:p>
        </w:tc>
      </w:tr>
      <w:tr w:rsidR="00E3599D" w:rsidRPr="00E14102" w14:paraId="1EAFA996" w14:textId="77777777">
        <w:trPr>
          <w:cantSplit/>
        </w:trPr>
        <w:tc>
          <w:tcPr>
            <w:tcW w:w="2660" w:type="dxa"/>
          </w:tcPr>
          <w:p w14:paraId="1027E9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бомбардировщик ближнего действия</w:t>
            </w:r>
          </w:p>
        </w:tc>
        <w:tc>
          <w:tcPr>
            <w:tcW w:w="1806" w:type="dxa"/>
          </w:tcPr>
          <w:p w14:paraId="662756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18</w:t>
            </w:r>
          </w:p>
        </w:tc>
        <w:tc>
          <w:tcPr>
            <w:tcW w:w="1738" w:type="dxa"/>
          </w:tcPr>
          <w:p w14:paraId="0E3DB3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3969" w:type="dxa"/>
          </w:tcPr>
          <w:p w14:paraId="701989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Заканчивается подготовка самолета к заводским испытаниям.</w:t>
            </w:r>
          </w:p>
        </w:tc>
      </w:tr>
      <w:tr w:rsidR="00E3599D" w:rsidRPr="00E14102" w14:paraId="7972B270" w14:textId="77777777">
        <w:trPr>
          <w:cantSplit/>
        </w:trPr>
        <w:tc>
          <w:tcPr>
            <w:tcW w:w="2660" w:type="dxa"/>
          </w:tcPr>
          <w:p w14:paraId="5409A2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Разведчик скоростной (РС)</w:t>
            </w:r>
          </w:p>
        </w:tc>
        <w:tc>
          <w:tcPr>
            <w:tcW w:w="1806" w:type="dxa"/>
          </w:tcPr>
          <w:p w14:paraId="10A26B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738" w:type="dxa"/>
          </w:tcPr>
          <w:p w14:paraId="41FE6B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3969" w:type="dxa"/>
          </w:tcPr>
          <w:p w14:paraId="5866C3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Производится окончательная сборка и монтаж оборудования и вооружения.</w:t>
            </w:r>
          </w:p>
        </w:tc>
      </w:tr>
      <w:tr w:rsidR="00E3599D" w:rsidRPr="00E14102" w14:paraId="4275E929" w14:textId="77777777">
        <w:trPr>
          <w:cantSplit/>
        </w:trPr>
        <w:tc>
          <w:tcPr>
            <w:tcW w:w="2660" w:type="dxa"/>
          </w:tcPr>
          <w:p w14:paraId="403475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корабельной службы (КОР)</w:t>
            </w:r>
          </w:p>
        </w:tc>
        <w:tc>
          <w:tcPr>
            <w:tcW w:w="1806" w:type="dxa"/>
          </w:tcPr>
          <w:p w14:paraId="378D02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c>
          <w:tcPr>
            <w:tcW w:w="1738" w:type="dxa"/>
          </w:tcPr>
          <w:p w14:paraId="37974F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года</w:t>
            </w:r>
          </w:p>
        </w:tc>
        <w:tc>
          <w:tcPr>
            <w:tcW w:w="3969" w:type="dxa"/>
          </w:tcPr>
          <w:p w14:paraId="42DD64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Проектирование закончено. Ведется постройка самолета.</w:t>
            </w:r>
          </w:p>
        </w:tc>
      </w:tr>
      <w:tr w:rsidR="00E3599D" w:rsidRPr="00E14102" w14:paraId="22848E3E" w14:textId="77777777">
        <w:trPr>
          <w:cantSplit/>
        </w:trPr>
        <w:tc>
          <w:tcPr>
            <w:tcW w:w="2660" w:type="dxa"/>
          </w:tcPr>
          <w:p w14:paraId="407E96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Переходный самолет (тренировочный)</w:t>
            </w:r>
          </w:p>
        </w:tc>
        <w:tc>
          <w:tcPr>
            <w:tcW w:w="1806" w:type="dxa"/>
          </w:tcPr>
          <w:p w14:paraId="53624B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23</w:t>
            </w:r>
          </w:p>
        </w:tc>
        <w:tc>
          <w:tcPr>
            <w:tcW w:w="1738" w:type="dxa"/>
          </w:tcPr>
          <w:p w14:paraId="7D001A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года</w:t>
            </w:r>
          </w:p>
        </w:tc>
        <w:tc>
          <w:tcPr>
            <w:tcW w:w="3969" w:type="dxa"/>
          </w:tcPr>
          <w:p w14:paraId="080E2A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Проектирование закончено. Постройка не начата из-за отсутствия мотора.</w:t>
            </w:r>
          </w:p>
        </w:tc>
      </w:tr>
      <w:tr w:rsidR="00E3599D" w:rsidRPr="00E14102" w14:paraId="682353CC" w14:textId="77777777">
        <w:trPr>
          <w:cantSplit/>
        </w:trPr>
        <w:tc>
          <w:tcPr>
            <w:tcW w:w="2660" w:type="dxa"/>
          </w:tcPr>
          <w:p w14:paraId="52519A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И17-М100</w:t>
            </w:r>
          </w:p>
        </w:tc>
        <w:tc>
          <w:tcPr>
            <w:tcW w:w="1806" w:type="dxa"/>
          </w:tcPr>
          <w:p w14:paraId="1FA1AA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738" w:type="dxa"/>
          </w:tcPr>
          <w:p w14:paraId="1813BD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3969" w:type="dxa"/>
          </w:tcPr>
          <w:p w14:paraId="485461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Проходит заводские испытания.</w:t>
            </w:r>
          </w:p>
        </w:tc>
      </w:tr>
      <w:tr w:rsidR="00E3599D" w:rsidRPr="00E14102" w14:paraId="5B861609" w14:textId="77777777">
        <w:trPr>
          <w:cantSplit/>
        </w:trPr>
        <w:tc>
          <w:tcPr>
            <w:tcW w:w="2660" w:type="dxa"/>
          </w:tcPr>
          <w:p w14:paraId="2E52B5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пушечный (ИП3-М25)</w:t>
            </w:r>
          </w:p>
        </w:tc>
        <w:tc>
          <w:tcPr>
            <w:tcW w:w="1806" w:type="dxa"/>
          </w:tcPr>
          <w:p w14:paraId="3617C9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c>
          <w:tcPr>
            <w:tcW w:w="1738" w:type="dxa"/>
          </w:tcPr>
          <w:p w14:paraId="49A115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3969" w:type="dxa"/>
          </w:tcPr>
          <w:p w14:paraId="43CAF0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Проходит заводские испытания.</w:t>
            </w:r>
          </w:p>
        </w:tc>
      </w:tr>
      <w:tr w:rsidR="00E3599D" w:rsidRPr="00E14102" w14:paraId="3B7B92DF" w14:textId="77777777">
        <w:trPr>
          <w:cantSplit/>
        </w:trPr>
        <w:tc>
          <w:tcPr>
            <w:tcW w:w="2660" w:type="dxa"/>
          </w:tcPr>
          <w:p w14:paraId="42083E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Дальний бомбардировщик (ДБ-4М34РН)</w:t>
            </w:r>
          </w:p>
        </w:tc>
        <w:tc>
          <w:tcPr>
            <w:tcW w:w="1806" w:type="dxa"/>
          </w:tcPr>
          <w:p w14:paraId="514D99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tc>
        <w:tc>
          <w:tcPr>
            <w:tcW w:w="1738" w:type="dxa"/>
          </w:tcPr>
          <w:p w14:paraId="2917FE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3969" w:type="dxa"/>
          </w:tcPr>
          <w:p w14:paraId="188B85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закончил заводские испытания и предъявляется на госиспытания.</w:t>
            </w:r>
          </w:p>
        </w:tc>
      </w:tr>
      <w:tr w:rsidR="00E3599D" w:rsidRPr="00E14102" w14:paraId="41734F7F" w14:textId="77777777">
        <w:trPr>
          <w:cantSplit/>
        </w:trPr>
        <w:tc>
          <w:tcPr>
            <w:tcW w:w="2660" w:type="dxa"/>
          </w:tcPr>
          <w:p w14:paraId="0EBE3E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Фоторазведчик (ФР-М25)</w:t>
            </w:r>
          </w:p>
        </w:tc>
        <w:tc>
          <w:tcPr>
            <w:tcW w:w="1806" w:type="dxa"/>
          </w:tcPr>
          <w:p w14:paraId="336B6F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1738" w:type="dxa"/>
          </w:tcPr>
          <w:p w14:paraId="3B9A68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1935 года</w:t>
            </w:r>
          </w:p>
        </w:tc>
        <w:tc>
          <w:tcPr>
            <w:tcW w:w="3969" w:type="dxa"/>
          </w:tcPr>
          <w:p w14:paraId="2D9829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был предъявлен на госиспытания в октябре, но был забракован, ввиду обнаружения ряда дефектов, не позволяющих проведение госиспытаний.</w:t>
            </w:r>
          </w:p>
        </w:tc>
      </w:tr>
      <w:tr w:rsidR="00E3599D" w:rsidRPr="00E14102" w14:paraId="0E1CF66D" w14:textId="77777777">
        <w:trPr>
          <w:cantSplit/>
        </w:trPr>
        <w:tc>
          <w:tcPr>
            <w:tcW w:w="2660" w:type="dxa"/>
          </w:tcPr>
          <w:p w14:paraId="7FBD8D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Пушечный истребитель (И21-2М85)</w:t>
            </w:r>
          </w:p>
        </w:tc>
        <w:tc>
          <w:tcPr>
            <w:tcW w:w="1806" w:type="dxa"/>
          </w:tcPr>
          <w:p w14:paraId="25E6B9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СНИИ ГУГВФ</w:t>
            </w:r>
          </w:p>
        </w:tc>
        <w:tc>
          <w:tcPr>
            <w:tcW w:w="1738" w:type="dxa"/>
          </w:tcPr>
          <w:p w14:paraId="1F6950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года</w:t>
            </w:r>
          </w:p>
        </w:tc>
        <w:tc>
          <w:tcPr>
            <w:tcW w:w="3969" w:type="dxa"/>
          </w:tcPr>
          <w:p w14:paraId="2639AF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Макет утвержден. Ведется постройка самолета.</w:t>
            </w:r>
          </w:p>
        </w:tc>
      </w:tr>
      <w:tr w:rsidR="00E3599D" w:rsidRPr="00E14102" w14:paraId="0FBA83A8" w14:textId="77777777">
        <w:trPr>
          <w:cantSplit/>
        </w:trPr>
        <w:tc>
          <w:tcPr>
            <w:tcW w:w="2660" w:type="dxa"/>
          </w:tcPr>
          <w:p w14:paraId="082663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Многоместный истребитель (ДИ8-2М85)</w:t>
            </w:r>
          </w:p>
        </w:tc>
        <w:tc>
          <w:tcPr>
            <w:tcW w:w="1806" w:type="dxa"/>
          </w:tcPr>
          <w:p w14:paraId="43B4BC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38" w:type="dxa"/>
          </w:tcPr>
          <w:p w14:paraId="07AD95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3969" w:type="dxa"/>
          </w:tcPr>
          <w:p w14:paraId="29507C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находится в процессе доводки после заводских испытаний.</w:t>
            </w:r>
          </w:p>
        </w:tc>
      </w:tr>
      <w:tr w:rsidR="00E3599D" w:rsidRPr="00E14102" w14:paraId="025967F9" w14:textId="77777777">
        <w:trPr>
          <w:cantSplit/>
        </w:trPr>
        <w:tc>
          <w:tcPr>
            <w:tcW w:w="2660" w:type="dxa"/>
          </w:tcPr>
          <w:p w14:paraId="01597B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Морской ближний разведчик (МБР5-М25)</w:t>
            </w:r>
          </w:p>
        </w:tc>
        <w:tc>
          <w:tcPr>
            <w:tcW w:w="1806" w:type="dxa"/>
          </w:tcPr>
          <w:p w14:paraId="60E5C0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c>
          <w:tcPr>
            <w:tcW w:w="1738" w:type="dxa"/>
          </w:tcPr>
          <w:p w14:paraId="6926B2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3969" w:type="dxa"/>
          </w:tcPr>
          <w:p w14:paraId="0C8917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находится на заводских испытаниях.</w:t>
            </w:r>
          </w:p>
        </w:tc>
      </w:tr>
      <w:tr w:rsidR="00E3599D" w:rsidRPr="00E14102" w14:paraId="0A0DD4F8" w14:textId="77777777">
        <w:trPr>
          <w:cantSplit/>
        </w:trPr>
        <w:tc>
          <w:tcPr>
            <w:tcW w:w="2660" w:type="dxa"/>
          </w:tcPr>
          <w:p w14:paraId="3AF676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Экспериментальные самолеты</w:t>
            </w:r>
          </w:p>
        </w:tc>
        <w:tc>
          <w:tcPr>
            <w:tcW w:w="1806" w:type="dxa"/>
          </w:tcPr>
          <w:p w14:paraId="1C2FCB4F" w14:textId="77777777" w:rsidR="00D4105E" w:rsidRPr="00E14102" w:rsidRDefault="00D4105E" w:rsidP="00E14102">
            <w:pPr>
              <w:autoSpaceDE w:val="0"/>
              <w:autoSpaceDN w:val="0"/>
              <w:adjustRightInd w:val="0"/>
              <w:jc w:val="both"/>
              <w:rPr>
                <w:color w:val="000000" w:themeColor="text1"/>
                <w:sz w:val="16"/>
                <w:szCs w:val="16"/>
              </w:rPr>
            </w:pPr>
          </w:p>
        </w:tc>
        <w:tc>
          <w:tcPr>
            <w:tcW w:w="1738" w:type="dxa"/>
          </w:tcPr>
          <w:p w14:paraId="70976160" w14:textId="77777777" w:rsidR="00D4105E" w:rsidRPr="00E14102" w:rsidRDefault="00D4105E" w:rsidP="00E14102">
            <w:pPr>
              <w:autoSpaceDE w:val="0"/>
              <w:autoSpaceDN w:val="0"/>
              <w:adjustRightInd w:val="0"/>
              <w:jc w:val="both"/>
              <w:rPr>
                <w:color w:val="000000" w:themeColor="text1"/>
                <w:sz w:val="16"/>
                <w:szCs w:val="16"/>
              </w:rPr>
            </w:pPr>
          </w:p>
        </w:tc>
        <w:tc>
          <w:tcPr>
            <w:tcW w:w="3969" w:type="dxa"/>
          </w:tcPr>
          <w:p w14:paraId="7A7F8B3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53C598A" w14:textId="77777777">
        <w:trPr>
          <w:cantSplit/>
        </w:trPr>
        <w:tc>
          <w:tcPr>
            <w:tcW w:w="2660" w:type="dxa"/>
          </w:tcPr>
          <w:p w14:paraId="4FAFE2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Войсковой самолет (ВС2-2М22)</w:t>
            </w:r>
          </w:p>
        </w:tc>
        <w:tc>
          <w:tcPr>
            <w:tcW w:w="1806" w:type="dxa"/>
          </w:tcPr>
          <w:p w14:paraId="29A12D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18</w:t>
            </w:r>
          </w:p>
        </w:tc>
        <w:tc>
          <w:tcPr>
            <w:tcW w:w="1738" w:type="dxa"/>
          </w:tcPr>
          <w:p w14:paraId="2756E4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года</w:t>
            </w:r>
          </w:p>
        </w:tc>
        <w:tc>
          <w:tcPr>
            <w:tcW w:w="3969" w:type="dxa"/>
          </w:tcPr>
          <w:p w14:paraId="4B8A57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Макет утвержден. Начато производство самолета.</w:t>
            </w:r>
          </w:p>
        </w:tc>
      </w:tr>
      <w:tr w:rsidR="00E3599D" w:rsidRPr="00E14102" w14:paraId="6B288985" w14:textId="77777777">
        <w:trPr>
          <w:cantSplit/>
        </w:trPr>
        <w:tc>
          <w:tcPr>
            <w:tcW w:w="2660" w:type="dxa"/>
          </w:tcPr>
          <w:p w14:paraId="4743B5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Стратосферный самолет</w:t>
            </w:r>
          </w:p>
        </w:tc>
        <w:tc>
          <w:tcPr>
            <w:tcW w:w="1806" w:type="dxa"/>
          </w:tcPr>
          <w:p w14:paraId="0B9632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35</w:t>
            </w:r>
          </w:p>
        </w:tc>
        <w:tc>
          <w:tcPr>
            <w:tcW w:w="1738" w:type="dxa"/>
          </w:tcPr>
          <w:p w14:paraId="1C13E5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3969" w:type="dxa"/>
          </w:tcPr>
          <w:p w14:paraId="4244F9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проходит заводские испытания.</w:t>
            </w:r>
          </w:p>
        </w:tc>
      </w:tr>
      <w:tr w:rsidR="00E3599D" w:rsidRPr="00E14102" w14:paraId="21BA73FF" w14:textId="77777777">
        <w:trPr>
          <w:cantSplit/>
        </w:trPr>
        <w:tc>
          <w:tcPr>
            <w:tcW w:w="2660" w:type="dxa"/>
          </w:tcPr>
          <w:p w14:paraId="0D30A7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Истребитель – летающее крыло</w:t>
            </w:r>
          </w:p>
        </w:tc>
        <w:tc>
          <w:tcPr>
            <w:tcW w:w="1806" w:type="dxa"/>
          </w:tcPr>
          <w:p w14:paraId="1EA35B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38 (Чарановский)</w:t>
            </w:r>
          </w:p>
        </w:tc>
        <w:tc>
          <w:tcPr>
            <w:tcW w:w="1738" w:type="dxa"/>
          </w:tcPr>
          <w:p w14:paraId="7BF00A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года</w:t>
            </w:r>
          </w:p>
        </w:tc>
        <w:tc>
          <w:tcPr>
            <w:tcW w:w="3969" w:type="dxa"/>
          </w:tcPr>
          <w:p w14:paraId="42C52F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Эскизный проект утвержден УВС. Постройка идет медленно, так как параллельно ведется проектирование нормального пушечного истребителя.</w:t>
            </w:r>
          </w:p>
        </w:tc>
      </w:tr>
    </w:tbl>
    <w:p w14:paraId="0900C4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(3475,64).</w:t>
      </w:r>
    </w:p>
    <w:p w14:paraId="7D9134EF" w14:textId="77777777" w:rsidR="00D4105E" w:rsidRPr="00E14102" w:rsidRDefault="00D4105E" w:rsidP="00E14102">
      <w:pPr>
        <w:autoSpaceDE w:val="0"/>
        <w:autoSpaceDN w:val="0"/>
        <w:adjustRightInd w:val="0"/>
        <w:jc w:val="both"/>
        <w:rPr>
          <w:color w:val="000000" w:themeColor="text1"/>
          <w:sz w:val="16"/>
          <w:szCs w:val="16"/>
        </w:rPr>
      </w:pPr>
    </w:p>
    <w:p w14:paraId="46A8A2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ноября 1935 года была подготовлена:</w:t>
      </w:r>
    </w:p>
    <w:p w14:paraId="4E755F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 о ходе опытных работ по самолетам и моторам (по плану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701"/>
        <w:gridCol w:w="5245"/>
      </w:tblGrid>
      <w:tr w:rsidR="00E3599D" w:rsidRPr="00E14102" w14:paraId="41A25725" w14:textId="77777777">
        <w:trPr>
          <w:cantSplit/>
        </w:trPr>
        <w:tc>
          <w:tcPr>
            <w:tcW w:w="2943" w:type="dxa"/>
          </w:tcPr>
          <w:p w14:paraId="07CC42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объекта</w:t>
            </w:r>
          </w:p>
        </w:tc>
        <w:tc>
          <w:tcPr>
            <w:tcW w:w="1701" w:type="dxa"/>
          </w:tcPr>
          <w:p w14:paraId="422F4E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госиспытания</w:t>
            </w:r>
          </w:p>
        </w:tc>
        <w:tc>
          <w:tcPr>
            <w:tcW w:w="5245" w:type="dxa"/>
          </w:tcPr>
          <w:p w14:paraId="2BF06D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Фактическое состояние</w:t>
            </w:r>
          </w:p>
        </w:tc>
      </w:tr>
      <w:tr w:rsidR="00E3599D" w:rsidRPr="00E14102" w14:paraId="3C669A27" w14:textId="77777777">
        <w:trPr>
          <w:cantSplit/>
        </w:trPr>
        <w:tc>
          <w:tcPr>
            <w:tcW w:w="2943" w:type="dxa"/>
          </w:tcPr>
          <w:p w14:paraId="0BF605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И-17 М-100 (пулеметный вариант), скорость 425/5000 м, потолок 9,5-10000 метров</w:t>
            </w:r>
          </w:p>
          <w:p w14:paraId="784D32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701" w:type="dxa"/>
          </w:tcPr>
          <w:p w14:paraId="4488F3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5245" w:type="dxa"/>
          </w:tcPr>
          <w:p w14:paraId="54E6FC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Ведутся заводские испытания. По данным УВС самолет будет предъявлен на госиспытания в декабре. Королев просил изменить срок на 1 ноября 1935 года. По данным завода № 39 самолет будет предъявлен в январе 1936 года.</w:t>
            </w:r>
          </w:p>
        </w:tc>
      </w:tr>
      <w:tr w:rsidR="00E3599D" w:rsidRPr="00E14102" w14:paraId="57E41F7D" w14:textId="77777777">
        <w:trPr>
          <w:cantSplit/>
        </w:trPr>
        <w:tc>
          <w:tcPr>
            <w:tcW w:w="2943" w:type="dxa"/>
          </w:tcPr>
          <w:p w14:paraId="4734B1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ИП-3 М-25, скорость 400/2000 м</w:t>
            </w:r>
          </w:p>
          <w:p w14:paraId="4B8FDA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c>
          <w:tcPr>
            <w:tcW w:w="1701" w:type="dxa"/>
          </w:tcPr>
          <w:p w14:paraId="68CC14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5245" w:type="dxa"/>
          </w:tcPr>
          <w:p w14:paraId="783D04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сорван, в основном из-за неподачи пушек АПК-11. Сейчас идет установка пушек на самолет.</w:t>
            </w:r>
          </w:p>
        </w:tc>
      </w:tr>
      <w:tr w:rsidR="00E3599D" w:rsidRPr="00E14102" w14:paraId="38ADCF8C" w14:textId="77777777">
        <w:trPr>
          <w:cantSplit/>
        </w:trPr>
        <w:tc>
          <w:tcPr>
            <w:tcW w:w="2943" w:type="dxa"/>
          </w:tcPr>
          <w:p w14:paraId="6598D3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ДБ-2 2М-85, скорость 300-320/4500 м, дальность 5000 м, потолок 7-7500 м</w:t>
            </w:r>
          </w:p>
          <w:p w14:paraId="330628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0E4999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июня 1935 года</w:t>
            </w:r>
          </w:p>
        </w:tc>
        <w:tc>
          <w:tcPr>
            <w:tcW w:w="5245" w:type="dxa"/>
          </w:tcPr>
          <w:p w14:paraId="389149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производстве заводских испытаний разрушился в воздухе. По постановлению СТО строится второй опытный образец к 1 марта 1936 года. Работы развернуты. Чертежи спущены полностью, идет сборка главных частей самолета.</w:t>
            </w:r>
          </w:p>
        </w:tc>
      </w:tr>
      <w:tr w:rsidR="00E3599D" w:rsidRPr="00E14102" w14:paraId="1360023F" w14:textId="77777777">
        <w:trPr>
          <w:cantSplit/>
        </w:trPr>
        <w:tc>
          <w:tcPr>
            <w:tcW w:w="2943" w:type="dxa"/>
          </w:tcPr>
          <w:p w14:paraId="7EFFFF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ДБ-2 М-34, скорость 310/4000 м</w:t>
            </w:r>
          </w:p>
          <w:p w14:paraId="3E009D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tc>
        <w:tc>
          <w:tcPr>
            <w:tcW w:w="1701" w:type="dxa"/>
          </w:tcPr>
          <w:p w14:paraId="38A87D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5245" w:type="dxa"/>
          </w:tcPr>
          <w:p w14:paraId="32D794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на заводских испытаниях с мая 1935 года. По заявлению директора завода нужны 10 летных дней для окончания заводских испытаний.</w:t>
            </w:r>
          </w:p>
        </w:tc>
      </w:tr>
      <w:tr w:rsidR="00E3599D" w:rsidRPr="00E14102" w14:paraId="7A0A57C8" w14:textId="77777777">
        <w:trPr>
          <w:cantSplit/>
        </w:trPr>
        <w:tc>
          <w:tcPr>
            <w:tcW w:w="2943" w:type="dxa"/>
          </w:tcPr>
          <w:p w14:paraId="6542E2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ФР М-25 (фоторазведчик ХАИ), скорость 435/2000 м</w:t>
            </w:r>
          </w:p>
        </w:tc>
        <w:tc>
          <w:tcPr>
            <w:tcW w:w="1701" w:type="dxa"/>
          </w:tcPr>
          <w:p w14:paraId="5208BF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1935 года</w:t>
            </w:r>
          </w:p>
        </w:tc>
        <w:tc>
          <w:tcPr>
            <w:tcW w:w="5245" w:type="dxa"/>
          </w:tcPr>
          <w:p w14:paraId="34AA08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Предъявляется на госиспытания. Королев просил изменить срок на 1 ноября 1935 года. Сведений о предъявлении нет.</w:t>
            </w:r>
          </w:p>
        </w:tc>
      </w:tr>
      <w:tr w:rsidR="00E3599D" w:rsidRPr="00E14102" w14:paraId="56754078" w14:textId="77777777">
        <w:trPr>
          <w:cantSplit/>
        </w:trPr>
        <w:tc>
          <w:tcPr>
            <w:tcW w:w="2943" w:type="dxa"/>
          </w:tcPr>
          <w:p w14:paraId="79D695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ДИ-8 2М-85, скорость 375/5000 м</w:t>
            </w:r>
          </w:p>
          <w:p w14:paraId="38240E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5A4918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5245" w:type="dxa"/>
          </w:tcPr>
          <w:p w14:paraId="414A32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Эталон на заводских испытаниях обнаружил ряд дефектов, потребовавших серьезных переделок самолета. В состоянии доводки. Сделал около 14 полетов. Требуемый срок 1 февраля 1936 года (по данным Туполева).</w:t>
            </w:r>
          </w:p>
        </w:tc>
      </w:tr>
      <w:tr w:rsidR="00E3599D" w:rsidRPr="00E14102" w14:paraId="6A11D224" w14:textId="77777777">
        <w:trPr>
          <w:cantSplit/>
        </w:trPr>
        <w:tc>
          <w:tcPr>
            <w:tcW w:w="2943" w:type="dxa"/>
          </w:tcPr>
          <w:p w14:paraId="6B3729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МБР-5 М-25, скорость 275/3000 м</w:t>
            </w:r>
          </w:p>
          <w:p w14:paraId="3E37D2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c>
          <w:tcPr>
            <w:tcW w:w="1701" w:type="dxa"/>
          </w:tcPr>
          <w:p w14:paraId="7E9BF1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5245" w:type="dxa"/>
          </w:tcPr>
          <w:p w14:paraId="3F7E44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Начаты заводские испытания. Королев просил изменить срок на 1 ноября 1935 года. Сведений о предъявлении нет.</w:t>
            </w:r>
          </w:p>
        </w:tc>
      </w:tr>
      <w:tr w:rsidR="00E3599D" w:rsidRPr="00E14102" w14:paraId="6D259098" w14:textId="77777777">
        <w:trPr>
          <w:cantSplit/>
        </w:trPr>
        <w:tc>
          <w:tcPr>
            <w:tcW w:w="2943" w:type="dxa"/>
          </w:tcPr>
          <w:p w14:paraId="48B7A2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ВС-2 2М-22 (войсковой самолет – летающее крыло), скорость 350-400/3-5000 м</w:t>
            </w:r>
          </w:p>
          <w:p w14:paraId="47F1E4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18</w:t>
            </w:r>
          </w:p>
        </w:tc>
        <w:tc>
          <w:tcPr>
            <w:tcW w:w="1701" w:type="dxa"/>
          </w:tcPr>
          <w:p w14:paraId="25CB14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года</w:t>
            </w:r>
          </w:p>
        </w:tc>
        <w:tc>
          <w:tcPr>
            <w:tcW w:w="5245" w:type="dxa"/>
          </w:tcPr>
          <w:p w14:paraId="7ADC36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закончен проект. Начало производства. Королев просит установить новый срок 1 февраля 1936 года.</w:t>
            </w:r>
          </w:p>
        </w:tc>
      </w:tr>
      <w:tr w:rsidR="00E3599D" w:rsidRPr="00E14102" w14:paraId="39DCDF55" w14:textId="77777777">
        <w:trPr>
          <w:cantSplit/>
        </w:trPr>
        <w:tc>
          <w:tcPr>
            <w:tcW w:w="2943" w:type="dxa"/>
          </w:tcPr>
          <w:p w14:paraId="5528FB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СС (стратосферный самолет), потолок 11-12000 м</w:t>
            </w:r>
          </w:p>
          <w:p w14:paraId="203B8C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35</w:t>
            </w:r>
          </w:p>
        </w:tc>
        <w:tc>
          <w:tcPr>
            <w:tcW w:w="1701" w:type="dxa"/>
          </w:tcPr>
          <w:p w14:paraId="278E05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1935 года</w:t>
            </w:r>
          </w:p>
        </w:tc>
        <w:tc>
          <w:tcPr>
            <w:tcW w:w="5245" w:type="dxa"/>
          </w:tcPr>
          <w:p w14:paraId="0E7BAE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Закончен постройкой и передается на заводские испытания. ГУАП затрудняется назвать окончательный срок сдачи на заводские испытания, так как самолет экспериментальный.</w:t>
            </w:r>
          </w:p>
        </w:tc>
      </w:tr>
      <w:tr w:rsidR="00E3599D" w:rsidRPr="00E14102" w14:paraId="35437774" w14:textId="77777777">
        <w:trPr>
          <w:cantSplit/>
        </w:trPr>
        <w:tc>
          <w:tcPr>
            <w:tcW w:w="2943" w:type="dxa"/>
          </w:tcPr>
          <w:p w14:paraId="697086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Истребитель летающее крыло, техтребования не указаны</w:t>
            </w:r>
          </w:p>
          <w:p w14:paraId="1CE61A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 Черановский</w:t>
            </w:r>
          </w:p>
        </w:tc>
        <w:tc>
          <w:tcPr>
            <w:tcW w:w="1701" w:type="dxa"/>
          </w:tcPr>
          <w:p w14:paraId="429832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года</w:t>
            </w:r>
          </w:p>
        </w:tc>
        <w:tc>
          <w:tcPr>
            <w:tcW w:w="5245" w:type="dxa"/>
          </w:tcPr>
          <w:p w14:paraId="63CFC8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Бригада Черановского передана Курчевскому. По данным УВС Курчевский проектирует нормальный пушечный истребитель, вместо летающего крыла.</w:t>
            </w:r>
          </w:p>
        </w:tc>
      </w:tr>
      <w:tr w:rsidR="00E3599D" w:rsidRPr="00E14102" w14:paraId="74C093B4" w14:textId="77777777">
        <w:trPr>
          <w:cantSplit/>
        </w:trPr>
        <w:tc>
          <w:tcPr>
            <w:tcW w:w="2943" w:type="dxa"/>
          </w:tcPr>
          <w:p w14:paraId="784A7C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автожир – РЦ, скорость 360 км/час, потолок 8000 м</w:t>
            </w:r>
          </w:p>
          <w:p w14:paraId="5C8F63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03EFA5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года</w:t>
            </w:r>
          </w:p>
        </w:tc>
        <w:tc>
          <w:tcPr>
            <w:tcW w:w="5245" w:type="dxa"/>
          </w:tcPr>
          <w:p w14:paraId="1BA3C4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Проектирование закончено на 100%. Работы развернуты. Идет сборка фюзеляжа и отдельных деталей. Срок сдачи на заводские испытания – 1 февраля 1936 года (данные Туполева).</w:t>
            </w:r>
          </w:p>
        </w:tc>
      </w:tr>
      <w:tr w:rsidR="00E3599D" w:rsidRPr="00E14102" w14:paraId="20C67865" w14:textId="77777777">
        <w:trPr>
          <w:cantSplit/>
        </w:trPr>
        <w:tc>
          <w:tcPr>
            <w:tcW w:w="2943" w:type="dxa"/>
          </w:tcPr>
          <w:p w14:paraId="1AEF4D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Геликоптер, скорость 200 км/час, потолок – 4000 м</w:t>
            </w:r>
          </w:p>
          <w:p w14:paraId="698DB9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701" w:type="dxa"/>
          </w:tcPr>
          <w:p w14:paraId="7D085D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1935 года</w:t>
            </w:r>
          </w:p>
        </w:tc>
        <w:tc>
          <w:tcPr>
            <w:tcW w:w="5245" w:type="dxa"/>
          </w:tcPr>
          <w:p w14:paraId="44EBAF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 30%. Проектирование – 80%. Королев просит срок выхода на испытание отнести на 1 июля 1936 года.</w:t>
            </w:r>
          </w:p>
        </w:tc>
      </w:tr>
      <w:tr w:rsidR="00E3599D" w:rsidRPr="00E14102" w14:paraId="3F565172" w14:textId="77777777">
        <w:trPr>
          <w:cantSplit/>
        </w:trPr>
        <w:tc>
          <w:tcPr>
            <w:tcW w:w="2943" w:type="dxa"/>
          </w:tcPr>
          <w:p w14:paraId="79057C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Торпедоносец, скорость 330-350/3000 м</w:t>
            </w:r>
          </w:p>
        </w:tc>
        <w:tc>
          <w:tcPr>
            <w:tcW w:w="1701" w:type="dxa"/>
          </w:tcPr>
          <w:p w14:paraId="628B00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5245" w:type="dxa"/>
          </w:tcPr>
          <w:p w14:paraId="0998A0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почти полностью собран. Монтаж моторной части. 20-25 ноября машина выйдет на аэродром для заводских испытаний. Королев просит изменить срок госиспытаний на 1 апреля 1936 года.</w:t>
            </w:r>
          </w:p>
        </w:tc>
      </w:tr>
      <w:tr w:rsidR="00E3599D" w:rsidRPr="00E14102" w14:paraId="4BC39E11" w14:textId="77777777">
        <w:trPr>
          <w:cantSplit/>
        </w:trPr>
        <w:tc>
          <w:tcPr>
            <w:tcW w:w="2943" w:type="dxa"/>
          </w:tcPr>
          <w:p w14:paraId="6D7F54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Разведчик скоростной (Р.С.), скорость 450-500/4500-5000 м</w:t>
            </w:r>
          </w:p>
          <w:p w14:paraId="48E947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p w14:paraId="387A6F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p w14:paraId="4C191D00" w14:textId="77777777" w:rsidR="00D4105E" w:rsidRPr="00E14102" w:rsidRDefault="00D4105E" w:rsidP="00E14102">
            <w:pPr>
              <w:autoSpaceDE w:val="0"/>
              <w:autoSpaceDN w:val="0"/>
              <w:adjustRightInd w:val="0"/>
              <w:jc w:val="both"/>
              <w:rPr>
                <w:color w:val="000000" w:themeColor="text1"/>
                <w:sz w:val="16"/>
                <w:szCs w:val="16"/>
              </w:rPr>
            </w:pPr>
          </w:p>
          <w:p w14:paraId="7A7A54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1701" w:type="dxa"/>
          </w:tcPr>
          <w:p w14:paraId="420C7C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p w14:paraId="740B4B74" w14:textId="77777777" w:rsidR="00D4105E" w:rsidRPr="00E14102" w:rsidRDefault="00D4105E" w:rsidP="00E14102">
            <w:pPr>
              <w:autoSpaceDE w:val="0"/>
              <w:autoSpaceDN w:val="0"/>
              <w:adjustRightInd w:val="0"/>
              <w:jc w:val="both"/>
              <w:rPr>
                <w:color w:val="000000" w:themeColor="text1"/>
                <w:sz w:val="16"/>
                <w:szCs w:val="16"/>
              </w:rPr>
            </w:pPr>
          </w:p>
          <w:p w14:paraId="705A9B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года</w:t>
            </w:r>
          </w:p>
          <w:p w14:paraId="5F03A944" w14:textId="77777777" w:rsidR="00D4105E" w:rsidRPr="00E14102" w:rsidRDefault="00D4105E" w:rsidP="00E14102">
            <w:pPr>
              <w:autoSpaceDE w:val="0"/>
              <w:autoSpaceDN w:val="0"/>
              <w:adjustRightInd w:val="0"/>
              <w:jc w:val="both"/>
              <w:rPr>
                <w:color w:val="000000" w:themeColor="text1"/>
                <w:sz w:val="16"/>
                <w:szCs w:val="16"/>
              </w:rPr>
            </w:pPr>
          </w:p>
          <w:p w14:paraId="2A8171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года</w:t>
            </w:r>
          </w:p>
        </w:tc>
        <w:tc>
          <w:tcPr>
            <w:tcW w:w="5245" w:type="dxa"/>
          </w:tcPr>
          <w:p w14:paraId="42F175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Идет сборка и подготовка к заводским испытаниям. По данным завода сдача на госиспытания в январе. Королев просит 1 января 1936 года.</w:t>
            </w:r>
          </w:p>
          <w:p w14:paraId="443754F3" w14:textId="77777777" w:rsidR="00D4105E" w:rsidRPr="00E14102" w:rsidRDefault="00D4105E" w:rsidP="00E14102">
            <w:pPr>
              <w:autoSpaceDE w:val="0"/>
              <w:autoSpaceDN w:val="0"/>
              <w:adjustRightInd w:val="0"/>
              <w:jc w:val="both"/>
              <w:rPr>
                <w:color w:val="000000" w:themeColor="text1"/>
                <w:sz w:val="16"/>
                <w:szCs w:val="16"/>
              </w:rPr>
            </w:pPr>
          </w:p>
          <w:p w14:paraId="19C2C6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постройке еще не приступлено. Королев просит определить окончательный срок – 1 мая 1936 года.</w:t>
            </w:r>
          </w:p>
          <w:p w14:paraId="6058DA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закончено проектирование. Королев просит продлить предъявление самолета до 1 августа 1936 года.</w:t>
            </w:r>
          </w:p>
        </w:tc>
      </w:tr>
      <w:tr w:rsidR="00E3599D" w:rsidRPr="00E14102" w14:paraId="09C0B806" w14:textId="77777777">
        <w:trPr>
          <w:cantSplit/>
        </w:trPr>
        <w:tc>
          <w:tcPr>
            <w:tcW w:w="2943" w:type="dxa"/>
          </w:tcPr>
          <w:p w14:paraId="2A93E1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скорость 400-450/5000 м</w:t>
            </w:r>
          </w:p>
          <w:p w14:paraId="063122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18</w:t>
            </w:r>
          </w:p>
        </w:tc>
        <w:tc>
          <w:tcPr>
            <w:tcW w:w="1701" w:type="dxa"/>
          </w:tcPr>
          <w:p w14:paraId="260B55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5245" w:type="dxa"/>
          </w:tcPr>
          <w:p w14:paraId="1BCFB0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Заканчивается сборка и монтаж. Готовится к заводским испытаниям. Королев просит утвердить срок сдачи на госиспытания – 1 декабря 1935 года.</w:t>
            </w:r>
          </w:p>
        </w:tc>
      </w:tr>
      <w:tr w:rsidR="00E3599D" w:rsidRPr="00E14102" w14:paraId="64B690B1" w14:textId="77777777">
        <w:trPr>
          <w:cantSplit/>
        </w:trPr>
        <w:tc>
          <w:tcPr>
            <w:tcW w:w="2943" w:type="dxa"/>
          </w:tcPr>
          <w:p w14:paraId="416078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КОР (самолет корабельной службы), скорость 300/3000 м</w:t>
            </w:r>
          </w:p>
          <w:p w14:paraId="2CF4E0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c>
          <w:tcPr>
            <w:tcW w:w="1701" w:type="dxa"/>
          </w:tcPr>
          <w:p w14:paraId="4949A2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1935 года</w:t>
            </w:r>
          </w:p>
        </w:tc>
        <w:tc>
          <w:tcPr>
            <w:tcW w:w="5245" w:type="dxa"/>
          </w:tcPr>
          <w:p w14:paraId="28DA95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Проектирование закончено. Самолет в производстве. Королев просит установить срок сдачи на госиспытания – 1 марта 1936 года.</w:t>
            </w:r>
          </w:p>
        </w:tc>
      </w:tr>
      <w:tr w:rsidR="00E3599D" w:rsidRPr="00E14102" w14:paraId="7F5BD785" w14:textId="77777777">
        <w:trPr>
          <w:cantSplit/>
        </w:trPr>
        <w:tc>
          <w:tcPr>
            <w:tcW w:w="2943" w:type="dxa"/>
          </w:tcPr>
          <w:p w14:paraId="4AD9D0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Переходный самолет (тренировочный), скорость 250-300 км/час</w:t>
            </w:r>
          </w:p>
          <w:p w14:paraId="21156F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23</w:t>
            </w:r>
          </w:p>
          <w:p w14:paraId="4E5F76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1701" w:type="dxa"/>
          </w:tcPr>
          <w:p w14:paraId="3F4BE3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года</w:t>
            </w:r>
          </w:p>
          <w:p w14:paraId="5D53AA04" w14:textId="77777777" w:rsidR="00D4105E" w:rsidRPr="00E14102" w:rsidRDefault="00D4105E" w:rsidP="00E14102">
            <w:pPr>
              <w:autoSpaceDE w:val="0"/>
              <w:autoSpaceDN w:val="0"/>
              <w:adjustRightInd w:val="0"/>
              <w:jc w:val="both"/>
              <w:rPr>
                <w:color w:val="000000" w:themeColor="text1"/>
                <w:sz w:val="16"/>
                <w:szCs w:val="16"/>
              </w:rPr>
            </w:pPr>
          </w:p>
          <w:p w14:paraId="6DAE52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1935 года</w:t>
            </w:r>
          </w:p>
        </w:tc>
        <w:tc>
          <w:tcPr>
            <w:tcW w:w="5245" w:type="dxa"/>
          </w:tcPr>
          <w:p w14:paraId="5397BD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Проектирование закончено. Постройка не начата из-за отсутствия мотора М-48. Производство моторов М-48 в ГУАПе не поставлено, хотя и определено планом заказа 1935 года.</w:t>
            </w:r>
          </w:p>
        </w:tc>
      </w:tr>
      <w:tr w:rsidR="00E3599D" w:rsidRPr="00E14102" w14:paraId="78198B36" w14:textId="77777777">
        <w:trPr>
          <w:cantSplit/>
        </w:trPr>
        <w:tc>
          <w:tcPr>
            <w:tcW w:w="2943" w:type="dxa"/>
          </w:tcPr>
          <w:p w14:paraId="0167FC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 и агрегаты</w:t>
            </w:r>
          </w:p>
        </w:tc>
        <w:tc>
          <w:tcPr>
            <w:tcW w:w="1701" w:type="dxa"/>
          </w:tcPr>
          <w:p w14:paraId="0D4AFBA0" w14:textId="77777777" w:rsidR="00D4105E" w:rsidRPr="00E14102" w:rsidRDefault="00D4105E" w:rsidP="00E14102">
            <w:pPr>
              <w:autoSpaceDE w:val="0"/>
              <w:autoSpaceDN w:val="0"/>
              <w:adjustRightInd w:val="0"/>
              <w:jc w:val="both"/>
              <w:rPr>
                <w:color w:val="000000" w:themeColor="text1"/>
                <w:sz w:val="16"/>
                <w:szCs w:val="16"/>
              </w:rPr>
            </w:pPr>
          </w:p>
        </w:tc>
        <w:tc>
          <w:tcPr>
            <w:tcW w:w="5245" w:type="dxa"/>
          </w:tcPr>
          <w:p w14:paraId="10A3D47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2C622DD" w14:textId="77777777">
        <w:trPr>
          <w:cantSplit/>
        </w:trPr>
        <w:tc>
          <w:tcPr>
            <w:tcW w:w="2943" w:type="dxa"/>
          </w:tcPr>
          <w:p w14:paraId="06FE99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М-56 (звезда, ЦИАМ), 700 л.с. на высоте 3500 м</w:t>
            </w:r>
          </w:p>
        </w:tc>
        <w:tc>
          <w:tcPr>
            <w:tcW w:w="1701" w:type="dxa"/>
          </w:tcPr>
          <w:p w14:paraId="706132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5245" w:type="dxa"/>
          </w:tcPr>
          <w:p w14:paraId="5BE532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заводских испытаниях. Королев просит изменить срок сдачи госиспытание на 1 апреля 1936 года.</w:t>
            </w:r>
          </w:p>
        </w:tc>
      </w:tr>
      <w:tr w:rsidR="00E3599D" w:rsidRPr="00E14102" w14:paraId="6954B26A" w14:textId="77777777">
        <w:trPr>
          <w:cantSplit/>
        </w:trPr>
        <w:tc>
          <w:tcPr>
            <w:tcW w:w="2943" w:type="dxa"/>
          </w:tcPr>
          <w:p w14:paraId="063428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М-58Н (завод № 29), 630 л.с. на высоте 4000 м</w:t>
            </w:r>
          </w:p>
        </w:tc>
        <w:tc>
          <w:tcPr>
            <w:tcW w:w="1701" w:type="dxa"/>
          </w:tcPr>
          <w:p w14:paraId="1A09CE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1935 года</w:t>
            </w:r>
          </w:p>
        </w:tc>
        <w:tc>
          <w:tcPr>
            <w:tcW w:w="5245" w:type="dxa"/>
          </w:tcPr>
          <w:p w14:paraId="055001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Проходит госиспытания.</w:t>
            </w:r>
          </w:p>
        </w:tc>
      </w:tr>
      <w:tr w:rsidR="00E3599D" w:rsidRPr="00E14102" w14:paraId="5FFC9971" w14:textId="77777777">
        <w:trPr>
          <w:cantSplit/>
        </w:trPr>
        <w:tc>
          <w:tcPr>
            <w:tcW w:w="2943" w:type="dxa"/>
          </w:tcPr>
          <w:p w14:paraId="714D8A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ГМ-44 (морской вариант, ЦИАМ), 1600 л.с.</w:t>
            </w:r>
          </w:p>
        </w:tc>
        <w:tc>
          <w:tcPr>
            <w:tcW w:w="1701" w:type="dxa"/>
          </w:tcPr>
          <w:p w14:paraId="46D866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5245" w:type="dxa"/>
          </w:tcPr>
          <w:p w14:paraId="76EC3D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Проходит заводские испытания. К 1 мая 1936 года поступит на госиспытания (по данным ЦИАМа). Королев просит 1 апреля 1936 года.</w:t>
            </w:r>
          </w:p>
        </w:tc>
      </w:tr>
      <w:tr w:rsidR="00E3599D" w:rsidRPr="00E14102" w14:paraId="5B8F66B1" w14:textId="77777777">
        <w:trPr>
          <w:cantSplit/>
        </w:trPr>
        <w:tc>
          <w:tcPr>
            <w:tcW w:w="2943" w:type="dxa"/>
          </w:tcPr>
          <w:p w14:paraId="78977C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ФРН и ФН первый этап – мощность 850 л.с. на высоте 4500 м</w:t>
            </w:r>
          </w:p>
          <w:p w14:paraId="668311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701" w:type="dxa"/>
          </w:tcPr>
          <w:p w14:paraId="4D39B4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5245" w:type="dxa"/>
          </w:tcPr>
          <w:p w14:paraId="39DC82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Прошел заводские испытания 50 час. на мощность в 1050 л.с. и 70 час. зав. испытания на мощность до 1200 л.с. Испытания продолжаются.</w:t>
            </w:r>
          </w:p>
        </w:tc>
      </w:tr>
      <w:tr w:rsidR="00E3599D" w:rsidRPr="00E14102" w14:paraId="549096FD" w14:textId="77777777">
        <w:trPr>
          <w:cantSplit/>
        </w:trPr>
        <w:tc>
          <w:tcPr>
            <w:tcW w:w="2943" w:type="dxa"/>
          </w:tcPr>
          <w:p w14:paraId="276387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Н1, дизель мощностью в 750 л.с. на 3000 м (Чаромского)</w:t>
            </w:r>
          </w:p>
          <w:p w14:paraId="305960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6FDDA7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1935 года</w:t>
            </w:r>
          </w:p>
        </w:tc>
        <w:tc>
          <w:tcPr>
            <w:tcW w:w="5245" w:type="dxa"/>
          </w:tcPr>
          <w:p w14:paraId="257D57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Прошел госиспытания, показав мощность 750/820 л.с. на требуемой высоте. Дизель передается в серийное производство.</w:t>
            </w:r>
          </w:p>
        </w:tc>
      </w:tr>
      <w:tr w:rsidR="00E3599D" w:rsidRPr="00E14102" w14:paraId="59CA1D46" w14:textId="77777777">
        <w:trPr>
          <w:cantSplit/>
        </w:trPr>
        <w:tc>
          <w:tcPr>
            <w:tcW w:w="2943" w:type="dxa"/>
          </w:tcPr>
          <w:p w14:paraId="49FD5B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ПТ-6, паровая турбина 6000 л.с. на высоте 5000 м</w:t>
            </w:r>
          </w:p>
          <w:p w14:paraId="17A468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w:t>
            </w:r>
          </w:p>
        </w:tc>
        <w:tc>
          <w:tcPr>
            <w:tcW w:w="1701" w:type="dxa"/>
          </w:tcPr>
          <w:p w14:paraId="1942F9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1935 года</w:t>
            </w:r>
          </w:p>
        </w:tc>
        <w:tc>
          <w:tcPr>
            <w:tcW w:w="5245" w:type="dxa"/>
          </w:tcPr>
          <w:p w14:paraId="396459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Будет изготовлена Кировским заводом только в декабре 1935 года (опоздание 16 месяцев). Опытный котел ставится на испытания. Заканчиваются экспериментальные работы по конденсатору.</w:t>
            </w:r>
          </w:p>
        </w:tc>
      </w:tr>
      <w:tr w:rsidR="00E3599D" w:rsidRPr="00E14102" w14:paraId="54D8CD8A" w14:textId="77777777">
        <w:trPr>
          <w:cantSplit/>
        </w:trPr>
        <w:tc>
          <w:tcPr>
            <w:tcW w:w="2943" w:type="dxa"/>
          </w:tcPr>
          <w:p w14:paraId="39D1F2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ПТ-3, мощность 3000 л.с. на 5000 м</w:t>
            </w:r>
          </w:p>
          <w:p w14:paraId="465E68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ГУГВФ</w:t>
            </w:r>
          </w:p>
        </w:tc>
        <w:tc>
          <w:tcPr>
            <w:tcW w:w="1701" w:type="dxa"/>
          </w:tcPr>
          <w:p w14:paraId="2EE228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c>
          <w:tcPr>
            <w:tcW w:w="5245" w:type="dxa"/>
          </w:tcPr>
          <w:p w14:paraId="354937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Турбина смонтирована. Испытания задерживаются негодностью котлов (плохие трубы). Строится котел с импортными трубами.</w:t>
            </w:r>
          </w:p>
        </w:tc>
      </w:tr>
      <w:tr w:rsidR="00E3599D" w:rsidRPr="00E14102" w14:paraId="7766E444" w14:textId="77777777">
        <w:trPr>
          <w:cantSplit/>
        </w:trPr>
        <w:tc>
          <w:tcPr>
            <w:tcW w:w="2943" w:type="dxa"/>
          </w:tcPr>
          <w:p w14:paraId="1C5211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ВПШ, 3-х лопастной винт переменного шага</w:t>
            </w:r>
          </w:p>
          <w:p w14:paraId="137D25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430C62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1935 год</w:t>
            </w:r>
          </w:p>
        </w:tc>
        <w:tc>
          <w:tcPr>
            <w:tcW w:w="5245" w:type="dxa"/>
          </w:tcPr>
          <w:p w14:paraId="4D3EA5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ВПШ ЦИАМа прошел около 600 включений и показал хорошие результаты. Госиспытания – в декабре.</w:t>
            </w:r>
          </w:p>
        </w:tc>
      </w:tr>
      <w:tr w:rsidR="00E3599D" w:rsidRPr="00E14102" w14:paraId="28F3147B" w14:textId="77777777">
        <w:trPr>
          <w:cantSplit/>
        </w:trPr>
        <w:tc>
          <w:tcPr>
            <w:tcW w:w="2943" w:type="dxa"/>
          </w:tcPr>
          <w:p w14:paraId="414FFF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М-34 на непосредственный впрыск.</w:t>
            </w:r>
          </w:p>
          <w:p w14:paraId="350FD3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701" w:type="dxa"/>
          </w:tcPr>
          <w:p w14:paraId="3B219A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 года</w:t>
            </w:r>
          </w:p>
        </w:tc>
        <w:tc>
          <w:tcPr>
            <w:tcW w:w="5245" w:type="dxa"/>
          </w:tcPr>
          <w:p w14:paraId="13330F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Один блок работает не плохо. В декабре будет готова установка на оба блока и к 1 января 1936 года машина будет представлена на госиспытания (по данным ЦИАМ).</w:t>
            </w:r>
          </w:p>
        </w:tc>
      </w:tr>
    </w:tbl>
    <w:p w14:paraId="10656B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(3475,95-97).</w:t>
      </w:r>
    </w:p>
    <w:p w14:paraId="1DE1BB00" w14:textId="77777777" w:rsidR="00D4105E" w:rsidRPr="00E14102" w:rsidRDefault="00D4105E" w:rsidP="00E14102">
      <w:pPr>
        <w:autoSpaceDE w:val="0"/>
        <w:autoSpaceDN w:val="0"/>
        <w:adjustRightInd w:val="0"/>
        <w:jc w:val="both"/>
        <w:rPr>
          <w:color w:val="000000" w:themeColor="text1"/>
          <w:sz w:val="16"/>
          <w:szCs w:val="16"/>
        </w:rPr>
      </w:pPr>
    </w:p>
    <w:p w14:paraId="77CFA3F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10 ноября 1935 года Базилевич писал письмо Молотову</w:t>
      </w:r>
    </w:p>
    <w:p w14:paraId="73D27167"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Представляю отчет Королева о Миланской авиавыставке.</w:t>
      </w:r>
    </w:p>
    <w:p w14:paraId="6B5576A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Выставка была задумана широко, но показано было мало. Ряд передовых по авиации стран (Англия, Америка и др.) отсутствовал.</w:t>
      </w:r>
    </w:p>
    <w:p w14:paraId="48B4BBD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Современные самолеты показаны не были. Германия представила только учебные и спортивные самолеты. Сама Италия современных самолетов не показала, данные о них удалось получить из литературы и посещения заводов.</w:t>
      </w:r>
    </w:p>
    <w:p w14:paraId="58979168"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Наибольшее внимание итальянцы уделяют бомбардировочной и истребительной авиации. Наиболее слабо развита – разведывательная.</w:t>
      </w:r>
    </w:p>
    <w:p w14:paraId="49B21C3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бомбардировщикам – лучшим самолетом в Италии считается Савойя-71 (на выставке не был). Имеет 3 звездообразных мотора воздушного охлаждения. Скорость на высоте 4000 м – 430 км. Потолок – 7900 м. Грузоподъемность – 5500 кг. Дальность – данных нет. Данных по производству нет.</w:t>
      </w:r>
    </w:p>
    <w:p w14:paraId="50F2721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Соответствует нашему СБ.</w:t>
      </w:r>
    </w:p>
    <w:p w14:paraId="000F574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истребителям – лучшим является Капрони СН1. Скорость на высоте 4700 м – 440 км. Мотор французский Гном и Рон (К-14). В производстве – одиночные экземпляры.</w:t>
      </w:r>
    </w:p>
    <w:p w14:paraId="679371B1"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Наш И-16 с М-25 – выше.</w:t>
      </w:r>
    </w:p>
    <w:p w14:paraId="1E7D70AA"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разведчикам лучший – Ромео с мотором Фиат. Скорость 360 км. В производстве одиночные экземпляры.</w:t>
      </w:r>
    </w:p>
    <w:p w14:paraId="4D57F74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Наш Р-Зет – ниже (скорость 310-325 км).</w:t>
      </w:r>
    </w:p>
    <w:p w14:paraId="42B76B77"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Наши моторы, за исключением маломощных – на уровне мировых достижений.</w:t>
      </w:r>
    </w:p>
    <w:p w14:paraId="11A27EF0"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Выставленный нами форсированный М34 РН – вызвал всеобщий интерес и недоверие к его показателям.</w:t>
      </w:r>
    </w:p>
    <w:p w14:paraId="21EC745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вооружению – итальянская авиация – отсталая.</w:t>
      </w:r>
    </w:p>
    <w:p w14:paraId="0737D51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приборам – интересны образцы выставленные Германией, которые закуплены Королевым.</w:t>
      </w:r>
    </w:p>
    <w:p w14:paraId="03F6C8F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Общие выводы: по бомбардировочной и истребительной авиации общее развитие нашей авиации соответствует западным образцам.</w:t>
      </w:r>
    </w:p>
    <w:p w14:paraId="2D8998D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Особого внимания требуют разведывательная и морская авиация. По вооружению мы превосходим Италию. По приборам нужно освоить купленные образцы. Обмен опытом у нас сужен в сравнении с западноевропейскими странами.</w:t>
      </w:r>
    </w:p>
    <w:p w14:paraId="12B9E89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Королев считает необходимым в 1936 году организовать Всесоюзную авиавыставку (3475,133)</w:t>
      </w:r>
    </w:p>
    <w:p w14:paraId="011BE8CF" w14:textId="77777777" w:rsidR="00D4105E" w:rsidRPr="00E14102" w:rsidRDefault="00D4105E" w:rsidP="00E14102">
      <w:pPr>
        <w:autoSpaceDE w:val="0"/>
        <w:autoSpaceDN w:val="0"/>
        <w:adjustRightInd w:val="0"/>
        <w:jc w:val="both"/>
        <w:rPr>
          <w:color w:val="000000" w:themeColor="text1"/>
          <w:sz w:val="16"/>
          <w:szCs w:val="16"/>
        </w:rPr>
      </w:pPr>
    </w:p>
    <w:p w14:paraId="26BEF06B" w14:textId="77777777" w:rsidR="009602A3" w:rsidRPr="00E14102" w:rsidRDefault="009602A3" w:rsidP="00E14102">
      <w:pPr>
        <w:pStyle w:val="rtejustify"/>
        <w:spacing w:before="0" w:after="0"/>
        <w:rPr>
          <w:color w:val="000000" w:themeColor="text1"/>
          <w:sz w:val="16"/>
          <w:szCs w:val="16"/>
        </w:rPr>
      </w:pPr>
      <w:r w:rsidRPr="00E14102">
        <w:rPr>
          <w:color w:val="000000" w:themeColor="text1"/>
          <w:sz w:val="16"/>
          <w:szCs w:val="16"/>
        </w:rPr>
        <w:t>10 ноября 1935 г., согласно докладной записке членов Комиссии партийного контроля в Комиссию обороны, бывшими работниками конструкторского бюро Шпитального квалифицированным рабочим Савиным и чертежником-конструктором Норовым была разработана новая модификация пулемета. Новая конструкция пулемета давала темп свыше 3 тыс. выстрелов в минуту. Была также значительно упрощена общая конструкция. ШКАС имел 138 деталей, новый пулемет Савина и Норова — 76. Это позволило освоить его с исключительной быстротой: на производство первых трех образцов нового пулемета на Тульском заводе потребовалось всего полтора месяца (28 сентября-15 ноября 1935 г.). Комиссией партийного контроля пулемет Савина, Норова был рекомендован к освоению в серийном производстве, и к окончательному испытанию в 1</w:t>
      </w:r>
      <w:r w:rsidRPr="00E14102">
        <w:rPr>
          <w:color w:val="000000" w:themeColor="text1"/>
          <w:sz w:val="16"/>
          <w:szCs w:val="16"/>
        </w:rPr>
        <w:noBreakHyphen/>
        <w:t>м полугодии 1936 г.». Впоследствии работы по усовершенствованию пулемета ШКАС продолжались, и на протяжении 1933</w:t>
      </w:r>
      <w:r w:rsidRPr="00E14102">
        <w:rPr>
          <w:color w:val="000000" w:themeColor="text1"/>
          <w:sz w:val="16"/>
          <w:szCs w:val="16"/>
        </w:rPr>
        <w:noBreakHyphen/>
        <w:t>1937 гг. были разработаны механическая спарка пулеметов ШКАС, модификация ультра ШКАС, турельный и крыльевой варианты пулемета. К 1936 г. пулеметы системы ШКАС заняли главенствующее положение в системе вооружения советской авиации. (ГАРФ. Ф. Р</w:t>
      </w:r>
      <w:r w:rsidRPr="00E14102">
        <w:rPr>
          <w:color w:val="000000" w:themeColor="text1"/>
          <w:sz w:val="16"/>
          <w:szCs w:val="16"/>
        </w:rPr>
        <w:noBreakHyphen/>
        <w:t>8418. Оп. 9. Д. 29. Л. 61</w:t>
      </w:r>
      <w:r w:rsidRPr="00E14102">
        <w:rPr>
          <w:color w:val="000000" w:themeColor="text1"/>
          <w:sz w:val="16"/>
          <w:szCs w:val="16"/>
        </w:rPr>
        <w:noBreakHyphen/>
        <w:t>64; АП РФ. Ф. 3. Оп. 46. Д. 336. Л. 126</w:t>
      </w:r>
      <w:r w:rsidRPr="00E14102">
        <w:rPr>
          <w:color w:val="000000" w:themeColor="text1"/>
          <w:sz w:val="16"/>
          <w:szCs w:val="16"/>
        </w:rPr>
        <w:noBreakHyphen/>
        <w:t>129) (15276).</w:t>
      </w:r>
    </w:p>
    <w:p w14:paraId="0619FA97" w14:textId="77777777" w:rsidR="009602A3" w:rsidRPr="00E14102" w:rsidRDefault="009602A3" w:rsidP="00E14102">
      <w:pPr>
        <w:pStyle w:val="rtejustify"/>
        <w:spacing w:before="0" w:after="0"/>
        <w:rPr>
          <w:color w:val="000000" w:themeColor="text1"/>
          <w:sz w:val="16"/>
          <w:szCs w:val="16"/>
        </w:rPr>
      </w:pPr>
    </w:p>
    <w:p w14:paraId="2DAF16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 ноября 1935 г. в РНИИ состоялся доклад консультанта института профессора М.А.Петрова па тему «Тактический анализ применения ракетного вооружения в авиации». Присутствовали представители 5 отдела УВС РККА. Программа доклада:</w:t>
      </w:r>
    </w:p>
    <w:p w14:paraId="310FA7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Объективные условия, стимулирующие срочность введения реактивной артиллерии на вооружение самолетов.</w:t>
      </w:r>
    </w:p>
    <w:p w14:paraId="408B66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Стрельба по воздушным целям.</w:t>
      </w:r>
    </w:p>
    <w:p w14:paraId="3ED8019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Стрельба по наземным целям.</w:t>
      </w:r>
    </w:p>
    <w:p w14:paraId="7FC1EA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Перспективы освоения и применения ракетных снарядов для авиации» (11402).</w:t>
      </w:r>
    </w:p>
    <w:p w14:paraId="4D5998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136CBD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E3645A7" w14:textId="77777777" w:rsidR="00D4105E" w:rsidRPr="00E14102" w:rsidRDefault="00D4105E" w:rsidP="00E14102">
      <w:pPr>
        <w:autoSpaceDE w:val="0"/>
        <w:autoSpaceDN w:val="0"/>
        <w:adjustRightInd w:val="0"/>
        <w:jc w:val="both"/>
        <w:rPr>
          <w:iCs/>
          <w:color w:val="000000" w:themeColor="text1"/>
          <w:sz w:val="16"/>
          <w:szCs w:val="16"/>
        </w:rPr>
      </w:pPr>
    </w:p>
    <w:p w14:paraId="731AF6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ноября 1935 г. постановлением СТО № С-142сс заводу "Баррикады" было поручено разработать рабочие чертежи и изготовить опытный лейнер 152/100-мм к пушке Б-10 по проекту НКО для стрельбы подкалиберными снарядами типа ЦЕА (срок декабрь 1936 года) (3861).</w:t>
      </w:r>
    </w:p>
    <w:p w14:paraId="6C5C5DA3" w14:textId="77777777" w:rsidR="00D4105E" w:rsidRPr="00E14102" w:rsidRDefault="00D4105E" w:rsidP="00E14102">
      <w:pPr>
        <w:autoSpaceDE w:val="0"/>
        <w:autoSpaceDN w:val="0"/>
        <w:adjustRightInd w:val="0"/>
        <w:jc w:val="both"/>
        <w:rPr>
          <w:color w:val="000000" w:themeColor="text1"/>
          <w:sz w:val="16"/>
          <w:szCs w:val="16"/>
        </w:rPr>
      </w:pPr>
    </w:p>
    <w:p w14:paraId="2E8133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ноября 1935 г. был рассмо</w:t>
      </w:r>
      <w:r w:rsidRPr="00E14102">
        <w:rPr>
          <w:color w:val="000000" w:themeColor="text1"/>
          <w:sz w:val="16"/>
          <w:szCs w:val="16"/>
        </w:rPr>
        <w:softHyphen/>
        <w:t>трен на заседании макетной комиссии АБТУ РККА переработанный проект легкого САУ на базе Т-37 конструктора И. Архарова. Он столкнулся с тем, что масса САУ получается чрезмерной, что требовало отказаться от ее плавучести. Согласование этого изменения еще отодвинуло срок исполнения. Понятно, что проект сильно отличался от задания. Во-первых, базой. САУ теперь базировалась на ходовой части танка Т-38, от которого также заимствовались двигатель, бортовые фрикционы, приводы управления, электрообору</w:t>
      </w:r>
      <w:r w:rsidRPr="00E14102">
        <w:rPr>
          <w:color w:val="000000" w:themeColor="text1"/>
          <w:sz w:val="16"/>
          <w:szCs w:val="16"/>
        </w:rPr>
        <w:softHyphen/>
        <w:t>дование и ряд иных узлов. В качестве вооружения использо</w:t>
      </w:r>
      <w:r w:rsidRPr="00E14102">
        <w:rPr>
          <w:color w:val="000000" w:themeColor="text1"/>
          <w:sz w:val="16"/>
          <w:szCs w:val="16"/>
        </w:rPr>
        <w:softHyphen/>
        <w:t>валась 45-мм противотанковая пушка обр. 1932 г. с верхним станком, прицельными приспособлениями и механизмом наводки практически без изменений. Орудие было установ</w:t>
      </w:r>
      <w:r w:rsidRPr="00E14102">
        <w:rPr>
          <w:color w:val="000000" w:themeColor="text1"/>
          <w:sz w:val="16"/>
          <w:szCs w:val="16"/>
        </w:rPr>
        <w:softHyphen/>
        <w:t>лено в передней части машины, а двигатель размещался по</w:t>
      </w:r>
      <w:r w:rsidRPr="00E14102">
        <w:rPr>
          <w:color w:val="000000" w:themeColor="text1"/>
          <w:sz w:val="16"/>
          <w:szCs w:val="16"/>
        </w:rPr>
        <w:softHyphen/>
        <w:t>перек корпуса машины в ее кормовой части. Боекомплект к пушке в количестве 50 выстрелов помещался вдоль бортов корпуса САУ. Механик-водитель (бывший также наводчи</w:t>
      </w:r>
      <w:r w:rsidRPr="00E14102">
        <w:rPr>
          <w:color w:val="000000" w:themeColor="text1"/>
          <w:sz w:val="16"/>
          <w:szCs w:val="16"/>
        </w:rPr>
        <w:softHyphen/>
        <w:t>ком орудия) размещался слева по ходу машины. В ходе об</w:t>
      </w:r>
      <w:r w:rsidRPr="00E14102">
        <w:rPr>
          <w:color w:val="000000" w:themeColor="text1"/>
          <w:sz w:val="16"/>
          <w:szCs w:val="16"/>
        </w:rPr>
        <w:softHyphen/>
        <w:t>суждения проекта главным требованием было освободить по возможности механика-водителя от функций наводчика, для чего пересадить его с левой стороны на правую. Тут же были оговорены и вопросы изготовления опытно</w:t>
      </w:r>
      <w:r w:rsidRPr="00E14102">
        <w:rPr>
          <w:color w:val="000000" w:themeColor="text1"/>
          <w:sz w:val="16"/>
          <w:szCs w:val="16"/>
        </w:rPr>
        <w:softHyphen/>
        <w:t>го образца для проведения испытаний, но главное — маши</w:t>
      </w:r>
      <w:r w:rsidRPr="00E14102">
        <w:rPr>
          <w:color w:val="000000" w:themeColor="text1"/>
          <w:sz w:val="16"/>
          <w:szCs w:val="16"/>
        </w:rPr>
        <w:softHyphen/>
        <w:t>на поменяла свое имя. Теперь в документах АБТУ она име</w:t>
      </w:r>
      <w:r w:rsidRPr="00E14102">
        <w:rPr>
          <w:color w:val="000000" w:themeColor="text1"/>
          <w:sz w:val="16"/>
          <w:szCs w:val="16"/>
        </w:rPr>
        <w:softHyphen/>
        <w:t>новалась СУ-45. Также в заключении оговаривался крайний срок изготовления опытного образца - 1 января 1936 г. Но и этот срок не был выдержан. Лишь весной 1936 г. СУ-45 был передан на испытания, причем изготовленная машина значительно отличалась от одобренного макета. Несмотря на решение комиссии, механик-водитель был размещен все-таки слева от оси машины, а на правой стороне появилась шаровая установка пулемета ДТ. Из-за пожелания использовать штатные укладки 45-мм выстре</w:t>
      </w:r>
      <w:r w:rsidRPr="00E14102">
        <w:rPr>
          <w:color w:val="000000" w:themeColor="text1"/>
          <w:sz w:val="16"/>
          <w:szCs w:val="16"/>
        </w:rPr>
        <w:softHyphen/>
        <w:t>лов танка Т-26 и увеличения высоты бортов масса СУ-45 значительно превысила заданную и достигла 4300 кг. Это привело к необходимости усиления ходовой части. Умень</w:t>
      </w:r>
      <w:r w:rsidRPr="00E14102">
        <w:rPr>
          <w:color w:val="000000" w:themeColor="text1"/>
          <w:sz w:val="16"/>
          <w:szCs w:val="16"/>
        </w:rPr>
        <w:softHyphen/>
        <w:t>шилось расстояние между тележками подвески, и было до</w:t>
      </w:r>
      <w:r w:rsidRPr="00E14102">
        <w:rPr>
          <w:color w:val="000000" w:themeColor="text1"/>
          <w:sz w:val="16"/>
          <w:szCs w:val="16"/>
        </w:rPr>
        <w:softHyphen/>
        <w:t>бавлено по одному опорному катку с каждого борта (11417).</w:t>
      </w:r>
    </w:p>
    <w:p w14:paraId="2DA43D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0D96DE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05A65E1" w14:textId="77777777" w:rsidR="00D4105E" w:rsidRPr="00E14102" w:rsidRDefault="00D4105E" w:rsidP="00E14102">
      <w:pPr>
        <w:autoSpaceDE w:val="0"/>
        <w:autoSpaceDN w:val="0"/>
        <w:adjustRightInd w:val="0"/>
        <w:jc w:val="both"/>
        <w:rPr>
          <w:iCs/>
          <w:color w:val="000000" w:themeColor="text1"/>
          <w:sz w:val="16"/>
          <w:szCs w:val="16"/>
        </w:rPr>
      </w:pPr>
    </w:p>
    <w:p w14:paraId="270321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ноября 1935 в США возник Комитет производственных профсоюзов (3481).</w:t>
      </w:r>
    </w:p>
    <w:p w14:paraId="3E1ED2FD" w14:textId="77777777" w:rsidR="00D4105E" w:rsidRPr="00E14102" w:rsidRDefault="00D4105E" w:rsidP="00E14102">
      <w:pPr>
        <w:autoSpaceDE w:val="0"/>
        <w:autoSpaceDN w:val="0"/>
        <w:adjustRightInd w:val="0"/>
        <w:jc w:val="both"/>
        <w:rPr>
          <w:color w:val="000000" w:themeColor="text1"/>
          <w:sz w:val="16"/>
          <w:szCs w:val="16"/>
        </w:rPr>
      </w:pPr>
    </w:p>
    <w:p w14:paraId="3F91141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BBDA56E" w14:textId="77777777" w:rsidR="00D4105E" w:rsidRPr="00E14102" w:rsidRDefault="00D4105E" w:rsidP="00E14102">
      <w:pPr>
        <w:autoSpaceDE w:val="0"/>
        <w:autoSpaceDN w:val="0"/>
        <w:adjustRightInd w:val="0"/>
        <w:jc w:val="both"/>
        <w:rPr>
          <w:iCs/>
          <w:color w:val="000000" w:themeColor="text1"/>
          <w:sz w:val="16"/>
          <w:szCs w:val="16"/>
        </w:rPr>
      </w:pPr>
    </w:p>
    <w:p w14:paraId="758041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ноября 1935 при рулежке ДИ-6ш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545721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w:t>
      </w:r>
      <w:r w:rsidRPr="00E14102">
        <w:rPr>
          <w:color w:val="000000" w:themeColor="text1"/>
          <w:sz w:val="16"/>
          <w:szCs w:val="16"/>
        </w:rPr>
        <w:lastRenderedPageBreak/>
        <w:t>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2DB04A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5F35C6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2D1397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639548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71178E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2FBD32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08507C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12BBFC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50E570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0D10D2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59606F2C" w14:textId="77777777" w:rsidR="00D4105E" w:rsidRPr="00E14102" w:rsidRDefault="00D4105E" w:rsidP="00E14102">
      <w:pPr>
        <w:autoSpaceDE w:val="0"/>
        <w:autoSpaceDN w:val="0"/>
        <w:adjustRightInd w:val="0"/>
        <w:jc w:val="both"/>
        <w:rPr>
          <w:color w:val="000000" w:themeColor="text1"/>
          <w:sz w:val="16"/>
          <w:szCs w:val="16"/>
        </w:rPr>
      </w:pPr>
    </w:p>
    <w:p w14:paraId="6395C2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ноября 1935 на ДБА 4М-34РН в ходе заводских испытаний в Щелково летали 1 раз 1:00 и это был полет по замерам напряжений в стержнях и на проверку устойчивости. Это был 23-й полет (249).</w:t>
      </w:r>
    </w:p>
    <w:p w14:paraId="034DC899" w14:textId="77777777" w:rsidR="00D4105E" w:rsidRPr="00E14102" w:rsidRDefault="00D4105E" w:rsidP="00E14102">
      <w:pPr>
        <w:autoSpaceDE w:val="0"/>
        <w:autoSpaceDN w:val="0"/>
        <w:adjustRightInd w:val="0"/>
        <w:jc w:val="both"/>
        <w:rPr>
          <w:color w:val="000000" w:themeColor="text1"/>
          <w:sz w:val="16"/>
          <w:szCs w:val="16"/>
        </w:rPr>
      </w:pPr>
    </w:p>
    <w:p w14:paraId="5A15372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ноября 1936 года Начальник ВВС командарм 2 ранга Алкснис утвердил Отчет о проведении испытаний самолета АИР-14 с мотором М-11 (6731).</w:t>
      </w:r>
    </w:p>
    <w:p w14:paraId="7AF1950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20EF37C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 и летчик в/инженер 3 ранга Липкин М.А.</w:t>
      </w:r>
    </w:p>
    <w:p w14:paraId="143BF8C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5BC4C80F"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возможности применения самолета АИР-14 в качестве тренировочного самолета для истребительных частей ВВС.</w:t>
      </w:r>
    </w:p>
    <w:p w14:paraId="273BBD6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летных данных и эксплуатационных качеств самолета.</w:t>
      </w:r>
    </w:p>
    <w:p w14:paraId="39DD8C4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Летные данные самолета при полетном весе 590 кг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E3599D" w:rsidRPr="00E14102" w14:paraId="187622ED" w14:textId="77777777">
        <w:tc>
          <w:tcPr>
            <w:tcW w:w="4428" w:type="dxa"/>
            <w:tcBorders>
              <w:top w:val="single" w:sz="12" w:space="0" w:color="auto"/>
            </w:tcBorders>
          </w:tcPr>
          <w:p w14:paraId="035B6F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у земли</w:t>
            </w:r>
          </w:p>
        </w:tc>
        <w:tc>
          <w:tcPr>
            <w:tcW w:w="4428" w:type="dxa"/>
            <w:tcBorders>
              <w:top w:val="single" w:sz="12" w:space="0" w:color="auto"/>
            </w:tcBorders>
          </w:tcPr>
          <w:p w14:paraId="65D7878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252 км/час</w:t>
            </w:r>
          </w:p>
        </w:tc>
      </w:tr>
      <w:tr w:rsidR="00E3599D" w:rsidRPr="00E14102" w14:paraId="424DBE7A" w14:textId="77777777">
        <w:tc>
          <w:tcPr>
            <w:tcW w:w="4428" w:type="dxa"/>
          </w:tcPr>
          <w:p w14:paraId="0726A7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4428" w:type="dxa"/>
          </w:tcPr>
          <w:p w14:paraId="70F0007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80 км/час</w:t>
            </w:r>
          </w:p>
        </w:tc>
      </w:tr>
      <w:tr w:rsidR="00E3599D" w:rsidRPr="00E14102" w14:paraId="6020BBDE" w14:textId="77777777">
        <w:tc>
          <w:tcPr>
            <w:tcW w:w="4428" w:type="dxa"/>
          </w:tcPr>
          <w:p w14:paraId="3B9116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Потолок</w:t>
            </w:r>
          </w:p>
        </w:tc>
        <w:tc>
          <w:tcPr>
            <w:tcW w:w="4428" w:type="dxa"/>
          </w:tcPr>
          <w:p w14:paraId="48181D1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6180 м</w:t>
            </w:r>
          </w:p>
        </w:tc>
      </w:tr>
      <w:tr w:rsidR="00E3599D" w:rsidRPr="00E14102" w14:paraId="12D4910B" w14:textId="77777777">
        <w:tc>
          <w:tcPr>
            <w:tcW w:w="4428" w:type="dxa"/>
          </w:tcPr>
          <w:p w14:paraId="62D41C8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Время набора потолка</w:t>
            </w:r>
          </w:p>
        </w:tc>
        <w:tc>
          <w:tcPr>
            <w:tcW w:w="4428" w:type="dxa"/>
          </w:tcPr>
          <w:p w14:paraId="7E580C1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42,2 мин.</w:t>
            </w:r>
          </w:p>
        </w:tc>
      </w:tr>
      <w:tr w:rsidR="00E3599D" w:rsidRPr="00E14102" w14:paraId="326199DB" w14:textId="77777777">
        <w:tc>
          <w:tcPr>
            <w:tcW w:w="4428" w:type="dxa"/>
          </w:tcPr>
          <w:p w14:paraId="7FCD1FF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Время набора 3000 м</w:t>
            </w:r>
          </w:p>
        </w:tc>
        <w:tc>
          <w:tcPr>
            <w:tcW w:w="4428" w:type="dxa"/>
          </w:tcPr>
          <w:p w14:paraId="7B4F75A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9,5 мин.</w:t>
            </w:r>
          </w:p>
        </w:tc>
      </w:tr>
      <w:tr w:rsidR="00E3599D" w:rsidRPr="00E14102" w14:paraId="7AD9B582" w14:textId="77777777">
        <w:tc>
          <w:tcPr>
            <w:tcW w:w="4428" w:type="dxa"/>
          </w:tcPr>
          <w:p w14:paraId="655828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Скороподъемность у земли</w:t>
            </w:r>
          </w:p>
        </w:tc>
        <w:tc>
          <w:tcPr>
            <w:tcW w:w="4428" w:type="dxa"/>
          </w:tcPr>
          <w:p w14:paraId="021F03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7,07 м/сек</w:t>
            </w:r>
          </w:p>
        </w:tc>
      </w:tr>
      <w:tr w:rsidR="00E3599D" w:rsidRPr="00E14102" w14:paraId="4FE93D2B" w14:textId="77777777">
        <w:tc>
          <w:tcPr>
            <w:tcW w:w="4428" w:type="dxa"/>
          </w:tcPr>
          <w:p w14:paraId="0D152D8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Разбег</w:t>
            </w:r>
          </w:p>
        </w:tc>
        <w:tc>
          <w:tcPr>
            <w:tcW w:w="4428" w:type="dxa"/>
          </w:tcPr>
          <w:p w14:paraId="00802A7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120 м (7-8 сек)</w:t>
            </w:r>
          </w:p>
        </w:tc>
      </w:tr>
      <w:tr w:rsidR="00E3599D" w:rsidRPr="00E14102" w14:paraId="46E69653" w14:textId="77777777">
        <w:tc>
          <w:tcPr>
            <w:tcW w:w="4428" w:type="dxa"/>
          </w:tcPr>
          <w:p w14:paraId="41DC67B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Пробег</w:t>
            </w:r>
          </w:p>
        </w:tc>
        <w:tc>
          <w:tcPr>
            <w:tcW w:w="4428" w:type="dxa"/>
          </w:tcPr>
          <w:p w14:paraId="3F8405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160 м (13 сек)</w:t>
            </w:r>
          </w:p>
        </w:tc>
      </w:tr>
      <w:tr w:rsidR="00E3599D" w:rsidRPr="00E14102" w14:paraId="3C66B79C" w14:textId="77777777">
        <w:tc>
          <w:tcPr>
            <w:tcW w:w="4428" w:type="dxa"/>
            <w:tcBorders>
              <w:bottom w:val="single" w:sz="12" w:space="0" w:color="auto"/>
            </w:tcBorders>
          </w:tcPr>
          <w:p w14:paraId="1721B8B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Техническая дальность самолета на крейсерской скорости 190 км/час (у земли)</w:t>
            </w:r>
          </w:p>
        </w:tc>
        <w:tc>
          <w:tcPr>
            <w:tcW w:w="4428" w:type="dxa"/>
            <w:tcBorders>
              <w:bottom w:val="single" w:sz="12" w:space="0" w:color="auto"/>
            </w:tcBorders>
          </w:tcPr>
          <w:p w14:paraId="03B7C7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670 км</w:t>
            </w:r>
          </w:p>
        </w:tc>
      </w:tr>
    </w:tbl>
    <w:p w14:paraId="4B9EAA3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 Самолет имеет хорошую маневренность: минимальное время виража 9 сек. ………………..</w:t>
      </w:r>
    </w:p>
    <w:p w14:paraId="20F427C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хорошо штопорит, выходит из штопора при нейтральных рулях, без запаздывания после любого количества витков. ………………..</w:t>
      </w:r>
    </w:p>
    <w:p w14:paraId="51A7523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статически устойчив в продольном и поперечном отношении.</w:t>
      </w:r>
    </w:p>
    <w:p w14:paraId="1B0AD0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 время испытаний сделано 233 посадки, общий налет – 33 час. 55 мин.</w:t>
      </w:r>
    </w:p>
    <w:p w14:paraId="08EF2AE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начато 21 октября 1936 года.</w:t>
      </w:r>
    </w:p>
    <w:p w14:paraId="5A4EBC6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окончено 5 ноября 1936 года.</w:t>
      </w:r>
    </w:p>
    <w:p w14:paraId="199EDA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находился на испытании 17 дней, из них летных дней – 15.</w:t>
      </w:r>
    </w:p>
    <w:p w14:paraId="7E397EC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EC0E85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Самолет АИР-14 с мотором М-11 может быть рекомендован для серийного производства как хороший самолет в качестве:</w:t>
      </w:r>
    </w:p>
    <w:p w14:paraId="499E21D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 тренировочного самолета для истребительных частей ВВС;</w:t>
      </w:r>
    </w:p>
    <w:p w14:paraId="528596B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 тренировочного самолета для летных школ и аэроклубов (6731).</w:t>
      </w:r>
    </w:p>
    <w:p w14:paraId="69F3C13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74974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ноября 1935 года нарком обороны К. Ворошилов писал письмо № 376378ссо председателю СТО Молотову</w:t>
      </w:r>
    </w:p>
    <w:p w14:paraId="681145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ГУАПа Королев в своем объяснении по письму комиссий партийного и советского контроля о выполнении программы самолето- и моторостроения в 1935 году отмечает ряд крупных достижений авиапромышленности.</w:t>
      </w:r>
    </w:p>
    <w:p w14:paraId="79AD48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на сегодняшний день положение таково, что воздушные силы не получили и не получат в 1935 году необходимых для перевооружения частей ВС основных типов боевых самолетов, а именно: ТБ3 с М34РН, СБ, РС, ИП. По этим машинам утвержденная Правительством программа выпуска сорвана (см. приложение № 1).</w:t>
      </w:r>
    </w:p>
    <w:p w14:paraId="07D215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Недопустимое состояние серийной постройки новых самолетов объясняется рядом причин, из которых главнейшими являются:</w:t>
      </w:r>
    </w:p>
    <w:p w14:paraId="219035E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Поверхностный подход к проектированию и постройке образцов, усугубляемый слабостью научно-исследовательской базы.</w:t>
      </w:r>
    </w:p>
    <w:p w14:paraId="3470CDA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Плохая и крайне медленная работа заводов по доводке самолетов и устранению выявленных дефектов.</w:t>
      </w:r>
    </w:p>
    <w:p w14:paraId="668EB81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Постоянный срыв установленных Правительством сроков готовности образцов.</w:t>
      </w:r>
    </w:p>
    <w:p w14:paraId="0C383EB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lastRenderedPageBreak/>
        <w:t>Крупнейшие недочеты руководства со стороны ГУАПа и большинства директоров заводов (особенно самолетных), не умеющих сосредоточить внимание и силы на главнейших задачах и организовать взаимную техническую помощь руководимым предприятиям.</w:t>
      </w:r>
    </w:p>
    <w:p w14:paraId="64C9CF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 что указанные причины являются основными, с очевидностью вытекает из анализа работы Авиапромышленности.</w:t>
      </w:r>
    </w:p>
    <w:p w14:paraId="2D3BEB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Самолетостроение</w:t>
      </w:r>
    </w:p>
    <w:p w14:paraId="6EB463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Истребители</w:t>
      </w:r>
    </w:p>
    <w:p w14:paraId="195A1E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Утверждение начальника ГУАПа о том, что 2-3 года тому назад работники ВС недооценивали истребительную авиацию ничем не обосновано.</w:t>
      </w:r>
    </w:p>
    <w:p w14:paraId="3148A8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 безусловно, заинтересованы в серийной постройке не только современного скоростного, но и маневренного истребителя. Однако, в настоящее время нет образца, по которому можно было бы дать заказ на 1936 год.</w:t>
      </w:r>
    </w:p>
    <w:p w14:paraId="4B8318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И15-М25 прошел первый этап госиспытаний в конце декабря 1933 года. Еще тогда было отмечено рыскание самолета на больших скоростях, а в апреле 1934 года было указано, что причиной этого серьезного дефекта является схема верхнего крыла в виде чайки.</w:t>
      </w:r>
    </w:p>
    <w:p w14:paraId="7F3D94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завод № 39 настолько медленно работал над ИП с нормальным центропланом, что НКО вынужден был заказать И15-М25 в 1934 и 1935 годах с этим крупным дефектом.</w:t>
      </w:r>
    </w:p>
    <w:p w14:paraId="786539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Уже с начала 1935 года было очевидно, что для 1936 года летные данные И15-М25 низки и даже перекрываются данными двухместного истребителя ДИ6-М25 постройки того же завода № 39.</w:t>
      </w:r>
    </w:p>
    <w:p w14:paraId="5E4D2C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 изготовляющий серии самолетов И15, к работе по постройке нового модифицированного образца не приступил, в результате чего на сегодняшний день отсутствует приемлемый для заказа на 1936 год маневренный истребитель. К тому же серийные самолеты И15-М25 при эксплуатации в частях оказались недостаточно прочными: у них ломаются почти все основные агрегаты (срыв обшивки и поломка носков крыльев, поломка шасси, разрыв распорной трубы 1-й рамы фюзеляжа, поломка стабилизатора в воздухе, поломка моторных рам).</w:t>
      </w:r>
    </w:p>
    <w:p w14:paraId="51C0A7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Ярким показателем поверхностного, ненаучного подхода к проектированию самолетов является тот факт, что статические испытания стабилизатора И15-М25 были сделаны не в 1933 году, когда строился самолет, а в 1935 году, после поломки трех стабилизаторов воздухе.</w:t>
      </w:r>
    </w:p>
    <w:p w14:paraId="66EAD1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итоге, из-за такой работы промышленности И15-М25 доведен до полной дискредитации.</w:t>
      </w:r>
    </w:p>
    <w:p w14:paraId="5979E6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самолетам И16 положение далеко не так благоприятно, как это хочет показать Королев.</w:t>
      </w:r>
    </w:p>
    <w:p w14:paraId="348DDA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Эти самолеты имеют ряд дефектов: в частности, задымление кабины, приводящее к угаранию летного состава, поломка деталей подъемного механизма шасси и крепления капотов. Выпуск самолетов ИП-1 М-25, строящихся на заводе № 135, полностью срывается, так как в результате стрельб выяснилась необходимость коренного усиления оперения, разрушаемого газами от пушек АПК. Переход же на вариант самолета ИП1 с 6-ю пулеметами ШКАС до настоящего времени не осуществлен.</w:t>
      </w:r>
    </w:p>
    <w:p w14:paraId="410C09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 И14-М25 не имеют необходимого запаса прочности: при постройке опытного самолета, статических испытаний крыла произведено не было, а теперь ряд статиспытаний крыльев И-14 показал прочность 9,6, вместо 11,5, что для истребителя является совершенно недопустимым.</w:t>
      </w:r>
    </w:p>
    <w:p w14:paraId="05D272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госиспытания И17-М100 дважды откладывался. Он не выдержан и в настоящее время. Самолет все еще находится на заводских испытаниях и по данным последних потребует очень длительной доводки, если не будет совершенно безнадежным для внедрения в серийное производство из-за тесноты кабины, неудовлетворительной работы шасси и ряда других дефектов.</w:t>
      </w:r>
    </w:p>
    <w:p w14:paraId="758D61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итоге – вооружение истребительной авиации базируется по существу только на И16, с рядом неустраненных еще дефектов.</w:t>
      </w:r>
    </w:p>
    <w:p w14:paraId="4BD1F9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Разведчики</w:t>
      </w:r>
    </w:p>
    <w:p w14:paraId="514E6D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 выпустил в воздух Р-ЗЕТ в марте 1935 года, но лишь в начале июня предъявил его на испытания с большим количеством дефектов.</w:t>
      </w:r>
    </w:p>
    <w:p w14:paraId="48CCC3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настоящего времени самолет для поверки устранения дефектов на повторные испытания ( с августа) не предъявлен.</w:t>
      </w:r>
    </w:p>
    <w:p w14:paraId="727083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Исключительно тяжелым является опоздание такого важного объекта как скоростной разведчик завода № 39.</w:t>
      </w:r>
    </w:p>
    <w:p w14:paraId="6177A3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Этот самолет должен был быть предъявлен на госиспытания 1 сентября 1935 года. Однако, несмотря на то. Что 19 июля 1935 года решением СТО самолет был признан ударным, он в настоящее время лишь заканчивается постройкой. И, хотя ГУАП сам признает нашу отсталость по разведчикам, однако, ни он, ни завод № 39 не принимают конкретных шагов по форсированию постройки этого образца.</w:t>
      </w:r>
    </w:p>
    <w:p w14:paraId="45D91B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Бомбардировщики</w:t>
      </w:r>
    </w:p>
    <w:p w14:paraId="34F5A5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Пренебрежение к серьезной доводке самолета наиболее характерно выявилось на примере самолета СБ-2м100. В результате госиспытаний в феврале 1935 года был отмечен ряд серьезных дефектов. Вместо того, чтобы приступить к решительному их устранению, ЦАГИ ограничился полумерами и предъявил вторично самолет на госиспытания в июле с неустраненными, ранее отмеченными дефектами.</w:t>
      </w:r>
    </w:p>
    <w:p w14:paraId="4ECBE9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Лишь после особого постановления СТО, ЦАГИ серьезно занялся доводкой самолета и предъявил его в третий раз на госиспытания в сентябре, на этот раз существенно улучшив конструкцию.</w:t>
      </w:r>
    </w:p>
    <w:p w14:paraId="7FC50F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Аналогично, недопустимо медленной оказалась работа завода № 22 по установке и доводке самолета ТБ3-М34РН, благодаря чему лишь в настоящее время закончены госиспытания самолета, который должен быть построен в текущем году заводом в количестве 130. Таким образом, ценнейшая для тяжелой авиации машина в текущем году на вооружение не поступает; на образце же выявлены десятки крупных дефектов, не только затрудняющих эксплуатацию, но и угрожающих безопасности полета (выбрасывание масла, течь бензина, плохая проводка обслуживающих моторы систем и т.д.).</w:t>
      </w:r>
    </w:p>
    <w:p w14:paraId="45F60B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Только слабым руководством завода № 22 и ГУАпа может быть объяснен тот факт, что новый самолет завода № 22 ДБ-240 4М34РН (машина "А"), построенный в течение трех месяцев и совершивший первый полет в начале мая – до настоящего времени на госиспытания не предъявлен, несмотря на то, что срок, установленный Правительством (1 сентября 1935 года) – давно прошел.</w:t>
      </w:r>
    </w:p>
    <w:p w14:paraId="0B326F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Полученные от завода № 22 самолеты ТБ3 с М34-Р непрерывно болеют в строевых частях слабостью подмоторных рам и хвостовой части фюзеляжа.</w:t>
      </w:r>
    </w:p>
    <w:p w14:paraId="28F088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Гидросамолеты</w:t>
      </w:r>
    </w:p>
    <w:p w14:paraId="2EAB55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Невыполнение программы по самолетам МДР4-3М34Р в значительной степени объясняется тем, что ЦАГИ не сумел довести и обеспечить необходимую прочность гидросамолету, терпевшему дважды катастрофы.</w:t>
      </w:r>
    </w:p>
    <w:p w14:paraId="7DEFD5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Положение с гидросамолетами и на 1936 год остается исключительно тяжелым, так как новый образец ближнего разведчика МБР5-М25 – до настоящего времени на госиспытания не предъявлен, несмотря на то, что срок предъявления истек 1 августа 1935 года; постройка же головной серии МДР4 чрезвычайно затянулась и будущий год не подготовлено испытанного, законченного образца этой машины с М-34 РН.</w:t>
      </w:r>
    </w:p>
    <w:p w14:paraId="74D5B9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Общий вывод</w:t>
      </w:r>
    </w:p>
    <w:p w14:paraId="462D7F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Неудовлетворительная работа авиапромышленности по выпуску серийных самолетов является логическим следствием невыполнения по качествам и сроку плана опытного самолетостроения.</w:t>
      </w:r>
    </w:p>
    <w:p w14:paraId="5A7802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Несмотря на то, что сроки выхода на госиспытания опытных самолетов в плане, утвержденном СТО 16 апреля 1935 года, были назначены самой промышленностью, они и в настоящее время по всем объектам, сроки которым окончились – сорваны, как это видно из приложения № 2.</w:t>
      </w:r>
    </w:p>
    <w:p w14:paraId="490BC9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Невыпуск в срок к настоящему времени 14-ти опытных самолетов (по системе ГУАПа), неминуемо отразится на серийной постройке самолетов в 1936 году, в частности особенно больно по разведчикам, гидросамолетам и тяжелым бомбардировщикам.</w:t>
      </w:r>
    </w:p>
    <w:p w14:paraId="643054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Моторостроение</w:t>
      </w:r>
    </w:p>
    <w:p w14:paraId="2D2883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 М-34</w:t>
      </w:r>
    </w:p>
    <w:p w14:paraId="064333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 должен был предъявить на госиспытания М34 ФРН 1 сентября 1935 года; предъявил же он с опозданием на 2 месяца, причем мотор госиспытаний не прошел.</w:t>
      </w:r>
    </w:p>
    <w:p w14:paraId="5B0CB4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мотора М34ФРН в его теперешнем конструктивном оформлении необходимо переделать систему карбюрации (перенести внутрь развала мотора), нагнетатель, регулятор давления, что потребует не менее полугода. Неясен вопрос со свечами, поршневыми кольцами и др. деталями, которые еще недостаточно проверены. Также недостаточно проверена равнопрочность таких деталей, как коленчатый вал и картер.</w:t>
      </w:r>
    </w:p>
    <w:p w14:paraId="116A12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итоге – на сегодня мотор М34ФРН для серийного производства еще не подготовлен, имеет ряд крупных дефектов и пока не обладает достаточной надежностью – до переборки может работать не более 50 часов. Благодаря большому литражу (46 литров) – этот мотор, безусловно, легче поддается форсажу, чем другие моторы, у которых резервы использованы больше, чем у М34.</w:t>
      </w:r>
    </w:p>
    <w:p w14:paraId="2D536E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необходимо отметить, что до сего времени на серийном моторе М34РН не ликвидирован его основной дефект – конденсат топлива в системе выпуска и в нагнетателе при работе мотора на малых оборотах при низкой температуре (начиная от 0 и ниже). Об этом в записке Королева ничего не сказано, а этот дефект пока что механически перенесен на форсированный мотор.</w:t>
      </w:r>
    </w:p>
    <w:p w14:paraId="74CE3C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всех этих минусах, тем не менее моторы семейства М-34 обещают нам очень многое. При дальнейшем форсаже мотора с него снимали мощности до 1680 л.с., но в продолжении от 20 до 40 минут.</w:t>
      </w:r>
    </w:p>
    <w:p w14:paraId="26F339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Что касается программы завода № 24, о которой Королев пишет, что она "должна быть выполнена" – следует твердо сказать, что она вряд ли поднимется выше 75% плана и НКО не дополучит около 400 моторов.</w:t>
      </w:r>
    </w:p>
    <w:p w14:paraId="5BF60A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М-100</w:t>
      </w:r>
    </w:p>
    <w:p w14:paraId="08FD17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Ссылка Королева на конструктивную недоработку Испано-Сюиза, вследствие чего, якобы не будет выполнена программа по М-100 – неверна.</w:t>
      </w:r>
    </w:p>
    <w:p w14:paraId="70833A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Основными препятствиями, которые затормозили внедрение М-100 являются:</w:t>
      </w:r>
    </w:p>
    <w:p w14:paraId="75630A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низкое качество литья, которое сегодня держит завод;</w:t>
      </w:r>
    </w:p>
    <w:p w14:paraId="73896A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отступления от французской технологии;</w:t>
      </w:r>
    </w:p>
    <w:p w14:paraId="79C6FB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отступления от чертежей.</w:t>
      </w:r>
    </w:p>
    <w:p w14:paraId="61B1F3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количественном отношении программа по выпуску моторов М-100 будет значительно ниже и цифра – 500 моторов, названная Королевым – нереальна.</w:t>
      </w:r>
    </w:p>
    <w:p w14:paraId="02DAB6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1 ноября завод № 26 сдал только 59 моторов, из них 27 моторов из французских деталей. Поэтому, в лучшем случае, можно рассчитывать на получение до конца года не более 300 моторов.</w:t>
      </w:r>
    </w:p>
    <w:p w14:paraId="1B90AE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М-25</w:t>
      </w:r>
    </w:p>
    <w:p w14:paraId="18962C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Этот мотор на заводе № 19 (Пермь) действительно пошел хорошо и в количественном и в качественном отношении; этот пример говорит о том, что наши авиационные заводы обладают очень большой мощностью и при наличии твердого, умелого руководства, что имеет место в данном случае, могут быстро осваивать и давать ВС высококачественную продукцию.</w:t>
      </w:r>
    </w:p>
    <w:p w14:paraId="542C8C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Годовая программа – 600 моторов заводом № 19 будет выполнена целиком.</w:t>
      </w:r>
    </w:p>
    <w:p w14:paraId="4C0DA7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 М-85 и М-75</w:t>
      </w:r>
    </w:p>
    <w:p w14:paraId="42D541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М-85 был поставлен на госиспытания, но испытания признаны неудовлетворительными, вследствие прогара поршня десятого цилиндра на 46-м часу работы мотора, выкрашивания баббита на втулке заднего главного шатуна и растрескивания баббитового слоя на переднем главном шатуне.</w:t>
      </w:r>
    </w:p>
    <w:p w14:paraId="0A3CA9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перебирает мотор, заменяет дефектные детали с целью вторичного предъявления на 100-часовое госиспытание.</w:t>
      </w:r>
    </w:p>
    <w:p w14:paraId="543B98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М-75 – предназначенный на заводские испытания, прошел проработку, разобран, осмотрен и собирается на заводское испытание.</w:t>
      </w:r>
    </w:p>
    <w:p w14:paraId="0D6890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Состояние сборки и сдачи моторов на 1 ноября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1559"/>
        <w:gridCol w:w="1559"/>
        <w:gridCol w:w="1560"/>
        <w:gridCol w:w="1842"/>
      </w:tblGrid>
      <w:tr w:rsidR="00E3599D" w:rsidRPr="00E14102" w14:paraId="0DFE86AE" w14:textId="77777777">
        <w:trPr>
          <w:cantSplit/>
          <w:trHeight w:val="94"/>
        </w:trPr>
        <w:tc>
          <w:tcPr>
            <w:tcW w:w="3227" w:type="dxa"/>
          </w:tcPr>
          <w:p w14:paraId="7F779F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мест нахождения</w:t>
            </w:r>
          </w:p>
        </w:tc>
        <w:tc>
          <w:tcPr>
            <w:tcW w:w="3118" w:type="dxa"/>
            <w:gridSpan w:val="2"/>
          </w:tcPr>
          <w:p w14:paraId="2B3839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М-75</w:t>
            </w:r>
          </w:p>
        </w:tc>
        <w:tc>
          <w:tcPr>
            <w:tcW w:w="3402" w:type="dxa"/>
            <w:gridSpan w:val="2"/>
          </w:tcPr>
          <w:p w14:paraId="26FB33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М-85</w:t>
            </w:r>
          </w:p>
        </w:tc>
      </w:tr>
      <w:tr w:rsidR="00E3599D" w:rsidRPr="00E14102" w14:paraId="4F3C92C9" w14:textId="77777777">
        <w:trPr>
          <w:cantSplit/>
          <w:trHeight w:val="94"/>
        </w:trPr>
        <w:tc>
          <w:tcPr>
            <w:tcW w:w="3227" w:type="dxa"/>
          </w:tcPr>
          <w:p w14:paraId="788180D2" w14:textId="77777777" w:rsidR="00D4105E" w:rsidRPr="00E14102" w:rsidRDefault="00D4105E" w:rsidP="00E14102">
            <w:pPr>
              <w:autoSpaceDE w:val="0"/>
              <w:autoSpaceDN w:val="0"/>
              <w:adjustRightInd w:val="0"/>
              <w:jc w:val="both"/>
              <w:rPr>
                <w:color w:val="000000" w:themeColor="text1"/>
                <w:sz w:val="16"/>
                <w:szCs w:val="16"/>
              </w:rPr>
            </w:pPr>
          </w:p>
        </w:tc>
        <w:tc>
          <w:tcPr>
            <w:tcW w:w="1559" w:type="dxa"/>
          </w:tcPr>
          <w:p w14:paraId="1B3800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Детали завода № 29</w:t>
            </w:r>
          </w:p>
        </w:tc>
        <w:tc>
          <w:tcPr>
            <w:tcW w:w="1559" w:type="dxa"/>
          </w:tcPr>
          <w:p w14:paraId="4E7E1D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Французские детали</w:t>
            </w:r>
          </w:p>
        </w:tc>
        <w:tc>
          <w:tcPr>
            <w:tcW w:w="1560" w:type="dxa"/>
          </w:tcPr>
          <w:p w14:paraId="5738C3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Детали завода № 29</w:t>
            </w:r>
          </w:p>
        </w:tc>
        <w:tc>
          <w:tcPr>
            <w:tcW w:w="1842" w:type="dxa"/>
          </w:tcPr>
          <w:p w14:paraId="37BFAC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Французские детали</w:t>
            </w:r>
          </w:p>
        </w:tc>
      </w:tr>
      <w:tr w:rsidR="00E3599D" w:rsidRPr="00E14102" w14:paraId="7524B62F" w14:textId="77777777">
        <w:trPr>
          <w:cantSplit/>
          <w:trHeight w:val="94"/>
        </w:trPr>
        <w:tc>
          <w:tcPr>
            <w:tcW w:w="3227" w:type="dxa"/>
          </w:tcPr>
          <w:p w14:paraId="61D806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Находится в сборке</w:t>
            </w:r>
          </w:p>
        </w:tc>
        <w:tc>
          <w:tcPr>
            <w:tcW w:w="1559" w:type="dxa"/>
          </w:tcPr>
          <w:p w14:paraId="377C7D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1559" w:type="dxa"/>
          </w:tcPr>
          <w:p w14:paraId="3DE312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560" w:type="dxa"/>
          </w:tcPr>
          <w:p w14:paraId="4B4433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1842" w:type="dxa"/>
          </w:tcPr>
          <w:p w14:paraId="127D8A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40E2C79E" w14:textId="77777777">
        <w:trPr>
          <w:cantSplit/>
          <w:trHeight w:val="94"/>
        </w:trPr>
        <w:tc>
          <w:tcPr>
            <w:tcW w:w="3227" w:type="dxa"/>
          </w:tcPr>
          <w:p w14:paraId="1C6E17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Собрано</w:t>
            </w:r>
          </w:p>
        </w:tc>
        <w:tc>
          <w:tcPr>
            <w:tcW w:w="1559" w:type="dxa"/>
          </w:tcPr>
          <w:p w14:paraId="467AB9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559" w:type="dxa"/>
          </w:tcPr>
          <w:p w14:paraId="6D3826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560" w:type="dxa"/>
          </w:tcPr>
          <w:p w14:paraId="1E3B1A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w:t>
            </w:r>
          </w:p>
        </w:tc>
        <w:tc>
          <w:tcPr>
            <w:tcW w:w="1842" w:type="dxa"/>
          </w:tcPr>
          <w:p w14:paraId="5C804B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r>
      <w:tr w:rsidR="00E3599D" w:rsidRPr="00E14102" w14:paraId="0C160695" w14:textId="77777777">
        <w:trPr>
          <w:cantSplit/>
          <w:trHeight w:val="94"/>
        </w:trPr>
        <w:tc>
          <w:tcPr>
            <w:tcW w:w="3227" w:type="dxa"/>
          </w:tcPr>
          <w:p w14:paraId="5710C7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Прошли 3-х часовые испытания</w:t>
            </w:r>
          </w:p>
        </w:tc>
        <w:tc>
          <w:tcPr>
            <w:tcW w:w="1559" w:type="dxa"/>
          </w:tcPr>
          <w:p w14:paraId="39C612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559" w:type="dxa"/>
          </w:tcPr>
          <w:p w14:paraId="7EB4EB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560" w:type="dxa"/>
          </w:tcPr>
          <w:p w14:paraId="7DB381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w:t>
            </w:r>
          </w:p>
        </w:tc>
        <w:tc>
          <w:tcPr>
            <w:tcW w:w="1842" w:type="dxa"/>
          </w:tcPr>
          <w:p w14:paraId="6A8F07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r>
      <w:tr w:rsidR="00E3599D" w:rsidRPr="00E14102" w14:paraId="52176C1D" w14:textId="77777777">
        <w:trPr>
          <w:cantSplit/>
          <w:trHeight w:val="94"/>
        </w:trPr>
        <w:tc>
          <w:tcPr>
            <w:tcW w:w="3227" w:type="dxa"/>
          </w:tcPr>
          <w:p w14:paraId="44073D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переборке</w:t>
            </w:r>
          </w:p>
        </w:tc>
        <w:tc>
          <w:tcPr>
            <w:tcW w:w="1559" w:type="dxa"/>
          </w:tcPr>
          <w:p w14:paraId="64DF5E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559" w:type="dxa"/>
          </w:tcPr>
          <w:p w14:paraId="683DFC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560" w:type="dxa"/>
          </w:tcPr>
          <w:p w14:paraId="2D0A26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842" w:type="dxa"/>
          </w:tcPr>
          <w:p w14:paraId="7965D1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7E64A8DF" w14:textId="77777777">
        <w:trPr>
          <w:cantSplit/>
          <w:trHeight w:val="94"/>
        </w:trPr>
        <w:tc>
          <w:tcPr>
            <w:tcW w:w="3227" w:type="dxa"/>
          </w:tcPr>
          <w:p w14:paraId="679B85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Прошли контрольные испытания</w:t>
            </w:r>
          </w:p>
        </w:tc>
        <w:tc>
          <w:tcPr>
            <w:tcW w:w="1559" w:type="dxa"/>
          </w:tcPr>
          <w:p w14:paraId="546142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559" w:type="dxa"/>
          </w:tcPr>
          <w:p w14:paraId="323F50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560" w:type="dxa"/>
          </w:tcPr>
          <w:p w14:paraId="41FA82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842" w:type="dxa"/>
          </w:tcPr>
          <w:p w14:paraId="4266D7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48380727" w14:textId="77777777">
        <w:trPr>
          <w:cantSplit/>
          <w:trHeight w:val="94"/>
        </w:trPr>
        <w:tc>
          <w:tcPr>
            <w:tcW w:w="3227" w:type="dxa"/>
          </w:tcPr>
          <w:p w14:paraId="76AF7F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испытательной станции</w:t>
            </w:r>
          </w:p>
        </w:tc>
        <w:tc>
          <w:tcPr>
            <w:tcW w:w="1559" w:type="dxa"/>
          </w:tcPr>
          <w:p w14:paraId="45BB41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559" w:type="dxa"/>
          </w:tcPr>
          <w:p w14:paraId="3BCD54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560" w:type="dxa"/>
          </w:tcPr>
          <w:p w14:paraId="4F1F1E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42" w:type="dxa"/>
          </w:tcPr>
          <w:p w14:paraId="77E932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72B4C6B4" w14:textId="77777777">
        <w:trPr>
          <w:cantSplit/>
          <w:trHeight w:val="94"/>
        </w:trPr>
        <w:tc>
          <w:tcPr>
            <w:tcW w:w="3227" w:type="dxa"/>
          </w:tcPr>
          <w:p w14:paraId="28772C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Отправлено</w:t>
            </w:r>
          </w:p>
        </w:tc>
        <w:tc>
          <w:tcPr>
            <w:tcW w:w="1559" w:type="dxa"/>
          </w:tcPr>
          <w:p w14:paraId="7EE864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559" w:type="dxa"/>
          </w:tcPr>
          <w:p w14:paraId="345F45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560" w:type="dxa"/>
          </w:tcPr>
          <w:p w14:paraId="460ACF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842" w:type="dxa"/>
          </w:tcPr>
          <w:p w14:paraId="27BF58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r>
    </w:tbl>
    <w:p w14:paraId="1C37CB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Сборка новых моторов М-75 и М-85 идет неудовлетворительно, основная причина – плохая работа механического цеха № 1, изготовляющего крупные детали.</w:t>
      </w:r>
    </w:p>
    <w:p w14:paraId="237555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сборки не хватает цилиндров, шестерен для сборки нагнетателей, кондиционных поршневых колец и деталей распределительного механизма и задних крышек.</w:t>
      </w:r>
    </w:p>
    <w:p w14:paraId="6756C2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М-58</w:t>
      </w:r>
    </w:p>
    <w:p w14:paraId="0674F8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М58, предназначенный для госиспытания, на приработке потерпел аварию, срезало заклепки, крепящие кулачковую шайбу к диску, наблюдается также выкрашивание баббита на втулке главного шатуна, каковых явлений ранее не наблюдалось (3475,58-64).</w:t>
      </w:r>
    </w:p>
    <w:p w14:paraId="505EA29C" w14:textId="77777777" w:rsidR="00D4105E" w:rsidRPr="00E14102" w:rsidRDefault="00D4105E" w:rsidP="00E14102">
      <w:pPr>
        <w:autoSpaceDE w:val="0"/>
        <w:autoSpaceDN w:val="0"/>
        <w:adjustRightInd w:val="0"/>
        <w:jc w:val="both"/>
        <w:rPr>
          <w:color w:val="000000" w:themeColor="text1"/>
          <w:sz w:val="16"/>
          <w:szCs w:val="16"/>
        </w:rPr>
      </w:pPr>
    </w:p>
    <w:p w14:paraId="599118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ноября 1935 на заводе 22 были закончены испытаниям металлических винтов регулируемого в полете шага конструкции ЦИАМ на ТБ-3 4М-34РН N 22633, которые шли с 3 сентября 1935. Заключение: испытания винтов прекратить в связи с неисправностями в их механизме (2933).</w:t>
      </w:r>
    </w:p>
    <w:p w14:paraId="2E56B10E" w14:textId="77777777" w:rsidR="00D4105E" w:rsidRPr="00E14102" w:rsidRDefault="00D4105E" w:rsidP="00E14102">
      <w:pPr>
        <w:autoSpaceDE w:val="0"/>
        <w:autoSpaceDN w:val="0"/>
        <w:adjustRightInd w:val="0"/>
        <w:jc w:val="both"/>
        <w:rPr>
          <w:color w:val="000000" w:themeColor="text1"/>
          <w:sz w:val="16"/>
          <w:szCs w:val="16"/>
        </w:rPr>
      </w:pPr>
    </w:p>
    <w:p w14:paraId="4ED3397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11 ноября 1935 года письмо № 2180/ко в НКТП Орджоникидзе</w:t>
      </w:r>
    </w:p>
    <w:p w14:paraId="185103E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указанию Молотова направляю для рассмотрения в Вашей комиссии образованной решением КО от 11 ноября 1935 года следующие вопросы:</w:t>
      </w:r>
    </w:p>
    <w:p w14:paraId="770F245B"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О серийном производстве авиадизеля АН-1.</w:t>
      </w:r>
    </w:p>
    <w:p w14:paraId="1AF2B1CB"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О выпуске головной серии моторов РФН и ФН заводом № 24.</w:t>
      </w:r>
    </w:p>
    <w:p w14:paraId="6B9B809A"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Об изменении программы 1935 года по самолетам МДР-4.</w:t>
      </w:r>
    </w:p>
    <w:p w14:paraId="47A17534"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Об изменении программы 1935 года ……………(3475,194).</w:t>
      </w:r>
    </w:p>
    <w:p w14:paraId="181A1D0A"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p>
    <w:p w14:paraId="3CD8D79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ноября 1935 года вышел Приказ НИИ ВС № 0578 Об испытании крыльев системы конструктора Козловского (6815, 151).</w:t>
      </w:r>
    </w:p>
    <w:p w14:paraId="65D4406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AB6B8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 ноября 1935 было подготовлено:</w:t>
      </w:r>
    </w:p>
    <w:p w14:paraId="6ED9C2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Заключение комиссии по заводским испытаниям:</w:t>
      </w:r>
    </w:p>
    <w:p w14:paraId="3309E5F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Парашютные дистанционные автоматы — заводские испытания выдержали.</w:t>
      </w:r>
    </w:p>
    <w:p w14:paraId="1DC895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Передать П. Д. А. — на государственные испытания.</w:t>
      </w:r>
    </w:p>
    <w:p w14:paraId="33255F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 Фоменков.</w:t>
      </w:r>
    </w:p>
    <w:p w14:paraId="3BC9FA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w:t>
      </w:r>
    </w:p>
    <w:p w14:paraId="4E92C23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Ведущий инженер Малынич, Мастер параш, дела Шмидт. Инструктор п/дела Одинцов (2186).</w:t>
      </w:r>
    </w:p>
    <w:p w14:paraId="6F329F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Парашютный дистанционный автомат, — установленный на пара</w:t>
      </w:r>
      <w:r w:rsidRPr="00E14102">
        <w:rPr>
          <w:color w:val="000000" w:themeColor="text1"/>
          <w:sz w:val="16"/>
          <w:szCs w:val="16"/>
        </w:rPr>
        <w:softHyphen/>
        <w:t>шюте, служит для автоматического раскрытия его в течении времени от 5—25 сек. — по заданию.</w:t>
      </w:r>
    </w:p>
    <w:p w14:paraId="042025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Применение парашютного дистанционного автомата в ВС РКК'А,— обеспечивает безаварийное сбрасывание на парашютах, и при затяж</w:t>
      </w:r>
      <w:r w:rsidRPr="00E14102">
        <w:rPr>
          <w:color w:val="000000" w:themeColor="text1"/>
          <w:sz w:val="16"/>
          <w:szCs w:val="16"/>
        </w:rPr>
        <w:softHyphen/>
        <w:t>ных прыжках, а кроме того дает возможность производить сбрасыва</w:t>
      </w:r>
      <w:r w:rsidRPr="00E14102">
        <w:rPr>
          <w:color w:val="000000" w:themeColor="text1"/>
          <w:sz w:val="16"/>
          <w:szCs w:val="16"/>
        </w:rPr>
        <w:softHyphen/>
        <w:t>ние воздушно-десантных подразделений из др. родов войск, не имею</w:t>
      </w:r>
      <w:r w:rsidRPr="00E14102">
        <w:rPr>
          <w:color w:val="000000" w:themeColor="text1"/>
          <w:sz w:val="16"/>
          <w:szCs w:val="16"/>
        </w:rPr>
        <w:softHyphen/>
        <w:t>щих специальной парашютной подготовки.</w:t>
      </w:r>
    </w:p>
    <w:p w14:paraId="60472B4B" w14:textId="77777777" w:rsidR="00D4105E" w:rsidRPr="00E14102" w:rsidRDefault="00D4105E" w:rsidP="00E14102">
      <w:pPr>
        <w:autoSpaceDE w:val="0"/>
        <w:autoSpaceDN w:val="0"/>
        <w:adjustRightInd w:val="0"/>
        <w:jc w:val="both"/>
        <w:rPr>
          <w:iCs/>
          <w:color w:val="000000" w:themeColor="text1"/>
          <w:sz w:val="16"/>
          <w:szCs w:val="16"/>
        </w:rPr>
      </w:pPr>
    </w:p>
    <w:p w14:paraId="2554BE67" w14:textId="77777777" w:rsidR="009602A3"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F194D4F" w14:textId="77777777" w:rsidR="009602A3" w:rsidRPr="00E14102" w:rsidRDefault="009602A3" w:rsidP="00E14102">
      <w:pPr>
        <w:autoSpaceDE w:val="0"/>
        <w:autoSpaceDN w:val="0"/>
        <w:adjustRightInd w:val="0"/>
        <w:jc w:val="both"/>
        <w:rPr>
          <w:iCs/>
          <w:color w:val="000000" w:themeColor="text1"/>
          <w:sz w:val="16"/>
          <w:szCs w:val="16"/>
        </w:rPr>
      </w:pPr>
    </w:p>
    <w:p w14:paraId="48B7AC03" w14:textId="77777777" w:rsidR="00B27DAD" w:rsidRPr="00E14102" w:rsidRDefault="00B27DAD" w:rsidP="00E14102">
      <w:pPr>
        <w:jc w:val="both"/>
        <w:rPr>
          <w:color w:val="000000" w:themeColor="text1"/>
          <w:sz w:val="16"/>
          <w:szCs w:val="16"/>
        </w:rPr>
      </w:pPr>
      <w:r w:rsidRPr="00E14102">
        <w:rPr>
          <w:color w:val="000000" w:themeColor="text1"/>
          <w:sz w:val="16"/>
          <w:szCs w:val="16"/>
        </w:rPr>
        <w:t>11 ноября 1935 г. вышло Постановление СНК СССР № 2470 «О порядке опубликования сводок о валовой продукции промышленности. Этот документ запрещал опубликование сводок всем наркоматам и центральным учреждениям, кроме Центрального управления народного хозяйства Госплана. ЦУ НХ Госплана в свою очередь не публиковал сведения, относящиеся к оборонной тематике (19776).</w:t>
      </w:r>
    </w:p>
    <w:p w14:paraId="494EC089" w14:textId="77777777" w:rsidR="00B27DAD" w:rsidRPr="00E14102" w:rsidRDefault="00B27DAD" w:rsidP="00E14102">
      <w:pPr>
        <w:jc w:val="both"/>
        <w:rPr>
          <w:color w:val="000000" w:themeColor="text1"/>
          <w:sz w:val="16"/>
          <w:szCs w:val="16"/>
        </w:rPr>
      </w:pPr>
    </w:p>
    <w:p w14:paraId="6D3D329D" w14:textId="77777777" w:rsidR="009602A3" w:rsidRPr="00E14102" w:rsidRDefault="009602A3" w:rsidP="00E14102">
      <w:pPr>
        <w:pStyle w:val="a7"/>
        <w:rPr>
          <w:color w:val="000000" w:themeColor="text1"/>
          <w:sz w:val="16"/>
          <w:szCs w:val="16"/>
          <w:lang w:val="ru-RU"/>
        </w:rPr>
      </w:pPr>
      <w:r w:rsidRPr="00E14102">
        <w:rPr>
          <w:color w:val="000000" w:themeColor="text1"/>
          <w:sz w:val="16"/>
          <w:szCs w:val="16"/>
          <w:lang w:val="ru-RU"/>
        </w:rPr>
        <w:t>11 ноября 1935 г. в связи с изменением требований секретности к материалам</w:t>
      </w:r>
      <w:r w:rsidRPr="00E14102">
        <w:rPr>
          <w:rStyle w:val="90"/>
          <w:i w:val="0"/>
          <w:color w:val="000000" w:themeColor="text1"/>
          <w:sz w:val="16"/>
          <w:szCs w:val="16"/>
          <w:lang w:val="ru-RU"/>
        </w:rPr>
        <w:t xml:space="preserve"> откры</w:t>
      </w:r>
      <w:r w:rsidRPr="00E14102">
        <w:rPr>
          <w:color w:val="000000" w:themeColor="text1"/>
          <w:sz w:val="16"/>
          <w:szCs w:val="16"/>
          <w:lang w:val="ru-RU"/>
        </w:rPr>
        <w:t>той печати, освещавшим оборонные или мобилизационные</w:t>
      </w:r>
      <w:r w:rsidRPr="00E14102">
        <w:rPr>
          <w:rStyle w:val="94"/>
          <w:rFonts w:ascii="Times New Roman" w:hAnsi="Times New Roman" w:cs="Times New Roman"/>
          <w:b w:val="0"/>
          <w:color w:val="000000" w:themeColor="text1"/>
          <w:sz w:val="16"/>
          <w:szCs w:val="16"/>
          <w:lang w:val="ru-RU"/>
        </w:rPr>
        <w:t xml:space="preserve"> возможно</w:t>
      </w:r>
      <w:r w:rsidRPr="00E14102">
        <w:rPr>
          <w:rStyle w:val="94"/>
          <w:rFonts w:ascii="Times New Roman" w:hAnsi="Times New Roman" w:cs="Times New Roman"/>
          <w:b w:val="0"/>
          <w:color w:val="000000" w:themeColor="text1"/>
          <w:sz w:val="16"/>
          <w:szCs w:val="16"/>
          <w:lang w:val="ru-RU"/>
        </w:rPr>
        <w:softHyphen/>
      </w:r>
      <w:r w:rsidRPr="00E14102">
        <w:rPr>
          <w:color w:val="000000" w:themeColor="text1"/>
          <w:sz w:val="16"/>
          <w:szCs w:val="16"/>
          <w:lang w:val="ru-RU"/>
        </w:rPr>
        <w:t>сти страны, вышло Постановление</w:t>
      </w:r>
      <w:r w:rsidRPr="00E14102">
        <w:rPr>
          <w:rStyle w:val="94"/>
          <w:rFonts w:ascii="Times New Roman" w:hAnsi="Times New Roman" w:cs="Times New Roman"/>
          <w:b w:val="0"/>
          <w:color w:val="000000" w:themeColor="text1"/>
          <w:sz w:val="16"/>
          <w:szCs w:val="16"/>
          <w:lang w:val="ru-RU"/>
        </w:rPr>
        <w:t xml:space="preserve"> СНК СССР №2470 </w:t>
      </w:r>
      <w:r w:rsidRPr="00E14102">
        <w:rPr>
          <w:color w:val="000000" w:themeColor="text1"/>
          <w:sz w:val="16"/>
          <w:szCs w:val="16"/>
          <w:lang w:val="ru-RU"/>
        </w:rPr>
        <w:t>«О порядке опубликования</w:t>
      </w:r>
      <w:r w:rsidRPr="00E14102">
        <w:rPr>
          <w:rStyle w:val="5c"/>
          <w:rFonts w:ascii="Times New Roman" w:hAnsi="Times New Roman" w:cs="Times New Roman"/>
          <w:i w:val="0"/>
          <w:color w:val="000000" w:themeColor="text1"/>
          <w:sz w:val="16"/>
          <w:szCs w:val="16"/>
          <w:lang w:val="ru-RU"/>
        </w:rPr>
        <w:t xml:space="preserve"> сводок о</w:t>
      </w:r>
      <w:r w:rsidRPr="00E14102">
        <w:rPr>
          <w:color w:val="000000" w:themeColor="text1"/>
          <w:sz w:val="16"/>
          <w:szCs w:val="16"/>
          <w:lang w:val="ru-RU"/>
        </w:rPr>
        <w:t xml:space="preserve"> валовой</w:t>
      </w:r>
      <w:r w:rsidRPr="00E14102">
        <w:rPr>
          <w:rStyle w:val="5c"/>
          <w:rFonts w:ascii="Times New Roman" w:hAnsi="Times New Roman" w:cs="Times New Roman"/>
          <w:i w:val="0"/>
          <w:color w:val="000000" w:themeColor="text1"/>
          <w:sz w:val="16"/>
          <w:szCs w:val="16"/>
          <w:lang w:val="ru-RU"/>
        </w:rPr>
        <w:t xml:space="preserve"> продукции промышленно</w:t>
      </w:r>
      <w:r w:rsidRPr="00E14102">
        <w:rPr>
          <w:rStyle w:val="5c"/>
          <w:rFonts w:ascii="Times New Roman" w:hAnsi="Times New Roman" w:cs="Times New Roman"/>
          <w:i w:val="0"/>
          <w:color w:val="000000" w:themeColor="text1"/>
          <w:sz w:val="16"/>
          <w:szCs w:val="16"/>
          <w:lang w:val="ru-RU"/>
        </w:rPr>
        <w:softHyphen/>
        <w:t>сти».</w:t>
      </w:r>
      <w:r w:rsidRPr="00E14102">
        <w:rPr>
          <w:color w:val="000000" w:themeColor="text1"/>
          <w:sz w:val="16"/>
          <w:szCs w:val="16"/>
          <w:lang w:val="ru-RU"/>
        </w:rPr>
        <w:t xml:space="preserve"> Этот документ запрещал опубликование сводок всем</w:t>
      </w:r>
      <w:r w:rsidRPr="00E14102">
        <w:rPr>
          <w:rStyle w:val="94"/>
          <w:rFonts w:ascii="Times New Roman" w:hAnsi="Times New Roman" w:cs="Times New Roman"/>
          <w:b w:val="0"/>
          <w:color w:val="000000" w:themeColor="text1"/>
          <w:sz w:val="16"/>
          <w:szCs w:val="16"/>
          <w:lang w:val="ru-RU"/>
        </w:rPr>
        <w:t xml:space="preserve"> наркоматам </w:t>
      </w:r>
      <w:r w:rsidRPr="00E14102">
        <w:rPr>
          <w:color w:val="000000" w:themeColor="text1"/>
          <w:sz w:val="16"/>
          <w:szCs w:val="16"/>
          <w:lang w:val="ru-RU"/>
        </w:rPr>
        <w:t>и центральным учреждениям, кроме Центрального управления</w:t>
      </w:r>
      <w:r w:rsidRPr="00E14102">
        <w:rPr>
          <w:rStyle w:val="90"/>
          <w:i w:val="0"/>
          <w:color w:val="000000" w:themeColor="text1"/>
          <w:sz w:val="16"/>
          <w:szCs w:val="16"/>
          <w:lang w:val="ru-RU"/>
        </w:rPr>
        <w:t xml:space="preserve"> народ</w:t>
      </w:r>
      <w:r w:rsidRPr="00E14102">
        <w:rPr>
          <w:rStyle w:val="90"/>
          <w:i w:val="0"/>
          <w:color w:val="000000" w:themeColor="text1"/>
          <w:sz w:val="16"/>
          <w:szCs w:val="16"/>
          <w:lang w:val="ru-RU"/>
        </w:rPr>
        <w:softHyphen/>
      </w:r>
      <w:r w:rsidRPr="00E14102">
        <w:rPr>
          <w:color w:val="000000" w:themeColor="text1"/>
          <w:sz w:val="16"/>
          <w:szCs w:val="16"/>
          <w:lang w:val="ru-RU"/>
        </w:rPr>
        <w:t>ного хозяйства Госплана. ЦУ НХ Госплана, в свою очередь, не</w:t>
      </w:r>
      <w:r w:rsidRPr="00E14102">
        <w:rPr>
          <w:rStyle w:val="94"/>
          <w:rFonts w:ascii="Times New Roman" w:hAnsi="Times New Roman" w:cs="Times New Roman"/>
          <w:b w:val="0"/>
          <w:color w:val="000000" w:themeColor="text1"/>
          <w:sz w:val="16"/>
          <w:szCs w:val="16"/>
          <w:lang w:val="ru-RU"/>
        </w:rPr>
        <w:t xml:space="preserve"> размещая </w:t>
      </w:r>
      <w:r w:rsidRPr="00E14102">
        <w:rPr>
          <w:color w:val="000000" w:themeColor="text1"/>
          <w:sz w:val="16"/>
          <w:szCs w:val="16"/>
          <w:lang w:val="ru-RU"/>
        </w:rPr>
        <w:t>сведения, относящиеся к оборонной тематике. Поэтому,</w:t>
      </w:r>
      <w:r w:rsidRPr="00E14102">
        <w:rPr>
          <w:rStyle w:val="94"/>
          <w:rFonts w:ascii="Times New Roman" w:hAnsi="Times New Roman" w:cs="Times New Roman"/>
          <w:b w:val="0"/>
          <w:color w:val="000000" w:themeColor="text1"/>
          <w:sz w:val="16"/>
          <w:szCs w:val="16"/>
          <w:lang w:val="ru-RU"/>
        </w:rPr>
        <w:t xml:space="preserve"> в отличие</w:t>
      </w:r>
      <w:r w:rsidRPr="00E14102">
        <w:rPr>
          <w:color w:val="000000" w:themeColor="text1"/>
          <w:sz w:val="16"/>
          <w:szCs w:val="16"/>
          <w:lang w:val="ru-RU"/>
        </w:rPr>
        <w:t xml:space="preserve"> от первых опытных работ в Ижевске и Харькове, в открытой печати</w:t>
      </w:r>
      <w:r w:rsidRPr="00E14102">
        <w:rPr>
          <w:rStyle w:val="94"/>
          <w:rFonts w:ascii="Times New Roman" w:hAnsi="Times New Roman" w:cs="Times New Roman"/>
          <w:b w:val="0"/>
          <w:color w:val="000000" w:themeColor="text1"/>
          <w:sz w:val="16"/>
          <w:szCs w:val="16"/>
          <w:lang w:val="ru-RU"/>
        </w:rPr>
        <w:t xml:space="preserve"> сведе</w:t>
      </w:r>
      <w:r w:rsidRPr="00E14102">
        <w:rPr>
          <w:rStyle w:val="94"/>
          <w:rFonts w:ascii="Times New Roman" w:hAnsi="Times New Roman" w:cs="Times New Roman"/>
          <w:b w:val="0"/>
          <w:color w:val="000000" w:themeColor="text1"/>
          <w:sz w:val="16"/>
          <w:szCs w:val="16"/>
          <w:lang w:val="ru-RU"/>
        </w:rPr>
        <w:softHyphen/>
      </w:r>
      <w:r w:rsidRPr="00E14102">
        <w:rPr>
          <w:color w:val="000000" w:themeColor="text1"/>
          <w:sz w:val="16"/>
          <w:szCs w:val="16"/>
          <w:lang w:val="ru-RU"/>
        </w:rPr>
        <w:t>ния о конструкции перспективных тяжелых мотоциклов, объемах</w:t>
      </w:r>
      <w:r w:rsidRPr="00E14102">
        <w:rPr>
          <w:rStyle w:val="94"/>
          <w:rFonts w:ascii="Times New Roman" w:hAnsi="Times New Roman" w:cs="Times New Roman"/>
          <w:b w:val="0"/>
          <w:color w:val="000000" w:themeColor="text1"/>
          <w:sz w:val="16"/>
          <w:szCs w:val="16"/>
          <w:lang w:val="ru-RU"/>
        </w:rPr>
        <w:t xml:space="preserve"> их вы</w:t>
      </w:r>
      <w:r w:rsidRPr="00E14102">
        <w:rPr>
          <w:rStyle w:val="94"/>
          <w:rFonts w:ascii="Times New Roman" w:hAnsi="Times New Roman" w:cs="Times New Roman"/>
          <w:b w:val="0"/>
          <w:color w:val="000000" w:themeColor="text1"/>
          <w:sz w:val="16"/>
          <w:szCs w:val="16"/>
          <w:lang w:val="ru-RU"/>
        </w:rPr>
        <w:softHyphen/>
      </w:r>
      <w:r w:rsidRPr="00E14102">
        <w:rPr>
          <w:color w:val="000000" w:themeColor="text1"/>
          <w:sz w:val="16"/>
          <w:szCs w:val="16"/>
          <w:lang w:val="ru-RU"/>
        </w:rPr>
        <w:t>пуска либо не фигурировали вовсе, либо содержали лишь самую</w:t>
      </w:r>
      <w:r w:rsidRPr="00E14102">
        <w:rPr>
          <w:rStyle w:val="94"/>
          <w:rFonts w:ascii="Times New Roman" w:hAnsi="Times New Roman" w:cs="Times New Roman"/>
          <w:b w:val="0"/>
          <w:color w:val="000000" w:themeColor="text1"/>
          <w:sz w:val="16"/>
          <w:szCs w:val="16"/>
          <w:lang w:val="ru-RU"/>
        </w:rPr>
        <w:t xml:space="preserve"> общую </w:t>
      </w:r>
      <w:r w:rsidRPr="00E14102">
        <w:rPr>
          <w:color w:val="000000" w:themeColor="text1"/>
          <w:sz w:val="16"/>
          <w:szCs w:val="16"/>
          <w:lang w:val="ru-RU"/>
        </w:rPr>
        <w:t>и не всегда точную информацию (15753).</w:t>
      </w:r>
    </w:p>
    <w:p w14:paraId="5FCBB1FC" w14:textId="77777777" w:rsidR="009602A3" w:rsidRPr="00E14102" w:rsidRDefault="009602A3" w:rsidP="00E14102">
      <w:pPr>
        <w:pStyle w:val="a7"/>
        <w:rPr>
          <w:color w:val="000000" w:themeColor="text1"/>
          <w:sz w:val="16"/>
          <w:szCs w:val="16"/>
          <w:lang w:val="ru-RU"/>
        </w:rPr>
      </w:pPr>
    </w:p>
    <w:p w14:paraId="2478019E" w14:textId="77777777" w:rsidR="009602A3" w:rsidRPr="00E14102" w:rsidRDefault="009602A3" w:rsidP="00E14102">
      <w:pPr>
        <w:pStyle w:val="rtejustify"/>
        <w:spacing w:before="0" w:after="0"/>
        <w:rPr>
          <w:color w:val="000000" w:themeColor="text1"/>
          <w:sz w:val="16"/>
          <w:szCs w:val="16"/>
        </w:rPr>
      </w:pPr>
      <w:r w:rsidRPr="00E14102">
        <w:rPr>
          <w:rStyle w:val="a6"/>
          <w:bCs/>
          <w:i w:val="0"/>
          <w:color w:val="000000" w:themeColor="text1"/>
          <w:sz w:val="16"/>
          <w:szCs w:val="16"/>
        </w:rPr>
        <w:t>11 ноября 1935 вышел приказ НКО №</w:t>
      </w:r>
      <w:r w:rsidRPr="00E14102">
        <w:rPr>
          <w:color w:val="000000" w:themeColor="text1"/>
          <w:sz w:val="16"/>
          <w:szCs w:val="16"/>
        </w:rPr>
        <w:t> 0096. С объявлением конкурса на разработку автоматического прицела для 45</w:t>
      </w:r>
      <w:r w:rsidRPr="00E14102">
        <w:rPr>
          <w:color w:val="000000" w:themeColor="text1"/>
          <w:sz w:val="16"/>
          <w:szCs w:val="16"/>
        </w:rPr>
        <w:noBreakHyphen/>
        <w:t>мм и 37</w:t>
      </w:r>
      <w:r w:rsidRPr="00E14102">
        <w:rPr>
          <w:color w:val="000000" w:themeColor="text1"/>
          <w:sz w:val="16"/>
          <w:szCs w:val="16"/>
        </w:rPr>
        <w:noBreakHyphen/>
        <w:t>мм пушек (15247).</w:t>
      </w:r>
    </w:p>
    <w:p w14:paraId="2AE2C18C" w14:textId="77777777" w:rsidR="009602A3" w:rsidRPr="00E14102" w:rsidRDefault="009602A3" w:rsidP="00E14102">
      <w:pPr>
        <w:pStyle w:val="rtejustify"/>
        <w:spacing w:before="0" w:after="0"/>
        <w:rPr>
          <w:color w:val="000000" w:themeColor="text1"/>
          <w:sz w:val="16"/>
          <w:szCs w:val="16"/>
        </w:rPr>
      </w:pPr>
    </w:p>
    <w:p w14:paraId="5827E5B5" w14:textId="77777777" w:rsidR="009602A3" w:rsidRPr="00E14102" w:rsidRDefault="009602A3" w:rsidP="00E14102">
      <w:pPr>
        <w:pStyle w:val="rtejustify"/>
        <w:spacing w:before="0" w:after="0"/>
        <w:rPr>
          <w:color w:val="000000" w:themeColor="text1"/>
          <w:sz w:val="16"/>
          <w:szCs w:val="16"/>
        </w:rPr>
      </w:pPr>
      <w:r w:rsidRPr="00E14102">
        <w:rPr>
          <w:rStyle w:val="a6"/>
          <w:bCs/>
          <w:i w:val="0"/>
          <w:color w:val="000000" w:themeColor="text1"/>
          <w:sz w:val="16"/>
          <w:szCs w:val="16"/>
        </w:rPr>
        <w:t>11/13 ноября 1935 вышел приказ НКТП № 190с.</w:t>
      </w:r>
      <w:r w:rsidRPr="00E14102">
        <w:rPr>
          <w:color w:val="000000" w:themeColor="text1"/>
          <w:sz w:val="16"/>
          <w:szCs w:val="16"/>
        </w:rPr>
        <w:t xml:space="preserve"> О реконструкции завода «Комега». (РГАЭ. Ф. 7297. Оп. 38. Д. 171. Л. 296</w:t>
      </w:r>
      <w:r w:rsidRPr="00E14102">
        <w:rPr>
          <w:color w:val="000000" w:themeColor="text1"/>
          <w:sz w:val="16"/>
          <w:szCs w:val="16"/>
        </w:rPr>
        <w:noBreakHyphen/>
        <w:t>297) (15246).</w:t>
      </w:r>
    </w:p>
    <w:p w14:paraId="0DA44665" w14:textId="77777777" w:rsidR="009602A3" w:rsidRPr="00E14102" w:rsidRDefault="009602A3" w:rsidP="00E14102">
      <w:pPr>
        <w:pStyle w:val="rtejustify"/>
        <w:spacing w:before="0" w:after="0"/>
        <w:rPr>
          <w:color w:val="000000" w:themeColor="text1"/>
          <w:sz w:val="16"/>
          <w:szCs w:val="16"/>
        </w:rPr>
      </w:pPr>
    </w:p>
    <w:p w14:paraId="722D4AE8" w14:textId="77777777" w:rsidR="009602A3" w:rsidRPr="00E14102" w:rsidRDefault="009602A3" w:rsidP="00E14102">
      <w:pPr>
        <w:jc w:val="both"/>
        <w:rPr>
          <w:bCs/>
          <w:color w:val="000000" w:themeColor="text1"/>
          <w:sz w:val="16"/>
          <w:szCs w:val="16"/>
        </w:rPr>
      </w:pPr>
      <w:r w:rsidRPr="00E14102">
        <w:rPr>
          <w:rStyle w:val="ucoz-forum-post"/>
          <w:rFonts w:eastAsiaTheme="majorEastAsia"/>
          <w:bCs/>
          <w:color w:val="000000" w:themeColor="text1"/>
          <w:sz w:val="16"/>
          <w:szCs w:val="16"/>
        </w:rPr>
        <w:t xml:space="preserve">11 ноября </w:t>
      </w:r>
      <w:r w:rsidRPr="00E14102">
        <w:rPr>
          <w:color w:val="000000" w:themeColor="text1"/>
          <w:sz w:val="16"/>
          <w:szCs w:val="16"/>
        </w:rPr>
        <w:t>в 1935 году на горловском химическом заводе произходит взрыв, что послужит поводом для судебного процесса над "саботажниками" (14827).</w:t>
      </w:r>
    </w:p>
    <w:p w14:paraId="4E9FABA7" w14:textId="77777777" w:rsidR="009602A3" w:rsidRPr="00E14102" w:rsidRDefault="009602A3" w:rsidP="00E14102">
      <w:pPr>
        <w:jc w:val="both"/>
        <w:rPr>
          <w:color w:val="000000" w:themeColor="text1"/>
          <w:sz w:val="16"/>
          <w:szCs w:val="16"/>
        </w:rPr>
      </w:pPr>
    </w:p>
    <w:p w14:paraId="5E890BC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A965AB0" w14:textId="77777777" w:rsidR="00D4105E" w:rsidRPr="00E14102" w:rsidRDefault="00D4105E" w:rsidP="00E14102">
      <w:pPr>
        <w:autoSpaceDE w:val="0"/>
        <w:autoSpaceDN w:val="0"/>
        <w:adjustRightInd w:val="0"/>
        <w:jc w:val="both"/>
        <w:rPr>
          <w:iCs/>
          <w:color w:val="000000" w:themeColor="text1"/>
          <w:sz w:val="16"/>
          <w:szCs w:val="16"/>
        </w:rPr>
      </w:pPr>
    </w:p>
    <w:p w14:paraId="0521FA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ноября 1935 на горловском химическом заводе произошел взрыв, что послужило поводом для судебного процесса над “саботажниками” (4962).</w:t>
      </w:r>
    </w:p>
    <w:p w14:paraId="03812A6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D442E5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BB2D504" w14:textId="77777777" w:rsidR="00D4105E" w:rsidRPr="00E14102" w:rsidRDefault="00D4105E" w:rsidP="00E14102">
      <w:pPr>
        <w:autoSpaceDE w:val="0"/>
        <w:autoSpaceDN w:val="0"/>
        <w:adjustRightInd w:val="0"/>
        <w:jc w:val="both"/>
        <w:rPr>
          <w:iCs/>
          <w:color w:val="000000" w:themeColor="text1"/>
          <w:sz w:val="16"/>
          <w:szCs w:val="16"/>
        </w:rPr>
      </w:pPr>
    </w:p>
    <w:p w14:paraId="66A2B5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ноября 1935 американцы Albert Anderson и Orvil Andersen поднялись на стратостате на высоту 74 тыс. футов, установив мировой рекорд (2100).</w:t>
      </w:r>
    </w:p>
    <w:p w14:paraId="0B110876" w14:textId="77777777" w:rsidR="00D4105E" w:rsidRPr="00E14102" w:rsidRDefault="00D4105E" w:rsidP="00E14102">
      <w:pPr>
        <w:autoSpaceDE w:val="0"/>
        <w:autoSpaceDN w:val="0"/>
        <w:adjustRightInd w:val="0"/>
        <w:jc w:val="both"/>
        <w:rPr>
          <w:color w:val="000000" w:themeColor="text1"/>
          <w:sz w:val="16"/>
          <w:szCs w:val="16"/>
        </w:rPr>
      </w:pPr>
    </w:p>
    <w:p w14:paraId="3058319C" w14:textId="77777777" w:rsidR="00B40924" w:rsidRPr="00E14102" w:rsidRDefault="00B40924" w:rsidP="00E14102">
      <w:pPr>
        <w:jc w:val="both"/>
        <w:rPr>
          <w:color w:val="0070C0"/>
          <w:sz w:val="16"/>
          <w:szCs w:val="16"/>
        </w:rPr>
      </w:pPr>
      <w:r w:rsidRPr="00E14102">
        <w:rPr>
          <w:color w:val="0070C0"/>
          <w:sz w:val="16"/>
          <w:szCs w:val="16"/>
        </w:rPr>
        <w:t>11 ноября 1935 А. В. Стивенс и О. А. Андерсон установили новый рекорд высоты полета на воздушном шаре - 72 395 футов (22066 м) (20800).</w:t>
      </w:r>
    </w:p>
    <w:p w14:paraId="427407F6" w14:textId="77777777" w:rsidR="00B40924" w:rsidRPr="00E14102" w:rsidRDefault="00B40924" w:rsidP="00E14102">
      <w:pPr>
        <w:jc w:val="both"/>
        <w:rPr>
          <w:color w:val="0070C0"/>
          <w:sz w:val="16"/>
          <w:szCs w:val="16"/>
        </w:rPr>
      </w:pPr>
    </w:p>
    <w:p w14:paraId="78623D7C" w14:textId="77777777" w:rsidR="00B40924" w:rsidRPr="00E14102" w:rsidRDefault="00B40924" w:rsidP="00E14102">
      <w:pPr>
        <w:jc w:val="both"/>
        <w:rPr>
          <w:color w:val="0070C0"/>
          <w:sz w:val="16"/>
          <w:szCs w:val="16"/>
        </w:rPr>
      </w:pPr>
      <w:r w:rsidRPr="00E14102">
        <w:rPr>
          <w:color w:val="0070C0"/>
          <w:sz w:val="16"/>
          <w:szCs w:val="16"/>
        </w:rPr>
        <w:t>11–13 ноября 1935 Джин Баттен становится первой женщиной, перелетевшей в одиночку Южную Атлантику. За 2 дня 13 часов из Англии она переправится из Сенегала в Бразилию на «Персивальской чайке». Она также побила рекорд скорости на этом перелете на целый день (20800).</w:t>
      </w:r>
    </w:p>
    <w:p w14:paraId="6BDDA512" w14:textId="77777777" w:rsidR="00B40924" w:rsidRPr="00E14102" w:rsidRDefault="00B40924" w:rsidP="00E14102">
      <w:pPr>
        <w:jc w:val="both"/>
        <w:rPr>
          <w:color w:val="0070C0"/>
          <w:sz w:val="16"/>
          <w:szCs w:val="16"/>
        </w:rPr>
      </w:pPr>
    </w:p>
    <w:p w14:paraId="277E5C0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59D451F" w14:textId="77777777" w:rsidR="00D4105E" w:rsidRPr="00E14102" w:rsidRDefault="00D4105E" w:rsidP="00E14102">
      <w:pPr>
        <w:autoSpaceDE w:val="0"/>
        <w:autoSpaceDN w:val="0"/>
        <w:adjustRightInd w:val="0"/>
        <w:jc w:val="both"/>
        <w:rPr>
          <w:iCs/>
          <w:color w:val="000000" w:themeColor="text1"/>
          <w:sz w:val="16"/>
          <w:szCs w:val="16"/>
        </w:rPr>
      </w:pPr>
    </w:p>
    <w:p w14:paraId="6D7182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3-й полет Москва-Ногинск со стрельбой в воздухе (3081).</w:t>
      </w:r>
    </w:p>
    <w:p w14:paraId="369B5F2C" w14:textId="77777777" w:rsidR="00D4105E" w:rsidRPr="00E14102" w:rsidRDefault="00D4105E" w:rsidP="00E14102">
      <w:pPr>
        <w:autoSpaceDE w:val="0"/>
        <w:autoSpaceDN w:val="0"/>
        <w:adjustRightInd w:val="0"/>
        <w:jc w:val="both"/>
        <w:rPr>
          <w:color w:val="000000" w:themeColor="text1"/>
          <w:sz w:val="16"/>
          <w:szCs w:val="16"/>
        </w:rPr>
      </w:pPr>
    </w:p>
    <w:p w14:paraId="019EF3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ноября 1935 В.К.К. на И-15 с М-25 поднялся на 14575 м, но рекорд был неофициальным, так как еще не стали членами ФАИ (1123,29).</w:t>
      </w:r>
    </w:p>
    <w:p w14:paraId="49F51665" w14:textId="77777777" w:rsidR="00D4105E" w:rsidRPr="00E14102" w:rsidRDefault="00D4105E" w:rsidP="00E14102">
      <w:pPr>
        <w:autoSpaceDE w:val="0"/>
        <w:autoSpaceDN w:val="0"/>
        <w:adjustRightInd w:val="0"/>
        <w:jc w:val="both"/>
        <w:rPr>
          <w:color w:val="000000" w:themeColor="text1"/>
          <w:sz w:val="16"/>
          <w:szCs w:val="16"/>
        </w:rPr>
      </w:pPr>
    </w:p>
    <w:p w14:paraId="5A68EF4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6B0E3F2" w14:textId="77777777" w:rsidR="00D4105E" w:rsidRPr="00E14102" w:rsidRDefault="00D4105E" w:rsidP="00E14102">
      <w:pPr>
        <w:autoSpaceDE w:val="0"/>
        <w:autoSpaceDN w:val="0"/>
        <w:adjustRightInd w:val="0"/>
        <w:jc w:val="both"/>
        <w:rPr>
          <w:iCs/>
          <w:color w:val="000000" w:themeColor="text1"/>
          <w:sz w:val="16"/>
          <w:szCs w:val="16"/>
        </w:rPr>
      </w:pPr>
    </w:p>
    <w:p w14:paraId="4B256A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ноября 1935 на ДБА 4М-34РН в ходе заводских испытаний в Щелково летали 1 раз 1:45 и это был полет на скороподъемность со снятием скоростей по высотам. Это был 24-й полет (249).</w:t>
      </w:r>
    </w:p>
    <w:p w14:paraId="756AAB1C" w14:textId="77777777" w:rsidR="00D4105E" w:rsidRPr="00E14102" w:rsidRDefault="00D4105E" w:rsidP="00E14102">
      <w:pPr>
        <w:autoSpaceDE w:val="0"/>
        <w:autoSpaceDN w:val="0"/>
        <w:adjustRightInd w:val="0"/>
        <w:jc w:val="both"/>
        <w:rPr>
          <w:color w:val="000000" w:themeColor="text1"/>
          <w:sz w:val="16"/>
          <w:szCs w:val="16"/>
        </w:rPr>
      </w:pPr>
    </w:p>
    <w:p w14:paraId="18334D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ноября 1935 вышел приказ ГУАП N 64/360:</w:t>
      </w:r>
    </w:p>
    <w:p w14:paraId="032D48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Для определения техготовности опытного самолета К-13 (СБ), изготовленного заводом 18, а также для установления возможности выпуска самолета в первый пробный полет назначаю комиссию.</w:t>
      </w:r>
    </w:p>
    <w:p w14:paraId="7B4524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Комиссии приступить к работе не позднее 15 ноября с.г. (2170,109).</w:t>
      </w:r>
    </w:p>
    <w:p w14:paraId="26A10B84" w14:textId="77777777" w:rsidR="00D4105E" w:rsidRPr="00E14102" w:rsidRDefault="00D4105E" w:rsidP="00E14102">
      <w:pPr>
        <w:autoSpaceDE w:val="0"/>
        <w:autoSpaceDN w:val="0"/>
        <w:adjustRightInd w:val="0"/>
        <w:jc w:val="both"/>
        <w:rPr>
          <w:color w:val="000000" w:themeColor="text1"/>
          <w:sz w:val="16"/>
          <w:szCs w:val="16"/>
        </w:rPr>
      </w:pPr>
    </w:p>
    <w:p w14:paraId="0B437E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4-й полет Москва-посадка Ногинск со стрельбой в воздухе (3081).</w:t>
      </w:r>
    </w:p>
    <w:p w14:paraId="376917E0" w14:textId="77777777" w:rsidR="00D4105E" w:rsidRPr="00E14102" w:rsidRDefault="00D4105E" w:rsidP="00E14102">
      <w:pPr>
        <w:autoSpaceDE w:val="0"/>
        <w:autoSpaceDN w:val="0"/>
        <w:adjustRightInd w:val="0"/>
        <w:jc w:val="both"/>
        <w:rPr>
          <w:color w:val="000000" w:themeColor="text1"/>
          <w:sz w:val="16"/>
          <w:szCs w:val="16"/>
        </w:rPr>
      </w:pPr>
    </w:p>
    <w:p w14:paraId="55C5B4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 ноября 1935 года закончились гос. испытания самолета И-16 М-22 № 421230 с убирающимся шасси постройки завода № 21, которые проходили с 29 октября 1935 (6700).</w:t>
      </w:r>
    </w:p>
    <w:p w14:paraId="1CB15BE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5B1FFEA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инженер-летчик Алтынов</w:t>
      </w:r>
    </w:p>
    <w:p w14:paraId="7578C3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34E6664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с целью сравнительной оценки летных данных серийного самолета постройки завода № 21 с данными опытного экземпляра самолета.</w:t>
      </w:r>
    </w:p>
    <w:p w14:paraId="05EDB1E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находился на испытаниях 16 дней из них летных – 7.</w:t>
      </w:r>
    </w:p>
    <w:p w14:paraId="0ACE4F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7C6C2C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И-16 № 421230 постройки завода № 21 гос. испытания прошел удовлетворительно (6700).</w:t>
      </w:r>
    </w:p>
    <w:p w14:paraId="0F2C188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6D10CBD1" w14:textId="77777777" w:rsidR="00B40924" w:rsidRPr="00E14102" w:rsidRDefault="00B40924" w:rsidP="00E14102">
      <w:pPr>
        <w:jc w:val="both"/>
        <w:rPr>
          <w:color w:val="0070C0"/>
          <w:sz w:val="16"/>
          <w:szCs w:val="16"/>
        </w:rPr>
      </w:pPr>
      <w:r w:rsidRPr="00E14102">
        <w:rPr>
          <w:color w:val="0070C0"/>
          <w:sz w:val="16"/>
          <w:szCs w:val="16"/>
        </w:rPr>
        <w:t>13 декабря 1935 г. летчик-испытатель И.Ф. Петров с ве</w:t>
      </w:r>
      <w:r w:rsidRPr="00E14102">
        <w:rPr>
          <w:color w:val="0070C0"/>
          <w:sz w:val="16"/>
          <w:szCs w:val="16"/>
        </w:rPr>
        <w:softHyphen/>
        <w:t>дущим инженером и одним из создателей самолета БОК-1 Н.Н. Ка</w:t>
      </w:r>
      <w:r w:rsidRPr="00E14102">
        <w:rPr>
          <w:color w:val="0070C0"/>
          <w:sz w:val="16"/>
          <w:szCs w:val="16"/>
        </w:rPr>
        <w:softHyphen/>
        <w:t>штановым совершили на БОК-1 первый полет. Давление в полете внутри гермокабины соответствовало высоте 2-3 км, температура воздуха доходила до +25°С.</w:t>
      </w:r>
    </w:p>
    <w:p w14:paraId="3867F75B" w14:textId="77777777" w:rsidR="00B40924" w:rsidRPr="00E14102" w:rsidRDefault="00B40924" w:rsidP="00E14102">
      <w:pPr>
        <w:jc w:val="both"/>
        <w:rPr>
          <w:color w:val="0070C0"/>
          <w:sz w:val="16"/>
          <w:szCs w:val="16"/>
        </w:rPr>
      </w:pPr>
      <w:r w:rsidRPr="00E14102">
        <w:rPr>
          <w:color w:val="0070C0"/>
          <w:sz w:val="16"/>
          <w:szCs w:val="16"/>
        </w:rPr>
        <w:t>Проект высотного летательного аппарата, получившего обозначение БОК-1 или стратосферный самолет (СС), разрабатывался на основе конструкции сверхдальнего моноплана АНТ-25. Фактически это и был АНТ-25 с неко</w:t>
      </w:r>
      <w:r w:rsidRPr="00E14102">
        <w:rPr>
          <w:color w:val="0070C0"/>
          <w:sz w:val="16"/>
          <w:szCs w:val="16"/>
        </w:rPr>
        <w:softHyphen/>
        <w:t>торым уменьшением размеров, поэтому вовсе нелишним кажется небольшое сравнение:</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040"/>
        <w:gridCol w:w="1344"/>
        <w:gridCol w:w="922"/>
      </w:tblGrid>
      <w:tr w:rsidR="00B40924" w:rsidRPr="00E14102" w14:paraId="73F97AE8" w14:textId="77777777" w:rsidTr="000D533B">
        <w:trPr>
          <w:trHeight w:hRule="exact" w:val="192"/>
          <w:tblHeader/>
        </w:trPr>
        <w:tc>
          <w:tcPr>
            <w:tcW w:w="2040" w:type="dxa"/>
            <w:tcBorders>
              <w:top w:val="single" w:sz="4" w:space="0" w:color="auto"/>
              <w:left w:val="single" w:sz="4" w:space="0" w:color="auto"/>
              <w:bottom w:val="single" w:sz="4" w:space="0" w:color="auto"/>
              <w:right w:val="single" w:sz="4" w:space="0" w:color="auto"/>
            </w:tcBorders>
          </w:tcPr>
          <w:p w14:paraId="07891D3A" w14:textId="77777777" w:rsidR="00B40924" w:rsidRPr="00E14102" w:rsidRDefault="00B40924" w:rsidP="00E14102">
            <w:pPr>
              <w:jc w:val="both"/>
              <w:rPr>
                <w:color w:val="0070C0"/>
                <w:sz w:val="16"/>
                <w:szCs w:val="16"/>
              </w:rPr>
            </w:pPr>
          </w:p>
        </w:tc>
        <w:tc>
          <w:tcPr>
            <w:tcW w:w="1344" w:type="dxa"/>
            <w:tcBorders>
              <w:top w:val="single" w:sz="4" w:space="0" w:color="auto"/>
              <w:left w:val="single" w:sz="4" w:space="0" w:color="auto"/>
              <w:bottom w:val="single" w:sz="4" w:space="0" w:color="auto"/>
              <w:right w:val="single" w:sz="4" w:space="0" w:color="auto"/>
            </w:tcBorders>
            <w:hideMark/>
          </w:tcPr>
          <w:p w14:paraId="3232F245" w14:textId="77777777" w:rsidR="00B40924" w:rsidRPr="00E14102" w:rsidRDefault="00B40924"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АНТ-25</w:t>
            </w:r>
          </w:p>
        </w:tc>
        <w:tc>
          <w:tcPr>
            <w:tcW w:w="922" w:type="dxa"/>
            <w:tcBorders>
              <w:top w:val="single" w:sz="4" w:space="0" w:color="auto"/>
              <w:left w:val="single" w:sz="4" w:space="0" w:color="auto"/>
              <w:bottom w:val="single" w:sz="4" w:space="0" w:color="auto"/>
              <w:right w:val="single" w:sz="4" w:space="0" w:color="auto"/>
            </w:tcBorders>
            <w:hideMark/>
          </w:tcPr>
          <w:p w14:paraId="6784FD62" w14:textId="77777777" w:rsidR="00B40924" w:rsidRPr="00E14102" w:rsidRDefault="00B40924"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БОК-1</w:t>
            </w:r>
          </w:p>
        </w:tc>
      </w:tr>
      <w:tr w:rsidR="00B40924" w:rsidRPr="00E14102" w14:paraId="25EBAE8A" w14:textId="77777777" w:rsidTr="000D533B">
        <w:trPr>
          <w:trHeight w:hRule="exact" w:val="206"/>
        </w:trPr>
        <w:tc>
          <w:tcPr>
            <w:tcW w:w="2040" w:type="dxa"/>
            <w:tcBorders>
              <w:top w:val="single" w:sz="4" w:space="0" w:color="auto"/>
              <w:left w:val="single" w:sz="4" w:space="0" w:color="auto"/>
              <w:bottom w:val="single" w:sz="4" w:space="0" w:color="auto"/>
              <w:right w:val="single" w:sz="4" w:space="0" w:color="auto"/>
            </w:tcBorders>
            <w:vAlign w:val="bottom"/>
            <w:hideMark/>
          </w:tcPr>
          <w:p w14:paraId="44ECFC1C" w14:textId="77777777" w:rsidR="00B40924" w:rsidRPr="00E14102" w:rsidRDefault="00B40924"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Размах крыла, м</w:t>
            </w:r>
          </w:p>
        </w:tc>
        <w:tc>
          <w:tcPr>
            <w:tcW w:w="1344" w:type="dxa"/>
            <w:tcBorders>
              <w:top w:val="single" w:sz="4" w:space="0" w:color="auto"/>
              <w:left w:val="single" w:sz="4" w:space="0" w:color="auto"/>
              <w:bottom w:val="single" w:sz="4" w:space="0" w:color="auto"/>
              <w:right w:val="single" w:sz="4" w:space="0" w:color="auto"/>
            </w:tcBorders>
            <w:vAlign w:val="bottom"/>
            <w:hideMark/>
          </w:tcPr>
          <w:p w14:paraId="52909251" w14:textId="77777777" w:rsidR="00B40924" w:rsidRPr="00E14102" w:rsidRDefault="00B40924"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34,0</w:t>
            </w:r>
          </w:p>
        </w:tc>
        <w:tc>
          <w:tcPr>
            <w:tcW w:w="922" w:type="dxa"/>
            <w:tcBorders>
              <w:top w:val="single" w:sz="4" w:space="0" w:color="auto"/>
              <w:left w:val="single" w:sz="4" w:space="0" w:color="auto"/>
              <w:bottom w:val="single" w:sz="4" w:space="0" w:color="auto"/>
              <w:right w:val="single" w:sz="4" w:space="0" w:color="auto"/>
            </w:tcBorders>
            <w:vAlign w:val="bottom"/>
            <w:hideMark/>
          </w:tcPr>
          <w:p w14:paraId="0F4A0698" w14:textId="77777777" w:rsidR="00B40924" w:rsidRPr="00E14102" w:rsidRDefault="00B40924"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30,0</w:t>
            </w:r>
          </w:p>
        </w:tc>
      </w:tr>
      <w:tr w:rsidR="00B40924" w:rsidRPr="00E14102" w14:paraId="0ADA44CE" w14:textId="77777777" w:rsidTr="000D533B">
        <w:trPr>
          <w:trHeight w:hRule="exact" w:val="197"/>
        </w:trPr>
        <w:tc>
          <w:tcPr>
            <w:tcW w:w="2040" w:type="dxa"/>
            <w:tcBorders>
              <w:top w:val="single" w:sz="4" w:space="0" w:color="auto"/>
              <w:left w:val="single" w:sz="4" w:space="0" w:color="auto"/>
              <w:bottom w:val="single" w:sz="4" w:space="0" w:color="auto"/>
              <w:right w:val="single" w:sz="4" w:space="0" w:color="auto"/>
            </w:tcBorders>
            <w:vAlign w:val="bottom"/>
            <w:hideMark/>
          </w:tcPr>
          <w:p w14:paraId="5D93BC3F" w14:textId="77777777" w:rsidR="00B40924" w:rsidRPr="00E14102" w:rsidRDefault="00B40924"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Длина самолета, м</w:t>
            </w:r>
          </w:p>
        </w:tc>
        <w:tc>
          <w:tcPr>
            <w:tcW w:w="1344" w:type="dxa"/>
            <w:tcBorders>
              <w:top w:val="single" w:sz="4" w:space="0" w:color="auto"/>
              <w:left w:val="single" w:sz="4" w:space="0" w:color="auto"/>
              <w:bottom w:val="single" w:sz="4" w:space="0" w:color="auto"/>
              <w:right w:val="single" w:sz="4" w:space="0" w:color="auto"/>
            </w:tcBorders>
            <w:vAlign w:val="bottom"/>
            <w:hideMark/>
          </w:tcPr>
          <w:p w14:paraId="07A9AE1B" w14:textId="77777777" w:rsidR="00B40924" w:rsidRPr="00E14102" w:rsidRDefault="00B40924"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13,4</w:t>
            </w:r>
          </w:p>
        </w:tc>
        <w:tc>
          <w:tcPr>
            <w:tcW w:w="922" w:type="dxa"/>
            <w:tcBorders>
              <w:top w:val="single" w:sz="4" w:space="0" w:color="auto"/>
              <w:left w:val="single" w:sz="4" w:space="0" w:color="auto"/>
              <w:bottom w:val="single" w:sz="4" w:space="0" w:color="auto"/>
              <w:right w:val="single" w:sz="4" w:space="0" w:color="auto"/>
            </w:tcBorders>
            <w:vAlign w:val="bottom"/>
            <w:hideMark/>
          </w:tcPr>
          <w:p w14:paraId="138906E5" w14:textId="77777777" w:rsidR="00B40924" w:rsidRPr="00E14102" w:rsidRDefault="00B40924"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12,86</w:t>
            </w:r>
          </w:p>
        </w:tc>
      </w:tr>
      <w:tr w:rsidR="00B40924" w:rsidRPr="00E14102" w14:paraId="3DC8F079" w14:textId="77777777" w:rsidTr="000D533B">
        <w:trPr>
          <w:trHeight w:hRule="exact" w:val="221"/>
        </w:trPr>
        <w:tc>
          <w:tcPr>
            <w:tcW w:w="2040" w:type="dxa"/>
            <w:tcBorders>
              <w:top w:val="single" w:sz="4" w:space="0" w:color="auto"/>
              <w:left w:val="single" w:sz="4" w:space="0" w:color="auto"/>
              <w:bottom w:val="single" w:sz="4" w:space="0" w:color="auto"/>
              <w:right w:val="single" w:sz="4" w:space="0" w:color="auto"/>
            </w:tcBorders>
            <w:hideMark/>
          </w:tcPr>
          <w:p w14:paraId="728E3C7E" w14:textId="77777777" w:rsidR="00B40924" w:rsidRPr="00E14102" w:rsidRDefault="00B40924"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Площадь крыла, м2</w:t>
            </w:r>
          </w:p>
        </w:tc>
        <w:tc>
          <w:tcPr>
            <w:tcW w:w="1344" w:type="dxa"/>
            <w:tcBorders>
              <w:top w:val="single" w:sz="4" w:space="0" w:color="auto"/>
              <w:left w:val="single" w:sz="4" w:space="0" w:color="auto"/>
              <w:bottom w:val="single" w:sz="4" w:space="0" w:color="auto"/>
              <w:right w:val="single" w:sz="4" w:space="0" w:color="auto"/>
            </w:tcBorders>
            <w:hideMark/>
          </w:tcPr>
          <w:p w14:paraId="55B3ADAD" w14:textId="77777777" w:rsidR="00B40924" w:rsidRPr="00E14102" w:rsidRDefault="00B40924"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87,8</w:t>
            </w:r>
          </w:p>
        </w:tc>
        <w:tc>
          <w:tcPr>
            <w:tcW w:w="922" w:type="dxa"/>
            <w:tcBorders>
              <w:top w:val="single" w:sz="4" w:space="0" w:color="auto"/>
              <w:left w:val="single" w:sz="4" w:space="0" w:color="auto"/>
              <w:bottom w:val="single" w:sz="4" w:space="0" w:color="auto"/>
              <w:right w:val="single" w:sz="4" w:space="0" w:color="auto"/>
            </w:tcBorders>
            <w:hideMark/>
          </w:tcPr>
          <w:p w14:paraId="691AA215" w14:textId="77777777" w:rsidR="00B40924" w:rsidRPr="00E14102" w:rsidRDefault="00B40924" w:rsidP="00E14102">
            <w:pPr>
              <w:pStyle w:val="affd"/>
              <w:ind w:firstLine="0"/>
              <w:jc w:val="both"/>
              <w:rPr>
                <w:rFonts w:ascii="Times New Roman" w:hAnsi="Times New Roman" w:cs="Times New Roman"/>
                <w:color w:val="0070C0"/>
                <w:sz w:val="16"/>
                <w:szCs w:val="16"/>
              </w:rPr>
            </w:pPr>
            <w:r w:rsidRPr="00E14102">
              <w:rPr>
                <w:rFonts w:ascii="Times New Roman" w:hAnsi="Times New Roman" w:cs="Times New Roman"/>
                <w:color w:val="0070C0"/>
                <w:sz w:val="16"/>
                <w:szCs w:val="16"/>
                <w:lang w:bidi="ru-RU"/>
              </w:rPr>
              <w:t>78,8</w:t>
            </w:r>
          </w:p>
        </w:tc>
      </w:tr>
    </w:tbl>
    <w:p w14:paraId="60BE1A90" w14:textId="77777777" w:rsidR="00B40924" w:rsidRPr="00E14102" w:rsidRDefault="00B40924" w:rsidP="00E14102">
      <w:pPr>
        <w:jc w:val="both"/>
        <w:rPr>
          <w:color w:val="0070C0"/>
          <w:sz w:val="16"/>
          <w:szCs w:val="16"/>
        </w:rPr>
      </w:pPr>
      <w:r w:rsidRPr="00E14102">
        <w:rPr>
          <w:color w:val="0070C0"/>
          <w:sz w:val="16"/>
          <w:szCs w:val="16"/>
        </w:rPr>
        <w:t>Затем последовали усовершенствования, доводки и очередные полеты. Иван Федорович Петров так описал эти события: «В 1936 г. я начинал заводские испытания пер</w:t>
      </w:r>
      <w:r w:rsidRPr="00E14102">
        <w:rPr>
          <w:color w:val="0070C0"/>
          <w:sz w:val="16"/>
          <w:szCs w:val="16"/>
        </w:rPr>
        <w:softHyphen/>
        <w:t>вого советского самолета с герметической кабиной - БОК-1 конструкции Владимира Антоновича Чижевского. За</w:t>
      </w:r>
      <w:r w:rsidRPr="00E14102">
        <w:rPr>
          <w:color w:val="0070C0"/>
          <w:sz w:val="16"/>
          <w:szCs w:val="16"/>
        </w:rPr>
        <w:softHyphen/>
        <w:t>водской аэродром находился под Смоленском, и в тече</w:t>
      </w:r>
      <w:r w:rsidRPr="00E14102">
        <w:rPr>
          <w:color w:val="0070C0"/>
          <w:sz w:val="16"/>
          <w:szCs w:val="16"/>
        </w:rPr>
        <w:softHyphen/>
        <w:t>ние полутора лет мне еженедельно приходилось ездить в Смоленск на испытания. В субботу вечером я уезжал из Москвы, спал в поезде, в воскресенье весь день прово</w:t>
      </w:r>
      <w:r w:rsidRPr="00E14102">
        <w:rPr>
          <w:color w:val="0070C0"/>
          <w:sz w:val="16"/>
          <w:szCs w:val="16"/>
        </w:rPr>
        <w:softHyphen/>
        <w:t>дил испытания, а вечером снова садился в поезд, чтобы в понедельник утром быть на своем рабочем месте в НИИ ВВС.</w:t>
      </w:r>
    </w:p>
    <w:p w14:paraId="780DE086" w14:textId="77777777" w:rsidR="00B40924" w:rsidRPr="00E14102" w:rsidRDefault="00B40924" w:rsidP="00E14102">
      <w:pPr>
        <w:jc w:val="both"/>
        <w:rPr>
          <w:color w:val="0070C0"/>
          <w:sz w:val="16"/>
          <w:szCs w:val="16"/>
        </w:rPr>
      </w:pPr>
      <w:r w:rsidRPr="00E14102">
        <w:rPr>
          <w:color w:val="0070C0"/>
          <w:sz w:val="16"/>
          <w:szCs w:val="16"/>
        </w:rPr>
        <w:t>Говорят, первый блин комом. Естественно, что и первая герметичная кабина самолета была совсем непохожа на те комфортабельные салоны, в которых мы все привыкли летать. На самолете БОК-1 она представляла собой тес</w:t>
      </w:r>
      <w:r w:rsidRPr="00E14102">
        <w:rPr>
          <w:color w:val="0070C0"/>
          <w:sz w:val="16"/>
          <w:szCs w:val="16"/>
        </w:rPr>
        <w:softHyphen/>
        <w:t>ную цистерну с тремя маленькими окошечками-иллюми</w:t>
      </w:r>
      <w:r w:rsidRPr="00E14102">
        <w:rPr>
          <w:color w:val="0070C0"/>
          <w:sz w:val="16"/>
          <w:szCs w:val="16"/>
        </w:rPr>
        <w:softHyphen/>
        <w:t>наторами, не дававших летчику почти никакого обзора. И так как располагалась эта бочка над радиатором водя</w:t>
      </w:r>
      <w:r w:rsidRPr="00E14102">
        <w:rPr>
          <w:color w:val="0070C0"/>
          <w:sz w:val="16"/>
          <w:szCs w:val="16"/>
        </w:rPr>
        <w:softHyphen/>
        <w:t>ного охлаждения довольно мощного двигателя М-34РН, то летная форма моя была весьма своеобразной: трусы и штук шесть поёотенец. В поёете температура в кабине из- за подогрева снизу поднимаёась до сорока градусов.</w:t>
      </w:r>
    </w:p>
    <w:p w14:paraId="476B6931" w14:textId="77777777" w:rsidR="00B40924" w:rsidRPr="00E14102" w:rsidRDefault="00B40924" w:rsidP="00E14102">
      <w:pPr>
        <w:jc w:val="both"/>
        <w:rPr>
          <w:color w:val="0070C0"/>
          <w:sz w:val="16"/>
          <w:szCs w:val="16"/>
        </w:rPr>
      </w:pPr>
      <w:r w:rsidRPr="00E14102">
        <w:rPr>
          <w:color w:val="0070C0"/>
          <w:sz w:val="16"/>
          <w:szCs w:val="16"/>
        </w:rPr>
        <w:t>Такое мотание из Москвы в Смоёенск и обратно быёо, конечно, весьма изнуритеёьным, и для продолжения ис</w:t>
      </w:r>
      <w:r w:rsidRPr="00E14102">
        <w:rPr>
          <w:color w:val="0070C0"/>
          <w:sz w:val="16"/>
          <w:szCs w:val="16"/>
        </w:rPr>
        <w:softHyphen/>
        <w:t>пытаний я командировал в Смоленск летчика-испытателя своего отдела П.М. Стефановского, который успешно и за</w:t>
      </w:r>
      <w:r w:rsidRPr="00E14102">
        <w:rPr>
          <w:color w:val="0070C0"/>
          <w:sz w:val="16"/>
          <w:szCs w:val="16"/>
        </w:rPr>
        <w:softHyphen/>
        <w:t>вершил их» (29363).</w:t>
      </w:r>
    </w:p>
    <w:p w14:paraId="7EAF6805" w14:textId="77777777" w:rsidR="00B40924" w:rsidRPr="00E14102" w:rsidRDefault="00B40924" w:rsidP="00E14102">
      <w:pPr>
        <w:jc w:val="both"/>
        <w:rPr>
          <w:color w:val="0070C0"/>
          <w:sz w:val="16"/>
          <w:szCs w:val="16"/>
        </w:rPr>
      </w:pPr>
    </w:p>
    <w:p w14:paraId="29B5B5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ноября 1935 закончились гос. испытания АРК-Z, выпущенного в Иркутске А.И.Злоказовым, которые начались 28 сентября 1935 (1076,630).</w:t>
      </w:r>
    </w:p>
    <w:p w14:paraId="3B06B3DD" w14:textId="77777777" w:rsidR="00D4105E" w:rsidRPr="00E14102" w:rsidRDefault="00D4105E" w:rsidP="00E14102">
      <w:pPr>
        <w:autoSpaceDE w:val="0"/>
        <w:autoSpaceDN w:val="0"/>
        <w:adjustRightInd w:val="0"/>
        <w:jc w:val="both"/>
        <w:rPr>
          <w:color w:val="000000" w:themeColor="text1"/>
          <w:sz w:val="16"/>
          <w:szCs w:val="16"/>
        </w:rPr>
      </w:pPr>
    </w:p>
    <w:p w14:paraId="0B2F0A38"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13 ноября 1935 года член бюро Комиссии партконтроля – руководитель группы по военно-морским делам Н. Куйбышев писал письмо № 207/315сс в СТО Базилевичу</w:t>
      </w:r>
    </w:p>
    <w:p w14:paraId="26A7AD2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Возвращаю по ознакомлении копию записки Пятакова и копию доклада начальника ГУАПа НКТП Королева “О работе авиационной промышленности по перевооружению ВВС РККА”.</w:t>
      </w:r>
    </w:p>
    <w:p w14:paraId="09AAB4D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 письмо СТО № 2165/ко от 5 ноября 1935 года, материал НКТП № 01/8277сс от 26 октября 1935 года на 23 листах (3475,196).</w:t>
      </w:r>
    </w:p>
    <w:p w14:paraId="74E7953B"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7354FA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ноября 1935 в Правде была статья о работе А.И.Полярного над жидкостными ракетами (1232).</w:t>
      </w:r>
    </w:p>
    <w:p w14:paraId="1E1853DC" w14:textId="77777777" w:rsidR="00D4105E" w:rsidRPr="00E14102" w:rsidRDefault="00D4105E" w:rsidP="00E14102">
      <w:pPr>
        <w:autoSpaceDE w:val="0"/>
        <w:autoSpaceDN w:val="0"/>
        <w:adjustRightInd w:val="0"/>
        <w:jc w:val="both"/>
        <w:rPr>
          <w:color w:val="000000" w:themeColor="text1"/>
          <w:sz w:val="16"/>
          <w:szCs w:val="16"/>
        </w:rPr>
      </w:pPr>
    </w:p>
    <w:p w14:paraId="2655E9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13, 14, 15, 22 и 23 ноября1935 г. под руководством начальника первого отдела РНИИ Ю.А.Победоносцева, начальника первого сектора РНИИ Ф.Н.Пойды и инженера РНИИ М.Ф.Фокина провели испытания для уточнения вели</w:t>
      </w:r>
      <w:r w:rsidRPr="00E14102">
        <w:rPr>
          <w:color w:val="000000" w:themeColor="text1"/>
          <w:sz w:val="16"/>
          <w:szCs w:val="16"/>
        </w:rPr>
        <w:softHyphen/>
        <w:t>чины максимальной скорости полета провели. Для дополнительного отстрела на Софринском КИАП в мастер</w:t>
      </w:r>
      <w:r w:rsidRPr="00E14102">
        <w:rPr>
          <w:color w:val="000000" w:themeColor="text1"/>
          <w:sz w:val="16"/>
          <w:szCs w:val="16"/>
        </w:rPr>
        <w:softHyphen/>
        <w:t>ской РНИИ изготовили по пять РОС-82 моделей 110800, 110900 и РОС-132 моделей 120800, 121000. РЗ воспламеняли от пиропатронов.</w:t>
      </w:r>
    </w:p>
    <w:p w14:paraId="48DF3D6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Позицию орудия относительно первой рамы изменяли и, в зависимо</w:t>
      </w:r>
      <w:r w:rsidRPr="00E14102">
        <w:rPr>
          <w:color w:val="000000" w:themeColor="text1"/>
          <w:sz w:val="16"/>
          <w:szCs w:val="16"/>
        </w:rPr>
        <w:softHyphen/>
        <w:t>сти от этого, измеряли скорость снарядов на разных дистанциях. Рас</w:t>
      </w:r>
      <w:r w:rsidRPr="00E14102">
        <w:rPr>
          <w:color w:val="000000" w:themeColor="text1"/>
          <w:sz w:val="16"/>
          <w:szCs w:val="16"/>
        </w:rPr>
        <w:softHyphen/>
        <w:t>стояния между четырьмя рамами-мишенями соответствовали 20, 30 и 40 м. Габариты рам по мере удаления от орудия возрастали — 6x6, 8x8, 9x9 и 10x10 м.</w:t>
      </w:r>
    </w:p>
    <w:p w14:paraId="3743CB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Первый из РОС-82 модели 110800 перебил рейку рамы, второй про</w:t>
      </w:r>
      <w:r w:rsidRPr="00E14102">
        <w:rPr>
          <w:color w:val="000000" w:themeColor="text1"/>
          <w:sz w:val="16"/>
          <w:szCs w:val="16"/>
        </w:rPr>
        <w:softHyphen/>
        <w:t>шел выше ее. По расчетам, величина максимальной скорости составляла 385 м/с. Разработчики предположили, что на участке от 110 до 160 м ре</w:t>
      </w:r>
      <w:r w:rsidRPr="00E14102">
        <w:rPr>
          <w:color w:val="000000" w:themeColor="text1"/>
          <w:sz w:val="16"/>
          <w:szCs w:val="16"/>
        </w:rPr>
        <w:softHyphen/>
        <w:t>активная сила еще действует, и максимум скорости РОС-82 этой модели не совпадает с концом горения РЗ, а получается несколько раньше.</w:t>
      </w:r>
    </w:p>
    <w:p w14:paraId="3EEB453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Уменьшение скорости истечения продуктов горения РЗ, по их мнению, произошло вследствие «уменьшения силы пороха» за счет плохо подоб</w:t>
      </w:r>
      <w:r w:rsidRPr="00E14102">
        <w:rPr>
          <w:color w:val="000000" w:themeColor="text1"/>
          <w:sz w:val="16"/>
          <w:szCs w:val="16"/>
        </w:rPr>
        <w:softHyphen/>
        <w:t>ранного сопла. Точнее, за счет соотношения диаметров критического се</w:t>
      </w:r>
      <w:r w:rsidRPr="00E14102">
        <w:rPr>
          <w:color w:val="000000" w:themeColor="text1"/>
          <w:sz w:val="16"/>
          <w:szCs w:val="16"/>
        </w:rPr>
        <w:softHyphen/>
        <w:t>чения и выходного, а также длины конусной части.</w:t>
      </w:r>
    </w:p>
    <w:p w14:paraId="62CBDE2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стрельбе РОС-82 модели 110900 углы возвышения пусковой ус</w:t>
      </w:r>
      <w:r w:rsidRPr="00E14102">
        <w:rPr>
          <w:color w:val="000000" w:themeColor="text1"/>
          <w:sz w:val="16"/>
          <w:szCs w:val="16"/>
        </w:rPr>
        <w:softHyphen/>
        <w:t>танавливали в пределах от 2° до 2° 15'. Падение максимальной скорости относительно расчетной величины конструкторы объяснили теми же причинами, что и для образца предыдущей модели, так как соотношения параметров сопел у них были идентичны.</w:t>
      </w:r>
    </w:p>
    <w:p w14:paraId="421618F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 нарастания скоростей РОС-82 модели 110900. Таблица 1.4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E3599D" w:rsidRPr="00E14102" w14:paraId="14262B79" w14:textId="77777777">
        <w:tc>
          <w:tcPr>
            <w:tcW w:w="1601" w:type="dxa"/>
            <w:tcBorders>
              <w:top w:val="single" w:sz="12" w:space="0" w:color="auto"/>
            </w:tcBorders>
            <w:shd w:val="clear" w:color="auto" w:fill="FFFFFF"/>
          </w:tcPr>
          <w:p w14:paraId="64C9A3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Расстояние от пусковой, м</w:t>
            </w:r>
          </w:p>
        </w:tc>
        <w:tc>
          <w:tcPr>
            <w:tcW w:w="1601" w:type="dxa"/>
            <w:tcBorders>
              <w:top w:val="single" w:sz="12" w:space="0" w:color="auto"/>
            </w:tcBorders>
            <w:shd w:val="clear" w:color="auto" w:fill="FFFFFF"/>
          </w:tcPr>
          <w:p w14:paraId="268542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w:t>
            </w:r>
          </w:p>
        </w:tc>
        <w:tc>
          <w:tcPr>
            <w:tcW w:w="1601" w:type="dxa"/>
            <w:tcBorders>
              <w:top w:val="single" w:sz="12" w:space="0" w:color="auto"/>
            </w:tcBorders>
            <w:shd w:val="clear" w:color="auto" w:fill="FFFFFF"/>
          </w:tcPr>
          <w:p w14:paraId="615109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w:t>
            </w:r>
          </w:p>
        </w:tc>
        <w:tc>
          <w:tcPr>
            <w:tcW w:w="1601" w:type="dxa"/>
            <w:tcBorders>
              <w:top w:val="single" w:sz="12" w:space="0" w:color="auto"/>
            </w:tcBorders>
            <w:shd w:val="clear" w:color="auto" w:fill="FFFFFF"/>
          </w:tcPr>
          <w:p w14:paraId="7CD771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w:t>
            </w:r>
          </w:p>
        </w:tc>
        <w:tc>
          <w:tcPr>
            <w:tcW w:w="1601" w:type="dxa"/>
            <w:tcBorders>
              <w:top w:val="single" w:sz="12" w:space="0" w:color="auto"/>
            </w:tcBorders>
            <w:shd w:val="clear" w:color="auto" w:fill="FFFFFF"/>
          </w:tcPr>
          <w:p w14:paraId="70171A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1601" w:type="dxa"/>
            <w:tcBorders>
              <w:top w:val="single" w:sz="12" w:space="0" w:color="auto"/>
            </w:tcBorders>
            <w:shd w:val="clear" w:color="auto" w:fill="FFFFFF"/>
          </w:tcPr>
          <w:p w14:paraId="4161FE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w:t>
            </w:r>
          </w:p>
        </w:tc>
        <w:tc>
          <w:tcPr>
            <w:tcW w:w="1601" w:type="dxa"/>
            <w:tcBorders>
              <w:top w:val="single" w:sz="12" w:space="0" w:color="auto"/>
            </w:tcBorders>
            <w:shd w:val="clear" w:color="auto" w:fill="FFFFFF"/>
          </w:tcPr>
          <w:p w14:paraId="6771CF2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B4347A3" w14:textId="77777777">
        <w:tc>
          <w:tcPr>
            <w:tcW w:w="1601" w:type="dxa"/>
            <w:tcBorders>
              <w:bottom w:val="single" w:sz="12" w:space="0" w:color="auto"/>
            </w:tcBorders>
            <w:shd w:val="clear" w:color="auto" w:fill="FFFFFF"/>
          </w:tcPr>
          <w:p w14:paraId="175E7BEE" w14:textId="77777777" w:rsidR="00D4105E" w:rsidRPr="00E14102" w:rsidRDefault="00D4105E" w:rsidP="00E14102">
            <w:pPr>
              <w:autoSpaceDE w:val="0"/>
              <w:autoSpaceDN w:val="0"/>
              <w:adjustRightInd w:val="0"/>
              <w:jc w:val="both"/>
              <w:rPr>
                <w:color w:val="000000" w:themeColor="text1"/>
                <w:sz w:val="16"/>
                <w:szCs w:val="16"/>
              </w:rPr>
            </w:pPr>
            <w:r w:rsidRPr="00E14102">
              <w:rPr>
                <w:smallCaps/>
                <w:color w:val="000000" w:themeColor="text1"/>
                <w:sz w:val="16"/>
                <w:szCs w:val="16"/>
              </w:rPr>
              <w:t xml:space="preserve">Скорость </w:t>
            </w:r>
            <w:r w:rsidRPr="00E14102">
              <w:rPr>
                <w:color w:val="000000" w:themeColor="text1"/>
                <w:sz w:val="16"/>
                <w:szCs w:val="16"/>
              </w:rPr>
              <w:t>снаряда, м/с</w:t>
            </w:r>
          </w:p>
        </w:tc>
        <w:tc>
          <w:tcPr>
            <w:tcW w:w="1601" w:type="dxa"/>
            <w:tcBorders>
              <w:bottom w:val="single" w:sz="12" w:space="0" w:color="auto"/>
            </w:tcBorders>
            <w:shd w:val="clear" w:color="auto" w:fill="FFFFFF"/>
          </w:tcPr>
          <w:p w14:paraId="1EC50B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248,0-255,2</w:t>
            </w:r>
          </w:p>
        </w:tc>
        <w:tc>
          <w:tcPr>
            <w:tcW w:w="1601" w:type="dxa"/>
            <w:tcBorders>
              <w:bottom w:val="single" w:sz="12" w:space="0" w:color="auto"/>
            </w:tcBorders>
            <w:shd w:val="clear" w:color="auto" w:fill="FFFFFF"/>
          </w:tcPr>
          <w:p w14:paraId="084648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256,4-250,1</w:t>
            </w:r>
          </w:p>
        </w:tc>
        <w:tc>
          <w:tcPr>
            <w:tcW w:w="1601" w:type="dxa"/>
            <w:tcBorders>
              <w:bottom w:val="single" w:sz="12" w:space="0" w:color="auto"/>
            </w:tcBorders>
            <w:shd w:val="clear" w:color="auto" w:fill="FFFFFF"/>
          </w:tcPr>
          <w:p w14:paraId="0B488E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249,0-268,0</w:t>
            </w:r>
          </w:p>
        </w:tc>
        <w:tc>
          <w:tcPr>
            <w:tcW w:w="1601" w:type="dxa"/>
            <w:tcBorders>
              <w:bottom w:val="single" w:sz="12" w:space="0" w:color="auto"/>
            </w:tcBorders>
            <w:shd w:val="clear" w:color="auto" w:fill="FFFFFF"/>
          </w:tcPr>
          <w:p w14:paraId="797E27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239,8</w:t>
            </w:r>
          </w:p>
        </w:tc>
        <w:tc>
          <w:tcPr>
            <w:tcW w:w="1601" w:type="dxa"/>
            <w:tcBorders>
              <w:bottom w:val="single" w:sz="12" w:space="0" w:color="auto"/>
            </w:tcBorders>
            <w:shd w:val="clear" w:color="auto" w:fill="FFFFFF"/>
          </w:tcPr>
          <w:p w14:paraId="77B366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249,4-259,0</w:t>
            </w:r>
          </w:p>
        </w:tc>
        <w:tc>
          <w:tcPr>
            <w:tcW w:w="1601" w:type="dxa"/>
            <w:tcBorders>
              <w:bottom w:val="single" w:sz="12" w:space="0" w:color="auto"/>
            </w:tcBorders>
            <w:shd w:val="clear" w:color="auto" w:fill="FFFFFF"/>
          </w:tcPr>
          <w:p w14:paraId="386CA6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241,0</w:t>
            </w:r>
          </w:p>
        </w:tc>
      </w:tr>
    </w:tbl>
    <w:p w14:paraId="1F201DA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отстреле РОС-132 модели 120800 углы возвышения пусковой из</w:t>
      </w:r>
      <w:r w:rsidRPr="00E14102">
        <w:rPr>
          <w:color w:val="000000" w:themeColor="text1"/>
          <w:sz w:val="16"/>
          <w:szCs w:val="16"/>
        </w:rPr>
        <w:softHyphen/>
        <w:t>меняли в пределах от 2° до 2°30'. Величина максимальной скорости сна</w:t>
      </w:r>
      <w:r w:rsidRPr="00E14102">
        <w:rPr>
          <w:color w:val="000000" w:themeColor="text1"/>
          <w:sz w:val="16"/>
          <w:szCs w:val="16"/>
        </w:rPr>
        <w:softHyphen/>
        <w:t>рядов удовлетворила ТТТ.</w:t>
      </w:r>
    </w:p>
    <w:p w14:paraId="2E1F00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Отстрел пяти РОС-132 модели 121000 проходил с углами возвышения пусковой от Г до 2°30'. Один из снарядов на расстоянии 170 м перебил раму. Еще два снаряда зарылись в землю, но срикошетировав, все же прошли раму. По мнению испытателей, результаты - однозначно неудо влетворительные, и судить о характере нарастания скоростей РС этой модели и ее максимальной величине невозможно.</w:t>
      </w:r>
    </w:p>
    <w:p w14:paraId="766B2CE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Общие выводы: «для снарядов РОС-82 с пятью рядами шашек необ</w:t>
      </w:r>
      <w:r w:rsidRPr="00E14102">
        <w:rPr>
          <w:color w:val="000000" w:themeColor="text1"/>
          <w:sz w:val="16"/>
          <w:szCs w:val="16"/>
        </w:rPr>
        <w:softHyphen/>
        <w:t>ходимо проверить соотношение параметров сопла. Для РОС-132 модели 121000 стрельбу требуется повторить».</w:t>
      </w:r>
    </w:p>
    <w:p w14:paraId="08A715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Таблица 1.5 Характер нарастания скоростей РОС-132 модели 120800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E3599D" w:rsidRPr="00E14102" w14:paraId="0646427A" w14:textId="77777777">
        <w:tc>
          <w:tcPr>
            <w:tcW w:w="1601" w:type="dxa"/>
            <w:tcBorders>
              <w:top w:val="single" w:sz="12" w:space="0" w:color="auto"/>
            </w:tcBorders>
            <w:shd w:val="clear" w:color="auto" w:fill="FFFFFF"/>
          </w:tcPr>
          <w:p w14:paraId="0CE914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Расстояние от пусковой, м</w:t>
            </w:r>
          </w:p>
        </w:tc>
        <w:tc>
          <w:tcPr>
            <w:tcW w:w="1601" w:type="dxa"/>
            <w:tcBorders>
              <w:top w:val="single" w:sz="12" w:space="0" w:color="auto"/>
            </w:tcBorders>
            <w:shd w:val="clear" w:color="auto" w:fill="FFFFFF"/>
          </w:tcPr>
          <w:p w14:paraId="64C056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1601" w:type="dxa"/>
            <w:tcBorders>
              <w:top w:val="single" w:sz="12" w:space="0" w:color="auto"/>
            </w:tcBorders>
            <w:shd w:val="clear" w:color="auto" w:fill="FFFFFF"/>
          </w:tcPr>
          <w:p w14:paraId="41BCED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135</w:t>
            </w:r>
          </w:p>
        </w:tc>
        <w:tc>
          <w:tcPr>
            <w:tcW w:w="1601" w:type="dxa"/>
            <w:tcBorders>
              <w:top w:val="single" w:sz="12" w:space="0" w:color="auto"/>
            </w:tcBorders>
            <w:shd w:val="clear" w:color="auto" w:fill="FFFFFF"/>
          </w:tcPr>
          <w:p w14:paraId="07EDFD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w:t>
            </w:r>
          </w:p>
        </w:tc>
        <w:tc>
          <w:tcPr>
            <w:tcW w:w="1601" w:type="dxa"/>
            <w:tcBorders>
              <w:top w:val="single" w:sz="12" w:space="0" w:color="auto"/>
            </w:tcBorders>
            <w:shd w:val="clear" w:color="auto" w:fill="FFFFFF"/>
          </w:tcPr>
          <w:p w14:paraId="502FE9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w:t>
            </w:r>
          </w:p>
        </w:tc>
        <w:tc>
          <w:tcPr>
            <w:tcW w:w="1601" w:type="dxa"/>
            <w:tcBorders>
              <w:top w:val="single" w:sz="12" w:space="0" w:color="auto"/>
            </w:tcBorders>
            <w:shd w:val="clear" w:color="auto" w:fill="FFFFFF"/>
          </w:tcPr>
          <w:p w14:paraId="591486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202</w:t>
            </w:r>
          </w:p>
        </w:tc>
        <w:tc>
          <w:tcPr>
            <w:tcW w:w="1601" w:type="dxa"/>
            <w:tcBorders>
              <w:top w:val="single" w:sz="12" w:space="0" w:color="auto"/>
            </w:tcBorders>
            <w:shd w:val="clear" w:color="auto" w:fill="FFFFFF"/>
          </w:tcPr>
          <w:p w14:paraId="0369A0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w:t>
            </w:r>
          </w:p>
        </w:tc>
      </w:tr>
      <w:tr w:rsidR="00E3599D" w:rsidRPr="00E14102" w14:paraId="7262B731" w14:textId="77777777">
        <w:tc>
          <w:tcPr>
            <w:tcW w:w="1601" w:type="dxa"/>
            <w:tcBorders>
              <w:bottom w:val="single" w:sz="12" w:space="0" w:color="auto"/>
            </w:tcBorders>
            <w:shd w:val="clear" w:color="auto" w:fill="FFFFFF"/>
          </w:tcPr>
          <w:p w14:paraId="507101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снаряда, м/с</w:t>
            </w:r>
          </w:p>
        </w:tc>
        <w:tc>
          <w:tcPr>
            <w:tcW w:w="1601" w:type="dxa"/>
            <w:tcBorders>
              <w:bottom w:val="single" w:sz="12" w:space="0" w:color="auto"/>
            </w:tcBorders>
            <w:shd w:val="clear" w:color="auto" w:fill="FFFFFF"/>
          </w:tcPr>
          <w:p w14:paraId="1A4751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322,0-322,2</w:t>
            </w:r>
          </w:p>
        </w:tc>
        <w:tc>
          <w:tcPr>
            <w:tcW w:w="1601" w:type="dxa"/>
            <w:tcBorders>
              <w:bottom w:val="single" w:sz="12" w:space="0" w:color="auto"/>
            </w:tcBorders>
            <w:shd w:val="clear" w:color="auto" w:fill="FFFFFF"/>
          </w:tcPr>
          <w:p w14:paraId="3D0005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338,1-339,3</w:t>
            </w:r>
          </w:p>
        </w:tc>
        <w:tc>
          <w:tcPr>
            <w:tcW w:w="1601" w:type="dxa"/>
            <w:tcBorders>
              <w:bottom w:val="single" w:sz="12" w:space="0" w:color="auto"/>
            </w:tcBorders>
            <w:shd w:val="clear" w:color="auto" w:fill="FFFFFF"/>
          </w:tcPr>
          <w:p w14:paraId="44DD07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361,2-364,4</w:t>
            </w:r>
          </w:p>
        </w:tc>
        <w:tc>
          <w:tcPr>
            <w:tcW w:w="1601" w:type="dxa"/>
            <w:tcBorders>
              <w:bottom w:val="single" w:sz="12" w:space="0" w:color="auto"/>
            </w:tcBorders>
            <w:shd w:val="clear" w:color="auto" w:fill="FFFFFF"/>
          </w:tcPr>
          <w:p w14:paraId="6E71EE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358,2-360,2</w:t>
            </w:r>
          </w:p>
        </w:tc>
        <w:tc>
          <w:tcPr>
            <w:tcW w:w="1601" w:type="dxa"/>
            <w:tcBorders>
              <w:bottom w:val="single" w:sz="12" w:space="0" w:color="auto"/>
            </w:tcBorders>
            <w:shd w:val="clear" w:color="auto" w:fill="FFFFFF"/>
          </w:tcPr>
          <w:p w14:paraId="23D10C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361,1-368,0</w:t>
            </w:r>
          </w:p>
        </w:tc>
        <w:tc>
          <w:tcPr>
            <w:tcW w:w="1601" w:type="dxa"/>
            <w:tcBorders>
              <w:bottom w:val="single" w:sz="12" w:space="0" w:color="auto"/>
            </w:tcBorders>
            <w:shd w:val="clear" w:color="auto" w:fill="FFFFFF"/>
          </w:tcPr>
          <w:p w14:paraId="25DEE0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358,4-370,8</w:t>
            </w:r>
          </w:p>
        </w:tc>
      </w:tr>
    </w:tbl>
    <w:p w14:paraId="501ABE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Как упоминалось выше, при отстреле РОС-82 второго варианта были отмечены три случая разрыва корпусов двигателей. Один произошел и с РС-132. По-видимому, на это повлиял порох партии 1933 г., который на контрольных испытаниях «дал большой разброс давлений». Его изготови ли в период простоя завода РНИИ из-за отсутствия пироксилина. РОС-132 разорвало из-за того, что сопловые крышки этой партии не упрочняли тер</w:t>
      </w:r>
      <w:r w:rsidRPr="00E14102">
        <w:rPr>
          <w:color w:val="000000" w:themeColor="text1"/>
          <w:sz w:val="16"/>
          <w:szCs w:val="16"/>
        </w:rPr>
        <w:softHyphen/>
        <w:t>мообработкой. По устранении этих причин, контрольный отстрел по 20 снарядов каждого калибра дал удовлетворительные результаты.</w:t>
      </w:r>
    </w:p>
    <w:p w14:paraId="2D1582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 нарастания скоростей РОС-132 модели 121000 Таблица 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E3599D" w:rsidRPr="00E14102" w14:paraId="2D4D2A68" w14:textId="77777777">
        <w:tc>
          <w:tcPr>
            <w:tcW w:w="2242" w:type="dxa"/>
            <w:tcBorders>
              <w:top w:val="single" w:sz="12" w:space="0" w:color="auto"/>
            </w:tcBorders>
            <w:shd w:val="clear" w:color="auto" w:fill="FFFFFF"/>
          </w:tcPr>
          <w:p w14:paraId="2D2A27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Расстояние от пусковой, м</w:t>
            </w:r>
          </w:p>
        </w:tc>
        <w:tc>
          <w:tcPr>
            <w:tcW w:w="2242" w:type="dxa"/>
            <w:tcBorders>
              <w:top w:val="single" w:sz="12" w:space="0" w:color="auto"/>
            </w:tcBorders>
            <w:shd w:val="clear" w:color="auto" w:fill="FFFFFF"/>
          </w:tcPr>
          <w:p w14:paraId="4528F5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w:t>
            </w:r>
          </w:p>
        </w:tc>
        <w:tc>
          <w:tcPr>
            <w:tcW w:w="2242" w:type="dxa"/>
            <w:tcBorders>
              <w:top w:val="single" w:sz="12" w:space="0" w:color="auto"/>
            </w:tcBorders>
            <w:shd w:val="clear" w:color="auto" w:fill="FFFFFF"/>
          </w:tcPr>
          <w:p w14:paraId="4F6924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135</w:t>
            </w:r>
          </w:p>
        </w:tc>
        <w:tc>
          <w:tcPr>
            <w:tcW w:w="2242" w:type="dxa"/>
            <w:tcBorders>
              <w:top w:val="single" w:sz="12" w:space="0" w:color="auto"/>
            </w:tcBorders>
            <w:shd w:val="clear" w:color="auto" w:fill="FFFFFF"/>
          </w:tcPr>
          <w:p w14:paraId="0F9A4F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w:t>
            </w:r>
          </w:p>
        </w:tc>
        <w:tc>
          <w:tcPr>
            <w:tcW w:w="2242" w:type="dxa"/>
            <w:tcBorders>
              <w:top w:val="single" w:sz="12" w:space="0" w:color="auto"/>
            </w:tcBorders>
            <w:shd w:val="clear" w:color="auto" w:fill="FFFFFF"/>
          </w:tcPr>
          <w:p w14:paraId="2DEB0C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w:t>
            </w:r>
          </w:p>
        </w:tc>
      </w:tr>
      <w:tr w:rsidR="00E3599D" w:rsidRPr="00E14102" w14:paraId="5E210C9F" w14:textId="77777777">
        <w:tc>
          <w:tcPr>
            <w:tcW w:w="2242" w:type="dxa"/>
            <w:tcBorders>
              <w:bottom w:val="single" w:sz="12" w:space="0" w:color="auto"/>
            </w:tcBorders>
            <w:shd w:val="clear" w:color="auto" w:fill="FFFFFF"/>
          </w:tcPr>
          <w:p w14:paraId="04609F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Скорость снаряда, м/с </w:t>
            </w:r>
          </w:p>
        </w:tc>
        <w:tc>
          <w:tcPr>
            <w:tcW w:w="2242" w:type="dxa"/>
            <w:tcBorders>
              <w:bottom w:val="single" w:sz="12" w:space="0" w:color="auto"/>
            </w:tcBorders>
            <w:shd w:val="clear" w:color="auto" w:fill="FFFFFF"/>
          </w:tcPr>
          <w:p w14:paraId="09D631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127,1-275,6</w:t>
            </w:r>
          </w:p>
        </w:tc>
        <w:tc>
          <w:tcPr>
            <w:tcW w:w="2242" w:type="dxa"/>
            <w:tcBorders>
              <w:bottom w:val="single" w:sz="12" w:space="0" w:color="auto"/>
            </w:tcBorders>
            <w:shd w:val="clear" w:color="auto" w:fill="FFFFFF"/>
          </w:tcPr>
          <w:p w14:paraId="7939B6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208,3-312,1</w:t>
            </w:r>
          </w:p>
        </w:tc>
        <w:tc>
          <w:tcPr>
            <w:tcW w:w="2242" w:type="dxa"/>
            <w:tcBorders>
              <w:bottom w:val="single" w:sz="12" w:space="0" w:color="auto"/>
            </w:tcBorders>
            <w:shd w:val="clear" w:color="auto" w:fill="FFFFFF"/>
          </w:tcPr>
          <w:p w14:paraId="360A6A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315,6-364,4</w:t>
            </w:r>
          </w:p>
        </w:tc>
        <w:tc>
          <w:tcPr>
            <w:tcW w:w="2242" w:type="dxa"/>
            <w:tcBorders>
              <w:bottom w:val="single" w:sz="12" w:space="0" w:color="auto"/>
            </w:tcBorders>
            <w:shd w:val="clear" w:color="auto" w:fill="FFFFFF"/>
          </w:tcPr>
          <w:p w14:paraId="48B18A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bl>
    <w:p w14:paraId="34EE157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Большое расхождение в скоростях у РОС-82 второго и третьего вари</w:t>
      </w:r>
      <w:r w:rsidRPr="00E14102">
        <w:rPr>
          <w:color w:val="000000" w:themeColor="text1"/>
          <w:sz w:val="16"/>
          <w:szCs w:val="16"/>
        </w:rPr>
        <w:softHyphen/>
        <w:t>антов, в сравнении с расчетными данными, давало основание полагать, что своего максимального значения они достигали уже за рамами-мише</w:t>
      </w:r>
      <w:r w:rsidRPr="00E14102">
        <w:rPr>
          <w:color w:val="000000" w:themeColor="text1"/>
          <w:sz w:val="16"/>
          <w:szCs w:val="16"/>
        </w:rPr>
        <w:softHyphen/>
        <w:t>нями. У «энергетического варианта» РС-132 модели 120800 в результате увеличения массы РЗ почти на четверть, максимальная скорость возрос</w:t>
      </w:r>
      <w:r w:rsidRPr="00E14102">
        <w:rPr>
          <w:color w:val="000000" w:themeColor="text1"/>
          <w:sz w:val="16"/>
          <w:szCs w:val="16"/>
        </w:rPr>
        <w:softHyphen/>
        <w:t>ла лишь на 6 м/с. А у РС-82 модели 110800 (также с усиленным РЗ) она наоборот уменьшилась на 40-80 м/с. Испытатели объяснили это явление тем, что многорядные РЗ в камере двигателя и без того горят нестабиль</w:t>
      </w:r>
      <w:r w:rsidRPr="00E14102">
        <w:rPr>
          <w:color w:val="000000" w:themeColor="text1"/>
          <w:sz w:val="16"/>
          <w:szCs w:val="16"/>
        </w:rPr>
        <w:softHyphen/>
        <w:t>но (что ранее было отмечено в ходе лабораторных испытаний), так их увеличение еще более усугубило это явление.</w:t>
      </w:r>
    </w:p>
    <w:p w14:paraId="2CB956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Дело в том, что горение составных РЗ из коротких шашек проходило «в несколько приемов», и «включение» каждого нового ряда в этот процесс давало свой небольшой пик на диаграмме внутреннего давления. В итоге наилучшими показателями скорости обладали первый вариант РОС-82 модели 110700, достигший 350 м/с, а также первый и второй ва</w:t>
      </w:r>
      <w:r w:rsidRPr="00E14102">
        <w:rPr>
          <w:color w:val="000000" w:themeColor="text1"/>
          <w:sz w:val="16"/>
          <w:szCs w:val="16"/>
        </w:rPr>
        <w:softHyphen/>
        <w:t>рианты РОС-132 моделей 120700 и 120800, давшие 360 и 366 м/с.</w:t>
      </w:r>
    </w:p>
    <w:p w14:paraId="5D2C238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Удовлетворительные результаты рассеивания по дальности проде</w:t>
      </w:r>
      <w:r w:rsidRPr="00E14102">
        <w:rPr>
          <w:color w:val="000000" w:themeColor="text1"/>
          <w:sz w:val="16"/>
          <w:szCs w:val="16"/>
        </w:rPr>
        <w:softHyphen/>
        <w:t>монстрировали РОС-132 всех трех вариантов, в среднем «давшие мет</w:t>
      </w:r>
      <w:r w:rsidRPr="00E14102">
        <w:rPr>
          <w:color w:val="000000" w:themeColor="text1"/>
          <w:sz w:val="16"/>
          <w:szCs w:val="16"/>
        </w:rPr>
        <w:softHyphen/>
        <w:t>кость» в 1/165 дистанции. Рассеивание этих снарядов по боковому на</w:t>
      </w:r>
      <w:r w:rsidRPr="00E14102">
        <w:rPr>
          <w:color w:val="000000" w:themeColor="text1"/>
          <w:sz w:val="16"/>
          <w:szCs w:val="16"/>
        </w:rPr>
        <w:softHyphen/>
        <w:t>правлению в среднем — 1/75 дистанции. Зато у РОС-82 всех трех ва</w:t>
      </w:r>
      <w:r w:rsidRPr="00E14102">
        <w:rPr>
          <w:color w:val="000000" w:themeColor="text1"/>
          <w:sz w:val="16"/>
          <w:szCs w:val="16"/>
        </w:rPr>
        <w:softHyphen/>
        <w:t>риантов техническое рассеивание оказалось неудовлетворительным. Снаряды третьих вариантов со стальным сварным оперением «дали лучшую меткость», что соответствовало результатам опытов со снаря</w:t>
      </w:r>
      <w:r w:rsidRPr="00E14102">
        <w:rPr>
          <w:color w:val="000000" w:themeColor="text1"/>
          <w:sz w:val="16"/>
          <w:szCs w:val="16"/>
        </w:rPr>
        <w:softHyphen/>
        <w:t>дами модели 1454, но со стальным сварным стабилизатором. Стрель</w:t>
      </w:r>
      <w:r w:rsidRPr="00E14102">
        <w:rPr>
          <w:color w:val="000000" w:themeColor="text1"/>
          <w:sz w:val="16"/>
          <w:szCs w:val="16"/>
        </w:rPr>
        <w:softHyphen/>
        <w:t>ба с углами возвышения 40° показала, что в то время как нормальный снаряд этой модели обладает рассеиванием порядка 1/20 по дально</w:t>
      </w:r>
      <w:r w:rsidRPr="00E14102">
        <w:rPr>
          <w:color w:val="000000" w:themeColor="text1"/>
          <w:sz w:val="16"/>
          <w:szCs w:val="16"/>
        </w:rPr>
        <w:softHyphen/>
        <w:t>сти и ]/8о по боковому направлению, его вариант со стальным свар</w:t>
      </w:r>
      <w:r w:rsidRPr="00E14102">
        <w:rPr>
          <w:color w:val="000000" w:themeColor="text1"/>
          <w:sz w:val="16"/>
          <w:szCs w:val="16"/>
        </w:rPr>
        <w:softHyphen/>
        <w:t>ным оперением демонстрировал по дальности 1/142 и 1/185 по боко вому. Такие показатели, даже по сегодняшним меркам, были вовсе не</w:t>
      </w:r>
      <w:r w:rsidRPr="00E14102">
        <w:rPr>
          <w:color w:val="000000" w:themeColor="text1"/>
          <w:sz w:val="16"/>
          <w:szCs w:val="16"/>
        </w:rPr>
        <w:softHyphen/>
        <w:t>дурны.</w:t>
      </w:r>
    </w:p>
    <w:p w14:paraId="015B3BA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Осколочное действие БЧ снарядов РОС-132 первого и второго вари</w:t>
      </w:r>
      <w:r w:rsidRPr="00E14102">
        <w:rPr>
          <w:color w:val="000000" w:themeColor="text1"/>
          <w:sz w:val="16"/>
          <w:szCs w:val="16"/>
        </w:rPr>
        <w:softHyphen/>
        <w:t>антов, снаряженных тротилом, за счет уменьшения массы боевого заря</w:t>
      </w:r>
      <w:r w:rsidRPr="00E14102">
        <w:rPr>
          <w:color w:val="000000" w:themeColor="text1"/>
          <w:sz w:val="16"/>
          <w:szCs w:val="16"/>
        </w:rPr>
        <w:softHyphen/>
        <w:t>да оказалось несколько лучше, чем у штатных РС-132 модели 2-01172. Что касается РС-82, то здесь осколочное действие признали практически равноценным снаряду модели 1454, хотя масса БЧ у снарядов 1935 г. пре</w:t>
      </w:r>
      <w:r w:rsidRPr="00E14102">
        <w:rPr>
          <w:color w:val="000000" w:themeColor="text1"/>
          <w:sz w:val="16"/>
          <w:szCs w:val="16"/>
        </w:rPr>
        <w:softHyphen/>
        <w:t>вышала прототип. Осколочное действие БЧ снарядов третьего варианта определяли намного позже, в рамках работ по объекту 305.</w:t>
      </w:r>
    </w:p>
    <w:p w14:paraId="240C07B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основе работ с осколочными РОС-82 и РОС-132, в РНИИ состави</w:t>
      </w:r>
      <w:r w:rsidRPr="00E14102">
        <w:rPr>
          <w:color w:val="000000" w:themeColor="text1"/>
          <w:sz w:val="16"/>
          <w:szCs w:val="16"/>
        </w:rPr>
        <w:softHyphen/>
        <w:t>ли проекты боеприпасов, явившихся «синтезом всех трех вариантов каждо</w:t>
      </w:r>
      <w:r w:rsidRPr="00E14102">
        <w:rPr>
          <w:color w:val="000000" w:themeColor="text1"/>
          <w:sz w:val="16"/>
          <w:szCs w:val="16"/>
        </w:rPr>
        <w:softHyphen/>
        <w:t>го калибра». Таким образом, для изготовления опытно-валовой партии ди</w:t>
      </w:r>
      <w:r w:rsidRPr="00E14102">
        <w:rPr>
          <w:color w:val="000000" w:themeColor="text1"/>
          <w:sz w:val="16"/>
          <w:szCs w:val="16"/>
        </w:rPr>
        <w:softHyphen/>
        <w:t>ректор РНИИ НКТП И.Т.Клейменов и начальник первого отдела РНИИ Ю.А.Победоносцев рекомендовали РОС-132, разработанный на основе боеприпаса второго варианта модели 120800 с незначительными конструк</w:t>
      </w:r>
      <w:r w:rsidRPr="00E14102">
        <w:rPr>
          <w:color w:val="000000" w:themeColor="text1"/>
          <w:sz w:val="16"/>
          <w:szCs w:val="16"/>
        </w:rPr>
        <w:softHyphen/>
        <w:t>тивными изменениями. Что касается РОС-82, то испытанные образцы не дали существенных преимуществ относительно прототипа, а потому было признано наиболее целесообразным оставить в производстве модель 1454, заменив лишь дюралюминиевое клепаное оперение стальным сварным.</w:t>
      </w:r>
    </w:p>
    <w:p w14:paraId="7C913B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Рассчитывал траектории РС-82 модели 1454 и РС-132 модели 1458 инженер 1 отдела РНИИ М.Ф.Фокин в 1935 г. На основании отношения начальника 5 отдела УВС РККА составлена таблица углов бросания РС-82 и полного времени полета при стрельбе с земной установки для дистанции 500-5000 м через каждые 500 м и такая же таблица для стрель</w:t>
      </w:r>
      <w:r w:rsidRPr="00E14102">
        <w:rPr>
          <w:color w:val="000000" w:themeColor="text1"/>
          <w:sz w:val="16"/>
          <w:szCs w:val="16"/>
        </w:rPr>
        <w:softHyphen/>
        <w:t>бы с самолета на высоте от 1000 до 5000 м через каждые 1000 м. Опреде</w:t>
      </w:r>
      <w:r w:rsidRPr="00E14102">
        <w:rPr>
          <w:color w:val="000000" w:themeColor="text1"/>
          <w:sz w:val="16"/>
          <w:szCs w:val="16"/>
        </w:rPr>
        <w:softHyphen/>
        <w:t>лено влияние скорости самолета на максимальную скорость снаряда. Составлена таблица опытных данных рассеивания РС-82 при стрельбе с земли.</w:t>
      </w:r>
    </w:p>
    <w:p w14:paraId="6AAFBC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активном участке траектории можно пренебречь силой сопротив</w:t>
      </w:r>
      <w:r w:rsidRPr="00E14102">
        <w:rPr>
          <w:color w:val="000000" w:themeColor="text1"/>
          <w:sz w:val="16"/>
          <w:szCs w:val="16"/>
        </w:rPr>
        <w:softHyphen/>
        <w:t>ления воздуха и проекцией силы тяжести на касательную к траектории, так как сумма указанных сил — порядка десятков килограмм, а сила тяги РЗ ракетного снаряда - порядка 2 т (11402).</w:t>
      </w:r>
    </w:p>
    <w:p w14:paraId="72D3732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4F5605B" w14:textId="77777777" w:rsidR="009602A3"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47E5E19" w14:textId="77777777" w:rsidR="009602A3" w:rsidRPr="00E14102" w:rsidRDefault="009602A3" w:rsidP="00E14102">
      <w:pPr>
        <w:autoSpaceDE w:val="0"/>
        <w:autoSpaceDN w:val="0"/>
        <w:adjustRightInd w:val="0"/>
        <w:jc w:val="both"/>
        <w:rPr>
          <w:iCs/>
          <w:color w:val="000000" w:themeColor="text1"/>
          <w:sz w:val="16"/>
          <w:szCs w:val="16"/>
        </w:rPr>
      </w:pPr>
    </w:p>
    <w:p w14:paraId="3EECB328" w14:textId="77777777" w:rsidR="009602A3" w:rsidRPr="00E14102" w:rsidRDefault="009602A3" w:rsidP="00E14102">
      <w:pPr>
        <w:pStyle w:val="rtejustify"/>
        <w:spacing w:before="0" w:after="0"/>
        <w:rPr>
          <w:color w:val="000000" w:themeColor="text1"/>
          <w:sz w:val="16"/>
          <w:szCs w:val="16"/>
        </w:rPr>
      </w:pPr>
      <w:r w:rsidRPr="00E14102">
        <w:rPr>
          <w:rStyle w:val="a6"/>
          <w:bCs/>
          <w:i w:val="0"/>
          <w:color w:val="000000" w:themeColor="text1"/>
          <w:sz w:val="16"/>
          <w:szCs w:val="16"/>
        </w:rPr>
        <w:t>13 ноября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148сс «Об отгрузке турбин, закупленных для крейсера у фирмы “Ансальдо”». (ГА РФ. Ф. Р</w:t>
      </w:r>
      <w:r w:rsidRPr="00E14102">
        <w:rPr>
          <w:color w:val="000000" w:themeColor="text1"/>
          <w:sz w:val="16"/>
          <w:szCs w:val="16"/>
        </w:rPr>
        <w:noBreakHyphen/>
        <w:t>8418. Оп. 28. Д. 7. Л. 212) (15460).</w:t>
      </w:r>
    </w:p>
    <w:p w14:paraId="19A1E9B7" w14:textId="77777777" w:rsidR="009602A3" w:rsidRPr="00E14102" w:rsidRDefault="009602A3" w:rsidP="00E14102">
      <w:pPr>
        <w:pStyle w:val="rtejustify"/>
        <w:spacing w:before="0" w:after="0"/>
        <w:rPr>
          <w:color w:val="000000" w:themeColor="text1"/>
          <w:sz w:val="16"/>
          <w:szCs w:val="16"/>
        </w:rPr>
      </w:pPr>
    </w:p>
    <w:p w14:paraId="738FBF55" w14:textId="77777777" w:rsidR="00D4105E" w:rsidRPr="00E14102" w:rsidRDefault="004B7965" w:rsidP="00E14102">
      <w:pPr>
        <w:shd w:val="clear" w:color="auto" w:fill="FFFFFF"/>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6CAC265F" w14:textId="77777777" w:rsidR="00D4105E" w:rsidRPr="00E14102" w:rsidRDefault="00D4105E" w:rsidP="00E14102">
      <w:pPr>
        <w:shd w:val="clear" w:color="auto" w:fill="FFFFFF"/>
        <w:autoSpaceDE w:val="0"/>
        <w:autoSpaceDN w:val="0"/>
        <w:adjustRightInd w:val="0"/>
        <w:jc w:val="both"/>
        <w:rPr>
          <w:iCs/>
          <w:color w:val="000000" w:themeColor="text1"/>
          <w:sz w:val="16"/>
          <w:szCs w:val="16"/>
        </w:rPr>
      </w:pPr>
    </w:p>
    <w:p w14:paraId="23490C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ноября 1935 года Специальная комиссия представила «Доклад по выбору позиций и базы же лезнодорожной артиллерии». Вот его основные положения:</w:t>
      </w:r>
    </w:p>
    <w:p w14:paraId="4471DD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...Позиция в районе дер.Кирьямо неудовлетворительная, т. к. расположена в расстоянии около 800 метров от существующей 180-мм позиции и имеет слабую лесную маску.</w:t>
      </w:r>
    </w:p>
    <w:p w14:paraId="5F3CDE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Наиболее удовлетворительной является позиция в районе д. Тисколово...</w:t>
      </w:r>
    </w:p>
    <w:p w14:paraId="3D3C57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Назначенная Генштабом РККА директрисса этой позиции 350 градусов, по мему мнению неудовлетворительна, т. к. остается необстрелянным район между Лавенсари и б. Вигрунд, откуда про­тивник может обстреливать базу Ручьи прямой наводкой.</w:t>
      </w:r>
    </w:p>
    <w:p w14:paraId="4F0630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Базу ж.д. артиллерии в районе Косколово —Ручьи по условиям местности выбрать не удалось. Наиболее подходящим местом для базы намечен участок к северо-западу от озера Бабинское в районе д.Мукково.</w:t>
      </w:r>
    </w:p>
    <w:p w14:paraId="3B7261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5. Плохое состояние шоссейных и грунтовых дорог на Кургаловском полуострове будет являться огромной помехой в подвозе строительных материалов... </w:t>
      </w:r>
    </w:p>
    <w:p w14:paraId="2E150A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6. ... Деревни Кургалово и Колгонпя в результате строительства в 1936 году окажутся окруженными со всех сторон позициями и батареями. Кроме того, население этих деревень, по имеющимся данным, ненадежно, т. к. имело и имеет родственные связи с Финляндией, занималось контрабандой и шпионажем в пользу Эстонии и Финляндии, а в Гражданскую войну укомплектовывало бело-эстонские ингерманландские полки... </w:t>
      </w:r>
    </w:p>
    <w:p w14:paraId="78497D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Вашего ходатайства перед Наркомом Обороны и Правительством:</w:t>
      </w:r>
    </w:p>
    <w:p w14:paraId="366921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О выселении в 1936 году деревень Кургалово, Колганпя и отдельных хуторов в районе позиции на Кургаловском и Сейтинском полуостровах. </w:t>
      </w:r>
    </w:p>
    <w:p w14:paraId="7A3A49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 О форсировании строительства шоссейной дороги д. Пески — пристань Усть-Луга, паром у из. Краколье, деревня Остров —Вейно —Липово—Кургалово... </w:t>
      </w:r>
    </w:p>
    <w:p w14:paraId="291889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пп. Командующий Красным Балтийским Флотом — Галлер (11454).</w:t>
      </w:r>
    </w:p>
    <w:p w14:paraId="2D607D92" w14:textId="77777777" w:rsidR="00D4105E" w:rsidRPr="00E14102" w:rsidRDefault="00D4105E" w:rsidP="00E14102">
      <w:pPr>
        <w:autoSpaceDE w:val="0"/>
        <w:autoSpaceDN w:val="0"/>
        <w:adjustRightInd w:val="0"/>
        <w:jc w:val="both"/>
        <w:rPr>
          <w:color w:val="000000" w:themeColor="text1"/>
          <w:sz w:val="16"/>
          <w:szCs w:val="16"/>
        </w:rPr>
      </w:pPr>
    </w:p>
    <w:p w14:paraId="69BE241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E7BE006" w14:textId="77777777" w:rsidR="00D4105E" w:rsidRPr="00E14102" w:rsidRDefault="00D4105E" w:rsidP="00E14102">
      <w:pPr>
        <w:autoSpaceDE w:val="0"/>
        <w:autoSpaceDN w:val="0"/>
        <w:adjustRightInd w:val="0"/>
        <w:jc w:val="both"/>
        <w:rPr>
          <w:iCs/>
          <w:color w:val="000000" w:themeColor="text1"/>
          <w:sz w:val="16"/>
          <w:szCs w:val="16"/>
        </w:rPr>
      </w:pPr>
    </w:p>
    <w:p w14:paraId="314E13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ноября 1935 года руководитель военно-морской группы – член КПК Куйбышев писал письмо Молотову.</w:t>
      </w:r>
    </w:p>
    <w:p w14:paraId="1B43A7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летных испытаниях самолета Чухновского ДАР.</w:t>
      </w:r>
    </w:p>
    <w:p w14:paraId="0D81A6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ДАР в настоящее время готов к заводским испытаниям. Однако с организационной стороны производство этих испытаний совершенно не обеспечено. Чухновский предполагает эти испытания провести лично сам, однако он уже несколько лет не летал …….</w:t>
      </w:r>
    </w:p>
    <w:p w14:paraId="41DD31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Полагаю необходимым обязать Главное управление Северного морского пути организовать заводские испытания самолета ДАР и одновременно запретить Чухновскому личное пилотирование машины до окончания заводских испытаний (4016,109).</w:t>
      </w:r>
    </w:p>
    <w:p w14:paraId="5DAE99AE" w14:textId="77777777" w:rsidR="00D4105E" w:rsidRPr="00E14102" w:rsidRDefault="00D4105E" w:rsidP="00E14102">
      <w:pPr>
        <w:autoSpaceDE w:val="0"/>
        <w:autoSpaceDN w:val="0"/>
        <w:adjustRightInd w:val="0"/>
        <w:jc w:val="both"/>
        <w:rPr>
          <w:color w:val="000000" w:themeColor="text1"/>
          <w:sz w:val="16"/>
          <w:szCs w:val="16"/>
        </w:rPr>
      </w:pPr>
    </w:p>
    <w:p w14:paraId="0E4A94A3" w14:textId="77777777" w:rsidR="00647F1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E34DE52" w14:textId="77777777" w:rsidR="00647F1E" w:rsidRPr="00E14102" w:rsidRDefault="00647F1E" w:rsidP="00E14102">
      <w:pPr>
        <w:autoSpaceDE w:val="0"/>
        <w:autoSpaceDN w:val="0"/>
        <w:adjustRightInd w:val="0"/>
        <w:jc w:val="both"/>
        <w:rPr>
          <w:iCs/>
          <w:color w:val="000000" w:themeColor="text1"/>
          <w:sz w:val="16"/>
          <w:szCs w:val="16"/>
        </w:rPr>
      </w:pPr>
    </w:p>
    <w:p w14:paraId="2D41D6F7" w14:textId="77777777" w:rsidR="00970104" w:rsidRPr="00E14102" w:rsidRDefault="00970104"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14 ноября 1935 года</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была сдана заказчику первая ПЛ «Щ-309» «Дельфин» из серии, заложенной 6 ноября 1933. Две другие достраивались еще год на стапелях и только в весенний паводок</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10 апреля 1935 года</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всплыли, и то не сразу.</w:t>
      </w:r>
    </w:p>
    <w:p w14:paraId="51E0A024" w14:textId="77777777" w:rsidR="00970104" w:rsidRPr="00E14102" w:rsidRDefault="00970104"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lastRenderedPageBreak/>
        <w:t>Вот как об этом рассказывает М. И. Лернер в своих воспоминаниях: «… паводок оказался низким. При его уровне суда с кильблоков всплыть не могли». Были рассмотрены три варианта их снятия с кильблоков: подъем с помощью дополнительной плавучести эпроновских понтонов; с помощью конструктивных приспособлений в виде консолей укрепленных к плавучему доку (В. М. Коричев, С. Н. Якимовский и А. П. Овчинников); или за счет подъема уровня воды в судояме с помощью накачки ее из Волги насосами. Но ничего этого не потребовалось. На рассвете одного из дней вода прибыла, и лодки всплыли».</w:t>
      </w:r>
    </w:p>
    <w:p w14:paraId="316C59D3" w14:textId="77777777" w:rsidR="00970104" w:rsidRPr="00E14102" w:rsidRDefault="00970104"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затоне завода лодки продолжали достраиваться еще целый год. Весной 1936 года они были отправлены в доках в Кронштадт, где и были сданы флоту в августе 1936 года. Командирами этих лодок на момент сдачи были Д. Ф. Блок («Щ-310») и А. Г. Лопухин («Щ-311») (12191).</w:t>
      </w:r>
    </w:p>
    <w:p w14:paraId="24BEB7D7" w14:textId="77777777" w:rsidR="00970104" w:rsidRPr="00E14102" w:rsidRDefault="00970104" w:rsidP="00E14102">
      <w:pPr>
        <w:pStyle w:val="ad"/>
        <w:shd w:val="clear" w:color="auto" w:fill="FFFFFF"/>
        <w:spacing w:before="0" w:after="0"/>
        <w:rPr>
          <w:rFonts w:ascii="Times New Roman" w:hAnsi="Times New Roman" w:cs="Times New Roman"/>
          <w:color w:val="000000" w:themeColor="text1"/>
          <w:sz w:val="16"/>
          <w:szCs w:val="16"/>
          <w:lang w:val="ru-RU"/>
        </w:rPr>
      </w:pPr>
    </w:p>
    <w:p w14:paraId="439F71D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6DE6067" w14:textId="77777777" w:rsidR="00D4105E" w:rsidRPr="00E14102" w:rsidRDefault="00D4105E" w:rsidP="00E14102">
      <w:pPr>
        <w:autoSpaceDE w:val="0"/>
        <w:autoSpaceDN w:val="0"/>
        <w:adjustRightInd w:val="0"/>
        <w:jc w:val="both"/>
        <w:rPr>
          <w:iCs/>
          <w:color w:val="000000" w:themeColor="text1"/>
          <w:sz w:val="16"/>
          <w:szCs w:val="16"/>
        </w:rPr>
      </w:pPr>
    </w:p>
    <w:p w14:paraId="2C2524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ноября 1935 открылось Первое всесоюзное совещание стахановцев и шло до 16 ноября (3481), а по другим данным - до 17 и именно на этом совещании И.В.С. сказал: Жить стало лучше, товарищи. Жить стало веселей (3908,348).</w:t>
      </w:r>
    </w:p>
    <w:p w14:paraId="27F4A2ED" w14:textId="77777777" w:rsidR="00D4105E" w:rsidRPr="00E14102" w:rsidRDefault="00D4105E" w:rsidP="00E14102">
      <w:pPr>
        <w:autoSpaceDE w:val="0"/>
        <w:autoSpaceDN w:val="0"/>
        <w:adjustRightInd w:val="0"/>
        <w:jc w:val="both"/>
        <w:rPr>
          <w:color w:val="000000" w:themeColor="text1"/>
          <w:sz w:val="16"/>
          <w:szCs w:val="16"/>
        </w:rPr>
      </w:pPr>
    </w:p>
    <w:p w14:paraId="6F1B32B0" w14:textId="77777777" w:rsidR="009602A3" w:rsidRPr="00E14102" w:rsidRDefault="009602A3" w:rsidP="00E14102">
      <w:pPr>
        <w:jc w:val="both"/>
        <w:rPr>
          <w:color w:val="000000" w:themeColor="text1"/>
          <w:sz w:val="16"/>
          <w:szCs w:val="16"/>
        </w:rPr>
      </w:pPr>
      <w:r w:rsidRPr="00E14102">
        <w:rPr>
          <w:bCs/>
          <w:color w:val="000000" w:themeColor="text1"/>
          <w:sz w:val="16"/>
          <w:szCs w:val="16"/>
        </w:rPr>
        <w:t>14 ноября</w:t>
      </w:r>
      <w:r w:rsidRPr="00E14102">
        <w:rPr>
          <w:color w:val="000000" w:themeColor="text1"/>
          <w:sz w:val="16"/>
          <w:szCs w:val="16"/>
        </w:rPr>
        <w:t xml:space="preserve"> в 1935 году в Москве открывается I Всесоюзное совещание стахановцев, на котором Сталин заявит: "Жить стало лучше, жить стало веселее". Фразу эту Иосиф Виссарионович позаимствовал из письма родителей "народного академика" Трофима Лысенко, которое тот не преминул показать вождю (14830).</w:t>
      </w:r>
    </w:p>
    <w:p w14:paraId="01748CEB" w14:textId="4B34306E" w:rsidR="009602A3" w:rsidRPr="00E14102" w:rsidRDefault="009602A3" w:rsidP="00E14102">
      <w:pPr>
        <w:jc w:val="both"/>
        <w:rPr>
          <w:color w:val="000000" w:themeColor="text1"/>
          <w:sz w:val="16"/>
          <w:szCs w:val="16"/>
        </w:rPr>
      </w:pPr>
    </w:p>
    <w:p w14:paraId="2C32BEAF" w14:textId="438DEA64" w:rsidR="00E31F7E" w:rsidRPr="00E14102" w:rsidRDefault="00E31F7E" w:rsidP="00E14102">
      <w:pPr>
        <w:jc w:val="both"/>
        <w:rPr>
          <w:i/>
          <w:iCs/>
          <w:color w:val="000000" w:themeColor="text1"/>
          <w:sz w:val="16"/>
          <w:szCs w:val="16"/>
        </w:rPr>
      </w:pPr>
      <w:r w:rsidRPr="00E14102">
        <w:rPr>
          <w:i/>
          <w:iCs/>
          <w:color w:val="000000" w:themeColor="text1"/>
          <w:sz w:val="16"/>
          <w:szCs w:val="16"/>
        </w:rPr>
        <w:t>За рубежом:</w:t>
      </w:r>
    </w:p>
    <w:p w14:paraId="2E8BE838" w14:textId="77777777" w:rsidR="00E31F7E" w:rsidRPr="00E14102" w:rsidRDefault="00E31F7E" w:rsidP="00E14102">
      <w:pPr>
        <w:jc w:val="both"/>
        <w:rPr>
          <w:i/>
          <w:iCs/>
          <w:color w:val="000000" w:themeColor="text1"/>
          <w:sz w:val="16"/>
          <w:szCs w:val="16"/>
        </w:rPr>
      </w:pPr>
    </w:p>
    <w:p w14:paraId="4B393A36" w14:textId="77777777" w:rsidR="00E31F7E" w:rsidRPr="00E14102" w:rsidRDefault="00E31F7E" w:rsidP="00E14102">
      <w:pPr>
        <w:jc w:val="both"/>
        <w:rPr>
          <w:color w:val="0070C0"/>
          <w:sz w:val="16"/>
          <w:szCs w:val="16"/>
        </w:rPr>
      </w:pPr>
      <w:r w:rsidRPr="00E14102">
        <w:rPr>
          <w:color w:val="0070C0"/>
          <w:sz w:val="16"/>
          <w:szCs w:val="16"/>
        </w:rPr>
        <w:t>14 ноября 1935 года — первый полёт многоцелевого самолёта Noorduyn Norseman. /Канада/</w:t>
      </w:r>
    </w:p>
    <w:p w14:paraId="6D7B0421" w14:textId="77777777" w:rsidR="00E31F7E" w:rsidRPr="00E14102" w:rsidRDefault="00E31F7E" w:rsidP="00E14102">
      <w:pPr>
        <w:jc w:val="both"/>
        <w:rPr>
          <w:color w:val="0070C0"/>
          <w:sz w:val="16"/>
          <w:szCs w:val="16"/>
        </w:rPr>
      </w:pPr>
      <w:r w:rsidRPr="00E14102">
        <w:rPr>
          <w:color w:val="0070C0"/>
          <w:sz w:val="16"/>
          <w:szCs w:val="16"/>
        </w:rPr>
        <w:t>В 1933 году авиаконструктор Роберт Нурдуин (Robert Noorduyn) вместе с коллегой Уолтером Клейтоном (Walter Clayton) основали компанию Noorduyn Aircraft Ltd. Первым самолётом компании стал Norseman. Он разрабатывался для эксплуатации в труднодоступных районах и обладал возможностью короткого взлёта и посадки.</w:t>
      </w:r>
    </w:p>
    <w:p w14:paraId="235A5004" w14:textId="77777777" w:rsidR="00E31F7E" w:rsidRPr="00E14102" w:rsidRDefault="00E31F7E" w:rsidP="00E14102">
      <w:pPr>
        <w:jc w:val="both"/>
        <w:rPr>
          <w:color w:val="0070C0"/>
          <w:sz w:val="16"/>
          <w:szCs w:val="16"/>
        </w:rPr>
      </w:pPr>
      <w:r w:rsidRPr="00E14102">
        <w:rPr>
          <w:color w:val="0070C0"/>
          <w:sz w:val="16"/>
          <w:szCs w:val="16"/>
        </w:rPr>
        <w:t>Norseman представлял собой подкосный высокоплан. Шасси могло быть колёсным, лыжным или поплавковым. Установлен двигатель Pratt &amp; Whitney R-1340-AN-1 Wasp мощностью 550 л.с. Крейсерская скорость — 210 км/ч, дальность — 1500 км. На борту помещалось до 10 пассажиров.</w:t>
      </w:r>
    </w:p>
    <w:p w14:paraId="5ABC5DD4" w14:textId="77777777" w:rsidR="00E31F7E" w:rsidRPr="00E14102" w:rsidRDefault="00E31F7E" w:rsidP="00E14102">
      <w:pPr>
        <w:jc w:val="both"/>
        <w:rPr>
          <w:color w:val="0070C0"/>
          <w:sz w:val="16"/>
          <w:szCs w:val="16"/>
        </w:rPr>
      </w:pPr>
      <w:r w:rsidRPr="00E14102">
        <w:rPr>
          <w:color w:val="0070C0"/>
          <w:sz w:val="16"/>
          <w:szCs w:val="16"/>
        </w:rPr>
        <w:t>С 1935 по 1959 год выпустили 904 единицы Noorduyn Norseman. Лётные качества самолёта оценили по достоинству — он эксплуатировался в 20 странах мира. На 2020-й год в Канаде сохранилось 37 единиц Norseman (22300).</w:t>
      </w:r>
    </w:p>
    <w:p w14:paraId="07686696" w14:textId="77777777" w:rsidR="00E31F7E" w:rsidRPr="00E14102" w:rsidRDefault="00E31F7E" w:rsidP="00E14102">
      <w:pPr>
        <w:jc w:val="both"/>
        <w:rPr>
          <w:color w:val="0070C0"/>
          <w:sz w:val="16"/>
          <w:szCs w:val="16"/>
        </w:rPr>
      </w:pPr>
    </w:p>
    <w:p w14:paraId="6F4EB3F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95AE519" w14:textId="77777777" w:rsidR="00D4105E" w:rsidRPr="00E14102" w:rsidRDefault="00D4105E" w:rsidP="00E14102">
      <w:pPr>
        <w:autoSpaceDE w:val="0"/>
        <w:autoSpaceDN w:val="0"/>
        <w:adjustRightInd w:val="0"/>
        <w:jc w:val="both"/>
        <w:rPr>
          <w:iCs/>
          <w:color w:val="000000" w:themeColor="text1"/>
          <w:sz w:val="16"/>
          <w:szCs w:val="16"/>
        </w:rPr>
      </w:pPr>
    </w:p>
    <w:p w14:paraId="6F13B1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15 по 22 ноября 1935 проходили экспериментальные испытания соединения "Звено" (ТБ3-4М17+2И5+2И16+ЗЕТ), проведенные совместно с заводом № 22</w:t>
      </w:r>
    </w:p>
    <w:p w14:paraId="61875E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214DA7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 НИИ ВВС инженер в/к Лосюков П.А.</w:t>
      </w:r>
    </w:p>
    <w:p w14:paraId="3B138A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 завода № 22 инженер Сергеев</w:t>
      </w:r>
    </w:p>
    <w:p w14:paraId="77B2FF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28F21B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6B18FC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89688C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Считать, что соединение "Звено" (ТБ3+5И) может быть эффективно использовано в частях ВС (7654).</w:t>
      </w:r>
    </w:p>
    <w:p w14:paraId="020AF49F"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79572A8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15 по 22 ноября 1935 года состоялись экспериментальные испытания соединения “Звено” (ТБ3-4М17+2И5+2И16+ЗЕТ), проведенных совместно с заводом № 22 (6715).</w:t>
      </w:r>
    </w:p>
    <w:p w14:paraId="2008B60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093AE6C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 НИИ ВС инженер Лосюков</w:t>
      </w:r>
    </w:p>
    <w:p w14:paraId="33B3624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 завода № 22 инженер Сергеев</w:t>
      </w:r>
    </w:p>
    <w:p w14:paraId="03CD90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00319C9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0A50561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703B46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Считать, что соединение “Звено” (ТБ3+5И) может быть эффективно использовано в частях ВС (6715).</w:t>
      </w:r>
    </w:p>
    <w:p w14:paraId="742BD76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50F363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15 по 22 ноября 1935 проходили испытания Звено ТБ-3 4М-17 + 2И-5 + 2И-16 + И-зет - Авиаматку ПВО (А-М), которое В.С.Вахмистров подготовил к испытаниям к осени 1935. В испытаниях участвовали А.И.Никашин, С.П.Супрун на И-5, Т.Т.Алтынов и К.К.Будаков на И-16, В.А.Степанчонок на И-зет. На ТБ-3 был П.М.Стефановский. летали с узкой бетонированной полосы, расположенной близко к ангарам. Чуть не разбились из-за того, что И-16 неравномерно тянули. Всего выполнили 3 тренировочных полета в полном составе и один демонстрационный. испытания зачли как совместные с заводом 22. Полетная масса с 4-мя была 20200 кг и расчеты позволяли поднять до 28000 (2692,9).</w:t>
      </w:r>
    </w:p>
    <w:p w14:paraId="2445EA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 от НИИ ВВС и Лосюков и от зав. 22 и Сергеев.</w:t>
      </w:r>
    </w:p>
    <w:p w14:paraId="294419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 Провести первый опытный полет соединением Звено ТБ-3 4М-17 + 2И-5 + 2И-16 + И-зет для подтверждения возможности полетов таким соединением (2838).</w:t>
      </w:r>
    </w:p>
    <w:p w14:paraId="34918F79" w14:textId="77777777" w:rsidR="00D4105E" w:rsidRPr="00E14102" w:rsidRDefault="00D4105E" w:rsidP="00E14102">
      <w:pPr>
        <w:autoSpaceDE w:val="0"/>
        <w:autoSpaceDN w:val="0"/>
        <w:adjustRightInd w:val="0"/>
        <w:jc w:val="both"/>
        <w:rPr>
          <w:color w:val="000000" w:themeColor="text1"/>
          <w:sz w:val="16"/>
          <w:szCs w:val="16"/>
        </w:rPr>
      </w:pPr>
    </w:p>
    <w:p w14:paraId="4F39D2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15 по 22 ноября 1935 г. на аэродроме НИИ ВВС испытывалась система, получившая сложное обозначение "Звено ТБ-3 4М-17 + 2И-5 + 2И-16 + ЗЕТ". Сам Вахмистров определял это сочетание как "Авиаматку ПВО" (А-М).</w:t>
      </w:r>
    </w:p>
    <w:p w14:paraId="786069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земле под крыло ТБ-3 цеплялись два И-16, а на крыло сверху закатывались два И-5. Последний участник, И-Z, догонял воздушную "этажерку" уже после взлёта. В испытаниях участвовали А.И. Никашин и С.П. Супрун на И-5, Т.Т. Алтынов и К.К. Бу- даков на И-16, В.А. Степанчонок на И-ЗЕТ. ТБ-3 пилотировал П.М. Стефановский, который вспоминал: "Взлетали мы с узкой бетонированной полосы, расположенной близко к ангарам. На взлёте требовалось выдержать идеальную прямую. Восемь двигателей при большом плече могли внести весьма нежелательную поправку в намерения экипажа и командования. Для упрощения взлёта приказываю Ап- тынову и Будакову дать газ моторам своих истребителей одновременно со мной. Когда я возьму точное направление по оси взлётной полосы, то наклоню голову. Это команда для Никашина и Супруна дать газ своим двигателям. На обочине возле старта собралось множество зрителей. Плавно увеличиваю обороты моторов, начинаю разбег. Всё быстрее мелькают по сторонам аэродромные постройки. Вдруг самолёт строптиво, словно разнуздавшийся конь, заворачивает вправо, прямо на ангары. Супрун виноват: погорячился и газанул. Сбрасываю обороты левых двигателей почти до минимума и вновь сюрприз: самолёт начал забирать влево. Это уже Никашин. Увидел, что Супрун газует, и тоже подал вперёд рукоятку сектора. Напугался, что проворонил мой кивок головой. А может, я и в самом деле невзначай кивнул, когда самолёт стало заносить к ангарам. Резко поднимаю обороты левой моторной группы. Чувствую, ещё не поздно, взлетим. И взлетели. Правда, разбег получился несколько удлинённым.</w:t>
      </w:r>
    </w:p>
    <w:p w14:paraId="25C631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Дальше пошло всё точно по заданию. На высоте тысяча метров к бомбардировщику под самое шасси подошел "ЗЕТ" Степанчонка. Пришвартовали его. Авиационный "букет" или, как его нарекли наши доморощенные сатирики, "воздушная куча мала" сделал несколько величественных, широких кругов над аэродромом. Подаю сигнал - и все пять истребителей разом стартуют с авиаматки".</w:t>
      </w:r>
    </w:p>
    <w:p w14:paraId="3F6A0A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выполнили три тренировочных полёта в полном составе и один демонстрационно-сдаточный перед комиссией ВВС. Эксперименты подтвердили возможность полётов "звена", состоящего из ТБ-3 и пяти истребителей. Никогда ранее и никогда впоследствии в мире подобного не осуществлялось. Испытания были засчитаны как совместные с московским заводом № 22, занимавшимся переделкой истребителей и носителя. Полётный вес "А-М" с четырьмя истребителями составлял 20200 кг, после подцепки И-Z- 21 700 кг. По оценке Вахмистрова, подтверждённой специалистами ЦАГИ, при некоторых усилениях крыла и шасси ТБ-3 полётный вес "А-М" можно было довести до 28 000 кг. Эту сцепку предполагалось использовать как крейсер-авианосец, который одновременно обеспечивал истребители топливом в полёте до момента их отцепления. В заключении по результатам испытаний отмечалось, что "Звено ТБ-3 4М-17 + 2И-5 + 2И-16 + ЗЕТ" может быть эффективно использовано в частях ВВС РККА.</w:t>
      </w:r>
    </w:p>
    <w:p w14:paraId="6221F9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Окончательные выводы были сделаны несколько иные. Признавалось, что накатка И-5 на крыло ТБ-3 сверху трудоёмка, подвеска И-ЗЕТ в районе бомболюка снижает возможности ТБ-3, а вот подвеска И-16 под крылом проста и удобна. Именно вариант ТБ-3 с двумя И-16 стал в дальнейшем совершенствоваться. Под обозначением "Звено-СПБ" он применялся во время Великой Отечественной войны (12005).</w:t>
      </w:r>
    </w:p>
    <w:p w14:paraId="4C5DB55B" w14:textId="77777777" w:rsidR="00D4105E" w:rsidRPr="00E14102" w:rsidRDefault="00D4105E" w:rsidP="00E14102">
      <w:pPr>
        <w:autoSpaceDE w:val="0"/>
        <w:autoSpaceDN w:val="0"/>
        <w:adjustRightInd w:val="0"/>
        <w:jc w:val="both"/>
        <w:rPr>
          <w:color w:val="000000" w:themeColor="text1"/>
          <w:sz w:val="16"/>
          <w:szCs w:val="16"/>
        </w:rPr>
      </w:pPr>
    </w:p>
    <w:p w14:paraId="0BD0CCBA" w14:textId="77777777" w:rsidR="00B40924" w:rsidRPr="00E14102" w:rsidRDefault="00B40924" w:rsidP="00E14102">
      <w:pPr>
        <w:jc w:val="both"/>
        <w:rPr>
          <w:color w:val="0070C0"/>
          <w:sz w:val="16"/>
          <w:szCs w:val="16"/>
        </w:rPr>
      </w:pPr>
      <w:r w:rsidRPr="00E14102">
        <w:rPr>
          <w:color w:val="0070C0"/>
          <w:sz w:val="16"/>
          <w:szCs w:val="16"/>
        </w:rPr>
        <w:t>С 15 по 22 ноября 1935 г. на аэродроме НИИ ВВС проходили испытания Звена. Всего было выполнено три тренировочных полета в пол</w:t>
      </w:r>
      <w:r w:rsidRPr="00E14102">
        <w:rPr>
          <w:color w:val="0070C0"/>
          <w:sz w:val="16"/>
          <w:szCs w:val="16"/>
        </w:rPr>
        <w:softHyphen/>
        <w:t>ном составе и один демонстрационно-сдаточный перед ко</w:t>
      </w:r>
      <w:r w:rsidRPr="00E14102">
        <w:rPr>
          <w:color w:val="0070C0"/>
          <w:sz w:val="16"/>
          <w:szCs w:val="16"/>
        </w:rPr>
        <w:softHyphen/>
        <w:t>миссией ВВС. Эксперименты подтвердили возможность по</w:t>
      </w:r>
      <w:r w:rsidRPr="00E14102">
        <w:rPr>
          <w:color w:val="0070C0"/>
          <w:sz w:val="16"/>
          <w:szCs w:val="16"/>
        </w:rPr>
        <w:softHyphen/>
        <w:t>летов «звена», состоящего из ТБ-3 и пяти истребителей. Никогда ранее и никогда впоследствии в мире подобно</w:t>
      </w:r>
      <w:r w:rsidRPr="00E14102">
        <w:rPr>
          <w:color w:val="0070C0"/>
          <w:sz w:val="16"/>
          <w:szCs w:val="16"/>
        </w:rPr>
        <w:softHyphen/>
        <w:t xml:space="preserve">го не осуществлялось. Испытания были засчитаны как совместные с московским заводом №22, осуществлявшим </w:t>
      </w:r>
      <w:r w:rsidRPr="00E14102">
        <w:rPr>
          <w:color w:val="0070C0"/>
          <w:sz w:val="16"/>
          <w:szCs w:val="16"/>
        </w:rPr>
        <w:lastRenderedPageBreak/>
        <w:t>переделку истребителей и носителя. Полетная масса А-М с четырьмя истребителями составляла 20 200 кг, после подцепки И-ЗЕТ - 21 700 кг. По оценке Вахмистрова, подтвержденной специалистами ЦАГИ, при некоторых усилениях крыла и шасси ТБ-3, полетную массу А-М мож</w:t>
      </w:r>
      <w:r w:rsidRPr="00E14102">
        <w:rPr>
          <w:color w:val="0070C0"/>
          <w:sz w:val="16"/>
          <w:szCs w:val="16"/>
        </w:rPr>
        <w:softHyphen/>
        <w:t>но было довести до 28 000 кг. Эту воздушную сцепку предполагалось использовать как крейсер-авианосец, ко</w:t>
      </w:r>
      <w:r w:rsidRPr="00E14102">
        <w:rPr>
          <w:color w:val="0070C0"/>
          <w:sz w:val="16"/>
          <w:szCs w:val="16"/>
        </w:rPr>
        <w:softHyphen/>
        <w:t>торый одновременно обеспечивал истребители топливом в полете до момента их отцепления. В заключении по ре</w:t>
      </w:r>
      <w:r w:rsidRPr="00E14102">
        <w:rPr>
          <w:color w:val="0070C0"/>
          <w:sz w:val="16"/>
          <w:szCs w:val="16"/>
        </w:rPr>
        <w:softHyphen/>
        <w:t>зультатам испытаний отмечалось, что «Звено ТБ-3 4М-17 + 2И-5 + 2И-16 + ЗЕТ» может быть эффективно использо</w:t>
      </w:r>
      <w:r w:rsidRPr="00E14102">
        <w:rPr>
          <w:color w:val="0070C0"/>
          <w:sz w:val="16"/>
          <w:szCs w:val="16"/>
        </w:rPr>
        <w:softHyphen/>
        <w:t>вано в частях РККА. Требуется разработка тактико-техни</w:t>
      </w:r>
      <w:r w:rsidRPr="00E14102">
        <w:rPr>
          <w:color w:val="0070C0"/>
          <w:sz w:val="16"/>
          <w:szCs w:val="16"/>
        </w:rPr>
        <w:softHyphen/>
        <w:t>ческих требований к такому воздушному соединению, по</w:t>
      </w:r>
      <w:r w:rsidRPr="00E14102">
        <w:rPr>
          <w:color w:val="0070C0"/>
          <w:sz w:val="16"/>
          <w:szCs w:val="16"/>
        </w:rPr>
        <w:softHyphen/>
        <w:t>сле чего следует собрать совещание, на котором оконча</w:t>
      </w:r>
      <w:r w:rsidRPr="00E14102">
        <w:rPr>
          <w:noProof/>
          <w:color w:val="0070C0"/>
          <w:sz w:val="16"/>
          <w:szCs w:val="16"/>
        </w:rPr>
        <mc:AlternateContent>
          <mc:Choice Requires="wps">
            <w:drawing>
              <wp:anchor distT="0" distB="0" distL="0" distR="0" simplePos="0" relativeHeight="251662336" behindDoc="0" locked="0" layoutInCell="1" allowOverlap="1" wp14:anchorId="6F0E1C30" wp14:editId="0B5C58D9">
                <wp:simplePos x="0" y="0"/>
                <wp:positionH relativeFrom="page">
                  <wp:posOffset>610235</wp:posOffset>
                </wp:positionH>
                <wp:positionV relativeFrom="margin">
                  <wp:posOffset>-2658110</wp:posOffset>
                </wp:positionV>
                <wp:extent cx="2995930" cy="149225"/>
                <wp:effectExtent l="0" t="0" r="0" b="0"/>
                <wp:wrapNone/>
                <wp:docPr id="1" name="Надпись 1"/>
                <wp:cNvGraphicFramePr/>
                <a:graphic xmlns:a="http://schemas.openxmlformats.org/drawingml/2006/main">
                  <a:graphicData uri="http://schemas.microsoft.com/office/word/2010/wordprocessingShape">
                    <wps:wsp>
                      <wps:cNvSpPr txBox="1"/>
                      <wps:spPr>
                        <a:xfrm>
                          <a:off x="0" y="0"/>
                          <a:ext cx="2995930" cy="149225"/>
                        </a:xfrm>
                        <a:prstGeom prst="rect">
                          <a:avLst/>
                        </a:prstGeom>
                        <a:noFill/>
                      </wps:spPr>
                      <wps:txbx>
                        <w:txbxContent>
                          <w:p w14:paraId="53D89C9F" w14:textId="77777777" w:rsidR="00B40924" w:rsidRDefault="00B40924" w:rsidP="00B40924">
                            <w:pPr>
                              <w:pStyle w:val="aff2"/>
                              <w:spacing w:line="240" w:lineRule="auto"/>
                            </w:pPr>
                            <w:r>
                              <w:rPr>
                                <w:color w:val="000000"/>
                                <w:lang w:bidi="ru-RU"/>
                              </w:rPr>
                              <w:t>И-ЗЕТ догоняет ТБ-3 для осуществления подцепки</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6F0E1C30" id="Надпись 1" o:spid="_x0000_s1028" type="#_x0000_t202" style="position:absolute;margin-left:48.05pt;margin-top:-209.3pt;width:235.9pt;height:11.75pt;z-index:251662336;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" filled="f" stroked="f">
                <v:textbox inset="0,0,0,0">
                  <w:txbxContent>
                    <w:p w14:paraId="53D89C9F" w14:textId="77777777" w:rsidR="00B40924" w:rsidRDefault="00B40924" w:rsidP="00B40924">
                      <w:pPr>
                        <w:pStyle w:val="aff2"/>
                        <w:spacing w:line="240" w:lineRule="auto"/>
                      </w:pPr>
                      <w:r>
                        <w:rPr>
                          <w:color w:val="000000"/>
                          <w:lang w:bidi="ru-RU"/>
                        </w:rPr>
                        <w:t>И-ЗЕТ догоняет ТБ-3 для осуществления подцепки</w:t>
                      </w:r>
                    </w:p>
                  </w:txbxContent>
                </v:textbox>
                <w10:wrap anchorx="page" anchory="margin"/>
              </v:shape>
            </w:pict>
          </mc:Fallback>
        </mc:AlternateContent>
      </w:r>
      <w:r w:rsidRPr="00E14102">
        <w:rPr>
          <w:color w:val="0070C0"/>
          <w:sz w:val="16"/>
          <w:szCs w:val="16"/>
        </w:rPr>
        <w:t>тельно определить целесообразность его реализации. Документ был утвержден Начальником НИИ ВВС комбри</w:t>
      </w:r>
      <w:r w:rsidRPr="00E14102">
        <w:rPr>
          <w:color w:val="0070C0"/>
          <w:sz w:val="16"/>
          <w:szCs w:val="16"/>
        </w:rPr>
        <w:softHyphen/>
        <w:t>гом Бажановым, директором авиазавода №22 Марголиным, начальником 1 отдела НИИ ВВС Петровым.</w:t>
      </w:r>
    </w:p>
    <w:p w14:paraId="644AB018" w14:textId="77777777" w:rsidR="00B40924" w:rsidRPr="00E14102" w:rsidRDefault="00B40924" w:rsidP="00E14102">
      <w:pPr>
        <w:jc w:val="both"/>
        <w:rPr>
          <w:color w:val="0070C0"/>
          <w:sz w:val="16"/>
          <w:szCs w:val="16"/>
        </w:rPr>
      </w:pPr>
      <w:r w:rsidRPr="00E14102">
        <w:rPr>
          <w:color w:val="0070C0"/>
          <w:sz w:val="16"/>
          <w:szCs w:val="16"/>
        </w:rPr>
        <w:t>Окончательные выводы были сделаны несколько иные. Признавалось, что накатка И-5 на крыло ТБ-3 сверху тру</w:t>
      </w:r>
      <w:r w:rsidRPr="00E14102">
        <w:rPr>
          <w:color w:val="0070C0"/>
          <w:sz w:val="16"/>
          <w:szCs w:val="16"/>
        </w:rPr>
        <w:softHyphen/>
        <w:t>доемка, подвеска И-ЗЕТ в районе бомболюка снижает возможности ТБ-3, а вот подвеска И-16 под крылом про</w:t>
      </w:r>
      <w:r w:rsidRPr="00E14102">
        <w:rPr>
          <w:color w:val="0070C0"/>
          <w:sz w:val="16"/>
          <w:szCs w:val="16"/>
        </w:rPr>
        <w:softHyphen/>
        <w:t>ста и удобна. Именно вариант ТБ-3 + 2И-16 стали в даль</w:t>
      </w:r>
      <w:r w:rsidRPr="00E14102">
        <w:rPr>
          <w:color w:val="0070C0"/>
          <w:sz w:val="16"/>
          <w:szCs w:val="16"/>
        </w:rPr>
        <w:softHyphen/>
        <w:t>нейшем совершенствовать.</w:t>
      </w:r>
    </w:p>
    <w:p w14:paraId="20526F39" w14:textId="77777777" w:rsidR="00B40924" w:rsidRPr="00E14102" w:rsidRDefault="00B40924" w:rsidP="00E14102">
      <w:pPr>
        <w:jc w:val="both"/>
        <w:rPr>
          <w:color w:val="0070C0"/>
          <w:sz w:val="16"/>
          <w:szCs w:val="16"/>
        </w:rPr>
      </w:pPr>
      <w:r w:rsidRPr="00E14102">
        <w:rPr>
          <w:color w:val="0070C0"/>
          <w:sz w:val="16"/>
          <w:szCs w:val="16"/>
        </w:rPr>
        <w:t>В заключение этого эпизода приведем воспоминания Вахмистрова об авиаматке:</w:t>
      </w:r>
    </w:p>
    <w:p w14:paraId="1581A3C5" w14:textId="77777777" w:rsidR="00B40924" w:rsidRPr="00E14102" w:rsidRDefault="00B40924" w:rsidP="00E14102">
      <w:pPr>
        <w:jc w:val="both"/>
        <w:rPr>
          <w:color w:val="0070C0"/>
          <w:sz w:val="16"/>
          <w:szCs w:val="16"/>
        </w:rPr>
      </w:pPr>
      <w:r w:rsidRPr="00E14102">
        <w:rPr>
          <w:color w:val="0070C0"/>
          <w:sz w:val="16"/>
          <w:szCs w:val="16"/>
        </w:rPr>
        <w:t>«Для авиаматки проектировалось огромное летающее крыло («парабола») Черановского. Матка должна была представлять собой бомбардировщик с бомбами, подни</w:t>
      </w:r>
      <w:r w:rsidRPr="00E14102">
        <w:rPr>
          <w:color w:val="0070C0"/>
          <w:sz w:val="16"/>
          <w:szCs w:val="16"/>
        </w:rPr>
        <w:softHyphen/>
        <w:t>мающий 6 истребителей. Мне пришлось докладывать об этом проекте на заседании Реввоенсовета. Я привез ту</w:t>
      </w:r>
      <w:r w:rsidRPr="00E14102">
        <w:rPr>
          <w:color w:val="0070C0"/>
          <w:sz w:val="16"/>
          <w:szCs w:val="16"/>
        </w:rPr>
        <w:softHyphen/>
        <w:t>да все чертежи и рисунки. Мне дали для доклада 15-20 ми</w:t>
      </w:r>
      <w:r w:rsidRPr="00E14102">
        <w:rPr>
          <w:color w:val="0070C0"/>
          <w:sz w:val="16"/>
          <w:szCs w:val="16"/>
        </w:rPr>
        <w:softHyphen/>
        <w:t>нут. Семен Михайлович Буденный помог мне развесить ри</w:t>
      </w:r>
      <w:r w:rsidRPr="00E14102">
        <w:rPr>
          <w:color w:val="0070C0"/>
          <w:sz w:val="16"/>
          <w:szCs w:val="16"/>
        </w:rPr>
        <w:softHyphen/>
        <w:t>сунки. Рисунок самолета «параболы» был непонятен, и Бу</w:t>
      </w:r>
      <w:r w:rsidRPr="00E14102">
        <w:rPr>
          <w:color w:val="0070C0"/>
          <w:sz w:val="16"/>
          <w:szCs w:val="16"/>
        </w:rPr>
        <w:softHyphen/>
        <w:t>денный поначалу повесил его вверх ногами.</w:t>
      </w:r>
    </w:p>
    <w:p w14:paraId="297469AD" w14:textId="77777777" w:rsidR="00B40924" w:rsidRPr="00E14102" w:rsidRDefault="00B40924" w:rsidP="00E14102">
      <w:pPr>
        <w:jc w:val="both"/>
        <w:rPr>
          <w:color w:val="0070C0"/>
          <w:sz w:val="16"/>
          <w:szCs w:val="16"/>
        </w:rPr>
      </w:pPr>
      <w:r w:rsidRPr="00E14102">
        <w:rPr>
          <w:color w:val="0070C0"/>
          <w:sz w:val="16"/>
          <w:szCs w:val="16"/>
        </w:rPr>
        <w:t>К докладу был проявлен очень большой интерес. Меня спрашивали, я отвечал. Эта беседа вместо 15-20 минут длилась около двух часов. Я был откомандирован для его постройки на 22-й завод. Работы по проекту вела молодежь, студенты из МАИ. Спроектировали. Пропусти</w:t>
      </w:r>
      <w:r w:rsidRPr="00E14102">
        <w:rPr>
          <w:color w:val="0070C0"/>
          <w:sz w:val="16"/>
          <w:szCs w:val="16"/>
        </w:rPr>
        <w:softHyphen/>
        <w:t>ли через макетную комиссию. Начали строить.</w:t>
      </w:r>
    </w:p>
    <w:p w14:paraId="7206D2A8" w14:textId="77777777" w:rsidR="00B40924" w:rsidRPr="00E14102" w:rsidRDefault="00B40924" w:rsidP="00E14102">
      <w:pPr>
        <w:jc w:val="both"/>
        <w:rPr>
          <w:color w:val="0070C0"/>
          <w:sz w:val="16"/>
          <w:szCs w:val="16"/>
        </w:rPr>
      </w:pPr>
      <w:r w:rsidRPr="00E14102">
        <w:rPr>
          <w:color w:val="0070C0"/>
          <w:sz w:val="16"/>
          <w:szCs w:val="16"/>
        </w:rPr>
        <w:t>Тухачевский очень поддерживал нашу работу. Однако, когда он доложил о нашем проекте Сталину, Сталин ска</w:t>
      </w:r>
      <w:r w:rsidRPr="00E14102">
        <w:rPr>
          <w:color w:val="0070C0"/>
          <w:sz w:val="16"/>
          <w:szCs w:val="16"/>
        </w:rPr>
        <w:softHyphen/>
        <w:t>зал:</w:t>
      </w:r>
    </w:p>
    <w:p w14:paraId="0ACC7BCF" w14:textId="77777777" w:rsidR="00B40924" w:rsidRPr="00E14102" w:rsidRDefault="00B40924" w:rsidP="00E14102">
      <w:pPr>
        <w:jc w:val="both"/>
        <w:rPr>
          <w:color w:val="0070C0"/>
          <w:sz w:val="16"/>
          <w:szCs w:val="16"/>
        </w:rPr>
      </w:pPr>
      <w:r w:rsidRPr="00E14102">
        <w:rPr>
          <w:color w:val="0070C0"/>
          <w:sz w:val="16"/>
          <w:szCs w:val="16"/>
        </w:rPr>
        <w:t>— Товарищ Тухачевский, вы очень хороший маршал, но очень большой фантазер!</w:t>
      </w:r>
    </w:p>
    <w:p w14:paraId="61B66294" w14:textId="77777777" w:rsidR="00B40924" w:rsidRPr="00E14102" w:rsidRDefault="00B40924" w:rsidP="00E14102">
      <w:pPr>
        <w:jc w:val="both"/>
        <w:rPr>
          <w:color w:val="0070C0"/>
          <w:sz w:val="16"/>
          <w:szCs w:val="16"/>
        </w:rPr>
      </w:pPr>
      <w:r w:rsidRPr="00E14102">
        <w:rPr>
          <w:color w:val="0070C0"/>
          <w:sz w:val="16"/>
          <w:szCs w:val="16"/>
        </w:rPr>
        <w:t>На следующий день моя тема была закрыта, а недо</w:t>
      </w:r>
      <w:r w:rsidRPr="00E14102">
        <w:rPr>
          <w:color w:val="0070C0"/>
          <w:sz w:val="16"/>
          <w:szCs w:val="16"/>
        </w:rPr>
        <w:softHyphen/>
        <w:t>строенный самолет выброшен в утиль».</w:t>
      </w:r>
    </w:p>
    <w:p w14:paraId="2CF0B251" w14:textId="77777777" w:rsidR="00B40924" w:rsidRPr="00E14102" w:rsidRDefault="00B40924" w:rsidP="00E14102">
      <w:pPr>
        <w:jc w:val="both"/>
        <w:rPr>
          <w:color w:val="0070C0"/>
          <w:sz w:val="16"/>
          <w:szCs w:val="16"/>
        </w:rPr>
      </w:pPr>
      <w:r w:rsidRPr="00E14102">
        <w:rPr>
          <w:color w:val="0070C0"/>
          <w:sz w:val="16"/>
          <w:szCs w:val="16"/>
        </w:rPr>
        <w:t>Судя по приведенному фрагменту, в 1933-35 гг. на авиа</w:t>
      </w:r>
      <w:r w:rsidRPr="00E14102">
        <w:rPr>
          <w:color w:val="0070C0"/>
          <w:sz w:val="16"/>
          <w:szCs w:val="16"/>
        </w:rPr>
        <w:softHyphen/>
        <w:t>заводе №22 начиналась постройка большого самолета-параболы конструкции Б.И.Черановского. Однако каких-ли</w:t>
      </w:r>
      <w:r w:rsidRPr="00E14102">
        <w:rPr>
          <w:color w:val="0070C0"/>
          <w:sz w:val="16"/>
          <w:szCs w:val="16"/>
        </w:rPr>
        <w:softHyphen/>
        <w:t>бо документов о начале подобной деятельности на се</w:t>
      </w:r>
      <w:r w:rsidRPr="00E14102">
        <w:rPr>
          <w:color w:val="0070C0"/>
          <w:sz w:val="16"/>
          <w:szCs w:val="16"/>
        </w:rPr>
        <w:softHyphen/>
        <w:t>годня не обнаружено. Кроме того, нет упоминаний о пол</w:t>
      </w:r>
      <w:r w:rsidRPr="00E14102">
        <w:rPr>
          <w:color w:val="0070C0"/>
          <w:sz w:val="16"/>
          <w:szCs w:val="16"/>
        </w:rPr>
        <w:softHyphen/>
        <w:t>номасштабной разработке такого «летающего крыла» и в архиве Черановского. Скорее всего, силами ограниченно</w:t>
      </w:r>
      <w:r w:rsidRPr="00E14102">
        <w:rPr>
          <w:color w:val="0070C0"/>
          <w:sz w:val="16"/>
          <w:szCs w:val="16"/>
        </w:rPr>
        <w:softHyphen/>
        <w:t>го числа сотрудников КБ Вахмистрова были произведены расчеты и выполнены некоторые другие работы на уров</w:t>
      </w:r>
      <w:r w:rsidRPr="00E14102">
        <w:rPr>
          <w:color w:val="0070C0"/>
          <w:sz w:val="16"/>
          <w:szCs w:val="16"/>
        </w:rPr>
        <w:softHyphen/>
        <w:t>не подготовки аванпроекта, а документы впоследствии не сохранились (20345).</w:t>
      </w:r>
    </w:p>
    <w:p w14:paraId="28F58C24" w14:textId="77777777" w:rsidR="00B40924" w:rsidRPr="00E14102" w:rsidRDefault="00B40924" w:rsidP="00E14102">
      <w:pPr>
        <w:jc w:val="both"/>
        <w:rPr>
          <w:color w:val="0070C0"/>
          <w:sz w:val="16"/>
          <w:szCs w:val="16"/>
        </w:rPr>
      </w:pPr>
    </w:p>
    <w:p w14:paraId="42034145" w14:textId="77777777" w:rsidR="00872260" w:rsidRPr="00E14102" w:rsidRDefault="00872260" w:rsidP="00E14102">
      <w:pPr>
        <w:pStyle w:val="42"/>
        <w:shd w:val="clear" w:color="auto" w:fill="auto"/>
        <w:spacing w:line="240" w:lineRule="auto"/>
        <w:ind w:firstLine="0"/>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 xml:space="preserve">В период с 15 по 22 ноября 1935 г. испытаниям очередную воздушную систему, получившую обозначение «Звено ТБ-3 4М-17 + 2И-5 + 2И-16 + ЗЕТ». Сам Вахмистров определял это сочетание как «Авиаматку ПВО» (А-М). На земле под крыло </w:t>
      </w:r>
      <w:r w:rsidRPr="00E14102">
        <w:rPr>
          <w:rStyle w:val="23"/>
          <w:rFonts w:ascii="Times New Roman" w:hAnsi="Times New Roman" w:cs="Times New Roman"/>
          <w:i w:val="0"/>
          <w:color w:val="000000" w:themeColor="text1"/>
          <w:sz w:val="16"/>
          <w:szCs w:val="16"/>
        </w:rPr>
        <w:t xml:space="preserve">ТБ-3 цеплялись два И-16, а на крыло сверху закатывались два И-5. Последний участник, И-2, догонял воздушную «этажерку» уже после взлета. В испытаниях участвовали А.И. Никашин и С.П. Супрун на И-5, Т.Т. Ал- тынов и К.К. Будаков на И-16, В.А. Степан- чонок на И-2. Носитель ТБ-3 пилотировал П.М. Стефановский, который вспоминал: </w:t>
      </w:r>
      <w:r w:rsidRPr="00E14102">
        <w:rPr>
          <w:rFonts w:ascii="Times New Roman" w:hAnsi="Times New Roman" w:cs="Times New Roman"/>
          <w:color w:val="000000" w:themeColor="text1"/>
          <w:sz w:val="16"/>
          <w:szCs w:val="16"/>
        </w:rPr>
        <w:t>«Взлетали мы с узкой бетонированной полосы, расположенной близко к ангарам. На взлете требовалось выдержать иде</w:t>
      </w:r>
      <w:r w:rsidRPr="00E14102">
        <w:rPr>
          <w:rFonts w:ascii="Times New Roman" w:hAnsi="Times New Roman" w:cs="Times New Roman"/>
          <w:color w:val="000000" w:themeColor="text1"/>
          <w:sz w:val="16"/>
          <w:szCs w:val="16"/>
        </w:rPr>
        <w:softHyphen/>
        <w:t>альную прямую. Восемь двигателей при большом плече могли внести весьма неже</w:t>
      </w:r>
      <w:r w:rsidRPr="00E14102">
        <w:rPr>
          <w:rFonts w:ascii="Times New Roman" w:hAnsi="Times New Roman" w:cs="Times New Roman"/>
          <w:color w:val="000000" w:themeColor="text1"/>
          <w:sz w:val="16"/>
          <w:szCs w:val="16"/>
        </w:rPr>
        <w:softHyphen/>
        <w:t>лательную поправку в намерения экипажа и командования. Для упрощения взлета при</w:t>
      </w:r>
      <w:r w:rsidRPr="00E14102">
        <w:rPr>
          <w:rFonts w:ascii="Times New Roman" w:hAnsi="Times New Roman" w:cs="Times New Roman"/>
          <w:color w:val="000000" w:themeColor="text1"/>
          <w:sz w:val="16"/>
          <w:szCs w:val="16"/>
        </w:rPr>
        <w:softHyphen/>
        <w:t>казываю АлтыновуиБудаковудать газ мото</w:t>
      </w:r>
      <w:r w:rsidRPr="00E14102">
        <w:rPr>
          <w:rFonts w:ascii="Times New Roman" w:hAnsi="Times New Roman" w:cs="Times New Roman"/>
          <w:color w:val="000000" w:themeColor="text1"/>
          <w:sz w:val="16"/>
          <w:szCs w:val="16"/>
        </w:rPr>
        <w:softHyphen/>
        <w:t>рам своих истребителей одновременно со мной. Когда я возьму точное направление по оси взлетной полосы, то наклоню голову. Это команда для Никашина и Супруна дать газ своим двигателям. На обочине возле старта собралось множество зрителей. Плавно увеличиваю обороты моторов, начинаю разбег. Все быстрее мелькают по сторонам аэродромные постройки. Вдруг самолет строптиво, словно разнуздавшийся конь, заворачивает вправо, прямо на ангары. Супрун виноват: погорячился и газанул. Сбрасываю обороты левых двига</w:t>
      </w:r>
      <w:r w:rsidRPr="00E14102">
        <w:rPr>
          <w:rFonts w:ascii="Times New Roman" w:hAnsi="Times New Roman" w:cs="Times New Roman"/>
          <w:color w:val="000000" w:themeColor="text1"/>
          <w:sz w:val="16"/>
          <w:szCs w:val="16"/>
        </w:rPr>
        <w:softHyphen/>
        <w:t>телей почти до минимума и вновь сюрприз: самолет начал забирать влево. Это уже Никашин. Увидел, что Супрун газует, и тоже подал вперед рукоятку сектора. Напу</w:t>
      </w:r>
      <w:r w:rsidRPr="00E14102">
        <w:rPr>
          <w:rFonts w:ascii="Times New Roman" w:hAnsi="Times New Roman" w:cs="Times New Roman"/>
          <w:color w:val="000000" w:themeColor="text1"/>
          <w:sz w:val="16"/>
          <w:szCs w:val="16"/>
        </w:rPr>
        <w:softHyphen/>
        <w:t>гался, что проворонил мой кивок головой. А может я и в самом деле невзначай кивнул, когда самолет стало заносить к ангарам. Резко поднимаю обороты левой моторной группы. Чувствую, еще не поздно, взлетим. И взлетели. Правда, разбег получился несколько удлиненным.</w:t>
      </w:r>
    </w:p>
    <w:p w14:paraId="11EBCC69" w14:textId="77777777" w:rsidR="00872260" w:rsidRPr="00E14102" w:rsidRDefault="00872260" w:rsidP="00E14102">
      <w:pPr>
        <w:pStyle w:val="42"/>
        <w:shd w:val="clear" w:color="auto" w:fill="auto"/>
        <w:spacing w:line="240" w:lineRule="auto"/>
        <w:ind w:firstLine="0"/>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Дальше пошло все точно по заданию. На высоте тысяча метров к бомбардировщику под самое шасси подошел «ЗЕТ» Степан- чонка. Пришвартовали его. Авиационный «букет» или, как его нарекли наши доморо</w:t>
      </w:r>
      <w:r w:rsidRPr="00E14102">
        <w:rPr>
          <w:rFonts w:ascii="Times New Roman" w:hAnsi="Times New Roman" w:cs="Times New Roman"/>
          <w:color w:val="000000" w:themeColor="text1"/>
          <w:sz w:val="16"/>
          <w:szCs w:val="16"/>
        </w:rPr>
        <w:softHyphen/>
        <w:t>щенные сатирики, «воздушная куча мала» сделал несколько величественных, широких кругов над аэродромом. Подаю сигнал - и все пять истребителей разом стартуют с авиаматки»</w:t>
      </w:r>
    </w:p>
    <w:p w14:paraId="1E0D918B" w14:textId="77777777" w:rsidR="00872260" w:rsidRPr="00E14102" w:rsidRDefault="00872260" w:rsidP="00E14102">
      <w:pPr>
        <w:pStyle w:val="42"/>
        <w:shd w:val="clear" w:color="auto" w:fill="auto"/>
        <w:spacing w:line="240" w:lineRule="auto"/>
        <w:ind w:firstLine="0"/>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Всего было выполнено 3 тренировочных полета в полном составе и один демонстрационно-сдаточный перед комиссией ВВС. Эксперименты подтвердили возможность полетов «звена», состоящего из ТБ-3 и пяти истребителей. Никогда ранее и никогда впоследствии в мире подобного не осу</w:t>
      </w:r>
      <w:r w:rsidRPr="00E14102">
        <w:rPr>
          <w:rFonts w:ascii="Times New Roman" w:hAnsi="Times New Roman" w:cs="Times New Roman"/>
          <w:color w:val="000000" w:themeColor="text1"/>
          <w:sz w:val="16"/>
          <w:szCs w:val="16"/>
        </w:rPr>
        <w:softHyphen/>
        <w:t>ществлялось. Испытания были засчитаны как совместные с московским заводом N922, осуществлявшим переделку истребителей и носителя. Полетная масса «А-М»с четырьмя истребителями составляла 20200 кг, после подцепки И-2 - 21700 кг. По оценке Вахми- строва, подтвержденной специалистами ЦАГИ, при некоторых усилениях крыла и шасси ТБ-3, полетную массу «А-М» можно было довести до 28000 кг. Эту воздушную сцепку предполагалось использовать как крейсер-авианосец, который одновре</w:t>
      </w:r>
      <w:r w:rsidRPr="00E14102">
        <w:rPr>
          <w:rFonts w:ascii="Times New Roman" w:hAnsi="Times New Roman" w:cs="Times New Roman"/>
          <w:color w:val="000000" w:themeColor="text1"/>
          <w:sz w:val="16"/>
          <w:szCs w:val="16"/>
        </w:rPr>
        <w:softHyphen/>
        <w:t>менно обеспечивал истребители топли</w:t>
      </w:r>
      <w:r w:rsidRPr="00E14102">
        <w:rPr>
          <w:rFonts w:ascii="Times New Roman" w:hAnsi="Times New Roman" w:cs="Times New Roman"/>
          <w:color w:val="000000" w:themeColor="text1"/>
          <w:sz w:val="16"/>
          <w:szCs w:val="16"/>
        </w:rPr>
        <w:softHyphen/>
        <w:t>вом в полете до момента их отцепления. В заключении по результатам испытаний отмечалось, что «Звено ТБ-3 4М-17 + 2И-5 + 2И-16 + ЗЕТ» может быть эффективно использовано в частях РККА.</w:t>
      </w:r>
    </w:p>
    <w:p w14:paraId="09953A38" w14:textId="77777777" w:rsidR="00872260" w:rsidRPr="00E14102" w:rsidRDefault="00872260" w:rsidP="00E14102">
      <w:pPr>
        <w:pStyle w:val="42"/>
        <w:shd w:val="clear" w:color="auto" w:fill="auto"/>
        <w:spacing w:line="240" w:lineRule="auto"/>
        <w:ind w:firstLine="0"/>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Окончательные выводы были сделаны несколько иные. Признавалось, что накатка И-5 на крыло ТБ-3 сверху трудоемка, под</w:t>
      </w:r>
      <w:r w:rsidRPr="00E14102">
        <w:rPr>
          <w:rFonts w:ascii="Times New Roman" w:hAnsi="Times New Roman" w:cs="Times New Roman"/>
          <w:color w:val="000000" w:themeColor="text1"/>
          <w:sz w:val="16"/>
          <w:szCs w:val="16"/>
        </w:rPr>
        <w:softHyphen/>
        <w:t>веска И-2 в районе бомболюка снижает возможности ТБ-3, а вот подвеска И-16 под крылом проста и удобна. Именно вариант ТБ-3 + 2И-16 стал в дальнейшем совершенствоваться. Под обозначением «Звено-СПБ» он применялся во время Великой Отечественной войны.</w:t>
      </w:r>
    </w:p>
    <w:p w14:paraId="3CE73D14" w14:textId="77777777" w:rsidR="00872260" w:rsidRPr="00E14102" w:rsidRDefault="00872260" w:rsidP="00E14102">
      <w:pPr>
        <w:jc w:val="both"/>
        <w:rPr>
          <w:color w:val="000000" w:themeColor="text1"/>
          <w:sz w:val="16"/>
          <w:szCs w:val="16"/>
        </w:rPr>
      </w:pPr>
    </w:p>
    <w:p w14:paraId="0E1EEDBA" w14:textId="77777777" w:rsidR="0075212F" w:rsidRPr="00E14102" w:rsidRDefault="0075212F" w:rsidP="00E14102">
      <w:pPr>
        <w:jc w:val="both"/>
        <w:rPr>
          <w:color w:val="000000" w:themeColor="text1"/>
          <w:sz w:val="16"/>
          <w:szCs w:val="16"/>
        </w:rPr>
      </w:pPr>
      <w:r w:rsidRPr="00E14102">
        <w:rPr>
          <w:color w:val="000000" w:themeColor="text1"/>
          <w:sz w:val="16"/>
          <w:szCs w:val="16"/>
        </w:rPr>
        <w:t>15 ноября 1935 г. начались испытания комплекса из шести самолётов. На крыле ТБ-3 разместили два И-5, под крылом — два И-16, под фюзеляжем — устройство для подцепления в полёте И-Z. По результатам сделанного в ЦАГИ расчёта усилили некоторые узлы крыла и шасси ТБ-3. Истребители И-5 и И-16 могли питаться горючим и смазочным материалом из баков самолёта-авиаматкии продолжались неделю. Сначала было три тренировочных полёта без установки самолётов И-5, но с двумя И-16 и с подцепкой И-Z. 20 ноября наступил день генерального показа. Бомбардировщик пилотировал П.М. Стефановский, в кабинах И-16 находились инженер-лётчик Т.Т. Алтынов и лётчик-испытатель К.К. Будаков, в закреплённых на крыльях И-5 — инженер-лётчик А.И. Никашин и лётчик-испытатель C.П. Супрун.</w:t>
      </w:r>
    </w:p>
    <w:p w14:paraId="5392BAA8" w14:textId="77777777" w:rsidR="0075212F" w:rsidRPr="00E14102" w:rsidRDefault="0075212F" w:rsidP="00E14102">
      <w:pPr>
        <w:jc w:val="both"/>
        <w:rPr>
          <w:color w:val="000000" w:themeColor="text1"/>
          <w:sz w:val="16"/>
          <w:szCs w:val="16"/>
        </w:rPr>
      </w:pPr>
      <w:r w:rsidRPr="00E14102">
        <w:rPr>
          <w:color w:val="000000" w:themeColor="text1"/>
          <w:sz w:val="16"/>
          <w:szCs w:val="16"/>
        </w:rPr>
        <w:t xml:space="preserve">Взлетали при всех восьми работающих двигателях, но лётчики И-5 по заданию включали моторы на полную мощность не сразу, а уже во время разбега. Никашин и Супрун сделали это не одновременно, и «звено» чуть было не сошло с BПП. Нo в воздухе всё прошло отлично. На высоте 1000 м к бомбардировщику с первой же попытки пришвартовался И-Z Степанчёнка. Составной авиакомплекс сделал несколько кругов над аэродромом, на котором собралось множество зрителей. Потом по команде Стефановского все пять истребителей стартовали с авиаматки и закружили в небе </w:t>
      </w:r>
      <w:hyperlink r:id="rId212" w:history="1">
        <w:r w:rsidRPr="00E14102">
          <w:rPr>
            <w:color w:val="000000" w:themeColor="text1"/>
            <w:sz w:val="16"/>
            <w:szCs w:val="16"/>
          </w:rPr>
          <w:t>[95]</w:t>
        </w:r>
      </w:hyperlink>
      <w:r w:rsidRPr="00E14102">
        <w:rPr>
          <w:color w:val="000000" w:themeColor="text1"/>
          <w:sz w:val="16"/>
          <w:szCs w:val="16"/>
        </w:rPr>
        <w:t xml:space="preserve"> .</w:t>
      </w:r>
    </w:p>
    <w:p w14:paraId="3F0FA0D0" w14:textId="77777777" w:rsidR="0075212F" w:rsidRPr="00E14102" w:rsidRDefault="0075212F" w:rsidP="00E14102">
      <w:pPr>
        <w:jc w:val="both"/>
        <w:rPr>
          <w:color w:val="000000" w:themeColor="text1"/>
          <w:sz w:val="16"/>
          <w:szCs w:val="16"/>
        </w:rPr>
      </w:pPr>
      <w:r w:rsidRPr="00E14102">
        <w:rPr>
          <w:color w:val="000000" w:themeColor="text1"/>
          <w:sz w:val="16"/>
          <w:szCs w:val="16"/>
        </w:rPr>
        <w:t xml:space="preserve">Позднее рассматривался вариант ТБ-3, обслуживающий восемь истребителей ПВО. Два он нес на крыльях, к нему подлетали ещё шесть, три из которых подцеплялись снизу, а три несли дежурство в воздухе. Периодически звенья менялись для дозаправки самолётов и отдыха лётчиков-истребителей </w:t>
      </w:r>
      <w:hyperlink r:id="rId213" w:history="1">
        <w:r w:rsidRPr="00E14102">
          <w:rPr>
            <w:color w:val="000000" w:themeColor="text1"/>
            <w:sz w:val="16"/>
            <w:szCs w:val="16"/>
          </w:rPr>
          <w:t>[96]</w:t>
        </w:r>
      </w:hyperlink>
      <w:r w:rsidRPr="00E14102">
        <w:rPr>
          <w:color w:val="000000" w:themeColor="text1"/>
          <w:sz w:val="16"/>
          <w:szCs w:val="16"/>
        </w:rPr>
        <w:t xml:space="preserve"> .</w:t>
      </w:r>
    </w:p>
    <w:p w14:paraId="559926F9" w14:textId="77777777" w:rsidR="0075212F" w:rsidRPr="00E14102" w:rsidRDefault="0075212F" w:rsidP="00E14102">
      <w:pPr>
        <w:jc w:val="both"/>
        <w:rPr>
          <w:color w:val="000000" w:themeColor="text1"/>
          <w:sz w:val="16"/>
          <w:szCs w:val="16"/>
        </w:rPr>
      </w:pPr>
      <w:r w:rsidRPr="00E14102">
        <w:rPr>
          <w:color w:val="000000" w:themeColor="text1"/>
          <w:sz w:val="16"/>
          <w:szCs w:val="16"/>
        </w:rPr>
        <w:t xml:space="preserve">1935-й стал годом наибольшей активности работ по «звену». Были успешно испытаны три вида составных самолётов, в том числе с подцепкой и отсоединением в воздухе, началась постройка специального истребителя «Звено». Но именно в это время в карьере изобретателя и судьбе его изобретения наметился перелом. Дело в том, что единственный подходящий бомбардировщик-носитель ТБ-3 из-за невысоких лётных характеристик в середине 1930-х годов считался уже устаревшим, следовательно, бесперспективной становилась и вся идея «звена». В 1936 г. завод № 22 начал выпуск нового по технологии скоростного двухмоторного бомбардировщика СБ, и его руководству было не до Вахмистрова. Истребитель «И-3» сняли с производства, новых «звеньев» не строили. Всё ограничилось повторными испытаниями в 1936 г. подцепки И-Z к ТБ-3 с модифицированными замком зацепления и приёмным устройством и «Звена-6» с усовершенствованной системы бензопитания от ТБ-3 и средствами связи между самолётами (переговорным устройства СПУ-7, световой и звуковой сигнализацией) </w:t>
      </w:r>
      <w:hyperlink r:id="rId214" w:history="1">
        <w:r w:rsidRPr="00E14102">
          <w:rPr>
            <w:color w:val="000000" w:themeColor="text1"/>
            <w:sz w:val="16"/>
            <w:szCs w:val="16"/>
          </w:rPr>
          <w:t>[97]</w:t>
        </w:r>
      </w:hyperlink>
      <w:r w:rsidRPr="00E14102">
        <w:rPr>
          <w:color w:val="000000" w:themeColor="text1"/>
          <w:sz w:val="16"/>
          <w:szCs w:val="16"/>
        </w:rPr>
        <w:t xml:space="preserve"> .</w:t>
      </w:r>
    </w:p>
    <w:p w14:paraId="6F790F5F" w14:textId="77777777" w:rsidR="0075212F" w:rsidRPr="00E14102" w:rsidRDefault="0075212F" w:rsidP="00E14102">
      <w:pPr>
        <w:jc w:val="both"/>
        <w:rPr>
          <w:color w:val="000000" w:themeColor="text1"/>
          <w:sz w:val="16"/>
          <w:szCs w:val="16"/>
        </w:rPr>
      </w:pPr>
    </w:p>
    <w:p w14:paraId="124FA5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ноября 1935 года вышел Приказ НИИ ВС № 0586 Об испытании самолета К-5 как военного транспортника.</w:t>
      </w:r>
    </w:p>
    <w:p w14:paraId="148B030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начать 20 ноября 1935 года и закончить к 10 декабря 1935 года (6815, 162).</w:t>
      </w:r>
    </w:p>
    <w:p w14:paraId="33FFB347"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38D8A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ноября 1935 во время заводских испытаний разрушился в воздухе перед посадкой ЗИГ-1 Лавиля, Кулев и др. (438,726).</w:t>
      </w:r>
    </w:p>
    <w:p w14:paraId="17FAC2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15 декабря 1935 (1076,628).</w:t>
      </w:r>
    </w:p>
    <w:p w14:paraId="0A15E5FB" w14:textId="77777777" w:rsidR="00D4105E" w:rsidRPr="00E14102" w:rsidRDefault="00D4105E" w:rsidP="00E14102">
      <w:pPr>
        <w:autoSpaceDE w:val="0"/>
        <w:autoSpaceDN w:val="0"/>
        <w:adjustRightInd w:val="0"/>
        <w:jc w:val="both"/>
        <w:rPr>
          <w:color w:val="000000" w:themeColor="text1"/>
          <w:sz w:val="16"/>
          <w:szCs w:val="16"/>
        </w:rPr>
      </w:pPr>
    </w:p>
    <w:p w14:paraId="052491C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15 ноября 1935 года письмо № 2201/ко в НКТП Орджоникидзе</w:t>
      </w:r>
    </w:p>
    <w:p w14:paraId="66F90642"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указанию Молотова препровождаю материал о финансовом состоянии завода № 22 для учета при рассмотрении авиационных вопросов, согласно поручения КО от 11 ноября 1935 года.</w:t>
      </w:r>
    </w:p>
    <w:p w14:paraId="7A720E0E"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 письмо НКТП № 01/8282 и письмо НКФ № 83/1 – все на 3-х листах (3475,195).</w:t>
      </w:r>
    </w:p>
    <w:p w14:paraId="04922780"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7602091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7232B38" w14:textId="77777777" w:rsidR="00D4105E" w:rsidRPr="00E14102" w:rsidRDefault="00D4105E" w:rsidP="00E14102">
      <w:pPr>
        <w:autoSpaceDE w:val="0"/>
        <w:autoSpaceDN w:val="0"/>
        <w:adjustRightInd w:val="0"/>
        <w:jc w:val="both"/>
        <w:rPr>
          <w:iCs/>
          <w:color w:val="000000" w:themeColor="text1"/>
          <w:sz w:val="16"/>
          <w:szCs w:val="16"/>
        </w:rPr>
      </w:pPr>
    </w:p>
    <w:p w14:paraId="2B3DCD00" w14:textId="77777777" w:rsidR="009602A3" w:rsidRPr="00E14102" w:rsidRDefault="009602A3" w:rsidP="00E14102">
      <w:pPr>
        <w:jc w:val="both"/>
        <w:rPr>
          <w:rStyle w:val="a6"/>
          <w:i w:val="0"/>
          <w:color w:val="000000" w:themeColor="text1"/>
          <w:sz w:val="16"/>
          <w:szCs w:val="16"/>
        </w:rPr>
      </w:pPr>
      <w:r w:rsidRPr="00E14102">
        <w:rPr>
          <w:rStyle w:val="a6"/>
          <w:i w:val="0"/>
          <w:color w:val="000000" w:themeColor="text1"/>
          <w:sz w:val="16"/>
          <w:szCs w:val="16"/>
        </w:rPr>
        <w:t xml:space="preserve">15 ноября 1935 г. </w:t>
      </w:r>
      <w:r w:rsidRPr="00E14102">
        <w:rPr>
          <w:color w:val="000000" w:themeColor="text1"/>
          <w:sz w:val="16"/>
          <w:szCs w:val="16"/>
        </w:rPr>
        <w:t>Докладная записка заместителя наркома обороны СССР М. Н. Тухачевского секретарю ЦК ВКП(б) И. В. Сталину о необходимости реорганизации мобилизационной подготовки промышленности</w:t>
      </w:r>
    </w:p>
    <w:p w14:paraId="7CEE41AD" w14:textId="77777777" w:rsidR="009602A3" w:rsidRPr="00E14102" w:rsidRDefault="009602A3"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5B5A9164" w14:textId="77777777" w:rsidR="009602A3" w:rsidRPr="00E14102" w:rsidRDefault="009602A3" w:rsidP="00E14102">
      <w:pPr>
        <w:pStyle w:val="rtejustify"/>
        <w:spacing w:before="0" w:after="0"/>
        <w:rPr>
          <w:color w:val="000000" w:themeColor="text1"/>
          <w:sz w:val="16"/>
          <w:szCs w:val="16"/>
        </w:rPr>
      </w:pPr>
      <w:r w:rsidRPr="00E14102">
        <w:rPr>
          <w:color w:val="000000" w:themeColor="text1"/>
          <w:sz w:val="16"/>
          <w:szCs w:val="16"/>
        </w:rPr>
        <w:lastRenderedPageBreak/>
        <w:t>Вопрос о подготовке мобилизации промышленности еще не слушался на заседании КО. Между тем, положение промышленной мобилизационной подготовки совершенно угрожающее.</w:t>
      </w:r>
    </w:p>
    <w:p w14:paraId="3C8899CC" w14:textId="77777777" w:rsidR="009602A3" w:rsidRPr="00E14102" w:rsidRDefault="009602A3" w:rsidP="00E14102">
      <w:pPr>
        <w:pStyle w:val="rtejustify"/>
        <w:spacing w:before="0" w:after="0"/>
        <w:rPr>
          <w:color w:val="000000" w:themeColor="text1"/>
          <w:sz w:val="16"/>
          <w:szCs w:val="16"/>
        </w:rPr>
      </w:pPr>
      <w:r w:rsidRPr="00E14102">
        <w:rPr>
          <w:color w:val="000000" w:themeColor="text1"/>
          <w:sz w:val="16"/>
          <w:szCs w:val="16"/>
        </w:rPr>
        <w:t>Согласно постановлению КО № 85сс¹* НКТП обязан подготовить подачу в 1935 г. 76 млн. выстрелов. НКТП в своем мобплане «М</w:t>
      </w:r>
      <w:r w:rsidRPr="00E14102">
        <w:rPr>
          <w:color w:val="000000" w:themeColor="text1"/>
          <w:sz w:val="16"/>
          <w:szCs w:val="16"/>
        </w:rPr>
        <w:noBreakHyphen/>
        <w:t>3», предусматривает подачу в 1935 г. лишь 65 млн. выстрелов. Однако и эта сокращенная цифра является бумажной и практически совершенно не обеспечена подготовкой производства. Такую оценку подтверждают следующие факты:</w:t>
      </w:r>
    </w:p>
    <w:p w14:paraId="5F80F33C" w14:textId="77777777" w:rsidR="009602A3" w:rsidRPr="00E14102" w:rsidRDefault="009602A3" w:rsidP="00E14102">
      <w:pPr>
        <w:pStyle w:val="rtejustify"/>
        <w:spacing w:before="0" w:after="0"/>
        <w:rPr>
          <w:color w:val="000000" w:themeColor="text1"/>
          <w:sz w:val="16"/>
          <w:szCs w:val="16"/>
        </w:rPr>
      </w:pPr>
      <w:r w:rsidRPr="00E14102">
        <w:rPr>
          <w:color w:val="000000" w:themeColor="text1"/>
          <w:sz w:val="16"/>
          <w:szCs w:val="16"/>
        </w:rPr>
        <w:t>1. Заказ НКО на снаряды в 1935 г. состоит из 4 093 000 мелкокалиберных, 2 234 600 средних калибров и 12 500 крупнокалиберных, а всего из 6 340 100 снарядов, что составляет менее 10% мобплана ГВМУ «М</w:t>
      </w:r>
      <w:r w:rsidRPr="00E14102">
        <w:rPr>
          <w:color w:val="000000" w:themeColor="text1"/>
          <w:sz w:val="16"/>
          <w:szCs w:val="16"/>
        </w:rPr>
        <w:noBreakHyphen/>
        <w:t>3». Между тем, за десять месяцев ГВМУ подало лишь 30,3% от подлежавших к поставке за десять месяцев всех выстрелов и лишь 16,7% от годового плана. Крупнокалиберных снарядов подано 0% и среднекалиберных за десять месяцев 14,4% и от годового заказа 6,9%. Это при условии, что для выполнения программы по огнеприпасам, НКТП получил от правительства специальные валютные средства на сырье. Крайне неудовлетворительно идет и выполнение заказов на винтпатроны.</w:t>
      </w:r>
    </w:p>
    <w:p w14:paraId="7100339D" w14:textId="77777777" w:rsidR="009602A3" w:rsidRPr="00E14102" w:rsidRDefault="009602A3" w:rsidP="00E14102">
      <w:pPr>
        <w:pStyle w:val="rtejustify"/>
        <w:spacing w:before="0" w:after="0"/>
        <w:rPr>
          <w:color w:val="000000" w:themeColor="text1"/>
          <w:sz w:val="16"/>
          <w:szCs w:val="16"/>
        </w:rPr>
      </w:pPr>
      <w:r w:rsidRPr="00E14102">
        <w:rPr>
          <w:color w:val="000000" w:themeColor="text1"/>
          <w:sz w:val="16"/>
          <w:szCs w:val="16"/>
        </w:rPr>
        <w:t>2. Мобплан «М</w:t>
      </w:r>
      <w:r w:rsidRPr="00E14102">
        <w:rPr>
          <w:color w:val="000000" w:themeColor="text1"/>
          <w:sz w:val="16"/>
          <w:szCs w:val="16"/>
        </w:rPr>
        <w:noBreakHyphen/>
        <w:t>3» не обеспечен инструментом. Проведенное исследование мобзапаса 49 снарядных и авиабомбовых заводов по контрольно-мерительному инструменту показало, что: 8 заводов обеспечены на 50</w:t>
      </w:r>
      <w:r w:rsidRPr="00E14102">
        <w:rPr>
          <w:color w:val="000000" w:themeColor="text1"/>
          <w:sz w:val="16"/>
          <w:szCs w:val="16"/>
        </w:rPr>
        <w:noBreakHyphen/>
        <w:t>75%; 6 заводов обеспечены на 25</w:t>
      </w:r>
      <w:r w:rsidRPr="00E14102">
        <w:rPr>
          <w:color w:val="000000" w:themeColor="text1"/>
          <w:sz w:val="16"/>
          <w:szCs w:val="16"/>
        </w:rPr>
        <w:noBreakHyphen/>
        <w:t>50%; 21 завод обеспечен не менее 25%; 14 заводов не обеспечены вовсе. При таком положении не может быть и речи о реальности «М</w:t>
      </w:r>
      <w:r w:rsidRPr="00E14102">
        <w:rPr>
          <w:color w:val="000000" w:themeColor="text1"/>
          <w:sz w:val="16"/>
          <w:szCs w:val="16"/>
        </w:rPr>
        <w:noBreakHyphen/>
        <w:t>3».</w:t>
      </w:r>
    </w:p>
    <w:p w14:paraId="2FC900AD" w14:textId="77777777" w:rsidR="009602A3" w:rsidRPr="00E14102" w:rsidRDefault="009602A3" w:rsidP="00E14102">
      <w:pPr>
        <w:pStyle w:val="rtejustify"/>
        <w:spacing w:before="0" w:after="0"/>
        <w:rPr>
          <w:color w:val="000000" w:themeColor="text1"/>
          <w:sz w:val="16"/>
          <w:szCs w:val="16"/>
        </w:rPr>
      </w:pPr>
      <w:r w:rsidRPr="00E14102">
        <w:rPr>
          <w:color w:val="000000" w:themeColor="text1"/>
          <w:sz w:val="16"/>
          <w:szCs w:val="16"/>
        </w:rPr>
        <w:t>3. Новые стройки по производству порохов и взрывчатых веществ запаздывают. Селитро-угольные добавки, обеспечивающие до 25% всего выстрела, еще не освоены.</w:t>
      </w:r>
    </w:p>
    <w:p w14:paraId="4D2BC364" w14:textId="77777777" w:rsidR="009602A3" w:rsidRPr="00E14102" w:rsidRDefault="009602A3" w:rsidP="00E14102">
      <w:pPr>
        <w:pStyle w:val="rtejustify"/>
        <w:spacing w:before="0" w:after="0"/>
        <w:rPr>
          <w:color w:val="000000" w:themeColor="text1"/>
          <w:sz w:val="16"/>
          <w:szCs w:val="16"/>
        </w:rPr>
      </w:pPr>
      <w:r w:rsidRPr="00E14102">
        <w:rPr>
          <w:color w:val="000000" w:themeColor="text1"/>
          <w:sz w:val="16"/>
          <w:szCs w:val="16"/>
        </w:rPr>
        <w:t>4. Объединение предприятий, производящих выстрел, отсутствует. Заводы пороховые, снаряжательные, средств воспламенения — подчинены Главхимупру. Снарядные, трубочно-взрывательные, гильзовые и авиабомбовые — ГВМУ и другим главкам. Для производства выстрелов применено широкое кооперирование. Между тем это кооперирование не организовано, районных мобилизационных объединений нет, и ГВМУ пытается руководить кооперированием отдельных заводов друг с другом по всему СССР, что явно невыполнимо. Помимо того, ГВМУ руководит орудийной, оружейной и всей прочей мобилизационной работой и вся эта перегрузка ведет к тому, что производство выстрела остается беспризорным. Практика работы показывает необходимость создания Главного управления по выстрелу, которому были бы подчинены снарядные, взрывательные, пороховые и снаряжательные заводы.</w:t>
      </w:r>
    </w:p>
    <w:p w14:paraId="22F3A54D" w14:textId="77777777" w:rsidR="009602A3" w:rsidRPr="00E14102" w:rsidRDefault="009602A3" w:rsidP="00E14102">
      <w:pPr>
        <w:pStyle w:val="rtejustify"/>
        <w:spacing w:before="0" w:after="0"/>
        <w:rPr>
          <w:color w:val="000000" w:themeColor="text1"/>
          <w:sz w:val="16"/>
          <w:szCs w:val="16"/>
        </w:rPr>
      </w:pPr>
      <w:r w:rsidRPr="00E14102">
        <w:rPr>
          <w:color w:val="000000" w:themeColor="text1"/>
          <w:sz w:val="16"/>
          <w:szCs w:val="16"/>
        </w:rPr>
        <w:t>5. Все еще не упорядочено дело с чертежами снарядов, особенно по их снаряжению. Не лучше обстоит дело и с мобилизационной подготовкой орудийного и оружейного производства. Причины:</w:t>
      </w:r>
    </w:p>
    <w:p w14:paraId="781949DE" w14:textId="77777777" w:rsidR="009602A3" w:rsidRPr="00E14102" w:rsidRDefault="009602A3" w:rsidP="00E14102">
      <w:pPr>
        <w:pStyle w:val="rtejustify"/>
        <w:spacing w:before="0" w:after="0"/>
        <w:rPr>
          <w:color w:val="000000" w:themeColor="text1"/>
          <w:sz w:val="16"/>
          <w:szCs w:val="16"/>
        </w:rPr>
      </w:pPr>
      <w:r w:rsidRPr="00E14102">
        <w:rPr>
          <w:color w:val="000000" w:themeColor="text1"/>
          <w:sz w:val="16"/>
          <w:szCs w:val="16"/>
        </w:rPr>
        <w:t>1. Отсутствие чертежей (лит. “Б”); разработанных, проверенных производством и зафиксированных технологических процессов; отсутствие оснащенности технологического процесса инструментарием (приспособления, рабочий и контрольно-мерительный инструмент). В результате многолетней борьбы к началу 1935 г. соответствующим объединенным приказом НКО и НКТП были установлены сроки изготовления и перехода производства на чертежи лит. “Б” по артиллерийскому вооружению. Установленные сроки промышленностью не выполнены. Характерным примером влияния отсутствия чертежей (лит. “Б”) является то, что Подольский завод, начав производство обычной нашей пехотной винтовки еще в 1933 г., до сих пор не может ее освоить. Отмобилизованная промышленность, не имея чертежей лит. “Б”, окажется в положении Подольского оружейного завода. Отсутствие установленных и зафиксированных технологических процессов в оборонной промышленности заставляет таковую базироваться на «опыте» кустаря-мастера. Это неизбежно ведет к снижению использования основного капитала, понижению качества продукции, к отсутствию взаимозаменяемости деталей и частей механизмов, а все вместе — к срыву производства.</w:t>
      </w:r>
    </w:p>
    <w:p w14:paraId="7D33D41D" w14:textId="77777777" w:rsidR="009602A3" w:rsidRPr="00E14102" w:rsidRDefault="009602A3" w:rsidP="00E14102">
      <w:pPr>
        <w:pStyle w:val="rtejustify"/>
        <w:spacing w:before="0" w:after="0"/>
        <w:rPr>
          <w:color w:val="000000" w:themeColor="text1"/>
          <w:sz w:val="16"/>
          <w:szCs w:val="16"/>
        </w:rPr>
      </w:pPr>
      <w:r w:rsidRPr="00E14102">
        <w:rPr>
          <w:color w:val="000000" w:themeColor="text1"/>
          <w:sz w:val="16"/>
          <w:szCs w:val="16"/>
        </w:rPr>
        <w:t>2. Отсутствует порайонное кооперирование орудийных заводов. Само по себе кооперирование имеет место, но им, опять-таки, руководит ГВМУ из центра, что ведет к обезличке. Головной завод не объединяет и не контролирует работы кооперированных с ним заводов, и потому вся эта работа является бумажной.</w:t>
      </w:r>
    </w:p>
    <w:p w14:paraId="485D5026" w14:textId="77777777" w:rsidR="009602A3" w:rsidRPr="00E14102" w:rsidRDefault="009602A3" w:rsidP="00E14102">
      <w:pPr>
        <w:pStyle w:val="rtejustify"/>
        <w:spacing w:before="0" w:after="0"/>
        <w:rPr>
          <w:color w:val="000000" w:themeColor="text1"/>
          <w:sz w:val="16"/>
          <w:szCs w:val="16"/>
        </w:rPr>
      </w:pPr>
      <w:r w:rsidRPr="00E14102">
        <w:rPr>
          <w:color w:val="000000" w:themeColor="text1"/>
          <w:sz w:val="16"/>
          <w:szCs w:val="16"/>
        </w:rPr>
        <w:t>3. Промышленность не выполняет сравнительно небольшого плана заказов на орудия в 1935 г.</w:t>
      </w:r>
    </w:p>
    <w:p w14:paraId="3ED8A622" w14:textId="77777777" w:rsidR="009602A3" w:rsidRPr="00E14102" w:rsidRDefault="009602A3" w:rsidP="00E14102">
      <w:pPr>
        <w:pStyle w:val="rtejustify"/>
        <w:spacing w:before="0" w:after="0"/>
        <w:rPr>
          <w:color w:val="000000" w:themeColor="text1"/>
          <w:sz w:val="16"/>
          <w:szCs w:val="16"/>
        </w:rPr>
      </w:pPr>
      <w:r w:rsidRPr="00E14102">
        <w:rPr>
          <w:color w:val="000000" w:themeColor="text1"/>
          <w:sz w:val="16"/>
          <w:szCs w:val="16"/>
        </w:rPr>
        <w:t>Обстановка, сложившаяся в деле подготовки мобилизации промышленности, требует самых решительных мер для выправления положения. Необходима организационная перестройка и значительные дополнительные средства. Если затянется существующее положение, армия неизбежно столкнется, в случае войны, с очень тяжелыми потрясениями.</w:t>
      </w:r>
    </w:p>
    <w:p w14:paraId="186A4883" w14:textId="77777777" w:rsidR="009602A3" w:rsidRPr="00E14102" w:rsidRDefault="009602A3"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М. Тухачевский</w:t>
      </w:r>
    </w:p>
    <w:p w14:paraId="406C7B1E" w14:textId="77777777" w:rsidR="009602A3" w:rsidRPr="00E14102" w:rsidRDefault="009602A3"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Примечание</w:t>
      </w:r>
      <w:r w:rsidRPr="00E14102">
        <w:rPr>
          <w:rFonts w:ascii="Times New Roman" w:hAnsi="Times New Roman" w:cs="Times New Roman"/>
          <w:color w:val="000000" w:themeColor="text1"/>
          <w:sz w:val="16"/>
          <w:szCs w:val="16"/>
          <w:lang w:val="ru-RU"/>
        </w:rPr>
        <w:t>:</w:t>
      </w:r>
    </w:p>
    <w:p w14:paraId="1CBC0A36" w14:textId="77777777" w:rsidR="009602A3" w:rsidRPr="00E14102" w:rsidRDefault="009602A3" w:rsidP="00E14102">
      <w:pPr>
        <w:pStyle w:val="rtejustify"/>
        <w:spacing w:before="0" w:after="0"/>
        <w:rPr>
          <w:color w:val="000000" w:themeColor="text1"/>
          <w:sz w:val="16"/>
          <w:szCs w:val="16"/>
        </w:rPr>
      </w:pPr>
      <w:r w:rsidRPr="00E14102">
        <w:rPr>
          <w:color w:val="000000" w:themeColor="text1"/>
          <w:sz w:val="16"/>
          <w:szCs w:val="16"/>
        </w:rPr>
        <w:t xml:space="preserve">¹* См. документ от 9 сентября 1933 г. — </w:t>
      </w:r>
      <w:hyperlink r:id="rId215" w:history="1">
        <w:r w:rsidRPr="00E14102">
          <w:rPr>
            <w:rStyle w:val="a4"/>
            <w:color w:val="000000" w:themeColor="text1"/>
            <w:sz w:val="16"/>
            <w:szCs w:val="16"/>
            <w:u w:val="none"/>
          </w:rPr>
          <w:t>Постановление СТО СССР № 85сс/о «Об обеспечении РККА вооружением на год ведения войны и капитальному строительству НКТП».</w:t>
        </w:r>
      </w:hyperlink>
    </w:p>
    <w:p w14:paraId="74E08B10" w14:textId="77777777" w:rsidR="009602A3" w:rsidRPr="00E14102" w:rsidRDefault="009602A3"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РГАСПИ. Ф. 558. Оп. 2. Д. 129. Л. 1-4. Подлинник (15362).</w:t>
      </w:r>
    </w:p>
    <w:p w14:paraId="6543CFA9" w14:textId="77777777" w:rsidR="009602A3" w:rsidRPr="00E14102" w:rsidRDefault="009602A3" w:rsidP="00E14102">
      <w:pPr>
        <w:pStyle w:val="rtejustify"/>
        <w:spacing w:before="0" w:after="0"/>
        <w:rPr>
          <w:rStyle w:val="a6"/>
          <w:bCs/>
          <w:i w:val="0"/>
          <w:color w:val="000000" w:themeColor="text1"/>
          <w:sz w:val="16"/>
          <w:szCs w:val="16"/>
        </w:rPr>
      </w:pPr>
    </w:p>
    <w:p w14:paraId="758261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ноября 1935 НКО К.Е.В. было доложено о положительных результатах, полученных в ходе испытаний БТ-2-ИС и вскоре К.Е.В. выпустил совместно с Г.К.О. приказ, обязывающий ХПЗ оказать всемерную помощь группе Цыганова. Ничего не вышло и машина осталась в одном экземпляре (3879,24).</w:t>
      </w:r>
    </w:p>
    <w:p w14:paraId="25D52DEB" w14:textId="77777777" w:rsidR="00D4105E" w:rsidRPr="00E14102" w:rsidRDefault="00D4105E" w:rsidP="00E14102">
      <w:pPr>
        <w:autoSpaceDE w:val="0"/>
        <w:autoSpaceDN w:val="0"/>
        <w:adjustRightInd w:val="0"/>
        <w:jc w:val="both"/>
        <w:rPr>
          <w:color w:val="000000" w:themeColor="text1"/>
          <w:sz w:val="16"/>
          <w:szCs w:val="16"/>
        </w:rPr>
      </w:pPr>
    </w:p>
    <w:p w14:paraId="7E4F5E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ноября 1935 наркому обороны было доложено об успешном заверше</w:t>
      </w:r>
      <w:r w:rsidRPr="00E14102">
        <w:rPr>
          <w:color w:val="000000" w:themeColor="text1"/>
          <w:sz w:val="16"/>
          <w:szCs w:val="16"/>
        </w:rPr>
        <w:softHyphen/>
        <w:t>нии испытаний БТ-ИС. Танк БТ-2, доработанный по предложению Н. Цыгано</w:t>
      </w:r>
      <w:r w:rsidRPr="00E14102">
        <w:rPr>
          <w:color w:val="000000" w:themeColor="text1"/>
          <w:sz w:val="16"/>
          <w:szCs w:val="16"/>
        </w:rPr>
        <w:softHyphen/>
        <w:t>ва, сохранял подвижность на колесах не только на хорошей дороге, но и на проселке и по пашне. Причем танк сохранял свою подвижность и маневренность даже при потере одной гусеничной цепи и до двух опорных катков с одного борта В результате нарком обороны и наркомтяжпром подпи</w:t>
      </w:r>
      <w:r w:rsidRPr="00E14102">
        <w:rPr>
          <w:color w:val="000000" w:themeColor="text1"/>
          <w:sz w:val="16"/>
          <w:szCs w:val="16"/>
        </w:rPr>
        <w:softHyphen/>
        <w:t>сали совместный приказ о проведении работ по усовершенствованию колесно-гусеничного движителя танка БТ-5, причем Харьковскому заводу предписывалось оказывать изобретателю всяческое содействие и всемерную помощь по изготовлению серии танков на базе машин БТ-5. В новом 1936 г. группа Н. Цыганова начала работы над новым танком БТ-5-ИС. От своего предшественника танк отличался введением ряда улучшений. Во-первых, увели</w:t>
      </w:r>
      <w:r w:rsidRPr="00E14102">
        <w:rPr>
          <w:color w:val="000000" w:themeColor="text1"/>
          <w:sz w:val="16"/>
          <w:szCs w:val="16"/>
        </w:rPr>
        <w:softHyphen/>
        <w:t>чением суммарной емкости топливных баков до 650 л, что позволило довести запас хода БТ-5-ИС до 300 км на гусе</w:t>
      </w:r>
      <w:r w:rsidRPr="00E14102">
        <w:rPr>
          <w:color w:val="000000" w:themeColor="text1"/>
          <w:sz w:val="16"/>
          <w:szCs w:val="16"/>
        </w:rPr>
        <w:softHyphen/>
        <w:t>ницах и до 500 км на колесах.. Подобно БТ-2-ИС танки БТ-5-ИС дополнялись при</w:t>
      </w:r>
      <w:r w:rsidRPr="00E14102">
        <w:rPr>
          <w:color w:val="000000" w:themeColor="text1"/>
          <w:sz w:val="16"/>
          <w:szCs w:val="16"/>
        </w:rPr>
        <w:softHyphen/>
        <w:t>водом на три пары опорных катков при движении на колес</w:t>
      </w:r>
      <w:r w:rsidRPr="00E14102">
        <w:rPr>
          <w:color w:val="000000" w:themeColor="text1"/>
          <w:sz w:val="16"/>
          <w:szCs w:val="16"/>
        </w:rPr>
        <w:softHyphen/>
        <w:t>ном ходу. Причем для включения колесного хода теперь не требовался выход экипажа из танка. Благодаря синхрони</w:t>
      </w:r>
      <w:r w:rsidRPr="00E14102">
        <w:rPr>
          <w:color w:val="000000" w:themeColor="text1"/>
          <w:sz w:val="16"/>
          <w:szCs w:val="16"/>
        </w:rPr>
        <w:softHyphen/>
        <w:t>зации танк теперь мог двигаться на гусеницах на всех пере</w:t>
      </w:r>
      <w:r w:rsidRPr="00E14102">
        <w:rPr>
          <w:color w:val="000000" w:themeColor="text1"/>
          <w:sz w:val="16"/>
          <w:szCs w:val="16"/>
        </w:rPr>
        <w:softHyphen/>
        <w:t>дачах при включенном колесном ходе и при потере одной гусеничной цепи не терял управления. Дополнительные приводы к ведущим опорным каткам располагались в межбортовом пространстве, а карданные валы, подводящие мощность к ним, в верхней части бортов. В ходовой части машин были применены новые балан</w:t>
      </w:r>
      <w:r w:rsidRPr="00E14102">
        <w:rPr>
          <w:color w:val="000000" w:themeColor="text1"/>
          <w:sz w:val="16"/>
          <w:szCs w:val="16"/>
        </w:rPr>
        <w:softHyphen/>
        <w:t>сиры опорных катков и ведущие колеса гусеничного хода. Корпус танка был изменен в кормовой части для установки дополнительного бензобака и введения бронировки карте</w:t>
      </w:r>
      <w:r w:rsidRPr="00E14102">
        <w:rPr>
          <w:color w:val="000000" w:themeColor="text1"/>
          <w:sz w:val="16"/>
          <w:szCs w:val="16"/>
        </w:rPr>
        <w:softHyphen/>
        <w:t>ров бортовых редукторов. Однако ХПЗ упорно отказывался заниматься как изго</w:t>
      </w:r>
      <w:r w:rsidRPr="00E14102">
        <w:rPr>
          <w:color w:val="000000" w:themeColor="text1"/>
          <w:sz w:val="16"/>
          <w:szCs w:val="16"/>
        </w:rPr>
        <w:softHyphen/>
        <w:t>товлением серии танков БТ-5-ИС, так и проектными рабо</w:t>
      </w:r>
      <w:r w:rsidRPr="00E14102">
        <w:rPr>
          <w:color w:val="000000" w:themeColor="text1"/>
          <w:sz w:val="16"/>
          <w:szCs w:val="16"/>
        </w:rPr>
        <w:softHyphen/>
        <w:t>тами по адаптации такого движителя к танку БТ-7. Поэто</w:t>
      </w:r>
      <w:r w:rsidRPr="00E14102">
        <w:rPr>
          <w:color w:val="000000" w:themeColor="text1"/>
          <w:sz w:val="16"/>
          <w:szCs w:val="16"/>
        </w:rPr>
        <w:softHyphen/>
        <w:t>му изготовление опытной серии в 10 танков было проведе</w:t>
      </w:r>
      <w:r w:rsidRPr="00E14102">
        <w:rPr>
          <w:color w:val="000000" w:themeColor="text1"/>
          <w:sz w:val="16"/>
          <w:szCs w:val="16"/>
        </w:rPr>
        <w:softHyphen/>
        <w:t>но на Харьковском танкоремонтном заводе № 48 в первом полугодии 1936 г. Три танка этой партии приняли участие в пробеге по маршруту Харьков—Москва, по результатам ко</w:t>
      </w:r>
      <w:r w:rsidRPr="00E14102">
        <w:rPr>
          <w:color w:val="000000" w:themeColor="text1"/>
          <w:sz w:val="16"/>
          <w:szCs w:val="16"/>
        </w:rPr>
        <w:softHyphen/>
        <w:t>торого в конструкцию танков были внесены изменения, после чего танки БТ-5-ИС приказом начальника УММ РККА от 31 января 1937 г. были переданы для войсковых испытаний в ХВО (10733,360).</w:t>
      </w:r>
    </w:p>
    <w:p w14:paraId="45F57E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613F0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ноября 1935 г. о достигнутых положительных результатах, полученных во время испытаний БТ-2-ИС, было доложено Наркому Обороны. Вскоре К.Е. Ворошилов и Г.К. Орджоникидзе подписали совместный приказ, обязывающий руководство ХПЗ оказать всемерную помощь группе Цыганова в дальнейшем проведении работ по усовершенствованию колесно-гусеничного хода танка БТ. И если «консервативные» военные всячески поддерживали идею Н.Ф.Цыганова, то, как показал ход дальнейших событий, руководство ХПЗ осталось, мягко говоря, равнодушным к ней. Ведь кому нужна была «чужая головная боль». Но это уже другая история, связанная в основном с созданием танков БТ-5-ИС и БТ-СВ. Нам же остается лишь констатировать, что танк БТ-2-ИС по сравнению с базовыми танками обладал более высокой маневренностью при движении на колесах и повышенной живучестью на поле боя при повреждениях ходовой части, однако надежность привода к колесам еще была низка. Танк БТ-2-ИС был изготовлен в единственном экземпляре (11715).</w:t>
      </w:r>
    </w:p>
    <w:p w14:paraId="75EC9F93" w14:textId="77777777" w:rsidR="00D4105E" w:rsidRPr="00E14102" w:rsidRDefault="00D4105E" w:rsidP="00E14102">
      <w:pPr>
        <w:autoSpaceDE w:val="0"/>
        <w:autoSpaceDN w:val="0"/>
        <w:adjustRightInd w:val="0"/>
        <w:jc w:val="both"/>
        <w:rPr>
          <w:color w:val="000000" w:themeColor="text1"/>
          <w:sz w:val="16"/>
          <w:szCs w:val="16"/>
        </w:rPr>
      </w:pPr>
    </w:p>
    <w:p w14:paraId="11B2B2A1" w14:textId="77777777" w:rsidR="00970104" w:rsidRPr="00E14102" w:rsidRDefault="00970104" w:rsidP="00E14102">
      <w:pPr>
        <w:jc w:val="both"/>
        <w:rPr>
          <w:color w:val="000000" w:themeColor="text1"/>
          <w:sz w:val="16"/>
          <w:szCs w:val="16"/>
        </w:rPr>
      </w:pPr>
      <w:r w:rsidRPr="00E14102">
        <w:rPr>
          <w:color w:val="000000" w:themeColor="text1"/>
          <w:sz w:val="16"/>
          <w:szCs w:val="16"/>
        </w:rPr>
        <w:t>15 ноября 1935 года о результатах испытаний БТ-ИС доложили наркому обороны К. Ворошилову и наркому тяжелой промышленности С. Орджоникидзе. Вскоре последовал их совместный приказ дирекции Харьковского паровозостроительного завода (ХПЗ) об оказании группе Цыганова всей необходимой помощи, а также изготовлении в 1936 году 10 танков БТ-ИС (на базе БТ-5) силами ремзавода № 48 (12217).</w:t>
      </w:r>
    </w:p>
    <w:p w14:paraId="0F7B9771" w14:textId="77777777" w:rsidR="00970104" w:rsidRPr="00E14102" w:rsidRDefault="00970104" w:rsidP="00E14102">
      <w:pPr>
        <w:jc w:val="both"/>
        <w:rPr>
          <w:color w:val="000000" w:themeColor="text1"/>
          <w:sz w:val="16"/>
          <w:szCs w:val="16"/>
        </w:rPr>
      </w:pPr>
    </w:p>
    <w:p w14:paraId="136D92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ноября 1935 г. состоялась закладка судов"Дежнев" и "Леваневский" на Ле</w:t>
      </w:r>
      <w:r w:rsidRPr="00E14102">
        <w:rPr>
          <w:color w:val="000000" w:themeColor="text1"/>
          <w:sz w:val="16"/>
          <w:szCs w:val="16"/>
        </w:rPr>
        <w:softHyphen/>
        <w:t>нинградском заводе им. А. Марти (завод 194) и в 1937 г. они бьши спущены на воду, и "Де</w:t>
      </w:r>
      <w:r w:rsidRPr="00E14102">
        <w:rPr>
          <w:color w:val="000000" w:themeColor="text1"/>
          <w:sz w:val="16"/>
          <w:szCs w:val="16"/>
        </w:rPr>
        <w:softHyphen/>
        <w:t>жнев" в сентябре следующего года передали заказчику. Главным строителем его был инженер Е. Д. Довжиков. Приемную комиссию возглавлял заместитель начальника Главсевморпути М. Н. Шеве</w:t>
      </w:r>
      <w:r w:rsidRPr="00E14102">
        <w:rPr>
          <w:color w:val="000000" w:themeColor="text1"/>
          <w:sz w:val="16"/>
          <w:szCs w:val="16"/>
        </w:rPr>
        <w:softHyphen/>
        <w:t>лев. "Дежнев" вполне оправдал возлагавшиеся на него надежды и по 1968 г. включительно с небольшими перерывами успешно пла</w:t>
      </w:r>
      <w:r w:rsidRPr="00E14102">
        <w:rPr>
          <w:color w:val="000000" w:themeColor="text1"/>
          <w:sz w:val="16"/>
          <w:szCs w:val="16"/>
        </w:rPr>
        <w:softHyphen/>
        <w:t>вал в Арктике. Во время войны на Севере он отличился в боевых действиях в качестве сторожевого корабля (СКР-19), вооруженного четырьмя 76-мм и четырьмя 45-мм орудиями. "Леваневский" так и не успели окончательно сдать до начала Великой Отечественной войны, когда он тоже получил артиллерийское вооружение, но 21 сентября 1941 г. затонул, пораженный авиабомбами противника в военной гавани Кронштадта. После подъема судно переоборудо</w:t>
      </w:r>
      <w:r w:rsidRPr="00E14102">
        <w:rPr>
          <w:color w:val="000000" w:themeColor="text1"/>
          <w:sz w:val="16"/>
          <w:szCs w:val="16"/>
        </w:rPr>
        <w:softHyphen/>
        <w:t>вали в танкер (3898).</w:t>
      </w:r>
    </w:p>
    <w:p w14:paraId="6D9771A1" w14:textId="77777777" w:rsidR="00D4105E" w:rsidRPr="00E14102" w:rsidRDefault="00D4105E" w:rsidP="00E14102">
      <w:pPr>
        <w:autoSpaceDE w:val="0"/>
        <w:autoSpaceDN w:val="0"/>
        <w:adjustRightInd w:val="0"/>
        <w:jc w:val="both"/>
        <w:rPr>
          <w:color w:val="000000" w:themeColor="text1"/>
          <w:sz w:val="16"/>
          <w:szCs w:val="16"/>
        </w:rPr>
      </w:pPr>
    </w:p>
    <w:p w14:paraId="65EF2E5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3D28FD0" w14:textId="77777777" w:rsidR="00D4105E" w:rsidRPr="00E14102" w:rsidRDefault="00D4105E" w:rsidP="00E14102">
      <w:pPr>
        <w:autoSpaceDE w:val="0"/>
        <w:autoSpaceDN w:val="0"/>
        <w:adjustRightInd w:val="0"/>
        <w:jc w:val="both"/>
        <w:rPr>
          <w:iCs/>
          <w:color w:val="000000" w:themeColor="text1"/>
          <w:sz w:val="16"/>
          <w:szCs w:val="16"/>
        </w:rPr>
      </w:pPr>
    </w:p>
    <w:p w14:paraId="5FE3D2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 15 ноября 1935 года Постановлением правительства прием драгоценных металлов и камней в Торгсине был прекращен, а с 1 января 1936-го Торгсин начал продавать свои товары только за наличную иностранную валюту. Золотая лихорадка закончилась. За четыре с небольшим года работы Торгсин скупил у населения золота на 127,3 миллиона рублей, или 98,7 тонны чистого золота, порядка 40 процентов промышленной золотодобычи в СССР за 1932-1935 годы. За те же годы гулаговский </w:t>
      </w:r>
      <w:r w:rsidRPr="00E14102">
        <w:rPr>
          <w:color w:val="000000" w:themeColor="text1"/>
          <w:sz w:val="16"/>
          <w:szCs w:val="16"/>
        </w:rPr>
        <w:lastRenderedPageBreak/>
        <w:t>Дальстрой намыл всего лишь 21,3 тонны чистого золота. Торгсин закрыли, но скупать золото у населения государство, конечно, не перестало. С 1936 года этим занимался Госбанк. Была установлена новая скупочная цена - 6 рублей 50 копеек за грамм чистого золота. Если перевести ее в деньги Торгсина, то государство теперь предлагало людям за грамм чистого золота 98,5 копейки, существенно меньше скупочной цены на золото - 1 рубль 29 копеек - периода Торгсина. Продолжала работать в стране на приисках и золотоскупка Главзолота, стимулируя старательскую сверхплановую добычу ценного металла (11558).</w:t>
      </w:r>
    </w:p>
    <w:p w14:paraId="421D39E2" w14:textId="77777777" w:rsidR="00D4105E" w:rsidRPr="00E14102" w:rsidRDefault="00D4105E" w:rsidP="00E14102">
      <w:pPr>
        <w:autoSpaceDE w:val="0"/>
        <w:autoSpaceDN w:val="0"/>
        <w:adjustRightInd w:val="0"/>
        <w:jc w:val="both"/>
        <w:rPr>
          <w:color w:val="000000" w:themeColor="text1"/>
          <w:sz w:val="16"/>
          <w:szCs w:val="16"/>
        </w:rPr>
      </w:pPr>
    </w:p>
    <w:p w14:paraId="76426585" w14:textId="77777777" w:rsidR="00B27DAD" w:rsidRPr="00E14102" w:rsidRDefault="00B27DAD" w:rsidP="00E14102">
      <w:pPr>
        <w:jc w:val="both"/>
        <w:rPr>
          <w:color w:val="000000" w:themeColor="text1"/>
          <w:sz w:val="16"/>
          <w:szCs w:val="16"/>
        </w:rPr>
      </w:pPr>
      <w:r w:rsidRPr="00E14102">
        <w:rPr>
          <w:color w:val="000000" w:themeColor="text1"/>
          <w:sz w:val="16"/>
          <w:szCs w:val="16"/>
        </w:rPr>
        <w:t>15 ноября 1935. В ночь с 14 на 15 ноября с 24 часов в течение часа из студии телевидения Московского радиовещательного узла производилась передача в эфир телеконцерта и кинофильма. Передача была организована специально для заранее подготовленных в разных городах СССР коллективных просмотров телелюбителями. Передавались отрывки из пьесы Островского "Гроза". В программе передачи были также пение и пластический танец (18720).</w:t>
      </w:r>
    </w:p>
    <w:p w14:paraId="6C3D9806" w14:textId="77777777" w:rsidR="00B27DAD" w:rsidRPr="00E14102" w:rsidRDefault="00B27DAD" w:rsidP="00E14102">
      <w:pPr>
        <w:jc w:val="both"/>
        <w:rPr>
          <w:color w:val="000000" w:themeColor="text1"/>
          <w:sz w:val="16"/>
          <w:szCs w:val="16"/>
        </w:rPr>
      </w:pPr>
    </w:p>
    <w:p w14:paraId="11FE100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AB8802D" w14:textId="77777777" w:rsidR="00D4105E" w:rsidRPr="00E14102" w:rsidRDefault="00D4105E" w:rsidP="00E14102">
      <w:pPr>
        <w:autoSpaceDE w:val="0"/>
        <w:autoSpaceDN w:val="0"/>
        <w:adjustRightInd w:val="0"/>
        <w:jc w:val="both"/>
        <w:rPr>
          <w:iCs/>
          <w:color w:val="000000" w:themeColor="text1"/>
          <w:sz w:val="16"/>
          <w:szCs w:val="16"/>
        </w:rPr>
      </w:pPr>
    </w:p>
    <w:p w14:paraId="731A36AE" w14:textId="77777777" w:rsidR="00D4105E" w:rsidRPr="00E14102" w:rsidRDefault="00D4105E" w:rsidP="00E14102">
      <w:pPr>
        <w:autoSpaceDE w:val="0"/>
        <w:autoSpaceDN w:val="0"/>
        <w:adjustRightInd w:val="0"/>
        <w:jc w:val="both"/>
        <w:rPr>
          <w:color w:val="000000" w:themeColor="text1"/>
          <w:sz w:val="16"/>
          <w:szCs w:val="16"/>
          <w:lang w:val="en-US"/>
        </w:rPr>
      </w:pPr>
      <w:r w:rsidRPr="00E14102">
        <w:rPr>
          <w:color w:val="000000" w:themeColor="text1"/>
          <w:sz w:val="16"/>
          <w:szCs w:val="16"/>
          <w:lang w:val="en-US"/>
        </w:rPr>
        <w:t>November 15, 1935 The Chief, Bureau of Aeronautics, approved recommendations from a fighter design competition and thereby initiated development of the Grumman XF4F-1 biplane and the Brewster XF2A-1 monoplane. The developmental sequence thus set in motion, although it included many subsequent changes and modifications, provided prototypes of the Navy's first-line fighters in use when the United States entered World War II (1090).</w:t>
      </w:r>
    </w:p>
    <w:p w14:paraId="4FB0A679" w14:textId="77777777" w:rsidR="00D4105E" w:rsidRPr="00E14102" w:rsidRDefault="00D4105E" w:rsidP="00E14102">
      <w:pPr>
        <w:autoSpaceDE w:val="0"/>
        <w:autoSpaceDN w:val="0"/>
        <w:adjustRightInd w:val="0"/>
        <w:jc w:val="both"/>
        <w:rPr>
          <w:color w:val="000000" w:themeColor="text1"/>
          <w:sz w:val="16"/>
          <w:szCs w:val="16"/>
          <w:lang w:val="en-US"/>
        </w:rPr>
      </w:pPr>
    </w:p>
    <w:p w14:paraId="46EF54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ноября 1935 Глава бюро по аэронавтике одобрил рекомендации по конкурсу и, таким образом, инициировал разработку биплана Grumman XF4F-1 и моноплана Brewster XF2A-1, с которыми США вошли в войну (1090).</w:t>
      </w:r>
    </w:p>
    <w:p w14:paraId="667B96EF" w14:textId="77777777" w:rsidR="00D4105E" w:rsidRPr="00E14102" w:rsidRDefault="00D4105E" w:rsidP="00E14102">
      <w:pPr>
        <w:autoSpaceDE w:val="0"/>
        <w:autoSpaceDN w:val="0"/>
        <w:adjustRightInd w:val="0"/>
        <w:jc w:val="both"/>
        <w:rPr>
          <w:color w:val="000000" w:themeColor="text1"/>
          <w:sz w:val="16"/>
          <w:szCs w:val="16"/>
        </w:rPr>
      </w:pPr>
    </w:p>
    <w:p w14:paraId="2E5A2E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ноября 1935 было подписано соглашение между Канадой и США о развитии взаимной торговли (3907,193).</w:t>
      </w:r>
    </w:p>
    <w:p w14:paraId="54C84891" w14:textId="77777777" w:rsidR="00D4105E" w:rsidRPr="00E14102" w:rsidRDefault="00D4105E" w:rsidP="00E14102">
      <w:pPr>
        <w:autoSpaceDE w:val="0"/>
        <w:autoSpaceDN w:val="0"/>
        <w:adjustRightInd w:val="0"/>
        <w:jc w:val="both"/>
        <w:rPr>
          <w:color w:val="000000" w:themeColor="text1"/>
          <w:sz w:val="16"/>
          <w:szCs w:val="16"/>
        </w:rPr>
      </w:pPr>
    </w:p>
    <w:p w14:paraId="2294BB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ноября 1935 было провозглашено создание Филиппинской федерации и Д.Макартур (США) был назначен ответственным за реорганизацию вооруженных сил (3481).</w:t>
      </w:r>
    </w:p>
    <w:p w14:paraId="3EDD27F4" w14:textId="77777777" w:rsidR="00D4105E" w:rsidRPr="00E14102" w:rsidRDefault="00D4105E" w:rsidP="00E14102">
      <w:pPr>
        <w:autoSpaceDE w:val="0"/>
        <w:autoSpaceDN w:val="0"/>
        <w:adjustRightInd w:val="0"/>
        <w:jc w:val="both"/>
        <w:rPr>
          <w:color w:val="000000" w:themeColor="text1"/>
          <w:sz w:val="16"/>
          <w:szCs w:val="16"/>
        </w:rPr>
      </w:pPr>
    </w:p>
    <w:p w14:paraId="4552927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BCA6688" w14:textId="77777777" w:rsidR="00D4105E" w:rsidRPr="00E14102" w:rsidRDefault="00D4105E" w:rsidP="00E14102">
      <w:pPr>
        <w:autoSpaceDE w:val="0"/>
        <w:autoSpaceDN w:val="0"/>
        <w:adjustRightInd w:val="0"/>
        <w:jc w:val="both"/>
        <w:rPr>
          <w:iCs/>
          <w:color w:val="000000" w:themeColor="text1"/>
          <w:sz w:val="16"/>
          <w:szCs w:val="16"/>
        </w:rPr>
      </w:pPr>
    </w:p>
    <w:p w14:paraId="6ECC2D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середине ноября 1935 года ВВС выставляют дополнительные ТТТ к ТБ-7. В основном они касаются некоторых элементов бомбардировочного, стрелково-пушечного вооружения, аэронавигационного, электрорадиооборудования, специального оборудования, элементов винтомоторной группы и конструкции (7685).</w:t>
      </w:r>
    </w:p>
    <w:p w14:paraId="2A06B6E5" w14:textId="77777777" w:rsidR="00D4105E" w:rsidRPr="00E14102" w:rsidRDefault="00D4105E" w:rsidP="00E14102">
      <w:pPr>
        <w:autoSpaceDE w:val="0"/>
        <w:autoSpaceDN w:val="0"/>
        <w:adjustRightInd w:val="0"/>
        <w:jc w:val="both"/>
        <w:rPr>
          <w:color w:val="000000" w:themeColor="text1"/>
          <w:sz w:val="16"/>
          <w:szCs w:val="16"/>
        </w:rPr>
      </w:pPr>
    </w:p>
    <w:p w14:paraId="5EA32E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середине ноября 1935 ВВС уточнили комплектацию вооружения, оборудования и винтомоторной группы ТБ-7. К маю 1935 г. некоторые бригады были уже близки к завершению рабочих чертежей (11996).</w:t>
      </w:r>
    </w:p>
    <w:p w14:paraId="3536379E" w14:textId="77777777" w:rsidR="00D4105E" w:rsidRPr="00E14102" w:rsidRDefault="00D4105E" w:rsidP="00E14102">
      <w:pPr>
        <w:autoSpaceDE w:val="0"/>
        <w:autoSpaceDN w:val="0"/>
        <w:adjustRightInd w:val="0"/>
        <w:jc w:val="both"/>
        <w:rPr>
          <w:color w:val="000000" w:themeColor="text1"/>
          <w:sz w:val="16"/>
          <w:szCs w:val="16"/>
        </w:rPr>
      </w:pPr>
    </w:p>
    <w:p w14:paraId="7C008B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середине ноября 1935 после того, как на ЦКБ-19 втором опытном было сделано несколько полётов, он был направлен на завод для доделки системы охлаждения, доводка шасси и прочее. О зимних испытаниях этого экземпляра сведений не обнаружено, очевидно, полноценные полёты возобновились к лету (9630).</w:t>
      </w:r>
    </w:p>
    <w:p w14:paraId="3BE46092" w14:textId="77777777" w:rsidR="00D4105E" w:rsidRPr="00E14102" w:rsidRDefault="00D4105E" w:rsidP="00E14102">
      <w:pPr>
        <w:autoSpaceDE w:val="0"/>
        <w:autoSpaceDN w:val="0"/>
        <w:adjustRightInd w:val="0"/>
        <w:jc w:val="both"/>
        <w:rPr>
          <w:color w:val="000000" w:themeColor="text1"/>
          <w:sz w:val="16"/>
          <w:szCs w:val="16"/>
        </w:rPr>
      </w:pPr>
    </w:p>
    <w:p w14:paraId="4359A6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До середины ноября 1935 полеты на ЦКБ-19 приостановили и последовали доделки системы охлаждения, доводки шасси и прочее. Зимой машина не эксплуатировалась, очевидно, полноценные полеты возобновились ближе к следующему лету. 1 мая 1936 г. ЦКБ-19 показали в полете над Красной площадью. В летний период в ходе испытаний зафиксировали максимальную скорость 485 км/ч и потолок 9700 м. О дальнейших полетах данного экземпляра сведения отсутствуют (11951) </w:t>
      </w:r>
    </w:p>
    <w:p w14:paraId="616366B7" w14:textId="77777777" w:rsidR="00D4105E" w:rsidRPr="00E14102" w:rsidRDefault="00D4105E" w:rsidP="00E14102">
      <w:pPr>
        <w:autoSpaceDE w:val="0"/>
        <w:autoSpaceDN w:val="0"/>
        <w:adjustRightInd w:val="0"/>
        <w:jc w:val="both"/>
        <w:rPr>
          <w:color w:val="000000" w:themeColor="text1"/>
          <w:sz w:val="16"/>
          <w:szCs w:val="16"/>
        </w:rPr>
      </w:pPr>
    </w:p>
    <w:p w14:paraId="3D6873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середины ноября 1935 на ЦКБ-19 втором было сделано еше несколько полетов, после чего последовали усовершенствования системы охлаждения, доводки шасси и прочее. О зимних испытаниях этого экземпляра сведений не обнаружено, очевидно, полноценные полеты возобновились ближе к лету. 1 мая 1936 г. ЦКБ-19 показали в полете над Красной площадью. В летний период, в ходе продолжения испытаний, зафиксировали максимальную скорость 485 км/ч и потолок 9700 м (12016).</w:t>
      </w:r>
    </w:p>
    <w:p w14:paraId="6B122A6F" w14:textId="77777777" w:rsidR="00D4105E" w:rsidRPr="00E14102" w:rsidRDefault="00D4105E" w:rsidP="00E14102">
      <w:pPr>
        <w:autoSpaceDE w:val="0"/>
        <w:autoSpaceDN w:val="0"/>
        <w:adjustRightInd w:val="0"/>
        <w:jc w:val="both"/>
        <w:rPr>
          <w:color w:val="000000" w:themeColor="text1"/>
          <w:sz w:val="16"/>
          <w:szCs w:val="16"/>
        </w:rPr>
      </w:pPr>
    </w:p>
    <w:p w14:paraId="32F2E26E" w14:textId="77777777" w:rsidR="0075212F" w:rsidRPr="00E14102" w:rsidRDefault="0075212F"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AE5646A" w14:textId="77777777" w:rsidR="0075212F" w:rsidRPr="00E14102" w:rsidRDefault="0075212F" w:rsidP="00E14102">
      <w:pPr>
        <w:autoSpaceDE w:val="0"/>
        <w:autoSpaceDN w:val="0"/>
        <w:adjustRightInd w:val="0"/>
        <w:jc w:val="both"/>
        <w:rPr>
          <w:iCs/>
          <w:color w:val="000000" w:themeColor="text1"/>
          <w:sz w:val="16"/>
          <w:szCs w:val="16"/>
        </w:rPr>
      </w:pPr>
    </w:p>
    <w:p w14:paraId="3D49F0CD" w14:textId="77777777" w:rsidR="0075212F" w:rsidRPr="00E14102" w:rsidRDefault="0075212F"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середине ноября 1935 года удалось закончить чертежи переработанного образца Т-29-5. Между тем, в АБТУ КА на новый танк сильно рассчитывали. Предполагалось, что именно Т-29 станет новым средним танком, и уже в 1936 году он должен был производиться на Кировском заводе вместо Т-28. При этом нельзя сказать, что Т-28, самый массовый средний танк предвоенного периода, был плохим танком. Скорее, даже наоборот. Но он имел целую массу недостатков, в том числе и по ходовой части. На высоких скоростях подвеска вела себя плохо, особенно это касалось преодоления на высокой скорости (15-18 км/ч) вертикальных препятствий. С производством Т-28 на Кировском заводе дела обстояли не особо хорошо. За 1935 год удалось сдать всего 32 танка, то есть в среднем строилось чуть больше 2,6 танков в месяц. Машина получилась не только сложной, но и очень дорогой: в 1938 году цена на Т-28 составляла 380 тысяч рублей за штуку. За те же деньги можно было построить 3 БТ-7 или почти 5 Т-26. Дороже был только Т-35 (500 тысяч рублей за штуку), который выпускался мелкими партиями. Перспектив для Т-28 АБТУ КА не видело еще в 1935 году. То, что этот танк выпускался вплоть до 1940 года, стало результатом проблем с выбором преемника. Другими словами, фантазии некоторых любителей военной истории о модернизированном Т-28 как о возможной альтернативе для Т-34, не имеют под собой хоть каких-нибудь оснований.</w:t>
      </w:r>
    </w:p>
    <w:p w14:paraId="58A7CE73" w14:textId="77777777" w:rsidR="0075212F" w:rsidRPr="00E14102" w:rsidRDefault="0075212F"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После внесённых изменений ориентировочная боевая масса машины выросла до 25-26 тонн. Танк стал длиннее на 10 сантиметров и примерно на столько же шире. Его максимальную скорость на гусеницах определили в районе 55 км/ч, несколько снижалась и скорость при езде на колёсах. По опыту эксплуатации Т-29-4 и Т-29-5 ожидаемое время перехода с гусеничного на колёсный ход должно было составить примерно полчаса. Достигалось это за счёт механизации процесса затягивания ветвей гусеничных лент на крылья.</w:t>
      </w:r>
    </w:p>
    <w:p w14:paraId="38A7F3C9" w14:textId="77777777" w:rsidR="0075212F" w:rsidRPr="00E14102" w:rsidRDefault="0075212F"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Конструкторы КБ завода №185 провели большую работу по улучшению условий работы экипажа. В крыше подбашенной коробки появились два вытяжных вентилятора. Орудийная башня стала больше в размерах, что улучшило условия работы в ней. Также переделке подверглись некоторые элементы корпуса. В частности, боковые воздухозаборники получили характерные «уши». Изменения, улучшившие условия работы механика-водителя, были внесены и в конструкцию отделения управления.</w:t>
      </w:r>
    </w:p>
    <w:p w14:paraId="1E402FFA" w14:textId="77777777" w:rsidR="0075212F" w:rsidRPr="00E14102" w:rsidRDefault="0075212F"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Готовность чертежей совсем не означала, что работы по созданию танка ускорятся. Ни одного экземпляра Т-29 в 1935 году так и не было построено. АБТУ КА заключило с Кировским заводом соглашение о выпуске 10 Т-29 за 1936 год, но по состоянию на июнь 1936 года Кировский завод и завод №185 только продолжали работу по устранению недостатков, выявленных по итогам испытаний, а также переделку чертежей. Разумеется, в такой ситуации о постройке даже одного экземпляра танка речи не шло. И.А. Халепский, начальник АБТУ КА, бомбардировал заводы письмами, в которых требовал срочно форсировать работу по танку, точно также, как и в конце 1935 года, и с точно таким же минимальным эффектом (17708).</w:t>
      </w:r>
    </w:p>
    <w:p w14:paraId="1F7D4803" w14:textId="77777777" w:rsidR="0075212F" w:rsidRPr="00E14102" w:rsidRDefault="0075212F" w:rsidP="00E14102">
      <w:pPr>
        <w:jc w:val="both"/>
        <w:rPr>
          <w:color w:val="000000" w:themeColor="text1"/>
          <w:sz w:val="16"/>
          <w:szCs w:val="16"/>
        </w:rPr>
      </w:pPr>
    </w:p>
    <w:p w14:paraId="24406BC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673EFE9" w14:textId="77777777" w:rsidR="00D4105E" w:rsidRPr="00E14102" w:rsidRDefault="00D4105E" w:rsidP="00E14102">
      <w:pPr>
        <w:autoSpaceDE w:val="0"/>
        <w:autoSpaceDN w:val="0"/>
        <w:adjustRightInd w:val="0"/>
        <w:jc w:val="both"/>
        <w:rPr>
          <w:iCs/>
          <w:color w:val="000000" w:themeColor="text1"/>
          <w:sz w:val="16"/>
          <w:szCs w:val="16"/>
        </w:rPr>
      </w:pPr>
    </w:p>
    <w:p w14:paraId="38C79B1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ноября 1935 года Начальник управления ВС Хрипин утвердил Дополнительные тактико-технические требования к бомбардировочному самолету дальнего действия (ТБ7-4М34 ФРН) (6692).</w:t>
      </w:r>
    </w:p>
    <w:p w14:paraId="5C953B8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Проектирующая и строящая организация ЦАГИ</w:t>
      </w:r>
    </w:p>
    <w:p w14:paraId="6418E3F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(Оборудование) (6692).</w:t>
      </w:r>
    </w:p>
    <w:p w14:paraId="29EF1AC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4E240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ноября 1935 года закончились гос. испытания самолета И-16 М-22 № 4217 с неубирающимися шасси постройки завода № 21, которые проходили с 21 октября 1935 (6698).</w:t>
      </w:r>
    </w:p>
    <w:p w14:paraId="06D6CE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79B59AC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инженер-летчик Алтынов</w:t>
      </w:r>
    </w:p>
    <w:p w14:paraId="46FF4AE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летчик Стефановский</w:t>
      </w:r>
    </w:p>
    <w:p w14:paraId="4AE8BFB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5E0F430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для сравнительных летных данных с серийным самолетом И-16 М22 с убирающимся шасси.</w:t>
      </w:r>
    </w:p>
    <w:p w14:paraId="0A8BD0F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0DD6B8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Применение шасси установленного на самолете вполне целесообразно в комбинации с лыжами, при условии установки шасси на те же (и если нужно – и на легко устанавливаемые средствами частей ВС дополнительные) кронштейны крепления шасси убирающегося в полете.</w:t>
      </w:r>
    </w:p>
    <w:p w14:paraId="3971F56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 (6698).</w:t>
      </w:r>
    </w:p>
    <w:p w14:paraId="63E12DF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0AD2E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5-й полет Москва-Ногинск со стрельбой в воздухе (3081).</w:t>
      </w:r>
    </w:p>
    <w:p w14:paraId="1EE29E6C" w14:textId="77777777" w:rsidR="00D4105E" w:rsidRPr="00E14102" w:rsidRDefault="00D4105E" w:rsidP="00E14102">
      <w:pPr>
        <w:autoSpaceDE w:val="0"/>
        <w:autoSpaceDN w:val="0"/>
        <w:adjustRightInd w:val="0"/>
        <w:jc w:val="both"/>
        <w:rPr>
          <w:color w:val="000000" w:themeColor="text1"/>
          <w:sz w:val="16"/>
          <w:szCs w:val="16"/>
        </w:rPr>
      </w:pPr>
    </w:p>
    <w:p w14:paraId="76E457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ноября 1935 года закончились госиспытания самолета И-16 М-22 № 4217 с неубирающимися шасси постройки завода № 21, которые проходили с 21 октября 1935 года.</w:t>
      </w:r>
    </w:p>
    <w:p w14:paraId="30EE26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Отчет о госиспытаниях самолета И-16 М-22 № 4217 с неубирающимися шасси постройки завода № 21</w:t>
      </w:r>
    </w:p>
    <w:p w14:paraId="3B596C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70B4BD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 – летчик Алтынов</w:t>
      </w:r>
    </w:p>
    <w:p w14:paraId="60E33F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летчик – Стефановский</w:t>
      </w:r>
    </w:p>
    <w:p w14:paraId="0917BC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6E94AE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Госиспытания самолета для сравнительных летных данных с серийным самолетом И-16 М22 с убирающимся шасси.</w:t>
      </w:r>
    </w:p>
    <w:p w14:paraId="58EEEF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15E38A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Применение шасси установленного на самолете вполне целесообразно в комбинации с лыжами зимой, при условии возможности установки шасси на те же (и если нужно и на легкоустанавливаемые средствами частей ВС дополнительные) кронштейны крепления шасси убирающегося в полете.</w:t>
      </w:r>
    </w:p>
    <w:p w14:paraId="76B051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w:t>
      </w:r>
    </w:p>
    <w:p w14:paraId="6543190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Применение неубирающегося шасси чрезвычайно полезно для выпуска и предварительной тренировки летчиков как в школах, так и в строю.</w:t>
      </w:r>
    </w:p>
    <w:p w14:paraId="5A251DF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предъявленном виде неубирающееся шасси самолета И-16 М22 конструкции завода № 21 госиспытаний не выдержало.</w:t>
      </w:r>
    </w:p>
    <w:p w14:paraId="5CFAFAB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Вполне целесообразна доводка указанного шасси в частности в качестве зимнего варианта в комбинации с лыжами при условии возможности установки его на нормальные серийные самолеты И-16 М-22 силами и средствами частей ВС (7655).</w:t>
      </w:r>
    </w:p>
    <w:p w14:paraId="23725AD0"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7512A6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16 ноября 1935 в НИИ ВВС закончились государственные испытания И-16 с неубираемым шасси (был взят один из первых серийных истребителей И-16 тип 4 № 4217, у которого шасси закрыли обтекателями-“штанами”, зашили ниши на нижней поверхности крыла), которые проходили с 21 октября. Их проводил летчик-испытатель П.М.Стефановский. У зем</w:t>
      </w:r>
      <w:r w:rsidRPr="00E14102">
        <w:rPr>
          <w:color w:val="000000" w:themeColor="text1"/>
          <w:sz w:val="16"/>
          <w:szCs w:val="16"/>
        </w:rPr>
        <w:softHyphen/>
        <w:t>ли удалось достичь максимальной скорости 345 км/ч и 335 км/ч на высоте 3000 м. Потолок снизился до 7110 м.</w:t>
      </w:r>
    </w:p>
    <w:p w14:paraId="679778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выводах по результатам испытаний отмечалось:</w:t>
      </w:r>
    </w:p>
    <w:p w14:paraId="38FD2D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Самолет И16-М22 с неубираемым шасси по лет</w:t>
      </w:r>
      <w:r w:rsidRPr="00E14102">
        <w:rPr>
          <w:color w:val="000000" w:themeColor="text1"/>
          <w:sz w:val="16"/>
          <w:szCs w:val="16"/>
        </w:rPr>
        <w:softHyphen/>
        <w:t>ным данным уступает самолету с убираемым шасси, но имеет большую устойчивость на фигурах за счет доба</w:t>
      </w:r>
      <w:r w:rsidRPr="00E14102">
        <w:rPr>
          <w:color w:val="000000" w:themeColor="text1"/>
          <w:sz w:val="16"/>
          <w:szCs w:val="16"/>
        </w:rPr>
        <w:softHyphen/>
        <w:t>вочных вертикальных поверхностей (шасси в обтекате</w:t>
      </w:r>
      <w:r w:rsidRPr="00E14102">
        <w:rPr>
          <w:color w:val="000000" w:themeColor="text1"/>
          <w:sz w:val="16"/>
          <w:szCs w:val="16"/>
        </w:rPr>
        <w:softHyphen/>
        <w:t>лях).</w:t>
      </w:r>
    </w:p>
    <w:p w14:paraId="63D9EB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Конструкция самого шасси не доработана” (10667).</w:t>
      </w:r>
    </w:p>
    <w:p w14:paraId="3A32F822" w14:textId="77777777" w:rsidR="00D4105E" w:rsidRPr="00E14102" w:rsidRDefault="00D4105E" w:rsidP="00E14102">
      <w:pPr>
        <w:autoSpaceDE w:val="0"/>
        <w:autoSpaceDN w:val="0"/>
        <w:adjustRightInd w:val="0"/>
        <w:jc w:val="both"/>
        <w:rPr>
          <w:color w:val="000000" w:themeColor="text1"/>
          <w:sz w:val="16"/>
          <w:szCs w:val="16"/>
        </w:rPr>
      </w:pPr>
    </w:p>
    <w:p w14:paraId="5065F13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16 ноября 1935 года вышел на испытания второй экземпляр И-17. На него поставили новое шасси. В итоге опоздание с И-17 против первого правительственного срока достигло года. Следует отметить, что хотя И-17 только закончен и доводка его не начиналась, ГУАП дал задание на серийную постройку (3475,130).</w:t>
      </w:r>
    </w:p>
    <w:p w14:paraId="71E49689"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696FFC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ноября 1935 Н.Н.П. писал A.К.Орджоникидзе и жаловался на завод 39 (228,114). Якобы именно после этих писем ЦКБ и реорганизовали и каждой бригаде дали свою базу (228,115).</w:t>
      </w:r>
    </w:p>
    <w:p w14:paraId="0840630A" w14:textId="77777777" w:rsidR="00D4105E" w:rsidRPr="00E14102" w:rsidRDefault="00D4105E" w:rsidP="00E14102">
      <w:pPr>
        <w:autoSpaceDE w:val="0"/>
        <w:autoSpaceDN w:val="0"/>
        <w:adjustRightInd w:val="0"/>
        <w:jc w:val="both"/>
        <w:rPr>
          <w:color w:val="000000" w:themeColor="text1"/>
          <w:sz w:val="16"/>
          <w:szCs w:val="16"/>
        </w:rPr>
      </w:pPr>
    </w:p>
    <w:p w14:paraId="292431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ноября 1935 года зам. зав. Промотделом ЦК ВКП(б) Целищев и зав. сектором военной промышленности Осиев писали письмо секретарю ЦК ВКП(б) Андрееву А.А.</w:t>
      </w:r>
    </w:p>
    <w:p w14:paraId="6C9858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Профессор МАИ В.И. Левков сконструировал воздушную лодку.</w:t>
      </w:r>
    </w:p>
    <w:p w14:paraId="2B88E3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Конструкция лодки основана на новом до сих пор не применявшемся принципе, позволяющем достигать на воде скоростей не доступных в настоящее время никакому судну или глиссеру.</w:t>
      </w:r>
    </w:p>
    <w:p w14:paraId="3D9033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Принцип конструкции заключается в полном отрыве машины от воды. Машина движется над поверхность воды на небольшой высоте, определяемой мощностью мотора и обладает при этом абсолютной автоматической устойчивостью.</w:t>
      </w:r>
    </w:p>
    <w:p w14:paraId="60029A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работы "Воздушной лодки" безразлично какая поверхность находится под ней; поэтому она с одинаковым эффектом может ходить над поверхностью воды, над землей, болотом, снегом и льдом. Погруженная на четверть мотора в болотную топь, лодка при пуске моторов немедленно и легко поднимается в воздух.</w:t>
      </w:r>
    </w:p>
    <w:p w14:paraId="5EF06C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это проверено при испытании опытного образца.</w:t>
      </w:r>
    </w:p>
    <w:p w14:paraId="487734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Применение "воздушной лодки" исключительно разнообразно. Важнейшими же из них имеющими боевое значение можно считать:</w:t>
      </w:r>
    </w:p>
    <w:p w14:paraId="2034D8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Торпедоносец - скорость 160 км</w:t>
      </w:r>
    </w:p>
    <w:p w14:paraId="266D55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Десантный транспорт - скорость 140 км</w:t>
      </w:r>
    </w:p>
    <w:p w14:paraId="4B6AC9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Летающий мост - скорость 100 км</w:t>
      </w:r>
    </w:p>
    <w:p w14:paraId="5AB9F3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Катапульты</w:t>
      </w:r>
    </w:p>
    <w:p w14:paraId="2AD0B5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Пассажирская - скорость 150 км</w:t>
      </w:r>
    </w:p>
    <w:p w14:paraId="23BF87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Лодка торпеда управляемая по радио</w:t>
      </w:r>
    </w:p>
    <w:p w14:paraId="05B090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Авианосец</w:t>
      </w:r>
    </w:p>
    <w:p w14:paraId="6198D4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Считая изобретение Левкова, имеющим исключительную важность предлагаем:</w:t>
      </w:r>
    </w:p>
    <w:p w14:paraId="3F2612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Включить конструкторские работы по этим лодкам и изготовление опытных лодок в государственный план опытных работ по авиационной промышленности.</w:t>
      </w:r>
    </w:p>
    <w:p w14:paraId="32AD23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Установить программу выпуска воздушных лодок в 1936 году.</w:t>
      </w:r>
    </w:p>
    <w:p w14:paraId="373354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Обязать ГУАП немедленно сосредоточить работы проф. Левкова на заводе N 84 (Москва), полностью освободив этот завод с 1936 года от других работ (3502,5-6).</w:t>
      </w:r>
    </w:p>
    <w:p w14:paraId="47441DCE" w14:textId="77777777" w:rsidR="00D4105E" w:rsidRPr="00E14102" w:rsidRDefault="00D4105E" w:rsidP="00E14102">
      <w:pPr>
        <w:autoSpaceDE w:val="0"/>
        <w:autoSpaceDN w:val="0"/>
        <w:adjustRightInd w:val="0"/>
        <w:jc w:val="both"/>
        <w:rPr>
          <w:color w:val="000000" w:themeColor="text1"/>
          <w:sz w:val="16"/>
          <w:szCs w:val="16"/>
        </w:rPr>
      </w:pPr>
    </w:p>
    <w:p w14:paraId="1B3841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16 ноября 1935 г. начальник РНИИ НК.ТП И.Т.Клейменов утвердил программу демонстраци</w:t>
      </w:r>
      <w:r w:rsidRPr="00E14102">
        <w:rPr>
          <w:color w:val="000000" w:themeColor="text1"/>
          <w:sz w:val="16"/>
          <w:szCs w:val="16"/>
        </w:rPr>
        <w:softHyphen/>
        <w:t>онных испытаний объектов РНИИ для показа новых видов ракетного вооружения, его применения и боевого действия. Предварительные (тренировка) и показ.</w:t>
      </w:r>
    </w:p>
    <w:p w14:paraId="58255C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Бомбометание в двух полетах авиабомбами и ракетами с самолета Р-5. В первом с высоты 1000 м сбросить одну РАБ-132 с запуском двига</w:t>
      </w:r>
      <w:r w:rsidRPr="00E14102">
        <w:rPr>
          <w:color w:val="000000" w:themeColor="text1"/>
          <w:sz w:val="16"/>
          <w:szCs w:val="16"/>
        </w:rPr>
        <w:softHyphen/>
        <w:t>теля на высоте 250-300 м и одну ФАБ-50 без взрывателя. Во втором поле</w:t>
      </w:r>
      <w:r w:rsidRPr="00E14102">
        <w:rPr>
          <w:color w:val="000000" w:themeColor="text1"/>
          <w:sz w:val="16"/>
          <w:szCs w:val="16"/>
        </w:rPr>
        <w:softHyphen/>
        <w:t>те с высоты 2000 м сбросить одну РАБ- 245 с запуском двигателя на высо</w:t>
      </w:r>
      <w:r w:rsidRPr="00E14102">
        <w:rPr>
          <w:color w:val="000000" w:themeColor="text1"/>
          <w:sz w:val="16"/>
          <w:szCs w:val="16"/>
        </w:rPr>
        <w:softHyphen/>
        <w:t>те 500-600 м и одну ФАБ-500 без взрывателя.</w:t>
      </w:r>
    </w:p>
    <w:p w14:paraId="2C5C87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Стрельба ракетными снарядами с земных установок:</w:t>
      </w:r>
    </w:p>
    <w:p w14:paraId="74CA2A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со специального станка один выстрел РС-245 без взрывателя:</w:t>
      </w:r>
    </w:p>
    <w:p w14:paraId="0AC7CC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РФС-132 (с воздушным подрывом) со станка, установленного в кузове грузовика;</w:t>
      </w:r>
    </w:p>
    <w:p w14:paraId="2E0FB6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осветительным РС-132-О из того же станка с выбрасыванием осветительного факела на дистанцию 2000 м;</w:t>
      </w:r>
    </w:p>
    <w:p w14:paraId="2BEBE0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из специальной пусковой трубы 16 выстрелов ТРС-68 трассирующими и сигнальными с углом возвышения 70-80°;</w:t>
      </w:r>
    </w:p>
    <w:p w14:paraId="131AF6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 со штыревого станка выстрел безубойным РС-60Т с углом возвышения 70-80 гр.;</w:t>
      </w:r>
    </w:p>
    <w:p w14:paraId="0C602C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 со специального станка выстрел 214-мм агитационным ракетным снарядом с разбрасыванием литературы разрывом на дистанции 2000 м.</w:t>
      </w:r>
    </w:p>
    <w:p w14:paraId="608691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том же порядке провести демонстрационную стрельбу и бомбометание. РАБ-132 (3 шт.), РАБ-245 (2 шт.), РС-132 (3 шт.), РС-132-О (3 шт.), Ц»С_245 С шт.), РС-68С (16 шт.), ТРС-60Т (3 шт.) и РС-214А (1 шт.). 3а исключением РАБ-245 и РС-214А с новым вариантом оперения, все '''боеприпасы прошли неоднократные полигонные испытания (11402).</w:t>
      </w:r>
    </w:p>
    <w:p w14:paraId="2590ECA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3D38D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ноября 1935 г. начальник ККА Ефимов утвердил программу демонстрационных испытаний объектов РНИИ НКТП для показа новых видов ракетного вооружения, применения и боевого действия. В частности, на тренировке одним из пунктов программы было бомбометание авиабомбами и ракетами с самолета Р-5. С высоты 1000 м надлежало сбросить одну РАБ-132 с за</w:t>
      </w:r>
      <w:r w:rsidRPr="00E14102">
        <w:rPr>
          <w:color w:val="000000" w:themeColor="text1"/>
          <w:sz w:val="16"/>
          <w:szCs w:val="16"/>
        </w:rPr>
        <w:softHyphen/>
        <w:t>пуском двигателя на высоте 250-300 м и одну ФАБ-50 без взрывателя. В том же порядке требовалось провести и демонстрационное бомбомета</w:t>
      </w:r>
      <w:r w:rsidRPr="00E14102">
        <w:rPr>
          <w:color w:val="000000" w:themeColor="text1"/>
          <w:sz w:val="16"/>
          <w:szCs w:val="16"/>
        </w:rPr>
        <w:softHyphen/>
        <w:t>ние. В обшей сложности для этих целей планировали израсходовать три РАБ-132 (11402).</w:t>
      </w:r>
    </w:p>
    <w:p w14:paraId="25FA51FD" w14:textId="77777777" w:rsidR="00D4105E" w:rsidRPr="00E14102" w:rsidRDefault="00D4105E" w:rsidP="00E14102">
      <w:pPr>
        <w:autoSpaceDE w:val="0"/>
        <w:autoSpaceDN w:val="0"/>
        <w:adjustRightInd w:val="0"/>
        <w:jc w:val="both"/>
        <w:rPr>
          <w:color w:val="000000" w:themeColor="text1"/>
          <w:sz w:val="16"/>
          <w:szCs w:val="16"/>
        </w:rPr>
      </w:pPr>
    </w:p>
    <w:p w14:paraId="0F282A2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16 ноября 1935 г. в письме Начальнику АУ РККА комкору Н.А.Ефимову от начальника РНИИ НКТП военинженера 1 ранга И.Т.Клейменова об ут</w:t>
      </w:r>
      <w:r w:rsidRPr="00E14102">
        <w:rPr>
          <w:color w:val="000000" w:themeColor="text1"/>
          <w:sz w:val="16"/>
          <w:szCs w:val="16"/>
        </w:rPr>
        <w:softHyphen/>
        <w:t>верждении программы «демонстрационных испытаний объектов РНИИ для показа новых видов ракетного вооружения, его применения и боево</w:t>
      </w:r>
      <w:r w:rsidRPr="00E14102">
        <w:rPr>
          <w:color w:val="000000" w:themeColor="text1"/>
          <w:sz w:val="16"/>
          <w:szCs w:val="16"/>
        </w:rPr>
        <w:softHyphen/>
        <w:t>го действия» в перечне объектов упоминался 214-мм агитационный ра</w:t>
      </w:r>
      <w:r w:rsidRPr="00E14102">
        <w:rPr>
          <w:color w:val="000000" w:themeColor="text1"/>
          <w:sz w:val="16"/>
          <w:szCs w:val="16"/>
        </w:rPr>
        <w:softHyphen/>
        <w:t>кетный снаряд РС-214А в количестве одной штуки. Информации о нем крайне мало. Упоминается лишь, что за исключением РС-214А с новым вариантом оперения, все боеприпасы прошли неоднократные полигон</w:t>
      </w:r>
      <w:r w:rsidRPr="00E14102">
        <w:rPr>
          <w:color w:val="000000" w:themeColor="text1"/>
          <w:sz w:val="16"/>
          <w:szCs w:val="16"/>
        </w:rPr>
        <w:softHyphen/>
        <w:t>ные испытания.</w:t>
      </w:r>
    </w:p>
    <w:p w14:paraId="12E612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Кроме того, в «Объяснительной записке к годовому отчету РНИИ НКТП за 1935 г.» говорилось, что в этом же году была создана и также ус</w:t>
      </w:r>
      <w:r w:rsidRPr="00E14102">
        <w:rPr>
          <w:color w:val="000000" w:themeColor="text1"/>
          <w:sz w:val="16"/>
          <w:szCs w:val="16"/>
        </w:rPr>
        <w:softHyphen/>
        <w:t>пешно испытана 245-мм воздушно-реактивная агитационная торпеда ближнего действия. В ПУР РККА предложили включить эту тему (объ</w:t>
      </w:r>
      <w:r w:rsidRPr="00E14102">
        <w:rPr>
          <w:color w:val="000000" w:themeColor="text1"/>
          <w:sz w:val="16"/>
          <w:szCs w:val="16"/>
        </w:rPr>
        <w:softHyphen/>
        <w:t>ект 48а) в годовой план и выдали детальные ТТТ. Однако, затем там от</w:t>
      </w:r>
      <w:r w:rsidRPr="00E14102">
        <w:rPr>
          <w:color w:val="000000" w:themeColor="text1"/>
          <w:sz w:val="16"/>
          <w:szCs w:val="16"/>
        </w:rPr>
        <w:softHyphen/>
        <w:t>казались от заключения договора. И хотя в РНИИ за счет внутренних ре</w:t>
      </w:r>
      <w:r w:rsidRPr="00E14102">
        <w:rPr>
          <w:color w:val="000000" w:themeColor="text1"/>
          <w:sz w:val="16"/>
          <w:szCs w:val="16"/>
        </w:rPr>
        <w:softHyphen/>
        <w:t>сурсов в инициативном порядке провели большую экспериментальную и конструкторскую работу, военные «политрабочие» свой заказ больше не возобновили (11402).</w:t>
      </w:r>
    </w:p>
    <w:p w14:paraId="1F6C2D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4109D82" w14:textId="77777777" w:rsidR="00116688"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C7752FA" w14:textId="77777777" w:rsidR="00116688" w:rsidRPr="00E14102" w:rsidRDefault="00116688" w:rsidP="00E14102">
      <w:pPr>
        <w:autoSpaceDE w:val="0"/>
        <w:autoSpaceDN w:val="0"/>
        <w:adjustRightInd w:val="0"/>
        <w:jc w:val="both"/>
        <w:rPr>
          <w:iCs/>
          <w:color w:val="000000" w:themeColor="text1"/>
          <w:sz w:val="16"/>
          <w:szCs w:val="16"/>
        </w:rPr>
      </w:pPr>
    </w:p>
    <w:p w14:paraId="68B716FC" w14:textId="77777777" w:rsidR="00116688" w:rsidRPr="00E14102" w:rsidRDefault="00116688" w:rsidP="00E14102">
      <w:pPr>
        <w:pStyle w:val="rtejustify"/>
        <w:spacing w:before="0" w:after="0"/>
        <w:rPr>
          <w:color w:val="000000" w:themeColor="text1"/>
          <w:sz w:val="16"/>
          <w:szCs w:val="16"/>
        </w:rPr>
      </w:pPr>
      <w:r w:rsidRPr="00E14102">
        <w:rPr>
          <w:rStyle w:val="a6"/>
          <w:bCs/>
          <w:i w:val="0"/>
          <w:color w:val="000000" w:themeColor="text1"/>
          <w:sz w:val="16"/>
          <w:szCs w:val="16"/>
        </w:rPr>
        <w:t>16 ноября 1935 вышел приказ НКО №</w:t>
      </w:r>
      <w:r w:rsidRPr="00E14102">
        <w:rPr>
          <w:color w:val="000000" w:themeColor="text1"/>
          <w:sz w:val="16"/>
          <w:szCs w:val="16"/>
        </w:rPr>
        <w:t> 0226. О назначении комиссии для производства войсковых испытаний на КБФ гидроакустического легкового трехвибраторного прибора подводной связи (15247).</w:t>
      </w:r>
    </w:p>
    <w:p w14:paraId="52F9BD67" w14:textId="77777777" w:rsidR="00116688" w:rsidRPr="00E14102" w:rsidRDefault="00116688" w:rsidP="00E14102">
      <w:pPr>
        <w:pStyle w:val="rtejustify"/>
        <w:spacing w:before="0" w:after="0"/>
        <w:rPr>
          <w:color w:val="000000" w:themeColor="text1"/>
          <w:sz w:val="16"/>
          <w:szCs w:val="16"/>
        </w:rPr>
      </w:pPr>
    </w:p>
    <w:p w14:paraId="51E3FBE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2446EF7" w14:textId="77777777" w:rsidR="00D4105E" w:rsidRPr="00E14102" w:rsidRDefault="00D4105E" w:rsidP="00E14102">
      <w:pPr>
        <w:autoSpaceDE w:val="0"/>
        <w:autoSpaceDN w:val="0"/>
        <w:adjustRightInd w:val="0"/>
        <w:jc w:val="both"/>
        <w:rPr>
          <w:iCs/>
          <w:color w:val="000000" w:themeColor="text1"/>
          <w:sz w:val="16"/>
          <w:szCs w:val="16"/>
        </w:rPr>
      </w:pPr>
    </w:p>
    <w:p w14:paraId="0661D8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6-й на выливание ВАП и 7-й полеты Москва-Ногинск со сбрасыванием корпусов бомб АО-8 и стрельбой по колонне, а также 8-й полет со сбрасыванием корпусов тех же бомб (3081</w:t>
      </w:r>
    </w:p>
    <w:p w14:paraId="72BEF1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ноября 1935 года (по заявлению Чухновского) начались) первичные испытания без отрыва от воды ДАР, но из-за посадки самолета на мель и дальнейшего замерзания моря испытания были отложены до весны 1936 года (4016,130).</w:t>
      </w:r>
    </w:p>
    <w:p w14:paraId="22322B2F" w14:textId="77777777" w:rsidR="00D4105E" w:rsidRPr="00E14102" w:rsidRDefault="00D4105E" w:rsidP="00E14102">
      <w:pPr>
        <w:autoSpaceDE w:val="0"/>
        <w:autoSpaceDN w:val="0"/>
        <w:adjustRightInd w:val="0"/>
        <w:jc w:val="both"/>
        <w:rPr>
          <w:color w:val="000000" w:themeColor="text1"/>
          <w:sz w:val="16"/>
          <w:szCs w:val="16"/>
        </w:rPr>
      </w:pPr>
    </w:p>
    <w:p w14:paraId="79AF6B0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17 ноября 1935 года письмо № 207/318сс в СНК Базилевичу</w:t>
      </w:r>
    </w:p>
    <w:p w14:paraId="59AA249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Возвращаю выписку из протокола № 14 КО от 11 ноября 1935 года. п. 5 “О выполнении авиационной промышленностью плана 1935 года” – в/исх. № 2187/ко от 13 ноября 1935 года …………….(3475,197).</w:t>
      </w:r>
    </w:p>
    <w:p w14:paraId="6F4B8E0C"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40955B9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CE7AC29" w14:textId="77777777" w:rsidR="00D4105E" w:rsidRPr="00E14102" w:rsidRDefault="00D4105E" w:rsidP="00E14102">
      <w:pPr>
        <w:autoSpaceDE w:val="0"/>
        <w:autoSpaceDN w:val="0"/>
        <w:adjustRightInd w:val="0"/>
        <w:jc w:val="both"/>
        <w:rPr>
          <w:iCs/>
          <w:color w:val="000000" w:themeColor="text1"/>
          <w:sz w:val="16"/>
          <w:szCs w:val="16"/>
        </w:rPr>
      </w:pPr>
    </w:p>
    <w:p w14:paraId="1EC487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17 по 25 ноября 1935 года на НИАПе прошло полигонные испытания 37-мм РК (Курчевского) на колесном станке в объеме 356 выстрелов, без испытаний возкой. На испытаниях была выявлена неудовлетворительная меткость, 12 отказов досылателя, 19 случаев утыкания патрона, 16 перекосов лотка, 2 случая выпадения патрона из лотка с момент заряжания. Кроме того, неудовлетворительно работало стреляющее приспособление. Согласно заключению комиссии система полигонные испытания не выдержала. Эти испытания, равно как и испытания 37 - 100-мм авиационных пушек, показали полную бесперспективность тряпочных патронов и системы дульного заряжания Курчевского (3861).</w:t>
      </w:r>
    </w:p>
    <w:p w14:paraId="749C5955" w14:textId="77777777" w:rsidR="00D4105E" w:rsidRPr="00E14102" w:rsidRDefault="00D4105E" w:rsidP="00E14102">
      <w:pPr>
        <w:autoSpaceDE w:val="0"/>
        <w:autoSpaceDN w:val="0"/>
        <w:adjustRightInd w:val="0"/>
        <w:jc w:val="both"/>
        <w:rPr>
          <w:color w:val="000000" w:themeColor="text1"/>
          <w:sz w:val="16"/>
          <w:szCs w:val="16"/>
        </w:rPr>
      </w:pPr>
    </w:p>
    <w:p w14:paraId="2D1C19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17 по 25 ноября 1935 г. 37-мм РК на колесном станке прошло на НИАПе полигонные испытания в объеме 356 выстрелов, без испытаний возкой.</w:t>
      </w:r>
    </w:p>
    <w:p w14:paraId="2A0554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в КБ завода № 8 была произведена первая модернизация 37-мм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 же, как и пулемет. Патроны и система заряжания остались без изменений.</w:t>
      </w:r>
    </w:p>
    <w:p w14:paraId="29915F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w:t>
      </w:r>
    </w:p>
    <w:p w14:paraId="491361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Забавно, что щит был введен по инерции, так как наводчик стоит на коленях, а другой номер может лежать, но перпендикулярно орудию, то есть от щита проку мало.</w:t>
      </w:r>
    </w:p>
    <w:p w14:paraId="07971F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Данные 37-мм РК на пулеметном станке </w:t>
      </w:r>
    </w:p>
    <w:p w14:paraId="4BA578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мм — 37</w:t>
      </w:r>
    </w:p>
    <w:p w14:paraId="2607AB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ствола без лотка и воронки, мм — 1250</w:t>
      </w:r>
    </w:p>
    <w:p w14:paraId="0F42A9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лотка, мм — 320</w:t>
      </w:r>
    </w:p>
    <w:p w14:paraId="0B73EE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воронки, мм — 400</w:t>
      </w:r>
    </w:p>
    <w:p w14:paraId="797F1B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Угол ВН, град — ?25°40?; +18°40?</w:t>
      </w:r>
    </w:p>
    <w:p w14:paraId="1C3D5E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Угол ГН, град — 69</w:t>
      </w:r>
    </w:p>
    <w:p w14:paraId="794DBF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системы, мм — 2030</w:t>
      </w:r>
    </w:p>
    <w:p w14:paraId="36B128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Ширина системы, мм — 615</w:t>
      </w:r>
    </w:p>
    <w:p w14:paraId="456962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системы при угле 0°, мм — 732</w:t>
      </w:r>
    </w:p>
    <w:p w14:paraId="7702ED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Ширина хода, мм — 504</w:t>
      </w:r>
    </w:p>
    <w:p w14:paraId="465CA9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линии огня, мм — 450</w:t>
      </w:r>
    </w:p>
    <w:p w14:paraId="6BE520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Диаметр колес, мм — 305</w:t>
      </w:r>
    </w:p>
    <w:p w14:paraId="5027DD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качающейся части, кг — 31,5</w:t>
      </w:r>
    </w:p>
    <w:p w14:paraId="24606B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системы в боевом положении, кг — 78,2</w:t>
      </w:r>
    </w:p>
    <w:p w14:paraId="2209A3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системы в походном положении с чехлом, кг — 80,0</w:t>
      </w:r>
    </w:p>
    <w:p w14:paraId="66DD21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Темп стрельбы, выстр/мин: без исправления наводки — 18–26</w:t>
      </w:r>
    </w:p>
    <w:p w14:paraId="4C48B6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исправлением наводки — 11–15</w:t>
      </w:r>
    </w:p>
    <w:p w14:paraId="1C82A6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испытаниях была выявлена неудовлетворительная меткость, 12 отказов досылателя, 19 случаев утыкания патрона, 16 перекосов лотка, 2 случая выпадания патрона из лотка в момент заряжания. Кроме того, неудовлетворительно работало стреляющее приспособление. Согласно заключению комиссии система полигонные испытания не выдержала.</w:t>
      </w:r>
    </w:p>
    <w:p w14:paraId="5B3102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Эти испытания, равно как и испытания 37 100-мм авиационных пушек, показали полную бесперспективность тряпочных патронов и системы дульного заряжания Курчевского. Поэтому конструкторы завода № 8 в 1937–1938 гг. провели коренную модернизацию 37-мм РК БМ, получившего новое название «37-мм пушка ДР завода № 8». Букву «К» (Курчевский) старались даже не упоминать, так как в 1937 г. Курчевский был арестован.</w:t>
      </w:r>
    </w:p>
    <w:p w14:paraId="024352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Тряпичная гильза с деревянным донышком была заменена латунной гильзой с пластмассовым донышком. Заряжание производилось с казны подобно обычной пушке. Для этого был введен клиновой затвор, жестко соединенный с соплом. Затвор имел одну четверть автоматики, то есть открывание его производилось вручную, а после подачи патрона затвор закрывался сам.</w:t>
      </w:r>
    </w:p>
    <w:p w14:paraId="6BB714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Ствол был установлен на том же пулеметном станке, но без бесполезного щита.</w:t>
      </w:r>
    </w:p>
    <w:p w14:paraId="698ED6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боевом положении пушка передвигалась на колесном станке одним-двумя бойцами. На испытаниях таким образом было пройдено 2 км за 40 минут. Боекомплект носился в брезентовых ранцах по 10 патронов (12091).</w:t>
      </w:r>
    </w:p>
    <w:p w14:paraId="27BA56AF" w14:textId="77777777" w:rsidR="00D4105E" w:rsidRPr="00E14102" w:rsidRDefault="00D4105E" w:rsidP="00E14102">
      <w:pPr>
        <w:autoSpaceDE w:val="0"/>
        <w:autoSpaceDN w:val="0"/>
        <w:adjustRightInd w:val="0"/>
        <w:jc w:val="both"/>
        <w:rPr>
          <w:color w:val="000000" w:themeColor="text1"/>
          <w:sz w:val="16"/>
          <w:szCs w:val="16"/>
        </w:rPr>
      </w:pPr>
    </w:p>
    <w:p w14:paraId="329C3A1D" w14:textId="77777777" w:rsidR="00116688" w:rsidRPr="00E14102" w:rsidRDefault="00116688" w:rsidP="00E14102">
      <w:pPr>
        <w:jc w:val="both"/>
        <w:rPr>
          <w:color w:val="000000" w:themeColor="text1"/>
          <w:sz w:val="16"/>
          <w:szCs w:val="16"/>
        </w:rPr>
      </w:pPr>
      <w:r w:rsidRPr="00E14102">
        <w:rPr>
          <w:color w:val="000000" w:themeColor="text1"/>
          <w:sz w:val="16"/>
          <w:szCs w:val="16"/>
        </w:rPr>
        <w:t>С 17 по 25 ноября 1935 г. 37-мм РК на колесном станке прошло на НИАПе полигонные испытания в объеме 356 выстрелов, без испытаний возкой. В 1935 г. в КБ завода № 8 была произведена первая модернизация 37-мм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 же, как и пулемет. Патроны и система заряжания остались без изменений. 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 Забавно, что щит был введен по инерции, так как наводчик стоит на коленях, а другой номер может лежать, но перпендикулярно орудию, то есть от щита проку мало.</w:t>
      </w:r>
    </w:p>
    <w:p w14:paraId="2E6E2967" w14:textId="77777777" w:rsidR="00116688" w:rsidRPr="00E14102" w:rsidRDefault="00116688" w:rsidP="00E14102">
      <w:pPr>
        <w:jc w:val="both"/>
        <w:rPr>
          <w:bCs/>
          <w:color w:val="000000" w:themeColor="text1"/>
          <w:sz w:val="16"/>
          <w:szCs w:val="16"/>
        </w:rPr>
      </w:pPr>
      <w:bookmarkStart w:id="33" w:name="label40"/>
      <w:bookmarkEnd w:id="33"/>
      <w:r w:rsidRPr="00E14102">
        <w:rPr>
          <w:bCs/>
          <w:color w:val="000000" w:themeColor="text1"/>
          <w:sz w:val="16"/>
          <w:szCs w:val="16"/>
        </w:rPr>
        <w:t>Данные 37-мм РК на пулеметном станке</w:t>
      </w:r>
    </w:p>
    <w:p w14:paraId="5337171A" w14:textId="77777777" w:rsidR="00116688" w:rsidRPr="00E14102" w:rsidRDefault="00116688" w:rsidP="00E14102">
      <w:pPr>
        <w:jc w:val="both"/>
        <w:rPr>
          <w:color w:val="000000" w:themeColor="text1"/>
          <w:sz w:val="16"/>
          <w:szCs w:val="16"/>
        </w:rPr>
      </w:pPr>
      <w:r w:rsidRPr="00E14102">
        <w:rPr>
          <w:color w:val="000000" w:themeColor="text1"/>
          <w:sz w:val="16"/>
          <w:szCs w:val="16"/>
        </w:rPr>
        <w:t>Калибр, мм …… 37</w:t>
      </w:r>
    </w:p>
    <w:p w14:paraId="037E339D" w14:textId="77777777" w:rsidR="00116688" w:rsidRPr="00E14102" w:rsidRDefault="00116688" w:rsidP="00E14102">
      <w:pPr>
        <w:jc w:val="both"/>
        <w:rPr>
          <w:color w:val="000000" w:themeColor="text1"/>
          <w:sz w:val="16"/>
          <w:szCs w:val="16"/>
        </w:rPr>
      </w:pPr>
      <w:r w:rsidRPr="00E14102">
        <w:rPr>
          <w:color w:val="000000" w:themeColor="text1"/>
          <w:sz w:val="16"/>
          <w:szCs w:val="16"/>
        </w:rPr>
        <w:t>Длина ствола без лотка и воронки, мм …… 1250</w:t>
      </w:r>
    </w:p>
    <w:p w14:paraId="1B8EC87B" w14:textId="77777777" w:rsidR="00116688" w:rsidRPr="00E14102" w:rsidRDefault="00116688" w:rsidP="00E14102">
      <w:pPr>
        <w:jc w:val="both"/>
        <w:rPr>
          <w:color w:val="000000" w:themeColor="text1"/>
          <w:sz w:val="16"/>
          <w:szCs w:val="16"/>
        </w:rPr>
      </w:pPr>
      <w:r w:rsidRPr="00E14102">
        <w:rPr>
          <w:color w:val="000000" w:themeColor="text1"/>
          <w:sz w:val="16"/>
          <w:szCs w:val="16"/>
        </w:rPr>
        <w:t>Длина лотка, мм …… 320</w:t>
      </w:r>
    </w:p>
    <w:p w14:paraId="4FADE43C" w14:textId="77777777" w:rsidR="00116688" w:rsidRPr="00E14102" w:rsidRDefault="00116688" w:rsidP="00E14102">
      <w:pPr>
        <w:jc w:val="both"/>
        <w:rPr>
          <w:color w:val="000000" w:themeColor="text1"/>
          <w:sz w:val="16"/>
          <w:szCs w:val="16"/>
        </w:rPr>
      </w:pPr>
      <w:r w:rsidRPr="00E14102">
        <w:rPr>
          <w:color w:val="000000" w:themeColor="text1"/>
          <w:sz w:val="16"/>
          <w:szCs w:val="16"/>
        </w:rPr>
        <w:t>Длина воронки, мм …… 400</w:t>
      </w:r>
    </w:p>
    <w:p w14:paraId="5D19AB8F" w14:textId="77777777" w:rsidR="00116688" w:rsidRPr="00E14102" w:rsidRDefault="00116688" w:rsidP="00E14102">
      <w:pPr>
        <w:jc w:val="both"/>
        <w:rPr>
          <w:color w:val="000000" w:themeColor="text1"/>
          <w:sz w:val="16"/>
          <w:szCs w:val="16"/>
        </w:rPr>
      </w:pPr>
      <w:r w:rsidRPr="00E14102">
        <w:rPr>
          <w:color w:val="000000" w:themeColor="text1"/>
          <w:sz w:val="16"/>
          <w:szCs w:val="16"/>
        </w:rPr>
        <w:t>Угол BH, град …… -25°40'; +18°40'</w:t>
      </w:r>
    </w:p>
    <w:p w14:paraId="3CD77E04" w14:textId="77777777" w:rsidR="00116688" w:rsidRPr="00E14102" w:rsidRDefault="00116688" w:rsidP="00E14102">
      <w:pPr>
        <w:jc w:val="both"/>
        <w:rPr>
          <w:color w:val="000000" w:themeColor="text1"/>
          <w:sz w:val="16"/>
          <w:szCs w:val="16"/>
        </w:rPr>
      </w:pPr>
      <w:r w:rsidRPr="00E14102">
        <w:rPr>
          <w:color w:val="000000" w:themeColor="text1"/>
          <w:sz w:val="16"/>
          <w:szCs w:val="16"/>
        </w:rPr>
        <w:t>Угол ГН, град …… 69°</w:t>
      </w:r>
    </w:p>
    <w:p w14:paraId="320A3CF7" w14:textId="77777777" w:rsidR="00116688" w:rsidRPr="00E14102" w:rsidRDefault="00116688" w:rsidP="00E14102">
      <w:pPr>
        <w:jc w:val="both"/>
        <w:rPr>
          <w:color w:val="000000" w:themeColor="text1"/>
          <w:sz w:val="16"/>
          <w:szCs w:val="16"/>
        </w:rPr>
      </w:pPr>
      <w:r w:rsidRPr="00E14102">
        <w:rPr>
          <w:color w:val="000000" w:themeColor="text1"/>
          <w:sz w:val="16"/>
          <w:szCs w:val="16"/>
        </w:rPr>
        <w:lastRenderedPageBreak/>
        <w:t>Длина системы, мм …… 2030</w:t>
      </w:r>
    </w:p>
    <w:p w14:paraId="4DD19D95" w14:textId="77777777" w:rsidR="00116688" w:rsidRPr="00E14102" w:rsidRDefault="00116688" w:rsidP="00E14102">
      <w:pPr>
        <w:jc w:val="both"/>
        <w:rPr>
          <w:color w:val="000000" w:themeColor="text1"/>
          <w:sz w:val="16"/>
          <w:szCs w:val="16"/>
        </w:rPr>
      </w:pPr>
      <w:r w:rsidRPr="00E14102">
        <w:rPr>
          <w:color w:val="000000" w:themeColor="text1"/>
          <w:sz w:val="16"/>
          <w:szCs w:val="16"/>
        </w:rPr>
        <w:t>Ширина системы, мм …… 615</w:t>
      </w:r>
    </w:p>
    <w:p w14:paraId="7D972C66" w14:textId="77777777" w:rsidR="00116688" w:rsidRPr="00E14102" w:rsidRDefault="00116688" w:rsidP="00E14102">
      <w:pPr>
        <w:jc w:val="both"/>
        <w:rPr>
          <w:color w:val="000000" w:themeColor="text1"/>
          <w:sz w:val="16"/>
          <w:szCs w:val="16"/>
        </w:rPr>
      </w:pPr>
      <w:r w:rsidRPr="00E14102">
        <w:rPr>
          <w:color w:val="000000" w:themeColor="text1"/>
          <w:sz w:val="16"/>
          <w:szCs w:val="16"/>
        </w:rPr>
        <w:t>Высота системы при угле 0°, мм …… 732</w:t>
      </w:r>
    </w:p>
    <w:p w14:paraId="2B8F4C01" w14:textId="77777777" w:rsidR="00116688" w:rsidRPr="00E14102" w:rsidRDefault="00116688" w:rsidP="00E14102">
      <w:pPr>
        <w:jc w:val="both"/>
        <w:rPr>
          <w:color w:val="000000" w:themeColor="text1"/>
          <w:sz w:val="16"/>
          <w:szCs w:val="16"/>
        </w:rPr>
      </w:pPr>
      <w:r w:rsidRPr="00E14102">
        <w:rPr>
          <w:color w:val="000000" w:themeColor="text1"/>
          <w:sz w:val="16"/>
          <w:szCs w:val="16"/>
        </w:rPr>
        <w:t>Ширина хода, мм …… 504</w:t>
      </w:r>
    </w:p>
    <w:p w14:paraId="33637B16" w14:textId="77777777" w:rsidR="00116688" w:rsidRPr="00E14102" w:rsidRDefault="00116688" w:rsidP="00E14102">
      <w:pPr>
        <w:jc w:val="both"/>
        <w:rPr>
          <w:color w:val="000000" w:themeColor="text1"/>
          <w:sz w:val="16"/>
          <w:szCs w:val="16"/>
        </w:rPr>
      </w:pPr>
      <w:r w:rsidRPr="00E14102">
        <w:rPr>
          <w:color w:val="000000" w:themeColor="text1"/>
          <w:sz w:val="16"/>
          <w:szCs w:val="16"/>
        </w:rPr>
        <w:t>Высота линии огня, мм …… 450</w:t>
      </w:r>
    </w:p>
    <w:p w14:paraId="0A75C1BA" w14:textId="77777777" w:rsidR="00116688" w:rsidRPr="00E14102" w:rsidRDefault="00116688" w:rsidP="00E14102">
      <w:pPr>
        <w:jc w:val="both"/>
        <w:rPr>
          <w:color w:val="000000" w:themeColor="text1"/>
          <w:sz w:val="16"/>
          <w:szCs w:val="16"/>
        </w:rPr>
      </w:pPr>
      <w:r w:rsidRPr="00E14102">
        <w:rPr>
          <w:color w:val="000000" w:themeColor="text1"/>
          <w:sz w:val="16"/>
          <w:szCs w:val="16"/>
        </w:rPr>
        <w:t>Диаметр колес, мм …… 305</w:t>
      </w:r>
    </w:p>
    <w:p w14:paraId="6295C207" w14:textId="77777777" w:rsidR="00116688" w:rsidRPr="00E14102" w:rsidRDefault="00116688" w:rsidP="00E14102">
      <w:pPr>
        <w:jc w:val="both"/>
        <w:rPr>
          <w:color w:val="000000" w:themeColor="text1"/>
          <w:sz w:val="16"/>
          <w:szCs w:val="16"/>
        </w:rPr>
      </w:pPr>
      <w:r w:rsidRPr="00E14102">
        <w:rPr>
          <w:color w:val="000000" w:themeColor="text1"/>
          <w:sz w:val="16"/>
          <w:szCs w:val="16"/>
        </w:rPr>
        <w:t>Вес качающейся части, кг …… 31,5</w:t>
      </w:r>
    </w:p>
    <w:p w14:paraId="26416EFF" w14:textId="77777777" w:rsidR="00116688" w:rsidRPr="00E14102" w:rsidRDefault="00116688" w:rsidP="00E14102">
      <w:pPr>
        <w:jc w:val="both"/>
        <w:rPr>
          <w:color w:val="000000" w:themeColor="text1"/>
          <w:sz w:val="16"/>
          <w:szCs w:val="16"/>
        </w:rPr>
      </w:pPr>
      <w:r w:rsidRPr="00E14102">
        <w:rPr>
          <w:color w:val="000000" w:themeColor="text1"/>
          <w:sz w:val="16"/>
          <w:szCs w:val="16"/>
        </w:rPr>
        <w:t>Вес системы в боевом положении, кг …… 78,2</w:t>
      </w:r>
    </w:p>
    <w:p w14:paraId="374BE80E" w14:textId="77777777" w:rsidR="00116688" w:rsidRPr="00E14102" w:rsidRDefault="00116688" w:rsidP="00E14102">
      <w:pPr>
        <w:jc w:val="both"/>
        <w:rPr>
          <w:color w:val="000000" w:themeColor="text1"/>
          <w:sz w:val="16"/>
          <w:szCs w:val="16"/>
        </w:rPr>
      </w:pPr>
      <w:r w:rsidRPr="00E14102">
        <w:rPr>
          <w:color w:val="000000" w:themeColor="text1"/>
          <w:sz w:val="16"/>
          <w:szCs w:val="16"/>
        </w:rPr>
        <w:t>Вес системы в походном положении с чехлом, кг …… 80,0</w:t>
      </w:r>
    </w:p>
    <w:p w14:paraId="76123C7F" w14:textId="77777777" w:rsidR="00116688" w:rsidRPr="00E14102" w:rsidRDefault="00116688" w:rsidP="00E14102">
      <w:pPr>
        <w:jc w:val="both"/>
        <w:rPr>
          <w:color w:val="000000" w:themeColor="text1"/>
          <w:sz w:val="16"/>
          <w:szCs w:val="16"/>
        </w:rPr>
      </w:pPr>
      <w:r w:rsidRPr="00E14102">
        <w:rPr>
          <w:color w:val="000000" w:themeColor="text1"/>
          <w:sz w:val="16"/>
          <w:szCs w:val="16"/>
        </w:rPr>
        <w:t>Темп стрельбы, выстр/мин.</w:t>
      </w:r>
    </w:p>
    <w:p w14:paraId="34A7C50E" w14:textId="77777777" w:rsidR="00116688" w:rsidRPr="00E14102" w:rsidRDefault="00116688" w:rsidP="00E14102">
      <w:pPr>
        <w:jc w:val="both"/>
        <w:rPr>
          <w:color w:val="000000" w:themeColor="text1"/>
          <w:sz w:val="16"/>
          <w:szCs w:val="16"/>
        </w:rPr>
      </w:pPr>
      <w:r w:rsidRPr="00E14102">
        <w:rPr>
          <w:color w:val="000000" w:themeColor="text1"/>
          <w:sz w:val="16"/>
          <w:szCs w:val="16"/>
        </w:rPr>
        <w:t>без исправления наводки …… 18—26</w:t>
      </w:r>
    </w:p>
    <w:p w14:paraId="233F79BD" w14:textId="77777777" w:rsidR="00116688" w:rsidRPr="00E14102" w:rsidRDefault="00116688" w:rsidP="00E14102">
      <w:pPr>
        <w:jc w:val="both"/>
        <w:rPr>
          <w:color w:val="000000" w:themeColor="text1"/>
          <w:sz w:val="16"/>
          <w:szCs w:val="16"/>
        </w:rPr>
      </w:pPr>
      <w:r w:rsidRPr="00E14102">
        <w:rPr>
          <w:color w:val="000000" w:themeColor="text1"/>
          <w:sz w:val="16"/>
          <w:szCs w:val="16"/>
        </w:rPr>
        <w:t>с исправлением наводки, …… 11—15</w:t>
      </w:r>
    </w:p>
    <w:p w14:paraId="552DFE5B" w14:textId="77777777" w:rsidR="00116688" w:rsidRPr="00E14102" w:rsidRDefault="00116688" w:rsidP="00E14102">
      <w:pPr>
        <w:jc w:val="both"/>
        <w:rPr>
          <w:color w:val="000000" w:themeColor="text1"/>
          <w:sz w:val="16"/>
          <w:szCs w:val="16"/>
        </w:rPr>
      </w:pPr>
      <w:r w:rsidRPr="00E14102">
        <w:rPr>
          <w:color w:val="000000" w:themeColor="text1"/>
          <w:sz w:val="16"/>
          <w:szCs w:val="16"/>
        </w:rPr>
        <w:t>На испытаниях была выявлена неудовлетворительная меткость, 12 отказов досылателя, 19 случаев утыкания патрона, 16 перекосов лотка, 2 случая выпадания патрона из лотка в момент заряжания. Кроме того, неудовлетворительно работало стреляющее приспособление. Согласно заключению комиссии, система полигонные испытания не выдержала. Эти испытания, равно как и испытания 37—100-мм авиационных пушек, показали полную бесперспективность тряпочных патронов и системы дульного заряжания Курчевского. Поэтому конструкторы завода № 8 в 1937—1938 гг. провели коренную модернизацию 37-мм РК БМ, получившего новое название — «37-мм пушка ДР завода № 8». Букву «К» (Курчевский) старались даже не упоминать, так как в 1937 г. Курчевский был арестован. Тряпичная гильза с деревянным донышком была заменена латунной гильзой с пластмассовым донышком. Заряжание производилось с казны, подобно обычной пушке. Для этого был введен клиновой затвор, жестко соединенный с соплом. Затвор имел одну четверть автоматики, то есть открывание его производилось вручную, а после подачи патрона затвор закрывался сам.</w:t>
      </w:r>
    </w:p>
    <w:p w14:paraId="6083D9D3" w14:textId="77777777" w:rsidR="00116688" w:rsidRPr="00E14102" w:rsidRDefault="00116688" w:rsidP="00E14102">
      <w:pPr>
        <w:jc w:val="both"/>
        <w:rPr>
          <w:color w:val="000000" w:themeColor="text1"/>
          <w:sz w:val="16"/>
          <w:szCs w:val="16"/>
        </w:rPr>
      </w:pPr>
      <w:r w:rsidRPr="00E14102">
        <w:rPr>
          <w:color w:val="000000" w:themeColor="text1"/>
          <w:sz w:val="16"/>
          <w:szCs w:val="16"/>
        </w:rPr>
        <w:t>Ствол был установлен на том же пулеметном станке, но без бесполезного щита.</w:t>
      </w:r>
    </w:p>
    <w:p w14:paraId="3D485BA7" w14:textId="77777777" w:rsidR="00116688" w:rsidRPr="00E14102" w:rsidRDefault="00116688" w:rsidP="00E14102">
      <w:pPr>
        <w:jc w:val="both"/>
        <w:rPr>
          <w:color w:val="000000" w:themeColor="text1"/>
          <w:sz w:val="16"/>
          <w:szCs w:val="16"/>
        </w:rPr>
      </w:pPr>
      <w:r w:rsidRPr="00E14102">
        <w:rPr>
          <w:color w:val="000000" w:themeColor="text1"/>
          <w:sz w:val="16"/>
          <w:szCs w:val="16"/>
        </w:rPr>
        <w:t>В боевом положении пушка передвигалась на колесном станке одним-двумя бойцами. На испытаниях таким образом было пройдено 2 км за 40 минут. Боекомплект носился в брезентовых ранцах по 10 патронов.</w:t>
      </w:r>
    </w:p>
    <w:p w14:paraId="1BF0F401" w14:textId="77777777" w:rsidR="00116688" w:rsidRPr="00E14102" w:rsidRDefault="00116688" w:rsidP="00E14102">
      <w:pPr>
        <w:jc w:val="both"/>
        <w:rPr>
          <w:bCs/>
          <w:color w:val="000000" w:themeColor="text1"/>
          <w:sz w:val="16"/>
          <w:szCs w:val="16"/>
        </w:rPr>
      </w:pPr>
      <w:bookmarkStart w:id="34" w:name="label41"/>
      <w:bookmarkEnd w:id="34"/>
      <w:r w:rsidRPr="00E14102">
        <w:rPr>
          <w:bCs/>
          <w:color w:val="000000" w:themeColor="text1"/>
          <w:sz w:val="16"/>
          <w:szCs w:val="16"/>
        </w:rPr>
        <w:t>Данные 37-мм пушки ДР завода № 8</w:t>
      </w:r>
    </w:p>
    <w:p w14:paraId="05CD9825" w14:textId="77777777" w:rsidR="00116688" w:rsidRPr="00E14102" w:rsidRDefault="00116688" w:rsidP="00E14102">
      <w:pPr>
        <w:jc w:val="both"/>
        <w:rPr>
          <w:color w:val="000000" w:themeColor="text1"/>
          <w:sz w:val="16"/>
          <w:szCs w:val="16"/>
        </w:rPr>
      </w:pPr>
      <w:r w:rsidRPr="00E14102">
        <w:rPr>
          <w:color w:val="000000" w:themeColor="text1"/>
          <w:sz w:val="16"/>
          <w:szCs w:val="16"/>
        </w:rPr>
        <w:t>Калибр, мм …… 37</w:t>
      </w:r>
    </w:p>
    <w:p w14:paraId="3B526562" w14:textId="77777777" w:rsidR="00116688" w:rsidRPr="00E14102" w:rsidRDefault="00116688" w:rsidP="00E14102">
      <w:pPr>
        <w:jc w:val="both"/>
        <w:rPr>
          <w:color w:val="000000" w:themeColor="text1"/>
          <w:sz w:val="16"/>
          <w:szCs w:val="16"/>
        </w:rPr>
      </w:pPr>
      <w:r w:rsidRPr="00E14102">
        <w:rPr>
          <w:color w:val="000000" w:themeColor="text1"/>
          <w:sz w:val="16"/>
          <w:szCs w:val="16"/>
        </w:rPr>
        <w:t>Длина ствола полная, мм …… 1770</w:t>
      </w:r>
    </w:p>
    <w:p w14:paraId="6308454E" w14:textId="77777777" w:rsidR="00116688" w:rsidRPr="00E14102" w:rsidRDefault="00116688" w:rsidP="00E14102">
      <w:pPr>
        <w:jc w:val="both"/>
        <w:rPr>
          <w:color w:val="000000" w:themeColor="text1"/>
          <w:sz w:val="16"/>
          <w:szCs w:val="16"/>
        </w:rPr>
      </w:pPr>
      <w:r w:rsidRPr="00E14102">
        <w:rPr>
          <w:color w:val="000000" w:themeColor="text1"/>
          <w:sz w:val="16"/>
          <w:szCs w:val="16"/>
        </w:rPr>
        <w:t>Угол BH, град …… -5°; +10°</w:t>
      </w:r>
    </w:p>
    <w:p w14:paraId="4F579FF8" w14:textId="77777777" w:rsidR="00116688" w:rsidRPr="00E14102" w:rsidRDefault="00116688" w:rsidP="00E14102">
      <w:pPr>
        <w:jc w:val="both"/>
        <w:rPr>
          <w:color w:val="000000" w:themeColor="text1"/>
          <w:sz w:val="16"/>
          <w:szCs w:val="16"/>
        </w:rPr>
      </w:pPr>
      <w:r w:rsidRPr="00E14102">
        <w:rPr>
          <w:color w:val="000000" w:themeColor="text1"/>
          <w:sz w:val="16"/>
          <w:szCs w:val="16"/>
        </w:rPr>
        <w:t>Угол ГН, град …… 27°</w:t>
      </w:r>
    </w:p>
    <w:p w14:paraId="6FA0D6BD" w14:textId="77777777" w:rsidR="00116688" w:rsidRPr="00E14102" w:rsidRDefault="00116688" w:rsidP="00E14102">
      <w:pPr>
        <w:jc w:val="both"/>
        <w:rPr>
          <w:color w:val="000000" w:themeColor="text1"/>
          <w:sz w:val="16"/>
          <w:szCs w:val="16"/>
        </w:rPr>
      </w:pPr>
      <w:r w:rsidRPr="00E14102">
        <w:rPr>
          <w:color w:val="000000" w:themeColor="text1"/>
          <w:sz w:val="16"/>
          <w:szCs w:val="16"/>
        </w:rPr>
        <w:t>Длина системы, мм…… 2170</w:t>
      </w:r>
    </w:p>
    <w:p w14:paraId="085B1536" w14:textId="77777777" w:rsidR="00116688" w:rsidRPr="00E14102" w:rsidRDefault="00116688" w:rsidP="00E14102">
      <w:pPr>
        <w:jc w:val="both"/>
        <w:rPr>
          <w:color w:val="000000" w:themeColor="text1"/>
          <w:sz w:val="16"/>
          <w:szCs w:val="16"/>
        </w:rPr>
      </w:pPr>
      <w:r w:rsidRPr="00E14102">
        <w:rPr>
          <w:color w:val="000000" w:themeColor="text1"/>
          <w:sz w:val="16"/>
          <w:szCs w:val="16"/>
        </w:rPr>
        <w:t>Ширина системы, мм …… 600</w:t>
      </w:r>
    </w:p>
    <w:p w14:paraId="29497888" w14:textId="77777777" w:rsidR="00116688" w:rsidRPr="00E14102" w:rsidRDefault="00116688" w:rsidP="00E14102">
      <w:pPr>
        <w:jc w:val="both"/>
        <w:rPr>
          <w:color w:val="000000" w:themeColor="text1"/>
          <w:sz w:val="16"/>
          <w:szCs w:val="16"/>
        </w:rPr>
      </w:pPr>
      <w:r w:rsidRPr="00E14102">
        <w:rPr>
          <w:color w:val="000000" w:themeColor="text1"/>
          <w:sz w:val="16"/>
          <w:szCs w:val="16"/>
        </w:rPr>
        <w:t>Высота системы при 0°, мм …… 400</w:t>
      </w:r>
    </w:p>
    <w:p w14:paraId="02A1D0ED" w14:textId="77777777" w:rsidR="00116688" w:rsidRPr="00E14102" w:rsidRDefault="00116688" w:rsidP="00E14102">
      <w:pPr>
        <w:jc w:val="both"/>
        <w:rPr>
          <w:color w:val="000000" w:themeColor="text1"/>
          <w:sz w:val="16"/>
          <w:szCs w:val="16"/>
        </w:rPr>
      </w:pPr>
      <w:r w:rsidRPr="00E14102">
        <w:rPr>
          <w:color w:val="000000" w:themeColor="text1"/>
          <w:sz w:val="16"/>
          <w:szCs w:val="16"/>
        </w:rPr>
        <w:t>Вес качающейся части, кг …… 35,2</w:t>
      </w:r>
    </w:p>
    <w:p w14:paraId="14D8CD92" w14:textId="77777777" w:rsidR="00116688" w:rsidRPr="00E14102" w:rsidRDefault="00116688" w:rsidP="00E14102">
      <w:pPr>
        <w:jc w:val="both"/>
        <w:rPr>
          <w:color w:val="000000" w:themeColor="text1"/>
          <w:sz w:val="16"/>
          <w:szCs w:val="16"/>
        </w:rPr>
      </w:pPr>
      <w:r w:rsidRPr="00E14102">
        <w:rPr>
          <w:color w:val="000000" w:themeColor="text1"/>
          <w:sz w:val="16"/>
          <w:szCs w:val="16"/>
        </w:rPr>
        <w:t>Вес системы в боевом положении, кг …… 59</w:t>
      </w:r>
    </w:p>
    <w:p w14:paraId="5C5319BB" w14:textId="77777777" w:rsidR="00116688" w:rsidRPr="00E14102" w:rsidRDefault="00116688" w:rsidP="00E14102">
      <w:pPr>
        <w:jc w:val="both"/>
        <w:rPr>
          <w:color w:val="000000" w:themeColor="text1"/>
          <w:sz w:val="16"/>
          <w:szCs w:val="16"/>
        </w:rPr>
      </w:pPr>
      <w:r w:rsidRPr="00E14102">
        <w:rPr>
          <w:color w:val="000000" w:themeColor="text1"/>
          <w:sz w:val="16"/>
          <w:szCs w:val="16"/>
        </w:rPr>
        <w:t>Вес снаряда, кг …… 0,6</w:t>
      </w:r>
    </w:p>
    <w:p w14:paraId="7B0EF48B" w14:textId="77777777" w:rsidR="00116688" w:rsidRPr="00E14102" w:rsidRDefault="00116688" w:rsidP="00E14102">
      <w:pPr>
        <w:jc w:val="both"/>
        <w:rPr>
          <w:color w:val="000000" w:themeColor="text1"/>
          <w:sz w:val="16"/>
          <w:szCs w:val="16"/>
        </w:rPr>
      </w:pPr>
      <w:r w:rsidRPr="00E14102">
        <w:rPr>
          <w:color w:val="000000" w:themeColor="text1"/>
          <w:sz w:val="16"/>
          <w:szCs w:val="16"/>
        </w:rPr>
        <w:t>Начальная скорость, м/с …… 598 (15117).</w:t>
      </w:r>
    </w:p>
    <w:p w14:paraId="07C881FE" w14:textId="77777777" w:rsidR="00116688" w:rsidRPr="00E14102" w:rsidRDefault="00116688" w:rsidP="00E14102">
      <w:pPr>
        <w:jc w:val="both"/>
        <w:rPr>
          <w:color w:val="000000" w:themeColor="text1"/>
          <w:sz w:val="16"/>
          <w:szCs w:val="16"/>
        </w:rPr>
      </w:pPr>
    </w:p>
    <w:p w14:paraId="322FACB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A02A2BA" w14:textId="77777777" w:rsidR="00D4105E" w:rsidRPr="00E14102" w:rsidRDefault="00D4105E" w:rsidP="00E14102">
      <w:pPr>
        <w:autoSpaceDE w:val="0"/>
        <w:autoSpaceDN w:val="0"/>
        <w:adjustRightInd w:val="0"/>
        <w:jc w:val="both"/>
        <w:rPr>
          <w:iCs/>
          <w:color w:val="000000" w:themeColor="text1"/>
          <w:sz w:val="16"/>
          <w:szCs w:val="16"/>
        </w:rPr>
      </w:pPr>
    </w:p>
    <w:p w14:paraId="0229B22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17 ноября 1935 в Москве завершило работу Первое Всесоюзное совещание рабочих и работниц-стахановцев, открывшееся 14 ноября. В его работе приняли участие 3 тысячи стахановцев. С речами на совещании выступили И.В.С., К. Е. Ворошилов, Г. К. Орджоникидзе. Подвел итоги И.В.С., который сказал: "Жить стало лучше, жить стало веселей" (4962).</w:t>
      </w:r>
    </w:p>
    <w:p w14:paraId="14A37FC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F6A66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ноября 1935 выступая на первом совещании стахановцев К.Е.В. сказал: "Мы вырастили в наших воздушных силах и имеем сейчас в своей авиации таких людей, которые по праву считаются лучшими авиаторами мира... Парашютизм - это область авиации, в которой монополия принадлежит СССР." (438,158).</w:t>
      </w:r>
    </w:p>
    <w:p w14:paraId="0FEAAECB" w14:textId="77777777" w:rsidR="00D4105E" w:rsidRPr="00E14102" w:rsidRDefault="00D4105E" w:rsidP="00E14102">
      <w:pPr>
        <w:autoSpaceDE w:val="0"/>
        <w:autoSpaceDN w:val="0"/>
        <w:adjustRightInd w:val="0"/>
        <w:jc w:val="both"/>
        <w:rPr>
          <w:color w:val="000000" w:themeColor="text1"/>
          <w:sz w:val="16"/>
          <w:szCs w:val="16"/>
        </w:rPr>
      </w:pPr>
    </w:p>
    <w:p w14:paraId="39404C02" w14:textId="77777777" w:rsidR="00B27DAD" w:rsidRPr="00E14102" w:rsidRDefault="00B27DAD" w:rsidP="00E14102">
      <w:pPr>
        <w:jc w:val="both"/>
        <w:rPr>
          <w:color w:val="000000" w:themeColor="text1"/>
          <w:sz w:val="16"/>
          <w:szCs w:val="16"/>
        </w:rPr>
      </w:pPr>
      <w:r w:rsidRPr="00E14102">
        <w:rPr>
          <w:color w:val="000000" w:themeColor="text1"/>
          <w:sz w:val="16"/>
          <w:szCs w:val="16"/>
        </w:rPr>
        <w:t>17 ноября 1935. В Большом Кремлевском дворце перед участниками Всесоюзного совещания стахановцев выступил И. В. Сталин. Рабочий И. И. Гудов вспоминал: "В его речи были поставлены злободневные вопросы стахановского движения. Особенно пришлись всем по душе слова: "Жить стало лучше, товарищи. Жить стало веселее. А когда весело живется, работа спорится". Затем Сталин поблагодарил нас, стахановцев, за учебу, и это вызвало бурю аплодисментов, овацию неописуемую. Расходиться не хотелось. Мы спели "Интернационал", затем стали петь марш из кинофильма "Веселые ребята". Сталин пел вместе со всеми, он вернул всех направившихся к выходу членов Политбюро. Запевал Жданов. Пели мы долго, с энтузиазмом и подъемом. Так было - энтузиазм шел от чистого сердца".</w:t>
      </w:r>
    </w:p>
    <w:p w14:paraId="72B0AD48" w14:textId="77777777" w:rsidR="00B27DAD" w:rsidRPr="00E14102" w:rsidRDefault="00B27DAD" w:rsidP="00E14102">
      <w:pPr>
        <w:jc w:val="both"/>
        <w:rPr>
          <w:color w:val="000000" w:themeColor="text1"/>
          <w:sz w:val="16"/>
          <w:szCs w:val="16"/>
        </w:rPr>
      </w:pPr>
      <w:r w:rsidRPr="00E14102">
        <w:rPr>
          <w:color w:val="000000" w:themeColor="text1"/>
          <w:sz w:val="16"/>
          <w:szCs w:val="16"/>
        </w:rPr>
        <w:t>Писатель Константин Симонов вспоминал: "В своих выступлениях Сталин был безапелляционен, но прост. С людьми - это мы иногда видели в кинохронике - держался просто. Одевался просто, одинаково. В нем не чувствовалось ничего показного, никаких внешних претензий на величие или избранность. И это соответствовало нашим представлениям о том, каким должен был человек, стоящий во главе партии. В итоге Сталин был все это вкупе: все эти ощущения, все эти реальные и дорисованные нами положительные черты руководителя партии и государства".</w:t>
      </w:r>
    </w:p>
    <w:p w14:paraId="7EF4AB13" w14:textId="77777777" w:rsidR="00B27DAD" w:rsidRPr="00E14102" w:rsidRDefault="00B27DAD" w:rsidP="00E14102">
      <w:pPr>
        <w:jc w:val="both"/>
        <w:rPr>
          <w:color w:val="000000" w:themeColor="text1"/>
          <w:sz w:val="16"/>
          <w:szCs w:val="16"/>
        </w:rPr>
      </w:pPr>
      <w:r w:rsidRPr="00E14102">
        <w:rPr>
          <w:color w:val="000000" w:themeColor="text1"/>
          <w:sz w:val="16"/>
          <w:szCs w:val="16"/>
        </w:rPr>
        <w:t>Писатель Илья Эренбург вспоминал: "Я пришел за час до назначенного времени, а Большой зал Кремлевского дворца был уже заполнен. Люди разговаривали друг с другом вполголоса; никто не вставал с места..... Вдруг все встали и начали неистово аплодировать: из боковой двери, которой я не видел, вышел Сталин, за ним шли члены Политбюро - их я встречал на даче Горького. Зал аплодировал, кричал. Это продолжалось долго, может быть, десять или пятнадцать минут. Сталин тоже хлопал в ладоши. Когда аплодисменты начали притихать, кто-то крикнул: "Великому Сталину ура!" и все началось сначала. Наконец все сели, и тогда раздался отчаянный женский выкрик: "Сталину слава!" Мы вскочили и снова зааплодировали. Когда все кончилось, я почувствовал, что у меня болят руки. Я впервые видел Сталина и не сводил с него глаз. Я знал его по сотням портретов, знал тужурку, усы, но я думал, что он куда выше ростом. Волосы у него были очень черные, лоб низкий, а глаза живые, выразительные. Иногда, несколько наклоняясь вправо или влево, он посмеивался, иногда сидел неподвижно, глядя в зал, но глаза продолжали ярко посвечивать. Я поймал себя на том, что плохо слушаю -все время гляжу на Сталина. Оглянувшись, я увидел, что тем же заняты и другие... На совещании Сталин сказал: "Людей надо заботливо и внимательно выращивать, как садовник выращивает облюбованное плодовое дерево". Эти слова приподняли всех - ведь в Кремлевском дворце сидели не манекены, а люди, и они радовались, что к ним будут подходить бережно, любовно..."</w:t>
      </w:r>
    </w:p>
    <w:p w14:paraId="0B53E4ED" w14:textId="77777777" w:rsidR="00B27DAD" w:rsidRPr="00E14102" w:rsidRDefault="00B27DAD" w:rsidP="00E14102">
      <w:pPr>
        <w:jc w:val="both"/>
        <w:rPr>
          <w:color w:val="000000" w:themeColor="text1"/>
          <w:sz w:val="16"/>
          <w:szCs w:val="16"/>
        </w:rPr>
      </w:pPr>
      <w:r w:rsidRPr="00E14102">
        <w:rPr>
          <w:color w:val="000000" w:themeColor="text1"/>
          <w:sz w:val="16"/>
          <w:szCs w:val="16"/>
        </w:rPr>
        <w:t>Из дневника Татьяны Лещенко-Сухомлиной: "Москва такая суетливая, крикливая; все мечутся, все какие-то орущие и неспокойные... Как серо, как некрасиво выглядят мои соотечественники. И что за жизнь. Чтобы купить что-либо, надо стоять в очереди часами. Чтобы поехать куда-то, надо ехать в трамвае, битком набитом людьми, которые кричат, ругаются, оскорбляют друг друга, дурно пахнут. Одежда, обувь так дороги, что недоступны "простым людям"... В Москве разлюбили смешное, не любят смех, не заботятся о нем, забыли его важность и необходимость" (18720).</w:t>
      </w:r>
    </w:p>
    <w:p w14:paraId="2C8216AA" w14:textId="77777777" w:rsidR="00B27DAD" w:rsidRPr="00E14102" w:rsidRDefault="00B27DAD" w:rsidP="00E14102">
      <w:pPr>
        <w:jc w:val="both"/>
        <w:rPr>
          <w:color w:val="000000" w:themeColor="text1"/>
          <w:sz w:val="16"/>
          <w:szCs w:val="16"/>
        </w:rPr>
      </w:pPr>
    </w:p>
    <w:p w14:paraId="15AC44F0" w14:textId="77777777" w:rsidR="00CC1B46"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CDD621D" w14:textId="77777777" w:rsidR="00CC1B46" w:rsidRPr="00E14102" w:rsidRDefault="00CC1B46" w:rsidP="00E14102">
      <w:pPr>
        <w:autoSpaceDE w:val="0"/>
        <w:autoSpaceDN w:val="0"/>
        <w:adjustRightInd w:val="0"/>
        <w:jc w:val="both"/>
        <w:rPr>
          <w:iCs/>
          <w:color w:val="000000" w:themeColor="text1"/>
          <w:sz w:val="16"/>
          <w:szCs w:val="16"/>
        </w:rPr>
      </w:pPr>
    </w:p>
    <w:p w14:paraId="2409AB7C" w14:textId="77777777" w:rsidR="00CC1B46" w:rsidRPr="00E14102" w:rsidRDefault="00CC1B46" w:rsidP="00E14102">
      <w:pPr>
        <w:autoSpaceDE w:val="0"/>
        <w:autoSpaceDN w:val="0"/>
        <w:adjustRightInd w:val="0"/>
        <w:jc w:val="both"/>
        <w:rPr>
          <w:bCs/>
          <w:color w:val="000000" w:themeColor="text1"/>
          <w:sz w:val="16"/>
          <w:szCs w:val="16"/>
        </w:rPr>
      </w:pPr>
      <w:r w:rsidRPr="00E14102">
        <w:rPr>
          <w:color w:val="000000" w:themeColor="text1"/>
          <w:sz w:val="16"/>
          <w:szCs w:val="16"/>
        </w:rPr>
        <w:t xml:space="preserve">17 ноября 1935 г. </w:t>
      </w:r>
      <w:r w:rsidRPr="00E14102">
        <w:rPr>
          <w:bCs/>
          <w:color w:val="000000" w:themeColor="text1"/>
          <w:sz w:val="16"/>
          <w:szCs w:val="16"/>
        </w:rPr>
        <w:t>на прием к Эрнсту Хейнкелю, после телефонного звонка за 2 дня до этого, приехал 22-летний красивый и шикарно одетый молодой человек – это был доктор философии по физике барон Вернер фон Браун. Фон Браун происходил из аристократической семьи – его отец барон Магнус фон Браун был министром земледелия в правительстве Германии, а мать баронесса Эмми фон Кудистоп была в родстве со многими европейскими монархами. Молодой доктор фон Браун неожиданно предложил Хейнкелю создать самолет с реактивным двигателем на основе фюзеляжа опытного истребителя Не-112. Эрнст Хейнкель, который и сам занимался теоретическими изысканиями по замене поршневых двигателей, во всем помог осуществлению идей Вернера фон Брауна</w:t>
      </w:r>
      <w:r w:rsidRPr="00E14102">
        <w:rPr>
          <w:color w:val="000000" w:themeColor="text1"/>
          <w:sz w:val="16"/>
          <w:szCs w:val="16"/>
        </w:rPr>
        <w:t>.</w:t>
      </w:r>
      <w:r w:rsidRPr="00E14102">
        <w:rPr>
          <w:bCs/>
          <w:color w:val="000000" w:themeColor="text1"/>
          <w:sz w:val="16"/>
          <w:szCs w:val="16"/>
        </w:rPr>
        <w:t xml:space="preserve"> В июне 1935 г. отважный летчик Эрих Варзиц совершил первый исторический успешный полет на Не-112 с использованием только реактивной силовой установки (17328).</w:t>
      </w:r>
    </w:p>
    <w:p w14:paraId="22046953" w14:textId="77777777" w:rsidR="00CC1B46" w:rsidRPr="00E14102" w:rsidRDefault="00CC1B46" w:rsidP="00E14102">
      <w:pPr>
        <w:autoSpaceDE w:val="0"/>
        <w:autoSpaceDN w:val="0"/>
        <w:adjustRightInd w:val="0"/>
        <w:jc w:val="both"/>
        <w:rPr>
          <w:color w:val="000000" w:themeColor="text1"/>
          <w:sz w:val="16"/>
          <w:szCs w:val="16"/>
        </w:rPr>
      </w:pPr>
    </w:p>
    <w:p w14:paraId="1E494E4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D4BB075" w14:textId="77777777" w:rsidR="00D4105E" w:rsidRPr="00E14102" w:rsidRDefault="00D4105E" w:rsidP="00E14102">
      <w:pPr>
        <w:autoSpaceDE w:val="0"/>
        <w:autoSpaceDN w:val="0"/>
        <w:adjustRightInd w:val="0"/>
        <w:jc w:val="both"/>
        <w:rPr>
          <w:iCs/>
          <w:color w:val="000000" w:themeColor="text1"/>
          <w:sz w:val="16"/>
          <w:szCs w:val="16"/>
        </w:rPr>
      </w:pPr>
    </w:p>
    <w:p w14:paraId="5BBD76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ноября 1935 года конструктор самолета инженер А. Сильванский писал письмо председателю СНК Молотову</w:t>
      </w:r>
    </w:p>
    <w:p w14:paraId="0E67ED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(Резолюция Молотова: Орджоникидзе).</w:t>
      </w:r>
    </w:p>
    <w:p w14:paraId="442079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Учитывая величайший исторический смысл выступления Сталина о кадрах, плодом которого является стахановско-бусыгинское движение во всем социалистическом хозяйстве.</w:t>
      </w:r>
    </w:p>
    <w:p w14:paraId="2CEE08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Я, инженер-конструктор оборнпрома предлагаю в программу опытного строительства самолетов на 1936 год разработанный проект моей конструкторской бригады на заводе № 1, одноместного скоростного пушечного истребителя, моноплан к собирающемуся шасси, вооруженный двумя пушками ШВАК калибра 20 мм на крыльях, дающий максимальную скорость свыше 525 км/час на высоте 4000 м. Который по отзыву вр. Начальника Управления ВС Хрипина и начальника Научно-технического отдела ВС Горощенко, является целесообразным положить в основу проектирования скоростного пушечного истребителя на 1936 год заводу № 21, так как дальнейшее форсирование мощности мотора М-85 делает его интересным и выгодным для одноместного истребителя с тяжелым пушечным вооружением.</w:t>
      </w:r>
    </w:p>
    <w:p w14:paraId="42B73B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несмотря на заключение вышеизложенное (копия которого находится в Управлении ВС) Хрипина, начальник Глававиапрома Королев все время ссылается на недостаток средств на опытное строительство, всячески задерживает и оттягивает настоящее решение вопроса, не считаясь с тем, что завод № 1 уже израсходовал на предварительный проект 75000 рублей это позволяет предполагать, что большое влияние имеют на Королева старые конструкторы "бывшие вредители" (Григорович и Поликарпов), которые не желают иметь конкурентов, стараются молодого конструктора "зажать" для захвата полной монополии над опытным строительством истребителей.</w:t>
      </w:r>
    </w:p>
    <w:p w14:paraId="0A747A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настоящем проект законсервирован в 1935 году ввиду отсутствия средств.</w:t>
      </w:r>
    </w:p>
    <w:p w14:paraId="31999C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результате всего вышеизложенного прошу Вас:</w:t>
      </w:r>
    </w:p>
    <w:p w14:paraId="6D164AF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Дать Ваши указания начальнику Глававиапрома на предмет включения машины в план опытного строительства ГУАПа на 1936 год заводу № 21.</w:t>
      </w:r>
    </w:p>
    <w:p w14:paraId="0B45FB5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усиления КБ завода № 21 выделить конструкторскую бригаду в количестве 15 инженеров, ранее работавших в моей бригаде на заводе № 1 (3527, 171-172).</w:t>
      </w:r>
    </w:p>
    <w:p w14:paraId="16C7C86B"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096070D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3D68668" w14:textId="77777777" w:rsidR="00D4105E" w:rsidRPr="00E14102" w:rsidRDefault="00D4105E" w:rsidP="00E14102">
      <w:pPr>
        <w:autoSpaceDE w:val="0"/>
        <w:autoSpaceDN w:val="0"/>
        <w:adjustRightInd w:val="0"/>
        <w:jc w:val="both"/>
        <w:rPr>
          <w:iCs/>
          <w:color w:val="000000" w:themeColor="text1"/>
          <w:sz w:val="16"/>
          <w:szCs w:val="16"/>
        </w:rPr>
      </w:pPr>
    </w:p>
    <w:p w14:paraId="67EF1F7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18 ноября 1935 в Варшаве начался судебный процесс над лидером украинских националистов Степаном Бандерой (4962).</w:t>
      </w:r>
    </w:p>
    <w:p w14:paraId="5B980B3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2F288FA" w14:textId="77777777" w:rsidR="00BE5994" w:rsidRPr="00E14102" w:rsidRDefault="00BE5994" w:rsidP="00E14102">
      <w:pPr>
        <w:jc w:val="both"/>
        <w:rPr>
          <w:color w:val="000000" w:themeColor="text1"/>
          <w:sz w:val="16"/>
          <w:szCs w:val="16"/>
        </w:rPr>
      </w:pPr>
      <w:r w:rsidRPr="00E14102">
        <w:rPr>
          <w:bCs/>
          <w:color w:val="000000" w:themeColor="text1"/>
          <w:sz w:val="16"/>
          <w:szCs w:val="16"/>
        </w:rPr>
        <w:t>18 ноября</w:t>
      </w:r>
      <w:r w:rsidRPr="00E14102">
        <w:rPr>
          <w:color w:val="000000" w:themeColor="text1"/>
          <w:sz w:val="16"/>
          <w:szCs w:val="16"/>
        </w:rPr>
        <w:t xml:space="preserve"> в 1935 году (до 13 января 1936) в Варшаве начался процесс против лидера украинских националистов С. Бандеры, взявшего на себя ответственность за убийство польского министра внутренних дел Б.Перацкого (14834).</w:t>
      </w:r>
    </w:p>
    <w:p w14:paraId="5D7DDCC6" w14:textId="77777777" w:rsidR="00BE5994" w:rsidRPr="00E14102" w:rsidRDefault="00BE5994" w:rsidP="00E14102">
      <w:pPr>
        <w:jc w:val="both"/>
        <w:rPr>
          <w:color w:val="000000" w:themeColor="text1"/>
          <w:sz w:val="16"/>
          <w:szCs w:val="16"/>
        </w:rPr>
      </w:pPr>
    </w:p>
    <w:p w14:paraId="408B7EC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28C8DBC" w14:textId="77777777" w:rsidR="00D4105E" w:rsidRPr="00E14102" w:rsidRDefault="00D4105E" w:rsidP="00E14102">
      <w:pPr>
        <w:autoSpaceDE w:val="0"/>
        <w:autoSpaceDN w:val="0"/>
        <w:adjustRightInd w:val="0"/>
        <w:jc w:val="both"/>
        <w:rPr>
          <w:iCs/>
          <w:color w:val="000000" w:themeColor="text1"/>
          <w:sz w:val="16"/>
          <w:szCs w:val="16"/>
        </w:rPr>
      </w:pPr>
    </w:p>
    <w:p w14:paraId="25264A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9-й полет на Ногинский полигон со стрельбой в воздухе (3081).</w:t>
      </w:r>
    </w:p>
    <w:p w14:paraId="4905DF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19 ноября 1935 закончились гос. испытания ДИ-6Ш, которые проходили с 31 октября 1935. Стрельбу вели с 10-15 м с бреющего полета в роту пехоты, расставленную в виде фанерных солдатов в квадрате 20 х 100 м. За одну атаку поразили 80 мишеней и попало 20% от общего числа выпущенных пуль. КВО при стрельбе со 100 м был 6.3 см. Отметили, что при стрельбе с высоты более 17 м обзор вниз-вперед недостаточен. Построили 61 (3807,68).</w:t>
      </w:r>
    </w:p>
    <w:p w14:paraId="0164D5BD" w14:textId="77777777" w:rsidR="00D4105E" w:rsidRPr="00E14102" w:rsidRDefault="00D4105E" w:rsidP="00E14102">
      <w:pPr>
        <w:autoSpaceDE w:val="0"/>
        <w:autoSpaceDN w:val="0"/>
        <w:adjustRightInd w:val="0"/>
        <w:jc w:val="both"/>
        <w:rPr>
          <w:color w:val="000000" w:themeColor="text1"/>
          <w:sz w:val="16"/>
          <w:szCs w:val="16"/>
        </w:rPr>
      </w:pPr>
    </w:p>
    <w:p w14:paraId="14686E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ноября 1935 г. закончились совместные заводские и полигонные испытания первого экземпляра легкого скоростного штурмовика Ди-бШ М-25 (ЦКБ-38), выпущенного в ЦКБ завода № 39 отделом В.П.Яценко при общем руководстве начальника бригады (или КБ-1) С.А.Кочеригина, которые проходили с 31 октября.</w:t>
      </w:r>
    </w:p>
    <w:p w14:paraId="0554CF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являлся модификацией двухместного истребителя Ди-б, выполненного по схеме одностоечного полутораплана с убирающимся в центроплан нижнего крыла шасси с оригинальными тормозными колесами с внутренней амортизацией.</w:t>
      </w:r>
    </w:p>
    <w:p w14:paraId="21A3E1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Ди-бШ имел бронированные спинку и чашку сиденья летчика.</w:t>
      </w:r>
    </w:p>
    <w:p w14:paraId="2715F6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Наступательное вооружение состояло из двух синхронных пулеметов ПВ-1, четырех пулеметов ПВ-1, установленных под нижним крылом в специальных обтекателях под углом 2°17" к продольной оси самолета с боезапасом 3000 (в перегрузку 4000) патронов и бомбовой нагрузки до 80 кг (бомбы 8-10 кг, 4 под крылом и 4 под фюзеляжем). При этом на подкрыльевыеузлы могли подвешиваться два выливных авиаприбора химического вооружения типа ВАП-б.</w:t>
      </w:r>
    </w:p>
    <w:p w14:paraId="109652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обороны от атак истребителей противника со стороны задней полусферы служил ШКАС (боекомплект 750 патронов) на шкворневой установке у стрелка.</w:t>
      </w:r>
    </w:p>
    <w:p w14:paraId="71F389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полетном весе 2115 кг самолет развивал скорость у земли 305 км/ч, а на высоте 3000 м - 358 км/ч. Время набора высоты 5000 м составляло 17,5 мин.</w:t>
      </w:r>
    </w:p>
    <w:p w14:paraId="26FB7C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восьми полетах испытывалось стрелковое вооружение, в трех - бомбовое и в двух - химическое вооружение.</w:t>
      </w:r>
    </w:p>
    <w:p w14:paraId="18D760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Крыльевые пулеметные батареи работали нормально. Управление пулеметами и прицеливание удобное. Стрельба велась с высоты 10-15 м.</w:t>
      </w:r>
    </w:p>
    <w:p w14:paraId="19964C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Мишень представляла собой роту пехоты в походном порядке. На площади 20х100 м были расставлены фанерные “солдаты”, 80% из которых были поражены в результате атаки ДИ-6Ш. При этом по мишеням попало около 20% от общего числа выпущенных пуль.</w:t>
      </w:r>
    </w:p>
    <w:p w14:paraId="35F925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целом результаты стрельбы были признаны хорошими. Однако отмечалось, что на высотах выше 17 м “стрельба не обеспечена” ввиду неудовлетворительного обзора вперед-вниз.</w:t>
      </w:r>
    </w:p>
    <w:p w14:paraId="322518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Бомбовое и химическое вооружение за все время испытаний ни разу не отказало. Но военные летчики отмечали, что вес бомбовой нагрузки и номенклатура авиабомб не соответствуют тактическим задачам и сильно ограничивают боевые возможности машины как самолета-штурмовика.</w:t>
      </w:r>
    </w:p>
    <w:p w14:paraId="543675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управление штурмовиком у земли, особенно на больших скоростях, было сложным и утомительным для летчика (самолет сильно кабриро-вал, давление на ручку управления было высоким).</w:t>
      </w:r>
    </w:p>
    <w:p w14:paraId="48496C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Последнее сильно затрудняло летчику ведение детальной ориентировки для выхода на цель и не позволяло производить прицельное бомбометание. Штурман же, из-за отсутствия необходимого обзора, помочь командиру ничем не мог.</w:t>
      </w:r>
    </w:p>
    <w:p w14:paraId="43C904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Несмотря на наличие целого ряда явных недостатков, Ди-бШ был принят к серийной постройке и выпускался в небольшом количестве с конца 1936 г. на авиазаводе № 1 (61 экземпляр).</w:t>
      </w:r>
    </w:p>
    <w:p w14:paraId="11D179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в строевых частях по мере снятия с вооружения истребителей Ди-б последние переоборудовались силами инженерно-технического состава частей в штурмовые варианты (9649).</w:t>
      </w:r>
    </w:p>
    <w:p w14:paraId="2C1C41C8" w14:textId="77777777" w:rsidR="00D4105E" w:rsidRPr="00E14102" w:rsidRDefault="00D4105E" w:rsidP="00E14102">
      <w:pPr>
        <w:autoSpaceDE w:val="0"/>
        <w:autoSpaceDN w:val="0"/>
        <w:adjustRightInd w:val="0"/>
        <w:jc w:val="both"/>
        <w:rPr>
          <w:color w:val="000000" w:themeColor="text1"/>
          <w:sz w:val="16"/>
          <w:szCs w:val="16"/>
        </w:rPr>
      </w:pPr>
    </w:p>
    <w:p w14:paraId="53145964"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r w:rsidRPr="00E14102">
        <w:rPr>
          <w:color w:val="000000" w:themeColor="text1"/>
          <w:sz w:val="16"/>
          <w:szCs w:val="16"/>
        </w:rPr>
        <w:t>19 ноября 1935 закончились совместные завод</w:t>
      </w:r>
      <w:r w:rsidRPr="00E14102">
        <w:rPr>
          <w:color w:val="000000" w:themeColor="text1"/>
          <w:sz w:val="16"/>
          <w:szCs w:val="16"/>
        </w:rPr>
        <w:softHyphen/>
        <w:t>ские и полигонные испытания 1-го эк</w:t>
      </w:r>
      <w:r w:rsidRPr="00E14102">
        <w:rPr>
          <w:color w:val="000000" w:themeColor="text1"/>
          <w:sz w:val="16"/>
          <w:szCs w:val="16"/>
        </w:rPr>
        <w:softHyphen/>
        <w:t>земпляра Ди-6ш М-25 (ЦКБ-38), которые проходили с 31 октября 1935. При полетном весе 2115 кг самолет разви</w:t>
      </w:r>
      <w:r w:rsidRPr="00E14102">
        <w:rPr>
          <w:color w:val="000000" w:themeColor="text1"/>
          <w:sz w:val="16"/>
          <w:szCs w:val="16"/>
        </w:rPr>
        <w:softHyphen/>
        <w:t>вал скорость у земли 305 км/ч, а на высоте 3000 м - 358 км/ч. Время набо</w:t>
      </w:r>
      <w:r w:rsidRPr="00E14102">
        <w:rPr>
          <w:color w:val="000000" w:themeColor="text1"/>
          <w:sz w:val="16"/>
          <w:szCs w:val="16"/>
        </w:rPr>
        <w:softHyphen/>
        <w:t>ра высоты 5000 м составляло 17,5 мин. В восьми полетах испытывалось стрел</w:t>
      </w:r>
      <w:r w:rsidRPr="00E14102">
        <w:rPr>
          <w:color w:val="000000" w:themeColor="text1"/>
          <w:sz w:val="16"/>
          <w:szCs w:val="16"/>
        </w:rPr>
        <w:softHyphen/>
        <w:t>ковое вооружение, в трех - бомбовое и в двух - химическое вооружение. Несмотря на наличие целого ряда явных недостатков (плохой обзор впе</w:t>
      </w:r>
      <w:r w:rsidRPr="00E14102">
        <w:rPr>
          <w:color w:val="000000" w:themeColor="text1"/>
          <w:sz w:val="16"/>
          <w:szCs w:val="16"/>
        </w:rPr>
        <w:softHyphen/>
        <w:t>ред-вниз, сложность пилотирования на малых высотах, слабое вооружение и т.д.), Ди-6ш был принят к серийной постройке и выпускался в небольшом количестве с конца 1936 г. на авиаза</w:t>
      </w:r>
      <w:r w:rsidRPr="00E14102">
        <w:rPr>
          <w:color w:val="000000" w:themeColor="text1"/>
          <w:sz w:val="16"/>
          <w:szCs w:val="16"/>
        </w:rPr>
        <w:softHyphen/>
        <w:t>воде № 1 (61 экземпляр). Кроме того, в строевых частях по мере снятия с вооружения истребителей Ди-6 пос</w:t>
      </w:r>
      <w:r w:rsidRPr="00E14102">
        <w:rPr>
          <w:color w:val="000000" w:themeColor="text1"/>
          <w:sz w:val="16"/>
          <w:szCs w:val="16"/>
        </w:rPr>
        <w:softHyphen/>
        <w:t>ледние переоборудовались силами ин</w:t>
      </w:r>
      <w:r w:rsidRPr="00E14102">
        <w:rPr>
          <w:color w:val="000000" w:themeColor="text1"/>
          <w:sz w:val="16"/>
          <w:szCs w:val="16"/>
        </w:rPr>
        <w:softHyphen/>
        <w:t>женерно-технического состава частей в штурмовые варианты (6269).</w:t>
      </w:r>
    </w:p>
    <w:p w14:paraId="4EB632F6" w14:textId="77777777" w:rsidR="00D4105E" w:rsidRPr="00E14102" w:rsidRDefault="00D4105E" w:rsidP="00E14102">
      <w:pPr>
        <w:widowControl w:val="0"/>
        <w:tabs>
          <w:tab w:val="left" w:pos="11199"/>
        </w:tabs>
        <w:autoSpaceDE w:val="0"/>
        <w:autoSpaceDN w:val="0"/>
        <w:adjustRightInd w:val="0"/>
        <w:jc w:val="both"/>
        <w:rPr>
          <w:color w:val="000000" w:themeColor="text1"/>
          <w:sz w:val="16"/>
          <w:szCs w:val="16"/>
        </w:rPr>
      </w:pPr>
    </w:p>
    <w:p w14:paraId="3ECDD4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ноября 1935 года начальник Глававиапрома Королев писал письмо № 22/5670сс в СНК Базилевичу</w:t>
      </w:r>
    </w:p>
    <w:p w14:paraId="796B35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 2070 от 25 октября 1935 года</w:t>
      </w:r>
    </w:p>
    <w:p w14:paraId="20E740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Предложение главного конструктора завода № 115 Яковлева о постройке одноместного истребителя с мотором ВАЛЬТЕР 220-230 НР и одноместного двухмоторного с моторами Рено, требует рассмотрения эскизных проектов этих самолетов Конструкторским советом ГУАПа и положительного заключения.</w:t>
      </w:r>
    </w:p>
    <w:p w14:paraId="62A358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этим Яковлеву дано задание представить в месячный срок эскизные проекты предлагаемых истребителей на обсуждение Конструкторского совета (3527, 111).</w:t>
      </w:r>
    </w:p>
    <w:p w14:paraId="2F7AAE16" w14:textId="77777777" w:rsidR="00D4105E" w:rsidRPr="00E14102" w:rsidRDefault="00D4105E" w:rsidP="00E14102">
      <w:pPr>
        <w:autoSpaceDE w:val="0"/>
        <w:autoSpaceDN w:val="0"/>
        <w:adjustRightInd w:val="0"/>
        <w:jc w:val="both"/>
        <w:rPr>
          <w:color w:val="000000" w:themeColor="text1"/>
          <w:sz w:val="16"/>
          <w:szCs w:val="16"/>
        </w:rPr>
      </w:pPr>
    </w:p>
    <w:p w14:paraId="2710B897" w14:textId="77777777" w:rsidR="00E31F7E" w:rsidRPr="00E14102" w:rsidRDefault="00E31F7E" w:rsidP="00E14102">
      <w:pPr>
        <w:pStyle w:val="ad"/>
        <w:spacing w:before="0" w:after="0"/>
        <w:rPr>
          <w:rFonts w:ascii="Times New Roman" w:hAnsi="Times New Roman" w:cs="Times New Roman"/>
          <w:color w:val="0070C0"/>
          <w:sz w:val="16"/>
          <w:szCs w:val="16"/>
          <w:lang w:val="ru-RU"/>
        </w:rPr>
      </w:pPr>
      <w:r w:rsidRPr="00E14102">
        <w:rPr>
          <w:rFonts w:ascii="Times New Roman" w:hAnsi="Times New Roman" w:cs="Times New Roman"/>
          <w:color w:val="0070C0"/>
          <w:sz w:val="16"/>
          <w:szCs w:val="16"/>
          <w:lang w:val="ru-RU"/>
        </w:rPr>
        <w:t>19 ноября 1935 года Начальник ГУАП Г.Н. Королев писал, что предложение Яковлева «требует рассмотрения эскизных проектов этих самолетов Конструкторским советом ГУАПа и положительного заключения», но в дело достаточно быстро вмешался Сам. В январе 1937 года с личного одобрения И.В. Сталина комиссия во главе с директором московского авиамоторного завода № 24 И.Э. Марьямовым отправилась в Париж, Лондон и Прагу. Очевидно, не только Яковлеву были нужны импортные моторы (19842).</w:t>
      </w:r>
    </w:p>
    <w:p w14:paraId="478637DF" w14:textId="77777777" w:rsidR="00E31F7E" w:rsidRPr="00E14102" w:rsidRDefault="00E31F7E" w:rsidP="00E14102">
      <w:pPr>
        <w:pStyle w:val="ad"/>
        <w:spacing w:before="0" w:after="0"/>
        <w:rPr>
          <w:rFonts w:ascii="Times New Roman" w:hAnsi="Times New Roman" w:cs="Times New Roman"/>
          <w:color w:val="0070C0"/>
          <w:sz w:val="16"/>
          <w:szCs w:val="16"/>
          <w:lang w:val="ru-RU"/>
        </w:rPr>
      </w:pPr>
    </w:p>
    <w:p w14:paraId="031A36A3" w14:textId="77777777" w:rsidR="00E31F7E" w:rsidRPr="00E14102" w:rsidRDefault="00E31F7E" w:rsidP="00E14102">
      <w:pPr>
        <w:pStyle w:val="129"/>
        <w:shd w:val="clear" w:color="auto" w:fill="auto"/>
        <w:spacing w:after="0" w:line="240" w:lineRule="auto"/>
        <w:rPr>
          <w:rStyle w:val="830"/>
          <w:rFonts w:ascii="Times New Roman" w:hAnsi="Times New Roman" w:cs="Times New Roman"/>
          <w:color w:val="0070C0"/>
          <w:sz w:val="16"/>
          <w:szCs w:val="16"/>
        </w:rPr>
      </w:pPr>
      <w:r w:rsidRPr="00E14102">
        <w:rPr>
          <w:rStyle w:val="830"/>
          <w:rFonts w:ascii="Times New Roman" w:hAnsi="Times New Roman" w:cs="Times New Roman"/>
          <w:color w:val="0070C0"/>
          <w:sz w:val="16"/>
          <w:szCs w:val="16"/>
        </w:rPr>
        <w:t>19 ноября 1935 года Начальник ГУАП Г.Н. Королев в ответе писал, что предложение Яковлева «требует рассмотрения эскизных проектов этих самолетов Конструкторским советом ГУАПа и положительного заключе</w:t>
      </w:r>
      <w:r w:rsidRPr="00E14102">
        <w:rPr>
          <w:rStyle w:val="830"/>
          <w:rFonts w:ascii="Times New Roman" w:hAnsi="Times New Roman" w:cs="Times New Roman"/>
          <w:color w:val="0070C0"/>
          <w:sz w:val="16"/>
          <w:szCs w:val="16"/>
        </w:rPr>
        <w:softHyphen/>
        <w:t>ния», но в дело достаточно быстро вмешался Сам</w:t>
      </w:r>
      <w:r w:rsidRPr="00E14102">
        <w:rPr>
          <w:rStyle w:val="830"/>
          <w:rFonts w:ascii="Times New Roman" w:hAnsi="Times New Roman" w:cs="Times New Roman"/>
          <w:color w:val="0070C0"/>
          <w:sz w:val="16"/>
          <w:szCs w:val="16"/>
          <w:lang w:val="ru-RU"/>
        </w:rPr>
        <w:t xml:space="preserve"> (19938)</w:t>
      </w:r>
      <w:r w:rsidRPr="00E14102">
        <w:rPr>
          <w:rStyle w:val="830"/>
          <w:rFonts w:ascii="Times New Roman" w:hAnsi="Times New Roman" w:cs="Times New Roman"/>
          <w:color w:val="0070C0"/>
          <w:sz w:val="16"/>
          <w:szCs w:val="16"/>
        </w:rPr>
        <w:t xml:space="preserve">. </w:t>
      </w:r>
    </w:p>
    <w:p w14:paraId="1FAECFC7" w14:textId="77777777" w:rsidR="00E31F7E" w:rsidRPr="00E14102" w:rsidRDefault="00E31F7E" w:rsidP="00E14102">
      <w:pPr>
        <w:pStyle w:val="129"/>
        <w:shd w:val="clear" w:color="auto" w:fill="auto"/>
        <w:spacing w:after="0" w:line="240" w:lineRule="auto"/>
        <w:rPr>
          <w:rStyle w:val="830"/>
          <w:rFonts w:ascii="Times New Roman" w:hAnsi="Times New Roman" w:cs="Times New Roman"/>
          <w:color w:val="0070C0"/>
          <w:sz w:val="16"/>
          <w:szCs w:val="16"/>
        </w:rPr>
      </w:pPr>
    </w:p>
    <w:p w14:paraId="10753F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ноября 1935 закончились эксплуатационные испытания гидросамолета МБР-2 М-17 № 31039, которые проходили с 19 ноября 1934 (6675).</w:t>
      </w:r>
    </w:p>
    <w:p w14:paraId="7D123CE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3FB88D7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 Козыркин</w:t>
      </w:r>
    </w:p>
    <w:p w14:paraId="2617023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летчики – Котяков, Короп</w:t>
      </w:r>
    </w:p>
    <w:p w14:paraId="5BBBD8F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5080047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Проверка в условиях эксплуатации опытного покрытия днища и бортов лодки самолета.</w:t>
      </w:r>
    </w:p>
    <w:p w14:paraId="5A37A5D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Выявление дефектов самолета.</w:t>
      </w:r>
    </w:p>
    <w:p w14:paraId="23E2F35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срока службы самолета и отдельных деталей.</w:t>
      </w:r>
    </w:p>
    <w:p w14:paraId="549D30B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Исследование причин биения хвостового оперения.</w:t>
      </w:r>
    </w:p>
    <w:p w14:paraId="2D62782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Краткий результат</w:t>
      </w:r>
    </w:p>
    <w:p w14:paraId="35A764CD"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Водонепроницаемость покрытия и намокаемость лодки проверена путем стоянки самолета на плаву в течении 147 часов. После этого намокаемость выразилась в увеличении веса самолета на 34 кг, а покрытие на лодке частично отстало. В течение всех испытаний покраска днища лодки местами отставала и лодка была перекрашена Кузбаслаком.</w:t>
      </w:r>
    </w:p>
    <w:p w14:paraId="71D2EC0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Причин вызывающих биение хвостового оперения на минимальных скоростях моторного полета и виражах с предельным креном (больше 60 градусов), установить не удалось.</w:t>
      </w:r>
    </w:p>
    <w:p w14:paraId="43B4D2E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p w14:paraId="0B0BE18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1D7CA5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Опытная покраска лодки оказалась неудовлетворительной. Отставание покраски появилось после 7 часов полета и 147 часов стоянки самолета в воде. Днище лодки к концу испытаний оказалось прогнившим.</w:t>
      </w:r>
    </w:p>
    <w:p w14:paraId="2E7949D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Биение хвостового оперения увеличивается приближаясь к летным режимам при появлении люфтов в подкосах стабилизатора и воздушного киля.</w:t>
      </w:r>
    </w:p>
    <w:p w14:paraId="7E126A5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не может быть допущен к дальнейшим полетам и требует капитального ремонта.</w:t>
      </w:r>
    </w:p>
    <w:p w14:paraId="2387408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Сроком службы самолета считать 200 летных часов.</w:t>
      </w:r>
    </w:p>
    <w:p w14:paraId="16C39E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При благоприятных условиях эксплуатации и хранения срок службы можно продлить до 250 летных часов.</w:t>
      </w:r>
    </w:p>
    <w:p w14:paraId="6991B58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закончен постройкой 19 октября 1934 года.</w:t>
      </w:r>
    </w:p>
    <w:p w14:paraId="15EEC19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принят на испытания 19 ноября 1934 года (6675).</w:t>
      </w:r>
    </w:p>
    <w:p w14:paraId="038639E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F68A1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ноября 1935 у Г.Н.Королева заседала подкомиссия по опытному строительству. Тут то и решили купить ДС-3, в 1936 организовать Всесоюзную Авиавыставку и в 1937 - международную в Москве (1025,131).</w:t>
      </w:r>
    </w:p>
    <w:p w14:paraId="7C0296EA" w14:textId="77777777" w:rsidR="00D4105E" w:rsidRPr="00E14102" w:rsidRDefault="00D4105E" w:rsidP="00E14102">
      <w:pPr>
        <w:autoSpaceDE w:val="0"/>
        <w:autoSpaceDN w:val="0"/>
        <w:adjustRightInd w:val="0"/>
        <w:jc w:val="both"/>
        <w:rPr>
          <w:color w:val="000000" w:themeColor="text1"/>
          <w:sz w:val="16"/>
          <w:szCs w:val="16"/>
        </w:rPr>
      </w:pPr>
    </w:p>
    <w:p w14:paraId="0A6489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ноября 1935 года Начальник и военком НИИ ВС комбриг Бажанов утвердил Отчет по гос. испытаниям головного серийного образца, изготовленного заводом N 69, прицела ПВТБ-1 (СП-123).</w:t>
      </w:r>
    </w:p>
    <w:p w14:paraId="4DEB26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w:t>
      </w:r>
    </w:p>
    <w:p w14:paraId="5142D1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начато 15 сентября 1935 года</w:t>
      </w:r>
    </w:p>
    <w:p w14:paraId="0B5CF0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окончено 27 октября 1935 года.</w:t>
      </w:r>
    </w:p>
    <w:p w14:paraId="079347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w:t>
      </w:r>
    </w:p>
    <w:p w14:paraId="38339B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Выявить качество производственного исполнения головного образца серийного изготовления завода N 69.</w:t>
      </w:r>
    </w:p>
    <w:p w14:paraId="2ECF9A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Определить возможность и точность бомбометания до высот 5000 м включительно, с оптическим визиром.</w:t>
      </w:r>
    </w:p>
    <w:p w14:paraId="6D70F3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Отметить попутно с испытаниями серийного образца встретившиеся недостатки конструкции.</w:t>
      </w:r>
    </w:p>
    <w:p w14:paraId="213276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807B9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Считать, что головной серийный образец ПВТБ-1 изготовления завода N 69, гос. испытания выдержал при условии обязательного устранения дефектов (3102).</w:t>
      </w:r>
    </w:p>
    <w:p w14:paraId="4B5153B3" w14:textId="77777777" w:rsidR="00D4105E" w:rsidRPr="00E14102" w:rsidRDefault="00D4105E" w:rsidP="00E14102">
      <w:pPr>
        <w:autoSpaceDE w:val="0"/>
        <w:autoSpaceDN w:val="0"/>
        <w:adjustRightInd w:val="0"/>
        <w:jc w:val="both"/>
        <w:rPr>
          <w:color w:val="000000" w:themeColor="text1"/>
          <w:sz w:val="16"/>
          <w:szCs w:val="16"/>
        </w:rPr>
      </w:pPr>
    </w:p>
    <w:p w14:paraId="0A04C8EE" w14:textId="77777777" w:rsidR="00BE599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49D1033" w14:textId="77777777" w:rsidR="00BE5994" w:rsidRPr="00E14102" w:rsidRDefault="00BE5994" w:rsidP="00E14102">
      <w:pPr>
        <w:autoSpaceDE w:val="0"/>
        <w:autoSpaceDN w:val="0"/>
        <w:adjustRightInd w:val="0"/>
        <w:jc w:val="both"/>
        <w:rPr>
          <w:iCs/>
          <w:color w:val="000000" w:themeColor="text1"/>
          <w:sz w:val="16"/>
          <w:szCs w:val="16"/>
        </w:rPr>
      </w:pPr>
    </w:p>
    <w:p w14:paraId="48836824" w14:textId="77777777" w:rsidR="00BE5994" w:rsidRPr="00E14102" w:rsidRDefault="00BE5994" w:rsidP="00E14102">
      <w:pPr>
        <w:pStyle w:val="rtejustify"/>
        <w:spacing w:before="0" w:after="0"/>
        <w:rPr>
          <w:color w:val="000000" w:themeColor="text1"/>
          <w:sz w:val="16"/>
          <w:szCs w:val="16"/>
        </w:rPr>
      </w:pPr>
      <w:r w:rsidRPr="00E14102">
        <w:rPr>
          <w:rStyle w:val="a6"/>
          <w:bCs/>
          <w:i w:val="0"/>
          <w:color w:val="000000" w:themeColor="text1"/>
          <w:sz w:val="16"/>
          <w:szCs w:val="16"/>
        </w:rPr>
        <w:t>19 ноября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150с «О беспроектном финансировании строительства 2</w:t>
      </w:r>
      <w:r w:rsidRPr="00E14102">
        <w:rPr>
          <w:color w:val="000000" w:themeColor="text1"/>
          <w:sz w:val="16"/>
          <w:szCs w:val="16"/>
        </w:rPr>
        <w:noBreakHyphen/>
        <w:t>й очереди завода “Радиолампа”». (ГА РФ. Ф. Р</w:t>
      </w:r>
      <w:r w:rsidRPr="00E14102">
        <w:rPr>
          <w:color w:val="000000" w:themeColor="text1"/>
          <w:sz w:val="16"/>
          <w:szCs w:val="16"/>
        </w:rPr>
        <w:noBreakHyphen/>
        <w:t>8418. Оп. 28. Д. 7. Л. 214) (15460).</w:t>
      </w:r>
    </w:p>
    <w:p w14:paraId="743F1167" w14:textId="77777777" w:rsidR="00BE5994" w:rsidRPr="00E14102" w:rsidRDefault="00BE5994" w:rsidP="00E14102">
      <w:pPr>
        <w:pStyle w:val="rtejustify"/>
        <w:spacing w:before="0" w:after="0"/>
        <w:rPr>
          <w:color w:val="000000" w:themeColor="text1"/>
          <w:sz w:val="16"/>
          <w:szCs w:val="16"/>
        </w:rPr>
      </w:pPr>
    </w:p>
    <w:p w14:paraId="328BA4F0" w14:textId="77777777" w:rsidR="00BE5994" w:rsidRPr="00E14102" w:rsidRDefault="00BE599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19 ноября 1935 года, чтобы не останавливать строительство в связи с тем, что внедрение американской технологии на Радиолампе вл Фрязино потребовало внесения изменений в первоначальный проект строительства и было намечено дополнительно построить два корпуса цехов по производству металлических ламп, СТО СССР принял постановление № С-150с «О беспроектном финансировании строительства 2-й очереди завода «Радиолампа». До конца года СТО еще дважды возвращался к вопросу «О договоре с фирмой «Радиокорпорейшн» (15736).</w:t>
      </w:r>
    </w:p>
    <w:p w14:paraId="3243633B" w14:textId="77777777" w:rsidR="00BE5994" w:rsidRPr="00E14102" w:rsidRDefault="00BE5994" w:rsidP="00E14102">
      <w:pPr>
        <w:pStyle w:val="ad"/>
        <w:spacing w:before="0" w:after="0"/>
        <w:rPr>
          <w:rFonts w:ascii="Times New Roman" w:hAnsi="Times New Roman" w:cs="Times New Roman"/>
          <w:color w:val="000000" w:themeColor="text1"/>
          <w:sz w:val="16"/>
          <w:szCs w:val="16"/>
          <w:lang w:val="ru-RU"/>
        </w:rPr>
      </w:pPr>
    </w:p>
    <w:p w14:paraId="5E42925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AF41CFF" w14:textId="77777777" w:rsidR="00D4105E" w:rsidRPr="00E14102" w:rsidRDefault="00D4105E" w:rsidP="00E14102">
      <w:pPr>
        <w:autoSpaceDE w:val="0"/>
        <w:autoSpaceDN w:val="0"/>
        <w:adjustRightInd w:val="0"/>
        <w:jc w:val="both"/>
        <w:rPr>
          <w:iCs/>
          <w:color w:val="000000" w:themeColor="text1"/>
          <w:sz w:val="16"/>
          <w:szCs w:val="16"/>
        </w:rPr>
      </w:pPr>
    </w:p>
    <w:p w14:paraId="420927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10-й полет со сбрасыванием корпусов бомб АО-8 (3081).</w:t>
      </w:r>
    </w:p>
    <w:p w14:paraId="744B698E" w14:textId="77777777" w:rsidR="00D4105E" w:rsidRPr="00E14102" w:rsidRDefault="00D4105E" w:rsidP="00E14102">
      <w:pPr>
        <w:autoSpaceDE w:val="0"/>
        <w:autoSpaceDN w:val="0"/>
        <w:adjustRightInd w:val="0"/>
        <w:jc w:val="both"/>
        <w:rPr>
          <w:color w:val="000000" w:themeColor="text1"/>
          <w:sz w:val="16"/>
          <w:szCs w:val="16"/>
        </w:rPr>
      </w:pPr>
    </w:p>
    <w:p w14:paraId="0C1D5A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ноября 1935 после полета на бомбометание при посадке у ДИ-6ш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5D2E92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5EB229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73F17E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128D46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50C6B6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724C68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785425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4F3BA4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3E1390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0F92BF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0BD989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3370E914" w14:textId="77777777" w:rsidR="00D4105E" w:rsidRPr="00E14102" w:rsidRDefault="00D4105E" w:rsidP="00E14102">
      <w:pPr>
        <w:autoSpaceDE w:val="0"/>
        <w:autoSpaceDN w:val="0"/>
        <w:adjustRightInd w:val="0"/>
        <w:jc w:val="both"/>
        <w:rPr>
          <w:color w:val="000000" w:themeColor="text1"/>
          <w:sz w:val="16"/>
          <w:szCs w:val="16"/>
        </w:rPr>
      </w:pPr>
    </w:p>
    <w:p w14:paraId="0DAA7A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ноября 1935 подцепился к этажерке на ТБ-3 (АНТ-6) пятый И-Z. То есть летало шесть машин (172,63). Сделал П.М.Стефановский (1022,28). На И-16 были ил Т.Т.Алтынов и ли К.К.Будаков, на И-5 - ил А.И.Никашин и ли С.П.Супрун, на Изет - В.А.Степанчонок, а на ТБ - П.М.С.. Взлетали с достаточно узкой бетонной полосы и еле взлетели из-за рысканья. Степанченок подошел на высоте 1000 м и потом все 5 отцепились (2921,35).</w:t>
      </w:r>
    </w:p>
    <w:p w14:paraId="6030696E" w14:textId="77777777" w:rsidR="00D4105E" w:rsidRPr="00E14102" w:rsidRDefault="00D4105E" w:rsidP="00E14102">
      <w:pPr>
        <w:autoSpaceDE w:val="0"/>
        <w:autoSpaceDN w:val="0"/>
        <w:adjustRightInd w:val="0"/>
        <w:jc w:val="both"/>
        <w:rPr>
          <w:color w:val="000000" w:themeColor="text1"/>
          <w:sz w:val="16"/>
          <w:szCs w:val="16"/>
        </w:rPr>
      </w:pPr>
    </w:p>
    <w:p w14:paraId="3C4978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ноября 1935 г. "Звено-7- совершило первый полет - ТБ-3 нес сразу пять истребителей - два И-5 на крыльях, два И-16 под крыльями и И-Зет. Такая нагрузка требовала значительного повышения тяги самолета-носителя (9807).</w:t>
      </w:r>
    </w:p>
    <w:p w14:paraId="699160CC" w14:textId="77777777" w:rsidR="00D4105E" w:rsidRPr="00E14102" w:rsidRDefault="00D4105E" w:rsidP="00E14102">
      <w:pPr>
        <w:autoSpaceDE w:val="0"/>
        <w:autoSpaceDN w:val="0"/>
        <w:adjustRightInd w:val="0"/>
        <w:jc w:val="both"/>
        <w:rPr>
          <w:color w:val="000000" w:themeColor="text1"/>
          <w:sz w:val="16"/>
          <w:szCs w:val="16"/>
        </w:rPr>
      </w:pPr>
    </w:p>
    <w:p w14:paraId="093B6C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ноября 1935 г. "Звено-7" совершило первый полет "суперавианосец", названный "Звено-7". ТБ-3 нес сразу пять истребителей - два И-5 на крыльях, два И-16 под крыльями и И-Зет на трапеции под фюзеляжем (12036).</w:t>
      </w:r>
    </w:p>
    <w:p w14:paraId="47C8824E" w14:textId="77777777" w:rsidR="00D4105E" w:rsidRPr="00E14102" w:rsidRDefault="00D4105E" w:rsidP="00E14102">
      <w:pPr>
        <w:autoSpaceDE w:val="0"/>
        <w:autoSpaceDN w:val="0"/>
        <w:adjustRightInd w:val="0"/>
        <w:jc w:val="both"/>
        <w:rPr>
          <w:color w:val="000000" w:themeColor="text1"/>
          <w:sz w:val="16"/>
          <w:szCs w:val="16"/>
        </w:rPr>
      </w:pPr>
    </w:p>
    <w:p w14:paraId="723BC1C6" w14:textId="77777777" w:rsidR="009C1277" w:rsidRPr="00E14102" w:rsidRDefault="009C1277" w:rsidP="00E14102">
      <w:pPr>
        <w:pStyle w:val="a7"/>
        <w:rPr>
          <w:color w:val="000000" w:themeColor="text1"/>
          <w:sz w:val="16"/>
          <w:szCs w:val="16"/>
          <w:lang w:val="ru-RU"/>
        </w:rPr>
      </w:pPr>
      <w:r w:rsidRPr="00E14102">
        <w:rPr>
          <w:color w:val="000000" w:themeColor="text1"/>
          <w:sz w:val="16"/>
          <w:szCs w:val="16"/>
          <w:lang w:val="ru-RU"/>
        </w:rPr>
        <w:t xml:space="preserve">20 ноября </w:t>
      </w:r>
      <w:r w:rsidRPr="00E14102">
        <w:rPr>
          <w:rStyle w:val="ArialNarrow8"/>
          <w:rFonts w:ascii="Times New Roman" w:hAnsi="Times New Roman" w:cs="Times New Roman"/>
          <w:b w:val="0"/>
          <w:color w:val="000000" w:themeColor="text1"/>
          <w:sz w:val="16"/>
          <w:szCs w:val="16"/>
          <w:lang w:val="ru-RU"/>
        </w:rPr>
        <w:t xml:space="preserve">1935 г. </w:t>
      </w:r>
      <w:r w:rsidRPr="00E14102">
        <w:rPr>
          <w:color w:val="000000" w:themeColor="text1"/>
          <w:sz w:val="16"/>
          <w:szCs w:val="16"/>
          <w:lang w:val="ru-RU"/>
        </w:rPr>
        <w:t xml:space="preserve">состоялся первый полет "Звена-7". </w:t>
      </w:r>
      <w:r w:rsidRPr="00E14102">
        <w:rPr>
          <w:rStyle w:val="ArialNarrow8"/>
          <w:rFonts w:ascii="Times New Roman" w:hAnsi="Times New Roman" w:cs="Times New Roman"/>
          <w:b w:val="0"/>
          <w:color w:val="000000" w:themeColor="text1"/>
          <w:sz w:val="16"/>
          <w:szCs w:val="16"/>
          <w:lang w:val="ru-RU"/>
        </w:rPr>
        <w:t>Командиром</w:t>
      </w:r>
      <w:r w:rsidRPr="00E14102">
        <w:rPr>
          <w:color w:val="000000" w:themeColor="text1"/>
          <w:sz w:val="16"/>
          <w:szCs w:val="16"/>
          <w:lang w:val="ru-RU"/>
        </w:rPr>
        <w:t xml:space="preserve"> ТБ-3 был Стефановский</w:t>
      </w:r>
      <w:r w:rsidRPr="00E14102">
        <w:rPr>
          <w:rStyle w:val="ArialNarrow8"/>
          <w:rFonts w:ascii="Times New Roman" w:hAnsi="Times New Roman" w:cs="Times New Roman"/>
          <w:b w:val="0"/>
          <w:color w:val="000000" w:themeColor="text1"/>
          <w:sz w:val="16"/>
          <w:szCs w:val="16"/>
          <w:lang w:val="ru-RU"/>
        </w:rPr>
        <w:t>, в кресле</w:t>
      </w:r>
      <w:r w:rsidRPr="00E14102">
        <w:rPr>
          <w:color w:val="000000" w:themeColor="text1"/>
          <w:sz w:val="16"/>
          <w:szCs w:val="16"/>
          <w:lang w:val="ru-RU"/>
        </w:rPr>
        <w:t xml:space="preserve"> второго пилота сидел Вах мистров, правым И-16 управлял Т.Т. Алтынов, левым - К.К. Буданов, правым И-5 - А.И. Никашин, левым - С.П. Супрун, а на И-Зет опять летал В.А. Степанченок. Хотя «Звено-7» в некоторых документах пода</w:t>
      </w:r>
      <w:r w:rsidRPr="00E14102">
        <w:rPr>
          <w:color w:val="000000" w:themeColor="text1"/>
          <w:sz w:val="16"/>
          <w:szCs w:val="16"/>
          <w:lang w:val="ru-RU"/>
        </w:rPr>
        <w:softHyphen/>
        <w:t>валось как прообраз «авиаматки ПВО», оно скорее являлось просто демонстра</w:t>
      </w:r>
      <w:r w:rsidRPr="00E14102">
        <w:rPr>
          <w:color w:val="000000" w:themeColor="text1"/>
          <w:sz w:val="16"/>
          <w:szCs w:val="16"/>
          <w:lang w:val="ru-RU"/>
        </w:rPr>
        <w:softHyphen/>
        <w:t>цией возможностей, чем имело какую-то практическую ценность (17741).</w:t>
      </w:r>
    </w:p>
    <w:p w14:paraId="7985C828" w14:textId="77777777" w:rsidR="009C1277" w:rsidRPr="00E14102" w:rsidRDefault="009C1277" w:rsidP="00E14102">
      <w:pPr>
        <w:pStyle w:val="a7"/>
        <w:rPr>
          <w:color w:val="000000" w:themeColor="text1"/>
          <w:sz w:val="16"/>
          <w:szCs w:val="16"/>
          <w:lang w:val="ru-RU"/>
        </w:rPr>
      </w:pPr>
    </w:p>
    <w:p w14:paraId="1C5C90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ноября 1935 В.К.Коккинаки поставил рекорд высоты на И-15 с М-25. Вместо кресла стояла дощечка. Спуск - планирование с 14575 м, так как топлива не было (67,112).</w:t>
      </w:r>
    </w:p>
    <w:p w14:paraId="262DF1CF" w14:textId="77777777" w:rsidR="00D4105E" w:rsidRPr="00E14102" w:rsidRDefault="00D4105E" w:rsidP="00E14102">
      <w:pPr>
        <w:autoSpaceDE w:val="0"/>
        <w:autoSpaceDN w:val="0"/>
        <w:adjustRightInd w:val="0"/>
        <w:jc w:val="both"/>
        <w:rPr>
          <w:color w:val="000000" w:themeColor="text1"/>
          <w:sz w:val="16"/>
          <w:szCs w:val="16"/>
        </w:rPr>
      </w:pPr>
    </w:p>
    <w:p w14:paraId="4BA25A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В.К.К. побил на И-15 рекорд итальянца Донати. Членство в ФАИ в силу еще не вступило и рекорд был зарегистрирован как всесоюзный (24,101).</w:t>
      </w:r>
    </w:p>
    <w:p w14:paraId="2E6E4BF5" w14:textId="77777777" w:rsidR="00D4105E" w:rsidRPr="00E14102" w:rsidRDefault="00D4105E" w:rsidP="00E14102">
      <w:pPr>
        <w:autoSpaceDE w:val="0"/>
        <w:autoSpaceDN w:val="0"/>
        <w:adjustRightInd w:val="0"/>
        <w:jc w:val="both"/>
        <w:rPr>
          <w:color w:val="000000" w:themeColor="text1"/>
          <w:sz w:val="16"/>
          <w:szCs w:val="16"/>
        </w:rPr>
      </w:pPr>
    </w:p>
    <w:p w14:paraId="5864BA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ноября 1935 постановлениями ЦИК и СНК было проведено первое присвоение званий МСС: К.Е.В., М.Н.Тухачевский, А.И.Егоров, С.М.Буденый, В.К.Блюхер (3398,408).</w:t>
      </w:r>
    </w:p>
    <w:p w14:paraId="2B58E7BE" w14:textId="77777777" w:rsidR="00D4105E" w:rsidRPr="00E14102" w:rsidRDefault="00D4105E" w:rsidP="00E14102">
      <w:pPr>
        <w:autoSpaceDE w:val="0"/>
        <w:autoSpaceDN w:val="0"/>
        <w:adjustRightInd w:val="0"/>
        <w:jc w:val="both"/>
        <w:rPr>
          <w:color w:val="000000" w:themeColor="text1"/>
          <w:sz w:val="16"/>
          <w:szCs w:val="16"/>
        </w:rPr>
      </w:pPr>
    </w:p>
    <w:p w14:paraId="0CBF266A" w14:textId="77777777" w:rsidR="00BE599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C316170" w14:textId="77777777" w:rsidR="00BE5994" w:rsidRPr="00E14102" w:rsidRDefault="00BE5994" w:rsidP="00E14102">
      <w:pPr>
        <w:autoSpaceDE w:val="0"/>
        <w:autoSpaceDN w:val="0"/>
        <w:adjustRightInd w:val="0"/>
        <w:jc w:val="both"/>
        <w:rPr>
          <w:iCs/>
          <w:color w:val="000000" w:themeColor="text1"/>
          <w:sz w:val="16"/>
          <w:szCs w:val="16"/>
        </w:rPr>
      </w:pPr>
    </w:p>
    <w:p w14:paraId="2D73D09E" w14:textId="77777777" w:rsidR="00BE5994" w:rsidRPr="00E14102" w:rsidRDefault="00BE5994" w:rsidP="00E14102">
      <w:pPr>
        <w:pStyle w:val="rtejustify"/>
        <w:spacing w:before="0" w:after="0"/>
        <w:rPr>
          <w:color w:val="000000" w:themeColor="text1"/>
          <w:sz w:val="16"/>
          <w:szCs w:val="16"/>
        </w:rPr>
      </w:pPr>
      <w:r w:rsidRPr="00E14102">
        <w:rPr>
          <w:rStyle w:val="a6"/>
          <w:bCs/>
          <w:i w:val="0"/>
          <w:color w:val="000000" w:themeColor="text1"/>
          <w:sz w:val="16"/>
          <w:szCs w:val="16"/>
        </w:rPr>
        <w:t>20 ноября 1935 вышел приказ НКО №</w:t>
      </w:r>
      <w:r w:rsidRPr="00E14102">
        <w:rPr>
          <w:color w:val="000000" w:themeColor="text1"/>
          <w:sz w:val="16"/>
          <w:szCs w:val="16"/>
        </w:rPr>
        <w:t> 0228. Об изменении состава комиссий, назначенных приказами № 0210 и № 0216 (15247).</w:t>
      </w:r>
    </w:p>
    <w:p w14:paraId="4F170973" w14:textId="77777777" w:rsidR="00BE5994" w:rsidRPr="00E14102" w:rsidRDefault="00BE5994" w:rsidP="00E14102">
      <w:pPr>
        <w:pStyle w:val="rtejustify"/>
        <w:spacing w:before="0" w:after="0"/>
        <w:rPr>
          <w:color w:val="000000" w:themeColor="text1"/>
          <w:sz w:val="16"/>
          <w:szCs w:val="16"/>
        </w:rPr>
      </w:pPr>
    </w:p>
    <w:p w14:paraId="41D268A1" w14:textId="77777777" w:rsidR="00BE599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4004B8E3" w14:textId="77777777" w:rsidR="00BE5994" w:rsidRPr="00E14102" w:rsidRDefault="00BE5994" w:rsidP="00E14102">
      <w:pPr>
        <w:autoSpaceDE w:val="0"/>
        <w:autoSpaceDN w:val="0"/>
        <w:adjustRightInd w:val="0"/>
        <w:jc w:val="both"/>
        <w:rPr>
          <w:iCs/>
          <w:color w:val="000000" w:themeColor="text1"/>
          <w:sz w:val="16"/>
          <w:szCs w:val="16"/>
        </w:rPr>
      </w:pPr>
    </w:p>
    <w:p w14:paraId="1035B27C" w14:textId="77777777" w:rsidR="00BE5994" w:rsidRPr="00E14102" w:rsidRDefault="00BE5994" w:rsidP="00E14102">
      <w:pPr>
        <w:jc w:val="both"/>
        <w:rPr>
          <w:color w:val="000000" w:themeColor="text1"/>
          <w:sz w:val="16"/>
          <w:szCs w:val="16"/>
        </w:rPr>
      </w:pPr>
      <w:r w:rsidRPr="00E14102">
        <w:rPr>
          <w:bCs/>
          <w:color w:val="000000" w:themeColor="text1"/>
          <w:sz w:val="16"/>
          <w:szCs w:val="16"/>
        </w:rPr>
        <w:t>20 ноября</w:t>
      </w:r>
      <w:r w:rsidRPr="00E14102">
        <w:rPr>
          <w:color w:val="000000" w:themeColor="text1"/>
          <w:sz w:val="16"/>
          <w:szCs w:val="16"/>
        </w:rPr>
        <w:t xml:space="preserve"> в 1935 году постановлением ЦИК и СНК СССР присвоенны звания Маршала СССР: В.К.Блюхеру, С.М. Будённому, К.Е.Ворошилову, А.И.Егорову, М.Н.Тухачевскому </w:t>
      </w:r>
    </w:p>
    <w:p w14:paraId="770D069A" w14:textId="77777777" w:rsidR="00BE5994" w:rsidRPr="00E14102" w:rsidRDefault="00BE5994" w:rsidP="00E14102">
      <w:pPr>
        <w:jc w:val="both"/>
        <w:rPr>
          <w:color w:val="000000" w:themeColor="text1"/>
          <w:sz w:val="16"/>
          <w:szCs w:val="16"/>
        </w:rPr>
      </w:pPr>
    </w:p>
    <w:p w14:paraId="49C32DB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5FBCC0EE" w14:textId="77777777" w:rsidR="00D4105E" w:rsidRPr="00E14102" w:rsidRDefault="00D4105E" w:rsidP="00E14102">
      <w:pPr>
        <w:autoSpaceDE w:val="0"/>
        <w:autoSpaceDN w:val="0"/>
        <w:adjustRightInd w:val="0"/>
        <w:jc w:val="both"/>
        <w:rPr>
          <w:iCs/>
          <w:color w:val="000000" w:themeColor="text1"/>
          <w:sz w:val="16"/>
          <w:szCs w:val="16"/>
        </w:rPr>
      </w:pPr>
    </w:p>
    <w:p w14:paraId="67425E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ноября 1935 английские шахтеры потребовали повышения зарплаты (3907,193).</w:t>
      </w:r>
    </w:p>
    <w:p w14:paraId="782882C4" w14:textId="77777777" w:rsidR="00D4105E" w:rsidRPr="00E14102" w:rsidRDefault="00D4105E" w:rsidP="00E14102">
      <w:pPr>
        <w:autoSpaceDE w:val="0"/>
        <w:autoSpaceDN w:val="0"/>
        <w:adjustRightInd w:val="0"/>
        <w:jc w:val="both"/>
        <w:rPr>
          <w:color w:val="000000" w:themeColor="text1"/>
          <w:sz w:val="16"/>
          <w:szCs w:val="16"/>
        </w:rPr>
      </w:pPr>
    </w:p>
    <w:p w14:paraId="452D8E6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FBC6F76" w14:textId="77777777" w:rsidR="00D4105E" w:rsidRPr="00E14102" w:rsidRDefault="00D4105E" w:rsidP="00E14102">
      <w:pPr>
        <w:autoSpaceDE w:val="0"/>
        <w:autoSpaceDN w:val="0"/>
        <w:adjustRightInd w:val="0"/>
        <w:jc w:val="both"/>
        <w:rPr>
          <w:iCs/>
          <w:color w:val="000000" w:themeColor="text1"/>
          <w:sz w:val="16"/>
          <w:szCs w:val="16"/>
        </w:rPr>
      </w:pPr>
    </w:p>
    <w:p w14:paraId="7B0CF9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ноября 1935 бомбардировщик совершал перелет по маршруту Щелково-Калуга-Брянск. Над Мещевском стрелок-радист сообщил ПИЛОТУ Миндеру о том. что плохо себя чувствует. Командир решил повернуть назад. Но над Калугой вдруг сильно затрясло правый мотор и его отключили. Миндер благополучно сел в Щелкове, пролетев 190 км на одном двигателе. Причиной происшествия оказался плохо завернутый болт крепления к мотораме. В полете он от вибрации отвернулся и выпал. Бомбардировщик отправили в ЦАГИ - тщательно обследовать и ликвидировать последствия поломки (7643).</w:t>
      </w:r>
    </w:p>
    <w:p w14:paraId="3BD06CFA" w14:textId="77777777" w:rsidR="00D4105E" w:rsidRPr="00E14102" w:rsidRDefault="00D4105E" w:rsidP="00E14102">
      <w:pPr>
        <w:autoSpaceDE w:val="0"/>
        <w:autoSpaceDN w:val="0"/>
        <w:adjustRightInd w:val="0"/>
        <w:jc w:val="both"/>
        <w:rPr>
          <w:color w:val="000000" w:themeColor="text1"/>
          <w:sz w:val="16"/>
          <w:szCs w:val="16"/>
        </w:rPr>
      </w:pPr>
    </w:p>
    <w:p w14:paraId="45F179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ноября 1935 на ДБА 4М-34РН в ходе заводских испытаний в Щелково летали 1 раз 1:10 и это был полет на проверку управления элеронами после установки полиспаста. Это был 25-й полет (249).</w:t>
      </w:r>
    </w:p>
    <w:p w14:paraId="5BC2A2B1" w14:textId="77777777" w:rsidR="00D4105E" w:rsidRPr="00E14102" w:rsidRDefault="00D4105E" w:rsidP="00E14102">
      <w:pPr>
        <w:autoSpaceDE w:val="0"/>
        <w:autoSpaceDN w:val="0"/>
        <w:adjustRightInd w:val="0"/>
        <w:jc w:val="both"/>
        <w:rPr>
          <w:color w:val="000000" w:themeColor="text1"/>
          <w:sz w:val="16"/>
          <w:szCs w:val="16"/>
        </w:rPr>
      </w:pPr>
    </w:p>
    <w:p w14:paraId="54E836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ноября 1935 в НИИ ВВС в рамках заводских испытаний закончились испытания по определению усилий в лонжеронах ДБ-2 4М-34РН в полете, которые шли с 23 октября 1935. Отв. исполнитель: ви 1 отд. П.В.Рудинцев</w:t>
      </w:r>
    </w:p>
    <w:p w14:paraId="6B928E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06567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Считать, что та цель, которая ставилась НИО 1-го отдела для первой работы по полетным исследованиям прочности в НИИ ВВС - достигнута.</w:t>
      </w:r>
    </w:p>
    <w:p w14:paraId="7D4955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Провести более подробные исследования на прочность конструкции ДБ-2 в полете в период прохождения гос. испытаний (525).</w:t>
      </w:r>
    </w:p>
    <w:p w14:paraId="016FCC8A" w14:textId="77777777" w:rsidR="00D4105E" w:rsidRPr="00E14102" w:rsidRDefault="00D4105E" w:rsidP="00E14102">
      <w:pPr>
        <w:autoSpaceDE w:val="0"/>
        <w:autoSpaceDN w:val="0"/>
        <w:adjustRightInd w:val="0"/>
        <w:jc w:val="both"/>
        <w:rPr>
          <w:color w:val="000000" w:themeColor="text1"/>
          <w:sz w:val="16"/>
          <w:szCs w:val="16"/>
        </w:rPr>
      </w:pPr>
    </w:p>
    <w:p w14:paraId="390688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 ноября 1935 года на государ</w:t>
      </w:r>
      <w:r w:rsidRPr="00E14102">
        <w:rPr>
          <w:color w:val="000000" w:themeColor="text1"/>
          <w:sz w:val="16"/>
          <w:szCs w:val="16"/>
        </w:rPr>
        <w:softHyphen/>
        <w:t>ственных испытаниях, которые проходили с 27 мая, ДИ-б получил положительную оценку и в дальнейшем выпускался серийно на авиазаводах №39 им. Мен</w:t>
      </w:r>
      <w:r w:rsidRPr="00E14102">
        <w:rPr>
          <w:color w:val="000000" w:themeColor="text1"/>
          <w:sz w:val="16"/>
          <w:szCs w:val="16"/>
        </w:rPr>
        <w:softHyphen/>
        <w:t>жинского (10 машин в 1936 году), №1 им. Авиахима (61 самолет в 1937 году) и №81 им. Молотова (51 самолет в 1937 году и 100 в 1938 году) (10723).</w:t>
      </w:r>
    </w:p>
    <w:p w14:paraId="4AA009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88F4C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ноября 1935 года закончились гос. испытания двухместного истребительного самолета ДИ-6 Р.Ц. Ф-3 с убирающимися в полете шасси, которые проходили с 27 мая 1935 (6685).</w:t>
      </w:r>
    </w:p>
    <w:p w14:paraId="2C77384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74B5B00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Федрови</w:t>
      </w:r>
    </w:p>
    <w:p w14:paraId="7930343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Летчик-испытатель Степанченок</w:t>
      </w:r>
    </w:p>
    <w:p w14:paraId="4950437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27387D6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летно-тактических качеств самолета и его летной характеристики.</w:t>
      </w:r>
    </w:p>
    <w:p w14:paraId="3D2F9E1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пулеметного и бомбардировочного вооружения.</w:t>
      </w:r>
    </w:p>
    <w:p w14:paraId="66D1226F"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винтомоторной группы и моторного оборудования.</w:t>
      </w:r>
    </w:p>
    <w:p w14:paraId="0022F81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электрооборудования и пригодности его к ночным полетам.</w:t>
      </w:r>
    </w:p>
    <w:p w14:paraId="5895005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подъемного шасси и тормозных колес с внутренней амортизацией.</w:t>
      </w:r>
    </w:p>
    <w:p w14:paraId="673B165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летные испытания ушло 24 дня, за время испытаний было произведено 175 полетов с налетом 42 часа.</w:t>
      </w:r>
    </w:p>
    <w:p w14:paraId="60D434A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7F50E5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ДИ-6 Райт-Циклон Ф3 по своим летно-техническим данным удовлетворяет требованиям двухместного истребителя, приближаясь к однотипным заграничным самолетам.</w:t>
      </w:r>
    </w:p>
    <w:p w14:paraId="1F32E18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Задняя стрелковая установка в предъявленном виде испытания не выдержала и делает самолет как двухместный истребитель недееспособным (6685).</w:t>
      </w:r>
    </w:p>
    <w:p w14:paraId="7E023F3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374139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11-й полет со на полигон в Ногинск со стрельбой по колонне (3081).</w:t>
      </w:r>
    </w:p>
    <w:p w14:paraId="5C55B55D" w14:textId="77777777" w:rsidR="00D4105E" w:rsidRPr="00E14102" w:rsidRDefault="00D4105E" w:rsidP="00E14102">
      <w:pPr>
        <w:autoSpaceDE w:val="0"/>
        <w:autoSpaceDN w:val="0"/>
        <w:adjustRightInd w:val="0"/>
        <w:jc w:val="both"/>
        <w:rPr>
          <w:color w:val="000000" w:themeColor="text1"/>
          <w:sz w:val="16"/>
          <w:szCs w:val="16"/>
        </w:rPr>
      </w:pPr>
    </w:p>
    <w:p w14:paraId="5F1BA8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ноября 1935 г. закончились гос. испытаниях двухместного истребительного самолета "ДИ-6" РЦ Ф3 с убирающимся в полете шасси, которые шли с 27 мая 1935.</w:t>
      </w:r>
    </w:p>
    <w:p w14:paraId="430B9A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2F4513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 летчик Федрови</w:t>
      </w:r>
    </w:p>
    <w:p w14:paraId="080B10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Летчик-испытатель Степанченок</w:t>
      </w:r>
    </w:p>
    <w:p w14:paraId="2B817B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216581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Определение летно-технических качеств самолета и его летной характеристики.</w:t>
      </w:r>
    </w:p>
    <w:p w14:paraId="4E208E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Испытание пулеметного и бомбардировочного вооружения.</w:t>
      </w:r>
    </w:p>
    <w:p w14:paraId="520A63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Испытание винтомоторной группы и моторного оборудования.</w:t>
      </w:r>
    </w:p>
    <w:p w14:paraId="7390B9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Испытание электрооборудования и пригодности его к ночным полетам.</w:t>
      </w:r>
    </w:p>
    <w:p w14:paraId="122CEB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Испытание подъемного шасси и тормозных колес с внутренней амортизацией.</w:t>
      </w:r>
    </w:p>
    <w:p w14:paraId="6058A9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47CB2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Самолет ДИ-6 Райт-Циклон Ф3 по своим летно-техническим данным удовлетворяет требованиям двухместного истребителя, приближаясь к однотипным заграничным самолетам.</w:t>
      </w:r>
    </w:p>
    <w:p w14:paraId="7EC6C6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Задняя стрелковая установка в предъявленном виде испытаний не выдержала и делает самолет как двухместный истребитель небоеспособным.</w:t>
      </w:r>
    </w:p>
    <w:p w14:paraId="2AADB4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переделки задней огневой точки самолет передать в НИИ для повторных его испытаний (3314).</w:t>
      </w:r>
    </w:p>
    <w:p w14:paraId="64EF4150" w14:textId="77777777" w:rsidR="00D4105E" w:rsidRPr="00E14102" w:rsidRDefault="00D4105E" w:rsidP="00E14102">
      <w:pPr>
        <w:autoSpaceDE w:val="0"/>
        <w:autoSpaceDN w:val="0"/>
        <w:adjustRightInd w:val="0"/>
        <w:jc w:val="both"/>
        <w:rPr>
          <w:color w:val="000000" w:themeColor="text1"/>
          <w:sz w:val="16"/>
          <w:szCs w:val="16"/>
        </w:rPr>
      </w:pPr>
    </w:p>
    <w:p w14:paraId="49A98F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ноября 1935 были закончены испытания ДИ-6 (ЦКБ-11). Летали В.А.Степанчонок и В.П.Федоров (438,702) Приняли в серию и сделали 200 в 1937-1938 (92,480).</w:t>
      </w:r>
    </w:p>
    <w:p w14:paraId="08E3A7A6" w14:textId="77777777" w:rsidR="00D4105E" w:rsidRPr="00E14102" w:rsidRDefault="00D4105E" w:rsidP="00E14102">
      <w:pPr>
        <w:autoSpaceDE w:val="0"/>
        <w:autoSpaceDN w:val="0"/>
        <w:adjustRightInd w:val="0"/>
        <w:jc w:val="both"/>
        <w:rPr>
          <w:color w:val="000000" w:themeColor="text1"/>
          <w:sz w:val="16"/>
          <w:szCs w:val="16"/>
        </w:rPr>
      </w:pPr>
    </w:p>
    <w:p w14:paraId="20A33E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 ноября 1935 года закончились государ</w:t>
      </w:r>
      <w:r w:rsidRPr="00E14102">
        <w:rPr>
          <w:color w:val="000000" w:themeColor="text1"/>
          <w:sz w:val="16"/>
          <w:szCs w:val="16"/>
        </w:rPr>
        <w:softHyphen/>
        <w:t>ственные испытания ДИ-б, которые проходили с 27 мая. Ди-6 получил положительную оценку и в дальнейшем выпускался серийно на авиазаводах №39 им. Мен</w:t>
      </w:r>
      <w:r w:rsidRPr="00E14102">
        <w:rPr>
          <w:color w:val="000000" w:themeColor="text1"/>
          <w:sz w:val="16"/>
          <w:szCs w:val="16"/>
        </w:rPr>
        <w:softHyphen/>
        <w:t>жинского (10 машин в 1936 году), №1 им. Авиахима (61 самолет в 1937 году) и №81 им. Молотова (51 самолет в 1937 году и 100 в 1938 году) (10723).</w:t>
      </w:r>
    </w:p>
    <w:p w14:paraId="31A3B0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FBF42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ноября 1935 закончились госиспытания ДИ-6, которые проходили с 27 мая. Летали летчики П.Я. Федрови и В.А. Степанченок. За 24 летных дня было выполнено 175 полетов с общим налетом 42 ч. Львиная доля времени, три месяца и десять дней, ушла на очередные заводские доработки самолета.</w:t>
      </w:r>
    </w:p>
    <w:p w14:paraId="175CC4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Итогом госиспытаний стало общее положительное мнение о новом истребителе у испытательной бригады и руководства института. После доработок максимальная скорость несколько повысилась и достигла до 385 км/ч на высоте 3000 м. Маневренность сочли хорошей для двухместного самолета, также как и устойчивость на пикировании.</w:t>
      </w:r>
    </w:p>
    <w:p w14:paraId="5CFA81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Крыльевые пулеметные установки работали безотказно. Управление пулеметами и прицеливание удобное. Интересна оценка качества изготовления: "Производственное выполнение самолета в целом хорошее".</w:t>
      </w:r>
    </w:p>
    <w:p w14:paraId="11580B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испытаниях вооружения ДИ-6 летчики-испытатели отрабатывали и тактические приемы применения новой машины. Несколько страниц отчета об испытаниях занимают красочные схемы построения атак воздушных целей и обороны от истребителей противника, убедительно доказывающие тактические преимущества двухместного самолета.</w:t>
      </w:r>
    </w:p>
    <w:p w14:paraId="79B6D3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новая техника не бывает без недостатков, и ДИ-6 не стал исключением из правил. Некоторые огрехи так и не были устранены. Заднюю огневую точку объявили непригодной. В отчете записали: "Вследствие крайне ограниченных углов обстрела и затруднительного маневрирования пулеметной установкой легко можно прострелить оперение самолета". Более того, конструкция установки не обеспечивала достаточно легкого движения стволом и безотказной работы пулемета. Положение стрелка сочли "неудобным и напряженным". Поскольку в полете он практически не мог двигаться, наступало быстрое утомление. Претензии участников испытаний к неудовлетворительной конструкции задней огневой точки можно понять-она делала боеспособность двухместного истребителя ограниченной, а стрелка-безучастным свидетелем отдельных эпизодов воздушного боя.</w:t>
      </w:r>
    </w:p>
    <w:p w14:paraId="75D155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Вновь поставили вопрос о чрезмерной сложности управления подъемным механизмом шасси.</w:t>
      </w:r>
    </w:p>
    <w:p w14:paraId="7AC026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Продолжала существовать проблема вибраций. Более того, она стала еще существенней. Теперь консоли верхнего и нижнего крыла тряслись в полете практически на всех режимах работы мотора, особенно сильно в диапазоне от 1400 до 1600 об/мин. Была выявлена также вибрация хвостового оперения при полетах на больших углах атаки.</w:t>
      </w:r>
    </w:p>
    <w:p w14:paraId="388B59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этих испытаниях в программу входили ночные полеты. Оказалось, что в темноте ДИ-6 пилотировать трудно, а вести прицельную стрельбу вперед-вообще невозможно. Пламя из выхлопных патрубков ослепляло летчика, что было особенно опасно на посадке. Отсветы мешали пользоваться и оптическим прицелом. Маленький козырек передней кабины не защищал летчика от набегающего потока воздуха, в результате фюзеляж продувался насквозь, и экипаж замерзал в полете.</w:t>
      </w:r>
    </w:p>
    <w:p w14:paraId="54FA4B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Как и прежде, отсутствовала надежная переговорная и зрительная связь между членами экипажа. Стрелок с парашютом лишь с большим трудом мог покинуть самолет в аварийной ситуации, Открывалась только левая половина экрана (фонаря) его кабины.</w:t>
      </w:r>
    </w:p>
    <w:p w14:paraId="213821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меньше замечаний набралось к удобству обслуживания самолета на земле у технического состава. Критиковали затрудненность доступа к отдельным узлам и агрегатам, значительное время, уходившее на их установку и демонтаж.</w:t>
      </w:r>
    </w:p>
    <w:p w14:paraId="0165FF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 не менее машину решили запустить в серийное производство как ДИ-6М-25 (по нормам того времени, в полном обозначении самолета обязательно указывался тип двигателя). Начальник ВВС РККА командарм 2-го ранга Я.И. Алкснис подписал акт по утверждению результатов государственных испытаний, в котором говорилось: "Просить Начальника ГУАПа обязать завод № 39 выпустить в кратчайший срок один из 10 самолетов ДИ-6М-25, заказанных УВВС для войсковых испытаний, как образец для заказа ДИ-6М-25 (двухместный истребитель) на 1936 г." (11992).</w:t>
      </w:r>
    </w:p>
    <w:p w14:paraId="40F75E82" w14:textId="77777777" w:rsidR="00D4105E" w:rsidRPr="00E14102" w:rsidRDefault="00D4105E" w:rsidP="00E14102">
      <w:pPr>
        <w:autoSpaceDE w:val="0"/>
        <w:autoSpaceDN w:val="0"/>
        <w:adjustRightInd w:val="0"/>
        <w:jc w:val="both"/>
        <w:rPr>
          <w:color w:val="000000" w:themeColor="text1"/>
          <w:sz w:val="16"/>
          <w:szCs w:val="16"/>
        </w:rPr>
      </w:pPr>
    </w:p>
    <w:p w14:paraId="6CF17C9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ноября 1935 г. был установлен неофициальный мировой рекорд высоты полета на самолете И-15 с М-22 установил В.К.Коккинаки - 14575 м, Москва, ЦА (6395).</w:t>
      </w:r>
    </w:p>
    <w:p w14:paraId="074495B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D30CC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ноября 1935 года В. К. Коккинаки в открытой кабине специально облегченного самолета И-15 достиг высоты 14 575 метров. Но было очевидно, что это физиологический предел возможностей человека на самолете. Рабочие же полеты совершались на высотах 6—8 километров (11312).</w:t>
      </w:r>
    </w:p>
    <w:p w14:paraId="041B5822" w14:textId="77777777" w:rsidR="00D4105E" w:rsidRPr="00E14102" w:rsidRDefault="00D4105E" w:rsidP="00E14102">
      <w:pPr>
        <w:autoSpaceDE w:val="0"/>
        <w:autoSpaceDN w:val="0"/>
        <w:adjustRightInd w:val="0"/>
        <w:jc w:val="both"/>
        <w:rPr>
          <w:color w:val="000000" w:themeColor="text1"/>
          <w:sz w:val="16"/>
          <w:szCs w:val="16"/>
        </w:rPr>
      </w:pPr>
    </w:p>
    <w:p w14:paraId="2810CB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ноября 1935 г. известный летчик-испытатель Владимир Коккинаки поднялся на этом аппарате на высоту 14575 м, после чего бесшумно спланировал на поле Центрального московского аэродрома. Мировой рекорд итальянского пилота Донатти, установленный в апреле 1934 г., был перекрыт на 142 м. Добавим, что на самом деле этот рекорд стал внутренним достижением советской авиации, так как СССР еще не входил в Международную авиационную федерацию (ФАИ). Первый достигнутый успех внушал уверенность, что самолет можно еще доработать, чтобы получить более высокий результат (12014).</w:t>
      </w:r>
    </w:p>
    <w:p w14:paraId="27496146" w14:textId="77777777" w:rsidR="00D4105E" w:rsidRPr="00E14102" w:rsidRDefault="00D4105E" w:rsidP="00E14102">
      <w:pPr>
        <w:autoSpaceDE w:val="0"/>
        <w:autoSpaceDN w:val="0"/>
        <w:adjustRightInd w:val="0"/>
        <w:jc w:val="both"/>
        <w:rPr>
          <w:color w:val="000000" w:themeColor="text1"/>
          <w:sz w:val="16"/>
          <w:szCs w:val="16"/>
        </w:rPr>
      </w:pPr>
    </w:p>
    <w:p w14:paraId="452587D5" w14:textId="77777777" w:rsidR="00970104" w:rsidRPr="00E14102" w:rsidRDefault="00970104" w:rsidP="00E14102">
      <w:pPr>
        <w:jc w:val="both"/>
        <w:rPr>
          <w:color w:val="000000" w:themeColor="text1"/>
          <w:sz w:val="16"/>
          <w:szCs w:val="16"/>
        </w:rPr>
      </w:pPr>
      <w:r w:rsidRPr="00E14102">
        <w:rPr>
          <w:color w:val="000000" w:themeColor="text1"/>
          <w:sz w:val="16"/>
          <w:szCs w:val="16"/>
        </w:rPr>
        <w:t>21 ноября 1935 г. летчик-испытатель Владимир Коккинаки поднялся на высоту 14 575 м, после чего бесшумно спланировал на поле Центрального аэродрома. Мировой рекорд итальянского пилота Донатти, установленный в апреле 1934 г., был перекрыт на 142 м. Добавим, что на самом деле этот рекорд стал внутренним достижением советской авиации, поскольку СССР тогда ещё не входил в Международную авиационную федерацию (ФАИ) (12261).</w:t>
      </w:r>
    </w:p>
    <w:p w14:paraId="4BD8C235" w14:textId="77777777" w:rsidR="00970104" w:rsidRPr="00E14102" w:rsidRDefault="00970104" w:rsidP="00E14102">
      <w:pPr>
        <w:jc w:val="both"/>
        <w:rPr>
          <w:color w:val="000000" w:themeColor="text1"/>
          <w:sz w:val="16"/>
          <w:szCs w:val="16"/>
        </w:rPr>
      </w:pPr>
    </w:p>
    <w:p w14:paraId="559F3E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ноября 1935 года врид начальника УВС Хрипин писал письмо N ЗП/04164 наркому обороны.</w:t>
      </w:r>
    </w:p>
    <w:p w14:paraId="592207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Доклад.</w:t>
      </w:r>
    </w:p>
    <w:p w14:paraId="097E76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 Коккинаки ведет экспериментальную работу по высотным полетам на самолете И-15, специально приспособленном для этих целей, а именно: с самолета снято все вооружение, установлен мотор Райт-Циклон Ф-54 повышенной мощности (725 л.с. против 635 л.с. у Р.Ц. Ф-53) и высотности (700 л.с. на 5000 м против 635 л.с. на 2750 м), применены точные приборы для определения высоты.</w:t>
      </w:r>
    </w:p>
    <w:p w14:paraId="539F82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Коккинаки 20 ноября с.г. достиг высоты 13000 м (по показателю приборов), т.е. на 790 м выше рекордного подъема летчика Евсеева на том же типе самолета (разоруженном), но с обычным мотором Р-Ц Ф-53.</w:t>
      </w:r>
    </w:p>
    <w:p w14:paraId="295AF9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Коккинаки продолжает работу и 21-го сего ноября должен осуществить новый подъем в стратосферу. (2484,79).</w:t>
      </w:r>
    </w:p>
    <w:p w14:paraId="221C80D5" w14:textId="77777777" w:rsidR="00D4105E" w:rsidRPr="00E14102" w:rsidRDefault="00D4105E" w:rsidP="00E14102">
      <w:pPr>
        <w:autoSpaceDE w:val="0"/>
        <w:autoSpaceDN w:val="0"/>
        <w:adjustRightInd w:val="0"/>
        <w:jc w:val="both"/>
        <w:rPr>
          <w:color w:val="000000" w:themeColor="text1"/>
          <w:sz w:val="16"/>
          <w:szCs w:val="16"/>
        </w:rPr>
      </w:pPr>
    </w:p>
    <w:p w14:paraId="3A8739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ноября 1935 В.К.К. на И-15 установил рекорд высоты в 14575 м (271,158). Летал 62 мин. (438,701).</w:t>
      </w:r>
    </w:p>
    <w:p w14:paraId="70B11B72" w14:textId="77777777" w:rsidR="00D4105E" w:rsidRPr="00E14102" w:rsidRDefault="00D4105E" w:rsidP="00E14102">
      <w:pPr>
        <w:autoSpaceDE w:val="0"/>
        <w:autoSpaceDN w:val="0"/>
        <w:adjustRightInd w:val="0"/>
        <w:jc w:val="both"/>
        <w:rPr>
          <w:color w:val="000000" w:themeColor="text1"/>
          <w:sz w:val="16"/>
          <w:szCs w:val="16"/>
        </w:rPr>
      </w:pPr>
    </w:p>
    <w:p w14:paraId="5576E3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21 ноября 1935 г. известный летчик-испытатель Владимир Кокки-наки забрался на доработанном И-15 на высоту 14575 м, после чего бесшумно спланировал на поле Центрального московского аэродрома. Мировой рекорд итальянского пилота Донатти, установленный в апреле 1934 г., был перекрыт на 142 м. Этот первый успех внушал уверенность, что самолет можно еще доработать, чтобы получить более высокий результат (6593).</w:t>
      </w:r>
    </w:p>
    <w:p w14:paraId="4CF3D5BB" w14:textId="77777777" w:rsidR="00D4105E" w:rsidRPr="00E14102" w:rsidRDefault="00D4105E" w:rsidP="00E14102">
      <w:pPr>
        <w:autoSpaceDE w:val="0"/>
        <w:autoSpaceDN w:val="0"/>
        <w:adjustRightInd w:val="0"/>
        <w:jc w:val="both"/>
        <w:rPr>
          <w:color w:val="000000" w:themeColor="text1"/>
          <w:sz w:val="16"/>
          <w:szCs w:val="16"/>
        </w:rPr>
      </w:pPr>
    </w:p>
    <w:p w14:paraId="415B4CFC" w14:textId="77777777" w:rsidR="00BE5994" w:rsidRPr="00E14102" w:rsidRDefault="00BE5994" w:rsidP="00E14102">
      <w:pPr>
        <w:jc w:val="both"/>
        <w:rPr>
          <w:color w:val="000000" w:themeColor="text1"/>
          <w:sz w:val="16"/>
          <w:szCs w:val="16"/>
        </w:rPr>
      </w:pPr>
      <w:r w:rsidRPr="00E14102">
        <w:rPr>
          <w:bCs/>
          <w:color w:val="000000" w:themeColor="text1"/>
          <w:sz w:val="16"/>
          <w:szCs w:val="16"/>
        </w:rPr>
        <w:t xml:space="preserve">21 ноября </w:t>
      </w:r>
      <w:r w:rsidRPr="00E14102">
        <w:rPr>
          <w:color w:val="000000" w:themeColor="text1"/>
          <w:sz w:val="16"/>
          <w:szCs w:val="16"/>
        </w:rPr>
        <w:t>в 1935 году советский летчик В.К.Коккинаки на самолете «И-15» достиг высоты 14 575 метров и побил мировой рекорд высотного полета на самолете с открытой кабиной (14836).</w:t>
      </w:r>
    </w:p>
    <w:p w14:paraId="66A54885" w14:textId="77777777" w:rsidR="00BE5994" w:rsidRPr="00E14102" w:rsidRDefault="00BE5994" w:rsidP="00E14102">
      <w:pPr>
        <w:jc w:val="both"/>
        <w:rPr>
          <w:color w:val="000000" w:themeColor="text1"/>
          <w:sz w:val="16"/>
          <w:szCs w:val="16"/>
        </w:rPr>
      </w:pPr>
    </w:p>
    <w:p w14:paraId="6DDC0283" w14:textId="77777777" w:rsidR="00BE5994" w:rsidRPr="00E14102" w:rsidRDefault="00BE5994" w:rsidP="00E14102">
      <w:pPr>
        <w:jc w:val="both"/>
        <w:rPr>
          <w:color w:val="000000" w:themeColor="text1"/>
          <w:sz w:val="16"/>
          <w:szCs w:val="16"/>
        </w:rPr>
      </w:pPr>
      <w:r w:rsidRPr="00E14102">
        <w:rPr>
          <w:color w:val="000000" w:themeColor="text1"/>
          <w:sz w:val="16"/>
          <w:szCs w:val="16"/>
        </w:rPr>
        <w:t>21 ноября 1935 г. В.К. Коккинаки поднялся на высоту 14575 м. Полёт продолжался 62 минуты. Однако рекорд не был официально зарегистрирован ФАИ, поскольку СССР на тот момент не входил в эту организацию (вступление произошло в 1 936 г.).</w:t>
      </w:r>
    </w:p>
    <w:p w14:paraId="2C594085" w14:textId="77777777" w:rsidR="00BE5994" w:rsidRPr="00E14102" w:rsidRDefault="00BE5994" w:rsidP="00E14102">
      <w:pPr>
        <w:pStyle w:val="2f0"/>
        <w:shd w:val="clear" w:color="auto" w:fill="auto"/>
        <w:spacing w:after="0" w:line="240" w:lineRule="auto"/>
        <w:jc w:val="both"/>
        <w:rPr>
          <w:b w:val="0"/>
          <w:color w:val="000000" w:themeColor="text1"/>
          <w:sz w:val="16"/>
          <w:szCs w:val="16"/>
        </w:rPr>
      </w:pPr>
      <w:r w:rsidRPr="00E14102">
        <w:rPr>
          <w:rStyle w:val="23"/>
          <w:rFonts w:ascii="Times New Roman" w:eastAsiaTheme="minorHAnsi" w:hAnsi="Times New Roman" w:cs="Times New Roman"/>
          <w:b w:val="0"/>
          <w:i w:val="0"/>
          <w:color w:val="000000" w:themeColor="text1"/>
          <w:sz w:val="16"/>
          <w:szCs w:val="16"/>
        </w:rPr>
        <w:t>ЦКБ-3 представлял собой небольшой одноместный биплан с верхним крылом, выпол</w:t>
      </w:r>
      <w:r w:rsidRPr="00E14102">
        <w:rPr>
          <w:rStyle w:val="23"/>
          <w:rFonts w:ascii="Times New Roman" w:eastAsiaTheme="minorHAnsi" w:hAnsi="Times New Roman" w:cs="Times New Roman"/>
          <w:b w:val="0"/>
          <w:i w:val="0"/>
          <w:color w:val="000000" w:themeColor="text1"/>
          <w:sz w:val="16"/>
          <w:szCs w:val="16"/>
        </w:rPr>
        <w:softHyphen/>
        <w:t>ненным по схеме «чайка». Основным отличием рекордного самолёта стало облегчение кон</w:t>
      </w:r>
      <w:r w:rsidRPr="00E14102">
        <w:rPr>
          <w:rStyle w:val="23"/>
          <w:rFonts w:ascii="Times New Roman" w:eastAsiaTheme="minorHAnsi" w:hAnsi="Times New Roman" w:cs="Times New Roman"/>
          <w:b w:val="0"/>
          <w:i w:val="0"/>
          <w:color w:val="000000" w:themeColor="text1"/>
          <w:sz w:val="16"/>
          <w:szCs w:val="16"/>
        </w:rPr>
        <w:softHyphen/>
        <w:t>струкции. Коккинаки описывал это так:</w:t>
      </w:r>
      <w:r w:rsidRPr="00E14102">
        <w:rPr>
          <w:b w:val="0"/>
          <w:color w:val="000000" w:themeColor="text1"/>
          <w:sz w:val="16"/>
          <w:szCs w:val="16"/>
        </w:rPr>
        <w:t xml:space="preserve"> «Постепенно я убрал с самолёта всё лишнее. После каждого</w:t>
      </w:r>
      <w:r w:rsidRPr="00E14102">
        <w:rPr>
          <w:rStyle w:val="23"/>
          <w:rFonts w:ascii="Times New Roman" w:eastAsiaTheme="minorHAnsi" w:hAnsi="Times New Roman" w:cs="Times New Roman"/>
          <w:b w:val="0"/>
          <w:i w:val="0"/>
          <w:color w:val="000000" w:themeColor="text1"/>
          <w:sz w:val="16"/>
          <w:szCs w:val="16"/>
        </w:rPr>
        <w:t xml:space="preserve"> полёта</w:t>
      </w:r>
      <w:r w:rsidRPr="00E14102">
        <w:rPr>
          <w:b w:val="0"/>
          <w:color w:val="000000" w:themeColor="text1"/>
          <w:sz w:val="16"/>
          <w:szCs w:val="16"/>
        </w:rPr>
        <w:t xml:space="preserve"> смотрел, что ещё можно отодрать. Начал я с крупных вещей, а потом сни</w:t>
      </w:r>
      <w:r w:rsidRPr="00E14102">
        <w:rPr>
          <w:b w:val="0"/>
          <w:color w:val="000000" w:themeColor="text1"/>
          <w:sz w:val="16"/>
          <w:szCs w:val="16"/>
        </w:rPr>
        <w:softHyphen/>
        <w:t>мал детали по 20 граммов: разные хомутики, заклёпочки. Снимал всё, что можно, оставлял только то, что</w:t>
      </w:r>
      <w:r w:rsidRPr="00E14102">
        <w:rPr>
          <w:rStyle w:val="23"/>
          <w:rFonts w:ascii="Times New Roman" w:eastAsiaTheme="minorHAnsi" w:hAnsi="Times New Roman" w:cs="Times New Roman"/>
          <w:b w:val="0"/>
          <w:i w:val="0"/>
          <w:color w:val="000000" w:themeColor="text1"/>
          <w:sz w:val="16"/>
          <w:szCs w:val="16"/>
        </w:rPr>
        <w:t xml:space="preserve"> должно</w:t>
      </w:r>
      <w:r w:rsidRPr="00E14102">
        <w:rPr>
          <w:b w:val="0"/>
          <w:color w:val="000000" w:themeColor="text1"/>
          <w:sz w:val="16"/>
          <w:szCs w:val="16"/>
        </w:rPr>
        <w:t xml:space="preserve"> было сохранить прочность. Педали убрал,</w:t>
      </w:r>
      <w:r w:rsidRPr="00E14102">
        <w:rPr>
          <w:rStyle w:val="23"/>
          <w:rFonts w:ascii="Times New Roman" w:eastAsiaTheme="minorHAnsi" w:hAnsi="Times New Roman" w:cs="Times New Roman"/>
          <w:b w:val="0"/>
          <w:i w:val="0"/>
          <w:color w:val="000000" w:themeColor="text1"/>
          <w:sz w:val="16"/>
          <w:szCs w:val="16"/>
        </w:rPr>
        <w:t xml:space="preserve"> половину</w:t>
      </w:r>
      <w:r w:rsidRPr="00E14102">
        <w:rPr>
          <w:b w:val="0"/>
          <w:color w:val="000000" w:themeColor="text1"/>
          <w:sz w:val="16"/>
          <w:szCs w:val="16"/>
        </w:rPr>
        <w:t xml:space="preserve"> ручки срезал. Всё это было вес, а вес</w:t>
      </w:r>
      <w:r w:rsidRPr="00E14102">
        <w:rPr>
          <w:rStyle w:val="23"/>
          <w:rFonts w:ascii="Times New Roman" w:eastAsiaTheme="minorHAnsi" w:hAnsi="Times New Roman" w:cs="Times New Roman"/>
          <w:b w:val="0"/>
          <w:i w:val="0"/>
          <w:color w:val="000000" w:themeColor="text1"/>
          <w:sz w:val="16"/>
          <w:szCs w:val="16"/>
        </w:rPr>
        <w:t xml:space="preserve"> много</w:t>
      </w:r>
      <w:r w:rsidRPr="00E14102">
        <w:rPr>
          <w:b w:val="0"/>
          <w:color w:val="000000" w:themeColor="text1"/>
          <w:sz w:val="16"/>
          <w:szCs w:val="16"/>
        </w:rPr>
        <w:t xml:space="preserve"> значит на высоте. Раньше никто не додумывался, чтобы поло</w:t>
      </w:r>
      <w:r w:rsidRPr="00E14102">
        <w:rPr>
          <w:b w:val="0"/>
          <w:color w:val="000000" w:themeColor="text1"/>
          <w:sz w:val="16"/>
          <w:szCs w:val="16"/>
        </w:rPr>
        <w:softHyphen/>
        <w:t>вину ручки управления отпилить. Всё это, конечно, пустячки по весу. Сейчас на заводе ле</w:t>
      </w:r>
      <w:r w:rsidRPr="00E14102">
        <w:rPr>
          <w:b w:val="0"/>
          <w:color w:val="000000" w:themeColor="text1"/>
          <w:sz w:val="16"/>
          <w:szCs w:val="16"/>
        </w:rPr>
        <w:softHyphen/>
        <w:t>жит список</w:t>
      </w:r>
      <w:r w:rsidRPr="00E14102">
        <w:rPr>
          <w:rStyle w:val="23"/>
          <w:rFonts w:ascii="Times New Roman" w:eastAsiaTheme="minorHAnsi" w:hAnsi="Times New Roman" w:cs="Times New Roman"/>
          <w:b w:val="0"/>
          <w:i w:val="0"/>
          <w:color w:val="000000" w:themeColor="text1"/>
          <w:sz w:val="16"/>
          <w:szCs w:val="16"/>
        </w:rPr>
        <w:t xml:space="preserve"> снятых</w:t>
      </w:r>
      <w:r w:rsidRPr="00E14102">
        <w:rPr>
          <w:b w:val="0"/>
          <w:color w:val="000000" w:themeColor="text1"/>
          <w:sz w:val="16"/>
          <w:szCs w:val="16"/>
        </w:rPr>
        <w:t xml:space="preserve"> вещей; там есть детали весом в 37, в 25 граммов. К последним полётам я считал достижением, если имел возможность снять такой вес. Сколько весит обыкновенный проводник для сигнального фонаря в крыле?</w:t>
      </w:r>
      <w:r w:rsidRPr="00E14102">
        <w:rPr>
          <w:rStyle w:val="23"/>
          <w:rFonts w:ascii="Times New Roman" w:eastAsiaTheme="minorHAnsi" w:hAnsi="Times New Roman" w:cs="Times New Roman"/>
          <w:b w:val="0"/>
          <w:i w:val="0"/>
          <w:color w:val="000000" w:themeColor="text1"/>
          <w:sz w:val="16"/>
          <w:szCs w:val="16"/>
        </w:rPr>
        <w:t xml:space="preserve"> Очень</w:t>
      </w:r>
      <w:r w:rsidRPr="00E14102">
        <w:rPr>
          <w:b w:val="0"/>
          <w:color w:val="000000" w:themeColor="text1"/>
          <w:sz w:val="16"/>
          <w:szCs w:val="16"/>
        </w:rPr>
        <w:t xml:space="preserve"> немного. Но я и его убрал: вспорол об</w:t>
      </w:r>
      <w:r w:rsidRPr="00E14102">
        <w:rPr>
          <w:b w:val="0"/>
          <w:color w:val="000000" w:themeColor="text1"/>
          <w:sz w:val="16"/>
          <w:szCs w:val="16"/>
        </w:rPr>
        <w:softHyphen/>
        <w:t>шивку и</w:t>
      </w:r>
      <w:r w:rsidRPr="00E14102">
        <w:rPr>
          <w:rStyle w:val="23"/>
          <w:rFonts w:ascii="Times New Roman" w:eastAsiaTheme="minorHAnsi" w:hAnsi="Times New Roman" w:cs="Times New Roman"/>
          <w:b w:val="0"/>
          <w:i w:val="0"/>
          <w:color w:val="000000" w:themeColor="text1"/>
          <w:sz w:val="16"/>
          <w:szCs w:val="16"/>
        </w:rPr>
        <w:t xml:space="preserve"> вытянул оттуда</w:t>
      </w:r>
      <w:r w:rsidRPr="00E14102">
        <w:rPr>
          <w:b w:val="0"/>
          <w:color w:val="000000" w:themeColor="text1"/>
          <w:sz w:val="16"/>
          <w:szCs w:val="16"/>
        </w:rPr>
        <w:t xml:space="preserve"> проводник»</w:t>
      </w:r>
      <w:r w:rsidRPr="00E14102">
        <w:rPr>
          <w:rStyle w:val="23"/>
          <w:rFonts w:ascii="Times New Roman" w:eastAsiaTheme="minorHAnsi" w:hAnsi="Times New Roman" w:cs="Times New Roman"/>
          <w:b w:val="0"/>
          <w:i w:val="0"/>
          <w:color w:val="000000" w:themeColor="text1"/>
          <w:sz w:val="16"/>
          <w:szCs w:val="16"/>
        </w:rPr>
        <w:t xml:space="preserve"> [2]. Для максимального снижения веса краску заменили тонким слоем лака, было снято вооружение, некоторое оборудование, капот двигателя, убрана амортизация шасси [5, с. 22]. Самолёт заправлялся минимальным количеством </w:t>
      </w:r>
      <w:r w:rsidRPr="00E14102">
        <w:rPr>
          <w:b w:val="0"/>
          <w:color w:val="000000" w:themeColor="text1"/>
          <w:sz w:val="16"/>
          <w:szCs w:val="16"/>
        </w:rPr>
        <w:t>топлива и масла, снижение должно было осуществляться планированием. Вместо кресла была установлена лёгкая дощечка, по другим данным - натянут брезент - сам лётчик говорил о «тарелочке» вместо сиденья).</w:t>
      </w:r>
    </w:p>
    <w:p w14:paraId="770CFB90" w14:textId="77777777" w:rsidR="00BE5994" w:rsidRPr="00E14102" w:rsidRDefault="00BE5994" w:rsidP="00E14102">
      <w:pPr>
        <w:jc w:val="both"/>
        <w:rPr>
          <w:color w:val="000000" w:themeColor="text1"/>
          <w:sz w:val="16"/>
          <w:szCs w:val="16"/>
        </w:rPr>
      </w:pPr>
      <w:r w:rsidRPr="00E14102">
        <w:rPr>
          <w:color w:val="000000" w:themeColor="text1"/>
          <w:sz w:val="16"/>
          <w:szCs w:val="16"/>
        </w:rPr>
        <w:t xml:space="preserve">На ЦКБ-3 стоял американский двигатель Райт «Циклон» </w:t>
      </w:r>
      <w:r w:rsidRPr="00E14102">
        <w:rPr>
          <w:color w:val="000000" w:themeColor="text1"/>
          <w:sz w:val="16"/>
          <w:szCs w:val="16"/>
          <w:lang w:val="en-US"/>
        </w:rPr>
        <w:t>SGR</w:t>
      </w:r>
      <w:r w:rsidRPr="00E14102">
        <w:rPr>
          <w:color w:val="000000" w:themeColor="text1"/>
          <w:sz w:val="16"/>
          <w:szCs w:val="16"/>
        </w:rPr>
        <w:t>-1820-</w:t>
      </w:r>
      <w:r w:rsidRPr="00E14102">
        <w:rPr>
          <w:color w:val="000000" w:themeColor="text1"/>
          <w:sz w:val="16"/>
          <w:szCs w:val="16"/>
          <w:lang w:val="en-US"/>
        </w:rPr>
        <w:t>F</w:t>
      </w:r>
      <w:r w:rsidRPr="00E14102">
        <w:rPr>
          <w:color w:val="000000" w:themeColor="text1"/>
          <w:sz w:val="16"/>
          <w:szCs w:val="16"/>
        </w:rPr>
        <w:t>54</w:t>
      </w:r>
      <w:r w:rsidRPr="00E14102">
        <w:rPr>
          <w:rStyle w:val="ae"/>
          <w:rFonts w:ascii="Times New Roman" w:eastAsia="Arial Unicode MS" w:hAnsi="Times New Roman"/>
          <w:i w:val="0"/>
          <w:color w:val="000000" w:themeColor="text1"/>
          <w:sz w:val="16"/>
          <w:szCs w:val="16"/>
        </w:rPr>
        <w:t xml:space="preserve"> номинальной</w:t>
      </w:r>
      <w:r w:rsidRPr="00E14102">
        <w:rPr>
          <w:color w:val="000000" w:themeColor="text1"/>
          <w:sz w:val="16"/>
          <w:szCs w:val="16"/>
        </w:rPr>
        <w:t xml:space="preserve"> мощ</w:t>
      </w:r>
      <w:r w:rsidRPr="00E14102">
        <w:rPr>
          <w:color w:val="000000" w:themeColor="text1"/>
          <w:sz w:val="16"/>
          <w:szCs w:val="16"/>
        </w:rPr>
        <w:softHyphen/>
        <w:t>ностью 690 л.с. и высотностью 4940 м. Если обычно для высотных полётов площадь радиаторов или их количество увеличивали для лучшего охлаждения в разреженном воздухе, то Коккинаки, напротив, снял маслорадиатор для снижения веса.</w:t>
      </w:r>
    </w:p>
    <w:p w14:paraId="481BCDEE" w14:textId="77777777" w:rsidR="00BE5994" w:rsidRPr="00E14102" w:rsidRDefault="00BE5994" w:rsidP="00E14102">
      <w:pPr>
        <w:jc w:val="both"/>
        <w:rPr>
          <w:color w:val="000000" w:themeColor="text1"/>
          <w:sz w:val="16"/>
          <w:szCs w:val="16"/>
        </w:rPr>
      </w:pPr>
      <w:r w:rsidRPr="00E14102">
        <w:rPr>
          <w:color w:val="000000" w:themeColor="text1"/>
          <w:sz w:val="16"/>
          <w:szCs w:val="16"/>
        </w:rPr>
        <w:t>Лётчик тщательнейшим образом готовился к установлению рекорда высоты. Помимо по</w:t>
      </w:r>
      <w:r w:rsidRPr="00E14102">
        <w:rPr>
          <w:color w:val="000000" w:themeColor="text1"/>
          <w:sz w:val="16"/>
          <w:szCs w:val="16"/>
        </w:rPr>
        <w:softHyphen/>
        <w:t>степенного уменьшения веса самолёта, в пробных полётах он подбирал соответствующие ми</w:t>
      </w:r>
      <w:r w:rsidRPr="00E14102">
        <w:rPr>
          <w:color w:val="000000" w:themeColor="text1"/>
          <w:sz w:val="16"/>
          <w:szCs w:val="16"/>
        </w:rPr>
        <w:softHyphen/>
        <w:t>нимальному запасу топлива и масла режимы работы двигателя (расчётное время рекордного полёта было определено как 62-67 минут), не имея теоретических расчётов искал оптималь</w:t>
      </w:r>
      <w:r w:rsidRPr="00E14102">
        <w:rPr>
          <w:color w:val="000000" w:themeColor="text1"/>
          <w:sz w:val="16"/>
          <w:szCs w:val="16"/>
        </w:rPr>
        <w:softHyphen/>
        <w:t>ный шаг винта, отрабатывал полёт без радиатора, посадку без двигателя на самолёте со сме</w:t>
      </w:r>
      <w:r w:rsidRPr="00E14102">
        <w:rPr>
          <w:color w:val="000000" w:themeColor="text1"/>
          <w:sz w:val="16"/>
          <w:szCs w:val="16"/>
        </w:rPr>
        <w:softHyphen/>
        <w:t>щённым вперёд из-за облегчения центром тяжести.</w:t>
      </w:r>
    </w:p>
    <w:p w14:paraId="6DB7FECC" w14:textId="77777777" w:rsidR="00BE5994" w:rsidRPr="00E14102" w:rsidRDefault="00BE5994" w:rsidP="00E14102">
      <w:pPr>
        <w:pStyle w:val="2f0"/>
        <w:shd w:val="clear" w:color="auto" w:fill="auto"/>
        <w:spacing w:after="0" w:line="240" w:lineRule="auto"/>
        <w:jc w:val="both"/>
        <w:rPr>
          <w:b w:val="0"/>
          <w:color w:val="000000" w:themeColor="text1"/>
          <w:sz w:val="16"/>
          <w:szCs w:val="16"/>
        </w:rPr>
      </w:pPr>
      <w:r w:rsidRPr="00E14102">
        <w:rPr>
          <w:rStyle w:val="23"/>
          <w:rFonts w:ascii="Times New Roman" w:eastAsiaTheme="minorHAnsi" w:hAnsi="Times New Roman" w:cs="Times New Roman"/>
          <w:b w:val="0"/>
          <w:i w:val="0"/>
          <w:color w:val="000000" w:themeColor="text1"/>
          <w:sz w:val="16"/>
          <w:szCs w:val="16"/>
        </w:rPr>
        <w:t>Коккинаки пришлось готовить и тренировать собственный организм: «Начал я планиро</w:t>
      </w:r>
      <w:r w:rsidRPr="00E14102">
        <w:rPr>
          <w:rStyle w:val="23"/>
          <w:rFonts w:ascii="Times New Roman" w:eastAsiaTheme="minorHAnsi" w:hAnsi="Times New Roman" w:cs="Times New Roman"/>
          <w:b w:val="0"/>
          <w:i w:val="0"/>
          <w:color w:val="000000" w:themeColor="text1"/>
          <w:sz w:val="16"/>
          <w:szCs w:val="16"/>
        </w:rPr>
        <w:softHyphen/>
        <w:t>вать</w:t>
      </w:r>
      <w:r w:rsidRPr="00E14102">
        <w:rPr>
          <w:b w:val="0"/>
          <w:color w:val="000000" w:themeColor="text1"/>
          <w:sz w:val="16"/>
          <w:szCs w:val="16"/>
        </w:rPr>
        <w:t xml:space="preserve"> свой рабочий день. Перенёс начало дня на более позднее время. Рано утром не всег</w:t>
      </w:r>
      <w:r w:rsidRPr="00E14102">
        <w:rPr>
          <w:b w:val="0"/>
          <w:color w:val="000000" w:themeColor="text1"/>
          <w:sz w:val="16"/>
          <w:szCs w:val="16"/>
        </w:rPr>
        <w:softHyphen/>
        <w:t>да успеют подготовить самолёт - время уходит попусту. Я поднимался в</w:t>
      </w:r>
      <w:r w:rsidRPr="00E14102">
        <w:rPr>
          <w:rStyle w:val="23"/>
          <w:rFonts w:ascii="Times New Roman" w:eastAsiaTheme="minorHAnsi" w:hAnsi="Times New Roman" w:cs="Times New Roman"/>
          <w:b w:val="0"/>
          <w:i w:val="0"/>
          <w:color w:val="000000" w:themeColor="text1"/>
          <w:sz w:val="16"/>
          <w:szCs w:val="16"/>
        </w:rPr>
        <w:t xml:space="preserve"> 9-9 с</w:t>
      </w:r>
      <w:r w:rsidRPr="00E14102">
        <w:rPr>
          <w:b w:val="0"/>
          <w:color w:val="000000" w:themeColor="text1"/>
          <w:sz w:val="16"/>
          <w:szCs w:val="16"/>
        </w:rPr>
        <w:t xml:space="preserve"> половиной часов, ложился спать в 2 часа ночи. Таким образом, определилось, что наивыгоднейшее время для полёта на</w:t>
      </w:r>
      <w:r w:rsidRPr="00E14102">
        <w:rPr>
          <w:rStyle w:val="23"/>
          <w:rFonts w:ascii="Times New Roman" w:eastAsiaTheme="minorHAnsi" w:hAnsi="Times New Roman" w:cs="Times New Roman"/>
          <w:b w:val="0"/>
          <w:i w:val="0"/>
          <w:color w:val="000000" w:themeColor="text1"/>
          <w:sz w:val="16"/>
          <w:szCs w:val="16"/>
        </w:rPr>
        <w:t xml:space="preserve"> высоту - это</w:t>
      </w:r>
      <w:r w:rsidRPr="00E14102">
        <w:rPr>
          <w:b w:val="0"/>
          <w:color w:val="000000" w:themeColor="text1"/>
          <w:sz w:val="16"/>
          <w:szCs w:val="16"/>
        </w:rPr>
        <w:t xml:space="preserve"> 12-13 часов. Приняв пищу в 10 часов утра, я не успевал устать до полёта. Никаких ощущений недомогания не было. Было ровное и спокойное со</w:t>
      </w:r>
      <w:r w:rsidRPr="00E14102">
        <w:rPr>
          <w:b w:val="0"/>
          <w:color w:val="000000" w:themeColor="text1"/>
          <w:sz w:val="16"/>
          <w:szCs w:val="16"/>
        </w:rPr>
        <w:softHyphen/>
        <w:t xml:space="preserve">стояние, что и требовалось. Постепенно </w:t>
      </w:r>
      <w:r w:rsidRPr="00E14102">
        <w:rPr>
          <w:rStyle w:val="23"/>
          <w:rFonts w:ascii="Times New Roman" w:eastAsiaTheme="minorHAnsi" w:hAnsi="Times New Roman" w:cs="Times New Roman"/>
          <w:b w:val="0"/>
          <w:i w:val="0"/>
          <w:color w:val="000000" w:themeColor="text1"/>
          <w:sz w:val="16"/>
          <w:szCs w:val="16"/>
        </w:rPr>
        <w:t>я</w:t>
      </w:r>
      <w:r w:rsidRPr="00E14102">
        <w:rPr>
          <w:b w:val="0"/>
          <w:color w:val="000000" w:themeColor="text1"/>
          <w:sz w:val="16"/>
          <w:szCs w:val="16"/>
        </w:rPr>
        <w:t xml:space="preserve"> сокращал утренний приём пищи и до</w:t>
      </w:r>
      <w:r w:rsidRPr="00E14102">
        <w:rPr>
          <w:b w:val="0"/>
          <w:color w:val="000000" w:themeColor="text1"/>
          <w:sz w:val="16"/>
          <w:szCs w:val="16"/>
        </w:rPr>
        <w:softHyphen/>
        <w:t>вёл его до одного стакана какао.</w:t>
      </w:r>
    </w:p>
    <w:p w14:paraId="46B6C20F" w14:textId="77777777" w:rsidR="00BE5994" w:rsidRPr="00E14102" w:rsidRDefault="00BE5994" w:rsidP="00E14102">
      <w:pPr>
        <w:pStyle w:val="2f0"/>
        <w:shd w:val="clear" w:color="auto" w:fill="auto"/>
        <w:spacing w:after="0" w:line="240" w:lineRule="auto"/>
        <w:jc w:val="both"/>
        <w:rPr>
          <w:b w:val="0"/>
          <w:color w:val="000000" w:themeColor="text1"/>
          <w:sz w:val="16"/>
          <w:szCs w:val="16"/>
        </w:rPr>
      </w:pPr>
      <w:r w:rsidRPr="00E14102">
        <w:rPr>
          <w:b w:val="0"/>
          <w:color w:val="000000" w:themeColor="text1"/>
          <w:sz w:val="16"/>
          <w:szCs w:val="16"/>
        </w:rPr>
        <w:t>Плотно поесть нехорошо: переполнен</w:t>
      </w:r>
      <w:r w:rsidRPr="00E14102">
        <w:rPr>
          <w:b w:val="0"/>
          <w:color w:val="000000" w:themeColor="text1"/>
          <w:sz w:val="16"/>
          <w:szCs w:val="16"/>
        </w:rPr>
        <w:softHyphen/>
        <w:t>ный желудок сказывается на высоте -</w:t>
      </w:r>
      <w:r w:rsidRPr="00E14102">
        <w:rPr>
          <w:rStyle w:val="23"/>
          <w:rFonts w:ascii="Times New Roman" w:eastAsiaTheme="minorHAnsi" w:hAnsi="Times New Roman" w:cs="Times New Roman"/>
          <w:b w:val="0"/>
          <w:i w:val="0"/>
          <w:color w:val="000000" w:themeColor="text1"/>
          <w:sz w:val="16"/>
          <w:szCs w:val="16"/>
        </w:rPr>
        <w:t xml:space="preserve"> по</w:t>
      </w:r>
      <w:r w:rsidRPr="00E14102">
        <w:rPr>
          <w:rStyle w:val="23"/>
          <w:rFonts w:ascii="Times New Roman" w:eastAsiaTheme="minorHAnsi" w:hAnsi="Times New Roman" w:cs="Times New Roman"/>
          <w:b w:val="0"/>
          <w:i w:val="0"/>
          <w:color w:val="000000" w:themeColor="text1"/>
          <w:sz w:val="16"/>
          <w:szCs w:val="16"/>
        </w:rPr>
        <w:softHyphen/>
        <w:t>являются боли, рези.</w:t>
      </w:r>
      <w:r w:rsidRPr="00E14102">
        <w:rPr>
          <w:b w:val="0"/>
          <w:color w:val="000000" w:themeColor="text1"/>
          <w:sz w:val="16"/>
          <w:szCs w:val="16"/>
        </w:rPr>
        <w:t xml:space="preserve"> Если совсем</w:t>
      </w:r>
      <w:r w:rsidRPr="00E14102">
        <w:rPr>
          <w:rStyle w:val="23"/>
          <w:rFonts w:ascii="Times New Roman" w:eastAsiaTheme="minorHAnsi" w:hAnsi="Times New Roman" w:cs="Times New Roman"/>
          <w:b w:val="0"/>
          <w:i w:val="0"/>
          <w:color w:val="000000" w:themeColor="text1"/>
          <w:sz w:val="16"/>
          <w:szCs w:val="16"/>
        </w:rPr>
        <w:t xml:space="preserve"> ничего </w:t>
      </w:r>
      <w:r w:rsidRPr="00E14102">
        <w:rPr>
          <w:b w:val="0"/>
          <w:color w:val="000000" w:themeColor="text1"/>
          <w:sz w:val="16"/>
          <w:szCs w:val="16"/>
        </w:rPr>
        <w:t xml:space="preserve">не есть, тоже плохо: появляется ощущение </w:t>
      </w:r>
      <w:r w:rsidRPr="00E14102">
        <w:rPr>
          <w:rStyle w:val="23"/>
          <w:rFonts w:ascii="Times New Roman" w:eastAsiaTheme="minorHAnsi" w:hAnsi="Times New Roman" w:cs="Times New Roman"/>
          <w:b w:val="0"/>
          <w:i w:val="0"/>
          <w:color w:val="000000" w:themeColor="text1"/>
          <w:sz w:val="16"/>
          <w:szCs w:val="16"/>
        </w:rPr>
        <w:t>-олода и на высоте усиливается нестерпи</w:t>
      </w:r>
      <w:r w:rsidRPr="00E14102">
        <w:rPr>
          <w:rStyle w:val="23"/>
          <w:rFonts w:ascii="Times New Roman" w:eastAsiaTheme="minorHAnsi" w:hAnsi="Times New Roman" w:cs="Times New Roman"/>
          <w:b w:val="0"/>
          <w:i w:val="0"/>
          <w:color w:val="000000" w:themeColor="text1"/>
          <w:sz w:val="16"/>
          <w:szCs w:val="16"/>
        </w:rPr>
        <w:softHyphen/>
        <w:t>мо.</w:t>
      </w:r>
      <w:r w:rsidRPr="00E14102">
        <w:rPr>
          <w:b w:val="0"/>
          <w:color w:val="000000" w:themeColor="text1"/>
          <w:sz w:val="16"/>
          <w:szCs w:val="16"/>
        </w:rPr>
        <w:t xml:space="preserve"> Я стремился к спокойному, нормаль</w:t>
      </w:r>
      <w:r w:rsidRPr="00E14102">
        <w:rPr>
          <w:b w:val="0"/>
          <w:color w:val="000000" w:themeColor="text1"/>
          <w:sz w:val="16"/>
          <w:szCs w:val="16"/>
        </w:rPr>
        <w:softHyphen/>
        <w:t>ному состоянию и добился того, что</w:t>
      </w:r>
      <w:r w:rsidRPr="00E14102">
        <w:rPr>
          <w:rStyle w:val="23"/>
          <w:rFonts w:ascii="Times New Roman" w:eastAsiaTheme="minorHAnsi" w:hAnsi="Times New Roman" w:cs="Times New Roman"/>
          <w:b w:val="0"/>
          <w:i w:val="0"/>
          <w:color w:val="000000" w:themeColor="text1"/>
          <w:sz w:val="16"/>
          <w:szCs w:val="16"/>
        </w:rPr>
        <w:t xml:space="preserve"> во зремя</w:t>
      </w:r>
      <w:r w:rsidRPr="00E14102">
        <w:rPr>
          <w:b w:val="0"/>
          <w:color w:val="000000" w:themeColor="text1"/>
          <w:sz w:val="16"/>
          <w:szCs w:val="16"/>
        </w:rPr>
        <w:t xml:space="preserve"> полёта у меня нет никаких желаний, стремлений.</w:t>
      </w:r>
    </w:p>
    <w:p w14:paraId="6C3F8D4B" w14:textId="77777777" w:rsidR="00BE5994" w:rsidRPr="00E14102" w:rsidRDefault="00BE5994" w:rsidP="00E14102">
      <w:pPr>
        <w:pStyle w:val="2f0"/>
        <w:shd w:val="clear" w:color="auto" w:fill="auto"/>
        <w:spacing w:after="0" w:line="240" w:lineRule="auto"/>
        <w:jc w:val="both"/>
        <w:rPr>
          <w:b w:val="0"/>
          <w:color w:val="000000" w:themeColor="text1"/>
          <w:sz w:val="16"/>
          <w:szCs w:val="16"/>
        </w:rPr>
      </w:pPr>
      <w:r w:rsidRPr="00E14102">
        <w:rPr>
          <w:b w:val="0"/>
          <w:color w:val="000000" w:themeColor="text1"/>
          <w:sz w:val="16"/>
          <w:szCs w:val="16"/>
        </w:rPr>
        <w:t>В течение всего лета</w:t>
      </w:r>
      <w:r w:rsidRPr="00E14102">
        <w:rPr>
          <w:rStyle w:val="23"/>
          <w:rFonts w:ascii="Times New Roman" w:eastAsiaTheme="minorHAnsi" w:hAnsi="Times New Roman" w:cs="Times New Roman"/>
          <w:b w:val="0"/>
          <w:i w:val="0"/>
          <w:color w:val="000000" w:themeColor="text1"/>
          <w:sz w:val="16"/>
          <w:szCs w:val="16"/>
        </w:rPr>
        <w:t xml:space="preserve"> я</w:t>
      </w:r>
      <w:r w:rsidRPr="00E14102">
        <w:rPr>
          <w:b w:val="0"/>
          <w:color w:val="000000" w:themeColor="text1"/>
          <w:sz w:val="16"/>
          <w:szCs w:val="16"/>
        </w:rPr>
        <w:t xml:space="preserve"> выпивал утром стакан какао и этим в 12-13 часов обе</w:t>
      </w:r>
      <w:r w:rsidRPr="00E14102">
        <w:rPr>
          <w:b w:val="0"/>
          <w:color w:val="000000" w:themeColor="text1"/>
          <w:sz w:val="16"/>
          <w:szCs w:val="16"/>
        </w:rPr>
        <w:softHyphen/>
        <w:t>спечивал себе свободный желудок и хоро</w:t>
      </w:r>
      <w:r w:rsidRPr="00E14102">
        <w:rPr>
          <w:b w:val="0"/>
          <w:color w:val="000000" w:themeColor="text1"/>
          <w:sz w:val="16"/>
          <w:szCs w:val="16"/>
        </w:rPr>
        <w:softHyphen/>
        <w:t>шее настроение.</w:t>
      </w:r>
    </w:p>
    <w:p w14:paraId="5D1C59E6" w14:textId="77777777" w:rsidR="00BE5994" w:rsidRPr="00E14102" w:rsidRDefault="00BE5994" w:rsidP="00E14102">
      <w:pPr>
        <w:pStyle w:val="2f0"/>
        <w:shd w:val="clear" w:color="auto" w:fill="auto"/>
        <w:spacing w:after="0" w:line="240" w:lineRule="auto"/>
        <w:jc w:val="both"/>
        <w:rPr>
          <w:b w:val="0"/>
          <w:color w:val="000000" w:themeColor="text1"/>
          <w:sz w:val="16"/>
          <w:szCs w:val="16"/>
        </w:rPr>
      </w:pPr>
      <w:r w:rsidRPr="00E14102">
        <w:rPr>
          <w:b w:val="0"/>
          <w:color w:val="000000" w:themeColor="text1"/>
          <w:sz w:val="16"/>
          <w:szCs w:val="16"/>
        </w:rPr>
        <w:t>Обед я постепенно отодвигал на бо</w:t>
      </w:r>
      <w:r w:rsidRPr="00E14102">
        <w:rPr>
          <w:b w:val="0"/>
          <w:color w:val="000000" w:themeColor="text1"/>
          <w:sz w:val="16"/>
          <w:szCs w:val="16"/>
        </w:rPr>
        <w:softHyphen/>
        <w:t>лее позднее время. Отложил его до 6-7 часов вечера. Желание поесть начиналось у меня с 4 часов, усиливалось в 5, и в 6 часов я садился обедать. В 12-13 часов никаких забот о пище, никаких желаний</w:t>
      </w:r>
      <w:r w:rsidRPr="00E14102">
        <w:rPr>
          <w:rStyle w:val="23"/>
          <w:rFonts w:ascii="Times New Roman" w:eastAsiaTheme="minorHAnsi" w:hAnsi="Times New Roman" w:cs="Times New Roman"/>
          <w:b w:val="0"/>
          <w:i w:val="0"/>
          <w:color w:val="000000" w:themeColor="text1"/>
          <w:sz w:val="16"/>
          <w:szCs w:val="16"/>
        </w:rPr>
        <w:t xml:space="preserve"> не</w:t>
      </w:r>
      <w:r w:rsidRPr="00E14102">
        <w:rPr>
          <w:b w:val="0"/>
          <w:color w:val="000000" w:themeColor="text1"/>
          <w:sz w:val="16"/>
          <w:szCs w:val="16"/>
        </w:rPr>
        <w:t xml:space="preserve"> зарождалось. Это дело я отрегулировал, как часы.</w:t>
      </w:r>
    </w:p>
    <w:p w14:paraId="23B1BCE0" w14:textId="77777777" w:rsidR="00BE5994" w:rsidRPr="00E14102" w:rsidRDefault="00BE5994" w:rsidP="00E14102">
      <w:pPr>
        <w:pStyle w:val="2f0"/>
        <w:shd w:val="clear" w:color="auto" w:fill="auto"/>
        <w:spacing w:after="0" w:line="240" w:lineRule="auto"/>
        <w:jc w:val="both"/>
        <w:rPr>
          <w:b w:val="0"/>
          <w:color w:val="000000" w:themeColor="text1"/>
          <w:sz w:val="16"/>
          <w:szCs w:val="16"/>
        </w:rPr>
      </w:pPr>
      <w:r w:rsidRPr="00E14102">
        <w:rPr>
          <w:b w:val="0"/>
          <w:color w:val="000000" w:themeColor="text1"/>
          <w:sz w:val="16"/>
          <w:szCs w:val="16"/>
        </w:rPr>
        <w:t>В это время я не пил и никому не советую. Я</w:t>
      </w:r>
      <w:r w:rsidRPr="00E14102">
        <w:rPr>
          <w:rStyle w:val="23"/>
          <w:rFonts w:ascii="Times New Roman" w:eastAsiaTheme="minorHAnsi" w:hAnsi="Times New Roman" w:cs="Times New Roman"/>
          <w:b w:val="0"/>
          <w:i w:val="0"/>
          <w:color w:val="000000" w:themeColor="text1"/>
          <w:sz w:val="16"/>
          <w:szCs w:val="16"/>
        </w:rPr>
        <w:t xml:space="preserve"> проверял</w:t>
      </w:r>
      <w:r w:rsidRPr="00E14102">
        <w:rPr>
          <w:b w:val="0"/>
          <w:color w:val="000000" w:themeColor="text1"/>
          <w:sz w:val="16"/>
          <w:szCs w:val="16"/>
        </w:rPr>
        <w:t xml:space="preserve"> это: вечером</w:t>
      </w:r>
      <w:r w:rsidRPr="00E14102">
        <w:rPr>
          <w:rStyle w:val="23"/>
          <w:rFonts w:ascii="Times New Roman" w:eastAsiaTheme="minorHAnsi" w:hAnsi="Times New Roman" w:cs="Times New Roman"/>
          <w:b w:val="0"/>
          <w:i w:val="0"/>
          <w:color w:val="000000" w:themeColor="text1"/>
          <w:sz w:val="16"/>
          <w:szCs w:val="16"/>
        </w:rPr>
        <w:t xml:space="preserve"> выпил</w:t>
      </w:r>
      <w:r w:rsidRPr="00E14102">
        <w:rPr>
          <w:b w:val="0"/>
          <w:color w:val="000000" w:themeColor="text1"/>
          <w:sz w:val="16"/>
          <w:szCs w:val="16"/>
        </w:rPr>
        <w:t xml:space="preserve"> бутылку вина, а наутро</w:t>
      </w:r>
      <w:r w:rsidRPr="00E14102">
        <w:rPr>
          <w:rStyle w:val="23"/>
          <w:rFonts w:ascii="Times New Roman" w:eastAsiaTheme="minorHAnsi" w:hAnsi="Times New Roman" w:cs="Times New Roman"/>
          <w:b w:val="0"/>
          <w:i w:val="0"/>
          <w:color w:val="000000" w:themeColor="text1"/>
          <w:sz w:val="16"/>
          <w:szCs w:val="16"/>
        </w:rPr>
        <w:t xml:space="preserve"> пошел в</w:t>
      </w:r>
      <w:r w:rsidRPr="00E14102">
        <w:rPr>
          <w:b w:val="0"/>
          <w:color w:val="000000" w:themeColor="text1"/>
          <w:sz w:val="16"/>
          <w:szCs w:val="16"/>
        </w:rPr>
        <w:t xml:space="preserve"> барокамеру, где меня подвергли высотному давлению, мне тут же стало плохо. </w:t>
      </w:r>
      <w:r w:rsidRPr="00E14102">
        <w:rPr>
          <w:rStyle w:val="295pt"/>
          <w:rFonts w:ascii="Times New Roman" w:hAnsi="Times New Roman" w:cs="Times New Roman"/>
          <w:color w:val="000000" w:themeColor="text1"/>
          <w:sz w:val="16"/>
          <w:szCs w:val="16"/>
        </w:rPr>
        <w:t>В</w:t>
      </w:r>
      <w:r w:rsidRPr="00E14102">
        <w:rPr>
          <w:b w:val="0"/>
          <w:color w:val="000000" w:themeColor="text1"/>
          <w:sz w:val="16"/>
          <w:szCs w:val="16"/>
        </w:rPr>
        <w:t xml:space="preserve"> барокамере я проверил, что выпитое вино отзывается не только на следующий день, но</w:t>
      </w:r>
      <w:r w:rsidRPr="00E14102">
        <w:rPr>
          <w:rStyle w:val="23"/>
          <w:rFonts w:ascii="Times New Roman" w:eastAsiaTheme="minorHAnsi" w:hAnsi="Times New Roman" w:cs="Times New Roman"/>
          <w:b w:val="0"/>
          <w:i w:val="0"/>
          <w:color w:val="000000" w:themeColor="text1"/>
          <w:sz w:val="16"/>
          <w:szCs w:val="16"/>
        </w:rPr>
        <w:t xml:space="preserve"> дей</w:t>
      </w:r>
      <w:r w:rsidRPr="00E14102">
        <w:rPr>
          <w:rStyle w:val="23"/>
          <w:rFonts w:ascii="Times New Roman" w:eastAsiaTheme="minorHAnsi" w:hAnsi="Times New Roman" w:cs="Times New Roman"/>
          <w:b w:val="0"/>
          <w:i w:val="0"/>
          <w:color w:val="000000" w:themeColor="text1"/>
          <w:sz w:val="16"/>
          <w:szCs w:val="16"/>
        </w:rPr>
        <w:softHyphen/>
        <w:t>ствует двое суток. Поэтому я изъял алкоголь</w:t>
      </w:r>
      <w:r w:rsidRPr="00E14102">
        <w:rPr>
          <w:b w:val="0"/>
          <w:color w:val="000000" w:themeColor="text1"/>
          <w:sz w:val="16"/>
          <w:szCs w:val="16"/>
        </w:rPr>
        <w:t xml:space="preserve"> из своего употребления»</w:t>
      </w:r>
      <w:r w:rsidRPr="00E14102">
        <w:rPr>
          <w:rStyle w:val="23"/>
          <w:rFonts w:ascii="Times New Roman" w:eastAsiaTheme="minorHAnsi" w:hAnsi="Times New Roman" w:cs="Times New Roman"/>
          <w:b w:val="0"/>
          <w:i w:val="0"/>
          <w:color w:val="000000" w:themeColor="text1"/>
          <w:sz w:val="16"/>
          <w:szCs w:val="16"/>
        </w:rPr>
        <w:t>.</w:t>
      </w:r>
    </w:p>
    <w:p w14:paraId="74A79B90" w14:textId="77777777" w:rsidR="00BE5994" w:rsidRPr="00E14102" w:rsidRDefault="00BE5994" w:rsidP="00E14102">
      <w:pPr>
        <w:jc w:val="both"/>
        <w:rPr>
          <w:color w:val="000000" w:themeColor="text1"/>
          <w:sz w:val="16"/>
          <w:szCs w:val="16"/>
        </w:rPr>
      </w:pPr>
      <w:r w:rsidRPr="00E14102">
        <w:rPr>
          <w:color w:val="000000" w:themeColor="text1"/>
          <w:sz w:val="16"/>
          <w:szCs w:val="16"/>
        </w:rPr>
        <w:t>Защищавшая от</w:t>
      </w:r>
      <w:r w:rsidRPr="00E14102">
        <w:rPr>
          <w:rStyle w:val="ae"/>
          <w:rFonts w:ascii="Times New Roman" w:eastAsia="Arial Unicode MS" w:hAnsi="Times New Roman"/>
          <w:i w:val="0"/>
          <w:color w:val="000000" w:themeColor="text1"/>
          <w:sz w:val="16"/>
          <w:szCs w:val="16"/>
        </w:rPr>
        <w:t xml:space="preserve"> холода одежда</w:t>
      </w:r>
      <w:r w:rsidRPr="00E14102">
        <w:rPr>
          <w:color w:val="000000" w:themeColor="text1"/>
          <w:sz w:val="16"/>
          <w:szCs w:val="16"/>
        </w:rPr>
        <w:t xml:space="preserve"> включала тёплый комбинезон из овчины, меховой шлем, . поверх шерстяных перчаток надевались меховые, поверх шёлковых чулок - меховые чулки, на </w:t>
      </w:r>
      <w:r w:rsidRPr="00E14102">
        <w:rPr>
          <w:rStyle w:val="0pt0"/>
          <w:rFonts w:eastAsia="Arial Unicode MS"/>
          <w:b w:val="0"/>
          <w:color w:val="000000" w:themeColor="text1"/>
          <w:spacing w:val="0"/>
          <w:sz w:val="16"/>
          <w:szCs w:val="16"/>
        </w:rPr>
        <w:t>йогах</w:t>
      </w:r>
      <w:r w:rsidRPr="00E14102">
        <w:rPr>
          <w:color w:val="000000" w:themeColor="text1"/>
          <w:sz w:val="16"/>
          <w:szCs w:val="16"/>
        </w:rPr>
        <w:t xml:space="preserve"> лётчик носил двухсторонние меховые унты. Несмотря на борьбу за каждый грамм веса, Коккинаки решил для большей надёжности взять на борт второй кислородный баллон и второй вислородный прибор, весившие 8-9 кг. Этот шаг оказался оправдан - в рекордном полёте из баллона перестал подаваться кислород. Во время тренировок Коккинаки столкнулся с обледе</w:t>
      </w:r>
      <w:r w:rsidRPr="00E14102">
        <w:rPr>
          <w:color w:val="000000" w:themeColor="text1"/>
          <w:sz w:val="16"/>
          <w:szCs w:val="16"/>
        </w:rPr>
        <w:softHyphen/>
      </w:r>
      <w:r w:rsidRPr="00E14102">
        <w:rPr>
          <w:rStyle w:val="0pt0"/>
          <w:rFonts w:eastAsia="Arial Unicode MS"/>
          <w:b w:val="0"/>
          <w:color w:val="000000" w:themeColor="text1"/>
          <w:spacing w:val="0"/>
          <w:sz w:val="16"/>
          <w:szCs w:val="16"/>
        </w:rPr>
        <w:t>нением</w:t>
      </w:r>
      <w:r w:rsidRPr="00E14102">
        <w:rPr>
          <w:color w:val="000000" w:themeColor="text1"/>
          <w:sz w:val="16"/>
          <w:szCs w:val="16"/>
        </w:rPr>
        <w:t xml:space="preserve"> стёкол очков и отверстий кислородной маски, предназначенных для выхода выдыхаемо</w:t>
      </w:r>
      <w:r w:rsidRPr="00E14102">
        <w:rPr>
          <w:color w:val="000000" w:themeColor="text1"/>
          <w:sz w:val="16"/>
          <w:szCs w:val="16"/>
        </w:rPr>
        <w:softHyphen/>
        <w:t>го воздуха. Тогда он решил брать с собой шило для удаления льда</w:t>
      </w:r>
      <w:r w:rsidRPr="00E14102">
        <w:rPr>
          <w:rStyle w:val="ae"/>
          <w:rFonts w:ascii="Times New Roman" w:eastAsia="Arial Unicode MS" w:hAnsi="Times New Roman"/>
          <w:i w:val="0"/>
          <w:color w:val="000000" w:themeColor="text1"/>
          <w:sz w:val="16"/>
          <w:szCs w:val="16"/>
        </w:rPr>
        <w:t xml:space="preserve"> из</w:t>
      </w:r>
      <w:r w:rsidRPr="00E14102">
        <w:rPr>
          <w:color w:val="000000" w:themeColor="text1"/>
          <w:sz w:val="16"/>
          <w:szCs w:val="16"/>
        </w:rPr>
        <w:t xml:space="preserve"> отверстий</w:t>
      </w:r>
      <w:r w:rsidRPr="00E14102">
        <w:rPr>
          <w:rStyle w:val="ae"/>
          <w:rFonts w:ascii="Times New Roman" w:eastAsia="Arial Unicode MS" w:hAnsi="Times New Roman"/>
          <w:i w:val="0"/>
          <w:color w:val="000000" w:themeColor="text1"/>
          <w:sz w:val="16"/>
          <w:szCs w:val="16"/>
        </w:rPr>
        <w:t xml:space="preserve"> маски, а</w:t>
      </w:r>
      <w:r w:rsidRPr="00E14102">
        <w:rPr>
          <w:color w:val="000000" w:themeColor="text1"/>
          <w:sz w:val="16"/>
          <w:szCs w:val="16"/>
        </w:rPr>
        <w:t xml:space="preserve"> полёты выполнять без очков.</w:t>
      </w:r>
    </w:p>
    <w:p w14:paraId="5D07DA5F" w14:textId="77777777" w:rsidR="00BE5994" w:rsidRPr="00E14102" w:rsidRDefault="00BE5994" w:rsidP="00E14102">
      <w:pPr>
        <w:jc w:val="both"/>
        <w:rPr>
          <w:color w:val="000000" w:themeColor="text1"/>
          <w:sz w:val="16"/>
          <w:szCs w:val="16"/>
        </w:rPr>
      </w:pPr>
      <w:r w:rsidRPr="00E14102">
        <w:rPr>
          <w:rStyle w:val="23"/>
          <w:rFonts w:ascii="Times New Roman" w:eastAsia="Arial Unicode MS" w:hAnsi="Times New Roman" w:cs="Times New Roman"/>
          <w:i w:val="0"/>
          <w:color w:val="000000" w:themeColor="text1"/>
          <w:sz w:val="16"/>
          <w:szCs w:val="16"/>
        </w:rPr>
        <w:t>В.К. Коккинаки писал: «Я обладаю исключитель</w:t>
      </w:r>
      <w:r w:rsidRPr="00E14102">
        <w:rPr>
          <w:rStyle w:val="23"/>
          <w:rFonts w:ascii="Times New Roman" w:eastAsia="Arial Unicode MS" w:hAnsi="Times New Roman" w:cs="Times New Roman"/>
          <w:i w:val="0"/>
          <w:color w:val="000000" w:themeColor="text1"/>
          <w:sz w:val="16"/>
          <w:szCs w:val="16"/>
        </w:rPr>
        <w:softHyphen/>
        <w:t>ными физическими данными, очень хорошо тренирован. Даже среди очень ограниченного чис</w:t>
      </w:r>
      <w:r w:rsidRPr="00E14102">
        <w:rPr>
          <w:rStyle w:val="23"/>
          <w:rFonts w:ascii="Times New Roman" w:eastAsia="Arial Unicode MS" w:hAnsi="Times New Roman" w:cs="Times New Roman"/>
          <w:i w:val="0"/>
          <w:color w:val="000000" w:themeColor="text1"/>
          <w:sz w:val="16"/>
          <w:szCs w:val="16"/>
        </w:rPr>
        <w:softHyphen/>
        <w:t>ла лётчиков, поднимающихся на большие высоты, я являюсь исключением, и врачи считают, что я достиг абсолютного потолка, до которого может дойти человек», - писал он.</w:t>
      </w:r>
      <w:r w:rsidRPr="00E14102">
        <w:rPr>
          <w:color w:val="000000" w:themeColor="text1"/>
          <w:sz w:val="16"/>
          <w:szCs w:val="16"/>
        </w:rPr>
        <w:t xml:space="preserve"> «Я считаю, что самолёт можно еще немного дожать, но ходить</w:t>
      </w:r>
      <w:r w:rsidRPr="00E14102">
        <w:rPr>
          <w:rStyle w:val="23"/>
          <w:rFonts w:ascii="Times New Roman" w:eastAsia="Arial Unicode MS" w:hAnsi="Times New Roman" w:cs="Times New Roman"/>
          <w:i w:val="0"/>
          <w:color w:val="000000" w:themeColor="text1"/>
          <w:sz w:val="16"/>
          <w:szCs w:val="16"/>
        </w:rPr>
        <w:t xml:space="preserve"> в</w:t>
      </w:r>
      <w:r w:rsidRPr="00E14102">
        <w:rPr>
          <w:color w:val="000000" w:themeColor="text1"/>
          <w:sz w:val="16"/>
          <w:szCs w:val="16"/>
        </w:rPr>
        <w:t xml:space="preserve"> открытом виде на такую высоту дальше не стоит. На этих высотах точка кипения воды находится примерно на 50 градусах, а температура человеческого тела, как известно, - 37 градусов. Значит, до кипения крови совсем недалеко. Уже я тёпленький как следует. На 1</w:t>
      </w:r>
      <w:r w:rsidRPr="00E14102">
        <w:rPr>
          <w:rStyle w:val="23"/>
          <w:rFonts w:ascii="Times New Roman" w:eastAsia="Arial Unicode MS" w:hAnsi="Times New Roman" w:cs="Times New Roman"/>
          <w:i w:val="0"/>
          <w:color w:val="000000" w:themeColor="text1"/>
          <w:sz w:val="16"/>
          <w:szCs w:val="16"/>
        </w:rPr>
        <w:t>9</w:t>
      </w:r>
      <w:r w:rsidRPr="00E14102">
        <w:rPr>
          <w:color w:val="000000" w:themeColor="text1"/>
          <w:sz w:val="16"/>
          <w:szCs w:val="16"/>
        </w:rPr>
        <w:t xml:space="preserve"> километрах закипает человеческая кровь. Наши кровенос</w:t>
      </w:r>
      <w:r w:rsidRPr="00E14102">
        <w:rPr>
          <w:color w:val="000000" w:themeColor="text1"/>
          <w:sz w:val="16"/>
          <w:szCs w:val="16"/>
        </w:rPr>
        <w:softHyphen/>
        <w:t>ные сосуды не рассчитаны на такую большую разницу в давлениях. Я был на предельной высоте, и вот-вот могли полопаться сосуды. Но, видимо, тут воля сильнее организма. Полёты в закрытой кабине или в скафандре будут уже легче; они будут представлять опасность в том отношении, что конструкция может как-то отказать, но</w:t>
      </w:r>
      <w:r w:rsidRPr="00E14102">
        <w:rPr>
          <w:rStyle w:val="23"/>
          <w:rFonts w:ascii="Times New Roman" w:eastAsia="Arial Unicode MS" w:hAnsi="Times New Roman" w:cs="Times New Roman"/>
          <w:i w:val="0"/>
          <w:color w:val="000000" w:themeColor="text1"/>
          <w:sz w:val="16"/>
          <w:szCs w:val="16"/>
        </w:rPr>
        <w:t xml:space="preserve"> такое</w:t>
      </w:r>
      <w:r w:rsidRPr="00E14102">
        <w:rPr>
          <w:color w:val="000000" w:themeColor="text1"/>
          <w:sz w:val="16"/>
          <w:szCs w:val="16"/>
        </w:rPr>
        <w:t xml:space="preserve"> дело</w:t>
      </w:r>
      <w:r w:rsidRPr="00E14102">
        <w:rPr>
          <w:rStyle w:val="23"/>
          <w:rFonts w:ascii="Times New Roman" w:eastAsia="Arial Unicode MS" w:hAnsi="Times New Roman" w:cs="Times New Roman"/>
          <w:i w:val="0"/>
          <w:color w:val="000000" w:themeColor="text1"/>
          <w:sz w:val="16"/>
          <w:szCs w:val="16"/>
        </w:rPr>
        <w:t xml:space="preserve"> - всегда рис</w:t>
      </w:r>
      <w:r w:rsidRPr="00E14102">
        <w:rPr>
          <w:color w:val="000000" w:themeColor="text1"/>
          <w:sz w:val="16"/>
          <w:szCs w:val="16"/>
        </w:rPr>
        <w:t xml:space="preserve"> к. А вообще идти на большую высоту в закрытой кабине будет гораздо легче. В закрытой кабине или в скафандре - как угод</w:t>
      </w:r>
      <w:r w:rsidRPr="00E14102">
        <w:rPr>
          <w:color w:val="000000" w:themeColor="text1"/>
          <w:sz w:val="16"/>
          <w:szCs w:val="16"/>
        </w:rPr>
        <w:softHyphen/>
        <w:t>но, но мы будем брать дальше высоту» (15974).</w:t>
      </w:r>
    </w:p>
    <w:p w14:paraId="1151607B" w14:textId="77777777" w:rsidR="00BE5994" w:rsidRPr="00E14102" w:rsidRDefault="00BE5994" w:rsidP="00E14102">
      <w:pPr>
        <w:jc w:val="both"/>
        <w:rPr>
          <w:color w:val="000000" w:themeColor="text1"/>
          <w:sz w:val="16"/>
          <w:szCs w:val="16"/>
        </w:rPr>
      </w:pPr>
    </w:p>
    <w:p w14:paraId="79EF0CB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ноября 1935 года вышел Приказ НИИ ВС № 0596 О гос. испытаниях самолета УТИ-3 М58МН.</w:t>
      </w:r>
    </w:p>
    <w:p w14:paraId="62C7FE5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УТИ-3 с мотором М58 МН с пулеметным вооружением и убирающимися в полете шасси, предъявленный заводом № 21 принять на гос. испытания самолета и мотора в воздухе.</w:t>
      </w:r>
    </w:p>
    <w:p w14:paraId="2D74D6B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самолета начать 22 ноября 1935 года и закончить в 25 летных дней (6815, 179).</w:t>
      </w:r>
    </w:p>
    <w:p w14:paraId="765E5AD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CD09A18"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21 ноября 1935 года Базилевич писал письмо № 2237 в НКТП Орджоникидзе</w:t>
      </w:r>
    </w:p>
    <w:p w14:paraId="09B43B0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Молотов просит включить в общий проект постановления, разрабатываемый В/комиссией по авиации вопрос о производстве винтов с регулируемым в полете шагом. Проект Постановления СТО представленный ГУАПом и УВС по производству ВРШ – при этом прилагается.</w:t>
      </w:r>
    </w:p>
    <w:p w14:paraId="624A1B4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 на 3 листах № 2/5198с от 11 ноября 1935 года (3475,203).</w:t>
      </w:r>
    </w:p>
    <w:p w14:paraId="5004ECB9"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67FA5A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ноября 1935 вышел приказ ПГУ N 66/367:</w:t>
      </w:r>
    </w:p>
    <w:p w14:paraId="0A5DDE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Согласно Правительственного постановления в целях упорядочения конструирования, испытания и внедрения в производство систем вооружения для опытного и серийного самолетостроения с 15 ноября с.г. создать отдел вооружений ГУАП" Нач. ГУАП Королев (2170,131).</w:t>
      </w:r>
    </w:p>
    <w:p w14:paraId="4E1B4739" w14:textId="77777777" w:rsidR="00D4105E" w:rsidRPr="00E14102" w:rsidRDefault="00D4105E" w:rsidP="00E14102">
      <w:pPr>
        <w:autoSpaceDE w:val="0"/>
        <w:autoSpaceDN w:val="0"/>
        <w:adjustRightInd w:val="0"/>
        <w:jc w:val="both"/>
        <w:rPr>
          <w:color w:val="000000" w:themeColor="text1"/>
          <w:sz w:val="16"/>
          <w:szCs w:val="16"/>
        </w:rPr>
      </w:pPr>
    </w:p>
    <w:p w14:paraId="078834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ноября 1935 года Начальник управления ВС Алкснис утвердил Отчет о полигонных испытаниях прицела "РГ" КИБ ВООМП для стрельбы из пушек АПК-4 на самолете ЗЕТ.</w:t>
      </w:r>
    </w:p>
    <w:p w14:paraId="0F5856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w:t>
      </w:r>
    </w:p>
    <w:p w14:paraId="4B045E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Начато 10.10.1935 г.</w:t>
      </w:r>
    </w:p>
    <w:p w14:paraId="01A4D7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Окончено 17.10.1935 г.</w:t>
      </w:r>
    </w:p>
    <w:p w14:paraId="2BDDA9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71AC8F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040082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проверить работу прицельно-дальномерного устройства.</w:t>
      </w:r>
    </w:p>
    <w:p w14:paraId="22AB72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2664A3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DEAB2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2FC7EF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Стрельбой прицел испытывался на Ногинском полигоне (3089).</w:t>
      </w:r>
    </w:p>
    <w:p w14:paraId="242D5181" w14:textId="77777777" w:rsidR="00D4105E" w:rsidRPr="00E14102" w:rsidRDefault="00D4105E" w:rsidP="00E14102">
      <w:pPr>
        <w:autoSpaceDE w:val="0"/>
        <w:autoSpaceDN w:val="0"/>
        <w:adjustRightInd w:val="0"/>
        <w:jc w:val="both"/>
        <w:rPr>
          <w:color w:val="000000" w:themeColor="text1"/>
          <w:sz w:val="16"/>
          <w:szCs w:val="16"/>
        </w:rPr>
      </w:pPr>
    </w:p>
    <w:p w14:paraId="799C82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ноября 1935 года Начальник управления ВС Алкснис утвердил Отчет о полигонных испытаниях прицела "РГ" КИБ ВООМП для стрельбы из пушек АПК-4 на самолете ЗЕТ.</w:t>
      </w:r>
    </w:p>
    <w:p w14:paraId="0439E6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w:t>
      </w:r>
    </w:p>
    <w:p w14:paraId="3C3FA4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Начато 10.10.1935 г.</w:t>
      </w:r>
    </w:p>
    <w:p w14:paraId="7098F0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Окончено 17.10.1935 г.</w:t>
      </w:r>
    </w:p>
    <w:p w14:paraId="365C61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111D7B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33243F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проверить работу прицельно-дальномерного устройства.</w:t>
      </w:r>
    </w:p>
    <w:p w14:paraId="10A0D5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051F87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5AE61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2DE89D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Стрельбой прицел испытывался на Ногинском полигоне (3084).</w:t>
      </w:r>
    </w:p>
    <w:p w14:paraId="4FE66BCF" w14:textId="77777777" w:rsidR="00D4105E" w:rsidRPr="00E14102" w:rsidRDefault="00D4105E" w:rsidP="00E14102">
      <w:pPr>
        <w:autoSpaceDE w:val="0"/>
        <w:autoSpaceDN w:val="0"/>
        <w:adjustRightInd w:val="0"/>
        <w:jc w:val="both"/>
        <w:rPr>
          <w:color w:val="000000" w:themeColor="text1"/>
          <w:sz w:val="16"/>
          <w:szCs w:val="16"/>
        </w:rPr>
      </w:pPr>
    </w:p>
    <w:p w14:paraId="55C2B4D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99FC737" w14:textId="77777777" w:rsidR="00D4105E" w:rsidRPr="00E14102" w:rsidRDefault="00D4105E" w:rsidP="00E14102">
      <w:pPr>
        <w:autoSpaceDE w:val="0"/>
        <w:autoSpaceDN w:val="0"/>
        <w:adjustRightInd w:val="0"/>
        <w:jc w:val="both"/>
        <w:rPr>
          <w:iCs/>
          <w:color w:val="000000" w:themeColor="text1"/>
          <w:sz w:val="16"/>
          <w:szCs w:val="16"/>
        </w:rPr>
      </w:pPr>
    </w:p>
    <w:p w14:paraId="71AA44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 ноября 1935 г. в Комиссию Обороны поступило спецсообщение ЭКУ НКВД «О неудовлетво</w:t>
      </w:r>
      <w:r w:rsidRPr="00E14102">
        <w:rPr>
          <w:color w:val="000000" w:themeColor="text1"/>
          <w:sz w:val="16"/>
          <w:szCs w:val="16"/>
        </w:rPr>
        <w:softHyphen/>
        <w:t>рительной работе артиллерийских заводов» (1566,106).</w:t>
      </w:r>
    </w:p>
    <w:p w14:paraId="2C0638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5C0008E" w14:textId="77777777" w:rsidR="00BE5994" w:rsidRPr="00E14102" w:rsidRDefault="00BE5994" w:rsidP="00E14102">
      <w:pPr>
        <w:jc w:val="both"/>
        <w:rPr>
          <w:rStyle w:val="a6"/>
          <w:i w:val="0"/>
          <w:color w:val="000000" w:themeColor="text1"/>
          <w:sz w:val="16"/>
          <w:szCs w:val="16"/>
        </w:rPr>
      </w:pPr>
      <w:r w:rsidRPr="00E14102">
        <w:rPr>
          <w:rStyle w:val="a6"/>
          <w:i w:val="0"/>
          <w:color w:val="000000" w:themeColor="text1"/>
          <w:sz w:val="16"/>
          <w:szCs w:val="16"/>
        </w:rPr>
        <w:t xml:space="preserve">21 ноября 1935 г. </w:t>
      </w:r>
      <w:r w:rsidRPr="00E14102">
        <w:rPr>
          <w:color w:val="000000" w:themeColor="text1"/>
          <w:sz w:val="16"/>
          <w:szCs w:val="16"/>
        </w:rPr>
        <w:t>Докладная записка руководства группы по военно-морским делам Комиссии партийного контроля в ЦК ВКП(б) о неудовлетворительной работе Главного военно-мобилизационного управления НКТП СССР по руководству военной промышленностью¹*</w:t>
      </w:r>
    </w:p>
    <w:p w14:paraId="31E1F6A4" w14:textId="77777777" w:rsidR="00BE5994" w:rsidRPr="00E14102" w:rsidRDefault="00BE5994"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44BFCE1D"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С тревогой приходится констатировать, что на фоне исключительных успехов ведущих отраслей нашей промышленности, в обстановке широчайшего движения рабочих масс за невиданные показатели в производительности труда и качестве продукции, отрасли промышленности, обеспечивающие вооружение РККА, не только не идут в ногу с этими величайшими достижениями, а наоборот — позорно отстают, срывая мероприятия правительства по современному техническому оснащению Красной армии. На последнем заседании КО правительству докладывалось о неудовлетворительной работе авиационной промышленности, сорвавшей перевооружение в 1935 г. нашей авиации новыми типами самолетов. Перед этим правительству докладывалось о полном провале в производстве аккумуляторов, срывающих боеспособность наших подводных лодок. Ныне мы вынуждены докладывать о совершенно неудовлетворительной работе промышленности, снабжающей РККА артвооружением.</w:t>
      </w:r>
    </w:p>
    <w:p w14:paraId="0D5314E4"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По данным ЦСУ, за 9 месяцев с. г. военная промышленность выполнила всего 44,8% годового плана по военной продукции, в то время как по мирной продукции этими же заводами выполнено 70% годового плана. Но это лишь средние цифры. Положение на отстающих участках еще более неудовлетворительное. Например, Патронно-гильзовым трестом за 9 месяцев годовой план выполнен всего на 26,7%, Снарядным трестом — на 35,1%. По отдельным же видам военной продукции, и при этом исключительно важным, промышленность за истекшее время вообще ничего не поставила. Так ничего не сдано по крупнокалиберной артиллерии (мортира Б</w:t>
      </w:r>
      <w:r w:rsidRPr="00E14102">
        <w:rPr>
          <w:color w:val="000000" w:themeColor="text1"/>
          <w:sz w:val="16"/>
          <w:szCs w:val="16"/>
        </w:rPr>
        <w:noBreakHyphen/>
        <w:t>4 и пушка Б</w:t>
      </w:r>
      <w:r w:rsidRPr="00E14102">
        <w:rPr>
          <w:color w:val="000000" w:themeColor="text1"/>
          <w:sz w:val="16"/>
          <w:szCs w:val="16"/>
        </w:rPr>
        <w:noBreakHyphen/>
        <w:t>10). До сего времени не налажено производство ШВАКа. Из-за отсутствия соответствующего взрывателя не сдаются авиационные фугасные бомбы. Военно-морские силы остаются без снарядов для борьбы с подводными лодками и т. п.Это за 9 месяцев 1935 г.</w:t>
      </w:r>
    </w:p>
    <w:p w14:paraId="475526F3"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На 1 ноября с. г., то есть за 10 месяцев, положение почти не изменилось. Вот данные по наиболее отстающим видам артиллерии: завод им. Молотова — при годовом заказе в 111 шт. 120</w:t>
      </w:r>
      <w:r w:rsidRPr="00E14102">
        <w:rPr>
          <w:color w:val="000000" w:themeColor="text1"/>
          <w:sz w:val="16"/>
          <w:szCs w:val="16"/>
        </w:rPr>
        <w:noBreakHyphen/>
        <w:t>мм гаубиц должен был поставить за 10 месяцев 63 шт., поставил 0; 152</w:t>
      </w:r>
      <w:r w:rsidRPr="00E14102">
        <w:rPr>
          <w:color w:val="000000" w:themeColor="text1"/>
          <w:sz w:val="16"/>
          <w:szCs w:val="16"/>
        </w:rPr>
        <w:noBreakHyphen/>
        <w:t>мм мортир должен был за 10 месяцев поставить 20 шт., поставил 8; 152</w:t>
      </w:r>
      <w:r w:rsidRPr="00E14102">
        <w:rPr>
          <w:color w:val="000000" w:themeColor="text1"/>
          <w:sz w:val="16"/>
          <w:szCs w:val="16"/>
        </w:rPr>
        <w:noBreakHyphen/>
        <w:t>мм гаубиц образца 1934 г. должен был поставить 18, поставил 3. По модернизации артиллерии выполнение за 10 мес. характеризуется следующими данными: по 76</w:t>
      </w:r>
      <w:r w:rsidRPr="00E14102">
        <w:rPr>
          <w:color w:val="000000" w:themeColor="text1"/>
          <w:sz w:val="16"/>
          <w:szCs w:val="16"/>
        </w:rPr>
        <w:noBreakHyphen/>
        <w:t>мм пушке сдано 522 шт. вместо 1014 шт.; по 107</w:t>
      </w:r>
      <w:r w:rsidRPr="00E14102">
        <w:rPr>
          <w:color w:val="000000" w:themeColor="text1"/>
          <w:sz w:val="16"/>
          <w:szCs w:val="16"/>
        </w:rPr>
        <w:noBreakHyphen/>
        <w:t>мм — сдано 72 вместо 126 шт.; по 122</w:t>
      </w:r>
      <w:r w:rsidRPr="00E14102">
        <w:rPr>
          <w:color w:val="000000" w:themeColor="text1"/>
          <w:sz w:val="16"/>
          <w:szCs w:val="16"/>
        </w:rPr>
        <w:noBreakHyphen/>
        <w:t>мм гаубице — вместо 39 шт. сдано 8; по 152</w:t>
      </w:r>
      <w:r w:rsidRPr="00E14102">
        <w:rPr>
          <w:color w:val="000000" w:themeColor="text1"/>
          <w:sz w:val="16"/>
          <w:szCs w:val="16"/>
        </w:rPr>
        <w:noBreakHyphen/>
        <w:t>мм гаубице вместо 14 сдано 7; по 152</w:t>
      </w:r>
      <w:r w:rsidRPr="00E14102">
        <w:rPr>
          <w:color w:val="000000" w:themeColor="text1"/>
          <w:sz w:val="16"/>
          <w:szCs w:val="16"/>
        </w:rPr>
        <w:noBreakHyphen/>
        <w:t>мм пушке — вместо 29 сдано 15. Еще хуже обстоит с выполнением за 10 месяцев заказа по выстрелу. За 3 последних месяца (август, сентябрь, октябрь) по мелкому калибру должно быть сдано 1833 тыс. снарядов, сдано — 265 тыс., или всего 12%. По среднему калибру (включая 152 мм) вместо 801 тыс. сдано 54,5 тыс., или 6,8%. По крупному калибру при годовом заказе в 3 тыс. выстрелов поставки равняются нулю. По авиабомбам вместо 19 тыс. т сдано всего 317 т. ГВМУ до сего времени не сумело наладить комплектное производство выстрела. Особо ярко свидетельствует об этом следующий пример: при годовом заказе на зенитные снаряды в 1568 тыс. шт. на 1 ноября их было изготовлено 165 тыс., а гильз к ним было изготовлено всего лишь 5 тыс. шт.</w:t>
      </w:r>
    </w:p>
    <w:p w14:paraId="28C413FE"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Подобное положение с выполнением программы 1935 г. на заводах военной промышленности создалось вследствие того, что ГВМУ (т. Павлуновский) плохо ими руководит. Никакого ведущего, планового, оперативного и конкретного руководства ГВМУ не осуществляет. Бумажные приказы, дерганье директоров по отдельным прорывным участкам, игнорирование их письменных запросов, ругань при вызовах к себе, бестолковые совещания, «ударные» мероприятия по вопросам, по которым уже «грянул гром», т. е. которыми уже заинтересовалось правительство, — вот методы руководства ГВМУ. Руководящие работники бывают на заводах очень редко, а на некоторых вовсе не бывают. На таких важнейших заводах, как «Баррикады», им. Молотова (быв. Мотовилихинский) несколько последних лет не было никого из руководящих работников ГВМУ. Что же касается снарядных заводов, заводов взрывателей и др., то они вообще руководством не посещаются.</w:t>
      </w:r>
    </w:p>
    <w:p w14:paraId="053FB757"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Техническое руководство заводами со стороны ГВМУ совершенно неудовлетворительное. Это ярко характеризуется тем, что до сего времени нет разработанного технологического процесса по производству обыкновенной трехлинейной винтовки, вследствие чего на Подольском заводе ее никак не могут освоить. О неудовлетворительном техническом руководстве говорит и недопустимое затягивание перехода военных заводов на чертежи литеры “Б”.</w:t>
      </w:r>
    </w:p>
    <w:p w14:paraId="786943B1"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Неудовлетворительность руководства ГВМУ особо сказывается в отсутствии планирования и контроля за работой кооперированных производств. Междузаводские заказы, некомплектное и несвоевременное их выполнение, недоснабжение заводов металлом и другими материалами являются одной из основных причин невыполнения программы по целому ряду заводов. Некоторые директора заводов распоряжение ГВМУ по междузаводским заказам упорно игнорируют, срывая работу своих заказчиков. Так например, завод им. Молотова (т. Премудров) систематически дезорганизует работу завода № 8.</w:t>
      </w:r>
    </w:p>
    <w:p w14:paraId="7956DB41"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Неумение ГВМУ руководить кооперированными заводами особо ярко выявилось в срыве выполнения постановления СТО от 5 августа с. г. о сдаче НКОбороны выстрелов только комплектно²*. Произведенной проверкой было установлено, что ГВМУ не сумело добиться комплектного производства элементов выстрела, в результате чего была почти приостановлена сдача их НКО. Снаряжательные заводы Вохимтреста накопили огромное количество взрыввеществ и готовой продукции в силу того, что заводы ГВМУ не поставляли гильзы, взрыватели, корпуса снарядов по ряду калибров и корпуса аэробомб. Невозможность сдавать продукцию НКО из-за некомплектности поставила снаряжательные заводы в исключительно тяжелое финансовое положение и создала недопустимо опасное положение, т. к. на их территории скопилось огромное количество взрыввеществ, не вмещающихся в складские помещения. В результате пришлось в нарушение постановления СТО от 5 августа с. г. НКОбороны принять на хранение в свои склады находящиеся на заводах излишки взрывчатых веществ и снаряженной, но неукомплектованной продукции. Безобразное положение с выполнением постановления СТО от 5 августа с. г. о сдаче НКОбороны скомплектованных выстрелов не изжито до сих пор.</w:t>
      </w:r>
    </w:p>
    <w:p w14:paraId="1426337E"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ГВМУ является в то же время учреждением, на которое возложена мобилизационная подготовка всей тяжелой промышленности. Если плохо дело обстоит с руководством текущим производством, то с руководством по мобготовности промышленности дело обстоит совершенно нетерпимо. Достаточно сказать, что в промышленности до сего времени действует мобплан М</w:t>
      </w:r>
      <w:r w:rsidRPr="00E14102">
        <w:rPr>
          <w:color w:val="000000" w:themeColor="text1"/>
          <w:sz w:val="16"/>
          <w:szCs w:val="16"/>
        </w:rPr>
        <w:noBreakHyphen/>
        <w:t>3, срок действия которого истек еще в мае 1935 г. Но и в этом устарелом мобплане имеются «узкие места», делающие его нереальным. Мобработа в ГВМУ фактически целиком передоверена т. Крожевскому, который с нею явно не справляется. Подготовка к выполнению мобплана М</w:t>
      </w:r>
      <w:r w:rsidRPr="00E14102">
        <w:rPr>
          <w:color w:val="000000" w:themeColor="text1"/>
          <w:sz w:val="16"/>
          <w:szCs w:val="16"/>
        </w:rPr>
        <w:noBreakHyphen/>
        <w:t>3 на заводах совершенно неудовлетворительна. Директора заводов в подавляющем большинстве занимаются мобработой лишь формально. Достаточно сказать, что из проверенных нами 49 заводов, предназначенных к производству снарядов и авиабомб, 14 заводов вовсе не обеспечены соответствующим контрольно-мерительным инструментом и приспособлениями для их производства в военное время, 21 завод обеспечен ими на 25%, 8 заводов — на 50</w:t>
      </w:r>
      <w:r w:rsidRPr="00E14102">
        <w:rPr>
          <w:color w:val="000000" w:themeColor="text1"/>
          <w:sz w:val="16"/>
          <w:szCs w:val="16"/>
        </w:rPr>
        <w:noBreakHyphen/>
        <w:t>75%. Проверкой установлено, что на целом ряде заводов (Уралмаш, Ростсельмаш, «Красный Профинтерн», Московский велозавод) закладывался в мобзапас явно бракованный контрмерительный инструмент и приспособления.</w:t>
      </w:r>
    </w:p>
    <w:p w14:paraId="18922B63"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Эта краткая, далеко не исчерпывающая характеристика деятельности ГВМУ и его руководителя т. Павлуновского вполне достаточна, чтобы говорить о полнейшем неблагополучии с руководством военной промышленностью. Нам думается, что наряду с рядом практических мероприятий по заводам военной промышленности необходимо срочно провести следующие организационные мероприятия:</w:t>
      </w:r>
    </w:p>
    <w:p w14:paraId="3A973ACC"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1. Выделить из ГВМУ работу по мобилизационной подготовке промышленности в специальное мобилизационное управление, подчиненное непосредственно наркому, возглавив его крупным военным мобилизационным работником.</w:t>
      </w:r>
    </w:p>
    <w:p w14:paraId="56B78909"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2. Вместо ГВМУ, не справившегося с обеспечением армии артвооружением, организовать два главка в системе НКТП — а) главка по артиллерии и танкам и б) главка по выстрелу.</w:t>
      </w:r>
    </w:p>
    <w:p w14:paraId="5A1111CF" w14:textId="77777777" w:rsidR="00BE5994" w:rsidRPr="00E14102" w:rsidRDefault="00BE5994"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Член бюро Комиссии партконтроля, руководитель группы по военно-морским делам Н.</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Куйбышев</w:t>
      </w:r>
    </w:p>
    <w:p w14:paraId="5BE50F7C" w14:textId="77777777" w:rsidR="00BE5994" w:rsidRPr="00E14102" w:rsidRDefault="00BE5994"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Член Комиссии партконтроля, зам. руководителя группы по военно-морским делам Н.</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Березин</w:t>
      </w:r>
    </w:p>
    <w:p w14:paraId="7D8FE75A" w14:textId="77777777" w:rsidR="00BE5994" w:rsidRPr="00E14102" w:rsidRDefault="00BE5994"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14AB69B3"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¹* Докладная записка послана также в СТО СССР, НКТП СССР и НКО СССР.</w:t>
      </w:r>
    </w:p>
    <w:p w14:paraId="0F02B133"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²* ГА РФ. Ф. Р</w:t>
      </w:r>
      <w:r w:rsidRPr="00E14102">
        <w:rPr>
          <w:color w:val="000000" w:themeColor="text1"/>
          <w:sz w:val="16"/>
          <w:szCs w:val="16"/>
        </w:rPr>
        <w:noBreakHyphen/>
        <w:t>8418. Оп. 28. Д. 7. Л. 71.</w:t>
      </w:r>
    </w:p>
    <w:p w14:paraId="7554BBB4" w14:textId="77777777" w:rsidR="00BE5994" w:rsidRPr="00E14102" w:rsidRDefault="00BE599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АП РФ. Ф. 3. Оп. 46. Д. 336. Л. 133-138. Подлинник (15363).</w:t>
      </w:r>
    </w:p>
    <w:p w14:paraId="4EB1E1D9" w14:textId="77777777" w:rsidR="00BE5994" w:rsidRPr="00E14102" w:rsidRDefault="00BE5994" w:rsidP="00E14102">
      <w:pPr>
        <w:jc w:val="both"/>
        <w:rPr>
          <w:bCs/>
          <w:color w:val="000000" w:themeColor="text1"/>
          <w:sz w:val="16"/>
          <w:szCs w:val="16"/>
        </w:rPr>
      </w:pPr>
    </w:p>
    <w:p w14:paraId="19322C9C" w14:textId="77777777" w:rsidR="00BE5994" w:rsidRPr="00E14102" w:rsidRDefault="00BE5994" w:rsidP="00E14102">
      <w:pPr>
        <w:jc w:val="both"/>
        <w:rPr>
          <w:rStyle w:val="a6"/>
          <w:i w:val="0"/>
          <w:color w:val="000000" w:themeColor="text1"/>
          <w:sz w:val="16"/>
          <w:szCs w:val="16"/>
        </w:rPr>
      </w:pPr>
      <w:r w:rsidRPr="00E14102">
        <w:rPr>
          <w:rStyle w:val="a6"/>
          <w:i w:val="0"/>
          <w:color w:val="000000" w:themeColor="text1"/>
          <w:sz w:val="16"/>
          <w:szCs w:val="16"/>
        </w:rPr>
        <w:lastRenderedPageBreak/>
        <w:t xml:space="preserve">21 ноября 1935 г. </w:t>
      </w:r>
      <w:r w:rsidRPr="00E14102">
        <w:rPr>
          <w:color w:val="000000" w:themeColor="text1"/>
          <w:sz w:val="16"/>
          <w:szCs w:val="16"/>
        </w:rPr>
        <w:t>Протокол заседания Комиссии В. И. Межлаука по судостроению об изменении программы военного судостроения</w:t>
      </w:r>
    </w:p>
    <w:p w14:paraId="34E609EE" w14:textId="77777777" w:rsidR="00BE5994" w:rsidRPr="00E14102" w:rsidRDefault="00BE5994"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7817BE35"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Председатель — т. Межлаук В. И.</w:t>
      </w:r>
    </w:p>
    <w:p w14:paraId="41E8F3C9" w14:textId="77777777" w:rsidR="00BE5994" w:rsidRPr="00E14102" w:rsidRDefault="00BE5994" w:rsidP="00E14102">
      <w:pPr>
        <w:pStyle w:val="rtejustify"/>
        <w:spacing w:before="0" w:after="0"/>
        <w:rPr>
          <w:color w:val="000000" w:themeColor="text1"/>
          <w:sz w:val="16"/>
          <w:szCs w:val="16"/>
        </w:rPr>
      </w:pPr>
      <w:r w:rsidRPr="00E14102">
        <w:rPr>
          <w:rStyle w:val="a6"/>
          <w:i w:val="0"/>
          <w:color w:val="000000" w:themeColor="text1"/>
          <w:sz w:val="16"/>
          <w:szCs w:val="16"/>
        </w:rPr>
        <w:t>Присутствуют</w:t>
      </w:r>
      <w:r w:rsidRPr="00E14102">
        <w:rPr>
          <w:color w:val="000000" w:themeColor="text1"/>
          <w:sz w:val="16"/>
          <w:szCs w:val="16"/>
        </w:rPr>
        <w:t>: Каганович М., Орлов, Лудри, Муклевич, Алякрицкий, Гойнкис, Ботнер, Базилевич, Бакулов.</w:t>
      </w:r>
    </w:p>
    <w:p w14:paraId="20DD3BAA"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1. </w:t>
      </w:r>
      <w:r w:rsidRPr="00E14102">
        <w:rPr>
          <w:rStyle w:val="a6"/>
          <w:i w:val="0"/>
          <w:color w:val="000000" w:themeColor="text1"/>
          <w:sz w:val="16"/>
          <w:szCs w:val="16"/>
        </w:rPr>
        <w:t>Слушали</w:t>
      </w:r>
      <w:r w:rsidRPr="00E14102">
        <w:rPr>
          <w:color w:val="000000" w:themeColor="text1"/>
          <w:sz w:val="16"/>
          <w:szCs w:val="16"/>
        </w:rPr>
        <w:t>: Вопрос об унификации основных боевых кораблей и уточнении программы военного судостроения на 1936 г.</w:t>
      </w:r>
    </w:p>
    <w:p w14:paraId="6246B3D6" w14:textId="77777777" w:rsidR="00BE5994" w:rsidRPr="00E14102" w:rsidRDefault="00BE5994" w:rsidP="00E14102">
      <w:pPr>
        <w:pStyle w:val="rtejustify"/>
        <w:spacing w:before="0" w:after="0"/>
        <w:rPr>
          <w:color w:val="000000" w:themeColor="text1"/>
          <w:sz w:val="16"/>
          <w:szCs w:val="16"/>
        </w:rPr>
      </w:pPr>
      <w:r w:rsidRPr="00E14102">
        <w:rPr>
          <w:rStyle w:val="a6"/>
          <w:i w:val="0"/>
          <w:color w:val="000000" w:themeColor="text1"/>
          <w:sz w:val="16"/>
          <w:szCs w:val="16"/>
        </w:rPr>
        <w:t>Постановили</w:t>
      </w:r>
      <w:r w:rsidRPr="00E14102">
        <w:rPr>
          <w:color w:val="000000" w:themeColor="text1"/>
          <w:sz w:val="16"/>
          <w:szCs w:val="16"/>
        </w:rPr>
        <w:t>: Внести следующие изменения в принятую комиссией 20 октября 1935 г. программу военного судостроения:</w:t>
      </w:r>
    </w:p>
    <w:p w14:paraId="4D6DF2BB" w14:textId="77777777" w:rsidR="00BE5994" w:rsidRPr="00E14102" w:rsidRDefault="00BE5994" w:rsidP="00E14102">
      <w:pPr>
        <w:pStyle w:val="rtejustify"/>
        <w:spacing w:before="0" w:after="0"/>
        <w:rPr>
          <w:color w:val="000000" w:themeColor="text1"/>
          <w:sz w:val="16"/>
          <w:szCs w:val="16"/>
        </w:rPr>
      </w:pPr>
      <w:r w:rsidRPr="00E14102">
        <w:rPr>
          <w:rStyle w:val="a6"/>
          <w:bCs/>
          <w:i w:val="0"/>
          <w:color w:val="000000" w:themeColor="text1"/>
          <w:sz w:val="16"/>
          <w:szCs w:val="16"/>
        </w:rPr>
        <w:t>Крейсеры</w:t>
      </w:r>
      <w:r w:rsidRPr="00E14102">
        <w:rPr>
          <w:color w:val="000000" w:themeColor="text1"/>
          <w:sz w:val="16"/>
          <w:szCs w:val="16"/>
        </w:rPr>
        <w:t> — вновь закладывается 4 (вместо 3). Начало работ, с закладкой в Комсомольске — 2 (вместо 1).</w:t>
      </w:r>
    </w:p>
    <w:p w14:paraId="0E05CF8C" w14:textId="77777777" w:rsidR="00BE5994" w:rsidRPr="00E14102" w:rsidRDefault="00BE5994" w:rsidP="00E14102">
      <w:pPr>
        <w:pStyle w:val="rtejustify"/>
        <w:spacing w:before="0" w:after="0"/>
        <w:rPr>
          <w:color w:val="000000" w:themeColor="text1"/>
          <w:sz w:val="16"/>
          <w:szCs w:val="16"/>
        </w:rPr>
      </w:pPr>
      <w:r w:rsidRPr="00E14102">
        <w:rPr>
          <w:rStyle w:val="a6"/>
          <w:bCs/>
          <w:i w:val="0"/>
          <w:color w:val="000000" w:themeColor="text1"/>
          <w:sz w:val="16"/>
          <w:szCs w:val="16"/>
        </w:rPr>
        <w:t>Лидеры эсминцев</w:t>
      </w:r>
      <w:r w:rsidRPr="00E14102">
        <w:rPr>
          <w:color w:val="000000" w:themeColor="text1"/>
          <w:sz w:val="16"/>
          <w:szCs w:val="16"/>
        </w:rPr>
        <w:t>. Лидеры типа «Ленинград» в количестве 6 единиц заканчиваются и снимаются с производства. С 1936 г. вводятся лидеры типа «Н».</w:t>
      </w:r>
    </w:p>
    <w:p w14:paraId="0FF7D8A6" w14:textId="77777777" w:rsidR="00BE5994" w:rsidRPr="00E14102" w:rsidRDefault="00BE5994" w:rsidP="00E14102">
      <w:pPr>
        <w:pStyle w:val="rtejustify"/>
        <w:spacing w:before="0" w:after="0"/>
        <w:rPr>
          <w:color w:val="000000" w:themeColor="text1"/>
          <w:sz w:val="16"/>
          <w:szCs w:val="16"/>
        </w:rPr>
      </w:pPr>
      <w:r w:rsidRPr="00E14102">
        <w:rPr>
          <w:rStyle w:val="a6"/>
          <w:bCs/>
          <w:i w:val="0"/>
          <w:color w:val="000000" w:themeColor="text1"/>
          <w:sz w:val="16"/>
          <w:szCs w:val="16"/>
        </w:rPr>
        <w:t>Эсминцы</w:t>
      </w:r>
      <w:r w:rsidRPr="00E14102">
        <w:rPr>
          <w:color w:val="000000" w:themeColor="text1"/>
          <w:sz w:val="16"/>
          <w:szCs w:val="16"/>
        </w:rPr>
        <w:t>. Вновь закладывается 19 (вместо 21). Взамен снимаемых 2 эсминцев Главморпрому заложить 1 плавбазу для подлодок.</w:t>
      </w:r>
    </w:p>
    <w:p w14:paraId="323F00EB" w14:textId="77777777" w:rsidR="00BE5994" w:rsidRPr="00E14102" w:rsidRDefault="00BE5994" w:rsidP="00E14102">
      <w:pPr>
        <w:pStyle w:val="rtejustify"/>
        <w:spacing w:before="0" w:after="0"/>
        <w:rPr>
          <w:color w:val="000000" w:themeColor="text1"/>
          <w:sz w:val="16"/>
          <w:szCs w:val="16"/>
        </w:rPr>
      </w:pPr>
      <w:r w:rsidRPr="00E14102">
        <w:rPr>
          <w:rStyle w:val="a6"/>
          <w:bCs/>
          <w:i w:val="0"/>
          <w:color w:val="000000" w:themeColor="text1"/>
          <w:sz w:val="16"/>
          <w:szCs w:val="16"/>
        </w:rPr>
        <w:t>Подлодки большие</w:t>
      </w:r>
      <w:r w:rsidRPr="00E14102">
        <w:rPr>
          <w:color w:val="000000" w:themeColor="text1"/>
          <w:sz w:val="16"/>
          <w:szCs w:val="16"/>
        </w:rPr>
        <w:t>. Вновь закладываются 15 (вместо 9) по типу КЭ</w:t>
      </w:r>
      <w:r w:rsidRPr="00E14102">
        <w:rPr>
          <w:color w:val="000000" w:themeColor="text1"/>
          <w:sz w:val="16"/>
          <w:szCs w:val="16"/>
        </w:rPr>
        <w:noBreakHyphen/>
        <w:t>9 (14</w:t>
      </w:r>
      <w:r w:rsidRPr="00E14102">
        <w:rPr>
          <w:color w:val="000000" w:themeColor="text1"/>
          <w:sz w:val="16"/>
          <w:szCs w:val="16"/>
        </w:rPr>
        <w:noBreakHyphen/>
        <w:t>й серии) с готовностью в 1937 г. Подлодки 11 и 13 серий («Ленинцы») закончить и снять с производства. Учитывая, что подлодки типа КЭ</w:t>
      </w:r>
      <w:r w:rsidRPr="00E14102">
        <w:rPr>
          <w:color w:val="000000" w:themeColor="text1"/>
          <w:sz w:val="16"/>
          <w:szCs w:val="16"/>
        </w:rPr>
        <w:noBreakHyphen/>
        <w:t>9 имеют больший тоннаж по сравнению с «Ленинцами» (1500 против 1100), считать возможным ограничить количество больших подводных лодок, вступающих до 1938 г. 34 единицами вместо 47 по плану СТО от 11 июля 1933 г.¹* Таким образом, в 1937 г. подлежат закладке 19 больших подлодок.</w:t>
      </w:r>
    </w:p>
    <w:p w14:paraId="3612FC15" w14:textId="77777777" w:rsidR="00BE5994" w:rsidRPr="00E14102" w:rsidRDefault="00BE5994" w:rsidP="00E14102">
      <w:pPr>
        <w:pStyle w:val="rtejustify"/>
        <w:spacing w:before="0" w:after="0"/>
        <w:rPr>
          <w:color w:val="000000" w:themeColor="text1"/>
          <w:sz w:val="16"/>
          <w:szCs w:val="16"/>
        </w:rPr>
      </w:pPr>
      <w:r w:rsidRPr="00E14102">
        <w:rPr>
          <w:rStyle w:val="a6"/>
          <w:bCs/>
          <w:i w:val="0"/>
          <w:color w:val="000000" w:themeColor="text1"/>
          <w:sz w:val="16"/>
          <w:szCs w:val="16"/>
        </w:rPr>
        <w:t>Подлодки средние</w:t>
      </w:r>
      <w:r w:rsidRPr="00E14102">
        <w:rPr>
          <w:color w:val="000000" w:themeColor="text1"/>
          <w:sz w:val="16"/>
          <w:szCs w:val="16"/>
        </w:rPr>
        <w:t>. Учитывая переход по средним подлодкам с типа «Щука» (600 т) на тип “Н” (825 т), признать возможным вместо остающихся по плану 122 средних подлодок ограничить сдачу до 1938 г. 90 средних подлодок. НКТП (т. Каганович М.) совместно с УМС решить вопрос об увеличении закладки средних подлодок в 1936 г., исходя из необходимости ввести все 90 подлодок в строй к 1938 г. Подлодки типа «Щука» закончить и снять с производства.</w:t>
      </w:r>
    </w:p>
    <w:p w14:paraId="115D7AC3" w14:textId="77777777" w:rsidR="00BE5994" w:rsidRPr="00E14102" w:rsidRDefault="00BE5994" w:rsidP="00E14102">
      <w:pPr>
        <w:pStyle w:val="rtejustify"/>
        <w:spacing w:before="0" w:after="0"/>
        <w:rPr>
          <w:color w:val="000000" w:themeColor="text1"/>
          <w:sz w:val="16"/>
          <w:szCs w:val="16"/>
        </w:rPr>
      </w:pPr>
      <w:r w:rsidRPr="00E14102">
        <w:rPr>
          <w:rStyle w:val="a6"/>
          <w:bCs/>
          <w:i w:val="0"/>
          <w:color w:val="000000" w:themeColor="text1"/>
          <w:sz w:val="16"/>
          <w:szCs w:val="16"/>
        </w:rPr>
        <w:t>Подлодки малые</w:t>
      </w:r>
      <w:r w:rsidRPr="00E14102">
        <w:rPr>
          <w:color w:val="000000" w:themeColor="text1"/>
          <w:sz w:val="16"/>
          <w:szCs w:val="16"/>
        </w:rPr>
        <w:t>. Вновь закладываются 13. Из них по Главморпрому — 8. Из них по Коломенскому заводу — 5. Кроме того, Главморпрому изготовить опытную серию малых подлодок типа Остехбюро НКО (АПЛ) в количестве 10 единиц и 1 опытную малую подлодку типа «Блоха».</w:t>
      </w:r>
    </w:p>
    <w:p w14:paraId="4A3B491B" w14:textId="77777777" w:rsidR="00BE5994" w:rsidRPr="00E14102" w:rsidRDefault="00BE5994" w:rsidP="00E14102">
      <w:pPr>
        <w:pStyle w:val="rtejustify"/>
        <w:spacing w:before="0" w:after="0"/>
        <w:rPr>
          <w:color w:val="000000" w:themeColor="text1"/>
          <w:sz w:val="16"/>
          <w:szCs w:val="16"/>
        </w:rPr>
      </w:pPr>
      <w:r w:rsidRPr="00E14102">
        <w:rPr>
          <w:rStyle w:val="a6"/>
          <w:bCs/>
          <w:i w:val="0"/>
          <w:color w:val="000000" w:themeColor="text1"/>
          <w:sz w:val="16"/>
          <w:szCs w:val="16"/>
        </w:rPr>
        <w:t>Сторожевые суда</w:t>
      </w:r>
      <w:r w:rsidRPr="00E14102">
        <w:rPr>
          <w:color w:val="000000" w:themeColor="text1"/>
          <w:sz w:val="16"/>
          <w:szCs w:val="16"/>
        </w:rPr>
        <w:t>. Заканчиваются и снимаются с производства.</w:t>
      </w:r>
    </w:p>
    <w:p w14:paraId="5F706879" w14:textId="77777777" w:rsidR="00BE5994" w:rsidRPr="00E14102" w:rsidRDefault="00BE5994" w:rsidP="00E14102">
      <w:pPr>
        <w:pStyle w:val="rtejustify"/>
        <w:spacing w:before="0" w:after="0"/>
        <w:rPr>
          <w:color w:val="000000" w:themeColor="text1"/>
          <w:sz w:val="16"/>
          <w:szCs w:val="16"/>
        </w:rPr>
      </w:pPr>
      <w:r w:rsidRPr="00E14102">
        <w:rPr>
          <w:rStyle w:val="a6"/>
          <w:bCs/>
          <w:i w:val="0"/>
          <w:color w:val="000000" w:themeColor="text1"/>
          <w:sz w:val="16"/>
          <w:szCs w:val="16"/>
        </w:rPr>
        <w:t>Быстроходные и базовые тральщики</w:t>
      </w:r>
      <w:r w:rsidRPr="00E14102">
        <w:rPr>
          <w:color w:val="000000" w:themeColor="text1"/>
          <w:sz w:val="16"/>
          <w:szCs w:val="16"/>
        </w:rPr>
        <w:t>. Унифицировать в один тип — быстроходных тральщиков.</w:t>
      </w:r>
    </w:p>
    <w:p w14:paraId="7664D7B9"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В остальном — подтвердить программу судостроения 1936 г., установленную комиссий 20 октября 1935 г.</w:t>
      </w:r>
    </w:p>
    <w:p w14:paraId="15B4D862"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2. [</w:t>
      </w:r>
      <w:r w:rsidRPr="00E14102">
        <w:rPr>
          <w:rStyle w:val="a6"/>
          <w:i w:val="0"/>
          <w:color w:val="000000" w:themeColor="text1"/>
          <w:sz w:val="16"/>
          <w:szCs w:val="16"/>
        </w:rPr>
        <w:t>Слушали:</w:t>
      </w:r>
      <w:r w:rsidRPr="00E14102">
        <w:rPr>
          <w:color w:val="000000" w:themeColor="text1"/>
          <w:sz w:val="16"/>
          <w:szCs w:val="16"/>
        </w:rPr>
        <w:t>] О следующем заседании комиссии.</w:t>
      </w:r>
    </w:p>
    <w:p w14:paraId="55DDEAF6" w14:textId="77777777" w:rsidR="00BE5994" w:rsidRPr="00E14102" w:rsidRDefault="00BE5994" w:rsidP="00E14102">
      <w:pPr>
        <w:pStyle w:val="rtejustify"/>
        <w:spacing w:before="0" w:after="0"/>
        <w:rPr>
          <w:color w:val="000000" w:themeColor="text1"/>
          <w:sz w:val="16"/>
          <w:szCs w:val="16"/>
        </w:rPr>
      </w:pPr>
      <w:r w:rsidRPr="00E14102">
        <w:rPr>
          <w:rStyle w:val="a6"/>
          <w:i w:val="0"/>
          <w:color w:val="000000" w:themeColor="text1"/>
          <w:sz w:val="16"/>
          <w:szCs w:val="16"/>
        </w:rPr>
        <w:t>Постановили</w:t>
      </w:r>
      <w:r w:rsidRPr="00E14102">
        <w:rPr>
          <w:color w:val="000000" w:themeColor="text1"/>
          <w:sz w:val="16"/>
          <w:szCs w:val="16"/>
        </w:rPr>
        <w:t>: Поручить т. Кагановичу М. с привлечением т. Муклевича и представителей УМС подготовить к следующему заседанию комиссии окончательный текст предложений по: а) капитальному строительству и реконструкции заводов Главморпрома и включения в судостроение новых заводов (завод Ленина, Коломзавод, Ижорский — по тральщикам); б) обеспечению программы военного судостроения металлом, турбинами, котлами, дизелями, электрооборудованием и финансированием; в) плану заказа на вспомогательные суда и плавсредства.</w:t>
      </w:r>
    </w:p>
    <w:p w14:paraId="3D8BC485" w14:textId="77777777" w:rsidR="00BE5994" w:rsidRPr="00E14102" w:rsidRDefault="00BE5994"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Председатель В.</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Межлаук</w:t>
      </w:r>
    </w:p>
    <w:p w14:paraId="35FF0466" w14:textId="77777777" w:rsidR="00BE5994" w:rsidRPr="00E14102" w:rsidRDefault="00BE5994"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Секретарь Базилевич</w:t>
      </w:r>
    </w:p>
    <w:p w14:paraId="13588DFB" w14:textId="77777777" w:rsidR="00BE5994" w:rsidRPr="00E14102" w:rsidRDefault="00BE5994"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Примечание</w:t>
      </w:r>
      <w:r w:rsidRPr="00E14102">
        <w:rPr>
          <w:rFonts w:ascii="Times New Roman" w:hAnsi="Times New Roman" w:cs="Times New Roman"/>
          <w:color w:val="000000" w:themeColor="text1"/>
          <w:sz w:val="16"/>
          <w:szCs w:val="16"/>
          <w:lang w:val="ru-RU"/>
        </w:rPr>
        <w:t>:</w:t>
      </w:r>
    </w:p>
    <w:p w14:paraId="474B9041"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 xml:space="preserve">¹* См. документ от 11 июля 1933 г. — </w:t>
      </w:r>
      <w:hyperlink r:id="rId216" w:history="1">
        <w:r w:rsidRPr="00E14102">
          <w:rPr>
            <w:rStyle w:val="a4"/>
            <w:color w:val="000000" w:themeColor="text1"/>
            <w:sz w:val="16"/>
            <w:szCs w:val="16"/>
            <w:u w:val="none"/>
          </w:rPr>
          <w:t>Постановление СТО СССР № 58сс/о «О программе военно-морского судостроения на 1933</w:t>
        </w:r>
        <w:r w:rsidRPr="00E14102">
          <w:rPr>
            <w:rStyle w:val="a4"/>
            <w:color w:val="000000" w:themeColor="text1"/>
            <w:sz w:val="16"/>
            <w:szCs w:val="16"/>
            <w:u w:val="none"/>
          </w:rPr>
          <w:noBreakHyphen/>
          <w:t>1938 гг.»</w:t>
        </w:r>
      </w:hyperlink>
      <w:r w:rsidRPr="00E14102">
        <w:rPr>
          <w:color w:val="000000" w:themeColor="text1"/>
          <w:sz w:val="16"/>
          <w:szCs w:val="16"/>
        </w:rPr>
        <w:t>.</w:t>
      </w:r>
    </w:p>
    <w:p w14:paraId="38E9DEB0" w14:textId="77777777" w:rsidR="00BE5994" w:rsidRPr="00E14102" w:rsidRDefault="00BE599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4372. Оп. 91. Д. 2274. Л. 89-87. Заверенная копия (15364).</w:t>
      </w:r>
    </w:p>
    <w:p w14:paraId="7F10CDF1" w14:textId="77777777" w:rsidR="00BE5994" w:rsidRPr="00E14102" w:rsidRDefault="00BE5994" w:rsidP="00E14102">
      <w:pPr>
        <w:jc w:val="both"/>
        <w:rPr>
          <w:rStyle w:val="a6"/>
          <w:i w:val="0"/>
          <w:color w:val="000000" w:themeColor="text1"/>
          <w:sz w:val="16"/>
          <w:szCs w:val="16"/>
        </w:rPr>
      </w:pPr>
    </w:p>
    <w:p w14:paraId="42B985BF"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21 ноября 1935 г. протокол заседания комиссии под председательством В. И. Межлаука, на котором, в частности, слушался вопрос об уточнении программы военного судостроения на 1936 г.</w:t>
      </w:r>
    </w:p>
    <w:p w14:paraId="624CB924" w14:textId="77777777" w:rsidR="00BE5994" w:rsidRPr="00E14102" w:rsidRDefault="00BE5994" w:rsidP="00E14102">
      <w:pPr>
        <w:pStyle w:val="rtejustify"/>
        <w:spacing w:before="0" w:after="0"/>
        <w:rPr>
          <w:color w:val="000000" w:themeColor="text1"/>
          <w:sz w:val="16"/>
          <w:szCs w:val="16"/>
        </w:rPr>
      </w:pPr>
      <w:r w:rsidRPr="00E14102">
        <w:rPr>
          <w:rStyle w:val="a6"/>
          <w:bCs/>
          <w:i w:val="0"/>
          <w:color w:val="000000" w:themeColor="text1"/>
          <w:sz w:val="16"/>
          <w:szCs w:val="16"/>
        </w:rPr>
        <w:t>Комиссия заместителя председателя СНК СССР В. И. Межлаука</w:t>
      </w:r>
      <w:r w:rsidRPr="00E14102">
        <w:rPr>
          <w:color w:val="000000" w:themeColor="text1"/>
          <w:sz w:val="16"/>
          <w:szCs w:val="16"/>
        </w:rPr>
        <w:t xml:space="preserve"> с участием заместителя наркома тяжелой промышленности Г. Л. Пятакова, начальника Главморпрома Р. А. Муклевича и начальника Морских сил РККА В. М. Орлова начала работу в 1935 г. и занималась вопросами капитального строительства военно-морских сил и реконструкции заводов морского судостроения, разработкой программы военного судостроения на 1936 г. и обеспечением этой программы.</w:t>
      </w:r>
    </w:p>
    <w:p w14:paraId="3467823B" w14:textId="77777777" w:rsidR="00BE5994" w:rsidRPr="00E14102" w:rsidRDefault="00BE5994" w:rsidP="00E14102">
      <w:pPr>
        <w:pStyle w:val="rtejustify"/>
        <w:spacing w:before="0" w:after="0"/>
        <w:rPr>
          <w:color w:val="000000" w:themeColor="text1"/>
          <w:sz w:val="16"/>
          <w:szCs w:val="16"/>
        </w:rPr>
      </w:pPr>
      <w:r w:rsidRPr="00E14102">
        <w:rPr>
          <w:color w:val="000000" w:themeColor="text1"/>
          <w:sz w:val="16"/>
          <w:szCs w:val="16"/>
        </w:rPr>
        <w:t>Комиссия постановила: внести изменения в принятую 20 октября 1935 г. программу военного судостроения — крейсеров заложить 4 (вместо 3), лидеры эсминцев типа «Ленинград» снимались с производства. С 1936 г. вводились лидеры типа «Н». Эсминцев вновь закладывалось 19 (вместо 21), взамен снимаемых двух эсминцев Главморпром должен был заложить 1 плавбазу для подводных лодок. Больших подводных лодок типа К</w:t>
      </w:r>
      <w:r w:rsidRPr="00E14102">
        <w:rPr>
          <w:color w:val="000000" w:themeColor="text1"/>
          <w:sz w:val="16"/>
          <w:szCs w:val="16"/>
        </w:rPr>
        <w:noBreakHyphen/>
        <w:t>9 закладывалось 15 (вместо 9) с готовностью в 1937 г. Подлодки XI и XIII серий («Ленинец») снимались с производства. В 1937 г. подлежали закладке 19 больших подводных лодок. Осуществлялся переход по средним подлодкам с типа «Щука» (600 т) на тип «Н» (825 т) и сдача до 1938 г. 90 средних подлодок. Малых подлодок закладывалось 13. Главморпрому было поручено изготовить и сдать опытную серию мелких подлодок типа Остехбюро (АПЛ) в количестве 10 единиц и 1 опытную малую подлодку типа «Блоха». Сторожевые суда снимались с производства, быстроходные и базовые тральщики унифицировались в один тип. (РГАЭ. Ф. 4372. Оп 91. Д. 2274. Л. 89</w:t>
      </w:r>
      <w:r w:rsidRPr="00E14102">
        <w:rPr>
          <w:color w:val="000000" w:themeColor="text1"/>
          <w:sz w:val="16"/>
          <w:szCs w:val="16"/>
        </w:rPr>
        <w:noBreakHyphen/>
        <w:t>87) (15385).</w:t>
      </w:r>
    </w:p>
    <w:p w14:paraId="01FBD759" w14:textId="77777777" w:rsidR="00BE5994" w:rsidRPr="00E14102" w:rsidRDefault="00BE5994" w:rsidP="00E14102">
      <w:pPr>
        <w:jc w:val="both"/>
        <w:rPr>
          <w:bCs/>
          <w:color w:val="000000" w:themeColor="text1"/>
          <w:sz w:val="16"/>
          <w:szCs w:val="16"/>
        </w:rPr>
      </w:pPr>
    </w:p>
    <w:p w14:paraId="35811081" w14:textId="77777777" w:rsidR="00BE5994" w:rsidRPr="00E14102" w:rsidRDefault="00BE5994" w:rsidP="00E14102">
      <w:pPr>
        <w:jc w:val="both"/>
        <w:rPr>
          <w:color w:val="000000" w:themeColor="text1"/>
          <w:sz w:val="16"/>
          <w:szCs w:val="16"/>
        </w:rPr>
      </w:pPr>
      <w:r w:rsidRPr="00E14102">
        <w:rPr>
          <w:rStyle w:val="Bodytext20"/>
          <w:rFonts w:eastAsiaTheme="majorEastAsia"/>
          <w:color w:val="000000" w:themeColor="text1"/>
          <w:sz w:val="16"/>
          <w:szCs w:val="16"/>
        </w:rPr>
        <w:t xml:space="preserve">21 ноября 1935 г. </w:t>
      </w:r>
      <w:bookmarkStart w:id="35" w:name="bookmark18"/>
      <w:r w:rsidRPr="00E14102">
        <w:rPr>
          <w:rStyle w:val="Heading31"/>
          <w:rFonts w:eastAsiaTheme="minorHAnsi"/>
          <w:color w:val="000000" w:themeColor="text1"/>
          <w:sz w:val="16"/>
          <w:szCs w:val="16"/>
        </w:rPr>
        <w:t>Протокол заседания комиссии В. И. Межлаука по судостроению об изменении программы военного судостроения</w:t>
      </w:r>
      <w:bookmarkEnd w:id="35"/>
    </w:p>
    <w:p w14:paraId="3362EDEC" w14:textId="77777777" w:rsidR="00BE5994" w:rsidRPr="00E14102" w:rsidRDefault="00BE5994" w:rsidP="00E14102">
      <w:pPr>
        <w:pStyle w:val="620"/>
        <w:shd w:val="clear" w:color="auto" w:fill="auto"/>
        <w:spacing w:before="0" w:line="240" w:lineRule="auto"/>
        <w:rPr>
          <w:color w:val="000000" w:themeColor="text1"/>
          <w:sz w:val="16"/>
          <w:szCs w:val="16"/>
        </w:rPr>
      </w:pPr>
      <w:r w:rsidRPr="00E14102">
        <w:rPr>
          <w:rStyle w:val="16"/>
          <w:color w:val="000000" w:themeColor="text1"/>
          <w:sz w:val="16"/>
          <w:szCs w:val="16"/>
        </w:rPr>
        <w:t>Председатель — т. Межлаук В. И.</w:t>
      </w:r>
    </w:p>
    <w:p w14:paraId="754E4508" w14:textId="77777777" w:rsidR="00BE5994" w:rsidRPr="00E14102" w:rsidRDefault="00BE5994" w:rsidP="00E14102">
      <w:pPr>
        <w:pStyle w:val="620"/>
        <w:shd w:val="clear" w:color="auto" w:fill="auto"/>
        <w:spacing w:before="0" w:line="240" w:lineRule="auto"/>
        <w:rPr>
          <w:color w:val="000000" w:themeColor="text1"/>
          <w:sz w:val="16"/>
          <w:szCs w:val="16"/>
        </w:rPr>
      </w:pPr>
      <w:r w:rsidRPr="00E14102">
        <w:rPr>
          <w:rStyle w:val="16"/>
          <w:color w:val="000000" w:themeColor="text1"/>
          <w:sz w:val="16"/>
          <w:szCs w:val="16"/>
        </w:rPr>
        <w:t>Присутствуют: Каганович М., Орлов, Лудри, Муклевич, Алекрицкий, Гойнкис, Ботнер, Базилевич, Вакулов.</w:t>
      </w:r>
    </w:p>
    <w:p w14:paraId="56BB3CFD" w14:textId="77777777" w:rsidR="00BE5994" w:rsidRPr="00E14102" w:rsidRDefault="00BE5994" w:rsidP="00E14102">
      <w:pPr>
        <w:pStyle w:val="620"/>
        <w:shd w:val="clear" w:color="auto" w:fill="auto"/>
        <w:spacing w:before="0" w:line="240" w:lineRule="auto"/>
        <w:rPr>
          <w:color w:val="000000" w:themeColor="text1"/>
          <w:sz w:val="16"/>
          <w:szCs w:val="16"/>
        </w:rPr>
      </w:pPr>
      <w:r w:rsidRPr="00E14102">
        <w:rPr>
          <w:rStyle w:val="16"/>
          <w:color w:val="000000" w:themeColor="text1"/>
          <w:sz w:val="16"/>
          <w:szCs w:val="16"/>
        </w:rPr>
        <w:t>I. Слушали: Вопрос об унификации основных боевых кораблей и уточнении программы военного судостроения на 1936 г.</w:t>
      </w:r>
    </w:p>
    <w:p w14:paraId="681FA421" w14:textId="77777777" w:rsidR="00BE5994" w:rsidRPr="00E14102" w:rsidRDefault="00BE5994" w:rsidP="00E14102">
      <w:pPr>
        <w:pStyle w:val="620"/>
        <w:shd w:val="clear" w:color="auto" w:fill="auto"/>
        <w:spacing w:before="0" w:line="240" w:lineRule="auto"/>
        <w:rPr>
          <w:color w:val="000000" w:themeColor="text1"/>
          <w:sz w:val="16"/>
          <w:szCs w:val="16"/>
        </w:rPr>
      </w:pPr>
      <w:r w:rsidRPr="00E14102">
        <w:rPr>
          <w:rStyle w:val="16"/>
          <w:color w:val="000000" w:themeColor="text1"/>
          <w:sz w:val="16"/>
          <w:szCs w:val="16"/>
        </w:rPr>
        <w:t>Постановили: Внести следующие изменения в принятую комиссией 20 октября 1935 г. программу военного судостроения:</w:t>
      </w:r>
    </w:p>
    <w:p w14:paraId="20E8673F" w14:textId="77777777" w:rsidR="00BE5994" w:rsidRPr="00E14102" w:rsidRDefault="00BE5994" w:rsidP="00E14102">
      <w:pPr>
        <w:pStyle w:val="620"/>
        <w:shd w:val="clear" w:color="auto" w:fill="auto"/>
        <w:spacing w:before="0" w:line="240" w:lineRule="auto"/>
        <w:rPr>
          <w:color w:val="000000" w:themeColor="text1"/>
          <w:sz w:val="16"/>
          <w:szCs w:val="16"/>
        </w:rPr>
      </w:pPr>
      <w:r w:rsidRPr="00E14102">
        <w:rPr>
          <w:rStyle w:val="BodytextItalic"/>
          <w:i w:val="0"/>
          <w:color w:val="000000" w:themeColor="text1"/>
          <w:sz w:val="16"/>
          <w:szCs w:val="16"/>
        </w:rPr>
        <w:t>Крейсеры</w:t>
      </w:r>
      <w:r w:rsidRPr="00E14102">
        <w:rPr>
          <w:rStyle w:val="16"/>
          <w:color w:val="000000" w:themeColor="text1"/>
          <w:sz w:val="16"/>
          <w:szCs w:val="16"/>
        </w:rPr>
        <w:t xml:space="preserve"> — вновь закладывается 4 (вместо 3). Начало работ с закладкой в Комсомоль</w:t>
      </w:r>
      <w:r w:rsidRPr="00E14102">
        <w:rPr>
          <w:rStyle w:val="16"/>
          <w:color w:val="000000" w:themeColor="text1"/>
          <w:sz w:val="16"/>
          <w:szCs w:val="16"/>
        </w:rPr>
        <w:softHyphen/>
        <w:t>ске — 2 (вместо 1).</w:t>
      </w:r>
    </w:p>
    <w:p w14:paraId="0ECDACE3" w14:textId="77777777" w:rsidR="00BE5994" w:rsidRPr="00E14102" w:rsidRDefault="00BE5994" w:rsidP="00E14102">
      <w:pPr>
        <w:pStyle w:val="620"/>
        <w:shd w:val="clear" w:color="auto" w:fill="auto"/>
        <w:spacing w:before="0" w:line="240" w:lineRule="auto"/>
        <w:rPr>
          <w:color w:val="000000" w:themeColor="text1"/>
          <w:sz w:val="16"/>
          <w:szCs w:val="16"/>
        </w:rPr>
      </w:pPr>
      <w:r w:rsidRPr="00E14102">
        <w:rPr>
          <w:rStyle w:val="BodytextItalic"/>
          <w:i w:val="0"/>
          <w:color w:val="000000" w:themeColor="text1"/>
          <w:sz w:val="16"/>
          <w:szCs w:val="16"/>
        </w:rPr>
        <w:t>Лидеры эсминцев.</w:t>
      </w:r>
      <w:r w:rsidRPr="00E14102">
        <w:rPr>
          <w:rStyle w:val="16"/>
          <w:color w:val="000000" w:themeColor="text1"/>
          <w:sz w:val="16"/>
          <w:szCs w:val="16"/>
        </w:rPr>
        <w:t xml:space="preserve"> Лидеры типа «Ленинград» в количестве 6 единиц заканчиваются и снимаются с производства. С 1936 г. вводятся лидеры типа Н.</w:t>
      </w:r>
    </w:p>
    <w:p w14:paraId="036E4182" w14:textId="77777777" w:rsidR="00BE5994" w:rsidRPr="00E14102" w:rsidRDefault="00BE5994" w:rsidP="00E14102">
      <w:pPr>
        <w:pStyle w:val="620"/>
        <w:shd w:val="clear" w:color="auto" w:fill="auto"/>
        <w:spacing w:before="0" w:line="240" w:lineRule="auto"/>
        <w:rPr>
          <w:color w:val="000000" w:themeColor="text1"/>
          <w:sz w:val="16"/>
          <w:szCs w:val="16"/>
        </w:rPr>
      </w:pPr>
      <w:r w:rsidRPr="00E14102">
        <w:rPr>
          <w:rStyle w:val="BodytextItalic"/>
          <w:i w:val="0"/>
          <w:color w:val="000000" w:themeColor="text1"/>
          <w:sz w:val="16"/>
          <w:szCs w:val="16"/>
        </w:rPr>
        <w:t>Эсминцы.</w:t>
      </w:r>
      <w:r w:rsidRPr="00E14102">
        <w:rPr>
          <w:rStyle w:val="17"/>
          <w:color w:val="000000" w:themeColor="text1"/>
          <w:sz w:val="16"/>
          <w:szCs w:val="16"/>
        </w:rPr>
        <w:t xml:space="preserve"> Вновь закладывается 19 (вместо 21). Взамен снимаемых 2 эсминцев Главмор- прому заложить 1 плавбазу для подлодок.</w:t>
      </w:r>
    </w:p>
    <w:p w14:paraId="37D3BED1" w14:textId="77777777" w:rsidR="00BE5994" w:rsidRPr="00E14102" w:rsidRDefault="00BE5994" w:rsidP="00E14102">
      <w:pPr>
        <w:pStyle w:val="620"/>
        <w:shd w:val="clear" w:color="auto" w:fill="auto"/>
        <w:spacing w:before="0" w:line="240" w:lineRule="auto"/>
        <w:rPr>
          <w:color w:val="000000" w:themeColor="text1"/>
          <w:sz w:val="16"/>
          <w:szCs w:val="16"/>
        </w:rPr>
      </w:pPr>
      <w:r w:rsidRPr="00E14102">
        <w:rPr>
          <w:rStyle w:val="BodytextItalic"/>
          <w:i w:val="0"/>
          <w:color w:val="000000" w:themeColor="text1"/>
          <w:sz w:val="16"/>
          <w:szCs w:val="16"/>
        </w:rPr>
        <w:t>Подлодки большие.</w:t>
      </w:r>
      <w:r w:rsidRPr="00E14102">
        <w:rPr>
          <w:rStyle w:val="17"/>
          <w:color w:val="000000" w:themeColor="text1"/>
          <w:sz w:val="16"/>
          <w:szCs w:val="16"/>
        </w:rPr>
        <w:t xml:space="preserve"> Вновь закладываются 15 (вместо 9) по типу КЭ-9 (14-й серии) с го</w:t>
      </w:r>
      <w:r w:rsidRPr="00E14102">
        <w:rPr>
          <w:rStyle w:val="17"/>
          <w:color w:val="000000" w:themeColor="text1"/>
          <w:sz w:val="16"/>
          <w:szCs w:val="16"/>
        </w:rPr>
        <w:softHyphen/>
        <w:t>товностью в 1937 г. Подлодки 11 и 13 серий («Ленинцы») закончить и снять с производства. Учитывая, что подлодки типа КЭ-9 имеют больший тоннаж по сравнению с «Ленинцами» (1500 против 1100), считать возможным ограничить количество больших подводных лодок, вступающих до 1938 г. 34 единицами вместо 47 по плану СТО от 11 июля 1933 г. Таким обра</w:t>
      </w:r>
      <w:r w:rsidRPr="00E14102">
        <w:rPr>
          <w:rStyle w:val="17"/>
          <w:color w:val="000000" w:themeColor="text1"/>
          <w:sz w:val="16"/>
          <w:szCs w:val="16"/>
        </w:rPr>
        <w:softHyphen/>
        <w:t>зом, в 1937 г. подлежат закладке 19 больших подлодок.</w:t>
      </w:r>
    </w:p>
    <w:p w14:paraId="514C204E" w14:textId="77777777" w:rsidR="00BE5994" w:rsidRPr="00E14102" w:rsidRDefault="00BE5994" w:rsidP="00E14102">
      <w:pPr>
        <w:pStyle w:val="620"/>
        <w:shd w:val="clear" w:color="auto" w:fill="auto"/>
        <w:spacing w:before="0" w:line="240" w:lineRule="auto"/>
        <w:rPr>
          <w:color w:val="000000" w:themeColor="text1"/>
          <w:sz w:val="16"/>
          <w:szCs w:val="16"/>
        </w:rPr>
      </w:pPr>
      <w:r w:rsidRPr="00E14102">
        <w:rPr>
          <w:rStyle w:val="BodytextItalic"/>
          <w:i w:val="0"/>
          <w:color w:val="000000" w:themeColor="text1"/>
          <w:sz w:val="16"/>
          <w:szCs w:val="16"/>
        </w:rPr>
        <w:t>Подлодки средние.</w:t>
      </w:r>
      <w:r w:rsidRPr="00E14102">
        <w:rPr>
          <w:rStyle w:val="17"/>
          <w:color w:val="000000" w:themeColor="text1"/>
          <w:sz w:val="16"/>
          <w:szCs w:val="16"/>
        </w:rPr>
        <w:t xml:space="preserve"> Учитывая переход по средним подлодкам с типа «Щука» (600 т) на тип Н (825 т), признать возможным вместо остающихся по плану 122 средних подлодок ограничить сдачу до 1938 г. 90 средних подлодок. НКТП (т. Каганович М.) совместно с УМС решить вопрос об увеличении закладки средних подлодок в 1936 г., исходя из необ</w:t>
      </w:r>
      <w:r w:rsidRPr="00E14102">
        <w:rPr>
          <w:rStyle w:val="17"/>
          <w:color w:val="000000" w:themeColor="text1"/>
          <w:sz w:val="16"/>
          <w:szCs w:val="16"/>
        </w:rPr>
        <w:softHyphen/>
        <w:t>ходимости ввести все 90 подлодок в строй к 1938 г. Подлодки типа «Щука» закончить и снять с производства.</w:t>
      </w:r>
    </w:p>
    <w:p w14:paraId="70803C01" w14:textId="77777777" w:rsidR="00BE5994" w:rsidRPr="00E14102" w:rsidRDefault="00BE5994" w:rsidP="00E14102">
      <w:pPr>
        <w:pStyle w:val="620"/>
        <w:shd w:val="clear" w:color="auto" w:fill="auto"/>
        <w:spacing w:before="0" w:line="240" w:lineRule="auto"/>
        <w:rPr>
          <w:color w:val="000000" w:themeColor="text1"/>
          <w:sz w:val="16"/>
          <w:szCs w:val="16"/>
        </w:rPr>
      </w:pPr>
      <w:r w:rsidRPr="00E14102">
        <w:rPr>
          <w:rStyle w:val="BodytextItalic"/>
          <w:i w:val="0"/>
          <w:color w:val="000000" w:themeColor="text1"/>
          <w:sz w:val="16"/>
          <w:szCs w:val="16"/>
        </w:rPr>
        <w:t>Подлодки малые.</w:t>
      </w:r>
      <w:r w:rsidRPr="00E14102">
        <w:rPr>
          <w:rStyle w:val="17"/>
          <w:color w:val="000000" w:themeColor="text1"/>
          <w:sz w:val="16"/>
          <w:szCs w:val="16"/>
        </w:rPr>
        <w:t xml:space="preserve"> Вновь закладываются 13. Из них по Главморпрому — 8. Из них по Коломенскому заводу 5. Кроме того, Главморпрому изготовить опытную серию малых под</w:t>
      </w:r>
      <w:r w:rsidRPr="00E14102">
        <w:rPr>
          <w:rStyle w:val="17"/>
          <w:color w:val="000000" w:themeColor="text1"/>
          <w:sz w:val="16"/>
          <w:szCs w:val="16"/>
        </w:rPr>
        <w:softHyphen/>
        <w:t>лодок типа Остехбюро НКО (АПЛ) в количестве 10 единиц и 1 опытную малую подлодку типа «Блоха».</w:t>
      </w:r>
    </w:p>
    <w:p w14:paraId="028AF33E" w14:textId="77777777" w:rsidR="00BE5994" w:rsidRPr="00E14102" w:rsidRDefault="00BE5994" w:rsidP="00E14102">
      <w:pPr>
        <w:pStyle w:val="620"/>
        <w:shd w:val="clear" w:color="auto" w:fill="auto"/>
        <w:spacing w:before="0" w:line="240" w:lineRule="auto"/>
        <w:rPr>
          <w:color w:val="000000" w:themeColor="text1"/>
          <w:sz w:val="16"/>
          <w:szCs w:val="16"/>
        </w:rPr>
      </w:pPr>
      <w:r w:rsidRPr="00E14102">
        <w:rPr>
          <w:rStyle w:val="BodytextItalic"/>
          <w:i w:val="0"/>
          <w:color w:val="000000" w:themeColor="text1"/>
          <w:sz w:val="16"/>
          <w:szCs w:val="16"/>
        </w:rPr>
        <w:t>Сторожевые суда.</w:t>
      </w:r>
      <w:r w:rsidRPr="00E14102">
        <w:rPr>
          <w:rStyle w:val="17"/>
          <w:color w:val="000000" w:themeColor="text1"/>
          <w:sz w:val="16"/>
          <w:szCs w:val="16"/>
        </w:rPr>
        <w:t xml:space="preserve"> Заканчиваются и снимаются с производства.</w:t>
      </w:r>
    </w:p>
    <w:p w14:paraId="27A2552F" w14:textId="77777777" w:rsidR="00BE5994" w:rsidRPr="00E14102" w:rsidRDefault="00BE5994" w:rsidP="00E14102">
      <w:pPr>
        <w:pStyle w:val="620"/>
        <w:shd w:val="clear" w:color="auto" w:fill="auto"/>
        <w:spacing w:before="0" w:line="240" w:lineRule="auto"/>
        <w:rPr>
          <w:color w:val="000000" w:themeColor="text1"/>
          <w:sz w:val="16"/>
          <w:szCs w:val="16"/>
        </w:rPr>
      </w:pPr>
      <w:r w:rsidRPr="00E14102">
        <w:rPr>
          <w:rStyle w:val="BodytextItalic"/>
          <w:i w:val="0"/>
          <w:color w:val="000000" w:themeColor="text1"/>
          <w:sz w:val="16"/>
          <w:szCs w:val="16"/>
        </w:rPr>
        <w:t>Быстроходные и базовые тральщики.</w:t>
      </w:r>
      <w:r w:rsidRPr="00E14102">
        <w:rPr>
          <w:rStyle w:val="17"/>
          <w:color w:val="000000" w:themeColor="text1"/>
          <w:sz w:val="16"/>
          <w:szCs w:val="16"/>
        </w:rPr>
        <w:t xml:space="preserve"> Унифицировать в один тип — быстроходных траль</w:t>
      </w:r>
      <w:r w:rsidRPr="00E14102">
        <w:rPr>
          <w:rStyle w:val="17"/>
          <w:color w:val="000000" w:themeColor="text1"/>
          <w:sz w:val="16"/>
          <w:szCs w:val="16"/>
        </w:rPr>
        <w:softHyphen/>
        <w:t>щиков.</w:t>
      </w:r>
    </w:p>
    <w:p w14:paraId="19AAC6BE" w14:textId="77777777" w:rsidR="00BE5994" w:rsidRPr="00E14102" w:rsidRDefault="00BE5994" w:rsidP="00E14102">
      <w:pPr>
        <w:pStyle w:val="620"/>
        <w:shd w:val="clear" w:color="auto" w:fill="auto"/>
        <w:spacing w:before="0" w:line="240" w:lineRule="auto"/>
        <w:rPr>
          <w:color w:val="000000" w:themeColor="text1"/>
          <w:sz w:val="16"/>
          <w:szCs w:val="16"/>
        </w:rPr>
      </w:pPr>
      <w:r w:rsidRPr="00E14102">
        <w:rPr>
          <w:rStyle w:val="17"/>
          <w:color w:val="000000" w:themeColor="text1"/>
          <w:sz w:val="16"/>
          <w:szCs w:val="16"/>
        </w:rPr>
        <w:t>В остальном — подтвердить программу судостроения 1936 г., установленную комиссий 20 октября 1935 г.</w:t>
      </w:r>
    </w:p>
    <w:p w14:paraId="47972943" w14:textId="77777777" w:rsidR="00BE5994" w:rsidRPr="00E14102" w:rsidRDefault="00BE5994" w:rsidP="00E14102">
      <w:pPr>
        <w:pStyle w:val="620"/>
        <w:shd w:val="clear" w:color="auto" w:fill="auto"/>
        <w:spacing w:before="0" w:line="240" w:lineRule="auto"/>
        <w:rPr>
          <w:color w:val="000000" w:themeColor="text1"/>
          <w:sz w:val="16"/>
          <w:szCs w:val="16"/>
        </w:rPr>
      </w:pPr>
      <w:r w:rsidRPr="00E14102">
        <w:rPr>
          <w:rStyle w:val="17"/>
          <w:color w:val="000000" w:themeColor="text1"/>
          <w:sz w:val="16"/>
          <w:szCs w:val="16"/>
        </w:rPr>
        <w:t>II. [Слушали:] О следующем заседании комиссии.</w:t>
      </w:r>
    </w:p>
    <w:p w14:paraId="0D16B8B3" w14:textId="77777777" w:rsidR="00BE5994" w:rsidRPr="00E14102" w:rsidRDefault="00BE5994" w:rsidP="00E14102">
      <w:pPr>
        <w:pStyle w:val="620"/>
        <w:shd w:val="clear" w:color="auto" w:fill="auto"/>
        <w:spacing w:before="0" w:line="240" w:lineRule="auto"/>
        <w:rPr>
          <w:color w:val="000000" w:themeColor="text1"/>
          <w:sz w:val="16"/>
          <w:szCs w:val="16"/>
        </w:rPr>
      </w:pPr>
      <w:r w:rsidRPr="00E14102">
        <w:rPr>
          <w:rStyle w:val="17"/>
          <w:color w:val="000000" w:themeColor="text1"/>
          <w:sz w:val="16"/>
          <w:szCs w:val="16"/>
        </w:rPr>
        <w:t>Постановили: Поручить т. Кагановичу М. с привлечением т. Муклевича и представителей УМС подготовить к следующему заседанию комиссии окончательный текст предложений по: а) капитальному строительству и реконструкции заводов Главморпрома и включения в судостроение новых заводов (завод Ленина, Коломзавод, Ижорский — по тральщикам); б) обеспечению программы военного судостроения металлом, турбинами, котлами, дизеля</w:t>
      </w:r>
      <w:r w:rsidRPr="00E14102">
        <w:rPr>
          <w:rStyle w:val="17"/>
          <w:color w:val="000000" w:themeColor="text1"/>
          <w:sz w:val="16"/>
          <w:szCs w:val="16"/>
        </w:rPr>
        <w:softHyphen/>
        <w:t>ми, электрооборудованием и финансированием; в) плану заказа на вспомогательные суда и плавсредства.</w:t>
      </w:r>
    </w:p>
    <w:p w14:paraId="3BB857D6" w14:textId="77777777" w:rsidR="00BE5994" w:rsidRPr="00E14102" w:rsidRDefault="00BE5994" w:rsidP="00E14102">
      <w:pPr>
        <w:tabs>
          <w:tab w:val="left" w:pos="7796"/>
        </w:tabs>
        <w:jc w:val="both"/>
        <w:rPr>
          <w:color w:val="000000" w:themeColor="text1"/>
          <w:sz w:val="16"/>
          <w:szCs w:val="16"/>
        </w:rPr>
      </w:pPr>
      <w:r w:rsidRPr="00E14102">
        <w:rPr>
          <w:rStyle w:val="Bodytext20"/>
          <w:rFonts w:eastAsiaTheme="majorEastAsia"/>
          <w:color w:val="000000" w:themeColor="text1"/>
          <w:sz w:val="16"/>
          <w:szCs w:val="16"/>
        </w:rPr>
        <w:t>Председатель В. Межлаук</w:t>
      </w:r>
    </w:p>
    <w:p w14:paraId="2A0E780C" w14:textId="77777777" w:rsidR="00BE5994" w:rsidRPr="00E14102" w:rsidRDefault="00BE5994" w:rsidP="00E14102">
      <w:pPr>
        <w:tabs>
          <w:tab w:val="left" w:pos="7906"/>
        </w:tabs>
        <w:jc w:val="both"/>
        <w:rPr>
          <w:color w:val="000000" w:themeColor="text1"/>
          <w:sz w:val="16"/>
          <w:szCs w:val="16"/>
        </w:rPr>
      </w:pPr>
      <w:r w:rsidRPr="00E14102">
        <w:rPr>
          <w:rStyle w:val="Bodytext20"/>
          <w:rFonts w:eastAsiaTheme="majorEastAsia"/>
          <w:color w:val="000000" w:themeColor="text1"/>
          <w:sz w:val="16"/>
          <w:szCs w:val="16"/>
        </w:rPr>
        <w:t>Секретарь Базилевич</w:t>
      </w:r>
    </w:p>
    <w:p w14:paraId="08202CE5" w14:textId="77777777" w:rsidR="00BE5994" w:rsidRPr="00E14102" w:rsidRDefault="00BE5994" w:rsidP="00E14102">
      <w:pPr>
        <w:jc w:val="both"/>
        <w:rPr>
          <w:rStyle w:val="Bodytext30"/>
          <w:rFonts w:eastAsiaTheme="minorHAnsi"/>
          <w:color w:val="000000" w:themeColor="text1"/>
          <w:sz w:val="16"/>
          <w:szCs w:val="16"/>
        </w:rPr>
      </w:pPr>
      <w:r w:rsidRPr="00E14102">
        <w:rPr>
          <w:rStyle w:val="Bodytext30"/>
          <w:rFonts w:eastAsiaTheme="minorHAnsi"/>
          <w:color w:val="000000" w:themeColor="text1"/>
          <w:sz w:val="16"/>
          <w:szCs w:val="16"/>
        </w:rPr>
        <w:t>РГАЭ. Ф. 4372. Оп. 91. Д. 2274. Л. 89-87 (15123).</w:t>
      </w:r>
    </w:p>
    <w:p w14:paraId="5566FA13" w14:textId="77777777" w:rsidR="00BE5994" w:rsidRPr="00E14102" w:rsidRDefault="00BE5994" w:rsidP="00E14102">
      <w:pPr>
        <w:jc w:val="both"/>
        <w:rPr>
          <w:rStyle w:val="Bodytext30"/>
          <w:rFonts w:eastAsiaTheme="minorHAnsi"/>
          <w:color w:val="000000" w:themeColor="text1"/>
          <w:sz w:val="16"/>
          <w:szCs w:val="16"/>
        </w:rPr>
      </w:pPr>
    </w:p>
    <w:p w14:paraId="7CD2E11A" w14:textId="074C7EC2" w:rsidR="004E1433" w:rsidRPr="00E14102" w:rsidRDefault="004E1433" w:rsidP="00E14102">
      <w:pPr>
        <w:autoSpaceDE w:val="0"/>
        <w:autoSpaceDN w:val="0"/>
        <w:adjustRightInd w:val="0"/>
        <w:jc w:val="both"/>
        <w:rPr>
          <w:i/>
          <w:iCs/>
          <w:color w:val="000000" w:themeColor="text1"/>
          <w:sz w:val="16"/>
          <w:szCs w:val="16"/>
        </w:rPr>
      </w:pPr>
      <w:r w:rsidRPr="00E14102">
        <w:rPr>
          <w:i/>
          <w:iCs/>
          <w:color w:val="000000" w:themeColor="text1"/>
          <w:sz w:val="16"/>
          <w:szCs w:val="16"/>
        </w:rPr>
        <w:t>Армия:</w:t>
      </w:r>
    </w:p>
    <w:p w14:paraId="002ACC55" w14:textId="77777777" w:rsidR="004E1433" w:rsidRPr="00E14102" w:rsidRDefault="004E1433" w:rsidP="00E14102">
      <w:pPr>
        <w:autoSpaceDE w:val="0"/>
        <w:autoSpaceDN w:val="0"/>
        <w:adjustRightInd w:val="0"/>
        <w:jc w:val="both"/>
        <w:rPr>
          <w:i/>
          <w:iCs/>
          <w:color w:val="000000" w:themeColor="text1"/>
          <w:sz w:val="16"/>
          <w:szCs w:val="16"/>
        </w:rPr>
      </w:pPr>
    </w:p>
    <w:p w14:paraId="1CA78E81" w14:textId="77777777" w:rsidR="004E1433" w:rsidRPr="00E14102" w:rsidRDefault="004E1433" w:rsidP="00E14102">
      <w:pPr>
        <w:jc w:val="both"/>
        <w:rPr>
          <w:color w:val="0070C0"/>
          <w:sz w:val="16"/>
          <w:szCs w:val="16"/>
        </w:rPr>
      </w:pPr>
      <w:r w:rsidRPr="00E14102">
        <w:rPr>
          <w:color w:val="0070C0"/>
          <w:sz w:val="16"/>
          <w:szCs w:val="16"/>
        </w:rPr>
        <w:t>21 ноября 1935 года состоялось первое присвоение звания Маршала Советского Союза. Военачальники, удостоенные высшего персонального военного звания, занимали соответственно следующие должности:</w:t>
      </w:r>
    </w:p>
    <w:p w14:paraId="63129CEA" w14:textId="77777777" w:rsidR="004E1433" w:rsidRPr="00E14102" w:rsidRDefault="004E1433" w:rsidP="00E14102">
      <w:pPr>
        <w:jc w:val="both"/>
        <w:rPr>
          <w:color w:val="0070C0"/>
          <w:sz w:val="16"/>
          <w:szCs w:val="16"/>
        </w:rPr>
      </w:pPr>
      <w:r w:rsidRPr="00E14102">
        <w:rPr>
          <w:color w:val="0070C0"/>
          <w:sz w:val="16"/>
          <w:szCs w:val="16"/>
        </w:rPr>
        <w:t>К. Е. Ворошилов — народный комиссар обороны СССР;</w:t>
      </w:r>
    </w:p>
    <w:p w14:paraId="5C1AA3BC" w14:textId="77777777" w:rsidR="004E1433" w:rsidRPr="00E14102" w:rsidRDefault="004E1433" w:rsidP="00E14102">
      <w:pPr>
        <w:jc w:val="both"/>
        <w:rPr>
          <w:color w:val="0070C0"/>
          <w:sz w:val="16"/>
          <w:szCs w:val="16"/>
        </w:rPr>
      </w:pPr>
      <w:r w:rsidRPr="00E14102">
        <w:rPr>
          <w:color w:val="0070C0"/>
          <w:sz w:val="16"/>
          <w:szCs w:val="16"/>
        </w:rPr>
        <w:t>М. Н. Тухачевский — заместитель наркома обороны СССР;</w:t>
      </w:r>
    </w:p>
    <w:p w14:paraId="05083E44" w14:textId="77777777" w:rsidR="004E1433" w:rsidRPr="00E14102" w:rsidRDefault="004E1433" w:rsidP="00E14102">
      <w:pPr>
        <w:jc w:val="both"/>
        <w:rPr>
          <w:color w:val="0070C0"/>
          <w:sz w:val="16"/>
          <w:szCs w:val="16"/>
        </w:rPr>
      </w:pPr>
      <w:r w:rsidRPr="00E14102">
        <w:rPr>
          <w:color w:val="0070C0"/>
          <w:sz w:val="16"/>
          <w:szCs w:val="16"/>
        </w:rPr>
        <w:t>С. М. Будённый — инспектор кавалерии РККА;</w:t>
      </w:r>
    </w:p>
    <w:p w14:paraId="28495773" w14:textId="77777777" w:rsidR="004E1433" w:rsidRPr="00E14102" w:rsidRDefault="004E1433" w:rsidP="00E14102">
      <w:pPr>
        <w:jc w:val="both"/>
        <w:rPr>
          <w:color w:val="0070C0"/>
          <w:sz w:val="16"/>
          <w:szCs w:val="16"/>
        </w:rPr>
      </w:pPr>
      <w:r w:rsidRPr="00E14102">
        <w:rPr>
          <w:color w:val="0070C0"/>
          <w:sz w:val="16"/>
          <w:szCs w:val="16"/>
        </w:rPr>
        <w:t>А. И. Егоров — начальник Генерального штаба РККА;</w:t>
      </w:r>
    </w:p>
    <w:p w14:paraId="20AC98B7" w14:textId="77777777" w:rsidR="004E1433" w:rsidRPr="00E14102" w:rsidRDefault="004E1433" w:rsidP="00E14102">
      <w:pPr>
        <w:jc w:val="both"/>
        <w:rPr>
          <w:color w:val="0070C0"/>
          <w:sz w:val="16"/>
          <w:szCs w:val="16"/>
        </w:rPr>
      </w:pPr>
      <w:r w:rsidRPr="00E14102">
        <w:rPr>
          <w:color w:val="0070C0"/>
          <w:sz w:val="16"/>
          <w:szCs w:val="16"/>
        </w:rPr>
        <w:t>В. К. Блюхер — командующий Особой Краснознаменной Дальневосточной армией.</w:t>
      </w:r>
    </w:p>
    <w:p w14:paraId="186B7854" w14:textId="77777777" w:rsidR="004E1433" w:rsidRPr="00E14102" w:rsidRDefault="004E1433" w:rsidP="00E14102">
      <w:pPr>
        <w:jc w:val="both"/>
        <w:rPr>
          <w:color w:val="0070C0"/>
          <w:sz w:val="16"/>
          <w:szCs w:val="16"/>
        </w:rPr>
      </w:pPr>
      <w:r w:rsidRPr="00E14102">
        <w:rPr>
          <w:color w:val="0070C0"/>
          <w:sz w:val="16"/>
          <w:szCs w:val="16"/>
        </w:rPr>
        <w:t>До войны звание маршала получили также:</w:t>
      </w:r>
    </w:p>
    <w:p w14:paraId="6DF3EBCE" w14:textId="77777777" w:rsidR="004E1433" w:rsidRPr="00E14102" w:rsidRDefault="004E1433" w:rsidP="00E14102">
      <w:pPr>
        <w:jc w:val="both"/>
        <w:rPr>
          <w:color w:val="0070C0"/>
          <w:sz w:val="16"/>
          <w:szCs w:val="16"/>
        </w:rPr>
      </w:pPr>
      <w:r w:rsidRPr="00E14102">
        <w:rPr>
          <w:color w:val="0070C0"/>
          <w:sz w:val="16"/>
          <w:szCs w:val="16"/>
        </w:rPr>
        <w:t>С. К. Тимошенко — нарком обороны СССР;</w:t>
      </w:r>
    </w:p>
    <w:p w14:paraId="41AA2E01" w14:textId="77777777" w:rsidR="004E1433" w:rsidRPr="00E14102" w:rsidRDefault="004E1433" w:rsidP="00E14102">
      <w:pPr>
        <w:jc w:val="both"/>
        <w:rPr>
          <w:color w:val="0070C0"/>
          <w:sz w:val="16"/>
          <w:szCs w:val="16"/>
        </w:rPr>
      </w:pPr>
      <w:r w:rsidRPr="00E14102">
        <w:rPr>
          <w:color w:val="0070C0"/>
          <w:sz w:val="16"/>
          <w:szCs w:val="16"/>
        </w:rPr>
        <w:lastRenderedPageBreak/>
        <w:t>Г. И. Кулик — заместитель наркома обороны СССР;</w:t>
      </w:r>
    </w:p>
    <w:p w14:paraId="38B3B30E" w14:textId="77777777" w:rsidR="004E1433" w:rsidRPr="00E14102" w:rsidRDefault="004E1433" w:rsidP="00E14102">
      <w:pPr>
        <w:jc w:val="both"/>
        <w:rPr>
          <w:color w:val="0070C0"/>
          <w:sz w:val="16"/>
          <w:szCs w:val="16"/>
        </w:rPr>
      </w:pPr>
      <w:r w:rsidRPr="00E14102">
        <w:rPr>
          <w:color w:val="0070C0"/>
          <w:sz w:val="16"/>
          <w:szCs w:val="16"/>
        </w:rPr>
        <w:t>Б. М. Шапошников — начальник Генштаба РККА (21179).</w:t>
      </w:r>
    </w:p>
    <w:p w14:paraId="60E8FFFE" w14:textId="77777777" w:rsidR="004E1433" w:rsidRPr="00E14102" w:rsidRDefault="004E1433" w:rsidP="00E14102">
      <w:pPr>
        <w:pStyle w:val="129"/>
        <w:shd w:val="clear" w:color="auto" w:fill="auto"/>
        <w:spacing w:after="0" w:line="240" w:lineRule="auto"/>
        <w:rPr>
          <w:rStyle w:val="830"/>
          <w:rFonts w:ascii="Times New Roman" w:hAnsi="Times New Roman" w:cs="Times New Roman"/>
          <w:color w:val="0070C0"/>
          <w:sz w:val="16"/>
          <w:szCs w:val="16"/>
        </w:rPr>
      </w:pPr>
    </w:p>
    <w:p w14:paraId="6A947D2C" w14:textId="41128FFE"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D92EBC1" w14:textId="77777777" w:rsidR="00D4105E" w:rsidRPr="00E14102" w:rsidRDefault="00D4105E" w:rsidP="00E14102">
      <w:pPr>
        <w:autoSpaceDE w:val="0"/>
        <w:autoSpaceDN w:val="0"/>
        <w:adjustRightInd w:val="0"/>
        <w:jc w:val="both"/>
        <w:rPr>
          <w:iCs/>
          <w:color w:val="000000" w:themeColor="text1"/>
          <w:sz w:val="16"/>
          <w:szCs w:val="16"/>
        </w:rPr>
      </w:pPr>
    </w:p>
    <w:p w14:paraId="686B45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21 и 27 ноября 1935. Протокол заседания Политбюро № 35, 1935 г.</w:t>
      </w:r>
    </w:p>
    <w:p w14:paraId="76469E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повышении цен Торгсина</w:t>
      </w:r>
    </w:p>
    <w:p w14:paraId="0E4827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Поднять цены Торгсина на промышленные товары на 40% и на продовольственные — на 20% в среднем против существующих цен (11652).</w:t>
      </w:r>
    </w:p>
    <w:p w14:paraId="0121FB82" w14:textId="77777777" w:rsidR="00D4105E" w:rsidRPr="00E14102" w:rsidRDefault="00D4105E" w:rsidP="00E14102">
      <w:pPr>
        <w:autoSpaceDE w:val="0"/>
        <w:autoSpaceDN w:val="0"/>
        <w:adjustRightInd w:val="0"/>
        <w:jc w:val="both"/>
        <w:rPr>
          <w:color w:val="000000" w:themeColor="text1"/>
          <w:sz w:val="16"/>
          <w:szCs w:val="16"/>
        </w:rPr>
      </w:pPr>
    </w:p>
    <w:p w14:paraId="0FBA4E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21 и 27 ноября 1935. Протокол заседания Политбюро № 35, 1935 г.</w:t>
      </w:r>
    </w:p>
    <w:p w14:paraId="79734D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плане заготовок мандарин из урожая 1935 г.</w:t>
      </w:r>
    </w:p>
    <w:p w14:paraId="577292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а) Утвердить государственный план заготовок мандарин из урожая 1935 г. в количестве 75 000 тонн, или 150 миллионов штук, из них 2000тонн, или 40 000 тыс. штук, по колхозно-крестьянскому сектору. </w:t>
      </w:r>
    </w:p>
    <w:p w14:paraId="616134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Поручить Комитету по заготовкам распределить установленный план заготовок мандарин по заготовителям (11652).</w:t>
      </w:r>
    </w:p>
    <w:p w14:paraId="69226D1C" w14:textId="77777777" w:rsidR="00D4105E" w:rsidRPr="00E14102" w:rsidRDefault="00D4105E" w:rsidP="00E14102">
      <w:pPr>
        <w:autoSpaceDE w:val="0"/>
        <w:autoSpaceDN w:val="0"/>
        <w:adjustRightInd w:val="0"/>
        <w:jc w:val="both"/>
        <w:rPr>
          <w:color w:val="000000" w:themeColor="text1"/>
          <w:sz w:val="16"/>
          <w:szCs w:val="16"/>
        </w:rPr>
      </w:pPr>
    </w:p>
    <w:p w14:paraId="68C0B4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21 и 27 ноября 1935. Протокол заседания Политбюро № 35, 1935 г.</w:t>
      </w:r>
    </w:p>
    <w:p w14:paraId="43CBDB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 награждении участников похода в противогазах по маршруту Сталино—Москва </w:t>
      </w:r>
    </w:p>
    <w:p w14:paraId="7EB5E1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беспримерный поход в противогазах по маршруту Сталино—Москва (1200 км) 20 рабочих и работниц... совершивших в 25 ходовых дней (при среднесуточном переходе 48 км) с целью пропаганды среди трудящихся задач и средств противохимической обороны, наградить орденом "Знак почета"... (11652).</w:t>
      </w:r>
    </w:p>
    <w:p w14:paraId="228B159F" w14:textId="77777777" w:rsidR="00D4105E" w:rsidRPr="00E14102" w:rsidRDefault="00D4105E" w:rsidP="00E14102">
      <w:pPr>
        <w:autoSpaceDE w:val="0"/>
        <w:autoSpaceDN w:val="0"/>
        <w:adjustRightInd w:val="0"/>
        <w:jc w:val="both"/>
        <w:rPr>
          <w:color w:val="000000" w:themeColor="text1"/>
          <w:sz w:val="16"/>
          <w:szCs w:val="16"/>
        </w:rPr>
      </w:pPr>
    </w:p>
    <w:p w14:paraId="4CC92BD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CA3779F" w14:textId="77777777" w:rsidR="00D4105E" w:rsidRPr="00E14102" w:rsidRDefault="00D4105E" w:rsidP="00E14102">
      <w:pPr>
        <w:autoSpaceDE w:val="0"/>
        <w:autoSpaceDN w:val="0"/>
        <w:adjustRightInd w:val="0"/>
        <w:jc w:val="both"/>
        <w:rPr>
          <w:iCs/>
          <w:color w:val="000000" w:themeColor="text1"/>
          <w:sz w:val="16"/>
          <w:szCs w:val="16"/>
        </w:rPr>
      </w:pPr>
    </w:p>
    <w:p w14:paraId="0631088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22 ноября 1935 года закончились экспериментальные испытания соединения “Звено” (ТБ3-4М17+2И5+2И16+ЗЕТ), проведенные совместно с заводом № 22 с 15 ноября (6715).</w:t>
      </w:r>
    </w:p>
    <w:p w14:paraId="2220B68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5C07153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 НИИ ВС инженер Лосюков</w:t>
      </w:r>
    </w:p>
    <w:p w14:paraId="16C58C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 завода № 22 инженер Сергеев</w:t>
      </w:r>
    </w:p>
    <w:p w14:paraId="33BE8D9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304BB9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6420A11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2D08948"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Считать, что соединение “Звено” (ТБ3+5И) может быть эффективно использовано в частях ВС (6715).</w:t>
      </w:r>
    </w:p>
    <w:p w14:paraId="252F632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25FB9A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ноября 1935 закончились испытания Звено ТБ-3 4М-17 + 2И-5 + 2И-16 + И-зет, которые шли с 15 ноября. Это была Авиаматка ПВО (А-М), которое В.С.Вахмистров подготовил к испытаниям к осени 1935. В испытаниях участвовали А.И.Никашин, С.П.Супрун на И-5, Т.Т.Алтынов и К.К.Будаков на И-16, В.А.Степанчонок на И-зет. На ТБ-3 был П.М.Стефановский. летали с узкой бетонированной полосы, расположенной близко к ангарам. Чуть не разбились из-за того, что И-16 неравномерно тянули. Всего выполнили 3 тренировочных полета в полном составе и один демонстрационный. испытания зачли как совместные с заводом 22. Полетная масса с 4-мя была 20200 кг и расчеты позволяли поднять до 28000 (2692,9).</w:t>
      </w:r>
    </w:p>
    <w:p w14:paraId="405EFC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Выполнили 4 полета, в т.ч. 3 промежуточных и тренировочных с подцепкой И-зет, но без 2И-5 и один полет в полном составе.</w:t>
      </w:r>
    </w:p>
    <w:p w14:paraId="170E10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11A601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Считать, что соединение Звено (ТБ-3 + 5И) м.б. эффективно использовано в частях ВВС в вариантах, указанных в п. 2 выводов (ЕБ-3 + 5 И использовать в качестве:</w:t>
      </w:r>
    </w:p>
    <w:p w14:paraId="28850A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крейсер-авианосец для сопровождения строя ТБ</w:t>
      </w:r>
    </w:p>
    <w:p w14:paraId="12EBED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авианосца для заброски истребителей на дальние расстояния</w:t>
      </w:r>
    </w:p>
    <w:p w14:paraId="7FF3CB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авианосца для целей ПВО</w:t>
      </w:r>
    </w:p>
    <w:p w14:paraId="46CBF0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Считать необходимым разработать и предъявить промышленности ТТТ к соединению Звено с 5И на нем с жесткими сроками предъявления опытного образца на испытания</w:t>
      </w:r>
    </w:p>
    <w:p w14:paraId="18D8B4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Просить нач. ВВС созвать совещание для обсуждения целесообразности соединений ТБ-3 + 5И и ТТТ к нему (2838).</w:t>
      </w:r>
    </w:p>
    <w:p w14:paraId="4C8529D1" w14:textId="77777777" w:rsidR="00D4105E" w:rsidRPr="00E14102" w:rsidRDefault="00D4105E" w:rsidP="00E14102">
      <w:pPr>
        <w:autoSpaceDE w:val="0"/>
        <w:autoSpaceDN w:val="0"/>
        <w:adjustRightInd w:val="0"/>
        <w:jc w:val="both"/>
        <w:rPr>
          <w:color w:val="000000" w:themeColor="text1"/>
          <w:sz w:val="16"/>
          <w:szCs w:val="16"/>
        </w:rPr>
      </w:pPr>
    </w:p>
    <w:p w14:paraId="2BA220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ноября 1935 проходили экспериментальные испытания соединения "Звено" (ТБ3-4М17+2И5+2И16+ЗЕТ), проведенные совместно с заводом № 22 с 15 ноября 1935</w:t>
      </w:r>
    </w:p>
    <w:p w14:paraId="05BFE5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2DE674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 НИИ ВВС инженер в/к Лосюков П.А.</w:t>
      </w:r>
    </w:p>
    <w:p w14:paraId="7CFDD9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 завода № 22 инженер Сергеев</w:t>
      </w:r>
    </w:p>
    <w:p w14:paraId="3191D7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4303C7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02F8EB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26AF36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Считать, что соединение "Звено" (ТБ3+5И) может быть эффективно использовано в частях ВС (7654).</w:t>
      </w:r>
    </w:p>
    <w:p w14:paraId="7C07B5D7"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4ED7F5A3" w14:textId="77777777" w:rsidR="00993641" w:rsidRPr="00E14102" w:rsidRDefault="00993641" w:rsidP="00E14102">
      <w:pPr>
        <w:pStyle w:val="42"/>
        <w:shd w:val="clear" w:color="auto" w:fill="auto"/>
        <w:spacing w:line="240" w:lineRule="auto"/>
        <w:ind w:firstLine="0"/>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 xml:space="preserve">22 ноября 1935 г. закончили испытания очередной воздушной системы, получившей обозначение «Звено ТБ-3 4М-17 + 2И-5 + 2И-16 + ЗЕТ», которые шли с 15 еоября. Сам Вахмистров определял это сочетание как «Авиаматку ПВО» (А-М). На земле под крыло </w:t>
      </w:r>
      <w:r w:rsidRPr="00E14102">
        <w:rPr>
          <w:rStyle w:val="23"/>
          <w:rFonts w:ascii="Times New Roman" w:hAnsi="Times New Roman" w:cs="Times New Roman"/>
          <w:i w:val="0"/>
          <w:color w:val="000000" w:themeColor="text1"/>
          <w:sz w:val="16"/>
          <w:szCs w:val="16"/>
        </w:rPr>
        <w:t xml:space="preserve">ТБ-3 цеплялись два И-16, а на крыло сверху закатывались два И-5. Последний участник, И-2, догонял воздушную «этажерку» уже после взлета. В испытаниях участвовали А.И. Никашин и С.П. Супрун на И-5, Т.Т. Ал- тынов и К.К. Будаков на И-16, В.А. Степанчонок на И-2. Носитель ТБ-3 пилотировал П.М. Стефановский, который вспоминал: </w:t>
      </w:r>
      <w:r w:rsidRPr="00E14102">
        <w:rPr>
          <w:rFonts w:ascii="Times New Roman" w:hAnsi="Times New Roman" w:cs="Times New Roman"/>
          <w:color w:val="000000" w:themeColor="text1"/>
          <w:sz w:val="16"/>
          <w:szCs w:val="16"/>
        </w:rPr>
        <w:t>«Взлетали мы с узкой бетонированной полосы, расположенной близко к ангарам. На взлете требовалось выдержать иде</w:t>
      </w:r>
      <w:r w:rsidRPr="00E14102">
        <w:rPr>
          <w:rFonts w:ascii="Times New Roman" w:hAnsi="Times New Roman" w:cs="Times New Roman"/>
          <w:color w:val="000000" w:themeColor="text1"/>
          <w:sz w:val="16"/>
          <w:szCs w:val="16"/>
        </w:rPr>
        <w:softHyphen/>
        <w:t>альную прямую. Восемь двигателей при большом плече могли внести весьма неже</w:t>
      </w:r>
      <w:r w:rsidRPr="00E14102">
        <w:rPr>
          <w:rFonts w:ascii="Times New Roman" w:hAnsi="Times New Roman" w:cs="Times New Roman"/>
          <w:color w:val="000000" w:themeColor="text1"/>
          <w:sz w:val="16"/>
          <w:szCs w:val="16"/>
        </w:rPr>
        <w:softHyphen/>
        <w:t>лательную поправку в намерения экипажа и командования. Для упрощения взлета при</w:t>
      </w:r>
      <w:r w:rsidRPr="00E14102">
        <w:rPr>
          <w:rFonts w:ascii="Times New Roman" w:hAnsi="Times New Roman" w:cs="Times New Roman"/>
          <w:color w:val="000000" w:themeColor="text1"/>
          <w:sz w:val="16"/>
          <w:szCs w:val="16"/>
        </w:rPr>
        <w:softHyphen/>
        <w:t>казываю АлтыновуиБудаковудать газ мото</w:t>
      </w:r>
      <w:r w:rsidRPr="00E14102">
        <w:rPr>
          <w:rFonts w:ascii="Times New Roman" w:hAnsi="Times New Roman" w:cs="Times New Roman"/>
          <w:color w:val="000000" w:themeColor="text1"/>
          <w:sz w:val="16"/>
          <w:szCs w:val="16"/>
        </w:rPr>
        <w:softHyphen/>
        <w:t>рам своих истребителей одновременно со мной. Когда я возьму точное направление по оси взлетной полосы, то наклоню голову. Это команда для Никашина и Супруна дать газ своим двигателям. На обочине возле старта собралось множество зрителей. Плавно увеличиваю обороты моторов, начинаю разбег. Все быстрее мелькают по сторонам аэродромные постройки. Вдруг самолет строптиво, словно разнуздавшийся конь, заворачивает вправо, прямо на ангары. Супрун виноват: погорячился и газанул. Сбрасываю обороты левых двига</w:t>
      </w:r>
      <w:r w:rsidRPr="00E14102">
        <w:rPr>
          <w:rFonts w:ascii="Times New Roman" w:hAnsi="Times New Roman" w:cs="Times New Roman"/>
          <w:color w:val="000000" w:themeColor="text1"/>
          <w:sz w:val="16"/>
          <w:szCs w:val="16"/>
        </w:rPr>
        <w:softHyphen/>
        <w:t>телей почти до минимума и вновь сюрприз: самолет начал забирать влево. Это уже Никашин. Увидел, что Супрун газует, и тоже подал вперед рукоятку сектора. Напу</w:t>
      </w:r>
      <w:r w:rsidRPr="00E14102">
        <w:rPr>
          <w:rFonts w:ascii="Times New Roman" w:hAnsi="Times New Roman" w:cs="Times New Roman"/>
          <w:color w:val="000000" w:themeColor="text1"/>
          <w:sz w:val="16"/>
          <w:szCs w:val="16"/>
        </w:rPr>
        <w:softHyphen/>
        <w:t>гался, что проворонил мой кивок головой. А может я и в самом деле невзначай кивнул, когда самолет стало заносить к ангарам. Резко поднимаю обороты левой моторной группы. Чувствую, еще не поздно, взлетим. И взлетели. Правда, разбег получился несколько удлиненным.</w:t>
      </w:r>
    </w:p>
    <w:p w14:paraId="4DF743DB" w14:textId="77777777" w:rsidR="00993641" w:rsidRPr="00E14102" w:rsidRDefault="00993641" w:rsidP="00E14102">
      <w:pPr>
        <w:pStyle w:val="42"/>
        <w:shd w:val="clear" w:color="auto" w:fill="auto"/>
        <w:spacing w:line="240" w:lineRule="auto"/>
        <w:ind w:firstLine="0"/>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Дальше пошло все точно по заданию. На высоте тысяча метров к бомбардировщику под самое шасси подошел «ЗЕТ» Степан- чонка. Пришвартовали его. Авиационный «букет» или, как его нарекли наши доморо</w:t>
      </w:r>
      <w:r w:rsidRPr="00E14102">
        <w:rPr>
          <w:rFonts w:ascii="Times New Roman" w:hAnsi="Times New Roman" w:cs="Times New Roman"/>
          <w:color w:val="000000" w:themeColor="text1"/>
          <w:sz w:val="16"/>
          <w:szCs w:val="16"/>
        </w:rPr>
        <w:softHyphen/>
        <w:t>щенные сатирики, «воздушная куча мала» сделал несколько величественных, широких кругов над аэродромом. Подаю сигнал - и все пять истребителей разом стартуют с авиаматки»</w:t>
      </w:r>
    </w:p>
    <w:p w14:paraId="21F31A01" w14:textId="77777777" w:rsidR="00993641" w:rsidRPr="00E14102" w:rsidRDefault="00993641" w:rsidP="00E14102">
      <w:pPr>
        <w:pStyle w:val="42"/>
        <w:shd w:val="clear" w:color="auto" w:fill="auto"/>
        <w:spacing w:line="240" w:lineRule="auto"/>
        <w:ind w:firstLine="0"/>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Всего было выполнено 3 тренировочных полета в полном составе и один демонстрационно-сдаточный перед комиссией ВВС. Эксперименты подтвердили возможность полетов «звена», состоящего из ТБ-3 и пяти истребителей. Никогда ранее и никогда впоследствии в мире подобного не осу</w:t>
      </w:r>
      <w:r w:rsidRPr="00E14102">
        <w:rPr>
          <w:rFonts w:ascii="Times New Roman" w:hAnsi="Times New Roman" w:cs="Times New Roman"/>
          <w:color w:val="000000" w:themeColor="text1"/>
          <w:sz w:val="16"/>
          <w:szCs w:val="16"/>
        </w:rPr>
        <w:softHyphen/>
        <w:t>ществлялось. Испытания были засчитаны как совместные с московским заводом N922, осуществлявшим переделку истребителей и носителя. Полетная масса «А-М»с четырьмя истребителями составляла 20200 кг, после подцепки И-2 - 21700 кг. По оценке Вахми- строва, подтвержденной специалистами ЦАГИ, при некоторых усилениях крыла и шасси ТБ-3, полетную массу «А-М» можно было довести до 28000 кг. Эту воздушную сцепку предполагалось использовать как крейсер-авианосец, который одновре</w:t>
      </w:r>
      <w:r w:rsidRPr="00E14102">
        <w:rPr>
          <w:rFonts w:ascii="Times New Roman" w:hAnsi="Times New Roman" w:cs="Times New Roman"/>
          <w:color w:val="000000" w:themeColor="text1"/>
          <w:sz w:val="16"/>
          <w:szCs w:val="16"/>
        </w:rPr>
        <w:softHyphen/>
        <w:t>менно обеспечивал истребители топли</w:t>
      </w:r>
      <w:r w:rsidRPr="00E14102">
        <w:rPr>
          <w:rFonts w:ascii="Times New Roman" w:hAnsi="Times New Roman" w:cs="Times New Roman"/>
          <w:color w:val="000000" w:themeColor="text1"/>
          <w:sz w:val="16"/>
          <w:szCs w:val="16"/>
        </w:rPr>
        <w:softHyphen/>
        <w:t>вом в полете до момента их отцепления. В заключении по результатам испытаний отмечалось, что «Звено ТБ-3 4М-17 + 2И-5 + 2И-16 + ЗЕТ» может быть эффективно использовано в частях РККА.</w:t>
      </w:r>
    </w:p>
    <w:p w14:paraId="06394BFE" w14:textId="77777777" w:rsidR="00993641" w:rsidRPr="00E14102" w:rsidRDefault="00993641" w:rsidP="00E14102">
      <w:pPr>
        <w:pStyle w:val="42"/>
        <w:shd w:val="clear" w:color="auto" w:fill="auto"/>
        <w:spacing w:line="240" w:lineRule="auto"/>
        <w:ind w:firstLine="0"/>
        <w:jc w:val="both"/>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Окончательные выводы были сделаны несколько иные. Признавалось, что накатка И-5 на крыло ТБ-3 сверху трудоемка, под</w:t>
      </w:r>
      <w:r w:rsidRPr="00E14102">
        <w:rPr>
          <w:rFonts w:ascii="Times New Roman" w:hAnsi="Times New Roman" w:cs="Times New Roman"/>
          <w:color w:val="000000" w:themeColor="text1"/>
          <w:sz w:val="16"/>
          <w:szCs w:val="16"/>
        </w:rPr>
        <w:softHyphen/>
        <w:t>веска И-2 в районе бомболюка снижает возможности ТБ-3, а вот подвеска И-16 под крылом проста и удобна. Именно вариант ТБ-3 + 2И-16 стал в дальнейшем совершенствоваться. Под обозначением «Звено-СПБ» он применялся во время Великой Отечественной войны.</w:t>
      </w:r>
    </w:p>
    <w:p w14:paraId="5F250884" w14:textId="77777777" w:rsidR="00993641" w:rsidRPr="00E14102" w:rsidRDefault="00993641" w:rsidP="00E14102">
      <w:pPr>
        <w:jc w:val="both"/>
        <w:rPr>
          <w:color w:val="000000" w:themeColor="text1"/>
          <w:sz w:val="16"/>
          <w:szCs w:val="16"/>
        </w:rPr>
      </w:pPr>
    </w:p>
    <w:p w14:paraId="2AC4A7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22 ноября 1935 г. было письмо помощника начальника ОБАА АУ РККА Г.Е.Беккера и помощника начальника НТО-1 ОБАА М.М.Занлера начальнику РНИИ НКТП и военпреду АУ РККА при РНИИ: «В дополнение нашего письма, ОБАА считает целесообразным. ввиду предстоящих в 1936 г. работ по проектированию </w:t>
      </w:r>
      <w:r w:rsidRPr="00E14102">
        <w:rPr>
          <w:color w:val="000000" w:themeColor="text1"/>
          <w:sz w:val="16"/>
          <w:szCs w:val="16"/>
        </w:rPr>
        <w:lastRenderedPageBreak/>
        <w:t>спецавиабомбы с допол</w:t>
      </w:r>
      <w:r w:rsidRPr="00E14102">
        <w:rPr>
          <w:color w:val="000000" w:themeColor="text1"/>
          <w:sz w:val="16"/>
          <w:szCs w:val="16"/>
        </w:rPr>
        <w:softHyphen/>
        <w:t>нительной скоростью, после испытания в НИИ четырех штук РС-245 опытную партию РБС-245 испытать бомбометанием по твердому грунту, а не стрельбой по бетону на НИАП. Так как из-за малой меткости на ко</w:t>
      </w:r>
      <w:r w:rsidRPr="00E14102">
        <w:rPr>
          <w:color w:val="000000" w:themeColor="text1"/>
          <w:sz w:val="16"/>
          <w:szCs w:val="16"/>
        </w:rPr>
        <w:softHyphen/>
        <w:t>ротких дистанциях мала вероятность попадания.</w:t>
      </w:r>
    </w:p>
    <w:p w14:paraId="55594F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Испытания будут проводить Воздушные Силы Черного моря в рай</w:t>
      </w:r>
      <w:r w:rsidRPr="00E14102">
        <w:rPr>
          <w:color w:val="000000" w:themeColor="text1"/>
          <w:sz w:val="16"/>
          <w:szCs w:val="16"/>
        </w:rPr>
        <w:softHyphen/>
        <w:t>оне Севастополя по грунту с сопротивлением сжатию 1400 кг/см в рай</w:t>
      </w:r>
      <w:r w:rsidRPr="00E14102">
        <w:rPr>
          <w:color w:val="000000" w:themeColor="text1"/>
          <w:sz w:val="16"/>
          <w:szCs w:val="16"/>
        </w:rPr>
        <w:softHyphen/>
        <w:t>оне Георгиевского монастыря. Опытную партию снарядов, окончательно принятых военпредом, отправить в адрес ВВС Черного моря. Одновре</w:t>
      </w:r>
      <w:r w:rsidRPr="00E14102">
        <w:rPr>
          <w:color w:val="000000" w:themeColor="text1"/>
          <w:sz w:val="16"/>
          <w:szCs w:val="16"/>
        </w:rPr>
        <w:softHyphen/>
        <w:t>менно с этим, возбуждаю ходатайство о распоряжении ВВС Черного мо</w:t>
      </w:r>
      <w:r w:rsidRPr="00E14102">
        <w:rPr>
          <w:color w:val="000000" w:themeColor="text1"/>
          <w:sz w:val="16"/>
          <w:szCs w:val="16"/>
        </w:rPr>
        <w:softHyphen/>
        <w:t>ря провести бомбометание. Двигатели снарядов должны быть снаряже</w:t>
      </w:r>
      <w:r w:rsidRPr="00E14102">
        <w:rPr>
          <w:color w:val="000000" w:themeColor="text1"/>
          <w:sz w:val="16"/>
          <w:szCs w:val="16"/>
        </w:rPr>
        <w:softHyphen/>
        <w:t>ны порохом, а БЧ доведены до веса. Трубки ТМ-4 поставить отдельно. Испытания провести под руководством РНИИ. Принимая во внимание, что эти испытания имеют актуальное значение для предстоящего в 1936 г. проектирования авиабомб на совершенно новом принципе, ОБАА АУ просит па испытания командировать представителя от УВС, 1-НИИ ВВС, Остехбюро и НИО завода №67» (11402).</w:t>
      </w:r>
    </w:p>
    <w:p w14:paraId="5E4068F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80794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ноября 1935 г. госиспытания 68-мм турбореактивных ко</w:t>
      </w:r>
      <w:r w:rsidRPr="00E14102">
        <w:rPr>
          <w:color w:val="000000" w:themeColor="text1"/>
          <w:sz w:val="16"/>
          <w:szCs w:val="16"/>
        </w:rPr>
        <w:softHyphen/>
        <w:t>мандных сигналов дневного и ночного действия прошли и в НИИ УВС.</w:t>
      </w:r>
    </w:p>
    <w:p w14:paraId="05E6A0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Их ответственным исполнителем был назначен инженер 4 отделения Руб</w:t>
      </w:r>
      <w:r w:rsidRPr="00E14102">
        <w:rPr>
          <w:color w:val="000000" w:themeColor="text1"/>
          <w:sz w:val="16"/>
          <w:szCs w:val="16"/>
        </w:rPr>
        <w:softHyphen/>
        <w:t>лев из 4 отдела НИИ УВС РККА под руководством С.Г.Онисько. На испы</w:t>
      </w:r>
      <w:r w:rsidRPr="00E14102">
        <w:rPr>
          <w:color w:val="000000" w:themeColor="text1"/>
          <w:sz w:val="16"/>
          <w:szCs w:val="16"/>
        </w:rPr>
        <w:softHyphen/>
        <w:t>таниях, в частности, требовалось «установить возможность их применения для сигнализации с земли самолетам, находящимся в воздухе».</w:t>
      </w:r>
    </w:p>
    <w:p w14:paraId="7BAA18E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Из 13 использованных ТРС-68Т дневного действия (по три штуки красного, синего и оранжевого дымов и четыре штуки желтого дыма) по</w:t>
      </w:r>
      <w:r w:rsidRPr="00E14102">
        <w:rPr>
          <w:color w:val="000000" w:themeColor="text1"/>
          <w:sz w:val="16"/>
          <w:szCs w:val="16"/>
        </w:rPr>
        <w:softHyphen/>
        <w:t>действовали все. Стрельба из пусковой трубчатого типа при углах возвы</w:t>
      </w:r>
      <w:r w:rsidRPr="00E14102">
        <w:rPr>
          <w:color w:val="000000" w:themeColor="text1"/>
          <w:sz w:val="16"/>
          <w:szCs w:val="16"/>
        </w:rPr>
        <w:softHyphen/>
        <w:t>шения 80-85° гарантировала их срабатывание на высоте 600-650 м. Кор</w:t>
      </w:r>
      <w:r w:rsidRPr="00E14102">
        <w:rPr>
          <w:color w:val="000000" w:themeColor="text1"/>
          <w:sz w:val="16"/>
          <w:szCs w:val="16"/>
        </w:rPr>
        <w:softHyphen/>
        <w:t>пуса боеприпасов падали в секторе на дистанции 50-300 м по направле</w:t>
      </w:r>
      <w:r w:rsidRPr="00E14102">
        <w:rPr>
          <w:color w:val="000000" w:themeColor="text1"/>
          <w:sz w:val="16"/>
          <w:szCs w:val="16"/>
        </w:rPr>
        <w:softHyphen/>
        <w:t>нию стрельбы и в стороны до 150 м. При высоте полета самолета 2000 м на расстоянии 10 км дымовое облако красного, желтого и оранжевого можно было наблюдать в течение 1,5-3 мин. Однако дымового облака синего цвета практически не было видно. Цвет дыма некоторых сигна</w:t>
      </w:r>
      <w:r w:rsidRPr="00E14102">
        <w:rPr>
          <w:color w:val="000000" w:themeColor="text1"/>
          <w:sz w:val="16"/>
          <w:szCs w:val="16"/>
        </w:rPr>
        <w:softHyphen/>
        <w:t>лов синего и желтого цветов можно было спутать с зеленым.</w:t>
      </w:r>
    </w:p>
    <w:p w14:paraId="4789AA3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Из девяти использованных ТРС-68С ночного действия (по три шту</w:t>
      </w:r>
      <w:r w:rsidRPr="00E14102">
        <w:rPr>
          <w:color w:val="000000" w:themeColor="text1"/>
          <w:sz w:val="16"/>
          <w:szCs w:val="16"/>
        </w:rPr>
        <w:softHyphen/>
        <w:t>ки красного и желтого огней, два зеленых и один белого) подействовали семь. На расстоянии 15 км на высоте 2000 м их световой эффект наблю</w:t>
      </w:r>
      <w:r w:rsidRPr="00E14102">
        <w:rPr>
          <w:color w:val="000000" w:themeColor="text1"/>
          <w:sz w:val="16"/>
          <w:szCs w:val="16"/>
        </w:rPr>
        <w:softHyphen/>
        <w:t>дали с самолета устойчиво на протяжении 5-8 с.</w:t>
      </w:r>
    </w:p>
    <w:p w14:paraId="07549DB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этой связи упоминалось, что испытанный в 1933 г. итальянский об</w:t>
      </w:r>
      <w:r w:rsidRPr="00E14102">
        <w:rPr>
          <w:color w:val="000000" w:themeColor="text1"/>
          <w:sz w:val="16"/>
          <w:szCs w:val="16"/>
        </w:rPr>
        <w:softHyphen/>
        <w:t>разец командного сигнала в виде дневной ракеты начинал действовать на высоте 2-3 м от земли. А его дымовое облако было удовлетворительно видно с воздуха на расстоянии 5 км. В «Сборнике переведенных статей 1933 г. по пиротехнии» говорилось, что за границей применяли командные сиг</w:t>
      </w:r>
      <w:r w:rsidRPr="00E14102">
        <w:rPr>
          <w:color w:val="000000" w:themeColor="text1"/>
          <w:sz w:val="16"/>
          <w:szCs w:val="16"/>
        </w:rPr>
        <w:softHyphen/>
        <w:t>налы в виде металлической ракеты и папкового шара, «выбрасываемых из мортирки с помощью газов порохового заряда». Более конкретными дан</w:t>
      </w:r>
      <w:r w:rsidRPr="00E14102">
        <w:rPr>
          <w:color w:val="000000" w:themeColor="text1"/>
          <w:sz w:val="16"/>
          <w:szCs w:val="16"/>
        </w:rPr>
        <w:softHyphen/>
        <w:t>ными об их конструкции испытатели РНИИ не располагали.</w:t>
      </w:r>
    </w:p>
    <w:p w14:paraId="54320CE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выводах отчета говорилось, что прибор для применения команд</w:t>
      </w:r>
      <w:r w:rsidRPr="00E14102">
        <w:rPr>
          <w:color w:val="000000" w:themeColor="text1"/>
          <w:sz w:val="16"/>
          <w:szCs w:val="16"/>
        </w:rPr>
        <w:softHyphen/>
        <w:t>ных сигналов (труба со штырем) обладает малой скорострельностью - 2-3 выстр./мин - и «затруднителен в установке на мерзлом и каменистом грунте». Сигнализировать с помощью ТРС-68 самолетам в облаках (если облачность ниже установленной высоты действия сигналов) и самолетам за облаками, верхний слой которых поднимается выше 750 м, невозмож</w:t>
      </w:r>
      <w:r w:rsidRPr="00E14102">
        <w:rPr>
          <w:color w:val="000000" w:themeColor="text1"/>
          <w:sz w:val="16"/>
          <w:szCs w:val="16"/>
        </w:rPr>
        <w:softHyphen/>
        <w:t>но. Дальность видимости дымов командных сигналов дневного действия в 10 км недостаточна. Применять командные сигналы на аэродроме не</w:t>
      </w:r>
      <w:r w:rsidRPr="00E14102">
        <w:rPr>
          <w:color w:val="000000" w:themeColor="text1"/>
          <w:sz w:val="16"/>
          <w:szCs w:val="16"/>
        </w:rPr>
        <w:softHyphen/>
        <w:t>безопасно из-за падения на землю с высоты 700 м металлического стака</w:t>
      </w:r>
      <w:r w:rsidRPr="00E14102">
        <w:rPr>
          <w:color w:val="000000" w:themeColor="text1"/>
          <w:sz w:val="16"/>
          <w:szCs w:val="16"/>
        </w:rPr>
        <w:softHyphen/>
        <w:t>на массой 1,24 кг.</w:t>
      </w:r>
    </w:p>
    <w:p w14:paraId="1F25DA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основе этого авиаторы пришли к заключению, что 68-мм турбо</w:t>
      </w:r>
      <w:r w:rsidRPr="00E14102">
        <w:rPr>
          <w:color w:val="000000" w:themeColor="text1"/>
          <w:sz w:val="16"/>
          <w:szCs w:val="16"/>
        </w:rPr>
        <w:softHyphen/>
        <w:t>реактивные командные сигналы конструкции РНИИ испытаний не выдержали. Правда, конструкторам предоставляли право провести «ра</w:t>
      </w:r>
      <w:r w:rsidRPr="00E14102">
        <w:rPr>
          <w:color w:val="000000" w:themeColor="text1"/>
          <w:sz w:val="16"/>
          <w:szCs w:val="16"/>
        </w:rPr>
        <w:softHyphen/>
        <w:t>боту над ошибками» и шанс на повторные испытания. К примеру, в дальнейшем для стрельбы ТРС необходимо было трубу со штырем заменить мортирой, «допускающей быструю стрельбу (6-10 выстр./мин) и установку на любом грунте». У боеприпасов же требовалось увели</w:t>
      </w:r>
      <w:r w:rsidRPr="00E14102">
        <w:rPr>
          <w:color w:val="000000" w:themeColor="text1"/>
          <w:sz w:val="16"/>
          <w:szCs w:val="16"/>
        </w:rPr>
        <w:softHyphen/>
        <w:t>чить высоту подъема до 1000-1500 м, обеспечить привычной дистанци</w:t>
      </w:r>
      <w:r w:rsidRPr="00E14102">
        <w:rPr>
          <w:color w:val="000000" w:themeColor="text1"/>
          <w:sz w:val="16"/>
          <w:szCs w:val="16"/>
        </w:rPr>
        <w:softHyphen/>
        <w:t>онной трубкой для регулировки высоты срабатывания сигнала, а также увеличить дальность видимости дымового облака до 20 км и время дей</w:t>
      </w:r>
      <w:r w:rsidRPr="00E14102">
        <w:rPr>
          <w:color w:val="000000" w:themeColor="text1"/>
          <w:sz w:val="16"/>
          <w:szCs w:val="16"/>
        </w:rPr>
        <w:softHyphen/>
        <w:t>ствия звездок огней до 12-16 с. Наряду с этим, необходимо было «уст</w:t>
      </w:r>
      <w:r w:rsidRPr="00E14102">
        <w:rPr>
          <w:color w:val="000000" w:themeColor="text1"/>
          <w:sz w:val="16"/>
          <w:szCs w:val="16"/>
        </w:rPr>
        <w:softHyphen/>
        <w:t>ранить убойность стаканов командных сигналов» и «отработать цвета желтого и синего дымов».</w:t>
      </w:r>
    </w:p>
    <w:p w14:paraId="0A4D7EB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Корпуса БЧ световых боеприпасов снаружи не окрашивали, а покры</w:t>
      </w:r>
      <w:r w:rsidRPr="00E14102">
        <w:rPr>
          <w:color w:val="000000" w:themeColor="text1"/>
          <w:sz w:val="16"/>
          <w:szCs w:val="16"/>
        </w:rPr>
        <w:softHyphen/>
        <w:t>вали прозрачным лаком, у дымовых — масляной краской защитного цве</w:t>
      </w:r>
      <w:r w:rsidRPr="00E14102">
        <w:rPr>
          <w:color w:val="000000" w:themeColor="text1"/>
          <w:sz w:val="16"/>
          <w:szCs w:val="16"/>
        </w:rPr>
        <w:softHyphen/>
        <w:t>та. На них также наносили кольцевые полосы, соответствующие цвету дыма или огня (11402).</w:t>
      </w:r>
    </w:p>
    <w:p w14:paraId="5A03BFB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CDE01D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BFA0181" w14:textId="77777777" w:rsidR="00D4105E" w:rsidRPr="00E14102" w:rsidRDefault="00D4105E" w:rsidP="00E14102">
      <w:pPr>
        <w:autoSpaceDE w:val="0"/>
        <w:autoSpaceDN w:val="0"/>
        <w:adjustRightInd w:val="0"/>
        <w:jc w:val="both"/>
        <w:rPr>
          <w:iCs/>
          <w:color w:val="000000" w:themeColor="text1"/>
          <w:sz w:val="16"/>
          <w:szCs w:val="16"/>
        </w:rPr>
      </w:pPr>
    </w:p>
    <w:p w14:paraId="51188E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ноября 1935 на заводе Ленинская Кузница был спущен на воду монитор Железняков, который теперь стоит на заводе (1069,46).</w:t>
      </w:r>
    </w:p>
    <w:p w14:paraId="36246505" w14:textId="77777777" w:rsidR="00D4105E" w:rsidRPr="00E14102" w:rsidRDefault="00D4105E" w:rsidP="00E14102">
      <w:pPr>
        <w:autoSpaceDE w:val="0"/>
        <w:autoSpaceDN w:val="0"/>
        <w:adjustRightInd w:val="0"/>
        <w:jc w:val="both"/>
        <w:rPr>
          <w:color w:val="000000" w:themeColor="text1"/>
          <w:sz w:val="16"/>
          <w:szCs w:val="16"/>
        </w:rPr>
      </w:pPr>
    </w:p>
    <w:p w14:paraId="2D4442F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EC8CE06" w14:textId="77777777" w:rsidR="00D4105E" w:rsidRPr="00E14102" w:rsidRDefault="00D4105E" w:rsidP="00E14102">
      <w:pPr>
        <w:autoSpaceDE w:val="0"/>
        <w:autoSpaceDN w:val="0"/>
        <w:adjustRightInd w:val="0"/>
        <w:jc w:val="both"/>
        <w:rPr>
          <w:iCs/>
          <w:color w:val="000000" w:themeColor="text1"/>
          <w:sz w:val="16"/>
          <w:szCs w:val="16"/>
        </w:rPr>
      </w:pPr>
    </w:p>
    <w:p w14:paraId="689498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ноября 1935 Пан Америкен запустила регулярную транстихоокеанскую авиалинию от Сан Франциско до Манилы (2100) на М-130 Чайна Клипер (3101).</w:t>
      </w:r>
    </w:p>
    <w:p w14:paraId="2799AC00" w14:textId="77777777" w:rsidR="00D4105E" w:rsidRPr="00E14102" w:rsidRDefault="00D4105E" w:rsidP="00E14102">
      <w:pPr>
        <w:autoSpaceDE w:val="0"/>
        <w:autoSpaceDN w:val="0"/>
        <w:adjustRightInd w:val="0"/>
        <w:jc w:val="both"/>
        <w:rPr>
          <w:color w:val="000000" w:themeColor="text1"/>
          <w:sz w:val="16"/>
          <w:szCs w:val="16"/>
        </w:rPr>
      </w:pPr>
    </w:p>
    <w:p w14:paraId="1BD4248D" w14:textId="77777777" w:rsidR="00FB3896" w:rsidRPr="00E14102" w:rsidRDefault="00FB3896" w:rsidP="00E14102">
      <w:pPr>
        <w:jc w:val="both"/>
        <w:rPr>
          <w:color w:val="0070C0"/>
          <w:sz w:val="16"/>
          <w:szCs w:val="16"/>
        </w:rPr>
      </w:pPr>
      <w:r w:rsidRPr="00E14102">
        <w:rPr>
          <w:color w:val="0070C0"/>
          <w:sz w:val="16"/>
          <w:szCs w:val="16"/>
        </w:rPr>
        <w:t>22 ноября 1935 Pan American Airways начинает первое регулярное воздушное сообщение через Тихий океан на Гавайи, выполняя полет на летающей лодке Martin M-130 China Clipper из Аламеда, Калифорния, в Манилу через Гонолулу, атолл Мидуэй, остров Уэйк, и Гуам . Самолет перевозит более 100 000 почтовых отправлений (20800).</w:t>
      </w:r>
    </w:p>
    <w:p w14:paraId="348AE2EE" w14:textId="77777777" w:rsidR="00FB3896" w:rsidRPr="00E14102" w:rsidRDefault="00FB3896" w:rsidP="00E14102">
      <w:pPr>
        <w:jc w:val="both"/>
        <w:rPr>
          <w:color w:val="0070C0"/>
          <w:sz w:val="16"/>
          <w:szCs w:val="16"/>
        </w:rPr>
      </w:pPr>
    </w:p>
    <w:p w14:paraId="4D6832D9" w14:textId="77777777" w:rsidR="005E1926" w:rsidRPr="00E14102" w:rsidRDefault="005E1926" w:rsidP="00E14102">
      <w:pPr>
        <w:jc w:val="both"/>
        <w:rPr>
          <w:color w:val="000000" w:themeColor="text1"/>
          <w:sz w:val="16"/>
          <w:szCs w:val="16"/>
        </w:rPr>
      </w:pPr>
      <w:r w:rsidRPr="00E14102">
        <w:rPr>
          <w:bCs/>
          <w:color w:val="000000" w:themeColor="text1"/>
          <w:sz w:val="16"/>
          <w:szCs w:val="16"/>
        </w:rPr>
        <w:t xml:space="preserve">22 ноября </w:t>
      </w:r>
      <w:r w:rsidRPr="00E14102">
        <w:rPr>
          <w:color w:val="000000" w:themeColor="text1"/>
          <w:sz w:val="16"/>
          <w:szCs w:val="16"/>
        </w:rPr>
        <w:t>в 1935 году гидроплан «Martin-130 China Clipper» авиакомпании «Pan American Airways» впервые в мире открыл регулярные почтовые рейсы через Тихий океан по маршруту Сан-Франциско - Гавайи - Филиппины. С пассажирами эти самолёты начали летать 1 октября 1936. Рейсы выполнялись еженедельно, в 1938 линию продлили до Гонконга. В ноябре 1937 открылся ещё один тихоокеанский маршрут - из Сан-Франциско в Новую Зеландию, с рядом промежуточных посадок. Однако линия просуществовала лишь два месяца - летавший здесь «Sikorsky S-42» сгорел при дозаправке на Самоа (14837).</w:t>
      </w:r>
    </w:p>
    <w:p w14:paraId="3173872C" w14:textId="77777777" w:rsidR="005E1926" w:rsidRPr="00E14102" w:rsidRDefault="005E1926" w:rsidP="00E14102">
      <w:pPr>
        <w:jc w:val="both"/>
        <w:rPr>
          <w:color w:val="000000" w:themeColor="text1"/>
          <w:sz w:val="16"/>
          <w:szCs w:val="16"/>
        </w:rPr>
      </w:pPr>
    </w:p>
    <w:p w14:paraId="381582B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C45921C" w14:textId="77777777" w:rsidR="00D4105E" w:rsidRPr="00E14102" w:rsidRDefault="00D4105E" w:rsidP="00E14102">
      <w:pPr>
        <w:autoSpaceDE w:val="0"/>
        <w:autoSpaceDN w:val="0"/>
        <w:adjustRightInd w:val="0"/>
        <w:jc w:val="both"/>
        <w:rPr>
          <w:iCs/>
          <w:color w:val="000000" w:themeColor="text1"/>
          <w:sz w:val="16"/>
          <w:szCs w:val="16"/>
        </w:rPr>
      </w:pPr>
    </w:p>
    <w:p w14:paraId="040302E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23 ноября 1935 года вышел Приказ НИИ ВС № 0593 О дополнительных гос. испытаниях головного серийного самолета И-16 с мотором М-22 постройки завода № 21.</w:t>
      </w:r>
    </w:p>
    <w:p w14:paraId="029343B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Произвести дополнительные испытания на пилотаж головного серийного самолета И-16 с мотором М-22 постройки завода № 21.</w:t>
      </w:r>
    </w:p>
    <w:p w14:paraId="669A921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самолета начать с 20 ноября 1935 года и закончить в течении 5 летных дней (6815, 172).</w:t>
      </w:r>
    </w:p>
    <w:p w14:paraId="52E41DF4"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45E0C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ноября 1935 года врид начальника УВС Хрипин писал письмо N 004170 Ворошилову.</w:t>
      </w:r>
    </w:p>
    <w:p w14:paraId="77015C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Прилагаемый проект самолета летающего крыла с двумя моторами М-85 (Гном-Рон-Мистраль-Мажор) разработан известным инженером ЦАГИ Беляевым.</w:t>
      </w:r>
    </w:p>
    <w:p w14:paraId="0A5733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области самолетов летающих крыльев Беляев работает уже давно. Им спроектирован и построен планер летающее крыло по схеме аналогичной представленному проекту самолета. Этот планер летом 1934 года прекрасно прошел испытания, включающие перелет на буксире из Крыма в Москву.</w:t>
      </w:r>
    </w:p>
    <w:p w14:paraId="4E62D7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Вышеуказанное заставляет обратить особое внимание на предложенный им проект самолета.</w:t>
      </w:r>
    </w:p>
    <w:p w14:paraId="40F564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Проблемой самолета летающего крыла в настоящее время много занимаются за границей. В частности в Англии выпущено уже два опытных военных самолета такой схемы.</w:t>
      </w:r>
    </w:p>
    <w:p w14:paraId="210AD5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СССР в настоящее время построено летающее крыло с двумя моторами М-11 конструктора Черановского и ведутся работы конструктором Калининым над выпуском летающего крыла с двумя моторами М22.</w:t>
      </w:r>
    </w:p>
    <w:p w14:paraId="379D42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во многом проект инженера Беляева является более интересным чем указанные выше самолеты.</w:t>
      </w:r>
    </w:p>
    <w:p w14:paraId="26FE81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Исходя из того, что схема самолета является совершенно не обычной было бы правильно не связывать конструктора жестким тактическим заданием и рассматривать самолет, как экспериментальный.</w:t>
      </w:r>
    </w:p>
    <w:p w14:paraId="0CC05D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Считаю, что проект инж. Беляева должен быть осуществлен в ЦАГИ, т.к. последнее даст:</w:t>
      </w:r>
    </w:p>
    <w:p w14:paraId="4ACAFB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Чрезвычайно интересный опыт по созданию самолета новой прогрессивной формы;</w:t>
      </w:r>
    </w:p>
    <w:p w14:paraId="682BA0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Позволит молодому, безусловно крупному конструктору, осуществить свои идеи в учреждении выпускавшем до сих пор лишь конструкции Туполева (2484,80).</w:t>
      </w:r>
    </w:p>
    <w:p w14:paraId="6CAE8AFD" w14:textId="77777777" w:rsidR="00D4105E" w:rsidRPr="00E14102" w:rsidRDefault="00D4105E" w:rsidP="00E14102">
      <w:pPr>
        <w:autoSpaceDE w:val="0"/>
        <w:autoSpaceDN w:val="0"/>
        <w:adjustRightInd w:val="0"/>
        <w:jc w:val="both"/>
        <w:rPr>
          <w:color w:val="000000" w:themeColor="text1"/>
          <w:sz w:val="16"/>
          <w:szCs w:val="16"/>
        </w:rPr>
      </w:pPr>
    </w:p>
    <w:p w14:paraId="7F16F568"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23 ноября 1935 года член Бюро КПК, руководитель группы по военно-морским делам Куйбышев и член КПК, зам. руководителя группы по военно-морским делам Березин писали письмо Молотову</w:t>
      </w:r>
    </w:p>
    <w:p w14:paraId="2ED18D6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О ходе постройки паровых турбин Аксютина и Цветкова и газовой турбины Уварова</w:t>
      </w:r>
    </w:p>
    <w:p w14:paraId="382A23D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Во исполнение Вашего поручения от 13 ноября 1935 года информируем о ходе конструирования паровых и газовых турбин</w:t>
      </w:r>
    </w:p>
    <w:p w14:paraId="43AE1299"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 xml:space="preserve">Паротурбинная установка (две турбины по 1500 л.с.) Аксютина находится в следующем состоянии. Котел прошел испытание на полную мощность. Испытано также сконструированное группой Аксютина автоматическое регулирование котла. На днях заканчивается изготовление нового котла со значительно меньшими габаритами из трубок нержавеющей стали, на котором предполагается достичь рекордного времени пуска – 3 минуты. Турбины испытаны на половинную мощность. Можно также считать решенной проблему конденсатора. Таким образом, как экспериментальная работа, эта паротурбинная установка вполне себя оправдала, но в силу того, что ГУГВФ собирается передавать группу Аксютина НКТП (решения по этому поводу еще нет) эти работы сейчас совершенно беспризорны. Ничего не делается, </w:t>
      </w:r>
      <w:r w:rsidRPr="00E14102">
        <w:rPr>
          <w:color w:val="000000" w:themeColor="text1"/>
          <w:sz w:val="16"/>
          <w:szCs w:val="16"/>
        </w:rPr>
        <w:lastRenderedPageBreak/>
        <w:t>например, для переоборудования самолета под установку паровой турбины. Ни одна организация не включает в свой план на 1936 год работ по этой турбине и не предусматривается отпуск на эти работы средств.</w:t>
      </w:r>
    </w:p>
    <w:p w14:paraId="080C5E7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Нужно отметить, что так как работы над этой установкой начались 4 с лишним года тому назад, то она в известной мере для эксплуатации является морально устаревшей. На основании опыта работы над этой турбиной и новейших технических данных та же группа Аксютина может в короткий срок сконструировать несравненно более современную, более технически совершенную паротурбинную установку. Однако, из-за нерешенности организационного вопроса в области подготовки к новой турбине ничего не делается. Достигнутые уже группой Аксютина результаты позволяют рассчитывать на применение подобных установок в морском флоте, в особенности для крупных торпедных катеров, где они, благодаря большому диапазону скоростей, значительно меньшему шуму, будут иметь несравненные преимущества перед ныне устанавливаемыми авиационными моторами. Однако, всерьез этими вопросами также никто не занимается.</w:t>
      </w:r>
    </w:p>
    <w:p w14:paraId="5D909767"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В значительно худшем состоянии обстоит дело с паротурбиной, разрабатываемой Харьковским авиационным институтом под руководством проф. Цветкова. Сконструированный им котел (отличный в своей конструкции от котла в турбоустановке Аксютина) находится лишь накануне пуска. Ни одной турбины (турбоустановка состоит из двух паротурбин по 3000 л.с. каждая), до сего дня еще не изготовлено, хотя приказом НКТП по заводу им. Кирова (бывш. “Красный Путиловец”) последний срок сдачи этих турбин (этих сроков было уже несколько) был установлен 1 мая 1935 года. Завод обещает их сделать в начале 1936 года.</w:t>
      </w:r>
    </w:p>
    <w:p w14:paraId="0F0D2FA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Так как турбоустановка проф. Цветкова является мощной установкой, рассчитанной для самолетов типа ТБ4, то в настоящее время она применения в авиации иметь не может. Однако, как экспериментальная работа она представляет бесспорный интерес. Из-за отсутствия какого-либо внимания к этой работе со стороны ГУАПа, она недопустимо затянулась и отстала от работы Аксютина, примерно на год.</w:t>
      </w:r>
    </w:p>
    <w:p w14:paraId="07E9B5FF"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Работы по авиационной турбине внутреннего сгорания (газовой) конструкции проф. Уварова (Теплотехнический институт, Москва) находятся в следующем состоянии:</w:t>
      </w:r>
    </w:p>
    <w:p w14:paraId="2BF79E1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 основном проектирование закончено. Проведена предварительная проверка и отработка процесса на малых установках, позволяющая считать задачу в принципе решенной. Необходимо немедленно развернуть постройку этой турбины, представляющей как экспериментальный двигатель, большой интерес. Однако, завод им. Кирова (бывш. “Красный Путиловец”), на который приказом НКТП возложено изготовление этой турбины, этот приказ выполнять отказался. Таким образом, в настоящее время турбина повисла в воздухе. Кроме того, не решено еще кто будет конструировать и делать редуктор для этой турбины.</w:t>
      </w:r>
    </w:p>
    <w:p w14:paraId="55781FB5"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Все это показывает, что дело конструкции особых авиационных двигателей совершенно беспризорно и идет самотеком. Мы считали бы необходимым немедленное изъятие группы Аксютина из ведения ГУГВФ и передачи ее НКТП. По-видимому, наиболее целесообразным было бы создание при НКТП самостоятельной организации по особым авиационным двигателям, объединив в ней работы по паровым и газовым турбинам. Одновременно необходимо развернуть работы по конструированию, на основании всего накопленного опыта паротурбины уже не экспериментальной, а вполне отвечающей требованиям эксплуатации. При соответствующем руководстве и нажиме можно добиться, чтобы подобная турбоустановка была построена и предъявлена на госиспытания к началу 1937 года. Вместе с тем, нужно сейчас же по-настоящему заняться проработкой вопроса об использовании подобных паротурбинных установок в военно-морских силах (3475,164-166).</w:t>
      </w:r>
    </w:p>
    <w:p w14:paraId="7C6556AA"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56BAB7E2" w14:textId="77777777" w:rsidR="005E1926"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42D4A51" w14:textId="77777777" w:rsidR="005E1926" w:rsidRPr="00E14102" w:rsidRDefault="005E1926" w:rsidP="00E14102">
      <w:pPr>
        <w:autoSpaceDE w:val="0"/>
        <w:autoSpaceDN w:val="0"/>
        <w:adjustRightInd w:val="0"/>
        <w:jc w:val="both"/>
        <w:rPr>
          <w:iCs/>
          <w:color w:val="000000" w:themeColor="text1"/>
          <w:sz w:val="16"/>
          <w:szCs w:val="16"/>
        </w:rPr>
      </w:pPr>
    </w:p>
    <w:p w14:paraId="6888F0DF" w14:textId="77777777" w:rsidR="005E1926" w:rsidRPr="00E14102" w:rsidRDefault="005E1926" w:rsidP="00E14102">
      <w:pPr>
        <w:pStyle w:val="rtejustify"/>
        <w:spacing w:before="0" w:after="0"/>
        <w:rPr>
          <w:color w:val="000000" w:themeColor="text1"/>
          <w:sz w:val="16"/>
          <w:szCs w:val="16"/>
        </w:rPr>
      </w:pPr>
      <w:r w:rsidRPr="00E14102">
        <w:rPr>
          <w:rStyle w:val="a6"/>
          <w:bCs/>
          <w:i w:val="0"/>
          <w:color w:val="000000" w:themeColor="text1"/>
          <w:sz w:val="16"/>
          <w:szCs w:val="16"/>
        </w:rPr>
        <w:t>23 ноября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151сс «О дополнительном заказе для ВС РККА». (ГА РФ. Ф. Р</w:t>
      </w:r>
      <w:r w:rsidRPr="00E14102">
        <w:rPr>
          <w:color w:val="000000" w:themeColor="text1"/>
          <w:sz w:val="16"/>
          <w:szCs w:val="16"/>
        </w:rPr>
        <w:noBreakHyphen/>
        <w:t>8418. Оп. 28. Д. 7. Л. 216</w:t>
      </w:r>
      <w:r w:rsidRPr="00E14102">
        <w:rPr>
          <w:color w:val="000000" w:themeColor="text1"/>
          <w:sz w:val="16"/>
          <w:szCs w:val="16"/>
        </w:rPr>
        <w:noBreakHyphen/>
        <w:t>217) (15460).</w:t>
      </w:r>
    </w:p>
    <w:p w14:paraId="688D86FB" w14:textId="77777777" w:rsidR="005E1926" w:rsidRPr="00E14102" w:rsidRDefault="005E1926" w:rsidP="00E14102">
      <w:pPr>
        <w:pStyle w:val="rtejustify"/>
        <w:spacing w:before="0" w:after="0"/>
        <w:rPr>
          <w:color w:val="000000" w:themeColor="text1"/>
          <w:sz w:val="16"/>
          <w:szCs w:val="16"/>
        </w:rPr>
      </w:pPr>
    </w:p>
    <w:p w14:paraId="18804193" w14:textId="77777777" w:rsidR="005E1926"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B605795" w14:textId="77777777" w:rsidR="005E1926" w:rsidRPr="00E14102" w:rsidRDefault="005E1926" w:rsidP="00E14102">
      <w:pPr>
        <w:autoSpaceDE w:val="0"/>
        <w:autoSpaceDN w:val="0"/>
        <w:adjustRightInd w:val="0"/>
        <w:jc w:val="both"/>
        <w:rPr>
          <w:iCs/>
          <w:color w:val="000000" w:themeColor="text1"/>
          <w:sz w:val="16"/>
          <w:szCs w:val="16"/>
        </w:rPr>
      </w:pPr>
    </w:p>
    <w:p w14:paraId="0A0CA4EE" w14:textId="77777777" w:rsidR="005E1926" w:rsidRPr="00E14102" w:rsidRDefault="005E1926" w:rsidP="00E14102">
      <w:pPr>
        <w:shd w:val="clear" w:color="auto" w:fill="FFFFFF"/>
        <w:jc w:val="both"/>
        <w:rPr>
          <w:color w:val="000000" w:themeColor="text1"/>
          <w:sz w:val="16"/>
          <w:szCs w:val="16"/>
        </w:rPr>
      </w:pPr>
      <w:r w:rsidRPr="00E14102">
        <w:rPr>
          <w:color w:val="000000" w:themeColor="text1"/>
          <w:sz w:val="16"/>
          <w:szCs w:val="16"/>
        </w:rPr>
        <w:t>23-го октября 1935 первые кремлевские звезды доставили в Центральный парк имени Горького и установили на постаментах, обитых кумачем. В свете прожекторов засверкали лучи, заискрились уральские самоцветы. В парк пришли сотни людей. Всем хотелось полюбоваться красотой и величием звезд, которые вскоре должны были вспыхнуть в небе столицы. Звезды начали устанавливать 24-го октября, а через три дня звезды засияли над Никольской и Боровицкой башнями. Установленные внутри объемной звезды лампы общей мощностью 5000 вт ярко горели в небе ночной Москвы. Однако эти звезды недолго украшали башни московского Кремля. Их сочли скромными и через два года заменили новыми рубиновыми. А одну из снятых звезд установили на шпиле Северного речного вокзала столицы (15223).</w:t>
      </w:r>
    </w:p>
    <w:p w14:paraId="222001F9" w14:textId="77777777" w:rsidR="005E1926" w:rsidRPr="00E14102" w:rsidRDefault="005E1926" w:rsidP="00E14102">
      <w:pPr>
        <w:shd w:val="clear" w:color="auto" w:fill="FFFFFF"/>
        <w:jc w:val="both"/>
        <w:rPr>
          <w:color w:val="000000" w:themeColor="text1"/>
          <w:sz w:val="16"/>
          <w:szCs w:val="16"/>
        </w:rPr>
      </w:pPr>
    </w:p>
    <w:p w14:paraId="40F87A2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77436EB" w14:textId="77777777" w:rsidR="00D4105E" w:rsidRPr="00E14102" w:rsidRDefault="00D4105E" w:rsidP="00E14102">
      <w:pPr>
        <w:autoSpaceDE w:val="0"/>
        <w:autoSpaceDN w:val="0"/>
        <w:adjustRightInd w:val="0"/>
        <w:jc w:val="both"/>
        <w:rPr>
          <w:iCs/>
          <w:color w:val="000000" w:themeColor="text1"/>
          <w:sz w:val="16"/>
          <w:szCs w:val="16"/>
        </w:rPr>
      </w:pPr>
    </w:p>
    <w:p w14:paraId="606B80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ноября 1935 американец Л.Элсуорт впервые пересек на самолете всю Антарктиду от моря Уэдделла до моря Росса (3481).</w:t>
      </w:r>
    </w:p>
    <w:p w14:paraId="17346C9A" w14:textId="77777777" w:rsidR="00D4105E" w:rsidRPr="00E14102" w:rsidRDefault="00D4105E" w:rsidP="00E14102">
      <w:pPr>
        <w:autoSpaceDE w:val="0"/>
        <w:autoSpaceDN w:val="0"/>
        <w:adjustRightInd w:val="0"/>
        <w:jc w:val="both"/>
        <w:rPr>
          <w:color w:val="000000" w:themeColor="text1"/>
          <w:sz w:val="16"/>
          <w:szCs w:val="16"/>
        </w:rPr>
      </w:pPr>
    </w:p>
    <w:p w14:paraId="51371E2B" w14:textId="77777777" w:rsidR="00AF1060" w:rsidRPr="00E14102" w:rsidRDefault="00AF1060" w:rsidP="00E14102">
      <w:pPr>
        <w:jc w:val="both"/>
        <w:rPr>
          <w:color w:val="000000" w:themeColor="text1"/>
          <w:sz w:val="16"/>
          <w:szCs w:val="16"/>
        </w:rPr>
      </w:pPr>
      <w:r w:rsidRPr="00E14102">
        <w:rPr>
          <w:bCs/>
          <w:color w:val="000000" w:themeColor="text1"/>
          <w:sz w:val="16"/>
          <w:szCs w:val="16"/>
        </w:rPr>
        <w:t xml:space="preserve">23 ноября </w:t>
      </w:r>
      <w:r w:rsidRPr="00E14102">
        <w:rPr>
          <w:color w:val="000000" w:themeColor="text1"/>
          <w:sz w:val="16"/>
          <w:szCs w:val="16"/>
        </w:rPr>
        <w:t>в 1935 году американский исследователь Линкольн Эллсуорт и его пилот Герберт Холлик-Кенион впервые пролетает на самолете через всю Антарктиду, от моря Уэдделла до моря Росса. 23 ноября 1935 г. он открыл цепь гор (часть Трансантарктического хребта), названных его именем (14838).</w:t>
      </w:r>
    </w:p>
    <w:p w14:paraId="4A8D49BD" w14:textId="77777777" w:rsidR="00AF1060" w:rsidRPr="00E14102" w:rsidRDefault="00AF1060" w:rsidP="00E14102">
      <w:pPr>
        <w:jc w:val="both"/>
        <w:rPr>
          <w:color w:val="000000" w:themeColor="text1"/>
          <w:sz w:val="16"/>
          <w:szCs w:val="16"/>
        </w:rPr>
      </w:pPr>
    </w:p>
    <w:p w14:paraId="2E3665D6" w14:textId="77777777" w:rsidR="00FB3896" w:rsidRPr="00E14102" w:rsidRDefault="00FB3896" w:rsidP="00E14102">
      <w:pPr>
        <w:jc w:val="both"/>
        <w:rPr>
          <w:color w:val="0070C0"/>
          <w:sz w:val="16"/>
          <w:szCs w:val="16"/>
        </w:rPr>
      </w:pPr>
      <w:r w:rsidRPr="00E14102">
        <w:rPr>
          <w:color w:val="0070C0"/>
          <w:sz w:val="16"/>
          <w:szCs w:val="16"/>
        </w:rPr>
        <w:t>23 ноября 1935 года — стартовал первый перелёт через Антарктиду.</w:t>
      </w:r>
    </w:p>
    <w:p w14:paraId="77ED7E02" w14:textId="77777777" w:rsidR="00FB3896" w:rsidRPr="00E14102" w:rsidRDefault="00FB3896" w:rsidP="00E14102">
      <w:pPr>
        <w:jc w:val="both"/>
        <w:rPr>
          <w:color w:val="0070C0"/>
          <w:sz w:val="16"/>
          <w:szCs w:val="16"/>
        </w:rPr>
      </w:pPr>
      <w:r w:rsidRPr="00E14102">
        <w:rPr>
          <w:color w:val="0070C0"/>
          <w:sz w:val="16"/>
          <w:szCs w:val="16"/>
        </w:rPr>
        <w:t>Ещё в 1929 году американец Ричард Бёрд первым пролетел над Южным полюсом. Но пересечь шестой континент по воздуху лишь с третьей попытки удалось полярному исследователю из США Линкольну Элсуорту (Lincoln Ellsworth) и его команде.</w:t>
      </w:r>
    </w:p>
    <w:p w14:paraId="6D080690" w14:textId="77777777" w:rsidR="00FB3896" w:rsidRPr="00E14102" w:rsidRDefault="00FB3896" w:rsidP="00E14102">
      <w:pPr>
        <w:jc w:val="both"/>
        <w:rPr>
          <w:color w:val="0070C0"/>
          <w:sz w:val="16"/>
          <w:szCs w:val="16"/>
        </w:rPr>
      </w:pPr>
      <w:r w:rsidRPr="00E14102">
        <w:rPr>
          <w:color w:val="0070C0"/>
          <w:sz w:val="16"/>
          <w:szCs w:val="16"/>
        </w:rPr>
        <w:t>Для перелёта Элсуорт приобрёл одномоторный моноплан Northrop Gamma 2B, дав ему имя Polar Star («Полярная звезда»). Самолёт доставили в Антарктику на остров Данди, где подготовили полосу для взлёта и устроили базу. В качестве пилота был приглашён канадский лётчик Герберт Холлик-Кеньон (Herbert Hollick-Kenyon).</w:t>
      </w:r>
    </w:p>
    <w:p w14:paraId="67F0BB9F" w14:textId="77777777" w:rsidR="00FB3896" w:rsidRPr="00E14102" w:rsidRDefault="00FB3896" w:rsidP="00E14102">
      <w:pPr>
        <w:jc w:val="both"/>
        <w:rPr>
          <w:color w:val="0070C0"/>
          <w:sz w:val="16"/>
          <w:szCs w:val="16"/>
        </w:rPr>
      </w:pPr>
      <w:r w:rsidRPr="00E14102">
        <w:rPr>
          <w:color w:val="0070C0"/>
          <w:sz w:val="16"/>
          <w:szCs w:val="16"/>
        </w:rPr>
        <w:t>В 4 часа утра 23 ноября 1935 года Polar Star взлетел. А 5 декабря, после 4 промежуточных посадок и борьбы с погодой, преодолев за 20 часов лётного времени 2200 км, исследователи приземлились на шельфовом леднике Росса. Недалеко находилась база Little America («Маленькая Америка») Ричарда Бёрда, где они и дожидались прибытия за ними британского корабля Discovery II (22300).</w:t>
      </w:r>
    </w:p>
    <w:p w14:paraId="195A9F9A" w14:textId="77777777" w:rsidR="00FB3896" w:rsidRPr="00E14102" w:rsidRDefault="00FB3896" w:rsidP="00E14102">
      <w:pPr>
        <w:jc w:val="both"/>
        <w:rPr>
          <w:color w:val="0070C0"/>
          <w:sz w:val="16"/>
          <w:szCs w:val="16"/>
        </w:rPr>
      </w:pPr>
    </w:p>
    <w:p w14:paraId="2952A3A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25C8518" w14:textId="77777777" w:rsidR="00D4105E" w:rsidRPr="00E14102" w:rsidRDefault="00D4105E" w:rsidP="00E14102">
      <w:pPr>
        <w:autoSpaceDE w:val="0"/>
        <w:autoSpaceDN w:val="0"/>
        <w:adjustRightInd w:val="0"/>
        <w:jc w:val="both"/>
        <w:rPr>
          <w:iCs/>
          <w:color w:val="000000" w:themeColor="text1"/>
          <w:sz w:val="16"/>
          <w:szCs w:val="16"/>
        </w:rPr>
      </w:pPr>
    </w:p>
    <w:p w14:paraId="126AE4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ноября 1935 на ДБА 4М-34РН в ходе заводских испытаний перегнали на 22 завод для доделок. Это был 26-й полет (249).</w:t>
      </w:r>
    </w:p>
    <w:p w14:paraId="29D0BD97" w14:textId="77777777" w:rsidR="00D4105E" w:rsidRPr="00E14102" w:rsidRDefault="00D4105E" w:rsidP="00E14102">
      <w:pPr>
        <w:autoSpaceDE w:val="0"/>
        <w:autoSpaceDN w:val="0"/>
        <w:adjustRightInd w:val="0"/>
        <w:jc w:val="both"/>
        <w:rPr>
          <w:color w:val="000000" w:themeColor="text1"/>
          <w:sz w:val="16"/>
          <w:szCs w:val="16"/>
        </w:rPr>
      </w:pPr>
    </w:p>
    <w:p w14:paraId="480614EF" w14:textId="77777777" w:rsidR="00CD3BA6" w:rsidRPr="00E14102" w:rsidRDefault="00CD3BA6" w:rsidP="00E14102">
      <w:pPr>
        <w:jc w:val="both"/>
        <w:rPr>
          <w:color w:val="000000" w:themeColor="text1"/>
          <w:sz w:val="16"/>
          <w:szCs w:val="16"/>
        </w:rPr>
      </w:pPr>
      <w:r w:rsidRPr="00E14102">
        <w:rPr>
          <w:color w:val="000000" w:themeColor="text1"/>
          <w:sz w:val="16"/>
          <w:szCs w:val="16"/>
        </w:rPr>
        <w:t>24 ноября 1935 ДБ-А вернули на завод для доработок, затянувшихся почти на два месяца. 15 января 1936 года машина вновь оказалась в руках испытателей НИИ ВВС, но не надолго. 14 марта самолет вновь при</w:t>
      </w:r>
      <w:r w:rsidRPr="00E14102">
        <w:rPr>
          <w:color w:val="000000" w:themeColor="text1"/>
          <w:sz w:val="16"/>
          <w:szCs w:val="16"/>
        </w:rPr>
        <w:softHyphen/>
        <w:t>няли на испытания, продолжившиеся до середины лета. Ведущими по машине бы</w:t>
      </w:r>
      <w:r w:rsidRPr="00E14102">
        <w:rPr>
          <w:color w:val="000000" w:themeColor="text1"/>
          <w:sz w:val="16"/>
          <w:szCs w:val="16"/>
        </w:rPr>
        <w:softHyphen/>
        <w:t>ли инженер, будущий начальник институ</w:t>
      </w:r>
      <w:r w:rsidRPr="00E14102">
        <w:rPr>
          <w:color w:val="000000" w:themeColor="text1"/>
          <w:sz w:val="16"/>
          <w:szCs w:val="16"/>
        </w:rPr>
        <w:softHyphen/>
        <w:t>та, П.А. Лосюков и летчик М.А. Нюхтиков (12725).</w:t>
      </w:r>
    </w:p>
    <w:p w14:paraId="2C5DEED1" w14:textId="77777777" w:rsidR="00CD3BA6" w:rsidRPr="00E14102" w:rsidRDefault="00CD3BA6" w:rsidP="00E14102">
      <w:pPr>
        <w:jc w:val="both"/>
        <w:rPr>
          <w:color w:val="000000" w:themeColor="text1"/>
          <w:sz w:val="16"/>
          <w:szCs w:val="16"/>
        </w:rPr>
      </w:pPr>
    </w:p>
    <w:p w14:paraId="2A9F812C" w14:textId="77777777" w:rsidR="00AF106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42B4622" w14:textId="77777777" w:rsidR="00AF1060" w:rsidRPr="00E14102" w:rsidRDefault="00AF1060" w:rsidP="00E14102">
      <w:pPr>
        <w:autoSpaceDE w:val="0"/>
        <w:autoSpaceDN w:val="0"/>
        <w:adjustRightInd w:val="0"/>
        <w:jc w:val="both"/>
        <w:rPr>
          <w:iCs/>
          <w:color w:val="000000" w:themeColor="text1"/>
          <w:sz w:val="16"/>
          <w:szCs w:val="16"/>
        </w:rPr>
      </w:pPr>
    </w:p>
    <w:p w14:paraId="4B2E5553" w14:textId="77777777" w:rsidR="00AF1060" w:rsidRPr="00E14102" w:rsidRDefault="00AF1060" w:rsidP="00E14102">
      <w:pPr>
        <w:jc w:val="both"/>
        <w:rPr>
          <w:rStyle w:val="a6"/>
          <w:i w:val="0"/>
          <w:color w:val="000000" w:themeColor="text1"/>
          <w:sz w:val="16"/>
          <w:szCs w:val="16"/>
        </w:rPr>
      </w:pPr>
      <w:r w:rsidRPr="00E14102">
        <w:rPr>
          <w:rStyle w:val="a6"/>
          <w:i w:val="0"/>
          <w:color w:val="000000" w:themeColor="text1"/>
          <w:sz w:val="16"/>
          <w:szCs w:val="16"/>
        </w:rPr>
        <w:t xml:space="preserve">24 ноября 1935 г. </w:t>
      </w:r>
      <w:r w:rsidRPr="00E14102">
        <w:rPr>
          <w:color w:val="000000" w:themeColor="text1"/>
          <w:sz w:val="16"/>
          <w:szCs w:val="16"/>
        </w:rPr>
        <w:t>Доклад заместителя главного инженера Научно-исследовательской лаборатории НКТП СССР А. М. Захарова наркому тяжелой промышленности СССР С. Орджоникидзе о создании нового фугасно-бронебойного снаряда крупного калибра</w:t>
      </w:r>
    </w:p>
    <w:p w14:paraId="4B8C3C39" w14:textId="77777777" w:rsidR="00AF1060" w:rsidRPr="00E14102" w:rsidRDefault="00AF1060" w:rsidP="00E14102">
      <w:pPr>
        <w:jc w:val="both"/>
        <w:rPr>
          <w:color w:val="000000" w:themeColor="text1"/>
          <w:sz w:val="16"/>
          <w:szCs w:val="16"/>
        </w:rPr>
      </w:pPr>
      <w:r w:rsidRPr="00E14102">
        <w:rPr>
          <w:rStyle w:val="a6"/>
          <w:i w:val="0"/>
          <w:color w:val="000000" w:themeColor="text1"/>
          <w:sz w:val="16"/>
          <w:szCs w:val="16"/>
        </w:rPr>
        <w:t>Секретно.</w:t>
      </w:r>
    </w:p>
    <w:p w14:paraId="5DEF4633" w14:textId="77777777" w:rsidR="00AF1060" w:rsidRPr="00E14102" w:rsidRDefault="00AF1060" w:rsidP="00E14102">
      <w:pPr>
        <w:pStyle w:val="rtejustify"/>
        <w:spacing w:before="0" w:after="0"/>
        <w:rPr>
          <w:color w:val="000000" w:themeColor="text1"/>
          <w:sz w:val="16"/>
          <w:szCs w:val="16"/>
        </w:rPr>
      </w:pPr>
      <w:r w:rsidRPr="00E14102">
        <w:rPr>
          <w:color w:val="000000" w:themeColor="text1"/>
          <w:sz w:val="16"/>
          <w:szCs w:val="16"/>
        </w:rPr>
        <w:t>1. В дореволюционное время производство фугасно-бронебойных снарядов крупных калибров было поставлено на заводах неудовлетворительно, кроме 12</w:t>
      </w:r>
      <w:r w:rsidRPr="00E14102">
        <w:rPr>
          <w:color w:val="000000" w:themeColor="text1"/>
          <w:sz w:val="16"/>
          <w:szCs w:val="16"/>
        </w:rPr>
        <w:noBreakHyphen/>
        <w:t>дюймого калибра, несмотря на то, что эти снаряды выделывались из наилучшей стали, на которую болванки и чугун ввозились из-за границы. Изготовленные снаряды не удовлетворяли поставленным техническим условиям на бронепробиваемость, и если принимались на вооружение, то только как выход из положения, ибо ничего лучшего не было, несмотря на колоссальные затраты в золотых рублях, по привлечению иностранной технической помощи.</w:t>
      </w:r>
    </w:p>
    <w:p w14:paraId="3F64F728" w14:textId="77777777" w:rsidR="00AF1060" w:rsidRPr="00E14102" w:rsidRDefault="00AF1060" w:rsidP="00E14102">
      <w:pPr>
        <w:pStyle w:val="rtejustify"/>
        <w:spacing w:before="0" w:after="0"/>
        <w:rPr>
          <w:color w:val="000000" w:themeColor="text1"/>
          <w:sz w:val="16"/>
          <w:szCs w:val="16"/>
        </w:rPr>
      </w:pPr>
      <w:r w:rsidRPr="00E14102">
        <w:rPr>
          <w:color w:val="000000" w:themeColor="text1"/>
          <w:sz w:val="16"/>
          <w:szCs w:val="16"/>
        </w:rPr>
        <w:t>2. К производству 180</w:t>
      </w:r>
      <w:r w:rsidRPr="00E14102">
        <w:rPr>
          <w:color w:val="000000" w:themeColor="text1"/>
          <w:sz w:val="16"/>
          <w:szCs w:val="16"/>
        </w:rPr>
        <w:noBreakHyphen/>
        <w:t>мм бронебойных опытных снарядов впервые было приступлено только в 1930 г. на заводе «Большевик» (в дореволюционное время они не изготовлялись) по чертежам морского ведомства, и это производство разделяется на три периода, а именно:</w:t>
      </w:r>
    </w:p>
    <w:p w14:paraId="1F6A9133" w14:textId="77777777" w:rsidR="00AF1060" w:rsidRPr="00E14102" w:rsidRDefault="00AF1060" w:rsidP="00E14102">
      <w:pPr>
        <w:pStyle w:val="rtejustify"/>
        <w:spacing w:before="0" w:after="0"/>
        <w:rPr>
          <w:color w:val="000000" w:themeColor="text1"/>
          <w:sz w:val="16"/>
          <w:szCs w:val="16"/>
        </w:rPr>
      </w:pPr>
      <w:r w:rsidRPr="00E14102">
        <w:rPr>
          <w:color w:val="000000" w:themeColor="text1"/>
          <w:sz w:val="16"/>
          <w:szCs w:val="16"/>
        </w:rPr>
        <w:t>3. I период, охватывает 3 года — 1930, 1931 и 1932. За это время были изготовлены изделия по трем чертежам морского ведомства, было применено несколько различных марок сталей и 2 варианта термической обработки. К этой работе был привлечен Ленинградский институт металлов, который в 1931 и 1932 гг. фактически не только руководил работой, а сам непосредственно ее проводил на заводе «Большевик». Результаты трехгодичной работы были неудовлетворительны (по техническим условиям требовалось пробитие в целом виде 7</w:t>
      </w:r>
      <w:r w:rsidRPr="00E14102">
        <w:rPr>
          <w:color w:val="000000" w:themeColor="text1"/>
          <w:sz w:val="16"/>
          <w:szCs w:val="16"/>
        </w:rPr>
        <w:noBreakHyphen/>
        <w:t>дюймовой плиты под углом 25°), фактически же имели:</w:t>
      </w:r>
    </w:p>
    <w:p w14:paraId="565118EF" w14:textId="77777777" w:rsidR="00AF1060" w:rsidRPr="00E14102" w:rsidRDefault="00AF1060" w:rsidP="00E14102">
      <w:pPr>
        <w:pStyle w:val="rtejustify"/>
        <w:spacing w:before="0" w:after="0"/>
        <w:rPr>
          <w:color w:val="000000" w:themeColor="text1"/>
          <w:sz w:val="16"/>
          <w:szCs w:val="16"/>
        </w:rPr>
      </w:pPr>
      <w:r w:rsidRPr="00E14102">
        <w:rPr>
          <w:color w:val="000000" w:themeColor="text1"/>
          <w:sz w:val="16"/>
          <w:szCs w:val="16"/>
        </w:rPr>
        <w:t>а) по 7</w:t>
      </w:r>
      <w:r w:rsidRPr="00E14102">
        <w:rPr>
          <w:color w:val="000000" w:themeColor="text1"/>
          <w:sz w:val="16"/>
          <w:szCs w:val="16"/>
        </w:rPr>
        <w:noBreakHyphen/>
        <w:t>дюймовой плите, в нормаль, разбилось 58%, целых 42%.</w:t>
      </w:r>
    </w:p>
    <w:p w14:paraId="003666A3" w14:textId="77777777" w:rsidR="00AF1060" w:rsidRPr="00E14102" w:rsidRDefault="00AF1060" w:rsidP="00E14102">
      <w:pPr>
        <w:pStyle w:val="rtejustify"/>
        <w:spacing w:before="0" w:after="0"/>
        <w:rPr>
          <w:color w:val="000000" w:themeColor="text1"/>
          <w:sz w:val="16"/>
          <w:szCs w:val="16"/>
        </w:rPr>
      </w:pPr>
      <w:r w:rsidRPr="00E14102">
        <w:rPr>
          <w:color w:val="000000" w:themeColor="text1"/>
          <w:sz w:val="16"/>
          <w:szCs w:val="16"/>
        </w:rPr>
        <w:t>б) по 7</w:t>
      </w:r>
      <w:r w:rsidRPr="00E14102">
        <w:rPr>
          <w:color w:val="000000" w:themeColor="text1"/>
          <w:sz w:val="16"/>
          <w:szCs w:val="16"/>
        </w:rPr>
        <w:noBreakHyphen/>
        <w:t>дюймовой, 6</w:t>
      </w:r>
      <w:r w:rsidRPr="00E14102">
        <w:rPr>
          <w:color w:val="000000" w:themeColor="text1"/>
          <w:sz w:val="16"/>
          <w:szCs w:val="16"/>
        </w:rPr>
        <w:noBreakHyphen/>
        <w:t>дюймовой и 5</w:t>
      </w:r>
      <w:r w:rsidRPr="00E14102">
        <w:rPr>
          <w:color w:val="000000" w:themeColor="text1"/>
          <w:sz w:val="16"/>
          <w:szCs w:val="16"/>
        </w:rPr>
        <w:noBreakHyphen/>
        <w:t>дюймовой плитам, под углом 25°, разбилось 90%, целых 10%.</w:t>
      </w:r>
    </w:p>
    <w:p w14:paraId="420C3E93" w14:textId="77777777" w:rsidR="00AF1060" w:rsidRPr="00E14102" w:rsidRDefault="00AF1060" w:rsidP="00E14102">
      <w:pPr>
        <w:pStyle w:val="rtejustify"/>
        <w:spacing w:before="0" w:after="0"/>
        <w:rPr>
          <w:color w:val="000000" w:themeColor="text1"/>
          <w:sz w:val="16"/>
          <w:szCs w:val="16"/>
        </w:rPr>
      </w:pPr>
      <w:r w:rsidRPr="00E14102">
        <w:rPr>
          <w:color w:val="000000" w:themeColor="text1"/>
          <w:sz w:val="16"/>
          <w:szCs w:val="16"/>
        </w:rPr>
        <w:t xml:space="preserve">4. II период, охватывает весь 1933 г. и частично 1934 г. Не получив никаких мало-мальски удовлетворительных результатов в течение трех лет, — по инициативе бывшего зам. наркома тяжелой промышленности, ныне начальника ГВМУ НКТП т. Павлуновского И. П., в начале 1933 г. было создано Специальное снарядное бюро (ССБ), на которое и было возложено разрешение задачи по созданию бронебойных снарядов всех калибров, удовлетворяющих техническим условиям. Работу этого 1933 г. нужно разделить на 2 периода, а именно: а) «Термическая обработка по способу инженера Гартца», которая впоследствии себя совершенно не оправдала и </w:t>
      </w:r>
      <w:r w:rsidRPr="00E14102">
        <w:rPr>
          <w:color w:val="000000" w:themeColor="text1"/>
          <w:sz w:val="16"/>
          <w:szCs w:val="16"/>
        </w:rPr>
        <w:lastRenderedPageBreak/>
        <w:t>ныне совершенно не применяется; б) «Металлургические искания» — много различных марок сталей, несколько различных вариантов термической обработки, ковка на 4</w:t>
      </w:r>
      <w:r w:rsidRPr="00E14102">
        <w:rPr>
          <w:color w:val="000000" w:themeColor="text1"/>
          <w:sz w:val="16"/>
          <w:szCs w:val="16"/>
        </w:rPr>
        <w:noBreakHyphen/>
        <w:t>х заводах под различными молотами до 20 т включительно. Все это применялось к чертежу Управления военно-морских сил № 257, который не отличался большей прочностью, чем предыдущий за № 393. Работа 1933 г. не дала положительных результатов, так как при испытаниях на полигоне по 7</w:t>
      </w:r>
      <w:r w:rsidRPr="00E14102">
        <w:rPr>
          <w:color w:val="000000" w:themeColor="text1"/>
          <w:sz w:val="16"/>
          <w:szCs w:val="16"/>
        </w:rPr>
        <w:noBreakHyphen/>
        <w:t>дюймовой и 5</w:t>
      </w:r>
      <w:r w:rsidRPr="00E14102">
        <w:rPr>
          <w:color w:val="000000" w:themeColor="text1"/>
          <w:sz w:val="16"/>
          <w:szCs w:val="16"/>
        </w:rPr>
        <w:noBreakHyphen/>
        <w:t>дюймовой плитам, под углом 25°: а) термообработанные по способу инженера Гартца — разбилось 80%, целых — 20%; б) металлургические варианты — разбилось 75%, целых — 25%. Эти неудовлетворительные результаты вынудили Управление военно-морских сил значительно снизить технические условия на прием изделий и перейти на 5</w:t>
      </w:r>
      <w:r w:rsidRPr="00E14102">
        <w:rPr>
          <w:color w:val="000000" w:themeColor="text1"/>
          <w:sz w:val="16"/>
          <w:szCs w:val="16"/>
        </w:rPr>
        <w:noBreakHyphen/>
        <w:t>дюймовую плиту, угол 25° вместо прежней 7</w:t>
      </w:r>
      <w:r w:rsidRPr="00E14102">
        <w:rPr>
          <w:color w:val="000000" w:themeColor="text1"/>
          <w:sz w:val="16"/>
          <w:szCs w:val="16"/>
        </w:rPr>
        <w:noBreakHyphen/>
        <w:t>дюймовой плиты, угол 25°.</w:t>
      </w:r>
    </w:p>
    <w:p w14:paraId="6AC9728E" w14:textId="77777777" w:rsidR="00AF1060" w:rsidRPr="00E14102" w:rsidRDefault="00AF1060" w:rsidP="00E14102">
      <w:pPr>
        <w:pStyle w:val="rtejustify"/>
        <w:spacing w:before="0" w:after="0"/>
        <w:rPr>
          <w:color w:val="000000" w:themeColor="text1"/>
          <w:sz w:val="16"/>
          <w:szCs w:val="16"/>
        </w:rPr>
      </w:pPr>
      <w:r w:rsidRPr="00E14102">
        <w:rPr>
          <w:color w:val="000000" w:themeColor="text1"/>
          <w:sz w:val="16"/>
          <w:szCs w:val="16"/>
        </w:rPr>
        <w:t xml:space="preserve">Необходимо отметить, что впервые только в конце 1933 г. были произведены полигоном испытания на меткость этих снарядов. Эти испытания дали неудовлетворительные результаты — меткость получилась равной </w:t>
      </w:r>
      <w:r w:rsidRPr="00E14102">
        <w:rPr>
          <w:rFonts w:eastAsia="MS Mincho"/>
          <w:color w:val="000000" w:themeColor="text1"/>
          <w:sz w:val="16"/>
          <w:szCs w:val="16"/>
        </w:rPr>
        <w:t>⅟₇₅</w:t>
      </w:r>
      <w:r w:rsidRPr="00E14102">
        <w:rPr>
          <w:color w:val="000000" w:themeColor="text1"/>
          <w:sz w:val="16"/>
          <w:szCs w:val="16"/>
        </w:rPr>
        <w:noBreakHyphen/>
      </w:r>
      <w:r w:rsidRPr="00E14102">
        <w:rPr>
          <w:rFonts w:eastAsia="MS Mincho"/>
          <w:color w:val="000000" w:themeColor="text1"/>
          <w:sz w:val="16"/>
          <w:szCs w:val="16"/>
        </w:rPr>
        <w:t>⅟₈₅</w:t>
      </w:r>
      <w:r w:rsidRPr="00E14102">
        <w:rPr>
          <w:color w:val="000000" w:themeColor="text1"/>
          <w:sz w:val="16"/>
          <w:szCs w:val="16"/>
        </w:rPr>
        <w:t xml:space="preserve"> вместо требуемой </w:t>
      </w:r>
      <w:r w:rsidRPr="00E14102">
        <w:rPr>
          <w:rFonts w:eastAsia="MS Mincho"/>
          <w:color w:val="000000" w:themeColor="text1"/>
          <w:sz w:val="16"/>
          <w:szCs w:val="16"/>
        </w:rPr>
        <w:t>⅟₂₅₀</w:t>
      </w:r>
      <w:r w:rsidRPr="00E14102">
        <w:rPr>
          <w:color w:val="000000" w:themeColor="text1"/>
          <w:sz w:val="16"/>
          <w:szCs w:val="16"/>
        </w:rPr>
        <w:t xml:space="preserve"> и, кроме этого, получились сильные отпечатки от полей нарезов пушки, как на центрующих утолщениях, так даже и на самих корпусах, что губительно влияет на жизнь орудия, и оно быстро выбывает из строя. Эти отпечатки получались в большинстве случаев, как на лучших изделиях по обмерам, так и на худших, а поэтому нельзя было уловить никакой зависимости от степени мехобработки.</w:t>
      </w:r>
    </w:p>
    <w:p w14:paraId="4D3CA20E" w14:textId="77777777" w:rsidR="00AF1060" w:rsidRPr="00E14102" w:rsidRDefault="00AF1060" w:rsidP="00E14102">
      <w:pPr>
        <w:pStyle w:val="rtejustify"/>
        <w:spacing w:before="0" w:after="0"/>
        <w:rPr>
          <w:color w:val="000000" w:themeColor="text1"/>
          <w:sz w:val="16"/>
          <w:szCs w:val="16"/>
        </w:rPr>
      </w:pPr>
      <w:r w:rsidRPr="00E14102">
        <w:rPr>
          <w:color w:val="000000" w:themeColor="text1"/>
          <w:sz w:val="16"/>
          <w:szCs w:val="16"/>
        </w:rPr>
        <w:t>5. III период охватывает весь 1934 и частично 1935 гг. — «Конструкторские искания». Испытав большинство лучших металлургических процессов и не получив удовлетворительных результатов, было признано, что конструкция снаряда не отвечает требованиям, которые были поставлены для работы этого снаряда по 7</w:t>
      </w:r>
      <w:r w:rsidRPr="00E14102">
        <w:rPr>
          <w:color w:val="000000" w:themeColor="text1"/>
          <w:sz w:val="16"/>
          <w:szCs w:val="16"/>
        </w:rPr>
        <w:noBreakHyphen/>
        <w:t>дюймовым плитам, а поэтому, по распоряжению начальника ГВМУ НКТП т. Павлуновского И. П., было приступлено к изготовлению новых конструкций. Испытания новых конструкций были проведены в начале 1934 г., с результатами: а) чертеж № 945 (АНИМИ) — разбилось 87%, целых — 13%; б) чертеж № 950 (проф. Минкевича и др.) разбилось 100%; в) чертеж № 1000 (проф. Минкевича и др.): а) сниженная закалка, разбилось — 100%; б) ступенчатая закалка, разбилось — 100%; в) по способу инженера Гартца, разбилось — 100%; г) марки стали ХНМ, разбилось — 80%, целых — 20%; д) марки стали ДЗ, разбилось — 66%, целых — 34%; е) нормальный закал (опытн.), разбилось — 10%, целых — 90%; ж) нормальный закал (пробная партия) разбилось — 58%, целых — 42%; з) германск. норм. наконечн., разбилось — 67%, целых — 33%; г) чертеж АНИМИ (инж. Мельницкий и Костылев) — разбилось 100%; д) чертеж № 257 + 1000 (ССБ) — разбилось 100%.</w:t>
      </w:r>
    </w:p>
    <w:p w14:paraId="2A21BF4A" w14:textId="77777777" w:rsidR="00AF1060" w:rsidRPr="00E14102" w:rsidRDefault="00AF1060" w:rsidP="00E14102">
      <w:pPr>
        <w:pStyle w:val="rtejustify"/>
        <w:spacing w:before="0" w:after="0"/>
        <w:rPr>
          <w:color w:val="000000" w:themeColor="text1"/>
          <w:sz w:val="16"/>
          <w:szCs w:val="16"/>
        </w:rPr>
      </w:pPr>
      <w:r w:rsidRPr="00E14102">
        <w:rPr>
          <w:color w:val="000000" w:themeColor="text1"/>
          <w:sz w:val="16"/>
          <w:szCs w:val="16"/>
        </w:rPr>
        <w:t>Таким образом, лучшим чертежом оказался чертеж промышленности за № 1000, нормальной закалки, который, хотя и не отвечал полностью техническим условиям по ВСТ № 52 (требовалось от снаряда стопроцентное пробитие в целом виде по 7</w:t>
      </w:r>
      <w:r w:rsidRPr="00E14102">
        <w:rPr>
          <w:color w:val="000000" w:themeColor="text1"/>
          <w:sz w:val="16"/>
          <w:szCs w:val="16"/>
        </w:rPr>
        <w:noBreakHyphen/>
        <w:t>дюймовой плите, угол 25°), но был принят на вооружение взамен чертежа военно-морских сил РККА за № 257, который был значительно слабей.</w:t>
      </w:r>
    </w:p>
    <w:p w14:paraId="6BB4494E" w14:textId="77777777" w:rsidR="00AF1060" w:rsidRPr="00E14102" w:rsidRDefault="00AF1060" w:rsidP="00E14102">
      <w:pPr>
        <w:pStyle w:val="rtejustify"/>
        <w:spacing w:before="0" w:after="0"/>
        <w:rPr>
          <w:color w:val="000000" w:themeColor="text1"/>
          <w:sz w:val="16"/>
          <w:szCs w:val="16"/>
        </w:rPr>
      </w:pPr>
      <w:r w:rsidRPr="00E14102">
        <w:rPr>
          <w:color w:val="000000" w:themeColor="text1"/>
          <w:sz w:val="16"/>
          <w:szCs w:val="16"/>
        </w:rPr>
        <w:t>6. Не получив благоприятных результатов в течение четырехлетней напряженной работы при участии всех специалистов по выработке лучшего бронебойного снаряда, который отвечал бы поставленным техническим условиям, начальник ГВМУ НКТП т. Павлуновский И. П. в январе 1934 г. обратился лично к инженеру Георгиеву П. К. с просьбой и убеждением заняться бронебойным снарядом и принять эту работу непосредственно на себя. Инженер Георгиев П. К. согласился и приступил к выполнению этой неразрешенной задачи с группой работников завода «Большевик» в количестве 5</w:t>
      </w:r>
      <w:r w:rsidRPr="00E14102">
        <w:rPr>
          <w:color w:val="000000" w:themeColor="text1"/>
          <w:sz w:val="16"/>
          <w:szCs w:val="16"/>
        </w:rPr>
        <w:noBreakHyphen/>
        <w:t>6 человек. Работы были направлены по двум главным линиям, а именно: 1) выработка новой конструкции самого снаряда и 2) разработка нового технологического процесса ковки бронебойного наконечника, которому придавалось первенствующее значение при прохождении снаряда через плиту.</w:t>
      </w:r>
    </w:p>
    <w:p w14:paraId="7E6D23DA" w14:textId="77777777" w:rsidR="00AF1060" w:rsidRPr="00E14102" w:rsidRDefault="00AF1060" w:rsidP="00E14102">
      <w:pPr>
        <w:pStyle w:val="rtejustify"/>
        <w:spacing w:before="0" w:after="0"/>
        <w:rPr>
          <w:color w:val="000000" w:themeColor="text1"/>
          <w:sz w:val="16"/>
          <w:szCs w:val="16"/>
        </w:rPr>
      </w:pPr>
      <w:r w:rsidRPr="00E14102">
        <w:rPr>
          <w:color w:val="000000" w:themeColor="text1"/>
          <w:sz w:val="16"/>
          <w:szCs w:val="16"/>
        </w:rPr>
        <w:t>Испытания нового чертежа за № 25242, произведенные в июле 1934 г., дали удовлетворительные результаты, т. е. стопроцентную целость по 7</w:t>
      </w:r>
      <w:r w:rsidRPr="00E14102">
        <w:rPr>
          <w:color w:val="000000" w:themeColor="text1"/>
          <w:sz w:val="16"/>
          <w:szCs w:val="16"/>
        </w:rPr>
        <w:noBreakHyphen/>
        <w:t>дюймовой плите под углом 25</w:t>
      </w:r>
      <w:r w:rsidRPr="00E14102">
        <w:rPr>
          <w:color w:val="000000" w:themeColor="text1"/>
          <w:sz w:val="16"/>
          <w:szCs w:val="16"/>
        </w:rPr>
        <w:noBreakHyphen/>
        <w:t>30° и фактически доказали возможность пробития в целом виде даже 12</w:t>
      </w:r>
      <w:r w:rsidRPr="00E14102">
        <w:rPr>
          <w:color w:val="000000" w:themeColor="text1"/>
          <w:sz w:val="16"/>
          <w:szCs w:val="16"/>
        </w:rPr>
        <w:noBreakHyphen/>
        <w:t>дюймовой плиты под углом 10</w:t>
      </w:r>
      <w:r w:rsidRPr="00E14102">
        <w:rPr>
          <w:color w:val="000000" w:themeColor="text1"/>
          <w:sz w:val="16"/>
          <w:szCs w:val="16"/>
        </w:rPr>
        <w:noBreakHyphen/>
        <w:t>12°. Дальнейшие опыты с некоторыми вариантами чертежей показали возможность увеличения фугасности самого корпуса снаряда на 100%, при сохранении бронебойных его качеств. Опыты по испытанию на меткость дали требуемые результаты (</w:t>
      </w:r>
      <w:r w:rsidRPr="00E14102">
        <w:rPr>
          <w:rFonts w:eastAsia="MS Mincho"/>
          <w:color w:val="000000" w:themeColor="text1"/>
          <w:sz w:val="16"/>
          <w:szCs w:val="16"/>
        </w:rPr>
        <w:t>⅟₂</w:t>
      </w:r>
      <w:r w:rsidRPr="00E14102">
        <w:rPr>
          <w:color w:val="000000" w:themeColor="text1"/>
          <w:sz w:val="16"/>
          <w:szCs w:val="16"/>
        </w:rPr>
        <w:t>₅₀</w:t>
      </w:r>
      <w:r w:rsidRPr="00E14102">
        <w:rPr>
          <w:color w:val="000000" w:themeColor="text1"/>
          <w:sz w:val="16"/>
          <w:szCs w:val="16"/>
        </w:rPr>
        <w:noBreakHyphen/>
      </w:r>
      <w:r w:rsidRPr="00E14102">
        <w:rPr>
          <w:rFonts w:eastAsia="MS Mincho"/>
          <w:color w:val="000000" w:themeColor="text1"/>
          <w:sz w:val="16"/>
          <w:szCs w:val="16"/>
        </w:rPr>
        <w:t>⅟₃₅₀</w:t>
      </w:r>
      <w:r w:rsidRPr="00E14102">
        <w:rPr>
          <w:color w:val="000000" w:themeColor="text1"/>
          <w:sz w:val="16"/>
          <w:szCs w:val="16"/>
        </w:rPr>
        <w:t>), и никаких отпечатков на корпусах снарядов не получилось, были легкие следы только на верхнем центрующем утолщении, допускаемые по основным техническим условиям ВСТ № 52. Дальность этих снарядов при испытании на 17 км получилась равной 16 км (т. е. меньше на 1 км).</w:t>
      </w:r>
    </w:p>
    <w:p w14:paraId="3C055F67" w14:textId="77777777" w:rsidR="00AF1060" w:rsidRPr="00E14102" w:rsidRDefault="00AF1060" w:rsidP="00E14102">
      <w:pPr>
        <w:pStyle w:val="rtejustify"/>
        <w:spacing w:before="0" w:after="0"/>
        <w:rPr>
          <w:color w:val="000000" w:themeColor="text1"/>
          <w:sz w:val="16"/>
          <w:szCs w:val="16"/>
        </w:rPr>
      </w:pPr>
      <w:r w:rsidRPr="00E14102">
        <w:rPr>
          <w:color w:val="000000" w:themeColor="text1"/>
          <w:sz w:val="16"/>
          <w:szCs w:val="16"/>
        </w:rPr>
        <w:t>Таким образом, сложнейшая проблема пробития 7</w:t>
      </w:r>
      <w:r w:rsidRPr="00E14102">
        <w:rPr>
          <w:color w:val="000000" w:themeColor="text1"/>
          <w:sz w:val="16"/>
          <w:szCs w:val="16"/>
        </w:rPr>
        <w:noBreakHyphen/>
        <w:t xml:space="preserve">дюймовой плиты под углом 25° была полностью разрешена в течение короткого срока, и, кроме того, была доказана возможность увеличения фугасности снаряда до 100% при сохранении требуемых качеств по бронепробиваемости. Опыт по испытанию на меткость дал требуемые результаты (меткость, равную </w:t>
      </w:r>
      <w:r w:rsidRPr="00E14102">
        <w:rPr>
          <w:rFonts w:eastAsia="MS Mincho"/>
          <w:color w:val="000000" w:themeColor="text1"/>
          <w:sz w:val="16"/>
          <w:szCs w:val="16"/>
        </w:rPr>
        <w:t>⅟</w:t>
      </w:r>
      <w:r w:rsidRPr="00E14102">
        <w:rPr>
          <w:color w:val="000000" w:themeColor="text1"/>
          <w:sz w:val="16"/>
          <w:szCs w:val="16"/>
        </w:rPr>
        <w:t>₂₅₀</w:t>
      </w:r>
      <w:r w:rsidRPr="00E14102">
        <w:rPr>
          <w:color w:val="000000" w:themeColor="text1"/>
          <w:sz w:val="16"/>
          <w:szCs w:val="16"/>
        </w:rPr>
        <w:noBreakHyphen/>
      </w:r>
      <w:r w:rsidRPr="00E14102">
        <w:rPr>
          <w:rFonts w:eastAsia="MS Mincho"/>
          <w:color w:val="000000" w:themeColor="text1"/>
          <w:sz w:val="16"/>
          <w:szCs w:val="16"/>
        </w:rPr>
        <w:t>⅟₃₅₀</w:t>
      </w:r>
      <w:r w:rsidRPr="00E14102">
        <w:rPr>
          <w:color w:val="000000" w:themeColor="text1"/>
          <w:sz w:val="16"/>
          <w:szCs w:val="16"/>
        </w:rPr>
        <w:t>) и никаких сильных отпечатков на корпусах изделий и на центрующих утолщений не получилось. Дальность этих изделий при испытании на 17 км получилась несколько меньше, приблизительно на 800 м против штатного чертежа.</w:t>
      </w:r>
    </w:p>
    <w:p w14:paraId="3529B9FA" w14:textId="77777777" w:rsidR="00AF1060" w:rsidRPr="00E14102" w:rsidRDefault="00AF1060" w:rsidP="00E14102">
      <w:pPr>
        <w:pStyle w:val="rtejustify"/>
        <w:spacing w:before="0" w:after="0"/>
        <w:rPr>
          <w:color w:val="000000" w:themeColor="text1"/>
          <w:sz w:val="16"/>
          <w:szCs w:val="16"/>
        </w:rPr>
      </w:pPr>
      <w:r w:rsidRPr="00E14102">
        <w:rPr>
          <w:color w:val="000000" w:themeColor="text1"/>
          <w:sz w:val="16"/>
          <w:szCs w:val="16"/>
        </w:rPr>
        <w:t>После разрешения этой проблемы, т. е. с 17 июля 1934 г., существующие на производстве чертежи снарядов были ССБ переделаны по этому принципу и снаряды, изготовленные по этим переделанным чертежам, при испытаниях на бронепробиваемость дали положительные результаты¹*. Валовый заказ на 1935 г. дан заводам по этим переделанным чертежам, и сдача снарядов идет нормально, по техническим условиям 1935 г., основанным на тактико-технических заданиях Управления морских сил РККА.</w:t>
      </w:r>
    </w:p>
    <w:p w14:paraId="1CD07135" w14:textId="77777777" w:rsidR="00AF1060" w:rsidRPr="00E14102" w:rsidRDefault="00AF1060"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eastAsiaTheme="majorEastAsia" w:hAnsi="Times New Roman" w:cs="Times New Roman"/>
          <w:b w:val="0"/>
          <w:color w:val="000000" w:themeColor="text1"/>
          <w:sz w:val="16"/>
          <w:szCs w:val="16"/>
        </w:rPr>
        <w:t>II</w:t>
      </w:r>
    </w:p>
    <w:p w14:paraId="0393B960" w14:textId="77777777" w:rsidR="00AF1060" w:rsidRPr="00E14102" w:rsidRDefault="00AF1060" w:rsidP="00E14102">
      <w:pPr>
        <w:pStyle w:val="rtejustify"/>
        <w:spacing w:before="0" w:after="0"/>
        <w:rPr>
          <w:color w:val="000000" w:themeColor="text1"/>
          <w:sz w:val="16"/>
          <w:szCs w:val="16"/>
        </w:rPr>
      </w:pPr>
      <w:r w:rsidRPr="00E14102">
        <w:rPr>
          <w:color w:val="000000" w:themeColor="text1"/>
          <w:sz w:val="16"/>
          <w:szCs w:val="16"/>
        </w:rPr>
        <w:t>По заданию инженера Георгиева П. К. и под его руководством 22 марта 1935 г. был изготовлен опытный чертеж 356</w:t>
      </w:r>
      <w:r w:rsidRPr="00E14102">
        <w:rPr>
          <w:color w:val="000000" w:themeColor="text1"/>
          <w:sz w:val="16"/>
          <w:szCs w:val="16"/>
        </w:rPr>
        <w:noBreakHyphen/>
        <w:t>мм бронебойного снаряда со штатной баллистикой, но с увеличением количества фугасности на 60% против существующего на вооружении. Изготовленные снаряды на заводе «Большевик» по этому чертежу были испытаны на полигоне: а) один — 2 сентября 1935 г. по 14</w:t>
      </w:r>
      <w:r w:rsidRPr="00E14102">
        <w:rPr>
          <w:color w:val="000000" w:themeColor="text1"/>
          <w:sz w:val="16"/>
          <w:szCs w:val="16"/>
        </w:rPr>
        <w:noBreakHyphen/>
        <w:t>дюймовой плите, угол 9°, снаряд плиту не пробил, отскочил в целом виде. Непробитие плиты объясняется только тем, что плита была плохо закреплена на износившемся основании, так как плита после выстрела отошла на 32° и наклонилась книзу, б) один — 22 ноября 1935 г. по 14</w:t>
      </w:r>
      <w:r w:rsidRPr="00E14102">
        <w:rPr>
          <w:color w:val="000000" w:themeColor="text1"/>
          <w:sz w:val="16"/>
          <w:szCs w:val="16"/>
        </w:rPr>
        <w:noBreakHyphen/>
        <w:t>дюймовой плите, угол 9°, снаряд плиту пробил и найден в поле совершенно целым.</w:t>
      </w:r>
    </w:p>
    <w:p w14:paraId="553B576A" w14:textId="77777777" w:rsidR="00AF1060" w:rsidRPr="00E14102" w:rsidRDefault="00AF1060" w:rsidP="00E14102">
      <w:pPr>
        <w:pStyle w:val="rtejustify"/>
        <w:spacing w:before="0" w:after="0"/>
        <w:rPr>
          <w:color w:val="000000" w:themeColor="text1"/>
          <w:sz w:val="16"/>
          <w:szCs w:val="16"/>
        </w:rPr>
      </w:pPr>
      <w:r w:rsidRPr="00E14102">
        <w:rPr>
          <w:color w:val="000000" w:themeColor="text1"/>
          <w:sz w:val="16"/>
          <w:szCs w:val="16"/>
        </w:rPr>
        <w:t>Таким образом, в настоящее время имеем 356</w:t>
      </w:r>
      <w:r w:rsidRPr="00E14102">
        <w:rPr>
          <w:color w:val="000000" w:themeColor="text1"/>
          <w:sz w:val="16"/>
          <w:szCs w:val="16"/>
        </w:rPr>
        <w:noBreakHyphen/>
        <w:t>мм бронебойный снаряд, отвечающий техническим условиям и с фугасностью на 60% больше против существующего.</w:t>
      </w:r>
    </w:p>
    <w:p w14:paraId="6095588B" w14:textId="77777777" w:rsidR="00AF1060" w:rsidRPr="00E14102" w:rsidRDefault="00AF1060"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Зам. инженера Георгиева по выработке и производству опытных бронебойных снарядов А.</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М.</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Захаров</w:t>
      </w:r>
    </w:p>
    <w:p w14:paraId="5C72C0EF" w14:textId="77777777" w:rsidR="00AF1060" w:rsidRPr="00E14102" w:rsidRDefault="00AF1060"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Примечание</w:t>
      </w:r>
      <w:r w:rsidRPr="00E14102">
        <w:rPr>
          <w:rFonts w:ascii="Times New Roman" w:hAnsi="Times New Roman" w:cs="Times New Roman"/>
          <w:color w:val="000000" w:themeColor="text1"/>
          <w:sz w:val="16"/>
          <w:szCs w:val="16"/>
          <w:lang w:val="ru-RU"/>
        </w:rPr>
        <w:t>:</w:t>
      </w:r>
    </w:p>
    <w:p w14:paraId="39607501" w14:textId="77777777" w:rsidR="00AF1060" w:rsidRPr="00E14102" w:rsidRDefault="00AF1060" w:rsidP="00E14102">
      <w:pPr>
        <w:pStyle w:val="rtejustify"/>
        <w:spacing w:before="0" w:after="0"/>
        <w:rPr>
          <w:color w:val="000000" w:themeColor="text1"/>
          <w:sz w:val="16"/>
          <w:szCs w:val="16"/>
        </w:rPr>
      </w:pPr>
      <w:r w:rsidRPr="00E14102">
        <w:rPr>
          <w:color w:val="000000" w:themeColor="text1"/>
          <w:sz w:val="16"/>
          <w:szCs w:val="16"/>
        </w:rPr>
        <w:t xml:space="preserve">¹* В докладной записке начальника ВМС РККА В. М. Орлова наркому обороны СССР К. Е. Ворошилову 31 октября 1934 г. сообщалось, что </w:t>
      </w:r>
      <w:r w:rsidRPr="00E14102">
        <w:rPr>
          <w:rStyle w:val="a6"/>
          <w:bCs/>
          <w:i w:val="0"/>
          <w:color w:val="000000" w:themeColor="text1"/>
          <w:sz w:val="16"/>
          <w:szCs w:val="16"/>
        </w:rPr>
        <w:t>испытания опытных образцов 356</w:t>
      </w:r>
      <w:r w:rsidRPr="00E14102">
        <w:rPr>
          <w:rStyle w:val="a6"/>
          <w:bCs/>
          <w:i w:val="0"/>
          <w:color w:val="000000" w:themeColor="text1"/>
          <w:sz w:val="16"/>
          <w:szCs w:val="16"/>
        </w:rPr>
        <w:noBreakHyphen/>
        <w:t>мм бронебойных снарядов</w:t>
      </w:r>
      <w:r w:rsidRPr="00E14102">
        <w:rPr>
          <w:color w:val="000000" w:themeColor="text1"/>
          <w:sz w:val="16"/>
          <w:szCs w:val="16"/>
        </w:rPr>
        <w:t xml:space="preserve"> в июле 1934 г. дали удовлетворительные результаты по прочности и бронепробиваемости. Однако, к концу 1934 г. промышленность не изготовила ни одного 356</w:t>
      </w:r>
      <w:r w:rsidRPr="00E14102">
        <w:rPr>
          <w:color w:val="000000" w:themeColor="text1"/>
          <w:sz w:val="16"/>
          <w:szCs w:val="16"/>
        </w:rPr>
        <w:noBreakHyphen/>
        <w:t>мм снаряда из-за отсутствия на заводе «Большевик» ферросплавов и систематического невыполнения заводом «Красный путиловец» обязательств по ковке снарядных болванок. По этой же причине (отсутствие сплавов) Специальное снарядное бюро при заводе «Большевик» не изготовило опытных образцов. В отношении 180</w:t>
      </w:r>
      <w:r w:rsidRPr="00E14102">
        <w:rPr>
          <w:color w:val="000000" w:themeColor="text1"/>
          <w:sz w:val="16"/>
          <w:szCs w:val="16"/>
        </w:rPr>
        <w:noBreakHyphen/>
        <w:t>мм бронебойных снарядов завод «Большевик» сдал в 1934 г. 540 шт. по старым техническим условиям. (ГАРФ. Ф. Р</w:t>
      </w:r>
      <w:r w:rsidRPr="00E14102">
        <w:rPr>
          <w:color w:val="000000" w:themeColor="text1"/>
          <w:sz w:val="16"/>
          <w:szCs w:val="16"/>
        </w:rPr>
        <w:noBreakHyphen/>
        <w:t>8418. Оп. 8. Д. 120. Л. 32</w:t>
      </w:r>
      <w:r w:rsidRPr="00E14102">
        <w:rPr>
          <w:color w:val="000000" w:themeColor="text1"/>
          <w:sz w:val="16"/>
          <w:szCs w:val="16"/>
        </w:rPr>
        <w:noBreakHyphen/>
        <w:t>35 об.).</w:t>
      </w:r>
    </w:p>
    <w:p w14:paraId="44757B95" w14:textId="77777777" w:rsidR="00AF1060" w:rsidRPr="00E14102" w:rsidRDefault="00AF1060"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7537. Оп. 1. Д. 953. Л. 62-56. Подлинник (15365).</w:t>
      </w:r>
    </w:p>
    <w:p w14:paraId="6A12E342" w14:textId="77777777" w:rsidR="00AF1060" w:rsidRPr="00E14102" w:rsidRDefault="00AF1060" w:rsidP="00E14102">
      <w:pPr>
        <w:jc w:val="both"/>
        <w:rPr>
          <w:bCs/>
          <w:color w:val="000000" w:themeColor="text1"/>
          <w:sz w:val="16"/>
          <w:szCs w:val="16"/>
        </w:rPr>
      </w:pPr>
    </w:p>
    <w:p w14:paraId="71A55CE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FE9E268" w14:textId="77777777" w:rsidR="00D4105E" w:rsidRPr="00E14102" w:rsidRDefault="00D4105E" w:rsidP="00E14102">
      <w:pPr>
        <w:autoSpaceDE w:val="0"/>
        <w:autoSpaceDN w:val="0"/>
        <w:adjustRightInd w:val="0"/>
        <w:jc w:val="both"/>
        <w:rPr>
          <w:iCs/>
          <w:color w:val="000000" w:themeColor="text1"/>
          <w:sz w:val="16"/>
          <w:szCs w:val="16"/>
        </w:rPr>
      </w:pPr>
    </w:p>
    <w:p w14:paraId="7A9F9D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ноября 1935 учредили орден Знак почета (3908,348).</w:t>
      </w:r>
    </w:p>
    <w:p w14:paraId="586C081B" w14:textId="77777777" w:rsidR="00D4105E" w:rsidRPr="00E14102" w:rsidRDefault="00D4105E" w:rsidP="00E14102">
      <w:pPr>
        <w:autoSpaceDE w:val="0"/>
        <w:autoSpaceDN w:val="0"/>
        <w:adjustRightInd w:val="0"/>
        <w:jc w:val="both"/>
        <w:rPr>
          <w:color w:val="000000" w:themeColor="text1"/>
          <w:sz w:val="16"/>
          <w:szCs w:val="16"/>
        </w:rPr>
      </w:pPr>
    </w:p>
    <w:p w14:paraId="437FE493" w14:textId="77777777" w:rsidR="00AF1060" w:rsidRPr="00E14102" w:rsidRDefault="00AF1060" w:rsidP="00E14102">
      <w:pPr>
        <w:jc w:val="both"/>
        <w:rPr>
          <w:color w:val="000000" w:themeColor="text1"/>
          <w:sz w:val="16"/>
          <w:szCs w:val="16"/>
        </w:rPr>
      </w:pPr>
      <w:r w:rsidRPr="00E14102">
        <w:rPr>
          <w:bCs/>
          <w:color w:val="000000" w:themeColor="text1"/>
          <w:sz w:val="16"/>
          <w:szCs w:val="16"/>
        </w:rPr>
        <w:t xml:space="preserve">24 ноября </w:t>
      </w:r>
      <w:r w:rsidRPr="00E14102">
        <w:rPr>
          <w:color w:val="000000" w:themeColor="text1"/>
          <w:sz w:val="16"/>
          <w:szCs w:val="16"/>
        </w:rPr>
        <w:t>в 1935 году автору книги "Как закалялась сталь" писателю Н.А.Островскому, потерявшему зрение и прикованному к постели прогрессирующей болезнью, был вручен орден Ленина. Произведения писателя сыграли мобилизующую роль в годы мирного строительства и Великой Отечественной войны (14839).</w:t>
      </w:r>
    </w:p>
    <w:p w14:paraId="1C70C368" w14:textId="77777777" w:rsidR="00AF1060" w:rsidRPr="00E14102" w:rsidRDefault="00AF1060" w:rsidP="00E14102">
      <w:pPr>
        <w:jc w:val="both"/>
        <w:rPr>
          <w:color w:val="000000" w:themeColor="text1"/>
          <w:sz w:val="16"/>
          <w:szCs w:val="16"/>
        </w:rPr>
      </w:pPr>
    </w:p>
    <w:p w14:paraId="2D0524C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95FCDE4" w14:textId="77777777" w:rsidR="00D4105E" w:rsidRPr="00E14102" w:rsidRDefault="00D4105E" w:rsidP="00E14102">
      <w:pPr>
        <w:autoSpaceDE w:val="0"/>
        <w:autoSpaceDN w:val="0"/>
        <w:adjustRightInd w:val="0"/>
        <w:jc w:val="both"/>
        <w:rPr>
          <w:iCs/>
          <w:color w:val="000000" w:themeColor="text1"/>
          <w:sz w:val="16"/>
          <w:szCs w:val="16"/>
        </w:rPr>
      </w:pPr>
    </w:p>
    <w:p w14:paraId="2B6A6C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ноября 1935 Дир. ХАИ Красильщиков и Нач. Пр. части Неман писали Зам. нач. ГУАП Марголину письмо N 1320с на вх. 242/4696 от 16 октября:</w:t>
      </w:r>
    </w:p>
    <w:p w14:paraId="2CC339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договоренности с Вами Немана, нами ведутся подготовительные работы по проектированию СР (ХАИ-5) под К-14 в 1936.</w:t>
      </w:r>
    </w:p>
    <w:p w14:paraId="5870AC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Эта работа включена нами в план на 1936.</w:t>
      </w:r>
    </w:p>
    <w:p w14:paraId="759EF8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Просим во изменение отношения от 16 октября за подписью Кацавы подтвердить наши работы по ХАИ-5 с К-14." (2336,169).</w:t>
      </w:r>
    </w:p>
    <w:p w14:paraId="6EAFD7F5" w14:textId="77777777" w:rsidR="00D4105E" w:rsidRPr="00E14102" w:rsidRDefault="00D4105E" w:rsidP="00E14102">
      <w:pPr>
        <w:autoSpaceDE w:val="0"/>
        <w:autoSpaceDN w:val="0"/>
        <w:adjustRightInd w:val="0"/>
        <w:jc w:val="both"/>
        <w:rPr>
          <w:color w:val="000000" w:themeColor="text1"/>
          <w:sz w:val="16"/>
          <w:szCs w:val="16"/>
        </w:rPr>
      </w:pPr>
    </w:p>
    <w:p w14:paraId="6AFCB847"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25 ноября 1935 года Базилевич писал письмо № 2258/ко в НКТП Орджоникидзе</w:t>
      </w:r>
    </w:p>
    <w:p w14:paraId="7C3679BE"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Молотов просит обязательно учесть в предложениях Вашей комиссии по авиации вопрос о производстве паровых и газовых турбин.</w:t>
      </w:r>
    </w:p>
    <w:p w14:paraId="50E97B43"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 этом направляю Вам письмо Куйбышева и Березина о ходе постройки турбин (3475,163).</w:t>
      </w:r>
    </w:p>
    <w:p w14:paraId="282AA251"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06A1C3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ноября 1935 в протоколе НТУ АУ РККА было определено в отношении АПК-4: 2Основное назначение пушки - борьба с авиацией противника, и только второстепенной задачей становится поражение наземных целей” (3996, 91).</w:t>
      </w:r>
    </w:p>
    <w:p w14:paraId="06CC9FE9" w14:textId="77777777" w:rsidR="00D4105E" w:rsidRPr="00E14102" w:rsidRDefault="00D4105E" w:rsidP="00E14102">
      <w:pPr>
        <w:autoSpaceDE w:val="0"/>
        <w:autoSpaceDN w:val="0"/>
        <w:adjustRightInd w:val="0"/>
        <w:jc w:val="both"/>
        <w:rPr>
          <w:color w:val="000000" w:themeColor="text1"/>
          <w:sz w:val="16"/>
          <w:szCs w:val="16"/>
        </w:rPr>
      </w:pPr>
    </w:p>
    <w:p w14:paraId="731F54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ноября 1935 г. в протоколе заседания НТК Артуправления назначение АПК-4 определили так: «Основное назначение пушки — борьба с авиацией противника, и только второстепенной задачей ставится поражение наземных целей». Руководству ВВС особенно импонировала идея расстрела на больших дистанциях тяжелых бомбардировщиков противника. Кстати, идея вполне здравая. Не то, что самолеты 1930-х годов, но и летающие крепости типа Б-17 и Б-29 могли бы безнаказанно расстреливаться из 76-мм безоткатных орудий. Разумеется, такие орудия должны были быть не системы Курчевского, а, скажем, системы Кондакова (12091).</w:t>
      </w:r>
    </w:p>
    <w:p w14:paraId="13F7E9CB" w14:textId="77777777" w:rsidR="00D4105E" w:rsidRPr="00E14102" w:rsidRDefault="00D4105E" w:rsidP="00E14102">
      <w:pPr>
        <w:autoSpaceDE w:val="0"/>
        <w:autoSpaceDN w:val="0"/>
        <w:adjustRightInd w:val="0"/>
        <w:jc w:val="both"/>
        <w:rPr>
          <w:color w:val="000000" w:themeColor="text1"/>
          <w:sz w:val="16"/>
          <w:szCs w:val="16"/>
        </w:rPr>
      </w:pPr>
    </w:p>
    <w:p w14:paraId="28D0C9C5" w14:textId="77777777" w:rsidR="00164F4F" w:rsidRPr="00E14102" w:rsidRDefault="00164F4F" w:rsidP="00E14102">
      <w:pPr>
        <w:jc w:val="both"/>
        <w:rPr>
          <w:color w:val="000000" w:themeColor="text1"/>
          <w:sz w:val="16"/>
          <w:szCs w:val="16"/>
        </w:rPr>
      </w:pPr>
      <w:r w:rsidRPr="00E14102">
        <w:rPr>
          <w:color w:val="000000" w:themeColor="text1"/>
          <w:sz w:val="16"/>
          <w:szCs w:val="16"/>
        </w:rPr>
        <w:lastRenderedPageBreak/>
        <w:t>25 ноября 1935 г. в протоколе заседания НТК Артуправления было отмечено: «Основное назначение пушки (АПК-4) — борьба с авиацией противника, и только второстепенной задачей ставится поражение наземных целей» (12705).</w:t>
      </w:r>
    </w:p>
    <w:p w14:paraId="6CD946CE" w14:textId="77777777" w:rsidR="00164F4F" w:rsidRPr="00E14102" w:rsidRDefault="00164F4F" w:rsidP="00E14102">
      <w:pPr>
        <w:jc w:val="both"/>
        <w:rPr>
          <w:color w:val="000000" w:themeColor="text1"/>
          <w:sz w:val="16"/>
          <w:szCs w:val="16"/>
        </w:rPr>
      </w:pPr>
    </w:p>
    <w:p w14:paraId="667E4E89" w14:textId="77777777" w:rsidR="00CA3055" w:rsidRPr="00E14102" w:rsidRDefault="00CA3055" w:rsidP="00E14102">
      <w:pPr>
        <w:jc w:val="both"/>
        <w:rPr>
          <w:rStyle w:val="a6"/>
          <w:i w:val="0"/>
          <w:color w:val="000000" w:themeColor="text1"/>
          <w:sz w:val="16"/>
          <w:szCs w:val="16"/>
        </w:rPr>
      </w:pPr>
      <w:r w:rsidRPr="00E14102">
        <w:rPr>
          <w:rStyle w:val="a6"/>
          <w:i w:val="0"/>
          <w:color w:val="000000" w:themeColor="text1"/>
          <w:sz w:val="16"/>
          <w:szCs w:val="16"/>
        </w:rPr>
        <w:t xml:space="preserve">25 ноября 1935 г. </w:t>
      </w:r>
      <w:r w:rsidRPr="00E14102">
        <w:rPr>
          <w:color w:val="000000" w:themeColor="text1"/>
          <w:sz w:val="16"/>
          <w:szCs w:val="16"/>
        </w:rPr>
        <w:t>Письмо управляющего Всесоюзным объединением точной индустрии Главного управления точного машиностроения НКТП СССР А. С. Немова секретарю ЦК ВКП(б) И. В. Сталину о производстве отечественных автопилотов</w:t>
      </w:r>
    </w:p>
    <w:p w14:paraId="1697C7CC" w14:textId="77777777" w:rsidR="00CA3055" w:rsidRPr="00E14102" w:rsidRDefault="00CA3055"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57D89168" w14:textId="77777777" w:rsidR="00CA3055" w:rsidRPr="00E14102" w:rsidRDefault="00CA3055" w:rsidP="00E14102">
      <w:pPr>
        <w:pStyle w:val="rtejustify"/>
        <w:spacing w:before="0" w:after="0"/>
        <w:rPr>
          <w:color w:val="000000" w:themeColor="text1"/>
          <w:sz w:val="16"/>
          <w:szCs w:val="16"/>
        </w:rPr>
      </w:pPr>
      <w:r w:rsidRPr="00E14102">
        <w:rPr>
          <w:color w:val="000000" w:themeColor="text1"/>
          <w:sz w:val="16"/>
          <w:szCs w:val="16"/>
        </w:rPr>
        <w:t>Приношу тысячу извинений, что я беспокою Вас своим письмом, но вопрос, о котором я Вам докладываю, настолько важен, что считаю своим долгом поставить Вас об этом в известность. Тов. Туполев хочет заказать за границей автопилоты системы «Сперри» для вновь строящихся 16 самолетов-гигантов. Мои переговоры с т. Туполевым, мои доводы о нецелесообразности заказывать эти автопилоты за границей пока ни к чему не привели, а по существу т. Туполев не прав. Автопилоты мы начали производить в Союзе на заводах точной индустрии впервые два года тому назад, причем технической помощи заграничных фирм мы не имели. В прошлом году прибыли в Союз автопилоты «Сперри», заказанные представителями Наркомата обороны. Назначенная НКО комиссия по проверке испытания всех типов автопилотов, как отечественных, так и заграничных, после длительных испытаний пришла к заключению, что автопилоты «Сперри» для наших тяжелых самолетов не пригодны. (Прилагаю выписку из заключения Комиссии НКО)¹*.</w:t>
      </w:r>
    </w:p>
    <w:p w14:paraId="2A4F3ABE" w14:textId="77777777" w:rsidR="00CA3055" w:rsidRPr="00E14102" w:rsidRDefault="00CA3055" w:rsidP="00E14102">
      <w:pPr>
        <w:pStyle w:val="rtejustify"/>
        <w:spacing w:before="0" w:after="0"/>
        <w:rPr>
          <w:color w:val="000000" w:themeColor="text1"/>
          <w:sz w:val="16"/>
          <w:szCs w:val="16"/>
        </w:rPr>
      </w:pPr>
      <w:r w:rsidRPr="00E14102">
        <w:rPr>
          <w:color w:val="000000" w:themeColor="text1"/>
          <w:sz w:val="16"/>
          <w:szCs w:val="16"/>
        </w:rPr>
        <w:t>Нам, производственникам, обидно, что советские самолеты будут вооружены не советскими автопилотами, а заграничными. В то же время мы беремся произвести для этих гигантов-самолетов такие автопилоты, которые по своему качеству ни в коем случае не уступают автопилотам «Сперри». Уже имея в этом году договор на техническую помощь с фирмой «Сперри» по автопилотам, мы могли бы сделать такие автопилоты, какие выпускает фирма «Сперри», но, зная заключение комиссии НКО, что наши отечественные автопилоты оказались лучше для наших самолетов (что со стороны комиссии НКО почти не бывает таких заключений), мы настаивали перед т. Туполевым, чтобы он нам дал заказ на эти автопилоты, но т. Туполева мы убедить не могли. Доводы т. Туполева, что купленный самолет в Америке «Дуглас» прекрасно работает с автопилотом «Сперри» непоказательны, ибо сам самолет «Дуглас» резко отличается от производимых самолетов конструкции Советского Союза, в особенности в рулевом управлении.</w:t>
      </w:r>
    </w:p>
    <w:p w14:paraId="3C8D5D72" w14:textId="77777777" w:rsidR="00CA3055" w:rsidRPr="00E14102" w:rsidRDefault="00CA3055" w:rsidP="00E14102">
      <w:pPr>
        <w:pStyle w:val="rtejustify"/>
        <w:spacing w:before="0" w:after="0"/>
        <w:rPr>
          <w:color w:val="000000" w:themeColor="text1"/>
          <w:sz w:val="16"/>
          <w:szCs w:val="16"/>
        </w:rPr>
      </w:pPr>
      <w:r w:rsidRPr="00E14102">
        <w:rPr>
          <w:color w:val="000000" w:themeColor="text1"/>
          <w:sz w:val="16"/>
          <w:szCs w:val="16"/>
        </w:rPr>
        <w:t>Пользуясь случаем, я хочу довести до Вашего сведения, что положение с кадрами по эксплуатации этих автопилотов в армии очень неблагополучно. Несмотря на то, что мы в течение двух лет все же освоили и выпустили 200 шт. автопилотов, военно-воздушные силы, к сожалению, не используют их, как следует.</w:t>
      </w:r>
    </w:p>
    <w:p w14:paraId="1646B0C3" w14:textId="77777777" w:rsidR="00CA3055" w:rsidRPr="00E14102" w:rsidRDefault="00CA3055" w:rsidP="00E14102">
      <w:pPr>
        <w:pStyle w:val="rtejustify"/>
        <w:spacing w:before="0" w:after="0"/>
        <w:rPr>
          <w:color w:val="000000" w:themeColor="text1"/>
          <w:sz w:val="16"/>
          <w:szCs w:val="16"/>
        </w:rPr>
      </w:pPr>
      <w:r w:rsidRPr="00E14102">
        <w:rPr>
          <w:color w:val="000000" w:themeColor="text1"/>
          <w:sz w:val="16"/>
          <w:szCs w:val="16"/>
        </w:rPr>
        <w:t>1) Много автопилотов после приемки лежат на складах военведа, когда же мы начинаем на них нажимать и возмущаться их поступками, тогда они отправляют автопилоты в части, списывая с центрального счета и переписывая на счет частей, где они также продолжают лежать на складах.</w:t>
      </w:r>
    </w:p>
    <w:p w14:paraId="30F7F438" w14:textId="77777777" w:rsidR="00CA3055" w:rsidRPr="00E14102" w:rsidRDefault="00CA3055" w:rsidP="00E14102">
      <w:pPr>
        <w:pStyle w:val="rtejustify"/>
        <w:spacing w:before="0" w:after="0"/>
        <w:rPr>
          <w:color w:val="000000" w:themeColor="text1"/>
          <w:sz w:val="16"/>
          <w:szCs w:val="16"/>
        </w:rPr>
      </w:pPr>
      <w:r w:rsidRPr="00E14102">
        <w:rPr>
          <w:color w:val="000000" w:themeColor="text1"/>
          <w:sz w:val="16"/>
          <w:szCs w:val="16"/>
        </w:rPr>
        <w:t>2) Из-за отсутствия квалифицированных эксплуатационников по этим автопилотам многие автопилоты заржавели и даже не были использованы для обучения и подготовки кадров по эксплуатации этих автопилотов.</w:t>
      </w:r>
    </w:p>
    <w:p w14:paraId="3360D7D8" w14:textId="77777777" w:rsidR="00CA3055" w:rsidRPr="00E14102" w:rsidRDefault="00CA3055" w:rsidP="00E14102">
      <w:pPr>
        <w:pStyle w:val="rtejustify"/>
        <w:spacing w:before="0" w:after="0"/>
        <w:rPr>
          <w:color w:val="000000" w:themeColor="text1"/>
          <w:sz w:val="16"/>
          <w:szCs w:val="16"/>
        </w:rPr>
      </w:pPr>
      <w:r w:rsidRPr="00E14102">
        <w:rPr>
          <w:color w:val="000000" w:themeColor="text1"/>
          <w:sz w:val="16"/>
          <w:szCs w:val="16"/>
        </w:rPr>
        <w:t>3) Мы предлагали т. Алкснису послать к нам на завод «Метрон» в Москве, изготовляющий автопилоты, несколько десятков человек, которые бы изучили работу автопилота, с тем, чтобы этих людей разослать по соответствующим частям, где будут эксплуатироваться автопилоты. Наши доводы ни к чему не привели и, видно, не убедили т. Алксниса.</w:t>
      </w:r>
    </w:p>
    <w:p w14:paraId="25454898" w14:textId="77777777" w:rsidR="00CA3055" w:rsidRPr="00E14102" w:rsidRDefault="00CA3055" w:rsidP="00E14102">
      <w:pPr>
        <w:pStyle w:val="rtejustify"/>
        <w:spacing w:before="0" w:after="0"/>
        <w:rPr>
          <w:color w:val="000000" w:themeColor="text1"/>
          <w:sz w:val="16"/>
          <w:szCs w:val="16"/>
        </w:rPr>
      </w:pPr>
      <w:r w:rsidRPr="00E14102">
        <w:rPr>
          <w:color w:val="000000" w:themeColor="text1"/>
          <w:sz w:val="16"/>
          <w:szCs w:val="16"/>
        </w:rPr>
        <w:t>Таким образом, на сегодняшний день можно считать, что необходимых кадров нет, которые умели бы правильно эксплуатировать автопилот, поэтому сколько бы мы ни делали автопилотов, их больше ломают, чем они будут использованы для работы. Такая же судьба ожидает все те автопилоты, которые будут закуплены за границей. В Управлении военно-воздушных сил подобное явление имеет довольно широкое применение, ибо это не только с автопилотами, а также и с другими приборами, которые мы выпускаем и внедряем в военно-воздушный флот. Так, например, в начале этого года т. Орджоникидзе показал Вам выпущенный нами гироскопический магнитный компас ГМК, который по своей идее должен заменить пять приборов на самолете. По Вашему указанию и указанию т. Серго, летчик Громов испытал этот прибор и дал о нем блестящее заключение, но подчеркнул необходимость дальнейшего его испытания.</w:t>
      </w:r>
    </w:p>
    <w:p w14:paraId="6DFEC1DD" w14:textId="77777777" w:rsidR="00CA3055" w:rsidRPr="00E14102" w:rsidRDefault="00CA3055" w:rsidP="00E14102">
      <w:pPr>
        <w:pStyle w:val="rtejustify"/>
        <w:spacing w:before="0" w:after="0"/>
        <w:rPr>
          <w:color w:val="000000" w:themeColor="text1"/>
          <w:sz w:val="16"/>
          <w:szCs w:val="16"/>
        </w:rPr>
      </w:pPr>
      <w:r w:rsidRPr="00E14102">
        <w:rPr>
          <w:color w:val="000000" w:themeColor="text1"/>
          <w:sz w:val="16"/>
          <w:szCs w:val="16"/>
        </w:rPr>
        <w:t>Управление военно-воздушных сил требовало, чтобы мы немедленно выпустили серию этих приборов. Когда же мы им сдали первые 20 шт. из серии, то в течение полутора месяцев они лежали на складе, и только после наших настойчивых требований они их послали в части на испытания. Максимально было испытано 3</w:t>
      </w:r>
      <w:r w:rsidRPr="00E14102">
        <w:rPr>
          <w:color w:val="000000" w:themeColor="text1"/>
          <w:sz w:val="16"/>
          <w:szCs w:val="16"/>
        </w:rPr>
        <w:noBreakHyphen/>
        <w:t>4 шт., а об остальных никто ничего не знает, где они и как прошли их испытания. В настоящее время мы уже начинаем на заводе «Авиаприбор» выпускать серию этих приборов, но, не имея результатов испытаний и дефектов, которые выявили испытания, мы не гарантированы, что приборы, которые мы будем выпускать крупными сериями, окажутся вполне годными для службы военно-воздушного флота.</w:t>
      </w:r>
    </w:p>
    <w:p w14:paraId="61602289" w14:textId="77777777" w:rsidR="00CA3055" w:rsidRPr="00E14102" w:rsidRDefault="00CA3055" w:rsidP="00E14102">
      <w:pPr>
        <w:pStyle w:val="rtejustify"/>
        <w:spacing w:before="0" w:after="0"/>
        <w:rPr>
          <w:color w:val="000000" w:themeColor="text1"/>
          <w:sz w:val="16"/>
          <w:szCs w:val="16"/>
        </w:rPr>
      </w:pPr>
      <w:r w:rsidRPr="00E14102">
        <w:rPr>
          <w:color w:val="000000" w:themeColor="text1"/>
          <w:sz w:val="16"/>
          <w:szCs w:val="16"/>
        </w:rPr>
        <w:t>Доводя обо всем этом до Вашего сведения, прошу Вашего вмешательства.</w:t>
      </w:r>
    </w:p>
    <w:p w14:paraId="4019C74C" w14:textId="77777777" w:rsidR="00CA3055" w:rsidRPr="00E14102" w:rsidRDefault="00CA3055"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С коммунистическим приветом, управляющий ВОТИ Немов</w:t>
      </w:r>
    </w:p>
    <w:p w14:paraId="37FF8D2B" w14:textId="77777777" w:rsidR="00CA3055" w:rsidRPr="00E14102" w:rsidRDefault="00CA3055" w:rsidP="00E14102">
      <w:pPr>
        <w:pStyle w:val="rtejustify"/>
        <w:spacing w:before="0" w:after="0"/>
        <w:rPr>
          <w:color w:val="000000" w:themeColor="text1"/>
          <w:sz w:val="16"/>
          <w:szCs w:val="16"/>
        </w:rPr>
      </w:pPr>
      <w:r w:rsidRPr="00E14102">
        <w:rPr>
          <w:rStyle w:val="a6"/>
          <w:i w:val="0"/>
          <w:color w:val="000000" w:themeColor="text1"/>
          <w:sz w:val="16"/>
          <w:szCs w:val="16"/>
        </w:rPr>
        <w:t>Помета</w:t>
      </w:r>
      <w:r w:rsidRPr="00E14102">
        <w:rPr>
          <w:color w:val="000000" w:themeColor="text1"/>
          <w:sz w:val="16"/>
          <w:szCs w:val="16"/>
        </w:rPr>
        <w:t>: «Тов. Орджоникидзе. Как быть? И. Сталин».</w:t>
      </w:r>
    </w:p>
    <w:p w14:paraId="61D78D4D" w14:textId="77777777" w:rsidR="00CA3055" w:rsidRPr="00E14102" w:rsidRDefault="00CA3055"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Примечание</w:t>
      </w:r>
      <w:r w:rsidRPr="00E14102">
        <w:rPr>
          <w:rFonts w:ascii="Times New Roman" w:hAnsi="Times New Roman" w:cs="Times New Roman"/>
          <w:color w:val="000000" w:themeColor="text1"/>
          <w:sz w:val="16"/>
          <w:szCs w:val="16"/>
          <w:lang w:val="ru-RU"/>
        </w:rPr>
        <w:t>:</w:t>
      </w:r>
    </w:p>
    <w:p w14:paraId="2554A548" w14:textId="77777777" w:rsidR="00CA3055" w:rsidRPr="00E14102" w:rsidRDefault="00CA3055"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¹*</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Выписка не публикуется (см. там же, л.</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4).</w:t>
      </w:r>
    </w:p>
    <w:p w14:paraId="3B557A9F" w14:textId="77777777" w:rsidR="00CA3055" w:rsidRPr="00E14102" w:rsidRDefault="00CA3055"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РГАСПИ. Ф. 558. Оп. 2. Д. 132. Л. 1-3. Подлинник (15366).</w:t>
      </w:r>
    </w:p>
    <w:p w14:paraId="594DF9D4" w14:textId="77777777" w:rsidR="00CA3055" w:rsidRPr="00E14102" w:rsidRDefault="00CA3055" w:rsidP="00E14102">
      <w:pPr>
        <w:jc w:val="both"/>
        <w:rPr>
          <w:color w:val="000000" w:themeColor="text1"/>
          <w:sz w:val="16"/>
          <w:szCs w:val="16"/>
        </w:rPr>
      </w:pPr>
    </w:p>
    <w:p w14:paraId="1F763294" w14:textId="77777777" w:rsidR="00647F1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47F1536" w14:textId="77777777" w:rsidR="00647F1E" w:rsidRPr="00E14102" w:rsidRDefault="00647F1E" w:rsidP="00E14102">
      <w:pPr>
        <w:autoSpaceDE w:val="0"/>
        <w:autoSpaceDN w:val="0"/>
        <w:adjustRightInd w:val="0"/>
        <w:jc w:val="both"/>
        <w:rPr>
          <w:iCs/>
          <w:color w:val="000000" w:themeColor="text1"/>
          <w:sz w:val="16"/>
          <w:szCs w:val="16"/>
        </w:rPr>
      </w:pPr>
    </w:p>
    <w:p w14:paraId="6A5D69FE" w14:textId="77777777" w:rsidR="00AF1060" w:rsidRPr="00E14102" w:rsidRDefault="00AF1060" w:rsidP="00E14102">
      <w:pPr>
        <w:jc w:val="both"/>
        <w:rPr>
          <w:color w:val="000000" w:themeColor="text1"/>
          <w:sz w:val="16"/>
          <w:szCs w:val="16"/>
        </w:rPr>
      </w:pPr>
      <w:r w:rsidRPr="00E14102">
        <w:rPr>
          <w:color w:val="000000" w:themeColor="text1"/>
          <w:sz w:val="16"/>
          <w:szCs w:val="16"/>
        </w:rPr>
        <w:t>25 ноября 1935 г. закончились полигонные испытания 37-мм РК на колесном станке на НИАПе в объеме 356 выстрелов, без испытаний возкой, которые шли с 17 ноября. В 1935 г. в КБ завода № 8 была произведена первая модернизация 37-мм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 же, как и пулемет. Патроны и система заряжания остались без изменений. 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 Забавно, что щит был введен по инерции, так как наводчик стоит на коленях, а другой номер может лежать, но перпендикулярно орудию, то есть от щита проку мало.</w:t>
      </w:r>
    </w:p>
    <w:p w14:paraId="1CB82A04" w14:textId="77777777" w:rsidR="00AF1060" w:rsidRPr="00E14102" w:rsidRDefault="00AF1060" w:rsidP="00E14102">
      <w:pPr>
        <w:jc w:val="both"/>
        <w:rPr>
          <w:bCs/>
          <w:color w:val="000000" w:themeColor="text1"/>
          <w:sz w:val="16"/>
          <w:szCs w:val="16"/>
        </w:rPr>
      </w:pPr>
      <w:r w:rsidRPr="00E14102">
        <w:rPr>
          <w:bCs/>
          <w:color w:val="000000" w:themeColor="text1"/>
          <w:sz w:val="16"/>
          <w:szCs w:val="16"/>
        </w:rPr>
        <w:t>Данные 37-мм РК на пулеметном станке</w:t>
      </w:r>
    </w:p>
    <w:p w14:paraId="60308EC7" w14:textId="77777777" w:rsidR="00AF1060" w:rsidRPr="00E14102" w:rsidRDefault="00AF1060" w:rsidP="00E14102">
      <w:pPr>
        <w:jc w:val="both"/>
        <w:rPr>
          <w:color w:val="000000" w:themeColor="text1"/>
          <w:sz w:val="16"/>
          <w:szCs w:val="16"/>
        </w:rPr>
      </w:pPr>
      <w:r w:rsidRPr="00E14102">
        <w:rPr>
          <w:color w:val="000000" w:themeColor="text1"/>
          <w:sz w:val="16"/>
          <w:szCs w:val="16"/>
        </w:rPr>
        <w:t>Калибр, мм …… 37</w:t>
      </w:r>
    </w:p>
    <w:p w14:paraId="41E25264" w14:textId="77777777" w:rsidR="00AF1060" w:rsidRPr="00E14102" w:rsidRDefault="00AF1060" w:rsidP="00E14102">
      <w:pPr>
        <w:jc w:val="both"/>
        <w:rPr>
          <w:color w:val="000000" w:themeColor="text1"/>
          <w:sz w:val="16"/>
          <w:szCs w:val="16"/>
        </w:rPr>
      </w:pPr>
      <w:r w:rsidRPr="00E14102">
        <w:rPr>
          <w:color w:val="000000" w:themeColor="text1"/>
          <w:sz w:val="16"/>
          <w:szCs w:val="16"/>
        </w:rPr>
        <w:t>Длина ствола без лотка и воронки, мм …… 1250</w:t>
      </w:r>
    </w:p>
    <w:p w14:paraId="227FA7F6" w14:textId="77777777" w:rsidR="00AF1060" w:rsidRPr="00E14102" w:rsidRDefault="00AF1060" w:rsidP="00E14102">
      <w:pPr>
        <w:jc w:val="both"/>
        <w:rPr>
          <w:color w:val="000000" w:themeColor="text1"/>
          <w:sz w:val="16"/>
          <w:szCs w:val="16"/>
        </w:rPr>
      </w:pPr>
      <w:r w:rsidRPr="00E14102">
        <w:rPr>
          <w:color w:val="000000" w:themeColor="text1"/>
          <w:sz w:val="16"/>
          <w:szCs w:val="16"/>
        </w:rPr>
        <w:t>Длина лотка, мм …… 320</w:t>
      </w:r>
    </w:p>
    <w:p w14:paraId="165B55D9" w14:textId="77777777" w:rsidR="00AF1060" w:rsidRPr="00E14102" w:rsidRDefault="00AF1060" w:rsidP="00E14102">
      <w:pPr>
        <w:jc w:val="both"/>
        <w:rPr>
          <w:color w:val="000000" w:themeColor="text1"/>
          <w:sz w:val="16"/>
          <w:szCs w:val="16"/>
        </w:rPr>
      </w:pPr>
      <w:r w:rsidRPr="00E14102">
        <w:rPr>
          <w:color w:val="000000" w:themeColor="text1"/>
          <w:sz w:val="16"/>
          <w:szCs w:val="16"/>
        </w:rPr>
        <w:t>Длина воронки, мм …… 400</w:t>
      </w:r>
    </w:p>
    <w:p w14:paraId="48F91244" w14:textId="77777777" w:rsidR="00AF1060" w:rsidRPr="00E14102" w:rsidRDefault="00AF1060" w:rsidP="00E14102">
      <w:pPr>
        <w:jc w:val="both"/>
        <w:rPr>
          <w:color w:val="000000" w:themeColor="text1"/>
          <w:sz w:val="16"/>
          <w:szCs w:val="16"/>
        </w:rPr>
      </w:pPr>
      <w:r w:rsidRPr="00E14102">
        <w:rPr>
          <w:color w:val="000000" w:themeColor="text1"/>
          <w:sz w:val="16"/>
          <w:szCs w:val="16"/>
        </w:rPr>
        <w:t>Угол BH, град …… -25°40'; +18°40'</w:t>
      </w:r>
    </w:p>
    <w:p w14:paraId="163E8988" w14:textId="77777777" w:rsidR="00AF1060" w:rsidRPr="00E14102" w:rsidRDefault="00AF1060" w:rsidP="00E14102">
      <w:pPr>
        <w:jc w:val="both"/>
        <w:rPr>
          <w:color w:val="000000" w:themeColor="text1"/>
          <w:sz w:val="16"/>
          <w:szCs w:val="16"/>
        </w:rPr>
      </w:pPr>
      <w:r w:rsidRPr="00E14102">
        <w:rPr>
          <w:color w:val="000000" w:themeColor="text1"/>
          <w:sz w:val="16"/>
          <w:szCs w:val="16"/>
        </w:rPr>
        <w:t>Угол ГН, град …… 69°</w:t>
      </w:r>
    </w:p>
    <w:p w14:paraId="782EDD2D" w14:textId="77777777" w:rsidR="00AF1060" w:rsidRPr="00E14102" w:rsidRDefault="00AF1060" w:rsidP="00E14102">
      <w:pPr>
        <w:jc w:val="both"/>
        <w:rPr>
          <w:color w:val="000000" w:themeColor="text1"/>
          <w:sz w:val="16"/>
          <w:szCs w:val="16"/>
        </w:rPr>
      </w:pPr>
      <w:r w:rsidRPr="00E14102">
        <w:rPr>
          <w:color w:val="000000" w:themeColor="text1"/>
          <w:sz w:val="16"/>
          <w:szCs w:val="16"/>
        </w:rPr>
        <w:t>Длина системы, мм …… 2030</w:t>
      </w:r>
    </w:p>
    <w:p w14:paraId="38E7FF15" w14:textId="77777777" w:rsidR="00AF1060" w:rsidRPr="00E14102" w:rsidRDefault="00AF1060" w:rsidP="00E14102">
      <w:pPr>
        <w:jc w:val="both"/>
        <w:rPr>
          <w:color w:val="000000" w:themeColor="text1"/>
          <w:sz w:val="16"/>
          <w:szCs w:val="16"/>
        </w:rPr>
      </w:pPr>
      <w:r w:rsidRPr="00E14102">
        <w:rPr>
          <w:color w:val="000000" w:themeColor="text1"/>
          <w:sz w:val="16"/>
          <w:szCs w:val="16"/>
        </w:rPr>
        <w:t>Ширина системы, мм …… 615</w:t>
      </w:r>
    </w:p>
    <w:p w14:paraId="3731ACA9" w14:textId="77777777" w:rsidR="00AF1060" w:rsidRPr="00E14102" w:rsidRDefault="00AF1060" w:rsidP="00E14102">
      <w:pPr>
        <w:jc w:val="both"/>
        <w:rPr>
          <w:color w:val="000000" w:themeColor="text1"/>
          <w:sz w:val="16"/>
          <w:szCs w:val="16"/>
        </w:rPr>
      </w:pPr>
      <w:r w:rsidRPr="00E14102">
        <w:rPr>
          <w:color w:val="000000" w:themeColor="text1"/>
          <w:sz w:val="16"/>
          <w:szCs w:val="16"/>
        </w:rPr>
        <w:t>Высота системы при угле 0°, мм …… 732</w:t>
      </w:r>
    </w:p>
    <w:p w14:paraId="07B995AE" w14:textId="77777777" w:rsidR="00AF1060" w:rsidRPr="00E14102" w:rsidRDefault="00AF1060" w:rsidP="00E14102">
      <w:pPr>
        <w:jc w:val="both"/>
        <w:rPr>
          <w:color w:val="000000" w:themeColor="text1"/>
          <w:sz w:val="16"/>
          <w:szCs w:val="16"/>
        </w:rPr>
      </w:pPr>
      <w:r w:rsidRPr="00E14102">
        <w:rPr>
          <w:color w:val="000000" w:themeColor="text1"/>
          <w:sz w:val="16"/>
          <w:szCs w:val="16"/>
        </w:rPr>
        <w:t>Ширина хода, мм …… 504</w:t>
      </w:r>
    </w:p>
    <w:p w14:paraId="75AFF638" w14:textId="77777777" w:rsidR="00AF1060" w:rsidRPr="00E14102" w:rsidRDefault="00AF1060" w:rsidP="00E14102">
      <w:pPr>
        <w:jc w:val="both"/>
        <w:rPr>
          <w:color w:val="000000" w:themeColor="text1"/>
          <w:sz w:val="16"/>
          <w:szCs w:val="16"/>
        </w:rPr>
      </w:pPr>
      <w:r w:rsidRPr="00E14102">
        <w:rPr>
          <w:color w:val="000000" w:themeColor="text1"/>
          <w:sz w:val="16"/>
          <w:szCs w:val="16"/>
        </w:rPr>
        <w:t>Высота линии огня, мм …… 450</w:t>
      </w:r>
    </w:p>
    <w:p w14:paraId="7A85C384" w14:textId="77777777" w:rsidR="00AF1060" w:rsidRPr="00E14102" w:rsidRDefault="00AF1060" w:rsidP="00E14102">
      <w:pPr>
        <w:jc w:val="both"/>
        <w:rPr>
          <w:color w:val="000000" w:themeColor="text1"/>
          <w:sz w:val="16"/>
          <w:szCs w:val="16"/>
        </w:rPr>
      </w:pPr>
      <w:r w:rsidRPr="00E14102">
        <w:rPr>
          <w:color w:val="000000" w:themeColor="text1"/>
          <w:sz w:val="16"/>
          <w:szCs w:val="16"/>
        </w:rPr>
        <w:t>Диаметр колес, мм …… 305</w:t>
      </w:r>
    </w:p>
    <w:p w14:paraId="78AAA4D9" w14:textId="77777777" w:rsidR="00AF1060" w:rsidRPr="00E14102" w:rsidRDefault="00AF1060" w:rsidP="00E14102">
      <w:pPr>
        <w:jc w:val="both"/>
        <w:rPr>
          <w:color w:val="000000" w:themeColor="text1"/>
          <w:sz w:val="16"/>
          <w:szCs w:val="16"/>
        </w:rPr>
      </w:pPr>
      <w:r w:rsidRPr="00E14102">
        <w:rPr>
          <w:color w:val="000000" w:themeColor="text1"/>
          <w:sz w:val="16"/>
          <w:szCs w:val="16"/>
        </w:rPr>
        <w:t>Вес качающейся части, кг …… 31,5</w:t>
      </w:r>
    </w:p>
    <w:p w14:paraId="45830973" w14:textId="77777777" w:rsidR="00AF1060" w:rsidRPr="00E14102" w:rsidRDefault="00AF1060" w:rsidP="00E14102">
      <w:pPr>
        <w:jc w:val="both"/>
        <w:rPr>
          <w:color w:val="000000" w:themeColor="text1"/>
          <w:sz w:val="16"/>
          <w:szCs w:val="16"/>
        </w:rPr>
      </w:pPr>
      <w:r w:rsidRPr="00E14102">
        <w:rPr>
          <w:color w:val="000000" w:themeColor="text1"/>
          <w:sz w:val="16"/>
          <w:szCs w:val="16"/>
        </w:rPr>
        <w:t>Вес системы в боевом положении, кг …… 78,2</w:t>
      </w:r>
    </w:p>
    <w:p w14:paraId="4F0E5AEA" w14:textId="77777777" w:rsidR="00AF1060" w:rsidRPr="00E14102" w:rsidRDefault="00AF1060" w:rsidP="00E14102">
      <w:pPr>
        <w:jc w:val="both"/>
        <w:rPr>
          <w:color w:val="000000" w:themeColor="text1"/>
          <w:sz w:val="16"/>
          <w:szCs w:val="16"/>
        </w:rPr>
      </w:pPr>
      <w:r w:rsidRPr="00E14102">
        <w:rPr>
          <w:color w:val="000000" w:themeColor="text1"/>
          <w:sz w:val="16"/>
          <w:szCs w:val="16"/>
        </w:rPr>
        <w:t>Вес системы в походном положении с чехлом, кг …… 80,0</w:t>
      </w:r>
    </w:p>
    <w:p w14:paraId="74C2B08D" w14:textId="77777777" w:rsidR="00AF1060" w:rsidRPr="00E14102" w:rsidRDefault="00AF1060" w:rsidP="00E14102">
      <w:pPr>
        <w:jc w:val="both"/>
        <w:rPr>
          <w:color w:val="000000" w:themeColor="text1"/>
          <w:sz w:val="16"/>
          <w:szCs w:val="16"/>
        </w:rPr>
      </w:pPr>
      <w:r w:rsidRPr="00E14102">
        <w:rPr>
          <w:color w:val="000000" w:themeColor="text1"/>
          <w:sz w:val="16"/>
          <w:szCs w:val="16"/>
        </w:rPr>
        <w:t>Темп стрельбы, выстр/мин.</w:t>
      </w:r>
    </w:p>
    <w:p w14:paraId="6BFC007D" w14:textId="77777777" w:rsidR="00AF1060" w:rsidRPr="00E14102" w:rsidRDefault="00AF1060" w:rsidP="00E14102">
      <w:pPr>
        <w:jc w:val="both"/>
        <w:rPr>
          <w:color w:val="000000" w:themeColor="text1"/>
          <w:sz w:val="16"/>
          <w:szCs w:val="16"/>
        </w:rPr>
      </w:pPr>
      <w:r w:rsidRPr="00E14102">
        <w:rPr>
          <w:color w:val="000000" w:themeColor="text1"/>
          <w:sz w:val="16"/>
          <w:szCs w:val="16"/>
        </w:rPr>
        <w:t>без исправления наводки …… 18—26</w:t>
      </w:r>
    </w:p>
    <w:p w14:paraId="3DABB193" w14:textId="77777777" w:rsidR="00AF1060" w:rsidRPr="00E14102" w:rsidRDefault="00AF1060" w:rsidP="00E14102">
      <w:pPr>
        <w:jc w:val="both"/>
        <w:rPr>
          <w:color w:val="000000" w:themeColor="text1"/>
          <w:sz w:val="16"/>
          <w:szCs w:val="16"/>
        </w:rPr>
      </w:pPr>
      <w:r w:rsidRPr="00E14102">
        <w:rPr>
          <w:color w:val="000000" w:themeColor="text1"/>
          <w:sz w:val="16"/>
          <w:szCs w:val="16"/>
        </w:rPr>
        <w:t>с исправлением наводки, …… 11—15</w:t>
      </w:r>
    </w:p>
    <w:p w14:paraId="7EC8191C" w14:textId="77777777" w:rsidR="00AF1060" w:rsidRPr="00E14102" w:rsidRDefault="00AF1060" w:rsidP="00E14102">
      <w:pPr>
        <w:jc w:val="both"/>
        <w:rPr>
          <w:color w:val="000000" w:themeColor="text1"/>
          <w:sz w:val="16"/>
          <w:szCs w:val="16"/>
        </w:rPr>
      </w:pPr>
      <w:r w:rsidRPr="00E14102">
        <w:rPr>
          <w:color w:val="000000" w:themeColor="text1"/>
          <w:sz w:val="16"/>
          <w:szCs w:val="16"/>
        </w:rPr>
        <w:t>На испытаниях была выявлена неудовлетворительная меткость, 12 отказов досылателя, 19 случаев утыкания патрона, 16 перекосов лотка, 2 случая выпадания патрона из лотка в момент заряжания. Кроме того, неудовлетворительно работало стреляющее приспособление. Согласно заключению комиссии, система полигонные испытания не выдержала. Эти испытания, равно как и испытания 37—100-мм авиационных пушек, показали полную бесперспективность тряпочных патронов и системы дульного заряжания Курчевского. Поэтому конструкторы завода № 8 в 1937—1938 гг. провели коренную модернизацию 37-мм РК БМ, получившего новое название — «37-мм пушка ДР завода № 8». Букву «К» (Курчевский) старались даже не упоминать, так как в 1937 г. Курчевский был арестован. Тряпичная гильза с деревянным донышком была заменена латунной гильзой с пластмассовым донышком. Заряжание производилось с казны, подобно обычной пушке. Для этого был введен клиновой затвор, жестко соединенный с соплом. Затвор имел одну четверть автоматики, то есть открывание его производилось вручную, а после подачи патрона затвор закрывался сам.</w:t>
      </w:r>
    </w:p>
    <w:p w14:paraId="5D7836AA" w14:textId="77777777" w:rsidR="00AF1060" w:rsidRPr="00E14102" w:rsidRDefault="00AF1060" w:rsidP="00E14102">
      <w:pPr>
        <w:jc w:val="both"/>
        <w:rPr>
          <w:color w:val="000000" w:themeColor="text1"/>
          <w:sz w:val="16"/>
          <w:szCs w:val="16"/>
        </w:rPr>
      </w:pPr>
      <w:r w:rsidRPr="00E14102">
        <w:rPr>
          <w:color w:val="000000" w:themeColor="text1"/>
          <w:sz w:val="16"/>
          <w:szCs w:val="16"/>
        </w:rPr>
        <w:t>Ствол был установлен на том же пулеметном станке, но без бесполезного щита.</w:t>
      </w:r>
    </w:p>
    <w:p w14:paraId="67D5FC62" w14:textId="77777777" w:rsidR="00AF1060" w:rsidRPr="00E14102" w:rsidRDefault="00AF1060" w:rsidP="00E14102">
      <w:pPr>
        <w:jc w:val="both"/>
        <w:rPr>
          <w:color w:val="000000" w:themeColor="text1"/>
          <w:sz w:val="16"/>
          <w:szCs w:val="16"/>
        </w:rPr>
      </w:pPr>
      <w:r w:rsidRPr="00E14102">
        <w:rPr>
          <w:color w:val="000000" w:themeColor="text1"/>
          <w:sz w:val="16"/>
          <w:szCs w:val="16"/>
        </w:rPr>
        <w:t>В боевом положении пушка передвигалась на колесном станке одним-двумя бойцами. На испытаниях таким образом было пройдено 2 км за 40 минут. Боекомплект носился в брезентовых ранцах по 10 патронов.</w:t>
      </w:r>
    </w:p>
    <w:p w14:paraId="174039A2" w14:textId="77777777" w:rsidR="00AF1060" w:rsidRPr="00E14102" w:rsidRDefault="00AF1060" w:rsidP="00E14102">
      <w:pPr>
        <w:jc w:val="both"/>
        <w:rPr>
          <w:bCs/>
          <w:color w:val="000000" w:themeColor="text1"/>
          <w:sz w:val="16"/>
          <w:szCs w:val="16"/>
        </w:rPr>
      </w:pPr>
      <w:r w:rsidRPr="00E14102">
        <w:rPr>
          <w:bCs/>
          <w:color w:val="000000" w:themeColor="text1"/>
          <w:sz w:val="16"/>
          <w:szCs w:val="16"/>
        </w:rPr>
        <w:lastRenderedPageBreak/>
        <w:t>Данные 37-мм пушки ДР завода № 8</w:t>
      </w:r>
    </w:p>
    <w:p w14:paraId="15EFC343" w14:textId="77777777" w:rsidR="00AF1060" w:rsidRPr="00E14102" w:rsidRDefault="00AF1060" w:rsidP="00E14102">
      <w:pPr>
        <w:jc w:val="both"/>
        <w:rPr>
          <w:color w:val="000000" w:themeColor="text1"/>
          <w:sz w:val="16"/>
          <w:szCs w:val="16"/>
        </w:rPr>
      </w:pPr>
      <w:r w:rsidRPr="00E14102">
        <w:rPr>
          <w:color w:val="000000" w:themeColor="text1"/>
          <w:sz w:val="16"/>
          <w:szCs w:val="16"/>
        </w:rPr>
        <w:t>Калибр, мм …… 37</w:t>
      </w:r>
    </w:p>
    <w:p w14:paraId="2A2298CA" w14:textId="77777777" w:rsidR="00AF1060" w:rsidRPr="00E14102" w:rsidRDefault="00AF1060" w:rsidP="00E14102">
      <w:pPr>
        <w:jc w:val="both"/>
        <w:rPr>
          <w:color w:val="000000" w:themeColor="text1"/>
          <w:sz w:val="16"/>
          <w:szCs w:val="16"/>
        </w:rPr>
      </w:pPr>
      <w:r w:rsidRPr="00E14102">
        <w:rPr>
          <w:color w:val="000000" w:themeColor="text1"/>
          <w:sz w:val="16"/>
          <w:szCs w:val="16"/>
        </w:rPr>
        <w:t>Длина ствола полная, мм …… 1770</w:t>
      </w:r>
    </w:p>
    <w:p w14:paraId="0C4C40BF" w14:textId="77777777" w:rsidR="00AF1060" w:rsidRPr="00E14102" w:rsidRDefault="00AF1060" w:rsidP="00E14102">
      <w:pPr>
        <w:jc w:val="both"/>
        <w:rPr>
          <w:color w:val="000000" w:themeColor="text1"/>
          <w:sz w:val="16"/>
          <w:szCs w:val="16"/>
        </w:rPr>
      </w:pPr>
      <w:r w:rsidRPr="00E14102">
        <w:rPr>
          <w:color w:val="000000" w:themeColor="text1"/>
          <w:sz w:val="16"/>
          <w:szCs w:val="16"/>
        </w:rPr>
        <w:t>Угол BH, град …… -5°; +10°</w:t>
      </w:r>
    </w:p>
    <w:p w14:paraId="645C9E2D" w14:textId="77777777" w:rsidR="00AF1060" w:rsidRPr="00E14102" w:rsidRDefault="00AF1060" w:rsidP="00E14102">
      <w:pPr>
        <w:jc w:val="both"/>
        <w:rPr>
          <w:color w:val="000000" w:themeColor="text1"/>
          <w:sz w:val="16"/>
          <w:szCs w:val="16"/>
        </w:rPr>
      </w:pPr>
      <w:r w:rsidRPr="00E14102">
        <w:rPr>
          <w:color w:val="000000" w:themeColor="text1"/>
          <w:sz w:val="16"/>
          <w:szCs w:val="16"/>
        </w:rPr>
        <w:t>Угол ГН, град …… 27°</w:t>
      </w:r>
    </w:p>
    <w:p w14:paraId="502D066E" w14:textId="77777777" w:rsidR="00AF1060" w:rsidRPr="00E14102" w:rsidRDefault="00AF1060" w:rsidP="00E14102">
      <w:pPr>
        <w:jc w:val="both"/>
        <w:rPr>
          <w:color w:val="000000" w:themeColor="text1"/>
          <w:sz w:val="16"/>
          <w:szCs w:val="16"/>
        </w:rPr>
      </w:pPr>
      <w:r w:rsidRPr="00E14102">
        <w:rPr>
          <w:color w:val="000000" w:themeColor="text1"/>
          <w:sz w:val="16"/>
          <w:szCs w:val="16"/>
        </w:rPr>
        <w:t>Длина системы, мм…… 2170</w:t>
      </w:r>
    </w:p>
    <w:p w14:paraId="6A5C7AE2" w14:textId="77777777" w:rsidR="00AF1060" w:rsidRPr="00E14102" w:rsidRDefault="00AF1060" w:rsidP="00E14102">
      <w:pPr>
        <w:jc w:val="both"/>
        <w:rPr>
          <w:color w:val="000000" w:themeColor="text1"/>
          <w:sz w:val="16"/>
          <w:szCs w:val="16"/>
        </w:rPr>
      </w:pPr>
      <w:r w:rsidRPr="00E14102">
        <w:rPr>
          <w:color w:val="000000" w:themeColor="text1"/>
          <w:sz w:val="16"/>
          <w:szCs w:val="16"/>
        </w:rPr>
        <w:t>Ширина системы, мм …… 600</w:t>
      </w:r>
    </w:p>
    <w:p w14:paraId="78E31088" w14:textId="77777777" w:rsidR="00AF1060" w:rsidRPr="00E14102" w:rsidRDefault="00AF1060" w:rsidP="00E14102">
      <w:pPr>
        <w:jc w:val="both"/>
        <w:rPr>
          <w:color w:val="000000" w:themeColor="text1"/>
          <w:sz w:val="16"/>
          <w:szCs w:val="16"/>
        </w:rPr>
      </w:pPr>
      <w:r w:rsidRPr="00E14102">
        <w:rPr>
          <w:color w:val="000000" w:themeColor="text1"/>
          <w:sz w:val="16"/>
          <w:szCs w:val="16"/>
        </w:rPr>
        <w:t>Высота системы при 0°, мм …… 400</w:t>
      </w:r>
    </w:p>
    <w:p w14:paraId="39FE28D8" w14:textId="77777777" w:rsidR="00AF1060" w:rsidRPr="00E14102" w:rsidRDefault="00AF1060" w:rsidP="00E14102">
      <w:pPr>
        <w:jc w:val="both"/>
        <w:rPr>
          <w:color w:val="000000" w:themeColor="text1"/>
          <w:sz w:val="16"/>
          <w:szCs w:val="16"/>
        </w:rPr>
      </w:pPr>
      <w:r w:rsidRPr="00E14102">
        <w:rPr>
          <w:color w:val="000000" w:themeColor="text1"/>
          <w:sz w:val="16"/>
          <w:szCs w:val="16"/>
        </w:rPr>
        <w:t>Вес качающейся части, кг …… 35,2</w:t>
      </w:r>
    </w:p>
    <w:p w14:paraId="6671AE9F" w14:textId="77777777" w:rsidR="00AF1060" w:rsidRPr="00E14102" w:rsidRDefault="00AF1060" w:rsidP="00E14102">
      <w:pPr>
        <w:jc w:val="both"/>
        <w:rPr>
          <w:color w:val="000000" w:themeColor="text1"/>
          <w:sz w:val="16"/>
          <w:szCs w:val="16"/>
        </w:rPr>
      </w:pPr>
      <w:r w:rsidRPr="00E14102">
        <w:rPr>
          <w:color w:val="000000" w:themeColor="text1"/>
          <w:sz w:val="16"/>
          <w:szCs w:val="16"/>
        </w:rPr>
        <w:t>Вес системы в боевом положении, кг …… 59</w:t>
      </w:r>
    </w:p>
    <w:p w14:paraId="324506E5" w14:textId="77777777" w:rsidR="00AF1060" w:rsidRPr="00E14102" w:rsidRDefault="00AF1060" w:rsidP="00E14102">
      <w:pPr>
        <w:jc w:val="both"/>
        <w:rPr>
          <w:color w:val="000000" w:themeColor="text1"/>
          <w:sz w:val="16"/>
          <w:szCs w:val="16"/>
        </w:rPr>
      </w:pPr>
      <w:r w:rsidRPr="00E14102">
        <w:rPr>
          <w:color w:val="000000" w:themeColor="text1"/>
          <w:sz w:val="16"/>
          <w:szCs w:val="16"/>
        </w:rPr>
        <w:t>Вес снаряда, кг …… 0,6</w:t>
      </w:r>
    </w:p>
    <w:p w14:paraId="1D263FB5" w14:textId="77777777" w:rsidR="00AF1060" w:rsidRPr="00E14102" w:rsidRDefault="00AF1060" w:rsidP="00E14102">
      <w:pPr>
        <w:jc w:val="both"/>
        <w:rPr>
          <w:color w:val="000000" w:themeColor="text1"/>
          <w:sz w:val="16"/>
          <w:szCs w:val="16"/>
        </w:rPr>
      </w:pPr>
      <w:r w:rsidRPr="00E14102">
        <w:rPr>
          <w:color w:val="000000" w:themeColor="text1"/>
          <w:sz w:val="16"/>
          <w:szCs w:val="16"/>
        </w:rPr>
        <w:t>Начальная скорость, м/с …… 598 (15117).</w:t>
      </w:r>
    </w:p>
    <w:p w14:paraId="5F66C54A" w14:textId="77777777" w:rsidR="00AF1060" w:rsidRPr="00E14102" w:rsidRDefault="00AF1060" w:rsidP="00E14102">
      <w:pPr>
        <w:jc w:val="both"/>
        <w:rPr>
          <w:color w:val="000000" w:themeColor="text1"/>
          <w:sz w:val="16"/>
          <w:szCs w:val="16"/>
        </w:rPr>
      </w:pPr>
    </w:p>
    <w:p w14:paraId="04AB8D1D" w14:textId="77777777" w:rsidR="00647F1E" w:rsidRPr="00E14102" w:rsidRDefault="00647F1E" w:rsidP="00E14102">
      <w:pPr>
        <w:jc w:val="both"/>
        <w:rPr>
          <w:color w:val="000000" w:themeColor="text1"/>
          <w:sz w:val="16"/>
          <w:szCs w:val="16"/>
        </w:rPr>
      </w:pPr>
      <w:r w:rsidRPr="00E14102">
        <w:rPr>
          <w:color w:val="000000" w:themeColor="text1"/>
          <w:sz w:val="16"/>
          <w:szCs w:val="16"/>
        </w:rPr>
        <w:t>Не ранее 25 ноября 1935 г. [2] из справки сектора труда Госплана СССР о перестройке заработной платы в 1935 г.</w:t>
      </w:r>
    </w:p>
    <w:p w14:paraId="44515439"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На протяжении 1935 г. во всех отраслях народного хозяйства происходила глубокая перестройка системы заработной платы. Сущность этой перестройки вкратце может быть сведена к следующим основным моментам: </w:t>
      </w:r>
    </w:p>
    <w:p w14:paraId="7F18DB81"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1. На протяжении 1935 г. в значительном количестве отраслей труда - в промышленности, в сельском хозяйстве, в строительстве и на транспорте - широко внедрялась прогрессивная сдельщина, резко повысившая личную материальную заинтересованность работников в повышении производительности труда. </w:t>
      </w:r>
    </w:p>
    <w:p w14:paraId="77A9EB08"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2. В ряде отраслей промышленности с большим хозяйственным успехом начали по опыту Макеевского завода им. Кирова внедрять результативные системы оплаты труда инженерно-технического персонала (сдельную, прогрессивно-сдельную и сдельно-премиальную оплату за выполнение и перевыполнение количественных и качественных заданий). </w:t>
      </w:r>
    </w:p>
    <w:p w14:paraId="4CAA85D2"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3. В ряде отраслей хозяйства и социально-культурного строительства, особенно для работников, занятых на селе, происходило дальнейшее подтягивание уровня зарплаты и вводилась большая дифференциация в оплате в зависимости от условий работы, степени ее трудности и ответственности, личной подготовленности, знаний и стажа работника (около полумиллиарда рублей прибавлено медицинским работникам, большое повышение зарплаты получили работники торговой сети, работники заготовительной сети, руководящие работники кооперации, сберкасс, райисполкомов и др.). </w:t>
      </w:r>
    </w:p>
    <w:p w14:paraId="44DCA321"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4. В связи с отменой карточек на хлеб и другие продукты питания с 1 января 1935 г. была проведена значительная (составившая около 4,5 млрд. руб.) так называемая хлебная прибавка зарплаты. Прибавка эта поднимала уровень заработной платы по всем отраслям народного хозяйства в среднем на 10%. Такой размер прибавки не только компенсировал, но и во многих семьях рабочих и служащих перекрывал расходы, связанные с отменой нормированных цен на продукты питания. </w:t>
      </w:r>
    </w:p>
    <w:p w14:paraId="5F6AFAA9"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5. В ряде отраслей труда (в угольной промышленности, в совхозах и др.) происходила дальнейшая ликвидация бесплатных коммунальных услуг с соответствующей компенсацией работников повышением их денежной зарплаты. </w:t>
      </w:r>
    </w:p>
    <w:p w14:paraId="261EFEC9"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Все эти мероприятия вместе взятые в сочетании с отменой карточной системы распределения и ростом товарооборота резко повысили личную материальную заинтересованность рабочих, ИТР и служащих в повышении производительности и качества их социалистического труда и послужили одной из предпосылок стахановского движения. </w:t>
      </w:r>
    </w:p>
    <w:p w14:paraId="0E21333F"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Прогрессивная сдельщина, ранее применявшаяся с чрезмерной опаской, вводившаяся лишь на участках, представлявших «узкое место» на предприятии, получила в 1935 г. весьма широкое применение как на машинных работах, так и в ручном труде. Решающая часть квалифицированных рабочих оплачивается сейчас уже по системе прогрессивки. Так, по данным НКТП на 1 октября 1935 г., охват прогрессивной сдельщиной составлял: в каменноугольной промышленности - 33% от общего числа рабочих, в черной металлургии - 35%, в цветной металлургии - 30%, в вагоностроении - 23%, в речном судостроении - 20%, в горном машиностроении - 15%, в железорудной промышленности - 33%, в цементной - 30%, в резиновой - 12%. </w:t>
      </w:r>
    </w:p>
    <w:p w14:paraId="2AB7C3A4"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В текстильной индустрии в течение ряда лет применяется извращенная прогрессивка, премирующая рабочего не за выполнение и перевыполнение нормы, а за выполнение 80% установленной нормы. В строительстве в этом году прогрессивка применялась в виде опыта на нескольких десятках крупнейших строек. Большую пользу принесло введение прогрессивки для ведущих категорий работников железнодорожного транспорта (машинисты и др.) и для ведущих категорий сельскохозяйственных рабочих (трактористов и комбайнеров). </w:t>
      </w:r>
    </w:p>
    <w:p w14:paraId="66D9368E"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На всех участках народного хозяйства, где применялась прогрессивно-сдельная система оплаты труда, мы получили громадный хозяйственный эффект, выразившийся прежде всего в огромном росте производительности труда, в резкой перестройке системы организации работ и выявлении таких резервов, о наличии которых раньше многие и не подозревали. Особенно большой эффект дала прогрессивно-сдельная оплата труда в отраслях тяжелой индустрии, черной и цветной металлургии, каменноугольной, машиностроении и химии. Так, на заводе «Красный Профинтерн» Главвагонпрома в вагоноколесном цехе с введением прогрессивки резко увеличились отпуск полускатов (почти в 2 раза) и урезка осей. Норма на обточку колес перевыполняется на 40-50% при увеличении производительности станка на 40 и выше процентов. </w:t>
      </w:r>
    </w:p>
    <w:p w14:paraId="360EC678"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На заводе им. Егорова Главвагонпрома в токарном цехе введение прогрессивки повлияло на рост производительности труда следующим образом: </w:t>
      </w:r>
    </w:p>
    <w:p w14:paraId="6FE0BE1C"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Отделка шейки шасси. </w:t>
      </w:r>
    </w:p>
    <w:p w14:paraId="1BEA342E"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1. В одну смену вырабатывалось одним рабочим до введения прогрессивки 2,85 шт., после введения прогрессивки - 4,33 шт.; зарплата была 10 руб. 30 коп., после введения -25 руб. </w:t>
      </w:r>
    </w:p>
    <w:p w14:paraId="02E093DE"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2. На расточке до прогрессивки вырабатывалось 5 шт., после ьведения прогрессивки - 9 шт.; зарплата была до прогрессивки 2 руб. 58 коп. в час, после прогрессивки - 7 руб. 40 коп. </w:t>
      </w:r>
    </w:p>
    <w:p w14:paraId="7C95663D"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На Люберецком заводе сельскохозяйственных машин в кузнечно-прессовом комбинате по участку бульдозеров до введения прогрессивки нормы выполнялись на 83%, после введения прогрессивки - на 107 и выше процентов, по большому npeсу до введения прогрессивки нормы выполнялись на 90%, после введения прогрессивки нормы стали перевыполнять. В механосборочном комбинате по группе токарных станков производственные задания до введения прогрессивки выполнялись на 106%, после введения прогрессивки - на 115-120%. </w:t>
      </w:r>
    </w:p>
    <w:p w14:paraId="0A803404"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На заводе им. Урицкого в скатном цехе на отделку шасси до введения прогрессивки выработка составляла 7,1 шт., после - 9,7 шт. Зарплата была до введения прогрессивки 13 руб. 84 коп., после введения - 30 руб. 65 коп. </w:t>
      </w:r>
    </w:p>
    <w:p w14:paraId="73583F9D"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Введение прогрессивки на Белорецком сталепроволочном и канатном заводе на участке железоволочильном на простых крупных сортах проволоки повлияло на выполнение норм с 94,8 до 100 и выше процентов. </w:t>
      </w:r>
    </w:p>
    <w:p w14:paraId="1B8D52CA"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На Щелковском химзаводе Главхимпрома: а) по соляно-сульфатному цеху месячная выработка после введения прогрессивки поднялась с 628-800 до 830-838 т; среднемесячная зарплата рабочих повысилась с 180 до 193 руб.; б) по башенному цеху среднесуточная выработка увеличилась с 60 до 61 - 63 т; производительность труда поднялась с 1770-2200 до 2348-2595 кг; зарплата рабочих поднялась со 164 до 203 руб.; в) по контактному цеху общая выработка поднялась с 1067 - 1169 до 1258-1336 т; производительность труда повысилась с 1685-2130 до 2115-2374 кг; зарплата повысилась с 197-228 до 223-262 руб. </w:t>
      </w:r>
    </w:p>
    <w:p w14:paraId="17ADC077"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На медных рудниках Урала в результате введения прогрессивки выработка на одного рабочего выросла во II квартале 1935 г. против II квартала 1934 г. (момент введения прогрессивки) на 51,6%. Зарплата одного рабочего выросла за это время на 22,4%. На медных заводах Урала за этот же период производительность выросла на 82% и зарплата - на 41,8%. [3] Обращаясь к анализу темпов роста заработной платы, приходится прежде всего отметить, что в промышленности, строительстве и па транспорте темпы роста заработной платы обгоняют темпы роста производительности труда. В 1935 г. эти итоги частично объясняются хлебной прибавкой к зарплате, однако и вне зависимости от этого обстоятельства сложившиеся соотношения нельзя признать благоприятными с точки зрения снижения расходов на рабочую силу в себестоимости единицы из­делия. Лишь для 1936 г. на базе стахановского движения намечается существенный перелом. Об этом говорит следующая таблица. </w:t>
      </w:r>
    </w:p>
    <w:tbl>
      <w:tblPr>
        <w:tblW w:w="0" w:type="auto"/>
        <w:tblLayout w:type="fixed"/>
        <w:tblCellMar>
          <w:left w:w="0" w:type="dxa"/>
          <w:right w:w="0" w:type="dxa"/>
        </w:tblCellMar>
        <w:tblLook w:val="0000" w:firstRow="0" w:lastRow="0" w:firstColumn="0" w:lastColumn="0" w:noHBand="0" w:noVBand="0"/>
      </w:tblPr>
      <w:tblGrid>
        <w:gridCol w:w="3794"/>
        <w:gridCol w:w="1375"/>
        <w:gridCol w:w="1375"/>
        <w:gridCol w:w="1438"/>
        <w:gridCol w:w="1375"/>
      </w:tblGrid>
      <w:tr w:rsidR="00E3599D" w:rsidRPr="00E14102" w14:paraId="571E1B10" w14:textId="77777777" w:rsidTr="00A45C9C">
        <w:tc>
          <w:tcPr>
            <w:tcW w:w="3794" w:type="dxa"/>
            <w:tcBorders>
              <w:top w:val="none" w:sz="6" w:space="0" w:color="auto"/>
              <w:left w:val="none" w:sz="6" w:space="0" w:color="auto"/>
              <w:bottom w:val="none" w:sz="6" w:space="0" w:color="auto"/>
              <w:right w:val="none" w:sz="6" w:space="0" w:color="auto"/>
            </w:tcBorders>
          </w:tcPr>
          <w:p w14:paraId="7FBD47BB" w14:textId="77777777" w:rsidR="00647F1E" w:rsidRPr="00E14102" w:rsidRDefault="00647F1E" w:rsidP="00E14102">
            <w:pPr>
              <w:jc w:val="both"/>
              <w:rPr>
                <w:color w:val="000000" w:themeColor="text1"/>
                <w:sz w:val="16"/>
                <w:szCs w:val="16"/>
              </w:rPr>
            </w:pPr>
          </w:p>
        </w:tc>
        <w:tc>
          <w:tcPr>
            <w:tcW w:w="1375" w:type="dxa"/>
            <w:tcBorders>
              <w:top w:val="none" w:sz="6" w:space="0" w:color="auto"/>
              <w:left w:val="none" w:sz="6" w:space="0" w:color="auto"/>
              <w:bottom w:val="none" w:sz="6" w:space="0" w:color="auto"/>
              <w:right w:val="none" w:sz="6" w:space="0" w:color="auto"/>
            </w:tcBorders>
          </w:tcPr>
          <w:p w14:paraId="1B75BB1C" w14:textId="77777777" w:rsidR="00647F1E" w:rsidRPr="00E14102" w:rsidRDefault="00647F1E" w:rsidP="00E14102">
            <w:pPr>
              <w:jc w:val="both"/>
              <w:rPr>
                <w:color w:val="000000" w:themeColor="text1"/>
                <w:sz w:val="16"/>
                <w:szCs w:val="16"/>
              </w:rPr>
            </w:pPr>
            <w:r w:rsidRPr="00E14102">
              <w:rPr>
                <w:color w:val="000000" w:themeColor="text1"/>
                <w:sz w:val="16"/>
                <w:szCs w:val="16"/>
              </w:rPr>
              <w:t>1933 г.</w:t>
            </w:r>
          </w:p>
        </w:tc>
        <w:tc>
          <w:tcPr>
            <w:tcW w:w="1375" w:type="dxa"/>
            <w:tcBorders>
              <w:top w:val="none" w:sz="6" w:space="0" w:color="auto"/>
              <w:left w:val="none" w:sz="6" w:space="0" w:color="auto"/>
              <w:bottom w:val="none" w:sz="6" w:space="0" w:color="auto"/>
              <w:right w:val="none" w:sz="6" w:space="0" w:color="auto"/>
            </w:tcBorders>
          </w:tcPr>
          <w:p w14:paraId="0E97E37D" w14:textId="77777777" w:rsidR="00647F1E" w:rsidRPr="00E14102" w:rsidRDefault="00647F1E" w:rsidP="00E14102">
            <w:pPr>
              <w:jc w:val="both"/>
              <w:rPr>
                <w:color w:val="000000" w:themeColor="text1"/>
                <w:sz w:val="16"/>
                <w:szCs w:val="16"/>
              </w:rPr>
            </w:pPr>
            <w:r w:rsidRPr="00E14102">
              <w:rPr>
                <w:color w:val="000000" w:themeColor="text1"/>
                <w:sz w:val="16"/>
                <w:szCs w:val="16"/>
              </w:rPr>
              <w:t>1934 г.</w:t>
            </w:r>
          </w:p>
        </w:tc>
        <w:tc>
          <w:tcPr>
            <w:tcW w:w="1438" w:type="dxa"/>
            <w:tcBorders>
              <w:top w:val="none" w:sz="6" w:space="0" w:color="auto"/>
              <w:left w:val="none" w:sz="6" w:space="0" w:color="auto"/>
              <w:bottom w:val="none" w:sz="6" w:space="0" w:color="auto"/>
              <w:right w:val="none" w:sz="6" w:space="0" w:color="auto"/>
            </w:tcBorders>
          </w:tcPr>
          <w:p w14:paraId="73FEDC5E" w14:textId="77777777" w:rsidR="00647F1E" w:rsidRPr="00E14102" w:rsidRDefault="00647F1E" w:rsidP="00E14102">
            <w:pPr>
              <w:jc w:val="both"/>
              <w:rPr>
                <w:color w:val="000000" w:themeColor="text1"/>
                <w:sz w:val="16"/>
                <w:szCs w:val="16"/>
              </w:rPr>
            </w:pPr>
            <w:r w:rsidRPr="00E14102">
              <w:rPr>
                <w:color w:val="000000" w:themeColor="text1"/>
                <w:sz w:val="16"/>
                <w:szCs w:val="16"/>
              </w:rPr>
              <w:t>1935 г.</w:t>
            </w:r>
          </w:p>
        </w:tc>
        <w:tc>
          <w:tcPr>
            <w:tcW w:w="1375" w:type="dxa"/>
            <w:tcBorders>
              <w:top w:val="none" w:sz="6" w:space="0" w:color="auto"/>
              <w:left w:val="none" w:sz="6" w:space="0" w:color="auto"/>
              <w:bottom w:val="none" w:sz="6" w:space="0" w:color="auto"/>
              <w:right w:val="none" w:sz="6" w:space="0" w:color="auto"/>
            </w:tcBorders>
          </w:tcPr>
          <w:p w14:paraId="1358F790" w14:textId="77777777" w:rsidR="00647F1E" w:rsidRPr="00E14102" w:rsidRDefault="00647F1E" w:rsidP="00E14102">
            <w:pPr>
              <w:jc w:val="both"/>
              <w:rPr>
                <w:color w:val="000000" w:themeColor="text1"/>
                <w:sz w:val="16"/>
                <w:szCs w:val="16"/>
              </w:rPr>
            </w:pPr>
            <w:r w:rsidRPr="00E14102">
              <w:rPr>
                <w:color w:val="000000" w:themeColor="text1"/>
                <w:sz w:val="16"/>
                <w:szCs w:val="16"/>
              </w:rPr>
              <w:t>1936 г.</w:t>
            </w:r>
          </w:p>
        </w:tc>
      </w:tr>
      <w:tr w:rsidR="00E3599D" w:rsidRPr="00E14102" w14:paraId="7C47E40C"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39012727" w14:textId="77777777" w:rsidR="00647F1E" w:rsidRPr="00E14102" w:rsidRDefault="00647F1E" w:rsidP="00E14102">
            <w:pPr>
              <w:jc w:val="both"/>
              <w:rPr>
                <w:color w:val="000000" w:themeColor="text1"/>
                <w:sz w:val="16"/>
                <w:szCs w:val="16"/>
              </w:rPr>
            </w:pPr>
            <w:r w:rsidRPr="00E14102">
              <w:rPr>
                <w:color w:val="000000" w:themeColor="text1"/>
                <w:sz w:val="16"/>
                <w:szCs w:val="16"/>
              </w:rPr>
              <w:t>Вся промышленность:</w:t>
            </w:r>
          </w:p>
        </w:tc>
      </w:tr>
      <w:tr w:rsidR="00E3599D" w:rsidRPr="00E14102" w14:paraId="515E1C29" w14:textId="77777777" w:rsidTr="00A45C9C">
        <w:tc>
          <w:tcPr>
            <w:tcW w:w="3794" w:type="dxa"/>
            <w:tcBorders>
              <w:top w:val="none" w:sz="6" w:space="0" w:color="auto"/>
              <w:left w:val="none" w:sz="6" w:space="0" w:color="auto"/>
              <w:bottom w:val="none" w:sz="6" w:space="0" w:color="auto"/>
              <w:right w:val="none" w:sz="6" w:space="0" w:color="auto"/>
            </w:tcBorders>
          </w:tcPr>
          <w:p w14:paraId="6D049B3D" w14:textId="77777777" w:rsidR="00647F1E" w:rsidRPr="00E14102" w:rsidRDefault="00647F1E" w:rsidP="00E14102">
            <w:pPr>
              <w:jc w:val="both"/>
              <w:rPr>
                <w:color w:val="000000" w:themeColor="text1"/>
                <w:sz w:val="16"/>
                <w:szCs w:val="16"/>
              </w:rPr>
            </w:pPr>
            <w:r w:rsidRPr="00E14102">
              <w:rPr>
                <w:color w:val="000000" w:themeColor="text1"/>
                <w:sz w:val="16"/>
                <w:szCs w:val="16"/>
              </w:rPr>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64C46F2A" w14:textId="77777777" w:rsidR="00647F1E" w:rsidRPr="00E14102" w:rsidRDefault="00647F1E" w:rsidP="00E14102">
            <w:pPr>
              <w:jc w:val="both"/>
              <w:rPr>
                <w:color w:val="000000" w:themeColor="text1"/>
                <w:sz w:val="16"/>
                <w:szCs w:val="16"/>
              </w:rPr>
            </w:pPr>
            <w:r w:rsidRPr="00E14102">
              <w:rPr>
                <w:color w:val="000000" w:themeColor="text1"/>
                <w:sz w:val="16"/>
                <w:szCs w:val="16"/>
              </w:rPr>
              <w:t>108,7</w:t>
            </w:r>
          </w:p>
        </w:tc>
        <w:tc>
          <w:tcPr>
            <w:tcW w:w="1375" w:type="dxa"/>
            <w:tcBorders>
              <w:top w:val="none" w:sz="6" w:space="0" w:color="auto"/>
              <w:left w:val="none" w:sz="6" w:space="0" w:color="auto"/>
              <w:bottom w:val="none" w:sz="6" w:space="0" w:color="auto"/>
              <w:right w:val="none" w:sz="6" w:space="0" w:color="auto"/>
            </w:tcBorders>
          </w:tcPr>
          <w:p w14:paraId="5EE98FC6" w14:textId="77777777" w:rsidR="00647F1E" w:rsidRPr="00E14102" w:rsidRDefault="00647F1E" w:rsidP="00E14102">
            <w:pPr>
              <w:jc w:val="both"/>
              <w:rPr>
                <w:color w:val="000000" w:themeColor="text1"/>
                <w:sz w:val="16"/>
                <w:szCs w:val="16"/>
              </w:rPr>
            </w:pPr>
            <w:r w:rsidRPr="00E14102">
              <w:rPr>
                <w:color w:val="000000" w:themeColor="text1"/>
                <w:sz w:val="16"/>
                <w:szCs w:val="16"/>
              </w:rPr>
              <w:t>110,7</w:t>
            </w:r>
          </w:p>
        </w:tc>
        <w:tc>
          <w:tcPr>
            <w:tcW w:w="1438" w:type="dxa"/>
            <w:tcBorders>
              <w:top w:val="none" w:sz="6" w:space="0" w:color="auto"/>
              <w:left w:val="none" w:sz="6" w:space="0" w:color="auto"/>
              <w:bottom w:val="none" w:sz="6" w:space="0" w:color="auto"/>
              <w:right w:val="none" w:sz="6" w:space="0" w:color="auto"/>
            </w:tcBorders>
          </w:tcPr>
          <w:p w14:paraId="413D7FE3" w14:textId="77777777" w:rsidR="00647F1E" w:rsidRPr="00E14102" w:rsidRDefault="00647F1E" w:rsidP="00E14102">
            <w:pPr>
              <w:jc w:val="both"/>
              <w:rPr>
                <w:color w:val="000000" w:themeColor="text1"/>
                <w:sz w:val="16"/>
                <w:szCs w:val="16"/>
              </w:rPr>
            </w:pPr>
            <w:r w:rsidRPr="00E14102">
              <w:rPr>
                <w:color w:val="000000" w:themeColor="text1"/>
                <w:sz w:val="16"/>
                <w:szCs w:val="16"/>
              </w:rPr>
              <w:t>112,9</w:t>
            </w:r>
          </w:p>
        </w:tc>
        <w:tc>
          <w:tcPr>
            <w:tcW w:w="1375" w:type="dxa"/>
            <w:tcBorders>
              <w:top w:val="none" w:sz="6" w:space="0" w:color="auto"/>
              <w:left w:val="none" w:sz="6" w:space="0" w:color="auto"/>
              <w:bottom w:val="none" w:sz="6" w:space="0" w:color="auto"/>
              <w:right w:val="none" w:sz="6" w:space="0" w:color="auto"/>
            </w:tcBorders>
          </w:tcPr>
          <w:p w14:paraId="6F6002F3" w14:textId="77777777" w:rsidR="00647F1E" w:rsidRPr="00E14102" w:rsidRDefault="00647F1E" w:rsidP="00E14102">
            <w:pPr>
              <w:jc w:val="both"/>
              <w:rPr>
                <w:color w:val="000000" w:themeColor="text1"/>
                <w:sz w:val="16"/>
                <w:szCs w:val="16"/>
              </w:rPr>
            </w:pPr>
            <w:r w:rsidRPr="00E14102">
              <w:rPr>
                <w:color w:val="000000" w:themeColor="text1"/>
                <w:sz w:val="16"/>
                <w:szCs w:val="16"/>
              </w:rPr>
              <w:t>120</w:t>
            </w:r>
          </w:p>
        </w:tc>
      </w:tr>
      <w:tr w:rsidR="00E3599D" w:rsidRPr="00E14102" w14:paraId="789F262E" w14:textId="77777777" w:rsidTr="00A45C9C">
        <w:tc>
          <w:tcPr>
            <w:tcW w:w="3794" w:type="dxa"/>
            <w:tcBorders>
              <w:top w:val="none" w:sz="6" w:space="0" w:color="auto"/>
              <w:left w:val="none" w:sz="6" w:space="0" w:color="auto"/>
              <w:bottom w:val="none" w:sz="6" w:space="0" w:color="auto"/>
              <w:right w:val="none" w:sz="6" w:space="0" w:color="auto"/>
            </w:tcBorders>
          </w:tcPr>
          <w:p w14:paraId="226B42B6" w14:textId="77777777" w:rsidR="00647F1E" w:rsidRPr="00E14102" w:rsidRDefault="00647F1E" w:rsidP="00E14102">
            <w:pPr>
              <w:jc w:val="both"/>
              <w:rPr>
                <w:color w:val="000000" w:themeColor="text1"/>
                <w:sz w:val="16"/>
                <w:szCs w:val="16"/>
              </w:rPr>
            </w:pPr>
            <w:r w:rsidRPr="00E14102">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07EB1697" w14:textId="77777777" w:rsidR="00647F1E" w:rsidRPr="00E14102" w:rsidRDefault="00647F1E" w:rsidP="00E14102">
            <w:pPr>
              <w:jc w:val="both"/>
              <w:rPr>
                <w:color w:val="000000" w:themeColor="text1"/>
                <w:sz w:val="16"/>
                <w:szCs w:val="16"/>
              </w:rPr>
            </w:pPr>
            <w:r w:rsidRPr="00E14102">
              <w:rPr>
                <w:color w:val="000000" w:themeColor="text1"/>
                <w:sz w:val="16"/>
                <w:szCs w:val="16"/>
              </w:rPr>
              <w:t>109,2</w:t>
            </w:r>
          </w:p>
        </w:tc>
        <w:tc>
          <w:tcPr>
            <w:tcW w:w="1375" w:type="dxa"/>
            <w:tcBorders>
              <w:top w:val="none" w:sz="6" w:space="0" w:color="auto"/>
              <w:left w:val="none" w:sz="6" w:space="0" w:color="auto"/>
              <w:bottom w:val="none" w:sz="6" w:space="0" w:color="auto"/>
              <w:right w:val="none" w:sz="6" w:space="0" w:color="auto"/>
            </w:tcBorders>
          </w:tcPr>
          <w:p w14:paraId="60CE437E" w14:textId="77777777" w:rsidR="00647F1E" w:rsidRPr="00E14102" w:rsidRDefault="00647F1E" w:rsidP="00E14102">
            <w:pPr>
              <w:jc w:val="both"/>
              <w:rPr>
                <w:color w:val="000000" w:themeColor="text1"/>
                <w:sz w:val="16"/>
                <w:szCs w:val="16"/>
              </w:rPr>
            </w:pPr>
            <w:r w:rsidRPr="00E14102">
              <w:rPr>
                <w:color w:val="000000" w:themeColor="text1"/>
                <w:sz w:val="16"/>
                <w:szCs w:val="16"/>
              </w:rPr>
              <w:t>116,9</w:t>
            </w:r>
          </w:p>
        </w:tc>
        <w:tc>
          <w:tcPr>
            <w:tcW w:w="1438" w:type="dxa"/>
            <w:tcBorders>
              <w:top w:val="none" w:sz="6" w:space="0" w:color="auto"/>
              <w:left w:val="none" w:sz="6" w:space="0" w:color="auto"/>
              <w:bottom w:val="none" w:sz="6" w:space="0" w:color="auto"/>
              <w:right w:val="none" w:sz="6" w:space="0" w:color="auto"/>
            </w:tcBorders>
          </w:tcPr>
          <w:p w14:paraId="64003228" w14:textId="77777777" w:rsidR="00647F1E" w:rsidRPr="00E14102" w:rsidRDefault="00647F1E" w:rsidP="00E14102">
            <w:pPr>
              <w:jc w:val="both"/>
              <w:rPr>
                <w:color w:val="000000" w:themeColor="text1"/>
                <w:sz w:val="16"/>
                <w:szCs w:val="16"/>
              </w:rPr>
            </w:pPr>
            <w:r w:rsidRPr="00E14102">
              <w:rPr>
                <w:color w:val="000000" w:themeColor="text1"/>
                <w:sz w:val="16"/>
                <w:szCs w:val="16"/>
              </w:rPr>
              <w:t>126,2 [4]</w:t>
            </w:r>
          </w:p>
          <w:p w14:paraId="76910C42" w14:textId="77777777" w:rsidR="00647F1E" w:rsidRPr="00E14102" w:rsidRDefault="00647F1E" w:rsidP="00E14102">
            <w:pPr>
              <w:jc w:val="both"/>
              <w:rPr>
                <w:color w:val="000000" w:themeColor="text1"/>
                <w:sz w:val="16"/>
                <w:szCs w:val="16"/>
              </w:rPr>
            </w:pPr>
            <w:r w:rsidRPr="00E14102">
              <w:rPr>
                <w:color w:val="000000" w:themeColor="text1"/>
                <w:sz w:val="16"/>
                <w:szCs w:val="16"/>
              </w:rPr>
              <w:t>113,0</w:t>
            </w:r>
          </w:p>
        </w:tc>
        <w:tc>
          <w:tcPr>
            <w:tcW w:w="1375" w:type="dxa"/>
            <w:tcBorders>
              <w:top w:val="none" w:sz="6" w:space="0" w:color="auto"/>
              <w:left w:val="none" w:sz="6" w:space="0" w:color="auto"/>
              <w:bottom w:val="none" w:sz="6" w:space="0" w:color="auto"/>
              <w:right w:val="none" w:sz="6" w:space="0" w:color="auto"/>
            </w:tcBorders>
          </w:tcPr>
          <w:p w14:paraId="3590371D" w14:textId="77777777" w:rsidR="00647F1E" w:rsidRPr="00E14102" w:rsidRDefault="00647F1E" w:rsidP="00E14102">
            <w:pPr>
              <w:jc w:val="both"/>
              <w:rPr>
                <w:color w:val="000000" w:themeColor="text1"/>
                <w:sz w:val="16"/>
                <w:szCs w:val="16"/>
              </w:rPr>
            </w:pPr>
            <w:r w:rsidRPr="00E14102">
              <w:rPr>
                <w:color w:val="000000" w:themeColor="text1"/>
                <w:sz w:val="16"/>
                <w:szCs w:val="16"/>
              </w:rPr>
              <w:t>112</w:t>
            </w:r>
          </w:p>
        </w:tc>
      </w:tr>
      <w:tr w:rsidR="00E3599D" w:rsidRPr="00E14102" w14:paraId="6F8757E4"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0C8899F7" w14:textId="77777777" w:rsidR="00647F1E" w:rsidRPr="00E14102" w:rsidRDefault="00647F1E" w:rsidP="00E14102">
            <w:pPr>
              <w:jc w:val="both"/>
              <w:rPr>
                <w:color w:val="000000" w:themeColor="text1"/>
                <w:sz w:val="16"/>
                <w:szCs w:val="16"/>
              </w:rPr>
            </w:pPr>
            <w:r w:rsidRPr="00E14102">
              <w:rPr>
                <w:color w:val="000000" w:themeColor="text1"/>
                <w:sz w:val="16"/>
                <w:szCs w:val="16"/>
              </w:rPr>
              <w:t>Промышленность НКТП:</w:t>
            </w:r>
          </w:p>
        </w:tc>
      </w:tr>
      <w:tr w:rsidR="00E3599D" w:rsidRPr="00E14102" w14:paraId="5F645041" w14:textId="77777777" w:rsidTr="00A45C9C">
        <w:tc>
          <w:tcPr>
            <w:tcW w:w="3794" w:type="dxa"/>
            <w:tcBorders>
              <w:top w:val="none" w:sz="6" w:space="0" w:color="auto"/>
              <w:left w:val="none" w:sz="6" w:space="0" w:color="auto"/>
              <w:bottom w:val="none" w:sz="6" w:space="0" w:color="auto"/>
              <w:right w:val="none" w:sz="6" w:space="0" w:color="auto"/>
            </w:tcBorders>
          </w:tcPr>
          <w:p w14:paraId="3643CAC0" w14:textId="77777777" w:rsidR="00647F1E" w:rsidRPr="00E14102" w:rsidRDefault="00647F1E" w:rsidP="00E14102">
            <w:pPr>
              <w:jc w:val="both"/>
              <w:rPr>
                <w:color w:val="000000" w:themeColor="text1"/>
                <w:sz w:val="16"/>
                <w:szCs w:val="16"/>
              </w:rPr>
            </w:pPr>
            <w:r w:rsidRPr="00E14102">
              <w:rPr>
                <w:color w:val="000000" w:themeColor="text1"/>
                <w:sz w:val="16"/>
                <w:szCs w:val="16"/>
              </w:rPr>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61C60A94" w14:textId="77777777" w:rsidR="00647F1E" w:rsidRPr="00E14102" w:rsidRDefault="00647F1E" w:rsidP="00E14102">
            <w:pPr>
              <w:jc w:val="both"/>
              <w:rPr>
                <w:color w:val="000000" w:themeColor="text1"/>
                <w:sz w:val="16"/>
                <w:szCs w:val="16"/>
              </w:rPr>
            </w:pPr>
            <w:r w:rsidRPr="00E14102">
              <w:rPr>
                <w:color w:val="000000" w:themeColor="text1"/>
                <w:sz w:val="16"/>
                <w:szCs w:val="16"/>
              </w:rPr>
              <w:t>112,9</w:t>
            </w:r>
          </w:p>
        </w:tc>
        <w:tc>
          <w:tcPr>
            <w:tcW w:w="1375" w:type="dxa"/>
            <w:tcBorders>
              <w:top w:val="none" w:sz="6" w:space="0" w:color="auto"/>
              <w:left w:val="none" w:sz="6" w:space="0" w:color="auto"/>
              <w:bottom w:val="none" w:sz="6" w:space="0" w:color="auto"/>
              <w:right w:val="none" w:sz="6" w:space="0" w:color="auto"/>
            </w:tcBorders>
          </w:tcPr>
          <w:p w14:paraId="0590C003" w14:textId="77777777" w:rsidR="00647F1E" w:rsidRPr="00E14102" w:rsidRDefault="00647F1E" w:rsidP="00E14102">
            <w:pPr>
              <w:jc w:val="both"/>
              <w:rPr>
                <w:color w:val="000000" w:themeColor="text1"/>
                <w:sz w:val="16"/>
                <w:szCs w:val="16"/>
              </w:rPr>
            </w:pPr>
            <w:r w:rsidRPr="00E14102">
              <w:rPr>
                <w:color w:val="000000" w:themeColor="text1"/>
                <w:sz w:val="16"/>
                <w:szCs w:val="16"/>
              </w:rPr>
              <w:t>116,9</w:t>
            </w:r>
          </w:p>
        </w:tc>
        <w:tc>
          <w:tcPr>
            <w:tcW w:w="1438" w:type="dxa"/>
            <w:tcBorders>
              <w:top w:val="none" w:sz="6" w:space="0" w:color="auto"/>
              <w:left w:val="none" w:sz="6" w:space="0" w:color="auto"/>
              <w:bottom w:val="none" w:sz="6" w:space="0" w:color="auto"/>
              <w:right w:val="none" w:sz="6" w:space="0" w:color="auto"/>
            </w:tcBorders>
          </w:tcPr>
          <w:p w14:paraId="1D22EA50" w14:textId="77777777" w:rsidR="00647F1E" w:rsidRPr="00E14102" w:rsidRDefault="00647F1E" w:rsidP="00E14102">
            <w:pPr>
              <w:jc w:val="both"/>
              <w:rPr>
                <w:color w:val="000000" w:themeColor="text1"/>
                <w:sz w:val="16"/>
                <w:szCs w:val="16"/>
              </w:rPr>
            </w:pPr>
            <w:r w:rsidRPr="00E14102">
              <w:rPr>
                <w:color w:val="000000" w:themeColor="text1"/>
                <w:sz w:val="16"/>
                <w:szCs w:val="16"/>
              </w:rPr>
              <w:t>118,5</w:t>
            </w:r>
          </w:p>
        </w:tc>
        <w:tc>
          <w:tcPr>
            <w:tcW w:w="1375" w:type="dxa"/>
            <w:tcBorders>
              <w:top w:val="none" w:sz="6" w:space="0" w:color="auto"/>
              <w:left w:val="none" w:sz="6" w:space="0" w:color="auto"/>
              <w:bottom w:val="none" w:sz="6" w:space="0" w:color="auto"/>
              <w:right w:val="none" w:sz="6" w:space="0" w:color="auto"/>
            </w:tcBorders>
          </w:tcPr>
          <w:p w14:paraId="5F83D3E1" w14:textId="77777777" w:rsidR="00647F1E" w:rsidRPr="00E14102" w:rsidRDefault="00647F1E" w:rsidP="00E14102">
            <w:pPr>
              <w:jc w:val="both"/>
              <w:rPr>
                <w:color w:val="000000" w:themeColor="text1"/>
                <w:sz w:val="16"/>
                <w:szCs w:val="16"/>
              </w:rPr>
            </w:pPr>
            <w:r w:rsidRPr="00E14102">
              <w:rPr>
                <w:color w:val="000000" w:themeColor="text1"/>
                <w:sz w:val="16"/>
                <w:szCs w:val="16"/>
              </w:rPr>
              <w:t>123</w:t>
            </w:r>
          </w:p>
        </w:tc>
      </w:tr>
      <w:tr w:rsidR="00E3599D" w:rsidRPr="00E14102" w14:paraId="3FF7F13F" w14:textId="77777777" w:rsidTr="00A45C9C">
        <w:tc>
          <w:tcPr>
            <w:tcW w:w="3794" w:type="dxa"/>
            <w:tcBorders>
              <w:top w:val="none" w:sz="6" w:space="0" w:color="auto"/>
              <w:left w:val="none" w:sz="6" w:space="0" w:color="auto"/>
              <w:bottom w:val="none" w:sz="6" w:space="0" w:color="auto"/>
              <w:right w:val="none" w:sz="6" w:space="0" w:color="auto"/>
            </w:tcBorders>
          </w:tcPr>
          <w:p w14:paraId="2667AE93" w14:textId="77777777" w:rsidR="00647F1E" w:rsidRPr="00E14102" w:rsidRDefault="00647F1E" w:rsidP="00E14102">
            <w:pPr>
              <w:jc w:val="both"/>
              <w:rPr>
                <w:color w:val="000000" w:themeColor="text1"/>
                <w:sz w:val="16"/>
                <w:szCs w:val="16"/>
              </w:rPr>
            </w:pPr>
            <w:r w:rsidRPr="00E14102">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72A0F286" w14:textId="77777777" w:rsidR="00647F1E" w:rsidRPr="00E14102" w:rsidRDefault="00647F1E" w:rsidP="00E14102">
            <w:pPr>
              <w:jc w:val="both"/>
              <w:rPr>
                <w:color w:val="000000" w:themeColor="text1"/>
                <w:sz w:val="16"/>
                <w:szCs w:val="16"/>
              </w:rPr>
            </w:pPr>
            <w:r w:rsidRPr="00E14102">
              <w:rPr>
                <w:color w:val="000000" w:themeColor="text1"/>
                <w:sz w:val="16"/>
                <w:szCs w:val="16"/>
              </w:rPr>
              <w:t>108,1</w:t>
            </w:r>
          </w:p>
        </w:tc>
        <w:tc>
          <w:tcPr>
            <w:tcW w:w="1375" w:type="dxa"/>
            <w:tcBorders>
              <w:top w:val="none" w:sz="6" w:space="0" w:color="auto"/>
              <w:left w:val="none" w:sz="6" w:space="0" w:color="auto"/>
              <w:bottom w:val="none" w:sz="6" w:space="0" w:color="auto"/>
              <w:right w:val="none" w:sz="6" w:space="0" w:color="auto"/>
            </w:tcBorders>
          </w:tcPr>
          <w:p w14:paraId="2384F691" w14:textId="77777777" w:rsidR="00647F1E" w:rsidRPr="00E14102" w:rsidRDefault="00647F1E" w:rsidP="00E14102">
            <w:pPr>
              <w:jc w:val="both"/>
              <w:rPr>
                <w:color w:val="000000" w:themeColor="text1"/>
                <w:sz w:val="16"/>
                <w:szCs w:val="16"/>
              </w:rPr>
            </w:pPr>
            <w:r w:rsidRPr="00E14102">
              <w:rPr>
                <w:color w:val="000000" w:themeColor="text1"/>
                <w:sz w:val="16"/>
                <w:szCs w:val="16"/>
              </w:rPr>
              <w:t>115,0</w:t>
            </w:r>
          </w:p>
        </w:tc>
        <w:tc>
          <w:tcPr>
            <w:tcW w:w="1438" w:type="dxa"/>
            <w:tcBorders>
              <w:top w:val="none" w:sz="6" w:space="0" w:color="auto"/>
              <w:left w:val="none" w:sz="6" w:space="0" w:color="auto"/>
              <w:bottom w:val="none" w:sz="6" w:space="0" w:color="auto"/>
              <w:right w:val="none" w:sz="6" w:space="0" w:color="auto"/>
            </w:tcBorders>
          </w:tcPr>
          <w:p w14:paraId="3EF3E421" w14:textId="77777777" w:rsidR="00647F1E" w:rsidRPr="00E14102" w:rsidRDefault="00647F1E" w:rsidP="00E14102">
            <w:pPr>
              <w:jc w:val="both"/>
              <w:rPr>
                <w:color w:val="000000" w:themeColor="text1"/>
                <w:sz w:val="16"/>
                <w:szCs w:val="16"/>
              </w:rPr>
            </w:pPr>
            <w:r w:rsidRPr="00E14102">
              <w:rPr>
                <w:color w:val="000000" w:themeColor="text1"/>
                <w:sz w:val="16"/>
                <w:szCs w:val="16"/>
              </w:rPr>
              <w:t>126,2 [5]</w:t>
            </w:r>
          </w:p>
          <w:p w14:paraId="2D839C75" w14:textId="77777777" w:rsidR="00647F1E" w:rsidRPr="00E14102" w:rsidRDefault="00647F1E" w:rsidP="00E14102">
            <w:pPr>
              <w:jc w:val="both"/>
              <w:rPr>
                <w:color w:val="000000" w:themeColor="text1"/>
                <w:sz w:val="16"/>
                <w:szCs w:val="16"/>
              </w:rPr>
            </w:pPr>
            <w:r w:rsidRPr="00E14102">
              <w:rPr>
                <w:color w:val="000000" w:themeColor="text1"/>
                <w:sz w:val="16"/>
                <w:szCs w:val="16"/>
              </w:rPr>
              <w:t>110</w:t>
            </w:r>
          </w:p>
        </w:tc>
        <w:tc>
          <w:tcPr>
            <w:tcW w:w="1375" w:type="dxa"/>
            <w:tcBorders>
              <w:top w:val="none" w:sz="6" w:space="0" w:color="auto"/>
              <w:left w:val="none" w:sz="6" w:space="0" w:color="auto"/>
              <w:bottom w:val="none" w:sz="6" w:space="0" w:color="auto"/>
              <w:right w:val="none" w:sz="6" w:space="0" w:color="auto"/>
            </w:tcBorders>
          </w:tcPr>
          <w:p w14:paraId="2D15FF82" w14:textId="77777777" w:rsidR="00647F1E" w:rsidRPr="00E14102" w:rsidRDefault="00647F1E" w:rsidP="00E14102">
            <w:pPr>
              <w:jc w:val="both"/>
              <w:rPr>
                <w:color w:val="000000" w:themeColor="text1"/>
                <w:sz w:val="16"/>
                <w:szCs w:val="16"/>
              </w:rPr>
            </w:pPr>
            <w:r w:rsidRPr="00E14102">
              <w:rPr>
                <w:color w:val="000000" w:themeColor="text1"/>
                <w:sz w:val="16"/>
                <w:szCs w:val="16"/>
              </w:rPr>
              <w:t>112</w:t>
            </w:r>
          </w:p>
        </w:tc>
      </w:tr>
      <w:tr w:rsidR="00E3599D" w:rsidRPr="00E14102" w14:paraId="58523B2C"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25EEE19E" w14:textId="77777777" w:rsidR="00647F1E" w:rsidRPr="00E14102" w:rsidRDefault="00647F1E" w:rsidP="00E14102">
            <w:pPr>
              <w:jc w:val="both"/>
              <w:rPr>
                <w:color w:val="000000" w:themeColor="text1"/>
                <w:sz w:val="16"/>
                <w:szCs w:val="16"/>
              </w:rPr>
            </w:pPr>
            <w:r w:rsidRPr="00E14102">
              <w:rPr>
                <w:color w:val="000000" w:themeColor="text1"/>
                <w:sz w:val="16"/>
                <w:szCs w:val="16"/>
              </w:rPr>
              <w:t>Промышленность НКлегпрома:</w:t>
            </w:r>
          </w:p>
        </w:tc>
      </w:tr>
      <w:tr w:rsidR="00E3599D" w:rsidRPr="00E14102" w14:paraId="062F6F84" w14:textId="77777777" w:rsidTr="00A45C9C">
        <w:tc>
          <w:tcPr>
            <w:tcW w:w="3794" w:type="dxa"/>
            <w:tcBorders>
              <w:top w:val="none" w:sz="6" w:space="0" w:color="auto"/>
              <w:left w:val="none" w:sz="6" w:space="0" w:color="auto"/>
              <w:bottom w:val="none" w:sz="6" w:space="0" w:color="auto"/>
              <w:right w:val="none" w:sz="6" w:space="0" w:color="auto"/>
            </w:tcBorders>
          </w:tcPr>
          <w:p w14:paraId="65B4D97A" w14:textId="77777777" w:rsidR="00647F1E" w:rsidRPr="00E14102" w:rsidRDefault="00647F1E" w:rsidP="00E14102">
            <w:pPr>
              <w:jc w:val="both"/>
              <w:rPr>
                <w:color w:val="000000" w:themeColor="text1"/>
                <w:sz w:val="16"/>
                <w:szCs w:val="16"/>
              </w:rPr>
            </w:pPr>
            <w:r w:rsidRPr="00E14102">
              <w:rPr>
                <w:color w:val="000000" w:themeColor="text1"/>
                <w:sz w:val="16"/>
                <w:szCs w:val="16"/>
              </w:rPr>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66081CFF" w14:textId="77777777" w:rsidR="00647F1E" w:rsidRPr="00E14102" w:rsidRDefault="00647F1E" w:rsidP="00E14102">
            <w:pPr>
              <w:jc w:val="both"/>
              <w:rPr>
                <w:color w:val="000000" w:themeColor="text1"/>
                <w:sz w:val="16"/>
                <w:szCs w:val="16"/>
              </w:rPr>
            </w:pPr>
            <w:r w:rsidRPr="00E14102">
              <w:rPr>
                <w:color w:val="000000" w:themeColor="text1"/>
                <w:sz w:val="16"/>
                <w:szCs w:val="16"/>
              </w:rPr>
              <w:t>107,1</w:t>
            </w:r>
          </w:p>
        </w:tc>
        <w:tc>
          <w:tcPr>
            <w:tcW w:w="1375" w:type="dxa"/>
            <w:tcBorders>
              <w:top w:val="none" w:sz="6" w:space="0" w:color="auto"/>
              <w:left w:val="none" w:sz="6" w:space="0" w:color="auto"/>
              <w:bottom w:val="none" w:sz="6" w:space="0" w:color="auto"/>
              <w:right w:val="none" w:sz="6" w:space="0" w:color="auto"/>
            </w:tcBorders>
          </w:tcPr>
          <w:p w14:paraId="604D5041" w14:textId="77777777" w:rsidR="00647F1E" w:rsidRPr="00E14102" w:rsidRDefault="00647F1E" w:rsidP="00E14102">
            <w:pPr>
              <w:jc w:val="both"/>
              <w:rPr>
                <w:color w:val="000000" w:themeColor="text1"/>
                <w:sz w:val="16"/>
                <w:szCs w:val="16"/>
              </w:rPr>
            </w:pPr>
            <w:r w:rsidRPr="00E14102">
              <w:rPr>
                <w:color w:val="000000" w:themeColor="text1"/>
                <w:sz w:val="16"/>
                <w:szCs w:val="16"/>
              </w:rPr>
              <w:t>101,8</w:t>
            </w:r>
          </w:p>
        </w:tc>
        <w:tc>
          <w:tcPr>
            <w:tcW w:w="1438" w:type="dxa"/>
            <w:tcBorders>
              <w:top w:val="none" w:sz="6" w:space="0" w:color="auto"/>
              <w:left w:val="none" w:sz="6" w:space="0" w:color="auto"/>
              <w:bottom w:val="none" w:sz="6" w:space="0" w:color="auto"/>
              <w:right w:val="none" w:sz="6" w:space="0" w:color="auto"/>
            </w:tcBorders>
          </w:tcPr>
          <w:p w14:paraId="110CC3DA" w14:textId="77777777" w:rsidR="00647F1E" w:rsidRPr="00E14102" w:rsidRDefault="00647F1E" w:rsidP="00E14102">
            <w:pPr>
              <w:jc w:val="both"/>
              <w:rPr>
                <w:color w:val="000000" w:themeColor="text1"/>
                <w:sz w:val="16"/>
                <w:szCs w:val="16"/>
              </w:rPr>
            </w:pPr>
            <w:r w:rsidRPr="00E14102">
              <w:rPr>
                <w:color w:val="000000" w:themeColor="text1"/>
                <w:sz w:val="16"/>
                <w:szCs w:val="16"/>
              </w:rPr>
              <w:t>102,1</w:t>
            </w:r>
          </w:p>
        </w:tc>
        <w:tc>
          <w:tcPr>
            <w:tcW w:w="1375" w:type="dxa"/>
            <w:tcBorders>
              <w:top w:val="none" w:sz="6" w:space="0" w:color="auto"/>
              <w:left w:val="none" w:sz="6" w:space="0" w:color="auto"/>
              <w:bottom w:val="none" w:sz="6" w:space="0" w:color="auto"/>
              <w:right w:val="none" w:sz="6" w:space="0" w:color="auto"/>
            </w:tcBorders>
          </w:tcPr>
          <w:p w14:paraId="31C24DCD" w14:textId="77777777" w:rsidR="00647F1E" w:rsidRPr="00E14102" w:rsidRDefault="00647F1E" w:rsidP="00E14102">
            <w:pPr>
              <w:jc w:val="both"/>
              <w:rPr>
                <w:color w:val="000000" w:themeColor="text1"/>
                <w:sz w:val="16"/>
                <w:szCs w:val="16"/>
              </w:rPr>
            </w:pPr>
            <w:r w:rsidRPr="00E14102">
              <w:rPr>
                <w:color w:val="000000" w:themeColor="text1"/>
                <w:sz w:val="16"/>
                <w:szCs w:val="16"/>
              </w:rPr>
              <w:t>121</w:t>
            </w:r>
          </w:p>
        </w:tc>
      </w:tr>
      <w:tr w:rsidR="00E3599D" w:rsidRPr="00E14102" w14:paraId="3B6900B3" w14:textId="77777777" w:rsidTr="00A45C9C">
        <w:tc>
          <w:tcPr>
            <w:tcW w:w="3794" w:type="dxa"/>
            <w:tcBorders>
              <w:top w:val="none" w:sz="6" w:space="0" w:color="auto"/>
              <w:left w:val="none" w:sz="6" w:space="0" w:color="auto"/>
              <w:bottom w:val="none" w:sz="6" w:space="0" w:color="auto"/>
              <w:right w:val="none" w:sz="6" w:space="0" w:color="auto"/>
            </w:tcBorders>
          </w:tcPr>
          <w:p w14:paraId="64D5DDB6" w14:textId="77777777" w:rsidR="00647F1E" w:rsidRPr="00E14102" w:rsidRDefault="00647F1E" w:rsidP="00E14102">
            <w:pPr>
              <w:jc w:val="both"/>
              <w:rPr>
                <w:color w:val="000000" w:themeColor="text1"/>
                <w:sz w:val="16"/>
                <w:szCs w:val="16"/>
              </w:rPr>
            </w:pPr>
            <w:r w:rsidRPr="00E14102">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7BA7893F" w14:textId="77777777" w:rsidR="00647F1E" w:rsidRPr="00E14102" w:rsidRDefault="00647F1E" w:rsidP="00E14102">
            <w:pPr>
              <w:jc w:val="both"/>
              <w:rPr>
                <w:color w:val="000000" w:themeColor="text1"/>
                <w:sz w:val="16"/>
                <w:szCs w:val="16"/>
              </w:rPr>
            </w:pPr>
            <w:r w:rsidRPr="00E14102">
              <w:rPr>
                <w:color w:val="000000" w:themeColor="text1"/>
                <w:sz w:val="16"/>
                <w:szCs w:val="16"/>
              </w:rPr>
              <w:t>113,9</w:t>
            </w:r>
          </w:p>
        </w:tc>
        <w:tc>
          <w:tcPr>
            <w:tcW w:w="1375" w:type="dxa"/>
            <w:tcBorders>
              <w:top w:val="none" w:sz="6" w:space="0" w:color="auto"/>
              <w:left w:val="none" w:sz="6" w:space="0" w:color="auto"/>
              <w:bottom w:val="none" w:sz="6" w:space="0" w:color="auto"/>
              <w:right w:val="none" w:sz="6" w:space="0" w:color="auto"/>
            </w:tcBorders>
          </w:tcPr>
          <w:p w14:paraId="654938EF" w14:textId="77777777" w:rsidR="00647F1E" w:rsidRPr="00E14102" w:rsidRDefault="00647F1E" w:rsidP="00E14102">
            <w:pPr>
              <w:jc w:val="both"/>
              <w:rPr>
                <w:color w:val="000000" w:themeColor="text1"/>
                <w:sz w:val="16"/>
                <w:szCs w:val="16"/>
              </w:rPr>
            </w:pPr>
            <w:r w:rsidRPr="00E14102">
              <w:rPr>
                <w:color w:val="000000" w:themeColor="text1"/>
                <w:sz w:val="16"/>
                <w:szCs w:val="16"/>
              </w:rPr>
              <w:t>116,2</w:t>
            </w:r>
          </w:p>
        </w:tc>
        <w:tc>
          <w:tcPr>
            <w:tcW w:w="1438" w:type="dxa"/>
            <w:tcBorders>
              <w:top w:val="none" w:sz="6" w:space="0" w:color="auto"/>
              <w:left w:val="none" w:sz="6" w:space="0" w:color="auto"/>
              <w:bottom w:val="none" w:sz="6" w:space="0" w:color="auto"/>
              <w:right w:val="none" w:sz="6" w:space="0" w:color="auto"/>
            </w:tcBorders>
          </w:tcPr>
          <w:p w14:paraId="451A1D30" w14:textId="77777777" w:rsidR="00647F1E" w:rsidRPr="00E14102" w:rsidRDefault="00647F1E" w:rsidP="00E14102">
            <w:pPr>
              <w:jc w:val="both"/>
              <w:rPr>
                <w:color w:val="000000" w:themeColor="text1"/>
                <w:sz w:val="16"/>
                <w:szCs w:val="16"/>
              </w:rPr>
            </w:pPr>
            <w:r w:rsidRPr="00E14102">
              <w:rPr>
                <w:color w:val="000000" w:themeColor="text1"/>
                <w:sz w:val="16"/>
                <w:szCs w:val="16"/>
              </w:rPr>
              <w:t>129,1 [6]</w:t>
            </w:r>
          </w:p>
          <w:p w14:paraId="15DE97A7" w14:textId="77777777" w:rsidR="00647F1E" w:rsidRPr="00E14102" w:rsidRDefault="00647F1E" w:rsidP="00E14102">
            <w:pPr>
              <w:jc w:val="both"/>
              <w:rPr>
                <w:color w:val="000000" w:themeColor="text1"/>
                <w:sz w:val="16"/>
                <w:szCs w:val="16"/>
              </w:rPr>
            </w:pPr>
            <w:r w:rsidRPr="00E14102">
              <w:rPr>
                <w:color w:val="000000" w:themeColor="text1"/>
                <w:sz w:val="16"/>
                <w:szCs w:val="16"/>
              </w:rPr>
              <w:lastRenderedPageBreak/>
              <w:t>110,7</w:t>
            </w:r>
          </w:p>
        </w:tc>
        <w:tc>
          <w:tcPr>
            <w:tcW w:w="1375" w:type="dxa"/>
            <w:tcBorders>
              <w:top w:val="none" w:sz="6" w:space="0" w:color="auto"/>
              <w:left w:val="none" w:sz="6" w:space="0" w:color="auto"/>
              <w:bottom w:val="none" w:sz="6" w:space="0" w:color="auto"/>
              <w:right w:val="none" w:sz="6" w:space="0" w:color="auto"/>
            </w:tcBorders>
          </w:tcPr>
          <w:p w14:paraId="176C93A6" w14:textId="77777777" w:rsidR="00647F1E" w:rsidRPr="00E14102" w:rsidRDefault="00647F1E" w:rsidP="00E14102">
            <w:pPr>
              <w:jc w:val="both"/>
              <w:rPr>
                <w:color w:val="000000" w:themeColor="text1"/>
                <w:sz w:val="16"/>
                <w:szCs w:val="16"/>
              </w:rPr>
            </w:pPr>
            <w:r w:rsidRPr="00E14102">
              <w:rPr>
                <w:color w:val="000000" w:themeColor="text1"/>
                <w:sz w:val="16"/>
                <w:szCs w:val="16"/>
              </w:rPr>
              <w:lastRenderedPageBreak/>
              <w:t>114</w:t>
            </w:r>
          </w:p>
        </w:tc>
      </w:tr>
      <w:tr w:rsidR="00E3599D" w:rsidRPr="00E14102" w14:paraId="0759C945"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464CB21C" w14:textId="77777777" w:rsidR="00647F1E" w:rsidRPr="00E14102" w:rsidRDefault="00647F1E" w:rsidP="00E14102">
            <w:pPr>
              <w:jc w:val="both"/>
              <w:rPr>
                <w:color w:val="000000" w:themeColor="text1"/>
                <w:sz w:val="16"/>
                <w:szCs w:val="16"/>
              </w:rPr>
            </w:pPr>
            <w:r w:rsidRPr="00E14102">
              <w:rPr>
                <w:color w:val="000000" w:themeColor="text1"/>
                <w:sz w:val="16"/>
                <w:szCs w:val="16"/>
              </w:rPr>
              <w:t>Промышленность НКпищепрома:</w:t>
            </w:r>
          </w:p>
        </w:tc>
      </w:tr>
      <w:tr w:rsidR="00E3599D" w:rsidRPr="00E14102" w14:paraId="4ADC263C" w14:textId="77777777" w:rsidTr="00A45C9C">
        <w:tc>
          <w:tcPr>
            <w:tcW w:w="3794" w:type="dxa"/>
            <w:tcBorders>
              <w:top w:val="none" w:sz="6" w:space="0" w:color="auto"/>
              <w:left w:val="none" w:sz="6" w:space="0" w:color="auto"/>
              <w:bottom w:val="none" w:sz="6" w:space="0" w:color="auto"/>
              <w:right w:val="none" w:sz="6" w:space="0" w:color="auto"/>
            </w:tcBorders>
          </w:tcPr>
          <w:p w14:paraId="1A8B2187" w14:textId="77777777" w:rsidR="00647F1E" w:rsidRPr="00E14102" w:rsidRDefault="00647F1E" w:rsidP="00E14102">
            <w:pPr>
              <w:jc w:val="both"/>
              <w:rPr>
                <w:color w:val="000000" w:themeColor="text1"/>
                <w:sz w:val="16"/>
                <w:szCs w:val="16"/>
              </w:rPr>
            </w:pPr>
            <w:r w:rsidRPr="00E14102">
              <w:rPr>
                <w:color w:val="000000" w:themeColor="text1"/>
                <w:sz w:val="16"/>
                <w:szCs w:val="16"/>
              </w:rPr>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6691FA21" w14:textId="77777777" w:rsidR="00647F1E" w:rsidRPr="00E14102" w:rsidRDefault="00647F1E" w:rsidP="00E14102">
            <w:pPr>
              <w:jc w:val="both"/>
              <w:rPr>
                <w:color w:val="000000" w:themeColor="text1"/>
                <w:sz w:val="16"/>
                <w:szCs w:val="16"/>
              </w:rPr>
            </w:pPr>
            <w:r w:rsidRPr="00E14102">
              <w:rPr>
                <w:color w:val="000000" w:themeColor="text1"/>
                <w:sz w:val="16"/>
                <w:szCs w:val="16"/>
              </w:rPr>
              <w:t>104,1</w:t>
            </w:r>
          </w:p>
        </w:tc>
        <w:tc>
          <w:tcPr>
            <w:tcW w:w="1375" w:type="dxa"/>
            <w:tcBorders>
              <w:top w:val="none" w:sz="6" w:space="0" w:color="auto"/>
              <w:left w:val="none" w:sz="6" w:space="0" w:color="auto"/>
              <w:bottom w:val="none" w:sz="6" w:space="0" w:color="auto"/>
              <w:right w:val="none" w:sz="6" w:space="0" w:color="auto"/>
            </w:tcBorders>
          </w:tcPr>
          <w:p w14:paraId="0935A5C6" w14:textId="77777777" w:rsidR="00647F1E" w:rsidRPr="00E14102" w:rsidRDefault="00647F1E" w:rsidP="00E14102">
            <w:pPr>
              <w:jc w:val="both"/>
              <w:rPr>
                <w:color w:val="000000" w:themeColor="text1"/>
                <w:sz w:val="16"/>
                <w:szCs w:val="16"/>
              </w:rPr>
            </w:pPr>
            <w:r w:rsidRPr="00E14102">
              <w:rPr>
                <w:color w:val="000000" w:themeColor="text1"/>
                <w:sz w:val="16"/>
                <w:szCs w:val="16"/>
              </w:rPr>
              <w:t>106,7</w:t>
            </w:r>
          </w:p>
        </w:tc>
        <w:tc>
          <w:tcPr>
            <w:tcW w:w="1438" w:type="dxa"/>
            <w:tcBorders>
              <w:top w:val="none" w:sz="6" w:space="0" w:color="auto"/>
              <w:left w:val="none" w:sz="6" w:space="0" w:color="auto"/>
              <w:bottom w:val="none" w:sz="6" w:space="0" w:color="auto"/>
              <w:right w:val="none" w:sz="6" w:space="0" w:color="auto"/>
            </w:tcBorders>
          </w:tcPr>
          <w:p w14:paraId="6A2551FA" w14:textId="77777777" w:rsidR="00647F1E" w:rsidRPr="00E14102" w:rsidRDefault="00647F1E" w:rsidP="00E14102">
            <w:pPr>
              <w:jc w:val="both"/>
              <w:rPr>
                <w:color w:val="000000" w:themeColor="text1"/>
                <w:sz w:val="16"/>
                <w:szCs w:val="16"/>
              </w:rPr>
            </w:pPr>
            <w:r w:rsidRPr="00E14102">
              <w:rPr>
                <w:color w:val="000000" w:themeColor="text1"/>
                <w:sz w:val="16"/>
                <w:szCs w:val="16"/>
              </w:rPr>
              <w:t>110,7</w:t>
            </w:r>
          </w:p>
        </w:tc>
        <w:tc>
          <w:tcPr>
            <w:tcW w:w="1375" w:type="dxa"/>
            <w:tcBorders>
              <w:top w:val="none" w:sz="6" w:space="0" w:color="auto"/>
              <w:left w:val="none" w:sz="6" w:space="0" w:color="auto"/>
              <w:bottom w:val="none" w:sz="6" w:space="0" w:color="auto"/>
              <w:right w:val="none" w:sz="6" w:space="0" w:color="auto"/>
            </w:tcBorders>
          </w:tcPr>
          <w:p w14:paraId="34C6D4BD" w14:textId="77777777" w:rsidR="00647F1E" w:rsidRPr="00E14102" w:rsidRDefault="00647F1E" w:rsidP="00E14102">
            <w:pPr>
              <w:jc w:val="both"/>
              <w:rPr>
                <w:color w:val="000000" w:themeColor="text1"/>
                <w:sz w:val="16"/>
                <w:szCs w:val="16"/>
              </w:rPr>
            </w:pPr>
            <w:r w:rsidRPr="00E14102">
              <w:rPr>
                <w:color w:val="000000" w:themeColor="text1"/>
                <w:sz w:val="16"/>
                <w:szCs w:val="16"/>
              </w:rPr>
              <w:t>117</w:t>
            </w:r>
          </w:p>
        </w:tc>
      </w:tr>
      <w:tr w:rsidR="00E3599D" w:rsidRPr="00E14102" w14:paraId="05941D72" w14:textId="77777777" w:rsidTr="00A45C9C">
        <w:tc>
          <w:tcPr>
            <w:tcW w:w="3794" w:type="dxa"/>
            <w:tcBorders>
              <w:top w:val="none" w:sz="6" w:space="0" w:color="auto"/>
              <w:left w:val="none" w:sz="6" w:space="0" w:color="auto"/>
              <w:bottom w:val="none" w:sz="6" w:space="0" w:color="auto"/>
              <w:right w:val="none" w:sz="6" w:space="0" w:color="auto"/>
            </w:tcBorders>
          </w:tcPr>
          <w:p w14:paraId="7AB3A1E3" w14:textId="77777777" w:rsidR="00647F1E" w:rsidRPr="00E14102" w:rsidRDefault="00647F1E" w:rsidP="00E14102">
            <w:pPr>
              <w:jc w:val="both"/>
              <w:rPr>
                <w:color w:val="000000" w:themeColor="text1"/>
                <w:sz w:val="16"/>
                <w:szCs w:val="16"/>
              </w:rPr>
            </w:pPr>
            <w:r w:rsidRPr="00E14102">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5856765A" w14:textId="77777777" w:rsidR="00647F1E" w:rsidRPr="00E14102" w:rsidRDefault="00647F1E" w:rsidP="00E14102">
            <w:pPr>
              <w:jc w:val="both"/>
              <w:rPr>
                <w:color w:val="000000" w:themeColor="text1"/>
                <w:sz w:val="16"/>
                <w:szCs w:val="16"/>
              </w:rPr>
            </w:pPr>
            <w:r w:rsidRPr="00E14102">
              <w:rPr>
                <w:color w:val="000000" w:themeColor="text1"/>
                <w:sz w:val="16"/>
                <w:szCs w:val="16"/>
              </w:rPr>
              <w:t>108,2</w:t>
            </w:r>
          </w:p>
        </w:tc>
        <w:tc>
          <w:tcPr>
            <w:tcW w:w="1375" w:type="dxa"/>
            <w:tcBorders>
              <w:top w:val="none" w:sz="6" w:space="0" w:color="auto"/>
              <w:left w:val="none" w:sz="6" w:space="0" w:color="auto"/>
              <w:bottom w:val="none" w:sz="6" w:space="0" w:color="auto"/>
              <w:right w:val="none" w:sz="6" w:space="0" w:color="auto"/>
            </w:tcBorders>
          </w:tcPr>
          <w:p w14:paraId="08074253" w14:textId="77777777" w:rsidR="00647F1E" w:rsidRPr="00E14102" w:rsidRDefault="00647F1E" w:rsidP="00E14102">
            <w:pPr>
              <w:jc w:val="both"/>
              <w:rPr>
                <w:color w:val="000000" w:themeColor="text1"/>
                <w:sz w:val="16"/>
                <w:szCs w:val="16"/>
              </w:rPr>
            </w:pPr>
            <w:r w:rsidRPr="00E14102">
              <w:rPr>
                <w:color w:val="000000" w:themeColor="text1"/>
                <w:sz w:val="16"/>
                <w:szCs w:val="16"/>
              </w:rPr>
              <w:t>111,8</w:t>
            </w:r>
          </w:p>
        </w:tc>
        <w:tc>
          <w:tcPr>
            <w:tcW w:w="1438" w:type="dxa"/>
            <w:tcBorders>
              <w:top w:val="none" w:sz="6" w:space="0" w:color="auto"/>
              <w:left w:val="none" w:sz="6" w:space="0" w:color="auto"/>
              <w:bottom w:val="none" w:sz="6" w:space="0" w:color="auto"/>
              <w:right w:val="none" w:sz="6" w:space="0" w:color="auto"/>
            </w:tcBorders>
          </w:tcPr>
          <w:p w14:paraId="198825A6" w14:textId="77777777" w:rsidR="00647F1E" w:rsidRPr="00E14102" w:rsidRDefault="00647F1E" w:rsidP="00E14102">
            <w:pPr>
              <w:jc w:val="both"/>
              <w:rPr>
                <w:color w:val="000000" w:themeColor="text1"/>
                <w:sz w:val="16"/>
                <w:szCs w:val="16"/>
              </w:rPr>
            </w:pPr>
            <w:r w:rsidRPr="00E14102">
              <w:rPr>
                <w:color w:val="000000" w:themeColor="text1"/>
                <w:sz w:val="16"/>
                <w:szCs w:val="16"/>
              </w:rPr>
              <w:t>123,0 [7]</w:t>
            </w:r>
          </w:p>
          <w:p w14:paraId="17190D53" w14:textId="77777777" w:rsidR="00647F1E" w:rsidRPr="00E14102" w:rsidRDefault="00647F1E" w:rsidP="00E14102">
            <w:pPr>
              <w:jc w:val="both"/>
              <w:rPr>
                <w:color w:val="000000" w:themeColor="text1"/>
                <w:sz w:val="16"/>
                <w:szCs w:val="16"/>
              </w:rPr>
            </w:pPr>
            <w:r w:rsidRPr="00E14102">
              <w:rPr>
                <w:color w:val="000000" w:themeColor="text1"/>
                <w:sz w:val="16"/>
                <w:szCs w:val="16"/>
              </w:rPr>
              <w:t>110,6</w:t>
            </w:r>
          </w:p>
        </w:tc>
        <w:tc>
          <w:tcPr>
            <w:tcW w:w="1375" w:type="dxa"/>
            <w:tcBorders>
              <w:top w:val="none" w:sz="6" w:space="0" w:color="auto"/>
              <w:left w:val="none" w:sz="6" w:space="0" w:color="auto"/>
              <w:bottom w:val="none" w:sz="6" w:space="0" w:color="auto"/>
              <w:right w:val="none" w:sz="6" w:space="0" w:color="auto"/>
            </w:tcBorders>
          </w:tcPr>
          <w:p w14:paraId="3720EF96" w14:textId="77777777" w:rsidR="00647F1E" w:rsidRPr="00E14102" w:rsidRDefault="00647F1E" w:rsidP="00E14102">
            <w:pPr>
              <w:jc w:val="both"/>
              <w:rPr>
                <w:color w:val="000000" w:themeColor="text1"/>
                <w:sz w:val="16"/>
                <w:szCs w:val="16"/>
              </w:rPr>
            </w:pPr>
            <w:r w:rsidRPr="00E14102">
              <w:rPr>
                <w:color w:val="000000" w:themeColor="text1"/>
                <w:sz w:val="16"/>
                <w:szCs w:val="16"/>
              </w:rPr>
              <w:t>108</w:t>
            </w:r>
          </w:p>
        </w:tc>
      </w:tr>
      <w:tr w:rsidR="00E3599D" w:rsidRPr="00E14102" w14:paraId="3D4D960C"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1E3A4AA0" w14:textId="77777777" w:rsidR="00647F1E" w:rsidRPr="00E14102" w:rsidRDefault="00647F1E" w:rsidP="00E14102">
            <w:pPr>
              <w:jc w:val="both"/>
              <w:rPr>
                <w:color w:val="000000" w:themeColor="text1"/>
                <w:sz w:val="16"/>
                <w:szCs w:val="16"/>
              </w:rPr>
            </w:pPr>
            <w:r w:rsidRPr="00E14102">
              <w:rPr>
                <w:color w:val="000000" w:themeColor="text1"/>
                <w:sz w:val="16"/>
                <w:szCs w:val="16"/>
              </w:rPr>
              <w:t>Промышленность НКлеса (фабрично-заводская):</w:t>
            </w:r>
          </w:p>
        </w:tc>
      </w:tr>
      <w:tr w:rsidR="00E3599D" w:rsidRPr="00E14102" w14:paraId="359A8F5A" w14:textId="77777777" w:rsidTr="00A45C9C">
        <w:tc>
          <w:tcPr>
            <w:tcW w:w="3794" w:type="dxa"/>
            <w:tcBorders>
              <w:top w:val="none" w:sz="6" w:space="0" w:color="auto"/>
              <w:left w:val="none" w:sz="6" w:space="0" w:color="auto"/>
              <w:bottom w:val="none" w:sz="6" w:space="0" w:color="auto"/>
              <w:right w:val="none" w:sz="6" w:space="0" w:color="auto"/>
            </w:tcBorders>
          </w:tcPr>
          <w:p w14:paraId="64820D7E" w14:textId="77777777" w:rsidR="00647F1E" w:rsidRPr="00E14102" w:rsidRDefault="00647F1E" w:rsidP="00E14102">
            <w:pPr>
              <w:jc w:val="both"/>
              <w:rPr>
                <w:color w:val="000000" w:themeColor="text1"/>
                <w:sz w:val="16"/>
                <w:szCs w:val="16"/>
              </w:rPr>
            </w:pPr>
            <w:r w:rsidRPr="00E14102">
              <w:rPr>
                <w:color w:val="000000" w:themeColor="text1"/>
                <w:sz w:val="16"/>
                <w:szCs w:val="16"/>
              </w:rPr>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6C4C9162" w14:textId="77777777" w:rsidR="00647F1E" w:rsidRPr="00E14102" w:rsidRDefault="00647F1E" w:rsidP="00E14102">
            <w:pPr>
              <w:jc w:val="both"/>
              <w:rPr>
                <w:color w:val="000000" w:themeColor="text1"/>
                <w:sz w:val="16"/>
                <w:szCs w:val="16"/>
              </w:rPr>
            </w:pPr>
            <w:r w:rsidRPr="00E14102">
              <w:rPr>
                <w:color w:val="000000" w:themeColor="text1"/>
                <w:sz w:val="16"/>
                <w:szCs w:val="16"/>
              </w:rPr>
              <w:t>104,8</w:t>
            </w:r>
          </w:p>
        </w:tc>
        <w:tc>
          <w:tcPr>
            <w:tcW w:w="1375" w:type="dxa"/>
            <w:tcBorders>
              <w:top w:val="none" w:sz="6" w:space="0" w:color="auto"/>
              <w:left w:val="none" w:sz="6" w:space="0" w:color="auto"/>
              <w:bottom w:val="none" w:sz="6" w:space="0" w:color="auto"/>
              <w:right w:val="none" w:sz="6" w:space="0" w:color="auto"/>
            </w:tcBorders>
          </w:tcPr>
          <w:p w14:paraId="50724B0C" w14:textId="77777777" w:rsidR="00647F1E" w:rsidRPr="00E14102" w:rsidRDefault="00647F1E" w:rsidP="00E14102">
            <w:pPr>
              <w:jc w:val="both"/>
              <w:rPr>
                <w:color w:val="000000" w:themeColor="text1"/>
                <w:sz w:val="16"/>
                <w:szCs w:val="16"/>
              </w:rPr>
            </w:pPr>
            <w:r w:rsidRPr="00E14102">
              <w:rPr>
                <w:color w:val="000000" w:themeColor="text1"/>
                <w:sz w:val="16"/>
                <w:szCs w:val="16"/>
              </w:rPr>
              <w:t>110,1</w:t>
            </w:r>
          </w:p>
        </w:tc>
        <w:tc>
          <w:tcPr>
            <w:tcW w:w="1438" w:type="dxa"/>
            <w:tcBorders>
              <w:top w:val="none" w:sz="6" w:space="0" w:color="auto"/>
              <w:left w:val="none" w:sz="6" w:space="0" w:color="auto"/>
              <w:bottom w:val="none" w:sz="6" w:space="0" w:color="auto"/>
              <w:right w:val="none" w:sz="6" w:space="0" w:color="auto"/>
            </w:tcBorders>
          </w:tcPr>
          <w:p w14:paraId="4BB5DB4F" w14:textId="77777777" w:rsidR="00647F1E" w:rsidRPr="00E14102" w:rsidRDefault="00647F1E" w:rsidP="00E14102">
            <w:pPr>
              <w:jc w:val="both"/>
              <w:rPr>
                <w:color w:val="000000" w:themeColor="text1"/>
                <w:sz w:val="16"/>
                <w:szCs w:val="16"/>
              </w:rPr>
            </w:pPr>
            <w:r w:rsidRPr="00E14102">
              <w:rPr>
                <w:color w:val="000000" w:themeColor="text1"/>
                <w:sz w:val="16"/>
                <w:szCs w:val="16"/>
              </w:rPr>
              <w:t>113,5</w:t>
            </w:r>
          </w:p>
        </w:tc>
        <w:tc>
          <w:tcPr>
            <w:tcW w:w="1375" w:type="dxa"/>
            <w:tcBorders>
              <w:top w:val="none" w:sz="6" w:space="0" w:color="auto"/>
              <w:left w:val="none" w:sz="6" w:space="0" w:color="auto"/>
              <w:bottom w:val="none" w:sz="6" w:space="0" w:color="auto"/>
              <w:right w:val="none" w:sz="6" w:space="0" w:color="auto"/>
            </w:tcBorders>
          </w:tcPr>
          <w:p w14:paraId="1AAB3846" w14:textId="77777777" w:rsidR="00647F1E" w:rsidRPr="00E14102" w:rsidRDefault="00647F1E" w:rsidP="00E14102">
            <w:pPr>
              <w:jc w:val="both"/>
              <w:rPr>
                <w:color w:val="000000" w:themeColor="text1"/>
                <w:sz w:val="16"/>
                <w:szCs w:val="16"/>
              </w:rPr>
            </w:pPr>
            <w:r w:rsidRPr="00E14102">
              <w:rPr>
                <w:color w:val="000000" w:themeColor="text1"/>
                <w:sz w:val="16"/>
                <w:szCs w:val="16"/>
              </w:rPr>
              <w:t>119</w:t>
            </w:r>
          </w:p>
        </w:tc>
      </w:tr>
      <w:tr w:rsidR="00E3599D" w:rsidRPr="00E14102" w14:paraId="316781B7" w14:textId="77777777" w:rsidTr="00A45C9C">
        <w:tc>
          <w:tcPr>
            <w:tcW w:w="3794" w:type="dxa"/>
            <w:tcBorders>
              <w:top w:val="none" w:sz="6" w:space="0" w:color="auto"/>
              <w:left w:val="none" w:sz="6" w:space="0" w:color="auto"/>
              <w:bottom w:val="none" w:sz="6" w:space="0" w:color="auto"/>
              <w:right w:val="none" w:sz="6" w:space="0" w:color="auto"/>
            </w:tcBorders>
          </w:tcPr>
          <w:p w14:paraId="057A32D6" w14:textId="77777777" w:rsidR="00647F1E" w:rsidRPr="00E14102" w:rsidRDefault="00647F1E" w:rsidP="00E14102">
            <w:pPr>
              <w:jc w:val="both"/>
              <w:rPr>
                <w:color w:val="000000" w:themeColor="text1"/>
                <w:sz w:val="16"/>
                <w:szCs w:val="16"/>
              </w:rPr>
            </w:pPr>
            <w:r w:rsidRPr="00E14102">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3BFCE5A1" w14:textId="77777777" w:rsidR="00647F1E" w:rsidRPr="00E14102" w:rsidRDefault="00647F1E" w:rsidP="00E14102">
            <w:pPr>
              <w:jc w:val="both"/>
              <w:rPr>
                <w:color w:val="000000" w:themeColor="text1"/>
                <w:sz w:val="16"/>
                <w:szCs w:val="16"/>
              </w:rPr>
            </w:pPr>
            <w:r w:rsidRPr="00E14102">
              <w:rPr>
                <w:color w:val="000000" w:themeColor="text1"/>
                <w:sz w:val="16"/>
                <w:szCs w:val="16"/>
              </w:rPr>
              <w:t>107,8</w:t>
            </w:r>
          </w:p>
        </w:tc>
        <w:tc>
          <w:tcPr>
            <w:tcW w:w="1375" w:type="dxa"/>
            <w:tcBorders>
              <w:top w:val="none" w:sz="6" w:space="0" w:color="auto"/>
              <w:left w:val="none" w:sz="6" w:space="0" w:color="auto"/>
              <w:bottom w:val="none" w:sz="6" w:space="0" w:color="auto"/>
              <w:right w:val="none" w:sz="6" w:space="0" w:color="auto"/>
            </w:tcBorders>
          </w:tcPr>
          <w:p w14:paraId="70021991" w14:textId="77777777" w:rsidR="00647F1E" w:rsidRPr="00E14102" w:rsidRDefault="00647F1E" w:rsidP="00E14102">
            <w:pPr>
              <w:jc w:val="both"/>
              <w:rPr>
                <w:color w:val="000000" w:themeColor="text1"/>
                <w:sz w:val="16"/>
                <w:szCs w:val="16"/>
              </w:rPr>
            </w:pPr>
            <w:r w:rsidRPr="00E14102">
              <w:rPr>
                <w:color w:val="000000" w:themeColor="text1"/>
                <w:sz w:val="16"/>
                <w:szCs w:val="16"/>
              </w:rPr>
              <w:t>112,3</w:t>
            </w:r>
          </w:p>
        </w:tc>
        <w:tc>
          <w:tcPr>
            <w:tcW w:w="1438" w:type="dxa"/>
            <w:tcBorders>
              <w:top w:val="none" w:sz="6" w:space="0" w:color="auto"/>
              <w:left w:val="none" w:sz="6" w:space="0" w:color="auto"/>
              <w:bottom w:val="none" w:sz="6" w:space="0" w:color="auto"/>
              <w:right w:val="none" w:sz="6" w:space="0" w:color="auto"/>
            </w:tcBorders>
          </w:tcPr>
          <w:p w14:paraId="1B9BC5D7" w14:textId="77777777" w:rsidR="00647F1E" w:rsidRPr="00E14102" w:rsidRDefault="00647F1E" w:rsidP="00E14102">
            <w:pPr>
              <w:jc w:val="both"/>
              <w:rPr>
                <w:color w:val="000000" w:themeColor="text1"/>
                <w:sz w:val="16"/>
                <w:szCs w:val="16"/>
              </w:rPr>
            </w:pPr>
            <w:r w:rsidRPr="00E14102">
              <w:rPr>
                <w:color w:val="000000" w:themeColor="text1"/>
                <w:sz w:val="16"/>
                <w:szCs w:val="16"/>
              </w:rPr>
              <w:t>125,9 [8]</w:t>
            </w:r>
          </w:p>
          <w:p w14:paraId="42018DD1" w14:textId="77777777" w:rsidR="00647F1E" w:rsidRPr="00E14102" w:rsidRDefault="00647F1E" w:rsidP="00E14102">
            <w:pPr>
              <w:jc w:val="both"/>
              <w:rPr>
                <w:color w:val="000000" w:themeColor="text1"/>
                <w:sz w:val="16"/>
                <w:szCs w:val="16"/>
              </w:rPr>
            </w:pPr>
            <w:r w:rsidRPr="00E14102">
              <w:rPr>
                <w:color w:val="000000" w:themeColor="text1"/>
                <w:sz w:val="16"/>
                <w:szCs w:val="16"/>
              </w:rPr>
              <w:t>112,2</w:t>
            </w:r>
          </w:p>
        </w:tc>
        <w:tc>
          <w:tcPr>
            <w:tcW w:w="1375" w:type="dxa"/>
            <w:tcBorders>
              <w:top w:val="none" w:sz="6" w:space="0" w:color="auto"/>
              <w:left w:val="none" w:sz="6" w:space="0" w:color="auto"/>
              <w:bottom w:val="none" w:sz="6" w:space="0" w:color="auto"/>
              <w:right w:val="none" w:sz="6" w:space="0" w:color="auto"/>
            </w:tcBorders>
          </w:tcPr>
          <w:p w14:paraId="50AA540E" w14:textId="77777777" w:rsidR="00647F1E" w:rsidRPr="00E14102" w:rsidRDefault="00647F1E" w:rsidP="00E14102">
            <w:pPr>
              <w:jc w:val="both"/>
              <w:rPr>
                <w:color w:val="000000" w:themeColor="text1"/>
                <w:sz w:val="16"/>
                <w:szCs w:val="16"/>
              </w:rPr>
            </w:pPr>
            <w:r w:rsidRPr="00E14102">
              <w:rPr>
                <w:color w:val="000000" w:themeColor="text1"/>
                <w:sz w:val="16"/>
                <w:szCs w:val="16"/>
              </w:rPr>
              <w:t>109</w:t>
            </w:r>
          </w:p>
        </w:tc>
      </w:tr>
      <w:tr w:rsidR="00E3599D" w:rsidRPr="00E14102" w14:paraId="664C7636"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6AE82125" w14:textId="77777777" w:rsidR="00647F1E" w:rsidRPr="00E14102" w:rsidRDefault="00647F1E" w:rsidP="00E14102">
            <w:pPr>
              <w:jc w:val="both"/>
              <w:rPr>
                <w:color w:val="000000" w:themeColor="text1"/>
                <w:sz w:val="16"/>
                <w:szCs w:val="16"/>
              </w:rPr>
            </w:pPr>
            <w:r w:rsidRPr="00E14102">
              <w:rPr>
                <w:color w:val="000000" w:themeColor="text1"/>
                <w:sz w:val="16"/>
                <w:szCs w:val="16"/>
              </w:rPr>
              <w:t>Строительство:</w:t>
            </w:r>
          </w:p>
        </w:tc>
      </w:tr>
      <w:tr w:rsidR="00E3599D" w:rsidRPr="00E14102" w14:paraId="54810D58" w14:textId="77777777" w:rsidTr="00A45C9C">
        <w:tc>
          <w:tcPr>
            <w:tcW w:w="3794" w:type="dxa"/>
            <w:tcBorders>
              <w:top w:val="none" w:sz="6" w:space="0" w:color="auto"/>
              <w:left w:val="none" w:sz="6" w:space="0" w:color="auto"/>
              <w:bottom w:val="none" w:sz="6" w:space="0" w:color="auto"/>
              <w:right w:val="none" w:sz="6" w:space="0" w:color="auto"/>
            </w:tcBorders>
          </w:tcPr>
          <w:p w14:paraId="1E5FD381" w14:textId="77777777" w:rsidR="00647F1E" w:rsidRPr="00E14102" w:rsidRDefault="00647F1E" w:rsidP="00E14102">
            <w:pPr>
              <w:jc w:val="both"/>
              <w:rPr>
                <w:color w:val="000000" w:themeColor="text1"/>
                <w:sz w:val="16"/>
                <w:szCs w:val="16"/>
              </w:rPr>
            </w:pPr>
            <w:r w:rsidRPr="00E14102">
              <w:rPr>
                <w:color w:val="000000" w:themeColor="text1"/>
                <w:sz w:val="16"/>
                <w:szCs w:val="16"/>
              </w:rPr>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5D41C631" w14:textId="77777777" w:rsidR="00647F1E" w:rsidRPr="00E14102" w:rsidRDefault="00647F1E" w:rsidP="00E14102">
            <w:pPr>
              <w:jc w:val="both"/>
              <w:rPr>
                <w:color w:val="000000" w:themeColor="text1"/>
                <w:sz w:val="16"/>
                <w:szCs w:val="16"/>
              </w:rPr>
            </w:pPr>
            <w:r w:rsidRPr="00E14102">
              <w:rPr>
                <w:color w:val="000000" w:themeColor="text1"/>
                <w:sz w:val="16"/>
                <w:szCs w:val="16"/>
              </w:rPr>
              <w:t>109,1</w:t>
            </w:r>
          </w:p>
        </w:tc>
        <w:tc>
          <w:tcPr>
            <w:tcW w:w="1375" w:type="dxa"/>
            <w:tcBorders>
              <w:top w:val="none" w:sz="6" w:space="0" w:color="auto"/>
              <w:left w:val="none" w:sz="6" w:space="0" w:color="auto"/>
              <w:bottom w:val="none" w:sz="6" w:space="0" w:color="auto"/>
              <w:right w:val="none" w:sz="6" w:space="0" w:color="auto"/>
            </w:tcBorders>
          </w:tcPr>
          <w:p w14:paraId="3F5D26D5" w14:textId="77777777" w:rsidR="00647F1E" w:rsidRPr="00E14102" w:rsidRDefault="00647F1E" w:rsidP="00E14102">
            <w:pPr>
              <w:jc w:val="both"/>
              <w:rPr>
                <w:color w:val="000000" w:themeColor="text1"/>
                <w:sz w:val="16"/>
                <w:szCs w:val="16"/>
              </w:rPr>
            </w:pPr>
            <w:r w:rsidRPr="00E14102">
              <w:rPr>
                <w:color w:val="000000" w:themeColor="text1"/>
                <w:sz w:val="16"/>
                <w:szCs w:val="16"/>
              </w:rPr>
              <w:t>118,0</w:t>
            </w:r>
          </w:p>
        </w:tc>
        <w:tc>
          <w:tcPr>
            <w:tcW w:w="1438" w:type="dxa"/>
            <w:tcBorders>
              <w:top w:val="none" w:sz="6" w:space="0" w:color="auto"/>
              <w:left w:val="none" w:sz="6" w:space="0" w:color="auto"/>
              <w:bottom w:val="none" w:sz="6" w:space="0" w:color="auto"/>
              <w:right w:val="none" w:sz="6" w:space="0" w:color="auto"/>
            </w:tcBorders>
          </w:tcPr>
          <w:p w14:paraId="73A79BD5" w14:textId="77777777" w:rsidR="00647F1E" w:rsidRPr="00E14102" w:rsidRDefault="00647F1E" w:rsidP="00E14102">
            <w:pPr>
              <w:jc w:val="both"/>
              <w:rPr>
                <w:color w:val="000000" w:themeColor="text1"/>
                <w:sz w:val="16"/>
                <w:szCs w:val="16"/>
              </w:rPr>
            </w:pPr>
            <w:r w:rsidRPr="00E14102">
              <w:rPr>
                <w:color w:val="000000" w:themeColor="text1"/>
                <w:sz w:val="16"/>
                <w:szCs w:val="16"/>
              </w:rPr>
              <w:t>122,0</w:t>
            </w:r>
          </w:p>
        </w:tc>
        <w:tc>
          <w:tcPr>
            <w:tcW w:w="1375" w:type="dxa"/>
            <w:tcBorders>
              <w:top w:val="none" w:sz="6" w:space="0" w:color="auto"/>
              <w:left w:val="none" w:sz="6" w:space="0" w:color="auto"/>
              <w:bottom w:val="none" w:sz="6" w:space="0" w:color="auto"/>
              <w:right w:val="none" w:sz="6" w:space="0" w:color="auto"/>
            </w:tcBorders>
          </w:tcPr>
          <w:p w14:paraId="00122E26" w14:textId="77777777" w:rsidR="00647F1E" w:rsidRPr="00E14102" w:rsidRDefault="00647F1E" w:rsidP="00E14102">
            <w:pPr>
              <w:jc w:val="both"/>
              <w:rPr>
                <w:color w:val="000000" w:themeColor="text1"/>
                <w:sz w:val="16"/>
                <w:szCs w:val="16"/>
              </w:rPr>
            </w:pPr>
            <w:r w:rsidRPr="00E14102">
              <w:rPr>
                <w:color w:val="000000" w:themeColor="text1"/>
                <w:sz w:val="16"/>
                <w:szCs w:val="16"/>
              </w:rPr>
              <w:t>130</w:t>
            </w:r>
          </w:p>
        </w:tc>
      </w:tr>
      <w:tr w:rsidR="00E3599D" w:rsidRPr="00E14102" w14:paraId="2B9302FC" w14:textId="77777777" w:rsidTr="00A45C9C">
        <w:tc>
          <w:tcPr>
            <w:tcW w:w="3794" w:type="dxa"/>
            <w:tcBorders>
              <w:top w:val="none" w:sz="6" w:space="0" w:color="auto"/>
              <w:left w:val="none" w:sz="6" w:space="0" w:color="auto"/>
              <w:bottom w:val="none" w:sz="6" w:space="0" w:color="auto"/>
              <w:right w:val="none" w:sz="6" w:space="0" w:color="auto"/>
            </w:tcBorders>
          </w:tcPr>
          <w:p w14:paraId="75E9C2E2" w14:textId="77777777" w:rsidR="00647F1E" w:rsidRPr="00E14102" w:rsidRDefault="00647F1E" w:rsidP="00E14102">
            <w:pPr>
              <w:jc w:val="both"/>
              <w:rPr>
                <w:color w:val="000000" w:themeColor="text1"/>
                <w:sz w:val="16"/>
                <w:szCs w:val="16"/>
              </w:rPr>
            </w:pPr>
            <w:r w:rsidRPr="00E14102">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23E63E61" w14:textId="77777777" w:rsidR="00647F1E" w:rsidRPr="00E14102" w:rsidRDefault="00647F1E" w:rsidP="00E14102">
            <w:pPr>
              <w:jc w:val="both"/>
              <w:rPr>
                <w:color w:val="000000" w:themeColor="text1"/>
                <w:sz w:val="16"/>
                <w:szCs w:val="16"/>
              </w:rPr>
            </w:pPr>
            <w:r w:rsidRPr="00E14102">
              <w:rPr>
                <w:color w:val="000000" w:themeColor="text1"/>
                <w:sz w:val="16"/>
                <w:szCs w:val="16"/>
              </w:rPr>
              <w:t>105,4</w:t>
            </w:r>
          </w:p>
        </w:tc>
        <w:tc>
          <w:tcPr>
            <w:tcW w:w="1375" w:type="dxa"/>
            <w:tcBorders>
              <w:top w:val="none" w:sz="6" w:space="0" w:color="auto"/>
              <w:left w:val="none" w:sz="6" w:space="0" w:color="auto"/>
              <w:bottom w:val="none" w:sz="6" w:space="0" w:color="auto"/>
              <w:right w:val="none" w:sz="6" w:space="0" w:color="auto"/>
            </w:tcBorders>
          </w:tcPr>
          <w:p w14:paraId="52F3E6D4" w14:textId="77777777" w:rsidR="00647F1E" w:rsidRPr="00E14102" w:rsidRDefault="00647F1E" w:rsidP="00E14102">
            <w:pPr>
              <w:jc w:val="both"/>
              <w:rPr>
                <w:color w:val="000000" w:themeColor="text1"/>
                <w:sz w:val="16"/>
                <w:szCs w:val="16"/>
              </w:rPr>
            </w:pPr>
            <w:r w:rsidRPr="00E14102">
              <w:rPr>
                <w:color w:val="000000" w:themeColor="text1"/>
                <w:sz w:val="16"/>
                <w:szCs w:val="16"/>
              </w:rPr>
              <w:t>126,9</w:t>
            </w:r>
          </w:p>
        </w:tc>
        <w:tc>
          <w:tcPr>
            <w:tcW w:w="1438" w:type="dxa"/>
            <w:tcBorders>
              <w:top w:val="none" w:sz="6" w:space="0" w:color="auto"/>
              <w:left w:val="none" w:sz="6" w:space="0" w:color="auto"/>
              <w:bottom w:val="none" w:sz="6" w:space="0" w:color="auto"/>
              <w:right w:val="none" w:sz="6" w:space="0" w:color="auto"/>
            </w:tcBorders>
          </w:tcPr>
          <w:p w14:paraId="71EB39D1" w14:textId="77777777" w:rsidR="00647F1E" w:rsidRPr="00E14102" w:rsidRDefault="00647F1E" w:rsidP="00E14102">
            <w:pPr>
              <w:jc w:val="both"/>
              <w:rPr>
                <w:color w:val="000000" w:themeColor="text1"/>
                <w:sz w:val="16"/>
                <w:szCs w:val="16"/>
              </w:rPr>
            </w:pPr>
            <w:r w:rsidRPr="00E14102">
              <w:rPr>
                <w:color w:val="000000" w:themeColor="text1"/>
                <w:sz w:val="16"/>
                <w:szCs w:val="16"/>
              </w:rPr>
              <w:t>125,2</w:t>
            </w:r>
          </w:p>
        </w:tc>
        <w:tc>
          <w:tcPr>
            <w:tcW w:w="1375" w:type="dxa"/>
            <w:tcBorders>
              <w:top w:val="none" w:sz="6" w:space="0" w:color="auto"/>
              <w:left w:val="none" w:sz="6" w:space="0" w:color="auto"/>
              <w:bottom w:val="none" w:sz="6" w:space="0" w:color="auto"/>
              <w:right w:val="none" w:sz="6" w:space="0" w:color="auto"/>
            </w:tcBorders>
          </w:tcPr>
          <w:p w14:paraId="6815E8DB" w14:textId="77777777" w:rsidR="00647F1E" w:rsidRPr="00E14102" w:rsidRDefault="00647F1E" w:rsidP="00E14102">
            <w:pPr>
              <w:jc w:val="both"/>
              <w:rPr>
                <w:color w:val="000000" w:themeColor="text1"/>
                <w:sz w:val="16"/>
                <w:szCs w:val="16"/>
              </w:rPr>
            </w:pPr>
            <w:r w:rsidRPr="00E14102">
              <w:rPr>
                <w:color w:val="000000" w:themeColor="text1"/>
                <w:sz w:val="16"/>
                <w:szCs w:val="16"/>
              </w:rPr>
              <w:t>112</w:t>
            </w:r>
          </w:p>
        </w:tc>
      </w:tr>
    </w:tbl>
    <w:p w14:paraId="41E646D4"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Введение прогрессивки, широко оправдавшее себя резким повышением производительности труда, вместе с тем положительно сказывается на динамике себестоимости. Хотя темп повышения зарплаты самих прогрессивщиков (большей частью ведущих категорий рабочих) обгоняет темп роста их выработки, но зато получается известная экономия на зарплате подсобной рабочей силы и еще большая экономия на накладных расходах, приходящихся на единицу продукции. Эта экономия большей частью перекрывает дополнительные расходы по зарплате прогрессивщиков. </w:t>
      </w:r>
    </w:p>
    <w:p w14:paraId="3A37FF38"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Сравнительно редко наблюдаются случаи, когда введение прогрессивки не давало непосредственного экономического эффекта: 1) это случаи, когда прогрессия устанавливается внутри нормы (пример текстиля); 2) это случаи, когда устанавливалась круто нарастающая кривая прогрессии и когда при этом исходили из старых резко преуменьшенных и давно превзойденных норм выработки (такие примеры наблюдались в строительстве, в отдельных случаях на машиностроительных заводах). </w:t>
      </w:r>
    </w:p>
    <w:p w14:paraId="1146D6C5"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Весь опыт применения прогрессивки в 1935 г. определенно говорит в пользу дальнейшего внедрения этой системы оплаты труда, особенно на механизированных работах, при этом, однако, введение прогрессивки должно опираться не на опытно-статистические нормы, а на технически проверенные нормы, установленные с учетом опыта стахановцев. </w:t>
      </w:r>
    </w:p>
    <w:p w14:paraId="65AA0BB8"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Одной из важнейших проблем регулирования зарплаты в 1936 г. является вопрос об установлении правильных соотношений и дифференциации в оплате рабочих разных квалификаций. Прежние соотношения теперь в значительной степени сломаны, новые - не разработаны. Необходимо отметить, что хлебная прибавка имела в одном пункте свою отрицательную сторону: после того как в июне 1934 г. было произведено повышение зарплаты низкооплачиваемым категориям рабочих и служащих в связи с повышением цен на хлеб, новое повышение зарплаты, проведенное с 1 января 1935 г. в связи с отменой карточной системы на хлеб и некоторые другие продукты, распространившееся равномерно на всех рабочих каждого предприятия, привело к известному уменьшению ранее сложившейся дифференциации уровня зарплаты рабочих различной квалификации. В некоторых отраслях промышленности (особенно в текстильной), где имеет место множественность тарифных разрядов и где разница в уровне тарифных ставок разных разрядов была сравнительно невелика, после хлебной прибавки соотношение стало еще хуже и тенденции уравнительности стали резче, ибо размеры дифференциации зарплаты значительно сократились и рабочие различных квалификаций, но смежных разрядов оплачивались почти совершенно одинаково. Так, например, если в 1932 г. соотношение зарплаты рабочих крайних разрядов в хлопчатобумажной промышленности было 4,8: 1, то в июне 1935 г. оно дошло до 2,8: 1. Но и соотношения между отдельными разрядами, сложившиеся в середине 1935 г., были сломаны растущим стахановским движением; теперь весьма нередки случаи, когда уровень зарплаты стахановца, выполняющего полуквалифицированную работу, значительно выше не только уровня зарплаты высококвалифицированного рабочего (не стахановца), по даже мастера и инженера. </w:t>
      </w:r>
    </w:p>
    <w:p w14:paraId="47908EF9"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Все это говорит о том, что одна из центральных задач хозорганов в 1936 г. заключается в том, чтобы правильным нормированием труда и регулированием фондов зарплаты добиться в 1936 г.: </w:t>
      </w:r>
    </w:p>
    <w:p w14:paraId="0FC9CD56"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1) систематического превышения темпов роста производительности труда над темпами роста зарплаты и систематического снижения расходов на зарплату в себестоимости единицы продукции; </w:t>
      </w:r>
    </w:p>
    <w:p w14:paraId="4BD71EC7"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2) смелого внедрения прогрессивки на базе правильно рассчитанных норм; </w:t>
      </w:r>
    </w:p>
    <w:p w14:paraId="16C49D86"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3) пересмотра тарифно-квалификационных справочников в сторону лучшего учета происшедших сдвигов в составе рабочих, в сторону решительного раскрепощения инициативы директоров заводов в деле тарификации труда, в сторону установления более значительной дифференциации в зарплате рабочих различных разрядов. </w:t>
      </w:r>
    </w:p>
    <w:p w14:paraId="0FDBE05E"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Планом 1935 г. намечался прирост фондов заработной платы всех рабочих и служащих в 8,2 млрд. руб. против предварительных итогов 1934 г. Из этого прироста около 4,5 млрд. руб. предназначалось на повышение зарплаты в связи с отменой карточной системы на хлеб и некоторые другие продукты. </w:t>
      </w:r>
    </w:p>
    <w:p w14:paraId="013B42F4"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По предварительным итогам, фонды заработной платы в 1935 г. составили 56,2 млрд. руб. против 44 млрд. руб. в 1934 г. Свыше 3 млрд. руб. составил прирост фондов зарплаты в 1935 г. против 1934 г. по промышленности, в том числе по крупной промышленности 2,8 млрд. руб. </w:t>
      </w:r>
    </w:p>
    <w:p w14:paraId="59844515"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Превышение плановых фондов зарплаты по кругу промышленности объясняется перевыполнением планов по производству свыше 5% и заданий по производительности труда, в частности по НКТП при перевыполнении плана по производству на 6% и по производительности труда на 3,7%-Фонд зарплаты персонала, занятого в промышленности, выше планового на 5,8%, что абсолютной суммой составляет около 500 млн. руб. </w:t>
      </w:r>
    </w:p>
    <w:p w14:paraId="425B2A8B"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Не находит оправдания превышение уровня и фондов зарплаты служащих, контингент и зарплата которых выше плановых не только в промышленности и строительстве, но в учреждениях государственного аппарата. Выше плана и фонды заработной платы в строительстве, что свидетельствует о все еще не изжитых недостатках в организации труда и заработной платы на стройках. </w:t>
      </w:r>
    </w:p>
    <w:p w14:paraId="3E7BFBBA"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Планом 1936 г. намечаются фонды заработной платы в размере 63,4 млрд. руб., или почти на 13% выше 1935 г.; из прироста в 7,2 млрд. руб. в промышленности фонды увеличатся на 3 млрд. руб., в строительстве - на 1,1 млрд. руб., [на] железнодорожном транспорте - на 0,5 млрд. руб., в торговле - на 0,5 млрд. руб. </w:t>
      </w:r>
    </w:p>
    <w:p w14:paraId="3574D142"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В целом по народному хозяйству фонды возрастут за счет увеличения контингентов рабочих и служащих на 4% и за счет роста уровня средней зарплаты - на 8,5%. </w:t>
      </w:r>
    </w:p>
    <w:p w14:paraId="5D8C9DC7"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ЦГАНХ СССР, ф. 4372, on. 34, д. 580, л л. 16-19, 21-26. Отпуск. </w:t>
      </w:r>
    </w:p>
    <w:p w14:paraId="768DBC19" w14:textId="77777777" w:rsidR="00647F1E" w:rsidRPr="00E14102" w:rsidRDefault="00647F1E" w:rsidP="00E14102">
      <w:pPr>
        <w:jc w:val="both"/>
        <w:rPr>
          <w:color w:val="000000" w:themeColor="text1"/>
          <w:sz w:val="16"/>
          <w:szCs w:val="16"/>
        </w:rPr>
      </w:pPr>
      <w:r w:rsidRPr="00E14102">
        <w:rPr>
          <w:color w:val="000000" w:themeColor="text1"/>
          <w:sz w:val="16"/>
          <w:szCs w:val="16"/>
        </w:rPr>
        <w:t>№ 39 Приказ Наркомтяжпрома № 1300 о развитии стаханов­ского движения в Донбассе</w:t>
      </w:r>
    </w:p>
    <w:p w14:paraId="3675FEFF"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10 декабря 1935 г. </w:t>
      </w:r>
    </w:p>
    <w:p w14:paraId="67C45679"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Угольный Донбасс одержал новые серьезные победы. Добыча за последние дни поднялась до 220-225 тыс. т. Достигнут уровень суточной добычи, который Донбасс должен иметь в последний год пятилетки (1937 г.). </w:t>
      </w:r>
    </w:p>
    <w:p w14:paraId="723657FD"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Победа Донбасса есть ответ делом - углем - многотысячной армии угольщиков на речь Сталина на Всесоюзном совещании стахановцев, есть начало выполнения обязательств, взятых передовиками угольной промышленности на этом совещании. </w:t>
      </w:r>
    </w:p>
    <w:p w14:paraId="29DA84AA"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В своей речи тов. Сталин поставил основной задачей перед хозяйственниками, инженерами и техниками - перестроиться, возглавить стахановское движение и организационно повести его вперед широким фронтом во всех областях нашей работы. </w:t>
      </w:r>
    </w:p>
    <w:p w14:paraId="3F203C0F"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Большевистский ответ и пример того, как на деле должны выполняться указания тов. Сталина, дал в последние дни ряд шахт треста «Артемуголь» (управляющий тов. Зорин, главный инженер тов. Вишник). </w:t>
      </w:r>
    </w:p>
    <w:p w14:paraId="52ACDE2B"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Руководители шахты им. Дзержинского (заведующий шахтой тов. Корчагин и главный инженер тов. Корж) первые в «Артемугле» показали, как надо от стахановской работы отдельных участков и звеньев производства перейти к стахановской работе по всей шахте во всех ее производственных процессах. </w:t>
      </w:r>
    </w:p>
    <w:p w14:paraId="4CD405D7"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Они организовали 30 ноября работу по-стахановски всей шахты в первой смене и дали за эту смену 1970 т вместо обычных 900 т в смену и повысили производительность забойщика до 10,5 т за смену вместо обычных 5-5.3 т на этой шахте. </w:t>
      </w:r>
    </w:p>
    <w:p w14:paraId="7CF0EA5C"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Особую роль в организации этой стахановской смены на шахте сыграл начальник движения тов. Разварнн, обеспечивший своей большевистской работой выдачу на-гора за одну смену более чем удвоенную добычу. </w:t>
      </w:r>
    </w:p>
    <w:p w14:paraId="415BC2C8"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Вслед за шахтой им. Дзержинского руководители ряда других шахт треста «Артемуголь» организовали у себя на шахтах не сменную, а суточную работу по-стахановски всей шахты целиком. 6 декабря шахта № 1 «Кочегарка» (заведующий шахтой тов. Юхман, главный инженер тов. Червонный) выдала на-гора 4825 т вместо прежних 3250 т при производительности забойщика 16,4 т вместо прежних 8,6 т. </w:t>
      </w:r>
    </w:p>
    <w:p w14:paraId="784C5A21"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8 декабря шахта № 1/2 «Красный -Октябрь» (заведующий шахтой тов. Мартынов, главный инженер тов. Белинский) дала 3015 т вместо прежних 1800 т при производительности забойщика 17 т вместо 11,5 т. </w:t>
      </w:r>
    </w:p>
    <w:p w14:paraId="242A9E46"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8 декабря шахта им. Ворошилова (заведующий шахтой тов. Шелестов, главный инженер тов. Чумаков) дала 2870 т вместо 1850 т при производительности забойщика в 9,38 т вместо 6,67 т. </w:t>
      </w:r>
    </w:p>
    <w:p w14:paraId="1206A7B1"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7 декабря шахта № 8а им. Сталина (заведующий шахтой тов. Ксендзов, главный инженер топ. Фомичев) дала 3317 т вместо прежних 2200-2300 т при производительности забойщика 11 т вместо 8,3 т. </w:t>
      </w:r>
    </w:p>
    <w:p w14:paraId="245BF6FC"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Такую же суточную работу по-стахановски организовали руководители ряда других шахт: 5 декабря шахта Кондратьевка, </w:t>
      </w:r>
    </w:p>
    <w:p w14:paraId="771EF889"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6 декабря шахта им. Артема, 6 декабря шахта им. Ленина № 5, 7 декабря шахта № 9, 7 декабря шахта «Комсомолец», 8 декабря шахта № 4 «Красный Октябрь», 9 декабря шахта № 19/20 им. Якира и 9 декабря шахта им. Калинина, увеличив в эти дни свою добычу на 20-40%. </w:t>
      </w:r>
    </w:p>
    <w:p w14:paraId="7A319B8C"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Этих значительных результатов в росте угледобычи шахты «Артемугля» добились без какого-либо дополнительного оборудования и механизмов, а лишь за счет четкой организации труда, хорошего использования богатой техники шахт и конкретного организационно-технического руководства производственными процессами </w:t>
      </w:r>
      <w:r w:rsidRPr="00E14102">
        <w:rPr>
          <w:color w:val="000000" w:themeColor="text1"/>
          <w:sz w:val="16"/>
          <w:szCs w:val="16"/>
        </w:rPr>
        <w:lastRenderedPageBreak/>
        <w:t xml:space="preserve">в шахте со стороны командного состава, понастоящему возглавившего стахановское движение. Результат работы этих шахт, несмотря на имевший еще место ряд существенных недостатков (неполная выдача породы, недостаточный темп подготовительных работ), показывает вместе с тем, какие возможности открываются перед каждой шахтой, если она полностью и до конца выполнит приказ наркома тов. Орджоникидзе № 1069 о переводе на стахановский метод работ всех участков, всех производственных процессов, всей шахты в целом. </w:t>
      </w:r>
    </w:p>
    <w:p w14:paraId="5C294CC2"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Эти результаты важны для всей угольной промышленности как яркое доказательство того, что при работе по-стахановски, при четком руководстве со стороны командного состава существующее оборудование шахт, в том числе и шахтные подъемы и механизмы, могут обеспечить значительное увеличение добычи угля, превышая все до сих пор принятые технические нормативы. </w:t>
      </w:r>
    </w:p>
    <w:p w14:paraId="377294E8"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Придавая огромное значение переносу опыта стахановской работы этих шахт «Артемутля» на все угольные шахты Донбасса и других бассейнов, приказываю: </w:t>
      </w:r>
    </w:p>
    <w:p w14:paraId="41C7475F"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1. На основе опыта указанных выше шахт «Артемугля» всем угольным трестам Союза осуществить решительный перевод шахт на сплошную стахановскую работу по всем участкам и звеньям производственного процесса, произведя предварительную четкую организационную подготовку и правильную расстановку командного состава шахт. </w:t>
      </w:r>
    </w:p>
    <w:p w14:paraId="1509DF1B"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Сплошная стахановская работа шахт должна производиться не эпизодически - отдельными днями, а ежедневно - как система. </w:t>
      </w:r>
    </w:p>
    <w:p w14:paraId="36C0CF3F"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2. Угольному институту немедленно командировать бригаду специалистов в Горловский район для изучения и обобщения опыта «Артемугля» и в двухдекадный срок издать материалы, освещающие опыт и метод работы шахт «Артемугля» для распространения по всем угольным бассейнам. </w:t>
      </w:r>
    </w:p>
    <w:p w14:paraId="1DDB85D2"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3. ОНТИ НКТП обеспечить срочное опубликование этих материалов. </w:t>
      </w:r>
    </w:p>
    <w:p w14:paraId="09A98C47" w14:textId="77777777" w:rsidR="00647F1E" w:rsidRPr="00E14102" w:rsidRDefault="00647F1E" w:rsidP="00E14102">
      <w:pPr>
        <w:jc w:val="both"/>
        <w:rPr>
          <w:color w:val="000000" w:themeColor="text1"/>
          <w:sz w:val="16"/>
          <w:szCs w:val="16"/>
        </w:rPr>
      </w:pPr>
      <w:r w:rsidRPr="00E14102">
        <w:rPr>
          <w:color w:val="000000" w:themeColor="text1"/>
          <w:sz w:val="16"/>
          <w:szCs w:val="16"/>
        </w:rPr>
        <w:t xml:space="preserve">Заместитель наркома тяжелой промышленности Рухимович </w:t>
      </w:r>
    </w:p>
    <w:p w14:paraId="4877421B" w14:textId="77777777" w:rsidR="00647F1E" w:rsidRPr="00E14102" w:rsidRDefault="00647F1E" w:rsidP="00E14102">
      <w:pPr>
        <w:jc w:val="both"/>
        <w:rPr>
          <w:color w:val="000000" w:themeColor="text1"/>
          <w:sz w:val="16"/>
          <w:szCs w:val="16"/>
        </w:rPr>
      </w:pPr>
      <w:r w:rsidRPr="00E14102">
        <w:rPr>
          <w:color w:val="000000" w:themeColor="text1"/>
          <w:sz w:val="16"/>
          <w:szCs w:val="16"/>
        </w:rPr>
        <w:t>ЦГАНХ СССР, ф. 7297, on. 1, 0. 104, л. 149-149 об. Типогр. экз. (12212).</w:t>
      </w:r>
    </w:p>
    <w:p w14:paraId="222FD622" w14:textId="77777777" w:rsidR="00647F1E" w:rsidRPr="00E14102" w:rsidRDefault="00647F1E" w:rsidP="00E14102">
      <w:pPr>
        <w:jc w:val="both"/>
        <w:rPr>
          <w:color w:val="000000" w:themeColor="text1"/>
          <w:sz w:val="16"/>
          <w:szCs w:val="16"/>
        </w:rPr>
      </w:pPr>
    </w:p>
    <w:p w14:paraId="2036A56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B742C18" w14:textId="77777777" w:rsidR="00D4105E" w:rsidRPr="00E14102" w:rsidRDefault="00D4105E" w:rsidP="00E14102">
      <w:pPr>
        <w:autoSpaceDE w:val="0"/>
        <w:autoSpaceDN w:val="0"/>
        <w:adjustRightInd w:val="0"/>
        <w:jc w:val="both"/>
        <w:rPr>
          <w:iCs/>
          <w:color w:val="000000" w:themeColor="text1"/>
          <w:sz w:val="16"/>
          <w:szCs w:val="16"/>
        </w:rPr>
      </w:pPr>
    </w:p>
    <w:p w14:paraId="62CC80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ноября 1935 был учрежден орден "Знак почета" (3481).</w:t>
      </w:r>
    </w:p>
    <w:p w14:paraId="5A5AD76F" w14:textId="77777777" w:rsidR="00D4105E" w:rsidRPr="00E14102" w:rsidRDefault="00D4105E" w:rsidP="00E14102">
      <w:pPr>
        <w:autoSpaceDE w:val="0"/>
        <w:autoSpaceDN w:val="0"/>
        <w:adjustRightInd w:val="0"/>
        <w:jc w:val="both"/>
        <w:rPr>
          <w:color w:val="000000" w:themeColor="text1"/>
          <w:sz w:val="16"/>
          <w:szCs w:val="16"/>
        </w:rPr>
      </w:pPr>
    </w:p>
    <w:p w14:paraId="6A07986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06FD5BB" w14:textId="77777777" w:rsidR="00D4105E" w:rsidRPr="00E14102" w:rsidRDefault="00D4105E" w:rsidP="00E14102">
      <w:pPr>
        <w:autoSpaceDE w:val="0"/>
        <w:autoSpaceDN w:val="0"/>
        <w:adjustRightInd w:val="0"/>
        <w:jc w:val="both"/>
        <w:rPr>
          <w:iCs/>
          <w:color w:val="000000" w:themeColor="text1"/>
          <w:sz w:val="16"/>
          <w:szCs w:val="16"/>
        </w:rPr>
      </w:pPr>
    </w:p>
    <w:p w14:paraId="1D6746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ноября 1935 В.М.М. и Мосолов подписали техописание на Т-1 (АНТ-41), в котором отмечалось: торпедоносец низкого метания...может быть использован как бомбардировщик и крейсер, самолет запроектирован в сухопутном и морском (на поплавках) вариантах." (3337,7).</w:t>
      </w:r>
    </w:p>
    <w:p w14:paraId="1E1B52DF" w14:textId="77777777" w:rsidR="00D4105E" w:rsidRPr="00E14102" w:rsidRDefault="00D4105E" w:rsidP="00E14102">
      <w:pPr>
        <w:autoSpaceDE w:val="0"/>
        <w:autoSpaceDN w:val="0"/>
        <w:adjustRightInd w:val="0"/>
        <w:jc w:val="both"/>
        <w:rPr>
          <w:color w:val="000000" w:themeColor="text1"/>
          <w:sz w:val="16"/>
          <w:szCs w:val="16"/>
        </w:rPr>
      </w:pPr>
    </w:p>
    <w:p w14:paraId="1946EB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26 ноября 1935 Мясищев и Мосолов подписали техописание Т-1, в котором отмечалось, что «торпедоно</w:t>
      </w:r>
      <w:r w:rsidRPr="00E14102">
        <w:rPr>
          <w:color w:val="000000" w:themeColor="text1"/>
          <w:sz w:val="16"/>
          <w:szCs w:val="16"/>
        </w:rPr>
        <w:softHyphen/>
        <w:t>сец низкого метания (...) может быть использован как бомбардировщик и крейсер, самолет запроектирован в сухопутном и морском (на поплавках) вариантах».</w:t>
      </w:r>
    </w:p>
    <w:p w14:paraId="50BC304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Исходя из поставленной задачи и желая достичь наибольшей скорости, конструкторы сделали все, чтобы «облагородить» аэродинамику машины. Кроме убираю</w:t>
      </w:r>
      <w:r w:rsidRPr="00E14102">
        <w:rPr>
          <w:color w:val="000000" w:themeColor="text1"/>
          <w:sz w:val="16"/>
          <w:szCs w:val="16"/>
        </w:rPr>
        <w:softHyphen/>
        <w:t>щегося шасси (включая костыльное колесо) и шквор</w:t>
      </w:r>
      <w:r w:rsidRPr="00E14102">
        <w:rPr>
          <w:color w:val="000000" w:themeColor="text1"/>
          <w:sz w:val="16"/>
          <w:szCs w:val="16"/>
        </w:rPr>
        <w:softHyphen/>
        <w:t>невых выдвижных пулеметных установок, торпеду ре</w:t>
      </w:r>
      <w:r w:rsidRPr="00E14102">
        <w:rPr>
          <w:color w:val="000000" w:themeColor="text1"/>
          <w:sz w:val="16"/>
          <w:szCs w:val="16"/>
        </w:rPr>
        <w:softHyphen/>
        <w:t>шили поместить в грузовом отсеке фюзеляжа длиной 6,5 м. Выигрыш в лобовом сопротивлении был значи</w:t>
      </w:r>
      <w:r w:rsidRPr="00E14102">
        <w:rPr>
          <w:color w:val="000000" w:themeColor="text1"/>
          <w:sz w:val="16"/>
          <w:szCs w:val="16"/>
        </w:rPr>
        <w:softHyphen/>
        <w:t>тельный, но и вес фюзеляжа из-за усиления огромно</w:t>
      </w:r>
      <w:r w:rsidRPr="00E14102">
        <w:rPr>
          <w:color w:val="000000" w:themeColor="text1"/>
          <w:sz w:val="16"/>
          <w:szCs w:val="16"/>
        </w:rPr>
        <w:softHyphen/>
        <w:t>го выреза получился немалый.</w:t>
      </w:r>
    </w:p>
    <w:p w14:paraId="5E95AD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Экипаж Т-1 состоял из четырех человек. В носовой кабине размещались штурман, он же стрелок носовой стрелковой установки Тур-9 с пулеметом ШКАС калиб</w:t>
      </w:r>
      <w:r w:rsidRPr="00E14102">
        <w:rPr>
          <w:color w:val="000000" w:themeColor="text1"/>
          <w:sz w:val="16"/>
          <w:szCs w:val="16"/>
        </w:rPr>
        <w:softHyphen/>
        <w:t>ра 7,62 мм, и летчик. В средней части фюзеляжа нахо</w:t>
      </w:r>
      <w:r w:rsidRPr="00E14102">
        <w:rPr>
          <w:color w:val="000000" w:themeColor="text1"/>
          <w:sz w:val="16"/>
          <w:szCs w:val="16"/>
        </w:rPr>
        <w:softHyphen/>
        <w:t>дились стрелок верхней установки и радист-стрелок нижней установки также с такими же пулеметами. Ка</w:t>
      </w:r>
      <w:r w:rsidRPr="00E14102">
        <w:rPr>
          <w:color w:val="000000" w:themeColor="text1"/>
          <w:sz w:val="16"/>
          <w:szCs w:val="16"/>
        </w:rPr>
        <w:softHyphen/>
        <w:t>бина пилота имела специальные фальшборты, закры</w:t>
      </w:r>
      <w:r w:rsidRPr="00E14102">
        <w:rPr>
          <w:color w:val="000000" w:themeColor="text1"/>
          <w:sz w:val="16"/>
          <w:szCs w:val="16"/>
        </w:rPr>
        <w:softHyphen/>
        <w:t>вавшие элементы управления и оборудования, что способствовало повышению ее комфорта.</w:t>
      </w:r>
    </w:p>
    <w:p w14:paraId="2F4005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нормальном полетном весе самолет брал одну «фиумскую» (по названию австро-венгерского города Фиума, впоследствии Риека, где ее создали) или об</w:t>
      </w:r>
      <w:r w:rsidRPr="00E14102">
        <w:rPr>
          <w:color w:val="000000" w:themeColor="text1"/>
          <w:sz w:val="16"/>
          <w:szCs w:val="16"/>
        </w:rPr>
        <w:softHyphen/>
        <w:t>разца 1927 года торпеду. В бомбардировочном вари</w:t>
      </w:r>
      <w:r w:rsidRPr="00E14102">
        <w:rPr>
          <w:color w:val="000000" w:themeColor="text1"/>
          <w:sz w:val="16"/>
          <w:szCs w:val="16"/>
        </w:rPr>
        <w:softHyphen/>
        <w:t>анте самолет вмещал до 1000 кг бомб. Максимальная бомбовая нагрузка при перегрузочном весе доходила до 3000 кг.</w:t>
      </w:r>
    </w:p>
    <w:p w14:paraId="462188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проектировался под два форсированных двигателя М-34ФРН расчетной взлетной мощностью по 1250 л.с. с трехлопастными воздушными винтами изменяемого шага диаметром 3,55 м. Однако с мото</w:t>
      </w:r>
      <w:r w:rsidRPr="00E14102">
        <w:rPr>
          <w:color w:val="000000" w:themeColor="text1"/>
          <w:sz w:val="16"/>
          <w:szCs w:val="16"/>
        </w:rPr>
        <w:softHyphen/>
        <w:t>ром М-34ФРН еще во время наземных испытаний на стенде возникли большие трудности. Он недодавал мощности, а его ресурс не превышал 30 часов. Доста</w:t>
      </w:r>
      <w:r w:rsidRPr="00E14102">
        <w:rPr>
          <w:color w:val="000000" w:themeColor="text1"/>
          <w:sz w:val="16"/>
          <w:szCs w:val="16"/>
        </w:rPr>
        <w:softHyphen/>
        <w:t>точно сказать, что попытки установить М-34ФРН на бомбардировщик ДБ-А конструкции В.Ф. Болховити-нова в июне и осенью 1936 года также не увенчались успехом. Видимо, в первый полет, выполненный летчи</w:t>
      </w:r>
      <w:r w:rsidRPr="00E14102">
        <w:rPr>
          <w:color w:val="000000" w:themeColor="text1"/>
          <w:sz w:val="16"/>
          <w:szCs w:val="16"/>
        </w:rPr>
        <w:softHyphen/>
        <w:t>ком отдела летной эксплуатации и доводок (ОЛЭИД) ЦАГИ А.П. Чернавским 2 июня 1936 года, Т-1 ушел с моторами М-34РН меньшей мощности. Это означало снижение всех летно-технических характеристик по сравнению с расчетными (11446).</w:t>
      </w:r>
    </w:p>
    <w:p w14:paraId="0F7AA84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F96122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26 ноября 1935 года вышел Приказ НИИ ВС № 0597 Об испытании самолета Р-6 с малым количеством горючего в баках.</w:t>
      </w:r>
    </w:p>
    <w:p w14:paraId="6B43D0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провести на Щелковском аэродроме.</w:t>
      </w:r>
    </w:p>
    <w:p w14:paraId="23AEA9A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провести в 10-дневный срок. Испытание начать 22 ноября 1935 года (6815, 183).</w:t>
      </w:r>
    </w:p>
    <w:p w14:paraId="7EAE7F3E"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75474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ноября 1935 Зам. Директора завода 39 Леонтьев направил Нач, УВВС Алкснису письмо:</w:t>
      </w:r>
    </w:p>
    <w:p w14:paraId="4DF69F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N 39 направляет вам эскизный проект самолета И-21 (М-34ФРН) на утверждение. Вместе с тем сообщаю, что макет самолета готов, прошу о рассмотрении его макетной комиссией в ближайшее время” (4734,13).</w:t>
      </w:r>
    </w:p>
    <w:p w14:paraId="09482E9F" w14:textId="77777777" w:rsidR="00D4105E" w:rsidRPr="00E14102" w:rsidRDefault="00D4105E" w:rsidP="00E14102">
      <w:pPr>
        <w:autoSpaceDE w:val="0"/>
        <w:autoSpaceDN w:val="0"/>
        <w:adjustRightInd w:val="0"/>
        <w:jc w:val="both"/>
        <w:rPr>
          <w:color w:val="000000" w:themeColor="text1"/>
          <w:sz w:val="16"/>
          <w:szCs w:val="16"/>
        </w:rPr>
      </w:pPr>
    </w:p>
    <w:p w14:paraId="6E2522B7" w14:textId="77777777" w:rsidR="00FB3896" w:rsidRPr="00E14102" w:rsidRDefault="00FB3896" w:rsidP="00E14102">
      <w:pPr>
        <w:jc w:val="both"/>
        <w:rPr>
          <w:color w:val="0070C0"/>
          <w:sz w:val="16"/>
          <w:szCs w:val="16"/>
        </w:rPr>
      </w:pPr>
      <w:r w:rsidRPr="00E14102">
        <w:rPr>
          <w:color w:val="0070C0"/>
          <w:sz w:val="16"/>
          <w:szCs w:val="16"/>
        </w:rPr>
        <w:t>26 но</w:t>
      </w:r>
      <w:r w:rsidRPr="00E14102">
        <w:rPr>
          <w:color w:val="0070C0"/>
          <w:sz w:val="16"/>
          <w:szCs w:val="16"/>
        </w:rPr>
        <w:softHyphen/>
        <w:t>ября 1935 заместитель директора авиационного завода № 39 Леонтьев направил начальнику Управления ВВС Красной Армии Алкснису письмо следующего содер</w:t>
      </w:r>
      <w:r w:rsidRPr="00E14102">
        <w:rPr>
          <w:color w:val="0070C0"/>
          <w:sz w:val="16"/>
          <w:szCs w:val="16"/>
        </w:rPr>
        <w:softHyphen/>
        <w:t>жания: «Завод № 39 направляет Вам эскизный проект самолета И-21 (М-34 ФРН) на утверждение. Вместе с тем сообщаю, что макет самолета готов, прошу о рассмотрении его макетной комиссией в ближай</w:t>
      </w:r>
      <w:r w:rsidRPr="00E14102">
        <w:rPr>
          <w:color w:val="0070C0"/>
          <w:sz w:val="16"/>
          <w:szCs w:val="16"/>
        </w:rPr>
        <w:softHyphen/>
        <w:t>шее время» (23188).</w:t>
      </w:r>
    </w:p>
    <w:p w14:paraId="21B1C530" w14:textId="77777777" w:rsidR="00FB3896" w:rsidRPr="00E14102" w:rsidRDefault="00FB3896" w:rsidP="00E14102">
      <w:pPr>
        <w:jc w:val="both"/>
        <w:rPr>
          <w:color w:val="0070C0"/>
          <w:sz w:val="16"/>
          <w:szCs w:val="16"/>
        </w:rPr>
      </w:pPr>
    </w:p>
    <w:p w14:paraId="31315178" w14:textId="77777777" w:rsidR="00970104" w:rsidRPr="00E14102" w:rsidRDefault="00970104" w:rsidP="00E14102">
      <w:pPr>
        <w:jc w:val="both"/>
        <w:rPr>
          <w:color w:val="000000" w:themeColor="text1"/>
          <w:sz w:val="16"/>
          <w:szCs w:val="16"/>
        </w:rPr>
      </w:pPr>
      <w:r w:rsidRPr="00E14102">
        <w:rPr>
          <w:color w:val="000000" w:themeColor="text1"/>
          <w:sz w:val="16"/>
          <w:szCs w:val="16"/>
        </w:rPr>
        <w:t xml:space="preserve">26 ноября 1935 заместитель директора авиационного завода №39 Леонтьев направил начальнику Управления ВВС Красной Армии Алкснису письмо следующего содержания: "Завод №39 направляет Вам эскизный проект самолета </w:t>
      </w:r>
      <w:r w:rsidRPr="00E14102">
        <w:rPr>
          <w:bCs/>
          <w:color w:val="000000" w:themeColor="text1"/>
          <w:sz w:val="16"/>
          <w:szCs w:val="16"/>
        </w:rPr>
        <w:t>И-21</w:t>
      </w:r>
      <w:r w:rsidRPr="00E14102">
        <w:rPr>
          <w:color w:val="000000" w:themeColor="text1"/>
          <w:sz w:val="16"/>
          <w:szCs w:val="16"/>
        </w:rPr>
        <w:t xml:space="preserve"> (М-34ФРН) на утверждение. Вместе с тем сообщаю, что макет самолета готов, прошу о рассмотрении его макетной комиссией в ближайшее время".</w:t>
      </w:r>
    </w:p>
    <w:p w14:paraId="4C0F3BEA" w14:textId="77777777" w:rsidR="00970104" w:rsidRPr="00E14102" w:rsidRDefault="00970104" w:rsidP="00E14102">
      <w:pPr>
        <w:jc w:val="both"/>
        <w:rPr>
          <w:color w:val="000000" w:themeColor="text1"/>
          <w:sz w:val="16"/>
          <w:szCs w:val="16"/>
        </w:rPr>
      </w:pPr>
      <w:r w:rsidRPr="00E14102">
        <w:rPr>
          <w:color w:val="000000" w:themeColor="text1"/>
          <w:sz w:val="16"/>
          <w:szCs w:val="16"/>
        </w:rPr>
        <w:t>Спустя четыре дня командующий ВВС утвердил "Заключение по боевой схеме одноместного истребителя с мотором М-34ФРН - специальный, конструкции завода №39, бригады инженера Ильюшина". В документе констатировалось, что "в основном, самолет удовлетворяет предъявленным техническим требованиям, по скорости даже превосходит последние на 40-50 км; в отношении же дальности - требованиям не удовлетворяет. Вместо 1000 км, расчетная дальность самолета на небольшой скорости (270 км/ ч) равна 766 км, при крейсерской же скорости 480 км/ч, дальность снижается до 460 км/ч". Вывод был кратким:</w:t>
      </w:r>
    </w:p>
    <w:p w14:paraId="7F7A593E" w14:textId="77777777" w:rsidR="00970104" w:rsidRPr="00E14102" w:rsidRDefault="00970104" w:rsidP="00E14102">
      <w:pPr>
        <w:jc w:val="both"/>
        <w:rPr>
          <w:color w:val="000000" w:themeColor="text1"/>
          <w:sz w:val="16"/>
          <w:szCs w:val="16"/>
        </w:rPr>
      </w:pPr>
      <w:r w:rsidRPr="00E14102">
        <w:rPr>
          <w:color w:val="000000" w:themeColor="text1"/>
          <w:sz w:val="16"/>
          <w:szCs w:val="16"/>
        </w:rPr>
        <w:t>"1. Боевую схему самолета - утвердить.</w:t>
      </w:r>
    </w:p>
    <w:p w14:paraId="13BEAC8B" w14:textId="77777777" w:rsidR="00970104" w:rsidRPr="00E14102" w:rsidRDefault="00970104" w:rsidP="00E14102">
      <w:pPr>
        <w:jc w:val="both"/>
        <w:rPr>
          <w:color w:val="000000" w:themeColor="text1"/>
          <w:sz w:val="16"/>
          <w:szCs w:val="16"/>
        </w:rPr>
      </w:pPr>
      <w:r w:rsidRPr="00E14102">
        <w:rPr>
          <w:color w:val="000000" w:themeColor="text1"/>
          <w:sz w:val="16"/>
          <w:szCs w:val="16"/>
        </w:rPr>
        <w:t>2. Обзор для летчика и удобство его размещения проверить на макете.</w:t>
      </w:r>
    </w:p>
    <w:p w14:paraId="14EDFE48" w14:textId="77777777" w:rsidR="00970104" w:rsidRPr="00E14102" w:rsidRDefault="00970104" w:rsidP="00E14102">
      <w:pPr>
        <w:jc w:val="both"/>
        <w:rPr>
          <w:color w:val="000000" w:themeColor="text1"/>
          <w:sz w:val="16"/>
          <w:szCs w:val="16"/>
        </w:rPr>
      </w:pPr>
      <w:r w:rsidRPr="00E14102">
        <w:rPr>
          <w:color w:val="000000" w:themeColor="text1"/>
          <w:sz w:val="16"/>
          <w:szCs w:val="16"/>
        </w:rPr>
        <w:t>3. Считать необходимым, увеличить емкость бензиновых баков настолько, чтобы самолету была обеспечена дальность полета 600 км на крейсерской скорости 480 км/ч".</w:t>
      </w:r>
    </w:p>
    <w:p w14:paraId="0940C2F6" w14:textId="77777777" w:rsidR="00970104" w:rsidRPr="00E14102" w:rsidRDefault="00970104" w:rsidP="00E14102">
      <w:pPr>
        <w:jc w:val="both"/>
        <w:rPr>
          <w:color w:val="000000" w:themeColor="text1"/>
          <w:sz w:val="16"/>
          <w:szCs w:val="16"/>
        </w:rPr>
      </w:pPr>
      <w:r w:rsidRPr="00E14102">
        <w:rPr>
          <w:color w:val="000000" w:themeColor="text1"/>
          <w:sz w:val="16"/>
          <w:szCs w:val="16"/>
        </w:rPr>
        <w:t>Оперативность, проявленная при рассмотрении документов, дает основание предполагать, что ВВС не случайно проявляли особый интерес к проекту (12229).</w:t>
      </w:r>
    </w:p>
    <w:p w14:paraId="148410B1" w14:textId="77777777" w:rsidR="00970104" w:rsidRPr="00E14102" w:rsidRDefault="00970104" w:rsidP="00E14102">
      <w:pPr>
        <w:jc w:val="both"/>
        <w:rPr>
          <w:color w:val="000000" w:themeColor="text1"/>
          <w:sz w:val="16"/>
          <w:szCs w:val="16"/>
        </w:rPr>
      </w:pPr>
    </w:p>
    <w:p w14:paraId="2981080E" w14:textId="77777777" w:rsidR="00CA3055" w:rsidRPr="00E14102" w:rsidRDefault="00CA3055" w:rsidP="00E14102">
      <w:pPr>
        <w:jc w:val="both"/>
        <w:rPr>
          <w:color w:val="000000" w:themeColor="text1"/>
          <w:sz w:val="16"/>
          <w:szCs w:val="16"/>
        </w:rPr>
      </w:pPr>
      <w:r w:rsidRPr="00E14102">
        <w:rPr>
          <w:color w:val="000000" w:themeColor="text1"/>
          <w:sz w:val="16"/>
          <w:szCs w:val="16"/>
        </w:rPr>
        <w:t>26 ноября 1935 заместитель директора авиационного завода №39 Леонтьев направил начальнику Управления ВВС Красной Армии Алкснису письмо следующего содержания:</w:t>
      </w:r>
    </w:p>
    <w:p w14:paraId="561ECBF0" w14:textId="77777777" w:rsidR="00CA3055" w:rsidRPr="00E14102" w:rsidRDefault="00CA3055" w:rsidP="00E14102">
      <w:pPr>
        <w:jc w:val="both"/>
        <w:rPr>
          <w:color w:val="000000" w:themeColor="text1"/>
          <w:sz w:val="16"/>
          <w:szCs w:val="16"/>
        </w:rPr>
      </w:pPr>
      <w:r w:rsidRPr="00E14102">
        <w:rPr>
          <w:color w:val="000000" w:themeColor="text1"/>
          <w:sz w:val="16"/>
          <w:szCs w:val="16"/>
        </w:rPr>
        <w:t>"Завод №39 направляет Вам эскизный проект самолета И-21 (М-34ФРН) на утверждение. Вместе с тем сообщаю, что макет самолета готов, прошу о рассмотрении его макетной комиссией в ближайшее время".</w:t>
      </w:r>
    </w:p>
    <w:p w14:paraId="7682A1A2" w14:textId="77777777" w:rsidR="00CA3055" w:rsidRPr="00E14102" w:rsidRDefault="00CA3055" w:rsidP="00E14102">
      <w:pPr>
        <w:jc w:val="both"/>
        <w:rPr>
          <w:color w:val="000000" w:themeColor="text1"/>
          <w:sz w:val="16"/>
          <w:szCs w:val="16"/>
        </w:rPr>
      </w:pPr>
      <w:r w:rsidRPr="00E14102">
        <w:rPr>
          <w:color w:val="000000" w:themeColor="text1"/>
          <w:sz w:val="16"/>
          <w:szCs w:val="16"/>
        </w:rPr>
        <w:t>Спустя четыре дня командующий ВВС утвердил "Заключение по боевой схеме одноместного истребителя с мотором М-34ФРН - специальный, конструкции завода №39, бригады инженера Ильюшина".</w:t>
      </w:r>
    </w:p>
    <w:p w14:paraId="0C7FAFD4" w14:textId="77777777" w:rsidR="00CA3055" w:rsidRPr="00E14102" w:rsidRDefault="00CA3055" w:rsidP="00E14102">
      <w:pPr>
        <w:jc w:val="both"/>
        <w:rPr>
          <w:color w:val="000000" w:themeColor="text1"/>
          <w:sz w:val="16"/>
          <w:szCs w:val="16"/>
        </w:rPr>
      </w:pPr>
      <w:r w:rsidRPr="00E14102">
        <w:rPr>
          <w:color w:val="000000" w:themeColor="text1"/>
          <w:sz w:val="16"/>
          <w:szCs w:val="16"/>
        </w:rPr>
        <w:t>В документе констатировалось, что</w:t>
      </w:r>
    </w:p>
    <w:p w14:paraId="198901C1" w14:textId="77777777" w:rsidR="00CA3055" w:rsidRPr="00E14102" w:rsidRDefault="00CA3055" w:rsidP="00E14102">
      <w:pPr>
        <w:jc w:val="both"/>
        <w:rPr>
          <w:color w:val="000000" w:themeColor="text1"/>
          <w:sz w:val="16"/>
          <w:szCs w:val="16"/>
        </w:rPr>
      </w:pPr>
      <w:r w:rsidRPr="00E14102">
        <w:rPr>
          <w:color w:val="000000" w:themeColor="text1"/>
          <w:sz w:val="16"/>
          <w:szCs w:val="16"/>
        </w:rPr>
        <w:t>"в основном, самолет удовлетворяет предъявленным техническим требованиям, по скорости даже превосходит последние на 40-50 км; в отношении же дальности - требованиям не удовлетворяет.</w:t>
      </w:r>
    </w:p>
    <w:p w14:paraId="38150342" w14:textId="77777777" w:rsidR="00CA3055" w:rsidRPr="00E14102" w:rsidRDefault="00CA3055" w:rsidP="00E14102">
      <w:pPr>
        <w:jc w:val="both"/>
        <w:rPr>
          <w:color w:val="000000" w:themeColor="text1"/>
          <w:sz w:val="16"/>
          <w:szCs w:val="16"/>
        </w:rPr>
      </w:pPr>
      <w:r w:rsidRPr="00E14102">
        <w:rPr>
          <w:color w:val="000000" w:themeColor="text1"/>
          <w:sz w:val="16"/>
          <w:szCs w:val="16"/>
        </w:rPr>
        <w:t>Вместо 1000 км, расчетная дальность самолета на небольшой скорости (270 км/ ч) равна 766 км, при крейсерской же скорости 480 км/ч, дальность снижается до 460 км".</w:t>
      </w:r>
    </w:p>
    <w:p w14:paraId="192AD305" w14:textId="77777777" w:rsidR="00CA3055" w:rsidRPr="00E14102" w:rsidRDefault="00CA3055" w:rsidP="00E14102">
      <w:pPr>
        <w:jc w:val="both"/>
        <w:rPr>
          <w:color w:val="000000" w:themeColor="text1"/>
          <w:sz w:val="16"/>
          <w:szCs w:val="16"/>
        </w:rPr>
      </w:pPr>
      <w:r w:rsidRPr="00E14102">
        <w:rPr>
          <w:color w:val="000000" w:themeColor="text1"/>
          <w:sz w:val="16"/>
          <w:szCs w:val="16"/>
        </w:rPr>
        <w:t>Вывод был кратким:</w:t>
      </w:r>
    </w:p>
    <w:p w14:paraId="1AEE2AB4" w14:textId="77777777" w:rsidR="00CA3055" w:rsidRPr="00E14102" w:rsidRDefault="00CA3055" w:rsidP="00E14102">
      <w:pPr>
        <w:jc w:val="both"/>
        <w:rPr>
          <w:color w:val="000000" w:themeColor="text1"/>
          <w:sz w:val="16"/>
          <w:szCs w:val="16"/>
        </w:rPr>
      </w:pPr>
      <w:r w:rsidRPr="00E14102">
        <w:rPr>
          <w:color w:val="000000" w:themeColor="text1"/>
          <w:sz w:val="16"/>
          <w:szCs w:val="16"/>
        </w:rPr>
        <w:t>"1. Боевую схему самолета - утвердить.</w:t>
      </w:r>
    </w:p>
    <w:p w14:paraId="3DE90499" w14:textId="77777777" w:rsidR="00CA3055" w:rsidRPr="00E14102" w:rsidRDefault="00CA3055" w:rsidP="00E14102">
      <w:pPr>
        <w:jc w:val="both"/>
        <w:rPr>
          <w:color w:val="000000" w:themeColor="text1"/>
          <w:sz w:val="16"/>
          <w:szCs w:val="16"/>
        </w:rPr>
      </w:pPr>
      <w:r w:rsidRPr="00E14102">
        <w:rPr>
          <w:color w:val="000000" w:themeColor="text1"/>
          <w:sz w:val="16"/>
          <w:szCs w:val="16"/>
        </w:rPr>
        <w:t> 2  Обзор для летчика и удобство его размещения проверить на макете.</w:t>
      </w:r>
    </w:p>
    <w:p w14:paraId="2F6226D1" w14:textId="77777777" w:rsidR="00CA3055" w:rsidRPr="00E14102" w:rsidRDefault="00CA3055" w:rsidP="00E14102">
      <w:pPr>
        <w:jc w:val="both"/>
        <w:rPr>
          <w:color w:val="000000" w:themeColor="text1"/>
          <w:sz w:val="16"/>
          <w:szCs w:val="16"/>
        </w:rPr>
      </w:pPr>
      <w:r w:rsidRPr="00E14102">
        <w:rPr>
          <w:color w:val="000000" w:themeColor="text1"/>
          <w:sz w:val="16"/>
          <w:szCs w:val="16"/>
        </w:rPr>
        <w:t> 3. Считать необходимым, увеличить емкость бензиновых баков настолько, чтобы самолету была обеспечена дальность полета 600 км на крейсерской скорости 480 км/ч" (15554).</w:t>
      </w:r>
    </w:p>
    <w:p w14:paraId="6377F378" w14:textId="77777777" w:rsidR="00CA3055" w:rsidRPr="00E14102" w:rsidRDefault="00CA3055" w:rsidP="00E14102">
      <w:pPr>
        <w:jc w:val="both"/>
        <w:rPr>
          <w:color w:val="000000" w:themeColor="text1"/>
          <w:sz w:val="16"/>
          <w:szCs w:val="16"/>
        </w:rPr>
      </w:pPr>
    </w:p>
    <w:p w14:paraId="0BC430BE" w14:textId="77777777" w:rsidR="00CA3055" w:rsidRPr="00E14102" w:rsidRDefault="00CA3055" w:rsidP="00E14102">
      <w:pPr>
        <w:pStyle w:val="rtejustify"/>
        <w:spacing w:before="0" w:after="0"/>
        <w:rPr>
          <w:color w:val="000000" w:themeColor="text1"/>
          <w:sz w:val="16"/>
          <w:szCs w:val="16"/>
        </w:rPr>
      </w:pPr>
      <w:r w:rsidRPr="00E14102">
        <w:rPr>
          <w:rStyle w:val="a6"/>
          <w:bCs/>
          <w:i w:val="0"/>
          <w:color w:val="000000" w:themeColor="text1"/>
          <w:sz w:val="16"/>
          <w:szCs w:val="16"/>
        </w:rPr>
        <w:t>26 ноября</w:t>
      </w:r>
      <w:r w:rsidRPr="00E14102">
        <w:rPr>
          <w:color w:val="000000" w:themeColor="text1"/>
          <w:sz w:val="16"/>
          <w:szCs w:val="16"/>
        </w:rPr>
        <w:t xml:space="preserve"> 1935 Решение Политбюро № 34. 42. О самолетах типа «Небесная блоха» (ПБ от 4 октября 1935 г.). — ОП. 66. О полете в стратосферу (ПБ от 7 октября 1935 г.). — ОП. 75. Об отпуске средств ГУАП (ПБ от 8 октября 1935 г.). — ОП. 76. Вопрос КО (ПБ от 8 октября 1935 г.). — ОП. 247. О переговорах с фирмой «Федераль лаборатори» (ПБ от 27 октября 1935 г.). — ОП. (Политбюро ЦК РКП(б)-ВКП(Б). Повестки дня заседаний. 1919</w:t>
      </w:r>
      <w:r w:rsidRPr="00E14102">
        <w:rPr>
          <w:color w:val="000000" w:themeColor="text1"/>
          <w:sz w:val="16"/>
          <w:szCs w:val="16"/>
        </w:rPr>
        <w:noBreakHyphen/>
        <w:t>1952: Каталог / Т. 2. С. 704, 705, 710, 715; РГАСПИ. Ф. 17. Оп. 162. Д. 18. Л. 173, 174, 182) (15462).</w:t>
      </w:r>
    </w:p>
    <w:p w14:paraId="008E9CF4" w14:textId="77777777" w:rsidR="00CA3055" w:rsidRPr="00E14102" w:rsidRDefault="00CA3055" w:rsidP="00E14102">
      <w:pPr>
        <w:pStyle w:val="rtejustify"/>
        <w:spacing w:before="0" w:after="0"/>
        <w:rPr>
          <w:color w:val="000000" w:themeColor="text1"/>
          <w:sz w:val="16"/>
          <w:szCs w:val="16"/>
        </w:rPr>
      </w:pPr>
    </w:p>
    <w:p w14:paraId="7A27EB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ноября 1935 года член КСК при СНК Хаханьян писал письмо № 465сс в ЦК ВКП(б) Сталину и СНК Молотову</w:t>
      </w:r>
    </w:p>
    <w:p w14:paraId="687E68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Установка на самолетах винтов регулируемого в полете шага (ВРШ) резко поднимает летные качества самолетов. При помощи этих винтов достигается уменьшение разбега самолетов (процентов на 30, что особо важно для тяжелых бомбардировщиков), увеличение скороподъемности (процентов на 30), увеличение потолка (на 15-20%), увеличение скорости на всех высотах и т.д.</w:t>
      </w:r>
    </w:p>
    <w:p w14:paraId="548436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Винты регулируемого в полете шага нашли широкое применение за границей; например в Америке вся военная и почти вся гражданская авиация снабжена этими винтами.</w:t>
      </w:r>
    </w:p>
    <w:p w14:paraId="6F3C2B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Мы в этом отношении резко отстали.</w:t>
      </w:r>
    </w:p>
    <w:p w14:paraId="725885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Имеются специальные постановления СТО о внедрении ВРШ в нашу авиацию. Проверка КСК показала, что дело с внедрением ВРШ обстоит исключительно плохо и Постановления СТО не выполняются. Так, например, согласно Постановлению СТО 26 августа 1935 года было поручено Алкснису и Королеву в 10-ти дневный срок представить в СТО предложения по постановке в производство указанных винтов. Предложения были представлены в СТО только в ноябре после нашего вмешательства и то неудовлетворительные.</w:t>
      </w:r>
    </w:p>
    <w:p w14:paraId="491961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по ВРШ у нас ведутся по инициативе низовых организаций и до самого последнего времени не получали должной поддержки со стороны ГУАПа. Эти отдельные организации достигли значительных успехов в проектировании и изготовлении опытных образцов.</w:t>
      </w:r>
    </w:p>
    <w:p w14:paraId="6DB1D7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Три винта находятся на испытаниях, обнаружили неплохие качества: винт Никифорова (завод № 28) под мотор М-25 (Райт), винт Микулина (ЦИАМ) под мотор М-34Р и винт Бас-Дубова-Заславского (отдел изобрет. НКО) – под мотор М-34РФН.</w:t>
      </w:r>
    </w:p>
    <w:p w14:paraId="5AA85F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ЦИАМ проектировочные работы унифицированного винта под основные наши моторы; Бас-Дубов и Заславский дали проекты винтов также под все основные моторы. Имеются и другие проекты. Однако, претворение в жизнь всех этих проектов идет исключительно медленными темпами, самотеком, без необходимого внимания и руководства со стороны ГУАПа. Нужно также отметить недопустимую пассивность УВС НКО в этом вопросе.</w:t>
      </w:r>
    </w:p>
    <w:p w14:paraId="08769C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Вместо своевременной реализации предложений наших инженеров-конструкторов (некоторые из них работают над ВРШ уже несколько лет), упустив значительное время, ГУАП идет по линии наименьшего сопротивления покупки американского винта Гамильтона.</w:t>
      </w:r>
    </w:p>
    <w:p w14:paraId="4953AB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ГУАП до сих пор не имеет никаких реальных расчетов, где в каком количестве и когда будут производиться ВРШ.</w:t>
      </w:r>
    </w:p>
    <w:p w14:paraId="29F16A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w:t>
      </w:r>
    </w:p>
    <w:p w14:paraId="2D8E8FD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Необходимо добиться от ГУАПа изготовления в кратчайший срок всех имеющихся опытных образцов ВРШ (их около 10) с тем, чтобы по изготовлении испытать и отобрать наилучшие для серийного производства под основные наши моторы.</w:t>
      </w:r>
    </w:p>
    <w:p w14:paraId="51318D9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Всю эту работу ГУАПу необходимо вести с таким расчетом, чтобы с IV квартала 1936 года все самолеты заказа УВС, за исключением учебных, сдавались с винтами регулируемого в полете шага (3475,128-129).</w:t>
      </w:r>
    </w:p>
    <w:p w14:paraId="75129DB1"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6638917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330D640" w14:textId="77777777" w:rsidR="00D4105E" w:rsidRPr="00E14102" w:rsidRDefault="00D4105E" w:rsidP="00E14102">
      <w:pPr>
        <w:autoSpaceDE w:val="0"/>
        <w:autoSpaceDN w:val="0"/>
        <w:adjustRightInd w:val="0"/>
        <w:jc w:val="both"/>
        <w:rPr>
          <w:iCs/>
          <w:color w:val="000000" w:themeColor="text1"/>
          <w:sz w:val="16"/>
          <w:szCs w:val="16"/>
        </w:rPr>
      </w:pPr>
    </w:p>
    <w:p w14:paraId="239817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ноября 1935 Нач. и военком НИИ ВВС Бажанов утвердил Ведомость дефектов, обнаруженных при испытаниях СБ 2ИС по состоянию на 26 ноября 1935 (2914).</w:t>
      </w:r>
    </w:p>
    <w:p w14:paraId="1CBE6049" w14:textId="77777777" w:rsidR="00D4105E" w:rsidRPr="00E14102" w:rsidRDefault="00D4105E" w:rsidP="00E14102">
      <w:pPr>
        <w:autoSpaceDE w:val="0"/>
        <w:autoSpaceDN w:val="0"/>
        <w:adjustRightInd w:val="0"/>
        <w:jc w:val="both"/>
        <w:rPr>
          <w:color w:val="000000" w:themeColor="text1"/>
          <w:sz w:val="16"/>
          <w:szCs w:val="16"/>
        </w:rPr>
      </w:pPr>
    </w:p>
    <w:p w14:paraId="4E808D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ноября 1935 директор завода N 39 им. В.Р.Менжинского Леонтьев направил Нач. УВВС Я.И.А. эскизный проект одноместного истребителя ЦКБ-32 (И-21) с М-34ФРН, сообщил, что макет готов и просил рассмотреть его на макетной комиссии (3846,6).</w:t>
      </w:r>
    </w:p>
    <w:p w14:paraId="34CD2E5E" w14:textId="77777777" w:rsidR="00D4105E" w:rsidRPr="00E14102" w:rsidRDefault="00D4105E" w:rsidP="00E14102">
      <w:pPr>
        <w:autoSpaceDE w:val="0"/>
        <w:autoSpaceDN w:val="0"/>
        <w:adjustRightInd w:val="0"/>
        <w:jc w:val="both"/>
        <w:rPr>
          <w:color w:val="000000" w:themeColor="text1"/>
          <w:sz w:val="16"/>
          <w:szCs w:val="16"/>
        </w:rPr>
      </w:pPr>
    </w:p>
    <w:p w14:paraId="3E78A2C4" w14:textId="77777777" w:rsidR="00B27DAD" w:rsidRPr="00E14102" w:rsidRDefault="00B27DAD"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27 ноября 1935 самолет ЗИГ-1, который испытывался с весны 1935, потерпел катастрофу вследствие бафтинга стабилизатора. В это же время Р. Л. Бартини разрабатывал пассажирский</w:t>
      </w:r>
      <w:r w:rsidRPr="00E14102">
        <w:rPr>
          <w:rFonts w:ascii="Times New Roman" w:hAnsi="Times New Roman" w:cs="Times New Roman"/>
          <w:color w:val="000000" w:themeColor="text1"/>
          <w:sz w:val="16"/>
          <w:szCs w:val="16"/>
        </w:rPr>
        <w:t> </w:t>
      </w:r>
      <w:hyperlink r:id="rId217" w:history="1">
        <w:r w:rsidRPr="00E14102">
          <w:rPr>
            <w:rStyle w:val="a3"/>
            <w:rFonts w:ascii="Times New Roman" w:eastAsiaTheme="majorEastAsia" w:hAnsi="Times New Roman" w:cs="Times New Roman"/>
            <w:b w:val="0"/>
            <w:color w:val="000000" w:themeColor="text1"/>
            <w:sz w:val="16"/>
            <w:szCs w:val="16"/>
            <w:bdr w:val="none" w:sz="0" w:space="0" w:color="auto" w:frame="1"/>
            <w:lang w:val="ru-RU"/>
          </w:rPr>
          <w:t>Сталь-7</w:t>
        </w:r>
      </w:hyperlink>
      <w:r w:rsidRPr="00E14102">
        <w:rPr>
          <w:rFonts w:ascii="Times New Roman" w:hAnsi="Times New Roman" w:cs="Times New Roman"/>
          <w:color w:val="000000" w:themeColor="text1"/>
          <w:sz w:val="16"/>
          <w:szCs w:val="16"/>
          <w:lang w:val="ru-RU"/>
        </w:rPr>
        <w:t>. Пока шло расследование причины катастрофы ЗИГ-1, дорабатывалась его конструкция и изготавливался второй экземпляр, в КБ Туполева полным ходом велось проектиро</w:t>
      </w:r>
      <w:r w:rsidRPr="00E14102">
        <w:rPr>
          <w:rFonts w:ascii="Times New Roman" w:hAnsi="Times New Roman" w:cs="Times New Roman"/>
          <w:color w:val="000000" w:themeColor="text1"/>
          <w:sz w:val="16"/>
          <w:szCs w:val="16"/>
          <w:lang w:val="ru-RU"/>
        </w:rPr>
        <w:softHyphen/>
        <w:t>вание самолета аналогичного назначения.</w:t>
      </w:r>
    </w:p>
    <w:p w14:paraId="35091225" w14:textId="77777777" w:rsidR="00B27DAD" w:rsidRPr="00E14102" w:rsidRDefault="00B27DAD"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Получение задания на разработку скоростной пассажирской машины совпало с созданием бомбардировщика «</w:t>
      </w:r>
      <w:hyperlink r:id="rId218" w:history="1">
        <w:r w:rsidRPr="00E14102">
          <w:rPr>
            <w:rStyle w:val="a3"/>
            <w:rFonts w:ascii="Times New Roman" w:eastAsiaTheme="majorEastAsia" w:hAnsi="Times New Roman" w:cs="Times New Roman"/>
            <w:b w:val="0"/>
            <w:color w:val="000000" w:themeColor="text1"/>
            <w:sz w:val="16"/>
            <w:szCs w:val="16"/>
            <w:bdr w:val="none" w:sz="0" w:space="0" w:color="auto" w:frame="1"/>
            <w:lang w:val="ru-RU"/>
          </w:rPr>
          <w:t>СБ</w:t>
        </w:r>
      </w:hyperlink>
      <w:r w:rsidRPr="00E14102">
        <w:rPr>
          <w:rFonts w:ascii="Times New Roman" w:hAnsi="Times New Roman" w:cs="Times New Roman"/>
          <w:color w:val="000000" w:themeColor="text1"/>
          <w:sz w:val="16"/>
          <w:szCs w:val="16"/>
          <w:lang w:val="ru-RU"/>
        </w:rPr>
        <w:t>«, показавшего в одном из полетов скорость 404 км/ч. Руководитель бригады А. А. Архангельский решил максимально использовать в новом самолете уже испытанные агрегаты и узлы боевой машины.</w:t>
      </w:r>
    </w:p>
    <w:p w14:paraId="3809E038" w14:textId="77777777" w:rsidR="00B27DAD" w:rsidRPr="00E14102" w:rsidRDefault="00B27DAD"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Подобным путем, позволяющим сократить сроки и стоимость разработки пассажирских самолетов, пользовались и раньше. Так, в ПС-9 от разведчика Р-6 заимствовали крыло и винтомоторную установку. Для АНТ-14 использовали крыло, оперение, шасси от бомбардировщика ТБ-3. Этим же путем нередко шли конструкторы и в послевоенные годы. Достаточно вспомнить Ан-10, Ту-104 и другие машины.</w:t>
      </w:r>
    </w:p>
    <w:p w14:paraId="6DEBA8D2" w14:textId="77777777" w:rsidR="00B27DAD" w:rsidRPr="00E14102" w:rsidRDefault="00B27DAD"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eastAsiaTheme="majorEastAsia" w:hAnsi="Times New Roman" w:cs="Times New Roman"/>
          <w:i w:val="0"/>
          <w:color w:val="000000" w:themeColor="text1"/>
          <w:sz w:val="16"/>
          <w:szCs w:val="16"/>
          <w:bdr w:val="none" w:sz="0" w:space="0" w:color="auto" w:frame="1"/>
          <w:lang w:val="ru-RU"/>
        </w:rPr>
        <w:t>«Основной целью, —</w:t>
      </w:r>
      <w:r w:rsidRPr="00E14102">
        <w:rPr>
          <w:rStyle w:val="a6"/>
          <w:rFonts w:ascii="Times New Roman" w:eastAsiaTheme="majorEastAsia" w:hAnsi="Times New Roman" w:cs="Times New Roman"/>
          <w:i w:val="0"/>
          <w:color w:val="000000" w:themeColor="text1"/>
          <w:sz w:val="16"/>
          <w:szCs w:val="16"/>
          <w:bdr w:val="none" w:sz="0" w:space="0" w:color="auto" w:frame="1"/>
        </w:rPr>
        <w:t> </w:t>
      </w:r>
      <w:r w:rsidRPr="00E14102">
        <w:rPr>
          <w:rFonts w:ascii="Times New Roman" w:hAnsi="Times New Roman" w:cs="Times New Roman"/>
          <w:color w:val="000000" w:themeColor="text1"/>
          <w:sz w:val="16"/>
          <w:szCs w:val="16"/>
          <w:lang w:val="ru-RU"/>
        </w:rPr>
        <w:t>писал впоследствии А. А. Архангельский,</w:t>
      </w:r>
      <w:r w:rsidRPr="00E14102">
        <w:rPr>
          <w:rStyle w:val="a6"/>
          <w:rFonts w:ascii="Times New Roman" w:eastAsiaTheme="majorEastAsia" w:hAnsi="Times New Roman" w:cs="Times New Roman"/>
          <w:i w:val="0"/>
          <w:color w:val="000000" w:themeColor="text1"/>
          <w:sz w:val="16"/>
          <w:szCs w:val="16"/>
          <w:bdr w:val="none" w:sz="0" w:space="0" w:color="auto" w:frame="1"/>
        </w:rPr>
        <w:t> </w:t>
      </w:r>
      <w:r w:rsidRPr="00E14102">
        <w:rPr>
          <w:rStyle w:val="a6"/>
          <w:rFonts w:ascii="Times New Roman" w:eastAsiaTheme="majorEastAsia" w:hAnsi="Times New Roman" w:cs="Times New Roman"/>
          <w:i w:val="0"/>
          <w:color w:val="000000" w:themeColor="text1"/>
          <w:sz w:val="16"/>
          <w:szCs w:val="16"/>
          <w:bdr w:val="none" w:sz="0" w:space="0" w:color="auto" w:frame="1"/>
          <w:lang w:val="ru-RU"/>
        </w:rPr>
        <w:t>— было создание скоростного пассажирского самолета с тем новейшим оборудованием, которое обеспечило бы наибольший комфорт пассажиру и максимальную безопасность полета…»</w:t>
      </w:r>
    </w:p>
    <w:p w14:paraId="04B87063" w14:textId="77777777" w:rsidR="00B27DAD" w:rsidRPr="00E14102" w:rsidRDefault="00B27DAD"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Эти замыслы в значительной степени удалось реализовать в АНТ-35 (19196).</w:t>
      </w:r>
    </w:p>
    <w:p w14:paraId="32BC2F40" w14:textId="77777777" w:rsidR="00B27DAD" w:rsidRPr="00E14102" w:rsidRDefault="00B27DAD" w:rsidP="00E14102">
      <w:pPr>
        <w:pStyle w:val="rtecenter"/>
        <w:shd w:val="clear" w:color="auto" w:fill="FFFFFF"/>
        <w:spacing w:before="0" w:after="0"/>
        <w:jc w:val="both"/>
        <w:textAlignment w:val="baseline"/>
        <w:rPr>
          <w:color w:val="000000" w:themeColor="text1"/>
          <w:sz w:val="16"/>
          <w:szCs w:val="16"/>
        </w:rPr>
      </w:pPr>
    </w:p>
    <w:p w14:paraId="786D87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ноября 1935 года была подготовлена:</w:t>
      </w:r>
    </w:p>
    <w:p w14:paraId="1CECD2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 о выполнении авиапромышленностью плана заказа 1935 года по самолетам и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1134"/>
        <w:gridCol w:w="1984"/>
        <w:gridCol w:w="6380"/>
      </w:tblGrid>
      <w:tr w:rsidR="00E3599D" w:rsidRPr="00E14102" w14:paraId="10E7BC81" w14:textId="77777777">
        <w:tc>
          <w:tcPr>
            <w:tcW w:w="2093" w:type="dxa"/>
          </w:tcPr>
          <w:p w14:paraId="445307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машин</w:t>
            </w:r>
          </w:p>
        </w:tc>
        <w:tc>
          <w:tcPr>
            <w:tcW w:w="1134" w:type="dxa"/>
          </w:tcPr>
          <w:p w14:paraId="404C20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Правительственный план 1935 года</w:t>
            </w:r>
          </w:p>
        </w:tc>
        <w:tc>
          <w:tcPr>
            <w:tcW w:w="1984" w:type="dxa"/>
          </w:tcPr>
          <w:p w14:paraId="438CFD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Предполагалось сдать до 1 января 1936 года</w:t>
            </w:r>
          </w:p>
        </w:tc>
        <w:tc>
          <w:tcPr>
            <w:tcW w:w="6380" w:type="dxa"/>
          </w:tcPr>
          <w:p w14:paraId="12DBAF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6EEC64CA" w14:textId="77777777">
        <w:tc>
          <w:tcPr>
            <w:tcW w:w="2093" w:type="dxa"/>
          </w:tcPr>
          <w:p w14:paraId="25376A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М34Р</w:t>
            </w:r>
          </w:p>
        </w:tc>
        <w:tc>
          <w:tcPr>
            <w:tcW w:w="1134" w:type="dxa"/>
          </w:tcPr>
          <w:p w14:paraId="5A0C98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1984" w:type="dxa"/>
          </w:tcPr>
          <w:p w14:paraId="303D81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6380" w:type="dxa"/>
          </w:tcPr>
          <w:p w14:paraId="4295265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F35505A" w14:textId="77777777">
        <w:tc>
          <w:tcPr>
            <w:tcW w:w="2093" w:type="dxa"/>
          </w:tcPr>
          <w:p w14:paraId="7DE398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М34РН</w:t>
            </w:r>
          </w:p>
        </w:tc>
        <w:tc>
          <w:tcPr>
            <w:tcW w:w="1134" w:type="dxa"/>
          </w:tcPr>
          <w:p w14:paraId="1F59E3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w:t>
            </w:r>
          </w:p>
        </w:tc>
        <w:tc>
          <w:tcPr>
            <w:tcW w:w="1984" w:type="dxa"/>
          </w:tcPr>
          <w:p w14:paraId="567223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(129) 10</w:t>
            </w:r>
          </w:p>
        </w:tc>
        <w:tc>
          <w:tcPr>
            <w:tcW w:w="6380" w:type="dxa"/>
          </w:tcPr>
          <w:p w14:paraId="73C2B20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5B40567" w14:textId="77777777">
        <w:tc>
          <w:tcPr>
            <w:tcW w:w="2093" w:type="dxa"/>
          </w:tcPr>
          <w:p w14:paraId="0B5846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СБ-2 М100</w:t>
            </w:r>
          </w:p>
        </w:tc>
        <w:tc>
          <w:tcPr>
            <w:tcW w:w="1134" w:type="dxa"/>
          </w:tcPr>
          <w:p w14:paraId="5482DF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984" w:type="dxa"/>
          </w:tcPr>
          <w:p w14:paraId="3BC7AE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 10</w:t>
            </w:r>
          </w:p>
        </w:tc>
        <w:tc>
          <w:tcPr>
            <w:tcW w:w="6380" w:type="dxa"/>
          </w:tcPr>
          <w:p w14:paraId="768D4C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Предполагается развернуть производство "полным ходом". Ни количества, ни сроки готовности не определяются.</w:t>
            </w:r>
          </w:p>
        </w:tc>
      </w:tr>
      <w:tr w:rsidR="00E3599D" w:rsidRPr="00E14102" w14:paraId="40CCEEC3" w14:textId="77777777">
        <w:tc>
          <w:tcPr>
            <w:tcW w:w="2093" w:type="dxa"/>
          </w:tcPr>
          <w:p w14:paraId="064010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РД М34</w:t>
            </w:r>
          </w:p>
        </w:tc>
        <w:tc>
          <w:tcPr>
            <w:tcW w:w="1134" w:type="dxa"/>
          </w:tcPr>
          <w:p w14:paraId="62C678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 (договор заключен на 25)</w:t>
            </w:r>
          </w:p>
        </w:tc>
        <w:tc>
          <w:tcPr>
            <w:tcW w:w="1984" w:type="dxa"/>
          </w:tcPr>
          <w:p w14:paraId="73081E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3</w:t>
            </w:r>
          </w:p>
        </w:tc>
        <w:tc>
          <w:tcPr>
            <w:tcW w:w="6380" w:type="dxa"/>
          </w:tcPr>
          <w:p w14:paraId="1996948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A8706EA" w14:textId="77777777">
        <w:tc>
          <w:tcPr>
            <w:tcW w:w="2093" w:type="dxa"/>
          </w:tcPr>
          <w:p w14:paraId="10F082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ЛР М34 (Р-Зет)</w:t>
            </w:r>
          </w:p>
        </w:tc>
        <w:tc>
          <w:tcPr>
            <w:tcW w:w="1134" w:type="dxa"/>
          </w:tcPr>
          <w:p w14:paraId="75B878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984" w:type="dxa"/>
          </w:tcPr>
          <w:p w14:paraId="40EF83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 10</w:t>
            </w:r>
          </w:p>
        </w:tc>
        <w:tc>
          <w:tcPr>
            <w:tcW w:w="6380" w:type="dxa"/>
          </w:tcPr>
          <w:p w14:paraId="3F89F4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технической готовности будет изготовлено до 100 самолетов.</w:t>
            </w:r>
          </w:p>
        </w:tc>
      </w:tr>
      <w:tr w:rsidR="00E3599D" w:rsidRPr="00E14102" w14:paraId="6D484B53" w14:textId="77777777">
        <w:tc>
          <w:tcPr>
            <w:tcW w:w="2093" w:type="dxa"/>
          </w:tcPr>
          <w:p w14:paraId="192103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 М17 (штурмовик ССС)</w:t>
            </w:r>
          </w:p>
        </w:tc>
        <w:tc>
          <w:tcPr>
            <w:tcW w:w="1134" w:type="dxa"/>
          </w:tcPr>
          <w:p w14:paraId="228CF3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984" w:type="dxa"/>
          </w:tcPr>
          <w:p w14:paraId="1465F7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(205) 357</w:t>
            </w:r>
          </w:p>
        </w:tc>
        <w:tc>
          <w:tcPr>
            <w:tcW w:w="6380" w:type="dxa"/>
          </w:tcPr>
          <w:p w14:paraId="26D5A5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счет 400 входят 50 торпедоносцев сданных УВС весной.</w:t>
            </w:r>
          </w:p>
        </w:tc>
      </w:tr>
      <w:tr w:rsidR="00E3599D" w:rsidRPr="00E14102" w14:paraId="0F8CDEBE" w14:textId="77777777">
        <w:tc>
          <w:tcPr>
            <w:tcW w:w="2093" w:type="dxa"/>
          </w:tcPr>
          <w:p w14:paraId="097E92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 М-25</w:t>
            </w:r>
          </w:p>
        </w:tc>
        <w:tc>
          <w:tcPr>
            <w:tcW w:w="1134" w:type="dxa"/>
          </w:tcPr>
          <w:p w14:paraId="57CD19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984" w:type="dxa"/>
          </w:tcPr>
          <w:p w14:paraId="724EFE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6380" w:type="dxa"/>
          </w:tcPr>
          <w:p w14:paraId="5B7AC2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 снять с производства и разрешить заводу № 125 изготовить 20-25 учебных самолетов.</w:t>
            </w:r>
          </w:p>
        </w:tc>
      </w:tr>
      <w:tr w:rsidR="00E3599D" w:rsidRPr="00E14102" w14:paraId="7BD614AC" w14:textId="77777777">
        <w:tc>
          <w:tcPr>
            <w:tcW w:w="2093" w:type="dxa"/>
          </w:tcPr>
          <w:p w14:paraId="2A49E6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 М25</w:t>
            </w:r>
          </w:p>
        </w:tc>
        <w:tc>
          <w:tcPr>
            <w:tcW w:w="1134" w:type="dxa"/>
          </w:tcPr>
          <w:p w14:paraId="702E06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291</w:t>
            </w:r>
          </w:p>
        </w:tc>
        <w:tc>
          <w:tcPr>
            <w:tcW w:w="1984" w:type="dxa"/>
          </w:tcPr>
          <w:p w14:paraId="30CA3F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 275</w:t>
            </w:r>
          </w:p>
        </w:tc>
        <w:tc>
          <w:tcPr>
            <w:tcW w:w="6380" w:type="dxa"/>
          </w:tcPr>
          <w:p w14:paraId="59F3DF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ГУАПом называется плановая цифра в 291 ед. с учетом недодела 1934 года.</w:t>
            </w:r>
          </w:p>
        </w:tc>
      </w:tr>
      <w:tr w:rsidR="00E3599D" w:rsidRPr="00E14102" w14:paraId="4B80FB8D" w14:textId="77777777">
        <w:tc>
          <w:tcPr>
            <w:tcW w:w="2093" w:type="dxa"/>
          </w:tcPr>
          <w:p w14:paraId="5EE402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 М22</w:t>
            </w:r>
          </w:p>
        </w:tc>
        <w:tc>
          <w:tcPr>
            <w:tcW w:w="1134" w:type="dxa"/>
          </w:tcPr>
          <w:p w14:paraId="6C4A21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1984" w:type="dxa"/>
          </w:tcPr>
          <w:p w14:paraId="72EFE8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(121) 500</w:t>
            </w:r>
          </w:p>
        </w:tc>
        <w:tc>
          <w:tcPr>
            <w:tcW w:w="6380" w:type="dxa"/>
          </w:tcPr>
          <w:p w14:paraId="78B825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эту цифру ГУАП включает 41 самолет, сданных в 1934 году, УВС – не согласен с этим расчетом.</w:t>
            </w:r>
          </w:p>
        </w:tc>
      </w:tr>
      <w:tr w:rsidR="00E3599D" w:rsidRPr="00E14102" w14:paraId="21C1624C" w14:textId="77777777">
        <w:tc>
          <w:tcPr>
            <w:tcW w:w="2093" w:type="dxa"/>
          </w:tcPr>
          <w:p w14:paraId="2E3F1D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 М25</w:t>
            </w:r>
          </w:p>
        </w:tc>
        <w:tc>
          <w:tcPr>
            <w:tcW w:w="1134" w:type="dxa"/>
          </w:tcPr>
          <w:p w14:paraId="464F0F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984" w:type="dxa"/>
          </w:tcPr>
          <w:p w14:paraId="621B3E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 50</w:t>
            </w:r>
          </w:p>
        </w:tc>
        <w:tc>
          <w:tcPr>
            <w:tcW w:w="6380" w:type="dxa"/>
          </w:tcPr>
          <w:p w14:paraId="4A2FAB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Возможна задержка последних 25 машин из-за неподачи импортных карбюраторов "Стромберг".</w:t>
            </w:r>
          </w:p>
        </w:tc>
      </w:tr>
      <w:tr w:rsidR="00E3599D" w:rsidRPr="00E14102" w14:paraId="16F1FCB8" w14:textId="77777777">
        <w:tc>
          <w:tcPr>
            <w:tcW w:w="2093" w:type="dxa"/>
          </w:tcPr>
          <w:p w14:paraId="12E4B1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УТИ2 М22</w:t>
            </w:r>
          </w:p>
        </w:tc>
        <w:tc>
          <w:tcPr>
            <w:tcW w:w="1134" w:type="dxa"/>
          </w:tcPr>
          <w:p w14:paraId="6A8A09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984" w:type="dxa"/>
          </w:tcPr>
          <w:p w14:paraId="4C9161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20</w:t>
            </w:r>
          </w:p>
        </w:tc>
        <w:tc>
          <w:tcPr>
            <w:tcW w:w="6380" w:type="dxa"/>
          </w:tcPr>
          <w:p w14:paraId="0067534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1CC5301" w14:textId="77777777">
        <w:tc>
          <w:tcPr>
            <w:tcW w:w="2093" w:type="dxa"/>
          </w:tcPr>
          <w:p w14:paraId="5C78EE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ДИ-6</w:t>
            </w:r>
          </w:p>
        </w:tc>
        <w:tc>
          <w:tcPr>
            <w:tcW w:w="1134" w:type="dxa"/>
          </w:tcPr>
          <w:p w14:paraId="265C83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984" w:type="dxa"/>
          </w:tcPr>
          <w:p w14:paraId="462C1B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(нет сведений) 10</w:t>
            </w:r>
          </w:p>
        </w:tc>
        <w:tc>
          <w:tcPr>
            <w:tcW w:w="6380" w:type="dxa"/>
          </w:tcPr>
          <w:p w14:paraId="252B1B8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3E7382B" w14:textId="77777777">
        <w:tc>
          <w:tcPr>
            <w:tcW w:w="2093" w:type="dxa"/>
          </w:tcPr>
          <w:p w14:paraId="169906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ИП-1 М25</w:t>
            </w:r>
          </w:p>
          <w:p w14:paraId="07ADBF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Новый Зет ХАИ</w:t>
            </w:r>
          </w:p>
        </w:tc>
        <w:tc>
          <w:tcPr>
            <w:tcW w:w="1134" w:type="dxa"/>
          </w:tcPr>
          <w:p w14:paraId="2F8BF2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p w14:paraId="26EB60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984" w:type="dxa"/>
          </w:tcPr>
          <w:p w14:paraId="2EEA77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w:t>
            </w:r>
          </w:p>
          <w:p w14:paraId="74073C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380" w:type="dxa"/>
          </w:tcPr>
          <w:p w14:paraId="54ADA0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самолетов будут сданы в феврале 1936 года, а остальные 70 должны войти в программу 1936 года в пулеметном варианте на 6 ШКАСов (вместо 2 ШКАСов на первых самолетах).</w:t>
            </w:r>
          </w:p>
        </w:tc>
      </w:tr>
      <w:tr w:rsidR="00E3599D" w:rsidRPr="00E14102" w14:paraId="62676767" w14:textId="77777777">
        <w:tc>
          <w:tcPr>
            <w:tcW w:w="2093" w:type="dxa"/>
          </w:tcPr>
          <w:p w14:paraId="78627E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 2М17</w:t>
            </w:r>
          </w:p>
        </w:tc>
        <w:tc>
          <w:tcPr>
            <w:tcW w:w="1134" w:type="dxa"/>
          </w:tcPr>
          <w:p w14:paraId="759117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984" w:type="dxa"/>
          </w:tcPr>
          <w:p w14:paraId="5A4B6E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380" w:type="dxa"/>
          </w:tcPr>
          <w:p w14:paraId="1AEBC81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454AA18" w14:textId="77777777">
        <w:tc>
          <w:tcPr>
            <w:tcW w:w="2093" w:type="dxa"/>
          </w:tcPr>
          <w:p w14:paraId="33F6C6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 2М17</w:t>
            </w:r>
          </w:p>
        </w:tc>
        <w:tc>
          <w:tcPr>
            <w:tcW w:w="1134" w:type="dxa"/>
          </w:tcPr>
          <w:p w14:paraId="1D36F9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1984" w:type="dxa"/>
          </w:tcPr>
          <w:p w14:paraId="611163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380" w:type="dxa"/>
          </w:tcPr>
          <w:p w14:paraId="7326032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E80762C" w14:textId="77777777">
        <w:tc>
          <w:tcPr>
            <w:tcW w:w="2093" w:type="dxa"/>
          </w:tcPr>
          <w:p w14:paraId="0F0E1E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 3М34Р</w:t>
            </w:r>
          </w:p>
        </w:tc>
        <w:tc>
          <w:tcPr>
            <w:tcW w:w="1134" w:type="dxa"/>
          </w:tcPr>
          <w:p w14:paraId="2BC748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1984" w:type="dxa"/>
          </w:tcPr>
          <w:p w14:paraId="174343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6380" w:type="dxa"/>
          </w:tcPr>
          <w:p w14:paraId="0A86C0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По технической готовности будет выполнено только 5 ед. сдача всех 25 – в 1936 году.</w:t>
            </w:r>
          </w:p>
        </w:tc>
      </w:tr>
      <w:tr w:rsidR="00E3599D" w:rsidRPr="00E14102" w14:paraId="2B003DBB" w14:textId="77777777">
        <w:tc>
          <w:tcPr>
            <w:tcW w:w="2093" w:type="dxa"/>
          </w:tcPr>
          <w:p w14:paraId="51425C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 М17</w:t>
            </w:r>
          </w:p>
        </w:tc>
        <w:tc>
          <w:tcPr>
            <w:tcW w:w="1134" w:type="dxa"/>
          </w:tcPr>
          <w:p w14:paraId="79DD2D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984" w:type="dxa"/>
          </w:tcPr>
          <w:p w14:paraId="3535D4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50</w:t>
            </w:r>
          </w:p>
        </w:tc>
        <w:tc>
          <w:tcPr>
            <w:tcW w:w="6380" w:type="dxa"/>
          </w:tcPr>
          <w:p w14:paraId="6D13C88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ABFD49D" w14:textId="77777777">
        <w:tc>
          <w:tcPr>
            <w:tcW w:w="2093" w:type="dxa"/>
          </w:tcPr>
          <w:p w14:paraId="434CF7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 М11</w:t>
            </w:r>
          </w:p>
        </w:tc>
        <w:tc>
          <w:tcPr>
            <w:tcW w:w="1134" w:type="dxa"/>
          </w:tcPr>
          <w:p w14:paraId="7ABB83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326</w:t>
            </w:r>
          </w:p>
        </w:tc>
        <w:tc>
          <w:tcPr>
            <w:tcW w:w="1984" w:type="dxa"/>
          </w:tcPr>
          <w:p w14:paraId="06B4A7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326</w:t>
            </w:r>
          </w:p>
        </w:tc>
        <w:tc>
          <w:tcPr>
            <w:tcW w:w="6380" w:type="dxa"/>
          </w:tcPr>
          <w:p w14:paraId="5B92688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ED69F37" w14:textId="77777777">
        <w:tc>
          <w:tcPr>
            <w:tcW w:w="2093" w:type="dxa"/>
          </w:tcPr>
          <w:p w14:paraId="4C4C43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всех типов</w:t>
            </w:r>
          </w:p>
        </w:tc>
        <w:tc>
          <w:tcPr>
            <w:tcW w:w="1134" w:type="dxa"/>
          </w:tcPr>
          <w:p w14:paraId="24D5EF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1680</w:t>
            </w:r>
          </w:p>
        </w:tc>
        <w:tc>
          <w:tcPr>
            <w:tcW w:w="1984" w:type="dxa"/>
          </w:tcPr>
          <w:p w14:paraId="3E6320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 1552</w:t>
            </w:r>
          </w:p>
        </w:tc>
        <w:tc>
          <w:tcPr>
            <w:tcW w:w="6380" w:type="dxa"/>
          </w:tcPr>
          <w:p w14:paraId="7BF05A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том числе 20 М34 ФРН</w:t>
            </w:r>
          </w:p>
        </w:tc>
      </w:tr>
      <w:tr w:rsidR="00E3599D" w:rsidRPr="00E14102" w14:paraId="0DC9FC3E" w14:textId="77777777">
        <w:tc>
          <w:tcPr>
            <w:tcW w:w="2093" w:type="dxa"/>
          </w:tcPr>
          <w:p w14:paraId="1AA6D9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М-100 (Испано-Сюиза)</w:t>
            </w:r>
          </w:p>
        </w:tc>
        <w:tc>
          <w:tcPr>
            <w:tcW w:w="1134" w:type="dxa"/>
          </w:tcPr>
          <w:p w14:paraId="0DF77E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984" w:type="dxa"/>
          </w:tcPr>
          <w:p w14:paraId="6AAAC7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(137) 180</w:t>
            </w:r>
          </w:p>
        </w:tc>
        <w:tc>
          <w:tcPr>
            <w:tcW w:w="6380" w:type="dxa"/>
          </w:tcPr>
          <w:p w14:paraId="34B48E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заседанию КО 11 ноября 1935 года Королев называл цифру 500.</w:t>
            </w:r>
          </w:p>
        </w:tc>
      </w:tr>
      <w:tr w:rsidR="00E3599D" w:rsidRPr="00E14102" w14:paraId="4C4D159C" w14:textId="77777777">
        <w:tc>
          <w:tcPr>
            <w:tcW w:w="2093" w:type="dxa"/>
          </w:tcPr>
          <w:p w14:paraId="18DE92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М-25 (Райт-Циклон)</w:t>
            </w:r>
          </w:p>
        </w:tc>
        <w:tc>
          <w:tcPr>
            <w:tcW w:w="1134" w:type="dxa"/>
          </w:tcPr>
          <w:p w14:paraId="2DB704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1984" w:type="dxa"/>
          </w:tcPr>
          <w:p w14:paraId="612C1F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(нет сведений) 650</w:t>
            </w:r>
          </w:p>
        </w:tc>
        <w:tc>
          <w:tcPr>
            <w:tcW w:w="6380" w:type="dxa"/>
          </w:tcPr>
          <w:p w14:paraId="74CF35B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B2571FD" w14:textId="77777777">
        <w:tc>
          <w:tcPr>
            <w:tcW w:w="2093" w:type="dxa"/>
          </w:tcPr>
          <w:p w14:paraId="4442D1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М-22</w:t>
            </w:r>
          </w:p>
        </w:tc>
        <w:tc>
          <w:tcPr>
            <w:tcW w:w="1134" w:type="dxa"/>
          </w:tcPr>
          <w:p w14:paraId="525994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984" w:type="dxa"/>
          </w:tcPr>
          <w:p w14:paraId="519DB5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(нет сведений) 700</w:t>
            </w:r>
          </w:p>
        </w:tc>
        <w:tc>
          <w:tcPr>
            <w:tcW w:w="6380" w:type="dxa"/>
          </w:tcPr>
          <w:p w14:paraId="2A3700C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4C67915" w14:textId="77777777">
        <w:tc>
          <w:tcPr>
            <w:tcW w:w="2093" w:type="dxa"/>
          </w:tcPr>
          <w:p w14:paraId="0692CA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М-11</w:t>
            </w:r>
          </w:p>
        </w:tc>
        <w:tc>
          <w:tcPr>
            <w:tcW w:w="1134" w:type="dxa"/>
          </w:tcPr>
          <w:p w14:paraId="486AD2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1505</w:t>
            </w:r>
          </w:p>
        </w:tc>
        <w:tc>
          <w:tcPr>
            <w:tcW w:w="1984" w:type="dxa"/>
          </w:tcPr>
          <w:p w14:paraId="45170A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(нет сведений) 1361</w:t>
            </w:r>
          </w:p>
        </w:tc>
        <w:tc>
          <w:tcPr>
            <w:tcW w:w="6380" w:type="dxa"/>
          </w:tcPr>
          <w:p w14:paraId="200AAE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 16 предлагается установить программу по М-11 в 200 ед., вместо 800.</w:t>
            </w:r>
          </w:p>
        </w:tc>
      </w:tr>
      <w:tr w:rsidR="00E3599D" w:rsidRPr="00E14102" w14:paraId="70055E03" w14:textId="77777777">
        <w:tc>
          <w:tcPr>
            <w:tcW w:w="2093" w:type="dxa"/>
          </w:tcPr>
          <w:p w14:paraId="5D1FFF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М-75 (К-9 Гном-Рон)</w:t>
            </w:r>
          </w:p>
        </w:tc>
        <w:tc>
          <w:tcPr>
            <w:tcW w:w="1134" w:type="dxa"/>
          </w:tcPr>
          <w:p w14:paraId="2FA19D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984" w:type="dxa"/>
          </w:tcPr>
          <w:p w14:paraId="663222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5</w:t>
            </w:r>
          </w:p>
        </w:tc>
        <w:tc>
          <w:tcPr>
            <w:tcW w:w="6380" w:type="dxa"/>
          </w:tcPr>
          <w:p w14:paraId="2C69C0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М-75 предлагается в 1936 году снять с производства.</w:t>
            </w:r>
          </w:p>
        </w:tc>
      </w:tr>
      <w:tr w:rsidR="00E3599D" w:rsidRPr="00E14102" w14:paraId="35D78253" w14:textId="77777777">
        <w:tc>
          <w:tcPr>
            <w:tcW w:w="2093" w:type="dxa"/>
          </w:tcPr>
          <w:p w14:paraId="18F49C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М-85 (К-14 Гном Рон)</w:t>
            </w:r>
          </w:p>
        </w:tc>
        <w:tc>
          <w:tcPr>
            <w:tcW w:w="1134" w:type="dxa"/>
          </w:tcPr>
          <w:p w14:paraId="7B13FF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984" w:type="dxa"/>
          </w:tcPr>
          <w:p w14:paraId="492F95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5</w:t>
            </w:r>
          </w:p>
        </w:tc>
        <w:tc>
          <w:tcPr>
            <w:tcW w:w="6380" w:type="dxa"/>
          </w:tcPr>
          <w:p w14:paraId="418F69B8" w14:textId="77777777" w:rsidR="00D4105E" w:rsidRPr="00E14102" w:rsidRDefault="00D4105E" w:rsidP="00E14102">
            <w:pPr>
              <w:autoSpaceDE w:val="0"/>
              <w:autoSpaceDN w:val="0"/>
              <w:adjustRightInd w:val="0"/>
              <w:jc w:val="both"/>
              <w:rPr>
                <w:color w:val="000000" w:themeColor="text1"/>
                <w:sz w:val="16"/>
                <w:szCs w:val="16"/>
              </w:rPr>
            </w:pPr>
          </w:p>
        </w:tc>
      </w:tr>
    </w:tbl>
    <w:p w14:paraId="27AF72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(3527, 123-124).</w:t>
      </w:r>
    </w:p>
    <w:p w14:paraId="10D256B2" w14:textId="77777777" w:rsidR="00D4105E" w:rsidRPr="00E14102" w:rsidRDefault="00D4105E" w:rsidP="00E14102">
      <w:pPr>
        <w:autoSpaceDE w:val="0"/>
        <w:autoSpaceDN w:val="0"/>
        <w:adjustRightInd w:val="0"/>
        <w:jc w:val="both"/>
        <w:rPr>
          <w:color w:val="000000" w:themeColor="text1"/>
          <w:sz w:val="16"/>
          <w:szCs w:val="16"/>
        </w:rPr>
      </w:pPr>
    </w:p>
    <w:p w14:paraId="70549273" w14:textId="77777777" w:rsidR="00B27DAD" w:rsidRPr="00E14102" w:rsidRDefault="00B27DAD" w:rsidP="00E14102">
      <w:pPr>
        <w:tabs>
          <w:tab w:val="left" w:pos="360"/>
        </w:tabs>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78330EC" w14:textId="77777777" w:rsidR="00B27DAD" w:rsidRPr="00E14102" w:rsidRDefault="00B27DAD" w:rsidP="00E14102">
      <w:pPr>
        <w:tabs>
          <w:tab w:val="left" w:pos="360"/>
        </w:tabs>
        <w:autoSpaceDE w:val="0"/>
        <w:autoSpaceDN w:val="0"/>
        <w:adjustRightInd w:val="0"/>
        <w:jc w:val="both"/>
        <w:rPr>
          <w:iCs/>
          <w:color w:val="000000" w:themeColor="text1"/>
          <w:sz w:val="16"/>
          <w:szCs w:val="16"/>
        </w:rPr>
      </w:pPr>
    </w:p>
    <w:p w14:paraId="7EF8C458" w14:textId="77777777" w:rsidR="00B27DAD" w:rsidRPr="00E14102" w:rsidRDefault="00B27DAD" w:rsidP="00E14102">
      <w:pPr>
        <w:jc w:val="both"/>
        <w:rPr>
          <w:color w:val="000000" w:themeColor="text1"/>
          <w:sz w:val="16"/>
          <w:szCs w:val="16"/>
        </w:rPr>
      </w:pPr>
      <w:r w:rsidRPr="00E14102">
        <w:rPr>
          <w:color w:val="000000" w:themeColor="text1"/>
          <w:sz w:val="16"/>
          <w:szCs w:val="16"/>
        </w:rPr>
        <w:t>С 27 ноября 1935 года по 6 января 1936 года по маршруту Брянск - Смоленск - Орел (пробег 1576 км) испытывалась штабная бронедрезина (ДШ), дрезина-транспортер (ДТР) - с 7 по 24 января 1936 года. Эти пробеги позволили внести небольшие изменения в конструкцию дрезин для более надежной их работы. Одновременно с этим велся выбор предприятия для организации серийного изготовления бронедрезин. Выбор был сделан в пользу Подольского крекинго-элект-ровозостроительного завода - это предприятие к этому времени уже имело опыт производства бронекорпусов для танкеток Т-27 и танков Т-37 (18626). </w:t>
      </w:r>
    </w:p>
    <w:p w14:paraId="2891527D" w14:textId="77777777" w:rsidR="00B27DAD" w:rsidRPr="00E14102" w:rsidRDefault="00B27DAD" w:rsidP="00E14102">
      <w:pPr>
        <w:jc w:val="both"/>
        <w:rPr>
          <w:color w:val="000000" w:themeColor="text1"/>
          <w:sz w:val="16"/>
          <w:szCs w:val="16"/>
        </w:rPr>
      </w:pPr>
    </w:p>
    <w:p w14:paraId="6A165C4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6DDF118" w14:textId="77777777" w:rsidR="00D4105E" w:rsidRPr="00E14102" w:rsidRDefault="00D4105E" w:rsidP="00E14102">
      <w:pPr>
        <w:autoSpaceDE w:val="0"/>
        <w:autoSpaceDN w:val="0"/>
        <w:adjustRightInd w:val="0"/>
        <w:jc w:val="both"/>
        <w:rPr>
          <w:iCs/>
          <w:color w:val="000000" w:themeColor="text1"/>
          <w:sz w:val="16"/>
          <w:szCs w:val="16"/>
        </w:rPr>
      </w:pPr>
    </w:p>
    <w:p w14:paraId="3B770A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ноября 1935 года закончились экспериментальные испытания опытного самолета Э-1 с мотором М-48 (изготовленного из магниевых сплавов типа “Электрон” - конструкции и постройки завода N 1 ГУАПа, которые проходили с 8 октября 1935.</w:t>
      </w:r>
    </w:p>
    <w:p w14:paraId="60DA8F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3BCC0B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 - Слободчиков</w:t>
      </w:r>
    </w:p>
    <w:p w14:paraId="1DD118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летчик – Стефановский</w:t>
      </w:r>
    </w:p>
    <w:p w14:paraId="79B49F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215890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Полетные испытания самолета Э-1 и лабораторная проверка магниевых сплавов типа “Электрон” имели целью дать ответ о пригодности этих сплавов как конструктивного материала для самолетостроения и в частности, выявления коррозионной устойчивости их в условиях эксплуатации самолета на сухопутном аэродроме.</w:t>
      </w:r>
    </w:p>
    <w:p w14:paraId="5D9D06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полетные испытания должны были дать аэродинамическую характеристику самолета Э-1.</w:t>
      </w:r>
    </w:p>
    <w:p w14:paraId="6C1883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Э-1 по своим аэродинамическим качествам не имеет чего-либо оригинального и представляет собой обычный моноплан с низко расположенным крылом. В ряду других машин легкомоторной авиации он не имеет каких-либо основных преимуществ.</w:t>
      </w:r>
    </w:p>
    <w:p w14:paraId="038A4A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применение магниевых сплавов типа “Электрон” в этом самолете сказалось в том, что отношение полезной нагрузки к полетному весу, выражающемуся цифрой 0,415 выделяет его как машину имеющую самый высокий показатель в этом отношении.</w:t>
      </w:r>
    </w:p>
    <w:p w14:paraId="6B5ED8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Следует заметить, что самолет Э-1 является опытным и в нем есть ряд элементов, которые не могут быть в серийных машинах. Кроме того при серийном производстве сама конструкция самолета будет более совершенной ……….</w:t>
      </w:r>
    </w:p>
    <w:p w14:paraId="30B720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C57564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Рекомендовать постройку из магниевых сплавов 4-5 машин по своим аэродинамическим качествам стоящих на уровне современных требований к боевым самолетам, с последующим широким испытанием таковых не только на сухопутном аэродроме, но и в условиях морской авиации (3932).</w:t>
      </w:r>
    </w:p>
    <w:p w14:paraId="3D9654B6"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4B3C9F76" w14:textId="77777777" w:rsidR="009C1277" w:rsidRPr="00E14102" w:rsidRDefault="009C1277" w:rsidP="00E14102">
      <w:pPr>
        <w:jc w:val="both"/>
        <w:rPr>
          <w:color w:val="000000" w:themeColor="text1"/>
          <w:sz w:val="16"/>
          <w:szCs w:val="16"/>
        </w:rPr>
      </w:pPr>
      <w:r w:rsidRPr="00E14102">
        <w:rPr>
          <w:color w:val="000000" w:themeColor="text1"/>
          <w:sz w:val="16"/>
          <w:szCs w:val="16"/>
        </w:rPr>
        <w:t>28 ноября 1935 г. закончились госиспытания самолёта Э-1, которые проходили с 8 октября. Их основной целью было выяснение механических свойства электрона в условиях полётных нагрузок и его коррозионной стойкости, поэтому полёты в основном сводились к взлёту и посадке, лётные характеристики машины большого интереса не представляли. Общая продолжительность 253 полётов составила всего 22 часа 35 мин., то есть каждый полёт в среднем продолжался немногим более пяти минут. Ведущим лётчиком-испытателем был П.М. Стефановский.</w:t>
      </w:r>
    </w:p>
    <w:p w14:paraId="6FBE476F" w14:textId="77777777" w:rsidR="009C1277" w:rsidRPr="00E14102" w:rsidRDefault="009C1277" w:rsidP="00E14102">
      <w:pPr>
        <w:jc w:val="both"/>
        <w:rPr>
          <w:color w:val="000000" w:themeColor="text1"/>
          <w:sz w:val="16"/>
          <w:szCs w:val="16"/>
        </w:rPr>
      </w:pPr>
      <w:r w:rsidRPr="00E14102">
        <w:rPr>
          <w:color w:val="000000" w:themeColor="text1"/>
          <w:sz w:val="16"/>
          <w:szCs w:val="16"/>
        </w:rPr>
        <w:t>Электронный самолёт существенно превосходил другие машины того же класса по относительному весу полезной нагрузки (0,415). Правда, на лётных характеристиках это никак не сказалось, так как в отношении аэродинамики Э-1 был далек от совершенства.</w:t>
      </w:r>
    </w:p>
    <w:p w14:paraId="71C757CB" w14:textId="77777777" w:rsidR="009C1277" w:rsidRPr="00E14102" w:rsidRDefault="009C1277" w:rsidP="00E14102">
      <w:pPr>
        <w:jc w:val="both"/>
        <w:rPr>
          <w:color w:val="000000" w:themeColor="text1"/>
          <w:sz w:val="16"/>
          <w:szCs w:val="16"/>
        </w:rPr>
      </w:pPr>
      <w:r w:rsidRPr="00E14102">
        <w:rPr>
          <w:color w:val="000000" w:themeColor="text1"/>
          <w:sz w:val="16"/>
          <w:szCs w:val="16"/>
        </w:rPr>
        <w:t>В выводах по испытаниям отмечалось:</w:t>
      </w:r>
    </w:p>
    <w:p w14:paraId="07800B4C" w14:textId="77777777" w:rsidR="009C1277" w:rsidRPr="00E14102" w:rsidRDefault="009C1277" w:rsidP="00E14102">
      <w:pPr>
        <w:jc w:val="both"/>
        <w:rPr>
          <w:color w:val="000000" w:themeColor="text1"/>
          <w:sz w:val="16"/>
          <w:szCs w:val="16"/>
        </w:rPr>
      </w:pPr>
      <w:r w:rsidRPr="00E14102">
        <w:rPr>
          <w:color w:val="000000" w:themeColor="text1"/>
          <w:sz w:val="16"/>
          <w:szCs w:val="16"/>
        </w:rPr>
        <w:t>«1. Попытку внедрения магниевых сплавов типа „электрон“ как конструкционного материала самолётостроения на примере самолёта Э-1 надо считать удавшейся. Конструктивное оформление самолётов из магниевых сплавов возможно имеет все данные к широкому развитию и может дать выигрыш в весе конструкции как минимум 10–12 % сравнительно с дюралем и другими алюминиевыми сплавами.</w:t>
      </w:r>
    </w:p>
    <w:p w14:paraId="563E2286" w14:textId="77777777" w:rsidR="009C1277" w:rsidRPr="00E14102" w:rsidRDefault="009C1277" w:rsidP="00E14102">
      <w:pPr>
        <w:jc w:val="both"/>
        <w:rPr>
          <w:color w:val="000000" w:themeColor="text1"/>
          <w:sz w:val="16"/>
          <w:szCs w:val="16"/>
        </w:rPr>
      </w:pPr>
      <w:r w:rsidRPr="00E14102">
        <w:rPr>
          <w:color w:val="000000" w:themeColor="text1"/>
          <w:sz w:val="16"/>
          <w:szCs w:val="16"/>
        </w:rPr>
        <w:t>2. Строительство самолётов из магниевых сплавов может быть обеспечено как широкой собственной сырьевой базой, так и полуфабрикатами отечественного производства (завод № 95, завод им. Ворошилова).</w:t>
      </w:r>
    </w:p>
    <w:p w14:paraId="28BF4633" w14:textId="77777777" w:rsidR="009C1277" w:rsidRPr="00E14102" w:rsidRDefault="009C1277" w:rsidP="00E14102">
      <w:pPr>
        <w:jc w:val="both"/>
        <w:rPr>
          <w:color w:val="000000" w:themeColor="text1"/>
          <w:sz w:val="16"/>
          <w:szCs w:val="16"/>
        </w:rPr>
      </w:pPr>
      <w:r w:rsidRPr="00E14102">
        <w:rPr>
          <w:color w:val="000000" w:themeColor="text1"/>
          <w:sz w:val="16"/>
          <w:szCs w:val="16"/>
        </w:rPr>
        <w:t xml:space="preserve">3. 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их от коррозии (хромпиковая оксидная плёнка и лакокрасочное покрытие). Таким образом, малая стойкость магниевых сплавов против коррозии в настоящее время не может быть препятствием к дальнейшему их внедрению в строительство самолётов…Рекомендовать постройку из магниевых сплавов 4–5 машин, по своим аэродинамическим качествам стоящих на уровне современных требований к боевым самолётам, с последующим широким испытанием таковых не только на сухопутном аэродроме, но и в условиях морской авиации» </w:t>
      </w:r>
      <w:hyperlink r:id="rId219" w:history="1">
        <w:r w:rsidRPr="00E14102">
          <w:rPr>
            <w:color w:val="000000" w:themeColor="text1"/>
            <w:sz w:val="16"/>
            <w:szCs w:val="16"/>
          </w:rPr>
          <w:t>[149]</w:t>
        </w:r>
      </w:hyperlink>
      <w:r w:rsidRPr="00E14102">
        <w:rPr>
          <w:color w:val="000000" w:themeColor="text1"/>
          <w:sz w:val="16"/>
          <w:szCs w:val="16"/>
        </w:rPr>
        <w:t xml:space="preserve"> (17489).</w:t>
      </w:r>
    </w:p>
    <w:p w14:paraId="4CF4CBFF" w14:textId="77777777" w:rsidR="009C1277" w:rsidRPr="00E14102" w:rsidRDefault="009C1277" w:rsidP="00E14102">
      <w:pPr>
        <w:jc w:val="both"/>
        <w:rPr>
          <w:color w:val="000000" w:themeColor="text1"/>
          <w:sz w:val="16"/>
          <w:szCs w:val="16"/>
        </w:rPr>
      </w:pPr>
    </w:p>
    <w:p w14:paraId="6642DBB0" w14:textId="77777777" w:rsidR="00D4105E" w:rsidRPr="00E14102" w:rsidRDefault="004B7965" w:rsidP="00E14102">
      <w:pPr>
        <w:tabs>
          <w:tab w:val="left" w:pos="360"/>
        </w:tabs>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DF2D7EA" w14:textId="77777777" w:rsidR="00D4105E" w:rsidRPr="00E14102" w:rsidRDefault="00D4105E" w:rsidP="00E14102">
      <w:pPr>
        <w:tabs>
          <w:tab w:val="left" w:pos="360"/>
        </w:tabs>
        <w:autoSpaceDE w:val="0"/>
        <w:autoSpaceDN w:val="0"/>
        <w:adjustRightInd w:val="0"/>
        <w:jc w:val="both"/>
        <w:rPr>
          <w:iCs/>
          <w:color w:val="000000" w:themeColor="text1"/>
          <w:sz w:val="16"/>
          <w:szCs w:val="16"/>
        </w:rPr>
      </w:pPr>
    </w:p>
    <w:p w14:paraId="5851F1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ноября 1935 г. г. Ленинграде приказом Наркомата пищевой промышленности СССР был создан Всесоюзный научно-исследовательский витаминный институт (ВНИВИ). В декабре 1942 г. переведен в г. Москву (12102).</w:t>
      </w:r>
    </w:p>
    <w:p w14:paraId="5AB7AA08" w14:textId="77777777" w:rsidR="00CA3055" w:rsidRPr="00E14102" w:rsidRDefault="00CA3055" w:rsidP="00E14102">
      <w:pPr>
        <w:tabs>
          <w:tab w:val="left" w:pos="360"/>
        </w:tabs>
        <w:autoSpaceDE w:val="0"/>
        <w:autoSpaceDN w:val="0"/>
        <w:adjustRightInd w:val="0"/>
        <w:jc w:val="both"/>
        <w:rPr>
          <w:iCs/>
          <w:color w:val="000000" w:themeColor="text1"/>
          <w:sz w:val="16"/>
          <w:szCs w:val="16"/>
        </w:rPr>
      </w:pPr>
    </w:p>
    <w:p w14:paraId="5302E872" w14:textId="77777777" w:rsidR="00D4105E" w:rsidRPr="00E14102" w:rsidRDefault="004B7965" w:rsidP="00E14102">
      <w:pPr>
        <w:tabs>
          <w:tab w:val="left" w:pos="360"/>
        </w:tabs>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19C3AB3" w14:textId="77777777" w:rsidR="00D4105E" w:rsidRPr="00E14102" w:rsidRDefault="00D4105E" w:rsidP="00E14102">
      <w:pPr>
        <w:tabs>
          <w:tab w:val="left" w:pos="360"/>
        </w:tabs>
        <w:autoSpaceDE w:val="0"/>
        <w:autoSpaceDN w:val="0"/>
        <w:adjustRightInd w:val="0"/>
        <w:jc w:val="both"/>
        <w:rPr>
          <w:iCs/>
          <w:color w:val="000000" w:themeColor="text1"/>
          <w:sz w:val="16"/>
          <w:szCs w:val="16"/>
        </w:rPr>
      </w:pPr>
    </w:p>
    <w:p w14:paraId="5184C4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28 ноября и 12 декабря 1935. Протокол заседания Политбюро № 35, 1935 г.</w:t>
      </w:r>
    </w:p>
    <w:p w14:paraId="6D6CF2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 преследовании стахановцев-кривоносовцев </w:t>
      </w:r>
    </w:p>
    <w:p w14:paraId="07AE81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Считать необходимым поставить открытый судебный процесс по делам о преследовании стахановцев-кривоносовцев в депо Лихоборы Московской окружной железной дороги и на станции Ворожба Западной железной дороги с применением к обвиняемым Зерину и Воропай 10 лет заключения (11652).</w:t>
      </w:r>
    </w:p>
    <w:p w14:paraId="4C9F44E3" w14:textId="77777777" w:rsidR="00D4105E" w:rsidRPr="00E14102" w:rsidRDefault="00D4105E" w:rsidP="00E14102">
      <w:pPr>
        <w:autoSpaceDE w:val="0"/>
        <w:autoSpaceDN w:val="0"/>
        <w:adjustRightInd w:val="0"/>
        <w:jc w:val="both"/>
        <w:rPr>
          <w:iCs/>
          <w:color w:val="000000" w:themeColor="text1"/>
          <w:sz w:val="16"/>
          <w:szCs w:val="16"/>
        </w:rPr>
      </w:pPr>
    </w:p>
    <w:p w14:paraId="15229D9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C05987A" w14:textId="77777777" w:rsidR="00D4105E" w:rsidRPr="00E14102" w:rsidRDefault="00D4105E" w:rsidP="00E14102">
      <w:pPr>
        <w:autoSpaceDE w:val="0"/>
        <w:autoSpaceDN w:val="0"/>
        <w:adjustRightInd w:val="0"/>
        <w:jc w:val="both"/>
        <w:rPr>
          <w:iCs/>
          <w:color w:val="000000" w:themeColor="text1"/>
          <w:sz w:val="16"/>
          <w:szCs w:val="16"/>
        </w:rPr>
      </w:pPr>
    </w:p>
    <w:p w14:paraId="3D836964" w14:textId="77777777" w:rsidR="00FB3896" w:rsidRPr="00E14102" w:rsidRDefault="00FB3896" w:rsidP="00E14102">
      <w:pPr>
        <w:pStyle w:val="ad"/>
        <w:spacing w:before="0" w:after="0"/>
        <w:rPr>
          <w:rFonts w:ascii="Times New Roman" w:hAnsi="Times New Roman" w:cs="Times New Roman"/>
          <w:color w:val="0070C0"/>
          <w:sz w:val="16"/>
          <w:szCs w:val="16"/>
          <w:lang w:val="ru-RU"/>
        </w:rPr>
      </w:pPr>
      <w:r w:rsidRPr="00E14102">
        <w:rPr>
          <w:rFonts w:ascii="Times New Roman" w:hAnsi="Times New Roman" w:cs="Times New Roman"/>
          <w:color w:val="0070C0"/>
          <w:sz w:val="16"/>
          <w:szCs w:val="16"/>
          <w:lang w:val="ru-RU"/>
        </w:rPr>
        <w:t>28 ноября 1935 премьер-министр Бенито Муссолини (1883-1945) заменил осторожного генерала Э. де Боно, решительным генералом П. Бадольо (1871-1956). Он и взял на себя ответственность за применение химического оружия в этой войне.</w:t>
      </w:r>
    </w:p>
    <w:p w14:paraId="756F0641" w14:textId="77777777" w:rsidR="00FB3896" w:rsidRPr="00E14102" w:rsidRDefault="00FB3896" w:rsidP="00E14102">
      <w:pPr>
        <w:pStyle w:val="ad"/>
        <w:spacing w:before="0" w:after="0"/>
        <w:rPr>
          <w:rFonts w:ascii="Times New Roman" w:hAnsi="Times New Roman" w:cs="Times New Roman"/>
          <w:color w:val="0070C0"/>
          <w:sz w:val="16"/>
          <w:szCs w:val="16"/>
          <w:lang w:val="ru-RU"/>
        </w:rPr>
      </w:pPr>
      <w:r w:rsidRPr="00E14102">
        <w:rPr>
          <w:rFonts w:ascii="Times New Roman" w:hAnsi="Times New Roman" w:cs="Times New Roman"/>
          <w:color w:val="0070C0"/>
          <w:sz w:val="16"/>
          <w:szCs w:val="16"/>
          <w:lang w:val="ru-RU"/>
        </w:rPr>
        <w:t>Сначала применение ОВ итальянской армией выглядело как импровизация. Итальянцы сбрасывали бомбы со слезоточивым газом, но абиссинцы быстро поняли, с чем они имеют дело, и разбегались в момент итальянской химической атаки. В этот период итальянская армия применяла и иприт, но очень примитивно. Итальянские самолеты сбрасывали небольшие бочки с этим ОВ, но жертвами становилось лишь очень небольшое число людей, а заражению подвергалась совсем незначительная территория. С каждым месяцем войны применение ОВ итальянцами становилось все более умелым и массированным (20246).</w:t>
      </w:r>
    </w:p>
    <w:p w14:paraId="3F4FDF27" w14:textId="77777777" w:rsidR="00FB3896" w:rsidRPr="00E14102" w:rsidRDefault="00FB3896" w:rsidP="00E14102">
      <w:pPr>
        <w:jc w:val="both"/>
        <w:rPr>
          <w:color w:val="0070C0"/>
          <w:sz w:val="16"/>
          <w:szCs w:val="16"/>
        </w:rPr>
      </w:pPr>
    </w:p>
    <w:p w14:paraId="2DB777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ноября 1935 в Германии все мужчины в возрасте от 18 до 45 были объявлены резервистами (2100).</w:t>
      </w:r>
    </w:p>
    <w:p w14:paraId="727455BD" w14:textId="77777777" w:rsidR="00D4105E" w:rsidRPr="00E14102" w:rsidRDefault="00D4105E" w:rsidP="00E14102">
      <w:pPr>
        <w:autoSpaceDE w:val="0"/>
        <w:autoSpaceDN w:val="0"/>
        <w:adjustRightInd w:val="0"/>
        <w:jc w:val="both"/>
        <w:rPr>
          <w:color w:val="000000" w:themeColor="text1"/>
          <w:sz w:val="16"/>
          <w:szCs w:val="16"/>
        </w:rPr>
      </w:pPr>
    </w:p>
    <w:p w14:paraId="740A2B1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524263D" w14:textId="77777777" w:rsidR="00D4105E" w:rsidRPr="00E14102" w:rsidRDefault="00D4105E" w:rsidP="00E14102">
      <w:pPr>
        <w:autoSpaceDE w:val="0"/>
        <w:autoSpaceDN w:val="0"/>
        <w:adjustRightInd w:val="0"/>
        <w:jc w:val="both"/>
        <w:rPr>
          <w:iCs/>
          <w:color w:val="000000" w:themeColor="text1"/>
          <w:sz w:val="16"/>
          <w:szCs w:val="16"/>
        </w:rPr>
      </w:pPr>
    </w:p>
    <w:p w14:paraId="16DBC90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 ноября 1935 года Начальник управления ВВС Алкснис утвердил Отчет о гос. испытаниях самолета ТБ-3 4М34-РН, эталона 1935 года (6679).</w:t>
      </w:r>
    </w:p>
    <w:p w14:paraId="08BAF2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начато 17 августа 1935 года</w:t>
      </w:r>
    </w:p>
    <w:p w14:paraId="07032D4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окончено 26 октября 1935 года</w:t>
      </w:r>
    </w:p>
    <w:p w14:paraId="1FEBAF7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2FB833F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Белозеров И.П.</w:t>
      </w:r>
    </w:p>
    <w:p w14:paraId="48AD5C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Цель испытаний</w:t>
      </w:r>
    </w:p>
    <w:p w14:paraId="3DCBEE1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эталона самолета ТБ-3 4М 34РН с целью выявления летных, эксплуатационных и весовых характеристик.</w:t>
      </w:r>
    </w:p>
    <w:p w14:paraId="5378E47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Сравнение полученных на эталоне данных с данными предыдущих испытаний других тяжелых самолетов.</w:t>
      </w:r>
    </w:p>
    <w:p w14:paraId="5FE2288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стрелкового и бомбардировочного вооружения и спецоборудования.</w:t>
      </w:r>
    </w:p>
    <w:p w14:paraId="0238FD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испытывался на земле и в воздухе 22 дня, налетал 97 часов.</w:t>
      </w:r>
    </w:p>
    <w:p w14:paraId="5F680E9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6049AA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ТБ-3 4М 34РН в предъявленном на гос. испытания виде, по своему состоянию, по состоянию винтомоторной группы, вооружения и кислородного оборудования, не может быть допущен в качестве эталона для постройки серийных самолетов без устранения выявленных в процессе испытаний основных дефектов (6679).</w:t>
      </w:r>
    </w:p>
    <w:p w14:paraId="69AE342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5B130E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ноября 1935 Нач. ВВС Алкснис утвердил Отчет о гос. испытаниях ТБ-3 4М-34РН эталона 1935, которые проходили с 17 августа по 26 октября 1935 (2934).</w:t>
      </w:r>
    </w:p>
    <w:p w14:paraId="051BC67B" w14:textId="77777777" w:rsidR="00D4105E" w:rsidRPr="00E14102" w:rsidRDefault="00D4105E" w:rsidP="00E14102">
      <w:pPr>
        <w:autoSpaceDE w:val="0"/>
        <w:autoSpaceDN w:val="0"/>
        <w:adjustRightInd w:val="0"/>
        <w:jc w:val="both"/>
        <w:rPr>
          <w:color w:val="000000" w:themeColor="text1"/>
          <w:sz w:val="16"/>
          <w:szCs w:val="16"/>
        </w:rPr>
      </w:pPr>
    </w:p>
    <w:p w14:paraId="159A20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ноября 1935 закончились совместные полигонные и заводские испытания стрелкового, бомбардировочного и химического вооружения на самолете ДИ-6 в варианте штурмовика, предъявленного заводом N 39, которые шли с 31 октября.</w:t>
      </w:r>
    </w:p>
    <w:p w14:paraId="54D7AA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70B9DA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 в/кв. 4 отд. Воротников, Никольский.</w:t>
      </w:r>
    </w:p>
    <w:p w14:paraId="24FE40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8F1B6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Предъявленное заводом N 39 стрелковое и химическое вооружение на самолете ДИ-6 в варианте штурмовика - полигонные испытания выдержало, при условии, что в изготовлении серии самолетов должны быть устранены отмеченные недостатки.</w:t>
      </w:r>
    </w:p>
    <w:p w14:paraId="7C017A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Предъявленный с самолетом ДИ-6 (в варианте штурмовика) модернизированный выливной авиационный прибор (ВАП-6) испытание выдержал как удовлетворяющий тактико-техническим требованиям.</w:t>
      </w:r>
    </w:p>
    <w:p w14:paraId="5FCF0D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Полетные испытания бомбардировочного вооружения на самолете ДИ-6 в варианте штурмовика полностью не закончены вследствие порчи мотора (3081).</w:t>
      </w:r>
    </w:p>
    <w:p w14:paraId="254A0F3C" w14:textId="77777777" w:rsidR="00D4105E" w:rsidRPr="00E14102" w:rsidRDefault="00D4105E" w:rsidP="00E14102">
      <w:pPr>
        <w:autoSpaceDE w:val="0"/>
        <w:autoSpaceDN w:val="0"/>
        <w:adjustRightInd w:val="0"/>
        <w:jc w:val="both"/>
        <w:rPr>
          <w:color w:val="000000" w:themeColor="text1"/>
          <w:sz w:val="16"/>
          <w:szCs w:val="16"/>
        </w:rPr>
      </w:pPr>
    </w:p>
    <w:p w14:paraId="25374A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ноября 1935 года закончились совместные полигонные и заводские испытания стрелкового, бомбардировочного и химического вооружения на самолете ДИ-6 в варианте штурмовика, предъявленного заводом № 39, которые проходили с 31 октября 1935.</w:t>
      </w:r>
    </w:p>
    <w:p w14:paraId="552E81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w:t>
      </w:r>
    </w:p>
    <w:p w14:paraId="742240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610518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 в/к 4 отдела Воротников</w:t>
      </w:r>
    </w:p>
    <w:p w14:paraId="1B7D4C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 в/к 4 отдела Никольский</w:t>
      </w:r>
    </w:p>
    <w:p w14:paraId="30F5D9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6294EB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Степень выполнения промышленностью тактико-технических требований, предъявляемых к стрелковому, бомбардировочному и химическому вооружению, установленному на самолете ДИ-6 в варианте штурмовика.</w:t>
      </w:r>
    </w:p>
    <w:p w14:paraId="061EE3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9FF62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Предъявленное заводом № 39 стрелковое и химическое вооружение на самолете ДИ-6 в варианте штурмовика полигонные испытания выдержало при условии, что в изготовлении серии самолетов должны быть устранены недостатки.</w:t>
      </w:r>
    </w:p>
    <w:p w14:paraId="05826B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Полетные испытания бомбардировочного вооружения на самолете ДИ-6 в варианте штурмовика полностью не закончены вследствие порчи мотора.</w:t>
      </w:r>
    </w:p>
    <w:p w14:paraId="776C55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 состоит из двух пулеметных батарей по два пулемета ПВ-1 в каждой батареи, установленными по одной батарее под нижними плоскостями самолета.</w:t>
      </w:r>
    </w:p>
    <w:p w14:paraId="12257E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438168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 – прибор ВАП-6 стандартного типа модернизирован в части подвесных приспособлений и управления ……………………………….(7397, 30-57).</w:t>
      </w:r>
    </w:p>
    <w:p w14:paraId="5681FDFC" w14:textId="77777777" w:rsidR="00D4105E" w:rsidRPr="00E14102" w:rsidRDefault="00D4105E" w:rsidP="00E14102">
      <w:pPr>
        <w:autoSpaceDE w:val="0"/>
        <w:autoSpaceDN w:val="0"/>
        <w:adjustRightInd w:val="0"/>
        <w:jc w:val="both"/>
        <w:rPr>
          <w:color w:val="000000" w:themeColor="text1"/>
          <w:sz w:val="16"/>
          <w:szCs w:val="16"/>
        </w:rPr>
      </w:pPr>
    </w:p>
    <w:p w14:paraId="53F994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ноября 1935 года врид. районного инженера УВС на заводе N 39 Букаенский писал письмо N 0328 начальнику 4 отдела УВС.</w:t>
      </w:r>
    </w:p>
    <w:p w14:paraId="28B07E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сем препровождаю полный отчет пом. военпреда инж. Кислицина о войсковых испытаниях И-16 М-22 в Брянске.</w:t>
      </w:r>
    </w:p>
    <w:p w14:paraId="15E26F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Отчет</w:t>
      </w:r>
    </w:p>
    <w:p w14:paraId="2AE438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войсковых испытаниях самолета ЦКБ-12 с М-22.</w:t>
      </w:r>
    </w:p>
    <w:p w14:paraId="1055F7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Войсковые испытания самолетов ЦКБ-12 М-22 производства завода N 39 производились в/ч 1352.</w:t>
      </w:r>
    </w:p>
    <w:p w14:paraId="4D0BA3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Начало испытаний 28 сентября и окончание 4 ноября 1935 года (3120,170-218).</w:t>
      </w:r>
    </w:p>
    <w:p w14:paraId="52913406" w14:textId="77777777" w:rsidR="00D4105E" w:rsidRPr="00E14102" w:rsidRDefault="00D4105E" w:rsidP="00E14102">
      <w:pPr>
        <w:autoSpaceDE w:val="0"/>
        <w:autoSpaceDN w:val="0"/>
        <w:adjustRightInd w:val="0"/>
        <w:jc w:val="both"/>
        <w:rPr>
          <w:color w:val="000000" w:themeColor="text1"/>
          <w:sz w:val="16"/>
          <w:szCs w:val="16"/>
        </w:rPr>
      </w:pPr>
    </w:p>
    <w:p w14:paraId="2785B0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ноября 1935 года начальником ВВС был утвержден эскизный проект одноместного истребителя 21 завода. Макет самолета не предъявлен. Разработка самолета производится не обычным порядком. Параллельно с изготовлением макета самолета строится и опытный образец. Конструирование и постройка идет очень медленно: намеченный срок сдачи на гос. испытание выдержан не будет (3527).</w:t>
      </w:r>
    </w:p>
    <w:p w14:paraId="4ED22FE4" w14:textId="77777777" w:rsidR="00D4105E" w:rsidRPr="00E14102" w:rsidRDefault="00D4105E" w:rsidP="00E14102">
      <w:pPr>
        <w:autoSpaceDE w:val="0"/>
        <w:autoSpaceDN w:val="0"/>
        <w:adjustRightInd w:val="0"/>
        <w:jc w:val="both"/>
        <w:rPr>
          <w:color w:val="000000" w:themeColor="text1"/>
          <w:sz w:val="16"/>
          <w:szCs w:val="16"/>
        </w:rPr>
      </w:pPr>
    </w:p>
    <w:p w14:paraId="708419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ноября 1935 была подготовлена справка о ходе выполнения заказов 1935 (2166,28):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E3599D" w:rsidRPr="00E14102" w14:paraId="73FFB6F4" w14:textId="77777777">
        <w:tc>
          <w:tcPr>
            <w:tcW w:w="2254" w:type="dxa"/>
            <w:tcBorders>
              <w:top w:val="single" w:sz="12" w:space="0" w:color="auto"/>
            </w:tcBorders>
          </w:tcPr>
          <w:p w14:paraId="16D4A9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w:t>
            </w:r>
          </w:p>
        </w:tc>
        <w:tc>
          <w:tcPr>
            <w:tcW w:w="2254" w:type="dxa"/>
            <w:tcBorders>
              <w:top w:val="single" w:sz="12" w:space="0" w:color="auto"/>
            </w:tcBorders>
          </w:tcPr>
          <w:p w14:paraId="7779B8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Сдача на 01.01.36</w:t>
            </w:r>
          </w:p>
        </w:tc>
        <w:tc>
          <w:tcPr>
            <w:tcW w:w="2254" w:type="dxa"/>
            <w:tcBorders>
              <w:top w:val="single" w:sz="12" w:space="0" w:color="auto"/>
            </w:tcBorders>
          </w:tcPr>
          <w:p w14:paraId="13A6FEE2"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Borders>
              <w:top w:val="single" w:sz="12" w:space="0" w:color="auto"/>
            </w:tcBorders>
          </w:tcPr>
          <w:p w14:paraId="088CE093"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Borders>
              <w:top w:val="single" w:sz="12" w:space="0" w:color="auto"/>
            </w:tcBorders>
          </w:tcPr>
          <w:p w14:paraId="1F900AE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B0FC406" w14:textId="77777777">
        <w:tc>
          <w:tcPr>
            <w:tcW w:w="2254" w:type="dxa"/>
          </w:tcPr>
          <w:p w14:paraId="341AA9D3"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7DF1CE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НКО</w:t>
            </w:r>
          </w:p>
        </w:tc>
        <w:tc>
          <w:tcPr>
            <w:tcW w:w="2254" w:type="dxa"/>
          </w:tcPr>
          <w:p w14:paraId="409795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ГУГВФ</w:t>
            </w:r>
          </w:p>
        </w:tc>
        <w:tc>
          <w:tcPr>
            <w:tcW w:w="2254" w:type="dxa"/>
          </w:tcPr>
          <w:p w14:paraId="125A68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Прочие</w:t>
            </w:r>
          </w:p>
        </w:tc>
        <w:tc>
          <w:tcPr>
            <w:tcW w:w="2254" w:type="dxa"/>
          </w:tcPr>
          <w:p w14:paraId="316357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r>
      <w:tr w:rsidR="00E3599D" w:rsidRPr="00E14102" w14:paraId="5C4F63E8" w14:textId="77777777">
        <w:tc>
          <w:tcPr>
            <w:tcW w:w="2254" w:type="dxa"/>
          </w:tcPr>
          <w:p w14:paraId="36DFF1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2254" w:type="dxa"/>
          </w:tcPr>
          <w:p w14:paraId="483C9A04"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57ED5BA0"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47E0F09A"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1B7B17D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A2E377" w14:textId="77777777">
        <w:tc>
          <w:tcPr>
            <w:tcW w:w="2254" w:type="dxa"/>
          </w:tcPr>
          <w:p w14:paraId="6CB8A7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 М-17</w:t>
            </w:r>
          </w:p>
        </w:tc>
        <w:tc>
          <w:tcPr>
            <w:tcW w:w="2254" w:type="dxa"/>
          </w:tcPr>
          <w:p w14:paraId="02F818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135</w:t>
            </w:r>
          </w:p>
        </w:tc>
        <w:tc>
          <w:tcPr>
            <w:tcW w:w="2254" w:type="dxa"/>
          </w:tcPr>
          <w:p w14:paraId="02D108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w:t>
            </w:r>
          </w:p>
        </w:tc>
        <w:tc>
          <w:tcPr>
            <w:tcW w:w="2254" w:type="dxa"/>
          </w:tcPr>
          <w:p w14:paraId="28485E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w:t>
            </w:r>
          </w:p>
        </w:tc>
        <w:tc>
          <w:tcPr>
            <w:tcW w:w="2254" w:type="dxa"/>
          </w:tcPr>
          <w:p w14:paraId="7B5875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r>
      <w:tr w:rsidR="00E3599D" w:rsidRPr="00E14102" w14:paraId="0A813A4D" w14:textId="77777777">
        <w:tc>
          <w:tcPr>
            <w:tcW w:w="2254" w:type="dxa"/>
          </w:tcPr>
          <w:p w14:paraId="02FD11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 торп.</w:t>
            </w:r>
          </w:p>
        </w:tc>
        <w:tc>
          <w:tcPr>
            <w:tcW w:w="2254" w:type="dxa"/>
          </w:tcPr>
          <w:p w14:paraId="418576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2254" w:type="dxa"/>
          </w:tcPr>
          <w:p w14:paraId="381CE9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483B68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2A188A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BA7E0B5" w14:textId="77777777">
        <w:tc>
          <w:tcPr>
            <w:tcW w:w="2254" w:type="dxa"/>
          </w:tcPr>
          <w:p w14:paraId="1AA663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ССС М-17</w:t>
            </w:r>
          </w:p>
        </w:tc>
        <w:tc>
          <w:tcPr>
            <w:tcW w:w="2254" w:type="dxa"/>
          </w:tcPr>
          <w:p w14:paraId="7C30FE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w:t>
            </w:r>
          </w:p>
        </w:tc>
        <w:tc>
          <w:tcPr>
            <w:tcW w:w="2254" w:type="dxa"/>
          </w:tcPr>
          <w:p w14:paraId="7EA7CA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2254" w:type="dxa"/>
          </w:tcPr>
          <w:p w14:paraId="061565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2254" w:type="dxa"/>
          </w:tcPr>
          <w:p w14:paraId="7DF3C3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355</w:t>
            </w:r>
          </w:p>
        </w:tc>
      </w:tr>
      <w:tr w:rsidR="00E3599D" w:rsidRPr="00E14102" w14:paraId="16E3CE1D" w14:textId="77777777">
        <w:tc>
          <w:tcPr>
            <w:tcW w:w="2254" w:type="dxa"/>
          </w:tcPr>
          <w:p w14:paraId="42642D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 М-25</w:t>
            </w:r>
          </w:p>
        </w:tc>
        <w:tc>
          <w:tcPr>
            <w:tcW w:w="2254" w:type="dxa"/>
          </w:tcPr>
          <w:p w14:paraId="18283A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275</w:t>
            </w:r>
          </w:p>
        </w:tc>
        <w:tc>
          <w:tcPr>
            <w:tcW w:w="2254" w:type="dxa"/>
          </w:tcPr>
          <w:p w14:paraId="5A573D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5FF043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2254" w:type="dxa"/>
          </w:tcPr>
          <w:p w14:paraId="1F5B91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276</w:t>
            </w:r>
          </w:p>
        </w:tc>
      </w:tr>
      <w:tr w:rsidR="00E3599D" w:rsidRPr="00E14102" w14:paraId="6058827F" w14:textId="77777777">
        <w:tc>
          <w:tcPr>
            <w:tcW w:w="2254" w:type="dxa"/>
          </w:tcPr>
          <w:p w14:paraId="3C66EC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Рзет М-34</w:t>
            </w:r>
          </w:p>
        </w:tc>
        <w:tc>
          <w:tcPr>
            <w:tcW w:w="2254" w:type="dxa"/>
          </w:tcPr>
          <w:p w14:paraId="53918C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2254" w:type="dxa"/>
          </w:tcPr>
          <w:p w14:paraId="11C3F4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258F7A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0C597E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r>
      <w:tr w:rsidR="00E3599D" w:rsidRPr="00E14102" w14:paraId="49FC21D6" w14:textId="77777777">
        <w:tc>
          <w:tcPr>
            <w:tcW w:w="2254" w:type="dxa"/>
          </w:tcPr>
          <w:p w14:paraId="3E9320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2254" w:type="dxa"/>
          </w:tcPr>
          <w:p w14:paraId="2D518FBC"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2D03E79B"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09D8E3A7"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60A235F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9FBC2B1" w14:textId="77777777">
        <w:tc>
          <w:tcPr>
            <w:tcW w:w="2254" w:type="dxa"/>
          </w:tcPr>
          <w:p w14:paraId="68AAEC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РД М-34</w:t>
            </w:r>
          </w:p>
        </w:tc>
        <w:tc>
          <w:tcPr>
            <w:tcW w:w="2254" w:type="dxa"/>
          </w:tcPr>
          <w:p w14:paraId="005026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2254" w:type="dxa"/>
          </w:tcPr>
          <w:p w14:paraId="1DDA28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55515A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2D00FD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r>
      <w:tr w:rsidR="00E3599D" w:rsidRPr="00E14102" w14:paraId="0C76CD87" w14:textId="77777777">
        <w:tc>
          <w:tcPr>
            <w:tcW w:w="2254" w:type="dxa"/>
          </w:tcPr>
          <w:p w14:paraId="6A68C2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2254" w:type="dxa"/>
          </w:tcPr>
          <w:p w14:paraId="50049119"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5A3F5940"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4B4FDF0A"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522C66F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22FAB90" w14:textId="77777777">
        <w:tc>
          <w:tcPr>
            <w:tcW w:w="2254" w:type="dxa"/>
          </w:tcPr>
          <w:p w14:paraId="44B765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 М-22</w:t>
            </w:r>
          </w:p>
        </w:tc>
        <w:tc>
          <w:tcPr>
            <w:tcW w:w="2254" w:type="dxa"/>
          </w:tcPr>
          <w:p w14:paraId="4AC06E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2254" w:type="dxa"/>
          </w:tcPr>
          <w:p w14:paraId="535644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2F8103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038075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r>
      <w:tr w:rsidR="00E3599D" w:rsidRPr="00E14102" w14:paraId="24CD6DB2" w14:textId="77777777">
        <w:tc>
          <w:tcPr>
            <w:tcW w:w="2254" w:type="dxa"/>
          </w:tcPr>
          <w:p w14:paraId="29D5B0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 М-25</w:t>
            </w:r>
          </w:p>
        </w:tc>
        <w:tc>
          <w:tcPr>
            <w:tcW w:w="2254" w:type="dxa"/>
          </w:tcPr>
          <w:p w14:paraId="05D626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2254" w:type="dxa"/>
          </w:tcPr>
          <w:p w14:paraId="038BA0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1E8D7E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352D45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r>
      <w:tr w:rsidR="00E3599D" w:rsidRPr="00E14102" w14:paraId="2AAB00AE" w14:textId="77777777">
        <w:tc>
          <w:tcPr>
            <w:tcW w:w="2254" w:type="dxa"/>
          </w:tcPr>
          <w:p w14:paraId="77F60C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 УТИ М-25</w:t>
            </w:r>
          </w:p>
        </w:tc>
        <w:tc>
          <w:tcPr>
            <w:tcW w:w="2254" w:type="dxa"/>
          </w:tcPr>
          <w:p w14:paraId="3540AA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2254" w:type="dxa"/>
          </w:tcPr>
          <w:p w14:paraId="0CE438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2A51FC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265F22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r>
      <w:tr w:rsidR="00E3599D" w:rsidRPr="00E14102" w14:paraId="5DD137D2" w14:textId="77777777">
        <w:tc>
          <w:tcPr>
            <w:tcW w:w="2254" w:type="dxa"/>
          </w:tcPr>
          <w:p w14:paraId="7D45DB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2254" w:type="dxa"/>
          </w:tcPr>
          <w:p w14:paraId="7C033BA7"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23147AAB"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63B2B57B"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59E914D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33D4ECA" w14:textId="77777777">
        <w:tc>
          <w:tcPr>
            <w:tcW w:w="2254" w:type="dxa"/>
          </w:tcPr>
          <w:p w14:paraId="3E576A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М-34РБ</w:t>
            </w:r>
          </w:p>
        </w:tc>
        <w:tc>
          <w:tcPr>
            <w:tcW w:w="2254" w:type="dxa"/>
          </w:tcPr>
          <w:p w14:paraId="3AA069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2254" w:type="dxa"/>
          </w:tcPr>
          <w:p w14:paraId="370907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707DA4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1F2D2D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r>
      <w:tr w:rsidR="00E3599D" w:rsidRPr="00E14102" w14:paraId="0BCDEF22" w14:textId="77777777">
        <w:tc>
          <w:tcPr>
            <w:tcW w:w="2254" w:type="dxa"/>
          </w:tcPr>
          <w:p w14:paraId="02045D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М-34РН</w:t>
            </w:r>
          </w:p>
        </w:tc>
        <w:tc>
          <w:tcPr>
            <w:tcW w:w="2254" w:type="dxa"/>
          </w:tcPr>
          <w:p w14:paraId="7C7726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2254" w:type="dxa"/>
          </w:tcPr>
          <w:p w14:paraId="021BE4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032293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60893B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r>
      <w:tr w:rsidR="00E3599D" w:rsidRPr="00E14102" w14:paraId="61B0A957" w14:textId="77777777">
        <w:tc>
          <w:tcPr>
            <w:tcW w:w="2254" w:type="dxa"/>
          </w:tcPr>
          <w:p w14:paraId="765BA1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Р-6 М-17</w:t>
            </w:r>
          </w:p>
        </w:tc>
        <w:tc>
          <w:tcPr>
            <w:tcW w:w="2254" w:type="dxa"/>
          </w:tcPr>
          <w:p w14:paraId="3461B7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2254" w:type="dxa"/>
          </w:tcPr>
          <w:p w14:paraId="23C024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1D4E1E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58EB9B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r>
      <w:tr w:rsidR="00E3599D" w:rsidRPr="00E14102" w14:paraId="51571B51" w14:textId="77777777">
        <w:tc>
          <w:tcPr>
            <w:tcW w:w="2254" w:type="dxa"/>
          </w:tcPr>
          <w:p w14:paraId="515D51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Р-6А М-17</w:t>
            </w:r>
          </w:p>
        </w:tc>
        <w:tc>
          <w:tcPr>
            <w:tcW w:w="2254" w:type="dxa"/>
          </w:tcPr>
          <w:p w14:paraId="0409FF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2254" w:type="dxa"/>
          </w:tcPr>
          <w:p w14:paraId="0E9E3B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2254" w:type="dxa"/>
          </w:tcPr>
          <w:p w14:paraId="67544E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2254" w:type="dxa"/>
          </w:tcPr>
          <w:p w14:paraId="284746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w:t>
            </w:r>
          </w:p>
        </w:tc>
      </w:tr>
      <w:tr w:rsidR="00E3599D" w:rsidRPr="00E14102" w14:paraId="1B3629F1" w14:textId="77777777">
        <w:tc>
          <w:tcPr>
            <w:tcW w:w="2254" w:type="dxa"/>
          </w:tcPr>
          <w:p w14:paraId="15BFCD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М-100</w:t>
            </w:r>
          </w:p>
        </w:tc>
        <w:tc>
          <w:tcPr>
            <w:tcW w:w="2254" w:type="dxa"/>
          </w:tcPr>
          <w:p w14:paraId="7A4B5B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2254" w:type="dxa"/>
          </w:tcPr>
          <w:p w14:paraId="38033B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6F1C3D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296ED0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r>
      <w:tr w:rsidR="00E3599D" w:rsidRPr="00E14102" w14:paraId="0C710845" w14:textId="77777777">
        <w:tc>
          <w:tcPr>
            <w:tcW w:w="2254" w:type="dxa"/>
          </w:tcPr>
          <w:p w14:paraId="07F3CE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2254" w:type="dxa"/>
          </w:tcPr>
          <w:p w14:paraId="2F3B7272"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16A23E0F"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6933733A"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75D8779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A8D3D2" w14:textId="77777777">
        <w:tc>
          <w:tcPr>
            <w:tcW w:w="2254" w:type="dxa"/>
          </w:tcPr>
          <w:p w14:paraId="6756F0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М-11</w:t>
            </w:r>
          </w:p>
        </w:tc>
        <w:tc>
          <w:tcPr>
            <w:tcW w:w="2254" w:type="dxa"/>
          </w:tcPr>
          <w:p w14:paraId="0D6453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2254" w:type="dxa"/>
          </w:tcPr>
          <w:p w14:paraId="5CD181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w:t>
            </w:r>
          </w:p>
        </w:tc>
        <w:tc>
          <w:tcPr>
            <w:tcW w:w="2254" w:type="dxa"/>
          </w:tcPr>
          <w:p w14:paraId="6C5EAB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261</w:t>
            </w:r>
          </w:p>
        </w:tc>
        <w:tc>
          <w:tcPr>
            <w:tcW w:w="2254" w:type="dxa"/>
          </w:tcPr>
          <w:p w14:paraId="06F3BD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602</w:t>
            </w:r>
          </w:p>
        </w:tc>
      </w:tr>
      <w:tr w:rsidR="00E3599D" w:rsidRPr="00E14102" w14:paraId="7A93C59D" w14:textId="77777777">
        <w:tc>
          <w:tcPr>
            <w:tcW w:w="2254" w:type="dxa"/>
          </w:tcPr>
          <w:p w14:paraId="1AD304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М-11</w:t>
            </w:r>
          </w:p>
        </w:tc>
        <w:tc>
          <w:tcPr>
            <w:tcW w:w="2254" w:type="dxa"/>
          </w:tcPr>
          <w:p w14:paraId="2C5885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2254" w:type="dxa"/>
          </w:tcPr>
          <w:p w14:paraId="5B0226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7C8B8F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2254" w:type="dxa"/>
          </w:tcPr>
          <w:p w14:paraId="110B53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171</w:t>
            </w:r>
          </w:p>
        </w:tc>
      </w:tr>
      <w:tr w:rsidR="00E3599D" w:rsidRPr="00E14102" w14:paraId="520D7B21" w14:textId="77777777">
        <w:tc>
          <w:tcPr>
            <w:tcW w:w="2254" w:type="dxa"/>
          </w:tcPr>
          <w:p w14:paraId="121103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2254" w:type="dxa"/>
          </w:tcPr>
          <w:p w14:paraId="31BF71CE"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187DC9CC"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2CB36868"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79B93AB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2B4C335" w14:textId="77777777">
        <w:tc>
          <w:tcPr>
            <w:tcW w:w="2254" w:type="dxa"/>
          </w:tcPr>
          <w:p w14:paraId="6A3991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 М-17</w:t>
            </w:r>
          </w:p>
        </w:tc>
        <w:tc>
          <w:tcPr>
            <w:tcW w:w="2254" w:type="dxa"/>
          </w:tcPr>
          <w:p w14:paraId="3D8841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2254" w:type="dxa"/>
          </w:tcPr>
          <w:p w14:paraId="2F5498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5B6C3E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2254" w:type="dxa"/>
          </w:tcPr>
          <w:p w14:paraId="62A944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w:t>
            </w:r>
          </w:p>
        </w:tc>
      </w:tr>
      <w:tr w:rsidR="00E3599D" w:rsidRPr="00E14102" w14:paraId="39485B2C" w14:textId="77777777">
        <w:tc>
          <w:tcPr>
            <w:tcW w:w="2254" w:type="dxa"/>
          </w:tcPr>
          <w:p w14:paraId="3BB175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 М-34Р</w:t>
            </w:r>
          </w:p>
        </w:tc>
        <w:tc>
          <w:tcPr>
            <w:tcW w:w="2254" w:type="dxa"/>
          </w:tcPr>
          <w:p w14:paraId="21ED51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28652F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4CCCCC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67DA35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C2C1519" w14:textId="77777777">
        <w:tc>
          <w:tcPr>
            <w:tcW w:w="2254" w:type="dxa"/>
          </w:tcPr>
          <w:p w14:paraId="27DE80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2254" w:type="dxa"/>
          </w:tcPr>
          <w:p w14:paraId="1DE9F15C"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32DD2A6B"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69B11619"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49A9A50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BEF6050" w14:textId="77777777">
        <w:tc>
          <w:tcPr>
            <w:tcW w:w="2254" w:type="dxa"/>
          </w:tcPr>
          <w:p w14:paraId="12320B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 М-25</w:t>
            </w:r>
          </w:p>
        </w:tc>
        <w:tc>
          <w:tcPr>
            <w:tcW w:w="2254" w:type="dxa"/>
          </w:tcPr>
          <w:p w14:paraId="24F474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2254" w:type="dxa"/>
          </w:tcPr>
          <w:p w14:paraId="511FA2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45B31F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03DBA2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r>
      <w:tr w:rsidR="00E3599D" w:rsidRPr="00E14102" w14:paraId="56A22863" w14:textId="77777777">
        <w:tc>
          <w:tcPr>
            <w:tcW w:w="2254" w:type="dxa"/>
          </w:tcPr>
          <w:p w14:paraId="494E90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И-16 М-25</w:t>
            </w:r>
          </w:p>
        </w:tc>
        <w:tc>
          <w:tcPr>
            <w:tcW w:w="2254" w:type="dxa"/>
          </w:tcPr>
          <w:p w14:paraId="66174F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2254" w:type="dxa"/>
          </w:tcPr>
          <w:p w14:paraId="274992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4C911F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766332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r>
      <w:tr w:rsidR="00E3599D" w:rsidRPr="00E14102" w14:paraId="03BE2062" w14:textId="77777777">
        <w:tc>
          <w:tcPr>
            <w:tcW w:w="2254" w:type="dxa"/>
          </w:tcPr>
          <w:p w14:paraId="25F446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УТИ И-16 М-25</w:t>
            </w:r>
          </w:p>
        </w:tc>
        <w:tc>
          <w:tcPr>
            <w:tcW w:w="2254" w:type="dxa"/>
          </w:tcPr>
          <w:p w14:paraId="274112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2254" w:type="dxa"/>
          </w:tcPr>
          <w:p w14:paraId="066286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0CC2AA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230EA4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r>
      <w:tr w:rsidR="00E3599D" w:rsidRPr="00E14102" w14:paraId="534D904F" w14:textId="77777777">
        <w:tc>
          <w:tcPr>
            <w:tcW w:w="2254" w:type="dxa"/>
          </w:tcPr>
          <w:p w14:paraId="2FECF9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125</w:t>
            </w:r>
          </w:p>
        </w:tc>
        <w:tc>
          <w:tcPr>
            <w:tcW w:w="2254" w:type="dxa"/>
          </w:tcPr>
          <w:p w14:paraId="3131B83C"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5B759D5A"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4A227171"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2666DD8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A9FFB45" w14:textId="77777777">
        <w:tc>
          <w:tcPr>
            <w:tcW w:w="2254" w:type="dxa"/>
          </w:tcPr>
          <w:p w14:paraId="61A601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 М-25</w:t>
            </w:r>
          </w:p>
        </w:tc>
        <w:tc>
          <w:tcPr>
            <w:tcW w:w="2254" w:type="dxa"/>
          </w:tcPr>
          <w:p w14:paraId="389D7D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2254" w:type="dxa"/>
          </w:tcPr>
          <w:p w14:paraId="0CED79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0D5A11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535FBB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r>
      <w:tr w:rsidR="00E3599D" w:rsidRPr="00E14102" w14:paraId="38479A60" w14:textId="77777777">
        <w:tc>
          <w:tcPr>
            <w:tcW w:w="2254" w:type="dxa"/>
          </w:tcPr>
          <w:p w14:paraId="067738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135</w:t>
            </w:r>
          </w:p>
        </w:tc>
        <w:tc>
          <w:tcPr>
            <w:tcW w:w="2254" w:type="dxa"/>
          </w:tcPr>
          <w:p w14:paraId="26B39D7F"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53ADE7FA"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51A94FAA"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6762118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FBAF79F" w14:textId="77777777">
        <w:tc>
          <w:tcPr>
            <w:tcW w:w="2254" w:type="dxa"/>
          </w:tcPr>
          <w:p w14:paraId="2DFA14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ИП-1 М-25</w:t>
            </w:r>
          </w:p>
        </w:tc>
        <w:tc>
          <w:tcPr>
            <w:tcW w:w="2254" w:type="dxa"/>
          </w:tcPr>
          <w:p w14:paraId="6DDFA2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375E14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2F4495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751773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3512CC8F" w14:textId="77777777">
        <w:tc>
          <w:tcPr>
            <w:tcW w:w="2254" w:type="dxa"/>
          </w:tcPr>
          <w:p w14:paraId="62BA61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2337BA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2254" w:type="dxa"/>
          </w:tcPr>
          <w:p w14:paraId="2BE8AA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17D983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0E88E7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r>
      <w:tr w:rsidR="00E3599D" w:rsidRPr="00E14102" w14:paraId="37A34127" w14:textId="77777777">
        <w:tc>
          <w:tcPr>
            <w:tcW w:w="2254" w:type="dxa"/>
          </w:tcPr>
          <w:p w14:paraId="2D3E50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4AA16F6C"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2E3C50B0"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5AF02A3B"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4A90FF6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D229B2" w14:textId="77777777">
        <w:tc>
          <w:tcPr>
            <w:tcW w:w="2254" w:type="dxa"/>
          </w:tcPr>
          <w:p w14:paraId="0D073F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ХАИ-1 М-22</w:t>
            </w:r>
          </w:p>
        </w:tc>
        <w:tc>
          <w:tcPr>
            <w:tcW w:w="2254" w:type="dxa"/>
          </w:tcPr>
          <w:p w14:paraId="6A0D6C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2254" w:type="dxa"/>
          </w:tcPr>
          <w:p w14:paraId="20145E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2254" w:type="dxa"/>
          </w:tcPr>
          <w:p w14:paraId="487EEB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482343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r>
      <w:tr w:rsidR="00E3599D" w:rsidRPr="00E14102" w14:paraId="4B5DED61" w14:textId="77777777">
        <w:tc>
          <w:tcPr>
            <w:tcW w:w="2254" w:type="dxa"/>
          </w:tcPr>
          <w:p w14:paraId="18963E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w:t>
            </w:r>
          </w:p>
        </w:tc>
        <w:tc>
          <w:tcPr>
            <w:tcW w:w="2254" w:type="dxa"/>
          </w:tcPr>
          <w:p w14:paraId="56F012DF"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5310D78B"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4829C3DD"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054BE35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F340CAD" w14:textId="77777777">
        <w:tc>
          <w:tcPr>
            <w:tcW w:w="2254" w:type="dxa"/>
          </w:tcPr>
          <w:p w14:paraId="6D687B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Сталь 2</w:t>
            </w:r>
          </w:p>
        </w:tc>
        <w:tc>
          <w:tcPr>
            <w:tcW w:w="2254" w:type="dxa"/>
          </w:tcPr>
          <w:p w14:paraId="5C55DD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65316D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w:t>
            </w:r>
          </w:p>
        </w:tc>
        <w:tc>
          <w:tcPr>
            <w:tcW w:w="2254" w:type="dxa"/>
          </w:tcPr>
          <w:p w14:paraId="344686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1093BF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w:t>
            </w:r>
          </w:p>
        </w:tc>
      </w:tr>
      <w:tr w:rsidR="00E3599D" w:rsidRPr="00E14102" w14:paraId="27BC0CBB" w14:textId="77777777">
        <w:tc>
          <w:tcPr>
            <w:tcW w:w="2254" w:type="dxa"/>
          </w:tcPr>
          <w:p w14:paraId="5AD713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Сталь 3</w:t>
            </w:r>
          </w:p>
        </w:tc>
        <w:tc>
          <w:tcPr>
            <w:tcW w:w="2254" w:type="dxa"/>
          </w:tcPr>
          <w:p w14:paraId="081BA5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27A7FE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2254" w:type="dxa"/>
          </w:tcPr>
          <w:p w14:paraId="72EBC0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59442E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r>
      <w:tr w:rsidR="00E3599D" w:rsidRPr="00E14102" w14:paraId="5917C7EF" w14:textId="77777777">
        <w:tc>
          <w:tcPr>
            <w:tcW w:w="2254" w:type="dxa"/>
          </w:tcPr>
          <w:p w14:paraId="74412C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0351A71E"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6E84DDD2"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7A3EBCC5"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Pr>
          <w:p w14:paraId="53DCCFA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9766EE1" w14:textId="77777777">
        <w:tc>
          <w:tcPr>
            <w:tcW w:w="2254" w:type="dxa"/>
          </w:tcPr>
          <w:p w14:paraId="005DFC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30ABE0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4CD695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54" w:type="dxa"/>
          </w:tcPr>
          <w:p w14:paraId="5F2E68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2254" w:type="dxa"/>
          </w:tcPr>
          <w:p w14:paraId="1275BA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r>
      <w:tr w:rsidR="00E3599D" w:rsidRPr="00E14102" w14:paraId="7B9353F9" w14:textId="77777777">
        <w:tc>
          <w:tcPr>
            <w:tcW w:w="2254" w:type="dxa"/>
            <w:tcBorders>
              <w:bottom w:val="single" w:sz="12" w:space="0" w:color="auto"/>
            </w:tcBorders>
          </w:tcPr>
          <w:p w14:paraId="5F889AD5" w14:textId="77777777" w:rsidR="00D4105E" w:rsidRPr="00E14102" w:rsidRDefault="00D4105E" w:rsidP="00E14102">
            <w:pPr>
              <w:autoSpaceDE w:val="0"/>
              <w:autoSpaceDN w:val="0"/>
              <w:adjustRightInd w:val="0"/>
              <w:jc w:val="both"/>
              <w:rPr>
                <w:color w:val="000000" w:themeColor="text1"/>
                <w:sz w:val="16"/>
                <w:szCs w:val="16"/>
              </w:rPr>
            </w:pPr>
          </w:p>
        </w:tc>
        <w:tc>
          <w:tcPr>
            <w:tcW w:w="2254" w:type="dxa"/>
            <w:tcBorders>
              <w:bottom w:val="single" w:sz="12" w:space="0" w:color="auto"/>
            </w:tcBorders>
          </w:tcPr>
          <w:p w14:paraId="16A8C9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1902</w:t>
            </w:r>
          </w:p>
        </w:tc>
        <w:tc>
          <w:tcPr>
            <w:tcW w:w="2254" w:type="dxa"/>
            <w:tcBorders>
              <w:bottom w:val="single" w:sz="12" w:space="0" w:color="auto"/>
            </w:tcBorders>
          </w:tcPr>
          <w:p w14:paraId="643B91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443</w:t>
            </w:r>
          </w:p>
        </w:tc>
        <w:tc>
          <w:tcPr>
            <w:tcW w:w="2254" w:type="dxa"/>
            <w:tcBorders>
              <w:bottom w:val="single" w:sz="12" w:space="0" w:color="auto"/>
            </w:tcBorders>
          </w:tcPr>
          <w:p w14:paraId="5C5C05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461</w:t>
            </w:r>
          </w:p>
        </w:tc>
        <w:tc>
          <w:tcPr>
            <w:tcW w:w="2254" w:type="dxa"/>
            <w:tcBorders>
              <w:bottom w:val="single" w:sz="12" w:space="0" w:color="auto"/>
            </w:tcBorders>
          </w:tcPr>
          <w:p w14:paraId="514FC0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2806 (2166,28)</w:t>
            </w:r>
          </w:p>
        </w:tc>
      </w:tr>
    </w:tbl>
    <w:p w14:paraId="5E096D65" w14:textId="77777777" w:rsidR="00D4105E" w:rsidRPr="00E14102" w:rsidRDefault="00D4105E" w:rsidP="00E14102">
      <w:pPr>
        <w:autoSpaceDE w:val="0"/>
        <w:autoSpaceDN w:val="0"/>
        <w:adjustRightInd w:val="0"/>
        <w:jc w:val="both"/>
        <w:rPr>
          <w:color w:val="000000" w:themeColor="text1"/>
          <w:sz w:val="16"/>
          <w:szCs w:val="16"/>
        </w:rPr>
      </w:pPr>
    </w:p>
    <w:p w14:paraId="2AB691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ноября 1935 года была подготовлена Ведомость остатка неоформленных самолетов, технически готовых на 1 января 1936 года для НКО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E3599D" w:rsidRPr="00E14102" w14:paraId="1577B868" w14:textId="77777777">
        <w:tc>
          <w:tcPr>
            <w:tcW w:w="2817" w:type="dxa"/>
          </w:tcPr>
          <w:p w14:paraId="39095A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самолетов</w:t>
            </w:r>
          </w:p>
        </w:tc>
        <w:tc>
          <w:tcPr>
            <w:tcW w:w="2817" w:type="dxa"/>
          </w:tcPr>
          <w:p w14:paraId="36D981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Количество</w:t>
            </w:r>
          </w:p>
        </w:tc>
        <w:tc>
          <w:tcPr>
            <w:tcW w:w="2817" w:type="dxa"/>
          </w:tcPr>
          <w:p w14:paraId="51595D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Отпускная цена в рублях</w:t>
            </w:r>
          </w:p>
        </w:tc>
        <w:tc>
          <w:tcPr>
            <w:tcW w:w="2817" w:type="dxa"/>
          </w:tcPr>
          <w:p w14:paraId="6C65B9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сумму тыс. руб.</w:t>
            </w:r>
          </w:p>
        </w:tc>
      </w:tr>
      <w:tr w:rsidR="00E3599D" w:rsidRPr="00E14102" w14:paraId="65D7B60F" w14:textId="77777777">
        <w:tc>
          <w:tcPr>
            <w:tcW w:w="2817" w:type="dxa"/>
          </w:tcPr>
          <w:p w14:paraId="2CEA1B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РЗЭТ-1М34Н</w:t>
            </w:r>
          </w:p>
        </w:tc>
        <w:tc>
          <w:tcPr>
            <w:tcW w:w="2817" w:type="dxa"/>
          </w:tcPr>
          <w:p w14:paraId="2C24BC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2817" w:type="dxa"/>
          </w:tcPr>
          <w:p w14:paraId="18734C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152000</w:t>
            </w:r>
          </w:p>
        </w:tc>
        <w:tc>
          <w:tcPr>
            <w:tcW w:w="2817" w:type="dxa"/>
          </w:tcPr>
          <w:p w14:paraId="1A4861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15200</w:t>
            </w:r>
          </w:p>
        </w:tc>
      </w:tr>
      <w:tr w:rsidR="00E3599D" w:rsidRPr="00E14102" w14:paraId="7CD5DBDE" w14:textId="77777777">
        <w:tc>
          <w:tcPr>
            <w:tcW w:w="2817" w:type="dxa"/>
          </w:tcPr>
          <w:p w14:paraId="1F704E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И-15-1М25</w:t>
            </w:r>
          </w:p>
        </w:tc>
        <w:tc>
          <w:tcPr>
            <w:tcW w:w="2817" w:type="dxa"/>
          </w:tcPr>
          <w:p w14:paraId="3283DB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2817" w:type="dxa"/>
          </w:tcPr>
          <w:p w14:paraId="07823B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148000</w:t>
            </w:r>
          </w:p>
        </w:tc>
        <w:tc>
          <w:tcPr>
            <w:tcW w:w="2817" w:type="dxa"/>
          </w:tcPr>
          <w:p w14:paraId="2A438F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2368</w:t>
            </w:r>
          </w:p>
        </w:tc>
      </w:tr>
      <w:tr w:rsidR="00E3599D" w:rsidRPr="00E14102" w14:paraId="0DBCFBDE" w14:textId="77777777">
        <w:tc>
          <w:tcPr>
            <w:tcW w:w="2817" w:type="dxa"/>
          </w:tcPr>
          <w:p w14:paraId="3360C4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РД-1 М34Р</w:t>
            </w:r>
          </w:p>
        </w:tc>
        <w:tc>
          <w:tcPr>
            <w:tcW w:w="2817" w:type="dxa"/>
          </w:tcPr>
          <w:p w14:paraId="225BFE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2817" w:type="dxa"/>
          </w:tcPr>
          <w:p w14:paraId="3E427F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190000</w:t>
            </w:r>
          </w:p>
        </w:tc>
        <w:tc>
          <w:tcPr>
            <w:tcW w:w="2817" w:type="dxa"/>
          </w:tcPr>
          <w:p w14:paraId="181F8E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1900</w:t>
            </w:r>
          </w:p>
        </w:tc>
      </w:tr>
      <w:tr w:rsidR="00E3599D" w:rsidRPr="00E14102" w14:paraId="078B91FD" w14:textId="77777777">
        <w:tc>
          <w:tcPr>
            <w:tcW w:w="2817" w:type="dxa"/>
          </w:tcPr>
          <w:p w14:paraId="26172E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И-16-1М25</w:t>
            </w:r>
          </w:p>
        </w:tc>
        <w:tc>
          <w:tcPr>
            <w:tcW w:w="2817" w:type="dxa"/>
          </w:tcPr>
          <w:p w14:paraId="625E7B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2817" w:type="dxa"/>
          </w:tcPr>
          <w:p w14:paraId="5DB96E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166000</w:t>
            </w:r>
          </w:p>
        </w:tc>
        <w:tc>
          <w:tcPr>
            <w:tcW w:w="2817" w:type="dxa"/>
          </w:tcPr>
          <w:p w14:paraId="2DC8B3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16600</w:t>
            </w:r>
          </w:p>
        </w:tc>
      </w:tr>
      <w:tr w:rsidR="00E3599D" w:rsidRPr="00E14102" w14:paraId="672BB5E4" w14:textId="77777777">
        <w:tc>
          <w:tcPr>
            <w:tcW w:w="2817" w:type="dxa"/>
          </w:tcPr>
          <w:p w14:paraId="106C4A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ТБ3-4М34РН</w:t>
            </w:r>
          </w:p>
        </w:tc>
        <w:tc>
          <w:tcPr>
            <w:tcW w:w="2817" w:type="dxa"/>
          </w:tcPr>
          <w:p w14:paraId="257169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w:t>
            </w:r>
          </w:p>
        </w:tc>
        <w:tc>
          <w:tcPr>
            <w:tcW w:w="2817" w:type="dxa"/>
          </w:tcPr>
          <w:p w14:paraId="0AE975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469000</w:t>
            </w:r>
          </w:p>
        </w:tc>
        <w:tc>
          <w:tcPr>
            <w:tcW w:w="2817" w:type="dxa"/>
          </w:tcPr>
          <w:p w14:paraId="394D57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56280</w:t>
            </w:r>
          </w:p>
        </w:tc>
      </w:tr>
      <w:tr w:rsidR="00E3599D" w:rsidRPr="00E14102" w14:paraId="2A863B7E" w14:textId="77777777">
        <w:tc>
          <w:tcPr>
            <w:tcW w:w="2817" w:type="dxa"/>
          </w:tcPr>
          <w:p w14:paraId="12EDC9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 3М34Р</w:t>
            </w:r>
          </w:p>
        </w:tc>
        <w:tc>
          <w:tcPr>
            <w:tcW w:w="2817" w:type="dxa"/>
          </w:tcPr>
          <w:p w14:paraId="475A7C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2817" w:type="dxa"/>
          </w:tcPr>
          <w:p w14:paraId="755681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500000</w:t>
            </w:r>
          </w:p>
        </w:tc>
        <w:tc>
          <w:tcPr>
            <w:tcW w:w="2817" w:type="dxa"/>
          </w:tcPr>
          <w:p w14:paraId="12B0FA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2500</w:t>
            </w:r>
          </w:p>
        </w:tc>
      </w:tr>
      <w:tr w:rsidR="00E3599D" w:rsidRPr="00E14102" w14:paraId="221A53C9" w14:textId="77777777">
        <w:tc>
          <w:tcPr>
            <w:tcW w:w="2817" w:type="dxa"/>
          </w:tcPr>
          <w:p w14:paraId="7AA51F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И14-1М25</w:t>
            </w:r>
          </w:p>
        </w:tc>
        <w:tc>
          <w:tcPr>
            <w:tcW w:w="2817" w:type="dxa"/>
          </w:tcPr>
          <w:p w14:paraId="2BB44D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2817" w:type="dxa"/>
          </w:tcPr>
          <w:p w14:paraId="3F2049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160000</w:t>
            </w:r>
          </w:p>
        </w:tc>
        <w:tc>
          <w:tcPr>
            <w:tcW w:w="2817" w:type="dxa"/>
          </w:tcPr>
          <w:p w14:paraId="54B0EA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r>
      <w:tr w:rsidR="00E3599D" w:rsidRPr="00E14102" w14:paraId="4DB2057F" w14:textId="77777777">
        <w:tc>
          <w:tcPr>
            <w:tcW w:w="2817" w:type="dxa"/>
          </w:tcPr>
          <w:p w14:paraId="670D13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ИП1-1М25</w:t>
            </w:r>
          </w:p>
        </w:tc>
        <w:tc>
          <w:tcPr>
            <w:tcW w:w="2817" w:type="dxa"/>
          </w:tcPr>
          <w:p w14:paraId="7BB1C1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2817" w:type="dxa"/>
          </w:tcPr>
          <w:p w14:paraId="6D69BC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170000</w:t>
            </w:r>
          </w:p>
        </w:tc>
        <w:tc>
          <w:tcPr>
            <w:tcW w:w="2817" w:type="dxa"/>
          </w:tcPr>
          <w:p w14:paraId="0C7709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3400</w:t>
            </w:r>
          </w:p>
        </w:tc>
      </w:tr>
      <w:tr w:rsidR="00E3599D" w:rsidRPr="00E14102" w14:paraId="35A0FB90" w14:textId="77777777">
        <w:tc>
          <w:tcPr>
            <w:tcW w:w="2817" w:type="dxa"/>
          </w:tcPr>
          <w:p w14:paraId="4189C3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2817" w:type="dxa"/>
          </w:tcPr>
          <w:p w14:paraId="5D3075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396</w:t>
            </w:r>
          </w:p>
        </w:tc>
        <w:tc>
          <w:tcPr>
            <w:tcW w:w="2817" w:type="dxa"/>
          </w:tcPr>
          <w:p w14:paraId="270A8A58"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5A6A28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102248</w:t>
            </w:r>
          </w:p>
        </w:tc>
      </w:tr>
      <w:tr w:rsidR="00E3599D" w:rsidRPr="00E14102" w14:paraId="52C378AA" w14:textId="77777777">
        <w:tc>
          <w:tcPr>
            <w:tcW w:w="2817" w:type="dxa"/>
          </w:tcPr>
          <w:p w14:paraId="7BDF92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для ГУГВФ</w:t>
            </w:r>
          </w:p>
        </w:tc>
        <w:tc>
          <w:tcPr>
            <w:tcW w:w="2817" w:type="dxa"/>
          </w:tcPr>
          <w:p w14:paraId="4AF905B9"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4E5D5775"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6DF107C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D3529F" w14:textId="77777777">
        <w:tc>
          <w:tcPr>
            <w:tcW w:w="2817" w:type="dxa"/>
          </w:tcPr>
          <w:p w14:paraId="2FF8ED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ХАИ-1М22</w:t>
            </w:r>
          </w:p>
        </w:tc>
        <w:tc>
          <w:tcPr>
            <w:tcW w:w="2817" w:type="dxa"/>
          </w:tcPr>
          <w:p w14:paraId="7BC95A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2817" w:type="dxa"/>
          </w:tcPr>
          <w:p w14:paraId="769CE5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110000</w:t>
            </w:r>
          </w:p>
        </w:tc>
        <w:tc>
          <w:tcPr>
            <w:tcW w:w="2817" w:type="dxa"/>
          </w:tcPr>
          <w:p w14:paraId="7C25C3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2200</w:t>
            </w:r>
          </w:p>
        </w:tc>
      </w:tr>
      <w:tr w:rsidR="00E3599D" w:rsidRPr="00E14102" w14:paraId="2449DADC" w14:textId="77777777">
        <w:tc>
          <w:tcPr>
            <w:tcW w:w="2817" w:type="dxa"/>
          </w:tcPr>
          <w:p w14:paraId="79158E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Сталь-3 1М22</w:t>
            </w:r>
          </w:p>
        </w:tc>
        <w:tc>
          <w:tcPr>
            <w:tcW w:w="2817" w:type="dxa"/>
          </w:tcPr>
          <w:p w14:paraId="4B0F78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2817" w:type="dxa"/>
          </w:tcPr>
          <w:p w14:paraId="2B998D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139955</w:t>
            </w:r>
          </w:p>
        </w:tc>
        <w:tc>
          <w:tcPr>
            <w:tcW w:w="2817" w:type="dxa"/>
          </w:tcPr>
          <w:p w14:paraId="3CCD1F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2799</w:t>
            </w:r>
          </w:p>
        </w:tc>
      </w:tr>
      <w:tr w:rsidR="00E3599D" w:rsidRPr="00E14102" w14:paraId="685246E2" w14:textId="77777777">
        <w:tc>
          <w:tcPr>
            <w:tcW w:w="2817" w:type="dxa"/>
          </w:tcPr>
          <w:p w14:paraId="405DE6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2817" w:type="dxa"/>
          </w:tcPr>
          <w:p w14:paraId="6D53B498"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3F44152B"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31ECE6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4999</w:t>
            </w:r>
          </w:p>
        </w:tc>
      </w:tr>
    </w:tbl>
    <w:p w14:paraId="37763C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(3574,76).</w:t>
      </w:r>
    </w:p>
    <w:p w14:paraId="4DF2F9AF" w14:textId="77777777" w:rsidR="00D4105E" w:rsidRPr="00E14102" w:rsidRDefault="00D4105E" w:rsidP="00E14102">
      <w:pPr>
        <w:autoSpaceDE w:val="0"/>
        <w:autoSpaceDN w:val="0"/>
        <w:adjustRightInd w:val="0"/>
        <w:jc w:val="both"/>
        <w:rPr>
          <w:color w:val="000000" w:themeColor="text1"/>
          <w:sz w:val="16"/>
          <w:szCs w:val="16"/>
        </w:rPr>
      </w:pPr>
    </w:p>
    <w:p w14:paraId="7D6187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ноября 1935 года была подготовлена Справка о ходе выполнения заказов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E3599D" w:rsidRPr="00E14102" w14:paraId="11F23C59" w14:textId="77777777">
        <w:tc>
          <w:tcPr>
            <w:tcW w:w="1610" w:type="dxa"/>
          </w:tcPr>
          <w:p w14:paraId="21989D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моторов</w:t>
            </w:r>
          </w:p>
        </w:tc>
        <w:tc>
          <w:tcPr>
            <w:tcW w:w="1610" w:type="dxa"/>
          </w:tcPr>
          <w:p w14:paraId="76E7F3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Общие итоги сдачи моторов (программа 1935 года)</w:t>
            </w:r>
          </w:p>
        </w:tc>
        <w:tc>
          <w:tcPr>
            <w:tcW w:w="1610" w:type="dxa"/>
          </w:tcPr>
          <w:p w14:paraId="3B77B2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Общие итоги сдачи моторов (всего сдано по всем заказам, включая сдачу ОСО, ГУПВО и др. организаций)</w:t>
            </w:r>
          </w:p>
        </w:tc>
        <w:tc>
          <w:tcPr>
            <w:tcW w:w="1610" w:type="dxa"/>
          </w:tcPr>
          <w:p w14:paraId="7A1A0E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Общие итоги сдачи моторов (будет сдано до 1 января 1936 года)</w:t>
            </w:r>
          </w:p>
        </w:tc>
        <w:tc>
          <w:tcPr>
            <w:tcW w:w="1610" w:type="dxa"/>
          </w:tcPr>
          <w:p w14:paraId="54B454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Сдача в резерв НКО (надлежало сдать согласно постановлению Правительства)</w:t>
            </w:r>
          </w:p>
        </w:tc>
        <w:tc>
          <w:tcPr>
            <w:tcW w:w="1610" w:type="dxa"/>
          </w:tcPr>
          <w:p w14:paraId="2516FB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Сдача в резерв НКО (сдано на 25 ноября)</w:t>
            </w:r>
          </w:p>
        </w:tc>
        <w:tc>
          <w:tcPr>
            <w:tcW w:w="1610" w:type="dxa"/>
          </w:tcPr>
          <w:p w14:paraId="7DB7DE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Сдача в резерв НКО (будет сдано до 1 января 1936 года)</w:t>
            </w:r>
          </w:p>
        </w:tc>
      </w:tr>
      <w:tr w:rsidR="00E3599D" w:rsidRPr="00E14102" w14:paraId="5C3CE8A3" w14:textId="77777777">
        <w:tc>
          <w:tcPr>
            <w:tcW w:w="1610" w:type="dxa"/>
          </w:tcPr>
          <w:p w14:paraId="1501CA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16</w:t>
            </w:r>
          </w:p>
        </w:tc>
        <w:tc>
          <w:tcPr>
            <w:tcW w:w="1610" w:type="dxa"/>
          </w:tcPr>
          <w:p w14:paraId="00D08AC2"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5B67DB5D"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3A57630B"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457F5D49"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422A8D84"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7583CC2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CA85542" w14:textId="77777777">
        <w:tc>
          <w:tcPr>
            <w:tcW w:w="1610" w:type="dxa"/>
          </w:tcPr>
          <w:p w14:paraId="27B58C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М-11</w:t>
            </w:r>
          </w:p>
        </w:tc>
        <w:tc>
          <w:tcPr>
            <w:tcW w:w="1610" w:type="dxa"/>
          </w:tcPr>
          <w:p w14:paraId="7AE1E1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46A3F8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145</w:t>
            </w:r>
          </w:p>
        </w:tc>
        <w:tc>
          <w:tcPr>
            <w:tcW w:w="1610" w:type="dxa"/>
          </w:tcPr>
          <w:p w14:paraId="1B7BF0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w:t>
            </w:r>
          </w:p>
        </w:tc>
        <w:tc>
          <w:tcPr>
            <w:tcW w:w="1610" w:type="dxa"/>
          </w:tcPr>
          <w:p w14:paraId="7CC4AF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081B9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2BC3AB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7A7F310F" w14:textId="77777777">
        <w:tc>
          <w:tcPr>
            <w:tcW w:w="1610" w:type="dxa"/>
          </w:tcPr>
          <w:p w14:paraId="30DB7F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19</w:t>
            </w:r>
          </w:p>
        </w:tc>
        <w:tc>
          <w:tcPr>
            <w:tcW w:w="1610" w:type="dxa"/>
          </w:tcPr>
          <w:p w14:paraId="6FB6FFA7"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5A7AA5AC"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2E32A901"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688A45F4"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1BAAA37E"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7C4EEA4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A740A8D" w14:textId="77777777">
        <w:tc>
          <w:tcPr>
            <w:tcW w:w="1610" w:type="dxa"/>
          </w:tcPr>
          <w:p w14:paraId="7C8A09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М25</w:t>
            </w:r>
          </w:p>
        </w:tc>
        <w:tc>
          <w:tcPr>
            <w:tcW w:w="1610" w:type="dxa"/>
          </w:tcPr>
          <w:p w14:paraId="5695BA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1610" w:type="dxa"/>
          </w:tcPr>
          <w:p w14:paraId="491173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449</w:t>
            </w:r>
          </w:p>
        </w:tc>
        <w:tc>
          <w:tcPr>
            <w:tcW w:w="1610" w:type="dxa"/>
          </w:tcPr>
          <w:p w14:paraId="3D9273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w:t>
            </w:r>
          </w:p>
        </w:tc>
        <w:tc>
          <w:tcPr>
            <w:tcW w:w="1610" w:type="dxa"/>
          </w:tcPr>
          <w:p w14:paraId="366D89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610" w:type="dxa"/>
          </w:tcPr>
          <w:p w14:paraId="234FF7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610" w:type="dxa"/>
          </w:tcPr>
          <w:p w14:paraId="4DCF08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r>
      <w:tr w:rsidR="00E3599D" w:rsidRPr="00E14102" w14:paraId="50790FB6" w14:textId="77777777">
        <w:tc>
          <w:tcPr>
            <w:tcW w:w="1610" w:type="dxa"/>
          </w:tcPr>
          <w:p w14:paraId="70C58F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610" w:type="dxa"/>
          </w:tcPr>
          <w:p w14:paraId="661C1805"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5ED26656"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48ACC802"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2781DB9B"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3BD28BD8"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174BC2B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0142684" w14:textId="77777777">
        <w:tc>
          <w:tcPr>
            <w:tcW w:w="1610" w:type="dxa"/>
          </w:tcPr>
          <w:p w14:paraId="4F5CAC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разных типов</w:t>
            </w:r>
          </w:p>
        </w:tc>
        <w:tc>
          <w:tcPr>
            <w:tcW w:w="1610" w:type="dxa"/>
          </w:tcPr>
          <w:p w14:paraId="314A26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1552</w:t>
            </w:r>
          </w:p>
        </w:tc>
        <w:tc>
          <w:tcPr>
            <w:tcW w:w="1610" w:type="dxa"/>
          </w:tcPr>
          <w:p w14:paraId="04C59F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1170</w:t>
            </w:r>
          </w:p>
        </w:tc>
        <w:tc>
          <w:tcPr>
            <w:tcW w:w="1610" w:type="dxa"/>
          </w:tcPr>
          <w:p w14:paraId="2C7C66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1552</w:t>
            </w:r>
          </w:p>
        </w:tc>
        <w:tc>
          <w:tcPr>
            <w:tcW w:w="1610" w:type="dxa"/>
          </w:tcPr>
          <w:p w14:paraId="3B8536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380</w:t>
            </w:r>
          </w:p>
        </w:tc>
        <w:tc>
          <w:tcPr>
            <w:tcW w:w="1610" w:type="dxa"/>
          </w:tcPr>
          <w:p w14:paraId="008644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294</w:t>
            </w:r>
          </w:p>
        </w:tc>
        <w:tc>
          <w:tcPr>
            <w:tcW w:w="1610" w:type="dxa"/>
          </w:tcPr>
          <w:p w14:paraId="39F326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305</w:t>
            </w:r>
          </w:p>
        </w:tc>
      </w:tr>
      <w:tr w:rsidR="00E3599D" w:rsidRPr="00E14102" w14:paraId="0DDB1D87" w14:textId="77777777">
        <w:tc>
          <w:tcPr>
            <w:tcW w:w="1610" w:type="dxa"/>
          </w:tcPr>
          <w:p w14:paraId="60165B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26</w:t>
            </w:r>
          </w:p>
        </w:tc>
        <w:tc>
          <w:tcPr>
            <w:tcW w:w="1610" w:type="dxa"/>
          </w:tcPr>
          <w:p w14:paraId="54C65335"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5772EDAC"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6F14BC05"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097DF22C"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3FC03A42"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4C87B94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D6ACAD4" w14:textId="77777777">
        <w:tc>
          <w:tcPr>
            <w:tcW w:w="1610" w:type="dxa"/>
          </w:tcPr>
          <w:p w14:paraId="2A0883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М17</w:t>
            </w:r>
          </w:p>
        </w:tc>
        <w:tc>
          <w:tcPr>
            <w:tcW w:w="1610" w:type="dxa"/>
          </w:tcPr>
          <w:p w14:paraId="23B845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3400</w:t>
            </w:r>
          </w:p>
        </w:tc>
        <w:tc>
          <w:tcPr>
            <w:tcW w:w="1610" w:type="dxa"/>
          </w:tcPr>
          <w:p w14:paraId="6F54D5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3232</w:t>
            </w:r>
          </w:p>
        </w:tc>
        <w:tc>
          <w:tcPr>
            <w:tcW w:w="1610" w:type="dxa"/>
          </w:tcPr>
          <w:p w14:paraId="24862A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w:t>
            </w:r>
          </w:p>
        </w:tc>
        <w:tc>
          <w:tcPr>
            <w:tcW w:w="1610" w:type="dxa"/>
          </w:tcPr>
          <w:p w14:paraId="4A1F35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1600</w:t>
            </w:r>
          </w:p>
        </w:tc>
        <w:tc>
          <w:tcPr>
            <w:tcW w:w="1610" w:type="dxa"/>
          </w:tcPr>
          <w:p w14:paraId="2A4A46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1396</w:t>
            </w:r>
          </w:p>
        </w:tc>
        <w:tc>
          <w:tcPr>
            <w:tcW w:w="1610" w:type="dxa"/>
          </w:tcPr>
          <w:p w14:paraId="7E8207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1600</w:t>
            </w:r>
          </w:p>
        </w:tc>
      </w:tr>
      <w:tr w:rsidR="00E3599D" w:rsidRPr="00E14102" w14:paraId="128C0332" w14:textId="77777777">
        <w:tc>
          <w:tcPr>
            <w:tcW w:w="1610" w:type="dxa"/>
          </w:tcPr>
          <w:p w14:paraId="64F41B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М100</w:t>
            </w:r>
          </w:p>
        </w:tc>
        <w:tc>
          <w:tcPr>
            <w:tcW w:w="1610" w:type="dxa"/>
          </w:tcPr>
          <w:p w14:paraId="03C575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610" w:type="dxa"/>
          </w:tcPr>
          <w:p w14:paraId="494181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77</w:t>
            </w:r>
          </w:p>
        </w:tc>
        <w:tc>
          <w:tcPr>
            <w:tcW w:w="1610" w:type="dxa"/>
          </w:tcPr>
          <w:p w14:paraId="710B9F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w:t>
            </w:r>
          </w:p>
        </w:tc>
        <w:tc>
          <w:tcPr>
            <w:tcW w:w="1610" w:type="dxa"/>
          </w:tcPr>
          <w:p w14:paraId="65E940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610" w:type="dxa"/>
          </w:tcPr>
          <w:p w14:paraId="405792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1610" w:type="dxa"/>
          </w:tcPr>
          <w:p w14:paraId="7AAB23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r>
      <w:tr w:rsidR="00E3599D" w:rsidRPr="00E14102" w14:paraId="36442787" w14:textId="77777777">
        <w:tc>
          <w:tcPr>
            <w:tcW w:w="1610" w:type="dxa"/>
          </w:tcPr>
          <w:p w14:paraId="20635F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1610" w:type="dxa"/>
          </w:tcPr>
          <w:p w14:paraId="1F4AA632"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0DD694A0"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7C106409"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1BDAAA07"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2EB992A7" w14:textId="77777777" w:rsidR="00D4105E" w:rsidRPr="00E14102" w:rsidRDefault="00D4105E" w:rsidP="00E14102">
            <w:pPr>
              <w:autoSpaceDE w:val="0"/>
              <w:autoSpaceDN w:val="0"/>
              <w:adjustRightInd w:val="0"/>
              <w:jc w:val="both"/>
              <w:rPr>
                <w:color w:val="000000" w:themeColor="text1"/>
                <w:sz w:val="16"/>
                <w:szCs w:val="16"/>
              </w:rPr>
            </w:pPr>
          </w:p>
        </w:tc>
        <w:tc>
          <w:tcPr>
            <w:tcW w:w="1610" w:type="dxa"/>
          </w:tcPr>
          <w:p w14:paraId="203BEEC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A09D029" w14:textId="77777777">
        <w:tc>
          <w:tcPr>
            <w:tcW w:w="1610" w:type="dxa"/>
          </w:tcPr>
          <w:p w14:paraId="6FAD3A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М11</w:t>
            </w:r>
          </w:p>
        </w:tc>
        <w:tc>
          <w:tcPr>
            <w:tcW w:w="1610" w:type="dxa"/>
          </w:tcPr>
          <w:p w14:paraId="63B23B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1610" w:type="dxa"/>
          </w:tcPr>
          <w:p w14:paraId="47A904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1011</w:t>
            </w:r>
          </w:p>
        </w:tc>
        <w:tc>
          <w:tcPr>
            <w:tcW w:w="1610" w:type="dxa"/>
          </w:tcPr>
          <w:p w14:paraId="3A2F4C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1011</w:t>
            </w:r>
          </w:p>
        </w:tc>
        <w:tc>
          <w:tcPr>
            <w:tcW w:w="1610" w:type="dxa"/>
          </w:tcPr>
          <w:p w14:paraId="43A5C1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610" w:type="dxa"/>
          </w:tcPr>
          <w:p w14:paraId="490258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138</w:t>
            </w:r>
          </w:p>
        </w:tc>
        <w:tc>
          <w:tcPr>
            <w:tcW w:w="1610" w:type="dxa"/>
          </w:tcPr>
          <w:p w14:paraId="7A18F2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r>
      <w:tr w:rsidR="00E3599D" w:rsidRPr="00E14102" w14:paraId="2D04D0AA" w14:textId="77777777">
        <w:tc>
          <w:tcPr>
            <w:tcW w:w="1610" w:type="dxa"/>
          </w:tcPr>
          <w:p w14:paraId="558371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М22</w:t>
            </w:r>
          </w:p>
        </w:tc>
        <w:tc>
          <w:tcPr>
            <w:tcW w:w="1610" w:type="dxa"/>
          </w:tcPr>
          <w:p w14:paraId="2EAC46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610" w:type="dxa"/>
          </w:tcPr>
          <w:p w14:paraId="220BEC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601</w:t>
            </w:r>
          </w:p>
        </w:tc>
        <w:tc>
          <w:tcPr>
            <w:tcW w:w="1610" w:type="dxa"/>
          </w:tcPr>
          <w:p w14:paraId="3E8C56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610" w:type="dxa"/>
          </w:tcPr>
          <w:p w14:paraId="28E30F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610" w:type="dxa"/>
          </w:tcPr>
          <w:p w14:paraId="29C3C1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241</w:t>
            </w:r>
          </w:p>
        </w:tc>
        <w:tc>
          <w:tcPr>
            <w:tcW w:w="1610" w:type="dxa"/>
          </w:tcPr>
          <w:p w14:paraId="55DD7C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w:t>
            </w:r>
          </w:p>
        </w:tc>
      </w:tr>
      <w:tr w:rsidR="00E3599D" w:rsidRPr="00E14102" w14:paraId="4D3B8892" w14:textId="77777777">
        <w:tc>
          <w:tcPr>
            <w:tcW w:w="1610" w:type="dxa"/>
          </w:tcPr>
          <w:p w14:paraId="2CC5DF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М75</w:t>
            </w:r>
          </w:p>
        </w:tc>
        <w:tc>
          <w:tcPr>
            <w:tcW w:w="1610" w:type="dxa"/>
          </w:tcPr>
          <w:p w14:paraId="3E0CBE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610" w:type="dxa"/>
          </w:tcPr>
          <w:p w14:paraId="09E263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610" w:type="dxa"/>
          </w:tcPr>
          <w:p w14:paraId="4D1269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566333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610" w:type="dxa"/>
          </w:tcPr>
          <w:p w14:paraId="36BA57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610" w:type="dxa"/>
          </w:tcPr>
          <w:p w14:paraId="25B288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r>
      <w:tr w:rsidR="00E3599D" w:rsidRPr="00E14102" w14:paraId="6FAE19C0" w14:textId="77777777">
        <w:tc>
          <w:tcPr>
            <w:tcW w:w="1610" w:type="dxa"/>
          </w:tcPr>
          <w:p w14:paraId="7FF323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М85</w:t>
            </w:r>
          </w:p>
        </w:tc>
        <w:tc>
          <w:tcPr>
            <w:tcW w:w="1610" w:type="dxa"/>
          </w:tcPr>
          <w:p w14:paraId="2DB061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62A703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610" w:type="dxa"/>
          </w:tcPr>
          <w:p w14:paraId="3C3934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79933B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10" w:type="dxa"/>
          </w:tcPr>
          <w:p w14:paraId="20623E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610" w:type="dxa"/>
          </w:tcPr>
          <w:p w14:paraId="7407F0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r>
      <w:tr w:rsidR="00E3599D" w:rsidRPr="00E14102" w14:paraId="24C520CE" w14:textId="77777777">
        <w:tc>
          <w:tcPr>
            <w:tcW w:w="1610" w:type="dxa"/>
          </w:tcPr>
          <w:p w14:paraId="051ED1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1610" w:type="dxa"/>
          </w:tcPr>
          <w:p w14:paraId="0A69A3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8302</w:t>
            </w:r>
          </w:p>
        </w:tc>
        <w:tc>
          <w:tcPr>
            <w:tcW w:w="1610" w:type="dxa"/>
          </w:tcPr>
          <w:p w14:paraId="11C1D7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6691</w:t>
            </w:r>
          </w:p>
        </w:tc>
        <w:tc>
          <w:tcPr>
            <w:tcW w:w="1610" w:type="dxa"/>
          </w:tcPr>
          <w:p w14:paraId="5472F3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7853</w:t>
            </w:r>
          </w:p>
        </w:tc>
        <w:tc>
          <w:tcPr>
            <w:tcW w:w="1610" w:type="dxa"/>
          </w:tcPr>
          <w:p w14:paraId="590497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2595</w:t>
            </w:r>
          </w:p>
        </w:tc>
        <w:tc>
          <w:tcPr>
            <w:tcW w:w="1610" w:type="dxa"/>
          </w:tcPr>
          <w:p w14:paraId="204153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2080</w:t>
            </w:r>
          </w:p>
        </w:tc>
        <w:tc>
          <w:tcPr>
            <w:tcW w:w="1610" w:type="dxa"/>
          </w:tcPr>
          <w:p w14:paraId="052CDA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2515</w:t>
            </w:r>
          </w:p>
        </w:tc>
      </w:tr>
      <w:tr w:rsidR="00E3599D" w:rsidRPr="00E14102" w14:paraId="41CB73B8" w14:textId="77777777">
        <w:tc>
          <w:tcPr>
            <w:tcW w:w="1610" w:type="dxa"/>
          </w:tcPr>
          <w:p w14:paraId="39884D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w:t>
            </w:r>
          </w:p>
        </w:tc>
        <w:tc>
          <w:tcPr>
            <w:tcW w:w="1610" w:type="dxa"/>
          </w:tcPr>
          <w:p w14:paraId="3D012A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70CAC8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80,6</w:t>
            </w:r>
          </w:p>
        </w:tc>
        <w:tc>
          <w:tcPr>
            <w:tcW w:w="1610" w:type="dxa"/>
          </w:tcPr>
          <w:p w14:paraId="2E808F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94,6</w:t>
            </w:r>
          </w:p>
        </w:tc>
        <w:tc>
          <w:tcPr>
            <w:tcW w:w="1610" w:type="dxa"/>
          </w:tcPr>
          <w:p w14:paraId="150FE8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610" w:type="dxa"/>
          </w:tcPr>
          <w:p w14:paraId="1E6376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80,2</w:t>
            </w:r>
          </w:p>
        </w:tc>
        <w:tc>
          <w:tcPr>
            <w:tcW w:w="1610" w:type="dxa"/>
          </w:tcPr>
          <w:p w14:paraId="68C753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96,9</w:t>
            </w:r>
          </w:p>
        </w:tc>
      </w:tr>
    </w:tbl>
    <w:p w14:paraId="352335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(3574,77).</w:t>
      </w:r>
    </w:p>
    <w:p w14:paraId="22D8CE5E" w14:textId="77777777" w:rsidR="00D4105E" w:rsidRPr="00E14102" w:rsidRDefault="00D4105E" w:rsidP="00E14102">
      <w:pPr>
        <w:autoSpaceDE w:val="0"/>
        <w:autoSpaceDN w:val="0"/>
        <w:adjustRightInd w:val="0"/>
        <w:jc w:val="both"/>
        <w:rPr>
          <w:color w:val="000000" w:themeColor="text1"/>
          <w:sz w:val="16"/>
          <w:szCs w:val="16"/>
        </w:rPr>
      </w:pPr>
    </w:p>
    <w:p w14:paraId="7271BC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ноября 1935 года была подготовлена Справка о ходе выполнения заказов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6"/>
        <w:gridCol w:w="626"/>
        <w:gridCol w:w="626"/>
        <w:gridCol w:w="626"/>
        <w:gridCol w:w="626"/>
        <w:gridCol w:w="626"/>
        <w:gridCol w:w="626"/>
        <w:gridCol w:w="626"/>
        <w:gridCol w:w="626"/>
        <w:gridCol w:w="626"/>
        <w:gridCol w:w="626"/>
        <w:gridCol w:w="626"/>
        <w:gridCol w:w="626"/>
        <w:gridCol w:w="626"/>
        <w:gridCol w:w="626"/>
        <w:gridCol w:w="626"/>
        <w:gridCol w:w="626"/>
        <w:gridCol w:w="626"/>
      </w:tblGrid>
      <w:tr w:rsidR="00E3599D" w:rsidRPr="00E14102" w14:paraId="080E10C6" w14:textId="77777777">
        <w:tc>
          <w:tcPr>
            <w:tcW w:w="626" w:type="dxa"/>
          </w:tcPr>
          <w:p w14:paraId="106C5C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с-тов</w:t>
            </w:r>
          </w:p>
        </w:tc>
        <w:tc>
          <w:tcPr>
            <w:tcW w:w="626" w:type="dxa"/>
          </w:tcPr>
          <w:p w14:paraId="281626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НКО надлежит сдать по пост. Пр-ва</w:t>
            </w:r>
          </w:p>
        </w:tc>
        <w:tc>
          <w:tcPr>
            <w:tcW w:w="626" w:type="dxa"/>
          </w:tcPr>
          <w:p w14:paraId="74DAE8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НКО сдано на 25 нояб. 1935 года</w:t>
            </w:r>
          </w:p>
        </w:tc>
        <w:tc>
          <w:tcPr>
            <w:tcW w:w="626" w:type="dxa"/>
          </w:tcPr>
          <w:p w14:paraId="0D279C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НКО будет сдано до 1 янв. 1936 года</w:t>
            </w:r>
          </w:p>
        </w:tc>
        <w:tc>
          <w:tcPr>
            <w:tcW w:w="626" w:type="dxa"/>
          </w:tcPr>
          <w:p w14:paraId="43B54F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НКО</w:t>
            </w:r>
          </w:p>
          <w:p w14:paraId="1DC86A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по тех. готовности задер. сдачей вследствие предъявл. новых техтребов.</w:t>
            </w:r>
          </w:p>
        </w:tc>
        <w:tc>
          <w:tcPr>
            <w:tcW w:w="626" w:type="dxa"/>
          </w:tcPr>
          <w:p w14:paraId="2C985F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ГУГВФ </w:t>
            </w:r>
          </w:p>
          <w:p w14:paraId="6C84D9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заказ на 1935 год</w:t>
            </w:r>
          </w:p>
        </w:tc>
        <w:tc>
          <w:tcPr>
            <w:tcW w:w="626" w:type="dxa"/>
          </w:tcPr>
          <w:p w14:paraId="3F9191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ГУГВФ сдано на 25 нояб. 1935 года</w:t>
            </w:r>
          </w:p>
          <w:p w14:paraId="4E82FC72"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121B82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ГУГВФ будет сдано на 1 янв. 1936 года</w:t>
            </w:r>
          </w:p>
        </w:tc>
        <w:tc>
          <w:tcPr>
            <w:tcW w:w="626" w:type="dxa"/>
          </w:tcPr>
          <w:p w14:paraId="447691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ГУГВФ кроме того по тех. готовности задер. сдачей вследствие предъявл. новых техтребов.</w:t>
            </w:r>
          </w:p>
        </w:tc>
        <w:tc>
          <w:tcPr>
            <w:tcW w:w="626" w:type="dxa"/>
          </w:tcPr>
          <w:p w14:paraId="13AE16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по заказам НКО и ГУГВФ надлежит сдать в 1935 году</w:t>
            </w:r>
          </w:p>
        </w:tc>
        <w:tc>
          <w:tcPr>
            <w:tcW w:w="626" w:type="dxa"/>
          </w:tcPr>
          <w:p w14:paraId="18B010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по заказам НКО и ГУГВФ сдано на 25 нояб. 1935 года</w:t>
            </w:r>
          </w:p>
        </w:tc>
        <w:tc>
          <w:tcPr>
            <w:tcW w:w="626" w:type="dxa"/>
          </w:tcPr>
          <w:p w14:paraId="35700E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по заказам НКО и ГУГВФ будет сдано на 1 янв. 1936 года</w:t>
            </w:r>
          </w:p>
        </w:tc>
        <w:tc>
          <w:tcPr>
            <w:tcW w:w="626" w:type="dxa"/>
          </w:tcPr>
          <w:p w14:paraId="26D731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по заказам НКО и ГУГВФ кроме того по тех. готовности задер. сдачей вследствие предъявл. новы</w:t>
            </w:r>
            <w:r w:rsidRPr="00E14102">
              <w:rPr>
                <w:color w:val="000000" w:themeColor="text1"/>
                <w:sz w:val="16"/>
                <w:szCs w:val="16"/>
              </w:rPr>
              <w:lastRenderedPageBreak/>
              <w:t>х техтребов.</w:t>
            </w:r>
          </w:p>
        </w:tc>
        <w:tc>
          <w:tcPr>
            <w:tcW w:w="626" w:type="dxa"/>
          </w:tcPr>
          <w:p w14:paraId="289BB1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сдано пр. орг. (ОСО, ГУПВО, ГУСМП и др.) сдано на 25 нояб. 1935 года</w:t>
            </w:r>
          </w:p>
          <w:p w14:paraId="77E991F8"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5691C9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сдано пр. орг. (ОСО, ГУПВО, ГУСМП и др.) будет сдано на 1 янв. 1936 года</w:t>
            </w:r>
          </w:p>
        </w:tc>
        <w:tc>
          <w:tcPr>
            <w:tcW w:w="626" w:type="dxa"/>
          </w:tcPr>
          <w:p w14:paraId="31FAC7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сдано по всем заказам (включая сдачу пр. орг.) сдано на 25 нояб. 1935 года</w:t>
            </w:r>
          </w:p>
        </w:tc>
        <w:tc>
          <w:tcPr>
            <w:tcW w:w="626" w:type="dxa"/>
          </w:tcPr>
          <w:p w14:paraId="7CC1A9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сдано по всем заказам (включая сдачу пр. орг.) будет сдано на 1 янв. 1936 года</w:t>
            </w:r>
          </w:p>
        </w:tc>
        <w:tc>
          <w:tcPr>
            <w:tcW w:w="626" w:type="dxa"/>
          </w:tcPr>
          <w:p w14:paraId="2C81BB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Всего сдано по всем заказам (включая сдачу пр. орг.) кроме того по тех. готовности задер. сдачей вследствие </w:t>
            </w:r>
            <w:r w:rsidRPr="00E14102">
              <w:rPr>
                <w:color w:val="000000" w:themeColor="text1"/>
                <w:sz w:val="16"/>
                <w:szCs w:val="16"/>
              </w:rPr>
              <w:lastRenderedPageBreak/>
              <w:t>предъявл. новых техтребов.</w:t>
            </w:r>
          </w:p>
        </w:tc>
      </w:tr>
      <w:tr w:rsidR="00E3599D" w:rsidRPr="00E14102" w14:paraId="0F9565A6" w14:textId="77777777">
        <w:tc>
          <w:tcPr>
            <w:tcW w:w="626" w:type="dxa"/>
          </w:tcPr>
          <w:p w14:paraId="1EA62D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Р5-М17</w:t>
            </w:r>
          </w:p>
        </w:tc>
        <w:tc>
          <w:tcPr>
            <w:tcW w:w="626" w:type="dxa"/>
          </w:tcPr>
          <w:p w14:paraId="683EDC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EADB1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135</w:t>
            </w:r>
          </w:p>
        </w:tc>
        <w:tc>
          <w:tcPr>
            <w:tcW w:w="626" w:type="dxa"/>
          </w:tcPr>
          <w:p w14:paraId="788374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135</w:t>
            </w:r>
          </w:p>
        </w:tc>
        <w:tc>
          <w:tcPr>
            <w:tcW w:w="626" w:type="dxa"/>
          </w:tcPr>
          <w:p w14:paraId="6623DE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91F41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156</w:t>
            </w:r>
          </w:p>
        </w:tc>
        <w:tc>
          <w:tcPr>
            <w:tcW w:w="626" w:type="dxa"/>
          </w:tcPr>
          <w:p w14:paraId="0F0FE6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w:t>
            </w:r>
          </w:p>
        </w:tc>
        <w:tc>
          <w:tcPr>
            <w:tcW w:w="626" w:type="dxa"/>
          </w:tcPr>
          <w:p w14:paraId="700953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w:t>
            </w:r>
          </w:p>
        </w:tc>
        <w:tc>
          <w:tcPr>
            <w:tcW w:w="626" w:type="dxa"/>
          </w:tcPr>
          <w:p w14:paraId="30D146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7910D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156</w:t>
            </w:r>
          </w:p>
        </w:tc>
        <w:tc>
          <w:tcPr>
            <w:tcW w:w="626" w:type="dxa"/>
          </w:tcPr>
          <w:p w14:paraId="42BCD9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328</w:t>
            </w:r>
          </w:p>
        </w:tc>
        <w:tc>
          <w:tcPr>
            <w:tcW w:w="626" w:type="dxa"/>
          </w:tcPr>
          <w:p w14:paraId="61EC1C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330</w:t>
            </w:r>
          </w:p>
        </w:tc>
        <w:tc>
          <w:tcPr>
            <w:tcW w:w="626" w:type="dxa"/>
          </w:tcPr>
          <w:p w14:paraId="3A0898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6DA4D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w:t>
            </w:r>
          </w:p>
        </w:tc>
        <w:tc>
          <w:tcPr>
            <w:tcW w:w="626" w:type="dxa"/>
          </w:tcPr>
          <w:p w14:paraId="2FCA08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w:t>
            </w:r>
          </w:p>
        </w:tc>
        <w:tc>
          <w:tcPr>
            <w:tcW w:w="626" w:type="dxa"/>
          </w:tcPr>
          <w:p w14:paraId="74C6DC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448</w:t>
            </w:r>
          </w:p>
        </w:tc>
        <w:tc>
          <w:tcPr>
            <w:tcW w:w="626" w:type="dxa"/>
          </w:tcPr>
          <w:p w14:paraId="0C0B9B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626" w:type="dxa"/>
          </w:tcPr>
          <w:p w14:paraId="3467DC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3CB07958" w14:textId="77777777">
        <w:tc>
          <w:tcPr>
            <w:tcW w:w="626" w:type="dxa"/>
          </w:tcPr>
          <w:p w14:paraId="71694A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Торпедоносцы</w:t>
            </w:r>
          </w:p>
        </w:tc>
        <w:tc>
          <w:tcPr>
            <w:tcW w:w="626" w:type="dxa"/>
          </w:tcPr>
          <w:p w14:paraId="6F5534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32D5D1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4FDF02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39730F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E1943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A311B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8F55D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81076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A9465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2A082A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164553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7CAD16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75442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67CBE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A9987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7EE7F6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23F302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205C7067" w14:textId="77777777">
        <w:tc>
          <w:tcPr>
            <w:tcW w:w="626" w:type="dxa"/>
          </w:tcPr>
          <w:p w14:paraId="592C00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ССС-М17</w:t>
            </w:r>
          </w:p>
        </w:tc>
        <w:tc>
          <w:tcPr>
            <w:tcW w:w="626" w:type="dxa"/>
          </w:tcPr>
          <w:p w14:paraId="0828B9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w:t>
            </w:r>
          </w:p>
        </w:tc>
        <w:tc>
          <w:tcPr>
            <w:tcW w:w="626" w:type="dxa"/>
          </w:tcPr>
          <w:p w14:paraId="1D5C9B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111</w:t>
            </w:r>
          </w:p>
        </w:tc>
        <w:tc>
          <w:tcPr>
            <w:tcW w:w="626" w:type="dxa"/>
          </w:tcPr>
          <w:p w14:paraId="04C463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w:t>
            </w:r>
          </w:p>
        </w:tc>
        <w:tc>
          <w:tcPr>
            <w:tcW w:w="626" w:type="dxa"/>
          </w:tcPr>
          <w:p w14:paraId="7D1B55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CB1ED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0E25E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626" w:type="dxa"/>
          </w:tcPr>
          <w:p w14:paraId="375812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626" w:type="dxa"/>
          </w:tcPr>
          <w:p w14:paraId="48BE53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88488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w:t>
            </w:r>
          </w:p>
        </w:tc>
        <w:tc>
          <w:tcPr>
            <w:tcW w:w="626" w:type="dxa"/>
          </w:tcPr>
          <w:p w14:paraId="1F8085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w:t>
            </w:r>
          </w:p>
        </w:tc>
        <w:tc>
          <w:tcPr>
            <w:tcW w:w="626" w:type="dxa"/>
          </w:tcPr>
          <w:p w14:paraId="2085AA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354</w:t>
            </w:r>
          </w:p>
        </w:tc>
        <w:tc>
          <w:tcPr>
            <w:tcW w:w="626" w:type="dxa"/>
          </w:tcPr>
          <w:p w14:paraId="42F40C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78F42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626" w:type="dxa"/>
          </w:tcPr>
          <w:p w14:paraId="3DF4C3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626" w:type="dxa"/>
          </w:tcPr>
          <w:p w14:paraId="720235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116</w:t>
            </w:r>
          </w:p>
        </w:tc>
        <w:tc>
          <w:tcPr>
            <w:tcW w:w="626" w:type="dxa"/>
          </w:tcPr>
          <w:p w14:paraId="59C008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355</w:t>
            </w:r>
          </w:p>
        </w:tc>
        <w:tc>
          <w:tcPr>
            <w:tcW w:w="626" w:type="dxa"/>
          </w:tcPr>
          <w:p w14:paraId="371E4C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2D24B6F5" w14:textId="77777777">
        <w:tc>
          <w:tcPr>
            <w:tcW w:w="626" w:type="dxa"/>
          </w:tcPr>
          <w:p w14:paraId="1550D9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И15-М25</w:t>
            </w:r>
          </w:p>
        </w:tc>
        <w:tc>
          <w:tcPr>
            <w:tcW w:w="626" w:type="dxa"/>
          </w:tcPr>
          <w:p w14:paraId="59A322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291</w:t>
            </w:r>
          </w:p>
        </w:tc>
        <w:tc>
          <w:tcPr>
            <w:tcW w:w="626" w:type="dxa"/>
          </w:tcPr>
          <w:p w14:paraId="62661E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227</w:t>
            </w:r>
          </w:p>
        </w:tc>
        <w:tc>
          <w:tcPr>
            <w:tcW w:w="626" w:type="dxa"/>
          </w:tcPr>
          <w:p w14:paraId="02B4F2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275</w:t>
            </w:r>
          </w:p>
        </w:tc>
        <w:tc>
          <w:tcPr>
            <w:tcW w:w="626" w:type="dxa"/>
          </w:tcPr>
          <w:p w14:paraId="72CF9A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626" w:type="dxa"/>
          </w:tcPr>
          <w:p w14:paraId="2176CD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5B054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8A0E1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EE6A0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09C43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291</w:t>
            </w:r>
          </w:p>
        </w:tc>
        <w:tc>
          <w:tcPr>
            <w:tcW w:w="626" w:type="dxa"/>
          </w:tcPr>
          <w:p w14:paraId="45E6C9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227</w:t>
            </w:r>
          </w:p>
        </w:tc>
        <w:tc>
          <w:tcPr>
            <w:tcW w:w="626" w:type="dxa"/>
          </w:tcPr>
          <w:p w14:paraId="41DD08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275</w:t>
            </w:r>
          </w:p>
        </w:tc>
        <w:tc>
          <w:tcPr>
            <w:tcW w:w="626" w:type="dxa"/>
          </w:tcPr>
          <w:p w14:paraId="57A19E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w:t>
            </w:r>
          </w:p>
        </w:tc>
        <w:tc>
          <w:tcPr>
            <w:tcW w:w="626" w:type="dxa"/>
          </w:tcPr>
          <w:p w14:paraId="6E51FD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626" w:type="dxa"/>
          </w:tcPr>
          <w:p w14:paraId="5A6625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626" w:type="dxa"/>
          </w:tcPr>
          <w:p w14:paraId="1BCAE5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228</w:t>
            </w:r>
          </w:p>
        </w:tc>
        <w:tc>
          <w:tcPr>
            <w:tcW w:w="626" w:type="dxa"/>
          </w:tcPr>
          <w:p w14:paraId="51C2BE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276</w:t>
            </w:r>
          </w:p>
        </w:tc>
        <w:tc>
          <w:tcPr>
            <w:tcW w:w="626" w:type="dxa"/>
          </w:tcPr>
          <w:p w14:paraId="371EA1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54965100" w14:textId="77777777">
        <w:tc>
          <w:tcPr>
            <w:tcW w:w="626" w:type="dxa"/>
          </w:tcPr>
          <w:p w14:paraId="748BAA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РЗЕТ-М34Н</w:t>
            </w:r>
          </w:p>
        </w:tc>
        <w:tc>
          <w:tcPr>
            <w:tcW w:w="626" w:type="dxa"/>
          </w:tcPr>
          <w:p w14:paraId="2D12ED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626" w:type="dxa"/>
          </w:tcPr>
          <w:p w14:paraId="4A3D7B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3AB59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4F914E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26" w:type="dxa"/>
          </w:tcPr>
          <w:p w14:paraId="148464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62340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17A2B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6E59E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20661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626" w:type="dxa"/>
          </w:tcPr>
          <w:p w14:paraId="79D604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268F6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2FCCF7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26" w:type="dxa"/>
          </w:tcPr>
          <w:p w14:paraId="655258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329BE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386EE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A857E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2E6430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5F1AA061" w14:textId="77777777">
        <w:tc>
          <w:tcPr>
            <w:tcW w:w="626" w:type="dxa"/>
          </w:tcPr>
          <w:p w14:paraId="25AE5A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РД-М34Р</w:t>
            </w:r>
          </w:p>
        </w:tc>
        <w:tc>
          <w:tcPr>
            <w:tcW w:w="626" w:type="dxa"/>
          </w:tcPr>
          <w:p w14:paraId="2CE5B4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26" w:type="dxa"/>
          </w:tcPr>
          <w:p w14:paraId="035D2B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851DC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626" w:type="dxa"/>
          </w:tcPr>
          <w:p w14:paraId="677EF3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0C4FBB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9E78C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3110A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FC731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7B96F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26" w:type="dxa"/>
          </w:tcPr>
          <w:p w14:paraId="2FF8F4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CD227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626" w:type="dxa"/>
          </w:tcPr>
          <w:p w14:paraId="254799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46E2D0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65D89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D7BDB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3963F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626" w:type="dxa"/>
          </w:tcPr>
          <w:p w14:paraId="561E2F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r>
      <w:tr w:rsidR="00E3599D" w:rsidRPr="00E14102" w14:paraId="1038D6D2" w14:textId="77777777">
        <w:tc>
          <w:tcPr>
            <w:tcW w:w="626" w:type="dxa"/>
          </w:tcPr>
          <w:p w14:paraId="1B879B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И6-М22</w:t>
            </w:r>
          </w:p>
        </w:tc>
        <w:tc>
          <w:tcPr>
            <w:tcW w:w="626" w:type="dxa"/>
          </w:tcPr>
          <w:p w14:paraId="3C76BD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626" w:type="dxa"/>
          </w:tcPr>
          <w:p w14:paraId="323D8F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460**</w:t>
            </w:r>
          </w:p>
        </w:tc>
        <w:tc>
          <w:tcPr>
            <w:tcW w:w="626" w:type="dxa"/>
          </w:tcPr>
          <w:p w14:paraId="7EAE6E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626" w:type="dxa"/>
          </w:tcPr>
          <w:p w14:paraId="04CAAC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E49C3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EDF28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21BC6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E9D28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E340E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626" w:type="dxa"/>
          </w:tcPr>
          <w:p w14:paraId="0E201B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460**</w:t>
            </w:r>
          </w:p>
        </w:tc>
        <w:tc>
          <w:tcPr>
            <w:tcW w:w="626" w:type="dxa"/>
          </w:tcPr>
          <w:p w14:paraId="00BDB9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626" w:type="dxa"/>
          </w:tcPr>
          <w:p w14:paraId="097894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1D990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29A1F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DB9CD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460</w:t>
            </w:r>
          </w:p>
        </w:tc>
        <w:tc>
          <w:tcPr>
            <w:tcW w:w="626" w:type="dxa"/>
          </w:tcPr>
          <w:p w14:paraId="4C1805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626" w:type="dxa"/>
          </w:tcPr>
          <w:p w14:paraId="509571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58DE0399" w14:textId="77777777">
        <w:tc>
          <w:tcPr>
            <w:tcW w:w="626" w:type="dxa"/>
          </w:tcPr>
          <w:p w14:paraId="6F95FF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И6-М25</w:t>
            </w:r>
          </w:p>
        </w:tc>
        <w:tc>
          <w:tcPr>
            <w:tcW w:w="626" w:type="dxa"/>
          </w:tcPr>
          <w:p w14:paraId="687770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26" w:type="dxa"/>
          </w:tcPr>
          <w:p w14:paraId="491EC0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BBAC7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0779FC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26" w:type="dxa"/>
          </w:tcPr>
          <w:p w14:paraId="6DE11A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FBBC9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221BA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2F35A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CD0C5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26" w:type="dxa"/>
          </w:tcPr>
          <w:p w14:paraId="3022C6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116AE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1E27F9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26" w:type="dxa"/>
          </w:tcPr>
          <w:p w14:paraId="7E9BE0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D0AB8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F5B16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46E43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551670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05B67357" w14:textId="77777777">
        <w:tc>
          <w:tcPr>
            <w:tcW w:w="626" w:type="dxa"/>
          </w:tcPr>
          <w:p w14:paraId="583CDA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УТИ-М22</w:t>
            </w:r>
          </w:p>
        </w:tc>
        <w:tc>
          <w:tcPr>
            <w:tcW w:w="626" w:type="dxa"/>
          </w:tcPr>
          <w:p w14:paraId="3186EE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2074EE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626" w:type="dxa"/>
          </w:tcPr>
          <w:p w14:paraId="40DBC7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4A928D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34A06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9E4F7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00492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A8096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20805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28CB98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626" w:type="dxa"/>
          </w:tcPr>
          <w:p w14:paraId="25B478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177171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60976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4243F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D94F2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626" w:type="dxa"/>
          </w:tcPr>
          <w:p w14:paraId="36280B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395179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3ACA2E50" w14:textId="77777777">
        <w:tc>
          <w:tcPr>
            <w:tcW w:w="626" w:type="dxa"/>
          </w:tcPr>
          <w:p w14:paraId="437383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 РБ</w:t>
            </w:r>
          </w:p>
        </w:tc>
        <w:tc>
          <w:tcPr>
            <w:tcW w:w="626" w:type="dxa"/>
          </w:tcPr>
          <w:p w14:paraId="418DAC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626" w:type="dxa"/>
          </w:tcPr>
          <w:p w14:paraId="730F47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C2456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626" w:type="dxa"/>
          </w:tcPr>
          <w:p w14:paraId="09228A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D32D6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26551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3E710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283D9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73F05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626" w:type="dxa"/>
          </w:tcPr>
          <w:p w14:paraId="27D1D0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7411B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626" w:type="dxa"/>
          </w:tcPr>
          <w:p w14:paraId="57C242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27852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D0405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E6518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7694B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626" w:type="dxa"/>
          </w:tcPr>
          <w:p w14:paraId="3D8BE4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F0E9EBF" w14:textId="77777777">
        <w:tc>
          <w:tcPr>
            <w:tcW w:w="626" w:type="dxa"/>
          </w:tcPr>
          <w:p w14:paraId="795F79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ТБ3-М34 РН</w:t>
            </w:r>
          </w:p>
        </w:tc>
        <w:tc>
          <w:tcPr>
            <w:tcW w:w="626" w:type="dxa"/>
          </w:tcPr>
          <w:p w14:paraId="5ED04C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w:t>
            </w:r>
          </w:p>
        </w:tc>
        <w:tc>
          <w:tcPr>
            <w:tcW w:w="626" w:type="dxa"/>
          </w:tcPr>
          <w:p w14:paraId="78163F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626" w:type="dxa"/>
          </w:tcPr>
          <w:p w14:paraId="088370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35772B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w:t>
            </w:r>
          </w:p>
        </w:tc>
        <w:tc>
          <w:tcPr>
            <w:tcW w:w="626" w:type="dxa"/>
          </w:tcPr>
          <w:p w14:paraId="37C275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A28BE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823A9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B21D2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B87CE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w:t>
            </w:r>
          </w:p>
        </w:tc>
        <w:tc>
          <w:tcPr>
            <w:tcW w:w="626" w:type="dxa"/>
          </w:tcPr>
          <w:p w14:paraId="241C18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626" w:type="dxa"/>
          </w:tcPr>
          <w:p w14:paraId="64D64C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0C374D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w:t>
            </w:r>
          </w:p>
        </w:tc>
        <w:tc>
          <w:tcPr>
            <w:tcW w:w="626" w:type="dxa"/>
          </w:tcPr>
          <w:p w14:paraId="40AAA7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DE6F8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0CFFE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626" w:type="dxa"/>
          </w:tcPr>
          <w:p w14:paraId="5675C3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626" w:type="dxa"/>
          </w:tcPr>
          <w:p w14:paraId="7EE415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w:t>
            </w:r>
          </w:p>
        </w:tc>
      </w:tr>
      <w:tr w:rsidR="00E3599D" w:rsidRPr="00E14102" w14:paraId="4388D87C" w14:textId="77777777">
        <w:tc>
          <w:tcPr>
            <w:tcW w:w="626" w:type="dxa"/>
          </w:tcPr>
          <w:p w14:paraId="3EECCF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КР6-М17</w:t>
            </w:r>
          </w:p>
        </w:tc>
        <w:tc>
          <w:tcPr>
            <w:tcW w:w="626" w:type="dxa"/>
          </w:tcPr>
          <w:p w14:paraId="1DCFA1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417A4B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0B9D3B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2A112B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FB8C1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DF3D3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E077B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02713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621A7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74181E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5C59DF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7EDDDD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08A1C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D8695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F1806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37C3DE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704935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45CC9D48" w14:textId="77777777">
        <w:tc>
          <w:tcPr>
            <w:tcW w:w="626" w:type="dxa"/>
          </w:tcPr>
          <w:p w14:paraId="73E5D3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КР6А-М17</w:t>
            </w:r>
          </w:p>
        </w:tc>
        <w:tc>
          <w:tcPr>
            <w:tcW w:w="626" w:type="dxa"/>
          </w:tcPr>
          <w:p w14:paraId="52E646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26" w:type="dxa"/>
          </w:tcPr>
          <w:p w14:paraId="67190C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26" w:type="dxa"/>
          </w:tcPr>
          <w:p w14:paraId="470B00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26" w:type="dxa"/>
          </w:tcPr>
          <w:p w14:paraId="0C2EB8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762EF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9915B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626" w:type="dxa"/>
          </w:tcPr>
          <w:p w14:paraId="488131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626" w:type="dxa"/>
          </w:tcPr>
          <w:p w14:paraId="1F4B32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2CAFE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26" w:type="dxa"/>
          </w:tcPr>
          <w:p w14:paraId="609FAF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w:t>
            </w:r>
          </w:p>
        </w:tc>
        <w:tc>
          <w:tcPr>
            <w:tcW w:w="626" w:type="dxa"/>
          </w:tcPr>
          <w:p w14:paraId="691DF9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w:t>
            </w:r>
          </w:p>
        </w:tc>
        <w:tc>
          <w:tcPr>
            <w:tcW w:w="626" w:type="dxa"/>
          </w:tcPr>
          <w:p w14:paraId="3DF5CE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9EF40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626" w:type="dxa"/>
          </w:tcPr>
          <w:p w14:paraId="0A84EF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626" w:type="dxa"/>
          </w:tcPr>
          <w:p w14:paraId="28E99D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w:t>
            </w:r>
          </w:p>
        </w:tc>
        <w:tc>
          <w:tcPr>
            <w:tcW w:w="626" w:type="dxa"/>
          </w:tcPr>
          <w:p w14:paraId="2552B3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w:t>
            </w:r>
          </w:p>
        </w:tc>
        <w:tc>
          <w:tcPr>
            <w:tcW w:w="626" w:type="dxa"/>
          </w:tcPr>
          <w:p w14:paraId="70BAB5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24E05EC1" w14:textId="77777777">
        <w:tc>
          <w:tcPr>
            <w:tcW w:w="626" w:type="dxa"/>
          </w:tcPr>
          <w:p w14:paraId="55BAAD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СБ-М100</w:t>
            </w:r>
          </w:p>
        </w:tc>
        <w:tc>
          <w:tcPr>
            <w:tcW w:w="626" w:type="dxa"/>
          </w:tcPr>
          <w:p w14:paraId="75A283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7692F3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E8956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75BFBE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806C2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653B8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4D6E8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390BB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277C3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07989B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49EF1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60A495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51741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83752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D70D4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C97CB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6659FA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775A92CC" w14:textId="77777777">
        <w:tc>
          <w:tcPr>
            <w:tcW w:w="626" w:type="dxa"/>
          </w:tcPr>
          <w:p w14:paraId="4E9FDE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У2-М11</w:t>
            </w:r>
          </w:p>
        </w:tc>
        <w:tc>
          <w:tcPr>
            <w:tcW w:w="626" w:type="dxa"/>
          </w:tcPr>
          <w:p w14:paraId="663A77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26" w:type="dxa"/>
          </w:tcPr>
          <w:p w14:paraId="6C0E64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26" w:type="dxa"/>
          </w:tcPr>
          <w:p w14:paraId="7F2D44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26" w:type="dxa"/>
          </w:tcPr>
          <w:p w14:paraId="06A192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F703F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w:t>
            </w:r>
          </w:p>
        </w:tc>
        <w:tc>
          <w:tcPr>
            <w:tcW w:w="626" w:type="dxa"/>
          </w:tcPr>
          <w:p w14:paraId="102EC2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137</w:t>
            </w:r>
          </w:p>
        </w:tc>
        <w:tc>
          <w:tcPr>
            <w:tcW w:w="626" w:type="dxa"/>
          </w:tcPr>
          <w:p w14:paraId="6CD9B2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w:t>
            </w:r>
          </w:p>
        </w:tc>
        <w:tc>
          <w:tcPr>
            <w:tcW w:w="626" w:type="dxa"/>
          </w:tcPr>
          <w:p w14:paraId="76B3A5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4D42A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341</w:t>
            </w:r>
          </w:p>
        </w:tc>
        <w:tc>
          <w:tcPr>
            <w:tcW w:w="626" w:type="dxa"/>
          </w:tcPr>
          <w:p w14:paraId="3A79EB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287</w:t>
            </w:r>
          </w:p>
        </w:tc>
        <w:tc>
          <w:tcPr>
            <w:tcW w:w="626" w:type="dxa"/>
          </w:tcPr>
          <w:p w14:paraId="723E65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341</w:t>
            </w:r>
          </w:p>
        </w:tc>
        <w:tc>
          <w:tcPr>
            <w:tcW w:w="626" w:type="dxa"/>
          </w:tcPr>
          <w:p w14:paraId="5EBD13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6B2EA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206</w:t>
            </w:r>
          </w:p>
        </w:tc>
        <w:tc>
          <w:tcPr>
            <w:tcW w:w="626" w:type="dxa"/>
          </w:tcPr>
          <w:p w14:paraId="68D09F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261</w:t>
            </w:r>
          </w:p>
        </w:tc>
        <w:tc>
          <w:tcPr>
            <w:tcW w:w="626" w:type="dxa"/>
          </w:tcPr>
          <w:p w14:paraId="268658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493</w:t>
            </w:r>
          </w:p>
        </w:tc>
        <w:tc>
          <w:tcPr>
            <w:tcW w:w="626" w:type="dxa"/>
          </w:tcPr>
          <w:p w14:paraId="0AEF33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602</w:t>
            </w:r>
          </w:p>
        </w:tc>
        <w:tc>
          <w:tcPr>
            <w:tcW w:w="626" w:type="dxa"/>
          </w:tcPr>
          <w:p w14:paraId="159B06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DDF97E1" w14:textId="77777777">
        <w:tc>
          <w:tcPr>
            <w:tcW w:w="626" w:type="dxa"/>
          </w:tcPr>
          <w:p w14:paraId="68BE98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ВС-М11</w:t>
            </w:r>
          </w:p>
        </w:tc>
        <w:tc>
          <w:tcPr>
            <w:tcW w:w="626" w:type="dxa"/>
          </w:tcPr>
          <w:p w14:paraId="72EA01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26" w:type="dxa"/>
          </w:tcPr>
          <w:p w14:paraId="1649B5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143</w:t>
            </w:r>
          </w:p>
        </w:tc>
        <w:tc>
          <w:tcPr>
            <w:tcW w:w="626" w:type="dxa"/>
          </w:tcPr>
          <w:p w14:paraId="24BAE8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26" w:type="dxa"/>
          </w:tcPr>
          <w:p w14:paraId="317C6C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D657F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9C927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4F6FE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29C17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95105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26" w:type="dxa"/>
          </w:tcPr>
          <w:p w14:paraId="043E69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148</w:t>
            </w:r>
          </w:p>
        </w:tc>
        <w:tc>
          <w:tcPr>
            <w:tcW w:w="626" w:type="dxa"/>
          </w:tcPr>
          <w:p w14:paraId="6967FB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626" w:type="dxa"/>
          </w:tcPr>
          <w:p w14:paraId="5515B0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C0DF1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626" w:type="dxa"/>
          </w:tcPr>
          <w:p w14:paraId="7DED0A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626" w:type="dxa"/>
          </w:tcPr>
          <w:p w14:paraId="09C254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169</w:t>
            </w:r>
          </w:p>
        </w:tc>
        <w:tc>
          <w:tcPr>
            <w:tcW w:w="626" w:type="dxa"/>
          </w:tcPr>
          <w:p w14:paraId="7F23EF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171</w:t>
            </w:r>
          </w:p>
        </w:tc>
        <w:tc>
          <w:tcPr>
            <w:tcW w:w="626" w:type="dxa"/>
          </w:tcPr>
          <w:p w14:paraId="20A8FC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24FF374C" w14:textId="77777777">
        <w:tc>
          <w:tcPr>
            <w:tcW w:w="626" w:type="dxa"/>
          </w:tcPr>
          <w:p w14:paraId="55D24F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МБР2-М17</w:t>
            </w:r>
          </w:p>
        </w:tc>
        <w:tc>
          <w:tcPr>
            <w:tcW w:w="626" w:type="dxa"/>
          </w:tcPr>
          <w:p w14:paraId="003E0D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67A229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w:t>
            </w:r>
          </w:p>
        </w:tc>
        <w:tc>
          <w:tcPr>
            <w:tcW w:w="626" w:type="dxa"/>
          </w:tcPr>
          <w:p w14:paraId="53231B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04E74B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84366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CC351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C1F25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1EA44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365B2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4F6C2D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w:t>
            </w:r>
          </w:p>
        </w:tc>
        <w:tc>
          <w:tcPr>
            <w:tcW w:w="626" w:type="dxa"/>
          </w:tcPr>
          <w:p w14:paraId="042621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45E250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627D7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626" w:type="dxa"/>
          </w:tcPr>
          <w:p w14:paraId="118426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626" w:type="dxa"/>
          </w:tcPr>
          <w:p w14:paraId="15D7B2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w:t>
            </w:r>
          </w:p>
        </w:tc>
        <w:tc>
          <w:tcPr>
            <w:tcW w:w="626" w:type="dxa"/>
          </w:tcPr>
          <w:p w14:paraId="0EDAC6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w:t>
            </w:r>
          </w:p>
        </w:tc>
        <w:tc>
          <w:tcPr>
            <w:tcW w:w="626" w:type="dxa"/>
          </w:tcPr>
          <w:p w14:paraId="79F772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27630B89" w14:textId="77777777">
        <w:tc>
          <w:tcPr>
            <w:tcW w:w="626" w:type="dxa"/>
          </w:tcPr>
          <w:p w14:paraId="6DF927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МБР4- М34Р</w:t>
            </w:r>
          </w:p>
        </w:tc>
        <w:tc>
          <w:tcPr>
            <w:tcW w:w="626" w:type="dxa"/>
          </w:tcPr>
          <w:p w14:paraId="0A6802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26" w:type="dxa"/>
          </w:tcPr>
          <w:p w14:paraId="534577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AFC7F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3AEAD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626" w:type="dxa"/>
          </w:tcPr>
          <w:p w14:paraId="4F38B5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D8C86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323CF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FD023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EE16A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26" w:type="dxa"/>
          </w:tcPr>
          <w:p w14:paraId="08B721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48181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7552C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626" w:type="dxa"/>
          </w:tcPr>
          <w:p w14:paraId="098924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D50F5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5D915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42C34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EE878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r>
      <w:tr w:rsidR="00E3599D" w:rsidRPr="00E14102" w14:paraId="521D11D7" w14:textId="77777777">
        <w:tc>
          <w:tcPr>
            <w:tcW w:w="626" w:type="dxa"/>
          </w:tcPr>
          <w:p w14:paraId="1DBE3C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И5-М25</w:t>
            </w:r>
          </w:p>
        </w:tc>
        <w:tc>
          <w:tcPr>
            <w:tcW w:w="626" w:type="dxa"/>
          </w:tcPr>
          <w:p w14:paraId="261531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626" w:type="dxa"/>
          </w:tcPr>
          <w:p w14:paraId="161222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626" w:type="dxa"/>
          </w:tcPr>
          <w:p w14:paraId="50C66B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626" w:type="dxa"/>
          </w:tcPr>
          <w:p w14:paraId="67263D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10CAD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E7BAC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98C48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5CBFE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E0225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626" w:type="dxa"/>
          </w:tcPr>
          <w:p w14:paraId="135EAC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626" w:type="dxa"/>
          </w:tcPr>
          <w:p w14:paraId="32192C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626" w:type="dxa"/>
          </w:tcPr>
          <w:p w14:paraId="0AC8B6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1201C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7E829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08634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626" w:type="dxa"/>
          </w:tcPr>
          <w:p w14:paraId="37A5CD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626" w:type="dxa"/>
          </w:tcPr>
          <w:p w14:paraId="6ED73B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5DD8B691" w14:textId="77777777">
        <w:tc>
          <w:tcPr>
            <w:tcW w:w="626" w:type="dxa"/>
          </w:tcPr>
          <w:p w14:paraId="404249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И6-М25</w:t>
            </w:r>
          </w:p>
        </w:tc>
        <w:tc>
          <w:tcPr>
            <w:tcW w:w="626" w:type="dxa"/>
          </w:tcPr>
          <w:p w14:paraId="49FC89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846E4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626" w:type="dxa"/>
          </w:tcPr>
          <w:p w14:paraId="52A621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4A6F7A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1B97E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42FE2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C1FE2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E4C9F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C8161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A861A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626" w:type="dxa"/>
          </w:tcPr>
          <w:p w14:paraId="15C3F5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19AD1B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0F43B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49CC0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CA01D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626" w:type="dxa"/>
          </w:tcPr>
          <w:p w14:paraId="4598A6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0C3164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6B77E50B" w14:textId="77777777">
        <w:tc>
          <w:tcPr>
            <w:tcW w:w="626" w:type="dxa"/>
          </w:tcPr>
          <w:p w14:paraId="5DE0C3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ДИ6-М25</w:t>
            </w:r>
          </w:p>
        </w:tc>
        <w:tc>
          <w:tcPr>
            <w:tcW w:w="626" w:type="dxa"/>
          </w:tcPr>
          <w:p w14:paraId="12A887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65194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2B514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57F315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379EB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74D99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6FDD6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310CA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63F64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8F3A5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61A9F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166786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C9B7D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42D42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763AB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5ADD6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690E7A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192263BA" w14:textId="77777777">
        <w:tc>
          <w:tcPr>
            <w:tcW w:w="626" w:type="dxa"/>
          </w:tcPr>
          <w:p w14:paraId="719AD2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И4-М25</w:t>
            </w:r>
          </w:p>
        </w:tc>
        <w:tc>
          <w:tcPr>
            <w:tcW w:w="626" w:type="dxa"/>
          </w:tcPr>
          <w:p w14:paraId="5B97D8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6B640D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85B65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626" w:type="dxa"/>
          </w:tcPr>
          <w:p w14:paraId="655573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26" w:type="dxa"/>
          </w:tcPr>
          <w:p w14:paraId="1A2AA2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0A0ED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8C0D1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81ED0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134A6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3BF62C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E14D0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626" w:type="dxa"/>
          </w:tcPr>
          <w:p w14:paraId="2F8283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626" w:type="dxa"/>
          </w:tcPr>
          <w:p w14:paraId="3CEFE7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AA297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A8F0F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D633B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626" w:type="dxa"/>
          </w:tcPr>
          <w:p w14:paraId="72F0C0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r>
      <w:tr w:rsidR="00E3599D" w:rsidRPr="00E14102" w14:paraId="332B6899" w14:textId="77777777">
        <w:tc>
          <w:tcPr>
            <w:tcW w:w="626" w:type="dxa"/>
          </w:tcPr>
          <w:p w14:paraId="5758A0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ИП1-М25</w:t>
            </w:r>
          </w:p>
        </w:tc>
        <w:tc>
          <w:tcPr>
            <w:tcW w:w="626" w:type="dxa"/>
          </w:tcPr>
          <w:p w14:paraId="7E1E98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26" w:type="dxa"/>
          </w:tcPr>
          <w:p w14:paraId="76D58B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9448B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5AA76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07954F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6180C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39E1E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40402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8F387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26" w:type="dxa"/>
          </w:tcPr>
          <w:p w14:paraId="61A1AF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2DACE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F2D6A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3C6396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38E59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712C3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5F3F8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B7FDC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r>
      <w:tr w:rsidR="00E3599D" w:rsidRPr="00E14102" w14:paraId="19E1DE14" w14:textId="77777777">
        <w:tc>
          <w:tcPr>
            <w:tcW w:w="626" w:type="dxa"/>
          </w:tcPr>
          <w:p w14:paraId="235894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ЗЕТ</w:t>
            </w:r>
          </w:p>
        </w:tc>
        <w:tc>
          <w:tcPr>
            <w:tcW w:w="626" w:type="dxa"/>
          </w:tcPr>
          <w:p w14:paraId="183DCB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15B4C7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5358C5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0FAC88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90B08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76193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5712D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1E270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6F767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C433B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7A4FCE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62B525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A7958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C4099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53C14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7CFDE7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339C9A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3C168A4A" w14:textId="77777777">
        <w:tc>
          <w:tcPr>
            <w:tcW w:w="626" w:type="dxa"/>
          </w:tcPr>
          <w:p w14:paraId="09116A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ХАИ-1</w:t>
            </w:r>
          </w:p>
          <w:p w14:paraId="7C29C4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М22</w:t>
            </w:r>
          </w:p>
        </w:tc>
        <w:tc>
          <w:tcPr>
            <w:tcW w:w="626" w:type="dxa"/>
          </w:tcPr>
          <w:p w14:paraId="695CB4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48006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626" w:type="dxa"/>
          </w:tcPr>
          <w:p w14:paraId="5E97E7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626" w:type="dxa"/>
          </w:tcPr>
          <w:p w14:paraId="049A0F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56177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2722D3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626" w:type="dxa"/>
          </w:tcPr>
          <w:p w14:paraId="7E28D6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626" w:type="dxa"/>
          </w:tcPr>
          <w:p w14:paraId="7FB62D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0AEFBF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2A8A26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626" w:type="dxa"/>
          </w:tcPr>
          <w:p w14:paraId="10ECC0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626" w:type="dxa"/>
          </w:tcPr>
          <w:p w14:paraId="659834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1B1E8B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DD446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392F1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626" w:type="dxa"/>
          </w:tcPr>
          <w:p w14:paraId="4759A7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626" w:type="dxa"/>
          </w:tcPr>
          <w:p w14:paraId="5583CB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r>
      <w:tr w:rsidR="00E3599D" w:rsidRPr="00E14102" w14:paraId="48EC3E36" w14:textId="77777777">
        <w:tc>
          <w:tcPr>
            <w:tcW w:w="626" w:type="dxa"/>
          </w:tcPr>
          <w:p w14:paraId="47C405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Сталь2</w:t>
            </w:r>
          </w:p>
        </w:tc>
        <w:tc>
          <w:tcPr>
            <w:tcW w:w="626" w:type="dxa"/>
          </w:tcPr>
          <w:p w14:paraId="46238A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C9819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2238E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9202A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21075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w:t>
            </w:r>
          </w:p>
        </w:tc>
        <w:tc>
          <w:tcPr>
            <w:tcW w:w="626" w:type="dxa"/>
          </w:tcPr>
          <w:p w14:paraId="6C6FD1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w:t>
            </w:r>
          </w:p>
        </w:tc>
        <w:tc>
          <w:tcPr>
            <w:tcW w:w="626" w:type="dxa"/>
          </w:tcPr>
          <w:p w14:paraId="18D44B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w:t>
            </w:r>
          </w:p>
        </w:tc>
        <w:tc>
          <w:tcPr>
            <w:tcW w:w="626" w:type="dxa"/>
          </w:tcPr>
          <w:p w14:paraId="236A23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9DD9B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w:t>
            </w:r>
          </w:p>
        </w:tc>
        <w:tc>
          <w:tcPr>
            <w:tcW w:w="626" w:type="dxa"/>
          </w:tcPr>
          <w:p w14:paraId="05A689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w:t>
            </w:r>
          </w:p>
        </w:tc>
        <w:tc>
          <w:tcPr>
            <w:tcW w:w="626" w:type="dxa"/>
          </w:tcPr>
          <w:p w14:paraId="60F7F2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w:t>
            </w:r>
          </w:p>
        </w:tc>
        <w:tc>
          <w:tcPr>
            <w:tcW w:w="626" w:type="dxa"/>
          </w:tcPr>
          <w:p w14:paraId="230D41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E8C0E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E1573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7EFAE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w:t>
            </w:r>
          </w:p>
        </w:tc>
        <w:tc>
          <w:tcPr>
            <w:tcW w:w="626" w:type="dxa"/>
          </w:tcPr>
          <w:p w14:paraId="5114D6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w:t>
            </w:r>
          </w:p>
        </w:tc>
        <w:tc>
          <w:tcPr>
            <w:tcW w:w="626" w:type="dxa"/>
          </w:tcPr>
          <w:p w14:paraId="277830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20DDEC9A" w14:textId="77777777">
        <w:tc>
          <w:tcPr>
            <w:tcW w:w="626" w:type="dxa"/>
          </w:tcPr>
          <w:p w14:paraId="2A1B6A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Сталь3</w:t>
            </w:r>
          </w:p>
        </w:tc>
        <w:tc>
          <w:tcPr>
            <w:tcW w:w="626" w:type="dxa"/>
          </w:tcPr>
          <w:p w14:paraId="78C00C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AA5AE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11CE4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C8010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81863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4AB671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w:t>
            </w:r>
          </w:p>
        </w:tc>
        <w:tc>
          <w:tcPr>
            <w:tcW w:w="626" w:type="dxa"/>
          </w:tcPr>
          <w:p w14:paraId="54262A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626" w:type="dxa"/>
          </w:tcPr>
          <w:p w14:paraId="57414C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7F1BEA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626" w:type="dxa"/>
          </w:tcPr>
          <w:p w14:paraId="6D1036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w:t>
            </w:r>
          </w:p>
        </w:tc>
        <w:tc>
          <w:tcPr>
            <w:tcW w:w="626" w:type="dxa"/>
          </w:tcPr>
          <w:p w14:paraId="221053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626" w:type="dxa"/>
          </w:tcPr>
          <w:p w14:paraId="674F70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626" w:type="dxa"/>
          </w:tcPr>
          <w:p w14:paraId="6D9795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B5036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7F526F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w:t>
            </w:r>
          </w:p>
        </w:tc>
        <w:tc>
          <w:tcPr>
            <w:tcW w:w="626" w:type="dxa"/>
          </w:tcPr>
          <w:p w14:paraId="18848B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626" w:type="dxa"/>
          </w:tcPr>
          <w:p w14:paraId="2FF9E5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r>
      <w:tr w:rsidR="00E3599D" w:rsidRPr="00E14102" w14:paraId="198FD899" w14:textId="77777777">
        <w:tc>
          <w:tcPr>
            <w:tcW w:w="626" w:type="dxa"/>
          </w:tcPr>
          <w:p w14:paraId="7CCA83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МП-1</w:t>
            </w:r>
          </w:p>
        </w:tc>
        <w:tc>
          <w:tcPr>
            <w:tcW w:w="626" w:type="dxa"/>
          </w:tcPr>
          <w:p w14:paraId="002657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9FD4C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56ACD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4D4BCA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FB75C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687689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676CA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634BD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05CD1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23D5D6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5D7FC1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9239D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3659D3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w:t>
            </w:r>
          </w:p>
        </w:tc>
        <w:tc>
          <w:tcPr>
            <w:tcW w:w="626" w:type="dxa"/>
          </w:tcPr>
          <w:p w14:paraId="2F0D1A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24C729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w:t>
            </w:r>
          </w:p>
        </w:tc>
        <w:tc>
          <w:tcPr>
            <w:tcW w:w="626" w:type="dxa"/>
          </w:tcPr>
          <w:p w14:paraId="079FAF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626" w:type="dxa"/>
          </w:tcPr>
          <w:p w14:paraId="1418E1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2F9BB063" w14:textId="77777777">
        <w:tc>
          <w:tcPr>
            <w:tcW w:w="626" w:type="dxa"/>
          </w:tcPr>
          <w:p w14:paraId="3E752B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с-тов</w:t>
            </w:r>
          </w:p>
        </w:tc>
        <w:tc>
          <w:tcPr>
            <w:tcW w:w="626" w:type="dxa"/>
          </w:tcPr>
          <w:p w14:paraId="300107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2534</w:t>
            </w:r>
          </w:p>
        </w:tc>
        <w:tc>
          <w:tcPr>
            <w:tcW w:w="626" w:type="dxa"/>
          </w:tcPr>
          <w:p w14:paraId="327992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1408</w:t>
            </w:r>
          </w:p>
        </w:tc>
        <w:tc>
          <w:tcPr>
            <w:tcW w:w="626" w:type="dxa"/>
          </w:tcPr>
          <w:p w14:paraId="7CF2A1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1902</w:t>
            </w:r>
          </w:p>
        </w:tc>
        <w:tc>
          <w:tcPr>
            <w:tcW w:w="626" w:type="dxa"/>
          </w:tcPr>
          <w:p w14:paraId="032CB5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396</w:t>
            </w:r>
          </w:p>
        </w:tc>
        <w:tc>
          <w:tcPr>
            <w:tcW w:w="626" w:type="dxa"/>
          </w:tcPr>
          <w:p w14:paraId="653BE5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461</w:t>
            </w:r>
          </w:p>
        </w:tc>
        <w:tc>
          <w:tcPr>
            <w:tcW w:w="626" w:type="dxa"/>
          </w:tcPr>
          <w:p w14:paraId="45E0AF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372</w:t>
            </w:r>
          </w:p>
        </w:tc>
        <w:tc>
          <w:tcPr>
            <w:tcW w:w="626" w:type="dxa"/>
          </w:tcPr>
          <w:p w14:paraId="57BF7B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443</w:t>
            </w:r>
          </w:p>
        </w:tc>
        <w:tc>
          <w:tcPr>
            <w:tcW w:w="626" w:type="dxa"/>
          </w:tcPr>
          <w:p w14:paraId="67E166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w:t>
            </w:r>
          </w:p>
        </w:tc>
        <w:tc>
          <w:tcPr>
            <w:tcW w:w="626" w:type="dxa"/>
          </w:tcPr>
          <w:p w14:paraId="4D32FE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2995</w:t>
            </w:r>
          </w:p>
        </w:tc>
        <w:tc>
          <w:tcPr>
            <w:tcW w:w="626" w:type="dxa"/>
          </w:tcPr>
          <w:p w14:paraId="3869B1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1780</w:t>
            </w:r>
          </w:p>
        </w:tc>
        <w:tc>
          <w:tcPr>
            <w:tcW w:w="626" w:type="dxa"/>
          </w:tcPr>
          <w:p w14:paraId="49CFE2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2345</w:t>
            </w:r>
          </w:p>
        </w:tc>
        <w:tc>
          <w:tcPr>
            <w:tcW w:w="626" w:type="dxa"/>
          </w:tcPr>
          <w:p w14:paraId="4721C1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436</w:t>
            </w:r>
          </w:p>
        </w:tc>
        <w:tc>
          <w:tcPr>
            <w:tcW w:w="626" w:type="dxa"/>
          </w:tcPr>
          <w:p w14:paraId="7518BF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396</w:t>
            </w:r>
          </w:p>
        </w:tc>
        <w:tc>
          <w:tcPr>
            <w:tcW w:w="626" w:type="dxa"/>
          </w:tcPr>
          <w:p w14:paraId="5178FE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461</w:t>
            </w:r>
          </w:p>
        </w:tc>
        <w:tc>
          <w:tcPr>
            <w:tcW w:w="626" w:type="dxa"/>
          </w:tcPr>
          <w:p w14:paraId="29C0C2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2176</w:t>
            </w:r>
          </w:p>
        </w:tc>
        <w:tc>
          <w:tcPr>
            <w:tcW w:w="626" w:type="dxa"/>
          </w:tcPr>
          <w:p w14:paraId="62FF77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2806</w:t>
            </w:r>
          </w:p>
        </w:tc>
        <w:tc>
          <w:tcPr>
            <w:tcW w:w="626" w:type="dxa"/>
          </w:tcPr>
          <w:p w14:paraId="7D8698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436</w:t>
            </w:r>
          </w:p>
        </w:tc>
      </w:tr>
      <w:tr w:rsidR="00E3599D" w:rsidRPr="00E14102" w14:paraId="07CE5100" w14:textId="77777777">
        <w:tc>
          <w:tcPr>
            <w:tcW w:w="626" w:type="dxa"/>
          </w:tcPr>
          <w:p w14:paraId="02CA9EE9"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323EF510"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344C24EE"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68319F31"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52B507BF"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05F70847"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71052FC2"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6F060682"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55348BC2"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5BE265EB"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176CDD69"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4676D458"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57BD0D95"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0ABEF043"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5A13F9BA"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4B604809"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47B85796"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0604F8E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C9A85E2" w14:textId="77777777">
        <w:tc>
          <w:tcPr>
            <w:tcW w:w="626" w:type="dxa"/>
          </w:tcPr>
          <w:p w14:paraId="110629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выполнен.</w:t>
            </w:r>
          </w:p>
        </w:tc>
        <w:tc>
          <w:tcPr>
            <w:tcW w:w="626" w:type="dxa"/>
          </w:tcPr>
          <w:p w14:paraId="34776A37"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643295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55,6</w:t>
            </w:r>
          </w:p>
        </w:tc>
        <w:tc>
          <w:tcPr>
            <w:tcW w:w="626" w:type="dxa"/>
          </w:tcPr>
          <w:p w14:paraId="039766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75,1</w:t>
            </w:r>
          </w:p>
        </w:tc>
        <w:tc>
          <w:tcPr>
            <w:tcW w:w="626" w:type="dxa"/>
          </w:tcPr>
          <w:p w14:paraId="624C8B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90,7</w:t>
            </w:r>
          </w:p>
        </w:tc>
        <w:tc>
          <w:tcPr>
            <w:tcW w:w="626" w:type="dxa"/>
          </w:tcPr>
          <w:p w14:paraId="2D8980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6" w:type="dxa"/>
          </w:tcPr>
          <w:p w14:paraId="0F14E7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80,7</w:t>
            </w:r>
          </w:p>
        </w:tc>
        <w:tc>
          <w:tcPr>
            <w:tcW w:w="626" w:type="dxa"/>
          </w:tcPr>
          <w:p w14:paraId="2FEEE6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96,1</w:t>
            </w:r>
          </w:p>
        </w:tc>
        <w:tc>
          <w:tcPr>
            <w:tcW w:w="626" w:type="dxa"/>
          </w:tcPr>
          <w:p w14:paraId="7AFBA4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104,8</w:t>
            </w:r>
          </w:p>
        </w:tc>
        <w:tc>
          <w:tcPr>
            <w:tcW w:w="626" w:type="dxa"/>
          </w:tcPr>
          <w:p w14:paraId="22E21240"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55E2D5A0"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7A2A33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78,3</w:t>
            </w:r>
          </w:p>
        </w:tc>
        <w:tc>
          <w:tcPr>
            <w:tcW w:w="626" w:type="dxa"/>
          </w:tcPr>
          <w:p w14:paraId="400DDB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92,9</w:t>
            </w:r>
          </w:p>
        </w:tc>
        <w:tc>
          <w:tcPr>
            <w:tcW w:w="626" w:type="dxa"/>
          </w:tcPr>
          <w:p w14:paraId="6EAE75BD"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35E7C8D9"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181109F8"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60B84077" w14:textId="77777777" w:rsidR="00D4105E" w:rsidRPr="00E14102" w:rsidRDefault="00D4105E" w:rsidP="00E14102">
            <w:pPr>
              <w:autoSpaceDE w:val="0"/>
              <w:autoSpaceDN w:val="0"/>
              <w:adjustRightInd w:val="0"/>
              <w:jc w:val="both"/>
              <w:rPr>
                <w:color w:val="000000" w:themeColor="text1"/>
                <w:sz w:val="16"/>
                <w:szCs w:val="16"/>
              </w:rPr>
            </w:pPr>
          </w:p>
        </w:tc>
        <w:tc>
          <w:tcPr>
            <w:tcW w:w="626" w:type="dxa"/>
          </w:tcPr>
          <w:p w14:paraId="178DF91D" w14:textId="77777777" w:rsidR="00D4105E" w:rsidRPr="00E14102" w:rsidRDefault="00D4105E" w:rsidP="00E14102">
            <w:pPr>
              <w:autoSpaceDE w:val="0"/>
              <w:autoSpaceDN w:val="0"/>
              <w:adjustRightInd w:val="0"/>
              <w:jc w:val="both"/>
              <w:rPr>
                <w:color w:val="000000" w:themeColor="text1"/>
                <w:sz w:val="16"/>
                <w:szCs w:val="16"/>
              </w:rPr>
            </w:pPr>
          </w:p>
        </w:tc>
      </w:tr>
    </w:tbl>
    <w:p w14:paraId="0F0EF9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Учебные</w:t>
      </w:r>
    </w:p>
    <w:p w14:paraId="4C80F2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(3574,74).</w:t>
      </w:r>
    </w:p>
    <w:p w14:paraId="09D575D8" w14:textId="77777777" w:rsidR="00D4105E" w:rsidRPr="00E14102" w:rsidRDefault="00D4105E" w:rsidP="00E14102">
      <w:pPr>
        <w:autoSpaceDE w:val="0"/>
        <w:autoSpaceDN w:val="0"/>
        <w:adjustRightInd w:val="0"/>
        <w:jc w:val="both"/>
        <w:rPr>
          <w:color w:val="000000" w:themeColor="text1"/>
          <w:sz w:val="16"/>
          <w:szCs w:val="16"/>
        </w:rPr>
      </w:pPr>
    </w:p>
    <w:p w14:paraId="5D1686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 ноября 1935 вышло постановление СТО N С-153сс "О катастрофе дирижабля СССР В-7 Челюскинец" (2398,214).</w:t>
      </w:r>
    </w:p>
    <w:p w14:paraId="442495B3" w14:textId="77777777" w:rsidR="00D4105E" w:rsidRPr="00E14102" w:rsidRDefault="00D4105E" w:rsidP="00E14102">
      <w:pPr>
        <w:autoSpaceDE w:val="0"/>
        <w:autoSpaceDN w:val="0"/>
        <w:adjustRightInd w:val="0"/>
        <w:jc w:val="both"/>
        <w:rPr>
          <w:color w:val="000000" w:themeColor="text1"/>
          <w:sz w:val="16"/>
          <w:szCs w:val="16"/>
        </w:rPr>
      </w:pPr>
    </w:p>
    <w:p w14:paraId="4A8FDB94" w14:textId="77777777" w:rsidR="00CA3055" w:rsidRPr="00E14102" w:rsidRDefault="00CA3055" w:rsidP="00E14102">
      <w:pPr>
        <w:jc w:val="both"/>
        <w:rPr>
          <w:color w:val="000000" w:themeColor="text1"/>
          <w:sz w:val="16"/>
          <w:szCs w:val="16"/>
        </w:rPr>
      </w:pPr>
      <w:r w:rsidRPr="00E14102">
        <w:rPr>
          <w:color w:val="000000" w:themeColor="text1"/>
          <w:sz w:val="16"/>
          <w:szCs w:val="16"/>
        </w:rPr>
        <w:t>29 ноября 1935 было Письмо управляющего ВОТИ Немова [А.С.] в ЦК ВКП(б) Сталину И.В. о желании Туполева заказать автопилоты «Сперри» для советских тяжелых самолетов, о лучших результатах отечественных автопилотов, показанных на испытаниях, с приложением выписки из решения комиссии НКО по оценке автопилота «Сперри», с просьбой вмешаться и разрешить вопрос в пользу отечественной промышленности; упоминаются Туполев А.Н., Алкснис Я.И., Громов М.М., Орджоникидзе Г.К. Подлинник, машинопись, подпись и помета – автографы (15934).</w:t>
      </w:r>
    </w:p>
    <w:p w14:paraId="0BE797A8" w14:textId="77777777" w:rsidR="00CA3055" w:rsidRPr="00E14102" w:rsidRDefault="00CA3055" w:rsidP="00E14102">
      <w:pPr>
        <w:jc w:val="both"/>
        <w:rPr>
          <w:color w:val="000000" w:themeColor="text1"/>
          <w:sz w:val="16"/>
          <w:szCs w:val="16"/>
        </w:rPr>
      </w:pPr>
    </w:p>
    <w:p w14:paraId="4EB1C82B" w14:textId="77777777" w:rsidR="00CA3055" w:rsidRPr="00E14102" w:rsidRDefault="004B7965" w:rsidP="00E14102">
      <w:pPr>
        <w:tabs>
          <w:tab w:val="left" w:pos="360"/>
        </w:tabs>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559060C" w14:textId="77777777" w:rsidR="00CA3055" w:rsidRPr="00E14102" w:rsidRDefault="00CA3055" w:rsidP="00E14102">
      <w:pPr>
        <w:tabs>
          <w:tab w:val="left" w:pos="360"/>
        </w:tabs>
        <w:autoSpaceDE w:val="0"/>
        <w:autoSpaceDN w:val="0"/>
        <w:adjustRightInd w:val="0"/>
        <w:jc w:val="both"/>
        <w:rPr>
          <w:iCs/>
          <w:color w:val="000000" w:themeColor="text1"/>
          <w:sz w:val="16"/>
          <w:szCs w:val="16"/>
        </w:rPr>
      </w:pPr>
    </w:p>
    <w:p w14:paraId="1349A778" w14:textId="77777777" w:rsidR="00CA3055" w:rsidRPr="00E14102" w:rsidRDefault="00CA3055" w:rsidP="00E14102">
      <w:pPr>
        <w:pStyle w:val="rtejustify"/>
        <w:spacing w:before="0" w:after="0"/>
        <w:rPr>
          <w:color w:val="000000" w:themeColor="text1"/>
          <w:sz w:val="16"/>
          <w:szCs w:val="16"/>
        </w:rPr>
      </w:pPr>
      <w:r w:rsidRPr="00E14102">
        <w:rPr>
          <w:rStyle w:val="a6"/>
          <w:bCs/>
          <w:i w:val="0"/>
          <w:color w:val="000000" w:themeColor="text1"/>
          <w:sz w:val="16"/>
          <w:szCs w:val="16"/>
        </w:rPr>
        <w:t>29 ноября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152сс «О договоре с фирмой “Радио-корпорейшен”». (ГА РФ. Ф. Р</w:t>
      </w:r>
      <w:r w:rsidRPr="00E14102">
        <w:rPr>
          <w:color w:val="000000" w:themeColor="text1"/>
          <w:sz w:val="16"/>
          <w:szCs w:val="16"/>
        </w:rPr>
        <w:noBreakHyphen/>
        <w:t>8418. Оп. 28. Д. 7. Л. 218) (15460).</w:t>
      </w:r>
    </w:p>
    <w:p w14:paraId="0BAA6769" w14:textId="77777777" w:rsidR="00CA3055" w:rsidRPr="00E14102" w:rsidRDefault="00CA3055" w:rsidP="00E14102">
      <w:pPr>
        <w:pStyle w:val="rtejustify"/>
        <w:spacing w:before="0" w:after="0"/>
        <w:rPr>
          <w:color w:val="000000" w:themeColor="text1"/>
          <w:sz w:val="16"/>
          <w:szCs w:val="16"/>
        </w:rPr>
      </w:pPr>
    </w:p>
    <w:p w14:paraId="234DDF3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D782F8B" w14:textId="77777777" w:rsidR="00D4105E" w:rsidRPr="00E14102" w:rsidRDefault="00D4105E" w:rsidP="00E14102">
      <w:pPr>
        <w:autoSpaceDE w:val="0"/>
        <w:autoSpaceDN w:val="0"/>
        <w:adjustRightInd w:val="0"/>
        <w:jc w:val="both"/>
        <w:rPr>
          <w:iCs/>
          <w:color w:val="000000" w:themeColor="text1"/>
          <w:sz w:val="16"/>
          <w:szCs w:val="16"/>
        </w:rPr>
      </w:pPr>
    </w:p>
    <w:p w14:paraId="06C4D2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ноября 1935 г. Начальник УВС командарм 2-го ранга Алкснис утвердил Заключение по боевой схеме одноместного истребителя с мотором М34ФРН специальным, конструкции завода N 39 бригады инженера С.В.И.</w:t>
      </w:r>
    </w:p>
    <w:p w14:paraId="47BAD5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Рассматриваемый самолет является свободнонесущим монопланом-низкопланом с убирающимися шасси цельнодюралевой конструкции.</w:t>
      </w:r>
    </w:p>
    <w:p w14:paraId="6592D4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нем устанавливается спецмодификация мотора М34, обладающего уменьшенными габаритами, несколько видоизмененным картером, удлиненным валом.</w:t>
      </w:r>
    </w:p>
    <w:p w14:paraId="4CF8E3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Технические и летные данные самолета по расчету завода N 39 нижеследующие: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3599D" w:rsidRPr="00E14102" w14:paraId="73ADB1E6" w14:textId="77777777">
        <w:tc>
          <w:tcPr>
            <w:tcW w:w="5636" w:type="dxa"/>
            <w:tcBorders>
              <w:top w:val="single" w:sz="12" w:space="0" w:color="auto"/>
            </w:tcBorders>
          </w:tcPr>
          <w:p w14:paraId="0333FB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w:t>
            </w:r>
          </w:p>
        </w:tc>
        <w:tc>
          <w:tcPr>
            <w:tcW w:w="5636" w:type="dxa"/>
            <w:tcBorders>
              <w:top w:val="single" w:sz="12" w:space="0" w:color="auto"/>
            </w:tcBorders>
          </w:tcPr>
          <w:p w14:paraId="7C4810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м</w:t>
            </w:r>
          </w:p>
        </w:tc>
      </w:tr>
      <w:tr w:rsidR="00E3599D" w:rsidRPr="00E14102" w14:paraId="5E18FB79" w14:textId="77777777">
        <w:tc>
          <w:tcPr>
            <w:tcW w:w="5636" w:type="dxa"/>
          </w:tcPr>
          <w:p w14:paraId="698ECC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крыльев</w:t>
            </w:r>
          </w:p>
        </w:tc>
        <w:tc>
          <w:tcPr>
            <w:tcW w:w="5636" w:type="dxa"/>
          </w:tcPr>
          <w:p w14:paraId="264FCA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18,16 м кв.</w:t>
            </w:r>
          </w:p>
        </w:tc>
      </w:tr>
      <w:tr w:rsidR="00E3599D" w:rsidRPr="00E14102" w14:paraId="6DDB2035" w14:textId="77777777">
        <w:tc>
          <w:tcPr>
            <w:tcW w:w="5636" w:type="dxa"/>
          </w:tcPr>
          <w:p w14:paraId="7F7442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Полетный вес</w:t>
            </w:r>
          </w:p>
        </w:tc>
        <w:tc>
          <w:tcPr>
            <w:tcW w:w="5636" w:type="dxa"/>
          </w:tcPr>
          <w:p w14:paraId="2A327C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2125 кг</w:t>
            </w:r>
          </w:p>
        </w:tc>
      </w:tr>
      <w:tr w:rsidR="00E3599D" w:rsidRPr="00E14102" w14:paraId="146F6613" w14:textId="77777777">
        <w:tc>
          <w:tcPr>
            <w:tcW w:w="5636" w:type="dxa"/>
          </w:tcPr>
          <w:p w14:paraId="0A6F72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Полная нагрузка</w:t>
            </w:r>
          </w:p>
        </w:tc>
        <w:tc>
          <w:tcPr>
            <w:tcW w:w="5636" w:type="dxa"/>
          </w:tcPr>
          <w:p w14:paraId="707D5D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409 кг</w:t>
            </w:r>
          </w:p>
        </w:tc>
      </w:tr>
      <w:tr w:rsidR="00E3599D" w:rsidRPr="00E14102" w14:paraId="033910DC" w14:textId="77777777">
        <w:tc>
          <w:tcPr>
            <w:tcW w:w="5636" w:type="dxa"/>
          </w:tcPr>
          <w:p w14:paraId="10ABAA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горючего</w:t>
            </w:r>
          </w:p>
        </w:tc>
        <w:tc>
          <w:tcPr>
            <w:tcW w:w="5636" w:type="dxa"/>
          </w:tcPr>
          <w:p w14:paraId="24AFB1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 кг</w:t>
            </w:r>
          </w:p>
        </w:tc>
      </w:tr>
      <w:tr w:rsidR="00E3599D" w:rsidRPr="00E14102" w14:paraId="55369BF9" w14:textId="77777777">
        <w:tc>
          <w:tcPr>
            <w:tcW w:w="5636" w:type="dxa"/>
          </w:tcPr>
          <w:p w14:paraId="3F4872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w:t>
            </w:r>
          </w:p>
        </w:tc>
        <w:tc>
          <w:tcPr>
            <w:tcW w:w="5636" w:type="dxa"/>
          </w:tcPr>
          <w:p w14:paraId="595CB91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0642ED1" w14:textId="77777777">
        <w:tc>
          <w:tcPr>
            <w:tcW w:w="5636" w:type="dxa"/>
          </w:tcPr>
          <w:p w14:paraId="2B0A84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3000 м</w:t>
            </w:r>
          </w:p>
        </w:tc>
        <w:tc>
          <w:tcPr>
            <w:tcW w:w="5636" w:type="dxa"/>
          </w:tcPr>
          <w:p w14:paraId="4D93F6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598-620 км/час</w:t>
            </w:r>
          </w:p>
        </w:tc>
      </w:tr>
      <w:tr w:rsidR="00E3599D" w:rsidRPr="00E14102" w14:paraId="69E80D0C" w14:textId="77777777">
        <w:tc>
          <w:tcPr>
            <w:tcW w:w="5636" w:type="dxa"/>
          </w:tcPr>
          <w:p w14:paraId="5E64E9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Время подъема на 5000 м</w:t>
            </w:r>
          </w:p>
        </w:tc>
        <w:tc>
          <w:tcPr>
            <w:tcW w:w="5636" w:type="dxa"/>
          </w:tcPr>
          <w:p w14:paraId="604FA1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3,8-4,6 мин.</w:t>
            </w:r>
          </w:p>
        </w:tc>
      </w:tr>
      <w:tr w:rsidR="00E3599D" w:rsidRPr="00E14102" w14:paraId="44EA844A" w14:textId="77777777">
        <w:tc>
          <w:tcPr>
            <w:tcW w:w="5636" w:type="dxa"/>
          </w:tcPr>
          <w:p w14:paraId="064978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Практический потолок</w:t>
            </w:r>
          </w:p>
        </w:tc>
        <w:tc>
          <w:tcPr>
            <w:tcW w:w="5636" w:type="dxa"/>
          </w:tcPr>
          <w:p w14:paraId="4B98ED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12000 м</w:t>
            </w:r>
          </w:p>
        </w:tc>
      </w:tr>
      <w:tr w:rsidR="00E3599D" w:rsidRPr="00E14102" w14:paraId="76AE1906" w14:textId="77777777">
        <w:tc>
          <w:tcPr>
            <w:tcW w:w="5636" w:type="dxa"/>
          </w:tcPr>
          <w:p w14:paraId="73E1E3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разбега</w:t>
            </w:r>
          </w:p>
        </w:tc>
        <w:tc>
          <w:tcPr>
            <w:tcW w:w="5636" w:type="dxa"/>
          </w:tcPr>
          <w:p w14:paraId="3BE260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190 м</w:t>
            </w:r>
          </w:p>
        </w:tc>
      </w:tr>
      <w:tr w:rsidR="00E3599D" w:rsidRPr="00E14102" w14:paraId="786CC1EA" w14:textId="77777777">
        <w:tc>
          <w:tcPr>
            <w:tcW w:w="5636" w:type="dxa"/>
          </w:tcPr>
          <w:p w14:paraId="1002F7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5636" w:type="dxa"/>
          </w:tcPr>
          <w:p w14:paraId="5CE5D6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111 км/час</w:t>
            </w:r>
          </w:p>
        </w:tc>
      </w:tr>
      <w:tr w:rsidR="00E3599D" w:rsidRPr="00E14102" w14:paraId="51086700" w14:textId="77777777">
        <w:tc>
          <w:tcPr>
            <w:tcW w:w="5636" w:type="dxa"/>
          </w:tcPr>
          <w:p w14:paraId="7F582E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полета на</w:t>
            </w:r>
          </w:p>
        </w:tc>
        <w:tc>
          <w:tcPr>
            <w:tcW w:w="5636" w:type="dxa"/>
          </w:tcPr>
          <w:p w14:paraId="74F75F1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BA27C46" w14:textId="77777777">
        <w:tc>
          <w:tcPr>
            <w:tcW w:w="5636" w:type="dxa"/>
            <w:tcBorders>
              <w:bottom w:val="single" w:sz="12" w:space="0" w:color="auto"/>
            </w:tcBorders>
          </w:tcPr>
          <w:p w14:paraId="4A643C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крейсерск. ск. 270 км</w:t>
            </w:r>
          </w:p>
        </w:tc>
        <w:tc>
          <w:tcPr>
            <w:tcW w:w="5636" w:type="dxa"/>
            <w:tcBorders>
              <w:bottom w:val="single" w:sz="12" w:space="0" w:color="auto"/>
            </w:tcBorders>
          </w:tcPr>
          <w:p w14:paraId="02810B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766 км</w:t>
            </w:r>
          </w:p>
        </w:tc>
      </w:tr>
    </w:tbl>
    <w:p w14:paraId="138656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Вооружение:</w:t>
      </w:r>
    </w:p>
    <w:p w14:paraId="23A9ED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1-й вариант</w:t>
      </w:r>
    </w:p>
    <w:p w14:paraId="48FA58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пулемета ШКАС с 2000 патронов</w:t>
      </w:r>
    </w:p>
    <w:p w14:paraId="4718DD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2-й вариант</w:t>
      </w:r>
    </w:p>
    <w:p w14:paraId="1FEEC0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пулемета ШВАК 20 мм с 250 патронов</w:t>
      </w:r>
    </w:p>
    <w:p w14:paraId="255997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перегрузку самолет берет: радиостанцию РИЗЕТ. Кроме того, он может иметь бомбардировочное вооружение - 4 бомбы по 10 или 25 кг, химическое вооружение, 2 ВАП-6 или добавочных 150 патрон для пулемета ШВАК.</w:t>
      </w:r>
    </w:p>
    <w:p w14:paraId="79102B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анализ схемы самолета и предъявленных расчетов, подтвержденных продувками показывает, что заявленные заводом летные данные смогут быть выполнены при условии высокого качества производственного выполнения самолета, применения винта переменного в полете шага и парового охлаждения мотора (винт переменного в полете шага и паровое охлаждение конструктором предусмотрены).</w:t>
      </w:r>
    </w:p>
    <w:p w14:paraId="7C6330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Тактико-технические требования к рассматриваемому истребителю предъявлены не были, т.к. он является инициативным.</w:t>
      </w:r>
    </w:p>
    <w:p w14:paraId="04537F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сравнению с требованиями к последним истребителям плана опытного строительства, рассматриваемый самолет по своим летным данным полностью удовлетворяет техтребованиям, по скорости даже превосходит последние на 40-50 км; в отношении же дальности техтребованиям не удовлетворяет.</w:t>
      </w:r>
    </w:p>
    <w:p w14:paraId="1248EA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Вместо требующейся дальности - 1000 км, расчетная дальность самолета на небольшой скорости (270 км/час) равна 766 км; при крейсерской же скорости, равной 480 км/час (0,8 от максимальной скорости), дальность снижается до 460 км.</w:t>
      </w:r>
    </w:p>
    <w:p w14:paraId="126744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Указанные дальности являются недостаточными и должны быть повышен минимум до 1000 км на скорости 270 км/час, что будет соответствовать дальности 600 км на скорости 480 км/час.</w:t>
      </w:r>
    </w:p>
    <w:p w14:paraId="1EC28E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Выводы</w:t>
      </w:r>
    </w:p>
    <w:p w14:paraId="28E621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Боевую схему самолета утвердить.</w:t>
      </w:r>
    </w:p>
    <w:p w14:paraId="1F94D7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Обзор для летчика и удобство его размещения проверить на макете.</w:t>
      </w:r>
    </w:p>
    <w:p w14:paraId="2C2E76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Считать необходимым увеличить емкость бензиновых баков настолько, чтобы самолету была обеспечена дальность полета 600 км на крейсерской скорости 480 км/час.</w:t>
      </w:r>
    </w:p>
    <w:p w14:paraId="0D9710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Краткая докладная записка к эскизному</w:t>
      </w:r>
    </w:p>
    <w:p w14:paraId="77624F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проекту самолета И21-М34 РН</w:t>
      </w:r>
    </w:p>
    <w:p w14:paraId="117FAC86" w14:textId="77777777" w:rsidR="00D4105E" w:rsidRPr="00E14102" w:rsidRDefault="00D4105E" w:rsidP="00E14102">
      <w:pPr>
        <w:autoSpaceDE w:val="0"/>
        <w:autoSpaceDN w:val="0"/>
        <w:adjustRightInd w:val="0"/>
        <w:jc w:val="both"/>
        <w:rPr>
          <w:iCs/>
          <w:color w:val="000000" w:themeColor="text1"/>
          <w:sz w:val="16"/>
          <w:szCs w:val="16"/>
        </w:rPr>
      </w:pPr>
    </w:p>
    <w:p w14:paraId="6A0A3B76" w14:textId="77777777" w:rsidR="00CA3055" w:rsidRPr="00E14102" w:rsidRDefault="00CA3055" w:rsidP="00E14102">
      <w:pPr>
        <w:jc w:val="both"/>
        <w:rPr>
          <w:color w:val="000000" w:themeColor="text1"/>
          <w:sz w:val="16"/>
          <w:szCs w:val="16"/>
        </w:rPr>
      </w:pPr>
      <w:r w:rsidRPr="00E14102">
        <w:rPr>
          <w:color w:val="000000" w:themeColor="text1"/>
          <w:sz w:val="16"/>
          <w:szCs w:val="16"/>
        </w:rPr>
        <w:t>30 ноября 1935, спустя четыре дня после получения эскизного проекта, командующий ВВС утвердил "Заключение по боевой схеме одноместного истребителя с мотором М-34ФРН - специальный, конструкции завода №39, бригады инженера Ильюшина".</w:t>
      </w:r>
    </w:p>
    <w:p w14:paraId="25981335" w14:textId="77777777" w:rsidR="00CA3055" w:rsidRPr="00E14102" w:rsidRDefault="00CA3055" w:rsidP="00E14102">
      <w:pPr>
        <w:jc w:val="both"/>
        <w:rPr>
          <w:color w:val="000000" w:themeColor="text1"/>
          <w:sz w:val="16"/>
          <w:szCs w:val="16"/>
        </w:rPr>
      </w:pPr>
      <w:r w:rsidRPr="00E14102">
        <w:rPr>
          <w:color w:val="000000" w:themeColor="text1"/>
          <w:sz w:val="16"/>
          <w:szCs w:val="16"/>
        </w:rPr>
        <w:t>В документе констатировалось, что</w:t>
      </w:r>
    </w:p>
    <w:p w14:paraId="56259CF6" w14:textId="77777777" w:rsidR="00CA3055" w:rsidRPr="00E14102" w:rsidRDefault="00CA3055" w:rsidP="00E14102">
      <w:pPr>
        <w:jc w:val="both"/>
        <w:rPr>
          <w:color w:val="000000" w:themeColor="text1"/>
          <w:sz w:val="16"/>
          <w:szCs w:val="16"/>
        </w:rPr>
      </w:pPr>
      <w:r w:rsidRPr="00E14102">
        <w:rPr>
          <w:color w:val="000000" w:themeColor="text1"/>
          <w:sz w:val="16"/>
          <w:szCs w:val="16"/>
        </w:rPr>
        <w:t>"в основном, самолет удовлетворяет предъявленным техническим требованиям, по скорости даже превосходит последние на 40-50 км; в отношении же дальности - требованиям не удовлетворяет.</w:t>
      </w:r>
    </w:p>
    <w:p w14:paraId="7C0378DB" w14:textId="77777777" w:rsidR="00CA3055" w:rsidRPr="00E14102" w:rsidRDefault="00CA3055" w:rsidP="00E14102">
      <w:pPr>
        <w:jc w:val="both"/>
        <w:rPr>
          <w:color w:val="000000" w:themeColor="text1"/>
          <w:sz w:val="16"/>
          <w:szCs w:val="16"/>
        </w:rPr>
      </w:pPr>
      <w:r w:rsidRPr="00E14102">
        <w:rPr>
          <w:color w:val="000000" w:themeColor="text1"/>
          <w:sz w:val="16"/>
          <w:szCs w:val="16"/>
        </w:rPr>
        <w:t>Вместо 1000 км, расчетная дальность самолета на небольшой скорости (270 км/ ч) равна 766 км, при крейсерской же скорости 480 км/ч, дальность снижается до 460 км".</w:t>
      </w:r>
    </w:p>
    <w:p w14:paraId="2C40748D" w14:textId="77777777" w:rsidR="00CA3055" w:rsidRPr="00E14102" w:rsidRDefault="00CA3055" w:rsidP="00E14102">
      <w:pPr>
        <w:jc w:val="both"/>
        <w:rPr>
          <w:color w:val="000000" w:themeColor="text1"/>
          <w:sz w:val="16"/>
          <w:szCs w:val="16"/>
        </w:rPr>
      </w:pPr>
      <w:r w:rsidRPr="00E14102">
        <w:rPr>
          <w:color w:val="000000" w:themeColor="text1"/>
          <w:sz w:val="16"/>
          <w:szCs w:val="16"/>
        </w:rPr>
        <w:t>Вывод был кратким:</w:t>
      </w:r>
    </w:p>
    <w:p w14:paraId="3FC41CF7" w14:textId="77777777" w:rsidR="00CA3055" w:rsidRPr="00E14102" w:rsidRDefault="00CA3055" w:rsidP="00E14102">
      <w:pPr>
        <w:jc w:val="both"/>
        <w:rPr>
          <w:color w:val="000000" w:themeColor="text1"/>
          <w:sz w:val="16"/>
          <w:szCs w:val="16"/>
        </w:rPr>
      </w:pPr>
      <w:r w:rsidRPr="00E14102">
        <w:rPr>
          <w:color w:val="000000" w:themeColor="text1"/>
          <w:sz w:val="16"/>
          <w:szCs w:val="16"/>
        </w:rPr>
        <w:t>"1. Боевую схему самолета - утвердить.</w:t>
      </w:r>
    </w:p>
    <w:p w14:paraId="6197FE1B" w14:textId="77777777" w:rsidR="00CA3055" w:rsidRPr="00E14102" w:rsidRDefault="00CA3055" w:rsidP="00E14102">
      <w:pPr>
        <w:jc w:val="both"/>
        <w:rPr>
          <w:color w:val="000000" w:themeColor="text1"/>
          <w:sz w:val="16"/>
          <w:szCs w:val="16"/>
        </w:rPr>
      </w:pPr>
      <w:r w:rsidRPr="00E14102">
        <w:rPr>
          <w:color w:val="000000" w:themeColor="text1"/>
          <w:sz w:val="16"/>
          <w:szCs w:val="16"/>
        </w:rPr>
        <w:t> 2  Обзор для летчика и удобство его размещения проверить на макете.</w:t>
      </w:r>
    </w:p>
    <w:p w14:paraId="1EFC2B80" w14:textId="77777777" w:rsidR="00CA3055" w:rsidRPr="00E14102" w:rsidRDefault="00CA3055" w:rsidP="00E14102">
      <w:pPr>
        <w:jc w:val="both"/>
        <w:rPr>
          <w:color w:val="000000" w:themeColor="text1"/>
          <w:sz w:val="16"/>
          <w:szCs w:val="16"/>
        </w:rPr>
      </w:pPr>
      <w:r w:rsidRPr="00E14102">
        <w:rPr>
          <w:color w:val="000000" w:themeColor="text1"/>
          <w:sz w:val="16"/>
          <w:szCs w:val="16"/>
        </w:rPr>
        <w:t> 3. Считать необходимым, увеличить емкость бензиновых баков настолько, чтобы самолету была обеспечена дальность полета 600 км на крейсерской скорости 480 км/ч" (15554).</w:t>
      </w:r>
    </w:p>
    <w:tbl>
      <w:tblPr>
        <w:tblW w:w="5000" w:type="pct"/>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701"/>
        <w:gridCol w:w="6622"/>
      </w:tblGrid>
      <w:tr w:rsidR="00E3599D" w:rsidRPr="00E14102" w14:paraId="2E6D2570"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B1D913C" w14:textId="77777777" w:rsidR="00CA3055" w:rsidRPr="00E14102" w:rsidRDefault="00CA3055" w:rsidP="00E14102">
            <w:pPr>
              <w:jc w:val="both"/>
              <w:rPr>
                <w:color w:val="000000" w:themeColor="text1"/>
                <w:sz w:val="16"/>
                <w:szCs w:val="16"/>
              </w:rPr>
            </w:pPr>
            <w:r w:rsidRPr="00E14102">
              <w:rPr>
                <w:color w:val="000000" w:themeColor="text1"/>
                <w:sz w:val="16"/>
                <w:szCs w:val="16"/>
              </w:rPr>
              <w:t>Модификация</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8598C6E" w14:textId="77777777" w:rsidR="00CA3055" w:rsidRPr="00E14102" w:rsidRDefault="00CA3055" w:rsidP="00E14102">
            <w:pPr>
              <w:jc w:val="both"/>
              <w:rPr>
                <w:color w:val="000000" w:themeColor="text1"/>
                <w:sz w:val="16"/>
                <w:szCs w:val="16"/>
              </w:rPr>
            </w:pPr>
            <w:r w:rsidRPr="00E14102">
              <w:rPr>
                <w:color w:val="000000" w:themeColor="text1"/>
                <w:sz w:val="16"/>
                <w:szCs w:val="16"/>
              </w:rPr>
              <w:t>  ЦКБ-32</w:t>
            </w:r>
          </w:p>
        </w:tc>
      </w:tr>
      <w:tr w:rsidR="00E3599D" w:rsidRPr="00E14102" w14:paraId="14FEAB27"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C420C7C" w14:textId="77777777" w:rsidR="00CA3055" w:rsidRPr="00E14102" w:rsidRDefault="00CA3055" w:rsidP="00E14102">
            <w:pPr>
              <w:jc w:val="both"/>
              <w:rPr>
                <w:color w:val="000000" w:themeColor="text1"/>
                <w:sz w:val="16"/>
                <w:szCs w:val="16"/>
              </w:rPr>
            </w:pPr>
            <w:r w:rsidRPr="00E14102">
              <w:rPr>
                <w:color w:val="000000" w:themeColor="text1"/>
                <w:sz w:val="16"/>
                <w:szCs w:val="16"/>
              </w:rPr>
              <w:t>Размах крыла, м</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7CE5BFDE" w14:textId="77777777" w:rsidR="00CA3055" w:rsidRPr="00E14102" w:rsidRDefault="00CA3055" w:rsidP="00E14102">
            <w:pPr>
              <w:jc w:val="both"/>
              <w:rPr>
                <w:color w:val="000000" w:themeColor="text1"/>
                <w:sz w:val="16"/>
                <w:szCs w:val="16"/>
              </w:rPr>
            </w:pPr>
            <w:r w:rsidRPr="00E14102">
              <w:rPr>
                <w:color w:val="000000" w:themeColor="text1"/>
                <w:sz w:val="16"/>
                <w:szCs w:val="16"/>
              </w:rPr>
              <w:t>  10.00</w:t>
            </w:r>
          </w:p>
        </w:tc>
      </w:tr>
      <w:tr w:rsidR="00E3599D" w:rsidRPr="00E14102" w14:paraId="425B05AC"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08F8A241" w14:textId="77777777" w:rsidR="00CA3055" w:rsidRPr="00E14102" w:rsidRDefault="00CA3055" w:rsidP="00E14102">
            <w:pPr>
              <w:jc w:val="both"/>
              <w:rPr>
                <w:color w:val="000000" w:themeColor="text1"/>
                <w:sz w:val="16"/>
                <w:szCs w:val="16"/>
              </w:rPr>
            </w:pPr>
            <w:r w:rsidRPr="00E14102">
              <w:rPr>
                <w:color w:val="000000" w:themeColor="text1"/>
                <w:sz w:val="16"/>
                <w:szCs w:val="16"/>
              </w:rPr>
              <w:t>Длина, м</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5755C19" w14:textId="77777777" w:rsidR="00CA3055" w:rsidRPr="00E14102" w:rsidRDefault="00CA3055" w:rsidP="00E14102">
            <w:pPr>
              <w:jc w:val="both"/>
              <w:rPr>
                <w:color w:val="000000" w:themeColor="text1"/>
                <w:sz w:val="16"/>
                <w:szCs w:val="16"/>
              </w:rPr>
            </w:pPr>
            <w:r w:rsidRPr="00E14102">
              <w:rPr>
                <w:color w:val="000000" w:themeColor="text1"/>
                <w:sz w:val="16"/>
                <w:szCs w:val="16"/>
              </w:rPr>
              <w:t>  8.37</w:t>
            </w:r>
          </w:p>
        </w:tc>
      </w:tr>
      <w:tr w:rsidR="00E3599D" w:rsidRPr="00E14102" w14:paraId="7D4BD63C"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8F5621D" w14:textId="77777777" w:rsidR="00CA3055" w:rsidRPr="00E14102" w:rsidRDefault="00CA3055" w:rsidP="00E14102">
            <w:pPr>
              <w:jc w:val="both"/>
              <w:rPr>
                <w:color w:val="000000" w:themeColor="text1"/>
                <w:sz w:val="16"/>
                <w:szCs w:val="16"/>
              </w:rPr>
            </w:pPr>
            <w:r w:rsidRPr="00E14102">
              <w:rPr>
                <w:color w:val="000000" w:themeColor="text1"/>
                <w:sz w:val="16"/>
                <w:szCs w:val="16"/>
              </w:rPr>
              <w:t>Высота, м</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8C1C914" w14:textId="77777777" w:rsidR="00CA3055" w:rsidRPr="00E14102" w:rsidRDefault="00CA3055" w:rsidP="00E14102">
            <w:pPr>
              <w:jc w:val="both"/>
              <w:rPr>
                <w:color w:val="000000" w:themeColor="text1"/>
                <w:sz w:val="16"/>
                <w:szCs w:val="16"/>
              </w:rPr>
            </w:pPr>
            <w:r w:rsidRPr="00E14102">
              <w:rPr>
                <w:color w:val="000000" w:themeColor="text1"/>
                <w:sz w:val="16"/>
                <w:szCs w:val="16"/>
              </w:rPr>
              <w:t>  3.30</w:t>
            </w:r>
          </w:p>
        </w:tc>
      </w:tr>
      <w:tr w:rsidR="00E3599D" w:rsidRPr="00E14102" w14:paraId="0824A4B6"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166B10F" w14:textId="77777777" w:rsidR="00CA3055" w:rsidRPr="00E14102" w:rsidRDefault="00CA3055" w:rsidP="00E14102">
            <w:pPr>
              <w:jc w:val="both"/>
              <w:rPr>
                <w:color w:val="000000" w:themeColor="text1"/>
                <w:sz w:val="16"/>
                <w:szCs w:val="16"/>
              </w:rPr>
            </w:pPr>
            <w:r w:rsidRPr="00E14102">
              <w:rPr>
                <w:color w:val="000000" w:themeColor="text1"/>
                <w:sz w:val="16"/>
                <w:szCs w:val="16"/>
              </w:rPr>
              <w:t>Площадь крыла, м²</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BA370A1" w14:textId="77777777" w:rsidR="00CA3055" w:rsidRPr="00E14102" w:rsidRDefault="00CA3055" w:rsidP="00E14102">
            <w:pPr>
              <w:jc w:val="both"/>
              <w:rPr>
                <w:color w:val="000000" w:themeColor="text1"/>
                <w:sz w:val="16"/>
                <w:szCs w:val="16"/>
              </w:rPr>
            </w:pPr>
            <w:r w:rsidRPr="00E14102">
              <w:rPr>
                <w:color w:val="000000" w:themeColor="text1"/>
                <w:sz w:val="16"/>
                <w:szCs w:val="16"/>
              </w:rPr>
              <w:t>  18.16</w:t>
            </w:r>
          </w:p>
        </w:tc>
      </w:tr>
      <w:tr w:rsidR="00E3599D" w:rsidRPr="00E14102" w14:paraId="7FD6B008"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00CF93E4" w14:textId="77777777" w:rsidR="00CA3055" w:rsidRPr="00E14102" w:rsidRDefault="00CA3055" w:rsidP="00E14102">
            <w:pPr>
              <w:jc w:val="both"/>
              <w:rPr>
                <w:color w:val="000000" w:themeColor="text1"/>
                <w:sz w:val="16"/>
                <w:szCs w:val="16"/>
              </w:rPr>
            </w:pPr>
            <w:r w:rsidRPr="00E14102">
              <w:rPr>
                <w:color w:val="000000" w:themeColor="text1"/>
                <w:sz w:val="16"/>
                <w:szCs w:val="16"/>
              </w:rPr>
              <w:t>Масса, кг</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6694707" w14:textId="77777777" w:rsidR="00CA3055" w:rsidRPr="00E14102" w:rsidRDefault="00CA3055" w:rsidP="00E14102">
            <w:pPr>
              <w:jc w:val="both"/>
              <w:rPr>
                <w:color w:val="000000" w:themeColor="text1"/>
                <w:sz w:val="16"/>
                <w:szCs w:val="16"/>
              </w:rPr>
            </w:pPr>
            <w:r w:rsidRPr="00E14102">
              <w:rPr>
                <w:color w:val="000000" w:themeColor="text1"/>
                <w:sz w:val="16"/>
                <w:szCs w:val="16"/>
              </w:rPr>
              <w:t xml:space="preserve">  </w:t>
            </w:r>
          </w:p>
        </w:tc>
      </w:tr>
      <w:tr w:rsidR="00E3599D" w:rsidRPr="00E14102" w14:paraId="0873C803"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A2C1C10" w14:textId="77777777" w:rsidR="00CA3055" w:rsidRPr="00E14102" w:rsidRDefault="00CA3055" w:rsidP="00E14102">
            <w:pPr>
              <w:jc w:val="both"/>
              <w:rPr>
                <w:color w:val="000000" w:themeColor="text1"/>
                <w:sz w:val="16"/>
                <w:szCs w:val="16"/>
              </w:rPr>
            </w:pPr>
            <w:r w:rsidRPr="00E14102">
              <w:rPr>
                <w:color w:val="000000" w:themeColor="text1"/>
                <w:sz w:val="16"/>
                <w:szCs w:val="16"/>
              </w:rPr>
              <w:t>  пустого самолета</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93D8713" w14:textId="77777777" w:rsidR="00CA3055" w:rsidRPr="00E14102" w:rsidRDefault="00CA3055" w:rsidP="00E14102">
            <w:pPr>
              <w:jc w:val="both"/>
              <w:rPr>
                <w:color w:val="000000" w:themeColor="text1"/>
                <w:sz w:val="16"/>
                <w:szCs w:val="16"/>
              </w:rPr>
            </w:pPr>
            <w:r w:rsidRPr="00E14102">
              <w:rPr>
                <w:color w:val="000000" w:themeColor="text1"/>
                <w:sz w:val="16"/>
                <w:szCs w:val="16"/>
              </w:rPr>
              <w:t>  1680</w:t>
            </w:r>
          </w:p>
        </w:tc>
      </w:tr>
      <w:tr w:rsidR="00E3599D" w:rsidRPr="00E14102" w14:paraId="7C1D4C16"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5CCCC1FA" w14:textId="77777777" w:rsidR="00CA3055" w:rsidRPr="00E14102" w:rsidRDefault="00CA3055" w:rsidP="00E14102">
            <w:pPr>
              <w:jc w:val="both"/>
              <w:rPr>
                <w:color w:val="000000" w:themeColor="text1"/>
                <w:sz w:val="16"/>
                <w:szCs w:val="16"/>
              </w:rPr>
            </w:pPr>
            <w:r w:rsidRPr="00E14102">
              <w:rPr>
                <w:color w:val="000000" w:themeColor="text1"/>
                <w:sz w:val="16"/>
                <w:szCs w:val="16"/>
              </w:rPr>
              <w:lastRenderedPageBreak/>
              <w:t>  нормальная взлетная</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63A7813" w14:textId="77777777" w:rsidR="00CA3055" w:rsidRPr="00E14102" w:rsidRDefault="00CA3055" w:rsidP="00E14102">
            <w:pPr>
              <w:jc w:val="both"/>
              <w:rPr>
                <w:color w:val="000000" w:themeColor="text1"/>
                <w:sz w:val="16"/>
                <w:szCs w:val="16"/>
              </w:rPr>
            </w:pPr>
            <w:r w:rsidRPr="00E14102">
              <w:rPr>
                <w:color w:val="000000" w:themeColor="text1"/>
                <w:sz w:val="16"/>
                <w:szCs w:val="16"/>
              </w:rPr>
              <w:t>  2125</w:t>
            </w:r>
          </w:p>
        </w:tc>
      </w:tr>
      <w:tr w:rsidR="00E3599D" w:rsidRPr="00E14102" w14:paraId="631BC4F6"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0AFCEA5F" w14:textId="77777777" w:rsidR="00CA3055" w:rsidRPr="00E14102" w:rsidRDefault="00CA3055" w:rsidP="00E14102">
            <w:pPr>
              <w:jc w:val="both"/>
              <w:rPr>
                <w:color w:val="000000" w:themeColor="text1"/>
                <w:sz w:val="16"/>
                <w:szCs w:val="16"/>
              </w:rPr>
            </w:pPr>
            <w:r w:rsidRPr="00E14102">
              <w:rPr>
                <w:color w:val="000000" w:themeColor="text1"/>
                <w:sz w:val="16"/>
                <w:szCs w:val="16"/>
              </w:rPr>
              <w:t>  топлива</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3B7F416" w14:textId="77777777" w:rsidR="00CA3055" w:rsidRPr="00E14102" w:rsidRDefault="00CA3055" w:rsidP="00E14102">
            <w:pPr>
              <w:jc w:val="both"/>
              <w:rPr>
                <w:color w:val="000000" w:themeColor="text1"/>
                <w:sz w:val="16"/>
                <w:szCs w:val="16"/>
              </w:rPr>
            </w:pPr>
            <w:r w:rsidRPr="00E14102">
              <w:rPr>
                <w:color w:val="000000" w:themeColor="text1"/>
                <w:sz w:val="16"/>
                <w:szCs w:val="16"/>
              </w:rPr>
              <w:t>  150</w:t>
            </w:r>
          </w:p>
        </w:tc>
      </w:tr>
      <w:tr w:rsidR="00E3599D" w:rsidRPr="00E14102" w14:paraId="7B953794"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B5FEA75" w14:textId="77777777" w:rsidR="00CA3055" w:rsidRPr="00E14102" w:rsidRDefault="00CA3055" w:rsidP="00E14102">
            <w:pPr>
              <w:jc w:val="both"/>
              <w:rPr>
                <w:color w:val="000000" w:themeColor="text1"/>
                <w:sz w:val="16"/>
                <w:szCs w:val="16"/>
              </w:rPr>
            </w:pPr>
            <w:r w:rsidRPr="00E14102">
              <w:rPr>
                <w:color w:val="000000" w:themeColor="text1"/>
                <w:sz w:val="16"/>
                <w:szCs w:val="16"/>
              </w:rPr>
              <w:t>Тип двигателя</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9B26337" w14:textId="77777777" w:rsidR="00CA3055" w:rsidRPr="00E14102" w:rsidRDefault="00CA3055" w:rsidP="00E14102">
            <w:pPr>
              <w:jc w:val="both"/>
              <w:rPr>
                <w:color w:val="000000" w:themeColor="text1"/>
                <w:sz w:val="16"/>
                <w:szCs w:val="16"/>
              </w:rPr>
            </w:pPr>
            <w:r w:rsidRPr="00E14102">
              <w:rPr>
                <w:color w:val="000000" w:themeColor="text1"/>
                <w:sz w:val="16"/>
                <w:szCs w:val="16"/>
              </w:rPr>
              <w:t>  1 ПД М-34ФРН</w:t>
            </w:r>
          </w:p>
        </w:tc>
      </w:tr>
      <w:tr w:rsidR="00E3599D" w:rsidRPr="00E14102" w14:paraId="44F0C3BF"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682199C" w14:textId="77777777" w:rsidR="00CA3055" w:rsidRPr="00E14102" w:rsidRDefault="00CA3055" w:rsidP="00E14102">
            <w:pPr>
              <w:jc w:val="both"/>
              <w:rPr>
                <w:color w:val="000000" w:themeColor="text1"/>
                <w:sz w:val="16"/>
                <w:szCs w:val="16"/>
              </w:rPr>
            </w:pPr>
            <w:r w:rsidRPr="00E14102">
              <w:rPr>
                <w:color w:val="000000" w:themeColor="text1"/>
                <w:sz w:val="16"/>
                <w:szCs w:val="16"/>
              </w:rPr>
              <w:t>Мощность, л.с.</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81D3E6D" w14:textId="77777777" w:rsidR="00CA3055" w:rsidRPr="00E14102" w:rsidRDefault="00CA3055" w:rsidP="00E14102">
            <w:pPr>
              <w:jc w:val="both"/>
              <w:rPr>
                <w:color w:val="000000" w:themeColor="text1"/>
                <w:sz w:val="16"/>
                <w:szCs w:val="16"/>
              </w:rPr>
            </w:pPr>
            <w:r w:rsidRPr="00E14102">
              <w:rPr>
                <w:color w:val="000000" w:themeColor="text1"/>
                <w:sz w:val="16"/>
                <w:szCs w:val="16"/>
              </w:rPr>
              <w:t>  1 × 1275</w:t>
            </w:r>
          </w:p>
        </w:tc>
      </w:tr>
      <w:tr w:rsidR="00E3599D" w:rsidRPr="00E14102" w14:paraId="7DE01D83"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39262A8" w14:textId="77777777" w:rsidR="00CA3055" w:rsidRPr="00E14102" w:rsidRDefault="00CA3055" w:rsidP="00E14102">
            <w:pPr>
              <w:jc w:val="both"/>
              <w:rPr>
                <w:color w:val="000000" w:themeColor="text1"/>
                <w:sz w:val="16"/>
                <w:szCs w:val="16"/>
              </w:rPr>
            </w:pPr>
            <w:r w:rsidRPr="00E14102">
              <w:rPr>
                <w:color w:val="000000" w:themeColor="text1"/>
                <w:sz w:val="16"/>
                <w:szCs w:val="16"/>
              </w:rPr>
              <w:t>Максимальная скорость , км/ч</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01DFB2EF" w14:textId="77777777" w:rsidR="00CA3055" w:rsidRPr="00E14102" w:rsidRDefault="00CA3055" w:rsidP="00E14102">
            <w:pPr>
              <w:jc w:val="both"/>
              <w:rPr>
                <w:color w:val="000000" w:themeColor="text1"/>
                <w:sz w:val="16"/>
                <w:szCs w:val="16"/>
              </w:rPr>
            </w:pPr>
            <w:r w:rsidRPr="00E14102">
              <w:rPr>
                <w:color w:val="000000" w:themeColor="text1"/>
                <w:sz w:val="16"/>
                <w:szCs w:val="16"/>
              </w:rPr>
              <w:t>  620</w:t>
            </w:r>
          </w:p>
        </w:tc>
      </w:tr>
      <w:tr w:rsidR="00E3599D" w:rsidRPr="00E14102" w14:paraId="55E075DA"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9D92E9E" w14:textId="77777777" w:rsidR="00CA3055" w:rsidRPr="00E14102" w:rsidRDefault="00CA3055" w:rsidP="00E14102">
            <w:pPr>
              <w:jc w:val="both"/>
              <w:rPr>
                <w:color w:val="000000" w:themeColor="text1"/>
                <w:sz w:val="16"/>
                <w:szCs w:val="16"/>
              </w:rPr>
            </w:pPr>
            <w:r w:rsidRPr="00E14102">
              <w:rPr>
                <w:color w:val="000000" w:themeColor="text1"/>
                <w:sz w:val="16"/>
                <w:szCs w:val="16"/>
              </w:rPr>
              <w:t>Практическая дальность, км</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BDE2FE7" w14:textId="77777777" w:rsidR="00CA3055" w:rsidRPr="00E14102" w:rsidRDefault="00CA3055" w:rsidP="00E14102">
            <w:pPr>
              <w:jc w:val="both"/>
              <w:rPr>
                <w:color w:val="000000" w:themeColor="text1"/>
                <w:sz w:val="16"/>
                <w:szCs w:val="16"/>
              </w:rPr>
            </w:pPr>
            <w:r w:rsidRPr="00E14102">
              <w:rPr>
                <w:color w:val="000000" w:themeColor="text1"/>
                <w:sz w:val="16"/>
                <w:szCs w:val="16"/>
              </w:rPr>
              <w:t>  766</w:t>
            </w:r>
          </w:p>
        </w:tc>
      </w:tr>
      <w:tr w:rsidR="00E3599D" w:rsidRPr="00E14102" w14:paraId="4DB218D1"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F160A3C" w14:textId="77777777" w:rsidR="00CA3055" w:rsidRPr="00E14102" w:rsidRDefault="00CA3055" w:rsidP="00E14102">
            <w:pPr>
              <w:jc w:val="both"/>
              <w:rPr>
                <w:color w:val="000000" w:themeColor="text1"/>
                <w:sz w:val="16"/>
                <w:szCs w:val="16"/>
              </w:rPr>
            </w:pPr>
            <w:r w:rsidRPr="00E14102">
              <w:rPr>
                <w:color w:val="000000" w:themeColor="text1"/>
                <w:sz w:val="16"/>
                <w:szCs w:val="16"/>
              </w:rPr>
              <w:t>Скороподъемность, м/мин</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B9351B3" w14:textId="77777777" w:rsidR="00CA3055" w:rsidRPr="00E14102" w:rsidRDefault="00CA3055" w:rsidP="00E14102">
            <w:pPr>
              <w:jc w:val="both"/>
              <w:rPr>
                <w:color w:val="000000" w:themeColor="text1"/>
                <w:sz w:val="16"/>
                <w:szCs w:val="16"/>
              </w:rPr>
            </w:pPr>
            <w:r w:rsidRPr="00E14102">
              <w:rPr>
                <w:color w:val="000000" w:themeColor="text1"/>
                <w:sz w:val="16"/>
                <w:szCs w:val="16"/>
              </w:rPr>
              <w:t>  1316</w:t>
            </w:r>
          </w:p>
        </w:tc>
      </w:tr>
      <w:tr w:rsidR="00E3599D" w:rsidRPr="00E14102" w14:paraId="0AAACA1A"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46EED22" w14:textId="77777777" w:rsidR="00CA3055" w:rsidRPr="00E14102" w:rsidRDefault="00CA3055" w:rsidP="00E14102">
            <w:pPr>
              <w:jc w:val="both"/>
              <w:rPr>
                <w:color w:val="000000" w:themeColor="text1"/>
                <w:sz w:val="16"/>
                <w:szCs w:val="16"/>
              </w:rPr>
            </w:pPr>
            <w:r w:rsidRPr="00E14102">
              <w:rPr>
                <w:color w:val="000000" w:themeColor="text1"/>
                <w:sz w:val="16"/>
                <w:szCs w:val="16"/>
              </w:rPr>
              <w:t>Практический потолок, м</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E8BF7B5" w14:textId="77777777" w:rsidR="00CA3055" w:rsidRPr="00E14102" w:rsidRDefault="00CA3055" w:rsidP="00E14102">
            <w:pPr>
              <w:jc w:val="both"/>
              <w:rPr>
                <w:color w:val="000000" w:themeColor="text1"/>
                <w:sz w:val="16"/>
                <w:szCs w:val="16"/>
              </w:rPr>
            </w:pPr>
            <w:r w:rsidRPr="00E14102">
              <w:rPr>
                <w:color w:val="000000" w:themeColor="text1"/>
                <w:sz w:val="16"/>
                <w:szCs w:val="16"/>
              </w:rPr>
              <w:t>  12000</w:t>
            </w:r>
          </w:p>
        </w:tc>
      </w:tr>
      <w:tr w:rsidR="00E3599D" w:rsidRPr="00E14102" w14:paraId="70FC408B"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5517F7EC" w14:textId="77777777" w:rsidR="00CA3055" w:rsidRPr="00E14102" w:rsidRDefault="00CA3055" w:rsidP="00E14102">
            <w:pPr>
              <w:jc w:val="both"/>
              <w:rPr>
                <w:color w:val="000000" w:themeColor="text1"/>
                <w:sz w:val="16"/>
                <w:szCs w:val="16"/>
              </w:rPr>
            </w:pPr>
            <w:r w:rsidRPr="00E14102">
              <w:rPr>
                <w:color w:val="000000" w:themeColor="text1"/>
                <w:sz w:val="16"/>
                <w:szCs w:val="16"/>
              </w:rPr>
              <w:t>Экипаж</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38F0695" w14:textId="77777777" w:rsidR="00CA3055" w:rsidRPr="00E14102" w:rsidRDefault="00CA3055" w:rsidP="00E14102">
            <w:pPr>
              <w:jc w:val="both"/>
              <w:rPr>
                <w:color w:val="000000" w:themeColor="text1"/>
                <w:sz w:val="16"/>
                <w:szCs w:val="16"/>
              </w:rPr>
            </w:pPr>
            <w:r w:rsidRPr="00E14102">
              <w:rPr>
                <w:color w:val="000000" w:themeColor="text1"/>
                <w:sz w:val="16"/>
                <w:szCs w:val="16"/>
              </w:rPr>
              <w:t>  1</w:t>
            </w:r>
          </w:p>
        </w:tc>
      </w:tr>
      <w:tr w:rsidR="00E3599D" w:rsidRPr="00E14102" w14:paraId="69421D3B"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844FA1A" w14:textId="77777777" w:rsidR="00CA3055" w:rsidRPr="00E14102" w:rsidRDefault="00CA3055" w:rsidP="00E14102">
            <w:pPr>
              <w:jc w:val="both"/>
              <w:rPr>
                <w:color w:val="000000" w:themeColor="text1"/>
                <w:sz w:val="16"/>
                <w:szCs w:val="16"/>
              </w:rPr>
            </w:pPr>
            <w:r w:rsidRPr="00E14102">
              <w:rPr>
                <w:color w:val="000000" w:themeColor="text1"/>
                <w:sz w:val="16"/>
                <w:szCs w:val="16"/>
              </w:rPr>
              <w:t>Вооружение:</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93B769D" w14:textId="77777777" w:rsidR="00CA3055" w:rsidRPr="00E14102" w:rsidRDefault="00CA3055" w:rsidP="00E14102">
            <w:pPr>
              <w:jc w:val="both"/>
              <w:rPr>
                <w:color w:val="000000" w:themeColor="text1"/>
                <w:sz w:val="16"/>
                <w:szCs w:val="16"/>
              </w:rPr>
            </w:pPr>
            <w:r w:rsidRPr="00E14102">
              <w:rPr>
                <w:color w:val="000000" w:themeColor="text1"/>
                <w:sz w:val="16"/>
                <w:szCs w:val="16"/>
              </w:rPr>
              <w:t>  две крыльевые 20-мм пушки ШВАК (по 125 патронов)</w:t>
            </w:r>
          </w:p>
        </w:tc>
      </w:tr>
    </w:tbl>
    <w:p w14:paraId="2868431E" w14:textId="77777777" w:rsidR="00CA3055" w:rsidRPr="00E14102" w:rsidRDefault="00CA3055" w:rsidP="00E14102">
      <w:pPr>
        <w:jc w:val="both"/>
        <w:rPr>
          <w:color w:val="000000" w:themeColor="text1"/>
          <w:sz w:val="16"/>
          <w:szCs w:val="16"/>
        </w:rPr>
      </w:pPr>
      <w:r w:rsidRPr="00E14102">
        <w:rPr>
          <w:color w:val="000000" w:themeColor="text1"/>
          <w:sz w:val="16"/>
          <w:szCs w:val="16"/>
        </w:rPr>
        <w:t>(15554).</w:t>
      </w:r>
    </w:p>
    <w:p w14:paraId="42E391D7" w14:textId="77777777" w:rsidR="00CA3055" w:rsidRPr="00E14102" w:rsidRDefault="00CA3055" w:rsidP="00E14102">
      <w:pPr>
        <w:jc w:val="both"/>
        <w:rPr>
          <w:color w:val="000000" w:themeColor="text1"/>
          <w:sz w:val="16"/>
          <w:szCs w:val="16"/>
        </w:rPr>
      </w:pPr>
    </w:p>
    <w:p w14:paraId="587F21DA" w14:textId="77777777" w:rsidR="00860B85" w:rsidRPr="00E14102" w:rsidRDefault="00860B85" w:rsidP="00E14102">
      <w:pPr>
        <w:jc w:val="both"/>
        <w:rPr>
          <w:color w:val="0070C0"/>
          <w:sz w:val="16"/>
          <w:szCs w:val="16"/>
        </w:rPr>
      </w:pPr>
      <w:r w:rsidRPr="00E14102">
        <w:rPr>
          <w:color w:val="0070C0"/>
          <w:sz w:val="16"/>
          <w:szCs w:val="16"/>
        </w:rPr>
        <w:t>30 ноября 1935 командующий ВВС утвердил «Заключение по боевой схеме одноместного истре</w:t>
      </w:r>
      <w:r w:rsidRPr="00E14102">
        <w:rPr>
          <w:color w:val="0070C0"/>
          <w:sz w:val="16"/>
          <w:szCs w:val="16"/>
        </w:rPr>
        <w:softHyphen/>
        <w:t>бителя с мотором М-34 ФРН — специальный, кон</w:t>
      </w:r>
      <w:r w:rsidRPr="00E14102">
        <w:rPr>
          <w:color w:val="0070C0"/>
          <w:sz w:val="16"/>
          <w:szCs w:val="16"/>
        </w:rPr>
        <w:softHyphen/>
        <w:t>струкции завода № 39, бригады инженера Ильюши</w:t>
      </w:r>
      <w:r w:rsidRPr="00E14102">
        <w:rPr>
          <w:color w:val="0070C0"/>
          <w:sz w:val="16"/>
          <w:szCs w:val="16"/>
        </w:rPr>
        <w:softHyphen/>
        <w:t>на». В документе констатировалось, что «в основном самолет удовлетворяет предъявленным техническим требованиям, по скорости даже превосходит послед</w:t>
      </w:r>
      <w:r w:rsidRPr="00E14102">
        <w:rPr>
          <w:color w:val="0070C0"/>
          <w:sz w:val="16"/>
          <w:szCs w:val="16"/>
        </w:rPr>
        <w:softHyphen/>
        <w:t>ние на 40—50 км; в отношении же дальности — тре</w:t>
      </w:r>
      <w:r w:rsidRPr="00E14102">
        <w:rPr>
          <w:color w:val="0070C0"/>
          <w:sz w:val="16"/>
          <w:szCs w:val="16"/>
        </w:rPr>
        <w:softHyphen/>
        <w:t>бованиям не удовлетворяет. Вместо 1000 км рас</w:t>
      </w:r>
      <w:r w:rsidRPr="00E14102">
        <w:rPr>
          <w:color w:val="0070C0"/>
          <w:sz w:val="16"/>
          <w:szCs w:val="16"/>
        </w:rPr>
        <w:softHyphen/>
        <w:t>четная дальность самолета на небольшой скорости (270 км/ч) равна 766 км, при крейсерской же скоро</w:t>
      </w:r>
      <w:r w:rsidRPr="00E14102">
        <w:rPr>
          <w:color w:val="0070C0"/>
          <w:sz w:val="16"/>
          <w:szCs w:val="16"/>
        </w:rPr>
        <w:softHyphen/>
        <w:t>сти 480 км/ч дальность снижается до 460 км/ч». Вы</w:t>
      </w:r>
      <w:r w:rsidRPr="00E14102">
        <w:rPr>
          <w:color w:val="0070C0"/>
          <w:sz w:val="16"/>
          <w:szCs w:val="16"/>
        </w:rPr>
        <w:softHyphen/>
        <w:t>вод был кратким:</w:t>
      </w:r>
    </w:p>
    <w:p w14:paraId="20427E97" w14:textId="77777777" w:rsidR="00860B85" w:rsidRPr="00E14102" w:rsidRDefault="00860B85" w:rsidP="00E14102">
      <w:pPr>
        <w:jc w:val="both"/>
        <w:rPr>
          <w:color w:val="0070C0"/>
          <w:sz w:val="16"/>
          <w:szCs w:val="16"/>
        </w:rPr>
      </w:pPr>
      <w:r w:rsidRPr="00E14102">
        <w:rPr>
          <w:color w:val="0070C0"/>
          <w:sz w:val="16"/>
          <w:szCs w:val="16"/>
        </w:rPr>
        <w:t>«1. Боевую схему самолета — утвердить.</w:t>
      </w:r>
    </w:p>
    <w:p w14:paraId="31FF2AE4" w14:textId="77777777" w:rsidR="00860B85" w:rsidRPr="00E14102" w:rsidRDefault="00860B85" w:rsidP="00E14102">
      <w:pPr>
        <w:jc w:val="both"/>
        <w:rPr>
          <w:color w:val="0070C0"/>
          <w:sz w:val="16"/>
          <w:szCs w:val="16"/>
        </w:rPr>
      </w:pPr>
      <w:r w:rsidRPr="00E14102">
        <w:rPr>
          <w:color w:val="0070C0"/>
          <w:sz w:val="16"/>
          <w:szCs w:val="16"/>
        </w:rPr>
        <w:t>2. Обзор для летчика и удобство его размещения проверить на макете.</w:t>
      </w:r>
    </w:p>
    <w:p w14:paraId="251D43F9" w14:textId="77777777" w:rsidR="00860B85" w:rsidRPr="00E14102" w:rsidRDefault="00860B85" w:rsidP="00E14102">
      <w:pPr>
        <w:jc w:val="both"/>
        <w:rPr>
          <w:color w:val="0070C0"/>
          <w:sz w:val="16"/>
          <w:szCs w:val="16"/>
        </w:rPr>
      </w:pPr>
      <w:r w:rsidRPr="00E14102">
        <w:rPr>
          <w:color w:val="0070C0"/>
          <w:sz w:val="16"/>
          <w:szCs w:val="16"/>
        </w:rPr>
        <w:t>3. Считать необходимым увеличить емкость бен</w:t>
      </w:r>
      <w:r w:rsidRPr="00E14102">
        <w:rPr>
          <w:color w:val="0070C0"/>
          <w:sz w:val="16"/>
          <w:szCs w:val="16"/>
        </w:rPr>
        <w:softHyphen/>
        <w:t>зиновых баков настолько, чтобы самолету была обе</w:t>
      </w:r>
      <w:r w:rsidRPr="00E14102">
        <w:rPr>
          <w:color w:val="0070C0"/>
          <w:sz w:val="16"/>
          <w:szCs w:val="16"/>
        </w:rPr>
        <w:softHyphen/>
        <w:t>спечена дальность полета 600 км на крейсерской скорости 480 км/ч» (23188).</w:t>
      </w:r>
    </w:p>
    <w:p w14:paraId="6EC56472" w14:textId="77777777" w:rsidR="00860B85" w:rsidRPr="00E14102" w:rsidRDefault="00860B85" w:rsidP="00E14102">
      <w:pPr>
        <w:jc w:val="both"/>
        <w:rPr>
          <w:color w:val="0070C0"/>
          <w:sz w:val="16"/>
          <w:szCs w:val="16"/>
        </w:rPr>
      </w:pPr>
    </w:p>
    <w:p w14:paraId="2F5ECA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30 ноября 1935 г. по 25 мая 1936 г. УТИ-3 с М-58МН испытывался в НИИ ВВС. В Запорожье готовили модификацию М-58Н с полным наддувом. Опыт</w:t>
      </w:r>
      <w:r w:rsidRPr="00E14102">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629C06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Характеристики:</w:t>
      </w:r>
    </w:p>
    <w:p w14:paraId="16C151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9-цилиндровый, звездообразный, четырехтактный, воздушного охлаж</w:t>
      </w:r>
      <w:r w:rsidRPr="00E14102">
        <w:rPr>
          <w:color w:val="000000" w:themeColor="text1"/>
          <w:sz w:val="16"/>
          <w:szCs w:val="16"/>
        </w:rPr>
        <w:softHyphen/>
        <w:t>дения, безредукторный, с одноступенчатым односкоростным ПЦН;</w:t>
      </w:r>
    </w:p>
    <w:p w14:paraId="115C26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диаметр цилиндра/ход поршня 160/190 мм;</w:t>
      </w:r>
    </w:p>
    <w:p w14:paraId="17482B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объем 34,4 л;</w:t>
      </w:r>
    </w:p>
    <w:p w14:paraId="46B2441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степень сжатия 5,5;</w:t>
      </w:r>
    </w:p>
    <w:p w14:paraId="3FEA669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мощность по проекту 630/800 л.с., реально 630/785 л.с.;</w:t>
      </w:r>
    </w:p>
    <w:p w14:paraId="1E6E98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вес в зависимости от модификации. Известны модификации:</w:t>
      </w:r>
    </w:p>
    <w:p w14:paraId="13EEAA4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 М-58Н</w:t>
      </w:r>
    </w:p>
    <w:p w14:paraId="46070CE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М-58, три первых опытных экземпляра с полным наддувом, 630/680 л.с., вес 445^450 кг.</w:t>
      </w:r>
    </w:p>
    <w:p w14:paraId="1786F3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М-58МН, последующие два (возможно, три) образца с уменьшенным наддувом. Мощность 630/785 л.с., вес 465^476 кг.</w:t>
      </w:r>
    </w:p>
    <w:p w14:paraId="2F2815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М-58Н, отличался от М-58МН передачей к ПЦН, крыльчаткой и диф</w:t>
      </w:r>
      <w:r w:rsidRPr="00E14102">
        <w:rPr>
          <w:color w:val="000000" w:themeColor="text1"/>
          <w:sz w:val="16"/>
          <w:szCs w:val="16"/>
        </w:rPr>
        <w:softHyphen/>
        <w:t>фузором.</w:t>
      </w:r>
    </w:p>
    <w:p w14:paraId="2FBDF0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24BFE32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079E651" w14:textId="77777777" w:rsidR="00B27DAD" w:rsidRPr="00E14102" w:rsidRDefault="00B27DAD"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F85B680" w14:textId="77777777" w:rsidR="00B27DAD" w:rsidRPr="00E14102" w:rsidRDefault="00B27DAD" w:rsidP="00E14102">
      <w:pPr>
        <w:autoSpaceDE w:val="0"/>
        <w:autoSpaceDN w:val="0"/>
        <w:adjustRightInd w:val="0"/>
        <w:jc w:val="both"/>
        <w:rPr>
          <w:iCs/>
          <w:color w:val="000000" w:themeColor="text1"/>
          <w:sz w:val="16"/>
          <w:szCs w:val="16"/>
        </w:rPr>
      </w:pPr>
    </w:p>
    <w:p w14:paraId="6405E83F" w14:textId="77777777" w:rsidR="00262DB6" w:rsidRPr="00E14102" w:rsidRDefault="00262DB6" w:rsidP="00E14102">
      <w:pPr>
        <w:autoSpaceDE w:val="0"/>
        <w:autoSpaceDN w:val="0"/>
        <w:adjustRightInd w:val="0"/>
        <w:jc w:val="both"/>
        <w:rPr>
          <w:color w:val="0070C0"/>
          <w:sz w:val="16"/>
          <w:szCs w:val="16"/>
        </w:rPr>
      </w:pPr>
      <w:r w:rsidRPr="00E14102">
        <w:rPr>
          <w:color w:val="0070C0"/>
          <w:sz w:val="16"/>
          <w:szCs w:val="16"/>
        </w:rPr>
        <w:t xml:space="preserve">30 ноября 1935 г. Специальным техническим бюро ГВМУ и ХИМУ РККА были утверждены чертежи литеры «А» и ТУ на изготовление и прием 107-мм оперенных химических мин из трубы (Х4-ХМ-072), листа (Х4-ХМ-072) и чугуна (Х4-ХМ-073). </w:t>
      </w:r>
    </w:p>
    <w:p w14:paraId="51AB9BB7" w14:textId="77777777" w:rsidR="00262DB6" w:rsidRPr="00E14102" w:rsidRDefault="00262DB6" w:rsidP="00E14102">
      <w:pPr>
        <w:jc w:val="both"/>
        <w:rPr>
          <w:rFonts w:eastAsia="TimesNewRomanPSMT"/>
          <w:color w:val="0070C0"/>
          <w:sz w:val="16"/>
          <w:szCs w:val="16"/>
        </w:rPr>
      </w:pPr>
      <w:r w:rsidRPr="00E14102">
        <w:rPr>
          <w:color w:val="0070C0"/>
          <w:sz w:val="16"/>
          <w:szCs w:val="16"/>
        </w:rPr>
        <w:t>Что касается 107-ХМ-34, то чертежи системы в 1935 г. были подготовлены для серийного производства на заводе «Красный Октябрь», к которому приступили в 1936 г.428 (20074).</w:t>
      </w:r>
    </w:p>
    <w:p w14:paraId="3F81ABB9" w14:textId="77777777" w:rsidR="00262DB6" w:rsidRPr="00E14102" w:rsidRDefault="00262DB6" w:rsidP="00E14102">
      <w:pPr>
        <w:jc w:val="both"/>
        <w:rPr>
          <w:rFonts w:eastAsia="TimesNewRomanPSMT"/>
          <w:color w:val="0070C0"/>
          <w:sz w:val="16"/>
          <w:szCs w:val="16"/>
        </w:rPr>
      </w:pPr>
    </w:p>
    <w:p w14:paraId="17B716C2" w14:textId="77777777" w:rsidR="00B27DAD" w:rsidRPr="00E14102" w:rsidRDefault="00B27DAD" w:rsidP="00E14102">
      <w:pPr>
        <w:jc w:val="both"/>
        <w:rPr>
          <w:color w:val="000000" w:themeColor="text1"/>
          <w:sz w:val="16"/>
          <w:szCs w:val="16"/>
        </w:rPr>
      </w:pPr>
      <w:r w:rsidRPr="00E14102">
        <w:rPr>
          <w:color w:val="000000" w:themeColor="text1"/>
          <w:sz w:val="16"/>
          <w:szCs w:val="16"/>
        </w:rPr>
        <w:t>С 30 ноября 1935 года по 2б марта 1936 года по маршруту Брянск - Смоленск - Орел испытывалась Тяжелая бронедрезина (БДТ), при этом общий пробег составил 1060 км, штабная бронедрезина (ДШ) - с 27 ноября 1935 года по 6 января 1936 года по тому же маршруту (пробег 1576 км), дрезина-транспортер (ДТР) - с 7 по 24 января 1936 года. Эти пробеги позволили внести небольшие изменения в конструкцию дрезин для более надежной их работы. Одновременно с этим велся выбор предприятия для организации серийного изготовления бронедрезин. Выбор был сделан в пользу Подольского крекинго-элект-ровозостроительного завода - это предприятие к этому времени уже имело опыт производства бронекорпусов для танкеток Т-27 и танков Т-37 (18626). </w:t>
      </w:r>
    </w:p>
    <w:p w14:paraId="65F0C42D" w14:textId="77777777" w:rsidR="00B27DAD" w:rsidRPr="00E14102" w:rsidRDefault="00B27DAD" w:rsidP="00E14102">
      <w:pPr>
        <w:jc w:val="both"/>
        <w:rPr>
          <w:color w:val="000000" w:themeColor="text1"/>
          <w:sz w:val="16"/>
          <w:szCs w:val="16"/>
        </w:rPr>
      </w:pPr>
    </w:p>
    <w:p w14:paraId="60A2D8E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268C91F" w14:textId="77777777" w:rsidR="00D4105E" w:rsidRPr="00E14102" w:rsidRDefault="00D4105E" w:rsidP="00E14102">
      <w:pPr>
        <w:autoSpaceDE w:val="0"/>
        <w:autoSpaceDN w:val="0"/>
        <w:adjustRightInd w:val="0"/>
        <w:jc w:val="both"/>
        <w:rPr>
          <w:iCs/>
          <w:color w:val="000000" w:themeColor="text1"/>
          <w:sz w:val="16"/>
          <w:szCs w:val="16"/>
        </w:rPr>
      </w:pPr>
    </w:p>
    <w:p w14:paraId="68F89FF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 ноября 1935 в СССР магазины Торгсина (“Торговля с иностранцами”) прекратили принимать драгметаллы и монеты старой чеканки (4962).</w:t>
      </w:r>
    </w:p>
    <w:p w14:paraId="251DFB03"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A33569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E8EAB89" w14:textId="77777777" w:rsidR="00D4105E" w:rsidRPr="00E14102" w:rsidRDefault="00D4105E" w:rsidP="00E14102">
      <w:pPr>
        <w:autoSpaceDE w:val="0"/>
        <w:autoSpaceDN w:val="0"/>
        <w:adjustRightInd w:val="0"/>
        <w:jc w:val="both"/>
        <w:rPr>
          <w:iCs/>
          <w:color w:val="000000" w:themeColor="text1"/>
          <w:sz w:val="16"/>
          <w:szCs w:val="16"/>
        </w:rPr>
      </w:pPr>
    </w:p>
    <w:p w14:paraId="725793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 ноября 1935 года начались летные испытания «Жироплана», их про</w:t>
      </w:r>
      <w:r w:rsidRPr="00E14102">
        <w:rPr>
          <w:color w:val="000000" w:themeColor="text1"/>
          <w:sz w:val="16"/>
          <w:szCs w:val="16"/>
        </w:rPr>
        <w:softHyphen/>
        <w:t>водил Морис Клайсс, прошедший к тому времени подготовку во фран</w:t>
      </w:r>
      <w:r w:rsidRPr="00E14102">
        <w:rPr>
          <w:color w:val="000000" w:themeColor="text1"/>
          <w:sz w:val="16"/>
          <w:szCs w:val="16"/>
        </w:rPr>
        <w:softHyphen/>
        <w:t>цузских ВВС. 14 декабря пилот де</w:t>
      </w:r>
      <w:r w:rsidRPr="00E14102">
        <w:rPr>
          <w:color w:val="000000" w:themeColor="text1"/>
          <w:sz w:val="16"/>
          <w:szCs w:val="16"/>
        </w:rPr>
        <w:softHyphen/>
        <w:t>монстрировал возможности маневри</w:t>
      </w:r>
      <w:r w:rsidRPr="00E14102">
        <w:rPr>
          <w:color w:val="000000" w:themeColor="text1"/>
          <w:sz w:val="16"/>
          <w:szCs w:val="16"/>
        </w:rPr>
        <w:softHyphen/>
        <w:t>рования вертолета в полете по замк</w:t>
      </w:r>
      <w:r w:rsidRPr="00E14102">
        <w:rPr>
          <w:color w:val="000000" w:themeColor="text1"/>
          <w:sz w:val="16"/>
          <w:szCs w:val="16"/>
        </w:rPr>
        <w:softHyphen/>
        <w:t>нутому маршруту (вместо полета по квадрату). 21 декабря в полете на мерной базе длиной 3200 м им была достигнута скорость полета чуть бо</w:t>
      </w:r>
      <w:r w:rsidRPr="00E14102">
        <w:rPr>
          <w:color w:val="000000" w:themeColor="text1"/>
          <w:sz w:val="16"/>
          <w:szCs w:val="16"/>
        </w:rPr>
        <w:softHyphen/>
        <w:t>лее 1 00 км/ч. В последнем полете сильно дефор</w:t>
      </w:r>
      <w:r w:rsidRPr="00E14102">
        <w:rPr>
          <w:color w:val="000000" w:themeColor="text1"/>
          <w:sz w:val="16"/>
          <w:szCs w:val="16"/>
        </w:rPr>
        <w:softHyphen/>
        <w:t>мировались лопасти несущего винта, их пришлось заменить, после чего ис</w:t>
      </w:r>
      <w:r w:rsidRPr="00E14102">
        <w:rPr>
          <w:color w:val="000000" w:themeColor="text1"/>
          <w:sz w:val="16"/>
          <w:szCs w:val="16"/>
        </w:rPr>
        <w:softHyphen/>
        <w:t>пытания «Жироплана» продолжились. 22 сентября 1936 года вертолет достиг рекордной высоты полета - 158 м. 24 ноября за 1 ч 2 мин 50 с «Жироп</w:t>
      </w:r>
      <w:r w:rsidRPr="00E14102">
        <w:rPr>
          <w:color w:val="000000" w:themeColor="text1"/>
          <w:sz w:val="16"/>
          <w:szCs w:val="16"/>
        </w:rPr>
        <w:softHyphen/>
        <w:t>лан» сделал 22 круга по мерной двухкилометровой базе, выполнив тем самым полет по маршруту длиной 44 км. Средняя скорость полета состави</w:t>
      </w:r>
      <w:r w:rsidRPr="00E14102">
        <w:rPr>
          <w:color w:val="000000" w:themeColor="text1"/>
          <w:sz w:val="16"/>
          <w:szCs w:val="16"/>
        </w:rPr>
        <w:softHyphen/>
        <w:t>ла 44,692 км/ч. Эти результаты были зарегистриро</w:t>
      </w:r>
      <w:r w:rsidRPr="00E14102">
        <w:rPr>
          <w:color w:val="000000" w:themeColor="text1"/>
          <w:sz w:val="16"/>
          <w:szCs w:val="16"/>
        </w:rPr>
        <w:softHyphen/>
        <w:t>ваны как мировые рекорды. Затем при благоприятных атмосферных условиях были выполнены полеты на режиме висения. Б последнем - третьем поле</w:t>
      </w:r>
      <w:r w:rsidRPr="00E14102">
        <w:rPr>
          <w:color w:val="000000" w:themeColor="text1"/>
          <w:sz w:val="16"/>
          <w:szCs w:val="16"/>
        </w:rPr>
        <w:softHyphen/>
        <w:t>те вертолет более 10 мин удерживал</w:t>
      </w:r>
      <w:r w:rsidRPr="00E14102">
        <w:rPr>
          <w:color w:val="000000" w:themeColor="text1"/>
          <w:sz w:val="16"/>
          <w:szCs w:val="16"/>
        </w:rPr>
        <w:softHyphen/>
        <w:t>ся на режиме висения на высоте 10 м. Завершились испытания попытками посадить машину на режиме самовра</w:t>
      </w:r>
      <w:r w:rsidRPr="00E14102">
        <w:rPr>
          <w:color w:val="000000" w:themeColor="text1"/>
          <w:sz w:val="16"/>
          <w:szCs w:val="16"/>
        </w:rPr>
        <w:softHyphen/>
        <w:t>щения несущего винта. При второй посадке вертолет был сильно повреж</w:t>
      </w:r>
      <w:r w:rsidRPr="00E14102">
        <w:rPr>
          <w:color w:val="000000" w:themeColor="text1"/>
          <w:sz w:val="16"/>
          <w:szCs w:val="16"/>
        </w:rPr>
        <w:softHyphen/>
        <w:t>ден, и его уже не восстанавливали. Четыре мировых рекорда - сред</w:t>
      </w:r>
      <w:r w:rsidRPr="00E14102">
        <w:rPr>
          <w:color w:val="000000" w:themeColor="text1"/>
          <w:sz w:val="16"/>
          <w:szCs w:val="16"/>
        </w:rPr>
        <w:softHyphen/>
        <w:t>ней скорости 44,692 км/ч, продолжи</w:t>
      </w:r>
      <w:r w:rsidRPr="00E14102">
        <w:rPr>
          <w:color w:val="000000" w:themeColor="text1"/>
          <w:sz w:val="16"/>
          <w:szCs w:val="16"/>
        </w:rPr>
        <w:softHyphen/>
        <w:t>тельности полета 1 ч 2 мин 50 с и даль</w:t>
      </w:r>
      <w:r w:rsidRPr="00E14102">
        <w:rPr>
          <w:color w:val="000000" w:themeColor="text1"/>
          <w:sz w:val="16"/>
          <w:szCs w:val="16"/>
        </w:rPr>
        <w:softHyphen/>
        <w:t>ности полета 44 км, установленные на «Жироплане» Бреге-Дорана, стали очередной ступенью в достижении ми</w:t>
      </w:r>
      <w:r w:rsidRPr="00E14102">
        <w:rPr>
          <w:color w:val="000000" w:themeColor="text1"/>
          <w:sz w:val="16"/>
          <w:szCs w:val="16"/>
        </w:rPr>
        <w:softHyphen/>
        <w:t>ровых вертолетных высот. И вновь на</w:t>
      </w:r>
      <w:r w:rsidRPr="00E14102">
        <w:rPr>
          <w:color w:val="000000" w:themeColor="text1"/>
          <w:sz w:val="16"/>
          <w:szCs w:val="16"/>
        </w:rPr>
        <w:softHyphen/>
        <w:t>помним, что этот зарегистрированный новый мировой рекорд высоты - 1 58 м — почти в четыре раза уступал неофи</w:t>
      </w:r>
      <w:r w:rsidRPr="00E14102">
        <w:rPr>
          <w:color w:val="000000" w:themeColor="text1"/>
          <w:sz w:val="16"/>
          <w:szCs w:val="16"/>
        </w:rPr>
        <w:softHyphen/>
        <w:t>циальному рекорду советского верто</w:t>
      </w:r>
      <w:r w:rsidRPr="00E14102">
        <w:rPr>
          <w:color w:val="000000" w:themeColor="text1"/>
          <w:sz w:val="16"/>
          <w:szCs w:val="16"/>
        </w:rPr>
        <w:softHyphen/>
        <w:t>лета ЦАГИ 1-ЭА (11401).</w:t>
      </w:r>
    </w:p>
    <w:p w14:paraId="24B6925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B1928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ноября 1935 в Германии неверие в национал-социализм стало рассматриваться в качестве возможной причины развода (2100).</w:t>
      </w:r>
    </w:p>
    <w:p w14:paraId="5F279AB1" w14:textId="77777777" w:rsidR="00D4105E" w:rsidRPr="00E14102" w:rsidRDefault="00D4105E" w:rsidP="00E14102">
      <w:pPr>
        <w:autoSpaceDE w:val="0"/>
        <w:autoSpaceDN w:val="0"/>
        <w:adjustRightInd w:val="0"/>
        <w:jc w:val="both"/>
        <w:rPr>
          <w:color w:val="000000" w:themeColor="text1"/>
          <w:sz w:val="16"/>
          <w:szCs w:val="16"/>
        </w:rPr>
      </w:pPr>
    </w:p>
    <w:p w14:paraId="47552620" w14:textId="77777777" w:rsidR="00262DB6" w:rsidRPr="00E14102" w:rsidRDefault="00262DB6"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8A479D6" w14:textId="77777777" w:rsidR="00262DB6" w:rsidRPr="00E14102" w:rsidRDefault="00262DB6" w:rsidP="00E14102">
      <w:pPr>
        <w:autoSpaceDE w:val="0"/>
        <w:autoSpaceDN w:val="0"/>
        <w:adjustRightInd w:val="0"/>
        <w:jc w:val="both"/>
        <w:rPr>
          <w:iCs/>
          <w:color w:val="000000" w:themeColor="text1"/>
          <w:sz w:val="16"/>
          <w:szCs w:val="16"/>
        </w:rPr>
      </w:pPr>
    </w:p>
    <w:p w14:paraId="7AF887BE" w14:textId="77777777" w:rsidR="00262DB6" w:rsidRPr="00E14102" w:rsidRDefault="00262DB6" w:rsidP="00E14102">
      <w:pPr>
        <w:jc w:val="both"/>
        <w:rPr>
          <w:color w:val="0070C0"/>
          <w:sz w:val="16"/>
          <w:szCs w:val="16"/>
        </w:rPr>
      </w:pPr>
      <w:r w:rsidRPr="00E14102">
        <w:rPr>
          <w:color w:val="0070C0"/>
          <w:sz w:val="16"/>
          <w:szCs w:val="16"/>
        </w:rPr>
        <w:t>В конце но</w:t>
      </w:r>
      <w:r w:rsidRPr="00E14102">
        <w:rPr>
          <w:color w:val="0070C0"/>
          <w:sz w:val="16"/>
          <w:szCs w:val="16"/>
        </w:rPr>
        <w:softHyphen/>
        <w:t>ября 1935 года состоялись первые опыты со связкой са</w:t>
      </w:r>
      <w:r w:rsidRPr="00E14102">
        <w:rPr>
          <w:color w:val="0070C0"/>
          <w:sz w:val="16"/>
          <w:szCs w:val="16"/>
        </w:rPr>
        <w:softHyphen/>
        <w:t>молетов, состоящую из двух И-16, прикрепленных под крылом ТБ-3, причем сразу выяснилось, что система тре</w:t>
      </w:r>
      <w:r w:rsidRPr="00E14102">
        <w:rPr>
          <w:color w:val="0070C0"/>
          <w:sz w:val="16"/>
          <w:szCs w:val="16"/>
        </w:rPr>
        <w:softHyphen/>
        <w:t>бует доработки (20345).</w:t>
      </w:r>
    </w:p>
    <w:p w14:paraId="2B7C76BE" w14:textId="77777777" w:rsidR="00262DB6" w:rsidRPr="00E14102" w:rsidRDefault="00262DB6" w:rsidP="00E14102">
      <w:pPr>
        <w:jc w:val="both"/>
        <w:rPr>
          <w:color w:val="0070C0"/>
          <w:sz w:val="16"/>
          <w:szCs w:val="16"/>
        </w:rPr>
      </w:pPr>
    </w:p>
    <w:p w14:paraId="0D666FA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DD68DCC" w14:textId="77777777" w:rsidR="00D4105E" w:rsidRPr="00E14102" w:rsidRDefault="00D4105E" w:rsidP="00E14102">
      <w:pPr>
        <w:autoSpaceDE w:val="0"/>
        <w:autoSpaceDN w:val="0"/>
        <w:adjustRightInd w:val="0"/>
        <w:jc w:val="both"/>
        <w:rPr>
          <w:iCs/>
          <w:color w:val="000000" w:themeColor="text1"/>
          <w:sz w:val="16"/>
          <w:szCs w:val="16"/>
        </w:rPr>
      </w:pPr>
    </w:p>
    <w:p w14:paraId="1B0A98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летало Звено-5 - ТБ-3 (АНТ-6) + 1 Z под фюзеляжем с подцеплением и отцеплением в воздухе (92,476), а на крыле было два И-15 и под два И-16 (438,681).</w:t>
      </w:r>
    </w:p>
    <w:p w14:paraId="00786633" w14:textId="77777777" w:rsidR="00D4105E" w:rsidRPr="00E14102" w:rsidRDefault="00D4105E" w:rsidP="00E14102">
      <w:pPr>
        <w:autoSpaceDE w:val="0"/>
        <w:autoSpaceDN w:val="0"/>
        <w:adjustRightInd w:val="0"/>
        <w:jc w:val="both"/>
        <w:rPr>
          <w:color w:val="000000" w:themeColor="text1"/>
          <w:sz w:val="16"/>
          <w:szCs w:val="16"/>
        </w:rPr>
      </w:pPr>
    </w:p>
    <w:p w14:paraId="25F551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закончились гос. испытания в НИИ ВВС ДИ-6. Летали л П.Я.Федрови и В.А.Степанченок, которые проходили с середины мая 1935.</w:t>
      </w:r>
    </w:p>
    <w:p w14:paraId="4F4369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83216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“ДИ-6 обладает для своего класса большим диапазоном скоростей (на высоте 3000 м от 150 до 385 км/час), хорошей для двухместного самолета маневренностью и устойчивым пикированием. На самолете удачно разрешен вопрос биплана с надежно работающим убирающимся шасси. Хорошо сделаны колеса с внутренней амортизацией.</w:t>
      </w:r>
    </w:p>
    <w:p w14:paraId="648766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Крыльевые пулеметные установки работали безотказно. Управление пулеметами и прицелами - удобное. Производственное выполнение самолета в целом хорошее.” (3876,8).</w:t>
      </w:r>
    </w:p>
    <w:p w14:paraId="396A67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Я.И.А. просил Нач. ГУАП в кратчайший срок выпустить один из 10 ДИ-6М-25, заказанных для войсковых испытаний, как образец машины на 1936, с устранением всех дефектов, оснащенный радиостанцией РИ Зет, самопуском двигателя и прочими доработками (3876,8).</w:t>
      </w:r>
    </w:p>
    <w:p w14:paraId="4213CFA3" w14:textId="77777777" w:rsidR="00D4105E" w:rsidRPr="00E14102" w:rsidRDefault="00D4105E" w:rsidP="00E14102">
      <w:pPr>
        <w:autoSpaceDE w:val="0"/>
        <w:autoSpaceDN w:val="0"/>
        <w:adjustRightInd w:val="0"/>
        <w:jc w:val="both"/>
        <w:rPr>
          <w:color w:val="000000" w:themeColor="text1"/>
          <w:sz w:val="16"/>
          <w:szCs w:val="16"/>
        </w:rPr>
      </w:pPr>
    </w:p>
    <w:p w14:paraId="0D116F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г. в НИИ ВВС на самолете Р-5 № 8890 испытывали шасси с пневматическими тормозами конструкции ЦАГИ, но внедрять его в серию уже было бессмысленно (12034).</w:t>
      </w:r>
    </w:p>
    <w:p w14:paraId="70E64F61" w14:textId="77777777" w:rsidR="00D4105E" w:rsidRPr="00E14102" w:rsidRDefault="00D4105E" w:rsidP="00E14102">
      <w:pPr>
        <w:autoSpaceDE w:val="0"/>
        <w:autoSpaceDN w:val="0"/>
        <w:adjustRightInd w:val="0"/>
        <w:jc w:val="both"/>
        <w:rPr>
          <w:color w:val="000000" w:themeColor="text1"/>
          <w:sz w:val="16"/>
          <w:szCs w:val="16"/>
        </w:rPr>
      </w:pPr>
    </w:p>
    <w:p w14:paraId="4E8027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года в НИИ ВВС вторично был испытан ДИ-6. Не забракован, но вновь были отмечены недостатки (3538).</w:t>
      </w:r>
    </w:p>
    <w:p w14:paraId="257C70C1" w14:textId="77777777" w:rsidR="00D4105E" w:rsidRPr="00E14102" w:rsidRDefault="00D4105E" w:rsidP="00E14102">
      <w:pPr>
        <w:autoSpaceDE w:val="0"/>
        <w:autoSpaceDN w:val="0"/>
        <w:adjustRightInd w:val="0"/>
        <w:jc w:val="both"/>
        <w:rPr>
          <w:color w:val="000000" w:themeColor="text1"/>
          <w:sz w:val="16"/>
          <w:szCs w:val="16"/>
        </w:rPr>
      </w:pPr>
    </w:p>
    <w:p w14:paraId="31FE50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закончились гос. испытания И-16 тип 4 21 завода, которые проходили с октября 1935 (80,129).</w:t>
      </w:r>
    </w:p>
    <w:p w14:paraId="04710355" w14:textId="77777777" w:rsidR="00D4105E" w:rsidRPr="00E14102" w:rsidRDefault="00D4105E" w:rsidP="00E14102">
      <w:pPr>
        <w:autoSpaceDE w:val="0"/>
        <w:autoSpaceDN w:val="0"/>
        <w:adjustRightInd w:val="0"/>
        <w:jc w:val="both"/>
        <w:rPr>
          <w:color w:val="000000" w:themeColor="text1"/>
          <w:sz w:val="16"/>
          <w:szCs w:val="16"/>
        </w:rPr>
      </w:pPr>
    </w:p>
    <w:p w14:paraId="7E998D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произошла авария И-17 в ходе заводских испытаний. Сломали шасси и повредили крыло (80,168).</w:t>
      </w:r>
    </w:p>
    <w:p w14:paraId="63D914FF" w14:textId="77777777" w:rsidR="00D4105E" w:rsidRPr="00E14102" w:rsidRDefault="00D4105E" w:rsidP="00E14102">
      <w:pPr>
        <w:autoSpaceDE w:val="0"/>
        <w:autoSpaceDN w:val="0"/>
        <w:adjustRightInd w:val="0"/>
        <w:jc w:val="both"/>
        <w:rPr>
          <w:color w:val="000000" w:themeColor="text1"/>
          <w:sz w:val="16"/>
          <w:szCs w:val="16"/>
        </w:rPr>
      </w:pPr>
    </w:p>
    <w:p w14:paraId="549BCA32" w14:textId="77777777" w:rsidR="00A2081C" w:rsidRPr="00E14102" w:rsidRDefault="00A2081C" w:rsidP="00E14102">
      <w:pPr>
        <w:shd w:val="clear" w:color="auto" w:fill="FFFFFF"/>
        <w:jc w:val="both"/>
        <w:rPr>
          <w:color w:val="0070C0"/>
          <w:sz w:val="16"/>
          <w:szCs w:val="16"/>
        </w:rPr>
      </w:pPr>
      <w:r w:rsidRPr="00E14102">
        <w:rPr>
          <w:color w:val="0070C0"/>
          <w:sz w:val="16"/>
          <w:szCs w:val="16"/>
        </w:rPr>
        <w:t>В ноябре 1935 года, новый истребитель И-17 конструкции Н. Н. Поликарпова демонстрировали руководителям партии и правительства. Небольшой остроносый самолёт стремительно носился над лётным полем, легко и изящно выполняя фигуры высшего пилотажа, но, когда машина пошла на посадку, все увидели, что из ниши крыла полностью вышла и изготовилась к встрече с землёй только одна стойка шасси. Стартовая команда отреагировала молниеносно: в считанные секунды посадочное «Т» превратилось в громадный белый запрещающий знак (19916).</w:t>
      </w:r>
    </w:p>
    <w:p w14:paraId="77A8BA73" w14:textId="77777777" w:rsidR="00A2081C" w:rsidRPr="00E14102" w:rsidRDefault="00A2081C" w:rsidP="00E14102">
      <w:pPr>
        <w:shd w:val="clear" w:color="auto" w:fill="FFFFFF"/>
        <w:jc w:val="both"/>
        <w:rPr>
          <w:color w:val="0070C0"/>
          <w:sz w:val="16"/>
          <w:szCs w:val="16"/>
        </w:rPr>
      </w:pPr>
    </w:p>
    <w:p w14:paraId="2610DD75" w14:textId="77777777" w:rsidR="00EA5F83" w:rsidRPr="00E14102" w:rsidRDefault="00EA5F83" w:rsidP="00E14102">
      <w:pPr>
        <w:pStyle w:val="1080"/>
        <w:shd w:val="clear" w:color="auto" w:fill="auto"/>
        <w:spacing w:after="0" w:line="240" w:lineRule="auto"/>
        <w:ind w:firstLine="0"/>
        <w:jc w:val="both"/>
        <w:rPr>
          <w:rStyle w:val="442"/>
          <w:rFonts w:ascii="Times New Roman" w:hAnsi="Times New Roman" w:cs="Times New Roman"/>
          <w:color w:val="0070C0"/>
          <w:sz w:val="16"/>
          <w:szCs w:val="16"/>
        </w:rPr>
      </w:pPr>
      <w:r w:rsidRPr="00E14102">
        <w:rPr>
          <w:rStyle w:val="441"/>
          <w:rFonts w:ascii="Times New Roman" w:hAnsi="Times New Roman" w:cs="Times New Roman"/>
          <w:i w:val="0"/>
          <w:iCs w:val="0"/>
          <w:color w:val="0070C0"/>
          <w:sz w:val="16"/>
          <w:szCs w:val="16"/>
          <w:lang w:val="ru-RU"/>
        </w:rPr>
        <w:t>В</w:t>
      </w:r>
      <w:r w:rsidRPr="00E14102">
        <w:rPr>
          <w:rStyle w:val="441"/>
          <w:rFonts w:ascii="Times New Roman" w:hAnsi="Times New Roman" w:cs="Times New Roman"/>
          <w:i w:val="0"/>
          <w:iCs w:val="0"/>
          <w:color w:val="0070C0"/>
          <w:sz w:val="16"/>
          <w:szCs w:val="16"/>
        </w:rPr>
        <w:t xml:space="preserve"> ноябре 1935 года </w:t>
      </w:r>
      <w:r w:rsidRPr="00E14102">
        <w:rPr>
          <w:rStyle w:val="441"/>
          <w:rFonts w:ascii="Times New Roman" w:hAnsi="Times New Roman" w:cs="Times New Roman"/>
          <w:i w:val="0"/>
          <w:iCs w:val="0"/>
          <w:color w:val="0070C0"/>
          <w:sz w:val="16"/>
          <w:szCs w:val="16"/>
          <w:lang w:val="ru-RU"/>
        </w:rPr>
        <w:t>в</w:t>
      </w:r>
      <w:r w:rsidRPr="00E14102">
        <w:rPr>
          <w:rStyle w:val="441"/>
          <w:rFonts w:ascii="Times New Roman" w:hAnsi="Times New Roman" w:cs="Times New Roman"/>
          <w:i w:val="0"/>
          <w:iCs w:val="0"/>
          <w:color w:val="0070C0"/>
          <w:sz w:val="16"/>
          <w:szCs w:val="16"/>
        </w:rPr>
        <w:t xml:space="preserve"> ГУАПе, согласно справке о выполнении авиапромышленностью плана заказа 1935 года по самолетам и моторам, положение с ИП-1 оценивали следующим образом:</w:t>
      </w:r>
      <w:r w:rsidRPr="00E14102">
        <w:rPr>
          <w:rStyle w:val="442"/>
          <w:rFonts w:ascii="Times New Roman" w:hAnsi="Times New Roman" w:cs="Times New Roman"/>
          <w:color w:val="0070C0"/>
          <w:sz w:val="16"/>
          <w:szCs w:val="16"/>
        </w:rPr>
        <w:t xml:space="preserve"> «По са</w:t>
      </w:r>
      <w:r w:rsidRPr="00E14102">
        <w:rPr>
          <w:rStyle w:val="442"/>
          <w:rFonts w:ascii="Times New Roman" w:hAnsi="Times New Roman" w:cs="Times New Roman"/>
          <w:color w:val="0070C0"/>
          <w:sz w:val="16"/>
          <w:szCs w:val="16"/>
        </w:rPr>
        <w:softHyphen/>
        <w:t>молету ИП-1 программа будет выполнена в пределах 30 самолетов с пулеметным вари</w:t>
      </w:r>
      <w:r w:rsidRPr="00E14102">
        <w:rPr>
          <w:rStyle w:val="442"/>
          <w:rFonts w:ascii="Times New Roman" w:hAnsi="Times New Roman" w:cs="Times New Roman"/>
          <w:color w:val="0070C0"/>
          <w:sz w:val="16"/>
          <w:szCs w:val="16"/>
        </w:rPr>
        <w:softHyphen/>
        <w:t>антом на 2 ШКАСа. До 1 января 1936 года будет сдано 15 самолетов. Остальные 15 будут сданы в феврале 1936 года. Недодел в количестве 70 самолетов ИП-1 включить в программу 1936 года в пулеметном вариан</w:t>
      </w:r>
      <w:r w:rsidRPr="00E14102">
        <w:rPr>
          <w:rStyle w:val="442"/>
          <w:rFonts w:ascii="Times New Roman" w:hAnsi="Times New Roman" w:cs="Times New Roman"/>
          <w:color w:val="0070C0"/>
          <w:sz w:val="16"/>
          <w:szCs w:val="16"/>
        </w:rPr>
        <w:softHyphen/>
        <w:t>те на 6 ШКАС»</w:t>
      </w:r>
      <w:r w:rsidRPr="00E14102">
        <w:rPr>
          <w:rStyle w:val="442"/>
          <w:rFonts w:ascii="Times New Roman" w:hAnsi="Times New Roman" w:cs="Times New Roman"/>
          <w:color w:val="0070C0"/>
          <w:sz w:val="16"/>
          <w:szCs w:val="16"/>
          <w:lang w:val="ru-RU"/>
        </w:rPr>
        <w:t xml:space="preserve"> (19871)</w:t>
      </w:r>
      <w:r w:rsidRPr="00E14102">
        <w:rPr>
          <w:rStyle w:val="442"/>
          <w:rFonts w:ascii="Times New Roman" w:hAnsi="Times New Roman" w:cs="Times New Roman"/>
          <w:color w:val="0070C0"/>
          <w:sz w:val="16"/>
          <w:szCs w:val="16"/>
        </w:rPr>
        <w:t>.</w:t>
      </w:r>
    </w:p>
    <w:p w14:paraId="700C8C65" w14:textId="77777777" w:rsidR="00EA5F83" w:rsidRPr="00E14102" w:rsidRDefault="00EA5F83" w:rsidP="00E14102">
      <w:pPr>
        <w:pStyle w:val="1080"/>
        <w:shd w:val="clear" w:color="auto" w:fill="auto"/>
        <w:spacing w:after="0" w:line="240" w:lineRule="auto"/>
        <w:ind w:firstLine="0"/>
        <w:jc w:val="both"/>
        <w:rPr>
          <w:rFonts w:ascii="Times New Roman" w:hAnsi="Times New Roman" w:cs="Times New Roman"/>
          <w:color w:val="0070C0"/>
          <w:sz w:val="16"/>
          <w:szCs w:val="16"/>
        </w:rPr>
      </w:pPr>
    </w:p>
    <w:p w14:paraId="1A0757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ноября 1935 по март 1937 на 21 заводе велась постройка самолета 7211 Боровкова и И.Ф.Ф. (2399,50).</w:t>
      </w:r>
    </w:p>
    <w:p w14:paraId="26ADD914" w14:textId="77777777" w:rsidR="00D4105E" w:rsidRPr="00E14102" w:rsidRDefault="00D4105E" w:rsidP="00E14102">
      <w:pPr>
        <w:autoSpaceDE w:val="0"/>
        <w:autoSpaceDN w:val="0"/>
        <w:adjustRightInd w:val="0"/>
        <w:jc w:val="both"/>
        <w:rPr>
          <w:color w:val="000000" w:themeColor="text1"/>
          <w:sz w:val="16"/>
          <w:szCs w:val="16"/>
        </w:rPr>
      </w:pPr>
    </w:p>
    <w:p w14:paraId="766DAA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ноября 1935 по март 1937 на заводе 21 строился самолет 7211- опытный самолет № 7 с мотором М-85 конструкции инженеров Боровкова и Флорова (7663, 9).</w:t>
      </w:r>
    </w:p>
    <w:p w14:paraId="683319B0" w14:textId="77777777" w:rsidR="00D4105E" w:rsidRPr="00E14102" w:rsidRDefault="00D4105E" w:rsidP="00E14102">
      <w:pPr>
        <w:autoSpaceDE w:val="0"/>
        <w:autoSpaceDN w:val="0"/>
        <w:adjustRightInd w:val="0"/>
        <w:jc w:val="both"/>
        <w:rPr>
          <w:color w:val="000000" w:themeColor="text1"/>
          <w:sz w:val="16"/>
          <w:szCs w:val="16"/>
        </w:rPr>
      </w:pPr>
    </w:p>
    <w:p w14:paraId="0B6D547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ноябре 1935 года, т.е. через год после его постройки, закончились первые испытания самолета Э-1, построенного в конце 1934 года и испытывавшегося с октября-1935. При приемке самолета на испытания, в нем были обнаружены некоторые скопления продуктов коррозии. После удаления этих продуктов коррозии поверхность была покрыта оксидной пленкой селенистой кислоты и дальнейшее наблюдение за самолетом не обнаружило увеличения коррозии, несмотря на пребывание машины в условиях влажной атмосферы осенней погоды. На испытаниях в период октября-ноября 1935 года было сделано 273 полета общей продолжительностью 23 часа, в том числе и полета на максимальной скорости. (Отчет 1935 года по экспериментальным испытаниям самолета Э-1 с мотором М-48). С конца 1935 года до середины 1937 года испытаний с самолетом не проводилось, причем самолет в этот период времени находился в различных условиях: в ангаре и под открытым небом. К концу 1937 года самолет был отремонтирован и участвовал в скоростных перелетах Москва-Севастополь. После этого до весны 1938 года самолет находился под открытым небом. Весной 1938 года самолет был перевезен на аэродром НИИ ВВС, где он был отремонтирован, оставшаяся покраска была смыта обычной смывкой, после чего в течение мая-июня с самолетом проводились дополнительные полетные испытания. К 5 июня было проведено 152 испытательных полетов на взлет-посадку (время 11 час. 45 мин.), после чего был проведен осмотр самолета (6749).</w:t>
      </w:r>
    </w:p>
    <w:p w14:paraId="7C4E7022"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830C1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года, т.е. через год после его постройки были закончены начатые в октябре-первые испытания самолета Э-1. На испытаниях в период октября-ноября 1935 года было сделано 273 полета общей продолжительностью 23 часа.</w:t>
      </w:r>
    </w:p>
    <w:p w14:paraId="31880C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Э-1 был построен в конце 1934 года.</w:t>
      </w:r>
    </w:p>
    <w:p w14:paraId="4B6680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В ряду других машин легкомоторной авиации он не имеет каких-либо особых преимуществ.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 (По другим самолетам легкомоторной авиации это отношение колеблется от 0,156 до 0,341).</w:t>
      </w:r>
    </w:p>
    <w:p w14:paraId="364C4E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Исходным материалом для изготовления самолета Э-1 был взят магниевый сплав типа "Электрон", следующего химического состава:</w:t>
      </w:r>
    </w:p>
    <w:p w14:paraId="2859C5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алюминий – 66,5%</w:t>
      </w:r>
    </w:p>
    <w:p w14:paraId="16FF3A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марганец – 0,5%</w:t>
      </w:r>
    </w:p>
    <w:p w14:paraId="586AB3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цинк – 0,8-1%</w:t>
      </w:r>
    </w:p>
    <w:p w14:paraId="106668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магний – остальное</w:t>
      </w:r>
    </w:p>
    <w:p w14:paraId="43B598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электронные детали были обработаны хромпиком и покрыты лакокрасочным покрытием.</w:t>
      </w:r>
    </w:p>
    <w:p w14:paraId="28B595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конца 1935 года до середины 1937 года испытаний с самолетом не производилось.</w:t>
      </w:r>
    </w:p>
    <w:p w14:paraId="5922D9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концу 1937 года самолет был отремонтирован и участвовал в скоростных перелетах Москва-Симферополь. Весной 1938 года самолет был перевезен на аэродром НИИ ВВС, где он был отремонтирован, после чего в течение мая-июня с самолетом проводились дополнительные полетные испытания.</w:t>
      </w:r>
    </w:p>
    <w:p w14:paraId="28EBBC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6A4A87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от коррозии (хромпиковая оксидная пленка и лакокрасочное покрытие) (7755).</w:t>
      </w:r>
    </w:p>
    <w:p w14:paraId="25E10301"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443D025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ноя</w:t>
      </w:r>
      <w:r w:rsidRPr="00E14102">
        <w:rPr>
          <w:color w:val="000000" w:themeColor="text1"/>
          <w:sz w:val="16"/>
          <w:szCs w:val="16"/>
        </w:rPr>
        <w:softHyphen/>
        <w:t>бре 1935 г. на заводские испытания вышли УТИ-2 и УТИ-3, оснащенные моторами М-22. УТИ-3, в отличие от УТИ-2, имел неубираемое шасси, что должно было упростить производство. На государственные испыта</w:t>
      </w:r>
      <w:r w:rsidRPr="00E14102">
        <w:rPr>
          <w:color w:val="000000" w:themeColor="text1"/>
          <w:sz w:val="16"/>
          <w:szCs w:val="16"/>
        </w:rPr>
        <w:softHyphen/>
        <w:t>ния передали УТИ-2, так как был признан более жела</w:t>
      </w:r>
      <w:r w:rsidRPr="00E14102">
        <w:rPr>
          <w:color w:val="000000" w:themeColor="text1"/>
          <w:sz w:val="16"/>
          <w:szCs w:val="16"/>
        </w:rPr>
        <w:softHyphen/>
        <w:t>тельным вариант с убираемым шасси для обучения летчиков навыкам пилотажа и операциям по уборке шасси, пилотированию в условиях изменения динами</w:t>
      </w:r>
      <w:r w:rsidRPr="00E14102">
        <w:rPr>
          <w:color w:val="000000" w:themeColor="text1"/>
          <w:sz w:val="16"/>
          <w:szCs w:val="16"/>
        </w:rPr>
        <w:softHyphen/>
        <w:t>ческих характеристик машины. Государственные испытания УТИ-2 проходил в 1936 г. (ведущий летчик - Федрови). В отчете об испытаниях за</w:t>
      </w:r>
      <w:r w:rsidRPr="00E14102">
        <w:rPr>
          <w:color w:val="000000" w:themeColor="text1"/>
          <w:sz w:val="16"/>
          <w:szCs w:val="16"/>
        </w:rPr>
        <w:softHyphen/>
        <w:t>писано: “Самолет без труда выходит из штопора с отдан</w:t>
      </w:r>
      <w:r w:rsidRPr="00E14102">
        <w:rPr>
          <w:color w:val="000000" w:themeColor="text1"/>
          <w:sz w:val="16"/>
          <w:szCs w:val="16"/>
        </w:rPr>
        <w:softHyphen/>
        <w:t>ной от себя ручкой”. Там же отмечалось, что передняя кабина тесная, что самолет годится в качестве вывозного и для тренировки летчиков строевых частей, но не для обучения курсантов, так как сохраняет все особенности пилотирования, присущие И-16. Были зафиксированы максимальная скорость полета 364 км/ч у земли и 342 км/ч на высоте 5000 м, практический потолок 6950 м, раз</w:t>
      </w:r>
      <w:r w:rsidRPr="00E14102">
        <w:rPr>
          <w:color w:val="000000" w:themeColor="text1"/>
          <w:sz w:val="16"/>
          <w:szCs w:val="16"/>
        </w:rPr>
        <w:softHyphen/>
        <w:t>бег 180 м (12 с), пробег - 200 м (16с). Еще до начала государственных испытаний заводу № 21 выдали заказ на постройку первой серии из 20 эк</w:t>
      </w:r>
      <w:r w:rsidRPr="00E14102">
        <w:rPr>
          <w:color w:val="000000" w:themeColor="text1"/>
          <w:sz w:val="16"/>
          <w:szCs w:val="16"/>
        </w:rPr>
        <w:softHyphen/>
        <w:t>земпляров УТИ-2 с М-22 с последующим увеличением ее до 35 единиц для переучивания летчиков с истребите</w:t>
      </w:r>
      <w:r w:rsidRPr="00E14102">
        <w:rPr>
          <w:color w:val="000000" w:themeColor="text1"/>
          <w:sz w:val="16"/>
          <w:szCs w:val="16"/>
        </w:rPr>
        <w:softHyphen/>
        <w:t xml:space="preserve">лей И-3, И-5 и И-4 на И-16 с М-22. </w:t>
      </w:r>
      <w:r w:rsidRPr="00E14102">
        <w:rPr>
          <w:color w:val="000000" w:themeColor="text1"/>
          <w:sz w:val="16"/>
          <w:szCs w:val="16"/>
        </w:rPr>
        <w:lastRenderedPageBreak/>
        <w:t>Самолет получил заводское обозначение “тип 14”. Он использовался в строевых частях в качестве учебно-тренировочной машины. Позже УТИ-2 стали переда</w:t>
      </w:r>
      <w:r w:rsidRPr="00E14102">
        <w:rPr>
          <w:color w:val="000000" w:themeColor="text1"/>
          <w:sz w:val="16"/>
          <w:szCs w:val="16"/>
        </w:rPr>
        <w:softHyphen/>
        <w:t>вать в летные школы для подготовки будущих летчиков к полетам на И-16. В отдельных училищах УТИ-2 при</w:t>
      </w:r>
      <w:r w:rsidRPr="00E14102">
        <w:rPr>
          <w:color w:val="000000" w:themeColor="text1"/>
          <w:sz w:val="16"/>
          <w:szCs w:val="16"/>
        </w:rPr>
        <w:softHyphen/>
        <w:t>менялись вплоть до начала 1941 г. Следует отметить, что еще до внедрения в производ</w:t>
      </w:r>
      <w:r w:rsidRPr="00E14102">
        <w:rPr>
          <w:color w:val="000000" w:themeColor="text1"/>
          <w:sz w:val="16"/>
          <w:szCs w:val="16"/>
        </w:rPr>
        <w:softHyphen/>
        <w:t>ство УТИ-2 серийное конструкторское бюро завода №21 спроектировало самолет УТ-2 с мотором М-22 -двухместный учебно-тренировочный вариант И-16 с за</w:t>
      </w:r>
      <w:r w:rsidRPr="00E14102">
        <w:rPr>
          <w:color w:val="000000" w:themeColor="text1"/>
          <w:sz w:val="16"/>
          <w:szCs w:val="16"/>
        </w:rPr>
        <w:softHyphen/>
        <w:t>крытой кабиной экипажа. В мае 1935 г. УТ-2 (заводской номер 8211, т.е. тип 8 завода №21, экземпляр № 1) выве</w:t>
      </w:r>
      <w:r w:rsidRPr="00E14102">
        <w:rPr>
          <w:color w:val="000000" w:themeColor="text1"/>
          <w:sz w:val="16"/>
          <w:szCs w:val="16"/>
        </w:rPr>
        <w:softHyphen/>
        <w:t>ли на испытания. Вскоре построили еще один экземп</w:t>
      </w:r>
      <w:r w:rsidRPr="00E14102">
        <w:rPr>
          <w:color w:val="000000" w:themeColor="text1"/>
          <w:sz w:val="16"/>
          <w:szCs w:val="16"/>
        </w:rPr>
        <w:softHyphen/>
        <w:t>ляр. Машина имела ряд дефектов: заднюю центровку, тесные кабины, плохо открывающиеся крышки фонаря и др. Было признано, что он уступает УТИ-2, поэтому в серии УТ-2 не строился. В том же 1935 г. по просьбе ВВС серийное КБ спро</w:t>
      </w:r>
      <w:r w:rsidRPr="00E14102">
        <w:rPr>
          <w:color w:val="000000" w:themeColor="text1"/>
          <w:sz w:val="16"/>
          <w:szCs w:val="16"/>
        </w:rPr>
        <w:softHyphen/>
        <w:t>ектировало на базе И-16 тип 4 истребитель с четырьмя пулеметами ШКАС в крыле - И-161, в известном смыс</w:t>
      </w:r>
      <w:r w:rsidRPr="00E14102">
        <w:rPr>
          <w:color w:val="000000" w:themeColor="text1"/>
          <w:sz w:val="16"/>
          <w:szCs w:val="16"/>
        </w:rPr>
        <w:softHyphen/>
        <w:t>ле повторявший более ранний аналогичный проект ЦКБ-18. Возмущению Поликарпова не было границ, и не из-за того, что КБ серийного завода самостоятельно проектировало новые машины, а потому, что оно вы</w:t>
      </w:r>
      <w:r w:rsidRPr="00E14102">
        <w:rPr>
          <w:color w:val="000000" w:themeColor="text1"/>
          <w:sz w:val="16"/>
          <w:szCs w:val="16"/>
        </w:rPr>
        <w:softHyphen/>
        <w:t>полняло проекты, пренебрегая своими прямыми обя</w:t>
      </w:r>
      <w:r w:rsidRPr="00E14102">
        <w:rPr>
          <w:color w:val="000000" w:themeColor="text1"/>
          <w:sz w:val="16"/>
          <w:szCs w:val="16"/>
        </w:rPr>
        <w:softHyphen/>
        <w:t>занностям — разработками конструкторско-техно-логической документации для производства серийных машин, в первую очередь И-16 тип 4 и тип 5. Дирекция завода №21, заявляя, что не может обеспечить внедре</w:t>
      </w:r>
      <w:r w:rsidRPr="00E14102">
        <w:rPr>
          <w:color w:val="000000" w:themeColor="text1"/>
          <w:sz w:val="16"/>
          <w:szCs w:val="16"/>
        </w:rPr>
        <w:softHyphen/>
        <w:t>ние в серию И-16, ввиду слабости своего КБ и, требуя привлечения для этой цели конструкторов бригады № 2 ЦКБ, пыталась создать благоприятные условия для де</w:t>
      </w:r>
      <w:r w:rsidRPr="00E14102">
        <w:rPr>
          <w:color w:val="000000" w:themeColor="text1"/>
          <w:sz w:val="16"/>
          <w:szCs w:val="16"/>
        </w:rPr>
        <w:softHyphen/>
        <w:t>ятельности серийного КБ по созданию “своих” конст</w:t>
      </w:r>
      <w:r w:rsidRPr="00E14102">
        <w:rPr>
          <w:color w:val="000000" w:themeColor="text1"/>
          <w:sz w:val="16"/>
          <w:szCs w:val="16"/>
        </w:rPr>
        <w:softHyphen/>
        <w:t>рукций. Николай Николаевич жестко поставил об этом вопрос перед директором завода № 39 Марголиным, писал руководству главка, наркому тяжелой промыш</w:t>
      </w:r>
      <w:r w:rsidRPr="00E14102">
        <w:rPr>
          <w:color w:val="000000" w:themeColor="text1"/>
          <w:sz w:val="16"/>
          <w:szCs w:val="16"/>
        </w:rPr>
        <w:softHyphen/>
        <w:t>ленности С.Орджоникидзе. Он указывал: “...Целиком разделяя установку на раз</w:t>
      </w:r>
      <w:r w:rsidRPr="00E14102">
        <w:rPr>
          <w:color w:val="000000" w:themeColor="text1"/>
          <w:sz w:val="16"/>
          <w:szCs w:val="16"/>
        </w:rPr>
        <w:softHyphen/>
        <w:t>вертывание опытных работ на серийных заводах, мы все же полагаем, что [их] опытные работы должны быть тесно связаны с основной задачей - улучшения идущего в производстве типа, а не производиться за счет этой ра</w:t>
      </w:r>
      <w:r w:rsidRPr="00E14102">
        <w:rPr>
          <w:color w:val="000000" w:themeColor="text1"/>
          <w:sz w:val="16"/>
          <w:szCs w:val="16"/>
        </w:rPr>
        <w:softHyphen/>
        <w:t>боты или основных опытных баз, спихивая на них эту доводочную работу. Поэтому получается, например, что в то время, как мы делали доводочную работу для завода №21, он делал двухместную машину и штурмо</w:t>
      </w:r>
      <w:r w:rsidRPr="00E14102">
        <w:rPr>
          <w:color w:val="000000" w:themeColor="text1"/>
          <w:sz w:val="16"/>
          <w:szCs w:val="16"/>
        </w:rPr>
        <w:softHyphen/>
        <w:t>вик, который (штурмовик) еще в начале 1934 г. был проработан у нас и в конце года спущен в производство, но приостановлен из-за отсутствия производственных мощностей”. И вносил предложение: “Решительно прекратить су</w:t>
      </w:r>
      <w:r w:rsidRPr="00E14102">
        <w:rPr>
          <w:color w:val="000000" w:themeColor="text1"/>
          <w:sz w:val="16"/>
          <w:szCs w:val="16"/>
        </w:rPr>
        <w:softHyphen/>
        <w:t>ществующую систему наших взаимоотношений с се</w:t>
      </w:r>
      <w:r w:rsidRPr="00E14102">
        <w:rPr>
          <w:color w:val="000000" w:themeColor="text1"/>
          <w:sz w:val="16"/>
          <w:szCs w:val="16"/>
        </w:rPr>
        <w:softHyphen/>
        <w:t>рийными заводами, разгрузив нас от работы, которую они должны делать” (10667).</w:t>
      </w:r>
    </w:p>
    <w:p w14:paraId="7390DB8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7422B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из США в СССР отправили закупленный комиссией во главе с А.Н.Т. Нортроп 2Е и в СССР прибыл в начале 1936 (3457,26).</w:t>
      </w:r>
    </w:p>
    <w:p w14:paraId="607C3752" w14:textId="77777777" w:rsidR="00D4105E" w:rsidRPr="00E14102" w:rsidRDefault="00D4105E" w:rsidP="00E14102">
      <w:pPr>
        <w:autoSpaceDE w:val="0"/>
        <w:autoSpaceDN w:val="0"/>
        <w:adjustRightInd w:val="0"/>
        <w:jc w:val="both"/>
        <w:rPr>
          <w:color w:val="000000" w:themeColor="text1"/>
          <w:sz w:val="16"/>
          <w:szCs w:val="16"/>
        </w:rPr>
      </w:pPr>
    </w:p>
    <w:p w14:paraId="18632B72" w14:textId="77777777" w:rsidR="00B27DAD" w:rsidRPr="00E14102" w:rsidRDefault="00B27DAD" w:rsidP="00E14102">
      <w:pPr>
        <w:pStyle w:val="rtejustify"/>
        <w:shd w:val="clear" w:color="auto" w:fill="FFFFFF"/>
        <w:spacing w:before="0" w:after="0"/>
        <w:rPr>
          <w:color w:val="000000" w:themeColor="text1"/>
          <w:sz w:val="16"/>
          <w:szCs w:val="16"/>
        </w:rPr>
      </w:pPr>
      <w:r w:rsidRPr="00E14102">
        <w:rPr>
          <w:color w:val="000000" w:themeColor="text1"/>
          <w:sz w:val="16"/>
          <w:szCs w:val="16"/>
        </w:rPr>
        <w:t>В ноябре 1935 года один экземпляр Нортроп2ED, закупленный в США при посредничестве «Амторга» советской делегацией, возглавлявшейся А. Н. Туполевым в 1935 году, отправили в СССР. В нашу страну «нортроп» доставили в начале 1936 года (19168).</w:t>
      </w:r>
    </w:p>
    <w:p w14:paraId="2F86620C" w14:textId="77777777" w:rsidR="00B27DAD" w:rsidRPr="00E14102" w:rsidRDefault="00B27DAD" w:rsidP="00E14102">
      <w:pPr>
        <w:pStyle w:val="rtecenter"/>
        <w:shd w:val="clear" w:color="auto" w:fill="FFFFFF"/>
        <w:spacing w:before="0" w:after="0"/>
        <w:jc w:val="both"/>
        <w:textAlignment w:val="baseline"/>
        <w:rPr>
          <w:color w:val="000000" w:themeColor="text1"/>
          <w:sz w:val="16"/>
          <w:szCs w:val="16"/>
        </w:rPr>
      </w:pPr>
    </w:p>
    <w:p w14:paraId="516C319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ноябре 1935 Березин подготовил справку В.М.М.</w:t>
      </w:r>
    </w:p>
    <w:p w14:paraId="3EB72F6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Вячеслав Михайлович,</w:t>
      </w:r>
    </w:p>
    <w:p w14:paraId="14A2F33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Докладывая об истребителях сообщаю, что ни один из истребителей с Райт-циклон (ни И-15, ни И-16, ни ИП1) не обеспечен ни самопуском, ни электроинерционным, ни старым пуском, А это значит, что в боевых условиях их эксплуатация будет крайне затруднена, ведь нельзя же к каждому истребителю прилагать пускач-автомобиль.</w:t>
      </w:r>
    </w:p>
    <w:p w14:paraId="4A5A3D0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 И15 является на сегодня совершенно небоеспособной машиной из-за наличия следующих основных дефектов, делающих машину опасной для эксплуатации:</w:t>
      </w:r>
    </w:p>
    <w:p w14:paraId="02E5306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машине происходят уже через 80-100 часов эксплуатации из-за конструктивных и производственных дефектов срыв полотна и поломка носка крыла.</w:t>
      </w:r>
    </w:p>
    <w:p w14:paraId="2D7DE17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 первой опытной машины в ней имеет место “рыскание” (неустойчивость пути), сильно затрудняющее прицеливание. Это объясняется применением схемы “чайка” крутой конструкции.</w:t>
      </w:r>
    </w:p>
    <w:p w14:paraId="513F5F1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 подавляющего большинства машин имеет место в ходе поломка ног шасси, что связано в основном с непроваром стакана из-за сложности его конструкции.</w:t>
      </w:r>
    </w:p>
    <w:p w14:paraId="07308D9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Разрывы поперечной трубы 1-й рамы фюзеляжа из-за органических недостатков схемы шасси (при данной схеме дефект неустраним).</w:t>
      </w:r>
    </w:p>
    <w:p w14:paraId="6CB49A3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Отсутствие подогрева карбюратора, что сильно затрудняет и делает опасным зимнюю эксплуатацию машины.</w:t>
      </w:r>
    </w:p>
    <w:p w14:paraId="678D314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Ненадежность стрелковой установки (дефекты синхронизатора), неотстрелянность ее в зимних условиях.</w:t>
      </w:r>
    </w:p>
    <w:p w14:paraId="2EA96AF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Нет самопуска и кислородного баллона.</w:t>
      </w:r>
    </w:p>
    <w:p w14:paraId="347908E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 И-16 также является машиной не обеспечивающей нормальную работу истребительной авиации, так как до настоящего времени:</w:t>
      </w:r>
    </w:p>
    <w:p w14:paraId="22566B5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Шасси все еще не надежно.</w:t>
      </w:r>
    </w:p>
    <w:p w14:paraId="6860CD0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Недостаточна прочность 4-й нервюры.</w:t>
      </w:r>
    </w:p>
    <w:p w14:paraId="64A5AED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Имеет место прогарание моторов из-за неправильной конструкции капота И16 с М22.</w:t>
      </w:r>
    </w:p>
    <w:p w14:paraId="4331B4F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Имеют место обрывы болтов амортизатора костыля.</w:t>
      </w:r>
    </w:p>
    <w:p w14:paraId="64F8446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Выявленная недостаточная прочность оперения на серийных машинах не устранена (устранение из-за утяжеления дает такую центровку, что установка рации невозможна и как следствие, отсутствует связь для полетов в строю).</w:t>
      </w:r>
    </w:p>
    <w:p w14:paraId="23658AC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Основными причинами, приведшими к небоеспособности 2-х типов истребителей, обладающих в то же время хорошими скоростными показателями являются следующие:</w:t>
      </w:r>
    </w:p>
    <w:p w14:paraId="098A8A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Бригада № 2 (руководитель Поликарпов) создавала оба самолета в атмосфере излишней спешки, плохо продумывала конструкции и недостаточно исследовала предварительно отдельные части конструкции.</w:t>
      </w:r>
    </w:p>
    <w:p w14:paraId="22EA7B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Конструктор этих самолетов инженер Поликарпов пытается всячески не признавать дефекты машин, относя их в большинстве за счет производства и эксплуатации, а вынужденный в результате эксплуатации констатировать дефекты, проявляет недопустимую медлительность в их устранении.</w:t>
      </w:r>
    </w:p>
    <w:p w14:paraId="18838C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Совершенно недопустимое антигосударственное поведение во всех этих вопросах руководства завода (директор Марголин), которое всемерно рекламируя достижения завода по скоростным показателям, в то же время проводит систематически линию на неустранение дефектов из-за ложной боязни снизить “марку” завода, дать “козыри” УВС, вскрыть фактическое положение дела идущего в разрез с данными обещаниями и рекламной шумихой.</w:t>
      </w:r>
    </w:p>
    <w:p w14:paraId="09C1CF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Либеральное отношение УВС, которое зная о дефектах, неоднократно отмечая их в своих актах, не борется за получение высококачественной продукции и принимает материальную часть с дефектами, содействуя тем самым демобилизации завода на устранение дефектов и поддерживая у руководства завода уверенность, что все сойдет, “все скушают”.</w:t>
      </w:r>
    </w:p>
    <w:p w14:paraId="6B4695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Как иллюстрацию можно привести то, что самолет И-15 переданный на госиспытания 20 декабря 1933 года (срок был 1 ноября 1933 года) и законченный предварительными испытаниями 31 декабря 1933 года и далее проходивший 2-й этап госиспытаний (эксплуатационные испытания) в период с 26 марта по 24 апреля 1934 года (требуемые войсковые испытания самолет проходит только сейчас) был допущен на снабжение при условии устранения дефектов, а фактически, вплоть до настоящего времени основные дефекты остались неустраненными.</w:t>
      </w:r>
    </w:p>
    <w:p w14:paraId="0DDD47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 же картину имеем по самолету И-16. Он уже на 2-м этапе госиспытаний признан непригодным к серийной постройке и как временная мера допущен на снабжение с несколько улучшенным шасси и вооружением только для продукции 1934 года. Между тем, завод в дальнейшую продукцию изменений не ввел и дальнейший задел ведется лишь с временно утвержденным шасси и вооружением.</w:t>
      </w:r>
    </w:p>
    <w:p w14:paraId="7D0B4D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Отношение конструктора Поликарпова к конструированию и доводке можно проиллюстрировать такими фактами. Отмеченная актами НИИ вибрация элеронов на И-15 стала выбираться и соответствующие конструктивные переделки стали вноситься только тогда, когда в полете произошел отрыв элеронов, 4-я нервюра на И-16 переделывается только сейчас, когда ряд поломок уже произошел, в то время, как деформации нервюры отмечались еще актом от октября прошлого года.</w:t>
      </w:r>
    </w:p>
    <w:p w14:paraId="35B122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Улучшенное шасси на И-16, которое все же от складывания не гарантировано и допущено как временное, было передано на испытание только почти через год после того, как впервые ненадежность шасси была констатирована. Несмотря на то, что машина И-16 была рассчитана по старым нормам 1930 года, т.е. с пониженной против норм 1934 года прочностью и что действительная скорость самолета влияющая на прочность сильно превышена против расчетной, пересчет оперения своевременно сделан не был, а упрочнение началось с полугодовым запозданием только тогда, когда непрочность стала очевидной после ряда поломок в воздухе; при этом низкие темпы проведения упрочнений и методы этого штопанья вместо коренной переделки привели к тому, что серийные самолеты сегодня еще не имеют в большинстве упрочненного оперения.</w:t>
      </w:r>
    </w:p>
    <w:p w14:paraId="678FCFE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Неорганизованность и недоброкачественные методы работы, которые привели к тяжелому состоянию с И-15 и И-16 сказываются на постройке самолета И-17.</w:t>
      </w:r>
    </w:p>
    <w:p w14:paraId="1326F5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окончания этого самолета 1 декабря 1934 года. Завод уже к 20 (?) имел утвержденный НИИ ВВС эскизный проект и макет и обладал таким образом достаточным сроком для проведения этих работ. Но рекордовская, исключительно для целей внешнего эффекта спешка при конструировании (рабочие чертежи были сданы в производство в апреле 1934 года) повлекла за собой огромное число неувязок, недоделок и как следствие большие трудности в производстве, что вызвало в результате значительное опоздание. Отсутствие внимания со стороны руководства завода к правительственному заданию, отвлечение сил на “штурм” по серийному производству также содействовали срыву сроков по И-17 и работа по нему фактически пошла по-настоящему только с марта 1935 года.</w:t>
      </w:r>
    </w:p>
    <w:p w14:paraId="58AAFEBA"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Ход конструирования самолета сопровождался рядом недопустимых промахов. На первом экземпляре машины подъемное шасси отказало и его пришлось закрепить наглухо. Хотя конструктор шасси инженер Костенко сигнализировал Поликарпову, что шасси убираться не будет, своевременно конструкция не была изменена и машина была выпущена в полет с недоброкачественным шасси. Только при постройке второго экземпляра самолета, вышедшего на заводские испытания 16 ноября 1935 года, шасси поставлено новое. В итоге мы имеем почти на год опоздание с И-17, против первого правительственного срока. Следует отметить, что хотя И-17 только закончен и доводка его не начиналась, ГУАП дал задание на серийную постройку.</w:t>
      </w:r>
    </w:p>
    <w:p w14:paraId="32FB1776"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lastRenderedPageBreak/>
        <w:t>Самолет ДИ-6 при нормальной над ним работе в производстве, мог быть выпущен в полет первого июля 1934 года. Приняв длительность заводских испытаний 2 месяца, месяц госиспытаний и два месяца доводок, самолет мог быть с уже произведенными доводками готов к пуску серийного производства 1 декабря 1934 года. Между тем, самолет в данный момент находится только на госиспытаниях.</w:t>
      </w:r>
    </w:p>
    <w:p w14:paraId="65BFE74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Самолет по своей конструкции (деревянные крылья, сварной фюзеляж) прост и заводом конструкция подобная по технологическому процессу была уже освоена, в частности ЛР и И-15, поэтому никаких новых, не знакомых до этого заводу технологических процессов конструкция самолета не требовала и задержки по этим причинам у ДИ-6 быть не могло. Причина невыполнения срока, установленного правительством для самолета ДИ-6 состоит отчасти в том, что постройка самолета отодвигалась, вследствие постройки серии И-15 и И-16, а главное в невнимании руководства завода к этому типу самолета.</w:t>
      </w:r>
    </w:p>
    <w:p w14:paraId="0E19623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Таким образом можно констатировать, что обязательства, возложенные на завод и ГУАП при принятии СТО решения от 22 ноября 1933 года о запуске в серию И-15 и И-16 без нормального прохождения заводских, государственных и войсковых испытаний выполнены не были. Основные дефекты, опасные для эксплуатации и снижающие боеспособность самолетов, не устранены и не сегодня и поставленные в серии самолеты фактически выведены на длительный срок из строя и смогут быть пущены только после внесения необходимых переделок. Самолеты И-17 и ДИ-6 недопустимо затянуты в постройке и испытаниях.</w:t>
      </w:r>
    </w:p>
    <w:p w14:paraId="7ED9D1B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Виновны в этом директор завода № 39 Марголин, допустивший и поощрявший замазывание дефектов, занимавший антигосударственную позицию по вопросу качества продукции и проводивший линию, что УВС примет, в каком бы виде завод самолеты не выпускал.</w:t>
      </w:r>
    </w:p>
    <w:p w14:paraId="05501FD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Виновен в этом конструктор Поликарпов, неправильная постановка конструкторской работы которого и сопротивление к доводке самолетов имели следствие небоеспособность самолетов.</w:t>
      </w:r>
    </w:p>
    <w:p w14:paraId="6DE36A2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Виновен пилот Чкалов скрывший дефекты при проведении заводских испытаний.</w:t>
      </w:r>
    </w:p>
    <w:p w14:paraId="486D3B14"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Виновен в этом УВС (Алкснис) не выявивший своевременно достаточными испытаниями всех дефектов и принимавший материальную часть с дефектами, вопреки своим собственным актам и заключениям.</w:t>
      </w:r>
    </w:p>
    <w:p w14:paraId="21805C7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Виновен ГУАП, поддерживающий линию директора завода Марголина и перекладывавший все трудности из-за недоведенности машины на серийные заводы, в то время как своей системой работы завод № 39 затруднял внедрение в серию (бесчисленные ошибки в чертежах, 2000-3000 переделок по вине завода № 39 по И-15 при изготовлении рабочих чертежей на заводе № 1).</w:t>
      </w:r>
    </w:p>
    <w:p w14:paraId="5468E24E"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Необходимые мероприятия:</w:t>
      </w:r>
    </w:p>
    <w:p w14:paraId="56BE9B55"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Укрепить руководство завода № 39.</w:t>
      </w:r>
    </w:p>
    <w:p w14:paraId="6959F347"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Реорганизовать производство, сделав его единым с тремя сборочными цехами по числу конструкторских бригад с подчинением их непосредственно начальникам бригад.</w:t>
      </w:r>
    </w:p>
    <w:p w14:paraId="3AD6DE1C"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Обеспечить полную доводку машин при проведении заводских испытаний.</w:t>
      </w:r>
    </w:p>
    <w:p w14:paraId="6013A08D"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УВС не допускать в серии машин с неустраненными дефектами и проводить нормально государственные и эксплуатационные испытания.</w:t>
      </w:r>
    </w:p>
    <w:p w14:paraId="6C032CE4"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r w:rsidRPr="00E14102">
        <w:rPr>
          <w:color w:val="000000" w:themeColor="text1"/>
          <w:sz w:val="16"/>
          <w:szCs w:val="16"/>
        </w:rPr>
        <w:t>Обязать завод и ГУАП в 2-х месячный срок ликвидировать все дефекты и послать бригады на места для устранения дефектов (3475,131-132).</w:t>
      </w:r>
    </w:p>
    <w:p w14:paraId="50DE27B4" w14:textId="77777777" w:rsidR="00D4105E" w:rsidRPr="00E14102" w:rsidRDefault="00D4105E" w:rsidP="00E14102">
      <w:pPr>
        <w:tabs>
          <w:tab w:val="left" w:pos="360"/>
          <w:tab w:val="left" w:pos="567"/>
        </w:tabs>
        <w:autoSpaceDE w:val="0"/>
        <w:autoSpaceDN w:val="0"/>
        <w:adjustRightInd w:val="0"/>
        <w:jc w:val="both"/>
        <w:rPr>
          <w:color w:val="000000" w:themeColor="text1"/>
          <w:sz w:val="16"/>
          <w:szCs w:val="16"/>
        </w:rPr>
      </w:pPr>
    </w:p>
    <w:p w14:paraId="75A60E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года была подготовлена:</w:t>
      </w:r>
    </w:p>
    <w:p w14:paraId="7E83D3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Справка о выполнении авиапромышленностью плана заказа 1935 года по самолетам и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58"/>
        <w:gridCol w:w="1531"/>
        <w:gridCol w:w="1531"/>
        <w:gridCol w:w="1531"/>
        <w:gridCol w:w="3538"/>
      </w:tblGrid>
      <w:tr w:rsidR="00E3599D" w:rsidRPr="00E14102" w14:paraId="372981D2" w14:textId="77777777">
        <w:trPr>
          <w:cantSplit/>
        </w:trPr>
        <w:tc>
          <w:tcPr>
            <w:tcW w:w="1758" w:type="dxa"/>
          </w:tcPr>
          <w:p w14:paraId="224910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машин</w:t>
            </w:r>
          </w:p>
        </w:tc>
        <w:tc>
          <w:tcPr>
            <w:tcW w:w="1531" w:type="dxa"/>
          </w:tcPr>
          <w:p w14:paraId="6813B6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1935 года, утвержденный Правительством</w:t>
            </w:r>
          </w:p>
        </w:tc>
        <w:tc>
          <w:tcPr>
            <w:tcW w:w="1531" w:type="dxa"/>
          </w:tcPr>
          <w:p w14:paraId="574805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Сдано на 1 ноября 1935 года по данным УВС</w:t>
            </w:r>
          </w:p>
        </w:tc>
        <w:tc>
          <w:tcPr>
            <w:tcW w:w="1531" w:type="dxa"/>
          </w:tcPr>
          <w:p w14:paraId="00FD23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Сдано на 1 ноября 1935 года по данным ГУАПа</w:t>
            </w:r>
          </w:p>
        </w:tc>
        <w:tc>
          <w:tcPr>
            <w:tcW w:w="3538" w:type="dxa"/>
          </w:tcPr>
          <w:p w14:paraId="0A4FEC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03CC5FDD" w14:textId="77777777">
        <w:trPr>
          <w:cantSplit/>
        </w:trPr>
        <w:tc>
          <w:tcPr>
            <w:tcW w:w="1758" w:type="dxa"/>
          </w:tcPr>
          <w:p w14:paraId="4E6622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М-34Р</w:t>
            </w:r>
          </w:p>
        </w:tc>
        <w:tc>
          <w:tcPr>
            <w:tcW w:w="1531" w:type="dxa"/>
          </w:tcPr>
          <w:p w14:paraId="3F495C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1531" w:type="dxa"/>
          </w:tcPr>
          <w:p w14:paraId="7C6632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531" w:type="dxa"/>
          </w:tcPr>
          <w:p w14:paraId="779F40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3538" w:type="dxa"/>
          </w:tcPr>
          <w:p w14:paraId="3373FD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Первоначальная программа 50. Постановлением СТО № С-32сс сокращено до 23.</w:t>
            </w:r>
          </w:p>
        </w:tc>
      </w:tr>
      <w:tr w:rsidR="00E3599D" w:rsidRPr="00E14102" w14:paraId="6C60DEF9" w14:textId="77777777">
        <w:trPr>
          <w:cantSplit/>
        </w:trPr>
        <w:tc>
          <w:tcPr>
            <w:tcW w:w="1758" w:type="dxa"/>
          </w:tcPr>
          <w:p w14:paraId="52864A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 М-34РН</w:t>
            </w:r>
          </w:p>
        </w:tc>
        <w:tc>
          <w:tcPr>
            <w:tcW w:w="1531" w:type="dxa"/>
          </w:tcPr>
          <w:p w14:paraId="04F03F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w:t>
            </w:r>
          </w:p>
        </w:tc>
        <w:tc>
          <w:tcPr>
            <w:tcW w:w="1531" w:type="dxa"/>
          </w:tcPr>
          <w:p w14:paraId="0FC90D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531" w:type="dxa"/>
          </w:tcPr>
          <w:p w14:paraId="2F1890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3538" w:type="dxa"/>
          </w:tcPr>
          <w:p w14:paraId="5C6A12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данным КПК и КСК по ТБ3-РН и Р не отработаны вопросы вооружения, слабо поступают винты, радиаторы и моторы.</w:t>
            </w:r>
          </w:p>
        </w:tc>
      </w:tr>
      <w:tr w:rsidR="00E3599D" w:rsidRPr="00E14102" w14:paraId="625CDD56" w14:textId="77777777">
        <w:trPr>
          <w:cantSplit/>
        </w:trPr>
        <w:tc>
          <w:tcPr>
            <w:tcW w:w="1758" w:type="dxa"/>
          </w:tcPr>
          <w:p w14:paraId="5B56EA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ДИ-2 М-100</w:t>
            </w:r>
          </w:p>
        </w:tc>
        <w:tc>
          <w:tcPr>
            <w:tcW w:w="1531" w:type="dxa"/>
          </w:tcPr>
          <w:p w14:paraId="307877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531" w:type="dxa"/>
          </w:tcPr>
          <w:p w14:paraId="189237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531" w:type="dxa"/>
          </w:tcPr>
          <w:p w14:paraId="3C7944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3538" w:type="dxa"/>
          </w:tcPr>
          <w:p w14:paraId="134BEA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машины не окончены до сего времени. Завод № 22 отстает с заделом. Постановлением СТО поставка СБ отсрочена до I квартала 1936 года.</w:t>
            </w:r>
          </w:p>
        </w:tc>
      </w:tr>
      <w:tr w:rsidR="00E3599D" w:rsidRPr="00E14102" w14:paraId="61D53354" w14:textId="77777777">
        <w:trPr>
          <w:cantSplit/>
        </w:trPr>
        <w:tc>
          <w:tcPr>
            <w:tcW w:w="1758" w:type="dxa"/>
          </w:tcPr>
          <w:p w14:paraId="1FA416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Рзет М34Н</w:t>
            </w:r>
          </w:p>
        </w:tc>
        <w:tc>
          <w:tcPr>
            <w:tcW w:w="1531" w:type="dxa"/>
          </w:tcPr>
          <w:p w14:paraId="74F429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531" w:type="dxa"/>
          </w:tcPr>
          <w:p w14:paraId="55E8C2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531" w:type="dxa"/>
          </w:tcPr>
          <w:p w14:paraId="5D881D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3538" w:type="dxa"/>
          </w:tcPr>
          <w:p w14:paraId="49E499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данным КПК и КСК машина не выдержала госиспытаний и является малопригодной для ВС.</w:t>
            </w:r>
          </w:p>
        </w:tc>
      </w:tr>
      <w:tr w:rsidR="00E3599D" w:rsidRPr="00E14102" w14:paraId="3AD51279" w14:textId="77777777">
        <w:trPr>
          <w:cantSplit/>
        </w:trPr>
        <w:tc>
          <w:tcPr>
            <w:tcW w:w="1758" w:type="dxa"/>
          </w:tcPr>
          <w:p w14:paraId="4B1F11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И-5 М-17</w:t>
            </w:r>
          </w:p>
          <w:p w14:paraId="01EF62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(штурм. ССС)</w:t>
            </w:r>
          </w:p>
        </w:tc>
        <w:tc>
          <w:tcPr>
            <w:tcW w:w="1531" w:type="dxa"/>
          </w:tcPr>
          <w:p w14:paraId="57A64E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531" w:type="dxa"/>
          </w:tcPr>
          <w:p w14:paraId="22117F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145</w:t>
            </w:r>
          </w:p>
        </w:tc>
        <w:tc>
          <w:tcPr>
            <w:tcW w:w="1531" w:type="dxa"/>
          </w:tcPr>
          <w:p w14:paraId="14478F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145</w:t>
            </w:r>
          </w:p>
        </w:tc>
        <w:tc>
          <w:tcPr>
            <w:tcW w:w="3538" w:type="dxa"/>
          </w:tcPr>
          <w:p w14:paraId="186376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данным УВС машины будут сданы полностью.</w:t>
            </w:r>
          </w:p>
        </w:tc>
      </w:tr>
      <w:tr w:rsidR="00E3599D" w:rsidRPr="00E14102" w14:paraId="03E2D146" w14:textId="77777777">
        <w:trPr>
          <w:cantSplit/>
        </w:trPr>
        <w:tc>
          <w:tcPr>
            <w:tcW w:w="1758" w:type="dxa"/>
          </w:tcPr>
          <w:p w14:paraId="1B3279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И-14 М-25</w:t>
            </w:r>
          </w:p>
        </w:tc>
        <w:tc>
          <w:tcPr>
            <w:tcW w:w="1531" w:type="dxa"/>
          </w:tcPr>
          <w:p w14:paraId="7A63AA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531" w:type="dxa"/>
          </w:tcPr>
          <w:p w14:paraId="5C8C22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531" w:type="dxa"/>
          </w:tcPr>
          <w:p w14:paraId="070CE6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3538" w:type="dxa"/>
          </w:tcPr>
          <w:p w14:paraId="1501DF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данным КПК и КСК машина не удовлетворяет требованиям ВС.</w:t>
            </w:r>
          </w:p>
        </w:tc>
      </w:tr>
      <w:tr w:rsidR="00E3599D" w:rsidRPr="00E14102" w14:paraId="71618D72" w14:textId="77777777">
        <w:trPr>
          <w:cantSplit/>
        </w:trPr>
        <w:tc>
          <w:tcPr>
            <w:tcW w:w="1758" w:type="dxa"/>
          </w:tcPr>
          <w:p w14:paraId="2F831F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 М-25</w:t>
            </w:r>
          </w:p>
        </w:tc>
        <w:tc>
          <w:tcPr>
            <w:tcW w:w="1531" w:type="dxa"/>
          </w:tcPr>
          <w:p w14:paraId="5466FB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251</w:t>
            </w:r>
          </w:p>
        </w:tc>
        <w:tc>
          <w:tcPr>
            <w:tcW w:w="1531" w:type="dxa"/>
          </w:tcPr>
          <w:p w14:paraId="0DD3A7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141</w:t>
            </w:r>
          </w:p>
        </w:tc>
        <w:tc>
          <w:tcPr>
            <w:tcW w:w="1531" w:type="dxa"/>
          </w:tcPr>
          <w:p w14:paraId="0BC5E6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141</w:t>
            </w:r>
          </w:p>
        </w:tc>
        <w:tc>
          <w:tcPr>
            <w:tcW w:w="3538" w:type="dxa"/>
          </w:tcPr>
          <w:p w14:paraId="421D19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тем же данным И-15 сдавался с большими дефектами (поломка кромки крыла, срыв полотна в воздухе и др.), послужившими причиной аварий.</w:t>
            </w:r>
          </w:p>
        </w:tc>
      </w:tr>
      <w:tr w:rsidR="00E3599D" w:rsidRPr="00E14102" w14:paraId="40FCBD8D" w14:textId="77777777">
        <w:trPr>
          <w:cantSplit/>
        </w:trPr>
        <w:tc>
          <w:tcPr>
            <w:tcW w:w="1758" w:type="dxa"/>
          </w:tcPr>
          <w:p w14:paraId="467C37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 М-22</w:t>
            </w:r>
          </w:p>
        </w:tc>
        <w:tc>
          <w:tcPr>
            <w:tcW w:w="1531" w:type="dxa"/>
          </w:tcPr>
          <w:p w14:paraId="26741C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1531" w:type="dxa"/>
          </w:tcPr>
          <w:p w14:paraId="4F7C84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379</w:t>
            </w:r>
          </w:p>
        </w:tc>
        <w:tc>
          <w:tcPr>
            <w:tcW w:w="1531" w:type="dxa"/>
          </w:tcPr>
          <w:p w14:paraId="76E17A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460 (с недоделом прошлого года)</w:t>
            </w:r>
          </w:p>
        </w:tc>
        <w:tc>
          <w:tcPr>
            <w:tcW w:w="3538" w:type="dxa"/>
          </w:tcPr>
          <w:p w14:paraId="432A18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данным УВС программа будет выполнена.</w:t>
            </w:r>
          </w:p>
        </w:tc>
      </w:tr>
      <w:tr w:rsidR="00E3599D" w:rsidRPr="00E14102" w14:paraId="6CA69A6E" w14:textId="77777777">
        <w:trPr>
          <w:cantSplit/>
        </w:trPr>
        <w:tc>
          <w:tcPr>
            <w:tcW w:w="1758" w:type="dxa"/>
          </w:tcPr>
          <w:p w14:paraId="3B00AC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 М-25</w:t>
            </w:r>
          </w:p>
        </w:tc>
        <w:tc>
          <w:tcPr>
            <w:tcW w:w="1531" w:type="dxa"/>
          </w:tcPr>
          <w:p w14:paraId="23E1DD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531" w:type="dxa"/>
          </w:tcPr>
          <w:p w14:paraId="2AED17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531" w:type="dxa"/>
          </w:tcPr>
          <w:p w14:paraId="64A3B6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3538" w:type="dxa"/>
          </w:tcPr>
          <w:p w14:paraId="779A11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данным КПК и КСК машина конструктивно не доработана. Нет утвержденного образца прошедшего госиспытания, задел деталей широко развернут.</w:t>
            </w:r>
          </w:p>
        </w:tc>
      </w:tr>
      <w:tr w:rsidR="00E3599D" w:rsidRPr="00E14102" w14:paraId="0EB7D629" w14:textId="77777777">
        <w:trPr>
          <w:cantSplit/>
        </w:trPr>
        <w:tc>
          <w:tcPr>
            <w:tcW w:w="1758" w:type="dxa"/>
          </w:tcPr>
          <w:p w14:paraId="4E7F5F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ТШ-2 М-22</w:t>
            </w:r>
          </w:p>
        </w:tc>
        <w:tc>
          <w:tcPr>
            <w:tcW w:w="1531" w:type="dxa"/>
          </w:tcPr>
          <w:p w14:paraId="076D6D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531" w:type="dxa"/>
          </w:tcPr>
          <w:p w14:paraId="0C005F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531" w:type="dxa"/>
          </w:tcPr>
          <w:p w14:paraId="056853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3538" w:type="dxa"/>
          </w:tcPr>
          <w:p w14:paraId="0E5284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данным УВС машины будут сданы.</w:t>
            </w:r>
          </w:p>
        </w:tc>
      </w:tr>
      <w:tr w:rsidR="00E3599D" w:rsidRPr="00E14102" w14:paraId="0BC2EC58" w14:textId="77777777">
        <w:trPr>
          <w:cantSplit/>
        </w:trPr>
        <w:tc>
          <w:tcPr>
            <w:tcW w:w="1758" w:type="dxa"/>
          </w:tcPr>
          <w:p w14:paraId="3D9F8E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ДИ-3</w:t>
            </w:r>
          </w:p>
        </w:tc>
        <w:tc>
          <w:tcPr>
            <w:tcW w:w="1531" w:type="dxa"/>
          </w:tcPr>
          <w:p w14:paraId="2D197A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1531" w:type="dxa"/>
          </w:tcPr>
          <w:p w14:paraId="457ED6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531" w:type="dxa"/>
          </w:tcPr>
          <w:p w14:paraId="2DFB9C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3538" w:type="dxa"/>
          </w:tcPr>
          <w:p w14:paraId="28C0E9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данным Королева машины будут сданы.</w:t>
            </w:r>
          </w:p>
        </w:tc>
      </w:tr>
      <w:tr w:rsidR="00E3599D" w:rsidRPr="00E14102" w14:paraId="0BD46420" w14:textId="77777777">
        <w:trPr>
          <w:cantSplit/>
        </w:trPr>
        <w:tc>
          <w:tcPr>
            <w:tcW w:w="1758" w:type="dxa"/>
          </w:tcPr>
          <w:p w14:paraId="4FF196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ИП-1 М-25</w:t>
            </w:r>
          </w:p>
          <w:p w14:paraId="0222D9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ЗЕТ)</w:t>
            </w:r>
          </w:p>
        </w:tc>
        <w:tc>
          <w:tcPr>
            <w:tcW w:w="1531" w:type="dxa"/>
          </w:tcPr>
          <w:p w14:paraId="0E07DA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531" w:type="dxa"/>
          </w:tcPr>
          <w:p w14:paraId="5E5A80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531" w:type="dxa"/>
          </w:tcPr>
          <w:p w14:paraId="50F8A4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3538" w:type="dxa"/>
          </w:tcPr>
          <w:p w14:paraId="6DBD222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8A56D65" w14:textId="77777777">
        <w:trPr>
          <w:cantSplit/>
        </w:trPr>
        <w:tc>
          <w:tcPr>
            <w:tcW w:w="1758" w:type="dxa"/>
          </w:tcPr>
          <w:p w14:paraId="6E11E2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Р-6 2М-17</w:t>
            </w:r>
          </w:p>
        </w:tc>
        <w:tc>
          <w:tcPr>
            <w:tcW w:w="1531" w:type="dxa"/>
          </w:tcPr>
          <w:p w14:paraId="3F26C3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531" w:type="dxa"/>
          </w:tcPr>
          <w:p w14:paraId="4D2FE0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1531" w:type="dxa"/>
          </w:tcPr>
          <w:p w14:paraId="40B654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3538" w:type="dxa"/>
          </w:tcPr>
          <w:p w14:paraId="2DC98FF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C21413" w14:textId="77777777">
        <w:trPr>
          <w:cantSplit/>
        </w:trPr>
        <w:tc>
          <w:tcPr>
            <w:tcW w:w="1758" w:type="dxa"/>
          </w:tcPr>
          <w:p w14:paraId="6D6294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Р-6а 2М-17</w:t>
            </w:r>
          </w:p>
        </w:tc>
        <w:tc>
          <w:tcPr>
            <w:tcW w:w="1531" w:type="dxa"/>
          </w:tcPr>
          <w:p w14:paraId="79D5D6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1531" w:type="dxa"/>
          </w:tcPr>
          <w:p w14:paraId="1B9916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1531" w:type="dxa"/>
          </w:tcPr>
          <w:p w14:paraId="5B13E3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3538" w:type="dxa"/>
          </w:tcPr>
          <w:p w14:paraId="24F8FB0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11C7C9D" w14:textId="77777777">
        <w:trPr>
          <w:cantSplit/>
        </w:trPr>
        <w:tc>
          <w:tcPr>
            <w:tcW w:w="1758" w:type="dxa"/>
          </w:tcPr>
          <w:p w14:paraId="76891E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 3М-34Р</w:t>
            </w:r>
          </w:p>
        </w:tc>
        <w:tc>
          <w:tcPr>
            <w:tcW w:w="1531" w:type="dxa"/>
          </w:tcPr>
          <w:p w14:paraId="055F44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1531" w:type="dxa"/>
          </w:tcPr>
          <w:p w14:paraId="32CB5E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1531" w:type="dxa"/>
          </w:tcPr>
          <w:p w14:paraId="3EED18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w:t>
            </w:r>
          </w:p>
        </w:tc>
        <w:tc>
          <w:tcPr>
            <w:tcW w:w="3538" w:type="dxa"/>
          </w:tcPr>
          <w:p w14:paraId="28CFA5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данным КПК и КСК машины не будут сданы, так как эталон потерпевший аварию потребовал существенных переделок самолета.</w:t>
            </w:r>
          </w:p>
        </w:tc>
      </w:tr>
      <w:tr w:rsidR="00E3599D" w:rsidRPr="00E14102" w14:paraId="10946C88" w14:textId="77777777">
        <w:trPr>
          <w:cantSplit/>
        </w:trPr>
        <w:tc>
          <w:tcPr>
            <w:tcW w:w="1758" w:type="dxa"/>
          </w:tcPr>
          <w:p w14:paraId="7CE569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 М-17</w:t>
            </w:r>
          </w:p>
        </w:tc>
        <w:tc>
          <w:tcPr>
            <w:tcW w:w="1531" w:type="dxa"/>
          </w:tcPr>
          <w:p w14:paraId="081BA4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531" w:type="dxa"/>
          </w:tcPr>
          <w:p w14:paraId="2777DD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1531" w:type="dxa"/>
          </w:tcPr>
          <w:p w14:paraId="3C7093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w:t>
            </w:r>
          </w:p>
        </w:tc>
        <w:tc>
          <w:tcPr>
            <w:tcW w:w="3538" w:type="dxa"/>
          </w:tcPr>
          <w:p w14:paraId="45DB7E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данным УВС будут сданы.</w:t>
            </w:r>
          </w:p>
        </w:tc>
      </w:tr>
      <w:tr w:rsidR="00E3599D" w:rsidRPr="00E14102" w14:paraId="75C313FC" w14:textId="77777777">
        <w:trPr>
          <w:cantSplit/>
        </w:trPr>
        <w:tc>
          <w:tcPr>
            <w:tcW w:w="1758" w:type="dxa"/>
          </w:tcPr>
          <w:p w14:paraId="291452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 М-11</w:t>
            </w:r>
          </w:p>
        </w:tc>
        <w:tc>
          <w:tcPr>
            <w:tcW w:w="1531" w:type="dxa"/>
          </w:tcPr>
          <w:p w14:paraId="0BB4BC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1531" w:type="dxa"/>
          </w:tcPr>
          <w:p w14:paraId="2FB6D5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298</w:t>
            </w:r>
          </w:p>
        </w:tc>
        <w:tc>
          <w:tcPr>
            <w:tcW w:w="1531" w:type="dxa"/>
          </w:tcPr>
          <w:p w14:paraId="1430E4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298</w:t>
            </w:r>
          </w:p>
        </w:tc>
        <w:tc>
          <w:tcPr>
            <w:tcW w:w="3538" w:type="dxa"/>
          </w:tcPr>
          <w:p w14:paraId="32C9761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0E7A100" w14:textId="77777777">
        <w:trPr>
          <w:cantSplit/>
        </w:trPr>
        <w:tc>
          <w:tcPr>
            <w:tcW w:w="1758" w:type="dxa"/>
          </w:tcPr>
          <w:p w14:paraId="57E292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w:t>
            </w:r>
          </w:p>
        </w:tc>
        <w:tc>
          <w:tcPr>
            <w:tcW w:w="1531" w:type="dxa"/>
          </w:tcPr>
          <w:p w14:paraId="2A08C42D" w14:textId="77777777" w:rsidR="00D4105E" w:rsidRPr="00E14102" w:rsidRDefault="00D4105E" w:rsidP="00E14102">
            <w:pPr>
              <w:autoSpaceDE w:val="0"/>
              <w:autoSpaceDN w:val="0"/>
              <w:adjustRightInd w:val="0"/>
              <w:jc w:val="both"/>
              <w:rPr>
                <w:color w:val="000000" w:themeColor="text1"/>
                <w:sz w:val="16"/>
                <w:szCs w:val="16"/>
              </w:rPr>
            </w:pPr>
          </w:p>
        </w:tc>
        <w:tc>
          <w:tcPr>
            <w:tcW w:w="1531" w:type="dxa"/>
          </w:tcPr>
          <w:p w14:paraId="2D5ABD94" w14:textId="77777777" w:rsidR="00D4105E" w:rsidRPr="00E14102" w:rsidRDefault="00D4105E" w:rsidP="00E14102">
            <w:pPr>
              <w:autoSpaceDE w:val="0"/>
              <w:autoSpaceDN w:val="0"/>
              <w:adjustRightInd w:val="0"/>
              <w:jc w:val="both"/>
              <w:rPr>
                <w:color w:val="000000" w:themeColor="text1"/>
                <w:sz w:val="16"/>
                <w:szCs w:val="16"/>
              </w:rPr>
            </w:pPr>
          </w:p>
        </w:tc>
        <w:tc>
          <w:tcPr>
            <w:tcW w:w="1531" w:type="dxa"/>
          </w:tcPr>
          <w:p w14:paraId="0D279855" w14:textId="77777777" w:rsidR="00D4105E" w:rsidRPr="00E14102" w:rsidRDefault="00D4105E" w:rsidP="00E14102">
            <w:pPr>
              <w:autoSpaceDE w:val="0"/>
              <w:autoSpaceDN w:val="0"/>
              <w:adjustRightInd w:val="0"/>
              <w:jc w:val="both"/>
              <w:rPr>
                <w:color w:val="000000" w:themeColor="text1"/>
                <w:sz w:val="16"/>
                <w:szCs w:val="16"/>
              </w:rPr>
            </w:pPr>
          </w:p>
        </w:tc>
        <w:tc>
          <w:tcPr>
            <w:tcW w:w="3538" w:type="dxa"/>
          </w:tcPr>
          <w:p w14:paraId="430BA5E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56A748" w14:textId="77777777">
        <w:trPr>
          <w:cantSplit/>
        </w:trPr>
        <w:tc>
          <w:tcPr>
            <w:tcW w:w="1758" w:type="dxa"/>
          </w:tcPr>
          <w:p w14:paraId="411844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М-17</w:t>
            </w:r>
          </w:p>
        </w:tc>
        <w:tc>
          <w:tcPr>
            <w:tcW w:w="1531" w:type="dxa"/>
          </w:tcPr>
          <w:p w14:paraId="5B1946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3400</w:t>
            </w:r>
          </w:p>
        </w:tc>
        <w:tc>
          <w:tcPr>
            <w:tcW w:w="1531" w:type="dxa"/>
          </w:tcPr>
          <w:p w14:paraId="73B99A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3013</w:t>
            </w:r>
          </w:p>
        </w:tc>
        <w:tc>
          <w:tcPr>
            <w:tcW w:w="1531" w:type="dxa"/>
          </w:tcPr>
          <w:p w14:paraId="327505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3013</w:t>
            </w:r>
          </w:p>
        </w:tc>
        <w:tc>
          <w:tcPr>
            <w:tcW w:w="3538" w:type="dxa"/>
          </w:tcPr>
          <w:p w14:paraId="4E5AA4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них в запас УВС – 1359.</w:t>
            </w:r>
          </w:p>
        </w:tc>
      </w:tr>
      <w:tr w:rsidR="00E3599D" w:rsidRPr="00E14102" w14:paraId="42FD5169" w14:textId="77777777">
        <w:trPr>
          <w:cantSplit/>
        </w:trPr>
        <w:tc>
          <w:tcPr>
            <w:tcW w:w="1758" w:type="dxa"/>
          </w:tcPr>
          <w:p w14:paraId="455C38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РН и Р</w:t>
            </w:r>
          </w:p>
        </w:tc>
        <w:tc>
          <w:tcPr>
            <w:tcW w:w="1531" w:type="dxa"/>
          </w:tcPr>
          <w:p w14:paraId="7DE585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1680</w:t>
            </w:r>
          </w:p>
        </w:tc>
        <w:tc>
          <w:tcPr>
            <w:tcW w:w="1531" w:type="dxa"/>
          </w:tcPr>
          <w:p w14:paraId="694417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531" w:type="dxa"/>
          </w:tcPr>
          <w:p w14:paraId="743FC1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3538" w:type="dxa"/>
          </w:tcPr>
          <w:p w14:paraId="4CDC85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них в запас УВС – 280.</w:t>
            </w:r>
          </w:p>
        </w:tc>
      </w:tr>
      <w:tr w:rsidR="00E3599D" w:rsidRPr="00E14102" w14:paraId="734D908D" w14:textId="77777777">
        <w:trPr>
          <w:cantSplit/>
        </w:trPr>
        <w:tc>
          <w:tcPr>
            <w:tcW w:w="1758" w:type="dxa"/>
          </w:tcPr>
          <w:p w14:paraId="0B2910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М-100</w:t>
            </w:r>
          </w:p>
        </w:tc>
        <w:tc>
          <w:tcPr>
            <w:tcW w:w="1531" w:type="dxa"/>
          </w:tcPr>
          <w:p w14:paraId="4166D8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531" w:type="dxa"/>
          </w:tcPr>
          <w:p w14:paraId="217BFB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 (27 из импортн. деталей)</w:t>
            </w:r>
          </w:p>
        </w:tc>
        <w:tc>
          <w:tcPr>
            <w:tcW w:w="1531" w:type="dxa"/>
          </w:tcPr>
          <w:p w14:paraId="2C5F3E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3538" w:type="dxa"/>
          </w:tcPr>
          <w:p w14:paraId="5CF9B9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заявлению Королева к 1 января 1936 года будет сдано 500 моторов.</w:t>
            </w:r>
          </w:p>
        </w:tc>
      </w:tr>
      <w:tr w:rsidR="00E3599D" w:rsidRPr="00E14102" w14:paraId="4006CDFF" w14:textId="77777777">
        <w:trPr>
          <w:cantSplit/>
        </w:trPr>
        <w:tc>
          <w:tcPr>
            <w:tcW w:w="1758" w:type="dxa"/>
          </w:tcPr>
          <w:p w14:paraId="01AF6E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М-25</w:t>
            </w:r>
          </w:p>
        </w:tc>
        <w:tc>
          <w:tcPr>
            <w:tcW w:w="1531" w:type="dxa"/>
          </w:tcPr>
          <w:p w14:paraId="422F19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1531" w:type="dxa"/>
          </w:tcPr>
          <w:p w14:paraId="23EAF2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531" w:type="dxa"/>
          </w:tcPr>
          <w:p w14:paraId="076E79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3538" w:type="dxa"/>
          </w:tcPr>
          <w:p w14:paraId="34446C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данным УВС программа будет выполнена.</w:t>
            </w:r>
          </w:p>
        </w:tc>
      </w:tr>
      <w:tr w:rsidR="00E3599D" w:rsidRPr="00E14102" w14:paraId="299AEFAB" w14:textId="77777777">
        <w:trPr>
          <w:cantSplit/>
        </w:trPr>
        <w:tc>
          <w:tcPr>
            <w:tcW w:w="1758" w:type="dxa"/>
          </w:tcPr>
          <w:p w14:paraId="601994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М-22</w:t>
            </w:r>
          </w:p>
        </w:tc>
        <w:tc>
          <w:tcPr>
            <w:tcW w:w="1531" w:type="dxa"/>
          </w:tcPr>
          <w:p w14:paraId="50540C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531" w:type="dxa"/>
          </w:tcPr>
          <w:p w14:paraId="43754C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544</w:t>
            </w:r>
          </w:p>
        </w:tc>
        <w:tc>
          <w:tcPr>
            <w:tcW w:w="1531" w:type="dxa"/>
          </w:tcPr>
          <w:p w14:paraId="05F6B7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544</w:t>
            </w:r>
          </w:p>
        </w:tc>
        <w:tc>
          <w:tcPr>
            <w:tcW w:w="3538" w:type="dxa"/>
          </w:tcPr>
          <w:p w14:paraId="64F517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них в запас УВС – 336.</w:t>
            </w:r>
          </w:p>
        </w:tc>
      </w:tr>
      <w:tr w:rsidR="00E3599D" w:rsidRPr="00E14102" w14:paraId="6582BB09" w14:textId="77777777">
        <w:trPr>
          <w:cantSplit/>
        </w:trPr>
        <w:tc>
          <w:tcPr>
            <w:tcW w:w="1758" w:type="dxa"/>
          </w:tcPr>
          <w:p w14:paraId="37E92B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М-11</w:t>
            </w:r>
          </w:p>
        </w:tc>
        <w:tc>
          <w:tcPr>
            <w:tcW w:w="1531" w:type="dxa"/>
          </w:tcPr>
          <w:p w14:paraId="072705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1505</w:t>
            </w:r>
          </w:p>
        </w:tc>
        <w:tc>
          <w:tcPr>
            <w:tcW w:w="1531" w:type="dxa"/>
          </w:tcPr>
          <w:p w14:paraId="7F0AA1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1007</w:t>
            </w:r>
          </w:p>
        </w:tc>
        <w:tc>
          <w:tcPr>
            <w:tcW w:w="1531" w:type="dxa"/>
          </w:tcPr>
          <w:p w14:paraId="55E050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1007</w:t>
            </w:r>
          </w:p>
        </w:tc>
        <w:tc>
          <w:tcPr>
            <w:tcW w:w="3538" w:type="dxa"/>
          </w:tcPr>
          <w:p w14:paraId="1986DA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них в запас УВС – 400.</w:t>
            </w:r>
          </w:p>
        </w:tc>
      </w:tr>
      <w:tr w:rsidR="00E3599D" w:rsidRPr="00E14102" w14:paraId="5FF70151" w14:textId="77777777">
        <w:trPr>
          <w:cantSplit/>
        </w:trPr>
        <w:tc>
          <w:tcPr>
            <w:tcW w:w="1758" w:type="dxa"/>
          </w:tcPr>
          <w:p w14:paraId="634E26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М-75</w:t>
            </w:r>
          </w:p>
        </w:tc>
        <w:tc>
          <w:tcPr>
            <w:tcW w:w="1531" w:type="dxa"/>
          </w:tcPr>
          <w:p w14:paraId="482616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531" w:type="dxa"/>
          </w:tcPr>
          <w:p w14:paraId="7833FE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1531" w:type="dxa"/>
          </w:tcPr>
          <w:p w14:paraId="7DB7F1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3538" w:type="dxa"/>
          </w:tcPr>
          <w:p w14:paraId="14C837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французских деталей.</w:t>
            </w:r>
          </w:p>
        </w:tc>
      </w:tr>
      <w:tr w:rsidR="00E3599D" w:rsidRPr="00E14102" w14:paraId="3F0B1BCD" w14:textId="77777777">
        <w:trPr>
          <w:cantSplit/>
        </w:trPr>
        <w:tc>
          <w:tcPr>
            <w:tcW w:w="1758" w:type="dxa"/>
          </w:tcPr>
          <w:p w14:paraId="21FA59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М-85</w:t>
            </w:r>
          </w:p>
        </w:tc>
        <w:tc>
          <w:tcPr>
            <w:tcW w:w="1531" w:type="dxa"/>
          </w:tcPr>
          <w:p w14:paraId="1C4BD5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531" w:type="dxa"/>
          </w:tcPr>
          <w:p w14:paraId="244BE7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1531" w:type="dxa"/>
          </w:tcPr>
          <w:p w14:paraId="0EF34D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w:t>
            </w:r>
          </w:p>
        </w:tc>
        <w:tc>
          <w:tcPr>
            <w:tcW w:w="3538" w:type="dxa"/>
          </w:tcPr>
          <w:p w14:paraId="26E1C9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французских деталей.</w:t>
            </w:r>
          </w:p>
        </w:tc>
      </w:tr>
    </w:tbl>
    <w:p w14:paraId="283657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(3475,93-94).</w:t>
      </w:r>
    </w:p>
    <w:p w14:paraId="47C77CAD" w14:textId="77777777" w:rsidR="00D4105E" w:rsidRPr="00E14102" w:rsidRDefault="00D4105E" w:rsidP="00E14102">
      <w:pPr>
        <w:autoSpaceDE w:val="0"/>
        <w:autoSpaceDN w:val="0"/>
        <w:adjustRightInd w:val="0"/>
        <w:jc w:val="both"/>
        <w:rPr>
          <w:color w:val="000000" w:themeColor="text1"/>
          <w:sz w:val="16"/>
          <w:szCs w:val="16"/>
        </w:rPr>
      </w:pPr>
    </w:p>
    <w:p w14:paraId="4B06D5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ноябре 1935 года вышло постановление СТО</w:t>
      </w:r>
    </w:p>
    <w:p w14:paraId="6026979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программе 1935 года</w:t>
      </w:r>
    </w:p>
    <w:p w14:paraId="4392BB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p w14:paraId="6F368F5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самолетам И-15 программа 1935 года в количестве 291 шт. будет выполнена полностью.</w:t>
      </w:r>
    </w:p>
    <w:p w14:paraId="1B2534D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самолетам ССС программа в 350 штук будет выполнена полностью.</w:t>
      </w:r>
    </w:p>
    <w:p w14:paraId="7D685C3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самолетам Р-ЗЭТ установить до конца года программу по выпуску 50 самолетов, из них серию в 10 штук сдать к 25 ноября для передачи на войсковое испытание, остальные 40 сдать к 1 января 1936 года.</w:t>
      </w:r>
    </w:p>
    <w:p w14:paraId="27A59F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Отметить, что по технической готовности заводом будет изготовлено до 250 самолетов Р-ЗЭТ.</w:t>
      </w:r>
    </w:p>
    <w:p w14:paraId="17F68A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18</w:t>
      </w:r>
    </w:p>
    <w:p w14:paraId="6827F8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Установить сдачу самолетов РД до конца 1935 года в количестве 10 единиц.</w:t>
      </w:r>
    </w:p>
    <w:p w14:paraId="6087F9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21</w:t>
      </w:r>
    </w:p>
    <w:p w14:paraId="5B89B26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самолету И16-М22 программа в 500 самолетов будет выполнена полностью с учетом 41 самолета сданных в 1934 году.</w:t>
      </w:r>
    </w:p>
    <w:p w14:paraId="4C8F1EA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самолету И16-М25 программа в 150 самолетов будет выполнена полностью. Возможны задержки в облете последних 25 самолетов из-за отсутствия карбюраторов "Стромберг".</w:t>
      </w:r>
    </w:p>
    <w:p w14:paraId="299877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самолету УТИ М-22 программа в 20 самолетов будет выполнена полностью.</w:t>
      </w:r>
    </w:p>
    <w:p w14:paraId="593B28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p w14:paraId="4D98762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самолету ТБ-3 РБ – программа в 23 самолета будет выполнена полностью.</w:t>
      </w:r>
    </w:p>
    <w:p w14:paraId="6CF93C1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ТБ3 РН - программа в 130 самолетов будет выполнена полностью.</w:t>
      </w:r>
    </w:p>
    <w:p w14:paraId="3082FF3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Ввиду того, что переход на двухметровые колеса в течение I и II квартала не предусматривался и техусловиями не оговорено, а также резиновая промышленность не сможет обеспечить поставкой резины для полного количества колес на самолеты, завод № 22 сдает в текущем году 85 самолетов на 2-х метровых колесах, а остальные самолеты на тележках по типу самолета ТБ3 РБ.</w:t>
      </w:r>
    </w:p>
    <w:p w14:paraId="2C86D30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Наркомлес сдать винты по заказу завода № 22 в полном количестве не позже 20 декабря 1935 года.</w:t>
      </w:r>
    </w:p>
    <w:p w14:paraId="4B5B784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Приемку самолетов ТБ-3 РН производить при условии появления конденсата на оборотах моторов не выше 400-500 об/мин.</w:t>
      </w:r>
    </w:p>
    <w:p w14:paraId="0F2244D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Предложить заводу № 22 по самолету ТБ3-А испытывать машину с радиоустановкой 11-СК и запустить в производство в количестве трех самолетов ……</w:t>
      </w:r>
    </w:p>
    <w:p w14:paraId="30B7A80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СБ на основе произведенных госиспытаний развернуть производство их полным ходом. В случае выявления после войсковых испытаний дефектов опасных для полета, устранить их на всех машинах, что же касается дефектов, неопасных для полета, то устранение их производить на основании соглашения ГУАП и УВС.</w:t>
      </w:r>
    </w:p>
    <w:p w14:paraId="10B6BA3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Отпустить из резервного фонда СНК 24 млн. рублей для покрытия убытков по переделке и устранению дефектов 150 машин ТБ3 программы 1934 года (8,5 млн. рублей) и возмещения разрыва в ценах по машинам ТБ-3 РН и Р программы 1935 года (15,5 млн. рублей), образовавшегося вследствие модификации и постановки более совершенных приборов и вооружения.</w:t>
      </w:r>
    </w:p>
    <w:p w14:paraId="4D1197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23</w:t>
      </w:r>
    </w:p>
    <w:p w14:paraId="36EE28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самолетам программы 1935 года по всем типам для УВС будет выполнена полностью.</w:t>
      </w:r>
    </w:p>
    <w:p w14:paraId="69919B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p w14:paraId="11F5A66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самолету МБР-2 программа будет выполнена полностью.</w:t>
      </w:r>
    </w:p>
    <w:p w14:paraId="17FC7F4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самолету МДР-4 программа 1935 года будет выполнена по технической готовности в 5 единиц. Сдача самолетов будет производиться в 1936 году по открытии моря.</w:t>
      </w:r>
    </w:p>
    <w:p w14:paraId="4CAA93F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Вследствие невозможности сдачи машины МДР-4 ранее апреля-мая 1936 года и больших затрат производимых по из изготовлению обязать НКО выдать из кредитов последнего 10 млн. рублей.</w:t>
      </w:r>
    </w:p>
    <w:p w14:paraId="46FA48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125</w:t>
      </w:r>
    </w:p>
    <w:p w14:paraId="0AB3FA2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Самолет И-14 с производства снять. Разрешить заводу из имеющегося задела собрать и выпустить в 1935 году для учебных целей 20-25 самолетов.</w:t>
      </w:r>
    </w:p>
    <w:p w14:paraId="359077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135</w:t>
      </w:r>
    </w:p>
    <w:p w14:paraId="024AC7B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самолету ИП-1 программа будет выполнена в пределах 30 самолетов с пулеметным вариантом на 2 "шкасса". До 1 января 1936 года будет сдано 15 самолетов. Остальные 15 будут сданы в феврале 1936 года. Недодел в количестве 70 самолетов ИП-1 включить в программу 1936 года в пулеметном варианте на 6 "шкасс".</w:t>
      </w:r>
    </w:p>
    <w:p w14:paraId="09DD6C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 16</w:t>
      </w:r>
    </w:p>
    <w:p w14:paraId="0E97AE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Учитывая, что завод впервые в текущем году осваивает производство моторов и не накопил еще достаточно производственного опыта, утвердить программу по выпуску моторов М-11 в текущем году в количестве 200 единиц.</w:t>
      </w:r>
    </w:p>
    <w:p w14:paraId="6C0229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 24</w:t>
      </w:r>
    </w:p>
    <w:p w14:paraId="29FC9F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Учитывая проведенную заводом работу в первом полугодии по модификации мотора М-34 значительно повышающей технические данные его до 1250 л.с. и необходимостью в связи с этим переключения производства на новые модификации уже в текущем году, утвердить план выпуска этого года:</w:t>
      </w:r>
    </w:p>
    <w:p w14:paraId="5B843E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моторам М-34Р – 500 вместо 375</w:t>
      </w:r>
    </w:p>
    <w:p w14:paraId="7B54EC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моторам М-34РН – 535 вместо 635</w:t>
      </w:r>
    </w:p>
    <w:p w14:paraId="0402B1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моторам М-34Н – 545 вместо 570</w:t>
      </w:r>
    </w:p>
    <w:p w14:paraId="765736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М34ФРН – сдать 20 штук по изготовлении 45 моторов.</w:t>
      </w:r>
    </w:p>
    <w:p w14:paraId="0ACFBA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 26</w:t>
      </w:r>
    </w:p>
    <w:p w14:paraId="5E2C14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производственными затруднениями завода, явившимися следствием того, что мотор М-100 внедряется в серию не будучи доведенным окончательно фирмой "Испано-Сюиза", утвердить программу по выпуску моторов в текущем году в количестве 200.</w:t>
      </w:r>
    </w:p>
    <w:p w14:paraId="5C150F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заводу № 29</w:t>
      </w:r>
    </w:p>
    <w:p w14:paraId="2F07DB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запозданием подготовки производства моторов М-75 и М-85, явившейся следствием особой сложности конструкции данных моторов и затяжки в поставке специального оборудования из-за границы (Мааги, копировально-фрезерные станки), утвердить программу по выпуску моторов в текущем году М-75 – 25 единиц вместо 150 по плану и М-85 25 единиц вместо 100 по плану, со снятием с производства в 1936 году мотора М-75.</w:t>
      </w:r>
    </w:p>
    <w:p w14:paraId="5B6C90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Отпустить на постановку производства новых моторов из резервного фонда СНК 5 млн. рублей.</w:t>
      </w:r>
    </w:p>
    <w:p w14:paraId="6EDEC0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опытному строительству</w:t>
      </w:r>
    </w:p>
    <w:p w14:paraId="728DB0C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План опытных работ по самолетам и моторам на 1936/37 год утвердить (см. приложение №№ 1, 2, 3).</w:t>
      </w:r>
    </w:p>
    <w:p w14:paraId="40C4585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Все работы по проектированию, постройке и испытанию опытных объектов производить согласно утвержденного положения, при сем прилагаемого (см. приложение № 4).</w:t>
      </w:r>
    </w:p>
    <w:p w14:paraId="477E513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НКТП (ГУАП) на основе научной проработки и широких летных исследований разработать к 1 сентября 1936 года новые нормы прочности самолетов на 1937 год.</w:t>
      </w:r>
    </w:p>
    <w:p w14:paraId="53FF2A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Предложить НКТП (ГУАП) по выполнении в срок и утверждении указанной работы Техническим советом ГУАПа, премировать группу работников выполнивших эту работу, определив размер премии в сто тысяч (100000) рублей.</w:t>
      </w:r>
    </w:p>
    <w:p w14:paraId="7F193F8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НКТП (ГУАП) разработать к 1 марта 1936 года типовые установки для производства статических и динамических (вибрационных) испытаний.</w:t>
      </w:r>
    </w:p>
    <w:p w14:paraId="06A6139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НКТП (ГУАП) закончить организацию винтомоторной лаборатории для испытания винтов на новом строительстве ЦАГИ в 1-й половине 1937 года.</w:t>
      </w:r>
    </w:p>
    <w:p w14:paraId="2C49D4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Организовать в первой половине 1936 года на территории ЦАГИ указанные лаборатории временного типа.</w:t>
      </w:r>
    </w:p>
    <w:p w14:paraId="2776AE7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ГУАП построить и оборудовать в 1936-37 г.г. в ЦИАМе динамическую лабораторию для исследования материалов и деталей моторов в условиях динамических нагрузок.</w:t>
      </w:r>
    </w:p>
    <w:p w14:paraId="0F10093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Отметить, что авиадизель конструкции Чаромского (ЦИАМ) АН-1 прошел госиспытания.</w:t>
      </w:r>
    </w:p>
    <w:p w14:paraId="753D36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Предложить НКТП (ГУАП) изготовить в 1936 году опытную серию авиадизелей АН-1 в количестве 30-50 штук, устранив отдельные недочеты, обнаруженные при испытании первого мотора.</w:t>
      </w:r>
    </w:p>
    <w:p w14:paraId="486F114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Исходя из наличия нескольких предложений по паровым авиационным турбинам (Аксютина, Цветкова и Рамзина) и больших затрат, связанных с их изготовлением. Предложить НКТП и НКО в 2-х декадный срок выбрать один тип для дальнейшей разработки, установить базу для производства этой турбины и объем финансирования.</w:t>
      </w:r>
    </w:p>
    <w:p w14:paraId="67F7C6C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Проектирование и производство новых опытных образцов самолетов и двигателей к ним (за исключением турбин и их агрегатов) сосредоточить только в системе ГУАПа.</w:t>
      </w:r>
    </w:p>
    <w:p w14:paraId="2790F0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Предложить НКТП (ГУАП) совместно с НКО (УВС) рассмотреть состояние работ, проводимых в организациях вне системы ГУАПа и в месячный срок внести свои предложения о ликвидации их или перевода в систему ГУАПа.</w:t>
      </w:r>
    </w:p>
    <w:p w14:paraId="7E58A1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Предложить НКТП (ГУАП) совместно с НКО (УВС) рассмотреть состояние работ по авиадизелям не вошедшим в план опытного строительства на 1936-37 г.г. и в месячный срок внести свои предложения по этим объектам (Н-2, Н-3, Н-4 и т.д.).</w:t>
      </w:r>
    </w:p>
    <w:p w14:paraId="293721A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lastRenderedPageBreak/>
        <w:t>Для обеспечения серийной постройки винтов с регулируемым в полете шагом, в 1936 году обязать ГУАП (Королева) представить на госиспытания:</w:t>
      </w:r>
    </w:p>
    <w:p w14:paraId="4312F2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ВРШ2 завода № 28 для применения на И16-М25, ИП1-М25, ДИ6-М25 к 25 декабря 1935 года</w:t>
      </w:r>
    </w:p>
    <w:p w14:paraId="48E1F2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ВРШ3 ЦИАМа для применения на ТБ3-4М34РН и ДБ-4М34РН к 1 января 1936 года</w:t>
      </w:r>
    </w:p>
    <w:p w14:paraId="1F159B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ВРШ ЦАГИ – для СБ-2М100 – к 1 марта 1936 года</w:t>
      </w:r>
    </w:p>
    <w:p w14:paraId="1B0597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ГУАП (Королева) представить на госиспытания в первой половине 1936 года следующие винты регулируемого в полете шага:</w:t>
      </w:r>
    </w:p>
    <w:p w14:paraId="4082A5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ВРШ4 ЦИАМа – к мотору М25</w:t>
      </w:r>
    </w:p>
    <w:p w14:paraId="6F1AA0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ВРШ5 ЦИАМа – к мотору М34РН</w:t>
      </w:r>
    </w:p>
    <w:p w14:paraId="6B8D74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ВРШ6 ЦИАМа – к мотору М85</w:t>
      </w:r>
    </w:p>
    <w:p w14:paraId="2CBDE5E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ОВИ НКО представить на госиспытания винт КБ № 2 для Р ЗЭТ к 1 декабря 1935 года и винт к МБР2-М34Н – к 1 января 1936 года.</w:t>
      </w:r>
    </w:p>
    <w:p w14:paraId="0C2A635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ГУАПу под личную ответственность Королева, обеспечить установку указанных винтов для госиспытаний на самолетах не позднее чем через месяц после удовлетворительного окончания их госиспытаний на станке.</w:t>
      </w:r>
    </w:p>
    <w:p w14:paraId="51316A2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ГУАП (Королева) организовать производство ВРШ по образцам. Которые прошли госиспытания и утверждены для серийной постройки. По этим (утвержденным) типам винтов вести производство с таким расчетом, чтобы со второго полугодия они были внедрены в производство крупными сериями, а с 1937 года все самолеты под этот винт и мотор были бы снабжены ВРШ. Учебные самолеты не снабжаются винтами ВРШ.</w:t>
      </w:r>
    </w:p>
    <w:p w14:paraId="6FC13AF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целях использования иностранного производственного опыта по постройке самолетов НКТП (ГУАП) купить техническую помощь американской фирмы "Дуглас".</w:t>
      </w:r>
    </w:p>
    <w:p w14:paraId="62FF304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ГУАП (Королева) дать заказ американской фирме Гамильтон Стандарт на ВРШ для самолетов ТБ3-4М34РН, СБ-2М100, Р ЗЭТ М34Н, И16-М25 – всего на 15 винтов по нашим техтребованиям и в месячный срок выяснить условия покупки техпомощи на указанные выше винты.</w:t>
      </w:r>
    </w:p>
    <w:p w14:paraId="72EBF0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15а. Отметить инициативу ГУАП (завода № 26) по изготовлению опытных моторов для маломощной авиации и предложить ему предъявить в 1936 году на госиспытания моторы мощностью в 20 и 40 л.с.</w:t>
      </w:r>
    </w:p>
    <w:p w14:paraId="60642D6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ГУАП заказать за границей изготовление технологического проекта и изготовление основных агрегатов и аппаратуры высотной камеры в ЦИАМе.</w:t>
      </w:r>
    </w:p>
    <w:p w14:paraId="7E2DF7B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НКТП (ГУАП) в 2-х декадный срок представить на утверждение спецификации моторов, самолетов, приборов, подлежащих закупке за границей в качестве образцов для изучения. Одновременно представить объем финансирования, обеспечивающий выполнение плана опытных работ.</w:t>
      </w:r>
    </w:p>
    <w:p w14:paraId="448535F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Организовать в Москве к 18 августа 1936 года Всесоюзную авиационную выставку.</w:t>
      </w:r>
    </w:p>
    <w:p w14:paraId="45753D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НКТП в месячный срок представить план организации выставки.</w:t>
      </w:r>
    </w:p>
    <w:p w14:paraId="3DCCA92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Предрешить организацию международной Авиационной выставки в Москве в 1938 году.</w:t>
      </w:r>
    </w:p>
    <w:p w14:paraId="6F8164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НКТП, НКО и ГУГВФ представить в 3-х месячный срок план организации международной выставки.</w:t>
      </w:r>
    </w:p>
    <w:p w14:paraId="51FA6D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III. По морской авиации.</w:t>
      </w:r>
    </w:p>
    <w:p w14:paraId="0F45CF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Признать состояние морского самолетостроения (опытного и серийного) наиболее отстающим, совершенно неудовлетворительным и требующим принятия особых мер.</w:t>
      </w:r>
    </w:p>
    <w:p w14:paraId="0444FB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связи с этим:</w:t>
      </w:r>
    </w:p>
    <w:p w14:paraId="6576F46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Завод № 31 довести в 1936 году до проектной его мощности по площадям и оборудованию, согласно разработанного Гипроавиа проекта. Завод специализировать на ближние и дальние морские разведчики.</w:t>
      </w:r>
    </w:p>
    <w:p w14:paraId="1F8A2EB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Заводу № 23 включить в 1936 году работы по проектированию учебно-тренировочных морских самолетов и их серийный выпуск совместно с выпуском учебных сухопутных самолетов.</w:t>
      </w:r>
    </w:p>
    <w:p w14:paraId="132EF7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этого ГУАПу на заводе № 23: а) создать опытную конструкторскую группу морского самолетостроения.</w:t>
      </w:r>
    </w:p>
    <w:p w14:paraId="0BDAAF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произвести в 1936 году необходимую для этой цели реконструкцию завода.</w:t>
      </w:r>
    </w:p>
    <w:p w14:paraId="5F94BA4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Заводу № 45 наравне с ремонтом поручить опытное и серийное гидросамолетостроение. ГУАПу в 1936 году довести мощность завода из расчета выпуска в год серии 50 самолетов типа МДР-6.</w:t>
      </w:r>
    </w:p>
    <w:p w14:paraId="67BA2C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НКО освободить в январе 1936 года территорию хутора № 42, бензинохранилища и одновременно перевести радиостанцию.</w:t>
      </w:r>
    </w:p>
    <w:p w14:paraId="6C3F740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ГУАПу и НКВД форсировать строительство заводов № 30 в Иванькове и № 126 в Комосмольске, определив срок полной готовности заводов к 1 января 1937 года.</w:t>
      </w:r>
    </w:p>
    <w:p w14:paraId="59530A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Разрешить вести строительство указанных заводов без утвержденных технических проектов и генеральных смет.</w:t>
      </w:r>
    </w:p>
    <w:p w14:paraId="61D642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ГУАП утвердить техпроекты и генсметы не позднее 1 июля 1936 года.</w:t>
      </w:r>
    </w:p>
    <w:p w14:paraId="73C2B2C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Завод № 47 с 1 января 1937 года перевести на ремонт самолетов КВФ.</w:t>
      </w:r>
    </w:p>
    <w:p w14:paraId="0F5204B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Создать в ГУАПе должность заместителя начальника ГУАПа по морской авиации.</w:t>
      </w:r>
    </w:p>
    <w:p w14:paraId="588BBAC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Организовать в МАИ регулярную подготовку для гидросамолетной промышленности инженеров-конструкторов и производственников, обеспечив в 1936 году выпуск 50 инженеров.</w:t>
      </w:r>
    </w:p>
    <w:p w14:paraId="0388ECB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Центром научно-исследовательской работы по гидроавиации считать ЦАГИ.</w:t>
      </w:r>
    </w:p>
    <w:p w14:paraId="36ECDC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Наряду с этим развернуть научно-исследовательскую и экспериментальную работу по морскому самолетостроению на серийных заводах (№№ 31, 23, 45, 30 и 126).</w:t>
      </w:r>
    </w:p>
    <w:p w14:paraId="37D7D0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ГУАПу предусмотреть при заводе № 30 развитие научно-исследовательской базы (гидродром, гидроканал и др.).</w:t>
      </w:r>
    </w:p>
    <w:p w14:paraId="6D6375D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выяснения возможности приобретения технической помощи и проработки вопроса на месте, послать в Америку морскую авиационную комиссию из представителей ГУАПа и НКО. Список членов комиссии представить в СТО к 17 декабря 1935 года.</w:t>
      </w:r>
    </w:p>
    <w:p w14:paraId="1BAD3C5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ГУАПу заложить в 1936 году (на заводе № 45) головную серию самолетов АРК-3 в военном варианте в 5 самолетов для войсковых испытаний. Опытный самолет АРК-3 передать начальнику МС РККА на госиспытания не позднее 1 марта 1936 года.</w:t>
      </w:r>
    </w:p>
    <w:p w14:paraId="5FF15B2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ГУАП перепроектировать самолет МДР-4 под моторы М34 ФРН с окончанием выпуска чертежей к 1 июня 1936 года.</w:t>
      </w:r>
    </w:p>
    <w:p w14:paraId="4943D1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Ввиду особой важности данного типа самолета, считать возможным в 1936 году достроить на заводе № 31 войсковую серию в количестве 10 самолетов.</w:t>
      </w:r>
    </w:p>
    <w:p w14:paraId="49CF84C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 Научно-техническом совете НКТП организовать Бюро по разработке средств механизации морских аэродромов.</w:t>
      </w:r>
    </w:p>
    <w:p w14:paraId="3925C99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НКО перевооружить в 1936 году морскую авиацию на новую материальную часть (ТБ-3 РН, И-16, СБ, Т-1).</w:t>
      </w:r>
    </w:p>
    <w:p w14:paraId="79B2A28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Создать в 1936-37 г.г. для морских сил РКККА специальную летно-испытательную базу. НКО в месячный срок представить СТО свои предложения о постройке этой базы.</w:t>
      </w:r>
    </w:p>
    <w:p w14:paraId="55111F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IV. По качеству продукции.</w:t>
      </w:r>
    </w:p>
    <w:p w14:paraId="0CE32C8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Общие мероприятия по повышению качества.</w:t>
      </w:r>
    </w:p>
    <w:p w14:paraId="0230B34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ГУАП в 1936 году повысить качество производства самолетов и моторов так, чтобы с 1 января 1937 года серийные самолеты и моторы по качеству своего производства были бы не ниже европейских и американских образцов (образцом для сравнения взять американский самолет Дуглас ДС-2-2 Райт-Циклон).</w:t>
      </w:r>
    </w:p>
    <w:p w14:paraId="215987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Конструкторским бюро и заводам, проектирующим и строящим новые образцы самолетов, исходить из того, что наши вновь проектируемые самолеты в эксплуатации и по удобствам для летчика и экипажа должны быть на уровне лучших заграничных образцов.</w:t>
      </w:r>
    </w:p>
    <w:p w14:paraId="02B1016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Считать совершенно необходимым расширить объем заводских испытаний новых образцов продукции авиазаводов, доведя этот объем до объема госиспытаний. Заводам на госиспытания передавать только образцы, полностью доведенные и удовлетворительно прошедшие эти госиспытания.</w:t>
      </w:r>
    </w:p>
    <w:p w14:paraId="5B8F1E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заводы составлять отчет заводского испытания самолета и при передаче его на госиспытания сдавать только с актом начальника ГУАПа, утверждающего отчет.</w:t>
      </w:r>
    </w:p>
    <w:p w14:paraId="1C8E8E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проведения заводских испытаний ГУАПу обеспечить заводские летные станции необходимым оборудованием и личным составом, для чего НКО выделить ГУАПу необходимое число летного состава.</w:t>
      </w:r>
    </w:p>
    <w:p w14:paraId="23EEFBE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НКО повысить качество госиспытаний и по каждому новому типу самолета производить войсковые – эксплуатационные испытания первой серии, предшествующей запуску данного типа в крупное серийное производство.</w:t>
      </w:r>
    </w:p>
    <w:p w14:paraId="2243839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НКВТ (Розенгольц) ускорить покупку самолета "Ферри-Фатом" (в Англии) для использования его в качестве образца по удобству размещения летчика, аппаратуры и вооружения.</w:t>
      </w:r>
    </w:p>
    <w:p w14:paraId="131B550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ГУАП повысить требования к поставляемым ему другими организациями материалам; использовать в качестве образцов лучшие иностранные материалы; ГУАПу разработать план по улучшению материалов и приобретению за границей недостающих до момента освоения таковых в нашем хозяйстве и представить план в Правительство к 1 января 1936 года.</w:t>
      </w:r>
    </w:p>
    <w:p w14:paraId="1A99B0F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целях повышения эксплуатационных качеств самолетов и моторов путем установки на них разных высококачественных агрегатов и полуфабрикатов обязать ГУАП:</w:t>
      </w:r>
    </w:p>
    <w:p w14:paraId="152752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ввести на все серийные самолеты, начиная с III квартала 1936 года гибкие шланги для всей водомаслобензосистемы;</w:t>
      </w:r>
    </w:p>
    <w:p w14:paraId="20A5C5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ввести с III квартала воздушномасляные радиаторы по американскому типу, в первую очередь по самолетам ДИ6;</w:t>
      </w:r>
    </w:p>
    <w:p w14:paraId="129703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ввести с III квартала 1936 года на серийные самолеты термостаты регуляторы температуры водяных и масляных радиаторов;</w:t>
      </w:r>
    </w:p>
    <w:p w14:paraId="467CF8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с 1 мая 1936 года сдавать самолеты на тормозных колесах с регулируемой степенью торможения;</w:t>
      </w:r>
    </w:p>
    <w:p w14:paraId="43515D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с III квартала сдавать все самолеты с бортовыми самопусками.</w:t>
      </w:r>
    </w:p>
    <w:p w14:paraId="2384B2A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lastRenderedPageBreak/>
        <w:t>Обязать НКТП организовать в 1935 году производство ремонтного инструмента для авиамоторов и самолетов: ГУАПу совместно с УВС к 15 декабря 1935 года составить список ремонтного инструмента для заказа на 1936 год.</w:t>
      </w:r>
    </w:p>
    <w:p w14:paraId="34C5CE7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ГУАП добиться антикоррозийного покрытия авиамоторов и самолетов, улучшить внешнюю отделку самолетов и моторов, разработать стандарт этого покрытия и с 1 марта 1936 года внедрить в серийное производство.</w:t>
      </w:r>
    </w:p>
    <w:p w14:paraId="238D738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целях проверки качества новых внедряемых в строй самолетов и моторов, НКО в 1936 году провести особые учения с привлечением представителей НКТП.</w:t>
      </w:r>
    </w:p>
    <w:p w14:paraId="04950D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Итоги первых учений доложить Правительству не позднее 1 мая 1936 года.</w:t>
      </w:r>
    </w:p>
    <w:p w14:paraId="652F233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ГУАП к 1 февраля 1936 года доложить СТО о контрактном использовании авиапромышленностью опыта, получаемого от изучения в Союзе закупленных заграничных самолетов Дуглас – ДС-1, Ферри-Ферфляй.</w:t>
      </w:r>
    </w:p>
    <w:p w14:paraId="5C6610A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ГУАП и директора заводов №№ 21, 1 и 24 обеспечить все сдаваемые самолеты с моторами М34РН и М34Н подогревами, надежно работающими при низких температурах.</w:t>
      </w:r>
    </w:p>
    <w:p w14:paraId="5299A8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Мероприятия по повышению качества отдельных типов самолетов</w:t>
      </w:r>
    </w:p>
    <w:p w14:paraId="6BD62B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Истребители</w:t>
      </w:r>
    </w:p>
    <w:p w14:paraId="1246331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директоров заводов №№ 1 и 39 не позднее 1 февраля 1936 года устранить на всех выпущенных с этих заводов самолетах И15-М26 дефекты, связанные с поломкой моторных рам, хвостового оперения, шасси и горизонтальные трубы фюзеляжа.</w:t>
      </w:r>
    </w:p>
    <w:p w14:paraId="2A2277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выполнения указанных работ, обязать конструктора Поликарпова дать конструктивное решение по этим вопросам не позднее 1 декабря 1935 года.</w:t>
      </w:r>
    </w:p>
    <w:p w14:paraId="075A149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директоров заводов №№ 1 и 39 не позднее 1 февраля 1936 года закончить устранение дефектов, связанных с недостаточной прочностью и неудовлетворительностью конструкции и производства, мешающих нормальной эксплуатации самолетов И15-М25, а именно:</w:t>
      </w:r>
    </w:p>
    <w:p w14:paraId="25D5A6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поломки костылей и кронштейнов балансиров синхронизаторов;</w:t>
      </w:r>
    </w:p>
    <w:p w14:paraId="106234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люфты в сочленениях управления самолетом;</w:t>
      </w:r>
    </w:p>
    <w:p w14:paraId="22797A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течь бензобаков, бензомаслокранов и течи в соединениях трубопроводов;</w:t>
      </w:r>
    </w:p>
    <w:p w14:paraId="295758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прочие мелкие дефекты.</w:t>
      </w:r>
    </w:p>
    <w:p w14:paraId="16E88BB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принять к сведению, что при устранении вышеуказанных дефектов самолет И15-М25 будет пригоден к нормальной эксплуатации.</w:t>
      </w:r>
    </w:p>
    <w:p w14:paraId="7243D85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директоров заводов №№ 1 и 39 изготовить и заменить к 1 июля 1936 года на всех самолетах И15-М25, находящихся на Дальнем Востоке, крылья, по отдельному заказу УВС.</w:t>
      </w:r>
    </w:p>
    <w:p w14:paraId="2FCEA58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Принять к сведению, что заводами №№ 21 и 39 будут устранены на всех выпущенных самолетах И16-М22 дефекты, опасные для полета и понижающие боеспособность, выявленные на войсковых испытаниях, в сроки, согласованные между УВС, ГУАПом и заводами (протокол № 83 от 4 ноября 1935 года и уточнение за № 42/03054 от 17 ноября 1935 года), а также будут устранены дефекты, мешающие нормальной эксплуатации в сроки по согласованию между военпредами УВС и директорами заводов.</w:t>
      </w:r>
    </w:p>
    <w:p w14:paraId="25B0B02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ГУАП и завод № 21 все самолеты И16-М25 заказа 1935 года оборудовать самопусками "Эклипс", приводами и динамо ДСФ-500 по образцу самолета завода № 39, с выполнением этих работ в I квартале 1936 года, а также подготовить все эти самолеты к установке на них радиостанций РИЗЕТ.</w:t>
      </w:r>
    </w:p>
    <w:p w14:paraId="066314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Разведчики</w:t>
      </w:r>
    </w:p>
    <w:p w14:paraId="221ED2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Обязать директора завода № 1 к 1 февраля 1936 года на всех выпущенных машинах ССС-М17 устранить следующие дефекты:</w:t>
      </w:r>
    </w:p>
    <w:p w14:paraId="137A81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выбрасывание воды в полете;</w:t>
      </w:r>
    </w:p>
    <w:p w14:paraId="5DB59C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вибрации стабилизаторов;</w:t>
      </w:r>
    </w:p>
    <w:p w14:paraId="1B3162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отказы стрелкового вооружения;</w:t>
      </w:r>
    </w:p>
    <w:p w14:paraId="50938A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отказы бомбового вооружения.</w:t>
      </w:r>
    </w:p>
    <w:p w14:paraId="4739A6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с этим, в этот же срок устранить и эксплуатационные дефекты, выявленные в процессе войсковых испытаний, уточнив перечень дефектов совместно с военпредом УВС.</w:t>
      </w:r>
    </w:p>
    <w:p w14:paraId="09C53E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Бомбардировщики</w:t>
      </w:r>
    </w:p>
    <w:p w14:paraId="6F08A42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директора завода № 22:</w:t>
      </w:r>
    </w:p>
    <w:p w14:paraId="398E7B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закончить ремонт 40 самолетов ТБ3-М34Р по моторной раме, бензобакам и усилению 15-го шпангоута к 15 декабря 1935 года и установить на всех ТБ3-М34Р баллонные костыльные колеса, винты с уширенной ступицей и красномедные радиаторы – не позже 15 января 1936 года;</w:t>
      </w:r>
    </w:p>
    <w:p w14:paraId="2A24F0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10 полностью законченных (с устранением всех дефектов), самолетов ТБ3-М34РН сдать на войсковые испытания к 20 декабря 1935 года;</w:t>
      </w:r>
    </w:p>
    <w:p w14:paraId="661D34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провести статиспытания самолета ТБ3-М34РН по программе, согласованной с военным представителем УВС не позже 5 декабря 1935 года;</w:t>
      </w:r>
    </w:p>
    <w:p w14:paraId="096A44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на всех самолетах ТБ3-М34РН устранить все дефекты, выявленные на госиспытаниях в НИИ ВС в соответствии с протоколом, согласованным между директором завода и военным представителем и утвержденному начальником УВС.</w:t>
      </w:r>
    </w:p>
    <w:p w14:paraId="4CCB41F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директора завода № 22 изготовить 1 самолет СБ с устранением всех дефектов, выявленных при испытаниях в НИИ ВС, в качестве образца, для заказа 1936 года, не позже 1 января 1936 года.</w:t>
      </w:r>
    </w:p>
    <w:p w14:paraId="2CAFAF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w:t>
      </w:r>
    </w:p>
    <w:p w14:paraId="6AE9AFA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ГУАП произвести все необходимые мероприятия по всем самолетам с моторами М34РН и М 34Н (до отправки самолетов в части ВС), обеспечивающие нормальную работу моторов в зимних условиях (ликвидировать конденсат топлива).</w:t>
      </w:r>
    </w:p>
    <w:p w14:paraId="220394D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заводы №№ 24 и 33 на всех моторах М34РН и М34Н и в первую очередь на уже выпущенных, внести необходимые переделки карбюраторов в соответствии с результатами заводских и летных испытаний – для улучшений характеристики расходов топлива и получения более экономичных расходов.</w:t>
      </w:r>
    </w:p>
    <w:p w14:paraId="7E71145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завод № 24 немедленно запустить в серийное производство стальные гнезда клапанов для обеспечения эксплуатации моторов на этиловой смеси, а также на низких расходах топлива.</w:t>
      </w:r>
    </w:p>
    <w:p w14:paraId="5325C4C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завод № 24 совместно с НИИ ВС провести необходимые испытания как на станке, так и на самолете на бедных смесях с таким расчетом, чтобы не позднее 1 февраля 1936 года дать инструкцию частям о работе на бедных смесях, для увеличения радиуса действия самолетов ТБ3 с мотором М34РН.</w:t>
      </w:r>
    </w:p>
    <w:p w14:paraId="6AFA5C8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завод № 24 не позднее 15 декабря 1935 года провести испытания самопуска ВИЕТ.</w:t>
      </w:r>
    </w:p>
    <w:p w14:paraId="21BDAD1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завод № 26 провести необходимые испытания и исследования по обеднению смесей на моторе М-100 до 240-250 гр/л.с. на эксплуатационной мощности – выполнить в 2-х месячный срок.</w:t>
      </w:r>
    </w:p>
    <w:p w14:paraId="04A749B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завод № 19 к 1 марта 1936 года предъявить на испытания на самолете мотор М-25 с воздушным самопуском.</w:t>
      </w:r>
    </w:p>
    <w:p w14:paraId="20C3C7F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случае установки на моторах М-25 карбюраторов "Солекс", обязать ГУАП предварительно, перед пуском в серийное производство, провести испытания этого карбюратора на самолете с мотором М-25.</w:t>
      </w:r>
    </w:p>
    <w:p w14:paraId="11DA804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завод № 29 совместно с ЦИАМом провести работу по подбору минерального масла к мотору М-85 – не позднее 15 февраля 1936 года и к мотору М-75 – не позднее 1 марта 1936 года.</w:t>
      </w:r>
    </w:p>
    <w:p w14:paraId="06781D2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завод № 29 провести работу по проверке мотора М-85 на бедных смесях не позднее 15 февраля 1936 года (3475, 67-76)</w:t>
      </w:r>
    </w:p>
    <w:p w14:paraId="49042B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опытного строительства самолетов на 1936-37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55"/>
        <w:gridCol w:w="930"/>
        <w:gridCol w:w="992"/>
        <w:gridCol w:w="993"/>
        <w:gridCol w:w="992"/>
        <w:gridCol w:w="1276"/>
        <w:gridCol w:w="1134"/>
        <w:gridCol w:w="1701"/>
      </w:tblGrid>
      <w:tr w:rsidR="00E3599D" w:rsidRPr="00E14102" w14:paraId="473C77DE" w14:textId="77777777">
        <w:trPr>
          <w:cantSplit/>
        </w:trPr>
        <w:tc>
          <w:tcPr>
            <w:tcW w:w="2155" w:type="dxa"/>
          </w:tcPr>
          <w:p w14:paraId="3FF56F0A" w14:textId="77777777" w:rsidR="00D4105E" w:rsidRPr="00E14102" w:rsidRDefault="00D4105E" w:rsidP="00E14102">
            <w:pPr>
              <w:autoSpaceDE w:val="0"/>
              <w:autoSpaceDN w:val="0"/>
              <w:adjustRightInd w:val="0"/>
              <w:jc w:val="both"/>
              <w:rPr>
                <w:color w:val="000000" w:themeColor="text1"/>
                <w:sz w:val="16"/>
                <w:szCs w:val="16"/>
              </w:rPr>
            </w:pPr>
          </w:p>
        </w:tc>
        <w:tc>
          <w:tcPr>
            <w:tcW w:w="930" w:type="dxa"/>
          </w:tcPr>
          <w:p w14:paraId="45B1A5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992" w:type="dxa"/>
          </w:tcPr>
          <w:p w14:paraId="4B18BC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применения</w:t>
            </w:r>
          </w:p>
        </w:tc>
        <w:tc>
          <w:tcPr>
            <w:tcW w:w="993" w:type="dxa"/>
          </w:tcPr>
          <w:p w14:paraId="0EFCC3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992" w:type="dxa"/>
          </w:tcPr>
          <w:p w14:paraId="11E86E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1276" w:type="dxa"/>
          </w:tcPr>
          <w:p w14:paraId="1CD45A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1134" w:type="dxa"/>
          </w:tcPr>
          <w:p w14:paraId="1999E0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госиспытания</w:t>
            </w:r>
          </w:p>
        </w:tc>
        <w:tc>
          <w:tcPr>
            <w:tcW w:w="1701" w:type="dxa"/>
          </w:tcPr>
          <w:p w14:paraId="3F3AA0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63746618" w14:textId="77777777">
        <w:trPr>
          <w:cantSplit/>
        </w:trPr>
        <w:tc>
          <w:tcPr>
            <w:tcW w:w="2155" w:type="dxa"/>
          </w:tcPr>
          <w:p w14:paraId="75CF5C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Морской дальний разведчик (МДР-6)</w:t>
            </w:r>
          </w:p>
        </w:tc>
        <w:tc>
          <w:tcPr>
            <w:tcW w:w="930" w:type="dxa"/>
          </w:tcPr>
          <w:p w14:paraId="2F161D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2" w:type="dxa"/>
          </w:tcPr>
          <w:p w14:paraId="7E69D0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300-350</w:t>
            </w:r>
          </w:p>
        </w:tc>
        <w:tc>
          <w:tcPr>
            <w:tcW w:w="993" w:type="dxa"/>
          </w:tcPr>
          <w:p w14:paraId="3C7E8A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5D9DA0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033347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45 (Четвериков)</w:t>
            </w:r>
          </w:p>
        </w:tc>
        <w:tc>
          <w:tcPr>
            <w:tcW w:w="1134" w:type="dxa"/>
          </w:tcPr>
          <w:p w14:paraId="615AAF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1936 года</w:t>
            </w:r>
          </w:p>
        </w:tc>
        <w:tc>
          <w:tcPr>
            <w:tcW w:w="1701" w:type="dxa"/>
          </w:tcPr>
          <w:p w14:paraId="6EFC63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января 1936 года (С-38сс)</w:t>
            </w:r>
          </w:p>
        </w:tc>
      </w:tr>
      <w:tr w:rsidR="00E3599D" w:rsidRPr="00E14102" w14:paraId="05984BF4" w14:textId="77777777">
        <w:trPr>
          <w:cantSplit/>
        </w:trPr>
        <w:tc>
          <w:tcPr>
            <w:tcW w:w="2155" w:type="dxa"/>
          </w:tcPr>
          <w:p w14:paraId="037D97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МБР-6 морской ближний разведчик</w:t>
            </w:r>
          </w:p>
        </w:tc>
        <w:tc>
          <w:tcPr>
            <w:tcW w:w="930" w:type="dxa"/>
          </w:tcPr>
          <w:p w14:paraId="041818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2B7D27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325-375</w:t>
            </w:r>
          </w:p>
        </w:tc>
        <w:tc>
          <w:tcPr>
            <w:tcW w:w="993" w:type="dxa"/>
          </w:tcPr>
          <w:p w14:paraId="7B5B73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992" w:type="dxa"/>
          </w:tcPr>
          <w:p w14:paraId="7E602F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276" w:type="dxa"/>
          </w:tcPr>
          <w:p w14:paraId="4AFD65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c>
          <w:tcPr>
            <w:tcW w:w="1134" w:type="dxa"/>
          </w:tcPr>
          <w:p w14:paraId="7627D4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1937 года</w:t>
            </w:r>
          </w:p>
        </w:tc>
        <w:tc>
          <w:tcPr>
            <w:tcW w:w="1701" w:type="dxa"/>
          </w:tcPr>
          <w:p w14:paraId="710FC8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сентября 1936 года по ЦАГИ (С-39сс)</w:t>
            </w:r>
          </w:p>
        </w:tc>
      </w:tr>
      <w:tr w:rsidR="00E3599D" w:rsidRPr="00E14102" w14:paraId="64F32BBC" w14:textId="77777777">
        <w:trPr>
          <w:cantSplit/>
        </w:trPr>
        <w:tc>
          <w:tcPr>
            <w:tcW w:w="2155" w:type="dxa"/>
          </w:tcPr>
          <w:p w14:paraId="3EA688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КОР-РЦ корабельный разведчик </w:t>
            </w:r>
          </w:p>
        </w:tc>
        <w:tc>
          <w:tcPr>
            <w:tcW w:w="930" w:type="dxa"/>
          </w:tcPr>
          <w:p w14:paraId="15CFDE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28E6D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0D0DC9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502FE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3EF431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c>
          <w:tcPr>
            <w:tcW w:w="1134" w:type="dxa"/>
          </w:tcPr>
          <w:p w14:paraId="390A41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w:t>
            </w:r>
          </w:p>
        </w:tc>
        <w:tc>
          <w:tcPr>
            <w:tcW w:w="1701" w:type="dxa"/>
          </w:tcPr>
          <w:p w14:paraId="5977D3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августа 1935 года по заводу № 39</w:t>
            </w:r>
          </w:p>
        </w:tc>
      </w:tr>
      <w:tr w:rsidR="00E3599D" w:rsidRPr="00E14102" w14:paraId="3061056C" w14:textId="77777777">
        <w:trPr>
          <w:cantSplit/>
        </w:trPr>
        <w:tc>
          <w:tcPr>
            <w:tcW w:w="2155" w:type="dxa"/>
          </w:tcPr>
          <w:p w14:paraId="5FE1AC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МТБ-4 М-85 морской тяжелый бомбардировщик АНТ-44</w:t>
            </w:r>
          </w:p>
        </w:tc>
        <w:tc>
          <w:tcPr>
            <w:tcW w:w="930" w:type="dxa"/>
          </w:tcPr>
          <w:p w14:paraId="6FA594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992" w:type="dxa"/>
          </w:tcPr>
          <w:p w14:paraId="3E41FF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300-350</w:t>
            </w:r>
          </w:p>
        </w:tc>
        <w:tc>
          <w:tcPr>
            <w:tcW w:w="993" w:type="dxa"/>
          </w:tcPr>
          <w:p w14:paraId="04F4D1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3F107E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1276" w:type="dxa"/>
          </w:tcPr>
          <w:p w14:paraId="76DD6A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34" w:type="dxa"/>
          </w:tcPr>
          <w:p w14:paraId="273DE7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февраля 1937 года</w:t>
            </w:r>
          </w:p>
        </w:tc>
        <w:tc>
          <w:tcPr>
            <w:tcW w:w="1701" w:type="dxa"/>
          </w:tcPr>
          <w:p w14:paraId="0CF865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августа 1936</w:t>
            </w:r>
          </w:p>
        </w:tc>
      </w:tr>
      <w:tr w:rsidR="00E3599D" w:rsidRPr="00E14102" w14:paraId="28FD349D" w14:textId="77777777">
        <w:trPr>
          <w:cantSplit/>
        </w:trPr>
        <w:tc>
          <w:tcPr>
            <w:tcW w:w="2155" w:type="dxa"/>
          </w:tcPr>
          <w:p w14:paraId="1519D1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Торпедоносец на поплавках</w:t>
            </w:r>
          </w:p>
        </w:tc>
        <w:tc>
          <w:tcPr>
            <w:tcW w:w="930" w:type="dxa"/>
          </w:tcPr>
          <w:p w14:paraId="1A93AA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2E0C4C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28EBDF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BF072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526A0C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34" w:type="dxa"/>
          </w:tcPr>
          <w:p w14:paraId="497D33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w:t>
            </w:r>
          </w:p>
        </w:tc>
        <w:tc>
          <w:tcPr>
            <w:tcW w:w="1701" w:type="dxa"/>
          </w:tcPr>
          <w:p w14:paraId="631EA0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января 1936 года. Королев – 1 апреля 1936 года.</w:t>
            </w:r>
          </w:p>
        </w:tc>
      </w:tr>
      <w:tr w:rsidR="00E3599D" w:rsidRPr="00E14102" w14:paraId="6168AC2A" w14:textId="77777777">
        <w:trPr>
          <w:cantSplit/>
        </w:trPr>
        <w:tc>
          <w:tcPr>
            <w:tcW w:w="2155" w:type="dxa"/>
          </w:tcPr>
          <w:p w14:paraId="14D83B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Морской учебный</w:t>
            </w:r>
          </w:p>
        </w:tc>
        <w:tc>
          <w:tcPr>
            <w:tcW w:w="930" w:type="dxa"/>
          </w:tcPr>
          <w:p w14:paraId="467586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25C720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632B0B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05532F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634612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23</w:t>
            </w:r>
          </w:p>
        </w:tc>
        <w:tc>
          <w:tcPr>
            <w:tcW w:w="1134" w:type="dxa"/>
          </w:tcPr>
          <w:p w14:paraId="124F6F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701" w:type="dxa"/>
          </w:tcPr>
          <w:p w14:paraId="0C66DE3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02C787F" w14:textId="77777777">
        <w:trPr>
          <w:cantSplit/>
        </w:trPr>
        <w:tc>
          <w:tcPr>
            <w:tcW w:w="2155" w:type="dxa"/>
          </w:tcPr>
          <w:p w14:paraId="07A1B7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Гражданские самолеты</w:t>
            </w:r>
          </w:p>
        </w:tc>
        <w:tc>
          <w:tcPr>
            <w:tcW w:w="930" w:type="dxa"/>
          </w:tcPr>
          <w:p w14:paraId="620C66F4"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10D695B4" w14:textId="77777777" w:rsidR="00D4105E" w:rsidRPr="00E14102" w:rsidRDefault="00D4105E" w:rsidP="00E14102">
            <w:pPr>
              <w:autoSpaceDE w:val="0"/>
              <w:autoSpaceDN w:val="0"/>
              <w:adjustRightInd w:val="0"/>
              <w:jc w:val="both"/>
              <w:rPr>
                <w:color w:val="000000" w:themeColor="text1"/>
                <w:sz w:val="16"/>
                <w:szCs w:val="16"/>
              </w:rPr>
            </w:pPr>
          </w:p>
        </w:tc>
        <w:tc>
          <w:tcPr>
            <w:tcW w:w="993" w:type="dxa"/>
          </w:tcPr>
          <w:p w14:paraId="1339E5EC"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2F3645CF" w14:textId="77777777" w:rsidR="00D4105E" w:rsidRPr="00E14102" w:rsidRDefault="00D4105E" w:rsidP="00E14102">
            <w:pPr>
              <w:autoSpaceDE w:val="0"/>
              <w:autoSpaceDN w:val="0"/>
              <w:adjustRightInd w:val="0"/>
              <w:jc w:val="both"/>
              <w:rPr>
                <w:color w:val="000000" w:themeColor="text1"/>
                <w:sz w:val="16"/>
                <w:szCs w:val="16"/>
              </w:rPr>
            </w:pPr>
          </w:p>
        </w:tc>
        <w:tc>
          <w:tcPr>
            <w:tcW w:w="1276" w:type="dxa"/>
          </w:tcPr>
          <w:p w14:paraId="5020DD15" w14:textId="77777777" w:rsidR="00D4105E" w:rsidRPr="00E14102" w:rsidRDefault="00D4105E" w:rsidP="00E14102">
            <w:pPr>
              <w:autoSpaceDE w:val="0"/>
              <w:autoSpaceDN w:val="0"/>
              <w:adjustRightInd w:val="0"/>
              <w:jc w:val="both"/>
              <w:rPr>
                <w:color w:val="000000" w:themeColor="text1"/>
                <w:sz w:val="16"/>
                <w:szCs w:val="16"/>
              </w:rPr>
            </w:pPr>
          </w:p>
        </w:tc>
        <w:tc>
          <w:tcPr>
            <w:tcW w:w="1134" w:type="dxa"/>
          </w:tcPr>
          <w:p w14:paraId="17CE4207"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5EC7C06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494E4EA" w14:textId="77777777">
        <w:trPr>
          <w:cantSplit/>
        </w:trPr>
        <w:tc>
          <w:tcPr>
            <w:tcW w:w="2155" w:type="dxa"/>
          </w:tcPr>
          <w:p w14:paraId="351774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АНТ-35 (СБ в пассажирском варианте)</w:t>
            </w:r>
          </w:p>
        </w:tc>
        <w:tc>
          <w:tcPr>
            <w:tcW w:w="930" w:type="dxa"/>
          </w:tcPr>
          <w:p w14:paraId="5FDD66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4BC2B2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w:t>
            </w:r>
          </w:p>
        </w:tc>
        <w:tc>
          <w:tcPr>
            <w:tcW w:w="993" w:type="dxa"/>
          </w:tcPr>
          <w:p w14:paraId="07390E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992" w:type="dxa"/>
          </w:tcPr>
          <w:p w14:paraId="32F50F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1276" w:type="dxa"/>
          </w:tcPr>
          <w:p w14:paraId="7E6E65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34" w:type="dxa"/>
          </w:tcPr>
          <w:p w14:paraId="6C3046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года заводские испытания</w:t>
            </w:r>
          </w:p>
        </w:tc>
        <w:tc>
          <w:tcPr>
            <w:tcW w:w="1701" w:type="dxa"/>
          </w:tcPr>
          <w:p w14:paraId="130905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Комм. Нагрузка 1000 кг, 10 – пассаж., 2 – экипаж</w:t>
            </w:r>
          </w:p>
          <w:p w14:paraId="5C25E3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сентября 1935 года (см. СТО № С-91сс), изменения на 1 августа 1936 года СТО № С-120сс)</w:t>
            </w:r>
          </w:p>
        </w:tc>
      </w:tr>
      <w:tr w:rsidR="00E3599D" w:rsidRPr="00E14102" w14:paraId="4728FA56" w14:textId="77777777">
        <w:trPr>
          <w:cantSplit/>
        </w:trPr>
        <w:tc>
          <w:tcPr>
            <w:tcW w:w="2155" w:type="dxa"/>
          </w:tcPr>
          <w:p w14:paraId="4F1EA8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АНТ-27 (МДР-4 в пассажирском варианте)</w:t>
            </w:r>
          </w:p>
        </w:tc>
        <w:tc>
          <w:tcPr>
            <w:tcW w:w="930" w:type="dxa"/>
          </w:tcPr>
          <w:p w14:paraId="663F42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23E7FE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161762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1A2016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5C0729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34" w:type="dxa"/>
          </w:tcPr>
          <w:p w14:paraId="19CC4E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Через 4 месяца после выхода самолета из серии</w:t>
            </w:r>
          </w:p>
        </w:tc>
        <w:tc>
          <w:tcPr>
            <w:tcW w:w="1701" w:type="dxa"/>
          </w:tcPr>
          <w:p w14:paraId="4DDA34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 же, что в пост. СТО № С-81сс</w:t>
            </w:r>
          </w:p>
        </w:tc>
      </w:tr>
      <w:tr w:rsidR="00E3599D" w:rsidRPr="00E14102" w14:paraId="51AB614D" w14:textId="77777777">
        <w:trPr>
          <w:cantSplit/>
        </w:trPr>
        <w:tc>
          <w:tcPr>
            <w:tcW w:w="2155" w:type="dxa"/>
          </w:tcPr>
          <w:p w14:paraId="0A1888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ТА-1 транспортная амфибия</w:t>
            </w:r>
          </w:p>
        </w:tc>
        <w:tc>
          <w:tcPr>
            <w:tcW w:w="930" w:type="dxa"/>
          </w:tcPr>
          <w:p w14:paraId="6A4755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4D9610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11016E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EECBE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5B4A26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45 (четвериков)</w:t>
            </w:r>
          </w:p>
        </w:tc>
        <w:tc>
          <w:tcPr>
            <w:tcW w:w="1134" w:type="dxa"/>
          </w:tcPr>
          <w:p w14:paraId="46A8C4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года</w:t>
            </w:r>
          </w:p>
        </w:tc>
        <w:tc>
          <w:tcPr>
            <w:tcW w:w="1701" w:type="dxa"/>
          </w:tcPr>
          <w:p w14:paraId="538934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июня 1936 года (№ С-81сс)</w:t>
            </w:r>
          </w:p>
        </w:tc>
      </w:tr>
      <w:tr w:rsidR="00E3599D" w:rsidRPr="00E14102" w14:paraId="18573794" w14:textId="77777777">
        <w:trPr>
          <w:cantSplit/>
        </w:trPr>
        <w:tc>
          <w:tcPr>
            <w:tcW w:w="2155" w:type="dxa"/>
          </w:tcPr>
          <w:p w14:paraId="36C0AE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АРК-3 (арктический вариант МДР-6) для ГУСМПа</w:t>
            </w:r>
          </w:p>
        </w:tc>
        <w:tc>
          <w:tcPr>
            <w:tcW w:w="930" w:type="dxa"/>
          </w:tcPr>
          <w:p w14:paraId="18F9E5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45DEE5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1328D5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2086EB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730FEF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45 (Четвериков)</w:t>
            </w:r>
          </w:p>
        </w:tc>
        <w:tc>
          <w:tcPr>
            <w:tcW w:w="1134" w:type="dxa"/>
          </w:tcPr>
          <w:p w14:paraId="455A99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февраля 1936 года</w:t>
            </w:r>
          </w:p>
        </w:tc>
        <w:tc>
          <w:tcPr>
            <w:tcW w:w="1701" w:type="dxa"/>
          </w:tcPr>
          <w:p w14:paraId="3FB185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января 1936 года (№ С-120сс)</w:t>
            </w:r>
          </w:p>
        </w:tc>
      </w:tr>
      <w:tr w:rsidR="00E3599D" w:rsidRPr="00E14102" w14:paraId="1F0EE8F0" w14:textId="77777777">
        <w:trPr>
          <w:cantSplit/>
        </w:trPr>
        <w:tc>
          <w:tcPr>
            <w:tcW w:w="2155" w:type="dxa"/>
          </w:tcPr>
          <w:p w14:paraId="64FBF1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АРК-3 (для ГУГВФ)</w:t>
            </w:r>
          </w:p>
        </w:tc>
        <w:tc>
          <w:tcPr>
            <w:tcW w:w="930" w:type="dxa"/>
          </w:tcPr>
          <w:p w14:paraId="307EA2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053433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3EB5D3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08408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44402D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45 (Четвериков)</w:t>
            </w:r>
          </w:p>
        </w:tc>
        <w:tc>
          <w:tcPr>
            <w:tcW w:w="1134" w:type="dxa"/>
          </w:tcPr>
          <w:p w14:paraId="6D1597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1936 года</w:t>
            </w:r>
          </w:p>
        </w:tc>
        <w:tc>
          <w:tcPr>
            <w:tcW w:w="1701" w:type="dxa"/>
          </w:tcPr>
          <w:p w14:paraId="7052443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FEDE079" w14:textId="77777777">
        <w:trPr>
          <w:cantSplit/>
        </w:trPr>
        <w:tc>
          <w:tcPr>
            <w:tcW w:w="2155" w:type="dxa"/>
          </w:tcPr>
          <w:p w14:paraId="1A0B10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Сталь-11 (воен. вар. СР)</w:t>
            </w:r>
          </w:p>
        </w:tc>
        <w:tc>
          <w:tcPr>
            <w:tcW w:w="930" w:type="dxa"/>
          </w:tcPr>
          <w:p w14:paraId="358A01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0A700A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07541A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407755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3D07FE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Завод № 81 </w:t>
            </w:r>
          </w:p>
        </w:tc>
        <w:tc>
          <w:tcPr>
            <w:tcW w:w="1134" w:type="dxa"/>
          </w:tcPr>
          <w:p w14:paraId="76CD18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1936 года</w:t>
            </w:r>
          </w:p>
        </w:tc>
        <w:tc>
          <w:tcPr>
            <w:tcW w:w="1701" w:type="dxa"/>
          </w:tcPr>
          <w:p w14:paraId="3536BC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января 1936 года (№ С-120сс)</w:t>
            </w:r>
          </w:p>
        </w:tc>
      </w:tr>
      <w:tr w:rsidR="00E3599D" w:rsidRPr="00E14102" w14:paraId="0A53A481" w14:textId="77777777">
        <w:trPr>
          <w:cantSplit/>
        </w:trPr>
        <w:tc>
          <w:tcPr>
            <w:tcW w:w="2155" w:type="dxa"/>
          </w:tcPr>
          <w:p w14:paraId="33C93F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ДКЛ-2МГ31 (местный краевой)</w:t>
            </w:r>
          </w:p>
        </w:tc>
        <w:tc>
          <w:tcPr>
            <w:tcW w:w="930" w:type="dxa"/>
          </w:tcPr>
          <w:p w14:paraId="4AA34305"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744EF2D3" w14:textId="77777777" w:rsidR="00D4105E" w:rsidRPr="00E14102" w:rsidRDefault="00D4105E" w:rsidP="00E14102">
            <w:pPr>
              <w:autoSpaceDE w:val="0"/>
              <w:autoSpaceDN w:val="0"/>
              <w:adjustRightInd w:val="0"/>
              <w:jc w:val="both"/>
              <w:rPr>
                <w:color w:val="000000" w:themeColor="text1"/>
                <w:sz w:val="16"/>
                <w:szCs w:val="16"/>
              </w:rPr>
            </w:pPr>
          </w:p>
        </w:tc>
        <w:tc>
          <w:tcPr>
            <w:tcW w:w="993" w:type="dxa"/>
          </w:tcPr>
          <w:p w14:paraId="13C68AF5"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42CD87AF" w14:textId="77777777" w:rsidR="00D4105E" w:rsidRPr="00E14102" w:rsidRDefault="00D4105E" w:rsidP="00E14102">
            <w:pPr>
              <w:autoSpaceDE w:val="0"/>
              <w:autoSpaceDN w:val="0"/>
              <w:adjustRightInd w:val="0"/>
              <w:jc w:val="both"/>
              <w:rPr>
                <w:color w:val="000000" w:themeColor="text1"/>
                <w:sz w:val="16"/>
                <w:szCs w:val="16"/>
              </w:rPr>
            </w:pPr>
          </w:p>
        </w:tc>
        <w:tc>
          <w:tcPr>
            <w:tcW w:w="1276" w:type="dxa"/>
          </w:tcPr>
          <w:p w14:paraId="61DB24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КАИ</w:t>
            </w:r>
          </w:p>
        </w:tc>
        <w:tc>
          <w:tcPr>
            <w:tcW w:w="1134" w:type="dxa"/>
          </w:tcPr>
          <w:p w14:paraId="2F192F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года</w:t>
            </w:r>
          </w:p>
        </w:tc>
        <w:tc>
          <w:tcPr>
            <w:tcW w:w="1701" w:type="dxa"/>
          </w:tcPr>
          <w:p w14:paraId="743E05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 С-81сс</w:t>
            </w:r>
          </w:p>
        </w:tc>
      </w:tr>
      <w:tr w:rsidR="00E3599D" w:rsidRPr="00E14102" w14:paraId="3EFCF06E" w14:textId="77777777">
        <w:trPr>
          <w:cantSplit/>
        </w:trPr>
        <w:tc>
          <w:tcPr>
            <w:tcW w:w="2155" w:type="dxa"/>
          </w:tcPr>
          <w:p w14:paraId="45DA9C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Сухопутные самолеты</w:t>
            </w:r>
          </w:p>
        </w:tc>
        <w:tc>
          <w:tcPr>
            <w:tcW w:w="930" w:type="dxa"/>
          </w:tcPr>
          <w:p w14:paraId="6EC3863D"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5E01D74E" w14:textId="77777777" w:rsidR="00D4105E" w:rsidRPr="00E14102" w:rsidRDefault="00D4105E" w:rsidP="00E14102">
            <w:pPr>
              <w:autoSpaceDE w:val="0"/>
              <w:autoSpaceDN w:val="0"/>
              <w:adjustRightInd w:val="0"/>
              <w:jc w:val="both"/>
              <w:rPr>
                <w:color w:val="000000" w:themeColor="text1"/>
                <w:sz w:val="16"/>
                <w:szCs w:val="16"/>
              </w:rPr>
            </w:pPr>
          </w:p>
        </w:tc>
        <w:tc>
          <w:tcPr>
            <w:tcW w:w="993" w:type="dxa"/>
          </w:tcPr>
          <w:p w14:paraId="07ADC300"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301E8D8D" w14:textId="77777777" w:rsidR="00D4105E" w:rsidRPr="00E14102" w:rsidRDefault="00D4105E" w:rsidP="00E14102">
            <w:pPr>
              <w:autoSpaceDE w:val="0"/>
              <w:autoSpaceDN w:val="0"/>
              <w:adjustRightInd w:val="0"/>
              <w:jc w:val="both"/>
              <w:rPr>
                <w:color w:val="000000" w:themeColor="text1"/>
                <w:sz w:val="16"/>
                <w:szCs w:val="16"/>
              </w:rPr>
            </w:pPr>
          </w:p>
        </w:tc>
        <w:tc>
          <w:tcPr>
            <w:tcW w:w="1276" w:type="dxa"/>
          </w:tcPr>
          <w:p w14:paraId="1F2916B1" w14:textId="77777777" w:rsidR="00D4105E" w:rsidRPr="00E14102" w:rsidRDefault="00D4105E" w:rsidP="00E14102">
            <w:pPr>
              <w:autoSpaceDE w:val="0"/>
              <w:autoSpaceDN w:val="0"/>
              <w:adjustRightInd w:val="0"/>
              <w:jc w:val="both"/>
              <w:rPr>
                <w:color w:val="000000" w:themeColor="text1"/>
                <w:sz w:val="16"/>
                <w:szCs w:val="16"/>
              </w:rPr>
            </w:pPr>
          </w:p>
        </w:tc>
        <w:tc>
          <w:tcPr>
            <w:tcW w:w="1134" w:type="dxa"/>
          </w:tcPr>
          <w:p w14:paraId="06584E2F"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04BC184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C08F1F9" w14:textId="77777777">
        <w:trPr>
          <w:cantSplit/>
        </w:trPr>
        <w:tc>
          <w:tcPr>
            <w:tcW w:w="2155" w:type="dxa"/>
          </w:tcPr>
          <w:p w14:paraId="08A077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И17-М100</w:t>
            </w:r>
          </w:p>
        </w:tc>
        <w:tc>
          <w:tcPr>
            <w:tcW w:w="930" w:type="dxa"/>
          </w:tcPr>
          <w:p w14:paraId="0F0674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2" w:type="dxa"/>
          </w:tcPr>
          <w:p w14:paraId="05AFE1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993" w:type="dxa"/>
          </w:tcPr>
          <w:p w14:paraId="476198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063221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276" w:type="dxa"/>
          </w:tcPr>
          <w:p w14:paraId="4C4526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134" w:type="dxa"/>
          </w:tcPr>
          <w:p w14:paraId="13D48A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года</w:t>
            </w:r>
          </w:p>
        </w:tc>
        <w:tc>
          <w:tcPr>
            <w:tcW w:w="1701" w:type="dxa"/>
          </w:tcPr>
          <w:p w14:paraId="5BE505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r>
      <w:tr w:rsidR="00E3599D" w:rsidRPr="00E14102" w14:paraId="69EABB30" w14:textId="77777777">
        <w:trPr>
          <w:cantSplit/>
        </w:trPr>
        <w:tc>
          <w:tcPr>
            <w:tcW w:w="2155" w:type="dxa"/>
          </w:tcPr>
          <w:p w14:paraId="7E37D4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И18-М100 ( с пушкой)</w:t>
            </w:r>
          </w:p>
        </w:tc>
        <w:tc>
          <w:tcPr>
            <w:tcW w:w="930" w:type="dxa"/>
          </w:tcPr>
          <w:p w14:paraId="3EE39D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2" w:type="dxa"/>
          </w:tcPr>
          <w:p w14:paraId="3D2C0E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520</w:t>
            </w:r>
          </w:p>
        </w:tc>
        <w:tc>
          <w:tcPr>
            <w:tcW w:w="993" w:type="dxa"/>
          </w:tcPr>
          <w:p w14:paraId="5E3963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5A9883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276" w:type="dxa"/>
          </w:tcPr>
          <w:p w14:paraId="27F2A5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134" w:type="dxa"/>
          </w:tcPr>
          <w:p w14:paraId="22CC88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1936 года</w:t>
            </w:r>
          </w:p>
        </w:tc>
        <w:tc>
          <w:tcPr>
            <w:tcW w:w="1701" w:type="dxa"/>
          </w:tcPr>
          <w:p w14:paraId="1B938A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является модификацией И17-М100</w:t>
            </w:r>
          </w:p>
          <w:p w14:paraId="064040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1935 года</w:t>
            </w:r>
          </w:p>
        </w:tc>
      </w:tr>
      <w:tr w:rsidR="00E3599D" w:rsidRPr="00E14102" w14:paraId="3519C870" w14:textId="77777777">
        <w:trPr>
          <w:cantSplit/>
        </w:trPr>
        <w:tc>
          <w:tcPr>
            <w:tcW w:w="2155" w:type="dxa"/>
          </w:tcPr>
          <w:p w14:paraId="6D1C0D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И19-М34 ФН</w:t>
            </w:r>
          </w:p>
        </w:tc>
        <w:tc>
          <w:tcPr>
            <w:tcW w:w="930" w:type="dxa"/>
          </w:tcPr>
          <w:p w14:paraId="6831A6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2" w:type="dxa"/>
          </w:tcPr>
          <w:p w14:paraId="53DBB6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650-600</w:t>
            </w:r>
          </w:p>
        </w:tc>
        <w:tc>
          <w:tcPr>
            <w:tcW w:w="993" w:type="dxa"/>
          </w:tcPr>
          <w:p w14:paraId="2EEA49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992" w:type="dxa"/>
          </w:tcPr>
          <w:p w14:paraId="6D1F08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276" w:type="dxa"/>
          </w:tcPr>
          <w:p w14:paraId="5A9349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134" w:type="dxa"/>
          </w:tcPr>
          <w:p w14:paraId="5F79FE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года</w:t>
            </w:r>
          </w:p>
        </w:tc>
        <w:tc>
          <w:tcPr>
            <w:tcW w:w="1701" w:type="dxa"/>
          </w:tcPr>
          <w:p w14:paraId="66325C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года</w:t>
            </w:r>
          </w:p>
        </w:tc>
      </w:tr>
      <w:tr w:rsidR="00E3599D" w:rsidRPr="00E14102" w14:paraId="2520F640" w14:textId="77777777">
        <w:trPr>
          <w:cantSplit/>
        </w:trPr>
        <w:tc>
          <w:tcPr>
            <w:tcW w:w="2155" w:type="dxa"/>
          </w:tcPr>
          <w:p w14:paraId="392B52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пушечный М-100 (ИП)</w:t>
            </w:r>
          </w:p>
        </w:tc>
        <w:tc>
          <w:tcPr>
            <w:tcW w:w="930" w:type="dxa"/>
          </w:tcPr>
          <w:p w14:paraId="4E1BC0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2" w:type="dxa"/>
          </w:tcPr>
          <w:p w14:paraId="19A579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500-550</w:t>
            </w:r>
          </w:p>
        </w:tc>
        <w:tc>
          <w:tcPr>
            <w:tcW w:w="993" w:type="dxa"/>
          </w:tcPr>
          <w:p w14:paraId="7C338F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992" w:type="dxa"/>
          </w:tcPr>
          <w:p w14:paraId="610788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276" w:type="dxa"/>
          </w:tcPr>
          <w:p w14:paraId="7910A0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c>
          <w:tcPr>
            <w:tcW w:w="1134" w:type="dxa"/>
          </w:tcPr>
          <w:p w14:paraId="0DE6D0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года</w:t>
            </w:r>
          </w:p>
        </w:tc>
        <w:tc>
          <w:tcPr>
            <w:tcW w:w="1701" w:type="dxa"/>
          </w:tcPr>
          <w:p w14:paraId="6AE847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Модификация ИП-3, находится на госиспытании</w:t>
            </w:r>
          </w:p>
          <w:p w14:paraId="6C1CBA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w:t>
            </w:r>
          </w:p>
        </w:tc>
      </w:tr>
      <w:tr w:rsidR="00E3599D" w:rsidRPr="00E14102" w14:paraId="1AF6B9FB" w14:textId="77777777">
        <w:trPr>
          <w:cantSplit/>
        </w:trPr>
        <w:tc>
          <w:tcPr>
            <w:tcW w:w="2155" w:type="dxa"/>
          </w:tcPr>
          <w:p w14:paraId="7C93AB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М34ФРН (специальный) И-21</w:t>
            </w:r>
          </w:p>
        </w:tc>
        <w:tc>
          <w:tcPr>
            <w:tcW w:w="930" w:type="dxa"/>
          </w:tcPr>
          <w:p w14:paraId="4818B5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2" w:type="dxa"/>
          </w:tcPr>
          <w:p w14:paraId="76E895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993" w:type="dxa"/>
          </w:tcPr>
          <w:p w14:paraId="53BE9D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992" w:type="dxa"/>
          </w:tcPr>
          <w:p w14:paraId="52ABA4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700/1000</w:t>
            </w:r>
          </w:p>
        </w:tc>
        <w:tc>
          <w:tcPr>
            <w:tcW w:w="1276" w:type="dxa"/>
          </w:tcPr>
          <w:p w14:paraId="1DCA7E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134" w:type="dxa"/>
          </w:tcPr>
          <w:p w14:paraId="7C5E29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года</w:t>
            </w:r>
          </w:p>
        </w:tc>
        <w:tc>
          <w:tcPr>
            <w:tcW w:w="1701" w:type="dxa"/>
          </w:tcPr>
          <w:p w14:paraId="43792E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600 км/час на высоте 3000 м. Машина С.В.И.</w:t>
            </w:r>
          </w:p>
        </w:tc>
      </w:tr>
      <w:tr w:rsidR="00E3599D" w:rsidRPr="00E14102" w14:paraId="01020DFC" w14:textId="77777777">
        <w:trPr>
          <w:cantSplit/>
        </w:trPr>
        <w:tc>
          <w:tcPr>
            <w:tcW w:w="2155" w:type="dxa"/>
          </w:tcPr>
          <w:p w14:paraId="064996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Многоместный истребитель 2М-85</w:t>
            </w:r>
          </w:p>
        </w:tc>
        <w:tc>
          <w:tcPr>
            <w:tcW w:w="930" w:type="dxa"/>
          </w:tcPr>
          <w:p w14:paraId="501A79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2" w:type="dxa"/>
          </w:tcPr>
          <w:p w14:paraId="22A981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375</w:t>
            </w:r>
          </w:p>
        </w:tc>
        <w:tc>
          <w:tcPr>
            <w:tcW w:w="993" w:type="dxa"/>
          </w:tcPr>
          <w:p w14:paraId="5BCDBD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EDD07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008716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34" w:type="dxa"/>
          </w:tcPr>
          <w:p w14:paraId="597AC8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года</w:t>
            </w:r>
          </w:p>
        </w:tc>
        <w:tc>
          <w:tcPr>
            <w:tcW w:w="1701" w:type="dxa"/>
          </w:tcPr>
          <w:p w14:paraId="5661CC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старом плане самолет имел марку ДИ-8. С готовностью к 1 августа 1935 году.</w:t>
            </w:r>
          </w:p>
        </w:tc>
      </w:tr>
      <w:tr w:rsidR="00E3599D" w:rsidRPr="00E14102" w14:paraId="0315C434" w14:textId="77777777">
        <w:trPr>
          <w:cantSplit/>
        </w:trPr>
        <w:tc>
          <w:tcPr>
            <w:tcW w:w="2155" w:type="dxa"/>
          </w:tcPr>
          <w:p w14:paraId="46DF2A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разведчик (Р9-М85)</w:t>
            </w:r>
          </w:p>
        </w:tc>
        <w:tc>
          <w:tcPr>
            <w:tcW w:w="930" w:type="dxa"/>
          </w:tcPr>
          <w:p w14:paraId="7A7331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6000</w:t>
            </w:r>
          </w:p>
        </w:tc>
        <w:tc>
          <w:tcPr>
            <w:tcW w:w="992" w:type="dxa"/>
          </w:tcPr>
          <w:p w14:paraId="3031F2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993" w:type="dxa"/>
          </w:tcPr>
          <w:p w14:paraId="074119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77B64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276" w:type="dxa"/>
          </w:tcPr>
          <w:p w14:paraId="03B9C4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134" w:type="dxa"/>
          </w:tcPr>
          <w:p w14:paraId="08A4E5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1936 года</w:t>
            </w:r>
          </w:p>
        </w:tc>
        <w:tc>
          <w:tcPr>
            <w:tcW w:w="1701" w:type="dxa"/>
          </w:tcPr>
          <w:p w14:paraId="390800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случае положительных результатов заводских испытаний модифицируется в двухместный истребитель заменой вооружения к. 1 сентября 1935 года.</w:t>
            </w:r>
          </w:p>
        </w:tc>
      </w:tr>
      <w:tr w:rsidR="00E3599D" w:rsidRPr="00E14102" w14:paraId="65CA28D7" w14:textId="77777777">
        <w:trPr>
          <w:cantSplit/>
        </w:trPr>
        <w:tc>
          <w:tcPr>
            <w:tcW w:w="2155" w:type="dxa"/>
          </w:tcPr>
          <w:p w14:paraId="7514AE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разведчик (ХАИ-7)</w:t>
            </w:r>
          </w:p>
        </w:tc>
        <w:tc>
          <w:tcPr>
            <w:tcW w:w="930" w:type="dxa"/>
          </w:tcPr>
          <w:p w14:paraId="358757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6000</w:t>
            </w:r>
          </w:p>
        </w:tc>
        <w:tc>
          <w:tcPr>
            <w:tcW w:w="992" w:type="dxa"/>
          </w:tcPr>
          <w:p w14:paraId="243F0E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993" w:type="dxa"/>
          </w:tcPr>
          <w:p w14:paraId="222716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508E72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276" w:type="dxa"/>
          </w:tcPr>
          <w:p w14:paraId="03D696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134" w:type="dxa"/>
          </w:tcPr>
          <w:p w14:paraId="5A6369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года</w:t>
            </w:r>
          </w:p>
        </w:tc>
        <w:tc>
          <w:tcPr>
            <w:tcW w:w="1701" w:type="dxa"/>
          </w:tcPr>
          <w:p w14:paraId="32E53D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переводе конструктора ХАИ Немана на завод № 135.</w:t>
            </w:r>
          </w:p>
          <w:p w14:paraId="1F8226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отношении модификации то же.</w:t>
            </w:r>
          </w:p>
          <w:p w14:paraId="5F088B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декабря 1935 года по ХАИ.</w:t>
            </w:r>
          </w:p>
        </w:tc>
      </w:tr>
      <w:tr w:rsidR="00E3599D" w:rsidRPr="00E14102" w14:paraId="03C2B7E8" w14:textId="77777777">
        <w:trPr>
          <w:cantSplit/>
        </w:trPr>
        <w:tc>
          <w:tcPr>
            <w:tcW w:w="2155" w:type="dxa"/>
          </w:tcPr>
          <w:p w14:paraId="178D9A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Дальний разведчик 2М100</w:t>
            </w:r>
          </w:p>
        </w:tc>
        <w:tc>
          <w:tcPr>
            <w:tcW w:w="930" w:type="dxa"/>
          </w:tcPr>
          <w:p w14:paraId="2E7749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2" w:type="dxa"/>
          </w:tcPr>
          <w:p w14:paraId="313EA2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405-430</w:t>
            </w:r>
          </w:p>
        </w:tc>
        <w:tc>
          <w:tcPr>
            <w:tcW w:w="993" w:type="dxa"/>
          </w:tcPr>
          <w:p w14:paraId="4AF3BF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04089C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 норм., с перегруз. 3000</w:t>
            </w:r>
          </w:p>
        </w:tc>
        <w:tc>
          <w:tcPr>
            <w:tcW w:w="1276" w:type="dxa"/>
          </w:tcPr>
          <w:p w14:paraId="596212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34" w:type="dxa"/>
          </w:tcPr>
          <w:p w14:paraId="2259F2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 года</w:t>
            </w:r>
          </w:p>
        </w:tc>
        <w:tc>
          <w:tcPr>
            <w:tcW w:w="1701" w:type="dxa"/>
          </w:tcPr>
          <w:p w14:paraId="6FBBEA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является модификацией СБ-2 М100 (пост. СТО № С-97сс).</w:t>
            </w:r>
          </w:p>
          <w:p w14:paraId="171CA566" w14:textId="77777777" w:rsidR="00D4105E" w:rsidRPr="00E14102" w:rsidRDefault="00D4105E" w:rsidP="00E14102">
            <w:pPr>
              <w:autoSpaceDE w:val="0"/>
              <w:autoSpaceDN w:val="0"/>
              <w:adjustRightInd w:val="0"/>
              <w:jc w:val="both"/>
              <w:rPr>
                <w:color w:val="000000" w:themeColor="text1"/>
                <w:sz w:val="16"/>
                <w:szCs w:val="16"/>
              </w:rPr>
            </w:pPr>
          </w:p>
          <w:p w14:paraId="4101F9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 года.</w:t>
            </w:r>
          </w:p>
        </w:tc>
      </w:tr>
      <w:tr w:rsidR="00E3599D" w:rsidRPr="00E14102" w14:paraId="7EF00C93" w14:textId="77777777">
        <w:trPr>
          <w:cantSplit/>
        </w:trPr>
        <w:tc>
          <w:tcPr>
            <w:tcW w:w="2155" w:type="dxa"/>
          </w:tcPr>
          <w:p w14:paraId="6015FB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Бомбардировщик дальнего действия (ТБ7-4М34) с центральным наддувом)</w:t>
            </w:r>
          </w:p>
        </w:tc>
        <w:tc>
          <w:tcPr>
            <w:tcW w:w="930" w:type="dxa"/>
          </w:tcPr>
          <w:p w14:paraId="4661FE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8-9000</w:t>
            </w:r>
          </w:p>
        </w:tc>
        <w:tc>
          <w:tcPr>
            <w:tcW w:w="992" w:type="dxa"/>
          </w:tcPr>
          <w:p w14:paraId="387C30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993" w:type="dxa"/>
          </w:tcPr>
          <w:p w14:paraId="0F5581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5E4ED2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 норм., с перегруз. 4000</w:t>
            </w:r>
          </w:p>
        </w:tc>
        <w:tc>
          <w:tcPr>
            <w:tcW w:w="1276" w:type="dxa"/>
          </w:tcPr>
          <w:p w14:paraId="10F301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34" w:type="dxa"/>
          </w:tcPr>
          <w:p w14:paraId="558FEF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года*</w:t>
            </w:r>
          </w:p>
        </w:tc>
        <w:tc>
          <w:tcPr>
            <w:tcW w:w="1701" w:type="dxa"/>
          </w:tcPr>
          <w:p w14:paraId="0DE0AA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совместных испытаний (СТО № К-194с срок 1 декабря 1936)</w:t>
            </w:r>
          </w:p>
        </w:tc>
      </w:tr>
      <w:tr w:rsidR="00E3599D" w:rsidRPr="00E14102" w14:paraId="78AC2F9F" w14:textId="77777777">
        <w:trPr>
          <w:cantSplit/>
        </w:trPr>
        <w:tc>
          <w:tcPr>
            <w:tcW w:w="2155" w:type="dxa"/>
          </w:tcPr>
          <w:p w14:paraId="5A1F4D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Бомбардировщик дальнего действия с М34 со специальным наддувом</w:t>
            </w:r>
          </w:p>
        </w:tc>
        <w:tc>
          <w:tcPr>
            <w:tcW w:w="930" w:type="dxa"/>
          </w:tcPr>
          <w:p w14:paraId="7DED09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8-9000</w:t>
            </w:r>
          </w:p>
        </w:tc>
        <w:tc>
          <w:tcPr>
            <w:tcW w:w="992" w:type="dxa"/>
          </w:tcPr>
          <w:p w14:paraId="09842A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993" w:type="dxa"/>
          </w:tcPr>
          <w:p w14:paraId="2E6BD9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A958F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 норм., с перегруз. 4000</w:t>
            </w:r>
          </w:p>
        </w:tc>
        <w:tc>
          <w:tcPr>
            <w:tcW w:w="1276" w:type="dxa"/>
          </w:tcPr>
          <w:p w14:paraId="56A0B9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tc>
        <w:tc>
          <w:tcPr>
            <w:tcW w:w="1134" w:type="dxa"/>
          </w:tcPr>
          <w:p w14:paraId="6F07E5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1937 года</w:t>
            </w:r>
          </w:p>
        </w:tc>
        <w:tc>
          <w:tcPr>
            <w:tcW w:w="1701" w:type="dxa"/>
          </w:tcPr>
          <w:p w14:paraId="1CF478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является дальнейшим развитием самолета ДБ-4М34 РН завода № 22.</w:t>
            </w:r>
          </w:p>
          <w:p w14:paraId="69BC52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декабря 1936 года (С-39сс).</w:t>
            </w:r>
          </w:p>
        </w:tc>
      </w:tr>
      <w:tr w:rsidR="00E3599D" w:rsidRPr="00E14102" w14:paraId="1EBABF22" w14:textId="77777777">
        <w:trPr>
          <w:cantSplit/>
        </w:trPr>
        <w:tc>
          <w:tcPr>
            <w:tcW w:w="2155" w:type="dxa"/>
          </w:tcPr>
          <w:p w14:paraId="00ABE6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Бомбардировщик дальнего действия с 2-мя моторами М-85</w:t>
            </w:r>
          </w:p>
        </w:tc>
        <w:tc>
          <w:tcPr>
            <w:tcW w:w="930" w:type="dxa"/>
          </w:tcPr>
          <w:p w14:paraId="5DC2A3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0F104B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7F3C8B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50BBAD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4AE9C6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34" w:type="dxa"/>
          </w:tcPr>
          <w:p w14:paraId="0573D7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1936 года*</w:t>
            </w:r>
          </w:p>
        </w:tc>
        <w:tc>
          <w:tcPr>
            <w:tcW w:w="1701" w:type="dxa"/>
          </w:tcPr>
          <w:p w14:paraId="482CE0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заводских испытаний.</w:t>
            </w:r>
          </w:p>
          <w:p w14:paraId="7CA69B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июня 1935 года, измен. СТО № С-98сс на 1 марта 1936 года.</w:t>
            </w:r>
          </w:p>
        </w:tc>
      </w:tr>
      <w:tr w:rsidR="00E3599D" w:rsidRPr="00E14102" w14:paraId="1D2F7FFA" w14:textId="77777777">
        <w:trPr>
          <w:cantSplit/>
        </w:trPr>
        <w:tc>
          <w:tcPr>
            <w:tcW w:w="2155" w:type="dxa"/>
          </w:tcPr>
          <w:p w14:paraId="7D4331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Бомбардировщик дальнего действия (скоростной) 2М85 (СБ)</w:t>
            </w:r>
          </w:p>
        </w:tc>
        <w:tc>
          <w:tcPr>
            <w:tcW w:w="930" w:type="dxa"/>
          </w:tcPr>
          <w:p w14:paraId="15DB47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2" w:type="dxa"/>
          </w:tcPr>
          <w:p w14:paraId="185361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993" w:type="dxa"/>
          </w:tcPr>
          <w:p w14:paraId="51C10D98"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763350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 норм., с перегруз. 4000</w:t>
            </w:r>
          </w:p>
        </w:tc>
        <w:tc>
          <w:tcPr>
            <w:tcW w:w="1276" w:type="dxa"/>
          </w:tcPr>
          <w:p w14:paraId="299D13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134" w:type="dxa"/>
          </w:tcPr>
          <w:p w14:paraId="0A128F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года</w:t>
            </w:r>
          </w:p>
        </w:tc>
        <w:tc>
          <w:tcPr>
            <w:tcW w:w="1701" w:type="dxa"/>
          </w:tcPr>
          <w:p w14:paraId="0525FB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экземпляр с пониженной дальностью выпускается 1 апреля 1936 года. Машина С.В.И.</w:t>
            </w:r>
          </w:p>
        </w:tc>
      </w:tr>
      <w:tr w:rsidR="00E3599D" w:rsidRPr="00E14102" w14:paraId="60CECFBC" w14:textId="77777777">
        <w:trPr>
          <w:cantSplit/>
        </w:trPr>
        <w:tc>
          <w:tcPr>
            <w:tcW w:w="2155" w:type="dxa"/>
          </w:tcPr>
          <w:p w14:paraId="424D5F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Пикирующий бомбардировщик</w:t>
            </w:r>
          </w:p>
        </w:tc>
        <w:tc>
          <w:tcPr>
            <w:tcW w:w="930" w:type="dxa"/>
          </w:tcPr>
          <w:p w14:paraId="2D446F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2" w:type="dxa"/>
          </w:tcPr>
          <w:p w14:paraId="357B61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993" w:type="dxa"/>
          </w:tcPr>
          <w:p w14:paraId="595D5E24"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6DF160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 км норм., с перегруз. 1000 км</w:t>
            </w:r>
          </w:p>
        </w:tc>
        <w:tc>
          <w:tcPr>
            <w:tcW w:w="1276" w:type="dxa"/>
          </w:tcPr>
          <w:p w14:paraId="600445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c>
          <w:tcPr>
            <w:tcW w:w="1134" w:type="dxa"/>
          </w:tcPr>
          <w:p w14:paraId="1EDF39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 года</w:t>
            </w:r>
          </w:p>
        </w:tc>
        <w:tc>
          <w:tcPr>
            <w:tcW w:w="1701" w:type="dxa"/>
          </w:tcPr>
          <w:p w14:paraId="74A7EF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положительных результатах заводских испытаний модифицируется в скоростного разведчика и легкого бомбардировщ. путем замены вооружения и оборудования.</w:t>
            </w:r>
          </w:p>
          <w:p w14:paraId="6993A9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1936 года (СТО № С-39сс).</w:t>
            </w:r>
          </w:p>
        </w:tc>
      </w:tr>
      <w:tr w:rsidR="00E3599D" w:rsidRPr="00E14102" w14:paraId="51A35BB4" w14:textId="77777777">
        <w:trPr>
          <w:cantSplit/>
        </w:trPr>
        <w:tc>
          <w:tcPr>
            <w:tcW w:w="2155" w:type="dxa"/>
          </w:tcPr>
          <w:p w14:paraId="790440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Войсковой самолет (2-х местный)</w:t>
            </w:r>
          </w:p>
        </w:tc>
        <w:tc>
          <w:tcPr>
            <w:tcW w:w="930" w:type="dxa"/>
          </w:tcPr>
          <w:p w14:paraId="333318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3-5000</w:t>
            </w:r>
          </w:p>
        </w:tc>
        <w:tc>
          <w:tcPr>
            <w:tcW w:w="992" w:type="dxa"/>
          </w:tcPr>
          <w:p w14:paraId="4A3907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350-400</w:t>
            </w:r>
          </w:p>
        </w:tc>
        <w:tc>
          <w:tcPr>
            <w:tcW w:w="993" w:type="dxa"/>
          </w:tcPr>
          <w:p w14:paraId="08DD35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80-90</w:t>
            </w:r>
          </w:p>
        </w:tc>
        <w:tc>
          <w:tcPr>
            <w:tcW w:w="992" w:type="dxa"/>
          </w:tcPr>
          <w:p w14:paraId="295F6B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276" w:type="dxa"/>
          </w:tcPr>
          <w:p w14:paraId="4CA944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134" w:type="dxa"/>
          </w:tcPr>
          <w:p w14:paraId="14A8B3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года</w:t>
            </w:r>
          </w:p>
        </w:tc>
        <w:tc>
          <w:tcPr>
            <w:tcW w:w="1701" w:type="dxa"/>
          </w:tcPr>
          <w:p w14:paraId="270026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Конструируется бригадой Кочерыгина.</w:t>
            </w:r>
          </w:p>
          <w:p w14:paraId="4BCEA5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 (СТО № С-39сс).</w:t>
            </w:r>
          </w:p>
        </w:tc>
      </w:tr>
      <w:tr w:rsidR="00E3599D" w:rsidRPr="00E14102" w14:paraId="7F91845C" w14:textId="77777777">
        <w:trPr>
          <w:cantSplit/>
        </w:trPr>
        <w:tc>
          <w:tcPr>
            <w:tcW w:w="2155" w:type="dxa"/>
          </w:tcPr>
          <w:p w14:paraId="0301F6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Артиллерийский корректировщик</w:t>
            </w:r>
          </w:p>
        </w:tc>
        <w:tc>
          <w:tcPr>
            <w:tcW w:w="930" w:type="dxa"/>
          </w:tcPr>
          <w:p w14:paraId="7D5E9F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322A3E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19AB0C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521B0A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726FCC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c>
          <w:tcPr>
            <w:tcW w:w="1134" w:type="dxa"/>
          </w:tcPr>
          <w:p w14:paraId="460968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года</w:t>
            </w:r>
          </w:p>
        </w:tc>
        <w:tc>
          <w:tcPr>
            <w:tcW w:w="1701" w:type="dxa"/>
          </w:tcPr>
          <w:p w14:paraId="71F1F2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должен быть трехместный.</w:t>
            </w:r>
          </w:p>
          <w:p w14:paraId="69F538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мая 1936 года (СТО № С-129сс).</w:t>
            </w:r>
          </w:p>
        </w:tc>
      </w:tr>
      <w:tr w:rsidR="00E3599D" w:rsidRPr="00E14102" w14:paraId="0340E318" w14:textId="77777777">
        <w:trPr>
          <w:cantSplit/>
        </w:trPr>
        <w:tc>
          <w:tcPr>
            <w:tcW w:w="2155" w:type="dxa"/>
          </w:tcPr>
          <w:p w14:paraId="0C8FC6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Торпедоносец (средний бомбардировщик)</w:t>
            </w:r>
          </w:p>
        </w:tc>
        <w:tc>
          <w:tcPr>
            <w:tcW w:w="930" w:type="dxa"/>
          </w:tcPr>
          <w:p w14:paraId="02CC05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7EA2F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1E384C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0D9B0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6A464E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34" w:type="dxa"/>
          </w:tcPr>
          <w:p w14:paraId="264462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года</w:t>
            </w:r>
          </w:p>
        </w:tc>
        <w:tc>
          <w:tcPr>
            <w:tcW w:w="1701" w:type="dxa"/>
          </w:tcPr>
          <w:p w14:paraId="287A9F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января 1936 года (СТО № С-39сс).</w:t>
            </w:r>
          </w:p>
        </w:tc>
      </w:tr>
      <w:tr w:rsidR="00E3599D" w:rsidRPr="00E14102" w14:paraId="79B42AD7" w14:textId="77777777">
        <w:trPr>
          <w:cantSplit/>
        </w:trPr>
        <w:tc>
          <w:tcPr>
            <w:tcW w:w="2155" w:type="dxa"/>
          </w:tcPr>
          <w:p w14:paraId="6B54D2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УИ-МГ21 или МГ31 учебно-тренировочный истребитель</w:t>
            </w:r>
          </w:p>
        </w:tc>
        <w:tc>
          <w:tcPr>
            <w:tcW w:w="930" w:type="dxa"/>
          </w:tcPr>
          <w:p w14:paraId="301E6C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1A2E9B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0918CD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178E3B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469124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23</w:t>
            </w:r>
          </w:p>
        </w:tc>
        <w:tc>
          <w:tcPr>
            <w:tcW w:w="1134" w:type="dxa"/>
          </w:tcPr>
          <w:p w14:paraId="492CDE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701" w:type="dxa"/>
          </w:tcPr>
          <w:p w14:paraId="595054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госиспытания определить в зависимости от получения моторов</w:t>
            </w:r>
          </w:p>
        </w:tc>
      </w:tr>
      <w:tr w:rsidR="00E3599D" w:rsidRPr="00E14102" w14:paraId="2466E71E" w14:textId="77777777">
        <w:trPr>
          <w:cantSplit/>
        </w:trPr>
        <w:tc>
          <w:tcPr>
            <w:tcW w:w="2155" w:type="dxa"/>
          </w:tcPr>
          <w:p w14:paraId="0FDC70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УАИ-МГ21 или МГ31 учебно-тренировочный истребитель</w:t>
            </w:r>
          </w:p>
        </w:tc>
        <w:tc>
          <w:tcPr>
            <w:tcW w:w="930" w:type="dxa"/>
          </w:tcPr>
          <w:p w14:paraId="16E5AA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03D1F3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287001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BF969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5A5037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КАИ</w:t>
            </w:r>
          </w:p>
        </w:tc>
        <w:tc>
          <w:tcPr>
            <w:tcW w:w="1134" w:type="dxa"/>
          </w:tcPr>
          <w:p w14:paraId="5270DC8A"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4EC987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госиспытания определить в зависимости от получения моторов</w:t>
            </w:r>
          </w:p>
        </w:tc>
      </w:tr>
      <w:tr w:rsidR="00E3599D" w:rsidRPr="00E14102" w14:paraId="06F76767" w14:textId="77777777">
        <w:trPr>
          <w:cantSplit/>
        </w:trPr>
        <w:tc>
          <w:tcPr>
            <w:tcW w:w="2155" w:type="dxa"/>
          </w:tcPr>
          <w:p w14:paraId="1ABD39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Экспериментальные самолеты и аппараты</w:t>
            </w:r>
          </w:p>
        </w:tc>
        <w:tc>
          <w:tcPr>
            <w:tcW w:w="930" w:type="dxa"/>
          </w:tcPr>
          <w:p w14:paraId="68586CCA"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23526E08" w14:textId="77777777" w:rsidR="00D4105E" w:rsidRPr="00E14102" w:rsidRDefault="00D4105E" w:rsidP="00E14102">
            <w:pPr>
              <w:autoSpaceDE w:val="0"/>
              <w:autoSpaceDN w:val="0"/>
              <w:adjustRightInd w:val="0"/>
              <w:jc w:val="both"/>
              <w:rPr>
                <w:color w:val="000000" w:themeColor="text1"/>
                <w:sz w:val="16"/>
                <w:szCs w:val="16"/>
              </w:rPr>
            </w:pPr>
          </w:p>
        </w:tc>
        <w:tc>
          <w:tcPr>
            <w:tcW w:w="993" w:type="dxa"/>
          </w:tcPr>
          <w:p w14:paraId="2C53EAEB"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2A681430" w14:textId="77777777" w:rsidR="00D4105E" w:rsidRPr="00E14102" w:rsidRDefault="00D4105E" w:rsidP="00E14102">
            <w:pPr>
              <w:autoSpaceDE w:val="0"/>
              <w:autoSpaceDN w:val="0"/>
              <w:adjustRightInd w:val="0"/>
              <w:jc w:val="both"/>
              <w:rPr>
                <w:color w:val="000000" w:themeColor="text1"/>
                <w:sz w:val="16"/>
                <w:szCs w:val="16"/>
              </w:rPr>
            </w:pPr>
          </w:p>
        </w:tc>
        <w:tc>
          <w:tcPr>
            <w:tcW w:w="1276" w:type="dxa"/>
          </w:tcPr>
          <w:p w14:paraId="75DB2E9B" w14:textId="77777777" w:rsidR="00D4105E" w:rsidRPr="00E14102" w:rsidRDefault="00D4105E" w:rsidP="00E14102">
            <w:pPr>
              <w:autoSpaceDE w:val="0"/>
              <w:autoSpaceDN w:val="0"/>
              <w:adjustRightInd w:val="0"/>
              <w:jc w:val="both"/>
              <w:rPr>
                <w:color w:val="000000" w:themeColor="text1"/>
                <w:sz w:val="16"/>
                <w:szCs w:val="16"/>
              </w:rPr>
            </w:pPr>
          </w:p>
        </w:tc>
        <w:tc>
          <w:tcPr>
            <w:tcW w:w="1134" w:type="dxa"/>
          </w:tcPr>
          <w:p w14:paraId="7497E0D9"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0199DE7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D6DF421" w14:textId="77777777">
        <w:trPr>
          <w:cantSplit/>
        </w:trPr>
        <w:tc>
          <w:tcPr>
            <w:tcW w:w="2155" w:type="dxa"/>
          </w:tcPr>
          <w:p w14:paraId="5C467F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Войсковой самолет – летающее крыло с 2М22</w:t>
            </w:r>
          </w:p>
        </w:tc>
        <w:tc>
          <w:tcPr>
            <w:tcW w:w="930" w:type="dxa"/>
          </w:tcPr>
          <w:p w14:paraId="1793A0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157A6D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14D960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24837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578658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18</w:t>
            </w:r>
          </w:p>
        </w:tc>
        <w:tc>
          <w:tcPr>
            <w:tcW w:w="1134" w:type="dxa"/>
          </w:tcPr>
          <w:p w14:paraId="57F69F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1936 года</w:t>
            </w:r>
          </w:p>
        </w:tc>
        <w:tc>
          <w:tcPr>
            <w:tcW w:w="1701" w:type="dxa"/>
          </w:tcPr>
          <w:p w14:paraId="2B5957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октября 1935 года</w:t>
            </w:r>
          </w:p>
        </w:tc>
      </w:tr>
      <w:tr w:rsidR="00E3599D" w:rsidRPr="00E14102" w14:paraId="6CCFBC19" w14:textId="77777777">
        <w:trPr>
          <w:cantSplit/>
        </w:trPr>
        <w:tc>
          <w:tcPr>
            <w:tcW w:w="2155" w:type="dxa"/>
          </w:tcPr>
          <w:p w14:paraId="1E3B5E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Пушечный истребитель М100 (новые материалы, паровое охлаждение)</w:t>
            </w:r>
          </w:p>
        </w:tc>
        <w:tc>
          <w:tcPr>
            <w:tcW w:w="930" w:type="dxa"/>
          </w:tcPr>
          <w:p w14:paraId="66A027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29247D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77FB0B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4F4E1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718747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СНИИ ГВФ</w:t>
            </w:r>
          </w:p>
        </w:tc>
        <w:tc>
          <w:tcPr>
            <w:tcW w:w="1134" w:type="dxa"/>
          </w:tcPr>
          <w:p w14:paraId="6DC40F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701" w:type="dxa"/>
          </w:tcPr>
          <w:p w14:paraId="159E16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ноября 1935 года под маркой И21.</w:t>
            </w:r>
          </w:p>
        </w:tc>
      </w:tr>
      <w:tr w:rsidR="00E3599D" w:rsidRPr="00E14102" w14:paraId="44B39458" w14:textId="77777777">
        <w:trPr>
          <w:cantSplit/>
        </w:trPr>
        <w:tc>
          <w:tcPr>
            <w:tcW w:w="2155" w:type="dxa"/>
          </w:tcPr>
          <w:p w14:paraId="786FFD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скоростной автожир</w:t>
            </w:r>
          </w:p>
        </w:tc>
        <w:tc>
          <w:tcPr>
            <w:tcW w:w="930" w:type="dxa"/>
          </w:tcPr>
          <w:p w14:paraId="7B4E79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0CA2E0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5F91F9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E1ACD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655307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34" w:type="dxa"/>
          </w:tcPr>
          <w:p w14:paraId="3D4442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года</w:t>
            </w:r>
          </w:p>
        </w:tc>
        <w:tc>
          <w:tcPr>
            <w:tcW w:w="1701" w:type="dxa"/>
          </w:tcPr>
          <w:p w14:paraId="7EBD71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декабря 1935 года.</w:t>
            </w:r>
          </w:p>
        </w:tc>
      </w:tr>
      <w:tr w:rsidR="00E3599D" w:rsidRPr="00E14102" w14:paraId="7C0F6A56" w14:textId="77777777">
        <w:trPr>
          <w:cantSplit/>
        </w:trPr>
        <w:tc>
          <w:tcPr>
            <w:tcW w:w="2155" w:type="dxa"/>
          </w:tcPr>
          <w:p w14:paraId="384EC2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Геликоптер</w:t>
            </w:r>
          </w:p>
        </w:tc>
        <w:tc>
          <w:tcPr>
            <w:tcW w:w="930" w:type="dxa"/>
          </w:tcPr>
          <w:p w14:paraId="408563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584818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60CE59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758BD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526EC7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34" w:type="dxa"/>
          </w:tcPr>
          <w:p w14:paraId="7EF639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года</w:t>
            </w:r>
          </w:p>
        </w:tc>
        <w:tc>
          <w:tcPr>
            <w:tcW w:w="1701" w:type="dxa"/>
          </w:tcPr>
          <w:p w14:paraId="471B44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августа 1935 года</w:t>
            </w:r>
          </w:p>
        </w:tc>
      </w:tr>
      <w:tr w:rsidR="00E3599D" w:rsidRPr="00E14102" w14:paraId="04FA6F03" w14:textId="77777777">
        <w:trPr>
          <w:cantSplit/>
        </w:trPr>
        <w:tc>
          <w:tcPr>
            <w:tcW w:w="2155" w:type="dxa"/>
          </w:tcPr>
          <w:p w14:paraId="766F52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Морские самолеты.</w:t>
            </w:r>
          </w:p>
        </w:tc>
        <w:tc>
          <w:tcPr>
            <w:tcW w:w="930" w:type="dxa"/>
          </w:tcPr>
          <w:p w14:paraId="27BC58F5"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7FAD76DB" w14:textId="77777777" w:rsidR="00D4105E" w:rsidRPr="00E14102" w:rsidRDefault="00D4105E" w:rsidP="00E14102">
            <w:pPr>
              <w:autoSpaceDE w:val="0"/>
              <w:autoSpaceDN w:val="0"/>
              <w:adjustRightInd w:val="0"/>
              <w:jc w:val="both"/>
              <w:rPr>
                <w:color w:val="000000" w:themeColor="text1"/>
                <w:sz w:val="16"/>
                <w:szCs w:val="16"/>
              </w:rPr>
            </w:pPr>
          </w:p>
        </w:tc>
        <w:tc>
          <w:tcPr>
            <w:tcW w:w="993" w:type="dxa"/>
          </w:tcPr>
          <w:p w14:paraId="3CB5B72E"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224130DC" w14:textId="77777777" w:rsidR="00D4105E" w:rsidRPr="00E14102" w:rsidRDefault="00D4105E" w:rsidP="00E14102">
            <w:pPr>
              <w:autoSpaceDE w:val="0"/>
              <w:autoSpaceDN w:val="0"/>
              <w:adjustRightInd w:val="0"/>
              <w:jc w:val="both"/>
              <w:rPr>
                <w:color w:val="000000" w:themeColor="text1"/>
                <w:sz w:val="16"/>
                <w:szCs w:val="16"/>
              </w:rPr>
            </w:pPr>
          </w:p>
        </w:tc>
        <w:tc>
          <w:tcPr>
            <w:tcW w:w="1276" w:type="dxa"/>
          </w:tcPr>
          <w:p w14:paraId="39FC36E6" w14:textId="77777777" w:rsidR="00D4105E" w:rsidRPr="00E14102" w:rsidRDefault="00D4105E" w:rsidP="00E14102">
            <w:pPr>
              <w:autoSpaceDE w:val="0"/>
              <w:autoSpaceDN w:val="0"/>
              <w:adjustRightInd w:val="0"/>
              <w:jc w:val="both"/>
              <w:rPr>
                <w:color w:val="000000" w:themeColor="text1"/>
                <w:sz w:val="16"/>
                <w:szCs w:val="16"/>
              </w:rPr>
            </w:pPr>
          </w:p>
        </w:tc>
        <w:tc>
          <w:tcPr>
            <w:tcW w:w="1134" w:type="dxa"/>
          </w:tcPr>
          <w:p w14:paraId="1BD2DA44" w14:textId="77777777" w:rsidR="00D4105E" w:rsidRPr="00E14102" w:rsidRDefault="00D4105E" w:rsidP="00E14102">
            <w:pPr>
              <w:autoSpaceDE w:val="0"/>
              <w:autoSpaceDN w:val="0"/>
              <w:adjustRightInd w:val="0"/>
              <w:jc w:val="both"/>
              <w:rPr>
                <w:color w:val="000000" w:themeColor="text1"/>
                <w:sz w:val="16"/>
                <w:szCs w:val="16"/>
              </w:rPr>
            </w:pPr>
          </w:p>
        </w:tc>
        <w:tc>
          <w:tcPr>
            <w:tcW w:w="1701" w:type="dxa"/>
          </w:tcPr>
          <w:p w14:paraId="030C2BD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1EDABBA" w14:textId="77777777">
        <w:trPr>
          <w:cantSplit/>
        </w:trPr>
        <w:tc>
          <w:tcPr>
            <w:tcW w:w="2155" w:type="dxa"/>
          </w:tcPr>
          <w:p w14:paraId="168177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на поплавках</w:t>
            </w:r>
          </w:p>
        </w:tc>
        <w:tc>
          <w:tcPr>
            <w:tcW w:w="930" w:type="dxa"/>
          </w:tcPr>
          <w:p w14:paraId="7FCE3C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25E42A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3D3458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1C3E60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201352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34" w:type="dxa"/>
          </w:tcPr>
          <w:p w14:paraId="2048A9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 года</w:t>
            </w:r>
          </w:p>
        </w:tc>
        <w:tc>
          <w:tcPr>
            <w:tcW w:w="1701" w:type="dxa"/>
          </w:tcPr>
          <w:p w14:paraId="1EA959F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EA305FF" w14:textId="77777777">
        <w:trPr>
          <w:cantSplit/>
        </w:trPr>
        <w:tc>
          <w:tcPr>
            <w:tcW w:w="2155" w:type="dxa"/>
          </w:tcPr>
          <w:p w14:paraId="75E1EB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МБР-5 РЦ морской ближний разведчик</w:t>
            </w:r>
          </w:p>
        </w:tc>
        <w:tc>
          <w:tcPr>
            <w:tcW w:w="930" w:type="dxa"/>
          </w:tcPr>
          <w:p w14:paraId="7717E4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AADE0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2B8971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52CF4D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75DE5C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c>
          <w:tcPr>
            <w:tcW w:w="1134" w:type="dxa"/>
          </w:tcPr>
          <w:p w14:paraId="6E91A0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декабря 1935 года</w:t>
            </w:r>
          </w:p>
        </w:tc>
        <w:tc>
          <w:tcPr>
            <w:tcW w:w="1701" w:type="dxa"/>
          </w:tcPr>
          <w:p w14:paraId="63D99E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августа 1935 года (на заводские испытания).</w:t>
            </w:r>
          </w:p>
        </w:tc>
      </w:tr>
      <w:tr w:rsidR="00E3599D" w:rsidRPr="00E14102" w14:paraId="44B77F63" w14:textId="77777777">
        <w:trPr>
          <w:cantSplit/>
        </w:trPr>
        <w:tc>
          <w:tcPr>
            <w:tcW w:w="2155" w:type="dxa"/>
          </w:tcPr>
          <w:p w14:paraId="3F29CB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МДР-5 2К14 морской дальний разведчик</w:t>
            </w:r>
          </w:p>
        </w:tc>
        <w:tc>
          <w:tcPr>
            <w:tcW w:w="930" w:type="dxa"/>
          </w:tcPr>
          <w:p w14:paraId="41719C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3E9C75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135C27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5166FA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6" w:type="dxa"/>
          </w:tcPr>
          <w:p w14:paraId="7698B7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c>
          <w:tcPr>
            <w:tcW w:w="1134" w:type="dxa"/>
          </w:tcPr>
          <w:p w14:paraId="5BBF3F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года</w:t>
            </w:r>
          </w:p>
        </w:tc>
        <w:tc>
          <w:tcPr>
            <w:tcW w:w="1701" w:type="dxa"/>
          </w:tcPr>
          <w:p w14:paraId="530367F2" w14:textId="77777777" w:rsidR="00D4105E" w:rsidRPr="00E14102" w:rsidRDefault="00D4105E" w:rsidP="00E14102">
            <w:pPr>
              <w:autoSpaceDE w:val="0"/>
              <w:autoSpaceDN w:val="0"/>
              <w:adjustRightInd w:val="0"/>
              <w:jc w:val="both"/>
              <w:rPr>
                <w:color w:val="000000" w:themeColor="text1"/>
                <w:sz w:val="16"/>
                <w:szCs w:val="16"/>
              </w:rPr>
            </w:pPr>
          </w:p>
        </w:tc>
      </w:tr>
    </w:tbl>
    <w:p w14:paraId="4E9ED5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(3475,77-79).</w:t>
      </w:r>
    </w:p>
    <w:p w14:paraId="3E82B514" w14:textId="77777777" w:rsidR="00D4105E" w:rsidRPr="00E14102" w:rsidRDefault="00D4105E" w:rsidP="00E14102">
      <w:pPr>
        <w:autoSpaceDE w:val="0"/>
        <w:autoSpaceDN w:val="0"/>
        <w:adjustRightInd w:val="0"/>
        <w:jc w:val="both"/>
        <w:rPr>
          <w:color w:val="000000" w:themeColor="text1"/>
          <w:sz w:val="16"/>
          <w:szCs w:val="16"/>
        </w:rPr>
      </w:pPr>
    </w:p>
    <w:p w14:paraId="376986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постройки рекордный самолетов и моторов на 1936-38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552"/>
      </w:tblGrid>
      <w:tr w:rsidR="00E3599D" w:rsidRPr="00E14102" w14:paraId="05976914" w14:textId="77777777">
        <w:trPr>
          <w:cantSplit/>
        </w:trPr>
        <w:tc>
          <w:tcPr>
            <w:tcW w:w="2518" w:type="dxa"/>
          </w:tcPr>
          <w:p w14:paraId="664772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самолета и мотора</w:t>
            </w:r>
          </w:p>
        </w:tc>
        <w:tc>
          <w:tcPr>
            <w:tcW w:w="2552" w:type="dxa"/>
          </w:tcPr>
          <w:p w14:paraId="5DF2A0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применения</w:t>
            </w:r>
          </w:p>
        </w:tc>
        <w:tc>
          <w:tcPr>
            <w:tcW w:w="2551" w:type="dxa"/>
          </w:tcPr>
          <w:p w14:paraId="3FFF5F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испытаний</w:t>
            </w:r>
          </w:p>
        </w:tc>
        <w:tc>
          <w:tcPr>
            <w:tcW w:w="2552" w:type="dxa"/>
          </w:tcPr>
          <w:p w14:paraId="430A84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r>
      <w:tr w:rsidR="00E3599D" w:rsidRPr="00E14102" w14:paraId="1781F345" w14:textId="77777777">
        <w:trPr>
          <w:cantSplit/>
        </w:trPr>
        <w:tc>
          <w:tcPr>
            <w:tcW w:w="2518" w:type="dxa"/>
          </w:tcPr>
          <w:p w14:paraId="1CA6DB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c>
          <w:tcPr>
            <w:tcW w:w="2552" w:type="dxa"/>
          </w:tcPr>
          <w:p w14:paraId="483F1F3B" w14:textId="77777777" w:rsidR="00D4105E" w:rsidRPr="00E14102" w:rsidRDefault="00D4105E" w:rsidP="00E14102">
            <w:pPr>
              <w:autoSpaceDE w:val="0"/>
              <w:autoSpaceDN w:val="0"/>
              <w:adjustRightInd w:val="0"/>
              <w:jc w:val="both"/>
              <w:rPr>
                <w:color w:val="000000" w:themeColor="text1"/>
                <w:sz w:val="16"/>
                <w:szCs w:val="16"/>
              </w:rPr>
            </w:pPr>
          </w:p>
        </w:tc>
        <w:tc>
          <w:tcPr>
            <w:tcW w:w="2551" w:type="dxa"/>
          </w:tcPr>
          <w:p w14:paraId="389DE596" w14:textId="77777777" w:rsidR="00D4105E" w:rsidRPr="00E14102" w:rsidRDefault="00D4105E" w:rsidP="00E14102">
            <w:pPr>
              <w:autoSpaceDE w:val="0"/>
              <w:autoSpaceDN w:val="0"/>
              <w:adjustRightInd w:val="0"/>
              <w:jc w:val="both"/>
              <w:rPr>
                <w:color w:val="000000" w:themeColor="text1"/>
                <w:sz w:val="16"/>
                <w:szCs w:val="16"/>
              </w:rPr>
            </w:pPr>
          </w:p>
        </w:tc>
        <w:tc>
          <w:tcPr>
            <w:tcW w:w="2552" w:type="dxa"/>
          </w:tcPr>
          <w:p w14:paraId="1C7D8C7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C8CD61D" w14:textId="77777777">
        <w:trPr>
          <w:cantSplit/>
        </w:trPr>
        <w:tc>
          <w:tcPr>
            <w:tcW w:w="2518" w:type="dxa"/>
          </w:tcPr>
          <w:p w14:paraId="6F5E49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Рекордный самолет на высоту 16000-20000 м</w:t>
            </w:r>
          </w:p>
        </w:tc>
        <w:tc>
          <w:tcPr>
            <w:tcW w:w="2552" w:type="dxa"/>
          </w:tcPr>
          <w:p w14:paraId="0F2C0187" w14:textId="77777777" w:rsidR="00D4105E" w:rsidRPr="00E14102" w:rsidRDefault="00D4105E" w:rsidP="00E14102">
            <w:pPr>
              <w:autoSpaceDE w:val="0"/>
              <w:autoSpaceDN w:val="0"/>
              <w:adjustRightInd w:val="0"/>
              <w:jc w:val="both"/>
              <w:rPr>
                <w:color w:val="000000" w:themeColor="text1"/>
                <w:sz w:val="16"/>
                <w:szCs w:val="16"/>
              </w:rPr>
            </w:pPr>
          </w:p>
        </w:tc>
        <w:tc>
          <w:tcPr>
            <w:tcW w:w="2551" w:type="dxa"/>
          </w:tcPr>
          <w:p w14:paraId="264348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Июнь 1937 года</w:t>
            </w:r>
          </w:p>
        </w:tc>
        <w:tc>
          <w:tcPr>
            <w:tcW w:w="2552" w:type="dxa"/>
          </w:tcPr>
          <w:p w14:paraId="7E3684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r>
      <w:tr w:rsidR="00E3599D" w:rsidRPr="00E14102" w14:paraId="2907A8C3" w14:textId="77777777">
        <w:trPr>
          <w:cantSplit/>
        </w:trPr>
        <w:tc>
          <w:tcPr>
            <w:tcW w:w="2518" w:type="dxa"/>
          </w:tcPr>
          <w:p w14:paraId="11FED4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Рекордный самолет на высоту 16000-20000 м</w:t>
            </w:r>
          </w:p>
        </w:tc>
        <w:tc>
          <w:tcPr>
            <w:tcW w:w="2552" w:type="dxa"/>
          </w:tcPr>
          <w:p w14:paraId="782554E9" w14:textId="77777777" w:rsidR="00D4105E" w:rsidRPr="00E14102" w:rsidRDefault="00D4105E" w:rsidP="00E14102">
            <w:pPr>
              <w:autoSpaceDE w:val="0"/>
              <w:autoSpaceDN w:val="0"/>
              <w:adjustRightInd w:val="0"/>
              <w:jc w:val="both"/>
              <w:rPr>
                <w:color w:val="000000" w:themeColor="text1"/>
                <w:sz w:val="16"/>
                <w:szCs w:val="16"/>
              </w:rPr>
            </w:pPr>
          </w:p>
        </w:tc>
        <w:tc>
          <w:tcPr>
            <w:tcW w:w="2551" w:type="dxa"/>
          </w:tcPr>
          <w:p w14:paraId="4B3775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Июнь 1937 года</w:t>
            </w:r>
          </w:p>
        </w:tc>
        <w:tc>
          <w:tcPr>
            <w:tcW w:w="2552" w:type="dxa"/>
          </w:tcPr>
          <w:p w14:paraId="2995C1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35</w:t>
            </w:r>
          </w:p>
          <w:p w14:paraId="713568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Чижевский</w:t>
            </w:r>
          </w:p>
        </w:tc>
      </w:tr>
      <w:tr w:rsidR="00E3599D" w:rsidRPr="00E14102" w14:paraId="220E5E14" w14:textId="77777777">
        <w:trPr>
          <w:cantSplit/>
        </w:trPr>
        <w:tc>
          <w:tcPr>
            <w:tcW w:w="2518" w:type="dxa"/>
          </w:tcPr>
          <w:p w14:paraId="25E218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экспериментальный самолет</w:t>
            </w:r>
          </w:p>
        </w:tc>
        <w:tc>
          <w:tcPr>
            <w:tcW w:w="2552" w:type="dxa"/>
          </w:tcPr>
          <w:p w14:paraId="6DC49B47" w14:textId="77777777" w:rsidR="00D4105E" w:rsidRPr="00E14102" w:rsidRDefault="00D4105E" w:rsidP="00E14102">
            <w:pPr>
              <w:autoSpaceDE w:val="0"/>
              <w:autoSpaceDN w:val="0"/>
              <w:adjustRightInd w:val="0"/>
              <w:jc w:val="both"/>
              <w:rPr>
                <w:color w:val="000000" w:themeColor="text1"/>
                <w:sz w:val="16"/>
                <w:szCs w:val="16"/>
              </w:rPr>
            </w:pPr>
          </w:p>
        </w:tc>
        <w:tc>
          <w:tcPr>
            <w:tcW w:w="2551" w:type="dxa"/>
          </w:tcPr>
          <w:p w14:paraId="2A85E5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Август 1937 года</w:t>
            </w:r>
          </w:p>
        </w:tc>
        <w:tc>
          <w:tcPr>
            <w:tcW w:w="2552" w:type="dxa"/>
          </w:tcPr>
          <w:p w14:paraId="6DB70A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r>
      <w:tr w:rsidR="00E3599D" w:rsidRPr="00E14102" w14:paraId="187BF25E" w14:textId="77777777">
        <w:trPr>
          <w:cantSplit/>
        </w:trPr>
        <w:tc>
          <w:tcPr>
            <w:tcW w:w="2518" w:type="dxa"/>
          </w:tcPr>
          <w:p w14:paraId="1C3BF7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рекордный</w:t>
            </w:r>
          </w:p>
        </w:tc>
        <w:tc>
          <w:tcPr>
            <w:tcW w:w="2552" w:type="dxa"/>
          </w:tcPr>
          <w:p w14:paraId="438B8D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700-750/0</w:t>
            </w:r>
          </w:p>
        </w:tc>
        <w:tc>
          <w:tcPr>
            <w:tcW w:w="2551" w:type="dxa"/>
          </w:tcPr>
          <w:p w14:paraId="5BD0C3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Декабрь 1937 года</w:t>
            </w:r>
          </w:p>
        </w:tc>
        <w:tc>
          <w:tcPr>
            <w:tcW w:w="2552" w:type="dxa"/>
          </w:tcPr>
          <w:p w14:paraId="72E6BA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r>
      <w:tr w:rsidR="00E3599D" w:rsidRPr="00E14102" w14:paraId="59A0B2C9" w14:textId="77777777">
        <w:trPr>
          <w:cantSplit/>
        </w:trPr>
        <w:tc>
          <w:tcPr>
            <w:tcW w:w="2518" w:type="dxa"/>
          </w:tcPr>
          <w:p w14:paraId="660DC6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Рекордный скоростной самолет с маломощным мотором 400-500 л.с.</w:t>
            </w:r>
          </w:p>
        </w:tc>
        <w:tc>
          <w:tcPr>
            <w:tcW w:w="2552" w:type="dxa"/>
          </w:tcPr>
          <w:p w14:paraId="3990B1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550-600/0</w:t>
            </w:r>
          </w:p>
        </w:tc>
        <w:tc>
          <w:tcPr>
            <w:tcW w:w="2551" w:type="dxa"/>
          </w:tcPr>
          <w:p w14:paraId="7EFD99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Август 1937 года</w:t>
            </w:r>
          </w:p>
        </w:tc>
        <w:tc>
          <w:tcPr>
            <w:tcW w:w="2552" w:type="dxa"/>
          </w:tcPr>
          <w:p w14:paraId="61F6F1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11228396" w14:textId="77777777">
        <w:trPr>
          <w:cantSplit/>
        </w:trPr>
        <w:tc>
          <w:tcPr>
            <w:tcW w:w="2518" w:type="dxa"/>
          </w:tcPr>
          <w:p w14:paraId="04F7A8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w:t>
            </w:r>
          </w:p>
        </w:tc>
        <w:tc>
          <w:tcPr>
            <w:tcW w:w="2552" w:type="dxa"/>
          </w:tcPr>
          <w:p w14:paraId="2BFBBA6A" w14:textId="77777777" w:rsidR="00D4105E" w:rsidRPr="00E14102" w:rsidRDefault="00D4105E" w:rsidP="00E14102">
            <w:pPr>
              <w:autoSpaceDE w:val="0"/>
              <w:autoSpaceDN w:val="0"/>
              <w:adjustRightInd w:val="0"/>
              <w:jc w:val="both"/>
              <w:rPr>
                <w:color w:val="000000" w:themeColor="text1"/>
                <w:sz w:val="16"/>
                <w:szCs w:val="16"/>
              </w:rPr>
            </w:pPr>
          </w:p>
        </w:tc>
        <w:tc>
          <w:tcPr>
            <w:tcW w:w="2551" w:type="dxa"/>
          </w:tcPr>
          <w:p w14:paraId="732B35D8" w14:textId="77777777" w:rsidR="00D4105E" w:rsidRPr="00E14102" w:rsidRDefault="00D4105E" w:rsidP="00E14102">
            <w:pPr>
              <w:autoSpaceDE w:val="0"/>
              <w:autoSpaceDN w:val="0"/>
              <w:adjustRightInd w:val="0"/>
              <w:jc w:val="both"/>
              <w:rPr>
                <w:color w:val="000000" w:themeColor="text1"/>
                <w:sz w:val="16"/>
                <w:szCs w:val="16"/>
              </w:rPr>
            </w:pPr>
          </w:p>
        </w:tc>
        <w:tc>
          <w:tcPr>
            <w:tcW w:w="2552" w:type="dxa"/>
          </w:tcPr>
          <w:p w14:paraId="5BBD884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CD1DCA6" w14:textId="77777777">
        <w:trPr>
          <w:cantSplit/>
        </w:trPr>
        <w:tc>
          <w:tcPr>
            <w:tcW w:w="2518" w:type="dxa"/>
          </w:tcPr>
          <w:p w14:paraId="741EB8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форсированный (для рекорда скорости) мощность 2000 л.с.</w:t>
            </w:r>
          </w:p>
        </w:tc>
        <w:tc>
          <w:tcPr>
            <w:tcW w:w="2552" w:type="dxa"/>
          </w:tcPr>
          <w:p w14:paraId="59A86496" w14:textId="77777777" w:rsidR="00D4105E" w:rsidRPr="00E14102" w:rsidRDefault="00D4105E" w:rsidP="00E14102">
            <w:pPr>
              <w:autoSpaceDE w:val="0"/>
              <w:autoSpaceDN w:val="0"/>
              <w:adjustRightInd w:val="0"/>
              <w:jc w:val="both"/>
              <w:rPr>
                <w:color w:val="000000" w:themeColor="text1"/>
                <w:sz w:val="16"/>
                <w:szCs w:val="16"/>
              </w:rPr>
            </w:pPr>
          </w:p>
        </w:tc>
        <w:tc>
          <w:tcPr>
            <w:tcW w:w="2551" w:type="dxa"/>
          </w:tcPr>
          <w:p w14:paraId="2C27B3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1936 года</w:t>
            </w:r>
          </w:p>
        </w:tc>
        <w:tc>
          <w:tcPr>
            <w:tcW w:w="2552" w:type="dxa"/>
          </w:tcPr>
          <w:p w14:paraId="0A1543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r>
    </w:tbl>
    <w:p w14:paraId="4A0AAA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(3475,80).</w:t>
      </w:r>
    </w:p>
    <w:p w14:paraId="1649C31E" w14:textId="77777777" w:rsidR="00D4105E" w:rsidRPr="00E14102" w:rsidRDefault="00D4105E" w:rsidP="00E14102">
      <w:pPr>
        <w:autoSpaceDE w:val="0"/>
        <w:autoSpaceDN w:val="0"/>
        <w:adjustRightInd w:val="0"/>
        <w:jc w:val="both"/>
        <w:rPr>
          <w:color w:val="000000" w:themeColor="text1"/>
          <w:sz w:val="16"/>
          <w:szCs w:val="16"/>
        </w:rPr>
      </w:pPr>
    </w:p>
    <w:p w14:paraId="26CF1F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опытного моторостроения на 1936-1937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851"/>
        <w:gridCol w:w="992"/>
        <w:gridCol w:w="992"/>
        <w:gridCol w:w="993"/>
        <w:gridCol w:w="1275"/>
        <w:gridCol w:w="1276"/>
        <w:gridCol w:w="1418"/>
      </w:tblGrid>
      <w:tr w:rsidR="00E3599D" w:rsidRPr="00E14102" w14:paraId="4CE06970" w14:textId="77777777">
        <w:trPr>
          <w:cantSplit/>
        </w:trPr>
        <w:tc>
          <w:tcPr>
            <w:tcW w:w="2376" w:type="dxa"/>
          </w:tcPr>
          <w:p w14:paraId="7302F2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объектов</w:t>
            </w:r>
          </w:p>
        </w:tc>
        <w:tc>
          <w:tcPr>
            <w:tcW w:w="851" w:type="dxa"/>
          </w:tcPr>
          <w:p w14:paraId="532C76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w:t>
            </w:r>
          </w:p>
        </w:tc>
        <w:tc>
          <w:tcPr>
            <w:tcW w:w="992" w:type="dxa"/>
          </w:tcPr>
          <w:p w14:paraId="6BCD17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Высотность</w:t>
            </w:r>
          </w:p>
        </w:tc>
        <w:tc>
          <w:tcPr>
            <w:tcW w:w="992" w:type="dxa"/>
          </w:tcPr>
          <w:p w14:paraId="35FC21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w:t>
            </w:r>
          </w:p>
        </w:tc>
        <w:tc>
          <w:tcPr>
            <w:tcW w:w="993" w:type="dxa"/>
          </w:tcPr>
          <w:p w14:paraId="249A48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 горючего гр/л.с.</w:t>
            </w:r>
          </w:p>
        </w:tc>
        <w:tc>
          <w:tcPr>
            <w:tcW w:w="1275" w:type="dxa"/>
          </w:tcPr>
          <w:p w14:paraId="4DCB20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w:t>
            </w:r>
          </w:p>
        </w:tc>
        <w:tc>
          <w:tcPr>
            <w:tcW w:w="1276" w:type="dxa"/>
          </w:tcPr>
          <w:p w14:paraId="04AC5E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1418" w:type="dxa"/>
          </w:tcPr>
          <w:p w14:paraId="63A1AF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0920C64D" w14:textId="77777777">
        <w:trPr>
          <w:cantSplit/>
        </w:trPr>
        <w:tc>
          <w:tcPr>
            <w:tcW w:w="2376" w:type="dxa"/>
          </w:tcPr>
          <w:p w14:paraId="5839BD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Опытные бензиновые моторы</w:t>
            </w:r>
          </w:p>
        </w:tc>
        <w:tc>
          <w:tcPr>
            <w:tcW w:w="851" w:type="dxa"/>
          </w:tcPr>
          <w:p w14:paraId="3A358866"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32BE84FA"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52002F14" w14:textId="77777777" w:rsidR="00D4105E" w:rsidRPr="00E14102" w:rsidRDefault="00D4105E" w:rsidP="00E14102">
            <w:pPr>
              <w:autoSpaceDE w:val="0"/>
              <w:autoSpaceDN w:val="0"/>
              <w:adjustRightInd w:val="0"/>
              <w:jc w:val="both"/>
              <w:rPr>
                <w:color w:val="000000" w:themeColor="text1"/>
                <w:sz w:val="16"/>
                <w:szCs w:val="16"/>
              </w:rPr>
            </w:pPr>
          </w:p>
        </w:tc>
        <w:tc>
          <w:tcPr>
            <w:tcW w:w="993" w:type="dxa"/>
          </w:tcPr>
          <w:p w14:paraId="6C1AFE4F" w14:textId="77777777" w:rsidR="00D4105E" w:rsidRPr="00E14102" w:rsidRDefault="00D4105E" w:rsidP="00E14102">
            <w:pPr>
              <w:autoSpaceDE w:val="0"/>
              <w:autoSpaceDN w:val="0"/>
              <w:adjustRightInd w:val="0"/>
              <w:jc w:val="both"/>
              <w:rPr>
                <w:color w:val="000000" w:themeColor="text1"/>
                <w:sz w:val="16"/>
                <w:szCs w:val="16"/>
              </w:rPr>
            </w:pPr>
          </w:p>
        </w:tc>
        <w:tc>
          <w:tcPr>
            <w:tcW w:w="1275" w:type="dxa"/>
          </w:tcPr>
          <w:p w14:paraId="629B1A0D" w14:textId="77777777" w:rsidR="00D4105E" w:rsidRPr="00E14102" w:rsidRDefault="00D4105E" w:rsidP="00E14102">
            <w:pPr>
              <w:autoSpaceDE w:val="0"/>
              <w:autoSpaceDN w:val="0"/>
              <w:adjustRightInd w:val="0"/>
              <w:jc w:val="both"/>
              <w:rPr>
                <w:color w:val="000000" w:themeColor="text1"/>
                <w:sz w:val="16"/>
                <w:szCs w:val="16"/>
              </w:rPr>
            </w:pPr>
          </w:p>
        </w:tc>
        <w:tc>
          <w:tcPr>
            <w:tcW w:w="1276" w:type="dxa"/>
          </w:tcPr>
          <w:p w14:paraId="73436094" w14:textId="77777777" w:rsidR="00D4105E" w:rsidRPr="00E14102" w:rsidRDefault="00D4105E" w:rsidP="00E14102">
            <w:pPr>
              <w:autoSpaceDE w:val="0"/>
              <w:autoSpaceDN w:val="0"/>
              <w:adjustRightInd w:val="0"/>
              <w:jc w:val="both"/>
              <w:rPr>
                <w:color w:val="000000" w:themeColor="text1"/>
                <w:sz w:val="16"/>
                <w:szCs w:val="16"/>
              </w:rPr>
            </w:pPr>
          </w:p>
        </w:tc>
        <w:tc>
          <w:tcPr>
            <w:tcW w:w="1418" w:type="dxa"/>
          </w:tcPr>
          <w:p w14:paraId="7ADCF14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B5B2A01" w14:textId="77777777">
        <w:trPr>
          <w:cantSplit/>
        </w:trPr>
        <w:tc>
          <w:tcPr>
            <w:tcW w:w="2376" w:type="dxa"/>
          </w:tcPr>
          <w:p w14:paraId="496430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М-56-14 цил. 2-х рядная звезда воздушного охлаждения</w:t>
            </w:r>
          </w:p>
        </w:tc>
        <w:tc>
          <w:tcPr>
            <w:tcW w:w="851" w:type="dxa"/>
          </w:tcPr>
          <w:p w14:paraId="23A723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992" w:type="dxa"/>
          </w:tcPr>
          <w:p w14:paraId="5E0FB1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w:t>
            </w:r>
          </w:p>
        </w:tc>
        <w:tc>
          <w:tcPr>
            <w:tcW w:w="992" w:type="dxa"/>
          </w:tcPr>
          <w:p w14:paraId="1B223A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993" w:type="dxa"/>
          </w:tcPr>
          <w:p w14:paraId="0B3041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w:t>
            </w:r>
          </w:p>
        </w:tc>
        <w:tc>
          <w:tcPr>
            <w:tcW w:w="1275" w:type="dxa"/>
          </w:tcPr>
          <w:p w14:paraId="555468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w:t>
            </w:r>
          </w:p>
        </w:tc>
        <w:tc>
          <w:tcPr>
            <w:tcW w:w="1276" w:type="dxa"/>
          </w:tcPr>
          <w:p w14:paraId="222AC0FB" w14:textId="77777777" w:rsidR="00D4105E" w:rsidRPr="00E14102" w:rsidRDefault="00D4105E" w:rsidP="00E14102">
            <w:pPr>
              <w:autoSpaceDE w:val="0"/>
              <w:autoSpaceDN w:val="0"/>
              <w:adjustRightInd w:val="0"/>
              <w:jc w:val="both"/>
              <w:rPr>
                <w:color w:val="000000" w:themeColor="text1"/>
                <w:sz w:val="16"/>
                <w:szCs w:val="16"/>
              </w:rPr>
            </w:pPr>
          </w:p>
        </w:tc>
        <w:tc>
          <w:tcPr>
            <w:tcW w:w="1418" w:type="dxa"/>
          </w:tcPr>
          <w:p w14:paraId="5D3A29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ноября 1935 года</w:t>
            </w:r>
          </w:p>
        </w:tc>
      </w:tr>
      <w:tr w:rsidR="00E3599D" w:rsidRPr="00E14102" w14:paraId="6F0B0983" w14:textId="77777777">
        <w:trPr>
          <w:cantSplit/>
        </w:trPr>
        <w:tc>
          <w:tcPr>
            <w:tcW w:w="2376" w:type="dxa"/>
          </w:tcPr>
          <w:p w14:paraId="136724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ММ-1 (маломощный мотор)</w:t>
            </w:r>
          </w:p>
        </w:tc>
        <w:tc>
          <w:tcPr>
            <w:tcW w:w="851" w:type="dxa"/>
          </w:tcPr>
          <w:p w14:paraId="76E2EA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250-300</w:t>
            </w:r>
          </w:p>
        </w:tc>
        <w:tc>
          <w:tcPr>
            <w:tcW w:w="992" w:type="dxa"/>
          </w:tcPr>
          <w:p w14:paraId="7A480D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992" w:type="dxa"/>
          </w:tcPr>
          <w:p w14:paraId="393C85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225</w:t>
            </w:r>
          </w:p>
        </w:tc>
        <w:tc>
          <w:tcPr>
            <w:tcW w:w="993" w:type="dxa"/>
          </w:tcPr>
          <w:p w14:paraId="61D2EC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280-290</w:t>
            </w:r>
          </w:p>
        </w:tc>
        <w:tc>
          <w:tcPr>
            <w:tcW w:w="1275" w:type="dxa"/>
          </w:tcPr>
          <w:p w14:paraId="73BE81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w:t>
            </w:r>
          </w:p>
        </w:tc>
        <w:tc>
          <w:tcPr>
            <w:tcW w:w="1276" w:type="dxa"/>
          </w:tcPr>
          <w:p w14:paraId="6E7C2B46" w14:textId="77777777" w:rsidR="00D4105E" w:rsidRPr="00E14102" w:rsidRDefault="00D4105E" w:rsidP="00E14102">
            <w:pPr>
              <w:autoSpaceDE w:val="0"/>
              <w:autoSpaceDN w:val="0"/>
              <w:adjustRightInd w:val="0"/>
              <w:jc w:val="both"/>
              <w:rPr>
                <w:color w:val="000000" w:themeColor="text1"/>
                <w:sz w:val="16"/>
                <w:szCs w:val="16"/>
              </w:rPr>
            </w:pPr>
          </w:p>
        </w:tc>
        <w:tc>
          <w:tcPr>
            <w:tcW w:w="1418" w:type="dxa"/>
          </w:tcPr>
          <w:p w14:paraId="2C9519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Совместно с зав. № 16</w:t>
            </w:r>
          </w:p>
        </w:tc>
      </w:tr>
      <w:tr w:rsidR="00E3599D" w:rsidRPr="00E14102" w14:paraId="50666586" w14:textId="77777777">
        <w:trPr>
          <w:cantSplit/>
        </w:trPr>
        <w:tc>
          <w:tcPr>
            <w:tcW w:w="2376" w:type="dxa"/>
          </w:tcPr>
          <w:p w14:paraId="1578CA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Развитие мотора ММ-1 (V-образный с опрокинутыми вниз цилиндрами воздушного охлаждения)</w:t>
            </w:r>
          </w:p>
        </w:tc>
        <w:tc>
          <w:tcPr>
            <w:tcW w:w="851" w:type="dxa"/>
          </w:tcPr>
          <w:p w14:paraId="55EDDC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992" w:type="dxa"/>
          </w:tcPr>
          <w:p w14:paraId="214235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w:t>
            </w:r>
          </w:p>
        </w:tc>
        <w:tc>
          <w:tcPr>
            <w:tcW w:w="992" w:type="dxa"/>
          </w:tcPr>
          <w:p w14:paraId="03FD57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350-370</w:t>
            </w:r>
          </w:p>
        </w:tc>
        <w:tc>
          <w:tcPr>
            <w:tcW w:w="993" w:type="dxa"/>
          </w:tcPr>
          <w:p w14:paraId="292231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5" w:type="dxa"/>
          </w:tcPr>
          <w:p w14:paraId="1FC299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w:t>
            </w:r>
          </w:p>
        </w:tc>
        <w:tc>
          <w:tcPr>
            <w:tcW w:w="1276" w:type="dxa"/>
          </w:tcPr>
          <w:p w14:paraId="079206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совместно с зав. № 16</w:t>
            </w:r>
          </w:p>
        </w:tc>
        <w:tc>
          <w:tcPr>
            <w:tcW w:w="1418" w:type="dxa"/>
          </w:tcPr>
          <w:p w14:paraId="08200B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испытания</w:t>
            </w:r>
          </w:p>
        </w:tc>
      </w:tr>
      <w:tr w:rsidR="00E3599D" w:rsidRPr="00E14102" w14:paraId="20CAA765" w14:textId="77777777">
        <w:trPr>
          <w:cantSplit/>
        </w:trPr>
        <w:tc>
          <w:tcPr>
            <w:tcW w:w="2376" w:type="dxa"/>
          </w:tcPr>
          <w:p w14:paraId="0351A3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Бесклапанный мотор </w:t>
            </w:r>
          </w:p>
        </w:tc>
        <w:tc>
          <w:tcPr>
            <w:tcW w:w="851" w:type="dxa"/>
          </w:tcPr>
          <w:p w14:paraId="6E027B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650-700</w:t>
            </w:r>
          </w:p>
        </w:tc>
        <w:tc>
          <w:tcPr>
            <w:tcW w:w="992" w:type="dxa"/>
          </w:tcPr>
          <w:p w14:paraId="705227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992" w:type="dxa"/>
          </w:tcPr>
          <w:p w14:paraId="1AB5E3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4EE7A2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5" w:type="dxa"/>
          </w:tcPr>
          <w:p w14:paraId="274ACE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w:t>
            </w:r>
          </w:p>
        </w:tc>
        <w:tc>
          <w:tcPr>
            <w:tcW w:w="1276" w:type="dxa"/>
          </w:tcPr>
          <w:p w14:paraId="7BD54D05" w14:textId="77777777" w:rsidR="00D4105E" w:rsidRPr="00E14102" w:rsidRDefault="00D4105E" w:rsidP="00E14102">
            <w:pPr>
              <w:autoSpaceDE w:val="0"/>
              <w:autoSpaceDN w:val="0"/>
              <w:adjustRightInd w:val="0"/>
              <w:jc w:val="both"/>
              <w:rPr>
                <w:color w:val="000000" w:themeColor="text1"/>
                <w:sz w:val="16"/>
                <w:szCs w:val="16"/>
              </w:rPr>
            </w:pPr>
          </w:p>
        </w:tc>
        <w:tc>
          <w:tcPr>
            <w:tcW w:w="1418" w:type="dxa"/>
          </w:tcPr>
          <w:p w14:paraId="40F8B87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5D77DD7" w14:textId="77777777">
        <w:trPr>
          <w:cantSplit/>
        </w:trPr>
        <w:tc>
          <w:tcPr>
            <w:tcW w:w="2376" w:type="dxa"/>
          </w:tcPr>
          <w:p w14:paraId="19849D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ГМ-44 для торпедных катеров</w:t>
            </w:r>
          </w:p>
        </w:tc>
        <w:tc>
          <w:tcPr>
            <w:tcW w:w="851" w:type="dxa"/>
          </w:tcPr>
          <w:p w14:paraId="0F9D8F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1600</w:t>
            </w:r>
          </w:p>
        </w:tc>
        <w:tc>
          <w:tcPr>
            <w:tcW w:w="992" w:type="dxa"/>
          </w:tcPr>
          <w:p w14:paraId="2A8E7B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371916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5878E8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5" w:type="dxa"/>
          </w:tcPr>
          <w:p w14:paraId="31822B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w:t>
            </w:r>
          </w:p>
        </w:tc>
        <w:tc>
          <w:tcPr>
            <w:tcW w:w="1276" w:type="dxa"/>
          </w:tcPr>
          <w:p w14:paraId="69C60FFB" w14:textId="77777777" w:rsidR="00D4105E" w:rsidRPr="00E14102" w:rsidRDefault="00D4105E" w:rsidP="00E14102">
            <w:pPr>
              <w:autoSpaceDE w:val="0"/>
              <w:autoSpaceDN w:val="0"/>
              <w:adjustRightInd w:val="0"/>
              <w:jc w:val="both"/>
              <w:rPr>
                <w:color w:val="000000" w:themeColor="text1"/>
                <w:sz w:val="16"/>
                <w:szCs w:val="16"/>
              </w:rPr>
            </w:pPr>
          </w:p>
        </w:tc>
        <w:tc>
          <w:tcPr>
            <w:tcW w:w="1418" w:type="dxa"/>
          </w:tcPr>
          <w:p w14:paraId="6E600C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w:t>
            </w:r>
          </w:p>
        </w:tc>
      </w:tr>
      <w:tr w:rsidR="00E3599D" w:rsidRPr="00E14102" w14:paraId="7388C4AA" w14:textId="77777777">
        <w:trPr>
          <w:cantSplit/>
        </w:trPr>
        <w:tc>
          <w:tcPr>
            <w:tcW w:w="2376" w:type="dxa"/>
          </w:tcPr>
          <w:p w14:paraId="6703A7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Авиационные дизели</w:t>
            </w:r>
          </w:p>
        </w:tc>
        <w:tc>
          <w:tcPr>
            <w:tcW w:w="851" w:type="dxa"/>
          </w:tcPr>
          <w:p w14:paraId="122A9B9F"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07A0D677"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40505372" w14:textId="77777777" w:rsidR="00D4105E" w:rsidRPr="00E14102" w:rsidRDefault="00D4105E" w:rsidP="00E14102">
            <w:pPr>
              <w:autoSpaceDE w:val="0"/>
              <w:autoSpaceDN w:val="0"/>
              <w:adjustRightInd w:val="0"/>
              <w:jc w:val="both"/>
              <w:rPr>
                <w:color w:val="000000" w:themeColor="text1"/>
                <w:sz w:val="16"/>
                <w:szCs w:val="16"/>
              </w:rPr>
            </w:pPr>
          </w:p>
        </w:tc>
        <w:tc>
          <w:tcPr>
            <w:tcW w:w="993" w:type="dxa"/>
          </w:tcPr>
          <w:p w14:paraId="649E0970" w14:textId="77777777" w:rsidR="00D4105E" w:rsidRPr="00E14102" w:rsidRDefault="00D4105E" w:rsidP="00E14102">
            <w:pPr>
              <w:autoSpaceDE w:val="0"/>
              <w:autoSpaceDN w:val="0"/>
              <w:adjustRightInd w:val="0"/>
              <w:jc w:val="both"/>
              <w:rPr>
                <w:color w:val="000000" w:themeColor="text1"/>
                <w:sz w:val="16"/>
                <w:szCs w:val="16"/>
              </w:rPr>
            </w:pPr>
          </w:p>
        </w:tc>
        <w:tc>
          <w:tcPr>
            <w:tcW w:w="1275" w:type="dxa"/>
          </w:tcPr>
          <w:p w14:paraId="1DDD0367" w14:textId="77777777" w:rsidR="00D4105E" w:rsidRPr="00E14102" w:rsidRDefault="00D4105E" w:rsidP="00E14102">
            <w:pPr>
              <w:autoSpaceDE w:val="0"/>
              <w:autoSpaceDN w:val="0"/>
              <w:adjustRightInd w:val="0"/>
              <w:jc w:val="both"/>
              <w:rPr>
                <w:color w:val="000000" w:themeColor="text1"/>
                <w:sz w:val="16"/>
                <w:szCs w:val="16"/>
              </w:rPr>
            </w:pPr>
          </w:p>
        </w:tc>
        <w:tc>
          <w:tcPr>
            <w:tcW w:w="1276" w:type="dxa"/>
          </w:tcPr>
          <w:p w14:paraId="42D8479B" w14:textId="77777777" w:rsidR="00D4105E" w:rsidRPr="00E14102" w:rsidRDefault="00D4105E" w:rsidP="00E14102">
            <w:pPr>
              <w:autoSpaceDE w:val="0"/>
              <w:autoSpaceDN w:val="0"/>
              <w:adjustRightInd w:val="0"/>
              <w:jc w:val="both"/>
              <w:rPr>
                <w:color w:val="000000" w:themeColor="text1"/>
                <w:sz w:val="16"/>
                <w:szCs w:val="16"/>
              </w:rPr>
            </w:pPr>
          </w:p>
        </w:tc>
        <w:tc>
          <w:tcPr>
            <w:tcW w:w="1418" w:type="dxa"/>
          </w:tcPr>
          <w:p w14:paraId="7E3FE03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E156E6E" w14:textId="77777777">
        <w:trPr>
          <w:cantSplit/>
        </w:trPr>
        <w:tc>
          <w:tcPr>
            <w:tcW w:w="2376" w:type="dxa"/>
          </w:tcPr>
          <w:p w14:paraId="60ED9A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Н-1А</w:t>
            </w:r>
          </w:p>
        </w:tc>
        <w:tc>
          <w:tcPr>
            <w:tcW w:w="851" w:type="dxa"/>
          </w:tcPr>
          <w:p w14:paraId="1640AA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w:t>
            </w:r>
          </w:p>
        </w:tc>
        <w:tc>
          <w:tcPr>
            <w:tcW w:w="992" w:type="dxa"/>
          </w:tcPr>
          <w:p w14:paraId="49D06D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992" w:type="dxa"/>
          </w:tcPr>
          <w:p w14:paraId="5C0F85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993" w:type="dxa"/>
          </w:tcPr>
          <w:p w14:paraId="5A8B85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170-180</w:t>
            </w:r>
          </w:p>
        </w:tc>
        <w:tc>
          <w:tcPr>
            <w:tcW w:w="1275" w:type="dxa"/>
          </w:tcPr>
          <w:p w14:paraId="358681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w:t>
            </w:r>
          </w:p>
        </w:tc>
        <w:tc>
          <w:tcPr>
            <w:tcW w:w="1276" w:type="dxa"/>
          </w:tcPr>
          <w:p w14:paraId="042EFF67" w14:textId="77777777" w:rsidR="00D4105E" w:rsidRPr="00E14102" w:rsidRDefault="00D4105E" w:rsidP="00E14102">
            <w:pPr>
              <w:autoSpaceDE w:val="0"/>
              <w:autoSpaceDN w:val="0"/>
              <w:adjustRightInd w:val="0"/>
              <w:jc w:val="both"/>
              <w:rPr>
                <w:color w:val="000000" w:themeColor="text1"/>
                <w:sz w:val="16"/>
                <w:szCs w:val="16"/>
              </w:rPr>
            </w:pPr>
          </w:p>
        </w:tc>
        <w:tc>
          <w:tcPr>
            <w:tcW w:w="1418" w:type="dxa"/>
          </w:tcPr>
          <w:p w14:paraId="1A08C9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1936</w:t>
            </w:r>
          </w:p>
        </w:tc>
      </w:tr>
      <w:tr w:rsidR="00E3599D" w:rsidRPr="00E14102" w14:paraId="78EF3F87" w14:textId="77777777">
        <w:trPr>
          <w:cantSplit/>
        </w:trPr>
        <w:tc>
          <w:tcPr>
            <w:tcW w:w="2376" w:type="dxa"/>
          </w:tcPr>
          <w:p w14:paraId="773A5E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Н1Ф (форсированный)</w:t>
            </w:r>
          </w:p>
        </w:tc>
        <w:tc>
          <w:tcPr>
            <w:tcW w:w="851" w:type="dxa"/>
          </w:tcPr>
          <w:p w14:paraId="153829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992" w:type="dxa"/>
          </w:tcPr>
          <w:p w14:paraId="26A057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992" w:type="dxa"/>
          </w:tcPr>
          <w:p w14:paraId="70420F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3165C5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170-180</w:t>
            </w:r>
          </w:p>
        </w:tc>
        <w:tc>
          <w:tcPr>
            <w:tcW w:w="1275" w:type="dxa"/>
          </w:tcPr>
          <w:p w14:paraId="286513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1937</w:t>
            </w:r>
          </w:p>
        </w:tc>
        <w:tc>
          <w:tcPr>
            <w:tcW w:w="1276" w:type="dxa"/>
          </w:tcPr>
          <w:p w14:paraId="48A7B390" w14:textId="77777777" w:rsidR="00D4105E" w:rsidRPr="00E14102" w:rsidRDefault="00D4105E" w:rsidP="00E14102">
            <w:pPr>
              <w:autoSpaceDE w:val="0"/>
              <w:autoSpaceDN w:val="0"/>
              <w:adjustRightInd w:val="0"/>
              <w:jc w:val="both"/>
              <w:rPr>
                <w:color w:val="000000" w:themeColor="text1"/>
                <w:sz w:val="16"/>
                <w:szCs w:val="16"/>
              </w:rPr>
            </w:pPr>
          </w:p>
        </w:tc>
        <w:tc>
          <w:tcPr>
            <w:tcW w:w="1418" w:type="dxa"/>
          </w:tcPr>
          <w:p w14:paraId="64A0692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CC768C6" w14:textId="77777777">
        <w:trPr>
          <w:cantSplit/>
        </w:trPr>
        <w:tc>
          <w:tcPr>
            <w:tcW w:w="2376" w:type="dxa"/>
          </w:tcPr>
          <w:p w14:paraId="0D6524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Н-3 14 цил., двухрядная звезда возд. Охлаждения</w:t>
            </w:r>
          </w:p>
        </w:tc>
        <w:tc>
          <w:tcPr>
            <w:tcW w:w="851" w:type="dxa"/>
          </w:tcPr>
          <w:p w14:paraId="7C48DC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992" w:type="dxa"/>
          </w:tcPr>
          <w:p w14:paraId="1252E9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992" w:type="dxa"/>
          </w:tcPr>
          <w:p w14:paraId="11CFA6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993" w:type="dxa"/>
          </w:tcPr>
          <w:p w14:paraId="664560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w:t>
            </w:r>
          </w:p>
        </w:tc>
        <w:tc>
          <w:tcPr>
            <w:tcW w:w="1275" w:type="dxa"/>
          </w:tcPr>
          <w:p w14:paraId="0E9596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w:t>
            </w:r>
          </w:p>
        </w:tc>
        <w:tc>
          <w:tcPr>
            <w:tcW w:w="1276" w:type="dxa"/>
          </w:tcPr>
          <w:p w14:paraId="1BB2FD35" w14:textId="77777777" w:rsidR="00D4105E" w:rsidRPr="00E14102" w:rsidRDefault="00D4105E" w:rsidP="00E14102">
            <w:pPr>
              <w:autoSpaceDE w:val="0"/>
              <w:autoSpaceDN w:val="0"/>
              <w:adjustRightInd w:val="0"/>
              <w:jc w:val="both"/>
              <w:rPr>
                <w:color w:val="000000" w:themeColor="text1"/>
                <w:sz w:val="16"/>
                <w:szCs w:val="16"/>
              </w:rPr>
            </w:pPr>
          </w:p>
        </w:tc>
        <w:tc>
          <w:tcPr>
            <w:tcW w:w="1418" w:type="dxa"/>
          </w:tcPr>
          <w:p w14:paraId="3CA8A4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испытания</w:t>
            </w:r>
          </w:p>
        </w:tc>
      </w:tr>
      <w:tr w:rsidR="00E3599D" w:rsidRPr="00E14102" w14:paraId="3A1FE34C" w14:textId="77777777">
        <w:trPr>
          <w:cantSplit/>
        </w:trPr>
        <w:tc>
          <w:tcPr>
            <w:tcW w:w="2376" w:type="dxa"/>
          </w:tcPr>
          <w:p w14:paraId="790B4A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Турбины</w:t>
            </w:r>
          </w:p>
        </w:tc>
        <w:tc>
          <w:tcPr>
            <w:tcW w:w="851" w:type="dxa"/>
          </w:tcPr>
          <w:p w14:paraId="412396B4"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0D595F05"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389EFE4F" w14:textId="77777777" w:rsidR="00D4105E" w:rsidRPr="00E14102" w:rsidRDefault="00D4105E" w:rsidP="00E14102">
            <w:pPr>
              <w:autoSpaceDE w:val="0"/>
              <w:autoSpaceDN w:val="0"/>
              <w:adjustRightInd w:val="0"/>
              <w:jc w:val="both"/>
              <w:rPr>
                <w:color w:val="000000" w:themeColor="text1"/>
                <w:sz w:val="16"/>
                <w:szCs w:val="16"/>
              </w:rPr>
            </w:pPr>
          </w:p>
        </w:tc>
        <w:tc>
          <w:tcPr>
            <w:tcW w:w="993" w:type="dxa"/>
          </w:tcPr>
          <w:p w14:paraId="468EFF14" w14:textId="77777777" w:rsidR="00D4105E" w:rsidRPr="00E14102" w:rsidRDefault="00D4105E" w:rsidP="00E14102">
            <w:pPr>
              <w:autoSpaceDE w:val="0"/>
              <w:autoSpaceDN w:val="0"/>
              <w:adjustRightInd w:val="0"/>
              <w:jc w:val="both"/>
              <w:rPr>
                <w:color w:val="000000" w:themeColor="text1"/>
                <w:sz w:val="16"/>
                <w:szCs w:val="16"/>
              </w:rPr>
            </w:pPr>
          </w:p>
        </w:tc>
        <w:tc>
          <w:tcPr>
            <w:tcW w:w="1275" w:type="dxa"/>
          </w:tcPr>
          <w:p w14:paraId="76DC8F0F" w14:textId="77777777" w:rsidR="00D4105E" w:rsidRPr="00E14102" w:rsidRDefault="00D4105E" w:rsidP="00E14102">
            <w:pPr>
              <w:autoSpaceDE w:val="0"/>
              <w:autoSpaceDN w:val="0"/>
              <w:adjustRightInd w:val="0"/>
              <w:jc w:val="both"/>
              <w:rPr>
                <w:color w:val="000000" w:themeColor="text1"/>
                <w:sz w:val="16"/>
                <w:szCs w:val="16"/>
              </w:rPr>
            </w:pPr>
          </w:p>
        </w:tc>
        <w:tc>
          <w:tcPr>
            <w:tcW w:w="1276" w:type="dxa"/>
          </w:tcPr>
          <w:p w14:paraId="066928C4" w14:textId="77777777" w:rsidR="00D4105E" w:rsidRPr="00E14102" w:rsidRDefault="00D4105E" w:rsidP="00E14102">
            <w:pPr>
              <w:autoSpaceDE w:val="0"/>
              <w:autoSpaceDN w:val="0"/>
              <w:adjustRightInd w:val="0"/>
              <w:jc w:val="both"/>
              <w:rPr>
                <w:color w:val="000000" w:themeColor="text1"/>
                <w:sz w:val="16"/>
                <w:szCs w:val="16"/>
              </w:rPr>
            </w:pPr>
          </w:p>
        </w:tc>
        <w:tc>
          <w:tcPr>
            <w:tcW w:w="1418" w:type="dxa"/>
          </w:tcPr>
          <w:p w14:paraId="0B4D937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2A5D5D1" w14:textId="77777777">
        <w:trPr>
          <w:cantSplit/>
        </w:trPr>
        <w:tc>
          <w:tcPr>
            <w:tcW w:w="2376" w:type="dxa"/>
          </w:tcPr>
          <w:p w14:paraId="745FBF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ГТ-1 газовая турбина</w:t>
            </w:r>
          </w:p>
        </w:tc>
        <w:tc>
          <w:tcPr>
            <w:tcW w:w="851" w:type="dxa"/>
          </w:tcPr>
          <w:p w14:paraId="18551D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992" w:type="dxa"/>
          </w:tcPr>
          <w:p w14:paraId="145AD5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2" w:type="dxa"/>
          </w:tcPr>
          <w:p w14:paraId="7BB6D9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993" w:type="dxa"/>
          </w:tcPr>
          <w:p w14:paraId="30B274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5" w:type="dxa"/>
          </w:tcPr>
          <w:p w14:paraId="4928B7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w:t>
            </w:r>
          </w:p>
        </w:tc>
        <w:tc>
          <w:tcPr>
            <w:tcW w:w="1276" w:type="dxa"/>
          </w:tcPr>
          <w:p w14:paraId="3A068F22" w14:textId="77777777" w:rsidR="00D4105E" w:rsidRPr="00E14102" w:rsidRDefault="00D4105E" w:rsidP="00E14102">
            <w:pPr>
              <w:autoSpaceDE w:val="0"/>
              <w:autoSpaceDN w:val="0"/>
              <w:adjustRightInd w:val="0"/>
              <w:jc w:val="both"/>
              <w:rPr>
                <w:color w:val="000000" w:themeColor="text1"/>
                <w:sz w:val="16"/>
                <w:szCs w:val="16"/>
              </w:rPr>
            </w:pPr>
          </w:p>
        </w:tc>
        <w:tc>
          <w:tcPr>
            <w:tcW w:w="1418" w:type="dxa"/>
          </w:tcPr>
          <w:p w14:paraId="28ADE7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июля 1937</w:t>
            </w:r>
          </w:p>
        </w:tc>
      </w:tr>
      <w:tr w:rsidR="00E3599D" w:rsidRPr="00E14102" w14:paraId="3BD45328" w14:textId="77777777">
        <w:trPr>
          <w:cantSplit/>
        </w:trPr>
        <w:tc>
          <w:tcPr>
            <w:tcW w:w="2376" w:type="dxa"/>
          </w:tcPr>
          <w:p w14:paraId="1F0891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Модификация серийных моторов</w:t>
            </w:r>
          </w:p>
        </w:tc>
        <w:tc>
          <w:tcPr>
            <w:tcW w:w="851" w:type="dxa"/>
          </w:tcPr>
          <w:p w14:paraId="26BF44DC"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12C16BFD"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21588801" w14:textId="77777777" w:rsidR="00D4105E" w:rsidRPr="00E14102" w:rsidRDefault="00D4105E" w:rsidP="00E14102">
            <w:pPr>
              <w:autoSpaceDE w:val="0"/>
              <w:autoSpaceDN w:val="0"/>
              <w:adjustRightInd w:val="0"/>
              <w:jc w:val="both"/>
              <w:rPr>
                <w:color w:val="000000" w:themeColor="text1"/>
                <w:sz w:val="16"/>
                <w:szCs w:val="16"/>
              </w:rPr>
            </w:pPr>
          </w:p>
        </w:tc>
        <w:tc>
          <w:tcPr>
            <w:tcW w:w="993" w:type="dxa"/>
          </w:tcPr>
          <w:p w14:paraId="5C663F97" w14:textId="77777777" w:rsidR="00D4105E" w:rsidRPr="00E14102" w:rsidRDefault="00D4105E" w:rsidP="00E14102">
            <w:pPr>
              <w:autoSpaceDE w:val="0"/>
              <w:autoSpaceDN w:val="0"/>
              <w:adjustRightInd w:val="0"/>
              <w:jc w:val="both"/>
              <w:rPr>
                <w:color w:val="000000" w:themeColor="text1"/>
                <w:sz w:val="16"/>
                <w:szCs w:val="16"/>
              </w:rPr>
            </w:pPr>
          </w:p>
        </w:tc>
        <w:tc>
          <w:tcPr>
            <w:tcW w:w="1275" w:type="dxa"/>
          </w:tcPr>
          <w:p w14:paraId="59A26AA8" w14:textId="77777777" w:rsidR="00D4105E" w:rsidRPr="00E14102" w:rsidRDefault="00D4105E" w:rsidP="00E14102">
            <w:pPr>
              <w:autoSpaceDE w:val="0"/>
              <w:autoSpaceDN w:val="0"/>
              <w:adjustRightInd w:val="0"/>
              <w:jc w:val="both"/>
              <w:rPr>
                <w:color w:val="000000" w:themeColor="text1"/>
                <w:sz w:val="16"/>
                <w:szCs w:val="16"/>
              </w:rPr>
            </w:pPr>
          </w:p>
        </w:tc>
        <w:tc>
          <w:tcPr>
            <w:tcW w:w="1276" w:type="dxa"/>
          </w:tcPr>
          <w:p w14:paraId="46E290F6" w14:textId="77777777" w:rsidR="00D4105E" w:rsidRPr="00E14102" w:rsidRDefault="00D4105E" w:rsidP="00E14102">
            <w:pPr>
              <w:autoSpaceDE w:val="0"/>
              <w:autoSpaceDN w:val="0"/>
              <w:adjustRightInd w:val="0"/>
              <w:jc w:val="both"/>
              <w:rPr>
                <w:color w:val="000000" w:themeColor="text1"/>
                <w:sz w:val="16"/>
                <w:szCs w:val="16"/>
              </w:rPr>
            </w:pPr>
          </w:p>
        </w:tc>
        <w:tc>
          <w:tcPr>
            <w:tcW w:w="1418" w:type="dxa"/>
          </w:tcPr>
          <w:p w14:paraId="7CE016B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DF91B62" w14:textId="77777777">
        <w:trPr>
          <w:cantSplit/>
        </w:trPr>
        <w:tc>
          <w:tcPr>
            <w:tcW w:w="2376" w:type="dxa"/>
          </w:tcPr>
          <w:p w14:paraId="5B86F5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М-25-Д двухрядная 18 цил. звезда </w:t>
            </w:r>
          </w:p>
        </w:tc>
        <w:tc>
          <w:tcPr>
            <w:tcW w:w="851" w:type="dxa"/>
          </w:tcPr>
          <w:p w14:paraId="639581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1250</w:t>
            </w:r>
          </w:p>
        </w:tc>
        <w:tc>
          <w:tcPr>
            <w:tcW w:w="992" w:type="dxa"/>
          </w:tcPr>
          <w:p w14:paraId="799513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2500</w:t>
            </w:r>
          </w:p>
        </w:tc>
        <w:tc>
          <w:tcPr>
            <w:tcW w:w="992" w:type="dxa"/>
          </w:tcPr>
          <w:p w14:paraId="670FF6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993" w:type="dxa"/>
          </w:tcPr>
          <w:p w14:paraId="6A8003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1275" w:type="dxa"/>
          </w:tcPr>
          <w:p w14:paraId="4C22F5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w:t>
            </w:r>
          </w:p>
        </w:tc>
        <w:tc>
          <w:tcPr>
            <w:tcW w:w="1276" w:type="dxa"/>
          </w:tcPr>
          <w:p w14:paraId="743068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19</w:t>
            </w:r>
          </w:p>
        </w:tc>
        <w:tc>
          <w:tcPr>
            <w:tcW w:w="1418" w:type="dxa"/>
          </w:tcPr>
          <w:p w14:paraId="0032F5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w:t>
            </w:r>
          </w:p>
        </w:tc>
      </w:tr>
      <w:tr w:rsidR="00E3599D" w:rsidRPr="00E14102" w14:paraId="4C06FD92" w14:textId="77777777">
        <w:trPr>
          <w:cantSplit/>
        </w:trPr>
        <w:tc>
          <w:tcPr>
            <w:tcW w:w="2376" w:type="dxa"/>
          </w:tcPr>
          <w:p w14:paraId="189C4F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М-25 с 2-х скоростным нагнетателем (М-62)</w:t>
            </w:r>
          </w:p>
        </w:tc>
        <w:tc>
          <w:tcPr>
            <w:tcW w:w="851" w:type="dxa"/>
          </w:tcPr>
          <w:p w14:paraId="3FB4F5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992" w:type="dxa"/>
          </w:tcPr>
          <w:p w14:paraId="1C4394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2" w:type="dxa"/>
          </w:tcPr>
          <w:p w14:paraId="679641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993" w:type="dxa"/>
          </w:tcPr>
          <w:p w14:paraId="0A6B10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1275" w:type="dxa"/>
          </w:tcPr>
          <w:p w14:paraId="4858D0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w:t>
            </w:r>
          </w:p>
        </w:tc>
        <w:tc>
          <w:tcPr>
            <w:tcW w:w="1276" w:type="dxa"/>
          </w:tcPr>
          <w:p w14:paraId="1231D7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19</w:t>
            </w:r>
          </w:p>
        </w:tc>
        <w:tc>
          <w:tcPr>
            <w:tcW w:w="1418" w:type="dxa"/>
          </w:tcPr>
          <w:p w14:paraId="1D33170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32E7728" w14:textId="77777777">
        <w:trPr>
          <w:cantSplit/>
        </w:trPr>
        <w:tc>
          <w:tcPr>
            <w:tcW w:w="2376" w:type="dxa"/>
          </w:tcPr>
          <w:p w14:paraId="433AB3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ФРН</w:t>
            </w:r>
          </w:p>
        </w:tc>
        <w:tc>
          <w:tcPr>
            <w:tcW w:w="851" w:type="dxa"/>
          </w:tcPr>
          <w:p w14:paraId="3DFDE5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992" w:type="dxa"/>
          </w:tcPr>
          <w:p w14:paraId="50648B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2" w:type="dxa"/>
          </w:tcPr>
          <w:p w14:paraId="3C35C0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680</w:t>
            </w:r>
          </w:p>
        </w:tc>
        <w:tc>
          <w:tcPr>
            <w:tcW w:w="993" w:type="dxa"/>
          </w:tcPr>
          <w:p w14:paraId="7530EE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255-265</w:t>
            </w:r>
          </w:p>
        </w:tc>
        <w:tc>
          <w:tcPr>
            <w:tcW w:w="1275" w:type="dxa"/>
          </w:tcPr>
          <w:p w14:paraId="7136BF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1936</w:t>
            </w:r>
          </w:p>
        </w:tc>
        <w:tc>
          <w:tcPr>
            <w:tcW w:w="1276" w:type="dxa"/>
          </w:tcPr>
          <w:p w14:paraId="5C4B79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418" w:type="dxa"/>
          </w:tcPr>
          <w:p w14:paraId="566F34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w:t>
            </w:r>
          </w:p>
        </w:tc>
      </w:tr>
      <w:tr w:rsidR="00E3599D" w:rsidRPr="00E14102" w14:paraId="41E762B9" w14:textId="77777777">
        <w:trPr>
          <w:cantSplit/>
        </w:trPr>
        <w:tc>
          <w:tcPr>
            <w:tcW w:w="2376" w:type="dxa"/>
          </w:tcPr>
          <w:p w14:paraId="289DE5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ФН</w:t>
            </w:r>
          </w:p>
        </w:tc>
        <w:tc>
          <w:tcPr>
            <w:tcW w:w="851" w:type="dxa"/>
          </w:tcPr>
          <w:p w14:paraId="4C7504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992" w:type="dxa"/>
          </w:tcPr>
          <w:p w14:paraId="403E03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2" w:type="dxa"/>
          </w:tcPr>
          <w:p w14:paraId="261CF0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993" w:type="dxa"/>
          </w:tcPr>
          <w:p w14:paraId="3F39C8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225-265</w:t>
            </w:r>
          </w:p>
        </w:tc>
        <w:tc>
          <w:tcPr>
            <w:tcW w:w="1275" w:type="dxa"/>
          </w:tcPr>
          <w:p w14:paraId="26BF5D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сентября 1936</w:t>
            </w:r>
          </w:p>
        </w:tc>
        <w:tc>
          <w:tcPr>
            <w:tcW w:w="1276" w:type="dxa"/>
          </w:tcPr>
          <w:p w14:paraId="167883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418" w:type="dxa"/>
          </w:tcPr>
          <w:p w14:paraId="286B92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w:t>
            </w:r>
          </w:p>
        </w:tc>
      </w:tr>
      <w:tr w:rsidR="00E3599D" w:rsidRPr="00E14102" w14:paraId="13AE7531" w14:textId="77777777">
        <w:trPr>
          <w:cantSplit/>
        </w:trPr>
        <w:tc>
          <w:tcPr>
            <w:tcW w:w="2376" w:type="dxa"/>
          </w:tcPr>
          <w:p w14:paraId="64C325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М-34 смешан. охлажд. </w:t>
            </w:r>
          </w:p>
        </w:tc>
        <w:tc>
          <w:tcPr>
            <w:tcW w:w="851" w:type="dxa"/>
          </w:tcPr>
          <w:p w14:paraId="2D8483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1050</w:t>
            </w:r>
          </w:p>
        </w:tc>
        <w:tc>
          <w:tcPr>
            <w:tcW w:w="992" w:type="dxa"/>
          </w:tcPr>
          <w:p w14:paraId="4FC76A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w:t>
            </w:r>
          </w:p>
        </w:tc>
        <w:tc>
          <w:tcPr>
            <w:tcW w:w="992" w:type="dxa"/>
          </w:tcPr>
          <w:p w14:paraId="304328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1B77C8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225-265</w:t>
            </w:r>
          </w:p>
        </w:tc>
        <w:tc>
          <w:tcPr>
            <w:tcW w:w="1275" w:type="dxa"/>
          </w:tcPr>
          <w:p w14:paraId="5D5756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w:t>
            </w:r>
          </w:p>
        </w:tc>
        <w:tc>
          <w:tcPr>
            <w:tcW w:w="1276" w:type="dxa"/>
          </w:tcPr>
          <w:p w14:paraId="7A9D1E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418" w:type="dxa"/>
          </w:tcPr>
          <w:p w14:paraId="78BA071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AA382F6" w14:textId="77777777">
        <w:trPr>
          <w:cantSplit/>
        </w:trPr>
        <w:tc>
          <w:tcPr>
            <w:tcW w:w="2376" w:type="dxa"/>
          </w:tcPr>
          <w:p w14:paraId="26D294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ГМ-34-НБ для торпедных катеров форсир. с нагнетат.</w:t>
            </w:r>
          </w:p>
        </w:tc>
        <w:tc>
          <w:tcPr>
            <w:tcW w:w="851" w:type="dxa"/>
          </w:tcPr>
          <w:p w14:paraId="778744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1250</w:t>
            </w:r>
          </w:p>
        </w:tc>
        <w:tc>
          <w:tcPr>
            <w:tcW w:w="992" w:type="dxa"/>
          </w:tcPr>
          <w:p w14:paraId="1B4920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5F6706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0E63C3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5" w:type="dxa"/>
          </w:tcPr>
          <w:p w14:paraId="245F8E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w:t>
            </w:r>
          </w:p>
        </w:tc>
        <w:tc>
          <w:tcPr>
            <w:tcW w:w="1276" w:type="dxa"/>
          </w:tcPr>
          <w:p w14:paraId="00F9CB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418" w:type="dxa"/>
          </w:tcPr>
          <w:p w14:paraId="09FEAF9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2DE227F" w14:textId="77777777">
        <w:trPr>
          <w:cantSplit/>
        </w:trPr>
        <w:tc>
          <w:tcPr>
            <w:tcW w:w="2376" w:type="dxa"/>
          </w:tcPr>
          <w:p w14:paraId="3DE3D8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М-86 (развитие К-9) 2-х рядная 18 цил. звезда</w:t>
            </w:r>
          </w:p>
        </w:tc>
        <w:tc>
          <w:tcPr>
            <w:tcW w:w="851" w:type="dxa"/>
          </w:tcPr>
          <w:p w14:paraId="68F34A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1050</w:t>
            </w:r>
          </w:p>
        </w:tc>
        <w:tc>
          <w:tcPr>
            <w:tcW w:w="992" w:type="dxa"/>
          </w:tcPr>
          <w:p w14:paraId="58845B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992" w:type="dxa"/>
          </w:tcPr>
          <w:p w14:paraId="68BA5E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700-750</w:t>
            </w:r>
          </w:p>
        </w:tc>
        <w:tc>
          <w:tcPr>
            <w:tcW w:w="993" w:type="dxa"/>
          </w:tcPr>
          <w:p w14:paraId="50CF4D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1275" w:type="dxa"/>
          </w:tcPr>
          <w:p w14:paraId="3BDFA6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w:t>
            </w:r>
          </w:p>
        </w:tc>
        <w:tc>
          <w:tcPr>
            <w:tcW w:w="1276" w:type="dxa"/>
          </w:tcPr>
          <w:p w14:paraId="0DFF27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1418" w:type="dxa"/>
          </w:tcPr>
          <w:p w14:paraId="10A271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w:t>
            </w:r>
          </w:p>
        </w:tc>
      </w:tr>
      <w:tr w:rsidR="00E3599D" w:rsidRPr="00E14102" w14:paraId="48EDF692" w14:textId="77777777">
        <w:trPr>
          <w:cantSplit/>
        </w:trPr>
        <w:tc>
          <w:tcPr>
            <w:tcW w:w="2376" w:type="dxa"/>
          </w:tcPr>
          <w:p w14:paraId="5EDE41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М-85Ф (форсированный)</w:t>
            </w:r>
          </w:p>
        </w:tc>
        <w:tc>
          <w:tcPr>
            <w:tcW w:w="851" w:type="dxa"/>
          </w:tcPr>
          <w:p w14:paraId="0F95AD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950</w:t>
            </w:r>
          </w:p>
        </w:tc>
        <w:tc>
          <w:tcPr>
            <w:tcW w:w="992" w:type="dxa"/>
          </w:tcPr>
          <w:p w14:paraId="7C204D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992" w:type="dxa"/>
          </w:tcPr>
          <w:p w14:paraId="7E46C7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630</w:t>
            </w:r>
          </w:p>
        </w:tc>
        <w:tc>
          <w:tcPr>
            <w:tcW w:w="993" w:type="dxa"/>
          </w:tcPr>
          <w:p w14:paraId="7C6829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1275" w:type="dxa"/>
          </w:tcPr>
          <w:p w14:paraId="4305FC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w:t>
            </w:r>
          </w:p>
        </w:tc>
        <w:tc>
          <w:tcPr>
            <w:tcW w:w="1276" w:type="dxa"/>
          </w:tcPr>
          <w:p w14:paraId="57A2EF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1418" w:type="dxa"/>
          </w:tcPr>
          <w:p w14:paraId="20DC928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B18A16A" w14:textId="77777777">
        <w:trPr>
          <w:cantSplit/>
        </w:trPr>
        <w:tc>
          <w:tcPr>
            <w:tcW w:w="2376" w:type="dxa"/>
          </w:tcPr>
          <w:p w14:paraId="6C191B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М-100-Ф (форсированный)</w:t>
            </w:r>
          </w:p>
        </w:tc>
        <w:tc>
          <w:tcPr>
            <w:tcW w:w="851" w:type="dxa"/>
          </w:tcPr>
          <w:p w14:paraId="1A3B1D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950</w:t>
            </w:r>
          </w:p>
        </w:tc>
        <w:tc>
          <w:tcPr>
            <w:tcW w:w="992" w:type="dxa"/>
          </w:tcPr>
          <w:p w14:paraId="68D9D9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992" w:type="dxa"/>
          </w:tcPr>
          <w:p w14:paraId="0866B6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993" w:type="dxa"/>
          </w:tcPr>
          <w:p w14:paraId="677652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w:t>
            </w:r>
          </w:p>
        </w:tc>
        <w:tc>
          <w:tcPr>
            <w:tcW w:w="1275" w:type="dxa"/>
          </w:tcPr>
          <w:p w14:paraId="414629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w:t>
            </w:r>
          </w:p>
        </w:tc>
        <w:tc>
          <w:tcPr>
            <w:tcW w:w="1276" w:type="dxa"/>
          </w:tcPr>
          <w:p w14:paraId="3BAFE2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26</w:t>
            </w:r>
          </w:p>
        </w:tc>
        <w:tc>
          <w:tcPr>
            <w:tcW w:w="1418" w:type="dxa"/>
          </w:tcPr>
          <w:p w14:paraId="6598343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DFB1B52" w14:textId="77777777">
        <w:trPr>
          <w:cantSplit/>
        </w:trPr>
        <w:tc>
          <w:tcPr>
            <w:tcW w:w="2376" w:type="dxa"/>
          </w:tcPr>
          <w:p w14:paraId="1AF51B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Новые агрегаты</w:t>
            </w:r>
          </w:p>
        </w:tc>
        <w:tc>
          <w:tcPr>
            <w:tcW w:w="851" w:type="dxa"/>
          </w:tcPr>
          <w:p w14:paraId="481F711F"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794396D0"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30FDA0A0" w14:textId="77777777" w:rsidR="00D4105E" w:rsidRPr="00E14102" w:rsidRDefault="00D4105E" w:rsidP="00E14102">
            <w:pPr>
              <w:autoSpaceDE w:val="0"/>
              <w:autoSpaceDN w:val="0"/>
              <w:adjustRightInd w:val="0"/>
              <w:jc w:val="both"/>
              <w:rPr>
                <w:color w:val="000000" w:themeColor="text1"/>
                <w:sz w:val="16"/>
                <w:szCs w:val="16"/>
              </w:rPr>
            </w:pPr>
          </w:p>
        </w:tc>
        <w:tc>
          <w:tcPr>
            <w:tcW w:w="993" w:type="dxa"/>
          </w:tcPr>
          <w:p w14:paraId="0D07E5BB" w14:textId="77777777" w:rsidR="00D4105E" w:rsidRPr="00E14102" w:rsidRDefault="00D4105E" w:rsidP="00E14102">
            <w:pPr>
              <w:autoSpaceDE w:val="0"/>
              <w:autoSpaceDN w:val="0"/>
              <w:adjustRightInd w:val="0"/>
              <w:jc w:val="both"/>
              <w:rPr>
                <w:color w:val="000000" w:themeColor="text1"/>
                <w:sz w:val="16"/>
                <w:szCs w:val="16"/>
              </w:rPr>
            </w:pPr>
          </w:p>
        </w:tc>
        <w:tc>
          <w:tcPr>
            <w:tcW w:w="1275" w:type="dxa"/>
          </w:tcPr>
          <w:p w14:paraId="0304F4FA" w14:textId="77777777" w:rsidR="00D4105E" w:rsidRPr="00E14102" w:rsidRDefault="00D4105E" w:rsidP="00E14102">
            <w:pPr>
              <w:autoSpaceDE w:val="0"/>
              <w:autoSpaceDN w:val="0"/>
              <w:adjustRightInd w:val="0"/>
              <w:jc w:val="both"/>
              <w:rPr>
                <w:color w:val="000000" w:themeColor="text1"/>
                <w:sz w:val="16"/>
                <w:szCs w:val="16"/>
              </w:rPr>
            </w:pPr>
          </w:p>
        </w:tc>
        <w:tc>
          <w:tcPr>
            <w:tcW w:w="1276" w:type="dxa"/>
          </w:tcPr>
          <w:p w14:paraId="7036DD94" w14:textId="77777777" w:rsidR="00D4105E" w:rsidRPr="00E14102" w:rsidRDefault="00D4105E" w:rsidP="00E14102">
            <w:pPr>
              <w:autoSpaceDE w:val="0"/>
              <w:autoSpaceDN w:val="0"/>
              <w:adjustRightInd w:val="0"/>
              <w:jc w:val="both"/>
              <w:rPr>
                <w:color w:val="000000" w:themeColor="text1"/>
                <w:sz w:val="16"/>
                <w:szCs w:val="16"/>
              </w:rPr>
            </w:pPr>
          </w:p>
        </w:tc>
        <w:tc>
          <w:tcPr>
            <w:tcW w:w="1418" w:type="dxa"/>
          </w:tcPr>
          <w:p w14:paraId="03DF70E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769DB9" w14:textId="77777777">
        <w:trPr>
          <w:cantSplit/>
        </w:trPr>
        <w:tc>
          <w:tcPr>
            <w:tcW w:w="2376" w:type="dxa"/>
          </w:tcPr>
          <w:p w14:paraId="1553E4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на непосредственный впрыск моторов М-34, М-100, М-25, М-85</w:t>
            </w:r>
          </w:p>
        </w:tc>
        <w:tc>
          <w:tcPr>
            <w:tcW w:w="851" w:type="dxa"/>
          </w:tcPr>
          <w:p w14:paraId="4E7654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2C8E90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4532A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359ED9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5" w:type="dxa"/>
          </w:tcPr>
          <w:p w14:paraId="29FCF0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w:t>
            </w:r>
          </w:p>
          <w:p w14:paraId="67A52D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w:t>
            </w:r>
          </w:p>
        </w:tc>
        <w:tc>
          <w:tcPr>
            <w:tcW w:w="1276" w:type="dxa"/>
          </w:tcPr>
          <w:p w14:paraId="46BF72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совместно с заводами</w:t>
            </w:r>
          </w:p>
        </w:tc>
        <w:tc>
          <w:tcPr>
            <w:tcW w:w="1418" w:type="dxa"/>
          </w:tcPr>
          <w:p w14:paraId="39AB57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М-34 предъявляется к 1 апреля 1936</w:t>
            </w:r>
          </w:p>
          <w:p w14:paraId="7D4808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к 1 января 1936</w:t>
            </w:r>
          </w:p>
        </w:tc>
      </w:tr>
      <w:tr w:rsidR="00E3599D" w:rsidRPr="00E14102" w14:paraId="2E156500" w14:textId="77777777">
        <w:trPr>
          <w:cantSplit/>
        </w:trPr>
        <w:tc>
          <w:tcPr>
            <w:tcW w:w="2376" w:type="dxa"/>
          </w:tcPr>
          <w:p w14:paraId="148DA1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Повышение высотности моторов М-34, М100 и М85 (двухступенч. и двухскор. нагнет.)</w:t>
            </w:r>
          </w:p>
        </w:tc>
        <w:tc>
          <w:tcPr>
            <w:tcW w:w="851" w:type="dxa"/>
          </w:tcPr>
          <w:p w14:paraId="187740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31FAB6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6000</w:t>
            </w:r>
          </w:p>
        </w:tc>
        <w:tc>
          <w:tcPr>
            <w:tcW w:w="992" w:type="dxa"/>
          </w:tcPr>
          <w:p w14:paraId="7A3536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66761B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5" w:type="dxa"/>
          </w:tcPr>
          <w:p w14:paraId="5BF90D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1936</w:t>
            </w:r>
          </w:p>
          <w:p w14:paraId="7C85F0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w:t>
            </w:r>
          </w:p>
        </w:tc>
        <w:tc>
          <w:tcPr>
            <w:tcW w:w="1276" w:type="dxa"/>
          </w:tcPr>
          <w:p w14:paraId="3964BA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совместно с заводами</w:t>
            </w:r>
          </w:p>
        </w:tc>
        <w:tc>
          <w:tcPr>
            <w:tcW w:w="1418" w:type="dxa"/>
          </w:tcPr>
          <w:p w14:paraId="685CF9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М-34 предъявляется к 1 марта 1936</w:t>
            </w:r>
          </w:p>
          <w:p w14:paraId="51E3E0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к 1 января 1936</w:t>
            </w:r>
          </w:p>
        </w:tc>
      </w:tr>
      <w:tr w:rsidR="00E3599D" w:rsidRPr="00E14102" w14:paraId="78EE204B" w14:textId="77777777">
        <w:trPr>
          <w:cantSplit/>
        </w:trPr>
        <w:tc>
          <w:tcPr>
            <w:tcW w:w="2376" w:type="dxa"/>
          </w:tcPr>
          <w:p w14:paraId="05D074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Повышение высотности мотора М-34 (турбокомпрессор)</w:t>
            </w:r>
          </w:p>
        </w:tc>
        <w:tc>
          <w:tcPr>
            <w:tcW w:w="851" w:type="dxa"/>
          </w:tcPr>
          <w:p w14:paraId="2909F2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DB0C9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8500</w:t>
            </w:r>
          </w:p>
        </w:tc>
        <w:tc>
          <w:tcPr>
            <w:tcW w:w="992" w:type="dxa"/>
          </w:tcPr>
          <w:p w14:paraId="02329C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6AB4EF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5" w:type="dxa"/>
          </w:tcPr>
          <w:p w14:paraId="3A4A97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w:t>
            </w:r>
          </w:p>
        </w:tc>
        <w:tc>
          <w:tcPr>
            <w:tcW w:w="1276" w:type="dxa"/>
          </w:tcPr>
          <w:p w14:paraId="5A92D9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18" w:type="dxa"/>
          </w:tcPr>
          <w:p w14:paraId="4EB460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на самолете</w:t>
            </w:r>
          </w:p>
        </w:tc>
      </w:tr>
      <w:tr w:rsidR="00E3599D" w:rsidRPr="00E14102" w14:paraId="543E3D20" w14:textId="77777777">
        <w:trPr>
          <w:cantSplit/>
        </w:trPr>
        <w:tc>
          <w:tcPr>
            <w:tcW w:w="2376" w:type="dxa"/>
          </w:tcPr>
          <w:p w14:paraId="6259CD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Центральный наддув к самолету ТБ-3</w:t>
            </w:r>
          </w:p>
        </w:tc>
        <w:tc>
          <w:tcPr>
            <w:tcW w:w="851" w:type="dxa"/>
          </w:tcPr>
          <w:p w14:paraId="2A35B1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8EE55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8000-9000</w:t>
            </w:r>
          </w:p>
        </w:tc>
        <w:tc>
          <w:tcPr>
            <w:tcW w:w="992" w:type="dxa"/>
          </w:tcPr>
          <w:p w14:paraId="1A6606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570703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5" w:type="dxa"/>
          </w:tcPr>
          <w:p w14:paraId="431661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w:t>
            </w:r>
          </w:p>
        </w:tc>
        <w:tc>
          <w:tcPr>
            <w:tcW w:w="1276" w:type="dxa"/>
          </w:tcPr>
          <w:p w14:paraId="4CA6BA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18" w:type="dxa"/>
          </w:tcPr>
          <w:p w14:paraId="335EBB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на самолете</w:t>
            </w:r>
          </w:p>
        </w:tc>
      </w:tr>
      <w:tr w:rsidR="00E3599D" w:rsidRPr="00E14102" w14:paraId="67626CEE" w14:textId="77777777">
        <w:trPr>
          <w:cantSplit/>
        </w:trPr>
        <w:tc>
          <w:tcPr>
            <w:tcW w:w="2376" w:type="dxa"/>
          </w:tcPr>
          <w:p w14:paraId="72BBE7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Центральный наддув к самолету ТБ-7</w:t>
            </w:r>
          </w:p>
        </w:tc>
        <w:tc>
          <w:tcPr>
            <w:tcW w:w="851" w:type="dxa"/>
          </w:tcPr>
          <w:p w14:paraId="2DB811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097852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8000-9000</w:t>
            </w:r>
          </w:p>
        </w:tc>
        <w:tc>
          <w:tcPr>
            <w:tcW w:w="992" w:type="dxa"/>
          </w:tcPr>
          <w:p w14:paraId="67FC20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3" w:type="dxa"/>
          </w:tcPr>
          <w:p w14:paraId="4E7619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275" w:type="dxa"/>
          </w:tcPr>
          <w:p w14:paraId="23BFD3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w:t>
            </w:r>
          </w:p>
        </w:tc>
        <w:tc>
          <w:tcPr>
            <w:tcW w:w="1276" w:type="dxa"/>
          </w:tcPr>
          <w:p w14:paraId="112396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с ЦАГИ</w:t>
            </w:r>
          </w:p>
        </w:tc>
        <w:tc>
          <w:tcPr>
            <w:tcW w:w="1418" w:type="dxa"/>
          </w:tcPr>
          <w:p w14:paraId="1D41262E" w14:textId="77777777" w:rsidR="00D4105E" w:rsidRPr="00E14102" w:rsidRDefault="00D4105E" w:rsidP="00E14102">
            <w:pPr>
              <w:autoSpaceDE w:val="0"/>
              <w:autoSpaceDN w:val="0"/>
              <w:adjustRightInd w:val="0"/>
              <w:jc w:val="both"/>
              <w:rPr>
                <w:color w:val="000000" w:themeColor="text1"/>
                <w:sz w:val="16"/>
                <w:szCs w:val="16"/>
              </w:rPr>
            </w:pPr>
          </w:p>
        </w:tc>
      </w:tr>
    </w:tbl>
    <w:p w14:paraId="45F9C5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(3475,81).</w:t>
      </w:r>
    </w:p>
    <w:p w14:paraId="1A1972B9" w14:textId="77777777" w:rsidR="00D4105E" w:rsidRPr="00E14102" w:rsidRDefault="00D4105E" w:rsidP="00E14102">
      <w:pPr>
        <w:autoSpaceDE w:val="0"/>
        <w:autoSpaceDN w:val="0"/>
        <w:adjustRightInd w:val="0"/>
        <w:jc w:val="both"/>
        <w:rPr>
          <w:color w:val="000000" w:themeColor="text1"/>
          <w:sz w:val="16"/>
          <w:szCs w:val="16"/>
        </w:rPr>
      </w:pPr>
    </w:p>
    <w:p w14:paraId="5D52EC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года вышло постановление СТО</w:t>
      </w:r>
    </w:p>
    <w:p w14:paraId="5152C3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производстве винтов с регулируемым в полете шагом (ВРШ)</w:t>
      </w:r>
    </w:p>
    <w:p w14:paraId="6F1355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53B190D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обеспечения серийной постройки винтов с регулируемым в полете шагом, в 1936 году – обязать ГУАП (Королева) представить на госиспытания:</w:t>
      </w:r>
    </w:p>
    <w:p w14:paraId="5E0E2A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ВРШ2 завода № 28 – для применения на И16-м25, ИП1-М25, ДИ6-М25 – к 25 декабря 1936 года</w:t>
      </w:r>
    </w:p>
    <w:p w14:paraId="608132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ВРШ3 ЦИАМа - для применения на ТБ3-4М34РН и ДБ-4М34РН – к 1 января 1936 года</w:t>
      </w:r>
    </w:p>
    <w:p w14:paraId="577306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ВРШ ЦАГИ – для СБ-2М100 – к 1 марта 1936 года</w:t>
      </w:r>
    </w:p>
    <w:p w14:paraId="72D85F4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ОВИ НКО представить на госиспытания винт КБ № 2 для Р-ЗЕТ-М34Н к 1 декабря 1935 года и винт к МБР2-М34Н – к 1 января 1936 года.</w:t>
      </w:r>
    </w:p>
    <w:p w14:paraId="71CC163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ГУАПу под личную ответственность Королева, обеспечить установку указанных выше винтов для госиспытаний на самолетах не позднее чем через месяц после удовлетворительного окончания их госиспытания на станке.</w:t>
      </w:r>
    </w:p>
    <w:p w14:paraId="3D7CF35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ГУАП (Королева) организовать производство ВРШ по образцам, которые прошли госиспытания и утверждены для серийной постройки. По этим (утвержденным) типам винтов вести производство с таким расчетом, чтобы со второго полугодия они были внедрены в производство крупными сериями, а с 1937 года все самолеты под этот винт и мотор были бы снабжены ВРШ. Учебные самолеты не снабжаются винтами ВРШ.</w:t>
      </w:r>
    </w:p>
    <w:p w14:paraId="7D90A6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НКТП и НКО к 1 января 1936 года определить количество заказа на ВРШ по 1936 году.</w:t>
      </w:r>
    </w:p>
    <w:p w14:paraId="315152E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ГУАП (Королева) дать заказ американской фирме Гамильтон Стандарт на ВРШ для самолетов ТБ3-4М34РН, СБ-2М100, Р-ЗЕТ-М34Н, И16-М25 – всего на 15 винтов по нашим техтребованиям и в месячный срок выяснить условия покупки техпомощи на указанные выше винты (3475,83-84).</w:t>
      </w:r>
    </w:p>
    <w:p w14:paraId="17E70579"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14C9AF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пятиместный пассажирский планер ГN 4 Г.Ф.Грошева, который с конца 1934 использовался в ГВФ на линиях Москва-Орел и Москва-Харьков для перевозки почты и грузов, а также технического персонала, был передан как экспонат в Аэрохиммузей, где был уничтожен уже во время войны (94,33).</w:t>
      </w:r>
    </w:p>
    <w:p w14:paraId="1858D29C" w14:textId="77777777" w:rsidR="00D4105E" w:rsidRPr="00E14102" w:rsidRDefault="00D4105E" w:rsidP="00E14102">
      <w:pPr>
        <w:autoSpaceDE w:val="0"/>
        <w:autoSpaceDN w:val="0"/>
        <w:adjustRightInd w:val="0"/>
        <w:jc w:val="both"/>
        <w:rPr>
          <w:color w:val="000000" w:themeColor="text1"/>
          <w:sz w:val="16"/>
          <w:szCs w:val="16"/>
        </w:rPr>
      </w:pPr>
    </w:p>
    <w:p w14:paraId="229466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года Красносельская мебельная фабрика № 1 была по постановлению Экономсовета переименована в завод № 161. В июле 1940 года завод № 161 на основании Постановления Правительства от 5 июля 1940 года № 1169-456с из системы Наркомлеса был передан в систему НКАП для производства авиасвечей и магнето.</w:t>
      </w:r>
    </w:p>
    <w:p w14:paraId="321A7B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Все оборудование и приспособления для деревообработки были сняты. Завод подвергся полной реконструкции и 23 сентября 1940 года был пущен один цех № 6 (штамповочный) для выпуска новой продукции (9286).</w:t>
      </w:r>
    </w:p>
    <w:p w14:paraId="3D0FF53B" w14:textId="77777777" w:rsidR="00D4105E" w:rsidRPr="00E14102" w:rsidRDefault="00D4105E" w:rsidP="00E14102">
      <w:pPr>
        <w:autoSpaceDE w:val="0"/>
        <w:autoSpaceDN w:val="0"/>
        <w:adjustRightInd w:val="0"/>
        <w:jc w:val="both"/>
        <w:rPr>
          <w:color w:val="000000" w:themeColor="text1"/>
          <w:sz w:val="16"/>
          <w:szCs w:val="16"/>
        </w:rPr>
      </w:pPr>
    </w:p>
    <w:p w14:paraId="283FA7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ноября 1935 года началась реконструкция завода № 165 под производство авиалыж. Производство авиалыж продолжалось до апреля 1940 года. До июля 1939 года завод находился в системе НК лесной промышленности. Согласно приказа НК лесной промышленности и НКАП № 32/177 от 8 июля 1939 года, завод был передан в НКАП. Согласно приказа НКАП № 145с от 26 марта 1940 года было организовано производство запчастей к самолетам. Приказом № 541сс ри 14 октября 1940 года Шахурин предложил завод № 165 передать из 6 гл. управления в 1 гл. управление НКАП для организации производства самолетов. С 4 квартала 1940 года начата реконструкция завода под производство самолетов (9292).</w:t>
      </w:r>
    </w:p>
    <w:p w14:paraId="2D0ECB78" w14:textId="77777777" w:rsidR="00D4105E" w:rsidRPr="00E14102" w:rsidRDefault="00D4105E" w:rsidP="00E14102">
      <w:pPr>
        <w:autoSpaceDE w:val="0"/>
        <w:autoSpaceDN w:val="0"/>
        <w:adjustRightInd w:val="0"/>
        <w:jc w:val="both"/>
        <w:rPr>
          <w:color w:val="000000" w:themeColor="text1"/>
          <w:sz w:val="16"/>
          <w:szCs w:val="16"/>
        </w:rPr>
      </w:pPr>
    </w:p>
    <w:p w14:paraId="2BA077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в Коктебеле состоялся последний, 11 планерный слет (24,34).</w:t>
      </w:r>
    </w:p>
    <w:p w14:paraId="460FEA2D" w14:textId="77777777" w:rsidR="00D4105E" w:rsidRPr="00E14102" w:rsidRDefault="00D4105E" w:rsidP="00E14102">
      <w:pPr>
        <w:autoSpaceDE w:val="0"/>
        <w:autoSpaceDN w:val="0"/>
        <w:adjustRightInd w:val="0"/>
        <w:jc w:val="both"/>
        <w:rPr>
          <w:color w:val="000000" w:themeColor="text1"/>
          <w:sz w:val="16"/>
          <w:szCs w:val="16"/>
        </w:rPr>
      </w:pPr>
    </w:p>
    <w:p w14:paraId="6B978D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Н.Н.Поликарпов закончил летную школу и стал пилотом четвертого класса (67,52).</w:t>
      </w:r>
    </w:p>
    <w:p w14:paraId="301A4B19" w14:textId="77777777" w:rsidR="00D4105E" w:rsidRPr="00E14102" w:rsidRDefault="00D4105E" w:rsidP="00E14102">
      <w:pPr>
        <w:autoSpaceDE w:val="0"/>
        <w:autoSpaceDN w:val="0"/>
        <w:adjustRightInd w:val="0"/>
        <w:jc w:val="both"/>
        <w:rPr>
          <w:color w:val="000000" w:themeColor="text1"/>
          <w:sz w:val="16"/>
          <w:szCs w:val="16"/>
        </w:rPr>
      </w:pPr>
    </w:p>
    <w:p w14:paraId="7BBFBB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на 1 Всесоюзном совещании стахановцев К.Е.В. сказал "Сейчас вопрос ставится так: какой ценой, какими усилиями, какими жертвами мы победим? Я лично думаю, - так думает тов. Сталин, так думает тов. Орджоникидзе, весь наш ЦК и Правительство, - что мы должны победить врага, если он осмелится на нас напасть, малой кровью, с затратой минимальных средств и возможно меньшего количества жизней наших славных бойцов" (505,132).</w:t>
      </w:r>
    </w:p>
    <w:p w14:paraId="057B7C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Опять малая кровь.</w:t>
      </w:r>
    </w:p>
    <w:p w14:paraId="6D537B4E" w14:textId="77777777" w:rsidR="00D4105E" w:rsidRPr="00E14102" w:rsidRDefault="00D4105E" w:rsidP="00E14102">
      <w:pPr>
        <w:autoSpaceDE w:val="0"/>
        <w:autoSpaceDN w:val="0"/>
        <w:adjustRightInd w:val="0"/>
        <w:jc w:val="both"/>
        <w:rPr>
          <w:color w:val="000000" w:themeColor="text1"/>
          <w:sz w:val="16"/>
          <w:szCs w:val="16"/>
        </w:rPr>
      </w:pPr>
    </w:p>
    <w:p w14:paraId="36AE45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г. в НИИ ВВС испытывали устройство для установки с самолета противотанковых минных полей. Мины Т-27 разбрасывал ТБ-3. Для этого ему пришлось лететь на высоте всего 300 м. Идея была безусловно интересна. Бомбардировщик мог оперативно поставить заграждение на пути прорвавшейся танковой колонны врага, но многие проблемы тогда еще не были разрешены - надежность, безопасность, да и уязвимость четырехмоторного гиганта на малых высотах у линии фронта была очень велика. Однако идея не умерла, и уже в локальных войнах второй половины XX века системы минирования местности с различных летательных аппаратов получили большое распространение (9964).</w:t>
      </w:r>
    </w:p>
    <w:p w14:paraId="569D509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C2A2E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ноябрю 1935 М.В.Веселовский с ближай</w:t>
      </w:r>
      <w:r w:rsidRPr="00E14102">
        <w:rPr>
          <w:color w:val="000000" w:themeColor="text1"/>
          <w:sz w:val="16"/>
          <w:szCs w:val="16"/>
        </w:rPr>
        <w:softHyphen/>
        <w:t>шими помощниками перешел на завод “Красный Металлист”, где был организо</w:t>
      </w:r>
      <w:r w:rsidRPr="00E14102">
        <w:rPr>
          <w:color w:val="000000" w:themeColor="text1"/>
          <w:sz w:val="16"/>
          <w:szCs w:val="16"/>
        </w:rPr>
        <w:softHyphen/>
        <w:t>ван аэросанный цех. Самолет КСМ сдали за</w:t>
      </w:r>
      <w:r w:rsidRPr="00E14102">
        <w:rPr>
          <w:color w:val="000000" w:themeColor="text1"/>
          <w:sz w:val="16"/>
          <w:szCs w:val="16"/>
        </w:rPr>
        <w:softHyphen/>
        <w:t>казчику — ГАЗу (10715).</w:t>
      </w:r>
    </w:p>
    <w:p w14:paraId="294925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C6686D5" w14:textId="77777777" w:rsidR="00A2081C" w:rsidRPr="00E14102" w:rsidRDefault="00A2081C" w:rsidP="00E14102">
      <w:pPr>
        <w:jc w:val="both"/>
        <w:rPr>
          <w:color w:val="0070C0"/>
          <w:sz w:val="16"/>
          <w:szCs w:val="16"/>
        </w:rPr>
      </w:pPr>
      <w:r w:rsidRPr="00E14102">
        <w:rPr>
          <w:color w:val="0070C0"/>
          <w:sz w:val="16"/>
          <w:szCs w:val="16"/>
        </w:rPr>
        <w:t>В ноябре 1935 г. 15 самолетов Р-5 погранвойск совершили длительный по тем временам перелет по маршруту Алма-Ата, Аягуз, Вахты, Зайсан, Семипала</w:t>
      </w:r>
      <w:r w:rsidRPr="00E14102">
        <w:rPr>
          <w:color w:val="0070C0"/>
          <w:sz w:val="16"/>
          <w:szCs w:val="16"/>
        </w:rPr>
        <w:softHyphen/>
        <w:t>тинск, Аягуз, Алма-Ата, протяженностью свыше 1200 км. Маршруты всех агитационных перелетов были проложены с максимальным соответствием реальной обстановке, и их протяженность варьировалась от 600 до 1350 км. В ходе мероприятия проверялась техника пилотирования летчиков, слетан</w:t>
      </w:r>
      <w:r w:rsidRPr="00E14102">
        <w:rPr>
          <w:color w:val="0070C0"/>
          <w:sz w:val="16"/>
          <w:szCs w:val="16"/>
        </w:rPr>
        <w:softHyphen/>
        <w:t>ность экипажей, готовность технического персонала обслуживать машины в условиях удаленности от основных баз, взаимодействие с наземными служ</w:t>
      </w:r>
      <w:r w:rsidRPr="00E14102">
        <w:rPr>
          <w:color w:val="0070C0"/>
          <w:sz w:val="16"/>
          <w:szCs w:val="16"/>
        </w:rPr>
        <w:softHyphen/>
        <w:t>бами и другие вопросы. Несмотря на сложность выполняемого задания, все экипажи успешно справились с задачей. Для делающей первые шаги авиации пограничных войск, это был существенный успех, который был отмечен руко</w:t>
      </w:r>
      <w:r w:rsidRPr="00E14102">
        <w:rPr>
          <w:color w:val="0070C0"/>
          <w:sz w:val="16"/>
          <w:szCs w:val="16"/>
        </w:rPr>
        <w:softHyphen/>
        <w:t>водством ГУПВО (Из истории Советских пограничных войск. М., 1973. Т. 3. С. 95) (20402).</w:t>
      </w:r>
    </w:p>
    <w:p w14:paraId="344F9CBB" w14:textId="77777777" w:rsidR="00A2081C" w:rsidRPr="00E14102" w:rsidRDefault="00A2081C" w:rsidP="00E14102">
      <w:pPr>
        <w:jc w:val="both"/>
        <w:rPr>
          <w:color w:val="0070C0"/>
          <w:sz w:val="16"/>
          <w:szCs w:val="16"/>
        </w:rPr>
      </w:pPr>
    </w:p>
    <w:p w14:paraId="40BC6A4D" w14:textId="77777777" w:rsidR="00EA5F83" w:rsidRPr="00E14102" w:rsidRDefault="00EA5F83" w:rsidP="00E14102">
      <w:pPr>
        <w:jc w:val="both"/>
        <w:rPr>
          <w:color w:val="0070C0"/>
          <w:sz w:val="16"/>
          <w:szCs w:val="16"/>
        </w:rPr>
      </w:pPr>
      <w:bookmarkStart w:id="36" w:name="_Hlk77843812"/>
      <w:r w:rsidRPr="00E14102">
        <w:rPr>
          <w:color w:val="0070C0"/>
          <w:sz w:val="16"/>
          <w:szCs w:val="16"/>
        </w:rPr>
        <w:t>В ноябре 1935 был подготовлен «Доклад начальника Главного управления гражданского воздушного флота (И.Ф.Ткачева, который и возглавлял советскую делегацию на Миланской выставке) о пребывании советской делегации в Италии, Франции и Германии и ознакомлении с авиацией этих стран» (РГВА. Ф. 33987. Секретариат Председателя РВС СССР. Оп. 3. Д. 705.)</w:t>
      </w:r>
    </w:p>
    <w:p w14:paraId="1746D33B" w14:textId="77777777" w:rsidR="00EA5F83" w:rsidRPr="00E14102" w:rsidRDefault="00EA5F83" w:rsidP="00E14102">
      <w:pPr>
        <w:jc w:val="both"/>
        <w:rPr>
          <w:color w:val="0070C0"/>
          <w:sz w:val="16"/>
          <w:szCs w:val="16"/>
        </w:rPr>
      </w:pPr>
      <w:r w:rsidRPr="00E14102">
        <w:rPr>
          <w:color w:val="0070C0"/>
          <w:sz w:val="16"/>
          <w:szCs w:val="16"/>
        </w:rPr>
        <w:t>В докладе, направленном И.В. Сталину, А.А. Андрееву, В.М. Молотову, К.Е. Ворошилову и С. Орджоникидзе, И.Ф. Ткачев сообщает, что «на основании разрешения ЦК ВКП(б) я с 13-го октября по 15-е октября с.г. провел заграничную поездку в Италию, Францию и Германию, где ознакомился с авиацией, авиационной промышленностью и практической работой линий гражданского воздушного флота», осмотрел основные авиационные предприятия (заводы «Caproni», «Fiat», «Savoia» «Breda», научно-исследовательский институт Guidonia) и крупнейшие аэродромы.</w:t>
      </w:r>
    </w:p>
    <w:p w14:paraId="13224E4F" w14:textId="77777777" w:rsidR="00EA5F83" w:rsidRPr="00E14102" w:rsidRDefault="00EA5F83" w:rsidP="00E14102">
      <w:pPr>
        <w:jc w:val="both"/>
        <w:rPr>
          <w:color w:val="0070C0"/>
          <w:sz w:val="16"/>
          <w:szCs w:val="16"/>
        </w:rPr>
      </w:pPr>
      <w:r w:rsidRPr="00E14102">
        <w:rPr>
          <w:color w:val="0070C0"/>
          <w:sz w:val="16"/>
          <w:szCs w:val="16"/>
        </w:rPr>
        <w:t>В процессе подготовки к заграничной командировке на миланскую выставку принимали деятельное участие Наркомат Иностранных дел, Наркомат Обороны, советское полпредство в Риме и торгпредство в Милане.</w:t>
      </w:r>
    </w:p>
    <w:p w14:paraId="2622F84E" w14:textId="77777777" w:rsidR="00EA5F83" w:rsidRPr="00E14102" w:rsidRDefault="00EA5F83" w:rsidP="00E14102">
      <w:pPr>
        <w:jc w:val="both"/>
        <w:rPr>
          <w:color w:val="0070C0"/>
          <w:sz w:val="16"/>
          <w:szCs w:val="16"/>
        </w:rPr>
      </w:pPr>
      <w:r w:rsidRPr="00E14102">
        <w:rPr>
          <w:color w:val="0070C0"/>
          <w:sz w:val="16"/>
          <w:szCs w:val="16"/>
        </w:rPr>
        <w:t>В состав советской делегации вошло более двадцати человек.</w:t>
      </w:r>
    </w:p>
    <w:p w14:paraId="269C8661" w14:textId="77777777" w:rsidR="00EA5F83" w:rsidRPr="00E14102" w:rsidRDefault="00EA5F83" w:rsidP="00E14102">
      <w:pPr>
        <w:jc w:val="both"/>
        <w:rPr>
          <w:color w:val="0070C0"/>
          <w:sz w:val="16"/>
          <w:szCs w:val="16"/>
        </w:rPr>
      </w:pPr>
      <w:r w:rsidRPr="00E14102">
        <w:rPr>
          <w:color w:val="0070C0"/>
          <w:sz w:val="16"/>
          <w:szCs w:val="16"/>
        </w:rPr>
        <w:t>Международная авиационная выставка подобного типа проводилась в Италии впервые, при этом имела явный пропагандистский аспект, «стремясь, очевидно, таким образом создать обстановку, при которой итальянская авиация представлялась бы в наиболее выгодном свете». На нее не были приглашены фирмы таких развитых в промышненном отношении стран, как США и Англия: «больше экспонатов имела Франция, особенно моторов. Также с небольшим количеством самолетов выступали Германия, Польша. Более значительно были представлены на выставке фирмы всех европейских стран, производящих моторы».</w:t>
      </w:r>
    </w:p>
    <w:p w14:paraId="5DDBF9FF" w14:textId="77777777" w:rsidR="00EA5F83" w:rsidRPr="00E14102" w:rsidRDefault="00EA5F83" w:rsidP="00E14102">
      <w:pPr>
        <w:jc w:val="both"/>
        <w:rPr>
          <w:color w:val="0070C0"/>
          <w:sz w:val="16"/>
          <w:szCs w:val="16"/>
        </w:rPr>
      </w:pPr>
      <w:r w:rsidRPr="00E14102">
        <w:rPr>
          <w:color w:val="0070C0"/>
          <w:sz w:val="16"/>
          <w:szCs w:val="16"/>
        </w:rPr>
        <w:t>Италию на выставке представляли около 30 различных типов самолетов, как военных, так и гражданских (бомбардировщики Piaggio R.16, Ca.132, SM.79, SM.81, СR.33, Breda 27, RO.37, пассажирские самолеты Fiat G.18, APR.2, Ca.123, SM.84, Fiat FN.305, а также гидросамолет Macchi-Castoldi 72, установливший мировой рекорд скорости).</w:t>
      </w:r>
    </w:p>
    <w:p w14:paraId="5B12A5C5" w14:textId="77777777" w:rsidR="00EA5F83" w:rsidRPr="00E14102" w:rsidRDefault="00EA5F83" w:rsidP="00E14102">
      <w:pPr>
        <w:jc w:val="both"/>
        <w:rPr>
          <w:color w:val="0070C0"/>
          <w:sz w:val="16"/>
          <w:szCs w:val="16"/>
        </w:rPr>
      </w:pPr>
      <w:r w:rsidRPr="00E14102">
        <w:rPr>
          <w:color w:val="0070C0"/>
          <w:sz w:val="16"/>
          <w:szCs w:val="16"/>
        </w:rPr>
        <w:t>После осмотра итальянских экспонатов выставки И.Ф. Ткачев пришел к выводу, что «итальянская военная авиация по своим скоростным показателям находится на уровне современных технических достижений наиболее развитых капиталистических стран, но схема оборонительного вооружения основных бомбардировочных машин недостаточно удовлетворительна и на европейском театре военных действий это будет сказываться. В истребительной авиации есть определенная тенденция к усилению вооружения истребителей вплоть до крупнокалиберных пулеметов. Применяется преимущественно система биплан, но возможно и развитие скоростных монопланов. Уделяется большое внимание повышению потолка. Заслуживает внимания и требует изучения применение в бомбардировочной авиации мелких двухкилограмовых бомб».</w:t>
      </w:r>
    </w:p>
    <w:p w14:paraId="756E5340" w14:textId="77777777" w:rsidR="00EA5F83" w:rsidRPr="00E14102" w:rsidRDefault="00EA5F83" w:rsidP="00E14102">
      <w:pPr>
        <w:jc w:val="both"/>
        <w:rPr>
          <w:color w:val="0070C0"/>
          <w:sz w:val="16"/>
          <w:szCs w:val="16"/>
        </w:rPr>
      </w:pPr>
      <w:r w:rsidRPr="00E14102">
        <w:rPr>
          <w:color w:val="0070C0"/>
          <w:sz w:val="16"/>
          <w:szCs w:val="16"/>
        </w:rPr>
        <w:t>И.Ф. Ткачев отмечал также, что Италия добилась заметных успехов в производстве многомоторных самолетов деревянных и смешанных конструкций, в то время как Советский Союз в производстве многомоторных самолетов перешел к цельнометаллическим конструкциям. И.Ф. Ткачев полагал «совершенно необходимым одновременно более детально и глубоко работать и над самолетами смешанных и деревянных конструкций. Это и в мирное время, да и во время войны даст более широкие возможности развертывания производства самолетов, тем более, что возможности в этом отношении у нас достаточно велики».</w:t>
      </w:r>
    </w:p>
    <w:p w14:paraId="247CB28A" w14:textId="77777777" w:rsidR="00EA5F83" w:rsidRPr="00E14102" w:rsidRDefault="00EA5F83" w:rsidP="00E14102">
      <w:pPr>
        <w:jc w:val="both"/>
        <w:rPr>
          <w:color w:val="0070C0"/>
          <w:sz w:val="16"/>
          <w:szCs w:val="16"/>
        </w:rPr>
      </w:pPr>
      <w:r w:rsidRPr="00E14102">
        <w:rPr>
          <w:color w:val="0070C0"/>
          <w:sz w:val="16"/>
          <w:szCs w:val="16"/>
        </w:rPr>
        <w:t>И.Ф. Ткачев пришел также к заключению, что в области развития спортивной авиации СССР серьезно отставал от Италии, которая «при сравнительно невысоком развертывании общественной работы вокруг нее, довольно много занимается спортивной авиацией, которая, надо полагать, намечается к использованию для различных вспомогательных военных целей».</w:t>
      </w:r>
    </w:p>
    <w:p w14:paraId="5EDA2E60" w14:textId="77777777" w:rsidR="00EA5F83" w:rsidRPr="00E14102" w:rsidRDefault="00EA5F83" w:rsidP="00E14102">
      <w:pPr>
        <w:jc w:val="both"/>
        <w:rPr>
          <w:color w:val="0070C0"/>
          <w:sz w:val="16"/>
          <w:szCs w:val="16"/>
        </w:rPr>
      </w:pPr>
      <w:r w:rsidRPr="00E14102">
        <w:rPr>
          <w:color w:val="0070C0"/>
          <w:sz w:val="16"/>
          <w:szCs w:val="16"/>
        </w:rPr>
        <w:t>В результате посещения выставки И.Ф. Ткачев пришел также к убеждению, что «итальянские фашисты и лично сам Муссолини прилагают большие старания к делу развития авиации, видя в ней одно из могущественных средств достижения своих империалистических целей. В результате следует отметить общий рост их авиации, который поставил Италию в этом смысле на уровень наиболее развитых капиталистических европейских стран». По его мнению, подготовка к войне с Эфиопией существенно способствовала развитию итальянской авиационной промышленности Италии.</w:t>
      </w:r>
    </w:p>
    <w:p w14:paraId="7331F555" w14:textId="77777777" w:rsidR="00EA5F83" w:rsidRPr="00E14102" w:rsidRDefault="00EA5F83" w:rsidP="00E14102">
      <w:pPr>
        <w:jc w:val="both"/>
        <w:rPr>
          <w:color w:val="0070C0"/>
          <w:sz w:val="16"/>
          <w:szCs w:val="16"/>
        </w:rPr>
      </w:pPr>
      <w:r w:rsidRPr="00E14102">
        <w:rPr>
          <w:color w:val="0070C0"/>
          <w:sz w:val="16"/>
          <w:szCs w:val="16"/>
        </w:rPr>
        <w:t>И.Ф. Ткачев в своем отчете полагал необходимым для советской стороны систематически изучать работу итальянских конструкторов и авиазаводов, поскольку «Италия располагает достаточно высоко квалифицированными конструкторскими кадрами, что, несомненно, обеспечивает систематический выпуск более совершенных типов самолетов. Солидные мотостроительные фирмы своими системами моторов также делают возможность итальянцам на базе своих моторов вести конструкторскую работу по их усовершенствованию».</w:t>
      </w:r>
    </w:p>
    <w:p w14:paraId="5E9DC3A0" w14:textId="77777777" w:rsidR="00EA5F83" w:rsidRPr="00E14102" w:rsidRDefault="00EA5F83" w:rsidP="00E14102">
      <w:pPr>
        <w:jc w:val="both"/>
        <w:rPr>
          <w:color w:val="0070C0"/>
          <w:sz w:val="16"/>
          <w:szCs w:val="16"/>
        </w:rPr>
      </w:pPr>
      <w:r w:rsidRPr="00E14102">
        <w:rPr>
          <w:color w:val="0070C0"/>
          <w:sz w:val="16"/>
          <w:szCs w:val="16"/>
        </w:rPr>
        <w:t>И.Ф. Ткачев положительно оценивал и развитие гражданской авиации Италии, которая располагала большим количеством современных многомоторных и многоместных самолетов: «уровень технической вооруженности итальянской гражданской авиации, пожалуй, более высок, чем в какой-либо другой европейской стране. Ее гражданские машины, помимо скоростных показателей, достаточно удобны, комфортабельны и довольно полно обеспечивают все требования, относящиеся к безопасности полетов. Хорошо поставлена радиосвязь и метеослужба гражданской авиации, чего мы до сих пор не имеем».</w:t>
      </w:r>
    </w:p>
    <w:p w14:paraId="6566B3CE" w14:textId="77777777" w:rsidR="00EA5F83" w:rsidRPr="00E14102" w:rsidRDefault="00EA5F83" w:rsidP="00E14102">
      <w:pPr>
        <w:jc w:val="both"/>
        <w:rPr>
          <w:color w:val="0070C0"/>
          <w:sz w:val="16"/>
          <w:szCs w:val="16"/>
        </w:rPr>
      </w:pPr>
      <w:r w:rsidRPr="00E14102">
        <w:rPr>
          <w:color w:val="0070C0"/>
          <w:sz w:val="16"/>
          <w:szCs w:val="16"/>
        </w:rPr>
        <w:t xml:space="preserve">После посещения основных авиастроительных заводов Италии И.Ф. Ткачев сообщал, что советская делегация «встречала довольно любезный прием со стороны директоров заводов и конструкторов» и могла «детально осмотреть весь процесс производства не только гражданских самолетов, но и самолетов военных». В Риме советская делегация с огромным интересом осмотрела недавно построенный исследовательский центр «Guidonia». Все отделы Института (радио, приборов, химический отдел, испытания материалов), как считал И.Ф. Ткачев, с очевидностью демонстрировали «стремление итальянцев форсировать развитие авиации». В советском торгпредстве в Милане состоялся торжественный прием, на котором присутствовали почти все директора крупных итальянских авиационных заводов и известные конструкторы. Во время пребывания в Риме И.Ф. Ткачев посетил заместителя министра авиации генерала Джузеппе Валле (1886-1975). После того как И.Ф. Ткачев поблагодарил от имени советской делегации за возможность ознакомиться с итальянской авиацией, Валле, по свидетельству И.Ф. Ткачева, сказал: «Вы и мы две страны, которые понимают значение авиации и кладут много сил для ее развития. Между советской и итальянской авиацией было установлено тесное </w:t>
      </w:r>
      <w:r w:rsidRPr="00E14102">
        <w:rPr>
          <w:color w:val="0070C0"/>
          <w:sz w:val="16"/>
          <w:szCs w:val="16"/>
        </w:rPr>
        <w:lastRenderedPageBreak/>
        <w:t>сотрудничество. Последние политические события несколько затрудняют дальнейшее развитие этого сотрудничества, но он надеется, что обстановка в ближайшее время изменится и итальянская авиация сможет продолжать дружное сотрудничество с советской авиацией».</w:t>
      </w:r>
    </w:p>
    <w:p w14:paraId="300CC825" w14:textId="77777777" w:rsidR="00EA5F83" w:rsidRPr="00E14102" w:rsidRDefault="00EA5F83" w:rsidP="00E14102">
      <w:pPr>
        <w:jc w:val="both"/>
        <w:rPr>
          <w:color w:val="0070C0"/>
          <w:sz w:val="16"/>
          <w:szCs w:val="16"/>
        </w:rPr>
      </w:pPr>
      <w:r w:rsidRPr="00E14102">
        <w:rPr>
          <w:color w:val="0070C0"/>
          <w:sz w:val="16"/>
          <w:szCs w:val="16"/>
        </w:rPr>
        <w:t>И.Ф. Ткачев был несколько раздосадован тем, что итальянская пресса «мало писала о советском стенде на выставке, ограничившись только несколькими короткими заметками, несмотря на то, что успех советского стенда на этой выставке был несомненный». Поэтому он переговорил на эту тему с советским полпредом Б.Е. Штейном, который пообещал обратить внимание итальянской стороны на эту проблему, «указав, что Советский Союз на выставке менее всего интересовался коммерческой стороной авиационных выставок. Поэтому, если мы участвовали своими экспонатами на этой выставке по приглашению Итальянского правительства, то мы вправе ожидать более полной оценки наших экспонатов, выражающих достижения Советского Союза. Так как этого, на наш взгляд, итальянцы не обеспечили, мы вынуждены будем более критически подойти к участию в последующих итальянских выставках» (21410).</w:t>
      </w:r>
    </w:p>
    <w:bookmarkEnd w:id="36"/>
    <w:p w14:paraId="7566F2E7" w14:textId="77777777" w:rsidR="00EA5F83" w:rsidRPr="00E14102" w:rsidRDefault="00EA5F83" w:rsidP="00E14102">
      <w:pPr>
        <w:jc w:val="both"/>
        <w:rPr>
          <w:color w:val="0070C0"/>
          <w:sz w:val="16"/>
          <w:szCs w:val="16"/>
        </w:rPr>
      </w:pPr>
    </w:p>
    <w:p w14:paraId="76307B9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D020C66" w14:textId="77777777" w:rsidR="00D4105E" w:rsidRPr="00E14102" w:rsidRDefault="00D4105E" w:rsidP="00E14102">
      <w:pPr>
        <w:autoSpaceDE w:val="0"/>
        <w:autoSpaceDN w:val="0"/>
        <w:adjustRightInd w:val="0"/>
        <w:jc w:val="both"/>
        <w:rPr>
          <w:iCs/>
          <w:color w:val="000000" w:themeColor="text1"/>
          <w:sz w:val="16"/>
          <w:szCs w:val="16"/>
        </w:rPr>
      </w:pPr>
    </w:p>
    <w:p w14:paraId="12A275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Тухачевский подверг критике положение в снарядном производстве. КО установила мобпоказатель на уровне 76 млн., а Управление военной мобилизации НКТП - в собственном плане М-3 - на уровне 65. Тухачевский отмечал, что недостаточные мощности по пороху не позволят выпустить более 60 млн. (9089,192).</w:t>
      </w:r>
    </w:p>
    <w:p w14:paraId="7D91F861" w14:textId="77777777" w:rsidR="00D4105E" w:rsidRPr="00E14102" w:rsidRDefault="00D4105E" w:rsidP="00E14102">
      <w:pPr>
        <w:autoSpaceDE w:val="0"/>
        <w:autoSpaceDN w:val="0"/>
        <w:adjustRightInd w:val="0"/>
        <w:jc w:val="both"/>
        <w:rPr>
          <w:color w:val="000000" w:themeColor="text1"/>
          <w:sz w:val="16"/>
          <w:szCs w:val="16"/>
        </w:rPr>
      </w:pPr>
    </w:p>
    <w:p w14:paraId="63F29C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апреле 1936 года, на базе указанного выше отдела АНИИ было сформировано ОКБ АУ РККА.</w:t>
      </w:r>
    </w:p>
    <w:p w14:paraId="6D7605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Постановлением СНК от 1 июня 1938 года ОКБ АУ РККА было передано в систему НКВ и приказом НКВ от 12 июня 1938 года за № 193с переименовано в ГСОКБ-43.</w:t>
      </w:r>
    </w:p>
    <w:p w14:paraId="63C9F6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ОКБ-43 занимается проектированием, изготовлением и испытанием опытных образцов морских, сухопутных и самоходных зенитных артиллерийских установок малого калибра (до 57 мм), противотанкового реактивного вооружения, мелкокалиберных артиллерийских броневых установок для вооружения укрепленных районов и установок для реактивных снарядов. Кроме того, ОКБ-43 ведет также НИР в вышеперечисленных областях оборонной техники.</w:t>
      </w:r>
    </w:p>
    <w:p w14:paraId="55F8A8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ОКБ-43 территориально расположено в двух местах:</w:t>
      </w:r>
    </w:p>
    <w:p w14:paraId="3F56BA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ГСОКБ-43</w:t>
      </w:r>
    </w:p>
    <w:p w14:paraId="7D3509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Основная база – КБ и отделы, лаборатории, опытное производство находятся в Ленинграде</w:t>
      </w:r>
    </w:p>
    <w:p w14:paraId="76C555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Ленинград, ул. Бобруйская, 23, п/я 691</w:t>
      </w:r>
    </w:p>
    <w:p w14:paraId="0B7229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Полигон с необходимой ему лабораторией, ремонтным участком находятся в Лемболово – в 60 км от Ленинграда (в 4 км от ст. Васкелово) (9507).</w:t>
      </w:r>
    </w:p>
    <w:p w14:paraId="35B2AA06" w14:textId="77777777" w:rsidR="00D4105E" w:rsidRPr="00E14102" w:rsidRDefault="00D4105E" w:rsidP="00E14102">
      <w:pPr>
        <w:autoSpaceDE w:val="0"/>
        <w:autoSpaceDN w:val="0"/>
        <w:adjustRightInd w:val="0"/>
        <w:jc w:val="both"/>
        <w:rPr>
          <w:color w:val="000000" w:themeColor="text1"/>
          <w:sz w:val="16"/>
          <w:szCs w:val="16"/>
        </w:rPr>
      </w:pPr>
    </w:p>
    <w:p w14:paraId="2231810C" w14:textId="77777777" w:rsidR="00B17FCF" w:rsidRPr="00E14102" w:rsidRDefault="00B17FCF" w:rsidP="00E14102">
      <w:pPr>
        <w:jc w:val="both"/>
        <w:rPr>
          <w:color w:val="000000" w:themeColor="text1"/>
          <w:sz w:val="16"/>
          <w:szCs w:val="16"/>
        </w:rPr>
      </w:pPr>
      <w:r w:rsidRPr="00E14102">
        <w:rPr>
          <w:color w:val="000000" w:themeColor="text1"/>
          <w:sz w:val="16"/>
          <w:szCs w:val="16"/>
        </w:rPr>
        <w:t>В ноябре 1935 г. было организованоОКБ-43 В 1936-1937 гг. оно занималось разработкой автоматических пушек калибра 37-45 мм и с начала 1938 г. было полностью переключено на срочное проектирование установок вооружения для укреплен</w:t>
      </w:r>
      <w:r w:rsidRPr="00E14102">
        <w:rPr>
          <w:color w:val="000000" w:themeColor="text1"/>
          <w:sz w:val="16"/>
          <w:szCs w:val="16"/>
        </w:rPr>
        <w:softHyphen/>
        <w:t>ных районов (17746).</w:t>
      </w:r>
    </w:p>
    <w:p w14:paraId="60306D2B" w14:textId="77777777" w:rsidR="00B17FCF" w:rsidRPr="00E14102" w:rsidRDefault="00B17FCF" w:rsidP="00E14102">
      <w:pPr>
        <w:jc w:val="both"/>
        <w:rPr>
          <w:color w:val="000000" w:themeColor="text1"/>
          <w:sz w:val="16"/>
          <w:szCs w:val="16"/>
        </w:rPr>
      </w:pPr>
    </w:p>
    <w:p w14:paraId="3CD8F3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года КБ Артиллерийской лаборатории выделилось из состава Артиллерийской академии им. Дзержинского и было включено как самостоятельный отдел в Артиллерийский НИИ (АНИИ).</w:t>
      </w:r>
    </w:p>
    <w:p w14:paraId="69F79B0F" w14:textId="77777777" w:rsidR="00D4105E" w:rsidRPr="00E14102" w:rsidRDefault="00D4105E" w:rsidP="00E14102">
      <w:pPr>
        <w:autoSpaceDE w:val="0"/>
        <w:autoSpaceDN w:val="0"/>
        <w:adjustRightInd w:val="0"/>
        <w:jc w:val="both"/>
        <w:rPr>
          <w:color w:val="000000" w:themeColor="text1"/>
          <w:sz w:val="16"/>
          <w:szCs w:val="16"/>
        </w:rPr>
      </w:pPr>
    </w:p>
    <w:p w14:paraId="5B0487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на ХПЗ было создано технологическое бюро по дизелю БД-2 и его испытывали на БТ-5. КБ дизельного отдела ХПЗ разрабатывало несколько модификаций БД-2, в т.ч. для с/х, флота и авиации (3879,40).</w:t>
      </w:r>
    </w:p>
    <w:p w14:paraId="57E199D9" w14:textId="77777777" w:rsidR="00D4105E" w:rsidRPr="00E14102" w:rsidRDefault="00D4105E" w:rsidP="00E14102">
      <w:pPr>
        <w:autoSpaceDE w:val="0"/>
        <w:autoSpaceDN w:val="0"/>
        <w:adjustRightInd w:val="0"/>
        <w:jc w:val="both"/>
        <w:rPr>
          <w:color w:val="000000" w:themeColor="text1"/>
          <w:sz w:val="16"/>
          <w:szCs w:val="16"/>
        </w:rPr>
      </w:pPr>
    </w:p>
    <w:p w14:paraId="04D808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на НИИБТП прошла испытания автосцепка для эвакуации с поля боя танков БТ-7 (3881,31).</w:t>
      </w:r>
    </w:p>
    <w:p w14:paraId="6ED39AD0" w14:textId="77777777" w:rsidR="00D4105E" w:rsidRPr="00E14102" w:rsidRDefault="00D4105E" w:rsidP="00E14102">
      <w:pPr>
        <w:autoSpaceDE w:val="0"/>
        <w:autoSpaceDN w:val="0"/>
        <w:adjustRightInd w:val="0"/>
        <w:jc w:val="both"/>
        <w:rPr>
          <w:color w:val="000000" w:themeColor="text1"/>
          <w:sz w:val="16"/>
          <w:szCs w:val="16"/>
        </w:rPr>
      </w:pPr>
    </w:p>
    <w:p w14:paraId="46E716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прошла полигонные испытания автосцепка для БТ-7, разработанная и изготовленная в мастерских НИБТ полигона в 1935. На вооружение и в серию не ставилась (9527,252).</w:t>
      </w:r>
    </w:p>
    <w:p w14:paraId="2A4B6717" w14:textId="77777777" w:rsidR="00D4105E" w:rsidRPr="00E14102" w:rsidRDefault="00D4105E" w:rsidP="00E14102">
      <w:pPr>
        <w:autoSpaceDE w:val="0"/>
        <w:autoSpaceDN w:val="0"/>
        <w:adjustRightInd w:val="0"/>
        <w:jc w:val="both"/>
        <w:rPr>
          <w:color w:val="000000" w:themeColor="text1"/>
          <w:sz w:val="16"/>
          <w:szCs w:val="16"/>
        </w:rPr>
      </w:pPr>
    </w:p>
    <w:p w14:paraId="29BE988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ноябре 1935 г. на испытания вышел Т-35, который внешне дополнился командно-на</w:t>
      </w:r>
      <w:r w:rsidRPr="00E14102">
        <w:rPr>
          <w:color w:val="000000" w:themeColor="text1"/>
          <w:sz w:val="16"/>
          <w:szCs w:val="16"/>
        </w:rPr>
        <w:softHyphen/>
        <w:t>блюдательной башенкой из простого железа. Башенка комплектовалась артиллерийским перископом разведчика и дальномером, закрытым защитным кожухом из конст</w:t>
      </w:r>
      <w:r w:rsidRPr="00E14102">
        <w:rPr>
          <w:color w:val="000000" w:themeColor="text1"/>
          <w:sz w:val="16"/>
          <w:szCs w:val="16"/>
        </w:rPr>
        <w:softHyphen/>
        <w:t>рукционной стали (предполагалось, что в случае принятия ТПУАО на вооружение кожух будет изготовлен из броне</w:t>
      </w:r>
      <w:r w:rsidRPr="00E14102">
        <w:rPr>
          <w:color w:val="000000" w:themeColor="text1"/>
          <w:sz w:val="16"/>
          <w:szCs w:val="16"/>
        </w:rPr>
        <w:softHyphen/>
        <w:t>вых листов толщиной 7—10 мм). Первые испытания закончились неудачей, но по их ре</w:t>
      </w:r>
      <w:r w:rsidRPr="00E14102">
        <w:rPr>
          <w:color w:val="000000" w:themeColor="text1"/>
          <w:sz w:val="16"/>
          <w:szCs w:val="16"/>
        </w:rPr>
        <w:softHyphen/>
        <w:t>зультатам прибор был доработан и в мае и августе 1936 г. вновь подвергся испытаниям. К сожалению, о данных ис</w:t>
      </w:r>
      <w:r w:rsidRPr="00E14102">
        <w:rPr>
          <w:color w:val="000000" w:themeColor="text1"/>
          <w:sz w:val="16"/>
          <w:szCs w:val="16"/>
        </w:rPr>
        <w:softHyphen/>
        <w:t>пытаниях известно только то, что в ходе их прибор опять дорабатывался и совершенствовался. 17 сентября 1936 г. на показ К. Ворошилову вышел танк Т-35, оснащенный прибором ПУАсТ-35 (прибор управле</w:t>
      </w:r>
      <w:r w:rsidRPr="00E14102">
        <w:rPr>
          <w:color w:val="000000" w:themeColor="text1"/>
          <w:sz w:val="16"/>
          <w:szCs w:val="16"/>
        </w:rPr>
        <w:softHyphen/>
        <w:t>ния артиллерийской стрельбой Т-35). Стреляли по четы</w:t>
      </w:r>
      <w:r w:rsidRPr="00E14102">
        <w:rPr>
          <w:color w:val="000000" w:themeColor="text1"/>
          <w:sz w:val="16"/>
          <w:szCs w:val="16"/>
        </w:rPr>
        <w:softHyphen/>
        <w:t>рем ясно видимым и одной ограниченно видимой мишени (наблюдение за которой велось только при помощи перис</w:t>
      </w:r>
      <w:r w:rsidRPr="00E14102">
        <w:rPr>
          <w:color w:val="000000" w:themeColor="text1"/>
          <w:sz w:val="16"/>
          <w:szCs w:val="16"/>
        </w:rPr>
        <w:softHyphen/>
        <w:t>копа артиллерийского разведчика и только по показаниям «вычислителя Гаврилова»), находившимся на дальности от 300 м до 3 км, по данным, которые наводчики считывали на шкалах «часовых указателей». Объективы прицелов танко</w:t>
      </w:r>
      <w:r w:rsidRPr="00E14102">
        <w:rPr>
          <w:color w:val="000000" w:themeColor="text1"/>
          <w:sz w:val="16"/>
          <w:szCs w:val="16"/>
        </w:rPr>
        <w:softHyphen/>
        <w:t>вых орудий перед стрельбой были заклеены папиросной бумагой. Всего было произведено пять серий выстрелов, в ходе которых затратили 17 снарядов калибра 76,2-мм, а также 21 снаряд калибра 45-мм, при этом отмечалось 11 прямых попаданий, а также 13 попаданий в «непосредст</w:t>
      </w:r>
      <w:r w:rsidRPr="00E14102">
        <w:rPr>
          <w:color w:val="000000" w:themeColor="text1"/>
          <w:sz w:val="16"/>
          <w:szCs w:val="16"/>
        </w:rPr>
        <w:softHyphen/>
        <w:t>венной близости» от мишеней. Ворошилов был доволен результатами показа. В заключении сводного отчета говорилось: «Примене</w:t>
      </w:r>
      <w:r w:rsidRPr="00E14102">
        <w:rPr>
          <w:color w:val="000000" w:themeColor="text1"/>
          <w:sz w:val="16"/>
          <w:szCs w:val="16"/>
        </w:rPr>
        <w:softHyphen/>
        <w:t>ние ПУАТ-35 позволяет вести точный артиллерийский огонь танка Т-35 по целям, выбранным командиром танка силами наводчиков, не имеющих специального образования и навы</w:t>
      </w:r>
      <w:r w:rsidRPr="00E14102">
        <w:rPr>
          <w:color w:val="000000" w:themeColor="text1"/>
          <w:sz w:val="16"/>
          <w:szCs w:val="16"/>
        </w:rPr>
        <w:softHyphen/>
        <w:t>ков... Работы над Прибором следует продолжить с точки зрения улучшения надежности его работы и упрощения конструкции и правил его использования...» Работы над прибором, называвшимся теперь ПУАТ-35, продолжались и в 1937 г. В 1938 г. прибор демонстрировал</w:t>
      </w:r>
      <w:r w:rsidRPr="00E14102">
        <w:rPr>
          <w:color w:val="000000" w:themeColor="text1"/>
          <w:sz w:val="16"/>
          <w:szCs w:val="16"/>
        </w:rPr>
        <w:softHyphen/>
        <w:t>ся новому нач. АБТУ Д. Павлову, и в ноябрьском отчете с его визбй значились такие слова: «Прибор ПУАТ-35 являет</w:t>
      </w:r>
      <w:r w:rsidRPr="00E14102">
        <w:rPr>
          <w:color w:val="000000" w:themeColor="text1"/>
          <w:sz w:val="16"/>
          <w:szCs w:val="16"/>
        </w:rPr>
        <w:softHyphen/>
        <w:t>ся опытным и негодным для войсковой эксплоатации... К чис</w:t>
      </w:r>
      <w:r w:rsidRPr="00E14102">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E14102">
        <w:rPr>
          <w:color w:val="000000" w:themeColor="text1"/>
          <w:sz w:val="16"/>
          <w:szCs w:val="16"/>
        </w:rPr>
        <w:softHyphen/>
        <w:t>ков Т-35 под установку ПУАТ не представляется целесооб</w:t>
      </w:r>
      <w:r w:rsidRPr="00E14102">
        <w:rPr>
          <w:color w:val="000000" w:themeColor="text1"/>
          <w:sz w:val="16"/>
          <w:szCs w:val="16"/>
        </w:rPr>
        <w:softHyphen/>
        <w:t>разной из-за их малого количества, высокой стоимости само</w:t>
      </w:r>
      <w:r w:rsidRPr="00E14102">
        <w:rPr>
          <w:color w:val="000000" w:themeColor="text1"/>
          <w:sz w:val="16"/>
          <w:szCs w:val="16"/>
        </w:rPr>
        <w:softHyphen/>
        <w:t>го прибора и его сомнительной боевой ценности в условиях со</w:t>
      </w:r>
      <w:r w:rsidRPr="00E14102">
        <w:rPr>
          <w:color w:val="000000" w:themeColor="text1"/>
          <w:sz w:val="16"/>
          <w:szCs w:val="16"/>
        </w:rPr>
        <w:softHyphen/>
        <w:t>временной маневренной войны...» (10733,365).</w:t>
      </w:r>
    </w:p>
    <w:p w14:paraId="0FEF1F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3A11FD9" w14:textId="77777777" w:rsidR="00B27DAD" w:rsidRPr="00E14102" w:rsidRDefault="00B27DAD" w:rsidP="00E14102">
      <w:pPr>
        <w:jc w:val="both"/>
        <w:rPr>
          <w:color w:val="000000" w:themeColor="text1"/>
          <w:sz w:val="16"/>
          <w:szCs w:val="16"/>
        </w:rPr>
      </w:pPr>
      <w:r w:rsidRPr="00E14102">
        <w:rPr>
          <w:color w:val="000000" w:themeColor="text1"/>
          <w:sz w:val="16"/>
          <w:szCs w:val="16"/>
        </w:rPr>
        <w:t>С ноября 1935 по март 1936 г. в НИИС РККА прошли полигонные испытания радио</w:t>
      </w:r>
      <w:r w:rsidRPr="00E14102">
        <w:rPr>
          <w:color w:val="000000" w:themeColor="text1"/>
          <w:sz w:val="16"/>
          <w:szCs w:val="16"/>
        </w:rPr>
        <w:softHyphen/>
        <w:t>станции РАТ. Эта станция сыграла важную роль в годы Великой Отечествен</w:t>
      </w:r>
      <w:r w:rsidRPr="00E14102">
        <w:rPr>
          <w:color w:val="000000" w:themeColor="text1"/>
          <w:sz w:val="16"/>
          <w:szCs w:val="16"/>
        </w:rPr>
        <w:softHyphen/>
        <w:t>ной войны. Задуманная как аэродромная радиостанция для связи с бомбарди</w:t>
      </w:r>
      <w:r w:rsidRPr="00E14102">
        <w:rPr>
          <w:color w:val="000000" w:themeColor="text1"/>
          <w:sz w:val="16"/>
          <w:szCs w:val="16"/>
        </w:rPr>
        <w:softHyphen/>
        <w:t>ровочной авиацией, в годы война она стала единственным средством обеспе</w:t>
      </w:r>
      <w:r w:rsidRPr="00E14102">
        <w:rPr>
          <w:color w:val="000000" w:themeColor="text1"/>
          <w:sz w:val="16"/>
          <w:szCs w:val="16"/>
        </w:rPr>
        <w:softHyphen/>
        <w:t>чения радиосвязи Генерального штаба с фронтами. Станция показала надежную и уверенную работу, при этом даль</w:t>
      </w:r>
      <w:r w:rsidRPr="00E14102">
        <w:rPr>
          <w:color w:val="000000" w:themeColor="text1"/>
          <w:sz w:val="16"/>
          <w:szCs w:val="16"/>
        </w:rPr>
        <w:softHyphen/>
        <w:t>ность ее действия в телефонном режиме составила 1000 км, а в телеграфном - до 6000 км . Аппаратура станции монтировалась в трех автомобилях: в одном ЗИС-6 размещалась силовая часть, а в двух машинах ЗИС-5 - передатчик и ра</w:t>
      </w:r>
      <w:r w:rsidRPr="00E14102">
        <w:rPr>
          <w:color w:val="000000" w:themeColor="text1"/>
          <w:sz w:val="16"/>
          <w:szCs w:val="16"/>
        </w:rPr>
        <w:softHyphen/>
        <w:t>диобюро с приемниками. В начале 1936 г. между представителями заказчика (УС РККА) и КМРС были согласованы окончательные ТТТ на радиостанцию РАТ, а 29 февраля того же года заключен договор между УСКА и заводом се</w:t>
      </w:r>
      <w:r w:rsidRPr="00E14102">
        <w:rPr>
          <w:color w:val="000000" w:themeColor="text1"/>
          <w:sz w:val="16"/>
          <w:szCs w:val="16"/>
        </w:rPr>
        <w:softHyphen/>
        <w:t>рийного производства радиопродукции им. Коминтерна на изготовлении в те</w:t>
      </w:r>
      <w:r w:rsidRPr="00E14102">
        <w:rPr>
          <w:color w:val="000000" w:themeColor="text1"/>
          <w:sz w:val="16"/>
          <w:szCs w:val="16"/>
        </w:rPr>
        <w:softHyphen/>
        <w:t>чение 1936 г. 12 комплектов этих станций на общую сумму 5648000 руб. (19098).</w:t>
      </w:r>
    </w:p>
    <w:p w14:paraId="374FBCA5" w14:textId="77777777" w:rsidR="00B27DAD" w:rsidRPr="00E14102" w:rsidRDefault="00B27DAD" w:rsidP="00E14102">
      <w:pPr>
        <w:jc w:val="both"/>
        <w:rPr>
          <w:color w:val="000000" w:themeColor="text1"/>
          <w:sz w:val="16"/>
          <w:szCs w:val="16"/>
        </w:rPr>
      </w:pPr>
    </w:p>
    <w:p w14:paraId="0904E6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период с ноября 1935 по март 1936 г. в НИИС РККА прошли полигонные испытания станции РАТ. Разработка этой станции началась еще в 1932 г. в ЦРЛ-ОРПУ. Велась разработка под общим руководством Г.А. Зейтленка. Передающая аппаратура разрабатывалась в Отделе передатчиков коротких и ультракоротких волн Е.И.Каменским, Г.С. Ханевским, М.С. Токачировым. Приемная аппаратура и радиобюро разрабатывались в лаборатории приемников А.П. Сиверсом и Ф.Я.Заборщиковым, антенная система – И.М. Рущуком в лаборатории антенных устройств, силовое оборудование (высоковольтный генератор и бензодвига тель) – на ленинградском заводе «Электрик» (Центральная радиолаборатория в Ленинграде / Под ред. И.В. Бренева. М., 1973. С. 157.). Первый опытной образец станции РАТ был изготовлен в ОРПУ в 1935 г. Станция показала надежную и уверенную работу, при этом даль ность ее действия в телефонном режиме составила 1000 км, а в телеграфном – до 6000 км (Архив ВИМАИВиВС, ф. 61р, оп. 2, д. 8, л. 13.). Аппаратура станции монтировалась в трех автомобилях: в одном ЗИС-6 размещалась силовая часть, а в двух машинах ЗИС-5 - передатчик и ра диобюро с приемниками. В начале 1936 г. между представителями заказчика (УС РККА) и КМРС были согласованы окончательные ТТТ на радиостанцию РАТ, а 29 февраля того же года заключен договор между УСКА и заводом се рийного производства радиопродукции им. Коминтерна на изготовлении в те чение 1936 г. 12 комплектов этих станций на общую сумму 5648000 руб. (ЦГА СПб., ф. 945, оп. 3, д. 238, л. 46.) Выполнение этого заказа протекало в напряженных условиях. С одной стороны отмечалось чрезвычайное внимание, которое было уделено изготов лению радиостанций РАТ высшими партийными и государственными органа ми страны. В докладе Комитета партийного контроля при ЦК ВКП (б) на имя И.В. Сталина отмечалась насущная потребность в форсировании работ по данным станциям, а сам ход выполнения заказа контролировался лично нар комом обороны К.Е. Ворошиловым (ЦГА СПб., ф. 945, оп. 3, д. 238, л. 68.). С другой стороны, завод им. Коминтерна при производстве первой се рийной партии РАТ столкнулся с серьезными трудностями. Директор предпри ятия Б.И. Шульман в своих обращениях во всевозможные инстанции отмечал крайнюю недисциплинированность многочисленных смежников при поставках необходимых для изготовления радиостанций узлов, агрегатов, комплектую щих. Это ленинградские заводы «Электрик», «Электросила», «Севкабель», им. Козицкого, 2-я слюдяная фабрика, московский завод им. Орджоникидзе, Яро славский завод электротехники и другие. Вместе с тем, имели место и сущест венные недостатки организационного характера, о чем весьма откровенно док ладывал главный инженер КМРС А.Л. Минц в своей записке на имя инспектора Ленинградского горкома ВКП (б) в феврале 1937 г. (ЦГА СПб., ф. 945, оп. 3, д. 287, л. 184.). По словам Минца, были допущены просчеты в работе Планового отдела завода, из-за чего с </w:t>
      </w:r>
      <w:r w:rsidRPr="00E14102">
        <w:rPr>
          <w:color w:val="000000" w:themeColor="text1"/>
          <w:sz w:val="16"/>
          <w:szCs w:val="16"/>
        </w:rPr>
        <w:lastRenderedPageBreak/>
        <w:t>опозданием был налажен процесс снабжения производства всем необходимым. Главный инженер завода был фактически отстранен от руководства процессом произ водства, занимаясь только работами лаборатории и конструкторского бюро. С самой отрицательной стороны сказались местнические настроения руководства завода: специалисты ОРПУ не были своевременно допущены к работам по ре гулировке радиостанций, и только когда в ноябре 1936 г. сложилась критиче ская обстановка со сдачей изделий, директор завода допустил их к этим рабо там. Согласно первоначальному графику работ, предусматривалось изготовить два головных образца станций, чтобы по ним произвести окончательную вы верку чертежей для монтажа аппаратуры в автомобили. Однако из-за угрозы срыва выполнения всего заказа в последствии пришлось отказаться от такого разумного подхода: в последнем квартале 1936 г. был осуществлен выпуск всех двенадцати радиостанций одновременно. В результате переговоров между ру ководством завода им. Коминтерна и представителями УС РККА было достигнуто компромиссное соглашение. Заказчик 28 декабря 1936 г. согласился при нять все двенадцать радиостанций, несмотря на имеющиеся в них недостатки и неполную комплектность. Завод, со своей стороны, обязался в течение первого квартала 1937 г. устранить все недостатки, а также провести непредусмотрен ные договором ходовые испытания всех радиостанций и обучение личного со става силами своих специалистов (ЦГА СПб., ф. 945, оп. 3, д. 238, л. 176.) (11870).</w:t>
      </w:r>
    </w:p>
    <w:p w14:paraId="1C0F6190" w14:textId="77777777" w:rsidR="00D4105E" w:rsidRPr="00E14102" w:rsidRDefault="00D4105E" w:rsidP="00E14102">
      <w:pPr>
        <w:autoSpaceDE w:val="0"/>
        <w:autoSpaceDN w:val="0"/>
        <w:adjustRightInd w:val="0"/>
        <w:jc w:val="both"/>
        <w:rPr>
          <w:color w:val="000000" w:themeColor="text1"/>
          <w:sz w:val="16"/>
          <w:szCs w:val="16"/>
        </w:rPr>
      </w:pPr>
    </w:p>
    <w:p w14:paraId="151E8CF5" w14:textId="77777777" w:rsidR="0064385C" w:rsidRPr="00E14102" w:rsidRDefault="0064385C" w:rsidP="00E14102">
      <w:pPr>
        <w:jc w:val="both"/>
        <w:rPr>
          <w:color w:val="000000" w:themeColor="text1"/>
          <w:sz w:val="16"/>
          <w:szCs w:val="16"/>
        </w:rPr>
      </w:pPr>
      <w:r w:rsidRPr="00E14102">
        <w:rPr>
          <w:color w:val="000000" w:themeColor="text1"/>
          <w:sz w:val="16"/>
          <w:szCs w:val="16"/>
        </w:rPr>
        <w:t>В ноябре 1935 г. система управления артиллерийским огнем «ПУАТ-35» Остехбюро была испытана на танке Т-28. ». Система была создана по образцу корабельных ПУС и имела 9-футовый дальномер «Барр и Струд» морского ведомства. Система предназначалась не только для Т-35, но и для перспективных двух-, четырех- и пятибашенных танков, включая Т-39. Смотровые приборы наводчика пушки были закрыты, и огонь велся по показывающим приборам по информации, вводимой в «ПУАТ-35» командиром танка. Испытания прошли удовлетворительно (15117).</w:t>
      </w:r>
    </w:p>
    <w:p w14:paraId="50125CF5" w14:textId="77777777" w:rsidR="0064385C" w:rsidRPr="00E14102" w:rsidRDefault="0064385C" w:rsidP="00E14102">
      <w:pPr>
        <w:jc w:val="both"/>
        <w:rPr>
          <w:color w:val="000000" w:themeColor="text1"/>
          <w:sz w:val="16"/>
          <w:szCs w:val="16"/>
        </w:rPr>
      </w:pPr>
    </w:p>
    <w:p w14:paraId="6B85078E" w14:textId="77777777" w:rsidR="0064385C" w:rsidRPr="00E14102" w:rsidRDefault="0064385C" w:rsidP="00E14102">
      <w:pPr>
        <w:jc w:val="both"/>
        <w:rPr>
          <w:color w:val="000000" w:themeColor="text1"/>
          <w:sz w:val="16"/>
          <w:szCs w:val="16"/>
        </w:rPr>
      </w:pPr>
      <w:r w:rsidRPr="00E14102">
        <w:rPr>
          <w:color w:val="000000" w:themeColor="text1"/>
          <w:sz w:val="16"/>
          <w:szCs w:val="16"/>
        </w:rPr>
        <w:t>В ноябре 1935 г. сверхмалую подводную лодку АПЛ Остехбюро по железной дороге доставили на Севастопольскую базу Остехбюро в Балаклаву, где должны были пройти ее приемо-сдаточные испытания. По их результатам планировалось внести необходимые изменения в проект промышленной серии сверхмалых подводных лодок, получивших условное обозначение «Пигмей». Однако постройка серийных АПЛ шла черепашьими темпами. Остехбюро по частям выдавало заводу № 196 проектную документацию на «Пигмеев», но завод отказывался начать работу. Во-первых, он хотел получить полный проект, во-вторых, требовал, чтобы проект был утвержден начальником Морских Сил, тогда как Управление кораблестроения УВМС РККА не считало возможным утверждать проект до завершения испытаний опытовой АПЛ (15117).</w:t>
      </w:r>
    </w:p>
    <w:p w14:paraId="697FC9A5" w14:textId="77777777" w:rsidR="0064385C" w:rsidRPr="00E14102" w:rsidRDefault="0064385C" w:rsidP="00E14102">
      <w:pPr>
        <w:jc w:val="both"/>
        <w:rPr>
          <w:color w:val="000000" w:themeColor="text1"/>
          <w:sz w:val="16"/>
          <w:szCs w:val="16"/>
        </w:rPr>
      </w:pPr>
    </w:p>
    <w:p w14:paraId="6667B0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г.вступила в строй последняя лодка Убис серии - Щ-308 (3898).</w:t>
      </w:r>
    </w:p>
    <w:p w14:paraId="32FA98B0" w14:textId="77777777" w:rsidR="00D4105E" w:rsidRPr="00E14102" w:rsidRDefault="00D4105E" w:rsidP="00E14102">
      <w:pPr>
        <w:autoSpaceDE w:val="0"/>
        <w:autoSpaceDN w:val="0"/>
        <w:adjustRightInd w:val="0"/>
        <w:jc w:val="both"/>
        <w:rPr>
          <w:color w:val="000000" w:themeColor="text1"/>
          <w:sz w:val="16"/>
          <w:szCs w:val="16"/>
        </w:rPr>
      </w:pPr>
    </w:p>
    <w:p w14:paraId="52C05A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w:t>
      </w:r>
      <w:r w:rsidRPr="00E14102">
        <w:rPr>
          <w:color w:val="000000" w:themeColor="text1"/>
          <w:sz w:val="16"/>
          <w:szCs w:val="16"/>
        </w:rPr>
        <w:softHyphen/>
        <w:t>ябре 1935 г. вступила в строй последняя тихоокеанская лодка Щ-124, а последняя черноморская Щ-207 — в декабре 1936 г. (3898).</w:t>
      </w:r>
    </w:p>
    <w:p w14:paraId="386458CC" w14:textId="77777777" w:rsidR="00D4105E" w:rsidRPr="00E14102" w:rsidRDefault="00D4105E" w:rsidP="00E14102">
      <w:pPr>
        <w:autoSpaceDE w:val="0"/>
        <w:autoSpaceDN w:val="0"/>
        <w:adjustRightInd w:val="0"/>
        <w:jc w:val="both"/>
        <w:rPr>
          <w:color w:val="000000" w:themeColor="text1"/>
          <w:sz w:val="16"/>
          <w:szCs w:val="16"/>
        </w:rPr>
      </w:pPr>
    </w:p>
    <w:p w14:paraId="7CAF66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 декабре 1936 г. на заводе им. , А. А. Жданова в Ленинграде были заложены 17 кораблей — "Гнев</w:t>
      </w:r>
      <w:r w:rsidRPr="00E14102">
        <w:rPr>
          <w:color w:val="000000" w:themeColor="text1"/>
          <w:sz w:val="16"/>
          <w:szCs w:val="16"/>
        </w:rPr>
        <w:softHyphen/>
        <w:t>ный", "Грозный", "Громкий", "Грозящий", "Гордый", "Гремящий", "Стерегущий", "Сторожевой", "Стойкий", "Страшный", "Сильный", "Смелый", "Строгий", "Скорый", "Свирепый", "Статный" и "Строй</w:t>
      </w:r>
      <w:r w:rsidRPr="00E14102">
        <w:rPr>
          <w:color w:val="000000" w:themeColor="text1"/>
          <w:sz w:val="16"/>
          <w:szCs w:val="16"/>
        </w:rPr>
        <w:softHyphen/>
        <w:t>ный". На Балтийском заводе им. С. Орджоникидзе в августе—ок-i тябре 1936 г. заложили "Стремительный", "Сокрушительный", "Славный", "Сметливый", "Ловкий", "Легкий", "Летучий" и "Лихой". Из них четыре последних предназначались для сдачи на Балтике с последующим переводом морем на Дальний Восток (3898).</w:t>
      </w:r>
    </w:p>
    <w:p w14:paraId="70076E08" w14:textId="77777777" w:rsidR="00D4105E" w:rsidRPr="00E14102" w:rsidRDefault="00D4105E" w:rsidP="00E14102">
      <w:pPr>
        <w:autoSpaceDE w:val="0"/>
        <w:autoSpaceDN w:val="0"/>
        <w:adjustRightInd w:val="0"/>
        <w:jc w:val="both"/>
        <w:rPr>
          <w:color w:val="000000" w:themeColor="text1"/>
          <w:sz w:val="16"/>
          <w:szCs w:val="16"/>
        </w:rPr>
      </w:pPr>
    </w:p>
    <w:p w14:paraId="6815258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0E4CEF21" w14:textId="77777777" w:rsidR="00D4105E" w:rsidRPr="00E14102" w:rsidRDefault="00D4105E" w:rsidP="00E14102">
      <w:pPr>
        <w:autoSpaceDE w:val="0"/>
        <w:autoSpaceDN w:val="0"/>
        <w:adjustRightInd w:val="0"/>
        <w:jc w:val="both"/>
        <w:rPr>
          <w:iCs/>
          <w:color w:val="000000" w:themeColor="text1"/>
          <w:sz w:val="16"/>
          <w:szCs w:val="16"/>
        </w:rPr>
      </w:pPr>
    </w:p>
    <w:p w14:paraId="387E84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К.Е.Ворошилов докладывал о десанте как монополии советской авиации (66,189).</w:t>
      </w:r>
    </w:p>
    <w:p w14:paraId="68C0494D" w14:textId="77777777" w:rsidR="00D4105E" w:rsidRPr="00E14102" w:rsidRDefault="00D4105E" w:rsidP="00E14102">
      <w:pPr>
        <w:autoSpaceDE w:val="0"/>
        <w:autoSpaceDN w:val="0"/>
        <w:adjustRightInd w:val="0"/>
        <w:jc w:val="both"/>
        <w:rPr>
          <w:color w:val="000000" w:themeColor="text1"/>
          <w:sz w:val="16"/>
          <w:szCs w:val="16"/>
        </w:rPr>
      </w:pPr>
    </w:p>
    <w:p w14:paraId="33C9110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39FDFC9" w14:textId="77777777" w:rsidR="00D4105E" w:rsidRPr="00E14102" w:rsidRDefault="00D4105E" w:rsidP="00E14102">
      <w:pPr>
        <w:autoSpaceDE w:val="0"/>
        <w:autoSpaceDN w:val="0"/>
        <w:adjustRightInd w:val="0"/>
        <w:jc w:val="both"/>
        <w:rPr>
          <w:iCs/>
          <w:color w:val="000000" w:themeColor="text1"/>
          <w:sz w:val="16"/>
          <w:szCs w:val="16"/>
        </w:rPr>
      </w:pPr>
    </w:p>
    <w:p w14:paraId="675907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после первого и последнего Всесоюзного совещания стахановцев в Кремле. Собрание после некоторых колебаний удостоил честью посетить сам «великий вождь», выступали и его различные приспешники — из их выступлений следовало, что успехи движения есть «торжество передового советского рабочего, передовой советской организации труда». Много было ссылок на то, что, образно говоря, «на Западе так не умеют/не могут/не делают» (не прояснялось, правда, а нужно ли «так» на Западе). Конечно же, никак нельзя и без врагов, проклятых иродов, мешающих доблестным «стахановцам», хватающих их за руки и тянущим назад. На эту роль определили многострадальный инженерно-технический персонал предприятий — подъём ударничества сопровождался погромами онаго (Шахтинское дело, «дело Промпартии» и т.п.), то же последовало и за подъёмом «стахановства».</w:t>
      </w:r>
    </w:p>
    <w:p w14:paraId="5D8084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Сами передовики, правда, исторгая ритуальные речёвки о вождях, в основном напирали на своё круто изменившееся в результате рекордов материальное положение:</w:t>
      </w:r>
    </w:p>
    <w:p w14:paraId="2669D5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Бусыгин: В сентябре получили по 500-600 рублей. Ребята довольны.</w:t>
      </w:r>
    </w:p>
    <w:p w14:paraId="453696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Виноградова: Мой заработок достигает 600 рублей. Смотрите, как я повысила свою заработную плату!</w:t>
      </w:r>
    </w:p>
    <w:p w14:paraId="5A31D7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Дюканов: За сентябрь я за 16 выходов заработал 1338 рублей.</w:t>
      </w:r>
    </w:p>
    <w:p w14:paraId="452532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при том, что средняя зарплата рабочего составляла в то время 150-200 рублей. Собственно в этом и крылась одна из причин того, что движение не смогло бы стать «широкой раздольной рекою»: обеспечить подобный уровень заработка рабочим, даже если бы те как один стали бы стахановцами-рекордсменами, предприятия не смогли бы из-за скудости финсредств (11562).</w:t>
      </w:r>
    </w:p>
    <w:p w14:paraId="3F02B8AC" w14:textId="77777777" w:rsidR="00D4105E" w:rsidRPr="00E14102" w:rsidRDefault="00D4105E" w:rsidP="00E14102">
      <w:pPr>
        <w:autoSpaceDE w:val="0"/>
        <w:autoSpaceDN w:val="0"/>
        <w:adjustRightInd w:val="0"/>
        <w:jc w:val="both"/>
        <w:rPr>
          <w:color w:val="000000" w:themeColor="text1"/>
          <w:sz w:val="16"/>
          <w:szCs w:val="16"/>
        </w:rPr>
      </w:pPr>
    </w:p>
    <w:p w14:paraId="66736D8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753DEC72" w14:textId="77777777" w:rsidR="00D4105E" w:rsidRPr="00E14102" w:rsidRDefault="00D4105E" w:rsidP="00E14102">
      <w:pPr>
        <w:autoSpaceDE w:val="0"/>
        <w:autoSpaceDN w:val="0"/>
        <w:adjustRightInd w:val="0"/>
        <w:jc w:val="both"/>
        <w:rPr>
          <w:iCs/>
          <w:color w:val="000000" w:themeColor="text1"/>
          <w:sz w:val="16"/>
          <w:szCs w:val="16"/>
        </w:rPr>
      </w:pPr>
    </w:p>
    <w:p w14:paraId="63A4BC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года Брайтенбах во время очередной встречи с советской разведчицей сообщил, что участвовал в совершенно секретном совещании в военном министерстве, где был ознакомлен с новейшими образцами боевой техники. Он передал описание новых типов артиллерийских орудий, в том числе дальнобойных, бронетехники, минометов, бронебойных пуль, специальных гранат и твердотопливных ракет.</w:t>
      </w:r>
    </w:p>
    <w:p w14:paraId="41EB50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В. Леманом (Брайтенбахом) поддерживала связь Е. Зарубина (Вардо). С 1935 года, когда Брайтенбах курировал вопросы, связанные с контрразведывательным обеспечением всей военной промышленности Германии, выросли его разведывательные возможности. Вардо приходила со встреч, буквально перегруженная материалами. Связники — К. Харрис, М. Браудер и другие — едва успевали отвозить эти документы в Париж для последующей отправки в Москву.</w:t>
      </w:r>
    </w:p>
    <w:p w14:paraId="7B6CAA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Он же передал, впервые, информацию о создании под руководством молодого тогда инженера, в будущем знаменитого В. фон Брауна, принципиально нового типа оружия — ракеты на жидком топливе для поражения целей на расстоянии в сотни километров. Вардо тщательно записала все со слов агента и этот доклад на шести страницах был направлен 17 декабря 1935 года Сталину, Ворошилову и Тухачевскому. Позднее Брайтенбах сообщил дислокацию пяти секретных полигонов для испытания новых видов оружия (Дамаскин И. Разведчицы и шпионки. — М., 1999, с. 173—174.).</w:t>
      </w:r>
    </w:p>
    <w:p w14:paraId="12CA15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Харрис тоже принимала активное участие в операциях, советской НТР в довоенной Европе. В частности, она работала в Германии с источником Наследство. Простое перечисление полученных от него материалов свидетельствует об их значимости и ценности: проект заводских установок по производству калиаммониевой селитры, лаун-селитры, гидрогенизации жиров, абсорбционной установки. 42-летний инженер имел доступ ко всем секретам своей компании-работодателя. После того как Наследство, по неизвестным причинам, пропал (как оказалось, он, работая за деньги, сумел купить себе загородный дом и посчитал, что в дальнейшем на связь может не выходить), К. Харрис сумела найти этого человека и через его жену, имевшую на супруга большое влияние, снова приобщить к работе. В этот, второй, период сотрудничества она получила от агента материалы по электролизу водорода, сжиганию аммиака в кислороде, чертежи новой абсорбционной установки завода «Бамаг» и материалы по получению нитрофоски. Позже он передал рабочие чертежи по получению бензина из газов, добываемых при помощи синтеза угля. Уже перед самой войной Наследство дал сведения о пороховых заводах. Они были переданы в Генштаб Красной Армии и получили высокую оценку: «Информация является ценной и поступает впервые». Всего за время сотрудничества агент заработал 35 000 марок, а польза принесенная им, составила многие миллионы рублей (11765).</w:t>
      </w:r>
    </w:p>
    <w:p w14:paraId="6D9C7262" w14:textId="77777777" w:rsidR="00D4105E" w:rsidRPr="00E14102" w:rsidRDefault="00D4105E" w:rsidP="00E14102">
      <w:pPr>
        <w:autoSpaceDE w:val="0"/>
        <w:autoSpaceDN w:val="0"/>
        <w:adjustRightInd w:val="0"/>
        <w:jc w:val="both"/>
        <w:rPr>
          <w:color w:val="000000" w:themeColor="text1"/>
          <w:sz w:val="16"/>
          <w:szCs w:val="16"/>
        </w:rPr>
      </w:pPr>
    </w:p>
    <w:p w14:paraId="25DD1B87" w14:textId="77777777" w:rsidR="00B27DAD" w:rsidRPr="00E14102" w:rsidRDefault="00B27DAD"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E75E2AF" w14:textId="77777777" w:rsidR="00B27DAD" w:rsidRPr="00E14102" w:rsidRDefault="00B27DAD" w:rsidP="00E14102">
      <w:pPr>
        <w:autoSpaceDE w:val="0"/>
        <w:autoSpaceDN w:val="0"/>
        <w:adjustRightInd w:val="0"/>
        <w:jc w:val="both"/>
        <w:rPr>
          <w:iCs/>
          <w:color w:val="000000" w:themeColor="text1"/>
          <w:sz w:val="16"/>
          <w:szCs w:val="16"/>
        </w:rPr>
      </w:pPr>
    </w:p>
    <w:p w14:paraId="310F2B9A" w14:textId="77777777" w:rsidR="00D00FF4" w:rsidRPr="00E14102" w:rsidRDefault="00D00FF4" w:rsidP="00E14102">
      <w:pPr>
        <w:jc w:val="both"/>
        <w:rPr>
          <w:color w:val="0070C0"/>
          <w:sz w:val="16"/>
          <w:szCs w:val="16"/>
        </w:rPr>
      </w:pPr>
      <w:r w:rsidRPr="00E14102">
        <w:rPr>
          <w:color w:val="0070C0"/>
          <w:sz w:val="16"/>
          <w:szCs w:val="16"/>
        </w:rPr>
        <w:t>В ноябре 1935 года Военное Министерство Германии в обстановке строжайшей секретности проводило совещание. Участников возили на военные заводы, знакомили со всеми новейшими видами военной техники, как уже принятой на вооружение, так и находящейся в стадии экспериментальной отработки. В совещании принимала участие тщательнейшим образом отобранная группа контрразведчиков, которым де</w:t>
      </w:r>
      <w:r w:rsidRPr="00E14102">
        <w:rPr>
          <w:color w:val="0070C0"/>
          <w:sz w:val="16"/>
          <w:szCs w:val="16"/>
        </w:rPr>
        <w:softHyphen/>
        <w:t>монстрировали все, что им предстояло охранять как святая свя</w:t>
      </w:r>
      <w:r w:rsidRPr="00E14102">
        <w:rPr>
          <w:color w:val="0070C0"/>
          <w:sz w:val="16"/>
          <w:szCs w:val="16"/>
        </w:rPr>
        <w:softHyphen/>
        <w:t>тых германской армии.</w:t>
      </w:r>
    </w:p>
    <w:p w14:paraId="2E087063" w14:textId="77777777" w:rsidR="00D00FF4" w:rsidRPr="00E14102" w:rsidRDefault="00D00FF4" w:rsidP="00E14102">
      <w:pPr>
        <w:jc w:val="both"/>
        <w:rPr>
          <w:color w:val="0070C0"/>
          <w:sz w:val="16"/>
          <w:szCs w:val="16"/>
        </w:rPr>
      </w:pPr>
      <w:r w:rsidRPr="00E14102">
        <w:rPr>
          <w:color w:val="0070C0"/>
          <w:sz w:val="16"/>
          <w:szCs w:val="16"/>
        </w:rPr>
        <w:t>В этой группе находился и начальник одного из подразделений контрразведывательного отдела гес</w:t>
      </w:r>
      <w:r w:rsidRPr="00E14102">
        <w:rPr>
          <w:color w:val="0070C0"/>
          <w:sz w:val="16"/>
          <w:szCs w:val="16"/>
        </w:rPr>
        <w:softHyphen/>
        <w:t>тапо Вилли Леман. Он, в 1929 году, будучи сотрудником контр</w:t>
      </w:r>
      <w:r w:rsidRPr="00E14102">
        <w:rPr>
          <w:color w:val="0070C0"/>
          <w:sz w:val="16"/>
          <w:szCs w:val="16"/>
        </w:rPr>
        <w:softHyphen/>
        <w:t>разведывательного отдела при полицай-президиуме Берлина, предложил свои услуги, связавшись с резидентом внешней разведки, и стал агентом ИнО ОГПУ «А/201». После отмены подобного обозначения ему было присвоено оперативное имя «Брайтенбах».</w:t>
      </w:r>
    </w:p>
    <w:p w14:paraId="14CC5DB5" w14:textId="77777777" w:rsidR="00D00FF4" w:rsidRPr="00E14102" w:rsidRDefault="00D00FF4" w:rsidP="00E14102">
      <w:pPr>
        <w:jc w:val="both"/>
        <w:rPr>
          <w:color w:val="0070C0"/>
          <w:sz w:val="16"/>
          <w:szCs w:val="16"/>
        </w:rPr>
      </w:pPr>
      <w:r w:rsidRPr="00E14102">
        <w:rPr>
          <w:color w:val="0070C0"/>
          <w:sz w:val="16"/>
          <w:szCs w:val="16"/>
        </w:rPr>
        <w:lastRenderedPageBreak/>
        <w:t>Прошло несколько дней после совещания, и в агентурном деле «Хелм» появились шесть страниц с описанием артилле</w:t>
      </w:r>
      <w:r w:rsidRPr="00E14102">
        <w:rPr>
          <w:color w:val="0070C0"/>
          <w:sz w:val="16"/>
          <w:szCs w:val="16"/>
        </w:rPr>
        <w:softHyphen/>
        <w:t>рийских орудий, бронетехники, специальных гранат и твер</w:t>
      </w:r>
      <w:r w:rsidRPr="00E14102">
        <w:rPr>
          <w:color w:val="0070C0"/>
          <w:sz w:val="16"/>
          <w:szCs w:val="16"/>
        </w:rPr>
        <w:softHyphen/>
        <w:t>дотопливных ракет для газовых атак. Была здесь информация и о разработках принципиально нового вида оружия — ракет на жидком топливе для поражения целей на расстоянии, изме</w:t>
      </w:r>
      <w:r w:rsidRPr="00E14102">
        <w:rPr>
          <w:color w:val="0070C0"/>
          <w:sz w:val="16"/>
          <w:szCs w:val="16"/>
        </w:rPr>
        <w:softHyphen/>
        <w:t>ряемом сотнями километров, о том, что создавались эти раке</w:t>
      </w:r>
      <w:r w:rsidRPr="00E14102">
        <w:rPr>
          <w:color w:val="0070C0"/>
          <w:sz w:val="16"/>
          <w:szCs w:val="16"/>
        </w:rPr>
        <w:softHyphen/>
        <w:t>ты под руководством молодого «доктора философии» Вернера фон Брауна (22798).</w:t>
      </w:r>
    </w:p>
    <w:p w14:paraId="7F33B720" w14:textId="77777777" w:rsidR="00D00FF4" w:rsidRPr="00E14102" w:rsidRDefault="00D00FF4" w:rsidP="00E14102">
      <w:pPr>
        <w:jc w:val="both"/>
        <w:rPr>
          <w:color w:val="0070C0"/>
          <w:sz w:val="16"/>
          <w:szCs w:val="16"/>
        </w:rPr>
      </w:pPr>
    </w:p>
    <w:p w14:paraId="7B8628D7" w14:textId="77777777" w:rsidR="00B27DAD" w:rsidRPr="00E14102" w:rsidRDefault="00B27DAD" w:rsidP="00E14102">
      <w:pPr>
        <w:jc w:val="both"/>
        <w:rPr>
          <w:color w:val="000000" w:themeColor="text1"/>
          <w:sz w:val="16"/>
          <w:szCs w:val="16"/>
        </w:rPr>
      </w:pPr>
      <w:r w:rsidRPr="00E14102">
        <w:rPr>
          <w:color w:val="000000" w:themeColor="text1"/>
          <w:sz w:val="16"/>
          <w:szCs w:val="16"/>
        </w:rPr>
        <w:t>С ноября 1935 г., воспользовавшись политической не</w:t>
      </w:r>
      <w:r w:rsidRPr="00E14102">
        <w:rPr>
          <w:color w:val="000000" w:themeColor="text1"/>
          <w:sz w:val="16"/>
          <w:szCs w:val="16"/>
        </w:rPr>
        <w:softHyphen/>
        <w:t>стабильностью в стране, царь Борис берет правление Болгарии в свои руки, превратившись из конституционного монарха фактически в самодержца. Поли</w:t>
      </w:r>
      <w:r w:rsidRPr="00E14102">
        <w:rPr>
          <w:color w:val="000000" w:themeColor="text1"/>
          <w:sz w:val="16"/>
          <w:szCs w:val="16"/>
        </w:rPr>
        <w:softHyphen/>
        <w:t>тические партии были распущены. Летом 1936 г. Борис встретился с Гитлером и заключил с ним торговое соглашение. Удельный вес Германии в болгарской внешней торговле сразу возрос с 22 % в 1919 г. до 61% в 1936 г. Соответственно импорт болгарской продукции вырос с 30% до 48% (19104).</w:t>
      </w:r>
    </w:p>
    <w:p w14:paraId="64D9B511" w14:textId="77777777" w:rsidR="00B27DAD" w:rsidRPr="00E14102" w:rsidRDefault="00B27DAD" w:rsidP="00E14102">
      <w:pPr>
        <w:jc w:val="both"/>
        <w:rPr>
          <w:color w:val="000000" w:themeColor="text1"/>
          <w:sz w:val="16"/>
          <w:szCs w:val="16"/>
        </w:rPr>
      </w:pPr>
    </w:p>
    <w:p w14:paraId="0F043BD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078B22C" w14:textId="77777777" w:rsidR="00D4105E" w:rsidRPr="00E14102" w:rsidRDefault="00D4105E" w:rsidP="00E14102">
      <w:pPr>
        <w:autoSpaceDE w:val="0"/>
        <w:autoSpaceDN w:val="0"/>
        <w:adjustRightInd w:val="0"/>
        <w:jc w:val="both"/>
        <w:rPr>
          <w:iCs/>
          <w:color w:val="000000" w:themeColor="text1"/>
          <w:sz w:val="16"/>
          <w:szCs w:val="16"/>
        </w:rPr>
      </w:pPr>
    </w:p>
    <w:p w14:paraId="215820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ноябре 1935 г. — мае 1936 г. М-58МН с уменьшенным наддувом летал на самолете УТИ-3 (двухместном учебном варианте И-16) в НИИ ВВС. Но длительность доводки в значительной мере обесценила М-58. Хотя на малых высотах он превосходил по мощности М-25 (Райт 8Я-1820-РЗ) и М-75 (Гном-Рон 9К). выше 3000 м оба этих мотора давали существенный выигрыш. Таким образом, внедрение М-58МН в серию шло бы вразрез с официально провозглашенным курсом на освоение высотных моторов для истребитель</w:t>
      </w:r>
      <w:r w:rsidRPr="00E14102">
        <w:rPr>
          <w:color w:val="000000" w:themeColor="text1"/>
          <w:sz w:val="16"/>
          <w:szCs w:val="16"/>
        </w:rPr>
        <w:softHyphen/>
        <w:t>ной авиации. Кроме того, выпуск базового М-22 к моменту завершения ис</w:t>
      </w:r>
      <w:r w:rsidRPr="00E14102">
        <w:rPr>
          <w:color w:val="000000" w:themeColor="text1"/>
          <w:sz w:val="16"/>
          <w:szCs w:val="16"/>
        </w:rPr>
        <w:softHyphen/>
        <w:t>пытаний уже прекратили. В Запорожье запускали в серию принципиально отличные от него по конструкции М-85 (Гном-Рон 14Кгзё) и М-75. «Последний гвоздь в крышку гроба» М-58 забил начальник ВВС РККА Я.И. Алкснис, начертавший на акте утверждения отчета НИИ ВВС об испытаниях М-58МН резолюцию: «при наличии М-25 интереса не пред</w:t>
      </w:r>
      <w:r w:rsidRPr="00E14102">
        <w:rPr>
          <w:color w:val="000000" w:themeColor="text1"/>
          <w:sz w:val="16"/>
          <w:szCs w:val="16"/>
        </w:rPr>
        <w:softHyphen/>
        <w:t>ставляет». Все работы по М-58 после этого прекратили. На этом завершилась история советских «Юпитеров». Их место на заводе № 29 заняли семейства двигателей, основывавшиеся на других типах, созданных конструкторами фирмы «Гном-Рон» — «Мистраль» и «Мистраль Мажор» (11852).</w:t>
      </w:r>
    </w:p>
    <w:p w14:paraId="4CE837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Являлся развитием конструкции серийного мотора М-22 (Гном-Рон 9А «Юпитер»). Первоначально именовался М-22У. Разрабатывался в апреле — мае 1932 г. Технико-конструкторским отделом завода № 29 (Запорожье) под руководством А.С. Назарова для замены М-22 как вне</w:t>
      </w:r>
      <w:r w:rsidRPr="00E14102">
        <w:rPr>
          <w:color w:val="000000" w:themeColor="text1"/>
          <w:sz w:val="16"/>
          <w:szCs w:val="16"/>
        </w:rPr>
        <w:softHyphen/>
        <w:t>плановый (по инициативе завода). Отличался головками цилиндров типа «Хорнет», полыми выхлопными клапанами с воздушным охлаждением, цилиндрами с более частым оребрением и новыми фланцами, ролико</w:t>
      </w:r>
      <w:r w:rsidRPr="00E14102">
        <w:rPr>
          <w:color w:val="000000" w:themeColor="text1"/>
          <w:sz w:val="16"/>
          <w:szCs w:val="16"/>
        </w:rPr>
        <w:softHyphen/>
        <w:t>выми подшипниками коленвала (кроме переднего), новой схемой смазки шатунов, шлицевым носком коленвала, наличием ПЦН, использованием титановых сплавов. Первые три экземпляра мотора, получившего новое обозначение М-58, начали изготавливать в апреле 1932 г. Карбюраторы и магнето устанавливались импортные. Первый опытный образец испы</w:t>
      </w:r>
      <w:r w:rsidRPr="00E14102">
        <w:rPr>
          <w:color w:val="000000" w:themeColor="text1"/>
          <w:sz w:val="16"/>
          <w:szCs w:val="16"/>
        </w:rPr>
        <w:softHyphen/>
        <w:t>тывался с октября того же года. Отмечались большой износ кулачковых шайб, чрезмерный расход масла, трещины в картере. Второй экземпляр собрали в феврале 1933 г., а чуть позже третий, облегченный. С апреля 1933 г. двигатель включили в государственный план опытно-конструкторских работ. На последующих опытных образцах ввели вы</w:t>
      </w:r>
      <w:r w:rsidRPr="00E14102">
        <w:rPr>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E14102">
        <w:rPr>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E14102">
        <w:rPr>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E14102">
        <w:rPr>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E14102">
        <w:rPr>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E14102">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0394A5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Характеристики:</w:t>
      </w:r>
    </w:p>
    <w:p w14:paraId="789FABB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9-цилиндровый, звездообразный, четырехтактный, воздушного охлаж</w:t>
      </w:r>
      <w:r w:rsidRPr="00E14102">
        <w:rPr>
          <w:color w:val="000000" w:themeColor="text1"/>
          <w:sz w:val="16"/>
          <w:szCs w:val="16"/>
        </w:rPr>
        <w:softHyphen/>
        <w:t>дения, безредукторный, с одноступенчатым односкоростным ПЦН;</w:t>
      </w:r>
    </w:p>
    <w:p w14:paraId="208AC2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диаметр цилиндра/ход поршня 160/190 мм;</w:t>
      </w:r>
    </w:p>
    <w:p w14:paraId="065765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объем 34,4 л;</w:t>
      </w:r>
    </w:p>
    <w:p w14:paraId="61DB199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степень сжатия 5,5;</w:t>
      </w:r>
    </w:p>
    <w:p w14:paraId="2D7237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мощность по проекту 630/800 л.с., реально 630/785 л.с.;</w:t>
      </w:r>
    </w:p>
    <w:p w14:paraId="11CF0F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вес в зависимости от модификации. Известны модификации:</w:t>
      </w:r>
    </w:p>
    <w:p w14:paraId="4F8E28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 М-58Н</w:t>
      </w:r>
    </w:p>
    <w:p w14:paraId="1BB480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М-58, три первых опытных экземпляра с полным наддувом, 630/680 л.с., вес 445^450 кг.</w:t>
      </w:r>
    </w:p>
    <w:p w14:paraId="76B966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М-58МН, последующие два (возможно, три) образца с уменьшенным наддувом. Мощность 630/785 л.с., вес 465^476 кг.</w:t>
      </w:r>
    </w:p>
    <w:p w14:paraId="4196A9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М-58Н, отличался от М-58МН передачей к ПЦН, крыльчаткой и диф</w:t>
      </w:r>
      <w:r w:rsidRPr="00E14102">
        <w:rPr>
          <w:color w:val="000000" w:themeColor="text1"/>
          <w:sz w:val="16"/>
          <w:szCs w:val="16"/>
        </w:rPr>
        <w:softHyphen/>
        <w:t>фузором.</w:t>
      </w:r>
    </w:p>
    <w:p w14:paraId="4BDF8A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59E1529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42ADA1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AFDF075" w14:textId="77777777" w:rsidR="00D4105E" w:rsidRPr="00E14102" w:rsidRDefault="00D4105E" w:rsidP="00E14102">
      <w:pPr>
        <w:autoSpaceDE w:val="0"/>
        <w:autoSpaceDN w:val="0"/>
        <w:adjustRightInd w:val="0"/>
        <w:jc w:val="both"/>
        <w:rPr>
          <w:iCs/>
          <w:color w:val="000000" w:themeColor="text1"/>
          <w:sz w:val="16"/>
          <w:szCs w:val="16"/>
        </w:rPr>
      </w:pPr>
    </w:p>
    <w:p w14:paraId="2AFEB0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—декабре 1935 года, а затем в марте — апреле 1939-го СТЗ-5 совершил безостановочные пробеги Сталинград — Москва и обратно без поломок и недопустимых износов. Дополнительные испытания СТЗ-5, проведенные в НАТИ летом-осенью 1943 года, показали низкие тяговые свойства машины. При движении на высшей, пятой передаче максимальное тяговое усилие на крюке не превышало 240 — 270 кгс, что позволяло тягачу уверенно работать без прицепа или тянуть его только по хорошим дорогам с подъемами оказался крайне незначительным (2 — 6%) и при перегрузке скорость резко падала. Поэтому приходилось работать в основном на четвертой (нагрузка на крюке — 585 кгс) и на третьей (нагрузка — до 1230 кгс) передачах. Движение в условиях бездорожья или при буксировке тяжелых прицепов было возможно только на второй передаче (тяговое усилие — 2720 кгс). Отмечался также очень низкий коэффициент сцепления гусенице грунтом (f = 0,599) (11639).</w:t>
      </w:r>
    </w:p>
    <w:p w14:paraId="07CA5779" w14:textId="77777777" w:rsidR="00D4105E" w:rsidRPr="00E14102" w:rsidRDefault="00D4105E" w:rsidP="00E14102">
      <w:pPr>
        <w:autoSpaceDE w:val="0"/>
        <w:autoSpaceDN w:val="0"/>
        <w:adjustRightInd w:val="0"/>
        <w:jc w:val="both"/>
        <w:rPr>
          <w:color w:val="000000" w:themeColor="text1"/>
          <w:sz w:val="16"/>
          <w:szCs w:val="16"/>
        </w:rPr>
      </w:pPr>
    </w:p>
    <w:p w14:paraId="788A67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сентябре 1936 гг. на стапелях николаевского завода им. А. Марти, который ока</w:t>
      </w:r>
      <w:r w:rsidRPr="00E14102">
        <w:rPr>
          <w:color w:val="000000" w:themeColor="text1"/>
          <w:sz w:val="16"/>
          <w:szCs w:val="16"/>
        </w:rPr>
        <w:softHyphen/>
        <w:t>зался лучшим по быстроте постройки корпусов, бьши заложены предназначенные к отправке на Дальний Восток в разобранном виде "Резвый", "Решительный", "Ра</w:t>
      </w:r>
      <w:r w:rsidRPr="00E14102">
        <w:rPr>
          <w:color w:val="000000" w:themeColor="text1"/>
          <w:sz w:val="16"/>
          <w:szCs w:val="16"/>
        </w:rPr>
        <w:softHyphen/>
        <w:t>сторопный", "Разящий", Рьяный", "Резкий", "Ретивый", "Поспеш</w:t>
      </w:r>
      <w:r w:rsidRPr="00E14102">
        <w:rPr>
          <w:color w:val="000000" w:themeColor="text1"/>
          <w:sz w:val="16"/>
          <w:szCs w:val="16"/>
        </w:rPr>
        <w:softHyphen/>
        <w:t>ный", "Проворный", "Передовой", "Прыткий" и "Пылкий" (12 еди</w:t>
      </w:r>
      <w:r w:rsidRPr="00E14102">
        <w:rPr>
          <w:color w:val="000000" w:themeColor="text1"/>
          <w:sz w:val="16"/>
          <w:szCs w:val="16"/>
        </w:rPr>
        <w:softHyphen/>
        <w:t>ниц), а также черноморские "Бодрый", "Быстрый", "Бойкий" и "Беспощадный" (4 единицы). Учитывая, что постройка всей серии производилась без пред</w:t>
      </w:r>
      <w:r w:rsidRPr="00E14102">
        <w:rPr>
          <w:color w:val="000000" w:themeColor="text1"/>
          <w:sz w:val="16"/>
          <w:szCs w:val="16"/>
        </w:rPr>
        <w:softHyphen/>
        <w:t>варительных испытаний головного корабля, УВМС и Главморпром добились разрешения Политбюро ЦК ВКП(б) сдать первый эсми</w:t>
      </w:r>
      <w:r w:rsidRPr="00E14102">
        <w:rPr>
          <w:color w:val="000000" w:themeColor="text1"/>
          <w:sz w:val="16"/>
          <w:szCs w:val="16"/>
        </w:rPr>
        <w:softHyphen/>
        <w:t>нец (им был "Резвый") на Черном море, а не на Тихом океане. Но при этом были установлены явно нереальные сроки — завершение постройки "не позже конца 1936 г.", а ходовых испытаний — не по</w:t>
      </w:r>
      <w:r w:rsidRPr="00E14102">
        <w:rPr>
          <w:color w:val="000000" w:themeColor="text1"/>
          <w:sz w:val="16"/>
          <w:szCs w:val="16"/>
        </w:rPr>
        <w:softHyphen/>
        <w:t>зже 1 квартала 1937 г. Выдержать такие темпы не удалось, и "Резвый", учитывая важ</w:t>
      </w:r>
      <w:r w:rsidRPr="00E14102">
        <w:rPr>
          <w:color w:val="000000" w:themeColor="text1"/>
          <w:sz w:val="16"/>
          <w:szCs w:val="16"/>
        </w:rPr>
        <w:softHyphen/>
        <w:t>ность скорейшей сдачи эсминцев для Тихоокеанского флота, отправили в разобранном виде во Владивосток, где перезаложили 24 сентября 1937 г. (3898).</w:t>
      </w:r>
    </w:p>
    <w:p w14:paraId="70B7D320" w14:textId="77777777" w:rsidR="00D4105E" w:rsidRPr="00E14102" w:rsidRDefault="00D4105E" w:rsidP="00E14102">
      <w:pPr>
        <w:autoSpaceDE w:val="0"/>
        <w:autoSpaceDN w:val="0"/>
        <w:adjustRightInd w:val="0"/>
        <w:jc w:val="both"/>
        <w:rPr>
          <w:color w:val="000000" w:themeColor="text1"/>
          <w:sz w:val="16"/>
          <w:szCs w:val="16"/>
        </w:rPr>
      </w:pPr>
    </w:p>
    <w:p w14:paraId="572B61E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6575DFE" w14:textId="77777777" w:rsidR="00D4105E" w:rsidRPr="00E14102" w:rsidRDefault="00D4105E" w:rsidP="00E14102">
      <w:pPr>
        <w:autoSpaceDE w:val="0"/>
        <w:autoSpaceDN w:val="0"/>
        <w:adjustRightInd w:val="0"/>
        <w:jc w:val="both"/>
        <w:rPr>
          <w:iCs/>
          <w:color w:val="000000" w:themeColor="text1"/>
          <w:sz w:val="16"/>
          <w:szCs w:val="16"/>
        </w:rPr>
      </w:pPr>
    </w:p>
    <w:p w14:paraId="50BD9D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Ноябрь-декабрь 1935 г. Проведено служебное аттестование всего начальствующего состава органов внутренних дел. Наркому внутренних дел СССР Г.Г. Ягоде впервые присвоено специальное звание - Генеральный комиссар государственной безопасности, что соответствовало маршальскому воинскому званию. Звание комиссара второго ранга получил начальник Главного управления рабоче-крестьянской милиции НКВД СССР Леонид Бельский (10303).</w:t>
      </w:r>
    </w:p>
    <w:p w14:paraId="155FB5CF" w14:textId="77777777" w:rsidR="00D4105E" w:rsidRPr="00E14102" w:rsidRDefault="00D4105E" w:rsidP="00E14102">
      <w:pPr>
        <w:autoSpaceDE w:val="0"/>
        <w:autoSpaceDN w:val="0"/>
        <w:adjustRightInd w:val="0"/>
        <w:jc w:val="both"/>
        <w:rPr>
          <w:color w:val="000000" w:themeColor="text1"/>
          <w:sz w:val="16"/>
          <w:szCs w:val="16"/>
        </w:rPr>
      </w:pPr>
    </w:p>
    <w:p w14:paraId="13CE889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55AB9C8" w14:textId="77777777" w:rsidR="00D4105E" w:rsidRPr="00E14102" w:rsidRDefault="00D4105E" w:rsidP="00E14102">
      <w:pPr>
        <w:autoSpaceDE w:val="0"/>
        <w:autoSpaceDN w:val="0"/>
        <w:adjustRightInd w:val="0"/>
        <w:jc w:val="both"/>
        <w:rPr>
          <w:iCs/>
          <w:color w:val="000000" w:themeColor="text1"/>
          <w:sz w:val="16"/>
          <w:szCs w:val="16"/>
        </w:rPr>
      </w:pPr>
    </w:p>
    <w:p w14:paraId="34961E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Поздней осенью 1935 закончили сборку бомбардировщика К-13 К.А.К. - конкурента ДБ-2 и ДБ-3. ГУАП считал, что СБ К.А.К. и С.В.И. не нужны, так как есть уже машина ЦАГИ (70,264).</w:t>
      </w:r>
    </w:p>
    <w:p w14:paraId="7E2E1C53" w14:textId="77777777" w:rsidR="00D4105E" w:rsidRPr="00E14102" w:rsidRDefault="00D4105E" w:rsidP="00E14102">
      <w:pPr>
        <w:autoSpaceDE w:val="0"/>
        <w:autoSpaceDN w:val="0"/>
        <w:adjustRightInd w:val="0"/>
        <w:jc w:val="both"/>
        <w:rPr>
          <w:color w:val="000000" w:themeColor="text1"/>
          <w:sz w:val="16"/>
          <w:szCs w:val="16"/>
        </w:rPr>
      </w:pPr>
    </w:p>
    <w:p w14:paraId="4A01AA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концу осени 1935 г. в КБ А.С.Я. отказа</w:t>
      </w:r>
      <w:r w:rsidRPr="00E14102">
        <w:rPr>
          <w:color w:val="000000" w:themeColor="text1"/>
          <w:sz w:val="16"/>
          <w:szCs w:val="16"/>
        </w:rPr>
        <w:softHyphen/>
        <w:t>лись от убирающихся шасси для АИР-14 (будущего УТ-1), перейдя к более простым, легким и надежным неубирающимся стойкам, за</w:t>
      </w:r>
      <w:r w:rsidRPr="00E14102">
        <w:rPr>
          <w:color w:val="000000" w:themeColor="text1"/>
          <w:sz w:val="16"/>
          <w:szCs w:val="16"/>
        </w:rPr>
        <w:softHyphen/>
        <w:t>крытым обтекателями (3955). В результате получился очень малень</w:t>
      </w:r>
      <w:r w:rsidRPr="00E14102">
        <w:rPr>
          <w:color w:val="000000" w:themeColor="text1"/>
          <w:sz w:val="16"/>
          <w:szCs w:val="16"/>
        </w:rPr>
        <w:softHyphen/>
        <w:t>кий, компактный и изящный самолет смешанной конструкции. Компоновка машины во многом повторяла более ранние проекты Яковлева. Внешне са</w:t>
      </w:r>
      <w:r w:rsidRPr="00E14102">
        <w:rPr>
          <w:color w:val="000000" w:themeColor="text1"/>
          <w:sz w:val="16"/>
          <w:szCs w:val="16"/>
        </w:rPr>
        <w:softHyphen/>
        <w:t>молет сильно напоминал уменьшенный вариант учебного двухместного АИР-10 (УТ-2), но по конструкции довольно су</w:t>
      </w:r>
      <w:r w:rsidRPr="00E14102">
        <w:rPr>
          <w:color w:val="000000" w:themeColor="text1"/>
          <w:sz w:val="16"/>
          <w:szCs w:val="16"/>
        </w:rPr>
        <w:softHyphen/>
        <w:t>щественно отличался от последнего. Основой фюзеляжа являлась сварная ферма из стальных труб, усиленная про</w:t>
      </w:r>
      <w:r w:rsidRPr="00E14102">
        <w:rPr>
          <w:color w:val="000000" w:themeColor="text1"/>
          <w:sz w:val="16"/>
          <w:szCs w:val="16"/>
        </w:rPr>
        <w:softHyphen/>
        <w:t>волочными расчалками. На нее наде</w:t>
      </w:r>
      <w:r w:rsidRPr="00E14102">
        <w:rPr>
          <w:color w:val="000000" w:themeColor="text1"/>
          <w:sz w:val="16"/>
          <w:szCs w:val="16"/>
        </w:rPr>
        <w:softHyphen/>
        <w:t>вался легкий деревянный каркас. Не</w:t>
      </w:r>
      <w:r w:rsidRPr="00E14102">
        <w:rPr>
          <w:color w:val="000000" w:themeColor="text1"/>
          <w:sz w:val="16"/>
          <w:szCs w:val="16"/>
        </w:rPr>
        <w:softHyphen/>
        <w:t>разъемное крыло было цельнодеревянным. Оперение и элероны имели дюра</w:t>
      </w:r>
      <w:r w:rsidRPr="00E14102">
        <w:rPr>
          <w:color w:val="000000" w:themeColor="text1"/>
          <w:sz w:val="16"/>
          <w:szCs w:val="16"/>
        </w:rPr>
        <w:softHyphen/>
        <w:t>левый силовой набор. Вся обшивка са</w:t>
      </w:r>
      <w:r w:rsidRPr="00E14102">
        <w:rPr>
          <w:color w:val="000000" w:themeColor="text1"/>
          <w:sz w:val="16"/>
          <w:szCs w:val="16"/>
        </w:rPr>
        <w:softHyphen/>
        <w:t>молета полотняная (3955). Пилот располагался в открытой каби</w:t>
      </w:r>
      <w:r w:rsidRPr="00E14102">
        <w:rPr>
          <w:color w:val="000000" w:themeColor="text1"/>
          <w:sz w:val="16"/>
          <w:szCs w:val="16"/>
        </w:rPr>
        <w:softHyphen/>
        <w:t xml:space="preserve">не за небольшим ветровым козырьком. За головой летчика начинался гаргрот, шедший до самого киля. </w:t>
      </w:r>
      <w:r w:rsidRPr="00E14102">
        <w:rPr>
          <w:color w:val="000000" w:themeColor="text1"/>
          <w:sz w:val="16"/>
          <w:szCs w:val="16"/>
        </w:rPr>
        <w:lastRenderedPageBreak/>
        <w:t>Неприхотли</w:t>
      </w:r>
      <w:r w:rsidRPr="00E14102">
        <w:rPr>
          <w:color w:val="000000" w:themeColor="text1"/>
          <w:sz w:val="16"/>
          <w:szCs w:val="16"/>
        </w:rPr>
        <w:softHyphen/>
        <w:t>вый и надежный звездообразный мотор М-11 (100 л.с.) капотировался только спереди, а поверх головок, выступав</w:t>
      </w:r>
      <w:r w:rsidRPr="00E14102">
        <w:rPr>
          <w:color w:val="000000" w:themeColor="text1"/>
          <w:sz w:val="16"/>
          <w:szCs w:val="16"/>
        </w:rPr>
        <w:softHyphen/>
        <w:t>ших в поток цилиндров, стояло узкое кольцо Тауненда (3955). Самолет технологически был очень прост и изготовление опытного образца не заняло много времени (3955).</w:t>
      </w:r>
    </w:p>
    <w:p w14:paraId="3CF1A8B2" w14:textId="77777777" w:rsidR="00D4105E" w:rsidRPr="00E14102" w:rsidRDefault="00D4105E" w:rsidP="00E14102">
      <w:pPr>
        <w:autoSpaceDE w:val="0"/>
        <w:autoSpaceDN w:val="0"/>
        <w:adjustRightInd w:val="0"/>
        <w:jc w:val="both"/>
        <w:rPr>
          <w:color w:val="000000" w:themeColor="text1"/>
          <w:sz w:val="16"/>
          <w:szCs w:val="16"/>
        </w:rPr>
      </w:pPr>
    </w:p>
    <w:p w14:paraId="1DE198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Поздней осенью 1935 были закончены Гос. испытания МК-1 (АНТ-22) (44,101). Тогда уже сменились взгляды. Стали считать, что нужны скоростные и высотные, сухопутные над морем (99,160).</w:t>
      </w:r>
    </w:p>
    <w:p w14:paraId="72A8CB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они были закончены еще в мае 1935</w:t>
      </w:r>
    </w:p>
    <w:p w14:paraId="50838466" w14:textId="77777777" w:rsidR="00D4105E" w:rsidRPr="00E14102" w:rsidRDefault="00D4105E" w:rsidP="00E14102">
      <w:pPr>
        <w:autoSpaceDE w:val="0"/>
        <w:autoSpaceDN w:val="0"/>
        <w:adjustRightInd w:val="0"/>
        <w:jc w:val="both"/>
        <w:rPr>
          <w:color w:val="000000" w:themeColor="text1"/>
          <w:sz w:val="16"/>
          <w:szCs w:val="16"/>
        </w:rPr>
      </w:pPr>
    </w:p>
    <w:p w14:paraId="607B177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D411FD4" w14:textId="77777777" w:rsidR="00D4105E" w:rsidRPr="00E14102" w:rsidRDefault="00D4105E" w:rsidP="00E14102">
      <w:pPr>
        <w:autoSpaceDE w:val="0"/>
        <w:autoSpaceDN w:val="0"/>
        <w:adjustRightInd w:val="0"/>
        <w:jc w:val="both"/>
        <w:rPr>
          <w:iCs/>
          <w:color w:val="000000" w:themeColor="text1"/>
          <w:sz w:val="16"/>
          <w:szCs w:val="16"/>
        </w:rPr>
      </w:pPr>
    </w:p>
    <w:p w14:paraId="766EE6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декабря 1935 г. в Казани сделали лишь около половины требуемых рабочих чертежей МГ и примерно треть технологических карт. Ни одного приспособления не изготовили, необходимые станки не прибыли (12036).</w:t>
      </w:r>
    </w:p>
    <w:p w14:paraId="179917C6" w14:textId="77777777" w:rsidR="00D4105E" w:rsidRPr="00E14102" w:rsidRDefault="00D4105E" w:rsidP="00E14102">
      <w:pPr>
        <w:autoSpaceDE w:val="0"/>
        <w:autoSpaceDN w:val="0"/>
        <w:adjustRightInd w:val="0"/>
        <w:jc w:val="both"/>
        <w:rPr>
          <w:color w:val="000000" w:themeColor="text1"/>
          <w:sz w:val="16"/>
          <w:szCs w:val="16"/>
        </w:rPr>
      </w:pPr>
    </w:p>
    <w:p w14:paraId="6731BD8D" w14:textId="77777777" w:rsidR="00970104" w:rsidRPr="00E14102" w:rsidRDefault="00970104" w:rsidP="00E14102">
      <w:pPr>
        <w:jc w:val="both"/>
        <w:rPr>
          <w:color w:val="000000" w:themeColor="text1"/>
          <w:sz w:val="16"/>
          <w:szCs w:val="16"/>
        </w:rPr>
      </w:pPr>
      <w:r w:rsidRPr="00E14102">
        <w:rPr>
          <w:color w:val="000000" w:themeColor="text1"/>
          <w:sz w:val="16"/>
          <w:szCs w:val="16"/>
        </w:rPr>
        <w:t>1 декабря 1935 командующий ВВС утвердил "Заключение по боевой схеме одноместного истребителя с мотором М-34ФРН - специальный, конструкции завода №39, бригады инженера Ильюшина". В документе констатировалось, что "в основном, самолет удовлетворяет предъявленным техническим требованиям, по скорости даже превосходит последние на 40-50 км; в отношении же дальности - требованиям не удовлетворяет. Вместо 1000 км, расчетная дальность самолета на небольшой скорости (270 км/ ч) равна 766 км, при крейсерской же скорости 480 км/ч, дальность снижается до 460 км/ч". Вывод был кратким:</w:t>
      </w:r>
    </w:p>
    <w:p w14:paraId="7A41B405" w14:textId="77777777" w:rsidR="00970104" w:rsidRPr="00E14102" w:rsidRDefault="00970104" w:rsidP="00E14102">
      <w:pPr>
        <w:jc w:val="both"/>
        <w:rPr>
          <w:color w:val="000000" w:themeColor="text1"/>
          <w:sz w:val="16"/>
          <w:szCs w:val="16"/>
        </w:rPr>
      </w:pPr>
      <w:r w:rsidRPr="00E14102">
        <w:rPr>
          <w:color w:val="000000" w:themeColor="text1"/>
          <w:sz w:val="16"/>
          <w:szCs w:val="16"/>
        </w:rPr>
        <w:t>"1. Боевую схему самолета - утвердить.</w:t>
      </w:r>
    </w:p>
    <w:p w14:paraId="45A40FF0" w14:textId="77777777" w:rsidR="00970104" w:rsidRPr="00E14102" w:rsidRDefault="00970104" w:rsidP="00E14102">
      <w:pPr>
        <w:jc w:val="both"/>
        <w:rPr>
          <w:color w:val="000000" w:themeColor="text1"/>
          <w:sz w:val="16"/>
          <w:szCs w:val="16"/>
        </w:rPr>
      </w:pPr>
      <w:r w:rsidRPr="00E14102">
        <w:rPr>
          <w:color w:val="000000" w:themeColor="text1"/>
          <w:sz w:val="16"/>
          <w:szCs w:val="16"/>
        </w:rPr>
        <w:t>2. Обзор для летчика и удобство его размещения проверить на макете.</w:t>
      </w:r>
    </w:p>
    <w:p w14:paraId="42044839" w14:textId="77777777" w:rsidR="00970104" w:rsidRPr="00E14102" w:rsidRDefault="00970104" w:rsidP="00E14102">
      <w:pPr>
        <w:jc w:val="both"/>
        <w:rPr>
          <w:color w:val="000000" w:themeColor="text1"/>
          <w:sz w:val="16"/>
          <w:szCs w:val="16"/>
        </w:rPr>
      </w:pPr>
      <w:r w:rsidRPr="00E14102">
        <w:rPr>
          <w:color w:val="000000" w:themeColor="text1"/>
          <w:sz w:val="16"/>
          <w:szCs w:val="16"/>
        </w:rPr>
        <w:t>3. Считать необходимым, увеличить емкость бензиновых баков настолько, чтобы самолету была обеспечена дальность полета 600 км на крейсерской скорости 480 км/ч".</w:t>
      </w:r>
    </w:p>
    <w:p w14:paraId="39538AF9" w14:textId="77777777" w:rsidR="00970104" w:rsidRPr="00E14102" w:rsidRDefault="00970104" w:rsidP="00E14102">
      <w:pPr>
        <w:jc w:val="both"/>
        <w:rPr>
          <w:color w:val="000000" w:themeColor="text1"/>
          <w:sz w:val="16"/>
          <w:szCs w:val="16"/>
        </w:rPr>
      </w:pPr>
      <w:r w:rsidRPr="00E14102">
        <w:rPr>
          <w:color w:val="000000" w:themeColor="text1"/>
          <w:sz w:val="16"/>
          <w:szCs w:val="16"/>
        </w:rPr>
        <w:t>Оперативность, проявленная при рассмотрении документов, дает основание предполагать, что ВВС не случайно проявляли особый интерес к проекту (12229).</w:t>
      </w:r>
    </w:p>
    <w:p w14:paraId="55074B3F" w14:textId="77777777" w:rsidR="00970104" w:rsidRPr="00E14102" w:rsidRDefault="00970104" w:rsidP="00E14102">
      <w:pPr>
        <w:jc w:val="both"/>
        <w:rPr>
          <w:color w:val="000000" w:themeColor="text1"/>
          <w:sz w:val="16"/>
          <w:szCs w:val="16"/>
        </w:rPr>
      </w:pPr>
    </w:p>
    <w:p w14:paraId="13DE93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были готовы и в марте 1936 испытывались в воздухе системы дозаправки в воздухе И-5 и И-16 с ТБ-3 (АНТ-6) - на вооружение не приняли (191,28).</w:t>
      </w:r>
    </w:p>
    <w:p w14:paraId="5CBDC613" w14:textId="77777777" w:rsidR="00D4105E" w:rsidRPr="00E14102" w:rsidRDefault="00D4105E" w:rsidP="00E14102">
      <w:pPr>
        <w:autoSpaceDE w:val="0"/>
        <w:autoSpaceDN w:val="0"/>
        <w:adjustRightInd w:val="0"/>
        <w:jc w:val="both"/>
        <w:rPr>
          <w:color w:val="000000" w:themeColor="text1"/>
          <w:sz w:val="16"/>
          <w:szCs w:val="16"/>
        </w:rPr>
      </w:pPr>
    </w:p>
    <w:p w14:paraId="7764B6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декабря 1935 г. опытные образцы оборудования для дозаправки И-5 и И-16 были готовы. Танкером являлся ТБ-3, выпускавший шланг длиной 40 м. На И-5 монтировался комплект АЗ-22 с автоматическим клапаном, весивший 4,2 кг. Приёмная горловина находилась на правом борту сверху, у козырька кабины. Танкер сначала выпускал фал с "грузовой грушей", которую пилот истребителя ловил рукой. Далее с помощью фала он подтягивал шланг и закладывал его патрон в приёмную горловину. После заполнения бака автоматический клапан перекрывал подачу и выталкивал патрон. Всё оборудование разрабатывалось в КБ № 1 ВВС под руководством А.К. Запанованного. Лётные испытания начались летом 1936 г. Истребитель пилотировали лётчики Соколов и Супрун. Оказалось, что ловить фал очень трудно - приходилось либо отпускать ручку управления самолётом, либо сектор газа. Ни одной переливки на И-5 так и не выполнили. Дальнейшие работы вели на переоборудованном И-16. Не очень совершенную систему Запанованного на вооружение не приняли.</w:t>
      </w:r>
    </w:p>
    <w:p w14:paraId="6DB06594" w14:textId="77777777" w:rsidR="00D4105E" w:rsidRPr="00E14102" w:rsidRDefault="00D4105E" w:rsidP="00E14102">
      <w:pPr>
        <w:autoSpaceDE w:val="0"/>
        <w:autoSpaceDN w:val="0"/>
        <w:adjustRightInd w:val="0"/>
        <w:jc w:val="both"/>
        <w:rPr>
          <w:color w:val="000000" w:themeColor="text1"/>
          <w:sz w:val="16"/>
          <w:szCs w:val="16"/>
        </w:rPr>
      </w:pPr>
    </w:p>
    <w:p w14:paraId="2335BE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закончились испытания самолета Звено (ТБ-3 4М-17 + 2И-16), которые шли с 25 октября 1935. Отв. исполнители - ви Лосюков. За время испытаний было проведено 26 подвесок и сбрасываний И-16 на земле и 10 полетов с подвешенными и со сбрасыванием в воздухе. Летали 9 дней, доводили и ремонтировали - 11 дней, испытывали на земле - 4 дня.</w:t>
      </w:r>
    </w:p>
    <w:p w14:paraId="5FE399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982B8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Установку соединения Звено (ТБ-3 4М-17 + 2И-16), Зав. литер 3-6 считать прошедшей испытания</w:t>
      </w:r>
    </w:p>
    <w:p w14:paraId="66EC09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При условии замены на ТБ-3 отдельных деталей шасси на усиленные (узлы крепления полуоси, амортстойки, подкосы) и устранении выявленных дефектов, соединение Звено в составе ТБ-3 4М-17 + 2И-16 м.б. рекомендовано на вооружение ВС в качестве:</w:t>
      </w:r>
    </w:p>
    <w:p w14:paraId="0827AE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транспортного для заброски и на далекие расстояния</w:t>
      </w:r>
    </w:p>
    <w:p w14:paraId="7565F6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авиаматки ПВО</w:t>
      </w:r>
    </w:p>
    <w:p w14:paraId="63A2CE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при условии замены ТБ-3 4М-17 на более современный вариант ТБ-3 4М-34Р или РН в качестве:</w:t>
      </w:r>
    </w:p>
    <w:p w14:paraId="77EA4A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ТБ с собственным охранением и</w:t>
      </w:r>
    </w:p>
    <w:p w14:paraId="724AEE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Тяжелого крейсера с 2 истребителями на нем.</w:t>
      </w:r>
    </w:p>
    <w:p w14:paraId="3FA2E5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Головное соединение звено (ТБ-3 + 2И-16) с устранением на нем дефектов, выявленных испытанием, считать необходимым испытать в НИИ ВВС.</w:t>
      </w:r>
    </w:p>
    <w:p w14:paraId="674332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учитывая полную принципиальную отработку вопроса с установкой и на тяжелые самолеты и его тактическую ценность, считать необходимым дополнить существующие требования к проектируемым истребителям и ТБ и включить в новые ТТТ к самолетам этого же типа п. о разработке приспособлений, аналогичного типа, одновременно с разработкой конструкции самого самолета и об учете подвески во всех видах расчетов (2763).</w:t>
      </w:r>
    </w:p>
    <w:p w14:paraId="17E9EB6E" w14:textId="77777777" w:rsidR="00D4105E" w:rsidRPr="00E14102" w:rsidRDefault="00D4105E" w:rsidP="00E14102">
      <w:pPr>
        <w:autoSpaceDE w:val="0"/>
        <w:autoSpaceDN w:val="0"/>
        <w:adjustRightInd w:val="0"/>
        <w:jc w:val="both"/>
        <w:rPr>
          <w:color w:val="000000" w:themeColor="text1"/>
          <w:sz w:val="16"/>
          <w:szCs w:val="16"/>
        </w:rPr>
      </w:pPr>
    </w:p>
    <w:p w14:paraId="03F99C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закончились испытания соединения "ЗВЕНО" (ТБ3-4М17+2И16), которые проходили с 21 октября 1935</w:t>
      </w:r>
    </w:p>
    <w:p w14:paraId="19E558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0E8D5A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 Лосюков</w:t>
      </w:r>
    </w:p>
    <w:p w14:paraId="5FE588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03B9C54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Проверить надежность конструкции установок для подвески истребителей и безотказность их работы.</w:t>
      </w:r>
    </w:p>
    <w:p w14:paraId="08D2A3A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Проверить надежность схем питания горючим и смазочным самолетов И16 от ТБ3 в полете.</w:t>
      </w:r>
    </w:p>
    <w:p w14:paraId="13DD8D4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Выявить влияние установок на летные данные.</w:t>
      </w:r>
    </w:p>
    <w:p w14:paraId="35825C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527381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Установку соединения "Звено" (ТБ3-4М17+2И16) заводской литер 3-6 считать прошедшей испытание (7657).</w:t>
      </w:r>
    </w:p>
    <w:p w14:paraId="2C9EBFE4"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61344DE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декабря 1935 закончилось испытание соединения “Звено” (ТБ3-4М17 + 2И16), которое проходило с 21 октября 1935 (6695).</w:t>
      </w:r>
    </w:p>
    <w:p w14:paraId="2E9D094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5979E6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 Лосюков</w:t>
      </w:r>
    </w:p>
    <w:p w14:paraId="3496143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7C91575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Проверить надежность конструкции установок для подвески истребителей и безотказность их работы.</w:t>
      </w:r>
    </w:p>
    <w:p w14:paraId="6ED19A7F"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Проверить надежность схем питания горючим и смазочным самолетов И16 от ТБ3 в полете.</w:t>
      </w:r>
    </w:p>
    <w:p w14:paraId="7A20E2F5"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Выявить влияние установок на летные данные.</w:t>
      </w:r>
    </w:p>
    <w:p w14:paraId="5AAFD5B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6A6283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Установку соединения “Звено” (ТБ3-4М17+2И16) заводской литер 3-6 считать прошедшей испытание (6695).</w:t>
      </w:r>
    </w:p>
    <w:p w14:paraId="4F62A1C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15E5EFB2" w14:textId="77777777" w:rsidR="00B17FCF" w:rsidRPr="00E14102" w:rsidRDefault="00B17FCF" w:rsidP="00E14102">
      <w:pPr>
        <w:jc w:val="both"/>
        <w:rPr>
          <w:color w:val="000000" w:themeColor="text1"/>
          <w:sz w:val="16"/>
          <w:szCs w:val="16"/>
        </w:rPr>
      </w:pPr>
      <w:r w:rsidRPr="00E14102">
        <w:rPr>
          <w:color w:val="000000" w:themeColor="text1"/>
          <w:sz w:val="16"/>
          <w:szCs w:val="16"/>
        </w:rPr>
        <w:t>1 декабря 1935 закончились государственные испытания «Звена-6», которые шли с 21 октября. Перед этим И-16 оборудовали системой подпитки топливом и маслом от ТБ-3. Самолёты соединялись резиновыми шлангами, они крепились к истребителям замками, открывающимися из кабины И-16. На концах шлангов стояли клапаны, которые перекрывали магистрали при расцеплении самолётов.</w:t>
      </w:r>
    </w:p>
    <w:p w14:paraId="31293850" w14:textId="77777777" w:rsidR="00B17FCF" w:rsidRPr="00E14102" w:rsidRDefault="00B17FCF" w:rsidP="00E14102">
      <w:pPr>
        <w:jc w:val="both"/>
        <w:rPr>
          <w:color w:val="000000" w:themeColor="text1"/>
          <w:sz w:val="16"/>
          <w:szCs w:val="16"/>
        </w:rPr>
      </w:pPr>
      <w:r w:rsidRPr="00E14102">
        <w:rPr>
          <w:color w:val="000000" w:themeColor="text1"/>
          <w:sz w:val="16"/>
          <w:szCs w:val="16"/>
        </w:rPr>
        <w:t>Сначала тренировались в подвеске и сбрасывании И-16 на земле — это упражнение сделали 26 раз. Затем выполнили 10 полётов с разделением самолётов. Лётные качества «звена» по сравнению с обычным ТБ-3 изменились несущественно: потолок уменьшился на 400 м, максимальная скорость возросла на 7–8 км/ч. Среди замечаний отмечались недоработанность системы внешнего питания истребителя горючим и маслом (течь в местах крепления шлангов к истребителю, нечёткая работа замков их отсоединения) и отсутствие средств связи между экипажами бомбардировщика и подвесных самолётов.</w:t>
      </w:r>
    </w:p>
    <w:p w14:paraId="156214D4" w14:textId="77777777" w:rsidR="00B17FCF" w:rsidRPr="00E14102" w:rsidRDefault="00B17FCF" w:rsidP="00E14102">
      <w:pPr>
        <w:jc w:val="both"/>
        <w:rPr>
          <w:color w:val="000000" w:themeColor="text1"/>
          <w:sz w:val="16"/>
          <w:szCs w:val="16"/>
        </w:rPr>
      </w:pPr>
      <w:r w:rsidRPr="00E14102">
        <w:rPr>
          <w:color w:val="000000" w:themeColor="text1"/>
          <w:sz w:val="16"/>
          <w:szCs w:val="16"/>
        </w:rPr>
        <w:t>Но в целом впечатление было положительное. Заключение по полётам гласило:</w:t>
      </w:r>
    </w:p>
    <w:p w14:paraId="6EC5D298" w14:textId="77777777" w:rsidR="00B17FCF" w:rsidRPr="00E14102" w:rsidRDefault="00B17FCF" w:rsidP="00E14102">
      <w:pPr>
        <w:jc w:val="both"/>
        <w:rPr>
          <w:color w:val="000000" w:themeColor="text1"/>
          <w:sz w:val="16"/>
          <w:szCs w:val="16"/>
        </w:rPr>
      </w:pPr>
      <w:r w:rsidRPr="00E14102">
        <w:rPr>
          <w:color w:val="000000" w:themeColor="text1"/>
          <w:sz w:val="16"/>
          <w:szCs w:val="16"/>
        </w:rPr>
        <w:t>«1. Установку соединения Звено (ТБ-3 4М-17 + 2 И-16), заводской литер 3–6, считать прошедшей испытания.</w:t>
      </w:r>
    </w:p>
    <w:p w14:paraId="362CF94C" w14:textId="77777777" w:rsidR="00B17FCF" w:rsidRPr="00E14102" w:rsidRDefault="00B17FCF" w:rsidP="00E14102">
      <w:pPr>
        <w:jc w:val="both"/>
        <w:rPr>
          <w:color w:val="000000" w:themeColor="text1"/>
          <w:sz w:val="16"/>
          <w:szCs w:val="16"/>
        </w:rPr>
      </w:pPr>
      <w:r w:rsidRPr="00E14102">
        <w:rPr>
          <w:color w:val="000000" w:themeColor="text1"/>
          <w:sz w:val="16"/>
          <w:szCs w:val="16"/>
        </w:rPr>
        <w:t>2. При условии замены на ТБ-3 отдельных деталей шасси на усиленные (узлы крепления полуоси, амортстойки, подкосы) и устранении выявленных дефектов, соединение Звено в составе ТБ-3 4М-17 + 2 И-16 может быть рекомендовано на вооружение ВВС в качестве:</w:t>
      </w:r>
    </w:p>
    <w:p w14:paraId="7664979F" w14:textId="77777777" w:rsidR="00B17FCF" w:rsidRPr="00E14102" w:rsidRDefault="00B17FCF" w:rsidP="00E14102">
      <w:pPr>
        <w:jc w:val="both"/>
        <w:rPr>
          <w:color w:val="000000" w:themeColor="text1"/>
          <w:sz w:val="16"/>
          <w:szCs w:val="16"/>
        </w:rPr>
      </w:pPr>
      <w:r w:rsidRPr="00E14102">
        <w:rPr>
          <w:color w:val="000000" w:themeColor="text1"/>
          <w:sz w:val="16"/>
          <w:szCs w:val="16"/>
        </w:rPr>
        <w:t>а) транспортного для заброски на далёкие расстояния;</w:t>
      </w:r>
    </w:p>
    <w:p w14:paraId="0C19A5C0" w14:textId="77777777" w:rsidR="00B17FCF" w:rsidRPr="00E14102" w:rsidRDefault="00B17FCF" w:rsidP="00E14102">
      <w:pPr>
        <w:jc w:val="both"/>
        <w:rPr>
          <w:color w:val="000000" w:themeColor="text1"/>
          <w:sz w:val="16"/>
          <w:szCs w:val="16"/>
        </w:rPr>
      </w:pPr>
      <w:r w:rsidRPr="00E14102">
        <w:rPr>
          <w:color w:val="000000" w:themeColor="text1"/>
          <w:sz w:val="16"/>
          <w:szCs w:val="16"/>
        </w:rPr>
        <w:t>б) авиаматки ПВО.</w:t>
      </w:r>
    </w:p>
    <w:p w14:paraId="4EF87B4F" w14:textId="77777777" w:rsidR="00B17FCF" w:rsidRPr="00E14102" w:rsidRDefault="00B17FCF" w:rsidP="00E14102">
      <w:pPr>
        <w:jc w:val="both"/>
        <w:rPr>
          <w:color w:val="000000" w:themeColor="text1"/>
          <w:sz w:val="16"/>
          <w:szCs w:val="16"/>
        </w:rPr>
      </w:pPr>
      <w:r w:rsidRPr="00E14102">
        <w:rPr>
          <w:color w:val="000000" w:themeColor="text1"/>
          <w:sz w:val="16"/>
          <w:szCs w:val="16"/>
        </w:rPr>
        <w:t>Кроме того, при условии замены ТБ-3 4М-17 на более современный вариант ТБ-3 4М-34Р или PН в качестве:</w:t>
      </w:r>
    </w:p>
    <w:p w14:paraId="2D9F6742" w14:textId="77777777" w:rsidR="00B17FCF" w:rsidRPr="00E14102" w:rsidRDefault="00B17FCF" w:rsidP="00E14102">
      <w:pPr>
        <w:jc w:val="both"/>
        <w:rPr>
          <w:color w:val="000000" w:themeColor="text1"/>
          <w:sz w:val="16"/>
          <w:szCs w:val="16"/>
        </w:rPr>
      </w:pPr>
      <w:r w:rsidRPr="00E14102">
        <w:rPr>
          <w:color w:val="000000" w:themeColor="text1"/>
          <w:sz w:val="16"/>
          <w:szCs w:val="16"/>
        </w:rPr>
        <w:t>а) ТБ с собственным охранением и</w:t>
      </w:r>
    </w:p>
    <w:p w14:paraId="5749157C" w14:textId="77777777" w:rsidR="00B17FCF" w:rsidRPr="00E14102" w:rsidRDefault="00B17FCF" w:rsidP="00E14102">
      <w:pPr>
        <w:jc w:val="both"/>
        <w:rPr>
          <w:color w:val="000000" w:themeColor="text1"/>
          <w:sz w:val="16"/>
          <w:szCs w:val="16"/>
        </w:rPr>
      </w:pPr>
      <w:r w:rsidRPr="00E14102">
        <w:rPr>
          <w:color w:val="000000" w:themeColor="text1"/>
          <w:sz w:val="16"/>
          <w:szCs w:val="16"/>
        </w:rPr>
        <w:t>б) тяжёлого крейсера с 2 истребителями на нём.</w:t>
      </w:r>
    </w:p>
    <w:p w14:paraId="29CA0CF7" w14:textId="77777777" w:rsidR="00B17FCF" w:rsidRPr="00E14102" w:rsidRDefault="00B17FCF" w:rsidP="00E14102">
      <w:pPr>
        <w:jc w:val="both"/>
        <w:rPr>
          <w:color w:val="000000" w:themeColor="text1"/>
          <w:sz w:val="16"/>
          <w:szCs w:val="16"/>
        </w:rPr>
      </w:pPr>
      <w:r w:rsidRPr="00E14102">
        <w:rPr>
          <w:color w:val="000000" w:themeColor="text1"/>
          <w:sz w:val="16"/>
          <w:szCs w:val="16"/>
        </w:rPr>
        <w:lastRenderedPageBreak/>
        <w:t>&lt;…&gt;</w:t>
      </w:r>
    </w:p>
    <w:p w14:paraId="47602E2E" w14:textId="77777777" w:rsidR="00B17FCF" w:rsidRPr="00E14102" w:rsidRDefault="00B17FCF" w:rsidP="00E14102">
      <w:pPr>
        <w:jc w:val="both"/>
        <w:rPr>
          <w:color w:val="000000" w:themeColor="text1"/>
          <w:sz w:val="16"/>
          <w:szCs w:val="16"/>
        </w:rPr>
      </w:pPr>
      <w:r w:rsidRPr="00E14102">
        <w:rPr>
          <w:color w:val="000000" w:themeColor="text1"/>
          <w:sz w:val="16"/>
          <w:szCs w:val="16"/>
        </w:rPr>
        <w:t>4. Учитывая полную принципиальную отработку вопроса с установкой на тяжёлые самолёты и его тактическую ценность, считать необходимым дополнить существующие требования к проектируемым истребителям и ТБ и включить в новые ТТТ к самолётам этого типа пункт о разработке приспособлений аналогичного типа, одновременно с разработкой конструкции самого самолёта и об учёте подвески во всех видах расчётов».</w:t>
      </w:r>
    </w:p>
    <w:p w14:paraId="4FD87B5E" w14:textId="77777777" w:rsidR="00B17FCF" w:rsidRPr="00E14102" w:rsidRDefault="00B17FCF" w:rsidP="00E14102">
      <w:pPr>
        <w:jc w:val="both"/>
        <w:rPr>
          <w:color w:val="000000" w:themeColor="text1"/>
          <w:sz w:val="16"/>
          <w:szCs w:val="16"/>
        </w:rPr>
      </w:pPr>
      <w:r w:rsidRPr="00E14102">
        <w:rPr>
          <w:color w:val="000000" w:themeColor="text1"/>
          <w:sz w:val="16"/>
          <w:szCs w:val="16"/>
        </w:rPr>
        <w:t xml:space="preserve">Начальник ВВС Алкснис добавил предложение о формировании авиабригады составных самолётов и распорядился дать заказ на оборудование 48 ТБ-3 4М-17 и 96 И-16 М-22 устройствами для подвески </w:t>
      </w:r>
      <w:hyperlink r:id="rId220" w:history="1">
        <w:r w:rsidRPr="00E14102">
          <w:rPr>
            <w:color w:val="000000" w:themeColor="text1"/>
            <w:sz w:val="16"/>
            <w:szCs w:val="16"/>
          </w:rPr>
          <w:t>[91]</w:t>
        </w:r>
      </w:hyperlink>
      <w:r w:rsidRPr="00E14102">
        <w:rPr>
          <w:color w:val="000000" w:themeColor="text1"/>
          <w:sz w:val="16"/>
          <w:szCs w:val="16"/>
        </w:rPr>
        <w:t>.</w:t>
      </w:r>
    </w:p>
    <w:p w14:paraId="3F01AB20" w14:textId="77777777" w:rsidR="00B17FCF" w:rsidRPr="00E14102" w:rsidRDefault="00B17FCF" w:rsidP="00E14102">
      <w:pPr>
        <w:jc w:val="both"/>
        <w:rPr>
          <w:color w:val="000000" w:themeColor="text1"/>
          <w:sz w:val="16"/>
          <w:szCs w:val="16"/>
        </w:rPr>
      </w:pPr>
      <w:r w:rsidRPr="00E14102">
        <w:rPr>
          <w:color w:val="000000" w:themeColor="text1"/>
          <w:sz w:val="16"/>
          <w:szCs w:val="16"/>
        </w:rPr>
        <w:t xml:space="preserve">Успешные полёты «звеньев» разных типов позволили Вахмистрову заняться воплощением в жизнь «авиаматки ПВО» — по сути, летающего аэродрома с базирующимися на нём истребителями. «Я предлагаю авиацию с её аэродромами поднять в воздух», — писал изобретатель </w:t>
      </w:r>
      <w:hyperlink r:id="rId221" w:history="1">
        <w:r w:rsidRPr="00E14102">
          <w:rPr>
            <w:color w:val="000000" w:themeColor="text1"/>
            <w:sz w:val="16"/>
            <w:szCs w:val="16"/>
          </w:rPr>
          <w:t>[92]</w:t>
        </w:r>
      </w:hyperlink>
      <w:r w:rsidRPr="00E14102">
        <w:rPr>
          <w:color w:val="000000" w:themeColor="text1"/>
          <w:sz w:val="16"/>
          <w:szCs w:val="16"/>
        </w:rPr>
        <w:t xml:space="preserve"> . Авиаматка должна была подолгу барражировать над охраняемым объектом. При приближении вражеских самолётов от неё отсоединялись истребители и атаковали противника. Затем они приземлялись на аэродром или вновь сцеплялись с самолётом-носителем.</w:t>
      </w:r>
    </w:p>
    <w:p w14:paraId="3E0ECCA2" w14:textId="77777777" w:rsidR="00B17FCF" w:rsidRPr="00E14102" w:rsidRDefault="00B17FCF" w:rsidP="00E14102">
      <w:pPr>
        <w:jc w:val="both"/>
        <w:rPr>
          <w:color w:val="000000" w:themeColor="text1"/>
          <w:sz w:val="16"/>
          <w:szCs w:val="16"/>
        </w:rPr>
      </w:pPr>
      <w:r w:rsidRPr="00E14102">
        <w:rPr>
          <w:color w:val="000000" w:themeColor="text1"/>
          <w:sz w:val="16"/>
          <w:szCs w:val="16"/>
        </w:rPr>
        <w:t xml:space="preserve">В.С. Вахмистров вспоминал: «Для авиаматки проектировалось огромное летающее крыло Черановского. Матка должна была представлять собой бомбардировщик с бомбами, поднимающий шесть истребителей. (Ранее предлагался ещё более грандиозный проект — самолёт-парабола размахом 100 м с 15 истребителями И-15 сверху и 5–6 И-Z снизу. — Д.С.) </w:t>
      </w:r>
      <w:hyperlink r:id="rId222" w:history="1">
        <w:r w:rsidRPr="00E14102">
          <w:rPr>
            <w:color w:val="000000" w:themeColor="text1"/>
            <w:sz w:val="16"/>
            <w:szCs w:val="16"/>
          </w:rPr>
          <w:t>[93]</w:t>
        </w:r>
      </w:hyperlink>
      <w:r w:rsidRPr="00E14102">
        <w:rPr>
          <w:color w:val="000000" w:themeColor="text1"/>
          <w:sz w:val="16"/>
          <w:szCs w:val="16"/>
        </w:rPr>
        <w:t xml:space="preserve"> .</w:t>
      </w:r>
    </w:p>
    <w:p w14:paraId="58CD2CCE" w14:textId="77777777" w:rsidR="00B17FCF" w:rsidRPr="00E14102" w:rsidRDefault="00B17FCF" w:rsidP="00E14102">
      <w:pPr>
        <w:jc w:val="both"/>
        <w:rPr>
          <w:color w:val="000000" w:themeColor="text1"/>
          <w:sz w:val="16"/>
          <w:szCs w:val="16"/>
        </w:rPr>
      </w:pPr>
      <w:r w:rsidRPr="00E14102">
        <w:rPr>
          <w:color w:val="000000" w:themeColor="text1"/>
          <w:sz w:val="16"/>
          <w:szCs w:val="16"/>
        </w:rPr>
        <w:t>Мне пришлось докладывать об этом проекте на заседании Реввоенсовета. Я привез туда все чертежи и рисунки. Мне дали для доклада 15–20 минут. Семён Михайлович Будённый помог мне развесить рисунки. Рисунок самолёта-параболы был непонятен, и Будённый повесил его вверх ногами.</w:t>
      </w:r>
    </w:p>
    <w:p w14:paraId="523CBF64" w14:textId="77777777" w:rsidR="00B17FCF" w:rsidRPr="00E14102" w:rsidRDefault="00B17FCF" w:rsidP="00E14102">
      <w:pPr>
        <w:jc w:val="both"/>
        <w:rPr>
          <w:color w:val="000000" w:themeColor="text1"/>
          <w:sz w:val="16"/>
          <w:szCs w:val="16"/>
        </w:rPr>
      </w:pPr>
      <w:r w:rsidRPr="00E14102">
        <w:rPr>
          <w:color w:val="000000" w:themeColor="text1"/>
          <w:sz w:val="16"/>
          <w:szCs w:val="16"/>
        </w:rPr>
        <w:t>К докладу был проявлен очень большой интерес. Эта беседа вместо 15–20 минут длилась около двух часов. Я был откомандирован для его постройки на 22 завод. Работу по проекту вела молодёжь, студенты из МАИ. Спроектировали. Пропустили через макетную комиссию. Начали строить.</w:t>
      </w:r>
    </w:p>
    <w:p w14:paraId="7F873006" w14:textId="77777777" w:rsidR="00B17FCF" w:rsidRPr="00E14102" w:rsidRDefault="00B17FCF" w:rsidP="00E14102">
      <w:pPr>
        <w:jc w:val="both"/>
        <w:rPr>
          <w:color w:val="000000" w:themeColor="text1"/>
          <w:sz w:val="16"/>
          <w:szCs w:val="16"/>
        </w:rPr>
      </w:pPr>
      <w:r w:rsidRPr="00E14102">
        <w:rPr>
          <w:color w:val="000000" w:themeColor="text1"/>
          <w:sz w:val="16"/>
          <w:szCs w:val="16"/>
        </w:rPr>
        <w:t>Тухачевский очень поддерживал нашу работу. Однако когда он доложил о нашем проекте Сталину, Сталин сказал:</w:t>
      </w:r>
    </w:p>
    <w:p w14:paraId="004A4813" w14:textId="77777777" w:rsidR="00B17FCF" w:rsidRPr="00E14102" w:rsidRDefault="00B17FCF" w:rsidP="00E14102">
      <w:pPr>
        <w:jc w:val="both"/>
        <w:rPr>
          <w:color w:val="000000" w:themeColor="text1"/>
          <w:sz w:val="16"/>
          <w:szCs w:val="16"/>
        </w:rPr>
      </w:pPr>
      <w:r w:rsidRPr="00E14102">
        <w:rPr>
          <w:color w:val="000000" w:themeColor="text1"/>
          <w:sz w:val="16"/>
          <w:szCs w:val="16"/>
        </w:rPr>
        <w:t>— Товарищ Тухачевский, вы очень хороший маршал, но очень большой фантазёр!</w:t>
      </w:r>
    </w:p>
    <w:p w14:paraId="3CBBB7FA" w14:textId="77777777" w:rsidR="00B17FCF" w:rsidRPr="00E14102" w:rsidRDefault="00B17FCF" w:rsidP="00E14102">
      <w:pPr>
        <w:jc w:val="both"/>
        <w:rPr>
          <w:color w:val="000000" w:themeColor="text1"/>
          <w:sz w:val="16"/>
          <w:szCs w:val="16"/>
        </w:rPr>
      </w:pPr>
      <w:r w:rsidRPr="00E14102">
        <w:rPr>
          <w:color w:val="000000" w:themeColor="text1"/>
          <w:sz w:val="16"/>
          <w:szCs w:val="16"/>
        </w:rPr>
        <w:t xml:space="preserve">На следующий день моя тема была закрыта, а недостроенный самолёт выброшен в утиль» </w:t>
      </w:r>
      <w:hyperlink r:id="rId223" w:history="1">
        <w:r w:rsidRPr="00E14102">
          <w:rPr>
            <w:color w:val="000000" w:themeColor="text1"/>
            <w:sz w:val="16"/>
            <w:szCs w:val="16"/>
          </w:rPr>
          <w:t>[94]</w:t>
        </w:r>
      </w:hyperlink>
      <w:r w:rsidRPr="00E14102">
        <w:rPr>
          <w:color w:val="000000" w:themeColor="text1"/>
          <w:sz w:val="16"/>
          <w:szCs w:val="16"/>
        </w:rPr>
        <w:t xml:space="preserve"> .</w:t>
      </w:r>
    </w:p>
    <w:p w14:paraId="088DB8B5" w14:textId="77777777" w:rsidR="00B17FCF" w:rsidRPr="00E14102" w:rsidRDefault="00B17FCF" w:rsidP="00E14102">
      <w:pPr>
        <w:jc w:val="both"/>
        <w:rPr>
          <w:color w:val="000000" w:themeColor="text1"/>
          <w:sz w:val="16"/>
          <w:szCs w:val="16"/>
        </w:rPr>
      </w:pPr>
      <w:r w:rsidRPr="00E14102">
        <w:rPr>
          <w:color w:val="000000" w:themeColor="text1"/>
          <w:sz w:val="16"/>
          <w:szCs w:val="16"/>
        </w:rPr>
        <w:t>Тогда Вахмистров решил упростить задачу — объединить уже испытанные «Звено-2», «Звено-5» и «Звено-6» в комплекс из шести самолётов. На крыле ТБ-3 разместили два И-5, под крылом — два И-16, под фюзеляжем — устройство для подцепления в полёте И-Z. По результатам сделанного в ЦАГИ расчёта усилили некоторые узлы крыла и шасси ТБ-3. Истребители И-5 и И-16 могли питаться горючим и смазочным материалом из баков самолёта-авиаматки (17489).</w:t>
      </w:r>
    </w:p>
    <w:p w14:paraId="3FF3B32C" w14:textId="77777777" w:rsidR="00B17FCF" w:rsidRPr="00E14102" w:rsidRDefault="00B17FCF" w:rsidP="00E14102">
      <w:pPr>
        <w:jc w:val="both"/>
        <w:rPr>
          <w:color w:val="000000" w:themeColor="text1"/>
          <w:sz w:val="16"/>
          <w:szCs w:val="16"/>
        </w:rPr>
      </w:pPr>
    </w:p>
    <w:p w14:paraId="032D7A6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декабря 1935 года вышел Приказ НИИ ВС № 0608 О приостановлении испытания самолета СБ-2ИС.</w:t>
      </w:r>
    </w:p>
    <w:p w14:paraId="02BD659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связи с аварией правого мотора Испано-Сюиза, дальнейшие испытания самолета СБ-2ИС прекратить с 21 ноября 1935 года (6815, 204).</w:t>
      </w:r>
    </w:p>
    <w:p w14:paraId="36EFE14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BA11A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был подготовлен План опытного строительства самолетов на 1936-1937  (приложение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702"/>
        <w:gridCol w:w="999"/>
        <w:gridCol w:w="992"/>
        <w:gridCol w:w="628"/>
        <w:gridCol w:w="628"/>
        <w:gridCol w:w="1154"/>
        <w:gridCol w:w="2550"/>
      </w:tblGrid>
      <w:tr w:rsidR="00E3599D" w:rsidRPr="00E14102" w14:paraId="33AF88C2" w14:textId="77777777">
        <w:tc>
          <w:tcPr>
            <w:tcW w:w="2660" w:type="dxa"/>
            <w:tcBorders>
              <w:top w:val="single" w:sz="12" w:space="0" w:color="auto"/>
            </w:tcBorders>
          </w:tcPr>
          <w:p w14:paraId="5E94CC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N и Военное назначение самолета</w:t>
            </w:r>
          </w:p>
        </w:tc>
        <w:tc>
          <w:tcPr>
            <w:tcW w:w="702" w:type="dxa"/>
            <w:tcBorders>
              <w:top w:val="single" w:sz="12" w:space="0" w:color="auto"/>
            </w:tcBorders>
          </w:tcPr>
          <w:p w14:paraId="0D894D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Боевая</w:t>
            </w:r>
          </w:p>
        </w:tc>
        <w:tc>
          <w:tcPr>
            <w:tcW w:w="999" w:type="dxa"/>
            <w:tcBorders>
              <w:top w:val="single" w:sz="12" w:space="0" w:color="auto"/>
            </w:tcBorders>
          </w:tcPr>
          <w:p w14:paraId="67643D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w:t>
            </w:r>
          </w:p>
        </w:tc>
        <w:tc>
          <w:tcPr>
            <w:tcW w:w="992" w:type="dxa"/>
            <w:tcBorders>
              <w:top w:val="single" w:sz="12" w:space="0" w:color="auto"/>
            </w:tcBorders>
          </w:tcPr>
          <w:p w14:paraId="0B974C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w:t>
            </w:r>
          </w:p>
        </w:tc>
        <w:tc>
          <w:tcPr>
            <w:tcW w:w="628" w:type="dxa"/>
            <w:tcBorders>
              <w:top w:val="single" w:sz="12" w:space="0" w:color="auto"/>
            </w:tcBorders>
          </w:tcPr>
          <w:p w14:paraId="466D52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w:t>
            </w:r>
          </w:p>
        </w:tc>
        <w:tc>
          <w:tcPr>
            <w:tcW w:w="628" w:type="dxa"/>
            <w:tcBorders>
              <w:top w:val="single" w:sz="12" w:space="0" w:color="auto"/>
            </w:tcBorders>
          </w:tcPr>
          <w:p w14:paraId="6B0658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Строй.</w:t>
            </w:r>
          </w:p>
        </w:tc>
        <w:tc>
          <w:tcPr>
            <w:tcW w:w="1154" w:type="dxa"/>
            <w:tcBorders>
              <w:top w:val="single" w:sz="12" w:space="0" w:color="auto"/>
            </w:tcBorders>
          </w:tcPr>
          <w:p w14:paraId="6D7FF0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w:t>
            </w:r>
          </w:p>
        </w:tc>
        <w:tc>
          <w:tcPr>
            <w:tcW w:w="2550" w:type="dxa"/>
            <w:tcBorders>
              <w:top w:val="single" w:sz="12" w:space="0" w:color="auto"/>
            </w:tcBorders>
          </w:tcPr>
          <w:p w14:paraId="602983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7AC3A5CF" w14:textId="77777777">
        <w:tc>
          <w:tcPr>
            <w:tcW w:w="2660" w:type="dxa"/>
          </w:tcPr>
          <w:p w14:paraId="701E3C90" w14:textId="77777777" w:rsidR="00D4105E" w:rsidRPr="00E14102" w:rsidRDefault="00D4105E" w:rsidP="00E14102">
            <w:pPr>
              <w:autoSpaceDE w:val="0"/>
              <w:autoSpaceDN w:val="0"/>
              <w:adjustRightInd w:val="0"/>
              <w:jc w:val="both"/>
              <w:rPr>
                <w:color w:val="000000" w:themeColor="text1"/>
                <w:sz w:val="16"/>
                <w:szCs w:val="16"/>
              </w:rPr>
            </w:pPr>
          </w:p>
        </w:tc>
        <w:tc>
          <w:tcPr>
            <w:tcW w:w="702" w:type="dxa"/>
          </w:tcPr>
          <w:p w14:paraId="530642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w:t>
            </w:r>
          </w:p>
        </w:tc>
        <w:tc>
          <w:tcPr>
            <w:tcW w:w="999" w:type="dxa"/>
          </w:tcPr>
          <w:p w14:paraId="32226E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высоте</w:t>
            </w:r>
          </w:p>
        </w:tc>
        <w:tc>
          <w:tcPr>
            <w:tcW w:w="992" w:type="dxa"/>
          </w:tcPr>
          <w:p w14:paraId="6DEAB8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w:t>
            </w:r>
          </w:p>
        </w:tc>
        <w:tc>
          <w:tcPr>
            <w:tcW w:w="628" w:type="dxa"/>
          </w:tcPr>
          <w:p w14:paraId="60BF75BE"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2C14F6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w:t>
            </w:r>
          </w:p>
        </w:tc>
        <w:tc>
          <w:tcPr>
            <w:tcW w:w="1154" w:type="dxa"/>
          </w:tcPr>
          <w:p w14:paraId="3B51DA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ГИ</w:t>
            </w:r>
          </w:p>
        </w:tc>
        <w:tc>
          <w:tcPr>
            <w:tcW w:w="2550" w:type="dxa"/>
          </w:tcPr>
          <w:p w14:paraId="4E35A33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47D07FA" w14:textId="77777777">
        <w:tc>
          <w:tcPr>
            <w:tcW w:w="2660" w:type="dxa"/>
          </w:tcPr>
          <w:p w14:paraId="3EBCE9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Сухопутные самолеты</w:t>
            </w:r>
          </w:p>
        </w:tc>
        <w:tc>
          <w:tcPr>
            <w:tcW w:w="702" w:type="dxa"/>
          </w:tcPr>
          <w:p w14:paraId="7062B4E4" w14:textId="77777777" w:rsidR="00D4105E" w:rsidRPr="00E14102" w:rsidRDefault="00D4105E" w:rsidP="00E14102">
            <w:pPr>
              <w:autoSpaceDE w:val="0"/>
              <w:autoSpaceDN w:val="0"/>
              <w:adjustRightInd w:val="0"/>
              <w:jc w:val="both"/>
              <w:rPr>
                <w:color w:val="000000" w:themeColor="text1"/>
                <w:sz w:val="16"/>
                <w:szCs w:val="16"/>
              </w:rPr>
            </w:pPr>
          </w:p>
        </w:tc>
        <w:tc>
          <w:tcPr>
            <w:tcW w:w="999" w:type="dxa"/>
          </w:tcPr>
          <w:p w14:paraId="15C270FD"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5F754B96"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31E1A3BE"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3853793B" w14:textId="77777777" w:rsidR="00D4105E" w:rsidRPr="00E14102" w:rsidRDefault="00D4105E" w:rsidP="00E14102">
            <w:pPr>
              <w:autoSpaceDE w:val="0"/>
              <w:autoSpaceDN w:val="0"/>
              <w:adjustRightInd w:val="0"/>
              <w:jc w:val="both"/>
              <w:rPr>
                <w:color w:val="000000" w:themeColor="text1"/>
                <w:sz w:val="16"/>
                <w:szCs w:val="16"/>
              </w:rPr>
            </w:pPr>
          </w:p>
        </w:tc>
        <w:tc>
          <w:tcPr>
            <w:tcW w:w="1154" w:type="dxa"/>
          </w:tcPr>
          <w:p w14:paraId="755E91AA" w14:textId="77777777" w:rsidR="00D4105E" w:rsidRPr="00E14102" w:rsidRDefault="00D4105E" w:rsidP="00E14102">
            <w:pPr>
              <w:autoSpaceDE w:val="0"/>
              <w:autoSpaceDN w:val="0"/>
              <w:adjustRightInd w:val="0"/>
              <w:jc w:val="both"/>
              <w:rPr>
                <w:color w:val="000000" w:themeColor="text1"/>
                <w:sz w:val="16"/>
                <w:szCs w:val="16"/>
              </w:rPr>
            </w:pPr>
          </w:p>
        </w:tc>
        <w:tc>
          <w:tcPr>
            <w:tcW w:w="2550" w:type="dxa"/>
          </w:tcPr>
          <w:p w14:paraId="480720A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3115C21" w14:textId="77777777">
        <w:tc>
          <w:tcPr>
            <w:tcW w:w="2660" w:type="dxa"/>
          </w:tcPr>
          <w:p w14:paraId="5BA7E3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Одноместный истребитель И-17 М-100</w:t>
            </w:r>
          </w:p>
        </w:tc>
        <w:tc>
          <w:tcPr>
            <w:tcW w:w="702" w:type="dxa"/>
          </w:tcPr>
          <w:p w14:paraId="52BF47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0F1DBC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992" w:type="dxa"/>
          </w:tcPr>
          <w:p w14:paraId="02DE91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628" w:type="dxa"/>
          </w:tcPr>
          <w:p w14:paraId="2F92EC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327C4C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1154" w:type="dxa"/>
          </w:tcPr>
          <w:p w14:paraId="658432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01.06.36</w:t>
            </w:r>
          </w:p>
        </w:tc>
        <w:tc>
          <w:tcPr>
            <w:tcW w:w="2550" w:type="dxa"/>
          </w:tcPr>
          <w:p w14:paraId="1B80B0F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2BD1D32" w14:textId="77777777">
        <w:tc>
          <w:tcPr>
            <w:tcW w:w="2660" w:type="dxa"/>
          </w:tcPr>
          <w:p w14:paraId="3C082F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Одноместный истребитель И-18 М-100 с пушкой</w:t>
            </w:r>
          </w:p>
        </w:tc>
        <w:tc>
          <w:tcPr>
            <w:tcW w:w="702" w:type="dxa"/>
          </w:tcPr>
          <w:p w14:paraId="211380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0423FC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992" w:type="dxa"/>
          </w:tcPr>
          <w:p w14:paraId="73992C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628" w:type="dxa"/>
          </w:tcPr>
          <w:p w14:paraId="5642CC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5BB851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1154" w:type="dxa"/>
          </w:tcPr>
          <w:p w14:paraId="49216A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01.06.36</w:t>
            </w:r>
          </w:p>
        </w:tc>
        <w:tc>
          <w:tcPr>
            <w:tcW w:w="2550" w:type="dxa"/>
          </w:tcPr>
          <w:p w14:paraId="220B33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Модиф. И-17 М-100</w:t>
            </w:r>
          </w:p>
        </w:tc>
      </w:tr>
      <w:tr w:rsidR="00E3599D" w:rsidRPr="00E14102" w14:paraId="4466C319" w14:textId="77777777">
        <w:tc>
          <w:tcPr>
            <w:tcW w:w="2660" w:type="dxa"/>
          </w:tcPr>
          <w:p w14:paraId="4C15CE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Одноместный истребитель И-19 М-34ФН</w:t>
            </w:r>
          </w:p>
        </w:tc>
        <w:tc>
          <w:tcPr>
            <w:tcW w:w="702" w:type="dxa"/>
          </w:tcPr>
          <w:p w14:paraId="7B9CD5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4AA85E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550-600</w:t>
            </w:r>
          </w:p>
        </w:tc>
        <w:tc>
          <w:tcPr>
            <w:tcW w:w="992" w:type="dxa"/>
          </w:tcPr>
          <w:p w14:paraId="3848B6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628" w:type="dxa"/>
          </w:tcPr>
          <w:p w14:paraId="588AA3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59BD98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1154" w:type="dxa"/>
          </w:tcPr>
          <w:p w14:paraId="597DFB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50" w:type="dxa"/>
          </w:tcPr>
          <w:p w14:paraId="511C43E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9F5D0AA" w14:textId="77777777">
        <w:tc>
          <w:tcPr>
            <w:tcW w:w="2660" w:type="dxa"/>
          </w:tcPr>
          <w:p w14:paraId="355774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Одноместный истребитель пушечный с М-100</w:t>
            </w:r>
          </w:p>
        </w:tc>
        <w:tc>
          <w:tcPr>
            <w:tcW w:w="702" w:type="dxa"/>
          </w:tcPr>
          <w:p w14:paraId="7719FA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3AB17A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500-550</w:t>
            </w:r>
          </w:p>
        </w:tc>
        <w:tc>
          <w:tcPr>
            <w:tcW w:w="992" w:type="dxa"/>
          </w:tcPr>
          <w:p w14:paraId="45B997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628" w:type="dxa"/>
          </w:tcPr>
          <w:p w14:paraId="7BF3FC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5A25FA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154" w:type="dxa"/>
          </w:tcPr>
          <w:p w14:paraId="7E120F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01.08.36</w:t>
            </w:r>
          </w:p>
        </w:tc>
        <w:tc>
          <w:tcPr>
            <w:tcW w:w="2550" w:type="dxa"/>
          </w:tcPr>
          <w:p w14:paraId="15F66E6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3921A9B" w14:textId="77777777">
        <w:tc>
          <w:tcPr>
            <w:tcW w:w="2660" w:type="dxa"/>
          </w:tcPr>
          <w:p w14:paraId="5652D7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Одноместный истребитель пушечный с М-34ФН</w:t>
            </w:r>
          </w:p>
        </w:tc>
        <w:tc>
          <w:tcPr>
            <w:tcW w:w="702" w:type="dxa"/>
          </w:tcPr>
          <w:p w14:paraId="43236B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40CF9C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992" w:type="dxa"/>
          </w:tcPr>
          <w:p w14:paraId="77B7C4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628" w:type="dxa"/>
          </w:tcPr>
          <w:p w14:paraId="600B3B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700/1000</w:t>
            </w:r>
          </w:p>
        </w:tc>
        <w:tc>
          <w:tcPr>
            <w:tcW w:w="628" w:type="dxa"/>
          </w:tcPr>
          <w:p w14:paraId="29EAF1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1154" w:type="dxa"/>
          </w:tcPr>
          <w:p w14:paraId="354D79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01.08.36</w:t>
            </w:r>
          </w:p>
        </w:tc>
        <w:tc>
          <w:tcPr>
            <w:tcW w:w="2550" w:type="dxa"/>
          </w:tcPr>
          <w:p w14:paraId="782A23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3000 м</w:t>
            </w:r>
          </w:p>
        </w:tc>
      </w:tr>
      <w:tr w:rsidR="00E3599D" w:rsidRPr="00E14102" w14:paraId="05260CE6" w14:textId="77777777">
        <w:tc>
          <w:tcPr>
            <w:tcW w:w="2660" w:type="dxa"/>
          </w:tcPr>
          <w:p w14:paraId="171364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Одноместный истребитель</w:t>
            </w:r>
          </w:p>
        </w:tc>
        <w:tc>
          <w:tcPr>
            <w:tcW w:w="702" w:type="dxa"/>
          </w:tcPr>
          <w:p w14:paraId="5E066B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37539F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500-550</w:t>
            </w:r>
          </w:p>
        </w:tc>
        <w:tc>
          <w:tcPr>
            <w:tcW w:w="992" w:type="dxa"/>
          </w:tcPr>
          <w:p w14:paraId="1E222F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628" w:type="dxa"/>
          </w:tcPr>
          <w:p w14:paraId="208538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31D1F8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1154" w:type="dxa"/>
          </w:tcPr>
          <w:p w14:paraId="5F27BC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01.08.36</w:t>
            </w:r>
          </w:p>
        </w:tc>
        <w:tc>
          <w:tcPr>
            <w:tcW w:w="2550" w:type="dxa"/>
          </w:tcPr>
          <w:p w14:paraId="12814AF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74F84BC" w14:textId="77777777">
        <w:tc>
          <w:tcPr>
            <w:tcW w:w="2660" w:type="dxa"/>
          </w:tcPr>
          <w:p w14:paraId="1FC990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Многоместный истребитель 2М-85</w:t>
            </w:r>
          </w:p>
        </w:tc>
        <w:tc>
          <w:tcPr>
            <w:tcW w:w="702" w:type="dxa"/>
          </w:tcPr>
          <w:p w14:paraId="12AF9F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768D5A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375</w:t>
            </w:r>
          </w:p>
        </w:tc>
        <w:tc>
          <w:tcPr>
            <w:tcW w:w="992" w:type="dxa"/>
          </w:tcPr>
          <w:p w14:paraId="27DDA7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7D773E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62ACDC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1C9E75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01.04.36</w:t>
            </w:r>
          </w:p>
        </w:tc>
        <w:tc>
          <w:tcPr>
            <w:tcW w:w="2550" w:type="dxa"/>
          </w:tcPr>
          <w:p w14:paraId="05FDDE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ДИ-8 по стар. плану</w:t>
            </w:r>
          </w:p>
        </w:tc>
      </w:tr>
      <w:tr w:rsidR="00E3599D" w:rsidRPr="00E14102" w14:paraId="03A8FBF2" w14:textId="77777777">
        <w:tc>
          <w:tcPr>
            <w:tcW w:w="2660" w:type="dxa"/>
          </w:tcPr>
          <w:p w14:paraId="40A425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Скоростной разведчик Р-9 М-85</w:t>
            </w:r>
          </w:p>
        </w:tc>
        <w:tc>
          <w:tcPr>
            <w:tcW w:w="702" w:type="dxa"/>
          </w:tcPr>
          <w:p w14:paraId="743A77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021174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992" w:type="dxa"/>
          </w:tcPr>
          <w:p w14:paraId="72A63B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628" w:type="dxa"/>
          </w:tcPr>
          <w:p w14:paraId="6E42C5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12AFF3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1154" w:type="dxa"/>
          </w:tcPr>
          <w:p w14:paraId="0314F7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01.03.36</w:t>
            </w:r>
          </w:p>
        </w:tc>
        <w:tc>
          <w:tcPr>
            <w:tcW w:w="2550" w:type="dxa"/>
          </w:tcPr>
          <w:p w14:paraId="566534D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EA395CF" w14:textId="77777777">
        <w:tc>
          <w:tcPr>
            <w:tcW w:w="2660" w:type="dxa"/>
          </w:tcPr>
          <w:p w14:paraId="04D623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Скоростной разведчик</w:t>
            </w:r>
          </w:p>
        </w:tc>
        <w:tc>
          <w:tcPr>
            <w:tcW w:w="702" w:type="dxa"/>
          </w:tcPr>
          <w:p w14:paraId="2612E1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3D5F25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992" w:type="dxa"/>
          </w:tcPr>
          <w:p w14:paraId="0640F3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628" w:type="dxa"/>
          </w:tcPr>
          <w:p w14:paraId="04B88C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36FFF5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135</w:t>
            </w:r>
          </w:p>
        </w:tc>
        <w:tc>
          <w:tcPr>
            <w:tcW w:w="1154" w:type="dxa"/>
          </w:tcPr>
          <w:p w14:paraId="147A81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50" w:type="dxa"/>
          </w:tcPr>
          <w:p w14:paraId="3AC7D0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Если Неман на 135</w:t>
            </w:r>
          </w:p>
        </w:tc>
      </w:tr>
      <w:tr w:rsidR="00E3599D" w:rsidRPr="00E14102" w14:paraId="6D4B66E2" w14:textId="77777777">
        <w:tc>
          <w:tcPr>
            <w:tcW w:w="2660" w:type="dxa"/>
          </w:tcPr>
          <w:p w14:paraId="04B6E7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Скоростной разведчик</w:t>
            </w:r>
          </w:p>
        </w:tc>
        <w:tc>
          <w:tcPr>
            <w:tcW w:w="702" w:type="dxa"/>
          </w:tcPr>
          <w:p w14:paraId="77DD5B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020FB4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992" w:type="dxa"/>
          </w:tcPr>
          <w:p w14:paraId="2F8B99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628" w:type="dxa"/>
          </w:tcPr>
          <w:p w14:paraId="199202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1187CA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154" w:type="dxa"/>
          </w:tcPr>
          <w:p w14:paraId="2175CF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01.11.36</w:t>
            </w:r>
          </w:p>
        </w:tc>
        <w:tc>
          <w:tcPr>
            <w:tcW w:w="2550" w:type="dxa"/>
          </w:tcPr>
          <w:p w14:paraId="3FA30D8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6CA2B80" w14:textId="77777777">
        <w:tc>
          <w:tcPr>
            <w:tcW w:w="2660" w:type="dxa"/>
          </w:tcPr>
          <w:p w14:paraId="00B6E0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Дальний разведчик 2М-100</w:t>
            </w:r>
          </w:p>
        </w:tc>
        <w:tc>
          <w:tcPr>
            <w:tcW w:w="702" w:type="dxa"/>
          </w:tcPr>
          <w:p w14:paraId="02D6B2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01798F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405-430</w:t>
            </w:r>
          </w:p>
        </w:tc>
        <w:tc>
          <w:tcPr>
            <w:tcW w:w="992" w:type="dxa"/>
          </w:tcPr>
          <w:p w14:paraId="2F7245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DD55B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1500/3</w:t>
            </w:r>
          </w:p>
        </w:tc>
        <w:tc>
          <w:tcPr>
            <w:tcW w:w="628" w:type="dxa"/>
          </w:tcPr>
          <w:p w14:paraId="0D1DD5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4C8573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01.10.36</w:t>
            </w:r>
          </w:p>
        </w:tc>
        <w:tc>
          <w:tcPr>
            <w:tcW w:w="2550" w:type="dxa"/>
          </w:tcPr>
          <w:p w14:paraId="36B3B2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Модификация СБ</w:t>
            </w:r>
          </w:p>
        </w:tc>
      </w:tr>
      <w:tr w:rsidR="00E3599D" w:rsidRPr="00E14102" w14:paraId="2E8E65EE" w14:textId="77777777">
        <w:tc>
          <w:tcPr>
            <w:tcW w:w="2660" w:type="dxa"/>
          </w:tcPr>
          <w:p w14:paraId="34F396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БДД (ТБ-7 4М-34) с центр. Наддувом</w:t>
            </w:r>
          </w:p>
        </w:tc>
        <w:tc>
          <w:tcPr>
            <w:tcW w:w="702" w:type="dxa"/>
          </w:tcPr>
          <w:p w14:paraId="7FE962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8-9000</w:t>
            </w:r>
          </w:p>
        </w:tc>
        <w:tc>
          <w:tcPr>
            <w:tcW w:w="999" w:type="dxa"/>
          </w:tcPr>
          <w:p w14:paraId="378757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992" w:type="dxa"/>
          </w:tcPr>
          <w:p w14:paraId="5E32EB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628" w:type="dxa"/>
          </w:tcPr>
          <w:p w14:paraId="627C09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1500/4</w:t>
            </w:r>
          </w:p>
        </w:tc>
        <w:tc>
          <w:tcPr>
            <w:tcW w:w="628" w:type="dxa"/>
          </w:tcPr>
          <w:p w14:paraId="4B8C29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5B15BD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50" w:type="dxa"/>
          </w:tcPr>
          <w:p w14:paraId="6C19A2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Совм. испытания</w:t>
            </w:r>
          </w:p>
        </w:tc>
      </w:tr>
      <w:tr w:rsidR="00E3599D" w:rsidRPr="00E14102" w14:paraId="44C1F8B6" w14:textId="77777777">
        <w:tc>
          <w:tcPr>
            <w:tcW w:w="2660" w:type="dxa"/>
          </w:tcPr>
          <w:p w14:paraId="27E920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БДД М-34 со спец. Наддувом</w:t>
            </w:r>
          </w:p>
        </w:tc>
        <w:tc>
          <w:tcPr>
            <w:tcW w:w="702" w:type="dxa"/>
          </w:tcPr>
          <w:p w14:paraId="35A0BF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8-9000</w:t>
            </w:r>
          </w:p>
        </w:tc>
        <w:tc>
          <w:tcPr>
            <w:tcW w:w="999" w:type="dxa"/>
          </w:tcPr>
          <w:p w14:paraId="72EBBD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992" w:type="dxa"/>
          </w:tcPr>
          <w:p w14:paraId="58C136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628" w:type="dxa"/>
          </w:tcPr>
          <w:p w14:paraId="0765F9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1500/4</w:t>
            </w:r>
          </w:p>
        </w:tc>
        <w:tc>
          <w:tcPr>
            <w:tcW w:w="628" w:type="dxa"/>
          </w:tcPr>
          <w:p w14:paraId="6E15C2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1154" w:type="dxa"/>
          </w:tcPr>
          <w:p w14:paraId="53DCA2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01.04.37</w:t>
            </w:r>
          </w:p>
        </w:tc>
        <w:tc>
          <w:tcPr>
            <w:tcW w:w="2550" w:type="dxa"/>
          </w:tcPr>
          <w:p w14:paraId="525C94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 ДБ-4М-34РН</w:t>
            </w:r>
          </w:p>
        </w:tc>
      </w:tr>
      <w:tr w:rsidR="00E3599D" w:rsidRPr="00E14102" w14:paraId="7D3F5AFD" w14:textId="77777777">
        <w:tc>
          <w:tcPr>
            <w:tcW w:w="2660" w:type="dxa"/>
          </w:tcPr>
          <w:p w14:paraId="606F3B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БДД 2М-85</w:t>
            </w:r>
          </w:p>
        </w:tc>
        <w:tc>
          <w:tcPr>
            <w:tcW w:w="702" w:type="dxa"/>
          </w:tcPr>
          <w:p w14:paraId="2657FC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188FDF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300-320</w:t>
            </w:r>
          </w:p>
        </w:tc>
        <w:tc>
          <w:tcPr>
            <w:tcW w:w="992" w:type="dxa"/>
          </w:tcPr>
          <w:p w14:paraId="628005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w:t>
            </w:r>
          </w:p>
        </w:tc>
        <w:tc>
          <w:tcPr>
            <w:tcW w:w="628" w:type="dxa"/>
          </w:tcPr>
          <w:p w14:paraId="64704F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628" w:type="dxa"/>
          </w:tcPr>
          <w:p w14:paraId="43B645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42A697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01.06.36</w:t>
            </w:r>
          </w:p>
        </w:tc>
        <w:tc>
          <w:tcPr>
            <w:tcW w:w="2550" w:type="dxa"/>
          </w:tcPr>
          <w:p w14:paraId="0C037F8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380BAA5" w14:textId="77777777">
        <w:tc>
          <w:tcPr>
            <w:tcW w:w="2660" w:type="dxa"/>
          </w:tcPr>
          <w:p w14:paraId="0292A8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БДД (скоростной) 2М-85</w:t>
            </w:r>
          </w:p>
        </w:tc>
        <w:tc>
          <w:tcPr>
            <w:tcW w:w="702" w:type="dxa"/>
          </w:tcPr>
          <w:p w14:paraId="4F44E1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20970D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992" w:type="dxa"/>
          </w:tcPr>
          <w:p w14:paraId="5DDAAB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28E649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1500/4</w:t>
            </w:r>
          </w:p>
        </w:tc>
        <w:tc>
          <w:tcPr>
            <w:tcW w:w="628" w:type="dxa"/>
          </w:tcPr>
          <w:p w14:paraId="25A801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1154" w:type="dxa"/>
          </w:tcPr>
          <w:p w14:paraId="3940E3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01.06.36</w:t>
            </w:r>
          </w:p>
        </w:tc>
        <w:tc>
          <w:tcPr>
            <w:tcW w:w="2550" w:type="dxa"/>
          </w:tcPr>
          <w:p w14:paraId="096C1C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пониж. дальност.</w:t>
            </w:r>
          </w:p>
        </w:tc>
      </w:tr>
      <w:tr w:rsidR="00E3599D" w:rsidRPr="00E14102" w14:paraId="06775527" w14:textId="77777777">
        <w:tc>
          <w:tcPr>
            <w:tcW w:w="2660" w:type="dxa"/>
          </w:tcPr>
          <w:p w14:paraId="4C850171" w14:textId="77777777" w:rsidR="00D4105E" w:rsidRPr="00E14102" w:rsidRDefault="00D4105E" w:rsidP="00E14102">
            <w:pPr>
              <w:autoSpaceDE w:val="0"/>
              <w:autoSpaceDN w:val="0"/>
              <w:adjustRightInd w:val="0"/>
              <w:jc w:val="both"/>
              <w:rPr>
                <w:color w:val="000000" w:themeColor="text1"/>
                <w:sz w:val="16"/>
                <w:szCs w:val="16"/>
              </w:rPr>
            </w:pPr>
          </w:p>
        </w:tc>
        <w:tc>
          <w:tcPr>
            <w:tcW w:w="702" w:type="dxa"/>
          </w:tcPr>
          <w:p w14:paraId="25951A0E" w14:textId="77777777" w:rsidR="00D4105E" w:rsidRPr="00E14102" w:rsidRDefault="00D4105E" w:rsidP="00E14102">
            <w:pPr>
              <w:autoSpaceDE w:val="0"/>
              <w:autoSpaceDN w:val="0"/>
              <w:adjustRightInd w:val="0"/>
              <w:jc w:val="both"/>
              <w:rPr>
                <w:color w:val="000000" w:themeColor="text1"/>
                <w:sz w:val="16"/>
                <w:szCs w:val="16"/>
              </w:rPr>
            </w:pPr>
          </w:p>
        </w:tc>
        <w:tc>
          <w:tcPr>
            <w:tcW w:w="999" w:type="dxa"/>
          </w:tcPr>
          <w:p w14:paraId="641541EE"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1E8F462B"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79839903"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48920D89" w14:textId="77777777" w:rsidR="00D4105E" w:rsidRPr="00E14102" w:rsidRDefault="00D4105E" w:rsidP="00E14102">
            <w:pPr>
              <w:autoSpaceDE w:val="0"/>
              <w:autoSpaceDN w:val="0"/>
              <w:adjustRightInd w:val="0"/>
              <w:jc w:val="both"/>
              <w:rPr>
                <w:color w:val="000000" w:themeColor="text1"/>
                <w:sz w:val="16"/>
                <w:szCs w:val="16"/>
              </w:rPr>
            </w:pPr>
          </w:p>
        </w:tc>
        <w:tc>
          <w:tcPr>
            <w:tcW w:w="1154" w:type="dxa"/>
          </w:tcPr>
          <w:p w14:paraId="261E2DF1" w14:textId="77777777" w:rsidR="00D4105E" w:rsidRPr="00E14102" w:rsidRDefault="00D4105E" w:rsidP="00E14102">
            <w:pPr>
              <w:autoSpaceDE w:val="0"/>
              <w:autoSpaceDN w:val="0"/>
              <w:adjustRightInd w:val="0"/>
              <w:jc w:val="both"/>
              <w:rPr>
                <w:color w:val="000000" w:themeColor="text1"/>
                <w:sz w:val="16"/>
                <w:szCs w:val="16"/>
              </w:rPr>
            </w:pPr>
          </w:p>
        </w:tc>
        <w:tc>
          <w:tcPr>
            <w:tcW w:w="2550" w:type="dxa"/>
          </w:tcPr>
          <w:p w14:paraId="6ED542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выпущ. 01.04.36</w:t>
            </w:r>
          </w:p>
        </w:tc>
      </w:tr>
      <w:tr w:rsidR="00E3599D" w:rsidRPr="00E14102" w14:paraId="3445D98D" w14:textId="77777777">
        <w:tc>
          <w:tcPr>
            <w:tcW w:w="2660" w:type="dxa"/>
          </w:tcPr>
          <w:p w14:paraId="2B0A75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ПБ</w:t>
            </w:r>
          </w:p>
        </w:tc>
        <w:tc>
          <w:tcPr>
            <w:tcW w:w="702" w:type="dxa"/>
          </w:tcPr>
          <w:p w14:paraId="4B38B9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5A22FF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992" w:type="dxa"/>
          </w:tcPr>
          <w:p w14:paraId="0BA459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628" w:type="dxa"/>
          </w:tcPr>
          <w:p w14:paraId="3B0B9D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800/1000</w:t>
            </w:r>
          </w:p>
        </w:tc>
        <w:tc>
          <w:tcPr>
            <w:tcW w:w="628" w:type="dxa"/>
          </w:tcPr>
          <w:p w14:paraId="47AEFB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154" w:type="dxa"/>
          </w:tcPr>
          <w:p w14:paraId="1EEAC5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01.10.36</w:t>
            </w:r>
          </w:p>
        </w:tc>
        <w:tc>
          <w:tcPr>
            <w:tcW w:w="2550" w:type="dxa"/>
          </w:tcPr>
          <w:p w14:paraId="2FADA9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 мод. в Р и ЛБ</w:t>
            </w:r>
          </w:p>
        </w:tc>
      </w:tr>
      <w:tr w:rsidR="00E3599D" w:rsidRPr="00E14102" w14:paraId="4CC4D8AB" w14:textId="77777777">
        <w:tc>
          <w:tcPr>
            <w:tcW w:w="2660" w:type="dxa"/>
          </w:tcPr>
          <w:p w14:paraId="76B7CE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Войсковой самолет (2-х местный) с М-34ФРН</w:t>
            </w:r>
          </w:p>
        </w:tc>
        <w:tc>
          <w:tcPr>
            <w:tcW w:w="702" w:type="dxa"/>
          </w:tcPr>
          <w:p w14:paraId="04796A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3-5000</w:t>
            </w:r>
          </w:p>
        </w:tc>
        <w:tc>
          <w:tcPr>
            <w:tcW w:w="999" w:type="dxa"/>
          </w:tcPr>
          <w:p w14:paraId="40EC09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350-400</w:t>
            </w:r>
          </w:p>
        </w:tc>
        <w:tc>
          <w:tcPr>
            <w:tcW w:w="992" w:type="dxa"/>
          </w:tcPr>
          <w:p w14:paraId="3A4117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89-90</w:t>
            </w:r>
          </w:p>
        </w:tc>
        <w:tc>
          <w:tcPr>
            <w:tcW w:w="628" w:type="dxa"/>
          </w:tcPr>
          <w:p w14:paraId="6E305A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501C26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1154" w:type="dxa"/>
          </w:tcPr>
          <w:p w14:paraId="63106E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50" w:type="dxa"/>
          </w:tcPr>
          <w:p w14:paraId="085C01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бриг. Кочеригина</w:t>
            </w:r>
          </w:p>
        </w:tc>
      </w:tr>
      <w:tr w:rsidR="00E3599D" w:rsidRPr="00E14102" w14:paraId="45884E43" w14:textId="77777777">
        <w:tc>
          <w:tcPr>
            <w:tcW w:w="2660" w:type="dxa"/>
          </w:tcPr>
          <w:p w14:paraId="36B8F3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Арткорректировщик М-34ФРН</w:t>
            </w:r>
          </w:p>
        </w:tc>
        <w:tc>
          <w:tcPr>
            <w:tcW w:w="702" w:type="dxa"/>
          </w:tcPr>
          <w:p w14:paraId="706F18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71177C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350-400</w:t>
            </w:r>
          </w:p>
        </w:tc>
        <w:tc>
          <w:tcPr>
            <w:tcW w:w="992" w:type="dxa"/>
          </w:tcPr>
          <w:p w14:paraId="2D07FA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80-90</w:t>
            </w:r>
          </w:p>
        </w:tc>
        <w:tc>
          <w:tcPr>
            <w:tcW w:w="628" w:type="dxa"/>
          </w:tcPr>
          <w:p w14:paraId="26269A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w:t>
            </w:r>
          </w:p>
        </w:tc>
        <w:tc>
          <w:tcPr>
            <w:tcW w:w="628" w:type="dxa"/>
          </w:tcPr>
          <w:p w14:paraId="3204DA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154" w:type="dxa"/>
          </w:tcPr>
          <w:p w14:paraId="7F2E57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50" w:type="dxa"/>
          </w:tcPr>
          <w:p w14:paraId="2FDCD2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Трехместный</w:t>
            </w:r>
          </w:p>
        </w:tc>
      </w:tr>
      <w:tr w:rsidR="00E3599D" w:rsidRPr="00E14102" w14:paraId="05B78873" w14:textId="77777777">
        <w:tc>
          <w:tcPr>
            <w:tcW w:w="2660" w:type="dxa"/>
          </w:tcPr>
          <w:p w14:paraId="192F44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Торпедоносец (СБ)</w:t>
            </w:r>
          </w:p>
        </w:tc>
        <w:tc>
          <w:tcPr>
            <w:tcW w:w="702" w:type="dxa"/>
          </w:tcPr>
          <w:p w14:paraId="4572D5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618457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340</w:t>
            </w:r>
          </w:p>
        </w:tc>
        <w:tc>
          <w:tcPr>
            <w:tcW w:w="992" w:type="dxa"/>
          </w:tcPr>
          <w:p w14:paraId="2D181B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w:t>
            </w:r>
          </w:p>
        </w:tc>
        <w:tc>
          <w:tcPr>
            <w:tcW w:w="628" w:type="dxa"/>
          </w:tcPr>
          <w:p w14:paraId="10E39E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1300</w:t>
            </w:r>
          </w:p>
        </w:tc>
        <w:tc>
          <w:tcPr>
            <w:tcW w:w="628" w:type="dxa"/>
          </w:tcPr>
          <w:p w14:paraId="0731F9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23326C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01.04.36</w:t>
            </w:r>
          </w:p>
        </w:tc>
        <w:tc>
          <w:tcPr>
            <w:tcW w:w="2550" w:type="dxa"/>
          </w:tcPr>
          <w:p w14:paraId="6085BD2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DE5212C" w14:textId="77777777">
        <w:tc>
          <w:tcPr>
            <w:tcW w:w="2660" w:type="dxa"/>
          </w:tcPr>
          <w:p w14:paraId="6CFA45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УТИ МГ-21 или МГ-31 учебно-тренировочный И</w:t>
            </w:r>
          </w:p>
        </w:tc>
        <w:tc>
          <w:tcPr>
            <w:tcW w:w="702" w:type="dxa"/>
          </w:tcPr>
          <w:p w14:paraId="583A89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58BCF2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3AAE6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2E651A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77B538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1154" w:type="dxa"/>
          </w:tcPr>
          <w:p w14:paraId="7E51B8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550" w:type="dxa"/>
          </w:tcPr>
          <w:p w14:paraId="2014ED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по моторам</w:t>
            </w:r>
          </w:p>
        </w:tc>
      </w:tr>
      <w:tr w:rsidR="00E3599D" w:rsidRPr="00E14102" w14:paraId="1E3AD12F" w14:textId="77777777">
        <w:tc>
          <w:tcPr>
            <w:tcW w:w="2660" w:type="dxa"/>
          </w:tcPr>
          <w:p w14:paraId="3A3686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УТИ МГ-21 или МГ-31 учебно-тренировочный И</w:t>
            </w:r>
          </w:p>
        </w:tc>
        <w:tc>
          <w:tcPr>
            <w:tcW w:w="702" w:type="dxa"/>
          </w:tcPr>
          <w:p w14:paraId="58C45E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005AFB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3D70AC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26A151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5C8D8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КАИ</w:t>
            </w:r>
          </w:p>
        </w:tc>
        <w:tc>
          <w:tcPr>
            <w:tcW w:w="1154" w:type="dxa"/>
          </w:tcPr>
          <w:p w14:paraId="552BA2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c>
          <w:tcPr>
            <w:tcW w:w="2550" w:type="dxa"/>
          </w:tcPr>
          <w:p w14:paraId="05F4DFD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33A2F80" w14:textId="77777777">
        <w:tc>
          <w:tcPr>
            <w:tcW w:w="2660" w:type="dxa"/>
          </w:tcPr>
          <w:p w14:paraId="5177A8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Экспериментальные самолеты и аппараты</w:t>
            </w:r>
          </w:p>
        </w:tc>
        <w:tc>
          <w:tcPr>
            <w:tcW w:w="702" w:type="dxa"/>
          </w:tcPr>
          <w:p w14:paraId="76845753" w14:textId="77777777" w:rsidR="00D4105E" w:rsidRPr="00E14102" w:rsidRDefault="00D4105E" w:rsidP="00E14102">
            <w:pPr>
              <w:autoSpaceDE w:val="0"/>
              <w:autoSpaceDN w:val="0"/>
              <w:adjustRightInd w:val="0"/>
              <w:jc w:val="both"/>
              <w:rPr>
                <w:color w:val="000000" w:themeColor="text1"/>
                <w:sz w:val="16"/>
                <w:szCs w:val="16"/>
              </w:rPr>
            </w:pPr>
          </w:p>
        </w:tc>
        <w:tc>
          <w:tcPr>
            <w:tcW w:w="999" w:type="dxa"/>
          </w:tcPr>
          <w:p w14:paraId="4E16F82C"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623B94E9"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22CCA230"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1F76C25D" w14:textId="77777777" w:rsidR="00D4105E" w:rsidRPr="00E14102" w:rsidRDefault="00D4105E" w:rsidP="00E14102">
            <w:pPr>
              <w:autoSpaceDE w:val="0"/>
              <w:autoSpaceDN w:val="0"/>
              <w:adjustRightInd w:val="0"/>
              <w:jc w:val="both"/>
              <w:rPr>
                <w:color w:val="000000" w:themeColor="text1"/>
                <w:sz w:val="16"/>
                <w:szCs w:val="16"/>
              </w:rPr>
            </w:pPr>
          </w:p>
        </w:tc>
        <w:tc>
          <w:tcPr>
            <w:tcW w:w="1154" w:type="dxa"/>
          </w:tcPr>
          <w:p w14:paraId="2A0B22BB" w14:textId="77777777" w:rsidR="00D4105E" w:rsidRPr="00E14102" w:rsidRDefault="00D4105E" w:rsidP="00E14102">
            <w:pPr>
              <w:autoSpaceDE w:val="0"/>
              <w:autoSpaceDN w:val="0"/>
              <w:adjustRightInd w:val="0"/>
              <w:jc w:val="both"/>
              <w:rPr>
                <w:color w:val="000000" w:themeColor="text1"/>
                <w:sz w:val="16"/>
                <w:szCs w:val="16"/>
              </w:rPr>
            </w:pPr>
          </w:p>
        </w:tc>
        <w:tc>
          <w:tcPr>
            <w:tcW w:w="2550" w:type="dxa"/>
          </w:tcPr>
          <w:p w14:paraId="08403B9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9098FE6" w14:textId="77777777">
        <w:tc>
          <w:tcPr>
            <w:tcW w:w="2660" w:type="dxa"/>
          </w:tcPr>
          <w:p w14:paraId="0A3D04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Войсковой самолет летающее крыло 2М-22</w:t>
            </w:r>
          </w:p>
        </w:tc>
        <w:tc>
          <w:tcPr>
            <w:tcW w:w="702" w:type="dxa"/>
          </w:tcPr>
          <w:p w14:paraId="61EA91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7ED654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F691F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7ED990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7B86FA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1154" w:type="dxa"/>
          </w:tcPr>
          <w:p w14:paraId="044968D4" w14:textId="77777777" w:rsidR="00D4105E" w:rsidRPr="00E14102" w:rsidRDefault="00D4105E" w:rsidP="00E14102">
            <w:pPr>
              <w:autoSpaceDE w:val="0"/>
              <w:autoSpaceDN w:val="0"/>
              <w:adjustRightInd w:val="0"/>
              <w:jc w:val="both"/>
              <w:rPr>
                <w:color w:val="000000" w:themeColor="text1"/>
                <w:sz w:val="16"/>
                <w:szCs w:val="16"/>
              </w:rPr>
            </w:pPr>
          </w:p>
        </w:tc>
        <w:tc>
          <w:tcPr>
            <w:tcW w:w="2550" w:type="dxa"/>
          </w:tcPr>
          <w:p w14:paraId="0F47300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310425E" w14:textId="77777777">
        <w:tc>
          <w:tcPr>
            <w:tcW w:w="2660" w:type="dxa"/>
          </w:tcPr>
          <w:p w14:paraId="3EE235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Пушечный истребитель М-100 (нов. мат., пар.)</w:t>
            </w:r>
          </w:p>
        </w:tc>
        <w:tc>
          <w:tcPr>
            <w:tcW w:w="702" w:type="dxa"/>
          </w:tcPr>
          <w:p w14:paraId="073901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30F992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171B2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31CF92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0336BE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НИИ</w:t>
            </w:r>
          </w:p>
        </w:tc>
        <w:tc>
          <w:tcPr>
            <w:tcW w:w="1154" w:type="dxa"/>
          </w:tcPr>
          <w:p w14:paraId="664008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c>
          <w:tcPr>
            <w:tcW w:w="2550" w:type="dxa"/>
          </w:tcPr>
          <w:p w14:paraId="4180538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632FAE8" w14:textId="77777777">
        <w:tc>
          <w:tcPr>
            <w:tcW w:w="2660" w:type="dxa"/>
          </w:tcPr>
          <w:p w14:paraId="51CF0D6E" w14:textId="77777777" w:rsidR="00D4105E" w:rsidRPr="00E14102" w:rsidRDefault="00D4105E" w:rsidP="00E14102">
            <w:pPr>
              <w:autoSpaceDE w:val="0"/>
              <w:autoSpaceDN w:val="0"/>
              <w:adjustRightInd w:val="0"/>
              <w:jc w:val="both"/>
              <w:rPr>
                <w:color w:val="000000" w:themeColor="text1"/>
                <w:sz w:val="16"/>
                <w:szCs w:val="16"/>
              </w:rPr>
            </w:pPr>
          </w:p>
        </w:tc>
        <w:tc>
          <w:tcPr>
            <w:tcW w:w="702" w:type="dxa"/>
          </w:tcPr>
          <w:p w14:paraId="0F43036A" w14:textId="77777777" w:rsidR="00D4105E" w:rsidRPr="00E14102" w:rsidRDefault="00D4105E" w:rsidP="00E14102">
            <w:pPr>
              <w:autoSpaceDE w:val="0"/>
              <w:autoSpaceDN w:val="0"/>
              <w:adjustRightInd w:val="0"/>
              <w:jc w:val="both"/>
              <w:rPr>
                <w:color w:val="000000" w:themeColor="text1"/>
                <w:sz w:val="16"/>
                <w:szCs w:val="16"/>
              </w:rPr>
            </w:pPr>
          </w:p>
        </w:tc>
        <w:tc>
          <w:tcPr>
            <w:tcW w:w="999" w:type="dxa"/>
          </w:tcPr>
          <w:p w14:paraId="18E6B3CE"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658CA573"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5FB40EC8"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19A7FEFA" w14:textId="77777777" w:rsidR="00D4105E" w:rsidRPr="00E14102" w:rsidRDefault="00D4105E" w:rsidP="00E14102">
            <w:pPr>
              <w:autoSpaceDE w:val="0"/>
              <w:autoSpaceDN w:val="0"/>
              <w:adjustRightInd w:val="0"/>
              <w:jc w:val="both"/>
              <w:rPr>
                <w:color w:val="000000" w:themeColor="text1"/>
                <w:sz w:val="16"/>
                <w:szCs w:val="16"/>
              </w:rPr>
            </w:pPr>
          </w:p>
        </w:tc>
        <w:tc>
          <w:tcPr>
            <w:tcW w:w="1154" w:type="dxa"/>
          </w:tcPr>
          <w:p w14:paraId="5CED7B02" w14:textId="77777777" w:rsidR="00D4105E" w:rsidRPr="00E14102" w:rsidRDefault="00D4105E" w:rsidP="00E14102">
            <w:pPr>
              <w:autoSpaceDE w:val="0"/>
              <w:autoSpaceDN w:val="0"/>
              <w:adjustRightInd w:val="0"/>
              <w:jc w:val="both"/>
              <w:rPr>
                <w:color w:val="000000" w:themeColor="text1"/>
                <w:sz w:val="16"/>
                <w:szCs w:val="16"/>
              </w:rPr>
            </w:pPr>
          </w:p>
        </w:tc>
        <w:tc>
          <w:tcPr>
            <w:tcW w:w="2550" w:type="dxa"/>
          </w:tcPr>
          <w:p w14:paraId="1D94F2C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13B43ED" w14:textId="77777777">
        <w:tc>
          <w:tcPr>
            <w:tcW w:w="2660" w:type="dxa"/>
          </w:tcPr>
          <w:p w14:paraId="1CD09A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СА РЦ Скоростной автожир</w:t>
            </w:r>
          </w:p>
        </w:tc>
        <w:tc>
          <w:tcPr>
            <w:tcW w:w="702" w:type="dxa"/>
          </w:tcPr>
          <w:p w14:paraId="09B3DE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546EFA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409A7F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021FBF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70FB8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512CC4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01.05.36</w:t>
            </w:r>
          </w:p>
        </w:tc>
        <w:tc>
          <w:tcPr>
            <w:tcW w:w="2550" w:type="dxa"/>
          </w:tcPr>
          <w:p w14:paraId="3D820D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ГВФ</w:t>
            </w:r>
          </w:p>
        </w:tc>
      </w:tr>
      <w:tr w:rsidR="00E3599D" w:rsidRPr="00E14102" w14:paraId="248C5B88" w14:textId="77777777">
        <w:tc>
          <w:tcPr>
            <w:tcW w:w="2660" w:type="dxa"/>
          </w:tcPr>
          <w:p w14:paraId="19A9A8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Геликоптер</w:t>
            </w:r>
          </w:p>
        </w:tc>
        <w:tc>
          <w:tcPr>
            <w:tcW w:w="702" w:type="dxa"/>
          </w:tcPr>
          <w:p w14:paraId="1CA962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293CE5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204852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17F69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5FF68C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1065D9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50" w:type="dxa"/>
          </w:tcPr>
          <w:p w14:paraId="2E58ED1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1A564EA" w14:textId="77777777">
        <w:tc>
          <w:tcPr>
            <w:tcW w:w="2660" w:type="dxa"/>
          </w:tcPr>
          <w:p w14:paraId="37A031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26. Взлет и посадка И с ТБ</w:t>
            </w:r>
          </w:p>
        </w:tc>
        <w:tc>
          <w:tcPr>
            <w:tcW w:w="702" w:type="dxa"/>
          </w:tcPr>
          <w:p w14:paraId="17988F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52BBDB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0BDD83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C1AA5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3546B6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1154" w:type="dxa"/>
          </w:tcPr>
          <w:p w14:paraId="74C8C5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1936-37</w:t>
            </w:r>
          </w:p>
        </w:tc>
        <w:tc>
          <w:tcPr>
            <w:tcW w:w="2550" w:type="dxa"/>
          </w:tcPr>
          <w:p w14:paraId="554ACCF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050E8FF" w14:textId="77777777">
        <w:tc>
          <w:tcPr>
            <w:tcW w:w="2660" w:type="dxa"/>
          </w:tcPr>
          <w:p w14:paraId="311D28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Морские самолеты</w:t>
            </w:r>
          </w:p>
        </w:tc>
        <w:tc>
          <w:tcPr>
            <w:tcW w:w="702" w:type="dxa"/>
          </w:tcPr>
          <w:p w14:paraId="469FA36E" w14:textId="77777777" w:rsidR="00D4105E" w:rsidRPr="00E14102" w:rsidRDefault="00D4105E" w:rsidP="00E14102">
            <w:pPr>
              <w:autoSpaceDE w:val="0"/>
              <w:autoSpaceDN w:val="0"/>
              <w:adjustRightInd w:val="0"/>
              <w:jc w:val="both"/>
              <w:rPr>
                <w:color w:val="000000" w:themeColor="text1"/>
                <w:sz w:val="16"/>
                <w:szCs w:val="16"/>
              </w:rPr>
            </w:pPr>
          </w:p>
        </w:tc>
        <w:tc>
          <w:tcPr>
            <w:tcW w:w="999" w:type="dxa"/>
          </w:tcPr>
          <w:p w14:paraId="754D9929"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3CF9B0CE"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5200B2DD"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7FDAB4ED" w14:textId="77777777" w:rsidR="00D4105E" w:rsidRPr="00E14102" w:rsidRDefault="00D4105E" w:rsidP="00E14102">
            <w:pPr>
              <w:autoSpaceDE w:val="0"/>
              <w:autoSpaceDN w:val="0"/>
              <w:adjustRightInd w:val="0"/>
              <w:jc w:val="both"/>
              <w:rPr>
                <w:color w:val="000000" w:themeColor="text1"/>
                <w:sz w:val="16"/>
                <w:szCs w:val="16"/>
              </w:rPr>
            </w:pPr>
          </w:p>
        </w:tc>
        <w:tc>
          <w:tcPr>
            <w:tcW w:w="1154" w:type="dxa"/>
          </w:tcPr>
          <w:p w14:paraId="045BF6D7" w14:textId="77777777" w:rsidR="00D4105E" w:rsidRPr="00E14102" w:rsidRDefault="00D4105E" w:rsidP="00E14102">
            <w:pPr>
              <w:autoSpaceDE w:val="0"/>
              <w:autoSpaceDN w:val="0"/>
              <w:adjustRightInd w:val="0"/>
              <w:jc w:val="both"/>
              <w:rPr>
                <w:color w:val="000000" w:themeColor="text1"/>
                <w:sz w:val="16"/>
                <w:szCs w:val="16"/>
              </w:rPr>
            </w:pPr>
          </w:p>
        </w:tc>
        <w:tc>
          <w:tcPr>
            <w:tcW w:w="2550" w:type="dxa"/>
          </w:tcPr>
          <w:p w14:paraId="57194AA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EB1E3B1" w14:textId="77777777">
        <w:tc>
          <w:tcPr>
            <w:tcW w:w="2660" w:type="dxa"/>
          </w:tcPr>
          <w:p w14:paraId="3B071E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СБ на поплавках</w:t>
            </w:r>
          </w:p>
        </w:tc>
        <w:tc>
          <w:tcPr>
            <w:tcW w:w="702" w:type="dxa"/>
          </w:tcPr>
          <w:p w14:paraId="1B2376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3A8029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1D40F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F6F34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084FCD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788ADB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c>
          <w:tcPr>
            <w:tcW w:w="2550" w:type="dxa"/>
          </w:tcPr>
          <w:p w14:paraId="020617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Совм. испытания</w:t>
            </w:r>
          </w:p>
        </w:tc>
      </w:tr>
      <w:tr w:rsidR="00E3599D" w:rsidRPr="00E14102" w14:paraId="12C5DFC5" w14:textId="77777777">
        <w:tc>
          <w:tcPr>
            <w:tcW w:w="2660" w:type="dxa"/>
          </w:tcPr>
          <w:p w14:paraId="4978D8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МБР-5 РЦ морской БР</w:t>
            </w:r>
          </w:p>
        </w:tc>
        <w:tc>
          <w:tcPr>
            <w:tcW w:w="702" w:type="dxa"/>
          </w:tcPr>
          <w:p w14:paraId="3C1906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271360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2D647F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037F99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512ACE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1154" w:type="dxa"/>
          </w:tcPr>
          <w:p w14:paraId="724DC9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15.12.35</w:t>
            </w:r>
          </w:p>
        </w:tc>
        <w:tc>
          <w:tcPr>
            <w:tcW w:w="2550" w:type="dxa"/>
          </w:tcPr>
          <w:p w14:paraId="2D4A345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E3DB95F" w14:textId="77777777">
        <w:tc>
          <w:tcPr>
            <w:tcW w:w="2660" w:type="dxa"/>
          </w:tcPr>
          <w:p w14:paraId="4C2641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МДР-5 2К-14 морской ДР</w:t>
            </w:r>
          </w:p>
        </w:tc>
        <w:tc>
          <w:tcPr>
            <w:tcW w:w="702" w:type="dxa"/>
          </w:tcPr>
          <w:p w14:paraId="72BD59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651D7D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3772BF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83636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62E244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1154" w:type="dxa"/>
          </w:tcPr>
          <w:p w14:paraId="1D7621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50" w:type="dxa"/>
          </w:tcPr>
          <w:p w14:paraId="57F0DC3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376790B" w14:textId="77777777">
        <w:tc>
          <w:tcPr>
            <w:tcW w:w="2660" w:type="dxa"/>
          </w:tcPr>
          <w:p w14:paraId="30FD47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Дальний морской разведчик МДР-6</w:t>
            </w:r>
          </w:p>
        </w:tc>
        <w:tc>
          <w:tcPr>
            <w:tcW w:w="702" w:type="dxa"/>
          </w:tcPr>
          <w:p w14:paraId="7FB0D3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3DBB7A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300-350</w:t>
            </w:r>
          </w:p>
        </w:tc>
        <w:tc>
          <w:tcPr>
            <w:tcW w:w="992" w:type="dxa"/>
          </w:tcPr>
          <w:p w14:paraId="5C445A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548D8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6AA27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1154" w:type="dxa"/>
          </w:tcPr>
          <w:p w14:paraId="18C94C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01.06.36</w:t>
            </w:r>
          </w:p>
        </w:tc>
        <w:tc>
          <w:tcPr>
            <w:tcW w:w="2550" w:type="dxa"/>
          </w:tcPr>
          <w:p w14:paraId="7D8933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Четвериков</w:t>
            </w:r>
          </w:p>
        </w:tc>
      </w:tr>
      <w:tr w:rsidR="00E3599D" w:rsidRPr="00E14102" w14:paraId="10F50ED0" w14:textId="77777777">
        <w:tc>
          <w:tcPr>
            <w:tcW w:w="2660" w:type="dxa"/>
          </w:tcPr>
          <w:p w14:paraId="430E60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МБР-6 морской ближний разведчик</w:t>
            </w:r>
          </w:p>
        </w:tc>
        <w:tc>
          <w:tcPr>
            <w:tcW w:w="702" w:type="dxa"/>
          </w:tcPr>
          <w:p w14:paraId="198BAB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1E301D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325-375</w:t>
            </w:r>
          </w:p>
        </w:tc>
        <w:tc>
          <w:tcPr>
            <w:tcW w:w="992" w:type="dxa"/>
          </w:tcPr>
          <w:p w14:paraId="36D83B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28" w:type="dxa"/>
          </w:tcPr>
          <w:p w14:paraId="207B99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40BF24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1154" w:type="dxa"/>
          </w:tcPr>
          <w:p w14:paraId="7FF926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01.08.37</w:t>
            </w:r>
          </w:p>
        </w:tc>
        <w:tc>
          <w:tcPr>
            <w:tcW w:w="2550" w:type="dxa"/>
          </w:tcPr>
          <w:p w14:paraId="14475E3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7321A7" w14:textId="77777777">
        <w:tc>
          <w:tcPr>
            <w:tcW w:w="2660" w:type="dxa"/>
          </w:tcPr>
          <w:p w14:paraId="2445FD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КОР-РЦ корабельный разведчик</w:t>
            </w:r>
          </w:p>
        </w:tc>
        <w:tc>
          <w:tcPr>
            <w:tcW w:w="702" w:type="dxa"/>
          </w:tcPr>
          <w:p w14:paraId="2C2C62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3DDB8C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2AB21C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0E0C7E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06841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1154" w:type="dxa"/>
          </w:tcPr>
          <w:p w14:paraId="0A9768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01.04.36</w:t>
            </w:r>
          </w:p>
        </w:tc>
        <w:tc>
          <w:tcPr>
            <w:tcW w:w="2550" w:type="dxa"/>
          </w:tcPr>
          <w:p w14:paraId="6D94BF1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D9F549F" w14:textId="77777777">
        <w:tc>
          <w:tcPr>
            <w:tcW w:w="2660" w:type="dxa"/>
          </w:tcPr>
          <w:p w14:paraId="21DEF7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МТБ-2 4М-85 АНТ-44</w:t>
            </w:r>
          </w:p>
        </w:tc>
        <w:tc>
          <w:tcPr>
            <w:tcW w:w="702" w:type="dxa"/>
          </w:tcPr>
          <w:p w14:paraId="01C169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999" w:type="dxa"/>
          </w:tcPr>
          <w:p w14:paraId="73F89C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300-350</w:t>
            </w:r>
          </w:p>
        </w:tc>
        <w:tc>
          <w:tcPr>
            <w:tcW w:w="992" w:type="dxa"/>
          </w:tcPr>
          <w:p w14:paraId="238D4E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7F1441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628" w:type="dxa"/>
          </w:tcPr>
          <w:p w14:paraId="4733B5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25D3BE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30.12.36</w:t>
            </w:r>
          </w:p>
        </w:tc>
        <w:tc>
          <w:tcPr>
            <w:tcW w:w="2550" w:type="dxa"/>
          </w:tcPr>
          <w:p w14:paraId="474282C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F6AC01B" w14:textId="77777777">
        <w:tc>
          <w:tcPr>
            <w:tcW w:w="2660" w:type="dxa"/>
          </w:tcPr>
          <w:p w14:paraId="447E33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Торпедоносец на поплавках</w:t>
            </w:r>
          </w:p>
        </w:tc>
        <w:tc>
          <w:tcPr>
            <w:tcW w:w="702" w:type="dxa"/>
          </w:tcPr>
          <w:p w14:paraId="387E0F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5734E0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229517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CC16E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33AC75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7A28C3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01.08.36</w:t>
            </w:r>
          </w:p>
        </w:tc>
        <w:tc>
          <w:tcPr>
            <w:tcW w:w="2550" w:type="dxa"/>
          </w:tcPr>
          <w:p w14:paraId="08E1F46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08325ED" w14:textId="77777777">
        <w:tc>
          <w:tcPr>
            <w:tcW w:w="2660" w:type="dxa"/>
          </w:tcPr>
          <w:p w14:paraId="1D58A2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Морской учебный</w:t>
            </w:r>
          </w:p>
        </w:tc>
        <w:tc>
          <w:tcPr>
            <w:tcW w:w="702" w:type="dxa"/>
          </w:tcPr>
          <w:p w14:paraId="6C6788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5ADA08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983F0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559E45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33DFDA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1154" w:type="dxa"/>
          </w:tcPr>
          <w:p w14:paraId="2DC52F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01.10.36</w:t>
            </w:r>
          </w:p>
        </w:tc>
        <w:tc>
          <w:tcPr>
            <w:tcW w:w="2550" w:type="dxa"/>
          </w:tcPr>
          <w:p w14:paraId="00BF28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w:t>
            </w:r>
          </w:p>
        </w:tc>
      </w:tr>
      <w:tr w:rsidR="00E3599D" w:rsidRPr="00E14102" w14:paraId="549D9610" w14:textId="77777777">
        <w:tc>
          <w:tcPr>
            <w:tcW w:w="2660" w:type="dxa"/>
          </w:tcPr>
          <w:p w14:paraId="0252CF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МБР-5 М-25 с маталлической лодкой</w:t>
            </w:r>
          </w:p>
        </w:tc>
        <w:tc>
          <w:tcPr>
            <w:tcW w:w="702" w:type="dxa"/>
          </w:tcPr>
          <w:p w14:paraId="3DE529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1B81AB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588D67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3C395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14888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1154" w:type="dxa"/>
          </w:tcPr>
          <w:p w14:paraId="16B169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550" w:type="dxa"/>
          </w:tcPr>
          <w:p w14:paraId="2F1F08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б. соглас.</w:t>
            </w:r>
          </w:p>
        </w:tc>
      </w:tr>
      <w:tr w:rsidR="00E3599D" w:rsidRPr="00E14102" w14:paraId="35810693" w14:textId="77777777">
        <w:tc>
          <w:tcPr>
            <w:tcW w:w="2660" w:type="dxa"/>
          </w:tcPr>
          <w:p w14:paraId="3C92D8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Гражданские самолеты</w:t>
            </w:r>
          </w:p>
        </w:tc>
        <w:tc>
          <w:tcPr>
            <w:tcW w:w="702" w:type="dxa"/>
          </w:tcPr>
          <w:p w14:paraId="687EF36D" w14:textId="77777777" w:rsidR="00D4105E" w:rsidRPr="00E14102" w:rsidRDefault="00D4105E" w:rsidP="00E14102">
            <w:pPr>
              <w:autoSpaceDE w:val="0"/>
              <w:autoSpaceDN w:val="0"/>
              <w:adjustRightInd w:val="0"/>
              <w:jc w:val="both"/>
              <w:rPr>
                <w:color w:val="000000" w:themeColor="text1"/>
                <w:sz w:val="16"/>
                <w:szCs w:val="16"/>
              </w:rPr>
            </w:pPr>
          </w:p>
        </w:tc>
        <w:tc>
          <w:tcPr>
            <w:tcW w:w="999" w:type="dxa"/>
          </w:tcPr>
          <w:p w14:paraId="694D972E"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60AD9FD8"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7FD9FD07"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68CCF465" w14:textId="77777777" w:rsidR="00D4105E" w:rsidRPr="00E14102" w:rsidRDefault="00D4105E" w:rsidP="00E14102">
            <w:pPr>
              <w:autoSpaceDE w:val="0"/>
              <w:autoSpaceDN w:val="0"/>
              <w:adjustRightInd w:val="0"/>
              <w:jc w:val="both"/>
              <w:rPr>
                <w:color w:val="000000" w:themeColor="text1"/>
                <w:sz w:val="16"/>
                <w:szCs w:val="16"/>
              </w:rPr>
            </w:pPr>
          </w:p>
        </w:tc>
        <w:tc>
          <w:tcPr>
            <w:tcW w:w="1154" w:type="dxa"/>
          </w:tcPr>
          <w:p w14:paraId="19C8B477" w14:textId="77777777" w:rsidR="00D4105E" w:rsidRPr="00E14102" w:rsidRDefault="00D4105E" w:rsidP="00E14102">
            <w:pPr>
              <w:autoSpaceDE w:val="0"/>
              <w:autoSpaceDN w:val="0"/>
              <w:adjustRightInd w:val="0"/>
              <w:jc w:val="both"/>
              <w:rPr>
                <w:color w:val="000000" w:themeColor="text1"/>
                <w:sz w:val="16"/>
                <w:szCs w:val="16"/>
              </w:rPr>
            </w:pPr>
          </w:p>
        </w:tc>
        <w:tc>
          <w:tcPr>
            <w:tcW w:w="2550" w:type="dxa"/>
          </w:tcPr>
          <w:p w14:paraId="43BFF0A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352488D" w14:textId="77777777">
        <w:tc>
          <w:tcPr>
            <w:tcW w:w="2660" w:type="dxa"/>
          </w:tcPr>
          <w:p w14:paraId="31E5F4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АНТ-35 (СБ в пассажирском варианте)</w:t>
            </w:r>
          </w:p>
        </w:tc>
        <w:tc>
          <w:tcPr>
            <w:tcW w:w="702" w:type="dxa"/>
          </w:tcPr>
          <w:p w14:paraId="5DD5DD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70ADF8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w:t>
            </w:r>
          </w:p>
        </w:tc>
        <w:tc>
          <w:tcPr>
            <w:tcW w:w="992" w:type="dxa"/>
          </w:tcPr>
          <w:p w14:paraId="5D10DE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28" w:type="dxa"/>
          </w:tcPr>
          <w:p w14:paraId="6B38FE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628" w:type="dxa"/>
          </w:tcPr>
          <w:p w14:paraId="047C20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28E657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01.08.36</w:t>
            </w:r>
          </w:p>
        </w:tc>
        <w:tc>
          <w:tcPr>
            <w:tcW w:w="2550" w:type="dxa"/>
          </w:tcPr>
          <w:p w14:paraId="27BAC6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пас. 1000 кг</w:t>
            </w:r>
          </w:p>
        </w:tc>
      </w:tr>
      <w:tr w:rsidR="00E3599D" w:rsidRPr="00E14102" w14:paraId="65D74353" w14:textId="77777777">
        <w:tc>
          <w:tcPr>
            <w:tcW w:w="2660" w:type="dxa"/>
          </w:tcPr>
          <w:p w14:paraId="46B621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АНТ-27 (МДР-4 в пассажирском варианте)</w:t>
            </w:r>
          </w:p>
        </w:tc>
        <w:tc>
          <w:tcPr>
            <w:tcW w:w="702" w:type="dxa"/>
          </w:tcPr>
          <w:p w14:paraId="543550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1C6F08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AA677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0F3262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B0333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64DF31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мес.</w:t>
            </w:r>
          </w:p>
        </w:tc>
        <w:tc>
          <w:tcPr>
            <w:tcW w:w="2550" w:type="dxa"/>
          </w:tcPr>
          <w:p w14:paraId="618928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серии</w:t>
            </w:r>
          </w:p>
        </w:tc>
      </w:tr>
      <w:tr w:rsidR="00E3599D" w:rsidRPr="00E14102" w14:paraId="0B032716" w14:textId="77777777">
        <w:tc>
          <w:tcPr>
            <w:tcW w:w="2660" w:type="dxa"/>
          </w:tcPr>
          <w:p w14:paraId="0E3EC6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ТА-1 транспортная амфибия</w:t>
            </w:r>
          </w:p>
        </w:tc>
        <w:tc>
          <w:tcPr>
            <w:tcW w:w="702" w:type="dxa"/>
          </w:tcPr>
          <w:p w14:paraId="195041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36E54B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159375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552094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5DF035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1154" w:type="dxa"/>
          </w:tcPr>
          <w:p w14:paraId="633C6E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01.08.36</w:t>
            </w:r>
          </w:p>
        </w:tc>
        <w:tc>
          <w:tcPr>
            <w:tcW w:w="2550" w:type="dxa"/>
          </w:tcPr>
          <w:p w14:paraId="205F81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Четвериков</w:t>
            </w:r>
          </w:p>
        </w:tc>
      </w:tr>
      <w:tr w:rsidR="00E3599D" w:rsidRPr="00E14102" w14:paraId="13EB9E56" w14:textId="77777777">
        <w:tc>
          <w:tcPr>
            <w:tcW w:w="2660" w:type="dxa"/>
          </w:tcPr>
          <w:p w14:paraId="12FF1E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АРК-3 (арктический вариант МДР-6 для ГУСМП)</w:t>
            </w:r>
          </w:p>
        </w:tc>
        <w:tc>
          <w:tcPr>
            <w:tcW w:w="702" w:type="dxa"/>
          </w:tcPr>
          <w:p w14:paraId="603E44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4FC6E4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1C405F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6C94D0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240652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1154" w:type="dxa"/>
          </w:tcPr>
          <w:p w14:paraId="218AD5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01.02.36</w:t>
            </w:r>
          </w:p>
        </w:tc>
        <w:tc>
          <w:tcPr>
            <w:tcW w:w="2550" w:type="dxa"/>
          </w:tcPr>
          <w:p w14:paraId="6620D0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Четвериков</w:t>
            </w:r>
          </w:p>
        </w:tc>
      </w:tr>
      <w:tr w:rsidR="00E3599D" w:rsidRPr="00E14102" w14:paraId="31EBFC6E" w14:textId="77777777">
        <w:tc>
          <w:tcPr>
            <w:tcW w:w="2660" w:type="dxa"/>
          </w:tcPr>
          <w:p w14:paraId="512608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АРК-3 для ГУГВФ</w:t>
            </w:r>
          </w:p>
        </w:tc>
        <w:tc>
          <w:tcPr>
            <w:tcW w:w="702" w:type="dxa"/>
          </w:tcPr>
          <w:p w14:paraId="3B317B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74593D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1E99FC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46ECA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794D84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1154" w:type="dxa"/>
          </w:tcPr>
          <w:p w14:paraId="2DF2F9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c>
          <w:tcPr>
            <w:tcW w:w="2550" w:type="dxa"/>
          </w:tcPr>
          <w:p w14:paraId="5D521B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Четвериков</w:t>
            </w:r>
          </w:p>
        </w:tc>
      </w:tr>
      <w:tr w:rsidR="00E3599D" w:rsidRPr="00E14102" w14:paraId="4978E67B" w14:textId="77777777">
        <w:tc>
          <w:tcPr>
            <w:tcW w:w="2660" w:type="dxa"/>
          </w:tcPr>
          <w:p w14:paraId="453FD8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Сталь 11</w:t>
            </w:r>
          </w:p>
        </w:tc>
        <w:tc>
          <w:tcPr>
            <w:tcW w:w="702" w:type="dxa"/>
          </w:tcPr>
          <w:p w14:paraId="3D6D56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26A28C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450634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A102D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79B92F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81</w:t>
            </w:r>
          </w:p>
        </w:tc>
        <w:tc>
          <w:tcPr>
            <w:tcW w:w="1154" w:type="dxa"/>
          </w:tcPr>
          <w:p w14:paraId="504D92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c>
          <w:tcPr>
            <w:tcW w:w="2550" w:type="dxa"/>
          </w:tcPr>
          <w:p w14:paraId="4B02E78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447B0DE" w14:textId="77777777">
        <w:tc>
          <w:tcPr>
            <w:tcW w:w="2660" w:type="dxa"/>
            <w:tcBorders>
              <w:bottom w:val="single" w:sz="12" w:space="0" w:color="auto"/>
            </w:tcBorders>
          </w:tcPr>
          <w:p w14:paraId="3E2EDE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ДКЛ 2МГ-31</w:t>
            </w:r>
          </w:p>
        </w:tc>
        <w:tc>
          <w:tcPr>
            <w:tcW w:w="702" w:type="dxa"/>
            <w:tcBorders>
              <w:bottom w:val="single" w:sz="12" w:space="0" w:color="auto"/>
            </w:tcBorders>
          </w:tcPr>
          <w:p w14:paraId="271F16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Borders>
              <w:bottom w:val="single" w:sz="12" w:space="0" w:color="auto"/>
            </w:tcBorders>
          </w:tcPr>
          <w:p w14:paraId="6EAA96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Borders>
              <w:bottom w:val="single" w:sz="12" w:space="0" w:color="auto"/>
            </w:tcBorders>
          </w:tcPr>
          <w:p w14:paraId="2153F2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Borders>
              <w:bottom w:val="single" w:sz="12" w:space="0" w:color="auto"/>
            </w:tcBorders>
          </w:tcPr>
          <w:p w14:paraId="2C7C37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Borders>
              <w:bottom w:val="single" w:sz="12" w:space="0" w:color="auto"/>
            </w:tcBorders>
          </w:tcPr>
          <w:p w14:paraId="347B30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КАИ</w:t>
            </w:r>
          </w:p>
        </w:tc>
        <w:tc>
          <w:tcPr>
            <w:tcW w:w="1154" w:type="dxa"/>
            <w:tcBorders>
              <w:bottom w:val="single" w:sz="12" w:space="0" w:color="auto"/>
            </w:tcBorders>
          </w:tcPr>
          <w:p w14:paraId="7511EC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 (2166,32)</w:t>
            </w:r>
          </w:p>
        </w:tc>
        <w:tc>
          <w:tcPr>
            <w:tcW w:w="2550" w:type="dxa"/>
            <w:tcBorders>
              <w:bottom w:val="single" w:sz="12" w:space="0" w:color="auto"/>
            </w:tcBorders>
          </w:tcPr>
          <w:p w14:paraId="4B981418" w14:textId="77777777" w:rsidR="00D4105E" w:rsidRPr="00E14102" w:rsidRDefault="00D4105E" w:rsidP="00E14102">
            <w:pPr>
              <w:autoSpaceDE w:val="0"/>
              <w:autoSpaceDN w:val="0"/>
              <w:adjustRightInd w:val="0"/>
              <w:jc w:val="both"/>
              <w:rPr>
                <w:color w:val="000000" w:themeColor="text1"/>
                <w:sz w:val="16"/>
                <w:szCs w:val="16"/>
              </w:rPr>
            </w:pPr>
          </w:p>
        </w:tc>
      </w:tr>
    </w:tbl>
    <w:p w14:paraId="6D58E7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был подготовлен План постройки рекордных самолетов и моторов на 1936-1938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6"/>
        <w:gridCol w:w="1023"/>
        <w:gridCol w:w="1023"/>
        <w:gridCol w:w="3483"/>
      </w:tblGrid>
      <w:tr w:rsidR="00E3599D" w:rsidRPr="00E14102" w14:paraId="409650AD" w14:textId="77777777">
        <w:tc>
          <w:tcPr>
            <w:tcW w:w="4786" w:type="dxa"/>
            <w:tcBorders>
              <w:top w:val="single" w:sz="12" w:space="0" w:color="auto"/>
            </w:tcBorders>
          </w:tcPr>
          <w:p w14:paraId="06B406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N п/п и Наименование самолета и мотора</w:t>
            </w:r>
          </w:p>
        </w:tc>
        <w:tc>
          <w:tcPr>
            <w:tcW w:w="1023" w:type="dxa"/>
            <w:tcBorders>
              <w:top w:val="single" w:sz="12" w:space="0" w:color="auto"/>
            </w:tcBorders>
          </w:tcPr>
          <w:p w14:paraId="4368B5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w:t>
            </w:r>
          </w:p>
        </w:tc>
        <w:tc>
          <w:tcPr>
            <w:tcW w:w="1023" w:type="dxa"/>
            <w:tcBorders>
              <w:top w:val="single" w:sz="12" w:space="0" w:color="auto"/>
            </w:tcBorders>
          </w:tcPr>
          <w:p w14:paraId="22F6D2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w:t>
            </w:r>
          </w:p>
        </w:tc>
        <w:tc>
          <w:tcPr>
            <w:tcW w:w="3483" w:type="dxa"/>
            <w:tcBorders>
              <w:top w:val="single" w:sz="12" w:space="0" w:color="auto"/>
            </w:tcBorders>
          </w:tcPr>
          <w:p w14:paraId="71ED88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Строй.</w:t>
            </w:r>
          </w:p>
        </w:tc>
      </w:tr>
      <w:tr w:rsidR="00E3599D" w:rsidRPr="00E14102" w14:paraId="12415372" w14:textId="77777777">
        <w:tc>
          <w:tcPr>
            <w:tcW w:w="4786" w:type="dxa"/>
          </w:tcPr>
          <w:p w14:paraId="61A1C97F" w14:textId="77777777" w:rsidR="00D4105E" w:rsidRPr="00E14102" w:rsidRDefault="00D4105E" w:rsidP="00E14102">
            <w:pPr>
              <w:autoSpaceDE w:val="0"/>
              <w:autoSpaceDN w:val="0"/>
              <w:adjustRightInd w:val="0"/>
              <w:jc w:val="both"/>
              <w:rPr>
                <w:color w:val="000000" w:themeColor="text1"/>
                <w:sz w:val="16"/>
                <w:szCs w:val="16"/>
              </w:rPr>
            </w:pPr>
          </w:p>
        </w:tc>
        <w:tc>
          <w:tcPr>
            <w:tcW w:w="1023" w:type="dxa"/>
          </w:tcPr>
          <w:p w14:paraId="16BC0660" w14:textId="77777777" w:rsidR="00D4105E" w:rsidRPr="00E14102" w:rsidRDefault="00D4105E" w:rsidP="00E14102">
            <w:pPr>
              <w:autoSpaceDE w:val="0"/>
              <w:autoSpaceDN w:val="0"/>
              <w:adjustRightInd w:val="0"/>
              <w:jc w:val="both"/>
              <w:rPr>
                <w:color w:val="000000" w:themeColor="text1"/>
                <w:sz w:val="16"/>
                <w:szCs w:val="16"/>
              </w:rPr>
            </w:pPr>
          </w:p>
        </w:tc>
        <w:tc>
          <w:tcPr>
            <w:tcW w:w="1023" w:type="dxa"/>
          </w:tcPr>
          <w:p w14:paraId="464D40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w:t>
            </w:r>
          </w:p>
        </w:tc>
        <w:tc>
          <w:tcPr>
            <w:tcW w:w="3483" w:type="dxa"/>
          </w:tcPr>
          <w:p w14:paraId="1CA8C9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w:t>
            </w:r>
          </w:p>
        </w:tc>
      </w:tr>
      <w:tr w:rsidR="00E3599D" w:rsidRPr="00E14102" w14:paraId="26567ED5" w14:textId="77777777">
        <w:tc>
          <w:tcPr>
            <w:tcW w:w="4786" w:type="dxa"/>
          </w:tcPr>
          <w:p w14:paraId="6F2AF6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c>
          <w:tcPr>
            <w:tcW w:w="1023" w:type="dxa"/>
          </w:tcPr>
          <w:p w14:paraId="5E3BE43F" w14:textId="77777777" w:rsidR="00D4105E" w:rsidRPr="00E14102" w:rsidRDefault="00D4105E" w:rsidP="00E14102">
            <w:pPr>
              <w:autoSpaceDE w:val="0"/>
              <w:autoSpaceDN w:val="0"/>
              <w:adjustRightInd w:val="0"/>
              <w:jc w:val="both"/>
              <w:rPr>
                <w:color w:val="000000" w:themeColor="text1"/>
                <w:sz w:val="16"/>
                <w:szCs w:val="16"/>
              </w:rPr>
            </w:pPr>
          </w:p>
        </w:tc>
        <w:tc>
          <w:tcPr>
            <w:tcW w:w="1023" w:type="dxa"/>
          </w:tcPr>
          <w:p w14:paraId="3AB03774" w14:textId="77777777" w:rsidR="00D4105E" w:rsidRPr="00E14102" w:rsidRDefault="00D4105E" w:rsidP="00E14102">
            <w:pPr>
              <w:autoSpaceDE w:val="0"/>
              <w:autoSpaceDN w:val="0"/>
              <w:adjustRightInd w:val="0"/>
              <w:jc w:val="both"/>
              <w:rPr>
                <w:color w:val="000000" w:themeColor="text1"/>
                <w:sz w:val="16"/>
                <w:szCs w:val="16"/>
              </w:rPr>
            </w:pPr>
          </w:p>
        </w:tc>
        <w:tc>
          <w:tcPr>
            <w:tcW w:w="3483" w:type="dxa"/>
          </w:tcPr>
          <w:p w14:paraId="154C2C9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D13015C" w14:textId="77777777">
        <w:tc>
          <w:tcPr>
            <w:tcW w:w="4786" w:type="dxa"/>
          </w:tcPr>
          <w:p w14:paraId="5F4C88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Установка мотора М-34 с нагнетателем Рато на Рзет</w:t>
            </w:r>
          </w:p>
        </w:tc>
        <w:tc>
          <w:tcPr>
            <w:tcW w:w="1023" w:type="dxa"/>
          </w:tcPr>
          <w:p w14:paraId="160FDA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23" w:type="dxa"/>
          </w:tcPr>
          <w:p w14:paraId="79373E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06.36</w:t>
            </w:r>
          </w:p>
        </w:tc>
        <w:tc>
          <w:tcPr>
            <w:tcW w:w="3483" w:type="dxa"/>
          </w:tcPr>
          <w:p w14:paraId="575EDB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r>
      <w:tr w:rsidR="00E3599D" w:rsidRPr="00E14102" w14:paraId="175AB2D8" w14:textId="77777777">
        <w:tc>
          <w:tcPr>
            <w:tcW w:w="4786" w:type="dxa"/>
          </w:tcPr>
          <w:p w14:paraId="0D2820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Рекордный самолет на высоте 16000-20000</w:t>
            </w:r>
          </w:p>
        </w:tc>
        <w:tc>
          <w:tcPr>
            <w:tcW w:w="1023" w:type="dxa"/>
          </w:tcPr>
          <w:p w14:paraId="5775C4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23" w:type="dxa"/>
          </w:tcPr>
          <w:p w14:paraId="5BFD3F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06.37</w:t>
            </w:r>
          </w:p>
        </w:tc>
        <w:tc>
          <w:tcPr>
            <w:tcW w:w="3483" w:type="dxa"/>
          </w:tcPr>
          <w:p w14:paraId="1D6A70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r>
      <w:tr w:rsidR="00E3599D" w:rsidRPr="00E14102" w14:paraId="0AB649E4" w14:textId="77777777">
        <w:tc>
          <w:tcPr>
            <w:tcW w:w="4786" w:type="dxa"/>
          </w:tcPr>
          <w:p w14:paraId="0D8BBA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Рекордный самолет на высоте 16000-20000</w:t>
            </w:r>
          </w:p>
        </w:tc>
        <w:tc>
          <w:tcPr>
            <w:tcW w:w="1023" w:type="dxa"/>
          </w:tcPr>
          <w:p w14:paraId="447C87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23" w:type="dxa"/>
          </w:tcPr>
          <w:p w14:paraId="785A82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06.37</w:t>
            </w:r>
          </w:p>
        </w:tc>
        <w:tc>
          <w:tcPr>
            <w:tcW w:w="3483" w:type="dxa"/>
          </w:tcPr>
          <w:p w14:paraId="433CB3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w:t>
            </w:r>
          </w:p>
        </w:tc>
      </w:tr>
      <w:tr w:rsidR="00E3599D" w:rsidRPr="00E14102" w14:paraId="60AAD068" w14:textId="77777777">
        <w:tc>
          <w:tcPr>
            <w:tcW w:w="4786" w:type="dxa"/>
          </w:tcPr>
          <w:p w14:paraId="0E3D71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Скоростной экспериментальный самолет</w:t>
            </w:r>
          </w:p>
        </w:tc>
        <w:tc>
          <w:tcPr>
            <w:tcW w:w="1023" w:type="dxa"/>
          </w:tcPr>
          <w:p w14:paraId="6647FF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23" w:type="dxa"/>
          </w:tcPr>
          <w:p w14:paraId="732CC3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08.37</w:t>
            </w:r>
          </w:p>
        </w:tc>
        <w:tc>
          <w:tcPr>
            <w:tcW w:w="3483" w:type="dxa"/>
          </w:tcPr>
          <w:p w14:paraId="176033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r>
      <w:tr w:rsidR="00E3599D" w:rsidRPr="00E14102" w14:paraId="4ABB255F" w14:textId="77777777">
        <w:tc>
          <w:tcPr>
            <w:tcW w:w="4786" w:type="dxa"/>
          </w:tcPr>
          <w:p w14:paraId="140A02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Скоростной рекордный самолет</w:t>
            </w:r>
          </w:p>
        </w:tc>
        <w:tc>
          <w:tcPr>
            <w:tcW w:w="1023" w:type="dxa"/>
          </w:tcPr>
          <w:p w14:paraId="5F1BE2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700-750</w:t>
            </w:r>
          </w:p>
        </w:tc>
        <w:tc>
          <w:tcPr>
            <w:tcW w:w="1023" w:type="dxa"/>
          </w:tcPr>
          <w:p w14:paraId="4BDB6D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12.37</w:t>
            </w:r>
          </w:p>
        </w:tc>
        <w:tc>
          <w:tcPr>
            <w:tcW w:w="3483" w:type="dxa"/>
          </w:tcPr>
          <w:p w14:paraId="3BF1EA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r>
      <w:tr w:rsidR="00E3599D" w:rsidRPr="00E14102" w14:paraId="06C9C5B4" w14:textId="77777777">
        <w:tc>
          <w:tcPr>
            <w:tcW w:w="4786" w:type="dxa"/>
          </w:tcPr>
          <w:p w14:paraId="08959C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Рекордный скоростной с маломощным мотором 400-500 нр</w:t>
            </w:r>
          </w:p>
        </w:tc>
        <w:tc>
          <w:tcPr>
            <w:tcW w:w="1023" w:type="dxa"/>
          </w:tcPr>
          <w:p w14:paraId="6E9575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550-600</w:t>
            </w:r>
          </w:p>
        </w:tc>
        <w:tc>
          <w:tcPr>
            <w:tcW w:w="1023" w:type="dxa"/>
          </w:tcPr>
          <w:p w14:paraId="76C642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08.37</w:t>
            </w:r>
          </w:p>
        </w:tc>
        <w:tc>
          <w:tcPr>
            <w:tcW w:w="3483" w:type="dxa"/>
          </w:tcPr>
          <w:p w14:paraId="2EE448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r>
      <w:tr w:rsidR="00E3599D" w:rsidRPr="00E14102" w14:paraId="3A07EAD9" w14:textId="77777777">
        <w:tc>
          <w:tcPr>
            <w:tcW w:w="4786" w:type="dxa"/>
          </w:tcPr>
          <w:p w14:paraId="05B24D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w:t>
            </w:r>
          </w:p>
        </w:tc>
        <w:tc>
          <w:tcPr>
            <w:tcW w:w="1023" w:type="dxa"/>
          </w:tcPr>
          <w:p w14:paraId="2443C512" w14:textId="77777777" w:rsidR="00D4105E" w:rsidRPr="00E14102" w:rsidRDefault="00D4105E" w:rsidP="00E14102">
            <w:pPr>
              <w:autoSpaceDE w:val="0"/>
              <w:autoSpaceDN w:val="0"/>
              <w:adjustRightInd w:val="0"/>
              <w:jc w:val="both"/>
              <w:rPr>
                <w:color w:val="000000" w:themeColor="text1"/>
                <w:sz w:val="16"/>
                <w:szCs w:val="16"/>
              </w:rPr>
            </w:pPr>
          </w:p>
        </w:tc>
        <w:tc>
          <w:tcPr>
            <w:tcW w:w="1023" w:type="dxa"/>
          </w:tcPr>
          <w:p w14:paraId="56EBFDFB" w14:textId="77777777" w:rsidR="00D4105E" w:rsidRPr="00E14102" w:rsidRDefault="00D4105E" w:rsidP="00E14102">
            <w:pPr>
              <w:autoSpaceDE w:val="0"/>
              <w:autoSpaceDN w:val="0"/>
              <w:adjustRightInd w:val="0"/>
              <w:jc w:val="both"/>
              <w:rPr>
                <w:color w:val="000000" w:themeColor="text1"/>
                <w:sz w:val="16"/>
                <w:szCs w:val="16"/>
              </w:rPr>
            </w:pPr>
          </w:p>
        </w:tc>
        <w:tc>
          <w:tcPr>
            <w:tcW w:w="3483" w:type="dxa"/>
          </w:tcPr>
          <w:p w14:paraId="367B7A1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7377E95" w14:textId="77777777">
        <w:tc>
          <w:tcPr>
            <w:tcW w:w="4786" w:type="dxa"/>
            <w:tcBorders>
              <w:bottom w:val="single" w:sz="12" w:space="0" w:color="auto"/>
            </w:tcBorders>
          </w:tcPr>
          <w:p w14:paraId="5CC951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М-34 форсированный (для рекорда скорости) 2000 нр</w:t>
            </w:r>
          </w:p>
        </w:tc>
        <w:tc>
          <w:tcPr>
            <w:tcW w:w="1023" w:type="dxa"/>
            <w:tcBorders>
              <w:bottom w:val="single" w:sz="12" w:space="0" w:color="auto"/>
            </w:tcBorders>
          </w:tcPr>
          <w:p w14:paraId="3249D2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23" w:type="dxa"/>
            <w:tcBorders>
              <w:bottom w:val="single" w:sz="12" w:space="0" w:color="auto"/>
            </w:tcBorders>
          </w:tcPr>
          <w:p w14:paraId="5514E2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c>
          <w:tcPr>
            <w:tcW w:w="3483" w:type="dxa"/>
            <w:tcBorders>
              <w:bottom w:val="single" w:sz="12" w:space="0" w:color="auto"/>
            </w:tcBorders>
          </w:tcPr>
          <w:p w14:paraId="1D2F36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(2166,31)</w:t>
            </w:r>
          </w:p>
        </w:tc>
      </w:tr>
    </w:tbl>
    <w:p w14:paraId="66FFF9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был подготовлен План опытного моторостроения на 1936-1937 (приложение № 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41"/>
        <w:gridCol w:w="1077"/>
        <w:gridCol w:w="1077"/>
        <w:gridCol w:w="1077"/>
        <w:gridCol w:w="1077"/>
        <w:gridCol w:w="1191"/>
        <w:gridCol w:w="1408"/>
        <w:gridCol w:w="2325"/>
      </w:tblGrid>
      <w:tr w:rsidR="00E3599D" w:rsidRPr="00E14102" w14:paraId="2666A55B" w14:textId="77777777">
        <w:tc>
          <w:tcPr>
            <w:tcW w:w="2041" w:type="dxa"/>
          </w:tcPr>
          <w:p w14:paraId="050599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объектов</w:t>
            </w:r>
          </w:p>
        </w:tc>
        <w:tc>
          <w:tcPr>
            <w:tcW w:w="1077" w:type="dxa"/>
          </w:tcPr>
          <w:p w14:paraId="42EBBD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w:t>
            </w:r>
          </w:p>
        </w:tc>
        <w:tc>
          <w:tcPr>
            <w:tcW w:w="1077" w:type="dxa"/>
          </w:tcPr>
          <w:p w14:paraId="68C05D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Высотность</w:t>
            </w:r>
          </w:p>
        </w:tc>
        <w:tc>
          <w:tcPr>
            <w:tcW w:w="1077" w:type="dxa"/>
          </w:tcPr>
          <w:p w14:paraId="36CD50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w:t>
            </w:r>
          </w:p>
        </w:tc>
        <w:tc>
          <w:tcPr>
            <w:tcW w:w="1077" w:type="dxa"/>
          </w:tcPr>
          <w:p w14:paraId="7D9AFA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 горючего</w:t>
            </w:r>
          </w:p>
        </w:tc>
        <w:tc>
          <w:tcPr>
            <w:tcW w:w="1191" w:type="dxa"/>
          </w:tcPr>
          <w:p w14:paraId="3D7B26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1408" w:type="dxa"/>
          </w:tcPr>
          <w:p w14:paraId="387254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w:t>
            </w:r>
          </w:p>
        </w:tc>
        <w:tc>
          <w:tcPr>
            <w:tcW w:w="2325" w:type="dxa"/>
          </w:tcPr>
          <w:p w14:paraId="152423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3D8809D6" w14:textId="77777777">
        <w:tc>
          <w:tcPr>
            <w:tcW w:w="2041" w:type="dxa"/>
          </w:tcPr>
          <w:p w14:paraId="4AE261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 Опытные бензиновые моторы</w:t>
            </w:r>
          </w:p>
        </w:tc>
        <w:tc>
          <w:tcPr>
            <w:tcW w:w="1077" w:type="dxa"/>
          </w:tcPr>
          <w:p w14:paraId="69BED7D2"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596A90B8"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683EBF3A"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4A3B12D9"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574EF58F"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0B2F49EA"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30335D1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6537674" w14:textId="77777777">
        <w:tc>
          <w:tcPr>
            <w:tcW w:w="2041" w:type="dxa"/>
          </w:tcPr>
          <w:p w14:paraId="26EE2A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М-56 – 14 цилиндровая 2-х рядная звезда воздушного охлаждения</w:t>
            </w:r>
          </w:p>
        </w:tc>
        <w:tc>
          <w:tcPr>
            <w:tcW w:w="1077" w:type="dxa"/>
          </w:tcPr>
          <w:p w14:paraId="19E4A0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077" w:type="dxa"/>
          </w:tcPr>
          <w:p w14:paraId="72E09B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w:t>
            </w:r>
          </w:p>
        </w:tc>
        <w:tc>
          <w:tcPr>
            <w:tcW w:w="1077" w:type="dxa"/>
          </w:tcPr>
          <w:p w14:paraId="2DBE86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1077" w:type="dxa"/>
          </w:tcPr>
          <w:p w14:paraId="01329D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w:t>
            </w:r>
          </w:p>
        </w:tc>
        <w:tc>
          <w:tcPr>
            <w:tcW w:w="1191" w:type="dxa"/>
          </w:tcPr>
          <w:p w14:paraId="0DDD72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037BCA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w:t>
            </w:r>
          </w:p>
        </w:tc>
        <w:tc>
          <w:tcPr>
            <w:tcW w:w="2325" w:type="dxa"/>
          </w:tcPr>
          <w:p w14:paraId="3F12264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A50351A" w14:textId="77777777">
        <w:tc>
          <w:tcPr>
            <w:tcW w:w="2041" w:type="dxa"/>
          </w:tcPr>
          <w:p w14:paraId="3AF41D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ММ-1 (маломощный мотор)</w:t>
            </w:r>
          </w:p>
        </w:tc>
        <w:tc>
          <w:tcPr>
            <w:tcW w:w="1077" w:type="dxa"/>
          </w:tcPr>
          <w:p w14:paraId="42225D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250-300</w:t>
            </w:r>
          </w:p>
        </w:tc>
        <w:tc>
          <w:tcPr>
            <w:tcW w:w="1077" w:type="dxa"/>
          </w:tcPr>
          <w:p w14:paraId="3B6A86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1077" w:type="dxa"/>
          </w:tcPr>
          <w:p w14:paraId="00BA2F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225</w:t>
            </w:r>
          </w:p>
        </w:tc>
        <w:tc>
          <w:tcPr>
            <w:tcW w:w="1077" w:type="dxa"/>
          </w:tcPr>
          <w:p w14:paraId="01BABA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280-290</w:t>
            </w:r>
          </w:p>
        </w:tc>
        <w:tc>
          <w:tcPr>
            <w:tcW w:w="1191" w:type="dxa"/>
          </w:tcPr>
          <w:p w14:paraId="739924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552554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w:t>
            </w:r>
          </w:p>
        </w:tc>
        <w:tc>
          <w:tcPr>
            <w:tcW w:w="2325" w:type="dxa"/>
          </w:tcPr>
          <w:p w14:paraId="143402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Совместно с заводом № 16</w:t>
            </w:r>
          </w:p>
        </w:tc>
      </w:tr>
      <w:tr w:rsidR="00E3599D" w:rsidRPr="00E14102" w14:paraId="2D12DEF9" w14:textId="77777777">
        <w:tc>
          <w:tcPr>
            <w:tcW w:w="2041" w:type="dxa"/>
          </w:tcPr>
          <w:p w14:paraId="6211E9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Развитие мотора ММ-1 V-образного с опрокинутыми вниз цилиндрами воздушного охлаждения</w:t>
            </w:r>
          </w:p>
        </w:tc>
        <w:tc>
          <w:tcPr>
            <w:tcW w:w="1077" w:type="dxa"/>
          </w:tcPr>
          <w:p w14:paraId="6426AA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1077" w:type="dxa"/>
          </w:tcPr>
          <w:p w14:paraId="3A5F71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w:t>
            </w:r>
          </w:p>
        </w:tc>
        <w:tc>
          <w:tcPr>
            <w:tcW w:w="1077" w:type="dxa"/>
          </w:tcPr>
          <w:p w14:paraId="7A8226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350-370</w:t>
            </w:r>
          </w:p>
        </w:tc>
        <w:tc>
          <w:tcPr>
            <w:tcW w:w="1077" w:type="dxa"/>
          </w:tcPr>
          <w:p w14:paraId="6DFF1C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6F04CF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совместно с заводом № 16</w:t>
            </w:r>
          </w:p>
        </w:tc>
        <w:tc>
          <w:tcPr>
            <w:tcW w:w="1408" w:type="dxa"/>
          </w:tcPr>
          <w:p w14:paraId="269F8F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524E9E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испытания</w:t>
            </w:r>
          </w:p>
        </w:tc>
      </w:tr>
      <w:tr w:rsidR="00E3599D" w:rsidRPr="00E14102" w14:paraId="7407F655" w14:textId="77777777">
        <w:tc>
          <w:tcPr>
            <w:tcW w:w="2041" w:type="dxa"/>
          </w:tcPr>
          <w:p w14:paraId="4800C6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Бесклапанный мотор</w:t>
            </w:r>
          </w:p>
        </w:tc>
        <w:tc>
          <w:tcPr>
            <w:tcW w:w="1077" w:type="dxa"/>
          </w:tcPr>
          <w:p w14:paraId="60C856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650-700</w:t>
            </w:r>
          </w:p>
        </w:tc>
        <w:tc>
          <w:tcPr>
            <w:tcW w:w="1077" w:type="dxa"/>
          </w:tcPr>
          <w:p w14:paraId="00A59A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1077" w:type="dxa"/>
          </w:tcPr>
          <w:p w14:paraId="6C3752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15DE4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2A0227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2FAB97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64D5AA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испытания</w:t>
            </w:r>
          </w:p>
        </w:tc>
      </w:tr>
      <w:tr w:rsidR="00E3599D" w:rsidRPr="00E14102" w14:paraId="0336DD56" w14:textId="77777777">
        <w:tc>
          <w:tcPr>
            <w:tcW w:w="2041" w:type="dxa"/>
          </w:tcPr>
          <w:p w14:paraId="708221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М-44 для торпедных катеров</w:t>
            </w:r>
          </w:p>
        </w:tc>
        <w:tc>
          <w:tcPr>
            <w:tcW w:w="1077" w:type="dxa"/>
          </w:tcPr>
          <w:p w14:paraId="4B417B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1600</w:t>
            </w:r>
          </w:p>
        </w:tc>
        <w:tc>
          <w:tcPr>
            <w:tcW w:w="1077" w:type="dxa"/>
          </w:tcPr>
          <w:p w14:paraId="2A361C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8EA25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49A994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09A709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682144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w:t>
            </w:r>
          </w:p>
        </w:tc>
        <w:tc>
          <w:tcPr>
            <w:tcW w:w="2325" w:type="dxa"/>
          </w:tcPr>
          <w:p w14:paraId="5F3EB1C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70F002F" w14:textId="77777777">
        <w:tc>
          <w:tcPr>
            <w:tcW w:w="2041" w:type="dxa"/>
          </w:tcPr>
          <w:p w14:paraId="6AD5EF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Авиационные дизеля</w:t>
            </w:r>
          </w:p>
        </w:tc>
        <w:tc>
          <w:tcPr>
            <w:tcW w:w="1077" w:type="dxa"/>
          </w:tcPr>
          <w:p w14:paraId="2C3ECD23"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0050851F"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2C0F9BBA"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6DD60184"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4605101A"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4B4785B1"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11E0C5C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046411B" w14:textId="77777777">
        <w:tc>
          <w:tcPr>
            <w:tcW w:w="2041" w:type="dxa"/>
          </w:tcPr>
          <w:p w14:paraId="1586F6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…-1А</w:t>
            </w:r>
          </w:p>
        </w:tc>
        <w:tc>
          <w:tcPr>
            <w:tcW w:w="1077" w:type="dxa"/>
          </w:tcPr>
          <w:p w14:paraId="759AF9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w:t>
            </w:r>
          </w:p>
        </w:tc>
        <w:tc>
          <w:tcPr>
            <w:tcW w:w="1077" w:type="dxa"/>
          </w:tcPr>
          <w:p w14:paraId="5551C3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1077" w:type="dxa"/>
          </w:tcPr>
          <w:p w14:paraId="3CC842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69B5BE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170-180</w:t>
            </w:r>
          </w:p>
        </w:tc>
        <w:tc>
          <w:tcPr>
            <w:tcW w:w="1191" w:type="dxa"/>
          </w:tcPr>
          <w:p w14:paraId="7C6C66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65B806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w:t>
            </w:r>
          </w:p>
        </w:tc>
        <w:tc>
          <w:tcPr>
            <w:tcW w:w="2325" w:type="dxa"/>
          </w:tcPr>
          <w:p w14:paraId="5FEC88B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3A4DA0B" w14:textId="77777777">
        <w:tc>
          <w:tcPr>
            <w:tcW w:w="2041" w:type="dxa"/>
          </w:tcPr>
          <w:p w14:paraId="723C74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…-1Ф (форсированный)</w:t>
            </w:r>
          </w:p>
        </w:tc>
        <w:tc>
          <w:tcPr>
            <w:tcW w:w="1077" w:type="dxa"/>
          </w:tcPr>
          <w:p w14:paraId="143F45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5A4970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1077" w:type="dxa"/>
          </w:tcPr>
          <w:p w14:paraId="4E6AB1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6E288C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170-180</w:t>
            </w:r>
          </w:p>
        </w:tc>
        <w:tc>
          <w:tcPr>
            <w:tcW w:w="1191" w:type="dxa"/>
          </w:tcPr>
          <w:p w14:paraId="24A81C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60670C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1937 г.</w:t>
            </w:r>
          </w:p>
        </w:tc>
        <w:tc>
          <w:tcPr>
            <w:tcW w:w="2325" w:type="dxa"/>
          </w:tcPr>
          <w:p w14:paraId="6C5713F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89BD99" w14:textId="77777777">
        <w:tc>
          <w:tcPr>
            <w:tcW w:w="2041" w:type="dxa"/>
          </w:tcPr>
          <w:p w14:paraId="464DBB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…-314 цил., двухрядная звезда воздушного охлаждения</w:t>
            </w:r>
          </w:p>
        </w:tc>
        <w:tc>
          <w:tcPr>
            <w:tcW w:w="1077" w:type="dxa"/>
          </w:tcPr>
          <w:p w14:paraId="2F21DF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077" w:type="dxa"/>
          </w:tcPr>
          <w:p w14:paraId="418BF1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1077" w:type="dxa"/>
          </w:tcPr>
          <w:p w14:paraId="30C39F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077" w:type="dxa"/>
          </w:tcPr>
          <w:p w14:paraId="5BBCF6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w:t>
            </w:r>
          </w:p>
        </w:tc>
        <w:tc>
          <w:tcPr>
            <w:tcW w:w="1191" w:type="dxa"/>
          </w:tcPr>
          <w:p w14:paraId="7B44B9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169EDA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67269E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испытания</w:t>
            </w:r>
          </w:p>
        </w:tc>
      </w:tr>
      <w:tr w:rsidR="00E3599D" w:rsidRPr="00E14102" w14:paraId="4A395FAB" w14:textId="77777777">
        <w:tc>
          <w:tcPr>
            <w:tcW w:w="2041" w:type="dxa"/>
          </w:tcPr>
          <w:p w14:paraId="723B79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III. Турбины</w:t>
            </w:r>
          </w:p>
        </w:tc>
        <w:tc>
          <w:tcPr>
            <w:tcW w:w="1077" w:type="dxa"/>
          </w:tcPr>
          <w:p w14:paraId="6EBEE09C"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2BBBABE5"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59BE4755"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73C36B3B"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2AF5B118"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2E97A688"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0ADC8DD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A36F6C" w14:textId="77777777">
        <w:tc>
          <w:tcPr>
            <w:tcW w:w="2041" w:type="dxa"/>
          </w:tcPr>
          <w:p w14:paraId="16180D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ГТ газовая турбина</w:t>
            </w:r>
          </w:p>
        </w:tc>
        <w:tc>
          <w:tcPr>
            <w:tcW w:w="1077" w:type="dxa"/>
          </w:tcPr>
          <w:p w14:paraId="33D13E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7D4C05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688139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408C68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65A0F4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ВТИ и Кировский завод</w:t>
            </w:r>
          </w:p>
        </w:tc>
        <w:tc>
          <w:tcPr>
            <w:tcW w:w="1408" w:type="dxa"/>
          </w:tcPr>
          <w:p w14:paraId="6ADA68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57EBC9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испытания</w:t>
            </w:r>
          </w:p>
        </w:tc>
      </w:tr>
      <w:tr w:rsidR="00E3599D" w:rsidRPr="00E14102" w14:paraId="5C5DC7E7" w14:textId="77777777">
        <w:tc>
          <w:tcPr>
            <w:tcW w:w="2041" w:type="dxa"/>
          </w:tcPr>
          <w:p w14:paraId="17F649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Модификация серийных моторов</w:t>
            </w:r>
          </w:p>
        </w:tc>
        <w:tc>
          <w:tcPr>
            <w:tcW w:w="1077" w:type="dxa"/>
          </w:tcPr>
          <w:p w14:paraId="5E76D642"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10068795"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658C1E4B"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4B7301CE"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16191E85"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5CB49042"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160F19C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E1CF98B" w14:textId="77777777">
        <w:tc>
          <w:tcPr>
            <w:tcW w:w="2041" w:type="dxa"/>
          </w:tcPr>
          <w:p w14:paraId="14CAE1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М25 Д двухрядная 18-ти цилиндровая звезда</w:t>
            </w:r>
          </w:p>
        </w:tc>
        <w:tc>
          <w:tcPr>
            <w:tcW w:w="1077" w:type="dxa"/>
          </w:tcPr>
          <w:p w14:paraId="4638E9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1250</w:t>
            </w:r>
          </w:p>
        </w:tc>
        <w:tc>
          <w:tcPr>
            <w:tcW w:w="1077" w:type="dxa"/>
          </w:tcPr>
          <w:p w14:paraId="105448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2500</w:t>
            </w:r>
          </w:p>
        </w:tc>
        <w:tc>
          <w:tcPr>
            <w:tcW w:w="1077" w:type="dxa"/>
          </w:tcPr>
          <w:p w14:paraId="0C690C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077" w:type="dxa"/>
          </w:tcPr>
          <w:p w14:paraId="35124A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1191" w:type="dxa"/>
          </w:tcPr>
          <w:p w14:paraId="19BBE2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19</w:t>
            </w:r>
          </w:p>
        </w:tc>
        <w:tc>
          <w:tcPr>
            <w:tcW w:w="1408" w:type="dxa"/>
          </w:tcPr>
          <w:p w14:paraId="57E36C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4AC6F7C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DAA1F1E" w14:textId="77777777">
        <w:tc>
          <w:tcPr>
            <w:tcW w:w="2041" w:type="dxa"/>
          </w:tcPr>
          <w:p w14:paraId="489E18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М-25 с 2-х скоростным нагнетателем (М-62)</w:t>
            </w:r>
          </w:p>
        </w:tc>
        <w:tc>
          <w:tcPr>
            <w:tcW w:w="1077" w:type="dxa"/>
          </w:tcPr>
          <w:p w14:paraId="7417DE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077" w:type="dxa"/>
          </w:tcPr>
          <w:p w14:paraId="52CFFB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0FEF0E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1077" w:type="dxa"/>
          </w:tcPr>
          <w:p w14:paraId="6110D6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1191" w:type="dxa"/>
          </w:tcPr>
          <w:p w14:paraId="5DFE3C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19</w:t>
            </w:r>
          </w:p>
        </w:tc>
        <w:tc>
          <w:tcPr>
            <w:tcW w:w="1408" w:type="dxa"/>
          </w:tcPr>
          <w:p w14:paraId="7D56A5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w:t>
            </w:r>
          </w:p>
        </w:tc>
        <w:tc>
          <w:tcPr>
            <w:tcW w:w="2325" w:type="dxa"/>
          </w:tcPr>
          <w:p w14:paraId="0012008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D428F6C" w14:textId="77777777">
        <w:tc>
          <w:tcPr>
            <w:tcW w:w="2041" w:type="dxa"/>
          </w:tcPr>
          <w:p w14:paraId="12789B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М-34ФРН</w:t>
            </w:r>
          </w:p>
        </w:tc>
        <w:tc>
          <w:tcPr>
            <w:tcW w:w="1077" w:type="dxa"/>
          </w:tcPr>
          <w:p w14:paraId="380420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1162C3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14EF27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680</w:t>
            </w:r>
          </w:p>
        </w:tc>
        <w:tc>
          <w:tcPr>
            <w:tcW w:w="1077" w:type="dxa"/>
          </w:tcPr>
          <w:p w14:paraId="35B80A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255-265</w:t>
            </w:r>
          </w:p>
        </w:tc>
        <w:tc>
          <w:tcPr>
            <w:tcW w:w="1191" w:type="dxa"/>
          </w:tcPr>
          <w:p w14:paraId="7064D4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408" w:type="dxa"/>
          </w:tcPr>
          <w:p w14:paraId="67469F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1936 г.</w:t>
            </w:r>
          </w:p>
        </w:tc>
        <w:tc>
          <w:tcPr>
            <w:tcW w:w="2325" w:type="dxa"/>
          </w:tcPr>
          <w:p w14:paraId="1B53E9F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D13FD48" w14:textId="77777777">
        <w:tc>
          <w:tcPr>
            <w:tcW w:w="2041" w:type="dxa"/>
          </w:tcPr>
          <w:p w14:paraId="7D8530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М-34ФН</w:t>
            </w:r>
          </w:p>
        </w:tc>
        <w:tc>
          <w:tcPr>
            <w:tcW w:w="1077" w:type="dxa"/>
          </w:tcPr>
          <w:p w14:paraId="799D9C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2E8516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42B9F7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1077" w:type="dxa"/>
          </w:tcPr>
          <w:p w14:paraId="735290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255-265</w:t>
            </w:r>
          </w:p>
        </w:tc>
        <w:tc>
          <w:tcPr>
            <w:tcW w:w="1191" w:type="dxa"/>
          </w:tcPr>
          <w:p w14:paraId="418744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408" w:type="dxa"/>
          </w:tcPr>
          <w:p w14:paraId="7D656C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1936 г.</w:t>
            </w:r>
          </w:p>
        </w:tc>
        <w:tc>
          <w:tcPr>
            <w:tcW w:w="2325" w:type="dxa"/>
          </w:tcPr>
          <w:p w14:paraId="36FEEE9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BE8ECAC" w14:textId="77777777">
        <w:tc>
          <w:tcPr>
            <w:tcW w:w="2041" w:type="dxa"/>
          </w:tcPr>
          <w:p w14:paraId="32E898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смешанного охлаждения</w:t>
            </w:r>
          </w:p>
        </w:tc>
        <w:tc>
          <w:tcPr>
            <w:tcW w:w="1077" w:type="dxa"/>
          </w:tcPr>
          <w:p w14:paraId="203370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1050</w:t>
            </w:r>
          </w:p>
        </w:tc>
        <w:tc>
          <w:tcPr>
            <w:tcW w:w="1077" w:type="dxa"/>
          </w:tcPr>
          <w:p w14:paraId="706C60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w:t>
            </w:r>
          </w:p>
        </w:tc>
        <w:tc>
          <w:tcPr>
            <w:tcW w:w="1077" w:type="dxa"/>
          </w:tcPr>
          <w:p w14:paraId="08CD97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52450A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255-265</w:t>
            </w:r>
          </w:p>
        </w:tc>
        <w:tc>
          <w:tcPr>
            <w:tcW w:w="1191" w:type="dxa"/>
          </w:tcPr>
          <w:p w14:paraId="3DB2D2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408" w:type="dxa"/>
          </w:tcPr>
          <w:p w14:paraId="103644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0CF9F2E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0879C37" w14:textId="77777777">
        <w:tc>
          <w:tcPr>
            <w:tcW w:w="2041" w:type="dxa"/>
          </w:tcPr>
          <w:p w14:paraId="61CC71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ГМ-34НБ для торпедных катеров форсир. с нагнетателем</w:t>
            </w:r>
          </w:p>
        </w:tc>
        <w:tc>
          <w:tcPr>
            <w:tcW w:w="1077" w:type="dxa"/>
          </w:tcPr>
          <w:p w14:paraId="7B2669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1250</w:t>
            </w:r>
          </w:p>
        </w:tc>
        <w:tc>
          <w:tcPr>
            <w:tcW w:w="1077" w:type="dxa"/>
          </w:tcPr>
          <w:p w14:paraId="0BA98C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0278EA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3C339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2390A6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408" w:type="dxa"/>
          </w:tcPr>
          <w:p w14:paraId="7F4A1F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599A53A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595665D" w14:textId="77777777">
        <w:tc>
          <w:tcPr>
            <w:tcW w:w="2041" w:type="dxa"/>
          </w:tcPr>
          <w:p w14:paraId="3D8091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М-86 (развитие К-9) двухрядная 18-ти цилиндровая звезда</w:t>
            </w:r>
          </w:p>
        </w:tc>
        <w:tc>
          <w:tcPr>
            <w:tcW w:w="1077" w:type="dxa"/>
          </w:tcPr>
          <w:p w14:paraId="084B18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1050</w:t>
            </w:r>
          </w:p>
        </w:tc>
        <w:tc>
          <w:tcPr>
            <w:tcW w:w="1077" w:type="dxa"/>
          </w:tcPr>
          <w:p w14:paraId="43F84E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1077" w:type="dxa"/>
          </w:tcPr>
          <w:p w14:paraId="27F305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700-750</w:t>
            </w:r>
          </w:p>
        </w:tc>
        <w:tc>
          <w:tcPr>
            <w:tcW w:w="1077" w:type="dxa"/>
          </w:tcPr>
          <w:p w14:paraId="31241E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1191" w:type="dxa"/>
          </w:tcPr>
          <w:p w14:paraId="51AC86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1408" w:type="dxa"/>
          </w:tcPr>
          <w:p w14:paraId="62BA9F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2C79BEB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AD5F9AF" w14:textId="77777777">
        <w:tc>
          <w:tcPr>
            <w:tcW w:w="2041" w:type="dxa"/>
          </w:tcPr>
          <w:p w14:paraId="5F84E4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М-85Ф (форсированный)</w:t>
            </w:r>
          </w:p>
        </w:tc>
        <w:tc>
          <w:tcPr>
            <w:tcW w:w="1077" w:type="dxa"/>
          </w:tcPr>
          <w:p w14:paraId="083990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950</w:t>
            </w:r>
          </w:p>
        </w:tc>
        <w:tc>
          <w:tcPr>
            <w:tcW w:w="1077" w:type="dxa"/>
          </w:tcPr>
          <w:p w14:paraId="23754A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1077" w:type="dxa"/>
          </w:tcPr>
          <w:p w14:paraId="65C7B4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630</w:t>
            </w:r>
          </w:p>
        </w:tc>
        <w:tc>
          <w:tcPr>
            <w:tcW w:w="1077" w:type="dxa"/>
          </w:tcPr>
          <w:p w14:paraId="3958BD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1191" w:type="dxa"/>
          </w:tcPr>
          <w:p w14:paraId="1C5982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1408" w:type="dxa"/>
          </w:tcPr>
          <w:p w14:paraId="30E5B1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 г.</w:t>
            </w:r>
          </w:p>
        </w:tc>
        <w:tc>
          <w:tcPr>
            <w:tcW w:w="2325" w:type="dxa"/>
          </w:tcPr>
          <w:p w14:paraId="76C9127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5E00E11" w14:textId="77777777">
        <w:tc>
          <w:tcPr>
            <w:tcW w:w="2041" w:type="dxa"/>
          </w:tcPr>
          <w:p w14:paraId="1DD866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М-100Ф (форсированный)</w:t>
            </w:r>
          </w:p>
        </w:tc>
        <w:tc>
          <w:tcPr>
            <w:tcW w:w="1077" w:type="dxa"/>
          </w:tcPr>
          <w:p w14:paraId="11E896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950</w:t>
            </w:r>
          </w:p>
        </w:tc>
        <w:tc>
          <w:tcPr>
            <w:tcW w:w="1077" w:type="dxa"/>
          </w:tcPr>
          <w:p w14:paraId="22DDC7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1077" w:type="dxa"/>
          </w:tcPr>
          <w:p w14:paraId="3133BA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1077" w:type="dxa"/>
          </w:tcPr>
          <w:p w14:paraId="2883BF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w:t>
            </w:r>
          </w:p>
        </w:tc>
        <w:tc>
          <w:tcPr>
            <w:tcW w:w="1191" w:type="dxa"/>
          </w:tcPr>
          <w:p w14:paraId="614A7B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26</w:t>
            </w:r>
          </w:p>
        </w:tc>
        <w:tc>
          <w:tcPr>
            <w:tcW w:w="1408" w:type="dxa"/>
          </w:tcPr>
          <w:p w14:paraId="0166B5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 г.</w:t>
            </w:r>
          </w:p>
        </w:tc>
        <w:tc>
          <w:tcPr>
            <w:tcW w:w="2325" w:type="dxa"/>
          </w:tcPr>
          <w:p w14:paraId="5C3E1CB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FAABC67" w14:textId="77777777">
        <w:tc>
          <w:tcPr>
            <w:tcW w:w="2041" w:type="dxa"/>
          </w:tcPr>
          <w:p w14:paraId="0F887D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Новые агрегаты</w:t>
            </w:r>
          </w:p>
        </w:tc>
        <w:tc>
          <w:tcPr>
            <w:tcW w:w="1077" w:type="dxa"/>
          </w:tcPr>
          <w:p w14:paraId="025533C4"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19AFA12D"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01C6ECF5"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477D208F"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2656F894"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718AFC16"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7BF5CC4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6B34D33" w14:textId="77777777">
        <w:tc>
          <w:tcPr>
            <w:tcW w:w="2041" w:type="dxa"/>
          </w:tcPr>
          <w:p w14:paraId="740A71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на непосредственный впрыск моторов М34, М100, М25, М85</w:t>
            </w:r>
          </w:p>
        </w:tc>
        <w:tc>
          <w:tcPr>
            <w:tcW w:w="1077" w:type="dxa"/>
          </w:tcPr>
          <w:p w14:paraId="4FB494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5DA693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5A8455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1C217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2E14D4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совместно с заводами</w:t>
            </w:r>
          </w:p>
        </w:tc>
        <w:tc>
          <w:tcPr>
            <w:tcW w:w="1408" w:type="dxa"/>
          </w:tcPr>
          <w:p w14:paraId="7017A0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w:t>
            </w:r>
          </w:p>
          <w:p w14:paraId="5584C8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62028B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М34 предъявл. к 1 апреля 1936 г.</w:t>
            </w:r>
          </w:p>
        </w:tc>
      </w:tr>
      <w:tr w:rsidR="00E3599D" w:rsidRPr="00E14102" w14:paraId="5B6D6BB6" w14:textId="77777777">
        <w:tc>
          <w:tcPr>
            <w:tcW w:w="2041" w:type="dxa"/>
          </w:tcPr>
          <w:p w14:paraId="77A549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Повышение высотности моторов М34, М100 и М85 (двухступенч. и двухскор. нагнет.) </w:t>
            </w:r>
          </w:p>
        </w:tc>
        <w:tc>
          <w:tcPr>
            <w:tcW w:w="1077" w:type="dxa"/>
          </w:tcPr>
          <w:p w14:paraId="1AFC32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581FB2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6000</w:t>
            </w:r>
          </w:p>
        </w:tc>
        <w:tc>
          <w:tcPr>
            <w:tcW w:w="1077" w:type="dxa"/>
          </w:tcPr>
          <w:p w14:paraId="531BA3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666D07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7FD406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совместно с заводами</w:t>
            </w:r>
          </w:p>
        </w:tc>
        <w:tc>
          <w:tcPr>
            <w:tcW w:w="1408" w:type="dxa"/>
          </w:tcPr>
          <w:p w14:paraId="040931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1936 г.</w:t>
            </w:r>
          </w:p>
          <w:p w14:paraId="6FC03B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3CB3DE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М34 предъявл. к 1 марта 1936 г.</w:t>
            </w:r>
          </w:p>
        </w:tc>
      </w:tr>
      <w:tr w:rsidR="00E3599D" w:rsidRPr="00E14102" w14:paraId="76A6C6FF" w14:textId="77777777">
        <w:tc>
          <w:tcPr>
            <w:tcW w:w="2041" w:type="dxa"/>
          </w:tcPr>
          <w:p w14:paraId="0FCA10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Повышение высотности моторов М34 (турбокомпрессор)</w:t>
            </w:r>
          </w:p>
        </w:tc>
        <w:tc>
          <w:tcPr>
            <w:tcW w:w="1077" w:type="dxa"/>
          </w:tcPr>
          <w:p w14:paraId="55EA50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1916D0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8500</w:t>
            </w:r>
          </w:p>
        </w:tc>
        <w:tc>
          <w:tcPr>
            <w:tcW w:w="1077" w:type="dxa"/>
          </w:tcPr>
          <w:p w14:paraId="1B4B3E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3097BB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47FE54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030962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w:t>
            </w:r>
          </w:p>
        </w:tc>
        <w:tc>
          <w:tcPr>
            <w:tcW w:w="2325" w:type="dxa"/>
          </w:tcPr>
          <w:p w14:paraId="1A136F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на самолете</w:t>
            </w:r>
          </w:p>
        </w:tc>
      </w:tr>
      <w:tr w:rsidR="00E3599D" w:rsidRPr="00E14102" w14:paraId="36C6B074" w14:textId="77777777">
        <w:tc>
          <w:tcPr>
            <w:tcW w:w="2041" w:type="dxa"/>
          </w:tcPr>
          <w:p w14:paraId="772D15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Центральный наддув к самолету ТБ3</w:t>
            </w:r>
          </w:p>
        </w:tc>
        <w:tc>
          <w:tcPr>
            <w:tcW w:w="1077" w:type="dxa"/>
          </w:tcPr>
          <w:p w14:paraId="178C99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07D8ED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8000-9000</w:t>
            </w:r>
          </w:p>
        </w:tc>
        <w:tc>
          <w:tcPr>
            <w:tcW w:w="1077" w:type="dxa"/>
          </w:tcPr>
          <w:p w14:paraId="2828B0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3C16CA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515A1E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0963C8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w:t>
            </w:r>
          </w:p>
        </w:tc>
        <w:tc>
          <w:tcPr>
            <w:tcW w:w="2325" w:type="dxa"/>
          </w:tcPr>
          <w:p w14:paraId="53FD48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на самолете</w:t>
            </w:r>
          </w:p>
        </w:tc>
      </w:tr>
      <w:tr w:rsidR="00E3599D" w:rsidRPr="00E14102" w14:paraId="651C93D1" w14:textId="77777777">
        <w:tc>
          <w:tcPr>
            <w:tcW w:w="2041" w:type="dxa"/>
          </w:tcPr>
          <w:p w14:paraId="7F6C1E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Центральный наддув к самолету ТБ7</w:t>
            </w:r>
          </w:p>
        </w:tc>
        <w:tc>
          <w:tcPr>
            <w:tcW w:w="1077" w:type="dxa"/>
          </w:tcPr>
          <w:p w14:paraId="71D205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12AB2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8000-9000</w:t>
            </w:r>
          </w:p>
        </w:tc>
        <w:tc>
          <w:tcPr>
            <w:tcW w:w="1077" w:type="dxa"/>
          </w:tcPr>
          <w:p w14:paraId="7DFCBA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638588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14DFE6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с ЦАГИ</w:t>
            </w:r>
          </w:p>
        </w:tc>
        <w:tc>
          <w:tcPr>
            <w:tcW w:w="1408" w:type="dxa"/>
          </w:tcPr>
          <w:p w14:paraId="6CA3CE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w:t>
            </w:r>
          </w:p>
        </w:tc>
        <w:tc>
          <w:tcPr>
            <w:tcW w:w="2325" w:type="dxa"/>
          </w:tcPr>
          <w:p w14:paraId="63418F1F" w14:textId="77777777" w:rsidR="00D4105E" w:rsidRPr="00E14102" w:rsidRDefault="00D4105E" w:rsidP="00E14102">
            <w:pPr>
              <w:autoSpaceDE w:val="0"/>
              <w:autoSpaceDN w:val="0"/>
              <w:adjustRightInd w:val="0"/>
              <w:jc w:val="both"/>
              <w:rPr>
                <w:color w:val="000000" w:themeColor="text1"/>
                <w:sz w:val="16"/>
                <w:szCs w:val="16"/>
              </w:rPr>
            </w:pPr>
          </w:p>
        </w:tc>
      </w:tr>
    </w:tbl>
    <w:p w14:paraId="145FA6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(3574,87-88)</w:t>
      </w:r>
    </w:p>
    <w:p w14:paraId="349378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был подготовлен Перечень объектов, которые ГУАП предлагает снять с плана опытного строительства на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797"/>
        <w:gridCol w:w="797"/>
        <w:gridCol w:w="797"/>
        <w:gridCol w:w="797"/>
        <w:gridCol w:w="797"/>
        <w:gridCol w:w="797"/>
        <w:gridCol w:w="2448"/>
      </w:tblGrid>
      <w:tr w:rsidR="00E3599D" w:rsidRPr="00E14102" w14:paraId="1FEC0C51" w14:textId="77777777">
        <w:tc>
          <w:tcPr>
            <w:tcW w:w="3085" w:type="dxa"/>
            <w:tcBorders>
              <w:top w:val="single" w:sz="12" w:space="0" w:color="auto"/>
            </w:tcBorders>
          </w:tcPr>
          <w:p w14:paraId="1872C1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Сухопутные самолеты</w:t>
            </w:r>
          </w:p>
        </w:tc>
        <w:tc>
          <w:tcPr>
            <w:tcW w:w="797" w:type="dxa"/>
            <w:tcBorders>
              <w:top w:val="single" w:sz="12" w:space="0" w:color="auto"/>
            </w:tcBorders>
          </w:tcPr>
          <w:p w14:paraId="05707FFA"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top w:val="single" w:sz="12" w:space="0" w:color="auto"/>
            </w:tcBorders>
          </w:tcPr>
          <w:p w14:paraId="47EA4AF9"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top w:val="single" w:sz="12" w:space="0" w:color="auto"/>
            </w:tcBorders>
          </w:tcPr>
          <w:p w14:paraId="024B124B"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top w:val="single" w:sz="12" w:space="0" w:color="auto"/>
            </w:tcBorders>
          </w:tcPr>
          <w:p w14:paraId="150986F0"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top w:val="single" w:sz="12" w:space="0" w:color="auto"/>
            </w:tcBorders>
          </w:tcPr>
          <w:p w14:paraId="298A67CE"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top w:val="single" w:sz="12" w:space="0" w:color="auto"/>
            </w:tcBorders>
          </w:tcPr>
          <w:p w14:paraId="3DBD004F" w14:textId="77777777" w:rsidR="00D4105E" w:rsidRPr="00E14102" w:rsidRDefault="00D4105E" w:rsidP="00E14102">
            <w:pPr>
              <w:autoSpaceDE w:val="0"/>
              <w:autoSpaceDN w:val="0"/>
              <w:adjustRightInd w:val="0"/>
              <w:jc w:val="both"/>
              <w:rPr>
                <w:color w:val="000000" w:themeColor="text1"/>
                <w:sz w:val="16"/>
                <w:szCs w:val="16"/>
              </w:rPr>
            </w:pPr>
          </w:p>
        </w:tc>
        <w:tc>
          <w:tcPr>
            <w:tcW w:w="2448" w:type="dxa"/>
            <w:tcBorders>
              <w:top w:val="single" w:sz="12" w:space="0" w:color="auto"/>
            </w:tcBorders>
          </w:tcPr>
          <w:p w14:paraId="16C1B29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615044F" w14:textId="77777777">
        <w:tc>
          <w:tcPr>
            <w:tcW w:w="3085" w:type="dxa"/>
          </w:tcPr>
          <w:p w14:paraId="3DA136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Скоростной разведчик</w:t>
            </w:r>
          </w:p>
        </w:tc>
        <w:tc>
          <w:tcPr>
            <w:tcW w:w="797" w:type="dxa"/>
          </w:tcPr>
          <w:p w14:paraId="6CABF3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797" w:type="dxa"/>
          </w:tcPr>
          <w:p w14:paraId="1BB3AC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797" w:type="dxa"/>
          </w:tcPr>
          <w:p w14:paraId="56E6CB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797" w:type="dxa"/>
          </w:tcPr>
          <w:p w14:paraId="6F1569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797" w:type="dxa"/>
          </w:tcPr>
          <w:p w14:paraId="23824F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135</w:t>
            </w:r>
          </w:p>
        </w:tc>
        <w:tc>
          <w:tcPr>
            <w:tcW w:w="797" w:type="dxa"/>
          </w:tcPr>
          <w:p w14:paraId="592E18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448" w:type="dxa"/>
          </w:tcPr>
          <w:p w14:paraId="586497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Если Неман на 135</w:t>
            </w:r>
          </w:p>
        </w:tc>
      </w:tr>
      <w:tr w:rsidR="00E3599D" w:rsidRPr="00E14102" w14:paraId="169AC8D6" w14:textId="77777777">
        <w:tc>
          <w:tcPr>
            <w:tcW w:w="3085" w:type="dxa"/>
          </w:tcPr>
          <w:p w14:paraId="0F5319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Войсковой самолет (2-х местный) с М-34ФРН</w:t>
            </w:r>
          </w:p>
        </w:tc>
        <w:tc>
          <w:tcPr>
            <w:tcW w:w="797" w:type="dxa"/>
          </w:tcPr>
          <w:p w14:paraId="020147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3-5000</w:t>
            </w:r>
          </w:p>
        </w:tc>
        <w:tc>
          <w:tcPr>
            <w:tcW w:w="797" w:type="dxa"/>
          </w:tcPr>
          <w:p w14:paraId="06107D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350-400</w:t>
            </w:r>
          </w:p>
        </w:tc>
        <w:tc>
          <w:tcPr>
            <w:tcW w:w="797" w:type="dxa"/>
          </w:tcPr>
          <w:p w14:paraId="41AC14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89-90</w:t>
            </w:r>
          </w:p>
        </w:tc>
        <w:tc>
          <w:tcPr>
            <w:tcW w:w="797" w:type="dxa"/>
          </w:tcPr>
          <w:p w14:paraId="018B66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797" w:type="dxa"/>
          </w:tcPr>
          <w:p w14:paraId="5BE34B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797" w:type="dxa"/>
          </w:tcPr>
          <w:p w14:paraId="39E6FD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448" w:type="dxa"/>
          </w:tcPr>
          <w:p w14:paraId="6DA965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бриг. Кочеригина</w:t>
            </w:r>
          </w:p>
        </w:tc>
      </w:tr>
      <w:tr w:rsidR="00E3599D" w:rsidRPr="00E14102" w14:paraId="66B87288" w14:textId="77777777">
        <w:tc>
          <w:tcPr>
            <w:tcW w:w="3085" w:type="dxa"/>
          </w:tcPr>
          <w:p w14:paraId="4B1785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УТИ МГ-21 или МГ-31 учебно-тренировочный И</w:t>
            </w:r>
          </w:p>
        </w:tc>
        <w:tc>
          <w:tcPr>
            <w:tcW w:w="797" w:type="dxa"/>
          </w:tcPr>
          <w:p w14:paraId="6074A4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75DB51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79E4E0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5C79F2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4D56EB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797" w:type="dxa"/>
          </w:tcPr>
          <w:p w14:paraId="1A8B45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448" w:type="dxa"/>
          </w:tcPr>
          <w:p w14:paraId="6BEC63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по моторам</w:t>
            </w:r>
          </w:p>
        </w:tc>
      </w:tr>
      <w:tr w:rsidR="00E3599D" w:rsidRPr="00E14102" w14:paraId="235952C7" w14:textId="77777777">
        <w:tc>
          <w:tcPr>
            <w:tcW w:w="3085" w:type="dxa"/>
          </w:tcPr>
          <w:p w14:paraId="4D0EBC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УТИ МГ-21 или МГ-31 учебно-тренировочный И</w:t>
            </w:r>
          </w:p>
        </w:tc>
        <w:tc>
          <w:tcPr>
            <w:tcW w:w="797" w:type="dxa"/>
          </w:tcPr>
          <w:p w14:paraId="495B8B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580C34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674D2C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16A8AD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601FB3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КАИ</w:t>
            </w:r>
          </w:p>
        </w:tc>
        <w:tc>
          <w:tcPr>
            <w:tcW w:w="797" w:type="dxa"/>
          </w:tcPr>
          <w:p w14:paraId="3B368A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c>
          <w:tcPr>
            <w:tcW w:w="2448" w:type="dxa"/>
          </w:tcPr>
          <w:p w14:paraId="367E38E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7A24DD3" w14:textId="77777777">
        <w:tc>
          <w:tcPr>
            <w:tcW w:w="3085" w:type="dxa"/>
          </w:tcPr>
          <w:p w14:paraId="34C96E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Дальний морской разведчик МДР-6</w:t>
            </w:r>
          </w:p>
        </w:tc>
        <w:tc>
          <w:tcPr>
            <w:tcW w:w="797" w:type="dxa"/>
          </w:tcPr>
          <w:p w14:paraId="2EAEF4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797" w:type="dxa"/>
          </w:tcPr>
          <w:p w14:paraId="08E948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300-350</w:t>
            </w:r>
          </w:p>
        </w:tc>
        <w:tc>
          <w:tcPr>
            <w:tcW w:w="797" w:type="dxa"/>
          </w:tcPr>
          <w:p w14:paraId="7882B6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49A3D3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2CFBF0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797" w:type="dxa"/>
          </w:tcPr>
          <w:p w14:paraId="584E22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01.06.36</w:t>
            </w:r>
          </w:p>
        </w:tc>
        <w:tc>
          <w:tcPr>
            <w:tcW w:w="2448" w:type="dxa"/>
          </w:tcPr>
          <w:p w14:paraId="4887AA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Четвериков</w:t>
            </w:r>
          </w:p>
        </w:tc>
      </w:tr>
      <w:tr w:rsidR="00E3599D" w:rsidRPr="00E14102" w14:paraId="78FF8E8B" w14:textId="77777777">
        <w:tc>
          <w:tcPr>
            <w:tcW w:w="3085" w:type="dxa"/>
          </w:tcPr>
          <w:p w14:paraId="489067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АРК-3 для ГУГВФ</w:t>
            </w:r>
          </w:p>
        </w:tc>
        <w:tc>
          <w:tcPr>
            <w:tcW w:w="797" w:type="dxa"/>
          </w:tcPr>
          <w:p w14:paraId="66EED0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72D4BC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665BC9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6A3EF9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0CF01A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797" w:type="dxa"/>
          </w:tcPr>
          <w:p w14:paraId="723A69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c>
          <w:tcPr>
            <w:tcW w:w="2448" w:type="dxa"/>
          </w:tcPr>
          <w:p w14:paraId="45F8E8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Четвериков</w:t>
            </w:r>
          </w:p>
        </w:tc>
      </w:tr>
      <w:tr w:rsidR="00E3599D" w:rsidRPr="00E14102" w14:paraId="376044B5" w14:textId="77777777">
        <w:tc>
          <w:tcPr>
            <w:tcW w:w="3085" w:type="dxa"/>
          </w:tcPr>
          <w:p w14:paraId="7F0C52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ДКЛ 2МГ-31</w:t>
            </w:r>
          </w:p>
        </w:tc>
        <w:tc>
          <w:tcPr>
            <w:tcW w:w="797" w:type="dxa"/>
          </w:tcPr>
          <w:p w14:paraId="16BFF0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5C88CB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06FE0A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5AF30F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399B3F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КАИ</w:t>
            </w:r>
          </w:p>
        </w:tc>
        <w:tc>
          <w:tcPr>
            <w:tcW w:w="797" w:type="dxa"/>
          </w:tcPr>
          <w:p w14:paraId="13CF4E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 (2166,32)</w:t>
            </w:r>
          </w:p>
        </w:tc>
        <w:tc>
          <w:tcPr>
            <w:tcW w:w="2448" w:type="dxa"/>
          </w:tcPr>
          <w:p w14:paraId="130B664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7CCD52" w14:textId="77777777">
        <w:tc>
          <w:tcPr>
            <w:tcW w:w="3085" w:type="dxa"/>
          </w:tcPr>
          <w:p w14:paraId="033898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(дальний краевой</w:t>
            </w:r>
          </w:p>
        </w:tc>
        <w:tc>
          <w:tcPr>
            <w:tcW w:w="797" w:type="dxa"/>
          </w:tcPr>
          <w:p w14:paraId="2D2F7702"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Pr>
          <w:p w14:paraId="10F55A9A"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Pr>
          <w:p w14:paraId="2FA18C61"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Pr>
          <w:p w14:paraId="6393352F"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Pr>
          <w:p w14:paraId="216C4503"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Pr>
          <w:p w14:paraId="51A03E02" w14:textId="77777777" w:rsidR="00D4105E" w:rsidRPr="00E14102" w:rsidRDefault="00D4105E" w:rsidP="00E14102">
            <w:pPr>
              <w:autoSpaceDE w:val="0"/>
              <w:autoSpaceDN w:val="0"/>
              <w:adjustRightInd w:val="0"/>
              <w:jc w:val="both"/>
              <w:rPr>
                <w:color w:val="000000" w:themeColor="text1"/>
                <w:sz w:val="16"/>
                <w:szCs w:val="16"/>
              </w:rPr>
            </w:pPr>
          </w:p>
        </w:tc>
        <w:tc>
          <w:tcPr>
            <w:tcW w:w="2448" w:type="dxa"/>
          </w:tcPr>
          <w:p w14:paraId="0B77BC3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E2B4E0A" w14:textId="77777777">
        <w:tc>
          <w:tcPr>
            <w:tcW w:w="3085" w:type="dxa"/>
            <w:tcBorders>
              <w:bottom w:val="single" w:sz="12" w:space="0" w:color="auto"/>
            </w:tcBorders>
          </w:tcPr>
          <w:p w14:paraId="4DDD8A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линейный) (2066,413)</w:t>
            </w:r>
          </w:p>
        </w:tc>
        <w:tc>
          <w:tcPr>
            <w:tcW w:w="797" w:type="dxa"/>
            <w:tcBorders>
              <w:bottom w:val="single" w:sz="12" w:space="0" w:color="auto"/>
            </w:tcBorders>
          </w:tcPr>
          <w:p w14:paraId="47255CCF"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bottom w:val="single" w:sz="12" w:space="0" w:color="auto"/>
            </w:tcBorders>
          </w:tcPr>
          <w:p w14:paraId="7F665C31"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bottom w:val="single" w:sz="12" w:space="0" w:color="auto"/>
            </w:tcBorders>
          </w:tcPr>
          <w:p w14:paraId="14EBD2B1"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bottom w:val="single" w:sz="12" w:space="0" w:color="auto"/>
            </w:tcBorders>
          </w:tcPr>
          <w:p w14:paraId="35FE92C3"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bottom w:val="single" w:sz="12" w:space="0" w:color="auto"/>
            </w:tcBorders>
          </w:tcPr>
          <w:p w14:paraId="0251211B"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bottom w:val="single" w:sz="12" w:space="0" w:color="auto"/>
            </w:tcBorders>
          </w:tcPr>
          <w:p w14:paraId="7D6FA940" w14:textId="77777777" w:rsidR="00D4105E" w:rsidRPr="00E14102" w:rsidRDefault="00D4105E" w:rsidP="00E14102">
            <w:pPr>
              <w:autoSpaceDE w:val="0"/>
              <w:autoSpaceDN w:val="0"/>
              <w:adjustRightInd w:val="0"/>
              <w:jc w:val="both"/>
              <w:rPr>
                <w:color w:val="000000" w:themeColor="text1"/>
                <w:sz w:val="16"/>
                <w:szCs w:val="16"/>
              </w:rPr>
            </w:pPr>
          </w:p>
        </w:tc>
        <w:tc>
          <w:tcPr>
            <w:tcW w:w="2448" w:type="dxa"/>
            <w:tcBorders>
              <w:bottom w:val="single" w:sz="12" w:space="0" w:color="auto"/>
            </w:tcBorders>
          </w:tcPr>
          <w:p w14:paraId="3FBCEF0B" w14:textId="77777777" w:rsidR="00D4105E" w:rsidRPr="00E14102" w:rsidRDefault="00D4105E" w:rsidP="00E14102">
            <w:pPr>
              <w:autoSpaceDE w:val="0"/>
              <w:autoSpaceDN w:val="0"/>
              <w:adjustRightInd w:val="0"/>
              <w:jc w:val="both"/>
              <w:rPr>
                <w:color w:val="000000" w:themeColor="text1"/>
                <w:sz w:val="16"/>
                <w:szCs w:val="16"/>
              </w:rPr>
            </w:pPr>
          </w:p>
        </w:tc>
      </w:tr>
    </w:tbl>
    <w:p w14:paraId="6E5DB5B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C101BE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декабря 1935 года вышел Приказ НИИ ВС № 0609 О проведении тренировки по высотным полетам летчика-испытателя Степанченка В.А.</w:t>
      </w:r>
    </w:p>
    <w:p w14:paraId="310AFCE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Тренировку проводить на самолете И-15 РЦ-Ф3 и затем на И-15 РЦ-Ф-54 (6815, 205).</w:t>
      </w:r>
    </w:p>
    <w:p w14:paraId="0D9411A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4767D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вышел приказ Глававиапрома N 72/385:</w:t>
      </w:r>
    </w:p>
    <w:p w14:paraId="50A645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целях скорейшей ликвидации отставания в проектировании, постройке и серийном производстве вполне современных пассажирских и транспортных самолетов:</w:t>
      </w:r>
    </w:p>
    <w:p w14:paraId="15C39F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Организовать с 1 января 1936 на заводе 43 ОКБ по транспортному и пассажирскому самолетостроению.</w:t>
      </w:r>
    </w:p>
    <w:p w14:paraId="0CC13C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ГК и ТД назначить Таирова. Нач. ГУАП Королев (2170,116).</w:t>
      </w:r>
    </w:p>
    <w:p w14:paraId="6C4878E5" w14:textId="77777777" w:rsidR="00D4105E" w:rsidRPr="00E14102" w:rsidRDefault="00D4105E" w:rsidP="00E14102">
      <w:pPr>
        <w:autoSpaceDE w:val="0"/>
        <w:autoSpaceDN w:val="0"/>
        <w:adjustRightInd w:val="0"/>
        <w:jc w:val="both"/>
        <w:rPr>
          <w:color w:val="000000" w:themeColor="text1"/>
          <w:sz w:val="16"/>
          <w:szCs w:val="16"/>
        </w:rPr>
      </w:pPr>
    </w:p>
    <w:p w14:paraId="3352D3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Нач. ЦИАМ писал письмо N 1871/19а Нач. ГУАП Королеву:</w:t>
      </w:r>
    </w:p>
    <w:p w14:paraId="0B7ADF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решения Техсовета ГУАП подготовка ТБ-3 к установке централизованного наддува системы и Трескина должна проводиться заводом 22. До сего времени завод 22 не имеет распоряжения ГУАП по указанному вопросу. Просил принять во внимание правительственный срок начала летных испытаний 1 июня 1936...(2336,171).</w:t>
      </w:r>
    </w:p>
    <w:p w14:paraId="03ED4465" w14:textId="77777777" w:rsidR="00D4105E" w:rsidRPr="00E14102" w:rsidRDefault="00D4105E" w:rsidP="00E14102">
      <w:pPr>
        <w:autoSpaceDE w:val="0"/>
        <w:autoSpaceDN w:val="0"/>
        <w:adjustRightInd w:val="0"/>
        <w:jc w:val="both"/>
        <w:rPr>
          <w:color w:val="000000" w:themeColor="text1"/>
          <w:sz w:val="16"/>
          <w:szCs w:val="16"/>
        </w:rPr>
      </w:pPr>
    </w:p>
    <w:p w14:paraId="40657A22"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 декабря 1935 года был заключен договор с мытищинским Научно- исследовательским комбинатом искусственного волокна. По договору в течение пяти месяцев должно было быть изготовлено 300 м</w:t>
      </w:r>
      <w:r w:rsidRPr="00E14102">
        <w:rPr>
          <w:rFonts w:ascii="Times New Roman" w:hAnsi="Times New Roman" w:cs="Times New Roman"/>
          <w:iCs/>
          <w:color w:val="000000" w:themeColor="text1"/>
          <w:sz w:val="16"/>
          <w:szCs w:val="16"/>
          <w:lang w:val="ru-RU"/>
        </w:rPr>
        <w:t>;</w:t>
      </w:r>
      <w:r w:rsidRPr="00E14102">
        <w:rPr>
          <w:rFonts w:ascii="Times New Roman" w:hAnsi="Times New Roman" w:cs="Times New Roman"/>
          <w:color w:val="000000" w:themeColor="text1"/>
          <w:sz w:val="16"/>
          <w:szCs w:val="16"/>
          <w:lang w:val="ru-RU"/>
        </w:rPr>
        <w:t xml:space="preserve"> целлона, удовлетворяющего требованиям Козлова и изучен вопрос армирования его металлом (например, сеткой), что могло увеличить, правда, в ущерб прозрачности, прочность материала (12703).</w:t>
      </w:r>
    </w:p>
    <w:p w14:paraId="100B40F9"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p>
    <w:p w14:paraId="1AC843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1 декабря 1935 года изготовили еще два опытных мотора М-56. Во время заводских испытаний произошли две поломки коленчатого вала. В 1936 г. собрали еще три экземпляра М-56, в том числе один с модер</w:t>
      </w:r>
      <w:r w:rsidRPr="00E14102">
        <w:rPr>
          <w:color w:val="000000" w:themeColor="text1"/>
          <w:sz w:val="16"/>
          <w:szCs w:val="16"/>
        </w:rPr>
        <w:softHyphen/>
        <w:t>низированными головками цилиндров по типу М-87. Доводку М-56 вели до декабря 1937 г. К этому времени двигатель уже считался устаревшим. Надежность его по-прежнему оставалась недостаточной, цилиндры пере</w:t>
      </w:r>
      <w:r w:rsidRPr="00E14102">
        <w:rPr>
          <w:color w:val="000000" w:themeColor="text1"/>
          <w:sz w:val="16"/>
          <w:szCs w:val="16"/>
        </w:rPr>
        <w:softHyphen/>
        <w:t>гревались. Мотор исключили из плана ЦИАМ на 1938 г. Но Урмин добился взамен М-56 включения в план его модернизиро</w:t>
      </w:r>
      <w:r w:rsidRPr="00E14102">
        <w:rPr>
          <w:color w:val="000000" w:themeColor="text1"/>
          <w:sz w:val="16"/>
          <w:szCs w:val="16"/>
        </w:rPr>
        <w:softHyphen/>
        <w:t>ванного варианта МГМ, проект которого завершили в декабре 1937 г. Его форсировали по оборотам и наддуву с 700 л.с. до 850 л.с. Алюминиевый картер заменили стальным, усилили кривошипно-шатунный механизм, вве</w:t>
      </w:r>
      <w:r w:rsidRPr="00E14102">
        <w:rPr>
          <w:color w:val="000000" w:themeColor="text1"/>
          <w:sz w:val="16"/>
          <w:szCs w:val="16"/>
        </w:rPr>
        <w:softHyphen/>
        <w:t>ли разъем на коленвале (у М-56 был разъемный главный шатун). Цилин</w:t>
      </w:r>
      <w:r w:rsidRPr="00E14102">
        <w:rPr>
          <w:color w:val="000000" w:themeColor="text1"/>
          <w:sz w:val="16"/>
          <w:szCs w:val="16"/>
        </w:rPr>
        <w:softHyphen/>
        <w:t>дровую группу от М-56 сочетали с редуктором, задней крышкой картера и частично ПЦН от М-25. Испытания первого МГМ начали в ноябре 1938 г., но произошла авария с разрушением пяти поршней. Данные двигателя снять не смогли. Изготовили еще два МГМ со степенью сжатия 7,0 (у первого экзем</w:t>
      </w:r>
      <w:r w:rsidRPr="00E14102">
        <w:rPr>
          <w:color w:val="000000" w:themeColor="text1"/>
          <w:sz w:val="16"/>
          <w:szCs w:val="16"/>
        </w:rPr>
        <w:softHyphen/>
        <w:t>пляра было 6,5). В дальнейшем предполагалось использовать значительное число деталей и узлов от М-62 и М-63, в т.ч. двухскоростной ПЦН от М-62. Но МГМ не обещал существенных преимуществ по сравнению с уже серийным М-85 и гораздо лучше доведенным М-62. Работу по МГМ пре</w:t>
      </w:r>
      <w:r w:rsidRPr="00E14102">
        <w:rPr>
          <w:color w:val="000000" w:themeColor="text1"/>
          <w:sz w:val="16"/>
          <w:szCs w:val="16"/>
        </w:rPr>
        <w:softHyphen/>
        <w:t>кратили. Урмина направили в Запорожье, где он сменил С.К. Туманского на посту главного конструктора завода № 29. Там он занялся доводкой мотора М-88 и разработкой нового М-89.</w:t>
      </w:r>
    </w:p>
    <w:p w14:paraId="0FC07B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Характеристики:</w:t>
      </w:r>
    </w:p>
    <w:p w14:paraId="663D5FD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14-цшиндровый, двухрядный звездообразный, четырехтактный, воз</w:t>
      </w:r>
      <w:r w:rsidRPr="00E14102">
        <w:rPr>
          <w:color w:val="000000" w:themeColor="text1"/>
          <w:sz w:val="16"/>
          <w:szCs w:val="16"/>
        </w:rPr>
        <w:softHyphen/>
        <w:t>душного охлаждения;</w:t>
      </w:r>
    </w:p>
    <w:p w14:paraId="5B9284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редукторный;</w:t>
      </w:r>
    </w:p>
    <w:p w14:paraId="1EFED56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с односкоростным ПЦН;</w:t>
      </w:r>
    </w:p>
    <w:p w14:paraId="314D3A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мощность 700/700 л.с.;</w:t>
      </w:r>
    </w:p>
    <w:p w14:paraId="7AC5D8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диаметр цилиндра/ход поршня 130/135 мм;</w:t>
      </w:r>
    </w:p>
    <w:p w14:paraId="131865F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полный рабочий объем 25,1 л;</w:t>
      </w:r>
    </w:p>
    <w:p w14:paraId="2A0B602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степень сжатия 6,3 (11852).</w:t>
      </w:r>
    </w:p>
    <w:p w14:paraId="1174D2A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9C2D8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 декабря 1935 г. из 212 заказанных на 1935 г. пушек АПК-4 завод № 7 изготовил только 13 и ни одна из них не была принята заказчиком (12091).</w:t>
      </w:r>
    </w:p>
    <w:p w14:paraId="5303A216" w14:textId="77777777" w:rsidR="00D4105E" w:rsidRPr="00E14102" w:rsidRDefault="00D4105E" w:rsidP="00E14102">
      <w:pPr>
        <w:autoSpaceDE w:val="0"/>
        <w:autoSpaceDN w:val="0"/>
        <w:adjustRightInd w:val="0"/>
        <w:jc w:val="both"/>
        <w:rPr>
          <w:color w:val="000000" w:themeColor="text1"/>
          <w:sz w:val="16"/>
          <w:szCs w:val="16"/>
        </w:rPr>
      </w:pPr>
    </w:p>
    <w:p w14:paraId="4D6E04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На 1 декабря 1935 согласно Химупра: "Наша авиация с ее фактическим химическим вооружением может в течение одного года войны совершить нападение на противника с расходом свыше 40.000 т ОВ &lt;...&gt;". На тот момент советские ВВС имели на своем вооружении 90 000 химических авиабомб, а мобилизационные мощности промышленности были рассчитаны на выпуск в течение года 796 тысяч химических бомб. Наземные силы РККА в тот же период тоже обладали солидной </w:t>
      </w:r>
      <w:r w:rsidRPr="00E14102">
        <w:rPr>
          <w:color w:val="000000" w:themeColor="text1"/>
          <w:sz w:val="16"/>
          <w:szCs w:val="16"/>
        </w:rPr>
        <w:lastRenderedPageBreak/>
        <w:t>мощью: 826 000 химических снарядов (да еще мобмощностей на 3 299 000 снарядов с ОВ). Помимо этого на складах РККА находилось 160 000 химических мин к 107-мм минометам, 13 000 химических фугасов и 400 000 "шашек ядовитого дыма" (мобмощности: мины - 1 млн. 675 тысяч штук, химфугасы - 395 тысяч штук и шашки с ОВ - 3,5 млн.) (9633).</w:t>
      </w:r>
    </w:p>
    <w:p w14:paraId="10B457C7" w14:textId="77777777" w:rsidR="00D4105E" w:rsidRPr="00E14102" w:rsidRDefault="00D4105E" w:rsidP="00E14102">
      <w:pPr>
        <w:autoSpaceDE w:val="0"/>
        <w:autoSpaceDN w:val="0"/>
        <w:adjustRightInd w:val="0"/>
        <w:jc w:val="both"/>
        <w:rPr>
          <w:color w:val="000000" w:themeColor="text1"/>
          <w:sz w:val="16"/>
          <w:szCs w:val="16"/>
        </w:rPr>
      </w:pPr>
    </w:p>
    <w:p w14:paraId="7198251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74D4AFBC" w14:textId="77777777" w:rsidR="00D4105E" w:rsidRPr="00E14102" w:rsidRDefault="00D4105E" w:rsidP="00E14102">
      <w:pPr>
        <w:autoSpaceDE w:val="0"/>
        <w:autoSpaceDN w:val="0"/>
        <w:adjustRightInd w:val="0"/>
        <w:jc w:val="both"/>
        <w:rPr>
          <w:iCs/>
          <w:color w:val="000000" w:themeColor="text1"/>
          <w:sz w:val="16"/>
          <w:szCs w:val="16"/>
        </w:rPr>
      </w:pPr>
    </w:p>
    <w:p w14:paraId="1E66B6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1 декабря 1935 года в Красной Армии было: колесных боевых химических машин (БХМ) - 420 (мобмощности на 1.300), химтанков Т-26 - 530 (мобмощности - 1.000), 107-мм химических минометов - 600 (мобмощности - 5.900), носимых приборов заражения местности - 21.800 (мобмощности - 40.000). Основная масса химсредств и боевой техники химвойск сосредоточивалась в Белорусском, Киевском и Ленинградском военных округах, а также в Забайкалье (9633).</w:t>
      </w:r>
    </w:p>
    <w:p w14:paraId="6568F348" w14:textId="77777777" w:rsidR="00D4105E" w:rsidRPr="00E14102" w:rsidRDefault="00D4105E" w:rsidP="00E14102">
      <w:pPr>
        <w:autoSpaceDE w:val="0"/>
        <w:autoSpaceDN w:val="0"/>
        <w:adjustRightInd w:val="0"/>
        <w:jc w:val="both"/>
        <w:rPr>
          <w:color w:val="000000" w:themeColor="text1"/>
          <w:sz w:val="16"/>
          <w:szCs w:val="16"/>
        </w:rPr>
      </w:pPr>
    </w:p>
    <w:p w14:paraId="0649FDC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F9A89D9" w14:textId="77777777" w:rsidR="00D4105E" w:rsidRPr="00E14102" w:rsidRDefault="00D4105E" w:rsidP="00E14102">
      <w:pPr>
        <w:autoSpaceDE w:val="0"/>
        <w:autoSpaceDN w:val="0"/>
        <w:adjustRightInd w:val="0"/>
        <w:jc w:val="both"/>
        <w:rPr>
          <w:iCs/>
          <w:color w:val="000000" w:themeColor="text1"/>
          <w:sz w:val="16"/>
          <w:szCs w:val="16"/>
        </w:rPr>
      </w:pPr>
    </w:p>
    <w:p w14:paraId="46A724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 декабря 1935 на совещании комбайнеров И. Сталин заявил: “Сын за отца не отвечает” (4962).</w:t>
      </w:r>
    </w:p>
    <w:p w14:paraId="1535AD7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74CEB8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CF36098" w14:textId="77777777" w:rsidR="00D4105E" w:rsidRPr="00E14102" w:rsidRDefault="00D4105E" w:rsidP="00E14102">
      <w:pPr>
        <w:autoSpaceDE w:val="0"/>
        <w:autoSpaceDN w:val="0"/>
        <w:adjustRightInd w:val="0"/>
        <w:jc w:val="both"/>
        <w:rPr>
          <w:iCs/>
          <w:color w:val="000000" w:themeColor="text1"/>
          <w:sz w:val="16"/>
          <w:szCs w:val="16"/>
        </w:rPr>
      </w:pPr>
    </w:p>
    <w:p w14:paraId="4FCD91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Чан Кайши был избран президентом Китайского Гоминдановского правительства (3907,193).</w:t>
      </w:r>
    </w:p>
    <w:p w14:paraId="1C63B106" w14:textId="77777777" w:rsidR="00D4105E" w:rsidRPr="00E14102" w:rsidRDefault="00D4105E" w:rsidP="00E14102">
      <w:pPr>
        <w:autoSpaceDE w:val="0"/>
        <w:autoSpaceDN w:val="0"/>
        <w:adjustRightInd w:val="0"/>
        <w:jc w:val="both"/>
        <w:rPr>
          <w:color w:val="000000" w:themeColor="text1"/>
          <w:sz w:val="16"/>
          <w:szCs w:val="16"/>
        </w:rPr>
      </w:pPr>
    </w:p>
    <w:p w14:paraId="378B060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B73F683" w14:textId="77777777" w:rsidR="00D4105E" w:rsidRPr="00E14102" w:rsidRDefault="00D4105E" w:rsidP="00E14102">
      <w:pPr>
        <w:autoSpaceDE w:val="0"/>
        <w:autoSpaceDN w:val="0"/>
        <w:adjustRightInd w:val="0"/>
        <w:jc w:val="both"/>
        <w:rPr>
          <w:iCs/>
          <w:color w:val="000000" w:themeColor="text1"/>
          <w:sz w:val="16"/>
          <w:szCs w:val="16"/>
        </w:rPr>
      </w:pPr>
    </w:p>
    <w:p w14:paraId="5AC4FE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декабря 1935 года состоялся первый осмотр макета самолета АНТ-42 (ТБ-7) представителями ВВС (7685).</w:t>
      </w:r>
    </w:p>
    <w:p w14:paraId="527641D7" w14:textId="77777777" w:rsidR="00D4105E" w:rsidRPr="00E14102" w:rsidRDefault="00D4105E" w:rsidP="00E14102">
      <w:pPr>
        <w:autoSpaceDE w:val="0"/>
        <w:autoSpaceDN w:val="0"/>
        <w:adjustRightInd w:val="0"/>
        <w:jc w:val="both"/>
        <w:rPr>
          <w:color w:val="000000" w:themeColor="text1"/>
          <w:sz w:val="16"/>
          <w:szCs w:val="16"/>
        </w:rPr>
      </w:pPr>
    </w:p>
    <w:p w14:paraId="1DC8B5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декабря 1935 комиссия под руководством М.Н.Тухачевского смотрела макет ТБ-7 (АНТ-42) (80,330) и приняла его (1103,15).</w:t>
      </w:r>
    </w:p>
    <w:p w14:paraId="37E660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Интересно, что в это время постройка ТБ-7 (АНТ-42) уже была в самом разгаре. То есть данный этап был формальным.</w:t>
      </w:r>
    </w:p>
    <w:p w14:paraId="1C0A8F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почти одновременно с утверждением эскизного проекта был рассмотрен и одобрен деревянный макет АНТ-42 и после этого было принято окончательное решение о постройке АНТ-42 на опытном заводе ЗОК ЦАГИ (2122,6).</w:t>
      </w:r>
    </w:p>
    <w:p w14:paraId="5C2AF7F7" w14:textId="77777777" w:rsidR="00D4105E" w:rsidRPr="00E14102" w:rsidRDefault="00D4105E" w:rsidP="00E14102">
      <w:pPr>
        <w:autoSpaceDE w:val="0"/>
        <w:autoSpaceDN w:val="0"/>
        <w:adjustRightInd w:val="0"/>
        <w:jc w:val="both"/>
        <w:rPr>
          <w:color w:val="000000" w:themeColor="text1"/>
          <w:sz w:val="16"/>
          <w:szCs w:val="16"/>
        </w:rPr>
      </w:pPr>
    </w:p>
    <w:p w14:paraId="7777B1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декабря 1935 г. состоялся первый осмотр полноразмерного макета представителями ВВС. 14 декабря ЦАГИ направил в УВВС эскизный проект будущего ТБ-7. Фактически весь год прошёл в согласованиях и уточнениях, к постройке опытного образца не приступали. Даже работу, которую начали, пришлось приостановить из-за изменения чертежей и отсутствия стальных труб, не прибывших в срок (11996).</w:t>
      </w:r>
    </w:p>
    <w:p w14:paraId="45DC5FE7" w14:textId="77777777" w:rsidR="00D4105E" w:rsidRPr="00E14102" w:rsidRDefault="00D4105E" w:rsidP="00E14102">
      <w:pPr>
        <w:autoSpaceDE w:val="0"/>
        <w:autoSpaceDN w:val="0"/>
        <w:adjustRightInd w:val="0"/>
        <w:jc w:val="both"/>
        <w:rPr>
          <w:color w:val="000000" w:themeColor="text1"/>
          <w:sz w:val="16"/>
          <w:szCs w:val="16"/>
        </w:rPr>
      </w:pPr>
    </w:p>
    <w:p w14:paraId="32580B64" w14:textId="77777777" w:rsidR="000561E6" w:rsidRPr="00E14102" w:rsidRDefault="000561E6" w:rsidP="00E14102">
      <w:pPr>
        <w:pStyle w:val="rtejustify"/>
        <w:spacing w:before="0" w:after="0"/>
        <w:rPr>
          <w:color w:val="000000" w:themeColor="text1"/>
          <w:sz w:val="16"/>
          <w:szCs w:val="16"/>
        </w:rPr>
      </w:pPr>
      <w:r w:rsidRPr="00E14102">
        <w:rPr>
          <w:rStyle w:val="a6"/>
          <w:bCs/>
          <w:i w:val="0"/>
          <w:color w:val="000000" w:themeColor="text1"/>
          <w:sz w:val="16"/>
          <w:szCs w:val="16"/>
        </w:rPr>
        <w:t>2 декабря 1935 вышел приказ НКО №</w:t>
      </w:r>
      <w:r w:rsidRPr="00E14102">
        <w:rPr>
          <w:color w:val="000000" w:themeColor="text1"/>
          <w:sz w:val="16"/>
          <w:szCs w:val="16"/>
        </w:rPr>
        <w:t> 0232. О введении на снабжение самолета Р</w:t>
      </w:r>
      <w:r w:rsidRPr="00E14102">
        <w:rPr>
          <w:color w:val="000000" w:themeColor="text1"/>
          <w:sz w:val="16"/>
          <w:szCs w:val="16"/>
        </w:rPr>
        <w:noBreakHyphen/>
        <w:t>5</w:t>
      </w:r>
      <w:r w:rsidRPr="00E14102">
        <w:rPr>
          <w:color w:val="000000" w:themeColor="text1"/>
          <w:sz w:val="16"/>
          <w:szCs w:val="16"/>
        </w:rPr>
        <w:noBreakHyphen/>
        <w:t>Т</w:t>
      </w:r>
      <w:r w:rsidRPr="00E14102">
        <w:rPr>
          <w:color w:val="000000" w:themeColor="text1"/>
          <w:sz w:val="16"/>
          <w:szCs w:val="16"/>
        </w:rPr>
        <w:noBreakHyphen/>
        <w:t>М</w:t>
      </w:r>
      <w:r w:rsidRPr="00E14102">
        <w:rPr>
          <w:color w:val="000000" w:themeColor="text1"/>
          <w:sz w:val="16"/>
          <w:szCs w:val="16"/>
        </w:rPr>
        <w:noBreakHyphen/>
        <w:t>17 (15247).</w:t>
      </w:r>
    </w:p>
    <w:p w14:paraId="76B9D96F" w14:textId="77777777" w:rsidR="000561E6" w:rsidRPr="00E14102" w:rsidRDefault="000561E6" w:rsidP="00E14102">
      <w:pPr>
        <w:pStyle w:val="rtejustify"/>
        <w:spacing w:before="0" w:after="0"/>
        <w:rPr>
          <w:color w:val="000000" w:themeColor="text1"/>
          <w:sz w:val="16"/>
          <w:szCs w:val="16"/>
        </w:rPr>
      </w:pPr>
    </w:p>
    <w:p w14:paraId="52D77CEC" w14:textId="77777777" w:rsidR="000561E6" w:rsidRPr="00E14102" w:rsidRDefault="000561E6" w:rsidP="00E14102">
      <w:pPr>
        <w:pStyle w:val="rtejustify"/>
        <w:spacing w:before="0" w:after="0"/>
        <w:rPr>
          <w:color w:val="000000" w:themeColor="text1"/>
          <w:sz w:val="16"/>
          <w:szCs w:val="16"/>
        </w:rPr>
      </w:pPr>
      <w:r w:rsidRPr="00E14102">
        <w:rPr>
          <w:rStyle w:val="a6"/>
          <w:bCs/>
          <w:i w:val="0"/>
          <w:color w:val="000000" w:themeColor="text1"/>
          <w:sz w:val="16"/>
          <w:szCs w:val="16"/>
        </w:rPr>
        <w:t>2 декабря 1935 вышел приказ НКО №</w:t>
      </w:r>
      <w:r w:rsidRPr="00E14102">
        <w:rPr>
          <w:color w:val="000000" w:themeColor="text1"/>
          <w:sz w:val="16"/>
          <w:szCs w:val="16"/>
        </w:rPr>
        <w:t> 0233. О введении на снабжении ВС РККА легкого штурмовика ЛШ</w:t>
      </w:r>
      <w:r w:rsidRPr="00E14102">
        <w:rPr>
          <w:color w:val="000000" w:themeColor="text1"/>
          <w:sz w:val="16"/>
          <w:szCs w:val="16"/>
        </w:rPr>
        <w:noBreakHyphen/>
        <w:t>Р</w:t>
      </w:r>
      <w:r w:rsidRPr="00E14102">
        <w:rPr>
          <w:color w:val="000000" w:themeColor="text1"/>
          <w:sz w:val="16"/>
          <w:szCs w:val="16"/>
        </w:rPr>
        <w:noBreakHyphen/>
        <w:t>5 М</w:t>
      </w:r>
      <w:r w:rsidRPr="00E14102">
        <w:rPr>
          <w:color w:val="000000" w:themeColor="text1"/>
          <w:sz w:val="16"/>
          <w:szCs w:val="16"/>
        </w:rPr>
        <w:noBreakHyphen/>
        <w:t>17 с крыльевыми пулеметами ПВ</w:t>
      </w:r>
      <w:r w:rsidRPr="00E14102">
        <w:rPr>
          <w:color w:val="000000" w:themeColor="text1"/>
          <w:sz w:val="16"/>
          <w:szCs w:val="16"/>
        </w:rPr>
        <w:noBreakHyphen/>
        <w:t>1 и о прекращении производства его с 1936 г (15247).</w:t>
      </w:r>
    </w:p>
    <w:p w14:paraId="2FE03E7B" w14:textId="77777777" w:rsidR="000561E6" w:rsidRPr="00E14102" w:rsidRDefault="000561E6" w:rsidP="00E14102">
      <w:pPr>
        <w:pStyle w:val="rtejustify"/>
        <w:spacing w:before="0" w:after="0"/>
        <w:rPr>
          <w:color w:val="000000" w:themeColor="text1"/>
          <w:sz w:val="16"/>
          <w:szCs w:val="16"/>
        </w:rPr>
      </w:pPr>
    </w:p>
    <w:p w14:paraId="48C9B8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декабря 1935 Дир. завода 81 Кофман и Нач. ОСС Нуров писал письмо N 690с Нач. Аэрофлота (копия Нач. Самолетного отдела ГУАП) о том, что на состоявшейся 16 октября Гос. макетной комиссии под пред. Тухачевского по принятию макета Сталь 11 (Р-9) не было представителя Аэрофлота, вызванного письмом N 550с от 5 октября 1935. Просил срочно назначить макетную комиссию по приему и утверждению макета гражданского варианта Сталь 11... (2336,183).</w:t>
      </w:r>
    </w:p>
    <w:p w14:paraId="7DC601B9" w14:textId="77777777" w:rsidR="00D4105E" w:rsidRPr="00E14102" w:rsidRDefault="00D4105E" w:rsidP="00E14102">
      <w:pPr>
        <w:autoSpaceDE w:val="0"/>
        <w:autoSpaceDN w:val="0"/>
        <w:adjustRightInd w:val="0"/>
        <w:jc w:val="both"/>
        <w:rPr>
          <w:color w:val="000000" w:themeColor="text1"/>
          <w:sz w:val="16"/>
          <w:szCs w:val="16"/>
        </w:rPr>
      </w:pPr>
    </w:p>
    <w:p w14:paraId="303D17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декабря 1935 поступил проект Постановления СТО "Об опытном строительстве авиации" N 45сс (2166,29):</w:t>
      </w:r>
    </w:p>
    <w:p w14:paraId="32C269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675AB2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Утвердить план опытного строительства самолетов и моторов на 1936-1937 (см. приложение).</w:t>
      </w:r>
    </w:p>
    <w:p w14:paraId="1D7D07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Считать исключительно важной и первоочередной работой по этому плану конструирование, постройку, испытание и доводку до образца для серийного производства скоростных разведчиков и морских самолетов.</w:t>
      </w:r>
    </w:p>
    <w:p w14:paraId="608626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При конструировании опытных образцов самолетов и их усовершенствовании исходить из того, что самолет д.б. рассчитан на среднего л и на эксплуатацию с в полевых условиях.</w:t>
      </w:r>
    </w:p>
    <w:p w14:paraId="158741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Отметить, что авиадизель конструкции и Чаромского (ЦИАМ) АН-1 прошел гос. испытания и предложить НКТП (ГУАП) изготовить в 1936 опытную серию ад АН-1 в количестве 20 шт., устранив отдельные недочеты, обнаруженные при испытаниях 1-го мотора.</w:t>
      </w:r>
    </w:p>
    <w:p w14:paraId="00ED4B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целью проверки на самолете ад АН-1, обязать завод 18 к 1 мая 1936 установить АН-1 производства ЦИАМ на РД (военный вариант) и заводу 22 к 1 августа 1936 4 АН-1 производства завода 24 на одном из серийных ТБ-3.</w:t>
      </w:r>
    </w:p>
    <w:p w14:paraId="2A67E6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Заводу 24 передать на завод 22 не менее 5 АН-1 к 1 июня 1936.</w:t>
      </w:r>
    </w:p>
    <w:p w14:paraId="6F0AB7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Обязать НКТП рассмотреть строящиеся опытные образцы паровых турбин и ад (не вошедших в настоящий план) и доложить в месячный срок свои предложения.</w:t>
      </w:r>
    </w:p>
    <w:p w14:paraId="091C3D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НКТП в 2-х декадный срок представить СТО на утверждение спецификации моторов, самолетов, подлежащих закупке за границей в качестве образцов для изучения и одновременно представить план финансирования, обеспечивающий выполнение плана опытных работ.</w:t>
      </w:r>
    </w:p>
    <w:p w14:paraId="1B714C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НКТП на основе научной проверки и широких летных исследований разработать и внести к 1 сентября 1936 в СТО новые нормы прочности на 1937.</w:t>
      </w:r>
    </w:p>
    <w:p w14:paraId="6487BF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НКТП разработать и внести в СТО к 1 марта 1936 типовые установки для производства статических и динамических (вибрационных) испытаний: в течение 1936 и 1937 построить и оборудовать в ЦИАМе динамическую лабораторию для исследования материалов и деталей моторов в условиях динамической нагрузки.</w:t>
      </w:r>
    </w:p>
    <w:p w14:paraId="46DB68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Придавая особую важность переходу на винты с регулируемым в полете шагом:</w:t>
      </w:r>
    </w:p>
    <w:p w14:paraId="6A3E27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Предложить НКТП (ГУАП - Королеву) представить на гос. испытания:</w:t>
      </w:r>
    </w:p>
    <w:p w14:paraId="6D8F49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ВРШ-2 завода 28 для применения на И-16 М-25, ИП-1 М-25, ДИ-6 М-25 к 26 декабря 1936</w:t>
      </w:r>
    </w:p>
    <w:p w14:paraId="2CF265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ВРШ-3 ЦИАМ для применения на ТБ-3 4М-34РН, ДБ-4 М-34РН</w:t>
      </w:r>
    </w:p>
    <w:p w14:paraId="6A23D1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ВРШ ЦАГИ для СБ 2М-100 к 1 марта 1936</w:t>
      </w:r>
    </w:p>
    <w:p w14:paraId="7B1A6F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Обязать ОВИ НКО представить на гос. испытания винт КБ 2 для Р-Зет М-34Н к 5 декабря 1935 и винт МБР-2 М-34 к 1 января 1936.</w:t>
      </w:r>
    </w:p>
    <w:p w14:paraId="40448C8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Начальнику ГУАП т. КОРОЛЕВУ обеспечить установку указанных выше винтов для государственных испытаний на самолетах не позднее чем через 2 месяца после удовлетворительного окончания госиспытаний на станке,</w:t>
      </w:r>
    </w:p>
    <w:p w14:paraId="20CFB7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НАРКОМТЯЖПРОМ /ГУАП т.Королеву/ организовать производство ВРШ по образцам, которые прошли государственные питания и утверждены для  серийной постройки. По утвержденным типам винтов вести в 1936 г.  производство с  таким расчетом, чтобы со 2-го полугодия они были внедрены в производство крупными сериями, а с 1937 г.  все самолеты под этот винт и мотор были бы снабжены винтами регулируемыми в полете шага.</w:t>
      </w:r>
    </w:p>
    <w:p w14:paraId="5BCA82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Учебные самолеты винтами ВРШ не снабжать.</w:t>
      </w:r>
    </w:p>
    <w:p w14:paraId="02F657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НКВТ (т. Розенгольц) совместно с Нач. ГУАП Королевым заказать американской фирме Гамильтон-Стандарт 15 ВРШ по нашим тех. требованиям для ТБ-3 4М-34РН, СБ 2М-100, Рзет М-34Н. И-16 М-25 и выяснить условия покупки техпомощи на указанные выше винты, доложив о результатах СТО на позже 1 января 1936." (2166,29).</w:t>
      </w:r>
    </w:p>
    <w:p w14:paraId="3F8CC5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был подготовлен План опытного строительства самолетов на 1936-1937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702"/>
        <w:gridCol w:w="999"/>
        <w:gridCol w:w="992"/>
        <w:gridCol w:w="628"/>
        <w:gridCol w:w="628"/>
        <w:gridCol w:w="1154"/>
        <w:gridCol w:w="2550"/>
      </w:tblGrid>
      <w:tr w:rsidR="00E3599D" w:rsidRPr="00E14102" w14:paraId="60E813D9" w14:textId="77777777">
        <w:tc>
          <w:tcPr>
            <w:tcW w:w="2660" w:type="dxa"/>
            <w:tcBorders>
              <w:top w:val="single" w:sz="12" w:space="0" w:color="auto"/>
            </w:tcBorders>
          </w:tcPr>
          <w:p w14:paraId="1681D6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N и Военное назначение самолета</w:t>
            </w:r>
          </w:p>
        </w:tc>
        <w:tc>
          <w:tcPr>
            <w:tcW w:w="702" w:type="dxa"/>
            <w:tcBorders>
              <w:top w:val="single" w:sz="12" w:space="0" w:color="auto"/>
            </w:tcBorders>
          </w:tcPr>
          <w:p w14:paraId="0DFCDE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Боевая</w:t>
            </w:r>
          </w:p>
        </w:tc>
        <w:tc>
          <w:tcPr>
            <w:tcW w:w="999" w:type="dxa"/>
            <w:tcBorders>
              <w:top w:val="single" w:sz="12" w:space="0" w:color="auto"/>
            </w:tcBorders>
          </w:tcPr>
          <w:p w14:paraId="38F1B0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w:t>
            </w:r>
          </w:p>
        </w:tc>
        <w:tc>
          <w:tcPr>
            <w:tcW w:w="992" w:type="dxa"/>
            <w:tcBorders>
              <w:top w:val="single" w:sz="12" w:space="0" w:color="auto"/>
            </w:tcBorders>
          </w:tcPr>
          <w:p w14:paraId="2B1CF2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w:t>
            </w:r>
          </w:p>
        </w:tc>
        <w:tc>
          <w:tcPr>
            <w:tcW w:w="628" w:type="dxa"/>
            <w:tcBorders>
              <w:top w:val="single" w:sz="12" w:space="0" w:color="auto"/>
            </w:tcBorders>
          </w:tcPr>
          <w:p w14:paraId="10A21E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w:t>
            </w:r>
          </w:p>
        </w:tc>
        <w:tc>
          <w:tcPr>
            <w:tcW w:w="628" w:type="dxa"/>
            <w:tcBorders>
              <w:top w:val="single" w:sz="12" w:space="0" w:color="auto"/>
            </w:tcBorders>
          </w:tcPr>
          <w:p w14:paraId="3686C7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Строй.</w:t>
            </w:r>
          </w:p>
        </w:tc>
        <w:tc>
          <w:tcPr>
            <w:tcW w:w="1154" w:type="dxa"/>
            <w:tcBorders>
              <w:top w:val="single" w:sz="12" w:space="0" w:color="auto"/>
            </w:tcBorders>
          </w:tcPr>
          <w:p w14:paraId="6B8EEB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w:t>
            </w:r>
          </w:p>
        </w:tc>
        <w:tc>
          <w:tcPr>
            <w:tcW w:w="2550" w:type="dxa"/>
            <w:tcBorders>
              <w:top w:val="single" w:sz="12" w:space="0" w:color="auto"/>
            </w:tcBorders>
          </w:tcPr>
          <w:p w14:paraId="64DF2D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0133DA3E" w14:textId="77777777">
        <w:tc>
          <w:tcPr>
            <w:tcW w:w="2660" w:type="dxa"/>
          </w:tcPr>
          <w:p w14:paraId="424E490B" w14:textId="77777777" w:rsidR="00D4105E" w:rsidRPr="00E14102" w:rsidRDefault="00D4105E" w:rsidP="00E14102">
            <w:pPr>
              <w:autoSpaceDE w:val="0"/>
              <w:autoSpaceDN w:val="0"/>
              <w:adjustRightInd w:val="0"/>
              <w:jc w:val="both"/>
              <w:rPr>
                <w:color w:val="000000" w:themeColor="text1"/>
                <w:sz w:val="16"/>
                <w:szCs w:val="16"/>
              </w:rPr>
            </w:pPr>
          </w:p>
        </w:tc>
        <w:tc>
          <w:tcPr>
            <w:tcW w:w="702" w:type="dxa"/>
          </w:tcPr>
          <w:p w14:paraId="505503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w:t>
            </w:r>
          </w:p>
        </w:tc>
        <w:tc>
          <w:tcPr>
            <w:tcW w:w="999" w:type="dxa"/>
          </w:tcPr>
          <w:p w14:paraId="686DDA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высоте</w:t>
            </w:r>
          </w:p>
        </w:tc>
        <w:tc>
          <w:tcPr>
            <w:tcW w:w="992" w:type="dxa"/>
          </w:tcPr>
          <w:p w14:paraId="595111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w:t>
            </w:r>
          </w:p>
        </w:tc>
        <w:tc>
          <w:tcPr>
            <w:tcW w:w="628" w:type="dxa"/>
          </w:tcPr>
          <w:p w14:paraId="16093FBA"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7BDE88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w:t>
            </w:r>
          </w:p>
        </w:tc>
        <w:tc>
          <w:tcPr>
            <w:tcW w:w="1154" w:type="dxa"/>
          </w:tcPr>
          <w:p w14:paraId="23155C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ГИ</w:t>
            </w:r>
          </w:p>
        </w:tc>
        <w:tc>
          <w:tcPr>
            <w:tcW w:w="2550" w:type="dxa"/>
          </w:tcPr>
          <w:p w14:paraId="059D5E3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8318806" w14:textId="77777777">
        <w:tc>
          <w:tcPr>
            <w:tcW w:w="2660" w:type="dxa"/>
          </w:tcPr>
          <w:p w14:paraId="3D483E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Сухопутные самолеты</w:t>
            </w:r>
          </w:p>
        </w:tc>
        <w:tc>
          <w:tcPr>
            <w:tcW w:w="702" w:type="dxa"/>
          </w:tcPr>
          <w:p w14:paraId="179F6812" w14:textId="77777777" w:rsidR="00D4105E" w:rsidRPr="00E14102" w:rsidRDefault="00D4105E" w:rsidP="00E14102">
            <w:pPr>
              <w:autoSpaceDE w:val="0"/>
              <w:autoSpaceDN w:val="0"/>
              <w:adjustRightInd w:val="0"/>
              <w:jc w:val="both"/>
              <w:rPr>
                <w:color w:val="000000" w:themeColor="text1"/>
                <w:sz w:val="16"/>
                <w:szCs w:val="16"/>
              </w:rPr>
            </w:pPr>
          </w:p>
        </w:tc>
        <w:tc>
          <w:tcPr>
            <w:tcW w:w="999" w:type="dxa"/>
          </w:tcPr>
          <w:p w14:paraId="59682EB0"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0CD3FFF7"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3C0F5B08"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34241381" w14:textId="77777777" w:rsidR="00D4105E" w:rsidRPr="00E14102" w:rsidRDefault="00D4105E" w:rsidP="00E14102">
            <w:pPr>
              <w:autoSpaceDE w:val="0"/>
              <w:autoSpaceDN w:val="0"/>
              <w:adjustRightInd w:val="0"/>
              <w:jc w:val="both"/>
              <w:rPr>
                <w:color w:val="000000" w:themeColor="text1"/>
                <w:sz w:val="16"/>
                <w:szCs w:val="16"/>
              </w:rPr>
            </w:pPr>
          </w:p>
        </w:tc>
        <w:tc>
          <w:tcPr>
            <w:tcW w:w="1154" w:type="dxa"/>
          </w:tcPr>
          <w:p w14:paraId="670D0E48" w14:textId="77777777" w:rsidR="00D4105E" w:rsidRPr="00E14102" w:rsidRDefault="00D4105E" w:rsidP="00E14102">
            <w:pPr>
              <w:autoSpaceDE w:val="0"/>
              <w:autoSpaceDN w:val="0"/>
              <w:adjustRightInd w:val="0"/>
              <w:jc w:val="both"/>
              <w:rPr>
                <w:color w:val="000000" w:themeColor="text1"/>
                <w:sz w:val="16"/>
                <w:szCs w:val="16"/>
              </w:rPr>
            </w:pPr>
          </w:p>
        </w:tc>
        <w:tc>
          <w:tcPr>
            <w:tcW w:w="2550" w:type="dxa"/>
          </w:tcPr>
          <w:p w14:paraId="7AE9D8D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CE2588C" w14:textId="77777777">
        <w:tc>
          <w:tcPr>
            <w:tcW w:w="2660" w:type="dxa"/>
          </w:tcPr>
          <w:p w14:paraId="1F3C44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Одноместный истребитель И-17 М-100</w:t>
            </w:r>
          </w:p>
        </w:tc>
        <w:tc>
          <w:tcPr>
            <w:tcW w:w="702" w:type="dxa"/>
          </w:tcPr>
          <w:p w14:paraId="6610E8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31C510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992" w:type="dxa"/>
          </w:tcPr>
          <w:p w14:paraId="701921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628" w:type="dxa"/>
          </w:tcPr>
          <w:p w14:paraId="0F33A0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4AA9C9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1154" w:type="dxa"/>
          </w:tcPr>
          <w:p w14:paraId="6EB07D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01.06.36</w:t>
            </w:r>
          </w:p>
        </w:tc>
        <w:tc>
          <w:tcPr>
            <w:tcW w:w="2550" w:type="dxa"/>
          </w:tcPr>
          <w:p w14:paraId="03D3BC1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ECC5AE2" w14:textId="77777777">
        <w:tc>
          <w:tcPr>
            <w:tcW w:w="2660" w:type="dxa"/>
          </w:tcPr>
          <w:p w14:paraId="426BEF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Одноместный истребитель И-18 М-100 с пушкой</w:t>
            </w:r>
          </w:p>
        </w:tc>
        <w:tc>
          <w:tcPr>
            <w:tcW w:w="702" w:type="dxa"/>
          </w:tcPr>
          <w:p w14:paraId="41D164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190BC3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992" w:type="dxa"/>
          </w:tcPr>
          <w:p w14:paraId="735AC1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628" w:type="dxa"/>
          </w:tcPr>
          <w:p w14:paraId="7BB9A4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1BE572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1154" w:type="dxa"/>
          </w:tcPr>
          <w:p w14:paraId="4C5B7D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01.06.36</w:t>
            </w:r>
          </w:p>
        </w:tc>
        <w:tc>
          <w:tcPr>
            <w:tcW w:w="2550" w:type="dxa"/>
          </w:tcPr>
          <w:p w14:paraId="6CEF2E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Модиф. И-17 М-100</w:t>
            </w:r>
          </w:p>
        </w:tc>
      </w:tr>
      <w:tr w:rsidR="00E3599D" w:rsidRPr="00E14102" w14:paraId="54DC64E1" w14:textId="77777777">
        <w:tc>
          <w:tcPr>
            <w:tcW w:w="2660" w:type="dxa"/>
          </w:tcPr>
          <w:p w14:paraId="70C749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3. Одноместный истребитель И-19 М-34ФН</w:t>
            </w:r>
          </w:p>
        </w:tc>
        <w:tc>
          <w:tcPr>
            <w:tcW w:w="702" w:type="dxa"/>
          </w:tcPr>
          <w:p w14:paraId="28588C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680D23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550-600</w:t>
            </w:r>
          </w:p>
        </w:tc>
        <w:tc>
          <w:tcPr>
            <w:tcW w:w="992" w:type="dxa"/>
          </w:tcPr>
          <w:p w14:paraId="5B199D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628" w:type="dxa"/>
          </w:tcPr>
          <w:p w14:paraId="00B4A5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2D3697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1154" w:type="dxa"/>
          </w:tcPr>
          <w:p w14:paraId="22676D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50" w:type="dxa"/>
          </w:tcPr>
          <w:p w14:paraId="74EA200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7B25803" w14:textId="77777777">
        <w:tc>
          <w:tcPr>
            <w:tcW w:w="2660" w:type="dxa"/>
          </w:tcPr>
          <w:p w14:paraId="2616FF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Одноместный истребитель пушечный с М-100</w:t>
            </w:r>
          </w:p>
        </w:tc>
        <w:tc>
          <w:tcPr>
            <w:tcW w:w="702" w:type="dxa"/>
          </w:tcPr>
          <w:p w14:paraId="5B4F03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01575C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500-550</w:t>
            </w:r>
          </w:p>
        </w:tc>
        <w:tc>
          <w:tcPr>
            <w:tcW w:w="992" w:type="dxa"/>
          </w:tcPr>
          <w:p w14:paraId="0F831D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628" w:type="dxa"/>
          </w:tcPr>
          <w:p w14:paraId="3405AF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592922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154" w:type="dxa"/>
          </w:tcPr>
          <w:p w14:paraId="1A1724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01.08.36</w:t>
            </w:r>
          </w:p>
        </w:tc>
        <w:tc>
          <w:tcPr>
            <w:tcW w:w="2550" w:type="dxa"/>
          </w:tcPr>
          <w:p w14:paraId="04F28A5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97A987C" w14:textId="77777777">
        <w:tc>
          <w:tcPr>
            <w:tcW w:w="2660" w:type="dxa"/>
          </w:tcPr>
          <w:p w14:paraId="3FE769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Одноместный истребитель пушечный с М-34ФН</w:t>
            </w:r>
          </w:p>
        </w:tc>
        <w:tc>
          <w:tcPr>
            <w:tcW w:w="702" w:type="dxa"/>
          </w:tcPr>
          <w:p w14:paraId="2BC9D0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785FA6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992" w:type="dxa"/>
          </w:tcPr>
          <w:p w14:paraId="087AB7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628" w:type="dxa"/>
          </w:tcPr>
          <w:p w14:paraId="66DABA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700/1000</w:t>
            </w:r>
          </w:p>
        </w:tc>
        <w:tc>
          <w:tcPr>
            <w:tcW w:w="628" w:type="dxa"/>
          </w:tcPr>
          <w:p w14:paraId="70323A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1154" w:type="dxa"/>
          </w:tcPr>
          <w:p w14:paraId="51F998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01.08.36</w:t>
            </w:r>
          </w:p>
        </w:tc>
        <w:tc>
          <w:tcPr>
            <w:tcW w:w="2550" w:type="dxa"/>
          </w:tcPr>
          <w:p w14:paraId="6F6BE6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3000 м</w:t>
            </w:r>
          </w:p>
        </w:tc>
      </w:tr>
      <w:tr w:rsidR="00E3599D" w:rsidRPr="00E14102" w14:paraId="74ECA747" w14:textId="77777777">
        <w:tc>
          <w:tcPr>
            <w:tcW w:w="2660" w:type="dxa"/>
          </w:tcPr>
          <w:p w14:paraId="0F388E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Одноместный истребитель</w:t>
            </w:r>
          </w:p>
        </w:tc>
        <w:tc>
          <w:tcPr>
            <w:tcW w:w="702" w:type="dxa"/>
          </w:tcPr>
          <w:p w14:paraId="07B84E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44AA7F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500-550</w:t>
            </w:r>
          </w:p>
        </w:tc>
        <w:tc>
          <w:tcPr>
            <w:tcW w:w="992" w:type="dxa"/>
          </w:tcPr>
          <w:p w14:paraId="5BFC13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628" w:type="dxa"/>
          </w:tcPr>
          <w:p w14:paraId="7085F1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5DA16F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1154" w:type="dxa"/>
          </w:tcPr>
          <w:p w14:paraId="154C91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01.08.36</w:t>
            </w:r>
          </w:p>
        </w:tc>
        <w:tc>
          <w:tcPr>
            <w:tcW w:w="2550" w:type="dxa"/>
          </w:tcPr>
          <w:p w14:paraId="35861BF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2E5AE0F" w14:textId="77777777">
        <w:tc>
          <w:tcPr>
            <w:tcW w:w="2660" w:type="dxa"/>
          </w:tcPr>
          <w:p w14:paraId="35DA3D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Многоместный истребитель 2М-85</w:t>
            </w:r>
          </w:p>
        </w:tc>
        <w:tc>
          <w:tcPr>
            <w:tcW w:w="702" w:type="dxa"/>
          </w:tcPr>
          <w:p w14:paraId="1088DB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6D5FF0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375</w:t>
            </w:r>
          </w:p>
        </w:tc>
        <w:tc>
          <w:tcPr>
            <w:tcW w:w="992" w:type="dxa"/>
          </w:tcPr>
          <w:p w14:paraId="14A9E0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54186D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821E7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57AEF5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01.04.36</w:t>
            </w:r>
          </w:p>
        </w:tc>
        <w:tc>
          <w:tcPr>
            <w:tcW w:w="2550" w:type="dxa"/>
          </w:tcPr>
          <w:p w14:paraId="6E1F53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ДИ-8 по стар. плану</w:t>
            </w:r>
          </w:p>
        </w:tc>
      </w:tr>
      <w:tr w:rsidR="00E3599D" w:rsidRPr="00E14102" w14:paraId="5F9DB0BA" w14:textId="77777777">
        <w:tc>
          <w:tcPr>
            <w:tcW w:w="2660" w:type="dxa"/>
          </w:tcPr>
          <w:p w14:paraId="005342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Скоростной разведчик Р-9 М-85</w:t>
            </w:r>
          </w:p>
        </w:tc>
        <w:tc>
          <w:tcPr>
            <w:tcW w:w="702" w:type="dxa"/>
          </w:tcPr>
          <w:p w14:paraId="152172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3F2177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992" w:type="dxa"/>
          </w:tcPr>
          <w:p w14:paraId="01DF23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628" w:type="dxa"/>
          </w:tcPr>
          <w:p w14:paraId="68539D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6ABFC3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1154" w:type="dxa"/>
          </w:tcPr>
          <w:p w14:paraId="59B40F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01.03.36</w:t>
            </w:r>
          </w:p>
        </w:tc>
        <w:tc>
          <w:tcPr>
            <w:tcW w:w="2550" w:type="dxa"/>
          </w:tcPr>
          <w:p w14:paraId="6BD4D93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123F7BB" w14:textId="77777777">
        <w:tc>
          <w:tcPr>
            <w:tcW w:w="2660" w:type="dxa"/>
          </w:tcPr>
          <w:p w14:paraId="3F91AD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Скоростной разведчик</w:t>
            </w:r>
          </w:p>
        </w:tc>
        <w:tc>
          <w:tcPr>
            <w:tcW w:w="702" w:type="dxa"/>
          </w:tcPr>
          <w:p w14:paraId="52C3AB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379012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992" w:type="dxa"/>
          </w:tcPr>
          <w:p w14:paraId="2D34BE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628" w:type="dxa"/>
          </w:tcPr>
          <w:p w14:paraId="5B79A7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65280F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135</w:t>
            </w:r>
          </w:p>
        </w:tc>
        <w:tc>
          <w:tcPr>
            <w:tcW w:w="1154" w:type="dxa"/>
          </w:tcPr>
          <w:p w14:paraId="4CF26C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50" w:type="dxa"/>
          </w:tcPr>
          <w:p w14:paraId="0B37A7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Если Неман на 135</w:t>
            </w:r>
          </w:p>
        </w:tc>
      </w:tr>
      <w:tr w:rsidR="00E3599D" w:rsidRPr="00E14102" w14:paraId="71F2F293" w14:textId="77777777">
        <w:tc>
          <w:tcPr>
            <w:tcW w:w="2660" w:type="dxa"/>
          </w:tcPr>
          <w:p w14:paraId="0BE3B8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Скоростной разведчик</w:t>
            </w:r>
          </w:p>
        </w:tc>
        <w:tc>
          <w:tcPr>
            <w:tcW w:w="702" w:type="dxa"/>
          </w:tcPr>
          <w:p w14:paraId="3A2A9C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0FB976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992" w:type="dxa"/>
          </w:tcPr>
          <w:p w14:paraId="591451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628" w:type="dxa"/>
          </w:tcPr>
          <w:p w14:paraId="7B9951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43E568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154" w:type="dxa"/>
          </w:tcPr>
          <w:p w14:paraId="52DA02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01.11.36</w:t>
            </w:r>
          </w:p>
        </w:tc>
        <w:tc>
          <w:tcPr>
            <w:tcW w:w="2550" w:type="dxa"/>
          </w:tcPr>
          <w:p w14:paraId="10B103F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4DD239C" w14:textId="77777777">
        <w:tc>
          <w:tcPr>
            <w:tcW w:w="2660" w:type="dxa"/>
          </w:tcPr>
          <w:p w14:paraId="1050E0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Дальний разведчик 2М-100</w:t>
            </w:r>
          </w:p>
        </w:tc>
        <w:tc>
          <w:tcPr>
            <w:tcW w:w="702" w:type="dxa"/>
          </w:tcPr>
          <w:p w14:paraId="09B996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2FDD21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405-430</w:t>
            </w:r>
          </w:p>
        </w:tc>
        <w:tc>
          <w:tcPr>
            <w:tcW w:w="992" w:type="dxa"/>
          </w:tcPr>
          <w:p w14:paraId="5167AC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15C95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1500/3</w:t>
            </w:r>
          </w:p>
        </w:tc>
        <w:tc>
          <w:tcPr>
            <w:tcW w:w="628" w:type="dxa"/>
          </w:tcPr>
          <w:p w14:paraId="27CD16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01D62C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01.10.36</w:t>
            </w:r>
          </w:p>
        </w:tc>
        <w:tc>
          <w:tcPr>
            <w:tcW w:w="2550" w:type="dxa"/>
          </w:tcPr>
          <w:p w14:paraId="107DCA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Модификация СБ</w:t>
            </w:r>
          </w:p>
        </w:tc>
      </w:tr>
      <w:tr w:rsidR="00E3599D" w:rsidRPr="00E14102" w14:paraId="0E137B93" w14:textId="77777777">
        <w:tc>
          <w:tcPr>
            <w:tcW w:w="2660" w:type="dxa"/>
          </w:tcPr>
          <w:p w14:paraId="72ABEA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БДД (ТБ-7 4М-34) с центр. Наддувом</w:t>
            </w:r>
          </w:p>
        </w:tc>
        <w:tc>
          <w:tcPr>
            <w:tcW w:w="702" w:type="dxa"/>
          </w:tcPr>
          <w:p w14:paraId="4851AC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8-9000</w:t>
            </w:r>
          </w:p>
        </w:tc>
        <w:tc>
          <w:tcPr>
            <w:tcW w:w="999" w:type="dxa"/>
          </w:tcPr>
          <w:p w14:paraId="004B6B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992" w:type="dxa"/>
          </w:tcPr>
          <w:p w14:paraId="687A08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628" w:type="dxa"/>
          </w:tcPr>
          <w:p w14:paraId="2C985C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1500/4</w:t>
            </w:r>
          </w:p>
        </w:tc>
        <w:tc>
          <w:tcPr>
            <w:tcW w:w="628" w:type="dxa"/>
          </w:tcPr>
          <w:p w14:paraId="6C16CF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4225FE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50" w:type="dxa"/>
          </w:tcPr>
          <w:p w14:paraId="469646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Совм. испытания</w:t>
            </w:r>
          </w:p>
        </w:tc>
      </w:tr>
      <w:tr w:rsidR="00E3599D" w:rsidRPr="00E14102" w14:paraId="4C5F403E" w14:textId="77777777">
        <w:tc>
          <w:tcPr>
            <w:tcW w:w="2660" w:type="dxa"/>
          </w:tcPr>
          <w:p w14:paraId="1C785F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БДД М-34 со спец. Наддувом</w:t>
            </w:r>
          </w:p>
        </w:tc>
        <w:tc>
          <w:tcPr>
            <w:tcW w:w="702" w:type="dxa"/>
          </w:tcPr>
          <w:p w14:paraId="50E4C1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8-9000</w:t>
            </w:r>
          </w:p>
        </w:tc>
        <w:tc>
          <w:tcPr>
            <w:tcW w:w="999" w:type="dxa"/>
          </w:tcPr>
          <w:p w14:paraId="72CE3B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992" w:type="dxa"/>
          </w:tcPr>
          <w:p w14:paraId="6CC4F7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628" w:type="dxa"/>
          </w:tcPr>
          <w:p w14:paraId="5B6321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1500/4</w:t>
            </w:r>
          </w:p>
        </w:tc>
        <w:tc>
          <w:tcPr>
            <w:tcW w:w="628" w:type="dxa"/>
          </w:tcPr>
          <w:p w14:paraId="04FF93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1154" w:type="dxa"/>
          </w:tcPr>
          <w:p w14:paraId="5BD7F8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01.04.37</w:t>
            </w:r>
          </w:p>
        </w:tc>
        <w:tc>
          <w:tcPr>
            <w:tcW w:w="2550" w:type="dxa"/>
          </w:tcPr>
          <w:p w14:paraId="077270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 ДБ-4М-34РН</w:t>
            </w:r>
          </w:p>
        </w:tc>
      </w:tr>
      <w:tr w:rsidR="00E3599D" w:rsidRPr="00E14102" w14:paraId="7FDF9D36" w14:textId="77777777">
        <w:tc>
          <w:tcPr>
            <w:tcW w:w="2660" w:type="dxa"/>
          </w:tcPr>
          <w:p w14:paraId="7D3072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БДД 2М-85</w:t>
            </w:r>
          </w:p>
        </w:tc>
        <w:tc>
          <w:tcPr>
            <w:tcW w:w="702" w:type="dxa"/>
          </w:tcPr>
          <w:p w14:paraId="46A37D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0904C6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300-320</w:t>
            </w:r>
          </w:p>
        </w:tc>
        <w:tc>
          <w:tcPr>
            <w:tcW w:w="992" w:type="dxa"/>
          </w:tcPr>
          <w:p w14:paraId="173F7F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w:t>
            </w:r>
          </w:p>
        </w:tc>
        <w:tc>
          <w:tcPr>
            <w:tcW w:w="628" w:type="dxa"/>
          </w:tcPr>
          <w:p w14:paraId="7A02A6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628" w:type="dxa"/>
          </w:tcPr>
          <w:p w14:paraId="52C4ED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67E831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01.06.36</w:t>
            </w:r>
          </w:p>
        </w:tc>
        <w:tc>
          <w:tcPr>
            <w:tcW w:w="2550" w:type="dxa"/>
          </w:tcPr>
          <w:p w14:paraId="51B09F6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0549FB8" w14:textId="77777777">
        <w:tc>
          <w:tcPr>
            <w:tcW w:w="2660" w:type="dxa"/>
          </w:tcPr>
          <w:p w14:paraId="409F11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БДД (скоростной) 2М-85</w:t>
            </w:r>
          </w:p>
        </w:tc>
        <w:tc>
          <w:tcPr>
            <w:tcW w:w="702" w:type="dxa"/>
          </w:tcPr>
          <w:p w14:paraId="3167E4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79BEBC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992" w:type="dxa"/>
          </w:tcPr>
          <w:p w14:paraId="254E15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3FA472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1500/4</w:t>
            </w:r>
          </w:p>
        </w:tc>
        <w:tc>
          <w:tcPr>
            <w:tcW w:w="628" w:type="dxa"/>
          </w:tcPr>
          <w:p w14:paraId="22D655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1154" w:type="dxa"/>
          </w:tcPr>
          <w:p w14:paraId="13A0E6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01.06.36</w:t>
            </w:r>
          </w:p>
        </w:tc>
        <w:tc>
          <w:tcPr>
            <w:tcW w:w="2550" w:type="dxa"/>
          </w:tcPr>
          <w:p w14:paraId="1EBE29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пониж. дальност.</w:t>
            </w:r>
          </w:p>
        </w:tc>
      </w:tr>
      <w:tr w:rsidR="00E3599D" w:rsidRPr="00E14102" w14:paraId="4D38FC29" w14:textId="77777777">
        <w:tc>
          <w:tcPr>
            <w:tcW w:w="2660" w:type="dxa"/>
          </w:tcPr>
          <w:p w14:paraId="497FF7B6" w14:textId="77777777" w:rsidR="00D4105E" w:rsidRPr="00E14102" w:rsidRDefault="00D4105E" w:rsidP="00E14102">
            <w:pPr>
              <w:autoSpaceDE w:val="0"/>
              <w:autoSpaceDN w:val="0"/>
              <w:adjustRightInd w:val="0"/>
              <w:jc w:val="both"/>
              <w:rPr>
                <w:color w:val="000000" w:themeColor="text1"/>
                <w:sz w:val="16"/>
                <w:szCs w:val="16"/>
              </w:rPr>
            </w:pPr>
          </w:p>
        </w:tc>
        <w:tc>
          <w:tcPr>
            <w:tcW w:w="702" w:type="dxa"/>
          </w:tcPr>
          <w:p w14:paraId="4D4EDEDA" w14:textId="77777777" w:rsidR="00D4105E" w:rsidRPr="00E14102" w:rsidRDefault="00D4105E" w:rsidP="00E14102">
            <w:pPr>
              <w:autoSpaceDE w:val="0"/>
              <w:autoSpaceDN w:val="0"/>
              <w:adjustRightInd w:val="0"/>
              <w:jc w:val="both"/>
              <w:rPr>
                <w:color w:val="000000" w:themeColor="text1"/>
                <w:sz w:val="16"/>
                <w:szCs w:val="16"/>
              </w:rPr>
            </w:pPr>
          </w:p>
        </w:tc>
        <w:tc>
          <w:tcPr>
            <w:tcW w:w="999" w:type="dxa"/>
          </w:tcPr>
          <w:p w14:paraId="65C84256"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4EA5C1B8"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48059FF0"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1AD589D7" w14:textId="77777777" w:rsidR="00D4105E" w:rsidRPr="00E14102" w:rsidRDefault="00D4105E" w:rsidP="00E14102">
            <w:pPr>
              <w:autoSpaceDE w:val="0"/>
              <w:autoSpaceDN w:val="0"/>
              <w:adjustRightInd w:val="0"/>
              <w:jc w:val="both"/>
              <w:rPr>
                <w:color w:val="000000" w:themeColor="text1"/>
                <w:sz w:val="16"/>
                <w:szCs w:val="16"/>
              </w:rPr>
            </w:pPr>
          </w:p>
        </w:tc>
        <w:tc>
          <w:tcPr>
            <w:tcW w:w="1154" w:type="dxa"/>
          </w:tcPr>
          <w:p w14:paraId="0D15B3CE" w14:textId="77777777" w:rsidR="00D4105E" w:rsidRPr="00E14102" w:rsidRDefault="00D4105E" w:rsidP="00E14102">
            <w:pPr>
              <w:autoSpaceDE w:val="0"/>
              <w:autoSpaceDN w:val="0"/>
              <w:adjustRightInd w:val="0"/>
              <w:jc w:val="both"/>
              <w:rPr>
                <w:color w:val="000000" w:themeColor="text1"/>
                <w:sz w:val="16"/>
                <w:szCs w:val="16"/>
              </w:rPr>
            </w:pPr>
          </w:p>
        </w:tc>
        <w:tc>
          <w:tcPr>
            <w:tcW w:w="2550" w:type="dxa"/>
          </w:tcPr>
          <w:p w14:paraId="149FB0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выпущ. 01.04.36</w:t>
            </w:r>
          </w:p>
        </w:tc>
      </w:tr>
      <w:tr w:rsidR="00E3599D" w:rsidRPr="00E14102" w14:paraId="32879ACE" w14:textId="77777777">
        <w:tc>
          <w:tcPr>
            <w:tcW w:w="2660" w:type="dxa"/>
          </w:tcPr>
          <w:p w14:paraId="1E2E8F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ПБ</w:t>
            </w:r>
          </w:p>
        </w:tc>
        <w:tc>
          <w:tcPr>
            <w:tcW w:w="702" w:type="dxa"/>
          </w:tcPr>
          <w:p w14:paraId="7B3998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6B9117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992" w:type="dxa"/>
          </w:tcPr>
          <w:p w14:paraId="384F9D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628" w:type="dxa"/>
          </w:tcPr>
          <w:p w14:paraId="615A90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800/1000</w:t>
            </w:r>
          </w:p>
        </w:tc>
        <w:tc>
          <w:tcPr>
            <w:tcW w:w="628" w:type="dxa"/>
          </w:tcPr>
          <w:p w14:paraId="6A5D6D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154" w:type="dxa"/>
          </w:tcPr>
          <w:p w14:paraId="1D3317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01.10.36</w:t>
            </w:r>
          </w:p>
        </w:tc>
        <w:tc>
          <w:tcPr>
            <w:tcW w:w="2550" w:type="dxa"/>
          </w:tcPr>
          <w:p w14:paraId="4C2B41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 мод. в Р и ЛБ</w:t>
            </w:r>
          </w:p>
        </w:tc>
      </w:tr>
      <w:tr w:rsidR="00E3599D" w:rsidRPr="00E14102" w14:paraId="7559000B" w14:textId="77777777">
        <w:tc>
          <w:tcPr>
            <w:tcW w:w="2660" w:type="dxa"/>
          </w:tcPr>
          <w:p w14:paraId="174AA2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Войсковой самолет (2-х местный) с М-34ФРН</w:t>
            </w:r>
          </w:p>
        </w:tc>
        <w:tc>
          <w:tcPr>
            <w:tcW w:w="702" w:type="dxa"/>
          </w:tcPr>
          <w:p w14:paraId="2537EF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3-5000</w:t>
            </w:r>
          </w:p>
        </w:tc>
        <w:tc>
          <w:tcPr>
            <w:tcW w:w="999" w:type="dxa"/>
          </w:tcPr>
          <w:p w14:paraId="6DE7B6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350-400</w:t>
            </w:r>
          </w:p>
        </w:tc>
        <w:tc>
          <w:tcPr>
            <w:tcW w:w="992" w:type="dxa"/>
          </w:tcPr>
          <w:p w14:paraId="6D48B1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89-90</w:t>
            </w:r>
          </w:p>
        </w:tc>
        <w:tc>
          <w:tcPr>
            <w:tcW w:w="628" w:type="dxa"/>
          </w:tcPr>
          <w:p w14:paraId="18D481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2B7BD4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1154" w:type="dxa"/>
          </w:tcPr>
          <w:p w14:paraId="48A23B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50" w:type="dxa"/>
          </w:tcPr>
          <w:p w14:paraId="12C39C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бриг. Кочеригина</w:t>
            </w:r>
          </w:p>
        </w:tc>
      </w:tr>
      <w:tr w:rsidR="00E3599D" w:rsidRPr="00E14102" w14:paraId="1585B7DC" w14:textId="77777777">
        <w:tc>
          <w:tcPr>
            <w:tcW w:w="2660" w:type="dxa"/>
          </w:tcPr>
          <w:p w14:paraId="7263A2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Арткорректировщик М-34ФРН</w:t>
            </w:r>
          </w:p>
        </w:tc>
        <w:tc>
          <w:tcPr>
            <w:tcW w:w="702" w:type="dxa"/>
          </w:tcPr>
          <w:p w14:paraId="73678A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662E8A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350-400</w:t>
            </w:r>
          </w:p>
        </w:tc>
        <w:tc>
          <w:tcPr>
            <w:tcW w:w="992" w:type="dxa"/>
          </w:tcPr>
          <w:p w14:paraId="229333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80-90</w:t>
            </w:r>
          </w:p>
        </w:tc>
        <w:tc>
          <w:tcPr>
            <w:tcW w:w="628" w:type="dxa"/>
          </w:tcPr>
          <w:p w14:paraId="041C6A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w:t>
            </w:r>
          </w:p>
        </w:tc>
        <w:tc>
          <w:tcPr>
            <w:tcW w:w="628" w:type="dxa"/>
          </w:tcPr>
          <w:p w14:paraId="5127D1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1154" w:type="dxa"/>
          </w:tcPr>
          <w:p w14:paraId="7FAF96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50" w:type="dxa"/>
          </w:tcPr>
          <w:p w14:paraId="0E3154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Трехместный</w:t>
            </w:r>
          </w:p>
        </w:tc>
      </w:tr>
      <w:tr w:rsidR="00E3599D" w:rsidRPr="00E14102" w14:paraId="09A37612" w14:textId="77777777">
        <w:tc>
          <w:tcPr>
            <w:tcW w:w="2660" w:type="dxa"/>
          </w:tcPr>
          <w:p w14:paraId="45EB38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Торпедоносец (СБ)</w:t>
            </w:r>
          </w:p>
        </w:tc>
        <w:tc>
          <w:tcPr>
            <w:tcW w:w="702" w:type="dxa"/>
          </w:tcPr>
          <w:p w14:paraId="6BE1A9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4B32B0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340</w:t>
            </w:r>
          </w:p>
        </w:tc>
        <w:tc>
          <w:tcPr>
            <w:tcW w:w="992" w:type="dxa"/>
          </w:tcPr>
          <w:p w14:paraId="72AE2C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w:t>
            </w:r>
          </w:p>
        </w:tc>
        <w:tc>
          <w:tcPr>
            <w:tcW w:w="628" w:type="dxa"/>
          </w:tcPr>
          <w:p w14:paraId="1EF231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1300</w:t>
            </w:r>
          </w:p>
        </w:tc>
        <w:tc>
          <w:tcPr>
            <w:tcW w:w="628" w:type="dxa"/>
          </w:tcPr>
          <w:p w14:paraId="4C6739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2F21ED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01.04.36</w:t>
            </w:r>
          </w:p>
        </w:tc>
        <w:tc>
          <w:tcPr>
            <w:tcW w:w="2550" w:type="dxa"/>
          </w:tcPr>
          <w:p w14:paraId="43A41AC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096FD23" w14:textId="77777777">
        <w:tc>
          <w:tcPr>
            <w:tcW w:w="2660" w:type="dxa"/>
          </w:tcPr>
          <w:p w14:paraId="5EF552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УТИ МГ-21 или МГ-31 учебно-тренировочный И</w:t>
            </w:r>
          </w:p>
        </w:tc>
        <w:tc>
          <w:tcPr>
            <w:tcW w:w="702" w:type="dxa"/>
          </w:tcPr>
          <w:p w14:paraId="045B86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464FAB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97195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58C9B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E2FFF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1154" w:type="dxa"/>
          </w:tcPr>
          <w:p w14:paraId="225DE9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550" w:type="dxa"/>
          </w:tcPr>
          <w:p w14:paraId="07D565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по моторам</w:t>
            </w:r>
          </w:p>
        </w:tc>
      </w:tr>
      <w:tr w:rsidR="00E3599D" w:rsidRPr="00E14102" w14:paraId="4075DD38" w14:textId="77777777">
        <w:tc>
          <w:tcPr>
            <w:tcW w:w="2660" w:type="dxa"/>
          </w:tcPr>
          <w:p w14:paraId="5B79EB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УТИ МГ-21 или МГ-31 учебно-тренировочный И</w:t>
            </w:r>
          </w:p>
        </w:tc>
        <w:tc>
          <w:tcPr>
            <w:tcW w:w="702" w:type="dxa"/>
          </w:tcPr>
          <w:p w14:paraId="6F479C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294D2B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109377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045990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7B00BB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КАИ</w:t>
            </w:r>
          </w:p>
        </w:tc>
        <w:tc>
          <w:tcPr>
            <w:tcW w:w="1154" w:type="dxa"/>
          </w:tcPr>
          <w:p w14:paraId="6614B1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c>
          <w:tcPr>
            <w:tcW w:w="2550" w:type="dxa"/>
          </w:tcPr>
          <w:p w14:paraId="42EE065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816D1FA" w14:textId="77777777">
        <w:tc>
          <w:tcPr>
            <w:tcW w:w="2660" w:type="dxa"/>
          </w:tcPr>
          <w:p w14:paraId="04B48E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Экспериментальные самолеты и аппараты</w:t>
            </w:r>
          </w:p>
        </w:tc>
        <w:tc>
          <w:tcPr>
            <w:tcW w:w="702" w:type="dxa"/>
          </w:tcPr>
          <w:p w14:paraId="1DC11B98" w14:textId="77777777" w:rsidR="00D4105E" w:rsidRPr="00E14102" w:rsidRDefault="00D4105E" w:rsidP="00E14102">
            <w:pPr>
              <w:autoSpaceDE w:val="0"/>
              <w:autoSpaceDN w:val="0"/>
              <w:adjustRightInd w:val="0"/>
              <w:jc w:val="both"/>
              <w:rPr>
                <w:color w:val="000000" w:themeColor="text1"/>
                <w:sz w:val="16"/>
                <w:szCs w:val="16"/>
              </w:rPr>
            </w:pPr>
          </w:p>
        </w:tc>
        <w:tc>
          <w:tcPr>
            <w:tcW w:w="999" w:type="dxa"/>
          </w:tcPr>
          <w:p w14:paraId="144C4580"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4D130A94"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6E89A9C1"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324230B9" w14:textId="77777777" w:rsidR="00D4105E" w:rsidRPr="00E14102" w:rsidRDefault="00D4105E" w:rsidP="00E14102">
            <w:pPr>
              <w:autoSpaceDE w:val="0"/>
              <w:autoSpaceDN w:val="0"/>
              <w:adjustRightInd w:val="0"/>
              <w:jc w:val="both"/>
              <w:rPr>
                <w:color w:val="000000" w:themeColor="text1"/>
                <w:sz w:val="16"/>
                <w:szCs w:val="16"/>
              </w:rPr>
            </w:pPr>
          </w:p>
        </w:tc>
        <w:tc>
          <w:tcPr>
            <w:tcW w:w="1154" w:type="dxa"/>
          </w:tcPr>
          <w:p w14:paraId="3053FA5B" w14:textId="77777777" w:rsidR="00D4105E" w:rsidRPr="00E14102" w:rsidRDefault="00D4105E" w:rsidP="00E14102">
            <w:pPr>
              <w:autoSpaceDE w:val="0"/>
              <w:autoSpaceDN w:val="0"/>
              <w:adjustRightInd w:val="0"/>
              <w:jc w:val="both"/>
              <w:rPr>
                <w:color w:val="000000" w:themeColor="text1"/>
                <w:sz w:val="16"/>
                <w:szCs w:val="16"/>
              </w:rPr>
            </w:pPr>
          </w:p>
        </w:tc>
        <w:tc>
          <w:tcPr>
            <w:tcW w:w="2550" w:type="dxa"/>
          </w:tcPr>
          <w:p w14:paraId="20B8440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4AF4F70" w14:textId="77777777">
        <w:tc>
          <w:tcPr>
            <w:tcW w:w="2660" w:type="dxa"/>
          </w:tcPr>
          <w:p w14:paraId="7E8253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Войсковой самолет летающее крыло 2М-22</w:t>
            </w:r>
          </w:p>
        </w:tc>
        <w:tc>
          <w:tcPr>
            <w:tcW w:w="702" w:type="dxa"/>
          </w:tcPr>
          <w:p w14:paraId="68C308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1D3146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0658E2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AF130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31D2FE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w:t>
            </w:r>
          </w:p>
        </w:tc>
        <w:tc>
          <w:tcPr>
            <w:tcW w:w="1154" w:type="dxa"/>
          </w:tcPr>
          <w:p w14:paraId="067F21C3" w14:textId="77777777" w:rsidR="00D4105E" w:rsidRPr="00E14102" w:rsidRDefault="00D4105E" w:rsidP="00E14102">
            <w:pPr>
              <w:autoSpaceDE w:val="0"/>
              <w:autoSpaceDN w:val="0"/>
              <w:adjustRightInd w:val="0"/>
              <w:jc w:val="both"/>
              <w:rPr>
                <w:color w:val="000000" w:themeColor="text1"/>
                <w:sz w:val="16"/>
                <w:szCs w:val="16"/>
              </w:rPr>
            </w:pPr>
          </w:p>
        </w:tc>
        <w:tc>
          <w:tcPr>
            <w:tcW w:w="2550" w:type="dxa"/>
          </w:tcPr>
          <w:p w14:paraId="563EDCF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589596B" w14:textId="77777777">
        <w:tc>
          <w:tcPr>
            <w:tcW w:w="2660" w:type="dxa"/>
          </w:tcPr>
          <w:p w14:paraId="14874A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Пушечный истребитель М-100 (нов. мат., пар.)</w:t>
            </w:r>
          </w:p>
        </w:tc>
        <w:tc>
          <w:tcPr>
            <w:tcW w:w="702" w:type="dxa"/>
          </w:tcPr>
          <w:p w14:paraId="254260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7E8590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51651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243EC7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781BB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НИИ</w:t>
            </w:r>
          </w:p>
        </w:tc>
        <w:tc>
          <w:tcPr>
            <w:tcW w:w="1154" w:type="dxa"/>
          </w:tcPr>
          <w:p w14:paraId="670725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c>
          <w:tcPr>
            <w:tcW w:w="2550" w:type="dxa"/>
          </w:tcPr>
          <w:p w14:paraId="183ADEF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740C4C0" w14:textId="77777777">
        <w:tc>
          <w:tcPr>
            <w:tcW w:w="2660" w:type="dxa"/>
          </w:tcPr>
          <w:p w14:paraId="2138189E" w14:textId="77777777" w:rsidR="00D4105E" w:rsidRPr="00E14102" w:rsidRDefault="00D4105E" w:rsidP="00E14102">
            <w:pPr>
              <w:autoSpaceDE w:val="0"/>
              <w:autoSpaceDN w:val="0"/>
              <w:adjustRightInd w:val="0"/>
              <w:jc w:val="both"/>
              <w:rPr>
                <w:color w:val="000000" w:themeColor="text1"/>
                <w:sz w:val="16"/>
                <w:szCs w:val="16"/>
              </w:rPr>
            </w:pPr>
          </w:p>
        </w:tc>
        <w:tc>
          <w:tcPr>
            <w:tcW w:w="702" w:type="dxa"/>
          </w:tcPr>
          <w:p w14:paraId="00152877" w14:textId="77777777" w:rsidR="00D4105E" w:rsidRPr="00E14102" w:rsidRDefault="00D4105E" w:rsidP="00E14102">
            <w:pPr>
              <w:autoSpaceDE w:val="0"/>
              <w:autoSpaceDN w:val="0"/>
              <w:adjustRightInd w:val="0"/>
              <w:jc w:val="both"/>
              <w:rPr>
                <w:color w:val="000000" w:themeColor="text1"/>
                <w:sz w:val="16"/>
                <w:szCs w:val="16"/>
              </w:rPr>
            </w:pPr>
          </w:p>
        </w:tc>
        <w:tc>
          <w:tcPr>
            <w:tcW w:w="999" w:type="dxa"/>
          </w:tcPr>
          <w:p w14:paraId="46BE0026"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02187E03"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00A6EFCB"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1F49E2CB" w14:textId="77777777" w:rsidR="00D4105E" w:rsidRPr="00E14102" w:rsidRDefault="00D4105E" w:rsidP="00E14102">
            <w:pPr>
              <w:autoSpaceDE w:val="0"/>
              <w:autoSpaceDN w:val="0"/>
              <w:adjustRightInd w:val="0"/>
              <w:jc w:val="both"/>
              <w:rPr>
                <w:color w:val="000000" w:themeColor="text1"/>
                <w:sz w:val="16"/>
                <w:szCs w:val="16"/>
              </w:rPr>
            </w:pPr>
          </w:p>
        </w:tc>
        <w:tc>
          <w:tcPr>
            <w:tcW w:w="1154" w:type="dxa"/>
          </w:tcPr>
          <w:p w14:paraId="708E3804" w14:textId="77777777" w:rsidR="00D4105E" w:rsidRPr="00E14102" w:rsidRDefault="00D4105E" w:rsidP="00E14102">
            <w:pPr>
              <w:autoSpaceDE w:val="0"/>
              <w:autoSpaceDN w:val="0"/>
              <w:adjustRightInd w:val="0"/>
              <w:jc w:val="both"/>
              <w:rPr>
                <w:color w:val="000000" w:themeColor="text1"/>
                <w:sz w:val="16"/>
                <w:szCs w:val="16"/>
              </w:rPr>
            </w:pPr>
          </w:p>
        </w:tc>
        <w:tc>
          <w:tcPr>
            <w:tcW w:w="2550" w:type="dxa"/>
          </w:tcPr>
          <w:p w14:paraId="1B07D9F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EE8F8B8" w14:textId="77777777">
        <w:tc>
          <w:tcPr>
            <w:tcW w:w="2660" w:type="dxa"/>
          </w:tcPr>
          <w:p w14:paraId="2AC8B7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СА РЦ Скоростной автожир</w:t>
            </w:r>
          </w:p>
        </w:tc>
        <w:tc>
          <w:tcPr>
            <w:tcW w:w="702" w:type="dxa"/>
          </w:tcPr>
          <w:p w14:paraId="7128AA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402364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28E198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71B1B4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97482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15AD87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01.05.36</w:t>
            </w:r>
          </w:p>
        </w:tc>
        <w:tc>
          <w:tcPr>
            <w:tcW w:w="2550" w:type="dxa"/>
          </w:tcPr>
          <w:p w14:paraId="3D44AE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ГВФ</w:t>
            </w:r>
          </w:p>
        </w:tc>
      </w:tr>
      <w:tr w:rsidR="00E3599D" w:rsidRPr="00E14102" w14:paraId="0D2423FC" w14:textId="77777777">
        <w:tc>
          <w:tcPr>
            <w:tcW w:w="2660" w:type="dxa"/>
          </w:tcPr>
          <w:p w14:paraId="1A9A65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Геликоптер</w:t>
            </w:r>
          </w:p>
        </w:tc>
        <w:tc>
          <w:tcPr>
            <w:tcW w:w="702" w:type="dxa"/>
          </w:tcPr>
          <w:p w14:paraId="303DD4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4F1418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50FA27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27C197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8D15E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23292D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50" w:type="dxa"/>
          </w:tcPr>
          <w:p w14:paraId="7DC5178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4D3243D" w14:textId="77777777">
        <w:tc>
          <w:tcPr>
            <w:tcW w:w="2660" w:type="dxa"/>
          </w:tcPr>
          <w:p w14:paraId="3E8525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Взлет и посадка И с ТБ</w:t>
            </w:r>
          </w:p>
        </w:tc>
        <w:tc>
          <w:tcPr>
            <w:tcW w:w="702" w:type="dxa"/>
          </w:tcPr>
          <w:p w14:paraId="150CFB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2E2571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D7BFB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8786F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F63BE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w:t>
            </w:r>
          </w:p>
        </w:tc>
        <w:tc>
          <w:tcPr>
            <w:tcW w:w="1154" w:type="dxa"/>
          </w:tcPr>
          <w:p w14:paraId="409936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1936-37</w:t>
            </w:r>
          </w:p>
        </w:tc>
        <w:tc>
          <w:tcPr>
            <w:tcW w:w="2550" w:type="dxa"/>
          </w:tcPr>
          <w:p w14:paraId="50BA441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CCF3EF" w14:textId="77777777">
        <w:tc>
          <w:tcPr>
            <w:tcW w:w="2660" w:type="dxa"/>
          </w:tcPr>
          <w:p w14:paraId="0321F1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Морские самолеты</w:t>
            </w:r>
          </w:p>
        </w:tc>
        <w:tc>
          <w:tcPr>
            <w:tcW w:w="702" w:type="dxa"/>
          </w:tcPr>
          <w:p w14:paraId="483F938A" w14:textId="77777777" w:rsidR="00D4105E" w:rsidRPr="00E14102" w:rsidRDefault="00D4105E" w:rsidP="00E14102">
            <w:pPr>
              <w:autoSpaceDE w:val="0"/>
              <w:autoSpaceDN w:val="0"/>
              <w:adjustRightInd w:val="0"/>
              <w:jc w:val="both"/>
              <w:rPr>
                <w:color w:val="000000" w:themeColor="text1"/>
                <w:sz w:val="16"/>
                <w:szCs w:val="16"/>
              </w:rPr>
            </w:pPr>
          </w:p>
        </w:tc>
        <w:tc>
          <w:tcPr>
            <w:tcW w:w="999" w:type="dxa"/>
          </w:tcPr>
          <w:p w14:paraId="4A0BFE1C"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49205502"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786A0996"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16FEB3DC" w14:textId="77777777" w:rsidR="00D4105E" w:rsidRPr="00E14102" w:rsidRDefault="00D4105E" w:rsidP="00E14102">
            <w:pPr>
              <w:autoSpaceDE w:val="0"/>
              <w:autoSpaceDN w:val="0"/>
              <w:adjustRightInd w:val="0"/>
              <w:jc w:val="both"/>
              <w:rPr>
                <w:color w:val="000000" w:themeColor="text1"/>
                <w:sz w:val="16"/>
                <w:szCs w:val="16"/>
              </w:rPr>
            </w:pPr>
          </w:p>
        </w:tc>
        <w:tc>
          <w:tcPr>
            <w:tcW w:w="1154" w:type="dxa"/>
          </w:tcPr>
          <w:p w14:paraId="4446B5D8" w14:textId="77777777" w:rsidR="00D4105E" w:rsidRPr="00E14102" w:rsidRDefault="00D4105E" w:rsidP="00E14102">
            <w:pPr>
              <w:autoSpaceDE w:val="0"/>
              <w:autoSpaceDN w:val="0"/>
              <w:adjustRightInd w:val="0"/>
              <w:jc w:val="both"/>
              <w:rPr>
                <w:color w:val="000000" w:themeColor="text1"/>
                <w:sz w:val="16"/>
                <w:szCs w:val="16"/>
              </w:rPr>
            </w:pPr>
          </w:p>
        </w:tc>
        <w:tc>
          <w:tcPr>
            <w:tcW w:w="2550" w:type="dxa"/>
          </w:tcPr>
          <w:p w14:paraId="67BAFEC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085EAB1" w14:textId="77777777">
        <w:tc>
          <w:tcPr>
            <w:tcW w:w="2660" w:type="dxa"/>
          </w:tcPr>
          <w:p w14:paraId="50B6D0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СБ на поплавках</w:t>
            </w:r>
          </w:p>
        </w:tc>
        <w:tc>
          <w:tcPr>
            <w:tcW w:w="702" w:type="dxa"/>
          </w:tcPr>
          <w:p w14:paraId="1079B0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27860B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5C65DB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A9B5C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52E51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1CF0BE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c>
          <w:tcPr>
            <w:tcW w:w="2550" w:type="dxa"/>
          </w:tcPr>
          <w:p w14:paraId="5AC346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Совм. испытания</w:t>
            </w:r>
          </w:p>
        </w:tc>
      </w:tr>
      <w:tr w:rsidR="00E3599D" w:rsidRPr="00E14102" w14:paraId="4E2E2842" w14:textId="77777777">
        <w:tc>
          <w:tcPr>
            <w:tcW w:w="2660" w:type="dxa"/>
          </w:tcPr>
          <w:p w14:paraId="7C8938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МБР-5 РЦ морской БР</w:t>
            </w:r>
          </w:p>
        </w:tc>
        <w:tc>
          <w:tcPr>
            <w:tcW w:w="702" w:type="dxa"/>
          </w:tcPr>
          <w:p w14:paraId="3759D7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0CBBAF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173FF6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0BEB35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596281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1154" w:type="dxa"/>
          </w:tcPr>
          <w:p w14:paraId="331A08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15.12.35</w:t>
            </w:r>
          </w:p>
        </w:tc>
        <w:tc>
          <w:tcPr>
            <w:tcW w:w="2550" w:type="dxa"/>
          </w:tcPr>
          <w:p w14:paraId="08D0D2A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672CE25" w14:textId="77777777">
        <w:tc>
          <w:tcPr>
            <w:tcW w:w="2660" w:type="dxa"/>
          </w:tcPr>
          <w:p w14:paraId="5BCB52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МДР-5 2К-14 морской ДР</w:t>
            </w:r>
          </w:p>
        </w:tc>
        <w:tc>
          <w:tcPr>
            <w:tcW w:w="702" w:type="dxa"/>
          </w:tcPr>
          <w:p w14:paraId="22337E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2C7E3A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018613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0FB0F0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1FA4A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1154" w:type="dxa"/>
          </w:tcPr>
          <w:p w14:paraId="4A018F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550" w:type="dxa"/>
          </w:tcPr>
          <w:p w14:paraId="38F97E6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FFB21AE" w14:textId="77777777">
        <w:tc>
          <w:tcPr>
            <w:tcW w:w="2660" w:type="dxa"/>
          </w:tcPr>
          <w:p w14:paraId="0D5B39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Дальний морской разведчик МДР-6</w:t>
            </w:r>
          </w:p>
        </w:tc>
        <w:tc>
          <w:tcPr>
            <w:tcW w:w="702" w:type="dxa"/>
          </w:tcPr>
          <w:p w14:paraId="7FA7CE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999" w:type="dxa"/>
          </w:tcPr>
          <w:p w14:paraId="63B1D7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300-350</w:t>
            </w:r>
          </w:p>
        </w:tc>
        <w:tc>
          <w:tcPr>
            <w:tcW w:w="992" w:type="dxa"/>
          </w:tcPr>
          <w:p w14:paraId="38AC3E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2D34F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3F9549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1154" w:type="dxa"/>
          </w:tcPr>
          <w:p w14:paraId="5D2C1D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01.06.36</w:t>
            </w:r>
          </w:p>
        </w:tc>
        <w:tc>
          <w:tcPr>
            <w:tcW w:w="2550" w:type="dxa"/>
          </w:tcPr>
          <w:p w14:paraId="0081D5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Четвериков</w:t>
            </w:r>
          </w:p>
        </w:tc>
      </w:tr>
      <w:tr w:rsidR="00E3599D" w:rsidRPr="00E14102" w14:paraId="0243AC05" w14:textId="77777777">
        <w:tc>
          <w:tcPr>
            <w:tcW w:w="2660" w:type="dxa"/>
          </w:tcPr>
          <w:p w14:paraId="3047D0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МБР-6 морской ближний разведчик</w:t>
            </w:r>
          </w:p>
        </w:tc>
        <w:tc>
          <w:tcPr>
            <w:tcW w:w="702" w:type="dxa"/>
          </w:tcPr>
          <w:p w14:paraId="4E1F3D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1F8B57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325-375</w:t>
            </w:r>
          </w:p>
        </w:tc>
        <w:tc>
          <w:tcPr>
            <w:tcW w:w="992" w:type="dxa"/>
          </w:tcPr>
          <w:p w14:paraId="3F9C8F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28" w:type="dxa"/>
          </w:tcPr>
          <w:p w14:paraId="743CCA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628" w:type="dxa"/>
          </w:tcPr>
          <w:p w14:paraId="5B3730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1154" w:type="dxa"/>
          </w:tcPr>
          <w:p w14:paraId="6F5605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01.08.37</w:t>
            </w:r>
          </w:p>
        </w:tc>
        <w:tc>
          <w:tcPr>
            <w:tcW w:w="2550" w:type="dxa"/>
          </w:tcPr>
          <w:p w14:paraId="5225769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871D6F9" w14:textId="77777777">
        <w:tc>
          <w:tcPr>
            <w:tcW w:w="2660" w:type="dxa"/>
          </w:tcPr>
          <w:p w14:paraId="792AE6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КОР-РЦ корабельный разведчик</w:t>
            </w:r>
          </w:p>
        </w:tc>
        <w:tc>
          <w:tcPr>
            <w:tcW w:w="702" w:type="dxa"/>
          </w:tcPr>
          <w:p w14:paraId="7DDA91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44FB7F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7F5950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207A46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0DDE95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1154" w:type="dxa"/>
          </w:tcPr>
          <w:p w14:paraId="2F20DA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01.04.36</w:t>
            </w:r>
          </w:p>
        </w:tc>
        <w:tc>
          <w:tcPr>
            <w:tcW w:w="2550" w:type="dxa"/>
          </w:tcPr>
          <w:p w14:paraId="1A73D2F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20DFC7D" w14:textId="77777777">
        <w:tc>
          <w:tcPr>
            <w:tcW w:w="2660" w:type="dxa"/>
          </w:tcPr>
          <w:p w14:paraId="72510E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МТБ-2 4М-85 АНТ-44</w:t>
            </w:r>
          </w:p>
        </w:tc>
        <w:tc>
          <w:tcPr>
            <w:tcW w:w="702" w:type="dxa"/>
          </w:tcPr>
          <w:p w14:paraId="2AB7BA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999" w:type="dxa"/>
          </w:tcPr>
          <w:p w14:paraId="657C7C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300-350</w:t>
            </w:r>
          </w:p>
        </w:tc>
        <w:tc>
          <w:tcPr>
            <w:tcW w:w="992" w:type="dxa"/>
          </w:tcPr>
          <w:p w14:paraId="73B88D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0A1776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628" w:type="dxa"/>
          </w:tcPr>
          <w:p w14:paraId="413A4F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750B55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30.12.36</w:t>
            </w:r>
          </w:p>
        </w:tc>
        <w:tc>
          <w:tcPr>
            <w:tcW w:w="2550" w:type="dxa"/>
          </w:tcPr>
          <w:p w14:paraId="4EEE2BA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39B09F" w14:textId="77777777">
        <w:tc>
          <w:tcPr>
            <w:tcW w:w="2660" w:type="dxa"/>
          </w:tcPr>
          <w:p w14:paraId="0D9C18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Торпедоносец на поплавках</w:t>
            </w:r>
          </w:p>
        </w:tc>
        <w:tc>
          <w:tcPr>
            <w:tcW w:w="702" w:type="dxa"/>
          </w:tcPr>
          <w:p w14:paraId="385895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396EDB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CE1F9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342668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07C1D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748D34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01.08.36</w:t>
            </w:r>
          </w:p>
        </w:tc>
        <w:tc>
          <w:tcPr>
            <w:tcW w:w="2550" w:type="dxa"/>
          </w:tcPr>
          <w:p w14:paraId="6825BFB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10D47AE" w14:textId="77777777">
        <w:tc>
          <w:tcPr>
            <w:tcW w:w="2660" w:type="dxa"/>
          </w:tcPr>
          <w:p w14:paraId="3F397A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Морской учебный</w:t>
            </w:r>
          </w:p>
        </w:tc>
        <w:tc>
          <w:tcPr>
            <w:tcW w:w="702" w:type="dxa"/>
          </w:tcPr>
          <w:p w14:paraId="1B0A8C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7EAB82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14C2CF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09753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860AF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1154" w:type="dxa"/>
          </w:tcPr>
          <w:p w14:paraId="50486C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01.10.36</w:t>
            </w:r>
          </w:p>
        </w:tc>
        <w:tc>
          <w:tcPr>
            <w:tcW w:w="2550" w:type="dxa"/>
          </w:tcPr>
          <w:p w14:paraId="058316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w:t>
            </w:r>
          </w:p>
        </w:tc>
      </w:tr>
      <w:tr w:rsidR="00E3599D" w:rsidRPr="00E14102" w14:paraId="0B950E97" w14:textId="77777777">
        <w:tc>
          <w:tcPr>
            <w:tcW w:w="2660" w:type="dxa"/>
          </w:tcPr>
          <w:p w14:paraId="458395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МБР-5 М-25 с маталлической лодкой</w:t>
            </w:r>
          </w:p>
        </w:tc>
        <w:tc>
          <w:tcPr>
            <w:tcW w:w="702" w:type="dxa"/>
          </w:tcPr>
          <w:p w14:paraId="641CB7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3CAE73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0B9E6F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582C03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2B8BFA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w:t>
            </w:r>
          </w:p>
        </w:tc>
        <w:tc>
          <w:tcPr>
            <w:tcW w:w="1154" w:type="dxa"/>
          </w:tcPr>
          <w:p w14:paraId="341A0B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550" w:type="dxa"/>
          </w:tcPr>
          <w:p w14:paraId="662DF1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б. соглас.</w:t>
            </w:r>
          </w:p>
        </w:tc>
      </w:tr>
      <w:tr w:rsidR="00E3599D" w:rsidRPr="00E14102" w14:paraId="05ED0534" w14:textId="77777777">
        <w:tc>
          <w:tcPr>
            <w:tcW w:w="2660" w:type="dxa"/>
          </w:tcPr>
          <w:p w14:paraId="705D7E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Гражданские самолеты</w:t>
            </w:r>
          </w:p>
        </w:tc>
        <w:tc>
          <w:tcPr>
            <w:tcW w:w="702" w:type="dxa"/>
          </w:tcPr>
          <w:p w14:paraId="4DD2ED60" w14:textId="77777777" w:rsidR="00D4105E" w:rsidRPr="00E14102" w:rsidRDefault="00D4105E" w:rsidP="00E14102">
            <w:pPr>
              <w:autoSpaceDE w:val="0"/>
              <w:autoSpaceDN w:val="0"/>
              <w:adjustRightInd w:val="0"/>
              <w:jc w:val="both"/>
              <w:rPr>
                <w:color w:val="000000" w:themeColor="text1"/>
                <w:sz w:val="16"/>
                <w:szCs w:val="16"/>
              </w:rPr>
            </w:pPr>
          </w:p>
        </w:tc>
        <w:tc>
          <w:tcPr>
            <w:tcW w:w="999" w:type="dxa"/>
          </w:tcPr>
          <w:p w14:paraId="2FE94D06" w14:textId="77777777" w:rsidR="00D4105E" w:rsidRPr="00E14102" w:rsidRDefault="00D4105E" w:rsidP="00E14102">
            <w:pPr>
              <w:autoSpaceDE w:val="0"/>
              <w:autoSpaceDN w:val="0"/>
              <w:adjustRightInd w:val="0"/>
              <w:jc w:val="both"/>
              <w:rPr>
                <w:color w:val="000000" w:themeColor="text1"/>
                <w:sz w:val="16"/>
                <w:szCs w:val="16"/>
              </w:rPr>
            </w:pPr>
          </w:p>
        </w:tc>
        <w:tc>
          <w:tcPr>
            <w:tcW w:w="992" w:type="dxa"/>
          </w:tcPr>
          <w:p w14:paraId="243CAE28"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46F1F93E" w14:textId="77777777" w:rsidR="00D4105E" w:rsidRPr="00E14102" w:rsidRDefault="00D4105E" w:rsidP="00E14102">
            <w:pPr>
              <w:autoSpaceDE w:val="0"/>
              <w:autoSpaceDN w:val="0"/>
              <w:adjustRightInd w:val="0"/>
              <w:jc w:val="both"/>
              <w:rPr>
                <w:color w:val="000000" w:themeColor="text1"/>
                <w:sz w:val="16"/>
                <w:szCs w:val="16"/>
              </w:rPr>
            </w:pPr>
          </w:p>
        </w:tc>
        <w:tc>
          <w:tcPr>
            <w:tcW w:w="628" w:type="dxa"/>
          </w:tcPr>
          <w:p w14:paraId="4BF388A7" w14:textId="77777777" w:rsidR="00D4105E" w:rsidRPr="00E14102" w:rsidRDefault="00D4105E" w:rsidP="00E14102">
            <w:pPr>
              <w:autoSpaceDE w:val="0"/>
              <w:autoSpaceDN w:val="0"/>
              <w:adjustRightInd w:val="0"/>
              <w:jc w:val="both"/>
              <w:rPr>
                <w:color w:val="000000" w:themeColor="text1"/>
                <w:sz w:val="16"/>
                <w:szCs w:val="16"/>
              </w:rPr>
            </w:pPr>
          </w:p>
        </w:tc>
        <w:tc>
          <w:tcPr>
            <w:tcW w:w="1154" w:type="dxa"/>
          </w:tcPr>
          <w:p w14:paraId="58CE534C" w14:textId="77777777" w:rsidR="00D4105E" w:rsidRPr="00E14102" w:rsidRDefault="00D4105E" w:rsidP="00E14102">
            <w:pPr>
              <w:autoSpaceDE w:val="0"/>
              <w:autoSpaceDN w:val="0"/>
              <w:adjustRightInd w:val="0"/>
              <w:jc w:val="both"/>
              <w:rPr>
                <w:color w:val="000000" w:themeColor="text1"/>
                <w:sz w:val="16"/>
                <w:szCs w:val="16"/>
              </w:rPr>
            </w:pPr>
          </w:p>
        </w:tc>
        <w:tc>
          <w:tcPr>
            <w:tcW w:w="2550" w:type="dxa"/>
          </w:tcPr>
          <w:p w14:paraId="7E5E624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ED3C7D4" w14:textId="77777777">
        <w:tc>
          <w:tcPr>
            <w:tcW w:w="2660" w:type="dxa"/>
          </w:tcPr>
          <w:p w14:paraId="70ED53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АНТ-35 (СБ в пассажирском варианте)</w:t>
            </w:r>
          </w:p>
        </w:tc>
        <w:tc>
          <w:tcPr>
            <w:tcW w:w="702" w:type="dxa"/>
          </w:tcPr>
          <w:p w14:paraId="5BA5D3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03BC99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w:t>
            </w:r>
          </w:p>
        </w:tc>
        <w:tc>
          <w:tcPr>
            <w:tcW w:w="992" w:type="dxa"/>
          </w:tcPr>
          <w:p w14:paraId="756423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628" w:type="dxa"/>
          </w:tcPr>
          <w:p w14:paraId="1DAE5A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628" w:type="dxa"/>
          </w:tcPr>
          <w:p w14:paraId="44CD94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1DB590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01.08.36</w:t>
            </w:r>
          </w:p>
        </w:tc>
        <w:tc>
          <w:tcPr>
            <w:tcW w:w="2550" w:type="dxa"/>
          </w:tcPr>
          <w:p w14:paraId="597A95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пас. 1000 кг</w:t>
            </w:r>
          </w:p>
        </w:tc>
      </w:tr>
      <w:tr w:rsidR="00E3599D" w:rsidRPr="00E14102" w14:paraId="1DFAB394" w14:textId="77777777">
        <w:tc>
          <w:tcPr>
            <w:tcW w:w="2660" w:type="dxa"/>
          </w:tcPr>
          <w:p w14:paraId="2DA5DE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АНТ-27 (МДР-4 в пассажирском варианте)</w:t>
            </w:r>
          </w:p>
        </w:tc>
        <w:tc>
          <w:tcPr>
            <w:tcW w:w="702" w:type="dxa"/>
          </w:tcPr>
          <w:p w14:paraId="4F5A1B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4EE2CD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DE7E6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748126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9A114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154" w:type="dxa"/>
          </w:tcPr>
          <w:p w14:paraId="53AA17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мес.</w:t>
            </w:r>
          </w:p>
        </w:tc>
        <w:tc>
          <w:tcPr>
            <w:tcW w:w="2550" w:type="dxa"/>
          </w:tcPr>
          <w:p w14:paraId="3F50E8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серии</w:t>
            </w:r>
          </w:p>
        </w:tc>
      </w:tr>
      <w:tr w:rsidR="00E3599D" w:rsidRPr="00E14102" w14:paraId="63F1BE83" w14:textId="77777777">
        <w:tc>
          <w:tcPr>
            <w:tcW w:w="2660" w:type="dxa"/>
          </w:tcPr>
          <w:p w14:paraId="35C7E4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ТА-1 транспортная амфибия</w:t>
            </w:r>
          </w:p>
        </w:tc>
        <w:tc>
          <w:tcPr>
            <w:tcW w:w="702" w:type="dxa"/>
          </w:tcPr>
          <w:p w14:paraId="50A40A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40210E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4F351B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373FF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5425BB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1154" w:type="dxa"/>
          </w:tcPr>
          <w:p w14:paraId="469B4F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01.08.36</w:t>
            </w:r>
          </w:p>
        </w:tc>
        <w:tc>
          <w:tcPr>
            <w:tcW w:w="2550" w:type="dxa"/>
          </w:tcPr>
          <w:p w14:paraId="4F3FF6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Четвериков</w:t>
            </w:r>
          </w:p>
        </w:tc>
      </w:tr>
      <w:tr w:rsidR="00E3599D" w:rsidRPr="00E14102" w14:paraId="14951FC9" w14:textId="77777777">
        <w:tc>
          <w:tcPr>
            <w:tcW w:w="2660" w:type="dxa"/>
          </w:tcPr>
          <w:p w14:paraId="4C2699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АРК-3 (арктический вариант МДР-6 для ГУСМП)</w:t>
            </w:r>
          </w:p>
        </w:tc>
        <w:tc>
          <w:tcPr>
            <w:tcW w:w="702" w:type="dxa"/>
          </w:tcPr>
          <w:p w14:paraId="7FDDC0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794193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63B294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54E900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09BC01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1154" w:type="dxa"/>
          </w:tcPr>
          <w:p w14:paraId="0C9177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01.02.36</w:t>
            </w:r>
          </w:p>
        </w:tc>
        <w:tc>
          <w:tcPr>
            <w:tcW w:w="2550" w:type="dxa"/>
          </w:tcPr>
          <w:p w14:paraId="43AE66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Четвериков</w:t>
            </w:r>
          </w:p>
        </w:tc>
      </w:tr>
      <w:tr w:rsidR="00E3599D" w:rsidRPr="00E14102" w14:paraId="3F53C56D" w14:textId="77777777">
        <w:tc>
          <w:tcPr>
            <w:tcW w:w="2660" w:type="dxa"/>
          </w:tcPr>
          <w:p w14:paraId="37F10B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АРК-3 для ГУГВФ</w:t>
            </w:r>
          </w:p>
        </w:tc>
        <w:tc>
          <w:tcPr>
            <w:tcW w:w="702" w:type="dxa"/>
          </w:tcPr>
          <w:p w14:paraId="35542C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79292D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3BB534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319D10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718A3C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1154" w:type="dxa"/>
          </w:tcPr>
          <w:p w14:paraId="5F4EE6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c>
          <w:tcPr>
            <w:tcW w:w="2550" w:type="dxa"/>
          </w:tcPr>
          <w:p w14:paraId="71009B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Четвериков</w:t>
            </w:r>
          </w:p>
        </w:tc>
      </w:tr>
      <w:tr w:rsidR="00E3599D" w:rsidRPr="00E14102" w14:paraId="2C557E9F" w14:textId="77777777">
        <w:tc>
          <w:tcPr>
            <w:tcW w:w="2660" w:type="dxa"/>
          </w:tcPr>
          <w:p w14:paraId="0BC9AD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Сталь 11</w:t>
            </w:r>
          </w:p>
        </w:tc>
        <w:tc>
          <w:tcPr>
            <w:tcW w:w="702" w:type="dxa"/>
          </w:tcPr>
          <w:p w14:paraId="53087B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077570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Pr>
          <w:p w14:paraId="3F7549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11A01B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Pr>
          <w:p w14:paraId="465274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81</w:t>
            </w:r>
          </w:p>
        </w:tc>
        <w:tc>
          <w:tcPr>
            <w:tcW w:w="1154" w:type="dxa"/>
          </w:tcPr>
          <w:p w14:paraId="6451AB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c>
          <w:tcPr>
            <w:tcW w:w="2550" w:type="dxa"/>
          </w:tcPr>
          <w:p w14:paraId="2C329A4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94BC5DC" w14:textId="77777777">
        <w:tc>
          <w:tcPr>
            <w:tcW w:w="2660" w:type="dxa"/>
            <w:tcBorders>
              <w:bottom w:val="single" w:sz="12" w:space="0" w:color="auto"/>
            </w:tcBorders>
          </w:tcPr>
          <w:p w14:paraId="66E751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ДКЛ 2МГ-31</w:t>
            </w:r>
          </w:p>
        </w:tc>
        <w:tc>
          <w:tcPr>
            <w:tcW w:w="702" w:type="dxa"/>
            <w:tcBorders>
              <w:bottom w:val="single" w:sz="12" w:space="0" w:color="auto"/>
            </w:tcBorders>
          </w:tcPr>
          <w:p w14:paraId="533487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Borders>
              <w:bottom w:val="single" w:sz="12" w:space="0" w:color="auto"/>
            </w:tcBorders>
          </w:tcPr>
          <w:p w14:paraId="2133A2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992" w:type="dxa"/>
            <w:tcBorders>
              <w:bottom w:val="single" w:sz="12" w:space="0" w:color="auto"/>
            </w:tcBorders>
          </w:tcPr>
          <w:p w14:paraId="54E6E1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Borders>
              <w:bottom w:val="single" w:sz="12" w:space="0" w:color="auto"/>
            </w:tcBorders>
          </w:tcPr>
          <w:p w14:paraId="386F8B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628" w:type="dxa"/>
            <w:tcBorders>
              <w:bottom w:val="single" w:sz="12" w:space="0" w:color="auto"/>
            </w:tcBorders>
          </w:tcPr>
          <w:p w14:paraId="2A3EAD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КАИ</w:t>
            </w:r>
          </w:p>
        </w:tc>
        <w:tc>
          <w:tcPr>
            <w:tcW w:w="1154" w:type="dxa"/>
            <w:tcBorders>
              <w:bottom w:val="single" w:sz="12" w:space="0" w:color="auto"/>
            </w:tcBorders>
          </w:tcPr>
          <w:p w14:paraId="41A46C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 (2166,32)</w:t>
            </w:r>
          </w:p>
        </w:tc>
        <w:tc>
          <w:tcPr>
            <w:tcW w:w="2550" w:type="dxa"/>
            <w:tcBorders>
              <w:bottom w:val="single" w:sz="12" w:space="0" w:color="auto"/>
            </w:tcBorders>
          </w:tcPr>
          <w:p w14:paraId="5BDC30DF" w14:textId="77777777" w:rsidR="00D4105E" w:rsidRPr="00E14102" w:rsidRDefault="00D4105E" w:rsidP="00E14102">
            <w:pPr>
              <w:autoSpaceDE w:val="0"/>
              <w:autoSpaceDN w:val="0"/>
              <w:adjustRightInd w:val="0"/>
              <w:jc w:val="both"/>
              <w:rPr>
                <w:color w:val="000000" w:themeColor="text1"/>
                <w:sz w:val="16"/>
                <w:szCs w:val="16"/>
              </w:rPr>
            </w:pPr>
          </w:p>
        </w:tc>
      </w:tr>
    </w:tbl>
    <w:p w14:paraId="5AF263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был подготовлен План постройки рекордных самолетов и моторов на 1936-1938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6"/>
        <w:gridCol w:w="1023"/>
        <w:gridCol w:w="1023"/>
        <w:gridCol w:w="3483"/>
      </w:tblGrid>
      <w:tr w:rsidR="00E3599D" w:rsidRPr="00E14102" w14:paraId="07D6F457" w14:textId="77777777">
        <w:tc>
          <w:tcPr>
            <w:tcW w:w="4786" w:type="dxa"/>
            <w:tcBorders>
              <w:top w:val="single" w:sz="12" w:space="0" w:color="auto"/>
            </w:tcBorders>
          </w:tcPr>
          <w:p w14:paraId="1FE063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N п/п и Наименование самолета и мотора</w:t>
            </w:r>
          </w:p>
        </w:tc>
        <w:tc>
          <w:tcPr>
            <w:tcW w:w="1023" w:type="dxa"/>
            <w:tcBorders>
              <w:top w:val="single" w:sz="12" w:space="0" w:color="auto"/>
            </w:tcBorders>
          </w:tcPr>
          <w:p w14:paraId="7E4B31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w:t>
            </w:r>
          </w:p>
        </w:tc>
        <w:tc>
          <w:tcPr>
            <w:tcW w:w="1023" w:type="dxa"/>
            <w:tcBorders>
              <w:top w:val="single" w:sz="12" w:space="0" w:color="auto"/>
            </w:tcBorders>
          </w:tcPr>
          <w:p w14:paraId="25C5A3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w:t>
            </w:r>
          </w:p>
        </w:tc>
        <w:tc>
          <w:tcPr>
            <w:tcW w:w="3483" w:type="dxa"/>
            <w:tcBorders>
              <w:top w:val="single" w:sz="12" w:space="0" w:color="auto"/>
            </w:tcBorders>
          </w:tcPr>
          <w:p w14:paraId="2A1BCE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Строй.</w:t>
            </w:r>
          </w:p>
        </w:tc>
      </w:tr>
      <w:tr w:rsidR="00E3599D" w:rsidRPr="00E14102" w14:paraId="44BFE030" w14:textId="77777777">
        <w:tc>
          <w:tcPr>
            <w:tcW w:w="4786" w:type="dxa"/>
          </w:tcPr>
          <w:p w14:paraId="5C68729D" w14:textId="77777777" w:rsidR="00D4105E" w:rsidRPr="00E14102" w:rsidRDefault="00D4105E" w:rsidP="00E14102">
            <w:pPr>
              <w:autoSpaceDE w:val="0"/>
              <w:autoSpaceDN w:val="0"/>
              <w:adjustRightInd w:val="0"/>
              <w:jc w:val="both"/>
              <w:rPr>
                <w:color w:val="000000" w:themeColor="text1"/>
                <w:sz w:val="16"/>
                <w:szCs w:val="16"/>
              </w:rPr>
            </w:pPr>
          </w:p>
        </w:tc>
        <w:tc>
          <w:tcPr>
            <w:tcW w:w="1023" w:type="dxa"/>
          </w:tcPr>
          <w:p w14:paraId="2E01D60A" w14:textId="77777777" w:rsidR="00D4105E" w:rsidRPr="00E14102" w:rsidRDefault="00D4105E" w:rsidP="00E14102">
            <w:pPr>
              <w:autoSpaceDE w:val="0"/>
              <w:autoSpaceDN w:val="0"/>
              <w:adjustRightInd w:val="0"/>
              <w:jc w:val="both"/>
              <w:rPr>
                <w:color w:val="000000" w:themeColor="text1"/>
                <w:sz w:val="16"/>
                <w:szCs w:val="16"/>
              </w:rPr>
            </w:pPr>
          </w:p>
        </w:tc>
        <w:tc>
          <w:tcPr>
            <w:tcW w:w="1023" w:type="dxa"/>
          </w:tcPr>
          <w:p w14:paraId="177D11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w:t>
            </w:r>
          </w:p>
        </w:tc>
        <w:tc>
          <w:tcPr>
            <w:tcW w:w="3483" w:type="dxa"/>
          </w:tcPr>
          <w:p w14:paraId="341FD8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w:t>
            </w:r>
          </w:p>
        </w:tc>
      </w:tr>
      <w:tr w:rsidR="00E3599D" w:rsidRPr="00E14102" w14:paraId="364A1B2D" w14:textId="77777777">
        <w:tc>
          <w:tcPr>
            <w:tcW w:w="4786" w:type="dxa"/>
          </w:tcPr>
          <w:p w14:paraId="100869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c>
          <w:tcPr>
            <w:tcW w:w="1023" w:type="dxa"/>
          </w:tcPr>
          <w:p w14:paraId="2DC63771" w14:textId="77777777" w:rsidR="00D4105E" w:rsidRPr="00E14102" w:rsidRDefault="00D4105E" w:rsidP="00E14102">
            <w:pPr>
              <w:autoSpaceDE w:val="0"/>
              <w:autoSpaceDN w:val="0"/>
              <w:adjustRightInd w:val="0"/>
              <w:jc w:val="both"/>
              <w:rPr>
                <w:color w:val="000000" w:themeColor="text1"/>
                <w:sz w:val="16"/>
                <w:szCs w:val="16"/>
              </w:rPr>
            </w:pPr>
          </w:p>
        </w:tc>
        <w:tc>
          <w:tcPr>
            <w:tcW w:w="1023" w:type="dxa"/>
          </w:tcPr>
          <w:p w14:paraId="2849AF23" w14:textId="77777777" w:rsidR="00D4105E" w:rsidRPr="00E14102" w:rsidRDefault="00D4105E" w:rsidP="00E14102">
            <w:pPr>
              <w:autoSpaceDE w:val="0"/>
              <w:autoSpaceDN w:val="0"/>
              <w:adjustRightInd w:val="0"/>
              <w:jc w:val="both"/>
              <w:rPr>
                <w:color w:val="000000" w:themeColor="text1"/>
                <w:sz w:val="16"/>
                <w:szCs w:val="16"/>
              </w:rPr>
            </w:pPr>
          </w:p>
        </w:tc>
        <w:tc>
          <w:tcPr>
            <w:tcW w:w="3483" w:type="dxa"/>
          </w:tcPr>
          <w:p w14:paraId="2DD0975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97A7F69" w14:textId="77777777">
        <w:tc>
          <w:tcPr>
            <w:tcW w:w="4786" w:type="dxa"/>
          </w:tcPr>
          <w:p w14:paraId="540166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Установка мотора М-34 с нагнетателем Рато на Рзет</w:t>
            </w:r>
          </w:p>
        </w:tc>
        <w:tc>
          <w:tcPr>
            <w:tcW w:w="1023" w:type="dxa"/>
          </w:tcPr>
          <w:p w14:paraId="54D4EE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23" w:type="dxa"/>
          </w:tcPr>
          <w:p w14:paraId="07D35A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06.36</w:t>
            </w:r>
          </w:p>
        </w:tc>
        <w:tc>
          <w:tcPr>
            <w:tcW w:w="3483" w:type="dxa"/>
          </w:tcPr>
          <w:p w14:paraId="52307E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r>
      <w:tr w:rsidR="00E3599D" w:rsidRPr="00E14102" w14:paraId="7BB30535" w14:textId="77777777">
        <w:tc>
          <w:tcPr>
            <w:tcW w:w="4786" w:type="dxa"/>
          </w:tcPr>
          <w:p w14:paraId="5B76B0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2. Рекордный самолет на высоте 16000-20000</w:t>
            </w:r>
          </w:p>
        </w:tc>
        <w:tc>
          <w:tcPr>
            <w:tcW w:w="1023" w:type="dxa"/>
          </w:tcPr>
          <w:p w14:paraId="736A1B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23" w:type="dxa"/>
          </w:tcPr>
          <w:p w14:paraId="48A6C0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06.37</w:t>
            </w:r>
          </w:p>
        </w:tc>
        <w:tc>
          <w:tcPr>
            <w:tcW w:w="3483" w:type="dxa"/>
          </w:tcPr>
          <w:p w14:paraId="403992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r>
      <w:tr w:rsidR="00E3599D" w:rsidRPr="00E14102" w14:paraId="5F76881B" w14:textId="77777777">
        <w:tc>
          <w:tcPr>
            <w:tcW w:w="4786" w:type="dxa"/>
          </w:tcPr>
          <w:p w14:paraId="1DDBC9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Рекордный самолет на высоте 16000-20000</w:t>
            </w:r>
          </w:p>
        </w:tc>
        <w:tc>
          <w:tcPr>
            <w:tcW w:w="1023" w:type="dxa"/>
          </w:tcPr>
          <w:p w14:paraId="13CE08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23" w:type="dxa"/>
          </w:tcPr>
          <w:p w14:paraId="62195D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06.37</w:t>
            </w:r>
          </w:p>
        </w:tc>
        <w:tc>
          <w:tcPr>
            <w:tcW w:w="3483" w:type="dxa"/>
          </w:tcPr>
          <w:p w14:paraId="021E4C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w:t>
            </w:r>
          </w:p>
        </w:tc>
      </w:tr>
      <w:tr w:rsidR="00E3599D" w:rsidRPr="00E14102" w14:paraId="353EE88B" w14:textId="77777777">
        <w:tc>
          <w:tcPr>
            <w:tcW w:w="4786" w:type="dxa"/>
          </w:tcPr>
          <w:p w14:paraId="61504F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Скоростной экспериментальный самолет</w:t>
            </w:r>
          </w:p>
        </w:tc>
        <w:tc>
          <w:tcPr>
            <w:tcW w:w="1023" w:type="dxa"/>
          </w:tcPr>
          <w:p w14:paraId="6115FE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23" w:type="dxa"/>
          </w:tcPr>
          <w:p w14:paraId="23C1F3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08.37</w:t>
            </w:r>
          </w:p>
        </w:tc>
        <w:tc>
          <w:tcPr>
            <w:tcW w:w="3483" w:type="dxa"/>
          </w:tcPr>
          <w:p w14:paraId="629CD2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r>
      <w:tr w:rsidR="00E3599D" w:rsidRPr="00E14102" w14:paraId="543A58ED" w14:textId="77777777">
        <w:tc>
          <w:tcPr>
            <w:tcW w:w="4786" w:type="dxa"/>
          </w:tcPr>
          <w:p w14:paraId="496BDD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Скоростной рекордный самолет</w:t>
            </w:r>
          </w:p>
        </w:tc>
        <w:tc>
          <w:tcPr>
            <w:tcW w:w="1023" w:type="dxa"/>
          </w:tcPr>
          <w:p w14:paraId="4A103E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700-750</w:t>
            </w:r>
          </w:p>
        </w:tc>
        <w:tc>
          <w:tcPr>
            <w:tcW w:w="1023" w:type="dxa"/>
          </w:tcPr>
          <w:p w14:paraId="6C3579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12.37</w:t>
            </w:r>
          </w:p>
        </w:tc>
        <w:tc>
          <w:tcPr>
            <w:tcW w:w="3483" w:type="dxa"/>
          </w:tcPr>
          <w:p w14:paraId="5A74F7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r>
      <w:tr w:rsidR="00E3599D" w:rsidRPr="00E14102" w14:paraId="0DCE4CEF" w14:textId="77777777">
        <w:tc>
          <w:tcPr>
            <w:tcW w:w="4786" w:type="dxa"/>
          </w:tcPr>
          <w:p w14:paraId="5D725A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Рекордный скоростной с маломощным мотором 400-500 нр</w:t>
            </w:r>
          </w:p>
        </w:tc>
        <w:tc>
          <w:tcPr>
            <w:tcW w:w="1023" w:type="dxa"/>
          </w:tcPr>
          <w:p w14:paraId="06F5C2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550-600</w:t>
            </w:r>
          </w:p>
        </w:tc>
        <w:tc>
          <w:tcPr>
            <w:tcW w:w="1023" w:type="dxa"/>
          </w:tcPr>
          <w:p w14:paraId="1D3CF6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08.37</w:t>
            </w:r>
          </w:p>
        </w:tc>
        <w:tc>
          <w:tcPr>
            <w:tcW w:w="3483" w:type="dxa"/>
          </w:tcPr>
          <w:p w14:paraId="46C1A4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r>
      <w:tr w:rsidR="00E3599D" w:rsidRPr="00E14102" w14:paraId="7B81B902" w14:textId="77777777">
        <w:tc>
          <w:tcPr>
            <w:tcW w:w="4786" w:type="dxa"/>
          </w:tcPr>
          <w:p w14:paraId="3E6A24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w:t>
            </w:r>
          </w:p>
        </w:tc>
        <w:tc>
          <w:tcPr>
            <w:tcW w:w="1023" w:type="dxa"/>
          </w:tcPr>
          <w:p w14:paraId="08F5B52F" w14:textId="77777777" w:rsidR="00D4105E" w:rsidRPr="00E14102" w:rsidRDefault="00D4105E" w:rsidP="00E14102">
            <w:pPr>
              <w:autoSpaceDE w:val="0"/>
              <w:autoSpaceDN w:val="0"/>
              <w:adjustRightInd w:val="0"/>
              <w:jc w:val="both"/>
              <w:rPr>
                <w:color w:val="000000" w:themeColor="text1"/>
                <w:sz w:val="16"/>
                <w:szCs w:val="16"/>
              </w:rPr>
            </w:pPr>
          </w:p>
        </w:tc>
        <w:tc>
          <w:tcPr>
            <w:tcW w:w="1023" w:type="dxa"/>
          </w:tcPr>
          <w:p w14:paraId="553470DD" w14:textId="77777777" w:rsidR="00D4105E" w:rsidRPr="00E14102" w:rsidRDefault="00D4105E" w:rsidP="00E14102">
            <w:pPr>
              <w:autoSpaceDE w:val="0"/>
              <w:autoSpaceDN w:val="0"/>
              <w:adjustRightInd w:val="0"/>
              <w:jc w:val="both"/>
              <w:rPr>
                <w:color w:val="000000" w:themeColor="text1"/>
                <w:sz w:val="16"/>
                <w:szCs w:val="16"/>
              </w:rPr>
            </w:pPr>
          </w:p>
        </w:tc>
        <w:tc>
          <w:tcPr>
            <w:tcW w:w="3483" w:type="dxa"/>
          </w:tcPr>
          <w:p w14:paraId="57DAAF3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E1AC20B" w14:textId="77777777">
        <w:tc>
          <w:tcPr>
            <w:tcW w:w="4786" w:type="dxa"/>
            <w:tcBorders>
              <w:bottom w:val="single" w:sz="12" w:space="0" w:color="auto"/>
            </w:tcBorders>
          </w:tcPr>
          <w:p w14:paraId="3AA379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М-34 форсированный (для рекорда скорости) 2000 нр</w:t>
            </w:r>
          </w:p>
        </w:tc>
        <w:tc>
          <w:tcPr>
            <w:tcW w:w="1023" w:type="dxa"/>
            <w:tcBorders>
              <w:bottom w:val="single" w:sz="12" w:space="0" w:color="auto"/>
            </w:tcBorders>
          </w:tcPr>
          <w:p w14:paraId="2C7D47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23" w:type="dxa"/>
            <w:tcBorders>
              <w:bottom w:val="single" w:sz="12" w:space="0" w:color="auto"/>
            </w:tcBorders>
          </w:tcPr>
          <w:p w14:paraId="5D2C5C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c>
          <w:tcPr>
            <w:tcW w:w="3483" w:type="dxa"/>
            <w:tcBorders>
              <w:bottom w:val="single" w:sz="12" w:space="0" w:color="auto"/>
            </w:tcBorders>
          </w:tcPr>
          <w:p w14:paraId="09F3EE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(2166,31)</w:t>
            </w:r>
          </w:p>
        </w:tc>
      </w:tr>
    </w:tbl>
    <w:p w14:paraId="139303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был подготовлен План опытного моторостроения на 1936-1937 (приложение № 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41"/>
        <w:gridCol w:w="1077"/>
        <w:gridCol w:w="1077"/>
        <w:gridCol w:w="1077"/>
        <w:gridCol w:w="1077"/>
        <w:gridCol w:w="1191"/>
        <w:gridCol w:w="1408"/>
        <w:gridCol w:w="2325"/>
      </w:tblGrid>
      <w:tr w:rsidR="00E3599D" w:rsidRPr="00E14102" w14:paraId="362A8A81" w14:textId="77777777">
        <w:tc>
          <w:tcPr>
            <w:tcW w:w="2041" w:type="dxa"/>
          </w:tcPr>
          <w:p w14:paraId="0A02C7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объектов</w:t>
            </w:r>
          </w:p>
        </w:tc>
        <w:tc>
          <w:tcPr>
            <w:tcW w:w="1077" w:type="dxa"/>
          </w:tcPr>
          <w:p w14:paraId="27A92D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w:t>
            </w:r>
          </w:p>
        </w:tc>
        <w:tc>
          <w:tcPr>
            <w:tcW w:w="1077" w:type="dxa"/>
          </w:tcPr>
          <w:p w14:paraId="203D11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Высотность</w:t>
            </w:r>
          </w:p>
        </w:tc>
        <w:tc>
          <w:tcPr>
            <w:tcW w:w="1077" w:type="dxa"/>
          </w:tcPr>
          <w:p w14:paraId="61D2BD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w:t>
            </w:r>
          </w:p>
        </w:tc>
        <w:tc>
          <w:tcPr>
            <w:tcW w:w="1077" w:type="dxa"/>
          </w:tcPr>
          <w:p w14:paraId="6CB5BF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 горючего</w:t>
            </w:r>
          </w:p>
        </w:tc>
        <w:tc>
          <w:tcPr>
            <w:tcW w:w="1191" w:type="dxa"/>
          </w:tcPr>
          <w:p w14:paraId="1372A5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1408" w:type="dxa"/>
          </w:tcPr>
          <w:p w14:paraId="3041A0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w:t>
            </w:r>
          </w:p>
        </w:tc>
        <w:tc>
          <w:tcPr>
            <w:tcW w:w="2325" w:type="dxa"/>
          </w:tcPr>
          <w:p w14:paraId="60A85D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0CF5182B" w14:textId="77777777">
        <w:tc>
          <w:tcPr>
            <w:tcW w:w="2041" w:type="dxa"/>
          </w:tcPr>
          <w:p w14:paraId="191037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 Опытные бензиновые моторы</w:t>
            </w:r>
          </w:p>
        </w:tc>
        <w:tc>
          <w:tcPr>
            <w:tcW w:w="1077" w:type="dxa"/>
          </w:tcPr>
          <w:p w14:paraId="1E2666E8"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42469544"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28D93A61"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30A16B90"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3BA8425D"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4106B577"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396C5B3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F6E9062" w14:textId="77777777">
        <w:tc>
          <w:tcPr>
            <w:tcW w:w="2041" w:type="dxa"/>
          </w:tcPr>
          <w:p w14:paraId="31ACD7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М-56 – 14 цилиндровая 2-х рядная звезда воздушного охлаждения</w:t>
            </w:r>
          </w:p>
        </w:tc>
        <w:tc>
          <w:tcPr>
            <w:tcW w:w="1077" w:type="dxa"/>
          </w:tcPr>
          <w:p w14:paraId="4ED063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077" w:type="dxa"/>
          </w:tcPr>
          <w:p w14:paraId="2B892A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w:t>
            </w:r>
          </w:p>
        </w:tc>
        <w:tc>
          <w:tcPr>
            <w:tcW w:w="1077" w:type="dxa"/>
          </w:tcPr>
          <w:p w14:paraId="483C45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1077" w:type="dxa"/>
          </w:tcPr>
          <w:p w14:paraId="4B49EF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w:t>
            </w:r>
          </w:p>
        </w:tc>
        <w:tc>
          <w:tcPr>
            <w:tcW w:w="1191" w:type="dxa"/>
          </w:tcPr>
          <w:p w14:paraId="6E6524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392CE3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w:t>
            </w:r>
          </w:p>
        </w:tc>
        <w:tc>
          <w:tcPr>
            <w:tcW w:w="2325" w:type="dxa"/>
          </w:tcPr>
          <w:p w14:paraId="0A31B16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3635157" w14:textId="77777777">
        <w:tc>
          <w:tcPr>
            <w:tcW w:w="2041" w:type="dxa"/>
          </w:tcPr>
          <w:p w14:paraId="3FA5D7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ММ-1 (маломощный мотор)</w:t>
            </w:r>
          </w:p>
        </w:tc>
        <w:tc>
          <w:tcPr>
            <w:tcW w:w="1077" w:type="dxa"/>
          </w:tcPr>
          <w:p w14:paraId="584E98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250-300</w:t>
            </w:r>
          </w:p>
        </w:tc>
        <w:tc>
          <w:tcPr>
            <w:tcW w:w="1077" w:type="dxa"/>
          </w:tcPr>
          <w:p w14:paraId="5A49C6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1077" w:type="dxa"/>
          </w:tcPr>
          <w:p w14:paraId="5B463D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225</w:t>
            </w:r>
          </w:p>
        </w:tc>
        <w:tc>
          <w:tcPr>
            <w:tcW w:w="1077" w:type="dxa"/>
          </w:tcPr>
          <w:p w14:paraId="30C31A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280-290</w:t>
            </w:r>
          </w:p>
        </w:tc>
        <w:tc>
          <w:tcPr>
            <w:tcW w:w="1191" w:type="dxa"/>
          </w:tcPr>
          <w:p w14:paraId="47CCF8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1D7410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w:t>
            </w:r>
          </w:p>
        </w:tc>
        <w:tc>
          <w:tcPr>
            <w:tcW w:w="2325" w:type="dxa"/>
          </w:tcPr>
          <w:p w14:paraId="08ACAC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Совместно с заводом № 16</w:t>
            </w:r>
          </w:p>
        </w:tc>
      </w:tr>
      <w:tr w:rsidR="00E3599D" w:rsidRPr="00E14102" w14:paraId="188763B0" w14:textId="77777777">
        <w:tc>
          <w:tcPr>
            <w:tcW w:w="2041" w:type="dxa"/>
          </w:tcPr>
          <w:p w14:paraId="74346D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Развитие мотора ММ-1 V-образного с опрокинутыми вниз цилиндрами воздушного охлаждения</w:t>
            </w:r>
          </w:p>
        </w:tc>
        <w:tc>
          <w:tcPr>
            <w:tcW w:w="1077" w:type="dxa"/>
          </w:tcPr>
          <w:p w14:paraId="1A5765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1077" w:type="dxa"/>
          </w:tcPr>
          <w:p w14:paraId="25CBF4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w:t>
            </w:r>
          </w:p>
        </w:tc>
        <w:tc>
          <w:tcPr>
            <w:tcW w:w="1077" w:type="dxa"/>
          </w:tcPr>
          <w:p w14:paraId="1C61FC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350-370</w:t>
            </w:r>
          </w:p>
        </w:tc>
        <w:tc>
          <w:tcPr>
            <w:tcW w:w="1077" w:type="dxa"/>
          </w:tcPr>
          <w:p w14:paraId="7613D7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723D9B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совместно с заводом № 16</w:t>
            </w:r>
          </w:p>
        </w:tc>
        <w:tc>
          <w:tcPr>
            <w:tcW w:w="1408" w:type="dxa"/>
          </w:tcPr>
          <w:p w14:paraId="4084D6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432C60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испытания</w:t>
            </w:r>
          </w:p>
        </w:tc>
      </w:tr>
      <w:tr w:rsidR="00E3599D" w:rsidRPr="00E14102" w14:paraId="4411E43A" w14:textId="77777777">
        <w:tc>
          <w:tcPr>
            <w:tcW w:w="2041" w:type="dxa"/>
          </w:tcPr>
          <w:p w14:paraId="1D081F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Бесклапанный мотор</w:t>
            </w:r>
          </w:p>
        </w:tc>
        <w:tc>
          <w:tcPr>
            <w:tcW w:w="1077" w:type="dxa"/>
          </w:tcPr>
          <w:p w14:paraId="5BAEF1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650-700</w:t>
            </w:r>
          </w:p>
        </w:tc>
        <w:tc>
          <w:tcPr>
            <w:tcW w:w="1077" w:type="dxa"/>
          </w:tcPr>
          <w:p w14:paraId="617BA1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1077" w:type="dxa"/>
          </w:tcPr>
          <w:p w14:paraId="5EE698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4F82B3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642524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7FFFD8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15143A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испытания</w:t>
            </w:r>
          </w:p>
        </w:tc>
      </w:tr>
      <w:tr w:rsidR="00E3599D" w:rsidRPr="00E14102" w14:paraId="50B1E91C" w14:textId="77777777">
        <w:tc>
          <w:tcPr>
            <w:tcW w:w="2041" w:type="dxa"/>
          </w:tcPr>
          <w:p w14:paraId="7D6D58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М-44 для торпедных катеров</w:t>
            </w:r>
          </w:p>
        </w:tc>
        <w:tc>
          <w:tcPr>
            <w:tcW w:w="1077" w:type="dxa"/>
          </w:tcPr>
          <w:p w14:paraId="66DF0D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1600</w:t>
            </w:r>
          </w:p>
        </w:tc>
        <w:tc>
          <w:tcPr>
            <w:tcW w:w="1077" w:type="dxa"/>
          </w:tcPr>
          <w:p w14:paraId="162246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3BFC1B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51CA13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506CFC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0015A6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w:t>
            </w:r>
          </w:p>
        </w:tc>
        <w:tc>
          <w:tcPr>
            <w:tcW w:w="2325" w:type="dxa"/>
          </w:tcPr>
          <w:p w14:paraId="59A6024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EC521E8" w14:textId="77777777">
        <w:tc>
          <w:tcPr>
            <w:tcW w:w="2041" w:type="dxa"/>
          </w:tcPr>
          <w:p w14:paraId="5448A8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Авиационные дизеля</w:t>
            </w:r>
          </w:p>
        </w:tc>
        <w:tc>
          <w:tcPr>
            <w:tcW w:w="1077" w:type="dxa"/>
          </w:tcPr>
          <w:p w14:paraId="027C801F"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7D4BD55D"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61454227"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3907BC31"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78CB7E76"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31BF6CD4"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17BED38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10BBCEE" w14:textId="77777777">
        <w:tc>
          <w:tcPr>
            <w:tcW w:w="2041" w:type="dxa"/>
          </w:tcPr>
          <w:p w14:paraId="3BB288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…-1А</w:t>
            </w:r>
          </w:p>
        </w:tc>
        <w:tc>
          <w:tcPr>
            <w:tcW w:w="1077" w:type="dxa"/>
          </w:tcPr>
          <w:p w14:paraId="4B2CE6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w:t>
            </w:r>
          </w:p>
        </w:tc>
        <w:tc>
          <w:tcPr>
            <w:tcW w:w="1077" w:type="dxa"/>
          </w:tcPr>
          <w:p w14:paraId="1480A6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1077" w:type="dxa"/>
          </w:tcPr>
          <w:p w14:paraId="2679C8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291DC8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170-180</w:t>
            </w:r>
          </w:p>
        </w:tc>
        <w:tc>
          <w:tcPr>
            <w:tcW w:w="1191" w:type="dxa"/>
          </w:tcPr>
          <w:p w14:paraId="76A183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2D4E37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w:t>
            </w:r>
          </w:p>
        </w:tc>
        <w:tc>
          <w:tcPr>
            <w:tcW w:w="2325" w:type="dxa"/>
          </w:tcPr>
          <w:p w14:paraId="2CC5F31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6C44825" w14:textId="77777777">
        <w:tc>
          <w:tcPr>
            <w:tcW w:w="2041" w:type="dxa"/>
          </w:tcPr>
          <w:p w14:paraId="7A5BCE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…-1Ф (форсированный)</w:t>
            </w:r>
          </w:p>
        </w:tc>
        <w:tc>
          <w:tcPr>
            <w:tcW w:w="1077" w:type="dxa"/>
          </w:tcPr>
          <w:p w14:paraId="2F196E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7DA6AC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1077" w:type="dxa"/>
          </w:tcPr>
          <w:p w14:paraId="7E3AF0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363459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170-180</w:t>
            </w:r>
          </w:p>
        </w:tc>
        <w:tc>
          <w:tcPr>
            <w:tcW w:w="1191" w:type="dxa"/>
          </w:tcPr>
          <w:p w14:paraId="114B7E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183C4F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1937 г.</w:t>
            </w:r>
          </w:p>
        </w:tc>
        <w:tc>
          <w:tcPr>
            <w:tcW w:w="2325" w:type="dxa"/>
          </w:tcPr>
          <w:p w14:paraId="5CB2145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AAB1B4D" w14:textId="77777777">
        <w:tc>
          <w:tcPr>
            <w:tcW w:w="2041" w:type="dxa"/>
          </w:tcPr>
          <w:p w14:paraId="23107F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…-314 цил., двухрядная звезда воздушного охлаждения</w:t>
            </w:r>
          </w:p>
        </w:tc>
        <w:tc>
          <w:tcPr>
            <w:tcW w:w="1077" w:type="dxa"/>
          </w:tcPr>
          <w:p w14:paraId="4B036C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077" w:type="dxa"/>
          </w:tcPr>
          <w:p w14:paraId="5D572E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1077" w:type="dxa"/>
          </w:tcPr>
          <w:p w14:paraId="748FD9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077" w:type="dxa"/>
          </w:tcPr>
          <w:p w14:paraId="4D9830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w:t>
            </w:r>
          </w:p>
        </w:tc>
        <w:tc>
          <w:tcPr>
            <w:tcW w:w="1191" w:type="dxa"/>
          </w:tcPr>
          <w:p w14:paraId="627895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470F18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2925D0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испытания</w:t>
            </w:r>
          </w:p>
        </w:tc>
      </w:tr>
      <w:tr w:rsidR="00E3599D" w:rsidRPr="00E14102" w14:paraId="1E1C075D" w14:textId="77777777">
        <w:tc>
          <w:tcPr>
            <w:tcW w:w="2041" w:type="dxa"/>
          </w:tcPr>
          <w:p w14:paraId="014322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III. Турбины</w:t>
            </w:r>
          </w:p>
        </w:tc>
        <w:tc>
          <w:tcPr>
            <w:tcW w:w="1077" w:type="dxa"/>
          </w:tcPr>
          <w:p w14:paraId="0794432C"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5DE1A9CE"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353C195E"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5DA5FEEB"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44315A0F"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3458BF60"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4BB29C1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9357E65" w14:textId="77777777">
        <w:tc>
          <w:tcPr>
            <w:tcW w:w="2041" w:type="dxa"/>
          </w:tcPr>
          <w:p w14:paraId="345333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ГТ газовая турбина</w:t>
            </w:r>
          </w:p>
        </w:tc>
        <w:tc>
          <w:tcPr>
            <w:tcW w:w="1077" w:type="dxa"/>
          </w:tcPr>
          <w:p w14:paraId="76F748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07A2F2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1139A9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6C3B29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34B6BE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ВТИ и Кировский завод</w:t>
            </w:r>
          </w:p>
        </w:tc>
        <w:tc>
          <w:tcPr>
            <w:tcW w:w="1408" w:type="dxa"/>
          </w:tcPr>
          <w:p w14:paraId="61A3D8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65B559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испытания</w:t>
            </w:r>
          </w:p>
        </w:tc>
      </w:tr>
      <w:tr w:rsidR="00E3599D" w:rsidRPr="00E14102" w14:paraId="5E956B2D" w14:textId="77777777">
        <w:tc>
          <w:tcPr>
            <w:tcW w:w="2041" w:type="dxa"/>
          </w:tcPr>
          <w:p w14:paraId="143EDE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Модификация серийных моторов</w:t>
            </w:r>
          </w:p>
        </w:tc>
        <w:tc>
          <w:tcPr>
            <w:tcW w:w="1077" w:type="dxa"/>
          </w:tcPr>
          <w:p w14:paraId="4AFB1C37"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1E7635F6"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3800D8E3"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138D50FD"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2F68A931"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5D2F87E1"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037C9CB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75FEDAA" w14:textId="77777777">
        <w:tc>
          <w:tcPr>
            <w:tcW w:w="2041" w:type="dxa"/>
          </w:tcPr>
          <w:p w14:paraId="253D94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М25 Д двухрядная 18-ти цилиндровая звезда</w:t>
            </w:r>
          </w:p>
        </w:tc>
        <w:tc>
          <w:tcPr>
            <w:tcW w:w="1077" w:type="dxa"/>
          </w:tcPr>
          <w:p w14:paraId="46848A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1250</w:t>
            </w:r>
          </w:p>
        </w:tc>
        <w:tc>
          <w:tcPr>
            <w:tcW w:w="1077" w:type="dxa"/>
          </w:tcPr>
          <w:p w14:paraId="65D15E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2500</w:t>
            </w:r>
          </w:p>
        </w:tc>
        <w:tc>
          <w:tcPr>
            <w:tcW w:w="1077" w:type="dxa"/>
          </w:tcPr>
          <w:p w14:paraId="2C1A1F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077" w:type="dxa"/>
          </w:tcPr>
          <w:p w14:paraId="014413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1191" w:type="dxa"/>
          </w:tcPr>
          <w:p w14:paraId="2B9A0B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19</w:t>
            </w:r>
          </w:p>
        </w:tc>
        <w:tc>
          <w:tcPr>
            <w:tcW w:w="1408" w:type="dxa"/>
          </w:tcPr>
          <w:p w14:paraId="4FB3E9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44024D6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8274133" w14:textId="77777777">
        <w:tc>
          <w:tcPr>
            <w:tcW w:w="2041" w:type="dxa"/>
          </w:tcPr>
          <w:p w14:paraId="262D61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М-25 с 2-х скоростным нагнетателем (М-62)</w:t>
            </w:r>
          </w:p>
        </w:tc>
        <w:tc>
          <w:tcPr>
            <w:tcW w:w="1077" w:type="dxa"/>
          </w:tcPr>
          <w:p w14:paraId="36084E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077" w:type="dxa"/>
          </w:tcPr>
          <w:p w14:paraId="77AA61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5E7D24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1077" w:type="dxa"/>
          </w:tcPr>
          <w:p w14:paraId="0200B2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1191" w:type="dxa"/>
          </w:tcPr>
          <w:p w14:paraId="6FDB72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19</w:t>
            </w:r>
          </w:p>
        </w:tc>
        <w:tc>
          <w:tcPr>
            <w:tcW w:w="1408" w:type="dxa"/>
          </w:tcPr>
          <w:p w14:paraId="50B330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w:t>
            </w:r>
          </w:p>
        </w:tc>
        <w:tc>
          <w:tcPr>
            <w:tcW w:w="2325" w:type="dxa"/>
          </w:tcPr>
          <w:p w14:paraId="0555659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6C0AE06" w14:textId="77777777">
        <w:tc>
          <w:tcPr>
            <w:tcW w:w="2041" w:type="dxa"/>
          </w:tcPr>
          <w:p w14:paraId="54FD18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М-34ФРН</w:t>
            </w:r>
          </w:p>
        </w:tc>
        <w:tc>
          <w:tcPr>
            <w:tcW w:w="1077" w:type="dxa"/>
          </w:tcPr>
          <w:p w14:paraId="0C96FC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175810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28750B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680</w:t>
            </w:r>
          </w:p>
        </w:tc>
        <w:tc>
          <w:tcPr>
            <w:tcW w:w="1077" w:type="dxa"/>
          </w:tcPr>
          <w:p w14:paraId="2D5722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255-265</w:t>
            </w:r>
          </w:p>
        </w:tc>
        <w:tc>
          <w:tcPr>
            <w:tcW w:w="1191" w:type="dxa"/>
          </w:tcPr>
          <w:p w14:paraId="02E458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408" w:type="dxa"/>
          </w:tcPr>
          <w:p w14:paraId="0D358D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1936 г.</w:t>
            </w:r>
          </w:p>
        </w:tc>
        <w:tc>
          <w:tcPr>
            <w:tcW w:w="2325" w:type="dxa"/>
          </w:tcPr>
          <w:p w14:paraId="5A930F5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6A3C52" w14:textId="77777777">
        <w:tc>
          <w:tcPr>
            <w:tcW w:w="2041" w:type="dxa"/>
          </w:tcPr>
          <w:p w14:paraId="38E111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М-34ФН</w:t>
            </w:r>
          </w:p>
        </w:tc>
        <w:tc>
          <w:tcPr>
            <w:tcW w:w="1077" w:type="dxa"/>
          </w:tcPr>
          <w:p w14:paraId="2D783F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792447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7FC97D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1077" w:type="dxa"/>
          </w:tcPr>
          <w:p w14:paraId="6FD221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255-265</w:t>
            </w:r>
          </w:p>
        </w:tc>
        <w:tc>
          <w:tcPr>
            <w:tcW w:w="1191" w:type="dxa"/>
          </w:tcPr>
          <w:p w14:paraId="6B4A9C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408" w:type="dxa"/>
          </w:tcPr>
          <w:p w14:paraId="287238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1936 г.</w:t>
            </w:r>
          </w:p>
        </w:tc>
        <w:tc>
          <w:tcPr>
            <w:tcW w:w="2325" w:type="dxa"/>
          </w:tcPr>
          <w:p w14:paraId="40E0780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4F6B09D" w14:textId="77777777">
        <w:tc>
          <w:tcPr>
            <w:tcW w:w="2041" w:type="dxa"/>
          </w:tcPr>
          <w:p w14:paraId="4C991F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смешанного охлаждения</w:t>
            </w:r>
          </w:p>
        </w:tc>
        <w:tc>
          <w:tcPr>
            <w:tcW w:w="1077" w:type="dxa"/>
          </w:tcPr>
          <w:p w14:paraId="2957B2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1050</w:t>
            </w:r>
          </w:p>
        </w:tc>
        <w:tc>
          <w:tcPr>
            <w:tcW w:w="1077" w:type="dxa"/>
          </w:tcPr>
          <w:p w14:paraId="247055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w:t>
            </w:r>
          </w:p>
        </w:tc>
        <w:tc>
          <w:tcPr>
            <w:tcW w:w="1077" w:type="dxa"/>
          </w:tcPr>
          <w:p w14:paraId="0488FD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165EC5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255-265</w:t>
            </w:r>
          </w:p>
        </w:tc>
        <w:tc>
          <w:tcPr>
            <w:tcW w:w="1191" w:type="dxa"/>
          </w:tcPr>
          <w:p w14:paraId="4CD59E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408" w:type="dxa"/>
          </w:tcPr>
          <w:p w14:paraId="3A3764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7A1439B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0C19DFD" w14:textId="77777777">
        <w:tc>
          <w:tcPr>
            <w:tcW w:w="2041" w:type="dxa"/>
          </w:tcPr>
          <w:p w14:paraId="36E26B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ГМ-34НБ для торпедных катеров форсир. с нагнетателем</w:t>
            </w:r>
          </w:p>
        </w:tc>
        <w:tc>
          <w:tcPr>
            <w:tcW w:w="1077" w:type="dxa"/>
          </w:tcPr>
          <w:p w14:paraId="2744C5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1250</w:t>
            </w:r>
          </w:p>
        </w:tc>
        <w:tc>
          <w:tcPr>
            <w:tcW w:w="1077" w:type="dxa"/>
          </w:tcPr>
          <w:p w14:paraId="14498D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64CDC2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449A45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6D5B36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408" w:type="dxa"/>
          </w:tcPr>
          <w:p w14:paraId="5F4468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5E5728B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6C8E45B" w14:textId="77777777">
        <w:tc>
          <w:tcPr>
            <w:tcW w:w="2041" w:type="dxa"/>
          </w:tcPr>
          <w:p w14:paraId="2ED6E4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М-86 (развитие К-9) двухрядная 18-ти цилиндровая звезда</w:t>
            </w:r>
          </w:p>
        </w:tc>
        <w:tc>
          <w:tcPr>
            <w:tcW w:w="1077" w:type="dxa"/>
          </w:tcPr>
          <w:p w14:paraId="051749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1050</w:t>
            </w:r>
          </w:p>
        </w:tc>
        <w:tc>
          <w:tcPr>
            <w:tcW w:w="1077" w:type="dxa"/>
          </w:tcPr>
          <w:p w14:paraId="697640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1077" w:type="dxa"/>
          </w:tcPr>
          <w:p w14:paraId="78921C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700-750</w:t>
            </w:r>
          </w:p>
        </w:tc>
        <w:tc>
          <w:tcPr>
            <w:tcW w:w="1077" w:type="dxa"/>
          </w:tcPr>
          <w:p w14:paraId="18619C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1191" w:type="dxa"/>
          </w:tcPr>
          <w:p w14:paraId="73B4AA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1408" w:type="dxa"/>
          </w:tcPr>
          <w:p w14:paraId="750598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72BC244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E3A536E" w14:textId="77777777">
        <w:tc>
          <w:tcPr>
            <w:tcW w:w="2041" w:type="dxa"/>
          </w:tcPr>
          <w:p w14:paraId="53ED36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М-85Ф (форсированный)</w:t>
            </w:r>
          </w:p>
        </w:tc>
        <w:tc>
          <w:tcPr>
            <w:tcW w:w="1077" w:type="dxa"/>
          </w:tcPr>
          <w:p w14:paraId="4E5D06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950</w:t>
            </w:r>
          </w:p>
        </w:tc>
        <w:tc>
          <w:tcPr>
            <w:tcW w:w="1077" w:type="dxa"/>
          </w:tcPr>
          <w:p w14:paraId="61C4ED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1077" w:type="dxa"/>
          </w:tcPr>
          <w:p w14:paraId="5AD879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630</w:t>
            </w:r>
          </w:p>
        </w:tc>
        <w:tc>
          <w:tcPr>
            <w:tcW w:w="1077" w:type="dxa"/>
          </w:tcPr>
          <w:p w14:paraId="3DBB20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1191" w:type="dxa"/>
          </w:tcPr>
          <w:p w14:paraId="4EC9CE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1408" w:type="dxa"/>
          </w:tcPr>
          <w:p w14:paraId="2F0398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 г.</w:t>
            </w:r>
          </w:p>
        </w:tc>
        <w:tc>
          <w:tcPr>
            <w:tcW w:w="2325" w:type="dxa"/>
          </w:tcPr>
          <w:p w14:paraId="380FB90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DF8A0E6" w14:textId="77777777">
        <w:tc>
          <w:tcPr>
            <w:tcW w:w="2041" w:type="dxa"/>
          </w:tcPr>
          <w:p w14:paraId="2E9F6F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М-100Ф (форсированный)</w:t>
            </w:r>
          </w:p>
        </w:tc>
        <w:tc>
          <w:tcPr>
            <w:tcW w:w="1077" w:type="dxa"/>
          </w:tcPr>
          <w:p w14:paraId="3586CD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950</w:t>
            </w:r>
          </w:p>
        </w:tc>
        <w:tc>
          <w:tcPr>
            <w:tcW w:w="1077" w:type="dxa"/>
          </w:tcPr>
          <w:p w14:paraId="0F74AC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1077" w:type="dxa"/>
          </w:tcPr>
          <w:p w14:paraId="09FE5F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1077" w:type="dxa"/>
          </w:tcPr>
          <w:p w14:paraId="7EAAC4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w:t>
            </w:r>
          </w:p>
        </w:tc>
        <w:tc>
          <w:tcPr>
            <w:tcW w:w="1191" w:type="dxa"/>
          </w:tcPr>
          <w:p w14:paraId="784AC8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26</w:t>
            </w:r>
          </w:p>
        </w:tc>
        <w:tc>
          <w:tcPr>
            <w:tcW w:w="1408" w:type="dxa"/>
          </w:tcPr>
          <w:p w14:paraId="67F4ED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 г.</w:t>
            </w:r>
          </w:p>
        </w:tc>
        <w:tc>
          <w:tcPr>
            <w:tcW w:w="2325" w:type="dxa"/>
          </w:tcPr>
          <w:p w14:paraId="3A34FDC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333FFD4" w14:textId="77777777">
        <w:tc>
          <w:tcPr>
            <w:tcW w:w="2041" w:type="dxa"/>
          </w:tcPr>
          <w:p w14:paraId="664156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Новые агрегаты</w:t>
            </w:r>
          </w:p>
        </w:tc>
        <w:tc>
          <w:tcPr>
            <w:tcW w:w="1077" w:type="dxa"/>
          </w:tcPr>
          <w:p w14:paraId="73A8AF67"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295DE51A"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122AD277"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0FD8E5AB"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0EEF7AB6"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14434454"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73A1046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8A060A9" w14:textId="77777777">
        <w:tc>
          <w:tcPr>
            <w:tcW w:w="2041" w:type="dxa"/>
          </w:tcPr>
          <w:p w14:paraId="7CEA11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на непосредственный впрыск моторов М34, М100, М25, М85</w:t>
            </w:r>
          </w:p>
        </w:tc>
        <w:tc>
          <w:tcPr>
            <w:tcW w:w="1077" w:type="dxa"/>
          </w:tcPr>
          <w:p w14:paraId="3ABD93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15BD4D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1A6173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79029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609AFB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совместно с заводами</w:t>
            </w:r>
          </w:p>
        </w:tc>
        <w:tc>
          <w:tcPr>
            <w:tcW w:w="1408" w:type="dxa"/>
          </w:tcPr>
          <w:p w14:paraId="349F21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w:t>
            </w:r>
          </w:p>
          <w:p w14:paraId="57D259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3BCAA8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М34 предъявл. к 1 апреля 1936 г.</w:t>
            </w:r>
          </w:p>
        </w:tc>
      </w:tr>
      <w:tr w:rsidR="00E3599D" w:rsidRPr="00E14102" w14:paraId="6643066C" w14:textId="77777777">
        <w:tc>
          <w:tcPr>
            <w:tcW w:w="2041" w:type="dxa"/>
          </w:tcPr>
          <w:p w14:paraId="6BA924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Повышение высотности моторов М34, М100 и М85 (двухступенч. и двухскор. нагнет.) </w:t>
            </w:r>
          </w:p>
        </w:tc>
        <w:tc>
          <w:tcPr>
            <w:tcW w:w="1077" w:type="dxa"/>
          </w:tcPr>
          <w:p w14:paraId="52E8A0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415D77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6000</w:t>
            </w:r>
          </w:p>
        </w:tc>
        <w:tc>
          <w:tcPr>
            <w:tcW w:w="1077" w:type="dxa"/>
          </w:tcPr>
          <w:p w14:paraId="39AE7C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5F00D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15324A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совместно с заводами</w:t>
            </w:r>
          </w:p>
        </w:tc>
        <w:tc>
          <w:tcPr>
            <w:tcW w:w="1408" w:type="dxa"/>
          </w:tcPr>
          <w:p w14:paraId="4562C2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1936 г.</w:t>
            </w:r>
          </w:p>
          <w:p w14:paraId="78DF2D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24E0FC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М34 предъявл. к 1 марта 1936 г.</w:t>
            </w:r>
          </w:p>
        </w:tc>
      </w:tr>
      <w:tr w:rsidR="00E3599D" w:rsidRPr="00E14102" w14:paraId="5F4A089E" w14:textId="77777777">
        <w:tc>
          <w:tcPr>
            <w:tcW w:w="2041" w:type="dxa"/>
          </w:tcPr>
          <w:p w14:paraId="345A54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Повышение высотности моторов М34 (турбокомпрессор)</w:t>
            </w:r>
          </w:p>
        </w:tc>
        <w:tc>
          <w:tcPr>
            <w:tcW w:w="1077" w:type="dxa"/>
          </w:tcPr>
          <w:p w14:paraId="085DD3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127EB9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8500</w:t>
            </w:r>
          </w:p>
        </w:tc>
        <w:tc>
          <w:tcPr>
            <w:tcW w:w="1077" w:type="dxa"/>
          </w:tcPr>
          <w:p w14:paraId="229605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06B2C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5AA090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5CC8D5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w:t>
            </w:r>
          </w:p>
        </w:tc>
        <w:tc>
          <w:tcPr>
            <w:tcW w:w="2325" w:type="dxa"/>
          </w:tcPr>
          <w:p w14:paraId="1FAA31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на самолете</w:t>
            </w:r>
          </w:p>
        </w:tc>
      </w:tr>
      <w:tr w:rsidR="00E3599D" w:rsidRPr="00E14102" w14:paraId="13E7FA21" w14:textId="77777777">
        <w:tc>
          <w:tcPr>
            <w:tcW w:w="2041" w:type="dxa"/>
          </w:tcPr>
          <w:p w14:paraId="363986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Центральный наддув к самолету ТБ3</w:t>
            </w:r>
          </w:p>
        </w:tc>
        <w:tc>
          <w:tcPr>
            <w:tcW w:w="1077" w:type="dxa"/>
          </w:tcPr>
          <w:p w14:paraId="57DA01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617415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8000-9000</w:t>
            </w:r>
          </w:p>
        </w:tc>
        <w:tc>
          <w:tcPr>
            <w:tcW w:w="1077" w:type="dxa"/>
          </w:tcPr>
          <w:p w14:paraId="3D669D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4BA42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188472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2C3A64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w:t>
            </w:r>
          </w:p>
        </w:tc>
        <w:tc>
          <w:tcPr>
            <w:tcW w:w="2325" w:type="dxa"/>
          </w:tcPr>
          <w:p w14:paraId="572725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на самолете</w:t>
            </w:r>
          </w:p>
        </w:tc>
      </w:tr>
      <w:tr w:rsidR="00E3599D" w:rsidRPr="00E14102" w14:paraId="10BE7916" w14:textId="77777777">
        <w:tc>
          <w:tcPr>
            <w:tcW w:w="2041" w:type="dxa"/>
          </w:tcPr>
          <w:p w14:paraId="45737A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Центральный наддув к самолету ТБ7</w:t>
            </w:r>
          </w:p>
        </w:tc>
        <w:tc>
          <w:tcPr>
            <w:tcW w:w="1077" w:type="dxa"/>
          </w:tcPr>
          <w:p w14:paraId="7A2DDC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4C79BF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8000-9000</w:t>
            </w:r>
          </w:p>
        </w:tc>
        <w:tc>
          <w:tcPr>
            <w:tcW w:w="1077" w:type="dxa"/>
          </w:tcPr>
          <w:p w14:paraId="75C511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42E3E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1D1FD0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с ЦАГИ</w:t>
            </w:r>
          </w:p>
        </w:tc>
        <w:tc>
          <w:tcPr>
            <w:tcW w:w="1408" w:type="dxa"/>
          </w:tcPr>
          <w:p w14:paraId="6887B9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w:t>
            </w:r>
          </w:p>
        </w:tc>
        <w:tc>
          <w:tcPr>
            <w:tcW w:w="2325" w:type="dxa"/>
          </w:tcPr>
          <w:p w14:paraId="39DA8F76" w14:textId="77777777" w:rsidR="00D4105E" w:rsidRPr="00E14102" w:rsidRDefault="00D4105E" w:rsidP="00E14102">
            <w:pPr>
              <w:autoSpaceDE w:val="0"/>
              <w:autoSpaceDN w:val="0"/>
              <w:adjustRightInd w:val="0"/>
              <w:jc w:val="both"/>
              <w:rPr>
                <w:color w:val="000000" w:themeColor="text1"/>
                <w:sz w:val="16"/>
                <w:szCs w:val="16"/>
              </w:rPr>
            </w:pPr>
          </w:p>
        </w:tc>
      </w:tr>
    </w:tbl>
    <w:p w14:paraId="763804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(3574,87-88)</w:t>
      </w:r>
    </w:p>
    <w:p w14:paraId="5E22D4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1935 был подготовлен Перечень объектов, которые ГУАП предлагает снять с плана опытного строительства на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797"/>
        <w:gridCol w:w="797"/>
        <w:gridCol w:w="797"/>
        <w:gridCol w:w="797"/>
        <w:gridCol w:w="797"/>
        <w:gridCol w:w="797"/>
        <w:gridCol w:w="2448"/>
      </w:tblGrid>
      <w:tr w:rsidR="00E3599D" w:rsidRPr="00E14102" w14:paraId="3CE84176" w14:textId="77777777">
        <w:tc>
          <w:tcPr>
            <w:tcW w:w="3085" w:type="dxa"/>
            <w:tcBorders>
              <w:top w:val="single" w:sz="12" w:space="0" w:color="auto"/>
            </w:tcBorders>
          </w:tcPr>
          <w:p w14:paraId="794B17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Сухопутные самолеты</w:t>
            </w:r>
          </w:p>
        </w:tc>
        <w:tc>
          <w:tcPr>
            <w:tcW w:w="797" w:type="dxa"/>
            <w:tcBorders>
              <w:top w:val="single" w:sz="12" w:space="0" w:color="auto"/>
            </w:tcBorders>
          </w:tcPr>
          <w:p w14:paraId="50C56E4B"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top w:val="single" w:sz="12" w:space="0" w:color="auto"/>
            </w:tcBorders>
          </w:tcPr>
          <w:p w14:paraId="412515C7"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top w:val="single" w:sz="12" w:space="0" w:color="auto"/>
            </w:tcBorders>
          </w:tcPr>
          <w:p w14:paraId="46C147AA"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top w:val="single" w:sz="12" w:space="0" w:color="auto"/>
            </w:tcBorders>
          </w:tcPr>
          <w:p w14:paraId="7FE70C76"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top w:val="single" w:sz="12" w:space="0" w:color="auto"/>
            </w:tcBorders>
          </w:tcPr>
          <w:p w14:paraId="5DD6048D"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top w:val="single" w:sz="12" w:space="0" w:color="auto"/>
            </w:tcBorders>
          </w:tcPr>
          <w:p w14:paraId="76796E76" w14:textId="77777777" w:rsidR="00D4105E" w:rsidRPr="00E14102" w:rsidRDefault="00D4105E" w:rsidP="00E14102">
            <w:pPr>
              <w:autoSpaceDE w:val="0"/>
              <w:autoSpaceDN w:val="0"/>
              <w:adjustRightInd w:val="0"/>
              <w:jc w:val="both"/>
              <w:rPr>
                <w:color w:val="000000" w:themeColor="text1"/>
                <w:sz w:val="16"/>
                <w:szCs w:val="16"/>
              </w:rPr>
            </w:pPr>
          </w:p>
        </w:tc>
        <w:tc>
          <w:tcPr>
            <w:tcW w:w="2448" w:type="dxa"/>
            <w:tcBorders>
              <w:top w:val="single" w:sz="12" w:space="0" w:color="auto"/>
            </w:tcBorders>
          </w:tcPr>
          <w:p w14:paraId="2B8F8B8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5401F14" w14:textId="77777777">
        <w:tc>
          <w:tcPr>
            <w:tcW w:w="3085" w:type="dxa"/>
          </w:tcPr>
          <w:p w14:paraId="352425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Скоростной разведчик</w:t>
            </w:r>
          </w:p>
        </w:tc>
        <w:tc>
          <w:tcPr>
            <w:tcW w:w="797" w:type="dxa"/>
          </w:tcPr>
          <w:p w14:paraId="46AD83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797" w:type="dxa"/>
          </w:tcPr>
          <w:p w14:paraId="099E0F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797" w:type="dxa"/>
          </w:tcPr>
          <w:p w14:paraId="0FD78E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797" w:type="dxa"/>
          </w:tcPr>
          <w:p w14:paraId="5B7B58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797" w:type="dxa"/>
          </w:tcPr>
          <w:p w14:paraId="25F16F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135</w:t>
            </w:r>
          </w:p>
        </w:tc>
        <w:tc>
          <w:tcPr>
            <w:tcW w:w="797" w:type="dxa"/>
          </w:tcPr>
          <w:p w14:paraId="3A4C05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448" w:type="dxa"/>
          </w:tcPr>
          <w:p w14:paraId="117D0B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Если Неман на 135</w:t>
            </w:r>
          </w:p>
        </w:tc>
      </w:tr>
      <w:tr w:rsidR="00E3599D" w:rsidRPr="00E14102" w14:paraId="6D27B9CD" w14:textId="77777777">
        <w:tc>
          <w:tcPr>
            <w:tcW w:w="3085" w:type="dxa"/>
          </w:tcPr>
          <w:p w14:paraId="07F505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Войсковой самолет (2-х местный) с М-34ФРН</w:t>
            </w:r>
          </w:p>
        </w:tc>
        <w:tc>
          <w:tcPr>
            <w:tcW w:w="797" w:type="dxa"/>
          </w:tcPr>
          <w:p w14:paraId="5DEB70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3-5000</w:t>
            </w:r>
          </w:p>
        </w:tc>
        <w:tc>
          <w:tcPr>
            <w:tcW w:w="797" w:type="dxa"/>
          </w:tcPr>
          <w:p w14:paraId="2C3549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350-400</w:t>
            </w:r>
          </w:p>
        </w:tc>
        <w:tc>
          <w:tcPr>
            <w:tcW w:w="797" w:type="dxa"/>
          </w:tcPr>
          <w:p w14:paraId="135783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89-90</w:t>
            </w:r>
          </w:p>
        </w:tc>
        <w:tc>
          <w:tcPr>
            <w:tcW w:w="797" w:type="dxa"/>
          </w:tcPr>
          <w:p w14:paraId="1F6469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797" w:type="dxa"/>
          </w:tcPr>
          <w:p w14:paraId="6A3AEB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w:t>
            </w:r>
          </w:p>
        </w:tc>
        <w:tc>
          <w:tcPr>
            <w:tcW w:w="797" w:type="dxa"/>
          </w:tcPr>
          <w:p w14:paraId="717808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w:t>
            </w:r>
          </w:p>
        </w:tc>
        <w:tc>
          <w:tcPr>
            <w:tcW w:w="2448" w:type="dxa"/>
          </w:tcPr>
          <w:p w14:paraId="24F885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бриг. Кочеригина</w:t>
            </w:r>
          </w:p>
        </w:tc>
      </w:tr>
      <w:tr w:rsidR="00E3599D" w:rsidRPr="00E14102" w14:paraId="68EDE9F0" w14:textId="77777777">
        <w:tc>
          <w:tcPr>
            <w:tcW w:w="3085" w:type="dxa"/>
          </w:tcPr>
          <w:p w14:paraId="280FCF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УТИ МГ-21 или МГ-31 учебно-тренировочный И</w:t>
            </w:r>
          </w:p>
        </w:tc>
        <w:tc>
          <w:tcPr>
            <w:tcW w:w="797" w:type="dxa"/>
          </w:tcPr>
          <w:p w14:paraId="01A8AB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3EB56B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50F77B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4140A2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679FC3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797" w:type="dxa"/>
          </w:tcPr>
          <w:p w14:paraId="77129F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448" w:type="dxa"/>
          </w:tcPr>
          <w:p w14:paraId="208D54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по моторам</w:t>
            </w:r>
          </w:p>
        </w:tc>
      </w:tr>
      <w:tr w:rsidR="00E3599D" w:rsidRPr="00E14102" w14:paraId="2AA304DF" w14:textId="77777777">
        <w:tc>
          <w:tcPr>
            <w:tcW w:w="3085" w:type="dxa"/>
          </w:tcPr>
          <w:p w14:paraId="0A3489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УТИ МГ-21 или МГ-31 учебно-тренировочный И</w:t>
            </w:r>
          </w:p>
        </w:tc>
        <w:tc>
          <w:tcPr>
            <w:tcW w:w="797" w:type="dxa"/>
          </w:tcPr>
          <w:p w14:paraId="1C893A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579E85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776326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31BF5F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15D20E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КАИ</w:t>
            </w:r>
          </w:p>
        </w:tc>
        <w:tc>
          <w:tcPr>
            <w:tcW w:w="797" w:type="dxa"/>
          </w:tcPr>
          <w:p w14:paraId="367F66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c>
          <w:tcPr>
            <w:tcW w:w="2448" w:type="dxa"/>
          </w:tcPr>
          <w:p w14:paraId="5092CBD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94904C" w14:textId="77777777">
        <w:tc>
          <w:tcPr>
            <w:tcW w:w="3085" w:type="dxa"/>
          </w:tcPr>
          <w:p w14:paraId="4AFEAB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Дальний морской разведчик МДР-6</w:t>
            </w:r>
          </w:p>
        </w:tc>
        <w:tc>
          <w:tcPr>
            <w:tcW w:w="797" w:type="dxa"/>
          </w:tcPr>
          <w:p w14:paraId="2717EB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797" w:type="dxa"/>
          </w:tcPr>
          <w:p w14:paraId="5BA37C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300-350</w:t>
            </w:r>
          </w:p>
        </w:tc>
        <w:tc>
          <w:tcPr>
            <w:tcW w:w="797" w:type="dxa"/>
          </w:tcPr>
          <w:p w14:paraId="29F944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5AD83B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34643A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797" w:type="dxa"/>
          </w:tcPr>
          <w:p w14:paraId="04351A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01.06.36</w:t>
            </w:r>
          </w:p>
        </w:tc>
        <w:tc>
          <w:tcPr>
            <w:tcW w:w="2448" w:type="dxa"/>
          </w:tcPr>
          <w:p w14:paraId="04586E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Четвериков</w:t>
            </w:r>
          </w:p>
        </w:tc>
      </w:tr>
      <w:tr w:rsidR="00E3599D" w:rsidRPr="00E14102" w14:paraId="52EA1B41" w14:textId="77777777">
        <w:tc>
          <w:tcPr>
            <w:tcW w:w="3085" w:type="dxa"/>
          </w:tcPr>
          <w:p w14:paraId="1170A5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АРК-3 для ГУГВФ</w:t>
            </w:r>
          </w:p>
        </w:tc>
        <w:tc>
          <w:tcPr>
            <w:tcW w:w="797" w:type="dxa"/>
          </w:tcPr>
          <w:p w14:paraId="29843D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512C76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31C2C7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186D6D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3906BB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w:t>
            </w:r>
          </w:p>
        </w:tc>
        <w:tc>
          <w:tcPr>
            <w:tcW w:w="797" w:type="dxa"/>
          </w:tcPr>
          <w:p w14:paraId="5258B9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01.07.36</w:t>
            </w:r>
          </w:p>
        </w:tc>
        <w:tc>
          <w:tcPr>
            <w:tcW w:w="2448" w:type="dxa"/>
          </w:tcPr>
          <w:p w14:paraId="30DABF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Четвериков</w:t>
            </w:r>
          </w:p>
        </w:tc>
      </w:tr>
      <w:tr w:rsidR="00E3599D" w:rsidRPr="00E14102" w14:paraId="4BE1142D" w14:textId="77777777">
        <w:tc>
          <w:tcPr>
            <w:tcW w:w="3085" w:type="dxa"/>
          </w:tcPr>
          <w:p w14:paraId="7A2479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7. ДКЛ 2МГ-31</w:t>
            </w:r>
          </w:p>
        </w:tc>
        <w:tc>
          <w:tcPr>
            <w:tcW w:w="797" w:type="dxa"/>
          </w:tcPr>
          <w:p w14:paraId="645560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3A75B2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50416F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795A4F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797" w:type="dxa"/>
          </w:tcPr>
          <w:p w14:paraId="189A60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КАИ</w:t>
            </w:r>
          </w:p>
        </w:tc>
        <w:tc>
          <w:tcPr>
            <w:tcW w:w="797" w:type="dxa"/>
          </w:tcPr>
          <w:p w14:paraId="7579F0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01.12.36 (2166,32)</w:t>
            </w:r>
          </w:p>
        </w:tc>
        <w:tc>
          <w:tcPr>
            <w:tcW w:w="2448" w:type="dxa"/>
          </w:tcPr>
          <w:p w14:paraId="6217F36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96C419F" w14:textId="77777777">
        <w:tc>
          <w:tcPr>
            <w:tcW w:w="3085" w:type="dxa"/>
          </w:tcPr>
          <w:p w14:paraId="14CFDB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(дальний краевой</w:t>
            </w:r>
          </w:p>
        </w:tc>
        <w:tc>
          <w:tcPr>
            <w:tcW w:w="797" w:type="dxa"/>
          </w:tcPr>
          <w:p w14:paraId="05308FC3"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Pr>
          <w:p w14:paraId="3307CD1C"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Pr>
          <w:p w14:paraId="4D547786"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Pr>
          <w:p w14:paraId="3C7A2D0A"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Pr>
          <w:p w14:paraId="361EBEE9"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Pr>
          <w:p w14:paraId="548EC829" w14:textId="77777777" w:rsidR="00D4105E" w:rsidRPr="00E14102" w:rsidRDefault="00D4105E" w:rsidP="00E14102">
            <w:pPr>
              <w:autoSpaceDE w:val="0"/>
              <w:autoSpaceDN w:val="0"/>
              <w:adjustRightInd w:val="0"/>
              <w:jc w:val="both"/>
              <w:rPr>
                <w:color w:val="000000" w:themeColor="text1"/>
                <w:sz w:val="16"/>
                <w:szCs w:val="16"/>
              </w:rPr>
            </w:pPr>
          </w:p>
        </w:tc>
        <w:tc>
          <w:tcPr>
            <w:tcW w:w="2448" w:type="dxa"/>
          </w:tcPr>
          <w:p w14:paraId="04A1ACB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0473559" w14:textId="77777777">
        <w:tc>
          <w:tcPr>
            <w:tcW w:w="3085" w:type="dxa"/>
            <w:tcBorders>
              <w:bottom w:val="single" w:sz="12" w:space="0" w:color="auto"/>
            </w:tcBorders>
          </w:tcPr>
          <w:p w14:paraId="591E59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линейный) (2066,413)</w:t>
            </w:r>
          </w:p>
        </w:tc>
        <w:tc>
          <w:tcPr>
            <w:tcW w:w="797" w:type="dxa"/>
            <w:tcBorders>
              <w:bottom w:val="single" w:sz="12" w:space="0" w:color="auto"/>
            </w:tcBorders>
          </w:tcPr>
          <w:p w14:paraId="7C656D7D"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bottom w:val="single" w:sz="12" w:space="0" w:color="auto"/>
            </w:tcBorders>
          </w:tcPr>
          <w:p w14:paraId="5A265FB3"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bottom w:val="single" w:sz="12" w:space="0" w:color="auto"/>
            </w:tcBorders>
          </w:tcPr>
          <w:p w14:paraId="0D3249A5"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bottom w:val="single" w:sz="12" w:space="0" w:color="auto"/>
            </w:tcBorders>
          </w:tcPr>
          <w:p w14:paraId="5D3FFCD5"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bottom w:val="single" w:sz="12" w:space="0" w:color="auto"/>
            </w:tcBorders>
          </w:tcPr>
          <w:p w14:paraId="7AD35290" w14:textId="77777777" w:rsidR="00D4105E" w:rsidRPr="00E14102" w:rsidRDefault="00D4105E" w:rsidP="00E14102">
            <w:pPr>
              <w:autoSpaceDE w:val="0"/>
              <w:autoSpaceDN w:val="0"/>
              <w:adjustRightInd w:val="0"/>
              <w:jc w:val="both"/>
              <w:rPr>
                <w:color w:val="000000" w:themeColor="text1"/>
                <w:sz w:val="16"/>
                <w:szCs w:val="16"/>
              </w:rPr>
            </w:pPr>
          </w:p>
        </w:tc>
        <w:tc>
          <w:tcPr>
            <w:tcW w:w="797" w:type="dxa"/>
            <w:tcBorders>
              <w:bottom w:val="single" w:sz="12" w:space="0" w:color="auto"/>
            </w:tcBorders>
          </w:tcPr>
          <w:p w14:paraId="181360B1" w14:textId="77777777" w:rsidR="00D4105E" w:rsidRPr="00E14102" w:rsidRDefault="00D4105E" w:rsidP="00E14102">
            <w:pPr>
              <w:autoSpaceDE w:val="0"/>
              <w:autoSpaceDN w:val="0"/>
              <w:adjustRightInd w:val="0"/>
              <w:jc w:val="both"/>
              <w:rPr>
                <w:color w:val="000000" w:themeColor="text1"/>
                <w:sz w:val="16"/>
                <w:szCs w:val="16"/>
              </w:rPr>
            </w:pPr>
          </w:p>
        </w:tc>
        <w:tc>
          <w:tcPr>
            <w:tcW w:w="2448" w:type="dxa"/>
            <w:tcBorders>
              <w:bottom w:val="single" w:sz="12" w:space="0" w:color="auto"/>
            </w:tcBorders>
          </w:tcPr>
          <w:p w14:paraId="3A711BE0" w14:textId="77777777" w:rsidR="00D4105E" w:rsidRPr="00E14102" w:rsidRDefault="00D4105E" w:rsidP="00E14102">
            <w:pPr>
              <w:autoSpaceDE w:val="0"/>
              <w:autoSpaceDN w:val="0"/>
              <w:adjustRightInd w:val="0"/>
              <w:jc w:val="both"/>
              <w:rPr>
                <w:color w:val="000000" w:themeColor="text1"/>
                <w:sz w:val="16"/>
                <w:szCs w:val="16"/>
              </w:rPr>
            </w:pPr>
          </w:p>
        </w:tc>
      </w:tr>
    </w:tbl>
    <w:p w14:paraId="66D64A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Смета (ориентировочная) Затрат по самолетам и агрегатам согласно плана опытного строительства в 1936-37 гг. - всего 140845 тыс. руб. (2166,414).</w:t>
      </w:r>
    </w:p>
    <w:p w14:paraId="45E3FA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Ориентировочная смета (в тыс. руб.) Затрат по объектам опытных работ по моторам и их агрегатам в 1936, согласно плана опытного строительства - всего 49975 тыс. руб. (2166,417).</w:t>
      </w:r>
    </w:p>
    <w:p w14:paraId="5600F9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Смета затрат на постройку рекордных самолетов и моторов, согласно опытному строительству в 1936-1937 гг. - 24300 тыс. руб. (2166,420).</w:t>
      </w:r>
    </w:p>
    <w:p w14:paraId="7E70479D" w14:textId="77777777" w:rsidR="00D4105E" w:rsidRPr="00E14102" w:rsidRDefault="00D4105E" w:rsidP="00E14102">
      <w:pPr>
        <w:autoSpaceDE w:val="0"/>
        <w:autoSpaceDN w:val="0"/>
        <w:adjustRightInd w:val="0"/>
        <w:jc w:val="both"/>
        <w:rPr>
          <w:color w:val="000000" w:themeColor="text1"/>
          <w:sz w:val="16"/>
          <w:szCs w:val="16"/>
        </w:rPr>
      </w:pPr>
    </w:p>
    <w:p w14:paraId="347841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декабря 1935 состоялось заседание КО СССР (протокол 15) и слушали:</w:t>
      </w:r>
    </w:p>
    <w:p w14:paraId="04629D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Предложение комиссии т. Орджоникидзе по улучшению качества самолетов и моторов и о мероприятиях по обеспечению выполнения программы на 1935.</w:t>
      </w:r>
    </w:p>
    <w:p w14:paraId="5646E4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Предложения комиссии т. Г.К.О., кроме раздела по морской авиации, в основном принять с дополнениями т. Алксниса.</w:t>
      </w:r>
    </w:p>
    <w:p w14:paraId="78C3DA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Окончательную редакцию проекта постановления поручить тт. В.М.М., Г.К.О., В.И.Межлауку и Алкснису.</w:t>
      </w:r>
    </w:p>
    <w:p w14:paraId="0C90CE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Принять предложения Сталина:</w:t>
      </w:r>
    </w:p>
    <w:p w14:paraId="2A5B9E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 создании комиссии по морской авиации в составе тт. К.Е.В. (пред.), И.В.С., В.М.М., Г.К.О., Жданова, М.М.К., Егорова, Орлова, Бергстрема, Алксниса, Галлера, Викторова, А.Н.Т. и Берзина.</w:t>
      </w:r>
    </w:p>
    <w:p w14:paraId="17DCFF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Комиссии рассмотреть вопросы морской авиации для Ленинграда и ДВ.</w:t>
      </w:r>
    </w:p>
    <w:p w14:paraId="143BF7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Этой же комиссии обсудить вопрос о строительстве на Раменском участке объединенной НИ базы для сухопутной и морской авиации.</w:t>
      </w:r>
    </w:p>
    <w:p w14:paraId="5B80CC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работы комиссии - декадный.</w:t>
      </w:r>
    </w:p>
    <w:p w14:paraId="773693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Обязать тт. Г.К.О., Пятакова, А.Н.Т. и Розенгольца организовать немедленно покупку за границей д-х моторов с необходимым электрооборудованием для труб ЦАГИ, строящихся на Раменском участке.</w:t>
      </w:r>
    </w:p>
    <w:p w14:paraId="03CB47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Освободить т. Королева от руководства ГУАП</w:t>
      </w:r>
    </w:p>
    <w:p w14:paraId="288BB7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 ГУАП назначить М.М.К.</w:t>
      </w:r>
    </w:p>
    <w:p w14:paraId="1311A9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Первым зам. Нач. ГУАП и ГИ назначить А.Н.Т.</w:t>
      </w:r>
    </w:p>
    <w:p w14:paraId="279AF5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НКТП выдвинуть кандидатуру на должность Нач. ГУАП по моторостроению.</w:t>
      </w:r>
    </w:p>
    <w:p w14:paraId="7ECA24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Освободить от зан. должности дир. завода 26 Абрамова</w:t>
      </w:r>
    </w:p>
    <w:p w14:paraId="2BE117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Тов. Королева назначить дир. завода 26, а его зам. - Абрамова.</w:t>
      </w:r>
    </w:p>
    <w:p w14:paraId="755B6A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Освободить от занимаемой должности дир. завода 22 Миткевич.</w:t>
      </w:r>
    </w:p>
    <w:p w14:paraId="4F0990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Директором завода 22 назначить Марголина.</w:t>
      </w:r>
    </w:p>
    <w:p w14:paraId="3CE6E2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НКТП совместно с НКФ в 3-х дневный срок проверить заявки ГУАП об отпуске 80 млн. руб. на покрытие убытков на АЗ, в связи с внедрением в производство новых машин.</w:t>
      </w:r>
    </w:p>
    <w:p w14:paraId="008AB0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Выделить ГУАП немедленно из резервного фонда СНК в счет этой суммы аванс в размере 40 млн. на выдачу зарплаты.</w:t>
      </w:r>
    </w:p>
    <w:p w14:paraId="639354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Вопрос о вооружении авиации заслушать особо на след. заседании КО." (2161).</w:t>
      </w:r>
    </w:p>
    <w:p w14:paraId="2614F86B" w14:textId="77777777" w:rsidR="00D4105E" w:rsidRPr="00E14102" w:rsidRDefault="00D4105E" w:rsidP="00E14102">
      <w:pPr>
        <w:autoSpaceDE w:val="0"/>
        <w:autoSpaceDN w:val="0"/>
        <w:adjustRightInd w:val="0"/>
        <w:jc w:val="both"/>
        <w:rPr>
          <w:color w:val="000000" w:themeColor="text1"/>
          <w:sz w:val="16"/>
          <w:szCs w:val="16"/>
        </w:rPr>
      </w:pPr>
    </w:p>
    <w:p w14:paraId="0D8AF0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декабря 1935 года выписка из протокола № 15 КО</w:t>
      </w:r>
    </w:p>
    <w:p w14:paraId="26485AB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Предложение комиссии Орджоникидзе по улучшению качества самолетов и моторов и о мероприятиях по обеспечению выполнения программы на 1935 год.</w:t>
      </w:r>
    </w:p>
    <w:p w14:paraId="40CD94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НКТП совместно с НКФ в трехдневный срок проверить заявку ГУАПа об отпуске 80 млн. рублей на покрытие убытков на авиазаводах, в связи с внедрением в производство новых машин.</w:t>
      </w:r>
    </w:p>
    <w:p w14:paraId="29B746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Выделить ГУАПу немедленно из резервного фонда СНК в счет этой суммы аванс в размере 40 млн. рублей на выдачу зарплаты и покрытие убытков по авиазаводам ГУАПа (3475,4).</w:t>
      </w:r>
    </w:p>
    <w:p w14:paraId="771C01F1" w14:textId="77777777" w:rsidR="00D4105E" w:rsidRPr="00E14102" w:rsidRDefault="00D4105E" w:rsidP="00E14102">
      <w:pPr>
        <w:autoSpaceDE w:val="0"/>
        <w:autoSpaceDN w:val="0"/>
        <w:adjustRightInd w:val="0"/>
        <w:jc w:val="both"/>
        <w:rPr>
          <w:color w:val="000000" w:themeColor="text1"/>
          <w:sz w:val="16"/>
          <w:szCs w:val="16"/>
        </w:rPr>
      </w:pPr>
    </w:p>
    <w:p w14:paraId="08837A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декабря 1935 года выписка из протокола № 15 КО</w:t>
      </w:r>
    </w:p>
    <w:p w14:paraId="37090FD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Предложение комиссии Орджоникидзе по улучшению качества самолетов и моторов и о мероприятиях по обеспечению выполнения программы на 1935 год.</w:t>
      </w:r>
    </w:p>
    <w:p w14:paraId="71B24B4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Принять предложения Сталина:</w:t>
      </w:r>
    </w:p>
    <w:p w14:paraId="5FFED3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 создании комиссии по морской авиации в составе Ворошилова (председатель), Сталина, Молотова, Орджоникидзе, Жданова, Кагановича М., Егорова, Орлова, Бергстрема, Алксниса, Галлера, Викторова, Туполева и Березина.</w:t>
      </w:r>
    </w:p>
    <w:p w14:paraId="4DFB7D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Комиссии рассмотреть вопросы по морской авиации для Ленинграда и Дальнего Востока.</w:t>
      </w:r>
    </w:p>
    <w:p w14:paraId="440C0C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Этой же комиссии обсудить вопрос о строительстве на Раменском участке объединенной научно-исследовательской базы для сухопутной и морской авиации.</w:t>
      </w:r>
    </w:p>
    <w:p w14:paraId="1D5881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работы комиссии – декадный (3475,5).</w:t>
      </w:r>
    </w:p>
    <w:p w14:paraId="677BDE98" w14:textId="77777777" w:rsidR="00D4105E" w:rsidRPr="00E14102" w:rsidRDefault="00D4105E" w:rsidP="00E14102">
      <w:pPr>
        <w:autoSpaceDE w:val="0"/>
        <w:autoSpaceDN w:val="0"/>
        <w:adjustRightInd w:val="0"/>
        <w:jc w:val="both"/>
        <w:rPr>
          <w:color w:val="000000" w:themeColor="text1"/>
          <w:sz w:val="16"/>
          <w:szCs w:val="16"/>
        </w:rPr>
      </w:pPr>
    </w:p>
    <w:p w14:paraId="161754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декабря 1935 года выписка из протокола № 15 КО</w:t>
      </w:r>
    </w:p>
    <w:p w14:paraId="1802059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Предложение комиссии Орджоникидзе по улучшению качества самолетов и моторов и о мероприятиях по обеспечению выполнения программы на 1935 год.</w:t>
      </w:r>
    </w:p>
    <w:p w14:paraId="209E63A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Предложения Комиссии Орджоникидзе, кроме раздела по морской авиации, в основном принять с дополнениями Алксниса.</w:t>
      </w:r>
    </w:p>
    <w:p w14:paraId="7760DA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Окончательную редакцию проекта постановления поручить Молотову, Орджоникидзе, Межлауку В.И. и Алкснису (3475,8).</w:t>
      </w:r>
    </w:p>
    <w:p w14:paraId="599EBD26" w14:textId="77777777" w:rsidR="00D4105E" w:rsidRPr="00E14102" w:rsidRDefault="00D4105E" w:rsidP="00E14102">
      <w:pPr>
        <w:autoSpaceDE w:val="0"/>
        <w:autoSpaceDN w:val="0"/>
        <w:adjustRightInd w:val="0"/>
        <w:jc w:val="both"/>
        <w:rPr>
          <w:color w:val="000000" w:themeColor="text1"/>
          <w:sz w:val="16"/>
          <w:szCs w:val="16"/>
        </w:rPr>
      </w:pPr>
    </w:p>
    <w:p w14:paraId="39CB3B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декабря 1935 года выписка из протокола № 15 КО</w:t>
      </w:r>
    </w:p>
    <w:p w14:paraId="44BDA37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Предложение комиссии Орджоникидзе по улучшению качества самолетов и моторов и о мероприятиях по обеспечению выполнения программы на 1935 год.</w:t>
      </w:r>
    </w:p>
    <w:p w14:paraId="3A34952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Предложения Комиссии Орджоникидзе, кроме раздела по морской авиации, в основном принять с дополнениями Алксниса.</w:t>
      </w:r>
    </w:p>
    <w:p w14:paraId="0E4A9D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Окончательную редакцию проекта постановления поручить Молотову, Орджоникидзе, Межлауку В.И. и Алкснису.</w:t>
      </w:r>
    </w:p>
    <w:p w14:paraId="5F97C11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Принять предложения Сталина:</w:t>
      </w:r>
    </w:p>
    <w:p w14:paraId="5BD76E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 создании комиссии по морской авиации в составе Ворошилова (председатель), Сталина, Молотова, Орджоникидзе, Жданова, Кагановича М., Егорова, Орлова, Бергстрема, Алксниса, Галлера, Викторова, Туполева и Березина.</w:t>
      </w:r>
    </w:p>
    <w:p w14:paraId="72C8CA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Комиссии рассмотреть вопросы по морской авиации для Ленинграда и Дальнего Востока.</w:t>
      </w:r>
    </w:p>
    <w:p w14:paraId="1C1BE8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Этой же комиссии обсудить вопрос о строительстве на Раменском участке объединенной научно-исследовательской базы для сухопутной и морской авиации.</w:t>
      </w:r>
    </w:p>
    <w:p w14:paraId="75BB79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работы комиссии – декадный.</w:t>
      </w:r>
    </w:p>
    <w:p w14:paraId="342AD5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Обязать Орджоникидзе, Пятакова, Туполева и Розенгольца организовать немедленно покупку за границей двух моторов с необходимым электрооборудованием для аэродинамических труб ЦАГИ, строящихся на Раменском участке.</w:t>
      </w:r>
    </w:p>
    <w:p w14:paraId="6A5404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Освободить Королева от руководства ГУАПом.</w:t>
      </w:r>
    </w:p>
    <w:p w14:paraId="342B1A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Начальником ГУАПа назначить Кагановича М.М.</w:t>
      </w:r>
    </w:p>
    <w:p w14:paraId="7497C2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Первым заместителем начальника ГУАПа и гл. инженером назначить Туполева А.Н.</w:t>
      </w:r>
    </w:p>
    <w:p w14:paraId="7CFE61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НКТП выдвинуть кандидатуру на должность заместителя начальника ГУАПа по моторостроению.</w:t>
      </w:r>
    </w:p>
    <w:p w14:paraId="45F011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Освободить от занимаемой должности директора завода № 26 Абрамова.</w:t>
      </w:r>
    </w:p>
    <w:p w14:paraId="25E58B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Королева назначить директором завода № 26, а его заместителем Абрамова.</w:t>
      </w:r>
    </w:p>
    <w:p w14:paraId="72277E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Освободить от занимаемой должности директора завода № 22 Миткевич.</w:t>
      </w:r>
    </w:p>
    <w:p w14:paraId="7037A1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Директором завода № 22 назначить Марголина.</w:t>
      </w:r>
    </w:p>
    <w:p w14:paraId="213542A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НКТП совместно с НКФ в 3-х дневный срок проверить заявку ГУАПа об отпуске 80 млн. рублей на покрытие убытков на авиазаводах, в связи с внедрением в производство новых машин.</w:t>
      </w:r>
    </w:p>
    <w:p w14:paraId="1349BA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Выделить ГУАПу немедленно из резервного фонда СНК в счет этой суммы 40 млн. рублей на выдачу зарплаты.</w:t>
      </w:r>
    </w:p>
    <w:p w14:paraId="0E89AFC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Вопрос о вооружении авиации заслушать особо на следующем заседании КО.</w:t>
      </w:r>
    </w:p>
    <w:p w14:paraId="5328E70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Предложения комиссии Пятакова о мероприятиях по аккумуляторной промышленности.</w:t>
      </w:r>
    </w:p>
    <w:p w14:paraId="6333651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Проект постановления, представленный комиссией Пятакова утвердить с дополнениями Орлова (см. приложение – пост. СТО № С-…</w:t>
      </w:r>
    </w:p>
    <w:p w14:paraId="45BAC92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Построить новый аккумуляторный завод в Комсомольске мощностью на 50 аккумуляторных батарей.</w:t>
      </w:r>
    </w:p>
    <w:p w14:paraId="29C398D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lastRenderedPageBreak/>
        <w:t>Закупить в Германии у фирмы "АФА" 15 аккумуляторных батарей для п/л (3 – для п/л типа "Правда" и 12 – для средних подлодок), связав покупку батарей с получением от фирмы "АФА" техпомощи по производству морских аккумуляторных батарей.</w:t>
      </w:r>
    </w:p>
    <w:p w14:paraId="4FCA2D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Руководство переговорами с фирмой "АФА" возложить лично на Пятакова, предложив ему добиваться допуска фирмой наших специалистов к ознакомлению с германским производством аккумуляторных батарей (3475,9).</w:t>
      </w:r>
    </w:p>
    <w:p w14:paraId="1A410582" w14:textId="77777777" w:rsidR="00D4105E" w:rsidRPr="00E14102" w:rsidRDefault="00D4105E" w:rsidP="00E14102">
      <w:pPr>
        <w:autoSpaceDE w:val="0"/>
        <w:autoSpaceDN w:val="0"/>
        <w:adjustRightInd w:val="0"/>
        <w:jc w:val="both"/>
        <w:rPr>
          <w:color w:val="000000" w:themeColor="text1"/>
          <w:sz w:val="16"/>
          <w:szCs w:val="16"/>
        </w:rPr>
      </w:pPr>
    </w:p>
    <w:p w14:paraId="4B7D1C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декабря 1935 года в соответствии с постановлением СТО Наркомфин должен был проверить размер убытков авиапромышленности (3475,85):</w:t>
      </w:r>
    </w:p>
    <w:p w14:paraId="19CB7B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декабря 1935 года выписка из протокола № 15 КО</w:t>
      </w:r>
    </w:p>
    <w:p w14:paraId="2E5286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Предложение комиссии Орджоникидзе по улучшению качества самолетов и моторов и о мероприятиях по обеспечению выполнения программы на 1935 год.</w:t>
      </w:r>
    </w:p>
    <w:p w14:paraId="2F01093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Принять предложения Сталина:</w:t>
      </w:r>
    </w:p>
    <w:p w14:paraId="55CA96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Обязать Орджоникидзе, Пятакова, Туполева и Розенгольца организовать немедленно покупку за границей двух моторов с необходимым электрооборудованием для аэродинамических труб ЦАГИ, строящихся на Раменском участке.</w:t>
      </w:r>
    </w:p>
    <w:p w14:paraId="57FECC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(3475, 6).</w:t>
      </w:r>
    </w:p>
    <w:p w14:paraId="64EAFD0F" w14:textId="77777777" w:rsidR="00D4105E" w:rsidRPr="00E14102" w:rsidRDefault="00D4105E" w:rsidP="00E14102">
      <w:pPr>
        <w:autoSpaceDE w:val="0"/>
        <w:autoSpaceDN w:val="0"/>
        <w:adjustRightInd w:val="0"/>
        <w:jc w:val="both"/>
        <w:rPr>
          <w:color w:val="000000" w:themeColor="text1"/>
          <w:sz w:val="16"/>
          <w:szCs w:val="16"/>
        </w:rPr>
      </w:pPr>
    </w:p>
    <w:p w14:paraId="25FB232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E8189C8" w14:textId="77777777" w:rsidR="00D4105E" w:rsidRPr="00E14102" w:rsidRDefault="00D4105E" w:rsidP="00E14102">
      <w:pPr>
        <w:autoSpaceDE w:val="0"/>
        <w:autoSpaceDN w:val="0"/>
        <w:adjustRightInd w:val="0"/>
        <w:jc w:val="both"/>
        <w:rPr>
          <w:iCs/>
          <w:color w:val="000000" w:themeColor="text1"/>
          <w:sz w:val="16"/>
          <w:szCs w:val="16"/>
        </w:rPr>
      </w:pPr>
    </w:p>
    <w:p w14:paraId="3A8F90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декабря 1935 г. вышел отчета № 1Н/853, согласно которому, для упрощения конструкции 76 мм пушки П.Сячентова ПС-3, в них была изменена нарезка канала ствола. Например, пушка № 59, поданная на указанные испытания, имела уже постоянную крутизну нарезки и чуть более длинный ствол, который был почему-то все-таки тонкостенным, как и первые образцы. Причем поскольку завод не отгрузил заказчику ни одной кондиционной пушки, заказчик отказался предоставить для испытаний пушки № 59 танк Т-28. Поэтому испытания пушки стрельбой велись не из башенной установки, а с колесного лафета-фермы (так в документе). Испытания закончились неудачно и вскоре на завод была направлена комиссия НКВ, призванная разобраться с положением вещей, но заводское КБ всячески тормозило работу комиссии, активно предлагая взамен ПС-3 свое изделие - “универсальную пушку типа Л-10”, которая в конце 1936 г. была таки принята на вооружение КА (6208, 42).</w:t>
      </w:r>
    </w:p>
    <w:p w14:paraId="30B9A010" w14:textId="77777777" w:rsidR="00D4105E" w:rsidRPr="00E14102" w:rsidRDefault="00D4105E" w:rsidP="00E14102">
      <w:pPr>
        <w:autoSpaceDE w:val="0"/>
        <w:autoSpaceDN w:val="0"/>
        <w:adjustRightInd w:val="0"/>
        <w:jc w:val="both"/>
        <w:rPr>
          <w:color w:val="000000" w:themeColor="text1"/>
          <w:sz w:val="16"/>
          <w:szCs w:val="16"/>
        </w:rPr>
      </w:pPr>
    </w:p>
    <w:p w14:paraId="16BA940E" w14:textId="77777777" w:rsidR="00092AF3" w:rsidRPr="00E14102" w:rsidRDefault="00092AF3" w:rsidP="00E14102">
      <w:pPr>
        <w:jc w:val="both"/>
        <w:rPr>
          <w:color w:val="0070C0"/>
          <w:sz w:val="16"/>
          <w:szCs w:val="16"/>
        </w:rPr>
      </w:pPr>
      <w:r w:rsidRPr="00E14102">
        <w:rPr>
          <w:color w:val="0070C0"/>
          <w:sz w:val="16"/>
          <w:szCs w:val="16"/>
        </w:rPr>
        <w:t>2 декабря 1935 г. Е.А. Кульчицкий подписал «Отчет по испытанию танков БТ-5 и Т-26 со специальным приспособлением для подводного хождения (П.Х.)», в заключительной части которого было отмечено:</w:t>
      </w:r>
    </w:p>
    <w:p w14:paraId="0ECE8ED7" w14:textId="77777777" w:rsidR="00092AF3" w:rsidRPr="00E14102" w:rsidRDefault="00092AF3" w:rsidP="00E14102">
      <w:pPr>
        <w:jc w:val="both"/>
        <w:rPr>
          <w:color w:val="0070C0"/>
          <w:sz w:val="16"/>
          <w:szCs w:val="16"/>
        </w:rPr>
      </w:pPr>
      <w:r w:rsidRPr="00E14102">
        <w:rPr>
          <w:color w:val="0070C0"/>
          <w:sz w:val="16"/>
          <w:szCs w:val="16"/>
        </w:rPr>
        <w:t>«1) Конструкция приспособления к танкам БТ-5 и Т-26 для ПХ принципиально разрешает вопрос подводного хождения на глубине не свыше 4 м.</w:t>
      </w:r>
    </w:p>
    <w:p w14:paraId="254A98F6" w14:textId="77777777" w:rsidR="00092AF3" w:rsidRPr="00E14102" w:rsidRDefault="00092AF3" w:rsidP="00E14102">
      <w:pPr>
        <w:jc w:val="both"/>
        <w:rPr>
          <w:color w:val="0070C0"/>
          <w:sz w:val="16"/>
          <w:szCs w:val="16"/>
        </w:rPr>
      </w:pPr>
      <w:r w:rsidRPr="00E14102">
        <w:rPr>
          <w:color w:val="0070C0"/>
          <w:sz w:val="16"/>
          <w:szCs w:val="16"/>
        </w:rPr>
        <w:t>2) Необходимо изготовить приспособления к танкам ПХ в заводских условиях, с устранением указанных выше недостатков, после чего танки ПХ могут быть приняты на вооружение РККА».</w:t>
      </w:r>
    </w:p>
    <w:p w14:paraId="39DADA74" w14:textId="77777777" w:rsidR="00092AF3" w:rsidRPr="00E14102" w:rsidRDefault="00092AF3" w:rsidP="00E14102">
      <w:pPr>
        <w:jc w:val="both"/>
        <w:rPr>
          <w:color w:val="0070C0"/>
          <w:sz w:val="16"/>
          <w:szCs w:val="16"/>
        </w:rPr>
      </w:pPr>
      <w:r w:rsidRPr="00E14102">
        <w:rPr>
          <w:color w:val="0070C0"/>
          <w:sz w:val="16"/>
          <w:szCs w:val="16"/>
        </w:rPr>
        <w:t>[РГВА. Ф. 31811. Оп. 3. Д. 457. Л. 31 – 32] (21144)</w:t>
      </w:r>
    </w:p>
    <w:p w14:paraId="1BFB59C0" w14:textId="77777777" w:rsidR="00092AF3" w:rsidRPr="00E14102" w:rsidRDefault="00092AF3" w:rsidP="00E14102">
      <w:pPr>
        <w:jc w:val="both"/>
        <w:rPr>
          <w:color w:val="0070C0"/>
          <w:sz w:val="16"/>
          <w:szCs w:val="16"/>
        </w:rPr>
      </w:pPr>
    </w:p>
    <w:p w14:paraId="5C3E4619" w14:textId="77777777" w:rsidR="000561E6" w:rsidRPr="00E14102" w:rsidRDefault="000561E6" w:rsidP="00E14102">
      <w:pPr>
        <w:pStyle w:val="rtejustify"/>
        <w:spacing w:before="0" w:after="0"/>
        <w:rPr>
          <w:color w:val="000000" w:themeColor="text1"/>
          <w:sz w:val="16"/>
          <w:szCs w:val="16"/>
        </w:rPr>
      </w:pPr>
      <w:r w:rsidRPr="00E14102">
        <w:rPr>
          <w:rStyle w:val="a6"/>
          <w:bCs/>
          <w:i w:val="0"/>
          <w:color w:val="000000" w:themeColor="text1"/>
          <w:sz w:val="16"/>
          <w:szCs w:val="16"/>
        </w:rPr>
        <w:t>2 декабря 1935 вышел приказ НКО №</w:t>
      </w:r>
      <w:r w:rsidRPr="00E14102">
        <w:rPr>
          <w:color w:val="000000" w:themeColor="text1"/>
          <w:sz w:val="16"/>
          <w:szCs w:val="16"/>
        </w:rPr>
        <w:t> 00100. О введении на снабжение РККА: 1) боевого химического танка (ХТБ); 2) боевого химического танка (ХТ</w:t>
      </w:r>
      <w:r w:rsidRPr="00E14102">
        <w:rPr>
          <w:color w:val="000000" w:themeColor="text1"/>
          <w:sz w:val="16"/>
          <w:szCs w:val="16"/>
        </w:rPr>
        <w:noBreakHyphen/>
        <w:t>26); 3) боевого химического танка (ХТ</w:t>
      </w:r>
      <w:r w:rsidRPr="00E14102">
        <w:rPr>
          <w:color w:val="000000" w:themeColor="text1"/>
          <w:sz w:val="16"/>
          <w:szCs w:val="16"/>
        </w:rPr>
        <w:noBreakHyphen/>
        <w:t>37); 4) автодегазатора обмундиров[ания] и снаряжения и др (15247).</w:t>
      </w:r>
    </w:p>
    <w:p w14:paraId="5C142770" w14:textId="77777777" w:rsidR="000561E6" w:rsidRPr="00E14102" w:rsidRDefault="000561E6" w:rsidP="00E14102">
      <w:pPr>
        <w:pStyle w:val="rtejustify"/>
        <w:spacing w:before="0" w:after="0"/>
        <w:rPr>
          <w:color w:val="000000" w:themeColor="text1"/>
          <w:sz w:val="16"/>
          <w:szCs w:val="16"/>
        </w:rPr>
      </w:pPr>
    </w:p>
    <w:p w14:paraId="0C39E548" w14:textId="77777777" w:rsidR="000561E6" w:rsidRPr="00E14102" w:rsidRDefault="000561E6" w:rsidP="00E14102">
      <w:pPr>
        <w:pStyle w:val="rtejustify"/>
        <w:spacing w:before="0" w:after="0"/>
        <w:rPr>
          <w:color w:val="000000" w:themeColor="text1"/>
          <w:sz w:val="16"/>
          <w:szCs w:val="16"/>
        </w:rPr>
      </w:pPr>
      <w:r w:rsidRPr="00E14102">
        <w:rPr>
          <w:rStyle w:val="a6"/>
          <w:bCs/>
          <w:i w:val="0"/>
          <w:color w:val="000000" w:themeColor="text1"/>
          <w:sz w:val="16"/>
          <w:szCs w:val="16"/>
        </w:rPr>
        <w:t>2 декабря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154сс «О договоре с фирмой “АФА”». (ГА РФ. Ф. Р</w:t>
      </w:r>
      <w:r w:rsidRPr="00E14102">
        <w:rPr>
          <w:color w:val="000000" w:themeColor="text1"/>
          <w:sz w:val="16"/>
          <w:szCs w:val="16"/>
        </w:rPr>
        <w:noBreakHyphen/>
        <w:t>8418. Оп. 28. Д. 7. Л. 225) (15460).</w:t>
      </w:r>
    </w:p>
    <w:p w14:paraId="241DBCB8" w14:textId="77777777" w:rsidR="000561E6" w:rsidRPr="00E14102" w:rsidRDefault="000561E6" w:rsidP="00E14102">
      <w:pPr>
        <w:pStyle w:val="rtejustify"/>
        <w:spacing w:before="0" w:after="0"/>
        <w:rPr>
          <w:color w:val="000000" w:themeColor="text1"/>
          <w:sz w:val="16"/>
          <w:szCs w:val="16"/>
        </w:rPr>
      </w:pPr>
    </w:p>
    <w:p w14:paraId="23DDB636" w14:textId="77777777" w:rsidR="000561E6" w:rsidRPr="00E14102" w:rsidRDefault="000561E6" w:rsidP="00E14102">
      <w:pPr>
        <w:pStyle w:val="rtejustify"/>
        <w:spacing w:before="0" w:after="0"/>
        <w:rPr>
          <w:color w:val="000000" w:themeColor="text1"/>
          <w:sz w:val="16"/>
          <w:szCs w:val="16"/>
        </w:rPr>
      </w:pPr>
      <w:r w:rsidRPr="00E14102">
        <w:rPr>
          <w:rStyle w:val="a6"/>
          <w:bCs/>
          <w:i w:val="0"/>
          <w:color w:val="000000" w:themeColor="text1"/>
          <w:sz w:val="16"/>
          <w:szCs w:val="16"/>
        </w:rPr>
        <w:t>2 декабря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155сс «Об аккумуляторно-элементной промышленности». (ГА РФ. Ф. Р</w:t>
      </w:r>
      <w:r w:rsidRPr="00E14102">
        <w:rPr>
          <w:color w:val="000000" w:themeColor="text1"/>
          <w:sz w:val="16"/>
          <w:szCs w:val="16"/>
        </w:rPr>
        <w:noBreakHyphen/>
        <w:t>8418. Оп. 28. Д. 7. Л. 226</w:t>
      </w:r>
      <w:r w:rsidRPr="00E14102">
        <w:rPr>
          <w:color w:val="000000" w:themeColor="text1"/>
          <w:sz w:val="16"/>
          <w:szCs w:val="16"/>
        </w:rPr>
        <w:noBreakHyphen/>
        <w:t>235) (15460).</w:t>
      </w:r>
    </w:p>
    <w:p w14:paraId="0BA40784" w14:textId="77777777" w:rsidR="000561E6" w:rsidRPr="00E14102" w:rsidRDefault="000561E6" w:rsidP="00E14102">
      <w:pPr>
        <w:pStyle w:val="rtejustify"/>
        <w:spacing w:before="0" w:after="0"/>
        <w:rPr>
          <w:color w:val="000000" w:themeColor="text1"/>
          <w:sz w:val="16"/>
          <w:szCs w:val="16"/>
        </w:rPr>
      </w:pPr>
    </w:p>
    <w:p w14:paraId="2EC11AE3" w14:textId="77777777" w:rsidR="000561E6" w:rsidRPr="00E14102" w:rsidRDefault="000561E6" w:rsidP="00E14102">
      <w:pPr>
        <w:pStyle w:val="rtejustify"/>
        <w:spacing w:before="0" w:after="0"/>
        <w:rPr>
          <w:rStyle w:val="a6"/>
          <w:bCs/>
          <w:i w:val="0"/>
          <w:color w:val="000000" w:themeColor="text1"/>
          <w:sz w:val="16"/>
          <w:szCs w:val="16"/>
        </w:rPr>
      </w:pPr>
      <w:r w:rsidRPr="00E14102">
        <w:rPr>
          <w:rStyle w:val="a6"/>
          <w:bCs/>
          <w:i w:val="0"/>
          <w:color w:val="000000" w:themeColor="text1"/>
          <w:sz w:val="16"/>
          <w:szCs w:val="16"/>
        </w:rPr>
        <w:t>2 декабря 1935 г. СТО СССР принял постановление № С/155сс</w:t>
      </w:r>
      <w:r w:rsidRPr="00E14102">
        <w:rPr>
          <w:color w:val="000000" w:themeColor="text1"/>
          <w:sz w:val="16"/>
          <w:szCs w:val="16"/>
        </w:rPr>
        <w:t xml:space="preserve"> «Об аккумуляторно-элементной промышленности», где отмечалось ее крайне неудовлетворительное состояние. Этим постановлением Наркомату тяжелой промышленности СССР предписывалось обеспечить в 1936</w:t>
      </w:r>
      <w:r w:rsidRPr="00E14102">
        <w:rPr>
          <w:color w:val="000000" w:themeColor="text1"/>
          <w:sz w:val="16"/>
          <w:szCs w:val="16"/>
        </w:rPr>
        <w:noBreakHyphen/>
        <w:t>1938 гг. выпуск 210 аккумуляторных морских батарей, 10,5 млн. шт. сухих анодных батарей, 17 млн. шт. элементов, 3 млн. шт. автомобильных аккумуляторов. Был утвержден план капитального строительства и реконструкции предприятий аккумуляторной промышленности. Кроме того, НКТП был обязан закупить у фирмы «АФА» в Германии 15 аккумуляторных батарей для подводных лодок типа «Правда» и заключить договор на техническую помощь по производству этих батарей, а впоследствии изготовить и сдать УМС РККА 45 аккумуляторных батарей для подводных лодок, 45 аккумуляторных батарей для Главморпрома и 1 тыс. анодных батарей. Для реализации этих заданий Аккумуляторному тресту в плане 1936 г. выделялось 35 млн. руб. (ГАРФ. Ф. Р</w:t>
      </w:r>
      <w:r w:rsidRPr="00E14102">
        <w:rPr>
          <w:color w:val="000000" w:themeColor="text1"/>
          <w:sz w:val="16"/>
          <w:szCs w:val="16"/>
        </w:rPr>
        <w:noBreakHyphen/>
        <w:t>8418. Оп. 28. Д. 7. Л. 226</w:t>
      </w:r>
      <w:r w:rsidRPr="00E14102">
        <w:rPr>
          <w:color w:val="000000" w:themeColor="text1"/>
          <w:sz w:val="16"/>
          <w:szCs w:val="16"/>
        </w:rPr>
        <w:noBreakHyphen/>
        <w:t>230) (15411).</w:t>
      </w:r>
    </w:p>
    <w:p w14:paraId="41313854" w14:textId="77777777" w:rsidR="000561E6" w:rsidRPr="00E14102" w:rsidRDefault="000561E6" w:rsidP="00E14102">
      <w:pPr>
        <w:pStyle w:val="rtejustify"/>
        <w:spacing w:before="0" w:after="0"/>
        <w:rPr>
          <w:rStyle w:val="a6"/>
          <w:bCs/>
          <w:i w:val="0"/>
          <w:color w:val="000000" w:themeColor="text1"/>
          <w:sz w:val="16"/>
          <w:szCs w:val="16"/>
        </w:rPr>
      </w:pPr>
    </w:p>
    <w:p w14:paraId="184ABB65" w14:textId="77777777" w:rsidR="000561E6" w:rsidRPr="00E14102" w:rsidRDefault="000561E6" w:rsidP="00E14102">
      <w:pPr>
        <w:pStyle w:val="rtejustify"/>
        <w:spacing w:before="0" w:after="0"/>
        <w:rPr>
          <w:color w:val="000000" w:themeColor="text1"/>
          <w:sz w:val="16"/>
          <w:szCs w:val="16"/>
        </w:rPr>
      </w:pPr>
      <w:r w:rsidRPr="00E14102">
        <w:rPr>
          <w:rStyle w:val="a6"/>
          <w:bCs/>
          <w:i w:val="0"/>
          <w:color w:val="000000" w:themeColor="text1"/>
          <w:sz w:val="16"/>
          <w:szCs w:val="16"/>
        </w:rPr>
        <w:t>2 декабря 1935 вышел приказ НКО №</w:t>
      </w:r>
      <w:r w:rsidRPr="00E14102">
        <w:rPr>
          <w:color w:val="000000" w:themeColor="text1"/>
          <w:sz w:val="16"/>
          <w:szCs w:val="16"/>
        </w:rPr>
        <w:t> 0099. В введении на вооружение РККА железнодорожных торпед ЖДТ</w:t>
      </w:r>
      <w:r w:rsidRPr="00E14102">
        <w:rPr>
          <w:color w:val="000000" w:themeColor="text1"/>
          <w:sz w:val="16"/>
          <w:szCs w:val="16"/>
        </w:rPr>
        <w:noBreakHyphen/>
        <w:t>1 и ЖДТ</w:t>
      </w:r>
      <w:r w:rsidRPr="00E14102">
        <w:rPr>
          <w:color w:val="000000" w:themeColor="text1"/>
          <w:sz w:val="16"/>
          <w:szCs w:val="16"/>
        </w:rPr>
        <w:noBreakHyphen/>
        <w:t>3 системы Бродского (15247).</w:t>
      </w:r>
    </w:p>
    <w:p w14:paraId="0603D31C" w14:textId="77777777" w:rsidR="000561E6" w:rsidRPr="00E14102" w:rsidRDefault="000561E6" w:rsidP="00E14102">
      <w:pPr>
        <w:pStyle w:val="rtejustify"/>
        <w:spacing w:before="0" w:after="0"/>
        <w:rPr>
          <w:color w:val="000000" w:themeColor="text1"/>
          <w:sz w:val="16"/>
          <w:szCs w:val="16"/>
        </w:rPr>
      </w:pPr>
    </w:p>
    <w:p w14:paraId="5BC67C3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8990A4C" w14:textId="77777777" w:rsidR="00D4105E" w:rsidRPr="00E14102" w:rsidRDefault="00D4105E" w:rsidP="00E14102">
      <w:pPr>
        <w:autoSpaceDE w:val="0"/>
        <w:autoSpaceDN w:val="0"/>
        <w:adjustRightInd w:val="0"/>
        <w:jc w:val="both"/>
        <w:rPr>
          <w:iCs/>
          <w:color w:val="000000" w:themeColor="text1"/>
          <w:sz w:val="16"/>
          <w:szCs w:val="16"/>
        </w:rPr>
      </w:pPr>
    </w:p>
    <w:p w14:paraId="522CF3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декабря 1935 судя по фото испытывали авиетку КСМ-1 ГАЗ с двигателем ГАЗ-АВИА в Горьком.</w:t>
      </w:r>
    </w:p>
    <w:p w14:paraId="21790E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опробовании АНТ-44 на земле на заводских испытаниях 4 и 10 декабря 1935 выяснилось, что хвостовое оперение имеет вибрацию. Это явление не могло быть учтено при проектировании. Перепроектирование нового оперения было закончено 10 марта с.г. (2166,192).</w:t>
      </w:r>
    </w:p>
    <w:p w14:paraId="3C2BAE69" w14:textId="77777777" w:rsidR="00D4105E" w:rsidRPr="00E14102" w:rsidRDefault="00D4105E" w:rsidP="00E14102">
      <w:pPr>
        <w:autoSpaceDE w:val="0"/>
        <w:autoSpaceDN w:val="0"/>
        <w:adjustRightInd w:val="0"/>
        <w:jc w:val="both"/>
        <w:rPr>
          <w:color w:val="000000" w:themeColor="text1"/>
          <w:sz w:val="16"/>
          <w:szCs w:val="16"/>
        </w:rPr>
      </w:pPr>
    </w:p>
    <w:p w14:paraId="72CED62C" w14:textId="77777777" w:rsidR="000561E6" w:rsidRPr="00E14102" w:rsidRDefault="000561E6" w:rsidP="00E14102">
      <w:pPr>
        <w:jc w:val="both"/>
        <w:rPr>
          <w:rStyle w:val="a6"/>
          <w:i w:val="0"/>
          <w:color w:val="000000" w:themeColor="text1"/>
          <w:sz w:val="16"/>
          <w:szCs w:val="16"/>
        </w:rPr>
      </w:pPr>
      <w:r w:rsidRPr="00E14102">
        <w:rPr>
          <w:rStyle w:val="a6"/>
          <w:i w:val="0"/>
          <w:color w:val="000000" w:themeColor="text1"/>
          <w:sz w:val="16"/>
          <w:szCs w:val="16"/>
        </w:rPr>
        <w:t xml:space="preserve">3 декабря 1935 г. </w:t>
      </w:r>
      <w:r w:rsidRPr="00E14102">
        <w:rPr>
          <w:color w:val="000000" w:themeColor="text1"/>
          <w:sz w:val="16"/>
          <w:szCs w:val="16"/>
        </w:rPr>
        <w:t>Приказ № 73/386 по Главному управлению авиационной промышленности НКТП СССР о порядке конструирования, утверждения и изготовления вооружения для самолетов¹*</w:t>
      </w:r>
    </w:p>
    <w:p w14:paraId="03FB42A2" w14:textId="77777777" w:rsidR="000561E6" w:rsidRPr="00E14102" w:rsidRDefault="000561E6" w:rsidP="00E14102">
      <w:pPr>
        <w:jc w:val="both"/>
        <w:rPr>
          <w:color w:val="000000" w:themeColor="text1"/>
          <w:sz w:val="16"/>
          <w:szCs w:val="16"/>
        </w:rPr>
      </w:pPr>
      <w:r w:rsidRPr="00E14102">
        <w:rPr>
          <w:rStyle w:val="a6"/>
          <w:i w:val="0"/>
          <w:color w:val="000000" w:themeColor="text1"/>
          <w:sz w:val="16"/>
          <w:szCs w:val="16"/>
        </w:rPr>
        <w:t>Секретно.</w:t>
      </w:r>
    </w:p>
    <w:p w14:paraId="59380303" w14:textId="77777777" w:rsidR="000561E6" w:rsidRPr="00E14102" w:rsidRDefault="000561E6" w:rsidP="00E14102">
      <w:pPr>
        <w:pStyle w:val="rtejustify"/>
        <w:spacing w:before="0" w:after="0"/>
        <w:rPr>
          <w:color w:val="000000" w:themeColor="text1"/>
          <w:sz w:val="16"/>
          <w:szCs w:val="16"/>
        </w:rPr>
      </w:pPr>
      <w:r w:rsidRPr="00E14102">
        <w:rPr>
          <w:color w:val="000000" w:themeColor="text1"/>
          <w:sz w:val="16"/>
          <w:szCs w:val="16"/>
        </w:rPr>
        <w:t>§ 1. В развитие моего приказа по ГУАП от 20 ноября с. г. за № 66/367 при сем объявляю для руководства и исполнения утвержденное мной положение о правах и обязанностях отдела вооружений ГУАП и порядок конструирования, утверждения и изготовления предметов вооружения для самолетов</w:t>
      </w:r>
    </w:p>
    <w:p w14:paraId="54D872D7" w14:textId="77777777" w:rsidR="000561E6" w:rsidRPr="00E14102" w:rsidRDefault="000561E6" w:rsidP="00E14102">
      <w:pPr>
        <w:pStyle w:val="rtejustify"/>
        <w:spacing w:before="0" w:after="0"/>
        <w:rPr>
          <w:color w:val="000000" w:themeColor="text1"/>
          <w:sz w:val="16"/>
          <w:szCs w:val="16"/>
        </w:rPr>
      </w:pPr>
      <w:r w:rsidRPr="00E14102">
        <w:rPr>
          <w:color w:val="000000" w:themeColor="text1"/>
          <w:sz w:val="16"/>
          <w:szCs w:val="16"/>
        </w:rPr>
        <w:t>§ 2. Директорам заводов и начальникам институтов приказываю неуклонно проводить в жизнь устанавливаемый порядок, и все вопросы вооружения самолетов разрешать только через начальника отдела вооружений ГУАП.</w:t>
      </w:r>
    </w:p>
    <w:p w14:paraId="0EBA7966" w14:textId="77777777" w:rsidR="000561E6" w:rsidRPr="00E14102" w:rsidRDefault="000561E6" w:rsidP="00E14102">
      <w:pPr>
        <w:pStyle w:val="rtejustify"/>
        <w:spacing w:before="0" w:after="0"/>
        <w:rPr>
          <w:color w:val="000000" w:themeColor="text1"/>
          <w:sz w:val="16"/>
          <w:szCs w:val="16"/>
        </w:rPr>
      </w:pPr>
      <w:r w:rsidRPr="00E14102">
        <w:rPr>
          <w:color w:val="000000" w:themeColor="text1"/>
          <w:sz w:val="16"/>
          <w:szCs w:val="16"/>
        </w:rPr>
        <w:t>§ 3. Заводам и институтам ГУАП, самостоятельно занимающимся конструированием вооружения для самолетов, срочно, не позднее 10 декабря с. г., свои планы работ, с указанием потребных средств на каждую работу на 1936 г., представить начальнику отдела вооружений ГУАП для рассмотрения и утверждения.</w:t>
      </w:r>
    </w:p>
    <w:p w14:paraId="22D008FC" w14:textId="77777777" w:rsidR="000561E6" w:rsidRPr="00E14102" w:rsidRDefault="000561E6" w:rsidP="00E14102">
      <w:pPr>
        <w:pStyle w:val="rtejustify"/>
        <w:spacing w:before="0" w:after="0"/>
        <w:rPr>
          <w:color w:val="000000" w:themeColor="text1"/>
          <w:sz w:val="16"/>
          <w:szCs w:val="16"/>
        </w:rPr>
      </w:pPr>
      <w:r w:rsidRPr="00E14102">
        <w:rPr>
          <w:color w:val="000000" w:themeColor="text1"/>
          <w:sz w:val="16"/>
          <w:szCs w:val="16"/>
        </w:rPr>
        <w:t>§ 4. В 1936 г. выработка новых конструкций для самолетов всех типов должна вестись строго по утвержденным планам и в пределах отпущенных средств.</w:t>
      </w:r>
    </w:p>
    <w:p w14:paraId="21F5779A" w14:textId="77777777" w:rsidR="000561E6" w:rsidRPr="00E14102" w:rsidRDefault="000561E6" w:rsidP="00E14102">
      <w:pPr>
        <w:pStyle w:val="rtejustify"/>
        <w:spacing w:before="0" w:after="0"/>
        <w:rPr>
          <w:color w:val="000000" w:themeColor="text1"/>
          <w:sz w:val="16"/>
          <w:szCs w:val="16"/>
        </w:rPr>
      </w:pPr>
      <w:r w:rsidRPr="00E14102">
        <w:rPr>
          <w:color w:val="000000" w:themeColor="text1"/>
          <w:sz w:val="16"/>
          <w:szCs w:val="16"/>
        </w:rPr>
        <w:t>§ 5. Самовольное конструирование вооружения, без получения задания или разрешения от начальника отдела вооружений, будет рассматриваться незаконным, и произведенные расходы приниматься ГУАП не будут.</w:t>
      </w:r>
    </w:p>
    <w:p w14:paraId="60FA106E" w14:textId="77777777" w:rsidR="000561E6" w:rsidRPr="00E14102" w:rsidRDefault="000561E6" w:rsidP="00E14102">
      <w:pPr>
        <w:pStyle w:val="rtejustify"/>
        <w:spacing w:before="0" w:after="0"/>
        <w:rPr>
          <w:color w:val="000000" w:themeColor="text1"/>
          <w:sz w:val="16"/>
          <w:szCs w:val="16"/>
        </w:rPr>
      </w:pPr>
      <w:r w:rsidRPr="00E14102">
        <w:rPr>
          <w:color w:val="000000" w:themeColor="text1"/>
          <w:sz w:val="16"/>
          <w:szCs w:val="16"/>
        </w:rPr>
        <w:t>§ 6. Изготовление опытных образцов вооружения или передача новых конструкций на крупносерийное производство вопреки установленному порядку будет рассматриваться мной как преступные действия с привлечением виновных к строжайшей ответственности.</w:t>
      </w:r>
    </w:p>
    <w:p w14:paraId="745542B8" w14:textId="77777777" w:rsidR="000561E6" w:rsidRPr="00E14102" w:rsidRDefault="000561E6" w:rsidP="00E14102">
      <w:pPr>
        <w:pStyle w:val="rtejustify"/>
        <w:spacing w:before="0" w:after="0"/>
        <w:rPr>
          <w:color w:val="000000" w:themeColor="text1"/>
          <w:sz w:val="16"/>
          <w:szCs w:val="16"/>
        </w:rPr>
      </w:pPr>
      <w:r w:rsidRPr="00E14102">
        <w:rPr>
          <w:color w:val="000000" w:themeColor="text1"/>
          <w:sz w:val="16"/>
          <w:szCs w:val="16"/>
        </w:rPr>
        <w:t>§ 7. Начальнику отдела вооружений приказываю жестко проводить в жизнь установленный порядок. О лицах, нарушающих его, доносить мне немедленно.</w:t>
      </w:r>
    </w:p>
    <w:p w14:paraId="05ED893B" w14:textId="77777777" w:rsidR="000561E6" w:rsidRPr="00E14102" w:rsidRDefault="000561E6"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Начальник ГУАП Королев</w:t>
      </w:r>
    </w:p>
    <w:p w14:paraId="04B63DA1" w14:textId="77777777" w:rsidR="000561E6" w:rsidRPr="00E14102" w:rsidRDefault="000561E6"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Примечание</w:t>
      </w:r>
      <w:r w:rsidRPr="00E14102">
        <w:rPr>
          <w:rFonts w:ascii="Times New Roman" w:hAnsi="Times New Roman" w:cs="Times New Roman"/>
          <w:color w:val="000000" w:themeColor="text1"/>
          <w:sz w:val="16"/>
          <w:szCs w:val="16"/>
          <w:lang w:val="ru-RU"/>
        </w:rPr>
        <w:t>:</w:t>
      </w:r>
    </w:p>
    <w:p w14:paraId="5E670EDF" w14:textId="77777777" w:rsidR="000561E6" w:rsidRPr="00E14102" w:rsidRDefault="000561E6" w:rsidP="00E14102">
      <w:pPr>
        <w:jc w:val="both"/>
        <w:rPr>
          <w:color w:val="000000" w:themeColor="text1"/>
          <w:sz w:val="16"/>
          <w:szCs w:val="16"/>
        </w:rPr>
      </w:pPr>
      <w:r w:rsidRPr="00E14102">
        <w:rPr>
          <w:color w:val="000000" w:themeColor="text1"/>
          <w:sz w:val="16"/>
          <w:szCs w:val="16"/>
        </w:rPr>
        <w:t>¹* За 1923</w:t>
      </w:r>
      <w:r w:rsidRPr="00E14102">
        <w:rPr>
          <w:color w:val="000000" w:themeColor="text1"/>
          <w:sz w:val="16"/>
          <w:szCs w:val="16"/>
        </w:rPr>
        <w:noBreakHyphen/>
        <w:t>1935 гг. конструкторскими бюро авиапромышленности было построено 143 опытных образца, из них 43 пошли в серийное производство. Данные по конкретным бюро:</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61"/>
        <w:gridCol w:w="2481"/>
        <w:gridCol w:w="2573"/>
        <w:gridCol w:w="1127"/>
      </w:tblGrid>
      <w:tr w:rsidR="00E3599D" w:rsidRPr="00E14102" w14:paraId="22D40BC7"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B2627F" w14:textId="77777777" w:rsidR="000561E6" w:rsidRPr="00E14102" w:rsidRDefault="000561E6" w:rsidP="00E14102">
            <w:pPr>
              <w:jc w:val="both"/>
              <w:rPr>
                <w:color w:val="000000" w:themeColor="text1"/>
                <w:sz w:val="16"/>
                <w:szCs w:val="16"/>
              </w:rPr>
            </w:pPr>
            <w:r w:rsidRPr="00E1410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961AE" w14:textId="77777777" w:rsidR="000561E6" w:rsidRPr="00E14102" w:rsidRDefault="000561E6" w:rsidP="00E14102">
            <w:pPr>
              <w:jc w:val="both"/>
              <w:rPr>
                <w:color w:val="000000" w:themeColor="text1"/>
                <w:sz w:val="16"/>
                <w:szCs w:val="16"/>
              </w:rPr>
            </w:pPr>
            <w:r w:rsidRPr="00E14102">
              <w:rPr>
                <w:color w:val="000000" w:themeColor="text1"/>
                <w:sz w:val="16"/>
                <w:szCs w:val="16"/>
              </w:rPr>
              <w:t>Всего построено опытных образцов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504E3" w14:textId="77777777" w:rsidR="000561E6" w:rsidRPr="00E14102" w:rsidRDefault="000561E6" w:rsidP="00E14102">
            <w:pPr>
              <w:jc w:val="both"/>
              <w:rPr>
                <w:color w:val="000000" w:themeColor="text1"/>
                <w:sz w:val="16"/>
                <w:szCs w:val="16"/>
              </w:rPr>
            </w:pPr>
            <w:r w:rsidRPr="00E14102">
              <w:rPr>
                <w:color w:val="000000" w:themeColor="text1"/>
                <w:sz w:val="16"/>
                <w:szCs w:val="16"/>
              </w:rPr>
              <w:t>Из них пошло в серийную постройку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9468B" w14:textId="77777777" w:rsidR="000561E6" w:rsidRPr="00E14102" w:rsidRDefault="000561E6" w:rsidP="00E14102">
            <w:pPr>
              <w:jc w:val="both"/>
              <w:rPr>
                <w:color w:val="000000" w:themeColor="text1"/>
                <w:sz w:val="16"/>
                <w:szCs w:val="16"/>
              </w:rPr>
            </w:pPr>
            <w:r w:rsidRPr="00E14102">
              <w:rPr>
                <w:color w:val="000000" w:themeColor="text1"/>
                <w:sz w:val="16"/>
                <w:szCs w:val="16"/>
              </w:rPr>
              <w:t>Процент отдачи</w:t>
            </w:r>
          </w:p>
        </w:tc>
      </w:tr>
      <w:tr w:rsidR="00E3599D" w:rsidRPr="00E14102" w14:paraId="78B5964C"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D49D7F" w14:textId="77777777" w:rsidR="000561E6" w:rsidRPr="00E14102" w:rsidRDefault="000561E6" w:rsidP="00E14102">
            <w:pPr>
              <w:jc w:val="both"/>
              <w:rPr>
                <w:color w:val="000000" w:themeColor="text1"/>
                <w:sz w:val="16"/>
                <w:szCs w:val="16"/>
              </w:rPr>
            </w:pPr>
            <w:r w:rsidRPr="00E14102">
              <w:rPr>
                <w:color w:val="000000" w:themeColor="text1"/>
                <w:sz w:val="16"/>
                <w:szCs w:val="16"/>
              </w:rPr>
              <w:t>Туполев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AE08F" w14:textId="77777777" w:rsidR="000561E6" w:rsidRPr="00E14102" w:rsidRDefault="000561E6" w:rsidP="00E14102">
            <w:pPr>
              <w:jc w:val="both"/>
              <w:rPr>
                <w:color w:val="000000" w:themeColor="text1"/>
                <w:sz w:val="16"/>
                <w:szCs w:val="16"/>
              </w:rPr>
            </w:pPr>
            <w:r w:rsidRPr="00E14102">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5BC78" w14:textId="77777777" w:rsidR="000561E6" w:rsidRPr="00E14102" w:rsidRDefault="000561E6" w:rsidP="00E14102">
            <w:pPr>
              <w:jc w:val="both"/>
              <w:rPr>
                <w:color w:val="000000" w:themeColor="text1"/>
                <w:sz w:val="16"/>
                <w:szCs w:val="16"/>
              </w:rPr>
            </w:pPr>
            <w:r w:rsidRPr="00E1410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C1E5C" w14:textId="77777777" w:rsidR="000561E6" w:rsidRPr="00E14102" w:rsidRDefault="000561E6" w:rsidP="00E14102">
            <w:pPr>
              <w:jc w:val="both"/>
              <w:rPr>
                <w:color w:val="000000" w:themeColor="text1"/>
                <w:sz w:val="16"/>
                <w:szCs w:val="16"/>
              </w:rPr>
            </w:pPr>
            <w:r w:rsidRPr="00E14102">
              <w:rPr>
                <w:color w:val="000000" w:themeColor="text1"/>
                <w:sz w:val="16"/>
                <w:szCs w:val="16"/>
              </w:rPr>
              <w:t>40</w:t>
            </w:r>
          </w:p>
        </w:tc>
      </w:tr>
      <w:tr w:rsidR="00E3599D" w:rsidRPr="00E14102" w14:paraId="7C31DD65"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53CA95" w14:textId="77777777" w:rsidR="000561E6" w:rsidRPr="00E14102" w:rsidRDefault="000561E6" w:rsidP="00E14102">
            <w:pPr>
              <w:jc w:val="both"/>
              <w:rPr>
                <w:color w:val="000000" w:themeColor="text1"/>
                <w:sz w:val="16"/>
                <w:szCs w:val="16"/>
              </w:rPr>
            </w:pPr>
            <w:r w:rsidRPr="00E14102">
              <w:rPr>
                <w:color w:val="000000" w:themeColor="text1"/>
                <w:sz w:val="16"/>
                <w:szCs w:val="16"/>
              </w:rPr>
              <w:t>Поликарпов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FA266" w14:textId="77777777" w:rsidR="000561E6" w:rsidRPr="00E14102" w:rsidRDefault="000561E6" w:rsidP="00E14102">
            <w:pPr>
              <w:jc w:val="both"/>
              <w:rPr>
                <w:color w:val="000000" w:themeColor="text1"/>
                <w:sz w:val="16"/>
                <w:szCs w:val="16"/>
              </w:rPr>
            </w:pPr>
            <w:r w:rsidRPr="00E14102">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60EF3" w14:textId="77777777" w:rsidR="000561E6" w:rsidRPr="00E14102" w:rsidRDefault="000561E6"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86FB2" w14:textId="77777777" w:rsidR="000561E6" w:rsidRPr="00E14102" w:rsidRDefault="000561E6" w:rsidP="00E14102">
            <w:pPr>
              <w:jc w:val="both"/>
              <w:rPr>
                <w:color w:val="000000" w:themeColor="text1"/>
                <w:sz w:val="16"/>
                <w:szCs w:val="16"/>
              </w:rPr>
            </w:pPr>
            <w:r w:rsidRPr="00E14102">
              <w:rPr>
                <w:color w:val="000000" w:themeColor="text1"/>
                <w:sz w:val="16"/>
                <w:szCs w:val="16"/>
              </w:rPr>
              <w:t>25</w:t>
            </w:r>
          </w:p>
        </w:tc>
      </w:tr>
      <w:tr w:rsidR="00E3599D" w:rsidRPr="00E14102" w14:paraId="454944F9"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0774D0" w14:textId="77777777" w:rsidR="000561E6" w:rsidRPr="00E14102" w:rsidRDefault="000561E6" w:rsidP="00E14102">
            <w:pPr>
              <w:jc w:val="both"/>
              <w:rPr>
                <w:color w:val="000000" w:themeColor="text1"/>
                <w:sz w:val="16"/>
                <w:szCs w:val="16"/>
              </w:rPr>
            </w:pPr>
            <w:r w:rsidRPr="00E14102">
              <w:rPr>
                <w:color w:val="000000" w:themeColor="text1"/>
                <w:sz w:val="16"/>
                <w:szCs w:val="16"/>
              </w:rPr>
              <w:t>Григорович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9129F" w14:textId="77777777" w:rsidR="000561E6" w:rsidRPr="00E14102" w:rsidRDefault="000561E6" w:rsidP="00E14102">
            <w:pPr>
              <w:jc w:val="both"/>
              <w:rPr>
                <w:color w:val="000000" w:themeColor="text1"/>
                <w:sz w:val="16"/>
                <w:szCs w:val="16"/>
              </w:rPr>
            </w:pPr>
            <w:r w:rsidRPr="00E14102">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C4D68" w14:textId="77777777" w:rsidR="000561E6" w:rsidRPr="00E14102" w:rsidRDefault="000561E6"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25AFC" w14:textId="77777777" w:rsidR="000561E6" w:rsidRPr="00E14102" w:rsidRDefault="000561E6" w:rsidP="00E14102">
            <w:pPr>
              <w:jc w:val="both"/>
              <w:rPr>
                <w:color w:val="000000" w:themeColor="text1"/>
                <w:sz w:val="16"/>
                <w:szCs w:val="16"/>
              </w:rPr>
            </w:pPr>
            <w:r w:rsidRPr="00E14102">
              <w:rPr>
                <w:color w:val="000000" w:themeColor="text1"/>
                <w:sz w:val="16"/>
                <w:szCs w:val="16"/>
              </w:rPr>
              <w:t>31</w:t>
            </w:r>
          </w:p>
        </w:tc>
      </w:tr>
      <w:tr w:rsidR="00E3599D" w:rsidRPr="00E14102" w14:paraId="214AD3AA"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E7CC9D" w14:textId="77777777" w:rsidR="000561E6" w:rsidRPr="00E14102" w:rsidRDefault="000561E6" w:rsidP="00E14102">
            <w:pPr>
              <w:jc w:val="both"/>
              <w:rPr>
                <w:color w:val="000000" w:themeColor="text1"/>
                <w:sz w:val="16"/>
                <w:szCs w:val="16"/>
              </w:rPr>
            </w:pPr>
            <w:r w:rsidRPr="00E14102">
              <w:rPr>
                <w:color w:val="000000" w:themeColor="text1"/>
                <w:sz w:val="16"/>
                <w:szCs w:val="16"/>
              </w:rPr>
              <w:t>Путилов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179CE" w14:textId="77777777" w:rsidR="000561E6" w:rsidRPr="00E14102" w:rsidRDefault="000561E6" w:rsidP="00E14102">
            <w:pPr>
              <w:jc w:val="both"/>
              <w:rPr>
                <w:color w:val="000000" w:themeColor="text1"/>
                <w:sz w:val="16"/>
                <w:szCs w:val="16"/>
              </w:rPr>
            </w:pPr>
            <w:r w:rsidRPr="00E1410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A9459" w14:textId="77777777" w:rsidR="000561E6" w:rsidRPr="00E14102" w:rsidRDefault="000561E6"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A033A" w14:textId="77777777" w:rsidR="000561E6" w:rsidRPr="00E14102" w:rsidRDefault="000561E6" w:rsidP="00E14102">
            <w:pPr>
              <w:jc w:val="both"/>
              <w:rPr>
                <w:color w:val="000000" w:themeColor="text1"/>
                <w:sz w:val="16"/>
                <w:szCs w:val="16"/>
              </w:rPr>
            </w:pPr>
            <w:r w:rsidRPr="00E14102">
              <w:rPr>
                <w:color w:val="000000" w:themeColor="text1"/>
                <w:sz w:val="16"/>
                <w:szCs w:val="16"/>
              </w:rPr>
              <w:t>50</w:t>
            </w:r>
          </w:p>
        </w:tc>
      </w:tr>
      <w:tr w:rsidR="00E3599D" w:rsidRPr="00E14102" w14:paraId="039A36D5"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6E385" w14:textId="77777777" w:rsidR="000561E6" w:rsidRPr="00E14102" w:rsidRDefault="000561E6" w:rsidP="00E14102">
            <w:pPr>
              <w:jc w:val="both"/>
              <w:rPr>
                <w:color w:val="000000" w:themeColor="text1"/>
                <w:sz w:val="16"/>
                <w:szCs w:val="16"/>
              </w:rPr>
            </w:pPr>
            <w:r w:rsidRPr="00E14102">
              <w:rPr>
                <w:color w:val="000000" w:themeColor="text1"/>
                <w:sz w:val="16"/>
                <w:szCs w:val="16"/>
              </w:rPr>
              <w:t>Калинин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33915" w14:textId="77777777" w:rsidR="000561E6" w:rsidRPr="00E14102" w:rsidRDefault="000561E6" w:rsidP="00E14102">
            <w:pPr>
              <w:jc w:val="both"/>
              <w:rPr>
                <w:color w:val="000000" w:themeColor="text1"/>
                <w:sz w:val="16"/>
                <w:szCs w:val="16"/>
              </w:rPr>
            </w:pPr>
            <w:r w:rsidRPr="00E1410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1DDAE" w14:textId="77777777" w:rsidR="000561E6" w:rsidRPr="00E14102" w:rsidRDefault="000561E6" w:rsidP="00E14102">
            <w:pPr>
              <w:jc w:val="both"/>
              <w:rPr>
                <w:color w:val="000000" w:themeColor="text1"/>
                <w:sz w:val="16"/>
                <w:szCs w:val="16"/>
              </w:rPr>
            </w:pPr>
            <w:r w:rsidRPr="00E1410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22A37" w14:textId="77777777" w:rsidR="000561E6" w:rsidRPr="00E14102" w:rsidRDefault="000561E6" w:rsidP="00E14102">
            <w:pPr>
              <w:jc w:val="both"/>
              <w:rPr>
                <w:color w:val="000000" w:themeColor="text1"/>
                <w:sz w:val="16"/>
                <w:szCs w:val="16"/>
              </w:rPr>
            </w:pPr>
            <w:r w:rsidRPr="00E14102">
              <w:rPr>
                <w:color w:val="000000" w:themeColor="text1"/>
                <w:sz w:val="16"/>
                <w:szCs w:val="16"/>
              </w:rPr>
              <w:t>16</w:t>
            </w:r>
          </w:p>
        </w:tc>
      </w:tr>
      <w:tr w:rsidR="00E3599D" w:rsidRPr="00E14102" w14:paraId="5967471C"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363B5B" w14:textId="77777777" w:rsidR="000561E6" w:rsidRPr="00E14102" w:rsidRDefault="000561E6" w:rsidP="00E14102">
            <w:pPr>
              <w:jc w:val="both"/>
              <w:rPr>
                <w:color w:val="000000" w:themeColor="text1"/>
                <w:sz w:val="16"/>
                <w:szCs w:val="16"/>
              </w:rPr>
            </w:pPr>
            <w:r w:rsidRPr="00E14102">
              <w:rPr>
                <w:color w:val="000000" w:themeColor="text1"/>
                <w:sz w:val="16"/>
                <w:szCs w:val="16"/>
              </w:rPr>
              <w:t>Яковлев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FF1D2" w14:textId="77777777" w:rsidR="000561E6" w:rsidRPr="00E14102" w:rsidRDefault="000561E6" w:rsidP="00E14102">
            <w:pPr>
              <w:jc w:val="both"/>
              <w:rPr>
                <w:color w:val="000000" w:themeColor="text1"/>
                <w:sz w:val="16"/>
                <w:szCs w:val="16"/>
              </w:rPr>
            </w:pPr>
            <w:r w:rsidRPr="00E14102">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CBE02" w14:textId="77777777" w:rsidR="000561E6" w:rsidRPr="00E14102" w:rsidRDefault="000561E6" w:rsidP="00E14102">
            <w:pPr>
              <w:jc w:val="both"/>
              <w:rPr>
                <w:color w:val="000000" w:themeColor="text1"/>
                <w:sz w:val="16"/>
                <w:szCs w:val="16"/>
              </w:rPr>
            </w:pPr>
            <w:r w:rsidRPr="00E1410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23FD2" w14:textId="77777777" w:rsidR="000561E6" w:rsidRPr="00E14102" w:rsidRDefault="000561E6" w:rsidP="00E14102">
            <w:pPr>
              <w:jc w:val="both"/>
              <w:rPr>
                <w:color w:val="000000" w:themeColor="text1"/>
                <w:sz w:val="16"/>
                <w:szCs w:val="16"/>
              </w:rPr>
            </w:pPr>
            <w:r w:rsidRPr="00E14102">
              <w:rPr>
                <w:color w:val="000000" w:themeColor="text1"/>
                <w:sz w:val="16"/>
                <w:szCs w:val="16"/>
              </w:rPr>
              <w:t>45</w:t>
            </w:r>
          </w:p>
        </w:tc>
      </w:tr>
      <w:tr w:rsidR="00E3599D" w:rsidRPr="00E14102" w14:paraId="4A391A1A"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1FE59F" w14:textId="77777777" w:rsidR="000561E6" w:rsidRPr="00E14102" w:rsidRDefault="000561E6" w:rsidP="00E14102">
            <w:pPr>
              <w:jc w:val="both"/>
              <w:rPr>
                <w:color w:val="000000" w:themeColor="text1"/>
                <w:sz w:val="16"/>
                <w:szCs w:val="16"/>
              </w:rPr>
            </w:pPr>
            <w:r w:rsidRPr="00E14102">
              <w:rPr>
                <w:color w:val="000000" w:themeColor="text1"/>
                <w:sz w:val="16"/>
                <w:szCs w:val="16"/>
              </w:rPr>
              <w:t>Кочеригин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8E68B" w14:textId="77777777" w:rsidR="000561E6" w:rsidRPr="00E14102" w:rsidRDefault="000561E6" w:rsidP="00E14102">
            <w:pPr>
              <w:jc w:val="both"/>
              <w:rPr>
                <w:color w:val="000000" w:themeColor="text1"/>
                <w:sz w:val="16"/>
                <w:szCs w:val="16"/>
              </w:rPr>
            </w:pPr>
            <w:r w:rsidRPr="00E1410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13DE9" w14:textId="77777777" w:rsidR="000561E6" w:rsidRPr="00E14102" w:rsidRDefault="000561E6"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0DE33" w14:textId="77777777" w:rsidR="000561E6" w:rsidRPr="00E14102" w:rsidRDefault="000561E6" w:rsidP="00E14102">
            <w:pPr>
              <w:jc w:val="both"/>
              <w:rPr>
                <w:color w:val="000000" w:themeColor="text1"/>
                <w:sz w:val="16"/>
                <w:szCs w:val="16"/>
              </w:rPr>
            </w:pPr>
            <w:r w:rsidRPr="00E14102">
              <w:rPr>
                <w:color w:val="000000" w:themeColor="text1"/>
                <w:sz w:val="16"/>
                <w:szCs w:val="16"/>
              </w:rPr>
              <w:t>43</w:t>
            </w:r>
          </w:p>
        </w:tc>
      </w:tr>
      <w:tr w:rsidR="00E3599D" w:rsidRPr="00E14102" w14:paraId="6221D9D8"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AB2D8B" w14:textId="77777777" w:rsidR="000561E6" w:rsidRPr="00E14102" w:rsidRDefault="000561E6" w:rsidP="00E14102">
            <w:pPr>
              <w:jc w:val="both"/>
              <w:rPr>
                <w:color w:val="000000" w:themeColor="text1"/>
                <w:sz w:val="16"/>
                <w:szCs w:val="16"/>
              </w:rPr>
            </w:pPr>
            <w:r w:rsidRPr="00E14102">
              <w:rPr>
                <w:color w:val="000000" w:themeColor="text1"/>
                <w:sz w:val="16"/>
                <w:szCs w:val="16"/>
              </w:rPr>
              <w:t>Неман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ED5A8" w14:textId="77777777" w:rsidR="000561E6" w:rsidRPr="00E14102" w:rsidRDefault="000561E6" w:rsidP="00E14102">
            <w:pPr>
              <w:jc w:val="both"/>
              <w:rPr>
                <w:color w:val="000000" w:themeColor="text1"/>
                <w:sz w:val="16"/>
                <w:szCs w:val="16"/>
              </w:rPr>
            </w:pPr>
            <w:r w:rsidRPr="00E1410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775A9" w14:textId="77777777" w:rsidR="000561E6" w:rsidRPr="00E14102" w:rsidRDefault="000561E6" w:rsidP="00E14102">
            <w:pPr>
              <w:jc w:val="both"/>
              <w:rPr>
                <w:color w:val="000000" w:themeColor="text1"/>
                <w:sz w:val="16"/>
                <w:szCs w:val="16"/>
              </w:rPr>
            </w:pPr>
            <w:r w:rsidRPr="00E1410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98FE3" w14:textId="77777777" w:rsidR="000561E6" w:rsidRPr="00E14102" w:rsidRDefault="000561E6" w:rsidP="00E14102">
            <w:pPr>
              <w:jc w:val="both"/>
              <w:rPr>
                <w:color w:val="000000" w:themeColor="text1"/>
                <w:sz w:val="16"/>
                <w:szCs w:val="16"/>
              </w:rPr>
            </w:pPr>
            <w:r w:rsidRPr="00E14102">
              <w:rPr>
                <w:color w:val="000000" w:themeColor="text1"/>
                <w:sz w:val="16"/>
                <w:szCs w:val="16"/>
              </w:rPr>
              <w:t>33</w:t>
            </w:r>
          </w:p>
        </w:tc>
      </w:tr>
    </w:tbl>
    <w:p w14:paraId="47AF2044" w14:textId="77777777" w:rsidR="000561E6" w:rsidRPr="00E14102" w:rsidRDefault="000561E6" w:rsidP="00E14102">
      <w:pPr>
        <w:jc w:val="both"/>
        <w:rPr>
          <w:color w:val="000000" w:themeColor="text1"/>
          <w:sz w:val="16"/>
          <w:szCs w:val="16"/>
        </w:rPr>
      </w:pPr>
      <w:r w:rsidRPr="00E14102">
        <w:rPr>
          <w:color w:val="000000" w:themeColor="text1"/>
          <w:sz w:val="16"/>
          <w:szCs w:val="16"/>
        </w:rPr>
        <w:t>(РГАЭ. Ф. 7515. Оп. 1. Д. 6. Л. 9).</w:t>
      </w:r>
    </w:p>
    <w:p w14:paraId="2475A0A7" w14:textId="77777777" w:rsidR="000561E6" w:rsidRPr="00E14102" w:rsidRDefault="000561E6"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8328. Оп. 1. Д. 786. Л. 69-68. Заверенная копия (15367).</w:t>
      </w:r>
    </w:p>
    <w:p w14:paraId="4FA0F93D" w14:textId="77777777" w:rsidR="000561E6" w:rsidRPr="00E14102" w:rsidRDefault="000561E6" w:rsidP="00E14102">
      <w:pPr>
        <w:pStyle w:val="rtejustify"/>
        <w:spacing w:before="0" w:after="0"/>
        <w:rPr>
          <w:rStyle w:val="a6"/>
          <w:bCs/>
          <w:i w:val="0"/>
          <w:color w:val="000000" w:themeColor="text1"/>
          <w:sz w:val="16"/>
          <w:szCs w:val="16"/>
        </w:rPr>
      </w:pPr>
    </w:p>
    <w:p w14:paraId="6D86797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3 декабря 1935 года вышел Приказ НИИ ВС № 0612 О гос. испытаниях эталонов 4-х ВАП-500 конструкции ЦАГИ на самолете ТБ-3.</w:t>
      </w:r>
    </w:p>
    <w:p w14:paraId="5AEDCD8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провести на Центральном и Щелковском аэродромах и на НИХПе в декабре 1935 года (6815, 209).</w:t>
      </w:r>
    </w:p>
    <w:p w14:paraId="6FF36A7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8486C0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3D658B95" w14:textId="77777777" w:rsidR="00D4105E" w:rsidRPr="00E14102" w:rsidRDefault="00D4105E" w:rsidP="00E14102">
      <w:pPr>
        <w:autoSpaceDE w:val="0"/>
        <w:autoSpaceDN w:val="0"/>
        <w:adjustRightInd w:val="0"/>
        <w:jc w:val="both"/>
        <w:rPr>
          <w:iCs/>
          <w:color w:val="000000" w:themeColor="text1"/>
          <w:sz w:val="16"/>
          <w:szCs w:val="16"/>
        </w:rPr>
      </w:pPr>
    </w:p>
    <w:p w14:paraId="7BA8A5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декабря 1935 приказом НКО для всего личного состава РККА вводилось новое обмундирование и знаки различия. Старые звания по категориям упразднялись (сохраняясь для политического, технического, юридического, медицинского и мл. командного состава). Для командиров вводились персональные звания (2813,3).</w:t>
      </w:r>
    </w:p>
    <w:p w14:paraId="0FE9A450" w14:textId="77777777" w:rsidR="00D4105E" w:rsidRPr="00E14102" w:rsidRDefault="00D4105E" w:rsidP="00E14102">
      <w:pPr>
        <w:autoSpaceDE w:val="0"/>
        <w:autoSpaceDN w:val="0"/>
        <w:adjustRightInd w:val="0"/>
        <w:jc w:val="both"/>
        <w:rPr>
          <w:color w:val="000000" w:themeColor="text1"/>
          <w:sz w:val="16"/>
          <w:szCs w:val="16"/>
        </w:rPr>
      </w:pPr>
    </w:p>
    <w:p w14:paraId="1151544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81AD8A5" w14:textId="77777777" w:rsidR="00D4105E" w:rsidRPr="00E14102" w:rsidRDefault="00D4105E" w:rsidP="00E14102">
      <w:pPr>
        <w:autoSpaceDE w:val="0"/>
        <w:autoSpaceDN w:val="0"/>
        <w:adjustRightInd w:val="0"/>
        <w:jc w:val="both"/>
        <w:rPr>
          <w:iCs/>
          <w:color w:val="000000" w:themeColor="text1"/>
          <w:sz w:val="16"/>
          <w:szCs w:val="16"/>
        </w:rPr>
      </w:pPr>
    </w:p>
    <w:p w14:paraId="38F61C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и 10 декабря 1935 года при опробовании торпедоносца ЦАГИ на земле на заводских испытаниях выяснилось, что хвостовое оперение имеет вибрацию. Это явление не могло быть учтено при проектировании. Перепроектирование нового оперения закончено 10 марта 1936 года, постройка его будет закончена к 15 мая 1936 года (3574,212-216).</w:t>
      </w:r>
    </w:p>
    <w:p w14:paraId="54A72CF3" w14:textId="77777777" w:rsidR="00D4105E" w:rsidRPr="00E14102" w:rsidRDefault="00D4105E" w:rsidP="00E14102">
      <w:pPr>
        <w:autoSpaceDE w:val="0"/>
        <w:autoSpaceDN w:val="0"/>
        <w:adjustRightInd w:val="0"/>
        <w:jc w:val="both"/>
        <w:rPr>
          <w:color w:val="000000" w:themeColor="text1"/>
          <w:sz w:val="16"/>
          <w:szCs w:val="16"/>
        </w:rPr>
      </w:pPr>
    </w:p>
    <w:p w14:paraId="2C7454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декабря 1935 года вышло распоряже</w:t>
      </w:r>
      <w:r w:rsidRPr="00E14102">
        <w:rPr>
          <w:color w:val="000000" w:themeColor="text1"/>
          <w:sz w:val="16"/>
          <w:szCs w:val="16"/>
        </w:rPr>
        <w:softHyphen/>
        <w:t>ние директора завода № 39 о выпуске на аэродром ЦКБ-19 к 1.1.36 г. (10667).</w:t>
      </w:r>
    </w:p>
    <w:p w14:paraId="05E30D02" w14:textId="77777777" w:rsidR="00D4105E" w:rsidRPr="00E14102" w:rsidRDefault="00D4105E" w:rsidP="00E14102">
      <w:pPr>
        <w:autoSpaceDE w:val="0"/>
        <w:autoSpaceDN w:val="0"/>
        <w:adjustRightInd w:val="0"/>
        <w:jc w:val="both"/>
        <w:rPr>
          <w:color w:val="000000" w:themeColor="text1"/>
          <w:sz w:val="16"/>
          <w:szCs w:val="16"/>
        </w:rPr>
      </w:pPr>
    </w:p>
    <w:p w14:paraId="7276CA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декабря 1935 года Базилевич писал в письмо № 2336/ко в НКТП Орджоникидзе</w:t>
      </w:r>
    </w:p>
    <w:p w14:paraId="523E13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резолюции Молотова препровождаю предложение конструктора завода № 1 Сильванского о постройке одноместного скоростного пушечного истребителя.</w:t>
      </w:r>
    </w:p>
    <w:p w14:paraId="329013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 на 2 листах и четыре фотоснимка (3527, 170).</w:t>
      </w:r>
    </w:p>
    <w:p w14:paraId="5C5217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ноября 1935 года конструктор самолета инженер А. Сильванский писал письмо председателю СНК Молотову</w:t>
      </w:r>
    </w:p>
    <w:p w14:paraId="546C7F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(Резолюция Молотова: Орджоникидзе).</w:t>
      </w:r>
    </w:p>
    <w:p w14:paraId="6165C3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Учитывая величайший исторический смысл выступления Сталина о кадрах, плодом которого является стахановско-бусыгинское движение во всем социалистическом хозяйстве.</w:t>
      </w:r>
    </w:p>
    <w:p w14:paraId="181A19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 инженер-конструктор оборнпрома предлагаю в программу опытного строительства самолетов на 1936 год разработанный проект моей конструкторской бригады на заводе № 1, одноместного скоростного пушечного истребителя, моноплан к собирающемуся шасси, вооруженный двумя пушками ШВАК калибра 20 мм на крыльях, дающий максимальную скорость свыше 525 км/час на высоте 4000 м. Который по отзыву вр. Начальника Управления ВС Хрипина и начальника Научно-технического отдела ВС Горощенко, является целесообразным положить в основу проектирования скоростного пушечного истребителя на 1936 год заводу № 21, так как дальнейшее форсирование мощности мотора М-85 делает его интересным и выгодным для одноместного истребителя с тяжелым пушечным вооружением.</w:t>
      </w:r>
    </w:p>
    <w:p w14:paraId="3C405C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несмотря на заключение вышеизложенное (копия которого находится в Управлении ВС) Хрипина, начальник Глававиапрома Королев все время ссылается на недостаток средств на опытное строительство, всячески задерживает и оттягивает настоящее решение вопроса, не считаясь с тем, что завод № 1 уже израсходовал на предварительный проект 75000 рублей это позволяет предполагать, что большое влияние имеют на Королева старые конструкторы "бывшие вредители" (Григорович и Поликарпов), которые не желают иметь конкурентов, стараются молодого конструктора "зажать" для захвата полной монополии над опытным строительством истребителей.</w:t>
      </w:r>
    </w:p>
    <w:p w14:paraId="0C3B6D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настоящем проект законсервирован в 1935 году ввиду отсутствия средств.</w:t>
      </w:r>
    </w:p>
    <w:p w14:paraId="5EF738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результате всего вышеизложенного прошу Вас:</w:t>
      </w:r>
    </w:p>
    <w:p w14:paraId="4D4D215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Дать Ваши указания начальнику Глававиапрома на предмет включения машины в план опытного строительства ГУАПа на 1936 год заводу № 21.</w:t>
      </w:r>
    </w:p>
    <w:p w14:paraId="2305FE0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усиления КБ завода № 21 выделить конструкторскую бригаду в количестве 15 инженеров, ранее работавших в моей бригаде на заводе № 1 (3527, 171-172).</w:t>
      </w:r>
    </w:p>
    <w:p w14:paraId="37EDFA3A"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3FA54D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декабря 1935 года Базилевич писал письмо № 2338/ко</w:t>
      </w:r>
    </w:p>
    <w:p w14:paraId="43A2A2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в протокол КО № 15 от 2 декабря 1935 года, п. 1, конец 3-го абзаца внести следующую поправку: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103"/>
      </w:tblGrid>
      <w:tr w:rsidR="00E3599D" w:rsidRPr="00E14102" w14:paraId="46CC2004" w14:textId="77777777">
        <w:tc>
          <w:tcPr>
            <w:tcW w:w="4928" w:type="dxa"/>
          </w:tcPr>
          <w:p w14:paraId="51438D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Напечатано</w:t>
            </w:r>
          </w:p>
        </w:tc>
        <w:tc>
          <w:tcPr>
            <w:tcW w:w="5103" w:type="dxa"/>
          </w:tcPr>
          <w:p w14:paraId="27857A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Следует читать</w:t>
            </w:r>
          </w:p>
        </w:tc>
      </w:tr>
      <w:tr w:rsidR="00E3599D" w:rsidRPr="00E14102" w14:paraId="5A3E9421" w14:textId="77777777">
        <w:tc>
          <w:tcPr>
            <w:tcW w:w="4928" w:type="dxa"/>
          </w:tcPr>
          <w:p w14:paraId="1FF506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 Выделить ГУАПу немедленно из резервного фонда СНК в счет этой суммы аванс в размере 40 млн. рублей на выдачу зарплаты.</w:t>
            </w:r>
          </w:p>
        </w:tc>
        <w:tc>
          <w:tcPr>
            <w:tcW w:w="5103" w:type="dxa"/>
          </w:tcPr>
          <w:p w14:paraId="160F0B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 Выделить ГУАПу немедленно из резервного фонда СНК в счет этой суммы аванс в размере 40 млн. рублей на выдачу зарплаты и покрытие убытков по авиазаводам ГУАПа.</w:t>
            </w:r>
          </w:p>
        </w:tc>
      </w:tr>
    </w:tbl>
    <w:p w14:paraId="2DC592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(3475,3).</w:t>
      </w:r>
    </w:p>
    <w:p w14:paraId="0F7EE5F1" w14:textId="77777777" w:rsidR="00D4105E" w:rsidRPr="00E14102" w:rsidRDefault="00D4105E" w:rsidP="00E14102">
      <w:pPr>
        <w:autoSpaceDE w:val="0"/>
        <w:autoSpaceDN w:val="0"/>
        <w:adjustRightInd w:val="0"/>
        <w:jc w:val="both"/>
        <w:rPr>
          <w:color w:val="000000" w:themeColor="text1"/>
          <w:sz w:val="16"/>
          <w:szCs w:val="16"/>
        </w:rPr>
      </w:pPr>
    </w:p>
    <w:p w14:paraId="1247FD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декабря 1935 закончились полигонные испытания импортного ДАП"а британской фирмы приборов на самолете И-5 М-22, которые проходили с 28 октября 1935:</w:t>
      </w:r>
    </w:p>
    <w:p w14:paraId="6EC7C0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00356C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Выявить конструктивные и эксплуатационные качества английского ДАП"а на самолете И-5 М-22.</w:t>
      </w:r>
    </w:p>
    <w:p w14:paraId="1C8F60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37818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Дымоприбор британской фирмы приборов допустим для применения, согласно сделанных выводов.</w:t>
      </w:r>
    </w:p>
    <w:p w14:paraId="714E0A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Провести испытания прибора с дымосмесью S-IV (3079).</w:t>
      </w:r>
    </w:p>
    <w:p w14:paraId="5A07080F" w14:textId="77777777" w:rsidR="00D4105E" w:rsidRPr="00E14102" w:rsidRDefault="00D4105E" w:rsidP="00E14102">
      <w:pPr>
        <w:autoSpaceDE w:val="0"/>
        <w:autoSpaceDN w:val="0"/>
        <w:adjustRightInd w:val="0"/>
        <w:jc w:val="both"/>
        <w:rPr>
          <w:color w:val="000000" w:themeColor="text1"/>
          <w:sz w:val="16"/>
          <w:szCs w:val="16"/>
        </w:rPr>
      </w:pPr>
    </w:p>
    <w:p w14:paraId="5ACD03FC" w14:textId="77777777" w:rsidR="000561E6"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61EC0E7" w14:textId="77777777" w:rsidR="000561E6" w:rsidRPr="00E14102" w:rsidRDefault="000561E6" w:rsidP="00E14102">
      <w:pPr>
        <w:autoSpaceDE w:val="0"/>
        <w:autoSpaceDN w:val="0"/>
        <w:adjustRightInd w:val="0"/>
        <w:jc w:val="both"/>
        <w:rPr>
          <w:iCs/>
          <w:color w:val="000000" w:themeColor="text1"/>
          <w:sz w:val="16"/>
          <w:szCs w:val="16"/>
        </w:rPr>
      </w:pPr>
    </w:p>
    <w:p w14:paraId="64DB160A" w14:textId="77777777" w:rsidR="000561E6" w:rsidRPr="00E14102" w:rsidRDefault="000561E6" w:rsidP="00E14102">
      <w:pPr>
        <w:pStyle w:val="rtejustify"/>
        <w:spacing w:before="0" w:after="0"/>
        <w:rPr>
          <w:color w:val="000000" w:themeColor="text1"/>
          <w:sz w:val="16"/>
          <w:szCs w:val="16"/>
        </w:rPr>
      </w:pPr>
      <w:r w:rsidRPr="00E14102">
        <w:rPr>
          <w:rStyle w:val="a6"/>
          <w:bCs/>
          <w:i w:val="0"/>
          <w:color w:val="000000" w:themeColor="text1"/>
          <w:sz w:val="16"/>
          <w:szCs w:val="16"/>
        </w:rPr>
        <w:t>4 декабря 1935 вышел приказ НКТП № 192сс.</w:t>
      </w:r>
      <w:r w:rsidRPr="00E14102">
        <w:rPr>
          <w:color w:val="000000" w:themeColor="text1"/>
          <w:sz w:val="16"/>
          <w:szCs w:val="16"/>
        </w:rPr>
        <w:t xml:space="preserve"> О мерах по развитию аккумуляторно-элементной промышленности. (РГАЭ. Ф. 7297. Оп. 38. Д. 172. Л. 13</w:t>
      </w:r>
      <w:r w:rsidRPr="00E14102">
        <w:rPr>
          <w:color w:val="000000" w:themeColor="text1"/>
          <w:sz w:val="16"/>
          <w:szCs w:val="16"/>
        </w:rPr>
        <w:noBreakHyphen/>
        <w:t>14) (15246).</w:t>
      </w:r>
    </w:p>
    <w:p w14:paraId="43E95958" w14:textId="77777777" w:rsidR="000561E6" w:rsidRPr="00E14102" w:rsidRDefault="000561E6" w:rsidP="00E14102">
      <w:pPr>
        <w:pStyle w:val="rtejustify"/>
        <w:spacing w:before="0" w:after="0"/>
        <w:rPr>
          <w:color w:val="000000" w:themeColor="text1"/>
          <w:sz w:val="16"/>
          <w:szCs w:val="16"/>
        </w:rPr>
      </w:pPr>
    </w:p>
    <w:p w14:paraId="6A156B65" w14:textId="77777777" w:rsidR="00103BC7" w:rsidRPr="00E14102" w:rsidRDefault="00103BC7"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2C5E725" w14:textId="77777777" w:rsidR="00103BC7" w:rsidRPr="00E14102" w:rsidRDefault="00103BC7" w:rsidP="00E14102">
      <w:pPr>
        <w:autoSpaceDE w:val="0"/>
        <w:autoSpaceDN w:val="0"/>
        <w:adjustRightInd w:val="0"/>
        <w:jc w:val="both"/>
        <w:rPr>
          <w:iCs/>
          <w:color w:val="000000" w:themeColor="text1"/>
          <w:sz w:val="16"/>
          <w:szCs w:val="16"/>
        </w:rPr>
      </w:pPr>
    </w:p>
    <w:p w14:paraId="0D414E09" w14:textId="77777777" w:rsidR="00103BC7" w:rsidRPr="00E14102" w:rsidRDefault="00103BC7" w:rsidP="00E14102">
      <w:pPr>
        <w:jc w:val="both"/>
        <w:rPr>
          <w:color w:val="000000" w:themeColor="text1"/>
          <w:sz w:val="16"/>
          <w:szCs w:val="16"/>
        </w:rPr>
      </w:pPr>
      <w:r w:rsidRPr="00E14102">
        <w:rPr>
          <w:color w:val="000000" w:themeColor="text1"/>
          <w:sz w:val="16"/>
          <w:szCs w:val="16"/>
          <w:shd w:val="clear" w:color="auto" w:fill="FFFFFF"/>
        </w:rPr>
        <w:t>4 декабря 1935 г. Г.Е. Прокофьев сообщал Сталину о выявлении группы диверсантов из четырех бывших членов ВКП(б), собиравшихся с помощью динамита взорвать парокотельную установку азотно-тукового комбината в Горловке. Два мастера (Фома Шаврин и Иван Винокур), механик Николай Щадных и старший экономист Николай Добычин (он "дважды исключался из партии за пьянство и разложение") составили преступную группу, которая собиралась на квартире у Шаврина, "пьянствовала там, вела антисоветские разговоры и за саботаж в работе комбината была уволена"</w:t>
      </w:r>
      <w:r w:rsidRPr="00E14102">
        <w:rPr>
          <w:color w:val="000000" w:themeColor="text1"/>
          <w:sz w:val="16"/>
          <w:szCs w:val="16"/>
          <w:shd w:val="clear" w:color="auto" w:fill="FFFFFF"/>
          <w:vertAlign w:val="superscript"/>
        </w:rPr>
        <w:t>16</w:t>
      </w:r>
      <w:r w:rsidRPr="00E14102">
        <w:rPr>
          <w:color w:val="000000" w:themeColor="text1"/>
          <w:sz w:val="16"/>
          <w:szCs w:val="16"/>
          <w:shd w:val="clear" w:color="auto" w:fill="FFFFFF"/>
        </w:rPr>
        <w:t>. Озлобившись против партии, горловские вредители планировали проникнуть на комбинат в пустом товарном вагоне, заложить 20 кг динамита и получить от Щадных 5 тысяч рублей (18727).</w:t>
      </w:r>
    </w:p>
    <w:p w14:paraId="1D5B6FB6" w14:textId="77777777" w:rsidR="00103BC7" w:rsidRPr="00E14102" w:rsidRDefault="00103BC7" w:rsidP="00E14102">
      <w:pPr>
        <w:jc w:val="both"/>
        <w:rPr>
          <w:color w:val="000000" w:themeColor="text1"/>
          <w:sz w:val="16"/>
          <w:szCs w:val="16"/>
        </w:rPr>
      </w:pPr>
    </w:p>
    <w:p w14:paraId="57D954AF" w14:textId="77777777" w:rsidR="00103BC7" w:rsidRPr="00E14102" w:rsidRDefault="00103BC7" w:rsidP="00E14102">
      <w:pPr>
        <w:jc w:val="both"/>
        <w:rPr>
          <w:color w:val="000000" w:themeColor="text1"/>
          <w:sz w:val="16"/>
          <w:szCs w:val="16"/>
        </w:rPr>
      </w:pPr>
      <w:r w:rsidRPr="00E14102">
        <w:rPr>
          <w:color w:val="000000" w:themeColor="text1"/>
          <w:sz w:val="16"/>
          <w:szCs w:val="16"/>
        </w:rPr>
        <w:t>4 декабря 1935 г. Г.Е. Прокофьев сообщал Сталину о выявлении группы диверсантов из четырех бывших членов ВКП(б), собиравшихся с помощью динамита взорвать парокотельную установку азотно-тукового комбината в Горловке. Два мастера (Фома Шаврин и Иван Винокур), механик Николай Щадных и старший экономист Николай Добычин (он "дважды исключался из партии за пьянство и разложение") составили преступную группу, которая собиралась на квартире у Шаврина, "пьянствовала там, вела антисоветские разговоры и за саботаж в работе комбината была уволена"[16]. Озлобившись против партии, горловские вредители планировали проникнуть на комбинат в пустом товарном вагоне, заложить 20 кг динамита и получить от Щадных 5 тысяч рублей.</w:t>
      </w:r>
    </w:p>
    <w:p w14:paraId="4792A6EC" w14:textId="77777777" w:rsidR="00103BC7" w:rsidRPr="00E14102" w:rsidRDefault="00103BC7" w:rsidP="00E14102">
      <w:pPr>
        <w:jc w:val="both"/>
        <w:rPr>
          <w:color w:val="000000" w:themeColor="text1"/>
          <w:sz w:val="16"/>
          <w:szCs w:val="16"/>
        </w:rPr>
      </w:pPr>
      <w:r w:rsidRPr="00E14102">
        <w:rPr>
          <w:color w:val="000000" w:themeColor="text1"/>
          <w:sz w:val="16"/>
          <w:szCs w:val="16"/>
        </w:rPr>
        <w:t>Любопытно, что иностранные разведки в этом сообщении не фигурируют (19523).</w:t>
      </w:r>
    </w:p>
    <w:p w14:paraId="601A9468" w14:textId="77777777" w:rsidR="00103BC7" w:rsidRPr="00E14102" w:rsidRDefault="00103BC7" w:rsidP="00E14102">
      <w:pPr>
        <w:jc w:val="both"/>
        <w:rPr>
          <w:color w:val="000000" w:themeColor="text1"/>
          <w:sz w:val="16"/>
          <w:szCs w:val="16"/>
        </w:rPr>
      </w:pPr>
    </w:p>
    <w:p w14:paraId="76BC507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167DAA5" w14:textId="77777777" w:rsidR="00D4105E" w:rsidRPr="00E14102" w:rsidRDefault="00D4105E" w:rsidP="00E14102">
      <w:pPr>
        <w:autoSpaceDE w:val="0"/>
        <w:autoSpaceDN w:val="0"/>
        <w:adjustRightInd w:val="0"/>
        <w:jc w:val="both"/>
        <w:rPr>
          <w:iCs/>
          <w:color w:val="000000" w:themeColor="text1"/>
          <w:sz w:val="16"/>
          <w:szCs w:val="16"/>
        </w:rPr>
      </w:pPr>
    </w:p>
    <w:p w14:paraId="783BB7B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 декабря 1935 года Начальник управления ВС Алкснис утвердил Отчет о гос. испытаниях двухместного истребительного самолета ДИ-6 Р.Ц. Ф-3 с убирающимися в полете шасси (6685).</w:t>
      </w:r>
    </w:p>
    <w:p w14:paraId="2602F3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начато 27 мая 1935 года</w:t>
      </w:r>
    </w:p>
    <w:p w14:paraId="5A49BB9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окончено 21 ноября 1935 года</w:t>
      </w:r>
    </w:p>
    <w:p w14:paraId="59AF322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3122E96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Инженер-летчик Федрови</w:t>
      </w:r>
    </w:p>
    <w:p w14:paraId="23606D2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Летчик-испытатель Степанченок</w:t>
      </w:r>
    </w:p>
    <w:p w14:paraId="45486A7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0629A71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Определение летно-тактических качеств самолета и его летной характеристики.</w:t>
      </w:r>
    </w:p>
    <w:p w14:paraId="06FBA58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пулеметного и бомбардировочного вооружения.</w:t>
      </w:r>
    </w:p>
    <w:p w14:paraId="7F09D7C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винтомоторной группы и моторного оборудования.</w:t>
      </w:r>
    </w:p>
    <w:p w14:paraId="37A8B04F"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Испытание электрооборудования и пригодности его к ночным полетам.</w:t>
      </w:r>
    </w:p>
    <w:p w14:paraId="5D80A2A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подъемного шасси и тормозных колес с внутренней амортизацией.</w:t>
      </w:r>
    </w:p>
    <w:p w14:paraId="2AEC1C2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 летные испытания ушло 24 дня, за время испытаний было произведено 175 полетов с налетом 42 часа.</w:t>
      </w:r>
    </w:p>
    <w:p w14:paraId="3F02102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4D32F3F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ДИ-6 Райт-Циклон Ф3 по своим летно-техническим данным удовлетворяет требованиям двухместного истребителя, приближаясь к однотипным заграничным самолетам.</w:t>
      </w:r>
    </w:p>
    <w:p w14:paraId="36C673B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Задняя стрелковая установка в предъявленном виде испытания не выдержала и делает самолет как двухместный истребитель недееспособным (6685).</w:t>
      </w:r>
    </w:p>
    <w:p w14:paraId="76513E2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25C9DA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декабря 1935 Нач. ГУАП М.М.К. писал на завод 22 письмо N 512/5826с:</w:t>
      </w:r>
    </w:p>
    <w:p w14:paraId="4BBED8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постановлению Правительства Вам надлежит совместно с ЦИАМ подготовить самолет ТБ-3 М-34РН к установке центрального наддува системы и Трескина. Принимая во внимание правительственный срок начала летных испытаний - июнь 1936 - предлагаю немедленно приступить о оборудованию самолета." (2336,172).</w:t>
      </w:r>
    </w:p>
    <w:p w14:paraId="738A2D6C" w14:textId="77777777" w:rsidR="00D4105E" w:rsidRPr="00E14102" w:rsidRDefault="00D4105E" w:rsidP="00E14102">
      <w:pPr>
        <w:autoSpaceDE w:val="0"/>
        <w:autoSpaceDN w:val="0"/>
        <w:adjustRightInd w:val="0"/>
        <w:jc w:val="both"/>
        <w:rPr>
          <w:color w:val="000000" w:themeColor="text1"/>
          <w:sz w:val="16"/>
          <w:szCs w:val="16"/>
        </w:rPr>
      </w:pPr>
    </w:p>
    <w:p w14:paraId="16FD6F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декабря 1935 года Базилевич писал письмо № 2351/ко в УВС Алкснису:</w:t>
      </w:r>
    </w:p>
    <w:p w14:paraId="13A22D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авиазавода № 1 Беленкович заявил, что в случае принятия сокращенной программы по моторам М-34 Н, необходимо соответственно сократить и программу по самолетам Р-Зет.</w:t>
      </w:r>
    </w:p>
    <w:p w14:paraId="4FC741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указанию Межлаука В.И. прошу учесть это в проект постановления СТО по авиации (3527, 174).</w:t>
      </w:r>
    </w:p>
    <w:p w14:paraId="2A258B8D" w14:textId="77777777" w:rsidR="00D4105E" w:rsidRPr="00E14102" w:rsidRDefault="00D4105E" w:rsidP="00E14102">
      <w:pPr>
        <w:autoSpaceDE w:val="0"/>
        <w:autoSpaceDN w:val="0"/>
        <w:adjustRightInd w:val="0"/>
        <w:jc w:val="both"/>
        <w:rPr>
          <w:color w:val="000000" w:themeColor="text1"/>
          <w:sz w:val="16"/>
          <w:szCs w:val="16"/>
        </w:rPr>
      </w:pPr>
    </w:p>
    <w:p w14:paraId="7D6766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декабря 1935 г. Н.Н.П. направил письмо директору завода № 39 следующего содержания:</w:t>
      </w:r>
    </w:p>
    <w:p w14:paraId="02CE8B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целях реализации лозунга об обмене опытом, вы</w:t>
      </w:r>
      <w:r w:rsidRPr="00E14102">
        <w:rPr>
          <w:color w:val="000000" w:themeColor="text1"/>
          <w:sz w:val="16"/>
          <w:szCs w:val="16"/>
        </w:rPr>
        <w:softHyphen/>
        <w:t>двинутого на конференции конструкторов в ГУАП'е, предлагаю Вашему вниманию нижеследующие кон</w:t>
      </w:r>
      <w:r w:rsidRPr="00E14102">
        <w:rPr>
          <w:color w:val="000000" w:themeColor="text1"/>
          <w:sz w:val="16"/>
          <w:szCs w:val="16"/>
        </w:rPr>
        <w:softHyphen/>
        <w:t>кретные мероприятия:</w:t>
      </w:r>
    </w:p>
    <w:p w14:paraId="48CA6A4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Переслать для ознакомления и справок в конст</w:t>
      </w:r>
      <w:r w:rsidRPr="00E14102">
        <w:rPr>
          <w:color w:val="000000" w:themeColor="text1"/>
          <w:sz w:val="16"/>
          <w:szCs w:val="16"/>
        </w:rPr>
        <w:softHyphen/>
        <w:t>рукторские бюро: ЦАГИ, завода № 1, завода № 22, заво</w:t>
      </w:r>
      <w:r w:rsidRPr="00E14102">
        <w:rPr>
          <w:color w:val="000000" w:themeColor="text1"/>
          <w:sz w:val="16"/>
          <w:szCs w:val="16"/>
        </w:rPr>
        <w:softHyphen/>
        <w:t>да № 21, завода № 18 и в ХАЙ (Неману) по одному экземпляру ЦКБ-3 и ЦКБ-12.</w:t>
      </w:r>
    </w:p>
    <w:p w14:paraId="185B98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Созвать конференцию главных конструкторов на нашем заводе, коих ознакомить с самолетами нашего завода, в частности с самолетами ЦКБ-3, ЦКБ-12, ЦКБ-12бис, ЦКБ-19 и т.д. путем осмотра их, пояснения и по</w:t>
      </w:r>
      <w:r w:rsidRPr="00E14102">
        <w:rPr>
          <w:color w:val="000000" w:themeColor="text1"/>
          <w:sz w:val="16"/>
          <w:szCs w:val="16"/>
        </w:rPr>
        <w:softHyphen/>
        <w:t>летов, для чего нужно установить день и послать приглашения в указанные выше конструкторские бюро.</w:t>
      </w:r>
    </w:p>
    <w:p w14:paraId="0CF4A49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Полагаю, что такой живой обмен опытом будет очень полезным и реальным шагом в этом отношении...</w:t>
      </w:r>
    </w:p>
    <w:p w14:paraId="205BC1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Вашего распоряжения” (10667).</w:t>
      </w:r>
    </w:p>
    <w:p w14:paraId="7B2B5EFC" w14:textId="77777777" w:rsidR="00D4105E" w:rsidRPr="00E14102" w:rsidRDefault="00D4105E" w:rsidP="00E14102">
      <w:pPr>
        <w:autoSpaceDE w:val="0"/>
        <w:autoSpaceDN w:val="0"/>
        <w:adjustRightInd w:val="0"/>
        <w:jc w:val="both"/>
        <w:rPr>
          <w:color w:val="000000" w:themeColor="text1"/>
          <w:sz w:val="16"/>
          <w:szCs w:val="16"/>
        </w:rPr>
      </w:pPr>
    </w:p>
    <w:p w14:paraId="49E7EB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декабря 1935 Командующий Войсками БВО Командарм 1-го ранга тов. УБОРЕВИЧ писал письмо № 251сс К.Е.В.</w:t>
      </w:r>
    </w:p>
    <w:p w14:paraId="6132FA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СОВ.СЕКРЕТНО.</w:t>
      </w:r>
    </w:p>
    <w:p w14:paraId="7BB4268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Проведенными в Белорусском Военном Округе испыта</w:t>
      </w:r>
      <w:r w:rsidRPr="00E14102">
        <w:rPr>
          <w:color w:val="000000" w:themeColor="text1"/>
          <w:sz w:val="16"/>
          <w:szCs w:val="16"/>
        </w:rPr>
        <w:softHyphen/>
        <w:t>ниями новых систем самолетов, поступающих на вооружение частей Округа установлен ряд крупнейших дефектов данных самолетов.</w:t>
      </w:r>
    </w:p>
    <w:p w14:paraId="4936D9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 испытание самолета Р5-ССС - с мотором М-17Ф пока</w:t>
      </w:r>
      <w:r w:rsidRPr="00E14102">
        <w:rPr>
          <w:color w:val="000000" w:themeColor="text1"/>
          <w:sz w:val="16"/>
          <w:szCs w:val="16"/>
        </w:rPr>
        <w:softHyphen/>
        <w:t>зало следующие крупные дефекты конструкции самолета.</w:t>
      </w:r>
    </w:p>
    <w:p w14:paraId="5851D9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В О Д А - выбрасывается через сифонной отверг стие расширительного бачка за 3 часа полета до по лутора ведер, что в особенности в жаркое время грозит перегре</w:t>
      </w:r>
      <w:r w:rsidRPr="00E14102">
        <w:rPr>
          <w:color w:val="000000" w:themeColor="text1"/>
          <w:sz w:val="16"/>
          <w:szCs w:val="16"/>
        </w:rPr>
        <w:softHyphen/>
        <w:t>вом мотора, и вынужденной посадкой. При пикировании вода заливает козырек и оптический прицел. Замерзание ее зимой будет лишать летчика возможности вести огонь.</w:t>
      </w:r>
    </w:p>
    <w:p w14:paraId="570CC7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БЕНЗОСИСТЕМА - Подача из верхнего бака идет только через помпу "Хорнет”. При отказе помпы (явление довольно частое) бензин из верхнего бака самотеком не поступает.</w:t>
      </w:r>
    </w:p>
    <w:p w14:paraId="20470B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ПЕРЕДНЯЯ КАБИНА - Левая рука летчика утомляется, т.к. локоть лежит высоко. Огнетушитель летчик пустить в ход не может, т.к. достает его, только концами пальцев.</w:t>
      </w:r>
    </w:p>
    <w:p w14:paraId="6093D3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ЗАДНЯЯ КАБИНА - Турель для ШКАС'а настолько стеснила кабину летнаба, что работать с надетым парашютом он не может совещенно: не "может наклониться ни к рации, ни прицелиться. Нет совершенно места для парашюта.</w:t>
      </w:r>
    </w:p>
    <w:p w14:paraId="221772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ПЕРЕДНЕЕ ВООРУЖЕНИЕ - На каждый из 4-х ШКАСов может быть уложено только по 450 патрон. Возвратные пружины переза</w:t>
      </w:r>
      <w:r w:rsidRPr="00E14102">
        <w:rPr>
          <w:color w:val="000000" w:themeColor="text1"/>
          <w:sz w:val="16"/>
          <w:szCs w:val="16"/>
        </w:rPr>
        <w:softHyphen/>
        <w:t>ряжающего механизма слабы и не всегда возвращаются в пе</w:t>
      </w:r>
      <w:r w:rsidRPr="00E14102">
        <w:rPr>
          <w:color w:val="000000" w:themeColor="text1"/>
          <w:sz w:val="16"/>
          <w:szCs w:val="16"/>
        </w:rPr>
        <w:softHyphen/>
        <w:t>реднее положение, в результате осечки и задержки. Много задер</w:t>
      </w:r>
      <w:r w:rsidRPr="00E14102">
        <w:rPr>
          <w:color w:val="000000" w:themeColor="text1"/>
          <w:sz w:val="16"/>
          <w:szCs w:val="16"/>
        </w:rPr>
        <w:softHyphen/>
        <w:t>жек неустранимых в воздухе из-за перекоса ленты в подающих рукавах. При испытаниях не было ни одного случая стрельбы с выпуском всех патрон. Набивка звеньев происходит вручную. Зве</w:t>
      </w:r>
      <w:r w:rsidRPr="00E14102">
        <w:rPr>
          <w:color w:val="000000" w:themeColor="text1"/>
          <w:sz w:val="16"/>
          <w:szCs w:val="16"/>
        </w:rPr>
        <w:softHyphen/>
        <w:t>нья не откалиброваны. Установка пулемета имеет много острых углов, работать можно только голыми руками, в результате руки арттехников и пульмастеров изодраны в кровь.</w:t>
      </w:r>
    </w:p>
    <w:p w14:paraId="789D00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БОМБАРДИРОВОЧНОЕ ВООРУЖЕНИЕ - Все замки работает только электрически. Всё замки очень нежны и капризны. Малейшая пыль или замасливание вывывает отказ. При работе на аккумуляторе - часты отказы, бомбы зависают и выпадают не на указан</w:t>
      </w:r>
      <w:r w:rsidRPr="00E14102">
        <w:rPr>
          <w:color w:val="000000" w:themeColor="text1"/>
          <w:sz w:val="16"/>
          <w:szCs w:val="16"/>
        </w:rPr>
        <w:softHyphen/>
        <w:t>ном месте. Контактная крышка сбрасывателя - из фибра, коро</w:t>
      </w:r>
      <w:r w:rsidRPr="00E14102">
        <w:rPr>
          <w:color w:val="000000" w:themeColor="text1"/>
          <w:sz w:val="16"/>
          <w:szCs w:val="16"/>
        </w:rPr>
        <w:softHyphen/>
        <w:t>бится, от атмосферных условий и дает отказы в работе. Следует пожалеть, что на данный самолет не поставлена установка ин</w:t>
      </w:r>
      <w:r w:rsidRPr="00E14102">
        <w:rPr>
          <w:color w:val="000000" w:themeColor="text1"/>
          <w:sz w:val="16"/>
          <w:szCs w:val="16"/>
        </w:rPr>
        <w:softHyphen/>
        <w:t>женера ПАВЛОВА, умещающаяся в фюзеляже, не сложная, безотказ</w:t>
      </w:r>
      <w:r w:rsidRPr="00E14102">
        <w:rPr>
          <w:color w:val="000000" w:themeColor="text1"/>
          <w:sz w:val="16"/>
          <w:szCs w:val="16"/>
        </w:rPr>
        <w:softHyphen/>
        <w:t>ная и дающая серию 9-10 бомб в секунду.</w:t>
      </w:r>
    </w:p>
    <w:p w14:paraId="3A30395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кассету помещаются - только бомбы АО8. Бомбы АО-10 входят с трудом, с переделкой стопоров, АОХ не вхо</w:t>
      </w:r>
      <w:r w:rsidRPr="00E14102">
        <w:rPr>
          <w:color w:val="000000" w:themeColor="text1"/>
          <w:sz w:val="16"/>
          <w:szCs w:val="16"/>
        </w:rPr>
        <w:softHyphen/>
        <w:t>дят совершенно. Боевая зарядка эскадрильи патронами и бом</w:t>
      </w:r>
      <w:r w:rsidRPr="00E14102">
        <w:rPr>
          <w:color w:val="000000" w:themeColor="text1"/>
          <w:sz w:val="16"/>
          <w:szCs w:val="16"/>
        </w:rPr>
        <w:softHyphen/>
        <w:t>бами при наличном штатном составе отнимает не менее 4 ча</w:t>
      </w:r>
      <w:r w:rsidRPr="00E14102">
        <w:rPr>
          <w:color w:val="000000" w:themeColor="text1"/>
          <w:sz w:val="16"/>
          <w:szCs w:val="16"/>
        </w:rPr>
        <w:softHyphen/>
        <w:t>сов напряженной работы.</w:t>
      </w:r>
    </w:p>
    <w:p w14:paraId="671419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Считаю, что подобный самолет прибавляющий против нормального Р5 на 40 клм. в час крейсерской скорости не явжется особым приобретением для штурмовых частей, т.к. ненадежность его, по сравнению с Р5, очень высока.</w:t>
      </w:r>
    </w:p>
    <w:p w14:paraId="092F39A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Войсковые испытания самолета И-16 показали ряд производственных и конструкторских дефектов, к числу их относятся:</w:t>
      </w:r>
    </w:p>
    <w:p w14:paraId="73C35D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угорание летчика через 1/2 часа полета из-за заби</w:t>
      </w:r>
      <w:r w:rsidRPr="00E14102">
        <w:rPr>
          <w:color w:val="000000" w:themeColor="text1"/>
          <w:sz w:val="16"/>
          <w:szCs w:val="16"/>
        </w:rPr>
        <w:softHyphen/>
        <w:t>вания отработанных газов в кабину. Завод № 39 поставил удлиненные патрубки несколько улучшающие положение, завод № 21 этих патрубков не ставит. Необходимо отвод газов вы</w:t>
      </w:r>
      <w:r w:rsidRPr="00E14102">
        <w:rPr>
          <w:color w:val="000000" w:themeColor="text1"/>
          <w:sz w:val="16"/>
          <w:szCs w:val="16"/>
        </w:rPr>
        <w:softHyphen/>
        <w:t>полнить под фюзеляж;</w:t>
      </w:r>
    </w:p>
    <w:p w14:paraId="28D9CF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слабость крепления амортизационного пакета костыля;</w:t>
      </w:r>
    </w:p>
    <w:p w14:paraId="46ECDC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коробление фанеры на центроплане, отставание по</w:t>
      </w:r>
      <w:r w:rsidRPr="00E14102">
        <w:rPr>
          <w:color w:val="000000" w:themeColor="text1"/>
          <w:sz w:val="16"/>
          <w:szCs w:val="16"/>
        </w:rPr>
        <w:softHyphen/>
        <w:t>лотна на плоскостях;</w:t>
      </w:r>
    </w:p>
    <w:p w14:paraId="07CCDE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наличие случаев непроизвольного складывания шасси;</w:t>
      </w:r>
    </w:p>
    <w:p w14:paraId="597CDA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 тугие гашетки, в результате чего при нажатии на гашетку самолет добавляет угол;</w:t>
      </w:r>
    </w:p>
    <w:p w14:paraId="25C8ED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 при задержке одного пулемета самолет ворочает в сторону стреляющего;</w:t>
      </w:r>
    </w:p>
    <w:p w14:paraId="283D7C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ж) много времени приходится употреблять для поднятия и опускания шасси;</w:t>
      </w:r>
    </w:p>
    <w:p w14:paraId="59DF1EB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 установка пулеметов (подлежащих обязательной с'емке после полета) занимает 45 минут, что крайне невы</w:t>
      </w:r>
      <w:r w:rsidRPr="00E14102">
        <w:rPr>
          <w:color w:val="000000" w:themeColor="text1"/>
          <w:sz w:val="16"/>
          <w:szCs w:val="16"/>
        </w:rPr>
        <w:softHyphen/>
        <w:t>годно при вылете по тревоге;</w:t>
      </w:r>
    </w:p>
    <w:p w14:paraId="5FA9F38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 компас "КИ" на всех самолетах отказывает, почему слепой полет - невозможен.</w:t>
      </w:r>
    </w:p>
    <w:p w14:paraId="15F039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самолете ТБ-3 М-34Р после нескольких посадок вновь получился излом верхней части крепления амортизаци</w:t>
      </w:r>
      <w:r w:rsidRPr="00E14102">
        <w:rPr>
          <w:color w:val="000000" w:themeColor="text1"/>
          <w:sz w:val="16"/>
          <w:szCs w:val="16"/>
        </w:rPr>
        <w:softHyphen/>
        <w:t>онной стойки 15-го шпангоута. В результате полеты на этих кораблях прекращены. Завод № 22 вновь укрепляет хвосты (3419,127).</w:t>
      </w:r>
    </w:p>
    <w:p w14:paraId="3BDA5A22" w14:textId="77777777" w:rsidR="00D4105E" w:rsidRPr="00E14102" w:rsidRDefault="00D4105E" w:rsidP="00E14102">
      <w:pPr>
        <w:autoSpaceDE w:val="0"/>
        <w:autoSpaceDN w:val="0"/>
        <w:adjustRightInd w:val="0"/>
        <w:jc w:val="both"/>
        <w:rPr>
          <w:color w:val="000000" w:themeColor="text1"/>
          <w:sz w:val="16"/>
          <w:szCs w:val="16"/>
        </w:rPr>
      </w:pPr>
    </w:p>
    <w:p w14:paraId="42C0AF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декабря 1935 года Базилевич писал письмо № 2341/ко в УВС Алкснису</w:t>
      </w:r>
    </w:p>
    <w:p w14:paraId="7519C9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Направляю Вам Ваш № 42/04209с с резолюцией Межлаука В.И.</w:t>
      </w:r>
    </w:p>
    <w:p w14:paraId="796519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 упомянутое (3527, 173).</w:t>
      </w:r>
    </w:p>
    <w:p w14:paraId="369D072D" w14:textId="77777777" w:rsidR="00D4105E" w:rsidRPr="00E14102" w:rsidRDefault="00D4105E" w:rsidP="00E14102">
      <w:pPr>
        <w:autoSpaceDE w:val="0"/>
        <w:autoSpaceDN w:val="0"/>
        <w:adjustRightInd w:val="0"/>
        <w:jc w:val="both"/>
        <w:rPr>
          <w:color w:val="000000" w:themeColor="text1"/>
          <w:sz w:val="16"/>
          <w:szCs w:val="16"/>
        </w:rPr>
      </w:pPr>
    </w:p>
    <w:p w14:paraId="41291A7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0EA491C" w14:textId="77777777" w:rsidR="00D4105E" w:rsidRPr="00E14102" w:rsidRDefault="00D4105E" w:rsidP="00E14102">
      <w:pPr>
        <w:autoSpaceDE w:val="0"/>
        <w:autoSpaceDN w:val="0"/>
        <w:adjustRightInd w:val="0"/>
        <w:jc w:val="both"/>
        <w:rPr>
          <w:iCs/>
          <w:color w:val="000000" w:themeColor="text1"/>
          <w:sz w:val="16"/>
          <w:szCs w:val="16"/>
        </w:rPr>
      </w:pPr>
    </w:p>
    <w:p w14:paraId="1703A23F" w14:textId="77777777" w:rsidR="000561E6" w:rsidRPr="00E14102" w:rsidRDefault="000561E6" w:rsidP="00E14102">
      <w:pPr>
        <w:pStyle w:val="rtejustify"/>
        <w:spacing w:before="0" w:after="0"/>
        <w:rPr>
          <w:color w:val="000000" w:themeColor="text1"/>
          <w:sz w:val="16"/>
          <w:szCs w:val="16"/>
        </w:rPr>
      </w:pPr>
      <w:r w:rsidRPr="00E14102">
        <w:rPr>
          <w:rStyle w:val="a6"/>
          <w:bCs/>
          <w:i w:val="0"/>
          <w:color w:val="000000" w:themeColor="text1"/>
          <w:sz w:val="16"/>
          <w:szCs w:val="16"/>
        </w:rPr>
        <w:t>5 декабря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156сс «Об организации Института неметаллической брони (ИНБ)». (ГА РФ. Ф. Р</w:t>
      </w:r>
      <w:r w:rsidRPr="00E14102">
        <w:rPr>
          <w:color w:val="000000" w:themeColor="text1"/>
          <w:sz w:val="16"/>
          <w:szCs w:val="16"/>
        </w:rPr>
        <w:noBreakHyphen/>
        <w:t>8418. Оп. 28. Д. 7. Л. 242</w:t>
      </w:r>
      <w:r w:rsidRPr="00E14102">
        <w:rPr>
          <w:color w:val="000000" w:themeColor="text1"/>
          <w:sz w:val="16"/>
          <w:szCs w:val="16"/>
        </w:rPr>
        <w:noBreakHyphen/>
        <w:t>243) (15460).</w:t>
      </w:r>
    </w:p>
    <w:p w14:paraId="01741405" w14:textId="77777777" w:rsidR="000561E6" w:rsidRPr="00E14102" w:rsidRDefault="000561E6" w:rsidP="00E14102">
      <w:pPr>
        <w:pStyle w:val="rtejustify"/>
        <w:spacing w:before="0" w:after="0"/>
        <w:rPr>
          <w:color w:val="000000" w:themeColor="text1"/>
          <w:sz w:val="16"/>
          <w:szCs w:val="16"/>
        </w:rPr>
      </w:pPr>
    </w:p>
    <w:p w14:paraId="5D30C2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декабря 1935 г. флагман 1 ранга И. М. Лудри утвердил тактическое задание на сетевой заградитель. Заградитель должен был обеспечить по</w:t>
      </w:r>
      <w:r w:rsidRPr="00E14102">
        <w:rPr>
          <w:color w:val="000000" w:themeColor="text1"/>
          <w:sz w:val="16"/>
          <w:szCs w:val="16"/>
        </w:rPr>
        <w:softHyphen/>
        <w:t>становку сети из 50 полотнищ площадью 30 м каждое (общая длина заграждения около 180 м), а в перегрузку принимать 40 мин образца 1926 г. Артиллерийское вооружение согласно заданию со</w:t>
      </w:r>
      <w:r w:rsidRPr="00E14102">
        <w:rPr>
          <w:color w:val="000000" w:themeColor="text1"/>
          <w:sz w:val="16"/>
          <w:szCs w:val="16"/>
        </w:rPr>
        <w:softHyphen/>
        <w:t>стояло из двух 100-мм орудий, двух 45-мм полуавтоматов и двух пулеметов. Предусмативалась установка двух дизелей для 15— 16-узлового хода (минимальный — до 1—2,5 уз), а стандартное во</w:t>
      </w:r>
      <w:r w:rsidRPr="00E14102">
        <w:rPr>
          <w:color w:val="000000" w:themeColor="text1"/>
          <w:sz w:val="16"/>
          <w:szCs w:val="16"/>
        </w:rPr>
        <w:softHyphen/>
        <w:t>доизмещение ограничивалось 1000—1200 т (3898).</w:t>
      </w:r>
    </w:p>
    <w:p w14:paraId="3292774C" w14:textId="77777777" w:rsidR="00D4105E" w:rsidRPr="00E14102" w:rsidRDefault="00D4105E" w:rsidP="00E14102">
      <w:pPr>
        <w:autoSpaceDE w:val="0"/>
        <w:autoSpaceDN w:val="0"/>
        <w:adjustRightInd w:val="0"/>
        <w:jc w:val="both"/>
        <w:rPr>
          <w:color w:val="000000" w:themeColor="text1"/>
          <w:sz w:val="16"/>
          <w:szCs w:val="16"/>
        </w:rPr>
      </w:pPr>
    </w:p>
    <w:p w14:paraId="37F7717B" w14:textId="77777777" w:rsidR="00956454" w:rsidRPr="00E14102" w:rsidRDefault="00956454" w:rsidP="00E14102">
      <w:pPr>
        <w:jc w:val="both"/>
        <w:rPr>
          <w:color w:val="000000" w:themeColor="text1"/>
          <w:sz w:val="16"/>
          <w:szCs w:val="16"/>
        </w:rPr>
      </w:pPr>
      <w:r w:rsidRPr="00E14102">
        <w:rPr>
          <w:color w:val="000000" w:themeColor="text1"/>
          <w:sz w:val="16"/>
          <w:szCs w:val="16"/>
        </w:rPr>
        <w:t xml:space="preserve">5 декабря 1936 г. Лидер “Ленинград”вступил в строй в составе Балтийского флота. До июля  1938 г. он фактически достраивался на плаву. 31 июля 1939 г. “Ленинград” поставили на капитальный ремонт, так как во время похода на скорости 18 узлов у котла № 2 стали лопаться трубки. В ходе ремонта на лидере сменили 732 трубки — старые оказались дефектными и недобросовестно смонтированными. В ноябре 1939 г. “Ленинград” был включен в состав группы кораблей эскадры Балтийского флота. Всего со времени окончания Финской войны и до 22 июня 1941 г. лидер 9 раз вставал в док из-за различных дефектов: для клепки расползавшихся листов </w:t>
      </w:r>
      <w:r w:rsidRPr="00E14102">
        <w:rPr>
          <w:color w:val="000000" w:themeColor="text1"/>
          <w:sz w:val="16"/>
          <w:szCs w:val="16"/>
        </w:rPr>
        <w:lastRenderedPageBreak/>
        <w:t>подводной части корпуса, смены котлов и изъеденных кавитацией гребных винтов. Накануне Великой Отечественной войны лидер “Ленинград” дислоцировался в Таллине (17786).</w:t>
      </w:r>
    </w:p>
    <w:p w14:paraId="2AC9517A" w14:textId="77777777" w:rsidR="00956454" w:rsidRPr="00E14102" w:rsidRDefault="00956454" w:rsidP="00E14102">
      <w:pPr>
        <w:jc w:val="both"/>
        <w:rPr>
          <w:color w:val="000000" w:themeColor="text1"/>
          <w:sz w:val="16"/>
          <w:szCs w:val="16"/>
        </w:rPr>
      </w:pPr>
    </w:p>
    <w:p w14:paraId="08478E5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C2C4AFD" w14:textId="77777777" w:rsidR="00D4105E" w:rsidRPr="00E14102" w:rsidRDefault="00D4105E" w:rsidP="00E14102">
      <w:pPr>
        <w:autoSpaceDE w:val="0"/>
        <w:autoSpaceDN w:val="0"/>
        <w:adjustRightInd w:val="0"/>
        <w:jc w:val="both"/>
        <w:rPr>
          <w:iCs/>
          <w:color w:val="000000" w:themeColor="text1"/>
          <w:sz w:val="16"/>
          <w:szCs w:val="16"/>
        </w:rPr>
      </w:pPr>
    </w:p>
    <w:p w14:paraId="0A45AC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5 и 11 декабря 1935. Протокол заседания Политбюро № 35, 1955 г.</w:t>
      </w:r>
    </w:p>
    <w:p w14:paraId="2DEE9D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 награждении участников пешего перехода </w:t>
      </w:r>
    </w:p>
    <w:p w14:paraId="36106D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мужество и настойчивость, проявленные в беспримерном пешем переходе из Ленинграда в Хабаровск на протяжении 9 тыс. километров, наградить орденом "Знак почета" участников перехода — комсомольцев-рабочих Ленинградского завода "Красная Заря" (11652).</w:t>
      </w:r>
    </w:p>
    <w:p w14:paraId="2F36B9FE" w14:textId="77777777" w:rsidR="00D4105E" w:rsidRPr="00E14102" w:rsidRDefault="00D4105E" w:rsidP="00E14102">
      <w:pPr>
        <w:autoSpaceDE w:val="0"/>
        <w:autoSpaceDN w:val="0"/>
        <w:adjustRightInd w:val="0"/>
        <w:jc w:val="both"/>
        <w:rPr>
          <w:color w:val="000000" w:themeColor="text1"/>
          <w:sz w:val="16"/>
          <w:szCs w:val="16"/>
        </w:rPr>
      </w:pPr>
    </w:p>
    <w:p w14:paraId="427846C2" w14:textId="77777777" w:rsidR="00092AF3" w:rsidRPr="00E14102" w:rsidRDefault="00092AF3"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B3F59DE" w14:textId="77777777" w:rsidR="00092AF3" w:rsidRPr="00E14102" w:rsidRDefault="00092AF3" w:rsidP="00E14102">
      <w:pPr>
        <w:autoSpaceDE w:val="0"/>
        <w:autoSpaceDN w:val="0"/>
        <w:adjustRightInd w:val="0"/>
        <w:jc w:val="both"/>
        <w:rPr>
          <w:iCs/>
          <w:color w:val="000000" w:themeColor="text1"/>
          <w:sz w:val="16"/>
          <w:szCs w:val="16"/>
        </w:rPr>
      </w:pPr>
    </w:p>
    <w:p w14:paraId="3F66E2C2" w14:textId="77777777" w:rsidR="00092AF3" w:rsidRPr="00E14102" w:rsidRDefault="00092AF3" w:rsidP="00E14102">
      <w:pPr>
        <w:jc w:val="both"/>
        <w:rPr>
          <w:color w:val="0070C0"/>
          <w:sz w:val="16"/>
          <w:szCs w:val="16"/>
        </w:rPr>
      </w:pPr>
      <w:r w:rsidRPr="00E14102">
        <w:rPr>
          <w:color w:val="0070C0"/>
          <w:sz w:val="16"/>
          <w:szCs w:val="16"/>
        </w:rPr>
        <w:t>6 декабря 1935 первые бортпроводники Transcontinental и Western Air, известные в то время как « стюардессы », начинают летать, обслуживая пассажиров на борту самолета Douglas DC-2 авиакомпании (20800).</w:t>
      </w:r>
    </w:p>
    <w:p w14:paraId="6915EFFC" w14:textId="77777777" w:rsidR="00092AF3" w:rsidRPr="00E14102" w:rsidRDefault="00092AF3" w:rsidP="00E14102">
      <w:pPr>
        <w:jc w:val="both"/>
        <w:rPr>
          <w:color w:val="0070C0"/>
          <w:sz w:val="16"/>
          <w:szCs w:val="16"/>
        </w:rPr>
      </w:pPr>
    </w:p>
    <w:p w14:paraId="618A118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8D0249E" w14:textId="77777777" w:rsidR="00D4105E" w:rsidRPr="00E14102" w:rsidRDefault="00D4105E" w:rsidP="00E14102">
      <w:pPr>
        <w:autoSpaceDE w:val="0"/>
        <w:autoSpaceDN w:val="0"/>
        <w:adjustRightInd w:val="0"/>
        <w:jc w:val="both"/>
        <w:rPr>
          <w:iCs/>
          <w:color w:val="000000" w:themeColor="text1"/>
          <w:sz w:val="16"/>
          <w:szCs w:val="16"/>
        </w:rPr>
      </w:pPr>
    </w:p>
    <w:p w14:paraId="341985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декабря 1935 был подготовлен проект постановления СТО "О работе АП" (по-видимому, оно были принято 8 января 1936):</w:t>
      </w:r>
    </w:p>
    <w:p w14:paraId="5220CA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"АП СССР по своей мощности, технической оснащенности и подготовленности уже в настоящее время имеет полную возможность стать первой в мире, как в отношении количества выпускаемых моторов и самолетов, так и в отношении боевых качеств таковых.</w:t>
      </w:r>
    </w:p>
    <w:p w14:paraId="4F041A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последние несколько лет АП достигла значительных успехов.</w:t>
      </w:r>
    </w:p>
    <w:p w14:paraId="6B7CC0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недостаточное внимание к качеству, нечеткость в работе конструкторов, производственная небрежность заводов, выпуск недостаточно доработанных самолетов, недостаточно высокое качество деталей и материалов, поставляемых самолето и моторо строительными заводами, слабость НИР особенно в части статических и динамических исследований и разработки вопросов качества материалов и деталей, а также недостаточная производственная дисциплина на заводах АП привели к громадному количеству конфликтов по качеству между НКО и заводами-поставщиками и к значительной задержке в выпуске самолетов и моторов.</w:t>
      </w:r>
    </w:p>
    <w:p w14:paraId="2BFCC6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Особенно велики эти задержки в самолетостроении (по новейшим видам самолетов).</w:t>
      </w:r>
    </w:p>
    <w:p w14:paraId="1B496A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отношении моторостроения, наряду с хорошей работой заводов 19 и 24 имеет место недопустимая задержка в освоении новейших моторов на заводах 26 и 29.</w:t>
      </w:r>
    </w:p>
    <w:p w14:paraId="6A8F54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Точно также имеет место значительное отставание выполнения плана опытного строительства.</w:t>
      </w:r>
    </w:p>
    <w:p w14:paraId="17A02B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Обращая внимание на это недопустимое явление руководителей АП и особенно директоров заводов 22, 125, 135, 31, 18, 26 и 29, СТО требует крутого перелома в работе АП, имея в виду, что эта промышленность имеет все возможности обеспечить КА такой матчастью, которая поставит авиацию СС на первое место в мире и Постановляет:</w:t>
      </w:r>
    </w:p>
    <w:p w14:paraId="76BCA6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 выполнении плана 1935</w:t>
      </w:r>
    </w:p>
    <w:p w14:paraId="3E50EB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Принять к сведению сообщение НКТП о том, что заказ НКО АП на 1935 б. выполнен в следующем объеме (приложение 1).</w:t>
      </w:r>
    </w:p>
    <w:p w14:paraId="4158B1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При сдаче серийных самолетов НКО в случае обнаружения к-л дефектов вооружения и т.п. не задерживать производства испытаний до переделки этих деталей, а продолжать испытания до конца с тем, чтобы заводу все дефекты предъявлялись немедля по их обнаружению для своевременного исправления.</w:t>
      </w:r>
    </w:p>
    <w:p w14:paraId="0290AA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Самолет ТБ-3А предъявить на гос. испытания не позже 16 декабря 1935 без рации ГТБ и турели ШВАК с тем, чтобы к 1-му мая выпустить 5 машин ТБ-3А.</w:t>
      </w:r>
    </w:p>
    <w:p w14:paraId="02F1F2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Заводу 22 сдать не позже 31 декабря 1935 10 самолетов ТБ-3 4М-34РН НКО для войсковых испытаний.</w:t>
      </w:r>
    </w:p>
    <w:p w14:paraId="16FFE8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По самолетам СБ выпустить к 31 декабря не менее 10 шт. с тем, чтобы немедленно приступить к изготовлению их в том виде, в каком первый экз. был передан на испытания. Из числа 10 самолетов по крайней мере 1 д.б. сдан с исправлением всех дефектов, выявленных на последнем гос. испытании.</w:t>
      </w:r>
    </w:p>
    <w:p w14:paraId="728569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Разрешить заводу 125 из имеющегося задела для самолета И-14 собрать и выпустить в 1935-1936 50 самолетов, из них 25 шт. как тренировочные.</w:t>
      </w:r>
    </w:p>
    <w:p w14:paraId="032E25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 продолжить работы над самолетом И-14 и в месячный срок представить сои соображения о доведении машины до такой прочности, которая обеспечит необходимые боевые качества ее.</w:t>
      </w:r>
    </w:p>
    <w:p w14:paraId="1C6240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Разрешить НКТП, ввиду недоработанности варианта ИП-1 с пушкой Курчевского, сдать до 1 февраля 1936 30 самолетов ИП-1 с двумя пулеметами и подготовить 6 пулеметный вариант этого самолета.</w:t>
      </w:r>
    </w:p>
    <w:p w14:paraId="003FF9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Разрешить заводу 24 выпустить головную серию форсированных моторов М-34 (мощность 1200 нр) в количестве 20 шт. по сдаче 940 шт. по изготовлению), для чего уменьшить программу завода на 1935 по остальным моторам, согласно приложению 1 и перенести поставку 80 моторов в резерв УВВС на 1 кв. 1936.</w:t>
      </w:r>
    </w:p>
    <w:p w14:paraId="314C1A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Мотор М-75К9 снять с производства.</w:t>
      </w:r>
    </w:p>
    <w:p w14:paraId="4F96E4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По морской авиации</w:t>
      </w:r>
    </w:p>
    <w:p w14:paraId="6AC281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Обратить особое внимание НКТП на отставание морского самолетостроения (опытного и серийного).</w:t>
      </w:r>
    </w:p>
    <w:p w14:paraId="42E05F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Включить в 1936 в программу завода 23 работы по проектированию УТ морских самолетов и их серийный выпуск, совместно с выпуском учебных сухопутных самолетов.</w:t>
      </w:r>
    </w:p>
    <w:p w14:paraId="34C9DC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создать на заводе 23 опытную КГ морского самолетостроения</w:t>
      </w:r>
    </w:p>
    <w:p w14:paraId="3F22BD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произвести в 1936 необходимую для этой цели реконструкцию завода</w:t>
      </w:r>
    </w:p>
    <w:p w14:paraId="32D902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Поручить заводу 45 наравне с ремонтом также и опытное и серийное гидросамолетостроение, для чего:</w:t>
      </w:r>
    </w:p>
    <w:p w14:paraId="4A3806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ГУАП в 1936 расширить мощность завода из расчета выпуска в год одной серии в 50 самолетов типа МДР-6</w:t>
      </w:r>
    </w:p>
    <w:p w14:paraId="625962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НКО не позже января 1936 освободить и передать заводу 45 территорию хутора 42 и бензохранилище.</w:t>
      </w:r>
    </w:p>
    <w:p w14:paraId="1A20AE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 МС РККА т. Орлову и нач. ГУАП т. Королеву в месячный срок рассмотреть вопрос о переводе радиостанции, затрудняющей работу завода 45 и представить свои соображения в СТО.</w:t>
      </w:r>
    </w:p>
    <w:p w14:paraId="72D387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НКВД форсировать строительство завода 30 в Иваньково, а ГУАП 126 в Комсомольске, определив срок полной готовности заводов в 1 января 1937....</w:t>
      </w:r>
    </w:p>
    <w:p w14:paraId="380982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Для выяснения возможности приобретения техпомощи, послать в Америку морскую авиационную комиссию из представителей НКТП и НКО...</w:t>
      </w:r>
    </w:p>
    <w:p w14:paraId="5FE6AD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НКТП ГУАП заложить в 1936 на 45 заводе головную серию АРК-3 в военном варианте, 5 самолетов для войсковых испытаний, опытный самолет АРК-3 передать нач. МС РККА на гос. испытания на позже 1 марта 1936.</w:t>
      </w:r>
    </w:p>
    <w:p w14:paraId="2F9001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НКТП (ГУАП и ЦАГИ) перепроектировать МДР-4 под М034ФРН с передачей чертежей заводу 31 15 апреля 1936 и предложить НКТП поставить на заводе 31 в 1936 войсковую серию в количестве 10 самолетов.</w:t>
      </w:r>
    </w:p>
    <w:p w14:paraId="429D3C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Поручить НКО и НКТП детально рассмотреть средства механизации морских аэродромов и план строительства на таковые утвердить.</w:t>
      </w:r>
    </w:p>
    <w:p w14:paraId="2534BD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Качество самолетов...(2166,16).</w:t>
      </w:r>
    </w:p>
    <w:p w14:paraId="73497D52" w14:textId="77777777" w:rsidR="00D4105E" w:rsidRPr="00E14102" w:rsidRDefault="00D4105E" w:rsidP="00E14102">
      <w:pPr>
        <w:autoSpaceDE w:val="0"/>
        <w:autoSpaceDN w:val="0"/>
        <w:adjustRightInd w:val="0"/>
        <w:jc w:val="both"/>
        <w:rPr>
          <w:color w:val="000000" w:themeColor="text1"/>
          <w:sz w:val="16"/>
          <w:szCs w:val="16"/>
        </w:rPr>
      </w:pPr>
    </w:p>
    <w:p w14:paraId="6559B22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D14ED5E" w14:textId="77777777" w:rsidR="00D4105E" w:rsidRPr="00E14102" w:rsidRDefault="00D4105E" w:rsidP="00E14102">
      <w:pPr>
        <w:autoSpaceDE w:val="0"/>
        <w:autoSpaceDN w:val="0"/>
        <w:adjustRightInd w:val="0"/>
        <w:jc w:val="both"/>
        <w:rPr>
          <w:iCs/>
          <w:color w:val="000000" w:themeColor="text1"/>
          <w:sz w:val="16"/>
          <w:szCs w:val="16"/>
        </w:rPr>
      </w:pPr>
    </w:p>
    <w:p w14:paraId="66E30F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 декабря 1935 года вышел Приказ НИИ ВС № 0616 О гос. испытаниях автожира А-7 с М-22.</w:t>
      </w:r>
    </w:p>
    <w:p w14:paraId="2FD6B8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провести на аэродроме НИИ ВС при стан. Томская (6815, 211).</w:t>
      </w:r>
    </w:p>
    <w:p w14:paraId="5B6A610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6E74F4C" w14:textId="77777777" w:rsidR="009760A3" w:rsidRPr="00E14102" w:rsidRDefault="009760A3" w:rsidP="00E14102">
      <w:pPr>
        <w:shd w:val="clear" w:color="auto" w:fill="FFFFFF"/>
        <w:jc w:val="both"/>
        <w:rPr>
          <w:color w:val="0070C0"/>
          <w:sz w:val="16"/>
          <w:szCs w:val="16"/>
        </w:rPr>
      </w:pPr>
      <w:r w:rsidRPr="00E14102">
        <w:rPr>
          <w:color w:val="0070C0"/>
          <w:sz w:val="16"/>
          <w:szCs w:val="16"/>
        </w:rPr>
        <w:t>7 декабря 1935 года вышел приказ по институту №0616 о проведении госиспы</w:t>
      </w:r>
      <w:r w:rsidRPr="00E14102">
        <w:rPr>
          <w:color w:val="0070C0"/>
          <w:sz w:val="16"/>
          <w:szCs w:val="16"/>
        </w:rPr>
        <w:softHyphen/>
        <w:t>таний автожира А-7 с М-22, однако из-за оче</w:t>
      </w:r>
      <w:r w:rsidRPr="00E14102">
        <w:rPr>
          <w:color w:val="0070C0"/>
          <w:sz w:val="16"/>
          <w:szCs w:val="16"/>
        </w:rPr>
        <w:softHyphen/>
        <w:t xml:space="preserve">редной поломки, фактическая передача </w:t>
      </w:r>
      <w:r w:rsidRPr="00E14102">
        <w:rPr>
          <w:rStyle w:val="af0"/>
          <w:rFonts w:eastAsiaTheme="minorHAnsi"/>
          <w:color w:val="0070C0"/>
          <w:sz w:val="16"/>
          <w:szCs w:val="16"/>
        </w:rPr>
        <w:t>состоялось 20 декабря. Примерную програм</w:t>
      </w:r>
      <w:r w:rsidRPr="00E14102">
        <w:rPr>
          <w:rStyle w:val="af0"/>
          <w:rFonts w:eastAsiaTheme="minorHAnsi"/>
          <w:color w:val="0070C0"/>
          <w:sz w:val="16"/>
          <w:szCs w:val="16"/>
        </w:rPr>
        <w:softHyphen/>
        <w:t>му испытаний утвердили еще вначале года, на упомянутом совещании у Я.И. Алксниса. Тогда решили, что начальнику НИИ совмест</w:t>
      </w:r>
      <w:r w:rsidRPr="00E14102">
        <w:rPr>
          <w:rStyle w:val="af0"/>
          <w:rFonts w:eastAsiaTheme="minorHAnsi"/>
          <w:color w:val="0070C0"/>
          <w:sz w:val="16"/>
          <w:szCs w:val="16"/>
        </w:rPr>
        <w:softHyphen/>
        <w:t>но с начальником ЦАГИ следовало составить программу испытаний автожира А-7, исходя из его назначения как средства наблюдения (для замены аэростата наблюдения), самоле</w:t>
      </w:r>
      <w:r w:rsidRPr="00E14102">
        <w:rPr>
          <w:rStyle w:val="af0"/>
          <w:rFonts w:eastAsiaTheme="minorHAnsi"/>
          <w:color w:val="0070C0"/>
          <w:sz w:val="16"/>
          <w:szCs w:val="16"/>
        </w:rPr>
        <w:softHyphen/>
        <w:t>та ближней разведки, самолета для коррек</w:t>
      </w:r>
      <w:r w:rsidRPr="00E14102">
        <w:rPr>
          <w:rStyle w:val="af0"/>
          <w:rFonts w:eastAsiaTheme="minorHAnsi"/>
          <w:color w:val="0070C0"/>
          <w:sz w:val="16"/>
          <w:szCs w:val="16"/>
        </w:rPr>
        <w:softHyphen/>
        <w:t>тировки артогня (сухопутного и морского) и самолета разведки подлодок у своих бере</w:t>
      </w:r>
      <w:r w:rsidRPr="00E14102">
        <w:rPr>
          <w:rStyle w:val="af0"/>
          <w:rFonts w:eastAsiaTheme="minorHAnsi"/>
          <w:color w:val="0070C0"/>
          <w:sz w:val="16"/>
          <w:szCs w:val="16"/>
        </w:rPr>
        <w:softHyphen/>
        <w:t>гов. Правда, в итоге «морскую» часть испыта</w:t>
      </w:r>
      <w:r w:rsidRPr="00E14102">
        <w:rPr>
          <w:rStyle w:val="af0"/>
          <w:rFonts w:eastAsiaTheme="minorHAnsi"/>
          <w:color w:val="0070C0"/>
          <w:sz w:val="16"/>
          <w:szCs w:val="16"/>
        </w:rPr>
        <w:softHyphen/>
        <w:t>ний позже отложили на будущее, зато по ука</w:t>
      </w:r>
      <w:r w:rsidRPr="00E14102">
        <w:rPr>
          <w:rStyle w:val="af0"/>
          <w:rFonts w:eastAsiaTheme="minorHAnsi"/>
          <w:color w:val="0070C0"/>
          <w:sz w:val="16"/>
          <w:szCs w:val="16"/>
        </w:rPr>
        <w:softHyphen/>
        <w:t>занию Тухачевского добавили раздел по испытанию хим вооружений.</w:t>
      </w:r>
    </w:p>
    <w:p w14:paraId="32D9E55C" w14:textId="77777777" w:rsidR="009760A3" w:rsidRPr="00E14102" w:rsidRDefault="009760A3" w:rsidP="00E14102">
      <w:pPr>
        <w:jc w:val="both"/>
        <w:rPr>
          <w:color w:val="0070C0"/>
          <w:sz w:val="16"/>
          <w:szCs w:val="16"/>
        </w:rPr>
      </w:pPr>
      <w:r w:rsidRPr="00E14102">
        <w:rPr>
          <w:color w:val="0070C0"/>
          <w:sz w:val="16"/>
          <w:szCs w:val="16"/>
        </w:rPr>
        <w:t>В НИИ ВВС уже испытывали автожиры, но в данном случае А-7 представлял собой каче</w:t>
      </w:r>
      <w:r w:rsidRPr="00E14102">
        <w:rPr>
          <w:color w:val="0070C0"/>
          <w:sz w:val="16"/>
          <w:szCs w:val="16"/>
        </w:rPr>
        <w:softHyphen/>
        <w:t>ственный скачок, прежде всего, как система вооружения. Было решено провести совместные испытания: принимая во внима</w:t>
      </w:r>
      <w:r w:rsidRPr="00E14102">
        <w:rPr>
          <w:color w:val="0070C0"/>
          <w:sz w:val="16"/>
          <w:szCs w:val="16"/>
        </w:rPr>
        <w:softHyphen/>
        <w:t>ние сложность и новизну машины, участие специалистов ЦАГИ посчитали совсем не лишним. Работу возглавили одновременно два ведущих инженера. Ивановский от НИИ ВВС и Иванов от ОЭЛИД ЦАГИ. Ивановский выступал еще и в роли ведущего летчика- испытателя, летнаб-испытатель - капитан Цветков. Участие в испытаниях принимали Попов и Корзинщиков.</w:t>
      </w:r>
    </w:p>
    <w:p w14:paraId="6C40D096" w14:textId="77777777" w:rsidR="009760A3" w:rsidRPr="00E14102" w:rsidRDefault="009760A3" w:rsidP="00E14102">
      <w:pPr>
        <w:jc w:val="both"/>
        <w:rPr>
          <w:color w:val="0070C0"/>
          <w:sz w:val="16"/>
          <w:szCs w:val="16"/>
        </w:rPr>
      </w:pPr>
      <w:r w:rsidRPr="00E14102">
        <w:rPr>
          <w:color w:val="0070C0"/>
          <w:sz w:val="16"/>
          <w:szCs w:val="16"/>
        </w:rPr>
        <w:t>По результатам обмера и взвешивания в НИИ ВВС были получены следующие данные. Длина автожира - 8,17 метра, высота на сто</w:t>
      </w:r>
      <w:r w:rsidRPr="00E14102">
        <w:rPr>
          <w:color w:val="0070C0"/>
          <w:sz w:val="16"/>
          <w:szCs w:val="16"/>
        </w:rPr>
        <w:softHyphen/>
        <w:t>янке - 3,885 м, размах крыла -10,41 м, диа</w:t>
      </w:r>
      <w:r w:rsidRPr="00E14102">
        <w:rPr>
          <w:color w:val="0070C0"/>
          <w:sz w:val="16"/>
          <w:szCs w:val="16"/>
        </w:rPr>
        <w:softHyphen/>
        <w:t>метр ротора - 15,18 м, хорда лопасти - 500 мм, угол свеса лопасти - 5 градусов, диаметр винта - 2,8 м. Колея шасси - 3,5 м, база - 1,8 8м. Площадь крыла составляла 14,7 кв. м, горизонтальное оперение имело площадь, с учетом подкилевой части или как тогда гово</w:t>
      </w:r>
      <w:r w:rsidRPr="00E14102">
        <w:rPr>
          <w:color w:val="0070C0"/>
          <w:sz w:val="16"/>
          <w:szCs w:val="16"/>
        </w:rPr>
        <w:softHyphen/>
        <w:t>рили «с перекрытием» 4,01 кв. м, «чистая» площадь Г0 - 3,75 кв. м. Вес пустого автожи</w:t>
      </w:r>
      <w:r w:rsidRPr="00E14102">
        <w:rPr>
          <w:color w:val="0070C0"/>
          <w:sz w:val="16"/>
          <w:szCs w:val="16"/>
        </w:rPr>
        <w:softHyphen/>
        <w:t>ра -1453 кг, полетный вес - 2110 кг.</w:t>
      </w:r>
    </w:p>
    <w:p w14:paraId="0D8F065A" w14:textId="77777777" w:rsidR="009760A3" w:rsidRPr="00E14102" w:rsidRDefault="009760A3" w:rsidP="00E14102">
      <w:pPr>
        <w:jc w:val="both"/>
        <w:rPr>
          <w:color w:val="0070C0"/>
          <w:sz w:val="16"/>
          <w:szCs w:val="16"/>
        </w:rPr>
      </w:pPr>
      <w:r w:rsidRPr="00E14102">
        <w:rPr>
          <w:color w:val="0070C0"/>
          <w:sz w:val="16"/>
          <w:szCs w:val="16"/>
        </w:rPr>
        <w:lastRenderedPageBreak/>
        <w:t>Испытания продолжались более двух месяцев - почти до конца февраля 1936 года. Всего было выполнено 60 полетов общей продолжительностью 29 часов 17 минут. 11 дней стояла нелетная погода, 22 дня ушло на устранение поломок автожира. 31 полет заняли летно-технические испытания, такти</w:t>
      </w:r>
      <w:r w:rsidRPr="00E14102">
        <w:rPr>
          <w:color w:val="0070C0"/>
          <w:sz w:val="16"/>
          <w:szCs w:val="16"/>
        </w:rPr>
        <w:softHyphen/>
        <w:t>ческие - 10, 3 и 5 полетов, соответственно, ушло на испытания оборудования и вооруже</w:t>
      </w:r>
      <w:r w:rsidRPr="00E14102">
        <w:rPr>
          <w:color w:val="0070C0"/>
          <w:sz w:val="16"/>
          <w:szCs w:val="16"/>
        </w:rPr>
        <w:softHyphen/>
        <w:t>ния. Заказ Тухачевского - отработка химвооружения - производилась в 11 полетах. Стоит отметить, что поломок для таких испы</w:t>
      </w:r>
      <w:r w:rsidRPr="00E14102">
        <w:rPr>
          <w:color w:val="0070C0"/>
          <w:sz w:val="16"/>
          <w:szCs w:val="16"/>
        </w:rPr>
        <w:softHyphen/>
        <w:t>таний было необычно мало, причем замену мотора из-за разрушения поршня в расчет вообще можно не принимать, как не имею</w:t>
      </w:r>
      <w:r w:rsidRPr="00E14102">
        <w:rPr>
          <w:color w:val="0070C0"/>
          <w:sz w:val="16"/>
          <w:szCs w:val="16"/>
        </w:rPr>
        <w:softHyphen/>
        <w:t>щую отношения к собственно конструкции автожира. Кроме этого, в ходе испытаний произошел обрыв кронштейна весового ком</w:t>
      </w:r>
      <w:r w:rsidRPr="00E14102">
        <w:rPr>
          <w:color w:val="0070C0"/>
          <w:sz w:val="16"/>
          <w:szCs w:val="16"/>
        </w:rPr>
        <w:softHyphen/>
        <w:t>пенсатора левого руля высоты. Ударившись о руль, он срикошетил и повредил лопасть ротора. Это была единственная серьезная поломка в полете. Еще два дефекта прояви</w:t>
      </w:r>
      <w:r w:rsidRPr="00E14102">
        <w:rPr>
          <w:color w:val="0070C0"/>
          <w:sz w:val="16"/>
          <w:szCs w:val="16"/>
        </w:rPr>
        <w:softHyphen/>
        <w:t>лись на земле. Их можно отнести к издерж</w:t>
      </w:r>
      <w:r w:rsidRPr="00E14102">
        <w:rPr>
          <w:color w:val="0070C0"/>
          <w:sz w:val="16"/>
          <w:szCs w:val="16"/>
        </w:rPr>
        <w:softHyphen/>
        <w:t>кам освоения зимней эксплуатации. В пер</w:t>
      </w:r>
      <w:r w:rsidRPr="00E14102">
        <w:rPr>
          <w:color w:val="0070C0"/>
          <w:sz w:val="16"/>
          <w:szCs w:val="16"/>
        </w:rPr>
        <w:softHyphen/>
        <w:t>вом случае из-за примерзания лыж основных ног произошло их несинхронное страгивание, в результате был поврежден один из стержней фермы передней ноги. Во втором, при попадании заднего конца передней лыжи в проталину на рулении выскочила из пазов пластинчатая резина амортизации лыжи, что привело к повреждению винта.</w:t>
      </w:r>
    </w:p>
    <w:p w14:paraId="42F367E9" w14:textId="77777777" w:rsidR="009760A3" w:rsidRPr="00E14102" w:rsidRDefault="009760A3" w:rsidP="00E14102">
      <w:pPr>
        <w:jc w:val="both"/>
        <w:rPr>
          <w:color w:val="0070C0"/>
          <w:sz w:val="16"/>
          <w:szCs w:val="16"/>
        </w:rPr>
      </w:pPr>
      <w:r w:rsidRPr="00E14102">
        <w:rPr>
          <w:color w:val="0070C0"/>
          <w:sz w:val="16"/>
          <w:szCs w:val="16"/>
        </w:rPr>
        <w:t>Весьма скромное число поломок может служить подтверждением достаточно высо</w:t>
      </w:r>
      <w:r w:rsidRPr="00E14102">
        <w:rPr>
          <w:color w:val="0070C0"/>
          <w:sz w:val="16"/>
          <w:szCs w:val="16"/>
        </w:rPr>
        <w:softHyphen/>
        <w:t>кой надежности А-7, тем более, что програм</w:t>
      </w:r>
      <w:r w:rsidRPr="00E14102">
        <w:rPr>
          <w:color w:val="0070C0"/>
          <w:sz w:val="16"/>
          <w:szCs w:val="16"/>
        </w:rPr>
        <w:softHyphen/>
        <w:t>ма испытаний по сравнению с обычными самолетными была обширнее. Помимо стан</w:t>
      </w:r>
      <w:r w:rsidRPr="00E14102">
        <w:rPr>
          <w:color w:val="0070C0"/>
          <w:sz w:val="16"/>
          <w:szCs w:val="16"/>
        </w:rPr>
        <w:softHyphen/>
        <w:t>дартного набора полетов, автожир был под</w:t>
      </w:r>
      <w:r w:rsidRPr="00E14102">
        <w:rPr>
          <w:color w:val="0070C0"/>
          <w:sz w:val="16"/>
          <w:szCs w:val="16"/>
        </w:rPr>
        <w:softHyphen/>
        <w:t>вергнут целому ряду дополнительных прове</w:t>
      </w:r>
      <w:r w:rsidRPr="00E14102">
        <w:rPr>
          <w:color w:val="0070C0"/>
          <w:sz w:val="16"/>
          <w:szCs w:val="16"/>
        </w:rPr>
        <w:softHyphen/>
        <w:t>рок. Стоит заметить, что не все они были запланированы заранее, тем не менее, про</w:t>
      </w:r>
      <w:r w:rsidRPr="00E14102">
        <w:rPr>
          <w:color w:val="0070C0"/>
          <w:sz w:val="16"/>
          <w:szCs w:val="16"/>
        </w:rPr>
        <w:softHyphen/>
        <w:t>шел он их успешно. В частности, при возвра</w:t>
      </w:r>
      <w:r w:rsidRPr="00E14102">
        <w:rPr>
          <w:color w:val="0070C0"/>
          <w:sz w:val="16"/>
          <w:szCs w:val="16"/>
        </w:rPr>
        <w:softHyphen/>
        <w:t>щении с полигона НИХИ РККА в Кузьминках на Центральный аэродром 26 февраля авто</w:t>
      </w:r>
      <w:r w:rsidRPr="00E14102">
        <w:rPr>
          <w:color w:val="0070C0"/>
          <w:sz w:val="16"/>
          <w:szCs w:val="16"/>
        </w:rPr>
        <w:softHyphen/>
        <w:t>жир попал в условия обледенения. Образо</w:t>
      </w:r>
      <w:r w:rsidRPr="00E14102">
        <w:rPr>
          <w:color w:val="0070C0"/>
          <w:sz w:val="16"/>
          <w:szCs w:val="16"/>
        </w:rPr>
        <w:softHyphen/>
        <w:t>вание ледяной корки до 0,5 мм на ребрах атаки крыла, подкосов и лопастей ротора заметных изменений в работе ротора не вызвало. В ходе испытаний А-7 несколько раз попадал в снегопад на время до четверти часа. Повреждений лопастей ротора замече</w:t>
      </w:r>
      <w:r w:rsidRPr="00E14102">
        <w:rPr>
          <w:color w:val="0070C0"/>
          <w:sz w:val="16"/>
          <w:szCs w:val="16"/>
        </w:rPr>
        <w:softHyphen/>
        <w:t>но не было, заодно убедились, что полет авто</w:t>
      </w:r>
      <w:r w:rsidRPr="00E14102">
        <w:rPr>
          <w:color w:val="0070C0"/>
          <w:sz w:val="16"/>
          <w:szCs w:val="16"/>
        </w:rPr>
        <w:softHyphen/>
        <w:t>жира в отсутствии видимости не сложнее, чем на самолете.</w:t>
      </w:r>
    </w:p>
    <w:p w14:paraId="0EE63ED9" w14:textId="77777777" w:rsidR="009760A3" w:rsidRPr="00E14102" w:rsidRDefault="009760A3" w:rsidP="00E14102">
      <w:pPr>
        <w:jc w:val="both"/>
        <w:rPr>
          <w:color w:val="0070C0"/>
          <w:sz w:val="16"/>
          <w:szCs w:val="16"/>
        </w:rPr>
      </w:pPr>
      <w:r w:rsidRPr="00E14102">
        <w:rPr>
          <w:color w:val="0070C0"/>
          <w:sz w:val="16"/>
          <w:szCs w:val="16"/>
        </w:rPr>
        <w:t>В плановом порядке А-7 испытали на полеты с перегрузкой, взлетный вес при этом доходил до 2180 кг, полеты с ассиметричной подвеской весом 80 кг под центропланом и консолью с плечом от оси автожира 1,1 и 2,4 метра соответственно. Кроме этого, выпол</w:t>
      </w:r>
      <w:r w:rsidRPr="00E14102">
        <w:rPr>
          <w:color w:val="0070C0"/>
          <w:sz w:val="16"/>
          <w:szCs w:val="16"/>
        </w:rPr>
        <w:softHyphen/>
        <w:t>нялись полеты при порывах ветра до 14 м/с и отрабатывался взлете обледенелой поверх</w:t>
      </w:r>
      <w:r w:rsidRPr="00E14102">
        <w:rPr>
          <w:color w:val="0070C0"/>
          <w:sz w:val="16"/>
          <w:szCs w:val="16"/>
        </w:rPr>
        <w:softHyphen/>
        <w:t>ности. Все эти испытания А-7 прошел успеш</w:t>
      </w:r>
      <w:r w:rsidRPr="00E14102">
        <w:rPr>
          <w:color w:val="0070C0"/>
          <w:sz w:val="16"/>
          <w:szCs w:val="16"/>
        </w:rPr>
        <w:softHyphen/>
        <w:t>но, единственным недостатком оказалась необходимость удержания автожира на льду, пока ротор раскручивался до 140-150 оборо</w:t>
      </w:r>
      <w:r w:rsidRPr="00E14102">
        <w:rPr>
          <w:color w:val="0070C0"/>
          <w:sz w:val="16"/>
          <w:szCs w:val="16"/>
        </w:rPr>
        <w:softHyphen/>
        <w:t>тов в минуту, правда, для этого вполне хвата</w:t>
      </w:r>
      <w:r w:rsidRPr="00E14102">
        <w:rPr>
          <w:color w:val="0070C0"/>
          <w:sz w:val="16"/>
          <w:szCs w:val="16"/>
        </w:rPr>
        <w:softHyphen/>
        <w:t>ло двух человек наземного персонала.</w:t>
      </w:r>
    </w:p>
    <w:p w14:paraId="3205BF35" w14:textId="77777777" w:rsidR="009760A3" w:rsidRPr="00E14102" w:rsidRDefault="009760A3" w:rsidP="00E14102">
      <w:pPr>
        <w:shd w:val="clear" w:color="auto" w:fill="FFFFFF"/>
        <w:jc w:val="both"/>
        <w:rPr>
          <w:color w:val="0070C0"/>
          <w:sz w:val="16"/>
          <w:szCs w:val="16"/>
        </w:rPr>
      </w:pPr>
      <w:r w:rsidRPr="00E14102">
        <w:rPr>
          <w:color w:val="0070C0"/>
          <w:sz w:val="16"/>
          <w:szCs w:val="16"/>
        </w:rPr>
        <w:t>Обязательным пунктом программы было определение летных характеристик, хотя в НИИ ВВС не стали замерять практический потолок и скороподъемность на лыжах. В отчет записали данные заводских испыта</w:t>
      </w:r>
      <w:r w:rsidRPr="00E14102">
        <w:rPr>
          <w:color w:val="0070C0"/>
          <w:sz w:val="16"/>
          <w:szCs w:val="16"/>
        </w:rPr>
        <w:softHyphen/>
        <w:t>ний. На колесах А-7, по данным ОЭЛИД ЦАГИ, забирался на 3 километра за 16,2 минуты и его потолок составлял 4800 метров. Осталь</w:t>
      </w:r>
      <w:r w:rsidRPr="00E14102">
        <w:rPr>
          <w:color w:val="0070C0"/>
          <w:sz w:val="16"/>
          <w:szCs w:val="16"/>
        </w:rPr>
        <w:softHyphen/>
        <w:t>ные характеристики военные определяли сами. Максимальная скорость автожира у земли составляла 200 км/ч, минимальная - 45 км/ч, на меньшей скорости самолетные органы управления (рули и элероны) теряли эффективность. Для разбега и пробега без торможения на лыжах требовалась дистан</w:t>
      </w:r>
      <w:r w:rsidRPr="00E14102">
        <w:rPr>
          <w:color w:val="0070C0"/>
          <w:sz w:val="16"/>
          <w:szCs w:val="16"/>
        </w:rPr>
        <w:softHyphen/>
        <w:t>ция в 60-70 метров, при этом взлет произво</w:t>
      </w:r>
      <w:r w:rsidRPr="00E14102">
        <w:rPr>
          <w:color w:val="0070C0"/>
          <w:sz w:val="16"/>
          <w:szCs w:val="16"/>
        </w:rPr>
        <w:softHyphen/>
        <w:t>дился за 6-7 секунд. Время пробега составля</w:t>
      </w:r>
      <w:r w:rsidRPr="00E14102">
        <w:rPr>
          <w:color w:val="0070C0"/>
          <w:sz w:val="16"/>
          <w:szCs w:val="16"/>
        </w:rPr>
        <w:softHyphen/>
        <w:t>ло 8-9 секунд. Вираж на высоте 1000 метров А-7 выполнял за 15-17 секунд. Максималь</w:t>
      </w:r>
      <w:r w:rsidRPr="00E14102">
        <w:rPr>
          <w:color w:val="0070C0"/>
          <w:sz w:val="16"/>
          <w:szCs w:val="16"/>
        </w:rPr>
        <w:softHyphen/>
        <w:t>ную дальность полета на скорости 140 км/ч и высоте 1000 м при запасе топлива 325 кг определили расчетным путем на основании замера расхода горючего. Он должна была составлять 775 км.</w:t>
      </w:r>
    </w:p>
    <w:p w14:paraId="21852CD2" w14:textId="77777777" w:rsidR="009760A3" w:rsidRPr="00E14102" w:rsidRDefault="009760A3" w:rsidP="00E14102">
      <w:pPr>
        <w:jc w:val="both"/>
        <w:rPr>
          <w:color w:val="0070C0"/>
          <w:sz w:val="16"/>
          <w:szCs w:val="16"/>
        </w:rPr>
      </w:pPr>
      <w:r w:rsidRPr="00E14102">
        <w:rPr>
          <w:color w:val="0070C0"/>
          <w:sz w:val="16"/>
          <w:szCs w:val="16"/>
        </w:rPr>
        <w:t>Летные характеристики, конечно, требо</w:t>
      </w:r>
      <w:r w:rsidRPr="00E14102">
        <w:rPr>
          <w:color w:val="0070C0"/>
          <w:sz w:val="16"/>
          <w:szCs w:val="16"/>
        </w:rPr>
        <w:softHyphen/>
        <w:t>вали подтверждения, но самой приоритетной задачей было изучение тактических возмож</w:t>
      </w:r>
      <w:r w:rsidRPr="00E14102">
        <w:rPr>
          <w:color w:val="0070C0"/>
          <w:sz w:val="16"/>
          <w:szCs w:val="16"/>
        </w:rPr>
        <w:softHyphen/>
        <w:t>ностей этого необычного летательного аппа</w:t>
      </w:r>
      <w:r w:rsidRPr="00E14102">
        <w:rPr>
          <w:color w:val="0070C0"/>
          <w:sz w:val="16"/>
          <w:szCs w:val="16"/>
        </w:rPr>
        <w:softHyphen/>
        <w:t>рата. Что в действительности может воору</w:t>
      </w:r>
      <w:r w:rsidRPr="00E14102">
        <w:rPr>
          <w:color w:val="0070C0"/>
          <w:sz w:val="16"/>
          <w:szCs w:val="16"/>
        </w:rPr>
        <w:softHyphen/>
        <w:t>женный и оснащенный радио- и фотоаппара</w:t>
      </w:r>
      <w:r w:rsidRPr="00E14102">
        <w:rPr>
          <w:color w:val="0070C0"/>
          <w:sz w:val="16"/>
          <w:szCs w:val="16"/>
        </w:rPr>
        <w:softHyphen/>
        <w:t>турой автожир в точности не знал никто.</w:t>
      </w:r>
    </w:p>
    <w:p w14:paraId="0D154298" w14:textId="77777777" w:rsidR="009760A3" w:rsidRPr="00E14102" w:rsidRDefault="009760A3" w:rsidP="00E14102">
      <w:pPr>
        <w:jc w:val="both"/>
        <w:rPr>
          <w:color w:val="0070C0"/>
          <w:sz w:val="16"/>
          <w:szCs w:val="16"/>
        </w:rPr>
      </w:pPr>
      <w:r w:rsidRPr="00E14102">
        <w:rPr>
          <w:color w:val="0070C0"/>
          <w:sz w:val="16"/>
          <w:szCs w:val="16"/>
        </w:rPr>
        <w:t>Предстояло определить потенциал А-7 как средства связи, разведки и наблюдения, а также понять, насколько хорошо он может постоять за себя в воздушном бою.</w:t>
      </w:r>
    </w:p>
    <w:p w14:paraId="03A86D95" w14:textId="77777777" w:rsidR="009760A3" w:rsidRPr="00E14102" w:rsidRDefault="009760A3" w:rsidP="00E14102">
      <w:pPr>
        <w:jc w:val="both"/>
        <w:rPr>
          <w:color w:val="0070C0"/>
          <w:sz w:val="16"/>
          <w:szCs w:val="16"/>
        </w:rPr>
      </w:pPr>
      <w:r w:rsidRPr="00E14102">
        <w:rPr>
          <w:color w:val="0070C0"/>
          <w:sz w:val="16"/>
          <w:szCs w:val="16"/>
        </w:rPr>
        <w:t>Наблюдение и визуальную разведку в ходе испытаний производили в основном со средних высот. Оказалось, что делать это несколько удобнее, чем с самолета, в первую очередь благодаря низкой минимальной ско</w:t>
      </w:r>
      <w:r w:rsidRPr="00E14102">
        <w:rPr>
          <w:color w:val="0070C0"/>
          <w:sz w:val="16"/>
          <w:szCs w:val="16"/>
        </w:rPr>
        <w:softHyphen/>
        <w:t>рости, что позволяло «задерживаться» над обследуемым объектом и более детально изучать его. Это обстоятельство обеспечива</w:t>
      </w:r>
      <w:r w:rsidRPr="00E14102">
        <w:rPr>
          <w:color w:val="0070C0"/>
          <w:sz w:val="16"/>
          <w:szCs w:val="16"/>
        </w:rPr>
        <w:softHyphen/>
        <w:t>ло возможность успешно выполнять графи</w:t>
      </w:r>
      <w:r w:rsidRPr="00E14102">
        <w:rPr>
          <w:color w:val="0070C0"/>
          <w:sz w:val="16"/>
          <w:szCs w:val="16"/>
        </w:rPr>
        <w:softHyphen/>
        <w:t>ческие донесения и снимать кроки местно</w:t>
      </w:r>
      <w:r w:rsidRPr="00E14102">
        <w:rPr>
          <w:color w:val="0070C0"/>
          <w:sz w:val="16"/>
          <w:szCs w:val="16"/>
        </w:rPr>
        <w:softHyphen/>
        <w:t>сти. Немаловажную роль играл и хороший обзор из задней кабины. Способность долгое время держаться на минимальных скоростях позволяла вести длительное наблюдение за определенными секторами или объектами, что при наличии устойчивой радиосвязи при</w:t>
      </w:r>
      <w:r w:rsidRPr="00E14102">
        <w:rPr>
          <w:color w:val="0070C0"/>
          <w:sz w:val="16"/>
          <w:szCs w:val="16"/>
        </w:rPr>
        <w:softHyphen/>
        <w:t>ближало автожир по возможностям к привяз</w:t>
      </w:r>
      <w:r w:rsidRPr="00E14102">
        <w:rPr>
          <w:color w:val="0070C0"/>
          <w:sz w:val="16"/>
          <w:szCs w:val="16"/>
        </w:rPr>
        <w:softHyphen/>
        <w:t>ным аэростатам.</w:t>
      </w:r>
    </w:p>
    <w:p w14:paraId="6F808E9F" w14:textId="77777777" w:rsidR="009760A3" w:rsidRPr="00E14102" w:rsidRDefault="009760A3" w:rsidP="00E14102">
      <w:pPr>
        <w:jc w:val="both"/>
        <w:rPr>
          <w:color w:val="0070C0"/>
          <w:sz w:val="16"/>
          <w:szCs w:val="16"/>
        </w:rPr>
      </w:pPr>
      <w:r w:rsidRPr="00E14102">
        <w:rPr>
          <w:color w:val="0070C0"/>
          <w:sz w:val="16"/>
          <w:szCs w:val="16"/>
        </w:rPr>
        <w:t>Еще в ходе заводских испытаний были отмечены вибрации оперения и хвостовой части фюзеляжа. До концы победить это явление не удалось не только на А-7, но и на последующих модификациях. Тряска и виб</w:t>
      </w:r>
      <w:r w:rsidRPr="00E14102">
        <w:rPr>
          <w:color w:val="0070C0"/>
          <w:sz w:val="16"/>
          <w:szCs w:val="16"/>
        </w:rPr>
        <w:softHyphen/>
        <w:t>рации фюзеляжа практически исключали наблюдение при помощи бинокля. Реально их можно было вести только на режимах пла</w:t>
      </w:r>
      <w:r w:rsidRPr="00E14102">
        <w:rPr>
          <w:color w:val="0070C0"/>
          <w:sz w:val="16"/>
          <w:szCs w:val="16"/>
        </w:rPr>
        <w:softHyphen/>
        <w:t>нирования или парашютирования при работе мотора на малом газе. В то же время, радио</w:t>
      </w:r>
      <w:r w:rsidRPr="00E14102">
        <w:rPr>
          <w:color w:val="0070C0"/>
          <w:sz w:val="16"/>
          <w:szCs w:val="16"/>
        </w:rPr>
        <w:softHyphen/>
        <w:t>станция 13-СК начинала устойчиво работать на скорости около 90 км/ч - динамомашина, установленная на А-7, работала от набегаю</w:t>
      </w:r>
      <w:r w:rsidRPr="00E14102">
        <w:rPr>
          <w:color w:val="0070C0"/>
          <w:sz w:val="16"/>
          <w:szCs w:val="16"/>
        </w:rPr>
        <w:softHyphen/>
        <w:t>щего потока и на малых скоростях ее мощно</w:t>
      </w:r>
      <w:r w:rsidRPr="00E14102">
        <w:rPr>
          <w:color w:val="0070C0"/>
          <w:sz w:val="16"/>
          <w:szCs w:val="16"/>
        </w:rPr>
        <w:softHyphen/>
        <w:t>сти не хватало. Как фоторазведчик автожир по крайней мере не уступал самолету, а пер</w:t>
      </w:r>
      <w:r w:rsidRPr="00E14102">
        <w:rPr>
          <w:color w:val="0070C0"/>
          <w:sz w:val="16"/>
          <w:szCs w:val="16"/>
        </w:rPr>
        <w:softHyphen/>
        <w:t>спективную аэрофотосъемку производить оказалось значительно удобнее.</w:t>
      </w:r>
    </w:p>
    <w:p w14:paraId="31EC4B05" w14:textId="77777777" w:rsidR="009760A3" w:rsidRPr="00E14102" w:rsidRDefault="009760A3" w:rsidP="00E14102">
      <w:pPr>
        <w:shd w:val="clear" w:color="auto" w:fill="FFFFFF"/>
        <w:jc w:val="both"/>
        <w:rPr>
          <w:color w:val="0070C0"/>
          <w:sz w:val="16"/>
          <w:szCs w:val="16"/>
        </w:rPr>
      </w:pPr>
      <w:r w:rsidRPr="00E14102">
        <w:rPr>
          <w:color w:val="0070C0"/>
          <w:sz w:val="16"/>
          <w:szCs w:val="16"/>
        </w:rPr>
        <w:t>Учебные воздушные бои проводились с самолетом И-15 при высоте полета автожира 1000 - 1500 метров, при его начальной ско</w:t>
      </w:r>
      <w:r w:rsidRPr="00E14102">
        <w:rPr>
          <w:color w:val="0070C0"/>
          <w:sz w:val="16"/>
          <w:szCs w:val="16"/>
        </w:rPr>
        <w:softHyphen/>
        <w:t>рости 165 км/ч с ее уменьшением до мини</w:t>
      </w:r>
      <w:r w:rsidRPr="00E14102">
        <w:rPr>
          <w:color w:val="0070C0"/>
          <w:sz w:val="16"/>
          <w:szCs w:val="16"/>
        </w:rPr>
        <w:softHyphen/>
        <w:t>мальной. Скорости истребителя не ограничи</w:t>
      </w:r>
      <w:r w:rsidRPr="00E14102">
        <w:rPr>
          <w:color w:val="0070C0"/>
          <w:sz w:val="16"/>
          <w:szCs w:val="16"/>
        </w:rPr>
        <w:softHyphen/>
        <w:t>вались. Дистанция начала атаки - 1000 мет</w:t>
      </w:r>
      <w:r w:rsidRPr="00E14102">
        <w:rPr>
          <w:color w:val="0070C0"/>
          <w:sz w:val="16"/>
          <w:szCs w:val="16"/>
        </w:rPr>
        <w:softHyphen/>
        <w:t>ров, выход - не ближе 150 м. Были опробова</w:t>
      </w:r>
      <w:r w:rsidRPr="00E14102">
        <w:rPr>
          <w:color w:val="0070C0"/>
          <w:sz w:val="16"/>
          <w:szCs w:val="16"/>
        </w:rPr>
        <w:softHyphen/>
        <w:t>ны самые разнообразные варианты нападения. Автожир атаковали сзади сверху с пре</w:t>
      </w:r>
      <w:r w:rsidRPr="00E14102">
        <w:rPr>
          <w:color w:val="0070C0"/>
          <w:sz w:val="16"/>
          <w:szCs w:val="16"/>
        </w:rPr>
        <w:softHyphen/>
        <w:t>вышением в 500 и 1000 метров, с различными углами пикирования, а также с выходом под хвост. Пробовали наносить удары спереди, как с превышением, так и снизу - с превыше</w:t>
      </w:r>
      <w:r w:rsidRPr="00E14102">
        <w:rPr>
          <w:color w:val="0070C0"/>
          <w:sz w:val="16"/>
          <w:szCs w:val="16"/>
        </w:rPr>
        <w:softHyphen/>
        <w:t>нием А-7 над истребителем на полкилометра. Были опробованы различные варианты атак сбоку, а также бой на виражах. В любом слу</w:t>
      </w:r>
      <w:r w:rsidRPr="00E14102">
        <w:rPr>
          <w:color w:val="0070C0"/>
          <w:sz w:val="16"/>
          <w:szCs w:val="16"/>
        </w:rPr>
        <w:softHyphen/>
        <w:t>чае, ротор создавал вокруг автожира доста</w:t>
      </w:r>
      <w:r w:rsidRPr="00E14102">
        <w:rPr>
          <w:color w:val="0070C0"/>
          <w:sz w:val="16"/>
          <w:szCs w:val="16"/>
        </w:rPr>
        <w:softHyphen/>
        <w:t>точно объемную мертвую зону. Тем не менее, нашлись и оригинальные способы защиты. В первую очередь это способность энергично сбрасывать скорость полета вплоть до мини</w:t>
      </w:r>
      <w:r w:rsidRPr="00E14102">
        <w:rPr>
          <w:color w:val="0070C0"/>
          <w:sz w:val="16"/>
          <w:szCs w:val="16"/>
        </w:rPr>
        <w:softHyphen/>
        <w:t>мальной, а также возможность резкого изме</w:t>
      </w:r>
      <w:r w:rsidRPr="00E14102">
        <w:rPr>
          <w:color w:val="0070C0"/>
          <w:sz w:val="16"/>
          <w:szCs w:val="16"/>
        </w:rPr>
        <w:softHyphen/>
        <w:t>нения направления полета. Умелое примене</w:t>
      </w:r>
      <w:r w:rsidRPr="00E14102">
        <w:rPr>
          <w:color w:val="0070C0"/>
          <w:sz w:val="16"/>
          <w:szCs w:val="16"/>
        </w:rPr>
        <w:softHyphen/>
        <w:t>ние этих приемов помогало если не сорвать атаку истребителя, то серьезно затруднить прицельную стрельбу. Способность автожи</w:t>
      </w:r>
      <w:r w:rsidRPr="00E14102">
        <w:rPr>
          <w:color w:val="0070C0"/>
          <w:sz w:val="16"/>
          <w:szCs w:val="16"/>
        </w:rPr>
        <w:softHyphen/>
        <w:t>ра выполнять глубокие виражи на скоростях около 90 км/ч не позволяла противнику успешно атаковать его на этом режиме. Кроме того, на дальних дистанциях было трудно определить направление полета авто</w:t>
      </w:r>
      <w:r w:rsidRPr="00E14102">
        <w:rPr>
          <w:color w:val="0070C0"/>
          <w:sz w:val="16"/>
          <w:szCs w:val="16"/>
        </w:rPr>
        <w:softHyphen/>
        <w:t>жира, а при наблюдении сверху серебристый аппарат легко терялся на фоне снега.</w:t>
      </w:r>
    </w:p>
    <w:p w14:paraId="5106CFF7" w14:textId="77777777" w:rsidR="009760A3" w:rsidRPr="00E14102" w:rsidRDefault="009760A3" w:rsidP="00E14102">
      <w:pPr>
        <w:jc w:val="both"/>
        <w:rPr>
          <w:color w:val="0070C0"/>
          <w:sz w:val="16"/>
          <w:szCs w:val="16"/>
        </w:rPr>
      </w:pPr>
      <w:r w:rsidRPr="00E14102">
        <w:rPr>
          <w:color w:val="0070C0"/>
          <w:sz w:val="16"/>
          <w:szCs w:val="16"/>
        </w:rPr>
        <w:t>Вооружение испытывали в конце програм</w:t>
      </w:r>
      <w:r w:rsidRPr="00E14102">
        <w:rPr>
          <w:color w:val="0070C0"/>
          <w:sz w:val="16"/>
          <w:szCs w:val="16"/>
        </w:rPr>
        <w:softHyphen/>
        <w:t>мы. Для стрельбы через винт на А-7 у правого борта на двух шкворнях был установлен пуле</w:t>
      </w:r>
      <w:r w:rsidRPr="00E14102">
        <w:rPr>
          <w:color w:val="0070C0"/>
          <w:sz w:val="16"/>
          <w:szCs w:val="16"/>
        </w:rPr>
        <w:softHyphen/>
        <w:t>мет ПВ-1 с прицелом 0П-1, синхронизатором типа «</w:t>
      </w:r>
      <w:r w:rsidRPr="00E14102">
        <w:rPr>
          <w:color w:val="0070C0"/>
          <w:sz w:val="16"/>
          <w:szCs w:val="16"/>
          <w:lang w:val="en-US"/>
        </w:rPr>
        <w:t>Z</w:t>
      </w:r>
      <w:r w:rsidRPr="00E14102">
        <w:rPr>
          <w:color w:val="0070C0"/>
          <w:sz w:val="16"/>
          <w:szCs w:val="16"/>
        </w:rPr>
        <w:t>» и спусковым механизмом ПУЛ-9. Регулировка оси ствола осуществлялась на заднем шкворне. Спереди приборной доски был жестко закреплен патронный ящик с бое</w:t>
      </w:r>
      <w:r w:rsidRPr="00E14102">
        <w:rPr>
          <w:color w:val="0070C0"/>
          <w:sz w:val="16"/>
          <w:szCs w:val="16"/>
        </w:rPr>
        <w:softHyphen/>
        <w:t>запасом 500 штук. Перед ним устанавливался ящик для сбора звеньев, гильзы выбрасыва</w:t>
      </w:r>
      <w:r w:rsidRPr="00E14102">
        <w:rPr>
          <w:color w:val="0070C0"/>
          <w:sz w:val="16"/>
          <w:szCs w:val="16"/>
        </w:rPr>
        <w:softHyphen/>
        <w:t>лись за борт снизу фюзеляжа. Заднюю полу</w:t>
      </w:r>
      <w:r w:rsidRPr="00E14102">
        <w:rPr>
          <w:color w:val="0070C0"/>
          <w:sz w:val="16"/>
          <w:szCs w:val="16"/>
        </w:rPr>
        <w:softHyphen/>
        <w:t>сферу защищала слегка доработанная турель ТУР-6, на которую мог устанавливаться пуле</w:t>
      </w:r>
      <w:r w:rsidRPr="00E14102">
        <w:rPr>
          <w:color w:val="0070C0"/>
          <w:sz w:val="16"/>
          <w:szCs w:val="16"/>
        </w:rPr>
        <w:softHyphen/>
        <w:t>мет ДА или спарка ДА-2. Для предотвращения прострела лопастей ротора подъем турели ограничили вкладышами в сегменты верти</w:t>
      </w:r>
      <w:r w:rsidRPr="00E14102">
        <w:rPr>
          <w:color w:val="0070C0"/>
          <w:sz w:val="16"/>
          <w:szCs w:val="16"/>
        </w:rPr>
        <w:softHyphen/>
        <w:t>кального подъема, кроме того, на дуге турели имелся откидной фиксатор. Подвесное сиденье летнаба крепилось на крючках к подвижному кольцу турели. Гнезда на 12 мага</w:t>
      </w:r>
      <w:r w:rsidRPr="00E14102">
        <w:rPr>
          <w:color w:val="0070C0"/>
          <w:sz w:val="16"/>
          <w:szCs w:val="16"/>
        </w:rPr>
        <w:softHyphen/>
        <w:t>зинов располагались в задней части кабины. 2 февраля переднюю установку отстреляли в тире завода №39, а на задней турели был про</w:t>
      </w:r>
      <w:r w:rsidRPr="00E14102">
        <w:rPr>
          <w:color w:val="0070C0"/>
          <w:sz w:val="16"/>
          <w:szCs w:val="16"/>
        </w:rPr>
        <w:softHyphen/>
        <w:t>веден замер углов обстрела. На «стрельбу» было выполнено два вылета, в которых опро</w:t>
      </w:r>
      <w:r w:rsidRPr="00E14102">
        <w:rPr>
          <w:color w:val="0070C0"/>
          <w:sz w:val="16"/>
          <w:szCs w:val="16"/>
        </w:rPr>
        <w:softHyphen/>
        <w:t>бовали обе установки. Всего был произведен 971 выстрел. Стрелковое вооружение автожи</w:t>
      </w:r>
      <w:r w:rsidRPr="00E14102">
        <w:rPr>
          <w:color w:val="0070C0"/>
          <w:sz w:val="16"/>
          <w:szCs w:val="16"/>
        </w:rPr>
        <w:softHyphen/>
        <w:t>ра признали соответствующим предъявлен</w:t>
      </w:r>
      <w:r w:rsidRPr="00E14102">
        <w:rPr>
          <w:color w:val="0070C0"/>
          <w:sz w:val="16"/>
          <w:szCs w:val="16"/>
        </w:rPr>
        <w:softHyphen/>
        <w:t>ным техническим требованиям.</w:t>
      </w:r>
    </w:p>
    <w:p w14:paraId="0D6505B5" w14:textId="77777777" w:rsidR="009760A3" w:rsidRPr="00E14102" w:rsidRDefault="009760A3" w:rsidP="00E14102">
      <w:pPr>
        <w:jc w:val="both"/>
        <w:rPr>
          <w:color w:val="0070C0"/>
          <w:sz w:val="16"/>
          <w:szCs w:val="16"/>
        </w:rPr>
      </w:pPr>
      <w:r w:rsidRPr="00E14102">
        <w:rPr>
          <w:color w:val="0070C0"/>
          <w:sz w:val="16"/>
          <w:szCs w:val="16"/>
        </w:rPr>
        <w:t>Так уж получилось, что из-за вмешатель</w:t>
      </w:r>
      <w:r w:rsidRPr="00E14102">
        <w:rPr>
          <w:color w:val="0070C0"/>
          <w:sz w:val="16"/>
          <w:szCs w:val="16"/>
        </w:rPr>
        <w:softHyphen/>
        <w:t>ства Тухачевского самой важной частью испытаний оказалась отработка применения химического вооружения. Несмотря на то, что детальное описание работ поместили в совместный отчет НИИ ВВС и ЦАГИ, было оформлено еще три отдельных отчета: НИИ ВВС, 0ЭЛИД ЦАГИ и полевого отдела НИХИ. Саму установку разрабатывали в спешке, можно сказать, на коленке и из подручных материалов. В частности, передние узлы под</w:t>
      </w:r>
      <w:r w:rsidRPr="00E14102">
        <w:rPr>
          <w:color w:val="0070C0"/>
          <w:sz w:val="16"/>
          <w:szCs w:val="16"/>
        </w:rPr>
        <w:softHyphen/>
        <w:t>вески поставили от Р-б, а командный прибор в кабине летнаба взяли с С-62. ВАП-4М или как писали в отчете, ВАП-4 мод. решили не сбрасывать - времени на отработку такой системы просто не было. До этого автожи как оружие массового поражения никто специ</w:t>
      </w:r>
      <w:r w:rsidRPr="00E14102">
        <w:rPr>
          <w:color w:val="0070C0"/>
          <w:sz w:val="16"/>
          <w:szCs w:val="16"/>
        </w:rPr>
        <w:softHyphen/>
        <w:t>ально не рассматривал (19868).</w:t>
      </w:r>
    </w:p>
    <w:p w14:paraId="7798B576" w14:textId="77777777" w:rsidR="009760A3" w:rsidRPr="00E14102" w:rsidRDefault="009760A3" w:rsidP="00E14102">
      <w:pPr>
        <w:shd w:val="clear" w:color="auto" w:fill="FFFFFF"/>
        <w:jc w:val="both"/>
        <w:rPr>
          <w:color w:val="0070C0"/>
          <w:sz w:val="16"/>
          <w:szCs w:val="16"/>
        </w:rPr>
      </w:pPr>
    </w:p>
    <w:p w14:paraId="1B18522F" w14:textId="77777777" w:rsidR="000561E6" w:rsidRPr="00E14102" w:rsidRDefault="000561E6"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7 декабря </w:t>
      </w:r>
      <w:r w:rsidRPr="00E14102">
        <w:rPr>
          <w:color w:val="000000" w:themeColor="text1"/>
          <w:sz w:val="16"/>
          <w:szCs w:val="16"/>
        </w:rPr>
        <w:t>в 1935 году в Москве был создан завод № 161 по производству авиационных свечей и систем зажигания. В 1941 году предприятие было эвакуированно в Уфу. А 25 ноября 1941 года, завод уже выпустил первую партию авиационных свечей. Сегодня ФГУП "Уфимское агрегатное производственное объединение" (УАПО) изготавливает свечи для всех марок отечественных автомобилей. УАПО производит также устройства промышленно-производственного назначения для нефтекомплексов, энергокомплексов и сельского хозяйства (14853).</w:t>
      </w:r>
    </w:p>
    <w:p w14:paraId="0F15A15B" w14:textId="77777777" w:rsidR="000561E6" w:rsidRPr="00E14102" w:rsidRDefault="000561E6" w:rsidP="00E14102">
      <w:pPr>
        <w:jc w:val="both"/>
        <w:rPr>
          <w:color w:val="000000" w:themeColor="text1"/>
          <w:sz w:val="16"/>
          <w:szCs w:val="16"/>
        </w:rPr>
      </w:pPr>
    </w:p>
    <w:p w14:paraId="4BDBD01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ACAC664" w14:textId="77777777" w:rsidR="00D4105E" w:rsidRPr="00E14102" w:rsidRDefault="00D4105E" w:rsidP="00E14102">
      <w:pPr>
        <w:autoSpaceDE w:val="0"/>
        <w:autoSpaceDN w:val="0"/>
        <w:adjustRightInd w:val="0"/>
        <w:jc w:val="both"/>
        <w:rPr>
          <w:iCs/>
          <w:color w:val="000000" w:themeColor="text1"/>
          <w:sz w:val="16"/>
          <w:szCs w:val="16"/>
        </w:rPr>
      </w:pPr>
    </w:p>
    <w:p w14:paraId="6029C1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7 декабря 1935 г. по 16 января 1936 г. были проведены испытания 76-мм зенитной пушки обр. 1931 г. с полигональным лейнером. Канал полигонального орудия в сечении представлял собой правильный многоугольник. У этого лейнера число граней было 10, а их крутизна 15 калибров. Камора соединялась с гранями уступом. Вес снаряда 7,1 кг, длина 6,22 калибра. В ходе испытаний получили начальную скорость 794 м/с и дальность 16,5 км, то есть лучшую баллистику, чем у штатного снаряда (3861).</w:t>
      </w:r>
    </w:p>
    <w:p w14:paraId="3CEFFBF3" w14:textId="77777777" w:rsidR="00D4105E" w:rsidRPr="00E14102" w:rsidRDefault="00D4105E" w:rsidP="00E14102">
      <w:pPr>
        <w:autoSpaceDE w:val="0"/>
        <w:autoSpaceDN w:val="0"/>
        <w:adjustRightInd w:val="0"/>
        <w:jc w:val="both"/>
        <w:rPr>
          <w:color w:val="000000" w:themeColor="text1"/>
          <w:sz w:val="16"/>
          <w:szCs w:val="16"/>
        </w:rPr>
      </w:pPr>
    </w:p>
    <w:p w14:paraId="1FD3E1B9" w14:textId="77777777" w:rsidR="009760A3" w:rsidRPr="00E14102" w:rsidRDefault="009760A3" w:rsidP="00E14102">
      <w:pPr>
        <w:jc w:val="both"/>
        <w:rPr>
          <w:color w:val="0070C0"/>
          <w:sz w:val="16"/>
          <w:szCs w:val="16"/>
        </w:rPr>
      </w:pPr>
      <w:r w:rsidRPr="00E14102">
        <w:rPr>
          <w:color w:val="0070C0"/>
          <w:sz w:val="16"/>
          <w:szCs w:val="16"/>
        </w:rPr>
        <w:t>7 декабря 1935 г. была утверждена новая программа малых контрольных испытаний 82- мм батальонных минометов системы АНИИ, изготовленных на заводе «Красный Октябрь» по договору, заключенному с АУ РККА от 20 мая 1935 г. №103686. Затем она была изменена и конечном виде устанавливала для каждого образца 10 выстрелов миной, приведенной к весу 3,5 кг на усиленном заряде.225 В конце февраля 1936 г. опытная партия в количестве 10 шт. 82-БМ (8 минометов с хромоникелевыми и 2 миномета с углеродистыми трубами), была признана годной для проведения заводских испытаний и направлена на НИАП.226 При поступлении на НИАП выяснилось, что внутренний диаметр восьми из десяти доставленных труб минометов отличался от установленного техническими требованиями (ТУ). Руководством НИАПа испытания были приостановлены. По особому распоряжению 8 и 10 апреля 1936 г. были проведены первые малые контрольные испытания двух 82-мм батальонных минометов разработки АНИИ, по результатам которых была выявлена слабость опорных плит, которые получили прогибы. Согласно заключению НИАПа, было рекомендовано принять меры к их укреплению. Учитывая отсутствие осечек из-за обнаруженного зазора в трубах, в июле 1936 г. на НИАПе были проведены испытания стрельбой остальных труб минометов из опытной партии. Всего было сделано 90 выстрелов минами черт. 2-01329, из каждого миномета по 1 выстрелу зарядом №5 и по 9 выстрелов усиленными зарядами №7. Повреждений обнаружено не было, после чего опытная партия была направлена на завод «Красный Октябрь» для осмотра военпредом предприятия. Один миномет и одна труба по указанию Н. А. Доровлева были оставлены на НИАПе.227 (20074).</w:t>
      </w:r>
    </w:p>
    <w:p w14:paraId="1E873EF7" w14:textId="77777777" w:rsidR="009760A3" w:rsidRPr="00E14102" w:rsidRDefault="009760A3" w:rsidP="00E14102">
      <w:pPr>
        <w:jc w:val="both"/>
        <w:rPr>
          <w:color w:val="0070C0"/>
          <w:sz w:val="16"/>
          <w:szCs w:val="16"/>
        </w:rPr>
      </w:pPr>
    </w:p>
    <w:p w14:paraId="5DA16D9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4F56125" w14:textId="77777777" w:rsidR="00D4105E" w:rsidRPr="00E14102" w:rsidRDefault="00D4105E" w:rsidP="00E14102">
      <w:pPr>
        <w:autoSpaceDE w:val="0"/>
        <w:autoSpaceDN w:val="0"/>
        <w:adjustRightInd w:val="0"/>
        <w:jc w:val="both"/>
        <w:rPr>
          <w:iCs/>
          <w:color w:val="000000" w:themeColor="text1"/>
          <w:sz w:val="16"/>
          <w:szCs w:val="16"/>
        </w:rPr>
      </w:pPr>
    </w:p>
    <w:p w14:paraId="249C79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декабря 1935 года приказом НКВД № 0156 для производства работ по строительству Рыбинского и Угличского гидротехнических узлов был организован Волжский ИТЛ с дислокацией управления лагеря в городе Рыбинске; начальником Волголага назначался заместитель начальника ГУЛАГа и начальник строительства Рыбинского и Угличского гидротехнических узлов Я. Д. Рапопорт (по совместительству), его заместителем по строительству и по лагерю - бывший помощник начальника ГУЛАГа Н. Н. Алексеев (“с освобождением от должности пом. нач. ГУЛАГа”), начальником 3 отдела Волголага - бывший помощник начальника Дмитлага Е. А. Евгеньев, заместителем главного инженера Волгостроя - К. А. Вержбицкий (“с оставлением в должности Главного инженера и зам. нач. Беломорско-Балтийского комбината НКВД”) (7560).</w:t>
      </w:r>
    </w:p>
    <w:p w14:paraId="21EEBC2F" w14:textId="77777777" w:rsidR="00D4105E" w:rsidRPr="00E14102" w:rsidRDefault="00D4105E" w:rsidP="00E14102">
      <w:pPr>
        <w:autoSpaceDE w:val="0"/>
        <w:autoSpaceDN w:val="0"/>
        <w:adjustRightInd w:val="0"/>
        <w:jc w:val="both"/>
        <w:rPr>
          <w:color w:val="000000" w:themeColor="text1"/>
          <w:sz w:val="16"/>
          <w:szCs w:val="16"/>
        </w:rPr>
      </w:pPr>
    </w:p>
    <w:p w14:paraId="5EB61AE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B3238B4" w14:textId="77777777" w:rsidR="00D4105E" w:rsidRPr="00E14102" w:rsidRDefault="00D4105E" w:rsidP="00E14102">
      <w:pPr>
        <w:autoSpaceDE w:val="0"/>
        <w:autoSpaceDN w:val="0"/>
        <w:adjustRightInd w:val="0"/>
        <w:jc w:val="both"/>
        <w:rPr>
          <w:iCs/>
          <w:color w:val="000000" w:themeColor="text1"/>
          <w:sz w:val="16"/>
          <w:szCs w:val="16"/>
        </w:rPr>
      </w:pPr>
    </w:p>
    <w:p w14:paraId="20B61A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декабря 1935 Италия начала в Эфиопии химическую войну (3186).</w:t>
      </w:r>
    </w:p>
    <w:p w14:paraId="052CE490" w14:textId="77777777" w:rsidR="00D4105E" w:rsidRPr="00E14102" w:rsidRDefault="00D4105E" w:rsidP="00E14102">
      <w:pPr>
        <w:autoSpaceDE w:val="0"/>
        <w:autoSpaceDN w:val="0"/>
        <w:adjustRightInd w:val="0"/>
        <w:jc w:val="both"/>
        <w:rPr>
          <w:color w:val="000000" w:themeColor="text1"/>
          <w:sz w:val="16"/>
          <w:szCs w:val="16"/>
        </w:rPr>
      </w:pPr>
    </w:p>
    <w:p w14:paraId="26490D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декабря 1935 во Франции вышел закон о роспуске военизированных фашистских организаций (3186).</w:t>
      </w:r>
    </w:p>
    <w:p w14:paraId="5B8E3F24" w14:textId="77777777" w:rsidR="00D4105E" w:rsidRPr="00E14102" w:rsidRDefault="00D4105E" w:rsidP="00E14102">
      <w:pPr>
        <w:autoSpaceDE w:val="0"/>
        <w:autoSpaceDN w:val="0"/>
        <w:adjustRightInd w:val="0"/>
        <w:jc w:val="both"/>
        <w:rPr>
          <w:color w:val="000000" w:themeColor="text1"/>
          <w:sz w:val="16"/>
          <w:szCs w:val="16"/>
        </w:rPr>
      </w:pPr>
    </w:p>
    <w:p w14:paraId="7B1941A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2F9CF36" w14:textId="77777777" w:rsidR="00D4105E" w:rsidRPr="00E14102" w:rsidRDefault="00D4105E" w:rsidP="00E14102">
      <w:pPr>
        <w:autoSpaceDE w:val="0"/>
        <w:autoSpaceDN w:val="0"/>
        <w:adjustRightInd w:val="0"/>
        <w:jc w:val="both"/>
        <w:rPr>
          <w:iCs/>
          <w:color w:val="000000" w:themeColor="text1"/>
          <w:sz w:val="16"/>
          <w:szCs w:val="16"/>
        </w:rPr>
      </w:pPr>
    </w:p>
    <w:p w14:paraId="148F0F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декабря 1935 г. на испытания предъявили два новых мотора, которые прошли испытания с оценкой «удовлетворительно». Советская копия соответствовала ори</w:t>
      </w:r>
      <w:r w:rsidRPr="00E14102">
        <w:rPr>
          <w:color w:val="000000" w:themeColor="text1"/>
          <w:sz w:val="16"/>
          <w:szCs w:val="16"/>
        </w:rPr>
        <w:softHyphen/>
        <w:t>гиналу по мощности и расходу топлива, но отличалась большим рас</w:t>
      </w:r>
      <w:r w:rsidRPr="00E14102">
        <w:rPr>
          <w:color w:val="000000" w:themeColor="text1"/>
          <w:sz w:val="16"/>
          <w:szCs w:val="16"/>
        </w:rPr>
        <w:softHyphen/>
        <w:t>ходом масла и имела существенно более низкий межремонтный ресурс. ГУАП требовало от завода 150 часов, завод официально заявлял о ре</w:t>
      </w:r>
      <w:r w:rsidRPr="00E14102">
        <w:rPr>
          <w:color w:val="000000" w:themeColor="text1"/>
          <w:sz w:val="16"/>
          <w:szCs w:val="16"/>
        </w:rPr>
        <w:softHyphen/>
        <w:t>сурсе 100 часов. Фактически же в воинских частях М-85 ранних серий вырабатывали 50-60 часов. Мотор М-85 был хорош для 1933 г., но для конца 1935 г. он уже не</w:t>
      </w:r>
      <w:r w:rsidRPr="00E14102">
        <w:rPr>
          <w:color w:val="000000" w:themeColor="text1"/>
          <w:sz w:val="16"/>
          <w:szCs w:val="16"/>
        </w:rPr>
        <w:softHyphen/>
        <w:t>сколько устарел. Началась модернизация конструкции, которая привела к созданию довольно большого семейства двигателей на его базе. Этот процесс был своеобразен тем, что на разных стадиях им руководили со</w:t>
      </w:r>
      <w:r w:rsidRPr="00E14102">
        <w:rPr>
          <w:color w:val="000000" w:themeColor="text1"/>
          <w:sz w:val="16"/>
          <w:szCs w:val="16"/>
        </w:rPr>
        <w:softHyphen/>
        <w:t>вершенно разные люди, зачастую ранее не имевшие никакого отношения к работам по М-85 и его «потомкам». Если совершенствование М-25 от начала до конца вел А.Д. Швецов, аналогичную работу по М-100 — В.Я. Климов, то в Запорожье за этот период сменилось около десятка главных конструкторов. Для дальнейшего совершенствования М-85 еще 1 января 1935 г. сфор</w:t>
      </w:r>
      <w:r w:rsidRPr="00E14102">
        <w:rPr>
          <w:color w:val="000000" w:themeColor="text1"/>
          <w:sz w:val="16"/>
          <w:szCs w:val="16"/>
        </w:rPr>
        <w:softHyphen/>
        <w:t>мировали ОКБ-29, руководимое А.С. Назаровым. Назаров к этому време</w:t>
      </w:r>
      <w:r w:rsidRPr="00E14102">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E14102">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E14102">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Назарова возник серьезный конфликт с подчинен</w:t>
      </w:r>
      <w:r w:rsidRPr="00E14102">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E14102">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E14102">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E14102">
        <w:rPr>
          <w:color w:val="000000" w:themeColor="text1"/>
          <w:sz w:val="16"/>
          <w:szCs w:val="16"/>
        </w:rPr>
        <w:softHyphen/>
        <w:t>ным нагнетателем» и исходно не предусматривала внесения других изме</w:t>
      </w:r>
      <w:r w:rsidRPr="00E14102">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E14102">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E14102">
        <w:rPr>
          <w:color w:val="000000" w:themeColor="text1"/>
          <w:sz w:val="16"/>
          <w:szCs w:val="16"/>
        </w:rPr>
        <w:softHyphen/>
        <w:t>стояло довести до серийного производства М-87 и двигатель с двухско</w:t>
      </w:r>
      <w:r w:rsidRPr="00E14102">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E14102">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E14102">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E14102">
        <w:rPr>
          <w:color w:val="000000" w:themeColor="text1"/>
          <w:sz w:val="16"/>
          <w:szCs w:val="16"/>
        </w:rPr>
        <w:softHyphen/>
        <w:t>енную приемку. До конца года сдали 711 таких двигателей. Старые М-85 и М-86 строить перестали (11852).</w:t>
      </w:r>
    </w:p>
    <w:p w14:paraId="4F4612E7" w14:textId="77777777" w:rsidR="00D4105E" w:rsidRPr="00E14102" w:rsidRDefault="00D4105E" w:rsidP="00E14102">
      <w:pPr>
        <w:autoSpaceDE w:val="0"/>
        <w:autoSpaceDN w:val="0"/>
        <w:adjustRightInd w:val="0"/>
        <w:jc w:val="both"/>
        <w:rPr>
          <w:color w:val="000000" w:themeColor="text1"/>
          <w:sz w:val="16"/>
          <w:szCs w:val="16"/>
        </w:rPr>
      </w:pPr>
    </w:p>
    <w:p w14:paraId="4E5014C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13A604C" w14:textId="77777777" w:rsidR="00D4105E" w:rsidRPr="00E14102" w:rsidRDefault="00D4105E" w:rsidP="00E14102">
      <w:pPr>
        <w:autoSpaceDE w:val="0"/>
        <w:autoSpaceDN w:val="0"/>
        <w:adjustRightInd w:val="0"/>
        <w:jc w:val="both"/>
        <w:rPr>
          <w:iCs/>
          <w:color w:val="000000" w:themeColor="text1"/>
          <w:sz w:val="16"/>
          <w:szCs w:val="16"/>
        </w:rPr>
      </w:pPr>
    </w:p>
    <w:p w14:paraId="678D386C" w14:textId="77777777" w:rsidR="000561E6" w:rsidRPr="00E14102" w:rsidRDefault="000561E6" w:rsidP="00E14102">
      <w:pPr>
        <w:pStyle w:val="rtejustify"/>
        <w:spacing w:before="0" w:after="0"/>
        <w:rPr>
          <w:color w:val="000000" w:themeColor="text1"/>
          <w:sz w:val="16"/>
          <w:szCs w:val="16"/>
        </w:rPr>
      </w:pPr>
      <w:r w:rsidRPr="00E14102">
        <w:rPr>
          <w:rStyle w:val="a6"/>
          <w:bCs/>
          <w:i w:val="0"/>
          <w:color w:val="000000" w:themeColor="text1"/>
          <w:sz w:val="16"/>
          <w:szCs w:val="16"/>
        </w:rPr>
        <w:t>8 декабря 1935 вышел приказ НКТП № 193с.</w:t>
      </w:r>
      <w:r w:rsidRPr="00E14102">
        <w:rPr>
          <w:color w:val="000000" w:themeColor="text1"/>
          <w:sz w:val="16"/>
          <w:szCs w:val="16"/>
        </w:rPr>
        <w:t xml:space="preserve"> О неудовлетворительной работе Патронно-гильзового треста и мерах по выполнению производственной программы. (РГАЭ. Ф. 7297. Оп. 38. Д. 171. Л. 301) (15246).</w:t>
      </w:r>
    </w:p>
    <w:p w14:paraId="2FBA67F8" w14:textId="77777777" w:rsidR="000561E6" w:rsidRPr="00E14102" w:rsidRDefault="000561E6" w:rsidP="00E14102">
      <w:pPr>
        <w:pStyle w:val="rtejustify"/>
        <w:spacing w:before="0" w:after="0"/>
        <w:rPr>
          <w:color w:val="000000" w:themeColor="text1"/>
          <w:sz w:val="16"/>
          <w:szCs w:val="16"/>
        </w:rPr>
      </w:pPr>
    </w:p>
    <w:p w14:paraId="1D335B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декабря 1935 г. Свердловский научно-исследовательский углекоксовый институт "Углекокс" переименовывается в Восточный научно-исследовательский углехимический институт (ВУХИН) (12102).</w:t>
      </w:r>
    </w:p>
    <w:p w14:paraId="5650D9BB" w14:textId="77777777" w:rsidR="000561E6" w:rsidRPr="00E14102" w:rsidRDefault="000561E6" w:rsidP="00E14102">
      <w:pPr>
        <w:autoSpaceDE w:val="0"/>
        <w:autoSpaceDN w:val="0"/>
        <w:adjustRightInd w:val="0"/>
        <w:jc w:val="both"/>
        <w:rPr>
          <w:color w:val="000000" w:themeColor="text1"/>
          <w:sz w:val="16"/>
          <w:szCs w:val="16"/>
        </w:rPr>
      </w:pPr>
    </w:p>
    <w:p w14:paraId="76BDCB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8 декабря 1935 состоялась закладка эскадренного миноносца «Гневный». </w:t>
      </w:r>
    </w:p>
    <w:p w14:paraId="6A399A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Корабль был спущен на воду 13 июля 1936, а 23 декабря 1938 принят в состав КБФ. «Гневный» являлся головным кораблем I серии эскадренных миноносцев типа 7. Эти эсминцы строились по разработанному ленинградскими конструкторами в 1932–35 проекту и снаряжались отечественной техникой и вооружением. </w:t>
      </w:r>
    </w:p>
    <w:p w14:paraId="3EDBD3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Эсминцы этого типа и усовершенствованные эсминцы типа «Сторожевой», лучшие в мире по вооружению и скорости, успешно действовали в годы Великой, Отечественной войны. Особенно отличились «Гремящий», «Сообразительный» и «Стойкий» («Вице-адмирал Дрозд»), удостоенные гвардейского звания, а также «Беспощадный», «Бойкий», «Грозный» и «Громкий», награжденные орденом Красного Знамени (11712).</w:t>
      </w:r>
    </w:p>
    <w:p w14:paraId="123CE12F" w14:textId="77777777" w:rsidR="00D4105E" w:rsidRPr="00E14102" w:rsidRDefault="00D4105E" w:rsidP="00E14102">
      <w:pPr>
        <w:autoSpaceDE w:val="0"/>
        <w:autoSpaceDN w:val="0"/>
        <w:adjustRightInd w:val="0"/>
        <w:jc w:val="both"/>
        <w:rPr>
          <w:color w:val="000000" w:themeColor="text1"/>
          <w:sz w:val="16"/>
          <w:szCs w:val="16"/>
        </w:rPr>
      </w:pPr>
    </w:p>
    <w:p w14:paraId="44978FC8" w14:textId="77777777" w:rsidR="0097010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0573BEFB" w14:textId="77777777" w:rsidR="00970104" w:rsidRPr="00E14102" w:rsidRDefault="00970104" w:rsidP="00E14102">
      <w:pPr>
        <w:autoSpaceDE w:val="0"/>
        <w:autoSpaceDN w:val="0"/>
        <w:adjustRightInd w:val="0"/>
        <w:jc w:val="both"/>
        <w:rPr>
          <w:iCs/>
          <w:color w:val="000000" w:themeColor="text1"/>
          <w:sz w:val="16"/>
          <w:szCs w:val="16"/>
        </w:rPr>
      </w:pPr>
    </w:p>
    <w:p w14:paraId="4472560F" w14:textId="77777777" w:rsidR="000561E6" w:rsidRPr="00E14102" w:rsidRDefault="000561E6" w:rsidP="00E14102">
      <w:pPr>
        <w:pStyle w:val="ad"/>
        <w:spacing w:before="0" w:after="0"/>
        <w:rPr>
          <w:rStyle w:val="a6"/>
          <w:rFonts w:ascii="Times New Roman" w:hAnsi="Times New Roman" w:cs="Times New Roman"/>
          <w:i w:val="0"/>
          <w:color w:val="000000" w:themeColor="text1"/>
          <w:sz w:val="16"/>
          <w:szCs w:val="16"/>
          <w:lang w:val="ru-RU"/>
        </w:rPr>
      </w:pPr>
      <w:r w:rsidRPr="00E14102">
        <w:rPr>
          <w:rFonts w:ascii="Times New Roman" w:hAnsi="Times New Roman" w:cs="Times New Roman"/>
          <w:color w:val="000000" w:themeColor="text1"/>
          <w:sz w:val="16"/>
          <w:szCs w:val="16"/>
          <w:lang w:val="ru-RU"/>
        </w:rPr>
        <w:t>8 декабря 1935 г. Стенограмма утреннего заседания</w:t>
      </w:r>
    </w:p>
    <w:p w14:paraId="715C6419" w14:textId="77777777" w:rsidR="00970104" w:rsidRPr="00E14102" w:rsidRDefault="00970104"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Ворошилов.</w:t>
      </w:r>
      <w:r w:rsidRPr="00E14102">
        <w:rPr>
          <w:rFonts w:ascii="Times New Roman" w:hAnsi="Times New Roman" w:cs="Times New Roman"/>
          <w:color w:val="000000" w:themeColor="text1"/>
          <w:sz w:val="16"/>
          <w:szCs w:val="16"/>
          <w:lang w:val="ru-RU"/>
        </w:rPr>
        <w:t xml:space="preserve"> Заседание Военного совета объявлено открытым.</w:t>
      </w:r>
    </w:p>
    <w:p w14:paraId="00790D7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Порядок дня вашему вниманию предлагается следующий:</w:t>
      </w:r>
    </w:p>
    <w:p w14:paraId="3F05735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 Итоги боевой и политической подготовки РККА за 1935 г. и задачи на 1936 г.</w:t>
      </w:r>
    </w:p>
    <w:p w14:paraId="4F27329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 Авиационные вопросы:</w:t>
      </w:r>
    </w:p>
    <w:p w14:paraId="2DCCA99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Система оперативно-тактической подготовки высшего комсостава и штабов.</w:t>
      </w:r>
    </w:p>
    <w:p w14:paraId="1F91E9E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Управление (разведка, связь, штурманская и метеослужбы).</w:t>
      </w:r>
    </w:p>
    <w:p w14:paraId="3BC8298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Воздушный бой.</w:t>
      </w:r>
    </w:p>
    <w:p w14:paraId="08EDE04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Огневое дело.</w:t>
      </w:r>
    </w:p>
    <w:p w14:paraId="28C1110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Тыл.</w:t>
      </w:r>
    </w:p>
    <w:p w14:paraId="11B622B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Вузы.</w:t>
      </w:r>
    </w:p>
    <w:p w14:paraId="135E87A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3. Мероприятия по улучшению эксплуатации, хранения и сбережения оружия, боеприпасов и технического имущества: в войсках, на складах.</w:t>
      </w:r>
    </w:p>
    <w:p w14:paraId="2C87860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4. Об обозно-вещевом и продовольственном снабжении РККА.</w:t>
      </w:r>
    </w:p>
    <w:p w14:paraId="662CE13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5. О мерах по выполнению правительственного постановления в отношении удешевления строительства на 1936 г.</w:t>
      </w:r>
    </w:p>
    <w:p w14:paraId="62C95A7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Слово по первому вопросу имеет начальник Генерального штаба РККА т. Егоров.</w:t>
      </w:r>
    </w:p>
    <w:p w14:paraId="61A1673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w:t>
      </w:r>
    </w:p>
    <w:p w14:paraId="08029CB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Егоров.</w:t>
      </w:r>
      <w:r w:rsidRPr="00E14102">
        <w:rPr>
          <w:color w:val="000000" w:themeColor="text1"/>
          <w:sz w:val="16"/>
          <w:szCs w:val="16"/>
        </w:rPr>
        <w:t xml:space="preserve"> Товарищи, выполняя основные приказы наркома под известными вам № 0101, 0102, 0019, 025, директиву его за № 8573с и директиву Генштаба за № 16593с</w:t>
      </w:r>
      <w:hyperlink r:id="rId224" w:anchor="_ftn1" w:history="1">
        <w:r w:rsidRPr="00E14102">
          <w:rPr>
            <w:rStyle w:val="a4"/>
            <w:color w:val="000000" w:themeColor="text1"/>
            <w:sz w:val="16"/>
            <w:szCs w:val="16"/>
          </w:rPr>
          <w:t>[1]</w:t>
        </w:r>
      </w:hyperlink>
      <w:r w:rsidRPr="00E14102">
        <w:rPr>
          <w:color w:val="000000" w:themeColor="text1"/>
          <w:sz w:val="16"/>
          <w:szCs w:val="16"/>
        </w:rPr>
        <w:t>, командный состав, штабы, политорганы и войска проводили свою боевую подготовку в течение 1935 г. с огромным напряжением сил. Свидетельством этого служит та громаднейшая развернутая работа, которая проведена по всей системе подготовки начсостава и войск.</w:t>
      </w:r>
    </w:p>
    <w:p w14:paraId="67425D6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На всех участках работы, начиная с мелких учений, выходов в поле со средствами связи, оперативных тыловых игр до крупных войсковых учений и кончая маневрами, шла кипучая работа по боевой подготовке; и вот теперь надо себя спросить — с какими же результатами Рабоче-крестьянская Красная армия подходит к новому учебному году?</w:t>
      </w:r>
    </w:p>
    <w:p w14:paraId="7807666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результате этой напряженной работы, в результате всех тех практических экзаменов, какие держали корпуса, дивизии, округа на окружных маневрах КВО, на крупных учениях БВО и ЛВО, на базе развернутой боевой подготовки наших окраинных округов — ОКДВА, ЗабВО, САВО, СибВО, на той базе, какая складывалась в учебе во внутренних округах, в академиях, — мы констатируем, что Рабоче-крестьянская Красная армия к концу 1935 г. имеет значительные достижения в своей боевой подготовке.</w:t>
      </w:r>
    </w:p>
    <w:p w14:paraId="4EF1748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Повысилось качество и конкретность живого руководства. Еще больше укрепилось политико-моральное состояние войск, повысились дисциплина и классовая бдительность.</w:t>
      </w:r>
    </w:p>
    <w:p w14:paraId="200F847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Заметно поднялась по сравнению с прошлым годом оперативнотактическая подготовка начсостава и штабов. На основе указаний Инструкции по глубокому бою наступательный бой, встречный и оборонительный бой в главном и основном теоретически и практически изучены удовлетворительно во всех округах, за исключением части внутренних округов.</w:t>
      </w:r>
    </w:p>
    <w:p w14:paraId="0E593F3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Организация взаимодействия родов войск в глубине обороны противника усвоена удовлетворительно, что подтверждается проведенными крупными учениями в ряде округов и особенно маневрами Киевского военного округа</w:t>
      </w:r>
      <w:r w:rsidRPr="00E14102">
        <w:rPr>
          <w:color w:val="000000" w:themeColor="text1"/>
          <w:sz w:val="16"/>
          <w:szCs w:val="16"/>
          <w:vertAlign w:val="superscript"/>
        </w:rPr>
        <w:t>1</w:t>
      </w:r>
      <w:r w:rsidRPr="00E14102">
        <w:rPr>
          <w:color w:val="000000" w:themeColor="text1"/>
          <w:sz w:val="16"/>
          <w:szCs w:val="16"/>
        </w:rPr>
        <w:t>. На опыте учений мы можем сказать также, что Инструкция по глубокому бою</w:t>
      </w:r>
      <w:r w:rsidRPr="00E14102">
        <w:rPr>
          <w:color w:val="000000" w:themeColor="text1"/>
          <w:sz w:val="16"/>
          <w:szCs w:val="16"/>
          <w:vertAlign w:val="superscript"/>
        </w:rPr>
        <w:t>2</w:t>
      </w:r>
      <w:r w:rsidRPr="00E14102">
        <w:rPr>
          <w:color w:val="000000" w:themeColor="text1"/>
          <w:sz w:val="16"/>
          <w:szCs w:val="16"/>
        </w:rPr>
        <w:t xml:space="preserve"> в основном себя оправдала и что она может быть своего рода началом, вступительным абзацем Полевого устава Рабоче-крестьянской Красной армии, который мы обязаны создать в 1936 г. (ПУ-36 г.)</w:t>
      </w:r>
      <w:r w:rsidRPr="00E14102">
        <w:rPr>
          <w:color w:val="000000" w:themeColor="text1"/>
          <w:sz w:val="16"/>
          <w:szCs w:val="16"/>
          <w:vertAlign w:val="superscript"/>
        </w:rPr>
        <w:t>3</w:t>
      </w:r>
      <w:r w:rsidRPr="00E14102">
        <w:rPr>
          <w:color w:val="000000" w:themeColor="text1"/>
          <w:sz w:val="16"/>
          <w:szCs w:val="16"/>
        </w:rPr>
        <w:t>.</w:t>
      </w:r>
    </w:p>
    <w:p w14:paraId="10DA079B" w14:textId="77777777" w:rsidR="00970104" w:rsidRPr="00E14102" w:rsidRDefault="00970104" w:rsidP="00E14102">
      <w:pPr>
        <w:pStyle w:val="rtecenter"/>
        <w:spacing w:before="0" w:after="0"/>
        <w:jc w:val="both"/>
        <w:rPr>
          <w:color w:val="000000" w:themeColor="text1"/>
          <w:sz w:val="16"/>
          <w:szCs w:val="16"/>
        </w:rPr>
      </w:pPr>
      <w:r w:rsidRPr="00E14102">
        <w:rPr>
          <w:rStyle w:val="a3"/>
          <w:b w:val="0"/>
          <w:color w:val="000000" w:themeColor="text1"/>
          <w:sz w:val="16"/>
          <w:szCs w:val="16"/>
        </w:rPr>
        <w:t>Оперативная подготовка комсостава, начсостава и штабов</w:t>
      </w:r>
    </w:p>
    <w:p w14:paraId="17627FC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оперативной подготовке наряду с достижениями мы имеем и ряд крупных недочетов.</w:t>
      </w:r>
    </w:p>
    <w:p w14:paraId="38CBDCA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При развитии операции, без резких и сложных изменений обстановки, управление боем в большинстве случаев проводится непрерывно. Имеется несомненный перелом в сторону гибкого, живого руководства. Управление стало базироваться не на одних проволочных средствах связи, а на целом комплексе этих средств (радиосредства, самолеты, автомашины, сигнализации, конные и пешие посыльные), которые дополняли друг друга.</w:t>
      </w:r>
    </w:p>
    <w:p w14:paraId="7FDD3F8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Слаженность управления на маневрах КВО показывает, что при современных средствах связи и при умелом использовании таковых возможно организовать безотказность и непрерывность управления в самых сложных видах боя и операции, чего еще мы полностью для всей армии не добились и над чем необходимо в 1936 г. упорно работать.</w:t>
      </w:r>
    </w:p>
    <w:p w14:paraId="65DAC26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технике управления войсками схематизм и бюрократизм заметно изживаются. Управление ограничивалось необходимым количеством документов с дополнением их устными распоряжениями и посылкой в части оперативно-грамотных делегатов.</w:t>
      </w:r>
    </w:p>
    <w:p w14:paraId="1460073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Со стороны органов управления начал улучшаться живой контроль за своевременной доставкой распоряжений и за ходом выполнения этих распоряжений.</w:t>
      </w:r>
    </w:p>
    <w:p w14:paraId="4300914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Проведенные тыловые учения в МВО, тыловые игры и поездки в остальных округах подняли внимание ком. и начсостава и органов управления к вопросам управления тылом и материального обеспечения операции. Однако практическая работа по тылу не получила широкого развития и закрепления и является еще отстающей, особенно в специальных родах войск и службах.</w:t>
      </w:r>
    </w:p>
    <w:p w14:paraId="07D15C2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Директивные указания Генерального штаба РККА о системе оперативной подготовки начсостава и штабов</w:t>
      </w:r>
      <w:r w:rsidRPr="00E14102">
        <w:rPr>
          <w:color w:val="000000" w:themeColor="text1"/>
          <w:sz w:val="16"/>
          <w:szCs w:val="16"/>
          <w:vertAlign w:val="superscript"/>
        </w:rPr>
        <w:t>4</w:t>
      </w:r>
      <w:r w:rsidRPr="00E14102">
        <w:rPr>
          <w:color w:val="000000" w:themeColor="text1"/>
          <w:sz w:val="16"/>
          <w:szCs w:val="16"/>
        </w:rPr>
        <w:t xml:space="preserve"> округами и военными академиями в основном выполнялись. Каждой военной игре предшествовал целый ряд занятий (зачетные занятия, доклады, летучки), что в значительной степени способствовало усвоению вопросов, к проведению на играх и сборах.</w:t>
      </w:r>
    </w:p>
    <w:p w14:paraId="05C83EF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отношении штабов можно сказать, что они, несомненно, выросли за этот год. Культура штабной службы начинает прививаться, живой контроль за выполнением отданных командованием распоряжений уже входит в систему штабной службы. Указания [народного] комиссара о том, что в вопросах использования средств связи тогда только достигнем перелома, когда начальствующий состав, дающий директивы по тактическому и оперативному применению связи, сам будет знать тактические и технические основы средств связи, в 1935 г. получили, правда, еще неполное практическое осуществление. В силу этого имеется значительный сдвиг в правильном использовании всех средств связи, и в частности радиосвязи, и это обстоятельство дало определенную устойчивость вопросам управления.</w:t>
      </w:r>
    </w:p>
    <w:p w14:paraId="6E23A56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Наряду с этими достижениями надо еще отметить и тактическую подготовку всех родов войск, которая, по существу, во всех родах войск поднялась и приобрела известную квалификацию. Мы уже видим не общую мобильность родов войск в отношении выполнения боевых приказов, а видим и организованность в выполнении этого боевого требования. Мы видим развитие мобильности не просто в совершении марша как такового, а оперативно-тактическую мобильность, целеустремленную для решения определенной задачи.</w:t>
      </w:r>
    </w:p>
    <w:p w14:paraId="688D31F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Относительно специальных родов войск можно сказать, что они свои технические нормативы не только освоили, но и превысили. В этом отношении, в смысле специальной технической работы их, мы имеем достаточно прочную базу для того, чтобы в дальнейшем готовить эти войска для безотказного действия в бою и операции.</w:t>
      </w:r>
    </w:p>
    <w:p w14:paraId="0BC1B602" w14:textId="77777777" w:rsidR="00970104" w:rsidRPr="00E14102" w:rsidRDefault="00970104" w:rsidP="00E14102">
      <w:pPr>
        <w:pStyle w:val="rtecenter"/>
        <w:spacing w:before="0" w:after="0"/>
        <w:jc w:val="both"/>
        <w:rPr>
          <w:color w:val="000000" w:themeColor="text1"/>
          <w:sz w:val="16"/>
          <w:szCs w:val="16"/>
        </w:rPr>
      </w:pPr>
      <w:r w:rsidRPr="00E14102">
        <w:rPr>
          <w:rStyle w:val="a3"/>
          <w:b w:val="0"/>
          <w:color w:val="000000" w:themeColor="text1"/>
          <w:sz w:val="16"/>
          <w:szCs w:val="16"/>
        </w:rPr>
        <w:t>По тактической подготовке</w:t>
      </w:r>
    </w:p>
    <w:p w14:paraId="21701AD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Основные усилия в тактической подготовке были направлены к освоению общевойскового боя в сложных условиях обстановки.</w:t>
      </w:r>
    </w:p>
    <w:p w14:paraId="64C22861" w14:textId="77777777" w:rsidR="00970104" w:rsidRPr="00E14102" w:rsidRDefault="00970104"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Особое внимание обращалось:</w:t>
      </w:r>
    </w:p>
    <w:p w14:paraId="07940AA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отработку гибкого непрерывного управления;</w:t>
      </w:r>
    </w:p>
    <w:p w14:paraId="5568597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отработку приемов и форм глубокой тактики и прочного овладения сложными формами огневого дела.</w:t>
      </w:r>
    </w:p>
    <w:p w14:paraId="1F3E078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Основные итоги тактической подготовки можно характеризовать так.</w:t>
      </w:r>
    </w:p>
    <w:p w14:paraId="29B4585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крупных учениях и окружных маневрах мы видели, что начсостав и штабы овладели в основном приемами глубокого и непрерывного управления войсками в бою. Значительно возросло [внимание] к вопросам организации и осуществлению живого контроля за ходом выполнения распоряжений командования.</w:t>
      </w:r>
    </w:p>
    <w:p w14:paraId="06AE746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Слабым местом является по-прежнему организация и ведение непрерывной разведки во всех видах боя, особенно в сторону флангов. Отсутствует организация дополнительной разведки в процессе боя. Служба наблюдения оставалась без должного внимания и не отработана.</w:t>
      </w:r>
    </w:p>
    <w:p w14:paraId="6DB34E2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 всех видах боя с тактической и технической стороны связь использовалась правильно и обеспечивала непрерывность и безотказность управления. Необходимо отметить широкое использование в текущем году комплексных средств связи (проволочная связь, радио, самолеты, автомобили, самокаты и делегаты), что давало устойчивость вопросам управления.</w:t>
      </w:r>
    </w:p>
    <w:p w14:paraId="12C93E3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Качество работы всех штабов заметно повысилось. Войска своевременно получали боевые распоряжения. Техническая работа по оформлению решений командования проводится в более короткие сроки, чем в прошлом году. В значительной мере изжит схематизм в технике управления. Предварительные и устные распоряжения, а также посылка делегатов в части становятся системой работы штабов. Однако штабная служба страдает многими недочетами: недостаточно еще организовано перемещение штабов и командных пунктов, вызывающее потерю связи на этот период. Запаздывают распоряжения по тылу. Не все штабные командиры умеют быстро и правильно производить необходимые расчеты. Хромает увязка действий с соседями. Ночлеги и отдых войск часто плохо организуются. Служба регулирования на поле боя освоена недостаточно.</w:t>
      </w:r>
    </w:p>
    <w:p w14:paraId="4D6502D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отдельных случаях наблюдается небрежность в боевых документах (опечатки, неправильные названия населенных пунктов, путаница с частями).</w:t>
      </w:r>
    </w:p>
    <w:p w14:paraId="372A24A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Недостаточна сработанность общевойсковых штабов со специальными штабами, начальниками родов войск и служб. Слаба подготовка командиров запаса, приписанных к штабам и управлениям.</w:t>
      </w:r>
    </w:p>
    <w:p w14:paraId="66CC155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Служба обеспечения. Во всех войсках служба походного и боевого охранения несется удовлетворительно. Однако имеются случаи невнимательного осмотра походным охранением местных предметов, а также слабая связь органов походного охранения со своими охраняемыми частями и с органами разведки.</w:t>
      </w:r>
    </w:p>
    <w:p w14:paraId="3E5CB20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Менее удовлетворительно несется служба сторожевого охранения. Нет навыков ночного наблюдения, недостаточна бдительность. Ночной охране штабов и линиям связи уделяется недостаточное внимание. Необходимо особое внимание заострить на этом виде боевого обеспечения, учитывая вероятность широких ночных действий войск противника.</w:t>
      </w:r>
    </w:p>
    <w:p w14:paraId="0526B28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Вопросу противотанковой обороны в текущем году уделялось большое внимание. Противотанковая оборона огневыми средствами на марше, а в обороне и инженерными средствами, отработана и усвоена удовлетворительно. Артиллерия в отношении борьбы с танками добилась значительных успехов.</w:t>
      </w:r>
    </w:p>
    <w:p w14:paraId="389C964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Противовоздушная оборона войсками полностью не разрешена, запаздывает система оповещения, и, как вывод, войска, имея достаточную тренировку в расчленении, своевременно не успевают это расчленение осуществлять.</w:t>
      </w:r>
    </w:p>
    <w:p w14:paraId="6A3EE1F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Отработка приемов и форм глубокой тактики проводилась на основе установок Инструкций по глубокому бою, в результате годовой учебы начсостав и штабы практические задачи по освоению основных видов боя (наступательный, оборонительный, встречный) выполнили удовлетворительно. Проведенные крупные учения в округах и маневры КВО показали, что начсостав правильно учитывает характер современного боя и правильно применяет боевые средства.</w:t>
      </w:r>
    </w:p>
    <w:p w14:paraId="096F79F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Штабы удовлетворительно планируют взаимодействие родов войск. Само взаимодействие родов войск, как показатель оперативно-тактического роста начсостава, штабов и войск, улучшилось.</w:t>
      </w:r>
    </w:p>
    <w:p w14:paraId="14A73CF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Слабее усвоен бой на окружение, а также ночные действия.</w:t>
      </w:r>
    </w:p>
    <w:p w14:paraId="6EDAC511" w14:textId="77777777" w:rsidR="00970104" w:rsidRPr="00E14102" w:rsidRDefault="00970104" w:rsidP="00E14102">
      <w:pPr>
        <w:pStyle w:val="rtecenter"/>
        <w:spacing w:before="0" w:after="0"/>
        <w:jc w:val="both"/>
        <w:rPr>
          <w:color w:val="000000" w:themeColor="text1"/>
          <w:sz w:val="16"/>
          <w:szCs w:val="16"/>
        </w:rPr>
      </w:pPr>
      <w:r w:rsidRPr="00E14102">
        <w:rPr>
          <w:rStyle w:val="a3"/>
          <w:b w:val="0"/>
          <w:color w:val="000000" w:themeColor="text1"/>
          <w:sz w:val="16"/>
          <w:szCs w:val="16"/>
        </w:rPr>
        <w:t>Огневая подготовка</w:t>
      </w:r>
    </w:p>
    <w:p w14:paraId="59C7083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На вопросах огневой подготовки необходимо остановиться подробнее. В отношении огневой подготовки надо прямо сказать, что эта вещь достаточно капризная. В отдельных округах эта дисциплина недостаточно точно выявлена. Что получилось? В отчетах некоторых командующих войсками нет точного и определенного ответа, </w:t>
      </w:r>
      <w:r w:rsidRPr="00E14102">
        <w:rPr>
          <w:color w:val="000000" w:themeColor="text1"/>
          <w:sz w:val="16"/>
          <w:szCs w:val="16"/>
        </w:rPr>
        <w:lastRenderedPageBreak/>
        <w:t>что получилось с огневой подготовкой. На основе всех материалов, всех докладов инспекции считаю необходимым доложить Военному совету следующую оценку в огневой подготовке.</w:t>
      </w:r>
    </w:p>
    <w:p w14:paraId="4394487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Прежде всего мы имеем индивидуальную подготовку по курсу стрельб, в процентном отношении сниженную против прошлого года. Правда, в руководстве огневым делом был крен в сторону перенесения огневой подготовки на так называемую высшую ступень овладения сложными формами огневой подготовки — на боевые стрельбы. По ряду причин отдельные подразделения не могли провести полностью боевых стрельб, но те, которые проводили, дали показатели несомненно более высокие, чем в прошлом году.</w:t>
      </w:r>
    </w:p>
    <w:p w14:paraId="2AAC75B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Таким образом, боевые стрельбы, как наиболее полноценный вид огневой подготовки, по результатам оказались выше, чем в прошлом году. Однако проведенные боевые стрельбы, хотя и с лучшим результатом, чем в прошлом году, все же надо рассматривать не исчерпывающими, ибо эти стрельбы проводились еще в большинстве в полигонных условиях на знакомой местности, в условиях, когда расстояния известны, когда ряд других моментов, сопровождающих стрельбу, начсоставу тоже известен. Это облегчало повышение результатов выполнения стрельб. Поэтому и задача — крепко освоить сложные, высшие формы огневого дела — осталась нерешенной. Она дала сдвиг в некоторых округах и частях, где боевые стрельбы начали выносить на незнакомую местность и в силу этого приближали боевую стрельбу к условиям действительности, но это только отдельные случаи, а в основном округа проводили боевые стрельбы в тех облегченных условиях, о которых я говорил.</w:t>
      </w:r>
    </w:p>
    <w:p w14:paraId="352DA73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Нет еще тесной увязки между тактической и огневой подготовкой. Управление огнем в условиях подвижного боя и взаимодействие разных видов огневых средств в роте, батальоне (артдивизионе, артгруппе) находятся не на должной высоте. Не усвоены полностью методы сопровождения артогнем танковых групп</w:t>
      </w:r>
      <w:r w:rsidRPr="00E14102">
        <w:rPr>
          <w:color w:val="000000" w:themeColor="text1"/>
          <w:sz w:val="16"/>
          <w:szCs w:val="16"/>
          <w:vertAlign w:val="superscript"/>
        </w:rPr>
        <w:t>5</w:t>
      </w:r>
      <w:r w:rsidRPr="00E14102">
        <w:rPr>
          <w:color w:val="000000" w:themeColor="text1"/>
          <w:sz w:val="16"/>
          <w:szCs w:val="16"/>
        </w:rPr>
        <w:t xml:space="preserve"> при ускоренной артподготовке. Огневая подготовка батальонной артиллерии слабая. Не отработана полностью ночная артиллерийская подготовка.</w:t>
      </w:r>
    </w:p>
    <w:p w14:paraId="3374640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Резюмируя в целом результат огневой подготовки, необходимо отметить, что индивидуальная отработка огня не выросла сравнительно с уровнем 1934 г. Боевые стрельбы показали количественный и качественный рост, но проводились на простейшей тактической основе. Тесной увязки между тактической и огневой подготовкой еще не достигнуто. Не отработано управление огнем во взводе, стрелковой роте, эскадроне, артдивизионе, артгруппе.</w:t>
      </w:r>
    </w:p>
    <w:p w14:paraId="132E879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1936 г. необходимо повысить одиночную огневую подготовку бойцов в различных боевых условиях. Важнейшим средством обучения в огневой подготовке считать боевые стрельбы подразделениями, которые проводить совместно с артиллерией, танками, химическими и инженерными средствами. Шире создавать условия для проведения боевых стрельб на незнакомых участках местности. Отработать теоретически и на практике управление огнем во всех видах боя, при различных условиях: зимой и летом, в условиях химнападения и пониженной видимости.</w:t>
      </w:r>
    </w:p>
    <w:p w14:paraId="7B134E11" w14:textId="77777777" w:rsidR="00970104" w:rsidRPr="00E14102" w:rsidRDefault="00970104" w:rsidP="00E14102">
      <w:pPr>
        <w:pStyle w:val="rtecenter"/>
        <w:spacing w:before="0" w:after="0"/>
        <w:jc w:val="both"/>
        <w:rPr>
          <w:color w:val="000000" w:themeColor="text1"/>
          <w:sz w:val="16"/>
          <w:szCs w:val="16"/>
        </w:rPr>
      </w:pPr>
      <w:r w:rsidRPr="00E14102">
        <w:rPr>
          <w:rStyle w:val="a3"/>
          <w:b w:val="0"/>
          <w:color w:val="000000" w:themeColor="text1"/>
          <w:sz w:val="16"/>
          <w:szCs w:val="16"/>
        </w:rPr>
        <w:t>По подготовке родов войск</w:t>
      </w:r>
    </w:p>
    <w:p w14:paraId="2EA6C93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Пехота</w:t>
      </w:r>
    </w:p>
    <w:p w14:paraId="4F81A07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тактической подготовке пехота достигла высоких показателей.</w:t>
      </w:r>
    </w:p>
    <w:p w14:paraId="3AF4CCA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всех учениях и маневрах пехота в целом показала хорошую маршевую втянутость, делала отличные броски к полю боя, показывала высокие темпы наступления, производила свободный, смелый маневр для охвата, обхода и окружения противника, умело действовала с перевернутым фронтом и в окружении.</w:t>
      </w:r>
    </w:p>
    <w:p w14:paraId="5C5B954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Оборонительный бой отработан хорошо. Умело организовывалась маскировка. Вполне удовлетворительно строились полевые оборонительные сооружения для пехоты, пулеметов и орудий.</w:t>
      </w:r>
    </w:p>
    <w:p w14:paraId="4079CB1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Повысилась мобильность на поле боя и в период встречных столкновений. Укрепилась связь и взаимодействие пехоты с артиллерией и танками.</w:t>
      </w:r>
    </w:p>
    <w:p w14:paraId="1B71CB9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Недостатки: не всегда удовлетворительно применение к местности боевых порядков. Во время наступления иногда отмечается слабая дисциплина боевых порядков, большое сгущение таковых и недостаточное взаимодействие стрелковых подразделений с пулеметными. Батальонные пушки часто отстают от пехоты.</w:t>
      </w:r>
    </w:p>
    <w:p w14:paraId="779D02B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Недостаточно отработана служба боевой разведки. Маскировка и лопата во время наступления нередко применяются слабо, особенно слабо маскируются командиры. Обученность ночным действиям еще далеко не достаточна.</w:t>
      </w:r>
    </w:p>
    <w:p w14:paraId="5D7E785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Конница</w:t>
      </w:r>
    </w:p>
    <w:p w14:paraId="57DC0C5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Главнейшая задача по приказам № 0101, 0102, 0019 и директиве № 16593с</w:t>
      </w:r>
      <w:hyperlink r:id="rId225" w:anchor="_ftn2" w:history="1">
        <w:r w:rsidRPr="00E14102">
          <w:rPr>
            <w:rStyle w:val="a4"/>
            <w:color w:val="000000" w:themeColor="text1"/>
            <w:sz w:val="16"/>
            <w:szCs w:val="16"/>
          </w:rPr>
          <w:t>[2]</w:t>
        </w:r>
      </w:hyperlink>
      <w:r w:rsidRPr="00E14102">
        <w:rPr>
          <w:color w:val="000000" w:themeColor="text1"/>
          <w:sz w:val="16"/>
          <w:szCs w:val="16"/>
        </w:rPr>
        <w:t xml:space="preserve"> в частях конницы в основном выполнена и налицо отмечается дальнейший рост во всех областях боевой подготовки и боеготовности конницы в целом.</w:t>
      </w:r>
    </w:p>
    <w:p w14:paraId="2FD2DBF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Налицо значительный сдвиг в области отработки гибкого, непрерывного управления и взаимодействия всех подразделений, частей и соединений конницы в сложных подвижных формах боя. Достигнута сработанность конницы со своими мехчастями. Техника маршей и маневров как днем, так и ночью имеет значительные достижения.</w:t>
      </w:r>
    </w:p>
    <w:p w14:paraId="474D9BE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Резко повысилась тактическая подготовка во всех звеньях начсостава и штабов. Значительные сдвиги в овладении методами и формами управления огнем, особенно в обеспечении огнем всех видов боя в конном строю. Заметно повысилось умение организовывать и доводить до конца в тесном взаимодействии с мехчастями и авиацией бой в конном строю.</w:t>
      </w:r>
    </w:p>
    <w:p w14:paraId="07639CF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Недочеты: боевая разведка, ее ведение, как в пешем, так и в особенности в конном строю, отработана недостаточно, равно как недостаточно конкретна постановка задач по разведке.</w:t>
      </w:r>
    </w:p>
    <w:p w14:paraId="138A006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Забывается охранение своих открытых флангов и тыла. Недостаточно отработаны приемы организации и техника переправ через водные преграды; неумение части командиров эскадронов использовать свои отделения управления как органы управления. Не ведется учет сил и втянутость конского состава при организации маршей.</w:t>
      </w:r>
    </w:p>
    <w:p w14:paraId="303E6A9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Артиллерия</w:t>
      </w:r>
    </w:p>
    <w:p w14:paraId="658C611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Индивидуальная стрелковая подготовка комсостава имеет заметный качественный рост. Повысились методические навыки. Налицо твердое знание стрельб и умение их применять на практике. Знание теории стрельбы хотя и повысилось, но недостаточно для обоснования правил стрельбы.</w:t>
      </w:r>
    </w:p>
    <w:p w14:paraId="5575DD0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Лучше подготовлены командиры батарей. Недостаточно усвоена стрельба хим. и дымснарядами.</w:t>
      </w:r>
    </w:p>
    <w:p w14:paraId="25ADA41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Значительные достижения в стрельбе по танкам с открытых позиций, особенно для ПА; с закрытых позиций стрельба по танкам практически отработана недостаточно. Управление огнем на топооснове усвоено хорошо. Без топоосновы управление слабее и требует доработки. Метод подготовки массированной артиллерии к управлению огнем без пристрелки, с применением пристрелочных орудий (на участке ск 4—6 пристрелочных орудий) дал хорошие результаты и себя вполне оправдал.</w:t>
      </w:r>
    </w:p>
    <w:p w14:paraId="117E0AC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Организация огневого сопровождения танковых групп при ускоренной подготовке не усвоена. Также полностью не отработана ночная артиллерийская подготовка с применением пристрелочных орудий. Дали рост штабы дивизионов и полков. Отстающими являются штабы начартдивов и начарткоров. Штабы артполков и высший начсостав артиллерии практически овладели методами планирования артогня по площади.</w:t>
      </w:r>
    </w:p>
    <w:p w14:paraId="2B708C7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Взаимодействие с пехотой и конницей улучшилось. Управление огнем дивизиона и группой, а также организация огневого вала требует к себе большего внимания. Артиллерийская авиация для совместной работы с артиллерией подготовлена слабо.</w:t>
      </w:r>
    </w:p>
    <w:p w14:paraId="17C9D46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Подготовка зенитной артиллерии имеет только начальные сдвиги. Нет культуры зенитного дела. Теория зенитной стрельбы разработана очень слабо</w:t>
      </w:r>
      <w:hyperlink r:id="rId226" w:anchor="bookmark27" w:history="1">
        <w:r w:rsidRPr="00E14102">
          <w:rPr>
            <w:rStyle w:val="a4"/>
            <w:color w:val="000000" w:themeColor="text1"/>
            <w:sz w:val="16"/>
            <w:szCs w:val="16"/>
            <w:vertAlign w:val="superscript"/>
          </w:rPr>
          <w:t>6</w:t>
        </w:r>
      </w:hyperlink>
      <w:r w:rsidRPr="00E14102">
        <w:rPr>
          <w:color w:val="000000" w:themeColor="text1"/>
          <w:sz w:val="16"/>
          <w:szCs w:val="16"/>
        </w:rPr>
        <w:t>.</w:t>
      </w:r>
    </w:p>
    <w:p w14:paraId="34E7249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Конностроевая подготовка находится не на должной высоте.</w:t>
      </w:r>
    </w:p>
    <w:p w14:paraId="2273FAF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Автобронетанковые войска</w:t>
      </w:r>
    </w:p>
    <w:p w14:paraId="566FB97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вопросах управления мехсоединений имеются несомненные достижения. Тактическая подготовка бронетанковых войск удовлетворительная, а в ряде округов хорошая. Уровень огневой подготовки в части индивидуальных стрельб вполне удовлетворительный, слабее боевые стрельбы подразделениями. Полевое вождение боевых машин отработано хорошо.</w:t>
      </w:r>
    </w:p>
    <w:p w14:paraId="172AB4A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Темпы боевого движения танков достигли норм, указанных приказом. В освоении техники автобронетанковые войска достигли хороших результатов, что показывает малая аварийность на маневрах КВО</w:t>
      </w:r>
      <w:hyperlink r:id="rId227" w:anchor="_ftn3" w:history="1">
        <w:r w:rsidRPr="00E14102">
          <w:rPr>
            <w:rStyle w:val="a4"/>
            <w:color w:val="000000" w:themeColor="text1"/>
            <w:sz w:val="16"/>
            <w:szCs w:val="16"/>
          </w:rPr>
          <w:t>[3]</w:t>
        </w:r>
      </w:hyperlink>
      <w:r w:rsidRPr="00E14102">
        <w:rPr>
          <w:color w:val="000000" w:themeColor="text1"/>
          <w:sz w:val="16"/>
          <w:szCs w:val="16"/>
        </w:rPr>
        <w:t>. Однако аварийность для всей РККА все же еще продолжает оставаться на высоком уровне. Этим вопросам снижения и ликвидации аварийности необходимо в 1936 г. уделить особое внимание.</w:t>
      </w:r>
    </w:p>
    <w:p w14:paraId="5C60CA1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Достигнуто хорошее взаимодействие танков с остальными родами войск в общевойсковом бою, особенно мехчастей в кавдивизиях и танковых батальонов в стрелковых дивизиях.</w:t>
      </w:r>
    </w:p>
    <w:p w14:paraId="0835143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Личный состав овладел оружием, состоящим на вооружении частей. Физическая и строевая подготовка вполне удовлетворительная. Получена достаточно большая практика в ночных действиях, однако эти вопросы требуют еще доработки. Проведены с положительными результатами опытные работы по ночной стрельбе, бой танков с танками и пробег различных систем машин на длительное расстояние в условиях зимы и лета (ЛВО).</w:t>
      </w:r>
    </w:p>
    <w:p w14:paraId="77556F9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Наряду с указанными достижениями необходимо отметить следующие недочеты.</w:t>
      </w:r>
    </w:p>
    <w:p w14:paraId="23A736D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Управление войсками все еще недостаточно мобильно и четко, особенно на ходу.</w:t>
      </w:r>
    </w:p>
    <w:p w14:paraId="60EEE20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Отсутствует непрерывная и своевременная боевая разведка. Нередко забывается необходимость организации службы обеспечения движения и разведки маршрутов.</w:t>
      </w:r>
    </w:p>
    <w:p w14:paraId="47628BF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Практическое применение средств радиосвязи в динамике боя в ряде случаев неустойчивое. Служба делегатов связи отработана слабо.</w:t>
      </w:r>
    </w:p>
    <w:p w14:paraId="2AA0B05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Управление тылом, особенно в процессе боя, не налажено.</w:t>
      </w:r>
    </w:p>
    <w:p w14:paraId="7199CE1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Примитивно отработаны вопросы взаимодействия и применения химических средств.</w:t>
      </w:r>
    </w:p>
    <w:p w14:paraId="3485774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Нет достаточных навыков в методике огневого дела.</w:t>
      </w:r>
    </w:p>
    <w:p w14:paraId="7F3D5D3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Слабо отработана тактика в применении артиллерийских танков</w:t>
      </w:r>
      <w:r w:rsidRPr="00E14102">
        <w:rPr>
          <w:color w:val="000000" w:themeColor="text1"/>
          <w:sz w:val="16"/>
          <w:szCs w:val="16"/>
          <w:vertAlign w:val="superscript"/>
        </w:rPr>
        <w:t>7</w:t>
      </w:r>
      <w:r w:rsidRPr="00E14102">
        <w:rPr>
          <w:color w:val="000000" w:themeColor="text1"/>
          <w:sz w:val="16"/>
          <w:szCs w:val="16"/>
        </w:rPr>
        <w:t>.</w:t>
      </w:r>
    </w:p>
    <w:p w14:paraId="702E0E4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Боевая стрельба, как правило, проводится в полигонных условиях на знакомой местности и не проводится боевых стрельб с подразделениями других родов войск.</w:t>
      </w:r>
    </w:p>
    <w:p w14:paraId="31E77B9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Наблюдение за полем боя, отыскание и оценка целей отработаны слабо.</w:t>
      </w:r>
    </w:p>
    <w:p w14:paraId="187DEF3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Полевая служба парков и боевая эксплуатация совершенно не освоены.</w:t>
      </w:r>
    </w:p>
    <w:p w14:paraId="324E8E6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области химической подготовки части автобронетанковых войск остались на прежнем слабом уровне.</w:t>
      </w:r>
    </w:p>
    <w:p w14:paraId="0ABB0B6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Основные задачи будущего учебного года для автобронетанковых войск:</w:t>
      </w:r>
    </w:p>
    <w:p w14:paraId="44B1F29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отработка вопросов управления и служба тыла,</w:t>
      </w:r>
    </w:p>
    <w:p w14:paraId="79B397B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освоение огневого дела в сложных условиях,</w:t>
      </w:r>
    </w:p>
    <w:p w14:paraId="79CF342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постановка на должную высоту парковой службы эксплуатации и службы восстановления.</w:t>
      </w:r>
    </w:p>
    <w:p w14:paraId="1D1151E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Инженерные части</w:t>
      </w:r>
    </w:p>
    <w:p w14:paraId="3C80D82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Инженерные части успешно осваивали новую технику дорожного, подрывного и переправочного дела. В своей специальной подготовке Инж. войска заметно выросли до уровня других родов войск. Инженерными частями освоен новый вид полевых фортификационных сооружений (СОТ).</w:t>
      </w:r>
    </w:p>
    <w:p w14:paraId="35F0141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 отчетный год проведен ряд учений по форсированию широких и с быстрым течением рек, что дало инженерным частям практику совместной работы с войсками. Не выполнены задачи, относящиеся к инженерному обеспечению подвижных форм боя, а также техника маскировки полевых и долговременных оборонительных сооружений от фоторазведки авиации. Не отработана организация форсирования водных преград. Практическая постройка тяжелых деревоземляных и подземных убежищ недостаточно отработана.</w:t>
      </w:r>
    </w:p>
    <w:p w14:paraId="563FE01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Стрелковая подготовка инженерных частей отстает от других родов войск.</w:t>
      </w:r>
    </w:p>
    <w:p w14:paraId="6B83D5F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саперных ротах сд не доработан вопрос постройки дорог машинным способом. В инженерной подготовке всех сухопутных родов войск достигнуты положительные результаты в отношении простейших элементов полевой фортификации.</w:t>
      </w:r>
    </w:p>
    <w:p w14:paraId="3BB49D9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Инженерная подготовка начсостава, а также основных родов войск остается недостаточной, особенно в отношении организации форсирования водных преград, планирования и организации оборонительных работ.</w:t>
      </w:r>
    </w:p>
    <w:p w14:paraId="1B0E14C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ряде округов не отработан вопрос устройства заграждений и их преодоление.</w:t>
      </w:r>
    </w:p>
    <w:p w14:paraId="0640D4B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Войска связи</w:t>
      </w:r>
    </w:p>
    <w:p w14:paraId="002E2F7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Все учения, выходы в поле и маневры обеспечивались привлечением всех средств связи. В результате Войска связи значительно подняли свою подготовку.</w:t>
      </w:r>
    </w:p>
    <w:p w14:paraId="06DF31F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Радиосвязь становится основным видом связи в подвижных формах боя, особенно для конницы, мотомех и авиации. В большинстве случаев штабы применяли средства связи грамотно не только в тактическом отношении, но и в техническом отношении. Начальники узлов связи и направлений связи подготовлены вполне удовлетворительно.</w:t>
      </w:r>
    </w:p>
    <w:p w14:paraId="3B8D56E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Недочеты.</w:t>
      </w:r>
    </w:p>
    <w:p w14:paraId="384BD9A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 достигнута еще четкая связь по радио в авиации.</w:t>
      </w:r>
    </w:p>
    <w:p w14:paraId="50E92B3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Огневая подготовка частей связи едва удовлетворительна. В ряде частей неудовлетворительна.</w:t>
      </w:r>
    </w:p>
    <w:p w14:paraId="1C2ABCA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Тактическая подготовка начсостава частей связи еще не достигла требуемого уровня.</w:t>
      </w:r>
    </w:p>
    <w:p w14:paraId="2E9377C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Постановка задач органам связи нередко опаздывает, особенно в процессе боя.</w:t>
      </w:r>
    </w:p>
    <w:p w14:paraId="6A6700D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Радиосигнализация применяется слабо, отдается предпочтение многословным телеграммам и радиограммам.</w:t>
      </w:r>
    </w:p>
    <w:p w14:paraId="0C97C8A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Организация связи для обеспечения управления крупными массами авиации, поднимаемой в воздух одновременно с разных аэродромов, и управление ими в воздухе не имеет отработанных установок и методов.</w:t>
      </w:r>
    </w:p>
    <w:p w14:paraId="35FA011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Также не отработан вопрос организации связи в подвижных армейских группах.</w:t>
      </w:r>
    </w:p>
    <w:p w14:paraId="5307C4D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Все еще имеет место искажение при передаче боевых распоряжений.</w:t>
      </w:r>
    </w:p>
    <w:p w14:paraId="6C163F0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Основная задача Войск связи — обеспечить в полной мере безотказность и непрерывность управления всех родов войск и всеми средствами связи в общевойсковом бою и операции в самых сложных условиях современной боевой обстановки.</w:t>
      </w:r>
    </w:p>
    <w:p w14:paraId="2C7C8C6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Топографическая служба</w:t>
      </w:r>
    </w:p>
    <w:p w14:paraId="4122AF9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армии мы имеем только начальные достижения. Этим вопросам уделялось недостаточное внимание. Необходимо шире внедрять в наши штабы, военные академии, авиацию, артиллерию и топографические части вопросы аэротопографии и фотограмметрии как для целей топографического освещения местности, так и боевого применения топографической службы.</w:t>
      </w:r>
    </w:p>
    <w:p w14:paraId="6AB831B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Морские силы РККА</w:t>
      </w:r>
    </w:p>
    <w:p w14:paraId="37571F5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Оперативная подготовка в Морских силах РККА проводилась в условиях вступления в строй большого количества новых боевых единиц и усиленной подготовки кадров вновь формируемых частей и соединений. Основные кадры начальствующего состава получили дальнейшее совершенствование в практических навыках командования и управления соединениями в несложной обстановке. Оперативная подготовка высшего начсостава и штабов флотов, флотилий в текущем году выполнялась на основе системы, преподанной Генеральным штабом РККА, что в результате дало более углубленную проработку поставленных задач.</w:t>
      </w:r>
    </w:p>
    <w:p w14:paraId="245AA78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Однако наряду с этими достижениями мы имеем значительное количество недочетов.</w:t>
      </w:r>
    </w:p>
    <w:p w14:paraId="44DA764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Работа штабов и боевое управление в целом является еще слабым звеном в подготовке флотов и флотилий. В отработке гибкого, непрерывного, боевого управления в напряженной, быстро меняющейся обстановке на Морских силах РККА сделаны только первые шаги. Наряду с удовлетворительным освоением связистами техники связи, обеспечивающим передачу приказаний и донесений, оперативно-тактическое использование связи, особенно штабами, неудовлетворительное. Вследствие отсутствия надлежащего контроля еще имеются случаи недохождения боевых приказов до исполнения и по причинам неумелого использования чрезмерного перенапряжения радиосвязи.</w:t>
      </w:r>
    </w:p>
    <w:p w14:paraId="0BF797F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Подготовку по вопросам боевого управления в 1936 г. необходимо проводить в усложненных условиях и с предъявлением более высоких требований к органам управления, поставив вопрос о резком сокращении радиообмена и полной скрытности проведения операции, Необходимо под непосредственным руководством командующих усилить подготовку штабов на специальных штабных играх со средствами связи, предваряя ими, как правило, каждое большое отрядное учение или учебную операцию.</w:t>
      </w:r>
    </w:p>
    <w:p w14:paraId="348ED93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Разведка на Морских силах имеет аналогичные недостатки с разведывательной подготовкой Сухопутных войск. Недоучитывается необходимость непрерывности в оперативной разведке. Разведка на море выполняется без достаточно четкого взаимодействия всех средств разведки — например, разведка авиации не всегда дополняет сведения, полученные от подлодок и радиопеленгаторных станций. Недостаточно используются, несмотря на полученные достижения в текущем году, береговые радио-технические средства. Морская авиация при разведывательных действиях на море допускает ошибки в определении класса кораблей. Слабо отработана разведка баз в условиях ПВО.</w:t>
      </w:r>
    </w:p>
    <w:p w14:paraId="672F188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Недостатки разведывательной подготовки так же, как и в Сухопутных войсках, объясняются отчасти распыленностью руководства между штабом флота и разведывательным отделом, а также недостаточным вниманием к вопросам разведки со стороны командования.</w:t>
      </w:r>
    </w:p>
    <w:p w14:paraId="14CD945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1936 г. необходимо усилить проведение специальных учений для отработки взаимодействия всех средств разведки и организации непрерывного наблюдения за противником в условиях его противодействия.</w:t>
      </w:r>
    </w:p>
    <w:p w14:paraId="2DC0B38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Выполнение сосредоточенных ударов на всю глубину боевого порядка противника, проводившееся на ряде учений флотов, не может быть признано удовлетворяющим боевым требованиям. Взаимодействие с подлодками отработано только на Тихоокеанском флоте. Взаимодействие авиации, торпедных катеров и эсминцев носит еще элементарный характер.</w:t>
      </w:r>
    </w:p>
    <w:p w14:paraId="54B35D4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При нанесении СУ недостаточно учитывалась глубина боевого порядка противника (разведка, дозор, охранение), а между тем преодоление системы обороны с последующим одновременным ударом в глубину по главному объекту противника и составляет существо сосредоточенного удара. Часто упускаются благоприятные условия для нанесения мощных, последовательных, частных ударов во имя нанесения во что бы то ни стало одновременного удара всеми силами, что не всегда, особенно при инициативных действиях противника, будет доступно и целесообразно в действительной боевой обстановке. Организация сосредоточенного удара с нанесением поражения на всю глубину боевого порядка противника должна остаться основной задачей подготовки флотов и флотилий на 1936 г.</w:t>
      </w:r>
    </w:p>
    <w:p w14:paraId="000DC7C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Боевая подготовка подводных лодок характеризуется неравномерностью: при больших успехах, достигнутых на Тихоокеанском флоте, отмечается существенное отставание подлодок Краснознаменного Балтфлота и особенно Черноморского флота</w:t>
      </w:r>
      <w:r w:rsidRPr="00E14102">
        <w:rPr>
          <w:color w:val="000000" w:themeColor="text1"/>
          <w:sz w:val="16"/>
          <w:szCs w:val="16"/>
          <w:vertAlign w:val="superscript"/>
        </w:rPr>
        <w:t>8</w:t>
      </w:r>
      <w:r w:rsidRPr="00E14102">
        <w:rPr>
          <w:color w:val="000000" w:themeColor="text1"/>
          <w:sz w:val="16"/>
          <w:szCs w:val="16"/>
        </w:rPr>
        <w:t>. Подводные лодки Тихоокеанского флота подготовлены к атакам охраняемых кораблей противника и отработаны на полную автономность. Крупным недостатком в боевой подготовке подлодок всех флотов является совершенно не достаточная практика в борьбе с противолодочными средствами. Наряду с дальнейшим совершенствованием группового использования на Тихоокеанском флоте подготовка подводных лодок в 1936 г. нуждается для всех флотов в большом упоре на отработку одиночных действий, с тренировкой на дальних длительных походах и конкретным обучением способам борьбы с противолодочными средствами.</w:t>
      </w:r>
    </w:p>
    <w:p w14:paraId="2BB6017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Боевые действия авиации в больших соединениях на море, как в самостоятельных операциях, так и во взаимодействии с флотом, еще не отработаны и остаются одной из главных задач на 1936 г.</w:t>
      </w:r>
    </w:p>
    <w:p w14:paraId="0063532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Наряду с несомненными успехами в подготовке авиации к боевым действиям в условиях сложного, дневного и частично ночного боя на Тихоокеанском флоте, вопросы боевых действий ночью остаются слабым местом в подготовке морской авиации в целом. Авиация имеет недостаточную тренировку в боевых действиях при плохих метеорологических условиях из-за облаков, а также в высотных длительных полетах на максимальный радиус действия. Необходимо добиться в 1936 г. четкой отработки вопросов управления и материального обеспечения при действии авиации с оперативных аэродромов.</w:t>
      </w:r>
    </w:p>
    <w:p w14:paraId="7D7AD31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Изучение театра военных действий и противника на флотах производились в 1935 г. с недостаточной глубиной и целеустремленностью. Недостаточно изучены театры с точки зрения возможности базирования противника и особенно его воздушных сил. Изучение противника ведется в основном по линии изучения его корабельного состава, не изучена тактика и оперативное искусство соединений флота вероятных противников.</w:t>
      </w:r>
    </w:p>
    <w:p w14:paraId="6C0203B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1936 г. изучение тактики и оперативного искусства должно явиться главным объектом при изучении противника.</w:t>
      </w:r>
    </w:p>
    <w:p w14:paraId="24552ED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Основные вопросы, на которые необходимо обратить внимание в 1936 г.</w:t>
      </w:r>
    </w:p>
    <w:p w14:paraId="72F3B4B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Подготовку органов управления необходимо проводить неослаб-ляемыми темпами. Эта задача, оставаясь недоработанной, должна в 1936 г. являться центральной задачей подготовки РККА.</w:t>
      </w:r>
    </w:p>
    <w:p w14:paraId="0A68C7E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Имеющиеся достижения в вопросах управления надо закрепить и перейти к более высоким требованиям. Современное состояние технических средств связи полностью может обеспечить непрерывное управление в различных видах боя и операции при условии умелого их использования. Вместе с этим надо поставить задачу о скорейшем производстве и внедрении в армию телевизионных аппаратов (передача печатного текста и изображений на расстоянии).</w:t>
      </w:r>
    </w:p>
    <w:p w14:paraId="70CA4A8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технике управления в 1936 г. необходимо сделать больший упор на применение кратких форм распоряжений (передача целых распоряжений, донесений при помощи одного-двух условных знаков), что в значительной степени ускорит весь процесс передачи распоряжений и донесений, а также обеспечит скрытность управления. Наряду с использованием проволочных средств связи шире практиковать использование подвижных средств связи (радио, самолеты, автосредства, делегаты, сигнализация всех видов). В целях заблаговременного освоения воздушных линий связи целесообразно теперь же организовать регулярную воздушную связь от центра к округам, от округов к корпусам и между округами.</w:t>
      </w:r>
    </w:p>
    <w:p w14:paraId="1B99F3D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При подготовке органов управления и войск уделить больше внимания работе в сложных условиях операции: управление в процессе непрерывно развивающейся операции; организация управления при резко изменившейся обстановке; организация управления при непредвиденном отходе, при опасности флангового удара. Овладеть практическим умением организовать во времени и пространстве удар стрелковых, механизированных, кавалерийских и авиационных соединений в сложных маневренных условиях глубокой операции и боя, проводимых с решительной целью окружения и уничтожения противника. Чаще практиковать обучение органов управления в условиях непрерывной работы в течение многих суток.</w:t>
      </w:r>
    </w:p>
    <w:p w14:paraId="7C2B333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текущем году в округах был проведен сбор шести армейских управлений и управлений одной конной армии совместно с приписным составом запаса длительностью в 25—45 дней. Начсостав запаса в своем подавляющем большинстве подготовлен еще неудовлетворительно и требует большой работы по его переподготовке. Если учесть, что начсостав запаса составляет в среднем до 50% общего состава армейского управления, то низкая его подготовка в значительной степени отрицательно сказывается и на подготовке армейского аппарата в целом. Проведенные сборы армейских управлений улучшили их уровень боевой подготовки. Однако необходимо еще много работать, чтобы армейские управления в целом отвечали требованиям современной операции.</w:t>
      </w:r>
    </w:p>
    <w:p w14:paraId="2059088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Разведка</w:t>
      </w:r>
    </w:p>
    <w:p w14:paraId="12A999A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До настоящего времени по вопросам разведки у нас имеется больше всего недочетов. Нет умения организовать непрерывную разведку всех видов (войсковую, штабную, авиационную), разведка ведется от случая к случаю, не целеустремленно.</w:t>
      </w:r>
    </w:p>
    <w:p w14:paraId="0F77AD3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 многих командиров штабов нет стремления выяснить соотношение сил и характер действий противника на фронте соединения. Слабо используются в этом отношении и штабы соседей. Нет непрерывного наблюдения за важнейшими направлениями и узлами дорог, особенно на флангах. Не отработаны навыки в определении глубины разведки на разных этапах операции, слабо учитывается подвижность и дальнобойность современных мотомехчастей в сочетании с необходимостью обеспечить их боевую работу боеприпасами и особенно горючим. Нет навыков в организации боевой разведки авиации.</w:t>
      </w:r>
    </w:p>
    <w:p w14:paraId="7D3D479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Культуры разведывательной службы в армии еще нет. По разведслужбе необходимо разработать подробные указания о разведке как оперативной, так и тактической.</w:t>
      </w:r>
    </w:p>
    <w:p w14:paraId="32F0243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1936 г. по разведке необходимо провести ряд учений на темы: организация штабной оперативной разведки во встречной армейской операции;</w:t>
      </w:r>
    </w:p>
    <w:p w14:paraId="41A9A92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организация фронтовой и армейской авиационной разведки; воздушная разведка боем с фотографированием.</w:t>
      </w:r>
    </w:p>
    <w:p w14:paraId="24CACA8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Химическая и инженерная подготовка</w:t>
      </w:r>
    </w:p>
    <w:p w14:paraId="12C79D7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Вопросам использования химических средств борьбы в бою и операции не уделялось того внимания, какого они заслуживают по своему особо важному значению. Химическое оружие использовалось без детальной и углубленной проработки всех вопросов, связанных с применением этого оружия. Необходимо химической подготовке войск и органов управления как в бою, так и в операции уделить самое серьезное внимание, с широким использованием химических средств борьбы на всех войсковых учениях и при проведении оперативных игр, полевых поездок и маневров.</w:t>
      </w:r>
    </w:p>
    <w:p w14:paraId="0EEFC51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Основные вопросы инженерного обеспечения операций: служба заграждений, организация переправ, маскировка и инженерное обеспечение маршей на оперативных играх и полевых поездках — не находили должной проработки. Слабо учитывается значение этих важнейших вопросов в операции. Необходимо решительно требовать и добиваться, чтобы вопросы инженерного обеспечения каждой операции прорабатывались с исчерпывающей полнотой. Каждая задача и вытекающие из нее действия войск должны обязательно подкрепляться необходимыми и точными расчетами и соображениями по инженерному обеспечению.</w:t>
      </w:r>
    </w:p>
    <w:p w14:paraId="1F685F9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Вопросы противовоздушной обороны</w:t>
      </w:r>
    </w:p>
    <w:p w14:paraId="0228F19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Несмотря на громадное развитие воздушных и химических средств борьбы во всех армиях, ни штабы, ни войска не проявили должного внимания к вопросам ПВО. Войска и служба противовоздушной обороны в своей подготовке отстали от других родов войск.</w:t>
      </w:r>
    </w:p>
    <w:p w14:paraId="77C8E26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Вопросы ПВО необходимо поставить как одну из важнейших задач подготовки. Основное направление противовоздушной обороны должно быть взято на:</w:t>
      </w:r>
    </w:p>
    <w:p w14:paraId="70A189B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ПВО прифронтовой полосы и армейского и войскового тыла во взаимодействии с ПВО крупных пунктов;</w:t>
      </w:r>
    </w:p>
    <w:p w14:paraId="002E1B2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организацию ПВО в реальной форме всеми штабами во всех видах боевой деятельности войск. Особая забота по ПВО должна быть проявлена командирами и штабами всех степеней для зашиты войск на марше и в период сосредоточения к подготовке их для наступления;</w:t>
      </w:r>
    </w:p>
    <w:p w14:paraId="03D4C55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изыскание лучших способов защиты от воздушных нападений имеющимися средствами ПВО в войсках и в пунктах; полную отработку всех вопросов ПВО во всех оперативных играх и полевых поездках.</w:t>
      </w:r>
    </w:p>
    <w:p w14:paraId="14A3857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Подготовка тыла</w:t>
      </w:r>
    </w:p>
    <w:p w14:paraId="60439C1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Тыловые маневры (учения), проведенные в МВО, дали начальствующему составу возможность реально видеть организацию работы современного тыла. На учениях были развернуты реальные станции снабжения, грунтовый участок и был организован реальный подвоз как по железной дороге, так и по грунту.</w:t>
      </w:r>
    </w:p>
    <w:p w14:paraId="1CC866C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Из этих маневров и ряда других полевых поездок можно сделать следующие выводы.</w:t>
      </w:r>
    </w:p>
    <w:p w14:paraId="4F1AB90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Подготовка кадров армейских тыловых органов (ВОСО, склады, санитарная служба) идет недостаточными темпами. Личный состав запаса, приписанный к этим органам, подготавливается очень слабо и нерегулярно.</w:t>
      </w:r>
    </w:p>
    <w:p w14:paraId="4F3A17B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Учения в МВО показали чрезвычайную загруженность подвоза на грунтовом участке. Опыт показал, что при существующих нормах на каждый стрелковый корпус при нормальном расстоянии (40— 50 км) требовалось до 2 автобатальонов. Норма подвоза очень тяжелая. Встает вопрос о необходимости пересмотра норм расхода огнеприпасов. Так как эта проверка может быть произведена лишь на специальных учениях и занятиях, то в план 1936 г. следует внести исследование этого вопроса в основных видах боя, после чего и сделать окончательные предложения.</w:t>
      </w:r>
    </w:p>
    <w:p w14:paraId="02AD9CB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Оборона тыла является слабым местом. Мы еще не научились оборудовать и оборонять в тылу противотанковые районы, использовать населенные пункты и лесные районы для борьбы с противником. Транспорта двигаются сплошной лентой и без охранения. Тыловые части слабо подготовлены для отражения противника и на случай его внезапного появления. Требуется составление краткой инструкции по обороне тыла. Эти вопросы требуют самого близкого внимания наших центральных довольствующих управлений.</w:t>
      </w:r>
    </w:p>
    <w:p w14:paraId="5961869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Вопросы маркировки, укупорки, укладки и обращения с различными видами грузов нами еще далеко не разрешены. В нашем усиленном ск количество артиллерийских систем иногда может доходить до 10—12, с 2—3 марками снарядов на каждую систему. Механизированная бригада требует для обеспечения ее горючим до 3 сортов горючего и смазочных.</w:t>
      </w:r>
    </w:p>
    <w:p w14:paraId="0D747F7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При таком положении создаются большие трудности в организации снабжения этих частей. Требуется умение и большое время на составление заявок по маркам, калибрам, сортам, на передачу этих заявок и на организацию подвоза частям.</w:t>
      </w:r>
    </w:p>
    <w:p w14:paraId="4949A17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Необходимо в 1936 г. дать возможность начальствующему составу, в первую очередь приграничных округов, реально увидеть и изучить всю сложность и громоздкость современного тыла, отработать навыки по управлению и обороне тыла, для чего в этих округах провести по одному учению с полными дивизионными тылами, с реальной работой одного фунтового участка военной дороги, работой станции снабжения и головных складов.</w:t>
      </w:r>
    </w:p>
    <w:p w14:paraId="28C4FBE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Авиадесанты</w:t>
      </w:r>
    </w:p>
    <w:p w14:paraId="2801597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течение 1935 г. в ЛВО, БВО, КВО и ОКДВА реально выбрасывались крупные авиационные десанты. Это показывает, что мы из области полигонных опытов перешли к практическому осуществлению этого дела в крупных масштабах. При оперативном использовании десантов, а это их основное и главное назначение, необходимо иметь и соответствующую этим задачам организацию.</w:t>
      </w:r>
    </w:p>
    <w:p w14:paraId="56D1DDB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Показатели выброски десанта (за 1 ч. 50 мин.): 1183 парашютиста и 1765 посадочных бойцов с 29 станковыми пулеметами, 1 — Т-37, 2 бронемашинами, 4 пикапами и 10 орудиями (данные КВО)</w:t>
      </w:r>
      <w:hyperlink r:id="rId228" w:anchor="_ftn4" w:history="1">
        <w:r w:rsidRPr="00E14102">
          <w:rPr>
            <w:rStyle w:val="a4"/>
            <w:color w:val="000000" w:themeColor="text1"/>
            <w:sz w:val="16"/>
            <w:szCs w:val="16"/>
          </w:rPr>
          <w:t>[4]</w:t>
        </w:r>
      </w:hyperlink>
      <w:r w:rsidRPr="00E14102">
        <w:rPr>
          <w:color w:val="000000" w:themeColor="text1"/>
          <w:sz w:val="16"/>
          <w:szCs w:val="16"/>
        </w:rPr>
        <w:t>, открывают большие перспективы перед командармом или комфрон-том при проведении операции.</w:t>
      </w:r>
    </w:p>
    <w:p w14:paraId="4C333A6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Развитие авиадесантного дела в 1936 г. необходимо проводить в широком масштабе, чтобы обеспечить надлежащий рост этого нарождающегося нового рода войск. Детально отработать на всех занятиях тактику и технику действий АДО. Требуется учесть опыт авиадесантной работы 1935 г. и издать для армии необходимое пособие.</w:t>
      </w:r>
    </w:p>
    <w:p w14:paraId="645540F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Подготовка авиации</w:t>
      </w:r>
    </w:p>
    <w:p w14:paraId="35AAF82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Оперативная подготовка армейской и главным образом фронтовой авиации и авиации Главного командования находится на начальном этапе своего развития. Мы не освоили всех вопросов детальной отработки массирования авиации на главных направлениях с целью создания оперативного и тактического превосходства в воздухе, что должно составлять важнейшую задачу подготовки на 1936 г.</w:t>
      </w:r>
    </w:p>
    <w:p w14:paraId="7AFE227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Вместе с тем необходимо добиться отличного усвоения вопросов управления и материального обеспечения при действии авиации с различных аэродромных узлов. Вопросы массового воздушного боя не изучены, и этому виду боя должно быть уделено особое внимание в 1936 г. как одному из важнейших вопросов боевой подготовки авиации. В основу оперативной подготовки высшего начсостава и штабов авиасоединений необходимо положить действия авиации в начальный период войны и взаимодействие ее с основной армейской группировкой с проработкой вопросов управления, тыла и разведки.</w:t>
      </w:r>
    </w:p>
    <w:p w14:paraId="027D219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Взаимодействие</w:t>
      </w:r>
    </w:p>
    <w:p w14:paraId="157DBF1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Вопросы организации взаимодействия в операции на протяжении последних лет являлись основными во всей системе оперативной подготовки.</w:t>
      </w:r>
    </w:p>
    <w:p w14:paraId="1417F80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результате этого в большинстве звеньев армейского аппарата достигнуто правильное понимание важности постоянного взаимодействия всех сил, принимающих участие в операции, и в основном научились его осуществлять. Однако практические навыки по организации этого взаимодействия не везде полностью и крепко освоены. В дальнейшем этому вопросу необходимо уделять первостепенное значение. Надо добиваться практического умения организовать во времени и пространстве необходимое взаимодействие стрелковых, механизированных и авиационных соединений при решении поставленных задач в различных условиях операции.</w:t>
      </w:r>
    </w:p>
    <w:p w14:paraId="7691D60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Планирование операции и резервы</w:t>
      </w:r>
    </w:p>
    <w:p w14:paraId="53CD26C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еще не умеем хорошо рассчитывать и спланировать операцию на всю ее глубину, с точным учетом времени, пространства и необходимых для этой цели средств. Вопросам планирования операции, материальному и боевому обеспечению операции и взаимодействию всех родов войск и служб по-прежнему необходимо уделять большое внимание.</w:t>
      </w:r>
    </w:p>
    <w:p w14:paraId="0054B45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Оперативное предвидение хода развития операции на основе точного анализа всей обстановки находится не на должной высоте. В большинстве случаев части и тыл живут суточной задачей, без дальнейших перспектив действий. Получается так, что будто операция кончается в течение 1-2 дней. В действительности же операция, как правило, будет многодневной, потребуется огромное напряжение всех сил и средств, обстановка может резко меняться (появление новых сил противника) и потребует новых сил и средств. Отсутствие длительной перспективы в операции вызывает частое изменение задач, приводит к несвоевременному нацеливанию войск и средств на важных направлениях.</w:t>
      </w:r>
    </w:p>
    <w:p w14:paraId="4C96917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решительные моменты боя и операции необходимо сосредоточивать максимум сил и средств на решающем направлении, но после проведения этого боя немедленно же надо создавать резервы и вторые эшелоны за счет необходимой перегруппировки частей и средств.</w:t>
      </w:r>
    </w:p>
    <w:p w14:paraId="47568C3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Учет сил и средств</w:t>
      </w:r>
    </w:p>
    <w:p w14:paraId="5E4E255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Потери в современном бою и операции людского состава и в технике не поддаются точному учету, но, вероятно, будут большие, что потребует от штабов и начальников всех степеней точного учета всех сил и средств и распределение этих сил по этапам операции. Требуется постоянно учитывать физические и технические возможности людей и технических средств.</w:t>
      </w:r>
    </w:p>
    <w:p w14:paraId="76FB9B7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 многих случаях эти вопросы прорабатываются слабо, опускаются. Люди и технические средства используются без учета их возможностей, что иногда приводит к преждевременному изматыванию их до начала решительного боя — операции.</w:t>
      </w:r>
    </w:p>
    <w:p w14:paraId="2D88707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Изучение театра военных действий и противника</w:t>
      </w:r>
    </w:p>
    <w:p w14:paraId="665024E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Изучение театров военных действий и противника хотя проводилось и целеустремленно, но мы имеем в этой области только начальные достижения. Необходимо продолжать и в 1936 г. эту важную задачу подготовки, сделав упор на изучение оперативного искусства противника.</w:t>
      </w:r>
    </w:p>
    <w:p w14:paraId="2BA3B1C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Заявление начальника Генерального штаба германской армии, что основные законы стратегии остаются неизменными для германской армии, обязывают нас (особенно западные округа) подойти серьезно к изучению действий германской армии в период мировой войны как на западном, так и особенно на восточном фронте, с полным учетом современных взглядов германской армии на оперативное использование войск.</w:t>
      </w:r>
    </w:p>
    <w:p w14:paraId="41E87B5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Органы военных сообщений</w:t>
      </w:r>
    </w:p>
    <w:p w14:paraId="0ED13E4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подготовке органов военных сообщений мы в текущем году на специальных сборах и учениях в округах с командным составом БОСО отработали:</w:t>
      </w:r>
    </w:p>
    <w:p w14:paraId="0C4E288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организацию и управление массовыми воинскими перевозками и военно-диспетчерскую службу на путях сообщения;</w:t>
      </w:r>
    </w:p>
    <w:p w14:paraId="2D7629A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устройство и службу военной дороги — в основном лишь теоретически.</w:t>
      </w:r>
    </w:p>
    <w:p w14:paraId="292988C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Теоретическая подготовка командного состава линейных органов военных сообщений за истекший год выросла, но все же органы военных сообщений в практическом отношении не полностью подготовлены к работе на военных дорогах в сложных боевых условиях современной операции. Одними из причин этого являются отсутствие в системе РККА мирного времени сколоченных кадров военных дорог и широкой практической подготовки. Крайне недостаточно подготовлен комсостав запаса в связи с отсутствием необходимой стабильности в его приписке к органам БОСО на военное время.</w:t>
      </w:r>
    </w:p>
    <w:p w14:paraId="3970CCE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Основными недочетами в подготовке органов военных сообщений являются:</w:t>
      </w:r>
    </w:p>
    <w:p w14:paraId="3770890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нет достаточной натренированности и слаженности всех звеньев военной дороги в работе в сложных условиях маневренной обстановки;</w:t>
      </w:r>
    </w:p>
    <w:p w14:paraId="7345178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отсутствие навыков в организации обороны путей подвоза от проникающих в тыл подвижных отрядов и десантов противника;</w:t>
      </w:r>
    </w:p>
    <w:p w14:paraId="3CA53F6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нет навыков в организации, обеспечении и управлении автомобильными оперативными перевозками. Штабы общевойсковых соединений и войсковые части к этим видам перевозок не подготовляются.</w:t>
      </w:r>
    </w:p>
    <w:p w14:paraId="2A7F5C9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Нет достаточной натренированности в управлении массовыми воинскими жел.-дор. перевозками в условиях быстро меняющейся обстановки и воздушных нападений противника. На снижение эффективности боевой войсковой подготовки в значительной степени повлияли следующие условия.</w:t>
      </w:r>
    </w:p>
    <w:p w14:paraId="7310E45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Некоторые округа к основным тыловым положениям вносили свои коррективы или воздерживались от активного проведения преподанных установок. В результате невольно создавался разнобой в подготовке.</w:t>
      </w:r>
    </w:p>
    <w:p w14:paraId="6A14369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Слабая подготовка тыловых снабженческих органов и санитарных и ветеринарных тылов и особенно органов управления грунтовым участком военной дороги.</w:t>
      </w:r>
    </w:p>
    <w:p w14:paraId="247E409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Следует особо отметить также, что штабы войсковых соединений и частей не умеют планово организовать погрузку и выгрузку своих частей и управлять частями в этот период. Войсковые части слабо знают способы погрузки и выгрузки при перевозках по жел. дороге (в результате излишнее скопление людей и материальной части на станциях погрузки и выгрузки, сумятица, недоиспользование грузоподъемности жел .-дорожного транспорта и недопустимо медленные темпы погрузки и выгрузки войск).</w:t>
      </w:r>
    </w:p>
    <w:p w14:paraId="1A812B5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Сохранение военной тайны</w:t>
      </w:r>
    </w:p>
    <w:p w14:paraId="68676DF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вопросу сохранения секретности я, товарищи, просто обязан, ввиду исключительного роста нарушений этой дисциплины, заявить вам о том, что у нас пропадает большое количество секретных и совершенно секретных бумаг, в числе которых имеются важнейшие документы. Если бы эти потери были сопряжены с неожиданностями и случайностями, я бы это понял. Но потери в большинстве случаев происходят потому, что, например, командир забывает свою полевую сумку в парикмахерской и два месяца не помнит, что было в этой сумке и где она. Вот один из многочисленных примеров такой безответственности, о которой просто стыдно говорить. Все это вместе взятое, само собой понятно, влечет за собой то, что в руки врагов попадают наши военные секреты</w:t>
      </w:r>
      <w:r w:rsidRPr="00E14102">
        <w:rPr>
          <w:color w:val="000000" w:themeColor="text1"/>
          <w:sz w:val="16"/>
          <w:szCs w:val="16"/>
          <w:vertAlign w:val="superscript"/>
        </w:rPr>
        <w:t>9</w:t>
      </w:r>
      <w:r w:rsidRPr="00E14102">
        <w:rPr>
          <w:color w:val="000000" w:themeColor="text1"/>
          <w:sz w:val="16"/>
          <w:szCs w:val="16"/>
        </w:rPr>
        <w:t>.</w:t>
      </w:r>
    </w:p>
    <w:p w14:paraId="62F23E4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 этим зловредным и недопустимым явлением необходима самая решительная борьба, чтобы раз и навсегда покончить с разгильдяйством и безответственностью как основными носителями этих преступных фактов.</w:t>
      </w:r>
    </w:p>
    <w:p w14:paraId="024CD1D7" w14:textId="77777777" w:rsidR="00970104" w:rsidRPr="00E14102" w:rsidRDefault="00970104" w:rsidP="00E14102">
      <w:pPr>
        <w:pStyle w:val="rtecenter"/>
        <w:spacing w:before="0" w:after="0"/>
        <w:jc w:val="both"/>
        <w:rPr>
          <w:color w:val="000000" w:themeColor="text1"/>
          <w:sz w:val="16"/>
          <w:szCs w:val="16"/>
        </w:rPr>
      </w:pPr>
      <w:r w:rsidRPr="00E14102">
        <w:rPr>
          <w:rStyle w:val="a3"/>
          <w:b w:val="0"/>
          <w:color w:val="000000" w:themeColor="text1"/>
          <w:sz w:val="16"/>
          <w:szCs w:val="16"/>
        </w:rPr>
        <w:t>Задачи на 1936 г.</w:t>
      </w:r>
    </w:p>
    <w:p w14:paraId="581ACB9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Оперативная подготовка</w:t>
      </w:r>
    </w:p>
    <w:p w14:paraId="1702542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1936 г. центральной задачей оперативной подготовки РККА поставить вопросы управления и подготовки органов армейского управления.</w:t>
      </w:r>
    </w:p>
    <w:p w14:paraId="4F6422C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Все игры и полевые поездки проводить в сложных условиях обстановки: неравномерное развитие операции; проведение перегруппировки войск и средств в процессе операции; организация непредвиденного отхода при опасности флангового удара.</w:t>
      </w:r>
    </w:p>
    <w:p w14:paraId="4F9723B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Тренировать органы управления в условиях непрерывной работы в течение многих суток. Работу тыла прорабатывать на всех занятиях. Продолжать отработку взаимодействия стрелковых, механизированных, авиационных и конных соединений в различных условиях оперативной обстановки.</w:t>
      </w:r>
    </w:p>
    <w:p w14:paraId="744284F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течение года отработать:</w:t>
      </w:r>
    </w:p>
    <w:p w14:paraId="36F2DA6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а) организацию фронтовой и армейской разведки;</w:t>
      </w:r>
    </w:p>
    <w:p w14:paraId="1DB0AA5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б) операцию вторжения — действие крупных конных, механизированных, моторизованных групп, поддержанных и взаимодействующих с крупными воздушными силами и авиадесантами — на территории противника в отрыве от основных сил фронта. Материальное обеспечение этих групп;</w:t>
      </w:r>
    </w:p>
    <w:p w14:paraId="1D844D3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марш-маневр частей армейской группировки;</w:t>
      </w:r>
    </w:p>
    <w:p w14:paraId="7792D68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г) операцию прорыва заблаговременно укрепленной полосы с развитием этого прорыва;</w:t>
      </w:r>
    </w:p>
    <w:p w14:paraId="573CBE9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 взаимодействие основных сил в армейской операции;</w:t>
      </w:r>
    </w:p>
    <w:p w14:paraId="5067FCD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 операции Воздушных сил по завоеванию господства в воздухе и самостоятельной операции крупных ВС;</w:t>
      </w:r>
    </w:p>
    <w:p w14:paraId="405AE1F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ж) оперативное развертывание морского флота для нанесения противнику сосредоточенного удара на принципе разгрома противника по частям, с быстрым подавлением по глубине всей системы обороны противника и последующим проведением мощной общей атаки по максимально оголенному и дезорганизованному частными ударами главному объекту атаки;</w:t>
      </w:r>
    </w:p>
    <w:p w14:paraId="799B031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з) инженерное и химическое обеспечение операции;</w:t>
      </w:r>
    </w:p>
    <w:p w14:paraId="4AD16A3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 службу армейского тыла;</w:t>
      </w:r>
    </w:p>
    <w:p w14:paraId="5EE4549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 задачи ПВО армии и крупных пунктов.</w:t>
      </w:r>
    </w:p>
    <w:p w14:paraId="788DD67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Все указанные вопросы должны отрабатываться с полным учетом химического и инженерного обеспечения и ПВО.</w:t>
      </w:r>
    </w:p>
    <w:p w14:paraId="746929C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Тактическая подготовка</w:t>
      </w:r>
    </w:p>
    <w:p w14:paraId="0174D16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тактической подготовке всех родов войск надо считать, что задачи приказов № 0101 и 0102</w:t>
      </w:r>
      <w:hyperlink r:id="rId229" w:anchor="_ftn5" w:history="1">
        <w:r w:rsidRPr="00E14102">
          <w:rPr>
            <w:rStyle w:val="a4"/>
            <w:color w:val="000000" w:themeColor="text1"/>
            <w:sz w:val="16"/>
            <w:szCs w:val="16"/>
          </w:rPr>
          <w:t>[5]</w:t>
        </w:r>
      </w:hyperlink>
      <w:r w:rsidRPr="00E14102">
        <w:rPr>
          <w:color w:val="000000" w:themeColor="text1"/>
          <w:sz w:val="16"/>
          <w:szCs w:val="16"/>
        </w:rPr>
        <w:t xml:space="preserve"> в итоге учебы 1935 г. РККА в основном выполнила.</w:t>
      </w:r>
    </w:p>
    <w:p w14:paraId="7992E82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Эти задачи (встречный бой сд, ск, мк и кк, наступательный бой сд, ск, мк и кк и оборонительный бой), будучи основными отправными установками для всех современных видов боя, являются руководящими и на 1936 г. и должны быть со всей тщательностью доработаны как с теоретической, так и особенно с практической стороны.</w:t>
      </w:r>
    </w:p>
    <w:p w14:paraId="13E060A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Выполняя эти задачи, сделать упор на следующие вопросы:</w:t>
      </w:r>
    </w:p>
    <w:p w14:paraId="21E7E4A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 центральная задача — подготовка штабов и органов управления с привлечением приписного состава;</w:t>
      </w:r>
    </w:p>
    <w:p w14:paraId="583C485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 взаимодействие всех основных родов войск в сложных формах общевойскового современного боя и операции;</w:t>
      </w:r>
    </w:p>
    <w:p w14:paraId="1BB011B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3) подъем второочередных штабов и органов тыла;</w:t>
      </w:r>
    </w:p>
    <w:p w14:paraId="4CA55B3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4) ночные действия;</w:t>
      </w:r>
    </w:p>
    <w:p w14:paraId="7EA9723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5) проработку на всех учениях вопросов ПТО, ПВО и ПХО;</w:t>
      </w:r>
    </w:p>
    <w:p w14:paraId="458ED5D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6) глубину и тщательность отработки вопросов всех звеньев тыла.</w:t>
      </w:r>
    </w:p>
    <w:p w14:paraId="13AF2FC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Вся боевая подготовка войск РККА должна быть направлена к смелым маневренным действиям по уничтожению противника на основе наилучшего овладения техникой и широкого воспитания активности, инициативы и смелости у бойцов и командного состава.</w:t>
      </w:r>
    </w:p>
    <w:p w14:paraId="42C839A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Для армии в 1936 г. необходимо издать:</w:t>
      </w:r>
    </w:p>
    <w:p w14:paraId="1659D35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 Основы операции.</w:t>
      </w:r>
    </w:p>
    <w:p w14:paraId="0F0E094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 Устав армейского тыла.</w:t>
      </w:r>
    </w:p>
    <w:p w14:paraId="28878E2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3) Боевой устав пехоты, ч. 1 и 2.</w:t>
      </w:r>
    </w:p>
    <w:p w14:paraId="7364B34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4) Устав внутренней службы РККА</w:t>
      </w:r>
      <w:r w:rsidRPr="00E14102">
        <w:rPr>
          <w:color w:val="000000" w:themeColor="text1"/>
          <w:sz w:val="16"/>
          <w:szCs w:val="16"/>
          <w:vertAlign w:val="superscript"/>
        </w:rPr>
        <w:t>10</w:t>
      </w:r>
      <w:r w:rsidRPr="00E14102">
        <w:rPr>
          <w:color w:val="000000" w:themeColor="text1"/>
          <w:sz w:val="16"/>
          <w:szCs w:val="16"/>
        </w:rPr>
        <w:t>.</w:t>
      </w:r>
    </w:p>
    <w:p w14:paraId="793E671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5) Строевой устав РККА.</w:t>
      </w:r>
    </w:p>
    <w:p w14:paraId="6A067F8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1—9. Подлинник.</w:t>
      </w:r>
    </w:p>
    <w:p w14:paraId="1658311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Товарищи! Наша армия в итоге 1935 учебного года имеет несомненные успехи в боевой и политической подготовке. Одновременно с учебой развернута была большая работа по формированию новых частей и строительству для них. Но мы с вами были бы недостойны звания большевиков, учеников Ленина — Сталина, были бы недостойны звания членов Военного совета, если бы мы хоть на минуту успокоились на том, чего уже переоценили бы эти достижения, зазнались бы от того, что о мощи нашей армии положительно отозвались французские, итальянские, чехословацкие и другие военные миссии, если бы мы зорко не видели всех недостатков нашей армии, если бы остро, честно, ничего не замазывая, не вскрывали бы их и не работали бы из всех сил над ликвидацией недостатков, неустанно двигая нашу армию быстрыми темпами вперед.</w:t>
      </w:r>
    </w:p>
    <w:p w14:paraId="50603CA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с вами знаем, что армия наша при всей мощи ее имеет еще очень много крупных недостатков в своей боевой подготовке. Одновременно каждый из нас знает или обязан знать, что наши наиболее вероятные противники — Германия, Польша, Япония — имеют сильные армии и изо всех сил работают над тем, чтобы сделать эти армии еще сильнее. В будущей войне мы будем иметь дело с очень сильным противником. Этого забывать нельзя. Это надо учитывать. К этому надо усиленно готовиться. И в этом свете надо нам оценивать свою собственную боеготовность.</w:t>
      </w:r>
    </w:p>
    <w:p w14:paraId="170307A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 сожалению, среди нас есть товарищи, которые, поверхностно ознакомившись с иностранными армиями, начинают затем проповедовать, что эти армии «сильно отстали», «слабы», что нам «нечему у них учиться», что «мы обогнали всех» и т.п. Эти рассуждения часто пытаются подкрепить ссылками на какое-нибудь заявление генерала] Луазо, ген[ерала] Крейчи или другого какого-нибудь иностранного генерала, буржуазного политика, журналиста. Вот, например, далеко не последний среди нас человек, т. Седякин, в своем докладе о поездке во Францию пишет: «Мы имели неоднократные деловые беседы с генералами Гамеленом, Дененом, Луазо. Отдельно беседовали с маршалом Бадольо, Висконти-Праска, Пикаром, Амброзо, Малиновским и некоторыми полковыми командирами. И у нас всех не было ощущения, что мы говорим с людьми, у которых надо учиться. Это наше превосходство французы начади уже уяснять, наблюдая работу делегаций Красной армии на маневрах».</w:t>
      </w:r>
    </w:p>
    <w:p w14:paraId="6A49E56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Видите, как Седякин — «пришел, увидел и победил»! Ей, ей, мне было стыдно за т. Седякина, когда я читал эти строки его доклада.</w:t>
      </w:r>
    </w:p>
    <w:p w14:paraId="2FF2F97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Неужели так написано?</w:t>
      </w:r>
    </w:p>
    <w:p w14:paraId="1759EC0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Я читаю дословно. Правда, когда товарищи прочтут отчетный доклад т. Седякина, печатаемый по вашему приказу, они ничего подобного там не найдут, потому что мы исключили процитированное мною место из доклада т. Седякина, но в докладе, который представлен т. Седякиным за его подписью, сказано именно и точно так, как я цитировал.</w:t>
      </w:r>
    </w:p>
    <w:p w14:paraId="6FC19F0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Далее т. Седякин, продолжая свой доклад, пишет: «Киевские маневры были для французов громом среди ясного неба», «Французская армия — армия провинциальная» </w:t>
      </w:r>
      <w:r w:rsidRPr="00E14102">
        <w:rPr>
          <w:rStyle w:val="a6"/>
          <w:i w:val="0"/>
          <w:color w:val="000000" w:themeColor="text1"/>
          <w:sz w:val="16"/>
          <w:szCs w:val="16"/>
        </w:rPr>
        <w:t>(смех)</w:t>
      </w:r>
      <w:r w:rsidRPr="00E14102">
        <w:rPr>
          <w:color w:val="000000" w:themeColor="text1"/>
          <w:sz w:val="16"/>
          <w:szCs w:val="16"/>
        </w:rPr>
        <w:t xml:space="preserve"> и т.п.</w:t>
      </w:r>
    </w:p>
    <w:p w14:paraId="71FF272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Ясно, что все эти рассуждения основаны на незнании иностранных армий и на собственном вреднейшем самохвальстве.</w:t>
      </w:r>
    </w:p>
    <w:p w14:paraId="648F2D4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Правильно.</w:t>
      </w:r>
    </w:p>
    <w:p w14:paraId="63C9230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Мы обязаны со всей решительностью бороться с недооценкой сил противника, опасной тем, что она может породить в нашей армии успокоение, самодовольство вместо необходимой самокритики и напряженной работы. Мы обязаны тщательно изучать противника, знать его как следует, знать его сильные и слабые стороны. Мы обязаны учиться у него тому, чему следует учиться, а я утверждаю в противовес т. Седякину, что нет такой даже самой слабой армии, у которой нельзя было бы чему-нибудь полезному научиться.</w:t>
      </w:r>
    </w:p>
    <w:p w14:paraId="3652D29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Даже многому.</w:t>
      </w:r>
    </w:p>
    <w:p w14:paraId="2266948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Мы обязаны всегда быть на деле значительно сильнее своих противников. Мы обязаны на деле быть значительно лучше подготовленными в боевом отношении, чем наши противники. В будущей войне мы обязаны перед своей Родиной, перед делом социализма, перед международным пролетариатом, перед нашими вождями Лениным и Сталиным победить, разгромить своих врагов, и притом, как об этом часто говорит т. Ворошилов, ценою малой крови. Поэтому ни в коей мере нам нельзя сейчас успокаиваться на достигнутом и предаваться восторгу от того, что за год мы несколько продвинулись вперед в боевой и политической подготовке. Мы обязаны неустанно учиться и учиться. Мы обязаны решительно выявить свои недостатки и напряженно работать над дальнейшим укреплением нашей армии. Хороши бы мы с вами были, если бы мы застряли на месте или медленно двигались вперед. Кто бы нас стад терпеть? Особенно в годы бурного социалистического роста нашей страны, гигантского движения вперед всех отраслей народного хозяйства, в период могучего стахановского движения. Ведь предъявляем же мы с вами новые и новые требования к стране, к промышленности в области вооружения. Самолеты, танки, артиллерия, удовлетворявшие нас еще вчера, уже сегодня нас не удовлетворяют. Мы настойчиво требуем все лучшего и лучшего оружия и в короткие сроки. Мы хотим иметь оружие первоклассное, самое лучшее в мире. Мы нажимаем на нашу промышленность. Мы требуем от нее такого оружия. И поступаем совершенно правильно. Но мы обязаны при этом быть еще более требовательными к себе самим, к своей работе в деле технического и оперативно-тактического освоения боевого оружия. В этом свете, товарищи, я считаю наши достижения в боевой и политической подготовке за истекший год малыми, недостаточными.</w:t>
      </w:r>
    </w:p>
    <w:p w14:paraId="545D8B9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с вами еще далеко не создали того образцового общевойскового оркестра, которого от нас с вами еще несколько лет тому назад требовал наш Великий учитель и вождь — т. Сталин.</w:t>
      </w:r>
    </w:p>
    <w:p w14:paraId="23C0D35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считаю поэтому, что мы должны на этом пленуме со всей решительностью, со всей силой и остротой большевистской самокритики, ничего не замазывая, вскрыть все наши недостатки и обсудить тщательно, как следует, конкретные вопросы учебы будущего года.</w:t>
      </w:r>
    </w:p>
    <w:p w14:paraId="3778358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Изучение различных материалов и отчетных докладов округов, личные наблюдения за войсками дают мне основание сделать следующие выводы в области боевой подготовки.</w:t>
      </w:r>
    </w:p>
    <w:p w14:paraId="19AB3B9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Первое. Наша армия за истекший период значительно продвинулась вперед в деле количественного, массового технического овладения танком, самолетом, артиллерией, подлодкой, радиосвязью и другими средствами борьбы. Но это техническое овладение сопровождалось и сопровождается еще многочисленными авариями, поломками, катастрофами и крупнейшими недостатками в эксплуатации и хранении ценной боевой техники. У нас уже есть немало летчиков, танкистов, артиллеристов, подводников, радистов и других специалистов, которые подобно Стаханову, Бусыгину</w:t>
      </w:r>
      <w:r w:rsidRPr="00E14102">
        <w:rPr>
          <w:color w:val="000000" w:themeColor="text1"/>
          <w:sz w:val="16"/>
          <w:szCs w:val="16"/>
          <w:vertAlign w:val="superscript"/>
        </w:rPr>
        <w:t>11</w:t>
      </w:r>
      <w:r w:rsidRPr="00E14102">
        <w:rPr>
          <w:color w:val="000000" w:themeColor="text1"/>
          <w:sz w:val="16"/>
          <w:szCs w:val="16"/>
        </w:rPr>
        <w:t>, по выражению т. Сталина, «полностью овладели техникой своего дела, оседлали ее и погнали вперед». Тов. Ворошилов на Всесоюзном совещании стахановцев называл ряд таких имен в нашей армии. Я могу дополнить этот список. Вот механик-водитель т. Дудко в ЛВО в совершенстве овладел вождением своего танка. Он преодолевает препятствия в 2 У</w:t>
      </w:r>
      <w:r w:rsidRPr="00E14102">
        <w:rPr>
          <w:color w:val="000000" w:themeColor="text1"/>
          <w:sz w:val="16"/>
          <w:szCs w:val="16"/>
          <w:vertAlign w:val="subscript"/>
        </w:rPr>
        <w:t>2</w:t>
      </w:r>
      <w:r w:rsidRPr="00E14102">
        <w:rPr>
          <w:color w:val="000000" w:themeColor="text1"/>
          <w:sz w:val="16"/>
          <w:szCs w:val="16"/>
        </w:rPr>
        <w:t>раза более высокие и почти в пять раз более широкие, чем это установлено официальными нормами. Вот механик-водитель части имени Калиновского</w:t>
      </w:r>
      <w:r w:rsidRPr="00E14102">
        <w:rPr>
          <w:color w:val="000000" w:themeColor="text1"/>
          <w:sz w:val="16"/>
          <w:szCs w:val="16"/>
          <w:vertAlign w:val="superscript"/>
        </w:rPr>
        <w:t>12</w:t>
      </w:r>
      <w:r w:rsidRPr="00E14102">
        <w:rPr>
          <w:color w:val="000000" w:themeColor="text1"/>
          <w:sz w:val="16"/>
          <w:szCs w:val="16"/>
        </w:rPr>
        <w:t xml:space="preserve"> т. Калачев. Он перекрывает технические нормы на средний ремонт танка больше, чем в два раза. Он добился экономии горючего на 30%. Водители БВО т. Костиков, Сызранов, Богданович и Балдашин в три с лишним раза превышает нормы по преодолению рвов. Радист СКВО Положенцев дал 650 групп радиообмена в час, радист ЛВО т. Ягоря дал 708 групп, а радист КВО т. Желнов дал 802 группы и радист КВО т. Луговец дал 849 групп пятизначного текста в час при норме в 300 групп. Как видите, наши нормы в 2—3 раза перекрываются людьми, по-настоящему овладевшими техникой.</w:t>
      </w:r>
    </w:p>
    <w:p w14:paraId="591AC44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Вот факты по авиации. В одной из авиачастей СибВО техник т. Корниенко рационализировал дело ремонта самолета и закончил ремонт самолета на 7 дней раньше плана. Корниенко производит полную переборку шасси в течение 2 часов вместо обычных 7. Техник Иванов рационализировал установку угольников и выполняет в 1 час 30 мин. работу, на которую раньше тратилось 6—7 часов при норме в 5 часов.</w:t>
      </w:r>
    </w:p>
    <w:p w14:paraId="72E80A1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другой авиачасти техник т. Лехман ежедневно перевыполняет рабочий план на 200%. Тов. Лехману в прошлом году на протирку возвратных клапанов отводилось 3 часа 35 мин., в этом году 2 часа 30 мин., а он выполняет эту работу в 1 час 10 мин. В этой же части техник по приборам т. Резников с младшими специалистами тт. Руч-кановым и Березанским выполнили программу работ, рассчитанную по нормам на 237 часов, за 40 часов.</w:t>
      </w:r>
    </w:p>
    <w:p w14:paraId="4AD806B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назвал вам только несколько имен. Ряды их — армейских Стахановых — растут и множатся. Это только начало могучего стахановского движения в армии. Но наряду с людьми, по-настоящему овладевшими техникой, мы еще имеем массу фактов неграмотного, варварского отношения к технике.</w:t>
      </w:r>
    </w:p>
    <w:p w14:paraId="5C85BBB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 9 месяцев 1935 г. мы имели в воздушном флоте 234 аварии и 39 катастроф. Такое положение совершенно нетерпимо. Может ли наш воздушный флот добиться полной безаварийности? Может и обязан. Ведь сумели же работать в 1935 г. без единой аварии самолетов 80 эскадрилий и 16 отрядов. На Дальнем Востоке есть одна эскадрилья, уже шестой год не имеющая ни одной аварии. Чтобы весь наш воздушный флот стал безаварийным, надо, чтобы весь его личный состав как следует овладел техникой, чтобы во всех бригадах, эскадрильях, отрядах была железная воинская дисциплина.</w:t>
      </w:r>
    </w:p>
    <w:p w14:paraId="117E7E1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При наличии уже большого количества отличных мехводителей, играющих своим танком, не знающих аварий, мы одновременно имеем в АБТ войсках за 9 месяцев 1935 г. — 1025 аварий. Тов, Халепский и товарищи командующие! К сожалению, наши АБТ войска не имеют до сих пор даже ни одного безаварийного батальона.</w:t>
      </w:r>
    </w:p>
    <w:p w14:paraId="3CB938A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 чем говорят только что приведенные мною факты и цифры? Примеры наших армейских стахановцев, показывающих, что можно выжать из техники, если ее по-настоящему оседлать, с одной стороны, и огромное число аварий, катастроф, поломок — с другой стороны, дают полное основание сделать вывод, что армия в целом еще далеко не оседлала как следует свою боевую технику. Над овладением техникой нам надо еще много и как следует поработать.</w:t>
      </w:r>
    </w:p>
    <w:p w14:paraId="28BF9D9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считаю при этом необходимым, товарищи, обратить особо ваше внимание на артиллерию. Правительство, как вы знаете, недавно приняло решение о значительном усилении артиллерии дивизии и корпуса. Тов. Сталин совершенно правильно уделяет огромное внимание артиллерийскому вооружению и подготовке артиллерийских кадров. Надо признать, что у нас часто, говоря об овладении новой техникой, имеют в виду танк и самолет и забывают об артиллерии, считая последнюю «старой техникой». Это неправильно. Это вредно. Неправильно потому, что артиллерия совершенствуется и становится новой техникой. Неправильно и потому, что артиллерия, как старая, так и новая, всегда была и остается сложнейшей, если не самой сложной, техникой. Дело овладения артиллерией — дело сложное, и об этом надо помнить. К сожалению, не все и не всегда об этом помнят. Надо артиллерии отвести подобающее ей место. Надо артиллерией заняться значительно больше и лучше, чем мы это делали до сих пор.</w:t>
      </w:r>
    </w:p>
    <w:p w14:paraId="5A0D567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Одновременно с техническим освоением нового боевого оружия (вождение, эксплуатация, сбережение) мы обязаны тактически и оперативно крепко оседлать всю нашу могучую технику, которой нас уже снабдила и снабжает наша страна, и создать образцовый общевойсковой оркестр, прекрасно управляемый, безупречно действующий. В этом отношении, в оперативно-тактическом использовании боевой техники, мне думается, наши успехи за истекший год явно невелики, и, конечно, нас удовлетворить никак не могут, особенно в мотомехвойсках и в авиации. В мотомехвойсках еще слабо отработаны вопросы управления, особенно при действиях в глубине боевого порядка противника. В авиации предстоит еще огромная работа по овладению воздушным боем крупными частями и соединениями. Много еще недостатков в подготовке артиллерии. Слабыми также участками боевой подготовки войск является противовоздушная оборона и использование химических средств нападения и защиты.</w:t>
      </w:r>
    </w:p>
    <w:p w14:paraId="4CB9E37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Сталин говорил 4 мая этого года на выпуске академиков Красной армии:</w:t>
      </w:r>
    </w:p>
    <w:p w14:paraId="125787A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«Чтобы привести технику в движение и использовать ее до дна, нужны люди, овладевшие техникой, нужны кадры, способные освоить и использовать эту технику по всем правилам искусства. Если бы на наших первоклассных заводах и фабриках, в наших совхозах и колхозах, в нашей Красной армии имелось достаточное количество кадров, способных оседлать эту технику, — страна наша получила бы эффекта втрое и вчетверо больше, чем она имеет теперь»</w:t>
      </w:r>
      <w:hyperlink r:id="rId230" w:anchor="_ftn6" w:history="1">
        <w:r w:rsidRPr="00E14102">
          <w:rPr>
            <w:rStyle w:val="a4"/>
            <w:color w:val="000000" w:themeColor="text1"/>
            <w:sz w:val="16"/>
            <w:szCs w:val="16"/>
          </w:rPr>
          <w:t>[6]</w:t>
        </w:r>
      </w:hyperlink>
      <w:r w:rsidRPr="00E14102">
        <w:rPr>
          <w:color w:val="000000" w:themeColor="text1"/>
          <w:sz w:val="16"/>
          <w:szCs w:val="16"/>
        </w:rPr>
        <w:t>.</w:t>
      </w:r>
    </w:p>
    <w:p w14:paraId="42FCA39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должны в 1936 г. работать над тем, чтобы наша армия до дна использовала свою технику, чтобы наша армия оперативно и тактически крепко ее оседлала, чтобы эффекта получилось втрое и вчетверо больше, чтобы боеспособность нашей армии от этого возросла втрое и вчетверо. Как видите, успокаиваться еще слишком рано! Вся работа по овладению техникой, по оперативно-тактическому ее использованию еще впереди. Для этого необходимо лучше организовать людей, лучше их воспитывать, учить и вести вперед.</w:t>
      </w:r>
    </w:p>
    <w:p w14:paraId="711D4E2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Очень слабым нашим местом являются вопросы организации войскового тыла. У многих командиров и политработников есть вредная недооценка этого важнейшего условия боеспособности войск. Многие начальники, привыкшие в Гражданскую войну жить «на подножном корму», не совсем себе представляют, что значит питать боеприпасами, запасными частями, горючим, обмундированием, продовольствием и фуражом современную армию в будущей войне.</w:t>
      </w:r>
    </w:p>
    <w:p w14:paraId="0C4BBD4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Этим летом я был на учении по тылу в Кубинке под Москвой, и мы все, побывавшие там, наблюдали, как трудно и сложно сейчас организовать снабжение даже одного корпуса в боевой обстановке. В будущей войне эти вопросы будут решающими. Этому усилению должны учиться наш командный и начальствующий состав.</w:t>
      </w:r>
    </w:p>
    <w:p w14:paraId="50AA277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Величайший стратег пролетарской революции т. Сталин, как в Гражданскую войну, так и теперь, учил и непрестанно учит нас всегда помнить о снабжении армии как важнейшем, решающем условии боеспособности армии и победы над противником. В постановлении ЦК и СНК от 9 августа 1935 г. сказано:</w:t>
      </w:r>
    </w:p>
    <w:p w14:paraId="2AB9AB3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«СНК и ЦК указывают всем командирам и политработникам армии, что постоянная забота о состоянии снабжения войск является их важнейшей обязанностью: командирам и политработникам, не занимающимся конкретно и систематически делом военного снабжения, не должно быть места в Красной армии.</w:t>
      </w:r>
    </w:p>
    <w:p w14:paraId="2FE96D4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СНК и ЦК обязывают командиров, политработников и бойцов беречь военное снабжение как зеницу ока (торжественное обещание).</w:t>
      </w:r>
    </w:p>
    <w:p w14:paraId="291183D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СНК и ЦК обязывает начальствующий состав добиться в кратчайший срок приведения снабжения РККА в образцовое состояние с тем, чтобы оно как в мирное, так и в военное время работало точно и аккуратно, как хороший часовой механизм»</w:t>
      </w:r>
      <w:hyperlink r:id="rId231" w:anchor="_ftn7" w:history="1">
        <w:r w:rsidRPr="00E14102">
          <w:rPr>
            <w:rStyle w:val="a4"/>
            <w:color w:val="000000" w:themeColor="text1"/>
            <w:sz w:val="16"/>
            <w:szCs w:val="16"/>
          </w:rPr>
          <w:t>[7]</w:t>
        </w:r>
      </w:hyperlink>
      <w:r w:rsidRPr="00E14102">
        <w:rPr>
          <w:color w:val="000000" w:themeColor="text1"/>
          <w:sz w:val="16"/>
          <w:szCs w:val="16"/>
        </w:rPr>
        <w:t>.</w:t>
      </w:r>
    </w:p>
    <w:p w14:paraId="1FFBF3E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Об этом постановлении мы должны всегда помнить!</w:t>
      </w:r>
    </w:p>
    <w:p w14:paraId="1FC79C4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Товарищи! Над вопросами войскового тыла, как на мирное время, так и в подготовке к войне, нам надо очень крепко поработать в 1936 г.</w:t>
      </w:r>
    </w:p>
    <w:p w14:paraId="47C27F8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 состоянии продовольственного, обозного и вещевого хозяйства, о том, как армия реализует решения ЦК партии и Совнаркома Союза от 9 августа с.г. — вам доложат подробно т. Косич и Жильцов. Но я должен сказать, что мы еще далеко не полностью сделали все выводы из совещания по этому вопросу при ЦК ВКП(б) из замечательной и глубоко поучительной речи т. Сталина по вопросам снабжения армии. Командиры и политработники еще далеко не стали заниматься этим делом, как того требует постановление ЦК и СНК и приказ наркома. Еще не всюду налажен образцовый учет. Мы получаем еще сводки о хищениях имущества из складов, о плохом хранении его, о плохо приготовленной пище для красноармейцев. Мы еще далеко не сделали наше войсковое хозяйство образцовым, работающим, как часы. Мы обязаны это сделать в самое ближайшее время. В этом деле нетерпимо никакое успокоение.</w:t>
      </w:r>
    </w:p>
    <w:p w14:paraId="0BA3E31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Третье. Командный, начальствующий состав плохо знает своих вероятных противников — театр, организацию, вооружение, тактику. Плохо у нас поставлено это дело. Этого терпеть дальше нельзя. Как можно по-настоящему готовить войска к войне, как можно оперативно-тактически готовить начсостав без того, чтобы он, как следует, не знал своих вероятных противников. Эту работу мы обязаны и вполне можем поднять на большую высоту. Генштаб, Разведуправление НКО и комвойсками округов обязаны в 1936 г. это дело поставить как следует.</w:t>
      </w:r>
    </w:p>
    <w:p w14:paraId="294BE34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Четвертое. Плохо готовится наш начсостав запаса. Он сильно отстает от кадра. Недостаточно его готовят войска. Плохо его готовят в гражданских вузах. Надо обсудить на пленуме тщательно этот вопрос и наметить меры по коренному улучшению этого дела. В частности, я не могу в связи с этим не коснуться плохой постановки учета запаса в райвоенкоматах. Мне рассказывали, что когда в Ленинграде, в порядке проверки партдокументов, стали проверять райвоенкоматские данные на лиц начсостава запаса, то было обнаружено в данных райвоенкоматов очень много вранья. Человек писал о своей прошлой военной деятельности все, что ему вздумается, и часто это принималось в райвоенкоматах на веру. Настоящей проверки маловато в райвоенкоматах. Мало и плохо занимаются округа райвоенкоматами. Вообще это заброшенный участок, куда слабо проникает глаз командующего и начпуокра. Часто райвоенкомы предоставлены сами себе. А мы с вами знаем, какой огромной, исключительной важности работа лежит на райвоенкоматах.</w:t>
      </w:r>
    </w:p>
    <w:p w14:paraId="5F5A6F7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Пятое. В истекшем году командным и начальствующим составом сделаны первые шаги в деле изучения истории военного искусства. Но пока еще изучение истории военного искусства, империалистической и Гражданской войны поставлено крайне плохо. А дело это сугубо важное, сугубо необходимое, имеющее огромное практическое значение для оперативно-тактического роста нашего командного и начальствующего состава. Дело изучения истории военного искусства — дело очень серьезное. Поверхностное, случайное, неглубокое и некритическое изучение истории может привести только вред, привести того или иного командира к ложным выводам. Делом изучения истории войн надо руководить. Это должны делать наши вузы, академии, командующие войсками, Генштаб. Я ставил этот вопрос на прошлогоднем пленуме Военного совета. Я считаю необходимым снова поставить его сейчас как важнейшую задачу 1936 г.</w:t>
      </w:r>
    </w:p>
    <w:p w14:paraId="2B73C25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Шестое. Мы все еще имеем значительную неравномерность боевой подготовки по округам. Слишком велик разрыв в подготовке между различными округами. Есть округа сильно отстающие, например ЗакВО, СКВО, ПриВО, медленно выходит в люди МВО, недостаточно еще подтянулись ОКДВА и ЗабВО, а эти два последних должны быть первоклассно подготовлены. Надо в 1936 г. крепко налечь на отстающие округа и двинуть их вперед. На меня вопрошающе смотрит т. Блюхер. Да, к сожалению, боевая подготовка вашей особой армии, Василий Константинович, все еще не такова, какой она должна была бы быть, учитывая обстановку на Дальнем Востоке.</w:t>
      </w:r>
    </w:p>
    <w:p w14:paraId="12F3325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Перехожу к группе вопросов политико-морального состояния армии и политработы.</w:t>
      </w:r>
    </w:p>
    <w:p w14:paraId="16DFDA7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Товарищи! За истекший год политический и культурный уровень красноармейцев, командиров и политработников, несомненно, значительно вырос. Личный состав крепко сплочен вокруг нашей партии и нашего Великого вождя т. Сталина. Можно было бы привести бесконечное количество ярких фактов, подтверждающий </w:t>
      </w:r>
      <w:r w:rsidRPr="00E14102">
        <w:rPr>
          <w:color w:val="000000" w:themeColor="text1"/>
          <w:sz w:val="16"/>
          <w:szCs w:val="16"/>
        </w:rPr>
        <w:lastRenderedPageBreak/>
        <w:t>беззаветную преданность нашей армии своей Родине, делу социализма, партии Ленина — Сталина. Можно было бы привести бесконечное число фактов величайшей энергии, самоотверженности и героизма рядовых бойцов и начальников.</w:t>
      </w:r>
    </w:p>
    <w:p w14:paraId="24CC3E4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Огромное число факторов определяет это высокое политико-моральное состояние войск: гигантские успехи социализма в нашей стране, улучшение материального положения трудящихся, отмена карточек, значительная прибавка зарплаты начсоставу. Веселей и лучше стало жить трудящимся в нашей стране, веселей и лучше стала жить армия. Краснофлотец Степаненко перекликается со Стахановым, младший командир Демченко перекликается со своей сестрой знаменитой Марией Демченко</w:t>
      </w:r>
      <w:r w:rsidRPr="00E14102">
        <w:rPr>
          <w:color w:val="000000" w:themeColor="text1"/>
          <w:sz w:val="16"/>
          <w:szCs w:val="16"/>
          <w:vertAlign w:val="superscript"/>
        </w:rPr>
        <w:t>13</w:t>
      </w:r>
      <w:r w:rsidRPr="00E14102">
        <w:rPr>
          <w:color w:val="000000" w:themeColor="text1"/>
          <w:sz w:val="16"/>
          <w:szCs w:val="16"/>
        </w:rPr>
        <w:t>. Замечательные люди, передовики боевой и политической учебы — летчики, танкисты, подводники — перекликаются, соревнуются с ударниками-стахановцами фабрик, заводов, совхозов и колхозов. Вот что определяет высокое политико-моральное состояние армии. Вот те аргументы, о которых говорил нам т. Сталин на совещании при ЦК по вопросам войскового хозяйства, которыми наша страна, наша партия, наш Сталин вооружают политработников и парторганизации в их работе среди бойцов, командного и начальствующего состава. Вооруженные всем этим политработники, партийные и комсомольские организации должны обеспечить высокий уровень всей боевой и политической подготовки, должны обеспечить большевистский дух на всех участках армейской работы.</w:t>
      </w:r>
    </w:p>
    <w:p w14:paraId="4A7CFA3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Политработники, парторганизации, конечно, имеют ряд достижений в партийно-политической работе за истекший год, но их — этих достижений — все же недостаточно. Это еще не то, что нам сейчас надо.</w:t>
      </w:r>
    </w:p>
    <w:p w14:paraId="3798B99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Егоров и я отмечали ряд крупных недочетов в боевой подготовке. Повинны ли в этом политработники, партийные и комсомольские организации? Конечно, повинны. Отвечают ли они за это? Конечно, отвечают. Повинны ли политработники в плохом состоянии войскового хозяйства? Повинны, и в огромной степени. Об этом уже сказал ЦК в своем постановлении от 9 августа. Повинны ли политработники в том, что в армии до сих пор еще очень много всяких чрезвычайных происшествий, катастроф, аварий и т.п.? Конечно, повинны. Политработники за все отвечают, они отвечают за состояние своих войсковых частей во всех отношениях. Они обязаны обеспечивать боевой большевистский дух во всей работе своей войсковой части. Но, к сожалению, немало еще среди политработников людей, чиновно-бюрократически относящихся к делу, считающих, что за эту или иную область работы они «по своей должности» не отвечают, людей, оторванных от масс, а в то время как первейшая задача каждого политработника работать всегда в самой гуще масс, быть чутким и близким товарищем и политическим руководителем, воспитателем каждого бойца. Политработники обязаны во что бы то ни стало начать работать значительно лучше, неизмеримо лучше.</w:t>
      </w:r>
    </w:p>
    <w:p w14:paraId="7914E85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хочу остановить ваше внимание на ряде узловых вопросов нашей политработы.</w:t>
      </w:r>
    </w:p>
    <w:p w14:paraId="32222F9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 Об изучении кадров командного и начальствующего состава, о выращивании, о большевистском воспитании их. Вот над чем неустанно должны работать политорганы и парторганизации. Тщательно изучать надо личный состав, знать надо как следует каждого человека. Надо вовремя обнаружить и изъять из армии врагов — шпиона, троцкиста-зиновьевца, жулика, пробравшихся в армию. Надо любовно беречь, учить, воспитывать, как учит т. Сталин, каждого стоящего, знающего, преданного партии работника. Научились ли армейские коммунисты, политработники как следует делать это, выполняя указания т. Сталина? Нет, далеко еще этому не научились.</w:t>
      </w:r>
    </w:p>
    <w:p w14:paraId="64879F1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Проверка партдокументов, огромная по своему организационнополитическому значению работа, проводимая по инициативе т. Сталина, еще раз показала, что мы еще плохо, подчас только формально, знаем людей, что часто мы прозевываем врагов — шпионов, троцкистов, зиновьевцев, жуликов, и очень часто не замечаем, не выдвигаем, не выращиваем действительно преданных партии, способных и ценных людей. Правда, проверка партдокументов значительно улучшила в армии дело изучения людей, выявила враждебных людей, изгнанных из партии и армии, подняла заботу о ценных людях. Всего в порядке проверки отнято к настоящему моменту по всей армии 4042 партбилета, что составляет 2,94% к числу проверенных. Задержано для выяснения 4727 партбилетов, что составляет 3,44% к числу проверенных. В процессе проверки мы выявили таких, например, лиц:</w:t>
      </w:r>
    </w:p>
    <w:p w14:paraId="41F0531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 Токарчук С.Г. — командир 81-го авиаотряда 453-й авиабригады, слушатель Высшей летно-тактической школы ВВС РККА. Он сознался, что партбилет с партстажем с 1919 г., по которому он прошел две чистки, получен им на основании ложных справок и документов. Токарчук на протяжении рада лет носил два поддельных ордена Красного Знамени, которые он достал в 1922 г. Лживый послужной список Токарчука был составлен с его слов и заверен его подчиненным по отряду. Токарчук арестован, партбилет у него отобран.</w:t>
      </w:r>
    </w:p>
    <w:p w14:paraId="3BB133C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 Семердаков Т.А. — командир взвода 67-го строительного батальона. Бывший монах — доброволец колчаковской армии. Производил расправы с пленными, принимал личное участие в расстрелах крестьян. В РККА и партию пробрался по подложному удостоверению красноармейца. С целью скрыть прошлое, Семерданов составил ложную автобиографию, назвавшись рабочим, бойцом 30-й дивизии. Из партии исключен, арестован.</w:t>
      </w:r>
    </w:p>
    <w:p w14:paraId="181B8A7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3. Рогач В.А. — помощник командира роты 110-го сп. Партстаж с 1930 г. Рогач сознался, что в Польше его около полугода готовили к шпионской работе в СССР. В 1923 г. Рогач переходит границу. Проникает курсантом в Белорусскую военную школу. По окончании ее назначается командиром взвода в 100-й сп, где и становится членом партии. В 1931 г, брат Рогача — Петр переходит из Польши в СССР. Рогач устраивает его на работу в Днепропетровское пароходство, укрывает его. Через 8 месяцев брат Рогача пытается перебежать в Польшу, но арестовывается погранотрядом. Рогач В.А. из партии исключен и арестован.</w:t>
      </w:r>
    </w:p>
    <w:p w14:paraId="739BF42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Но есть, товарищи, опасность, как бы после проверки партдоку-ментов многие политорганы и парторганизации не ослабили своей работы по изучению людей. Кто это допустит, тот совершит величайшее преступление перед партией, перед армией и крепко за это ответит. Политработник, не знающий хорошо, по существу, людей своей части, тесно с ними не связанный, нетерпим как политработник.</w:t>
      </w:r>
    </w:p>
    <w:p w14:paraId="40F1B4B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Проверка партдокументов, несомненно, подняла всю партработу, нанесла крепкий удар расхлябанности в партийном хозяйстве. Это надо не только закрепить, эти успехи надо всемерно развивать. Партийное хозяйство в армии должно быть образцовым. За это политработник головой отвечает.</w:t>
      </w:r>
    </w:p>
    <w:p w14:paraId="13AD92F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Наша внутрипартийная жизнь должна бить ключом. </w:t>
      </w:r>
      <w:r w:rsidRPr="00E14102">
        <w:rPr>
          <w:rStyle w:val="a6"/>
          <w:i w:val="0"/>
          <w:color w:val="000000" w:themeColor="text1"/>
          <w:sz w:val="16"/>
          <w:szCs w:val="16"/>
        </w:rPr>
        <w:t>Я</w:t>
      </w:r>
      <w:r w:rsidRPr="00E14102">
        <w:rPr>
          <w:color w:val="000000" w:themeColor="text1"/>
          <w:sz w:val="16"/>
          <w:szCs w:val="16"/>
        </w:rPr>
        <w:t xml:space="preserve"> не буду останавливаться здесь на формах этой работы. Обо всем этом было прекрасно сказано в постановлении Ленинградского горкома ВКП(б) от 29 марта 1935 г. «О задачах партийно-организационной и политически-воспитательной работы» и в директиве ПУ РККА от 28.4.1935 г. № 50/с</w:t>
      </w:r>
      <w:hyperlink r:id="rId232" w:anchor="_ftn8" w:history="1">
        <w:r w:rsidRPr="00E14102">
          <w:rPr>
            <w:rStyle w:val="a4"/>
            <w:color w:val="000000" w:themeColor="text1"/>
            <w:sz w:val="16"/>
            <w:szCs w:val="16"/>
          </w:rPr>
          <w:t>[8]</w:t>
        </w:r>
      </w:hyperlink>
      <w:r w:rsidRPr="00E14102">
        <w:rPr>
          <w:color w:val="000000" w:themeColor="text1"/>
          <w:sz w:val="16"/>
          <w:szCs w:val="16"/>
        </w:rPr>
        <w:t>. Дело за тем, чтобы парторганизации армии реализовали по настоящему все эти указания, чтобы сделали необходимые выводы из итогов партпроверки.</w:t>
      </w:r>
    </w:p>
    <w:p w14:paraId="04ECBF9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Но, товарищи, в армии, кроме партийных большевиков, есть много непартийных большевиков, прекрасных командиров, преданных до конца нашей партии. Человеку, которого мы не можем причислить к партийным или непартийным большевикам, в нашей армии сейчас не может быть места. Нам необходимо решительно улучшить свою работу среди непартийных большевиков. Она в последнее время в связи с проверкой партдокументов в некоторых частях ослабла. Это недопустимо. Мы обязаны знать наш беспартийный начсостав не хуже, чем партийный. Политорганы и парторганизации должны изучить его, должны тесно быть с ним связаны, должны работать над большевистским его воспитанием, подготовить лучших из них для отбора в партию.</w:t>
      </w:r>
    </w:p>
    <w:p w14:paraId="097EC8D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Также надо значительно улучшить нам свою политработу среди семей начсостава, что крайне важно для армии, для ее боевой и политической подготовки. Мы знаем, как много значит для успешной работы командира здоровая семейная обстановка, когда жена является его другом и товарищем, человеком, преданным нашей Родине и партии. До сих пор эта работа поставлена недостаточно хорошо.</w:t>
      </w:r>
    </w:p>
    <w:p w14:paraId="5FECAB4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Итак, нам необходимо неустанно в боевом большевистском духе, значительно лучше, чем до сих пор, воспитывать весь личный состав армии. Необходимо быть зорко бдительным, не допускать в армию врагов — шпионов, троцкистов, зиновьевцев и всякую иную сволочь, а пробравшихся своевременно выявлять и изымать из армии.</w:t>
      </w:r>
    </w:p>
    <w:p w14:paraId="15740A0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должны, не покладая рук, работать над повышением военной подготовки нашего командного и начальствующего состава. В ряде звеньев эта подготовка явно слаба, а в целом явно недостаточна. Наш командный и политический состав должен состоять из людей высоко военно-образованных. Мы должны значительно улучшить постановку дела в наших военно-учебных заведениях и академиях. Они должны начать выпускать из своих стен более знающих военное дело, более образованных людей, чем офицеры, выпускающиеся академиями и вузами наиболее передовых капиталистических армий. Мы обязаны и имеем сейчас полную возможность резко повысить требовательность, в частности, в отношении общеобразовательной подготовки, к принимаемым в вузы и академии. Часто в академии принимали людей, не выдержавших испытаний по ряду важнейших общеобразовательных дисциплин. Это надо решительно прекратить. В наши академии и вузы могут быть приняты только хорошие и отлично выдержавшие испытания.</w:t>
      </w:r>
    </w:p>
    <w:p w14:paraId="1FB187B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Но одни школы и академии не могут решить этого вопроса. Наши округа должны в порядке командирской учебы, игр, учений неуклонно повышать военные знания командного и начальствующего состава. В 1936 г. Генштаб и командующие войсками должны крепко проработать над оперативной подготовкой высшего начсостава.</w:t>
      </w:r>
    </w:p>
    <w:p w14:paraId="78B00A6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Особое внимание надо обратить на подготовку командиров артиллерии. Специальность эта наиболее трудна, высокий общеобразовательный уровень здесь нужен больше, чем где бы то ни бьшо. При этом надо принять во внимание, что в силу ряда причин служебный стаж и подготовка наших артиллерийских командиров недостаточна.</w:t>
      </w:r>
    </w:p>
    <w:p w14:paraId="148D42C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 из числа командиров артполков состоят в своей должности: до 1 г. — 23,9%, до 2 лет — 25,0%, до 3 лет — 20,3% и свыше 4 лет — 30,8%; окончили артшколы — 9,2%, артакадемию — 10,5% и АКУКС — 80,3%. Из числа командиров артдивизионов: состоят в своей должности до 1 г. — 27%, до 2 лет — 45,4%, до 3 лет — 21,4% и свыше 4 лет — 6,2%; окончили артшколы — 59,3%, АКУКС — 40,5% и артакадемию — 0,2%. Такой состав артиллерийских командиров требует большой, неустанной, настойчивой работы по повышению их квалификации.</w:t>
      </w:r>
    </w:p>
    <w:p w14:paraId="0A48A3B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в начале своего доклада уже приковывал наше внимание к артиллерии, я счел необходимым еще раз остановить ваше внимание на артиллерии в связи с вопросом о выращивании командирских кадров. Дело это крайне важное.</w:t>
      </w:r>
    </w:p>
    <w:p w14:paraId="1FBC826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Надо в 1936 г. усилить работу по военной подготовке политсостава, особенно той его части, которая недавно взята из запаса (1200 чел.) или выдвинута из рядовых красноармейцев и младшего начсостава (500 чел.). Всех этих политработников необходимо подготовить в 1936 г. как минимум в объеме приказа наркома № 40</w:t>
      </w:r>
      <w:hyperlink r:id="rId233" w:anchor="_ftn9" w:history="1">
        <w:r w:rsidRPr="00E14102">
          <w:rPr>
            <w:rStyle w:val="a4"/>
            <w:color w:val="000000" w:themeColor="text1"/>
            <w:sz w:val="16"/>
            <w:szCs w:val="16"/>
          </w:rPr>
          <w:t>[9]</w:t>
        </w:r>
      </w:hyperlink>
      <w:r w:rsidRPr="00E14102">
        <w:rPr>
          <w:color w:val="000000" w:themeColor="text1"/>
          <w:sz w:val="16"/>
          <w:szCs w:val="16"/>
        </w:rPr>
        <w:t>. А политсоставу, имеющему этот объем знаний, надо обязательно двигаться дальше. Политработник обязан знать военное дело, обязан систематически его изучать, обязан овладеть техникой того рода войск, где он работает.</w:t>
      </w:r>
    </w:p>
    <w:p w14:paraId="1DE2D59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Но в первую очередь политработник должен овладеть как следует политработой. Для этого он должен хорошо знать теорию и практику партийного строительства. Для этого он должен быть хорошо марксистско-ленински-сталински подготовлен. В истекшем году ПУ РККА и пуокры немало сделали для повышения теоретического уровня политсостава. Во всех округах была развернута большая работа по изучению политсоставом истории партии. ПУ РККА применяло вызов начподивов в Москву для проверки их политических знаний. Мною был отдан даже приказ с упоминанием фамилий политработников, политически плохо подготовленных и мало над собою работающих. В 1936 г. мы должны настойчиво добиваться, чтобы политработники основательно, глубоко изучали Маркса, Энгельса, Ленина, Сталина. Только высоко политически образованные и знающие военное дело политработники могут обеспечить высокое качество политработы в армии.</w:t>
      </w:r>
    </w:p>
    <w:p w14:paraId="2228386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Марксистско-ленинской подготовкой охвачен весь командный и начальствующий состав армии. 6877 чел. начсостава привлечены к руководству кружками и школами партпроса. В числе групповодов политзанятий насчитывается до 20 000 чел. начсостава. В крупных гарнизонах работают вечерние комвузы с охватом 2500 чел. партначсостава. Но я должен отметить следующие крупнейшие недостатки в марксистско-ленинской подготовке начсостава: много еще элементов формализма, школярства, схоластики; живая беседа не стала еще основным методом занятий; недостаточна помощь слушателям со стороны пропагандистов. Корень этих недочетов в слабой подготовке пропагандистских кадров, а решают пропагандисты. К сожалению, семинары пропагандистов не превратились еще в действительную школу их учебы. Устранить эти недостатки, повысить качество марксистско-ленинской подготовки — такова задача политорганов и парторганизаций на 1936 г. Надо добиться такого положения, чтобы весь наш командный и начальствующий состав изучал и знал основные труды тт. Ленина и Сталина. Каждый командир в нашей армии, в том числе и непартийный большевик, должен быть политически руководителем бойцов, а для этого надо быть политически грамотным человеком, надо знать учение Ленина - Сталина. Вот почему мы уделяем такое внимание марксистско-ленинской подготовке нашего командного и начальствующего состава.</w:t>
      </w:r>
    </w:p>
    <w:p w14:paraId="7C09872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Очень многое во всей работе командного и начальствующего состава упирается в недостаточную его общеобразовательную подготовку, особенно старших возрастов, среди которых много людей, не имевших в свое время возможности получить достаточную общеобразовательную подготовку. 1936 г. в связи с приказом наркома № 112</w:t>
      </w:r>
      <w:hyperlink r:id="rId234" w:anchor="_ftn10" w:history="1">
        <w:r w:rsidRPr="00E14102">
          <w:rPr>
            <w:rStyle w:val="a4"/>
            <w:color w:val="000000" w:themeColor="text1"/>
            <w:sz w:val="16"/>
            <w:szCs w:val="16"/>
          </w:rPr>
          <w:t>[10]</w:t>
        </w:r>
      </w:hyperlink>
      <w:r w:rsidRPr="00E14102">
        <w:rPr>
          <w:color w:val="000000" w:themeColor="text1"/>
          <w:sz w:val="16"/>
          <w:szCs w:val="16"/>
        </w:rPr>
        <w:t xml:space="preserve"> должен дать перелом в этом деле. Политорганы, которым сейчас это дело передано наркомом, должны в 1936 г. развернуть большую, серьезную и систематическую работу по налаживанию общеобразовательной подготовки. Сейчас по всей армии идет подбор инструментов общеобразовательной подготовки и учителей, ПУ РККА рассылает учебники, географические карты и другие учебные пособия. Я убежден в том, что мы в 1936 г. значительно продвинем это дело вперед. Политуправление РККА примет в 1936 г. все меры для того, чтобы как следует наладить общеобразовательную подготовку командного и начальствующего состава.</w:t>
      </w:r>
    </w:p>
    <w:p w14:paraId="149225E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Товарищи! Как видите, очень много больших задач стоит перед нашим командным, политическим и всем начсоставом. Часто приходится от отдельных товарищей слышать заявления: а где же время взять для всего этого? Тов. Сталин в своей речи на 1-м Всероссийском совещании стахановцев</w:t>
      </w:r>
      <w:r w:rsidRPr="00E14102">
        <w:rPr>
          <w:color w:val="000000" w:themeColor="text1"/>
          <w:sz w:val="16"/>
          <w:szCs w:val="16"/>
          <w:vertAlign w:val="superscript"/>
        </w:rPr>
        <w:t>14</w:t>
      </w:r>
      <w:r w:rsidRPr="00E14102">
        <w:rPr>
          <w:color w:val="000000" w:themeColor="text1"/>
          <w:sz w:val="16"/>
          <w:szCs w:val="16"/>
        </w:rPr>
        <w:t xml:space="preserve"> говорил: «Присмотритесь к товарищам стахановцам. Что это за люди? Это главным образом молодые или средних лет рабочие и работницы, люди культурные и технически подкованные, дающие образцы точности и аккуратности в работе, умеющие ценить фактор времени в работе и научившиеся считать время не только минутами, но и секундами»</w:t>
      </w:r>
      <w:bookmarkStart w:id="37" w:name="_ftnref11"/>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"http://istmat.info/node/33256" \l "_ftn11" \o "" </w:instrText>
      </w:r>
      <w:r w:rsidR="00B64C5C" w:rsidRPr="00E14102">
        <w:rPr>
          <w:color w:val="000000" w:themeColor="text1"/>
          <w:sz w:val="16"/>
          <w:szCs w:val="16"/>
        </w:rPr>
        <w:fldChar w:fldCharType="separate"/>
      </w:r>
      <w:r w:rsidRPr="00E14102">
        <w:rPr>
          <w:rStyle w:val="a4"/>
          <w:color w:val="000000" w:themeColor="text1"/>
          <w:sz w:val="16"/>
          <w:szCs w:val="16"/>
        </w:rPr>
        <w:t>[11]</w:t>
      </w:r>
      <w:r w:rsidR="00B64C5C" w:rsidRPr="00E14102">
        <w:rPr>
          <w:color w:val="000000" w:themeColor="text1"/>
          <w:sz w:val="16"/>
          <w:szCs w:val="16"/>
        </w:rPr>
        <w:fldChar w:fldCharType="end"/>
      </w:r>
      <w:bookmarkEnd w:id="37"/>
      <w:r w:rsidRPr="00E14102">
        <w:rPr>
          <w:color w:val="000000" w:themeColor="text1"/>
          <w:sz w:val="16"/>
          <w:szCs w:val="16"/>
        </w:rPr>
        <w:t>.</w:t>
      </w:r>
    </w:p>
    <w:p w14:paraId="45C3EC6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Вот, товарищи, сталинский ответ на вопрос о времени. Надо научиться точности и аккуратности в работе, надо научиться считать время не только минутами, но и секундами. А у нас, к сожалению, еще многие считают время часами и плохо считают даже часами. Мы с вами обязаны сами научиться точности и аккуратности в работе и научить этому же весь командный и начальствующий состав. Тогда у нас откроются огромные резервы времени для необходимой и полезной работы. Каждый из нас знает, как много времени бойцов, командиров и политработников преступно, без всякой пользы растрачивается из-за отсутствия строгого плана работы, четкого внутреннего распорядка в той или иной войсковой части.</w:t>
      </w:r>
    </w:p>
    <w:p w14:paraId="0850DFB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Товарищи! Правительством всему командному и начальствующему составу нашей армии присвоены персональные военные звания. Этот акт правительства возлагает большую ответственность на нас, на весь командный и начальствующий состав. Чем мы должны ответить на это ЦК нашей партии и правительству? Улучшением своей работы, повышением ответственности за свою работу, за свою квалификацию, за свое персональное звание.</w:t>
      </w:r>
    </w:p>
    <w:p w14:paraId="21A3677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Введение персональных военных званий требует воспитания во всем личном составе чувства глубокого уважения к этим званиям, к достоинству рядового бойца, командира и начальника. К сожалению, надо признать, что еще далеко не всюду, не во всех частях царит необходимая атмосфера взаимного уважения между бойцами и начальниками, между подчиненными и старшими начальниками. Нередко старший начальник позволяет себе недопустимую, незаконную форму обращения с подчиненным, имеют место даже случаи издевательства и рукоприкладства по отношению к красноармейцам. Мы ведем жестокую борьбу с этим, отдаем виновных под суд. Но дело отнюдь не в одних административных мерах. Дело во всей нашей повседневной воспитательной работе. Мы должны, мы обязаны в связи с введением персональных военных званий крепить еще больше боевую товарищескую большевистскую связь между всеми командирами, начальниками и рядовыми красноармейцами. Лейтенант, майор, полковник, комиссары всех рангов, весь командный и начальствующий состав должны стать еще более авторитетными, еще более близкими, чуткими, родными, товарищами и руководителями для красноармейцев. Крепкая, нерушимая боевая спайка между командным, начальствующим составом и рядовыми бойцами, взаимное доверие — первейшее условие боеспособности армии, и в этом великая сила нашей армии. Мы с вами обязаны всегда за этим следить в оба и все больше крепить эту могучую большевистскую спайку нашей армии.</w:t>
      </w:r>
    </w:p>
    <w:p w14:paraId="14C42C7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 О политработе с красноармейцами. Наша Красная армия всегда была и остается первоклассной школой политики и культуры. Но мы с вами должны помнить, что с каждым годом среди призывников приходит в армию все больше передовиков, ударников заводов и полей, людей, политически хорошо подготовленных, окончивших среднюю школу, много читающих. И если мы хотим сохранить, а мы обязаны и можем сохранить, за нашей армией высокое и почетное знание образцовой школы политики и культуры, то мы должны значительно улучшить все отрасли нашей политической работы. Мы обязаны значительно лучше поставить политзанятия, сделать их более поучительными, более живыми, интересными. Надо допускать к руководству политзанятиями только проверенных и политически грамотных людей. Надо бороться против зубрежки, казенщины, надо, чтобы красноармеец не формально, а глубоко по существу, с интересом, на конкретных фактах изучал политику.</w:t>
      </w:r>
    </w:p>
    <w:p w14:paraId="44EAF04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Надо в этом году крепко налечь на общеобразовательную подготовку красноармейцев, особенно неграмотных и малограмотных, а они еще есть. Надо хорошо поставить дело изучения географии. Надо обеспечить хорошее знание красноармейцами географической карты.</w:t>
      </w:r>
    </w:p>
    <w:p w14:paraId="0411ABB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Надо улучшить в армии дело политагитации. Политагитация должна быть живой, интересной, актуальной, насыщенной фактами и должна не отставать от событий. Последний год ПУР особенно усиленно нажимал на то, чтобы политорганы привили каждому красноармейцу вкус и потребность в ежедневной читке газеты. Кое-что сделано в этом отношении за последний год, но далеко еще не все. Необходимо в 1936 г. добиться такого положения, чтобы в армии не было ни одного бойца, ежедневно не читающего газеты. Если мы этого добьемся, то мы на целую голову политически подымем нашу армию.</w:t>
      </w:r>
    </w:p>
    <w:p w14:paraId="34F55AF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Необходимо улучшить нашу ежедневную политинформацию. Надо систематически на красноармейских собраниях обсуждать основные решения партии и правительства, крупные события международной политики. Красноармеец должен быть полно осведомлен о наших закордонных соседях, о вероятных противниках.</w:t>
      </w:r>
    </w:p>
    <w:p w14:paraId="43B01E4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Надо шире развернуть нашу массовую культурно-просветительную работу — кино, чтение художественной литературы, художественную самодеятельность. Возможностей у нас очень много. Достаточно сказать, что у нас в этом году вступили в строй 21 новый ДКА и 12 клубов. Правда, около 150 частей у нас еще не имеют клубных помещений. Количество звуковых киноустановок за год выросло с 334 до 560, автозвукокинопередвижек — с 54 до 141. У нас имеются 1407 немых киноустановок и 1500 радиоузлов. Мы имеем 2200 библиотек и свыше 20 млн книг. За первую половину 1935 г. взято из библиотек читателями 8 млн. книг, из них 3 млн художественной литературы. Пышно расцвела художественная самодеятельность. Если в 1934 г. в армии было 3500 коллективов и кружков, охватывающих 50 000 чел., то в 1935 г. мы имеем уже 10 000 коллективов и кружков, охватывающих 200 000 чел.</w:t>
      </w:r>
    </w:p>
    <w:p w14:paraId="56878F5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Все это говорит о том, что мы должны и можем в 1936 г. значительно выше поднять качество всей политической, всей культурно-просветительной работы среди красноармейцев. Вся наша политработа должна воспитывать героев-патриотов своей Родины, самоотверженных бойцов социализма, прекрасно знающих военное дело, политически грамотных, любящих нашу великую партию, готовых за нее и за нашего любимого Сталина жизнь отдать.</w:t>
      </w:r>
    </w:p>
    <w:p w14:paraId="29930A3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3. О различных происшествиях и отрицательных явлениях в политико-моральном состоянии войск. Очень много еще у нас аварий, катастроф, всяких несчастных случаев, при которых гибнет каждый год много людей. Имеет еще место пьянство, иногда с дебошем, имеют место даже случаи убийства своих жен и самоубийства, много еще всяких безобразий в быту. Я не буду приводить здесь цифр и отдельных вопиющих фактов, да и в этом и нужды нет, так как все присутствующие здесь хорошо знают обо всем этом.</w:t>
      </w:r>
    </w:p>
    <w:p w14:paraId="08FBEBB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же необходимо сделать, чтобы ликвидировать все эти отрицательные явления? Для этого необходимо улучшить воспитательную работу, усилить дисциплину, организованность, поднять чувство ответственности каждого бойца, командира и политработника за свою работу, а самое главное — перестать терпеть эти явления и повести с ними самую решительную, жестокую борьбу.</w:t>
      </w:r>
    </w:p>
    <w:p w14:paraId="438EE8D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Надо признать, что многие командиры и политработники притерпелись к этим отрицательным явлениям, мирятся с ними, а некоторые командиры и политработники считают их даже неизбежными. Часто командиры и политработники не прочь похвастать в каком-нибудь итоговом отчете, что всех этих безобразий за истекший год стало на 10-15% меньше, чем было в предыдущем году. Не ясно ли, что это гнилое, не большевистское, оппортунистическое отношение к делу. У нас с вами есть сейчас все необходимое для того, чтобы аварии, катастрофы, пьянки и всякие другие безобразия вовсе не имели места в нашей армии. Надо только нетерпимо ко всему относиться, надо только по-большевистски организовать и воспитывать людей.</w:t>
      </w:r>
    </w:p>
    <w:p w14:paraId="5C86F7F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 *</w:t>
      </w:r>
    </w:p>
    <w:p w14:paraId="40E293B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Товарищи! Разрешите на этом закончить свое выступление. Я не сомневаюсь в том, что вы подвергнете острой критике все недостатки в нашей армейской работе, и мы сообща наметим меры, которые в 1936 г. помогут нам решительно двинуть нашу армию вперед, сделать ее еще более сильной.</w:t>
      </w:r>
    </w:p>
    <w:p w14:paraId="4F4ACCE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Я убежден в том, что мы с вами под руководством т. Сталина и т. Ворошилова в 1936 г. будем работать значительно лучше, значительно более организованно и создадим, как этого требует т. Сталин, подлинно образцовый общевойсковой оркестр. Мы добьемся того, чтобы армейский организм, в том числе и наше войсковое хозяйство, как того требует т. Сталин, заработал, как хорошие часы. </w:t>
      </w:r>
      <w:r w:rsidRPr="00E14102">
        <w:rPr>
          <w:rStyle w:val="a6"/>
          <w:i w:val="0"/>
          <w:color w:val="000000" w:themeColor="text1"/>
          <w:sz w:val="16"/>
          <w:szCs w:val="16"/>
        </w:rPr>
        <w:t>(Аплодисменты.)</w:t>
      </w:r>
    </w:p>
    <w:p w14:paraId="03A3441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РГВА. Ф. 4. Оп. 18. Д. 52. Л. 9-14.</w:t>
      </w:r>
    </w:p>
    <w:p w14:paraId="2978B4A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Орлов</w:t>
      </w:r>
      <w:r w:rsidRPr="00E14102">
        <w:rPr>
          <w:rStyle w:val="a6"/>
          <w:i w:val="0"/>
          <w:color w:val="000000" w:themeColor="text1"/>
          <w:sz w:val="16"/>
          <w:szCs w:val="16"/>
          <w:vertAlign w:val="superscript"/>
        </w:rPr>
        <w:t>15</w:t>
      </w:r>
      <w:r w:rsidRPr="00E14102">
        <w:rPr>
          <w:rStyle w:val="a6"/>
          <w:i w:val="0"/>
          <w:color w:val="000000" w:themeColor="text1"/>
          <w:sz w:val="16"/>
          <w:szCs w:val="16"/>
        </w:rPr>
        <w:t>.</w:t>
      </w:r>
      <w:r w:rsidRPr="00E14102">
        <w:rPr>
          <w:color w:val="000000" w:themeColor="text1"/>
          <w:sz w:val="16"/>
          <w:szCs w:val="16"/>
        </w:rPr>
        <w:t xml:space="preserve"> Главная задача, поставленная перед Морскими силами приказами № 0101 и 0102</w:t>
      </w:r>
      <w:bookmarkStart w:id="38" w:name="_ftnref12"/>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"http://istmat.info/node/33256" \l "_ftn12" \o "" </w:instrText>
      </w:r>
      <w:r w:rsidR="00B64C5C" w:rsidRPr="00E14102">
        <w:rPr>
          <w:color w:val="000000" w:themeColor="text1"/>
          <w:sz w:val="16"/>
          <w:szCs w:val="16"/>
        </w:rPr>
        <w:fldChar w:fldCharType="separate"/>
      </w:r>
      <w:r w:rsidRPr="00E14102">
        <w:rPr>
          <w:rStyle w:val="a4"/>
          <w:color w:val="000000" w:themeColor="text1"/>
          <w:sz w:val="16"/>
          <w:szCs w:val="16"/>
        </w:rPr>
        <w:t>[12]</w:t>
      </w:r>
      <w:r w:rsidR="00B64C5C" w:rsidRPr="00E14102">
        <w:rPr>
          <w:color w:val="000000" w:themeColor="text1"/>
          <w:sz w:val="16"/>
          <w:szCs w:val="16"/>
        </w:rPr>
        <w:fldChar w:fldCharType="end"/>
      </w:r>
      <w:bookmarkEnd w:id="38"/>
      <w:r w:rsidRPr="00E14102">
        <w:rPr>
          <w:color w:val="000000" w:themeColor="text1"/>
          <w:sz w:val="16"/>
          <w:szCs w:val="16"/>
        </w:rPr>
        <w:t>, заключалась в овладении сосредоточенным ударом на основе новых форм взаимодействия Морских и Воздушных сил. Эта важнейшая задача решалась на всех отрядных учениях и учебных операциях наших флотов и флотилий.</w:t>
      </w:r>
    </w:p>
    <w:p w14:paraId="16B6186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имел возможность присутствовать на основных учебных операциях 3 морей — Балтийского, Черного и Северного. На основе моих личных наблюдений и всех результатов тактической подготовки Морских сил РККА можно сделать вывод, что за истекший учебный год в отработке сосредоточенного удара и воздушно-морского боя имеется налицо движение вперед и, по сравнению с прошлым годом, достигнуты некоторые усовершенствования в методах и приемах тактического взаимодействия, в частности, и в первую очередь по линии авиации, надводного флота и торпедных катеров. Нужно сказать, что в основном тактическое взаимодействие шло именно по линии авиации и надводного флота; только на Тихоокеанском флоте и Северной военной флотилии осуществлялось взаимодействие с подводными лодками. На Балтийском и Черноморском флотах, где кадры подводников были наиболее омоложены, соединения подлодок к тактическому взаимодействию почти не привлекались и проводили подготовку по своим особым планам.</w:t>
      </w:r>
    </w:p>
    <w:p w14:paraId="62D3A6D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Какие главные недостатки в области тактической подготовки флотов должны быть отмечены по итогам 1935 г.? Об этих недостатках здесь уже докладывал начальник Генерального штаба РККА Маршал Советского Союза т. Егоров. Это прежде всего неправильное выполнение сосредоточенного удара, который понимался в ряде случаев как самоцель, в результате чего не использовались благоприятные условия для нанесения противнику мощных последовательных частных ударов и для разгрома противника по частям. Нередко бывали случаи, когда противник подходил к определенному рубежу, совершенно не потерпев никакого урона и не получив удара на подходе к этому рубежу. Происходило это вследствие того, что ошибочно предполагалось необходимым нанести во что бы то ни стало одновременный удар всеми силами. Между тем подобный образ действий в реальной боевой обстановке при инициативных действиях противника не всегда будет доступен и целесообразен. Это, конечно, очень крупный недостаток, и замечания начальника Генерального штаба по этому поводу являются совершенно правильными.</w:t>
      </w:r>
    </w:p>
    <w:p w14:paraId="6CB4B4D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Следует отметить, что вопросы преодоления обороны противника (его разведки, охранения, дозоров) также в ряде учебных операций и на многих отрядных учениях не получили должного отражения. Имели место, наконец, случаи, когда обеспечение и поддержка тех сил, которые наносили удар по главному объекту, были совершенно недостаточны. Были случаи пренебрежения к обеспечению атаки по главному объекту при помощи дымзавес, т.е. то, на что еще в прошлом году народный комиссар обороны обращал особенное внимание нашего командного состава.</w:t>
      </w:r>
    </w:p>
    <w:p w14:paraId="6B8A660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Требование приказа № 0101 — «ставить противника в невыгодные для ведения огня условия» — в ряде случаев не выполнялось и даже забывалось вовсе.</w:t>
      </w:r>
    </w:p>
    <w:p w14:paraId="377A321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Взаимодействие с Сухопутными войсками имело место на всех морях и на всех флотилиях. Однако наиболее сложная часть смешанных операций — огневое взаимодействие, в частности десантных войск, высаженных на берег, и кораблей поддержки десанта, проводилось в этом году все еще неудовлетворительно.</w:t>
      </w:r>
    </w:p>
    <w:p w14:paraId="65E0010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области боевого управления следует констатировать значительное отставание наших морских штабов, особенно походных. Только к концу года нам удалось добиться приближения системы и методов боевого управления к действительной боевой обстановке.</w:t>
      </w:r>
    </w:p>
    <w:p w14:paraId="5D93781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Основные недостатки боевого управления заключались в неумелом и неправильном использовании средств связи, чрезвычайной и недопустимой перегрузке радиосвязи на всех без исключения учебных операциях. Перегрузка радиосвязи вела, во-первых, к нарушению скрытности боевого управления, во-вторых, к чрезвычайному перенапряжению технических средств, в результате чего в самый нужный момент они могли отказать в действии. Имели место случаи безобразного нарушения скрытности управления не только по радио, но и благодаря использованию телефонов для передачи совершенно секретных и секретных донесений. Были также случаи передачи секретных радиограмм, что нарушало секретность операции. Для морских сил особенно недопустимо чрезмерное использование радиосвязи, так как это ведет к обнаружению передвижения своих сил в море при помощи радиопеленгаторных средств противника.</w:t>
      </w:r>
    </w:p>
    <w:p w14:paraId="7D73572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Служба штабов в большинстве случаев, как только изменялась обстановка, как только возникали новые осложняющие обстоятельства, давала сейчас же ряд очень серьезных перебоев в своей работе.</w:t>
      </w:r>
    </w:p>
    <w:p w14:paraId="4CE29D7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 числу крупных недостатков боевого управления следует отнести и плохое осуществление штабами контроля над выполнением и движением оперативных распоряжений, что особенно опасно в условиях боевой деятельности морского флота.</w:t>
      </w:r>
    </w:p>
    <w:p w14:paraId="2CBF266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приказанию народного комиссара обороны мною была произведена специальная проверка этой важной отрасли боевого управления. После того как народный комиссар обороны обнаружил на Черноморском флоте совершенно недопустимое отношение к передаче одного оперативного распоряжения, шедшего из Москвы, мною была произведена проверка передачи аналогичных распоряжений по всем флотам.</w:t>
      </w:r>
    </w:p>
    <w:p w14:paraId="3C31579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итоге этой проверки выяснилось, что на Черноморском флоте на прохождение распоряжения через все инстанции потребовалось 15 мин.</w:t>
      </w:r>
    </w:p>
    <w:p w14:paraId="4BFB418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15 мин. для чего это?</w:t>
      </w:r>
    </w:p>
    <w:p w14:paraId="010ED9C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Орлов.</w:t>
      </w:r>
      <w:r w:rsidRPr="00E14102">
        <w:rPr>
          <w:color w:val="000000" w:themeColor="text1"/>
          <w:sz w:val="16"/>
          <w:szCs w:val="16"/>
        </w:rPr>
        <w:t xml:space="preserve"> Для того чтобы расшифровать распоряжение, передать его через штаб исполнителю, для этого на Черноморском флоте требуется 15 мин. Вы на основании того, что исполнение вашего распоряжения на Черноморском флоте по вине штабной и шифровальной службы задержалось на 10 часов, приказали мне произвести общую проверку управления по всем морям. В результате этой проверки, которая вытекала из обнаруженного вами безобразного состояния передачи распоряжений на Черном море, я и произвел проверку на всех морях. Оказалось, что оперативное распоряжение при равных условиях прошло с момента получения на месте через все органы связи на Черном море в 15 мин., на Северной военной флотилии — 32 мин., на Балтийском флоте в 1 ч. 35 мин., причем в этом случае сам командующий несколько задержал исполнение распоряжения. На Тихоокеанском флоте распоряжение шло 3 часа, т.е. совершенно недопустимое по длительности время, и на Каспийской флотилии — 6 ч. 26 мин.</w:t>
      </w:r>
    </w:p>
    <w:p w14:paraId="31C55E1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Почему это произошло?</w:t>
      </w:r>
    </w:p>
    <w:p w14:paraId="7BB6838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Орлов.</w:t>
      </w:r>
      <w:r w:rsidRPr="00E14102">
        <w:rPr>
          <w:color w:val="000000" w:themeColor="text1"/>
          <w:sz w:val="16"/>
          <w:szCs w:val="16"/>
        </w:rPr>
        <w:t xml:space="preserve"> Произошло это вследствие длительности вызова радиостанции дежурного корабля из-за плохой организации службы, расхлябанности дежурного по походному штабу, самовольного изменения в процессе передачи грифа телеграммы и искажения ее текста.</w:t>
      </w:r>
    </w:p>
    <w:p w14:paraId="23E1813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этими примерами хочу подтвердить, что указания, которые были сделаны здесь т. Гамарником относительно секунд и минут, должны лечь в основу нашей работы. Сейчас передача оперативных распоряжений у нас на флотах неудовлетворительна, и командующими должны быть приняты самые решительные меры для того, чтобы прекратить это безобразие.</w:t>
      </w:r>
    </w:p>
    <w:p w14:paraId="1D27EEA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Таким образом, боевое управление является отстающим звеном во всей системе боевой подготовки наших морских сил. 1936 г. должен дать окончательное и бесповоротное положительное разрешение этой задачи и полную ликвидацию недопустимых явлений, о которых я здесь докладывал.</w:t>
      </w:r>
    </w:p>
    <w:p w14:paraId="1FFA7EC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Овладение сложными формами огня. В этой области мы также имели, как и в области тактического взаимодействия, движение вперед и совершенствование по сравнению с прошлым годом.</w:t>
      </w:r>
    </w:p>
    <w:p w14:paraId="67DEDF3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Если взять цифры по артиллерии, то можно сделать вывод, что при увеличении общего количества артиллерийских стрельб по всем калибрам в 1935 г. по сравнению с предыдущими годами, в частности с 1934 г., мы имеем некоторое повышение качества стрельб, причем это произошло при условии введения более жестких методов оценки стрельб.</w:t>
      </w:r>
    </w:p>
    <w:p w14:paraId="6C2697B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Итоги в цифрах по всем морям следующие: отличных стрельб — 28%, хороших — 36%, удовлетворительных, т.е. по сути дела посредственных — 28% и неудовлетворительных — 8% (по сравнению с 17% неудовлетворительных в прошлом году).</w:t>
      </w:r>
    </w:p>
    <w:p w14:paraId="1F97846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Обращает на себя внимание недопустимость наличия неудовлетворительных стрельб и все еще большой процент посредственных стрельб. Поэтому, несмотря на качественный рост по сравнению с предыдущим годом артиллерийской подготовки, надо признать ее еще не достаточной для выполнения тех высоких требований, которые мы предъявляем, особенно учитывая то обстоятельство, что значительное количество стрельб происходило в сравнительно простых условиях, т.е. тех условиях, которые мы называем полигонными (при сравнительно малых ходах, при заранее произведенной подготовке, при хороших условиях видимости и т.д.).</w:t>
      </w:r>
    </w:p>
    <w:p w14:paraId="12BE2D9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Были проведены некоторые сложные стрельбы, преимущественно на Черноморском флоте и отчасти на Тихоокеанском флоте и Амурской Краснознаменной военной флотилии. К числу таких сложных стрельб нужно отнести стрельбы по невидимой и временно скрывающейся цели, стрельбы на боевых скоростях кораблей и при увеличенных скоростях щитов.</w:t>
      </w:r>
    </w:p>
    <w:p w14:paraId="24E6F39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Ночные стрельбы кораблей (на ходу) и батарей были проведены в большем количестве и на больших дистанциях (до 87 кабельтовых).</w:t>
      </w:r>
    </w:p>
    <w:p w14:paraId="4B1B882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Качественное выполнение зенитных стрельб выше прошлогоднего.</w:t>
      </w:r>
    </w:p>
    <w:p w14:paraId="7A42FEA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Таким образом, следует отметить, что имеется улучшение в области овладения сложными формами артиллерийского огня, но, как я уже сказал, при повышающихся и усложненных боевых требованиях мы успокоиться на этих результатах ни при каких условиях не можем.</w:t>
      </w:r>
    </w:p>
    <w:p w14:paraId="77305F9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области торпедной подготовки мы имеем увеличение количество торпедных стрельб при стабильном количестве потерянных торпед по сравнению с прошлым годом (1,8% от общего количества выстрелов).</w:t>
      </w:r>
    </w:p>
    <w:p w14:paraId="15D0786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Налицо также увеличение количества минных заградительных постановок.</w:t>
      </w:r>
    </w:p>
    <w:p w14:paraId="79A8D39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Успешность торпедных стрельб и минных постановок повысилась. Но наряду с этим нужно подчеркнуть, что минно-торпедная подготовка подводных лодок и нашей морской авиации значительно отстает от общего уровня торпедной и минной подготовки остальных соединений.</w:t>
      </w:r>
    </w:p>
    <w:p w14:paraId="5CC9906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Ликвидация отставания торпедной и минной подготовки подводных лодок и авиации является одной из самых важных задач наряду с усилением тральной подготовки.</w:t>
      </w:r>
    </w:p>
    <w:p w14:paraId="3BB5D61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области ПХО имеются несомненные успехи, которые заключались в том, что почти не было крупных учений флота, на которых не были применены отравляющие вещества, и не производилось бы действительного использования всех средств дегазации, имеющихся на флотах.</w:t>
      </w:r>
    </w:p>
    <w:p w14:paraId="49E361A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Таким образом, применение отравляющих веществ с последующей дегазацией стало обычным явлением на наших учениях, что нужно отметить как положительный факт.</w:t>
      </w:r>
    </w:p>
    <w:p w14:paraId="33257AE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Не было бы несчастных случаев.</w:t>
      </w:r>
    </w:p>
    <w:p w14:paraId="3FE92E8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Орлов.</w:t>
      </w:r>
      <w:r w:rsidRPr="00E14102">
        <w:rPr>
          <w:color w:val="000000" w:themeColor="text1"/>
          <w:sz w:val="16"/>
          <w:szCs w:val="16"/>
        </w:rPr>
        <w:t xml:space="preserve"> В этом году несчастных случаев не было.</w:t>
      </w:r>
    </w:p>
    <w:p w14:paraId="6FAB1B3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Применение дымовых завес на морях не может быть признано достаточным.</w:t>
      </w:r>
    </w:p>
    <w:p w14:paraId="123F872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ряде случаев использование дымовых завес происходило тактически не вполне правильно, а в ряде случаев с большим опозданием.</w:t>
      </w:r>
    </w:p>
    <w:p w14:paraId="2A301D4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штурманской подготовке имеются успехи, но все-таки нужно отметить, что в этой области при общем снижении аварийности аварии и катастрофы все еще имели место. Против 16 аварий и катастроф прошлого года мы имели в 1935 г. во флоте 10 аварий и катастроф, в том числе большую и тяжелую катастрофу — гибель со всем личным составом подводной лодки «Б-3», которая произошла на Балтийском море из-за неправильного маневрирования линкора «Марат» и подводной лодки, а также вследствие совершенно неудовлетворительно подготовленной организации совместного учения лодок и линейного корабля</w:t>
      </w:r>
      <w:r w:rsidRPr="00E14102">
        <w:rPr>
          <w:color w:val="000000" w:themeColor="text1"/>
          <w:sz w:val="16"/>
          <w:szCs w:val="16"/>
          <w:vertAlign w:val="superscript"/>
        </w:rPr>
        <w:t>16</w:t>
      </w:r>
      <w:r w:rsidRPr="00E14102">
        <w:rPr>
          <w:color w:val="000000" w:themeColor="text1"/>
          <w:sz w:val="16"/>
          <w:szCs w:val="16"/>
        </w:rPr>
        <w:t>.</w:t>
      </w:r>
    </w:p>
    <w:p w14:paraId="12DF5B2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морской авиации общий налет около 44 000 часов, из них ночных и под колпаком около 10 000 часов.</w:t>
      </w:r>
    </w:p>
    <w:p w14:paraId="1DB78E8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Тихоокеанскому флоту — основные воздушные соединения подготовлены к дневным действиям в составе эскадрилий с высот 3000 мик ночной бомбардировке в составе отрядов.</w:t>
      </w:r>
    </w:p>
    <w:p w14:paraId="25E48C5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Наибольшие успехи по авиации следует констатировать по Тихоокеанскому флоту, где наибольшее количество самолетов, в том числе сухопутных, принимали участие в учебных операциях и в совместных действиях.</w:t>
      </w:r>
    </w:p>
    <w:p w14:paraId="4BE8CCA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Черноморскому флоту — основные соединения готовы к дневным и ночным действиям в составе отрядов. На Черном море успешно начата отработка авиации для ночных разведывательных действий. Значительное количество самолетов бьшо привлечено к узловой учебной операции Черноморского флота, и, что особенно важно, на Черном море производилась тренировка не только в отражении неприятельской воздушной атаки на свою базу, но и в самостоятельных действиях авиации по базам и кораблям противника на большом удалении от своих аэродромов.</w:t>
      </w:r>
    </w:p>
    <w:p w14:paraId="3CFF335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Авиация Балтийского флота отработана слабее и подготовлена к дневным действиям в составе отрядов.</w:t>
      </w:r>
    </w:p>
    <w:p w14:paraId="2560D42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Авиаотряды речных флотилий работали удовлетворительно.</w:t>
      </w:r>
    </w:p>
    <w:p w14:paraId="0EB72C8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Главнейшими общими недостатками в подготовке авиации являются:</w:t>
      </w:r>
    </w:p>
    <w:p w14:paraId="243389B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 Слабость боевого управления в воздухе.</w:t>
      </w:r>
    </w:p>
    <w:p w14:paraId="6836E91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 Недоработанность ночных действий, действий из-за облаков и высотных длительных полетов соединений.</w:t>
      </w:r>
    </w:p>
    <w:p w14:paraId="1D98759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3. Неотработанность самостоятельных действий против воздушного противника и действий на коммуникациях.</w:t>
      </w:r>
    </w:p>
    <w:p w14:paraId="7CE2F23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4. Неудовлетворительность разведывательных действий (слабая ориентировка летнабов в морской обстановке, недостаточная, несмотря на успехи, скрытность разведки).</w:t>
      </w:r>
    </w:p>
    <w:p w14:paraId="2973578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5. Невыполнение огневой подготовки воздушного Торпедо- и ми-нометания ввиду отсутствия соответствующего оборудования (отрабатывалось только маневрирование).</w:t>
      </w:r>
    </w:p>
    <w:p w14:paraId="48F2131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6. Неотработанность организации боевого тыла.</w:t>
      </w:r>
    </w:p>
    <w:p w14:paraId="09D3178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боевой подготовке подводных лодок следует отметить неравномерность и пестроту, которые прежде всего объясняются тем, что наиболее опытные и отработанные кадры сосредоточены на Тихом океане и Севере, куда переброшены из Балтийской и Черноморской бригад лучшие командиры и специалисты-подводники.</w:t>
      </w:r>
    </w:p>
    <w:p w14:paraId="023B269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первом месте по боевой подготовке подводных лодок стоит Тихоокеанский флот. Боевая подготовка подводных лодок на Тихоокеанском флоте дала важные и ценные результаты по части использования лодок в пределах полной их автономности.</w:t>
      </w:r>
    </w:p>
    <w:p w14:paraId="3243077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Кроме того, следует отметить, что на Тихоокеанском флоте подводные лодки подготовлены к производству торпедных атак по противнику, идущему переменным курсом с охранением.</w:t>
      </w:r>
    </w:p>
    <w:p w14:paraId="5082B0C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Черноморском и Балтийском флотах вследствие молодости командных кадров (много командиров командуют лодками первый год) подлодки значительно отстали во всех отраслях боевой подготовки, особенно тактической.</w:t>
      </w:r>
    </w:p>
    <w:p w14:paraId="40C3E05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Северной военной флотилии, где на подлодках мы располагаем сильным в морском отношении командным составом и прекрасными специалистами во главе с командиром отдельного дивизиона подлодок т. Грибоедовым К.Н., подготовка шла хорошо. В частности, лодками был совершен в условиях штормовой погоды успешный и полезный поход Архангельск — Новая Земля - Нордкап — Мурманск.</w:t>
      </w:r>
    </w:p>
    <w:p w14:paraId="35831A1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области боевой подготовки торпедных катеров на первом месте Тихоокеанский флот, где следует отметить успешную работу специальных катеров, прошедших под специальным управлением в сумме 12 тыс. миль и выполнивших ряд сложных упражнений.</w:t>
      </w:r>
    </w:p>
    <w:p w14:paraId="018DAB9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Сравнивая Черноморский и Балтийский флоты, следует заметить, что лучше подготовлены черноморские катера. К числу причин, тормозивших подготовку по торпедным катерам, нужно отнести недостатки конструктивного порядка, которые выводили катера из строя, особенно на Балтике, где действие волны на корпуса катеров наиболее неблагоприятно. Сейчас катера исправляются, но следует сказать, что это привело к недостаточному использованию их в летней кампании.</w:t>
      </w:r>
    </w:p>
    <w:p w14:paraId="32FBBC2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Перехожу к определению на основе всего вышесказанного основных задач, стоящих перед Морскими силами РККА на 1936 г.</w:t>
      </w:r>
    </w:p>
    <w:p w14:paraId="7E6D31C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Первая задача, по моему мнению, заключается прежде всего в повышении уровня морской подготовки всего нашего личного состава.</w:t>
      </w:r>
    </w:p>
    <w:p w14:paraId="3E1A907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считаю этот вопрос настолько важным для нашего флота, что выдвигаю его в порядке очередности на первое место.</w:t>
      </w:r>
    </w:p>
    <w:p w14:paraId="1C2420A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Под морской подготовкой я понимаю усиление длительных, далеких походов с отрывом от баз, пребывание в море на максимальном пределе, выход в море в шторм, в тяжелых условиях погоды, т.е. все то, что вырабатывает настоящего моряка, владеющего своим кораблем и оружием в любых условиях.</w:t>
      </w:r>
    </w:p>
    <w:p w14:paraId="3106A70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Это тот фундамент, на базе которого будет двигаться быстро в дальнейшем вся боевая подготовка флота, оперативно-тактическая в частности. В самом деле, у нас имеются случаи, когда молодые командиры, попадая в штормовые условия, не могут вследствие отсутствия практических навыков найти выхода из тяжелого положения. Они иногда терпят аварии в результате этого и во всяком случае не могут использовать в сложных условиях своего оружия. Между тем тренировка в тяжелых штормовых условиях на Севере, на Тихом океане, на Балтике и на том же Черном море, где приступили усиленно к этой работе уже в текущем году, в первую очередь на подлодках, показала существенные недостатки подготовки к плаванию в штормовых условиях. После каждого такого похода люди работали значительно лучше.</w:t>
      </w:r>
    </w:p>
    <w:p w14:paraId="6743708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Таким образом, морская подготовка, выработка морских качеств, отработка одиночного плавания, готового к любым штормам и неблагоприятным условиям, — одна из основных и решающих задач в связи с молодостью наших кадров и в связи с тем, что они нуждаются в усилении морской тренировки, ибо в короткий срок должны полностью овладеть военно-морским делом.</w:t>
      </w:r>
    </w:p>
    <w:p w14:paraId="21406D2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 боевое управление. Нам нужно обеспечить непрерывное скрытое управление на всех этапах операции и современного быстротечного морского боя в условиях изменяющейся обстановки.</w:t>
      </w:r>
    </w:p>
    <w:p w14:paraId="3FA7DB3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Это требует усиленной, под непосредственным руководством командующих и командиров соединений, тренировки штабов всех ступеней. Это требует внесения безупречной четкости в систему связи и повышения культуры штабной работы.</w:t>
      </w:r>
    </w:p>
    <w:p w14:paraId="25919E5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Точное и грамотное выполнение за время операции каждым штабным командиром своих ответственейших функций на боевом посту, жесткий контроль за передачей и исполнением распоряжений, имеющий исключительное значение, проведение командующими специальных штабных игр с фактическим применением средств связи — вот что нам нужно в первую очередь в области боевого управления.</w:t>
      </w:r>
    </w:p>
    <w:p w14:paraId="5E74C69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Относительно обучения методам ведения типовых операций. Нет надобности выдумывать новые задачи для морских сил на 1936 г., а нужно продолжать выполнение той основной задачи, которая поставлена народным комиссаром обороны, т.е. отработка сосредоточенного удара на основе новых форм боевых совместных действий Морских и Воздушных сил. Нужно, однако, добиться отчетливого понимания, что сосредоточенный удар не самоцель, а одно из самых действительных средств для нанесения противнику разгрома, причем сосредоточенный удар не исключает, а предусматривает нанесение противнику частных, мощных последовательных ударов на всю дальность действий авиации, на всю дальность действий подводных лодок, на всех этапах продвижения противника в море.</w:t>
      </w:r>
    </w:p>
    <w:p w14:paraId="40F2D41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Всякие ошибки в этом отношении должны быть, разумеется, устранены, ибо тактика глубокого боя на море есть не что иное, как подавление и преодоление всех средств обороны противника с последующим проведением мощной атаки по максимально оголенному главному объекту атаки.</w:t>
      </w:r>
    </w:p>
    <w:p w14:paraId="3EC026C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Следующая задача — это переход по-настоящему к овладению сложными формами огня. Я думаю, что не ошибусь, если скажу, что основы ведения артиллерийского огня обычными морскими методами мы освоили, но использование огневых средств в сложных условиях, в условиях внезапной встречи с противником или когда нужно одновременно вести бой главным калибром, отражать воздушные атаки или атаки миноносцев и вместе с тем использовать свое торпедное оружие — это еще требует от нас большой работы и упорной тренировки. Тут мы сделали только первые шаги. Поэтому переход на сложные формы огневого дела является основой нашей дальнейшей работы по артиллерии, торпедам и минам.</w:t>
      </w:r>
    </w:p>
    <w:p w14:paraId="6C9CED7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области повышения подготовки авиации я отмечу следующее. Я обращаюсь к начальнику Генерального штаба по этому поводу. Я считаю, что помимо той морской авиации, которая находится в составе флотов, и наряду с усилением бомбардировочной, торпедно-минной и разведывательной подготовки морской авиации нам нужно гораздо шире применять на море сухопутную авиацию, в частности — тяжелую бомбардировочную. Мы имеем положительный опыт на Тихом океане и на Черном море. Но этого мало. Для того чтобы морскому противнику нанести сокрушительный бомбовой удар, нужно умело действовать крупными авиационными массами. Поэтому необходимо развернуть подготовку сухопутной авиации к действиям по морскому противнику совместно с нашим флотом.</w:t>
      </w:r>
    </w:p>
    <w:p w14:paraId="5B4E14F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области подготовки подводных лодок, продолжая тщательную отработку каждой лодки к самостоятельным одиночным действиям, в 1936 г. мы должны поднять уровень тактической подготовки подлодок и усилить взаимодействие лодок с авиацией и надводными кораблями.</w:t>
      </w:r>
    </w:p>
    <w:p w14:paraId="5D88216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Заканчивая свой доклад, сделаю два дополнительных замечания. Надо прежде всего иметь в виду — командующим флотами в частности и в особенности, — что условия 1935 г. для боевой подготовки флотов останутся такими же и в 1936 г., и в ближайшие годы. Эти условия заключаются в том, что наши молодые кадры </w:t>
      </w:r>
      <w:r w:rsidRPr="00E14102">
        <w:rPr>
          <w:color w:val="000000" w:themeColor="text1"/>
          <w:sz w:val="16"/>
          <w:szCs w:val="16"/>
        </w:rPr>
        <w:lastRenderedPageBreak/>
        <w:t>требуют огромной работы над ними, кропотливого выращивания командиров для новых вступающих в строй кораблей, умелого обучения, воспитания и постоянного внимания.</w:t>
      </w:r>
    </w:p>
    <w:p w14:paraId="4A75363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 отработкой и выращиванием кадров связана загрузка боевых кораблей курсантами наших учебных заведений. Я знаю, что некоторые товарищи предполагают, что можно найти какое-то легкое разрешение этого вопроса. Мы вводим в состав морских сил несколько учебных кораблей, но и это при огромном развертывании подготовки командирских кадров не решает вопроса полностью. Поэтому нужно иметь в виду, что на боевых кораблях будут и впредь подготавливаться командные кадры наших вузов.</w:t>
      </w:r>
    </w:p>
    <w:p w14:paraId="0DACD93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Затем испытания новых кораблей, которые заставляют отвлекаться в известной мере от боевой подготовки. А у нас большое количество новых кораблей будет вступать в строй в 1936 г.</w:t>
      </w:r>
    </w:p>
    <w:p w14:paraId="3B1687B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Таким образом, эти условия, которые в значительной мере усложняют всю учебу, останутся в силе и на 1936 г. и потребуют от флотов и их командующих умелого планирования боевой подготовки, рационального использования времени, правильной расстановки людей.</w:t>
      </w:r>
    </w:p>
    <w:p w14:paraId="6A609AA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Дифференциация боевой подготовки по кораблям должна идти по трем направлениям.</w:t>
      </w:r>
    </w:p>
    <w:p w14:paraId="171983C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Первая группа — те корабли, единицы и соединения, которые прошли в 1935 г. нормальную боевую подготовку и участвовали в учебных операциях.</w:t>
      </w:r>
    </w:p>
    <w:p w14:paraId="48E07ED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Вторая группа — корабли, вступивши в строй в 1935 г., еще не прошедшие всей подготовки и находившиеся в истекшем году в организационном периоде.</w:t>
      </w:r>
    </w:p>
    <w:p w14:paraId="676E13D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 третья группа — корабли, которые будут вступать в строй в 1936 г.</w:t>
      </w:r>
    </w:p>
    <w:p w14:paraId="04FCA30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Если взять такую дифференциацию и по этим трем направлениям составить нашу программу, если жестко и четко планировать боевую подготовку каждой из этих трех групп, то все усложняющие обстоятельства будут в значительной мере смягчены и устранены.</w:t>
      </w:r>
    </w:p>
    <w:p w14:paraId="6B07480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Последнее мое замечание заключается в том, что на основе тех наставлений о боевой деятельности однородных соединений (подводных лодок, эскадренных миноносцев, торпедных катеров), которые мы уже имеем, мы теперь можем и должны перейти на основе опыта морей к составлению общетактических наставлений для наших флотов по отдельным, наиболее типовым и важным для данного моря операциям. На основе опыта, накопленного нами, необходимо немедленно приступить к составлению таких общетактических наставлений для проверки их на учениях и учебных операциях 1936 г.</w:t>
      </w:r>
    </w:p>
    <w:p w14:paraId="1162A0B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14-Лоб.</w:t>
      </w:r>
    </w:p>
    <w:p w14:paraId="0FBB54A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Переходим к прениям.</w:t>
      </w:r>
    </w:p>
    <w:p w14:paraId="20AC81C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Все недочеты, имеющиеся в нашей армии, в том числе и в войсках Приволжского округа</w:t>
      </w:r>
      <w:r w:rsidRPr="00E14102">
        <w:rPr>
          <w:color w:val="000000" w:themeColor="text1"/>
          <w:sz w:val="16"/>
          <w:szCs w:val="16"/>
          <w:vertAlign w:val="superscript"/>
        </w:rPr>
        <w:t>17</w:t>
      </w:r>
      <w:r w:rsidRPr="00E14102">
        <w:rPr>
          <w:color w:val="000000" w:themeColor="text1"/>
          <w:sz w:val="16"/>
          <w:szCs w:val="16"/>
        </w:rPr>
        <w:t>, со всей четкостью и ясностью вскрыл Ян Борисович</w:t>
      </w:r>
      <w:bookmarkStart w:id="39" w:name="_ftnref13"/>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"http://istmat.info/node/33256" \l "_ftn13" \o "" </w:instrText>
      </w:r>
      <w:r w:rsidR="00B64C5C" w:rsidRPr="00E14102">
        <w:rPr>
          <w:color w:val="000000" w:themeColor="text1"/>
          <w:sz w:val="16"/>
          <w:szCs w:val="16"/>
        </w:rPr>
        <w:fldChar w:fldCharType="separate"/>
      </w:r>
      <w:r w:rsidRPr="00E14102">
        <w:rPr>
          <w:rStyle w:val="a4"/>
          <w:color w:val="000000" w:themeColor="text1"/>
          <w:sz w:val="16"/>
          <w:szCs w:val="16"/>
        </w:rPr>
        <w:t>[13]</w:t>
      </w:r>
      <w:r w:rsidR="00B64C5C" w:rsidRPr="00E14102">
        <w:rPr>
          <w:color w:val="000000" w:themeColor="text1"/>
          <w:sz w:val="16"/>
          <w:szCs w:val="16"/>
        </w:rPr>
        <w:fldChar w:fldCharType="end"/>
      </w:r>
      <w:bookmarkEnd w:id="39"/>
      <w:r w:rsidRPr="00E14102">
        <w:rPr>
          <w:color w:val="000000" w:themeColor="text1"/>
          <w:sz w:val="16"/>
          <w:szCs w:val="16"/>
        </w:rPr>
        <w:t>. Я думаю, что повторять их нет надобности. Я хотел бы остановиться на трех вопросах: огневая подготовка, подготовка высшего командного и начальствующего состава и высших штабов, комплектование и подготовка полковых школ. Мне кажется, что от неправильного понимания вопроса делается неправильная оценка и неправильные выводы.</w:t>
      </w:r>
    </w:p>
    <w:p w14:paraId="14FAD48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такое огневая подготовка — спрашиваем мы себя четыре года подряд. И этот вопрос до сегодняшнего дня ясности не имеет. Под огневой подготовкой, по определению т. Василенко, понимается меткий выстрел. К этому меткому выстрелу приспособлены открытые стрельбища, которые называются полковыми стрельбищами. Размер их 4'/</w:t>
      </w:r>
      <w:r w:rsidRPr="00E14102">
        <w:rPr>
          <w:color w:val="000000" w:themeColor="text1"/>
          <w:sz w:val="16"/>
          <w:szCs w:val="16"/>
          <w:vertAlign w:val="subscript"/>
        </w:rPr>
        <w:t>2</w:t>
      </w:r>
      <w:r w:rsidRPr="00E14102">
        <w:rPr>
          <w:color w:val="000000" w:themeColor="text1"/>
          <w:sz w:val="16"/>
          <w:szCs w:val="16"/>
        </w:rPr>
        <w:t xml:space="preserve"> м по фронту и 600 м в глубину. Что делают на этих стрельбищах? Обучают меткому выстрелу. Никакой огневой подготовки не проводится.</w:t>
      </w:r>
    </w:p>
    <w:p w14:paraId="75B926B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В каком округе?</w:t>
      </w:r>
    </w:p>
    <w:p w14:paraId="5B0E761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В Приволжском и других.</w:t>
      </w:r>
    </w:p>
    <w:p w14:paraId="54D470A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Это неверно, не во всех округах.</w:t>
      </w:r>
    </w:p>
    <w:p w14:paraId="74F3520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Подготовка одиночного бойца заканчивается боевыми стрельбами роты и взвода. В этих стрельбах принимает участие боец и привлекается пулеметный взвод. Но нельзя назвать, что это есть огневая подготовка, когда совместно с пехотной ротой, батальоном не действует, не принимает участия в боевых стрельбах артиллерия, не принимают участия танки, не принимают участия химические части. Эти задачи совершенно не ставились наставлением на 1935 г. Мы ограничиваемся боевыми стрельбами в составе роты, взвода станковых пулеметов, но это есть только боевая стрельба отдельных подразделений.</w:t>
      </w:r>
    </w:p>
    <w:p w14:paraId="359F6ED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этом основании какие задачи стоят перед высшим начсоставом?</w:t>
      </w:r>
    </w:p>
    <w:p w14:paraId="406C689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Если взять 13-ю статью наставления по огневой подготовке, то там, по сути, говоря, высшему начсоставу отводится роль, которую должен выполнять комендант или дежурный по стрельбищам — это отвод стрельбищ. Но зато совершенно отсутствуют в наставлении указания относительно методики и расчетов по огневой подготовке всех родов войск.</w:t>
      </w:r>
    </w:p>
    <w:p w14:paraId="19F5B9C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Если взять на сегодняшний день стрельбища, которые мы имеем, ни одно из них по своему размеру, оборудованию не соответствует тому, чтобы проводить огневую подготовку на фоне тактической задачи и боевые стрельбы в составе стрелкового батальона, пулеметной роты, взвода или роты танков, дивизиона артиллерии и других родов войск. Такое учебное поле можно оборудовать только на артиллерийских полигонах, и артиллерийские полигоны, безусловно, могут быть использованы для этой цели. Я считаю, что весь вопрос огневой подготовки должен быть целиком и полностью пересмотрен, потому что мы практически заканчиваем нашу огневую подготовку, если можно так назвать, только лишь боевыми стрельбами в составе роты с приданым взводом станковых пулеметов, без взаимодействия с подразделениями артиллерии и дивизионных танков.</w:t>
      </w:r>
    </w:p>
    <w:p w14:paraId="02E40AD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отношении подготовки высшего начсостава. Мне кажется, на протяжении последних шести лет в приказах народного комиссара обороны Маршала Советского Союза т. Ворошилова указывалось о том, что Генеральный штаб РККА обязан был проводить полевые поездки и военные игры с командующими войсками и армейским аппаратом. Я не знаю, может быть, имеются такие счастливые округа, которые участвовали в этих полевых поездках и военных играх, но Приволжский военный округ провел единственную полевую поездку</w:t>
      </w:r>
      <w:r w:rsidRPr="00E14102">
        <w:rPr>
          <w:color w:val="000000" w:themeColor="text1"/>
          <w:sz w:val="16"/>
          <w:szCs w:val="16"/>
          <w:vertAlign w:val="superscript"/>
        </w:rPr>
        <w:t>18</w:t>
      </w:r>
      <w:r w:rsidRPr="00E14102">
        <w:rPr>
          <w:color w:val="000000" w:themeColor="text1"/>
          <w:sz w:val="16"/>
          <w:szCs w:val="16"/>
        </w:rPr>
        <w:t xml:space="preserve"> под руководством Иеронима Петровича Уборевича, только в 1935 г., где действительно мы — весь начсостав — столкнулись с целым рядом новых элементов и в подготовке и в смысле оценки армейской операции на основе той техники, которая имеется в БВО. В Приволжском округе этой техники не имеется достаточно. Начиная с командиров дивизий и всех участников полевой поездки, никто не имел представления об укрепленном районе, не имел понятия о блокировании огневых точек укрепрайона и о действиях войск при прорыве танками укрепленного района. Если вполне удовлетворительно проработана Инструкция по глубокому бою, то начсостав не имеет понятия, что представляет собой укрепленный район, а современный УР не есть эпизодическое явление на фронте, это может явиться постоянным препятствием. Необходимо в каждом округе иметь ячейку УР из 3 огневых точек и практиковать начсостав на обороне и прорыве УР.</w:t>
      </w:r>
    </w:p>
    <w:p w14:paraId="018098E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считаю, что в этом году необходимо поставить задачу со всей резкостью перед Генеральным штабом и высшим командным и начальствующим составом об издании оперативного пособия, потому что на сегодняшний день мы не имеем такого пособия, которое могло бы лечь в основу работы полевого штаба, при разработке армейской операции.</w:t>
      </w:r>
    </w:p>
    <w:p w14:paraId="3D766B4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сегодняшний день нет единой оценки и единого представления об армейской операции. Мне кажется, что вопрос подготовки штабов, высшего командования имеет огромное значение.</w:t>
      </w:r>
    </w:p>
    <w:p w14:paraId="02FE445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Третье — комплектование школ и набор в них должен происходить за год до призыва с тем, чтобы в течение года велась соответствующая подготовка по линии Осоавиахима или учебных центров с призывниками. Призыв должен заканчиваться в сентябре, в полковых школах проходят подготовку с 1 октября до 15 мая. К 15 мая мы всегда можем выпустить полноценных отделенных командиров, и таким образом будем иметь полный комплект младшего начальствующего состава во время новобранческих сборов. Из этого же состава мы будем комплектовать младших взводных командиров, которых нам не хватает и которых мы не в состоянии набрать из остающихся на сверхсрочной службе. Что касается сверхсрочников, то надо оставить только старшин в ротах, батареях и им равных, остальные должности должны комплектоваться срочнослужащими.</w:t>
      </w:r>
    </w:p>
    <w:p w14:paraId="6F90F4F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18.</w:t>
      </w:r>
    </w:p>
    <w:p w14:paraId="271220B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Халепский.</w:t>
      </w:r>
      <w:r w:rsidRPr="00E14102">
        <w:rPr>
          <w:color w:val="000000" w:themeColor="text1"/>
          <w:sz w:val="16"/>
          <w:szCs w:val="16"/>
        </w:rPr>
        <w:t xml:space="preserve"> Руководящими указаниями по боевой подготовке на 1935 г. мы имели 2 приказа народного комиссара</w:t>
      </w:r>
      <w:bookmarkStart w:id="40" w:name="_ftnref14"/>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"http://istmat.info/node/33256" \l "_ftn14" \o "" </w:instrText>
      </w:r>
      <w:r w:rsidR="00B64C5C" w:rsidRPr="00E14102">
        <w:rPr>
          <w:color w:val="000000" w:themeColor="text1"/>
          <w:sz w:val="16"/>
          <w:szCs w:val="16"/>
        </w:rPr>
        <w:fldChar w:fldCharType="separate"/>
      </w:r>
      <w:r w:rsidRPr="00E14102">
        <w:rPr>
          <w:rStyle w:val="a4"/>
          <w:color w:val="000000" w:themeColor="text1"/>
          <w:sz w:val="16"/>
          <w:szCs w:val="16"/>
        </w:rPr>
        <w:t>[14]</w:t>
      </w:r>
      <w:r w:rsidR="00B64C5C" w:rsidRPr="00E14102">
        <w:rPr>
          <w:color w:val="000000" w:themeColor="text1"/>
          <w:sz w:val="16"/>
          <w:szCs w:val="16"/>
        </w:rPr>
        <w:fldChar w:fldCharType="end"/>
      </w:r>
      <w:bookmarkEnd w:id="40"/>
      <w:r w:rsidRPr="00E14102">
        <w:rPr>
          <w:color w:val="000000" w:themeColor="text1"/>
          <w:sz w:val="16"/>
          <w:szCs w:val="16"/>
        </w:rPr>
        <w:t>. Один из них давал оценку автобронетанковым частям в 3 округах за 1934 г. с указанием недостатков в их боевой подготовке.</w:t>
      </w:r>
    </w:p>
    <w:p w14:paraId="7D7CEE0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приказ говорил о том, что указания по боевой подготовке на 1935 г. по автобронетанковым частям в своей основе остаются те же, что на 1934 г.</w:t>
      </w:r>
    </w:p>
    <w:p w14:paraId="3CC3960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приказе, который говорил о недостатках в боевой подготовке, указывалось, что самое большое упущение заключается в том, что низшие звенья частей и подразделений не отработали всех элементов тактики и огневого дела, что сказалось на сколачинии высших подразделений — батальонов и мехбригад.</w:t>
      </w:r>
    </w:p>
    <w:p w14:paraId="3660239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1935 г. над этим делом упорно работали командующие войсками. Центр, в свою очередь, проверял — выполняются ли указания народного комиссара и специальные указания начальника Генерального штаба в вопросе последовательности отработки во всех звеньях подразделений и частей всех элементов тактики и огневого дела.</w:t>
      </w:r>
    </w:p>
    <w:p w14:paraId="21428B3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этом вопросе в 1935 г. мы, несомненно, имеем большие достижения.</w:t>
      </w:r>
    </w:p>
    <w:p w14:paraId="10E450C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Имевшие место учения и маневры, кроме того, произведенные специальные опытные учения в таких округах, как Киевский, Белорусский и Ленинградский, по своим результатам дают нам основание и право сделать некоторые выводы обобщающего порядка, которые можно было бы положить в основу для использования этого положительного практического опыта во всех остальных округах в автоброневых частях, с тем чтобы добиться равномерности подготовки.</w:t>
      </w:r>
    </w:p>
    <w:p w14:paraId="21FC46F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помним, что в 1934 г. маневры Киевского военного округа, где участвовало такое крупное мехсоединение, как мехкорпус, не дали положительных выводов как в области оперативного использования, так и в вопросах тактического использования, применения такого крупного мехсоединения, как мехкорпус.</w:t>
      </w:r>
    </w:p>
    <w:p w14:paraId="663BA66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Нужно сознаться, что от маневров 1934 г. в вопросах оперативнотактического применения мехкорпуса мы вынесли даже отрицательное мнение о существовании такой громоздкой организации, как мехкорпус.</w:t>
      </w:r>
    </w:p>
    <w:p w14:paraId="196AD4F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В настоящее время, делая вывод о Киевских маневрах в 1935 г.</w:t>
      </w:r>
      <w:r w:rsidRPr="00E14102">
        <w:rPr>
          <w:color w:val="000000" w:themeColor="text1"/>
          <w:sz w:val="16"/>
          <w:szCs w:val="16"/>
          <w:vertAlign w:val="superscript"/>
        </w:rPr>
        <w:t>19</w:t>
      </w:r>
      <w:r w:rsidRPr="00E14102">
        <w:rPr>
          <w:color w:val="000000" w:themeColor="text1"/>
          <w:sz w:val="16"/>
          <w:szCs w:val="16"/>
        </w:rPr>
        <w:t>, где участвовал тот же мехкорпус, мы убедились, что такое крупное мехсоединение, как мехкорпус, показало себя с самой положительной стороны. Такое соединение не только оправдало себя на практике с точки зрения принципиальной организационной структуры, но и с точки зрения практического боевого применения.</w:t>
      </w:r>
    </w:p>
    <w:p w14:paraId="3278FFF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Извлеченный из маневров Киевского военного округа опыт нашел ряд ответов в вопросе вождения и боя таких крупных мехсоединений, как мехкорпус.</w:t>
      </w:r>
    </w:p>
    <w:p w14:paraId="67017B3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не имею времени и возможности подробно остановиться на этом вопросе, поэтому коснусь только отдельных элементов вождения более крупных мехсоединений.</w:t>
      </w:r>
    </w:p>
    <w:p w14:paraId="3EE0621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Мне думается, что результаты переправ, вопросы форсирования трудных речных преград, как, например, р. Ирпень с крайне болотистой непроходимой поймой — эту преграду форсировал мехкорпус, опыт по форсированию, расчеты, нормативы должны быть обобщены и положены в основу обучения мехчастей по форсированию речных преград.</w:t>
      </w:r>
    </w:p>
    <w:p w14:paraId="4120E5C6" w14:textId="77777777" w:rsidR="00970104" w:rsidRPr="00E14102" w:rsidRDefault="00970104" w:rsidP="00E14102">
      <w:pPr>
        <w:pStyle w:val="rtecenter"/>
        <w:spacing w:before="0" w:after="0"/>
        <w:jc w:val="both"/>
        <w:rPr>
          <w:color w:val="000000" w:themeColor="text1"/>
          <w:sz w:val="16"/>
          <w:szCs w:val="16"/>
        </w:rPr>
      </w:pPr>
      <w:r w:rsidRPr="00E14102">
        <w:rPr>
          <w:rStyle w:val="a3"/>
          <w:b w:val="0"/>
          <w:color w:val="000000" w:themeColor="text1"/>
          <w:sz w:val="16"/>
          <w:szCs w:val="16"/>
        </w:rPr>
        <w:t>Вопросы управления</w:t>
      </w:r>
    </w:p>
    <w:p w14:paraId="261BC4B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помним, что в 1934 г. такое крупное соединение, как мехкорпус, трудно было управляемо. В 1935 г. не только были анализированы причины плохого управления, имевшие место в прошлом в таких крупных соединениях, но также были найдены соответствующие меры устранения этого главного недостатка при вождении и бое крупных мехсоединений.</w:t>
      </w:r>
    </w:p>
    <w:p w14:paraId="12561D3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маневрах Киевского военного округа в 1935 г. мехкорпус сумел найти в себе силу и способность применить средства связи, которые он использовал комплексно. Управление не только базировалось на технических средствах связи, как радио, но мехкорпус неплохо разрешил задачу регулирования движения; средство регулирования — это то же средство управления.</w:t>
      </w:r>
    </w:p>
    <w:p w14:paraId="0CAA6E3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раньше использовали средство регулирования как милицейскую службу по регулированию движения. Такая служба не годится при вождении и бое боевых подразделений мехчастей.</w:t>
      </w:r>
    </w:p>
    <w:p w14:paraId="0152FB2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Служба регулирования движения в мк нашла свое применение в процессе боя, чего раньше мы никогда не имели. Каждый регулировщик с полным достоинством мог ответить, какое подразделение проследовало, в каком направлении, каков боевой расчет и какую боевую задачу имеет это подразделение. Впоследствии посты регулирования перекатами направлялись вперед к боевым рубежам, дабы принять участие в регулировании движения и тем самым облегчить управление в процессе боя мк.</w:t>
      </w:r>
    </w:p>
    <w:p w14:paraId="677A432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Этот, казалось бы, незначительный фактор регулирования в боевой обстановке сыграл весьма положительную роль в столь крупном мехсоединении, как мк.</w:t>
      </w:r>
    </w:p>
    <w:p w14:paraId="586F71F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Полагаю, что и этот опыт должен быть обобщен и распространен на все механизированные части.</w:t>
      </w:r>
    </w:p>
    <w:p w14:paraId="467499A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же касается вопроса использования технических средств управления, как радио, оно нашло свое полное применение и работало безотказно. Этим доказано, что если мехчасти овладевают техническими средствами связи — они не отказывают в работе, в самой сложной и трудной боевой обстановке они дают гибкость и надежность управления.</w:t>
      </w:r>
    </w:p>
    <w:p w14:paraId="0238667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Все это относится к тем элементам, которые были прекрасно отработаны в 1935 г. и тем самым дали возможность изжить недостатки, которые имели место в 1934 г.</w:t>
      </w:r>
    </w:p>
    <w:p w14:paraId="48C02DFC" w14:textId="77777777" w:rsidR="00970104" w:rsidRPr="00E14102" w:rsidRDefault="00970104" w:rsidP="00E14102">
      <w:pPr>
        <w:pStyle w:val="rtecenter"/>
        <w:spacing w:before="0" w:after="0"/>
        <w:jc w:val="both"/>
        <w:rPr>
          <w:color w:val="000000" w:themeColor="text1"/>
          <w:sz w:val="16"/>
          <w:szCs w:val="16"/>
        </w:rPr>
      </w:pPr>
      <w:r w:rsidRPr="00E14102">
        <w:rPr>
          <w:rStyle w:val="a3"/>
          <w:b w:val="0"/>
          <w:color w:val="000000" w:themeColor="text1"/>
          <w:sz w:val="16"/>
          <w:szCs w:val="16"/>
        </w:rPr>
        <w:t>Белорусский военный округ</w:t>
      </w:r>
    </w:p>
    <w:p w14:paraId="0FB10A5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прошлом некоторые подразделения считали, что ночные действия танковых частей если и возможны, то, во всяком случае, весьма трудны. Аргументы были следующие: плохая видимость, невозможность наблюдения ночью, весьма затруднительно управление. Больше того: исключалась возможность применения артиллерийского и пулеметного огня как с места, так и в движении танка при действиях ночью. При действиях танковых частей ночью давалась им весьма узкая задача — подавить цель только своим движением и тяжестью самого танка.</w:t>
      </w:r>
    </w:p>
    <w:p w14:paraId="15E5BA3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БВО в 1935 г. провел ряд опытных ночных учений, в результате чего опроверг существующую точку зрения так называемой малой эффективности ночного боя танков. На практике опытных учений оказалось, что с помощью небольшого приспособления танк может вести артиллерийский и пулеметный огонь на полное поражение цели.</w:t>
      </w:r>
    </w:p>
    <w:p w14:paraId="292696D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имеем по этому вопросу ценнейший отчетный материал БВО. Полагаю, что этот опыт должен быть обобщен и распространен для обучения всех мехчастей округов. Мы не только по БВО имеем положительные примеры ночных действий танковых частей, такое же опытное учение было проведено в Ленинградском военном округе во взаимодействии огня танков с огнем артиллерии и с огнем огнеметов химических танков. По учению ЛВО напрашивается также ряд практических обобщенных выводов.</w:t>
      </w:r>
    </w:p>
    <w:p w14:paraId="4874B5E7" w14:textId="77777777" w:rsidR="00970104" w:rsidRPr="00E14102" w:rsidRDefault="00970104" w:rsidP="00E14102">
      <w:pPr>
        <w:pStyle w:val="rtecenter"/>
        <w:spacing w:before="0" w:after="0"/>
        <w:jc w:val="both"/>
        <w:rPr>
          <w:color w:val="000000" w:themeColor="text1"/>
          <w:sz w:val="16"/>
          <w:szCs w:val="16"/>
        </w:rPr>
      </w:pPr>
      <w:r w:rsidRPr="00E14102">
        <w:rPr>
          <w:rStyle w:val="a3"/>
          <w:b w:val="0"/>
          <w:color w:val="000000" w:themeColor="text1"/>
          <w:sz w:val="16"/>
          <w:szCs w:val="16"/>
        </w:rPr>
        <w:t>Вопросы тыла</w:t>
      </w:r>
    </w:p>
    <w:p w14:paraId="407340E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этому вопросу я опять хочу вернуться к маневрам Киевского военного округа. На маневрах Киевского военного округа участвовало 4200 единиц. Этой массе мехповозок всех видов нужно было дать материально-техническое обеспечение из расчета 5—6 суток операции. Нужно было обслужить не условно, а безусловно как синюю, так и красную сторону. Без такого материально-технического обеспечения невозможно было бы провести учение.</w:t>
      </w:r>
    </w:p>
    <w:p w14:paraId="208E8E0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Организация тыла, вопросы организации материально-технического обеспечения, проработанные на практике Киевским военным округом, дают нам возможность сделать ряд практических выводов в вопросе проработки тыла на 1936 г. Этот материал должен быть отработан и обобщен и стать достоянием мехчастей, штабов и учреждений в вопросах тыла.</w:t>
      </w:r>
    </w:p>
    <w:p w14:paraId="17EC6D47" w14:textId="77777777" w:rsidR="00970104" w:rsidRPr="00E14102" w:rsidRDefault="00970104" w:rsidP="00E14102">
      <w:pPr>
        <w:pStyle w:val="rtecenter"/>
        <w:spacing w:before="0" w:after="0"/>
        <w:jc w:val="both"/>
        <w:rPr>
          <w:color w:val="000000" w:themeColor="text1"/>
          <w:sz w:val="16"/>
          <w:szCs w:val="16"/>
        </w:rPr>
      </w:pPr>
      <w:r w:rsidRPr="00E14102">
        <w:rPr>
          <w:rStyle w:val="a3"/>
          <w:b w:val="0"/>
          <w:color w:val="000000" w:themeColor="text1"/>
          <w:sz w:val="16"/>
          <w:szCs w:val="16"/>
        </w:rPr>
        <w:t>Отрицательные моменты в нашей работе</w:t>
      </w:r>
    </w:p>
    <w:p w14:paraId="64290D7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 сожалению, на сегодняшний день мы имеем большую аварийность.</w:t>
      </w:r>
    </w:p>
    <w:p w14:paraId="15F7664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Народный комиссар, зная об этом неблагополучии, приказал нам искать причины этой аварийности. Эти причины следующие.</w:t>
      </w:r>
    </w:p>
    <w:p w14:paraId="4F1C756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 нас на сегодняшний день очень плохо обстоит дело со службой парков и службой эксплуатации. Служба парков и эксплуатации, как важнейшая дисциплина, равная среди равных, не находила своего полного отражения в боевой подготовке. Мы под службой парков и службой эксплуатации понимаем узкую техническую дисциплину. Дело оказалось глубже. В связи с этим народный комиссар издал приказ № 0052</w:t>
      </w:r>
      <w:bookmarkStart w:id="41" w:name="_ftnref15"/>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"http://istmat.info/node/33256" \l "_ftn15" \o "" </w:instrText>
      </w:r>
      <w:r w:rsidR="00B64C5C" w:rsidRPr="00E14102">
        <w:rPr>
          <w:color w:val="000000" w:themeColor="text1"/>
          <w:sz w:val="16"/>
          <w:szCs w:val="16"/>
        </w:rPr>
        <w:fldChar w:fldCharType="separate"/>
      </w:r>
      <w:r w:rsidRPr="00E14102">
        <w:rPr>
          <w:rStyle w:val="a4"/>
          <w:color w:val="000000" w:themeColor="text1"/>
          <w:sz w:val="16"/>
          <w:szCs w:val="16"/>
        </w:rPr>
        <w:t>[15]</w:t>
      </w:r>
      <w:r w:rsidR="00B64C5C" w:rsidRPr="00E14102">
        <w:rPr>
          <w:color w:val="000000" w:themeColor="text1"/>
          <w:sz w:val="16"/>
          <w:szCs w:val="16"/>
        </w:rPr>
        <w:fldChar w:fldCharType="end"/>
      </w:r>
      <w:bookmarkEnd w:id="41"/>
      <w:r w:rsidRPr="00E14102">
        <w:rPr>
          <w:color w:val="000000" w:themeColor="text1"/>
          <w:sz w:val="16"/>
          <w:szCs w:val="16"/>
        </w:rPr>
        <w:t>. Этот приказ требует поставить службу парков и службу эксплуатации на иной основе. Не только знать конструкцию машин, не только уметь ее водить, но уметь ее правильно технически обеспечивать и надлежащим образом эксплуатировать. Приказ народного комиссара № 0052 проводится в жизнь.</w:t>
      </w:r>
    </w:p>
    <w:p w14:paraId="11D1040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настоящее время мы имеем донесения Киевского, Белорусского и Ленинградского округов о тех практических мероприятиях, которые сделаны комвойсками в связи с требованием приказа народного комиссара № 0052. Особенно хорошо это разработал Киевский военный округ, а от других округов пока что нет сведений и неизвестно, как дело обстоит. Полагаю, что комвойсками сделают все зависящее от них и требования приказа народного комиссара № 0052 будут проведены в жизнь. Я должен откровенно заявить, что если мы этим делом не будем заниматься, то и в будущем году мы не сможем прийти на заседание Военного совета и заявить, что в мехчастях есть безаварийные части. Такие безаварийные части есть в авиационных частях, а у нас их нет.</w:t>
      </w:r>
    </w:p>
    <w:p w14:paraId="1A9453F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Зам. народного комиссара потребовал от меня сообщить, какие имеются безаварийные мехчасти. На это я ответил, что если по честному, то, к сожалению, на сегодняшний день такой мехчасти нет, которая была бы безаварийной. Самая большая беда с аварийностью — это с так называемыми нестроевыми машинами. Мы никак не можем справиться с этой задачей — при одиночном движении самые большие аварии.</w:t>
      </w:r>
    </w:p>
    <w:p w14:paraId="4764FE6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Меня неоднократно народный комиссар допрашивал, как это у нас получается. Посмотрите маневры Киевского военного округа, где участвует 4200 единиц, — там нет аварий. Кончаются маневры, начинается разъезд, и при одиночном движении так называемых нестроевых машин начинают делать аварии. О причинах я уже говорил, что если служба парков и служба эксплуатации в мехчастях плохо поставлена, то в других частях, которые пользуются автотранспортом, ее совсем нет.</w:t>
      </w:r>
    </w:p>
    <w:p w14:paraId="08804B3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Особенно отличаются авиационные части по аварийности на земле, они не берегут своего автотранспорта. Если здесь говорилось о 87 безаварийных эскадрильях, то я полагаю, что среди них есть аварийные на земле.</w:t>
      </w:r>
    </w:p>
    <w:p w14:paraId="3CD29E1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Нам нужно во что бы то ни стало покончить с аварийностью; мы должны иметь безаварийные части. В этом году мы по причине аварийности имели большое несчастье. Я бы не сказал, что комвойсками не борются с авариями, наоборот, они этому уделяют внимание. Видимо, здесь нужны более решительные меры для того, чтобы покончить с авариями. Я думаю, что если мы полностью проведем в жизнь все указания, данные в приказе № 0052 по службе парков и службе эксплуатации, то у нас аварий будет меньше, и мы будем иметь безаварийные части.</w:t>
      </w:r>
    </w:p>
    <w:p w14:paraId="77072CF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Последний вопрос.</w:t>
      </w:r>
    </w:p>
    <w:p w14:paraId="69551FC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Народным комиссаром был издан приказ № 025</w:t>
      </w:r>
      <w:bookmarkStart w:id="42" w:name="_ftnref16"/>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"http://istmat.info/node/33256" \l "_ftn16" \o "" </w:instrText>
      </w:r>
      <w:r w:rsidR="00B64C5C" w:rsidRPr="00E14102">
        <w:rPr>
          <w:color w:val="000000" w:themeColor="text1"/>
          <w:sz w:val="16"/>
          <w:szCs w:val="16"/>
        </w:rPr>
        <w:fldChar w:fldCharType="separate"/>
      </w:r>
      <w:r w:rsidRPr="00E14102">
        <w:rPr>
          <w:rStyle w:val="a4"/>
          <w:color w:val="000000" w:themeColor="text1"/>
          <w:sz w:val="16"/>
          <w:szCs w:val="16"/>
        </w:rPr>
        <w:t>[16]</w:t>
      </w:r>
      <w:r w:rsidR="00B64C5C" w:rsidRPr="00E14102">
        <w:rPr>
          <w:color w:val="000000" w:themeColor="text1"/>
          <w:sz w:val="16"/>
          <w:szCs w:val="16"/>
        </w:rPr>
        <w:fldChar w:fldCharType="end"/>
      </w:r>
      <w:bookmarkEnd w:id="42"/>
      <w:r w:rsidRPr="00E14102">
        <w:rPr>
          <w:color w:val="000000" w:themeColor="text1"/>
          <w:sz w:val="16"/>
          <w:szCs w:val="16"/>
        </w:rPr>
        <w:t xml:space="preserve"> о моторесурсах. Многие боялись, что большой процент перевода машин в первую группу ограниченной эксплуатации может помешать боеподготовке. На деле оказалось иное. Во многих округах есть большая экономия мотто-часов. Боевая подготовка не только не потеряла, а выиграла от этого, а матчасть как боевых, так и транспортных машин находится в гораздо лучшем состоянии, чем это имело место в 1934 г. Строевой и технический состав АБТ частей выиграл на этом учебное время и повысил качество своей подготовки.</w:t>
      </w:r>
    </w:p>
    <w:p w14:paraId="01B0EE89" w14:textId="77777777" w:rsidR="00970104" w:rsidRPr="00E14102" w:rsidRDefault="00970104" w:rsidP="00E14102">
      <w:pPr>
        <w:pStyle w:val="rtecenter"/>
        <w:spacing w:before="0" w:after="0"/>
        <w:jc w:val="both"/>
        <w:rPr>
          <w:color w:val="000000" w:themeColor="text1"/>
          <w:sz w:val="16"/>
          <w:szCs w:val="16"/>
        </w:rPr>
      </w:pPr>
      <w:r w:rsidRPr="00E14102">
        <w:rPr>
          <w:rStyle w:val="a3"/>
          <w:b w:val="0"/>
          <w:color w:val="000000" w:themeColor="text1"/>
          <w:sz w:val="16"/>
          <w:szCs w:val="16"/>
        </w:rPr>
        <w:t>Общие выводы</w:t>
      </w:r>
    </w:p>
    <w:p w14:paraId="7BBBBE0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 Обобщить опыт учений и маневров Киевского, Белорусского и Ленинградского военных округов. Распространить этот опыт на мехтанковые части и положить в основу боевой подготовки 1936 г.</w:t>
      </w:r>
    </w:p>
    <w:p w14:paraId="6C77197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 Бороться решительно с аварийностью и проводить приказы № 0052 и 025 в жизнь не покладая рук.</w:t>
      </w:r>
    </w:p>
    <w:p w14:paraId="30180CA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18-20.</w:t>
      </w:r>
    </w:p>
    <w:p w14:paraId="25A9F4E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Фишман.</w:t>
      </w:r>
      <w:r w:rsidRPr="00E14102">
        <w:rPr>
          <w:color w:val="000000" w:themeColor="text1"/>
          <w:sz w:val="16"/>
          <w:szCs w:val="16"/>
        </w:rPr>
        <w:t xml:space="preserve"> Товарищи, в этом году мы имеем, конечно, ряд достижений в области военно-химической подготовки.</w:t>
      </w:r>
    </w:p>
    <w:p w14:paraId="0424148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не могу не отметить опыта МВО, где лично т. Горбачев провел ряд сборов со старшим и высшим начсоставом, причем впервые в практике учений командного состава командир полка, т. народный комиссар, в защитной одежде сам преодолевал зараженные места. Мы имеем как результат такого сдвига то положение, что в этом округе сами общевойсковые начальники в своих частях, не полагаясь на своих начхимов, продвигают вопросы.</w:t>
      </w:r>
    </w:p>
    <w:p w14:paraId="7734997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Я не могу не отметить опыта Белорусского округа, где были также проведены сборы высшего начсостава при личном участии и руководстве командующего войсками т. Уборевича, и как результат, большие окружные маневры впервые были насыщены вопросами применения химических средств, причем были отработаны вопросы взаимодействия инженерных и химических войск.</w:t>
      </w:r>
    </w:p>
    <w:p w14:paraId="37F0784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Можно отметить еще целый ряд таких положительных явлений в УрВО, в 71 сд СибВО, в 16, 56 сд ЛВО, в КВО и в СКВО, но было бы ошибочным из этих положительных фактов, из того, что в основном выполнялись приказы народного комиссара по нормативам химической подготовки, было бы ошибочным делать вывод, что химическая подготовка Рабоче-крестьянской Красной армии достаточна.</w:t>
      </w:r>
    </w:p>
    <w:p w14:paraId="1F43BE1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Нарком учил нас всегда, и только что сказал т. Гамарник, что наша подготовленность должна оцениваться сравнением с тем, что нас ждет от противника. Поэтому характеристика противника в химическом отношении должна дать критерий, с которым мы подходим к уровню нашей химической подготовки. Какова же химическая подготовка наших противников? Мы могли бы успокоиться, т. народный комиссар, если бы поверили тому, что было сказано на докладе у начальника Генерального штаба нашими военными атташе. Военный атташе в Японии сказал, что на всю японскую роту приходится только 20 противогазов; что в Англии не все бойцы имеют противогазы, что там противогазы подвозятся тогда, когда проводятся специальные химические учения. На этом совещании у начальника Генерального штаба нам говорили о том, что в Германии вообще нет химии и т.д. Какие выводы можно сделать после всего этого? Выходит, что мы на первом месте. Я и тогда выступил против такого преувеличения, и начальник Генерального штаба также не поверил этим докладам.</w:t>
      </w:r>
    </w:p>
    <w:p w14:paraId="04DF96C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Из чего мы должны исходить в оценке возможного противника? Из того прежде всего, что против нас стоит Германия — страна высокая по химической культуре, страна, имеющая огромную химическую промышленность, колоссальные ученые кадры. Мы должны исходить из того, что против нас стоит Япония, которая лихорадочно работает над развитием своей химической промышленности, которая достигла уже в этом отношении известных успехов и наука которой находится под влиянием германской химической мысли.</w:t>
      </w:r>
    </w:p>
    <w:p w14:paraId="10A8FD4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Время от времени, как на поверхности воды, всплывают отбросы работ химических лабораторий. Кто может читать между строк, тот увидит многие вещи — в немецком журнале была помещена заметка о веществе 3-хлор-3. Это было опубликовано для всеобщего сведения. Это означает, что уже превзошли это вещество, что в этом веществе больше не нуждаются, а ведь это вещество обладает такими же качествами, как и иприт, с той только разницей, что оно не имеет запаха. А это значит, что можно заразить войска очень легко — войска пошли через зараженную площадь, не принимая никаких мер предосторожности. Правда, это вещество имеет недостаток по сравнению с ипритом — оно дорого стоит и трудно производимо. Я повторяю, что это напечатано вполне официально. Работа в этом отношении идет лихорадочно. Пожалуй, наша промышленность превосходит сейчас тракторостроение и машиностроение Германии, а в области химии она в несколько раз превосходит нас. Исходя из этого, разрешите оценить нашу химическую подготовку.</w:t>
      </w:r>
    </w:p>
    <w:p w14:paraId="3E097F9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считаю, что она явно недостаточная. Прежде всего какой вывод должен быть? В первую очередь мы должны быть защищены. Как у нас обстоит со средствами ПХО, как с организацией ПХО? У нас организация ничего, имеем большие достижения, целые дивизии спят в противогазах и т.д. Все это есть. Но, во-первых, в целом ряде частей мы имеем недовыполнение и даже по противогазам. Во-вторых, обнаженность по защите кожи. Между тем сейчас уже совершенно рельефно вырисовывается одно из основных направлений развития будущей химической войны — это нападение на кожу человека, удар по коже, потому что дыхательные пути более или менее защищают хорошо, а кожа бойца не защищена. Всю армию одеть в защитную одежду невозможно. Мы проверяли нашу организацию, и нет ни одного командира в корпусе, который отвечает за это дело. Нет организации, которая восстанавливала бы бойцов, снимала зараженное обмундирование и т.д. В действительности было бы так, что валялось бы сорванное обмундирование, вы, т. народный комиссар, это знаете лучше меня, что речь идет не только об иприте, но о веществе, которое сильнее иприта, валялось бы сорванное с себя обмундирование, никем не подобранное, и бойцы не имели бы никакой организации, которая могла бы их восстановить. И мы все, бывшие там, начиная с т. Корка и кончая маленькими начальниками, плюс инженер в моем лице, мы пришли к тому выводу, что организация должна быть резко усилена, причем формы этой организации нами отработаны и представлены Генеральному штабу. Я не имею времени рассказывать об этой организации, мог бы рассказать гораздо подробнее. Я прошу сделать указание Генеральному штабу о том, чтобы эта организация противохимической обороны была введена в наши стрелковые полки. Речь идет о значительном усилении химвзводов полков.</w:t>
      </w:r>
    </w:p>
    <w:p w14:paraId="0D705B7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Я прошу на 1936 г. усилить нормативы. Сейчас боец надевает противогаз в 5—7 сек. Казалось бы, быстро, и мы думали до прошлого года, что это не превзойдено, а вот стахановское движение в нашем деле показало, что эти нормативы могут быть вдвое превзойдены. Сотни рабочих и работниц на военно-технических занятиях в среднем надевают противогаз за 2—2</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xml:space="preserve"> сек.</w:t>
      </w:r>
    </w:p>
    <w:p w14:paraId="2A7179A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Три дня тому назад я привел к нам в управление 10 таких рабочих и работниц, собрал своих командиров, командиров из Военно-химической академии и из института, и эти рабочие при них надевали противогаз за 2 сек., одевали защитную одежду вместо положенных 4 мин. за 1 мин. 40 сек.</w:t>
      </w:r>
    </w:p>
    <w:p w14:paraId="5E55204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А в армии как?</w:t>
      </w:r>
    </w:p>
    <w:p w14:paraId="02C46CD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Фишман.</w:t>
      </w:r>
      <w:r w:rsidRPr="00E14102">
        <w:rPr>
          <w:color w:val="000000" w:themeColor="text1"/>
          <w:sz w:val="16"/>
          <w:szCs w:val="16"/>
        </w:rPr>
        <w:t xml:space="preserve"> У нас 4 мин. считается отлично, а эти товарищи вдвое превзошли нормы. И это не единицы, не рекордсмены, а сотни рабочих и работниц. Когда мы проанализировали, как это происходит, оказалось, что они отработали каждое свое движение. Как положить шлем, маску в противогаз, какими пальцами захватить, сколько употребить на одну часть движения, сколько на другую. Результаты получились прекрасные. Я прошу, чтобы в 1936 г., исходя из опыта, которому нас учит массовое стахановское движение в военно-химическом деле, проводимом под руководством осоавиахимовских организаций, увеличить все нормативы и по противогазу, и по защитной одежде, и по дегазации и т.д. Почему это нужно? Каждому тактически понятна чрезвычайная важность этого. Чем быстрее наденешь противогаз, тем больше гарантии, что не сделаешь вдоха и не выйдешь из строя.</w:t>
      </w:r>
    </w:p>
    <w:p w14:paraId="448FF8D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До настоящего времени среди общевойсковых начальников продолжает оставаться очень ненормальное отношение к химической подготовке. Нужно с 1936 г. возложить решительную ответственность за химическую подготовку, так же как и за стрелковую подготовку, на Генеральный штаб РККА, на командующих войсками и на всех общевойсковых начальников.</w:t>
      </w:r>
    </w:p>
    <w:p w14:paraId="6249A18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А как до сих пор было?</w:t>
      </w:r>
    </w:p>
    <w:p w14:paraId="3DC59D1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Фишман.</w:t>
      </w:r>
      <w:r w:rsidRPr="00E14102">
        <w:rPr>
          <w:color w:val="000000" w:themeColor="text1"/>
          <w:sz w:val="16"/>
          <w:szCs w:val="16"/>
        </w:rPr>
        <w:t xml:space="preserve"> До сих пор, конечно, и они отвечали </w:t>
      </w:r>
      <w:r w:rsidRPr="00E14102">
        <w:rPr>
          <w:rStyle w:val="a6"/>
          <w:i w:val="0"/>
          <w:color w:val="000000" w:themeColor="text1"/>
          <w:sz w:val="16"/>
          <w:szCs w:val="16"/>
        </w:rPr>
        <w:t>(смех),</w:t>
      </w:r>
      <w:r w:rsidRPr="00E14102">
        <w:rPr>
          <w:color w:val="000000" w:themeColor="text1"/>
          <w:sz w:val="16"/>
          <w:szCs w:val="16"/>
        </w:rPr>
        <w:t xml:space="preserve"> но ответственность эта была в значительной степени формальной, т.е., откровенно говоря, к вопросам химической подготовки относились до сих пор в значительной степени как к вопросам второстепенным. Я могу привести примеры по памяти, чтобы не рыться в материалах. У т. Якира т. Лабас</w:t>
      </w:r>
      <w:bookmarkStart w:id="43" w:name="_ftnref17"/>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"http://istmat.info/node/33256" \l "_ftn17" \o "" </w:instrText>
      </w:r>
      <w:r w:rsidR="00B64C5C" w:rsidRPr="00E14102">
        <w:rPr>
          <w:color w:val="000000" w:themeColor="text1"/>
          <w:sz w:val="16"/>
          <w:szCs w:val="16"/>
        </w:rPr>
        <w:fldChar w:fldCharType="separate"/>
      </w:r>
      <w:r w:rsidRPr="00E14102">
        <w:rPr>
          <w:rStyle w:val="a4"/>
          <w:color w:val="000000" w:themeColor="text1"/>
          <w:sz w:val="16"/>
          <w:szCs w:val="16"/>
        </w:rPr>
        <w:t>[17]</w:t>
      </w:r>
      <w:r w:rsidR="00B64C5C" w:rsidRPr="00E14102">
        <w:rPr>
          <w:color w:val="000000" w:themeColor="text1"/>
          <w:sz w:val="16"/>
          <w:szCs w:val="16"/>
        </w:rPr>
        <w:fldChar w:fldCharType="end"/>
      </w:r>
      <w:bookmarkEnd w:id="43"/>
      <w:r w:rsidRPr="00E14102">
        <w:rPr>
          <w:color w:val="000000" w:themeColor="text1"/>
          <w:sz w:val="16"/>
          <w:szCs w:val="16"/>
        </w:rPr>
        <w:t xml:space="preserve"> заявил на Киевских маневрах, что пусть нас ругают лучше за химию, чем за что-нибудь другое.</w:t>
      </w:r>
    </w:p>
    <w:p w14:paraId="6128634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Это совершенно неверно.</w:t>
      </w:r>
    </w:p>
    <w:p w14:paraId="6575988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Фишман.</w:t>
      </w:r>
      <w:r w:rsidRPr="00E14102">
        <w:rPr>
          <w:color w:val="000000" w:themeColor="text1"/>
          <w:sz w:val="16"/>
          <w:szCs w:val="16"/>
        </w:rPr>
        <w:t xml:space="preserve"> Я пользуюсь докладом начальника химвойск вашего округа Семенова</w:t>
      </w:r>
      <w:bookmarkStart w:id="44" w:name="_ftnref18"/>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"http://istmat.info/node/33256" \l "_ftn18" \o "" </w:instrText>
      </w:r>
      <w:r w:rsidR="00B64C5C" w:rsidRPr="00E14102">
        <w:rPr>
          <w:color w:val="000000" w:themeColor="text1"/>
          <w:sz w:val="16"/>
          <w:szCs w:val="16"/>
        </w:rPr>
        <w:fldChar w:fldCharType="separate"/>
      </w:r>
      <w:r w:rsidRPr="00E14102">
        <w:rPr>
          <w:rStyle w:val="a4"/>
          <w:color w:val="000000" w:themeColor="text1"/>
          <w:sz w:val="16"/>
          <w:szCs w:val="16"/>
        </w:rPr>
        <w:t>[18]</w:t>
      </w:r>
      <w:r w:rsidR="00B64C5C" w:rsidRPr="00E14102">
        <w:rPr>
          <w:color w:val="000000" w:themeColor="text1"/>
          <w:sz w:val="16"/>
          <w:szCs w:val="16"/>
        </w:rPr>
        <w:fldChar w:fldCharType="end"/>
      </w:r>
      <w:bookmarkEnd w:id="44"/>
      <w:r w:rsidRPr="00E14102">
        <w:rPr>
          <w:color w:val="000000" w:themeColor="text1"/>
          <w:sz w:val="16"/>
          <w:szCs w:val="16"/>
        </w:rPr>
        <w:t>.</w:t>
      </w:r>
    </w:p>
    <w:p w14:paraId="6B691E9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Он прибыл на второй день после маневров.</w:t>
      </w:r>
    </w:p>
    <w:p w14:paraId="3AC6DBB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Фишман.</w:t>
      </w:r>
      <w:r w:rsidRPr="00E14102">
        <w:rPr>
          <w:color w:val="000000" w:themeColor="text1"/>
          <w:sz w:val="16"/>
          <w:szCs w:val="16"/>
        </w:rPr>
        <w:t xml:space="preserve"> Лабас лично сказал Семенову. Или командир артиллерийского полка Яковлев в Казани сделал заявление примерно такого же порядка.</w:t>
      </w:r>
    </w:p>
    <w:p w14:paraId="79E723E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Вы не даете учебного имущества, наши дивизии совершенно беспомощны в этом отношении.</w:t>
      </w:r>
    </w:p>
    <w:p w14:paraId="3358AEB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Фишман. Я</w:t>
      </w:r>
      <w:r w:rsidRPr="00E14102">
        <w:rPr>
          <w:color w:val="000000" w:themeColor="text1"/>
          <w:sz w:val="16"/>
          <w:szCs w:val="16"/>
        </w:rPr>
        <w:t xml:space="preserve"> скажу и на счет имущества. Что касается имущества, то мы отпускали его по нормам, положенным и утвержденным наркомом. Я лично считаю, что эти учебные нормы должны быть на 1936 г. увеличены, но нельзя замазывать существующий факт, что химическая подготовка рассматривается в округах как вспомогательная, нельзя замазывать тем, что вы не имеете учебного имущества. Мы это слышим буквально на каждом Военном совете: давайте защитную одежду, давайте дымшашки. Так говорят, когда подготовка недостаточно высокая. А я вам приведу факты, что у вас на складах лежит защитная одежда и вы ее не используете. Я вам приведу факты, что у вас на складах лежат дымшашки, и вы их не используете. Я не сторонник того, что мы отпускаем достаточно. На 1936 г. нам надо дать больше, я за это. Но я против того, чтобы оправдывали свою бездеятельность и пренебрежение к ПХО недостатком учебного имущества. Я буду отвечать в первую очередь за это дело, но и вы также должны за это отвечать.</w:t>
      </w:r>
    </w:p>
    <w:p w14:paraId="6C33175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Вы не даете ни защитной одежды, ни дымшашек, даже на Киевских маневрах, куда прибыли иностранцы, только после разговоров вы дали полфунта мыла на обмывочный пункт.</w:t>
      </w:r>
    </w:p>
    <w:p w14:paraId="7F1255C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Фишман.</w:t>
      </w:r>
      <w:r w:rsidRPr="00E14102">
        <w:rPr>
          <w:color w:val="000000" w:themeColor="text1"/>
          <w:sz w:val="16"/>
          <w:szCs w:val="16"/>
        </w:rPr>
        <w:t xml:space="preserve"> Обмывочные пункты, кстати сказать, снабжаются Санитарным управлением. </w:t>
      </w:r>
      <w:r w:rsidRPr="00E14102">
        <w:rPr>
          <w:rStyle w:val="a6"/>
          <w:i w:val="0"/>
          <w:color w:val="000000" w:themeColor="text1"/>
          <w:sz w:val="16"/>
          <w:szCs w:val="16"/>
        </w:rPr>
        <w:t>(Смех.)</w:t>
      </w:r>
      <w:r w:rsidRPr="00E14102">
        <w:rPr>
          <w:color w:val="000000" w:themeColor="text1"/>
          <w:sz w:val="16"/>
          <w:szCs w:val="16"/>
        </w:rPr>
        <w:t xml:space="preserve"> Они были у вас на Киевских маневрах, и вы правы, т. Якир, что в недостаточном количестве эти обмывочные пункты были развернуты. Я говорил о том, что организация ПХО дивизии у нас недостаточна, ее нужно резко усилить.</w:t>
      </w:r>
    </w:p>
    <w:p w14:paraId="7D721EC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заканчиваю, товарищи, и считаю, что на 1936 г. нам нужно поставить: усиление нормативов, резкое повышение организации ПХО, увеличение снабжения учебным имуществом, возложение ответственности за ПХО, не формальной, а фактической, на командующих войсками и общевойсковых начальников, чтобы они показали образцы химической подготовки в 1936 г., учитывая сильного противника. Как частная задача, усиление химической подготовки ночных действий и в условиях зимы.</w:t>
      </w:r>
    </w:p>
    <w:p w14:paraId="1E1427B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20-21.</w:t>
      </w:r>
    </w:p>
    <w:p w14:paraId="064371F8" w14:textId="77777777" w:rsidR="00970104" w:rsidRPr="00E14102" w:rsidRDefault="00E14102" w:rsidP="00E14102">
      <w:pPr>
        <w:pStyle w:val="rtejustify"/>
        <w:spacing w:before="0" w:after="0"/>
        <w:rPr>
          <w:color w:val="000000" w:themeColor="text1"/>
          <w:sz w:val="16"/>
          <w:szCs w:val="16"/>
        </w:rPr>
      </w:pPr>
      <w:hyperlink r:id="rId235" w:anchor="_ftnref1" w:history="1">
        <w:r w:rsidR="00970104" w:rsidRPr="00E14102">
          <w:rPr>
            <w:rStyle w:val="a4"/>
            <w:color w:val="000000" w:themeColor="text1"/>
            <w:sz w:val="16"/>
            <w:szCs w:val="16"/>
          </w:rPr>
          <w:t>[1]</w:t>
        </w:r>
      </w:hyperlink>
      <w:r w:rsidR="00970104" w:rsidRPr="00E14102">
        <w:rPr>
          <w:color w:val="000000" w:themeColor="text1"/>
          <w:sz w:val="16"/>
          <w:szCs w:val="16"/>
        </w:rPr>
        <w:t xml:space="preserve"> Имеется в виду: приказ РВС СССР № 0101 от 1 декабря 1933 г. об итогах боевой подготовки РККА за 1933 г. и задачах на 1934 г.; приказ НКО СССР № 0102 от 17 декабря 1934 г. об итогах боевой подготовки РККА за 1934 г. и задачах на 1935 г.; приказ НКО № 0019 от 16 сентября 1934 г. о результатах окружных общевойсковых учений ПриВО, УВО и БВО; приказ Н КО № 025 от 15 февраля 1935 г. о порядке эксплуатации автобронемаш ин в РККА; директива РВС СССР № 8573с от 10 февраля 1933 г. о порядке проведения смотровых учений штабов в 1933 г.; директива Штаба РК К А № 16593с от 28 декабря 1934 г. об организации, планировании и методике боевой подготовки, согласно приказа НКО № 0102.</w:t>
      </w:r>
    </w:p>
    <w:p w14:paraId="6477E134" w14:textId="77777777" w:rsidR="00970104" w:rsidRPr="00E14102" w:rsidRDefault="00E14102" w:rsidP="00E14102">
      <w:pPr>
        <w:pStyle w:val="rtejustify"/>
        <w:spacing w:before="0" w:after="0"/>
        <w:rPr>
          <w:color w:val="000000" w:themeColor="text1"/>
          <w:sz w:val="16"/>
          <w:szCs w:val="16"/>
        </w:rPr>
      </w:pPr>
      <w:hyperlink r:id="rId236" w:anchor="_ftnref2" w:history="1">
        <w:r w:rsidR="00970104" w:rsidRPr="00E14102">
          <w:rPr>
            <w:rStyle w:val="a4"/>
            <w:color w:val="000000" w:themeColor="text1"/>
            <w:sz w:val="16"/>
            <w:szCs w:val="16"/>
          </w:rPr>
          <w:t>[2]</w:t>
        </w:r>
      </w:hyperlink>
      <w:r w:rsidR="00970104" w:rsidRPr="00E14102">
        <w:rPr>
          <w:color w:val="000000" w:themeColor="text1"/>
          <w:sz w:val="16"/>
          <w:szCs w:val="16"/>
        </w:rPr>
        <w:t xml:space="preserve"> См. примечание выше</w:t>
      </w:r>
    </w:p>
    <w:p w14:paraId="660764E0" w14:textId="77777777" w:rsidR="00970104" w:rsidRPr="00E14102" w:rsidRDefault="00E14102" w:rsidP="00E14102">
      <w:pPr>
        <w:pStyle w:val="rtejustify"/>
        <w:spacing w:before="0" w:after="0"/>
        <w:rPr>
          <w:color w:val="000000" w:themeColor="text1"/>
          <w:sz w:val="16"/>
          <w:szCs w:val="16"/>
        </w:rPr>
      </w:pPr>
      <w:hyperlink r:id="rId237" w:anchor="_ftnref3" w:history="1">
        <w:r w:rsidR="00970104" w:rsidRPr="00E14102">
          <w:rPr>
            <w:rStyle w:val="a4"/>
            <w:color w:val="000000" w:themeColor="text1"/>
            <w:sz w:val="16"/>
            <w:szCs w:val="16"/>
          </w:rPr>
          <w:t>[3]</w:t>
        </w:r>
      </w:hyperlink>
      <w:r w:rsidR="00970104" w:rsidRPr="00E14102">
        <w:rPr>
          <w:color w:val="000000" w:themeColor="text1"/>
          <w:sz w:val="16"/>
          <w:szCs w:val="16"/>
        </w:rPr>
        <w:t xml:space="preserve"> См. приложение 8.</w:t>
      </w:r>
    </w:p>
    <w:p w14:paraId="44B5CF2C" w14:textId="77777777" w:rsidR="00970104" w:rsidRPr="00E14102" w:rsidRDefault="00E14102" w:rsidP="00E14102">
      <w:pPr>
        <w:pStyle w:val="rtejustify"/>
        <w:spacing w:before="0" w:after="0"/>
        <w:rPr>
          <w:color w:val="000000" w:themeColor="text1"/>
          <w:sz w:val="16"/>
          <w:szCs w:val="16"/>
        </w:rPr>
      </w:pPr>
      <w:hyperlink r:id="rId238" w:anchor="_ftnref4" w:history="1">
        <w:r w:rsidR="00970104" w:rsidRPr="00E14102">
          <w:rPr>
            <w:rStyle w:val="a4"/>
            <w:color w:val="000000" w:themeColor="text1"/>
            <w:sz w:val="16"/>
            <w:szCs w:val="16"/>
          </w:rPr>
          <w:t>[4]</w:t>
        </w:r>
      </w:hyperlink>
      <w:r w:rsidR="00970104" w:rsidRPr="00E14102">
        <w:rPr>
          <w:color w:val="000000" w:themeColor="text1"/>
          <w:sz w:val="16"/>
          <w:szCs w:val="16"/>
        </w:rPr>
        <w:t xml:space="preserve"> См, приложение 8.</w:t>
      </w:r>
    </w:p>
    <w:p w14:paraId="0DD9B71C" w14:textId="77777777" w:rsidR="00970104" w:rsidRPr="00E14102" w:rsidRDefault="00E14102" w:rsidP="00E14102">
      <w:pPr>
        <w:pStyle w:val="rtejustify"/>
        <w:spacing w:before="0" w:after="0"/>
        <w:rPr>
          <w:color w:val="000000" w:themeColor="text1"/>
          <w:sz w:val="16"/>
          <w:szCs w:val="16"/>
        </w:rPr>
      </w:pPr>
      <w:hyperlink r:id="rId239" w:anchor="_ftnref5" w:history="1">
        <w:r w:rsidR="00970104" w:rsidRPr="00E14102">
          <w:rPr>
            <w:rStyle w:val="a4"/>
            <w:color w:val="000000" w:themeColor="text1"/>
            <w:sz w:val="16"/>
            <w:szCs w:val="16"/>
          </w:rPr>
          <w:t>[5]</w:t>
        </w:r>
      </w:hyperlink>
      <w:r w:rsidR="00970104" w:rsidRPr="00E14102">
        <w:rPr>
          <w:color w:val="000000" w:themeColor="text1"/>
          <w:sz w:val="16"/>
          <w:szCs w:val="16"/>
        </w:rPr>
        <w:t xml:space="preserve"> См. сноску № 1</w:t>
      </w:r>
    </w:p>
    <w:p w14:paraId="745264C4" w14:textId="77777777" w:rsidR="00970104" w:rsidRPr="00E14102" w:rsidRDefault="00E14102" w:rsidP="00E14102">
      <w:pPr>
        <w:pStyle w:val="rtejustify"/>
        <w:spacing w:before="0" w:after="0"/>
        <w:rPr>
          <w:color w:val="000000" w:themeColor="text1"/>
          <w:sz w:val="16"/>
          <w:szCs w:val="16"/>
        </w:rPr>
      </w:pPr>
      <w:hyperlink r:id="rId240" w:anchor="_ftnref6" w:history="1">
        <w:r w:rsidR="00970104" w:rsidRPr="00E14102">
          <w:rPr>
            <w:rStyle w:val="a4"/>
            <w:color w:val="000000" w:themeColor="text1"/>
            <w:sz w:val="16"/>
            <w:szCs w:val="16"/>
          </w:rPr>
          <w:t>[6]</w:t>
        </w:r>
      </w:hyperlink>
      <w:r w:rsidR="00970104" w:rsidRPr="00E14102">
        <w:rPr>
          <w:color w:val="000000" w:themeColor="text1"/>
          <w:sz w:val="16"/>
          <w:szCs w:val="16"/>
        </w:rPr>
        <w:t xml:space="preserve"> Сталин И.В. Сочинения. Т. 14. Март 1934—1940. М ., 1997. С. 58—63.</w:t>
      </w:r>
    </w:p>
    <w:p w14:paraId="17F0AADE" w14:textId="77777777" w:rsidR="00970104" w:rsidRPr="00E14102" w:rsidRDefault="00E14102" w:rsidP="00E14102">
      <w:pPr>
        <w:pStyle w:val="rtejustify"/>
        <w:spacing w:before="0" w:after="0"/>
        <w:rPr>
          <w:color w:val="000000" w:themeColor="text1"/>
          <w:sz w:val="16"/>
          <w:szCs w:val="16"/>
        </w:rPr>
      </w:pPr>
      <w:hyperlink r:id="rId241" w:anchor="_ftnref7" w:history="1">
        <w:r w:rsidR="00970104" w:rsidRPr="00E14102">
          <w:rPr>
            <w:rStyle w:val="a4"/>
            <w:color w:val="000000" w:themeColor="text1"/>
            <w:sz w:val="16"/>
            <w:szCs w:val="16"/>
          </w:rPr>
          <w:t>[7]</w:t>
        </w:r>
      </w:hyperlink>
      <w:r w:rsidR="00970104" w:rsidRPr="00E14102">
        <w:rPr>
          <w:color w:val="000000" w:themeColor="text1"/>
          <w:sz w:val="16"/>
          <w:szCs w:val="16"/>
        </w:rPr>
        <w:t xml:space="preserve"> Постановление С Н К и Ц К ВК П (б) от 9.08,1935. № С—39сс. «О состоянии обозно-вещевого и продовольственного снабжения РККА», объявлено приказом НКО № 0059 от 14 августа 1935 г.</w:t>
      </w:r>
    </w:p>
    <w:p w14:paraId="06D7BD46" w14:textId="77777777" w:rsidR="00970104" w:rsidRPr="00E14102" w:rsidRDefault="00E14102" w:rsidP="00E14102">
      <w:pPr>
        <w:pStyle w:val="rtejustify"/>
        <w:spacing w:before="0" w:after="0"/>
        <w:rPr>
          <w:color w:val="000000" w:themeColor="text1"/>
          <w:sz w:val="16"/>
          <w:szCs w:val="16"/>
        </w:rPr>
      </w:pPr>
      <w:hyperlink r:id="rId242" w:anchor="_ftnref8" w:history="1">
        <w:r w:rsidR="00970104" w:rsidRPr="00E14102">
          <w:rPr>
            <w:rStyle w:val="a4"/>
            <w:color w:val="000000" w:themeColor="text1"/>
            <w:sz w:val="16"/>
            <w:szCs w:val="16"/>
          </w:rPr>
          <w:t>[8]</w:t>
        </w:r>
      </w:hyperlink>
      <w:r w:rsidR="00970104" w:rsidRPr="00E14102">
        <w:rPr>
          <w:color w:val="000000" w:themeColor="text1"/>
          <w:sz w:val="16"/>
          <w:szCs w:val="16"/>
        </w:rPr>
        <w:t xml:space="preserve"> Директива ПУ РККА № 5 0 /с от 28 апреля 1935 г. об улучшении внутрипартийной и пропагандистской работы.</w:t>
      </w:r>
    </w:p>
    <w:p w14:paraId="1D84E9DE" w14:textId="77777777" w:rsidR="00970104" w:rsidRPr="00E14102" w:rsidRDefault="00E14102" w:rsidP="00E14102">
      <w:pPr>
        <w:pStyle w:val="rtejustify"/>
        <w:spacing w:before="0" w:after="0"/>
        <w:rPr>
          <w:color w:val="000000" w:themeColor="text1"/>
          <w:sz w:val="16"/>
          <w:szCs w:val="16"/>
        </w:rPr>
      </w:pPr>
      <w:hyperlink r:id="rId243" w:anchor="_ftnref9" w:history="1">
        <w:r w:rsidR="00970104" w:rsidRPr="00E14102">
          <w:rPr>
            <w:rStyle w:val="a4"/>
            <w:color w:val="000000" w:themeColor="text1"/>
            <w:sz w:val="16"/>
            <w:szCs w:val="16"/>
          </w:rPr>
          <w:t>[9]</w:t>
        </w:r>
      </w:hyperlink>
      <w:r w:rsidR="00970104" w:rsidRPr="00E14102">
        <w:rPr>
          <w:color w:val="000000" w:themeColor="text1"/>
          <w:sz w:val="16"/>
          <w:szCs w:val="16"/>
        </w:rPr>
        <w:t xml:space="preserve"> Приказ НКО СССР № 40 от 18 февраля 1930 г. об обязательном минимуме знаний для политсостава РККА.</w:t>
      </w:r>
    </w:p>
    <w:p w14:paraId="0F0CAF69" w14:textId="77777777" w:rsidR="00970104" w:rsidRPr="00E14102" w:rsidRDefault="00E14102" w:rsidP="00E14102">
      <w:pPr>
        <w:pStyle w:val="rtejustify"/>
        <w:spacing w:before="0" w:after="0"/>
        <w:rPr>
          <w:color w:val="000000" w:themeColor="text1"/>
          <w:sz w:val="16"/>
          <w:szCs w:val="16"/>
        </w:rPr>
      </w:pPr>
      <w:hyperlink r:id="rId244" w:anchor="_ftnref10" w:history="1">
        <w:r w:rsidR="00970104" w:rsidRPr="00E14102">
          <w:rPr>
            <w:rStyle w:val="a4"/>
            <w:color w:val="000000" w:themeColor="text1"/>
            <w:sz w:val="16"/>
            <w:szCs w:val="16"/>
          </w:rPr>
          <w:t>[10]</w:t>
        </w:r>
      </w:hyperlink>
      <w:r w:rsidR="00970104" w:rsidRPr="00E14102">
        <w:rPr>
          <w:color w:val="000000" w:themeColor="text1"/>
          <w:sz w:val="16"/>
          <w:szCs w:val="16"/>
        </w:rPr>
        <w:t xml:space="preserve"> Приказ НКО С ССР № 112 от 12 июля 1935 г. об общеобразовательной подготовке в РККА.</w:t>
      </w:r>
    </w:p>
    <w:bookmarkStart w:id="45" w:name="_ftn11"/>
    <w:p w14:paraId="74B206BD"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"http://istmat.info/node/33256" \l "_ftnref11" \o "" </w:instrText>
      </w:r>
      <w:r w:rsidRPr="00E14102">
        <w:rPr>
          <w:color w:val="000000" w:themeColor="text1"/>
          <w:sz w:val="16"/>
          <w:szCs w:val="16"/>
        </w:rPr>
        <w:fldChar w:fldCharType="separate"/>
      </w:r>
      <w:r w:rsidR="00970104" w:rsidRPr="00E14102">
        <w:rPr>
          <w:rStyle w:val="a4"/>
          <w:color w:val="000000" w:themeColor="text1"/>
          <w:sz w:val="16"/>
          <w:szCs w:val="16"/>
        </w:rPr>
        <w:t>[11]</w:t>
      </w:r>
      <w:r w:rsidRPr="00E14102">
        <w:rPr>
          <w:color w:val="000000" w:themeColor="text1"/>
          <w:sz w:val="16"/>
          <w:szCs w:val="16"/>
        </w:rPr>
        <w:fldChar w:fldCharType="end"/>
      </w:r>
      <w:bookmarkEnd w:id="45"/>
      <w:r w:rsidR="00970104" w:rsidRPr="00E14102">
        <w:rPr>
          <w:color w:val="000000" w:themeColor="text1"/>
          <w:sz w:val="16"/>
          <w:szCs w:val="16"/>
        </w:rPr>
        <w:t xml:space="preserve"> Сталин И.В. Сочинения. Т. 14. С. 79—92.</w:t>
      </w:r>
    </w:p>
    <w:bookmarkStart w:id="46" w:name="_ftn12"/>
    <w:p w14:paraId="6CB97851"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"http://istmat.info/node/33256" \l "_ftnref12" \o "" </w:instrText>
      </w:r>
      <w:r w:rsidRPr="00E14102">
        <w:rPr>
          <w:color w:val="000000" w:themeColor="text1"/>
          <w:sz w:val="16"/>
          <w:szCs w:val="16"/>
        </w:rPr>
        <w:fldChar w:fldCharType="separate"/>
      </w:r>
      <w:r w:rsidR="00970104" w:rsidRPr="00E14102">
        <w:rPr>
          <w:rStyle w:val="a4"/>
          <w:color w:val="000000" w:themeColor="text1"/>
          <w:sz w:val="16"/>
          <w:szCs w:val="16"/>
        </w:rPr>
        <w:t>[12]</w:t>
      </w:r>
      <w:r w:rsidRPr="00E14102">
        <w:rPr>
          <w:color w:val="000000" w:themeColor="text1"/>
          <w:sz w:val="16"/>
          <w:szCs w:val="16"/>
        </w:rPr>
        <w:fldChar w:fldCharType="end"/>
      </w:r>
      <w:bookmarkEnd w:id="46"/>
      <w:r w:rsidR="00970104" w:rsidRPr="00E14102">
        <w:rPr>
          <w:color w:val="000000" w:themeColor="text1"/>
          <w:sz w:val="16"/>
          <w:szCs w:val="16"/>
        </w:rPr>
        <w:t xml:space="preserve"> См. сноску №1</w:t>
      </w:r>
    </w:p>
    <w:bookmarkStart w:id="47" w:name="_ftn13"/>
    <w:p w14:paraId="2249BEC7"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"http://istmat.info/node/33256" \l "_ftnref13" \o "" </w:instrText>
      </w:r>
      <w:r w:rsidRPr="00E14102">
        <w:rPr>
          <w:color w:val="000000" w:themeColor="text1"/>
          <w:sz w:val="16"/>
          <w:szCs w:val="16"/>
        </w:rPr>
        <w:fldChar w:fldCharType="separate"/>
      </w:r>
      <w:r w:rsidR="00970104" w:rsidRPr="00E14102">
        <w:rPr>
          <w:rStyle w:val="a4"/>
          <w:color w:val="000000" w:themeColor="text1"/>
          <w:sz w:val="16"/>
          <w:szCs w:val="16"/>
        </w:rPr>
        <w:t>[13]</w:t>
      </w:r>
      <w:r w:rsidRPr="00E14102">
        <w:rPr>
          <w:color w:val="000000" w:themeColor="text1"/>
          <w:sz w:val="16"/>
          <w:szCs w:val="16"/>
        </w:rPr>
        <w:fldChar w:fldCharType="end"/>
      </w:r>
      <w:bookmarkEnd w:id="47"/>
      <w:r w:rsidR="00970104" w:rsidRPr="00E14102">
        <w:rPr>
          <w:color w:val="000000" w:themeColor="text1"/>
          <w:sz w:val="16"/>
          <w:szCs w:val="16"/>
        </w:rPr>
        <w:t xml:space="preserve"> Гамарник.</w:t>
      </w:r>
    </w:p>
    <w:bookmarkStart w:id="48" w:name="_ftn14"/>
    <w:p w14:paraId="02289BCF"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"http://istmat.info/node/33256" \l "_ftnref14" \o "" </w:instrText>
      </w:r>
      <w:r w:rsidRPr="00E14102">
        <w:rPr>
          <w:color w:val="000000" w:themeColor="text1"/>
          <w:sz w:val="16"/>
          <w:szCs w:val="16"/>
        </w:rPr>
        <w:fldChar w:fldCharType="separate"/>
      </w:r>
      <w:r w:rsidR="00970104" w:rsidRPr="00E14102">
        <w:rPr>
          <w:rStyle w:val="a4"/>
          <w:color w:val="000000" w:themeColor="text1"/>
          <w:sz w:val="16"/>
          <w:szCs w:val="16"/>
        </w:rPr>
        <w:t>[14]</w:t>
      </w:r>
      <w:r w:rsidRPr="00E14102">
        <w:rPr>
          <w:color w:val="000000" w:themeColor="text1"/>
          <w:sz w:val="16"/>
          <w:szCs w:val="16"/>
        </w:rPr>
        <w:fldChar w:fldCharType="end"/>
      </w:r>
      <w:bookmarkEnd w:id="48"/>
      <w:r w:rsidR="00970104" w:rsidRPr="00E14102">
        <w:rPr>
          <w:color w:val="000000" w:themeColor="text1"/>
          <w:sz w:val="16"/>
          <w:szCs w:val="16"/>
        </w:rPr>
        <w:t xml:space="preserve"> Приказы НКО СССР № 0101 от 1 декабря 1933 г. и № 0102 от 17 декабря 1934 г. См. сноску №1</w:t>
      </w:r>
    </w:p>
    <w:bookmarkStart w:id="49" w:name="_ftn15"/>
    <w:p w14:paraId="6AEDFA8F"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"http://istmat.info/node/33256" \l "_ftnref15" \o "" </w:instrText>
      </w:r>
      <w:r w:rsidRPr="00E14102">
        <w:rPr>
          <w:color w:val="000000" w:themeColor="text1"/>
          <w:sz w:val="16"/>
          <w:szCs w:val="16"/>
        </w:rPr>
        <w:fldChar w:fldCharType="separate"/>
      </w:r>
      <w:r w:rsidR="00970104" w:rsidRPr="00E14102">
        <w:rPr>
          <w:rStyle w:val="a4"/>
          <w:color w:val="000000" w:themeColor="text1"/>
          <w:sz w:val="16"/>
          <w:szCs w:val="16"/>
        </w:rPr>
        <w:t>[15]</w:t>
      </w:r>
      <w:r w:rsidRPr="00E14102">
        <w:rPr>
          <w:color w:val="000000" w:themeColor="text1"/>
          <w:sz w:val="16"/>
          <w:szCs w:val="16"/>
        </w:rPr>
        <w:fldChar w:fldCharType="end"/>
      </w:r>
      <w:bookmarkEnd w:id="49"/>
      <w:r w:rsidR="00970104" w:rsidRPr="00E14102">
        <w:rPr>
          <w:color w:val="000000" w:themeColor="text1"/>
          <w:sz w:val="16"/>
          <w:szCs w:val="16"/>
        </w:rPr>
        <w:t xml:space="preserve"> Приказ НКО № 0052 от 25 июля 1935 г. об аварийности боевых и автотранспортных машин.</w:t>
      </w:r>
    </w:p>
    <w:bookmarkStart w:id="50" w:name="_ftn16"/>
    <w:p w14:paraId="46B24027"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"http://istmat.info/node/33256" \l "_ftnref16" \o "" </w:instrText>
      </w:r>
      <w:r w:rsidRPr="00E14102">
        <w:rPr>
          <w:color w:val="000000" w:themeColor="text1"/>
          <w:sz w:val="16"/>
          <w:szCs w:val="16"/>
        </w:rPr>
        <w:fldChar w:fldCharType="separate"/>
      </w:r>
      <w:r w:rsidR="00970104" w:rsidRPr="00E14102">
        <w:rPr>
          <w:rStyle w:val="a4"/>
          <w:color w:val="000000" w:themeColor="text1"/>
          <w:sz w:val="16"/>
          <w:szCs w:val="16"/>
        </w:rPr>
        <w:t>[16]</w:t>
      </w:r>
      <w:r w:rsidRPr="00E14102">
        <w:rPr>
          <w:color w:val="000000" w:themeColor="text1"/>
          <w:sz w:val="16"/>
          <w:szCs w:val="16"/>
        </w:rPr>
        <w:fldChar w:fldCharType="end"/>
      </w:r>
      <w:bookmarkEnd w:id="50"/>
      <w:r w:rsidR="00970104" w:rsidRPr="00E14102">
        <w:rPr>
          <w:color w:val="000000" w:themeColor="text1"/>
          <w:sz w:val="16"/>
          <w:szCs w:val="16"/>
        </w:rPr>
        <w:t xml:space="preserve"> Приказ НКО СССР № 025 от 15 февраля 1935 г. о порядке эксплуатации автобронемашин в РККА.</w:t>
      </w:r>
    </w:p>
    <w:bookmarkStart w:id="51" w:name="_ftn17"/>
    <w:p w14:paraId="3F5400D8"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"http://istmat.info/node/33256" \l "_ftnref17" \o "" </w:instrText>
      </w:r>
      <w:r w:rsidRPr="00E14102">
        <w:rPr>
          <w:color w:val="000000" w:themeColor="text1"/>
          <w:sz w:val="16"/>
          <w:szCs w:val="16"/>
        </w:rPr>
        <w:fldChar w:fldCharType="separate"/>
      </w:r>
      <w:r w:rsidR="00970104" w:rsidRPr="00E14102">
        <w:rPr>
          <w:rStyle w:val="a4"/>
          <w:color w:val="000000" w:themeColor="text1"/>
          <w:sz w:val="16"/>
          <w:szCs w:val="16"/>
        </w:rPr>
        <w:t>[17]</w:t>
      </w:r>
      <w:r w:rsidRPr="00E14102">
        <w:rPr>
          <w:color w:val="000000" w:themeColor="text1"/>
          <w:sz w:val="16"/>
          <w:szCs w:val="16"/>
        </w:rPr>
        <w:fldChar w:fldCharType="end"/>
      </w:r>
      <w:bookmarkEnd w:id="51"/>
      <w:r w:rsidR="00970104" w:rsidRPr="00E14102">
        <w:rPr>
          <w:color w:val="000000" w:themeColor="text1"/>
          <w:sz w:val="16"/>
          <w:szCs w:val="16"/>
        </w:rPr>
        <w:t xml:space="preserve"> А, Г. Лабас — комбриг</w:t>
      </w:r>
    </w:p>
    <w:bookmarkStart w:id="52" w:name="_ftn18"/>
    <w:p w14:paraId="14B12ECB"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"http://istmat.info/node/33256" \l "_ftnref18" \o "" </w:instrText>
      </w:r>
      <w:r w:rsidRPr="00E14102">
        <w:rPr>
          <w:color w:val="000000" w:themeColor="text1"/>
          <w:sz w:val="16"/>
          <w:szCs w:val="16"/>
        </w:rPr>
        <w:fldChar w:fldCharType="separate"/>
      </w:r>
      <w:r w:rsidR="00970104" w:rsidRPr="00E14102">
        <w:rPr>
          <w:rStyle w:val="a4"/>
          <w:color w:val="000000" w:themeColor="text1"/>
          <w:sz w:val="16"/>
          <w:szCs w:val="16"/>
        </w:rPr>
        <w:t>[18]</w:t>
      </w:r>
      <w:r w:rsidRPr="00E14102">
        <w:rPr>
          <w:color w:val="000000" w:themeColor="text1"/>
          <w:sz w:val="16"/>
          <w:szCs w:val="16"/>
        </w:rPr>
        <w:fldChar w:fldCharType="end"/>
      </w:r>
      <w:bookmarkEnd w:id="52"/>
      <w:r w:rsidR="00970104" w:rsidRPr="00E14102">
        <w:rPr>
          <w:color w:val="000000" w:themeColor="text1"/>
          <w:sz w:val="16"/>
          <w:szCs w:val="16"/>
        </w:rPr>
        <w:t xml:space="preserve"> М.И. Семенов — комбриг, начальник химвойск КВО.</w:t>
      </w:r>
    </w:p>
    <w:p w14:paraId="6C5CF0CB" w14:textId="77777777" w:rsidR="00970104" w:rsidRPr="00E14102" w:rsidRDefault="00970104" w:rsidP="00E14102">
      <w:pPr>
        <w:jc w:val="both"/>
        <w:rPr>
          <w:color w:val="000000" w:themeColor="text1"/>
          <w:sz w:val="16"/>
          <w:szCs w:val="16"/>
        </w:rPr>
      </w:pPr>
      <w:r w:rsidRPr="00E14102">
        <w:rPr>
          <w:color w:val="000000" w:themeColor="text1"/>
          <w:sz w:val="16"/>
          <w:szCs w:val="16"/>
        </w:rPr>
        <w:t>Источник: Военный совет при народном комиссаре обороны СССР. Декабрь 1935 г.: Документы и материалы. — М.: "РОССПЭН", 2008. С. 27-82 (12593).</w:t>
      </w:r>
    </w:p>
    <w:p w14:paraId="448E8DC9" w14:textId="77777777" w:rsidR="00970104" w:rsidRPr="00E14102" w:rsidRDefault="00970104" w:rsidP="00E14102">
      <w:pPr>
        <w:pStyle w:val="ad"/>
        <w:spacing w:before="0" w:after="0"/>
        <w:rPr>
          <w:rFonts w:ascii="Times New Roman" w:hAnsi="Times New Roman" w:cs="Times New Roman"/>
          <w:color w:val="000000" w:themeColor="text1"/>
          <w:sz w:val="16"/>
          <w:szCs w:val="16"/>
          <w:lang w:val="ru-RU"/>
        </w:rPr>
      </w:pPr>
    </w:p>
    <w:p w14:paraId="2BE2438B" w14:textId="77777777" w:rsidR="00970104" w:rsidRPr="00E14102" w:rsidRDefault="00970104" w:rsidP="00E14102">
      <w:pPr>
        <w:jc w:val="both"/>
        <w:rPr>
          <w:color w:val="000000" w:themeColor="text1"/>
          <w:sz w:val="16"/>
          <w:szCs w:val="16"/>
        </w:rPr>
      </w:pPr>
      <w:r w:rsidRPr="00E14102">
        <w:rPr>
          <w:color w:val="000000" w:themeColor="text1"/>
          <w:sz w:val="16"/>
          <w:szCs w:val="16"/>
        </w:rPr>
        <w:t xml:space="preserve">8 декабря 1935 г. Стенограмма вечернего заседания </w:t>
      </w:r>
    </w:p>
    <w:p w14:paraId="2245F81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Викторов.</w:t>
      </w:r>
      <w:r w:rsidRPr="00E14102">
        <w:rPr>
          <w:color w:val="000000" w:themeColor="text1"/>
          <w:sz w:val="16"/>
          <w:szCs w:val="16"/>
        </w:rPr>
        <w:t xml:space="preserve"> Выполняя указания народного комиссара обороны Маршала Советского Союза, боевая подготовка Тихоокеанского флота проходила интенсивно. Одновременно мы внимательно следили за подготовкой японского флота, я думаю, в этом отношении вряд ли т. Урицкий имеет ко мне претензии.</w:t>
      </w:r>
    </w:p>
    <w:p w14:paraId="714ABCC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Он-то не имеет, а вы к нему?</w:t>
      </w:r>
    </w:p>
    <w:p w14:paraId="5B3A04C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Викторов.</w:t>
      </w:r>
      <w:r w:rsidRPr="00E14102">
        <w:rPr>
          <w:color w:val="000000" w:themeColor="text1"/>
          <w:sz w:val="16"/>
          <w:szCs w:val="16"/>
        </w:rPr>
        <w:t xml:space="preserve"> Я, конечно, кое-какие требования к т. Урицкому предъявляю. Надо сказать, что наш вероятный противник проявлял в этом году исключительные темпы в боевой подготовке как по размаху, так и по насыщенности упражнениями. Поэтому указания начальника Генштаба о проведении максимума упражнений и занятий по плану боевой подготовки, о насыщении плана себя полностью оправдали. Я считаю, что на будущий год нашу боевую подготовку надо сделать еще более насыщенной, чтобы полностью использовать все возможное время для роста боевой подготовки. Боевая подготовка ТОФ проходила в постоянной готовности к отражению внезапного нападения противника, мы готовили флот к проведению таких операций, как отражение крупной десантной операции: наши п/л к действию на коммуникациях и у наших берегов, авиацию к активным действиям по базам и аэродромам противника. Особенное внимание за истекший год мною было обращено на подготовку отдельных соединений, так как многие части, например укрепрайоны, бригады п/л и т.д., еще молоды и требовали особенного руководства. Мною было проведено 12 оперативно-тактических упражнений за год, например специально с п/л проведено два учения (позиционное и маневренное использование подлодок). Специально с авиацией мною лично проведено два учения и т.д. Это дало возможность подготовить соединения к заключительной учебно-боевой операции, которая была проведена в сложных штормовых условиях в широком масштабе. На УБО благодаря содействию, которое оказал командующий Приморской группой т. Федько, мы имели новые средства борьбы, что дало нам очень много.</w:t>
      </w:r>
    </w:p>
    <w:p w14:paraId="5BD5126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При десантной операции большое значение имеет авиадесант. На УБО был брошен авиадесант в тыл, правда, меньше, чем на Киевских маневрах, но достаточный для того, чтобы создать угрозу и дать практику в ликвидации авиадесанта.</w:t>
      </w:r>
    </w:p>
    <w:p w14:paraId="182F5B9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основании проведенных учений и маневров я могу сделать вывод, что в общем оперативно-тактическая подготовка соединений и морских сил в целом имела большие сдвиги.</w:t>
      </w:r>
    </w:p>
    <w:p w14:paraId="6BD9CB2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Обращает на себя внимание неудовлетворительная подготовка авиации в оперативно-тактическом смысле. Когда я проводил учения с авиационными соединениями и заслушивал решения командиров эскадрилий, то там часто приходилось слышать неграмотные решения. Например, по такому вопросу, как взаимодействие огня и маневра, некоторые летчики отрицают значение маневра и предпочитают ходить сомкнутым строем, не учитывая зенитный огонь противника. Такие вопросы, как бой воздушных соединений, например тяжелых самолетов, отработка этих вопросов в зачаточном состоянии. Поэтому на военно-тактическую подготовку авиации в будущем году надо будет обратить особое внимание.</w:t>
      </w:r>
    </w:p>
    <w:p w14:paraId="1D54924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Произведенное крупное воздушное учение под руководством т. Лапина с большим количеством самолетов флота и ОКДВА также имело большое значение в подготовке авиации, особенно в развитии навыков к самостоятельным действиям авиации. Но особенную пользу дала практика рассредоточения авиации и маскировка, в частности маскировка отдельных самолетов. В этом отношении выводы учения были особенно положительными и в маскировке, авиация достигла больших результатов, как самолетов, так и целых аэродромов.</w:t>
      </w:r>
    </w:p>
    <w:p w14:paraId="507D981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Переходя к подготовке по соединениям, я должен сказать, что здесь начальник Морских сил РККА т. Орлов достаточно отметил достижения, которые мы имели в деле подготовки подводных лодок. Как мы добились этих достижений в области подлодок? Мы достигли этого потому, что не боялись высылать подводные лодки в море, а наоборот, я в течение двух лет держу непрерывный дозор подводных лодок, причем п/л находятся по 8—9 суток в море, т.е. они находятся непрерывно большое количество времени в таких же условиях, в которых им придется нести позиционную службу в военное время, при этом я предъявляю требование, чтобы дневное время п/л находились под водой, а ночью всплывали для зарядки аккумуляторных батарей. Этим, во-первых, приучали личный состав к морю, а во-вторых, уверенное управление лодкой вызвало стахановское движение на подводных лодках, личный состав перевыполнял установленные нормативы.</w:t>
      </w:r>
    </w:p>
    <w:p w14:paraId="7D3FCD4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Из подводных лодок, достигших отличных показателей, я должен отметить:</w:t>
      </w:r>
    </w:p>
    <w:p w14:paraId="13B39F8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П/л Щ—102</w:t>
      </w:r>
      <w:r w:rsidRPr="00E14102">
        <w:rPr>
          <w:color w:val="000000" w:themeColor="text1"/>
          <w:sz w:val="16"/>
          <w:szCs w:val="16"/>
          <w:vertAlign w:val="superscript"/>
        </w:rPr>
        <w:t>20</w:t>
      </w:r>
      <w:r w:rsidRPr="00E14102">
        <w:rPr>
          <w:color w:val="000000" w:themeColor="text1"/>
          <w:sz w:val="16"/>
          <w:szCs w:val="16"/>
        </w:rPr>
        <w:t>, пробывшую в море 20 суток, из них 143 ч. 21 мин. под водой. Лодка награждена наркомом.</w:t>
      </w:r>
    </w:p>
    <w:p w14:paraId="6CFB931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П/л Щ—111 — пробыла в море 9 суток, из них 5 суток в подводном положении.</w:t>
      </w:r>
    </w:p>
    <w:p w14:paraId="0A47018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П/л Щ-116 — непрерывно пробыла под водой 73,5 ч., превысив норму.</w:t>
      </w:r>
    </w:p>
    <w:p w14:paraId="61112FB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П/л М-23 — пробыла 11 суток непрерывно в море (из них свыше 4 суток под водой). Награждена наркомом.</w:t>
      </w:r>
    </w:p>
    <w:p w14:paraId="6B5F68D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П/л М—25 — пробыла непрерывно под водой 50 ч.</w:t>
      </w:r>
    </w:p>
    <w:p w14:paraId="46472F7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должен сказать, что это не единицы. Уже имеется много таких лодок, которые дают хорошие показатели в боевой подготовке. Однако я не хотел бы, чтобы меня поняли так, что у нас все хорошо. Мы имеем еще много недочетов, мы имеем очень молодые кадры командиров-подводников. Мы имеем, например, командиров-под-водников, которые всего пять лет служат, только пять лет, как выпущены из училища, поэтому были и неприятности, в частности авария подводной лодки, которая села на камни</w:t>
      </w:r>
      <w:r w:rsidRPr="00E14102">
        <w:rPr>
          <w:color w:val="000000" w:themeColor="text1"/>
          <w:sz w:val="16"/>
          <w:szCs w:val="16"/>
          <w:vertAlign w:val="superscript"/>
        </w:rPr>
        <w:t>21</w:t>
      </w:r>
      <w:r w:rsidRPr="00E14102">
        <w:rPr>
          <w:color w:val="000000" w:themeColor="text1"/>
          <w:sz w:val="16"/>
          <w:szCs w:val="16"/>
        </w:rPr>
        <w:t>. Как эта лодка была выброшена на камни? Она была в дозоре, попала в шторм и пургу, а командир лодки вместо того, чтобы уйти от берега, пошел в бухту, неправильно рассчитал скорость, лодка вылетела на камни. Главная вина командира в том, что он принял неправильное решение, он показал, что у него нет опыта плавания в сложных условиях. Вместо того чтобы не идти к берегу, отойти от берега, держаться в море, он, наоборот, жался к берегу, боялся моря. Это показало, что работа с молодыми командирами должна быть усилена, необходимо самое внимательное повседневное руководство.</w:t>
      </w:r>
    </w:p>
    <w:p w14:paraId="33F4DD3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Большое значение я придаю организации смены лодок на позиции. Лодки должны выходить и возвращаться среди минных полей, фарватеры обеспечиваться тралением и створными знаками, особой манипуляторной службой. Смена, в особенности одновременно большого количества лодок на позиции, являлась одной из крупных задач, которую решали наши подводники.</w:t>
      </w:r>
    </w:p>
    <w:p w14:paraId="53D68F6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Применительно к указаниям наставления по глубокому бою мы применили эти указания и для торпедных катеров. Мы не только старались охватывать противника, потому что когда противник находится в развернутом виде, ведет большую операцию, его охватить бывает не всегда возможно, а тут приходится сбивать охранение и пробиваться к главным объектам в глубину расположения, одновременно действуя авиацией и средством береговой обороны.</w:t>
      </w:r>
    </w:p>
    <w:p w14:paraId="6947F36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авиации. Я считаю, что авиация сделала во всех отношениях успехи, особенно в оперативно-тактической подготовке, потому что тут было далеко не благополучно и на эту сторону было обращено мной большое внимание. Но особое значение имело указание народного комиссара обороны по вопросу о слепых полетах, о высотных полетах и, наконец, последнее указание народного комиссара обороны — о ликвидации аварийности, новых требованиях к ВВС, новых методах работы летчиков.</w:t>
      </w:r>
    </w:p>
    <w:p w14:paraId="08527F5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Несколько слов о слепых полетах. Так же, как лодка тренируется в дозоре, она, не боясь моря, чувствует себя лучше, так и летчик, пройдя слепые полеты, чувствует себя лучше при всяких сложных обстоятельствах при полете. По слепым полетам мы имеем следующее: если в прошлом году было налетано около 200 часов, то в этом году мы имеем 4586 часов слепых полетов, таким образом, процент роста большой.</w:t>
      </w:r>
    </w:p>
    <w:p w14:paraId="5FEC88F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Затем в отношении высотных полетов. Летчики отнеслись к высотным полетам, я бы сказал, с большим интересом, и сразу появилась любовь к этому делу. Сейчас большинство упражнений производится на высотных полетах. Но мы получили указания недавно и работаем в этой области всего месяца два. В будущем году, полагаю, будет уже солидный сдвиг.</w:t>
      </w:r>
    </w:p>
    <w:p w14:paraId="104F73C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имели три катастрофы с гибелью трех человек, аварий — 12, на одну катастрофу имеем 8917 часов налета и на аварию — 2229 часов. Если сравнить с прошлым годом, то аварийность значительно уменьшилась. Не такие опасения вызывают у меня эти случаи, меня больше беспокоит, как указывал заместитель наркома т. Гамарник, количество летных происшествий, которое еще очень велико. Мы имеем 96 вынужденных посадок. Каждая вынужденная посадка в результате может привести к аварии. Мы имеем 84 поломки, 14 аварий моторов, правда, 7 не по вине летного состава. Это количество летных происшествий, я считаю, очень велико. Приказ наркома об уменьшении аварийности, новые методы работы, повышение ответственности командира отряда — все это попало в самую точку. Сейчас ведется работа по улучшению организации, руководства, увеличению ответственности каждого командира, чтобы этими мерами добиться снижения летных происшествий.</w:t>
      </w:r>
    </w:p>
    <w:p w14:paraId="531A53E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 я уже докладывал, больше всего нас беспокоит торпедное оружие в авиации. Торпедное оружие мы еще как следует не освоили.</w:t>
      </w:r>
    </w:p>
    <w:p w14:paraId="34122D0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Перехожу к береговой обороне. Береговая оборона производит стрельбы неплохо. Начальник Морских сил дал ей оценку. Мы имеем улучшение огневой подготовки, увеличение процента хороших стрельб. При общем количестве увеличения стрельб в этом отношении имеется известный рост. Но самое главное по береговой обороне — это то, что мы освоили новую материальную часть, новые сложные приборы управления огнем, конечно, нужно продолжать их осваивать дальше и добиться лучших результатов; но в основном новая техника себя оправдала, и стрельбы с закрытых позиций дали хорошие результаты.</w:t>
      </w:r>
    </w:p>
    <w:p w14:paraId="3856F48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Кроме того, мы имели стрельбы береговых батарей через дымозавесу с корректировкой с самолета. Между прочим, как проскальзывает в литературе, японцы считают, что бой, даже в море, выигрывает тот, кто владеет воздухом. Должны быть самолеты-корректировщики, которые будут корректировать огонь, даже при бое эскадр в море. Если авиация с одной стороны в данный момент господствует в воздухе, то корректировщики будут иметь возможность корректировать огонь, и бой будет выигран. Если господства в воздухе нет, корректировщики будут сбиты, и победит тот, чья авиация будет господствовать, чья авиация позволит корректировать огонь. Мы ставили опыты, провели две стрельбы с помощью корректировщиков через дымзавесу, и должен вам сказать, что добились в обоих случаях положительных результатов, добились накрытия, правда, по щиту с небольшим ходом, но если дать новейшие приборы, то в следующем году мы должны перейти на этот метод стрельбы в значительно больших масштабах.</w:t>
      </w:r>
    </w:p>
    <w:p w14:paraId="7AF0EB8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Сухопутные войска, входящие в состав флота, проходили тоже подготовку, имели бесспорные достижения в огневой подготовке по сравнению с прошлым годом. Но подготовка этого года затруднялась из-за отсутствия тех современных техсредств, которыми располагает наша армия. У нас нет танков, сейчас мы получаем кое-что, у нас нет артиллерии РГК, нет роты связи, не было саперных и инженерных войск. Поэтому только на некоторых учениях, на которые привлекались войска ОКДВА, наши войска ук-репрайонов могли только получать практику. Кроме того, мы были плохо обеспечены учебными пособиями и огнеприпасами для проведения стрельб.</w:t>
      </w:r>
    </w:p>
    <w:p w14:paraId="0789D67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отношении политико-морального состояния. Тихоокеанский флот, я считаю, в политико-моральном отношении является вполне здоровым и устойчивым. Личный состав дрался за строительство Тихоокеанского флота, за боевую подготовку, но за последнее время приходилось вести борьбу с некоторым ускорением, которое имело место. Я помню указание, которое в свое время было дано Яном Борисовичем, что нужно «спать в седле». Все «спали в седле» долгое время, и теперь некоторые считают, что войны не будет, а в связи с этим существуют мирные настроения, с этими настроениями мы жестко боремся.</w:t>
      </w:r>
    </w:p>
    <w:p w14:paraId="4DF492E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Затем ведется борьба с уменьшением происшествий. В последнее время личный состав политаппарата устремлен на разрешение задач в связи с последним постановлением правительства о хозяйстве в РККА, о складском хозяйстве.</w:t>
      </w:r>
    </w:p>
    <w:p w14:paraId="3AB395C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должен сказать, что боевая подготовка, которую мы проводили, проходила в условиях одновременного выполнения очень большого строительного плана, что в значительной мере отвлекало командование. Но мы всегда старались сделать так, чтобы боевая подготовка не забывалась из-за проводимого строительного плана. Мы стремимся поддержать боевую подготовку и боеготовность Тихоокеанского флота на должной высоте.</w:t>
      </w:r>
    </w:p>
    <w:p w14:paraId="1686F86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21-23.</w:t>
      </w:r>
    </w:p>
    <w:p w14:paraId="52F41E7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Великанов.</w:t>
      </w:r>
      <w:r w:rsidRPr="00E14102">
        <w:rPr>
          <w:color w:val="000000" w:themeColor="text1"/>
          <w:sz w:val="16"/>
          <w:szCs w:val="16"/>
        </w:rPr>
        <w:t xml:space="preserve"> Начальник Генерального штаба, по-моему, сделал правильную оценку боевой подготовки РККА и поставил задачи на будущий учебный год. В этом году боевая подготовка РККА, безусловно, сделала значительные успехи во исполнение приказа народного комиссара обороны и указаний Генерального штаба нашей армии.</w:t>
      </w:r>
    </w:p>
    <w:p w14:paraId="7A42C5E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Основная задача, которую поставил народный комиссар, — управление войсками, разрешилась более или менее успешно благодаря новой системе оперативно-тактических занятий, которые нам преподал Генеральный штаб. Несомненно, что эту систему занятий с начсоставом нам нужно оставить и на будущий учебный год, внеся в нее те или другие дополнения. Управление боем — это основная задача в сложном общевойсковом бою, операции. В большинстве случаев имело место живое руководство старшего начальника войсковыми частями, а не бумажное руководство, о котором мы много говорили на прошлогоднем пленуме Военного совета.</w:t>
      </w:r>
    </w:p>
    <w:p w14:paraId="6EAE171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Вопросы глубокого боя нашли более конкретное выражение в этом году опять-таки благодаря отказу от шаблона, т.е. понимания глубокого боя как операции прорыва, без нащупывания слабого места противника, особенно на флангах в тылу, о чем в прошлом году в своем заключительном слове говорил народный комиссар. С этой точки зрения новая инструкция по глубокому бою является ценнейшим документом, который нуждается в дальнейшей проработке в частях Рабоче-крестьянской Красной армии.</w:t>
      </w:r>
    </w:p>
    <w:p w14:paraId="27B98D6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Несомненно, повысилась оперативная подготовка начальствующего состава, и большую роль в этом сыграло то внимание военной истории, которое мы уделяли в этом году. Правда, внимание было еще совершенно недостаточно. В этом учебном году нам нужно еще больше расширить изучение военной истории, внеся, может быть, такие методы поверки командного и начсостава, как сдача зачетов по определенному циклу истории войны. К сожалению, в наших военных школах, по моему мнению, делу изучения военной истории все еще уделяется недостаточное внимание. В этом отношении наши курсанты невежественны, но тут основной причиной является отсутствие учебников и квалифицированных преподавателей. Хорошо было бы перевести официальные издания по мировой войне иностранных армий, которые сейчас имеются, на русский язык, так как до сих пор мы пользуемся отдельными монографиями, которые носят зачастую тенденциозный характер.</w:t>
      </w:r>
    </w:p>
    <w:p w14:paraId="14716DA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Дыбенко говорил о желательности проведения военных игр и полевых поездок под руководством Генерального штаба для отдельных округов. Под руководством Генштаба отдельным округам нужно также углубить и расширить практику этого дела. Наш вызов связан с большой потерей времени, но здесь можно применить метод устройства этих полевых поездок и занятий в одном из смежных округов, вызывая ближайших командующих или тех лиц, которых начальник Генерального штаба найдет нужным вызвать для этих занятий. Нам хочется быть не только в качестве руководителей, но и в качестве руководимых. Я лично по себе сужу — вот уже с 1927 г. я не участвую в больших оперативных играх и полевых поездках. Последняя моя полевая поездка была под руководством Бориса Михайловича Шапошникова в 1926 г.</w:t>
      </w:r>
    </w:p>
    <w:p w14:paraId="5E874D1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тактической подготовке слабым местом кроме разведки является еще служба сторожевого охранения. Если в области разведки в этом году мы имеем кое-какие успехи — нельзя сказать, что мы ничего не делали и что войска не имеют достижений; внимание разведке было на всех ступенях командования, но эта служба еще недостаточно нами подработана, — то в отношении сторожевой службы этого сказать нельзя, сторожевая служба совершенно забывалась. Между тем охранение войск, когда они находятся на отдыхе, приобретает теперь совершенно исключительное значение, т.к. никакое, даже глубокое расположение в тылу, не является гарантией их безопасности.</w:t>
      </w:r>
    </w:p>
    <w:p w14:paraId="07A6685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Вопросы руководства боевой подготовкой. Здесь в прошлом учебном году сделан величайший шаг вперед в смысле дифференциации руководства боевой подготовкой, но, конечно, нельзя считать, что этот вопрос разрешен уже в положительном смысле, нельзя сказать, чтобы каждая ступень командования уже справлялась со своими функциями по руководству боевой подготовкой. Такие командные инстанции, как командир роты, командир эскадрона, командир батареи, еще нуждаются в детальном руководстве со стороны старшего начальника. Особенно это касается наших национальных частей, где боевая подготовка благодаря недостаточной общеобразовательной подготовке начальствующего состава еще не стоит на должной высоте. Здесь, безусловно, складывать оружие не приходится.</w:t>
      </w:r>
    </w:p>
    <w:p w14:paraId="15FEAA4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связи с этим я хотел коснуться нашего планирования боевой подготовки и нашего программного хозяйства. Я считаю, что самым больным местом у нас в армии является отсутствие твердого годового плана в боевой подготовке. Ежегодно, приблизительно до 15 января, войска ждут очередного приказа народного комиссара о задачах боевой подготовки и только с этого момента начинают планировать боевую подготовку. Мне кажется, что это не совсем правильно. Генеральный штаб должен дать нам твердый план учебы, ежегодно повторяемый и дополняемый теми отдельными задачами, которые найдет нужным поставить перед нами народный комиссар. Благодаря отсутствию такого плана войска теряют очень много полезного времени. При этом этот план должен быть сведенный для всех родов войск, так как в настоящее время имеет место очень большая неувязка с планами отдельных родов войск и программами.</w:t>
      </w:r>
    </w:p>
    <w:p w14:paraId="65D72E3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считаю, что наше программное хозяйство также нуждается в значительных коррективах и пересмотрах. Бросается в глаза, что программы отдельных родов войск не согласованы между собой. От этого получается, например, такое положение, что в артиллерии первая ступень обучения кончается 1 января, тогда как для всех остальных родов войск по новой директиве Генерального штаба первая ступень кончается в феврале и марте. До сих пор у нас еще существуют программы, которые никем не утверждены. Например, по связи существуют еще проекты программ. Я считаю, что такая важная часть нашей боевой подготовки, как программы, должна быть несомненно пересмотрена и утверждена по крайней мере самим начальником Генерального штаба.</w:t>
      </w:r>
    </w:p>
    <w:p w14:paraId="0B16198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Войска Среднеазиатского военного округа</w:t>
      </w:r>
      <w:r w:rsidRPr="00E14102">
        <w:rPr>
          <w:color w:val="000000" w:themeColor="text1"/>
          <w:sz w:val="16"/>
          <w:szCs w:val="16"/>
          <w:vertAlign w:val="superscript"/>
        </w:rPr>
        <w:t>22</w:t>
      </w:r>
      <w:r w:rsidRPr="00E14102">
        <w:rPr>
          <w:color w:val="000000" w:themeColor="text1"/>
          <w:sz w:val="16"/>
          <w:szCs w:val="16"/>
        </w:rPr>
        <w:t xml:space="preserve"> в этом году продолжали осваивать особенности применения различных родов войск и тактики в особых условиях среднеазиатского театра. Что касается пехоты, артиллерии и конницы в округе — а последний род войск составляет у нас 80%, — то задача тактического применения в горнопустынных условиях, т. народный комиссар, выполняется нами успешно. Эти рода войск достаточно подготовлены к тому, чтобы решать в своеобразных условиях горного и горно-пустынного театра любые задачи, которые на них будут возложены. Некоторые части в этом году успешно справлялись с вопросами высокой горной подготовки, работая и решая тактические задачи, производя стрельбы в районе высоты 4500 м. На этих учениях мы убедились, что нет таких направлений в самых труднейших природных условиях, которых не могли бы войска освоить. Следует особенно подготовлять, акклиматизировать, и главным образом нужна дерзость, смелость со стороны начсостава.</w:t>
      </w:r>
    </w:p>
    <w:p w14:paraId="69DE266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Труднее дело обстоит, т. народный комиссар, с применением технических войск в наших условиях. Здесь трудности заключаются не только в том, что наши общевойсковые начальники не всегда достаточно умело используют эти рода войск. Конечно, мы стараемся учиться, хотя нужно прямо сказать, что многие вопросы, которые проходят в таких округах, как Киевский, Белорусский, мы не в состоянии разрешить. Только на картах путем тактических занятий мы можем, скажем, тренироваться в вопросах глубокой тактики. Но сами природные условия, современное состояние материальной части техники — все это ставит определенные пределы ее использования. Если, скажем, наш разведывательный самолет в обычных условиях пробегает Ы-нное количество метров при подъеме, то на высотах порядка 3—2'/</w:t>
      </w:r>
      <w:r w:rsidRPr="00E14102">
        <w:rPr>
          <w:color w:val="000000" w:themeColor="text1"/>
          <w:sz w:val="16"/>
          <w:szCs w:val="16"/>
          <w:vertAlign w:val="subscript"/>
        </w:rPr>
        <w:t>2</w:t>
      </w:r>
      <w:r w:rsidRPr="00E14102">
        <w:rPr>
          <w:color w:val="000000" w:themeColor="text1"/>
          <w:sz w:val="16"/>
          <w:szCs w:val="16"/>
        </w:rPr>
        <w:t xml:space="preserve"> тыс. м для его пробега требуется пространства в 2—2'/</w:t>
      </w:r>
      <w:r w:rsidRPr="00E14102">
        <w:rPr>
          <w:color w:val="000000" w:themeColor="text1"/>
          <w:sz w:val="16"/>
          <w:szCs w:val="16"/>
          <w:vertAlign w:val="subscript"/>
        </w:rPr>
        <w:t>2</w:t>
      </w:r>
      <w:r w:rsidRPr="00E14102">
        <w:rPr>
          <w:color w:val="000000" w:themeColor="text1"/>
          <w:sz w:val="16"/>
          <w:szCs w:val="16"/>
        </w:rPr>
        <w:t xml:space="preserve"> раза больше, а таких площадок в горах очень мало. То же самое можно сказать про систему питания самолетов, про навигационные приборы. Следовательно, нужно вносить какие-то конструктивные изменения, которые были бы приспособлены для работы в этих особых условиях.</w:t>
      </w:r>
    </w:p>
    <w:p w14:paraId="0A755AB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Возьмем парашютизм. Этим делом, т. народный комиссар, мы тоже занимались, занимались в этом году, и достаточно интенсивно, производили опыты выброски парашютистов в горах. Но если при равнинных условиях на высоте 500—600 м парашютист попадает в нормальные условия, скорость падения там 5—4</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м, то в горах парашютист приземляется на площадке 2</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—3 м, где он падает со скоростью 10 м. Такой опыт даже не безопасно проводить, потому что это бьшо бы связано с опасностью для жизни. К чему я это говорю?</w:t>
      </w:r>
    </w:p>
    <w:p w14:paraId="5326425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Нужно, следовательно, вносить какие-то конструктивные изменения и в наш парашют.</w:t>
      </w:r>
    </w:p>
    <w:p w14:paraId="7DCC33A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Возьмем танки. Небольшой опыт применения в горах танков говорит о том, что, несмотря на многие положительные качества, они во многих случаях не могут следовать и не могут действовать с войсками в этих своеобразных условиях. Нужно вносить конструктивные изменения и дополнения. То же самое с автомобилем и радио. Таким образом, своеобразие театра требует приспособления техники под его природные условия. Мы не можем допустить, чтобы на наших театрах наши войска действовали так, как пишут про итальянцев в Итало-абиссинской войне</w:t>
      </w:r>
      <w:r w:rsidRPr="00E14102">
        <w:rPr>
          <w:color w:val="000000" w:themeColor="text1"/>
          <w:sz w:val="16"/>
          <w:szCs w:val="16"/>
          <w:vertAlign w:val="superscript"/>
        </w:rPr>
        <w:t>23</w:t>
      </w:r>
      <w:r w:rsidRPr="00E14102">
        <w:rPr>
          <w:color w:val="000000" w:themeColor="text1"/>
          <w:sz w:val="16"/>
          <w:szCs w:val="16"/>
        </w:rPr>
        <w:t>, которые всюду встречаются с неожиданностями. Условия требуют применения особой тактики, над которой мы работаем, они требуют приспособленной для данного театра и техники.</w:t>
      </w:r>
    </w:p>
    <w:p w14:paraId="1DE7BB3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 же самое нужно сказать о вооружении, снаряжении, обмундировании и даже довольствии войск, предназначенных действовать в условиях, резко отличных от обычных. Нужно снабжать наши части (я резюмирую) более облегченными образцами вооружения, снаряжения, а также обмундирования, более соответствующими условиям этого театра и нашей организации, которая, я считаю, вполне соответствует данному театру, а также тем задачам, которые будут возложены на эти войска. Несомненно, надо будет этот вопрос двинуть вперед решительными темпами.</w:t>
      </w:r>
    </w:p>
    <w:p w14:paraId="5E06AD9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23-24.</w:t>
      </w:r>
    </w:p>
    <w:p w14:paraId="413F181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Горбачев.</w:t>
      </w:r>
      <w:r w:rsidRPr="00E14102">
        <w:rPr>
          <w:color w:val="000000" w:themeColor="text1"/>
          <w:sz w:val="16"/>
          <w:szCs w:val="16"/>
        </w:rPr>
        <w:t xml:space="preserve"> Вместе со всей Рабоче-крестьянской Красной армией войска Московского военного округа пришли к концу учебного года с целым рядом положительных итогов.</w:t>
      </w:r>
    </w:p>
    <w:p w14:paraId="2C8BB26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имеем возможность констатировать общий рост боеготовности войск округа и большее соответствие качества этой готовности требованиям народного комиссара обороны Маршала Советского Союза т. Ворошилова.</w:t>
      </w:r>
    </w:p>
    <w:p w14:paraId="0646D11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своей работе по боевой подготовке округ руководствовался ясными, четкими указаниями и задачами, поставленными приказами народного комиссара обороны Маршала Советского Союза №0101, 0102, 019 и директивой начальника Генерального штаба № 16593с</w:t>
      </w:r>
      <w:hyperlink r:id="rId245" w:anchor="_ftn1" w:history="1">
        <w:r w:rsidRPr="00E14102">
          <w:rPr>
            <w:rStyle w:val="a4"/>
            <w:color w:val="000000" w:themeColor="text1"/>
            <w:sz w:val="16"/>
            <w:szCs w:val="16"/>
          </w:rPr>
          <w:t>[1]</w:t>
        </w:r>
      </w:hyperlink>
      <w:r w:rsidRPr="00E14102">
        <w:rPr>
          <w:color w:val="000000" w:themeColor="text1"/>
          <w:sz w:val="16"/>
          <w:szCs w:val="16"/>
        </w:rPr>
        <w:t>.</w:t>
      </w:r>
    </w:p>
    <w:p w14:paraId="65CF118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результате общие итоги годовой работы округа сводятся к следующему:</w:t>
      </w:r>
    </w:p>
    <w:p w14:paraId="53E0432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 В отличие от прошлых лет достигнута относительная ровность уровня боевой подготовки и боевой готовности не только различных дивизий и корпусов, но и различных родов оружия в этих дивизиях и корпусах.</w:t>
      </w:r>
    </w:p>
    <w:p w14:paraId="5D7D2A9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 Значительно выросла и закрепилась техническая, специальная и специально-тактическая подготовка каждого отдельно взятого рода войск, достигнуто значительно большее соответствие качества этой подготовки требованиям взаимодействия в общевойсковом глубоком бою.</w:t>
      </w:r>
    </w:p>
    <w:p w14:paraId="25D7297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Однако мы еще не научились правильно, быстро и целеустремленно это взаимодействие организовать.</w:t>
      </w:r>
    </w:p>
    <w:p w14:paraId="4A5E687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3. Значительно выросла подготовленность начальствующего состава и штабов дивизий и корпусов в деле управления войсками с точки зрения требований, предъявляемых современным подвижным глубоким боем. Кадры штабов дивизий и корпусов стабилизировались. Возросло качество живого руководства. Устойчивость штабов дала свои положительные результаты. Штабы полков, где стабильность еще недостаточная, могут оцениваться только удовлетворительно. По-прежнему отстает подготовка штабов батальонов, где мы не смогли добиться стабильности.</w:t>
      </w:r>
    </w:p>
    <w:p w14:paraId="22DA537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4. Однако из важнейших в современном бою средств управления — радиосвязь, в отличие от прошлых лет, перестала быть слабым местом в системе средств управления войсками в округе. В ряде случаев радиосвязь стала рассматриваться как работающая надежнее, чем проволочная.</w:t>
      </w:r>
    </w:p>
    <w:p w14:paraId="2CC15CA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5. Мы закрепили достижения в общей огневой подготовке войск по существующим курсам стрельб и добились несомненных новых успехов в деле подготовки снайперов и мастеров огня, что позволило округу впервые выйти на всеармейских стрелковых соревнованиях в ряды ведущих округов.</w:t>
      </w:r>
    </w:p>
    <w:p w14:paraId="110BD9F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6. Мотомехвойска округа за истекший год на основе дальнейшего овладения техникой, повышения качества работы штабов и овладения основным средством управления — радио — в первый раз получили возможность (правда, с ограниченным количеством машин) участвовать в маневрах округа в качестве соединения, самостоятельно действующего в оперативном тылу противника. Дальнейшее совершенствование мотомехсоединений в этом отношении упирается в разрыв между гусеничными боевыми частями и колесным тылом, что связывает мобильность соединений и уменьшает их дальнобойность. Кроме того, комсостав мотомехсоединений пока не представляет себе всего объема инженерно-химических препятствий, которые мотомехчастям придется преодолевать в тылу противника и того воздействия, которым будут подвергаться мотомехчасти с воздуха.</w:t>
      </w:r>
    </w:p>
    <w:p w14:paraId="0EB4CEA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7. Воздушные силы округа, укомплектованные в 1934 г. исключительно молодым летным составом, за истекший год, несмотря на значительные успехи в специальной подготовке, все еще не овладели сложными стрельбами и бомбометанием частями и соединениями и пока еще не готовы к самостоятельным действиям в составе авиационных соединений.</w:t>
      </w:r>
    </w:p>
    <w:p w14:paraId="4968261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Отстают также в подготовке и БОНы</w:t>
      </w:r>
      <w:hyperlink r:id="rId246" w:anchor="_ftn2" w:history="1">
        <w:r w:rsidRPr="00E14102">
          <w:rPr>
            <w:rStyle w:val="a4"/>
            <w:color w:val="000000" w:themeColor="text1"/>
            <w:sz w:val="16"/>
            <w:szCs w:val="16"/>
          </w:rPr>
          <w:t>[2]</w:t>
        </w:r>
      </w:hyperlink>
      <w:r w:rsidRPr="00E14102">
        <w:rPr>
          <w:color w:val="000000" w:themeColor="text1"/>
          <w:sz w:val="16"/>
          <w:szCs w:val="16"/>
        </w:rPr>
        <w:t>.</w:t>
      </w:r>
    </w:p>
    <w:p w14:paraId="3B8B441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лучшем случае их состав научился технике прыжков. Надо прямо сказать, что широкому использованию БОНов на маневрах и учениях мешала некоторая боязнь чрезвычайных происшествий, вытекающая из недостаточного знания высшими командирами этого нового вида оружия.</w:t>
      </w:r>
    </w:p>
    <w:p w14:paraId="68C0BFA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общем воздушные силы округа пока еще отстают в выполнении задач примерно на год.</w:t>
      </w:r>
    </w:p>
    <w:p w14:paraId="4584A56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8. В химической подготовке войск достигнуты первые, но уже значительные результаты. За год при содействии т. Фишмана и Военно-химической академии округом было проведено свыше 15 сборов комсостава, в том числе всего высшего, с общим количеством до 1200 участников.</w:t>
      </w:r>
    </w:p>
    <w:p w14:paraId="0CCA74C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Основной удар на этих сборах был сделан на практические работы самих участников в качестве химиков. Комкоры, комдивы, начальники школ, командиры полков сами проводили все работы, сами дегазировали винтовки, повозки, лошадей, самолеты. Работая не только с учебным ОВ, но и с ипритом, участники сборов знакомились с химическими средствами борьбы так, как надо при подготовке к развернутой химической войне.</w:t>
      </w:r>
    </w:p>
    <w:p w14:paraId="4DEEC2A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этом году при большом содействии тт. Буденного и Фишмана мы сочли возможным использовать в бою кавалериста с его конем могучее средство химического нападения. Мы нашим кавалерийским химическим взводом демонстрировали это могучее химическое средство и на сборах начсостава других округов (БВО).</w:t>
      </w:r>
    </w:p>
    <w:p w14:paraId="5BAE114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Учет химической опасности и практическое умение бороться с ОВ при всех обстоятельствах доведены до основной массы бойцов и командиров округа прочно и надежно. Однако практическое неумение использовать активные химические средства борьбы еще не изжито.</w:t>
      </w:r>
    </w:p>
    <w:p w14:paraId="3FDA9D4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9. Несомненные успехи в овладении командным составом и войсками радио и военно-химическим делом дали возможность округу поставить задачу на 1936 г. — добиться решительного перелома в военно-инженерном деле, в боевом использовании инженерных средств всем составом войск округа, начиная от рядового бойца и кончая старшим начальником.</w:t>
      </w:r>
    </w:p>
    <w:p w14:paraId="40CF77C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 этой целью уже в этом году в ноябре при Научно-испытательном институте инженерной техники был проведен сбор высшего командного состава округа, на который были привлечены все командиры, комдивы, комбриги и начальники их штабов — 67 чел. Основной упор был сделан также на личную работу командиров в качестве сапер и инженерных начальников. Комкоры, комдивы и комбриги сами собирали лодки, надували их, перетаскивали и т.д. Все занятия велись на тактическом фоне. В проведении сбора нам много помог</w:t>
      </w:r>
    </w:p>
    <w:p w14:paraId="72327A0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Н.Н. Петин и Институт инженерной техники. В январе намечается сбор всех командиров отдельных частей. Все это только начало серьезной, углубленной работы в области инженерной подготовки, имеющей исключительное значение для всех родов войск, и в особенности для мотомехвойск, артиллерии и авиации.</w:t>
      </w:r>
    </w:p>
    <w:p w14:paraId="1580915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10. Подготовка подводников в округе вышла из периода опытов, и подводники впервые применялись на учениях и маневрах.</w:t>
      </w:r>
    </w:p>
    <w:p w14:paraId="0053DFE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Остаются пока недостаточно проработанными вопросы техники управления подводниками командиром при преодолении широких водных преград и вопросы взаимодействия между подводниками и танками-амфибиями.</w:t>
      </w:r>
    </w:p>
    <w:p w14:paraId="2CC1E7C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11. Тактика тыла, учет его работы, управление тылом в бою перестали быть для войсковых начальников неприятными ввиду незнания вопроса.</w:t>
      </w:r>
    </w:p>
    <w:p w14:paraId="25E599F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Тыловую неграмотность командиров мы преодолели. Однако наши тылы организационно не оформлены, и потому мы пока учим только командиров и сводные полковые взводы, а выше — исключительно теоретически, исключая двух учений — армейские тыловое учение и маневры 17 сд. Поэтому вопросы тыловой подготовки разрешенными считать нельзя.</w:t>
      </w:r>
    </w:p>
    <w:p w14:paraId="74510E7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12. По физической подготовке округ занял второе место на Ростовских всеармейских соревнованиях, что свидетельствует об известном росте по этому виду подготовки.</w:t>
      </w:r>
    </w:p>
    <w:p w14:paraId="64A5EF9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 же можно сказать и о строевой подготовке. Однако необходимо прямо сказать, что дальнейший рост строевой подготовки упирается в отсутствие строевого устава, так как имеющийся проект удовлетворить войска по своему качеству не может.</w:t>
      </w:r>
    </w:p>
    <w:p w14:paraId="4CE5120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13. Все наши достижения в области боевой подготовки явились следствием перестройки всей системы руководства в соответствии с указаниями народного комиссара обороны Маршала Советского Союза т. Ворошилова, повышения ответственности всех звеньев начальствующего состава за боевую подготовку их частей и обеспечения примера — показа старшего командира младшему.</w:t>
      </w:r>
    </w:p>
    <w:p w14:paraId="0AF25E4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Эта система руководства значительно облегчила завоевание тех положительных итогов, с которыми войска округа подошли к порогу нового учебного года.</w:t>
      </w:r>
    </w:p>
    <w:p w14:paraId="0F17B6A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Перехожу к частным, но весьма важным недочетам боевой подготовки комсостава и войск округа и к тем мероприятиям, которые, по нашему мнению, надлежит провести, чтобы изжить эти недочеты.</w:t>
      </w:r>
    </w:p>
    <w:p w14:paraId="1BC76EAD" w14:textId="77777777" w:rsidR="00970104" w:rsidRPr="00E14102" w:rsidRDefault="00970104" w:rsidP="00E14102">
      <w:pPr>
        <w:pStyle w:val="rtejustify"/>
        <w:spacing w:before="0" w:after="0"/>
        <w:rPr>
          <w:color w:val="000000" w:themeColor="text1"/>
          <w:sz w:val="16"/>
          <w:szCs w:val="16"/>
        </w:rPr>
      </w:pPr>
      <w:r w:rsidRPr="00E14102">
        <w:rPr>
          <w:rStyle w:val="a3"/>
          <w:b w:val="0"/>
          <w:color w:val="000000" w:themeColor="text1"/>
          <w:sz w:val="16"/>
          <w:szCs w:val="16"/>
        </w:rPr>
        <w:t xml:space="preserve">Оперативная подготовка. </w:t>
      </w:r>
      <w:r w:rsidRPr="00E14102">
        <w:rPr>
          <w:color w:val="000000" w:themeColor="text1"/>
          <w:sz w:val="16"/>
          <w:szCs w:val="16"/>
        </w:rPr>
        <w:t>Округ количественно полностью выполнил план оперативных поездок и игр высшего начсостава, а также сборов армейского аппарата, данный нам Генеральным штабом.</w:t>
      </w:r>
    </w:p>
    <w:p w14:paraId="4CEDB14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В процессе этой работы мы все время чувствовали недостаток наставления или инструкции по подготовке и осуществлению армейской операции.</w:t>
      </w:r>
    </w:p>
    <w:p w14:paraId="55B7914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Руководителям оперативных игр и поездок до сего времени приходится исходить в ряде случаев из своих взглядов и мнений, из своего служебного и боевого опыта. Этого недостаточно. По нашему мнению, для быстрого принятия единых взглядов по руководству и планированию современной сложной армейской операцией вопрос выпуска наставления или инструкции является крайне желательным.</w:t>
      </w:r>
    </w:p>
    <w:p w14:paraId="7E4CC3AD" w14:textId="77777777" w:rsidR="00970104" w:rsidRPr="00E14102" w:rsidRDefault="00970104" w:rsidP="00E14102">
      <w:pPr>
        <w:pStyle w:val="rtejustify"/>
        <w:spacing w:before="0" w:after="0"/>
        <w:rPr>
          <w:color w:val="000000" w:themeColor="text1"/>
          <w:sz w:val="16"/>
          <w:szCs w:val="16"/>
        </w:rPr>
      </w:pPr>
      <w:r w:rsidRPr="00E14102">
        <w:rPr>
          <w:rStyle w:val="a3"/>
          <w:b w:val="0"/>
          <w:color w:val="000000" w:themeColor="text1"/>
          <w:sz w:val="16"/>
          <w:szCs w:val="16"/>
        </w:rPr>
        <w:t xml:space="preserve">Подготовка кадров начальствующего состава. </w:t>
      </w:r>
      <w:r w:rsidRPr="00E14102">
        <w:rPr>
          <w:color w:val="000000" w:themeColor="text1"/>
          <w:sz w:val="16"/>
          <w:szCs w:val="16"/>
        </w:rPr>
        <w:t>Особенностью нашего округа является исключительная молодость начальствующего состава и постоянный большой его некомплект. Это является следствием больших организационных мероприятий, связанных с переводом из нашего округа значительного количества частей в другие округа и с новыми формированиями.</w:t>
      </w:r>
    </w:p>
    <w:p w14:paraId="61FBCC3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понимаем, что важность проводимых мероприятий не дает нам право ссылаться и на текучесть и на некомплект как на «объективные причины». Однако я должен доложить народному комиссару обороны Маршалу Советского Союза т. Ворошилову, что изложенные мною обстоятельства являются до известной степени следствием плохой согласованности между органами центрального аппарата, ведающими оргмероприятиями и обеспечивающими нас кадрами.</w:t>
      </w:r>
    </w:p>
    <w:p w14:paraId="13D64A4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Молодость основной массы среднего командного состава, необходимость широко поставить вопрос по подготовке лейтенантов из старших и младших комвзводов с особой остротой ставят перед нашим округом задачу повышения качества командирской учебы.</w:t>
      </w:r>
    </w:p>
    <w:p w14:paraId="1EED2A2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Сейчас на специальных курсах младших командиров в округе готовятся к сдаче испытаний за курс нормальной школы 646 чел. Однако и при этих условиях в округе будет большой некомплект, только частично могущий быть покрытым из одногодичников.</w:t>
      </w:r>
    </w:p>
    <w:p w14:paraId="0B775DF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Особенно тяжело дело обстоит в пехоте, на которую главным образом и падает некомплект.</w:t>
      </w:r>
    </w:p>
    <w:p w14:paraId="7D5C4B8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свете этого общеобразовательная подготовка командира приобретает исключительное значение.</w:t>
      </w:r>
    </w:p>
    <w:p w14:paraId="58CA7DD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Проведенные в округе испытания показали, что в общей массе начсостав имеет знания в объеме 5—6 групп средней школы. Таким образом, на период времени 1936—1939 гг. (срок, указанный приказом № 112)</w:t>
      </w:r>
      <w:hyperlink r:id="rId247" w:anchor="_ftn3" w:history="1">
        <w:r w:rsidRPr="00E14102">
          <w:rPr>
            <w:rStyle w:val="a4"/>
            <w:color w:val="000000" w:themeColor="text1"/>
            <w:sz w:val="16"/>
            <w:szCs w:val="16"/>
          </w:rPr>
          <w:t>[3]</w:t>
        </w:r>
      </w:hyperlink>
      <w:r w:rsidRPr="00E14102">
        <w:rPr>
          <w:color w:val="000000" w:themeColor="text1"/>
          <w:sz w:val="16"/>
          <w:szCs w:val="16"/>
        </w:rPr>
        <w:t xml:space="preserve"> надо пройти программу 4-5 групп. Казалось бы, что, отрабатывая ежегодно программы одной группы, задачу эту выполнить можно. Однако, как показал опыт, 160 годовых часов недостаточно, ибо на предмет падает только 23—30 часов в год. Желательно увеличение времени на общеобразовательную подготовку командира как в порядке вечерних, так и дневных командирских занятий, увеличив соответственно отпускаемые кредиты.</w:t>
      </w:r>
    </w:p>
    <w:p w14:paraId="6B4A8E6C" w14:textId="77777777" w:rsidR="00970104" w:rsidRPr="00E14102" w:rsidRDefault="00970104" w:rsidP="00E14102">
      <w:pPr>
        <w:pStyle w:val="rtejustify"/>
        <w:spacing w:before="0" w:after="0"/>
        <w:rPr>
          <w:color w:val="000000" w:themeColor="text1"/>
          <w:sz w:val="16"/>
          <w:szCs w:val="16"/>
        </w:rPr>
      </w:pPr>
      <w:r w:rsidRPr="00E14102">
        <w:rPr>
          <w:rStyle w:val="a3"/>
          <w:b w:val="0"/>
          <w:color w:val="000000" w:themeColor="text1"/>
          <w:sz w:val="16"/>
          <w:szCs w:val="16"/>
        </w:rPr>
        <w:t xml:space="preserve">Тактическая подготовка. </w:t>
      </w:r>
      <w:r w:rsidRPr="00E14102">
        <w:rPr>
          <w:color w:val="000000" w:themeColor="text1"/>
          <w:sz w:val="16"/>
          <w:szCs w:val="16"/>
        </w:rPr>
        <w:t>Разведка по-прежнему остается слабым местом в тактических действиях войск и в работе штабов. Штабы не умеют сочетать усилий всех видов войсковой и специальной разведки для получения необходимых сведений своевременно.</w:t>
      </w:r>
    </w:p>
    <w:p w14:paraId="2646C5F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Управление разведорганами в процессе их работы слабое. Рация 6ПК</w:t>
      </w:r>
      <w:r w:rsidRPr="00E14102">
        <w:rPr>
          <w:color w:val="000000" w:themeColor="text1"/>
          <w:sz w:val="16"/>
          <w:szCs w:val="16"/>
          <w:vertAlign w:val="superscript"/>
        </w:rPr>
        <w:t>24</w:t>
      </w:r>
      <w:r w:rsidRPr="00E14102">
        <w:rPr>
          <w:color w:val="000000" w:themeColor="text1"/>
          <w:sz w:val="16"/>
          <w:szCs w:val="16"/>
        </w:rPr>
        <w:t xml:space="preserve"> для этого мало пригодна — слишком мал радиус действия. Кроме того, она для своей мощности очень громоздка.</w:t>
      </w:r>
    </w:p>
    <w:p w14:paraId="04254A9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Личная командирская и штабная разведка, в особенности с самолета, не в почете. Наблюдатели в пехоте отрабатываются слабо, средств наблюдения не хватает (оптические приборы).</w:t>
      </w:r>
    </w:p>
    <w:p w14:paraId="25ABE6C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Между тем именно ведение разведки предъявляет чрезвычайно высокие требования к младшему командиру и красноармейцу. В самом деле, нашему красноармейцу-разведчику нужны: чрезвычайно высокая военная грамотность, знание тактики и основных образцов вооружения всех родов войск, знание топографии, умение пользоваться картой, компасом и различными средствами связи, в том числе и радио. Поэтому округ считает необходимым в программах занятий с комсоставом и с красноармейцами отвести указанным выше вопросам и вопросам разведки еще больше места и времени, нежели до сих пор. Кроме того, младших командиров-разведчиков в пехоте надо вооружить биноклем, компасом и часами.</w:t>
      </w:r>
    </w:p>
    <w:p w14:paraId="4EC19BF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Недостаточно отработанными остались совместные действия различных родов войск ночью. Эти занятия, как правило, проводились летом, т.е. в период самых коротких ночей. Опыт показал, что ночные занятия следует перенести на осень и зиму, когда они наиболее целесообразны.</w:t>
      </w:r>
    </w:p>
    <w:p w14:paraId="748A131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Практика ночных шестидневок и ночных декад хотя и дала войскам некоторые навыки длительной работы ночью, все же выдвигает требование предоставить командиру право самостоятельно определять продолжительность ночных тренировок, дав командиру части определенный лимит времени для ночных тактических занятий.</w:t>
      </w:r>
    </w:p>
    <w:p w14:paraId="700C80C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Вообще в организации ночных занятий необходимо избегать всякой искусственности.</w:t>
      </w:r>
    </w:p>
    <w:p w14:paraId="2AB5172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Общим недостатком всех проведенных тактических занятий является недостаточно активное и гибкое использование технических средств борьбы в боевых действиях войск. На это надо обратить больше внимания, в первую очередь при занятиях с курсантами вузов и в полковых школах.</w:t>
      </w:r>
    </w:p>
    <w:p w14:paraId="00460A50" w14:textId="77777777" w:rsidR="00970104" w:rsidRPr="00E14102" w:rsidRDefault="00970104" w:rsidP="00E14102">
      <w:pPr>
        <w:pStyle w:val="rtejustify"/>
        <w:spacing w:before="0" w:after="0"/>
        <w:rPr>
          <w:color w:val="000000" w:themeColor="text1"/>
          <w:sz w:val="16"/>
          <w:szCs w:val="16"/>
        </w:rPr>
      </w:pPr>
      <w:r w:rsidRPr="00E14102">
        <w:rPr>
          <w:rStyle w:val="a3"/>
          <w:b w:val="0"/>
          <w:color w:val="000000" w:themeColor="text1"/>
          <w:sz w:val="16"/>
          <w:szCs w:val="16"/>
        </w:rPr>
        <w:t xml:space="preserve">Огневая подготовка. </w:t>
      </w:r>
      <w:r w:rsidRPr="00E14102">
        <w:rPr>
          <w:color w:val="000000" w:themeColor="text1"/>
          <w:sz w:val="16"/>
          <w:szCs w:val="16"/>
        </w:rPr>
        <w:t>Причинами недостаточного роста частей в огневой подготовке явилось следующее: во-первых, позднее получение нового курса стрельб, в результате чего командиры вынуждены были осваивать его почти одновременно с бойцами, и, во-вторых, сокращение количества патронов.</w:t>
      </w:r>
    </w:p>
    <w:p w14:paraId="1A065C0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самом деле, если в 1933 г. на стрелковый полк бьшо отпущено 381 000 боевых патронов, в 1934 г. — 130 000, то в 1935 г. на стрелковый полк округа бьшо отпущено всего 89 500 боевых патронов, или 61% по отношению к отпуску 1934 г. и 25% — к отпуску 1933 г.</w:t>
      </w:r>
    </w:p>
    <w:p w14:paraId="0106596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Параллельно с этим сокращался и отпуск малокалиберных патронов — с 140 патронов на бойца в 1933 г. до 35 патронов на бойца в 1935 г. Сокращение малокалиберных патронов в текущем году особенно тяжело для частей, так как в прежние годы недостаток малокалиберных патронов частично мог быть возмещен патронами, закупаемыми с помощью шефов. Наряду с сокращением отпуска боевых патронов для стрелковых частей сокращался и отпуск патронов для экипажей танков, для однобашенного танка почти вдвое: с 710 до 420 боевых патронов, для двухбашенного — с 366 до 228. Необходимо также доложить, что сокращение отпуска патронов было произведено вне зависимости от требования нового курса стрельб, проведение которого полностью потребовало бы увеличения количества патронов примерно вдвое.</w:t>
      </w:r>
    </w:p>
    <w:p w14:paraId="6B9FD3B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Несколько слов о снайперах. С точки зрения требований, предъявляемых к снайперу (военные хитрости, подкрадывание, маскировка, оценка целей, связь с начальниками), существующий курс снайперских стрельб составлен неудовлетворительно и должен быть переработан. Вообще же необходимо пожелать во всех курсах стрельб оставить только зачетные упражнения и предоставить командиру самому решать, как отрабатывать их, т.е. изжить формализм в методике.</w:t>
      </w:r>
    </w:p>
    <w:p w14:paraId="6D89A13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Внимательное изучение темпа роста подготовки переменного состава территориальных частей в деле боевой подготовки ставит целый ряд вопросов и в первую очередь основной вопрос: не отстает ли этот рост от тех требований, которые предъявляются современной пехоте в современном бою, которые будут предъявлены нашей пехоте в боях с лучшими современными буржуазными армиями — немецкой, японской?</w:t>
      </w:r>
    </w:p>
    <w:p w14:paraId="53FBEB6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Вопросы эти возникают в результате следующего.</w:t>
      </w:r>
    </w:p>
    <w:p w14:paraId="02823EC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 С каждым годом увеличивается текучесть переменного состава. Вот, например, пулеметная рота 251-го стрелкового полка 84-й стрелковой дивизии, районированная в Донском районе Московской области — за четыре года, по контингенту 1909 г. рождения имеет текучесть в 51%, за три года по контингенту 1910 г. рождения — 57%, за два года по 1911 г. рождения — 59% и за один год по 1912 г. рождения — 60%. В результате можно себе представить всю пестроту и совершенную недостаточность боевой подготовки этой роты.</w:t>
      </w:r>
    </w:p>
    <w:p w14:paraId="59AE73B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промышленных городах текучесть переменного состава меньше, но и там она по 1912 г. рождения составляет в текущем году 15—18%, а ведь этому году еше 4 г. служить. Территориальные части Московского военного округа, районированные в своем большинстве в районах с сильно развитым отходничеством, чрезвычайно подвержены текучести. В настоящее время из-за текучести в переменном составе в списках терчастей оставлен целиком 1907 г. рождения, несмотря на то что, например, по Тульскому гарнизону вместо 20% надбавки приписывалось в 1931 г. 43%, в 1932 г. — 57%, в 1933 г. - 64%.</w:t>
      </w:r>
    </w:p>
    <w:p w14:paraId="149AFCA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 Ограниченность сроков обучения бойцов в переменном составе приходит к тому, что они только первую ступень своего обучения на новобранческих сборах проходят более или менее полностью. На общих сборах, как правило, программы полностью, и в особенности курса стрельб, пройти не удается. В длительный период между сборами многое полученное на сборах боец теряет, и, прибыв на новый сбор, ему часто приходится свою подготовку начинать снова.</w:t>
      </w:r>
    </w:p>
    <w:p w14:paraId="18DB0E6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3. Качество подготовки специалистов — химиков, связистов, саперов и т.д. — в большинстве случаев является весьма невысоким.</w:t>
      </w:r>
    </w:p>
    <w:p w14:paraId="26C42B5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Части не успевают должным образом подготовить специалистов. Они лишь дают общее понятие о ближайшей для специалистов военной работе.</w:t>
      </w:r>
    </w:p>
    <w:p w14:paraId="4EBF324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4. Необходима поставить вопрос об изучении всех территориальных частей, условия которых изменились в период великих работ первой и второй пятилетки, и там, где текучесть больше 30—40%, следовало бы эти части перевести на кадровое положение. Во всяком случае этот вопрос необходимо тщательно изучить. Однако уже сейчас не подлежит ни малейшему сомнению, что специальные части, в частности разведывательные отряды, части связи и прочее, желательно снабдить значительно более мощными кадрами, иначе они не смогут обеспечить войсковых соединений.</w:t>
      </w:r>
    </w:p>
    <w:p w14:paraId="17F86B7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5. Одновременно представляется совершенно необходимым увеличение времени новобранческих сборов до 5 месяцев и общих сборов — до 2 месяцев с тем, чтобы пройти положенный курс обучения. Расход денежных средств на годовое содержание кадровой стрелковой дивизии, как, например, Московской Пролетарской стрелковой дивизии</w:t>
      </w:r>
      <w:r w:rsidRPr="00E14102">
        <w:rPr>
          <w:color w:val="000000" w:themeColor="text1"/>
          <w:sz w:val="16"/>
          <w:szCs w:val="16"/>
          <w:vertAlign w:val="superscript"/>
        </w:rPr>
        <w:t>25</w:t>
      </w:r>
      <w:r w:rsidRPr="00E14102">
        <w:rPr>
          <w:color w:val="000000" w:themeColor="text1"/>
          <w:sz w:val="16"/>
          <w:szCs w:val="16"/>
        </w:rPr>
        <w:t>, выражается в 7 801 208 руб., а территориальной 84-й стрелковой дивизии — 5 029 595 руб. Указанные мною суммы не исчерпывают еще всех фактических расходов, так как здесь не учтены материальные ценности, отпускаемые в натуре: вооружение, конский состав, обоз, казармы и т.д.</w:t>
      </w:r>
    </w:p>
    <w:p w14:paraId="303F8B6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6. Все вопросы, связанные с боевой подготовкой переменного состава, исключительно важны, требуют значительно большей проработки и ставятся нами только в порядке изучения, тем более что определение, например, стоимости содержания того или иного вида дивизии является делом относительным, а изменившийся облик нашей страны ставит по-новому многие вопросы.</w:t>
      </w:r>
    </w:p>
    <w:p w14:paraId="10D29ED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Несколько слов о взаимодействии в работе наших военных научно-исследовательских институтов и о качестве нашего патрона. Необходимо указать, что должной увязки в работе наших научно-исследовательских институтов нет. Так, например, научно-исследовательская работа Института инженерной техники почти не согласовывается с Химическим институтом АБТВ и т.д. Поэтому мы иногда имеем такие случаи, когда в ценнейшем изобретении какого-либо института не принимает участия тот институт, часть разрабатываемых вопросов которого непосредственно касается. Следует сказать и о нашем боевом патроне. Мы получаем неплохое стрелковое оружие, а будем получать, несомненно, еще лучше. Однако качество американского патрона, например, по кучности, меткости и точности стрельбы выше </w:t>
      </w:r>
      <w:r w:rsidRPr="00E14102">
        <w:rPr>
          <w:color w:val="000000" w:themeColor="text1"/>
          <w:sz w:val="16"/>
          <w:szCs w:val="16"/>
        </w:rPr>
        <w:lastRenderedPageBreak/>
        <w:t>нашего. Суть дела не в том, что наша промышленность не может дать патрон лучше, а в том, что она дает армии патрон той спецификации, которую ставит ей ГАУ; спецификация же эта может быть значительно повышена.</w:t>
      </w:r>
    </w:p>
    <w:p w14:paraId="7B257EF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практике имели место случаи, когда заводам давался заказ на патрон особо повышенной спецификации (давало общество «Динамо» перед Всесоюзными стрелковыми соревнованиями), причем промышленность, выполнив этот заказ, дала патрон по качеству значительно лучший, в частности для стрельбы из винтовок, чем патрон обычный. Мне кажется, что спецификацию нашего патрона нужно пересмотреть в сторону его улучшения.</w:t>
      </w:r>
    </w:p>
    <w:p w14:paraId="6883CAA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этом разрешите закончить.</w:t>
      </w:r>
    </w:p>
    <w:p w14:paraId="2302401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24-27.</w:t>
      </w:r>
    </w:p>
    <w:p w14:paraId="28624B0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Федько.</w:t>
      </w:r>
      <w:r w:rsidRPr="00E14102">
        <w:rPr>
          <w:color w:val="000000" w:themeColor="text1"/>
          <w:sz w:val="16"/>
          <w:szCs w:val="16"/>
        </w:rPr>
        <w:t xml:space="preserve"> В соответствии с указаниями командующего войсками ОКДВА т. Блюхера основной учебной задачей перед войсками Приморской группы</w:t>
      </w:r>
      <w:r w:rsidRPr="00E14102">
        <w:rPr>
          <w:color w:val="000000" w:themeColor="text1"/>
          <w:sz w:val="16"/>
          <w:szCs w:val="16"/>
          <w:vertAlign w:val="superscript"/>
        </w:rPr>
        <w:t>26</w:t>
      </w:r>
      <w:r w:rsidRPr="00E14102">
        <w:rPr>
          <w:color w:val="000000" w:themeColor="text1"/>
          <w:sz w:val="16"/>
          <w:szCs w:val="16"/>
        </w:rPr>
        <w:t xml:space="preserve"> в этом году являлось оседлать горно-таежный театр.</w:t>
      </w:r>
    </w:p>
    <w:p w14:paraId="5DE5827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Это требовало:</w:t>
      </w:r>
    </w:p>
    <w:p w14:paraId="48CA11A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 Научить пехоту совершать марши и вести бой в тайге.</w:t>
      </w:r>
    </w:p>
    <w:p w14:paraId="0B13FD0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 Научить водителей танков водить танки по болотам, по горам, по тайге: преодолевать водные рубежи, озера.</w:t>
      </w:r>
    </w:p>
    <w:p w14:paraId="18DEA25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3) Приспособить артиллерию, химвойска, сапер и авиацию к действиям в горно-таежной местности.</w:t>
      </w:r>
    </w:p>
    <w:p w14:paraId="3007220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4) Развернуть широкую парашютно-десантную подготовку особых батальонов для действия в горной тайге и, наконец, видоизменить некоторые методы обучения в области физической и стрелковой подготовки в соответствии с теми требованиями, которые предъявляет горно-таежный театр Приморья.</w:t>
      </w:r>
    </w:p>
    <w:p w14:paraId="1CB0228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 каким итогам и выводам пришли войска Приморской группы ОКДВА к финишу учебного года?</w:t>
      </w:r>
    </w:p>
    <w:p w14:paraId="2C298EA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Первое. Облегченная пехота и конница научились ходить по тайге со скоростью 3—4 км в час. Я хочу вкратце описать, что из себя представляет горно-таежная местность. Это дикие горы, поросшие лесом: лес перевит растительностью — лианами, завален буреломом плюс болотистая почва. Вот по такой местности облегченная пехота без техники (артиллерия) научилась ходить со скоростью, как я уже сказал, 3—4 км в час. Стрелковая дивизия со всей своей техникой, артиллерией, с прокладкой пути, с рубкой и расчисткой леса научилась ходить со скоростью 1—1</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xml:space="preserve"> км в час. Совершенно очевидно, что такая скорость нас удовлетворить не может, и мы ставим перед собой задачу — добиться такого темпа движения стрелковой дивизии со всей ее техникой, обозом, артиллерией, при котором скорость равнялась бы 3 км в час, но для этого нужна помощь т. Петина.</w:t>
      </w:r>
    </w:p>
    <w:p w14:paraId="51526EF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заказали Инженерному управлению РККА «лесной комбайн». Лесной комбайн представляет собой трактор, на который устанавливается компрессорная установка. Компрессорная установка имеет 6 пневматических пил, которые предназначены для того, чтобы, двигаясь по тайге, можно было бы, прокладывая колонный путь, распиливать и сбрасывать в сторону встречающиеся деревья. Сконструирование лесного комбайна, несомненно, повысит темп движения стрелковых частей с тяжелой техникой.</w:t>
      </w:r>
    </w:p>
    <w:p w14:paraId="6276D7F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Во-вторых, мы добились значительных успехов в деле подготовки водителей танков в умении водить танки по тайге. Самым подвижным родом оружия в горно-таежной местности, за исключением пехоты, оказались танки. Танки, имея возможность двигаться между деревьями, проходят все препятствия.</w:t>
      </w:r>
    </w:p>
    <w:p w14:paraId="0447CBF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парашютной подготовке мы имеем начальные успехи. Но я должен здесь сказать, что мы не можем получить от т. Алксниса достаточного количества парашютов, что задерживает подготовку большого количества парашютов. Нами все же помимо довольно внушительного десанта на маневрах бьшо сброшено в опытном порядке 100 чел. на горно-таежную местность.</w:t>
      </w:r>
    </w:p>
    <w:p w14:paraId="516977A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При решении перечисленных мною задач, стоящих перед нами в этом году, в войсках Приморской группы войск, как и в остальных частях ОКДВА, развернулась большая творческая и рационализаторская работа нашего красноармейского, начальствующего и технического состава. В результате этого мы решили целый ряд проблем, что с полным основанием дает право заявить о том, что наши командные кадры начинают по-настоящему, по-стахановски овладевать техникой, повышая во много крат эффективность использования этой техники на нашем специфическом горно-таежном театре.</w:t>
      </w:r>
    </w:p>
    <w:p w14:paraId="5620649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Федько приводит ряд фактических данных о переходах танковых подразделений и прочее. В конце учебного года 12 младших командиров совершили 1300 км марш по тайге: Ворошилово-Ольга-Хабаровск, показав среднюю скорость 49 км и пройдя 300 км по болотистым местам. Таким образом, мы уже подходим практически к известному теоретическому пределу в отношении скорости движения человека по горно-таежной местности.</w:t>
      </w:r>
    </w:p>
    <w:p w14:paraId="33BEBDC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изобретательству и рационализации не менее яркие факты. Талантливый конструктор, военный инженер т. Кравцев скомбинировал болотные лопатки, которые автоматически открываются и закрываются из танка. Эти болотные лопатки были испытаны в присутствии значительного количества начальствующего состава ОКДВА, также испытаны в танковых частях — показали прекрасные результаты. Применение этих болотных лопаток, увеличивающее сцепление с почвой, дало возможность повысить проходимость танка по болотам в три раза. При помощи этих болотных лопаток болота Приморья преодолеваются свободно. Теперь задача будет состоять в том, чтобы т. Халепский помог нам в заводском изготовлении этих лопаток. Этим же конструктором сконструировано приспособление для плавания по воде сухопутных танков БТ и Т-26. В этом деле мы имеем уже конкретные достижения, испытанные практически. И это не предел. Я уверен, что мы к весне дадим скорость плавания сухопутного БТ до 20 км, одновременно сделав его полуподводным и надводным танком, с тем чтобы он мог опускаться в воду на дно с перископом и, когда нужно, подниматься для принятия боя вплоть до установки на этом танке морской торпеды. Это будет иметь особое значение для обороны побережья в борьбе с морскими десантами.</w:t>
      </w:r>
    </w:p>
    <w:p w14:paraId="37846B5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Летчик Близнюк и техник Чечубаев изобрели гусеничные шасси для самолета Р-5</w:t>
      </w:r>
      <w:r w:rsidRPr="00E14102">
        <w:rPr>
          <w:color w:val="000000" w:themeColor="text1"/>
          <w:sz w:val="16"/>
          <w:szCs w:val="16"/>
          <w:vertAlign w:val="superscript"/>
        </w:rPr>
        <w:t>27</w:t>
      </w:r>
      <w:r w:rsidRPr="00E14102">
        <w:rPr>
          <w:color w:val="000000" w:themeColor="text1"/>
          <w:sz w:val="16"/>
          <w:szCs w:val="16"/>
        </w:rPr>
        <w:t>. Мы проделали целый ряд опытов, имеются благоприятные отзывы наших летчиков. Это приспособление дает возможность поднимать и сажать самолет с раскисших и на раскисшие аэродромы.</w:t>
      </w:r>
    </w:p>
    <w:p w14:paraId="6E16CAD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Конструктор Кисляков приспособил к обычной грузовой машине бак, находящийся под кузовом между шасси и кузовом, бак емкостью 90 литров. Используя отработанный газ мотора, удалось нагревать воду до температуры 40—100° . Решив этот вопрос, мы приспособили этот бак как обмывочный пункт. Таким образом, мы имеем грузовую машину, габарит кузова ни на один вершок не занят, и в любой момент во время марша можно получить горячую воду для противохимической обмывки людей и лошадей. Кроме того, этот бак дает возможность наливать в него бензин, и таким образом грузовая машина может иметь бензин на 300 км. Наличие горячей воды дает возможность заправлять танк, самолет горячей водой в зимних условиях.</w:t>
      </w:r>
    </w:p>
    <w:p w14:paraId="7B70529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Дальше, мы приспособили пушку танка МС для противотанковой обороны ДОТ</w:t>
      </w:r>
      <w:r w:rsidRPr="00E14102">
        <w:rPr>
          <w:color w:val="000000" w:themeColor="text1"/>
          <w:sz w:val="16"/>
          <w:szCs w:val="16"/>
          <w:vertAlign w:val="superscript"/>
        </w:rPr>
        <w:t>28</w:t>
      </w:r>
      <w:r w:rsidRPr="00E14102">
        <w:rPr>
          <w:color w:val="000000" w:themeColor="text1"/>
          <w:sz w:val="16"/>
          <w:szCs w:val="16"/>
        </w:rPr>
        <w:t>.</w:t>
      </w:r>
    </w:p>
    <w:p w14:paraId="1F1DB64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Изобретен автопускач, который принят т. Халепским на снабжение танковых частей РККА</w:t>
      </w:r>
      <w:r w:rsidRPr="00E14102">
        <w:rPr>
          <w:color w:val="000000" w:themeColor="text1"/>
          <w:sz w:val="16"/>
          <w:szCs w:val="16"/>
          <w:vertAlign w:val="superscript"/>
        </w:rPr>
        <w:t>29</w:t>
      </w:r>
      <w:r w:rsidRPr="00E14102">
        <w:rPr>
          <w:color w:val="000000" w:themeColor="text1"/>
          <w:sz w:val="16"/>
          <w:szCs w:val="16"/>
        </w:rPr>
        <w:t>. Автопускач дает возможность при помощи заднего колеса любой грузовой машины заводить танк в течение 1—2 мин., вместо того чтобы заводить его часами с использованием физической силы большого количества людей. Этот принцип использован и для автопускача авиационных моторов.</w:t>
      </w:r>
    </w:p>
    <w:p w14:paraId="51E6EE5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итоге всей работы по освоению горно-таежного театра, по приспособлению техники к горно-таежным условиям, в результате большого количества оперативных игр, полевых учений мы имели возможность осенью вывести значительную часть войск Приморской группы на крупные маневры для отработки целого ряда тактических вопросов в сложной горно-таежной местности.</w:t>
      </w:r>
    </w:p>
    <w:p w14:paraId="2352D8C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результате этих маневров можно сделать следующий вывод.</w:t>
      </w:r>
    </w:p>
    <w:p w14:paraId="3C52005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вопросах управления войсками мы имеем удовлетворительные итоги. В равнинных условиях войсковые штабы управляли войсками хорошо. В условиях же гор мы встретили целый ряд недочетов в работе штабов. Эти недочеты объяснялись главным образом тем, что еще нет достаточно отработанных навыков по управлению войсками в горно-таежных условиях. Штаб, привыкший на равнине работать неплохо со средствами связи — телефонами, радио, в горно-таежных условиях не всегда мог использовать эти средства. Потребовалась огромная мобильность, изобретательность в применении, использовании других средств связи — самолета, танка, делегатов и прочее. Маневры дали нам богатейшую пищу для целого ряда выводов по вопросам управления войсками в таких условиях, как горная тайга.</w:t>
      </w:r>
    </w:p>
    <w:p w14:paraId="30E4B59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оперативной подготовке начсостава в итоге большого цикла учений, военных игр и полевых поездок, проведенных перед маневрами, достигнуты положительные результаты. Самое главное, что я требовал от начсостава, это умение использовать горную тайгу для внезапного маневра с целью выхода во фланг и тыл противнику. Это высшим начсоставом было в достаточной степени усвоено.</w:t>
      </w:r>
    </w:p>
    <w:p w14:paraId="5118535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Полное овладение войсками горно-таежной местностью дает все основания считать, что при искусном маневрировании мы будем иметь все возможности к тому, чтобы при наличии существующей техники в нашей стрелковой дивизии громить японскую дивизию. И это на маневрах отчетливо было показано начсоставу. Я считаю, что для нас серьезной задачей является воспитать в начсоставе уверенность в том, что наша стрелковая дивизия значительно численно меньшая, чем у японцев, плюс та техника, которую мы имеем, может бить японскую дивизию в составе 23 ООО чел. Но для того чтобы бить японскую дивизию, нужно умело маневрировать в горно-таежной местности. Нужно как следует овладеть вопросами разведки, уметь рассчитать операцию в горно-таежных условиях. Я приведу пример. Мы бросили на маневрах 26-ю</w:t>
      </w:r>
      <w:hyperlink r:id="rId248" w:anchor="_ftn4" w:history="1">
        <w:r w:rsidRPr="00E14102">
          <w:rPr>
            <w:rStyle w:val="a4"/>
            <w:color w:val="000000" w:themeColor="text1"/>
            <w:sz w:val="16"/>
            <w:szCs w:val="16"/>
          </w:rPr>
          <w:t>[4]</w:t>
        </w:r>
      </w:hyperlink>
      <w:r w:rsidRPr="00E14102">
        <w:rPr>
          <w:color w:val="000000" w:themeColor="text1"/>
          <w:sz w:val="16"/>
          <w:szCs w:val="16"/>
        </w:rPr>
        <w:t xml:space="preserve"> дивизию через горную тайгу, штаб дивизии и командование стороны рассчитывали, что дивизия даст скорость 2 км в час. Почему так рассчитывали? Потому что было большое желание во что бы то ни стало пробиться через тайгу и, во-вторых, были некоторые навыки в умении прокладывать колонный путь. Но когда дивизия двинулась, то средняя скорость была дана не свыше километра с четвертью в час. Таким образом, при расчете операции требуется известный глазомер в горно-таежной местности. И если наш начсостав полностью овладеет — в чем я не сомневаюсь — этим глазомером, плюс повысим темп движения, тогда мы будем иметь все возможности бить японскую дивизию.</w:t>
      </w:r>
    </w:p>
    <w:p w14:paraId="2D418AB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Голоса.</w:t>
      </w:r>
      <w:r w:rsidRPr="00E14102">
        <w:rPr>
          <w:color w:val="000000" w:themeColor="text1"/>
          <w:sz w:val="16"/>
          <w:szCs w:val="16"/>
        </w:rPr>
        <w:t xml:space="preserve"> Правильно!</w:t>
      </w:r>
    </w:p>
    <w:p w14:paraId="4672859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Федько.</w:t>
      </w:r>
      <w:r w:rsidRPr="00E14102">
        <w:rPr>
          <w:color w:val="000000" w:themeColor="text1"/>
          <w:sz w:val="16"/>
          <w:szCs w:val="16"/>
        </w:rPr>
        <w:t xml:space="preserve"> А при ведении боя с превосходящими силами противника — бить его по частям.</w:t>
      </w:r>
    </w:p>
    <w:p w14:paraId="327BAAC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В подготовке авиации. Мы провели совместно с морскими силами крупное авиационное учение. Участвовало свыше 100 самолетов Приморской группы. На этом авиационном учении не имели ни одной аварии, ни одной поломки, и, по отзыву т. Викторова, авиация Приморской группы работала неплохо. До этого авиационного учения была опасность, что наша авиация, находясь на аэродромах, в случае внезапного налета японской авиации не сумеет укрыться. Но авиационное учение показало </w:t>
      </w:r>
      <w:r w:rsidRPr="00E14102">
        <w:rPr>
          <w:color w:val="000000" w:themeColor="text1"/>
          <w:sz w:val="16"/>
          <w:szCs w:val="16"/>
        </w:rPr>
        <w:lastRenderedPageBreak/>
        <w:t>полную возможность путем рассредоточения и маскировки скрыть нашу авиацию таким образом, чтобы при простом визуальном наблюдении обнаружить самолеты противной стороне не представлялось возможным. Даже когда было известно нахождение аэродрома, обнаружить места самолетов почти не представляется возможным.</w:t>
      </w:r>
    </w:p>
    <w:p w14:paraId="4D54561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 как у меня, товарищи, время ограничено, я остановлюсь на тех вопросах, которые мне хотелось бы доложить народному комиссару и Военному совету в порядке постановки вопроса.</w:t>
      </w:r>
    </w:p>
    <w:p w14:paraId="37784FA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Первый вопрос. Необходимо расширить авиадесантную подготовку войск. Этот год, по-моему, является переломным годом, когда в целом ряде округов — Киевском, Белорусском, Ленинградском — были продемонстрированы большие возможности в этой области. Я должен сказать, что среди красноармейцев и начальствующего состава имеется огромная тяга к овладению парашютным делом. Но вся беда заключается в том, что материальная база очень слаба — нет учебных парашютов, в составе Генерального штаба нет отдела, который бы занимался вопросами разработки соответствующих программ, вопросами снабжения необходимым имуществом и т.д. Если бы я получил в этом году 5000 парашютов, то я с полным основанием могу заявить, что у нас есть все возможности к тому, чтобы 70%, если не все 80%, войск Приморья обучить парашютному делу.</w:t>
      </w:r>
    </w:p>
    <w:p w14:paraId="1D93BD1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свете той постановки вопроса, которую здесь докладывал т. Фишман, с ним я полностью согласен о большой роли химических средств в будущей войне, — авиадесантные средства дают возможность переброски войск через загазированные полосы противника, с тем чтобы загнать самого противника в расставленные для нас сети, загнать его самого на эти загазированные полосы.</w:t>
      </w:r>
    </w:p>
    <w:p w14:paraId="47C8E60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вопрос. Мы слабо работаем над подготовкой войск в умении атаковать укрепленные позиции. На границе японцы строят довольно солидные укрепления. И я считаю, что мы должны будем записать этот вопрос в учебную директиву на следующий год.</w:t>
      </w:r>
    </w:p>
    <w:p w14:paraId="012D84D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Третий вопрос — это огневое дело. Я на своем собственном опыте убедился в том, что мы очень много времени тратим на стрелковое дело потому, что оно у нас не организовано как следует. Не случайно, что в целом ряде округов в этом году мы имеем такое положение вещей, когда первая и вторая задачи прорабатывались в течение всего года. Чем это можно объяснить? Чем это объяснялось? Объяснялось это тем, что мы не уделяем достаточного внимания вопросам техники владения оружием, не деремся за скоростные нормативы владения оружием, за высокое качество приемов работы с оружием. Когда это дело я поставил как следует, то сразу получились соответствующие результаты. Я утверждаю, что при соответствующем рациональном методе обучения, — что доказано на опыте, — мы имеем все возможности к тому, чтобы нашего бойца на отлично одновременно отработать как ружейного стрелка и пулеметчика с минимумом патронов. Кроме того, я считаю, что мы можем на 30% снизить отпуск боеприпасов на обучение. Я считаю, что основная наша задача сейчас в области огневой подготовки заключается в том, чтобы подготовить сознательного стрелка, не натасканного, как у т. Дыбенко, а бойца, который умел бы решить стрелковую задачу, умел бы связать решение стрелковой задачи с тактической обстановкой.</w:t>
      </w:r>
    </w:p>
    <w:p w14:paraId="4A4F08D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считаю, что в ОКДВА мы в этом году, в частности в Приморской группе, имеем несомненно значительный рост стрелковой подготовки в результате упора на отработку сознательного стрелка. А если по этой линии т. Дыбенко будет поднимать стрелковую подготовку, то придется выйти в поле для того, чтобы, создав соответствующую тактическую обстановку, решать на фоне этой тактической обстановки стрелковые задачи.</w:t>
      </w:r>
    </w:p>
    <w:p w14:paraId="551247C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отношении ветеринарного дела. Я должен доложить т. народному комиссару обороны, что, несмотря на все усилия, в течение трех месяцев мы не можем найти средства против анемии. В 32-й дивизии пало до 40 лошадей, в 8-й кавалерийской дивизии также наблюдается падеж лошадей. Приезжают профессора, разводят руками, ничего не могут сделать, ничем не могут помочь. Я считаю необходимым резко поставить сейчас вопрос перед соответствующими ветеринарными работниками, чтобы были найдены эти средства против анемии. Во время Русско-японской войны в японской армии был огромный падеж конского состава от анемии. Происхождение этой анемии маньчжурское.</w:t>
      </w:r>
    </w:p>
    <w:p w14:paraId="3958099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Все дело в уходе за лошадью: чистка, нормальная эксплуатация, попона, скребница и прочее.</w:t>
      </w:r>
    </w:p>
    <w:p w14:paraId="0174A21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Федько.</w:t>
      </w:r>
      <w:r w:rsidRPr="00E14102">
        <w:rPr>
          <w:color w:val="000000" w:themeColor="text1"/>
          <w:sz w:val="16"/>
          <w:szCs w:val="16"/>
        </w:rPr>
        <w:t xml:space="preserve"> Я только от вас получил конкретные способы борьбы, а врачи все в один голос убеждают, что нет средств борьбы с анемией.</w:t>
      </w:r>
    </w:p>
    <w:p w14:paraId="727B746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 последний вопрос — о мобилизационной работе. Я этим делом занимаюсь уже два года и должен прямо сказать, что это хозяйство у нас определенно не в порядке, что в мобилизационной работе мы имеем огромнейший консерватизм. Мы все прекрасно понимаем, что война не начнется с того, что нам скажут «Иду на вы». Мы начнем вползать в войну. Мобилизаторы считают, что до такого-то дня войска отмобилизуются, и только после отмобилизования, вплоть до последней повозки, войска идут на фронт. Этого фактически не будет. Вопрос идет о многоэшелонности мобилизации. Вопрос идет о том, чтобы отмобилизовать в первую очередь те части, которые нужно немедленно бросить на фронт.</w:t>
      </w:r>
    </w:p>
    <w:p w14:paraId="052E16D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 нас в этой части уравниловка, сводящаяся к тому, что всем мобилизующимся частям дается одинаковое количество людского пополнения и средства. Почему это происходит? Это происходит потому, что не все командиры этим делом непосредственно занимались. Мобделом зачастую занимаются третьестепенные лица. За это дело нам нужно серьезно взяться, чтобы не оказаться в таком положении, в котором оказались в области войскового хозяйства.</w:t>
      </w:r>
    </w:p>
    <w:p w14:paraId="542E558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Это хозяйство должно быть также приведено в образцовое состояние.</w:t>
      </w:r>
    </w:p>
    <w:p w14:paraId="1093CA5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27-29.</w:t>
      </w:r>
    </w:p>
    <w:p w14:paraId="10C69BE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Роговский.</w:t>
      </w:r>
      <w:r w:rsidRPr="00E14102">
        <w:rPr>
          <w:color w:val="000000" w:themeColor="text1"/>
          <w:sz w:val="16"/>
          <w:szCs w:val="16"/>
        </w:rPr>
        <w:t xml:space="preserve"> На 1935 г. народным комиссаром перед артиллерией были поставлены задачи, которые в основном можно сформулировать одной фразой: овладеть управлением огнем в сложных условиях боя, во взаимодействии с другими родами войск.</w:t>
      </w:r>
    </w:p>
    <w:p w14:paraId="2E5822D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Эта задача в основном охватывается двумя видами подготовки: подготовкой огневой и подготовкой тактической, которые неразрывно между собой связаны, так как без огня не может быть тактики артиллерии, и наоборот. Не имея возможности охватить целиком и полностью все сложные вопросы подготовки артиллерии, я постараюсь остановиться только на некоторых.</w:t>
      </w:r>
    </w:p>
    <w:p w14:paraId="063D933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дал 1935 г. в части индивидуальной стрелковой подготовки?</w:t>
      </w:r>
    </w:p>
    <w:p w14:paraId="034530D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Подготовка командного состава при общем вполне удовлетворительном уровне дала качественный рост. В особенности вырос за 1935 г. наш молодой командир дивизиона и командир батареи, вырос как теоретически, так и математически, и в общем неплохо стреляют. В 1935 г. командир более сознательно и глубоко начал владеть правилами стрельбы. Однако эти достижения еще далеки от тех требований, которые предъявляются командиру-артиллеристу современной артиллерии.</w:t>
      </w:r>
    </w:p>
    <w:p w14:paraId="106EB69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 минусы нашей огневой подготовки нужно отметить: мы продолжаем неважно стрелять шрапнелью; плохо владеем корректурой веера батареи, что представляет на будущее большое значение в связи с переходом на 4-орудийную батарею. Хотя у нас и выросла математическая подготовка командира-артиллериста, но все же она далеко недостаточна для того, чтобы внедрить аналитические способы стрельбы, которые бы освободили командира от большинства графических работ. Наконец, выполняя отдельные огневые задания, мы зачастую очень слабо связываем их с тактической обстановкой.</w:t>
      </w:r>
    </w:p>
    <w:p w14:paraId="025F919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Но главным минусом в индивидуальной стрелковой подготовке командира является то, что мы в основном учим командира мирного времени, а не учим командира военного времени. Все количество огнеприпасов, все усилия мы отдаем на обучение командира мирного времени и уделяем мало внимания и почти ноль снарядов на обучение командира, который должен с объявлением войны стать командиром батареи. Обычно говорят, что на это у нас не хватает снарядов, что нужно увеличить снаряды. Это положение, по-моему, совершенно неправильное.</w:t>
      </w:r>
    </w:p>
    <w:p w14:paraId="2760B9A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Опыт четырех лет применения имитационных средств, которые сейчас получили большое развитие в войсках как в количественном, так и в качественном отношениях, показывают, что для того, чтобы обучить командира стрелять, не требуется безграничного увеличения количества снарядов. Та норма, которая сейчас существует, является нормой вполне достаточной для обучения командира при условии, что на подготовку командира военного времени будет обращено больше внимания и что он будет тренироваться на имитационных средствах.</w:t>
      </w:r>
    </w:p>
    <w:p w14:paraId="44BE075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Значительные достижения мы имеем в борьбе с танками. Здесь, товарищ народный комиссар, если мы в 1934 г. имели снайперских орудий единицы, то в настоящее время мы имеем 62%. На поражение одного танка приходится в среднем от 2 до 3 снарядов. В основе противотанковой артиллерии лежит батальонная артиллерия, вооруженная 45-мм пушками</w:t>
      </w:r>
      <w:r w:rsidRPr="00E14102">
        <w:rPr>
          <w:color w:val="000000" w:themeColor="text1"/>
          <w:sz w:val="16"/>
          <w:szCs w:val="16"/>
          <w:vertAlign w:val="superscript"/>
        </w:rPr>
        <w:t>30</w:t>
      </w:r>
      <w:r w:rsidRPr="00E14102">
        <w:rPr>
          <w:color w:val="000000" w:themeColor="text1"/>
          <w:sz w:val="16"/>
          <w:szCs w:val="16"/>
        </w:rPr>
        <w:t>. Но батальонной артиллерии уделяется небольшое внимание со стороны командиров всех степеней. Правда, не было отпущено снарядов для пушек «К» и была запрещена стрельба 45-мм бронебойными снарядами. Но это положение отнюдь не может быть оправданием плохой ее подготовки. Факт остается фактом — не обращали должного внимания на батальонную артиллерию. Мы видим, что батальонная артиллерия применяется зачастую только как придаток, который идет за батальоном, но специальной ее подготовке внимания мало. Горная артиллерия в этом году по сравнению с прошлым годом дала значительный рост и впервые овладела более или менее прилично стрельбой в горных условиях.</w:t>
      </w:r>
    </w:p>
    <w:p w14:paraId="492B974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 управления огнем. Этот вопрос являлся основным в подготовке 1935 г., и в этом году, нужно сказать, в армию впервые был спущен разработанный в 1935 г. (в начале года) метод применения массированной артиллерии без предварительной пристрелки всех батарей. Этот метод был проверен раньше опытными стрельбами на АКУКСе, а в дальнейшем был спущен в армию в виде временной инструкции, утвержденной Генеральным штабом. Применение метода массированной артиллерии показало, что он себя оправдывает, и если раньше для ведения массовой артиллерии нужно было каждой батареей пристреливать вспомогательные точки репера, теперь на корпус пристреливаются 4—6 орудий, а остальная артиллерия вступает в бой, ведя стрельбу по данным пристрелочных орудий.</w:t>
      </w:r>
    </w:p>
    <w:p w14:paraId="2856508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Нужно сказать, что увеличилось количество дивизионных и групповых стрельб. Впервые проводились групповые стрельбы на фотограмметрической основе. Эти методы начинают только внедряться и требуют дополнительных средств в виде фотолаборатории и оборудования в дивизионах разведывательной службы.</w:t>
      </w:r>
    </w:p>
    <w:p w14:paraId="125B786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Однако эти положительные факторы в области тактической подготовки и управления огнем, тесно связанные между собой, не дают совершенно права говорить, что в этой области дело обстоит вполне благополучно. У нас плохо обстоит с разведкой и с управлением подразделений. И самое главное, на чем бы я хотел остановиться, это вопрос управления артиллерией.</w:t>
      </w:r>
    </w:p>
    <w:p w14:paraId="5A26AD7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Присутствуя на тактических учениях и маневрах, зачастую приходится слышать целый ряд нареканий общевойсковых командиров на неготовность артиллерии. Эти нарекания бывают вежливого порядка, но бывают и хуже, говорят: «На что нам такая артиллерия, которая запаздывает в бою». Анализ положения приводит, по моему </w:t>
      </w:r>
      <w:r w:rsidRPr="00E14102">
        <w:rPr>
          <w:color w:val="000000" w:themeColor="text1"/>
          <w:sz w:val="16"/>
          <w:szCs w:val="16"/>
        </w:rPr>
        <w:lastRenderedPageBreak/>
        <w:t>глубокому мнению, к правильному выводу, который был сделан зам. наркома т. Гамарником, — что у нас хромает управление общевойсковым боем. В вопросах неготовности артиллерии виноваты и общевойсковые командиры, и артиллеристы, причем вина общевойсковых командиров порой не меньшая, чем артиллерийских командиров. Я пришел к выводу, что там, где артиллерия не готова — там нечеткое управление.</w:t>
      </w:r>
    </w:p>
    <w:p w14:paraId="18DA2C0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мог бы привести массу примеров, которые изучил в отношении управления артиллерии по 22 сд, по 17 сд, по маневрам Ленинградского военного округа, по маневрам 10-го корпуса Московского округа, когда командир, принимая решение, не учитывает свойств артиллерии. Например, придается полк артиллерии главного командования, полк вооружен 152-мм калибрами. Его придают пехоте, идущей через болото. Полк 4 км идет 8 часов, и, конечно, опоздал. Ясно, что если загнать тяжелые орудия в болото, то ни о какой своевременной готовности не приходится и говорить.</w:t>
      </w:r>
    </w:p>
    <w:p w14:paraId="04D7514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Надо сказать, что артиллеристы также нечетко управляют своими подразделениями. В 22-й дивизии был такой случай с командиром дивизиона. Дивизион, стоявший в '/</w:t>
      </w:r>
      <w:r w:rsidRPr="00E14102">
        <w:rPr>
          <w:color w:val="000000" w:themeColor="text1"/>
          <w:sz w:val="16"/>
          <w:szCs w:val="16"/>
          <w:vertAlign w:val="subscript"/>
        </w:rPr>
        <w:t>2</w:t>
      </w:r>
      <w:r w:rsidRPr="00E14102">
        <w:rPr>
          <w:color w:val="000000" w:themeColor="text1"/>
          <w:sz w:val="16"/>
          <w:szCs w:val="16"/>
        </w:rPr>
        <w:t xml:space="preserve"> км от штаба стрелкового полка, который он должен был поддерживать, не знал, где стрелковый полк, который он должен поддерживать, в свою очередь и полк не знал, где такой дивизион. Командир дивизиона, ожидая приказа (который он получил вместе с кодом, но порвал), зная, что завтра бой, не принял никаких мер найти свой полк и мирно стоял, ожидая каких-то распоряжений. Но самое главное, что войсковые командиры увлекаются очень общей постановкой задачи — «быть готовым к централизованному управлению огнем», к тому же, что неправильно понимая вопрос централизации, часто говорят о централизованном управлении, а связи с пехотой нет и получается так, что все «централизуется», но впустую.</w:t>
      </w:r>
    </w:p>
    <w:p w14:paraId="5354B5C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 нужно делать? Нужно автоматически переходить от децентрализованного управления огнем, — типичного управления в начале боя, — к централизованному управлению. Развернувшись, дивизион, батарея немедленно должны связаться с ротой, батальоном. К централизованному управлению надо переходить снизу, постепенно объединяя подразделения артиллерии, не порывая их связи с пехотой, а не централизовать артиллерию сверху. Решая вопрос об управлении (централизованное или децентрализованное), требуется четкая оценка обстановки и учет боевых свойств и возможностей артиллерии.</w:t>
      </w:r>
    </w:p>
    <w:p w14:paraId="73CE6F9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 можно решать этот вопрос в боевой подготовке? Прежде всего надо приветствовать то, что делает Киевский округ в смысле сбора командиров пехотных полков по специальным артиллерийским вопросам. Наконец, нужно четко поставить вопрос о введении взаимных стажировок артиллерийских, пехотных и танковых командиров. Приказом наркома это было введено, но в 1935 г. не получило должного развития.</w:t>
      </w:r>
    </w:p>
    <w:p w14:paraId="519C5EC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Несколько слов о подготовке зенитной артиллерии. В этом году зенитная артиллерия получила в большом количестве новую материальную часть: пушки 1931 г.</w:t>
      </w:r>
      <w:r w:rsidRPr="00E14102">
        <w:rPr>
          <w:color w:val="000000" w:themeColor="text1"/>
          <w:sz w:val="16"/>
          <w:szCs w:val="16"/>
          <w:vertAlign w:val="superscript"/>
        </w:rPr>
        <w:t>31</w:t>
      </w:r>
      <w:r w:rsidRPr="00E14102">
        <w:rPr>
          <w:color w:val="000000" w:themeColor="text1"/>
          <w:sz w:val="16"/>
          <w:szCs w:val="16"/>
        </w:rPr>
        <w:t xml:space="preserve"> и приборы Крузе и Вест. Таким образом, зенитная артиллерия встретилась с новой техникой, которая поступила к нам впервые в массовом масштабе. Приборами Крузе и пушками 1931 г. мы овладели, можно сказать, более или менее удовлетворительно. Что касается приборов Вест, т.е. электрическими, то ими мы полностью не овладели, причем самым главным тормозом является недостаточная электротехническая подготовка командного состава, имеющего довольно относительное понятие, что такое электротехника. Стрельбы в этом году зенитная артиллерия проводила по повышенным требованиям в смысле условий и полигонной оценки стрельбы. На средних высотах (до 3500 м) стрельбы проведены удовлетворительно, но в среднем выполнение стрельб только 60%. Очень мало ночных стрельб, это совершенно неудовлетворительное явление.</w:t>
      </w:r>
    </w:p>
    <w:p w14:paraId="76EBFD0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Тактическая подготовка слабая, причем основным является то, что выходов в поле почти нет. Зенитная артиллерия почти совершенно не имеет транспорта. На дивизион имеем только 2 трактора, одну машину, и не в состоянии выходить в поле. В Киевском военном округе только благодаря тому, что мне т. Якир дал 20 машин, мы смогли выйти в поле и провести опытное учение. Следующий вопрос: во время войны мы не будем стрелять по тем самолетам, по которым стреляем сейчас. Мы стреляем по самолетам, которые дают скорость максимум 45 м в секунду, а на войне мы встретимся с самолетами, дающими 100-120 м/с. Мы учимся стрелять по одиночным самолетам, а на войне будем стрелять по группам. У нас для стрельбы по группе самолетов теоретически разработанных и практически освоенных правил стрельб нет, и мы не знаем, что можем конкретно преподнести войсками. Мы поставили за это время (1935 г.) целый ряд опытов. В декабре будем подводить итоги, но пока не можем войскам преподнести чего-нибудь ясного и определенного. Ясно, что скоростных самолетов в ближайшее время получить на полигоны мы не сможем. Поэтому нужно идти на что-то искусственное.</w:t>
      </w:r>
    </w:p>
    <w:p w14:paraId="565723D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чем заключается трудность стрельбы по скоростным самолетам? Трудность заключается в том, что чрезвычайно большое угловое перемещение. Я проделал опыт. Частям не бьшо сказано, где будет самолет, но бьшо приказано открыть огонь по самолету, где бы он ни появился. Р-5 на высоте 600 м вырвался на батарею, которая не могла его поймать, до того колоссально угловое перемещение, настолько быстро он проходит через сектор стрельбы. Угловое же перемещение Р-5 на высоте 600 м равно угловому перемещению скоростных самолетов на высотах 2500—3000 м. Я полагаю, что нужно в КС ввести стрельбы на пониженных высотах с тем, чтобы дать как можно большее угловое перемещение, и учить артиллерию быстро наводить, а потом с получением скоростных самолетов перейти на высотные стрельбы.</w:t>
      </w:r>
    </w:p>
    <w:p w14:paraId="680642A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Еще один вопрос, который я не могу не задать, но который не смогу полностью анализировать. Здесь уже говорили о том, что с планированием времени дело обстоит не так блестяще, что у нас командный состав, а также красноармейский не берегут учебное время. Я обследовал специально четыре полка: АКУКС — 01, 104 и Мпсд. Наиболее детально изучен артполк Мпсд. Взял план месяца декабрь. Здесь я докладываю фактическую сторону, т.е. так, как написано в плане артполка Мпсд, и как это проводится в жизнь. Вот диаграмма расчета часов на декабрь месяц. Вы видите, что на стрельбу и специальную подготовку красноармейского состава здесь поставлено ноль часов, в то время, когда должно быть отведено около 50 часов.</w:t>
      </w:r>
    </w:p>
    <w:p w14:paraId="5338A55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Спрашиваю у командира: почему он так поставил? Он говорит: мне не хватает времени. Если просмотреть все проценты по другим дисциплинам, то здесь получается следующая картина. Вашим приказом, т. нарком, командиру полка установлен некоторый лимит времени по общеобразовательной и ленинской подготовке. Остальное время он должен планировать сам. Между тем командиру полка постоянно добавляют часы по другим дисциплинам, в результате получается малое число часов на спецподготовку, а на декабрь месяц совершенно не дано времени. То же самое в отношении младших командиров </w:t>
      </w:r>
      <w:r w:rsidRPr="00E14102">
        <w:rPr>
          <w:rStyle w:val="a6"/>
          <w:i w:val="0"/>
          <w:color w:val="000000" w:themeColor="text1"/>
          <w:sz w:val="16"/>
          <w:szCs w:val="16"/>
        </w:rPr>
        <w:t>(показывает диаграмму).</w:t>
      </w:r>
      <w:r w:rsidRPr="00E14102">
        <w:rPr>
          <w:color w:val="000000" w:themeColor="text1"/>
          <w:sz w:val="16"/>
          <w:szCs w:val="16"/>
        </w:rPr>
        <w:t xml:space="preserve"> Как видно, младший командир занимается с красноармейцами только 36,4% времени, а с ним занимаются 63,5%. Таким образом получается, что для обучения красноармейцев младший командир имеет около 2 часов в день. Ко всем единый подход без учета, некоторые артиллерийские полки несут гарнизонную и караульную службу, которая отнимает около 10 дней в месяц, т.е. 33% учебного времени. План дается на целый месяц. Если отнять дни, уходящие на гарнизонную службу, то получается, что месячный план приходится укладывать в две декады — вернее в 16 дней.</w:t>
      </w:r>
    </w:p>
    <w:p w14:paraId="3F2BC0D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В отношении загрузки командира у нас тоже дело обстоит не особенно блестяще. Этот вопрос требует доработки, и я не претендую на полноту его освещения. Вот работа командира месячная, а вот суточная </w:t>
      </w:r>
      <w:r w:rsidRPr="00E14102">
        <w:rPr>
          <w:rStyle w:val="a6"/>
          <w:i w:val="0"/>
          <w:color w:val="000000" w:themeColor="text1"/>
          <w:sz w:val="16"/>
          <w:szCs w:val="16"/>
        </w:rPr>
        <w:t>(показывает т. Ворошилову диаграммы).</w:t>
      </w:r>
      <w:r w:rsidRPr="00E14102">
        <w:rPr>
          <w:color w:val="000000" w:themeColor="text1"/>
          <w:sz w:val="16"/>
          <w:szCs w:val="16"/>
        </w:rPr>
        <w:t xml:space="preserve"> Вы видите, что в сутки он фактически может затратить на самоподготовку только 2 часа.</w:t>
      </w:r>
    </w:p>
    <w:p w14:paraId="0C90CCF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т. народный комиссар, из-за недостатка времени не могу подробнее на самом деле остановиться, я могу представить вам материал. Сейчас я ставлю этот вопрос только в порядке постановки его. Необходимо обратить внимание на планирование и загрузку командира. Здесь приводились только цифры из плана, но надо иметь в виду, что много тратится лишнего времени совершенно нерационально. Заходим мы в одну часть, сидят там командиры батареи. Спрашиваем: чего, мол, сидите? А вот, говорят, ждем, пока уйдет командир дивизиона. А дело у вас есть? Нет, но вдруг комдивизиона нас вызовет. Такие факты не единичны. Масса времени уходит зря. Наряды велики и слабо контролируются. На одно дело посылают по несколько человек, и, конечно, ни о каких секундах или минутах времени не может быть и речи. Тратятся бесполезно целые часы.</w:t>
      </w:r>
    </w:p>
    <w:p w14:paraId="2A14250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Вот диаграмма распределения времени командира. По плану командир батарее учит бойцов и присутствует на занятиях в подразделениях 13 часов. Когда мы проверили комбатареи, то оказалось, что цифра не соответствует действительности и он уделяет учебе подразделения не более 4—5 часов, так как остальное время идет на административно-хозяйственные вопросы. Таким образом, план планом, а 8 часов в шестидневку пропадают совершенно бесхозяйственно. Вопрос планирования и экономного расхода времени требует к себе пристального внимания и упорядочения.</w:t>
      </w:r>
    </w:p>
    <w:p w14:paraId="61DD5CB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29-30.</w:t>
      </w:r>
    </w:p>
    <w:p w14:paraId="043A331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Каширин.</w:t>
      </w:r>
      <w:r w:rsidRPr="00E14102">
        <w:rPr>
          <w:color w:val="000000" w:themeColor="text1"/>
          <w:sz w:val="16"/>
          <w:szCs w:val="16"/>
        </w:rPr>
        <w:t xml:space="preserve"> Я хочу, т. народный комиссар Маршал Советского Союза, остановиться ввиду ограниченности времени на одном только вопросе — на основных выводах из тех больших учений, которые мы нынче в округе проводили. В округе бьшо проведено два больших учения. Первое учение 9-го стрелкового корпуса, на котором участвовало три стрелковые дивизии, один кавалерийский полк, соответствующая артиллерия, вся наша окружная техника, танковые части, самолетов около 100 и авиационно-десантный отряд в составе одного батальона.</w:t>
      </w:r>
    </w:p>
    <w:p w14:paraId="47C6E10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учение по указаниям Генерального штаба проводилось как показное учение для военных иностранных атташе. На учении участвовала 28-я горно-стрелковая дивизия, усиленная полковыми школами. На этом учении присутствовали иностранные представители — военные атташе в числе 22 чел. Кроме того, во всех дивизиях к концу лагерного сбора были проведены дивизионные и полковые учения, на основе которых мы сделали те или другие выводы.</w:t>
      </w:r>
    </w:p>
    <w:p w14:paraId="33B4BEE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Какие основные выводы, т. народный комиссар, я делаю из этих учений? Первый вывод состоит в том, что наибольших достижений мы нынче добились в отработке войсками таких вопросов, как маневрирование, мобильность войск и соответствующая их выносливость. В этом отношении все войска показали высокие результаты. В частности, наша территориальная пехота совершенно свободно выполняла 25-километровый марш в течение 3</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xml:space="preserve"> часа, после этого через </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xml:space="preserve"> часа отдыха совершенно свободно опять справлялась с бросками в 5 км и затем проводила учебные стрельбы. Наша территориальная конница то же самое — достаточно хорошо справилась с переходами в 50—60 км и дала броски по пересеченной местности. Эти достижения в тренировке, выносливости и мобильности являлись характерными не для какого-нибудь одного дня, но были характерными на протяжении всех учений, всех маневров, на протяжении 3 и даже 5 дней.</w:t>
      </w:r>
    </w:p>
    <w:p w14:paraId="380CCEE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Таким образом, это несомненное завоевание войск СКВО является достаточно устойчивым и крепким завоеванием не только пехоты и конницы, но и специальных войск.</w:t>
      </w:r>
    </w:p>
    <w:p w14:paraId="5E6A611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Второй вывод состоит в том, что участвовавшая на маневрах техника, в частности части ВВС, танковые части и наша артиллерия, и небольшие инженерные, и химические части — вся эта техника нашими общевойсковыми командирами и штабами была использована в основном правильно и свою задачу она выполнила </w:t>
      </w:r>
      <w:r w:rsidRPr="00E14102">
        <w:rPr>
          <w:color w:val="000000" w:themeColor="text1"/>
          <w:sz w:val="16"/>
          <w:szCs w:val="16"/>
        </w:rPr>
        <w:lastRenderedPageBreak/>
        <w:t>достаточно хорошо. В частности, мы так же, как и в других округах, не имели аварий ВВС и каких-либо крупных поломок, за исключением одного случая поломки самолета У-2.</w:t>
      </w:r>
    </w:p>
    <w:p w14:paraId="321B7BC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Но однако в отработке специальных родов войск у нас имеются и недочеты.</w:t>
      </w:r>
    </w:p>
    <w:p w14:paraId="63688BF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Главнейшие из этих недочетов следующие. Артиллерия ввиду большой мобильности, достигнутой пехотой и конницей, не всегда поспевала с открытием огня. Таким образом, перед артиллерией стоит задача, чтобы ускорить некоторые процессы своей работы и добиться ускорения открытия огня для того, чтобы идти нога в ногу с быстрыми темпами движения, которые дают сейчас на поле боя пехота и конница.</w:t>
      </w:r>
    </w:p>
    <w:p w14:paraId="3CCF24B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Штабы и командиры наших танковых частей очень мало заботились о поддержании связи с пехотой и конницей, и от отсутствия этой связи в значительной степени страдали вопросы их боевого взаимодействия.</w:t>
      </w:r>
    </w:p>
    <w:p w14:paraId="71BFE54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Имелись недочеты и в работе штурмовой авиации, состоящие, в частности, в том, что мы имели два случая, когда штурмовая авиация при совместных действиях с пехотой опоздала в одном случае на 5, а в другом случае на 12 мин. атаковать наземные цели.</w:t>
      </w:r>
    </w:p>
    <w:p w14:paraId="69CBD77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Третий вывод из больших учений заключается в том, что мы добились достаточно удовлетворительной проработки вопросов, связанных с выбросками авиадесантных отрядов. Мы выбрасывали батальон, в котором имелась одна рота парашютистов, среди которых мы имели до 50% колхозников, которых мы подготовили к этой работе.</w:t>
      </w:r>
    </w:p>
    <w:p w14:paraId="4C15E80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Какие основные выводы мы делаем о работе этого авиационного тактического десанта? Мы считаем, что высадка авиационного тактического десанта в войсковом тылу, безусловно, себя оправдывает и может быть очень полезной. Состав этого десанта, мне кажется, вряд ли может быть меньше батальона, три-четыре стрелковые роты, кроме того, одна рота парашютистов, затем обязательно нужна рота танкеток, химический взвод и соответствующие радиосредства для того, чтобы он имел возможность поддерживать связь со своим командованием и в некоторых случаях получить от него новые задачи. АДО должен быть обязательно моторизован; мы на ученьи не полностью его моторизовали и подвижность его благодаря этому была недостаточной. Длительное пребывание авиационного десантного отряда в войсковом тылу противника невозможно. Практически на учениях это время определилось в 6—8 часов, через которое авиационный десантный отряд был нащупан противником и уничтожен. Для ликвидации АДО нужно высылать подвижные мотомеханизированные или конные части. Подробные тезисы о действиях АДО я представлю дополнительно начальнику Генерального штаба.</w:t>
      </w:r>
    </w:p>
    <w:p w14:paraId="7F73B27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Следующий вывод, который напрашивается из наших больших учений, состоит в том, что наибольшие недостатки оказались в области управления войсками. Эти недостатки заключались, во-вторых, в оказавшейся сравнительно слабой практической тренировке штабов при их работе в условиях сложных форм боя. И здесь, мне кажется, у нас имеется некоторое несоответствие между растущей мобильностью и маневренностью войск, с одной стороны, и все еще недостаточной поворотливостью штабов — с другой. Мне кажется, дальнейшая задача в этой области должна состоять в том, чтобы еще больше налечь на практическую тренировку штабов и для этого отвести соответствующее время.</w:t>
      </w:r>
    </w:p>
    <w:p w14:paraId="1492F34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обстоятельство, которое, безусловно, сказывалось отрицательно на управлении войсками, состояло в том, что у нас оказалась отстающей разведывательная подготовка войск и самих штабов. В частности, организуя разведку, зачастую ее организуют только с началом боя. В процессе развития боя эта разведывательная работа обыкновенно прекращается, и штабы, и войска часто действовали вслепую. Очень часто при организации разведки использовались почти все разведывательные средства, не оставлялся резерв этих разведывательных средств. Кроме того, сами разведчики оказались недостаточно воспитанными в духе проявления высоких волевых качеств, в духе проявления высокой инициативы, совершенно необходимой для разведчика, в духе проявления дерзости, я бы сказал. У нас был характерный случай на маневрах, когда отдельный разведывательный дозор достаточной силы подошел к мосту, через который переправлялась рота пехоты противника с артиллерией без всякого охранения. Вместо того чтобы использовать этот благоприятный для нападения момент, ОРД оказался недостаточно решительным и прозевал благоприятную обстановку.</w:t>
      </w:r>
    </w:p>
    <w:p w14:paraId="648B8F2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должен доложить также кратко о той оценке, которую давали военные атташе на учении участвовавшим войскам и командирам. В общем они очень внимательно относились к учению. Большинство из военных атташе дали положительную оценку как действиям самих частей, так и использованию технических средств борьбы. Была со стороны эстонского военного атташе майора Синка отмечена отличная подготовка бойцов и очень хорошее впечатление от командиров штаба 9-го стрелкового корпуса. Он сказал, что этим командным составом можно вполне гордиться. Германский военный атташе генерал Кестринг восхищался конницей и в особенности контратаками национального кавалерийского полка. Помощник военного атташе Чехословакии был также поражен лихостью атаки кавалерийского полка, но отметил, что бойцы пехоты пренебрегают опасностью от танков и неудачно выбирают позицию для отдельных пулеметов. Военные атташе Франции и Великобритании отметили хорошую маскировку штурмовиков во время подхода их к цели.</w:t>
      </w:r>
    </w:p>
    <w:p w14:paraId="58FEE8D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Все военные атташе чрезвычайно одобрительно отзывались о художественной красноармейской самодеятельности и что особенно их поразило, так это то, что они увидели выступление на вечере самодеятельности тех командиров и бойцов, которых они видели перед этим на учении.</w:t>
      </w:r>
    </w:p>
    <w:p w14:paraId="4638342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Вот, т. народный комиссар, те выводы, которые я хотел доложить.</w:t>
      </w:r>
    </w:p>
    <w:p w14:paraId="7534F1F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заключение я имею в виду изложить еще некоторые мои пожелания. Прежде всего я бы просил разрешить нам в СКВО провести в будущем году большое учение для территориальной конницы. Большие учения являются огромной практикой и для работы войск и командиров, и для работы штабов, имея в виду, что территориальная конница СКВО не имела возможности на протяжении длительного времени работать всем корпусом. Я прошу на будущий 1936 г. обеспечить нам проведение такого большого кавалерийского учения, которое бы дало нам возможность собрать весь территориальный кавалерийский корпус.</w:t>
      </w:r>
    </w:p>
    <w:p w14:paraId="0B34577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Затем я считаю необходимым провести дальнейшие мероприятия по укреплению разведывательных частей. Что нужно для этого сделать? Улучшить комплектование разведывательных частей и проводить его наравне с полковыми школами. Разведчик должен быть хорошо грамотным человеком, так же как младший командир. В этих же целях нужно установить особую учетно-воинскую специальность для разведчиков, увольняемых в запас. Сейчас мы их увольняем в запас кавалеристами, и может получиться, что к будущей войне мы их растеряем как разведчиков. Подготовку разведчиков нужно поднять на более высокий уровень, примерно на такой же уровень, на какой поднимаем подготовку снайперов, мастеров физкультуры и т.д.</w:t>
      </w:r>
    </w:p>
    <w:p w14:paraId="720D5BD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Наконец, я бы просил для наших терчастей не ограничивать срока обучения на общих сборах, как это имело место на протяжении последних двух-трех лет, когда пехота для общих сборов имела только 25—27 дней. Я бы просил обеспечить общие сборы для территориальной конницы и специальных частей продолжительностью 45 дней для того, чтобы дать большую тренировку и не сокращать также срока обучения и для пехоты.</w:t>
      </w:r>
    </w:p>
    <w:p w14:paraId="0589CDA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Вот все те вопросы, которые я хотел затронуть.</w:t>
      </w:r>
    </w:p>
    <w:p w14:paraId="12A36B7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30-31.</w:t>
      </w:r>
    </w:p>
    <w:p w14:paraId="225F82D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Левандовский.</w:t>
      </w:r>
      <w:r w:rsidRPr="00E14102">
        <w:rPr>
          <w:color w:val="000000" w:themeColor="text1"/>
          <w:sz w:val="16"/>
          <w:szCs w:val="16"/>
        </w:rPr>
        <w:t xml:space="preserve"> Я вполне присоединяюсь к тем выводам по итогам боевой и политической подготовки РККА, которые были изложены в докладе начальника Генерального штаба РККА и заместителя народного комиссара обороны.</w:t>
      </w:r>
    </w:p>
    <w:p w14:paraId="452C13B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Первый вопрос, на котором я хочу остановиться, — это вопрос огневой подготовки и управления огнем в сложной тактической обстановке. Нужно сказать, что боевая стрельба в условиях сложной обстановки на неизвестных тактических полях была проработана в частях Закавказского военного округа</w:t>
      </w:r>
      <w:r w:rsidRPr="00E14102">
        <w:rPr>
          <w:color w:val="000000" w:themeColor="text1"/>
          <w:sz w:val="16"/>
          <w:szCs w:val="16"/>
          <w:vertAlign w:val="superscript"/>
        </w:rPr>
        <w:t>32</w:t>
      </w:r>
      <w:r w:rsidRPr="00E14102">
        <w:rPr>
          <w:color w:val="000000" w:themeColor="text1"/>
          <w:sz w:val="16"/>
          <w:szCs w:val="16"/>
        </w:rPr>
        <w:t>.</w:t>
      </w:r>
    </w:p>
    <w:p w14:paraId="46FCBBC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Вопросы управления огнем в масштабе полка были проведены в виде только показных учений в дивизиях, но сказать, что вопрос этот окончательно усвоен начсоставом и войсками нельзя. Задача в наступающем учебном году остается — решение вопросов управления огнем в более высших соединениях, как полк не только со штатными его средствами, но и приданными, в условиях горного рельефа на фоне маневренной обстановки.</w:t>
      </w:r>
    </w:p>
    <w:p w14:paraId="68BD986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хочу остановиться на показателях индивидуальной огневой подготовки, которые части ЗакВО имеют в результате прошедшего учебного года. Те отличные показатели, которые были достигнуты в прошлом году в частях ЗакВО, они почти целиком сохранены некоторыми дивизиями и на сегодняшний день. Приведу некоторые цифры: из 55 частей сохранили и вновь показали отличные результаты 30 частей — 54%, хорошие показатели — 15 частей — 27%, удовлетворительные — 9 частей — 18% и неудовлетворительные — 1 часть. Необходимо отметить, что в вопросе индивидуальной огневой подготовки мы почти не имеем понижения показателей прошлого года. Я приведу и такие цифры, как наличие отработки за истекший год 5456 снайперов. Это в условиях горного театра представляет собой довольно большую огневую силу, 1012 снайперских пулеметов и 188 снайперских орудий.</w:t>
      </w:r>
    </w:p>
    <w:p w14:paraId="4C8C03E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оперативной подготовке. Прошедший год для частей Закавказского военного округа, и для начсостава особенно, был годом оперативного их роста. Какие основные вопросы решались на оперативных играх, проведенных в округе? Армейские операции в условиях горного театра, роль и значение отдельных оперативных направлений, взаимодействие между этими отдельными оперативными направлениями. Роль и задачи АДО в горах. Нужно сказать, что использование авиадесантных частей в корне меняет тактику и операцию в условиях горного театра. Выброска десанта решает по-новому вопрос борьбы за перевалы и обеспечения флангов, операции вторжения и перенесения действий даже большого масштаба на новые направления. АДО меняет формы и принцип взаимодействия с морским десантом, особенно в условиях горного характера береговой полосы.</w:t>
      </w:r>
    </w:p>
    <w:p w14:paraId="327E8B0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Касаясь тыловой подготовки, необходимо указать на недостаточную проработку вопроса работы коммуникации при удалении войск (армейская группировка) на 150—200 км от основных баз. Этот вопрос требует самого глубокого и всестороннего изучения в наступающем учебном году. Оперативные игры, оперативные расчеты были проверены маршами и тактическими учениями нашего округа в условиях высокогорного театра.</w:t>
      </w:r>
    </w:p>
    <w:p w14:paraId="3BA7C09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свете этого вопроса я хочу остановиться на характеристике, что представляют из себя горные части РККА и какова их втянутость для решения сложных форм боя. Возьмем для большей наглядности сравнения показателей для частей ЗакВО и капиталистических армий. Если взять французское, турецкое наставления, то мы увидим, что подъем там исчисляется со скоростью 300 м в час при учете наличия дорог и троп. Наши дивизии показали на подъеме до 30° скорость, равную 3</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xml:space="preserve"> км в час, до 50° — 1</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xml:space="preserve"> км, до 60° и выше (восхождение на Казбек целого батальона) — 1 км. Как видно, показатели частей ЗакВО в 3 раза, а то и больше превосходят </w:t>
      </w:r>
      <w:r w:rsidRPr="00E14102">
        <w:rPr>
          <w:color w:val="000000" w:themeColor="text1"/>
          <w:sz w:val="16"/>
          <w:szCs w:val="16"/>
        </w:rPr>
        <w:lastRenderedPageBreak/>
        <w:t>нормативы, которые установлены на сегодняшний день в капиталистических странах, причем части преодолевали подъемы зачастую при отсутствии дорог и при различной погоде. Возьмем спуск. Турецкое наставление считает скорость спуска 400 м в час, французское — от 500 до 600 м при 30° уклоне.</w:t>
      </w:r>
    </w:p>
    <w:p w14:paraId="2D952EA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Федько. С</w:t>
      </w:r>
      <w:r w:rsidRPr="00E14102">
        <w:rPr>
          <w:color w:val="000000" w:themeColor="text1"/>
          <w:sz w:val="16"/>
          <w:szCs w:val="16"/>
        </w:rPr>
        <w:t xml:space="preserve"> полной нагрузкой?</w:t>
      </w:r>
    </w:p>
    <w:p w14:paraId="4F2BEB4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Левандовский.</w:t>
      </w:r>
      <w:r w:rsidRPr="00E14102">
        <w:rPr>
          <w:color w:val="000000" w:themeColor="text1"/>
          <w:sz w:val="16"/>
          <w:szCs w:val="16"/>
        </w:rPr>
        <w:t xml:space="preserve"> Да. Наши 3 дивизии показали скорость спуска до 4 км в час при уклоне в 50°, т.е. это в 6 раз превышает указанные нормы для капиталистических армий. Нужно сказать, что значительным тормозом в скорости движения при подъеме и спуске в горах оказываются вьюки, которые при спуске дают до 2‘/</w:t>
      </w:r>
      <w:r w:rsidRPr="00E14102">
        <w:rPr>
          <w:color w:val="000000" w:themeColor="text1"/>
          <w:sz w:val="16"/>
          <w:szCs w:val="16"/>
          <w:vertAlign w:val="subscript"/>
        </w:rPr>
        <w:t>2</w:t>
      </w:r>
      <w:r w:rsidRPr="00E14102">
        <w:rPr>
          <w:color w:val="000000" w:themeColor="text1"/>
          <w:sz w:val="16"/>
          <w:szCs w:val="16"/>
        </w:rPr>
        <w:t xml:space="preserve"> км скорости, но и при этой норме мы превышаем в 4 раза норму для вьюков капиталистических армий.</w:t>
      </w:r>
    </w:p>
    <w:p w14:paraId="62ECD8A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хочу остановиться на скоростях, которые части Закавказского округа показали при совершении форсированных маршей и тоже зачастую без дорог. Почти все наши дивизии показали горный переход продолжительностью от 10 до 13 часов, соблюдая правило — при походе не преследовать цели, как можно больше пройти в час, а больше пройти времени для того, чтобы пройти большое расстояние и сохранить силы бойцов. Вот форсированный марш Кавказской дивизии, которая прошла от Бакурьяни до Батума расстояние равное 250 км в четверо суток, проделав в среднем 60-км суточный переход. Эта дивизия шла пешком. Если мы возьмем нормативы капиталистических армий, они считают суточный переход 30—35 км, а по нашему уставу — 20—40. Показатели частей ЗакВО в 2 раза превысили эти нормы.</w:t>
      </w:r>
    </w:p>
    <w:p w14:paraId="333F854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Следующий вопрос, на котором я хочу вкратце остановиться, — это вопросы противовоздушной обороны. Я в округе провел 20 опытных учений как днем, так и ночью. Постараюсь изложить выводы. Проводимые учения наталкивают на мысли, которые выдвигают перед нами задачу выработки методов противодействия воздушным налетам противника на стратегические пункты. Необходимо выработать взгляды наших действий. Если противник будет пытаться на принципе пролома всей системы ПВО атаковать пункт, надо найти методы противодействия его попыткам атаковывать пункт на принципе нападения в форме воздушной операции и, наконец, парирование звездного налета. Все эти вопросы усложняются обстановкой, когда нападение при любом его характере будет проводиться многоэшелонными атаками. Во всех случаях служба ВНОС играет решающее и важнейшее значение. Стремление сократить первое время, время, необходимое для передачи от постов предупреждения или других полос и полей ВНОС, диктует необходимость механизации работ постов ВНОС и их технического оснащения. Другой вопрос — защита и оборона самих постов ВНОС при условиях авиадесантных действий. Противник может ликвидировать отдельные разработанные посты ВНОС и дезорганизовать систему ПВО, Оборона ВНОС и ликвидация АДО противника должны явиться важнейшей заботой и задачей в системе ПВО пунктов.</w:t>
      </w:r>
    </w:p>
    <w:p w14:paraId="26E9117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 о ВНОС на море, когда мы не можем расходовать колоссальные транспортные средства для создания сплошных полей ВНОС на море, является весьма существенным вопросом. Вопрос о ВНОС на море является основным вопросом по охране наших морских баз и защите прибрежных пунктов.</w:t>
      </w:r>
    </w:p>
    <w:p w14:paraId="564FFB2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на опытных учениях проработали действия самолетов ВНОС и СНИС по прикрытию армейских операций и наведения нашей истребительской авиации на авиацию противника. Нужно сказать, что самолеты ВНОС и СНИС вполне оправдали свое назначение. Мы проработали их действия ночью при отсутствии прожекторов. Умело показали, что примерно на 300—400 м летчик по огням выхлопных труб мотора видит другой самолет и имеет возможность, не отставая от него, сопровождать его и по радио наводить свою истребительскую авиацию. Вместе с тем это предъявляет требования, что на самолетах ВНОС и СНИС необходимо иметь прожектора, чтобы облегчить атаку ночью своих истребителей.</w:t>
      </w:r>
    </w:p>
    <w:p w14:paraId="55635A8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 о расчетной линии встречи нашей истребительной авиации с авиацией противника. Этот вопрос очень сложный и в условиях использования своей истребительной авиации решающий. Сложность этого расчета заставляет просить соответствующие центральные органы, в частности Генеральный штаб, изобрести метод механического расчета и определения линии встречи. Командиру с его сегодняшней математической подготовкой трудно быстро и точно рассчитать линию встречи и правильно нацелить свою авиацию. Конечно, положение облегчается самолетами СНИС. Но я беру другой случай, когда этих самолетов не будет.</w:t>
      </w:r>
    </w:p>
    <w:p w14:paraId="5F9549A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 о службе заграждений в воздухе также является существенным для ПВО. Кроме аэростатов заграждения, которые связаны с атмосферными условиями погоды и не всегда применимы, необходимо подумать о каких-то других технических средствах воздушного заграждения. Это может создать трудности преодоления препятствий при непосредственной атаке авиацией противника объектов.</w:t>
      </w:r>
    </w:p>
    <w:p w14:paraId="7D369C1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области зенитных стрельб необходимо разрешить вопрос групповых стрельб. Ввиду сложности корректировки зенитных стрельб выдвигается требование применения цветных разрывов.</w:t>
      </w:r>
    </w:p>
    <w:p w14:paraId="330F598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 радиосвязи в системе ПВО. В учениях, которые мы проводили при большом количестве радиостанций, вопрос организации эфира является очень трудным. Отсутствие кварца не дает возможности точной отстройки и настройки, и это создает путаницу и мешает действию своей авиации.</w:t>
      </w:r>
    </w:p>
    <w:p w14:paraId="6EEA5FF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Последний вопрос о танках. Мы провели опытные учения с танками в горах, в частности проверяли возможность стрельбы из наших танков в горных условиях. Наши танки показали, что в горах из них можно стрелять вполне свободно, но только необходимы некоторые технические конструктивные изменения — это поднимающиеся и опускающееся сиденье, тормоза на танках, так как при порыве гусеницы танк начинает ползти на колесах вниз. Необходимо изменить также систему карбюратора.</w:t>
      </w:r>
    </w:p>
    <w:p w14:paraId="307165D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31-33.</w:t>
      </w:r>
    </w:p>
    <w:p w14:paraId="095CEFE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Дубовой. Я</w:t>
      </w:r>
      <w:r w:rsidRPr="00E14102">
        <w:rPr>
          <w:color w:val="000000" w:themeColor="text1"/>
          <w:sz w:val="16"/>
          <w:szCs w:val="16"/>
        </w:rPr>
        <w:t xml:space="preserve"> бы хотел остановиться на двух вопросах. Первый вопрос. Поскольку сейчас приходится работать в округе, отошедшем несколько от границы</w:t>
      </w:r>
      <w:r w:rsidRPr="00E14102">
        <w:rPr>
          <w:color w:val="000000" w:themeColor="text1"/>
          <w:sz w:val="16"/>
          <w:szCs w:val="16"/>
          <w:vertAlign w:val="superscript"/>
        </w:rPr>
        <w:t>33</w:t>
      </w:r>
      <w:r w:rsidRPr="00E14102">
        <w:rPr>
          <w:color w:val="000000" w:themeColor="text1"/>
          <w:sz w:val="16"/>
          <w:szCs w:val="16"/>
        </w:rPr>
        <w:t>, я хочу подчеркнуть важность работы с второочередными и третьеочередными частями</w:t>
      </w:r>
      <w:r w:rsidRPr="00E14102">
        <w:rPr>
          <w:color w:val="000000" w:themeColor="text1"/>
          <w:sz w:val="16"/>
          <w:szCs w:val="16"/>
          <w:vertAlign w:val="superscript"/>
        </w:rPr>
        <w:t>34</w:t>
      </w:r>
      <w:r w:rsidRPr="00E14102">
        <w:rPr>
          <w:color w:val="000000" w:themeColor="text1"/>
          <w:sz w:val="16"/>
          <w:szCs w:val="16"/>
        </w:rPr>
        <w:t>. До настоящего времени мы не имели возможности ни разу посмотреть второочередную дивизию и абсолютно ни одного раза не имели возможности собрать третьеочередную дивизию. Это значит, что будем их сколачивать в мобилизационный период; этого мобилизационного периода явно не хватает и поэтому мы, делающие расчеты на второочередную дивизию, можем просчитаться. На следующий год необходимо хотя бы процентов 30-40 второочередных дивизий призвать на месячный срок и через каждые 2-3 г. второочередные и третьеочередные дивизии призывать. Обязательно ежегодно делать 10-дневные сборы второочередных дивизий.</w:t>
      </w:r>
    </w:p>
    <w:p w14:paraId="4D6C41F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вопрос — это о наших кадрах. Здесь товарищи говорили о некомплекте начсостава. В данном случае в Харьковском округе процентов 15—18 некомплекта начсостава, и пополнять его возможно, применяя те методы, которые мы делали в прошлом и позапрошлом году: из сверхсрочнослужащих младших командиров, пропуская их через центр обучения в течение 6 месяцев. В результате получилось, что таких командиров накопилось большое количество: в стрелковых войсках — это в основном почти все командиры взводов и 75% ротных командиров. Эти люди очень хорошие, были сверхсрочными командирами, прошли 6—8-месячные курсы при штабах стрелковых корпусов, называемых центром обучения, но их подготовка, конечно, недостаточна. Поэтому как никогда сейчас чувствуется крайняя необходимость в создании так называемого по старому «Выстрел» (</w:t>
      </w:r>
      <w:r w:rsidRPr="00E14102">
        <w:rPr>
          <w:rStyle w:val="a6"/>
          <w:i w:val="0"/>
          <w:color w:val="000000" w:themeColor="text1"/>
          <w:sz w:val="16"/>
          <w:szCs w:val="16"/>
        </w:rPr>
        <w:t xml:space="preserve">голоса. </w:t>
      </w:r>
      <w:r w:rsidRPr="00E14102">
        <w:rPr>
          <w:color w:val="000000" w:themeColor="text1"/>
          <w:sz w:val="16"/>
          <w:szCs w:val="16"/>
        </w:rPr>
        <w:t>Правильно), потому что все рода войск имеют свои курсы усовершенствования: артиллерия, конница, мотомехвойска, авиация, инженерные войска — абсолютно все имеют, кроме пехоты. Пехота не имеет. Я еще раз докладываю, т. народный комиссар, что 75% ротных командиров из бывших сверхсрочников, не имеющих образования нормальной школы, — очень много. Это требуется как никогда, и я прошу этот приказ начать проводить в жизнь.</w:t>
      </w:r>
    </w:p>
    <w:p w14:paraId="4D2C754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не знаю почему, но вдруг появилась новая точка зрения о ненужности сверхсрочного помощника взводного командира, т. Дыбенко предложил ограничиться только одним старшиной. Я лично считаю эту точку зрения абсолютно неправильной. Обязательно должен быть сверхсрочный младший командир, потому что мы имеем младшего командира, который 9 месяцев учился в полковой школе и затем имел один год практики. Когда он становится настоящим младшим командиром, мы его увольняем в запас.</w:t>
      </w:r>
    </w:p>
    <w:p w14:paraId="3D9C13F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Правильно. Надо его полтора года учить.</w:t>
      </w:r>
    </w:p>
    <w:p w14:paraId="27B799A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Дубовой.</w:t>
      </w:r>
      <w:r w:rsidRPr="00E14102">
        <w:rPr>
          <w:color w:val="000000" w:themeColor="text1"/>
          <w:sz w:val="16"/>
          <w:szCs w:val="16"/>
        </w:rPr>
        <w:t xml:space="preserve"> Это невозможно, т. нарком.</w:t>
      </w:r>
    </w:p>
    <w:p w14:paraId="498EF6E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Такую точку зрения я считаю абсолютно неправильной. По-моему, младшие сверхсрочные командиры должны оставаться, тем более что сейчас мы опять становимся перед необходимостью из большой массы сверхсрочных командиров начинать набирать кандидатов в средние командиры, в наши центры обучения. Если мы в течение осени 1935 г. получили (в ноябре) 100 чел. лейтенантов, то успели отправить в течение октября и ноября свыше 400 чел. командиров, которые уходят из округа на разные курсы: моторизации, авиации и т.п. Таким образом, мы лишились 400 чел., а получили 100 чел. За счет кого это идет? Исключительно за счет нашей пехоты. И получается так, что в следующем году из этих 100 чел., по крайней мере, 75 чел. уйдут в специальные рода войск, а останутся такие, которые или несколько подмочены или физически послабее — эти останутся в пехоте.</w:t>
      </w:r>
    </w:p>
    <w:p w14:paraId="0CA30E8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поэтому считаю необходимым в основном просмотреть кадры начальствующего состава нашей пехоты и помочь нам в культурном, техническом и общеобразовательном отношениях поддержать эту огромную толшу нашего среднего командира пехоты, вышедшего в течение последних 3—4 лет из сверхсрочных командиров.</w:t>
      </w:r>
    </w:p>
    <w:p w14:paraId="6672231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33.</w:t>
      </w:r>
    </w:p>
    <w:p w14:paraId="43BA255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Гарькавый.</w:t>
      </w:r>
      <w:r w:rsidRPr="00E14102">
        <w:rPr>
          <w:color w:val="000000" w:themeColor="text1"/>
          <w:sz w:val="16"/>
          <w:szCs w:val="16"/>
        </w:rPr>
        <w:t xml:space="preserve"> Есть ли отставание некоторых округов, в частности Уральского военного округа</w:t>
      </w:r>
      <w:r w:rsidRPr="00E14102">
        <w:rPr>
          <w:color w:val="000000" w:themeColor="text1"/>
          <w:sz w:val="16"/>
          <w:szCs w:val="16"/>
          <w:vertAlign w:val="superscript"/>
        </w:rPr>
        <w:t>35</w:t>
      </w:r>
      <w:r w:rsidRPr="00E14102">
        <w:rPr>
          <w:color w:val="000000" w:themeColor="text1"/>
          <w:sz w:val="16"/>
          <w:szCs w:val="16"/>
        </w:rPr>
        <w:t>, от наших передовых округов в боевой подготовке, как об этом указывал в своем докладе зам, НКО т. Гамарник? Я думаю, что есть, и т. П.Е. Дыбенко уже подтвердил это положение.</w:t>
      </w:r>
    </w:p>
    <w:p w14:paraId="5736721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Откуда проистекает это отставание?</w:t>
      </w:r>
    </w:p>
    <w:p w14:paraId="5EC391C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 ряда товарищей сложилось мнение, что отставание это традиционное, из года в год. Факты говорят другое. Как известно, наши части (бывший ПриВО) в 1933 учебном году имели значительный подъем и достижения в боевой подготовке. Тов, Урицкий и т. Федько могут это подтвердить. Однако мы столкнулись на первых порах своей работы с чрезвычайно отсталыми настроениями — известной терпимости и примиренческого отношения к недостаткам, медлительностью и такой «мирной» обстановкой в работе.</w:t>
      </w:r>
    </w:p>
    <w:p w14:paraId="0FBC6CB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Одним словом, настоящее «стахановское движение» </w:t>
      </w:r>
      <w:r w:rsidRPr="00E14102">
        <w:rPr>
          <w:rStyle w:val="a6"/>
          <w:i w:val="0"/>
          <w:color w:val="000000" w:themeColor="text1"/>
          <w:sz w:val="16"/>
          <w:szCs w:val="16"/>
        </w:rPr>
        <w:t>(общий смех в зале).</w:t>
      </w:r>
    </w:p>
    <w:p w14:paraId="4AA27D4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Гарькавый.</w:t>
      </w:r>
      <w:r w:rsidRPr="00E14102">
        <w:rPr>
          <w:color w:val="000000" w:themeColor="text1"/>
          <w:sz w:val="16"/>
          <w:szCs w:val="16"/>
        </w:rPr>
        <w:t xml:space="preserve"> Я не знаю, чем это объяснялось, — то ли известной отдаленностью</w:t>
      </w:r>
    </w:p>
    <w:p w14:paraId="56AC980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Плохой работой </w:t>
      </w:r>
      <w:r w:rsidRPr="00E14102">
        <w:rPr>
          <w:rStyle w:val="a6"/>
          <w:i w:val="0"/>
          <w:color w:val="000000" w:themeColor="text1"/>
          <w:sz w:val="16"/>
          <w:szCs w:val="16"/>
        </w:rPr>
        <w:t>(смех).</w:t>
      </w:r>
    </w:p>
    <w:p w14:paraId="36514E3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Гарькавый.</w:t>
      </w:r>
      <w:r w:rsidRPr="00E14102">
        <w:rPr>
          <w:color w:val="000000" w:themeColor="text1"/>
          <w:sz w:val="16"/>
          <w:szCs w:val="16"/>
        </w:rPr>
        <w:t xml:space="preserve"> Очевидно, плохой работой, во всяком случае такое положение имело место. И поэтому нам всем пришлось поработать над тем, чтобы переломить эти мирные настроения и такое, я бы сказал, прохладное отношение к работе.</w:t>
      </w:r>
    </w:p>
    <w:p w14:paraId="683154C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В чем мы отстаем? Мы отстаем прежде всего в оперативно-тактической подготовке. Отстаем также в изучении техники. В тактической подготовке недостаточно проработано взаимодействие. Пытались это дело объяснить тем, что у нас мало техники. Я обязан доложить, что техники у нас действительно мало, но и с имеющейся техникой занятий проводилось мало и недостаточно продуктивно. За последнее время, в частности на сборах высшего и старшего начсостава, мы стремились показать людям, что и на небольшой технике можно отдельные элементы глубокого боя показывать и отрабатывать с достаточной наглядностью и поучительностью. Разумеется, мы не сможем показать такой развернутой картины глубокого боя, как это было представлено на Киевских маневрах. Я бы полагал необходимым все же просить об усилении Уральского округа техникой (танки, авиация, химия).</w:t>
      </w:r>
    </w:p>
    <w:p w14:paraId="478DA81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 и в прошлые годы, у нас все-таки очень большая потеря времени на раскачку в период лагерных сборов самой горячей летней работы. Много времени уходит без полной нагрузки и в междусбо-ровый период, особенно осенью. Последнее объясняется также и тем, что командный состав уезжает в отпуска в один период.</w:t>
      </w:r>
    </w:p>
    <w:p w14:paraId="207544E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Отпуская почти все 100% командного состава в течение октября-ноября месяца, мы фактически чрезвычайно ослабляем этот весьма важный подготовительный период к будущему учебному году. Мне казалось, что отпуска начсоставу следует предоставлять на протяжении всего года. Тем самым мы обеспечили бы большую работоспособность наших войсковых организмов на протяжении всего учебного года.</w:t>
      </w:r>
    </w:p>
    <w:p w14:paraId="4DE0482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Есть ли у нас возможность добиться высоких результатов боевой подготовки? Мне кажется, что такая возможность у нас, безусловно, имеется.</w:t>
      </w:r>
    </w:p>
    <w:p w14:paraId="303BCC0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Дыбенко говорил относительно недостатков стрельбищ. В этом отношении мы находимся в благоприятных условиях, в частности Чибаркульский лагерь является прекрасным учебным пунктом, где кроме 85-й сд проходят сборы и артиллерия, и другие технические войска.</w:t>
      </w:r>
    </w:p>
    <w:p w14:paraId="010F825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Правда, наши поля и стрельбища недостаточно оборудованы. Мне хотелось бы выразить пожелание, чтобы те средства, которые намечены на полигоны и стрельбища, были оставлены, ибо каждый год получается, что все ассигнования на это дело в конечном счете срезаются.</w:t>
      </w:r>
    </w:p>
    <w:p w14:paraId="4B08DE6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Целиком оправдали себя специальные сборы технических войск. Наша артиллерия, как правильно указал здесь т. Роговский, в части специальной и огневой подготовки начсостава и подразделений может получить вполне удовлетворительную и хорошую оценку. То, что мы имеем слабые результаты в отношении подготовки батальонной артиллерии и недостаточно высокую тактическую подготовку артиллерии, свидетельствует об ослаблении внимания, прежде всего со стороны общевойсковых командиров.</w:t>
      </w:r>
    </w:p>
    <w:p w14:paraId="2E48431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 я считаю совершенно правильным, что т. Гамарник подчеркнул необходимость особого внимания с нашей стороны к мощной нашей технике артиллерии в 1936 г.</w:t>
      </w:r>
    </w:p>
    <w:p w14:paraId="2541FD4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Над чем мы должны будем работать в следующем году?</w:t>
      </w:r>
    </w:p>
    <w:p w14:paraId="6F9F652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должны будем устранить прежде всего недостатки в нашей стрелково-тактической подготовке и крепко изучить современную технику и особенно танки и авиацию. Этот раздел боевой подготовки у нас в округе недостаточно был проработан.</w:t>
      </w:r>
    </w:p>
    <w:p w14:paraId="50F8CF3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Во-вторых, мы должны будем поднять мобильность наших войск, воспитать в них боевой дух, привить строевую выправку, твердый внутренний порядок и дисциплину.</w:t>
      </w:r>
    </w:p>
    <w:p w14:paraId="7431DAB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должны будем также особенно налечь на подготовку штабов.</w:t>
      </w:r>
    </w:p>
    <w:p w14:paraId="37A0ED6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бы полагал, что мы должны будем более широко применять привлечение, о чем уже здесь говорил начальник Генерального штаба, приписного состава и запаса начсостава.</w:t>
      </w:r>
    </w:p>
    <w:p w14:paraId="33C1897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Тут имеется одно обстоятельство, которое этому очень мешает. Это то, что у нас начальствующий состав запаса в ряде случаев приписан из других отдаленных районов. Я думал, что нам придется пойти на то, чтобы и не вполне соответствующий начсостав запаса приписывать к штабам из своих районов, в частности — одногодичников, с тем чтобы в процессе всей работы мы могли сколачивать штабы в полном составе.</w:t>
      </w:r>
    </w:p>
    <w:p w14:paraId="22C3D21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хотел бы в виде постановки внести вопрос об изменении сроков общих сборов.</w:t>
      </w:r>
    </w:p>
    <w:p w14:paraId="4D6025E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Установка Кабакова.</w:t>
      </w:r>
    </w:p>
    <w:p w14:paraId="7C9B15C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Гарькавый.</w:t>
      </w:r>
      <w:r w:rsidRPr="00E14102">
        <w:rPr>
          <w:color w:val="000000" w:themeColor="text1"/>
          <w:sz w:val="16"/>
          <w:szCs w:val="16"/>
        </w:rPr>
        <w:t xml:space="preserve"> Я бы считал, что мы могли бы 2—3 дивизии поднять на общие сборы в июне месяце, с тем чтобы более полно комсоставом, матчастью и техникой обеспечить общевойсковые учения и меньше отрывать людей одновременно от хозработы. Молодых в этом случае поднимаем на 3 месяца после общих сборов. Несомненно, результаты будут не хуже, а лучше.</w:t>
      </w:r>
    </w:p>
    <w:p w14:paraId="649FBE6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 затем просьба к Генеральному штабу подкрепить наш округ на период общих сборов техникой. Я имею в виду химию, которой у нас нет, и тяжелую авиацию для того, чтобы практически показать людям высадку и работу авиадесанта. Большинство начсостава практически этого дела не видело.</w:t>
      </w:r>
    </w:p>
    <w:p w14:paraId="5F591F8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Что мешало проводить работу? Могли проводить и без тяжелых самолетов.</w:t>
      </w:r>
    </w:p>
    <w:p w14:paraId="791C811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Гарькавый.</w:t>
      </w:r>
      <w:r w:rsidRPr="00E14102">
        <w:rPr>
          <w:color w:val="000000" w:themeColor="text1"/>
          <w:sz w:val="16"/>
          <w:szCs w:val="16"/>
        </w:rPr>
        <w:t xml:space="preserve"> По возможности привлекать высший начальствующий состав округа на опытные и большие учения, проводимые в других округах с большой техникой.</w:t>
      </w:r>
    </w:p>
    <w:p w14:paraId="559269B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33-34.</w:t>
      </w:r>
    </w:p>
    <w:p w14:paraId="6CEF4BA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Шапошников.</w:t>
      </w:r>
      <w:r w:rsidRPr="00E14102">
        <w:rPr>
          <w:color w:val="000000" w:themeColor="text1"/>
          <w:sz w:val="16"/>
          <w:szCs w:val="16"/>
        </w:rPr>
        <w:t xml:space="preserve"> В нынешнем году работа Красной армии по боевой подготовке протекала в более осложненных условиях в связи с развитием вообще Вооруженных сил Красной армии, и с этой оценкой, по-моему, и нужно подходить к тем итогам, которые достигли округа. Нужно сказать определенно, что принятая нами доктрина глубокого боя полностью себя оправдала на проводившихся учениях и заключительных маневрах Киева и можно признать, что эта доктрина должна быть подлинной доктриной в нашей Рабоче-крестьянской Красной армии, внедряемой и осваиваемой нашим командным составом. Нахватавшись верхушек из этой доктрины, итальянцы пытаются проводить это в Абиссинии довольно неудачно. Я думаю, что у нас это дело поставлено более крепко, но нельзя сказать, чтобы все было сделано в этом отношении. Мне приходилось наблюдать боевую подготовку на протяжении этого года, главным образом на выходах в поле академий и в войсках только, к сожалению, на Киевских маневрах. Что касается Ленинградского военного округа, то при живом Иване Панфиловиче [Белов] я позволю себе доложить только о некоторых документальных достижениях округа </w:t>
      </w:r>
      <w:r w:rsidRPr="00E14102">
        <w:rPr>
          <w:rStyle w:val="a6"/>
          <w:i w:val="0"/>
          <w:color w:val="000000" w:themeColor="text1"/>
          <w:sz w:val="16"/>
          <w:szCs w:val="16"/>
        </w:rPr>
        <w:t>(смех).</w:t>
      </w:r>
    </w:p>
    <w:p w14:paraId="3336374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Говорят хорошо только о мертвых, а о живых можно говорить и плохо.</w:t>
      </w:r>
    </w:p>
    <w:p w14:paraId="41F2C6E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Шапошников.</w:t>
      </w:r>
      <w:r w:rsidRPr="00E14102">
        <w:rPr>
          <w:color w:val="000000" w:themeColor="text1"/>
          <w:sz w:val="16"/>
          <w:szCs w:val="16"/>
        </w:rPr>
        <w:t xml:space="preserve"> Что же сделано в отношении внедрения и проведения глубокого боя? Я считаю, что как принцип он освоен, но есть детали, которые требуют соответствующей обработки и постановки даже в опытном порядке.</w:t>
      </w:r>
    </w:p>
    <w:p w14:paraId="19C5634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Если мы подойдем поближе к тем решениям, которые принимаются командным составом, мы должны отметить, что в этих решениях по преимуществу все-таки существует какой-то шаблон. Очень редко попадаются оригинальные решения, которые шли бы, может быть, даже вразрез с нашей инструкцией. Это объясняется человеческой природой, потому что если сделано по уставу, то тебя ругать не будут, а за оригинальное — как кому понравится. Но этого оригинального решения необходимо во что бы то ни стало добиваться и здесь. Те возможности, которые имеются в войсковых частях в смысле подвижности, гибкости, маневренности и т.д., сплошь и рядом не используются командным составом, и дело сводится к принятию трафаретных решений. Редко приходится наблюдать обратное на выходах в поле начальствующего состава. Той четкости и концентрированности в организации и проведении глубокого боя, которая была на Киевских маневрах, большей частью мы на занятиях не видим. Я объясняю это тем, что мы стремимся все-таки жить каким-то определенным шаблоном. Если мы обратимся к тому, насколько Инструкция глубокого боя усвоена нашими штабами, то нужно отметить, что главным образом, по-моему, где внедрена эта Инструкция глубокого боя и освоена — это корпусные штабы и дивизионные. На этом дело и заканчивается. А вот в части отработки полковых штабов и батальонных — здесь эта инструкция командным составом еще не освоена.</w:t>
      </w:r>
    </w:p>
    <w:p w14:paraId="447EB96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Здесь уже кто-то говорил относительно того, что у нас батальонных штабов нет. Совершенно правильно, батальонные штабы ввиду текучести командного состава у нас фактически не существуют. Сформированные батальонные штабы представляют собой порученцев при командире батальона. Отчасти это относится и к полковым штабам. В других штабах высших — дивизии, корпуса — здесь Инструкция глубокого боя и сам глубокий бой нашли свое отражение и более грамотно и толково проводятся.</w:t>
      </w:r>
    </w:p>
    <w:p w14:paraId="4C9C05C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касается сложных форм боя, то они внедрялись во всех наших учениях, во всех наших задачах. Но опять-таки мы видим и здесь. Начальник Генерального штаба об этом докладывал, что эти сложные формы еще не освоены. Я считал бы, что они не освоены больше в отношении окружения противника.</w:t>
      </w:r>
    </w:p>
    <w:p w14:paraId="189771B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позволю себе сказать, что нам нужно почаще тренировать командиров на окружении противника, ибо я убежден, что при наших подвижных средствах, при нашей авиации, мотомехчастях это единственный способ поражения и уничтожения противника. Когда я просматривал задачи, хотя бы у себя в академии, то всякий раз приходилось устанавливать, что идея окружения противника проводится слабо. Слабо и неглубоко охватывают противника, и даже при действии механизированных частей противник легко уходит. Поэтому необходимо тренировать наших командиров на окружении, чтобы у современного командира был соответствующий размах и опыт в этом. Это совершенно необходимо. Самой реальной тактикой при большой подвижности имеющихся у нас средств является та тактика, о которой говорил т. Егоров: он сказал, что немцы заявили, что они оставляют прежнюю стратегию и тактику.</w:t>
      </w:r>
    </w:p>
    <w:p w14:paraId="04F1ACE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думаю, что мы должны на решительную тактику окружения ответить еще более решительными действиями по окружению и уничтожению противника.</w:t>
      </w:r>
    </w:p>
    <w:p w14:paraId="468301B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Каменев.</w:t>
      </w:r>
      <w:r w:rsidRPr="00E14102">
        <w:rPr>
          <w:color w:val="000000" w:themeColor="text1"/>
          <w:sz w:val="16"/>
          <w:szCs w:val="16"/>
        </w:rPr>
        <w:t xml:space="preserve"> Тут происходит маленькая неувязка между глубоким боем и окружением.</w:t>
      </w:r>
    </w:p>
    <w:p w14:paraId="2AE4D31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Шапошников.</w:t>
      </w:r>
      <w:r w:rsidRPr="00E14102">
        <w:rPr>
          <w:color w:val="000000" w:themeColor="text1"/>
          <w:sz w:val="16"/>
          <w:szCs w:val="16"/>
        </w:rPr>
        <w:t xml:space="preserve"> Это и есть самый настоящий глубокий бой.</w:t>
      </w:r>
    </w:p>
    <w:p w14:paraId="278319D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разрешите остановиться на следующем. Наши новые войска — авиация, мотомех</w:t>
      </w:r>
      <w:hyperlink r:id="rId249" w:anchor="_ftn5" w:history="1">
        <w:r w:rsidRPr="00E14102">
          <w:rPr>
            <w:rStyle w:val="a4"/>
            <w:color w:val="000000" w:themeColor="text1"/>
            <w:sz w:val="16"/>
            <w:szCs w:val="16"/>
          </w:rPr>
          <w:t>[5]</w:t>
        </w:r>
      </w:hyperlink>
      <w:r w:rsidRPr="00E14102">
        <w:rPr>
          <w:color w:val="000000" w:themeColor="text1"/>
          <w:sz w:val="16"/>
          <w:szCs w:val="16"/>
        </w:rPr>
        <w:t xml:space="preserve">  и химия — значительно выросли. В этих родах войск мы имеем могущественные средства в руках командования для достижения успеха. Правда, я не скажу, чтобы мы полностью овладели этими средствами. Я считаю, что использование этих средств должно закрепляться использованием старых средств, как то: пехотой, конницей и артиллерией. Мы должны возможно быстрее продвигать за этими родами войск пехоту или конницу для того, чтобы закреплять захваченные территории. Я прошу извинения за грубое сравнение, но я совершенно не желаю нам действовать так, как действуют итальянцы в Абиссинии. В чем они проигрывают? Они проигрывают в том, что действия своих танков и авиации не закрепляют пехотой, пехота у них опаздывает, и в этом отношении все эти танки и авиация оказываются бесполезными. </w:t>
      </w:r>
      <w:r w:rsidRPr="00E14102">
        <w:rPr>
          <w:rStyle w:val="a6"/>
          <w:i w:val="0"/>
          <w:color w:val="000000" w:themeColor="text1"/>
          <w:sz w:val="16"/>
          <w:szCs w:val="16"/>
        </w:rPr>
        <w:t>(Голос.</w:t>
      </w:r>
      <w:r w:rsidRPr="00E14102">
        <w:rPr>
          <w:color w:val="000000" w:themeColor="text1"/>
          <w:sz w:val="16"/>
          <w:szCs w:val="16"/>
        </w:rPr>
        <w:t xml:space="preserve"> Значит, нужно продвигаться медленнее, чтобы наладить тыл.) Ничего подобного. Нужно не упускать захвата пространства авиацией и мотомех и закреплять его с большим напряжением сил и </w:t>
      </w:r>
      <w:r w:rsidRPr="00E14102">
        <w:rPr>
          <w:color w:val="000000" w:themeColor="text1"/>
          <w:sz w:val="16"/>
          <w:szCs w:val="16"/>
        </w:rPr>
        <w:lastRenderedPageBreak/>
        <w:t xml:space="preserve">тыла. Явно итальянский желудок не рассчитан, чтобы хотя немного поголодать. Бывает, когда приходится голодать в критические моменты операции, но активность и порыв в закреплении захваченной территории должен быть большой. Я считаю в этом отношении то энергичное развитие прорыва, которое проводилось на маневрах Киевского округа, где пехота стремительно наступала и конница шла в прорыв насыщенными и уплотненными боевыми порядками, — было правильно. Могут сказать, что прорывающиеся части будут нести большие потери, — мне кажется, это не так. Очень жаль, что на маневрах не стреляют. Фактически дело было бы совершенно иное — необходимо дать безудержное продвижение вперед развивающим прорыв частям. Никогда мы не используем тех возможностей, которые дают такие быстроходные рода войск, как авиация. </w:t>
      </w:r>
      <w:r w:rsidRPr="00E14102">
        <w:rPr>
          <w:rStyle w:val="a6"/>
          <w:i w:val="0"/>
          <w:color w:val="000000" w:themeColor="text1"/>
          <w:sz w:val="16"/>
          <w:szCs w:val="16"/>
        </w:rPr>
        <w:t>(Голос.</w:t>
      </w:r>
      <w:r w:rsidRPr="00E14102">
        <w:rPr>
          <w:color w:val="000000" w:themeColor="text1"/>
          <w:sz w:val="16"/>
          <w:szCs w:val="16"/>
        </w:rPr>
        <w:t xml:space="preserve"> Это безумие.) В мирное время можно потребовать «безумия» в смысле активности, так как на войне пуля урегулирует темп движения. В мирное время можно требовать гораздо больше.</w:t>
      </w:r>
    </w:p>
    <w:p w14:paraId="6B83D41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разрешите мне обратиться к Ленинградскому военному округу. Основные элементы глубокого боя, как я сказал, освоены округом. Много занимались ночными действиями, зимними действиями и в лесисто-болотистой местности. Начальник штаба упомянул уже в своем докладе об автомобильной переброске дивизии на 380 км, проведенной в округе. Проиграны самостоятельные действия в тылу мотомехкорпуса с боевой авиацией и в широких размерах применение авиадесанта. Но в целом пространственная операция и глубокий бой остаются неизученными. Поэтому задача, которую ставит начальник Генерального штаба — изучение глубокого боя и сложных форм боя для Ленинградского округа, является задачей актуальной и насущно необходимой. Меньше успехов в освоении встречного боя и начального периода войны. Действия эти были проиграны с командным составом, но на маневрах не проигрывались.</w:t>
      </w:r>
    </w:p>
    <w:p w14:paraId="3B6CD8B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Позволю себе остановиться на том, о чем говорил начальник Генерального штаба и выступавшие товарищи — это относительно разведки и охранения. Разведка составляет наше больное место на протяжении многих лет, начиная с первого приказа о боевой подготовке, который был выпущен в 1928—1929 гг.</w:t>
      </w:r>
      <w:r w:rsidRPr="00E14102">
        <w:rPr>
          <w:color w:val="000000" w:themeColor="text1"/>
          <w:sz w:val="16"/>
          <w:szCs w:val="16"/>
          <w:vertAlign w:val="superscript"/>
        </w:rPr>
        <w:t>36</w:t>
      </w:r>
      <w:r w:rsidRPr="00E14102">
        <w:rPr>
          <w:color w:val="000000" w:themeColor="text1"/>
          <w:sz w:val="16"/>
          <w:szCs w:val="16"/>
        </w:rPr>
        <w:t xml:space="preserve"> Мы никак этой ошибки изжить не можем. Отсутствие разведки приводит во всех родах войск, даже такого разведывательного органа, как авиация, — пожалуй, на авиацию тоже нужно напереть, — к неприятностям. Если даже взять хорошо организованные маневры, как Киевские, там вследствие отсутствия разведки в глубине прорыва конный корпус попал в положение не особенно приятное, когда ему могли быть нанесены большие потери. Эскадроны благодушно двигались на противотанковые районы, которые были заняты конницей противника с артиллерией, танками и когда противник перешел в контратаку и открыл огонь, то корпус, находясь в сомкнутых строях, мог понести большие потери. Также это отсутствие разведки замечено в Ленинградском военном округе не только в кавалерии, но даже в мотомехвойсках. В мотомехвойсках разведка также не отработана.</w:t>
      </w:r>
    </w:p>
    <w:p w14:paraId="59C2B44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Вопросы противотанковой обороны, вопросы ПВО также достаточно четко не проработаны.</w:t>
      </w:r>
    </w:p>
    <w:p w14:paraId="1D8AF2C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Вопросы химические. Я должен сказать, что я — человек новый в Ленинградском военном округе. Но т. Фишман упоминал здесь о трех дивизиях Ленинградского военного округа, которые можно считать химическими дивизиями, это 56-я, 16-я и 20-я. Я не знаю, я спрашивал В.М. Примакова, не приезжал ли к нам т. Фишман руководить этими дивизиями, оказывается, нет. Таким образом, чья же это работа? Это работа, очевидно, командующего округом и командиров дивизий. Я должен сказать, что такая дивизия, как 56-я, в химических вопросах имеет большие успехи. Химией в округах занимаются, но нужно дать и увеличить те химические средства, которые даются в войска на практику.</w:t>
      </w:r>
    </w:p>
    <w:p w14:paraId="769117E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касается подготовки тыла, то подготовка тыла была отработана в дивизионных и полковых звеньях. Несомненно, что в этой области перед нами еще предстоит большая работа.</w:t>
      </w:r>
    </w:p>
    <w:p w14:paraId="374F080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оперативной работе округ выполнил тот план, который был намечен по занятиям с начальствующим составом. Здесь, не дожидаясь пока еще того приказа, который должен выйти в результате пленума Военного совета, мы уже развернули для нашего окружного аппарата оперативную подготовку примерно по той программе, которая была в прошлом году преподана нам Генштабом для выполнения. Нужно сказать, что ввиду того, что приказ выходит примерно к 1 января, остается очень мало зимнего времени для того, чтобы эту оперативную работу развернуть и таким образом надо захватить еще время до 1 января, чтобы шире развернуть оперативную подготовку начальствующего состава. Мы очень много работали в этой области, и начальник штаба нам перечислил те задачи, которые являются вполне актуальными для армии и которые желательно не только провести, — мы все этого желаем, — но необходимо подвести также итоги всему этому делу. Штаб уже дал в этом первоначальные наметки и желательно, чтобы они были спущены в округа с тем, чтобы мы говорили по оперативным вопросам уже другим языком.</w:t>
      </w:r>
    </w:p>
    <w:p w14:paraId="6DF3F25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об авиационной подготовке. Нужно сказать, что Ленинградский военный округ в вопросах авиационной подготовки находился в тяжелых условиях. Во-первых, он является более северным округом, вследствие чего у нас летное время сокращено; во-вторых, у нас были постоянные дожди даже тогда, когда у вас здесь дождей не бывало. Так что авиация у нас должна проделывать гораздо более усложненную работу, чем в других округах. Около 50% летчиков у нас являются зеленой молодежью. Однако общий налет часов был произведен в количестве 43 946 часов при 64 483 посадках, увеличение на 26% против прошлого года. Ночных полетов бьшо произведено 1860 часов против 1670 часов в прошлом году, т.е. увеличение очень небольшое. Слепых полетов было произведено 5836 часов против 835 часов в прошлом году, т.е. очень большое увеличение, 5836 часов слепого полета при 43 ООО налетных часов я считаю, конечно, еще недостаточным.</w:t>
      </w:r>
    </w:p>
    <w:p w14:paraId="42A5193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Сильно двинулось вперед десантное дело — прыжков было совершено 15 418 против 4800 в прошлом году, и затем во время маневров был выброшен крупный десант. Я должен сказать, что наше авиадесантное дело стало не опытным делом, а реальным фактом. Мне хотелось бы, чтобы на наших маневрах при сбрасывании авиадесантов решение принималось вполне самостоятельно самими маневрирующими командирами, в зависимости от их желания, когда этот авиадесант сбросить, а не в зависимости от тех условий, которые создаются на земле в смысле готовности аэродрома и т.д. Я думаю, что теперь можно рисковать и переходить на это. Кроме того, авиадесантное дело дает нам возможность именно как раз углубить и пространственный бой, и пространственную операцию.</w:t>
      </w:r>
    </w:p>
    <w:p w14:paraId="52C47D7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Какие недочеты у нас имеются в авиации? Во-первых, повышение аварийности. За 1935 г. мы имеем 23 аварии против 14 в прошлом году. Объясняется это, во-первых, неблагоприятными летными условиями и, во-вторых, молодым составом самих летчиков. Ночные полеты, полеты с прожекторами и слепые полеты, ночная бомбардировка частей и групповое действие истребительной авиации — в этом направлении необходима дальнейшая работа нашей авиации. Сейчас наша авиация находится уже в таком периоде, когда мы перед ней можем поставить четко уже крупную оперативную задачу. Поэтому для нас является совершенно необходимым, во-первых, для самой авиации — это отработка воздушного боя крупного соединения. В этом отношении на основе опытных учений, на основе тех игр, которые имеются в разработке и в войсках, и в академии, необходимо конкретизировать этот материал, сделать выводы из этого материала и спустить их в войсковые части, в округа для соответствующей отработки.</w:t>
      </w:r>
    </w:p>
    <w:p w14:paraId="570EF49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Кроме того, необходимо расширить оперативную работу авиации, т.е, использование крупных масс авиации. Я не сторонник того, чтобы со всего Советского Союза собрать всю авиацию и составить одну армию. Авиация нужна будет и в других местах, но мы располагаем такой авиацией, которая будет решать задачи не в одном направлении, а в нескольких направлениях. При таком мощном состоянии нашей авиации мы должны этим вопросом сейчас детально заняться. Опять-таки материал уже есть, игры проводились, расчеты сделаны. Теперь дело только за тем, чтобы написать наставление для оперативного использования нашей авиации. Но этого мало. Надо это внедрить в жизнь. Я считаю, что нам необходимо для тяжелой боевой авиации проводить межокружные учения, учения между тяжелой авиацией своего округа, и, наконец, эти межокружные учения соединять с маневрами по ПВО. Кое-где уже были попытки и по этому вопросу уже высказывались, и я вполне поддерживаю то, что говорил начальник Генштаба, это производство маневра авиации — рассредоточенные аэродромы и средства авиации. В частности, при сравнительной бедности аэродромами, рассредоточение аэродрома — это единственное средство против нападения авиации по ПВО.</w:t>
      </w:r>
    </w:p>
    <w:p w14:paraId="73C9DF9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Затем необходимо остановиться на парковой службе. Я вполне согласен с товарищами, которые указывали, что наша парковая служба стационарна, что она приспособлена только к постоянному аэродрому, поэтому необходимо подумать о создании подвижных средств для нашей парковой службы. Во всяком случае, это дело надо делать заранее. Эти подвижные средства на маневрах должны быть использованы всецело.</w:t>
      </w:r>
    </w:p>
    <w:p w14:paraId="2294113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я должен остановиться на подготовке штабов. Нужно сказать, что если часть авиаштабов начала подготовку, — крупные штабы, корпусные и авиабригадные, — то штабы разведывательной эскадрильи и отдельных отрядов еще не отработаны. Нужно прямо сказать, что авиационные штабы не могут найти себе еще места, определить себе место и в воздушном управлении, и в связи с землей, и не представляют собой крепких сколоченных штабов. Перед Ленинградским округом эта задача стоит в полном объеме.</w:t>
      </w:r>
    </w:p>
    <w:p w14:paraId="2565C8B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касается наших мотомеханизированных частей, то в мотомеханизированных частях штабы молодые, мало сколоченные, но во всяком случае округом и самим корпусом в этом была проведена работа. Однако корпус, выйдя на маневры, не избежал соответствующих ошибок, которые были допущены в деле разведки, в деле охранений. К этому нужно добавить вопросы регулирования, вопросы преодоления препятствий. Нужно сказать, что в этом отношении мы отстаем от Белорусского округа, мало восприняли опыт Белорусского округа. Нужно Генеральному штабу предписать всем округам принять к руководству этот опыт, а то нам приходится преодолевать препятствия даже со стороны командиров танковых частей. Части более старые — 2-й танковый полк этим делом занимается. Но в молодых частях этого еще нет. Но мы имеем стахановца т. Дудко, который вполне справится с этим делом.</w:t>
      </w:r>
    </w:p>
    <w:p w14:paraId="4CD11A5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Наконец, относительно артиллерии. Ян Борисович</w:t>
      </w:r>
      <w:hyperlink r:id="rId250" w:anchor="_ftn6" w:history="1">
        <w:r w:rsidRPr="00E14102">
          <w:rPr>
            <w:rStyle w:val="a4"/>
            <w:color w:val="000000" w:themeColor="text1"/>
            <w:sz w:val="16"/>
            <w:szCs w:val="16"/>
          </w:rPr>
          <w:t>[6]</w:t>
        </w:r>
      </w:hyperlink>
      <w:r w:rsidRPr="00E14102">
        <w:rPr>
          <w:color w:val="000000" w:themeColor="text1"/>
          <w:sz w:val="16"/>
          <w:szCs w:val="16"/>
        </w:rPr>
        <w:t xml:space="preserve"> уже детально поднял этот вопрос, и мне остается сказать только несколько слов. Мы действительно забыли артиллерию. Нужно сказать, что хотя артиллерия шагнула вперед по сравнению с прошлым годом в смысле метода стрельбы, но в войсках артиллерии внимания не уделяли, а именно — не обращали внимания на использование артиллерии. Тов. Роговский приводил примеры такого неумелого использования артиллерии и тактической неграмотности. Мне кажется, что на этот вопрос нам нужно обратить внимание. Артиллерию нам еще забывать не приходится. Артиллерия еще сыграет свою роль и скажет свое слово.</w:t>
      </w:r>
    </w:p>
    <w:p w14:paraId="0CEC9F5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Также я хотел бы остановиться в отношении конницы. С.М. Буденный даст соответствующее внушение за нашу конницу, а я, ознакомившись с состоянием конницы, должен его поддержать и сказать, что мы забыли старое средство — коня. Нужно отметить, что на коня у нас не обращается внимания. Отсюда лошади побиты, снаряжение плохое, это дело забыли. Идут разговоры, что конь уже не нужен и конница не нужна.</w:t>
      </w:r>
    </w:p>
    <w:p w14:paraId="6CA9089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С </w:t>
      </w:r>
      <w:r w:rsidRPr="00E14102">
        <w:rPr>
          <w:rStyle w:val="a6"/>
          <w:i w:val="0"/>
          <w:color w:val="000000" w:themeColor="text1"/>
          <w:sz w:val="16"/>
          <w:szCs w:val="16"/>
        </w:rPr>
        <w:t>места.</w:t>
      </w:r>
      <w:r w:rsidRPr="00E14102">
        <w:rPr>
          <w:color w:val="000000" w:themeColor="text1"/>
          <w:sz w:val="16"/>
          <w:szCs w:val="16"/>
        </w:rPr>
        <w:t xml:space="preserve"> Конские ресурсы не учитываются.</w:t>
      </w:r>
    </w:p>
    <w:p w14:paraId="2BBAA59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Шапошников.</w:t>
      </w:r>
      <w:r w:rsidRPr="00E14102">
        <w:rPr>
          <w:color w:val="000000" w:themeColor="text1"/>
          <w:sz w:val="16"/>
          <w:szCs w:val="16"/>
        </w:rPr>
        <w:t xml:space="preserve"> Да, не учитываются, а если и учитываются, то перенапрягают так, что после маневров коня нужно ставить на несколько недель на отдых. Если коня используют, то так, что из коня все выжмут и не оставляют никаких запасов.</w:t>
      </w:r>
    </w:p>
    <w:p w14:paraId="326EDED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Наконец, в отношении огневой подготовки. Сложной огневой подготовкой Ленинградский округ еще не овладел. Я считаю, что в этом отношении та установка, которую дает начальник Штаба относительно расширения боевой стрельбы, должна быть проведена в жизнь.</w:t>
      </w:r>
    </w:p>
    <w:p w14:paraId="6267507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этом отношении, по-моему, сократить расхода патронов не удастся. Я думаю, что мы будем просить, чтобы нам немного прибавили, а не сокращали, иначе будет трудно обучать войсковые части.</w:t>
      </w:r>
    </w:p>
    <w:p w14:paraId="3086E33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касается методики боевой подготовки, то я считаю, что она у нас получила более или менее очерченное и ясное основание. Хотя еще и наблюдается опека старшего начальника над младшим, но уже больше свободы, старшие начальники контролируют и помогают. В общем и целом каждый понимает значение методики.</w:t>
      </w:r>
    </w:p>
    <w:p w14:paraId="41C668E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Правда, это нисколько не исключает для нас необходимости проведения показных занятий, частых проверок и, наконец, соответствующего инструктажа в проведении этих занятий. Наши уставы и наставления действительно нуждаются в освежении, о чем здесь уже говорил начальник Генерального штаба.</w:t>
      </w:r>
    </w:p>
    <w:p w14:paraId="73B23B4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34-36.</w:t>
      </w:r>
    </w:p>
    <w:p w14:paraId="179A08B0" w14:textId="77777777" w:rsidR="00970104" w:rsidRPr="00E14102" w:rsidRDefault="00E14102" w:rsidP="00E14102">
      <w:pPr>
        <w:pStyle w:val="rtejustify"/>
        <w:spacing w:before="0" w:after="0"/>
        <w:rPr>
          <w:color w:val="000000" w:themeColor="text1"/>
          <w:sz w:val="16"/>
          <w:szCs w:val="16"/>
        </w:rPr>
      </w:pPr>
      <w:hyperlink r:id="rId251" w:anchor="_ftnref1" w:history="1">
        <w:r w:rsidR="00970104" w:rsidRPr="00E14102">
          <w:rPr>
            <w:rStyle w:val="a4"/>
            <w:color w:val="000000" w:themeColor="text1"/>
            <w:sz w:val="16"/>
            <w:szCs w:val="16"/>
          </w:rPr>
          <w:t>[1]</w:t>
        </w:r>
      </w:hyperlink>
      <w:r w:rsidR="00970104" w:rsidRPr="00E14102">
        <w:rPr>
          <w:color w:val="000000" w:themeColor="text1"/>
          <w:sz w:val="16"/>
          <w:szCs w:val="16"/>
        </w:rPr>
        <w:t xml:space="preserve"> Имеется в виду: приказ РВС СССР № 0101 от 1 декабря 1933 г. об итогах боевой подготовки РККА за 1933 г. и задачах на 1934 г.; приказ НКО СССР № 0102 от 17 декабря 1934 г. об итогах боевой подготовки РККА за 1934 г. и задачах на 1935 г.; приказ НКО № 0019 от 16 сентября 1934 г. о результатах окружных общевойсковых учений ПриВО, УВО и БВО; приказ Н КО № 025 от 15 февраля 1935 г. о порядке эксплуатации автобронемаш ин в РККА; директива РВС СССР № 8573с от 10 февраля 1933 г. о порядке проведения смотровых учений штабов в 1933 г.; директива Штаба РК К А № 16593с от 28 декабря 1934 г. об организации, планировании и методике боевой подготовки, согласно приказа НКО № 0102.</w:t>
      </w:r>
    </w:p>
    <w:p w14:paraId="0B4C0A67" w14:textId="77777777" w:rsidR="00970104" w:rsidRPr="00E14102" w:rsidRDefault="00E14102" w:rsidP="00E14102">
      <w:pPr>
        <w:pStyle w:val="rtejustify"/>
        <w:spacing w:before="0" w:after="0"/>
        <w:rPr>
          <w:color w:val="000000" w:themeColor="text1"/>
          <w:sz w:val="16"/>
          <w:szCs w:val="16"/>
        </w:rPr>
      </w:pPr>
      <w:hyperlink r:id="rId252" w:anchor="_ftnref2" w:history="1">
        <w:r w:rsidR="00970104" w:rsidRPr="00E14102">
          <w:rPr>
            <w:rStyle w:val="a4"/>
            <w:color w:val="000000" w:themeColor="text1"/>
            <w:sz w:val="16"/>
            <w:szCs w:val="16"/>
          </w:rPr>
          <w:t>[2]</w:t>
        </w:r>
      </w:hyperlink>
      <w:r w:rsidR="00970104" w:rsidRPr="00E14102">
        <w:rPr>
          <w:color w:val="000000" w:themeColor="text1"/>
          <w:sz w:val="16"/>
          <w:szCs w:val="16"/>
        </w:rPr>
        <w:t xml:space="preserve"> Батальоны особого назначения.</w:t>
      </w:r>
    </w:p>
    <w:p w14:paraId="7F37C950" w14:textId="77777777" w:rsidR="00970104" w:rsidRPr="00E14102" w:rsidRDefault="00E14102" w:rsidP="00E14102">
      <w:pPr>
        <w:pStyle w:val="rtejustify"/>
        <w:spacing w:before="0" w:after="0"/>
        <w:rPr>
          <w:color w:val="000000" w:themeColor="text1"/>
          <w:sz w:val="16"/>
          <w:szCs w:val="16"/>
        </w:rPr>
      </w:pPr>
      <w:hyperlink r:id="rId253" w:anchor="_ftnref3" w:history="1">
        <w:r w:rsidR="00970104" w:rsidRPr="00E14102">
          <w:rPr>
            <w:rStyle w:val="a4"/>
            <w:color w:val="000000" w:themeColor="text1"/>
            <w:sz w:val="16"/>
            <w:szCs w:val="16"/>
          </w:rPr>
          <w:t>[3]</w:t>
        </w:r>
      </w:hyperlink>
      <w:r w:rsidR="00970104" w:rsidRPr="00E14102">
        <w:rPr>
          <w:color w:val="000000" w:themeColor="text1"/>
          <w:sz w:val="16"/>
          <w:szCs w:val="16"/>
        </w:rPr>
        <w:t xml:space="preserve"> Приказ НКО СС СР № 112 от 12 июля 1935 г. об общеобразовательной подготовке в РККА.</w:t>
      </w:r>
    </w:p>
    <w:p w14:paraId="1A32EF3C" w14:textId="77777777" w:rsidR="00970104" w:rsidRPr="00E14102" w:rsidRDefault="00E14102" w:rsidP="00E14102">
      <w:pPr>
        <w:pStyle w:val="rtejustify"/>
        <w:spacing w:before="0" w:after="0"/>
        <w:rPr>
          <w:color w:val="000000" w:themeColor="text1"/>
          <w:sz w:val="16"/>
          <w:szCs w:val="16"/>
        </w:rPr>
      </w:pPr>
      <w:hyperlink r:id="rId254" w:anchor="_ftnref4" w:history="1">
        <w:r w:rsidR="00970104" w:rsidRPr="00E14102">
          <w:rPr>
            <w:rStyle w:val="a4"/>
            <w:color w:val="000000" w:themeColor="text1"/>
            <w:sz w:val="16"/>
            <w:szCs w:val="16"/>
          </w:rPr>
          <w:t>[4]</w:t>
        </w:r>
      </w:hyperlink>
      <w:r w:rsidR="00970104" w:rsidRPr="00E14102">
        <w:rPr>
          <w:color w:val="000000" w:themeColor="text1"/>
          <w:sz w:val="16"/>
          <w:szCs w:val="16"/>
        </w:rPr>
        <w:t xml:space="preserve"> Стрелковую.</w:t>
      </w:r>
    </w:p>
    <w:p w14:paraId="2F109D4D" w14:textId="77777777" w:rsidR="00970104" w:rsidRPr="00E14102" w:rsidRDefault="00E14102" w:rsidP="00E14102">
      <w:pPr>
        <w:pStyle w:val="rtejustify"/>
        <w:spacing w:before="0" w:after="0"/>
        <w:rPr>
          <w:color w:val="000000" w:themeColor="text1"/>
          <w:sz w:val="16"/>
          <w:szCs w:val="16"/>
        </w:rPr>
      </w:pPr>
      <w:hyperlink r:id="rId255" w:anchor="_ftnref5" w:history="1">
        <w:r w:rsidR="00970104" w:rsidRPr="00E14102">
          <w:rPr>
            <w:rStyle w:val="a4"/>
            <w:color w:val="000000" w:themeColor="text1"/>
            <w:sz w:val="16"/>
            <w:szCs w:val="16"/>
          </w:rPr>
          <w:t>[5]</w:t>
        </w:r>
      </w:hyperlink>
      <w:r w:rsidR="00970104" w:rsidRPr="00E14102">
        <w:rPr>
          <w:color w:val="000000" w:themeColor="text1"/>
          <w:sz w:val="16"/>
          <w:szCs w:val="16"/>
        </w:rPr>
        <w:t xml:space="preserve"> Мотомехвойска.</w:t>
      </w:r>
    </w:p>
    <w:p w14:paraId="2B6F57E9" w14:textId="77777777" w:rsidR="00970104" w:rsidRPr="00E14102" w:rsidRDefault="00E14102" w:rsidP="00E14102">
      <w:pPr>
        <w:pStyle w:val="rtejustify"/>
        <w:spacing w:before="0" w:after="0"/>
        <w:rPr>
          <w:color w:val="000000" w:themeColor="text1"/>
          <w:sz w:val="16"/>
          <w:szCs w:val="16"/>
        </w:rPr>
      </w:pPr>
      <w:hyperlink r:id="rId256" w:anchor="_ftnref6" w:history="1">
        <w:r w:rsidR="00970104" w:rsidRPr="00E14102">
          <w:rPr>
            <w:rStyle w:val="a4"/>
            <w:color w:val="000000" w:themeColor="text1"/>
            <w:sz w:val="16"/>
            <w:szCs w:val="16"/>
          </w:rPr>
          <w:t>[6]</w:t>
        </w:r>
      </w:hyperlink>
      <w:r w:rsidR="00970104" w:rsidRPr="00E14102">
        <w:rPr>
          <w:color w:val="000000" w:themeColor="text1"/>
          <w:sz w:val="16"/>
          <w:szCs w:val="16"/>
        </w:rPr>
        <w:t xml:space="preserve"> Гамарник.</w:t>
      </w:r>
    </w:p>
    <w:p w14:paraId="698C3D50" w14:textId="77777777" w:rsidR="00970104" w:rsidRPr="00E14102" w:rsidRDefault="00970104" w:rsidP="00E14102">
      <w:pPr>
        <w:jc w:val="both"/>
        <w:rPr>
          <w:color w:val="000000" w:themeColor="text1"/>
          <w:sz w:val="16"/>
          <w:szCs w:val="16"/>
        </w:rPr>
      </w:pPr>
      <w:r w:rsidRPr="00E14102">
        <w:rPr>
          <w:color w:val="000000" w:themeColor="text1"/>
          <w:sz w:val="16"/>
          <w:szCs w:val="16"/>
        </w:rPr>
        <w:t> Источник: Военный совет при народном комиссаре обороны СССР. Декабрь 1935 г.: Документы и материалы. — М.: "РОССПЭН", 2008. С. 83-126 (12592).</w:t>
      </w:r>
    </w:p>
    <w:p w14:paraId="441924B1" w14:textId="77777777" w:rsidR="00970104" w:rsidRPr="00E14102" w:rsidRDefault="00970104" w:rsidP="00E14102">
      <w:pPr>
        <w:pStyle w:val="ad"/>
        <w:spacing w:before="0" w:after="0"/>
        <w:rPr>
          <w:rFonts w:ascii="Times New Roman" w:hAnsi="Times New Roman" w:cs="Times New Roman"/>
          <w:color w:val="000000" w:themeColor="text1"/>
          <w:sz w:val="16"/>
          <w:szCs w:val="16"/>
          <w:lang w:val="ru-RU"/>
        </w:rPr>
      </w:pPr>
    </w:p>
    <w:p w14:paraId="13A1731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3C91C90" w14:textId="77777777" w:rsidR="00D4105E" w:rsidRPr="00E14102" w:rsidRDefault="00D4105E" w:rsidP="00E14102">
      <w:pPr>
        <w:autoSpaceDE w:val="0"/>
        <w:autoSpaceDN w:val="0"/>
        <w:adjustRightInd w:val="0"/>
        <w:jc w:val="both"/>
        <w:rPr>
          <w:iCs/>
          <w:color w:val="000000" w:themeColor="text1"/>
          <w:sz w:val="16"/>
          <w:szCs w:val="16"/>
        </w:rPr>
      </w:pPr>
    </w:p>
    <w:p w14:paraId="455986A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9 по 30 декабря 1935 проходили испытания самолета Р-6 с малым количеством горючего в бензобаках (6832).</w:t>
      </w:r>
    </w:p>
    <w:p w14:paraId="16903D7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3692D4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Ст. инженер 3 отдела Чернявский</w:t>
      </w:r>
    </w:p>
    <w:p w14:paraId="39FF41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10861D9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Установить надежность действия системы питания горючим самолета Р-6 с малым количеством горючего в бензобаках, как при работе моторов на земле, так и в полете при различных положениях самолета.</w:t>
      </w:r>
    </w:p>
    <w:p w14:paraId="042A5B7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8029DE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Система питания на самолете Р-6 с количеством горючего в бензобаках – 210 кг (менее 10% общей емкости баков) в полете по прямой, на виражах и горках работает надежно.</w:t>
      </w:r>
    </w:p>
    <w:p w14:paraId="47703B9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Календарь испытаний</w:t>
      </w:r>
    </w:p>
    <w:p w14:paraId="37AB3B8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декабря 1936 года – пробный вылет</w:t>
      </w:r>
    </w:p>
    <w:p w14:paraId="3F17161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декабря 1936 года – испытательный полет с малым количеством горючего (6832).</w:t>
      </w:r>
    </w:p>
    <w:p w14:paraId="73B8243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A52F9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декабря 1935 А.Н.Туполев выпустил распоряжение по ГУАП N 76/393, предлагавшего дальнейшие изменения ВИШ на М34РН на ТБ-3 (АНТ-6) N 633 перенести с 22 завода в ОЭЛИД на позже 25 января (1025,133).</w:t>
      </w:r>
    </w:p>
    <w:p w14:paraId="5C3A65F6" w14:textId="77777777" w:rsidR="00D4105E" w:rsidRPr="00E14102" w:rsidRDefault="00D4105E" w:rsidP="00E14102">
      <w:pPr>
        <w:autoSpaceDE w:val="0"/>
        <w:autoSpaceDN w:val="0"/>
        <w:adjustRightInd w:val="0"/>
        <w:jc w:val="both"/>
        <w:rPr>
          <w:color w:val="000000" w:themeColor="text1"/>
          <w:sz w:val="16"/>
          <w:szCs w:val="16"/>
        </w:rPr>
      </w:pPr>
    </w:p>
    <w:p w14:paraId="622071EF" w14:textId="77777777" w:rsidR="0041787D" w:rsidRPr="00E14102" w:rsidRDefault="0041787D" w:rsidP="00E14102">
      <w:pPr>
        <w:jc w:val="both"/>
        <w:rPr>
          <w:color w:val="0070C0"/>
          <w:sz w:val="16"/>
          <w:szCs w:val="16"/>
        </w:rPr>
      </w:pPr>
      <w:r w:rsidRPr="00E14102">
        <w:rPr>
          <w:color w:val="0070C0"/>
          <w:sz w:val="16"/>
          <w:szCs w:val="16"/>
        </w:rPr>
        <w:t>По состоянию на 9 декабря 1935 г. первый опытный эк</w:t>
      </w:r>
      <w:r w:rsidRPr="00E14102">
        <w:rPr>
          <w:color w:val="0070C0"/>
          <w:sz w:val="16"/>
          <w:szCs w:val="16"/>
        </w:rPr>
        <w:softHyphen/>
        <w:t>земпляр А-7 выполнил 80 полетов с общим налетом 34 ча</w:t>
      </w:r>
      <w:r w:rsidRPr="00E14102">
        <w:rPr>
          <w:color w:val="0070C0"/>
          <w:sz w:val="16"/>
          <w:szCs w:val="16"/>
        </w:rPr>
        <w:softHyphen/>
        <w:t>са 3 минуты (20361).</w:t>
      </w:r>
    </w:p>
    <w:p w14:paraId="11BFD809" w14:textId="77777777" w:rsidR="0041787D" w:rsidRPr="00E14102" w:rsidRDefault="0041787D" w:rsidP="00E14102">
      <w:pPr>
        <w:jc w:val="both"/>
        <w:rPr>
          <w:color w:val="0070C0"/>
          <w:sz w:val="16"/>
          <w:szCs w:val="16"/>
        </w:rPr>
      </w:pPr>
    </w:p>
    <w:p w14:paraId="47666C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декабря 1935 В.А.Веснина назначили ГА строительства Нового ЦАГИ (273,313).</w:t>
      </w:r>
    </w:p>
    <w:p w14:paraId="3F65032B" w14:textId="77777777" w:rsidR="00D4105E" w:rsidRPr="00E14102" w:rsidRDefault="00D4105E" w:rsidP="00E14102">
      <w:pPr>
        <w:autoSpaceDE w:val="0"/>
        <w:autoSpaceDN w:val="0"/>
        <w:adjustRightInd w:val="0"/>
        <w:jc w:val="both"/>
        <w:rPr>
          <w:color w:val="000000" w:themeColor="text1"/>
          <w:sz w:val="16"/>
          <w:szCs w:val="16"/>
        </w:rPr>
      </w:pPr>
    </w:p>
    <w:p w14:paraId="213750E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22878CD" w14:textId="77777777" w:rsidR="00D4105E" w:rsidRPr="00E14102" w:rsidRDefault="00D4105E" w:rsidP="00E14102">
      <w:pPr>
        <w:autoSpaceDE w:val="0"/>
        <w:autoSpaceDN w:val="0"/>
        <w:adjustRightInd w:val="0"/>
        <w:jc w:val="both"/>
        <w:rPr>
          <w:iCs/>
          <w:color w:val="000000" w:themeColor="text1"/>
          <w:sz w:val="16"/>
          <w:szCs w:val="16"/>
        </w:rPr>
      </w:pPr>
    </w:p>
    <w:p w14:paraId="45AF2F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декабря 1935 года Опытный образец 152-мм пушки Бр-2 прибыл на НИАП с завода "Баррикады" для проведения полигонных испытаний. 152-мм пушка Бр-2 была создана в КБ завода "Баррикады" под руководством Иванова. Фактически это было наложение ствола Б-10 на лафет с небольшими изменениями. Нарезка, как у Б-10, была мелкая (глубина нареза 1,5 мм, ширина нареза 6,974 мм, ширина поля 3,0 мм). Баллистика Бр-2 была одинакова с Б-10 и Б-30. Основными отличиями Бр-2 от Б-30 были: скрепленный ствол вместо свободной трубы (у Б-30), наличие гидропневматического уравновешивающего механизма, и незначительные изменения в ударном механизма затвора (3861).</w:t>
      </w:r>
    </w:p>
    <w:p w14:paraId="6CAF0875" w14:textId="77777777" w:rsidR="00D4105E" w:rsidRPr="00E14102" w:rsidRDefault="00D4105E" w:rsidP="00E14102">
      <w:pPr>
        <w:autoSpaceDE w:val="0"/>
        <w:autoSpaceDN w:val="0"/>
        <w:adjustRightInd w:val="0"/>
        <w:jc w:val="both"/>
        <w:rPr>
          <w:color w:val="000000" w:themeColor="text1"/>
          <w:sz w:val="16"/>
          <w:szCs w:val="16"/>
        </w:rPr>
      </w:pPr>
    </w:p>
    <w:p w14:paraId="11E44EB1" w14:textId="77777777" w:rsidR="000561E6" w:rsidRPr="00E14102" w:rsidRDefault="000561E6" w:rsidP="00E14102">
      <w:pPr>
        <w:pStyle w:val="rtejustify"/>
        <w:spacing w:before="0" w:after="0"/>
        <w:rPr>
          <w:color w:val="000000" w:themeColor="text1"/>
          <w:sz w:val="16"/>
          <w:szCs w:val="16"/>
        </w:rPr>
      </w:pPr>
      <w:r w:rsidRPr="00E14102">
        <w:rPr>
          <w:rStyle w:val="a6"/>
          <w:bCs/>
          <w:i w:val="0"/>
          <w:color w:val="000000" w:themeColor="text1"/>
          <w:sz w:val="16"/>
          <w:szCs w:val="16"/>
        </w:rPr>
        <w:t>9 декабря</w:t>
      </w:r>
      <w:r w:rsidRPr="00E14102">
        <w:rPr>
          <w:color w:val="000000" w:themeColor="text1"/>
          <w:sz w:val="16"/>
          <w:szCs w:val="16"/>
        </w:rPr>
        <w:t xml:space="preserve"> 1935. Постановление СТО № С</w:t>
      </w:r>
      <w:r w:rsidRPr="00E14102">
        <w:rPr>
          <w:color w:val="000000" w:themeColor="text1"/>
          <w:sz w:val="16"/>
          <w:szCs w:val="16"/>
        </w:rPr>
        <w:noBreakHyphen/>
        <w:t>158сс «Об изготовлении рессор и штампованных ступиц для кавалерийских и телефонно-телеграфных тачанок». (ГА РФ. Ф. Р</w:t>
      </w:r>
      <w:r w:rsidRPr="00E14102">
        <w:rPr>
          <w:color w:val="000000" w:themeColor="text1"/>
          <w:sz w:val="16"/>
          <w:szCs w:val="16"/>
        </w:rPr>
        <w:noBreakHyphen/>
        <w:t>8418. Оп. 28. Д. 7. Л. 245) (15460).</w:t>
      </w:r>
    </w:p>
    <w:p w14:paraId="7EAB9C36" w14:textId="77777777" w:rsidR="000561E6" w:rsidRPr="00E14102" w:rsidRDefault="000561E6" w:rsidP="00E14102">
      <w:pPr>
        <w:pStyle w:val="rtejustify"/>
        <w:spacing w:before="0" w:after="0"/>
        <w:rPr>
          <w:color w:val="000000" w:themeColor="text1"/>
          <w:sz w:val="16"/>
          <w:szCs w:val="16"/>
        </w:rPr>
      </w:pPr>
    </w:p>
    <w:p w14:paraId="1894C180" w14:textId="77777777" w:rsidR="000561E6" w:rsidRPr="00E14102" w:rsidRDefault="000561E6" w:rsidP="00E14102">
      <w:pPr>
        <w:pStyle w:val="rtejustify"/>
        <w:spacing w:before="0" w:after="0"/>
        <w:rPr>
          <w:color w:val="000000" w:themeColor="text1"/>
          <w:sz w:val="16"/>
          <w:szCs w:val="16"/>
        </w:rPr>
      </w:pPr>
      <w:r w:rsidRPr="00E14102">
        <w:rPr>
          <w:rStyle w:val="a6"/>
          <w:bCs/>
          <w:i w:val="0"/>
          <w:color w:val="000000" w:themeColor="text1"/>
          <w:sz w:val="16"/>
          <w:szCs w:val="16"/>
        </w:rPr>
        <w:t>9 декабря 1935 вышел приказ НКО №</w:t>
      </w:r>
      <w:r w:rsidRPr="00E14102">
        <w:rPr>
          <w:color w:val="000000" w:themeColor="text1"/>
          <w:sz w:val="16"/>
          <w:szCs w:val="16"/>
        </w:rPr>
        <w:t> 0235. О назначении комиссии для проведения войсковых испытаний ядовито-дымовой аппаратуры (ЯД</w:t>
      </w:r>
      <w:r w:rsidRPr="00E14102">
        <w:rPr>
          <w:color w:val="000000" w:themeColor="text1"/>
          <w:sz w:val="16"/>
          <w:szCs w:val="16"/>
        </w:rPr>
        <w:noBreakHyphen/>
        <w:t>1) для кораблей (15247).</w:t>
      </w:r>
    </w:p>
    <w:p w14:paraId="1DD004F9" w14:textId="77777777" w:rsidR="000561E6" w:rsidRPr="00E14102" w:rsidRDefault="000561E6" w:rsidP="00E14102">
      <w:pPr>
        <w:pStyle w:val="rtejustify"/>
        <w:spacing w:before="0" w:after="0"/>
        <w:rPr>
          <w:color w:val="000000" w:themeColor="text1"/>
          <w:sz w:val="16"/>
          <w:szCs w:val="16"/>
        </w:rPr>
      </w:pPr>
    </w:p>
    <w:p w14:paraId="505B8425" w14:textId="77777777" w:rsidR="000561E6" w:rsidRPr="00E14102" w:rsidRDefault="000561E6" w:rsidP="00E14102">
      <w:pPr>
        <w:pStyle w:val="rtejustify"/>
        <w:spacing w:before="0" w:after="0"/>
        <w:rPr>
          <w:color w:val="000000" w:themeColor="text1"/>
          <w:sz w:val="16"/>
          <w:szCs w:val="16"/>
        </w:rPr>
      </w:pPr>
      <w:r w:rsidRPr="00E14102">
        <w:rPr>
          <w:rStyle w:val="a6"/>
          <w:bCs/>
          <w:i w:val="0"/>
          <w:color w:val="000000" w:themeColor="text1"/>
          <w:sz w:val="16"/>
          <w:szCs w:val="16"/>
        </w:rPr>
        <w:t>9 декабря 1935 вышел приказ НКО №</w:t>
      </w:r>
      <w:r w:rsidRPr="00E14102">
        <w:rPr>
          <w:color w:val="000000" w:themeColor="text1"/>
          <w:sz w:val="16"/>
          <w:szCs w:val="16"/>
        </w:rPr>
        <w:t> 00101. О назначении комиссии для производства войсковых испытаний системы коллективной противохимической обороны линейного корабля «Октябрьская революция» (15247).</w:t>
      </w:r>
    </w:p>
    <w:p w14:paraId="61E9686A" w14:textId="77777777" w:rsidR="000561E6" w:rsidRPr="00E14102" w:rsidRDefault="000561E6" w:rsidP="00E14102">
      <w:pPr>
        <w:pStyle w:val="rtejustify"/>
        <w:spacing w:before="0" w:after="0"/>
        <w:rPr>
          <w:color w:val="000000" w:themeColor="text1"/>
          <w:sz w:val="16"/>
          <w:szCs w:val="16"/>
        </w:rPr>
      </w:pPr>
    </w:p>
    <w:p w14:paraId="525796B4" w14:textId="77777777" w:rsidR="0097010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053D5C53" w14:textId="77777777" w:rsidR="00970104" w:rsidRPr="00E14102" w:rsidRDefault="00970104" w:rsidP="00E14102">
      <w:pPr>
        <w:autoSpaceDE w:val="0"/>
        <w:autoSpaceDN w:val="0"/>
        <w:adjustRightInd w:val="0"/>
        <w:jc w:val="both"/>
        <w:rPr>
          <w:iCs/>
          <w:color w:val="000000" w:themeColor="text1"/>
          <w:sz w:val="16"/>
          <w:szCs w:val="16"/>
        </w:rPr>
      </w:pPr>
    </w:p>
    <w:p w14:paraId="1E0B82F8" w14:textId="77777777" w:rsidR="000561E6" w:rsidRPr="00E14102" w:rsidRDefault="000561E6" w:rsidP="00E14102">
      <w:pPr>
        <w:pStyle w:val="rtejustify"/>
        <w:spacing w:before="0" w:after="0"/>
        <w:rPr>
          <w:rStyle w:val="a6"/>
          <w:i w:val="0"/>
          <w:color w:val="000000" w:themeColor="text1"/>
          <w:sz w:val="16"/>
          <w:szCs w:val="16"/>
        </w:rPr>
      </w:pPr>
      <w:r w:rsidRPr="00E14102">
        <w:rPr>
          <w:color w:val="000000" w:themeColor="text1"/>
          <w:sz w:val="16"/>
          <w:szCs w:val="16"/>
        </w:rPr>
        <w:t>9 декабря 1935 г. Стенограмма утреннего заседания</w:t>
      </w:r>
    </w:p>
    <w:p w14:paraId="3AAC1B0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Гзйлит.</w:t>
      </w:r>
      <w:r w:rsidRPr="00E14102">
        <w:rPr>
          <w:color w:val="000000" w:themeColor="text1"/>
          <w:sz w:val="16"/>
          <w:szCs w:val="16"/>
        </w:rPr>
        <w:t xml:space="preserve"> Я хочу остановиться на трех вопросах: учебе территориальных войск в условиях измененных сроков летней учебы, огневой подготовке стрелковых войск и на вопросе борьбы за сохранение кадров.</w:t>
      </w:r>
    </w:p>
    <w:p w14:paraId="779547C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 разрешения народного комиссара обороны в частях СибВО летнюю учебу мы повели несколько по-иному, чем в прошлом году. Мы резко изменили сроки новобранческих и общих сборов: так, новобранцы вместо 3 месяцев занимались только 2 месяца, зато переменный состав занимался 45 дней вместо предусмотренных законом 30 (фактически же переменнику давалось не больше 25 дней). К этому нас принудило слишком короткое сибирское лето, необходимость уложить работу переменника в войсках в период между посевом и хлебоуборкой, а главное, необходимость резкого повышения боевой подготовки переменника.</w:t>
      </w:r>
    </w:p>
    <w:p w14:paraId="34EEDF7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результате этой организации учебы наш переменник вместо прежних 10-12 дней реальной учебы сейчас занимался 30-35 дней. Это дало возможность пройти с ним все положенные по плану темы общевойскового учения. Кроме того, мы имели возможность с пере-менником пройти некоторый курс одиночной подготовки продолжительностью 10—15 дней. При наличии большой текучести среди переменного состава такая работа с одиночным бойцом имеет чрезвычайно большое значение. Сократив новобранческие сборы с 3 месяцев до 2, мы этим нисколько не снизили качество подготовки новобранцев. Новобранцы прошли курс 3-месячной подготовки с теми же качественными показателями. Все это удалось провести благодаря главным образом лучшей организации учебы и, во-вторых, благодаря тому, что в этом году новобранцы к нам пришли значительно более подготовленными за период допризывной подготовки.</w:t>
      </w:r>
    </w:p>
    <w:p w14:paraId="4B002AD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должен констатировать, что за истекший год организации Осоавиахима у нас значительно подняли качество подготовки новобранцев. Таким образом, новобранцы имели возможность пройти курс учения в 2 месяца вместо 3, причем мы, т. народный комиссар, уложились в те же самые пайковые нормы. Кроме того, мы выиграли еще в одном. Ежегодно обычно такие категории переменников, как комбайнеры, трактористы, водители и т.д., всегда, как правило, отрывались от сборов. Не успеем их призвать, как уже поступает распоряжение о досрочном их увольнении; оставались недовольны сами комбайнеры-переменники, как и все организации, где эти пе-ременники постоянно работают. Опыт проведения летней учебы в сокращенные сроки по Сибирскому военному округу себя целиком оправдал, и я прошу для частей Сибирского военного округа сохранить этот порядок и дальше.</w:t>
      </w:r>
    </w:p>
    <w:p w14:paraId="6078DDB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Второй вопрос — о стрелковой подготовке и, в частности, о работе с нашими снайперами. В Сибирском военном округе за истекший год мы провели два специальных сбора с начсоставом снайперских команд. Один сбор был проведен весной с половины апреля до 1 июня в Юрге, на артиллерийском полигоне, и другой в Боровом в </w:t>
      </w:r>
      <w:r w:rsidRPr="00E14102">
        <w:rPr>
          <w:color w:val="000000" w:themeColor="text1"/>
          <w:sz w:val="16"/>
          <w:szCs w:val="16"/>
        </w:rPr>
        <w:lastRenderedPageBreak/>
        <w:t>октябре—ноябре. Перед первым сбором я поставил цель — подготовить командиров-снайперов к летней работе с красноармейцами. Второй сбор имел задачу — повышение качества командира-снайпе-ра плюс ряд исследовательских задач.</w:t>
      </w:r>
    </w:p>
    <w:p w14:paraId="17DF6EC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Летняя подготовка наших снайперских команд целиком оправдала сбор. В результате летней учебы одна дивизия целиком имела отличные показатели своих снайперских команд по всем упражнениям, две дивизии получили кругом хорошую оценку и лишь одна — 94-я дивизия вышла на удовлетворительно. И это произошло только потому, что начсостав снайперских команд частей 94-й дивизии, которая еще весной не входила в состав Сибирского военного округа, не проходил снайперского сбора и таким образом вышел на летнюю учебу недостаточно подготовленным. Я хочу доложить вам, т. народный комиссар, некоторые результаты наших опытных стрельб снайперского сбора, проведенного с вашего разрешения.</w:t>
      </w:r>
    </w:p>
    <w:p w14:paraId="71A8CCC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Первое — о стрельбе ночью. Эти стрельбы показали, что на расстоянии 200 м ночью, из винтовки с телескопическим прицелом можно почти на 100% поражать цель величиною в рост человека. Вот результаты стрельбы темной ночью, при освещении прожектором В-2-35. Стреляло 19 чел. на расстоянии 200 м. Выпущено 95 пуль. Попало 85, или 93%. С открытым прицелом было выпущено 50 пуль, попало 17. В лунную ночь винтовкой с открытым прицелом пятью стрелками было поражено 25 пулями 22 мишени, или 88%, а с применением оптического прицела было поражено 15 пулями 15 мишеней, т.е. на 100%. При стрельбе в лунную ночь с освещением цели прожектором результаты снижались. Например, из 25 пуль, выпущенных с открытым прицелом, было только 43% попадания и при телескопическом прицеле 60%. Как видите, искусственное освещение в данном случае дало снижение против стрельбы при лунном свете. Таким образом, этот опыт показывает, что у нас есть полная возможность производить лунной ночью меткую стрельбу на расстоянии до 200 м.</w:t>
      </w:r>
    </w:p>
    <w:p w14:paraId="73C6143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 опыт, для сопоставления результатов стрельб винтовками с обыкновенным и телескопическим прицелами при дневном освещении, по разным целям. Опыт охватывает стрельбу 58 чел. по 4 упражнениям. Результат рот: с открытым прицелом средний балл равен 4,32, с телескопическим прицелом — только 3,77. Этот результат является чрезвычайно интересным, и мы должны поставить вопрос о том, насколько наша снайперская винтовка</w:t>
      </w:r>
      <w:r w:rsidRPr="00E14102">
        <w:rPr>
          <w:color w:val="000000" w:themeColor="text1"/>
          <w:sz w:val="16"/>
          <w:szCs w:val="16"/>
          <w:vertAlign w:val="superscript"/>
        </w:rPr>
        <w:t>37</w:t>
      </w:r>
      <w:r w:rsidRPr="00E14102">
        <w:rPr>
          <w:color w:val="000000" w:themeColor="text1"/>
          <w:sz w:val="16"/>
          <w:szCs w:val="16"/>
        </w:rPr>
        <w:t>, та винтовка, которой вооружены наши лучшие стрелки сегодня, насколько она дает меткий выстрел. Допустим, что наши снайперы на сегодня еще недостаточно овладели телескопическим прицелом, хотя стреляли лучшие снайперы округа, тем не менее разница между данными стрельбами чрезвычайно существенна. Этот опыт ставит во всю ширь своевременность пересмотра качества нашей снайперской винтовки. С другой стороны, т. народный комиссар, я хочу здесь подчеркнуть и другие отрицательные свойства оружия нашего снайпера.</w:t>
      </w:r>
    </w:p>
    <w:p w14:paraId="110254E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это за отрицательные качества? Во-первых, наша снайперская винтовка потеряла скорострельность. Мы заряжаем, т. народный комиссар, снайперскую винтовку одним патроном и, таким образом, лучшего стрелка заведомо заставляем стрелять медленнее, чем стреляет рядовой стрелок из обыкновенной винтовки. Во-вторых, мы наряду с потерей скорострельности, не добились требуемой меткости. Мы подогнали высококачественный прицел под нашу обыкновенную винтовку и требуем меткого огня на 1500 м. Наша снайперская винтовка на этом расстоянии не дает достаточно меткого огня, потому что на 1000 м она имеет слишком большое рассеивание. Благодаря малой сравнительно начальной скорости при стрельбе на 1000—1500 м на полет пули значительно влияет внешнее атмосферное состояние. Поэтому на дальние дистанции наша винтовка не дает меткого огня. А условия маневренного боя как раз требуют и значительную дальность, и большую скорострельность. Иные требования к снайперу и его вооружению предъявлялись в империалистическую войну, в окопах, когда снайпер вел огонь, главным образом по наблюдателям, укрытым за стальными щитами.</w:t>
      </w:r>
    </w:p>
    <w:p w14:paraId="2180E4F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Конструкция и баллистические качества снайперской винтовки должны полностью отвечать требованиям современного маневренного боя. Поэтому должен быть сконструирован другой ствол, другая ложа, должна быть другая пуля, вес, должна быть другая, т. народный комиссар, начальная скорость. Тогда мы получим не только меткость, но и большую пробивную способность и сможем поражать некоторые цели за броней. Поэтому я считаю, что наша снайперская винтовка сегодняшнего дня — немного отсталая винтовка.</w:t>
      </w:r>
    </w:p>
    <w:p w14:paraId="68DB80A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Другой вопрос. Говоря о снайпере, мы не можем умолчать о вооружении помощника снайпера — его наблюдателя. Он вооружен 6-кратным биноклем. Этот бинокль годен и хорош для командира роты, командира батальона, командира пулеметного взвода для решения ими тактических задач, для рассматривания крупных целей. Но он совершенно не дает возможности вести настоящие наблюдения на 1000-1500 м. Больше того: он не дает возможности нашему наблюдателю-снайперу вести снайперскую разведку, отыскивать цели на больших расстояниях. Он в бинокль ничего не видит. Поэтому наряду с вооружением бойца снайпера стоит вопрос вооружения наблюдателя снайпера дополнительными приборами, скажем, подзорной трубой. Мы ставим обязательным условием, чтобы наблюдатель лежал рядом со стрелком снайпером. Полагаю, что это условие не должно быть постоянным правилом. Не всегда у нас будут возможности снайпера и наблюдателя держать вместе. Мы будем иметь ряд случаев, когда окажется необходимым располагать их врозь. На такие случаи снайперская пара должна располагать портативной телефонной аппаратурой. Эта аппаратура будет также весьма полезна для часового с подчаском и т.д.</w:t>
      </w:r>
    </w:p>
    <w:p w14:paraId="47E4ADF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совершенно не занимались вопросами маскировки снайперов, т. народный комиссар. Располагая наблюдателя рядом со снайпером, мы делаем их очень заметными. Замаскировать двоих значительно труднее. Вообще культура маскировки снайперу прививается слишком недостаточная, низкокачественная.</w:t>
      </w:r>
    </w:p>
    <w:p w14:paraId="2AF1AD6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 как мое время истекает, разрешите остановиться еще лишь на одном, весьма существенном вопросе — о сбережении наших кадров. Вопрос о сбережении кадров звучит как-то необычно, ненормально. Тем не менее я считаю, что это является совершенно актуальным вопросом в нашей работе. Мы в ряде случаев недостаточно внимательно подходим к нашим кадрам. У нас чрезвычайно много случаев отдачи под суд, изъятия из армии и т.п. Мы чрезвычайно легко бракуем людей. Между тем не всегда эти крайние меры вызываются необходимостью. Это говорит за то, что мы не используем всех способов воздействия на людей, не воспитываем мы их... Мы ходатайствуем, т. народный комиссар, перед вами в тех случаях, когда мы уверены, что еще можно обойтись без этих крайних мер, видим, что мы сами и наши подчиненные не использовали всех мер воздействия и перевоспитания.</w:t>
      </w:r>
    </w:p>
    <w:p w14:paraId="1495FA6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мог бы назвать десятки таких комиссаров, о которых, в частности, мне докладывали, как о непоправимых, совершенно непригодных и которых нужно выгнать притом как можно скорее. Но когда мы стали проверять этих людей, то оказалось, что они далеко не такие плохие и вообще не безнадежные. Больше того: во многих случаях обнаруживалось, что, во-первых, ни командир дивизии, ни начальник (начпобриг), ни командир полка, никто как следует не разбирал дела, не вызывал товарища, не поговорил с ним. То же самое надо сказать про партийные организации. Никто не оказал настоящей товарищеской поддержки, не выяснил, почему человек начинает скрываться, разлагаться и т.д.</w:t>
      </w:r>
    </w:p>
    <w:p w14:paraId="58B3D47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Товарищи, слушайте все, это вас всех очень близко касается.</w:t>
      </w:r>
    </w:p>
    <w:p w14:paraId="05EA1ED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Гайлит.</w:t>
      </w:r>
      <w:r w:rsidRPr="00E14102">
        <w:rPr>
          <w:color w:val="000000" w:themeColor="text1"/>
          <w:sz w:val="16"/>
          <w:szCs w:val="16"/>
        </w:rPr>
        <w:t xml:space="preserve"> Это, т. народный комиссар, результат вашего приказа, именно вы заставили нас подойти к людям более внимательно. Только поэтому мы выяснили, что этой группой людей не занимались. Их били дисциплинарно, били по партийной линии, но чтобы подойти к ним по-товарищески, чутко и внимательно, чтобы поддержать их — этого не было. Это и приводило к тому, что командиры частей и соединений не находили ничего другого, как ходатайствовать об отдаче под суд или об изъятии из армии.</w:t>
      </w:r>
    </w:p>
    <w:p w14:paraId="01AECB0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Поэтому я и считаю своим долгом доложить здесь, т. народный комиссар, и об этом вопросе.</w:t>
      </w:r>
    </w:p>
    <w:p w14:paraId="29AF444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37-38.</w:t>
      </w:r>
    </w:p>
    <w:p w14:paraId="43DB19E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Грязнов.</w:t>
      </w:r>
      <w:r w:rsidRPr="00E14102">
        <w:rPr>
          <w:color w:val="000000" w:themeColor="text1"/>
          <w:sz w:val="16"/>
          <w:szCs w:val="16"/>
        </w:rPr>
        <w:t xml:space="preserve"> Забайкальский округ</w:t>
      </w:r>
      <w:r w:rsidRPr="00E14102">
        <w:rPr>
          <w:color w:val="000000" w:themeColor="text1"/>
          <w:sz w:val="16"/>
          <w:szCs w:val="16"/>
          <w:vertAlign w:val="superscript"/>
        </w:rPr>
        <w:t>38</w:t>
      </w:r>
      <w:r w:rsidRPr="00E14102">
        <w:rPr>
          <w:color w:val="000000" w:themeColor="text1"/>
          <w:sz w:val="16"/>
          <w:szCs w:val="16"/>
        </w:rPr>
        <w:t xml:space="preserve"> не может жаловаться на недостаток или отсутствие техники. Техники всех видов у нас много, и даже наоборот, авиации и мехвойск больше, чем других родов войск. Поэтому я прежде всего начинаю с авиации. В текущем году в авиации мы имели ряд значительных улучшений по сравнению с прошлым годом. Наиболее характерно это выражается в аварийности. В прошлом году по аварийности Забайкальский округ занимал первое место в Рабоче-крестьянской Красной армии. В частности, 251-я бригада в прошлом году имела два десятка аварий, в этом году она не имеет ни одной аварии. Весь округ в прошлом году имел 36 аварий, в этом году 9 аварий. Дальше, если в прошлом году мы имели 6 катастроф, то в этом году мы не имеем ни одной катастрофы. Между тем боевая подготовка проходила в текущем году более интенсивно, чем в прошлом году. 16 авиачастей шли вовсе без аварий. 29-я бригада весь год также шла без аварий, и только под самый конец получилась одна поломка, которую я вынужден был признать аварией, причем т. Алкснис с нами согласился, а в целом она весь год также шла без аварий. Слепые полеты у нас тоже за этот год не дали ни одной аварии, несмотря на то что мы налетали в слепых полетах около 8 тыс. часов. Мы имеем 7,5 тыс. ночных полетов. На 45 тыс. часов общего количества налета мы имеем примерно 5 тыс. на одну аварию. Я считаю, что и это не годится, мы должны добиваться лучшего положения, но улучшение в авиации налицо. Я считаю, что у нас не одна бригада должна быть безаварийной, а все бригады должны стать безаварийными.</w:t>
      </w:r>
    </w:p>
    <w:p w14:paraId="477CC586" w14:textId="77777777" w:rsidR="00970104" w:rsidRPr="00E14102" w:rsidRDefault="00970104" w:rsidP="00E14102">
      <w:pPr>
        <w:pStyle w:val="rtejustify"/>
        <w:spacing w:before="0" w:after="0"/>
        <w:rPr>
          <w:color w:val="000000" w:themeColor="text1"/>
          <w:sz w:val="16"/>
          <w:szCs w:val="16"/>
        </w:rPr>
      </w:pPr>
      <w:r w:rsidRPr="00E14102">
        <w:rPr>
          <w:rStyle w:val="a3"/>
          <w:b w:val="0"/>
          <w:color w:val="000000" w:themeColor="text1"/>
          <w:sz w:val="16"/>
          <w:szCs w:val="16"/>
        </w:rPr>
        <w:t xml:space="preserve">Высотная подготовка. </w:t>
      </w:r>
      <w:r w:rsidRPr="00E14102">
        <w:rPr>
          <w:color w:val="000000" w:themeColor="text1"/>
          <w:sz w:val="16"/>
          <w:szCs w:val="16"/>
        </w:rPr>
        <w:t>Тов. нарком, в этом отношении мы также имеем удовлетворительное положение с выполнением вашей директивы. 29-я авиационная бригада подняла свой потолок до 3900 м при большой дробности индивидуального потолка каждого отдельного самолета. 202-я авиабригада добилась при высотных полетах в 5900 м и сделала бригадный полет на 5700 м. Примерно такие же данные мы имеем по другим бригадам. Таким образом, в целом ваши указания, т. нарком, по высотным полетам по Забайкальскому округу выполнены. Мы имеем также значительное улучшение в боевой готовности авиации. Если еще в июне месяце 1-я авиабригада могла поднять в воздух только 25% наличных кораблей, то сейчас мы добились такого положения, что по боевой тревоге нам удалось поднять целиком 100% материальной части бригады с выполнением весьма сложных боевых задач. И надо сказать, что на этом уровне 1-я бригада продолжает оставаться до настоящего времени.</w:t>
      </w:r>
    </w:p>
    <w:p w14:paraId="18B2780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Особо важно отметить, что нам удалось вынести подготовку авиачастей с собственного двора в поле. В прошлом году авиация работала только на собственных аэродромах. В течение лета мы достигли решительного перелома, и нам удалось добиться такого положения, что сейчас мы всю подготовку выносим на передовые аэродромы. Это обеспечило отличное изучение приграничного театра, улучшило организацию оперативно-тактической подготовки и создало ряд положительных навыков в эксплуатации и службе авиации в полевых условиях. Зимой мы также намечаем в течение всей зимы авиационные части — эскадрилью за эскадрильей последовательно выводить на передовые аэродромы и заставлять работать на передовых аэродромах в зимних условиях.</w:t>
      </w:r>
    </w:p>
    <w:p w14:paraId="11B36FE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Какие недостатки мы имеем в подготовке авиации? Основной и решающий недостаток — это воздушный бой. Мы крепко занимаемся воздушным боем, но нужно прямо сказать, что вкуса к этому, любви к этому в авиачастях, кроме истребительной авиации, нет. Ваш приказ № 0101</w:t>
      </w:r>
      <w:hyperlink r:id="rId257" w:anchor="_ftn1" w:history="1">
        <w:r w:rsidRPr="00E14102">
          <w:rPr>
            <w:rStyle w:val="a4"/>
            <w:color w:val="000000" w:themeColor="text1"/>
            <w:sz w:val="16"/>
            <w:szCs w:val="16"/>
          </w:rPr>
          <w:t>[1]</w:t>
        </w:r>
      </w:hyperlink>
      <w:r w:rsidRPr="00E14102">
        <w:rPr>
          <w:color w:val="000000" w:themeColor="text1"/>
          <w:sz w:val="16"/>
          <w:szCs w:val="16"/>
        </w:rPr>
        <w:t xml:space="preserve"> прямо говорит, что воздушным боем нужно </w:t>
      </w:r>
      <w:r w:rsidRPr="00E14102">
        <w:rPr>
          <w:color w:val="000000" w:themeColor="text1"/>
          <w:sz w:val="16"/>
          <w:szCs w:val="16"/>
        </w:rPr>
        <w:lastRenderedPageBreak/>
        <w:t>заниматься всем видам авиации. Между тем основной крен имеется только у истребительной авиации, что вполне естественно, но тяжелая бомбардировочная и штурмовая авиация с трудом идет на проработку вопросов воздушного боя не только одиночных самолетов, но частей и соединений, а в воздухе все роды авиации должны научиться вести победоносный воздушный бой.</w:t>
      </w:r>
    </w:p>
    <w:p w14:paraId="2BD9803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Нужно кстати сказать, что курсы авиационной подготовки также не в достаточной степени отражают требования к воздушному бою, чтобы применение элементов воздушного боя пронизывало выполнение каждой полетной задачи. Мне думается, что в последующих курсах нужно так скомплектовать все элементы боевой, тактической и летной подготовки, чтобы во всех заданиях штурмовой, тяжелой и легкой бомбардировочной авиации были бы элементы воздушного боя. Мы крепко жмем на этот вопрос, но нужно сказать, что в нем много неясностей, путаницы и разброда. Нет ни методики, ни обобщенного опыта. Мне думается, что необходимо издать специальную инструкцию по воздушному бою для тяжелой, легкой бомбардировочной и штурмовой авиации. Это значительно облегчит работу наших низовых авиационных частей, приведет к единству тактических приемов и взглядов в тактике воздушного боя.</w:t>
      </w:r>
    </w:p>
    <w:p w14:paraId="52194CE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оперативно-тактической подготовке сделан довольно серьезный сдвиг. Оперативно-тактической подготовкой наша авиация занималась значительно больше, чем в прошлом году. Я лично должен очень положительно отметить организацию воздушного корпуса. Наличие воздушного корпуса, инстанции, объединяющей тяжелые бомбардировочные бригады, резко сказалось в деле улучшения оперативно-тактической подготовки тяжелой авиации. Но надо отметить, что оперативно-тактической подготовкой занимаемся мы в окружном масштабе, а командиры соединений неохотно идут на оперативно-тактическую подготовку и, мне думается, не всегда методически в достаточной степени подготовлены к руководству этой работой. Чтобы создать перелом в вопросах методики оперативнотактической подготовки, мне думается, было бы своевременно, хотя бы на один месяц, собрать наших командиров авиационных соединений при Воздушной академии в Москве и дать им крепкую методическую и организационную зарядку в деле ведения оперативнотактической подготовки.</w:t>
      </w:r>
    </w:p>
    <w:p w14:paraId="2FA8CC6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Вы помните, когда потребовалось создать решающий перелом в высшем командном составе. Вы собирали на месяц на КУВНАС командиров корпусов и дивизий. И это дало свои положительные результаты. Зимой было бы возможно в течение января — февраля месяцев без большого ущерба для боевой подготовки оторвать комбригов. Летом этого делать нельзя, потому что летом мы имеем напряженный период подготовки частей и соединений.</w:t>
      </w:r>
    </w:p>
    <w:p w14:paraId="79B58C7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вопросе мобильности — боевой мобильности авиации мы, т. народный комиссар, научились очень быстро поднимать в воздух не только легкие соединения целиком, но даже поднимать тяжелые бригады в течение 8—10—12 мин., в зависимости от подготовленности отдельных соединений. Но есть одна большая беда. Поднимать в воздух мы умеем быстро, но организовать посадку целого соединения не научились, и бригады, которые поднимаются в воздух в течение 10 мин., садятся в течение часа или полутора часов, вследствие плохой, неумелой организации посадочной работы. К чему это приводит? Это приводит к тому, что мы, естественно, сокращаем рычаг дальности авиации, потому что командир соединения, посылая часть для выполнения задания, вынужден сокращать дальность полета из расчета, что ему надо учитывать потребность в длительных сроках на посадку. Следовательно, недоработка и недостатки в подготовке понижают дальность боевого полета. Я считаю, что одним из решающих элементов в дальнейшей подготовке нашей авиации, в особенности соединений, является улучшение в деле организации посадки целых соединений или групп соединений. Это одно из больных мест должно быть ликвидировано в кратчайший срок.</w:t>
      </w:r>
    </w:p>
    <w:p w14:paraId="44DB7CC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Мехвойска. В течение всего текущего года, особенно в течение летнего периода, вся подготовка мехвойск была направлена на освоение всех проблем борьбы в горно-лесистой местности. В этом отношении опыт прошлого года был в значительной степени умножен и расширен. В конце текущего года мы добились значительных успехов в деле оперативного управления механизированными соединениями — корпус, бригада. Корпус стал ма-невреннее, подвижнее; хорошо управляется, хорошо маневрирует и умеет быстро менять направление удара то в одном, то в другом направлении. Но, т. народный комиссар, с аварийностью в мехвойсках у нас все еще неблагополучно. После вашего приказа мы крепко взялись за эту работу и проводили напряженную борьбу с этим безобразием. Мы добились кое-каких успехов, но их нужно закрепить и добиваться полной безаварийности.</w:t>
      </w:r>
    </w:p>
    <w:p w14:paraId="334F221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Разрешите, т. народный комиссар, привести некоторые цифры аварийности:</w:t>
      </w:r>
    </w:p>
    <w:p w14:paraId="7DDB4B2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 первый квартал мы имеем 100 случаев аварий;</w:t>
      </w:r>
    </w:p>
    <w:p w14:paraId="60DF1AF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 второй квартал мы имеем 66 случаев аварий (после вашего приказа);</w:t>
      </w:r>
    </w:p>
    <w:p w14:paraId="6A1A630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 третий квартал, который был наиболее тяжелым в отношении использования материальной части, потому что мы имели значительно больше учений — 19 случаев. Но я должен доложить, т. народный комиссар, как об этом говорил т. Халепский, что это цифры аварийности не характеризуют только механизированные соединения АБТ войск, но в этом крепко повинны другие рода войск. Задача командующих войсками заключается в том, чтобы снизить аварийность не только в мехсоединениях АБТ войск, где она обязательна и по праву должна быть снижена до нуля, а главным образом по другим родам войск, где колотят очень много машин.</w:t>
      </w:r>
    </w:p>
    <w:p w14:paraId="1156C41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Возьмем авиацию. Если там уделяется много внимания сбережению самолета, то любви к автомашине в авиачастях нет, и авиация дает большое количество автоаварий. Между тем без 100% постоянной исправности автотранспорта в автосоединении не может быть и речи о подлинной боеготовности. В связи с правильным распределением функций и ответственности поднялась активность низовых звеньев, командир отделения стал работать лучше, инициативнее, комвзвод тоже стал работать лучше и инициативнее. Но мы имеем еще много рецидивов недоверия, попыток вмешаться, подменять, но, мне кажется, что основной фундамент мы заложили, и будущий год даст уже окончательное закрепление элементов ответственности за подготовку каждой инстанции, поднимет методику и результаты.</w:t>
      </w:r>
    </w:p>
    <w:p w14:paraId="48AD5C1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После издания новой Инструкции по глубокому бою, положившей основание к гибким, подвижным, а не закостенелым формам боя, я должен доложить, что резко изменилась и методология управления. Командиры и штабы, естественно, вынуждены были приспособиться к гибким формам и методам развития боя, его подвижности.</w:t>
      </w:r>
    </w:p>
    <w:p w14:paraId="3DB24E2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Раньше штабы были скованы, отяжелены канцелярской техникой и предпочитали мало двигаться, а следовательно, отставали от боевых порядков, следовательно, просто теряли управление. Им казалось, что они управляют, а на самом деле бой развивался стихийно, хаотически, независимо от воли штабов. Тов. народный комиссар, я должен сказать, что в вопросах управления мы имеем одно весьма болезненное явление. Это касается не только нашего Забайкальского округа, но, очевидно, и других округов. У командиров всех степеней создалась привычка крепко отставать от боевого порядка, располагаться на командирском пункте, вне участия в самом бою. Когда командир полка не находится в боевом порядке, он не видит боя, батальоны дерутся сами по себе, получается полный разброд. Когда командир находится в глубине, не в расположении боевого порядка, подальше от огня, то он опаздывает с управлением, повторяю, он не видит поля сражения, и благодаря этому управления боем, конечно, не будет. Наша профессия организаторов боя обязывает нас быть в огне.</w:t>
      </w:r>
    </w:p>
    <w:p w14:paraId="7C6DBED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Вторая болезнь — двухштабье. Где-то в глубине располагается так называемый основной штаб, а командир полка, лишенный органа управления, пытается управлять боем один, со случайными штабными командирами, но ничего из этого, конечно, не выходит. Там, где дерутся батальоны, роты — там и место командира полка, но вместе именно со своим штабом. Каждую минуту развития боя личное восприятие событий, естественно, обяжет командира и его штаб управлять боем живо, инициативно, соответственно действительному положению вешей и поведению противника.</w:t>
      </w:r>
    </w:p>
    <w:p w14:paraId="193ECAD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хочу остановиться на вопросе разведки — это отсталый участок нашей работы. Александр Ильич</w:t>
      </w:r>
      <w:hyperlink r:id="rId258" w:anchor="_ftn2" w:history="1">
        <w:r w:rsidRPr="00E14102">
          <w:rPr>
            <w:rStyle w:val="a4"/>
            <w:color w:val="000000" w:themeColor="text1"/>
            <w:sz w:val="16"/>
            <w:szCs w:val="16"/>
          </w:rPr>
          <w:t>[2]</w:t>
        </w:r>
      </w:hyperlink>
      <w:r w:rsidRPr="00E14102">
        <w:rPr>
          <w:color w:val="000000" w:themeColor="text1"/>
          <w:sz w:val="16"/>
          <w:szCs w:val="16"/>
        </w:rPr>
        <w:t xml:space="preserve"> прав, когда говорит, что разведка — это буквально какой-то жупел Рабоче-крестьянской Красной армии.</w:t>
      </w:r>
    </w:p>
    <w:p w14:paraId="18F895D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Действительно, в течение последних 6 лет нет ни одного приказа наркома, где бы все время не ставился вопрос о разведке, где бы все время не говорилось о том, что разведка — наш больной вопрос. Тов. народный комиссар, очевидно, и мы не доделали многое в этом деле, иначе вопрос бы не становился, иначе вопросы разведки сошли бы со страниц ваших приказов, но, с другой стороны, т. народный комиссар, мне думается, что нужно внести какие-то организационные начала в вопросы разведывательной службы, которые бы помогли нам выпутаться из тупика. Каждый боец, конечно, должен быть разведчиком, уметь разведывать, но, по-видимому, надо создать специальные подразделения разведчиков в полках. Ведь известно, что в период империалистической войны разведчики были самые лучшие люди, разведчик считался лучшим героем в части, разведчик шел на разведку с гордостью, с сознанием того, что он разведчик. Повторяю, каждый боец в бою будет разведывать, но, по-видимому, важнейшие задачи разведки, ее наиболее сложные виды — разведка оборонительной полосы противника, разведка флангов и тыла, — должны выполнять специальные разведывательные органы.</w:t>
      </w:r>
    </w:p>
    <w:p w14:paraId="1398222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организации новой дивизии, т. народный комиссар, вы вводите разведывательный батальон, но, по-моему, важнее было бы ввести разведывательный орган в полку. Тогда и штабы, и командиры частей вынуждены были бы крепче заняться и подготовкой, и отбором разведчиков. Во-вторых, т. народный комиссар, я считаю своим долгом просить вас об организации в Москве разведывательных курсов. Раньше в Москве созывали разведчиков, были месячные, двухмесячные курсы. Вполне целесообразно кое-кого и теперь переучить, подготовить как хороших организаторов разведывательной работы, методистов по постановке службы и организации разведки в войсках. Мы обязаны в округах крепко, по-стахановски, заняться этим делом, но, повторяю, целесообразно возродить курсы, которые были при Разведывательном управлении РККА.</w:t>
      </w:r>
    </w:p>
    <w:p w14:paraId="4E62367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Еще об одном крупном недочете. Вы требуете высокой строевой дисциплины, но в полевой работе у нас еще много неряшливости. Когда делаешь строевой смотр, как будто ладно, но как только вышли в поле, все пропало — штабы неряшливы, тылы неряшливы, дисциплина времени никудышная.</w:t>
      </w:r>
    </w:p>
    <w:p w14:paraId="28D02AF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 об опытных учениях. Александр Ильич кратко докладывал об опытных учениях. Я должен сказать, что когда ставится задача того или другого одного опытного учения, то часто получаются совершенно случайные выводы. Нужно взять целый комплекс — сначала отработать по элементам отдельные детали, провести ряд учений, а потом уже на завершающем, хорошо, тщательно подготовленном учении, добиваться цельных, достаточно обоснованных выводов, т.е. ставить задачи не на опытные «учения», а на «опытную тему» на определенный длительный период.</w:t>
      </w:r>
    </w:p>
    <w:p w14:paraId="550D980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Еще я хотел доложить вам, т. народный комиссар, что, имея у себя горно-степной театр, мы не обеспечены элементами горного оснащения для наших дивизий. Я считаю, что этим вопросом мы должны крепко заняться.</w:t>
      </w:r>
    </w:p>
    <w:p w14:paraId="058F25C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И, наконец, последний вопрос. На западном театре мы имеем хорошие и свои карты, и будем отбирать хорошие же карты и у противника. У нас Маньчжурский театр имеет старую, 40-летнюю карту, очень неудовлетворительную. С началом войны мы можем воспринять крупнейший недочет только аэрофотосъемкой, и поэтому я </w:t>
      </w:r>
      <w:r w:rsidRPr="00E14102">
        <w:rPr>
          <w:color w:val="000000" w:themeColor="text1"/>
          <w:sz w:val="16"/>
          <w:szCs w:val="16"/>
        </w:rPr>
        <w:lastRenderedPageBreak/>
        <w:t>очень прошу на территории Забайкальского округа иметь хороший аэрофотосъемочный отряд, который с началом военных действий быстро сможет дать нам хорошие топокарты. У меня в округе очень много техники, и без хороших точных карт нам будет очень трудно победоносно использовать эту технику наиболее производительно.</w:t>
      </w:r>
    </w:p>
    <w:p w14:paraId="5FA840B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39-40.</w:t>
      </w:r>
    </w:p>
    <w:p w14:paraId="54C6AF8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Боевая подготовка нашего округа к войне в условиях западного театра военных действий за этот год пришла со значительными достижениями. Я не буду касаться мобилизационной готовности войск округа и связанных с этим важнейших вопросов. Из этой группы вопросов я коснусь только вопроса о второочередных частях. Во-вторых, я не буду касаться оперативной подготовки, включая подготовку театра военных действий, армейских управлений, изучения противника, коснусь только опыта оперативных полевых поездок. Не буду также касаться недочетов нашего технического оснащения армии.</w:t>
      </w:r>
    </w:p>
    <w:p w14:paraId="65479C3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Проблема боевой подготовки армии для войны на западе есть прежде всего решение германской проблемы, чтобы по решающим факторам превосходить боевую подготовку всех элементов немецкой, вновь возродившейся армии.</w:t>
      </w:r>
    </w:p>
    <w:p w14:paraId="0741A8B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Докладываю вам, т. народный комиссар, общие важнейшие итоги по подготовке войск и некоторые предложения на 1936 г.</w:t>
      </w:r>
    </w:p>
    <w:p w14:paraId="7CF2B5D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Из итогов боевой подготовки нам бы хотелось отметить прежде всего рост танковых частей на этот год. Мы имели все условия, чтобы не только поднять боеспособность старых частей, но и формировать новые. Мы имели прекрасное техническое оснащение, устойчивую, хорошо продуманную организацию, мы имели достаточно ресурсов на боевую подготовку и т.д.</w:t>
      </w:r>
    </w:p>
    <w:p w14:paraId="0637FEB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Во-первых, выросло вождение танков ночью и днем, причем опыт лучших танкистов показывает, что мы можем ставить перед собой задачу уже непрерывного применения танковых частей в течение 7 суток вместо прежней нашей концентрации, что танк может непрерывно работать 2-3 суток, а затем остановка 1-2 суток на приведение в порядок (это достигают только самые лучшие части). Я докладываю, т. начальник Генерального штаба, по опыту лучших наших танкистов. Вся наша страна и в промышленности, и во всех остальных областях равняется на лучших. Эти лучшие танкисты ничем особым не отличаются от остальных, они только сумели овладеть танком, и поэтому мы ставим перед собой задачу подтянуть остальных к этим лучшим. Я не вижу причин, которые бы не давали нам возможности добиться этих результатов. Мы их обязательно добьемся.</w:t>
      </w:r>
    </w:p>
    <w:p w14:paraId="2D343A2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Во-вторых, лучше стали работать штабы в смысле управления; весь командный состав хорошо овладел радио. Безусловно, наши танковые части хорошо и быстро совершают перегруппировку.</w:t>
      </w:r>
    </w:p>
    <w:p w14:paraId="47A7CB6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В-третьих, боевые стрельбы мы проводили поротно и батальонно. Много поработали над боем против танков. Мы ставили перед собой задачу, чтобы поле сражения, где появятся немецкие и польские танковые части, в возможно кратчайший срок очистить, пользуясь нашими огромными преимуществами. (Постановка задач наподобие авиации — обеспечить господство в воздухе.) Новые танковые части создаются неплохо.</w:t>
      </w:r>
    </w:p>
    <w:p w14:paraId="0B33E59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В-четвертых, нас увлекают, т. народный комиссар, две перспективы по танковым частям. Уже сейчас в порядке экспериментирования удается ночью хорошо стрелять с применением фар, которые быстро зажигаются и быстро тушатся, на танках имеется достаточный источник энергии. Мы достигли очень хороших результатов стрельбы на 350—400 м, что открывает перед нами исключительные перспективы. Больших результатов мы добились в отношении работы танков на зараженной местности. Как вы знаете, работать на зараженной местности в костюме и противогазе очень трудно. Один химик проделал такой опыт. Он ничего на себя не надевал, а просто без маски и без фишмановской одежды, пользуясь условиями, которые дает танк, преодолевал </w:t>
      </w:r>
      <w:r w:rsidRPr="00E14102">
        <w:rPr>
          <w:color w:val="000000" w:themeColor="text1"/>
          <w:sz w:val="16"/>
          <w:szCs w:val="16"/>
          <w:vertAlign w:val="superscript"/>
        </w:rPr>
        <w:t>3</w:t>
      </w:r>
      <w:r w:rsidRPr="00E14102">
        <w:rPr>
          <w:color w:val="000000" w:themeColor="text1"/>
          <w:sz w:val="16"/>
          <w:szCs w:val="16"/>
        </w:rPr>
        <w:t>/</w:t>
      </w:r>
      <w:r w:rsidRPr="00E14102">
        <w:rPr>
          <w:color w:val="000000" w:themeColor="text1"/>
          <w:sz w:val="16"/>
          <w:szCs w:val="16"/>
          <w:vertAlign w:val="subscript"/>
        </w:rPr>
        <w:t>4</w:t>
      </w:r>
      <w:r w:rsidRPr="00E14102">
        <w:rPr>
          <w:color w:val="000000" w:themeColor="text1"/>
          <w:sz w:val="16"/>
          <w:szCs w:val="16"/>
        </w:rPr>
        <w:t xml:space="preserve"> км зараженной местности и оставался совершенно целехонек, было только небольшое поражение кожи и глаз. Это значит, что наши танковые части не должны бояться жупела химической опасности. Даже если мы не будем иметь противогаз, танки могут преодолевать зараженные зоны, может быть, лучше и быстрее всех других родов войск. Какой остается у нас неудовлетворительно решенный вопрос подготовки танковых частей? Нам кажется, трехмашинные взводы малы (</w:t>
      </w:r>
      <w:r w:rsidRPr="00E14102">
        <w:rPr>
          <w:rStyle w:val="a6"/>
          <w:i w:val="0"/>
          <w:color w:val="000000" w:themeColor="text1"/>
          <w:sz w:val="16"/>
          <w:szCs w:val="16"/>
        </w:rPr>
        <w:t>голоса</w:t>
      </w:r>
      <w:r w:rsidRPr="00E14102">
        <w:rPr>
          <w:color w:val="000000" w:themeColor="text1"/>
          <w:sz w:val="16"/>
          <w:szCs w:val="16"/>
        </w:rPr>
        <w:t>. Трехмашинные.)</w:t>
      </w:r>
      <w:r w:rsidRPr="00E14102">
        <w:rPr>
          <w:color w:val="000000" w:themeColor="text1"/>
          <w:sz w:val="16"/>
          <w:szCs w:val="16"/>
          <w:vertAlign w:val="superscript"/>
        </w:rPr>
        <w:t>39</w:t>
      </w:r>
      <w:r w:rsidRPr="00E14102">
        <w:rPr>
          <w:color w:val="000000" w:themeColor="text1"/>
          <w:sz w:val="16"/>
          <w:szCs w:val="16"/>
        </w:rPr>
        <w:t xml:space="preserve"> Нужны пятимашинные взводы. Наши изобретения по преодолению окопов мы недоработали заводским порядком, варимся на примитивных предварительных приспособлениях.</w:t>
      </w:r>
    </w:p>
    <w:p w14:paraId="60FBDF9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Это очень хорошо.</w:t>
      </w:r>
    </w:p>
    <w:p w14:paraId="39BEA3B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Все-таки надо пойти дальше, Климент Ефремович.</w:t>
      </w:r>
    </w:p>
    <w:p w14:paraId="619B6BD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Кроме того, плохо решен вопрос количества пехоты, несоответствие ее числу танков в мехбригаде сказывается особенно при действиях в тылу противника и ночью. Нужно резко увеличить количество пехоты.</w:t>
      </w:r>
    </w:p>
    <w:p w14:paraId="2285C29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Второй вопрос, по которому я докладываю и считаю, что очень важная и большая работа, это по авиации. Здесь имеются большие достижения в подготовке кадров. Техническое оснащение самолетов отстает, и боеспособность эскадрилий и бригад не идет в сравнение с боеспособностью мехбригады, но в отношении подготовки кадров проделана грандиозная работа. Мы имеем за год свыше </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 xml:space="preserve">2 </w:t>
      </w:r>
      <w:r w:rsidRPr="00E14102">
        <w:rPr>
          <w:color w:val="000000" w:themeColor="text1"/>
          <w:sz w:val="16"/>
          <w:szCs w:val="16"/>
        </w:rPr>
        <w:t>тыс. введенных в строй молодых летчиков. 63% летчиков летают ночью, причем садятся ночью при освещении летучей мышью. Слепым полетам обучается 70%. Аварии еще имеют позорное место, но налет на одну аварию увеличился вдвое: 4000 часов на 1 аварию. Большое количество подразделений не имеет аварий 2—3 года. Есть бригады, боеспособность которых очень высока. Штурмовая бригада 252-я, ЛБ-201, молодая бригада 214-я вполне подготовлены.</w:t>
      </w:r>
    </w:p>
    <w:p w14:paraId="00871BB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Есть один вопрос кроме материальной части, который ставит в невозможное положение части, — это разный состав летчиков в эскадрильи, в бригадах, что при применении в военное время чрезвычайно скажется.</w:t>
      </w:r>
    </w:p>
    <w:p w14:paraId="5A3FBEF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Нарком.</w:t>
      </w:r>
      <w:r w:rsidRPr="00E14102">
        <w:rPr>
          <w:color w:val="000000" w:themeColor="text1"/>
          <w:sz w:val="16"/>
          <w:szCs w:val="16"/>
        </w:rPr>
        <w:t xml:space="preserve"> По чему?</w:t>
      </w:r>
    </w:p>
    <w:p w14:paraId="5A8D97A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По подготовке — одни летают уже ночью, другие только вводятся в строй. Часть вся не может одинаково действовать в массе. Обязательно нужно создать однородные, вполне боеспособные, пограничные части авиации. Что сделано в последний год? Берутся на учебу в центр командиры отрядов, командиры звеньев, сотни молодых вновь перемешивают те организмы, которые осенью были созданы, это ставит нас в труднейшее положение. Материальная часть, которая поступает, говорит о том, что у нас подход к ее приему прямо, я бы сказал, безответственный. Я буду особенно просить вас заслушать руководителей испытаний. Руководители испытаний самолетов 3-СС и И-16</w:t>
      </w:r>
      <w:r w:rsidRPr="00E14102">
        <w:rPr>
          <w:color w:val="000000" w:themeColor="text1"/>
          <w:sz w:val="16"/>
          <w:szCs w:val="16"/>
          <w:vertAlign w:val="superscript"/>
        </w:rPr>
        <w:t>40</w:t>
      </w:r>
      <w:r w:rsidRPr="00E14102">
        <w:rPr>
          <w:color w:val="000000" w:themeColor="text1"/>
          <w:sz w:val="16"/>
          <w:szCs w:val="16"/>
        </w:rPr>
        <w:t xml:space="preserve"> вскрыли грандиозное количество недочетов. Зачем же его называть 3-СС? Я большой доклад послал вам по этому поводу. Машина И-16 — хорошая машина, но и в ней имеется целый ряд дефектов. В полете летчик начинает от газа обалдевать, слаба меткость стрельбы и т.д. Нужно обратить ваше внимание на вооруженцев, Климент Ефремович. Например, Вахмистров</w:t>
      </w:r>
      <w:r w:rsidRPr="00E14102">
        <w:rPr>
          <w:color w:val="000000" w:themeColor="text1"/>
          <w:sz w:val="16"/>
          <w:szCs w:val="16"/>
          <w:vertAlign w:val="superscript"/>
        </w:rPr>
        <w:t>41</w:t>
      </w:r>
      <w:r w:rsidRPr="00E14102">
        <w:rPr>
          <w:color w:val="000000" w:themeColor="text1"/>
          <w:sz w:val="16"/>
          <w:szCs w:val="16"/>
        </w:rPr>
        <w:t xml:space="preserve"> и Надашкевич</w:t>
      </w:r>
      <w:r w:rsidRPr="00E14102">
        <w:rPr>
          <w:color w:val="000000" w:themeColor="text1"/>
          <w:sz w:val="16"/>
          <w:szCs w:val="16"/>
          <w:vertAlign w:val="superscript"/>
        </w:rPr>
        <w:t>42</w:t>
      </w:r>
      <w:r w:rsidRPr="00E14102">
        <w:rPr>
          <w:color w:val="000000" w:themeColor="text1"/>
          <w:sz w:val="16"/>
          <w:szCs w:val="16"/>
        </w:rPr>
        <w:t xml:space="preserve"> нас буквально гробят. Нужно расширить количество людей, которые занимаются этим делом, чтобы не иметь таких больших неприятностей по авиации.</w:t>
      </w:r>
    </w:p>
    <w:p w14:paraId="0500583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проводили много учений по авиации для обучения самостоятельным действиям. Были проведены 1—2 октября широкие авиаманевры. На этих учениях, где главная задача была — уничтожить, нейтрализовать авиацию противника — было поднято 5</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xml:space="preserve"> авиабригады, причем эскадрилья обозначалась четырьмя боевыми машинами. На этих маневрах мы приобрели огромный опыт по проведению сложной и деликатной операции. Второй год мы в Бобруйске по заданию наркома проводим большие опыты по воздушному бою. Результаты заслуживают широкого внедрения во всю авиацию РККА.</w:t>
      </w:r>
    </w:p>
    <w:p w14:paraId="7943CD7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Остальные действия авиации:</w:t>
      </w:r>
    </w:p>
    <w:p w14:paraId="392EA95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а) против земных войск (АГ), б) блокада ж/д, в) бомбометание ж/д узлов отработано удовлетворительно. Труден и неясен вопрос нападения на хорошо защищенные ПВО столицы, промцентры и базы.</w:t>
      </w:r>
    </w:p>
    <w:p w14:paraId="4E228D2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Переходя к другим родам войск, необходимо доложить, что у нас, безусловно, удовлетворительна подготовка кадровых частей. Кадровые части представляют собой довольно внушительную силу, более или менее готовую. Семен Михайлович</w:t>
      </w:r>
      <w:hyperlink r:id="rId259" w:anchor="_ftn3" w:history="1">
        <w:r w:rsidRPr="00E14102">
          <w:rPr>
            <w:rStyle w:val="a4"/>
            <w:color w:val="000000" w:themeColor="text1"/>
            <w:sz w:val="16"/>
            <w:szCs w:val="16"/>
          </w:rPr>
          <w:t>[3]</w:t>
        </w:r>
      </w:hyperlink>
      <w:r w:rsidRPr="00E14102">
        <w:rPr>
          <w:color w:val="000000" w:themeColor="text1"/>
          <w:sz w:val="16"/>
          <w:szCs w:val="16"/>
        </w:rPr>
        <w:t>, прошу заранее принять к сведению, что по лошади мы примем все меры к тому, чтобы вытянуть лошадь и ликвидировать наши недочеты. Поэтому громко не ругайте нас за это дело. Подготовка конницы безусловно хорошая.</w:t>
      </w:r>
    </w:p>
    <w:p w14:paraId="1E8CD26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Удалось в этом году вытянуть часть стрелковых территориальных дивизий, которые отставали в прошлом году: 37-я, 43-я, 33-я и 29-я дивизии. Мы имеем слабую подготовку в двух дивизиях, в частности в 64-й, но и там хорошие 191-й и 192-й полки. При переходе на кадрирование пехоты мы в два года подымем. Особенно хочу я подчеркнуть, что мы проводили в этом году сборы второочередных полков. Выявилась довольно неприятная вещь. Что эти сборы показали? Прежде всего, что у нас плохо с комсоставом запаса. Значительная масса их — примерно 25% — люди высокограмотные, культурные, окончившие вузы, но в военном отношении никуда не годные. У нас большой процент комсостава запаса — 40%, давно уволенный из армии. Наша переподготовка мало дает результатов. Мы не можем брать начсостав из НКТяжпрома и из других важных отраслей промышленности, а получаем этот комсостав запаса из коопераций, банков и т.д., т.е. таких людей, которые и в своей обычной работе не являются большими ударниками. И у нас они дают очень слабые показатели. Это можно сказать решительно обо всех командирах запаса. У нас был только один — метростроевец, который был командиром 7-й роты 190-го полка. Он проявил большую инициативу, проделал со своей ротой замечательные вещи.</w:t>
      </w:r>
    </w:p>
    <w:p w14:paraId="1B7081B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Гораздо хуже обстоит дело со второй группой людей — специали-стами-бойцами, которые у нас стоят при орудиях, на связи, химии и т.д. Они уволены из армии 3—4 г. тому назад, и, конечно, последний технический рост армии им незнаком. Я думаю, что перед нами стоит исключительно важная задача — в течение ближайшего времени провести сборы комсостава резерва, специалистов техники, и это сделает боеспособными второочередные части — это очень важно для войны.</w:t>
      </w:r>
    </w:p>
    <w:p w14:paraId="462D7AE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Перехожу к подготовке артиллерии. Раньше, вы помните, у нас артиллерия долго пристреливалась, обязательно каждая батарея. Это раскрывало артиллерию ударной группировки и давало возможность обрушиться на нее контрбатареями и авиацией. Сейчас мы в этом отношении имеем значительные успехи — пристрелка ограничена несколькими орудиями. Это дает возможность скрыть массу артиллерии и оперативную внезапность. У нас был проделан такой опыт: мы перевели артиллерию целой дивизии вечером в другое место, на чужой участок и утром без пристрелки, когда артиллерия открыла огонь, рискнули пойти с танками в атаку, И должен вам сказать, что вышло очень хорошо. Это дело очень большое, исключительно важное, и на этом мы должны заострить наше внимание, чтобы все артиллеристы овладели новым методом пристрелки. Основные вопросы артиллерии решались этим летом в правительстве. О них говорить не буду. Хотел бы отметить по артиллерии три вопроса: связь с пехотой, дальний огонь, мехтяга.</w:t>
      </w:r>
    </w:p>
    <w:p w14:paraId="59D11B4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1) Связь с пехотой зиждется главным образом на телефоне — это ненадежно. Нужны дуплексные радиостанции, чтобы ОСП имели связь с командиром батарей, а последнего связать со своей огневой позицией батареи. Радиостанции менее нужны для высших артиллерийских командиров, где связь реже рвется, но они нужны </w:t>
      </w:r>
      <w:r w:rsidRPr="00E14102">
        <w:rPr>
          <w:color w:val="000000" w:themeColor="text1"/>
          <w:sz w:val="16"/>
          <w:szCs w:val="16"/>
        </w:rPr>
        <w:lastRenderedPageBreak/>
        <w:t>внизу. Это нужно застраховать во что бы то ни стало, причем дуплексными радиостанциями. Мы не отработали хорошо дальний огонь нашей артиллерии. Не используем всю мощь современной артиллерии. Слаба наша авиация, так называемая артиллерийская. В-третьих, нужны полковые орудия и ПТО поставить на мехтягу,</w:t>
      </w:r>
    </w:p>
    <w:p w14:paraId="46105C7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очень тороплюсь и остановлюсь еще на двух вопросах. Как мы работали этот год? Вы, вероятно, помните, как нарком формулировал оценку Белорусскому округу в прошлом году. Мы записали: «Отдельные войска подготовлены хорошо, а в целом — действуют неважно». Это очень крепко нас «заело», и мы решили в этом году от такой оценки перейти к другой оценке и особенно много поработали над штабами, управлением полка, дивизии, корпуса, над всеми видами взаимодействия. Конечно, были мобилизованы все силы, была проделана работа, о которой я сейчас вам докладывал, но которую каждый год в таком напряжении трудно провести. С.К. Тимошенко говорил: «Радости жизни военному человеку будут чужды, если так работать».</w:t>
      </w:r>
    </w:p>
    <w:p w14:paraId="7CB7393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мы сделали? Мы провели сборы командиров корпусов, дивизий три раза по 8—10 дней, четыре полевых поездки. Перед каждой полевой поездкой армейский аппарат учился по 3 недели. Дальше, каждый командир 3 дня в месяц занимался с командирами полков и командирами дивизий. Кроме того, каждый командир каждый месяц на 2-3 дня при какой угодно погоде был обязан уходить со штабом дивизии, со штабом корпуса в поле воевать. Наконец, провели 3 сбора авиачастей, три сбора мехчастей, опытные учения и вывели почти все войска на маневры с теми средствами, которые были нам даны (250 ООО руб.). Участвовали 10 стрелковых дивизий, 2 кавалерийских, 2'/г мехбригады, почти вся авиация, кроме тяжелой, все штабы, кроме 48-й дивизии, которой было дано отдельное учение. Эти маневры показали, что войска выросли. Мы считаем, что имеем очень серьезный сдвиг и при качественном повышении подготовки отдельных родов войск имеем рост взаимодействия, умение вести глубокий сложный бой. Большую веру в наши силы внушают те большие мероприятия правительства, которые проводятся на территории округа. Они нас еще больше укрепляют.</w:t>
      </w:r>
    </w:p>
    <w:p w14:paraId="1C1B990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Относительно военной истории. Военная история была у нас в почете. Но у нас в округе, как и во всей РККА, мало литературы. Материалов недостаточно, и вообще у нас в округе могут пользоваться немецкими книгами 2—3 чел., да и то книги имеются в ограниченном количестве. Наш Генеральный штаб смог только издать один исторический сборник за весь год, это, конечно, недостаточно.</w:t>
      </w:r>
    </w:p>
    <w:p w14:paraId="69C9658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Перехожу к вопросам, в которых мы особенно слабы. Это ПВО и химия. По этим вопросам был проделан максимальный опыт. Проведя предварительные учения, мы взяли целый стрелковый корпус и изучали его действия под ударами авиации и химии. Местность была выбрана пересеченная. Что тут основное? Если батальон, полк имеет 2 мин. времени — успевает расчлениться, изготовить зенитные средства, противогазы, накидки и т.д. Если времени меньше, то противогазы, накидки надевают, но войска будут массированы в колоннах и несут от огня и бомб авиации ужасающие потери, как это показывают все полигонные опыты. Нужно мобилизовать все технические силы, чтобы охранение за 6—8 км давало сигнал войскам о воздушной опасности. Сейчас таких средств быстродействующих нет — пробовали мы все.</w:t>
      </w:r>
    </w:p>
    <w:p w14:paraId="6E498FD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 нужно резко усилить зенитное вооружение, особенно конницы, артиллерии. Третье — расчленение остается, ночь, применение дымов, но немедленно должна быть большая организационная работа по изысканию средств оповещения. Четвертое — нельзя охраняться сейчас только авангардами и боковыми отрядами. Нужно сделать охранение таким, которое могло бы сигнализировать о наличии авиации, сигнализировать о налетах. Но это, повторяю, очень трудная задача.</w:t>
      </w:r>
    </w:p>
    <w:p w14:paraId="171F043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А воздушное наблюдение?</w:t>
      </w:r>
    </w:p>
    <w:p w14:paraId="1BF284B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Правильно, воздушное наблюдение должно быть, но это требует расхода самолетов, нужны средства. Необходимо увеличить количество зенитных и крупнокалиберных пулеметов и истребителей, в особенности для кавалерии.</w:t>
      </w:r>
    </w:p>
    <w:p w14:paraId="41DADB5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химии. Я докладываю — противогазами владеем. Мало, т. Фишман, накидок и чулок. Это первое, что нужно дать нашим войскам.</w:t>
      </w:r>
    </w:p>
    <w:p w14:paraId="041D778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Относительно дегазации. Мы должны все учитывать для того, чтобы дегазировать местность, которую заразил противник. В данном случае нужно вывозить и рассыпать соответствующее количество дегазирующих веществ. А это количество нужно выкидывать в 13— 15 раз больше, чем для заражения. Тов. Фишман приезжал к нам со своими машинами. Слабо это дело у нас поставлено. Тов. Фишман не дает нам никаких серьезных механизмов. Поэтому мы не умеем дегазировать местность, не организована обмывка людей, оружия и т.д. Мы это дело организуем, если Генеральный штаб это дело учтет и необходимые средства введет в полковом звене. Надо заняться больше и воспитанием, больше верой в свои силы против химии (пример с танками).</w:t>
      </w:r>
    </w:p>
    <w:p w14:paraId="797FC84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 задачах на 1936 г.</w:t>
      </w:r>
    </w:p>
    <w:p w14:paraId="3633B2F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Мне кажется, что на 1936 г. вы должны будете дать нам приказ с повышенными требованиями и условиями по всем видам боя. Все условия для того, чтобы двигаться резко вперед, у нас есть. Это не значит, что у нас нет частей слабо подготовленных, но мы должны подтянуть отстающие. В частности, для нас большое значение имеет сделать второочередные дивизии боеспособными.</w:t>
      </w:r>
    </w:p>
    <w:p w14:paraId="7864D5B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1936 г. необходимо отработать всю армейскую связь — второочередные корпуса связи и фронтовые. Это мы должны сделать, без чего управление может сорваться. Еще раз надо собрать армейские аппараты. Надо, чтобы Генеральный штаб окончательно определил структуру армейского командования, чтобы не каждый год приписывали новых людей. Нужно в подбор людей внести больше плановости. У нас много курсов, много академий. Казалось бы, можно подобрать хорошо грамотных генштабистов. Мы приступаем к целой системе подготовки фронтового аппарата. Это дело очень трудное.</w:t>
      </w:r>
    </w:p>
    <w:p w14:paraId="4F66B0B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Следующая наша задача — новые кавполки, новые мб</w:t>
      </w:r>
      <w:hyperlink r:id="rId260" w:anchor="_ftn4" w:history="1">
        <w:r w:rsidRPr="00E14102">
          <w:rPr>
            <w:rStyle w:val="a4"/>
            <w:color w:val="000000" w:themeColor="text1"/>
            <w:sz w:val="16"/>
            <w:szCs w:val="16"/>
          </w:rPr>
          <w:t>[4]</w:t>
        </w:r>
      </w:hyperlink>
      <w:r w:rsidRPr="00E14102">
        <w:rPr>
          <w:color w:val="000000" w:themeColor="text1"/>
          <w:sz w:val="16"/>
          <w:szCs w:val="16"/>
        </w:rPr>
        <w:t xml:space="preserve"> и новые авиачасти, это — наша основная задача.</w:t>
      </w:r>
    </w:p>
    <w:p w14:paraId="3196D01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поддерживаем тезис т. Дыбенко о развитии боевых стрельб в войсках совместно с артиллерией, авиацией. Мы должны это дело шире поставить. Это связано с полигонами и оборудованием. Необходимо дать на каждого бойца добавочно 10—12 патронов, на ручной пулемет — 35, на станковый пулемет — 60. Мы будем особенно заняты подготовкой младшего командного состава и специалистов, чтобы из техники выжать все. На это, на подготовку младших командиров, нужно исключительно налечь. Я не буду здесь много распространяться. Я должен сказать, что мы готовим младший командный состав и специалистов весьма поспешно, недостаточен еще подбор кадров, да и с программой не все дело обстоит хорошо. Нужно больше внимания этому делу. Сейчас командиры корпусов взяли твердую линию в этом вопросе.</w:t>
      </w:r>
    </w:p>
    <w:p w14:paraId="01B9301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общетактическим вопросам. У нас плохо обстоит дело с содержанием тактических занятий. Нужно добиться серьезного отношения к каждому занятию, чтобы оно было хорошо подготовлено, и тогда результаты этого дела будут сами собой вытекать. О каждом учении должны помнить, как о пережитом серьезном бое. Надо среди бойцов поднимать военное образование. Тысячи комсомольцев-ударников должны заняться и быть младшими командирами. Комсомольцы-ударники будут большим активом, который еще выше поднимет уровень бойцов. Для того чтобы хорошо организовать боевую атаку — решающее главное в бою, — нужна хорошая организация этого дела в смысле взаимодействия.</w:t>
      </w:r>
    </w:p>
    <w:p w14:paraId="387684E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Следующий вопрос — вопрос окружения и уничтожения противника. Наша задача — противника не выпускать из окружения.</w:t>
      </w:r>
    </w:p>
    <w:p w14:paraId="35D53B4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Следующая наша задача — воспитание инициативного командного состава. Есть целый ряд людей, которых нужно сильно подталкивать. Нужно повысить требовательность высшего и старшего командного состава. У нас нет никаких объективных условий, чтобы мы плохо готовились. А часто у нас в полку «шляпы». Благодаря</w:t>
      </w:r>
    </w:p>
    <w:p w14:paraId="50500DD3" w14:textId="77777777" w:rsidR="00970104" w:rsidRPr="00E14102" w:rsidRDefault="00970104" w:rsidP="00E14102">
      <w:pPr>
        <w:pStyle w:val="rtejustify"/>
        <w:spacing w:before="0" w:after="0"/>
        <w:rPr>
          <w:color w:val="000000" w:themeColor="text1"/>
          <w:sz w:val="16"/>
          <w:szCs w:val="16"/>
        </w:rPr>
      </w:pPr>
      <w:r w:rsidRPr="00E14102">
        <w:rPr>
          <w:rStyle w:val="a3"/>
          <w:b w:val="0"/>
          <w:color w:val="000000" w:themeColor="text1"/>
          <w:sz w:val="16"/>
          <w:szCs w:val="16"/>
        </w:rPr>
        <w:t>Механизированные батальоны.</w:t>
      </w:r>
    </w:p>
    <w:p w14:paraId="2A2F3B3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этому бывает отставание. Повторяю еще раз, чтобы этого не было, нужна требовательность высшего командного состава. Это гарантирует нам устранение ряда недочетов, хорошую постановку учебы.</w:t>
      </w:r>
    </w:p>
    <w:p w14:paraId="71002FA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Методически нужно первую ступень боевой подготовки расширить, нужно отвести на подготовку бойца-специалиста и отделения минимум 3—4 месяца и начинать курс 1 ноября. Вторую ступень не просто в зимних условиях готовить, а готовность отрядов иметь к 15 мая. Затем специальные сборы войск мы должны вести до 10 июля, после чего до 1 октября широкий цикл общевойсковых учений и стрельб. Затем мы должны резко увеличить количество отрядных учений. Вообще необходимы длительные учения с отрывом от лагерей. Затем распределение времени командиров. У нас выходило так, что командир меньше половины времени с бойцами. Я считаю, что командир роты и ниже две трети времени — 60% — должен быть в подразделении и 40% — для себя. Комдивы 50 дней в войсках. Мало. Нужно дней 80—90. Нужно развивать также стахановское движение среди младшего командного состава.</w:t>
      </w:r>
    </w:p>
    <w:p w14:paraId="2F30349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Первый человек заговорил о стахановском движении.</w:t>
      </w:r>
    </w:p>
    <w:p w14:paraId="675E5D7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Эти возможности колоссальны, потому что если взять летчика-истребителя, если взять лучшего наводчика, водителя машин и т.д., то у нас возможности колоссальные. Мы собирали стахановцев некоторых частей округа, и все ребята требуют, чтобы увеличить нормативы. Мы можем сильно двинуться по этим вопросам.</w:t>
      </w:r>
    </w:p>
    <w:p w14:paraId="2A35A66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думаю, т. народный комиссар, что 1936 г. принесет нам очень большие успехи в боевой подготовке.</w:t>
      </w:r>
    </w:p>
    <w:p w14:paraId="673DB26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40-43.</w:t>
      </w:r>
    </w:p>
    <w:p w14:paraId="44F121D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По распоряжению народного комиссара обороны вопросы самостоятельных действий авиации выделены в особый пункт повестки дня.</w:t>
      </w:r>
    </w:p>
    <w:p w14:paraId="71ABC61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останавливаюсь на четырех вопросах.</w:t>
      </w:r>
    </w:p>
    <w:p w14:paraId="65DC294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Первый — оперативно-тактическая подготовка, второй — специальная подготовка, третий — о школах и военно-воздушной академии и четвертый — о технической подготовке и эксплуатации. Оперативно-тактическая подготовка. В этом году округа занимались оперативно-тактической подготовкой больше, чем в предыдущие годы, особенно в таких округах, как Белорусский, Киевский, Ленинградский, Забайкальский и Дальневосточная Краснознаменная армия. И, несомненно, имеются значительные успехи, о которых говорили командующие, я их повторять не намерен.</w:t>
      </w:r>
    </w:p>
    <w:p w14:paraId="4A28E54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Наряду с этими успехами есть целый ряд недочетов, к числу которых я отношу, следующие.</w:t>
      </w:r>
    </w:p>
    <w:p w14:paraId="1DF1D0F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Первый. Разнобой во взглядах между округами, а внутри округов — между бригадами, на боевое применение авиации во взаимодействии с войсками. Это объясняется тем, что на сегодня мы не имеем наставлений по боевому применению авиации, регламентирующих основные задачи, основное применение каждого рода войск. Этот разнобой, например, характеризуется стремлением целого ряда командиров, в том числе и авиационных, притянуть всю боевую авиацию на поле боя. Далее, в основном использовать все роды авиации, как штурмовиков. Штурмуют бомбардировщики, штурмуют истребители, штурмуют штурмовики, штурмует войсковая </w:t>
      </w:r>
      <w:r w:rsidRPr="00E14102">
        <w:rPr>
          <w:color w:val="000000" w:themeColor="text1"/>
          <w:sz w:val="16"/>
          <w:szCs w:val="16"/>
        </w:rPr>
        <w:lastRenderedPageBreak/>
        <w:t>авиация и штурмует армейская разведывательная авиация и кое-где пытаются даже тяжелую авиацию заставить штурмовать. Я считаю, что это неправильно. Я не исключаю таких случаев, чтобы иногда привлекать легкую авиацию к штурмовым действиям, но как исключение, если обстановка требует. Затем я считаю, что штурмовые действия надо вести по скопленным живым целям, а у нас есть тенденция заставить иногда искать и штурмовать пулеметные гнезда.</w:t>
      </w:r>
    </w:p>
    <w:p w14:paraId="60EAF96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прошлом году на Военном совете мы уже говорили — некоторые к этому отнеслись скептически — о том, что истребителей надо научить истреблять авиацию противника там, где они ее найдут. Истреблять и в воздухе, и на земле. Причем я приводил сообщения, которые свидетельствовали о том, что выгоднее истреблять авиацию на аэродроме противника, чем в воздухе. В этом году было проведено большое количество опытных учений по этому поводу. Я хочу доложить те выводы, которые можно сделать из выводов опытных учений, проведенных в Московском округе, Киевском и на Дальнем Востоке.</w:t>
      </w:r>
    </w:p>
    <w:p w14:paraId="316E1A6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Первый вывод — истребитель, вооруженный четырьмя пулеметами и двумя бомбами по 100 кг, может нанести весьма серьезные повреждения самолетам противника на аэродроме. Одним налетом таких истребителей можно вывести из строя 50% и больше самолетов противника. В связи с увеличением радиуса действий истребителя он проникает до 300 км в район расположения противника. Дальше, лучшим примером атаки является подход к аэродрому на бреющем полете. Самолет может идти на любой высоте, но к аэродрому он должен подходить на бреющем полете и сразу атаковать — открывать огонь по самолетам противника. Таким образом можно вывести из строя большое количество самолетов противника.</w:t>
      </w:r>
    </w:p>
    <w:p w14:paraId="67F7367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Третий вывод — лучше всего производить атаку подразделениями не свыше 10 самолетов. Истребителей больше 10 в эшелоне стесняет маневр и действия. Поэтому надо атаковать эшелонами, расчлененными во времени, а внутри отряда — расчлененными по звеньям, чтобы получить максимальное маневрирование и свободно атаковать самолеты, если они разбросаны по разным группам. Наиболее выгодно приурочить атаку непосредственно вслед за посадкой.</w:t>
      </w:r>
    </w:p>
    <w:p w14:paraId="11F209D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момент очень подходящий для атаки непосредственно перед вылетом. А что произошло, если бы самолеты были замаскированы? Процент поражения и в этом случае может быть значительным. Далее истребительными бомбами дается не меньшее поражение, чем пулеметным огнем при атаке противника на аэродроме.</w:t>
      </w:r>
    </w:p>
    <w:p w14:paraId="0D6F577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Общий вывод. Наряду с истреблением авиации противника в воздухе, истребительной авиации должны ставиться задачи уничтожения авиации противника на аэродроме. Я считаю, что эти задачи нужно фиксировать четко, ибо постановка такой задачи истребителю требует известного рода подготовки, с одной стороны, а с другой стороны — может использовать организационные мероприятия, что трудно истребителем вести ориентировку на низких высотах. Вот один из выводов опытных учений, который я считал нужным доложить.</w:t>
      </w:r>
    </w:p>
    <w:p w14:paraId="037A4C9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вывод. На Дальнем Востоке было проведено большое количество занятий и учений по уничтожению авиации противника для обеспечения превосходства. Какие выводы делают дальневосточники из этого учения? Первый: нападение на аэродромы противника наиболее выгодно вести не всей авиацией, а расчленять по времени, эшелонами в 1—3 часа. Удары эшелонов нацеливать так, чтобы они, не застав авиацию на одном аэродроме, имели другой аэродром противника в качестве запасной цели, и если не удалось захватить противника, то иметь стационарную цель для разрушения.</w:t>
      </w:r>
    </w:p>
    <w:p w14:paraId="05D8FBB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Третий вывод — выделить каждому эшелону примерно одну треть или одну четверть сил, находящихся в распоряжении того или другого командования для истребления авиации противника. Такой метод парализации атак приводит к изматыванию истребительной авиации противника и поражению ее, и заставляет противника очищать передовую зону обороны, если не хотят подвергнуться поражению нападающего со стороны. Вот все, что я хотел сказать в отношении оперативно-тактического применения авиации.</w:t>
      </w:r>
    </w:p>
    <w:p w14:paraId="703DAAE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вопрос, на котором я хотел особенно остановиться, — это разведка. Если с разведкой в общевойсковых соединениях плохо, то с авиацией тоже очень плохо. В каком отношении плохо?</w:t>
      </w:r>
    </w:p>
    <w:p w14:paraId="08D1DFF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Основные недостатки организации проведения разведки следующие. Первый недостаток заключается в том, что мы авиацию ограничиваем разведкой только специальными самолетами. Разведку ведут разведчики, которые высылаются специально для этого. Слабо используют наши авиационные штабы все другие источники и возможности получения разведывательных данных для самой авиации и для других родов войск. Например, штабы авиационные, как правило, плохо используют и даже совершенно не используют получение сведений об обстановке воздушной и земной от боевых самолетов, возвращающихся с выполнения боевых заданий. Плохо это дело используется, и я это наблюдал на маневрах и на занятиях, в том числе и на маневрах КВО. Когда боевой самолет возвращается, то командир-разведчик из штаба не пытается получить сведения о противнике.</w:t>
      </w:r>
    </w:p>
    <w:p w14:paraId="768AF42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 почти полное отсутствие разведки боем. Далее, полное отсутствие разведки путем высадки и выброски агентов в тыл противника в нужном районе. В мировую войну этот метод разведки широко применялся, у нас он никак не применяется. А между прочим, авиация может широко присаживаться или к танкам, или к другим объектам разведки и получать сведения, что там делается в тылу противника, путем подъема донесений кошкой и сигналов. Далее, полное отсутствие попыток ведения разведки на самолетах противника каким-либо способом, попавшим к нам. Затем отсутствие использования авиацией сведений штабов земных войск для своих боевых действий. Авиационные штабы, как правило, не пытаются получить сведений из общевойсковых штабов, которые нужны и полезны для их боевых действий. Особенно это касается штурмовой авиации. Далее, могут быть использованы радиостанции как средство связи.</w:t>
      </w:r>
    </w:p>
    <w:p w14:paraId="4BC5770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Следующее — я считаю, что нужно искоренить привычку высылать специальные самолеты на разведку погоды, не нужно высылать специальных разведчиков погоды. Я считаю, что высылка специальных самолетов исключительно для разведки погоды не должна иметь места. Почему нужно на это обратить внимание? Я считаю, что такие разведки — наследие парада. Если в Москве нашей авиации разведывать нечего, кроме погоды, — это другое дело, но совершенно иное дело в военной обстановке, когда есть много что нужно разведывать. Почему этого не нужно? Я считаю, что мы обязаны практиковать разведку погоды всеми самолетами, а не только разведчиками погоды. Почему это необходимо? Это ведь единственная возможность получения возможно более точных данных о погоде в военное время в тылу противника. В военное время мы никаких радиосводок, никаких радиосообщений о состоянии погоды на территории противника не получим. И надо заставить все наши самолеты, в том числе и разведчики и боевые, обязательно привозить данные о состоянии погоды, ибо погода является для авиации одним из важных моментов.</w:t>
      </w:r>
    </w:p>
    <w:p w14:paraId="7175035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Дальше, последний недочет — это отсутствует непрерывность наблюдения за целью. Сейчас этого мы не имеем, и это сильно затрудняет работу нашей авиации, в частности у нас многие полеты оказываются впустую. Действительно, если не будет непрерывности наблюдения за целью, то во время войны наши самолеты часто будут летать впустую на аэродромы противника, потому что окажется, что авиация за это время, когда наблюдения не было, снялась и ушла. Таким образом, мы будем иметь много пустых полетов нашей авиации без всякого ущерба для противника. На это следует обратить внимание. Вот все то, что я хотел специально сказать о разведывательной авиации.</w:t>
      </w:r>
    </w:p>
    <w:p w14:paraId="310EF83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о специальной подготовке. Я думаю, т. нарком, что мы должны признать, что в области специальной летной подготовки у нас имеются значительные успехи. Летаем в основной массе хорошо. Абсолютное большинство летчиков, даже летчиков молодых, которые еще в прошлом году в декабре кончили школу, уже летают и в облаках, и ночью. С чем у нас обстоит дело неважно — это с ночными полетами тяжелых самолетов. Тут мы имеем только 25% увеличения против 1934 г., я считаю, что это мало, очень мало. Тяжелый самолет больше, чем кто-либо другой, должен летать ночью, и я считаю, что ночной налет тяжелых самолетов должен составить, по крайней мере, 50%. Затем относительно полетов под колпаком, слепых полетов. Под колпаком налетали много, а в действительных облаках летали не так много. Полет под колпаком, конечно, дает очень много, но это не полет в облаках, там летать труднее, потому что бросает вверх, вниз и в сторону сильнее, чем при полетах под колпаком. На что нужно обратить особое внимание? Недостаточно тренируются на пилотажах. А между тем высший пилотаж именно и воспитывает смелость летчика, выносливость летчика, отвагу и мастерство в управлении самолетом. В полетах по прямой слабо можно воспитывать смелость, отвагу и мастерство летчика в управлении самолетом. Пилотаж в зоне должен входить в каждый комплекс полета.</w:t>
      </w:r>
    </w:p>
    <w:p w14:paraId="2655A33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согласен с т. Грязновым, что нужно привить вкус к воздушному бою, в частности к индивидуальному бою. Таким образом, в отношении техники полета нужно налегать на пилотаж в зоне и на воздушный бой, в том числе индивидуальный бой, например разведчика с разведчиком.</w:t>
      </w:r>
    </w:p>
    <w:p w14:paraId="3E6315C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Следующий вопрос — специальная подготовка по ориентировке. Слабым местом в ориентировке является детальная ориентировка. Часто, особенно когда мы выходим из облаков, надо быстро по карте, по компасу ориентироваться, определить свое место в полете. Мы это делаем иногда плохо, поэтому бывают заблуды. В этом году мы имели большое количество заблудов. Чем это объясняется? Это объясняется тем, что мы плохо знаем топографию. Общевойсковые командиры, прибывающие в школу летнабов, плохо знают топографию, плохо умеют читать карту. Мы вынуждены в этом году в соответствии с приказом наркома № 0077</w:t>
      </w:r>
      <w:hyperlink r:id="rId261" w:anchor="_ftn5" w:history="1">
        <w:r w:rsidRPr="00E14102">
          <w:rPr>
            <w:rStyle w:val="a4"/>
            <w:color w:val="000000" w:themeColor="text1"/>
            <w:sz w:val="16"/>
            <w:szCs w:val="16"/>
          </w:rPr>
          <w:t>[5]</w:t>
        </w:r>
      </w:hyperlink>
      <w:r w:rsidRPr="00E14102">
        <w:rPr>
          <w:color w:val="000000" w:themeColor="text1"/>
          <w:sz w:val="16"/>
          <w:szCs w:val="16"/>
        </w:rPr>
        <w:t xml:space="preserve"> специально ввести в школы летнабов для командиров земных войск большой курс по топографии и изучению карт. Иначе будут блуждать. Мы сделали специальные испытания, что дело обстоит плохо по топографии.</w:t>
      </w:r>
    </w:p>
    <w:p w14:paraId="7A48226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в этом году не занимались или мало занимались так называемой ориентировкой по радиомаякам. Можем ли мы заниматься этим или не можем? Мы имеем абсолютно все необходимое для того, чтобы летать только по радиомаякам в тяжелой авиации. Мы имеем ра-диомаячную сеть, начиная от Ленинграда до Черного моря, от западной границы на восток довольно далеко. Мы можем совершать полеты, не видя земли, по радиомаякам с севера на юг и с запада на восток. А между тем летают мало. В этом деле нужно добиться перелома потому, что это просто вредный консерватизм, очень опасный консерватизм, особенно для тяжелой авиации. Нужно во что бы то ни стало научить тяжелую авиацию летать по радиомаякам. Во-вторых, особенно в области тяжелой авиации, надо заставить летать над облаками — по астрономической ориентировке.</w:t>
      </w:r>
    </w:p>
    <w:p w14:paraId="3C5BB2F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Относительно огневой подготовки. Огневой подготовкой авиация в 1935 г. занималась недостаточно. В этом виноваты мы с А.И. Егоровым, в том числе и я, потому что курс огневой подготовки мы задержали. Просматривал устав в одном месте, в другом месте, в третьем месте. Все просматривали и в результате задержали до июля месяца 1935 г.</w:t>
      </w:r>
    </w:p>
    <w:p w14:paraId="24ED6B6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Далее я считаю, что авиации нужно сурово проводить дифференциацию огня внутри экипажа и между родами авиации, потому что сделать всех большими знатоками, по всем видам огня нельзя — не хватит времени. Для того чтобы мы могли по-настоящему учить наш воздушный флот стрелять по целям маневрирующим, нужно иметь фотокинопулеметы. Я об этом уже докладывал не раз НКО, и сейчас им принимается ряд больших мер, чтобы по будущему году получить, по крайней мере, не меньше 1500 штук кинофотопулеметов.</w:t>
      </w:r>
    </w:p>
    <w:p w14:paraId="433DEE5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По химической подготовке. Я целиком и полностью присоединяюсь к т. Фишману, что мы плохо занимались химической подготовкой авиации.</w:t>
      </w:r>
    </w:p>
    <w:p w14:paraId="39ED419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Из-за недостатка времени я не буду останавливаться на учении очень интересном, проведенном в БВО по групповому воздушному бою. Я думаю, что т. Хрипин об этом доложит, так как выводы очень интересны.</w:t>
      </w:r>
    </w:p>
    <w:p w14:paraId="5DFB253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 подготовке школ. Тов. народный комиссар, вы назначили проверку очередного выпуска из школ летчиков. Докладываю, что большинство строевых командиров, вами назначаемых, закончило эту проверку. Общий результат выпуска по технике пилотирования по пятибалльной системе — 4,3. Я не говорю уже о том, что 75% из них получило оценку отлично. Тов. Смушкевич, который вернулся из Оренбурга, заявил мне: «Дайте мне этих летчиков, и я с ними после 5—10 ознакомительных полетов приступлю к дальнейшему обучению по курсу обучения первого года».</w:t>
      </w:r>
    </w:p>
    <w:p w14:paraId="06CF682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этом году никакого ввода в строй на 2—3 месяца не делать, а поскорее переводить молодых летчиков на подготовку по первому году обучения. Значительную часть удалось выпустить на истребителях: на И-5, на И-3, И-7, И-4</w:t>
      </w:r>
      <w:r w:rsidRPr="00E14102">
        <w:rPr>
          <w:color w:val="000000" w:themeColor="text1"/>
          <w:sz w:val="16"/>
          <w:szCs w:val="16"/>
          <w:vertAlign w:val="superscript"/>
        </w:rPr>
        <w:t>43</w:t>
      </w:r>
      <w:r w:rsidRPr="00E14102">
        <w:rPr>
          <w:color w:val="000000" w:themeColor="text1"/>
          <w:sz w:val="16"/>
          <w:szCs w:val="16"/>
        </w:rPr>
        <w:t xml:space="preserve">, но не всех. После окончания школы летчики по вашему приказу идут сразу в строевые части для того, чтобы не было перерыва в летной работе. Просьба командующим — обеспечить молодым летчикам, прибывающим в строй, немедленную тренировку. Если будет перерыв в 1—1 </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xml:space="preserve"> месяца в летной работе, то придется молодых летчиков начать вывозить, ибо перерыв в течение месяца в летной работе — это большой перерыв, влияющий, как я уже сказал, на летную квалификацию молодых летчиков.</w:t>
      </w:r>
    </w:p>
    <w:p w14:paraId="5DDB6A5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 нашей Военно-воздушной академии, тов. народный комиссар, пользуюсь случаем сказать, что т. Тодорский и т. Смоленский, которых вы прислали в академию для налаживания там порядка, сделали очень многое. Прошу вас заехать в академию и посмотреть, что там уже сделано. Но несмотря на очень большие успехи, сделанные академией, считаю, что не только в нашей Воздушной академии, но и во всех других академиях РККА (я их более-менее знаю) темпы учебы совершенно недостаточные. По заключению адъюнктов ВВА, а мы их во французской высшей технической школе в Париже имеем 3, темп учебы по отдельным предметам выше, чем в нашей академии, по этим же предметам и относится темп нашей учебы к темпу учебы их академии как 1:8. Это по нашей Воздушной академии. А ведь наша Воздушная академия не хуже других академий, а может быть, и выше. Поэтому на учебу в нашей академии надо особенно сильно налегать, если хотим выполнить требования Яна Борисовича о том, чтобы из наших высших учебных заведений выпускать инженеров-командиров не хуже подготовленных, чем выпускают иностранные высшие учебные заведения. Что для этого надо? Нужно с двойками никого не принимать.</w:t>
      </w:r>
    </w:p>
    <w:p w14:paraId="458BAB6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Не только с двойками, но и с тройками.</w:t>
      </w:r>
    </w:p>
    <w:p w14:paraId="1A3C5F4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Повторяю, с двойками по общеобразовательным предметам нельзя принимать. Следующее наше требование — резко повысить темп учебы в академии. Я говорил т. Тодорскому о том, чтобы преподаватель преподносил бы слушателю за 30 мин. то, что раньше преподносили за 1 час (</w:t>
      </w:r>
      <w:r w:rsidRPr="00E14102">
        <w:rPr>
          <w:rStyle w:val="a6"/>
          <w:i w:val="0"/>
          <w:color w:val="000000" w:themeColor="text1"/>
          <w:sz w:val="16"/>
          <w:szCs w:val="16"/>
        </w:rPr>
        <w:t>шум в зале</w:t>
      </w:r>
      <w:r w:rsidRPr="00E14102">
        <w:rPr>
          <w:color w:val="000000" w:themeColor="text1"/>
          <w:sz w:val="16"/>
          <w:szCs w:val="16"/>
        </w:rPr>
        <w:t xml:space="preserve">, </w:t>
      </w:r>
      <w:r w:rsidRPr="00E14102">
        <w:rPr>
          <w:rStyle w:val="a6"/>
          <w:i w:val="0"/>
          <w:color w:val="000000" w:themeColor="text1"/>
          <w:sz w:val="16"/>
          <w:szCs w:val="16"/>
        </w:rPr>
        <w:t>неодобрительные возгласы).</w:t>
      </w:r>
    </w:p>
    <w:p w14:paraId="1920B34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Это неправильно.</w:t>
      </w:r>
    </w:p>
    <w:p w14:paraId="1689E43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Для использования времени в целях углубления учебы. Общих сроков учебы сокращать не надо — ни в коем случае.</w:t>
      </w:r>
    </w:p>
    <w:p w14:paraId="4304C16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Вы не совсем правильно понимаете процесс, который происходит там и у нас. Наши слушатели всех академий воют, что им такими темпами преподают, что они не успевают воспринимать, и поэтому движение вперед идет на холостом ходу. Они, двигаясь, не воспринимают, а вы хотите еще убыстрить преподавание для того, чтобы ухудшить усвояемость слушателей. Этого делать нельзя. Нужно слушателей принимать более подготовленными и тогда они будут напирать на преподавателей, чтобы им поскорее преподавали, потому что они все то, что преподают, знают. Беда заключается в том, что мы принимает людей неподготовленных, что они не успевают переваривать то, что им дают. Может быть, с вашей точки зрения медленно преподают, но они и этого не воспринимают. Поэтому ни в коем случае этого принимать нельзя. Тут нужно продумать.</w:t>
      </w:r>
    </w:p>
    <w:p w14:paraId="287CB22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произошло с нашими слушателями в высшей французской школе? Это действительно лучшие наши люди, окончившие Воздушную академию. Попав туда, один слушатель — т. Крестьянинов — написал мне длинное письмо о том, что по математике мы не можем вместе с французскими летчиками проходить те предметы, которые там преподаются, потому что мы этих разделов математики у себя просто не нюхали. Вот беда. Причем это лучшие люди, которые оставлены при академии в качестве адъюнктов. Так что дело не в темпах, а в другом. Наши слушатели в политическом отношении, конечно, более подготовлены, чем французы, то же по общественным наукам, а вот в отношении математики они не подготовлены, и в этом отношении наша большая беда. Математика пока еще у нас не оседлана.</w:t>
      </w:r>
    </w:p>
    <w:p w14:paraId="52CBA0A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 Я</w:t>
      </w:r>
      <w:r w:rsidRPr="00E14102">
        <w:rPr>
          <w:color w:val="000000" w:themeColor="text1"/>
          <w:sz w:val="16"/>
          <w:szCs w:val="16"/>
        </w:rPr>
        <w:t xml:space="preserve"> хотел сказать, что т. Алкснис неправ. Тов. Алкснис написал письмо т. Тодорскому, в котором пишет, что вот в стране стахановское движение, поэтому я рекомендую налечь на это и в академии и рекомендую следующее: усилить темпы овладения, так сказано, всякими науками, в том числе общественными, иностранными языками и т.д.</w:t>
      </w:r>
    </w:p>
    <w:p w14:paraId="68DE93E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считаю, что т. Алксникс неправ. Когда это письмо случайно попало ко мне, может быть, я тут подвожу т. Тодорского, я на нем написал: «Не знаю, откуда это письмо, но так как я его читаю, считаю письмо неправильным. Я думаю, что он увлекается темпами».</w:t>
      </w:r>
    </w:p>
    <w:p w14:paraId="3DDE284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Одним словом, увеличить темпы становиться умными </w:t>
      </w:r>
      <w:r w:rsidRPr="00E14102">
        <w:rPr>
          <w:rStyle w:val="a6"/>
          <w:i w:val="0"/>
          <w:color w:val="000000" w:themeColor="text1"/>
          <w:sz w:val="16"/>
          <w:szCs w:val="16"/>
        </w:rPr>
        <w:t>(смех). Я</w:t>
      </w:r>
      <w:r w:rsidRPr="00E14102">
        <w:rPr>
          <w:color w:val="000000" w:themeColor="text1"/>
          <w:sz w:val="16"/>
          <w:szCs w:val="16"/>
        </w:rPr>
        <w:t xml:space="preserve"> приказал им, адъюнктам, оставаться во Франции и во что бы то ни стало преодолеть трудности. Вы правы, что нам нужно очень внимательно посмотреть на контингенты, которыми мы комплектуем наши академии, пускать в академии людей, уже достаточно подготовленных для успешного прохождения курса.</w:t>
      </w:r>
    </w:p>
    <w:p w14:paraId="0EBC916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Я, конечно, тут неправ, но что я имею в виду. Я сказал, что нужно прежде всего крепко налечь на то, чтобы повысить общеобразовательную подготовку. Второе, я сказал насчет того, чтобы преподаватели не держали равнение на слабых, а преподаватели наших высших учебных заведений пока что держат равнение на самых слабых </w:t>
      </w:r>
      <w:r w:rsidRPr="00E14102">
        <w:rPr>
          <w:rStyle w:val="a6"/>
          <w:i w:val="0"/>
          <w:color w:val="000000" w:themeColor="text1"/>
          <w:sz w:val="16"/>
          <w:szCs w:val="16"/>
        </w:rPr>
        <w:t>(многочисленные реплики).</w:t>
      </w:r>
    </w:p>
    <w:p w14:paraId="7321D85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Преподаватели, к сожалению, держат курс на то, чтобы в один день обслужить четыре высших учебных заведения. В этом наша беда. Он мыкается из одной академии в другую и нигде по-настоящему не преподает.</w:t>
      </w:r>
    </w:p>
    <w:p w14:paraId="7475012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Голоса.</w:t>
      </w:r>
      <w:r w:rsidRPr="00E14102">
        <w:rPr>
          <w:color w:val="000000" w:themeColor="text1"/>
          <w:sz w:val="16"/>
          <w:szCs w:val="16"/>
        </w:rPr>
        <w:t xml:space="preserve"> Правильно.</w:t>
      </w:r>
    </w:p>
    <w:p w14:paraId="47BA321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Дело не в том, чтобы его еще подхлестнуть в смысле темпов, а дело в том, чтобы заставить его по-настоящему преподавать свои лекции, продумывать все свои методы, с которыми он подходит к слушателям. И в этом будет стахановское существо.</w:t>
      </w:r>
    </w:p>
    <w:p w14:paraId="4D1FD4F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Далее, о технической учебе и эксплуатации в строю. Это одно из слабых мест. Учеба технического состава совершенно недостаточна. Поэтому я прошу командующих, чтобы они в будущем году обратили особое внимание на учебу технического состава, ибо мы получаем новую материальную часть, а овладеть ею будет трудно без основательной предварительной подготовки нашего техсостава. Я хочу сообщить командующим войсками о том, чтобы они не рассчитывали, что мы дадим в первом квартале новую материальную часть в большом количестве. Как бы мне ни хотелось дать вам в большом количестве материальную часть, я не сумею дать ее вам по целому ряду причин, вам известных.</w:t>
      </w:r>
    </w:p>
    <w:p w14:paraId="5939442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 третье замечание. Тов. народный комиссар приказал, чтобы в этом году механизации было дано на 100% авиационным частям. Думаю, что с помощью народного комиссара мы эту задачу выполним. Хочу только сделать одно замечание. Мы пока имеем незначительную механизацию, причем т. Халепский прав, когда он говорит, что отношение к механизации у нас пока что варварское, прямо выводят из строя через 5—6 дней после прибытия механизмов. А что будет, если механизация будет в полном штате, и мы начнем ее так истреблять. Никакой промышленности не хватит, чтобы эту механизацию нам подавать. Поэтому надо с места в карьер взяться за подготовку кадров для принятия механизации. Почему в большом числе выводятся из строя механизация и автомобили? Потому что нет подготовленных кадров. На автомобилях едут не шоферы, а просто красноармейцы необученные, неподготовленные. И вот такие необученные и неподготовленные товарищи садятся, едут и ломают машины. На подготовку кадров для механизации авиации надо обратить особое внимание и начать ее немедленно.</w:t>
      </w:r>
    </w:p>
    <w:p w14:paraId="04F81F6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43-46.</w:t>
      </w:r>
    </w:p>
    <w:p w14:paraId="3DDA663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Мне думается, что было бы неправильным, если бы мы с полной ясностью не сказали о результатах 1935 г. как о результатах, безусловно положительных, дающих во всех разделах обучения подготовки Красной армии значительное движение вперед. Причем, если спросить, как мы этого добились, то на это будет получен совершенно простой ответ: лучше работают командиры, лучше работают штабы и совершенно по-иному технически оснащена Красная армия.</w:t>
      </w:r>
    </w:p>
    <w:p w14:paraId="7E90797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Количество техники нас научает, и совершенно естественно, что ежели наши части имеют сейчас громадное количество танков, самолетов и др., а в смысле технического оснащения стоят на таком уровне, которому не равняется ни одна армия в мире, то совершенно неизбежно, что там, где командир работает с этим большим количеством техники, он лучше освоил эти технические средства, стал работать лучше. Но первое и основное — это большая настойчивость в проведении большого количества хороших по качеству учений.</w:t>
      </w:r>
    </w:p>
    <w:p w14:paraId="078FAAA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Можно ли говорить об однородности подготовки армии или даже округа. Вот возьмем, например, наш округ. Я считаю, что у нас есть очень много хорошо подготовленных частей и хорошо работающих штабов. Если вы возьмете, например, такой вопрос, как взаимодействие в пределах полка, батальона и дивизии, элементарные знания Инструкции глубокого боя, умение работать в глубине и т.д., то мы можем показать целый ряд частей, которые дают образцы, у которых танк сработан с пушкой, с пулеметом, и все это вместе управляется своим штабом.</w:t>
      </w:r>
    </w:p>
    <w:p w14:paraId="2D91E6E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Но в то же время я стал бы на совершенно неправильную позицию, если бы сказал, что подготовка армии однородная. Я имею и в пехотных, и в конных частях, в общем, картину довольно однородную. Причем если раньше мы имели такую картину, что, предположим, конница, как правило, «рубала», когда она выскакивала на поле, а только потом действовала своим боевым порядком, то на последних маневрах я видел десятки таких случаев. Когда после артиллерийской подготовки сначала появляются танки, а потом появляются всадники, которые делают то, что им полагается, т.е. под прикрытием пушек, танков и артиллерии они развивают свои действия, причем, как правило (для меня впервые стало совершенно ясно), кавалерийская дивизия развивает свою работу тогда, когда ее танки бьют части противника (об этом было очень много разговоров, и по этому поводу Буденный не раз выступал на пленумах РВС, говоря, что такого рода методика режет конницу).</w:t>
      </w:r>
    </w:p>
    <w:p w14:paraId="51536AB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Мы имеем целый ряд достижений в этой области. Но бьшо бы совершенно неправильным, если бы мы не видели, что наряду с этим есть целый ряд частей, в которых это дело стоит на более низком уровне, которые не добились таких результатов и которые управляются хуже. Нам надо взять эти части и подогнать под те лучшие образцы, которые мы имеем, а их, эти образцы, вести дальше.</w:t>
      </w:r>
    </w:p>
    <w:p w14:paraId="083260B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потом поставлю один вопрос, т. нарком, в связи со стахановским движением. Но чтобы не возвращаться, я хотел сейчас поставить один коренной вопрос на основании разговора со стахановцами, на основе того движения, которое развивается у нас в стране. Когда мы ставим перед нашим молодым красноармейцем, приходящим к нам с заводов и из колхозов, когда мы ставим перед этим молодым бойцом — ударником, отличником или даже стахановцем у себя на производстве, вопрос о стахановском движении применительно к нашим условиям, то мы сталкивается со следующим. Я не хотел печатать в газетах, несмотря на то, что целый ряд товарищей на этом настаивали, мое обращение к отличникам боевой подготовки, которое я месяца два тому назад им написал. Должен вам сказать, что я получил от них энергичный бой. Я получил много писем, в которых наши бойцы пишут примерно следующее — мы никогда не станем стахановцами и отличниками, если вы нам не дадите плана. Почему мы у себя на заводах и в колхозах стахановцы — потому что у нас есть программа; если программа — 100, я даю 300, я знаю ту программу, которую я должен выполнить. У нас в армии этого нет, а если нет, как я могу добиться лучших показателей. Они пишут — дайте программу на декаду, и тогда я буду знать, что эту программу я могу перевыполнить. И мне кажется, что это совершенно правильная постановка вопроса.</w:t>
      </w:r>
    </w:p>
    <w:p w14:paraId="0FB57C6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считал необходимым на пленуме Военного совета поставить этот вопрос. Перед пленумом Военного совета я организовал корпусные сборы командиров полков, имея в виду, что на Пленуме ЦК стоит вопрос о стахановском движении. Я поставил на этих сборах совершенно конкретно вопрос о том, что мы должны дать нашему красноармейцу-бойцу. Первый день сборов командиров полков был посвящен методической работе с младшим и средним комсоставом. Мы подошли к этому вопросу так: если красноармеец считается у вас ударником потому, что он быстрее собрал пулемет и т.д., то ведь это не то, что может втянуть в это движение тысячи, десятки тысяч людей. Туг требуется другое. Требуется, чтобы командир батальона для взвода, командир полка для батальона совершенно определенно сказал: вот в эту декаду по части строевой подготовки от вас требуется то-то и то-то, по части физической подготовки — такое-то дается задание, по политической подготовке — одна тема, вторая тема и третья тема. Они все это записывают. Тогда положение облегчается, и красноармеец знает, что если он проработает эти два или три политических занятия не за декаду, а за меньшее время, если он задание по физической подготовке выполнит тоже в более короткий срок.</w:t>
      </w:r>
    </w:p>
    <w:p w14:paraId="4072B4D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За три дня.</w:t>
      </w:r>
    </w:p>
    <w:p w14:paraId="0B9171A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Совершенно правильно, тогда он может сказать — я могу идти вперед, я перевыполнил задание. А если задания нет — как он может это сделать? Поэтому я считаю, что мы должны установить такой порядок, что красноармейцам дается задание на декаду, по всем разделам нашей работы этого добиться.</w:t>
      </w:r>
    </w:p>
    <w:p w14:paraId="65C1042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С </w:t>
      </w:r>
      <w:r w:rsidRPr="00E14102">
        <w:rPr>
          <w:rStyle w:val="a6"/>
          <w:i w:val="0"/>
          <w:color w:val="000000" w:themeColor="text1"/>
          <w:sz w:val="16"/>
          <w:szCs w:val="16"/>
        </w:rPr>
        <w:t>места.</w:t>
      </w:r>
      <w:r w:rsidRPr="00E14102">
        <w:rPr>
          <w:color w:val="000000" w:themeColor="text1"/>
          <w:sz w:val="16"/>
          <w:szCs w:val="16"/>
        </w:rPr>
        <w:t xml:space="preserve"> И оценку дать.</w:t>
      </w:r>
    </w:p>
    <w:p w14:paraId="38CA389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Правильно, и дать оценку. Надо показать, как лучше сделать. Это относится ко всем, начиная с командира отделения и кончая командующим войсками округа. Нужно совершенно конкретное руководство. В этом наша основная, коренная задача.</w:t>
      </w:r>
    </w:p>
    <w:p w14:paraId="40EAF26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я хочу остановиться еще на одном моменте. Мы очень много говорим о методике боевой подготовки. Говорим мы много, но у нас есть целый ряд людей, которые по-прежнему формально подходят к этому делу. Люди врут и самым бессовестным образом врут, делая вид, а, делая только вид, калечат людей, что учат, как не следует. Я могу это совершенно определенно заявить. Надо вам сказать, я лично сам очень много занимаюсь этим делом, провожу много занятий с командирами, но должен сознаться, что очень часто я остаюсь совершенно неудовлетворенным тем, что получается. Нет удовлетворения — не то получилось, что хочется, несмотря на то, что после каждого занятия спросишь десяток товарищей и получаешь ответы: я получил на занятии то-то и то-то. Ощущение такое, что ты не сделал того, что хотел. Допустим, у тебя сидит 30 чел., и ты не можешь сказать после учения, что каждый на-столько-то поднялся.</w:t>
      </w:r>
    </w:p>
    <w:p w14:paraId="1062D7B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Из президиума.</w:t>
      </w:r>
      <w:r w:rsidRPr="00E14102">
        <w:rPr>
          <w:color w:val="000000" w:themeColor="text1"/>
          <w:sz w:val="16"/>
          <w:szCs w:val="16"/>
        </w:rPr>
        <w:t xml:space="preserve"> Это, конечно, чувствуется в том случае, если человек не лишен самокритики.</w:t>
      </w:r>
    </w:p>
    <w:p w14:paraId="3AFAC0C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 Я</w:t>
      </w:r>
      <w:r w:rsidRPr="00E14102">
        <w:rPr>
          <w:color w:val="000000" w:themeColor="text1"/>
          <w:sz w:val="16"/>
          <w:szCs w:val="16"/>
        </w:rPr>
        <w:t xml:space="preserve"> хочу рассказать один случай. Я приехал на сбор командиров полков, занятия шли на тему — форсирование речной преграды. Мы нарочно дали задачу не по инструкции, потому что надоело беспрерывное сидение на прорыве, на узких фронтах. Мы дали встречный бой с использованием танков и авиации на широком фронте, чтобы отвлечь от узкости, потому что на узкостях действует только часть войск. Я приехал на это отвратительно подготовленное занятие, до того отвратительно, что люди не знали, зачем они сидели, по крайней мере до тех пор, пока я приехал, после чего мы все обломали и попробовали исправить. Надо сказать, что на картах занятия по форсированию никак не удаются. Попробуйте проделайте в комнате, а потом выйдите на реку и посмотрите, как произвести рекогносцировку, где десант, где мост, в какой последовательности и т.д. В комнате по карте все идет гладко, но переправы-то не будет.</w:t>
      </w:r>
    </w:p>
    <w:p w14:paraId="40C273B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поправил, дал соответствующие указания, а после этого говорю: тов. начальник штаба, после заседания Военного совета соберите командиров батальонов на сборы. Я предъявляю к сборам такие-то определенные требования. Вы проконтролируйте подготовку руководителей к занятиям и вообще к сборам. И рядом стоящий командир, которого я только что резко раскритиковал (а надо сказать, это общеармейская проблема, которая остается основной и главной — как учить и насколько ты умеешь учить), говорит: «Да, это мы сделаем так, как было у меня». Только что я говорил о его сборе, что его дело очень плохо, что он не подготовился и т.д., а он — «сделает, как у меня». Вот это самомнение, уверенность людей в больших силах, что у них дело идет хорошо меня возмущает. Почему я с таким упором об этом говорю? Добиться результатов можно только в том случае, если часто и много учишь. Все дело в частоте и особенно в качестве.</w:t>
      </w:r>
    </w:p>
    <w:p w14:paraId="7EDD78F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говорю вот о чем. Меня спрашивал целый ряд товарищей, почему на маневрах сд, кд, полки работали правильно, правильно были организованы танки, пушки и самолеты. Я рассказал, что это только потому, что не бьшо такого полка, не бьшо такой дивизии, с которой мы по меньшей мере два десятка раз перед этим не проделали ряд учений по элементам.</w:t>
      </w:r>
    </w:p>
    <w:p w14:paraId="1176548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Возьмите вы такое простое дело, как расчленение или реагирование на воздух. Если для всех все это теоретически ясно, то на самом деле, если по-честному подойти к делу (я готов взять инспекцию в составе лиц, присутствующих в этом зале, и провести проверку в громадном количестве частей), в громадном количестве частей не освоено. Скажем, предвидеть налеты авиации отдельными самолетами, звеньями или отрядами и т.д., все элементы, которые ясны каждому ребенку, которые заключаются в том, чтобы расчленяться, но этого еще мало, а надо расчленяться и смыкаться обратно только с движением вперед, иначе авиация оставит тебя там, где ты был, в большинстве частей как следует не отработаны.</w:t>
      </w:r>
    </w:p>
    <w:p w14:paraId="03958CE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чем же здесь дело? В том, что эти учения требуют по 20— 40 мин. хорошего показа, и если люди сообразили и поняли суть дела, то получается совершенно другое. Во-первых, нужно знать, как это следует показать, и, во-вторых, нужно часто показывать. Вот в Германии в подобных случаях при выходе человеку дается 4 элемента. Первый раз сам расчленился. Второй раз я взял и положил, заявив, что убит командир батальона, вышла из строя такая-то пушка и т.д. и т.п. Я считаю, что коренным и отстающим вопросом, несмотря на резкий возрастающий тонус боевой подготовки Рабоче-крестьянской Красной армии и несмотря на то, что в очень большом количестве частей взаимодействие (в частности, по нашему округу), я могу с определенностью сказать, не вызывало никаких недоразумений, все-таки остается вопрос о методике воспитания; вопрос о командире — вопрос сегодняшнего дня: подготовиться, будь ты честен, добросовестен, ты не делай сложного размахивания рукой, как мельница, как это делают сотни людей, когда на самом деле — люди покалечены, а результатов никаких. Некоторые люди ведут интересные занятия на фоне исторических примеров, примеров своей части, так, например, многие говорят: вы помните, мы воевали в апреле месяце, воевали в очень интересной обстановке, когда наносили со своим полком тяжелые удары. И если поставить вопрос — сколько же у нас мастеров, да вообще имеются ли у нас мастера, обучающие этому делу, то окажется их не так много, что это самый серьезный момент. Здесь должно быть самое внимательное, самое критическое и большевистское отношение, иначе ничего не сделаешь.</w:t>
      </w:r>
    </w:p>
    <w:p w14:paraId="1B4AFC7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относительно отдельных родов войск. Результаты 1935 г. бесспорны. Их отрицать было бы нелепостью, ибо мы имеем движение вперед. Что мы имеем по стрелковому делу? Причем я здесь не согласен с Иваном Федоровичем Федько по второй части, что нужно сократить патроны на 30%. Я согласен с первой половиной, где говорится о необходимости улучшить методику.</w:t>
      </w:r>
    </w:p>
    <w:p w14:paraId="26C441D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За счет повышения методики.</w:t>
      </w:r>
    </w:p>
    <w:p w14:paraId="521DA79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Но мы считаем необходимым обязательно увеличить на полк количество патронов на 15 ООО при всяких условиях.</w:t>
      </w:r>
    </w:p>
    <w:p w14:paraId="56B2722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должен доложить, что у нас много безобразий организационного порядка. Мы выполняем трудные задачи, например первая задача очень трудна, настолько трудна, что люди на этой задаче сидят очень долго. Вы говорите, суррогатируйте стрелковую подготовку приборами, приспособлениями, мелкокалиберными патронами и т.д. А как все это дело выполняется? Мы, например, получили наряд в округе на 11 млн патронов. Это мало, но большое подспорье. А вот как мы их получаем по времени? В феврале мы получили 1 млн патронов, а ведь в это время уже пришел молодняк, нужно было его готовить, в мае — июне получили 3 млн патронов, в июле августе — 2 млн патронов, в октябре — 1 млн, в ноябре — 3 млн и до сего времени не получили 1*/</w:t>
      </w:r>
      <w:r w:rsidRPr="00E14102">
        <w:rPr>
          <w:color w:val="000000" w:themeColor="text1"/>
          <w:sz w:val="16"/>
          <w:szCs w:val="16"/>
          <w:vertAlign w:val="subscript"/>
        </w:rPr>
        <w:t>2</w:t>
      </w:r>
      <w:r w:rsidRPr="00E14102">
        <w:rPr>
          <w:color w:val="000000" w:themeColor="text1"/>
          <w:sz w:val="16"/>
          <w:szCs w:val="16"/>
        </w:rPr>
        <w:t xml:space="preserve"> млн. В то же время нам говорят: «Товарищи, экономьте боевые патроны, налегайте на мелкокалиберные». А мелкокалиберные патроны не поступают вовремя, и получается, что молодежь, которая поступает с октября месяца, сразу не втягивается в выстрел малокалиберным патроном, ибо их нет. В лучшем случае мы начинаем расходовать малокалиберные патроны с середины лета, и все это благодаря тому, что патроны поступают неправильно.</w:t>
      </w:r>
    </w:p>
    <w:p w14:paraId="16D2A53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 дело обстоит со стрелковой подготовкой? Конечно, мы стреляем неплохо и у нас боевые стрельбы лучше проходят, причем мы проводим и батальонные стрельбы, например с танками и пушками, но мы не можем сделать все это с 9 батальонами в дивизии, и я не знаю, есть ли в этом надобность. Я уже сказал, что в одном-двух батальонах дивизии это дело проходит и дает свои результаты. Это дело не новое. Я вам напомню, Климент Ефремович, что в 1929— 1930 г. вы смотрели такого рода стрельбу в Сырецком лагере.</w:t>
      </w:r>
    </w:p>
    <w:p w14:paraId="2A187D9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Причем смотрел неплохую стрельбу.</w:t>
      </w:r>
    </w:p>
    <w:p w14:paraId="0897624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Поражение было совершенно исключительным.</w:t>
      </w:r>
    </w:p>
    <w:p w14:paraId="32A0FAE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считаю, что в стрелецком деле нужно, во-первых, увеличить немного патронов, во-вторых, уменьшить задачу специалистам, оставить их задачу на 100 м, незачем им давать первую задачу. Артиллеристам, танкистам — была дана задача на 100 м, а теперь дают им первую задачу. Кроме того, нужно помочь нам патронами, во-</w:t>
      </w:r>
      <w:r w:rsidRPr="00E14102">
        <w:rPr>
          <w:color w:val="000000" w:themeColor="text1"/>
          <w:sz w:val="16"/>
          <w:szCs w:val="16"/>
        </w:rPr>
        <w:lastRenderedPageBreak/>
        <w:t>вторых, на приведение в порядок того, что приказал народный комиссар — винтовок непзапаса. Надо постепенно пристреливать, постольку поскольку у нас дерево бьшо неважным, надо проверить все это и пристрелять. Кроме того, нужны винтпатроны и на состязательные стрельбы.</w:t>
      </w:r>
    </w:p>
    <w:p w14:paraId="64C65EF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поводу прочих элементов. В танковом деле у нас есть значительные достижения. Я не буду говорить об изобретениях, которые у нас очень много, но обидно, что нет элементарного обмена опытом. Этого не делают ни Генштаб, ни соответствующие управления. Возьмите, например, вопрос о сцеплении танков. Ведь сцепляют 2—3 танка, сцепляют 3 танкетки. Недавно прибыл к нам целый ряд товарищей, целый ряд командиров батальонов, и они на это смотрят с открытыми глазами. У нас еще нет такого положения, чтобы обо всем этом знала вся армия. Возьмите второй вопрос. Тов. Федько правильно здесь высказался. У нас ведь есть целый ряд изобретателей. Надо обменяться опытом работы. У нас есть изобретатель Цыганов</w:t>
      </w:r>
      <w:r w:rsidRPr="00E14102">
        <w:rPr>
          <w:color w:val="000000" w:themeColor="text1"/>
          <w:sz w:val="16"/>
          <w:szCs w:val="16"/>
          <w:vertAlign w:val="superscript"/>
        </w:rPr>
        <w:t>44</w:t>
      </w:r>
      <w:r w:rsidRPr="00E14102">
        <w:rPr>
          <w:color w:val="000000" w:themeColor="text1"/>
          <w:sz w:val="16"/>
          <w:szCs w:val="16"/>
        </w:rPr>
        <w:t>, его изобретения известны. Какое же положение мы имеем с этим изобретением? Введение в строй этого танка до сего времени тормозится всеми мерами.</w:t>
      </w:r>
    </w:p>
    <w:p w14:paraId="2935E48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Кем тормозится?</w:t>
      </w:r>
    </w:p>
    <w:p w14:paraId="138DBF4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Промышленностью.</w:t>
      </w:r>
    </w:p>
    <w:p w14:paraId="3FEEE5C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Танки заказаны</w:t>
      </w:r>
    </w:p>
    <w:p w14:paraId="4AF1A98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Вы знаете, что после разговора у вас и у т. Орджоникидзе</w:t>
      </w:r>
      <w:hyperlink r:id="rId262" w:anchor="_ftn6" w:history="1">
        <w:r w:rsidRPr="00E14102">
          <w:rPr>
            <w:rStyle w:val="a4"/>
            <w:color w:val="000000" w:themeColor="text1"/>
            <w:sz w:val="16"/>
            <w:szCs w:val="16"/>
          </w:rPr>
          <w:t>[6]</w:t>
        </w:r>
      </w:hyperlink>
      <w:r w:rsidRPr="00E14102">
        <w:rPr>
          <w:color w:val="000000" w:themeColor="text1"/>
          <w:sz w:val="16"/>
          <w:szCs w:val="16"/>
        </w:rPr>
        <w:t>, первый танк построили все-таки в мастерской, а промышленность провалила это дело.</w:t>
      </w:r>
    </w:p>
    <w:p w14:paraId="3400AC2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Кто построил?</w:t>
      </w:r>
    </w:p>
    <w:p w14:paraId="18D847E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Отделенный командир, произведенный наркомом в командиры взвода — первый офицерский чин.</w:t>
      </w:r>
    </w:p>
    <w:p w14:paraId="3C4B418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А что за особенности этого танка?</w:t>
      </w:r>
    </w:p>
    <w:p w14:paraId="2E1EE03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Когда тт. Сталин и Ворошилов в прошлом году в Кремле, выступая, ставили задачи родам войск, то т. Сталин сказал: «Надо добиться того, чтобы не было такого положения (я не знаю, как он точно выразился, но мне так передавали), когда, потеряв гусеницу, ты теряешь эту громоздкую массу брони, металла и т.д.». И вот этот парень поставил танк на катки и получил два сногсшибательных эффекта. К сожалению, я не могу показать, но если взять две ручки, то выходит таким образом, что, когда ты к танку двинешься по земле, ты делаешь оборот, а когда делаешь оборот по катку, то каток делает оборот по земле и получается в два раза быстрее. Он сделал так, что каждая ось самостоятельно управляется. Если ты вышибаешь 3, 4, 5 катков у него, все выбьешь, то танк продолжает двигаться сам. Он выполнил то, что сказали тт. Сталин и Ворошилов. Потом оказалось, на приеме т. Серго напоил его чаем с бутербродами, сказали, что это дело прекрасное, а потом промышленники прижали, и все-таки пришлось танк сделать в своей мастерской.</w:t>
      </w:r>
    </w:p>
    <w:p w14:paraId="718C92F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Танк этот сделан и проверен, он не совсем такой, как говорит Якир. По идее устроен по-иному.</w:t>
      </w:r>
    </w:p>
    <w:p w14:paraId="38EE162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Халепский.</w:t>
      </w:r>
      <w:r w:rsidRPr="00E14102">
        <w:rPr>
          <w:color w:val="000000" w:themeColor="text1"/>
          <w:sz w:val="16"/>
          <w:szCs w:val="16"/>
        </w:rPr>
        <w:t xml:space="preserve"> Во-первых, сделан танк БТ. Там синхронизирован и колесный ход, и гусеничный. Если мы выбиваем гусеницу, то колеса не могут работать, нужно включать дополнительный механизм, чтобы колеса работали, а Цыганов сделал так, что работают одновременно колеса и гусеница. Если гусеницу оборвет, он идет так, как и на гусенице. Если не будет колес, он идет так, как на колесах. Он сделал шесть коротких сцеплений и понизил удельное давление на один кв. сантиметр. На Ходынском поле это проделывали на грязи, и эта машина ходила на колесах, как на гусенице, и на гусенице, как на колесах. Вот идея. 10 штук народный комиссар приказал заказать.</w:t>
      </w:r>
    </w:p>
    <w:p w14:paraId="20D4672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И очевидно, в этом году сможем перейти на валовое производство.</w:t>
      </w:r>
    </w:p>
    <w:p w14:paraId="0F870C1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 Я</w:t>
      </w:r>
      <w:r w:rsidRPr="00E14102">
        <w:rPr>
          <w:color w:val="000000" w:themeColor="text1"/>
          <w:sz w:val="16"/>
          <w:szCs w:val="16"/>
        </w:rPr>
        <w:t xml:space="preserve"> это говорю не только к тому, чтобы рассказать вам о танках. Я мог бы перечислить полсотни исключительных изобретений.</w:t>
      </w:r>
    </w:p>
    <w:p w14:paraId="4AE82AB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Возьмите такую простую штуку: на танке и танкетке поставили согнутую стальную трубу, которая лежит вот так (</w:t>
      </w:r>
      <w:r w:rsidRPr="00E14102">
        <w:rPr>
          <w:rStyle w:val="a6"/>
          <w:i w:val="0"/>
          <w:color w:val="000000" w:themeColor="text1"/>
          <w:sz w:val="16"/>
          <w:szCs w:val="16"/>
        </w:rPr>
        <w:t>показывает</w:t>
      </w:r>
      <w:r w:rsidRPr="00E14102">
        <w:rPr>
          <w:color w:val="000000" w:themeColor="text1"/>
          <w:sz w:val="16"/>
          <w:szCs w:val="16"/>
        </w:rPr>
        <w:t>). Когда танк подходит к какому-нибудь препятствию, он опускает эту трубу вот так и при помощи этой трубы влезает. Простое дело. Совершенно элементарное. Может быть, в целом ряде других мест имеются другие хорошие попытки, но обмена опытом у нас мало.</w:t>
      </w:r>
    </w:p>
    <w:p w14:paraId="47BBB68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Халепский.</w:t>
      </w:r>
      <w:r w:rsidRPr="00E14102">
        <w:rPr>
          <w:color w:val="000000" w:themeColor="text1"/>
          <w:sz w:val="16"/>
          <w:szCs w:val="16"/>
        </w:rPr>
        <w:t xml:space="preserve"> Относительно обмена опытом. У нас все приспособления Белорусского, Украинского и Ленинградского военных округов суммированы и розданы. Так что говорить о том, что у нас разрыв во всеармейском масштабе — неправильно.</w:t>
      </w:r>
    </w:p>
    <w:p w14:paraId="075713A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Подожди, Халепский. Сегодня все танки могли бы стоять на сцепке. Три копейки этому цена. Однако этот вопрос тянется уже три года.</w:t>
      </w:r>
    </w:p>
    <w:p w14:paraId="329A55C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Халепский. Я</w:t>
      </w:r>
      <w:r w:rsidRPr="00E14102">
        <w:rPr>
          <w:color w:val="000000" w:themeColor="text1"/>
          <w:sz w:val="16"/>
          <w:szCs w:val="16"/>
        </w:rPr>
        <w:t xml:space="preserve"> могу дать объяснение по этому поводу.</w:t>
      </w:r>
    </w:p>
    <w:p w14:paraId="65DA424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Якир, конечно, прав. Нужно не осведомлять, а нужно эти сцепки сделать.</w:t>
      </w:r>
    </w:p>
    <w:p w14:paraId="012EAA5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Халепский.</w:t>
      </w:r>
      <w:r w:rsidRPr="00E14102">
        <w:rPr>
          <w:color w:val="000000" w:themeColor="text1"/>
          <w:sz w:val="16"/>
          <w:szCs w:val="16"/>
        </w:rPr>
        <w:t xml:space="preserve"> Сцепки уже на заводе. Там причина заключается в следующем. Нужно разрешить один элемент, т.е. преодоление препятствий, больших окопов и т.д. Когда вы расцепите танки, то у вас хвост начинает упираться в землю, и машина теряет маневренность, не может дать обратный ход. Это раз. Второе</w:t>
      </w:r>
    </w:p>
    <w:p w14:paraId="7648A23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Подожди, Иннокентий Андреевич</w:t>
      </w:r>
      <w:hyperlink r:id="rId263" w:anchor="_ftn7" w:history="1">
        <w:r w:rsidRPr="00E14102">
          <w:rPr>
            <w:rStyle w:val="a4"/>
            <w:color w:val="000000" w:themeColor="text1"/>
            <w:sz w:val="16"/>
            <w:szCs w:val="16"/>
          </w:rPr>
          <w:t>[7]</w:t>
        </w:r>
      </w:hyperlink>
      <w:r w:rsidRPr="00E14102">
        <w:rPr>
          <w:color w:val="000000" w:themeColor="text1"/>
          <w:sz w:val="16"/>
          <w:szCs w:val="16"/>
        </w:rPr>
        <w:t>, ты доложишь об этом Клименту Ефремовичу в его кабине.</w:t>
      </w:r>
    </w:p>
    <w:p w14:paraId="5B83178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Халепский.</w:t>
      </w:r>
      <w:r w:rsidRPr="00E14102">
        <w:rPr>
          <w:color w:val="000000" w:themeColor="text1"/>
          <w:sz w:val="16"/>
          <w:szCs w:val="16"/>
        </w:rPr>
        <w:t xml:space="preserve"> Я хочу только сказать, что я не против этого и всячески стараюсь осуществлять.</w:t>
      </w:r>
    </w:p>
    <w:p w14:paraId="4F2B7B3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Я считаю, что в танках мы имеем, безусловно, целый ряд достижений. Но нельзя и здесь забывать ряд стоящих перед нами вопросов.</w:t>
      </w:r>
    </w:p>
    <w:p w14:paraId="5223355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Вот общий вопрос, к которому я подойду несколько позднее — о соединенных звеньях. У нас есть масса танков, а пушки сопровождения пока нет, она будет, она пока производится, но сейчас ее нет. У нас очень много танков, но тыл крупных механизированных соединений в боевом отношении ничем не прикрыт, не имеет своих собственных средств, которые могли бы прикрыть гигантскую кишку машин, которая будет подвозить бензин и т.д. Есть целый ряд таких вопросов. Но все же и в танках мы добились многого.</w:t>
      </w:r>
    </w:p>
    <w:p w14:paraId="2BC2193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Вот, например, мы изобрели, я не знаю, т. народный комиссар, почему это дело систематически тормозится, мы проверили, что никакого труда это не составляет — поставить дополнительный бачок на ТБ-26</w:t>
      </w:r>
      <w:r w:rsidRPr="00E14102">
        <w:rPr>
          <w:color w:val="000000" w:themeColor="text1"/>
          <w:sz w:val="16"/>
          <w:szCs w:val="16"/>
          <w:vertAlign w:val="superscript"/>
        </w:rPr>
        <w:t>45</w:t>
      </w:r>
      <w:r w:rsidRPr="00E14102">
        <w:rPr>
          <w:color w:val="000000" w:themeColor="text1"/>
          <w:sz w:val="16"/>
          <w:szCs w:val="16"/>
        </w:rPr>
        <w:t>. Введение же такого дополнительного бачка дает возможность любому танку иметь горючее на 250 км. Так что этот вопрос надо как можно быстрее решить. Этот бачок совершенно не занимает места. Надо понять, что я все это говорю не в укор, конечно, все что делается, но надо ускорить темпы. Мы располагаем тысячами, если не называть более точной цифры, танков, которых нигде нет. Надо смотреть, чтобы некоторые детали, которые стоят недорого, каких-нибудь три копейки, дополняли бы и улучшали это самое дело.</w:t>
      </w:r>
    </w:p>
    <w:p w14:paraId="504DCE7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уже доложил, что в пехотной дивизии взаимодействие мы получили, в конной дивизии мы тоже взаимодействие получили, и, несмотря на это, я совершенно согласен с теми товарищами, которые говорят, что батальоны, батальонные штабы остаются таким звеном, которое требует сугубого внимания. Чтобы не останавливаться на этом вопросе, я поддерживаю тех товарищей, которые считают, что обязательно нужно создать школы для этой категории, школы для перехода среднего командного состава в старший комсостав. С другой стороны, я просил бы поручить специально ознакомиться с тем гигантским количеством школ, которые имеются в Рабоче-крестьянской Красной армии и которые не дают жить частям. Мне говорят, 500 командиров на переподготовку идут из одного рода войск.</w:t>
      </w:r>
    </w:p>
    <w:p w14:paraId="53F748C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Если «Выстрел» организовать, то он еще потянет.</w:t>
      </w:r>
    </w:p>
    <w:p w14:paraId="50B0036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Василий Николаевич</w:t>
      </w:r>
      <w:hyperlink r:id="rId264" w:anchor="_ftn8" w:history="1">
        <w:r w:rsidRPr="00E14102">
          <w:rPr>
            <w:rStyle w:val="a4"/>
            <w:color w:val="000000" w:themeColor="text1"/>
            <w:sz w:val="16"/>
            <w:szCs w:val="16"/>
          </w:rPr>
          <w:t>[8]</w:t>
        </w:r>
      </w:hyperlink>
      <w:r w:rsidRPr="00E14102">
        <w:rPr>
          <w:color w:val="000000" w:themeColor="text1"/>
          <w:sz w:val="16"/>
          <w:szCs w:val="16"/>
        </w:rPr>
        <w:t>, ты подожди, это дело Генерального штаба, надо им заняться. Вы все присваиваете звания. К кому ни приедешь, они сидят и присваивают звания, а нашими делами не занимаются.</w:t>
      </w:r>
    </w:p>
    <w:p w14:paraId="0B7FBC6C" w14:textId="77777777" w:rsidR="00970104" w:rsidRPr="00E14102" w:rsidRDefault="00970104" w:rsidP="00E14102">
      <w:pPr>
        <w:pStyle w:val="rtejustify"/>
        <w:spacing w:before="0" w:after="0"/>
        <w:rPr>
          <w:color w:val="000000" w:themeColor="text1"/>
          <w:sz w:val="16"/>
          <w:szCs w:val="16"/>
        </w:rPr>
      </w:pPr>
      <w:r w:rsidRPr="00E14102">
        <w:rPr>
          <w:rStyle w:val="a3"/>
          <w:b w:val="0"/>
          <w:color w:val="000000" w:themeColor="text1"/>
          <w:sz w:val="16"/>
          <w:szCs w:val="16"/>
        </w:rPr>
        <w:t>Халепский,</w:t>
      </w:r>
    </w:p>
    <w:p w14:paraId="3E6C3694" w14:textId="77777777" w:rsidR="00970104" w:rsidRPr="00E14102" w:rsidRDefault="00970104" w:rsidP="00E14102">
      <w:pPr>
        <w:pStyle w:val="rtejustify"/>
        <w:spacing w:before="0" w:after="0"/>
        <w:rPr>
          <w:color w:val="000000" w:themeColor="text1"/>
          <w:sz w:val="16"/>
          <w:szCs w:val="16"/>
        </w:rPr>
      </w:pPr>
      <w:r w:rsidRPr="00E14102">
        <w:rPr>
          <w:rStyle w:val="a3"/>
          <w:b w:val="0"/>
          <w:color w:val="000000" w:themeColor="text1"/>
          <w:sz w:val="16"/>
          <w:szCs w:val="16"/>
        </w:rPr>
        <w:t>Левичев.</w:t>
      </w:r>
    </w:p>
    <w:p w14:paraId="5876A03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Вот вам присвоили звание, а нам жить не дают те, кому еще не присвоено.</w:t>
      </w:r>
    </w:p>
    <w:p w14:paraId="59ED064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Когда ты сидишь, присваиваешь звание, то видишь громадные категории людей. Возьмите любого танкиста, летчика — на протяжении последних 4 лет прошли 3-4 школы, курсы.</w:t>
      </w:r>
    </w:p>
    <w:p w14:paraId="75173A7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Потому мы и успеваем.</w:t>
      </w:r>
    </w:p>
    <w:p w14:paraId="172A010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Это мы, Климент Ефремович, увлекаемся.</w:t>
      </w:r>
    </w:p>
    <w:p w14:paraId="41764CA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вопрос. Вы дали указание, чтобы из авиационных бригад отправляли техников в школы летчиков-наблюдателей. Это совершенно правильно. Но ко мне приходят техники и говорят. Слушайте, какой смысл, если из меня, работающего на моторе (посмотрите мои руки), начинаете делать танкиста, которой мы совсем не знаем, не лучше ли нас готовить в первую очередь инженерами.</w:t>
      </w:r>
    </w:p>
    <w:p w14:paraId="7268483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В свое время этот вопрос стоял, если начнем брать из войск, то и против того и другого возражают.</w:t>
      </w:r>
    </w:p>
    <w:p w14:paraId="25A8194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Вы как-нибудь сведите концы с концами. Авиация нам нужна. В авиации нужны определенные категории работников. Летчики-наблюдатели должны быть, штурманы должны быть и т.д. Откуда их брать? Нужно брать этих людей из армии. Когда мы стали брать командиров взводов, вы закричали караул, а Алкснис протестует, и все работники авиации взвыли, что мало даем командиров из армии.</w:t>
      </w:r>
    </w:p>
    <w:p w14:paraId="3CDDF5B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Вы не даете мне сказать, Климент Ефремович, о чем идет речь. Это все совершенно верно. Но нельзя же здесь перегибать, когда речь идет о сложной специальности, а сейчас наряд 50 техников на бригаду, это неправильно, потому что эти техники хотят быть инженерами. А если он будет техником, из него дальше техника ничего не выйдет. Я за это.</w:t>
      </w:r>
    </w:p>
    <w:p w14:paraId="2A28F15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Фельдман.</w:t>
      </w:r>
      <w:r w:rsidRPr="00E14102">
        <w:rPr>
          <w:color w:val="000000" w:themeColor="text1"/>
          <w:sz w:val="16"/>
          <w:szCs w:val="16"/>
        </w:rPr>
        <w:t xml:space="preserve"> (</w:t>
      </w:r>
      <w:r w:rsidRPr="00E14102">
        <w:rPr>
          <w:rStyle w:val="a6"/>
          <w:i w:val="0"/>
          <w:color w:val="000000" w:themeColor="text1"/>
          <w:sz w:val="16"/>
          <w:szCs w:val="16"/>
        </w:rPr>
        <w:t>Реплика не слышна.)</w:t>
      </w:r>
    </w:p>
    <w:p w14:paraId="7FBF210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Вы вообще последнее время, т. Фельдман, ничего не делаете. Старый полк без полковника может существовать, но новый полк без него не может жить.</w:t>
      </w:r>
    </w:p>
    <w:p w14:paraId="6262A02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А зато звание.</w:t>
      </w:r>
    </w:p>
    <w:p w14:paraId="7CA78C6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И 26 дивизий новый кав [полк], мехполк должен был родиться без командира полка и без помполита.</w:t>
      </w:r>
    </w:p>
    <w:p w14:paraId="42C326A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По вопросу артиллерии я согласен с тем, что говорил Роговский и что большим достижением является стрельба без пристрелки. Но вопрос о групповой стрельбе является очень серьезным и важным вопросом, и этот вопрос требует сугубого внимания ко всему артиллерийскому составу. К этому надо поставить вопрос оборудования средствами артиллерии. Вот наши разведывательные дивизионы до сих пор не укомплектованы, поэтому стрельба при помощи этих средств затруднена и проводится очень медленно. Наши зву-ко- и светометрические приборы работают не вполне доброкачественно, поэтому на разведывательную службу надо обратить </w:t>
      </w:r>
      <w:r w:rsidRPr="00E14102">
        <w:rPr>
          <w:color w:val="000000" w:themeColor="text1"/>
          <w:sz w:val="16"/>
          <w:szCs w:val="16"/>
        </w:rPr>
        <w:lastRenderedPageBreak/>
        <w:t>очень серьезное внимание. В чем я хотел бы поддержать особенно т. Ро-говского, так это в следующем. Роговский немножко стеснительно сказал о том, что у нас в зенитной артиллерии того-то и того-то нет. И все-таки хочу внести ясность и сказать просто, что у нас правил стрельб нет, а те, которые у нас есть, они попросту неправильные</w:t>
      </w:r>
      <w:r w:rsidRPr="00E14102">
        <w:rPr>
          <w:color w:val="000000" w:themeColor="text1"/>
          <w:sz w:val="16"/>
          <w:szCs w:val="16"/>
          <w:vertAlign w:val="superscript"/>
        </w:rPr>
        <w:t>46</w:t>
      </w:r>
      <w:r w:rsidRPr="00E14102">
        <w:rPr>
          <w:color w:val="000000" w:themeColor="text1"/>
          <w:sz w:val="16"/>
          <w:szCs w:val="16"/>
        </w:rPr>
        <w:t>. Теперь вы, т. народный комиссар, подчинили это дело ему. Он начал это дело двигать; по-моему, надо это дело форсировать и продвигать вперед быстрей.</w:t>
      </w:r>
    </w:p>
    <w:p w14:paraId="53AE0A9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Ведь у нас с вопросами о противовоздушных стрельбах дело обстоит очень плохо. И когда тут некоторые товарищи говорят о том, что вот они побили такой-то процент, то я вижу, что, как правило, попадание вроде получается туда, куда надо, а поражения нет, т.е. район попадания правилен, а поражения нет. Поэтому вопрос об издании правил стрельб для зенитной артиллерии является очень серьезным вопросом, который необходимо форсировать.</w:t>
      </w:r>
    </w:p>
    <w:p w14:paraId="56D81DD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поскольку Климент Ефремович смотрит на часы, я позволю себе остановиться на вопросе относительно авиации. Мы, конечно, имеем очень большие достижения в этой области, вы читали, наверное, доклад т. Хрипина. Если мы возьмем самолет, звено, отряд — то здесь мы имеем очень большие достижения. Но если вы поставите вопрос о бое (тут, мне кажется, т, Грязнов об этом говорил), то по вопросу о правилах проведения боя крупными авиационными соединениями у нас никакой инструкции нет. У нас есть правила для отдельных самолетов. Для отрядов — нет, для эскадрильи — нет. Пока мы делаем так, что у нас летит бригада под прикрытием крейсеров, истребителей и каждый мудрит по-своему. Но представьте себе, что к сбору подходят 33 истребителя. О поведении всего этого наряда где такие указания есть? Нигде не указано, и все мы мудрим по этому вопросу, так как никаких данных нет. Кроме этого, я считаю, что и методика у нас не совсем правильна. Вот вы имеете летчиков 1-го года службы и летчиков 2-го года службы. Летчиков</w:t>
      </w:r>
    </w:p>
    <w:p w14:paraId="3BFE822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1-го года службы ввести в соединения нельзя, а 2-го года — можно. А мне все летчики в один голос говорят, что в соединении первогод-ники будут работать в сто раз лучше, нежели в самостоятельных действиях. Это и понятно, потому что штурмовать там проще, бомбежка проще, человек действует механически: нажал рычаг, и все. Ведь тут получается совершенно другая комбинация и на самом деле, я же проверял это дело, этого в инструкции нет.</w:t>
      </w:r>
    </w:p>
    <w:p w14:paraId="2DD4B87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говорю о том, что нам нужно программу исправить и изменить и дать летчикам работать уже первый год в стрельбе соединением. Причем дать ему работать самостоятельно, а во второй год надо укреплять его индивидуальные качества, т.е. чтобы он лучше владел всеми элементами как человек, а не как фоб, если говорить о настоящей работе его в авиации.</w:t>
      </w:r>
    </w:p>
    <w:p w14:paraId="54B6597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я остановлюсь на одном большом вопросе. Если мы с вами достигли в ряде частей, в большом количестве частей очень высоких результатов, то на нынешней стадии бьшо бы прямо реакционным, и мы совершили бы величайшую ошибку, если бы мы не разглядели всей профаммы. Вот я разговаривал с товарищами-тан-кистами по вопросу такого порядка. В свое время конница сходилась, развертывалась лавой, начинала рубать и рубала. Потом появился огонь, появились пулеметы, пушки, танки, и она этим была приведена в какой-то порядок. Но и на сегодня она в вопросе противовоздушной обороны остается в очень опасном положении, и если мы конницу не усилим хотя бы крупнокалиберными пулеметами, то она останется в очень тяжелом положении. Мне думается, что штурмовиков в таком количестве, как у нас, никто поставить не может, и никто дать такое количество ползающих на земле самолетов сегодня дать не может. В этом наше преимущество.</w:t>
      </w:r>
    </w:p>
    <w:p w14:paraId="7293241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Сегодня, а завтра?</w:t>
      </w:r>
    </w:p>
    <w:p w14:paraId="11DB60F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 Я</w:t>
      </w:r>
      <w:r w:rsidRPr="00E14102">
        <w:rPr>
          <w:color w:val="000000" w:themeColor="text1"/>
          <w:sz w:val="16"/>
          <w:szCs w:val="16"/>
        </w:rPr>
        <w:t xml:space="preserve"> говорю — сегодня.</w:t>
      </w:r>
    </w:p>
    <w:p w14:paraId="2824A86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Но я хотел поставить другой вопрос. Я провожу аналогично с конницей. У нас корпус управляется и слушается так, как этого хотело руководство, как этого хотел командующий армией. Мы добились в этом отношении громадных успехов. Вот мы проводили у нас такой опыт, делали это совершенно нарочно. Механизированная часть шла пешком со станции Староконстантинов до Гайсина, переход был большой, сделали с большим напряжением, там участвовали в маневрах — тоже с большим напряжением, а потом опять-таки пешком пошли домой. А ведь это переход не маленький, 14— 16 дней. И это сошло самым блестящим образом. Таким образом, мы видим, что техническая подготовка людей и прочее у нас поставлена хорошо. Но вот я задаю вопрос: у нас есть схема, по этой схеме во время боя механизированный корпус противника, и спрашивается — что нужно делать дальше? Я задаю этот вопрос потому, что он для меня не совсем ясен. Дальше что начинается? Дальше начинается рыцарский бой. Я не знаю, насколько правильно увлекаться боем танков с танками. Не знаю. Ведь тут у нас возможности довольно ограниченные.</w:t>
      </w:r>
    </w:p>
    <w:p w14:paraId="215D066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 тут возникает вопрос о работе артиллерии. Имейте в виду, что пушки бьют на расстояние 11, 12, 15 км, а мы считаем — 800 м, 1100, 1200 м. Отсюда возникает вопрос такой: не следует ли поставить проблему перехода в следующий класс? Что получается? Мы научились управлять, нас слушаются и авиация, и механизированные бригады и т.д., но вот когда дело доходит до того, что надо ударить, то у нас дело обстоит гораздо хуже. А это очень важный вопрос. Совершенно ясно, что мы будем иметь в области артиллерии очень большую силу со стороны противника. Ясно, что, если в каком-нибудь районе будут работать 100 пушек и давать 1000—2000 выстрелов в минуту, это ставит перед нами задачу ударить по уязвимым местам противника, собрать свой огонь и ударить по этим уязвимым местам. Пока еще в этом отношении у нас сделано очень мало. Я спрашиваю, почему мы не можем добиться такого положения, чтобы иметь возможность собрать свой огонь и им управлять. Ведь вы знаете, что в 1915 г., во время империалистической войны, устраивались танковые башенки — это оказывало большую помощь. Сейчас у нас в этом отношении возможности гораздо больше — у нас и телемеханика, и радиомеханика, все виды радиосвязи и т.д. Это все позволяет двинуться в этом отношении вперед, а здесь нами сделано еще очень мало, Я думаю, что на этот вопрос нам следовало бы обратить серьезное внимание.</w:t>
      </w:r>
    </w:p>
    <w:p w14:paraId="08CB83D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добились в части боевой подготовки очень и очень многого и в вопросах авиации, и в вопросах механизированных бригад, и в вопросах артиллерии, но нам предстоит сделать еще большее. И я думаю, было бы величайшей ошибкой в какой бы то ни было степени удовлетвориться достигнутыми результатами, считать, что мы уже все сделали и на этом успокоиться. Несомненно, это было бы большой ошибкой, и мы этого делать не должны. Я думаю, что наша задача заключается в том, чтобы и дальше двигаться вперед.</w:t>
      </w:r>
    </w:p>
    <w:p w14:paraId="028DDAE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46-49.</w:t>
      </w:r>
    </w:p>
    <w:p w14:paraId="1714675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Кожанов.</w:t>
      </w:r>
      <w:r w:rsidRPr="00E14102">
        <w:rPr>
          <w:color w:val="000000" w:themeColor="text1"/>
          <w:sz w:val="16"/>
          <w:szCs w:val="16"/>
        </w:rPr>
        <w:t xml:space="preserve"> Работая в течение последних двух лет над выполнением приказа № 0101 и 0102</w:t>
      </w:r>
      <w:bookmarkStart w:id="53" w:name="_ftnref9"/>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"http://istmat.info/node/33258" \l "_ftn9" \o "" </w:instrText>
      </w:r>
      <w:r w:rsidR="00B64C5C" w:rsidRPr="00E14102">
        <w:rPr>
          <w:color w:val="000000" w:themeColor="text1"/>
          <w:sz w:val="16"/>
          <w:szCs w:val="16"/>
        </w:rPr>
        <w:fldChar w:fldCharType="separate"/>
      </w:r>
      <w:r w:rsidRPr="00E14102">
        <w:rPr>
          <w:rStyle w:val="a4"/>
          <w:color w:val="000000" w:themeColor="text1"/>
          <w:sz w:val="16"/>
          <w:szCs w:val="16"/>
        </w:rPr>
        <w:t>[9]</w:t>
      </w:r>
      <w:r w:rsidR="00B64C5C" w:rsidRPr="00E14102">
        <w:rPr>
          <w:color w:val="000000" w:themeColor="text1"/>
          <w:sz w:val="16"/>
          <w:szCs w:val="16"/>
        </w:rPr>
        <w:fldChar w:fldCharType="end"/>
      </w:r>
      <w:bookmarkEnd w:id="53"/>
      <w:r w:rsidRPr="00E14102">
        <w:rPr>
          <w:color w:val="000000" w:themeColor="text1"/>
          <w:sz w:val="16"/>
          <w:szCs w:val="16"/>
        </w:rPr>
        <w:t>, где главная задача народным комиссаром поставлена — воздушно-морской бой, мы приходим к тому мнению, что характер операции значительно изменился под влиянием прежде всего увеличенных скоростей кораблей, увеличенных скоростей авиации, увеличенной дальнобойности артиллерии, улучшения технических элементов торпед, широкого применения, небывалого применения на море авиацией: торпед, мин, бомб, химических средств борьбы.</w:t>
      </w:r>
    </w:p>
    <w:p w14:paraId="04CCC1F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Эти особенности изменения характера операций на море прежде всего выражаются в скоротечности, глубине и внезапности удара. Эти особенности принизывают все операции на море от начала до конца и прежде всего в вопросе о готовности кораблей, о марш-маневре, развертывании, бое и боевом управлении. Подводные лодки еще в мировую войну увеличили готовность кораблей и вызвали к жизни новые орудия и порядки. Вышеуказанные средства борьбы на море не только значительно увеличили готовность оружия, повысили эту готовность, но и требуют серьезной организации этого оружия на корабле, в отряде, в эскадре. Короче говоря, новые средства борьбы на море требуют от кораблей мгновенного введения в действие всего оружия и таких гибких ордеров и порядков, которые давали бы возможность развертываться и переразвертываться. К этой работе Черноморский флот приступил еще в прошлом году и особенно интенсивно работал в этом году. Мы пересмотрели ряд готовностей, пересмотрели ордера и порядки. Вместе с тем этот вопрос еще имеет в себе много неясностей. Короче говоря, разработка этого вопроса только в начале.</w:t>
      </w:r>
    </w:p>
    <w:p w14:paraId="3E39A69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Переход эскадры — так назывался маневр по сосредоточению сил для боя. Само название «переход эскадры» носит в себе отпечаток беспечности. Новые же средства борьбы заставляют совершенно по-иному посмотреть на марш-маневр. Новые средства борьбы и на марш-маневре в состоянии нанести, могут наносить решительные удары. Авиация, подводные лодки, легкие силы могут совершенно свободно развивать такие действия.</w:t>
      </w:r>
    </w:p>
    <w:p w14:paraId="44B835A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Вместе с тем мы еще не приучили наших командиров всех степеней к той мысли, что марш-маневр — это не простой переход, не простой перелет, не простое плавание, а особая боевая деятельность, которой могут быть нанесены решительные удары. Кроме того, марш-маневр при новых средствах борьбы вызывает особые требования к себе, и прежде всего в вопросе быстроты и скрытности марш-маневра. Разбирая вопрос воздушно-морского боя в области развертывания, мы проходим также к такому мнению, что развертывание является наиболее трудным делом в воздушно-морском бою благодаря разнородности средств, и прежде всего разных скоростей и разного оружия. В самом деле, развертывание для высокого торпе-дометания нужно одно, другое — для низкого торпедометания, совершенно иное развертывание нужно для удара бомбами по кораблям флота; другое развертывание нужно для удара химическими средствами и т.д. Все это нужно привести, конечно, в известный порядок. Это наиболее трудное и сложное дело, в особенности во взаимодействии с подводными лодками. Вместе с тем именно в этом вопросе наши командиры легче всего сбиваются к схематизму, заскорузлым плановым таблицам, превращая развертывание в простое сосредоточение сил в определенное место, в определенное время.</w:t>
      </w:r>
    </w:p>
    <w:p w14:paraId="69F0641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Скоротечность боя на море повышает требования к маневру, ставит маневр на очень большую высоту. Если раньше морской бой развертывался в виде длительной артиллерийской дуэли двух кильватерных колонн, то новые средства вызвали совершенно иные методы. Современный бой требует молниеносных ударов и таких гибких ордеров и порядков, которые бы давали возможность развернуть для использования на полный ход все свое оружие. К сожалению, на эту часть, на быстрый и напряженный маневр между этими молниеносными ударами наши командиры меньше всего обращают внимание, и поэтому, как правило, использование оружия отстает от правильности его применения.</w:t>
      </w:r>
    </w:p>
    <w:p w14:paraId="463BFD2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Огонь от маневра, известно, неотделим и правильно начальник Генерального штаба Маршал Советского Союза т. Егоров журил нас по вопросу об огневой подготовке, говоря, что нельзя тактику винтами проводить. Это мы себе усвоили. Правда, мы считаем, что в тот момент, когда мы переходим с одного года на другой, осенью и весной мы будем эту самую тактику проводить ногами, пока мы молодняк не подготовим. Во всяком случае, огнем Черноморский флот успешно работал в течение 1935 г., причем мы решали огневые задачи самые сложные, в отличие от 1933 и 1934 гг. Теперь, как правило, все корабли, батареи проводят сложные стрельбы. Тов. Гамарник был у нас на одной из стрельб двух батарей — 30-й и 35-й 12-дюймо-вого калибра по одной цели и наблюдал эту сложную технику стрельбы двух батарей по единой цели. Однако такое усложнение ни в какой степени не может нас удовлетворить.</w:t>
      </w:r>
    </w:p>
    <w:p w14:paraId="066B894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Мы считаем, что в 1935 г. достигли усложнения техники стрельбы, но не добились усложнения управления огнем. Мы стреляем по невидимым целям. Это несложное дело — стрельба по невидимым и временно скрывающимся целям, если этим делом овладеть по-настоящему. Вся сложность заключается в сложности управления огнем, т.е. тогда, когда совершенно свободно маневрирует цель, когда свободно маневрирует стреляющий корабль, когда используется одновременно все оружие на корабле — главный калибр, средние калибры, зенитные и торпеды, и ночью, и днем, и в плохую погоду. В самом деле, сколько стрельбы мы проводим, если можно так выразиться, впустую, после первого поражения — пристреляешься после</w:t>
      </w:r>
    </w:p>
    <w:p w14:paraId="667D2C0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2-3 залпов, перейдя на поражение, и затем даешь 7—8 залпов на поражение по кораблю, идущему тем же самым курсом. Фактически выбрасываются при таком положении дорогие залпы. Нужно после первого пристрелявшегося залпа делать совершенно свободный маневр. Меняющаяся обстановка на море в связи с воздушным и морским боем по-иному ставит вопрос о боевом управлении.</w:t>
      </w:r>
    </w:p>
    <w:p w14:paraId="6B0FB35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Согласно приказа народного комиссара № 0019</w:t>
      </w:r>
      <w:bookmarkStart w:id="54" w:name="_ftnref10"/>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"http://istmat.info/node/33258" \l "_ftn10" \o "" </w:instrText>
      </w:r>
      <w:r w:rsidR="00B64C5C" w:rsidRPr="00E14102">
        <w:rPr>
          <w:color w:val="000000" w:themeColor="text1"/>
          <w:sz w:val="16"/>
          <w:szCs w:val="16"/>
        </w:rPr>
        <w:fldChar w:fldCharType="separate"/>
      </w:r>
      <w:r w:rsidRPr="00E14102">
        <w:rPr>
          <w:rStyle w:val="a4"/>
          <w:color w:val="000000" w:themeColor="text1"/>
          <w:sz w:val="16"/>
          <w:szCs w:val="16"/>
        </w:rPr>
        <w:t>[10]</w:t>
      </w:r>
      <w:r w:rsidR="00B64C5C" w:rsidRPr="00E14102">
        <w:rPr>
          <w:color w:val="000000" w:themeColor="text1"/>
          <w:sz w:val="16"/>
          <w:szCs w:val="16"/>
        </w:rPr>
        <w:fldChar w:fldCharType="end"/>
      </w:r>
      <w:bookmarkEnd w:id="54"/>
      <w:r w:rsidRPr="00E14102">
        <w:rPr>
          <w:color w:val="000000" w:themeColor="text1"/>
          <w:sz w:val="16"/>
          <w:szCs w:val="16"/>
        </w:rPr>
        <w:t xml:space="preserve"> боевое управление частями с помощью постановки задач мы широко применили на Черноморском флоте. Это имеет успех. Однако нужно, чтобы начсостав теперь тщательно прорабатывал сущность той операции, в которой он участвует, чтобы начсостав в оперативно-тактическом отношении был квалифицирован, короче говоря, чтобы он был культурно грамотным. Однако в боевом управлении на море исключительное значение играет отработка морского глаза. Морской глаз должен быть живой, быстрый, в связи с быстро меняющейся обстановкой должен быть пронзительным, чтобы даже ночью совершенно ясно видеть с кем имеешь дело — с линейным ли кораблем, с крейсером, миноносцем. Этот морской глаз должен быть выносливым в любую погоду, в пургу, в шторм он никогда не должен сдавать. Этот морской глаз, который имеет исключительное значение на море в боевом управлении, он не дается богом, а его нужно отработать. К сожалению, мы этот морской глаз отрабатываем лоцмановским путем, т.е. в течение нескольких десятков лет. Никакого труда и энергии мы не укладываем на настоящую, методическую отработку этого глаза. Командир может быть на море у нас немного глуховат, может не разобрать, что положить ему в рот или что осязают руки, но командир должен на море обладать исключительно живым, быстропронзительным глазом. На море бывает необходимость управлять просто, без всяких штабов. Командир корабля или командир соединения должен лично осмотреть и тут же, непосредственным сигналом, пистолетом — управлять кораблем, соединением. Вот почему я ставлю вопрос особо на отработку морского глаза среди командиров, начальствующего состава.</w:t>
      </w:r>
    </w:p>
    <w:p w14:paraId="5460929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же касается быстроты, кратчайшего способа передачи всяких приказаний и приказов, то я считаю, что система раскодирования, система шифрования не может удовлетворять требования военно-морского боя. И здесь мы опять-таки не прибегаем к тем средствам, которые уже давно у нас существуют, и с помощью которых мы можем быстро и четко передавать все распоряжения и приказания. Я веду речь о флажных книгах, которые у нас имеются, и о широком использовании их не только на стеньгах и ноках, но и о введении этих книг в шифровании, кодировании и т.д.</w:t>
      </w:r>
    </w:p>
    <w:p w14:paraId="17E446F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Однако это дело у нас совершенно запушенное. Двух-трехфлажные книжки надо приспособить к современным требованиям, а также потребовать от нашего начальствующего состава знания этих двух-трехфлажных книг, знать наизусть. Почему невозможно овладеть знанием двух-трехкнижных книжек, а потом все это дело пустить через шифрование, кодирование и т.д. Вместо того чтобы писать на корабле, на море, где быстро все изменится, где скорость является отличительной особенностью, писать огромные приказы, где можно и неправильно записать, затем с ошибками зашифруют, потом пока передадут, как было у нас, т. народный комиссар, через 9 часов расшифровали.</w:t>
      </w:r>
    </w:p>
    <w:p w14:paraId="2B82DCE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Это не потому, что нет двухфлажной книги, а потому, что нет порядка.</w:t>
      </w:r>
    </w:p>
    <w:p w14:paraId="566150B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Кожанов.</w:t>
      </w:r>
      <w:r w:rsidRPr="00E14102">
        <w:rPr>
          <w:color w:val="000000" w:themeColor="text1"/>
          <w:sz w:val="16"/>
          <w:szCs w:val="16"/>
        </w:rPr>
        <w:t xml:space="preserve"> Мы, т. народный комиссар, порядок после вашего указания навели и, как вы знаете, неплохо вышли из этого дела. Однако эти книги являются очень гибким боевым управлением.</w:t>
      </w:r>
    </w:p>
    <w:p w14:paraId="6E62BBF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Я не против книг... </w:t>
      </w:r>
      <w:r w:rsidRPr="00E14102">
        <w:rPr>
          <w:rStyle w:val="a6"/>
          <w:i w:val="0"/>
          <w:color w:val="000000" w:themeColor="text1"/>
          <w:sz w:val="16"/>
          <w:szCs w:val="16"/>
        </w:rPr>
        <w:t>(Смех.)</w:t>
      </w:r>
      <w:r w:rsidRPr="00E14102">
        <w:rPr>
          <w:color w:val="000000" w:themeColor="text1"/>
          <w:sz w:val="16"/>
          <w:szCs w:val="16"/>
        </w:rPr>
        <w:t xml:space="preserve"> Почему вы взываете к тов. Якиру, он помочь вам не может. </w:t>
      </w:r>
      <w:r w:rsidRPr="00E14102">
        <w:rPr>
          <w:rStyle w:val="a6"/>
          <w:i w:val="0"/>
          <w:color w:val="000000" w:themeColor="text1"/>
          <w:sz w:val="16"/>
          <w:szCs w:val="16"/>
        </w:rPr>
        <w:t>(Смех.)</w:t>
      </w:r>
    </w:p>
    <w:p w14:paraId="5CD309F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Кожанов.</w:t>
      </w:r>
      <w:r w:rsidRPr="00E14102">
        <w:rPr>
          <w:color w:val="000000" w:themeColor="text1"/>
          <w:sz w:val="16"/>
          <w:szCs w:val="16"/>
        </w:rPr>
        <w:t xml:space="preserve"> Он много понимает в этом деле, знает все книжки.</w:t>
      </w:r>
    </w:p>
    <w:p w14:paraId="27322AF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Кроме того, надо кратко остановиться на новом значении вопроса с базой. Если в мировую войну, да и теперь еще мы рассматриваем базы как место спокойной стоянки для нашего флота, то сейчас, с новыми средствами борьбы, мы базу не можем рассматривать как спокойную стоянку. Воздушные силы в корне изменили этот взгляд. Вот почему мы должны самое серьезное внимание обратить на оборону своих баз и на наступление на базы противника. Что касается обороны наших баз, то у нас имеется очень много чувствительных мест и прежде всего так называемый морской сектор, о котором здесь говорил т. Левандовский.</w:t>
      </w:r>
    </w:p>
    <w:p w14:paraId="4AA6FE3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Причем это докладывалось в течение очень многих лет, однако постоянно на всех учениях авиация, которая нападает на наши базы, застает нас врасплох только потому, что мы не можем организовать морской сектор. Мы не имеем для этого средств. И я прошу, т. народный комиссар, поддержать начальника Морских сил, который, как мне известно, предложит вам такие корабли-охотники и вместе с тем корабли, которые будут постами ВНОС. Правда, нас не заставали врасплох в Гражданскую войну; мы использовали зенитные форты, устанавливая их на баржах, и выносили далеко в море, использовали разные шаланды, баржи и т.п. Мы все это будем использовать, если понадобится, но я считаю, что в это дело нужно внести новую технику.</w:t>
      </w:r>
    </w:p>
    <w:p w14:paraId="0373CF4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Кроме того, вопрос с перезарядкой в базах является самым больным и чувствительным местом. У нас перезарядка происходит исключительно долго. Например, крейсер принимает нефть по 4 часа. Это немыслимо. В то же время мы можем сделать несколько дополнительных кранов и влить нефть в эти корабли за час или полтора. Сейчас же мы напитываем крейсера в течение 4 часов. Кроме того, в безобразном виде выглядят приемка боезапаса на кораблях, стоящих на рейде. К этим кораблям протискиваются баржи с боеприпасами, и в течение 3 часов корабли находятся в такой обстановке. Вопрос о перезарядке нам нужно решить не только в отношении кораблей, но и в отношении подводных лодок.</w:t>
      </w:r>
    </w:p>
    <w:p w14:paraId="0CE30F2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Затем по вопросу о базах большое значение имеет рассредоточение сил. У нас сейчас в базах огромное количество торпедных катеров и подводных лодок. А вместе с тем мы на наших отрядных учениях, малых и больших, еще не приучились заниматься вопросом рассредоточения подводных лодок, торпедных катеров и т.п. сил. Мы на наших учениях не приучились еще к тому, чтобы заставить наш начальствующий состав уметь маневрировать силами между базами. Как правило, все учения у нас проходят между двумя базами и не используются огромные преимущества, которые имеются, скажем, у нас в Черноморском флоте. Нужно научить начальствующий состав использовать эти базы. Это имеет очень большое значение.</w:t>
      </w:r>
    </w:p>
    <w:p w14:paraId="7DC97F3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Отсюда мы подходим вплотную к задачам обороны и охраны коммуникационных путей сообщения. Эта задача никогда у нас не стояла. Я считаю, что эту задачу надо поставить в 1936 г. и Черноморскому флоту, и Тихоокеанскому, да и Балтийскому. Везде эта задача стоит перед нами. Тут совершенно непочатый край работы. Никаких наставлений и инструкций не имеется. Даже больше того. Мы в течение ближайших 4—5 лет не проводили ни одного учения и ни одной игры на эту тему. А вместе с тем это — боевая задача. Итак, я считаю в вопросе об обороне и наступлении на базу, вопросы обороны и наступления на коммуникации должны являться основными задачами на 1936 г.</w:t>
      </w:r>
    </w:p>
    <w:p w14:paraId="362273B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49-51.</w:t>
      </w:r>
    </w:p>
    <w:p w14:paraId="62BD19F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Галлер.</w:t>
      </w:r>
      <w:r w:rsidRPr="00E14102">
        <w:rPr>
          <w:color w:val="000000" w:themeColor="text1"/>
          <w:sz w:val="16"/>
          <w:szCs w:val="16"/>
        </w:rPr>
        <w:t xml:space="preserve"> Я бы хотел доложить о выполнении одной из задач, которая была поставлена приказами народного комиссара обороны СССР на 1935 г. Я имею в виду применение тактики глубокого боя и выполнение сосредоточенного удара на Балтийском театре. В 1935 г. впервые на больших и малых отрядных учениях применялся метод удара на всю глубину порядка противника. Правда, недостаточность корабельного ресурса, главным образом недостаток легких сил, авиации и торпедных катеров, не позволили осуществить выполнение этой задачи в полной мере, однако я считаю, что положено прочное начало.</w:t>
      </w:r>
    </w:p>
    <w:p w14:paraId="0B99788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проводившихся учениях удавалось создавать обстановку, когда противник маневрировал, имея и охранение, и корабельный дозор. Удар наносился по всей глубине строя, имея задачей уничтожить средства дозора и охранения и главные силы. Опыт 1935 г. в дальнейшем должен быть развит, расширен и применяться в 1936 г., что, я надеюсь, позволят несколько большие ресурсы в 1936 г. В 1935 г. мы имели наставления, составленные применительно к выполнению этих операций. Наставления эти, несомненно, требуют переработки и исправлений, но, докладываю, основа положена. Если мы используем опыт этого года, то сумеем избежать тех элементов схематичности, которые иногда имели место и о которых здесь упоминали и начальник Генерального штаба, и начальник Морских сил. Несомненно, достижением является то, что командиры соединений, командиры кораблей и частей поняли поставленную им задачу, прониклись важностью ее, поэтому в 1936 г. будет нетрудно направить работу по правильному пути.</w:t>
      </w:r>
    </w:p>
    <w:p w14:paraId="19B10F6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касается огневой подготовки, то я согласен, что стрельбы в известной своей части носят еще полигонный простой характер, но в то же время на Балтийском море в 1935 г. был проведен ряд стрельб сложного порядка. Я имею в виду стрельбу линейного корабля из 2 калибров одновременно по разным целям, совместную стрельбу крупного калибра линейного корабля с 12-дюймовой батареей береговой обороны, ночную стрельбу по движущейся цели на дальности освещения прожектора. Наконец, я имею в виду стрельбу по невидимой цели 6-дюймовым калибром с задымленной батареи. Проводилось опытное учение по задымлению форта «Краснофлотский». Форт был полностью задымлен в течение 30 мин. Шестидюймовая батарея форта, будучи совершенно задымлена, при примитивных средствах управления огнем провела стрельбу по невидимой цели, по движущемуся щиту с корректировкой путем вынесенных постов наблюдения и самолета. Результат стрельбы отличный, несмотря на сложные условия.</w:t>
      </w:r>
    </w:p>
    <w:p w14:paraId="38A7FB9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Наконец, проведены все подготовительные упражнения и подготовительная мелкокалиберная стрельба для выполнения стрельбы 12-дюймового калибра линейного корабля по невидимой цели. Саму стрельбу в 1935 г. провести не удалось, но я считаю, что наличие готовых инструкций и результат предварительных упражнений позволяет рассчитывать, что в 1936 г. эта стрельба будет проведена. Задачей огневой подготовки на 1936 г., несомненно, является дальнейшее усложнение стрельб, переход с полигонных условий, о которых здесь говорилось, к обстановке, приближающейся к боевой.</w:t>
      </w:r>
    </w:p>
    <w:p w14:paraId="1F6CAE2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1935 г. дал Балтийскому флоту новую технику, новое оружие. Вступили в строй железнодорожные батареи, дальнобойные и крупнокалиберные, причем наиболее крупнокалиберная батарея провела первую стрельбу по движущейся цели на предельной дистанции с результатом выше хорошего.</w:t>
      </w:r>
    </w:p>
    <w:p w14:paraId="2761A1C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Интересно, сколько снарядов тратится на эту стрельбу?</w:t>
      </w:r>
    </w:p>
    <w:p w14:paraId="6788FF9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Галлер.</w:t>
      </w:r>
      <w:r w:rsidRPr="00E14102">
        <w:rPr>
          <w:color w:val="000000" w:themeColor="text1"/>
          <w:sz w:val="16"/>
          <w:szCs w:val="16"/>
        </w:rPr>
        <w:t xml:space="preserve"> 48.</w:t>
      </w:r>
    </w:p>
    <w:p w14:paraId="0DC19CE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Затем с успехом приступлено к освоению техники впервые появившихся на Балтийском театре подводных лодок типа «Малютка», приступлено к освоению новых больших подводных лодок типа «Правда»</w:t>
      </w:r>
      <w:r w:rsidRPr="00E14102">
        <w:rPr>
          <w:color w:val="000000" w:themeColor="text1"/>
          <w:sz w:val="16"/>
          <w:szCs w:val="16"/>
          <w:vertAlign w:val="superscript"/>
        </w:rPr>
        <w:t>47</w:t>
      </w:r>
      <w:r w:rsidRPr="00E14102">
        <w:rPr>
          <w:color w:val="000000" w:themeColor="text1"/>
          <w:sz w:val="16"/>
          <w:szCs w:val="16"/>
        </w:rPr>
        <w:t xml:space="preserve"> и нового миноносца, впервые подаваемых госпромыш-ленностью. Однако наряду с хорошими результатами по освоению техники, мы имеем в Балтийском флоте в этом году и случаи аварийности, и тяжелую катастрофу. Гибель подводной лодки Б-3 со всем ее личным составом, о чем докладывал начальник Морских сил РККА, В то же время я должен доложить народному комиссару обороны Маршалу Советского Союза, что весь личный состав Балтийского флота в течение года работал с громадным напряжением и упорством, большим энтузиазмом и достиг по основным видам боевой подготовки хороших результатов.</w:t>
      </w:r>
    </w:p>
    <w:p w14:paraId="57ACC5A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Несколько слов в отношении подготовки кадров. Начальник Морских сил в своем докладе отметил громадное значение для личного состава флота чисто морской подготовки, морской закалки, так как именно морская подготовленность в значительной степени является обеспечением других видов подготовки. В соответствии с этим особое внимание должно быть уделено подготовке в морском отношении будущих командиров-курсантов и слушателей военно-морских заведений как будущих командиров и воспитателей подчиненного им краснофлотского состава. Такая подготовка необходима, тем более что в связи с ростом флота продвижение по службе наших командиров является чрезвычайно быстрым. Если в Тихоокеанском флоте имеются командиры подлодок с пятилетним стажем, по окончании морского училища, то в Балтийском флоте большинство командиров подлодок типа «Малютка» окончили училища в 1931, 1932 и даже 1933 гг. Такой молодой состав требует к себе особого внимания, так как ему вверяется не только сложнейшая материальная часть, сама подлодка, но и судьба ее личного состава. Единственно, что помимо чисто технических познаний командир должен обладать в полной мере морскими качествами, умением найтись в сложной обстановке, принять правильное решение. Между тем подготовка наших будущих командиров находится в неблагоприятных условиях совершенной недостаточности специальных учебных кораблей. Основная тяжесть подготовки будущих командиров ложится ежегодно на Балтийский флот, на него же ложится и ответственность; ввиду недостатка учебных кораблей курсантов приходится размещать на боевых кораблях. С другой стороны, создается большая перегрузка боевых кораблей переменным составом, с другой стороны, курсанты не могут получить того, что им нужно, находясь на корабле сравнительно небольшие сроки и переходя в процессе стажировки с соединения на другое.</w:t>
      </w:r>
    </w:p>
    <w:p w14:paraId="1A273D9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1935 г. народный комиссар обороны оказал Морским силам помощь путем приобретения некоторого количества пароходов, приспосабливаемых под учебные корабли, однако, несмотря на это, и в 1936 г. положение будет чрезвычайно напряженным. Пароход находится в переделке на заводе Марти в Ленинграде</w:t>
      </w:r>
      <w:r w:rsidRPr="00E14102">
        <w:rPr>
          <w:color w:val="000000" w:themeColor="text1"/>
          <w:sz w:val="16"/>
          <w:szCs w:val="16"/>
          <w:vertAlign w:val="superscript"/>
        </w:rPr>
        <w:t>48</w:t>
      </w:r>
      <w:r w:rsidRPr="00E14102">
        <w:rPr>
          <w:color w:val="000000" w:themeColor="text1"/>
          <w:sz w:val="16"/>
          <w:szCs w:val="16"/>
        </w:rPr>
        <w:t xml:space="preserve"> и должен быть готов к началу навигации.</w:t>
      </w:r>
    </w:p>
    <w:p w14:paraId="6E72538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Будет готов?</w:t>
      </w:r>
    </w:p>
    <w:p w14:paraId="32FAFFB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Там плохо работают.</w:t>
      </w:r>
    </w:p>
    <w:p w14:paraId="6230E69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Гал/гер.</w:t>
      </w:r>
      <w:r w:rsidRPr="00E14102">
        <w:rPr>
          <w:color w:val="000000" w:themeColor="text1"/>
          <w:sz w:val="16"/>
          <w:szCs w:val="16"/>
        </w:rPr>
        <w:t xml:space="preserve"> Завод относится к этой работе халатно, и требуется особый нажим, чтобы пароход был своевременно готов. Положение с учебными кораблями осложняется тем, что некоторые старые учебные корабли («Комсомолец», «Красное знамя») требуют капитального ремонта. Собственными средствами мы выполнить его не можем. Необходимо, чтобы этот ремонт взяла на себя госпромышленность. Необходимо и приобретение новых пароходов. Иначе тяжелое положение будет продолжаться, и боевые корабли по-прежнему будут загружены курсантами, которые не смогут в полной мере получить то, что нужно. Моя просьба к народному комиссару обороны заключается в том, чтобы заставить госпромышленность взять на себя ремонт кораблей, которые нам нужны, и чтобы завод Марти своевременно изготовил корабль, который ему сдан в переделку.</w:t>
      </w:r>
    </w:p>
    <w:p w14:paraId="090C451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Последний вопрос — это взаимодействие с частями Ленинградского военного округа. В предыдущие годы у нас почти ежегодно бывали совместные учения. В этом году такого учения по некоторым причинам не удалось провести, пришлось ограничиться Кронштадтским стрелковым полком. Я считаю, что в 1936 г. обязательно должно быть проведено совместное учение с частями ЛВО для проверки всех видов взаимодействия.</w:t>
      </w:r>
    </w:p>
    <w:p w14:paraId="36C4643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51-52.</w:t>
      </w:r>
    </w:p>
    <w:p w14:paraId="274492E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Лавров. Я</w:t>
      </w:r>
      <w:r w:rsidRPr="00E14102">
        <w:rPr>
          <w:color w:val="000000" w:themeColor="text1"/>
          <w:sz w:val="16"/>
          <w:szCs w:val="16"/>
        </w:rPr>
        <w:t xml:space="preserve"> остановлюсь только на некоторых из итогов боевой подготовки Воздушных сил нашей армии в истекшем году.</w:t>
      </w:r>
    </w:p>
    <w:p w14:paraId="0CC47F5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Есть существенное различие в боевой подготовке и боевой готовности воздушных сил, находящихся на Дальнем Востоке и в европейской части Союза, причем это сравнение идет не в пользу последних. Мы готовимся здесь, я бы сказал, слишком по-мирному, причем дело здесь заключается не в том, что в этих частях много молодых летчиков. Но даже при этом условии в подготовке мы можем сделать значительно больше, чтобы подготовить себя для действий в условиях военного времени.</w:t>
      </w:r>
    </w:p>
    <w:p w14:paraId="6956C54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Например, мы имеем в Белорусском военном округе бригаду, которой командует т. Смушкевич</w:t>
      </w:r>
      <w:r w:rsidRPr="00E14102">
        <w:rPr>
          <w:color w:val="000000" w:themeColor="text1"/>
          <w:sz w:val="16"/>
          <w:szCs w:val="16"/>
          <w:vertAlign w:val="superscript"/>
        </w:rPr>
        <w:t>49</w:t>
      </w:r>
      <w:r w:rsidRPr="00E14102">
        <w:rPr>
          <w:color w:val="000000" w:themeColor="text1"/>
          <w:sz w:val="16"/>
          <w:szCs w:val="16"/>
        </w:rPr>
        <w:t>. Эта бригада живет уже несколько лет на трех аэродромах, обходясь тем, что у нее есть. Эта бригада вполне боеспособна потому, что она находится уже сейчас в условиях, близких к военному времени. По приказанию она может перебросить эскадрилью в любое место, вылетев очень быстро. Она приобрела свойства исключительной мобильности. А если мы попробуем поднять в МВО одну эскадрилью в Монинской бригаде и перебросить ее в Ростов, то это будет целое событие для бригады, которое потребует сбора всего начальства, специальной подготовки, бесчисленных совещаний и разговоров и т.д. — выполнение потребует очень много времени. Я считаю, что необходим переход на некоторый специфический режим, когда части постоянно держатся в боевой готовности, когда всем частям предъявляются требования непрерывной боеспособности — это резко поднимет боевую подготовку воздушных сил здесь — в европейской части Союза. Я полагаю, что для того чтобы впредь избежать того, о чем здесь говорил т. Уборевич — о раздергивании частей, — Генеральному штабу РККА следовало бы дать Управлению Воздушных сил РККА указание, что оно имеем право брать личный состав лишь из ограниченного числа эскадрилий, а из других не брать ни одного человека. Этим самым мы создадим то, что у нас в европейской части Союза будет хотя бы '/з воздушного флота находиться всегда в боевой готовности.</w:t>
      </w:r>
    </w:p>
    <w:p w14:paraId="40DB6BB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Зато остальные будут всегда разгромлены.</w:t>
      </w:r>
    </w:p>
    <w:p w14:paraId="3CBF4DE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Лавров.</w:t>
      </w:r>
      <w:r w:rsidRPr="00E14102">
        <w:rPr>
          <w:color w:val="000000" w:themeColor="text1"/>
          <w:sz w:val="16"/>
          <w:szCs w:val="16"/>
        </w:rPr>
        <w:t xml:space="preserve"> Ну, а что получается сегодня. Давайте проверим сейчас любую бригаду, и окажется, что она будет мало боеспособна, так как сейчас в ней произошла большая пересадка личного состава. При поверке бригад я требую действий штатными экипажами, тогда мне показывают приказ на 1-е число месяца, потому что на каждый месяц происходят перемены в личном составе и говорят, что это невозможно. В результате сколоченности кадров нет. Поэтому я считаю необходимым еще раз этот вопрос поднять. Я считаю, оставление положения как есть сильно бьет по боевой подготовке наших частей. Нужно добиться, чтобы регулированием сверху была ограничена возможность черпания ресурсов из частей для комплектования оргмероприя-тий и этим было обеспечено, чтобы не менее '/з воздушного флота действительно была боеспособной в течение круглого года.</w:t>
      </w:r>
    </w:p>
    <w:p w14:paraId="121C604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достигли очень больших успехов во всем воздушном флоте в летной подготовке, и в этом отношении мы сделали очень много. Я видел все тяжелые бригады в европейской части Союза, видел истребительные бригады — все стали очень хорошо летать и много командиров, которые летают отлично. Но за это мы довольно дорого заплатили, потому что мы на этом кое-что потеряли. Я хочу сделать упор на этом достижении, чтобы то, что приобрели, а приобрели мы очень много, так как умелая техника пилотирования, это чрезвычайно важно для воздушных сил, была так использована, чтобы дать высокие качества боевой подготовки. Мы эту летную подготовку мало пользовали для боевого маневрирования. На опыте Бобруйских учений оказалось, что самолеты ТБ-3</w:t>
      </w:r>
      <w:r w:rsidRPr="00E14102">
        <w:rPr>
          <w:color w:val="000000" w:themeColor="text1"/>
          <w:sz w:val="16"/>
          <w:szCs w:val="16"/>
          <w:vertAlign w:val="superscript"/>
        </w:rPr>
        <w:t>50</w:t>
      </w:r>
      <w:r w:rsidRPr="00E14102">
        <w:rPr>
          <w:color w:val="000000" w:themeColor="text1"/>
          <w:sz w:val="16"/>
          <w:szCs w:val="16"/>
        </w:rPr>
        <w:t xml:space="preserve"> в составе отряда поворотом все вокруг на 90 сбивают атаку истребителей.</w:t>
      </w:r>
    </w:p>
    <w:p w14:paraId="65A6309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ТБ-3 не может хорошо поворачиваться.</w:t>
      </w:r>
    </w:p>
    <w:p w14:paraId="33A34F4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Лавров.</w:t>
      </w:r>
      <w:r w:rsidRPr="00E14102">
        <w:rPr>
          <w:color w:val="000000" w:themeColor="text1"/>
          <w:sz w:val="16"/>
          <w:szCs w:val="16"/>
        </w:rPr>
        <w:t xml:space="preserve"> Неверно. ТБ-3 поворачивается как угодно. Я могу вам это доказать. Это проверено. Поэтому я считаю, что высокую технику пилотирования в первую очередь надо использовать для отработки боевого маневрирования всех родов авиации. Это первое. Второе — мы еще очень мало летаем ночью. Всего в 1935 г. мы налетали 470 000 часов, а из них ночью около 41 000, несмотря на то что подготовка к ночным полетам была хорошая, так как затратили более 58 000 часов на слепую подготовку. Поэтому я считаю, что в предстоящем году мы должны принять все меры, чтобы ночные полеты были резко увеличены.</w:t>
      </w:r>
    </w:p>
    <w:p w14:paraId="1B2412C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Дальше надо остановиться на таком положении. Мне кажется, что мы далеко не достаточно уделяем внимание полетам на предельную дальность рядовых экипажей. Нужно упрекнуть командующих войсками и их помощников по авиации в том, что они очень мало уделяли внимания выполнению этой задачи. Выполнив небольшим числом кадров задачу № 5, на этом деле успокоились. А так как в технике пилотирования мы ушли далеко, это обязывает нас еще больше уделять внимания подготовке кадров полетам на предельную дистанцию. За это нужно взяться серьезно. Ведь одно дело взять командиров эскадрилий слетать на 12—18 часов, а другое дело — слетать всей эскадрильей. Я считаю, что мы имеем настолько подготовленный в летном отношении состава, что мы можем и должны с большинством летного состава пойти на дальние полеты.</w:t>
      </w:r>
    </w:p>
    <w:p w14:paraId="51F155E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Говоря о летной подготовке, надо сказать, что штурманская подготовка сохранила свои качества только для штурманов соединений и штурманов эскадрилий. Это есть следствие того, что части летали только вокруг аэродрома. Это нетерпимо, и в 1936 г. надо заставить все части летать вне аэродрома. Я хочу остановиться на подготовке для бомбометания. Связать это с планированием боевой подготовки частей ВС РККА. Об этом я уже докладывал на одном совещании у наркома. Я хочу еще раз остановиться на этом вопросе. Каждому роду войск, в том числе и авиации, на каждый год становится ряд задач по боевой подготовке, но в том числе ставится главная задача, выполнением которой войска приобретают новые качества боевой подготовки. Приобретение такого нового качества было нам поставлено народным комиссаром задачей овладения слепым полетом, потому что слепой полет обеспечивает возможность летать при плохих условиях погоды, т.е. резко увеличивает возможность боевого применения авиации. Как же шло выполнение этой задачи? Сначала шло несколько вяло, нажали из центра, тогда командиры в бригадах стали выполнять эту задачу таким образом, что, приобретая новое качество слепого полета, стали терять все прочие качества, так было в целом ряде частей. Например, в СКВО Ростовская бригада, там старые штурманы разучились водить самолеты. Потеряли умение бомбить. Целый ряд бригад к началу лета в результате уделения внимания только одной отрасли — слепому полету — потерял боевые качества. Затем начали спешить и наверстывать потерянное летом. Поэтому чтобы научить все экипажи — не имели времени и учили только командирские экипажи, следовательно, все прочие — небоеспособны без командира.</w:t>
      </w:r>
    </w:p>
    <w:p w14:paraId="3279513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Что здесь главное, что здесь плохо? Нельзя в условиях воздушного флота готовить только командиров. Предположим, идет отряд, командир погиб, а что дальше? Ведь идти придется, или возвращаться. Это следствие неверного планирования. Нужно добиться такого положения, чтобы, ставя главную задачу, а она всегда будет </w:t>
      </w:r>
      <w:r w:rsidRPr="00E14102">
        <w:rPr>
          <w:color w:val="000000" w:themeColor="text1"/>
          <w:sz w:val="16"/>
          <w:szCs w:val="16"/>
        </w:rPr>
        <w:lastRenderedPageBreak/>
        <w:t>стоять перед воздушным флотом и всяким другим родом войск, ибо эти новые задачи придают и новое качество — так спланировать работу своих подразделений, чтобы таких вывихов впредь не получалось, так как в данном случае мы получали обратный результат — ухудшение боевой подготовки.</w:t>
      </w:r>
    </w:p>
    <w:p w14:paraId="732C893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Таким образом, по огневой подготовке мы подготовили для бомбометания днем отряды и эскадрильи, и в некоторых местах прошли и ночное бомбометание. Но ночное бомбометание, благодаря чрезвычайно недостаточной общей ночной штурманской подготовки, не вышло за рамки полигона и ближайшего района, и то одиночными самолетами. О технике ночного бомбометания — отдельный вопрос, на котором можно остановиться после доклада т. Алксниса.</w:t>
      </w:r>
    </w:p>
    <w:p w14:paraId="0E98B03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Сегодня мы учимся бомбардировать по фонарю, по освещенной цели. Нужно путем опыта перейти к бомбометанию по неосвещенной цели.</w:t>
      </w:r>
    </w:p>
    <w:p w14:paraId="12ADE2E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относительно стрельбы, по моему глубокому убеждению, в этом году плохо со стрельбой в воздухе. Причем и в истребительной авиации имеется стремление к стрельбе по земным целям, конечно, гораздо легче, чем стрелять по воздушным целям. Причем становится труднее стрелять в связи с тем, что цель и сам стреляющий стали летать значительно быстрее. С этим мы вплотную столкнемся в 1936 г. Поэтому я считаю, что т. Грязнов совершенно правильно заострил внимание на плохой подготовленности к воздушному бою. Вопрос о воздушном бое в 1936 г. должен быть решен не только в том смысле, что мы заведем соответствующую инструкцию, наставление. Но мы должны перевернуть целый ряд голов, перестроить целый ряд голов, заставить их понять значение воздушного боя.</w:t>
      </w:r>
    </w:p>
    <w:p w14:paraId="33E6DAD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Все головы.</w:t>
      </w:r>
    </w:p>
    <w:p w14:paraId="3A65330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Лавров.</w:t>
      </w:r>
      <w:r w:rsidRPr="00E14102">
        <w:rPr>
          <w:color w:val="000000" w:themeColor="text1"/>
          <w:sz w:val="16"/>
          <w:szCs w:val="16"/>
        </w:rPr>
        <w:t xml:space="preserve"> Да, все головы в воздушном флоте.</w:t>
      </w:r>
    </w:p>
    <w:p w14:paraId="5764839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должны воспитать всю авиацию в таком духе: если самолеты противника, может быть, в предмобилизационный период попытаются неожиданно, не объявляя войны, напасть на нашу территорию, вся авиация пойдет в воздушный бой. Я берусь подробно доказать и показать, какие средства той же штурмовой, легкой бомбардировочной и даже авиации могут быть использованы для такого боя, который имеет целью отразить нападение воздушного противника на нашу территорию. Это первое положение.</w:t>
      </w:r>
    </w:p>
    <w:p w14:paraId="46191A1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положение. Поскольку все скоро станут летать быстрее, и мы, и противники, то количество встреч, происходящих в воздухе, я бы сказал, оперативно-тактическая плотность насыщения воздушного пространства авиацией станет значительно большей. Воздушных столкновений и боев в будущей войне будет неизмеримо больше, чем в прошедшей войне. Я считаю, что эти положения требуют вопрос о воздушном бое поставить чрезвычайно серьезно. Тем более оказалось, что наша тяжелая бомбардировочная авиация, даже при том небольшом сравнительно вооружении, которое она несет, будучи управляема, когда командиры отряда могут управлять огнем, могут управлять маневром всей своей части и внутри части, — имеет возможность успешно вести воздушный бой с истребителями. Я повторяю, обучение всей авиации воздушному бою должно быть осуществлено в 1936 г. во что бы то ни стало.</w:t>
      </w:r>
    </w:p>
    <w:p w14:paraId="4C0A9CD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Из вопросов, относящихся к боевой подготовке, очень коротко отмечу два. Первый. Мне пришлось в этом году видеть большое количество так называемых оперативных аэродромов. Что они представляют из себя? Если вы летите, то на фоне разноцветных прямоугольников полей видите одноцветный, зеленый круг, значит, это аэродром. Следовательно, он сам демаскирован. Он еще окружен проволокой, что еще больше демаскирует. Но в то же время окружающий лес вырублен таким образом, что спрятать самолеты в него нельзя, а если и можно, то взлет самолета резко удлинится. Следовательно, эти аэродромы, как оперативные, не подготовлены. Второй момент. Относительно автотранспорта. Совершенно верно, что отношение к автотранспорту в Воздушных силах на сегодняшний день варварское. Но ясно, что мы не выйдем из положения и после вашего распоряжения, тов. народный комиссар Маршал Советского Союза, о том, чтобы было додано до штатов. Не выйдем из положения потому, что всего 30% машин на ходу и тут надо, чтобы Воздушные силы дали людей, а т. Халепский организовал их обучение, чтобы они были технически грамотными.</w:t>
      </w:r>
    </w:p>
    <w:p w14:paraId="4E302F6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положение — надо ввести такое принципиальное положение, чтобы исправность автомобиля в авиационном парке была бы приравнена к боеспособности самолета.</w:t>
      </w:r>
    </w:p>
    <w:p w14:paraId="2996BAC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Совершенно правильно.</w:t>
      </w:r>
    </w:p>
    <w:p w14:paraId="1688985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Лавров.</w:t>
      </w:r>
      <w:r w:rsidRPr="00E14102">
        <w:rPr>
          <w:color w:val="000000" w:themeColor="text1"/>
          <w:sz w:val="16"/>
          <w:szCs w:val="16"/>
        </w:rPr>
        <w:t xml:space="preserve"> Иначе быть не может, потому что без автотранспорта мы воевать не сможем. Я на этом кончаю, т. народный комиссар, полагая, что можно будет еще раз высказаться по вопросам технической эксплуатации.</w:t>
      </w:r>
    </w:p>
    <w:p w14:paraId="1149545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52-54.</w:t>
      </w:r>
    </w:p>
    <w:p w14:paraId="453473E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Меженинов. Я</w:t>
      </w:r>
      <w:r w:rsidRPr="00E14102">
        <w:rPr>
          <w:color w:val="000000" w:themeColor="text1"/>
          <w:sz w:val="16"/>
          <w:szCs w:val="16"/>
        </w:rPr>
        <w:t xml:space="preserve"> бы хотел остановиться на следующих вопросах. Первое. В оперативной подготовке основной недостаток и в играх, и в выходах в поле — это отсутствие оперативной разведки. Если она и существует, то существует все время на старых принципах, когда массы противника продвигались со скоростью стрелковой дивизии. Теперь во всех сопредельных с нами странах разрабатывается и изучается вопрос, судя по их литературе, о скрытой оперативной переброске и о совершении оперативного маневра по железной дороге и маневре на автотранспорте.</w:t>
      </w:r>
    </w:p>
    <w:p w14:paraId="0850366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характерно для современного железнодорожного транспорта? Если прежде использовалась вся пропускная способность, то сейчас маневр совершается пульсирующим потоком, он пульсирует в течение суток и на определенном отрезке времени. Это совершенно по-другому ставит вопрос о разведке железнодорожных перевозок. Возьмите последние польские статьи о скорости технического движения. Поляки изучают уже наши установки по железнодорожному транспорту, и вместе с тем они обращаются лицом к Германии. Они говорят, что средняя техническая скорость на магистралях галицийских дорог может быть доведена до 60 км в час, а линия на Кенигсберг — до 65 км в час. Если взять только лишь один фактор, фактор технической скорости железнодорожных перевозок, то весь метод авиационной разведки и авиационного воздействия на такие перевозки будет отличен от того, к чему мы привыкли по опыту Гражданской и империалистической войн.</w:t>
      </w:r>
    </w:p>
    <w:p w14:paraId="08439EB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Хочу этим подчеркнуть, что мы идем по старым нормам железнодорожных перевозок. Нам следует перейти в своей практической деятельности к учету этого нового явления. При одной колее на 24 пары оперативно можно перебросить стрелковую дивизию в 48 часов. Все авиаторы, когда разведывают железную дорогу, считают, что раз идет масса поездов, значит, идет массовая перевозка, но здесь применили всего лишь метод накапливания.</w:t>
      </w:r>
    </w:p>
    <w:p w14:paraId="252D1DD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 автомобильные перевозки, как оперативный фактор, мы мало учитываем. У немцев они взяты как основные, французы пользовались ими весь конец войны. 1800 авто по двум грунтовым путям в течение 24 часов могут перебросить стрелковую дивизию. При этих условиях через час на каждом из направлений будет появляться по 20 автомобилей. Разведка этих автомобильных перевозок мелкими пачками и умение составить представление о том, что идет по этому направлению, требуют тщательной подготовки и проведения разведки. Подвоз к обычному корпусу при наличии 2 грунтовых путей требует 400 автомобилей. При этих условиях 8 авто проходит через час на каждом направлении. Я хочу всем этим сказать, что разведка теперь стала более трудной и к ней надо тщательно готовиться, мы этим мало занимались. Обычно мы говорим, что есть какое-то фиксированное положение вещей, и начинаем, исходя из него, разведывать. Мало считаемся с быстрыми перегруппировками. Взаимодействие видов разведки отсутствует.</w:t>
      </w:r>
    </w:p>
    <w:p w14:paraId="4EDE738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Радиоразведка — это основной вид оперативной разведки на сегодняшний день. Она не передает сведений авиаразведке, и та начинает сначала, а авиаразведке нужно передавать сведения авиамоточастям. Этой технике взаимодействия различных средств разведки мы большого значения не придаем. При оперативном обеспечении флангов основных групп не ведем разведки командирами высших штабов. Думаю, что эти основные вопросы следует здесь свести в короткую инструкцию с тем, чтобы в будущем году оперативную разведку провести на специальном учении, тогда можно сказать, что мы двинемся вперед в этой части.</w:t>
      </w:r>
    </w:p>
    <w:p w14:paraId="47030B9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в отношении подготовки наших железнодорожных частей. Тов. Аппога отсутствует на нашем совещании, поэтому я, пользуясь его материалами, хотел бы осветить работу наших железнодорожных частей.</w:t>
      </w:r>
    </w:p>
    <w:p w14:paraId="5AE14C6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прошлом году мы имели хорошую проверку мостовых частей — мостового батальона и многих мостовых рот округов — Ленинградского, Киевского, Белорусского, Приволжского и Закавказского. Все они были сосредоточены в Саратове на достройке моста через Волгу, причем достройка происходила в таких условиях, с которыми придется столкнуться на наших театрах при восстановлении крупных мостов. Нужно отметить, что все нормативы, которые были выработаны, оказались ниже, чем те, которые были достигнуты на постройке этого моста. Сама работа была выполнена частями в сроки, которые были рассчитаны, и выполнена вполне удовлетворительно. Если взять деревянную постройку моста в 611 м через реку Уж в районе Хабное, то он был построен в 15 дней путем использования специального мостового парка. Вот этому мощному мостовому парку, который разработан в первом образце, мы придаем очень большое значение, поскольку это совершенно изменяет те представления о сроках постройки, которые мы имеем до сих пор. Он позволяет по самым широким рекам проходить в короткий срок. К сегодняшнему дню весь конвейер проработан, и надо продолжить опыт по этим работам.</w:t>
      </w:r>
    </w:p>
    <w:p w14:paraId="103C87A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Если взять укладку железнодорожных путей в строительстве Фастов-Новоград-Волынск, то мы здесь показали большие нормы и темпы. Сам по себе объем работ большой. Достижения огромные, но я докладываю о том, что наши полевые нормы еще требуют поверки. Сейчас в сутки надо прокладывать 12 м пути в три смены, а здесь вышло 8 в две смены, но это обусловлено подвозкой и доставкой материала.</w:t>
      </w:r>
    </w:p>
    <w:p w14:paraId="7D2DA82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Но когда не подавали рельс, конечно, можно просчитать 3 км.</w:t>
      </w:r>
    </w:p>
    <w:p w14:paraId="5B99A64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Меженинов.</w:t>
      </w:r>
      <w:r w:rsidRPr="00E14102">
        <w:rPr>
          <w:color w:val="000000" w:themeColor="text1"/>
          <w:sz w:val="16"/>
          <w:szCs w:val="16"/>
        </w:rPr>
        <w:t xml:space="preserve"> Я только докладываю о том, что темпы, которые были достигнуты на этой постройке, не полностью соответствуют тому, что мы поставили себе задачей для военного времени, и в этом участке придется подтягиваться, а с точки зрения достижений — на сегодня, конечно, достижения огромные. Там возились 5 лет и не построили, а мы построили за 4 месяца.</w:t>
      </w:r>
    </w:p>
    <w:p w14:paraId="308BF8A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Тов. Якир правильно говорил, что не было рельс у них?</w:t>
      </w:r>
    </w:p>
    <w:p w14:paraId="04CE43B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Меженинов.</w:t>
      </w:r>
      <w:r w:rsidRPr="00E14102">
        <w:rPr>
          <w:color w:val="000000" w:themeColor="text1"/>
          <w:sz w:val="16"/>
          <w:szCs w:val="16"/>
        </w:rPr>
        <w:t xml:space="preserve"> Правильно.</w:t>
      </w:r>
    </w:p>
    <w:p w14:paraId="78083CF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Если у нас на войне не будет рельс?</w:t>
      </w:r>
    </w:p>
    <w:p w14:paraId="6F178AC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Егоров.</w:t>
      </w:r>
      <w:r w:rsidRPr="00E14102">
        <w:rPr>
          <w:color w:val="000000" w:themeColor="text1"/>
          <w:sz w:val="16"/>
          <w:szCs w:val="16"/>
        </w:rPr>
        <w:t xml:space="preserve"> Технические нормы высчитали с поправками на перерывы в снабжении.</w:t>
      </w:r>
    </w:p>
    <w:p w14:paraId="7533ACD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Нет. Абсолютно не соответствует действительности. Полк Фунтова показал полное перевыполнение всех норм.</w:t>
      </w:r>
    </w:p>
    <w:p w14:paraId="5A7B798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Меженинов.</w:t>
      </w:r>
      <w:r w:rsidRPr="00E14102">
        <w:rPr>
          <w:color w:val="000000" w:themeColor="text1"/>
          <w:sz w:val="16"/>
          <w:szCs w:val="16"/>
        </w:rPr>
        <w:t xml:space="preserve"> Теперь в отношении всех норм одиночных, я к этому как раз подхожу. При разрубке рельс, при сверлении дыры, при прожигании рельс выходит, что мы имеем по укладке двух звеньев пути 40 мин. нормы, а фактически выполняем в 32 мин. Разбор звена пути — вместо 20 мин. по норме мы фактически производим в 8 </w:t>
      </w:r>
      <w:r w:rsidRPr="00E14102">
        <w:rPr>
          <w:color w:val="000000" w:themeColor="text1"/>
          <w:sz w:val="16"/>
          <w:szCs w:val="16"/>
        </w:rPr>
        <w:lastRenderedPageBreak/>
        <w:t>мин. Ясно, что нормы малы. Укладка стрелочного перевода по норме 4 часа, фактически 1 час 20 мин. Ясно, что и тут норма может быть изменена. Рубка рельс 2 мин. 30 сек., фактически — 1 мин. 4 сек. Ясно, что все нормы надо пересмотреть в сторону сокращения. Но эти технические нормы не всегда как следует связаны с тактической и боевой обстановкой. Я возвращаюсь к постройке наших полевых мостов — мы на полигоне очень быстро собираем мосты, также быстро строим мосты при маневрах. В прошлом году в Белорусском военном округе в присутствии наркома мост был построен очень быстро, но пользоваться этим методом было очень трудно, потому что разбивка подходов к этому мосту не была продумана, что задерживало все танки. В этом году в Московском округе 17-я дивизия построила мост очень быстро, но подходы и выходы не были построены, и артиллерия задерживалась на этом мосту.</w:t>
      </w:r>
    </w:p>
    <w:p w14:paraId="4DF1B80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Следующий вопрос — наше тыловое учение МВО. Что показывало тыловое учение? Оно показало, что уровень подготовки органов управления тылов очень низкий, очень слабо подготовлен, несмотря на то, что мы в прошлом году собирали начальников военных дорог при нашем 3-м отделе на полуторамесячные сборы. Это не дало полной подготовки Управления военными дорогами. Если отдельные начальники ясно представляют себе приемы администрирования этими дорогами, то с задачей управления частями в целом мы еще не справились. И самое основное, что выявилось, это то, что командиры парков, транспортов, начальники складов в основном оказались слабо подготовленными. Поэтому эта основная задача, которая в прошлом не была как следует выполнена, стоит перед нами во всю ширь в 1936 г.</w:t>
      </w:r>
    </w:p>
    <w:p w14:paraId="4D2F01F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Еще выявилось, что мало занимались подготовкой кадров автотракторных частей. Я тут продолжу мысль товарищей, выступавших о плохой подготовке состава мелких гаражей. Я расширю их мысль. Хуже обстоит дело с автотранспортом и в крупных организмах, не в разрезе сегодняшнего дня, а в оперативной перспективе. Мы военных кадров автомобильных частей, которые бы находились в наших руках, на сегодняшний день имеем очень мало, поэтому мы не умеем как следует охватить всю ту массу автотранспорта, которую мы получаем. Вот факты. По постановлению правительства мы должны были военизировать в Сибирском округе один из трактов с автомобильным движением. Выяснилось, что до начала военизации коэффициент использования машин равнялся 53, т.е. из 100 машин только 53 машины можно было использовать. И это было в течение длительного периода времени. Если взять, какой же средний пробег в сутки имеют эти 53 машины, то оказывается, что средний пробег равняется 245 км, при использовании тоннажа на 90%. Почему так плохо используется транспорт? В основном из-за того, что организация технической эксплуатации и оперативное использование этих машин не стоят на должной высоте. Вот этих командных кадров там не оказалось. Эти командные кадры, только в очень недостаточной мере, готовятся в наших депо. Ряд округов уделяют этому вопросу недостаточное внимание. На автомобильные кадры, на транспортные части следует сосредоточить больше внимания. Если возьмем использование моб-транспорта в Ленинградском округе для 20-й дивизии, мы имели среднюю скорость движения автоколонны по шоссе и по мокрому грунтовому пути 15 км. Если иметь минимальную скорость на отдельных участках 6—7 км в час, то лучше уж ногами идти, чтобы не терять время на погрузку и выгрузку. Повторяю, средняя скорость колонны была от 15—18 км. Этот норматив предлагается принять с расчетом на автомобильные перевозки до 240 км. Мало, но по опыту быстро отмобилизованного транспорта, не того транспорта, где вы учите командира, а транспорта отмобилизованного, который будет в первую неделю войны, это уже хорошая норма.</w:t>
      </w:r>
    </w:p>
    <w:p w14:paraId="1F6C78B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Следующий вопрос касается химии. Надо решить вопрос, в каком размере мы будем применять химию. Я ставлю этот вопрос потому, что соседи ставят дело так, что в основном против нас должна быть применена химия. Об этом пишут немцы, теперь поляки стали писать на эту тему. Если перейти к 1918 г., то даже старая русская армия, кончая войну, применяла химическую атаку, а немцами было выпущено 250 тыс. химических снарядов по 3-й английской армии. 50% всех снарядов в 1918 г. были химические. Это говорит о том, что химическая атака и химия как оперативный фактор должны нами учитываться. На русском, на Сморьгоньском направлении, с 1916 г. стали применять химию, с тех пор оно было химическим до конца войны. В основном применяли химию немцы, но в конце начали ее применять и русские. Это было одно из основных химических направлений. Если возьмем Юго-Западный фронт, Ковельское направление, то там начали немцы и продолжали русские. При средствах того времени немцы не разбрасывали своих средств по всему фронту, и русские не разбрасывали своих сил, а брали ограниченные направления и там концентрировали свои средства.</w:t>
      </w:r>
    </w:p>
    <w:p w14:paraId="1F5FDF9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касается обмывочных пунктов, у нас достаточно этих обмывочных пунктов, чтобы учиться их использованию. При любой дороге стояла такая обмывочная станция на маневрах 17-й стрелковой дивизии, но пользоваться ими мы не умеем. Мы взяли за правило, что против нас будет пущен иприт. Иприт будет, но наряду с ипритом будет и фосген, потому что у наших вероятных противников в этом отношении имеются большие возможности. Во-вторых, поляки получили химическое снаряжение и развивают промышленность по снаряжению на 50% фосгена, на 20% дифенилхлорарсина и на 20% дифенилфосгена. Нужно, чтобы маски были соответствующие и в санитарной службе были накоплены запасы кислорода.</w:t>
      </w:r>
    </w:p>
    <w:p w14:paraId="3C119F4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17-й дивизии я условно был отравлен фосгеном. Меня направили на обмывочный пункт. Когда притащили туда, пришел батальонный врач, который растерялся и не знал, что делать с таким отравленным человеком, а затем вынул прибор с кислородом, но как пользоваться кислородом, тоже как следует это делать — не представлял.</w:t>
      </w:r>
    </w:p>
    <w:p w14:paraId="0B17AD6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Основное в пассивной химии — наличие маски, но везде переходят к тому, чтобы в массовом количестве снабжать кислородом и в ПВО оксилитами. Планового снабжения кислородом в полевых условиях мы не отработали, потому что Химическое управление считает, что это не его дело, а Санитарное управление подает его очень немного. Затем я хотел сделать еще следующее замечание. Сейчас в польской печати совершенно отчетливо все полковники-врачи (по крайней мере появились три статьи) пишут о том, что бактериологическая война на сегодняшний день является правильной и от нее отмахиваться нет оснований. Что они обсуждают в отношении бактериологии? Первое и основное — это заражать реки. И они ставят такой вопрос: что они будут делать, если их реки будут отравлены? У нас говорят: ни в одном городе нет ни одной бактериологической станции, нет врача, который мог бы определить, чем отравлена вода. И они ставят вопрос о необходимости организации таких станций и о соответствующей подготовке врачей. А как у нас с этим обстоит дело на этот счет?</w:t>
      </w:r>
    </w:p>
    <w:p w14:paraId="2663F6A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вопрос, который попутно ставят, заключается в следующем. Если прежде нам просто ломали ноги, то теперь это будет ломаная нога, химически отравленная. Автор спрашивает: сколько из десяти тысяч польских врачей видели кровавые химически отравленные и загрязненные раны? Оказывается, эти врачи ничего не видели. И он пишет потом, что надо иметь институт скорой помощи во всех крупных городах Польши и этих врачей пропустить в мобилизационном порядке через такие институты, чтобы они видели битых и раненых людей и чтобы на этом деле они учились помогать отравленным.</w:t>
      </w:r>
    </w:p>
    <w:p w14:paraId="63FA1AE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Это он пишет по части зашиты. А по части нападения что он говорит, вы читали? Он соединяет химию с авиацией, посылает ее в тыл и говорит, что в этом случае мы не рискуем иметь отравленных наших собственных бойцов, потому, что сам противник примет все меры к тому, чтобы не допустить заражения в своей армии. Он довольно подробно расписывает, какими путями, через какие средства это достигается, причем пишет совершенно открыто. Этот журнал у них совершенно легально и открыто выходит.</w:t>
      </w:r>
    </w:p>
    <w:p w14:paraId="0CE7705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Меженинов.</w:t>
      </w:r>
      <w:r w:rsidRPr="00E14102">
        <w:rPr>
          <w:color w:val="000000" w:themeColor="text1"/>
          <w:sz w:val="16"/>
          <w:szCs w:val="16"/>
        </w:rPr>
        <w:t xml:space="preserve"> Совершенно правильно. Об этом же пишет немецкий профессор Пфейфер.</w:t>
      </w:r>
    </w:p>
    <w:p w14:paraId="25CD20E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Последний вопрос по технике. Мы передали сейчас в войска относительно небольшое количество глиссеров. Эти глиссера нами рассматриваются как средство действия на реках и как средство для выбрасывания первых эшелонов при переправах. Но отчетов и мнений мест относительно методов использования и технической пригодности этих глиссеров на месте мы не имеем. Между тем эти глиссера приспособлены теперь и к передвижению по земле. Например, глиссер шел из Москвы в Гороховец на собственных колесах, потом перешел на реку. Так он сейчас приспособлен. Это средство, достаточно неожиданное для противника, может помочь нам при действиях на озерах и реках.</w:t>
      </w:r>
    </w:p>
    <w:p w14:paraId="497333D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вопрос — это установка облегченных пушек на автомобилях. Я имею в виду автомобиль Курчевского</w:t>
      </w:r>
      <w:r w:rsidRPr="00E14102">
        <w:rPr>
          <w:color w:val="000000" w:themeColor="text1"/>
          <w:sz w:val="16"/>
          <w:szCs w:val="16"/>
          <w:vertAlign w:val="superscript"/>
        </w:rPr>
        <w:t>51</w:t>
      </w:r>
      <w:r w:rsidRPr="00E14102">
        <w:rPr>
          <w:color w:val="000000" w:themeColor="text1"/>
          <w:sz w:val="16"/>
          <w:szCs w:val="16"/>
        </w:rPr>
        <w:t>. Исчерпывающих отчетов об этом деле мы не получили, все тактические нормы только затронуты, но не отработаны. И последнее, на счет мортир 152-мм, которые были отправлены в ОКДВА. Если эти мортиры не подходят, то так надо и решить и тогда с этим средством больше не иметь дела.</w:t>
      </w:r>
    </w:p>
    <w:p w14:paraId="6398088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55-56.</w:t>
      </w:r>
    </w:p>
    <w:p w14:paraId="5A8D26C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Тухачевский. Я</w:t>
      </w:r>
      <w:r w:rsidRPr="00E14102">
        <w:rPr>
          <w:color w:val="000000" w:themeColor="text1"/>
          <w:sz w:val="16"/>
          <w:szCs w:val="16"/>
        </w:rPr>
        <w:t xml:space="preserve"> хочу посвятить свое выступление вопросам боевой подготовки по тем разделам, где мы систематически отстаем. На съезде стахановцев Климент Ефремович чрезвычайно, по-моему, хорошо сформулировал задачи стахановского движения в нашей армии. Тов. Ворошилов задал вопрос: «Есть ли среди наших командиров стахановцы, есть ли люди, которые не ожидают приказов, не живут по указке, по шаблону, а творят, работают, идут вперед и ищут новых путей для достижения поставленных целей, задач?» «Да, — ответил т. Ворошилов — конечно, такие есть. Но тем не менее, — сказал т. Ворошилов, — я не могу особенно хвастаться» и указал, что в этом отношении наши командиры имеют много общего с хозяйственниками.</w:t>
      </w:r>
    </w:p>
    <w:p w14:paraId="7416399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 можно использовать стахановское движение у нас? Если дело идет об общевойсковой тактике, стахановское движение заключается в том, чтобы оружию придать наибольшую эффективность, а наибольшая эффективность означает, сколько мы убьем и раним наших врагов. (</w:t>
      </w:r>
      <w:r w:rsidRPr="00E14102">
        <w:rPr>
          <w:rStyle w:val="a6"/>
          <w:i w:val="0"/>
          <w:color w:val="000000" w:themeColor="text1"/>
          <w:sz w:val="16"/>
          <w:szCs w:val="16"/>
        </w:rPr>
        <w:t>Нарком.</w:t>
      </w:r>
      <w:r w:rsidRPr="00E14102">
        <w:rPr>
          <w:color w:val="000000" w:themeColor="text1"/>
          <w:sz w:val="16"/>
          <w:szCs w:val="16"/>
        </w:rPr>
        <w:t xml:space="preserve"> Тем больше будет продукции.) Да, тем больше будет продукции в военное время, чем больше мы набьем врагов. Но набить можно, имея технику и людей, которые будут владеть этой техникой. У нас дело гораздо сложнее, чем на производстве. На фабрике, на заводе — там все находится на определенном расстоянии, в определенном процессе, в то время как у нас дело проходит каждый раз на другом месте, в другой расстановке сил и средств, и т.д. Поэтому в тех вопросах, которые поставил тов. Ворошилов на съезде стахановцев: есть ли среди наших командиров стахановцы, которые не живут приказами, которые не живут по указке, а творят, растут и идут вперед, — в этих вопросах заключаются основные вехи успешной боевой подготовки. Если наш пулемет стреляет с фронта, он дает одну продуктивность, если с фланга, то другую, гораздо большую. Эту максимальную продуктивность возможно использовать, если боевой порядок будет гибкий, смелый и решительный.</w:t>
      </w:r>
    </w:p>
    <w:p w14:paraId="13AB919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Как отвечает этим задачам наша боевая подготовка? Я наблюдал три округа — Украинский, Московский, Ленинградский. Как наступают? Все вдет как будто быстро, иногда войска дают большие темпы, если смотреть вообще со стороны. Но если спуститься, войти в боевой порядок батальона, роты, взвода и посмотреть, как командиры принимают решения, то, к сожалению, этой инициативности, самостоятельности, вклинивания во фланг и тыл противнику до сих пор у нас нет в той мере, как это нужно. Идет равномерное, уравниваемое движение. Отрывов просто боятся. А между тем все приказы народного комиссара сводятся к тому, чтобы вырабатывать волевых, инициативных, смелых командиров. Без таких командиров невозможно драться, будь это Итало-абиссинская война или другой, более </w:t>
      </w:r>
      <w:r w:rsidRPr="00E14102">
        <w:rPr>
          <w:color w:val="000000" w:themeColor="text1"/>
          <w:sz w:val="16"/>
          <w:szCs w:val="16"/>
        </w:rPr>
        <w:lastRenderedPageBreak/>
        <w:t>культурный фронт. Должны быть смелые люди, знающие свое оружие, лезущие вперед, наносящие поражение противнику. Без этого не может существовать никакая армия. К сожалению, до сих пор мы не достигли того уровня, на который вправе рассчитывать.</w:t>
      </w:r>
    </w:p>
    <w:p w14:paraId="37FD624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 обстоит дело в Украинском округе</w:t>
      </w:r>
      <w:r w:rsidRPr="00E14102">
        <w:rPr>
          <w:color w:val="000000" w:themeColor="text1"/>
          <w:sz w:val="16"/>
          <w:szCs w:val="16"/>
          <w:vertAlign w:val="superscript"/>
        </w:rPr>
        <w:t>52</w:t>
      </w:r>
      <w:r w:rsidRPr="00E14102">
        <w:rPr>
          <w:color w:val="000000" w:themeColor="text1"/>
          <w:sz w:val="16"/>
          <w:szCs w:val="16"/>
        </w:rPr>
        <w:t>, а это передовой округ? Мне постоянно приходится видеть, что командир взвода лежа бездействует. Почему он не наступает за танками, если перед ним путь очищен? Почему это происходит? Боевой устав пехоты говорит о том, что воспрещается назначать части и равнение по ним. Равнение может быть только по передним частям. Вместе с тем такой факт всюду имеет место. То же самое, но в гораздо худшей степени я видел в Московском округе, в Гороховецком районе, да и Ленинградском округе. Это общая беда. Отчасти это складывается от того, что сильны еще привычки, унаследованные от царской армии. Там привыкли к тому, что направляющим назначается такой-то взвод, и привыкли делать по нему. Так практиковали в первые годы и у нас, так говорил и первый устав РККА, и только в Боевом уставе РККА 1927 г. внесены эти изменения. Но привычка перерастает эти законные наставления, и она в этом деле нас чрезвычайно тормозит, мы от нее много теряем.</w:t>
      </w:r>
    </w:p>
    <w:p w14:paraId="0EB0843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хотел бы еще сослаться на отзывы японских офицеров, которые работали в нашей Красной армии. Нужно сказать, что японцы в этом отношении особенно строги. Они мало увлекаются методикой боя, подчиняя все смелости, инициативе. Так вот, эти японские офицеры признают, что в стрельбах они значительно ниже нас. Но зато они очень резко критикуют нас за отсутствие самодеятельности, смелости и решительности у наших командиров. Я просто зачитаю вам несколько выдержек из секретных отзывов этих японских офицеров. Вот например: «У личного состава (командного и рядового) недостаточно развита способность принимать решение, и действия его не носят характера отважности». Или далее: «При управлении боем частей» (особенно теоретических) отмечают «неспособность своевременно принять решение при быстрой перемене обстановки». Этими характерными указаниями проникнуты все заключения японских наблюдателей. Правда, они строят свою армию по-другому, но мы к их мнению должны прислушиваться, потому что они враги и нащупывают наши слабые места.</w:t>
      </w:r>
    </w:p>
    <w:p w14:paraId="24CC982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Мне кажется, что за это дело нам нужно самым решительным образом взяться. Главное, конечно, заключается в искусстве обучать людей по-серьезному, добросовестно. В этом отношении тов. Якир построил свою речь замечательно, указав, что у нас не все обучают как следует, а, кроме того, многие страдают самодовольством. Ведь люди у нас отобраны хорошие, так почему же у командира может остаться такое самодовольное настроение, когда он неконкретно провел учение? Это может быть только в том случае, если он сам не знает, что он хочет сделать, если он недостаточно продумал, в чем слабость его подчиненных, если он строит свое руководство недостаточно конкретно. Если, например, наши командиры корпуса, дивизии, полка будут сидеть в своих штабах или выезжать на командные пункты на автомобиле, то они никогда не увидят, как подготовлен командир взвода, роты. Для того чтобы командир это увидел, ему необходимо непрерывно быть вместе со взводом и ротой в боевом порядке. Нужно привязаться к какому-нибудь взводу или роте и с ней от начала развертывания роты и до момента, когда будет дан отбой этого учения, находиться все время вместе. Только таким образом можно изучить человека и подсказать ему, где его слабые и где сильные стороны, и таким образом наращивать хорошие кадры, которые потянут потом все дело за собой.</w:t>
      </w:r>
    </w:p>
    <w:p w14:paraId="57F510A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думаю, что в этой области, в области развития инициативы, смелости, большой эффективности применения оружия, решимости стахановское движение должно дать серьезнейшие результаты. Оно должно выдвинуть, оно должно сделать известными наших лучших людей — командиров взводов, красноармейцев, которые умеют идти вперед, которые не боятся решительно самостоятельно двинуться вперед, оторваться от соседей, включиться в боевой порядок противника и бить его подразделения во фланг и тыл. Необходимо окончательно изжить привычки, перешедшие в нашу армию из царской армии. Необходимо развить волевые качества нашего командира, чтобы у него было достаточно смелости, решимости и инициативы. Иногда пугливо думают: «Сунешься вперед, а потом тебя со всех сторон окружат». Эта мысль неприятна, и многие предпочитают бездеятельность, лишь бы не было возможности такого случая. Вместо того чтобы видеть в обходе, прорыве средство окружения противника, воображают сами себя окруженными. Вот с этим очень трудно бороться, и мне думается, что стахановцы нам это дело сделают.</w:t>
      </w:r>
    </w:p>
    <w:p w14:paraId="6F8C379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уже говорил, что соединения стали более мобильными, но, отмечая эту мобильность, надо сделать одно предупреждение. Несомненно, мы стали ходить быстрее, стали ходить гораздо лучше, и имеем в этом большие успехи. Но тут одно замечание. Мы тренируемся в выкладке мирного времени, а не в выкладке военного времени. Я хочу привести один пример. В октябре месяце мы провели опыт в Пролетарской дивизии. Не знаю, известны ли вам результаты этого опыта. Мы взяли два взвода, которые сделали марш в 50 км, при этом один взвод был в выкладке мирного времени и другой — в выкладке военного времени. Я коротко прочту вам результаты, которые дает комиссия, проверявшая это дело: «Утомляемость бойцов</w:t>
      </w:r>
    </w:p>
    <w:p w14:paraId="713CCDA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2-го взвода (это тот взвод, который был в выкладке военного времени) начала сказываться после 15 км марша. Отмечалась резкая бледность кожи лица, черты лица начали заостряться, глаза западать, взвод на малых привалах молчалив. В это же время у бойцов</w:t>
      </w:r>
    </w:p>
    <w:p w14:paraId="44A9816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1-го взвода окраска кожи лица нормальная. На привалах бойцы оживлены, много разговаривают, энергично жестикулируют, смеются; взвод шел с песнями. На большом привале внешние признаки состояния бойцов 1-го взвода остаются примерно такими же, но у бойцов 2-го взвода утомляемость значительно усилилась. Взвод шел в сгорбленном состоянии, с резким наклоном туловища вперед. После обеда у бойцов 2-го взвода отмечалась резкая сонливость.</w:t>
      </w:r>
    </w:p>
    <w:p w14:paraId="35D696F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марше после большого привала 1-й взвод идет равномерно, решительно, бодро, с песнями; скорость движения 116—117 шагов в минуту. 2-й взвод идет неравномерно, рывками. Ряд бойцов имеют сильную потливость лица. Ритм командира 2-го взвода — 116—118 шагов в минуту, многие же бойцы делают 140-150 шагов в минуту; бойцы идущие по краю дороги (у канавы) балансируют. На малом привале, после 40 км марша, 1-й взвод оживлен, окраска лица нормальная. Взвод способен для совершения броска и боевой работы. В то же время у 2-го взвода у ряда бойцов резкое заострение черт лица, запа-дение глазных впадин. Взвод молчалив, несколько человек отдыхают с закрытыми глазами. Красноармейцы Шадрин и Трусов жалуются на головную боль и головокружение. Намеченный по плану бросок после 40 км марша пришлось отменить, так как перед комиссией встал вопрос о том, как бы без больших потерь довести 2-й взвод до конца марша».</w:t>
      </w:r>
    </w:p>
    <w:p w14:paraId="0469C12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конце концов, комиссия делает такой вывод:</w:t>
      </w:r>
    </w:p>
    <w:p w14:paraId="68236C4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 Взвод в штурмовом снаряжении может совершать форсированный марш на 50 км в 12 часов, сохраняя все время боевую способность.</w:t>
      </w:r>
    </w:p>
    <w:p w14:paraId="31FCBBD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 Этот же взвод после нормального отдыха (10—12 часов) может совершить такой же форсированный марш,</w:t>
      </w:r>
    </w:p>
    <w:p w14:paraId="47BF638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3. Взвод в полном походном снаряжении может совершить форсированный марш на 50 км в 12 часов в благоприятных условиях погоды и дороги, но к активным боевым действиям к концу марша не будет способен».</w:t>
      </w:r>
    </w:p>
    <w:p w14:paraId="145AEB6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Это, конечно, не значит, что у нас и дальше будет так. Люди тренируются, привыкают</w:t>
      </w:r>
    </w:p>
    <w:p w14:paraId="7F054CF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Скажите, это были кадровые взводы?</w:t>
      </w:r>
    </w:p>
    <w:p w14:paraId="09679B2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Тухачевский.</w:t>
      </w:r>
      <w:r w:rsidRPr="00E14102">
        <w:rPr>
          <w:color w:val="000000" w:themeColor="text1"/>
          <w:sz w:val="16"/>
          <w:szCs w:val="16"/>
        </w:rPr>
        <w:t xml:space="preserve"> Конечно, кадровые</w:t>
      </w:r>
    </w:p>
    <w:p w14:paraId="66B893D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С </w:t>
      </w:r>
      <w:r w:rsidRPr="00E14102">
        <w:rPr>
          <w:rStyle w:val="a6"/>
          <w:i w:val="0"/>
          <w:color w:val="000000" w:themeColor="text1"/>
          <w:sz w:val="16"/>
          <w:szCs w:val="16"/>
        </w:rPr>
        <w:t>места.</w:t>
      </w:r>
      <w:r w:rsidRPr="00E14102">
        <w:rPr>
          <w:color w:val="000000" w:themeColor="text1"/>
          <w:sz w:val="16"/>
          <w:szCs w:val="16"/>
        </w:rPr>
        <w:t xml:space="preserve"> Нагрузка какая была?</w:t>
      </w:r>
    </w:p>
    <w:p w14:paraId="520D7DE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Тухачевский.</w:t>
      </w:r>
      <w:r w:rsidRPr="00E14102">
        <w:rPr>
          <w:color w:val="000000" w:themeColor="text1"/>
          <w:sz w:val="16"/>
          <w:szCs w:val="16"/>
        </w:rPr>
        <w:t xml:space="preserve"> Средняя нагрузка 30,6 кг и максимальная 38,2 кг для подносчика патронов ручных пулеметов, как полагается в боевом снаряжении. Это говорит, товарищи, о том, что мы должны подготовку в мирное время строить таким образом, чтобы готовиться к войне. Мы должны учитывать ту разницу, которая имеется в штурмовом снаряжении и в снаряжении военного времени</w:t>
      </w:r>
    </w:p>
    <w:p w14:paraId="6AA48B2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Сколько килограмм было?</w:t>
      </w:r>
    </w:p>
    <w:p w14:paraId="457ADE1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Тухачевский.</w:t>
      </w:r>
      <w:r w:rsidRPr="00E14102">
        <w:rPr>
          <w:color w:val="000000" w:themeColor="text1"/>
          <w:sz w:val="16"/>
          <w:szCs w:val="16"/>
        </w:rPr>
        <w:t xml:space="preserve"> 30,6 и 38,2 кг — полная нагрузка... Возможно, тогда эта нагрузка несколько изменится. Сейчас этот вопрос разрабатывается.</w:t>
      </w:r>
    </w:p>
    <w:p w14:paraId="15A5DA9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Мне кажется, что через 25—30 км надо делать привал, организм может принять пищу. Это имеет большое значение.</w:t>
      </w:r>
    </w:p>
    <w:p w14:paraId="16BE9C7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Тухачевский.</w:t>
      </w:r>
      <w:r w:rsidRPr="00E14102">
        <w:rPr>
          <w:color w:val="000000" w:themeColor="text1"/>
          <w:sz w:val="16"/>
          <w:szCs w:val="16"/>
        </w:rPr>
        <w:t xml:space="preserve"> Тут есть много вопросов, в том числе и правильный отдых. Но главное в том, что мы сейчас тренируемся в выкладке мирного времени, тогда как нам нужно вести тренировку в выкладке военного времени, памятуя, что тут довольно значительная разница. Этот вопрос очень серьезный и над ним надо очень и очень поработать. Причем первое и основное — я еше раз подчеркиваю — тренировку мы должны проводить в выкладке военного времени, т.е. иметь в мешке то, что полагается.</w:t>
      </w:r>
    </w:p>
    <w:p w14:paraId="2985F02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Следующий вопрос, очень серьезный, касается неравномерности роста округов, а в округах, как известно, и отдельных частей. Тов. Гамарник уже говорил по этому вопросу. Но я хотел бы в одном случае с ним не согласиться, в том, когда он сказал, что Московский округ вытягивается на одно из хороших мест. То, что я видел на маневрах, об этом не говорит.</w:t>
      </w:r>
    </w:p>
    <w:p w14:paraId="125BD1D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Я формулировал дословно следующее: Московский округ медленно выходит в люди.</w:t>
      </w:r>
    </w:p>
    <w:p w14:paraId="678E7A6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Тухачевский.</w:t>
      </w:r>
      <w:r w:rsidRPr="00E14102">
        <w:rPr>
          <w:color w:val="000000" w:themeColor="text1"/>
          <w:sz w:val="16"/>
          <w:szCs w:val="16"/>
        </w:rPr>
        <w:t xml:space="preserve"> Из всех округов, которые я видел, Московский округ самый худший, это совершенно бесспорно и безоговорочно. Московский округ несравненно хуже Украинского округа и Ленинградского округа. Так как Август Иванович Корк и т. Кулик находятся здесь, то при них можно говорить и неприятные вещи. Я буду откровенно говорить по этому вопросу. Что мне пришлось видеть на маневрах 17-й и 14-й дивизий? Видел их и начальник Генерального штаба, и у него сложилось такое же впечатление, как и у меня. Уровень общевойсковой подготовки 17-й стрелковой дивизии был настолько низок, что при форсировании очень широкой у Гороховца реки Клязьмы пехота форсировала эту реку, повела наступление, атаковала передний край оборонительной полосы и ворвалась в него, а артиллерия еще не начала подготовку по подавлению оборонительной полосы противника.</w:t>
      </w:r>
    </w:p>
    <w:p w14:paraId="5FFB867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приказу бьшо намечено начало развертывания и наступления на 11 часов, начало атаки на 12 или 13 часов, а в 11 часов практически уже все эти части ворвались на передний край. Вот та картина боевой подготовки, которую имела 17-я дивизия. Никакого понятия о взаимодействии пехоты и артиллерии. Несколько лучше обстояло дело в 14-й дивизии, но реального взаимодействия, сколько я ни проверял, и там нигде не было.</w:t>
      </w:r>
    </w:p>
    <w:p w14:paraId="4F620EB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Каким образом может быть такое положение, что у нас в одних округах действуют грамотно, а в других округах действуют неграмотно? При этом я должен сказать, что когда я разговаривал с комдивом 17-й о его ошибках, то он все то, что случилось, даже не считал ошибкой или дефектом. Он упорно спорил и показывал, что действовал правильно, что так и нужно было строить бой. А между тем он не только неправильно использовал артиллерию, как я уже сказал (правда, артиллерии было трудно развертываться), но оторвал и танковый батальон от пехоты, в то время как танковый батальон должен был иметь особенно большое значение. Пехота </w:t>
      </w:r>
      <w:r w:rsidRPr="00E14102">
        <w:rPr>
          <w:color w:val="000000" w:themeColor="text1"/>
          <w:sz w:val="16"/>
          <w:szCs w:val="16"/>
        </w:rPr>
        <w:lastRenderedPageBreak/>
        <w:t>была лишена какой бы то ни было поддержки. Комдив 17-й танковый батальон решил использовать как мехбригаду, причем этот батальон не помог пехоте и не сыграл никакой самостоятельной роли. Очевидно, комдив 17-й не имеет представления о том, как требуют уставы и приказы наркома использовать танки поддержки пехоты.</w:t>
      </w:r>
    </w:p>
    <w:p w14:paraId="7FDA947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Такой картины я с 1925-1926 г. нигде не видел. И при этом комдив не сознает, что он наделал. Чему же его учили тт. Корк и Кулик? Конечно, каждый может иметь неудачу. Но здесь дело не в неудаче. Здесь дело в общей неподготовленности. Человек убежден, что он правильно действовал, что отсутствие артиллерийской подготовки — это дело случая, что он правильно отнял танки пехоты. Видимо, т. Бондарь не читал наших уставов, не читал приказов. Должен сказать, что у т. Кулика взгляды тактически правильные. Он со мной ездил и также критиковал. Но этого мало. Почему т. Кулик не воспитал т. Бондаря? Он знал, что это человек упрямый, отстаивающий свою точку зрения, и тем не менее он был предоставлен самому себе. Тов. Корк его также критиковал, но и он его не воспитал. Я не представляю себе, чтобы у т. Уборевича или у т. Якира мог быть такой командир, который не желал бы знать ни приказов, ни уставов. Этого не может быть. Они бы его прощупали, занялись бы им, заставили бы его на ряде задач, выходов в поле, тактических учений, изучить дело, и он бы подтянулся, а, глядя на него, подтянулись бы и другие.</w:t>
      </w:r>
    </w:p>
    <w:p w14:paraId="7F7F405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Таким образом, Московский округ — резко отстающий округ. Я должен это сказать, будет ли на меня сердиться А.И. Корк или не будет, не в этом дело. Но не только Московский округ отстал. Отстают и другие округа. О них уже говорили. Вероятно, в СКВО дело не лучше, чем в Московском округе. В ПриВО также не лучше.</w:t>
      </w:r>
    </w:p>
    <w:p w14:paraId="4FD568E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Командующие войсками обязаны учить командиров корпусов. А.И. Корк должен был научить т. Кулика, т. Кулик должен был научить тов. Бондаря, и если этого не сделал т. Кулик, то должен был сделать т. Корк. Нельзя терпеть такое позорное положение, когда в 1935 г. в Красной армии имеется дивизия, которая совершенно не умеет действовать, и командир, который при этом убежден, что он действует так, как полагается.</w:t>
      </w:r>
    </w:p>
    <w:p w14:paraId="49276C5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Недочеты по взаимодействию имеются не только в МВО. Видел я это дело и в Ленинградском округе, в 56-й дивизии. Куча еще недочетов по взаимодействию: батальоны решают задачи по карте, не смотрят на местность, точно люди только что вышли из академии или военной школы и не имеют практических навыков. А ведь у нас много людей военных, которые участвовали в боях. Командир батальона должен ставить задачи на местности, а не решать их только на картах, как это делается слишком часто.</w:t>
      </w:r>
    </w:p>
    <w:p w14:paraId="0875404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Украине, в одном из передовых округов, я не встретил ни одного командира батальона, который решал бы задачу на местности. Встречавшиеся мне довольствовались картой. Следовательно, это звено нам нужно еще очень сильно тащить и обязательно его вытащить. К этому же делу, к общевойсковому бою, относится и управление войсками. Мне кажется, что когда хвалят штабы дивизий и полков, то поступают слишком оптимистически. То, что мне приходилось видеть, не так уже хорошо. Я видел работу 56-й дивизии. Скверно поставлена работа. С батальонами также обстоит плохо, о чем говорили почти все.</w:t>
      </w:r>
    </w:p>
    <w:p w14:paraId="1530578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Откуда же проистекают эти недочеты нашего управления? Они главным образом проистекают из того, что мы свои штабы недостаточно хорошо подготавливаем. Отчасти это можно объяснить текучестью армии, которая неизбежна в связи с развитием новых соединений. Смотришь, подготовил штабного работника, а назначение переменилось. В этом отношении у командующих войсками колоссальное количество забот. Но тем более важно этих людей — штабных командиров — обучать. Эту учебу нужно проводить систематически. А эта учеба и строевая стажировка проводятся слабо. Вот, например, когда я приехал в этом году в Ленинградский военный округ, то большинство начальников штабов корпусов, которые были при мне несколько лет тому назад и сейчас на этой же работе, текучесть их не коснулась. Так вот, никто из них за это время не был на стажировке. Понятно, что если штабные командиры не будут иметь стажировки в войсках, то они не будут настоящими штабными работниками. Особое значение должен иметь персональный отбор штабных командиров со стороны Генерального штаба и своевременный пропуск их через курсы по технике управления боем.</w:t>
      </w:r>
    </w:p>
    <w:p w14:paraId="7A9AF7E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Надо выработать практического штабного работника. Штабной командир, если дело пахнет боем, должен сразу забеспокоиться, проверить, действуют ли телефоны, работает ли радио, подготовлены ли ординарцы, имеется ли нужное количество посыльных, находятся ли войска, где он считает, что они должны быть, или не находятся, что делают соседи и пр. Казалось бы, наши командиры имеют боевой опыт, но почему-то все эти моменты забываются в поле. Получается, положим, приказ, а сталкивается с тем, что не развернута радиостанция, не так проложены кабели, нет посыльного и пр. Начинаются трения, потеря времени и т.д. На эту сторону, на сторону практической тренировки, нужно обратить самое серьезное внимание.</w:t>
      </w:r>
    </w:p>
    <w:p w14:paraId="2624A67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Мое время уже истекло, поэтому я не могу остановиться на других вопросах управления, но мне хотелось бы еще сказать следующее Александру Ильичу Егорову.</w:t>
      </w:r>
    </w:p>
    <w:p w14:paraId="6714005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Мне кажется, что на теперешнем этапе нас не может удовлетворить наша методика скрытого управления. Правда, изданный в 1934 г.</w:t>
      </w:r>
    </w:p>
    <w:p w14:paraId="055D2DB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проект новой инструкции несколько лучше старых проектов, но все же он связывает по рукам и ногам использование радио. Здесь говорится о том, что разрешается лишь при окружении, налете на штаб и т.д. использовать радио без кодирования. Естественно, что в наступлении батальона, полка, можно так закодировать задачи без кода, что противник ничего не поймет. Если, например, командир полка переименует деревню Архангельское в деревню Ивановка, то противник ничего не поймет. Сплошь и рядом бывает так, что свои войска не понимают куда идти, а что же говорить о противнике.</w:t>
      </w:r>
    </w:p>
    <w:p w14:paraId="62B0B7B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 Я</w:t>
      </w:r>
      <w:r w:rsidRPr="00E14102">
        <w:rPr>
          <w:color w:val="000000" w:themeColor="text1"/>
          <w:sz w:val="16"/>
          <w:szCs w:val="16"/>
        </w:rPr>
        <w:t xml:space="preserve"> в этом году читал все, касающееся польских маневров, да и румынских.</w:t>
      </w:r>
    </w:p>
    <w:p w14:paraId="30843A8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Тухачевский.</w:t>
      </w:r>
      <w:r w:rsidRPr="00E14102">
        <w:rPr>
          <w:color w:val="000000" w:themeColor="text1"/>
          <w:sz w:val="16"/>
          <w:szCs w:val="16"/>
        </w:rPr>
        <w:t xml:space="preserve"> Это касается того, когда можно или нельзя пользоваться радио. Раз рацией можно пользоваться, то это уже само по себе многое скажет противнику. Раз рация работает, то идет вопрос о методах шифра. Мы столько времени шифруем, расшифровываем, что радио теряет всякий смысл. Один командир стрелкового полка мне откровенно сказал, что он радио боится использовать, ибо если рацию использовать по инструкции, то тогда он запоздает с управлением, а если использовать без шифра или с условной шифровкой, то, мол, ему, этому командиру, набьют по шее, и потому радио оставляется в стороне. Это один из серьезных моментов. Я уже не говорю об авиации, о танковых войсках, где перегибы с шифровкой еще серьезнее. Следовательно, Инструкция по скрытному управлению должна быть пересмотрена.</w:t>
      </w:r>
    </w:p>
    <w:p w14:paraId="5BC6011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Вернусь еще раз к вопросу неравномерности достижений. Тут неравномерность достижений по округам, которую мы имеем в этом году, в будущем году необходимо изжить.</w:t>
      </w:r>
    </w:p>
    <w:p w14:paraId="5625BEF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 же как командующие должны учить своих комкоров и комдивов для того, чтобы они действовали и решали тактические вопросы, того требуют уставы и приказы, так, мне кажется, в будущем году Генеральный штаб должен взяться и за самих командующих. Нужно собирать командующих, нужно вести с ними занятия, не обязательно по оперативным вопросам. Командующих войсками нужно учить и как понимать бой батальона, бой полка, бой дивизии. Вот если собраться комвойсками и, может быть, нескольким комкорам и провести с ними целый ряд занятий, то все отставание и неравномерность отпадут. Это обязательно в будущем году нужно провести.</w:t>
      </w:r>
    </w:p>
    <w:p w14:paraId="011B756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Мне хотелось бы сказать несколько слов по авиации, но авиационный вопрос будет отдельно, и я выступлю особо.</w:t>
      </w:r>
    </w:p>
    <w:p w14:paraId="1574A7D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Несколько слов по морскому флоту. Тов. Орлов с полной самокритикой сказал, что в этом году флотам не удалось широкого провести форм глубокой тактики. А этого надо обязательно добиться. Здесь вопрос упирается в первую очередь в использование авиации.</w:t>
      </w:r>
    </w:p>
    <w:p w14:paraId="3756F93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Очень большое впечатление на меня произвело выступление т. Викторова, когда он сказал, что дальневосточники уже стреляют</w:t>
      </w:r>
    </w:p>
    <w:p w14:paraId="1EA43EE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из-за дымовых завес. Это величайшей важности метод. Японцы этому методу придают большое значение в их столкновении с американским флотом. Для нас овладение этим делом имеет огромное значение. У нас почти все моря могут перекрываться береговой авиацией, быть может, за исключением Японского моря. В Балтийском море, в Черном наша авиация может, безусловно может, бить по большинству баз. Поэтому использование для морских операций сухопутной авиации также имеет исключительное значение, и моряки должны в этом тренироваться.</w:t>
      </w:r>
    </w:p>
    <w:p w14:paraId="1E0D629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хотел бы сказать, что на одном из последних заседаний правительства по этому вопросу т. Сталин сказал фразу, не совсем приятную для моряков, а именно, что моряки еще не имеют вкуса к авиации. В морском флоте мы отстали по формам глубокого боя от сухопутных сил. Очевидно, над этим делом надо задуматься и нашим морякам. Надо заняться изучением авиации и использованием ее в каждом бою и в каждой операции. За это дело надо взяться обеими руками.</w:t>
      </w:r>
    </w:p>
    <w:p w14:paraId="028BB8F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56-59.</w:t>
      </w:r>
    </w:p>
    <w:p w14:paraId="454460A1" w14:textId="77777777" w:rsidR="00970104" w:rsidRPr="00E14102" w:rsidRDefault="00E14102" w:rsidP="00E14102">
      <w:pPr>
        <w:pStyle w:val="rtejustify"/>
        <w:spacing w:before="0" w:after="0"/>
        <w:rPr>
          <w:color w:val="000000" w:themeColor="text1"/>
          <w:sz w:val="16"/>
          <w:szCs w:val="16"/>
        </w:rPr>
      </w:pPr>
      <w:hyperlink r:id="rId265" w:anchor="_ftnref1" w:history="1">
        <w:r w:rsidR="00970104" w:rsidRPr="00E14102">
          <w:rPr>
            <w:rStyle w:val="a4"/>
            <w:color w:val="000000" w:themeColor="text1"/>
            <w:sz w:val="16"/>
            <w:szCs w:val="16"/>
          </w:rPr>
          <w:t>[1]</w:t>
        </w:r>
      </w:hyperlink>
      <w:r w:rsidR="00970104" w:rsidRPr="00E14102">
        <w:rPr>
          <w:color w:val="000000" w:themeColor="text1"/>
          <w:sz w:val="16"/>
          <w:szCs w:val="16"/>
        </w:rPr>
        <w:t xml:space="preserve"> Имеется в виду: приказ РВС СССР № 0101 от 1 декабря 1933 г. об итогах боевой подготовки РККА за 1933 г. и задачах на 1934 г.; приказ НКО СССР № 0102 от 17 декабря 1934 г. об итогах боевой подготовки РККА за 1934 г. и задачах на 1935 г.; приказ НКО № 0019 от 16 сентября 1934 г. о результатах окружных общевойсковых учений ПриВО, УВО и БВО; приказ Н КО № 025 от 15 февраля 1935 г. о порядке эксплуатации автобронемаш ин в РККА; директива РВС СССР № 8573с от 10 февраля 1933 г. о порядке проведения смотровых учений штабов в 1933 г.; директива Штаба РК К А № 16593с от 28 декабря 1934 г. об организации, планировании и методике боевой подготовки, согласно приказа НКО № 0102.</w:t>
      </w:r>
    </w:p>
    <w:p w14:paraId="6B3BEC76" w14:textId="77777777" w:rsidR="00970104" w:rsidRPr="00E14102" w:rsidRDefault="00E14102" w:rsidP="00E14102">
      <w:pPr>
        <w:pStyle w:val="rtejustify"/>
        <w:spacing w:before="0" w:after="0"/>
        <w:rPr>
          <w:color w:val="000000" w:themeColor="text1"/>
          <w:sz w:val="16"/>
          <w:szCs w:val="16"/>
        </w:rPr>
      </w:pPr>
      <w:hyperlink r:id="rId266" w:anchor="_ftnref2" w:history="1">
        <w:r w:rsidR="00970104" w:rsidRPr="00E14102">
          <w:rPr>
            <w:rStyle w:val="a4"/>
            <w:color w:val="000000" w:themeColor="text1"/>
            <w:sz w:val="16"/>
            <w:szCs w:val="16"/>
          </w:rPr>
          <w:t>[2]</w:t>
        </w:r>
      </w:hyperlink>
      <w:r w:rsidR="00970104" w:rsidRPr="00E14102">
        <w:rPr>
          <w:color w:val="000000" w:themeColor="text1"/>
          <w:sz w:val="16"/>
          <w:szCs w:val="16"/>
        </w:rPr>
        <w:t xml:space="preserve"> Егоров.</w:t>
      </w:r>
    </w:p>
    <w:p w14:paraId="74EB51E4" w14:textId="77777777" w:rsidR="00970104" w:rsidRPr="00E14102" w:rsidRDefault="00E14102" w:rsidP="00E14102">
      <w:pPr>
        <w:pStyle w:val="rtejustify"/>
        <w:spacing w:before="0" w:after="0"/>
        <w:rPr>
          <w:color w:val="000000" w:themeColor="text1"/>
          <w:sz w:val="16"/>
          <w:szCs w:val="16"/>
        </w:rPr>
      </w:pPr>
      <w:hyperlink r:id="rId267" w:anchor="_ftnref3" w:history="1">
        <w:r w:rsidR="00970104" w:rsidRPr="00E14102">
          <w:rPr>
            <w:rStyle w:val="a4"/>
            <w:color w:val="000000" w:themeColor="text1"/>
            <w:sz w:val="16"/>
            <w:szCs w:val="16"/>
          </w:rPr>
          <w:t>[3]</w:t>
        </w:r>
      </w:hyperlink>
      <w:r w:rsidR="00970104" w:rsidRPr="00E14102">
        <w:rPr>
          <w:color w:val="000000" w:themeColor="text1"/>
          <w:sz w:val="16"/>
          <w:szCs w:val="16"/>
        </w:rPr>
        <w:t xml:space="preserve"> Буденный.</w:t>
      </w:r>
    </w:p>
    <w:p w14:paraId="02B18EBE" w14:textId="77777777" w:rsidR="00970104" w:rsidRPr="00E14102" w:rsidRDefault="00E14102" w:rsidP="00E14102">
      <w:pPr>
        <w:pStyle w:val="rtejustify"/>
        <w:spacing w:before="0" w:after="0"/>
        <w:rPr>
          <w:color w:val="000000" w:themeColor="text1"/>
          <w:sz w:val="16"/>
          <w:szCs w:val="16"/>
        </w:rPr>
      </w:pPr>
      <w:hyperlink r:id="rId268" w:anchor="_ftnref4" w:history="1">
        <w:r w:rsidR="00970104" w:rsidRPr="00E14102">
          <w:rPr>
            <w:rStyle w:val="a4"/>
            <w:color w:val="000000" w:themeColor="text1"/>
            <w:sz w:val="16"/>
            <w:szCs w:val="16"/>
          </w:rPr>
          <w:t>[4]</w:t>
        </w:r>
      </w:hyperlink>
      <w:r w:rsidR="00970104" w:rsidRPr="00E14102">
        <w:rPr>
          <w:color w:val="000000" w:themeColor="text1"/>
          <w:sz w:val="16"/>
          <w:szCs w:val="16"/>
        </w:rPr>
        <w:t xml:space="preserve"> Механизированные батальоны.</w:t>
      </w:r>
    </w:p>
    <w:p w14:paraId="70BDCCB0" w14:textId="77777777" w:rsidR="00970104" w:rsidRPr="00E14102" w:rsidRDefault="00E14102" w:rsidP="00E14102">
      <w:pPr>
        <w:pStyle w:val="rtejustify"/>
        <w:spacing w:before="0" w:after="0"/>
        <w:rPr>
          <w:color w:val="000000" w:themeColor="text1"/>
          <w:sz w:val="16"/>
          <w:szCs w:val="16"/>
        </w:rPr>
      </w:pPr>
      <w:hyperlink r:id="rId269" w:anchor="_ftnref5" w:history="1">
        <w:r w:rsidR="00970104" w:rsidRPr="00E14102">
          <w:rPr>
            <w:rStyle w:val="a4"/>
            <w:color w:val="000000" w:themeColor="text1"/>
            <w:sz w:val="16"/>
            <w:szCs w:val="16"/>
          </w:rPr>
          <w:t>[5]</w:t>
        </w:r>
      </w:hyperlink>
      <w:r w:rsidR="00970104" w:rsidRPr="00E14102">
        <w:rPr>
          <w:color w:val="000000" w:themeColor="text1"/>
          <w:sz w:val="16"/>
          <w:szCs w:val="16"/>
        </w:rPr>
        <w:t xml:space="preserve"> Приказ НКО С ССР № 0077 от 22 сентября 1935 г. о мероприятиях по ликвидации аварий и катастроф в Воздушных силах РККА.</w:t>
      </w:r>
    </w:p>
    <w:p w14:paraId="3C626896" w14:textId="77777777" w:rsidR="00970104" w:rsidRPr="00E14102" w:rsidRDefault="00E14102" w:rsidP="00E14102">
      <w:pPr>
        <w:pStyle w:val="rtejustify"/>
        <w:spacing w:before="0" w:after="0"/>
        <w:rPr>
          <w:color w:val="000000" w:themeColor="text1"/>
          <w:sz w:val="16"/>
          <w:szCs w:val="16"/>
        </w:rPr>
      </w:pPr>
      <w:hyperlink r:id="rId270" w:anchor="_ftnref6" w:history="1">
        <w:r w:rsidR="00970104" w:rsidRPr="00E14102">
          <w:rPr>
            <w:rStyle w:val="a4"/>
            <w:color w:val="000000" w:themeColor="text1"/>
            <w:sz w:val="16"/>
            <w:szCs w:val="16"/>
          </w:rPr>
          <w:t>[6]</w:t>
        </w:r>
      </w:hyperlink>
      <w:r w:rsidR="00970104" w:rsidRPr="00E14102">
        <w:rPr>
          <w:color w:val="000000" w:themeColor="text1"/>
          <w:sz w:val="16"/>
          <w:szCs w:val="16"/>
        </w:rPr>
        <w:t xml:space="preserve"> Орджоникидзе Серго (Григорий Константинович) — нарком тяжелой промышленности (1932—1937 гг.).</w:t>
      </w:r>
    </w:p>
    <w:p w14:paraId="26531B95" w14:textId="77777777" w:rsidR="00970104" w:rsidRPr="00E14102" w:rsidRDefault="00E14102" w:rsidP="00E14102">
      <w:pPr>
        <w:pStyle w:val="rtejustify"/>
        <w:spacing w:before="0" w:after="0"/>
        <w:rPr>
          <w:color w:val="000000" w:themeColor="text1"/>
          <w:sz w:val="16"/>
          <w:szCs w:val="16"/>
        </w:rPr>
      </w:pPr>
      <w:hyperlink r:id="rId271" w:anchor="_ftnref7" w:history="1">
        <w:r w:rsidR="00970104" w:rsidRPr="00E14102">
          <w:rPr>
            <w:rStyle w:val="a4"/>
            <w:color w:val="000000" w:themeColor="text1"/>
            <w:sz w:val="16"/>
            <w:szCs w:val="16"/>
          </w:rPr>
          <w:t>[7]</w:t>
        </w:r>
      </w:hyperlink>
      <w:r w:rsidR="00970104" w:rsidRPr="00E14102">
        <w:rPr>
          <w:color w:val="000000" w:themeColor="text1"/>
          <w:sz w:val="16"/>
          <w:szCs w:val="16"/>
        </w:rPr>
        <w:t xml:space="preserve"> Халепский.</w:t>
      </w:r>
    </w:p>
    <w:p w14:paraId="5D55FBD8" w14:textId="77777777" w:rsidR="00970104" w:rsidRPr="00E14102" w:rsidRDefault="00E14102" w:rsidP="00E14102">
      <w:pPr>
        <w:pStyle w:val="rtejustify"/>
        <w:spacing w:before="0" w:after="0"/>
        <w:rPr>
          <w:color w:val="000000" w:themeColor="text1"/>
          <w:sz w:val="16"/>
          <w:szCs w:val="16"/>
        </w:rPr>
      </w:pPr>
      <w:hyperlink r:id="rId272" w:anchor="_ftnref8" w:history="1">
        <w:r w:rsidR="00970104" w:rsidRPr="00E14102">
          <w:rPr>
            <w:rStyle w:val="a4"/>
            <w:color w:val="000000" w:themeColor="text1"/>
            <w:sz w:val="16"/>
            <w:szCs w:val="16"/>
          </w:rPr>
          <w:t>[8]</w:t>
        </w:r>
      </w:hyperlink>
      <w:r w:rsidR="00970104" w:rsidRPr="00E14102">
        <w:rPr>
          <w:color w:val="000000" w:themeColor="text1"/>
          <w:sz w:val="16"/>
          <w:szCs w:val="16"/>
        </w:rPr>
        <w:t xml:space="preserve"> Левичев.</w:t>
      </w:r>
    </w:p>
    <w:bookmarkStart w:id="55" w:name="_ftn9"/>
    <w:p w14:paraId="46AB69B5"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"http://istmat.info/node/33258" \l "_ftnref9" \o "" </w:instrText>
      </w:r>
      <w:r w:rsidRPr="00E14102">
        <w:rPr>
          <w:color w:val="000000" w:themeColor="text1"/>
          <w:sz w:val="16"/>
          <w:szCs w:val="16"/>
        </w:rPr>
        <w:fldChar w:fldCharType="separate"/>
      </w:r>
      <w:r w:rsidR="00970104" w:rsidRPr="00E14102">
        <w:rPr>
          <w:rStyle w:val="a4"/>
          <w:color w:val="000000" w:themeColor="text1"/>
          <w:sz w:val="16"/>
          <w:szCs w:val="16"/>
        </w:rPr>
        <w:t>[9]</w:t>
      </w:r>
      <w:r w:rsidRPr="00E14102">
        <w:rPr>
          <w:color w:val="000000" w:themeColor="text1"/>
          <w:sz w:val="16"/>
          <w:szCs w:val="16"/>
        </w:rPr>
        <w:fldChar w:fldCharType="end"/>
      </w:r>
      <w:bookmarkEnd w:id="55"/>
      <w:r w:rsidR="00970104" w:rsidRPr="00E14102">
        <w:rPr>
          <w:color w:val="000000" w:themeColor="text1"/>
          <w:sz w:val="16"/>
          <w:szCs w:val="16"/>
        </w:rPr>
        <w:t xml:space="preserve"> См. сноску №1</w:t>
      </w:r>
    </w:p>
    <w:bookmarkStart w:id="56" w:name="_ftn10"/>
    <w:p w14:paraId="39030F3C"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"http://istmat.info/node/33258" \l "_ftnref10" \o "" </w:instrText>
      </w:r>
      <w:r w:rsidRPr="00E14102">
        <w:rPr>
          <w:color w:val="000000" w:themeColor="text1"/>
          <w:sz w:val="16"/>
          <w:szCs w:val="16"/>
        </w:rPr>
        <w:fldChar w:fldCharType="separate"/>
      </w:r>
      <w:r w:rsidR="00970104" w:rsidRPr="00E14102">
        <w:rPr>
          <w:rStyle w:val="a4"/>
          <w:color w:val="000000" w:themeColor="text1"/>
          <w:sz w:val="16"/>
          <w:szCs w:val="16"/>
        </w:rPr>
        <w:t>[10]</w:t>
      </w:r>
      <w:r w:rsidRPr="00E14102">
        <w:rPr>
          <w:color w:val="000000" w:themeColor="text1"/>
          <w:sz w:val="16"/>
          <w:szCs w:val="16"/>
        </w:rPr>
        <w:fldChar w:fldCharType="end"/>
      </w:r>
      <w:bookmarkEnd w:id="56"/>
      <w:r w:rsidR="00970104" w:rsidRPr="00E14102">
        <w:rPr>
          <w:color w:val="000000" w:themeColor="text1"/>
          <w:sz w:val="16"/>
          <w:szCs w:val="16"/>
        </w:rPr>
        <w:t xml:space="preserve"> Приказ НКО СССР № 0019 от 16 сентября 1934 г. о результатах окружных общевойсковых учений ПриВО, УВО и БВО.</w:t>
      </w:r>
    </w:p>
    <w:p w14:paraId="456C3967" w14:textId="77777777" w:rsidR="00970104" w:rsidRPr="00E14102" w:rsidRDefault="00970104" w:rsidP="00E14102">
      <w:pPr>
        <w:jc w:val="both"/>
        <w:rPr>
          <w:color w:val="000000" w:themeColor="text1"/>
          <w:sz w:val="16"/>
          <w:szCs w:val="16"/>
        </w:rPr>
      </w:pPr>
      <w:r w:rsidRPr="00E14102">
        <w:rPr>
          <w:color w:val="000000" w:themeColor="text1"/>
          <w:sz w:val="16"/>
          <w:szCs w:val="16"/>
        </w:rPr>
        <w:t>Источник: Военный совет при народном комиссаре обороны СССР. Декабрь 1935 г.: Документы и материалы. — М.: "РОССПЭН", 2008. С. 127-188 (12591).</w:t>
      </w:r>
    </w:p>
    <w:p w14:paraId="63E2FEA1" w14:textId="77777777" w:rsidR="00970104" w:rsidRPr="00E14102" w:rsidRDefault="00970104" w:rsidP="00E14102">
      <w:pPr>
        <w:jc w:val="both"/>
        <w:rPr>
          <w:color w:val="000000" w:themeColor="text1"/>
          <w:sz w:val="16"/>
          <w:szCs w:val="16"/>
        </w:rPr>
      </w:pPr>
    </w:p>
    <w:p w14:paraId="164F5B01" w14:textId="77777777" w:rsidR="000561E6" w:rsidRPr="00E14102" w:rsidRDefault="000561E6" w:rsidP="00E14102">
      <w:pPr>
        <w:pStyle w:val="rtejustify"/>
        <w:spacing w:before="0" w:after="0"/>
        <w:rPr>
          <w:rStyle w:val="a6"/>
          <w:i w:val="0"/>
          <w:color w:val="000000" w:themeColor="text1"/>
          <w:sz w:val="16"/>
          <w:szCs w:val="16"/>
        </w:rPr>
      </w:pPr>
      <w:r w:rsidRPr="00E14102">
        <w:rPr>
          <w:color w:val="000000" w:themeColor="text1"/>
          <w:sz w:val="16"/>
          <w:szCs w:val="16"/>
        </w:rPr>
        <w:t>9 декабря 1935 г. Стенограмма вечернего заседания</w:t>
      </w:r>
    </w:p>
    <w:p w14:paraId="7D62FA2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Душенов.</w:t>
      </w:r>
      <w:r w:rsidRPr="00E14102">
        <w:rPr>
          <w:color w:val="000000" w:themeColor="text1"/>
          <w:sz w:val="16"/>
          <w:szCs w:val="16"/>
        </w:rPr>
        <w:t xml:space="preserve"> После окончания прорытия Беломорско-Балтийского канала и посещения Северного края т. Сталиным и наркомом обороны Маршалом Советского Союза т. Ворошиловым на северном морском театре начали настойчиво создаваться вооруженные силы</w:t>
      </w:r>
      <w:r w:rsidRPr="00E14102">
        <w:rPr>
          <w:color w:val="000000" w:themeColor="text1"/>
          <w:sz w:val="16"/>
          <w:szCs w:val="16"/>
          <w:vertAlign w:val="superscript"/>
        </w:rPr>
        <w:t>53</w:t>
      </w:r>
      <w:r w:rsidRPr="00E14102">
        <w:rPr>
          <w:color w:val="000000" w:themeColor="text1"/>
          <w:sz w:val="16"/>
          <w:szCs w:val="16"/>
        </w:rPr>
        <w:t>. Так как далеко не многие командиры осведомлены о развитии там вооруженных сил, то я с разрешения народного комиссара обороны позволю себе доложить о положении вопроса развития вооруженных сил Севера.</w:t>
      </w:r>
    </w:p>
    <w:p w14:paraId="592353E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Всегдашняя мечта всех государственных деятелей царской России — создать вооруженные силы и активный флот на Баренцевом море, единственном море, имеющем выход на мировые пути. Эта мечта не могла быть осуществлена до прорытия канала и до прихода советской власти. И вот сейчас, после прорытия Беломорско-Балтийского канала, там создаются серьезные военно-морские силы, которые на сегодняшний день уже имеют некоторое завершение в выполнении первой очереди работ, связанных непосредственно с обороной этого края. Надо сказать, что если на Дальнем Востоке мы начали строить от двух батарей, то в Северном крае ничего совершенно не было, там мы начали буквально с нуля. При этом строительство в Северном крае происходит в необычных не только для нашей европейской части, но и даже необычных для азиатской части Советского Союза условиях. Там голые скалы, голый исключительно крепкий гранит. И на этих голых гранитных скалах сейчас мы строим укрепленные районы, строим военно-морские базы. В течение полутора лет воинским частям пришлось вести исключительно подрывные работы для того, чтобы приступить собственно к строительству этой военно-морской базы. Сравнивали площадки, строили дороги, прорывали траншеи для водопровода, канализации, парового отопления. И вот на сегодня эта первая очередь подготовительных работ закончена. Маскировка этих батарей применительно к топографическим условиям неоднократно осматривались мною и специалистами как с земли, так и с самолета во всех направлениях, и они достаточно хороши.</w:t>
      </w:r>
    </w:p>
    <w:p w14:paraId="3B56A58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последнее время нами получен материал от людей, ведущих у нас разведку, который свидетельствует, что строительством нашим очень заинтересованы японцы, которые хотят узнать, собираемся ли мы переводить флот на Дальний Восток. Строительством заинтересованы англичане и немцы в отношении того, готовимся ли мы действовать на морских коммуникационных линиях. Все это свидетельствует о большой заинтересованности этим театром, причем ведется изучение его не только отдельными лицами, но и целыми морскими соединениями. Во время посещения начальника Морских сил т. Орлова было отмечено, что в районе позиций, где находятся подводные лодки, маневрируют целые английские соединения. Даже на пристанях, где складывается артиллерийское оборудование, швартуется целый ряд тральщиков Норвегии. И когда спрашиваем цель визита, то отвечают, что во всех международных справочниках это хорошее место — убежище и, пока в отношении его нет никаких объявлений, мы можем здесь быть.</w:t>
      </w:r>
    </w:p>
    <w:p w14:paraId="0617FE8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Прошу наркома обороны закрыть доступ в наши укрепленные районы и объявить это запрещение в международном масштабе, иначе строить и проводить боевую подготовку очень трудно ввиду того, что каждый имеет доступ на эту территорию. На эту территорию имеют доступ целыми соединениями английские, норвежские и шведские корабли.</w:t>
      </w:r>
    </w:p>
    <w:p w14:paraId="618BA75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А почему их пускают?</w:t>
      </w:r>
    </w:p>
    <w:p w14:paraId="45A017A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Душенов.</w:t>
      </w:r>
      <w:r w:rsidRPr="00E14102">
        <w:rPr>
          <w:color w:val="000000" w:themeColor="text1"/>
          <w:sz w:val="16"/>
          <w:szCs w:val="16"/>
        </w:rPr>
        <w:t xml:space="preserve"> У нас недостаточно сил, чтобы нести патруль, и мы не имеем по международному праву никакого права запрещать. Я одного прошу, т. народный комиссар, чтобы эти воды вы назначили водами, совершенно для иностранцев закрытыми. Согласно международной конвенции существует еще градация, что в укрепрайоны нельзя совсем заходить. Так, например, в немецких и японских укреплениях ни в коем случае не позволят вам зайти. У нас достаточно бухт, чтобы не входить в укрепрайоны.</w:t>
      </w:r>
    </w:p>
    <w:p w14:paraId="29B7B04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Это другое дело. У вас, видно, силенок мало, хотите, чтобы мы из Москвы поднажали.</w:t>
      </w:r>
    </w:p>
    <w:p w14:paraId="06F2EC3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Душенов.</w:t>
      </w:r>
      <w:r w:rsidRPr="00E14102">
        <w:rPr>
          <w:color w:val="000000" w:themeColor="text1"/>
          <w:sz w:val="16"/>
          <w:szCs w:val="16"/>
        </w:rPr>
        <w:t xml:space="preserve"> Нет, у меня силенок для того, чтобы их гнать, достаточно, но я хочу, чтобы вы подкрепили международным актом это дело, чтобы было объявлено о том, что это наши воды укрепленного района, или как его назовете. Я не могу держать миноносцы и подлодки в постоянной готовности для этого. В непосредственной близости от Кольского залива, примерно в 100 милях, англичане предусматривают строительство базы. Они выбрали порт в норвежском фьорде — Киркинес и развивают довольно активную деятельность, готовят себе базу, перевозят руду, готовят стоянки и место базирования воздушных сил. То же самое довольно активно работают английские и немецкие разведывательные партии в непосредственной близости от наших границ, и ведется усиленное искание строительства аэродромов.</w:t>
      </w:r>
    </w:p>
    <w:p w14:paraId="305BB71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 видите, в последнее время Северный край приобрел довольно актуальное значение и не потому только, что мы там строим мирового значения металлургические предприятия: скажем, никелевый огромный гигант, апатитовый гигант, развиваем огромную рыбную промышленность, которая имеет колоссальное значение для нашего Советского Союза, а потому что, видимо, прежде всего прочего этот край имеет иное значение, кроме значения экономического.</w:t>
      </w:r>
    </w:p>
    <w:p w14:paraId="498BDC6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Относительно боевой подготовки. Тот головной отряд, который перешел из Балтийского моря в Баренцево море, он попал в условия, совершенно отличные по отношению ко всем морям, на которых мне и тем морякам, которые пришли, приходилось плавать. Это-то и наложило резкий отпечаток на методику и организацию боевой подготовки. Подводные лодки, которые с Балтийского моря перешли сюда, они сначала не лезли в воду, нельзя их было туда загнать. Чем же это вызывалось? Соленость воды и плотность были настолько велики, что подводные лодки не лезли в воду. Пришлось, хотя это и не предусмотрено конструктивными данными, класть баласт и с ним плавать. Сам театр имеет настолько много контрастов, что когда мы хотим пройти через Белое и Баренцево море, затем пойти к норвежским берегам, то приходится несколько раз делать погружение, определять плотность воды, иначе в нужное время либо не загонишь лодку, либо подлодка проваливается камнем на дно. Условия плавания на этом театре таковы, что приходится работать с настойчивостью, но с аккуратностью.</w:t>
      </w:r>
    </w:p>
    <w:p w14:paraId="1593163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Или, например, подлодки омерзают. Для того чтобы погрузиться, сначала нужно из всех цистерн выдуть воздух. Так как клапана вентиляции примерзают и может получиться, что один клапан откроется, а другой не откроется и подводная лодка может полезть почти вертикально носом в воду, приходится делать конструктивные мероприятия — производить большие изобретательские работы в этом отношении. Или, например, температура внутри подводной лодки иногда бывает минус 15°, Внутри подводной лодки вода в водопроводе замерзает. Приходится предпринимать различные меры и способы в борьбе с этим замерзанием.</w:t>
      </w:r>
    </w:p>
    <w:p w14:paraId="46C8EC3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первый взгляд кажется, что для человека, попавшего впервые в такое положение, плавать трудно. Но если все это разложить по частям, по-серьезному подойти ко всем этим вопросам, то мы придем к другому выводу — что все это не так страшно. Я должен сказать, что мы разрешили целый ряд вопросов. При проектировании новых лодок все указанные недочеты надо учесть. Я ставлю этот вопрос для того, чтобы в проектах лодок для нашего театра, а лодки будут проектировать настоящие, чтобы все эти вещи были по-настоящему предусмотрены.</w:t>
      </w:r>
    </w:p>
    <w:p w14:paraId="2519D8F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еще об одной особенности нашего театра, театра, который имеет очень резкие контрасты. В течение часа может меняться погода, и, например, подводная лодка, погрузившись в море, должна сначала посмотреть, как всплыть, так как появляется огромная зыбь, и когда лодка всплывает, то волна заливает открытый рубочный люк. Бывают случаи, когда командир и весь личный состав лодки с водой влетали обратно в лодку для того, чтобы потом по-настоящему выйти из воды. Сейчас нашли решение этого вопроса — надо всплывать по волне, надо всплывать, имея определенную скорость. Но я должен сказать, что при новом конструировании подводных лодок надо иначе решать вопрос о подаче воздуха. Есть шахты для подачи воздуха, но их не хватает, поэтому мы подаем воздух в люк, но люк заливает водой; личный состав, находящийся на мостике, заливается водой. Нужно, чтобы люки на походе все закрывались. Таким образом мы решим вопрос более или менее спокойного плавания. Насколько плавание серьезно, об этом можно судить по высказываниям одного немецкого офицера, который действовал на этом театре во время империалистической войны, и описывает так: «Люблю море, но в этом море все силы ада обрушиваются на мою лодку».</w:t>
      </w:r>
    </w:p>
    <w:p w14:paraId="6BA521F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Гришин.</w:t>
      </w:r>
      <w:r w:rsidRPr="00E14102">
        <w:rPr>
          <w:color w:val="000000" w:themeColor="text1"/>
          <w:sz w:val="16"/>
          <w:szCs w:val="16"/>
        </w:rPr>
        <w:t xml:space="preserve"> Ты не пугай народ.</w:t>
      </w:r>
    </w:p>
    <w:p w14:paraId="39140CD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Гришин — старый моряк, ему все нипочем.</w:t>
      </w:r>
    </w:p>
    <w:p w14:paraId="513C87E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Душенов. Я</w:t>
      </w:r>
      <w:r w:rsidRPr="00E14102">
        <w:rPr>
          <w:color w:val="000000" w:themeColor="text1"/>
          <w:sz w:val="16"/>
          <w:szCs w:val="16"/>
        </w:rPr>
        <w:t xml:space="preserve"> хочу сказать, что для нашего театра надо строить крепкие корабли, хотя бы даже за счет скорости. Когда меня спросят, что тебе нужно — быстроходный корабль или за счет 1—2 узлов дать морские качества, то я скажу: дайте морские качества.</w:t>
      </w:r>
    </w:p>
    <w:p w14:paraId="1A36FB9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Нужно и то, и другое.</w:t>
      </w:r>
    </w:p>
    <w:p w14:paraId="4A5FAD8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Душенов.</w:t>
      </w:r>
      <w:r w:rsidRPr="00E14102">
        <w:rPr>
          <w:color w:val="000000" w:themeColor="text1"/>
          <w:sz w:val="16"/>
          <w:szCs w:val="16"/>
        </w:rPr>
        <w:t xml:space="preserve"> Если и то, и другое — это замечательно.</w:t>
      </w:r>
    </w:p>
    <w:p w14:paraId="5391A2D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относительно боевой подготовки. Нам сама природа внесла осложнение в боевую подготовку. Мы, например, стреляем все время на зыби и на качке. Я помню на Черном и Балтийском морях, как бы ни говорили, но мы выбираем погодку хорошую, а здесь погода такая, что все время приходится использовать оружие в качку, и краснофлотец, который стреляет, бывает весь мокрый, и вот в этих условиях натренировать стрелков — дело очень важное. Мы знаем, что в империалистическую войну около Коронеля немецкий адмирал Шпее разбил английскую эскадру Крэдока</w:t>
      </w:r>
      <w:r w:rsidRPr="00E14102">
        <w:rPr>
          <w:color w:val="000000" w:themeColor="text1"/>
          <w:sz w:val="16"/>
          <w:szCs w:val="16"/>
          <w:vertAlign w:val="superscript"/>
        </w:rPr>
        <w:t>54</w:t>
      </w:r>
      <w:r w:rsidRPr="00E14102">
        <w:rPr>
          <w:color w:val="000000" w:themeColor="text1"/>
          <w:sz w:val="16"/>
          <w:szCs w:val="16"/>
        </w:rPr>
        <w:t>, это произошло только потому, что немцы умели хорошо стрелять, а англичане не умели. Все эти вопросы ничего страшного не представляют, если к ним подойти разумно. Поскольку здесь такое высокое собрание и имеющее отношение к военно-морскому строительству, я обращаюсь, чтобы при решении вопроса учитывать эти специфические особенности. Краснофлотцы любят стрелять, когда их обдает водой, они стреляют хорошо, и ни одной осечки. Мы стреляли на волне 3— 4 балла, а стрелять на волне до 7 баллов — это надо тренировать. Немцы у Коронеля стреляли при 7 баллах и благодаря этому имели успех боя, потому что умели стрелять.</w:t>
      </w:r>
    </w:p>
    <w:p w14:paraId="1520B07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Следующий вопрос насчет штурманской подготовки. У нас нормы слишком слабы, не подходят для нас. У нас предусмотрено, что 100 миль проплыл, имеешь право отклоняться на 4 мили, а может получиться так, что отклонился на 3 мили и сидишь на камнях. Я докладывал начальнику Морских сил и просил, чтобы нормы поставить жестче, и мы будем искать решение вопроса.</w:t>
      </w:r>
    </w:p>
    <w:p w14:paraId="221E1B4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относительно торпедных атак. У нас существуют тоже свои условия по торпедным атакам. Во время учебных стрельб предусмотрено, что мы должны видеть перископ подводных лодок, и если не видишь — нужно прекращать маневр. Для других морей это приемлемо, но для моего театра это не приемлемо, потому что я в большинстве не вижу перископа подводных лодок, и это является преимуществом; перископ часто нельзя видеть до тех пор, пока лодка не выпустит залп. Это замечательное качество, какого я не видел ни на одном море, и подводные лодки в этом отношении имеют колоссальный эффект по сравнению с другими морями.</w:t>
      </w:r>
    </w:p>
    <w:p w14:paraId="78090AB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Тухачевский.</w:t>
      </w:r>
      <w:r w:rsidRPr="00E14102">
        <w:rPr>
          <w:color w:val="000000" w:themeColor="text1"/>
          <w:sz w:val="16"/>
          <w:szCs w:val="16"/>
        </w:rPr>
        <w:t xml:space="preserve"> Но надо, чтобы кто-нибудь поперся туда к вам.</w:t>
      </w:r>
    </w:p>
    <w:p w14:paraId="0DEC265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Душенов.</w:t>
      </w:r>
      <w:r w:rsidRPr="00E14102">
        <w:rPr>
          <w:color w:val="000000" w:themeColor="text1"/>
          <w:sz w:val="16"/>
          <w:szCs w:val="16"/>
        </w:rPr>
        <w:t xml:space="preserve"> Если к нам никто не попрется, то мы сами сумеем попереться. Но если мы научимся работать на зыби, то на хорошей воде тем лучше.</w:t>
      </w:r>
    </w:p>
    <w:p w14:paraId="3787527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Следующий вопрос. У нас предусмотрено, что торпеда может стрелять при волне в 3 балла, иначе можно потерять торпеду. Мы принуждены отклониться от этого и стреляем при гораздо большем количестве баллов. Но чтобы не потерять торпеду, прошу дать мне флоресцина, это зеленые пятна, которые держатся полчаса на воде. Нам это нужно обязательно, но нам этого не дают, в то время как флоресцин разбазаривают сколько угодно на Черном море.</w:t>
      </w:r>
    </w:p>
    <w:p w14:paraId="5D72581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Наконец, я прошу поскорее дать на Север авиацию. Она нам нужна, Я к авиации привык на Черном море, люблю ее, использовать ее прекрасно можно у нас.</w:t>
      </w:r>
    </w:p>
    <w:p w14:paraId="06A98C0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И она вас любит.</w:t>
      </w:r>
    </w:p>
    <w:p w14:paraId="316D81B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Душенов. Я</w:t>
      </w:r>
      <w:r w:rsidRPr="00E14102">
        <w:rPr>
          <w:color w:val="000000" w:themeColor="text1"/>
          <w:sz w:val="16"/>
          <w:szCs w:val="16"/>
        </w:rPr>
        <w:t xml:space="preserve"> затаскал у нас авиацию Наркомвнудела, буквально замучил. Надо сказать, что они работают неплохо, много налетали, летных дней у них, наверно, не меньше, чем на Балтике, если учитывать переходы на лыжи, на воду и т.д.</w:t>
      </w:r>
    </w:p>
    <w:p w14:paraId="51164AE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Наконец, о модернизации подводных лодок. Я сказал уже, что подводные лодки надо модернизировать, дать рубку, иначе подводная лодка работает в очень тяжелых условиях. Надо подводникам дать обмундирование, иначе подводник в холодной лодке при низкой температуре находится в неравных условиях со своими собратьями на надводных кораблях и на самолетах.</w:t>
      </w:r>
    </w:p>
    <w:p w14:paraId="5F438E2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60-61.</w:t>
      </w:r>
    </w:p>
    <w:p w14:paraId="3DB2388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Прежде чем дать слово очередному оратору, я хочу продемонстрировать вам бойцов в новом снаряжении и полной выкладке, о чем говорил Михаил Николаевич. Посмотрим, как это получится. Доложит обо всем этом т. Косич.</w:t>
      </w:r>
    </w:p>
    <w:p w14:paraId="792F674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Вес нового ранца сделан облегченным, равняется вместе со всем снаряжением 23 кг 570 граммов. Решено также носить 45 патронов вместо 90. Ранец старого образца весит 25 кг.</w:t>
      </w:r>
    </w:p>
    <w:p w14:paraId="2A99557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 что докладывал М.Н. Тухачевский, именно 38 кг, — весит ранец пулеметчика и подносчика патронов, которые несут гораздо больший груз. Кроме того, в этот вес включено все обмундирование — сапоги, брюки, кальсоны, рубашка, одним словом, все, что на теле человека.</w:t>
      </w:r>
    </w:p>
    <w:p w14:paraId="5770DE9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Почему должен один нести 38 кг, когда идет целое отделение? Надо распределить груз. Невозможно, чтобы один человек нес 38 кг, т.е. 2 пуда 15 фунтов, и это в то время, когда у нас кругом машины, моторы и т.д. А мы будем заставлять человека нести такую тяжесть.</w:t>
      </w:r>
    </w:p>
    <w:p w14:paraId="20184CA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61.</w:t>
      </w:r>
    </w:p>
    <w:p w14:paraId="5F42726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Хрипин.</w:t>
      </w:r>
      <w:r w:rsidRPr="00E14102">
        <w:rPr>
          <w:color w:val="000000" w:themeColor="text1"/>
          <w:sz w:val="16"/>
          <w:szCs w:val="16"/>
        </w:rPr>
        <w:t xml:space="preserve"> Разрешите мне прежде всего остановиться на некоторых итогах летной подготовки нашего Воздушного флота и сравнить эту подготовку с подготовкой французской и английской авиации. За последние два года ряд наших командиров и я лично имели возможность довольно подробно ознакомиться с состоянием французского воздушного флота и, с меньшей полнотой, но все же довольно основательно, с английской авиацией.</w:t>
      </w:r>
    </w:p>
    <w:p w14:paraId="132C707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Здесь начальник Морских сил совершенно справедливо, на мой взгляд, отмечал, что основой подготовки Морских сил является морская подготовка. Я должен с таким же основанием подчеркнуть здесь значение летной подготовки в деле общей боевой подготовки Воздушных сил. Летать с большой свободой и с максимальной безопасностью как днем, так и ночью, летать в хороших и в трудных условиях есть главное условие для быстрого роста и оперативно-тактической, и огневой, и всех прочих видов подготовки.</w:t>
      </w:r>
    </w:p>
    <w:p w14:paraId="2AE2D61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было сделано в этом году для того, чтобы мы эту свободу полета в любых условиях приобрели? Позвольте мне доложить вам общие итоговые цифры по слепому налету, которыми характеризуется наше продвижение вперед в этой области. Если мы в 1934 г. имели общий слепой налет в 7463 часа, что составляло только 2*/</w:t>
      </w:r>
      <w:r w:rsidRPr="00E14102">
        <w:rPr>
          <w:color w:val="000000" w:themeColor="text1"/>
          <w:sz w:val="16"/>
          <w:szCs w:val="16"/>
          <w:vertAlign w:val="subscript"/>
        </w:rPr>
        <w:t>2</w:t>
      </w:r>
      <w:r w:rsidRPr="00E14102">
        <w:rPr>
          <w:color w:val="000000" w:themeColor="text1"/>
          <w:sz w:val="16"/>
          <w:szCs w:val="16"/>
        </w:rPr>
        <w:t>% от общего числа проведенных в воздухе часов, то в 1935 г. наша авиация сделала 58 421 час вслепую, что составляет уже 13% общего налета.</w:t>
      </w:r>
    </w:p>
    <w:p w14:paraId="5B3C739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Продвижение существенное, но, на мой взгляд, недостаточное, ибо вся эта слепая подготовка сводилась, к сожалению, преимущественно к работе у своих аэродромов, и те успехи, которые имели место еще в 1934 г. и, в частности, на Дальнем Востоке, по слепой подготовке в 1935 г. не были закреплены и развернуты. Задача № 5, которая зимой и весной 1934 г. с немалым результатом выполнена дальневосточной и забайкальской авиацией, не получила необходимого развития в подготовке авиации в 1935 г. Я лично выпустил на эту зачетную задачу в Белорусском округе две бригады весной 1935 г.; там эта задача была выполнена в очень узком масштабе: каждая из бригад дала только по 5 кораблей, причем одна из этих групп, летая в течение 8 часов ночью, попала в тяжелые условия действительно слепого полета — попала в облака. Что же при этом произошло? Оказалось, что через 15 мин. в облаках все приборы, обеспечивающие слепой полет, отказали. Остался только один компас и контрольно-измерительные приборы, с помощью которых летчики и выбрались из облаков, снизились и продолжали свой путь уже фактически без навигационного оборудования, не работали: показатель скорости, пионер, авиагоризонт. Эти основные приборы отказали, и если бы пришлось слепой полет совершать дальше, то налицо был бы элемент крайне большого риска.</w:t>
      </w:r>
    </w:p>
    <w:p w14:paraId="392C5BE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Почему это произошло? Потому что все приборы наши обледенели, ибо приборы до сих пор, к сожалению, не обогреты и только в этом году начинают обогреваться. Отсутствие тренировки в облаках, отсутствие такого опыта, при котором летчики вплотную сталкивались бы с большими трудностями в воздухе, не позволило быстро и успешно разрешить новые технические задачи в области обеспечения настоящего слепого полета. Мы этого в текущем году, к сожалению, еще не сделали.</w:t>
      </w:r>
    </w:p>
    <w:p w14:paraId="75CD744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Ночная подготовка в 1935 г. подвинулась вперед, но слабее практики в слепом полете. В 1934 г. было налетано ночью 17 729 часов, т.е. 5% от общего налета, в нынешнем же году — 41 194 часа, или 9%. В итоге ночные полеты и полеты под колпаком составляют в 1935 г. 22% от общего числа налетанных часов. Этого мало. В 1936 г. мы, пользуясь усовершенствованиями в нашей технике, обеспечивающими слепые и ночные полеты, должны и сумеем дать гораздо большее количество полетов в сложной обстановке вне своего аэродрома, чтобы научиться летать в настоящих облаках и достигнуть действительной свободы действий в воздухе.</w:t>
      </w:r>
    </w:p>
    <w:p w14:paraId="65F34BD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 мая нынешнего года, как это видели многие из присутствующих здесь командиров, авиация в Москве была собрана в большую группу, имеющую в своем составе 680 самолетов. Нечто подобное я ныне видел в Париже и должен сказать, что, сравнивая нашу групповую подготовку, способы сбора наших крупных авиационных масс с французскими, с достаточным основанием должен сказать, что вывод говорит в нашу пользу.</w:t>
      </w:r>
    </w:p>
    <w:p w14:paraId="41B26FC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В нашу пользу?</w:t>
      </w:r>
    </w:p>
    <w:p w14:paraId="7576B68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Хрипин.</w:t>
      </w:r>
      <w:r w:rsidRPr="00E14102">
        <w:rPr>
          <w:color w:val="000000" w:themeColor="text1"/>
          <w:sz w:val="16"/>
          <w:szCs w:val="16"/>
        </w:rPr>
        <w:t xml:space="preserve"> В нашу пользу. Нарком от нас всегда требует, чтобы Воздушные силы к такому-то часу прибыли на Красную площадь в таком-то составе самолетов. Французский военный министр накануне парада сообщил, что им назначено для участия в параде 607 самолетов, а участвовало в параде, несмотря на очень хорошие метеорологические условия (был чудесный летний день), — всего 435 самолетов, остальные неизвестно где летали, во всяком случае, к Елисей-ским полям они своевременно прибыть не могли</w:t>
      </w:r>
    </w:p>
    <w:p w14:paraId="66452A5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А что министр говорил по этому поводу?</w:t>
      </w:r>
    </w:p>
    <w:p w14:paraId="0676289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Хрипин. Я</w:t>
      </w:r>
      <w:r w:rsidRPr="00E14102">
        <w:rPr>
          <w:color w:val="000000" w:themeColor="text1"/>
          <w:sz w:val="16"/>
          <w:szCs w:val="16"/>
        </w:rPr>
        <w:t xml:space="preserve"> после этого с министром не говорил.</w:t>
      </w:r>
    </w:p>
    <w:p w14:paraId="7E0012A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Почему вы знаете, что участвовало в параде 435 самолетов?</w:t>
      </w:r>
    </w:p>
    <w:p w14:paraId="63D87CC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Хрипин. Я</w:t>
      </w:r>
      <w:r w:rsidRPr="00E14102">
        <w:rPr>
          <w:color w:val="000000" w:themeColor="text1"/>
          <w:sz w:val="16"/>
          <w:szCs w:val="16"/>
        </w:rPr>
        <w:t xml:space="preserve"> подсчитал это точно. По данным военно-воздушного атташе тоже должно бьшо быть такое количество</w:t>
      </w:r>
    </w:p>
    <w:p w14:paraId="03382F6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 Я</w:t>
      </w:r>
      <w:r w:rsidRPr="00E14102">
        <w:rPr>
          <w:color w:val="000000" w:themeColor="text1"/>
          <w:sz w:val="16"/>
          <w:szCs w:val="16"/>
        </w:rPr>
        <w:t xml:space="preserve"> думаю, что он немножко прихвастнул, а вы просчитались.</w:t>
      </w:r>
    </w:p>
    <w:p w14:paraId="1D7FF42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Хрипин.</w:t>
      </w:r>
      <w:r w:rsidRPr="00E14102">
        <w:rPr>
          <w:color w:val="000000" w:themeColor="text1"/>
          <w:sz w:val="16"/>
          <w:szCs w:val="16"/>
        </w:rPr>
        <w:t xml:space="preserve"> Не думаю; дело в том, что французы этого скрывали. Газеты печатали, от какой части сколько аэропланов должно быть, какого типа и т.д.</w:t>
      </w:r>
    </w:p>
    <w:p w14:paraId="50C5BB8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А способы сбора какие — у нас и у них?</w:t>
      </w:r>
    </w:p>
    <w:p w14:paraId="4CB73E1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Хрипин.</w:t>
      </w:r>
      <w:r w:rsidRPr="00E14102">
        <w:rPr>
          <w:color w:val="000000" w:themeColor="text1"/>
          <w:sz w:val="16"/>
          <w:szCs w:val="16"/>
        </w:rPr>
        <w:t xml:space="preserve"> Способы сбора примерно одинаковые: во всяком случае способы, принятые во французской авиации в параде 14 июля 1935 г., очень близки к нашим способам. Но, как видите, 25-30% самолетов, назначенных для парада, в параде не сумели принять участие.</w:t>
      </w:r>
    </w:p>
    <w:p w14:paraId="2CD51C3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 французская авиация летала? Летала длинной вытянутой колонной, по 7 самолетов в каждой группе. Полет продолжался 15-16 мин., причем проходил по разным направлениям. Во многих случаях полет был беспорядочен, с большими интервалами; часть самолетов проходила под 30-45 градусами к генеральному курсу. Французы проводили такой парад воздушных сил впервые. Этим и можно объяснить значительные минусы в таком групповом полете. Но бьшо бы крупной ошибкой думать, что французская авиация подготовлена плохо.</w:t>
      </w:r>
    </w:p>
    <w:p w14:paraId="06A773F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Бьшо бы неправильно думать так потому, что наблюдение за полетами отдельных эскадрилий и более крупных групп во Франции показывает, что органически сведенные в эти группы части летают хорошо, но техника массового сбора не стоит на большой высоте, что для выполнения боевых действий и не является обязательным требованием.</w:t>
      </w:r>
    </w:p>
    <w:p w14:paraId="6118C7B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имели возможность ознакомиться с постановкой высшего пилотажа и с качеством французских истребителей. Я должен сказать, что на сегодняшний день наши истребители не обладают такой техникой полета, какой обладают французские истребители.</w:t>
      </w:r>
    </w:p>
    <w:p w14:paraId="0EB26A0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Могу привести сравнение. Я беру лучшее — летчиков Научно-испытательного института, сделавших большие успехи. Сравнивая их со звеном истребителей, которое мы видели в авиашколе в Этампе, я должен оставить первенство за французами. Там эта тройка инструкторов пропускает 3—4 созыва по 30 летчиков в каждом. Ежегодно таким образом культура высшего пилотажа насаживается в ряды истребительных частей, обладающих высоким качеством. У меня нет времени детально останавливаться на этом вопросе, я могу только подчеркнуть, что у французов нам нужно позаимствовать технику высшего пилотажа, что уже предусмотрено указаниями народного комиссара.</w:t>
      </w:r>
    </w:p>
    <w:p w14:paraId="6D9B8C3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несколько слов об английской авиации.</w:t>
      </w:r>
    </w:p>
    <w:p w14:paraId="035F718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был нынче на Хендонском параде и затем, по случаю королевского торжества, на втором параде в Дюксфорде. Король предварительно на аэродроме в Милденхолле смотрел разные соединения из 350 самолетов разных родов авиации. В течение одного часа был проведен смотр на земле, а затем из 350 самолетов половине нужно было завести моторы, взлететь и собраться в воздухе для прибытия к Дюксфордскому аэродрому. На всю эту операцию — на запуск мотора, на построение в воздухе и т.д. до прибытия в Дюксфордский аэродром — было дано времени около часу.</w:t>
      </w:r>
    </w:p>
    <w:p w14:paraId="7F93F80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Какое расстояние?</w:t>
      </w:r>
    </w:p>
    <w:p w14:paraId="6A9EFB2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Хрипин.</w:t>
      </w:r>
      <w:r w:rsidRPr="00E14102">
        <w:rPr>
          <w:color w:val="000000" w:themeColor="text1"/>
          <w:sz w:val="16"/>
          <w:szCs w:val="16"/>
        </w:rPr>
        <w:t xml:space="preserve"> 50—60 км.</w:t>
      </w:r>
    </w:p>
    <w:p w14:paraId="70162CD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В течение этого часа английская авиация собралась, построилась и точно в назначенное время, минута в минуту, прибыла к Дюксфор-ду в блестящем построении. Я не ожидал и не представлял, чтобы 165 самолетов могли в такой геометрической правильности лететь единой массой в воздухе. Это была безукоризненная комбинация девяток, одна в одну, и я мог только одной девятке поставить пять с минусом, потому что один самолет увеличил интервал метра на 3-4 больше по сравнению с другим самолетом. В течение 30 мин. эти 165 самолетов выполнили ряд эволюций и затем точно в назначенное время в 14.30 ушли по своему направлению. Групповым полетам у англичан, я считаю, нужно учиться, нужно учиться точности во времени, механизации аэродромной службы, порядку на аэродромах.</w:t>
      </w:r>
    </w:p>
    <w:p w14:paraId="1DC2D88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Таким образом, несмотря на крупные успехи, имеющиеся у нас в области группового полета, нам нужно еще много сделать для того, чтобы все наши части летали более стройно, более организованно и с лучшим глазомером в воздухе, чем это имеется у нас до сих пор.</w:t>
      </w:r>
    </w:p>
    <w:p w14:paraId="56F94AF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 нас сплошь и рядом прекрасные бригады, например бригада т. Смушкевича и другие наши соединения, хорошо идут в строю, но отдельные части летают с разной степенью сомкнутости: самолеты одной эскадрильи летят крылом в крыло; другая эскадрилья, летя очень стройно, имеет увеличительные интервалы. У нас не выработалось точного воздушного глазомера, а это имеет громадное значение не только для группового полета, но и для воздушного боя. Я спрашивал английских летчиков о том, как ими достигается такая геометрическая правильность в полете. Они отвечают, что у них входит в обязательную практику каждодневная, систематическая тренировка человеческого глаза. Летчики, начиная со школьной скамьи, постоянно проверяются в определении расстояний и набивают глаз настолько, что не ошибаются в дистанциях более чем на 10%. Это очень хорошо, ибо даже дальномерам трудно предъявить требование — дать более 5% точности.</w:t>
      </w:r>
    </w:p>
    <w:p w14:paraId="34BCFD9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Разрешите доложить некоторые итоги по аварийности. Об этом мною было сказано, и сейчас я считаю необходимым обратить ваше внимание на некоторые стороны в нашей борьбе с аварийностью. В нынешнем году тяжелые происшествия, к которым мы относим катастрофы и аварии, несколько сократились, но сократились совершенно несущественно, только на 8 случаев, по сравнению с тем, что было в 1934 г. Вместе с тем я должен особо отметить, что во всех округах, за исключением Дальнего Востока и Забайкалья, аварии абсолютно заметно поднялись. Так, например, в Московском округе стало на 3 аварии больше, в Белорусском округе на 5 аварий, в КВО и ХВО вместе на 3 аварии, в СКВО на 2 аварии, в ЛВО на 4 аварии, в СибВО против нуля в 1934 г. стало 10 аварий в 1935 г. Общее снижение аварийности достигнуто главным образом благодаря тому, что на Дальнем Востоке и в Забайкалье количество происшествий снизилось на 31 случай.</w:t>
      </w:r>
    </w:p>
    <w:p w14:paraId="5159048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Вы дальневосточников и забайкальцев не очень хвалите, потому что в Забайкалье год назад было много происшествий.</w:t>
      </w:r>
    </w:p>
    <w:p w14:paraId="5F0FD99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Хрипин.</w:t>
      </w:r>
      <w:r w:rsidRPr="00E14102">
        <w:rPr>
          <w:color w:val="000000" w:themeColor="text1"/>
          <w:sz w:val="16"/>
          <w:szCs w:val="16"/>
        </w:rPr>
        <w:t xml:space="preserve"> Средний налет часов на одну аварию около 2,5 тыс.; против этой нормы в округах, располагающих крупными воздушными силами, резко в положительную сторону выделяется Белорусский округ, который имеет на одну аварию около 3500 часов.</w:t>
      </w:r>
    </w:p>
    <w:p w14:paraId="7E1AEC7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3900.</w:t>
      </w:r>
    </w:p>
    <w:p w14:paraId="69EF5C9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Хрипин.</w:t>
      </w:r>
      <w:r w:rsidRPr="00E14102">
        <w:rPr>
          <w:color w:val="000000" w:themeColor="text1"/>
          <w:sz w:val="16"/>
          <w:szCs w:val="16"/>
        </w:rPr>
        <w:t xml:space="preserve"> ОКДВА и Забайкалье дали около 3000 часов против 778 в прошлом году, когда там бьшо чрезвычайно тяжелое положение с аварийностью.</w:t>
      </w:r>
    </w:p>
    <w:p w14:paraId="1EBEE28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что нужно обратить внимание, когда рассматриваешь эти цифры? Нужно подчеркнуть то обстоятельство, что, несмотря на ряд успехов в области летной подготовки, о чем уже здесь докладывалось, все же 40% происшествий относится к недостаткам по технике пилотажа. Это чрезвычайно большая цифра. Значит, у нас в области отработки техники пилотажа не все еще обстоит благополучно. Какие здесь главные причины? Я думаю, и это на специальном совещании у народного комиссара бьшо отчетливо выявлено, здесь две причины: во-первых, мы до сих пор не подготовили как следует наше главное звено в борьбе с аварийностью — командиров неотдельных отрядов; во-вторых, старшие начальники, от комбригов и выше, как следует не руководят подчиненными, не проверяют их, не инструктируют, слишком много доверяют командирам отдельных частей, а те, в свою очередь, не могут как следует сами руководить летной подготовкой, а если руководят ею, то забывают все остальное.</w:t>
      </w:r>
    </w:p>
    <w:p w14:paraId="1C05CD5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хочу привести один случай, в котором повинен лично я. Весь процесс того, что произошло, типичен для авиации на сегодняшний день. Мне представили одного летчика Научно-испытательного института как летчика с отличной техникой высшего пилотажа. Так рекомендовал мне этого летчика командир бригады, выдвинувший его для участия в одной из авиационных демонстраций; я вместо того, чтобы предварительно проверить этого летчика на большой высоте, в какой степени он подготовлен к выполнению фигур высшего пилотажа, приказал ему делать фигуры на высоте не менее 300 м. Этот летчик, не расценив своих сил и не будучи подготовлен своим командованием к фигурному полету на такой высоте, сорвался на первой же фигуре и разбился. Вышло так, что командир бригады фактически не знал этого летчика и, докладывая о нем, как о лучшем летчике, давал неверные данные, и когда я потом проверил, каков этот летчик...</w:t>
      </w:r>
      <w:r w:rsidRPr="00E14102">
        <w:rPr>
          <w:color w:val="000000" w:themeColor="text1"/>
          <w:sz w:val="16"/>
          <w:szCs w:val="16"/>
          <w:vertAlign w:val="superscript"/>
        </w:rPr>
        <w:t>55</w:t>
      </w:r>
    </w:p>
    <w:p w14:paraId="25A3F44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Неправда, когда я лично проверил, то увидел, что этот летчик недостоин был такого доверия, это был человек с ухарским настроением, и ни вы, ни командир бригады этого не знали, и знать не хотели, а просто назначили его и — ухлопали. Хорошо, что не на самом празднике, а накануне. Нужно изучать не потом, а раньше.</w:t>
      </w:r>
    </w:p>
    <w:p w14:paraId="1DDE0D1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Хрипин.</w:t>
      </w:r>
      <w:r w:rsidRPr="00E14102">
        <w:rPr>
          <w:color w:val="000000" w:themeColor="text1"/>
          <w:sz w:val="16"/>
          <w:szCs w:val="16"/>
        </w:rPr>
        <w:t xml:space="preserve"> Вот в этом и была моя ошибка.</w:t>
      </w:r>
    </w:p>
    <w:p w14:paraId="6AA852D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Где он убился?</w:t>
      </w:r>
    </w:p>
    <w:p w14:paraId="567FD4A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На подготовке к празднику 18 августа. Он накануне прилетел, и они дали ему разноречивые указания. Потом я потребовал личное дело, аттестацию на него, и все аттестации говорили о нем как о самом недисциплинированном, самом скверном летчике со стороны дисциплины, а руководители выдвигают его как образец для показа наших достижений в День авиации и убивают. Хорошо, что не на самом празднике.</w:t>
      </w:r>
    </w:p>
    <w:p w14:paraId="010D175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Хрипин.</w:t>
      </w:r>
      <w:r w:rsidRPr="00E14102">
        <w:rPr>
          <w:color w:val="000000" w:themeColor="text1"/>
          <w:sz w:val="16"/>
          <w:szCs w:val="16"/>
        </w:rPr>
        <w:t xml:space="preserve"> Таким образом, от командиров бригад в первую очередь нужно и должно требовать большего внимания, большего контроля в области летной подготовки и личного участия в проверке этой летной подготовки.</w:t>
      </w:r>
    </w:p>
    <w:p w14:paraId="6E45C2F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Далее разрешите доложить, т. народный комиссар Маршал Советского Союза, о том, что в итоговых цифрах есть два показателя аварийности из летной подготовки — показатели очень неприятные. У нас в нынешнем году больше, чем в прошлом году, аварий и катастроф произошло при столкновении самолета с самолетом на земле и в воздухе. Это сигнализирует о том, что люди не научились смотреть и видеть, как этого требовал начальник Управления Воздушных сил, что слишком много еще беззаботности, небрежности и бестолковости при организации летной работы.</w:t>
      </w:r>
    </w:p>
    <w:p w14:paraId="0556685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 второе, очень тяжелое данное, которое я считаю необходимым доложить вам — это мы в нынешнем году имеем на шесть аварий больше вследствие потери ориентировки. Чем объясняется такое положение, что у нас в области ориентировки в этом году явный прорыв? Объясняется это двумя главными причинами. Во-первых, тем, о чем я говорил в самом начале: у нас авиация в нынешнем году чрезвычайно сильно была привязана к аэродромам. Только на Дальнем Востоке и в Ленинградском округе более, чем в других округах, проводились междугарнизонные учения, но больших перелетов для всех родов авиации с элементами соревнования за два последних года почти не имеем. Это дело надо выправить и ввести в систему на 1936 г. такого рода перелеты для всех родов авиации. Думаю, что для истребителей надо организовать большой круговой полет в европейской части Союза тысячи на три километров, для легкой авиации тысяч на пять и для тяжелой — тысяч на восемь—десять километров. Кроме этого, надо провести перелеты с запада на восток и с востока на запад, связанные с перевооружением авиации. Это должно сильно поднять и оживить нашу летную подготовку и улучшить штурманское дело.</w:t>
      </w:r>
    </w:p>
    <w:p w14:paraId="5EEC829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Вторая причина, почему с ориентировкой в авиации плохо. Мы в погоне за инструментальным самолетовождением просмотрели необходимость систематической подготовки экипажей в визуальной детальной ориентировке. Стали смотреть только на приборы, а на землю смотрели мало, а землю мы знаем плохо. Был проведен ряд проверок летного состава из географии, и мы натолкнулись прямо-таки на анекдотические случаи, когда летчик на вопрос, где находится Германия, стал искать Германию в области немцев Поволжья или границу Европы с Азией на берегах Средиземного моря. С географией у нас плохо, с топографией не менее плохо. В нашей текущей работе эти вопросы в 1935 г. были упущены, их нужно обязательно выправить в 1936 г. в авиашколах и в боевых частях.</w:t>
      </w:r>
    </w:p>
    <w:p w14:paraId="325A467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Несколько слов в заключение о мобильности частей. Мобильность наших частей в данное время чрезвычайно низка. Так, например, в Ленинградском округе нужно было выбросить несколько частей на полевые аэродромы в связи с учением по ПВО. Эскадрильи пошли на аэродромы, получив по одному автомобилю. Эти эскадрильи расположились на аэродромах, не имея транспортных средств не только для новой переброски, но и для подвоза самого необходимого имущества, при этом они расположились открыто, так что в первый же полет (я летал вместе с т. Лавровым на одном самолете) мы все эти аэродромы видели буквально как на ладони. Мы могли за 10—15 км видеть каждый аэродром и определить, как он был загружен. Никакой маскировки. И у нас нет технических средств маскировки. Я считаю, что это громадный пробел. Нужно в 1936 г. этот пробел заполнить. С помощью т. Петина подобран довольно хороший материал на основе опытной работы по проверке технических средств и приемов маскировки. Нужно воспользоваться этим и снабдить в 1936 г. наши части хотя бы в небольшой доле необходимым имуществом для обучения в применении технических средств маскировки.</w:t>
      </w:r>
    </w:p>
    <w:p w14:paraId="4C4E809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Одновременно с этим, в дополнение к тому, что говорил т. Лавров, я хотел бы обратить внимание командующих, что у нас оперативные аэродромы готовятся в общем плохо. Оперативный аэродром окружен лесом; казалось бы, чего лучше в смысле естественных средств маскировки. Но территория летного поля такова, часто забор, изгородь с колючей проволокой проходит по опушке леса. Самолеты туда завести нельзя; это не отчужденная территория. Вместо того чтобы устроить ниши в лесу, отнести изгородь глубже — мы отказались от лучших средств скрытого расположения самолетов. Бывают случаи, что в полосе подхода имеется кустарник, деревья, но к ним добраться невозможно. Одна эскадрилья истребителей в Ленинградском округе попробовала самолеты расставить в кустарнике; самолетов не было видно. Но когда самолеты попробовали оттуда выруливать, то потребовалось 25 мин. на руление, так как 200 м самолеты двигались по кочкам. Такая подготовка летного поля и полос подхода совершенно неудовлетворительна. На этот важный вопрос по подготовке театра нужно обратить внимание и нашу аэродромную сеть значительно улучшить.</w:t>
      </w:r>
    </w:p>
    <w:p w14:paraId="7AA7617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ничего не сказал о воздушном бое. Вопрос этот большой и особый. Я думаю, что вы мне предоставите слово после доклада т. Алкс-ниса.</w:t>
      </w:r>
    </w:p>
    <w:p w14:paraId="0252F8D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61-64.</w:t>
      </w:r>
    </w:p>
    <w:p w14:paraId="441FEA4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Шестаков.</w:t>
      </w:r>
      <w:r w:rsidRPr="00E14102">
        <w:rPr>
          <w:color w:val="000000" w:themeColor="text1"/>
          <w:sz w:val="16"/>
          <w:szCs w:val="16"/>
        </w:rPr>
        <w:t xml:space="preserve"> Заместитель народного комиссара т. Гамарник, давая оценку неравномерности подготовки округов, зачислил наш Забайкальский округ в округ, недостаточно подтянувшийся. Мы эту оценку оспаривать не собираемся. Во-первых, потому что стоим мы на границе и требования к нам должны быть самые строжайшие.</w:t>
      </w:r>
    </w:p>
    <w:p w14:paraId="176C624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Гамарник.</w:t>
      </w:r>
      <w:r w:rsidRPr="00E14102">
        <w:rPr>
          <w:color w:val="000000" w:themeColor="text1"/>
          <w:sz w:val="16"/>
          <w:szCs w:val="16"/>
        </w:rPr>
        <w:t xml:space="preserve"> С этой точки зрения я и говорил, что не образцовый округ.</w:t>
      </w:r>
    </w:p>
    <w:p w14:paraId="3403AB5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Шестаков.</w:t>
      </w:r>
      <w:r w:rsidRPr="00E14102">
        <w:rPr>
          <w:color w:val="000000" w:themeColor="text1"/>
          <w:sz w:val="16"/>
          <w:szCs w:val="16"/>
        </w:rPr>
        <w:t xml:space="preserve"> И, во-вторых, потому что едва ли два года тому назад наши войска жили в землянках, мы имели «марьины» городки, и заместитель народного комиссара, и т. Левичев видели это, то нынче у нас «марьиных» городков и землянок нет, и каждый командир имеет комнату. Мы закончим к весне пять домов Красной армии, построили несколько школ, в которых учатся наши ребята, устроили ясли. На Маньчжурской ветке у нас появилось электричество. Год назад этого не было. Все это создало более благоприятные условия для более высоких показателей по боевой подготовке. Поэтому самые строгие требования, которые к нам предъявляют, мы считаем совершенно справедливыми.</w:t>
      </w:r>
    </w:p>
    <w:p w14:paraId="0BD014A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Но нужно сказать, что в этом году мы, несомненно, в округе по всем родам войск имеем немалые достижения. Для авиации и мото-мехвойск в 1933 г. страшным бичом являлась забайкальская суровая зима, 56—50-градусные морозы. Это, безусловно, снижало боевую подготовку, было трудно подыматься в воздух. Для того чтобы завести тяжелые корабли, требовались часы, теперь достаточно минут для того, чтобы, как говорил т. Грязнов, поднять в воздух не только отдельные корабли, но и отряд, эскадрилью.</w:t>
      </w:r>
    </w:p>
    <w:p w14:paraId="48B3FB9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 же самое было и с мехвойсками. Прибывшие к нам ленинградские танкисты, имевшие неплохие оценки, пренебрежительно отнеслись к местным условиям в самом начале зимы, и за это были немедленно наказаны большой вспышкой аварийности, большим количеством разных происшествий, аварий, срывов занятий. И только тогда, когда ленинградцев повернули к местным условиям, когда их заставили слушать старых танкистов, уже имевших опыт работы в Забайкалье при низких температурах, только тогда работа их пошла совершенно по-иному.</w:t>
      </w:r>
    </w:p>
    <w:p w14:paraId="3BC6C16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Сейчас уже мехвойска почти полностью освоили горно-лесной район и могут водить машины и в горах, и в лесах, без поломок и без происшествий.</w:t>
      </w:r>
    </w:p>
    <w:p w14:paraId="52F6F43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этом году у нас резко снизилась аварийность — об этом т. Грязное уже говорил, — но я хочу отметить другое обстоятельство. Что аварийность резко снизилась — это верно, но нельзя на этом успокаиваться. Ряд явлений в авиации и в мехвойсках, которые мы не называем авариями, а тем более катастрофами, имеют место и требуют к себе очень большого внимания. Вот, например, у нас аварийность авиации снизилась резко: с 30 до 8, катастроф в этом году не было, но мы все-таки имели за весь этот год 219 различных так называемых мелких происшествий. Вынужденные посадки, невыход на старт, отказ на старте и т.д. Если только взять и внимательно изучить (а мы внимательно каждое из этих мелких происшествий изучаем), то каждое из этих мелких происшествий таит в себе возможности при аварии или катастрофы. Поэтому начальствующий состав и политработники, партийные организации должны очень крепко нажать на искоренение этих так называемых мелких происшествий, на которые еще до сих пор некоторые авиационные работники не обращают достаточного внимания. Подсчитывают аварии, подсчитывают катастрофы, а вот то, что машина не выходит в воздух в точно определенный срок, и не выходит по небрежности и по халатности, — на это обращается еще мало внимания. Поэтому на борьбу с аварийностью, на борьбу с всякими происшествиями, которые могут породить дальнейшую аварийность, мы должны обратить серьезнейшее внимание.</w:t>
      </w:r>
    </w:p>
    <w:p w14:paraId="6704EE9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Особо я хочу отметить по коннице нашу Первую особую кавалерийскую дивизию</w:t>
      </w:r>
      <w:r w:rsidRPr="00E14102">
        <w:rPr>
          <w:color w:val="000000" w:themeColor="text1"/>
          <w:sz w:val="16"/>
          <w:szCs w:val="16"/>
          <w:vertAlign w:val="superscript"/>
        </w:rPr>
        <w:t>56</w:t>
      </w:r>
      <w:r w:rsidRPr="00E14102">
        <w:rPr>
          <w:color w:val="000000" w:themeColor="text1"/>
          <w:sz w:val="16"/>
          <w:szCs w:val="16"/>
        </w:rPr>
        <w:t>. Эта дивизия находится в особых и очень интересных условиях. Кроме того, что она занимается боевой подготовкой, она производит посев на 10 ООО га, косит сено с 5000 га, имеет очень большое коневодческое хозяйство и большое овцеводческое хозяйство. Через хозяйство этой дивизии мы уже снабдили все части округа овцами (раздали 15 000 овец), убили на мясо по плану 12 000 овец. Сейчас хозяйство дивизии располагает 24 000 овец, 5700 конского поголовья. В первый год организации хозяйства прирост конского поголовья составил 400, во второй — 600, в этом году 1700 голов, а на будущий год должны получить по плану 2000 голов прироста прекрасных коней — смесь кровных жеребцов с забайкальской маткой. Из этой помеси получается прекрасный конь, сохранивший от матери забайкальскую крепость, выносливость, а от отца — красивый внешний вид. Но, т, нарком, я должен доложить вам, что в будущем году, когда дивизия получит еще 2000 голов приплода конского поголовья, она вынуждена будет всех бойцов превратить в конюхов и для боевой подготовки не останется времени. Этот вопрос, мне кажется, надо поставить и решить.</w:t>
      </w:r>
    </w:p>
    <w:p w14:paraId="4341678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Пусть только побольше дает коней. Были бы кони, а выход найдем.</w:t>
      </w:r>
    </w:p>
    <w:p w14:paraId="3F2C7B2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Шестаков.</w:t>
      </w:r>
      <w:r w:rsidRPr="00E14102">
        <w:rPr>
          <w:color w:val="000000" w:themeColor="text1"/>
          <w:sz w:val="16"/>
          <w:szCs w:val="16"/>
        </w:rPr>
        <w:t xml:space="preserve"> К этому надо прибавить, что дивизия закончила в прошлом году и заканчивает в этом году учебный год с очень хорошими показателями — немного только отстает от 15-й нашей кавалерийской дивизии. Народ — красноармейцы — любовно относится к конскому составу, посевам, уборке и в то же время показывает хорошие образцы боевой подготовки. В дивизии есть ряд прекрасных бойцов и командиров, полностью освоивших сейчас и зерновое хозяйство, и дело ухода за конем, и хорошо справившихся с боевой подготовкой.</w:t>
      </w:r>
    </w:p>
    <w:p w14:paraId="287C94D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Несколько слов о семьях начсостава. В районе расположения войск, на Маньчжурской ветке, нет ни заводов, ни фабрик, ни учреждений, ни районных центров, там только войска.</w:t>
      </w:r>
    </w:p>
    <w:p w14:paraId="4E665BD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И степь.</w:t>
      </w:r>
    </w:p>
    <w:p w14:paraId="47DD096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Шестаков.</w:t>
      </w:r>
      <w:r w:rsidRPr="00E14102">
        <w:rPr>
          <w:color w:val="000000" w:themeColor="text1"/>
          <w:sz w:val="16"/>
          <w:szCs w:val="16"/>
        </w:rPr>
        <w:t xml:space="preserve"> Даже деревни расположены у нас на расстоянии примерно 50—60—70 км. В этих условиях особо стоит вопрос о женах начсостава. Их надо чем-нибудь занять. Мы развертываем среди семей начсостава общественную работу, организовываем различные кружки. Часть жен начсостава работает в военной кооперации, в штабах, но большая масса их ничего не делает, и в результате этого получаются всяческие неприятности и истории. Тут что-то надо сделать. Надо занять жен начсостава трудом. Я много уже говорил по этому поводу с краем, но край от этого дела отмахивается. Так вот я думаю — нельзя ли сделать так. Косич посылает нам пошитое белье. Нельзя ли, чтобы он посылал отсюда полотно, а шить мы будем на месте. Это даст нам возможность организовать пошивочную фабрику, в которой работали бы жены начсостава. Мы сделали бы большое общественно-политическое дело, как мы знаем, что влияние производства на женщину ничем не заменишь.</w:t>
      </w:r>
    </w:p>
    <w:p w14:paraId="05BDF81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Правильно.</w:t>
      </w:r>
    </w:p>
    <w:p w14:paraId="63E3CED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Шестаков.</w:t>
      </w:r>
      <w:r w:rsidRPr="00E14102">
        <w:rPr>
          <w:color w:val="000000" w:themeColor="text1"/>
          <w:sz w:val="16"/>
          <w:szCs w:val="16"/>
        </w:rPr>
        <w:t xml:space="preserve"> Я этот вопрос ставлю перед вами, т. нарком, с тем чтобы его в ближайшее время как-то практически решить, иначе мы и в дальнейшем будем иметь целую кучу всякого рода неприятностей среди семей начсостава.</w:t>
      </w:r>
    </w:p>
    <w:p w14:paraId="35820BC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Наконец, несколько замечаний по вопросам политической работы по обеспечению боевой подготовки. Заместитель наркома поставил вопрос о дальнейшем повышении военных знаний политсостава. Я считаю, что этот вопрос совершенно правильно поставлен, и он теснейшим образом связан с вопросами политического обеспечения боевой подготовки.</w:t>
      </w:r>
    </w:p>
    <w:p w14:paraId="590BBC8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Правильно.</w:t>
      </w:r>
    </w:p>
    <w:p w14:paraId="324D111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Шестаков.</w:t>
      </w:r>
      <w:r w:rsidRPr="00E14102">
        <w:rPr>
          <w:color w:val="000000" w:themeColor="text1"/>
          <w:sz w:val="16"/>
          <w:szCs w:val="16"/>
        </w:rPr>
        <w:t xml:space="preserve"> Вот возьмите нашу 29-ю авиационную бригаду. В ней все политработники сдали на летнаба, а начальник политотдела бригады сам хорошо летает. В бригаде лучше, чем во всех остальных, поставлена работа по политическому обеспечению боевой подготовки, так как политработники никаких общих разговоров не ведут, а конкретно, со знанием дела, организуют политработу по обеспечению боевой подготовки. То же примерно и в 20-й мехбригаде, где половина политработников сдала зачеты по вождению машин, а вторая половина готова к сдаче. В этой бригаде вопросы политработы по обеспечению боевой подготовки поставлены значительно лучше, чем в других мехчастях. Люди здесь в курсе всей боевой подготовки, подходят более конкретно к делу, поэтому и результат получается лучший. Все это объясняется тем, что в авиации и мехвойсках имеется лучший политсостав, с большим стажем, лучше отобраны политработники.</w:t>
      </w:r>
    </w:p>
    <w:p w14:paraId="51965F9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пехоте некоторые политруки не имеют совершенно военной подготовки и поэтому хуже организуют работу по обеспечению боевой подготовки.</w:t>
      </w:r>
    </w:p>
    <w:p w14:paraId="10DE572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Там, где сидит старый, в военном отношении подготовленный политрук, там дело обстоит по-иному. Там работа по политическому обеспечению боевой подготовки поставлена гораздо лучше.</w:t>
      </w:r>
    </w:p>
    <w:p w14:paraId="3CC28CE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Об использовании лучших людей. Есть у нас такие лучшие люди, как член ВЦИКа Фомиченко, это лучший и прекраснейший командир танка. У него никогда не бывает аварий, поломок, он прекрасно стреляет и водит танк по горной и лесной местности на отлично. Он с честью носит вциковский значок. Был еще у нас танкист Гусев, который заводил танк при 45-градусном морозе в течение 10 мин., когда другие затрачивали на это 3 часа. Мы не всегда умеем использовать этих людей. Мы должны на их примере учить других.</w:t>
      </w:r>
    </w:p>
    <w:p w14:paraId="0EA5091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64-65.</w:t>
      </w:r>
    </w:p>
    <w:p w14:paraId="6C5A522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Товарищи! Результаты боевой подготовки за 1935 г. в своем итоге дают нам возможность в 1936 г. подняться на высшую ступень. Однако, подводя итоги, мы еще не можем сказать, что в области боевой подготовки использовали все внутренние потенциальные силы армии.</w:t>
      </w:r>
    </w:p>
    <w:p w14:paraId="600F899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Красная армия теснейшим образом связана с нашей страной.</w:t>
      </w:r>
    </w:p>
    <w:p w14:paraId="4F1E992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Стахановское движение, которое широко охватило всю нашу страну, в такой же степени распространяется и в армии. Этот вопрос подробно и прекрасно был освещен т. Гамарником и рядом выступавших товарищей. Поэтому я на нем останавливаться не буду.</w:t>
      </w:r>
    </w:p>
    <w:p w14:paraId="63E686E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Оценка, сделанная в докладе начальника Генерального штаба о боевой подготовке за 1935 г., совершенно соответствует тем результатам, которых добилась наша армия за истекший год.</w:t>
      </w:r>
    </w:p>
    <w:p w14:paraId="1DD2DB1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касается конницы, то я считаю, что оценка, данная приказом народного комиссара обороны Маршала Советского Союза в результате Киевских маневров по боевой подготовке, может быть отнесена ко всей нашей коннице, за исключением отдельных частей, которые отстают. Особенно отстает у нас Вторая горная кавалерийская дивизия Закавказского военного округа. Думается, что этот вопрос нужно будет взять под особое наблюдение в 1936 г., с тем чтобы и те части, по которым имелось отставание, подтянулись бы. Но я должен сказать товарищам, командующим войсками, и особенно тем кавалеристам-командирам, которые здесь присутствуют, что для конницы 1936 г. будет очень трудным не только по боевой подготовке, но и во всех отношениях. Тем не менее мы должны будем принять все меры к тому, чтобы не снизить, а наоборот — повысить эту подготовку.</w:t>
      </w:r>
    </w:p>
    <w:p w14:paraId="3D2B9C2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Трудности эти, Климент Ефремович, таковы, что все-таки начсостав конницы несколько разжижен. Я именно это учитываю, о чем и вы прекрасно знаете, и если мы упустим из вида этот вопрос, не будем работать над начсоставом, то конница может несколько снизить темпы боевой подготовки, которыми она, по крайней мере, на протяжении ряда лет выгодно выделялась, не только не отставая от лучших частей других родов войск, а наоборот — даже иногда состязалась с этими лучшими частями РККА.</w:t>
      </w:r>
    </w:p>
    <w:p w14:paraId="4D136B9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Тут затрагивали вопрос о разведке. Разведка — это такая часть полевой службы, которую мы никоим образом не можем упускать из вида, и причин к тому, чтобы ее не осилить, я никаких не вижу. Неужели у нас есть такие командиры, которые не желают выполнить приказа народного комиссара по армии, по боевой подготовке? Таких командиров у нас нет и не может быть, и никогда не было. Желание работать имеется. Люди работают, но вся беда заключается в том, что это дело мы не организовали как нужно. Например, мы поставили такую расплывчатую задачу перед всеми войсками — и пехотой, и кавалерией, и другими родами войск, что каждый боец или каждый командир должен быть разведчиком. Такая общая постановка вопроса никого ни к чему не обязывает. Значит, это дело нужно организовать как-то иначе.</w:t>
      </w:r>
    </w:p>
    <w:p w14:paraId="7D13B31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Для конницы имеется разработанное, но еще не утвержденное Положение о подготовке специалистов-разведчиков. До настоящего времени в коннице существовала система подготовки разведчиков путем выделения в каждом эскадроне одного взвода, который должен был проходить подготовку по специальной программе разведывательной службы. Но эта система выявила ряд существенных недостатков и не в состоянии обеспечить положительного разрешения вопроса. После тщательной проработки этого вопроса в войсках я пришел к заключению о необходимости более четкой организации этого дела, в результате чего и было разработано указанное мною Положение. Сущность этого Положения сводится к тому, что в каждом эскадроне, от каждого взвода выделяется 5—6 бойцов по специальному отбору. Эти бойцы в масштабе эскадрона составляют особую команду разведчиков, которая обучается по специальной программе под руководством одного из лейтенантов. После годичной подготовки и специальных сборов эти бойцы держат испытания, в результате которых им присваивается звание разведчиков 1-го или</w:t>
      </w:r>
    </w:p>
    <w:p w14:paraId="77CA190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2-го класса. Положение предусматривает стимулирование бойцов-кавалеристов для получения звания разведчика путем установления повышенных окладов жалованья (примерно ‘/</w:t>
      </w:r>
      <w:r w:rsidRPr="00E14102">
        <w:rPr>
          <w:color w:val="000000" w:themeColor="text1"/>
          <w:sz w:val="16"/>
          <w:szCs w:val="16"/>
          <w:vertAlign w:val="subscript"/>
        </w:rPr>
        <w:t>2</w:t>
      </w:r>
      <w:r w:rsidRPr="00E14102">
        <w:rPr>
          <w:color w:val="000000" w:themeColor="text1"/>
          <w:sz w:val="16"/>
          <w:szCs w:val="16"/>
        </w:rPr>
        <w:t xml:space="preserve"> оклада младшего командира) и установления специального нарукавного знака. Кавалеристы-разведчики, оставаясь на сверхсрочную службу, имеют право и полную возможность держать испытания за полковую школу и получить звание младшего командира, сохраняя за собой звание спе-циалиста-разведчика. Потребность в таких специалистах-разведчи-ках в полевой службе частей конницы настолько очевидна, что не требует особых разъяснений.</w:t>
      </w:r>
    </w:p>
    <w:p w14:paraId="1F2FDB4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Указанное Положение бьшо принципиально одобрено начальником Генерального штаба РККА, но до сих пор не получило окончательного утверждения и поэтому не проводится в жизнь, что затягивает правильную организацию подготовки подразделений конницы к разведывательной службе. До тех пор пока мы не организуем это дело, разведывательная служба у нас не будет поднята. Но это дело необходимо оснастить материально. Особенно важно снабдить части конницы соответствующими рациями.</w:t>
      </w:r>
    </w:p>
    <w:p w14:paraId="09FBADE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прошлом году на Военном совете т. Синявский каялся, что он прошляпил дело с рациями, не дав их коннице. Не знаю, почему он сказал: «Мы с Буденным не дали». Я и в прошлом году требовал, и в этом году требую хорошей рации. Помимо т. Синявского и нынешнего комкора т, Лонгвы я пошел на завод, зная, что у нас будут маневры, переговорил с дирекцией завода, и в результате этого нам обещали сделать двести раций. Это дело бьшо как раз перед маневрами. Правда, часть этих раций конница получила. Рации оказались хорошими. Но мы эти РКР</w:t>
      </w:r>
      <w:hyperlink r:id="rId273" w:anchor="_ftn1" w:history="1">
        <w:r w:rsidRPr="00E14102">
          <w:rPr>
            <w:rStyle w:val="a4"/>
            <w:color w:val="000000" w:themeColor="text1"/>
            <w:sz w:val="16"/>
            <w:szCs w:val="16"/>
          </w:rPr>
          <w:t>[1]</w:t>
        </w:r>
      </w:hyperlink>
      <w:r w:rsidRPr="00E14102">
        <w:rPr>
          <w:color w:val="000000" w:themeColor="text1"/>
          <w:sz w:val="16"/>
          <w:szCs w:val="16"/>
        </w:rPr>
        <w:t xml:space="preserve"> полностью до сих пор не получили. Как же можно подготовлять разведчиков конного разъезда такими, какими мы себе представляем, если мы технически их не оснастили? Современная разведывательная служба требует большого технического оснащения. Эта служба у нас, несомненно, хромает, и ее нужно подтянуть во что бы то ни стало в 1936 г.</w:t>
      </w:r>
    </w:p>
    <w:p w14:paraId="174C17F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 химии. Я знаю, что мы много работаем по химической защите, но результаты все еще небольшие. Если над вопросом защиты человека мы работаем и если он имеет защитные средства, то с лошадью дело значительно хуже. Распространяться по этому вопросу я не буду — он достаточно ясен.</w:t>
      </w:r>
    </w:p>
    <w:p w14:paraId="5D413C4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Огневая подготовка. В области огневой подготовки, как бы некоторые товарищи ни хотели доказать, что мы имеем плохое Наставление по стрельбе, необходимо все же сказать, что оно лучше, чем было в 1934 г. Благодаря этому наша конница по огневому делу не только не отстала, а поднялась по сравнению с прошлым годом. Условия мы дали более сложные, а конница их разрешила. Я думаю, что у нас тут есть некоторый такой уклон в области стрелкового дела. Мы бьемся главным образом над индивидуальным оружием — над винтовкой и нерационально убиваем столько времени и сил на эту винтовку. У меня тут возникает такой вопрос: кто же будет решать основную проблему огня в бою — ясно, что станковый и легкий пулеметы, а винтовка будет дополнительным средством боя. Не погрешаем ли мы в том отношении,</w:t>
      </w:r>
    </w:p>
    <w:p w14:paraId="2AB20A78" w14:textId="77777777" w:rsidR="00970104" w:rsidRPr="00E14102" w:rsidRDefault="00970104" w:rsidP="00E14102">
      <w:pPr>
        <w:pStyle w:val="rtejustify"/>
        <w:spacing w:before="0" w:after="0"/>
        <w:rPr>
          <w:color w:val="000000" w:themeColor="text1"/>
          <w:sz w:val="16"/>
          <w:szCs w:val="16"/>
        </w:rPr>
      </w:pPr>
      <w:r w:rsidRPr="00E14102">
        <w:rPr>
          <w:rStyle w:val="a3"/>
          <w:b w:val="0"/>
          <w:color w:val="000000" w:themeColor="text1"/>
          <w:sz w:val="16"/>
          <w:szCs w:val="16"/>
        </w:rPr>
        <w:t>Рации конного разъезда.</w:t>
      </w:r>
    </w:p>
    <w:p w14:paraId="0B486A8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слишком много возимся над винтовкой. Не лучше ли, чтобы каждый боец умел из тяжелого и легкого пулемета стрелять потому, что эти два средства решают — легкий и тяжелый пулемет, а мы убиваем время на винтовку. Если бы мы имели винтовку самозаряжающуюся и одновременно автоматическую, то этим индивидуальным оружием мы бы дополняли главным образом легкий пулемет, хотя можно заранее сказать, что автоматическая винтовка таких баллистических качеств, как самозаряжающаяся, иметь не будет.</w:t>
      </w:r>
    </w:p>
    <w:p w14:paraId="742C453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о методике стрелковой подготовки.</w:t>
      </w:r>
    </w:p>
    <w:p w14:paraId="616920D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Правда или нет, Михаил Карлович Левандовский, говорят, что у вас обучают конвейером. Стоят отделенные командиры, а красноармейцы по очереди подходят к ним. Один отделенный командир обучает как взять винтовку на руку, другой обучает, как прицеливаться, а третий — как спустить курок и т.д.</w:t>
      </w:r>
    </w:p>
    <w:p w14:paraId="191D65F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Командиров отделений не хватает.</w:t>
      </w:r>
    </w:p>
    <w:p w14:paraId="17DDA5B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Не знаю, так или нет, но говорят, что вроде этого. И если по такой линии пойдем, по конвейеру...</w:t>
      </w:r>
    </w:p>
    <w:p w14:paraId="2D2B80C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Каменев.</w:t>
      </w:r>
      <w:r w:rsidRPr="00E14102">
        <w:rPr>
          <w:color w:val="000000" w:themeColor="text1"/>
          <w:sz w:val="16"/>
          <w:szCs w:val="16"/>
        </w:rPr>
        <w:t xml:space="preserve"> По точкам это называется.</w:t>
      </w:r>
    </w:p>
    <w:p w14:paraId="78F717B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...мы сами себе закрутим голову.</w:t>
      </w:r>
    </w:p>
    <w:p w14:paraId="3A55E31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Он стахановское движение организует в Баку со своими командирами, стахановское движение по бурению и по выработке нефти.</w:t>
      </w:r>
    </w:p>
    <w:p w14:paraId="0BF666F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Так вот, я думаю, что относительно этого элемента стрельбы из винтовки нам нужно этот вопрос раз и навсегда просмотреть и решить бесповоротно, что мы можем сделать, потому что картина совершенно ясна. Я не говорю о сложных формах боевой подготовки с частями или соединенными подразделениями, как тут и предлагали товарищи командующие войсками. Я с ними согласен.</w:t>
      </w:r>
    </w:p>
    <w:p w14:paraId="06D9CC2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 сожалению, я должен остановиться на вопросах конной подготовки. К сожалению потому, что этот элемент боевой подготовки в РККА не должен был бы становиться на таком совещании, но, тем не менее, по этому вопросу имеется ряд весьма тревожных сигналов. Конная подготовка у нас буквально вычеркнута всем начальствующим составом армии, вычеркнута из обихода. Ни один командир не может правильно ездить ни в артиллерии, ни, к сожалению, даже в конных частях. Очень плохо ездят. А в артиллерии особенно плохо. Как мы можем заставить уважать лошадь, если человек сам не умеет ездить, не овладел техникой конного дела. Отсюда он и не умеет ее выездить, отсюда он ее не любит.</w:t>
      </w:r>
    </w:p>
    <w:p w14:paraId="6C78EE1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говорю, т. народный комиссар, о конной подготовке и в артиллерии. Вы мне приказали этим делом заняться. Я согласно вашего приказания разослал соответствующее письмо командующим и уже успел проверить, что делается в этой области. Я проверил это дело в Слуцке в 4-й стрелковой дивизии. Проверил, как люди изживают эту немощь. Оказывается, что начали работать и работают неплохо, говорят, что до этого они данным вопросом никогда не занимались, никакого значения не придавали тому, как ездить на лошади и работать в смысле выездки. Раз забрался на нее, значит, и поехал. (</w:t>
      </w:r>
      <w:r w:rsidRPr="00E14102">
        <w:rPr>
          <w:rStyle w:val="a6"/>
          <w:i w:val="0"/>
          <w:color w:val="000000" w:themeColor="text1"/>
          <w:sz w:val="16"/>
          <w:szCs w:val="16"/>
        </w:rPr>
        <w:t>Веселое оживление в зале.)</w:t>
      </w:r>
      <w:r w:rsidRPr="00E14102">
        <w:rPr>
          <w:color w:val="000000" w:themeColor="text1"/>
          <w:sz w:val="16"/>
          <w:szCs w:val="16"/>
        </w:rPr>
        <w:t xml:space="preserve"> Положение в этом вопросе очень тяжелое.</w:t>
      </w:r>
    </w:p>
    <w:p w14:paraId="7653F6D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Но не безнадежное.</w:t>
      </w:r>
    </w:p>
    <w:p w14:paraId="0E30D54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Не безнадежное, конечно.</w:t>
      </w:r>
    </w:p>
    <w:p w14:paraId="0273739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А это самое важное.</w:t>
      </w:r>
    </w:p>
    <w:p w14:paraId="22263D6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Насчет сбережения лошади. Я тут выставил две диаграммы. Потом расскажу, в чем тут дело. Люди никак не могут понять, что сбережение лошади должно быть в армии поставлено так, как нигде. Ведь мы в армию берем лучших лошадей, лучшее, что есть в нашей стране. И что же делается? Наши уважаемые органы снабжения, не знаю, как они сейчас будут работать, но по крайней мере при т. Ошлее они шли, так сказать, по линии наименьшего сопротивления. Они уничтожили подстилку, которая веками полагалась лошади. Отсюда — ноги лошади постоянно находятся на сырой земле, и ложится лошадь прямо на холодную землю, подчас тоже сырую. Отсюда — простуды, ревматизм, грязь и мокрецы. Почему уничтожили подстилку? Потому что это, мол, роскошь. Или взять хотя бы наши органы строительства. Тов. Левинзон, к вашему сведению, вы развели около 7000 прикусочных лошадей. Это потому, что у вас кормушки жестью не обиты и лошади прикусывают.</w:t>
      </w:r>
    </w:p>
    <w:p w14:paraId="300F42B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У нас абсолютно все обиты, железом.</w:t>
      </w:r>
    </w:p>
    <w:p w14:paraId="547F0ED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 Я</w:t>
      </w:r>
      <w:r w:rsidRPr="00E14102">
        <w:rPr>
          <w:color w:val="000000" w:themeColor="text1"/>
          <w:sz w:val="16"/>
          <w:szCs w:val="16"/>
        </w:rPr>
        <w:t xml:space="preserve"> здесь говорю не только о вас.</w:t>
      </w:r>
    </w:p>
    <w:p w14:paraId="296A30D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Мы с крыши сдирали железо, но кормушки все обили.</w:t>
      </w:r>
    </w:p>
    <w:p w14:paraId="69DF976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Почему лошади прикусывают и зачем? Лошадь прикусывает по следующей причине. Возьмите вы красноармейца. Когда он приходит к нам в казарму, то на первых порах, в первые месяцы, не удовлетворяется положенным пайком, потому что он дома ел сколько хотел, но не организованно, а тут какие-то нормы, паек. Спустя пару месяцев у него уже начинает оставаться излишек пайка, и он вполне удовлетворяется: мало того — при правильном пищевом режиме и физическом развитии он обычно прибавляет в весе и становится упитанным и крепким. Так и лошадь. Когда вы приводите лошадь из деревни, она там ела сколько угодно и преимущественно объемистые корма, набивала себе брюхо, а тут вы ей даете какую-то норму. Ей мало. Она начинает искать мягкие деревянные предметы и начинает прикусывать. А это вроде курения — потом отучить нельзя, во всяком случае, очень трудно. И благодаря тому, что мы железом не обиваем кормушки и цимбали, лошади приучаются прикусывать, и получаются таких десятки тысяч в армии. Это позорно!</w:t>
      </w:r>
    </w:p>
    <w:p w14:paraId="41C0C76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Перейду к другому вопросу — выбраковке. Возьмите вы даже старую царскую армию. Я прослужил в полку старой царской армии 9 лет, и за 9 лет я не помню, чтобы у нас пала лошадь. Посмотрите теперь, что у нас делается в области выбраковки? Посмотрите на эту диаграмму, отображающую выбраковку лошадей в 1934 г. по сроку службы в РККА. (</w:t>
      </w:r>
      <w:r w:rsidRPr="00E14102">
        <w:rPr>
          <w:rStyle w:val="a6"/>
          <w:i w:val="0"/>
          <w:color w:val="000000" w:themeColor="text1"/>
          <w:sz w:val="16"/>
          <w:szCs w:val="16"/>
        </w:rPr>
        <w:t>Показывает диаграмму.)</w:t>
      </w:r>
      <w:r w:rsidRPr="00E14102">
        <w:rPr>
          <w:color w:val="000000" w:themeColor="text1"/>
          <w:sz w:val="16"/>
          <w:szCs w:val="16"/>
        </w:rPr>
        <w:t xml:space="preserve"> Обратите внимание на срок службы лошади. Прослужила лошадь один год, и мы выбраковываем таких — 50 лошадей, или 0,5.</w:t>
      </w:r>
    </w:p>
    <w:p w14:paraId="1BAD901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Ворошилов.</w:t>
      </w:r>
      <w:r w:rsidRPr="00E14102">
        <w:rPr>
          <w:color w:val="000000" w:themeColor="text1"/>
          <w:sz w:val="16"/>
          <w:szCs w:val="16"/>
        </w:rPr>
        <w:t xml:space="preserve"> С какого количества?</w:t>
      </w:r>
    </w:p>
    <w:p w14:paraId="6C7E3AA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Это в армии от общего количества лошадей, выбракованных в 1934 г.</w:t>
      </w:r>
    </w:p>
    <w:p w14:paraId="419D8A5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Это только в коннице?</w:t>
      </w:r>
    </w:p>
    <w:p w14:paraId="53CFF0F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Нет, в армии. Из числа прослуживших один год полпроцента было выбраковано в 1934 г. Из прослуживших 2 года мы выбраковали 1,3%, или в численном выражении 122 лошади. Вы поймите только — 122 лошади, прослужив в армии только 2 года, выбраковываются как негодные. Из прослуживших 3 года выбраковываем 6,9%, т.е. 653 лошади.</w:t>
      </w:r>
    </w:p>
    <w:p w14:paraId="6B5BD54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Это не брак.</w:t>
      </w:r>
    </w:p>
    <w:p w14:paraId="3D12ACD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Нет, это, к сожалению, не брак. Из прослуживших</w:t>
      </w:r>
    </w:p>
    <w:p w14:paraId="107D5AB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4 года лошадей мы выбраковываем 4%, или 375. Из прослуживших</w:t>
      </w:r>
    </w:p>
    <w:p w14:paraId="340D270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5 лет — 5%, а более 5 лет — у нас вышло из строя от общего количества выбракованных лошадей в 1934 г. 82,3%, или 1969 лошадей.</w:t>
      </w:r>
    </w:p>
    <w:p w14:paraId="779FBCA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От числа поступивших или от числа закупленных?</w:t>
      </w:r>
    </w:p>
    <w:p w14:paraId="4615C6A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Повторяю — от общего количества лошадей, выбракованных в 1934 г. Как я уже указывал, процент выбракованных лошадей относится к лошадям, которые были выбракованы в 1934 г. Следовательно, эти лошади выбраковывались в течение всего года. Посмотрите, что делается с молодыми лошадьми. Они приходят в часть и вскоре заболевают заразными болезнями, в особенности мытом. Мы ее простуживаем потому, что сама организация приема лошадей поставлена отвратительно. Концентрация лошадей также неудовлетворительна. А от мыта бывает или смертельный исход, или тяжелая форма заболевания, благодаря которой лошадь на полгода выходит из строя.</w:t>
      </w:r>
    </w:p>
    <w:p w14:paraId="4C721EE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1933 г. мытом заболело из общего количества 18 785 лошадей — 706. На 30 507 лошадей, которые мы купили в 1934 г., заболели мытом 1306 голов. В 1935 г. закупили 37 217 голов, заболели мытом 5386 голов, или 2'/</w:t>
      </w:r>
      <w:r w:rsidRPr="00E14102">
        <w:rPr>
          <w:color w:val="000000" w:themeColor="text1"/>
          <w:sz w:val="16"/>
          <w:szCs w:val="16"/>
          <w:vertAlign w:val="subscript"/>
        </w:rPr>
        <w:t>2</w:t>
      </w:r>
      <w:r w:rsidRPr="00E14102">
        <w:rPr>
          <w:color w:val="000000" w:themeColor="text1"/>
          <w:sz w:val="16"/>
          <w:szCs w:val="16"/>
        </w:rPr>
        <w:t>%. Можем мы терпеть эту болезнь? Никак не можем. Мы в армии не должны иметь ни той, ни другой картины, о которых говорят эти диаграммы, а они у нас фигурируют только потому, что не ухаживаем как следует за лошадью, зверски, варварски ее эксплуатируем. Кроме того, я должен доложить следующее: подстилку ликвидировали, щетки и скребницы</w:t>
      </w:r>
    </w:p>
    <w:p w14:paraId="5117520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Что значит — подстилку ликвидировали? Каждый командир может достать.</w:t>
      </w:r>
    </w:p>
    <w:p w14:paraId="06B31B3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Не могут они. Отменена подстилка, дорогие товариши. Ведь это же довольствующие органы должны говорить, а не я должен ставить вопрос. Почему я обязан об этом заботиться? Теперь щетки и скребницы. Щетки и скребницы даются такого качества, что их на полгода не хватает. Части до сих пор выходили из положения потому, что имели шефские деньги, правдами-неправдами закупали необходимое и выходили из положения, а теперь все это отменено. Я видел простые колодки с ручкой, и вот этой деревяшкой чистят. Качество никудышное. И вы, хозяйственники, об этом не думаете — думаете, что раз выдали эту деревяшку с ремешком — значит все в порядке. Выезжаю однажды в 4-ю дивизию в Слуцк. Как раз это у вас было недавно в БВО у тов. Жильцова — там чистят скребницей с ручкой, или просто деревяшкой, и то где-то нелегально достали и действуют ими. Торб и попон совершенно недостаточно. Качество имеющихся попон очень низкое. Видимо, считают, что попона и торба — тоже роскошь. Хозяйственные органы должны были об этом позаботиться.</w:t>
      </w:r>
    </w:p>
    <w:p w14:paraId="202878D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А инспектор кавалерии обязан эти вопросы ставить не в 1935 г., а в 1930-м и 1928-м, он должен смотреть, видеть и наблюдать, чтобы они, торбы, были, щетки были и т.д. Речь ваша целиком говорит против Инспекции кавалерии. Если мы деньги для конницы на эти предметы даем, для того вы и инспектор кавалерии, чтобы следить за тем, чтобы конница была обеспечена.</w:t>
      </w:r>
    </w:p>
    <w:p w14:paraId="4BB13BE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Об этом я докладывал и об этом же, т.е. о состоянии конского состава в РККА, имеются ваши приказы за 1931 г. № 081, за 1933 г. № 0110, за 1934 г. № 88 и за 1935 г. № 119</w:t>
      </w:r>
      <w:hyperlink r:id="rId274" w:anchor="_ftn2" w:history="1">
        <w:r w:rsidRPr="00E14102">
          <w:rPr>
            <w:rStyle w:val="a4"/>
            <w:color w:val="000000" w:themeColor="text1"/>
            <w:sz w:val="16"/>
            <w:szCs w:val="16"/>
          </w:rPr>
          <w:t>[2]</w:t>
        </w:r>
      </w:hyperlink>
      <w:r w:rsidRPr="00E14102">
        <w:rPr>
          <w:color w:val="000000" w:themeColor="text1"/>
          <w:sz w:val="16"/>
          <w:szCs w:val="16"/>
        </w:rPr>
        <w:t>. В них все конкретно указано, но что же я могу один сделать?</w:t>
      </w:r>
    </w:p>
    <w:p w14:paraId="6953FEA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Представить мне ваш доклад о торбах, о скребницах, о железе для конских кормушек — вы должны были об этом позаботиться.</w:t>
      </w:r>
    </w:p>
    <w:p w14:paraId="565D68E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 Я</w:t>
      </w:r>
      <w:r w:rsidRPr="00E14102">
        <w:rPr>
          <w:color w:val="000000" w:themeColor="text1"/>
          <w:sz w:val="16"/>
          <w:szCs w:val="16"/>
        </w:rPr>
        <w:t xml:space="preserve"> ставлю этот вопрос, Климент Ефремович, для того, чтобы люди, которые командуют этими частями и снабжают эти части, думали об этом.</w:t>
      </w:r>
    </w:p>
    <w:p w14:paraId="588DE85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Должен вам сказать, что они не понимают важности этого. Они не специалисты в этом деле. По глазам вижу, то, что вы говорите — это для них открытие. А вы опытный, старый кавалерист, прекрасный кавалерист, вы знаете, что нужно, и вы обязаны учить их. Для него что щетка, что колотушка. </w:t>
      </w:r>
      <w:r w:rsidRPr="00E14102">
        <w:rPr>
          <w:rStyle w:val="a6"/>
          <w:i w:val="0"/>
          <w:color w:val="000000" w:themeColor="text1"/>
          <w:sz w:val="16"/>
          <w:szCs w:val="16"/>
        </w:rPr>
        <w:t>(Смех.)</w:t>
      </w:r>
      <w:r w:rsidRPr="00E14102">
        <w:rPr>
          <w:color w:val="000000" w:themeColor="text1"/>
          <w:sz w:val="16"/>
          <w:szCs w:val="16"/>
        </w:rPr>
        <w:t xml:space="preserve"> Лишь бы была ручка. </w:t>
      </w:r>
      <w:r w:rsidRPr="00E14102">
        <w:rPr>
          <w:rStyle w:val="a6"/>
          <w:i w:val="0"/>
          <w:color w:val="000000" w:themeColor="text1"/>
          <w:sz w:val="16"/>
          <w:szCs w:val="16"/>
        </w:rPr>
        <w:t>(Смех.)</w:t>
      </w:r>
    </w:p>
    <w:p w14:paraId="57163E1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Теперь, товарищи, вопрос о болезнях. У нас в армии имеется и менингит, и инфекционная анемия, и пироплазмоз. От сапа кое-как отделались, но и то должен сказать, что так как имеется большой прирост конского поголовья, я боюсь, что мы отделались, не окончательно.</w:t>
      </w:r>
    </w:p>
    <w:p w14:paraId="0B581FC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Вот эта инфекционная анемия. Тут кто-то, кажется из ОКДВА, докладывал как раз, что у них эта инфекционная анемия довольно распространена. Причем вся наша беда в том, что наши ветеринары не знают, что это за болезнь. Они даже установить как следует не могут. И это не только у нас, но и в других государствах. Над этим вопросом работают, но результатов пока нет. Врачи бактерию этой болезни называют «фильтрующий вирус», говорят, что они бессильны бороться с ним потому, что этот самый вирус фильтрующий настолько маленький, что они поймать его не смогут. </w:t>
      </w:r>
      <w:r w:rsidRPr="00E14102">
        <w:rPr>
          <w:rStyle w:val="a6"/>
          <w:i w:val="0"/>
          <w:color w:val="000000" w:themeColor="text1"/>
          <w:sz w:val="16"/>
          <w:szCs w:val="16"/>
        </w:rPr>
        <w:t>(Смех.)</w:t>
      </w:r>
      <w:r w:rsidRPr="00E14102">
        <w:rPr>
          <w:color w:val="000000" w:themeColor="text1"/>
          <w:sz w:val="16"/>
          <w:szCs w:val="16"/>
        </w:rPr>
        <w:t xml:space="preserve"> Даже при помощи целого ряда приборов и приспособлений они не могут его обнаружить, поэтому бессильны бороться и пока только гоняются за ним. В этом отношении у нас дело обстоит далеко не блестяще.</w:t>
      </w:r>
    </w:p>
    <w:p w14:paraId="4EC86DC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товарищи, разрешите еще остановить ваше внимание на одном вопросе — это о наших маневрах, о тактических полевых учениях и затем о бегомании. Меня, да и не только меня, но и наркома очень часто запрашивают о санкциях на организацию пробегов Минск — Хабаровск, Отпор — Москва, Владивосток — Москва, Ленинград — Мурманск — Ленинград. Пробеги организуют, а в каком порядке находится их коневое хозяйство, они не знают и знать не хотят, и считают нормальным, что у них десятками падают лошади на маневрах и учениях. Наши общевойсковые начальники научились при планировании операции производить всяческие расчеты, строго учитывать свои мото- и авиаресурсы, но на конские ресурсы не считают нужным рассчитывать. В результате этого на маневрах из одной только 4-й кавдивизии погибло 13 лошадей, а в 3-й кавдивизии — 37 лошадей, остальной же конский состав представлял из себя скелеты, обтянутые кожей. Люди забывают слова нашего наркома обороны на съезде партии, что «от лошади нельзя требовать больше того, что ей отпущено природой в смысле ее сил».</w:t>
      </w:r>
    </w:p>
    <w:p w14:paraId="7A27A27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 когда таким начальникам заявляют, что конница в результате маневров окажется совершенно вымотанной, они отвечают, что после маневров вы будете иметь два месяца отдыха и успеете поправиться. Таким товарищам, видимо, важно лишь то, чтобы вышел красивый оперативный вензель, а после него — хоть трава не расти. Это вреднейшее заблуждение, военная неграмотность. В результате маневров и учений физическая бодрость и крепость конницы не только не должна понизиться, а наоборот — значительно повыситься. Части после маневров должны быть как никогда готовы к выполнению любой боевой задачи, причем в наиболее хорошем тренированном, а следовательно, и боевом виде. Естественно, что с измотанным в результате маневров конским составом кавалерийские части не могут считаться боеспособными. И вот эту истину заменяют обещаниями после маневров дать время подправиться. Тов. Тухачевский выступал и говорил о том, что у одного взвода, прошедшего 50 км с укладкой 38 кг, носы заострились, глаза провалились. Хорошо, что так, а иногда, может быть, да и бывает хуже.</w:t>
      </w:r>
    </w:p>
    <w:p w14:paraId="5D9073C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Нужно уделять внимание и нашему ветеринарному составу. Ведь они, просто-напросто говоря, отрезаны. Командир как хочет, так и распоряжается. А если человек доказывает, что тут плохо, то на него никто не обращает внимания.</w:t>
      </w:r>
    </w:p>
    <w:p w14:paraId="09B6EE0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Вы должны ветеринара поднять, поднять их значимость, защитить их перед вашими товарищами-конниками.</w:t>
      </w:r>
    </w:p>
    <w:p w14:paraId="49D5DCE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Недавно ветеринары Забайкалья подняли вопрос о конском составе Забайкалья, и они оказались правы. Как вы помните, они раскритиковали ряд командиров.</w:t>
      </w:r>
    </w:p>
    <w:p w14:paraId="2C89694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На 1936 г., как совершенно правильно указал начальник Генерального штаба Маршал Советского Союза т. Егоров, нам крайне необходим Полевой устав. Все данные для этого есть. Если раньше не могли написать, то это объяснялось тем, что мы росли, различными средствами борьбы насыщались и такие подразделения, как рота, батальон, эскадрон и полк. Тогда все это нельзя было учесть, а сейчас, когда все это дело стабилизируется, мы можем подойти к разрешению данного вопроса.</w:t>
      </w:r>
    </w:p>
    <w:p w14:paraId="2E97D7C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Несколько слов об оперативных играх. Мне кажется, что кроме оперативных игр, организуемых по приказу наркома в округах, нужно проводить оперативные игры под руководством Генерального штаба минимум два раза в год. Этим достигалось бы более полное единое понимание и отрабатывалась бы более четко единая доктрина РККА. С другой стороны, приходил бы более всесторонний обмен опытом. Ведь при принятии решения тактического и оперативного порядка у меня может быть своя точка зрения, у другого — своя. И тогда, когда мы будем едино мыслить и понимать, только тогда мы сможем едино работать.</w:t>
      </w:r>
    </w:p>
    <w:p w14:paraId="123EB09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65-68.</w:t>
      </w:r>
    </w:p>
    <w:p w14:paraId="0A0A220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Кучинский.</w:t>
      </w:r>
      <w:r w:rsidRPr="00E14102">
        <w:rPr>
          <w:color w:val="000000" w:themeColor="text1"/>
          <w:sz w:val="16"/>
          <w:szCs w:val="16"/>
        </w:rPr>
        <w:t xml:space="preserve"> По оперативной подготовке высшего командного состава и штабов КВО выполнил все предписанные Генеральным штабом занятия. Кроме того, мы провели решение двух заочных оперативных задач, сбор высшего начсостава по технике, сборы высшего комсостава штабов по радио, большую военно-инженерную игру, полевую поездку в укрепрайоны и заочмехигру. По поводу заочных задач. Это прекрасный метод, и я бы взял на себя смелость предложить Генеральному штабу такие заочные задачи составлять в штабе и рассылать их всему высшему начсоставу. Собрав решения, Генеральному штабу самому дать образцовые решения с соответствующими пояснениями и записками.</w:t>
      </w:r>
    </w:p>
    <w:p w14:paraId="41C8E3E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Нам необходимо также проводить и сборы высшего комсостава по технике, причем не просто только для показа техники, но и в некоторых случаях, проводя экзамен высшего комсостава так, как это провели мы в Киеве по вопросам артиллерии, танков и особенно по вопросам войскового и армейского тылов. Необходимо поднять оперативную инженерную подготовку в округах путем проведения инженерных игр и полевых инженерных поездок.</w:t>
      </w:r>
    </w:p>
    <w:p w14:paraId="52DAE71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По подготовке штабов мы провели все необходимые занятия и в дивизии, и в корпусе и завершили это большим армейским выходом в поле, впервые у нас проводимом, как двухсторонним и всецело себя оправдавшим. На этом выходе участвовали на синей стороне — штаб Красной армии во главе с командующим, два штаба конного корпуса и один штаб стрелкового корпуса. Вся эта группа была расположена в районе Шепетовка. На красной стороне участвовали штаб армии и два штаба корпуса </w:t>
      </w:r>
      <w:r w:rsidRPr="00E14102">
        <w:rPr>
          <w:color w:val="000000" w:themeColor="text1"/>
          <w:sz w:val="16"/>
          <w:szCs w:val="16"/>
        </w:rPr>
        <w:lastRenderedPageBreak/>
        <w:t>и несколько отдельных штабов дивизий. Армия красных совершала сосредоточение и развертывание в районе Бердичев — Фастов. Сама полевая поездка заняла 6 дней и с точки зрения организационной работы штабов прошла вполне удовлетворительно.</w:t>
      </w:r>
    </w:p>
    <w:p w14:paraId="32E0013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Какие выводы мы сделали? Об этом подробно доложено начальнику Генерального штаба. Я считаю необходимым остановиться на следующих выводах.</w:t>
      </w:r>
    </w:p>
    <w:p w14:paraId="569CA7F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 Наши штабы уже имеют кое-какую материальную основу, правда, заведенную исключительно средствами самих штабов.</w:t>
      </w:r>
    </w:p>
    <w:p w14:paraId="52E3FBD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 Наши штабы корпусов внутри организованы. Хуже было с армейскими штабами, и если мы провели удовлетворительно эту поездку, то только потому, что напряженная работа в течение 6 суток велась исключительно несколькими подобранными штабными оперативными и хорошо подготовленными командирами. На этом последнем вопросе я хочу остановиться.</w:t>
      </w:r>
    </w:p>
    <w:p w14:paraId="0F41CD9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считаю, что нам надо вплотную заняться подготовкой так называемых командиров высших оперативных штабов, которым должны поставить следующие основные требования и условия:</w:t>
      </w:r>
    </w:p>
    <w:p w14:paraId="6A78C2D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 Эти командиры должны обладать широким кругозором, большой общеобразовательной подготовкой и хорошо марксистски подкованы.</w:t>
      </w:r>
    </w:p>
    <w:p w14:paraId="35D799A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 Эти командиры должны знать значительно лучше, чем любой наш командир, технику различных родов войск и быть прекрасными общевойсковыми тактиками.</w:t>
      </w:r>
    </w:p>
    <w:p w14:paraId="2B2E9CE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3) Эти командиры должны быть подготовлены для проведения всех необходимых оперативных расчетов и расчетов по тылу.</w:t>
      </w:r>
    </w:p>
    <w:p w14:paraId="3646C9E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4) Эти командиры должны наизусть знать театр военных действий и свой, и своих будущих противников.</w:t>
      </w:r>
    </w:p>
    <w:p w14:paraId="54BB5C6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5) Эти командиры должны прекрасно знать будущих противников, их организацию, их тактику.</w:t>
      </w:r>
    </w:p>
    <w:p w14:paraId="32D5E1C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6) Эти командиры должны уметь читать, переводить с трех европейских языков, а на одном из них хорошо говорить, а некоторые командиры должны знать и японский язык.</w:t>
      </w:r>
    </w:p>
    <w:p w14:paraId="52440FE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Этих командиров мы должны соответствующим образом и тренировать, и воспитывать. Эти командиры должны быть скромными, точными, четкими, они должны уметь работать в самых тяжелых и напряженных условиях. Этим командирам мы должны дать особое прохождение службы и особую подготовку. В наших теперешних условиях мы таких командиров не воспитываем. Мы создали этих работников и в штабе, и в корпусе, а сейчас должны их потерять — они уйдут в войска, и если мы не поставим вопроса о их дальнейшей службе и подготовке, то не получим того инструмента, которым командующие армиями и комкоры смогут управлять в бою.</w:t>
      </w:r>
    </w:p>
    <w:p w14:paraId="1823AF2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Сейчас необычайно усложнились вопросы управления. Сейчас на полевой поездке можно видеть, насколько плохо поставлена служба делегатов, служба командно-оперативной разведки, служба, касающаяся хотя бы простых оперативных разговоров по аппарату, и все это происходит потому, что мы не имеем этих людей, этих оперативных работников, оперативных командиров высших штабов. Служба Генерального штаба была и осталась — нужны командиры Генерального штаба. Я считаю, что на каждую дивизию нужно 2 чел., на корпус — минимум 5 и на армию — 11. Это не так много. На первый раз — 400 чел. Я ручаюсь, т. народный комиссар, что этим мы заложим прочные условия для управления войсками.</w:t>
      </w:r>
    </w:p>
    <w:p w14:paraId="2C02F33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 последний вопрос — вопрос о тематике наших оперативных занятий. Я считаю, что мы слишком схематически учитываем влияние воздушного флота и в помощь нашим операциям и во вред им. В частности, в вопросах использования железнодорожного транспорта. Я беру смелость утверждать, что от фронта и на 200 км в глубину при надлежащей организации особой фронтовой авиации, которая займется нейтрализацией железных дорог, эти железные дороги и у нас, и у противника не будут работать. На ж.-д. участке в 180 км достаточно двух эскадрилий, чтобы они каждые сутки выводили один станционный перегон 4 раза. Это значит, что такой участок железной дороги будет работать только для того, чтобы пропускать свои ремонтные поезда и восстанавливать разрушенные перегоны. Следовательно, несколько иначе должны решаться вопросы стратегического сосредоточения и развертывания, вопросы подвоза и устройства путей, и вопросы действия ударных армий, сидящих иногда на одной железной дороге. Что надо? Надо обратить серьезнейшее внимание на шоссейные дороги автотранспорта, на тракторный транспорт и надо заняться как следует обороной железных дорог. Мы писали по этому поводу несколько докладов. По противовоздушной обороне железных дорог надо как минимум на каждом километре иметь два зенпулемета, так что участок в 180 км потребует 90 взводов, но зато даст вдоль железной дороги непрерывный пулеметный огонь.</w:t>
      </w:r>
    </w:p>
    <w:p w14:paraId="08383CA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Нам надо заставить НКПС усилить свою ремонтную службу на перегонах. В-третьих, нужно иметь непосредственно вдоль железных дорог фунтовые, а лучше всего шоссейные дороги. Сейчас таких дорог нет. Из Киева до Казатина нельзя проехать на автомобиле.</w:t>
      </w:r>
    </w:p>
    <w:p w14:paraId="707A84D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Все это я ставлю пока как вопросы, которые мы должны учитывать в нашей оперативной подготовке, учитывая в большей степени, чем до сих пор, влияние авиации.</w:t>
      </w:r>
    </w:p>
    <w:p w14:paraId="2747073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68-69.</w:t>
      </w:r>
    </w:p>
    <w:p w14:paraId="6AECC46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В оперативной подготовке высших штабов, подготовке высшего командования к войне вообще едва ли не самым трудным является подготовка его к организации и управлению тылом крупных общевойсковых соединений и в особенности армейским. На счет важности этого дела говорить не приходится, потому что об этом достаточно ярко и убедительно говорил народный комиссар на всех наших предыдущих военных совещаниях.</w:t>
      </w:r>
    </w:p>
    <w:p w14:paraId="1836EA0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Относительно трудности и обычно неподготовленности штабов и высшего командования для этой деятельности говорится очень много и в исторических трудах, и на разборах маневров, если они проводятся по полевому. Об этом говорят и такие исследователи, как Иохим, например в книге «Операции и тыловые сообщения 1-й армии на Марне». Об этом очень убедительно говорит недавно вышедшая книга Висконти-Праска «Тактика в войне на сокрушение»</w:t>
      </w:r>
      <w:r w:rsidRPr="00E14102">
        <w:rPr>
          <w:color w:val="000000" w:themeColor="text1"/>
          <w:sz w:val="16"/>
          <w:szCs w:val="16"/>
          <w:vertAlign w:val="superscript"/>
        </w:rPr>
        <w:t>57</w:t>
      </w:r>
      <w:r w:rsidRPr="00E14102">
        <w:rPr>
          <w:color w:val="000000" w:themeColor="text1"/>
          <w:sz w:val="16"/>
          <w:szCs w:val="16"/>
        </w:rPr>
        <w:t>.</w:t>
      </w:r>
    </w:p>
    <w:p w14:paraId="0DBCBCE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Трудности подготовки заключаются, во-первых, в том, что штабы и командование не проявляют такого энтузиазма к подготовке тыла, как, скажем, к десантам, к мехсоединениям и т.д. Показательно и то, что в выступлениях об этом почти и не говорилось.</w:t>
      </w:r>
    </w:p>
    <w:p w14:paraId="1CA8944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Но есть объективные трудности. Эти объективные трудности заключаются в том, что штабы и командование не имеют практического опыта в мирное время в организации управления тылом в полевых условиях, в особенности в армейском масштабе, не имеется и самих армейских аппаратов. Если мы и устраиваем сборы армейских органов на короткие сроки, то эти сборы проходят главным образом в сколачивании армейского аппарата для оперативно-тактической работы. Одним из важнейших средств подготовки высших штабов и высшего командования к оперативной работе являются военные игры. Но они не являются достаточно прочным учебным средством в отношении подготовки тыла, ибо в работе тыла требуется не столько маневрирование огромным количеством учреждений и тыловых частей, сколько расчет, знание и умение практически обращаться с предметами, практически распределять и направлять огромный поток всевозможных грузов. Даже расстановка тыловых учреждений требует огромной работы на местности, потому что чтобы поставить какой-нибудь КОП или ДОП, не только нужно указать район, но и в районе нужно тщательно изучить все складки местности, все выезды, условия грунта. Дело это сугубо практическое, и только практически можно его изучить.</w:t>
      </w:r>
    </w:p>
    <w:p w14:paraId="0A4D733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прошлых совещаниях по итогам боевой подготовки говорилось, что в области тыла в армейском масштабе мы даже не имеем ясного представления о той колоссальной работе, которая нас ожидает. В нынешнем году, поскольку мы имели я не скажу богатый опыт, но имели несколько учений по организации и проведению работы в армейском тылу, остановиться на том, какие успехи имеем в этом отношении, необходимо. Тем более законно и необходимо на этих вопросах остановиться, что 1935 г. в области тактики и оперативного искусства опыт был направлен к изучению глубокого боя, к изучению операции на вторжение, а сама природа глубокой тактики создает дополнительные трудные условия для работы тыла как на стороне наступающего, так и обороняющегося. Тыл обороняющейся стороны, естественно, является объектом воздействия противника и в горизонтальном, и в вертикальном направлении. В свою очередь, тыл наступающего, в особенности при проникновении передовых частей далеко вглубь, является самым уязвимым местом. Недаром говорят, что первые успехи глубокой операции могут быть нарушены небольшими частями, которые могут отрезать эти передовые части от его собственного тыла. Мы на учениях убеждались, что мехбригады и мехкорпуса, достигшие в условиях игры огромных успехов в смысле вторжения в оперативную глубину противника, на третий день оставались без горючего. А само собой понятно, какая боевая ценность механизированного корпуса, который остался с четвертью заправки горючего. Только подача через воздух, эта сложная операция, может выручить и восстановить боевые качества мехкорпуса.</w:t>
      </w:r>
    </w:p>
    <w:p w14:paraId="584A9FE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Более углубленное изучение операций мировой войны в последний год приводит к тому убеждению, что захлестывание операций на западном театре происходило большей частью не от того, что не хватало резервных частей, а от того, что совершенно разрушалось их боевое питание. Таковы факты. В нынешнем году по указанию народного комиссара штабом РККА было проведено одно большое учение в Московском военном округе с фактическими тылами, т.е. была развернута вся сеть армейских и дивизионных тыловых учреждений на одном корпусном направлении со всеми тыловыми учреждениями, органами подвоза и охраны этой коммуникации.</w:t>
      </w:r>
    </w:p>
    <w:p w14:paraId="41E582B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позволю себе вкратце перечислить те выводы, к которым мы пришли на основе этого учения. Во-первых, принятая нами система подвоза, изложенная в кратком наставлении о военной дороге, в основе которой лежит взаимодействие железнодорожного подвоза и эвакуации с грунтовым, в том смысле, что этот подвоз объединен до дивизионного звеньевого подвоза в одной службе ВОСО, — в основном себя оправдала, хотя некоторые традиции, например т. Кулик, это положение и оспаривал.</w:t>
      </w:r>
    </w:p>
    <w:p w14:paraId="1CD379F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вывод. Развертываемые на путях подвоза от железнодорожных станций снабжения до войск учреждения, в виде прежде всего комендантов станций, начальников головных складов, а их мы насчитываем ровным счетом 13, начальников этапно-дорожных районов, начальников корпусных обменных пунктов, начальников ДОП, и дальше частей, работающих на путях подвоза, как то: этапные батальоны, дорожные отряды, роты регулирования, роты связи, — вполне оправдывают свое назначение. Недостатком их является то, что организованно и главным образом технически они не оснащены в соответствии с современными требованиями. Так, для примера скажем, этапы оборудованы кузницами для ковки лошадей, но ни один этап на расстоянии в 70 км от станции снабжения до КОПа не имел ремонтных средств для автотранспорта. Фактически в армейском тылу будут работать только автотранспортные средства или тракторные. Конному транспорту здесь будет делать нечего. Но, повторяю, ни автомастерской, никаких средств помощи этому автотранспорту не было.</w:t>
      </w:r>
    </w:p>
    <w:p w14:paraId="77FC003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Третье. Организация питания от станции снабжения до дивизии, располагающей своими тылами — корпус наш не имеет постоянных тылов — через корпусное звено как регулирующую инстанцию, вполне себя оправдала. Организация является вполне целесообразной. Между прочим эта система принята и в германской армии. Я сам лично участвовал на таком занятии и тот опыт подтверждал, что эта система полностью себя оправдывает.</w:t>
      </w:r>
    </w:p>
    <w:p w14:paraId="19A1B40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Четвертый вывод. Обеспечение нашего армейского тыла всей этой гармоники — подвоза штатными средствами, которые предусматриваются по действующему мобилизационному плану, в виде зенитного дивизиона для станции снабжения с 13 головными складами, плюс санитария, ветеринария и прочее, в виде пулеметной зенитной роты, стрелково-пулеметного отряда, — безусловно совершенно недостаточна, и вдобавок находящиеся на путях подвоза части в виде этапных батальонов, рабочих рот и автотранспортных батальонов совершенно не вооружены. Поэтому никакого боевого сопротивления, даже при нападении на военные сообщения мелких частей, оказать не в состоянии. Так, в присутствии народного комиссара мы разыграли нападение на корпусной обменный пункт всего одного эскадрона, усиленного взводом танков. Около 300 чел., работавших на этом КОПе, не оказали почти никакого сопротивления, во-первых, потому что они плохо вооружены, но самое главное то, что плохо организованы, не подготовлены. Уже вторично, в присутствии наркома, по его указанию и при подбадривании с его стороны, командиры кое-как собрались с духом, организовали некоторое подобие обороны, но я уверен, что любой командир эскадрона может внести расстройство в работу тыла.</w:t>
      </w:r>
    </w:p>
    <w:p w14:paraId="6B84F75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Надо вооружить тыл между прочим.</w:t>
      </w:r>
    </w:p>
    <w:p w14:paraId="6710B8C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Конечно, вооружить нужно, но, товарищи, поскольку целью всех наших больших общевойсковых боев и операций является прежде всего воздействие на тыл противника, воздействие на всю его глубину, то, конечно, мы должны считаться с тем, что и противник будет отвечать теми же самыми целями, и поэтому даже вооружение тыловых частей не гарантирует, что тыл достаточно прочно будет обеспечен от мелких отрядов, от броневых частей, которые могут проникнуть вглубь.</w:t>
      </w:r>
    </w:p>
    <w:p w14:paraId="078DF9A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И от десанта.</w:t>
      </w:r>
    </w:p>
    <w:p w14:paraId="6CAE133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Так точно — и от десанта. Поэтому надо считаться с необходимостью выделения крупных подвижных сил для обеспечения работы тыла.</w:t>
      </w:r>
    </w:p>
    <w:p w14:paraId="6D24FA2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Но и сам тыл вооружить.</w:t>
      </w:r>
    </w:p>
    <w:p w14:paraId="3E9C9E4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Нарком это уже приказал, это делается.</w:t>
      </w:r>
    </w:p>
    <w:p w14:paraId="1970DEF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Особенно беззащитным оказывается тыл с воздуха, опять-таки если не принять специальных мер. Тут, товарищи, для нас было много неожиданностей. Может быть, и не весьма удачно, но все же в пределах наших возможностей была применена маскировка, как естественная, так и искусственная. Но что оказалось? Оказывается, что аэрофотограмметрия настолько сильна, что вся наша искусственная маскировка для авиации оказалась совершенно недействительной, оказалось, что артиллерийские склады, прикрытые сетками, скрытые в кустах и лесочках, могут быть легко обнаружены с воздуха. Для летчика не составляло трудностей вскрыть даже назначение каждого склада. Оказалось, что они свободно могут сосчитать по ящикам емкость артиллерийских складов. Таким образом, и искусственная, и естественная маскировка оказались недостаточными для авиации. Почему так получилось? Потому что у нас к маскировке подходят таким образом: приходит начальник и смотрит с земли — скрыт ли, предположим, данный артиллерийский склад, не видно ли его, и если не видно, то считает, что все благополучно. Для того чтобы проверить, действительна ли эта маскировка, недостаточно посмотреть с земли, а надо смотреть обязательно с воздуха.</w:t>
      </w:r>
    </w:p>
    <w:p w14:paraId="1A27578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считаю, что проводимая система материально-технического, боевого и продфуражного питания, которую еще доработаем и издадим во второй части Наставления по тылу, может быть принята как твердая, законом установленная система. Мне скажут, если система правильна, то чем объяснить ту путаницу и крупные недочеты, которые были особенно в первые дни учения. По-моему, самая главная причина (хотя причин вообще много) заключается в том, что наличный состав КОПов, ЗКС штабов НГУ, этапов, командиры транспортных частей и т.д. и т.д., будучи призваны из запаса, были совершенно незнакомы со своими обязанностями.</w:t>
      </w:r>
    </w:p>
    <w:p w14:paraId="72563BD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Правильно.</w:t>
      </w:r>
    </w:p>
    <w:p w14:paraId="7142D13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Они изучали наставления и инструкции на ходу. Больше того: не только командиры, призванные из запаса, но и поставленные на эти должности слушатели Военно-транспортной академии оказались на таком же уровне, как и призванные из запаса. Только один командир запаса оказался на своем месте — это начальник див</w:t>
      </w:r>
      <w:hyperlink r:id="rId275" w:anchor="_ftn3" w:history="1">
        <w:r w:rsidRPr="00E14102">
          <w:rPr>
            <w:rStyle w:val="a4"/>
            <w:color w:val="000000" w:themeColor="text1"/>
            <w:sz w:val="16"/>
            <w:szCs w:val="16"/>
          </w:rPr>
          <w:t>[3]</w:t>
        </w:r>
      </w:hyperlink>
      <w:r w:rsidRPr="00E14102">
        <w:rPr>
          <w:color w:val="000000" w:themeColor="text1"/>
          <w:sz w:val="16"/>
          <w:szCs w:val="16"/>
        </w:rPr>
        <w:t xml:space="preserve"> хлебопекарни. Он развернул и организовал хлебопечение блестяще. Самое главное в неполадках первых дней было то, что и для командиров корпуса, и для командарма, и для руководства оказался совершенно неожиданным тот объем груза, с которым нам пришлось иметь дело на путях подвоза.</w:t>
      </w:r>
    </w:p>
    <w:p w14:paraId="2B602B3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Третье — вооружение для оперирования грузами, начиная с укупорки — погрузка и выгрузка на станции снабжения и КОПах, — оказалось самым кустарным. Благодаря неприспособленности погрузки и разгрузки, благодаря неприспособленности к условиям работы в поле, нам пришлось станции снабжения и КОПы обслуживать армией рабочих рук. На КОП от 200 до 350 чел. Почему оказалась такая неподготовленность кадров для тыловых учреждений? Вина целиком и полностью лежит на Генштабе, на штабах округов, на органах ВОСО, ВОСО горячо отстаивал эту систему. Я лично тоже всегда стоял именно за эту систему. Добившись, забыли, что для этой системы надо очень и очень готовить кадры. Подготовка же кадров и в академии, и в школе ВОСО по службе грунта оказалась совершенно слабой.</w:t>
      </w:r>
    </w:p>
    <w:p w14:paraId="2367359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Учение окончилось, все забыли.</w:t>
      </w:r>
    </w:p>
    <w:p w14:paraId="49800D2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Это было давно?</w:t>
      </w:r>
    </w:p>
    <w:p w14:paraId="508500C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Это было в июне месяце.</w:t>
      </w:r>
    </w:p>
    <w:p w14:paraId="197AF4C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 нас подведены итоги, они будут разосланы. Органы ВОСО заявляют, что кадров ЗКС, НГУ КОПов в мирное время нет. Отчасти это верно, но только отчасти. У нас есть Военно-транспортная академия. Транспортная академия имеет одним из своих назначений именно подготовку кадров для работы на грунтовых участках. Работа на железнодорожных путях нами освоена, и здесь, собственно говоря, мы имеем помощь железнодорожников, но что касается грунтовых участков, то здесь никакого опыта и практики других наркоматов использовать не можем. Должны сами создать опыт, навыки, приемы и теорию.</w:t>
      </w:r>
    </w:p>
    <w:p w14:paraId="1D0D827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вопросу об объеме потока боепитания. Нужно сказать, что корпус, который мы прорабатывали, — трехдивизионный, дивизия — десятитысячная, усиленный одним танковым батальоном РГК, одним полком АРГК, потребовал суточной подачи полбоевого комплекта в размере 875 т. Подвоз — на 65-70 км потребовал два автомобильных батальона.</w:t>
      </w:r>
    </w:p>
    <w:p w14:paraId="2A53A31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Для корпуса?</w:t>
      </w:r>
    </w:p>
    <w:p w14:paraId="65A5881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Да, для корпуса.</w:t>
      </w:r>
    </w:p>
    <w:p w14:paraId="1A62E48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Для новой дивизии, которую сейчас правительство утвердило — 13 тыс. состава, боекомплект равняется 370 тонн, фураж и продовольственная дача 53 т и заправка горючего 43—47 т. Эта последняя цифра меняется в зависимости от того, какие трактора там вводятся. Таким образом, теперешний корпус потребует для подвоза одного боекомплекта и одной дачи не менее 500 автомобилей в двух с половиной тонном исчислении. И вот когда на станции снабжения накопилось три боекомплекта (на станции снабжения, кроме ск, базировался мехкорпус), то у всех получилось страшное удивление, что создалась колоссальная махина. По оперативной обстановке три боевых комплекта должно было быть накоплено на станции снабжения из расчета на ск и мк.</w:t>
      </w:r>
    </w:p>
    <w:p w14:paraId="5EE5C06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 поводу боекомплекта должен сказать, что размеры его до сих пор являются предметом дискуссий. Когда мы увидели три боекомплекта на станции снабжения, эту громаду, вновь поднялся вопрос о его преувеличенности. Мы льстили себя надеждой, как говорят иностранцы, что сократим боекомплект и тогда избежим такого огромного скопления боеприпасов. Мы в штабе не раз сокращали боекомплект по указаниям наркома и довели его до состава: на легкий пулемет — 1500 выстрелов, в Германии — 3000; на станковый пулемет — 3000 выстрелов, в Германии — 6000; на зенитный пулемет у нас — 7000, у них — 8000. По выстрелам 122-мм — 112, по 76-мм — 212 тыс. и т.д. Мне кажется, что этот боекомплект не преувеличен. Конечно, нужно оговориться, что сосредоточение на станции снабжения до 3 боевых комплектов может иметь место как исключение: это на трехдневный запас одного ск, а минимум шестидневный, но одновременно на ст</w:t>
      </w:r>
      <w:hyperlink r:id="rId276" w:anchor="_ftn4" w:history="1">
        <w:r w:rsidRPr="00E14102">
          <w:rPr>
            <w:rStyle w:val="a4"/>
            <w:color w:val="000000" w:themeColor="text1"/>
            <w:sz w:val="16"/>
            <w:szCs w:val="16"/>
          </w:rPr>
          <w:t>[4]</w:t>
        </w:r>
      </w:hyperlink>
      <w:r w:rsidRPr="00E14102">
        <w:rPr>
          <w:color w:val="000000" w:themeColor="text1"/>
          <w:sz w:val="16"/>
          <w:szCs w:val="16"/>
        </w:rPr>
        <w:t xml:space="preserve"> снабжения необходимо будет иметь не менее полутора боекомплектов.</w:t>
      </w:r>
    </w:p>
    <w:p w14:paraId="2F13BD9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Таким образом, не приходится себя обманывать тем, что якобы в действительности на войне потребность будет меньше. Напряжение подвоза потребуется не меньше, чем бьшо показано на нашем учении. И недаром даже такие организаторы, как немцы, в последний период времени исключительное внимание сосредоточивают именно на организации боепитания, на обеспечении армейской и фронтовой операций.</w:t>
      </w:r>
    </w:p>
    <w:p w14:paraId="235DE35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речи Бека, начальника немецкого генштаба, по случаю 125-лет-него юбилея германской академии говорилось, что он «в качестве начальника генерального штаба ничего не желал бы другого, как возродить старую германскую армию в смысле подготовки кадров и т.д.». Далее он говорил, что в оперативно-стратегическом отношении будущая война не несет ничего нового, но когда он переходит к вопросу тыла боевого обеспечения, то заявляет, что старые масштабы, старый подход к этому делу является недостаточным. Мы видим это и на опыте итальянской армии. Как бы ее ни расценивали, но итальянцы считаются европейцами если не первоклассными, то во всяком случае второклассными. В войну с Абиссинией они ввязались не случайно, они к ней готовились минимум два года, но в области тылового обеспечения операций оказались неподготовленными — и не раз уже провалились.</w:t>
      </w:r>
    </w:p>
    <w:p w14:paraId="63E82A8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Рано еще об этом говорить.</w:t>
      </w:r>
    </w:p>
    <w:p w14:paraId="5CB411F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Почему они провалились?</w:t>
      </w:r>
    </w:p>
    <w:p w14:paraId="032164C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Не провалились совсем, но во всяком случае первый порыв у них пошел на убыль. О провале сейчас говорить, конечно, рано, я говорю только то, что признают сами итальянцы. </w:t>
      </w:r>
      <w:r w:rsidRPr="00E14102">
        <w:rPr>
          <w:rStyle w:val="a6"/>
          <w:i w:val="0"/>
          <w:color w:val="000000" w:themeColor="text1"/>
          <w:sz w:val="16"/>
          <w:szCs w:val="16"/>
        </w:rPr>
        <w:t>(Смех.)</w:t>
      </w:r>
    </w:p>
    <w:p w14:paraId="332312E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Особо приходится остановиться на нашем конном транспорте и автотранспорте. В отношении конного транспорта внедрение милитаризированной повозки остается больше на бумаге. Милитаризированная повозка при содействии т. Корка не нашла вовсе применения в Московской области. Нам на занятия по тылу была дана московская колымага, которая возила по 3 выстрела на орудие. Представьте себе, сколько бы времени мы возили боекомплект и на какое расстояние растянулись бы эти колымаги.</w:t>
      </w:r>
    </w:p>
    <w:p w14:paraId="6399437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Об автотранспорте. Надеяться, что в кадровом составе мы будем держать автотранспортные батальоны, ошибочно. Это бьшо бы неплохо, это бьшо бы для нас самое лучшее разрешение вопроса, но это невозможно, автотранспорт для армейского тыла нам придется создавать на основе мобилизации.</w:t>
      </w:r>
    </w:p>
    <w:p w14:paraId="09BE46B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Федько.</w:t>
      </w:r>
      <w:r w:rsidRPr="00E14102">
        <w:rPr>
          <w:color w:val="000000" w:themeColor="text1"/>
          <w:sz w:val="16"/>
          <w:szCs w:val="16"/>
        </w:rPr>
        <w:t xml:space="preserve"> А нам надо заранее завозить.</w:t>
      </w:r>
    </w:p>
    <w:p w14:paraId="63AC629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Как относятся к делу организации автотранспортных батальонов. В нынешнем году мы проверили 3 батальона в Московском округе. На эти 3 батальона в военкомате содержались кадры автотехников, но использовались округом по другому назначению. Приписке, переподготовке командного состава авточастей не </w:t>
      </w:r>
      <w:r w:rsidRPr="00E14102">
        <w:rPr>
          <w:color w:val="000000" w:themeColor="text1"/>
          <w:sz w:val="16"/>
          <w:szCs w:val="16"/>
        </w:rPr>
        <w:lastRenderedPageBreak/>
        <w:t>уделяется никакого внимания. Кстати, о комсоставе запаса. Здесь многие жаловались на неподготовленность комсостава запаса. Я позволю себе огласить то количество людей, которое мы призывали на переподготовку. В 1933 г. — 97 тыс. чел., в 1934 г. — 160 тыс., в 1935 г. — 135 тыс. чел.</w:t>
      </w:r>
    </w:p>
    <w:p w14:paraId="674F92A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Сколько из них семидневных?</w:t>
      </w:r>
    </w:p>
    <w:p w14:paraId="72B9C8F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Так или иначе, пропустили 400 тыс. чел. начсостава и в запасе числится около 400 тыс. чел. Таким образом, в течение 3 лет весь начсостав мог побывать в войсках. Дело заключается в том, что вопросу переподготовки командного состава не уделяется должного внимания, и здесь нельзя не вспомнить наши внутренние округа. Они жалуются, что у них мало войск, что им негде развернуться, на самом деле для развертывания чрезвычайно широкое, я бы сказал, непочатое поле деятельности. Мы в кадрах армии имеем несколько больше 1 млн чел., а будем воевать не миллионом, а 3—4 млн. Я спрашиваю, кто же будет готовить остальные кадры. Тов. Якир, т. Уборевич и т. Шапошников не могут — у них приграничные задачи. Тов. Гайлиту, т. Дыбенко, т. Дубовому, т. Гарькавому и всем другим обижаться нечего, что мало кадровых и технических войск. Помимо войск на них лежит ответственная задача — подготовка резервов, тыловых органов, подготовка комсостава запаса, такова участь, но участь почтенная, тыловых округов.</w:t>
      </w:r>
    </w:p>
    <w:p w14:paraId="5C5E88D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69-71.</w:t>
      </w:r>
    </w:p>
    <w:p w14:paraId="31B4581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Эйдеман.</w:t>
      </w:r>
      <w:r w:rsidRPr="00E14102">
        <w:rPr>
          <w:color w:val="000000" w:themeColor="text1"/>
          <w:sz w:val="16"/>
          <w:szCs w:val="16"/>
        </w:rPr>
        <w:t xml:space="preserve"> По совести говоря, я нахожусь в несколько затруднительном положении как выступающий в прениях по докладу начальника Генерального штаба. Вместо того чтобы участвовать вместе со всеми членами совета в обсуждении тех жгучих, острых и интересных вопросов оперативно-тактической подготовки Рабоче-крестьянской Красной армии и очередных задачах, я могу предоставленное мне время использовать лишь для того, чтобы остановиться на деятельности той организации, на деятельности которой здесь никто из выступавших не останавливался.</w:t>
      </w:r>
    </w:p>
    <w:p w14:paraId="6EA3C50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А вы и на той деятельности, и на этой остановитесь.</w:t>
      </w:r>
    </w:p>
    <w:p w14:paraId="1BCAFF4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Эйдеман.</w:t>
      </w:r>
      <w:r w:rsidRPr="00E14102">
        <w:rPr>
          <w:color w:val="000000" w:themeColor="text1"/>
          <w:sz w:val="16"/>
          <w:szCs w:val="16"/>
        </w:rPr>
        <w:t xml:space="preserve"> Было бы неправильно на этом заседании Военного совета не коснуться вопросов состояния работы такой оборонной организации, какой является Осоавиахим</w:t>
      </w:r>
      <w:r w:rsidRPr="00E14102">
        <w:rPr>
          <w:color w:val="000000" w:themeColor="text1"/>
          <w:sz w:val="16"/>
          <w:szCs w:val="16"/>
          <w:vertAlign w:val="superscript"/>
        </w:rPr>
        <w:t>58</w:t>
      </w:r>
      <w:r w:rsidRPr="00E14102">
        <w:rPr>
          <w:color w:val="000000" w:themeColor="text1"/>
          <w:sz w:val="16"/>
          <w:szCs w:val="16"/>
        </w:rPr>
        <w:t>. Особенно после решения партии и правительства от 8 августа, поставившего перед Осоавиа-химом новые задачи и вместе с тем обязавшего Красную армию, ее командующих округами, всех войсковых соединений и частей усилить свою помощь Осоавиахиму, улучшить свой контроль за его работой и повысить качество инструктажа кадров Осоавиахима.</w:t>
      </w:r>
    </w:p>
    <w:p w14:paraId="55B111C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думаю, что вряд ли есть надобность тут на Военном совете еще раз говорить, еще раз доказывать, что Красная армия, ее командные кадры и ее боевая подготовка непосредственно заинтересованы в улучшении всей той работы, которую ведет Осоавиахим по подготовке кадров для обороны. Оборона страны, в частности противовоздушная защита населения, вообще не может быть полностью обеспечена без активной самодеятельности самих трудящихся масс — нашего замечательного советского народа, поднявшего на небывалую высоту понятие о Родине и ее защите.</w:t>
      </w:r>
    </w:p>
    <w:p w14:paraId="0502D85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хочу остановиться в первую очередь на такой отрасли деятельности Осоавиахима, как подготовка нашей допризывной молодежи, которой особое внимание уделил Центральный комитет и правительство в своем постановлении. Само собой понятно, что именно сейчас, когда Красная армия вооружена новыми, сложными современными техническими средствами и на этой базе несравнимо усложнилась вся боевая подготовка, и в частности подготовка каждого отдельного бойца, мы как никогда заинтересованы в том, чтобы в ряды Красной армии ежегодно влилось возможно более грамотное и более подготовленное в военном отношении человеческое поколение. Об этом вскользь говорили командующие войсками тт. Дыбенко и Гайлит. Об этом говорят и те отзывы, которые мы получаем от войсковых частей, где они дают оценку того пополнения, которое они получают в результате проведения Осоавиахимом допризывной подготовки. Я позволяю себе здесь привести только одну оценку, которая касается лучших результатов, оценку такую, каких мы имеем очень мало, к сожалению. Эта оценка наглядно говорит, чего можно достигнуть для боевой подготовки Рабоче-крестьянской Красной армии, если по-настоящему повысить качество работы осоавиахимовских организаций в области подготовки нашей допризывной молодежи.</w:t>
      </w:r>
    </w:p>
    <w:p w14:paraId="5932DA3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Штаб Московской Пролетарской дивизии произвел выборочную проверку знаний и подготовки допризывников ряда районов, подобрав этих допризывников из числа тех, кто наиболее успешно закончил 120-часовую программу и летнюю учебу на учебных пунктах и в лагерях. Тут, конечно, надо иметь в виду, что речь идет именно о Москве. Вот что пишет начальник штаба дивизии в записке от 8 декабря: «Прибывшие товарищи при проверке их в тировых условиях на 100 м дали отличные результаты, свидетельствующие о хорошей выучке. При такой подготовке всех или большинства призываемых части имели бы большой запас времени на тактическую подготовку и громадную экономию в боевых патронах».</w:t>
      </w:r>
    </w:p>
    <w:p w14:paraId="0EEA9B4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Гайлит уже приводил пример, как ему удается в отношении тех молодых контингентов, которые прошли наиболее хорошо подготовку в осоавиахимовских организациях, сокращать сборы новобранцев с 3 до 2 месяцев, добиваясь одних и тех же результатов. Не подлежит никакому сомнению, что улучшение подготовки допризывников, осуществляемой осоавиахимовскими организациями, даст Красной армии не только резерв времени, но и новые возможности для улучшения всей боевой подготовки рядового бойца.</w:t>
      </w:r>
    </w:p>
    <w:p w14:paraId="5953626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однако, должен вместе с тем со всей категоричностью подчеркнуть, что все примеры, которые я здесь приводил, говорящие о возможных и лучших достижениях наших организаций в деле допризывной подготовки, к сожалению, не являются еще характерными для всей той работы, которая ведется в области допризывной подготовки. Такие организации, как Московская, Ленинградская, Западная, Западно-Сибирская, некоторые области Украины, где допризывная подготовка явно на подъеме, добились того, что в ряды армии идут на 20-40% ворошиловские стрелки и значкисты ГТО. Но таких организаций в целом по Осоавиахиму мы имеем очень немного. Несмотря на то что мы значительно лучше подготовились к новому учебному году Осоавиахима, который, за небольшими исключениями, преимущественно в сельских районах, где не закончена еще приписка допризывников, начался 1 декабря, еще в полной силе остается та оценка состояния практической работы Осоавиахима, которую давал Центральный Комитет и СНК в своем постановлении от 8 августа этого года, где говорилось, что Осоавиахим, несмотря на ряд достижений, все еще не справляется со стоящими перед ним задачами, не поспевает за растущими запросами трудящихся и все еще неудовлетворительно подготовляет допризывников и вневойсковиков.</w:t>
      </w:r>
    </w:p>
    <w:p w14:paraId="6EF22BE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чем корень этой все еще низкой, все еще неудовлетворительной работы Осоавиахима, в частности по линии подготовки допризывной и вневойсковой? Где основные причины, которые обусловливают слабость работы Осоавиахима, как отмечает и приказ народного комиссара от 29 августа № 0159, где народный комиссар ставит определенные задачи Красной армии в деле помощи Осоавиахиму и по взаимодействию с ним?</w:t>
      </w:r>
    </w:p>
    <w:p w14:paraId="5B8B491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Основной причиной, безусловно, является та организационная запущенность, которая была обнаружена Центральным Комитетом в системе Осоавиахима и задачи ликвидации которой с такой остротой поставил Центральный Комитет перед всеми организациями Осоавиахима и перед его руководством.</w:t>
      </w:r>
    </w:p>
    <w:p w14:paraId="09808B5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Центральный Комитет и лично т. Сталин подчеркнули, что основным условием движения вперед Осоавиахима и всей его практической деятельности является перевод Осоавиахима на рельсы большевистской организованности. Центральный Комитет и правительство в своем постановлении потребовали превращения Осоавиахима из расплывчатой, формальной, разбухшей организации в организацию сколоченную, крепкую, с активным членством, которая бы даже при меньшем количестве членов, чем сейчас, сумела бы в вопросах обороны страны повести за собой значительные массы населения. Но в числе прочих причин, которые мешают поднять на необходимую высоту всю практическую деятельность не только допризывной, но и вневойсковой подготовки, нужно считать военнотехническую, методическую и общекультурную отсталость тех кадров, которыми пользуется в своей работе Осоавиииахим. Правда, мы получили за два последних года значительное количество командных кадров, принесших нам опыт Рабоче-крестьянской Красной армии. Но одни эти кадры, пришедшие из Рабоче-крестьянской Красной армии, не в силах решить задачу переподготовки и переквалификации всех наших кадров. Мы не можем сейчас, даже после того как, готовясь к новому учебному году, мы развернули небывалую в Осоавиахиме усиленную работу по подготовке и переподготовке кадров, пропустив все наши кадры через ряд общевойсковых и специальных сборов, мы не можем сейчас сказать, что даже в новом учебном году, хотя бы в основном, наши кадры будут уже на высоте тех высоких требований, которые обязана предъявлять и предъявляет к ним Рабоче-крестьянская Красная армия. Надо прямо сказать, что без прямой и конкретной помощи, в частности в этом вопросе, со стороны Рабоче-крестьянской Красной армии, Осоавиахим с той быстротой, какую от нас требует вся обстановка и решение партии, двинуться вперед не сумеет.</w:t>
      </w:r>
    </w:p>
    <w:p w14:paraId="236D7B9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Народный комиссар в приказе от 29 августа четко сформулировал обязанности командующих округами и войсковыми соединениями по отношению к Осоавиахиму. В этом приказе развернута конкретная и ясная программа действий частей Красной армии и взаимодействия их с Осоавиахимом в его практической деятельности. Гвоздь вопроса сейчас заключается не в том, чтобы повторять задачи, поставленные народным комиссаром, и не в том, чтобы добиться формального и казенного, как прежде, — я цитирую определение Центрального Комитета и правительства, — выполнения указаний народного комиссара по Осоавиахиму, а выполнения по существу, боевого выполнения этих указаний. Есть ли уже признаки, что эти указания народного комиссара с недостаточной решительностью проводятся в жизнь?</w:t>
      </w:r>
    </w:p>
    <w:p w14:paraId="3A2B2F8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Недостаточной?</w:t>
      </w:r>
    </w:p>
    <w:p w14:paraId="25CB994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Эйдеман.</w:t>
      </w:r>
      <w:r w:rsidRPr="00E14102">
        <w:rPr>
          <w:color w:val="000000" w:themeColor="text1"/>
          <w:sz w:val="16"/>
          <w:szCs w:val="16"/>
        </w:rPr>
        <w:t xml:space="preserve"> Да, недостаточной. Я спрашиваю, есть ли уже признаки того, что приказ народного комиссара, который ставит совершенно четкие задачи, с достаточной решительностью, ликвидирующей казенный и формальный подход к Осоавиахиму, проводится в жизнь? Формально как будто дело обстоит благополучно. Во всех округах изданы приказы в развитие этого приказа народного комиссара. Казалось бы, если хоть в одном округе этот приказ встретил трудности, а приказ требует до 1 ноября закончить приписку всех практических организаций Осоавиахима — его учебных пунктов, школ, аэроклубов, к соответствующим войсковым подразделениям, если выявилось что-нибудь, что срывало этот срок, — округа должны были донести о невыполнении приказа в этой части. Мне известно, что народный комиссар таких донесений не получил.</w:t>
      </w:r>
    </w:p>
    <w:p w14:paraId="0EC2F71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Голоса.</w:t>
      </w:r>
      <w:r w:rsidRPr="00E14102">
        <w:rPr>
          <w:color w:val="000000" w:themeColor="text1"/>
          <w:sz w:val="16"/>
          <w:szCs w:val="16"/>
        </w:rPr>
        <w:t xml:space="preserve"> Это неверно.</w:t>
      </w:r>
    </w:p>
    <w:p w14:paraId="688E8BE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Эйдеман. Я</w:t>
      </w:r>
      <w:r w:rsidRPr="00E14102">
        <w:rPr>
          <w:color w:val="000000" w:themeColor="text1"/>
          <w:sz w:val="16"/>
          <w:szCs w:val="16"/>
        </w:rPr>
        <w:t xml:space="preserve"> не говорю о тех, которые закончили. Народный комиссар в ближайшее время получит полную сводку о том, что этот приказ осуществляется. Но я приведу пример. Пусть меня извинит мой приятель т. Каширин. Тов. Каширин формально свой приказ издал еще 20 октября, предписав всем организациям точные сроки и поставив конкретные задачи. Когда потом т. Каширин толкнулся в свой штаб и проверил, как доведен этот приказ до исполнения, потому что снизу заговорили, что нет указаний по приказу народного комиссара, оказалось, что у него приказ пролежал в типографии до 15 ноября. Таким образом, все сроки, установленные народным </w:t>
      </w:r>
      <w:r w:rsidRPr="00E14102">
        <w:rPr>
          <w:color w:val="000000" w:themeColor="text1"/>
          <w:sz w:val="16"/>
          <w:szCs w:val="16"/>
        </w:rPr>
        <w:lastRenderedPageBreak/>
        <w:t>комиссаром, нарушены и навряд ли даже сейчас приказ осуществлен в жизни. Я не припомню, как у тебя, Павел Ефимович</w:t>
      </w:r>
      <w:hyperlink r:id="rId277" w:anchor="_ftn5" w:history="1">
        <w:r w:rsidRPr="00E14102">
          <w:rPr>
            <w:rStyle w:val="a4"/>
            <w:color w:val="000000" w:themeColor="text1"/>
            <w:sz w:val="16"/>
            <w:szCs w:val="16"/>
          </w:rPr>
          <w:t>[5]</w:t>
        </w:r>
      </w:hyperlink>
      <w:r w:rsidRPr="00E14102">
        <w:rPr>
          <w:color w:val="000000" w:themeColor="text1"/>
          <w:sz w:val="16"/>
          <w:szCs w:val="16"/>
        </w:rPr>
        <w:t>, потому что у меня нет материалов, как проведен этот приказ в Приволжском военном округе. Но я говорю о Северо-Кавказском военном округе. Что же произошло? Казалось бы, что Северо-Кавказский военный округ должен был донести народному комиссару: ваш приказ мы выполнить в срок не сумеем. Эти примеры говорят о том, что еще не создана вся обстановка для того, чтобы преодолеть то формальное, казенное отношение к Осоавиахиму как к делу второстепенному, малоценному и малонужному для дела обороны страны, которые имеется даже в армии, что не соответствует указаниям Центрального Комитета и той оценке роли Осоавиахима в обороне страны, какую дает Центральный Комитет. Мы не можем сказать, товарищ народный комиссар, что к нам нет никакого внимания. Время от времени нас упрекают. Время от времени критикуют. Это неплохо. Нас можно и нужно еще критиковать. Не может такая большая организация, как Осоавиахим, разбросанная по Советскому Союзу, с ее огромными недостатками развиваться и двигаться вперед без крепкой критики. Но дальше этого, к сожалению, несмотря на указания народного комиссара (и я в этом виновен), дальше этого эта помощь во многих случаях не шла.</w:t>
      </w:r>
    </w:p>
    <w:p w14:paraId="3F9995C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чем сейчас, если говорить о всей сумме тех указаний, которые дает народный комиссар, должна в первую очередь сказаться помощь Рабоче-крестьянской Красной армии Осоавиахиму? Я отвечаю: основное внимание сейчас нужно сосредоточить на помощи Осоавиахиму в деле подготовки и инструктажа его кадров, как этого требует и постановление ЦК. Должен честно заявить, что нашими собственными силами с теми кадрами, которые мы получили от армии, мы с этими задачами не справимся. Неправильно, что наши кадры не хотят учиться. Нет, наши люди работают, как звери, но без достаточного эффекта. Наши командиры, наши кадры, командиры запаса работают много, но без помощи армии они не в силах ликвидировать свое отставание. Приказ народного комиссара требует, чтобы ко всем учреждениям, аэроклубам, школам, лагерям были прикреплены ответственные командиры Рабоче-крестьянской Красной армии, которые обязаны осуществлять конкретный инструктаж. Мне думается, что при всей загрузке, которая у нас имеется, раз в шестидневку можно установить день, чтобы 2— 3 часа посвятить делу подготовки кадров Осоавиахима. У нас есть тоже люди, которые ведут и могут вести учебу. Но командир кадра — человек, способный переносить к нам .живой опыт Рабоче-крестьянской Красной армии, поможет нам быстрее и лучше, чем мы это сами можем, подтянуть подготовку наших кадров, ликвидировать наше отставание. Без этой помощи мы будем двигаться вперед слишком медленными, такими темпами, которые не соответствуют поставленным задачам. Но эту помощь от армии по-настоящему мы получим лишь тогда, когда сами руководящие кадры армии поймут, что Осоавиахим — организация серьезная, что она из организации преимущественно пропагандистской и агитационной превратилась уже в организацию сложную, с богатейшей материальной частью. Этого товарищи не знают. Я не привожу цифр, касающихся нашей материальной части, но я могу уверенно сказать, что ни один фронт в Гражданской войне не обладал такой материальной частью, какая есть сейчас у Осоавиахима.</w:t>
      </w:r>
    </w:p>
    <w:p w14:paraId="0214A98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600 самолетов.</w:t>
      </w:r>
    </w:p>
    <w:p w14:paraId="6DB746A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Эйдеман.</w:t>
      </w:r>
      <w:r w:rsidRPr="00E14102">
        <w:rPr>
          <w:color w:val="000000" w:themeColor="text1"/>
          <w:sz w:val="16"/>
          <w:szCs w:val="16"/>
        </w:rPr>
        <w:t xml:space="preserve"> Ты отстал. Я не называю цифр. Могу лишь сказать, что мы бьши бы счастливыми людьми, если бы во время Гражданской войны хотя бы один фронт обладал бы таким вооружением, каким уже сейчас обладает Осоавиахим.</w:t>
      </w:r>
    </w:p>
    <w:p w14:paraId="2B1F370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Через свои 3700 учебных пунктов и 800 лагерей мы пропустили в этом году около миллиона человек допризывников и вневойсковиков. Во всех этих учебных лагерях есть материальная часть до танков включительно. Те 146 аэроклубов, которые у нас имеются, в большинстве своем еще находятся в организационной стадии. Не всегда им армия помогает. Например, вы, Павел Ефимович, забираете у Саратовского аэроклуба аэродром и ангар. Да, твои части забирают.</w:t>
      </w:r>
    </w:p>
    <w:p w14:paraId="678E48A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С согласия начальника.</w:t>
      </w:r>
    </w:p>
    <w:p w14:paraId="588705D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Эйдеман.</w:t>
      </w:r>
      <w:r w:rsidRPr="00E14102">
        <w:rPr>
          <w:color w:val="000000" w:themeColor="text1"/>
          <w:sz w:val="16"/>
          <w:szCs w:val="16"/>
        </w:rPr>
        <w:t xml:space="preserve"> Который кричит благим матом. Наши аэроклубы в своем большинстве находятся в организационном состоянии, но и в этих аэроклубах уже сейчас сосредоточено почти 1000 самолетов. Из этих 1000 самолетов (мы варварски эксплуатируем материальную часть) в действии сейчас находится около 700. Правда, мы еще плохо работаем. Мы налетали в этом году 120 тыс. часов. При этом налете дали большое количество аварий. У нас на одну аварию приходится всего 1800 часов. В чем тут беда, где тут причина? Когда мы стали изучать эти аварии, то оказалось, что основным виновником аварий явился не тот молодой рабочий и колхозник, который без отрыва от производства изучает летное дело, но основным виновником этих аварий является летчик, особенно при внеаэродромных полетах. Работа наших клубов пока еще привязана к аэродромам. Именно потому мы в этом году стали выводить наших летчиков на местные и круговые перелеты. Дальше известный процент аэроклубных летчиков комплектуется из людей, которые ушли из армии, потому что они были с тем или другим дефектом, в первую очередь по линии воздушного хулиганства</w:t>
      </w:r>
    </w:p>
    <w:p w14:paraId="4EF7DFA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Откуда брать деньги для оплаты летчиков?</w:t>
      </w:r>
    </w:p>
    <w:p w14:paraId="164BB54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Эйдеман.</w:t>
      </w:r>
      <w:r w:rsidRPr="00E14102">
        <w:rPr>
          <w:color w:val="000000" w:themeColor="text1"/>
          <w:sz w:val="16"/>
          <w:szCs w:val="16"/>
        </w:rPr>
        <w:t xml:space="preserve"> Теперь вопрос о деньгах в известной мере решен. Правительство постановило за каждую отработку летчика платить через Осоавиахим 5000 руб. Эта сумма, которая будет покрыта.</w:t>
      </w:r>
    </w:p>
    <w:p w14:paraId="717633B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Кем?</w:t>
      </w:r>
    </w:p>
    <w:p w14:paraId="5EA9F16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Эйдеман.</w:t>
      </w:r>
      <w:r w:rsidRPr="00E14102">
        <w:rPr>
          <w:color w:val="000000" w:themeColor="text1"/>
          <w:sz w:val="16"/>
          <w:szCs w:val="16"/>
        </w:rPr>
        <w:t xml:space="preserve"> Союзное правительство отпустило средства, которые будут выдаваться через Центральный совет Осоавиахима.</w:t>
      </w:r>
    </w:p>
    <w:p w14:paraId="389EF00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За счет ведомственных смет.</w:t>
      </w:r>
    </w:p>
    <w:p w14:paraId="446B472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Эйдеман.</w:t>
      </w:r>
      <w:r w:rsidRPr="00E14102">
        <w:rPr>
          <w:color w:val="000000" w:themeColor="text1"/>
          <w:sz w:val="16"/>
          <w:szCs w:val="16"/>
        </w:rPr>
        <w:t xml:space="preserve"> Неизвестно, я ссылаюсь на закон Союзного правительства.</w:t>
      </w:r>
    </w:p>
    <w:p w14:paraId="6295CB1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Основное количество аварий падает на те кадры, которые являются менее квалифицированными. Поэтому мы считаем необходимым скорейшее осуществление указания о прикреплении определенных частей военно-воздушного флота к аэроклубам</w:t>
      </w:r>
    </w:p>
    <w:p w14:paraId="279CC0A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С </w:t>
      </w:r>
      <w:r w:rsidRPr="00E14102">
        <w:rPr>
          <w:rStyle w:val="a6"/>
          <w:i w:val="0"/>
          <w:color w:val="000000" w:themeColor="text1"/>
          <w:sz w:val="16"/>
          <w:szCs w:val="16"/>
        </w:rPr>
        <w:t>места.</w:t>
      </w:r>
      <w:r w:rsidRPr="00E14102">
        <w:rPr>
          <w:color w:val="000000" w:themeColor="text1"/>
          <w:sz w:val="16"/>
          <w:szCs w:val="16"/>
        </w:rPr>
        <w:t xml:space="preserve"> Скажите, сколько летчиков вы подготовили?</w:t>
      </w:r>
    </w:p>
    <w:p w14:paraId="43972F8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Эйдеман. Я</w:t>
      </w:r>
      <w:r w:rsidRPr="00E14102">
        <w:rPr>
          <w:color w:val="000000" w:themeColor="text1"/>
          <w:sz w:val="16"/>
          <w:szCs w:val="16"/>
        </w:rPr>
        <w:t xml:space="preserve"> не хотел бы сейчас объявлять цифры, пока мы не выпустили этих летчиков, но во всяком случае могу довести до вашего сведения, что обучается около 4,5 тыс. чел. И могу сказать еще, что первые итоги таковы, что, например, в городе Луганске, пока все сдают хорошо, то же самое в Бежецке — сдача идет прекрасно. Но там плохо то, что несколько раньше их выпускают. Молодежь хочет учиться. Мы имеем огромнейшую тягу к учебе, и эта тяга сказывается прежде всего в парашютном спорте. Мы уже подвели первые итоги.</w:t>
      </w:r>
    </w:p>
    <w:p w14:paraId="1A06AFE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Могу подтвердить, что целый ряд десантных бригад я комплектую за счет его людей.</w:t>
      </w:r>
    </w:p>
    <w:p w14:paraId="0D97C9D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Эйдеман.</w:t>
      </w:r>
      <w:r w:rsidRPr="00E14102">
        <w:rPr>
          <w:color w:val="000000" w:themeColor="text1"/>
          <w:sz w:val="16"/>
          <w:szCs w:val="16"/>
        </w:rPr>
        <w:t xml:space="preserve"> Мы в авиации очень чувствуем то стремление, изумительное стремление молодежи, в особенности Ленинского комсомола, овладеть воздухом, прыгать с парашютами, парить на планерах. Именно в итоге этой огромной тяги к авиации мы имеем небывалый размер в области парашютного дела. Могу вам сказать, что за последнее время у нас прыгало 20 000 чел., причем из этого количества 2,5 тыс. прыгали пять и больше раз. Это очень большое дело.</w:t>
      </w:r>
    </w:p>
    <w:p w14:paraId="13267C5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Как учитываются парашютисты в военкоматах?</w:t>
      </w:r>
    </w:p>
    <w:p w14:paraId="467DFE6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Эйдеман.</w:t>
      </w:r>
      <w:r w:rsidRPr="00E14102">
        <w:rPr>
          <w:color w:val="000000" w:themeColor="text1"/>
          <w:sz w:val="16"/>
          <w:szCs w:val="16"/>
        </w:rPr>
        <w:t xml:space="preserve"> Молодой человек, который получил звание парашютиста, когда берется на учет, он берется по парашютной категории. Здесь мы встали на путь комплектования соответствующих парашютных частей.</w:t>
      </w:r>
    </w:p>
    <w:p w14:paraId="6A94E67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области парашютного дела катастроф чрезвычайно много. Здесь играет роль и плохое состояние материальной части, и не лютому, что нет за ней должного у нас ухода, но и потому, что от заводов мы получаем парашюты плохого качества. Кроме того, тут сказывается и наша неорганизованность. Например, мы установили, что плохо у нас поставлено дело укладки парашютов, допускается обезличка, прыгающий сам не укладывает и т.д. Мы имеем на 20 000 чел. парашютистов 22 убившихся. Часть из них падает на инструкторские кадры. Правда, инструкторские кадры находились тоже не на высоте. Два инструктора, не из лучших, умудрились убиться, прыгая с вышки. Это так было: раз спустился на руках (он агитировал за парашют), второй раз спустился на руках с вышки, а на третий раз руки ослабли, не выдержали — убился насмерть.</w:t>
      </w:r>
    </w:p>
    <w:p w14:paraId="6D596C0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Можно бесспорно сказать, что парашютный спорт увлекает нашу молодежь, а поэтому было необходимо провести ряд серьезнейших мероприятий, организующих его. Совместно с ЦК ВЛКСМ мы организовали специальный учебный сбор, где всех инструкторов парашютного спорта мы проверяли и переобучали. Многих лишили звания. Нам удастся обеспечить разворот парашютного спорта. Мы имеем все возможности приблизить парашют и к колхозам, и к фабрикам при помощи парашютных вышек. Их уже сотни. Вышка — это интересный аттракцион, забава и учеба. Вокруг них мы создаем кружки I ступени. На этих кружках люди овладевают учебным парашютом, изучают его, учатся, как его надо укладывать, учатся прыгать с вышки. Этим путем мы отбираем людей для кружков II ступени, где прыжки ведутся уже с самолета. Если человек не умеет себя вести на вышке, его отстраняют. Мы убедились, например, что некоторые французы, которых мы обучали, плохо ведут себя на вышке, а раз они не могут прыгать с вышки, то и с самолета не смогут. Произвели мы на этой основе отбор.</w:t>
      </w:r>
    </w:p>
    <w:p w14:paraId="1A91D60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Чему они и были рады,</w:t>
      </w:r>
    </w:p>
    <w:p w14:paraId="67CCBF0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Эйдеман.</w:t>
      </w:r>
      <w:r w:rsidRPr="00E14102">
        <w:rPr>
          <w:color w:val="000000" w:themeColor="text1"/>
          <w:sz w:val="16"/>
          <w:szCs w:val="16"/>
        </w:rPr>
        <w:t xml:space="preserve"> Тов. народный комиссар, конечно, они были не очень озадачены этим. Это дает нам полную возможность сейчас дать такой огромный разворот парашютного спорта I ступени, изучение парашютиста, начиная с прыжков с вышки. На этой базе мы сможем получить более высокие формы, но и здесь мы чувствуем острый недостаток в соответствующим образом подготовленных кадрах. Из лучших прыгунов, прыгнувших пять и больше раз с самолета, мы создаем специальные отряды. Обучаем их и тактике десантной борьбы. Но тут, как и Красная армия, мы ощущаем недостаток в учебных пособиях. Надо скорее создать инструкцию по тактике десантных отрядов. Ведь это тактика особая. Люди, которые будут действовать в тылу противника «регулярными» методами, успеха не обеспечат. Как это ни парадоксально, но выходит так, что на базе совершенной техники, какая имеется в авиации, которая дает широкую возможность разворота десантных операций, создаются новые условия для широкого развития партизанской борьбы. Если же десантные отряды будут действовать по регулярной тактике, они особого эффекта не дадут</w:t>
      </w:r>
    </w:p>
    <w:p w14:paraId="34CA673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С </w:t>
      </w:r>
      <w:r w:rsidRPr="00E14102">
        <w:rPr>
          <w:rStyle w:val="a6"/>
          <w:i w:val="0"/>
          <w:color w:val="000000" w:themeColor="text1"/>
          <w:sz w:val="16"/>
          <w:szCs w:val="16"/>
        </w:rPr>
        <w:t>места.</w:t>
      </w:r>
      <w:r w:rsidRPr="00E14102">
        <w:rPr>
          <w:color w:val="000000" w:themeColor="text1"/>
          <w:sz w:val="16"/>
          <w:szCs w:val="16"/>
        </w:rPr>
        <w:t xml:space="preserve"> Надо вспомнить опыт Махно</w:t>
      </w:r>
      <w:r w:rsidRPr="00E14102">
        <w:rPr>
          <w:color w:val="000000" w:themeColor="text1"/>
          <w:sz w:val="16"/>
          <w:szCs w:val="16"/>
          <w:vertAlign w:val="superscript"/>
        </w:rPr>
        <w:t>59</w:t>
      </w:r>
      <w:r w:rsidRPr="00E14102">
        <w:rPr>
          <w:color w:val="000000" w:themeColor="text1"/>
          <w:sz w:val="16"/>
          <w:szCs w:val="16"/>
        </w:rPr>
        <w:t>.</w:t>
      </w:r>
    </w:p>
    <w:p w14:paraId="53E738E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Эйдеман.</w:t>
      </w:r>
      <w:r w:rsidRPr="00E14102">
        <w:rPr>
          <w:color w:val="000000" w:themeColor="text1"/>
          <w:sz w:val="16"/>
          <w:szCs w:val="16"/>
        </w:rPr>
        <w:t xml:space="preserve"> Да, может быть, кое-что из опыта Махно с поправками на новую технику надо вспомнить. Все мы учились, да и вы, Иван Федорович</w:t>
      </w:r>
      <w:hyperlink r:id="rId278" w:anchor="_ftn6" w:history="1">
        <w:r w:rsidRPr="00E14102">
          <w:rPr>
            <w:rStyle w:val="a4"/>
            <w:color w:val="000000" w:themeColor="text1"/>
            <w:sz w:val="16"/>
            <w:szCs w:val="16"/>
          </w:rPr>
          <w:t>[6]</w:t>
        </w:r>
      </w:hyperlink>
      <w:r w:rsidRPr="00E14102">
        <w:rPr>
          <w:color w:val="000000" w:themeColor="text1"/>
          <w:sz w:val="16"/>
          <w:szCs w:val="16"/>
        </w:rPr>
        <w:t>, учились партизанской тактике у Махно.</w:t>
      </w:r>
    </w:p>
    <w:p w14:paraId="687E89B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народный комиссар, я не коснулся противовоздушной обороны, где особенно острые задачи стоят перед нами, работниками</w:t>
      </w:r>
    </w:p>
    <w:p w14:paraId="5975701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Осоавиахима. Мы сейчас только подходим к тому, чтобы, найдя новые формы — в том числе сдача норм ПВХО, — поднять действительную самодеятельность и активность масс в этом направлении. К чему я привожу эти факты? Не для того чтобы бахвалиться, не для того чтобы в какой-либо степени пытаться вселить в Военный совет представление о том, что у нас есть какое-нибудь право успокоиться, что у нас дело обстоит благополучно. Я уже сказал о чрезвычайно большом отставании наших кадров и о том, что в целом наша работа находится на неудовлетворительном уровне.</w:t>
      </w:r>
    </w:p>
    <w:p w14:paraId="0959266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приводил эти факты и цифры лишь для того, чтобы лишний раз показать, что представляет Осоавиахим и его работа. Мы должны добить остатки формально-казенного отношения к Осоавиахиму в нашей военной среде, мы должны изменить в свое время установившееся к Осоавиахиму отношение, как к второстепенному, неважному участку. Мы должны изменить и подход к кадрам, работающим в Осоавиа-химе, как кадрам второстепенным, отработанному пару. Даже здесь, на авторитетном заседании сидя, я уловил ухом разговор двух уважаемых товарищей, членов Военного совета, и записал этот разговор. Я получил недавно т. Уварова</w:t>
      </w:r>
      <w:hyperlink r:id="rId279" w:anchor="_ftn7" w:history="1">
        <w:r w:rsidRPr="00E14102">
          <w:rPr>
            <w:rStyle w:val="a4"/>
            <w:color w:val="000000" w:themeColor="text1"/>
            <w:sz w:val="16"/>
            <w:szCs w:val="16"/>
          </w:rPr>
          <w:t>[7]</w:t>
        </w:r>
      </w:hyperlink>
      <w:r w:rsidRPr="00E14102">
        <w:rPr>
          <w:color w:val="000000" w:themeColor="text1"/>
          <w:sz w:val="16"/>
          <w:szCs w:val="16"/>
        </w:rPr>
        <w:t>. Он выступал на прошлом Совете не очень удачно, за что и получил соответствующее указание со стороны наркома, но мы знаем т. Уварова как хорошего командира РККА. И вот я считал, что т. Уваров дан для укрепления Осоавиахима.</w:t>
      </w:r>
    </w:p>
    <w:p w14:paraId="3C23ECC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Первый член спрашивает: где т. Уваров?</w:t>
      </w:r>
    </w:p>
    <w:p w14:paraId="4940601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отвечает: у т. Эйдемана.</w:t>
      </w:r>
    </w:p>
    <w:p w14:paraId="45B2661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Первый член спрашивает: что же с ним стряслось?</w:t>
      </w:r>
    </w:p>
    <w:p w14:paraId="680321C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член спрашивает: не справился с делом.</w:t>
      </w:r>
    </w:p>
    <w:p w14:paraId="5B33833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Уваров был выдвинут на работу не потому, что он не справился в Московском округе, а по соображениям — как хороший командир он вовсе не является отработанным паром, а представляет собой одного из ценных и заслуженных командиров РККА.</w:t>
      </w:r>
    </w:p>
    <w:p w14:paraId="623DD07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Совершенно правильно. И ЦК обязал нас с вами укомплектовать Осоавиахим лучшими людьми и работниками для того, чтобы они были надежной опорой, если хотите, даже базой для РККА и теперь — в мирное время и на время войны. Эта организация очень серьезная и важная. Поэтому такого рода разговоры несерьезны и недостойны тех людей, которые называются членами Военного совета.</w:t>
      </w:r>
    </w:p>
    <w:p w14:paraId="787325E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Эйдеман.</w:t>
      </w:r>
      <w:r w:rsidRPr="00E14102">
        <w:rPr>
          <w:color w:val="000000" w:themeColor="text1"/>
          <w:sz w:val="16"/>
          <w:szCs w:val="16"/>
        </w:rPr>
        <w:t xml:space="preserve"> Разговор был безобидный, и я привожу для того, чтобы характеризовать настроение, которое существует.</w:t>
      </w:r>
    </w:p>
    <w:p w14:paraId="748192A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Тов. Уваров — хороший командир.</w:t>
      </w:r>
    </w:p>
    <w:p w14:paraId="29E460E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Эйдеман.</w:t>
      </w:r>
      <w:r w:rsidRPr="00E14102">
        <w:rPr>
          <w:color w:val="000000" w:themeColor="text1"/>
          <w:sz w:val="16"/>
          <w:szCs w:val="16"/>
        </w:rPr>
        <w:t xml:space="preserve"> Тов. народный комиссар, я не имею возможности и не буду говорить о начсоставе запаса. Это очень большая и серьезная проблема, но мне кажется, в этом я крепко убедился, работая в Осоавиахиме. Что есть один тихий и запущенный участок РККА — наши военкоматы.</w:t>
      </w:r>
    </w:p>
    <w:p w14:paraId="396602A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Совершенно верно.</w:t>
      </w:r>
    </w:p>
    <w:p w14:paraId="1980121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Эйдеман.</w:t>
      </w:r>
      <w:r w:rsidRPr="00E14102">
        <w:rPr>
          <w:color w:val="000000" w:themeColor="text1"/>
          <w:sz w:val="16"/>
          <w:szCs w:val="16"/>
        </w:rPr>
        <w:t xml:space="preserve"> Я пользуюсь лучшими кадрами начсостава запаса. Но все же каждый год отсеиваю 25% и не потому, что они просто люди отсталые, так как с отсталыми мы обязаны работать, а потому, что этим людям нельзя доверять работы в мирное время в Осоавиахиме, а в военное время — доверять работы в Красной армии, И второе — если мы хотим, а без этого командиры запаса не будут расти, чтобы по-настоящему осуществлять указания и постановления о командирской учебе на местах, то на основании опыта Осоавиахима, когда охватили 52 тыс. чел., но не справились, надо установить для хорошего и отлично работающего командира какие-нибудь льготы. Почему нельзя ввести для командиров запаса, которые хорошо учатся, льготы, скажем, на квартиру или процентов на 10—15 к жалованью — за квалификацию. Такие командиры будут лучше работать и на своем предприятии, потому что они растущие люди запаса. Надо поощрять людей, которые без отрыва от производства будут по-настоящему изучать свое дело, иначе с отставанием командира запаса мы не справимся.</w:t>
      </w:r>
    </w:p>
    <w:p w14:paraId="6141CA6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71-74.</w:t>
      </w:r>
    </w:p>
    <w:p w14:paraId="33FE9C0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Мезис.</w:t>
      </w:r>
      <w:r w:rsidRPr="00E14102">
        <w:rPr>
          <w:color w:val="000000" w:themeColor="text1"/>
          <w:sz w:val="16"/>
          <w:szCs w:val="16"/>
        </w:rPr>
        <w:t xml:space="preserve"> В оценке заместителя народного комиссара Приволжский округ — округ отстающий. Год тому назад, в итоге опытных учений, которые были проведены при участии работников Генерального штаба, округ также получил достаточно суровую оценку о подготовке и проведении учения.</w:t>
      </w:r>
    </w:p>
    <w:p w14:paraId="49B54EE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Несомненно, что обстановка в округе вполне благоприятна для того, чтобы все его части работали на хорошо, на отлично. Командный и политический состав округа работает с напряжением, с раннего утра до позднего вечера, работает с энтузиазмом. Это подтверждается достижениями боевой политической подготовки: артиллерийские, специальные части, большинство дивизий, пехотные, бронетанковые, летные школы за истекший год имеют неоспоримые крупные достижения. Но наряду с этим мы имеем такое совершенно позорное явление в округе, как отставание целых 2 соединений по основным, ведущим областям боевой подготовки: по огневой, тактической подготовке и по подготовке штабов. Следовательно, приказ наркома по этим соединениям не выполнен.</w:t>
      </w:r>
    </w:p>
    <w:p w14:paraId="4BA0C5E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Якир и т. Тухачевский совершенно правильно поставили вопрос, что нельзя терпеть в РККА отстающие части, соединения. Есть все данные, чтобы части ПриВО заняли хорошее место среди передовых частей РККА.</w:t>
      </w:r>
    </w:p>
    <w:p w14:paraId="71D48AB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 это сделать? На это дают исчерпывающий ответ выступления т. Тухачевского, Якира. Нужно хорошо учить в первую очередь командный состав.</w:t>
      </w:r>
    </w:p>
    <w:p w14:paraId="01DAE5A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Оценка, данная Приволжскому округу заместителем народного комиссара как округу отстающему, ставит перед нами соответствующую задачу и дает право просить Генеральный штаб оказать нам необходимую помощь, чтобы вытянуть Приволжский округ из округов отстающих. Повторяю, условия обстановки благоприятные для того, чтобы округ шел вместе с округами и частями, которые идут во главе нашей Рабоче-крестьянской Красной армии, об этом свидетельствуют положительные показатели в боевой и политической подготовке в большинстве частей ПриВО.</w:t>
      </w:r>
    </w:p>
    <w:p w14:paraId="45A9EB1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Корк.</w:t>
      </w:r>
      <w:r w:rsidRPr="00E14102">
        <w:rPr>
          <w:color w:val="000000" w:themeColor="text1"/>
          <w:sz w:val="16"/>
          <w:szCs w:val="16"/>
        </w:rPr>
        <w:t xml:space="preserve"> Не всегда Приволжский округ был отсталым.</w:t>
      </w:r>
    </w:p>
    <w:p w14:paraId="22AD025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Мезис.</w:t>
      </w:r>
      <w:r w:rsidRPr="00E14102">
        <w:rPr>
          <w:color w:val="000000" w:themeColor="text1"/>
          <w:sz w:val="16"/>
          <w:szCs w:val="16"/>
        </w:rPr>
        <w:t xml:space="preserve"> Правильно, я говорю об отставании Приволжского округа за последние два года. Между прочим, т. Федько в итоговом докладе за 1933 г. писал, что приказ народного комиссара это констатирует в отношении штаба округа и всего 12-го корпуса и оценку зам. наркома на данном совещании. Поэтому считаю правильным постановку перед Генеральным штабом вопроса о необходимости оказать помощь по правильной организации подготовки начсостава и, следовательно, по ликвидации отставания округа.</w:t>
      </w:r>
    </w:p>
    <w:p w14:paraId="623F8F6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Хочу два слова сказать о нашем переменном составе. Переменный состав, который приписывается к частям нашего округа, в большинстве своем из остатков призывного контингента. Эти остатки по физическому своему состоянию и культурному уровню ниже, чем тот состав, который уходит по призыву в кадры. Следовательно, в тот короткий период новобранческих и общих сборов, в который мы должны дать эффект подготовки, в этот период нам дать эффект очень трудно. Особенно трудно с этим переменным составом за такие короткие сроки овладеть сложной техникой. Считаю своевременной постановку вопроса т. Горбачевым о пересмотре терформирований.</w:t>
      </w:r>
    </w:p>
    <w:p w14:paraId="3B6E684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Пару слов о политической подготовке, о политико-моральном состоянии. Оценка, которая дана т. Гамарником, совершенно правильная и относится целиком к частям Приволжского военного округа, но я считал бы необходимым подчеркнуть, что в свете тех требований, которые предъявляются клубам, ДКА необходимо отпускать больше средств на удовлетворение культурных нужд начсостава.</w:t>
      </w:r>
    </w:p>
    <w:p w14:paraId="15A2FBD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Два слова о начсоставе запаса и о подготовке запаса. Приволжский военный округ имеет два учебных пункта — Ульяновский и Саратовский. Оба эти учебные центра, пропускающие через себя еже-месячно определенную группу командного состава запаса, влачат достаточно жалкое существование именно потому, что им средства отпускаются совершенно недостаточно. С учебными пособиями дело обстоит неудовлетворительно. Поэтому на этот участок нужно обратить внимание. Не говоря уже об учете, который поставлен недостаточно правильно. В этом году по приказу народного комиссара мы отбирали начальствующий состав запаса. Мы пропустили сотни, тысячи для того, чтобы отобрать десятки, остальных пришлось отсеять по разным причинам. Большая засоренность среди лиц среднего командного состава. Вопрос о переучете начальствующего состава запаса поставлен своевременно.</w:t>
      </w:r>
    </w:p>
    <w:p w14:paraId="28A3C8E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Следующий вопрос, на котором я хотел остановиться, касается Оренбургской летной школы. Эта школа в бытовом отношении находится в тяжелых условиях и требует определенного внимания со стороны УВС и также со стороны народного комиссара. Эта школа имеет такую нагрузку, что она с большими трудностями справляется со своими задачами. Бытовые условия там тяжелые. В частности, дополнительный набор в школу летчиков-наблюдателей живет в тяжелых условиях, и, конечно, нормальную учебу в таких условиях вести трудно. Аэродромы находятся в отдалении, условия работы на аэродроме тяжелые. Эта школа дает больше антиморальных явлений, чем другие школы. Школа имела четыре катастрофы и большое количество аварий. Понятно, тяжелые бытовые условия не являются прямой причиной аварий и катастроф, но все же являются одной из причин антиморальных явлений в школе. Следовало бы эту школу посмотреть для того, чтобы исправить положение. В частности, следовало бы школу освободить от подготовки летчиков-наблюдателей.</w:t>
      </w:r>
    </w:p>
    <w:p w14:paraId="2E5F64C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 химическом полигоне. На территории Приволжского военного округа находится Центральный химический полигон. Учреждение весьма ответственное и выполняющее исключительно ответственную боевую работу по заданиям Генерального штаба.</w:t>
      </w:r>
    </w:p>
    <w:p w14:paraId="1CA9900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Этому учреждению и вы должны помогать.</w:t>
      </w:r>
    </w:p>
    <w:p w14:paraId="3007AB7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Мезис.</w:t>
      </w:r>
      <w:r w:rsidRPr="00E14102">
        <w:rPr>
          <w:color w:val="000000" w:themeColor="text1"/>
          <w:sz w:val="16"/>
          <w:szCs w:val="16"/>
        </w:rPr>
        <w:t xml:space="preserve"> Мы ему помогаем в тех случаях, когда мы имеем возможность это сделать, но у нас силы и средства чрезвычайно ограничены и лимитированы соответствующими управлениями Наркомата обороны. Поэтому помогать не так легко. Я был на химическом сборе вместе с высшим начсоставом Приволжского военного округа. Сбор приводился под руководством т. Фишмана. Весь начальствующий состав в общем остался доволен этими сборами, но остался недоволен только одним. Хотели показать действия средств химии при разных боевых условиях, но этих условий не создали. Полигон совершенно не оборудован, и, насколько мне известно, на предстоящий год средств на оборудование полигона не предусмотрено. А я считаю, что химический полигон заслуживает большего внимания. Туда заложены большие средства. Нужно, чтобы химический полигон получил бы необходимое оборудование. О состоянии и охране этого полигона. Мы имеем здесь исключительно ценные предметы. В то же время полигон представляет собой исключительную опасность. Он находится в лесу. Средства охраны и количество людей, которые его охраняют, совершенно недостаточны. Я считал бы необходимым, чтобы в штаты химического полигона был бы включен человек, который мог бы руководить с общевойсковой точки зрения. На полигоне есть бронетанковый взвод, есть артиллерийский, есть хим-рота, есть авиация, а общевойскового командира, который бы руководил испытаниями, нет.</w:t>
      </w:r>
    </w:p>
    <w:p w14:paraId="314AF52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Голос с места.</w:t>
      </w:r>
      <w:r w:rsidRPr="00E14102">
        <w:rPr>
          <w:color w:val="000000" w:themeColor="text1"/>
          <w:sz w:val="16"/>
          <w:szCs w:val="16"/>
        </w:rPr>
        <w:t xml:space="preserve"> А начальник полигона что делает?</w:t>
      </w:r>
    </w:p>
    <w:p w14:paraId="23AB1CE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Мезис.</w:t>
      </w:r>
      <w:r w:rsidRPr="00E14102">
        <w:rPr>
          <w:color w:val="000000" w:themeColor="text1"/>
          <w:sz w:val="16"/>
          <w:szCs w:val="16"/>
        </w:rPr>
        <w:t xml:space="preserve"> Начальник полигона — специалист-химик.</w:t>
      </w:r>
    </w:p>
    <w:p w14:paraId="7681886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74-75.</w:t>
      </w:r>
    </w:p>
    <w:p w14:paraId="625C1072" w14:textId="77777777" w:rsidR="00970104" w:rsidRPr="00E14102" w:rsidRDefault="00E14102" w:rsidP="00E14102">
      <w:pPr>
        <w:pStyle w:val="rtejustify"/>
        <w:spacing w:before="0" w:after="0"/>
        <w:rPr>
          <w:color w:val="000000" w:themeColor="text1"/>
          <w:sz w:val="16"/>
          <w:szCs w:val="16"/>
        </w:rPr>
      </w:pPr>
      <w:hyperlink r:id="rId280" w:anchor="_ftnref1" w:history="1">
        <w:r w:rsidR="00970104" w:rsidRPr="00E14102">
          <w:rPr>
            <w:rStyle w:val="a4"/>
            <w:color w:val="000000" w:themeColor="text1"/>
            <w:sz w:val="16"/>
            <w:szCs w:val="16"/>
          </w:rPr>
          <w:t>[1]</w:t>
        </w:r>
      </w:hyperlink>
      <w:r w:rsidR="00970104" w:rsidRPr="00E14102">
        <w:rPr>
          <w:color w:val="000000" w:themeColor="text1"/>
          <w:sz w:val="16"/>
          <w:szCs w:val="16"/>
        </w:rPr>
        <w:t xml:space="preserve"> Рации конного разъезда.</w:t>
      </w:r>
    </w:p>
    <w:p w14:paraId="00EFC4A7" w14:textId="77777777" w:rsidR="00970104" w:rsidRPr="00E14102" w:rsidRDefault="00E14102" w:rsidP="00E14102">
      <w:pPr>
        <w:pStyle w:val="rtejustify"/>
        <w:spacing w:before="0" w:after="0"/>
        <w:rPr>
          <w:color w:val="000000" w:themeColor="text1"/>
          <w:sz w:val="16"/>
          <w:szCs w:val="16"/>
        </w:rPr>
      </w:pPr>
      <w:hyperlink r:id="rId281" w:anchor="_ftnref2" w:history="1">
        <w:r w:rsidR="00970104" w:rsidRPr="00E14102">
          <w:rPr>
            <w:rStyle w:val="a4"/>
            <w:color w:val="000000" w:themeColor="text1"/>
            <w:sz w:val="16"/>
            <w:szCs w:val="16"/>
          </w:rPr>
          <w:t>[2]</w:t>
        </w:r>
      </w:hyperlink>
      <w:r w:rsidR="00970104" w:rsidRPr="00E14102">
        <w:rPr>
          <w:color w:val="000000" w:themeColor="text1"/>
          <w:sz w:val="16"/>
          <w:szCs w:val="16"/>
        </w:rPr>
        <w:t xml:space="preserve"> Приказы РВС СССР № 081 от 16 октября 1931 г. о бережном отношении к конскому составу, № 0110 от 22 сентября 1933 г. о поддержании должного порядка в содержании конского состава в период прибытия молодых красноармейцев, № 88 от 4 июня 1934 г. о выбраковке лошадей в частях РККА, приказ НКО СССР № 119 от 31 июля 1935 г. о невыполнении приказа № 88 о сокращении ежегодной убыли лошадей.</w:t>
      </w:r>
    </w:p>
    <w:p w14:paraId="0957E8FA" w14:textId="77777777" w:rsidR="00970104" w:rsidRPr="00E14102" w:rsidRDefault="00E14102" w:rsidP="00E14102">
      <w:pPr>
        <w:pStyle w:val="rtejustify"/>
        <w:spacing w:before="0" w:after="0"/>
        <w:rPr>
          <w:color w:val="000000" w:themeColor="text1"/>
          <w:sz w:val="16"/>
          <w:szCs w:val="16"/>
        </w:rPr>
      </w:pPr>
      <w:hyperlink r:id="rId282" w:anchor="_ftnref3" w:history="1">
        <w:r w:rsidR="00970104" w:rsidRPr="00E14102">
          <w:rPr>
            <w:rStyle w:val="a4"/>
            <w:color w:val="000000" w:themeColor="text1"/>
            <w:sz w:val="16"/>
            <w:szCs w:val="16"/>
          </w:rPr>
          <w:t>[3]</w:t>
        </w:r>
      </w:hyperlink>
      <w:r w:rsidR="00970104" w:rsidRPr="00E14102">
        <w:rPr>
          <w:color w:val="000000" w:themeColor="text1"/>
          <w:sz w:val="16"/>
          <w:szCs w:val="16"/>
        </w:rPr>
        <w:t xml:space="preserve"> Дивизионной.</w:t>
      </w:r>
    </w:p>
    <w:p w14:paraId="0C917C0B" w14:textId="77777777" w:rsidR="00970104" w:rsidRPr="00E14102" w:rsidRDefault="00E14102" w:rsidP="00E14102">
      <w:pPr>
        <w:pStyle w:val="rtejustify"/>
        <w:spacing w:before="0" w:after="0"/>
        <w:rPr>
          <w:color w:val="000000" w:themeColor="text1"/>
          <w:sz w:val="16"/>
          <w:szCs w:val="16"/>
        </w:rPr>
      </w:pPr>
      <w:hyperlink r:id="rId283" w:anchor="_ftnref4" w:history="1">
        <w:r w:rsidR="00970104" w:rsidRPr="00E14102">
          <w:rPr>
            <w:rStyle w:val="a4"/>
            <w:color w:val="000000" w:themeColor="text1"/>
            <w:sz w:val="16"/>
            <w:szCs w:val="16"/>
          </w:rPr>
          <w:t>[4]</w:t>
        </w:r>
      </w:hyperlink>
      <w:r w:rsidR="00970104" w:rsidRPr="00E14102">
        <w:rPr>
          <w:color w:val="000000" w:themeColor="text1"/>
          <w:sz w:val="16"/>
          <w:szCs w:val="16"/>
        </w:rPr>
        <w:t xml:space="preserve"> Станции.</w:t>
      </w:r>
    </w:p>
    <w:p w14:paraId="445059F8" w14:textId="77777777" w:rsidR="00970104" w:rsidRPr="00E14102" w:rsidRDefault="00E14102" w:rsidP="00E14102">
      <w:pPr>
        <w:pStyle w:val="rtejustify"/>
        <w:spacing w:before="0" w:after="0"/>
        <w:rPr>
          <w:color w:val="000000" w:themeColor="text1"/>
          <w:sz w:val="16"/>
          <w:szCs w:val="16"/>
        </w:rPr>
      </w:pPr>
      <w:hyperlink r:id="rId284" w:anchor="_ftnref5" w:history="1">
        <w:r w:rsidR="00970104" w:rsidRPr="00E14102">
          <w:rPr>
            <w:rStyle w:val="a4"/>
            <w:color w:val="000000" w:themeColor="text1"/>
            <w:sz w:val="16"/>
            <w:szCs w:val="16"/>
          </w:rPr>
          <w:t>[5]</w:t>
        </w:r>
      </w:hyperlink>
      <w:r w:rsidR="00970104" w:rsidRPr="00E14102">
        <w:rPr>
          <w:color w:val="000000" w:themeColor="text1"/>
          <w:sz w:val="16"/>
          <w:szCs w:val="16"/>
        </w:rPr>
        <w:t xml:space="preserve"> Дыбенко.</w:t>
      </w:r>
    </w:p>
    <w:p w14:paraId="5998687B" w14:textId="77777777" w:rsidR="00970104" w:rsidRPr="00E14102" w:rsidRDefault="00E14102" w:rsidP="00E14102">
      <w:pPr>
        <w:pStyle w:val="rtejustify"/>
        <w:spacing w:before="0" w:after="0"/>
        <w:rPr>
          <w:color w:val="000000" w:themeColor="text1"/>
          <w:sz w:val="16"/>
          <w:szCs w:val="16"/>
        </w:rPr>
      </w:pPr>
      <w:hyperlink r:id="rId285" w:anchor="_ftnref6" w:history="1">
        <w:r w:rsidR="00970104" w:rsidRPr="00E14102">
          <w:rPr>
            <w:rStyle w:val="a4"/>
            <w:color w:val="000000" w:themeColor="text1"/>
            <w:sz w:val="16"/>
            <w:szCs w:val="16"/>
          </w:rPr>
          <w:t>[6]</w:t>
        </w:r>
      </w:hyperlink>
      <w:r w:rsidR="00970104" w:rsidRPr="00E14102">
        <w:rPr>
          <w:color w:val="000000" w:themeColor="text1"/>
          <w:sz w:val="16"/>
          <w:szCs w:val="16"/>
        </w:rPr>
        <w:t xml:space="preserve"> Федько.</w:t>
      </w:r>
    </w:p>
    <w:p w14:paraId="46ED0FB3" w14:textId="77777777" w:rsidR="00970104" w:rsidRPr="00E14102" w:rsidRDefault="00E14102" w:rsidP="00E14102">
      <w:pPr>
        <w:pStyle w:val="rtejustify"/>
        <w:spacing w:before="0" w:after="0"/>
        <w:rPr>
          <w:color w:val="000000" w:themeColor="text1"/>
          <w:sz w:val="16"/>
          <w:szCs w:val="16"/>
        </w:rPr>
      </w:pPr>
      <w:hyperlink r:id="rId286" w:anchor="_ftnref7" w:history="1">
        <w:r w:rsidR="00970104" w:rsidRPr="00E14102">
          <w:rPr>
            <w:rStyle w:val="a4"/>
            <w:color w:val="000000" w:themeColor="text1"/>
            <w:sz w:val="16"/>
            <w:szCs w:val="16"/>
          </w:rPr>
          <w:t>[7]</w:t>
        </w:r>
      </w:hyperlink>
      <w:r w:rsidR="00970104" w:rsidRPr="00E14102">
        <w:rPr>
          <w:color w:val="000000" w:themeColor="text1"/>
          <w:sz w:val="16"/>
          <w:szCs w:val="16"/>
        </w:rPr>
        <w:t xml:space="preserve"> Н.М . Уваров — начальник Управления авиации Осоавиахима.</w:t>
      </w:r>
    </w:p>
    <w:p w14:paraId="0F8017C7" w14:textId="77777777" w:rsidR="00970104" w:rsidRPr="00E14102" w:rsidRDefault="00970104" w:rsidP="00E14102">
      <w:pPr>
        <w:jc w:val="both"/>
        <w:rPr>
          <w:color w:val="000000" w:themeColor="text1"/>
          <w:sz w:val="16"/>
          <w:szCs w:val="16"/>
        </w:rPr>
      </w:pPr>
      <w:r w:rsidRPr="00E14102">
        <w:rPr>
          <w:color w:val="000000" w:themeColor="text1"/>
          <w:sz w:val="16"/>
          <w:szCs w:val="16"/>
        </w:rPr>
        <w:t> Источник: Военный совет при народном комиссаре обороны СССР. Декабрь 1935 г.: Документы и материалы. — М.: "РОССПЭН", 2008. С. 188-231 (12590).</w:t>
      </w:r>
    </w:p>
    <w:p w14:paraId="401CE74A" w14:textId="77777777" w:rsidR="00970104" w:rsidRPr="00E14102" w:rsidRDefault="00970104" w:rsidP="00E14102">
      <w:pPr>
        <w:pStyle w:val="ad"/>
        <w:spacing w:before="0" w:after="0"/>
        <w:rPr>
          <w:rFonts w:ascii="Times New Roman" w:hAnsi="Times New Roman" w:cs="Times New Roman"/>
          <w:color w:val="000000" w:themeColor="text1"/>
          <w:sz w:val="16"/>
          <w:szCs w:val="16"/>
          <w:lang w:val="ru-RU"/>
        </w:rPr>
      </w:pPr>
    </w:p>
    <w:p w14:paraId="2FE1CBFD" w14:textId="77777777" w:rsidR="000561E6" w:rsidRPr="00E14102" w:rsidRDefault="000561E6" w:rsidP="00E14102">
      <w:pPr>
        <w:jc w:val="both"/>
        <w:rPr>
          <w:color w:val="000000" w:themeColor="text1"/>
          <w:sz w:val="16"/>
          <w:szCs w:val="16"/>
        </w:rPr>
      </w:pPr>
      <w:r w:rsidRPr="00E14102">
        <w:rPr>
          <w:color w:val="000000" w:themeColor="text1"/>
          <w:sz w:val="16"/>
          <w:szCs w:val="16"/>
        </w:rPr>
        <w:t>9 декабря 1935 года, как отмечал н</w:t>
      </w:r>
      <w:r w:rsidRPr="00E14102">
        <w:rPr>
          <w:rStyle w:val="0pt0"/>
          <w:rFonts w:eastAsia="Arial"/>
          <w:b w:val="0"/>
          <w:color w:val="000000" w:themeColor="text1"/>
          <w:spacing w:val="0"/>
          <w:sz w:val="16"/>
          <w:szCs w:val="16"/>
        </w:rPr>
        <w:t>а</w:t>
      </w:r>
      <w:r w:rsidRPr="00E14102">
        <w:rPr>
          <w:color w:val="000000" w:themeColor="text1"/>
          <w:sz w:val="16"/>
          <w:szCs w:val="16"/>
        </w:rPr>
        <w:t xml:space="preserve"> Военном совете при Наркоме обороны Я.И. Алкснис, в легкобомбардировочной и штурмовой авиации летнабы — значительную часть которых набрали из отличавшихся общеобразовательным уровнем пехотных командиров — слабо ориентировались по компасу и карте (15803).</w:t>
      </w:r>
    </w:p>
    <w:p w14:paraId="045B750B" w14:textId="77777777" w:rsidR="000561E6" w:rsidRPr="00E14102" w:rsidRDefault="000561E6" w:rsidP="00E14102">
      <w:pPr>
        <w:jc w:val="both"/>
        <w:rPr>
          <w:color w:val="000000" w:themeColor="text1"/>
          <w:sz w:val="16"/>
          <w:szCs w:val="16"/>
        </w:rPr>
      </w:pPr>
    </w:p>
    <w:p w14:paraId="43A5C91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4A2043A2" w14:textId="77777777" w:rsidR="00D4105E" w:rsidRPr="00E14102" w:rsidRDefault="00D4105E" w:rsidP="00E14102">
      <w:pPr>
        <w:autoSpaceDE w:val="0"/>
        <w:autoSpaceDN w:val="0"/>
        <w:adjustRightInd w:val="0"/>
        <w:jc w:val="both"/>
        <w:rPr>
          <w:iCs/>
          <w:color w:val="000000" w:themeColor="text1"/>
          <w:sz w:val="16"/>
          <w:szCs w:val="16"/>
        </w:rPr>
      </w:pPr>
    </w:p>
    <w:p w14:paraId="52CF74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декабря 1935 г. в Лондоне открылась очередная конференция пяти держав по вопросам морских во</w:t>
      </w:r>
      <w:r w:rsidRPr="00E14102">
        <w:rPr>
          <w:color w:val="000000" w:themeColor="text1"/>
          <w:sz w:val="16"/>
          <w:szCs w:val="16"/>
        </w:rPr>
        <w:softHyphen/>
        <w:t>оружений открылась. СССР по-преж</w:t>
      </w:r>
      <w:r w:rsidRPr="00E14102">
        <w:rPr>
          <w:color w:val="000000" w:themeColor="text1"/>
          <w:sz w:val="16"/>
          <w:szCs w:val="16"/>
        </w:rPr>
        <w:softHyphen/>
        <w:t>нему не был включен в число ее участников. Однако британское правительство, оценивая значительное усиление советского флота новыми подводными лодками, и, главное, не желая допустить по</w:t>
      </w:r>
      <w:r w:rsidRPr="00E14102">
        <w:rPr>
          <w:color w:val="000000" w:themeColor="text1"/>
          <w:sz w:val="16"/>
          <w:szCs w:val="16"/>
        </w:rPr>
        <w:softHyphen/>
        <w:t>явления в его составе флота кораблей более сильных, чем британ</w:t>
      </w:r>
      <w:r w:rsidRPr="00E14102">
        <w:rPr>
          <w:color w:val="000000" w:themeColor="text1"/>
          <w:sz w:val="16"/>
          <w:szCs w:val="16"/>
        </w:rPr>
        <w:softHyphen/>
        <w:t>ские, заранее предложило советскому правительству прислать на конференцию своего эксперта. Из-за явно дискриминационного характера этого предложения Политбюро ЦК ВКП(б) отказалось послать в Лондон эксперта. При этом англичанам было предложено немедленно обменяться военно-морскими атташе, на что ранее британское правительство не соглашалось. Теперь согласие было получено (3898).</w:t>
      </w:r>
    </w:p>
    <w:p w14:paraId="7BAB58EB" w14:textId="77777777" w:rsidR="00D4105E" w:rsidRPr="00E14102" w:rsidRDefault="00D4105E" w:rsidP="00E14102">
      <w:pPr>
        <w:autoSpaceDE w:val="0"/>
        <w:autoSpaceDN w:val="0"/>
        <w:adjustRightInd w:val="0"/>
        <w:jc w:val="both"/>
        <w:rPr>
          <w:color w:val="000000" w:themeColor="text1"/>
          <w:sz w:val="16"/>
          <w:szCs w:val="16"/>
        </w:rPr>
      </w:pPr>
    </w:p>
    <w:p w14:paraId="777F2CD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4E970CE" w14:textId="77777777" w:rsidR="00D4105E" w:rsidRPr="00E14102" w:rsidRDefault="00D4105E" w:rsidP="00E14102">
      <w:pPr>
        <w:autoSpaceDE w:val="0"/>
        <w:autoSpaceDN w:val="0"/>
        <w:adjustRightInd w:val="0"/>
        <w:jc w:val="both"/>
        <w:rPr>
          <w:iCs/>
          <w:color w:val="000000" w:themeColor="text1"/>
          <w:sz w:val="16"/>
          <w:szCs w:val="16"/>
        </w:rPr>
      </w:pPr>
    </w:p>
    <w:p w14:paraId="431C5A93" w14:textId="77777777" w:rsidR="0041787D" w:rsidRPr="00E14102" w:rsidRDefault="0041787D" w:rsidP="00E14102">
      <w:pPr>
        <w:jc w:val="both"/>
        <w:rPr>
          <w:color w:val="0070C0"/>
          <w:sz w:val="16"/>
          <w:szCs w:val="16"/>
        </w:rPr>
      </w:pPr>
      <w:r w:rsidRPr="00E14102">
        <w:rPr>
          <w:color w:val="0070C0"/>
          <w:sz w:val="16"/>
          <w:szCs w:val="16"/>
        </w:rPr>
        <w:t>9 декабря 1935 года — первый полёт палубного бомбардировщика Curtiss SBC Helldiver. /США/</w:t>
      </w:r>
    </w:p>
    <w:p w14:paraId="31CB8322" w14:textId="77777777" w:rsidR="0041787D" w:rsidRPr="00E14102" w:rsidRDefault="0041787D" w:rsidP="00E14102">
      <w:pPr>
        <w:jc w:val="both"/>
        <w:rPr>
          <w:color w:val="0070C0"/>
          <w:sz w:val="16"/>
          <w:szCs w:val="16"/>
        </w:rPr>
      </w:pPr>
      <w:r w:rsidRPr="00E14102">
        <w:rPr>
          <w:color w:val="0070C0"/>
          <w:sz w:val="16"/>
          <w:szCs w:val="16"/>
        </w:rPr>
        <w:t>В 1932 году ВМС США заказали компании Curtiss-Wright разработку двухместного палубного истребителя-моноплана XF12C-1. Но через год флот отказался от двухместных истребителей и проект переквалифицировали. После ряда доработок на основе XF12C-1 построили палубный бомбардировщик XSBC-2 — прототип серийного SBC Helldiver.</w:t>
      </w:r>
    </w:p>
    <w:p w14:paraId="67727F00" w14:textId="77777777" w:rsidR="0041787D" w:rsidRPr="00E14102" w:rsidRDefault="0041787D" w:rsidP="00E14102">
      <w:pPr>
        <w:jc w:val="both"/>
        <w:rPr>
          <w:color w:val="0070C0"/>
          <w:sz w:val="16"/>
          <w:szCs w:val="16"/>
        </w:rPr>
      </w:pPr>
      <w:r w:rsidRPr="00E14102">
        <w:rPr>
          <w:color w:val="0070C0"/>
          <w:sz w:val="16"/>
          <w:szCs w:val="16"/>
        </w:rPr>
        <w:t>В отличие от XF12C-1, Helldiver был бипланом. Фюзеляж — цельнометаллический, крыло сначала обшивали полотном, а позже дюралюминием. Стойки шасси убирались в ниши фюзеляжа. Двигатель Wright R-1820-34 позволял развить скорость до 377 км/ч. Боевой радиус — 652 км. Вооружение — 2 × 7,62-мм пулемёта M1919 Browning и 1 × бомба весом до 454 кг.</w:t>
      </w:r>
    </w:p>
    <w:p w14:paraId="2E7F0010" w14:textId="77777777" w:rsidR="0041787D" w:rsidRPr="00E14102" w:rsidRDefault="0041787D" w:rsidP="00E14102">
      <w:pPr>
        <w:jc w:val="both"/>
        <w:rPr>
          <w:color w:val="0070C0"/>
          <w:sz w:val="16"/>
          <w:szCs w:val="16"/>
        </w:rPr>
      </w:pPr>
      <w:r w:rsidRPr="00E14102">
        <w:rPr>
          <w:color w:val="0070C0"/>
          <w:sz w:val="16"/>
          <w:szCs w:val="16"/>
        </w:rPr>
        <w:t>Всего выпустили 257 единиц SBC Helldiver всех модификаций. Основным эксплуатантом стали ВМС и Корпус морской пехоты США. Также Helldiver поставлялся для ВМС Франции, несколько самолётов было и в Королевских ВВС Великобритании. Стал последним боевым самолётом-бипланом ВМС США (22300).</w:t>
      </w:r>
    </w:p>
    <w:p w14:paraId="59323037" w14:textId="77777777" w:rsidR="0041787D" w:rsidRPr="00E14102" w:rsidRDefault="0041787D" w:rsidP="00E14102">
      <w:pPr>
        <w:jc w:val="both"/>
        <w:rPr>
          <w:color w:val="0070C0"/>
          <w:sz w:val="16"/>
          <w:szCs w:val="16"/>
        </w:rPr>
      </w:pPr>
    </w:p>
    <w:p w14:paraId="6A996A2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 декабря 1935 Англия и Франция подписали договор о расчленении Эфиопии (4962).</w:t>
      </w:r>
    </w:p>
    <w:p w14:paraId="1A8B03F0"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222BB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декабря 1935 было подписано англо-французское соглашение Хор-Лаваля о расчленении Эфиопии (2443,409).</w:t>
      </w:r>
    </w:p>
    <w:p w14:paraId="6980B308" w14:textId="77777777" w:rsidR="00D4105E" w:rsidRPr="00E14102" w:rsidRDefault="00D4105E" w:rsidP="00E14102">
      <w:pPr>
        <w:autoSpaceDE w:val="0"/>
        <w:autoSpaceDN w:val="0"/>
        <w:adjustRightInd w:val="0"/>
        <w:jc w:val="both"/>
        <w:rPr>
          <w:color w:val="000000" w:themeColor="text1"/>
          <w:sz w:val="16"/>
          <w:szCs w:val="16"/>
        </w:rPr>
      </w:pPr>
    </w:p>
    <w:p w14:paraId="096132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C 9 декабря 1935 по 25 марта 1936 проходила Лондонская морская конференция по регламентации морских вооружений. Стороны кроме Японии и Италии согласились, что водоизмещение линкора и калибр не могут превосходить 35 тыс. т и 14 дюймов (356 мм), а авианосца и крейсера - 23 тыс. т и 8 тыс. т и пл -2 тыс. т. СССР присоединился к соглашению в 1937 (2438,373).</w:t>
      </w:r>
    </w:p>
    <w:p w14:paraId="70D4234A" w14:textId="77777777" w:rsidR="00D4105E" w:rsidRPr="00E14102" w:rsidRDefault="00D4105E" w:rsidP="00E14102">
      <w:pPr>
        <w:autoSpaceDE w:val="0"/>
        <w:autoSpaceDN w:val="0"/>
        <w:adjustRightInd w:val="0"/>
        <w:jc w:val="both"/>
        <w:rPr>
          <w:color w:val="000000" w:themeColor="text1"/>
          <w:sz w:val="16"/>
          <w:szCs w:val="16"/>
        </w:rPr>
      </w:pPr>
    </w:p>
    <w:p w14:paraId="155AD4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декабря 1935 был заключен британо-французский пакт Хоара-Лаваля, который предложил передать Италии наиболее плодородные земли Эфиопии, но протесты в обеих странах заставили от него отказаться (3907,193).</w:t>
      </w:r>
    </w:p>
    <w:p w14:paraId="588CA922" w14:textId="77777777" w:rsidR="00D4105E" w:rsidRPr="00E14102" w:rsidRDefault="00D4105E" w:rsidP="00E14102">
      <w:pPr>
        <w:autoSpaceDE w:val="0"/>
        <w:autoSpaceDN w:val="0"/>
        <w:adjustRightInd w:val="0"/>
        <w:jc w:val="both"/>
        <w:rPr>
          <w:color w:val="000000" w:themeColor="text1"/>
          <w:sz w:val="16"/>
          <w:szCs w:val="16"/>
        </w:rPr>
      </w:pPr>
    </w:p>
    <w:p w14:paraId="274165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декабря 1935 была студенческая демонстрация в Пекине и началось движение 9 декабря (2443,409).</w:t>
      </w:r>
    </w:p>
    <w:p w14:paraId="12CE8C8D" w14:textId="77777777" w:rsidR="00D4105E" w:rsidRPr="00E14102" w:rsidRDefault="00D4105E" w:rsidP="00E14102">
      <w:pPr>
        <w:autoSpaceDE w:val="0"/>
        <w:autoSpaceDN w:val="0"/>
        <w:adjustRightInd w:val="0"/>
        <w:jc w:val="both"/>
        <w:rPr>
          <w:color w:val="000000" w:themeColor="text1"/>
          <w:sz w:val="16"/>
          <w:szCs w:val="16"/>
        </w:rPr>
      </w:pPr>
    </w:p>
    <w:p w14:paraId="18F2B51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21B2D12" w14:textId="77777777" w:rsidR="00D4105E" w:rsidRPr="00E14102" w:rsidRDefault="00D4105E" w:rsidP="00E14102">
      <w:pPr>
        <w:autoSpaceDE w:val="0"/>
        <w:autoSpaceDN w:val="0"/>
        <w:adjustRightInd w:val="0"/>
        <w:jc w:val="both"/>
        <w:rPr>
          <w:iCs/>
          <w:color w:val="000000" w:themeColor="text1"/>
          <w:sz w:val="16"/>
          <w:szCs w:val="16"/>
        </w:rPr>
      </w:pPr>
    </w:p>
    <w:p w14:paraId="579CD7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декабря 1935 года Начальник и военком НИИ ВВС утвердил Отчет по летному исследованию самолета ТБ-3 4М34 РН N 22570 по определению поляры</w:t>
      </w:r>
    </w:p>
    <w:p w14:paraId="371603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Начато 5 сентября 1935 года</w:t>
      </w:r>
    </w:p>
    <w:p w14:paraId="628038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Окончено 26 октября 1935 года</w:t>
      </w:r>
    </w:p>
    <w:p w14:paraId="6C086A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19DF02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 Доброхотов</w:t>
      </w:r>
    </w:p>
    <w:p w14:paraId="1B7CC3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 Иванов</w:t>
      </w:r>
    </w:p>
    <w:p w14:paraId="1C66E31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3222042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Снятие поляры самолета ТБ-3 4М34 РН на планированиях и при работающем моторе.</w:t>
      </w:r>
    </w:p>
    <w:p w14:paraId="5E05309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Проработка методики эксперимента по снятию поляры на многомоторном самолете.</w:t>
      </w:r>
    </w:p>
    <w:p w14:paraId="0826F3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969368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Результаты летного исследования самолета ТБ-3 4М34 РН по снятию поляры признать удовлетворительными (3966).</w:t>
      </w:r>
    </w:p>
    <w:p w14:paraId="345D8195"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0240EE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декабря 1935 Нач. и военком НИИ ВВС Бажанов утвердил Отчет НИИ ВВС по летному исследованию ТБ-3 4М-34РН N 22570 по определению поляры, которые шли с 5 сентября по 26 октября 1935 (2931).</w:t>
      </w:r>
    </w:p>
    <w:p w14:paraId="1018AE44" w14:textId="77777777" w:rsidR="00D4105E" w:rsidRPr="00E14102" w:rsidRDefault="00D4105E" w:rsidP="00E14102">
      <w:pPr>
        <w:autoSpaceDE w:val="0"/>
        <w:autoSpaceDN w:val="0"/>
        <w:adjustRightInd w:val="0"/>
        <w:jc w:val="both"/>
        <w:rPr>
          <w:color w:val="000000" w:themeColor="text1"/>
          <w:sz w:val="16"/>
          <w:szCs w:val="16"/>
        </w:rPr>
      </w:pPr>
    </w:p>
    <w:p w14:paraId="1DE224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декабря 1935 года в докладной записке уполномоченный комиссии Партийного контроля ЦК ВКП(б) по Азовско-Черноморскому краю С. Брике и отв. контролер Щербинин указали глубокий вред, который влечет за собой разрыв между конструкторской, производственной и испытательной работой по самолету (ссылаясь на МДР-4 на заводе 31, который находился в производстве 2,5 года. Эта машина конструировалась в Москве ЦАГИ, строилась в Таганроге, а испытывалась в Севастополе (3477).</w:t>
      </w:r>
    </w:p>
    <w:p w14:paraId="07A2CD6A" w14:textId="77777777" w:rsidR="00D4105E" w:rsidRPr="00E14102" w:rsidRDefault="00D4105E" w:rsidP="00E14102">
      <w:pPr>
        <w:autoSpaceDE w:val="0"/>
        <w:autoSpaceDN w:val="0"/>
        <w:adjustRightInd w:val="0"/>
        <w:jc w:val="both"/>
        <w:rPr>
          <w:color w:val="000000" w:themeColor="text1"/>
          <w:sz w:val="16"/>
          <w:szCs w:val="16"/>
        </w:rPr>
      </w:pPr>
    </w:p>
    <w:p w14:paraId="0BAF08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декабря 1935 Пом. Нач. МС РККА по авиации Бергстрем писал Нач. ГУАП М.М.К. по вопросу о выделении для ЦАГИ Дорнье-Валь, Хейнкель и Р-5 на поплавках. Сообщил, что Дорнье Валь с ЛД можно получить в Ейской школе по распоряжению Алксниса, распоряжение о передаче Р-5 - передано, Хейнкелей - недостаток и выделить не могут (2336,186).</w:t>
      </w:r>
    </w:p>
    <w:p w14:paraId="54D6371E" w14:textId="77777777" w:rsidR="00D4105E" w:rsidRPr="00E14102" w:rsidRDefault="00D4105E" w:rsidP="00E14102">
      <w:pPr>
        <w:autoSpaceDE w:val="0"/>
        <w:autoSpaceDN w:val="0"/>
        <w:adjustRightInd w:val="0"/>
        <w:jc w:val="both"/>
        <w:rPr>
          <w:color w:val="000000" w:themeColor="text1"/>
          <w:sz w:val="16"/>
          <w:szCs w:val="16"/>
        </w:rPr>
      </w:pPr>
    </w:p>
    <w:p w14:paraId="390D4EC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E9493DE" w14:textId="77777777" w:rsidR="00D4105E" w:rsidRPr="00E14102" w:rsidRDefault="00D4105E" w:rsidP="00E14102">
      <w:pPr>
        <w:autoSpaceDE w:val="0"/>
        <w:autoSpaceDN w:val="0"/>
        <w:adjustRightInd w:val="0"/>
        <w:jc w:val="both"/>
        <w:rPr>
          <w:iCs/>
          <w:color w:val="000000" w:themeColor="text1"/>
          <w:sz w:val="16"/>
          <w:szCs w:val="16"/>
        </w:rPr>
      </w:pPr>
    </w:p>
    <w:p w14:paraId="791F682A" w14:textId="77777777" w:rsidR="0041787D" w:rsidRPr="00E14102" w:rsidRDefault="0041787D" w:rsidP="00E14102">
      <w:pPr>
        <w:jc w:val="both"/>
        <w:rPr>
          <w:color w:val="0070C0"/>
          <w:sz w:val="16"/>
          <w:szCs w:val="16"/>
        </w:rPr>
      </w:pPr>
      <w:r w:rsidRPr="00E14102">
        <w:rPr>
          <w:color w:val="0070C0"/>
          <w:sz w:val="16"/>
          <w:szCs w:val="16"/>
        </w:rPr>
        <w:t>10 декабря 1935 г. институт посе</w:t>
      </w:r>
      <w:r w:rsidRPr="00E14102">
        <w:rPr>
          <w:color w:val="0070C0"/>
          <w:sz w:val="16"/>
          <w:szCs w:val="16"/>
        </w:rPr>
        <w:softHyphen/>
        <w:t>тили руководители пар</w:t>
      </w:r>
      <w:r w:rsidRPr="00E14102">
        <w:rPr>
          <w:color w:val="0070C0"/>
          <w:sz w:val="16"/>
          <w:szCs w:val="16"/>
        </w:rPr>
        <w:softHyphen/>
        <w:t>тии и правительства: И.В. Сталин, ПК. Орд</w:t>
      </w:r>
      <w:r w:rsidRPr="00E14102">
        <w:rPr>
          <w:color w:val="0070C0"/>
          <w:sz w:val="16"/>
          <w:szCs w:val="16"/>
        </w:rPr>
        <w:softHyphen/>
        <w:t>жоникидзе, М.И. Кали</w:t>
      </w:r>
      <w:r w:rsidRPr="00E14102">
        <w:rPr>
          <w:color w:val="0070C0"/>
          <w:sz w:val="16"/>
          <w:szCs w:val="16"/>
        </w:rPr>
        <w:softHyphen/>
        <w:t>нин, А.А. Жданов, В.Я. Чубарь, Л.М. Кага</w:t>
      </w:r>
      <w:r w:rsidRPr="00E14102">
        <w:rPr>
          <w:color w:val="0070C0"/>
          <w:sz w:val="16"/>
          <w:szCs w:val="16"/>
        </w:rPr>
        <w:softHyphen/>
        <w:t>нович для ознакомле</w:t>
      </w:r>
      <w:r w:rsidRPr="00E14102">
        <w:rPr>
          <w:color w:val="0070C0"/>
          <w:sz w:val="16"/>
          <w:szCs w:val="16"/>
        </w:rPr>
        <w:softHyphen/>
        <w:t>ния с тракторами, при</w:t>
      </w:r>
      <w:r w:rsidRPr="00E14102">
        <w:rPr>
          <w:color w:val="0070C0"/>
          <w:sz w:val="16"/>
          <w:szCs w:val="16"/>
        </w:rPr>
        <w:softHyphen/>
        <w:t>цепами и автобусом ЗИС. Гусеничный трак</w:t>
      </w:r>
      <w:r w:rsidRPr="00E14102">
        <w:rPr>
          <w:color w:val="0070C0"/>
          <w:sz w:val="16"/>
          <w:szCs w:val="16"/>
        </w:rPr>
        <w:softHyphen/>
        <w:t>тор СТЗ-НАТИ был одобрен для постанов</w:t>
      </w:r>
      <w:r w:rsidRPr="00E14102">
        <w:rPr>
          <w:color w:val="0070C0"/>
          <w:sz w:val="16"/>
          <w:szCs w:val="16"/>
        </w:rPr>
        <w:softHyphen/>
        <w:t>ки на производство (22518).</w:t>
      </w:r>
    </w:p>
    <w:p w14:paraId="44EC08F8" w14:textId="77777777" w:rsidR="0041787D" w:rsidRPr="00E14102" w:rsidRDefault="0041787D" w:rsidP="00E14102">
      <w:pPr>
        <w:jc w:val="both"/>
        <w:rPr>
          <w:color w:val="0070C0"/>
          <w:sz w:val="16"/>
          <w:szCs w:val="16"/>
        </w:rPr>
      </w:pPr>
    </w:p>
    <w:p w14:paraId="34F988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декабря 1935 года два СТЗ-5, участвовавших в зимнем пробеге Сталинград— Москва, успешно продемонстрировали в Кремле.</w:t>
      </w:r>
    </w:p>
    <w:p w14:paraId="63F5D8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Обнаруженные во время испытаний недостатки транспортного трактора устранили к 1936 году. Но на подготовку его к производству, вслед за СТЗ-3, на Сталинградском тракторном заводе ушло два года. </w:t>
      </w:r>
    </w:p>
    <w:p w14:paraId="698F30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 xml:space="preserve">Машина имела уже ставшую традиционной для транспортных тракторов компоновку с передним расположением двухместной (водитель и командир орудия) закрытой дерево-металлической кабины, установленной над двигателем. За кабиной и топливными баками находилась двухметровая грузовая деревянная платформа с откидными бортами и съемным брезентовым верхом с целлулоидными окнами. Здесь на четырех откидных полумягких сиденьях размещался орудийный расчет, а на полу — боеприпасы и артиллерийское снаряжение. Легкая и рациональная рама трактора состояла из двух продольных швеллеров, связанных четырьмя различными поперечинами. Двигатель 1МА — типично тракторный, четырехцилин-дровый, карбюраторный (от дизеля пришлось отказаться), с зажиганием от магнето, малооборотный и относительно тяжелый, но выносливый и надежный (выпускался до 1953 года). Заводился он и мог работать на бензине (бак — 14 л), переходя потом (после прогрева до 90°) на керосин или лигроин (бак — 148 л), то есть был фактически многотопливным. Для предупреждения детонации и для повышения мощности, особенно при работе на керосине с большой нагрузкой в жаркое время года, в цилиндры через специальную сиcтему карбюратора впрыскивалась вода, пока в 1941 году не была введена питидетонационная камера сгорания. Диигатель имел полноценные системы смазки, охлаждения, питания, электрооборудования. Запуск — электростартером (ею не было на СТЗ-3) или безопасной (при обратном ударе) пусковой рукояткой; управление - ножной педалью «по-автомобильному". В коробке передач, стыкуемой с задним мостом, были изменены передаточные числа с целью увеличения силового диапазона (до 9,81 против 2,1 у СТЗ-3) и скоростей движения, введена еще одна (понижающая) передача. При движении на ней со скоростью 1,9 км/ч СТЗ-5 развивал гягу 4850 кгс, то есть на пределе сцепления гусениц с грунтом. </w:t>
      </w:r>
    </w:p>
    <w:p w14:paraId="354A07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Задний мост с бортовыми фрикционами и тормозами (дополнены общим ножным приводом) вместе с конечными передачами полностью заимствовались от СТЗ-3, что оказалось очень важным при их совместном массовом производстве. Ходовая часть была более приспособленной к движению С высокими скоростями: введены обрезиненные опорные и поддерживающие катки и мелкозвенчатая гусеница с вдвое уменьшенным шагом. Ведущая звездочка осталась прежней, а потому быстро изнашивалась. На картере заднего моста под платформой устанавливался вертикальный кабестан с тросом длиной 40 м для подтягивания прицепов (при раздельном преодолении тяжелых участков), самовытаскивания трактора и буксировки других машин. Тяговое усилие кабестана составляло 4000 кгс, хотя мощность двигателя позволяла развивать до 12 000 кгс, но это было небезопасно для прочности трактора. Такое довольно простое и эффективное устройство вполне заменяло лебедку, которая уже тогда считалась обязательной для каждого артиллерийского тягача, кроме легкого. Кабина имела открывающиеся передние и боковые стекла, а также регулируемые жалюзи в передней и задней части — для организации ее проточной вентиляции; в противном случае летом температура здесь от нагрева массивным двигателем достигала 50°. </w:t>
      </w:r>
    </w:p>
    <w:p w14:paraId="74013B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1939 году специально для СТЗ-5 на Харьковском тракторном заводе был построен дизельный двигатель Д-8Т (транспортный) мощностью 58,5 л.с. при 1350 об/мин, рабочим обьемом 6,876 л, со стартерным запуском (затем — с пусковым двигателем СТЗ). Но из-за присущих ему недостатков и технологических трудностей в производство он не пошел.</w:t>
      </w:r>
    </w:p>
    <w:p w14:paraId="6E54C9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1937 году были выпущены первые 173 транспортных СТЗ-5, в 1938-м— 136, в 1939-м-уже 1256 и в 1940 году- 1274. В артиллерийских частях они буксировали артсистемы массой до 3400 кг, в том числе 76-мм полковые и дивизионные пушки, 122-мм и 152-мм гаубицы, а также 76-мм (позже и 85-мм) зенитные орудия. Скоро в РККА СТЗ-5 стал наиболее распространенным и доступным артиллерийским тягачом, успешно работавшим во всех климатических зонах СССР. Летом 1939 года машина проходила армейские испытания в районе города Медведь Новгородской области. Были определены параметры ее геометрической проходимости: ров — до 1 м, стенка — до 0,6 м, брод — до 0,8 м. Это же подтвердили испытания СТЗ-5, проведенные в 1939— 1940 годах на НИБТПолигоне ГАБТУ КА. </w:t>
      </w:r>
    </w:p>
    <w:p w14:paraId="45D5A7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Средне-техническая скорость движения тягача с прицепом по шоссе в составе батареи достигала 14 км/ч; в составе полка — 11 км/ч; по грунту — 10 км/ч. При эксплуатации сильно сказывалось его сельскохозяйственное происхождение: из всех отечественных машин этого назначения он имел самую плохую проходимость, небольшую удельную мощность, узкую колею {выбранную для работы с четырехкорпусным плугом), малый клиренс, недостаточные сцепные возможности гусениц с мелкими грунтозацепами высотой всего 35 мм, значительное удельное давление на грунт из-за малой ширины траков, сильную продольную раскачку при движении на больших скоростях — стоял даже вопрос о добавлении пятого опорного катка для увеличения базы (амортизаторы тогда еще не применялись). На зимних обледенелых дорогах сцепления гусениц с грунтом было недостаточно для устойчивого движения. </w:t>
      </w:r>
    </w:p>
    <w:p w14:paraId="309278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выносливость тягача не вызывала сомнений — он дважды (в ноябре —декабре 1935 года и в марте — апреле 1939-го) совершал безостановочные пробеги Сталинград — Москва и обратно без поломок и недопустимых износов. Дополнительные испытания СТЗ-5, проведенные в НАТИ летом-осенью 1943 года, показали низкие тяговые свойства машины. При движении на высшей, пятой передаче максимальное тяговое усилие на крюке не превышало 240 — 270 кгс, что позволяло тягачу уверенно работать без прицепа или тянуть его только по хорошим дорогам с подъемами оказался крайне незначительным (2 — 6%) и при перегрузке скорость резко падала. Поэтому приходилось работать в основном на четвертой (нагрузка на крюке — 585 кгс) и на третьей (нагрузка — до 1230 кгс) передачах. Движение в условиях бездорожья или при буксировке тяжелых прицепов было возможно только на второй передаче (тяговое усилие — 2720 кгс). Отмечался также очень низкий коэффициент сцепления гусенице грунтом (f = 0,599) (11639).</w:t>
      </w:r>
    </w:p>
    <w:p w14:paraId="7E21CB99" w14:textId="77777777" w:rsidR="00D4105E" w:rsidRPr="00E14102" w:rsidRDefault="00D4105E" w:rsidP="00E14102">
      <w:pPr>
        <w:autoSpaceDE w:val="0"/>
        <w:autoSpaceDN w:val="0"/>
        <w:adjustRightInd w:val="0"/>
        <w:jc w:val="both"/>
        <w:rPr>
          <w:color w:val="000000" w:themeColor="text1"/>
          <w:sz w:val="16"/>
          <w:szCs w:val="16"/>
        </w:rPr>
      </w:pPr>
    </w:p>
    <w:p w14:paraId="718CB8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10 декабря 1935 транспортный трактор С1 после прохождения испытаний он был показан вместе с новыми тракторами в Кремле И.В.Сталину и другим руководителям государства. В следующем году по результатам испытаний усилили подвеску, мощность двигателя довели до 120 л.с. (и даже до 130 л.с.) при 1200 об/мин, то есть она увеличилась почти вдвое по сравнению с С-60, при этом скорость машины повысилась. Зимой 1937-го С-1 проходил испытания (водители - А.В.Сапожников от НАТИ и ВИ.Дурановский - от ЧТЗ) уже как артиллерийский тягач на Лужском полигоне, где показал неплохие результаты: среднюю скорость по шоссе без прицепа — 22 км/ч, с артсистемой массой 7,2 т — до 17 км/ч, с массой 12 т — до 11 км/ч, подъем 24° - без прицепа и 12,5° —с прицепом. Однако в это время ЧТЗ уже интенсивно готовился к переходу на новый базовый трактор С-65 с дизелем НАТИ М-17 (75 л.с.), поэтому бензиновый С-1 оказался бесперспективным. </w:t>
      </w:r>
    </w:p>
    <w:p w14:paraId="3E7C99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Новый транспортный трактор с дизелем, также форсированным до требуемой, более высокой мощности, пришлось создавать почти с нуля, одновременно существенно дорабатывая подвеску и ходовую часть. </w:t>
      </w:r>
    </w:p>
    <w:p w14:paraId="4D1487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Транспортной модификацией двигателя М-17 с конца 1936 года занимался ведущий конструктор-дизелист НАТИ А.В.Лебедев, а также инженеры В.Н.Попов и А.С.Балаев. Рабочий обьем мотора увеличили на 14,3% путем доведения диаметра цилиндров до 155 мм -предела, обусловленного измененной конструкцией блока и поршневой группы; частоту вращения повысили на 35%; расширили фазы газораспределения; применили новую форкамеру. Весной 1937 года дизель МТ-17 был построен в НАТИ, Одновременно с ним компоновался и новый трактор «Сталинец-2». Очередной раз переделывались подвеска и ходовая часть, аносились изменения в трансмиссию. В конце года первый С-2 вышел на испытания, которые показали, что он требует серьезной конструкторской доработки. Однако острая потребность в артиллерийских тягачах для армии в преддверии войны вынудила передать «сырую» недоведенную машину в производство. 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2794EBB4" w14:textId="77777777" w:rsidR="00D4105E" w:rsidRPr="00E14102" w:rsidRDefault="00D4105E" w:rsidP="00E14102">
      <w:pPr>
        <w:autoSpaceDE w:val="0"/>
        <w:autoSpaceDN w:val="0"/>
        <w:adjustRightInd w:val="0"/>
        <w:jc w:val="both"/>
        <w:rPr>
          <w:color w:val="000000" w:themeColor="text1"/>
          <w:sz w:val="16"/>
          <w:szCs w:val="16"/>
        </w:rPr>
      </w:pPr>
    </w:p>
    <w:p w14:paraId="1723293E" w14:textId="77777777" w:rsidR="00970104"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3AF1E2A0" w14:textId="77777777" w:rsidR="00970104" w:rsidRPr="00E14102" w:rsidRDefault="00970104" w:rsidP="00E14102">
      <w:pPr>
        <w:autoSpaceDE w:val="0"/>
        <w:autoSpaceDN w:val="0"/>
        <w:adjustRightInd w:val="0"/>
        <w:jc w:val="both"/>
        <w:rPr>
          <w:iCs/>
          <w:color w:val="000000" w:themeColor="text1"/>
          <w:sz w:val="16"/>
          <w:szCs w:val="16"/>
        </w:rPr>
      </w:pPr>
    </w:p>
    <w:p w14:paraId="6C8FE951" w14:textId="77777777" w:rsidR="000561E6" w:rsidRPr="00E14102" w:rsidRDefault="000561E6" w:rsidP="00E14102">
      <w:pPr>
        <w:pStyle w:val="rtejustify"/>
        <w:spacing w:before="0" w:after="0"/>
        <w:rPr>
          <w:rStyle w:val="a6"/>
          <w:i w:val="0"/>
          <w:color w:val="000000" w:themeColor="text1"/>
          <w:sz w:val="16"/>
          <w:szCs w:val="16"/>
        </w:rPr>
      </w:pPr>
      <w:r w:rsidRPr="00E14102">
        <w:rPr>
          <w:color w:val="000000" w:themeColor="text1"/>
          <w:sz w:val="16"/>
          <w:szCs w:val="16"/>
        </w:rPr>
        <w:t>10 декабря 1935 г. Стенограмма утреннего заседания</w:t>
      </w:r>
    </w:p>
    <w:p w14:paraId="67F6B66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Товарищи, я имею в виду остановиться на двух авиационных вопросах — относительно оперативно-тактической подготовки авиации и воздушного боя, но предварительно я имею в виду затронуть один общевойсковой вопрос в наших условиях ОКДВА.</w:t>
      </w:r>
    </w:p>
    <w:p w14:paraId="7EC1199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Гамарник в своем выступлении здесь, указывая на ряд недостатков, которые имеются в работе нашей Дальневосточной армии и Красной армии вообще, указал как один из больших недостатков — плохое изучение противника и театра.</w:t>
      </w:r>
    </w:p>
    <w:p w14:paraId="50FF6CD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Надо сказать, что этот вопрос в условиях ОКДВА тоже обстоял и, пожалуй, обстоит до сих пор неблагополучно. Но в этом, 1935 г. нашему командному составу, и в частности штабу армии, лучше и ближе удалось подойти к вопросам изучения противника и театра. И я должен сказать, что для штаба армии театр нашей Дальневосточной армии как выгладит японская армия. В частности, было представление, что по своей организации японская дивизия несущественно отличается от нашей дивизии РККА, за исключением разве того обстоятельства, что она имеет более многочисленную пехоту. Но более близкое изучение этого вопроса показало, во-первых, что японская дивизия имеет в своем составе полки, которые не отягощены обозом, которым отягощены полки дивизий ОКДВА. В то время как наш полк имеет свыше 200 повозок, в том числе повозок утяжеленных, повозок двуконных, повозок с широким ходом, японский пехотный полк имеет в своем составе всего 37 повозок, причем повозки эти одноконные, на узких ходах, приспособленные для движения по горной местности.</w:t>
      </w:r>
    </w:p>
    <w:p w14:paraId="71FFCD9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Если учесть то обстоятельство, что японский полк имеет в своем составе 3300 чел. и для пулеметов и полковой артиллерии располагает вьюками, то надо сказать, что это — лучшие предпосылки для условий Дальнего Востока, для действий по лесисто-горной местности, для действий по бездорожной местности, для прохождения по трудным участкам, чем наш полк, который имеет 200 с лишним повозок, пулеметы на повозках и артиллерию на колесах. Наш полк не сможет так маневрировать, как японский полк. Японский полк располагает вьюками и носильщиками.</w:t>
      </w:r>
    </w:p>
    <w:p w14:paraId="7D80323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Имеется около 400 носильщиков, имеются специальные роты носильщиков.</w:t>
      </w:r>
    </w:p>
    <w:p w14:paraId="3A133FB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Указанные выше обстоятельства, конечно, должны привлечь наше внимание, если мы не хотим попасть впросак.</w:t>
      </w:r>
    </w:p>
    <w:p w14:paraId="0F806AA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Затем, японцы, в противоположность нашей армии, имеют целый рад горных соединений, имеют по мирному времени 3 горные дивизии и, кроме того, 2 артиллерийских полка РГК горной организации. Следовательно, используя горные полки АРГК, японцы имеют возможность иметь еще добавочные дивизии, вполне пригодные для действий в горных районах.</w:t>
      </w:r>
    </w:p>
    <w:p w14:paraId="4C888FB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Это речь вдет о Маньчжурии.</w:t>
      </w:r>
    </w:p>
    <w:p w14:paraId="2DFD38E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Одна горная дивизия находится в Маньчжурии, другие — на Японских островах. Очень существенно и важно, что эти три дивизии и два артиллерийских полка РГК горной организации имеют, как это установлено целым рядом разведывательных данных, второе развертывание, причем дивизии и полки второй очереди начинают вступать в строй после 5 дней. Таким образом, японцы могут выставить до 10 горных дивизий, тогда как мы совершенно не имеем горных соединений.</w:t>
      </w:r>
    </w:p>
    <w:p w14:paraId="667D4B0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Наши занятия и опыты показали, что легкие батальоны, освобожденные от колес, снабженные небольшим количеством вьюков — преодолевают бездорожную лесистую и горную местность. Легкие батальоны показали средний темп движения до 3 км, в редких случаях до 4 км, тогда как организм нашей стрелковой дивизии продвигался совершенно по-другому. Были случаи, когда в местах бездорожных, густо-лесистых и гористых шли со средней скоростью полкилометра, а при более благоприятных условиях — со скоростью 1—1</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xml:space="preserve"> км. Эти факты не должны выпасть из нашего внимания. Необходимо сопоставить и взвесить различные по построению организмы нашей и японской дивизии и сделать необходимые практические выводы, иначе это может нехорошо кончиться для нас. Более детальное изучение противника открыло глаза на вещи, которые ранее не замечались. То же самое я бы сказал и о театре. Наша армия долгое время театр Дальнего Востока отождествляла с местностью около наших казарм. Наши казармы, как и все городки, устраиваются в более выгодных условиях доя жизни. Взять, к примеру, то ли наш город Ворошилов, то ли городок Раздольное или Спасск, и если выйти за их ограду, если можно так сказать, и посмотреть вокруг, то ничто не страшит. Там имеются дороги, села, деревни: местность не очень дикая, но когда посмотришь дальше — горы, бездорожье, леса, болота.</w:t>
      </w:r>
    </w:p>
    <w:p w14:paraId="6FB3A26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Это дальше 10 км.</w:t>
      </w:r>
    </w:p>
    <w:p w14:paraId="596A545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Тем не менее я должен сказать, когда стали смотреть дальше, в некоторых случаях за 10 км, а в других — за 100 км, то оказалось, что местность в общем бездорожная, покрытая целым рядом хребтов, местность горно-лесистая с многочисленными болотистыми участками.</w:t>
      </w:r>
    </w:p>
    <w:p w14:paraId="5F32381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В Раздольное, в Барабаш года 2—3 тому назад ходили.</w:t>
      </w:r>
    </w:p>
    <w:p w14:paraId="249EA3D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При мне дивизия маневрировала.</w:t>
      </w:r>
    </w:p>
    <w:p w14:paraId="74FF847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Разве театра не знали, не обязаны были его знать? Разве вы не знали, какая у вас местность?</w:t>
      </w:r>
    </w:p>
    <w:p w14:paraId="098A50A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Это все правильно. Но в этом отношении были крупнейшие недостатки, я прямо должен доложить, что до 1935 г. учения, занятия наших войск шли непосредственно вокруг своих городков и у дорог. Раньше учения шли независимо от трудностей, которые придется преодолевать при войне с японцами.</w:t>
      </w:r>
    </w:p>
    <w:p w14:paraId="1A45EF9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В Забайкалье наоборот. Там занятия войск все время в горах проводили.</w:t>
      </w:r>
    </w:p>
    <w:p w14:paraId="080444A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 Я</w:t>
      </w:r>
      <w:r w:rsidRPr="00E14102">
        <w:rPr>
          <w:color w:val="000000" w:themeColor="text1"/>
          <w:sz w:val="16"/>
          <w:szCs w:val="16"/>
        </w:rPr>
        <w:t xml:space="preserve"> хочу сказать, что в 1935 г. мы имеем перелом, в том числе и для Забайкалья. С 1935 г. мы пошли в горно-лесистую местность. И когда совершился этот перелом, то мы увидели, что наши войска недостаточно умелые, что они делают величайшие промахи, чего не было бы, если бы войска учились и имели бы опыт на горной и горно-лесистой местности.</w:t>
      </w:r>
    </w:p>
    <w:p w14:paraId="26CB60C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лично, например, на многочисленных учениях видел, что наши войска плохо действуют и не приспособлены к действиям в горнолесистой местности, они не устроены для действия в этой местности. Если я ошибаюсь, то меня товарищи поправят, и я буду очень рад, если эти мои сомнения в отношении подготовки войск не будут соответствовать действительности, не будут иметь основания, но я повторяю, подготовка и устройство войск на Дальнем Востоке у меня вызывает величайшее опасение.</w:t>
      </w:r>
    </w:p>
    <w:p w14:paraId="634BF05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Очень жаль, что Иван Федорович Федько не остановился на одном вопросе, когда говорил о больших учениях, — он не сказал о том, что командующие сторонами на этих маневрах ошибались на сутки против того, что они ожидали. Между прочим относительно 26-й стрелковой дивизии, которая получила задание пройти по горно-таежному маршруту 12 км, рассчитывали, что она должна выйти в тот же день в заданный район. Что же получилось? В первый день она продвинулась только 5—6 км, во второй день сделала столько же и в общем на 12 км затратила двое суток. Это явилось большой неожиданностью. Этого никто не ожидал ни в руководстве маневрами, ни командование, которое ставило эту задачу. Если такого рода неожиданности будут перед нами возникать во время войны, то противник нас будет наказывать. На тех же учениях, которые мы проводили, войска были поставлены в необходимость преодолеть 2 мелкие речушки, но с сильно заболоченным прилеганием. Через эти речушки должны были пройти кавдивизия и мехбригада. Тов, Тухачевский здесь говорил о том, что на учениях Московского округа 17-я сд страшно неорганизованно переправлялась. Но я понял Михаила Николаевича так, что она все-таки переправилась, хотя и неорганизованно.</w:t>
      </w:r>
    </w:p>
    <w:p w14:paraId="7350B2E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Тухачевский.</w:t>
      </w:r>
      <w:r w:rsidRPr="00E14102">
        <w:rPr>
          <w:color w:val="000000" w:themeColor="text1"/>
          <w:sz w:val="16"/>
          <w:szCs w:val="16"/>
        </w:rPr>
        <w:t xml:space="preserve"> В мирное время можно.</w:t>
      </w:r>
    </w:p>
    <w:p w14:paraId="79EBBAE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В Приморской группе на большом учении ОКДВА при переправе кавдивизии и мехбригады был не только невообразимый беспорядок, но части не смогли переправиться; через первую речку кое-как переправились, а через вторую речку, речку Чахезу, ни мехбригада, ни кавдивизия не переправились и не приняли участия в сражении по этой причине. Маневр пропал вхолостую, весь маневр остался висеть на захлестывающем фланге. Все это меня беспокоит.</w:t>
      </w:r>
    </w:p>
    <w:p w14:paraId="636D32D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1935 г. мы впервые в ОКДВА по настоящему стали учиться в горах, в болотистой местности, на бездорожной местности. Этот год показал, что мы преодолеваем все это дело, что оно удается, но проходит еще с величайшими недочетами, и эти недочеты характеризуют самый конец учебы по 1935 г. Преодоление этих недочетов встает в качестве крупнейшей задачи на 1936 г., а в целом обучение ведению боевых действий, маневра в этой своеобразной местности.</w:t>
      </w:r>
    </w:p>
    <w:p w14:paraId="6F451C2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Вы упрекаете нас, т. народный комиссар. Значит, мы должны поправить положение.</w:t>
      </w:r>
    </w:p>
    <w:p w14:paraId="495501A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уже докладывал, как выгладят японские полки, их горная организация; факт, что против этой горной организации у нас очень мало горного. Это нас должно беспокоить. Вероятно, мы должны перестроиться. На наших учениях легкие батальоны хорошо преодолевают местность, то, что было на вьюках, преодолевает местность достаточно успешно, а колеса либо застревали (особенно артиллерия), или ползли крайне медленно. Это ставит вопрос о перестройке наших дивизий, во всяком случае тех дивизий, которым придется действовать в первую очередь по этой трудной местности. По какому направлению должна пойти эта перестройка. Изучение местности, наши опыты и изучение опыта противника показывают, что придется пересматривать организацию нашей дивизии по двум направлениям — давать побольше вьюков и гусеничных машин. Опыт т. Федько показывает, что 1200—1300 вьюков потребуется на одну дивизию.</w:t>
      </w:r>
    </w:p>
    <w:p w14:paraId="5D2CE0E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Для того чтобы протаскивать артиллерию, получить своевременную артиллерийскую поддержку, без которой современный бой невозможен, потребуется переход с колес на гусеницы. Опыт, который был проделан нами, показывает, что трактор «Сталинец»</w:t>
      </w:r>
      <w:r w:rsidRPr="00E14102">
        <w:rPr>
          <w:color w:val="000000" w:themeColor="text1"/>
          <w:sz w:val="16"/>
          <w:szCs w:val="16"/>
          <w:vertAlign w:val="superscript"/>
        </w:rPr>
        <w:t>60</w:t>
      </w:r>
      <w:r w:rsidRPr="00E14102">
        <w:rPr>
          <w:color w:val="000000" w:themeColor="text1"/>
          <w:sz w:val="16"/>
          <w:szCs w:val="16"/>
        </w:rPr>
        <w:t>, который мы имеем, который дает максимум 7 км в час, прекрасно тащит орудия даже в условиях трудной местности — по склонам, в лесу, на по-лузаболоченных местах, тащит гаубицы и трехдюймовые пушки. На учениях в качестве тягачей нередко использовались танки. Вообще танки в этой местности вполне применимы. Таким образом, можно считать, что достаточное оснащение этими тракторами обеспечит нам продвижение артиллерии. Я слышал, что есть новые гусеничные трактора, скорость которых 25-30 км, которые имеют платформу, как грузовик, и приспособление, как тягач. Вот этими тракторами нужно было бы нас обеспокоить — это было бы прекрасно, это было бы замечательно для нашей артиллерии и открывало бы не только возможности уравновесить наше движение сравнительно с пехотой, но и превзойти по подвижности японскую организацию. Это дало бы нам возможность лучше маневрировать, обходить и уничтожать противника, словом, это в гораздо большей степени, чем сегодня, даст возможность использовать все имеющиеся у нас средства.</w:t>
      </w:r>
    </w:p>
    <w:p w14:paraId="1DBC95B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Вот такие у меня напрашиваются выводы в отношении обучения наших войск, и того, как выгладит театр, противник и какие практические обязанности это налагает на нас.</w:t>
      </w:r>
    </w:p>
    <w:p w14:paraId="66C9911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Перехожу к авиационным вопросам. Прежде всего относительно оперативной подготовки. Успехи, которые достигнуты нашей авиацией за это время в части одиночных полетов, ночных, слепых, в части штурманской службы, ухода за материальной частью (хотя надо признать, что здесь далеко еще не все сделано и предстоит сделать еще очень многое), эти успехи в области летной подготовки позволяют нам в большей мере подойти к оперативно-тактической подготовке. В этом году во всех бригадах у нас были проведены по одному — два летно-тактических бригадных учения. Во всех бригадах были также проведены военные игры  —  одна — две, а в некоторых три на самостоятельное применение авиации, прежде всего по вопросу уничтожения японской авиации. Вся эта предварительная работа позволила при поддержке командующего Тихоокеанским флотом т. Викторова, который поддержал наше предложение, устроить заключительное учение большой массы авиации ОКДВА и Тихоокеанского флота. По существу, это были воздушные маневры, в которых с каждой стороны участвовало не менее трех бригад, если считать отдельные эскадрильи, которые не сведены в бригадные соединения. Тема этого большого учения была следующая — проработка положения, которое может возникнуть с началом войны, — это внезапный налет японской авиации на нашу авиацию, которая, как известно, находится у границы, и как ответить на такое внезапное нападение, как провести ответную операцию на уничтожение авиации японцев. Было объявлено, что некий день есть начало учения. Это было определено так, что получены агентурные данные, что прилетели японские самолеты и можно ждать всякого подвоха. Было приказано перейти на особое положение и быть в готовности к внезапному нападению противника. Выдержали 18 часов и в сумерки последовало первое нападение. После этого начались дальнейшие боевые действия.</w:t>
      </w:r>
    </w:p>
    <w:p w14:paraId="5DCFC48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Какими силами «японцы» напали?</w:t>
      </w:r>
    </w:p>
    <w:p w14:paraId="06B2FFC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Примерно со стороны Тихоокеанского флота, который был нападающей стороной, до трех бригад. Это большое учение, как и предшествовавшие ему бригадные учения и игры, дало нам известный опыт и выявило приемы ведения такой операции. С другой стороны, большое учение показало исключительное неблагополучие с делом управления авиацией в такой операции. Первые налеты, заранее разработанные, предусмотренные и расписанные, вышли более или менее гладко, а дальше запутались. Начальники потеряли представление о том, что делается в воздухе, какие части противника удалось разбить или ущемить в той или другой степени и т.д. Все это было чрезвычайно неясно.</w:t>
      </w:r>
    </w:p>
    <w:p w14:paraId="1C0A55F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Даже днем.</w:t>
      </w:r>
    </w:p>
    <w:p w14:paraId="5391EB0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Лапин.</w:t>
      </w:r>
      <w:r w:rsidRPr="00E14102">
        <w:rPr>
          <w:color w:val="000000" w:themeColor="text1"/>
          <w:sz w:val="16"/>
          <w:szCs w:val="16"/>
        </w:rPr>
        <w:t xml:space="preserve"> Это учение продолжалось двое суток, и в дальнейшем, после первых взлетов, надо сказать, что действия перешли на самотек. Наши начальники проявили некоторую находчивость в этом деле. Бьшо поручено отдельным бригадам контролировать определенные районы, и что поймаешь там, то и уничтожать. И в результате получилось большое количество полетов, зачастую впустую, в одну и в другую сторону, и что попадалось на аэродроме, это атаковалось. Тем не менее в результате всех этих действий получилось впечатление, что дело как бы кончилось большим взаимным истреблением, и если учение немножко еще продолжить — на день-два, то при таком интересе могло бы оказаться, что значительная часть и одной, и другой стороны была бы уничтожена, насколько мы это могли понять.</w:t>
      </w:r>
    </w:p>
    <w:p w14:paraId="1FF2721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 воздухе?</w:t>
      </w:r>
    </w:p>
    <w:p w14:paraId="3310A51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Нет, главным образом путем атаки на земле. И если бы продолжить дня на два, то можно сказать так: «посуда» с обеих сторон была бы разбита до конца. Авиации не осталось бы. Тут было сказано, что мы имеем некоторые успехи в области маскировки, можем спрятать авиацию. В этом отношении были сделаны очень большие потуги, очень много и внимательно работали наши командиры. Я не переоцениваю это дело. Удалось много спрятать, но подробная, внимательная работа по расшифрованию того, что было спрятано, как правило, приводило к тому, что это обнажалось.</w:t>
      </w:r>
    </w:p>
    <w:p w14:paraId="2099518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Прятали на аэродромах?</w:t>
      </w:r>
    </w:p>
    <w:p w14:paraId="34DA2F9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Прятали на полевых аэродромах, и не только на полевых аэродромах. Мы изыскивали полосочки местности, не похожие на аэродром, шириной 300 м приблизительно, и туда протаскивали самолеты, но при том методе разведки, о котором докладывал т. Уборевич, когда за тобой летят и истребители, и разведчики, и воздушные шпионы, воздушные патрули, которые рыскают по всей местности и выслеживают, куда ты возвращаешься, конечно, спрятать очень трудно. Имеется еще метод сквозного просмотра местности, когда летит целая эскадрилья самолетов на расстоянии 10 км самолет друг от друга и, как гребешком, прочесывает-просматривает. На 5 км в сторону видно очень хорошо. Все эти приемы приводят к тому, что самолеты обнаруживаются. Некоторые пункты, благодаря недостаточной организованности разведки сторонами, не были разысканы, некоторые эскадрильи не были обнаружены, но это не потому, что они хорошо спрятаны, а потому, что был допущен целый ряд ошибок на другой стороне, которая недостаточно организовала расшифровку. С такого рода ошибками мы должны считаться как с нашей стороны, так и со стороны противника. Это бесплатная премия, которая может у нас получиться.</w:t>
      </w:r>
    </w:p>
    <w:p w14:paraId="315FA0F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Вот таковы выводы в отношении этого учения, и это заставило нас очень много позаботиться о том, как же выскочить из этого неприятного положения. Мы наметили несколько путей. Во-первых, самым кардинальным решением, как нам кажется, которое дает выход из этого положения, является устройство самолетных убежищ, привлечение фортификации на службу авиации. Нами было сконструировано несколько типов самолетных убежищ. В Приморской группе распоряжением командующего войсками т. Федько было организовано строительство убежища типа бокса, в Хабаровске на армейском аэродроме, по указанию командарма, также было организовано устройство 4 типов убежищ. Наибольшее внимание из этих самолетных убежищ привлекают два типа. Один тип — это скрывающееся самолетное убежище, подобное скрывающейся огневой точке. Мы представили проекты этого и другого убежищ в центр. Устройство скрывающегося самолетного убежища следующее: по форме самолета вырывается углубление в земле так, чтобы туда можно опустить самолет. На продолжении сторон этого фигурного углубления делаются узкоколейные рельсочки. На этих узкоколейных рельсочках делается накатик. Верх накатика накрывается дерном, и этот накатик полностью сливается с аэродромом. Через накатик может проходить пешеход, может проходить танк, не причиняя ему никакого вреда. Накатики сравниваются с аэродромами. Когда нужно вытащить самолет, этот накатик откатывается, можно это делать вручную, можно при помощи лебедки или талей, и самолет поднимается.</w:t>
      </w:r>
    </w:p>
    <w:p w14:paraId="3CB02FE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Сколько времени требуется на это?</w:t>
      </w:r>
    </w:p>
    <w:p w14:paraId="4E298B0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Если делать это при помощи подручных средств — талей, при помощи цепей, как это бьшо у нас, то мы вытаскивали самолет за 10 мин. Если же пользоваться лебедкой, то можно довести этот срок до 2 мин. У нас в Хабаровске устроено убежище примитивного типа с деревянной обшивкой, убежище временного типа. Наши инженеры докладывают, что если это убежище устроить железобетонным, т.е. дать бетонную рубашку с изоляционным слоем и дать туда еще отепление, освещение, вентиляцию, то это обойдется в 40— 50 тыс. на одно убежище, которое может служить хорошим ангаром, в котором будет тепло, уютно и светло.</w:t>
      </w:r>
    </w:p>
    <w:p w14:paraId="2AC75F8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Как у вас с водой?</w:t>
      </w:r>
    </w:p>
    <w:p w14:paraId="3DA8FC5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Инженеры дали заключение, что надо дать бетонную рубашку с изоляционным слоем.</w:t>
      </w:r>
    </w:p>
    <w:p w14:paraId="16E63D5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Без дренажа?</w:t>
      </w:r>
    </w:p>
    <w:p w14:paraId="19CC56B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Без дренажа. Сейчас в Хабаровске приступлено к постройке бетонного с изоляционным слоем убежища, которое пройдет и зимние испытания. Посмотрим, как будет действовать разница температуры, будет ли стекать вода по стенкам, появляться иней и в какой мере это убежище сможет удовлетворить нас как ангар. Это один способ. Это убежище полностью спасает самолет от отравляющих веществ, от поражения пулями и осколками и взрывной волны. Самолет может быть разбит только бомбой прямого попадания, при этом разбит будет только один самолет, который будет в данном убежище. Этот тип убежища наиболее привлекает наше внимание. Построенный и выбранный достаточно умело на аэродроме, он будет неуязвим для противника. Противник не будет знать, в каком месте он находится. Если раскроет потом район, всегда для него будет загадкой, находятся ли самолеты там в данный момент. Изучение вероятных результатов бомбометания по площади показывает, что это дело мало интересное ввиду большого расхода бомб и небольших результатов поражения самолетов, скрытых в убежищах. Очень много занимал нас вопрос, как скрыть самолет ТБ-3</w:t>
      </w:r>
      <w:r w:rsidRPr="00E14102">
        <w:rPr>
          <w:color w:val="000000" w:themeColor="text1"/>
          <w:sz w:val="16"/>
          <w:szCs w:val="16"/>
          <w:vertAlign w:val="superscript"/>
        </w:rPr>
        <w:t>61</w:t>
      </w:r>
      <w:r w:rsidRPr="00E14102">
        <w:rPr>
          <w:color w:val="000000" w:themeColor="text1"/>
          <w:sz w:val="16"/>
          <w:szCs w:val="16"/>
        </w:rPr>
        <w:t>, В Хабаровске мы решили приступить к устройству убежища на ТБ-3. Инженеры говорят, что удастся погрузить в землю и этот самолет. А сколько будет стоить — должен показать опыт.</w:t>
      </w:r>
    </w:p>
    <w:p w14:paraId="4F26E2E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тип самолетного убежища — это малый ангар с траверсным устройством, примерно на 2—3 самолета. Стены малого ангара-убежища и перегородки между самолетами в нем представляют собой двойную метровую обшивку, засыпанную песком. Если бомба рвется около такой стенки, то стенки перехватывают все осколки. Если бомба попадает в ангар и дробит самолет, то соседние два самолета остаются целы. Этот тип наиболее приемлемый для истребителей.</w:t>
      </w:r>
    </w:p>
    <w:p w14:paraId="21DC660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Под землей?</w:t>
      </w:r>
    </w:p>
    <w:p w14:paraId="1F4302C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Это убежище наземного устройства.</w:t>
      </w:r>
    </w:p>
    <w:p w14:paraId="68CE0C7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Наряду с этим мы выявили, что очень действенным средством в борьбе с авиацией противника является обман противника на наших полевых аэродромах, которые сравнительно легко находятся вследствие плохой их маскировки, о чем здесь уже говорил т. Хрипин. К сожалению, недостаток средств, а главное, недостаточная наша напористость в этом вопросе привела к тому, что мы устроили такие полевые аэродромы, которые быстро обнаруживаются. Для устранения этих недостатков наряду с проведением работ по осуществлению маскировки полевых аэродромов необходимо обзавестись на аэродромах макетным хозяйством. Для этого имеется, между прочим, и такой путь.</w:t>
      </w:r>
    </w:p>
    <w:p w14:paraId="43C032D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 нас много самолетов отходит в ремонт, заменяются крылья, имеются выслужившие срок самолеты, разбитые и т.п. Мы проделали такую работу: брали крылья и хвосты таких самолетов и ставили их в кустарник и другие маски, прилегающие к аэродрому. С воздуха разведчикам противника кажется, что это настоящие замаскированные самолеты с недостаточно замаскированными крыльями или другими деталями, разведчику кажется, что тут целая замаскированная эскадрилья, а потому противник по ним бомбит и оставляет в стороне наши эскадрильи, укрытые в других местах.</w:t>
      </w:r>
    </w:p>
    <w:p w14:paraId="3F6AB87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К сожалению, это дело двигается очень медленно, в то время как у нас имеется сотня предложений, как нужно подмаскиро-ваться.</w:t>
      </w:r>
    </w:p>
    <w:p w14:paraId="7C32C78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Вы поменьше предложений, а побольше дела. Если вы будете кому-то предлагать, чтобы кто-то разрешил и предложил, то на это потребуется много времени. А вы сами это делайте и, если нужно, просите деньги. Необходимо вам заняться этим на месте, у вас для этого все необходимые данные.</w:t>
      </w:r>
    </w:p>
    <w:p w14:paraId="431E59C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Далее, мы убедились, что наряду с замаскированными полевыми аэродромами и постоянными аэродромами нужно внести еще один оперативный элемент, это авиаплощадку, непохожую на аэродром, главным образом в местности, не подходящей для аэродрома. Летчики умеют сажать самолеты на полосы шириной 50— 70 м, почему же мы не можем сажать самолеты на таких естественных полосах. Такие естественные полосы не привлекают внимания противника, и если умело вести посадку и взлет, когда нет разведчиков противника, то можно на таких полосах отсиживаться и подобные места дают некоторую возможность укрытия наших самолетов. Осуществление всех указанных мер и приемов позволит нам успешно поражать авиацию противника, не подставляя свои самолеты под удар противника.</w:t>
      </w:r>
    </w:p>
    <w:p w14:paraId="7E66A39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Поскольку будет еще отдельный доклад по воздушным вопросам, по вопросам воздушного боя, разрешите высказаться позже.</w:t>
      </w:r>
    </w:p>
    <w:p w14:paraId="429FE86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75-79.</w:t>
      </w:r>
    </w:p>
    <w:p w14:paraId="0BA4532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Примаков. Я</w:t>
      </w:r>
      <w:r w:rsidRPr="00E14102">
        <w:rPr>
          <w:color w:val="000000" w:themeColor="text1"/>
          <w:sz w:val="16"/>
          <w:szCs w:val="16"/>
        </w:rPr>
        <w:t xml:space="preserve"> хотел бы доложить главным образом о вопросах, не вошедших в доклад командующего округом т. Шапошникова, о подготовке мотомехчастей округа и ПВО Ленинграда.</w:t>
      </w:r>
    </w:p>
    <w:p w14:paraId="3A1793F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Мотомехчасти округа в течение лета минувшего года работали главным образом над выправлением тех недочетов, которые были отмечены в приказе народного комиссара. Нужно доложить со всей ответственностью, что на основе выполнения приказа наркома и выправления тех недочетов, которые были отмечены им, многочисленными проверками установлено, что мехчасти округа справились с материальной частью, устранили недочеты в ее сбережении и что в этом процессе выросла общая слаженность мотомехчастей округа. Эта общая слаженность, в частности, проверена на таком случае, как готовность мотомехкорпуса по боевой тревоге. Мехкор-пус по объявленной народным комиссаром боевой тревоге был готов к действию за 1 час 20 мин., что можно признать сроком вполне удовлетворяющим для такого соединения, как 7-й мехкорпус</w:t>
      </w:r>
      <w:r w:rsidRPr="00E14102">
        <w:rPr>
          <w:color w:val="000000" w:themeColor="text1"/>
          <w:sz w:val="16"/>
          <w:szCs w:val="16"/>
          <w:vertAlign w:val="superscript"/>
        </w:rPr>
        <w:t>62</w:t>
      </w:r>
      <w:r w:rsidRPr="00E14102">
        <w:rPr>
          <w:color w:val="000000" w:themeColor="text1"/>
          <w:sz w:val="16"/>
          <w:szCs w:val="16"/>
        </w:rPr>
        <w:t>.</w:t>
      </w:r>
    </w:p>
    <w:p w14:paraId="3593D0B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течение лета подготовка шла также и по линии умения преодолеть препятствия, и по направлению опытных работ. Из числа опытных работ мехкорпуса я остановлюсь на плавающих танках</w:t>
      </w:r>
      <w:r w:rsidRPr="00E14102">
        <w:rPr>
          <w:color w:val="000000" w:themeColor="text1"/>
          <w:sz w:val="16"/>
          <w:szCs w:val="16"/>
          <w:vertAlign w:val="superscript"/>
        </w:rPr>
        <w:t>63</w:t>
      </w:r>
      <w:r w:rsidRPr="00E14102">
        <w:rPr>
          <w:color w:val="000000" w:themeColor="text1"/>
          <w:sz w:val="16"/>
          <w:szCs w:val="16"/>
        </w:rPr>
        <w:t>. Плавающие танки сделали пробег, в течение которого шли по воде, в том числе по озеру Ильмень, от устья Шелони до истока Волхова, от Волхова до Ладоги, по ладожскому каналу в Неву, по Неве до Петропавловской крепости. Почему я считаю нужным остановиться на этом пробеге? Этот пробег важен потому, что он показывает нам, что плавающие танки могут проходить в условиях большой волны. Этот пробег был сделан в условиях волны около метра высотой на озере Ильмень. Крупная волна не захлестывает, а поднимает и плавно опускает. Гораздо опаснее низкая, береговая волна, которая благодаря своей частоте и крутому гребню захлестывает танк. Танки охотнее шли с удалением от берега, стараясь не приближаться. Для нас это важно для нашего Северо-Западного военного театра по той причине, что нам придется драться в озерных районах Финляндии и Прибалтийских стран.</w:t>
      </w:r>
    </w:p>
    <w:p w14:paraId="02BB6EA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Кроме того, мы сделали второй опыт — проверили опытом, если придется драться в бездорожных, лесистых местностях, где нет дорог, но нельзя не найти выход в переброске плавающих танков на большие расстояния по водным путям, на буксире пароходов. Мы сделали опыт переброски на пароходном буксире. Этот опыт вполне удался, на буксире водили взвод танков со скоростью до 10 км в час по Неве. Этот опыт дал возможность сделать интересный вывод: если нужно, можно произвести переброску танков на буксирах по озерам Финляндии.</w:t>
      </w:r>
    </w:p>
    <w:p w14:paraId="6B90B28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Вторая группа опытных работ сделана в связи с приказом т. наркома об укреплении Карельского перешейка. Мы сделали ряд опытных сооружений — препятствий, которые танки должны были преодолевать. Танк Т-28</w:t>
      </w:r>
      <w:r w:rsidRPr="00E14102">
        <w:rPr>
          <w:color w:val="000000" w:themeColor="text1"/>
          <w:sz w:val="16"/>
          <w:szCs w:val="16"/>
          <w:vertAlign w:val="superscript"/>
        </w:rPr>
        <w:t>64</w:t>
      </w:r>
      <w:r w:rsidRPr="00E14102">
        <w:rPr>
          <w:color w:val="000000" w:themeColor="text1"/>
          <w:sz w:val="16"/>
          <w:szCs w:val="16"/>
        </w:rPr>
        <w:t xml:space="preserve"> преодолевает все виды препятствий, кроме французского забора. На французский забор танк Т-28 разогнался, въехал брюхом на забор и повис на нем. Нижний кол французского забора высотой до колена, второй кол — до пояса, третий кол — до груди, четвертый кол — до пояса, пятый кол — до колена. Связаны между собой колья не колючей проволокой, а обыкновенным тросом, который привинчен к кольям. На Т-28 мы проделали такой опыт — он начал быстро подниматься по кольям, дошел до высокой точки и повис. Пришлось вызвать два трактора для того, чтобы его стаскивать. Французский забор оказался действительно сильным заграждением, способным задержать продвижение Т-28. Танк поднимается на него, колья выдерживают вес танка, гусеницы теряют сцепление, и он провисает на среднем колу брюхом. По фронту кол от кола на расстоянии 1</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xml:space="preserve"> м. Все это дело было сделано в присутствии начальника Генерального штаба маршала т. Егорова.</w:t>
      </w:r>
    </w:p>
    <w:p w14:paraId="291E48F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Мехкорпус также в течение лета проделал целый ряд выходов в поле, и в июне, июле и августе мы провели 8 больших полевых учений для того, чтобы подготовиться к нашим большим учениям. На этих больших осенних учениях мехкорпус и 20-я стрелковая дивизия вышли в следующем порядке (опять-таки связано с опытной работой и даже некоторыми опытными выводами). Боевая часть мехкорпуса на большие осенние учения была отправлена в эшелонах, но тылы мехкорпуса и 33-я стрелково-пулеметная бригада были отправлены на колесах так же, как на автомобиле была переброшена и вся 20-я сд. Этот опыт интересен потому, что, во-первых, мы перебросили стрелковую дивизию на гражданском транспорте. Нам город дал 500 грузовиков и 100 легковых машин для этой операции на 10 дней осенних учений. Во-вторых, мы сделали переброску лошадей на машинах на 380 км от Тосково до Каргамышево, и эта переброска длилась двое суток.</w:t>
      </w:r>
    </w:p>
    <w:p w14:paraId="09E27E8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Каким же транспортом и конями воевала дивизия, если было только 52 лошади?</w:t>
      </w:r>
    </w:p>
    <w:p w14:paraId="511BF2F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Примаков.</w:t>
      </w:r>
      <w:r w:rsidRPr="00E14102">
        <w:rPr>
          <w:color w:val="000000" w:themeColor="text1"/>
          <w:sz w:val="16"/>
          <w:szCs w:val="16"/>
        </w:rPr>
        <w:t xml:space="preserve"> Мы отправили артиллерийский полк дивизии и ее тылы поездами, а на автомобилях мы подняли всю пехоту для опытной переброски для того, чтобы все это дело проверить. Таких перебросок на такие большие дистанции, т.е. оперативных перебросок с Финского фронта на Эстонский, мы до сих пор не имели. Мы решили проверить, во-первых, как выгоднее лошадей ставить на машинах, во-вторых, какой режим перебросок должен быть сделан, в-третьих, можно ли этими конями, переброшенными на машинах, сейчас же работать. Оказалось выгоднее ставить лошадей по двое на полуторатонку, чем по 3 лошади на большую машину. Пройдя 380 км в течение 2 суток, лошади тотчас же оказались в состоянии начать работу в артиллерийской запряжке. Вывод таков, что переброски лошадей на большие дистанции, оперативные переброски проверены в условиях плохих разбитых дорог, и что конь работает после этого хорошо, тотчас же запрягаясь в батарею.</w:t>
      </w:r>
    </w:p>
    <w:p w14:paraId="3845520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 второй вывод, т. нарком, надо пересмотреть норму расчетов скорости движения в сутки, потому, что мы имеем шоферов городских, при этом мы не имели времени для их тренировки, это был народ, обученный ездить только на наших ленинградских улицах. И однако они прошли 380 км за двое суток и после этого были в состоянии работать на следующий день, и работали. Значит, норма в 200 км на день по нашим дорогам должна быть признана реальной нормой, а это означает необходимость пересмотреть суточную норму перевозки на автомобилях, данную в нашем уставе, повысить ее на 25—30%, причем для дорог не только шоссейных, но и с грунтовым участком. Почему мы можем это сделать? Мы опять-таки совершенно умышленно проделали такой опыт в 20-й дивизии, которой бьшо предложено в условиях воздушного нападения сойти с шоссе на грунтовую дорогу. Это было в районе Красно-Стружских лагерей.</w:t>
      </w:r>
    </w:p>
    <w:p w14:paraId="56690EB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А защита от авиации во время данного перехода была организована?</w:t>
      </w:r>
    </w:p>
    <w:p w14:paraId="17666E7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Примаков.</w:t>
      </w:r>
      <w:r w:rsidRPr="00E14102">
        <w:rPr>
          <w:color w:val="000000" w:themeColor="text1"/>
          <w:sz w:val="16"/>
          <w:szCs w:val="16"/>
        </w:rPr>
        <w:t xml:space="preserve"> Мы имели приказом дивизии специально подготовленные для отражения нападения авиации пулеметы.</w:t>
      </w:r>
    </w:p>
    <w:p w14:paraId="4FA8282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А вы пробовали делать так, чтобы впереди группы организовать прикрытие?</w:t>
      </w:r>
    </w:p>
    <w:p w14:paraId="0119ACC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Примаков.</w:t>
      </w:r>
      <w:r w:rsidRPr="00E14102">
        <w:rPr>
          <w:color w:val="000000" w:themeColor="text1"/>
          <w:sz w:val="16"/>
          <w:szCs w:val="16"/>
        </w:rPr>
        <w:t xml:space="preserve"> У нас был такой опыт. Возле села Лудони, где вокруг шоссе на 10 км заболоченные места, мы создали специальные пулеметные группы (пушек у нас не бьшо, были только пулеметы), которые прикрывали устье и входы дефиле и таким образом обеспечивали дивизию от нападения.</w:t>
      </w:r>
    </w:p>
    <w:p w14:paraId="5106EA4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А в воздухе наблюдение велось?</w:t>
      </w:r>
    </w:p>
    <w:p w14:paraId="115642F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Примаков. Я</w:t>
      </w:r>
      <w:r w:rsidRPr="00E14102">
        <w:rPr>
          <w:color w:val="000000" w:themeColor="text1"/>
          <w:sz w:val="16"/>
          <w:szCs w:val="16"/>
        </w:rPr>
        <w:t xml:space="preserve"> уже сказал, что у нас на каждые 20 машин были специальные пулеметные группы, которые вели наблюдения. Эти группы охраняли от нападения и вместе с тем вели наблюдение. Мы считаем, что это бьшо единственно правильным, так как если бы мы взяли большую группу, то неизбежно были бы разрывы, и вести как защиту, так и наблюдение бьшо бы труднее.</w:t>
      </w:r>
    </w:p>
    <w:p w14:paraId="3552EFB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Меня интересует другое — в воздухе за авиацией наблюдали?</w:t>
      </w:r>
    </w:p>
    <w:p w14:paraId="49C41DD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Примаков.</w:t>
      </w:r>
      <w:r w:rsidRPr="00E14102">
        <w:rPr>
          <w:color w:val="000000" w:themeColor="text1"/>
          <w:sz w:val="16"/>
          <w:szCs w:val="16"/>
        </w:rPr>
        <w:t xml:space="preserve"> Так точно. С аэродромов. В Гатчино и в Кречевицах мы организовали на пути продвижения наблюдение самолетов и высадили два авиадесанта, причем первый день, когда была прекрасная погода, бьшо три атаки, а на второй день был дождь, и была только одна атака с воздуха, но, во всяком случае, мы все время держали наши части в большом напряжении — они ждали нападения с воздуха.</w:t>
      </w:r>
    </w:p>
    <w:p w14:paraId="03B9CEC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Теперь разрешите перейти к условиям маневров, в которых проводилась у нас работа, потому что здесь также было важно проверить один вывод, о котором были разговоры среди автобронетанкового командования в нашем округе. Это относительно возможности действия крупных мотомеханизированных войск в условиях нашего северо-западного театра. Должен признать, т. народный комиссар, как результат маневров, что мы пришли к заключению, что танковые части являются частями вполне полноценными и для северо-западного театра в крупных соединениях типа мехкорпуса. Это было проверено на следующем: обстановка наших маневров была такая, какая должна быть в начальный период войны, т.е. такая обстановка, в которой при малой плотности фронта участвуют наиболее подготовленные части, способные к быстрому и решительному нападению, обстановка, богатая сложными положениями. Эта обстановка была усилена крайней непогодой. Мы весь маневр провели в таких условиях, что все ручейки стали речками и все болота озерами. Все дороги размокли, весь маневр провели в условиях ливня, холодных ветров и крайней непогоды, и даже в этих условиях картина работы танковых частей была такова. </w:t>
      </w:r>
      <w:r w:rsidRPr="00E14102">
        <w:rPr>
          <w:rStyle w:val="a6"/>
          <w:i w:val="0"/>
          <w:color w:val="000000" w:themeColor="text1"/>
          <w:sz w:val="16"/>
          <w:szCs w:val="16"/>
        </w:rPr>
        <w:t>(Дает диаграмму.)</w:t>
      </w:r>
      <w:r w:rsidRPr="00E14102">
        <w:rPr>
          <w:color w:val="000000" w:themeColor="text1"/>
          <w:sz w:val="16"/>
          <w:szCs w:val="16"/>
        </w:rPr>
        <w:t xml:space="preserve"> Причем эта картина усугубляется еще тем, что командир корпуса т. Бакши допустил крупную ошибку, которую я прозевал и не исправил вовремя. Он не взял с собой нужных средств на преодоление болота. Но даже в этих условиях картина была следующая.</w:t>
      </w:r>
    </w:p>
    <w:p w14:paraId="0A3F2E1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Всего действовало 286 танков в крайнюю непогоду, в крайне тяжелых маневренных условиях застревания, поломки и аварийности. В первый день осталось в строю к концу дня 280 танков, два застряло, два имели поломки, у двух были аварии. Другие два дня были самыми худшими днями, В самый тяжелый день осталось в строю 246 танков, т.е. вышли из строя, главным образом застрявшими, 40 танков из 286. Но уже на следующий день в строю было 269 танков, а в последние дни маневра это число поднялось на 275.</w:t>
      </w:r>
    </w:p>
    <w:p w14:paraId="34D81B3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За счет застрявших?</w:t>
      </w:r>
    </w:p>
    <w:p w14:paraId="61991EA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Примаков.</w:t>
      </w:r>
      <w:r w:rsidRPr="00E14102">
        <w:rPr>
          <w:color w:val="000000" w:themeColor="text1"/>
          <w:sz w:val="16"/>
          <w:szCs w:val="16"/>
        </w:rPr>
        <w:t xml:space="preserve"> За счет того, что их вытащили, восстановили и вернули в строй. Резерва танков совершенно не было, танки возвращались в строй за счет восстановления поломок и вытаскивания застрявших. И вот вся эта диаграмма построена на танках, которые мы привезли с самого начала маневров. Вот наш черный день, это был ветер и ливень такой, когда авиация вообще не работала, но танки работали.</w:t>
      </w:r>
    </w:p>
    <w:p w14:paraId="4A39579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Позвольте доложить еще две справки, которые должны объяснить происхождение всяких разговоров и этой диаграммы. Так как на второй день маневров был ливень, когда колесный транспорт весь сбился на шоссе, мне стали слышны разговоры, особенно среди гостей, что танки застревают, что они — оружие неполноценное, и я решил сделать так. Я вызвал к себе всех начальников штабов батальонов и запросил точно поодиночке, чтобы не было сговора, что у вас застряло сегодня, что поломалось и что аварийно, и по записным книжкам начальников штабов составил эту диаграмму. Это материал верный, потому что люди не могли же врать.</w:t>
      </w:r>
    </w:p>
    <w:p w14:paraId="14E2FA4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Могли, и наверное врали. Нужно было изыскать более верный способ.</w:t>
      </w:r>
    </w:p>
    <w:p w14:paraId="62A934C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Славин.</w:t>
      </w:r>
      <w:r w:rsidRPr="00E14102">
        <w:rPr>
          <w:color w:val="000000" w:themeColor="text1"/>
          <w:sz w:val="16"/>
          <w:szCs w:val="16"/>
        </w:rPr>
        <w:t xml:space="preserve"> Кроме проверки начальников штабов проверял командующий. Мы занимались этим делом специально. Но если сказать, что был общий сговор, тогда нечему верить. Наконец, мы сами наблюдали.</w:t>
      </w:r>
    </w:p>
    <w:p w14:paraId="105A000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У Седякина впечатление было другое.</w:t>
      </w:r>
    </w:p>
    <w:p w14:paraId="67C092B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Славин.</w:t>
      </w:r>
      <w:r w:rsidRPr="00E14102">
        <w:rPr>
          <w:color w:val="000000" w:themeColor="text1"/>
          <w:sz w:val="16"/>
          <w:szCs w:val="16"/>
        </w:rPr>
        <w:t xml:space="preserve"> Все гости на дорогах, потому что чрезвычайно трудно было сойти с дороги, и все, что было на дорогах, они только и видели.</w:t>
      </w:r>
    </w:p>
    <w:p w14:paraId="61C965D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Примаков.</w:t>
      </w:r>
      <w:r w:rsidRPr="00E14102">
        <w:rPr>
          <w:color w:val="000000" w:themeColor="text1"/>
          <w:sz w:val="16"/>
          <w:szCs w:val="16"/>
        </w:rPr>
        <w:t xml:space="preserve"> Я считаю, что этот материал вполне достоверный, потому что он проверялся не только этим путем. Кроме того, т. народный комиссар, нужно сделать второй вывод относительно действия мехчастей у нас на маневрах. Это вывод относительно тылов мехча-стей. Для северо-западного театра болотистость требует, чтобы тыл мехчастей был реорганизован в сторону большей проходимости машин, потому что если колесные машины гораздо меньше застревали на южном театре и на западном театре, то на нашем болотистом театре колесные машины тыловых танковых частей легко застревают после ливней и непогоды. Поэтому нужно решительно поставить вопрос, чтобы колесный тыл танковых частей для северо-западного театра был усилен хорошо проходимыми машинами на гусеницах, без которых машины садятся в раскисшую дорогу.</w:t>
      </w:r>
    </w:p>
    <w:p w14:paraId="0654265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вопрос, который я хотел бы доложить, о танкистах и затем о ПВО города Ленинграда.</w:t>
      </w:r>
    </w:p>
    <w:p w14:paraId="654FDDE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Мысль о танкистах следующая. Я наблюдал целый ряд случаев, когда танки садились на зеленом лугу. И впечатление бьшо то же самое, которое возникает от кавалериста, обученного в манеже, но не понимающего местности и становящегося в тупик перед препятствием во время полевой езды. То же самое получается и с танкистами. Ребята учатся на танкодромах. Выезжают на болотистый луг, и он кажется им зеленой лужайкой танкодрома. Люди чересчур мало работают на настоящей местности. Необходимо дополнить их манежную, танкодромную подготовку подготовкой на полевой езде. Тогда застревать будут меньше, будут вернее читать местность, будут понимать, что на зеленой лужайке есть болото, которое нужно обойти по гребню.</w:t>
      </w:r>
    </w:p>
    <w:p w14:paraId="43FFC76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Танкодром есть первая ступень обучения танкиста вождению танка.</w:t>
      </w:r>
    </w:p>
    <w:p w14:paraId="4691528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Так же, как и манеж, является первой ступенью обучения молодого красноармейца езде на лошади.</w:t>
      </w:r>
    </w:p>
    <w:p w14:paraId="50188B1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Примаков.</w:t>
      </w:r>
      <w:r w:rsidRPr="00E14102">
        <w:rPr>
          <w:color w:val="000000" w:themeColor="text1"/>
          <w:sz w:val="16"/>
          <w:szCs w:val="16"/>
        </w:rPr>
        <w:t xml:space="preserve"> Нужно научить водителей танков читать местность; для этого после манежа-танкодрома нужно вести его в поле, для чего можно использовать специальные учебные гусеничные машины, чтобы натренировать в полевой езде.</w:t>
      </w:r>
    </w:p>
    <w:p w14:paraId="589BEC9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вопрос, который мы считаем важнейшим вопросом, — это ПВО и о нем нужно особо доложить. Финские аэродромы показывают, что Финляндия рассчитывает на чужую авиацию, которую она примет на свою территорию и направит против нас.</w:t>
      </w:r>
    </w:p>
    <w:p w14:paraId="70CFEF0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Об этом нужно говорить по докладу т. Алксниса. Ваше время истекло.</w:t>
      </w:r>
    </w:p>
    <w:p w14:paraId="741317F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Слово имеет т. Грибов, следующий — Маршал Советского Союза т. Блюхер.</w:t>
      </w:r>
    </w:p>
    <w:p w14:paraId="1B8B794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79-80.</w:t>
      </w:r>
    </w:p>
    <w:p w14:paraId="50B99B0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Грибов.</w:t>
      </w:r>
      <w:r w:rsidRPr="00E14102">
        <w:rPr>
          <w:color w:val="000000" w:themeColor="text1"/>
          <w:sz w:val="16"/>
          <w:szCs w:val="16"/>
        </w:rPr>
        <w:t xml:space="preserve"> Тов. народный комиссар! Я хотел доложить о том, что начсостав в 1935 г. выполнил задачу, поставленную вашим приказом, и дал вполне положительные результаты. Метод подготовки начсостава, который принят в войсках Белорусского военного округа, — это зачетные занятия от командиров корпусов и командиров дивизий, принимающиеся командующим войсками на сборах высшего начсостава, дает положительные результаты. Такие зачетные учения принимаются на корпусных сборах от командиров полков. В отношении штабов корпусов, дивизий зачетные занятия штабов, проводимые командующим войсками или начальником штаба округа в течение двух дней с обозначенными войсками, дают положительные результаты и рост.</w:t>
      </w:r>
    </w:p>
    <w:p w14:paraId="7B7E02E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в отношении младшего командира артиллериста вопрос, поставленный здесь заместителем народного комиссара обороны т. Гамарником. Будущий младший командир артиллерист в учебном дивизионе перегружен конем, и та программа, которая поставлена перед младшим командиром артиллерии, требует, чтобы мы на сегодняшний день от подготовки младших командиров в учебных дивизионах отказались и перешли к полковым школам, что повысит качество младшего командира. Кроме того, надо обратить внимание на вопросы комплектования артиллерии более грамотными и физическими крепкими, особенно тяжелой артиллерии. Укомплектование 1935 г. в этом отношении неудовлетворительно.</w:t>
      </w:r>
    </w:p>
    <w:p w14:paraId="2C427F8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 о сверхсрочнике. У нас установлено звание командира взвода. Этому званию надо придать особое значение в смысле подготовки, чтобы его квалификация соответствовала этому званию и росту до уровня среднего командира; сверхсрочникам 2-го, 3-го годов службы желательно ввести какой-то галун, чтобы он выделялся из общей массы командиров.</w:t>
      </w:r>
    </w:p>
    <w:p w14:paraId="0E236AF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 о второочередных частях. По приказу командующего войсками в V корпусе на сборы были призваны один стрелковый полк и артдивизион, и мы убедились, что по своей подготовке второочередные части небоеспособны. Слаба военная подготовка, так как в течение 10 лет не собирали запас на повторные сборы, и особенно слабы специалисты — артиллеристы, химики, радисты, связисты, можно сказать, они отсутствуют. По возрасту второочередные части имеют в своем составе сорокалетних, поэтому сейчас напрашивается вопрос о том, чтобы в кадре мы имели специалистов для артиллерии, наводчиков орудий, радистов, первый номер пулеметчиков и химиков. Чаще собирать сборы второй очереди, а также принять меры к укомплектованию второочередных частей более младшим возрастом, это позволит сделать второочередные части боеспособными.</w:t>
      </w:r>
    </w:p>
    <w:p w14:paraId="7FCC129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Следующий вопрос касается начсостава запаса. На территории Белорусского военного округа начсостава запаса очень мало, мы его получаем из Ленинградского, Московского округов и, как правило, на сборы и во время сборов второочередных частей — неявка 34%. Качество подготовки начсостава неудовлетворительно. Нужно перейти на новый метод переподготовки начсостава в течение 3-4 месяцев. Плохо подготовленный начсостав не дает положительных результатов при призывах на сборы на 1 месяц.</w:t>
      </w:r>
    </w:p>
    <w:p w14:paraId="52F160C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 тыла внеочередных дивизий. Мы имеем в БССР (колхозах) одноконную повозку, парные повозки отсутствуют. И благодаря этому обоз корпуса увеличиваем повозками на 4000. Отсюда и увеличивается количество повозных бойцов, на которых нет ни обмундирования, ни пайков. Внедрение парной повозки в наши колхозы стоит в порядке дня.</w:t>
      </w:r>
    </w:p>
    <w:p w14:paraId="11198D6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Дальше о конном составе. Конский состав по своим сортам мало способен к службе РККА, и хомуты, которые мы сейчас имеем в неп-запасе, чересчур велики, поэтому может получиться, что кони будут, а сбруя не подходит, и в конце концов мы можем остаться без обоза. Сейчас, при победе нашего колхозного строя, нам необходимо нашу мобготовность тылов перенести в колхозы, поставив перед каждым колхозником задачу (под ответственность председателя колхоза и председателя сельсовета) в период мобилизации поставить определенное количество коней, парных повозок и соответствующее количество сбруи, что упрощает и ускоряет мобилизацию. При соответствующем контроле командования округа это даст положительный результат.</w:t>
      </w:r>
    </w:p>
    <w:p w14:paraId="1C517DB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80.</w:t>
      </w:r>
    </w:p>
    <w:p w14:paraId="7D51515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Блюхер.</w:t>
      </w:r>
      <w:r w:rsidRPr="00E14102">
        <w:rPr>
          <w:color w:val="000000" w:themeColor="text1"/>
          <w:sz w:val="16"/>
          <w:szCs w:val="16"/>
        </w:rPr>
        <w:t xml:space="preserve"> Я, т. народный комиссар, хочу доложить вам некоторые особенности, под углом которых проходила боевая подготовка ОКДВА</w:t>
      </w:r>
      <w:r w:rsidRPr="00E14102">
        <w:rPr>
          <w:color w:val="000000" w:themeColor="text1"/>
          <w:sz w:val="16"/>
          <w:szCs w:val="16"/>
          <w:vertAlign w:val="superscript"/>
        </w:rPr>
        <w:t>65</w:t>
      </w:r>
      <w:r w:rsidRPr="00E14102">
        <w:rPr>
          <w:color w:val="000000" w:themeColor="text1"/>
          <w:sz w:val="16"/>
          <w:szCs w:val="16"/>
        </w:rPr>
        <w:t xml:space="preserve"> в текущем году, тем более что эти особенности среди нас, внутри самой армии, вызвали очень большие, я бы сказал, дискуссионные споры. В чем эти особенности. У некоторых товарищей после выступления т. Лапина создалось впечатление, что ОКДВА в горных условиях не подготовлялась. Это неправильно. Неправильно потому, что начиная с 1933 г. мы готовились к горным условиям ведения войны. В начале 1935 г. мы провели большое корпусное учение в Забайкальском округе. Я сожалею, что не присутствовал при выступлении Ивана Кессарионовича Грязнова. На этом учении мы хотели проверить управляемость и действия войск в резко пересеченной местности и способность маневра их на фланге у противника. В результате этого большого учения, на котором участвовали 4 штаба дивизии, штаб корпуса, управление Забайкальской группы, мы убедились, что, несмотря на натасканность в течение 2 лет, несмотря на то, что Забайкальская группа войск ОКДВА много занималась в горных условиях, — стрелковый корпус к операции оказался недостаточно подготовленным.</w:t>
      </w:r>
    </w:p>
    <w:p w14:paraId="33A956D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Грязнов и т. Шестаков болезненно отнеслись к разбору, который я сделал, а картина была такова. Корпус наступает на 30-км фронте. Была проведена нейтральная связь, на которую было ухлопано 511 км провода, участвовало 28-30 радиостанций, и все-таки связи не было. Было такое положение, когда штаб корпуса находился впереди штаба дивизии, штаб дивизии, как правило, отставал от штаба корпуса.</w:t>
      </w:r>
    </w:p>
    <w:p w14:paraId="027605E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ввели элемент ускоренной подготовки горных проходов артиллерийским огнем. Мы хотели сделать следующее: не нужно ждать 3—4 часа, а вот остается, предположим, до сумерек час времени — нужно в этот срок изготовиться. Я должен сказать, что начсостав не был подготовлен, связи не было. Поэтому был сделан вывод, что мы много ходили по горам, но освоить по настоящему ведение войны в условиях горно-таежной местности не смогли. Я должен сказать, что у нас не просто горные условия, а горно-таежные, это значит высота 400—500 м, поднимешься на эту высоту, а там болото. Вы помните, т. народный комиссар, когда были на Бароновском артполигоне. Мы забрались тогда на самое высокое место для того, чтобы видеть разгар столкновений 2 дивизий, и, как вы помните, мы увязли в болоте. Вот эти особенности горно-таежной местности у нас до этого года не учитывались и по-настоящему не прорабатывались.</w:t>
      </w:r>
    </w:p>
    <w:p w14:paraId="04CC0E9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должен сказать, что я согласен с оценкой, данной Яном Борисовичем, войскам нашего округа. Мы продвинулись резко вперед, но недотянулись до требований, которые перед нами ставятся. В 1936 г. мы будем работать таким образом, чтобы формулировка Яна Борисовича, в смысле оценки нашего округа, была бы нами оправдана.</w:t>
      </w:r>
    </w:p>
    <w:p w14:paraId="23584A6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что я хочу сказать, что является присущим для большинства округов. Мы в течение последних 2—3 лет очень много натаскивали наши штабы, наш командный состав и части на методическую форму боя по преодолению укрепленной полосы. И когда весной мы проводили целый ряд учений со штабами и с войсками, то убедились, что мы настолько приучили войска к методичности, что в процессе боя, даже встречного боя, войска не проявляют нужной инициативности, быстроты действия со стороны командиров батальонов, командиров рот и командиров взводов. Когда наблюдаешь картину встречного боя, когда все должно быть скоротечным, когда должны быстро наброситься на одну часть наступающего, с тем чтобы его разбить и немедленно наброситься на вторую часть подходящего противника, когда необходима инициатива со стороны всех командиров, так вот когда наблюдаешь, то оказывается, что у нас этой быстроты нападения на противника нет. Все идет по заранее намеченному плану — штабы перемещаются с пункта на пункт, разбивают палатки, устанавливается телефонная связь, составляются плановые таблицы, т.е. идет нормальная работа. В общем на учениях мы имеем все то, за что очень крепко ругал нас нарком в приказе № 0019.</w:t>
      </w:r>
    </w:p>
    <w:p w14:paraId="0D2B9EA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приведу вам такой пример. Прихожу на один участок, вижу, что обстановка такая, что необходимо немедленно наступление. Опрашиваю командира батальона: обстановка ясно диктует необходимость быстрого действия и нападения на противника, почему вы не наступаете? Он отвечает: приказа нет. Подхожу к младшему командиру и спрашиваю: вам обстановка ясна? Он говорит: ясна. Говорю: расскажите. Он рассказывает: наступает противник человек 300, из этих 300 чел. половина перед нами и эта половина, находящаяся перед нами, обходится с тыла другой частью. Стало быть, информация как будто неплохая, люди понимают обстановку. Я спрашиваю его: почему же вы не наступаете? Он отвечает: приказа нет. Тогда я говорю: а что бы вы сделали, как бы вы поступили? Он говорит: я бы пошел в атаку. Ну и идите в атаку. Пошли. Но его не поддержало соседнее отделение, его не поддержала соседняя рота. Это очень характерный пример для наших войсковых частей. Эта схематичность, которая очень резко велась в войска, заставила меня дать приказ о том, чтобы войсковые части сосредоточили все свое внимание на условиях боя в горно-таежной местности и заострили свое внимание на встречных боях, отказавшись от схематизма.</w:t>
      </w:r>
    </w:p>
    <w:p w14:paraId="5D71B18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мы сделали и каких результатов достигли за текущий год? Я должен сказать, т. нарком, что в этом году мы достигли больших результатов, и отнимать эти результаты у частей, у работников, которые так напряженно, не покладая рук, работали в этом году, было бы неправильно. Но можно ли сказать сегодня, что мы поставленные задачи полностью освоили? Нет, мы этого дела до конца еще не освоили. И с этой точки зрения прав Лапин, который отмечал наши недостатки. Должен сказать, что у нас по вопросу о горно-таежной войне существует две точки зрения. Если вы карту себе представляете, у нас из Приморья на запад для того, чтобы по-настоящему выбраться в Маньчжурию, надо перевалить два хребта длиной 250 км. Я считаю, что на этих горных глубинах и будут разыгрываться бои. Вот мы и стали учить войска, исходя из такого понимания перспективы. Чего достигли? Достигли мы не особенно большого, но уже передрались за принципы войны в горно-таежных условиях. Одни считают, что драка в таких горных условиях возможна только в полосе уже созданных путей, т.е. железных дорог, наличия трактов и т.д. Вторая точка зрения, я считаю, что мы должны подготовлять себя к будущим боям не только в полосе этих путей, но и к боям при движении по тайге. Так вот, если в первом случае мы имеем известные успехи, то вот для действия наших войск в условиях горно-таежной местности мы не подготовлены и в смысле нашей личной подготовки, и организационной.</w:t>
      </w:r>
    </w:p>
    <w:p w14:paraId="6DB3CC0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Когда мы попробовали, что дает горно-таежная местность без дорог, то 26-я дивизия в течение суток, двигаясь 21 час, прошла по карте 17 км, если учесть узкие подъемы — 21 км, т.е. дала в час 1 км. 21 км можно идти один день, самое большее два, но больше с таким напряжением не сделаешь. Возьмем 1-ю дивизию, более подготовленную в горных условиях, потому что там очень допытливый командир т. Фирсов, который сидит на этих острых горах уже три года, эта дивизия дает 1</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xml:space="preserve"> км в час. В этих горно-таежных условиях конница идет в поводу, она максимально дала на маневрах 3 км. Самый интересный вывод — о мотомехвойсках. Мы пустили два батальона почти без дорог. Они давали в час 1,7 км, т.е. меньше 2 км, а главные силы, следовавшие за головными частями мотомехвойск, дали 2,5 км.</w:t>
      </w:r>
    </w:p>
    <w:p w14:paraId="25A85F5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Они преодолевали зону заграждения.</w:t>
      </w:r>
    </w:p>
    <w:p w14:paraId="475DC10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Блюхер.</w:t>
      </w:r>
      <w:r w:rsidRPr="00E14102">
        <w:rPr>
          <w:color w:val="000000" w:themeColor="text1"/>
          <w:sz w:val="16"/>
          <w:szCs w:val="16"/>
        </w:rPr>
        <w:t xml:space="preserve"> Совершенно правильно, они преодолевали зону заграждения, но зону заграждения для передовых частей мы будем иметь, вероятно, на любом театре наших военных действий.</w:t>
      </w:r>
    </w:p>
    <w:p w14:paraId="72C212A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Японцы вопросам химии уделяют гораздо большее внимание, чем мы на Дальнем Востоке. Они создали два крупнейших химических завода. Они будут зверски глушить нас химией, и они к этой химии, несомненно, прибавят бактериологические средства. Я убежден, что холерой они нас будут травить зверски. Я тут не совсем согласен с товарищами, которые считали необходимым клевать Фишмана. Его надо поддерживать, потому что вопросы противохимической защиты — это крупнейшие вопросы, которые чрезвычайно остро стоят, и в этом отношении я просил бы поддержать Фишмана.</w:t>
      </w:r>
    </w:p>
    <w:p w14:paraId="1A51D7C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Можно и поддержать, и поклевать.</w:t>
      </w:r>
    </w:p>
    <w:p w14:paraId="50D08C3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Блюхер.</w:t>
      </w:r>
      <w:r w:rsidRPr="00E14102">
        <w:rPr>
          <w:color w:val="000000" w:themeColor="text1"/>
          <w:sz w:val="16"/>
          <w:szCs w:val="16"/>
        </w:rPr>
        <w:t xml:space="preserve"> Одно другое не исключает.</w:t>
      </w:r>
    </w:p>
    <w:p w14:paraId="6B9F20E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думаю, что норм, необходимых для быстрого продвижения, мы на сегодня еще не добились. И первый вывод, который мы делаем из всего этого, это то, что мы сами недостаточно освоили войну в горно-таежных условиях.</w:t>
      </w:r>
    </w:p>
    <w:p w14:paraId="52BDDD0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вывод — у нас нет организации войсковых частей для этого. Вьюков нет, тракторов нет, и поэтому получается так, что легкие и облегченные батальоны в такой таежной местности двигаются 3 км. Но отстают станковые пулеметы. Станок Соколова</w:t>
      </w:r>
      <w:r w:rsidRPr="00E14102">
        <w:rPr>
          <w:color w:val="000000" w:themeColor="text1"/>
          <w:sz w:val="16"/>
          <w:szCs w:val="16"/>
          <w:vertAlign w:val="superscript"/>
        </w:rPr>
        <w:t>66</w:t>
      </w:r>
      <w:r w:rsidRPr="00E14102">
        <w:rPr>
          <w:color w:val="000000" w:themeColor="text1"/>
          <w:sz w:val="16"/>
          <w:szCs w:val="16"/>
        </w:rPr>
        <w:t xml:space="preserve"> для нас не годится. Отстает и артиллерия. Тут много недоработано, и терпеть такую организацию нельзя. Нужно будет в дивизиях какие-то части перевести обязательно на горную организацию.</w:t>
      </w:r>
    </w:p>
    <w:p w14:paraId="58D4A49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Один стрелковый полк в дивизии.</w:t>
      </w:r>
    </w:p>
    <w:p w14:paraId="70BC03C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Блюхер.</w:t>
      </w:r>
      <w:r w:rsidRPr="00E14102">
        <w:rPr>
          <w:color w:val="000000" w:themeColor="text1"/>
          <w:sz w:val="16"/>
          <w:szCs w:val="16"/>
        </w:rPr>
        <w:t xml:space="preserve"> Я видел этот ваш проект, но он не совсем нас удовлетворяет. Один полк в дивизии — это несколько расходится с пожеланиями целого ряда наших товарищей, над этим вопросом работающих, но немного увлекающихся. Один полк хорош, но для того, чтобы усилить этот полк, в составе дивизионной артиллерии должен быть дивизион тоже горной организации, который мог бы быть выброшен.</w:t>
      </w:r>
    </w:p>
    <w:p w14:paraId="77EA0D4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Горная артиллерия тоже нужна.</w:t>
      </w:r>
    </w:p>
    <w:p w14:paraId="690D811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Блюхер.</w:t>
      </w:r>
      <w:r w:rsidRPr="00E14102">
        <w:rPr>
          <w:color w:val="000000" w:themeColor="text1"/>
          <w:sz w:val="16"/>
          <w:szCs w:val="16"/>
        </w:rPr>
        <w:t xml:space="preserve"> Горной артиллерии надо добавить. Если нам не добавят, тогда нужно к гаубицам дать тягачи, которые бы тянули их в горных условиях. Мы будем зверски работать в 1936 г. И тут пусть Левичев нам поможет, иначе мы окажемся неподготовленными для драки с японцами. Японцы готовятся к войне не в горных условиях. Они, нахалы, совершенно точно убеждены, что как только они начнут с нами драться, они нас опрокинут в наши долины — Приморья и Амура. В этих полуравнинных условиях они могут драться на основании обычной организации. Но, независимо от этого, они имеют три горные дивизии, три горных полка главного командования. Моя просьба в том, чтобы помочь нам организационно и в вооружении вылезти из тупика горно-таежных условий войны.</w:t>
      </w:r>
    </w:p>
    <w:p w14:paraId="461D3C4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У нас резко отличается роль командира дивизии и дивизии в целом от фронта западноевропейской России. Я убежден, что у т. Уборевича и у т. Якира вопрос плотности фронта несколько иной, чем у нас. Затем, у вас менее остро стоит вопрос направления фронта, потому что у нас на Дальнем Востоке, если мы сложим наши границы, то получим 2200 км.</w:t>
      </w:r>
    </w:p>
    <w:p w14:paraId="6A9E0DC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 т. Уборевича командир дивизии будет наступать, втиснутый в узкие рамки фронта. У нас направлений больше, чем иногда кажется по карте.</w:t>
      </w:r>
    </w:p>
    <w:p w14:paraId="4C82E4D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Тут вырастает роль оперативной подготовки командира дивизии, который будет действовать на отрыве, выполняя самостоятельные задачи, свойственные корпусу. На этом участке учебы мы поработали много. Если бы вы дали слово т. Пашковскому, он рассказал бы, как я проводил военные игры и учения у себя на Дальнем Востоке. Я требовал не только знания территорий, не только знания форм действий японских дивизий, но я требовал, чтобы они играли за японцев и передвигали бы японские поезда, сколько будет поездов, сколько подадут и т.д. В этом отношении мы в текущем году сделали очень резкий шаг вперед и не плохой, за что нас Александр Ильич</w:t>
      </w:r>
      <w:hyperlink r:id="rId287" w:anchor="_ftn1" w:history="1">
        <w:r w:rsidRPr="00E14102">
          <w:rPr>
            <w:rStyle w:val="a4"/>
            <w:color w:val="000000" w:themeColor="text1"/>
            <w:sz w:val="16"/>
            <w:szCs w:val="16"/>
          </w:rPr>
          <w:t>[1]</w:t>
        </w:r>
      </w:hyperlink>
      <w:r w:rsidRPr="00E14102">
        <w:rPr>
          <w:color w:val="000000" w:themeColor="text1"/>
          <w:sz w:val="16"/>
          <w:szCs w:val="16"/>
        </w:rPr>
        <w:t xml:space="preserve"> не должен ругать, хотя исчерпывающего доклада об этом мы как будто не представляли еще.</w:t>
      </w:r>
    </w:p>
    <w:p w14:paraId="5492786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Следующая особенность, которая резко снижает наши достижения в огневом деле, в том, что мы ушли с обычных полковых стрельбищ. Не прав т. Халепский, когда говорит, что только танкодром выучивает езде. Танкодромы нас и загубили. Когда мы вышли осенью на маневры, мехбригада подошла к участку и ввела в бой только 10% машин, а 90% застряли на заливах. Иван Федорович говорит, что мы переплывем Амурский залив. Но переплывать по морю легче, т. народный комиссар, чем по реке. Во-вторых, Климент Ефремович, я совершенно не согласен с тем, чтобы иметь у т. Викторова такую бригаду для обороны побережья, но более выгодно иметь у т. Кожанова, потому что это средство — плавающий танк — гораздо более эффективно использовать в качестве десантного соединения, а не охраняющего берег. Мы все это изучили, Климент Ефремович, в прошлом году мы погибли на маленьких, узеньких пересеченных долинах и низинах. У нас, собственно говоря, мехбригады как определенного соединения на определенном направлении не было. В этом году мы сделали огромный шаг вперед.</w:t>
      </w:r>
    </w:p>
    <w:p w14:paraId="1222E9C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Если мы в прошлом году, не умея преодолевать эти узкие долины, растерялись, то в этом году эту стадию перескочили. У Ивана Федоровича: Кравцов изобрел замечательную вещь — лопатку. Эта лопатка давала хорошие результаты на испытаниях, но когда вывели бригаду на маневры и ей пришлось переправляться через паршивенькую речонку, то пришлось потратить 7 часов. Необходимо проработать мероприятия по прохождению танков через низины и ручьи, свойственные нашему Дальнему Востоку. Нужно, чтобы эти мероприятия были бы проведены у вас, т. Халепский. Иначе нужной оперативности мы не получим. Следующий вывод, которым я хочу поделиться, это оперативно-тактическая глубина удара мехбригады. Общепринято — 70—80 км, В наших условиях, в условиях горно-таежной местности, — 30-40 км максимум. Поэтому мы сделали вывод, что оперативно-тактическая пробивная способность бригады — 15 км в сутки.</w:t>
      </w:r>
    </w:p>
    <w:p w14:paraId="606E6A2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А почему тогда 30?</w:t>
      </w:r>
    </w:p>
    <w:p w14:paraId="06EA45B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Блюхер.</w:t>
      </w:r>
      <w:r w:rsidRPr="00E14102">
        <w:rPr>
          <w:color w:val="000000" w:themeColor="text1"/>
          <w:sz w:val="16"/>
          <w:szCs w:val="16"/>
        </w:rPr>
        <w:t xml:space="preserve"> Потому что заправки хватает на 30. Когда баки сделаем, будет другое дело, но видно, что мы их не сделаем, пока нарком не даст как следует по затылку. 3 года вопрос не сдвигается с мертвой точки. Оперативная подготовка комсостава, командира дивизии в масштабе корпуса. В этом отношении мы успели в этом году немало, и это будет продолжаться и в будущем году.</w:t>
      </w:r>
    </w:p>
    <w:p w14:paraId="64821DA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Дальше я хотел бы просить народного комиссара о следующем: учитывая проходимость мотомехсоединений на Дальнем Востоке, стоит вопрос об усилении средствами механического истребления противника, особенно учитывая небольшие хозяйственные ресурсы. А это является основной проблемой для Дальнего Востока. Когда мы говорим — дайте машины, возникает и другой вопрос: как быть с бензином.</w:t>
      </w:r>
    </w:p>
    <w:p w14:paraId="6EB8802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А крекинг?</w:t>
      </w:r>
    </w:p>
    <w:p w14:paraId="37188AD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Блюхер.</w:t>
      </w:r>
      <w:r w:rsidRPr="00E14102">
        <w:rPr>
          <w:color w:val="000000" w:themeColor="text1"/>
          <w:sz w:val="16"/>
          <w:szCs w:val="16"/>
        </w:rPr>
        <w:t xml:space="preserve"> Крекинг</w:t>
      </w:r>
      <w:r w:rsidRPr="00E14102">
        <w:rPr>
          <w:color w:val="000000" w:themeColor="text1"/>
          <w:sz w:val="16"/>
          <w:szCs w:val="16"/>
          <w:vertAlign w:val="superscript"/>
        </w:rPr>
        <w:t>67</w:t>
      </w:r>
      <w:r w:rsidRPr="00E14102">
        <w:rPr>
          <w:color w:val="000000" w:themeColor="text1"/>
          <w:sz w:val="16"/>
          <w:szCs w:val="16"/>
        </w:rPr>
        <w:t xml:space="preserve"> не может обеспечить нас целиком, он питается за счет сахалинской нефти. Да, кроме того, нормальное пассажирское сообщение с Сахалином, наверное, будет прервано. Нужно разрешать проблему горючего либо огромным завозом его, либо переходом на газогенераторные установки. Я хочу предъявить счет т. Халепскому. Всем известно, что мы упираемся по любой машине в вопрос бензина. Почему же нам не даются машины с газогенераторными установками. Я знаю из материала, что в Германии имеется между Гамбургом и Берлином нормальное движение на газогенераторных двигателях. Решающим вопросом является вопрос о газогенераторах. Если мы будем иметь их на деревянном топливе, то мы не будем зависеть от другого горючего. Мы знаем свое положение и уверены, что будем бить японскую дивизию. Дело нелегкое. Я это знаю. У японцев 1000-2000 танков, я точно цифры сказать не могу, но механизация и вооружение не хуже нашего. Артиллерия неплохая.</w:t>
      </w:r>
    </w:p>
    <w:p w14:paraId="439348E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Два полка артиллерии в дивизии.</w:t>
      </w:r>
    </w:p>
    <w:p w14:paraId="0461786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Блюхер.</w:t>
      </w:r>
      <w:r w:rsidRPr="00E14102">
        <w:rPr>
          <w:color w:val="000000" w:themeColor="text1"/>
          <w:sz w:val="16"/>
          <w:szCs w:val="16"/>
        </w:rPr>
        <w:t xml:space="preserve"> Не важно — один или два.</w:t>
      </w:r>
    </w:p>
    <w:p w14:paraId="2A53D14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 японцев для горных условий вводят новое ружье, типа ружье-пистолет, весом 8-7</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xml:space="preserve"> КГ' Такое ружье дают в каждый взвод. Это легкий пулемет. Станковый пулемет в горах плохо двигается, здесь нужно дать другую установку, людей больше? До сих пор мы говорили так, но теперь мы можем сказать, что у нас есть танковый батальон, которого не имеют японцы, и мы их побьем, я утверждаю это.</w:t>
      </w:r>
    </w:p>
    <w:p w14:paraId="6C90081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Следующий вопрос, который у нас особенно выпирает. Я хочу подчеркнуть необычайную значимость наших авиадесантных войск для Дальнего Востока. Это для нас исключительно важное средство. У нас масса горных узостей и прочее, и если бы имели в нужном количестве авиадесантные части, причем, по моему мнению, они должны быть штатными, то мы могли бы раскупорить эти направления, которое противник будет закупоривать.</w:t>
      </w:r>
    </w:p>
    <w:p w14:paraId="6C93A49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Какие нормы для нашего театра? Для корпуса нам нужно не менее одной авиадесантной бригады. Тогда целый ряд вопросов, связанных с преодолением узостей и горных пространств, может быть разрешен. Затем, Климент Ефремович, для нас имеет большое значение следующий вопрос, который является для Дальнего Востока особенно болезненным. Ни тов. Якир, ни тов. Уборевич, ни тов. Шапошников этого не испытывают, — они имеют в своих округах огромное количество железных дорог, и если противник перережет одну дорогу, то у них есть вторая и третья, а у нас есть одна ниточка. Если у нас порезать Уссурийку, то никаких дорог больше нет. С этой точки зрения я считаю, что подготовка наших железнодорожных войск и подготовка железнодорожника вообще, восстановление железных дорог никуда не годится. Это самый консервативный, отсталый род войск. Средств мало. Об этом надо кричать.</w:t>
      </w:r>
    </w:p>
    <w:p w14:paraId="771DF1E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хотел бы еще сказать напоследок следующее. У нас имеется принципиальный вопрос — для ОКДВА нужен механизированный корпус или мехбригада</w:t>
      </w:r>
      <w:r w:rsidRPr="00E14102">
        <w:rPr>
          <w:color w:val="000000" w:themeColor="text1"/>
          <w:sz w:val="16"/>
          <w:szCs w:val="16"/>
          <w:vertAlign w:val="superscript"/>
        </w:rPr>
        <w:t>68</w:t>
      </w:r>
      <w:r w:rsidRPr="00E14102">
        <w:rPr>
          <w:color w:val="000000" w:themeColor="text1"/>
          <w:sz w:val="16"/>
          <w:szCs w:val="16"/>
        </w:rPr>
        <w:t>. В этом вопросе в армии имеются разногласие. Одна группа командиров говорит, что мехкорпус лучше, а я в этом отношении консерватор. Дайте нам усиленную танковую бригаду для направления. С корпусом будет масса неприятных вещей и в смысле снабжения, и в смысле ремонта и восстановления. Усильте эту бригаду батальоном.</w:t>
      </w:r>
    </w:p>
    <w:p w14:paraId="52D6C61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81-84.</w:t>
      </w:r>
    </w:p>
    <w:p w14:paraId="14798A9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Бергстрем.</w:t>
      </w:r>
      <w:r w:rsidRPr="00E14102">
        <w:rPr>
          <w:color w:val="000000" w:themeColor="text1"/>
          <w:sz w:val="16"/>
          <w:szCs w:val="16"/>
        </w:rPr>
        <w:t xml:space="preserve"> 1935 г. для морской авиации был годом, когда мы главным образом отрабатывали воздушно-морской бой. Наибольшие успехи в этом вопросе имеют Тихоокеанский и Черноморский флоты. Там мы видим широкое привлечение сухопутной авиации к действиям на море. Там мы имеем массовое применение как гидросамолетов, так и сухопутных самолетов различных классов. 1935 г. нам еще показал, что флот больше жить без авиации не может, и теперь мы не видим, чтобы кто-нибудь мыслил себе какое-либо плавание кораблей или боевые операции без участия воздушных сил. Учение осенью в Черном море показало нам, что воздушные силы сильно воздействовали на флот в смысле перехода флота на новый строй. Черноморский флот под действием авиации выдумал новые строи, защищаясь от воздушных ударов.</w:t>
      </w:r>
    </w:p>
    <w:p w14:paraId="15C590F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Воздушная разведка на море значительно улучшилась. Сейчас уже можно говорить о том, что противник будет найден и наблюдение за противником на море будет установлено четко и достаточно хорошо.</w:t>
      </w:r>
    </w:p>
    <w:p w14:paraId="5757986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Отстают у нас на море еще ночные действия. Те полеты, которые мы имели, были в одиночном порядке, максимум в паре, но массового применения самолетов ночью не имели. Сильно, очень сильно, отстают воздушные силы Краснознаменного Балтийского флота в ночных полетах, несмотря на то, что на Балтике белые ночи позволяют лучше всего производить ночные полеты.</w:t>
      </w:r>
    </w:p>
    <w:p w14:paraId="567F134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Характерным и очень выгодным выглядит привлечение сухопутной авиации на море. Если в прошлом году мы имели еще очень робкие начинания в этой области, то в этом году сухопутные самолеты Р-5 выходили в море до 100 км с лишним. При полетах над морем летчики впервые пять минут чувствовали себя немного неудобно, а потом, как они заявляли, даже лучше летать морем, чем над болотами Белоруссии. Это является большим достижением. Мы видим, что сухопутная авиация может успешно работать над морем.</w:t>
      </w:r>
    </w:p>
    <w:p w14:paraId="6413F69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в 1935 г. уже окончательно отказались от старых приемов воздушно-морского боя. Раньше воздушно-морской бой выливался в то, что самолеты откуда-то прилетали, бомбили и улетали. Этим начинался и кончался бой. Бой был очень примитивный и фактически сводился только к сбрасыванию бомб. В этом году воздушноморской бой превратился в целый ряд ударов: сперва удары по кораблям охранения. Удары по зенитной артиллерии с целью нейтрализовать эту зенитную артиллерию, и затем бомбо-торпедные удары с целью выведения боевого корабля из строя. Большим недостатком в области воздушно-морского боя на море является то, что у нас зачастую тяжелая авиация утюжит воздух в ожидании момента сосредоточенного удара. Целью операции становится уже не то, чтобы нанести поражение кораблю, а именно — получить так называемый сосредоточенный удар, т.е. самолеты утюжат в зоне ожидания, ожидая пока подводные лодки или катера подгребут и ударят. Это получается очень красиво, но нереально. В 1936 г. этот недостаток должен быть изжит, потому что, когда тяжелая бригада ТБ-3 утюжит воздух в ожидании других сил, это мало рационально.</w:t>
      </w:r>
    </w:p>
    <w:p w14:paraId="6CE7F09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провели очень интересное учение в области атаки главных баз. Мы проводили учения днем и ночью. Мы здесь определили очень интересный момент, так называемый тактический получас, так его называли, не знаю, насколько удачно. Это примерно полчаса после захода солнца и полчаса до восхода солнца. В этот момент самолет прекрасно видит с воздуха, но с земли самолета не видно. В период так называемого тактического получаса прожектора становятся мало действительными. Лучи абсолютно не ослепляют летчика и не в состоянии освещать самолет. Эти полчаса мы использовали, когда наносили удар по главным базам.</w:t>
      </w:r>
    </w:p>
    <w:p w14:paraId="1905ED1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определили, что когда наносится удар по главным базам, то система ПВО отстает и фактически отражать нападение в таком состоянии, как она есть, не может.</w:t>
      </w:r>
    </w:p>
    <w:p w14:paraId="13650DD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Переход на скоростные бомбардировщики, переход на работу со скоростями 450 км вынуждает выдвигать в морском секторе посты ВНОС на 100-120 км. Это равносильно тому, что корабли ВНОС будут почти обречены на гибель, потому что авиация легко может справиться и уничтожить их. Этот вопрос о выдвижении постов ВНОС на 100—120 км придется решать в 1936 г. Характерно то, что существующая организация ПВО не обеспечивает вылет самолетов ПВО в срок. Зенитная стрельба и действие самолетов в одной зоне — это вещи не отработанные. Не ясно, как будут действовать истребители и зенитная артиллерия. Мы кое-что провели в этой части, определили, что ночью артиллерия не сможет использовать своих прожекторов, потому что удачные атаки ночью показали, что прожектора будут потушены штурмовыми и пикирующими полетами истребителей. Следовательно, зенитная артиллерия будет находиться ночью в затрудненных условиях и без прожекторов навряд ли сможет стрелять.</w:t>
      </w:r>
    </w:p>
    <w:p w14:paraId="26D057A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области методики боевой подготовки у нас в 1935 г. было излишне стремление расписывать все этапы боевой подготовки летчиков до мелочей. Появились различные очень полезные курсы боевой подготовки, но в конце концов этими курсами и методическими указаниями мы посадили командира в определенные рамки, и я боюсь, что наш командир вместо того, чтобы проявлять инициативу, будет смотреть в книгу. В мирное время в этой книге написано, что нужно делать, но когда обстановка меняется и от мирного времени мы переходим на сложные формы боевых операций — тогда этот командир оказывается беспомощным. Я думаю, что на 1936 г. курс боевой подготовки должен служить основным справочником, а при выполнении боевой подготовки нужно дать большую инициативу командиру, чтобы он мог проявить находчивость, решительность и таким образом сам расти, как этого требуют наши условия.</w:t>
      </w:r>
    </w:p>
    <w:p w14:paraId="21BE9E9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 последний вопрос об аварийности. Да, мы имеем много безаварийных частей. Эти части не бьют самолетов, но автомобили бьются вовсю. Характерные донесения командиров. Они пишут: левый борт поврежден. Это значит, что он, мол, не виноват, а виноват тот, кто наехал. Я думаю, что в области аварийности нужно дать такую установку сверху вниз, как в части самолетов. Мы добились такого положения, когда командир авиационной части чувствует ответственность за самолетную аварию, а когда бывает авария автомобиля, он не чувствует ответственности и часто даже не докладывает об этом. В этой части надо много поработать.</w:t>
      </w:r>
    </w:p>
    <w:p w14:paraId="28D7F92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84-85.</w:t>
      </w:r>
    </w:p>
    <w:p w14:paraId="007E1A4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Седякин.</w:t>
      </w:r>
      <w:r w:rsidRPr="00E14102">
        <w:rPr>
          <w:color w:val="000000" w:themeColor="text1"/>
          <w:sz w:val="16"/>
          <w:szCs w:val="16"/>
        </w:rPr>
        <w:t xml:space="preserve"> Из доклада начальника Генерального штаба мы все слышали, что итоги этого года вполне удовлетворительны. Начальник Генерального штаба дал правильную оценку достижений Рабоче-крестьянской Красной армии и наметил правильные, в основном, пути для нашей дальнейшей работы.</w:t>
      </w:r>
    </w:p>
    <w:p w14:paraId="00C29F6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мне кажется наиболее важным в достижениях этого года? Это то, что, пожалуй, не найдется ни одного округа, где бы основной кадр высшего начальствующего состава, основные войсковые штабы не усвоили бы основ современного глубокого боя. Мне приходилось наблюдать значительное число занятий на картах и на полевых учениях. Всюду видно, что наши командиры, наши штабы уже не страдают боязнью за свой тыл, за свои фланги, не теряются в сложных условиях. Значительное большинство, надо сказать, вообще привыкло считать нормальным положение, угрожающее окружением.</w:t>
      </w:r>
    </w:p>
    <w:p w14:paraId="4569560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Чем можно объяснить такой крупный успех, который ведь нам долгое время не удавался? Вы все здесь присутствующие помните, как в свое время, всегда на таких больших совещаниях, много раз говорили — сложный бой, сложный бой, овладеть сложным боем, овладеть сложным боем... И теперь эта задача усилиями организованного порядка в течение целого ряда лет выполнена. Эту задачу выполнили, главным образом потому, что вырос качественно наш командный и красноармейский состав. А за последнее время, на основе приказов народного комиссара обороны т. Ворошилова, особенно приказов № 0101 и 0102, которые основаны были на значительной работе предыдущих лет, у нас в заметной степени поднялось искусство управления, повысилась самостоятельность частных начальников и частных штабов. И я должен сказать, товарищи, что мы сильно двинулись и в вопросах взаимодействия.</w:t>
      </w:r>
    </w:p>
    <w:p w14:paraId="751657A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думаю, что в предстоящем 1936 г. у нас эти возможности в овладении большим взаимодействием, четкостью и организованностью еще более повышаются. Повышаются они благодаря тому, что за последние два года мы сильно нажали и организационными, и методическими мероприятиями на то, чтобы наш командный состав сверху донизу как можно больше был бы самостоятелен, как можно больше был бы активен и чувствовал бы всю полноту ответственности за свое соединение, свою часть, за свое подразделение в бою и на учебе. С этой точки зрения, мне кажется, особенно нужно, товарищи, внимательно отнестись к указаниям директивы начальника Генерального штаба от прошлого года, изданной в развитие приказа народного комиссара и по указаниям, относящейся к дифференциации ответственности комсостава за боевую подготовку. Ведь мы, учась и уча других, учимся также и руководить своими войсками в бою, а не только в учебе, независимо от того, что много ведем тактических или огневых занятий. Привыкая в самом процессе учебы, в руководстве учебой к самостоятельности, каждый командир, начиная от младшего командира, тем самым привыкает к тому, чтобы стать самостоятельным, несущим всю полноту ответственности за действия своего подразделения, своей части, своего соединения в бою. Одной только тренировкой на учебно-боевых занятиях мы этой задачи не сможем должным образом и быстро разрешить. Поэтому, я считаю, большое внимание нужно обратить на воспитание в каждом командире самостоятельности, на практике обучения подчиненных и личной ответственности за результат.</w:t>
      </w:r>
    </w:p>
    <w:p w14:paraId="752E15C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этом Военном совете мы слышали немало выступлений с перечислением всякого рода изобретательств и открытий в практике учебно-боевой работы. Здесь говорили очень конкретно об особенностях того или иного театра, об особых приемах ведения огня, применения боевой техники, управления войсками. Видно, что заметно выросла самостоятельность в деле конкретизации тактики и методов обучения. Но страна растет, люди культурно растут, техника совершенствуется. Возможности военного искусства и требования к боевой подготовке РККА беспредельно расширяются. Мы выросли. Выросли и требования к нам; обостренно дают о себе знать наши промахи и недоделы. Оперативным искусством мы еще не владеем — успехи малы, а недоделано много. Химическое дело, противовоздушная оборона, инженерное дело, боевая подготовка авиации резко отстали от современных требований. Военные академии и школы страдают от низкого общеобразовательного уровня поступающих контингентов. Словом, работа впереди очень большая и требует от нас повышенной организованности и гораздо лучшей методики руководства боевой подготовкой, особенно со стороны высших начальников.</w:t>
      </w:r>
    </w:p>
    <w:p w14:paraId="040691C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искусстве управления боем досаднейшим пробелом является слабость разведывательной службы и пренебрежение этим делом во всех родах войск, на всех ступенях командования.</w:t>
      </w:r>
    </w:p>
    <w:p w14:paraId="0B12ECA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Приведу несколько примеров небрежного отношения к организации и ведению разведки.</w:t>
      </w:r>
    </w:p>
    <w:p w14:paraId="700CFA4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Учение 4-го ск БВО — 43-я сд 23.09.35 г. подошла к Полоцкому УР и готовится к «силовой разведке» переднего края УР; 5-я сд, отошедшая днем в УР, ночью сосредоточивается на фланге 43-й сд с целью на рассвете уничтожить ее совместно с частями 27-й сд; 43-я сд (командир т. Смирнов) не ведет ночной разведки, не ищет флангов УР и не обнаруживает сосредоточения противника на своем фланге; в результате дивизия окружается.</w:t>
      </w:r>
    </w:p>
    <w:p w14:paraId="3CEAB0E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Учение 11-го ск БВО — под г. Дорогобуж, 87-й сп (командир т. Гусев) в правой колонне 29-й сд спешит на выручку соседнему 85-му сп, застигнутому 190-м сп и танками 64-й сд на переправе через р. Ужа; 87-му сп не организует разведки реки, отделяющей его от 190-го сп, и задерживается на переправе в течение 1 часа 30 </w:t>
      </w:r>
      <w:r w:rsidRPr="00E14102">
        <w:rPr>
          <w:color w:val="000000" w:themeColor="text1"/>
          <w:sz w:val="16"/>
          <w:szCs w:val="16"/>
        </w:rPr>
        <w:lastRenderedPageBreak/>
        <w:t>мин.; выйдя, тем не менее, во фланг 190-го сп, 87-й сп не ведет разведки на внешнем, открытом фланге и подвергается поэтому полному разгрому со стороны 86-го сп (командир т. Козлов), который вел разведку и искусно использовал подступы (86-й сп следовал во втором эшелоне (Й-й сд, за 190-м сп).</w:t>
      </w:r>
    </w:p>
    <w:p w14:paraId="1290E3B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Учение МВО — 14-я мб (командир т. Поляков), не ведя разведки, 22.09.35 г. атакует 50-ю стрелк. пул. бригаду своего же 5-го мк у ст. Балобанова.</w:t>
      </w:r>
    </w:p>
    <w:p w14:paraId="5B7D730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Учение СКВО — 74-я сд подходит к остановившейся после отхода для обороны 22-й сд — без достаточной разведки; установив неправильность направления своего движения, 74-я сд принуждена для занятия исходного положения в 1,5 км от оборонительной полосы 22-й сд совершить облическое движение; благодаря отсутствию разведки и наблюдения, это движение целой дивизии остается для 22-й сд незамеченным.</w:t>
      </w:r>
    </w:p>
    <w:p w14:paraId="76B26AD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Учение БВО — 2/6 сп, преследуя отходящие в ночь на 13.09.35 г. за р. Волма части 198-го сп, двигается в колонне, имея в головной походной заставе 4-ю роту, боевая разведка и охранение открытого фланга батальоном не организована; прикрывшая отход своего полка — 3 р. 198-я сп в 6.30 двигается параллельно 4-й р. 6-го сп, обнаруживает ее, расстреливает огнем своих пулеметов с дистанции 3000 м и завершает уничтожение атакой. Эти примеры типичны для огромного большинства всех полевых учений, да и учений на картах. Как правило, разведка забывается.</w:t>
      </w:r>
    </w:p>
    <w:p w14:paraId="35B9CD1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Такое положение с разведкой нетерпимо. Я горячо поддерживаю С.М. Буденного, что необходимо иметь специальную разведывательную службу. Руководство обучением войсковой разведке надо возложить на людей, хорошо по существу дела и методически подготовленных в штабах — округа, корпуса, дивизии, бригады, полка и... до роты (эскадрона). Само собой, командиры первые должны заняться этим делом как следует. На разборах надо особое внимание уделять разведке. Управлением боем, не обеспеченное разведкой, слепое, легкомысленное управление.</w:t>
      </w:r>
    </w:p>
    <w:p w14:paraId="33FEBA1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Ваше время истекло.</w:t>
      </w:r>
    </w:p>
    <w:p w14:paraId="4E34BA3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Седякин.</w:t>
      </w:r>
      <w:r w:rsidRPr="00E14102">
        <w:rPr>
          <w:color w:val="000000" w:themeColor="text1"/>
          <w:sz w:val="16"/>
          <w:szCs w:val="16"/>
        </w:rPr>
        <w:t xml:space="preserve"> Тов. народный комиссар, разрешите мне сказать о 7-м корпусе.</w:t>
      </w:r>
    </w:p>
    <w:p w14:paraId="57D80DD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И о 7-м корпусе нельзя — время истекло. Слово имеет т, Мерецков.</w:t>
      </w:r>
    </w:p>
    <w:p w14:paraId="1696FC3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85-86.</w:t>
      </w:r>
    </w:p>
    <w:p w14:paraId="3956BC6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Мерецков. Я</w:t>
      </w:r>
      <w:r w:rsidRPr="00E14102">
        <w:rPr>
          <w:color w:val="000000" w:themeColor="text1"/>
          <w:sz w:val="16"/>
          <w:szCs w:val="16"/>
        </w:rPr>
        <w:t xml:space="preserve"> не имел в виду выступать, но после выступления т. Лапина мне задали столько вопросов, что я считаю необходимым на них ответить.</w:t>
      </w:r>
    </w:p>
    <w:p w14:paraId="4F86568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Войска Особой Дальневосточной армии, бойцы, начсостав под руководством командующего армией с исключительным напряжением сил и энергии работали над выполнением приказа народного комиссара, и по всем вопросам есть достижения.</w:t>
      </w:r>
    </w:p>
    <w:p w14:paraId="6FB2E2E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этом году впервые широко развернули опытные учения и занятия по вопросам оперативно-тактической подготовки и вопросам организационного порядка. При проведении опытных учений было установлено, что штабы неясно представляют, как вести бой в условиях Дальневосточного театра и почти не ведут занятий в условиях горно-лесной местности, характерной для Дальневосточного театра. На летний период командующий армией отдал приказ с указанием по вопросам тактики, как и чему учить войска. В соответствии с этим приказом и указанием командующего войсками мною совместно с т. Лапиным были разработаны тактические положения о порядке обучения войск в условиях Дальневосточного театра. Эти положения представили в Генеральный штаб. Генеральный штаб одобрил их, поэтому в дальнейшем работать можно было смелее.</w:t>
      </w:r>
    </w:p>
    <w:p w14:paraId="3CB7413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Но наряду с этим мы находимся в условиях, когда на Дальний Восток начальствующий состав и войска съехались со всего Союза и не знаем особенностей этого театра. Сразу не было дано указание о том, чему и как учить войска, прибывшие с других театров, и благодаря этому был целый ряд трений и недоразумений и отставание в оперативно-тактической подготовке. Я должен сказать, что характер местности и в особенности противника имеют в наших условиях исключительное значение. Надо учить войска на местности, приближенной к той, на которой придется драться, но это оказалось не для всех ясным. На опытных учениях, проводимых под руководством командующего войсками в Забайкалье, были выявлены большие промахи в вопросах боевой подготовки. Какие это промахи? Как известно, театр у нас большой, известно количество войск.</w:t>
      </w:r>
    </w:p>
    <w:p w14:paraId="5D4D7C2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Не мало войск?</w:t>
      </w:r>
    </w:p>
    <w:p w14:paraId="00A18FB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Мерецков.</w:t>
      </w:r>
      <w:r w:rsidRPr="00E14102">
        <w:rPr>
          <w:color w:val="000000" w:themeColor="text1"/>
          <w:sz w:val="16"/>
          <w:szCs w:val="16"/>
        </w:rPr>
        <w:t xml:space="preserve"> Много войск. Но было бы неправильно, если бы мы учили наши войска по методу учебы войск Западного фронта.</w:t>
      </w:r>
    </w:p>
    <w:p w14:paraId="5113DA6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Правильно.</w:t>
      </w:r>
    </w:p>
    <w:p w14:paraId="01AEFA6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Мерецков.</w:t>
      </w:r>
      <w:r w:rsidRPr="00E14102">
        <w:rPr>
          <w:color w:val="000000" w:themeColor="text1"/>
          <w:sz w:val="16"/>
          <w:szCs w:val="16"/>
        </w:rPr>
        <w:t xml:space="preserve"> Основная и главная ошибка заключается в том, что многие командиры неправильно поняли нашу Инструкцию по глубокому бою и считают, что эта Инструкция по глубокому бою учит только фронтальным боям — прорыву. Глубокий бой, считают, — прорыв. По этому вопросу под руководством командарма провели ряд показных учений и выявили ряд недостатков. Для примера возьмем Забайкалье. Что там произошло в связи с этим? Тема — наступательный глубокий бой. Фронт широкий, невозможно поставить громадное количество дивизий, чтобы создать плотный фронт, берется определенный участок, имеющий открытые фланги. По обстановке ясно — нужно перегруппироваться в сторону фланга и ударом во фланг уничтожить противника, а участники учения организуют прорыв на крайнем фланге. У нас в штабе армии такая же картина повторилась на военной игре, говорили — глубокий бой есть прорыв, значит, веди фронтальное сражение.</w:t>
      </w:r>
    </w:p>
    <w:p w14:paraId="30C974A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Следующий вопрос: казалось, т. народный комиссар, что местность — это простое дело. Наша дивизия должна в маневренном бою бить японскую дивизию во что бы то ни стало. Наша дивизия сильнее оснащена, и если ее организационно перестроить, то мы будем бить японскую дивизию, но для этого необходимо научить нашу дивизию вести хорошо маневренный бой и сделать ее подвижной в условиях Дальневосточного театра.</w:t>
      </w:r>
    </w:p>
    <w:p w14:paraId="3B8CCA5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Возьмем встречный бой — дивизия идет двумя колоннами. Здесь один полк. </w:t>
      </w:r>
      <w:r w:rsidRPr="00E14102">
        <w:rPr>
          <w:rStyle w:val="a6"/>
          <w:i w:val="0"/>
          <w:color w:val="000000" w:themeColor="text1"/>
          <w:sz w:val="16"/>
          <w:szCs w:val="16"/>
        </w:rPr>
        <w:t>(Рисует.)</w:t>
      </w:r>
      <w:r w:rsidRPr="00E14102">
        <w:rPr>
          <w:color w:val="000000" w:themeColor="text1"/>
          <w:sz w:val="16"/>
          <w:szCs w:val="16"/>
        </w:rPr>
        <w:t xml:space="preserve"> Здесь второй полк. Что мы должны сделать? По инструкции глубокого боя наш авангард совместно с танковым батальоном, развертываясь «броском», уничтожает авангард противника и изготавливается для боя с главными силами противника. Колонна главных сил также развертывается броском. Правильно это в условиях Белорусского округа? Это возможно и у нас в условиях, когда есть дороги, когда местность не горная. Но если допустить, что бой идет в условиях гористой местности или сильно пересеченной балками, то может получиться так: авангард вырывается вперед, главные силы благодаря трудному рельефу запаздывают, в результате могут разбить нашу дивизию по частям. Я с маршалом Блюхером наблюдал учение 1-й Тихоокеанской сд. Что там получилось? Авангардный полк вырвался вперед и вступил в тяжелый неравный бой, остальные два полка ушли в горы, ввязались в бой с небольшими частями противника, их комдив не смог вытянуть обратно для боя с главными силами противника. Второй пример — 12-я дивизия — командир т. Смирнов, прекрасный командир. У него получилось так же, как и в первом случае. Мы стояли с Лапиным и комкором Паш-ковским. Сначала радовались хорошему развертыванию авангарда, а потом опять получилась та же история, как и с 1-й сд: 1’/</w:t>
      </w:r>
      <w:r w:rsidRPr="00E14102">
        <w:rPr>
          <w:color w:val="000000" w:themeColor="text1"/>
          <w:sz w:val="16"/>
          <w:szCs w:val="16"/>
          <w:vertAlign w:val="subscript"/>
        </w:rPr>
        <w:t>2</w:t>
      </w:r>
      <w:r w:rsidRPr="00E14102">
        <w:rPr>
          <w:color w:val="000000" w:themeColor="text1"/>
          <w:sz w:val="16"/>
          <w:szCs w:val="16"/>
        </w:rPr>
        <w:t xml:space="preserve"> часа искали полк, ушедший в горы, т. нарком. Только наконец после 1У</w:t>
      </w:r>
      <w:r w:rsidRPr="00E14102">
        <w:rPr>
          <w:color w:val="000000" w:themeColor="text1"/>
          <w:sz w:val="16"/>
          <w:szCs w:val="16"/>
          <w:vertAlign w:val="subscript"/>
        </w:rPr>
        <w:t>2</w:t>
      </w:r>
      <w:r w:rsidRPr="00E14102">
        <w:rPr>
          <w:color w:val="000000" w:themeColor="text1"/>
          <w:sz w:val="16"/>
          <w:szCs w:val="16"/>
        </w:rPr>
        <w:t xml:space="preserve">часа удалось его найти, да и то он был в таком состоянии, что когда спросили, можете вы драться, получили ответ: надо покормить и дать часа 2 на отдых. Вот с таким положением мы столкнулись. Это заставило нас поставить перед собой вопрос о том, что должен быть найден выход их этого положения. И мы выход нашли, но это некоторые оспаривают. Мы внесли такое предложение: маневры назад, т.е. в тяжелых горных условиях авангардный полк маневрирует назад </w:t>
      </w:r>
      <w:r w:rsidRPr="00E14102">
        <w:rPr>
          <w:rStyle w:val="a6"/>
          <w:i w:val="0"/>
          <w:color w:val="000000" w:themeColor="text1"/>
          <w:sz w:val="16"/>
          <w:szCs w:val="16"/>
        </w:rPr>
        <w:t>(показывает),</w:t>
      </w:r>
      <w:r w:rsidRPr="00E14102">
        <w:rPr>
          <w:color w:val="000000" w:themeColor="text1"/>
          <w:sz w:val="16"/>
          <w:szCs w:val="16"/>
        </w:rPr>
        <w:t xml:space="preserve"> главные силы развертываются в более выгодных условиях и при подходе авангарда совместно с ним атакуют противника, нанося удар во фланг, а иногда, не стесняясь действовать, и по ПУ — 1929 г.; в данных случаях это будет выгоднее.</w:t>
      </w:r>
    </w:p>
    <w:p w14:paraId="233C3C4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Тут вот что непонятно. Получается странно. Передовая часть у вас идет по хорошей дороге, а следующие войсковые части обязательно идут по непроходимой местности. Может быть такое положение, что и остальные войсковые части будут иметь возможность идти этой же хорошей дорогой?</w:t>
      </w:r>
    </w:p>
    <w:p w14:paraId="58E08E1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Мерецков.</w:t>
      </w:r>
      <w:r w:rsidRPr="00E14102">
        <w:rPr>
          <w:color w:val="000000" w:themeColor="text1"/>
          <w:sz w:val="16"/>
          <w:szCs w:val="16"/>
        </w:rPr>
        <w:t xml:space="preserve"> Конечно, если театр это позволяет, тогда дело проще — действовать по инструкции. Но почему мы ставим этот вопрос? Мы считаем, как правило, что колонна главных сил пойдет по лучшей дороге, и в наших условиях трудно рассчитывать, чтобы остальные части шли этой же дорогой. Как японцы учат бить своего противника? Первое время нам действительно трудно было это понять. Но потом выяснили.</w:t>
      </w:r>
    </w:p>
    <w:p w14:paraId="39B7C13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 Я</w:t>
      </w:r>
      <w:r w:rsidRPr="00E14102">
        <w:rPr>
          <w:color w:val="000000" w:themeColor="text1"/>
          <w:sz w:val="16"/>
          <w:szCs w:val="16"/>
        </w:rPr>
        <w:t xml:space="preserve"> должен вас перебить. Выяснилось, что Ринк</w:t>
      </w:r>
      <w:hyperlink r:id="rId288" w:anchor="_ftn2" w:history="1">
        <w:r w:rsidRPr="00E14102">
          <w:rPr>
            <w:rStyle w:val="a4"/>
            <w:color w:val="000000" w:themeColor="text1"/>
            <w:sz w:val="16"/>
            <w:szCs w:val="16"/>
          </w:rPr>
          <w:t>[2]</w:t>
        </w:r>
      </w:hyperlink>
      <w:r w:rsidRPr="00E14102">
        <w:rPr>
          <w:color w:val="000000" w:themeColor="text1"/>
          <w:sz w:val="16"/>
          <w:szCs w:val="16"/>
        </w:rPr>
        <w:t xml:space="preserve"> не знал, что там делается. Он нам ничего ясно рассказать не мог, и отсюда надо сделать вывод, что он очень мало знает, что там делается.</w:t>
      </w:r>
    </w:p>
    <w:p w14:paraId="597CA2B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Они никого не пускают. Но помимо Ринка есть еще стажеры, которые пишут доклады. Тактическую подготовку они должны знать.</w:t>
      </w:r>
    </w:p>
    <w:p w14:paraId="1D7C103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Мерецков.</w:t>
      </w:r>
      <w:r w:rsidRPr="00E14102">
        <w:rPr>
          <w:color w:val="000000" w:themeColor="text1"/>
          <w:sz w:val="16"/>
          <w:szCs w:val="16"/>
        </w:rPr>
        <w:t xml:space="preserve"> Мы взяли академические задачи и маневры, все просмотрели. Японцы считают нас схематиками. Они считают, что мы воспитываем войска на фронтальных сражениях — прорывах, и, кроме того, учитывая наши стремления вести бой в долинах, они учат так: дают возможность нам прорваться и прорвавшуюся группу встречают из гор ударами во фланг и тыл. В общем, они много учат войска маневру в горах. Нам нужно это учесть.</w:t>
      </w:r>
    </w:p>
    <w:p w14:paraId="3B87DD5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Еще два вопроса, т. народный комиссар. Форсирование больших и малых рек. Тов. Лапин здесь совершенно верно рассказывал, как плохо мы форсируем реки. С этим делом у нас плохо. Плохо учим, и, кроме того, средств недостаточно. В этом году 12-я дивизия форсировала р. Зея. Условия форсирования трудные. Мы переправлялись с Лапиным на лодке, переправлялись собственно по способу слепого полета, туман, дым. Мы не могли выяснить, куда везут, войска блуждали. Это в условиях мирного времени происходило буквально у лагеря 12-й сд, и только это дало возможность переправиться, и то как? В первый день все выдохлись, паромы организовать не смогли, перенесли на второй день. Комдив Смирнов просто свалился.</w:t>
      </w:r>
    </w:p>
    <w:p w14:paraId="6643ED2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Относительно мелких рек. У т. Федько имеется прекрасное изобретение — лопатки на гусенице. Но мы сами не смогли ничего сделать. Когда мы вышли на маневры, все лопатки отлетели, и мы не могли ничего сделать, так как с термической обработкой незнакомы. Пока что болото нам недоступно. На осенних маневрах мы также плохо форсировали маленькие речки. Просто измотались за день и участие в бою принять не смогли. Там был прекрасный командир Точенов, но очень плохо переправлялся. Полк идет в полном составе. Болото большое, лошади падают. Вы представляете, лошади ложатся, бойцы соскакивают, поднимают морды, чтобы они не захлебнулись. Весь полк поворачивается обратно. Я стоял на мосту и не выдержал, приказал отдать мост. В общем, мехбригада и 8-я кд на маневрах не справились с форсированием даже небольших рек. Штабы и командиры не умеют организовать переправу и руководить переправой войск.</w:t>
      </w:r>
    </w:p>
    <w:p w14:paraId="56EE167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О большом учении. Неправильно поняли некоторые товарищи, что войска плохо подготовлены и над ними не работали. Тов. Федько в этом развернул обучением войск, но на учениях его подвела организация наших войск. В мирное время организация войск была одна, а на маневры выступили с другой организацией. Всем было ясно, что нашей дивизии трудно будет в горах, пришлось перестроиться. Все прицепили вьюки — и пулеметчики, и кавалеристы. На каждой тачанке вы видели, что лошади идут с вьюками, в каждом стрелковом полку организовали горную батарею, т. Федько развернул опыты по горному учению, он сам был в батальоне и может </w:t>
      </w:r>
      <w:r w:rsidRPr="00E14102">
        <w:rPr>
          <w:color w:val="000000" w:themeColor="text1"/>
          <w:sz w:val="16"/>
          <w:szCs w:val="16"/>
        </w:rPr>
        <w:lastRenderedPageBreak/>
        <w:t>доложить, как он сделал расчеты и как он голодал целый день в лесу. Наша дивизия в горно-лесной местности оказалась неподвижной, войска передвигались со скоростью 1—1 ’/</w:t>
      </w:r>
      <w:r w:rsidRPr="00E14102">
        <w:rPr>
          <w:color w:val="000000" w:themeColor="text1"/>
          <w:sz w:val="16"/>
          <w:szCs w:val="16"/>
          <w:vertAlign w:val="subscript"/>
        </w:rPr>
        <w:t>2</w:t>
      </w:r>
      <w:r w:rsidRPr="00E14102">
        <w:rPr>
          <w:color w:val="000000" w:themeColor="text1"/>
          <w:sz w:val="16"/>
          <w:szCs w:val="16"/>
        </w:rPr>
        <w:t xml:space="preserve"> км в час.</w:t>
      </w:r>
    </w:p>
    <w:p w14:paraId="06E07B2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народный комиссар, вам представляются соображения по организационному вопросу. Мы просим дать нам в дивизию 311 тракторов, таскать тяжелые средства. Мы видели на опыте, что там, где застревает пушка и 16 лошадей не могут ее вытянуть, «Сталинец» вытягивает без всякого труда. Это было, когда 26-я дивизия совершала марш. «Сталинец» прекрасно везет тяжести в любой местности. Дать дивизии вьюки и максимально разгрузить дивизию от колесного обоза.</w:t>
      </w:r>
    </w:p>
    <w:p w14:paraId="6CE1F35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считаю, что мы можем бить японские дивизии совершенно свободно. Нам нужна четкая директива, как мы должны вести бой. Мы должны готовиться к маневренному бою, с хитростями и ловкостью. Их по количеству больше, нас меньше, и поэтому мы должны применять все способы, чтобы победить их. И обязательно нужно поставить некоторые вопросы организационного порядка. Нужно нашим дивизиям предоставить 311 тракторов и вьюки, иначе у нас ничего не выйдет.</w:t>
      </w:r>
    </w:p>
    <w:p w14:paraId="33413ED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Не на все дивизии. Тут надо хорошенько этим делом заняться.</w:t>
      </w:r>
    </w:p>
    <w:p w14:paraId="691405F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Мерецков.</w:t>
      </w:r>
      <w:r w:rsidRPr="00E14102">
        <w:rPr>
          <w:color w:val="000000" w:themeColor="text1"/>
          <w:sz w:val="16"/>
          <w:szCs w:val="16"/>
        </w:rPr>
        <w:t xml:space="preserve"> Все остальные вопросы я считаю ясными, и они были здесь достаточно освещены.</w:t>
      </w:r>
    </w:p>
    <w:p w14:paraId="40366C8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Предложения, как и чему учить войска, Генеральный штаб имеет,</w:t>
      </w:r>
    </w:p>
    <w:p w14:paraId="02EDC0E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86-87.</w:t>
      </w:r>
    </w:p>
    <w:p w14:paraId="760CF85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Кутяков.</w:t>
      </w:r>
      <w:r w:rsidRPr="00E14102">
        <w:rPr>
          <w:color w:val="000000" w:themeColor="text1"/>
          <w:sz w:val="16"/>
          <w:szCs w:val="16"/>
        </w:rPr>
        <w:t xml:space="preserve"> Химическая подготовка частей. Химическая подготовка частей у нас идет исключительно, я бы сказал, по линии пассивной химической обороны, т.е. надевания, снимания и ходьбы в противогазах и прочее. Мне кажется, что такой метод химподготовки частей не стоит на уровне современных требований войны.</w:t>
      </w:r>
    </w:p>
    <w:p w14:paraId="6A9FE67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Поэтому я предлагаю:</w:t>
      </w:r>
    </w:p>
    <w:p w14:paraId="1359514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 Чтобы каждый пехотный полк и дивизия на протяжении учебного года провели десяток трехсуточных учений — химманевров с достаточным количеством учебных и боевых отравляющих веществ.</w:t>
      </w:r>
    </w:p>
    <w:p w14:paraId="6490CA4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 Для того чтобы эти химучения — маневры носили современный характер, нам нужно написать соответствующую инструкцию. Без этого сами пехотные начальники с этими задачами не справятся по причине своей малограмотности в химическом отношении.</w:t>
      </w:r>
    </w:p>
    <w:p w14:paraId="21AD787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3) Качество и крепость наших боевых ипритов и люизитов и др. ОВ должно быть тщательно проверено не только лабораторно, но в массовом масштабе на соответствующих полигонах и учениях самими войсками.</w:t>
      </w:r>
    </w:p>
    <w:p w14:paraId="16F413B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4) Мне кажется, что у нас наблюдается некоторая недооценка химического рода войск. Нам нужно иметь как минимум трехдивизионный химический корпус вместо развертывающихся пехотных и кавалерийских дивизий, ибо эти рода войск мы научились создавать быстро, но химкорпус во время войны создать будет трудно и он будет небоеспособен. На участках, где противник будет наносить главный удар, химический корпус будет являться страшной силой, он выполнит любую стратегическую задачу.</w:t>
      </w:r>
    </w:p>
    <w:p w14:paraId="2CA48E0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5) Не будет большим грехом и еще не поздно, если Генеральный штаб напишет докладную записку в Союзное правительство о создании Наркомата химической промышленности, ибо эта организационная мера экономически, а главным образом во время войны, себя оправдает.</w:t>
      </w:r>
    </w:p>
    <w:p w14:paraId="3FE9476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вопрос — разведка и охранение войск. Воздушные и танковые десанты и засады в корне меняют методы разведки и охранения войск. Существующих два пехотных устава</w:t>
      </w:r>
      <w:r w:rsidRPr="00E14102">
        <w:rPr>
          <w:color w:val="000000" w:themeColor="text1"/>
          <w:sz w:val="16"/>
          <w:szCs w:val="16"/>
          <w:vertAlign w:val="superscript"/>
        </w:rPr>
        <w:t>69</w:t>
      </w:r>
      <w:r w:rsidRPr="00E14102">
        <w:rPr>
          <w:color w:val="000000" w:themeColor="text1"/>
          <w:sz w:val="16"/>
          <w:szCs w:val="16"/>
        </w:rPr>
        <w:t xml:space="preserve"> не соответствуют жизненным потребностям наших частей, они стоящие задачи не совсем ясно разрешают и по ним, как устаревшим, учить и воспитывать войска нельзя. Поэтому в истекшем учебном году по этим двум основным дисциплинам, хотя было много затрачено энергии как начсоставом, так и войсками, мы, по существу, не добились тех результатов, которые требовались от нас приказом наркома. В общем, войска и начсостав по-современному разведывать и охранять себя не умеют.</w:t>
      </w:r>
    </w:p>
    <w:p w14:paraId="736548B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Выводы. Хотя наш Генеральный штаб уже второй год работает над переработкой уставов, но едва ли сумеет к весне выпустить новый современный устав. Поэтому желательно было бы поставить перед заместителем начальника Генерального штаба по боевой подготовке т. Седякиным вопрос о том, чтобы по разведке и охранению войск выпустить инструкцию такую, как хотя бы по глубокому бою. Только при этом условии в 1936 г, мы сумеем изжить эту немощь частей нашей армии.</w:t>
      </w:r>
    </w:p>
    <w:p w14:paraId="0FA31F2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Третье — подготовка штабов. За последние пять лет мы добились громадных успехов в подготовке штабов первой очереди — батальона, полка, дивизии, корпуса. Едва ли найдется человек, который утверждал бы обратное. Но что у нас слабо — это, во-первых, подготовка штабов и тылов второй и третьей очереди, командира запаса. Если отпустят средства, дадут время, кадровые войсковые штабы и начальники с этой задачей теперь легко справятся. Еще слабее обстоит дело с подготовкой крупных штабов, которые во время войны будут управлять операциями и решать судьбу кампании и в целом войны. Это подготовка штабов армий, штабов фронтов и, пожалуй, самой ставки Главкома.</w:t>
      </w:r>
    </w:p>
    <w:p w14:paraId="7FEDBA4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Четвертое — не лучше дело обстоит с подготовкой командармов и комкоров. Если и ведутся занятия, то в каждом округе они ведутся по-своему, по поговорке: что ни поп, то свой приход. Это ведет к разнобою оперативной мысли. За это царскую армию били. Поэтому я прихожу к такому выводу:</w:t>
      </w:r>
    </w:p>
    <w:p w14:paraId="5E113E9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 Нашему Генеральному штабу нужно четыре раза в году — весной, летом, осенью и зимой — проводить длительные военные выходы в поле, военные игры и полевые поездки со штабами армий, со штабами фронтов и даже со ставкой Верховного главнокомандующего.</w:t>
      </w:r>
    </w:p>
    <w:p w14:paraId="569A20C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 Начать весьма интенсивную подготовку командармов и комкоров, на должностях в духе плана войны, но самое главное — выработать единый метод ведения операции, боя не на принципе армейской операции, которой в природе нет, а на принципе фронтовой операции. Чем мы разбили Деникина и Колчака</w:t>
      </w:r>
      <w:r w:rsidRPr="00E14102">
        <w:rPr>
          <w:color w:val="000000" w:themeColor="text1"/>
          <w:sz w:val="16"/>
          <w:szCs w:val="16"/>
          <w:vertAlign w:val="superscript"/>
        </w:rPr>
        <w:t>70</w:t>
      </w:r>
      <w:r w:rsidRPr="00E14102">
        <w:rPr>
          <w:color w:val="000000" w:themeColor="text1"/>
          <w:sz w:val="16"/>
          <w:szCs w:val="16"/>
        </w:rPr>
        <w:t>.</w:t>
      </w:r>
    </w:p>
    <w:p w14:paraId="71E980C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Огневая подготовка. Если мы будем положенную норму снарядов и патронов, так же как в этом году, сокращать на 40%, то успехи огневой подготовки войск прошлых лет сведутся к нулю. Поэтому я прошу ту норму, которая предусмотрена уставом, не сокращать, а давать полностью частям.</w:t>
      </w:r>
    </w:p>
    <w:p w14:paraId="25FD915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И последний вопрос — это о новой штатной дивизии. Это новая штатная дивизия будет иметь до 100 орудий разного калибра, до 500 пулеметов разных систем, 500 орудий. По существу, всего в дивизии имеется до 1000 пулеметов. Это очень хорошо, раз богаты техникой. Но плохо то, что из 13 000 едоков эта дивизия выделяет всего 2000 — не более 3000 штыков. </w:t>
      </w:r>
      <w:r w:rsidRPr="00E14102">
        <w:rPr>
          <w:rStyle w:val="a6"/>
          <w:i w:val="0"/>
          <w:color w:val="000000" w:themeColor="text1"/>
          <w:sz w:val="16"/>
          <w:szCs w:val="16"/>
        </w:rPr>
        <w:t>(Читает.)</w:t>
      </w:r>
      <w:r w:rsidRPr="00E14102">
        <w:rPr>
          <w:color w:val="000000" w:themeColor="text1"/>
          <w:sz w:val="16"/>
          <w:szCs w:val="16"/>
        </w:rPr>
        <w:t xml:space="preserve"> Современный нормальный бой наносит от 10 до 30% потерь. Какой вывод здесь напрашивается?</w:t>
      </w:r>
    </w:p>
    <w:p w14:paraId="0BBD314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Во-первых, что на третий день войны у нас в дивизии и полках останется одна техника со слабым небоеспособным прикрытием.</w:t>
      </w:r>
    </w:p>
    <w:p w14:paraId="74189B5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Во-вторых, наша дивизия превратится тогда в подвижную техническую базу снабжения противника.</w:t>
      </w:r>
    </w:p>
    <w:p w14:paraId="6F0BCF3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В-третьих, учитывая слабую сеть наших железных дорог и их недостаточную пропускную способность, мы должны ясно себе сказать, что в первые три месяца войны едва ли мы сможем дать достаточное количество пополнения дерущимся на фронте частям.</w:t>
      </w:r>
    </w:p>
    <w:p w14:paraId="331A3C6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Вывод. Поэтому мы должны новую дивизию так создать — оставить на вооружении эту же технику с таким же аппаратом управления и тылом, но добавить еще 3000 штыков. Только при этом условии наша дивизия будет соответствовать новейшим требованиям войны.</w:t>
      </w:r>
    </w:p>
    <w:p w14:paraId="108B8B1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87-88.</w:t>
      </w:r>
    </w:p>
    <w:p w14:paraId="5463C52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Максимов.</w:t>
      </w:r>
      <w:r w:rsidRPr="00E14102">
        <w:rPr>
          <w:color w:val="000000" w:themeColor="text1"/>
          <w:sz w:val="16"/>
          <w:szCs w:val="16"/>
        </w:rPr>
        <w:t xml:space="preserve"> Топографическим частям приходится работать все эти годы в чрезвычайно трудных условиях. Наша страна насчитывает ни много ни мало, как 20 с лишком миллионов квадратных километров.</w:t>
      </w:r>
    </w:p>
    <w:p w14:paraId="128E395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Это все знают.</w:t>
      </w:r>
    </w:p>
    <w:p w14:paraId="75397FF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Максимов.</w:t>
      </w:r>
      <w:r w:rsidRPr="00E14102">
        <w:rPr>
          <w:color w:val="000000" w:themeColor="text1"/>
          <w:sz w:val="16"/>
          <w:szCs w:val="16"/>
        </w:rPr>
        <w:t xml:space="preserve"> Отсюда вытекают наши усилия в том направлении, чтобы найти такие методы, которые бы обеспечили быстрые топографические освещения пограничных районов и обеспечили удовлетворение насущных нужд. Учение и опыты этого года показали, что есть полная возможность путем метода аэрофотосъемки добиться результатов, которые в два и даже в три раза обеспечивают быстроту карт в условиях, недоступных для наземной работы. Результат работы этого года показал, что у нас на Дальнем Востоке и в Карелии два топотряда, работающие на новом методе стереоскопической рисовки рельефа, дали удовлетворительные результаты. Кроме того, участие топографов в учениях 5-го корпуса выявило, что 20 подготовленных человек в течение 3—4 дней обеспечивают район действий корпуса достаточно точной, подготовленной, даже для артиллерии пригодной картой. Те же 20 чел. в 8 дней обеспечивают район примерно действий ударной группы армии масштаба 100 000. Если учесть, что эти же карты издаются у нас в полевых условиях, то в нашем деле это полный переворот.</w:t>
      </w:r>
    </w:p>
    <w:p w14:paraId="39EFE32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Но мало того: мы не только работаем над этими вопросами, мы работаем и над вопросами измерительного дела для артиллерии и пулеметов. Я думаю, что многие здесь читали приказ народного комиссара на основании тех учений, которые были проведены на Карельском перешейке. Эти результаты отмечены как отличные. Командующим войсками я сегодня дам (а командирам корпусов вслед за тем) иллюстрированный материал. Распространяться по поводу этих методов работы много не буду. Ясно, что в полевых условиях, ежели имеется надежная аэросъемка и если топографическая часть подготовлена для стереоскопической рисовки рельефа и фототриангуляции, есть полная возможность подготовить измерительные данные для ведения огня артиллерии и создать карту. Опытные учения, которые были проведены Роговским вместе с нашими топографами, показали, что фототриангуляция является важным измерительным данным. Главное тут заключается в том, что мы имеем возможность заснять район и подготовить на фотоснимках все данные до подхода наших частей, а дальше уже оперировать с фотоснимками, имеющими общегеографическую координатную сеть. Вот у меня в руках фотоснимок с системой общих координат геодезической сети, этот снимок дает возможность командиру батареи, придя на местность, вместо того чтобы ожидать триангуляции, возиться с привязкой батареи, самому в 5— 10 мин. определить свое местоположение и тем самым получить отправные данные для стрельбы.</w:t>
      </w:r>
    </w:p>
    <w:p w14:paraId="42EA2BB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Это мероприятие подчеркивает значение топографической службы в артиллерии и ставит ее на более значительную ступень, тогда как до сего времени наша служба рассматривалась только как учреждение по изданию карт и снабжению ими армии.</w:t>
      </w:r>
    </w:p>
    <w:p w14:paraId="2C9B7EB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Я должен остановиться еще на одном вопросе. Мы не можем ничего сделать, если нас не обеспечат как в условиях мирного, так и особенно военного времени надлежащей аэрофотосъемкой. Нужно со всей ответственностью доложить, что ни одна разведывательная эскадрилья на сегодняшний день не сможет обеспечить надлежащей аэросъемки. У меня вот имеется фотомонтаж тех элементов, которые мы производим одним отрядом на западе и одним на востоке. Примерно выходит, что на корпус надо иногда до 15 залетов, а на армию несколько десятков, и каждый из этих залетов и все вместе должны быть без разрыва с тем, чтобы все снимки </w:t>
      </w:r>
      <w:r w:rsidRPr="00E14102">
        <w:rPr>
          <w:color w:val="000000" w:themeColor="text1"/>
          <w:sz w:val="16"/>
          <w:szCs w:val="16"/>
        </w:rPr>
        <w:lastRenderedPageBreak/>
        <w:t>можно бьшо смонтировать и привести к определенному масштабу. Лишь тогда мы сможем при помощи вот этих очков работать, обеспечивая в нужных случаях картой. Без этой аэросъемки мы ничего не в состоянии сделать, и современная деятельность топографических частей будет парализована. Это относится даже и к артиллерии. Мало того: вопрос аэросъемки упирается и в вопрос дешифрования объектов противника и местности. Кстати, те старые методы дешифровки, которые применялись 20 лет тому назад, в данное время армии не известны, они не культивируются. Надо будет, начиная от академии, штабов дивизий и корпусов и окружного армейского аппаратов, этот метод культивировать, нужно будет перед АУ поставить вопрос о снабжении армии этими приборами. Если армия будет этими приборами снабжена, тогда мы сможем быстро это дело оседлать.</w:t>
      </w:r>
    </w:p>
    <w:p w14:paraId="645A1D8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Вы каждый год приходите и говорите об этом, но мы не можем получить фотоплана.</w:t>
      </w:r>
    </w:p>
    <w:p w14:paraId="702ADFF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Максимов.</w:t>
      </w:r>
      <w:r w:rsidRPr="00E14102">
        <w:rPr>
          <w:color w:val="000000" w:themeColor="text1"/>
          <w:sz w:val="16"/>
          <w:szCs w:val="16"/>
        </w:rPr>
        <w:t xml:space="preserve"> Мы даем образцы работы, а вы потрудитесь вводить это в артиллерийских частях. Нашему десятку отрядов оперативного назначения мы не можем давать эту работу, это должны делать в округах, а то, что я докладываю, это ответственно. Важно то, что с небольшой, по существу, техникой мы не только можем дешифровать объекты, но и составлять карту в горизонталях на недоступной местности. Все карты, полученные т. Грибовым, сделаны именно таким способом. Мы хотим перейти на этот метод в нашей работе.</w:t>
      </w:r>
    </w:p>
    <w:p w14:paraId="37DDE09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Последнюю минуту я хотел бы употребить на то, чтобы доложить, что у нас слаба топографическая подготовка среди всего командного состава. В академиях и школах недостаточно серьезно готовят командиров. При наличии более серьезной общеобразовательной подготовки в царской академии имели три месяца практической работы и значительный теоретический курс, а у нас в академии только 56 часов, и, конечно, предъявлять требования к знанию топографии в этих условиях нельзя. Надо значительно усилить курс топографии в нашей академии и даже в школах, это первое, и второе — разрешить, наконец, вопрос с аэрофотосъемкой для нашей артиллерии, для наших штабов и для наших топографических частей.</w:t>
      </w:r>
    </w:p>
    <w:p w14:paraId="55FECC9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88-89.</w:t>
      </w:r>
    </w:p>
    <w:p w14:paraId="2AFA8EE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Гугин.</w:t>
      </w:r>
      <w:r w:rsidRPr="00E14102">
        <w:rPr>
          <w:color w:val="000000" w:themeColor="text1"/>
          <w:sz w:val="16"/>
          <w:szCs w:val="16"/>
        </w:rPr>
        <w:t xml:space="preserve"> Товарищи, 1935 г. занимает особое место в укреплении политико-морального состояния и создания большевистского духа среди бойцов, командиров и начальствующего состава. Этот год дал исключительно важнейшие аргументы для всей нашей партийнополитической работы. Майская речь т. Сталина о кадрах</w:t>
      </w:r>
      <w:hyperlink r:id="rId289" w:anchor="_ftn3" w:history="1">
        <w:r w:rsidRPr="00E14102">
          <w:rPr>
            <w:rStyle w:val="a4"/>
            <w:color w:val="000000" w:themeColor="text1"/>
            <w:sz w:val="16"/>
            <w:szCs w:val="16"/>
          </w:rPr>
          <w:t>[3]</w:t>
        </w:r>
      </w:hyperlink>
      <w:r w:rsidRPr="00E14102">
        <w:rPr>
          <w:color w:val="000000" w:themeColor="text1"/>
          <w:sz w:val="16"/>
          <w:szCs w:val="16"/>
        </w:rPr>
        <w:t>, отмена карточной системы, крупнейшие победы в промышленности, в сельском хозяйстве, общее улучшение материального благосостояния трудящихся, словом, все то, что выражено в словах т. Сталина: «Жить стало лучше, жить стало веселей», все это в громадной, решающей степени оказалось на всей нашей боевой работе, во всей жизни и поведении бойцов, командиров и начальствующего состава.</w:t>
      </w:r>
    </w:p>
    <w:p w14:paraId="6947E3B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результате всего этого и большой политической воспитательной работы мы имеем крепкое политико-моральное состояние, боевой большевистский дух бойцов, командиров и начсостава, полностью обеспечивающие сознательное добросовестное отношение громадного подавляющего большинства личного состава к выполнению порученной ему работы.</w:t>
      </w:r>
    </w:p>
    <w:p w14:paraId="05F6DF9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Сейчас следует подумать о том, чтобы всю эту огромную сознательную энергию бойцов и командиров правильно организовать, заменить отсталые методы более совершенными, использовать полностью драгоценное время, чтобы добиться более высоких показателей в боевой и политической подготовке в 1936 г. Сейчас во всей стране широко развертывается стахановское движение. Прав был Ян Борисович, когда он говорил о развертывании стахановского движения в Красной армии и что надо пересмотреть некоторые нормы. Мне кажется, настало время пересмотреть некоторые нормы и у нас во флоте. Нормы боевой подготовки во флоте были установлены в 1934 г. и с тех пор ни разу не пересматривались. Сейчас жизнь, практика показывают, что по ряду специальностей нормы себя изжили и требуют пересмотра. Для успешного развертывания стахановского движения имеются все необходимые условия. Вот факты, говорящие о том, что нормы во флоте могут быть изменены.</w:t>
      </w:r>
    </w:p>
    <w:p w14:paraId="6AED232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Минно-торпедное оружие. В этом году крейсер «Червона Украина» в шесть раз перекрыл норму полной приемки минного боезапаса. На том же крейсере раньше подготовительные работы по вскрытию турбины требовали 23 дня, сейчас это делается в 6 дней. На эскадренном миноносце «Петровский» на вскрытие сопловой коробки (распределитель пара) раньше требовалось 50 человеко-дней, сейчас машинисты-краснофлотцы тт. Степанец и Полещук делают это в 25 человеко-дней. Банение водогрейных трубок на СК</w:t>
      </w:r>
      <w:hyperlink r:id="rId290" w:anchor="_ftn4" w:history="1">
        <w:r w:rsidRPr="00E14102">
          <w:rPr>
            <w:rStyle w:val="a4"/>
            <w:color w:val="000000" w:themeColor="text1"/>
            <w:sz w:val="16"/>
            <w:szCs w:val="16"/>
          </w:rPr>
          <w:t>[4]</w:t>
        </w:r>
      </w:hyperlink>
      <w:r w:rsidRPr="00E14102">
        <w:rPr>
          <w:color w:val="000000" w:themeColor="text1"/>
          <w:sz w:val="16"/>
          <w:szCs w:val="16"/>
        </w:rPr>
        <w:t xml:space="preserve"> «Шторм», миноносцах «Фрунзе», «Дзержинском» за 6 часов раньше делали 200 штук, сейчас за это же время делают 400—500 штук. Возьмем такой факт, как рекорд краснофлотца Кульчицкого; до сего времени на «Шаумяне»</w:t>
      </w:r>
      <w:r w:rsidRPr="00E14102">
        <w:rPr>
          <w:color w:val="000000" w:themeColor="text1"/>
          <w:sz w:val="16"/>
          <w:szCs w:val="16"/>
          <w:vertAlign w:val="superscript"/>
        </w:rPr>
        <w:t>71</w:t>
      </w:r>
      <w:r w:rsidRPr="00E14102">
        <w:rPr>
          <w:color w:val="000000" w:themeColor="text1"/>
          <w:sz w:val="16"/>
          <w:szCs w:val="16"/>
        </w:rPr>
        <w:t xml:space="preserve"> узким местом была очистка лопаток, чистили их медленно, каждый боец чистил по несколько десятков в день, не больше. Коммунист т. Кульчицкий, следивший за совещанием стахановцев, изучавший методы работы лучших людей страны, нашел решение этой задачи. Он вместе с командиром отделения коммунистом Гришко обсудил весь процесс работы, рассчитали, как правильно распределить рабочее время. С этого дня каждый час начал давать блестящие результаты в очистке лопаток. Сначала — 100, 120, затем 500, 600 и, наконец, 1000, 1200 за день. За этими рекордами Кульчицкого следовали коммунисты Прокуров и Шмидко.</w:t>
      </w:r>
    </w:p>
    <w:p w14:paraId="2669C9C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Возьмем другие факты, показывающие, как благодаря правильным методам работы, правильной расстановки людей убыстрялась работа краснофлотцев. Отделение кочегаров во главе с командиром отделения Дыняк, с краснофлотцами Дульченко и др. стали ломать кирпичную кладку котлов. Узнав, что на взломку кирпичной кладки отведено 9 человеко-дней, командир отделения собрал бойцов, чтобы обсудить план и методы работы. Один из краснофлотцев сказал, что для этой работы нужно не менее 5 дней. Комсомолец Дульченко сказал, что нужно 3 дня, В день начала работ бойцы получили газеты, в которых освещались методы работы стахановцев, была получена речь т. Сталина на совещании стахановцев</w:t>
      </w:r>
      <w:hyperlink r:id="rId291" w:anchor="_ftn5" w:history="1">
        <w:r w:rsidRPr="00E14102">
          <w:rPr>
            <w:rStyle w:val="a4"/>
            <w:color w:val="000000" w:themeColor="text1"/>
            <w:sz w:val="16"/>
            <w:szCs w:val="16"/>
          </w:rPr>
          <w:t>[5]</w:t>
        </w:r>
      </w:hyperlink>
      <w:r w:rsidRPr="00E14102">
        <w:rPr>
          <w:color w:val="000000" w:themeColor="text1"/>
          <w:sz w:val="16"/>
          <w:szCs w:val="16"/>
        </w:rPr>
        <w:t>. В результате краснофлотцы, обдумав свою работу, заключили между собой социалистический договор и решили перевыполнить нормы, которые им даны. При правильной расстановке сил, работая по-большевистски, на взломку кирпичной кладки котлов было затрачено только лишь 7'/</w:t>
      </w:r>
      <w:r w:rsidRPr="00E14102">
        <w:rPr>
          <w:color w:val="000000" w:themeColor="text1"/>
          <w:sz w:val="16"/>
          <w:szCs w:val="16"/>
          <w:vertAlign w:val="subscript"/>
        </w:rPr>
        <w:t>2</w:t>
      </w:r>
      <w:r w:rsidRPr="00E14102">
        <w:rPr>
          <w:color w:val="000000" w:themeColor="text1"/>
          <w:sz w:val="16"/>
          <w:szCs w:val="16"/>
        </w:rPr>
        <w:t xml:space="preserve"> человекочаса, т.е. в 10 раз с лишним сократили норму. Возьмем другой факт краснофлотца-подводника т. Исаева, который сделал вообще много рационализаторских предложений. Тов. Исаев, будучи прекрасным, дисциплинированным, политически грамотным бойцом, хорошо организует свою работу, работу по ремонту лодки. Работу, на выполнение которой раньше затрачивали 200 часов, он выполнил за 140.</w:t>
      </w:r>
    </w:p>
    <w:p w14:paraId="436EF65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Особенно интересные факты имеются в отношении перевыполнения норм по химической службе. Известно, что продолжительность работы в противоипритном костюме определяется в 3 часа, а краснофлотцы из 212-й батареи Северо-Западного района тт. Вознесенский, Пономаренко, Безручко, Якоб, Остапенко и др., так сказать, нарушили эту норму и прошли в противоипритном костюме 50 км за 10 ч 45 мин. И все это достигнуто неслучайно — они тщательно тренировались к этому переходу, тщательно взвешивали все, что связано с этим переходом в противоипритном костюме. Таково положение дел с нормами. О чем говорят эти факты? Они говорят о том, что нормы, которые мы имеем, не могут считаться ненарушимыми. Они говорят о том, что эти нормы нужно менять, что у нас имеются сейчас действительно настоящие, подлинные стахановцы, которые овладевают своей техникой хорошо и перевыполняют в несколько раз данные им нормы.</w:t>
      </w:r>
    </w:p>
    <w:p w14:paraId="12EE3F8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Пару слов по вопросу, связанному со стахановским движением, — об организованности и методике нашей работы. Мы варварски, плохо, неорганизованно используем время. Время, отведенное на боевую подготовку, ремонт, судовые работы и т.д., используется во многих случаях наполовину. И наибольшая потеря времени у нас связана с раскачкой. Обычно проходит много времени, пока мы раскачаемся и как следует примемся за работу. Это приводит к тому, что мы неумело и неполно используем наши возможности. К неорганизованности следует отнести и целый ряд крупных происшествий на кораблях и в особенности в авиации. Разве факты аварийности и аварий, которые мы имеем на кораблях (если у нас не было тяжелых аварий, не было катастроф, то зато количество аварийных случаев у нас было значительное и большое), не говорят о том, что у нас нет достаточной организованности, слаженности в работе? Практика показывает, что неорганизованность в значительной степени объясняет эти случаи, их происхождение. Особенно я хочу подчеркнуть наличие неорганизованности в нашей авиации. Там аварии почти целиком зависят от неорганизованности. У нас есть, к сожалению, люди, которые не только проявляют неорганизованность, но у которых отсутствует вообще дисциплина. У нас был летчик (правда, он теперь исправился), теперь работает хорошо, который говорил, что летать по инструкции скучно, что во время войны все равно не придется летать по инструкции, что ему хочется в воздухе делать неположенные виражи, делать недозволенные вещи. Это говорит о том, что мы по-настоящему вопросы организованности, воспитания людей, укрепления дисциплины, расстановки людей, в особенности во флоте, в авиации, где сплошь техника, где куда пальцем ни ткнешь, обязательно попадешь в сложнейшую технику, — мы эти вопросы по-настоящему не поставили.</w:t>
      </w:r>
    </w:p>
    <w:p w14:paraId="5907ED8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Сталин на совещании стахановцев сказал, что новым людям — стахановцам чужд консерватизм инженеров и техников</w:t>
      </w:r>
      <w:hyperlink r:id="rId292" w:anchor="_ftn6" w:history="1">
        <w:r w:rsidRPr="00E14102">
          <w:rPr>
            <w:rStyle w:val="a4"/>
            <w:color w:val="000000" w:themeColor="text1"/>
            <w:sz w:val="16"/>
            <w:szCs w:val="16"/>
          </w:rPr>
          <w:t>[6]</w:t>
        </w:r>
      </w:hyperlink>
      <w:r w:rsidRPr="00E14102">
        <w:rPr>
          <w:color w:val="000000" w:themeColor="text1"/>
          <w:sz w:val="16"/>
          <w:szCs w:val="16"/>
        </w:rPr>
        <w:t>. Тов, нарком в своей речи на совещании стахановцев очень четко сказал, наметил линию и содержание стахановской работы у нас в Красной армии. Должен сказать, что во флоте, как показывает опыт, еще очень много неиспользованных резервов, неиспользованных мощностей нашего прекрасного оружия, нашей новой техники. Надо вести решительную борьбу с элементами консерватизма, который, безусловно, имеется у нас и который сказывается прежде всего в том, что наши нормы считаются непогрешимыми, в том, что у нас еще много отсталых методов в работе, в том, что мы расхищаем время. Много у нас консерватизма и в руководящей работе командира и начальствующего состава. С этим консерватизмом мы должны также повести решительную борьбу. Из всего стахановского движения сложится огромная сила, которая неизмеримо повысит боеспособность нашего оружия, нашей техники, каждого корабля и части в целом.</w:t>
      </w:r>
    </w:p>
    <w:p w14:paraId="2030BC9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89-90.</w:t>
      </w:r>
    </w:p>
    <w:p w14:paraId="08C0F26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Петин.</w:t>
      </w:r>
      <w:r w:rsidRPr="00E14102">
        <w:rPr>
          <w:color w:val="000000" w:themeColor="text1"/>
          <w:sz w:val="16"/>
          <w:szCs w:val="16"/>
        </w:rPr>
        <w:t xml:space="preserve"> Как известно, Инженерное управление Рабоче-крестьянской Красной армии ведает не только вопросами подготовки инженерных войск, но и оборонительным строительством. Если по оборонительному строительству со стороны командующих округами, командующего Дальневосточной армии и командующих флотами особых нареканий и претензий по моему адресу не заявлялось, то с точки зрения обеспечения боевых операций в инженерном отношении со всех сторон идут жалобы и, безусловно, справедливые.</w:t>
      </w:r>
    </w:p>
    <w:p w14:paraId="6D20670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Должен доложить, т. заместитель народного комиссара, что несмотря на явные достижения, которые войска имеют и не могут не иметь, все растут, несмотря на то, что по Киевскому военному округу был отдан приказ, в котором говорилось, что инженерные войска в своей учебе вышли на общий уровень, я все же, как ни тяжело, должен доложить здесь, что вопросы инженерного обеспечения не только операций, но и боя, не только в деталях, но и в основном, во многом не разрешены. Раньше, чем приступить к выявлению этих причин, я хотел бы обратить внимание на то, что этот год, 1935-й, и конец 1934-го, являются исключительными годами в том смысле, что рационализаторские предложения, изобретения, прямо как бурный поток, шли в Инженерное управление. Не только войска, не только наша академия, но </w:t>
      </w:r>
      <w:r w:rsidRPr="00E14102">
        <w:rPr>
          <w:color w:val="000000" w:themeColor="text1"/>
          <w:sz w:val="16"/>
          <w:szCs w:val="16"/>
        </w:rPr>
        <w:lastRenderedPageBreak/>
        <w:t>и само управление и институт выдвигают ряд новых предложений, двигающих инженерное дело вперед. Естественно, что это происходит потому, что вся страна охвачена стахановским движением. Наша область, область инженерного строительства и производства, особенно близка промышленности, рабочему классу. Если вспомним, как закрывающиеся огневые точки стихийно пошли во всех округах и одновременно в академии. То же самое сейчас, когда Федько выдвигает вопрос относительно лесного комбайна, в академии уже давно самостоятельно поставлен этот вопрос. Вопрос о переправе одиночных танков через водные рубежи возникает одновременно и в Белорусском военном округе, и у Федько. Одновременно Инженерно-технический институт выдвигает и разработал проект самоходного понтона, который шел бы сразу в воду и становился бы устоем, и целый ряд других. Эти предложения идут стихийно, возникая во всех звеньях и в низах, и в средних звеньях, и в институтах, и в академии. Для того чтобы все это обобщить, конечно, нужна большая маневренность, большая настойчивость. В этом отношении и институт, и управление недостаточно проявляют ту быстроту в решении вопросов, которая от них требуется.</w:t>
      </w:r>
    </w:p>
    <w:p w14:paraId="0F1D834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Поляки на каждую дивизию ввели электрификацию. А мы чего ждем?</w:t>
      </w:r>
    </w:p>
    <w:p w14:paraId="7A42583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Петин.</w:t>
      </w:r>
      <w:r w:rsidRPr="00E14102">
        <w:rPr>
          <w:color w:val="000000" w:themeColor="text1"/>
          <w:sz w:val="16"/>
          <w:szCs w:val="16"/>
        </w:rPr>
        <w:t xml:space="preserve"> И у нас тоже есть. Если бы вы посмотрели в институте, какие там имеются не только образцы, но и предметы вооружения уже на серийном производстве, то вы увидели, что мы далеко не бедны техникой. Горе в том, что есть разрыв между тем, что уже проработано, и тем, что дано в войска. Вот этот исключительный разрыв между техническим оснащением низовых звеньев и тем, что мы имеем на центральных полигонах, — самое больное место.</w:t>
      </w:r>
    </w:p>
    <w:p w14:paraId="5E3F27D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тут происходит? Кто тут виновен? Должен сказать, что серийные заказы проводить очень трудно потому, что Инженерное управление не сумело создать свою промышленную базу, которая могла бы полностью удовлетворять наши потребности. Сейчас инженерное вооружение что-то вроде каталажки, вроде базара. Сейчас инженерное вооружение промышленники рассматривают еще исходя из старого понятия — лопата и топор. Но сейчас от нас требуется энерговооружение, от нас требуются электростанции не только для электризации проволочных заграждений, но и как двигательная сила для электроинструментов. От нас требуются электростанции для освещения. А заказы приходится протаскивать с большим трудом только потому, что все заводы захвачены Халепским или Алкс-нисом. Я готов считать себя виноватым в том, что я не добился того, чтобы мою продукцию выполняли с такой же быстротой, как продукцию тт. Халепского и Алксниса. Но докладываю, что и лимиты, которые нам дают на инженерное вооружение, чрезвычайно малы. Первый раз в этом году нам намечали дать вдвое больше, чем в прошлом году, но сейчас уже лимиты сокращают, о чем известно начальнику Генерального штаба, кроме того, в смету Инженерного управления включено 11 000 000 на колючую проволоку. В отношении колючей проволоки я являюсь прямо-таки всесоюзным поставщиком. Все ко мне обращаются за ней, и из моей небольшой сметы уходят значительные суммы на этот товар, не совсем непосредственно касающийся инженерной техники.</w:t>
      </w:r>
    </w:p>
    <w:p w14:paraId="37E9737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 нас была еще вторая задержка в этом году, очень серьезная. К счастью, она уже ликвидируется. Это то, что у нас не было ни автомашин, ни тракторов, ни тяговой двигательной силы. Тов. Халепский обещал в этом году удовлетворить мою просьбу об автомашинах на 100%. Тов. Левандовский уже говорил, что у него дорожные машины не используются из-за отсутствия двигательной тяговой силы.</w:t>
      </w:r>
    </w:p>
    <w:p w14:paraId="11FEC9A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Затем нужно всю систему инженерного вооружения пересмотреть и снизить в отношении полка и дивизии. Оказывается, что наша техника настолько громоздкая, что она влечет большие хвосты в тылу. Поэтому нашей задачей является пересмотреть всю номенклатуру с тем, чтобы облегчить полки и дивизии. Вы знаете, что из переправочных средств у нас намечен уже понтон из легкого сплава НЛП</w:t>
      </w:r>
      <w:r w:rsidRPr="00E14102">
        <w:rPr>
          <w:color w:val="000000" w:themeColor="text1"/>
          <w:sz w:val="16"/>
          <w:szCs w:val="16"/>
          <w:vertAlign w:val="superscript"/>
        </w:rPr>
        <w:t>72</w:t>
      </w:r>
      <w:r w:rsidRPr="00E14102">
        <w:rPr>
          <w:color w:val="000000" w:themeColor="text1"/>
          <w:sz w:val="16"/>
          <w:szCs w:val="16"/>
        </w:rPr>
        <w:t>. В Харьковском парке уже провели соответствующее испытание на мотомехсоединениях и складных лодках. Кроме того, нам нужен целый ряд других мероприятий для того, чтобы пустить в ход электроинструменты. Нам нужны мотопилы. Мы сейчас работаем над 7,5-кВт станцией, которую можно поместить на повозку, и она будет обслуживаться одним бойцом и давать энергию для электроинструментов.</w:t>
      </w:r>
    </w:p>
    <w:p w14:paraId="768B2BC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считаю, что наши инженерные войска обеспечены искусственными и естественными зонами заграждения и переправочными средствами. Я в разговоре с начальником Генерального штаба ставил вопрос о полевых фортификациях. Я считаю, что комплекс полевых фортификаций в смысле укрепления надо переложить на основные рода войск. Я считаю, что скрывающиеся огневые точки вполне могут строить сами войска.</w:t>
      </w:r>
    </w:p>
    <w:p w14:paraId="541BC49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Егоров.</w:t>
      </w:r>
      <w:r w:rsidRPr="00E14102">
        <w:rPr>
          <w:color w:val="000000" w:themeColor="text1"/>
          <w:sz w:val="16"/>
          <w:szCs w:val="16"/>
        </w:rPr>
        <w:t xml:space="preserve"> Но эта дисциплина должна быть внедрена в армию.</w:t>
      </w:r>
    </w:p>
    <w:p w14:paraId="4851B76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Петин.</w:t>
      </w:r>
      <w:r w:rsidRPr="00E14102">
        <w:rPr>
          <w:color w:val="000000" w:themeColor="text1"/>
          <w:sz w:val="16"/>
          <w:szCs w:val="16"/>
        </w:rPr>
        <w:t xml:space="preserve"> Это надо внедрять в основные рода войск. Между прочим, скоро должно выйти наставление по этому вопросу</w:t>
      </w:r>
      <w:r w:rsidRPr="00E14102">
        <w:rPr>
          <w:color w:val="000000" w:themeColor="text1"/>
          <w:sz w:val="16"/>
          <w:szCs w:val="16"/>
          <w:vertAlign w:val="superscript"/>
        </w:rPr>
        <w:t>73</w:t>
      </w:r>
      <w:r w:rsidRPr="00E14102">
        <w:rPr>
          <w:color w:val="000000" w:themeColor="text1"/>
          <w:sz w:val="16"/>
          <w:szCs w:val="16"/>
        </w:rPr>
        <w:t>. Тов. Подсотский</w:t>
      </w:r>
      <w:bookmarkStart w:id="57" w:name="_ftnref7"/>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"http://istmat.info/node/33260" \l "_ftn7" \o "" </w:instrText>
      </w:r>
      <w:r w:rsidR="00B64C5C" w:rsidRPr="00E14102">
        <w:rPr>
          <w:color w:val="000000" w:themeColor="text1"/>
          <w:sz w:val="16"/>
          <w:szCs w:val="16"/>
        </w:rPr>
        <w:fldChar w:fldCharType="separate"/>
      </w:r>
      <w:r w:rsidRPr="00E14102">
        <w:rPr>
          <w:rStyle w:val="a4"/>
          <w:color w:val="000000" w:themeColor="text1"/>
          <w:sz w:val="16"/>
          <w:szCs w:val="16"/>
        </w:rPr>
        <w:t>[7]</w:t>
      </w:r>
      <w:r w:rsidR="00B64C5C" w:rsidRPr="00E14102">
        <w:rPr>
          <w:color w:val="000000" w:themeColor="text1"/>
          <w:sz w:val="16"/>
          <w:szCs w:val="16"/>
        </w:rPr>
        <w:fldChar w:fldCharType="end"/>
      </w:r>
      <w:bookmarkEnd w:id="57"/>
      <w:r w:rsidRPr="00E14102">
        <w:rPr>
          <w:color w:val="000000" w:themeColor="text1"/>
          <w:sz w:val="16"/>
          <w:szCs w:val="16"/>
        </w:rPr>
        <w:t xml:space="preserve"> обещал издать это наставление к Военному совету. В этом наставлении обобщены все достижения, которые мы имеем за эти годы. Между прочим, когда я просил Генеральный штаб включить в прошлом году в инструкцию проверяющихся войск во всех отношениях и проверку инженерного дела, то мое ходатайство удовлетворено не было. Химический элемент, все остальные поверяются общевойсковым командованием, но инженерное дело ни в одном звене не поверяется. Безусловно, без помощи командования сдвинуть инженерную подготовку нельзя. Это доказали и Белорусский военный округ, и Киевский округ, где к этому делу относились исключительно внимательно, точно так же Московский военный округ провел в этом году специальный сбор, который дал большой сдвиг для высшего начсостава в инженерной технике.</w:t>
      </w:r>
    </w:p>
    <w:p w14:paraId="01F5255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90-91.</w:t>
      </w:r>
    </w:p>
    <w:p w14:paraId="34A61BF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Аронштам.</w:t>
      </w:r>
      <w:r w:rsidRPr="00E14102">
        <w:rPr>
          <w:color w:val="000000" w:themeColor="text1"/>
          <w:sz w:val="16"/>
          <w:szCs w:val="16"/>
        </w:rPr>
        <w:t xml:space="preserve"> Основной задачей в нынешнем году ОКДВА поставила перед собой — научить наши войска бить японские войска, в частности нашей дивизией — японскую дивизию. Одним из элементов, без которого невозможно бить японскую дивизию, является подготовка, обучение наших войск для действий в горных условиях. Нам надо так подготовить, так научить наши войска, чтобы в наших своеобразных горных условиях, в условиях тайги, болот, уметь находить фланги противника, заходить в тыл противника, окружать и уничтожать его. Ясно, что при разрешении этой задачи, как совершенно правильно сказал т. Блюхер, нельзя придерживаться какой-либо крайности, отметать, отбрасывать действия, продвижение войск по дорогам, либо стремиться идти только в горы. Нам нужно в совершенстве научиться действовать и по дорогам, и по горной целине. Мы обязаны комбинированными действиями уничтожать противника. Так резко в этом году нужно было поставить вопрос научить войска действовать в горах, потому что, к сожалению, до сих пор у нас пока масса войск этим действиям не научилась. В нынешнем году мы действовали в горах, даже одновременно несколькими дивизиями. Проходить, пробираться в горах колоннами мы, к сожалению, в совершенстве не умеем. В этом году мы только приступили к обучению войск в горных условиях, приобрели в этом году только начальные навыки в этом деле. И нельзя упускать из виду, что и японцы будут действовать, используя горные массивы. В частности, если взять такие бои, как бой под Ялу, бой под Шахэ, бой под Ляояном, русско-японскую войну, то мы увидим, что японцы выгодно использовали неумение русской армии действовать в горных условиях.</w:t>
      </w:r>
    </w:p>
    <w:p w14:paraId="638B0C9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Оценивая работу, которую мы проделали, нужно сказать, что большим упущением было то, что мы недостаточно учили войска проходить через горы и драться в горах. К сожалению, мы в этом году ни одного встречного столкновения, встречного боя в горных условиях до сих пор не имели. Совершенно ясно, что японцы, используя горные условия, будут искать наши фланги, наш тыл, и тут неизбежны встречные столкновения, встречные сражения.</w:t>
      </w:r>
    </w:p>
    <w:p w14:paraId="686F39D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 же можно оценивать проделанную нами за истекший год работу с точки зрения ее итогов? Мне кажется, что нам к этому вопросу следует подходить вот каким образом. При подготовке войск мы должны исходить из того расчета, что вряд ли нам удастся, ежели будет война, сражаться только на одном Дальневосточном фронте. Подготовка на Западе идет такими темпами, что надо полагать, что одновременно будем иметь события и на Западе, и на Востоке. Мне совершенно ясно, что когда мы будем иметь одновременные события, то близость западной границы к центральным нашим жизненным пунктам потребует проявить максимум внимания к Западу. Это не значит, что нужно ослаблять оборону на Востоке. Но все же будут моменты, когда, несмотря на всю тяжесть нашего положения на Дальнем Востоке, нам скажут: «Товарищи, мы вам людей давали, мы вам технику давали в мирное время, а теперь не смейте ни пяди земли отдать». И мы, дальневосточники, должны оправдать то доверие, которое партия оказывает нам. Это ответственность большая и нужно подходить к своей работе более самокритично, чем это делается до сих пор.</w:t>
      </w:r>
    </w:p>
    <w:p w14:paraId="0E0A313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считаю исключительно правильной ту оценку крайней незначительности наших достижений, которая была дана с этой трибуны. Правильно именно потому, что задачи, которые стоят перед нами, доверие, которое нам оказывается, требования, которые к нам предъявляются, — крайне велики. Поэтому мы не можем удовлетворяться в какой бы то ни было степени имеющимися результатами подготовки войск ОКДВА.</w:t>
      </w:r>
    </w:p>
    <w:p w14:paraId="380FC5F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Совершенно был прав т. Блюхер, который предупреждал и т. Федько от слишком оптимистической оценки наших достижений. Тов. Блюхер был абсолютно прав. Понятно, все мы были бы не прочь, если бы нас похвалили. Очень приятно, когда вас хвалят, когда говорят — результаты у вас хорошие. Но ежели подойти критически к нашей работе, с точки зрения стоящих перед нами задач, то надо сказать, что проделанная нами работа крайне незначительная. И если т. Гамарник говорил, что мы отнеслись сами критически к результатам своей работ, то для нас эта самокритика должна быть во много раз увеличена, потому что мы находимся крайне далеко от центра. Если возможно, то Михаилу Николаевичу и Александру Ильичу надо было бы выскочить на день-два к нам на учения и народному комиссару выехать к нам на учение, а то ведь к нам не скоро доберешься.</w:t>
      </w:r>
    </w:p>
    <w:p w14:paraId="502AF95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Вы должны скомпенсировать это усиленной самокритикой.</w:t>
      </w:r>
    </w:p>
    <w:p w14:paraId="1BAC393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Аронштам.</w:t>
      </w:r>
      <w:r w:rsidRPr="00E14102">
        <w:rPr>
          <w:color w:val="000000" w:themeColor="text1"/>
          <w:sz w:val="16"/>
          <w:szCs w:val="16"/>
        </w:rPr>
        <w:t xml:space="preserve"> Лучше в оценках быть жестче, чем замазывать. Я считаю, что в этом году Приморская группа проделала колоссальную работу, такую, какой я давно не видел. Этого отрицать нельзя.</w:t>
      </w:r>
    </w:p>
    <w:p w14:paraId="391B350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Это правильно, но на этом нельзя успокаиваться.</w:t>
      </w:r>
    </w:p>
    <w:p w14:paraId="63CDABF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Аронштам.</w:t>
      </w:r>
      <w:r w:rsidRPr="00E14102">
        <w:rPr>
          <w:color w:val="000000" w:themeColor="text1"/>
          <w:sz w:val="16"/>
          <w:szCs w:val="16"/>
        </w:rPr>
        <w:t xml:space="preserve"> Да, работали много, добросовестно, зверски работали, но все же мало. Это нужно понимать не только нам, руководителям, но на этом нужно воспитывать войска. В этом отношении мало еще делается.</w:t>
      </w:r>
    </w:p>
    <w:p w14:paraId="644B614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А как у вас с политработой?</w:t>
      </w:r>
    </w:p>
    <w:p w14:paraId="3ADF90E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Аронштам.</w:t>
      </w:r>
      <w:r w:rsidRPr="00E14102">
        <w:rPr>
          <w:color w:val="000000" w:themeColor="text1"/>
          <w:sz w:val="16"/>
          <w:szCs w:val="16"/>
        </w:rPr>
        <w:t xml:space="preserve"> Я должен сказать, что мы еще кое-как, с грехом пополам, занимаемся вопросами воспитания войск. Поскольку войска пребывали в горных районах, ясно, что и политическая работа должна быть приспособлена к тому, чтобы обеспечить нужное, быстрое продвижение войск по горным путям. Мы пришли к такому выводу, что при проведении войск через леса основной упор партийно-политической работы должен быть сделан на обеспечение быстрой расчистки дорог, на соответствующую расстановку при работе по прокладке колонного пути.</w:t>
      </w:r>
    </w:p>
    <w:p w14:paraId="2DC6928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Вот, например, я двигался с 26-й дивизией от Макеевки до Тайловки. Дивизия шла в течение 21 часа — около 17 км. Отдельные деревья распиливали 45 мин. Дивизия распиливала не ручным путем, а механизированной пилой. Здесь нужно учесть ряд обстоятельств. Влажность дерева. Когда верхний покров дерева начинает подгнивать, а внутреннее ядро его очень крепкое, тогда пила начинает работать туго. Только на второй день мы догадались произвести расстановку коммунистов и комсомольцев согласно требованию — быстро обеспечить прокладку колонного пути, и это мероприятие дало нужный эффект.</w:t>
      </w:r>
    </w:p>
    <w:p w14:paraId="35F14AF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Политаппарат до сих пор работает еще порывами, как-то зигзагообразно. В этом отношении у меня есть два отрицательных и один положительный примеры. Послали секретаря ячейки 85-го кп товарища Колычева на Всесоюзный съезд, а затем еще секретаря партячейки танкбата 1 -й сд. Знатные люди. С этими людьми надо работать. Случайно приезжаю в 85-й кавалерийский полк, спрашиваю о Колычеве, который был на съезде, оказывается, он стал плохо работать, не тот Колычев. Я говорю: он у вас плохо работает, мы его возьмем. Не дают. Оказывается, дело в том, что он остался на сверхсрочную службу, а квартиры ему не дали, забросили, не помогли. Сперва его выдвинули, послали на Всесоюзный съезд, а затем забыли. То же самое и с танкистом. Приехал он со съезда, уговорили его остаться на сверхсрочной службе, он остался, его избрали секретарем партбюро. Через некоторое время мне дают на подпись решение армейской партийной комиссии, в котором этому секретарю партбюро выносится строгий выговор, со снятием с работы. В чем дело? Оказывается, этот знатный человек, делегат съезда, образцовый боец, секретарь партийного бюро, был выдвинут на руководящую работу и брошен. Опыта у него не было, и благодаря этому он наделал ряд глупостей. Характерный случай, имевший место у Руденко, бывшего начальником политотдела. У него есть курсант Белорусский, которого избрали на краевую партийную конференцию. Тов. Руденко — большевик, он с человеком поработал лично, и благодаря этому Белорусский является лучшим политруком в дивизии и в армии.</w:t>
      </w:r>
    </w:p>
    <w:p w14:paraId="04D5EFD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 последний вопрос — вы, Ян Борисович, правильно сказали, что в конце концов нам надо покончить с чрезвычайными происшествиями.</w:t>
      </w:r>
    </w:p>
    <w:p w14:paraId="1E5E426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Обязательно надо.</w:t>
      </w:r>
    </w:p>
    <w:p w14:paraId="2127221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Аронштам.</w:t>
      </w:r>
      <w:r w:rsidRPr="00E14102">
        <w:rPr>
          <w:color w:val="000000" w:themeColor="text1"/>
          <w:sz w:val="16"/>
          <w:szCs w:val="16"/>
        </w:rPr>
        <w:t xml:space="preserve"> Что получается — мы много занимаемся болтовней, много говорим о реализации речи т. Сталина о кадрах. А ведь чрезвычайные происшествия являются самым грубым, несовместимым с речью т. Сталина явлением. У нас люди делают исключительные доклады по речи т. Сталина о кадрах, а под их носом совершаются безобразнейшие явления с людьми.</w:t>
      </w:r>
    </w:p>
    <w:p w14:paraId="7553CC0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В этом весь гвоздь вопроса.</w:t>
      </w:r>
    </w:p>
    <w:p w14:paraId="2AC73C8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Аронштам.</w:t>
      </w:r>
      <w:r w:rsidRPr="00E14102">
        <w:rPr>
          <w:color w:val="000000" w:themeColor="text1"/>
          <w:sz w:val="16"/>
          <w:szCs w:val="16"/>
        </w:rPr>
        <w:t xml:space="preserve"> Говорят о чрезвычайных происшествиях, но не понимают всей политической сущности этого вопроса, считают, что это очередная неприятность, за которую влетит от вас, т. Гамарник, или от народного комиссара. Но они не понимают, что чрезвычайные происшествия несовместимы с тем, о чем говорил т. Сталин</w:t>
      </w:r>
      <w:bookmarkStart w:id="58" w:name="_ftnref8"/>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"http://istmat.info/node/33260" \l "_ftn8" \o "" </w:instrText>
      </w:r>
      <w:r w:rsidR="00B64C5C" w:rsidRPr="00E14102">
        <w:rPr>
          <w:color w:val="000000" w:themeColor="text1"/>
          <w:sz w:val="16"/>
          <w:szCs w:val="16"/>
        </w:rPr>
        <w:fldChar w:fldCharType="separate"/>
      </w:r>
      <w:r w:rsidRPr="00E14102">
        <w:rPr>
          <w:rStyle w:val="a4"/>
          <w:color w:val="000000" w:themeColor="text1"/>
          <w:sz w:val="16"/>
          <w:szCs w:val="16"/>
        </w:rPr>
        <w:t>[8]</w:t>
      </w:r>
      <w:r w:rsidR="00B64C5C" w:rsidRPr="00E14102">
        <w:rPr>
          <w:color w:val="000000" w:themeColor="text1"/>
          <w:sz w:val="16"/>
          <w:szCs w:val="16"/>
        </w:rPr>
        <w:fldChar w:fldCharType="end"/>
      </w:r>
      <w:bookmarkEnd w:id="58"/>
      <w:r w:rsidRPr="00E14102">
        <w:rPr>
          <w:color w:val="000000" w:themeColor="text1"/>
          <w:sz w:val="16"/>
          <w:szCs w:val="16"/>
        </w:rPr>
        <w:t>.</w:t>
      </w:r>
    </w:p>
    <w:p w14:paraId="3869D6F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91-92.</w:t>
      </w:r>
    </w:p>
    <w:p w14:paraId="4F69A0D8" w14:textId="77777777" w:rsidR="00970104" w:rsidRPr="00E14102" w:rsidRDefault="00E14102" w:rsidP="00E14102">
      <w:pPr>
        <w:pStyle w:val="rtejustify"/>
        <w:spacing w:before="0" w:after="0"/>
        <w:rPr>
          <w:color w:val="000000" w:themeColor="text1"/>
          <w:sz w:val="16"/>
          <w:szCs w:val="16"/>
        </w:rPr>
      </w:pPr>
      <w:hyperlink r:id="rId293" w:anchor="_ftnref1" w:history="1">
        <w:r w:rsidR="00970104" w:rsidRPr="00E14102">
          <w:rPr>
            <w:rStyle w:val="a4"/>
            <w:color w:val="000000" w:themeColor="text1"/>
            <w:sz w:val="16"/>
            <w:szCs w:val="16"/>
          </w:rPr>
          <w:t>[1]</w:t>
        </w:r>
      </w:hyperlink>
      <w:r w:rsidR="00970104" w:rsidRPr="00E14102">
        <w:rPr>
          <w:color w:val="000000" w:themeColor="text1"/>
          <w:sz w:val="16"/>
          <w:szCs w:val="16"/>
        </w:rPr>
        <w:t xml:space="preserve"> Егоров.</w:t>
      </w:r>
    </w:p>
    <w:p w14:paraId="224C5EC1" w14:textId="77777777" w:rsidR="00970104" w:rsidRPr="00E14102" w:rsidRDefault="00E14102" w:rsidP="00E14102">
      <w:pPr>
        <w:pStyle w:val="rtejustify"/>
        <w:spacing w:before="0" w:after="0"/>
        <w:rPr>
          <w:color w:val="000000" w:themeColor="text1"/>
          <w:sz w:val="16"/>
          <w:szCs w:val="16"/>
        </w:rPr>
      </w:pPr>
      <w:hyperlink r:id="rId294" w:anchor="_ftnref2" w:history="1">
        <w:r w:rsidR="00970104" w:rsidRPr="00E14102">
          <w:rPr>
            <w:rStyle w:val="a4"/>
            <w:color w:val="000000" w:themeColor="text1"/>
            <w:sz w:val="16"/>
            <w:szCs w:val="16"/>
          </w:rPr>
          <w:t>[2]</w:t>
        </w:r>
      </w:hyperlink>
      <w:r w:rsidR="00970104" w:rsidRPr="00E14102">
        <w:rPr>
          <w:color w:val="000000" w:themeColor="text1"/>
          <w:sz w:val="16"/>
          <w:szCs w:val="16"/>
        </w:rPr>
        <w:t xml:space="preserve"> И.А. Ринк — военный атташе СССР в Японии.</w:t>
      </w:r>
    </w:p>
    <w:p w14:paraId="66DBD53F" w14:textId="77777777" w:rsidR="00970104" w:rsidRPr="00E14102" w:rsidRDefault="00E14102" w:rsidP="00E14102">
      <w:pPr>
        <w:pStyle w:val="rtejustify"/>
        <w:spacing w:before="0" w:after="0"/>
        <w:rPr>
          <w:color w:val="000000" w:themeColor="text1"/>
          <w:sz w:val="16"/>
          <w:szCs w:val="16"/>
        </w:rPr>
      </w:pPr>
      <w:hyperlink r:id="rId295" w:anchor="_ftnref3" w:history="1">
        <w:r w:rsidR="00970104" w:rsidRPr="00E14102">
          <w:rPr>
            <w:rStyle w:val="a4"/>
            <w:color w:val="000000" w:themeColor="text1"/>
            <w:sz w:val="16"/>
            <w:szCs w:val="16"/>
          </w:rPr>
          <w:t>[3]</w:t>
        </w:r>
      </w:hyperlink>
      <w:r w:rsidR="00970104" w:rsidRPr="00E14102">
        <w:rPr>
          <w:color w:val="000000" w:themeColor="text1"/>
          <w:sz w:val="16"/>
          <w:szCs w:val="16"/>
        </w:rPr>
        <w:t xml:space="preserve"> Речь товарища Сталина в Кремлевском дворце на выпуске академиков Красной армии 4 мая 1935 г. М ., Политиздат Ц К ВК П (б). 1935.</w:t>
      </w:r>
    </w:p>
    <w:p w14:paraId="1A90C880" w14:textId="77777777" w:rsidR="00970104" w:rsidRPr="00E14102" w:rsidRDefault="00E14102" w:rsidP="00E14102">
      <w:pPr>
        <w:pStyle w:val="rtejustify"/>
        <w:spacing w:before="0" w:after="0"/>
        <w:rPr>
          <w:color w:val="000000" w:themeColor="text1"/>
          <w:sz w:val="16"/>
          <w:szCs w:val="16"/>
        </w:rPr>
      </w:pPr>
      <w:hyperlink r:id="rId296" w:anchor="_ftnref4" w:history="1">
        <w:r w:rsidR="00970104" w:rsidRPr="00E14102">
          <w:rPr>
            <w:rStyle w:val="a4"/>
            <w:color w:val="000000" w:themeColor="text1"/>
            <w:sz w:val="16"/>
            <w:szCs w:val="16"/>
          </w:rPr>
          <w:t>[4]</w:t>
        </w:r>
      </w:hyperlink>
      <w:r w:rsidR="00970104" w:rsidRPr="00E14102">
        <w:rPr>
          <w:color w:val="000000" w:themeColor="text1"/>
          <w:sz w:val="16"/>
          <w:szCs w:val="16"/>
        </w:rPr>
        <w:t xml:space="preserve"> Сторожевой корабль.</w:t>
      </w:r>
    </w:p>
    <w:p w14:paraId="3F689E95" w14:textId="77777777" w:rsidR="00970104" w:rsidRPr="00E14102" w:rsidRDefault="00E14102" w:rsidP="00E14102">
      <w:pPr>
        <w:pStyle w:val="rtejustify"/>
        <w:spacing w:before="0" w:after="0"/>
        <w:rPr>
          <w:color w:val="000000" w:themeColor="text1"/>
          <w:sz w:val="16"/>
          <w:szCs w:val="16"/>
        </w:rPr>
      </w:pPr>
      <w:hyperlink r:id="rId297" w:anchor="_ftnref5" w:history="1">
        <w:r w:rsidR="00970104" w:rsidRPr="00E14102">
          <w:rPr>
            <w:rStyle w:val="a4"/>
            <w:color w:val="000000" w:themeColor="text1"/>
            <w:sz w:val="16"/>
            <w:szCs w:val="16"/>
          </w:rPr>
          <w:t>[5]</w:t>
        </w:r>
      </w:hyperlink>
      <w:r w:rsidR="00970104" w:rsidRPr="00E14102">
        <w:rPr>
          <w:color w:val="000000" w:themeColor="text1"/>
          <w:sz w:val="16"/>
          <w:szCs w:val="16"/>
        </w:rPr>
        <w:t xml:space="preserve"> Правда, 1935. 4 декабря.</w:t>
      </w:r>
    </w:p>
    <w:p w14:paraId="2B9889EE" w14:textId="77777777" w:rsidR="00970104" w:rsidRPr="00E14102" w:rsidRDefault="00E14102" w:rsidP="00E14102">
      <w:pPr>
        <w:pStyle w:val="rtejustify"/>
        <w:spacing w:before="0" w:after="0"/>
        <w:rPr>
          <w:color w:val="000000" w:themeColor="text1"/>
          <w:sz w:val="16"/>
          <w:szCs w:val="16"/>
        </w:rPr>
      </w:pPr>
      <w:hyperlink r:id="rId298" w:anchor="_ftnref6" w:history="1">
        <w:r w:rsidR="00970104" w:rsidRPr="00E14102">
          <w:rPr>
            <w:rStyle w:val="a4"/>
            <w:color w:val="000000" w:themeColor="text1"/>
            <w:sz w:val="16"/>
            <w:szCs w:val="16"/>
          </w:rPr>
          <w:t>[6]</w:t>
        </w:r>
      </w:hyperlink>
      <w:r w:rsidR="00970104" w:rsidRPr="00E14102">
        <w:rPr>
          <w:color w:val="000000" w:themeColor="text1"/>
          <w:sz w:val="16"/>
          <w:szCs w:val="16"/>
        </w:rPr>
        <w:t xml:space="preserve"> Сталин И.В. Сочинения. Т. 14. С. 90.</w:t>
      </w:r>
    </w:p>
    <w:bookmarkStart w:id="59" w:name="_ftn7"/>
    <w:p w14:paraId="15F03419"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"http://istmat.info/node/33260" \l "_ftnref7" \o "" </w:instrText>
      </w:r>
      <w:r w:rsidRPr="00E14102">
        <w:rPr>
          <w:color w:val="000000" w:themeColor="text1"/>
          <w:sz w:val="16"/>
          <w:szCs w:val="16"/>
        </w:rPr>
        <w:fldChar w:fldCharType="separate"/>
      </w:r>
      <w:r w:rsidR="00970104" w:rsidRPr="00E14102">
        <w:rPr>
          <w:rStyle w:val="a4"/>
          <w:color w:val="000000" w:themeColor="text1"/>
          <w:sz w:val="16"/>
          <w:szCs w:val="16"/>
        </w:rPr>
        <w:t>[7]</w:t>
      </w:r>
      <w:r w:rsidRPr="00E14102">
        <w:rPr>
          <w:color w:val="000000" w:themeColor="text1"/>
          <w:sz w:val="16"/>
          <w:szCs w:val="16"/>
        </w:rPr>
        <w:fldChar w:fldCharType="end"/>
      </w:r>
      <w:bookmarkEnd w:id="59"/>
      <w:r w:rsidR="00970104" w:rsidRPr="00E14102">
        <w:rPr>
          <w:color w:val="000000" w:themeColor="text1"/>
          <w:sz w:val="16"/>
          <w:szCs w:val="16"/>
        </w:rPr>
        <w:t xml:space="preserve"> К,И. Подсотский — бригадный комиссар, заместитель начальника Управления Госвоениздата.</w:t>
      </w:r>
    </w:p>
    <w:bookmarkStart w:id="60" w:name="_ftn8"/>
    <w:p w14:paraId="3B0B653F"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"http://istmat.info/node/33260" \l "_ftnref8" \o "" </w:instrText>
      </w:r>
      <w:r w:rsidRPr="00E14102">
        <w:rPr>
          <w:color w:val="000000" w:themeColor="text1"/>
          <w:sz w:val="16"/>
          <w:szCs w:val="16"/>
        </w:rPr>
        <w:fldChar w:fldCharType="separate"/>
      </w:r>
      <w:r w:rsidR="00970104" w:rsidRPr="00E14102">
        <w:rPr>
          <w:rStyle w:val="a4"/>
          <w:color w:val="000000" w:themeColor="text1"/>
          <w:sz w:val="16"/>
          <w:szCs w:val="16"/>
        </w:rPr>
        <w:t>[8]</w:t>
      </w:r>
      <w:r w:rsidRPr="00E14102">
        <w:rPr>
          <w:color w:val="000000" w:themeColor="text1"/>
          <w:sz w:val="16"/>
          <w:szCs w:val="16"/>
        </w:rPr>
        <w:fldChar w:fldCharType="end"/>
      </w:r>
      <w:bookmarkEnd w:id="60"/>
      <w:r w:rsidR="00970104" w:rsidRPr="00E14102">
        <w:rPr>
          <w:color w:val="000000" w:themeColor="text1"/>
          <w:sz w:val="16"/>
          <w:szCs w:val="16"/>
        </w:rPr>
        <w:t xml:space="preserve"> Речь товарища Сталина в Кремлевском дворце на выпуске академиков Красной армии 4 мая 1935 г. С. 14.</w:t>
      </w:r>
    </w:p>
    <w:p w14:paraId="3F37E446" w14:textId="77777777" w:rsidR="00970104" w:rsidRPr="00E14102" w:rsidRDefault="00970104" w:rsidP="00E14102">
      <w:pPr>
        <w:jc w:val="both"/>
        <w:rPr>
          <w:color w:val="000000" w:themeColor="text1"/>
          <w:sz w:val="16"/>
          <w:szCs w:val="16"/>
        </w:rPr>
      </w:pPr>
      <w:r w:rsidRPr="00E14102">
        <w:rPr>
          <w:color w:val="000000" w:themeColor="text1"/>
          <w:sz w:val="16"/>
          <w:szCs w:val="16"/>
        </w:rPr>
        <w:t>Источник: Военный совет при народном комиссаре обороны СССР. Декабрь 1935 г.: Документы и материалы. — М.: "РОССПЭН", 2008. С. 232-271 (12589).</w:t>
      </w:r>
    </w:p>
    <w:p w14:paraId="5E3D28B8" w14:textId="77777777" w:rsidR="001D1A86" w:rsidRPr="00E14102" w:rsidRDefault="001D1A86" w:rsidP="00E14102">
      <w:pPr>
        <w:pStyle w:val="rtejustify"/>
        <w:spacing w:before="0" w:after="0"/>
        <w:rPr>
          <w:rStyle w:val="a6"/>
          <w:i w:val="0"/>
          <w:color w:val="000000" w:themeColor="text1"/>
          <w:sz w:val="16"/>
          <w:szCs w:val="16"/>
        </w:rPr>
      </w:pPr>
    </w:p>
    <w:p w14:paraId="6B500C22" w14:textId="77777777" w:rsidR="001D1A86" w:rsidRPr="00E14102" w:rsidRDefault="001D1A86" w:rsidP="00E14102">
      <w:pPr>
        <w:pStyle w:val="rtejustify"/>
        <w:spacing w:before="0" w:after="0"/>
        <w:rPr>
          <w:rStyle w:val="a6"/>
          <w:i w:val="0"/>
          <w:color w:val="000000" w:themeColor="text1"/>
          <w:sz w:val="16"/>
          <w:szCs w:val="16"/>
        </w:rPr>
      </w:pPr>
      <w:r w:rsidRPr="00E14102">
        <w:rPr>
          <w:color w:val="000000" w:themeColor="text1"/>
          <w:sz w:val="16"/>
          <w:szCs w:val="16"/>
        </w:rPr>
        <w:t>10 декабря 1935 Доклад и выступления по авиационным вопросам</w:t>
      </w:r>
    </w:p>
    <w:p w14:paraId="78EE66C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Товарищи, в своем докладе я буду говорить по всем трем вопросам, которые стоят в повестке дня, в разрезе самостоятельных действий авиации. Затем я хочу 2-3 слова сказать на тему о воздушном режиме над территорией Союза.</w:t>
      </w:r>
    </w:p>
    <w:p w14:paraId="6CE9552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Современное состояние и перспективы развития авиационной техники, научно-исследовательских институтов и авиационной промышленности, успехи и перспективы в деле подготовки летно-технических кадров в связи с массовым развитием в стране моделизма, планеризма, легко-моторной авиации и парашютизма, достигнутые успехи в боевой подготовке воздушных сил, о которых с этой же трибуны сегодня и вчера докладывали, — все это обеспечивает дальнейший количественный и качественный рост нашей авиации ее резерва — гражданской авиации и накопление запаса летного и технического состава на пополнение убыли во время войны.</w:t>
      </w:r>
    </w:p>
    <w:p w14:paraId="4E73AA6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Все эти успехи обусловливают перевод воздушных сил из орудия вспомогательного назначения, оружия, только содействующего другим родам войск и морскому флоту, на род войск, способный и обязанный своими боевыми действиями решать целый ряд больших самостоятельных задач в тактическом, оперативном и стратегическом взаимодействии с наземными войсками и морским флотом, способный самостоятельно организовать и проводить бои и целую воздушную операцию для решения поставленных задач.</w:t>
      </w:r>
    </w:p>
    <w:p w14:paraId="465E16E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Это, конечно, ни в какой мере не означает, и я оговариваюсь, что не хотел бы быть понятым так, что с воздушных сил снимаются те задачи, которые до сих пор на них лежали по непосредственному содействию войскам на поле боя, а именно: обслуживание нужд других родов войск и морского флота разведкой, содействие им корректировкой, совместные действия на поле боя по живой силе противника, его резервам и колоннам войск и подвоза, прикрытие их с воздуха, высадка десантов и боевое обеспечение последних и т.д. Как раз наоборот. Все эти задачи остаются, расширяются.</w:t>
      </w:r>
    </w:p>
    <w:p w14:paraId="22A166B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Но наряду с этими задачами надо готовить и обучать Военно-воздушные силы, командование и штабы частей и соединений решать самостоятельно задачи в тактической, оперативной и стратегической связи с земными войсками и морским флотом, самостоятельно организуя бой и даже целую воздушную операцию. Подготовкой воздушных сил к решению этих задач мы занимались в той или другой мере почти во всех округах, и до сих пор в той или другой мере. Больше всего занимались на Дальнем Востоке, в Ленинградском военном округе, в Белорусском военном округе и Украинском как в прошлом, 1934 г., так и в истекающем 1935 г. Так, например, известная всем тема № 5, которую мы проводили с тяжелой авиацией, начиная с Дальнего Востока при участии и под руководством центра, затем, обобщив этот опыт, перенесли его на подготовку по теме № 5 всей остальной нашей тяжелой авиации. Что мы подготовили, и что мы отработали по этой теме № 5 из элементов самостоятельных действий авиации?</w:t>
      </w:r>
    </w:p>
    <w:p w14:paraId="24ED9F2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провели и проверяли подготовку целой бригады к вылету, сбор бригады, организацию полета, профиль полета, разведку, связь в поле и с землей, управление. Но мы не отработали по теме № 5 целого ряда таких элементов, без которых самостоятельные действия невозможны, как, например, строи, наиболее выгодные при встрече с противником в воздухе и на земле, борьбу соединения против атаки его истребителями противника, маневрирование соединения тяжелой авиации в зоне зенитного огня при одновременном действии и зенитной артиллерии, и истребительной авиации. Одним словом, целый ряд элементов, совершенно необходимых для выполнения самостоятельных действий, хотя бы такими войсковыми соединениями, как авиационные бригады, остался не проработанным, не проверенным на опыте. В том же 1934 г. и ЛВО, и БВО, и УВО было проведено немало учений и занятий на самостоятельные действия по борьбе в воздухе с целым рядом весьма ценных выводов и практических предложений. С большим успехом было проведено в БВО с участием центра весьма ценное учение по бою в воздухе подразделений до отряда включительно; результаты этого учения были разосланы во все округа начвоздухам, комбригам.</w:t>
      </w:r>
    </w:p>
    <w:p w14:paraId="4AFF182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Возьмем далее 1935 г. В ОКДВА был проведен целый ряд игр, а затем учений на самостоятельные действия авиации по обеспечению превосходства в воздухе. Я о кое-каких выводах этих учений говорил вчера с этой трибуны. В частности, о том, как атаковать выгоднее авиацию противника на аэродромах. Дальневосточники пришли к выводу, что в борьбе за превосходство в воздухе невыгодно сразу всей авиацией атаковать авиацию на аэродромах противника, а лучше и выгоднее по эшелонам, следующим друг за другом через 1—3 часа, в зависимости от обстановки, причем в каждый из этих эшелонов включить примерно от одной четверти до одной трети имеющихся в распоряжении сил для борьбы за превосходство в воздухе. Помимо этого большого, может быть, еще и спорного вывода, были ими сделаны и целый ряд других больших и малых принципиальных и практических выводов.</w:t>
      </w:r>
    </w:p>
    <w:p w14:paraId="374F1FA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Ленинградском военном округе в этом году было проведено большое воздушное учение на самостоятельность действий авиации на тему «Оборона большого политического и экономического центра» различными родами авиации против налета авиации противника. Это учение дало немало выводов о том, как следует и как не следует использовать авиацию. Когда противник налетал на Ленинград, то в обороне, т.е. в противодействии авиации противника, налетающей на экономический и политический центр, участвовали ПВО и истребители. Остальные рода авиации с точки зрения боевой в это время бездействовали и готовились к контрудару-реваншу. Правильно это или неправильно? Целый ряд товарищей считают, и я в том числе считаю, что это неправильно.</w:t>
      </w:r>
    </w:p>
    <w:p w14:paraId="717D66E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Славин.</w:t>
      </w:r>
      <w:r w:rsidRPr="00E14102">
        <w:rPr>
          <w:color w:val="000000" w:themeColor="text1"/>
          <w:sz w:val="16"/>
          <w:szCs w:val="16"/>
        </w:rPr>
        <w:t xml:space="preserve"> Это зависит от количества сил.                                                                      </w:t>
      </w:r>
    </w:p>
    <w:p w14:paraId="72E1E96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Совершенно правильно, это зависит от количества сил и от обстановки. Но в данном конкретном случае это было неправильно. Возложить оборону крупного центра у границы или важного района целиком и полностью на истребительную авиацию, прикрепленную к данному пункту (району) и на противовоздушную оборону при наличии других родов авиации, было бы неправильно. Конечно, тут вопрос надо будет решать в соответствии с обстановкой. И мне кажется, что нужно часть и других родов авиации обязательно использовать для воздушного боя с налетающим противником, а другую часть из наличных сил подготовлять для того, чтобы преследовать противника при возвращении. Когда противник сядет на свои аэродромы — нанести ему удар на аэродромах, нанести удар только что севшей авиации противника с тем, чтобы покончить с теми остатками, которые ваша авиация не успела истребить в воздушном бою при налете и до налета на его аэродромах.</w:t>
      </w:r>
    </w:p>
    <w:p w14:paraId="5FC4493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Смирнов.</w:t>
      </w:r>
      <w:r w:rsidRPr="00E14102">
        <w:rPr>
          <w:color w:val="000000" w:themeColor="text1"/>
          <w:sz w:val="16"/>
          <w:szCs w:val="16"/>
        </w:rPr>
        <w:t xml:space="preserve"> Лучше бы уничтожить авиацию противника на аэродромах, пока она не начинала боя и налета на нас.</w:t>
      </w:r>
    </w:p>
    <w:p w14:paraId="0839CEB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Алкснис.</w:t>
      </w:r>
      <w:r w:rsidRPr="00E14102">
        <w:rPr>
          <w:color w:val="000000" w:themeColor="text1"/>
          <w:sz w:val="16"/>
          <w:szCs w:val="16"/>
        </w:rPr>
        <w:t xml:space="preserve"> Безусловно, это лучше, но в Ленинградском округе для учения была такая обстановка, что нельзя было этого сделать. Обстановка была следующая. Красная сторона исходила из того, что по целому ряду соображений она войны не хочет начинать и не может начинать первой, ее начала синяя сторона без объявления дипломатией, объявлением — налетом авиации на Ленинград. Я согласен, что если обстановка будет другая, то лучше бить противника на его аэродромах до вылета, до начала войны.</w:t>
      </w:r>
    </w:p>
    <w:p w14:paraId="2CBC5FD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Во всяком случае, это будет спокойнее для нас.</w:t>
      </w:r>
    </w:p>
    <w:p w14:paraId="51B532F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Не знаю, насколько спокойнее, но во всяком случае, значительно эффективнее по результатам. Но обстановка в первоначальный период предстоящей войны может быть и вероятно будет такой, как на учениях в ЛВО, когда красная сторона вынуждена была ожидать первый удар противника. Я считаю, что эту тему, которую отрабатывал Ленинградский округ, необходимо и дальше отрабатывать, особенно ОКДВА, а равно и другим округам: КВО, БВО, МВО и т.д.</w:t>
      </w:r>
    </w:p>
    <w:p w14:paraId="2F7002B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Блюхер.</w:t>
      </w:r>
      <w:r w:rsidRPr="00E14102">
        <w:rPr>
          <w:color w:val="000000" w:themeColor="text1"/>
          <w:sz w:val="16"/>
          <w:szCs w:val="16"/>
        </w:rPr>
        <w:t xml:space="preserve"> Мы отрабатывали ее.</w:t>
      </w:r>
    </w:p>
    <w:p w14:paraId="77261FE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Алкснис. Я</w:t>
      </w:r>
      <w:r w:rsidRPr="00E14102">
        <w:rPr>
          <w:color w:val="000000" w:themeColor="text1"/>
          <w:sz w:val="16"/>
          <w:szCs w:val="16"/>
        </w:rPr>
        <w:t xml:space="preserve"> знаю, что вы отрабатывали ее в ОКДВА — и правильно делали. С чего начнется и как начнется грядущая война, это будет определяться ЦК нашей партии и правительством — им виднее, чем нам с вами. Но мы с вами должны быть готовыми — по-настоящему подготовиться и к тому, что война может быть начата налетом на нас противника.</w:t>
      </w:r>
    </w:p>
    <w:p w14:paraId="0CA26B1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считаю, что ленинградцы поступили совершенно правильно, подобрав и разыграв именно эту тему и обстановку, но использование воздушных сил, с моей точки зрения, на учении было не совсем правильное. В этой обстановке часть других родов боевой авиации, кроме истребителей, могли и должны были участвовать в воздушном бою против налета авиации противника — на подходах и подступах к Ленинграду, а другая часть — готовиться к контрудару-реваншу.</w:t>
      </w:r>
    </w:p>
    <w:p w14:paraId="4DF3DF9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Далее, в Белорусском военном округе, как докладывал здесь т. Уборевич Иероним Петрович с этой же трибуны, было проведено очень большое учение воздушное на самостоятельные действия и превосходство в воздухе: с каждой стороны (синей и красной) участвовало свыше 3 авиабригад. Несомненно, там тоже бьшо немало совершенно конкретных выводов, как делать, что делать, чем начать, действовать и кончать. Я отчета не видел, поэтому, Иероним Петрович, доложить выводов не могу.</w:t>
      </w:r>
    </w:p>
    <w:p w14:paraId="1FD6B76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Не писали.</w:t>
      </w:r>
    </w:p>
    <w:p w14:paraId="0B4769D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Далее, в Закавказском военном округе, как докладывал т. Левандовский в своем выступлении, он проводил целый ряд учений на оборону крупного и исключительно важного пункта (Баку). Словом, этим я хочу сказать, что проведен целый ряд проработок, игр, учений, опытных учений на отдельные элементы или даже целый бой и операцию самостоятельных действий авиации в различные периоды войны.</w:t>
      </w:r>
    </w:p>
    <w:p w14:paraId="4DB48BD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чем недостаток? Недостаток на сегодня заключается прежде всего в том, что в каждом округе на основе проработок, игр, опытных и нормальных учений делаются те или другие выводы, причем целый ряд из этих положений (методов) являются совершенно правильными и ценными, другие спорными, требующими дополнительного анализа и, может быть, проверки дальнейшим опытом, остальные — неправильными и вредными для дела. Между тем иногда обучают командиров и войска не только правильным или хотя бы спорным, но и неправильным выводам (приемам), с чем согласиться никак нельзя.</w:t>
      </w:r>
    </w:p>
    <w:p w14:paraId="2265811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чем дело? Дело заключается в том, что имеющийся довольно богатый опыт, обработанный по отдельным элементам или группе элементов на самостоятельные действия авиации, не обобщен. Надо этот опыт обобщить, спорные вопросы обсудить. Если вопросы не совсем ясные, дать дополнительные учения и опыты на выявление этих спорных элементов. Положительный опыт обобщить, с тем чтобы не позже начала января 1936 г. вышла инструкция, наподобие Инструкции по глубокому бою, на самостоятельные действия авиации.</w:t>
      </w:r>
    </w:p>
    <w:p w14:paraId="2B15010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народный комиссар обороны Маршал Советского Союза! Я тут уже доложил о том, что мы провели целый ряд учении на самостоятельные действия авиации и в 1934 г., и в 1935 г. почти во всех округах. Но беда заключается в том, что выводы из этих учений на самостоятельные действия авиации на сегодня не обобщены в виде постановления или инструкции на самостоятельные действия. И первая задача заключается в том, чтобы нам тут использовать присутствие командующих войсками и их помощников по авиации, все материалы и письменные отчеты, которые мы имеем. Подработать целый ряд основных вопросов по самостоятельным действиям авиации с тем, чтобы обязательно создать инструкцию по самостоятельным действиям авиации, как была создана Инструкция по глубокому бою, преподнести эту Инструкцию воздушным силам для учебы на 1936 г. в целях единства основ подготовки на самостоятельные действия.</w:t>
      </w:r>
    </w:p>
    <w:p w14:paraId="5FD4540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Далее, с моей точки зрения, крупный недочет большинства занятий и учений на боевое применение авиации заключается в том, что когда ставится задача авиационному соединению, то ставится она не так, как стрелковой дивизии, корпусу на бой и операцию, а на шок — удар — вылет. В чем разница? Стрелковому корпусу и дивизии ставится задача — выйти на рубеж так-то, к такому-то времени, имея в виду в дальнейшем то-то. Командир дивизии и его штаб, получив такую задачу, организуют и проводят бой, а может быть, целую операцию: организуют разведку всеми доступными средствами и способами, суммируют разведывательные данные, принимают решение, распределяют силы, оставляют резервы, организуют дополнительное наблюдение, используют резервы для развития успеха или противодействия противнику и т.д. и т.п. Не только частям, но целым соединениям (бригадам) авиации задачи даются и ставятся узко — на вылет — на шок, что считаю совершенно неправильным и весьма вредным.</w:t>
      </w:r>
    </w:p>
    <w:p w14:paraId="6FA9B55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считаю, что командование, штабы авиачастей и соединений пора начать готовить и учить на тех же основаниях, на которых обучают общевойсковые соединения. Ставить задачи на бой или операцию в зависимости от того, какому соединению задача ставится для того, чтобы авиационные штабы организовали разведку, распределение сил, использование резервов, дальнейшее наблюдение, поддержание того, что уже достигнуто и т.д., так же как это делается на земле. Если мы будем продолжать обучать общеавиационные соединения действиям на шок и не будем обучать их подготовке и проведению боя и операции, мы в этом случае не сумеем по-настоящему поставить оперативно-тактическую подготовку командования и штабов авиасоединений. Это обязательно и непременно. Я считаю, что на это нам нужно перенести центр тяжести оперативно-тактической подготовки будущего года в наших авиационных соединениях по вопросам самостоятельных действий.</w:t>
      </w:r>
    </w:p>
    <w:p w14:paraId="5C9EA80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Далее, как-то принято у некоторых авиационных командиров считать, что самостоятельные действия авиации — это действия по глубоким центрам, тылам, глубоким объектам и т.д. Я считаю, что это неверно. Самостоятельными действиями могут быть действия бригады и на поле боя, на театре военных действий, если командующий армией или корпуса поставили авиабригаде задачу, скажем, прекратить на такое-то число доступ резервов и подвоз на определенном участке. Авиационное соединение должно решить эту задачу так же, как решает командир дивизии, командир корпуса, т.е., получивши задачу, действовать на определенном участке фронта с определенной задачей. Это тоже самостоятельные действия авиации. Самостоятельные действия воздушных сил, с моей точки зрения, складываются из самостоятельных действий в первоначальный период войны, в оперативно-стратегической связи с земным и воздушным флотом и самостоятельных действий в последующий период войны.</w:t>
      </w:r>
    </w:p>
    <w:p w14:paraId="4DA174F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хочу обратить внимание еще на одну сторону подготовки войск — на переброску большой массы авиации по внутренним операционным линиям для обеспечения превосходства в воздухе на том или ином театре, имеющем решающее значение в период войны или кампании. Что это значит? Это значит, что мы еще в мирное время, в частности в 1936 г., должны основательно подготовиться и провести целый ряд учений по переброске авиации (и тяжелой, и легкой) с европейского театра на Дальний Восток и обратно, из центральной части Союза на Кавказ и обратно для того, чтобы, во-первых, проверить организацию баз и, во-вторых, для того, чтобы самим научиться делать это и научить войска это осуществлять. Вот третий элемент, который я включаю как элемент самостоятельных действий авиации. Дело на первый взгляд может показаться простым. Но я должен сказать, что, когда мы в свое время перебрасывали много тяжелой и другой авиации на Дальний Восток по заданию правительства, пришлось много поработать, ибо эта переброска — не такое простое дело, как она кажется.</w:t>
      </w:r>
    </w:p>
    <w:p w14:paraId="46108F0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Основные принципы боевого использования авиации для самостоятельных действий должны преследовать решение следующих самостоятельных задач. Они в свое время были зафиксированы еще Революционным военным советом Союза.</w:t>
      </w:r>
    </w:p>
    <w:p w14:paraId="044AF57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Первая задача — обеспечить господство в воздухе для нападения и для непосредственной защиты территории Советского Союза и, особенно, важнейших в экономическом, политическом и военном отношениях областей, районов и центров, путем уничтожения авиации противника в воздухе, на аэродромах, а равно уничтожения баз авиации противника (заводов, складов и учебных центров). Я хочу особо остановиться на этой задаче. Я считаю, что мы очень часто не уделяем решению этой задачи достаточного внимания. По моему мнению (может быть, товарищи будут оспаривать), нельзя начинать прорыв укрепленной полосы и бросать в этот прорыв танковые части и части конницы, особенно в густых строях, если на период прорыва предварительно не достигнуто господство в воздухе в данном районе на весь период операции. Если кто попытается это игнорировать — он здорово поплатится. Вот, например, на украинских маневрах. Мы с Семеном Михайловичем смотрели, как штурмовики действовали по коннице. Если бы штурмовики были «припечатаны» на аэродром до начала прорыва, конница прошла бы сравнительно спокойно. Я не скажу, что всегда будет удачно. Но, во всяком случае, эту задачу нужно ставить, за разрешение этой задачи нужно драться, и она является одной из важнейших задач; превосходство в воздухе, если не абсолютное, то относительное, на данный период решительных операций и в решительном направлении обязательно для успеха. Это возможно, и мы должны стремиться во что бы то ни стало решить эту задачу в бою и операции.</w:t>
      </w:r>
    </w:p>
    <w:p w14:paraId="4AB71FA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 сорвать в корне мобилизацию и сосредоточение армии противника, разрушить центры управления и базы питания армии противника. Этим делом разрушения путей подвоза занимались во всех округах: в Белорусском, Киевском, Ленинградском военных округах. Тут мы имеем больше всего материала, и материал отработан: как летать, как подходить, с какими снарядами, бомбами и т.д. Этот вопрос лучше всех отработан.</w:t>
      </w:r>
    </w:p>
    <w:p w14:paraId="6E474D6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Правильно. Хорошо получается.</w:t>
      </w:r>
    </w:p>
    <w:p w14:paraId="407201B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Остановить движение резервов войск и подвоза к полю боя и нанести поражение. Разбить и уничтожить во взаимодействии с морскими силами любой морской флот противника, который будет действовать в водных бассейнах морей, прилегающих к Советскому Союзу, используя для решения этой задачи морской флот, морскую авиацию и сухопутную авиацию до штурмовиков, истребителей включительно, все, что имеется под рукой.</w:t>
      </w:r>
    </w:p>
    <w:p w14:paraId="70B8055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И тяжелую авиацию.</w:t>
      </w:r>
    </w:p>
    <w:p w14:paraId="5EB2E31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Алкснис.</w:t>
      </w:r>
      <w:r w:rsidRPr="00E14102">
        <w:rPr>
          <w:color w:val="000000" w:themeColor="text1"/>
          <w:sz w:val="16"/>
          <w:szCs w:val="16"/>
        </w:rPr>
        <w:t xml:space="preserve"> О тяжелой авиации я уже не говорю — это само собой разумеется. Дальше — выбросить авиадесант в наиболее революционных районах для организации и развития вооруженной борьбы с тылом противника и в наивыгоднейших в оперативном отношении участках территории его. Применить режим воздушного террора в отношении столиц капиталистических стран, напавших на Советский Союз, и морских портов, поставлявших оружие государствам, воюющим против Советского Союза.</w:t>
      </w:r>
    </w:p>
    <w:p w14:paraId="0FBE60E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Вот основные задачи.</w:t>
      </w:r>
    </w:p>
    <w:p w14:paraId="1597D08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Это уже нарушение правил Лиги Наций.</w:t>
      </w:r>
    </w:p>
    <w:p w14:paraId="7C27089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Тов, народный комиссар нас предупредил, что на нашем совещании мы можем говорить и о нарушениях правил и уставов Лиги Наций.</w:t>
      </w:r>
    </w:p>
    <w:p w14:paraId="0081118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Для решения этих самостоятельных задач Воздушные силы, их органы — и командования, и управления, и органы снабжения — должны быть подготовлены, во-первых, к боевым действиям всеми силами и всеми родами войск, на всей глубине территории противника в радиусе досягаемости; во-вторых, к чему мы меньше всего готовились и что меньше всего отработано — это к боевым действиям авиации против воздушного противника во всей глубине его проникновения на нашу территорию, расстраивая и уничтожая противника на всем пути его полета. Например, надо противодействовать всеми родами авиации воздушным силам противника, которые идут с запада, скажем, на Москву с тем, чтобы бить его (противника) на всем протяжении от границы до Москвы на подступах и подходах. По этой части элементы боя и операции меньше всего отработаны, а отработать нужно, и в этой борьбе должны участвовать не только истребители и ПВО, но и остальные виды авиации.</w:t>
      </w:r>
    </w:p>
    <w:p w14:paraId="728B046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А если скоростная авиация противника нападет массой?</w:t>
      </w:r>
    </w:p>
    <w:p w14:paraId="5A347D0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Мы должны знать тактику и стратегию противника. Мы должны уметь ловить противника группой и уничтожать его. Я убежден, что в действиях в воздухе будет много похожего на действия на воде морского флота и на суше земных войск, только с той разницей, что воздушные силы имеют третье измерение, в котором можно также маневрировать, и это несколько усложняет дело.</w:t>
      </w:r>
    </w:p>
    <w:p w14:paraId="2AADF90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Правильно.</w:t>
      </w:r>
    </w:p>
    <w:p w14:paraId="6F370F7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Во всяком случае в первый период войны, я считаю, что вся наличная авиация должна быть использована для самостоятельных действий, кроме авиации прикрытия. Армия прикрытия находится в руках командующего фронтом. Вся боевая авиация должна быть также массирована и использована командующим фронтом для самостоятельных действий — для срыва мобилизации противника, одним словом, для оперативных целей. Я считаю, что вся боевая авиация, которая предназначена для срыва мобилизации и сосредоточения противника, должна находиться в руках командующих фронтов. В распоряжении главного командования должна находиться та боевая авиация, которая предназначена для действий по стратегическим целям противника, в разрушении и уничтожении коих непосредственно не заинтересован ни один из фронтов.</w:t>
      </w:r>
    </w:p>
    <w:p w14:paraId="2E59B34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Далее мы должны учить авиацию, отдельные роды и виды ее самостоятельно действовать в последующий период войны. Для того чтобы осуществлять самостоятельные действия в том разрезе, о котором я говорил, т.е. для того, чтобы организовать бой, проводить бой, закреплять его результаты, для этого потребуется обязательно взаимодействие родов авиации на период боя и операции. Изолированная работа только истребителей или только штурмовиков, или только легких бомбардировщиков — я считаю, что это не будет иметь место. Если получается общевойсковое соединение авиационное, и разведку нужно вести, а разведку придется вести с боем, а если в этом районе нет истребителей, то как вести разведку в этом районе? Значит, уже не в состоянии будет это соединение выполнить задачу на разведку. Я почему об этом говорю? Потому что, вероятно, нам придется пересмотреть несколько существующие наши положения и организационные основы, когда целые соединения состоят из одного и того же рода авиации. Уставом предусмотрено выделение к этим соединениям других видов авиации на период самостоятельных действий. Иначе они выполнить задачу не сумеют и не смогут.</w:t>
      </w:r>
    </w:p>
    <w:p w14:paraId="423FA3A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 строях и порядках.</w:t>
      </w:r>
    </w:p>
    <w:p w14:paraId="1E7616F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основе опыта целого ряда учений и, в частности, на основе очень ценного Бобруйского учения в Белорусском военном округе с участием представителей Управления ВС воздушный бой лучше вести небольшими группами, а не целыми авиационными соединениями, потому что когда идет масса — она очень неповоротлива. Ей очень трудно маневрировать и против истребителей и против зенитного огня, и сверх того — дальние расстояния очень изматывают экипажи. Это учение показало, кроме того, что представление о маневрировании путем смыкания и размыкания строев и порядков против истребителей оказалось неверным. Оказалось более эффективным отвечать на маневр истребителей контрманевром, сводящим часто на нет огонь истребителей.</w:t>
      </w:r>
    </w:p>
    <w:p w14:paraId="335C88C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Какой же тут вывод? Вывод такой, что действовать самостоятельно придется группами, а не большими массами. Сколько самолетов — это еще нужно уточнить, это вопрос специальный, требует исследования, но, по-видимому, нужно действовать не массами, вроде древнегреческих фаланг, а именно придется действовать группами в 15-20—25 самолетов.</w:t>
      </w:r>
    </w:p>
    <w:p w14:paraId="7FF916B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Для того чтобы нам отработать в 1936 г. самостоятельные действия, я предлагаю следующий план осуществления этого. Прежде всего составить и издать инструкцию на самостоятельные действия авиации — к началу учебного года. В основу ее положить обобщение итогов и выводов учений и опытов. Затем нужно провести установочный сбор высшего комсостава с оперативно-тактической авиационной игрой в центре. Далее, полевую авиационную поездку с кадрами и средствами связи. Междуокружные учения с кадрами. Я предлагаю организовать 2 учения с кадрами. Затем воздушные маневры.</w:t>
      </w:r>
    </w:p>
    <w:p w14:paraId="11E90FB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соответствии с этим в округах провести сбор с оперативно-тактической игрой на самостоятельные действия, авиационную полевую поездку, учения с кадрами, межцу гарнизонами, окружные авиационные учения — маневры. Далее в нормальных планах командирских занятий предусмотреть неуклонное проведение специальных занятий штабов Военно-воздушных сил всех степеней по работе на себя и по тренировке боевым управлением войск — выход в поле со средствами связи и т.д. При этом весь ответ надо брать на управление в том понимании, как я говорил, и тренировать войска, причем эти занятия проводить обязательно под контролем вышестоящих штабов. Далее, в целях подготовки приписанных командиров штабов по военному времени объявить им свое мобилизационное назначение и провести с ними не менее одного сбора в 1936 г. Затем организовать сбор материалов о вероятных объектах самостоятельных действий полевой авиации, отработка их и обеспечение ими соответствующих штабов, основательное и тщательное изучение их еще в мирное врем. Особо этим делом должны заниматься штурманы.</w:t>
      </w:r>
    </w:p>
    <w:p w14:paraId="350CEA5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Далее, ввести в практику в этом году перелеты по трассам гражданской авиации с востока на запад и, наоборот, с центра в Закавказье, САВО и обратно. В частности, следует перевооружение частей ДВ совместить с перелетами целых частей ОКДВА и ТОФа по трассе ГУ ГВФ, ставя задачу им — полет на максимальную быстроту и предельную дальность. После этого заставить эти части в кадрах лететь на Камчатку и обратно. Это абсолютно необходимо. Я специально подчеркиваю — с кадрами до командиров отряда включительно и после этого, т. Блюхер, можно будет их готовить к полетам на самостоятельные действия.</w:t>
      </w:r>
    </w:p>
    <w:p w14:paraId="4B863BE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Жаль, что вы нынче не провели этого учения, замяли.</w:t>
      </w:r>
    </w:p>
    <w:p w14:paraId="77B41CB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План этих перелетов по указанию начальника Генерального штаба мы разработаем и представим на утверждение народному комиссару.</w:t>
      </w:r>
    </w:p>
    <w:p w14:paraId="53BFCEC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Перехожу к управлению. Я уже говорил о порядке дачи приказов и хочу дополнительно в управлении остановиться еще только на одном — на связи. Я считаю, что в европейской части Союза, т. народный комиссар, связи проволочной для управления нашей авиацией совершенно недостаточно. УВС и УСЮ\ еще недавно разработали систему устройства связи и доложили ее Яну Борисовичу, но последний отложил рассмотрение ее до возвращения вашего из отпуска. Эту систему связи центра со всеми авиационными бригадами и округов с их авиационными бригадами — эту постоянную связь, прямую проволочную связь мы должны осуществить. Она стоит не так дорого, но зато она обеспечивает управление по-настоящему и обеспечивает известный режим флота над всем Советским Союзом.</w:t>
      </w:r>
    </w:p>
    <w:p w14:paraId="006DCC1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Далее, для обеспечения управления в полете надо авиацию обеспечить, во-первых, автоматическими радиошифровальными машинами, ибо работа с кодами никак пока не обеспечивает необходимую для авиации быстроту передачи распоряжений и приема донесений, во-вторых, обеспечение авиасоединений подвижными моторизованными ротами (или батальонами) связи. Оба эти мероприятия нужны для управления авиацией в полете как воздух.</w:t>
      </w:r>
    </w:p>
    <w:p w14:paraId="0F3C6A7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Штурманское дело требует в первую очередь усовершенствования сбора большой массы авиации, расположенной на разных аэродромах, по месту и времени на маршруте к цели. Сборы больших соединений авиации для боевых действий нельзя производить так, как делаем это мы на парадах — по способу петель вспомогательных и главных. Нам надо научиться направлять и группами и, если нужно, массами с места взлета на цепь по прямой, и регулировать движение по рубежам и времени. Далее я, товарищи командующие, считаю необходимым обратить внимание на то, что штурманы, которые по указанию Народного комиссара специально нами отбираются и готовятся для того, чтобы это были командиры, знающие свое дело на отлично, были художниками вождения самолета и меткого бомбометания — штурманы округов и бригад очень мало сами лично тренируются практически в самолетовождении и бомбометании. А что это означает? Что они могут оказаться не подготовленными к войне, что мы можем долетать до цели в больших массах, понести потери и потом промазать у цели. Я всегда нажимаю на то, чтобы штурманы округов, корпусов, бригад и особо эскадрилий не знали, что такое промах в бомбометании. Они должны действовать без промаха, прямо в точку класть бомбы. Если они не будут этого делать, т.е. если их не тренировать каждую пятидневку, они будут мазать и целый ряд наших боевых усилий будут напрасны — безрезультатны. Поэтому на подготовку штурманов, на практическую тренировку их для того, чтобы овладеть искусством бомбить без промаха, овладеть искусством точного вождения самолетов без блуждания, мы должны обратить особое внимание.</w:t>
      </w:r>
    </w:p>
    <w:p w14:paraId="1BCD7A0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Воздушный бой. Тут говорилось очень много о воздушном бое и говорилось о том, что это дело в авиации отработано в экипаже, в звене, а в подразделениях не отработано. Это в основном верно.</w:t>
      </w:r>
    </w:p>
    <w:p w14:paraId="34D01EC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прошлом году было Бобруйское учение специально на отработку боя в воздухе группами до эскадрилий включительно, и это дало очень ценные результаты, причем выводы обобщены и инструкция будет представлена народному комиссару на утверждение. Инструкция предусматривает ведение воздушного боя отрядами и целыми эскадрильями. Выше пока не идет, не успели отработать, но до эскадрильи включительно эта инструкция предусматривает ведение воздушного боя. Эта инструкция не из пальца высосана, а составлена на основе опыта двух лет.</w:t>
      </w:r>
    </w:p>
    <w:p w14:paraId="2F387BA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Что нужно продолжать делать? Я считаю, что опытные работы надо продолжать. Мы отработали в опытном порядке воздушный бой групп до эскадрильи включительно тихоходных и быстроходных истребителей с бомбардировщиками тихоходными. Но осталось не отработанными бой быстроходных самолетов с быстроходными бомбардировщиками, поражение строев и порядков бомбардировщиков истребителями сверху, путем бомбометания (с горизонтального полета или пикирования), химическими средствами и т.д. Наконец, надо провести опыты боя в воздухе соединений — бригады и выше. Наконец, надо продолжать опыты воздушного боя пушечных самолетов</w:t>
      </w:r>
      <w:r w:rsidRPr="00E14102">
        <w:rPr>
          <w:color w:val="000000" w:themeColor="text1"/>
          <w:sz w:val="16"/>
          <w:szCs w:val="16"/>
          <w:vertAlign w:val="superscript"/>
        </w:rPr>
        <w:t>74</w:t>
      </w:r>
      <w:r w:rsidRPr="00E14102">
        <w:rPr>
          <w:color w:val="000000" w:themeColor="text1"/>
          <w:sz w:val="16"/>
          <w:szCs w:val="16"/>
        </w:rPr>
        <w:t>.</w:t>
      </w:r>
    </w:p>
    <w:p w14:paraId="24ECE4A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Авиационный тыл. Авиационным тылом, несмотря на всю важность и значение вопроса, округа до сих пор занимались очень мало, если не считать учения, проведенного т. Якиром зимой прошлого года, когда он заставил маневрировать зимой целую бригаду. Если не считать участия Управления ВС в общеармейской тыловой поездке летом этого года, по тылу ничего более или менее конкретного не сделано ни в центре, ни в округах. Поэтому я считаю, что мы по тылу должны проделать нижеследующее: провести тыловую игру и поездку. Но самое главное мое предложение, согласованное, т. народный комиссар, с начальником Генерального штаба, заключается в том, чтобы к июлю месяцу 1936 г. сформировать 3—4 головных авиационных склада, из коих один в ЛВО, в БВО, один склад в КВО и один на Дальнем Востоке. Нужно поставить на питание из этих складов 2—3 бригады, рассредоточенные на полевых аэродромах на июль—сентябрь. Мы никакого опыта в этом отношении не имеем. Мировая война тоже не дала никакого опыта. Из пальца систему работы высосать нельзя. Поэтому предлагаю сформировать 3—4 головных авиационных склада, которые дадут нам практический опыт. Мы считаем это абсолютно необходимым.</w:t>
      </w:r>
    </w:p>
    <w:p w14:paraId="2F0D1CE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заключение остановлюсь на вопросе о воздушном режиме над территорией Союза. Тов. народный комиссар, я вам докладываю, что сегодня у нас такое положение, что если бы фашисты выкинули такой номер, что прилетели бы в Москву и начали бомбить, то мы узнали бы об этом только тогда, когда они уже начали бы бомбить Москву. В воздухе у нас пока еще свобода передвижения. Кодексом воздушным, недавно утвержденным правительством, передвижение в воздухе определено и регламентировано, но предотвращение нарушений этого кодекса пока что никак не обеспечено. Это ненормально. У нас на территории нет такой службы (возд. милиции), которая следила бы за соблюдением кодекса и принимала бы меры против нарушения. Летает гражданская авиация, летает военная, летает «дикая авиация». Я бы так выразился, что на сегодня у нас имеется полная свобода полетов над нашей территорией — по существу, хотя формально — по закону существуют ограничения.</w:t>
      </w:r>
    </w:p>
    <w:p w14:paraId="251B4CA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Это не делает вам чести.</w:t>
      </w:r>
    </w:p>
    <w:p w14:paraId="2359A79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Эту свободу, по-моему, надо ликвидировать, и чем скорее, тем лучше. Надо установить такой режим, при котором были бы исключены полеты «дикой авиации» и полеты извне без предварительного на то разрешения. Это можно организовать, такой режим создать, и мы это, подчеркиваю и повторяю, должны создать. Конечно, это потребует соответствующей реорганизации системы противовоздушной обороны, тренировки и подготовки, соответствующей перестройки авиации и, главное, связи. Но добиться этого надо, и мы обязаны этого добиться в кратчайший срок. Упущение времени в этом деле — смерти подобно. Вот все, что я имел доложить по авиационным вопросам. На этом позвольте кончить.</w:t>
      </w:r>
    </w:p>
    <w:p w14:paraId="417EE4B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92-96.</w:t>
      </w:r>
    </w:p>
    <w:p w14:paraId="3C184F8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Каменев. Я</w:t>
      </w:r>
      <w:r w:rsidRPr="00E14102">
        <w:rPr>
          <w:color w:val="000000" w:themeColor="text1"/>
          <w:sz w:val="16"/>
          <w:szCs w:val="16"/>
        </w:rPr>
        <w:t xml:space="preserve"> хоту познакомить товарищей с некоторым нашим подходом Управления противовоздушной обороны к противовоздушной обороне вообще. Когда мы занялись этим делом, мы обнаружили, что мы совершенно не знаем воздушных сил, и первое, что я просил — это разрешения народного комиссара пройти академический курс в составе 18 чел. Мы один год прозанимались. Теперь идет второй год. И на первом году мы обнаружили, что подойти к противовоздушной обороне, не зная тактики и воздушного дела, просто невозможно. И за этот первый год мы, еще начав только эти науки, увидели, что, не зная штурманского дела, нельзя организовать встречу истребителей с самолетами противника. Нельзя организовать встречи истребителей с самолетами противника без работы соответствующе подготовленной земли. Тов. Левандовский говорил в своем выступлении, что трудно рассчитать встречу и прием и нужно дать какой-нибудь инструмент, чтобы автоматически эти встречи без вычисления получать. Штурманская служба этому учит, и такие приборы для вычисления есть.</w:t>
      </w:r>
    </w:p>
    <w:p w14:paraId="0BAFBB8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Но одновременно мы обнаружили другое, что авиация настолько не знает земной службы (я не говорю о противовоздушной обороне), настолько не знает наземной борьбы, что она очень многое недоучитывает и вряд ли, если она с этим делом не справится, будет в состоянии вести борьбу в условиях ПВО. Сегодня мы слышим только о проблеме воздушного боя. Но воздушный бой — задача очень трудная. Вот что приходилось слышать на докладе у Михаила Николаевича Тухачевского, где докладывались работы по воздушному бою, проведенному в Белорусском военном округе. Выходит так, что бомбардировщикам не трудно уклониться от боя. Если это правильно, то мысли Дуэ</w:t>
      </w:r>
      <w:r w:rsidRPr="00E14102">
        <w:rPr>
          <w:color w:val="000000" w:themeColor="text1"/>
          <w:sz w:val="16"/>
          <w:szCs w:val="16"/>
          <w:vertAlign w:val="superscript"/>
        </w:rPr>
        <w:t>75</w:t>
      </w:r>
      <w:r w:rsidRPr="00E14102">
        <w:rPr>
          <w:color w:val="000000" w:themeColor="text1"/>
          <w:sz w:val="16"/>
          <w:szCs w:val="16"/>
        </w:rPr>
        <w:t xml:space="preserve"> как будто оживают. Дуэ писал, что надо избегать воздушного боя и что врага надо бить «на дому» — на земле. Но бить «на дому» надо научиться, надо уметь. Как же бить на земле? Чтобы знать, как бить на земле, надо хорошо знать построение противовоздушной обороны. Если возьмем учение, которое было проведено в Ленинграде т. Хрипиным, то тут многое бьшо непонятно. Он в своих выводах очень сильно обрушился на службу ВНОС, которая плохо справлялась со своевременным оповещением, между тем донесения шли быстрее, чем раньше (наименьший срок был две, наибольший — четыре минуты). Донесения передавались без автоматики, а с автоматикой донесения шли около 40 сек. Но вот бомбардировщики в зоне зенитной артиллерии находились до 22 мин., и, к сожалению, 22-минутный полет этих бомбардировщиков в зоне зенитной артиллерии — не единичный случай. Бомбардиры не торопились пролетать эту зону, а, наоборот, зависали на долгий период.</w:t>
      </w:r>
    </w:p>
    <w:p w14:paraId="6FB9B01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думаю, что это происходит от того, что немножко не проработан вопрос воздушными силами в отношении земной обороны. Я полагал бы желательным некоторое количество авиационных командиров отправить в зенитные школы, хотя бы на АКУКС, чтобы они на опыте посмотрели — насколько получается сильный эффект от зенитной артиллерии, у них самих родились бы предложения о способах пролета через артиллерийскую зону.</w:t>
      </w:r>
    </w:p>
    <w:p w14:paraId="41A6175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Тут т. Уборевич задал вопрос такого порядка: как организовать противовоздушную оборону на походе? Мне кажется, что т. Якир, когда в этом году на Киевских маневрах показал нам картину современного боя, дал уже ответ на заданный вопрос. Признаюсь, и не ожидал, что на маневрах можно получить такое яркое представление вероятной обстановки, с которой будет проходить будущая война. И мне кажется, когда мы говорим — как защитить походные колонны, прежде всего надо иметь в виду, что не будет такого времени на поле сражения, когда в воздухе не будет борьбы, и потому ПВО марша прежде всего будет осуществляться самим фактом воздушной борьбы плюс те средства ПВО, которыми располагают сами части. Тов. Уборевич требует, чтобы ему дали две минуты времени на управление.</w:t>
      </w:r>
    </w:p>
    <w:p w14:paraId="1BDB018F"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Потому что я могу только за 1 мин. расчленить батальон.</w:t>
      </w:r>
    </w:p>
    <w:p w14:paraId="3BD79C5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Каменев. Я</w:t>
      </w:r>
      <w:r w:rsidRPr="00E14102">
        <w:rPr>
          <w:color w:val="000000" w:themeColor="text1"/>
          <w:sz w:val="16"/>
          <w:szCs w:val="16"/>
        </w:rPr>
        <w:t xml:space="preserve"> считаю, что 2 мин. очень маленький срок, но если вам нужно это время, вы его легко получите. Если службу ВНОС мы организуем на У-2, которые уходят на 15 мин. вперед, всегда оповестят о неприятельских самолетах вовремя. Мы предполагаем оповещение получить техническим порядком, при помощи особого аппарата. Самолет сам ничего ловить не будет, он будет только сообщать показания на аппарате. Затем в армейском районе ведь должна быть организация противовоздушной обороны, которая тоже примет участие в охране марша.</w:t>
      </w:r>
    </w:p>
    <w:p w14:paraId="5994D9A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Идут навстречу противнику.</w:t>
      </w:r>
    </w:p>
    <w:p w14:paraId="3E6F53D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Каменев.</w:t>
      </w:r>
      <w:r w:rsidRPr="00E14102">
        <w:rPr>
          <w:color w:val="000000" w:themeColor="text1"/>
          <w:sz w:val="16"/>
          <w:szCs w:val="16"/>
        </w:rPr>
        <w:t xml:space="preserve"> Армейская организация не стационарная, а подвижная, переносится вперед.</w:t>
      </w:r>
    </w:p>
    <w:p w14:paraId="4FEFDCA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Затем относительно того, о чем говорил т. Кучинский, что железные дороги должны быть особенно насыщены противовоздушными средствами. Это совершенно правильно — на железных дорогах именно такая противовоздушная оборона и должна быть, и если части будут следовать вблизи или недалеко и параллельно железной дороге, то противовоздушная оборона железных дорог будет в значительной мере обеспечивать охрану пути следования части. Когда-то поднимался вопрос о передаче бронепоездов в систему противовоздушной обороны. Сейчас бронепоезда главным образом должны нести противовоздушную службу. Если они будут переданы в систему противовоздушной обороны, то маршруты частей, пролегающие вдоль железных дорог, могут прикрываться бронепоездом. Из войсковых средств против штурмовой авиации лучшим является ружейный огонь. Он больше всего поражает.</w:t>
      </w:r>
    </w:p>
    <w:p w14:paraId="3FF00CE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Пулеметный огонь. По рукаву получается. (</w:t>
      </w:r>
      <w:r w:rsidRPr="00E14102">
        <w:rPr>
          <w:rStyle w:val="a6"/>
          <w:i w:val="0"/>
          <w:color w:val="000000" w:themeColor="text1"/>
          <w:sz w:val="16"/>
          <w:szCs w:val="16"/>
        </w:rPr>
        <w:t>Шум в зале.)</w:t>
      </w:r>
    </w:p>
    <w:p w14:paraId="772C539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Каменев.</w:t>
      </w:r>
      <w:r w:rsidRPr="00E14102">
        <w:rPr>
          <w:color w:val="000000" w:themeColor="text1"/>
          <w:sz w:val="16"/>
          <w:szCs w:val="16"/>
        </w:rPr>
        <w:t xml:space="preserve"> Следующий вопрос, который мы сейчас прорабатываем, — это дымы. Если на меня летит штурмовик, и я поднимаю дым, пойдет ли штурмовик в дым. Он не видит земли, вынужден будет подняться вверх.</w:t>
      </w:r>
    </w:p>
    <w:p w14:paraId="7A8F6E8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Сегодня Я.М. Фишман еще не дал нам дымов, которые бы могли быстро подняться. Но химики говорят, что это возможно.</w:t>
      </w:r>
    </w:p>
    <w:p w14:paraId="6B8FB3A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Затем относительно попадания в цель с полутора километров, относительно которых вы, т. Уборевич, говорили. Вот в Баку т. Туржанский</w:t>
      </w:r>
      <w:bookmarkStart w:id="61" w:name="_ftnref1"/>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"http://istmat.info/node/33262" \l "_ftn1" \o "" </w:instrText>
      </w:r>
      <w:r w:rsidR="00B64C5C" w:rsidRPr="00E14102">
        <w:rPr>
          <w:color w:val="000000" w:themeColor="text1"/>
          <w:sz w:val="16"/>
          <w:szCs w:val="16"/>
        </w:rPr>
        <w:fldChar w:fldCharType="separate"/>
      </w:r>
      <w:r w:rsidRPr="00E14102">
        <w:rPr>
          <w:rStyle w:val="a4"/>
          <w:color w:val="000000" w:themeColor="text1"/>
          <w:sz w:val="16"/>
          <w:szCs w:val="16"/>
        </w:rPr>
        <w:t>[1]</w:t>
      </w:r>
      <w:r w:rsidR="00B64C5C" w:rsidRPr="00E14102">
        <w:rPr>
          <w:color w:val="000000" w:themeColor="text1"/>
          <w:sz w:val="16"/>
          <w:szCs w:val="16"/>
        </w:rPr>
        <w:fldChar w:fldCharType="end"/>
      </w:r>
      <w:bookmarkEnd w:id="61"/>
      <w:r w:rsidRPr="00E14102">
        <w:rPr>
          <w:color w:val="000000" w:themeColor="text1"/>
          <w:sz w:val="16"/>
          <w:szCs w:val="16"/>
        </w:rPr>
        <w:t xml:space="preserve"> стрелял по цели. Когда он стрелял с 50 м — пуля шла в пулю. Но по уставу нужно стрелять с 150 м. А с 150 м т. Туржан-ский попал много хуже. И во всей бригаде только два человека попали едва удовлетворительно, а остальные совершенно не попали.</w:t>
      </w:r>
    </w:p>
    <w:p w14:paraId="02EC686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хотел бы сказать о зенитной артиллерии. В зенитной артиллерии невозможные штаты, Климент Ефремович. У нас нет на каждый день готовых к стрельбе двух орудий в батарее. Нам необходимо иметь два постоянно готовых к стрельбе орудия в батарее. Ведь оригинальное положение: наши артиллерийские штаты оказались самыми маленькими, тогда как зенитная артиллерия — наиболее совершенное техническое средство и для своей техники требует увеличения обслуживающего состава. Для того чтобы зенитная артиллерия стала намного лучше, нужно изменить ей штаты.</w:t>
      </w:r>
    </w:p>
    <w:p w14:paraId="426D598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96.</w:t>
      </w:r>
    </w:p>
    <w:p w14:paraId="78109FC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Ткачев.</w:t>
      </w:r>
      <w:r w:rsidRPr="00E14102">
        <w:rPr>
          <w:color w:val="000000" w:themeColor="text1"/>
          <w:sz w:val="16"/>
          <w:szCs w:val="16"/>
        </w:rPr>
        <w:t xml:space="preserve"> При более широком рассмотрении вопроса об оперативном использовании авиации в условиях нашей страны первостепенное значение приобретает подготовка театра войны в авиационном отношении. Я хочу обратить ваше внимание на этот вопрос потому, что сейчас этим делом нам надо обязательно серьезно заняться, ибо наличие даже больших воздушных сил требует обязательно таких условий, при которых была бы возможна быстрая, широкая переброска на любой театр войны этих крупных сил. Тогда эти воздушные силы дадут больше эффекта, больше возможности маневрирования для сосредоточенного удара.</w:t>
      </w:r>
    </w:p>
    <w:p w14:paraId="30CDAEC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опыте целого ряда стран можно прийти к заключению, что они это дело готовят серьезно, особенно театр войны. Очень продуманно, расчетливо идет в этом отношении Америка. Ее воздушные магистрали, весь ее воздушный театр настолько расчетливо построен, что она в любое место своей страны может совершенно свободно сосредоточить главные силы своего воздушного флота.</w:t>
      </w:r>
    </w:p>
    <w:p w14:paraId="5DB7690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Левичев.</w:t>
      </w:r>
      <w:r w:rsidRPr="00E14102">
        <w:rPr>
          <w:color w:val="000000" w:themeColor="text1"/>
          <w:sz w:val="16"/>
          <w:szCs w:val="16"/>
        </w:rPr>
        <w:t xml:space="preserve"> У них гражданская авиация лучше развита.</w:t>
      </w:r>
    </w:p>
    <w:p w14:paraId="60441B3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Ткачев.</w:t>
      </w:r>
      <w:r w:rsidRPr="00E14102">
        <w:rPr>
          <w:color w:val="000000" w:themeColor="text1"/>
          <w:sz w:val="16"/>
          <w:szCs w:val="16"/>
        </w:rPr>
        <w:t xml:space="preserve"> В этом весь смысл. Вот перед вами американская карта воздушных путей. С востока на запад идут не менее трех сквозных магистралей и поперек сходятся 4-5 сквозных магистралей.</w:t>
      </w:r>
    </w:p>
    <w:p w14:paraId="2FD5BEC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я хочу показать европейскую карту, особенно выделяя немецкую подготовку к войне в воздушном отношении. Вот немецкая карта воздушных сообщений по Европе. Вы видите, что вся Европа изрезана немецкими линиями воздушных сообщений. Настолько активна политика гражданской авиации Германии, что нет такого крупного пункта, где бы германская авиация не летала. Она летает даже в Китае и лезет сейчас в Синдзян.</w:t>
      </w:r>
    </w:p>
    <w:p w14:paraId="3604233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Следовательно, этому вопросу надо уделять больше внимания. Для нас этот вопрос приобретает особое значение в связи с большой территорией страны и угрозы на различных оторванных театрах. За эти годы мы сделали очень много с точки зрения подготовки театра к войне в воздушном отношении. Мы развили громадную сеть воздушных сообщений общим протяжением 55 000 км. Почти весь Советский Союз мы охватили воздушными путями. Но я хочу проанализировать это дело, ибо у нас много еще не хватает.</w:t>
      </w:r>
    </w:p>
    <w:p w14:paraId="57C8EAA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Возьмем Дальневосточный театр. На Дальневосточном театре мы готовим магистраль Москва—Хабаровск—Владивосток, которая будет в основном закончена строительством в 1936 г. и будет иметь на всей трассе аэродромы, служебное оборудование, радиооборудование и на значительной части трассы ночное оборудование. Но все-таки на Дальний Восток мы имеем только одну магистраль. В 1936 г. начнутся работы по оборудованию трассы Якутск-Аян, и тогда, используя работающую линию Иркутск-Якутск, мы получим второй выход на Дальний Восток от Иркутска через Якутск—Аян на Николаевск. Правда, эта линия будет очень трудной, но тем не менее, повторяю, это будет новая воздушная магистраль на Дальний Восток. Более двух магистралей в условиях Сибири сейчас провести нельзя. Как подход к Якутску, предполагается провести линию из Алма-Аты на Новосибирск, и тогда из Средней Азии можно будет перебрасывать авиацию на Дальний Восток.</w:t>
      </w:r>
    </w:p>
    <w:p w14:paraId="51DEB61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следующем году начнутся изыскания этой новой линии из Алма-Аты на Новосибирск. В Среднюю Азию из центра мы имеем одну магистраль, и если взять возможность перелета из Баку в Красноярск, то и второе направление. Этого мало, в Среднюю Азию надо иметь не меньше 3 воздушных путей, тогда сосредоточение туда воздушных сил может происходить гораздо быстрее. Третья линия проектируется по маршруту: Москва—Казань—Янаул—Караганда—Алма-Ата. Получится третья магистральная линия в Среднюю Азию. И, наконец, четвертое — надо соединить Дальний Восток со Средней Азией, о чем я уже говорил.</w:t>
      </w:r>
    </w:p>
    <w:p w14:paraId="67FBD39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Каковы возможности в европейской части Союза? Мы до сих пор поступали плохо, что не развивали линию на Мурманск. Мурманский порт требует того, чтобы мы сосредоточили сюда внимание и имели бы хорошо освоенную трассу. До сего времени в европейской части Союза развитие линии шло главным образом от Москвы в различных направлениях. Сейчас следует проложить несколько магистралей, подходящих к западным границам и параллельно им. На следующий год начнутся изыскания магистрали Мурманск—Ленинград и затем Ленинград—Одесса. В следующем году вступит магистральная линия Одесса—Батум, а затем проектируется линия Архангельск—Москва—Севастополь с тем, чтобы получить две линии — от Мурманска до Одессы и от Архангельска до Севастополя. Вступают в эксплуатацию линии Москва—Минск, Москва—Киев, еще 4—5 магистральных линий, облегчающие маневрирование авиации по Союзу.</w:t>
      </w:r>
    </w:p>
    <w:p w14:paraId="42F115C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Таким образом, с Северного Кавказа можно будет перебросить авиацию на Украину, из центра, из Москвы на Минск, через Могилев на Киев. Затем возможно будет через Киев, Харьков провести линию прямо на Сталинград, чтобы дать еще выход воздушным силам в Сибирь, не пролетая через Москву — прямо на Свердловск и далее.</w:t>
      </w:r>
    </w:p>
    <w:p w14:paraId="35DD6FE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Таким образом, мы начинаем серьезно заниматься этим делом, но трудности еще в этом деле очень велики. Я имею в виду, Климент Ефремович, технические средства и оборудование линий. Я целиком поддерживаю Якова Ивановича</w:t>
      </w:r>
      <w:bookmarkStart w:id="62" w:name="_ftnref2"/>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"http://istmat.info/node/33262" \l "_ftn2" \o "" </w:instrText>
      </w:r>
      <w:r w:rsidR="00B64C5C" w:rsidRPr="00E14102">
        <w:rPr>
          <w:color w:val="000000" w:themeColor="text1"/>
          <w:sz w:val="16"/>
          <w:szCs w:val="16"/>
        </w:rPr>
        <w:fldChar w:fldCharType="separate"/>
      </w:r>
      <w:r w:rsidRPr="00E14102">
        <w:rPr>
          <w:rStyle w:val="a4"/>
          <w:color w:val="000000" w:themeColor="text1"/>
          <w:sz w:val="16"/>
          <w:szCs w:val="16"/>
        </w:rPr>
        <w:t>[2]</w:t>
      </w:r>
      <w:r w:rsidR="00B64C5C" w:rsidRPr="00E14102">
        <w:rPr>
          <w:color w:val="000000" w:themeColor="text1"/>
          <w:sz w:val="16"/>
          <w:szCs w:val="16"/>
        </w:rPr>
        <w:fldChar w:fldCharType="end"/>
      </w:r>
      <w:bookmarkEnd w:id="62"/>
      <w:r w:rsidRPr="00E14102">
        <w:rPr>
          <w:color w:val="000000" w:themeColor="text1"/>
          <w:sz w:val="16"/>
          <w:szCs w:val="16"/>
        </w:rPr>
        <w:t xml:space="preserve"> насчет связи. В Европе действительно авиация имеет идеальную связь. На аэродроме в Бурже работают на авиацию 4 радиостанции, в Германии на Шемнельгорском аэродроме 3 радиостанции. Я думаю, что нам нельзя будет обойтись без самостоятельной связи, и тут надо сломить политику Нарком-связи, который не хочет разрешать самостоятельной авиационной радиосвязи. Мы в этом году заканчиваем оборудование 35 радиомаяков, и в следующем году будем иметь еще 35—40 радиомаяков. Основные магистрали уже в 1936 г. будут оборудованы радиосвязью. Тут только надо будет решить вопрос, будут ли это радиомаяки или пеленгаторы. Мы решили оборудовать радиомаяками свои линии по-американски. Это облегчает полеты по трассам одномоторных маломестных самолетов. На следующий год будет оборудована линия на Хабаровск, на Ташкент, на Тифлис, на Ленинград и на Киев. В общем, 6 линий будут оборудованы радиомаяками. Но нужно создать центр радиосвязи.</w:t>
      </w:r>
    </w:p>
    <w:p w14:paraId="0B1AA70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Будут оборудованы или только предполагается?</w:t>
      </w:r>
    </w:p>
    <w:p w14:paraId="188623D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Ткачев.</w:t>
      </w:r>
      <w:r w:rsidRPr="00E14102">
        <w:rPr>
          <w:color w:val="000000" w:themeColor="text1"/>
          <w:sz w:val="16"/>
          <w:szCs w:val="16"/>
        </w:rPr>
        <w:t xml:space="preserve"> В этом году мы сильно форсируем работу Дальневосточной трассы. Уже поставлены на места радиомаяки до Иркутска. В скором времени они будут оборудованы. Таким образом, нужно широко двигать развитие радиосвязи, чтобы театр был в авиационном отношении подготовлен. Это дело важнейшее для нашей авиации.</w:t>
      </w:r>
    </w:p>
    <w:p w14:paraId="6D19AB5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Кто же с вами спорит?</w:t>
      </w:r>
    </w:p>
    <w:p w14:paraId="0CCF50A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Ткачев.</w:t>
      </w:r>
      <w:r w:rsidRPr="00E14102">
        <w:rPr>
          <w:color w:val="000000" w:themeColor="text1"/>
          <w:sz w:val="16"/>
          <w:szCs w:val="16"/>
        </w:rPr>
        <w:t xml:space="preserve"> Надо это форсировать. НКсвязи в этом отношении нам не помогает и абсолютно не понимает значения этого для обороны страны.</w:t>
      </w:r>
    </w:p>
    <w:p w14:paraId="08569A2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прошу разрешить, Климент Ефремович, мне несколько минут. Я хочу доложить вам и информировать Военный совет о целом ряде важнейших вопросов иностранной авиации на основе своей поездки за границу. В этом году мне удалось побывать в Италии, во Франции и в Германии. Причем из этих трех стран я более основательно ознакомился с Италией. Я воспользовался тем, что мне заблаговременно в Италии было дано согласие на осмотр значительного количества объектов. Использовал для осмотра всю нашу делегацию на Миланскую выставку в количестве более 20 инженеров и крупных инструкторов. Когда мы были в Италии, мы осмотрели все крупные объекты — заводы и ряд авиационных объектов. В свое время Италия подготовилась для войны с Абиссинией, и мы осмотрели всю промышленность и все основные авиационные объекты во время ее развертывания для войны. Надо сказать, что за последние годы Италия много кладет сил, чтобы развить свою авиацию, и она, нужно сказать, достигла довольно крупных успехов. С легкой руки Андрея Николаевича Туполева, побывавшего в Америке, у нас создалось несколько пренебрежительное отношение к европейской авиации.</w:t>
      </w:r>
    </w:p>
    <w:p w14:paraId="7D64581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Он доказывал, что в Америке очень хорошие автомобильные дороги.</w:t>
      </w:r>
    </w:p>
    <w:p w14:paraId="0D94D56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Туполев говорил, что лучше наших самолетов нет нигде.</w:t>
      </w:r>
    </w:p>
    <w:p w14:paraId="21CBC94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Ткачев.</w:t>
      </w:r>
      <w:r w:rsidRPr="00E14102">
        <w:rPr>
          <w:color w:val="000000" w:themeColor="text1"/>
          <w:sz w:val="16"/>
          <w:szCs w:val="16"/>
        </w:rPr>
        <w:t xml:space="preserve"> Я на основе ознакомления пришел к заключению, что и в европейских странах авиация имеет очень много того, что надо изучать и использовать. Я остановлюсь на вопросе о бомбардировочной авиации Италии. Я осмотрел бомбардировщики Италии в их полном вооружении и могу сказать, например, что из себя представляет бомбардировщик «Пьяджо-16», максимальная скорость которого, по заявлению итальянцев, 370 км, дальность действия 2000 км; бомбардировщик этот трехмоторный. Это те цифры, которые представили мне итальянцы. Я видел эту машину и скажу, что она, безусловно, имеет скорость 350 км. Общий полный вес этой машины 8450, а полезный вес 3000. Другой бомбардировщик, «Савой-71», трехмоторный. Вот его снимок. Этот бомбардировщик снят с двумя минами по 850 кг. (</w:t>
      </w:r>
      <w:r w:rsidRPr="00E14102">
        <w:rPr>
          <w:rStyle w:val="a6"/>
          <w:i w:val="0"/>
          <w:color w:val="000000" w:themeColor="text1"/>
          <w:sz w:val="16"/>
          <w:szCs w:val="16"/>
        </w:rPr>
        <w:t>Показывает снимок бомбардировщика.)</w:t>
      </w:r>
    </w:p>
    <w:p w14:paraId="21F5821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Максимальная скорость этого бомбардировщика 340 км, берет он 2 тонны. Вот торпеды подвешены. (</w:t>
      </w:r>
      <w:r w:rsidRPr="00E14102">
        <w:rPr>
          <w:rStyle w:val="a6"/>
          <w:i w:val="0"/>
          <w:color w:val="000000" w:themeColor="text1"/>
          <w:sz w:val="16"/>
          <w:szCs w:val="16"/>
        </w:rPr>
        <w:t>Показывает на снимок.)</w:t>
      </w:r>
      <w:r w:rsidRPr="00E14102">
        <w:rPr>
          <w:color w:val="000000" w:themeColor="text1"/>
          <w:sz w:val="16"/>
          <w:szCs w:val="16"/>
        </w:rPr>
        <w:t xml:space="preserve"> Бомбардировщик имеет моторы по 650 сил. Этот бомбардировщик оригинален разрешением вопроса об оборонительном вооружении. У него две башни для пулеметов: одна сверху, другая под самолетом. Но так как этих двух точек мало, у него сделаны в боках самолета еще две точки. Обращает внимание применение нового типа бомб на этом бомбардировщике. Делается это так: берут большой кассет, в каждый кассет кладут по 49 бомб, по 2 кг каждая. Говорят, что эти бомбы — осколочные, но я думаю, что эти бомбы либо химические, либо зажигательные. На каждый бомбардировщик, кладут 260 бомб.</w:t>
      </w:r>
    </w:p>
    <w:p w14:paraId="628D336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Есть у итальянцев новый бомбардировщик более совершенный, чем описываемый «Савой-79». Сейчас он находится на испытании в научно-исследовательском институте. Этот бомбардировщик вначале был сделан в гражданском варианте и дал на испытании максимальную скорость в 430 км. Вот эта машина на снимк. (</w:t>
      </w:r>
      <w:r w:rsidRPr="00E14102">
        <w:rPr>
          <w:rStyle w:val="a6"/>
          <w:i w:val="0"/>
          <w:color w:val="000000" w:themeColor="text1"/>
          <w:sz w:val="16"/>
          <w:szCs w:val="16"/>
        </w:rPr>
        <w:t>Показывает снимок.)</w:t>
      </w:r>
      <w:r w:rsidRPr="00E14102">
        <w:rPr>
          <w:color w:val="000000" w:themeColor="text1"/>
          <w:sz w:val="16"/>
          <w:szCs w:val="16"/>
        </w:rPr>
        <w:t xml:space="preserve"> По заявлению итальянцев, и в бомбардировочном варианте он дает более 450 км. Эта цифра сомнительна, но 400 км, я думаю, этот бомбардировщик должен дать.</w:t>
      </w:r>
    </w:p>
    <w:p w14:paraId="5DFAD2D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Таким образом, вы видите, что по бомбардировочной авиации они приближаются к 400-км показателям. Это трехмоторные сухопутные бомбардировщики.</w:t>
      </w:r>
    </w:p>
    <w:p w14:paraId="7A77275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Из гидромашин я могу отметить одну очень интересную машину «Макис-94», двухмоторную пассажирскую амфибию, у которой очень оригинально устроены уборка и выправка колес. Максимальная скорость ее 300 км в час.</w:t>
      </w:r>
    </w:p>
    <w:p w14:paraId="482D3F5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Из истребительной авиации я видел у них ряд истребителей, находящихся на вооружении, и новые опытные. Лучшие из них дают до 420 км в час, причем надо отметить переход на вооружение истребителей тяжелыми пулеметами по 20 мм. Новые истребители имеют вооружение крупными калибрами. Вот здесь на этих снимках вы можете посмотреть эти истребители. (</w:t>
      </w:r>
      <w:r w:rsidRPr="00E14102">
        <w:rPr>
          <w:rStyle w:val="a6"/>
          <w:i w:val="0"/>
          <w:color w:val="000000" w:themeColor="text1"/>
          <w:sz w:val="16"/>
          <w:szCs w:val="16"/>
        </w:rPr>
        <w:t>Показывает альбом.)</w:t>
      </w:r>
    </w:p>
    <w:p w14:paraId="0AE508A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итальянской авиации средний тип авиации развивается очень слабо: специальных штурмовиков я не видел. Они для этой цели будут пользоваться истребителями. Разведчики у них сравнительно хорошие: самолет «Ромео» дает скорость до 341 км.</w:t>
      </w:r>
    </w:p>
    <w:p w14:paraId="0F8928F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Правильно.</w:t>
      </w:r>
    </w:p>
    <w:p w14:paraId="1BF6283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Ткачев.</w:t>
      </w:r>
      <w:r w:rsidRPr="00E14102">
        <w:rPr>
          <w:color w:val="000000" w:themeColor="text1"/>
          <w:sz w:val="16"/>
          <w:szCs w:val="16"/>
        </w:rPr>
        <w:t xml:space="preserve"> Теперь общие выводы. Я там познакомился со многими конструкторами, которые показали мне некоторые новые самолеты, еще не вышедшие в полет. Самолеты эти большие двухмоторные с показателем 390-400 км в час, причем в гражданском варианте. Фиат мне сам рассказывал, что у итальянцев по преимуществу теперь трехмоторные машины, но новые машины они делают больше двухмоторные. Следовательно, и военные варианты двухмоторных бомбардировщиков, наверно, будут иметь скорость в пределах 380-400 км.</w:t>
      </w:r>
    </w:p>
    <w:p w14:paraId="4D7253B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В Германии мне не удалось так много посмотреть, как в Италии, но все-таки я просмотрел новый институт Дефауель, посмотрел их новый самолет Ю-86 с дизельными моторами. Должен сказать, что немцы в последнее время освоили свой дизель ЮМО-5 вполне и ставят его на пассажирских машинах. А так как требования к пассажирским машинам при международных полетах очень высоки, то отсюда я делаю вывод, что дизель ЮМО-5 немцами освоен вполне. Видел я в Штеттине этот самолет. Это двухмоторные машины с дизелями по 550 НР, каждый мотор со скоростью в 320 км. Должен отметить, что Научно-исследовательский авиаинститут </w:t>
      </w:r>
      <w:r w:rsidRPr="00E14102">
        <w:rPr>
          <w:color w:val="000000" w:themeColor="text1"/>
          <w:sz w:val="16"/>
          <w:szCs w:val="16"/>
        </w:rPr>
        <w:lastRenderedPageBreak/>
        <w:t>Дефауель за последние два года широко развернул строительство: построил 4 новых здания, новую большую испытательную трубу, очень интересную горизонтальную трубу с закрытым циклом поступления воздуха и вертикальную 4-метровую трубу для испытания на штопор. Там же устроен, видимо, конструкторский отдел. В Дефауеле на аэродроме и в ангарах новых машин я не видел. Я считаю, что немцы сейчас очень усиленно занимаются работой над новыми самолетами, но они, видимо, сейчас сосредоточены в заводах. Я видел в институте три новые модели машин: одну 4-моторную, одну 2-моторную и одну закрыли при нашем приходе. Дефауель — очень большое научно-исследовательское учреждение, даже, пожалуй, теперь больше, чем наш ЦАГИ, Французская труба в Шалямидоне является исключительным техническим сооружением размером 18x10 м.</w:t>
      </w:r>
    </w:p>
    <w:p w14:paraId="3602B67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Вообще, я считаю, что сейчас идет большое развертывание научно-исследовательских авиационных учреждений по всем странам.</w:t>
      </w:r>
    </w:p>
    <w:p w14:paraId="211E363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 французского конструктора Вибо я видел пассажирскую машину скоростью до 400 км. Это значит, что бомбардировка в пределах 400 км в Европе есть. Учитывая все это, нам надо особенно торопиться в развитии строительства по скоростным типам машин. Форсированное строительство авиации в европейских странах должно серьезно толкать нас к более быстрому развитию скоростной тяжелой бомбардировочной авиации и особенно истребителей с высокими скоростями. Я считаю, что нам нужно более систематически следить за ходом развития авиации, как в Америке, так и в Европе, которая сейчас переходит в большом масштабе к развитию и перевооружению авиации.</w:t>
      </w:r>
    </w:p>
    <w:p w14:paraId="1F13A18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Верно.</w:t>
      </w:r>
    </w:p>
    <w:p w14:paraId="4F29341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97-99.</w:t>
      </w:r>
    </w:p>
    <w:p w14:paraId="7AC0A4C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Ингаунис.</w:t>
      </w:r>
      <w:r w:rsidRPr="00E14102">
        <w:rPr>
          <w:color w:val="000000" w:themeColor="text1"/>
          <w:sz w:val="16"/>
          <w:szCs w:val="16"/>
        </w:rPr>
        <w:t xml:space="preserve"> Современная зенитная артиллерия имеет чрезвычайно серьезное значение для борьбы с авиацией. Отработка последних усовершенствованных приборов управления зенитной артиллерией позволяет ей наносить поражения самолетам. Достаточно привести некоторые цифры: например, англичане при стрельбах в мирных условиях на каждые 9 снарядов дают одно поражение по рукаву, буксируемому со скоростью 150 км на высоте 2500 м.</w:t>
      </w:r>
    </w:p>
    <w:p w14:paraId="4B7E769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Нашим курсом огневой подготовки предусмотрен целый ряд специальных противозенитных маневров для того, чтобы избежать ее и защитить себя от огня зенитной артиллерии. В это лето воздушные силы Киевского военного округа провели опытное учение с целью установить и проверить действительность противозенитных маневров. В результате этого опытного учения выяснилось, что все противозенитные маневры, которые предусмотрены нашим курсом огневой подготовки, безусловно, заслуживают серьезного внимания и в известной мере затрудняют прицельную стрельбу зенитной артиллерии. Выяснилось также, что маневр по высоте и направлению, в особенности звездный налет, требуют некоторого усовершенствования. Одновременно с этим выяснилось, что лучшей защитой для легкобомбардировочной авиации является комбинированный маневр по высоте и скорости. При этом маневре прицельность огня зенитной артиллерии в значительной степени уменьшается, хотя прицельные приборы учитывают маневр и движение. Но зенитная артиллерия не успевает вносить поправки в прицеливание и менять трубку снаряда. Прицельные приборы зенитной артиллерии во всех армиях построены по принципу: самолет всегда летит на одинаковой скорости и высоте и в заранее намеченном направлении. При этом необходимо отметить, что налеты в рассредоточенном виде, с одновременным применением противозенитного маневра, являются трудными для ведения прицельного огня. Достаточно рассредоточить эскадрильи или отряды по отрядам и звеньям на дистанцию не более 400-600 м, на 20—25 сек. полета, как сейчас же стрельба зенитной артиллерии оказывается в трудных условиях.</w:t>
      </w:r>
    </w:p>
    <w:p w14:paraId="4D98EC2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Зенитная артиллерия вынуждена свой огонь рассредоточивать по многим целям, ослабляя этим поражение, или должна вести огонь по какой-либо одной цели, оставляя совершенно без поражения другие отряды или звенья. Кроме того, от командира зенитно-артиллерийского дивизиона при таком налете требуется распределение заранее своих батарей по отдельным целям. Без соответствующего распределения целей и заранее разработанного плана значительно затрудняется управление. Это видно хотя бы из следующего примера: авиаотряд, следуя на цель в колонне звеньев, имел дистанцию 400-600 м, одновременно применял маневр по направлению. Командир артдивизиона, наблюдая за полетом, отдал распоряжение открыть огонь по ведущему звену. Когда оно сбросило бомбы, то уже было поздно перенести огонь на следующие звенья. Второе и третье звенья сбросили бомбы на цель, будучи не обстреляны огнем зенитной артиллерии.</w:t>
      </w:r>
    </w:p>
    <w:p w14:paraId="7EA877D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Порядок звездного налета требует некоторого уточнения. У нас предусмотрено в огневом курсе, что еще, не доходя до цели 60 км, эскадрилья должна рассредоточить свои отряды и следовать на цель по разным направлениям, причем так рассчитать свое движение на цель, чтобы выйти одновременно и сбросить бомбы. На практике одновременный выход с большой точностью чрезвычайно труден. Всегда на 1-2 мин. отдельные эскадрильи могут запаздывать. Такое запаздывание будет вполне достаточным, чтобы зенартдивизион смог бы обстрелять по очереди все отряды. Кроме того, движение на цель широким фронтом будет вводить в дело всю зенартиллерию данного оборонного пункта. Следовательно, наиболее выгодно эскадрилью расчленять поотрядно у переднего края огня обороны, имея интервал не более 400—600 м. Можно также выходить на цель на узком фронте с разных направлений, но с промежутками во времени между отрядами не более 15-25 мин.</w:t>
      </w:r>
    </w:p>
    <w:p w14:paraId="2009A37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Затем следует отметить следующее: все силы зенитчиков и все их внимание сосредоточено главным образом на том, чтобы нанести максимальное поражение легкобомбардировочной авиации в тот момент, когда она находится на боевом курсе. К сожалению, наши бомбардировочные прицелы, независимо от противозенитного маневра, при подходе к цели требуют прямолинейного полета в течение 40 сек. для того, чтобы прицелиться и сбросить бомбы. Эти 40 сек. прямолинейного и горизонтального полета являются наиболее опасными для легкобомбардировщиков. К сожалению, наши бомбардировочные прицелы не позволяют сократить это время. Мне кажется, что надо было бы нашим конструкторам создать такой прицел для бомбометания, чтобы сократить боевой путь до 20— 25 сек. Если нам это удастся, тогда мы сможем свести к нулю действительность огня зенитной артиллерии при существующих приборах управления зенитной артиллерии.</w:t>
      </w:r>
    </w:p>
    <w:p w14:paraId="2CD0963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опыте мы убедились, что совсем не используем солнце для прикрытия от наблюдателя при заходе на цель. Как оказалось, солнце может явиться серьезным маскировочным средством при заходе на цель и затрудняет стрельбу зенитной артиллерии. Когда самолеты заходили со стороны солнца, артиллеристы не смогли получить нужные данные, так как все приборы оказались неприспособленными для такого наблюдения. От лучей солнца наблюдатели на приборах были ослеплены. Самолеты, заходившие со стороны солнца, в большинстве своем были совершенно не обстреляны.</w:t>
      </w:r>
    </w:p>
    <w:p w14:paraId="591EDC1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Кроме того, необходимо указать, что бомбардировочные самолеты после сбрасывания бомб обязательно некоторое время должны продолжать маневрировать, применяя противозенитный маневр, пока они не выйдут из сферы действия зенитной артиллерии. Каждый обороняемый будет иметь огонь на подходах с любых направлений. Следовательно, чтобы его избежать, легкобомбардировщикам придется после сбрасывания бомб немедленно переходить на противозенитный маневр, чтобы затруднить стрельбу.</w:t>
      </w:r>
    </w:p>
    <w:p w14:paraId="0FED8B9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Затем вопрос с дымами. Здесь выяснилось, что в этом направлении можно много сделать, чтобы затруднить прицельную стрельбу зенитной артиллерии. Наиболее действительным средством является непосредственное задымление батарей. Но выяснить в глубоком тылу противника точное расположение зенитной артиллерии будет трудно при условии применения современных средств маскировки. Поэтому на непосредственное задымление батарей рассчитывать не приходится. Необходимо сосредоточить все внимание на задымлении самолетов-бомбардировщиков в воздухе, применяя для этой цели крейсера, которые будут привлекаться для прикрытия тяжелой бомбардировочной авиации от нападения истребителей противника. Оказывается, путем соответствующего построения крейсеров вполне возможно создать соответствующие дымовые коридоры или сплошные горизонтальные дымовые завесы ниже на 50—100 м. Таким образом, дымовые завесы являются важным и необходимым средством для прикрытия боевого пути самолетов в течение 40 сек. от огня зенитной артиллерии при сбрасывании авиабомб.</w:t>
      </w:r>
    </w:p>
    <w:p w14:paraId="270FD1C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Последний вопрос относительно ночного бомбометания. Некоторые доказывали, что, пользуясь планированием, можно заглушить мотор и подойти внезапно к цели и сбросить бомбы, нейтрализуя этим звукоулавливатели. На самом деле оказалось: самолет, находившийся от обороняемого пункта в 10—15 км и переходивший в планирование с высоты 3‘/</w:t>
      </w:r>
      <w:r w:rsidRPr="00E14102">
        <w:rPr>
          <w:color w:val="000000" w:themeColor="text1"/>
          <w:sz w:val="16"/>
          <w:szCs w:val="16"/>
          <w:vertAlign w:val="subscript"/>
        </w:rPr>
        <w:t>2</w:t>
      </w:r>
      <w:r w:rsidRPr="00E14102">
        <w:rPr>
          <w:color w:val="000000" w:themeColor="text1"/>
          <w:sz w:val="16"/>
          <w:szCs w:val="16"/>
        </w:rPr>
        <w:t>—4 тыс. м, был обнаруживаем нашими звукоулавливателями. Шум планирования также был хорошо слышен. Это объясняется тем, что наши моторы М-17 работают с выхлопами, а это позволяет звукоулавливателям не без трудностей обнаруживать самолеты и направлять прожектора. Из 3 случаев планирования один самолет был сразу обнаружен и освещен прожекторами, второй в районе цели освещен и только третий самолет не был обнаружен. В результате этого опыта необходимо внести ряд изменений и уточнений в курсе огневой подготовки легкобомбардировочной авиации в отношении противозенитного маневра.</w:t>
      </w:r>
    </w:p>
    <w:p w14:paraId="24F0920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1936 г. надо провести дополнительные опытные учения по выработке мер зашиты легкобомбардировочной авиации от огня зенитной артиллерии, но с обязательными боевыми стрельбами. Выработать новые способы стрельбы зенитной артиллерии по маневрирующим самолетам.</w:t>
      </w:r>
    </w:p>
    <w:p w14:paraId="3C1F916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99-100.</w:t>
      </w:r>
    </w:p>
    <w:p w14:paraId="2219FB5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Тодорский.</w:t>
      </w:r>
      <w:r w:rsidRPr="00E14102">
        <w:rPr>
          <w:color w:val="000000" w:themeColor="text1"/>
          <w:sz w:val="16"/>
          <w:szCs w:val="16"/>
        </w:rPr>
        <w:t xml:space="preserve"> Товарищи, в эти 10 мин. я остановлюсь только на двух вопросах — об оперативно-тактической подготовке и о Военно-воздушной академии. Вопрос оперативно-тактической подготовки командного состава и штабов остается кардинальным и на 1936 г. Проведение оперативно-тактических занятий вообще дело трудное. В авиационном разрезе в нашем воздушном флоте это дело сугубо трудное, ибо здесь мы сталкиваемся с вопросами новыми или недостаточно отработанными. Это первое условие.</w:t>
      </w:r>
    </w:p>
    <w:p w14:paraId="59CC8AD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условие: в содержании такого занятия обычно мы имеем обширный диапазон обстановки в отношении действий на земле, в отношении действий в воздухе, в отношении большого пространства, хотя и для занятия на земле этот диапазон тоже стал широким, поскольку земля должна считаться с воздухом.</w:t>
      </w:r>
    </w:p>
    <w:p w14:paraId="16F7C14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Третье условие — это в отношении необходимости сложных авиационных расчетов. Для проведения таких занятий нужны не только знания командира, но и соответствующее умение — как провести эти занятия. Я считаю, что в отношении методики подготовки обучения у нас недостаточно внимания обращается как в воздушном флоте, так, я бы сказал, и во всей армии.</w:t>
      </w:r>
    </w:p>
    <w:p w14:paraId="39BDE8A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Правильно.</w:t>
      </w:r>
    </w:p>
    <w:p w14:paraId="45941DA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Тодорский.</w:t>
      </w:r>
      <w:r w:rsidRPr="00E14102">
        <w:rPr>
          <w:color w:val="000000" w:themeColor="text1"/>
          <w:sz w:val="16"/>
          <w:szCs w:val="16"/>
        </w:rPr>
        <w:t xml:space="preserve"> Еще в прошлом году народный комиссар обращал на это внимание и ставил вопрос даже в разрезе освоения нами вопросов педагогики. У нас это дело обстоит не совсем благополучно. Я вспоминаю историю Красной армии, как мы обучались. Несколько лет тому назад мы методику подготовки штудировали более или менее интенсивно. Около этого вопроса народилась и специальная литература: Михаил Николаевич написал соответствующий труд, Александр Ильич — о взводе, Иероним Петрович — насчет подготовки авиации, Триандафиллов писал, наконец, много писали наши «Бюллетени боевой подготовки». Этим вопросом мы </w:t>
      </w:r>
      <w:r w:rsidRPr="00E14102">
        <w:rPr>
          <w:color w:val="000000" w:themeColor="text1"/>
          <w:sz w:val="16"/>
          <w:szCs w:val="16"/>
        </w:rPr>
        <w:lastRenderedPageBreak/>
        <w:t>интересовались. Сейчас же этот вопрос у нас снова требует сугубого внимания. Армия наша стала гораздо лучше. Но я считаю, исторически это правильно, что самая лучшая армия должна иметь самую лучшую методику обучения, должна особенно интересоваться этим вопросом.</w:t>
      </w:r>
    </w:p>
    <w:p w14:paraId="5E432DB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Если мы возьмем довоенную Германию, то вы знаете, что ее армия была хорошей армией перед мировой войной. Вы знаете одновременно, что вся хорошая литература по методике подготовки накануне мировой войны являлась литературой германской армии. Вспомните книгу подполковника Альтрока «Вождение войск» с 56 задачами по прикладной тактике</w:t>
      </w:r>
      <w:r w:rsidRPr="00E14102">
        <w:rPr>
          <w:color w:val="000000" w:themeColor="text1"/>
          <w:sz w:val="16"/>
          <w:szCs w:val="16"/>
          <w:vertAlign w:val="superscript"/>
        </w:rPr>
        <w:t>76</w:t>
      </w:r>
      <w:r w:rsidRPr="00E14102">
        <w:rPr>
          <w:color w:val="000000" w:themeColor="text1"/>
          <w:sz w:val="16"/>
          <w:szCs w:val="16"/>
        </w:rPr>
        <w:t xml:space="preserve"> или «Тактические письма» (25 задач) генерала Грипенкерля и ряд других. Довоенная первоклассная армия этим делом всерьез интересовалась. Мы сейчас хорошая, первоклассная армия, и, по-моему, на этот вопрос должны обратить также самое серьезное внимание. Надо все уже изданные нами книжки соответствующим образом пересмотреть нашим маршалам и командармам и всем остальным авторам и их повторить или составить новые.</w:t>
      </w:r>
    </w:p>
    <w:p w14:paraId="523EBF3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В частности, большое слово в этом отношении должно принадлежать академиям.</w:t>
      </w:r>
    </w:p>
    <w:p w14:paraId="4C39AD9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Тодорский.</w:t>
      </w:r>
      <w:r w:rsidRPr="00E14102">
        <w:rPr>
          <w:color w:val="000000" w:themeColor="text1"/>
          <w:sz w:val="16"/>
          <w:szCs w:val="16"/>
        </w:rPr>
        <w:t xml:space="preserve"> Совершенно правильно. Мы также должны этим делом заняться всерьез. Академия по мере сил и возможностей в этом старается, но, безусловно, недостаточно. Академия дала тактику бомбардировочной, разведывательной и истребительной авиации, элементарный курс тактики и общую тактику военно-воздушных сил. В некоторых из них, по прямым указаниям т, Алксниса, который исходил из установок народного комиссара, даны соответствующие задачи под углом методики обучения. Мы работаем еще мало, будем стараться больше, но надо сделать запрос и всем остальным товарищам.</w:t>
      </w:r>
    </w:p>
    <w:p w14:paraId="5BC55E2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народный комиссар иногда хвалит БВО и КВО, персонально товарищей Уборевича и Якира. Мы это слышим, но я считал бы, что было бы неплохо, чтобы мы иногда, персонально от своего лица, похвалили бы их.</w:t>
      </w:r>
    </w:p>
    <w:p w14:paraId="3DBB133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Это было бы хорошо.</w:t>
      </w:r>
    </w:p>
    <w:p w14:paraId="4CDD965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Тодорский.</w:t>
      </w:r>
      <w:r w:rsidRPr="00E14102">
        <w:rPr>
          <w:color w:val="000000" w:themeColor="text1"/>
          <w:sz w:val="16"/>
          <w:szCs w:val="16"/>
        </w:rPr>
        <w:t xml:space="preserve"> Мы так уважаем вас, товарищ народный комиссар, что поскольку вы их хвалите, мы их тоже хвалим. Сейчас вот даны нам военные звания; это дело очень великое. Раньше был просто командующий войсками Украинского военного округа т. Якир, теперь же — командарм 1-го ранга. Это звание дано перед всей страной, это говорит о том, что можно и нужно спрашивать с человека, и мы, я считаю, имеем полное право с каждого соответственно спросить.</w:t>
      </w:r>
    </w:p>
    <w:p w14:paraId="6BDCCA7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Я не понимаю, в чем суть вопроса.</w:t>
      </w:r>
    </w:p>
    <w:p w14:paraId="105008A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Тодорский.</w:t>
      </w:r>
      <w:r w:rsidRPr="00E14102">
        <w:rPr>
          <w:color w:val="000000" w:themeColor="text1"/>
          <w:sz w:val="16"/>
          <w:szCs w:val="16"/>
        </w:rPr>
        <w:t xml:space="preserve"> Вы хороший командующий, мы имеем право просить опыта вашей работы.</w:t>
      </w:r>
    </w:p>
    <w:p w14:paraId="6969BFC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Это дело запрещается.</w:t>
      </w:r>
    </w:p>
    <w:p w14:paraId="18EECA2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Тодорский.</w:t>
      </w:r>
      <w:r w:rsidRPr="00E14102">
        <w:rPr>
          <w:color w:val="000000" w:themeColor="text1"/>
          <w:sz w:val="16"/>
          <w:szCs w:val="16"/>
        </w:rPr>
        <w:t xml:space="preserve"> Нам нужно, чтобы был обобщен опыт работы хороших округов, хороших командиров, мастеров обучения. Я говорю так, потому что мы нуждаемся, чтобы хороший опыт передавался, а не был достижением одного или двух округов. Возьмите вы даже старую армию.</w:t>
      </w:r>
    </w:p>
    <w:p w14:paraId="1BCCF42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Драгомирова что ли?</w:t>
      </w:r>
    </w:p>
    <w:p w14:paraId="20BE934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Тодорский.</w:t>
      </w:r>
      <w:r w:rsidRPr="00E14102">
        <w:rPr>
          <w:color w:val="000000" w:themeColor="text1"/>
          <w:sz w:val="16"/>
          <w:szCs w:val="16"/>
        </w:rPr>
        <w:t xml:space="preserve"> Не только Драгомирова, но и целый ряд более скромных командиров, накопивших большой служебный и учебный опыт, которым они делились с другими командирами. В военной литературе старой армии есть книги такого рода даже командира пехотного полка, который день за днем описал весь свой служебный год с точки зрения методики в подходе к учебе и хозяйству. Вспоминаю такие же книги некоторых кавалерийских начальников, также делившихся в меру своего разумения своим богатым служебным и учебным опытом. Я считаю, что на методику подготовки мы должны обратить соответствующее внимание и каждый каждому помочь своим опытом. Вот, например, в отношении военных игр. В округах проведено много авиационных игр. Мы должны их знать так же, как наши авиационные игры должны знать округа.</w:t>
      </w:r>
    </w:p>
    <w:p w14:paraId="4A248C8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Он хочет, чтобы т. Егоров рассылал отчеты об играх, материалы и т.д.</w:t>
      </w:r>
    </w:p>
    <w:p w14:paraId="772F849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Егоров.</w:t>
      </w:r>
      <w:r w:rsidRPr="00E14102">
        <w:rPr>
          <w:color w:val="000000" w:themeColor="text1"/>
          <w:sz w:val="16"/>
          <w:szCs w:val="16"/>
        </w:rPr>
        <w:t xml:space="preserve"> Нет, он хочет, чтобы т. Якир приезжал в академию.</w:t>
      </w:r>
    </w:p>
    <w:p w14:paraId="74FF3AA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Тодорский. Я</w:t>
      </w:r>
      <w:r w:rsidRPr="00E14102">
        <w:rPr>
          <w:color w:val="000000" w:themeColor="text1"/>
          <w:sz w:val="16"/>
          <w:szCs w:val="16"/>
        </w:rPr>
        <w:t xml:space="preserve"> уже сказал, в чем мы нуждаемся и чего просим. Мы просим популяризации хорошего опыта и взаимной помощи в работе.</w:t>
      </w:r>
    </w:p>
    <w:p w14:paraId="7E79D46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и последний вопрос, т. народный комиссар, относительно Воздушной академии. Два года тому назад народный комиссар на партийной конференции МВО охарактеризовал нашу академию как неблагополучную среди академий Московского гарнизона. Сейчас мы можем доложить Военному совету, что наша академия заняла свое подобающее место в раду других академий РККА, т.е., если можно так выразиться, ликвидировала прошлое неблагополучие. Мы сейчас намерены соревноваться не только с академиями РККА, но согласны и с французской академией, которую называют высшей национальной авиационной школой.</w:t>
      </w:r>
    </w:p>
    <w:p w14:paraId="22D5AAF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Смотрите! А письмо Кресьтянинова вы читали?</w:t>
      </w:r>
    </w:p>
    <w:p w14:paraId="7A0C86D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Тодорский.</w:t>
      </w:r>
      <w:r w:rsidRPr="00E14102">
        <w:rPr>
          <w:color w:val="000000" w:themeColor="text1"/>
          <w:sz w:val="16"/>
          <w:szCs w:val="16"/>
        </w:rPr>
        <w:t xml:space="preserve"> Так точно. Читал письмо и принял к исполнению ваши исчерпывающие указания по этому поводу. У нас есть некоторая недомолвка в отношении характера этой школы. Французская высшая национальная школа комплектуется не так, как наша Воздушная академия. Она комплектуется инженерами, уже окончившими высшее учебное заведение.</w:t>
      </w:r>
    </w:p>
    <w:p w14:paraId="4D9DE06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Наши адъюнкты прибыли на подготовительный курс и закричали караул, что мы работать не можем, так как математику мы знаем не в том объеме, в котором она там требуется. Вот вы и расскажите, как вы думаете соревноваться? Как арифметика вашей академии будет состязаться с высшей математикой французской академии?</w:t>
      </w:r>
    </w:p>
    <w:p w14:paraId="3CB6209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Тодорский.</w:t>
      </w:r>
      <w:r w:rsidRPr="00E14102">
        <w:rPr>
          <w:color w:val="000000" w:themeColor="text1"/>
          <w:sz w:val="16"/>
          <w:szCs w:val="16"/>
        </w:rPr>
        <w:t xml:space="preserve"> Мы имеем из французской академии все материалы, как они принимают, какой у них распорядок, как строится учеба и каково ее содержание. Туда принимаются инженеры, одаренные в научном отношении. Там учатся десятки, у нас в академии 1500 чел. А наши адъюнкты оказались там действительными большевиками.</w:t>
      </w:r>
    </w:p>
    <w:p w14:paraId="320D068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 этом я не сомневаюсь.</w:t>
      </w:r>
    </w:p>
    <w:p w14:paraId="38C0B32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Тодорский.</w:t>
      </w:r>
      <w:r w:rsidRPr="00E14102">
        <w:rPr>
          <w:color w:val="000000" w:themeColor="text1"/>
          <w:sz w:val="16"/>
          <w:szCs w:val="16"/>
        </w:rPr>
        <w:t xml:space="preserve"> Правда, они вначале испытывали недостаточную подготовленность, но за этот год они так подковались, что сейчас учатся и не отстают от остальных слушателей французской академии. Вот почему я сказал, что они настоящие большевики.</w:t>
      </w:r>
    </w:p>
    <w:p w14:paraId="53A4A80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 мы будем соревноваться с французской академией? Имея у себя учебники такой академии, зная ее требования, зная ее программы, имея с ней постоянную связь через этих адъюнктов, мы сейчас в учебный план Воздушной академии — т. Алкснис это подтвердит — внесли из Франции все то полезное, что в наших силах. Мы соответствующим образом расширили вопросы математики; подняли значение химии и физики, переведя их из авиатехнического цикла в общеинженерный; переходим на единый учебный план. Ввели стабильное расписание занятий на квартал; добиваемся большей самостоятельности в работе слушателя; развиваем большую наглядность обучения; увеличили время на практические работы; взялись за полное обеспечение учебникам; наконец, более жесткими требованиями к вновь поступающим слушателям создаем благоприятную базу для успешной учебы. Эти и рад других мероприятий позволяют нам сказать, что при нажиме, при серьезном старании мы достигнем больших результатов в соревновании с лучшей академией заграницы.</w:t>
      </w:r>
    </w:p>
    <w:p w14:paraId="6ECF8A8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100-101.</w:t>
      </w:r>
    </w:p>
    <w:p w14:paraId="2B0269C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Бергстрем.</w:t>
      </w:r>
      <w:r w:rsidRPr="00E14102">
        <w:rPr>
          <w:color w:val="000000" w:themeColor="text1"/>
          <w:sz w:val="16"/>
          <w:szCs w:val="16"/>
        </w:rPr>
        <w:t xml:space="preserve"> Своевременная постановка вопроса о воздушном бое в целом очевидна. Мы имеем много неясностей хотя бы в вопросе воздушного боя. Мы воздушный бой понимали очень часто как бой между самолетами в воздухе, а на самом деле воздушный бой нужно разделить на несколько групп: действия против земных целей и действия в самом воздухе.</w:t>
      </w:r>
    </w:p>
    <w:p w14:paraId="16A0161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считаю правильной также постановку вопроса о подготовке наших будущих операторов академиков. Дело с подготовкой операторов в отношении морской авиации у нас неблагополучное. К сожалению, руководители нашего морского факультета настолько плохо сами подготовлены, что они не могут руководить даже слушателями. Люди, которые идут в академию из морей, говорят, что им стыдно слушать то, что им преподают. Думаю, что академия РККА в этом вопросе идет впереди. Мы имеем прекрасные достижения в области подготовки технических кадров, но в области оперативной подготовки командиров по морской линии достижения наши малы.</w:t>
      </w:r>
    </w:p>
    <w:p w14:paraId="167D19D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Алкснис, командарм 2-го ранга, поставил перед нами целый ряд задач. Можно по этому вопросу много говорить. Я остановлюсь только на нескольких вопросах.</w:t>
      </w:r>
    </w:p>
    <w:p w14:paraId="58546B7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Вопрос управления в воздухе. Мы на сегодняшний день имеем неплохие радиостанции, но радиостанции, которые все же не обеспечивают передачу сигналов так, как нужно. Мы практикуем передачу сигналов в открытом и шифрованном виде. Я считаю, что радиосигналы в воздухе в открытом виде допускать нельзя. Некоторые считают, что в воздушном бою шифровать не нужно, а я считаю, что нужно. Нужно создать аппаратуру телемеханики, которая позволяла бы передавать, тогда можно будет поставить вопрос о четком управлении самолетами в воздухе. Если мы будем передавать распоряжения голосом, то противник нас поймает и цель уйдет из наших рук. Вопрос воздушного боя в том понимания, как оно у нас возникает. Возьмем для примера бой между, скажем, истребителем и бомбардировщиком. Я считаю, что мы в этом отношении идем несколько неправильно. В 1935 г. мы имеем большие достижения в области увеличения огневых дистанций. Мы провели опытные учения — стрельбу с высоты 1000 м по мишени размера ТБ-3</w:t>
      </w:r>
      <w:bookmarkStart w:id="63" w:name="_ftnref3"/>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"http://istmat.info/node/33262" \l "_ftn3" \o "" </w:instrText>
      </w:r>
      <w:r w:rsidR="00B64C5C" w:rsidRPr="00E14102">
        <w:rPr>
          <w:color w:val="000000" w:themeColor="text1"/>
          <w:sz w:val="16"/>
          <w:szCs w:val="16"/>
        </w:rPr>
        <w:fldChar w:fldCharType="separate"/>
      </w:r>
      <w:r w:rsidRPr="00E14102">
        <w:rPr>
          <w:rStyle w:val="a4"/>
          <w:color w:val="000000" w:themeColor="text1"/>
          <w:sz w:val="16"/>
          <w:szCs w:val="16"/>
        </w:rPr>
        <w:t>[3]</w:t>
      </w:r>
      <w:r w:rsidR="00B64C5C" w:rsidRPr="00E14102">
        <w:rPr>
          <w:color w:val="000000" w:themeColor="text1"/>
          <w:sz w:val="16"/>
          <w:szCs w:val="16"/>
        </w:rPr>
        <w:fldChar w:fldCharType="end"/>
      </w:r>
      <w:bookmarkEnd w:id="63"/>
      <w:r w:rsidRPr="00E14102">
        <w:rPr>
          <w:color w:val="000000" w:themeColor="text1"/>
          <w:sz w:val="16"/>
          <w:szCs w:val="16"/>
        </w:rPr>
        <w:t xml:space="preserve"> и имеем 40% попадания.</w:t>
      </w:r>
    </w:p>
    <w:p w14:paraId="39ABE72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Здесь кто-то кашляет, случайно или нет. </w:t>
      </w:r>
      <w:r w:rsidRPr="00E14102">
        <w:rPr>
          <w:rStyle w:val="a6"/>
          <w:i w:val="0"/>
          <w:color w:val="000000" w:themeColor="text1"/>
          <w:sz w:val="16"/>
          <w:szCs w:val="16"/>
        </w:rPr>
        <w:t>(Смех.)</w:t>
      </w:r>
    </w:p>
    <w:p w14:paraId="12CFE07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Когда я прибыл в часть и в присутствии т. Кожанова предложил летчикам стрелять с этой дистанции, то все летчики закашляли и считали, что я не совсем нормальный, как, мол, можно стрелять с такой дистанции. На следующий день теоретически было доказано, что стрелять можно, но попаданий не будет. После 3 дней пребывания моего в части летчики стали попадать с этой дистанции, перестали кашлять — начали стрелять. Тов. Кожанов, командующий</w:t>
      </w:r>
    </w:p>
    <w:p w14:paraId="4BE2330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Черноморским флотом, может это подтвердить. Я это говорю для того, чтобы доказать, что истребители могут и должны быть привлечены для атаки аэродромов, для расстреливания отдельных самолетов. Истребители — один из лучших видов оружия при уничтожении авиации противника на аэродромах.</w:t>
      </w:r>
    </w:p>
    <w:p w14:paraId="3FCB930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должны выпячивать наши истребители — лидеров. Мы идем, к сожалению, по линии «гельдерсиады», мы увлеклись массовыми операциями в воздухе, мы забыли, что нужно старикам, хорошим истребителям дать дорогу, сделать из них не асов, а лидеров. Предлагаю делать это для того, чтобы хорошие истребители могли бы вести за собой более молодых, а мы как-то стрижем всех истребителей под одну гребенку. Ведь нельзя же стричь всех под одну гребенку — и Чкалова, и Бергстрема, — не выйдет это. Чкалова мы знаем как прекраснейшего пилота, перед которым я в любую минуту готов снять фуражку и низко ему кланяться, а он в бою, по нашим правилам, должен идти сомкнутым строем, сзади старшего, который должен его вести в бой.</w:t>
      </w:r>
    </w:p>
    <w:p w14:paraId="7FD4D32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lastRenderedPageBreak/>
        <w:t>Мне кажется, что нам нужно создать школу таких летчиков, однако не возвращаясь к старому времени, когда мы готовили асов, когда один воевал, а остальные охраняли. Нам нужно выращивать молодых истребителей, а мы из школ будем их получать. Я считаю, что у нас вредный уклон в этом отношении, когда мы хотим идти в бой только массами. Когда я в истребительной авиации работал, то мне казалось, что четко быстро маневрировать большими соединениями нельзя. Мы выделяли звено и отрабатывали его так, что действительно моментально могли действовать. Теперь мы переходим на большие скорости, и мы должны маневрировать и в одну, и в другую сторону. Если же действовать большими соединениями, то получается хорошая мишень-строй, тем более что мы в сомкнутом строю летаем. Тогда противнику останется только стрелять в гущу, как охотник стреляет по уткам.</w:t>
      </w:r>
    </w:p>
    <w:p w14:paraId="22B4736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101.</w:t>
      </w:r>
    </w:p>
    <w:p w14:paraId="7FBCFFB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Меженинов. Я</w:t>
      </w:r>
      <w:r w:rsidRPr="00E14102">
        <w:rPr>
          <w:color w:val="000000" w:themeColor="text1"/>
          <w:sz w:val="16"/>
          <w:szCs w:val="16"/>
        </w:rPr>
        <w:t xml:space="preserve"> считаю нужным отметить работу авиации. Я сравниваю те цифры, которые сейчас возросли в связи с увеличением мощности отдельных моторов и в связи с увеличением количества авиации в наших частях. Если взять наш войсковой отряд, то его общая мощность была 5000 л.с. Если взять теперешний войсковой отряд, то его мощность 15 000 л.с. За счет этого увеличения мы получили и большую скорость в воздухе и грузоподъемность, но зато много потеряли на земле. Нам нужно теперь гораздо больше подвозить для авиации и горючего и смазочных веществ, и нужно сказать, что маневренность на земле значительно понизилась в сравнении с авиацией вчерашнего дня. По легкой авиации и по бомбардировочной мы имеем следующее: с 10 000 л.с. мы повысились до 25 000 л.с., по тяжелым бомбардировщикам с 24 000 л.с. мы имеем повышение до 45 000 л.с. на каждую эскадрилью. Этот один факт говорит о том, что на сегодняшний день мы должны учить организации базирования авиации, и в этом отношении у нас есть пробел.</w:t>
      </w:r>
    </w:p>
    <w:p w14:paraId="10AB685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этой части маневрирования по земле теми средствами, которыми мы располагаем, мы не сможем дать полную маневренность авиации, так как мы мало работали по маневрированию на земле, а раз не работали на земле, то какая же от этого может быть получена свобода в воздухе. Какие будут действия в воздухе, если на земле на базе мы как следует не проработали всех вопросов снабжения и эксплуатации? Основное и главное это то, что та мощность, которая имеется в воздухе, должна быть увязана с маневренной способностью на земле. Для этого в первую очередь надо подготовить свой парк с тем, чтобы иметь возможность умело справиться с задачами, которые стоят перед авиацией, т.е. чтобы транспорт справлялся в отношении подвоза горючего и др. для авиации.</w:t>
      </w:r>
    </w:p>
    <w:p w14:paraId="1ACE056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обстоятельство — это то, что скорость значительно возросла. Если взять новый польский истребитель, который имеет скорость 380 км, то делая вираж при крене в 20°, этому истребителю нужен радиус 250 м. Это значит, что истребители с такими скоростями ограничены в маневре. Эти истребители в горных условиях будут малоопасны. Этот истребитель может действовать только против соединений. Этот истребитель будет идти в хвосте другого типа истребителей. Скоростной истребитель в этих условиях мало пригоден. Это одно обстоятельство, которое мы должны учитывать, когда говорим об обеспечении свободы авиации, о методе борьбы с авиацией противника. В Бобруйске был произведен прекрасный опыт маневрирования бомбардировщиками тяжелой мощности, и для них истребитель не был особо опасен и крейсер Р-6 оказался в таком положении, что он отсекает истребителей.</w:t>
      </w:r>
    </w:p>
    <w:p w14:paraId="6CB224A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вопрос — бой передними пулеметами не всегда выгоден. Параллельный курс выгоднее. Поэтому надо обучить всю авиацию наступательному бою, это может дать большие результаты. Линейность всей авиации по отношению к воздуху и возвращение к линейности против земли надо учесть в нашей подготовке. На эту линейность в обоих случаях следует перейти.</w:t>
      </w:r>
    </w:p>
    <w:p w14:paraId="0935B5A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Следующий вопрос, который поставил т. Алкснис, это вопрос о том, как управлять авиацией. До сих пор мы ставили этот вопрос таким образом, что, присоединяя авиацию к корпусу, присоединяя ее к армии, ставили перед ней задачи в мелком детальном бою. Французы против этого; они говорят, что это — напрасной и дорогой ценой расходовать авиацию, не достигая цели. Вы же знаете, что в таких случаях попадать в цель почти невозможно, потому что вы быстро проноситесь мимо цели и уже стрелять нельзя. Сейчас в связи с новыми самолетами совершенно четко надо поставить задачу в той форме, как здесь докладывал начальник военно-воздушных сил, т.е. ставить перед ней определенную задачу на период боя и на период сражения, а авиация сама будет решать, где ей ударить.</w:t>
      </w:r>
    </w:p>
    <w:p w14:paraId="6C87639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Французы говорят, что в мелкий бой не стоит ввязывать авиацию, так как у нее есть более важные задачи — исключить противника из боя. И я считаю, что авиацию следует бросать в тот момент, когда началось уничтожение противника по всему фронту, чтобы добить противника окончательно. Таким образом, из самого центра боя авиация по этим мыслям как бы выводится.</w:t>
      </w:r>
    </w:p>
    <w:p w14:paraId="2103BAF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относительно радиуса действия авиации. Когда мы рассматриваем технику самостоятельных действий авиации или решаем оперативные задачи, то мы берем технику радиуса действия авиации по справочнику. Ночной авиационный бомбардировщик в 1932 г. давал 1000 кг бомб на дальность в 600 км — это было прекрасно, и сегодня он дает 3000 кг бомб на 700 км — это великолепно. Если теперь перейти к тем самолетам, которые мы имеем на сегодняшний день, то у меня, например, самый большой полет был полет на 7</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xml:space="preserve"> часа. Конечно, сидящие здесь летчики могут летать и на большую длительность, но летаем мы все длительно на высоте 2000 м. Как только переходим на 5000 м, то всем экипажем военного времени вытянуть большой технический радиус действия при таких скоростях нельзя. Тогда все темпы наших вылетов будут совершенно другие и в операции большое количество вылетов сможет сделать ограниченное количество летного состава. На основании всего этого я и думаю, что в расчетах радиуса действия авиации надо исходить не из технических свойств самолета, а из всего комплекса условий — каковы чисто метеорологические условия и какова боевая обстановка.</w:t>
      </w:r>
    </w:p>
    <w:p w14:paraId="2727A6C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 последний вопрос, который я хотел еще затронуть, — это вопрос об управлении. Совершенно ясно, что для того, чтобы управлять хорошенько авиацией, надо иметь ту связь, которую выдвигал здесь т. Алкснис, — проволочную связь со всеми аэродромами. Но я хотел бы доложить относительно аэродромной радиослужбы. Ведь мы получаем все время сведения о том, куда летит самолет противника. Путем радиопеленгации движение нашего самолета, разговаривающего по радио, будет сопровождаться тем, что его связь все время будет засекаться противником. К этому приспособлена вся служба ПВО в Германии. У них разговор идет 10 мин. путем пеленгатора, и я считаю, что такую сеть пеленгаторных станций ПВО следует завести и нам.</w:t>
      </w:r>
    </w:p>
    <w:p w14:paraId="3735604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 самый последний вопрос — это о резерве авиации и о подготовке кадров. Мы сейчас опираемся в отношении кадров на наши военно-воздушные школы и на гражданский воздушный флот. Мы делаем большую ошибку, что изгнали средний мотор из своего обращения, и второе — не готовим военных кадров, постоянно летающих на линиях, и здесь предложение Белорусского округа я считаю совершенно правильным не только с точки зрения установления связи между гарнизонами, но с точки зрения постоянной тренировки нашего военного воздушного флота в полетах на линиях.</w:t>
      </w:r>
    </w:p>
    <w:p w14:paraId="15BC658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102.</w:t>
      </w:r>
    </w:p>
    <w:p w14:paraId="778FDA09"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Лавров.</w:t>
      </w:r>
      <w:r w:rsidRPr="00E14102">
        <w:rPr>
          <w:color w:val="000000" w:themeColor="text1"/>
          <w:sz w:val="16"/>
          <w:szCs w:val="16"/>
        </w:rPr>
        <w:t xml:space="preserve"> Относительно оперативно-тактической подготовки высшего начсостава и штабов Воздушных сил. Состояние этой подготовки меняется в лучшую сторону чрезвычайно медленно. Это происходит, по моему мнению, в силу следующих обстоятельств. Во-первых, этим делом мы мало занимаемся. Для руководства подготовкой мало выпущено нужных пособий, специальных наставлений и т.д. С конца 1934 г. центром не было проведено ни одной оперативно-тактической игры с высшим начальствующим составом Воздушных сил. Следовательно, определенного направления в этом деле мы не имеем и солидных разработок пособий даже те учреждения, которым этим нужно было бы заниматься, не делают и не представляют. Это субъективная причина.</w:t>
      </w:r>
    </w:p>
    <w:p w14:paraId="64AC7DF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Вторая причина, не менее важная. Решения по оперативному использованию и тактике Воздушных сил переживают сейчас, по моему мнению, некоторый кризис, и этот кризис мы почувствуем еще сильнее, как только начнем получать в Воздушных силах новую материальную часть. Этот кризис вызван тем, что резкий качественный рост летно-тактических данных самолетов вносит много нового в тактику и оперативное использование Воздушных сил. Несколько примеров. Что происходит в результате роста качества новой материальной части? Новый истребитель стал несравненно сильнее, но по отношению к старым самолетам; по отношению же к новому бомбардировщику СБ он имеет малую разницу в скоростях, маневренность он потерял, видеть летчик стал хуже, управлять таким истребительным соединением стало труднее. Бомбардировщик приобрел как бы тактическую независимость, ему не нужно непосредственного охранения, но ему обязательно нужны данные разведки. У него сокращается дальность действия, во всяком случае пока что она не растет.</w:t>
      </w:r>
    </w:p>
    <w:p w14:paraId="486A09F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Таким образом, новые качества самолета вносят много нового в тактику всех Воздушных сил, так как новые самолеты позволяют ряд задач решать новыми приемами. Я бы сказал так: рост скорости является таким качеством, которое остальные качества самолета видоизменяет иногда в худшую сторону по сравнению с прежним типом, но в то же время дает чрезвычайно большой рост боевой эффективности. Именно по причине изменения всех прочих качеств при росте скорости автономные действия одного рода авиации не дают высокой эффективности. И чтобы ее достигнуть и полностью скорость использовать — надо широко практиковать при решении задач оперативно-тактическое взаимодействие различных родов авиации. Поэтому я считаю, что в оперативно-тактической подготовке первым надо поставить изучение командным составом авиации тактики родов авиации для того, чтобы этот командный состав хорошо умел руководить авиацией во взаимодействии, потому что взаимодействие потребуется прежде всего.</w:t>
      </w:r>
    </w:p>
    <w:p w14:paraId="270DCF6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 второе — относительно оперативной подготовки. Здесь нам необходимо решительно перейти на выполнение принимаемых старшим командованием обязательств. Если составляются планы занятий, если намечают ряд учений, то, безусловно, их надо выполнять. Это самое главное. В содержании учений необходимо тщательно изучить взаимодействие различных родов авиации. Без этого мы не можем перейти к оперативным занятиям. В оперативной подготовке темами должны быть вопросы боевого применения всех родов авиации в первоначальный период войны. Оперативная подготовка, начатая в классе на карте, должна быть закреплена крупными и длительными учениями вплоть до воздушных маневров.</w:t>
      </w:r>
    </w:p>
    <w:p w14:paraId="57DB825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Перехожу ко второму вопросу — о воздушном бое. Я считаю, что в современных условиях применение для воздушного боя только одного пулеметного истребителя вызывает большие сомнения. Опыт Бобруйского учения показывает, что уменьшение разницы скоростей между истребителем и бомбардировщиком значительно осложнило атаку первым второго. Но можем ли мы сделать такой вывод, что бой в воздухе в результате этого теряет свое значение? По-моему, нет. Надо искать другие средства, применение которых обеспечит возможность вести успешный бой в новой обстановке. Надо перейти к изучению комбинированного воздушного боя. Это понятие слагается так. Мы можем применять бомбардирование целей в воздухе. Даже небольшая воздушная цель, отряд, идущий в строю, может быть в настоящее время подвергнут бомбардировке. Наша техника решает эту задачу. Мы имеем акустический взрыватель, т.е. взрывание бомбы в тот момент, когда она пролетает около самолета. Затем, для участия в воздушном бою необходимо привлечение тяжелого калибра, действующего с дальней дистанции. Нам нужны пушки, </w:t>
      </w:r>
      <w:r w:rsidRPr="00E14102">
        <w:rPr>
          <w:color w:val="000000" w:themeColor="text1"/>
          <w:sz w:val="16"/>
          <w:szCs w:val="16"/>
        </w:rPr>
        <w:lastRenderedPageBreak/>
        <w:t>стреляющие с 2 км. Так вот комбинация бомбометания, действие пушечной авиации с дальних дистанций и, наконец, бой вплотную на небольших дистанциях пулеметами — это то, из чего будет складываться воздушный бой в ближайшее время. Я полагаю, что мы этому делу должны научиться в 1936 г., проведя опытные учения, которыми развить то, что было начато в 1934 г., и продолжить работы 1935 г. в Бобруйске.</w:t>
      </w:r>
    </w:p>
    <w:p w14:paraId="1B24BD4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Применение комбинированного воздушного боя заставляет сделать вывод, чтобы наша бомбардировочная авиация научилась летать в расчлененных боевых порядках. Расчлененный порядок одновременно затрудняет действие противовоздушной обороны. Также нужно научиться ходить соединениями и расчленениями, чтобы этот порядок не был пронизываем дальнобойным огнем, чтобы дальнобойный огонь против этого порядка не давал такого эффекта, как против массы плотно идущих самолетов. Нужно научиться ходить частями в порядках расчлененных, но управляемых и имеющих возможность осуществлять взаимную огневую поддержку. Такие порядки не будут разрушаться дальнобойным огнем, как массы авиации, идущие в плотных строях.</w:t>
      </w:r>
    </w:p>
    <w:p w14:paraId="6B7DBC3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Последнее, на чем я считал нужным остановиться, это о воспитании летчиков-истребителей. Мы должны воспитать летчиков-истребителей так, чтобы они смело подходили вплотную к самолету и маневрировали на больших скоростях около цели. Мы этого избегаем. Мы предпочитаем на учении только обозначать атаку. Необходимы специальные учения, чтобы научить людей маневрировать около воздушной цели на дистанции 50—100 м и такими мероприятиями поднять дух техники пилотажа.</w:t>
      </w:r>
    </w:p>
    <w:p w14:paraId="51AB1E2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103.</w:t>
      </w:r>
    </w:p>
    <w:p w14:paraId="2CB11F7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Я хочу начать с того, чем кончил т. Лавров. Я думаю, что правильно говорили тт. Лавров и Хрипин по вопросу о пилотаже и по вопросу о большей смелости: безусловно, нужно дать большую подготовку истребителям. В частности, поскольку у нас нет пока никаких документов по стрельбе звена, отряда и эскадрильи, а о бригаде нечего говорить, то, если верно то, о чем говорил Яков Иванович</w:t>
      </w:r>
      <w:bookmarkStart w:id="64" w:name="_ftnref4"/>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"http://istmat.info/node/33262" \l "_ftn4" \o "" </w:instrText>
      </w:r>
      <w:r w:rsidR="00B64C5C" w:rsidRPr="00E14102">
        <w:rPr>
          <w:color w:val="000000" w:themeColor="text1"/>
          <w:sz w:val="16"/>
          <w:szCs w:val="16"/>
        </w:rPr>
        <w:fldChar w:fldCharType="separate"/>
      </w:r>
      <w:r w:rsidRPr="00E14102">
        <w:rPr>
          <w:rStyle w:val="a4"/>
          <w:color w:val="000000" w:themeColor="text1"/>
          <w:sz w:val="16"/>
          <w:szCs w:val="16"/>
        </w:rPr>
        <w:t>[4]</w:t>
      </w:r>
      <w:r w:rsidR="00B64C5C" w:rsidRPr="00E14102">
        <w:rPr>
          <w:color w:val="000000" w:themeColor="text1"/>
          <w:sz w:val="16"/>
          <w:szCs w:val="16"/>
        </w:rPr>
        <w:fldChar w:fldCharType="end"/>
      </w:r>
      <w:bookmarkEnd w:id="64"/>
      <w:r w:rsidRPr="00E14102">
        <w:rPr>
          <w:color w:val="000000" w:themeColor="text1"/>
          <w:sz w:val="16"/>
          <w:szCs w:val="16"/>
        </w:rPr>
        <w:t xml:space="preserve"> в смысле сроков (он это обрабатывает, я знаю), что они дадут документ, без которого воздушного боя отряда или эскадрильи у нас быть не может, не говоря о бригаде, тогда можно подойти к этому делу более организованно и предоставить некоторую свободу опытным подразделениям, частям и опытным людям. Тут нужно ограничиться двумя показателями: подходом и временем стрельбы. Маневра, на котором он подойдет, мы не знаем, это мы постараемся выдумывать. Мне думается, нужно предоставить определенным подразделениям, частям выработать определенные данные — подход не ближе такого-то, огонь такой-то для выполнения целого ряда задач, а маневр подхода — это твое дело. Ряд отрядов, как например, в КВО Рычагова, Стецюры, производили целый ряд операций, которые дадут основания для дальнейшего уточнения курса стрельб.</w:t>
      </w:r>
    </w:p>
    <w:p w14:paraId="22116C9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Перед тем как два слова сказать по вопросу использования авиации, я хотел развить то, что я в конце начал говорить по первому вопросу — это вопрос о курсах, о планах и как мы живем. Установлено, что у нас на законном основании не должно быть ни одной законченно подготовленной бригады, если исходить из документа, потому что у нас весь курс рассчитан на два года, курс первого и второго года. Там или совсем нет человека, который прожил бы два года в одной части, или это редко очень бывает. Выходит якобы ни одной законченной бригады нет. Я прошу внести изменение в бригады Бахрушина и Смышляева, чтобы учить индивидуальной подготовке и работе в составе эскадрильи, отряда. Для этого не обязательно лезть со ступеньки на ступеньку для подготовки бригады. Формально этому нужно положить конец и добиться одновременности того, что совершенно ясно написано на бумаге у Якова Ивановича в штабе. Таким образом, этим двум линиям учить: ты учишь его индивидуально и вводишь в строй. Я убежден, что Яков Иванович будет присылать на курсы всю зиму, а их нужно выпустить в этом году значительно скорее.</w:t>
      </w:r>
    </w:p>
    <w:p w14:paraId="117F3AC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Теперь относительно того, о чем говорил т. Лавров, и то, о чем в течение двух лет я докладывал, товарищ народный комиссар: о пушке на тяжелый самолет. Этот вопрос бесспорный и требующий своего разрешения в самый короткий срок. Иначе что же получается на сегодняшний день. Мы получаем целый ряд тихоходных кораблей, а для стрельбы по ним мы ставим «птички», и если нет данных для стрельбы отрядом, кораблем, флангом, бортом, то получается картина ненормальная. Народный комиссар давал задание о том, чтобы нам поставить пушку, причем должен сказать, что пушек сколько угодно. Пушку нужно поставить, это внесет радикальные изменения.</w:t>
      </w:r>
    </w:p>
    <w:p w14:paraId="58FE323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Следующий вопрос — относительно наставления. Вы помните, Климент Ефремович, что 5 лет тому назад я был освобожден от должности председателя комиссии, которая должна была составлять, составляла и составила один экземпляр устава вождения авиации. Послали его сюда, он затерялся каким-то образом, пропал, и дело было передано соответствующей инстанции. Ведь нельзя же считать нормальным такое положение, когда нет никаких уставов. Документы, которые выпускаются об оперативно-тактической подготовке оперативного факультета ВВА, говорят о технической подготовке инженеров, которая достигается физическим перенапряжением людей. С вопросом оперативной подготовки обстоит из рук вон плохо. Я не назову ни одного человека у себя в округе, окончившего оперативный факультет в Военно-воздушной академии, который блистал бы как генштабист в округе и тянул бы за собой других. Я не назову ни одного генштабиста, ни одного воздушника. Если мы имеем генштабистов подобного рода, то это фрунзенцы, которые пробыли в академии, пробыли в войсках, развернули это дело, интересуются боем. Жить на основе только того, что имеется, трудно. Нужно получить основные документы, нужно заставить академию издать.</w:t>
      </w:r>
    </w:p>
    <w:p w14:paraId="2ADA417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Тут т. Тодорский острил, но я не понял, в чем сущность данной остроты. Было сказано, что раньше был Якир, а теперь стал будто бы другой Якир. Я был Якиром, остался Якиром, ничего не изменилось. Если был плохим командующим, то, значит, остался и плохим командармом. Во мне, как в человеке и работнике, ничего не изменилось.</w:t>
      </w:r>
    </w:p>
    <w:p w14:paraId="120EADB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Тодорский.</w:t>
      </w:r>
      <w:r w:rsidRPr="00E14102">
        <w:rPr>
          <w:color w:val="000000" w:themeColor="text1"/>
          <w:sz w:val="16"/>
          <w:szCs w:val="16"/>
        </w:rPr>
        <w:t xml:space="preserve"> Ответственность повысилась или нет?</w:t>
      </w:r>
    </w:p>
    <w:p w14:paraId="582A97B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Потом вы прочтете лекцию об этом; я понимал всегда всю ответственность, всю свою роль как большевик, для меня ничего не изменилось.</w:t>
      </w:r>
    </w:p>
    <w:p w14:paraId="750A888A"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Какое отношение это имеет к авиации?</w:t>
      </w:r>
    </w:p>
    <w:p w14:paraId="3025002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Теперь относительно методики. Я прошу поставить перед ЦК вопрос о том, чтобы бьшо отменено решение, запрещающее командующим летать.</w:t>
      </w:r>
    </w:p>
    <w:p w14:paraId="1683D94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Правильно.</w:t>
      </w:r>
    </w:p>
    <w:p w14:paraId="5B3304A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Как только сократите аварийность, хотя бы на 80% по сравнению с тем, что мы имеем в этом году, тогда поставлю, сейчас ставить нельзя.</w:t>
      </w:r>
    </w:p>
    <w:p w14:paraId="4F45892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 Я</w:t>
      </w:r>
      <w:r w:rsidRPr="00E14102">
        <w:rPr>
          <w:color w:val="000000" w:themeColor="text1"/>
          <w:sz w:val="16"/>
          <w:szCs w:val="16"/>
        </w:rPr>
        <w:t xml:space="preserve"> хочу объяснить — почему это необходимо. Можно отменить это правило не для всех командующих, а для тех, которые совершают оперативные полевые поездки.</w:t>
      </w:r>
    </w:p>
    <w:p w14:paraId="39AB6FE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До тех пор пока мы не выведем авиацию в положение, когда аварии, или тем более катастрофы, будут очень редкими несчастными случаями в нашей огромной авиации, до тех пор ни мы, ни командующие летать не будем. Правительство об этом слышать не хочет, и, по-моему, делает совершенно правильно. Очень тяжело, очень неприятно, когда мы теряем авиаторов, но совершенно нетерпимо, если мы потеряем командующего. Это слишком большой капитал. Те неудобства, о которых вы говорите, бледнеют по сравнению с тем, что мы будем терять людей. Много ли их? Вот сидят 80 чел. — это вся верхушка Рабоче-крестьянской Красной армии. На фордах в течение года мы потеряли двух командиров дивизий. А вы хотите летать?</w:t>
      </w:r>
    </w:p>
    <w:p w14:paraId="00F045B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 Я</w:t>
      </w:r>
      <w:r w:rsidRPr="00E14102">
        <w:rPr>
          <w:color w:val="000000" w:themeColor="text1"/>
          <w:sz w:val="16"/>
          <w:szCs w:val="16"/>
        </w:rPr>
        <w:t xml:space="preserve"> хочу объяснить, о чем идет речь.</w:t>
      </w:r>
    </w:p>
    <w:p w14:paraId="1CAE2BD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Конечно, было бы удобно, если бы вы летали, и было бы удобно, если бы я летал и появлялся неожиданно там, где захочу. Но вот я не могу этого делать.</w:t>
      </w:r>
    </w:p>
    <w:p w14:paraId="60D45B6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Речь идет о методике. Абсолютно правильно, что методика представляет собой очень серьезное дело. Я считаю наиболее удачным методическим способом обучения авиационную полевую поездку, результаты которой сохраняются на всю жизнь. Пусть любой командир дивизии или командир корпуса, который принимал участие в такой комбинированной полевой поездке, которого ткнули носом по-настоящему в оперативный ход всего дела, начиная с отправки, с аэродрома через железнодорожные узлы, через беседы с начальником станции, через разговоры о том, куда кидать бомбы — нужно ли кидать в пункт управления стрелками или это ни к чему. Начальник станции тут же доложит: если вы разрушите, я буду передвигать руками. Он скажет: не бейте узлы, а бейте другой пункт. Не бейте по башне, потому что у нас подземный водоем, я подаю воду таким-то образом и т.д. Это можно делать иначе, и мы попробуем это делать. Я считаю, что это исключительный метод обучения. В частности, немцы добиваются огромных результатов. На протяжении 5—6 дней вы можете проговорить три темы. Например, начальный период войны (разгром аэродромов противника). Потом железные дороги начинают везти пополнения. Перед этим вы ударите по жизненным пунктам. Когда появляются эшелоны, напряжение растет, а у вас определенные перегоны выбывают из строя</w:t>
      </w:r>
    </w:p>
    <w:p w14:paraId="4DC264C7"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И начальник штаба, и другие товарищи сейчас говорили: у нас выработалась определенная методология взглядов, но она нигде не записана и мы не знаем, правильно ли делаем или нет. Я лично убежден, что правильно. Но наш обмен опытом происходит нетерпимо плохо. Разрешите последнюю фразу отнести к следующему. Я уже бросил раньше реплику Клименту Ефремовичу. Фактически я в своем округе читал со своими командирами о всех маневрах польской армии 1935 г., за исключением одного учения, которое происходило в районе Люблина и где были моторизованные части, куда мы не могли добраться. Маневры в Ровенском районе нами проговорены с командирами. Мы получили от разведывательного отдела Лодзинские маневры, прохождение через Карпаты, полуторамесячные занятия при подготовке к маневрам. Затем маневры на стыке Польши, Румынии и Советского Союза. Ведь вы посмотрите, 7 октября происходят румынские маневры, и уже 3—4 ноября мы разговаривали с нашими командирами по этому поводу.</w:t>
      </w:r>
    </w:p>
    <w:p w14:paraId="35A101D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 xml:space="preserve">Вопрос методики — коренной вопрос. Так почему же нельзя сделать так — у нас было проведено 5 больших учений, в частности по инициативе т. Тухачевского, еще в прошлом году. В этом году Генеральный штаб дал задачу об использовании истребительной авиации по земным целям — ведь это исключительно интересный материал. Из года в год работает громадное количество людей, затрачивается много напряжения, весь этот материал куда-то сходится, но получается так, что я смог прочитать материалы по польским и румынским маневрам, но не могу прочитать материал о Бобруйском опытном учении или о том, что Федько рассказывал здесь. Почему обязательно все это должно обрабатываться в Генштабе РККА? Мы тоже люди с головами. Ведь можно бьшо бы сделать так: Генштаб, получив материал, размножил бы его и послал бы 10—12 экз., я, например, посмотрев его, или забраковал бы, или одобрил, или выбрал бы интересные данные, обработал бы их и сказал, что это проверено. Тогда вопросы методически стали бы иначе. Я бы имел громадное количество материалов и документов, которые на местах проработаны, а сейчас получается совершенно иное. У нас в округе громадное количество занятий; громадное количество занятий проходит и в других округах, и обо всем этом узнаем мы </w:t>
      </w:r>
      <w:r w:rsidRPr="00E14102">
        <w:rPr>
          <w:color w:val="000000" w:themeColor="text1"/>
          <w:sz w:val="16"/>
          <w:szCs w:val="16"/>
        </w:rPr>
        <w:lastRenderedPageBreak/>
        <w:t>только вот здесь; получается будто бы, выходя рассказывать о занятиях и учениях, мы здесь хвастаемся. Надо вопрос проработать и для себя, и сделать его достоянием всей Красной армии.</w:t>
      </w:r>
    </w:p>
    <w:p w14:paraId="7CD1070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вопрос — мы становимся на чрезвычайно ошибочную позицию, когда, судя по отдельным опытам, переходим к оценке всей картины. Вот, например, человек говорит, что у него там-то все самолеты вылетели, или боевые действия бригады хорошие, другие говорят — бригада на старте и сразу вылетает. А потом дают справку — 289 отказов, самолеты не вышли на старт и т.д. и т.п. Я говорю все это в развитие первой части своего выступления. Надо уметь находить нужное, что отлично отработано как элемент и что размножили для ознакомления с этим всей авиации. Я скептик и сомневаюсь, чтобы сегодня можно бьшо бы найти бригаду, в которой 100% самолетов, до единого самолета, через минуту пошли бы в бой. Это невозможная вещь в отношении тяжелых кораблей, это брехня, говоря деликатно. Сразу уткнется в вопрос о радиаторе, о бочке и т.д. Поэтому надо быть осторожным и, исходя из всего сказанного, повышать готовность частей. Я убежден, что ряд округов — и наш округ, и Забайкальский округ, и Приморская группа, и Белорусский округ, особенно могут преподать сегодня целый ряд своих конкретно проработанных материалов. Не надо с ним комиссионировать, а надо разослать их — пусть люди читают. Все эти материалы потом проработаются и будут даны как документ. Чего здесь бояться?</w:t>
      </w:r>
    </w:p>
    <w:p w14:paraId="7A08450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103-105.</w:t>
      </w:r>
    </w:p>
    <w:p w14:paraId="2A4E00EE"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Хрипин.</w:t>
      </w:r>
      <w:r w:rsidRPr="00E14102">
        <w:rPr>
          <w:color w:val="000000" w:themeColor="text1"/>
          <w:sz w:val="16"/>
          <w:szCs w:val="16"/>
        </w:rPr>
        <w:t xml:space="preserve"> Вопросы воздушного боя являлись до сих пор и, к сожалению, на сегодняшний день являются наименее разработанной областью воздушной тактики. До нынешнего года мы не имели ни иностранных, ни сколько-нибудь разработанных своих материалов для того, чтобы решить, в каких группах можно вести воздушный бой, какими приемами следует пользоваться тому или иному роду авиации при ведении группового воздушного боя. Чем объясняется такое положение? Я считаю, что в воздушном бое над авиацией довлеет опыт мировой войны, опыт асов, опыт индивидуального воздушного боя. Мы пытались теоретически построить другие схемы для ведения воздушного боя разными группами, включая даже такие соединения, как бригада или несколько бригад. Но это были только теоретические построения, которые на сегодняшний день опытом Бобруйского учения не подтвердились.</w:t>
      </w:r>
    </w:p>
    <w:p w14:paraId="0D86720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какие вопросы дало ответ Бобруйское учение?</w:t>
      </w:r>
    </w:p>
    <w:p w14:paraId="79D0EF3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1-й вопрос: каким соединением можно эффективно вести воздушный бой с противником? Эскадрильей. Это предельный состав группы, который может действовать своими подразделениями в огневой и тактической связи. Бобруйское учение дало ответ на целый ряд и других, частных, но тем не менее чрезвычайно важных вопросов, а именно:</w:t>
      </w:r>
    </w:p>
    <w:p w14:paraId="5F75590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1) оно позволило нам оценить эффективность огня разных родов авиации при стрельбе по разным целям, земным и воздушным;</w:t>
      </w:r>
    </w:p>
    <w:p w14:paraId="33E487B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2) оно позволило нам оценить значение маневра в воздушном бою;</w:t>
      </w:r>
    </w:p>
    <w:p w14:paraId="6136E66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3) оно наметило способы управления подразделениями во время воздушного боя.</w:t>
      </w:r>
    </w:p>
    <w:p w14:paraId="1231A10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Что установлено в отношении эффективности огня?</w:t>
      </w:r>
    </w:p>
    <w:p w14:paraId="14FAAE4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Во-первых, подтвердилось прежде теоретически рассчитанное положение о том, что пулеметы, неподвижно установленные, дают огонь в 2 раза более меткий, нежели пулеметы подвижные, турельные пулеметы.</w:t>
      </w:r>
    </w:p>
    <w:p w14:paraId="6FFCD0D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Во-вторых, дистанции, с которых нужно и можно вести огонь, к сожалению, определяются максимально в 400-500 м, С 800 и 1000 м истребители, обладающие хорошей огневой подготовкой, в подвижную цель почти не попадают. Процент попадания настолько ничтожен, что нет смысла тратить патроны. Какие здесь абсолютные показатели по эффективности огня истребителей по подвижным целям? Диаметр рассеивания пуль определяется примерно в 2% дистанции стрельбы. Это дает для 400 м величину в 8 м общего рассеивания всех выпущенных пуль. Приведя эти данные к вероятности попадания в 1 кв. м, получим, что истребитель с дистанции в 400 м может в 1 кв. м попасть одной пулей с вероятностью в 7%. По сравнению с этими данными стрельба из турельных пулеметов с дистанции в 400 м дает 12 м. Здесь вероятность попадания в 1 кв. м падает до 3,20%.</w:t>
      </w:r>
    </w:p>
    <w:p w14:paraId="50E52D1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основании Бобруйского учения мы пытались установить эффективность скорострельных пулеметов ШКАС и здесь натолкнулись на большие трудности.</w:t>
      </w:r>
    </w:p>
    <w:p w14:paraId="02FF826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Во-первых, для того чтобы получить от этих скорострельных пулеметов наибольшую эффективность, нужно это оружие в самолетах лучше отладить, лучше управлять самолетом и продолжать усовершенствование самой установки. При дальности огня из ШКАС в 400 м он дал вероятность попадания в 1 кв. м не 7%, а 0,22%. Оказывается, что скоростной истребитель в горизонтальном и вертикальном направлении рыскает гораздо больше, чем истребители со скоростью полета 250 км в час. Это обстоятельство резко увеличивает рассеивание пуль.</w:t>
      </w:r>
    </w:p>
    <w:p w14:paraId="1F3B7CD8"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Во-вторых, скорострельные пулеметы установлены на крыльях, а крылья вибрируют больше, чем фюзеляж, что также увеличивает рассеивание пуль. Поэтому перед нами возникли новые технические задачи, с разрешением которых возможно добиться большей кучности огня.</w:t>
      </w:r>
    </w:p>
    <w:p w14:paraId="48313DD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области отработки маневра для усиленного ведения воздушного боя Бобруйское учение дало следующие данные. Маневр, к которому мы раньше больше всего готовились — выход на фланг, этот маневр современным истребителям не удавался. Из 20 случаев атак только один раз удалось атаковать цель с фланга. Теперь установлено, что типовой атакой, посильной истребителям, является атака с направления плюс-минус 30° на преследующем и встречном курсе. Овладением другими способами выхода на огневую позицию нам сейчас задаваться не следует, а надо хорошо отработать всеми истребителями маневр для выхода именно на это направление. Если в будущем удастся расширить сектор атаки, это будет хорошо, но теперь, в ближайшем периоде обучения, нужно экономить летное время, чтобы овладеть тем, что уже проверено, и расширить свои возможности по поражению противника в воздухе.</w:t>
      </w:r>
    </w:p>
    <w:p w14:paraId="241F3E8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Далее оказалось, что истребители должны атаковать не сверху, а вести атаку в горизонтальной плоскости или находясь ниже ее. Чем это обусловливается? Опять-таки возможностью вести огонь возможно больше времени и с ракурсом цеди, близким к нулю; если истребитель заходит сверху, у него исчезает эта возможность, стрельба ведется короткими очередями и не дает необходимых результатов. Но полеты в одной плоскости невыгодны в том отношении, что здесь нельзя подойти к противнику для короткого удара, а к тяжелому бомбардировщику — в особенности, потому что вследствие работы моторов позади самолета образуется такой вихрь, что ближе 200 м подойти к машине нельзя, так как этот вихрь сбивает истребителя с пути и не позволяет ему прицелиться. Поэтому для скоростных истребителей является целесообразным заход сзади-снизу. В этом случае он приобретает большую внезапность атаки, чем истребитель, летящий ниже цели, так как в лучшем случае обнаруживается за 1000—1500 м, а цель видна за 10—15 км; истребитель получает свободу маневра, чтобы идти в наиболее выгодном направлении и вести длинными очередями меткий огонь.</w:t>
      </w:r>
    </w:p>
    <w:p w14:paraId="5DAD679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Это сопоставление истребителя с тяжелым бомбардировщиком позволяет сделать вывод, который резко говорит в пользу истребителя. Огневые средства истребителя лучше, чем средства на самом лучшем тяжелом бомбардировщике. Поэтому при увеличении размерности цели шансы попадания в эту цель возрастают в пользу истребителя, и даже взаимодействие огня в группе бомбардировщиков не спасает их от поражения.</w:t>
      </w:r>
    </w:p>
    <w:p w14:paraId="606C542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Бобруйское учение показало, что главным средством защиты обороняющегося от огня истребителей является конкретный маневр атакуемой группы; достаточно бомбардировщику развернуться на 30—40°, как уже исчезают все преимущества истребителя. До сих пор мы учили бомбардировщиков летать по прямой, указывая о том, что они могут рассредоточиваться или уплотняться в своем построении в зависимости от обстановки. Теперь надо требовать, чтобы бомбардировщики в своем групповом полете маневрировали зигзагообразно, а если нужно разворачиваться по команде «все вдруг», здесь каждый самолет выполняет свой маневр самостоятельно в группе и оказывается, что этот маневр весьма выгодный.</w:t>
      </w:r>
    </w:p>
    <w:p w14:paraId="36E4B0B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Как в морской тактике.</w:t>
      </w:r>
    </w:p>
    <w:p w14:paraId="7E5C027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Хрипин.</w:t>
      </w:r>
      <w:r w:rsidRPr="00E14102">
        <w:rPr>
          <w:color w:val="000000" w:themeColor="text1"/>
          <w:sz w:val="16"/>
          <w:szCs w:val="16"/>
        </w:rPr>
        <w:t xml:space="preserve"> Правильно. Мы морскую тактику применили в воздухе, и она оказалась чрезвычайно целесообразной. Сопоставление приведенных огневых данных и маневренности обеих сторон позволяет нам прийти к выводу, что бомбардировщику истребитель опасен главным образом сзади и в нижней полусфере.</w:t>
      </w:r>
    </w:p>
    <w:p w14:paraId="2AD792F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Передо мной лежит новый номер французского журнала, в котором приведена характеристика американского 4-моторного бомбардировщика системы «Боинг» тип 229. Самолет имеет скорость в 402 км/час. Конструкция этого самолета с моторами «Пратт-Уитней» по 700 НР позволяет производить установку новых моторов до 1000 НР каждый. И в этом случае максимальная скорость возрастает до 440 км/час. Вооружение этих самолетов состоит из 5 огневых точек, из которых четыре направлены назад. Как видим, американцы уже учли возросшую опасность атак сзади. Наши опыты с совершенной отчетливостью подтверждают правильность решения американских конструкторов в отношении огневой схемы, а это нас, в свою очередь, еще больше убеждает в целесообразности такого расположения огневых точек и на наших самолетах.</w:t>
      </w:r>
    </w:p>
    <w:p w14:paraId="2B2D811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Последний вопрос — это о некоторых тактических приемах по борьбе с воздушным противником. Я считаю, что при таком росте скоростей, который Мы имеем за последнее время, при соотношении этих скоростей не в пользу истребителя, значение воздушного боя несколько падает, и оно будет падать еще больше, поскольку встреча с воздушным противником будет еще больше затруднена. Но это обязывает нас использовать истребителей совместно со всеми другими родами авиации, чтобы, подняв в воздух противника, уничтожать его организованными действиями истребительной авиации. Совместные действия всех родов авиации на неприятельской территории абсолютно необходимы. Равным образом на своей территории необходимы совместные действия истребителей с другими родами авиации по отражению нападений воздушных сил противника. Кроме того, нам абсолютно необходимо овладеть тактикой совместных действий истребительной авиации и зенитной артиллерии; надо использовать все огневые средства — и земные, и воздушные, — включая дистанционные бомбы, применять все способы поражения воздушных целей (в том числе бомбардирование с пикирования) для того, чтобы уничтожать прорвавшегося к нам противника с максимальным эффектом.</w:t>
      </w:r>
    </w:p>
    <w:p w14:paraId="0BBD4EA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105-106.</w:t>
      </w:r>
    </w:p>
    <w:p w14:paraId="787E4E1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Тухачевский.</w:t>
      </w:r>
      <w:r w:rsidRPr="00E14102">
        <w:rPr>
          <w:color w:val="000000" w:themeColor="text1"/>
          <w:sz w:val="16"/>
          <w:szCs w:val="16"/>
        </w:rPr>
        <w:t xml:space="preserve"> Бобруйские учения, которые проводились с целью дать исходные данные для ведения огневого боя в воздухе, должны были ответить и на то, как вооружать самолеты, какие нужны прицелы, какое оружие нужно ставить на эти самолеты и т.д. То, что сказал т. Хрипин в отношении истребителя, совершенно правильно, но я бы сказал, что боевая задача истребителей еще сложнее. Кроме Бобруйских учений нужно еще учесть те данные, которые мы имели на других учениях, и особенно на артиллерийском полигоне в Ленинграде. На Бобруйских учениях и ряде других мы определили, что самая большая ошибка, которую делает летчик, </w:t>
      </w:r>
      <w:r w:rsidRPr="00E14102">
        <w:rPr>
          <w:color w:val="000000" w:themeColor="text1"/>
          <w:sz w:val="16"/>
          <w:szCs w:val="16"/>
        </w:rPr>
        <w:lastRenderedPageBreak/>
        <w:t>касается определения дистанции до противника и определения курса противника. Но в то время как дистанция при настильном огне и тех небольших дистанциях, на которых практически стреляют, не играет решающего значения. Определение курса полета самолета имеет громадное значение и в сумме ошибок, которые делает летчик, эти ошибки определения курса самолета занимают 80%. В связи с этим у нас и идут разработки артиллерийских авиационных прицелов, которые уменьшили бы эти ошибки.</w:t>
      </w:r>
    </w:p>
    <w:p w14:paraId="20863C1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Бобруйских учениях, как ни странно, выяснилось, что определить направление полета бомбардировщика гораздо сложнее, чем бомбардировщику определить направление истребителя. Бомбардировщик представляется очень узкой целью, проектируясь как бы в одной линии, и потому определить направление его полета трудно, и истребитель постоянно делает ошибки. Истребитель же имеет, по сравнению со своими плоскостями, толстый фюзеляж, который выдает его действительный курс. Тов. Хрипин говорил, что в бок истребителю не удавалось атаковать бомбардировщика, и это совершенно понятно. Здесь получается громадная угловая скорость. К сожалению, здесь трудно многого достигнуть тренировкой. Но совершенно ясно, что по сравнению с другими способами атаки этот способ наименее выгодный, он дает наименьшие возможности. Для строев истребителей атака сбоку еще сложнее. Когда командир звена промахивается и начинает доворачивать в ту или другую сторону, то он не только теряет время, на протяжении которого может вести огонь, но благодаря довороту отжимает правый или левый истребитель в сторону, который благодаря этому теряет возможность вести огонь, и звено на одну треть ослаблено. Для отряда результат в случае промаха еще более серьезный, так как возможность вести огонь отпадает для половины отряда (правой или левой). Так что это во всех отношения очень серьезный и сложный вопрос. Пока что наиболее обеспеченный курс для атаки воздушного корабля находится в конусе в 30° по отношению к курсу противника, причем наиболее выгоден конус для подхода сзади (но не вплотную, как об этом и говорил т. Хрипин).</w:t>
      </w:r>
    </w:p>
    <w:p w14:paraId="58BB3A1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 Бобруйских учениях выяснилось, что ТБ-3 — очень «верткий» самолет. Целый отряд ТБ-3 поворачивался на 90° в течение 40 сек. В это время истребители, промахиваясь, проходили мимо. Бой велся ТБ-3 и И-5; были и И-16. Один раз И-16 пробовал атаковать ТБ-3 и сумел атаковать лишь 4 раза на протяжении 40 км пути ТБ-3. Более выгодное соотношение скоростей для истребителя имелось прежде, например, между И-5 и ТБ-3. И-5 имеют по отношению к ТБ-3 более чем полуторное превосходство скоростей. Такое превосходство, конечно, облегчает работу истребителя. Сейчас стало несколько труднее, потому что бомбардировщик дает теперь уже 400 и более километров, а истребитель, хотя и больше 400, и к настоящему моменту подходит даже к 500 км, но все же соотношение создается далеко не таким выгодным. Если даже И-16 не так-то часто удается атаковать ТБ-3, то какова же будет борьба И-16 и, например, СБ? Это первое, что нужно учесть: число атак для истребителя будет невелико. Надо сбивать бомбардировщика с первой же атаки.</w:t>
      </w:r>
    </w:p>
    <w:p w14:paraId="21B1072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Далее, обычно привыкли считать, что если рукав поражен, то, следовательно, и самолет выведен из строя. Однако те опыты, которые проводились много раз, показывают, что для того, чтобы вывести самолет из строя, нужно иметь 30 пулеметных попаданий, или 5 попаданий 20-мм снарядов, или 2 попадания 37-мм снарядов. Исследования еще не закончены, но повторялись эти стрельбы не раз. Только 45-мм снаряд оказывается избыточно мощным для того, чтобы при прямом попадании с первого же раза любой самолет вывести из строя. Если взять эти данные, то получается, что нужно не только попасть в самолет, но нужно всадить в него очень большое количество пуль. Между прочим, для того чтобы вывести из строя мотор, мы думали, что достаточно одного попадания. Оказывается, для этого нужно 2 бронебойно-зажигающие пули или 4 обыкновенные пули. Только после этого мотор выходит из строя. Правда, опыты эти еще не закончены. Мы испытывали только М-17 в нерабочем состоянии и в рабочем состоянии, причем, странная вещь, почему-то во время работы он выдерживает еще больше пуль, чем в нерабочем состоянии. Может быть, мотор воздушного охлаждения будет более подвержен поражению. Это мы еще испытаем.</w:t>
      </w:r>
    </w:p>
    <w:p w14:paraId="1F6C723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Наши скорострельные пулеметы ШКАС дают от 1600 выстрелов в минуту и больше. Опытные образцы давали до 3000, да и сейчас, когда мы на заводе собирали пулеметы из особо хорошо сделанных деталей, то ШКАСы давали 2600 выстрелов. Но качество нашего производства таково, что серийное производство дает пулеметы, выпускающие 1600 пуль и несколько более. Так вот, я беру осторожную цифру 1600 выстрелов и для ШВАКа 20-мм беру 800 выстрелов. Опытные образцы этого автомата давали до 1000 выстрелов в минуту, так что до 800 в серийном производстве мы надеемся дотянуть (на сегодня — около 600 выстрелов). То, о чем я буду говорить дальше, мы просчитали теоретически, но частично провели и практические стрельбы. Практические результаты дают более тяжелые нормы для нашего оружия, чем предполагаемые теоретические.</w:t>
      </w:r>
    </w:p>
    <w:p w14:paraId="1E662B94"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взяли СБ и предположили, что истребитель догоняет его в хвост, т.е. действует в наилучших условиях со скоростью, на 100 км превышающей скорость СБ, и имеет возможность вести огонь по СБ в течение 3 сек. Это очень большая норма времени огневого воздушного боя, которая на самом деле значительно меньше. Так вот, при этой самой выгодной норме для того, чтобы сбить СБ с 200 м, нужно иметь от 2 до 3 ШКАСов или один ШВАК. Для того чтобы сбить СБ с 400 м, нужно иметь от 8 до 11 ШКАСов или от 1 до 3 ШВАКов. Дальше цифры получаются настолько колоссальные, что, чтобы не пугать, я не буду их называть. На сегодняшний день вооружение наших лучших истребителей — это 4 пулемета ШКАС. Сейчас мощность только-только такова, чтобы поражать бомбардировщик примерно с 200 м дистанции. Но, конечно, это не очень-то приличная дистанция. Нужно приложить все меры к тому, чтобы системой вооружения самолета это дело исправить. Почему помимо соображений самозащиты необходимо изыскивать увеличение дистанций? Потому что теперь скорость истребителя настолько велика, нагрузка на человека при виражах так велика, что для того, чтобы сделать вираж на полной скорости И-16, утверждают, что радиус должен быть до 1 км. Следовательно, нельзя рассчитывать, чтобы при этой скорости можно было отвалить вблизи от самолета противника. Если самолет и не развалится, то летчик умрет. Следовательно, или надо сворачивать с большой дистанции, или нужно сбавить скорость, а если сбавлять скорость, то для второй атаки будет потеряно слишком много времени и повторные атаки станут под сомнение.</w:t>
      </w:r>
    </w:p>
    <w:p w14:paraId="50A29BD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А опыты показывают, как я уже говорил, что в реальных условиях, как это, например, имело место на Бобруйских учениях, истребителям удавалось осуществить очень малое число атак. Рассчитывать, что истребитель будет сильно маневрировать около бомбардировщика противника нельзя, наоборот, бомбардировщик имеет возможность уклониться от него. При изменении курса бомбардировщика последний выводится из прицела истребителя, которому нужно заново маневрировать. А при промахах, как я об этом уже говорил, уменьшается общее число стреляющих истребителей: в звене — до 1/3, в отряде — до 1/2. Таким образом, надо вести огонь со сравнительно дальних дистанций, допустимых для данного типа вооружения истребителя и при этом в очень короткие промежутки времени.</w:t>
      </w:r>
    </w:p>
    <w:p w14:paraId="09406C9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Материальной частью нужно пользоваться той, которая имеется. Для наших истребителей, находящихся в строю, наиболее реальная дистанция атаки около 200 м. Но эта цифра требует еще массовой проверки. Авиасоединения должны это уточнить.</w:t>
      </w:r>
    </w:p>
    <w:p w14:paraId="07933B52"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согласен с тем, что говорил т. Якир, что надо атаковать истребителей на смелой атаке. Это, безусловно, истина. Но здесь надо точно представлять себе некоторое отличие современного воздушного боя от боев 1915—1918 гг. Рихтхофен, Гаррис, Фонк</w:t>
      </w:r>
      <w:r w:rsidRPr="00E14102">
        <w:rPr>
          <w:color w:val="000000" w:themeColor="text1"/>
          <w:sz w:val="16"/>
          <w:szCs w:val="16"/>
          <w:vertAlign w:val="superscript"/>
        </w:rPr>
        <w:t>77</w:t>
      </w:r>
      <w:r w:rsidRPr="00E14102">
        <w:rPr>
          <w:color w:val="000000" w:themeColor="text1"/>
          <w:sz w:val="16"/>
          <w:szCs w:val="16"/>
        </w:rPr>
        <w:t xml:space="preserve"> и др. летали на самолетах с небольшой скоростью, вооруженных пулеметом со скорострельностью 600 выстрелов в минуту. Разработанной теории воздушного огневого боя тогда не было. Так вот, эти ассы интуитивно и практически нашли ту дистанцию, с которой они уверенно сбивали самолет противника. Они давали очередь с каких-нибудь 40 м, сбивали противника и после этого легко отваливали. Скорость нашего истребителя не допускает такого маневра, и, с другой стороны, мощность вооружения позволяет достигнуть того же успеха примерно с 200 м. В общем, истребитель, как летающая батарея, в соответствии с мощностью своего вооружения должен открывать огонь с той дистанции, где ему обеспечено 100% поражение. Что можно сделать, чтобы увеличить эту дистанцию? Надо или увеличить скорострельность пулемета, или увеличить число пулеметов на истребителях, или улучшить качество наших прицелов.</w:t>
      </w:r>
    </w:p>
    <w:p w14:paraId="3657776E"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За последнее время в части прицельного хозяйства мы имеем достижения в опытных образцах. Тов. Якир и Уборевич видели на Ногинском полигоне новый прицел для истребителя. Этот прицел дает двойное улучшение действительности стрельбы по сравнению с тем, что имеется у нас. Но это еще опытный образец. Что будет в серийном производстве, пока неизвестно, может быть, качество и понизится. Сейчас подан для испытаний еще лучший образец и разрабатывается образец, от которого ожидается очень высокая производительность. Таким образом, если мы внедрим в производство уже испытанный образец, то наши действующие истребители увеличат дальность атаки до 400 м. Над повышением скорострельности мы работаем, имеются хорошие показатели, но в общем это вопрос будущего (хотя и не далекого). На начальных скоростях я здесь не останавливаюсь, так как на сравнительно небольших дистанциях превалирует значение скорострельности. В ближайшее время наибольшие результаты мы можем получить от усиления вооружения истребителей. Должен сказать, что на это наше требование конст-руктора-самолетчики откликнулись очень охотно.</w:t>
      </w:r>
    </w:p>
    <w:p w14:paraId="548D8B1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Григорович в ближайшее время даст ИП-1</w:t>
      </w:r>
      <w:r w:rsidRPr="00E14102">
        <w:rPr>
          <w:color w:val="000000" w:themeColor="text1"/>
          <w:sz w:val="16"/>
          <w:szCs w:val="16"/>
          <w:vertAlign w:val="superscript"/>
        </w:rPr>
        <w:t>78</w:t>
      </w:r>
      <w:r w:rsidRPr="00E14102">
        <w:rPr>
          <w:color w:val="000000" w:themeColor="text1"/>
          <w:sz w:val="16"/>
          <w:szCs w:val="16"/>
        </w:rPr>
        <w:t xml:space="preserve"> с шестью ШКАСами и доведет его вооружение до 10—12 ШКАСов. За это дело берутся и другие конструктора. При наличии нового прицела шесть ШКАСов увеличат дистанцию атаки до 400-500 м, а 12 ШКАСов — до 600 м. Но основное решение вопроса идет по линии создания пушечного истребителя. То, что говорили т. Якир и Хрипин о необходимости скорейшего получения пушечного истребителя, абсолютно правильно. В первую очередь истребители надо вооружать 20-мм ШВАКом. Это реальная штука. Правда, Ковровский завод мучается с его производством, но надо ожидать, что он его в конце концов поставит. Для уверенного поражения бомбардировщика с 200 м нужно иметь один ШВАК, с 400 — от 1 до 3, с 600 — от 1 до 7. Тов. Туполев на своем многоместном истребителе сейчас ставит 7 ШВАКов. С новым прицелом это увеличит дистанцию возможного боя до 800 м. Пушечный истребитель даст возможность отойти от тех норм огневого боя, к которым мы привыкли. Даже большому числу бомбардировщиков не удастся дать более сильный пушечный огонь, и истребители будут иметь большое преимущество.</w:t>
      </w:r>
    </w:p>
    <w:p w14:paraId="551E63F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еще в прошлом году проводили опытные учения по ведению огня в воздухе, и на основе опытов прошлого года в этом году на Украине, в Московском округе и в Ленинграде проводилось дополнительное изучение. По-моему, у нас на сегодняшний день есть такой материал, что для боя в воздухе мы можем создать хотя бы временную инструкцию, которая чрезвычайно поможет всем нашим соединениям.</w:t>
      </w:r>
    </w:p>
    <w:p w14:paraId="09EE272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106-107.</w:t>
      </w:r>
    </w:p>
    <w:p w14:paraId="1060683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Сначала пару справок. Тут неоднократно привлекали внимание к вопросу о борьбе со штурмовиками. Мы провели несколько опытов по борьбе со штурмовиками. Как высказался Сергей Сергеевич</w:t>
      </w:r>
      <w:bookmarkStart w:id="65" w:name="_ftnref5"/>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"http://istmat.info/node/33262" \l "_ftn5" \o "" </w:instrText>
      </w:r>
      <w:r w:rsidR="00B64C5C" w:rsidRPr="00E14102">
        <w:rPr>
          <w:color w:val="000000" w:themeColor="text1"/>
          <w:sz w:val="16"/>
          <w:szCs w:val="16"/>
        </w:rPr>
        <w:fldChar w:fldCharType="separate"/>
      </w:r>
      <w:r w:rsidRPr="00E14102">
        <w:rPr>
          <w:rStyle w:val="a4"/>
          <w:color w:val="000000" w:themeColor="text1"/>
          <w:sz w:val="16"/>
          <w:szCs w:val="16"/>
        </w:rPr>
        <w:t>[5]</w:t>
      </w:r>
      <w:r w:rsidR="00B64C5C" w:rsidRPr="00E14102">
        <w:rPr>
          <w:color w:val="000000" w:themeColor="text1"/>
          <w:sz w:val="16"/>
          <w:szCs w:val="16"/>
        </w:rPr>
        <w:fldChar w:fldCharType="end"/>
      </w:r>
      <w:bookmarkEnd w:id="65"/>
      <w:r w:rsidRPr="00E14102">
        <w:rPr>
          <w:color w:val="000000" w:themeColor="text1"/>
          <w:sz w:val="16"/>
          <w:szCs w:val="16"/>
        </w:rPr>
        <w:t xml:space="preserve">, самым действительным средством в борьбе против штурмовиков оказалась винтовка. Так, мы проделали целый ряд стрельб по низко подаваемым конусам. По ним стреляли пулеметы, винтовки, В результате ряда стрельб мы взяли лучшие стрельбы и получили следующие </w:t>
      </w:r>
      <w:r w:rsidRPr="00E14102">
        <w:rPr>
          <w:color w:val="000000" w:themeColor="text1"/>
          <w:sz w:val="16"/>
          <w:szCs w:val="16"/>
        </w:rPr>
        <w:lastRenderedPageBreak/>
        <w:t>результаты. 50 чел. пехотинцев за время, пока проносили над ним конуса, дали около 200 пуль, показав 4% попадания в конуса. При этих же условиях подачи конусов были поставлены две счетверенные пулеметные установки, т.е. 8 стволов, причем они стояли на установках и оставалось только наводить. Пулеметы дали 1% попадания при выпуске тоже около 200 пуль. Очевидно, не так легко пулеметы наводить. Что получится, если сделать расчет? Допустим, штурмовики летят вдоль колонны батальона и в нее бросают бомбы. В этом случае батальон в составе 600—700 чел. может рассчитывать на попадание в самолеты типа Р-5 до 100 патронов, а это опасно потому, что 20—30 пуль выводят из строя самолет. Проделав этот опыт, мы довольно много занимались тем, чтобы обеспечить штурмовиков при атаке.</w:t>
      </w:r>
    </w:p>
    <w:p w14:paraId="5D8A110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А какая скорость?</w:t>
      </w:r>
    </w:p>
    <w:p w14:paraId="14BBB1E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Скорость 150-140 км. Я докладываю то, что мы имеем при теперешних самолетах. При других скоростях положение будет выгоднее для самолета. Проделав эти опыты, мы, с другой стороны, занялись тем, как обеспечить атаку штурмовиков. Мы применяли разными способами дымы с той целью, чтобы создать над колоннами дымовую крышу, чтобы бросать бомбы через нее и избежать, таким образом, поражения штурмующих самолетов. Но те приборы, которыми мы располагаем, и те дымы, которые имеются, дают вертикальную завесу, и опыты не увенчались успехом, дымовую крышу мы не смогли получить. В отдельные моменты колонна не всегда может стрелять, а стреляет только часть колонны. Но значительная часть стрелков все же получает возможность стрелять. Поэтому нужно придумать способ, чтобы можно было образовать дымовую крышу.</w:t>
      </w:r>
    </w:p>
    <w:p w14:paraId="7FA4B08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Для защиты пехоты?</w:t>
      </w:r>
    </w:p>
    <w:p w14:paraId="6C14FB1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Для прикрытия последующих атакующих самолетов. Какое-то атакующее подразделение должно поставить дымы, а другие, идя над дымом, будут бросать бомбы.</w:t>
      </w:r>
    </w:p>
    <w:p w14:paraId="7BF094B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Сергей Сергеевич проектирует для пехоты дымовые приборы, которые бы давали возможность создавать крышу, которая бы прикрывала самолет.</w:t>
      </w:r>
    </w:p>
    <w:p w14:paraId="57860CB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Поднятие тумана.</w:t>
      </w:r>
    </w:p>
    <w:p w14:paraId="4CA2B966"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Тогда самолет будет идти над туманом и бросать бомбы и поливать ОВ, а надо сказать, что бомбы и ОВ страшнее, чем стрельба пулеметов. Бомбами и ОВ мы наносим больше вреда, чем пулеметным огнем. Далее, мы провели такие опыты. Сейчас развито сбрасывание воздушных парашютных десантов. У многих общевойсковых начальников было мнение, что если десант попадет под стрельбу пулеметов и винтовок, то он будет перестрелян раньше, чем достигнет земли. Мы проделали такой опыт — сбросили некоторое количество болванок под огнем ручных и станковых пулеметов и хороших стрелков, которые стреляли по этим болванкам на расстоянии 500, 600, 700 и более метров. Попадание в болванки было нулевое. Единственно, куда попадали, так это в купол, причем стрелок был инструктирован, что он должен прицеливаться так, чтобы поражать болванки. Если простреляешь купол, так все равно парашютист дойдет невредимым до земли. Мы спускали до 10 болванок в одной группе, и по такой группе стреляло 50 стрелков и до 10 пулеметов. Отсюда можно сделать вывод, что в этом отношении нет опасности.</w:t>
      </w:r>
    </w:p>
    <w:p w14:paraId="19AF4DA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Это неверно.</w:t>
      </w:r>
    </w:p>
    <w:p w14:paraId="7541EF94"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Я вам докладываю, исходя из опыта, который мы провели. Такие результаты объясняются тем, что, во-первых, происходит снижение вниз со скоростью до 7 м/с и, во-вторых, происходит раскачивание парашютиста в стороны, благодаря чему нельзя выбрать точку прицеливания. Все парашютисты были довольны этим обстоятельством. Для того чтобы в этом убедились парашютисты, мы предложили одной роте парашютистов стрелять по болванкам, что они и проделали.</w:t>
      </w:r>
    </w:p>
    <w:p w14:paraId="7D90F5A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Я хочу затронуть один, может быть, мелкий вопрос, но который имеет большое значение в боевой деятельности авиации — вопрос о мелкоосколочных бомбах. В имеющихся описаниях значится, что</w:t>
      </w:r>
    </w:p>
    <w:p w14:paraId="3D2CEF4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8- и 10-килограммовые осколочные бомбы поражают в радиусе до 50 м. На большом количестве учений по мишеням мы обнаружили, что это не подтверждается. 10-кг осколочная бомба надежно поражает в пределах до 15 м, за исключением отдельных осколков, поражающих на большем расстоянии. Возникает вопрос, о котором докладывал т. Хрипин, по заграничному опыту, что наша 8- или 10-кг бомба является несовременной — 10 кг большой вес, а убойное действие незначительно. Имея этот общий вес, но сведя дело к 1—2-кг осколочным бомбам, можно получить в 5 раз большое убойное действие сравнительно с 10-кг бомбами. Соответствующее задание мы дали рационализаторам и конструкторам в округе, но я боюсь, что с этим делом мы сами не справимся. Надо этим делом заняться в центре.</w:t>
      </w:r>
    </w:p>
    <w:p w14:paraId="7FE4F22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Тов. Алкснис поставил ряд больших вопросов, и все они, как мне кажется, не вызывают сомнения; я к ним присоединяюсь. Тов. Алкснис положительно отметил наши учения и приемы в операции по уничтожению авиации противника, в борьбе по уничтожению авиации на его аэродромах. Дополнительно в этом свете я выдвигаю один большой вопрос. В пределах имеющегося у меня времени я не смогу как следует доложить, поэтому просил бы этот вопрос рассмотреть еще отдельно. Мне кажется, что теперешняя система разбросанных полевых аэродромов, на которых будут сидеть отдельные эскадрильи, эта система самостоятельных аэродромов очень слабо защищена. Как правило, их легко можно захватить 2—3 ротами десанта, перебить людей, самолеты, уничтожить запасы, которые там находятся. Не каждый полевой аэродром располагает зенитной обороной, нет истребителей, нет прожекторов, поэтому разведка и нападающая авиация противника может действовать нахально и безнаказанно.</w:t>
      </w:r>
    </w:p>
    <w:p w14:paraId="0D2B91B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С другой стороны, попытка использовать наши бригадные аэродромы типа Витебского и Оршанского, где на одной площадке находится свыше 100 самолетов, но которые лучше защищены, грозила бы нам большими неприятностями, т.к. такое скопление самолетов на одном аэродроме облегчает их поражение, да, кроме того, и сам аэродром может быть поврежден в такой степени, что с него нельзя будет работать. По этим соображениям, а также по соображениям удобства управления авиацией у меня возникает мысль создать воздушную базу, в которую входили бы 2, 3, 4 бригады и которые базировались бы на сети так называемой группы внутренних аэродромов, порядка 6, 7, а может быть, и 8 аэродромов, находящихся под общей истребительной, зенитной и прожекторной защитой, а также под защитой аэростатов заграждения. Обязательно в составе такой воздушной базы должна быть крупная истребительная часть, желательно бригада. Эти внутренние аэродромы должны иметь внешнее окружение, группу внешних аэродромов порядка 8, 10 аэродромов, удаленных от базы на 20—50 км и используемых в мирное время для учебы авиачастей, вводящих в базу, а в военное — в качестве запасных для всякого рода случайностей.</w:t>
      </w:r>
    </w:p>
    <w:p w14:paraId="5B81427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Мне кажется, что если таким образом организовать эти воздушные базы, то мы сразу улучшим управление авиацией, мы лучше защитим наши аэродромы от воздушных и наземных (десантов) войск противника. Порча отдельных аэродромов базы, что сопряжено с большими трудностями для противника ввиду сильной защиты базы, не представляет опасности, т.к. авиачасти используют прочие аэродромы базы, которых всего насчитывается 15—20 штук. Разумеется, что восстановление поврежденных аэродромов лучше будет обеспечено в базе, чем в обстановке полевых аэродромов или бригадных. Мне кажется, что такую базу, хорошо организованную, можно и необходимо устраивать возможно ближе к фронту, конечно, на надежно прикрытых направлениях (например, за УР), что обеспечит наиболее эффективное использование нашей авиации. Опасаться воздушной базе этой близости к фронту не приходится, т.к. она может и должна иметь достаточное количество истребителей, хорошее зенитное прикрытие и другие средства защиты, там могут быть сконцентрированы запасы дегазации и прочее. Я ставлю этот вопрос только в таком порядке, чтобы привлечь к нему внимание, записать его в порядок опытных учений и где-нибудь организовать опытную воздушную базу. Если бы это дело себя оправдало бы, в чем я надеюсь, то этот вопрос можно было бы обсудить уже серьезно.</w:t>
      </w:r>
    </w:p>
    <w:p w14:paraId="08E093A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вопрос. Тов. Алкснис и т. Хрипин здесь докладывали о наиболее выгодных группах, авиаподразделениях для производства бомбометания в условиях возможной встречи с авиацией противника. Ряд учений показывает, что увлечение, которое было еще год-два тому назад, ходить бригадными группами, уже проходит. Я помню, что на некоторых учениях даже прорабатывали нападение на очень крупный объект колонной самолетов примерно в 800-900 штук, и вся эта колонна шла одной армадой. Это отражало доктрину Дуэ</w:t>
      </w:r>
      <w:bookmarkStart w:id="66" w:name="_ftnref6"/>
      <w:r w:rsidR="00B64C5C" w:rsidRPr="00E14102">
        <w:rPr>
          <w:color w:val="000000" w:themeColor="text1"/>
          <w:sz w:val="16"/>
          <w:szCs w:val="16"/>
        </w:rPr>
        <w:fldChar w:fldCharType="begin"/>
      </w:r>
      <w:r w:rsidRPr="00E14102">
        <w:rPr>
          <w:color w:val="000000" w:themeColor="text1"/>
          <w:sz w:val="16"/>
          <w:szCs w:val="16"/>
        </w:rPr>
        <w:instrText xml:space="preserve"> HYPERLINK "http://istmat.info/node/33262" \l "_ftn6" \o "" </w:instrText>
      </w:r>
      <w:r w:rsidR="00B64C5C" w:rsidRPr="00E14102">
        <w:rPr>
          <w:color w:val="000000" w:themeColor="text1"/>
          <w:sz w:val="16"/>
          <w:szCs w:val="16"/>
        </w:rPr>
        <w:fldChar w:fldCharType="separate"/>
      </w:r>
      <w:r w:rsidRPr="00E14102">
        <w:rPr>
          <w:rStyle w:val="a4"/>
          <w:color w:val="000000" w:themeColor="text1"/>
          <w:sz w:val="16"/>
          <w:szCs w:val="16"/>
        </w:rPr>
        <w:t>[6]</w:t>
      </w:r>
      <w:r w:rsidR="00B64C5C" w:rsidRPr="00E14102">
        <w:rPr>
          <w:color w:val="000000" w:themeColor="text1"/>
          <w:sz w:val="16"/>
          <w:szCs w:val="16"/>
        </w:rPr>
        <w:fldChar w:fldCharType="end"/>
      </w:r>
      <w:bookmarkEnd w:id="66"/>
      <w:r w:rsidRPr="00E14102">
        <w:rPr>
          <w:color w:val="000000" w:themeColor="text1"/>
          <w:sz w:val="16"/>
          <w:szCs w:val="16"/>
        </w:rPr>
        <w:t>.</w:t>
      </w:r>
    </w:p>
    <w:p w14:paraId="2A8DF44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Многочисленное количество наших занятий показало, что это очень опасно, что это очень неудобно. Даже бригадная колонна легко засекается системой ПВО и ВНОС противника, очень далеко виден путь движения такой колонны, легко проследить ее путь. Поэтому ее продвижение в глубь территории противника становится затруднительным, ее постепенно начинают обволакивать самолеты противника, начинают бить и кромсать колонну и тогда, помимо всего прочего, это производит большое моральное потрясение, т.к. в результате потерь и выпадения из общего строя ряда самолетов наступает известное расстройство целого — данной колонны. Другое дело, когда идет ряд мелких групп. В этом случае гибель одних не вызывает морального подавления остальных, а в некоторых случаях они могут быть и не осведомлены о том, что произошло. Когда большая воздушная колонна идет в едином общем строю, а из этого строя вырывают один кусок за другим, то наступает расстройство в колонне, вслед за этим наступает и моральное расстройство.</w:t>
      </w:r>
    </w:p>
    <w:p w14:paraId="22E1ADAD"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Практически так никогда не проводилось.</w:t>
      </w:r>
    </w:p>
    <w:p w14:paraId="46D083D0"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w:t>
      </w:r>
      <w:r w:rsidRPr="00E14102">
        <w:rPr>
          <w:color w:val="000000" w:themeColor="text1"/>
          <w:sz w:val="16"/>
          <w:szCs w:val="16"/>
        </w:rPr>
        <w:t xml:space="preserve"> Встает вопрос о том, чтобы и воздух перевести на групповую тактику, решительно отказаться от действий по методу армады в составе общей бригадной колонны.</w:t>
      </w:r>
    </w:p>
    <w:p w14:paraId="485DA4B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Если бы пришлось делать налет на очень крупный объект, как бы вы поступили?</w:t>
      </w:r>
    </w:p>
    <w:p w14:paraId="4B84FEBC"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Лапин. Я</w:t>
      </w:r>
      <w:r w:rsidRPr="00E14102">
        <w:rPr>
          <w:color w:val="000000" w:themeColor="text1"/>
          <w:sz w:val="16"/>
          <w:szCs w:val="16"/>
        </w:rPr>
        <w:t xml:space="preserve"> рассказываю то, что было на играх и занятиях и что можно встретить. Я предлагаю перенести групповую тактику и в воздух, подобно тому, как на земле сменили линейные порядки на групповую тактику. Встает вопрос: каков должен быть размер первичной единицы, которая имеет достаточную сопротивляемость в воздушном бою? Для выявления этого вопроса было проведено несколько учений с боевой стрельбой групп по 7, 9, 12 и по 15 самолетов, а также в составе полной эскадрильи. Оказалось, что если в группе иметь больше 15 самолетов, то они занимают настолько широкий или глубокий строй, что если противник атакует левый фланг, то правый в отражении атаки огнем участие принять не может, т.к. он (противоположный фланг) слишком удален. Наиболее удобными оказались группы в составе 9—15 самолетов. Группа этого состава является маневренной группой и первичной единицей групповой тактики в воздухе. Далее, дело заключается в том, чтобы одновременно сосредоточить такое количество групп, которое необходимо для поражения избранного объекта. Эти группы надо направить по разным высотам и по возможности с разных сторон.</w:t>
      </w:r>
    </w:p>
    <w:p w14:paraId="482D4E9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Мы проводим подобные учения. Так, например, мы проводили налет методом групповой тактики на цель, прикрываемую истребительной эскадрильей и обслуживаемую кольцом ВНОС. Налет производился несколькими группами, шедшими в общем с одного направления, причем на средней высоте (2—2</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xml:space="preserve"> тыс. м). </w:t>
      </w:r>
      <w:r w:rsidRPr="00E14102">
        <w:rPr>
          <w:color w:val="000000" w:themeColor="text1"/>
          <w:sz w:val="16"/>
          <w:szCs w:val="16"/>
        </w:rPr>
        <w:lastRenderedPageBreak/>
        <w:t>Шли 2 демонстративные группы несколько впереди остальных для привлечения на себя истребителей противника, 3 группы шли на бреющем полете и 2 группы — на высоте около 5000 м — всего, таким образом, до 80 самолетов. В этих условиях истребители обороны теряются, и, как правило, удалось получать их на приманку. Истребители ввязались в бои с демонстративными группами и преследовали их, а в это время низколетящие и высотные группы делали свое дело — бросали бомбы на объект атаки. Во многих случаях большинство нападающих групп уходили без серьезного воздушного боя и часть даже не преследовалась. Надо сказать, что такой вид действия заслуживает большого внимания.</w:t>
      </w:r>
    </w:p>
    <w:p w14:paraId="0D2D881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Организация управления. Управление нашей авиацией до бригады включительно организационно обеспечено. Имеющиеся на этом участке недостатки вытекают из недостатков обучения и воспитания. Что касается управления соединениями свыше бригады, то, кроме недостатков в управлении, вытекающих из неполноценной учебы, здесь дело кроется и в неорганизованности управления такими соединениями. Встает вопрос о том, чтобы сорганизовать это управление. Если приглядеться к опыту нашего соседа, к японцам, как они этот вопрос решают, то мы увидим, что до последнего времени имели только авиационные полки, которые в общем соответствуют нашим бригадам, а теперь на наших глазах они создали авиационные бригады, куда входят два-три полка. Таким образом, они объединили в своей бригаде до 300 легких самолетов, тогда как наша бригада объединяет 100-120 самолетов. Японская бригада располагает штабом и соответствующими средствами связи. По данному вопросу я обратился к изучению опыта конца мировой войны, когда уже было значительное количество самолетов на французском театре военных действий. Там англичане имели бригады, которые по своей организации сильно отличаются от теперешней нашей организации. Англичане имели эскадрильи по 16-24 самолетов, которые сводились в «крылья», причем в каждое «крыло» входили 2—4 эскадрильи, а от 2 до 4 «крыльев» составляли бригаду. Таким образом, английские бригады к концу мировой войны также были способны к управлению и соединению действий 300—350 легких самолетов. Это заслуживает особого внимания потому, что в то время на войне еще не возникало столько трудностей в управлении и боевом применении авиации, как теперь. Тогда авиация зависела больше от общевойсковых штабов, она управлялась главным образом этими штабами.</w:t>
      </w:r>
    </w:p>
    <w:p w14:paraId="26CBD1BF"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Как известно, Франция к концу мировой войны вынуждена была создать воздушную дивизию, которая объединяла до 600 самолетов. Мне кажется, что для того, чтобы поднять сейчас дело управления авиацией, кроме бригад необходимо создание в первую очередь для легкой авиации, таких соединений, которые были бы способны к управлению большими массами самолетов, большими, чем 100— 150 самолетов. Мое мнение, что создание однотипных соединений (напр., корпусов, но я не настаиваю именно на этом названии), было бы нецелесообразно, потому что ведение воздушной операции нам показывает, что нельзя вести их только одной легкой авиацией, нельзя вести их только одними истребителями и т.д., что приходится применять разного вида авиацию в теснейшем взаимодействии.</w:t>
      </w:r>
    </w:p>
    <w:p w14:paraId="743A66F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Поэтому возникает необходимость создания смешанных из разных видов авиации воздушных корпусов, которые обеспечивали бы нам управление авиацией в воздушной операции. Хочу поделиться одним нашим опытом в области организации управлении эскадрильей и бригадой. Мы создали в порядке опыта звенья управления в бригаде и эскадрилье. Наших командиров мы сейчас, т. народный комиссар, по вашему приказу перестраиваем. Но пока они не очень хорошо владеют радиосвязью в воздухе, не очень хорошо владеют расчетами и приемами штурмана и бомбардира. Лучше этими делами владеют соответственно начальник связи и штурман. Поэтому перед нами возникла такая проблема — нельзя ли этих лиц соединить в воздухе вместе, чтобы они работали как один коллектив, как штаб в полете. И нам удалось организовать такую тройку самолетов. На одном центральном самолете сидит пилот и командир части, дальше — пилот и начальник связи и еще дальше — пилот и штурман. Мы всю эту тройку поднимаем в воздух, имея между ними телефонную связь по проволоке. Мы в воздухе разрывали эту связь и снова восстанавливали. Таким образом, у нас в воздухе совместно работают командир части или соединения, его начальник связи и штурман, что обеспечивает управление легкой авиацией в воздухе.</w:t>
      </w:r>
    </w:p>
    <w:p w14:paraId="7F8D4F72"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108-110.</w:t>
      </w:r>
    </w:p>
    <w:p w14:paraId="6B2DC55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Лонгва.</w:t>
      </w:r>
      <w:r w:rsidRPr="00E14102">
        <w:rPr>
          <w:color w:val="000000" w:themeColor="text1"/>
          <w:sz w:val="16"/>
          <w:szCs w:val="16"/>
        </w:rPr>
        <w:t xml:space="preserve"> Вопрос о самостоятельных действиях крупных соединений авиации ставит очень большие задачи перед связью. Задачи эти частично мы уже разрешили, но еще больше задач остаются неразрешенными.</w:t>
      </w:r>
    </w:p>
    <w:p w14:paraId="55F7ACD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Управление в воздухе крупными массами авиации требует уже на сегодняшний день наличия не только отдельных станций на отдельных самолетах, а подчас крупных узлов связи, создаваемых на флагманских кораблях. Увеличение скоростей, дальностей и потолков потребовало от нас пересмотра почти всех средств связи авиации, создания новой аппаратуры радиовождения. Жизнь требует комплексного решения, причем по-новому, вопросов средств связи и радиовождения самолета и земли (аэродрома) и в то же время обеспечения устойчивого взаимодействия Воздушных сил с наземными войсками и морским флотом.</w:t>
      </w:r>
    </w:p>
    <w:p w14:paraId="19AE63B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Последние достижения авиационной техники поставили перед нами задачу отказа от ветрянки, как источника энергии для наших радиостанций. В настоящий момент мы перешли к единым источникам питания, к работе всего электрооборудования от моторных приводов. Таким образом, нам пришлось все наше ради-вооружение изменить. Кроме того, перед нами встала задача создания новых самолетных станций на совершенно иных основах. Мы должны своими радиостанциями обслуживать как сухопутные самолеты, так и морские. Создавать слишком много радиостанций невыгодно. Перед большей частью морских самолетов стоит задача взаимодействия с подлодками и управление подлодками. Наши сегодняшние коротковолновые радиостанции этого не позволяют делать. Короткая волна в подлодку в погруженном состоянии не проникает. Мы разработали на сегодня станцию с комбинированным диапазоном, которую можно использовать и в Сухопутных, и в Морских силах.</w:t>
      </w:r>
    </w:p>
    <w:p w14:paraId="52331786"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Перед нами встал целый ряд задач, вытекающих из достижений воздушной техники, а именно из значительного увеличения скорости самолета. Пришлось пересмотреть все наши антенные устройства, которые не соответствовали скоростям и не допускали нормальной работы радиостанции. В крупных авиасоединениях мы не можем ограничиться только одной линией связи. В тяжелых соединениях перед командиром соединения встает вопрос одновременного управления своими колоннами или отрядами, которые идут где-то на большом расстоянии или на большом промежутке времени и теми отрядами, которые находятся поблизости. Связь эта должна работать одновременно, командир должен одновременно получать сведения от разведывательных органов, от органов обеспечения, и в то же время должен отдавать распоряжения и принимать донесения от своих подчиненных командиров. Этот вопрос разрешен таким путем, что разработаны и спущены в производство специальные самолетные радиостанции на ультракоротких волнах. Таким образом, мы решаем вопрос одновременно оперативной связи на большом расстоянии и ближней связи внутри своего соединения.</w:t>
      </w:r>
    </w:p>
    <w:p w14:paraId="0D1A5F8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Кроме радиосредств, применяемых для связи, развернута широкая работа по радиосредствам, которые называются средствами радиовождения, обеспечивающим ориентировку вождения, выход на свои аэродромы, вождение по курсу в тумане, ночью, разработали приборы, которые называются радиокомпасом и полукомпасом. Прибор этот позволяет ориентироваться на свою станцию или на станцию противника, если вы знаете заранее волну, на которой работает своя станция и станция противника. С компасом пока еще дело неудачно. Это мы дорабатываем. На будущий год мы переходим к прибору, несколько менее совершенному, но переходим к прибору, который имеет огромное преимущество по весу. Если радиокомпас весит 85 кг, то полукомпас, который обладает почти теми же свойствами, весит всего без приемника 3</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xml:space="preserve"> кг и с приемником 8</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xml:space="preserve"> кг. Таким образом, полукомпас мы можем ставить на огромном большинстве наших самолетов.</w:t>
      </w:r>
    </w:p>
    <w:p w14:paraId="47D05EF7"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Это магнитный компас.</w:t>
      </w:r>
    </w:p>
    <w:p w14:paraId="1FD81328"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Лонгва.</w:t>
      </w:r>
      <w:r w:rsidRPr="00E14102">
        <w:rPr>
          <w:color w:val="000000" w:themeColor="text1"/>
          <w:sz w:val="16"/>
          <w:szCs w:val="16"/>
        </w:rPr>
        <w:t xml:space="preserve"> Он ориентирует самолет на станцию. Стрелка на циферблате показывает направление станции. Если самолет отклоняется от этого направления, то и стрелка отклоняется на соответствующее количество градусов. Таким образом, при помощи такого прибора самолеты могут ориентироваться в воздухе и в плохую погоду. Кроме того, они могут совершать слепую посадку на свои аэродромы, если на земле установить дополнительные радиостанции с соответствующим приспособлением.</w:t>
      </w:r>
    </w:p>
    <w:p w14:paraId="3F63AED0"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Наряду с этим перед нами встал вопрос, о котором говорили здесь т. Алкснис и Ткачев, — необходимость пересмотреть на военное время мобилизацию соответствующей проводной сети связи, которая обслуживает хозяйственно-политические интересы в мирное время. При современных условиях мобилизация этой сети и перевод ее на военные условия потребуют значительных сроков. Поэтому мы разработали соответствующий проект оборудования театра уже в мирное время. Что такая связь дает? Во-первых, она дает нам огромный выигрыш в сроках. Во-вторых, эта связь заранее уже приспосабливается к вероятным трассам перелетов. В результате мы выигрываем две вещи. Во-первых, мы имеем возможность в значительной степени отказаться от радио. Если, управляя в воздухе, не можем отказаться от радио, так как других средств нет, то при сосредоточении или перебазировании авиации, несомненно, наиболее выгодным будет отказаться от радио. При современных средствах радиоразведки очень легко и очень быстро можно зафиксировать крупные перегруппировки независимо от того, на земле это или в воздухе. Если даже не будет установлено количество самолетов, то будет зафиксировано, что самолеты производят перегруппировку и появляются новые радиосети на земле. При наличии оборудованной проводной сети мы от этой опасности ускользаем.</w:t>
      </w:r>
    </w:p>
    <w:p w14:paraId="6E362DC3"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Третий момент, на котором надо здесь остановиться и на котором частично останавливался Сергей Сергеевич Каменев, это вопрос о том, что самостоятельные операции крупных масс авиации предъявляют совершенно новые требования вопросам оповещения, обслуживания связью ПВО. При современных скоростях самолетов такие нормы оповещения, какие мы имеем на сегодняшний день в крупных пунктах ПВО — 7,4 и 3 мин., конечно, не годятся.</w:t>
      </w:r>
    </w:p>
    <w:p w14:paraId="2F8687A1"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Второй вопрос — это управление истребительной авиации в пределах пункта ПВО или в армии. Оба эти вопроса до сегодняшнего дня были разрешены неудовлетворительно. В отношении управления истребительной авиации мы добились положительных результатов. В 1936 г. мы получаем истребительную радиостанцию весом всего около 16 кг с дальностью действия телефона на 75 км и с автоматическим телеграфным ключом до 150 км.</w:t>
      </w:r>
    </w:p>
    <w:p w14:paraId="570DF3A5"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области улучшения оповещения. Мы пошли по линии значительного усовершенствования проволочных средств, которые главным образом затрудняют работу ПВО. Мы поставили перед собой задачу разработки новых средств, не применяющихся для общегосударственных целей. Во-первых, разработан авто-ВНОС, образец готов, нами принят и дал хорошие результаты. Это прибор, который одновременно дает сигнал в течение 40 сек. на промежуточный пункт (ВГП), где сидит командир и собирает донесения, и на центральный пункт (ГП), например Ленинград, Баку. Таким образом, на светопланах, и промежуточном, и центральном, одновременно появляются сигналы о движении самолетов, и вся операция занимает не больше 40 сек. или последовательным освещением квадрата.</w:t>
      </w:r>
    </w:p>
    <w:p w14:paraId="4D48D7B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Курс какой?</w:t>
      </w:r>
    </w:p>
    <w:p w14:paraId="7E8821A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Лонгва.</w:t>
      </w:r>
      <w:r w:rsidRPr="00E14102">
        <w:rPr>
          <w:color w:val="000000" w:themeColor="text1"/>
          <w:sz w:val="16"/>
          <w:szCs w:val="16"/>
        </w:rPr>
        <w:t xml:space="preserve"> Курс? Можно показать стрелой, это несерьезный вопрос.</w:t>
      </w:r>
    </w:p>
    <w:p w14:paraId="477F066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Стрелой не показывает.</w:t>
      </w:r>
    </w:p>
    <w:p w14:paraId="6F24E931"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Лонгва.</w:t>
      </w:r>
      <w:r w:rsidRPr="00E14102">
        <w:rPr>
          <w:color w:val="000000" w:themeColor="text1"/>
          <w:sz w:val="16"/>
          <w:szCs w:val="16"/>
        </w:rPr>
        <w:t xml:space="preserve"> Это вопрос сейчас второстепенный, так как система све-топланов пересматривается.</w:t>
      </w:r>
    </w:p>
    <w:p w14:paraId="7612E5D9"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Для ПВО нам никогда не удастся построить свою самостоятельную сеть, это слишком сложно, государство не выдержит. Мы вынуждены использовать государственную сеть и очень часто провода, занятые для оперативных целей, авиации и проч. Мы разработали целый ряд приборов, которые выполняют ряд функции. Первый прибор — это телеграфирование и телефонирование по занятым проводам в тот пункт, куда нужно дать сигнал.</w:t>
      </w:r>
    </w:p>
    <w:p w14:paraId="4E08A925"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С какого пункта?</w:t>
      </w:r>
    </w:p>
    <w:p w14:paraId="3D4DDF43"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Лонгва.</w:t>
      </w:r>
      <w:r w:rsidRPr="00E14102">
        <w:rPr>
          <w:color w:val="000000" w:themeColor="text1"/>
          <w:sz w:val="16"/>
          <w:szCs w:val="16"/>
        </w:rPr>
        <w:t xml:space="preserve"> С любого на 120 км от пункта приема.</w:t>
      </w:r>
    </w:p>
    <w:p w14:paraId="6F7AD99D"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Второе — прибор этот автоматический переключатель. С НП часто имеется связь только до промежуточного пункта, а дальше вы должны требовать, чтобы вас переключали, вы теряете минуты или десятки минут. Мы изобрели автоматический переключатель. Вы нажимаете соответствующий переключатель, и вы сами переключаете провод на ваш аппарат. Для примера, у вас конечный пункт под Киевом в Коростене, промежуточный пункт в Малино, Вы хотите получить Киев. Вы не требуете, чтобы вас в Малине переключали, а сами переключаете автоматический выключатель в Малино и берете провод на Киев.</w:t>
      </w:r>
    </w:p>
    <w:p w14:paraId="56FB58CA"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Таким образом, вопросы ПВО с точки зрения увеличения скоростей авиации противника нашли серьезное отражение в нашей работе. И мы думаем, если правительство утвердит программу (правда, промышленность сильно сопротивляется), то целый ряд важнейших пунктов мы сможем оборудовать этими средствами.</w:t>
      </w:r>
    </w:p>
    <w:p w14:paraId="038A27DC"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отношении отработки вопросов организации связи и тренировки. В авиации имеем серьезные достижения в отношении отработки вопросов радиосвязи. Но мы на сегодня не отработали вопросов управления в воздухе крупными массами авиации. Все, что мы делаем, — это только подготовительная тренировка к тому, что нужно на самом деле. Мы не отработали обслуживания связью перебазирования крупных соединений авиации, действий крупных авиасоединений, работающих с различных аэродромов. Не отработаны вопросы перемещения земных средств связи, мы еще не знаем, как этот тяжелый хвост на земле будет располагаться и перемещаться.</w:t>
      </w:r>
    </w:p>
    <w:p w14:paraId="6627DAAB" w14:textId="77777777" w:rsidR="00970104" w:rsidRPr="00E14102" w:rsidRDefault="00970104" w:rsidP="00E14102">
      <w:pPr>
        <w:pStyle w:val="rtejustify"/>
        <w:spacing w:before="0" w:after="0"/>
        <w:rPr>
          <w:color w:val="000000" w:themeColor="text1"/>
          <w:sz w:val="16"/>
          <w:szCs w:val="16"/>
        </w:rPr>
      </w:pPr>
      <w:r w:rsidRPr="00E14102">
        <w:rPr>
          <w:color w:val="000000" w:themeColor="text1"/>
          <w:sz w:val="16"/>
          <w:szCs w:val="16"/>
        </w:rPr>
        <w:t>В 1936 г. эти два вопроса нужно отработать по-серьезному, потому что без отработки этих вопросов мы не можем пойти дальше и не можем полностью представить, что в полевых условиях потребуется.</w:t>
      </w:r>
    </w:p>
    <w:p w14:paraId="21FCB15B" w14:textId="77777777" w:rsidR="00970104" w:rsidRPr="00E14102" w:rsidRDefault="00970104"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110-111.</w:t>
      </w:r>
    </w:p>
    <w:p w14:paraId="762CC4B9" w14:textId="77777777" w:rsidR="00970104" w:rsidRPr="00E14102" w:rsidRDefault="00E14102" w:rsidP="00E14102">
      <w:pPr>
        <w:jc w:val="both"/>
        <w:rPr>
          <w:color w:val="000000" w:themeColor="text1"/>
          <w:sz w:val="16"/>
          <w:szCs w:val="16"/>
        </w:rPr>
      </w:pPr>
      <w:r w:rsidRPr="00E14102">
        <w:rPr>
          <w:color w:val="000000" w:themeColor="text1"/>
          <w:sz w:val="16"/>
          <w:szCs w:val="16"/>
        </w:rPr>
        <w:pict w14:anchorId="218BE203">
          <v:rect id="_x0000_i1025" style="width:154.35pt;height:0" o:hrpct="330" o:hrstd="t" o:hr="t" fillcolor="#a0a0a0" stroked="f"/>
        </w:pict>
      </w:r>
    </w:p>
    <w:bookmarkStart w:id="67" w:name="_ftn1"/>
    <w:p w14:paraId="2E83F727"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"http://istmat.info/node/33262" \l "_ftnref1" \o "" </w:instrText>
      </w:r>
      <w:r w:rsidRPr="00E14102">
        <w:rPr>
          <w:color w:val="000000" w:themeColor="text1"/>
          <w:sz w:val="16"/>
          <w:szCs w:val="16"/>
        </w:rPr>
        <w:fldChar w:fldCharType="separate"/>
      </w:r>
      <w:r w:rsidR="00970104" w:rsidRPr="00E14102">
        <w:rPr>
          <w:rStyle w:val="a4"/>
          <w:color w:val="000000" w:themeColor="text1"/>
          <w:sz w:val="16"/>
          <w:szCs w:val="16"/>
        </w:rPr>
        <w:t>[1]</w:t>
      </w:r>
      <w:r w:rsidRPr="00E14102">
        <w:rPr>
          <w:color w:val="000000" w:themeColor="text1"/>
          <w:sz w:val="16"/>
          <w:szCs w:val="16"/>
        </w:rPr>
        <w:fldChar w:fldCharType="end"/>
      </w:r>
      <w:bookmarkEnd w:id="67"/>
      <w:r w:rsidR="00970104" w:rsidRPr="00E14102">
        <w:rPr>
          <w:color w:val="000000" w:themeColor="text1"/>
          <w:sz w:val="16"/>
          <w:szCs w:val="16"/>
        </w:rPr>
        <w:t xml:space="preserve"> Б.А. Туржанский, Комдив ПВО (Баку).</w:t>
      </w:r>
    </w:p>
    <w:bookmarkStart w:id="68" w:name="_ftn2"/>
    <w:p w14:paraId="17AD5615"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"http://istmat.info/node/33262" \l "_ftnref2" \o "" </w:instrText>
      </w:r>
      <w:r w:rsidRPr="00E14102">
        <w:rPr>
          <w:color w:val="000000" w:themeColor="text1"/>
          <w:sz w:val="16"/>
          <w:szCs w:val="16"/>
        </w:rPr>
        <w:fldChar w:fldCharType="separate"/>
      </w:r>
      <w:r w:rsidR="00970104" w:rsidRPr="00E14102">
        <w:rPr>
          <w:rStyle w:val="a4"/>
          <w:color w:val="000000" w:themeColor="text1"/>
          <w:sz w:val="16"/>
          <w:szCs w:val="16"/>
        </w:rPr>
        <w:t>[2]</w:t>
      </w:r>
      <w:r w:rsidRPr="00E14102">
        <w:rPr>
          <w:color w:val="000000" w:themeColor="text1"/>
          <w:sz w:val="16"/>
          <w:szCs w:val="16"/>
        </w:rPr>
        <w:fldChar w:fldCharType="end"/>
      </w:r>
      <w:bookmarkEnd w:id="68"/>
      <w:r w:rsidR="00970104" w:rsidRPr="00E14102">
        <w:rPr>
          <w:color w:val="000000" w:themeColor="text1"/>
          <w:sz w:val="16"/>
          <w:szCs w:val="16"/>
        </w:rPr>
        <w:t xml:space="preserve"> Алксниса.</w:t>
      </w:r>
    </w:p>
    <w:bookmarkStart w:id="69" w:name="_ftn3"/>
    <w:p w14:paraId="6FCC1EF8"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"http://istmat.info/node/33262" \l "_ftnref3" \o "" </w:instrText>
      </w:r>
      <w:r w:rsidRPr="00E14102">
        <w:rPr>
          <w:color w:val="000000" w:themeColor="text1"/>
          <w:sz w:val="16"/>
          <w:szCs w:val="16"/>
        </w:rPr>
        <w:fldChar w:fldCharType="separate"/>
      </w:r>
      <w:r w:rsidR="00970104" w:rsidRPr="00E14102">
        <w:rPr>
          <w:rStyle w:val="a4"/>
          <w:color w:val="000000" w:themeColor="text1"/>
          <w:sz w:val="16"/>
          <w:szCs w:val="16"/>
        </w:rPr>
        <w:t>[3]</w:t>
      </w:r>
      <w:r w:rsidRPr="00E14102">
        <w:rPr>
          <w:color w:val="000000" w:themeColor="text1"/>
          <w:sz w:val="16"/>
          <w:szCs w:val="16"/>
        </w:rPr>
        <w:fldChar w:fldCharType="end"/>
      </w:r>
      <w:bookmarkEnd w:id="69"/>
      <w:r w:rsidR="00970104" w:rsidRPr="00E14102">
        <w:rPr>
          <w:color w:val="000000" w:themeColor="text1"/>
          <w:sz w:val="16"/>
          <w:szCs w:val="16"/>
        </w:rPr>
        <w:t xml:space="preserve"> См, примечание 61.</w:t>
      </w:r>
    </w:p>
    <w:bookmarkStart w:id="70" w:name="_ftn4"/>
    <w:p w14:paraId="04CD0AE8"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"http://istmat.info/node/33262" \l "_ftnref4" \o "" </w:instrText>
      </w:r>
      <w:r w:rsidRPr="00E14102">
        <w:rPr>
          <w:color w:val="000000" w:themeColor="text1"/>
          <w:sz w:val="16"/>
          <w:szCs w:val="16"/>
        </w:rPr>
        <w:fldChar w:fldCharType="separate"/>
      </w:r>
      <w:r w:rsidR="00970104" w:rsidRPr="00E14102">
        <w:rPr>
          <w:rStyle w:val="a4"/>
          <w:color w:val="000000" w:themeColor="text1"/>
          <w:sz w:val="16"/>
          <w:szCs w:val="16"/>
        </w:rPr>
        <w:t>[4]</w:t>
      </w:r>
      <w:r w:rsidRPr="00E14102">
        <w:rPr>
          <w:color w:val="000000" w:themeColor="text1"/>
          <w:sz w:val="16"/>
          <w:szCs w:val="16"/>
        </w:rPr>
        <w:fldChar w:fldCharType="end"/>
      </w:r>
      <w:bookmarkEnd w:id="70"/>
      <w:r w:rsidR="00970104" w:rsidRPr="00E14102">
        <w:rPr>
          <w:color w:val="000000" w:themeColor="text1"/>
          <w:sz w:val="16"/>
          <w:szCs w:val="16"/>
        </w:rPr>
        <w:t xml:space="preserve"> Алкснис.</w:t>
      </w:r>
    </w:p>
    <w:bookmarkStart w:id="71" w:name="_ftn5"/>
    <w:p w14:paraId="49280EAB"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"http://istmat.info/node/33262" \l "_ftnref5" \o "" </w:instrText>
      </w:r>
      <w:r w:rsidRPr="00E14102">
        <w:rPr>
          <w:color w:val="000000" w:themeColor="text1"/>
          <w:sz w:val="16"/>
          <w:szCs w:val="16"/>
        </w:rPr>
        <w:fldChar w:fldCharType="separate"/>
      </w:r>
      <w:r w:rsidR="00970104" w:rsidRPr="00E14102">
        <w:rPr>
          <w:rStyle w:val="a4"/>
          <w:color w:val="000000" w:themeColor="text1"/>
          <w:sz w:val="16"/>
          <w:szCs w:val="16"/>
        </w:rPr>
        <w:t>[5]</w:t>
      </w:r>
      <w:r w:rsidRPr="00E14102">
        <w:rPr>
          <w:color w:val="000000" w:themeColor="text1"/>
          <w:sz w:val="16"/>
          <w:szCs w:val="16"/>
        </w:rPr>
        <w:fldChar w:fldCharType="end"/>
      </w:r>
      <w:bookmarkEnd w:id="71"/>
      <w:r w:rsidR="00970104" w:rsidRPr="00E14102">
        <w:rPr>
          <w:color w:val="000000" w:themeColor="text1"/>
          <w:sz w:val="16"/>
          <w:szCs w:val="16"/>
        </w:rPr>
        <w:t xml:space="preserve"> Каменев.</w:t>
      </w:r>
    </w:p>
    <w:bookmarkStart w:id="72" w:name="_ftn6"/>
    <w:p w14:paraId="20C78C4A" w14:textId="77777777" w:rsidR="00970104" w:rsidRPr="00E14102" w:rsidRDefault="00B64C5C" w:rsidP="00E14102">
      <w:pPr>
        <w:pStyle w:val="rtejustify"/>
        <w:spacing w:before="0" w:after="0"/>
        <w:rPr>
          <w:color w:val="000000" w:themeColor="text1"/>
          <w:sz w:val="16"/>
          <w:szCs w:val="16"/>
        </w:rPr>
      </w:pPr>
      <w:r w:rsidRPr="00E14102">
        <w:rPr>
          <w:color w:val="000000" w:themeColor="text1"/>
          <w:sz w:val="16"/>
          <w:szCs w:val="16"/>
        </w:rPr>
        <w:fldChar w:fldCharType="begin"/>
      </w:r>
      <w:r w:rsidR="00970104" w:rsidRPr="00E14102">
        <w:rPr>
          <w:color w:val="000000" w:themeColor="text1"/>
          <w:sz w:val="16"/>
          <w:szCs w:val="16"/>
        </w:rPr>
        <w:instrText xml:space="preserve"> HYPERLINK "http://istmat.info/node/33262" \l "_ftnref6" \o "" </w:instrText>
      </w:r>
      <w:r w:rsidRPr="00E14102">
        <w:rPr>
          <w:color w:val="000000" w:themeColor="text1"/>
          <w:sz w:val="16"/>
          <w:szCs w:val="16"/>
        </w:rPr>
        <w:fldChar w:fldCharType="separate"/>
      </w:r>
      <w:r w:rsidR="00970104" w:rsidRPr="00E14102">
        <w:rPr>
          <w:rStyle w:val="a4"/>
          <w:color w:val="000000" w:themeColor="text1"/>
          <w:sz w:val="16"/>
          <w:szCs w:val="16"/>
        </w:rPr>
        <w:t>[6]</w:t>
      </w:r>
      <w:r w:rsidRPr="00E14102">
        <w:rPr>
          <w:color w:val="000000" w:themeColor="text1"/>
          <w:sz w:val="16"/>
          <w:szCs w:val="16"/>
        </w:rPr>
        <w:fldChar w:fldCharType="end"/>
      </w:r>
      <w:bookmarkEnd w:id="72"/>
      <w:r w:rsidR="00970104" w:rsidRPr="00E14102">
        <w:rPr>
          <w:color w:val="000000" w:themeColor="text1"/>
          <w:sz w:val="16"/>
          <w:szCs w:val="16"/>
        </w:rPr>
        <w:t xml:space="preserve"> См. примечание 75</w:t>
      </w:r>
    </w:p>
    <w:p w14:paraId="225DC861" w14:textId="77777777" w:rsidR="00970104" w:rsidRPr="00E14102" w:rsidRDefault="00970104" w:rsidP="00E14102">
      <w:pPr>
        <w:jc w:val="both"/>
        <w:rPr>
          <w:color w:val="000000" w:themeColor="text1"/>
          <w:sz w:val="16"/>
          <w:szCs w:val="16"/>
        </w:rPr>
      </w:pPr>
      <w:r w:rsidRPr="00E14102">
        <w:rPr>
          <w:color w:val="000000" w:themeColor="text1"/>
          <w:sz w:val="16"/>
          <w:szCs w:val="16"/>
        </w:rPr>
        <w:t> Источник:  Военный совет при народном комиссаре обороны СССР. Декабрь 1935 г.: Документы и материалы. — М.: "РОССПЭН", 2008. С. 274-327</w:t>
      </w:r>
    </w:p>
    <w:p w14:paraId="02DCEE62" w14:textId="77777777" w:rsidR="00970104" w:rsidRPr="00E14102" w:rsidRDefault="00970104" w:rsidP="00E14102">
      <w:pPr>
        <w:pStyle w:val="rtecenter"/>
        <w:spacing w:before="0" w:after="0"/>
        <w:jc w:val="both"/>
        <w:rPr>
          <w:color w:val="000000" w:themeColor="text1"/>
          <w:sz w:val="16"/>
          <w:szCs w:val="16"/>
        </w:rPr>
      </w:pPr>
      <w:r w:rsidRPr="00E14102">
        <w:rPr>
          <w:rStyle w:val="a3"/>
          <w:b w:val="0"/>
          <w:color w:val="000000" w:themeColor="text1"/>
          <w:sz w:val="16"/>
          <w:szCs w:val="16"/>
        </w:rPr>
        <w:t xml:space="preserve">Стенограмма вечернего заседания 10 декабря 1935 г. </w:t>
      </w:r>
      <w:r w:rsidRPr="00E14102">
        <w:rPr>
          <w:color w:val="000000" w:themeColor="text1"/>
          <w:sz w:val="16"/>
          <w:szCs w:val="16"/>
        </w:rPr>
        <w:t>(12588).</w:t>
      </w:r>
    </w:p>
    <w:p w14:paraId="70B1E177" w14:textId="77777777" w:rsidR="00970104" w:rsidRPr="00E14102" w:rsidRDefault="00970104" w:rsidP="00E14102">
      <w:pPr>
        <w:jc w:val="both"/>
        <w:rPr>
          <w:color w:val="000000" w:themeColor="text1"/>
          <w:sz w:val="16"/>
          <w:szCs w:val="16"/>
        </w:rPr>
      </w:pPr>
    </w:p>
    <w:p w14:paraId="73239774" w14:textId="77777777" w:rsidR="001D1A86" w:rsidRPr="00E14102" w:rsidRDefault="001D1A86" w:rsidP="00E14102">
      <w:pPr>
        <w:jc w:val="both"/>
        <w:rPr>
          <w:color w:val="000000" w:themeColor="text1"/>
          <w:sz w:val="16"/>
          <w:szCs w:val="16"/>
        </w:rPr>
      </w:pPr>
      <w:r w:rsidRPr="00E14102">
        <w:rPr>
          <w:color w:val="000000" w:themeColor="text1"/>
          <w:sz w:val="16"/>
          <w:szCs w:val="16"/>
        </w:rPr>
        <w:t>10 декабря 1935 г. помощник командующего войсками КВО по авиации комкор Ф.А. Ингаунис, выступая на Военном совете при Наркоме Обороны, говорил: «На опыте мы убедились, что совсем не используем солнце для прикрытия от наблюдателя при заходе на цель»! (15803).</w:t>
      </w:r>
    </w:p>
    <w:p w14:paraId="37762C69" w14:textId="291CE1B7" w:rsidR="001D1A86" w:rsidRPr="00E14102" w:rsidRDefault="001D1A86" w:rsidP="00E14102">
      <w:pPr>
        <w:jc w:val="both"/>
        <w:rPr>
          <w:color w:val="000000" w:themeColor="text1"/>
          <w:sz w:val="16"/>
          <w:szCs w:val="16"/>
        </w:rPr>
      </w:pPr>
    </w:p>
    <w:p w14:paraId="540BFC20" w14:textId="17D1D78C" w:rsidR="0041787D" w:rsidRPr="00E14102" w:rsidRDefault="0041787D" w:rsidP="00E14102">
      <w:pPr>
        <w:jc w:val="both"/>
        <w:rPr>
          <w:i/>
          <w:iCs/>
          <w:color w:val="000000" w:themeColor="text1"/>
          <w:sz w:val="16"/>
          <w:szCs w:val="16"/>
        </w:rPr>
      </w:pPr>
      <w:r w:rsidRPr="00E14102">
        <w:rPr>
          <w:i/>
          <w:iCs/>
          <w:color w:val="000000" w:themeColor="text1"/>
          <w:sz w:val="16"/>
          <w:szCs w:val="16"/>
        </w:rPr>
        <w:t>За рубежом:</w:t>
      </w:r>
    </w:p>
    <w:p w14:paraId="6B7CFCC0" w14:textId="77777777" w:rsidR="0041787D" w:rsidRPr="00E14102" w:rsidRDefault="0041787D" w:rsidP="00E14102">
      <w:pPr>
        <w:jc w:val="both"/>
        <w:rPr>
          <w:i/>
          <w:iCs/>
          <w:color w:val="000000" w:themeColor="text1"/>
          <w:sz w:val="16"/>
          <w:szCs w:val="16"/>
        </w:rPr>
      </w:pPr>
    </w:p>
    <w:p w14:paraId="50CA5A68" w14:textId="77777777" w:rsidR="0041787D" w:rsidRPr="00E14102" w:rsidRDefault="0041787D" w:rsidP="00E14102">
      <w:pPr>
        <w:jc w:val="both"/>
        <w:rPr>
          <w:color w:val="0070C0"/>
          <w:sz w:val="16"/>
          <w:szCs w:val="16"/>
        </w:rPr>
      </w:pPr>
      <w:r w:rsidRPr="00E14102">
        <w:rPr>
          <w:color w:val="0070C0"/>
          <w:sz w:val="16"/>
          <w:szCs w:val="16"/>
        </w:rPr>
        <w:t>10 декабря 1935 Savoia-Marchetti S.73 Sabena врезается в склон холма в Татсфилде, графство Суррей, Соединенное Королевство, в результате чего погибли все 11 человек на борту. Среди погибших - английский конструктор танков и транспортных средств сэр Джон Карден (20800).</w:t>
      </w:r>
    </w:p>
    <w:p w14:paraId="7DFB3493" w14:textId="77777777" w:rsidR="0041787D" w:rsidRPr="00E14102" w:rsidRDefault="0041787D" w:rsidP="00E14102">
      <w:pPr>
        <w:jc w:val="both"/>
        <w:rPr>
          <w:color w:val="0070C0"/>
          <w:sz w:val="16"/>
          <w:szCs w:val="16"/>
        </w:rPr>
      </w:pPr>
    </w:p>
    <w:p w14:paraId="4B9287F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4F76138C" w14:textId="77777777" w:rsidR="00D4105E" w:rsidRPr="00E14102" w:rsidRDefault="00D4105E" w:rsidP="00E14102">
      <w:pPr>
        <w:autoSpaceDE w:val="0"/>
        <w:autoSpaceDN w:val="0"/>
        <w:adjustRightInd w:val="0"/>
        <w:jc w:val="both"/>
        <w:rPr>
          <w:iCs/>
          <w:color w:val="000000" w:themeColor="text1"/>
          <w:sz w:val="16"/>
          <w:szCs w:val="16"/>
        </w:rPr>
      </w:pPr>
    </w:p>
    <w:p w14:paraId="7FD8CA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декабря 1935 было подписано заключение комиссии (пред. Нач. И-к факультета ВВА Бузанова), назначенной Зам. НКО м СССР т. Тухачевским для определения оперативно-тактических свойств самолета ТБ-3, вооруженного Экспериментальным институтом пушками калибра 76 мм:</w:t>
      </w:r>
    </w:p>
    <w:p w14:paraId="3AD8FA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Общее заключение</w:t>
      </w:r>
    </w:p>
    <w:p w14:paraId="310926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 тактической точки зрения самолет ТБ-3, вооруженный пушками ЭИ, уже в настоящем своем виде представляет крупный интерес.</w:t>
      </w:r>
    </w:p>
    <w:p w14:paraId="4708E5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Необходимо срочно продолжать опыты по дальнейшему отстрелу для определения влияния отдачи на конструкцию самолета.</w:t>
      </w:r>
    </w:p>
    <w:p w14:paraId="3B5C48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Необходимо срочно приступить к дальнейшему усовершенствованию установок по пути, намеченному комиссией.</w:t>
      </w:r>
    </w:p>
    <w:p w14:paraId="5E6707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необходимо создать отряд ТБ-3, вооруженных пушками, для практического изучения их применения.</w:t>
      </w:r>
    </w:p>
    <w:p w14:paraId="31A299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Необходимо приступить к проектированию специального пушечного самолета для нормальной артиллерии даже и более крупного калибра." (2186).</w:t>
      </w:r>
    </w:p>
    <w:p w14:paraId="45F0BAD5" w14:textId="77777777" w:rsidR="00D4105E" w:rsidRPr="00E14102" w:rsidRDefault="00D4105E" w:rsidP="00E14102">
      <w:pPr>
        <w:autoSpaceDE w:val="0"/>
        <w:autoSpaceDN w:val="0"/>
        <w:adjustRightInd w:val="0"/>
        <w:jc w:val="both"/>
        <w:rPr>
          <w:color w:val="000000" w:themeColor="text1"/>
          <w:sz w:val="16"/>
          <w:szCs w:val="16"/>
        </w:rPr>
      </w:pPr>
    </w:p>
    <w:p w14:paraId="3F3C48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 декабря 1935 г. было подготовлено ЗАКЛЮЧЕНИЕ комиссии, назначенной Зам. Наркома Обороны Маршалом Советского Союза тов. ТУХАЧЕВСКИМ для определения оперативно-тактических свойств самолета ТБ-3, воо</w:t>
      </w:r>
      <w:r w:rsidRPr="00E14102">
        <w:rPr>
          <w:color w:val="000000" w:themeColor="text1"/>
          <w:sz w:val="16"/>
          <w:szCs w:val="16"/>
        </w:rPr>
        <w:softHyphen/>
        <w:t>руженного Экспериментальным институтом пушками калибром 76 мм.</w:t>
      </w:r>
    </w:p>
    <w:p w14:paraId="06BD2A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lang w:val="en-US"/>
        </w:rPr>
        <w:t>I</w:t>
      </w:r>
      <w:r w:rsidRPr="00E14102">
        <w:rPr>
          <w:color w:val="000000" w:themeColor="text1"/>
          <w:sz w:val="16"/>
          <w:szCs w:val="16"/>
        </w:rPr>
        <w:t>. ЗАМЕЧАНИЯ ТЕХНИЧЕСКОГО ПОРЯДКА.</w:t>
      </w:r>
    </w:p>
    <w:p w14:paraId="2205210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Установка пушек 76-мм калибра с нормальной начальной ско</w:t>
      </w:r>
      <w:r w:rsidRPr="00E14102">
        <w:rPr>
          <w:color w:val="000000" w:themeColor="text1"/>
          <w:sz w:val="16"/>
          <w:szCs w:val="16"/>
        </w:rPr>
        <w:softHyphen/>
        <w:t>ростью открывает новую эру в области вооружения самолетов.</w:t>
      </w:r>
    </w:p>
    <w:p w14:paraId="39D1E85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Теоретический спор о возможности конструкции самолета выдер</w:t>
      </w:r>
      <w:r w:rsidRPr="00E14102">
        <w:rPr>
          <w:color w:val="000000" w:themeColor="text1"/>
          <w:sz w:val="16"/>
          <w:szCs w:val="16"/>
        </w:rPr>
        <w:softHyphen/>
        <w:t>жать отдачу пушки крупного калибра настоящим экспериментом удач</w:t>
      </w:r>
      <w:r w:rsidRPr="00E14102">
        <w:rPr>
          <w:color w:val="000000" w:themeColor="text1"/>
          <w:sz w:val="16"/>
          <w:szCs w:val="16"/>
        </w:rPr>
        <w:softHyphen/>
        <w:t>но разрешен в положительном смысле.</w:t>
      </w:r>
    </w:p>
    <w:p w14:paraId="44CBD5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Комиссия отмечает как весьма положительный факт, что эки</w:t>
      </w:r>
      <w:r w:rsidRPr="00E14102">
        <w:rPr>
          <w:color w:val="000000" w:themeColor="text1"/>
          <w:sz w:val="16"/>
          <w:szCs w:val="16"/>
        </w:rPr>
        <w:softHyphen/>
        <w:t>паж данного самолета не испытывает неудобств при выстреле и, что-установленные откатывающиеся пушки на самолете при 125 выстре</w:t>
      </w:r>
      <w:r w:rsidRPr="00E14102">
        <w:rPr>
          <w:color w:val="000000" w:themeColor="text1"/>
          <w:sz w:val="16"/>
          <w:szCs w:val="16"/>
        </w:rPr>
        <w:softHyphen/>
        <w:t>лах на испытании не дали никаких разрушений самолету и его уста</w:t>
      </w:r>
      <w:r w:rsidRPr="00E14102">
        <w:rPr>
          <w:color w:val="000000" w:themeColor="text1"/>
          <w:sz w:val="16"/>
          <w:szCs w:val="16"/>
        </w:rPr>
        <w:softHyphen/>
        <w:t>новкам. Комиссия считает однако необходимым продолжить дальней</w:t>
      </w:r>
      <w:r w:rsidRPr="00E14102">
        <w:rPr>
          <w:color w:val="000000" w:themeColor="text1"/>
          <w:sz w:val="16"/>
          <w:szCs w:val="16"/>
        </w:rPr>
        <w:softHyphen/>
        <w:t>шие стрельбы в воздухе для испытания прочности самолета и самих, установок. •</w:t>
      </w:r>
    </w:p>
    <w:p w14:paraId="5AD71F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Данные проведенных испытаний позволяют установить, что. летные качества самолета ТЁ-3. вооруженного пушками, — не лотк жаются; однако точность наводки определяется маневренными свой</w:t>
      </w:r>
      <w:r w:rsidRPr="00E14102">
        <w:rPr>
          <w:color w:val="000000" w:themeColor="text1"/>
          <w:sz w:val="16"/>
          <w:szCs w:val="16"/>
        </w:rPr>
        <w:softHyphen/>
        <w:t>ствами самолета. Боевой комплект определяется грузопод'емностью самолета, но количество снарядов непосредственно у пушек равно не более 150 шт., остальные в так называемых «погребах». Возможно решение проблемы передачи снарядов' в полете с одного самолета на. другой, что может дать ряд оперативно-тактических преимуществ.</w:t>
      </w:r>
    </w:p>
    <w:p w14:paraId="09F36E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Для отражения атак противника на малых дистанциях самолет ТБ-3, вооруженный пушками, может иметь нормальное вооружение пулеметами, кроме пулемета в носовой кабине, место которого заня</w:t>
      </w:r>
      <w:r w:rsidRPr="00E14102">
        <w:rPr>
          <w:color w:val="000000" w:themeColor="text1"/>
          <w:sz w:val="16"/>
          <w:szCs w:val="16"/>
        </w:rPr>
        <w:softHyphen/>
        <w:t>то пушкой.</w:t>
      </w:r>
    </w:p>
    <w:p w14:paraId="5AEC91E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Кассеты для бомб упразднены и на их месте устроены храни</w:t>
      </w:r>
      <w:r w:rsidRPr="00E14102">
        <w:rPr>
          <w:color w:val="000000" w:themeColor="text1"/>
          <w:sz w:val="16"/>
          <w:szCs w:val="16"/>
        </w:rPr>
        <w:softHyphen/>
        <w:t>лища для снарядов. Бомбы могут быть подвешены на внешних дер</w:t>
      </w:r>
      <w:r w:rsidRPr="00E14102">
        <w:rPr>
          <w:color w:val="000000" w:themeColor="text1"/>
          <w:sz w:val="16"/>
          <w:szCs w:val="16"/>
        </w:rPr>
        <w:softHyphen/>
        <w:t>жателях в пределах установленных для ТБ-3 — норм.</w:t>
      </w:r>
    </w:p>
    <w:p w14:paraId="40A6B9D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По заявлению конструкторов практическая скорострельность равна 27 выстрелам в минуту из 3 пушек. Изучение конструкции уста</w:t>
      </w:r>
      <w:r w:rsidRPr="00E14102">
        <w:rPr>
          <w:color w:val="000000" w:themeColor="text1"/>
          <w:sz w:val="16"/>
          <w:szCs w:val="16"/>
        </w:rPr>
        <w:softHyphen/>
        <w:t>новки позволяет сделать вывод, что это не предел и путем ряда до</w:t>
      </w:r>
      <w:r w:rsidRPr="00E14102">
        <w:rPr>
          <w:color w:val="000000" w:themeColor="text1"/>
          <w:sz w:val="16"/>
          <w:szCs w:val="16"/>
        </w:rPr>
        <w:softHyphen/>
        <w:t>полнительных усовершенствований можно будет эту скоросгрель-</w:t>
      </w:r>
    </w:p>
    <w:p w14:paraId="573536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ность несколько увеличить, что весьма желательно для стрельбы по воздушным целям.</w:t>
      </w:r>
    </w:p>
    <w:p w14:paraId="2F83C59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Прицеливание осуществляется наводкой всего самолета. При существующих неподвижных установках пушек, учитывая ограни</w:t>
      </w:r>
      <w:r w:rsidRPr="00E14102">
        <w:rPr>
          <w:color w:val="000000" w:themeColor="text1"/>
          <w:sz w:val="16"/>
          <w:szCs w:val="16"/>
        </w:rPr>
        <w:softHyphen/>
        <w:t>ченную маневренность ТБ-3, нельзя ожидать точной стрельбы. Окон</w:t>
      </w:r>
      <w:r w:rsidRPr="00E14102">
        <w:rPr>
          <w:color w:val="000000" w:themeColor="text1"/>
          <w:sz w:val="16"/>
          <w:szCs w:val="16"/>
        </w:rPr>
        <w:softHyphen/>
        <w:t>чательное суждение о последней можно сделать только после прове</w:t>
      </w:r>
      <w:r w:rsidRPr="00E14102">
        <w:rPr>
          <w:color w:val="000000" w:themeColor="text1"/>
          <w:sz w:val="16"/>
          <w:szCs w:val="16"/>
        </w:rPr>
        <w:softHyphen/>
        <w:t>дения специальных опытных стрельб. Кроме опытов, полное .исследо</w:t>
      </w:r>
      <w:r w:rsidRPr="00E14102">
        <w:rPr>
          <w:color w:val="000000" w:themeColor="text1"/>
          <w:sz w:val="16"/>
          <w:szCs w:val="16"/>
        </w:rPr>
        <w:softHyphen/>
        <w:t>вание этого вопроса требует большой [вычислительной работы, слож</w:t>
      </w:r>
      <w:r w:rsidRPr="00E14102">
        <w:rPr>
          <w:color w:val="000000" w:themeColor="text1"/>
          <w:sz w:val="16"/>
          <w:szCs w:val="16"/>
        </w:rPr>
        <w:softHyphen/>
        <w:t>ной и громоздкой. '</w:t>
      </w:r>
      <w:r w:rsidRPr="00E14102">
        <w:rPr>
          <w:color w:val="000000" w:themeColor="text1"/>
          <w:sz w:val="16"/>
          <w:szCs w:val="16"/>
          <w:vertAlign w:val="superscript"/>
        </w:rPr>
        <w:t>:</w:t>
      </w:r>
    </w:p>
    <w:p w14:paraId="6D40F6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Залп трех орудий 76 мм поражает своими осколками об'ем рав</w:t>
      </w:r>
      <w:r w:rsidRPr="00E14102">
        <w:rPr>
          <w:color w:val="000000" w:themeColor="text1"/>
          <w:sz w:val="16"/>
          <w:szCs w:val="16"/>
        </w:rPr>
        <w:softHyphen/>
        <w:t>ный примерно 10.000 м</w:t>
      </w:r>
      <w:r w:rsidRPr="00E14102">
        <w:rPr>
          <w:color w:val="000000" w:themeColor="text1"/>
          <w:sz w:val="16"/>
          <w:szCs w:val="16"/>
          <w:vertAlign w:val="superscript"/>
        </w:rPr>
        <w:t>3</w:t>
      </w:r>
      <w:r w:rsidRPr="00E14102">
        <w:rPr>
          <w:color w:val="000000" w:themeColor="text1"/>
          <w:sz w:val="16"/>
          <w:szCs w:val="16"/>
        </w:rPr>
        <w:t xml:space="preserve"> (звено истребителей). Для надежного пора</w:t>
      </w:r>
      <w:r w:rsidRPr="00E14102">
        <w:rPr>
          <w:color w:val="000000" w:themeColor="text1"/>
          <w:sz w:val="16"/>
          <w:szCs w:val="16"/>
        </w:rPr>
        <w:softHyphen/>
        <w:t>жения снаряд требует точного попадания. Благодаря неподвижности установки и малой маневренности ТБ-3, рассеивание снарядов при стрельбе можно ожидать значительным, но оно все же будет на много меньше рассеивания, даваемого пушками других систем с .меньшей начальной скоростью. Так как рассеивание самого орудия при его большой начальной скорости (820 м/с.) небольшое, то можно за счет усовершенствования установок уменьшить общее рассеивание.</w:t>
      </w:r>
    </w:p>
    <w:p w14:paraId="704C87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При стрельбе по воздушным целям наводка на цель будет труд</w:t>
      </w:r>
      <w:r w:rsidRPr="00E14102">
        <w:rPr>
          <w:color w:val="000000" w:themeColor="text1"/>
          <w:sz w:val="16"/>
          <w:szCs w:val="16"/>
        </w:rPr>
        <w:softHyphen/>
        <w:t>на, так как:</w:t>
      </w:r>
    </w:p>
    <w:p w14:paraId="42F28C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установка пушек на самолете неподвижна,</w:t>
      </w:r>
    </w:p>
    <w:p w14:paraId="6E04D28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на самолете не установлены счетно-решающие приборы к этим установкам (дальномеры, автоматы установки трубки и т. п.).</w:t>
      </w:r>
    </w:p>
    <w:p w14:paraId="4A0C8E0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lang w:val="en-US"/>
        </w:rPr>
        <w:t>II</w:t>
      </w:r>
      <w:r w:rsidRPr="00E14102">
        <w:rPr>
          <w:color w:val="000000" w:themeColor="text1"/>
          <w:sz w:val="16"/>
          <w:szCs w:val="16"/>
        </w:rPr>
        <w:t>. ЗАМЕЧАНИЯ ТАКТИЧЕСКОГО ПОРЯДКА.</w:t>
      </w:r>
    </w:p>
    <w:p w14:paraId="5EB29E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 Даже в настоящем своем виде с тактической точки зрения осуществленная установка 3-х пушек на ТБ-3 имеет огромное значе</w:t>
      </w:r>
      <w:r w:rsidRPr="00E14102">
        <w:rPr>
          <w:color w:val="000000" w:themeColor="text1"/>
          <w:sz w:val="16"/>
          <w:szCs w:val="16"/>
        </w:rPr>
        <w:softHyphen/>
        <w:t>ние:</w:t>
      </w:r>
    </w:p>
    <w:p w14:paraId="056C190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при полете к цели, корабли, вооруженные пушками, следуют в голове соединения. Они защищают всю переднюю зону от атак истребителей, открывая огонь на дистанции, на которой истребители даже еще не могут думать об атаке;</w:t>
      </w:r>
    </w:p>
    <w:p w14:paraId="1F0980E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встретив впереди себя аэростаты заграждения, пушечные кора</w:t>
      </w:r>
      <w:r w:rsidRPr="00E14102">
        <w:rPr>
          <w:color w:val="000000" w:themeColor="text1"/>
          <w:sz w:val="16"/>
          <w:szCs w:val="16"/>
        </w:rPr>
        <w:softHyphen/>
        <w:t>бли расстреливают их из пушек, прокладывая дорогу остальному соединению, .Даже если аэростаты заграждения находятся значитель</w:t>
      </w:r>
      <w:r w:rsidRPr="00E14102">
        <w:rPr>
          <w:color w:val="000000" w:themeColor="text1"/>
          <w:sz w:val="16"/>
          <w:szCs w:val="16"/>
        </w:rPr>
        <w:softHyphen/>
        <w:t>но выше 'полета ТБ-3, стрельба шрапнелью Гарфа или другими спе</w:t>
      </w:r>
      <w:r w:rsidRPr="00E14102">
        <w:rPr>
          <w:color w:val="000000" w:themeColor="text1"/>
          <w:sz w:val="16"/>
          <w:szCs w:val="16"/>
        </w:rPr>
        <w:softHyphen/>
        <w:t>циальными снарядами даст возможность перебить троса аэростатов заграждения и очистить путь к цели для всего соединения;</w:t>
      </w:r>
    </w:p>
    <w:p w14:paraId="4AA309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в) пушечные самолеты ТБ-3 представляют огромный интерес лля удара по целям, имеющих сильную зенитную артиллерию, так как лсзвотшот обстреливать цель издалека (до 18 км) не входя в зону огня ЗА;</w:t>
      </w:r>
    </w:p>
    <w:p w14:paraId="6BBC5FF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еще больший интерес пушечные самолеты ТБ-3 представляют при ударе по аэродромам противника, не входящим в ситему какого-либо крупного пункта. В этом случае система предупреждения орга</w:t>
      </w:r>
      <w:r w:rsidRPr="00E14102">
        <w:rPr>
          <w:color w:val="000000" w:themeColor="text1"/>
          <w:sz w:val="16"/>
          <w:szCs w:val="16"/>
        </w:rPr>
        <w:softHyphen/>
        <w:t>низуется за счет средств самого авиационного соединения и в силу матого количества этих средств посты предупреждения не могут быть вынесены далеко вперед. При наличии -пушек на самолете, во многих случаях, аэродром может быть взят под действительный ар</w:t>
      </w:r>
      <w:r w:rsidRPr="00E14102">
        <w:rPr>
          <w:color w:val="000000" w:themeColor="text1"/>
          <w:sz w:val="16"/>
          <w:szCs w:val="16"/>
        </w:rPr>
        <w:softHyphen/>
        <w:t>тиллерийский огонь прежде, чем указанные посты успеют предупре</w:t>
      </w:r>
      <w:r w:rsidRPr="00E14102">
        <w:rPr>
          <w:color w:val="000000" w:themeColor="text1"/>
          <w:sz w:val="16"/>
          <w:szCs w:val="16"/>
        </w:rPr>
        <w:softHyphen/>
        <w:t>дить о появлении противника и самолеты успеют вылететь с аэро</w:t>
      </w:r>
      <w:r w:rsidRPr="00E14102">
        <w:rPr>
          <w:color w:val="000000" w:themeColor="text1"/>
          <w:sz w:val="16"/>
          <w:szCs w:val="16"/>
        </w:rPr>
        <w:softHyphen/>
        <w:t>дрома; • •</w:t>
      </w:r>
    </w:p>
    <w:p w14:paraId="34BAFD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 борьба с морскими десантами противника принимает при по</w:t>
      </w:r>
      <w:r w:rsidRPr="00E14102">
        <w:rPr>
          <w:color w:val="000000" w:themeColor="text1"/>
          <w:sz w:val="16"/>
          <w:szCs w:val="16"/>
        </w:rPr>
        <w:softHyphen/>
        <w:t>мощи пушечных самолетов совершенно новые более надежные формы. Если раньше посадка и высадка десанта з гавани могла быть неиз</w:t>
      </w:r>
      <w:r w:rsidRPr="00E14102">
        <w:rPr>
          <w:color w:val="000000" w:themeColor="text1"/>
          <w:sz w:val="16"/>
          <w:szCs w:val="16"/>
        </w:rPr>
        <w:softHyphen/>
        <w:t>вестный срок прикрыта сильной ЗА, то теперь с установкой пушек на самолете необходимо значительно расширить зону ЗА, чтобы бо</w:t>
      </w:r>
      <w:r w:rsidRPr="00E14102">
        <w:rPr>
          <w:color w:val="000000" w:themeColor="text1"/>
          <w:sz w:val="16"/>
          <w:szCs w:val="16"/>
        </w:rPr>
        <w:softHyphen/>
        <w:t>роться -против обстрела десанта с пушечных самолетов. Это заста</w:t>
      </w:r>
      <w:r w:rsidRPr="00E14102">
        <w:rPr>
          <w:color w:val="000000" w:themeColor="text1"/>
          <w:sz w:val="16"/>
          <w:szCs w:val="16"/>
        </w:rPr>
        <w:softHyphen/>
        <w:t>вит или сделать огонь ЗА менее плотным, или сосредотачивать и без того большое количество зенитной артиллерии;</w:t>
      </w:r>
    </w:p>
    <w:p w14:paraId="04A9236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 при необходимости удара по десантным транспортам в море, пушечные самолеты смогут это сделать не входя в зону ЗА боевых кораблей, причем огонь по транспортам орудий. 76-мм калибра будет несомненно весьма действительным, не говоря уже о более крупном калибре;</w:t>
      </w:r>
    </w:p>
    <w:p w14:paraId="67C021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ж) большое оперативно-тактическое значение пушечные самоле</w:t>
      </w:r>
      <w:r w:rsidRPr="00E14102">
        <w:rPr>
          <w:color w:val="000000" w:themeColor="text1"/>
          <w:sz w:val="16"/>
          <w:szCs w:val="16"/>
        </w:rPr>
        <w:softHyphen/>
        <w:t>ты приобретают в огневом содействии выбрасываемым и высаживае</w:t>
      </w:r>
      <w:r w:rsidRPr="00E14102">
        <w:rPr>
          <w:color w:val="000000" w:themeColor="text1"/>
          <w:sz w:val="16"/>
          <w:szCs w:val="16"/>
        </w:rPr>
        <w:softHyphen/>
        <w:t>мым воздушным десантам;</w:t>
      </w:r>
    </w:p>
    <w:p w14:paraId="50DB9B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 ТБ-3 вооруженные пушками могут быть использованы как ле</w:t>
      </w:r>
      <w:r w:rsidRPr="00E14102">
        <w:rPr>
          <w:color w:val="000000" w:themeColor="text1"/>
          <w:sz w:val="16"/>
          <w:szCs w:val="16"/>
        </w:rPr>
        <w:softHyphen/>
        <w:t>тающая зенитная артиллерия при обороне крупных промышленных и политических об'ектов, причем для этой цели можно будет исполь</w:t>
      </w:r>
      <w:r w:rsidRPr="00E14102">
        <w:rPr>
          <w:color w:val="000000" w:themeColor="text1"/>
          <w:sz w:val="16"/>
          <w:szCs w:val="16"/>
        </w:rPr>
        <w:softHyphen/>
        <w:t>зовать уже устаревающие корабли, т. к. большой скорости для этого не требуется. Применение ТБ-3 в качестве летающей зенитной батареи будет особенно выгодно, т. к. такая летающая зенитная батарея мо</w:t>
      </w:r>
      <w:r w:rsidRPr="00E14102">
        <w:rPr>
          <w:color w:val="000000" w:themeColor="text1"/>
          <w:sz w:val="16"/>
          <w:szCs w:val="16"/>
        </w:rPr>
        <w:softHyphen/>
        <w:t>жет получить по радио заранее все необходимые сведения от ППО пункта и ложась на встречный курс на боевом курсе противника пе</w:t>
      </w:r>
      <w:r w:rsidRPr="00E14102">
        <w:rPr>
          <w:color w:val="000000" w:themeColor="text1"/>
          <w:sz w:val="16"/>
          <w:szCs w:val="16"/>
        </w:rPr>
        <w:softHyphen/>
        <w:t>ред сбрасыванием бомб, — будет с большим успехом расстреливать последнего;</w:t>
      </w:r>
    </w:p>
    <w:p w14:paraId="13F65F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 снабдив такую летающую зенитную батарею звеном Вахми-строва, мы будем иметь выгодное оперативно-тактическое сочетание. Противник разбитый артогнем с ТБ-3 будет добиваться истребителя</w:t>
      </w:r>
      <w:r w:rsidRPr="00E14102">
        <w:rPr>
          <w:color w:val="000000" w:themeColor="text1"/>
          <w:sz w:val="16"/>
          <w:szCs w:val="16"/>
        </w:rPr>
        <w:softHyphen/>
        <w:t>ми звена. Это же звено при наличии радио может также корпектиро-' зать огонь с ТБ-3.</w:t>
      </w:r>
    </w:p>
    <w:p w14:paraId="6DC6D78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lang w:val="en-US"/>
        </w:rPr>
        <w:t>III</w:t>
      </w:r>
      <w:r w:rsidRPr="00E14102">
        <w:rPr>
          <w:color w:val="000000" w:themeColor="text1"/>
          <w:sz w:val="16"/>
          <w:szCs w:val="16"/>
        </w:rPr>
        <w:t>. ПРЕДЛОЖЕНИЯ.</w:t>
      </w:r>
    </w:p>
    <w:p w14:paraId="004720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 Комиссия считает необходимым наметить следующие пути дальнейшего усовершенствования пушечной установки на ТБ-3:</w:t>
      </w:r>
    </w:p>
    <w:p w14:paraId="43B77D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установку пушек сделать подвижной с возможно наибольшим конусом обстрела. При возможности осуществления отклонения пуш</w:t>
      </w:r>
      <w:r w:rsidRPr="00E14102">
        <w:rPr>
          <w:color w:val="000000" w:themeColor="text1"/>
          <w:sz w:val="16"/>
          <w:szCs w:val="16"/>
        </w:rPr>
        <w:softHyphen/>
        <w:t>ки в пределах 10—15° в каждую сторону, условия стрельбы зо многом улучшатся, наводка облегчится, точность стрельбы по земным целям увеличится." Последнее позволит вести стрельбу даже по таким целям, как склады, цеха заводов, ангары и т. п.;</w:t>
      </w:r>
    </w:p>
    <w:p w14:paraId="7153F3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ввести к подвижным установкам прицел полуавтомат, что по</w:t>
      </w:r>
      <w:r w:rsidRPr="00E14102">
        <w:rPr>
          <w:color w:val="000000" w:themeColor="text1"/>
          <w:sz w:val="16"/>
          <w:szCs w:val="16"/>
        </w:rPr>
        <w:softHyphen/>
        <w:t>высит еще более точность стрельбы и позволит вести обстрел 'круп</w:t>
      </w:r>
      <w:r w:rsidRPr="00E14102">
        <w:rPr>
          <w:color w:val="000000" w:themeColor="text1"/>
          <w:sz w:val="16"/>
          <w:szCs w:val="16"/>
        </w:rPr>
        <w:softHyphen/>
        <w:t>ных воздушных целей на курсах близких к встречному или пресле</w:t>
      </w:r>
      <w:r w:rsidRPr="00E14102">
        <w:rPr>
          <w:color w:val="000000" w:themeColor="text1"/>
          <w:sz w:val="16"/>
          <w:szCs w:val="16"/>
        </w:rPr>
        <w:softHyphen/>
        <w:t>дующему. Стрельба по земле в этом случае будет еще эффективнее и позволит вести огонь даже по отдельным точкам: стреляющая бата</w:t>
      </w:r>
      <w:r w:rsidRPr="00E14102">
        <w:rPr>
          <w:color w:val="000000" w:themeColor="text1"/>
          <w:sz w:val="16"/>
          <w:szCs w:val="16"/>
        </w:rPr>
        <w:softHyphen/>
        <w:t>рея, прожектора, ж. д. эшелоны;</w:t>
      </w:r>
    </w:p>
    <w:p w14:paraId="3CB0639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ввести дальномер, который даст возможность значительно пол</w:t>
      </w:r>
      <w:r w:rsidRPr="00E14102">
        <w:rPr>
          <w:color w:val="000000" w:themeColor="text1"/>
          <w:sz w:val="16"/>
          <w:szCs w:val="16"/>
        </w:rPr>
        <w:softHyphen/>
        <w:t>нее решить вопрос обстрела воздушных целей. Об'ектами здесь могут служитьнебольшие соединения на преследующих и встречных курсах при курсовом угле 10—15". По большим соединениям возмож</w:t>
      </w:r>
      <w:r w:rsidRPr="00E14102">
        <w:rPr>
          <w:color w:val="000000" w:themeColor="text1"/>
          <w:sz w:val="16"/>
          <w:szCs w:val="16"/>
        </w:rPr>
        <w:softHyphen/>
        <w:t>на будет стрельба на пересекающихся курсах;</w:t>
      </w:r>
    </w:p>
    <w:p w14:paraId="55EA65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ввести на ряду с ранее указанными усовершенствованиями прибор для автоматической установки трубки, что позволит исполь</w:t>
      </w:r>
      <w:r w:rsidRPr="00E14102">
        <w:rPr>
          <w:color w:val="000000" w:themeColor="text1"/>
          <w:sz w:val="16"/>
          <w:szCs w:val="16"/>
        </w:rPr>
        <w:softHyphen/>
        <w:t>зовать до предела скорострельность пушек и повысить точность стрельбы, значительно увеличив вероятность попадания;</w:t>
      </w:r>
    </w:p>
    <w:p w14:paraId="1C39A7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 наконец, введение автоматического прибора управления огнем решит полностью в пределах современных возможностей задачу точ</w:t>
      </w:r>
      <w:r w:rsidRPr="00E14102">
        <w:rPr>
          <w:color w:val="000000" w:themeColor="text1"/>
          <w:sz w:val="16"/>
          <w:szCs w:val="16"/>
        </w:rPr>
        <w:softHyphen/>
        <w:t>ной стрельбы по воздушным целям. В этом случае можно допустить наличие прибора управления огнем на флагманском корабле с пере</w:t>
      </w:r>
      <w:r w:rsidRPr="00E14102">
        <w:rPr>
          <w:color w:val="000000" w:themeColor="text1"/>
          <w:sz w:val="16"/>
          <w:szCs w:val="16"/>
        </w:rPr>
        <w:softHyphen/>
        <w:t>дачей необходимых элементов наводки ведомым кораблям телеме</w:t>
      </w:r>
      <w:r w:rsidRPr="00E14102">
        <w:rPr>
          <w:color w:val="000000" w:themeColor="text1"/>
          <w:sz w:val="16"/>
          <w:szCs w:val="16"/>
        </w:rPr>
        <w:softHyphen/>
        <w:t>ханическими средствами;</w:t>
      </w:r>
    </w:p>
    <w:p w14:paraId="6AC98C4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 дальнейшее усовершенствование должно итти по пути увели</w:t>
      </w:r>
      <w:r w:rsidRPr="00E14102">
        <w:rPr>
          <w:color w:val="000000" w:themeColor="text1"/>
          <w:sz w:val="16"/>
          <w:szCs w:val="16"/>
        </w:rPr>
        <w:softHyphen/>
        <w:t>чения конусов обстрела пушек с возможностью стрельбы в первую очередь назад и затем вниз, вверх и в стороны. Требуется разработка специальных снарядов и взрывателей к ним; *</w:t>
      </w:r>
    </w:p>
    <w:p w14:paraId="5117B7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ж) параллельно с введением указанных выше усовершенствований необходимо поставить конструкторам-самолетчикам задачу создания специального артиллерийского самолета, где сама конструкция само</w:t>
      </w:r>
      <w:r w:rsidRPr="00E14102">
        <w:rPr>
          <w:color w:val="000000" w:themeColor="text1"/>
          <w:sz w:val="16"/>
          <w:szCs w:val="16"/>
        </w:rPr>
        <w:softHyphen/>
        <w:t>лета представляла бы из себя лафет для подвижной установки пушек.</w:t>
      </w:r>
    </w:p>
    <w:p w14:paraId="15D6EC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lang w:val="en-US"/>
        </w:rPr>
        <w:t>IV</w:t>
      </w:r>
      <w:r w:rsidRPr="00E14102">
        <w:rPr>
          <w:color w:val="000000" w:themeColor="text1"/>
          <w:sz w:val="16"/>
          <w:szCs w:val="16"/>
        </w:rPr>
        <w:t>. ОБЩЕЕ ЗАКЛЮЧЕНИЕ.</w:t>
      </w:r>
    </w:p>
    <w:p w14:paraId="713814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С тактической точки зрения самолет ТБ-3, вооруженный пуш</w:t>
      </w:r>
      <w:r w:rsidRPr="00E14102">
        <w:rPr>
          <w:color w:val="000000" w:themeColor="text1"/>
          <w:sz w:val="16"/>
          <w:szCs w:val="16"/>
        </w:rPr>
        <w:softHyphen/>
        <w:t>ками Э. И., уже в настоящем своем виде представляет крупный инте</w:t>
      </w:r>
      <w:r w:rsidRPr="00E14102">
        <w:rPr>
          <w:color w:val="000000" w:themeColor="text1"/>
          <w:sz w:val="16"/>
          <w:szCs w:val="16"/>
        </w:rPr>
        <w:softHyphen/>
        <w:t>рес.</w:t>
      </w:r>
    </w:p>
    <w:p w14:paraId="0F760C6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Необходимо срочно продолжать опыты по дальнейшему от</w:t>
      </w:r>
      <w:r w:rsidRPr="00E14102">
        <w:rPr>
          <w:color w:val="000000" w:themeColor="text1"/>
          <w:sz w:val="16"/>
          <w:szCs w:val="16"/>
        </w:rPr>
        <w:softHyphen/>
        <w:t>стрелу для определения влияния отдачи на конструкцию самолета.</w:t>
      </w:r>
    </w:p>
    <w:p w14:paraId="3EC65F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Необходимо срочно приступить к дальнейшему усовершенство</w:t>
      </w:r>
      <w:r w:rsidRPr="00E14102">
        <w:rPr>
          <w:color w:val="000000" w:themeColor="text1"/>
          <w:sz w:val="16"/>
          <w:szCs w:val="16"/>
        </w:rPr>
        <w:softHyphen/>
        <w:t>ванию установок по пути, намеченному комиссией.</w:t>
      </w:r>
    </w:p>
    <w:p w14:paraId="5B4D5E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Необходимо создать отряд ТБ-3, вооруженных пушками, для практического изучения их применения.</w:t>
      </w:r>
    </w:p>
    <w:p w14:paraId="423F59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Необходимо приступить к проектированию специального пу</w:t>
      </w:r>
      <w:r w:rsidRPr="00E14102">
        <w:rPr>
          <w:color w:val="000000" w:themeColor="text1"/>
          <w:sz w:val="16"/>
          <w:szCs w:val="16"/>
        </w:rPr>
        <w:softHyphen/>
        <w:t>шечного самолета для нормальной артиллерии даже и более крупного калибра.</w:t>
      </w:r>
    </w:p>
    <w:p w14:paraId="1354A9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w:t>
      </w:r>
    </w:p>
    <w:p w14:paraId="31F062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Инженерно-командн. факультета ВВА Бузанов.</w:t>
      </w:r>
    </w:p>
    <w:p w14:paraId="6DFC5C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w:t>
      </w:r>
    </w:p>
    <w:p w14:paraId="0566BC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арт. факультета ВВА Коннэрт.</w:t>
      </w:r>
    </w:p>
    <w:p w14:paraId="5148E7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кафедры тактики Трунов.</w:t>
      </w:r>
    </w:p>
    <w:p w14:paraId="74E272D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кафедры экспл. вооруж. Рукавишников.</w:t>
      </w:r>
    </w:p>
    <w:p w14:paraId="2E5BCDA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кафедры воздушн. стрельбы Пугачев.</w:t>
      </w:r>
    </w:p>
    <w:p w14:paraId="12EDB17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 руковод. кафедры тактики Чайкин (2186).</w:t>
      </w:r>
    </w:p>
    <w:p w14:paraId="43BE4A12" w14:textId="77777777" w:rsidR="00D4105E" w:rsidRPr="00E14102" w:rsidRDefault="00D4105E" w:rsidP="00E14102">
      <w:pPr>
        <w:autoSpaceDE w:val="0"/>
        <w:autoSpaceDN w:val="0"/>
        <w:adjustRightInd w:val="0"/>
        <w:jc w:val="both"/>
        <w:rPr>
          <w:color w:val="000000" w:themeColor="text1"/>
          <w:sz w:val="16"/>
          <w:szCs w:val="16"/>
        </w:rPr>
      </w:pPr>
    </w:p>
    <w:p w14:paraId="762C69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декабря 1935 года была подготовлена справка по вопросам дополнительной повестки КО</w:t>
      </w:r>
    </w:p>
    <w:p w14:paraId="20DB593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 авиадизеле АН-1.</w:t>
      </w:r>
    </w:p>
    <w:p w14:paraId="19F95B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Дизель прошел госиспытания, дав мощность 820 л.с. при высотности в 25000 м, показав преимущества перед лучшими аналогичными машинами Германии.</w:t>
      </w:r>
    </w:p>
    <w:p w14:paraId="0E2BDE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Пятаков и Тухачевский ставят вопрос о необходимости серийной постройки авиадизеля АН-1.</w:t>
      </w:r>
    </w:p>
    <w:p w14:paraId="43FA6F0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 постройке спецсамолета РВ и РС (Трескина).</w:t>
      </w:r>
    </w:p>
    <w:p w14:paraId="798347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Трескин (инж. МАИ) внес в СТО предложение о постройке специального рекордного по высоте и скорости самолета.</w:t>
      </w:r>
    </w:p>
    <w:p w14:paraId="3C4F44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 поручила Королеву произвести техническую экспертизу в Техсовете ГУАПа по означенному предложению.</w:t>
      </w:r>
    </w:p>
    <w:p w14:paraId="480675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Пятаков считает нецелесообразным строительство специального самолета РВ и РС и предлагает установить предложенную Трескиным систему центрального наддува на самолете СБ со сроком – конец 1936 года.</w:t>
      </w:r>
    </w:p>
    <w:p w14:paraId="3AC9F4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Березин (КПК) считает, что необходимо уже теперь вынести решение о постройке специального самолета по предложениям Трескина.</w:t>
      </w:r>
    </w:p>
    <w:p w14:paraId="70B777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Трескин также настаивает на строительстве спецсамолета.</w:t>
      </w:r>
    </w:p>
    <w:p w14:paraId="496A7F0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 изменении программы 1935 года по моторам К-9 и К-14.</w:t>
      </w:r>
    </w:p>
    <w:p w14:paraId="159806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Постановление СТО от 29 декабря 1934 года № К-202сс.</w:t>
      </w:r>
    </w:p>
    <w:p w14:paraId="0439CB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Заводу № 29 установлена программа на 1935 год по выпуску моторов К-9 (М-75) – 150 штук и моторов К-14 (М-85) – 100 штук.</w:t>
      </w:r>
    </w:p>
    <w:p w14:paraId="383EB9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НКТП (Пятаков) просит изменить программу по моторам К-9 до 50 штук (вместо 150) и по моторам К-14 до 150 штук (вместо 100).</w:t>
      </w:r>
    </w:p>
    <w:p w14:paraId="595372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Мотивы: к заявке НКО на 1936 год нет самолетов под мотор К-9, мотор К-14 является более совершенным, чем мотор К-9.</w:t>
      </w:r>
    </w:p>
    <w:p w14:paraId="7158BEF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 изменении программы 1935 года по самолетам МДР-4.</w:t>
      </w:r>
    </w:p>
    <w:p w14:paraId="74A228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Пятаков просит изменить программу с 25 штук МДР-4 в 1935 году до 5, с тем чтобы остальные 20 – сдать в I квартале 1936 года, причем 75% оплаты за эти 20 самолетов НКО обязан произвести в 1935 году (3475,87).</w:t>
      </w:r>
    </w:p>
    <w:p w14:paraId="0BF78CCA" w14:textId="77777777" w:rsidR="00D4105E" w:rsidRPr="00E14102" w:rsidRDefault="00D4105E" w:rsidP="00E14102">
      <w:pPr>
        <w:autoSpaceDE w:val="0"/>
        <w:autoSpaceDN w:val="0"/>
        <w:adjustRightInd w:val="0"/>
        <w:jc w:val="both"/>
        <w:rPr>
          <w:color w:val="000000" w:themeColor="text1"/>
          <w:sz w:val="16"/>
          <w:szCs w:val="16"/>
        </w:rPr>
      </w:pPr>
    </w:p>
    <w:p w14:paraId="32E0EB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декабря 1935 директор з-да № 8 потребовал от ГУВП снять заказ на АПК-4 из-за дефектов системы(3996, 91).</w:t>
      </w:r>
    </w:p>
    <w:p w14:paraId="79B126CB" w14:textId="77777777" w:rsidR="00D4105E" w:rsidRPr="00E14102" w:rsidRDefault="00D4105E" w:rsidP="00E14102">
      <w:pPr>
        <w:autoSpaceDE w:val="0"/>
        <w:autoSpaceDN w:val="0"/>
        <w:adjustRightInd w:val="0"/>
        <w:jc w:val="both"/>
        <w:rPr>
          <w:color w:val="000000" w:themeColor="text1"/>
          <w:sz w:val="16"/>
          <w:szCs w:val="16"/>
        </w:rPr>
      </w:pPr>
    </w:p>
    <w:p w14:paraId="1C2A30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декабря 1935 г. директор завода № 8 потребовал у ГУВП (Главное управление военной промышленности) снять с завода заказ по АПК-4, мотивируя это крупными конструктивными дефектами системы. Начальство пошло навстречу заводу, тем более что в 1930-х годах завод № 8 был единственным в СССР, производящим противотанковые, танковые и зенитные пушки, а также морские орудия калибра 45–76 мм. Завод № 7 из 212 заказанных на 1935 г. пушек изготовил только 13, но к 1 декабря 1935 г. ни одна из них не была принята заказчиком (12091).</w:t>
      </w:r>
    </w:p>
    <w:p w14:paraId="199F40CE" w14:textId="77777777" w:rsidR="00D4105E" w:rsidRPr="00E14102" w:rsidRDefault="00D4105E" w:rsidP="00E14102">
      <w:pPr>
        <w:autoSpaceDE w:val="0"/>
        <w:autoSpaceDN w:val="0"/>
        <w:adjustRightInd w:val="0"/>
        <w:jc w:val="both"/>
        <w:rPr>
          <w:color w:val="000000" w:themeColor="text1"/>
          <w:sz w:val="16"/>
          <w:szCs w:val="16"/>
        </w:rPr>
      </w:pPr>
    </w:p>
    <w:p w14:paraId="0D85DCE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6377667F" w14:textId="77777777" w:rsidR="00D4105E" w:rsidRPr="00E14102" w:rsidRDefault="00D4105E" w:rsidP="00E14102">
      <w:pPr>
        <w:autoSpaceDE w:val="0"/>
        <w:autoSpaceDN w:val="0"/>
        <w:adjustRightInd w:val="0"/>
        <w:jc w:val="both"/>
        <w:rPr>
          <w:iCs/>
          <w:color w:val="000000" w:themeColor="text1"/>
          <w:sz w:val="16"/>
          <w:szCs w:val="16"/>
        </w:rPr>
      </w:pPr>
    </w:p>
    <w:p w14:paraId="76A41044" w14:textId="77777777" w:rsidR="00D4105E" w:rsidRPr="00E14102" w:rsidRDefault="00D4105E" w:rsidP="00E14102">
      <w:pPr>
        <w:jc w:val="both"/>
        <w:rPr>
          <w:color w:val="000000" w:themeColor="text1"/>
          <w:sz w:val="16"/>
          <w:szCs w:val="16"/>
        </w:rPr>
      </w:pPr>
      <w:r w:rsidRPr="00E14102">
        <w:rPr>
          <w:color w:val="000000" w:themeColor="text1"/>
          <w:sz w:val="16"/>
          <w:szCs w:val="16"/>
        </w:rPr>
        <w:t>11 декабря 1935г. был создан ИНБ (Институт № 1 (НИИ-1) НКОП, Проектно-исследовательский институт неметаллической брони (ИНБ) НКТП /г. Москва Главпочтамт а/я 20; ул. Петровка, 3 «НИИ первый» (1937г.)/), по пр. НКОП № Обсс от 30.12.1936г. переименован в НИИ-1. Ликвидирован по пр. 11.01.1939г. Находился в ведении: НКТП (1935-36г.), ЖОП (1936-39г.), в 07.1937-12.1938г. - в ведении ЗГУ.</w:t>
      </w:r>
    </w:p>
    <w:p w14:paraId="0F1103C2" w14:textId="77777777" w:rsidR="00D4105E" w:rsidRPr="00E14102" w:rsidRDefault="00D4105E" w:rsidP="00E14102">
      <w:pPr>
        <w:jc w:val="both"/>
        <w:rPr>
          <w:color w:val="000000" w:themeColor="text1"/>
          <w:sz w:val="16"/>
          <w:szCs w:val="16"/>
        </w:rPr>
      </w:pPr>
      <w:r w:rsidRPr="00E14102">
        <w:rPr>
          <w:color w:val="000000" w:themeColor="text1"/>
          <w:sz w:val="16"/>
          <w:szCs w:val="16"/>
        </w:rPr>
        <w:lastRenderedPageBreak/>
        <w:t>Приказом № 00102 от 8.05.1937г. предписывалось к 1.01.1938г. ввести в эксплуатацию все производственные цеха.</w:t>
      </w:r>
    </w:p>
    <w:p w14:paraId="1AC9D11E" w14:textId="77777777" w:rsidR="00D4105E" w:rsidRPr="00E14102" w:rsidRDefault="00D4105E" w:rsidP="00E14102">
      <w:pPr>
        <w:jc w:val="both"/>
        <w:rPr>
          <w:color w:val="000000" w:themeColor="text1"/>
          <w:sz w:val="16"/>
          <w:szCs w:val="16"/>
        </w:rPr>
      </w:pPr>
      <w:r w:rsidRPr="00E14102">
        <w:rPr>
          <w:color w:val="000000" w:themeColor="text1"/>
          <w:sz w:val="16"/>
          <w:szCs w:val="16"/>
        </w:rPr>
        <w:t>Занимался изысканием материалов, являющихся элементами неметаллической брони.137 В 1936г. совместно с НИИ резиновой промышленности разработан способ протектирования топливных баков, изготовлены бензобаки для самолетов И-15, P-Z (далее испытаниями было установлено, что покрытие бензобаков резиновым протектором не дает должных результатов). В 1937г. - разработка броненщтков для самолетов Р-3, ХАИ-5, «Вулти».</w:t>
      </w:r>
    </w:p>
    <w:p w14:paraId="4B6822BF" w14:textId="77777777" w:rsidR="00D4105E" w:rsidRPr="00E14102" w:rsidRDefault="00D4105E" w:rsidP="00E14102">
      <w:pPr>
        <w:jc w:val="both"/>
        <w:rPr>
          <w:color w:val="000000" w:themeColor="text1"/>
          <w:sz w:val="16"/>
          <w:szCs w:val="16"/>
        </w:rPr>
      </w:pPr>
      <w:r w:rsidRPr="00E14102">
        <w:rPr>
          <w:color w:val="000000" w:themeColor="text1"/>
          <w:sz w:val="16"/>
          <w:szCs w:val="16"/>
        </w:rPr>
        <w:t>Для улучшения бронирования боевых машин приказом № 00107 от 16.05.1937г. институту поручено испытать пулестойкость различных пластмасс с жидкостной прослойкой и металлическим армированием, разработать способ крепления пластмасс к броне.</w:t>
      </w:r>
    </w:p>
    <w:p w14:paraId="7509D1B9" w14:textId="77777777" w:rsidR="00D4105E" w:rsidRPr="00E14102" w:rsidRDefault="00D4105E" w:rsidP="00E14102">
      <w:pPr>
        <w:jc w:val="both"/>
        <w:rPr>
          <w:color w:val="000000" w:themeColor="text1"/>
          <w:sz w:val="16"/>
          <w:szCs w:val="16"/>
        </w:rPr>
      </w:pPr>
      <w:r w:rsidRPr="00E14102">
        <w:rPr>
          <w:color w:val="000000" w:themeColor="text1"/>
          <w:sz w:val="16"/>
          <w:szCs w:val="16"/>
        </w:rPr>
        <w:t>Приказом № 00162 от 23.07.1937г. «в целях оздоровления деятельности института и решения задачи создания неметаллической брони» был снят директор Стежинский. Конструкторская группа самолетостроения передана в 1ГУ.</w:t>
      </w:r>
    </w:p>
    <w:p w14:paraId="14BFAC55" w14:textId="77777777" w:rsidR="00D4105E" w:rsidRPr="00E14102" w:rsidRDefault="00D4105E" w:rsidP="00E14102">
      <w:pPr>
        <w:jc w:val="both"/>
        <w:rPr>
          <w:color w:val="000000" w:themeColor="text1"/>
          <w:sz w:val="16"/>
          <w:szCs w:val="16"/>
        </w:rPr>
      </w:pPr>
      <w:r w:rsidRPr="00E14102">
        <w:rPr>
          <w:color w:val="000000" w:themeColor="text1"/>
          <w:sz w:val="16"/>
          <w:szCs w:val="16"/>
        </w:rPr>
        <w:t>Приказом № 2с от 4.01.1938г. институту было предписано расширить тематику на 1938г., включив в план работ разработку автоматических артсистем и прицелов к ним.</w:t>
      </w:r>
    </w:p>
    <w:p w14:paraId="1842F1C1" w14:textId="77777777" w:rsidR="00D4105E" w:rsidRPr="00E14102" w:rsidRDefault="00D4105E" w:rsidP="00E14102">
      <w:pPr>
        <w:jc w:val="both"/>
        <w:rPr>
          <w:color w:val="000000" w:themeColor="text1"/>
          <w:sz w:val="16"/>
          <w:szCs w:val="16"/>
        </w:rPr>
      </w:pPr>
      <w:r w:rsidRPr="00E14102">
        <w:rPr>
          <w:color w:val="000000" w:themeColor="text1"/>
          <w:sz w:val="16"/>
          <w:szCs w:val="16"/>
        </w:rPr>
        <w:t>По решению правительства № 176с от 11.11.1937г. и пр. ЗГУ № 44 от 7.02.1938г. из состава НИИ-1 выделен самостоятельный ГПИ № 7.</w:t>
      </w:r>
    </w:p>
    <w:p w14:paraId="5B41276B" w14:textId="77777777" w:rsidR="00D4105E" w:rsidRPr="00E14102" w:rsidRDefault="00D4105E" w:rsidP="00E14102">
      <w:pPr>
        <w:jc w:val="both"/>
        <w:rPr>
          <w:color w:val="000000" w:themeColor="text1"/>
          <w:sz w:val="16"/>
          <w:szCs w:val="16"/>
        </w:rPr>
      </w:pPr>
      <w:r w:rsidRPr="00E14102">
        <w:rPr>
          <w:color w:val="000000" w:themeColor="text1"/>
          <w:sz w:val="16"/>
          <w:szCs w:val="16"/>
        </w:rPr>
        <w:t>По пр. ЗГУ № 11 от 17.03.1938г. и №47 от 21.03.1938г. СКБ НИИ-13, размещавшееся на заводе № 8, передано в состав НИИ-1.</w:t>
      </w:r>
    </w:p>
    <w:p w14:paraId="6D921773" w14:textId="77777777" w:rsidR="00D4105E" w:rsidRPr="00E14102" w:rsidRDefault="00D4105E" w:rsidP="00E14102">
      <w:pPr>
        <w:jc w:val="both"/>
        <w:rPr>
          <w:color w:val="000000" w:themeColor="text1"/>
          <w:sz w:val="16"/>
          <w:szCs w:val="16"/>
        </w:rPr>
      </w:pPr>
      <w:r w:rsidRPr="00E14102">
        <w:rPr>
          <w:color w:val="000000" w:themeColor="text1"/>
          <w:sz w:val="16"/>
          <w:szCs w:val="16"/>
        </w:rPr>
        <w:t>В 1938г. строился новый корпус института. По пр. ЗГУ №232 от 28.11.1938г. требовалось передать к 01.1939г. два этажа нового корпуса для размещения ГПИ-7. В соответствии с пост. СНК № 1324-316с от 15.12.1938г. по пр. № 478 от 28.12.1938г. строящееся здание института передано в НКТП.</w:t>
      </w:r>
    </w:p>
    <w:p w14:paraId="189A7FFB" w14:textId="77777777" w:rsidR="00D4105E" w:rsidRPr="00E14102" w:rsidRDefault="00D4105E" w:rsidP="00E14102">
      <w:pPr>
        <w:jc w:val="both"/>
        <w:rPr>
          <w:color w:val="000000" w:themeColor="text1"/>
          <w:sz w:val="16"/>
          <w:szCs w:val="16"/>
        </w:rPr>
      </w:pPr>
      <w:r w:rsidRPr="00E14102">
        <w:rPr>
          <w:color w:val="000000" w:themeColor="text1"/>
          <w:sz w:val="16"/>
          <w:szCs w:val="16"/>
        </w:rPr>
        <w:t>Начальник (-12.1936-23.07.1937г.)- B.JI. Стежи(е)нский (снят); и.о. (23.07.1937г.-)- М.И. Цирулин. Директор (3.08.1937-11.1938г.-)- В.И. Абрамов.</w:t>
      </w:r>
    </w:p>
    <w:p w14:paraId="7A2C748E" w14:textId="77777777" w:rsidR="00D4105E" w:rsidRPr="00E14102" w:rsidRDefault="00D4105E" w:rsidP="00E14102">
      <w:pPr>
        <w:jc w:val="both"/>
        <w:rPr>
          <w:color w:val="000000" w:themeColor="text1"/>
          <w:sz w:val="16"/>
          <w:szCs w:val="16"/>
        </w:rPr>
      </w:pPr>
      <w:r w:rsidRPr="00E14102">
        <w:rPr>
          <w:color w:val="000000" w:themeColor="text1"/>
          <w:sz w:val="16"/>
          <w:szCs w:val="16"/>
        </w:rPr>
        <w:t>Зам. начальника по научной части (06.1937г.)- М.И. Цирулин. Помощник начальника, директора (05.1937г.) Амурский; по АХЧ (-11.06.1938г.)- А.А. Илюхин; и.о. (11.06.1938г.-)- П.М. Гавриков.</w:t>
      </w:r>
    </w:p>
    <w:p w14:paraId="16806A84" w14:textId="77777777" w:rsidR="00D4105E" w:rsidRPr="00E14102" w:rsidRDefault="00D4105E" w:rsidP="00E14102">
      <w:pPr>
        <w:jc w:val="both"/>
        <w:rPr>
          <w:color w:val="000000" w:themeColor="text1"/>
          <w:sz w:val="16"/>
          <w:szCs w:val="16"/>
        </w:rPr>
      </w:pPr>
      <w:r w:rsidRPr="00E14102">
        <w:rPr>
          <w:color w:val="000000" w:themeColor="text1"/>
          <w:sz w:val="16"/>
          <w:szCs w:val="16"/>
        </w:rPr>
        <w:t>Гл. инженер (-07-20.08.1937г.)- М.И. Цирулин, (11.09.1937г.-)- Н.А. Баринов.</w:t>
      </w:r>
    </w:p>
    <w:p w14:paraId="57831867" w14:textId="77777777" w:rsidR="00D4105E" w:rsidRPr="00E14102" w:rsidRDefault="00D4105E" w:rsidP="00E14102">
      <w:pPr>
        <w:jc w:val="both"/>
        <w:rPr>
          <w:color w:val="000000" w:themeColor="text1"/>
          <w:sz w:val="16"/>
          <w:szCs w:val="16"/>
        </w:rPr>
      </w:pPr>
      <w:r w:rsidRPr="00E14102">
        <w:rPr>
          <w:color w:val="000000" w:themeColor="text1"/>
          <w:sz w:val="16"/>
          <w:szCs w:val="16"/>
        </w:rPr>
        <w:t>Гл. конструктор (03.1937г.)- Горбунов.139</w:t>
      </w:r>
    </w:p>
    <w:p w14:paraId="5B4C0813" w14:textId="77777777" w:rsidR="00D4105E" w:rsidRPr="00E14102" w:rsidRDefault="00D4105E" w:rsidP="00E14102">
      <w:pPr>
        <w:jc w:val="both"/>
        <w:rPr>
          <w:color w:val="000000" w:themeColor="text1"/>
          <w:sz w:val="16"/>
          <w:szCs w:val="16"/>
        </w:rPr>
      </w:pPr>
      <w:r w:rsidRPr="00E14102">
        <w:rPr>
          <w:color w:val="000000" w:themeColor="text1"/>
          <w:sz w:val="16"/>
          <w:szCs w:val="16"/>
        </w:rPr>
        <w:t>Начальники отделов: кадров (-07.1938г.)- B.C. Васильев, (1.08.1938г.-)- A.M. Борисов.</w:t>
      </w:r>
    </w:p>
    <w:p w14:paraId="0EDEA6E2" w14:textId="77777777" w:rsidR="00D4105E" w:rsidRPr="00E14102" w:rsidRDefault="00D4105E" w:rsidP="00E14102">
      <w:pPr>
        <w:jc w:val="both"/>
        <w:rPr>
          <w:color w:val="000000" w:themeColor="text1"/>
          <w:sz w:val="16"/>
          <w:szCs w:val="16"/>
        </w:rPr>
      </w:pPr>
      <w:r w:rsidRPr="00E14102">
        <w:rPr>
          <w:color w:val="000000" w:themeColor="text1"/>
          <w:sz w:val="16"/>
          <w:szCs w:val="16"/>
        </w:rPr>
        <w:t>Руководитель группы снабжения (-06.1938г.)- Доровин (снят за хищения) (11982).</w:t>
      </w:r>
    </w:p>
    <w:p w14:paraId="0EB4E7BF" w14:textId="77777777" w:rsidR="00D4105E" w:rsidRPr="00E14102" w:rsidRDefault="00D4105E" w:rsidP="00E14102">
      <w:pPr>
        <w:jc w:val="both"/>
        <w:rPr>
          <w:color w:val="000000" w:themeColor="text1"/>
          <w:sz w:val="16"/>
          <w:szCs w:val="16"/>
        </w:rPr>
      </w:pPr>
    </w:p>
    <w:p w14:paraId="4D2B5457" w14:textId="77777777" w:rsidR="00D4105E" w:rsidRPr="00E14102" w:rsidRDefault="00D4105E" w:rsidP="00E14102">
      <w:pPr>
        <w:jc w:val="both"/>
        <w:rPr>
          <w:color w:val="000000" w:themeColor="text1"/>
          <w:sz w:val="16"/>
          <w:szCs w:val="16"/>
        </w:rPr>
      </w:pPr>
      <w:r w:rsidRPr="00E14102">
        <w:rPr>
          <w:color w:val="000000" w:themeColor="text1"/>
          <w:sz w:val="16"/>
          <w:szCs w:val="16"/>
        </w:rPr>
        <w:t>11 декабря 1935 г. приказом Наркомата тяжелой промышленности СССР был создан Проектно-исследовательский институт неметаллической брони (ИНБ) Приказом Наркомата оборонной промышленности СССР от 30 декабря 1936 г. переименован в Научно-исследовательский институт N 1 (НИИ-1). Ликвидирован приказом наркомата от 11 января 1939 г. (12102).</w:t>
      </w:r>
    </w:p>
    <w:p w14:paraId="124F722A" w14:textId="77777777" w:rsidR="00D4105E" w:rsidRPr="00E14102" w:rsidRDefault="00D4105E" w:rsidP="00E14102">
      <w:pPr>
        <w:jc w:val="both"/>
        <w:rPr>
          <w:color w:val="000000" w:themeColor="text1"/>
          <w:sz w:val="16"/>
          <w:szCs w:val="16"/>
        </w:rPr>
      </w:pPr>
    </w:p>
    <w:p w14:paraId="0CDB5F99" w14:textId="77777777" w:rsidR="00D4105E" w:rsidRPr="00E14102" w:rsidRDefault="00D4105E" w:rsidP="00E14102">
      <w:pPr>
        <w:jc w:val="both"/>
        <w:rPr>
          <w:color w:val="000000" w:themeColor="text1"/>
          <w:sz w:val="16"/>
          <w:szCs w:val="16"/>
        </w:rPr>
      </w:pPr>
      <w:r w:rsidRPr="00E14102">
        <w:rPr>
          <w:color w:val="000000" w:themeColor="text1"/>
          <w:sz w:val="16"/>
          <w:szCs w:val="16"/>
        </w:rPr>
        <w:t>11 декабря 1935 года вся Москва стала свидетелем своеобразного парада новой техники ЧТЗ. По улицам столицы прошла колонна опытных образцов челябинских дизельных тракторов. Потом колонна машин въехала в Кремль, где их осматривали Сталин и члены правительства. Колонну ЧТЗ возглавляли директор Опытного завода ЧТЗ Треубов и начальник Дизельного управления Гуревич (11627).</w:t>
      </w:r>
    </w:p>
    <w:p w14:paraId="56EF15BF" w14:textId="77777777" w:rsidR="00D4105E" w:rsidRPr="00E14102" w:rsidRDefault="00D4105E" w:rsidP="00E14102">
      <w:pPr>
        <w:jc w:val="both"/>
        <w:rPr>
          <w:color w:val="000000" w:themeColor="text1"/>
          <w:sz w:val="16"/>
          <w:szCs w:val="16"/>
        </w:rPr>
      </w:pPr>
    </w:p>
    <w:p w14:paraId="2D221DD3" w14:textId="77777777" w:rsidR="006161A5" w:rsidRPr="00E14102" w:rsidRDefault="004B7965" w:rsidP="00E14102">
      <w:pPr>
        <w:jc w:val="both"/>
        <w:rPr>
          <w:color w:val="000000" w:themeColor="text1"/>
          <w:sz w:val="16"/>
          <w:szCs w:val="16"/>
        </w:rPr>
      </w:pPr>
      <w:r w:rsidRPr="00E14102">
        <w:rPr>
          <w:i/>
          <w:color w:val="000000" w:themeColor="text1"/>
          <w:sz w:val="16"/>
          <w:szCs w:val="16"/>
        </w:rPr>
        <w:t>Армия:</w:t>
      </w:r>
    </w:p>
    <w:p w14:paraId="10DEEE8A" w14:textId="77777777" w:rsidR="006161A5" w:rsidRPr="00E14102" w:rsidRDefault="006161A5" w:rsidP="00E14102">
      <w:pPr>
        <w:jc w:val="both"/>
        <w:rPr>
          <w:color w:val="000000" w:themeColor="text1"/>
          <w:sz w:val="16"/>
          <w:szCs w:val="16"/>
        </w:rPr>
      </w:pPr>
    </w:p>
    <w:p w14:paraId="5371D12A" w14:textId="77777777" w:rsidR="006161A5" w:rsidRPr="00E14102" w:rsidRDefault="006161A5" w:rsidP="00E14102">
      <w:pPr>
        <w:jc w:val="both"/>
        <w:rPr>
          <w:color w:val="000000" w:themeColor="text1"/>
          <w:sz w:val="16"/>
          <w:szCs w:val="16"/>
        </w:rPr>
      </w:pPr>
      <w:r w:rsidRPr="00E14102">
        <w:rPr>
          <w:color w:val="000000" w:themeColor="text1"/>
          <w:sz w:val="16"/>
          <w:szCs w:val="16"/>
        </w:rPr>
        <w:t>11 декабря 1935 Доклад и выступления о мероприятиях по улучшению эксплуатации, хранения и сбережения оружия, боеприпасов и технического имущества</w:t>
      </w:r>
    </w:p>
    <w:p w14:paraId="50721877" w14:textId="77777777" w:rsidR="006161A5" w:rsidRPr="00E14102" w:rsidRDefault="006161A5" w:rsidP="00E14102">
      <w:pPr>
        <w:jc w:val="both"/>
        <w:rPr>
          <w:color w:val="000000" w:themeColor="text1"/>
          <w:sz w:val="16"/>
          <w:szCs w:val="16"/>
        </w:rPr>
      </w:pPr>
      <w:r w:rsidRPr="00E14102">
        <w:rPr>
          <w:color w:val="000000" w:themeColor="text1"/>
          <w:sz w:val="16"/>
          <w:szCs w:val="16"/>
        </w:rPr>
        <w:t>Стенограмма утреннего заседания 11 декабря 1935 г.</w:t>
      </w:r>
    </w:p>
    <w:p w14:paraId="44216FC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Тухачевский.</w:t>
      </w:r>
      <w:r w:rsidRPr="00E14102">
        <w:rPr>
          <w:color w:val="000000" w:themeColor="text1"/>
          <w:sz w:val="16"/>
          <w:szCs w:val="16"/>
        </w:rPr>
        <w:t xml:space="preserve"> В этом году в войсках осмотрено большое количество оружия. По количеству наши инспектора осмотрели в 2 раза больше оружия, чем это было в 1934 г. Состояние оружия (я начну со стрелкового оружия) является далеко не удовлетворительным. Правда, из года в год количество неисправных винтовок уменьшается, но тем не менее эта как будто благоприятная кривая никак ни может нас успокаивать, потому что в абсолютных цифрах, да и в процентном отношении количество неисправного оружия все еще остается чрезвычайно большим. Это касается и механического состояния оружия и состояния стволов.</w:t>
      </w:r>
    </w:p>
    <w:p w14:paraId="51C9603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Посмотрите на диаграмму: исправных винтовок в 1934 г. было 89,1% (процент к числу осмотренного), стало 91%, т.е. как будто некоторое увеличение. Но если взять, что мы имеем и на сегодняшний день 8 или почти 9% оружия, которое требует войскового ремонта, т.е. которым практически для хорошей стрельбы пользоваться нельзя, если учесть, что здесь 1% с лишним требующего специального ремонта и просто негодного, то картина получается чрезвычайно скверная. По пулеметам Дегтярева</w:t>
      </w:r>
      <w:r w:rsidRPr="00E14102">
        <w:rPr>
          <w:color w:val="000000" w:themeColor="text1"/>
          <w:sz w:val="16"/>
          <w:szCs w:val="16"/>
          <w:vertAlign w:val="superscript"/>
        </w:rPr>
        <w:t>79</w:t>
      </w:r>
      <w:r w:rsidRPr="00E14102">
        <w:rPr>
          <w:color w:val="000000" w:themeColor="text1"/>
          <w:sz w:val="16"/>
          <w:szCs w:val="16"/>
        </w:rPr>
        <w:t xml:space="preserve"> мы имеем некоторое улучшение, но опять-таки 8% пулеметов Дегтярева требует войскового ремонта и 0,2% требует специального ремонта. По пулеметам Максима мы имеем 12% с лишним, требующих войскового ремонта и почти 2,5% — ремонта специального. Пистолеты ТТ — новое дело, и то уже требуют в некоторой части войскового ремонта.</w:t>
      </w:r>
    </w:p>
    <w:p w14:paraId="357CBF5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этом году было проведено массовое обследование состояния шашек — кавалерийских и артиллерийских частей, и оказалась чрезвычайно скверная картина. Мы имеем исправных шашек только 85%, остальные требуют войскового или специального ремонта.</w:t>
      </w:r>
    </w:p>
    <w:p w14:paraId="0DC4A67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танковым пулеметам цифра исправных выше, чем в пехоте, но тем не менее и здесь почти 6% требуют войскового ремонта. При этом надо учесть, что все танковые пулеметы максимум 3-4 г. в войсках. В авиационных частях, в частности по пулеметам ПВ-1, процент неисправных достигает почти 16, дав даже резкое увеличение против 11,6% неисправных в 1934 г.</w:t>
      </w:r>
    </w:p>
    <w:p w14:paraId="4C33493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Таким образом, я повторяю, несмотря на то что картина некоторого улучшения как будто из года в год намечается, но настолько велико само по себе, и в абсолютных цифрах и в процентном отношении, количество неисправного оружия, что нужно признать состояние оружия совершенно неудовлетворительным</w:t>
      </w:r>
    </w:p>
    <w:p w14:paraId="668BE9D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Это по механическому состоянию оружия. Если обратиться к разгару стволов, то здесь картина получается еше более неблагоприятная. Из года в год разгар стволов, т.е. наличие сыпи, поражение ржавчиной и раковины не только не уменьшается, а, наоборот, повышается. В этом году очень резко скакнула кверху неисправность каналов по винтовке, пулемету Дегтярева, пулемету Максима, револьверу, словом, по всем линиям неисправность пошла кверху. При этом надо сказать, что мы имеем здесь дело не только с сыпью, но и с ржавчиной. Из общего числа каналов стволов винтовок мы имеем не пораженных только 43% с небольшим, а все остальные поражены или сыпью, или ржавчиной. Сыпью поражено около 32%, со следами ржавчины — 18%, с глубокими следами ржавчины — 3,6%, с раковинами — 1%. Вот каково состояние стрелкового оружия. Эта картина характерна и для пехотных, и для кавалерийских частей, и для авиации, и для морского флота. Нужного ухода за вооружением мы не имеем. При этом надо сказать, что состояние оружия по округам далеко не равномерное, и как это ни обидно, именно там, где лучше всего обстоит дело с тактической подготовкой, — там состояние оружия хуже всего. Это до некоторой степени понятно, но не может быть оправдано. Там, где больше занимаются, там, где больше используют оружие и стрелковое и артиллерийское, — там должно быть уделено и соответствующее внимание к ремонту и сбережению. Ведь есть приказ народного комиссара, который требует не считать ни одного учения законченным, пока оружие не будет приведено в полный порядок. Наши инспектора отмечают, как правило, что это дело не соблюдается, забывают смазывать, чистить оружие, приводить его в порядок, ставят винтовки в пирамиды, когда этого делать нельзя, — и отсюда проистекают такие неприятные последствия.</w:t>
      </w:r>
    </w:p>
    <w:p w14:paraId="2095CAE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Нужно сказать, что наилучшее состояние оружия мы находим в Сибирском военном округе. В СибВО положение по механическому состоянию оружия и по состоянию стволов выглядит лучше, в Московском округе — неплохо, в Ленинградском округе — неплохо, а во всех остальных округах дело обстоит значительно хуже. Я повторяю, там, где лучше обстоит дело с тактической подготовкой, — там наихудшее состояние вооружения.</w:t>
      </w:r>
    </w:p>
    <w:p w14:paraId="2D968AF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Ведь Московской комиссией в ПриВО состояние оружия оценено в 4,5 балла.</w:t>
      </w:r>
    </w:p>
    <w:p w14:paraId="035DE74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Тухачевский.</w:t>
      </w:r>
      <w:r w:rsidRPr="00E14102">
        <w:rPr>
          <w:color w:val="000000" w:themeColor="text1"/>
          <w:sz w:val="16"/>
          <w:szCs w:val="16"/>
        </w:rPr>
        <w:t xml:space="preserve"> Здесь не совсем будет все равномерно. Так, например, по ПриВО техническое состояние винтовок вполне приличное — 93,3%, в то время как по вопросу поражения оружия сыпью дело обстоит не так хорошо — качественное состояние каналов стволов стрелкового оружия только 38,8%. Есть и неравномерность в этом отношения по другим округам. Только в одном СибВО более или менее на одном уровне положение по механическому состоянию оружия и по состоянию каналов стволов. Это говорит о том, что в текущем году уход за оружием выпал из внимания и командующих войсками, и начсостава. Особенно по состоянию стволов мы резко пошли вниз.</w:t>
      </w:r>
    </w:p>
    <w:p w14:paraId="447EFF9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Большим вопросом в текущем году был вопрос о винтовках. Мы имели большой процент попорченных винтовок, частично попорченных и т.п. На сегодняшний день этот дефект уже устранен. Артиллерийское управление полностью подало ложи взамен испорченных. Так что сейчас по тем данным, которые подверглись поверке, в округах уже нет винтовок с попорченными ложами или пружинами.</w:t>
      </w:r>
    </w:p>
    <w:p w14:paraId="5720FBE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отношении неприкосновенного запаса я сейчас не могу доложить полной цифры, потому что эти данные будут иметься только к концу декабря, но нужно ожидать, что здесь дело обстоит далеко не так удовлетворительно. Так, например, я имею данные по Северо-Кавказскому военному округу. Здесь мы имеем винтовок в неудовлетворительном состоянии в неприкосновенном запасе 10,6%, пулеметов Максима — 8%, пулеметов Дегтярева — 11%.</w:t>
      </w:r>
    </w:p>
    <w:p w14:paraId="276DC7C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Таким образом, товарищи, мы по стрелковому вооружению не только не достигли больших результатов, потому что если по механическим признакам улучшение и наблюдается, то мы замечаем гораздо более резкое ухудшение по состоянию стволов, — мы просто в этой области, в общем, не имеем и улучшения. Даже и в неприкосновенном запасе дело обстоит, по-видимому, далеко не так благополучно, хотя исчерпывающих данных по этому вопросу еще не имеется.</w:t>
      </w:r>
    </w:p>
    <w:p w14:paraId="39951F5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Точно так же не слишком благополучно дело обстоит и по состоянию материальной части артиллерии. Опять-таки если обратиться к кривым движения этого дела, то как будто сначала создается картина благоприятная, т.е. количественно исправная материальная часть из года в год вырастает. Но если в этом деле разобраться более подробно, то становится ясным, что это благополучие идет главным образом за счет танковой артиллерии. Пушки там все молодые, уход за ними наиболее приличный, и они создают благоприятный процент для артиллерии. По остальным же образцам, и особенно по образцам наиболее ответственных артиллерийских систем, мы </w:t>
      </w:r>
      <w:r w:rsidRPr="00E14102">
        <w:rPr>
          <w:color w:val="000000" w:themeColor="text1"/>
          <w:sz w:val="16"/>
          <w:szCs w:val="16"/>
        </w:rPr>
        <w:lastRenderedPageBreak/>
        <w:t>имеем за последний год не улучшение состояния материальной части, а ухудшение. И опять-таки я должен повторить, что чем лучше округ в тактической подготовке, там, как правило, хуже состояние материальной части артиллерии. Установка о том, чтобы приводить в порядок оружие, в жизнь полностью не проводится. Люди устают от учения, соответствующего нажима на исправление материальной части нет, и оружие ухудшается. Вот эти цифры. Если взять танковую пушку, то там 95,6% исправных. Вот эта синяя полоса (</w:t>
      </w:r>
      <w:r w:rsidRPr="00E14102">
        <w:rPr>
          <w:rStyle w:val="a6"/>
          <w:i w:val="0"/>
          <w:color w:val="000000" w:themeColor="text1"/>
          <w:sz w:val="16"/>
          <w:szCs w:val="16"/>
        </w:rPr>
        <w:t>показывает на диаграмму)</w:t>
      </w:r>
      <w:r w:rsidRPr="00E14102">
        <w:rPr>
          <w:color w:val="000000" w:themeColor="text1"/>
          <w:sz w:val="16"/>
          <w:szCs w:val="16"/>
        </w:rPr>
        <w:t xml:space="preserve"> означает состояние в прошлом году, красная — в этом году. По противотанковым пушкам положение несколько улучшилось. По полковым пушкам, хотя материальная часть их сильно изношена и мы имели здесь много аварий, но тоже заметно некоторое улучшение. Но по горным пушкам, дивизионным и, особенно, корпусным положение ухудшилось, и их кривая пошла вниз. По горной пушке мы имеем исправных только 75,7%, по дивизионной пушке — 81,7%, по корпусной — 83%. С зенитной пушкой положение несколько улучшилось. Но это опять-таки по механическому состоянию артиллерии.</w:t>
      </w:r>
    </w:p>
    <w:p w14:paraId="28E0197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Если обратиться к состоянию каналов артиллерийских систем, то здесь положение становится очень неприятным. По новым пушкам — танковым и противотанковым — мы имеем стволов первой категории около 100%. В полковой артиллерии — то же самое. Горные пушки сильно распылены, и здесь состояние скверное — мы имеем исправных стволов 79%. У нас горные пушки все старые. Здесь это еще в более или менее удовлетворительном порядке </w:t>
      </w:r>
      <w:r w:rsidRPr="00E14102">
        <w:rPr>
          <w:rStyle w:val="a6"/>
          <w:i w:val="0"/>
          <w:color w:val="000000" w:themeColor="text1"/>
          <w:sz w:val="16"/>
          <w:szCs w:val="16"/>
        </w:rPr>
        <w:t>(указывает на диаграмму).</w:t>
      </w:r>
      <w:r w:rsidRPr="00E14102">
        <w:rPr>
          <w:color w:val="000000" w:themeColor="text1"/>
          <w:sz w:val="16"/>
          <w:szCs w:val="16"/>
        </w:rPr>
        <w:t xml:space="preserve"> Здесь мы имеем стволов второй категории 17,3% и третьей категории — 3,7%. Далее, по дивизионным пушкам мы имеем 87% в приличном состоянии, остальные — в состоянии значительного разгара — около 10% второй и 3% третьей категории. В корпусной артиллерии несколько лучше.</w:t>
      </w:r>
    </w:p>
    <w:p w14:paraId="383E6B7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зенитных пушках опять-таки процент разгара значительный. Правда, это касается главным образом пушек 1915 г.</w:t>
      </w:r>
      <w:r w:rsidRPr="00E14102">
        <w:rPr>
          <w:color w:val="000000" w:themeColor="text1"/>
          <w:sz w:val="16"/>
          <w:szCs w:val="16"/>
          <w:vertAlign w:val="superscript"/>
        </w:rPr>
        <w:t>80</w:t>
      </w:r>
      <w:r w:rsidRPr="00E14102">
        <w:rPr>
          <w:color w:val="000000" w:themeColor="text1"/>
          <w:sz w:val="16"/>
          <w:szCs w:val="16"/>
        </w:rPr>
        <w:t>, где очень большой процент разгара: стволов третьей категории мы имеем 8,3% от всего наличия зенитной артиллерии и второй категории — 6,4%. Что касается пушек 1931 г., то хотя они и сильно горят, хотя это пушки с большой начальной скоростью, но пока они не так испорчены. Таким образом, положение с артиллерийскими стволами названо удовлетворительным точно также быть не может. В этом году мы пошли не вперед, а назад по состоянию нашей материальной части.</w:t>
      </w:r>
    </w:p>
    <w:p w14:paraId="4DAD574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полной мере это относится и к артиллерийской упряжи. Артиллерийская упряжь у нас за истекший год не улучшилась, а значительно пошла вниз. Это касается упряжи и седел. Точно также вниз пошло дело и по передкам. Одним словом, здесь имеется большое поле деятельности, большая работа для наших управлений. Основное, что здесь отмечают наши инспектора, — это то, что в этом деле нет нужного ухода и нагрузка на боевую подготовку не сопровождается систематической требовательностью к обязательному приведению амуниции в порядок.</w:t>
      </w:r>
    </w:p>
    <w:p w14:paraId="0DFAD8C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неприкосновенному запасу мы на сегодняшний день материала не имеем.</w:t>
      </w:r>
    </w:p>
    <w:p w14:paraId="6B5A04E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По приборам управления картина точно также неблагоприятная. По всем названиям идет снижение качественного состояния военных приборов. Вот здесь на этой диаграмме </w:t>
      </w:r>
      <w:r w:rsidRPr="00E14102">
        <w:rPr>
          <w:rStyle w:val="a6"/>
          <w:i w:val="0"/>
          <w:color w:val="000000" w:themeColor="text1"/>
          <w:sz w:val="16"/>
          <w:szCs w:val="16"/>
        </w:rPr>
        <w:t>(указывает на диаграмму)</w:t>
      </w:r>
      <w:r w:rsidRPr="00E14102">
        <w:rPr>
          <w:color w:val="000000" w:themeColor="text1"/>
          <w:sz w:val="16"/>
          <w:szCs w:val="16"/>
        </w:rPr>
        <w:t xml:space="preserve"> красной краской обозначены приборы в исправном состоянии, оранжевой — требующие специального ремонта. Только по панорамам и дальномерам несколько улучшилось дело, а такие вещи, как бинокль, оптические прицелы и буссоли, пошли вниз.</w:t>
      </w:r>
    </w:p>
    <w:p w14:paraId="777C0DB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Особенно вырос процент неисправных стереотруб и достиг в этом году 29% против 20,7% в 1934 г. По остальным номенклатурам, там, где мы не имеем данных для того, чтобы сравнить состояние с прошлым годом, вы видите, что оранжевые столбики во всяком случае настолько велики, что внушают большое опасение. Я бы сказал, что с нашими приборами управления дело обстоит особенно остро. И т. Роговский об этом говорил, и в прениях выступали и говорили о том, что новыми приборами у нас далеко не так быстро овладевают — приборы очень сложные, требующие больших знаний. Ими даже не совсем хорошо пользуются тактически, а, как вы видите, в техническом отношении их просто-напросто портят. Конечно, нет должного внимания к этому делу, и единственная объективная причина, о которой здесь необходимо сказать, это то, что у нас нет еще хорошо подготовленных кадров приборшиков, которые умели бы ухаживать за этими приборами, умели бы ремонтировать их, инструктировать, как нужно обращаться с этими приборами. В своих предложениях Артиллерийское управление выдвигает целый ряд конкретных мероприятий, каким образом подготовить таких при-борщиков, умеющих справляться с этим делом. Во всяком случае с приборами управления и связи как для зенитной стрельбы, так и для других стрельб положение у нас находится в явно неудовлетворительном состоянии.</w:t>
      </w:r>
    </w:p>
    <w:p w14:paraId="6D278EB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остальным видам вооружения — и по химии, и по связи, и по инженерной технике — у нас точно также имеются очень большие недочеты. По химии скверно обращаются с учебными противогазами, неправильно их хранят, напрасно треплют, учет противогазов поставлен плохо, ремонт не налажен как следует и т.д. Не вполне хорошо обстоит дело и с хранением боевых противогазов — зачастую они хранятся в таких помещениях, которые по своим техническим условиям совершенно не отвечают своему назначению: в сырых и неотапливаемых помещениях. Защитная одежда во многих частях хранится очень небрежно. Не соблюдаются условия развешивания одежды, лежит она часто в сложенном виде в ящиках, и мне самому приходилось наблюдать, например, в Севастополе, что совершенно новое химическое снаряжение лежит в яшиках, а, как известно, оно через несколько месяцев приходит в полную негодность. Такую порчу химического вооружения и снаряжения мы замечаем довольно часто.</w:t>
      </w:r>
    </w:p>
    <w:p w14:paraId="219B870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вооружению связи картина очень похожа на ту, какую мы имеем по артиллерии и по стрелковому вооружению. Здесь мы имеем точно также очень большие дефекты, особенно в освоении радиосредств. Причем больше всего данных говорит о том, что освоение радиостанций хромает в нашей авиации. И по линии других родов войск обращает на себя внимание большой процент отхода в ремонт аппаратуры связи. Например, по полковым радиостанциям в БВО отошло в ремонт 45%, в СКВО — 50%, в САВО — 60%, по танковым радиостанциям — в ПриВО — 31%, по аэродромным — в МВО — 25% и т.д. Если учесть, что у нас ремонтное дело поставлено не так хорошо, и если учесть, что по комплектации запасными частями (здесь не вина войск, это вина нашего управления) и в авиации, и в связи, и в танковых частях мы не нащупали еще окончательных норм — одни заказывают части больше потребности, другие заказывают меньше, — то здесь предстоит очень большая работа по определению комплектности. При таких условиях сложности ремонта еще большие требования должны предъявляться к тому, чтобы материальная часть хранилась возможно лучше.</w:t>
      </w:r>
    </w:p>
    <w:p w14:paraId="669720E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инженерному вооружению имеются большие нарекания и на освоение новой материальной части, и на хранение старой. Этой материальной части мы все еще имеем недостаточно, и тем не менее даже то, что спущено, не всегда, оказывается, бывает освоено войсками. Имеются случаи, когда инженерная техника вовсе не использована, имеются случаи, когда новая инженерная техника осваивается, но ломается, выводится из строя и т.д.</w:t>
      </w:r>
    </w:p>
    <w:p w14:paraId="4ED7360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Та же самая картина наблюдается не только в наших сухопутных частях, но полностью по тем же самым разделам — и по артиллерийскому вооружению, и по связи, и по химии — в морском флоте. Здесь мы всюду имеем картину далеко не блестящего состояния всех видов вооружения.</w:t>
      </w:r>
    </w:p>
    <w:p w14:paraId="3141B0F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 будущий год необходимо будет самим командующим войсками и всему командному составу сделать самый серьезный и самый резкий нажим в том направлении, чтобы тактические занятия, усиленная тренировка в боевой подготовке ни в коем случае не уничтожали бы нашей материальной части. Если мы пойдем теми же темпами, как шли в 1935 г., то мы в течение ближайших лет совершенно расстроим нашу материальную часть. Это положение совершенно не может быть терпимо.</w:t>
      </w:r>
    </w:p>
    <w:p w14:paraId="402FEE6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складах, как вам известно, и в окружных, и в центральных, по всем решительно нашим специальным управлениям, положение весной этого года было еще совершенно нетерпимым, совершенно неудовлетворительным. Вы, конечно, все знаете и помните приказ народного комиссара по этому поводу</w:t>
      </w:r>
      <w:r w:rsidRPr="00E14102">
        <w:rPr>
          <w:color w:val="000000" w:themeColor="text1"/>
          <w:sz w:val="16"/>
          <w:szCs w:val="16"/>
          <w:vertAlign w:val="superscript"/>
        </w:rPr>
        <w:t>81</w:t>
      </w:r>
      <w:r w:rsidRPr="00E14102">
        <w:rPr>
          <w:color w:val="000000" w:themeColor="text1"/>
          <w:sz w:val="16"/>
          <w:szCs w:val="16"/>
        </w:rPr>
        <w:t>. В 20-х числах ноября комиссии вновь проверили состояние складов, причем в склады ездили те же самые лица, которые ездили и весной, таким образом, были живые люди, которые сличили весеннее хранение и осеннее. Нужно сказать, что улучшение мы наблюдаем действительно повсюду. Это касается решительно всех сторон: и учета, и комплектации снарядов, и качества хранения, охраны, мобилизационной работы и т.д. Конечно, состояние это далеко не такое, чтобы можно было сложить руки, но тем не менее некоторое улучшение мы наблюдаем везде. В частности, остановлюсь на учете. Правда, тут нужно сказать, что по учету мы все еще пользуемся разными системами учета по разным управлениям, тут единой системы учета, которую должно было бы подработать АМУ, пока еще мы не имеем. Но по этим разным системам положение с учетом несколько улучшилось. Это касается решительно всех видов вооружения. Начнем с артиллерийского дела.</w:t>
      </w:r>
    </w:p>
    <w:p w14:paraId="09DA592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подавляющем большинстве проверенных артиллерийских складов, например в № 26, 22, 72, 66, 46 учет найден удовлетворительным, и расхождений между учетными данными и фактическим наличием нигде не обнаружено. Это картина, безусловно, приятная, но наряду с этим мы встречаем склады, которые не достигли еще удовлетворительного состояния учета. Особенно нужно в этом отношении отметить 75-й Ленинградский склад. Он и весной был в плохом состоянии. Правда, это новый склад, формируется он из 2 складов, туда свозится имущество, но мы на него особенно нажимали, старались поправить дело, однако и на сегодня признать состояние этого склада удовлетворительным нельзя. Но в основном проверенные артиллерийские склады оказались по учету значительно улучшенными.</w:t>
      </w:r>
    </w:p>
    <w:p w14:paraId="189B4F0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морским складам некоторое улучшение имеется, но нужно сказать прямо, что морские артиллерийские и особенно огневые склады отстали в этом отношении от дела учета по сравнению со складами Артиллерийского управления. Морские склады оказались всюду хуже и по комплектации, и по состоянию. Морякам в этом отношении надо серьезно подтянуться.</w:t>
      </w:r>
    </w:p>
    <w:p w14:paraId="19330D1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инженерным складам в большинстве учет налажен, но в складе № 90 уже обнаружено расхождение. По авиационным складам имеется значительное улучшение, но в складе № 8 тоже расхождение между учетом по книгам и наличностью. По бронетанковым складам улучшение значительное, но в 101-м складе опять расхождение — имеются излишки и недостачи имущества. По складам связи улучшение имеется, но тоже имеются склады, как, например, № 98, в котором учетные данные не сходятся с наличием. В химических складах отмечено значительное улучшение учета.</w:t>
      </w:r>
    </w:p>
    <w:p w14:paraId="568B085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Самое худшее положение на сегодняшний день в железнодорожных складах, особенно в Торжке. Здесь обнаружена картина неудовлетворительного состояния. Тут нужно констатировать не только не улучшение, но ухудшение по сравнению с тем, что имели летом — и учета, и комплектации, и хранения. Сотни вагонов ценнейшего имущества находятся под открытым небом в то время, когда имеются незанятые и неиспользованные хранилища. Это дело подсудное, за которое нужно начальника склада жесточайшим образом покарать.</w:t>
      </w:r>
    </w:p>
    <w:p w14:paraId="2ECD018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По вопросу комплектации проделана, безусловно, очень большая работа, правда, дело еще не закончено, но та система, которую мы провели, значительно упорядочивает положение. В войсках должно храниться только комплектное имущество и в окружных складах — тоже только комплектное имущество. В окружных складах было много лишнего, что нарушало комплектность. Все некомплектное свезено в центральные склады, где приводится в порядок, скомплектовывается — как путем внутренних внескладских перевозок, так и путем перевозок недостающих элементов от промышленности. На сегодняшний день мы имеем нескомплектованные </w:t>
      </w:r>
      <w:r w:rsidRPr="00E14102">
        <w:rPr>
          <w:color w:val="000000" w:themeColor="text1"/>
          <w:sz w:val="16"/>
          <w:szCs w:val="16"/>
        </w:rPr>
        <w:lastRenderedPageBreak/>
        <w:t>выстрелы, зависящие от дальнейшего поступления от промышленности. По мере поступления элементов мы сможем их скомплектовыватъ. Здесь склады будут бессильны. Поэтому, повторяю, по Артиллерийскому управлению проделана очень крупная работа, которая еще полностью не закончена на центральных складах, но на окружных и войсковых складах положение значительно упорядочено. И все-таки, несмотря на ряд приказов, во многих частях нет складов для неприкосновенных запасов, и все это хранится на окружных складах, что является совершенно недопустимым.</w:t>
      </w:r>
    </w:p>
    <w:p w14:paraId="09BF4EF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морским складам у нас положение по комплектации хуже, чем в складах Артиллерийского управления.</w:t>
      </w:r>
    </w:p>
    <w:p w14:paraId="0B4412F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Авиационные склады хранят материальную часть свою комплектно, но имеются факты, когда крупные комплекты к моторам самолетов раскомплекговываются в зависимости от текущей потребности в наиболее ходовых деталях, что объясняется тем, что проведена недостаточная работа по подбору необходимого количества соответствующих деталей в групповом комплекте. Нормы расходов определены нежизненно и поэтому не хватает иногда тех частей, на которые рассчитывает управление. По отдельным складам, как, например, № 2, 8, 15, отмечены отдельные факты раскомплектованности, правда, в небольших количествах.</w:t>
      </w:r>
    </w:p>
    <w:p w14:paraId="4D97ABE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автобронетанковым складам раскомплектованности нигде не обнаружено. Однако имеются случаи неопределенности самого комплекта, как, например, на 101-м складе — комплекты инструмента к мотоциклам имеют различное количество предметов. Нужно сказать, что хуже всего по комплектности обстоит дело до сего времени в Химическом управлении. На химических складах не проделано той огромной работы, которая проделана нашими артиллеристами. И т. Фишману и другим химикам должно быть стыдно, им необходимо будет в самые короткие сроки подтянуться и выправить те дефекты, которые были обнаружены, в частности на складах № 136 и 138. По инженерным складам проделана большая работа, несмотря на наличие отдельных дефектов на складах № 96 и 78. Большой раскомплектованности обнаружено не было. По складам связи дело обстоит несколько хуже. Здесь тоже той образцовой работы, которая имеется по артиллерийским складам, мы не находим. По железнодорожным я уже говорил.</w:t>
      </w:r>
    </w:p>
    <w:p w14:paraId="4EA981A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Качество хранения значительно выросло, и если не принимать во внимание плохое состояние складских помещений, то сами методы хранения правильны. Складские помещения и хранилища чрезвычайно скверны. Поэтому здесь нужно будет на 1936 г. основные средства строительного порядка употребить на то, чтобы привести в порядок хранение, привести в порядок крыши, привести в порядок полы и отопление, где полагается, и т.д. В этом отношении мы имеем все еще очень плохое положение.</w:t>
      </w:r>
    </w:p>
    <w:p w14:paraId="57E0806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Однако независимо от плохого состояния и недостатка самих хранилищ в ряде случаев установлены недочеты в хранении имущества. По железнодорожному парку в Торжке, как я уже говорил, хранится под открытым небом 385 вагонов ценного имущества. Не всегда все бывает в порядке и в соответствии с техническими условиями на складах связи. Я могу назвать 98-й склад. Там не имели специальных хранилищ для кабелей и резиновых изделий. Это недочеты строительного плана, которые в течение лета сами начальники складов своими силами не могли изменить. Но есть и такое имущество, требующее герметического хранения, как, например, мембраны, которые хранятся без заливки швов укупорки парафином, как это полагается, что, безусловно, лежит на обязанности самих складов. То же самое на 91-м складе.</w:t>
      </w:r>
    </w:p>
    <w:p w14:paraId="5AAA858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 авиационных и бронетанковых складах по качеству хранения комиссии отмечают значительное улучшение, в то время как летом приходилось докладывать, что худшее состояние именно в этих складах. На сегодняшний день положение значительно выправлено, и ни одна комиссия не дает уже по авиационным и бронетанковым складам таких скверных данных, как это было раньше. На этих складах хранение удовлетворительное, за исключением ряда отдельных дефектов, в отношении которых комиссии дают указания и которые необходимо выправить.</w:t>
      </w:r>
    </w:p>
    <w:p w14:paraId="5AD12F8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Затем, за эти последние месяцы проведена большая работа по складам в смысле отбраковки ненужного имущества — хлама. Об этом в приказе народного комиссара тоже бьшо указано, но реализуется это дело чрезвычайно медленно. Это — фондовое имущество. Тов. Хрулеву нужно поднажать на это дело. Комиссии на всех складах обнаружили большую заваль фондового имущества, которое никуда не вывозится и загромождает наши склады.</w:t>
      </w:r>
    </w:p>
    <w:p w14:paraId="261A5E8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 прошлой весны комиссии отмечают улучшение и в области мобилизационной работы складов. В то время как весной положение было охарактеризовано совершенно неудовлетворительным, сейчас комиссии отмечают проделанную большую работу, но, к сожалению, работа в большинстве случаев бумажная, т.е. расчеты сделаны, а материальной частью не обеспечены. Между прочим, Генеральному штабу нужно обратить серьезное внимание на то обстоятельство, о котором говорил так много т. Левичев. Головные армейские склады в мобилизационном отношении оформлены, расчеты произведены, личный состав приписан, но оборудование и материальная часть на этих складах совершенно отсутствуют. В случае войны все это поднимется, люди будут, а того, что полагается, не будет. Положение нетерпимое. В области мобилизационной работы это самый серьезный дефект, который нужно в самом срочном порядке выправить.</w:t>
      </w:r>
    </w:p>
    <w:p w14:paraId="5CA9829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личному составу. Состав был проверен. Но до сих пор еще личный состав, как это требовалось приказом наркома, не укомплектован. Это положение требует скорейшего разрешения. Комиссии отмечают и некоторое улучшение в области охраны складов.</w:t>
      </w:r>
    </w:p>
    <w:p w14:paraId="6E03A60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Дисциплина поднялась. Охрана стала более бдительной и более инструктированной.</w:t>
      </w:r>
    </w:p>
    <w:p w14:paraId="1D047BB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 же самое и в области противопожарной охраны. Но это только незначительное улучшение. Оборудования не хватает, не хватает самых элементарных вещей, дороги плохие. Эта часть на складах все еще продолжает оставаться неудовлетворительной. В 1936 г. те средства, которые будут отпущены на ремонт складов, нужно в первую очередь обратить на эту сторону дела.</w:t>
      </w:r>
    </w:p>
    <w:p w14:paraId="5009C43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материально-бытовому положению мы не имеем улучшения, хотя приказом наркома было указано, что рабочие складов должны быть приравнены по своей заработной плате к заработку рабочих данных местностей. Но от Финансового отдела, как отмечают комиссии, последовало разъяснение, чтобы прибавку сделать, но не выше 10% от основного оклада, а так как заработок рабочих значительно больше, то эта поправка свела на нет приказ. Не знаю, доложено ли об этом наркому, но во всяком случае установка о том, чтобы рабочие складов были на одном уровне с рабочими района, не выполнена и положение остается еще неудовлетворительным.</w:t>
      </w:r>
    </w:p>
    <w:p w14:paraId="21B92B1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общем, по складам мы имеем несомненное улучшение, но, товарищи, это улучшение касается лишь только упорядочения самой работы складских органов. Начальники складов при помощи округов насели на эту работу, выправили учет, отправили из округов раскомплектованное имущество в центральные склады, поднажали на охрану и т.д. Но состояние является далеко еще не удовлетворительным. Я бы мог вам прочесть отдельные выдержки о том, что имущество хранится неудовлетворительно, имеются расхождения наличия с учетными данными и т.д. Я мог бы прочесть огромное количество таких вещей. Но вы об этом сами хорошо знаете. Очевидно, эту работу, удачно начатую, но далеко еще не оконченную, нужно в срочном порядке обязательно довести до конца. Внимание к складам ни в коем случае в настоящий момент мы не имеем права ослаблять.</w:t>
      </w:r>
    </w:p>
    <w:p w14:paraId="57B6617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Затем нужно сказать, что сейчас большая ответственность за состояние складов особенно падает на командующих войсками, потому что начальники складов свои возможности исчерпали, часто у них нет денег, чтобы починить крышу, сделать пол, поправить дороги и т.д. Если командующие войсками не помогут, начальники складов не могут дать соответствующего улучшения.</w:t>
      </w:r>
    </w:p>
    <w:p w14:paraId="0AC65C8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этом году на склады намечается такая крупная цифра, о которой мы в прошлом году и мечтать не смели. Если только по-хозяйствен-ному, хорошо эти средства использовать, мне кажется, те недочеты, которые имеются в области хранения, нам можно будет в будущем выправить. Таково, товарищи, состояние хранения в складах. Дело начато хорошо, далеко еще не закончено, и предстоит огромная работа, чтобы это важнейшее дело довести до конца.</w:t>
      </w:r>
    </w:p>
    <w:p w14:paraId="76D8DE1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общем и в области эксплуатации материальной части, имеющейся на руках, и хранящейся в неприкосновенных запасах, и хранящейся на складах окружных и центральных, мы имеем еще очень большие дефекты, которые не могут быть оправданы ни усилиями в боевой подготовке, ни отвлечением внимания командующих войсками в эту сторону и на новое строительство.</w:t>
      </w:r>
    </w:p>
    <w:p w14:paraId="78CD0EE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течение 1936 г. мы должны привести в образцовый порядок материальную часть и складское хозяйство.</w:t>
      </w:r>
    </w:p>
    <w:p w14:paraId="6DC1287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111-115.</w:t>
      </w:r>
    </w:p>
    <w:p w14:paraId="2639CC1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Ефимов.</w:t>
      </w:r>
      <w:r w:rsidRPr="00E14102">
        <w:rPr>
          <w:color w:val="000000" w:themeColor="text1"/>
          <w:sz w:val="16"/>
          <w:szCs w:val="16"/>
        </w:rPr>
        <w:t xml:space="preserve"> По вопросу о состоянии оружия разрешите еще раз подчеркнуть один чрезвычайно опасный симптом — вопрос о ржавлении каналов стволов. Тот процент ржавления каналов стволов, который здесь опубликован т. Тухачевским, внушает серьезнейшие опасения за содержание оружия в ближайшем будущем. Я считаю, что если не будут выработаны особые меры в этом отношении, то мы можем очутиться в тяжелом положении через год-два.</w:t>
      </w:r>
    </w:p>
    <w:p w14:paraId="1256B7F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Какие меры Артиллерийское управление может предпринять? Конечно, решающим мероприятием может быть хромирование стволов. Мы пытаемся с этого года поставить снабжение армии в отношении стволов только путем хромирования с тем, чтобы уже в последующем продукция могла бы поступать и содержаться с гарантией не ржавления. Но в отношении того массива, который мы имеем в армии (исходя из состояния технического оборудования и состояния нашей техники), ничего нельзя предложить другого, как только улучшить сбережение оружия, улучшить чистку оружия. Я должен сказать, что, несмотря на значительное усиление внимания к вопросу сбережения оружия, мы имеем целый ряд фактов, когда, например, нашим техникам и командирам не предоставляют времени для того, чтобы привести оружие в порядок. Это отмечают и комиссии, и наши инспектора.</w:t>
      </w:r>
    </w:p>
    <w:p w14:paraId="23DC480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Особо неблагополучно положение с чисткой оружия в авиации. В авиации, как правило, после окончания какой-либо боевой, тактической задачи совершенно не дают времени для того, чтобы просмотреть оружие, протереть его, смазать, исправить. Весь личный состав после авиаучения старается как можно скорее просмотреть самолет, мотор, закрыть ангар и затем успокоиться. Количество людей, осматривающих оружие в нашей авиации, крайне недостаточно. Тут необходима помощь нашим авиационным частям в отношении кадров.</w:t>
      </w:r>
    </w:p>
    <w:p w14:paraId="54C3674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Второй чрезвычайно тяжелый вопрос, который сегодня тоже уже приходится отмечать как весьма неприятный симптом для ближайших лет, — это резкое ухудшение оптики, резкое ухудшение качества наших приборов.</w:t>
      </w:r>
    </w:p>
    <w:p w14:paraId="675E77A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Получаемых с производства?</w:t>
      </w:r>
    </w:p>
    <w:p w14:paraId="2E21C9A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Ефимов.</w:t>
      </w:r>
      <w:r w:rsidRPr="00E14102">
        <w:rPr>
          <w:color w:val="000000" w:themeColor="text1"/>
          <w:sz w:val="16"/>
          <w:szCs w:val="16"/>
        </w:rPr>
        <w:t xml:space="preserve"> Нет. Главным образом уже находившихся несколько лет в частях. По-видимому, тут уже войсковым ремонтом никак нельзя обойтись потому, что ремонтировать приборы при наших крайне недостаточно оснащенных полковых мастерских невозможно. Тут необходимо: первое — пойти на то, чтобы дать войскам значительно больший процент учебных приборов, потому что войска сейчас пользуются для учебы боевыми приборами. Второе — необходимо, конечно, значительно усилить внимание к правильной эксплуатации приборов.</w:t>
      </w:r>
    </w:p>
    <w:p w14:paraId="61416F5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lastRenderedPageBreak/>
        <w:t>В отношении складов. С задачами, которые были поставлены народным комиссаром, как тут уже докладывал заместитель народного комиссара т. Тухачевский, мы в основном в части артскладов справились. Я должен доложить, что на сегодняшний день совершенно устранен, по-моему, основной недостаток, который был в нашей комплектации. Почему мы не могли до настоящего времени правильно комплектовать огнеприпасы? Потому что у нас не были разработаны отдельные элементы выстрела и не были они на валовом производстве. Этот самый решающий и главный недостаток устранен. Мы на сегодня можем обеспечить армию всеми элементами выстрела. И если мы на сегодня еще не скомплектовали все целиком, то это объясняется недоподачей промышленностью этих отдельных элементов. В таких условиях единственным и правильным выходом был тот выход, который и был нами произведен, а именно — приказом начальника вооружений мы освободили войсковые и окружные склады от некомплектной продукции. Таким образом, теперь, начиная с 1 декабря, мы не имеем ни в окружных, ни в войсковых складах ни одного снаряда некомплектного, и мы не будем подавать окружным и войсковым складам ни одного некомплектного выстрела. А тот некомплект, который имеется на сегодня как остаток старого на центральных складах должен быть устранен в течение 1936 г. целиком и полностью, и план заказов эту задачу предусматривает.</w:t>
      </w:r>
    </w:p>
    <w:p w14:paraId="265969D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Вопрос об учете. Я считаю, т. народный комиссар, что у нас правильного учета огнеприпасов от низовой ячейки, именно от стрелкового полка через окружной, до центрального аппарата на сегодня еще нет. Сейчас АМУ подработало единое положение об учете, единые учетные ведомости. Но чтобы провести в жизнь всю эту механику, нам нужно предусмотреть, кто же эту механику будет выполнять там — в роте, батальоне, полку и т.д. Я должен доложить, что штаты, существующие до сегодняшнего дня, я не беру в расчет проект штатов, который предлагает Генеральный штаб, не обеспечивают правильного учета. Взять, например, начальников боевого питания. Мы взяли несколько десятков полков, поговорили с начальником боевого питания и стали просматривать, как они справляются с учетными данными. Выяснилось, что начальник боевого питания справиться с учетом не может. Почему это происходит? На начальника боевого питания возложен сейчас, в мирных условиях, учет и ответственность за все имущество в полку. Он снабжает полк не только артиллерийскими предметами вооружения, а и всеми остальными: химическими, связью, инженерным и т.д. Я считаю, что это неправильно. Генеральный штаб по моему докладу уже проектирует в тех штатах, которые будут утверждены народным комиссаром, внести это изменение. Но этого мало. Я должен доложить, что в области артиллерии мы также нуждаемся в начальнике артиллерийского снабжения дивизии, как это и было вами проведено в отношении хозяйственного снабжения. Без начальника артиллерийского снабжения дивизии сейчас, при очень больших задачах, возложенных на дивизии, на полки, мы обойтись не можем. И тут я хотел бы остановиться хотя бы очень кратко на нашем артиллерийском тыле, начиная с дивизии и выше.</w:t>
      </w:r>
    </w:p>
    <w:p w14:paraId="4F3E6C5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первому вопросу порядка дня совещания Военного совета выступали товарищи и ссылались на опыт Кубинки. Я не согласен с тем оптимизмом, о котором говорил т. Левичев, что якобы учение в Кубинке привело нас к выводу, что в основном задача с артиллерийским тылом разрешена. Я не согласен с этим. Что получилось в Кубинке? То, что получается на всех учениях. Начальник военной дороги, взятый отдельно, хорошо или плохо, но справлялся со своей работой. Начальник головного склада тоже как будто бы справлялся, но между ними — между штабом корпуса, между начальником артиллерии корпуса, между начальником артиллерии армии, начальником головного склада и начальником грунтового участка военной дороги — абсолютно никакой увязки не получилось. Концерта, который дал бы возможность сказать на сегодня, что мы к организации этого трудного корпусного звена подготовлены, не получилось. Я сам большую часть времени провел в Кубинке с начальником головного склада и должен сказать, ни одной телеграммы или извещения от коменданта станции снабжения или от начальника грунтового участка за всю деятельность начальник головного склада не получил. Это лучшее доказательство того, что тыл ещё не организован. И вот этот стык, стык между армейским звеном и войсковым, на сегодня является еще недоработанным.</w:t>
      </w:r>
    </w:p>
    <w:p w14:paraId="28D0376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Что здесь можно предпринять? Несомненно, надо прежде всего просмотреть, кто у нас начальниками головных складов назначаются, так же как просмотрели начальников военных дорог. Кто же они оказались? Вот начальник головного склада на станции Кубинка, который должен был учитывать на учении, но его сняли. Начальник головного склада — это технический директор одного из заводов. Начальник отдела, который должен ведать подвозом, — это сотрудник Московского отделения госбанка, который ни разу в жизни снаряда не видел. И вот этот состав должен был осуществлять чрезвычайно трудную операцию по подвозу и организации головного склада. Я считаю, что начальники головных складов должны быть в мирное время подобраны в центре. Начальники грунтовых участков должны быть подобраны окружным командованием и должны если не ежегодно, то через год привлекаться на сборы и нами подготавливаться для условий военного времени. Все было децентрализовано.</w:t>
      </w:r>
    </w:p>
    <w:p w14:paraId="56E946E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Егоров.</w:t>
      </w:r>
      <w:r w:rsidRPr="00E14102">
        <w:rPr>
          <w:color w:val="000000" w:themeColor="text1"/>
          <w:sz w:val="16"/>
          <w:szCs w:val="16"/>
        </w:rPr>
        <w:t xml:space="preserve"> Он говорит о том, что обязательно должен был знать сам, должен знать персонально, по крайней мере начальник артиллерийских головных складов.</w:t>
      </w:r>
    </w:p>
    <w:p w14:paraId="4E52BEE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Ефимов.</w:t>
      </w:r>
      <w:r w:rsidRPr="00E14102">
        <w:rPr>
          <w:color w:val="000000" w:themeColor="text1"/>
          <w:sz w:val="16"/>
          <w:szCs w:val="16"/>
        </w:rPr>
        <w:t xml:space="preserve"> Разрешите доложить, что этот вопрос был целиком децентрализован, и не случайно получилось то, что начальники головных складов, по моему мнению, за очень редкими исключениями, назначены совершенно случайно.</w:t>
      </w:r>
    </w:p>
    <w:p w14:paraId="57725E5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Почему не были проверены при приписке и на поверочных сборах?</w:t>
      </w:r>
    </w:p>
    <w:p w14:paraId="599AE35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Ефимов.</w:t>
      </w:r>
      <w:r w:rsidRPr="00E14102">
        <w:rPr>
          <w:color w:val="000000" w:themeColor="text1"/>
          <w:sz w:val="16"/>
          <w:szCs w:val="16"/>
        </w:rPr>
        <w:t xml:space="preserve"> Потому что вопрос был децентрализован: кого райвоенкомат назначал, того и утверждали, а округа не проверяли, тем более мы не проверяли. А надо сделать наоборот.</w:t>
      </w:r>
    </w:p>
    <w:p w14:paraId="2610340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Тов. народный комиссар, я должен доложить о чрезвычайно тревожном вопросе в части тыла, на который никто решительно не обращает внимания. Штатными повозками и по проектируемым и по существующим штатам тыла мы не подымаем. Я не знаю, почему никто об этом совершенно не говорит. Возьмите вы самый простой расчет по стрелковому полку. Если подсчитать по количеству запасных частей боевого имущества, приборов и пр. и все это сложить, то я докладываю, повозок штатных на это не хватит. Значит, или мы должны сознательно идти на то, что будем с первого дня мобилизации опираться на вольнонаемный обоз, начиная со стрелкового полка и выше, или должны увязать табельную норму со штатным обозом. Почему-то на этот вопрос мы, к сожалению, не обращаем внимания.</w:t>
      </w:r>
    </w:p>
    <w:p w14:paraId="56A7FB6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должен сказать, что окружной аппарат сейчас по приказу народного комиссара значительно усилен. Но подбор этого окружного аппарата находится в совершенно неудовлетворительном состоянии. У нас, т. народный комиссар, начальники артиллерии округов, вероятно, перегружены чрезвычайно подготовкой, они не уделяют должного внимания тылу. Начальники артиллерийского снабжения подобраны из людей, не особенно высоко квалифицированных. Кроме того, личный состав окружного аппарата не укомплектован уже почти год.</w:t>
      </w:r>
    </w:p>
    <w:p w14:paraId="0565887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Помощники начальников артиллерии по материальной части до сих пор не допущены к исполнению мобилизационных работ.</w:t>
      </w:r>
    </w:p>
    <w:p w14:paraId="233157C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Ефимов.</w:t>
      </w:r>
      <w:r w:rsidRPr="00E14102">
        <w:rPr>
          <w:color w:val="000000" w:themeColor="text1"/>
          <w:sz w:val="16"/>
          <w:szCs w:val="16"/>
        </w:rPr>
        <w:t xml:space="preserve"> Это тоже есть. Я просил бы обратить на этот вопрос необходимое внимание.</w:t>
      </w:r>
    </w:p>
    <w:p w14:paraId="37026F7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Последний вопрос, т. народный комиссар, на который нужно обратить исключительное внимание и поставить его совершенно по-иному, — это вопрос ремонта. По-моему, здесь решительно все наши центральные управления (я не исключаю себя) не учитывают, что происходит у нас в народном хозяйстве. Наша социалистическая промышленность нам обязана давать такое количество запасных частей и в таких размерах, чтобы совершенно заменить нам ремонт или поставить его по-иному, свести его к доукомплектованию нашего ручного оружия, материальной части артиллерии необходимыми запчастями и инструментом (ЗИП). Этот вопрос на сегодня разрешен плохо-</w:t>
      </w:r>
    </w:p>
    <w:p w14:paraId="737B558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Тов. народный комиссар, что у нас происходит? Так как промышленность не дает в необходимом количестве запасных частей, центральные управления нагружают ремонтные органы. Я бы поставил вопрос так, как разрешено в отношении комбайнов и автотракторной промышленности. Там создана специальная «Автозапчасть», создан специальный орган, который дает запасные части для наших автомобильных заводов. Если бы была создана артиллерийская запчасть, о чем я неоднократно говорил т. Павлуновскому, было бы очень хорошо. К сожалению, нач. ГВМУ согласен, а практически ничего не проводит. Если бы у нас был такой трест, тогда мы могли бы укомплектовать все вплоть до полковых запасных частей и ремонт свелся бы к мелочам. А на сегодня что мы имеем? Положение совершенно неудовлетворительное. Я должен здесь сказать, что стоимость ремонтируемых предметов в два раза дороже новых. Уже на сегодняшний день невыгодно ремонтировать, скажем, пулемет Дегтярева или Максима потому, что я плачу за ремонт 500-800 руб., в то время как новый стоит 200—400 руб. Такое же положение по любому предмету стрелкового оружия. И это совершенно наглядно. Возьмите Соединенные Штаты. Там, как всем нам известно, дешевле купить новое пальто, чем отремонтировать старое. И ясно, что в стране с развитой индустрией иного положения быть не может.</w:t>
      </w:r>
    </w:p>
    <w:p w14:paraId="5D8D6E2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 если мы пойдем по этой линии, то сможем ремонтный тыл упростить и свести его к подвозимым ДАРМам, которые в тыловом уставе Генеральным штабом предусмотрены. Эти ДАРМы справились бы с войсковым ремонтом при условии пополнения армии запасными частями. А для более сложного ремонта иметь подвижные ремонтные поезда и стационарные фронтовые мастерские. Количество их будет не больше, но при условии, что промышленность будет нас снабжать запасными частями в достаточном количестве.</w:t>
      </w:r>
    </w:p>
    <w:p w14:paraId="15C7413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115-116.</w:t>
      </w:r>
    </w:p>
    <w:p w14:paraId="181D57D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Мезис.</w:t>
      </w:r>
      <w:r w:rsidRPr="00E14102">
        <w:rPr>
          <w:color w:val="000000" w:themeColor="text1"/>
          <w:sz w:val="16"/>
          <w:szCs w:val="16"/>
        </w:rPr>
        <w:t xml:space="preserve"> Партийные организация и политорганы после решения ЦК и приказа народного комиссара вопросами материального обеспечения занимались конкретнее. В частности, приказ об укреплении складов политработниками выполнен. Указания ПУ РККА о дополнительном отпуске средств на политработу и культурное обслуживание рабочих по складам округа выполнены. Приказ народного комиссара о проверке рабочих выполнен.</w:t>
      </w:r>
    </w:p>
    <w:p w14:paraId="38BF6E7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Политорганы и парторганизации за последние месяцы с момента издания приказа занимались этими вопросами совершенно конкретно, ставя вопрос на парторганизациях, укрепляя склады членами партии, например младшими командирами, кладовщиками, вахтерами, мастеровыми с целью укрепления партийного влияния. Такая же работа проведена по подбору младшего хозяйственного состава в полках.</w:t>
      </w:r>
    </w:p>
    <w:p w14:paraId="22FD3D7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приведению в порядок нашего складского хозяйства проведена большая работа. Если до приказа народного комиссара мы могли встречать на наших крупных складах — и Сызранских, и Казанских крупные беспорядки и на территории складов, и в хранилищах, то сейчас это дело резко изменилось. Качество работы складских работников резко повысилось. В частности, Казанский склад (я недавно был на Казанском складе) резко изменил свое лицо в смысле порядка организации всей работы на территории склада и в организации политической работы среди рабочих.</w:t>
      </w:r>
    </w:p>
    <w:p w14:paraId="682B081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lastRenderedPageBreak/>
        <w:t>Приказ народного комиссара о приравнении рабочих складов к военным заводам, о жилищном строительстве и др. льготах произвел чрезвычайно сильное впечатление на рабочих и оказал сразу же свое влияние. Так, например, сократилась текучесть рабочих наших складов. А складских рабочих мы имеем большое количество, в частности на Сызранских складах в отдельные периоды количество рабочих доходит до 1500 чел.</w:t>
      </w:r>
    </w:p>
    <w:p w14:paraId="55E1633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 сегодняшний день ваш приказ, Климент Ефремович, о жилищном строительстве для рабочих при наших складах не выполняется, и те конкретные мероприятия, которые намечены на 1936 г., не соответствуют вашим указаниям. В частности, Казанский склад находится в 14 км от города. Жилищное строительство для рабочих до сего времени было незначительно, и по плану на 1936 г. жилищное строительство не предусматривается, так как средства не отпускаются. Необходимо намеченные по приказу мероприятия по строительству для складских рабочих реализовать более решительно.</w:t>
      </w:r>
    </w:p>
    <w:p w14:paraId="42A83C8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Что же мы имеем на складах среди рабочих в смысле стахановского движения? На всех наших крупных складах есть стахановцы. Стахановское движение принимает характер массового движения. Парторганизация складов, мастерских стахановским движением конкретно занимается. Стахановское движение получило свое конкретное выражение в досрочном выполнении производственных планов и постановке вопроса о пересмотре норм. Ян Борисович, я думаю, что было бы правильно политобслуживание и руководство парторганизацией военных складов передать политорганам.</w:t>
      </w:r>
    </w:p>
    <w:p w14:paraId="4B26D11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Я написал в ЦК, но оргбюро до сих пор не рассматривало.</w:t>
      </w:r>
    </w:p>
    <w:p w14:paraId="2B2F8B1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Мезис.</w:t>
      </w:r>
      <w:r w:rsidRPr="00E14102">
        <w:rPr>
          <w:color w:val="000000" w:themeColor="text1"/>
          <w:sz w:val="16"/>
          <w:szCs w:val="16"/>
        </w:rPr>
        <w:t xml:space="preserve"> Это было бы целесообразное мероприятие.</w:t>
      </w:r>
    </w:p>
    <w:p w14:paraId="59F6B16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Несколько слов о караульной службе. Караульная служба несется вполне удовлетворительно. Состояние караульных помещений и состояние помещений для караульных частей соответствует вашим указаниям, за исключением Сызранского батальона. Сызран-ский батальон находится в тяжелых бытовых условиях. Помещение Сызранского батальона — это дом для начсостава, тут в этих помещениях разместили и батальон. Клуба этот батальон не имеет, с помещением для начсостава тоже плохо. Поэтому в отношении 22-го батальона следует провести дополнительные мероприятия. В караульном батальоне очень плохо с казармами. Это помещение бьшо рассчитано на роту, а в нем был размещен батальон и ничего для этого батальона не добавлялось в смысле помещения. При таких условиях, конечно, батальон находится в тяжелых условиях. Следует отпустить некоторые технические средства связи для комсостава караульных частей, в частности велосипеды для проверки караулов при наличии большой территории. Это было бы весьма желательно.</w:t>
      </w:r>
    </w:p>
    <w:p w14:paraId="6800153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Два слова о состоянии самых больших мастерских, имеющих всесоюзное значение. Тов. Ефимов, по-моему, мало делается в смысле реконструкции наших мастерских, в смысле улучшения технологического процесса. Я думаю, что наше Артиллерийское управление этим вопросом занимается недостаточно. Те предложения и соображения, которые поступают от работников складов, мастерских, не получают достаточно отзывчивого отношения на предмет того, чтобы эти предложения реализовать.</w:t>
      </w:r>
    </w:p>
    <w:p w14:paraId="663B525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117.</w:t>
      </w:r>
    </w:p>
    <w:p w14:paraId="0CD2F8F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Хрулев.</w:t>
      </w:r>
      <w:r w:rsidRPr="00E14102">
        <w:rPr>
          <w:color w:val="000000" w:themeColor="text1"/>
          <w:sz w:val="16"/>
          <w:szCs w:val="16"/>
        </w:rPr>
        <w:t xml:space="preserve"> Прежде всего я имею в виду ответить на вопросы, поставленные заместителем народного комиссара М.Н. Тухачевским, в отношении оплаты рабочих складов и мастерских. В приказе народного комиссара № 0060</w:t>
      </w:r>
      <w:hyperlink r:id="rId299" w:anchor="_ftn1" w:history="1">
        <w:r w:rsidRPr="00E14102">
          <w:rPr>
            <w:rStyle w:val="a4"/>
            <w:color w:val="000000" w:themeColor="text1"/>
            <w:sz w:val="16"/>
            <w:szCs w:val="16"/>
          </w:rPr>
          <w:t>[1]</w:t>
        </w:r>
      </w:hyperlink>
      <w:r w:rsidRPr="00E14102">
        <w:rPr>
          <w:color w:val="000000" w:themeColor="text1"/>
          <w:sz w:val="16"/>
          <w:szCs w:val="16"/>
        </w:rPr>
        <w:t>, п. 38 в отношении складов сказано:</w:t>
      </w:r>
    </w:p>
    <w:p w14:paraId="14A63DB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целях закрепления рабочих на складах на длительный период осуществить следующие мероприятия.</w:t>
      </w:r>
    </w:p>
    <w:p w14:paraId="489AD72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A. По прослужении рабочего на складе до 3 лет выдавать ему единовременно двухнедельную путевку в дом отдыха, двухнедельный заработок и установить 10%-ную прибавку к ставке зарплаты.</w:t>
      </w:r>
    </w:p>
    <w:p w14:paraId="773D7B3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Б. По прослужении рабочим на складе 6 лет выдавать ему единовременно месячную путевку в дом отдыха и устанавливать 20%-ную прибавку к ставке заработной платы.</w:t>
      </w:r>
    </w:p>
    <w:p w14:paraId="0CACCAB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B. По прослужении рабочим на складе 10 и более лет выдавать единовременно месячную путевку в дом отдыха и двухмесячный заработок и устанавливать 30% к ставке заработной платы, а также в последующем ежегодно выдавать двухнедельную путевку в дом отдыха.</w:t>
      </w:r>
    </w:p>
    <w:p w14:paraId="5BE9B14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7. Указанные мероприятия в отношении прослуживших на складе 10 и более лет провести в 1935 г.</w:t>
      </w:r>
    </w:p>
    <w:p w14:paraId="2F4413F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Льготы всем остальным рабочим объявить в 1935 г. с реализацией объявленного с 1936 г.</w:t>
      </w:r>
    </w:p>
    <w:p w14:paraId="61BDE22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1936 г. предусмотреть обеспечение квартирами всех постоянных рабочих склада.</w:t>
      </w:r>
    </w:p>
    <w:p w14:paraId="4C992D8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Увеличить отчисления в культфонд по всем складам от 1 до 3%, предусмотрев расход дополнительно 2% по сметам складов (а не профсоюзов).</w:t>
      </w:r>
    </w:p>
    <w:p w14:paraId="2B74ABE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Предусмотреть по сметам складов обязательные отчисления в ФУБР (фонд улучшения быта рабочих) 4% фонда заработной платы, за счет которых в первую очередь обеспечить обслуживание детсадами и яслями детей кадровых рабочих».</w:t>
      </w:r>
    </w:p>
    <w:p w14:paraId="35F45DB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Дальше, в отношении производственных рабочих окружных и центральных складов и мастерских сказано:</w:t>
      </w:r>
    </w:p>
    <w:p w14:paraId="7ABB2AC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«а) установить систему отбора и проверки людей аналогично приему на особо важных военных предприятиях;</w:t>
      </w:r>
    </w:p>
    <w:p w14:paraId="796558E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б) рабочих и служащих мастерских с числом рабочих более 500 чел. приравнять по ставкам к рабочим всех соответствующих отраслей военной промышленности, а всех остальных рабочих — к рабочим соответствующей отрасли промышленности данного района». Что получилось при практической реализации данного приказа? Все, что здесь записано, никем, никогда по-иному не толковалось и никаких особых толкований на сей счет не давалось. Встал вопрос о том, к кому применять п. 38 (так как он очень выгоден) — применять ли ко всем рабочим, работающим в хранилищах, имеющим дело с боеприпасами или и к имеющим дело с мастерскими, которые как будто пришиты к складу? Управления начали атаковывать нас, чтобы мы применили п. 38 по всем нашим производственным предприятиям. Мы сказали, что в отношении производственных предприятий п. 38 говорит совершенно точно (кстати сказать, это не творчество одного человека, это решение комиссии т. Гамарника, которая свои предложения внесла на утверждение народного комиссара, причем вопрос об оплате складских рабочих обсуждался с представителями всех управлений и все это одобрили).</w:t>
      </w:r>
    </w:p>
    <w:p w14:paraId="401087B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В эту комиссию входили Александр Ильич, Михаил Николаевич, и у нас разногласий не бьшо, все бьшо принято единогласно.</w:t>
      </w:r>
    </w:p>
    <w:p w14:paraId="55340DD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Хрулев.</w:t>
      </w:r>
      <w:r w:rsidRPr="00E14102">
        <w:rPr>
          <w:color w:val="000000" w:themeColor="text1"/>
          <w:sz w:val="16"/>
          <w:szCs w:val="16"/>
        </w:rPr>
        <w:t xml:space="preserve"> Начали обсуждать, к кому применять п. 38. В комиссии под председательством зам. народного комиссара т. Гамарника шел вопрос о рабочих, которые имеют непосредственное дело с хранилищами. Оказалось, что хранилища обслуживают еще и другие — электростанции и пр. коммунальные сооружения, расположенные на территории складов. Тогда 23 декабря была издана новая директива народного комиссара, в которой оказано: «В связи с возникшим вопросом при толковании п. 38 приказ № 0060 о льготах вольнонаемным рабочим принять к руководству: п. 38 приказа применяется ко всему составу рабочих и ИТР центральных и окружных складов, в том числе и входящих в состав артскладов снаряжательных мастерских. П. 38 применяется как к самостоятельным центральным и окружным мастерским, так и к мастерским при складах. Склады при полигонах, институтах и академиях не подходят под приказ № 0060».</w:t>
      </w:r>
    </w:p>
    <w:p w14:paraId="4903C31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Что касается увеличения заработка, не больше 10%, то я должен доложить, что это относится к 1936 г. и аннулировано решением правительства. Мы дали по директиве 1936 г. указания, что при разработке планов на предприятиях и складах предусмотреть увеличение зарплаты применительно к соответствующим отраслям военной промышленности, но не свыше 10%. Теперь постановлением не предусмотрено какое-либо повышение зарплаты без увеличения производительности труда (по производству).</w:t>
      </w:r>
    </w:p>
    <w:p w14:paraId="305FA52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А в связи с прибавкой военнослужащим?</w:t>
      </w:r>
    </w:p>
    <w:p w14:paraId="6050205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Хрулев.</w:t>
      </w:r>
      <w:r w:rsidRPr="00E14102">
        <w:rPr>
          <w:color w:val="000000" w:themeColor="text1"/>
          <w:sz w:val="16"/>
          <w:szCs w:val="16"/>
        </w:rPr>
        <w:t xml:space="preserve"> Ничего не оговорено. В постановлении сказано по этому вопросу совершенно точно.</w:t>
      </w:r>
    </w:p>
    <w:p w14:paraId="7CF65D0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 последний вопрос о фондовом имуществе. Фондовый отдел по какой-то случайности подчинен мне. Михаил Николаевич, я прошу обратить на это внимание. По существу, фондовый отдел должен быть подчинен начальнику вооружения. Подчиняя фондовый отдел мне, исходили из того, что он, мол, «качает деньги». Денег он «качает» миллиона 3—4 в год. Теперь эта сумма денег для нас небольшая. Мы от тылового ополчения получаем около 20 млн отчислений.</w:t>
      </w:r>
    </w:p>
    <w:p w14:paraId="125C068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Хрулев предпочитает подчинить себе тыловое ополчение. </w:t>
      </w:r>
      <w:r w:rsidRPr="00E14102">
        <w:rPr>
          <w:rStyle w:val="a6"/>
          <w:i w:val="0"/>
          <w:color w:val="000000" w:themeColor="text1"/>
          <w:sz w:val="16"/>
          <w:szCs w:val="16"/>
        </w:rPr>
        <w:t>(Смех.)</w:t>
      </w:r>
    </w:p>
    <w:p w14:paraId="6F731E0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Хрулев.</w:t>
      </w:r>
      <w:r w:rsidRPr="00E14102">
        <w:rPr>
          <w:color w:val="000000" w:themeColor="text1"/>
          <w:sz w:val="16"/>
          <w:szCs w:val="16"/>
        </w:rPr>
        <w:t xml:space="preserve"> По фондовому имуществу дело обстоит так. Выявление фондового имущества производится самими складами. Реализацию утверждают начальники управлений. Этот процесс происходит страшно медленно, летом этого года т. Якир прислал народному комиссару телеграмму с просьбой разгрузить склады, и сразу же был брошен упрек фондовому отделу, что он не поворачивается. Оказалось, что на этом складе сложено 129 млн штук иностранных патронов, о реализации которых мы неоднократно ставили вопрос, но штаб неоднократно отклонял реализацию их. И только после нажима т. Якира и последующего распоряжения народного комиссара пошло на реализацию 28 млн штук, причем они уже угрожали самовоспламенением. Я считаю, что если фондовый отдел и впредь будет находиться в таком положении, то все упреки по части реализации должны обращаться только к начальникам складов и соответствующих центральных управлений потому, что фондовый отдел является только приказчиком этих управлений и не может влезть в склады и определять негодность имущества.</w:t>
      </w:r>
    </w:p>
    <w:p w14:paraId="2E53696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Тухачевский.</w:t>
      </w:r>
      <w:r w:rsidRPr="00E14102">
        <w:rPr>
          <w:color w:val="000000" w:themeColor="text1"/>
          <w:sz w:val="16"/>
          <w:szCs w:val="16"/>
        </w:rPr>
        <w:t xml:space="preserve"> Комиссии вам доносят, что на складе лежит такое-то имущество, которое подлежит реализации.</w:t>
      </w:r>
    </w:p>
    <w:p w14:paraId="50FF684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Хрулев. Я</w:t>
      </w:r>
      <w:r w:rsidRPr="00E14102">
        <w:rPr>
          <w:color w:val="000000" w:themeColor="text1"/>
          <w:sz w:val="16"/>
          <w:szCs w:val="16"/>
        </w:rPr>
        <w:t xml:space="preserve"> ни одного такого случая не оставляю без расследования.</w:t>
      </w:r>
    </w:p>
    <w:p w14:paraId="714FB5F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 последнее, относительно разрядных баз. У нас огромное количество негодных снарядов идет на разрядку. Но у нас нет соответствующих, технически оборудованных разрядных баз. Разрядная база, которая находится в 4 км от Можайска, — это не база, а самое примитивное кустарное предприятие. В конечном счете мы можем ожидать какую-нибудь неприятность, если не вложим достаточное количество средств в ее техническое оборудование и не обезопасим ряд процессов. Я в этом году буквально день и ночь следил за станцией Можайск, когда туда пригнали около 300 вагонов снарядов, при этом все они были дефектные. Маленький толчок мог повлечь за собой взрыв. Железной дороги там нет, возили на лошадях. Пришлось проложить узкоколейку для перевозки этих снарядов. Сама база не приспособлена к такому огромному количеству, как 300 вагонов снарядов. Разряжаются снаряды буквально доисторическим способом — вручную. Нет никакой гарантии, что не будут бить людей, которые там работают, а также нет никакой гарантии, что не произойдет более крупной неприятности, когда вся эта масса снарядов взорвется.</w:t>
      </w:r>
    </w:p>
    <w:p w14:paraId="1A05C17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просил бы прежде всего подчинить фондовый отдел начальнику вооружений и второе — оснастить базу по разрядке.</w:t>
      </w:r>
    </w:p>
    <w:p w14:paraId="69DAE2B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РГВА. Ф. 4. Оп. 18. Д. 52. Л. 118.</w:t>
      </w:r>
    </w:p>
    <w:p w14:paraId="0D3972E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Розынко.</w:t>
      </w:r>
      <w:r w:rsidRPr="00E14102">
        <w:rPr>
          <w:color w:val="000000" w:themeColor="text1"/>
          <w:sz w:val="16"/>
          <w:szCs w:val="16"/>
        </w:rPr>
        <w:t xml:space="preserve"> Тов. народный комиссар, перед Артиллерийским управлением, особенно за последние два года, стояло несколько чрезвычайно острых и больных вопросов, на которые было обращено ваше внимание, а также заострено внимание всего аппарата и личного состава Артиллерийского управления.</w:t>
      </w:r>
    </w:p>
    <w:p w14:paraId="6FFB017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Первый и основной больной вопрос, который встал перед Артиллерийским управлением в 1933 г., — это был вопрос о преждевременных разрывах наших снарядов. Цифра, которая показывает нам, как обстоял этот вопрос за последние пять лет, выражается в 154 преждевременных разрывах орудий, которые были получены на практических стрельбах в последние пять лет. В 1933 г. мы имели 39 случаев разрыва артиллерийских систем. И вот эта цифра в 39 единиц поставила перед нами чрезвычайно остро вопрос в такой плоскости, что мы должны были подумать о причинах этих преждевременных разрывов. Когда мы глубже подошли к этому вопросу и разобрались в нем, то мы увидели, что здесь по выстрелу мы допустили несколько ошибок. Одна и главнейшая ошибка та, что контроля за выстрелами на протяжении длительного ряда лет не было. Этого контроля не было за выстрелами в войсках, когда мы на практические стрельбы отпускали до 400 000 выстрелов ежегодно и не было достаточно жесткого контроля за приемом выстрелов от промышленности. Таким образом, наряду с теми запасами, которые остались у нас от империалистической войны, мы от промышленности получили благодаря плохому снаряжению тоже известное количество некондиционных выстрелов.</w:t>
      </w:r>
    </w:p>
    <w:p w14:paraId="0B74B08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1933 г. по докладу народному комиссару был поставлен вопрос о необходимости качественной проверки полученного от промышленности выстрела за последние 5 лет. Производственный качественный контроль за полученной новой продукцией показал, что мы должны в значительной степени усилить контроль за снаряжением, и на сегодня вопрос контроля за снаряжением значительно продвинут вперед и есть полная уверенность, что в этом вопросе мы добьемся и уже добились значительных результатов.</w:t>
      </w:r>
    </w:p>
    <w:p w14:paraId="16A5647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Второй вопрос, который нам надо было осуществить, — это вопрос контроля за выстрелом в войсках. Мы на практические стрельбы, как я уже упоминал, т. народный комиссар, отпускали ежегодно до 400 000 выстрелов, но почти до 1934 г. мы от войск не получали сведений о качестве этих выстрелов. Войска в течение длительного ряда лет не предъявляли жестких требований по качеству выстрела. Мы получили от войск сведения только тогда, когда происходила какая-нибудь катастрофа, когда происходил разрыв материальной части. Никаких других сведений о том, каковы эти выстрелы, как они действовали, как они комплектуются, мы не получали. В 1934 г. народным комиссаром был четко поставлен вопрос о том, что те войсковые части, которые не дадут нам сведений о качестве выстрелов, использованных на практике, не получат в дальнейшем соответствующих выстрелов на практические стрельбы. Надо сказать, что только в 1936 г. вопрос контроля за выстрелами на практических стрельбах будет поставлен культурно, и культурно не только со стороны войск, которые должны по известной форме вдумчиво и сознательно давать эти сведения, но он должен быть поставлен культурно и со стороны Артиллерийского управления, чего до сих пор не было. Ведь обычно мы отпускали на практические стрельбы все то, что хотели бы сплавить с наших складов. Мы отпускали мелкие партии зарядов и т.д., словом, все то, что нужно было сплавить для того, чтобы освободить наши склады. Это приводило к тому, что мы имели преждевременные разрывы, но самый большой вред заключается в том, что мы на фоне такого хаотического отпуска выстрелов на практические стрельбы не получали соответствующего контроля за выстрелами, которые мы производим и которые мы храним на наших складах. В 1936 г. мы должны будем повести дело таким образом, что, отпуская выстрелы и патроны на практику в войска, будем говорить о партиях снаряжения и о партиях сборки, а от войск должны получить сведения, как эти партии стреляли по годам, по снаряжению, по сборке, как они действуют и как и насколько войска удовлетворяют. Тогда в конце 1936 г. мы можем доложить народному комиссару, что наш массив выстрела винтпатронов, снарядов такой-то и такой-то.</w:t>
      </w:r>
    </w:p>
    <w:p w14:paraId="620CFEC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должен сказать, что на сегодня у нас уже есть уверенность, что мы обладаем запасами неплохими, но мы не можем сказать, что вот тот год, который дал накопление такого-то количества выстрелов, по партиям такой-то, что 15-я партия не дает преждевременного разрыва, то же самое и по винтпатронам. Мы должны так поставить учет, чтобы знали, что 5-я, 7-я и 4-я партии такого-то года требуют соответствующего ремонта, переснаряжения и т.д.</w:t>
      </w:r>
    </w:p>
    <w:p w14:paraId="279608C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А по старым мелинитовым снарядам?</w:t>
      </w:r>
    </w:p>
    <w:p w14:paraId="41DCA6B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Розынко.</w:t>
      </w:r>
      <w:r w:rsidRPr="00E14102">
        <w:rPr>
          <w:color w:val="000000" w:themeColor="text1"/>
          <w:sz w:val="16"/>
          <w:szCs w:val="16"/>
        </w:rPr>
        <w:t xml:space="preserve"> Мы должны их переснарядить или переделать в авиабомбы. Мы можем заявить, что в 1936 г. наш рабочий план по выстрелу построен наиболее обоснованно и вдумчиво, как никогда. Мы поставили вопрос о том, чтобы старые взрыватели, трубки 1924/31, которые погубили немало красноармейцев, вели к разрывам артиллерийских систем, были заменены новыми трубками и взрывателями, которые исключают возможность таких неприятностей. Кроме того, мы должны укомплектовать наши гаубичные выстрелы новыми взрывателями, которые имеют несколько установок, как мгновенные действия, замедленное и т.д., и исключают преждевременный разрыв внутри канала орудия, а следовательно, избавляют и от поражения орудийный расчет.</w:t>
      </w:r>
    </w:p>
    <w:p w14:paraId="48F5B40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Мы должны заменить старые дистанционные трубки трубкой Т-3, новой. Если возьмем зенитную систему, например пушки 1931 г., то мы должны дать ей к концу 1936 г. лучшую трубку Т-З-УГ, а трубку Т-3 перевести на укомплектование с начала 1915/28 г. пушек, а потом и пушек 1915 г. Таким образом, вопрос освежения старых запасов империалистической войны, вопрос освежения взрывателей и трубок и замена старых новыми с установкой экономного использования имеющихся старых запасов, которые мы можем допустить в эксплуатацию еще на 1936—1937 гг., путем перегруппировок может быть приведен в полный порядок. Мы можем заявить с полной ответственностью, что к концу 1936 г. Артиллерийское управление подойдет вполне культурно к оснащению нашей Красной армии как артиллерийским выстрелом, так и материальной частью.</w:t>
      </w:r>
    </w:p>
    <w:p w14:paraId="1508EED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Второй вопрос, который нас взволновал, т. народный комиссар, — это был вопрос состояния наших артиллерийских складов. Нужно сказать прямо, что до 1935 г. мы складам уделяли чрезвычайно мало внимания. Это может подтвердить каждый начальник склада. В течение двух лет никто из центрального аппарата на складе не был, ни одного начальника склада за два года комвойсками округа ни разу не принял. Некоторые комвойск округов, как, например, т. Уборевич, уделяли больше внимания складам и начальники складов лично получала указания. Но есть округа, где в течение 2—3 лет начальники складов не были в округе. И мы в центральном аппарате, будучи поглощены больными вопросами нашего большого дела, начальникам складов уделяли мало внимания или уделяли внимание как лицу хозяйственному, которое занимается только административными вопросами. Сегодня мы поставили вопрос таким образом, что начальник склада, не знающий технического состояния склада, не может быть начальником склада. Если мы его не сможем подготовить за 1935—1936 гг., накачать его по его специальности, он должен быть снят, несмотря ни на какие заслуги. Такая линия сейчас проводится, и такую линию поддерживает народный комиссар. Эта постановка приведет нас к совершенно другому положению. Сейчас начальники складов начали заниматься своим основным делом, и в 1936 г. этот вопрос будет поставлен на должную высоту.</w:t>
      </w:r>
    </w:p>
    <w:p w14:paraId="12BFE76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Тов. народный комиссар, состояние наших хранилищ, складов, таково, что они базируются на тех отпусках, которые им давали и расходовали по своему усмотрению. На 34-м складе у нас бьшо 17 хранилищ с плохими крышами, по 47 вагонов выстрелов в каждом, и все 17 крыш текли. Стоило поставить вопрос так, что если начальник склада, допустивший такую вещь, в течение декады или 15 дней не приведет в порядок, то будет предан суду, как все 17 крыш были отремонтированы. Здесь огромную роль играет вопрос инициативы. Если мы не сможем проявить стахановской инициативы, то мы в этом вопросе будем иметь чрезвычайно много различных недочетов. Я считаю, что если мы от начальников складов потребуем разумной, твердой инициативы, то целый ряд вопросов текущего ремонта, от которого зависит состояние хранимого вооружения, безусловно, будет устранен, и на этом вопросе мы должны заострить внимание начальников складов.</w:t>
      </w:r>
    </w:p>
    <w:p w14:paraId="671D3BD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Вопрос мобилизационной подготовки наших складов на сегодняшний день является неудовлетворительным, ибо мобилизационная подготовка наших складов до 1935 г. зиждилась исключительно на бумаге. Мобилизационной подготовкой в полном смысле этого слова, как мы должны ее понимать, ни мы, ни начальники складов не занимались. Вот пример. На тыловом учении в Кубинке начальниками ГАСов были назначены самые неответственные люди. Начальник склада выделял туда таких работников, которых он хотел сплавить. Начальник ГАСа является очень крупной фигурой, потому что имеет целый ряд конгломератов различных огнеприпасов — дымовые, зажигательные, трассирующие, взрыватели такие-то, выстрелы такие-то, и он должен быть в курсе дела. Он должен пройти через большую подготовку по своей специальности для того, чтобы он мог по-настоящему управлять ГАСом. На этот вопрос нужно обратить внимание, по-моему, лучшие начальники складов должны назначаться на эти должности, и когда они будут понимать, что вопросу формирования ГАСов они должны уделить большое внимание, тогда и все недочеты в формировании ГАСов в значительной степени будут устранены.</w:t>
      </w:r>
    </w:p>
    <w:p w14:paraId="678CEC9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Теперь, т. народный комиссар, я позволю себе остановиться на вопросе, который затронул заместитель народного комиссара т. Гамарник относительно уделения внимания артиллерийским вопросам по линии строевой. Мы сейчас по артлинии выделяем чрезвычайно много технических средств, приборов управления огнем, а также материальную часть. Я считаю, что мы до сегодняшнего дня остаемся на старых методах организационного построения наших огневых единиц. Имея же новые средства управления огнем, имея новую материальную часть, мы должны поставить перед собой вопрос, исходя из проявления стахановской инициативы в таком преломлении, чтобы наши технические средства организационно построить таким образом, чтобы получить от них как можно больший эффект. Я убежден, что вопросы организационного порядка, вопросы взаимодействия, они могут быть поставлены в значительной мере потому, что, короче говоря, артдивизионы и батареи надо организационно построить по-иному. Если мы правильно организационно построим наши артбатареи и дивизионы, оснащенные богато приборами управления, то с тем же количеством орудий и материальной части, которые находятся в батарее и дивизионе, сможем на 30% дать больше огневого эффекта.</w:t>
      </w:r>
    </w:p>
    <w:p w14:paraId="245D15A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Двухорудийная батарея.</w:t>
      </w:r>
    </w:p>
    <w:p w14:paraId="2214755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119.</w:t>
      </w:r>
    </w:p>
    <w:p w14:paraId="05E77ED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Ольшевский.</w:t>
      </w:r>
      <w:r w:rsidRPr="00E14102">
        <w:rPr>
          <w:color w:val="000000" w:themeColor="text1"/>
          <w:sz w:val="16"/>
          <w:szCs w:val="16"/>
        </w:rPr>
        <w:t xml:space="preserve"> Тов. народный комиссар, артиллерийскими складами за истекший период проделана значительная работа. До известной степени наши склады артиллерийских боеприпасов приведены в порядок, но, я считаю, только до известной степени. По целому ряду моментов мы сейчас находимся на том же, по существу, уровне, на каком были и в 1934 г.</w:t>
      </w:r>
    </w:p>
    <w:p w14:paraId="1CFA33A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Я начну с личного состава артиллерийских складов. Личный состав артскладов боеприпасов, т. народный комиссар, несет нагрузку нисколько не меньшую, чем любой строевой командир части, причем нервная напряженность в работе у начсостава склада значительно большая, чем у любого командира строевой части. Наши начальники складов, начальники отделов, ежедневно ложась спать, готовят все свои принадлежности и обмундирование для того, чтобы в любую минуту ночи быть готовым, а летом, особенно в периоды засухи и пожаров, работа на артскладах становится исключительно нервной, исключительно напряженной. И вот, т. народный </w:t>
      </w:r>
      <w:r w:rsidRPr="00E14102">
        <w:rPr>
          <w:color w:val="000000" w:themeColor="text1"/>
          <w:sz w:val="16"/>
          <w:szCs w:val="16"/>
        </w:rPr>
        <w:lastRenderedPageBreak/>
        <w:t>комиссар, посмотрите, каким составом мы укомплектовываемся. Если в прошлом году к нам поступало большое количество людей, по тем или другим причинам ушедших из армии, по причинам большей частью политического порядка, то теперь этого положения уже нет, но мы имеем другое положение, когда на укомплектование артскладов идет начсостав, изъятый из строевых частей по тем или другим болезням. Я могу назвать целый ряд складов: склад № 21, № 67, № 22, где руководящая головка склада состоит из следующих лиц: у одного порок сердца — 3 месяца лежит, у одного начальника отдела болезнь печени — по 3—4 месяца освобождается от работы, у другого начальника отдела — болезнь селезенки, у третьего начальника отдела имеется запрещение в зимнее время находиться в хранилище. Я должен доложить, т. народный комиссар, что таким составом приблизительно на 20—30% укомплектованы склады боеприпасов.</w:t>
      </w:r>
    </w:p>
    <w:p w14:paraId="459C924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В последнее время укрепили основательно.</w:t>
      </w:r>
    </w:p>
    <w:p w14:paraId="22A50E0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Ольшевский.</w:t>
      </w:r>
      <w:r w:rsidRPr="00E14102">
        <w:rPr>
          <w:color w:val="000000" w:themeColor="text1"/>
          <w:sz w:val="16"/>
          <w:szCs w:val="16"/>
        </w:rPr>
        <w:t xml:space="preserve"> Укрепили, т. армейский комиссар, но многое еще не сделано.</w:t>
      </w:r>
    </w:p>
    <w:p w14:paraId="3118FB8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Возьмите 21-й склад.</w:t>
      </w:r>
    </w:p>
    <w:p w14:paraId="2675B4E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Это, может быть, больше для анекдота говорится — все с печенкой, с селезенкой и в хранилище им находиться нельзя. Очевидно, специально к доктору идут, чтобы получать справки.</w:t>
      </w:r>
    </w:p>
    <w:p w14:paraId="0CAA7D8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Если так подойти к Военному совету, так, наверное, у всех что-нибудь найдется, у одного жаба, у другого камни и т.д. А наши врачи в особенности щедры — они выдадут и удостоверение, и справку, кому где не полезно находиться.</w:t>
      </w:r>
    </w:p>
    <w:p w14:paraId="039E7BF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Ольшевский.</w:t>
      </w:r>
      <w:r w:rsidRPr="00E14102">
        <w:rPr>
          <w:color w:val="000000" w:themeColor="text1"/>
          <w:sz w:val="16"/>
          <w:szCs w:val="16"/>
        </w:rPr>
        <w:t xml:space="preserve"> Тов. нарком, разрешите доложить, что начсоставу склада приходится в среднем делать помимо своей непосредственной работы от 10 до 20 км пешком. Так что если у него что-нибудь не в порядке, он не может работать. В 67-м складе вся верхушка в таком состоянии-</w:t>
      </w:r>
    </w:p>
    <w:p w14:paraId="72055C2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т. народный комиссар, очень бы просил все же, чтобы командующие округами на этот вопрос обратили бы внимание и нам бы по возможности дали боеспособных людей.</w:t>
      </w:r>
    </w:p>
    <w:p w14:paraId="52AC7C2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Всех больных и вполне негодных надо на пенсию.</w:t>
      </w:r>
    </w:p>
    <w:p w14:paraId="3E241BD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Ольшевский.</w:t>
      </w:r>
      <w:r w:rsidRPr="00E14102">
        <w:rPr>
          <w:color w:val="000000" w:themeColor="text1"/>
          <w:sz w:val="16"/>
          <w:szCs w:val="16"/>
        </w:rPr>
        <w:t xml:space="preserve"> Второе, что надо было бы отметить, — это работу наших снаряжательных мастерских. Надо сказать, что до этого года наши снаряжательные мастерские работали исключительно ручным трудом, почти никаких средств механизации не имели. С 1934 г., когда мы занялись крепко, вплотную механизацией наших мастерских, мы добились следующих результатов. При сокращении рабочего состава в мастерских на 300% (в 3 раза) производительность увеличили на 200%. Другими словами, мы увеличиваем производительность на 200% при сокращении рабочей силы на 300%. Что это значит для нас? Когда мы имеем дело с порохом, то для нас чрезвычайно важно как можно большее сокращение рабочего состава, ибо всякий вновь прибывший является тем человеком, который благодаря неосторожности может вызвать опасные последствия в наших снаряжательных мастерских. Мы сейчас разрабатываем опытную мастерскую в 34-м складе и в 1936 г. полностью осуществим механизацию всех наших снаряжательных мастерских. В 22-м складе в первой половине 1936 г. мастерские будут механизированы. С ручным трудом, я думаю, что в 1936 г. мы кончим. Но здесь мы наталкиваемся на чрезвычайно большие трудности. Нет ни одного станка, который мы получили бы от нашей промышленности. Все станочное оборудование изобретено рабочими и инженерным составом самих складов. Заказы на наши станки внедряются в промышленность чрезвычайно трудно, ибо никаких объектов в нашей промышленности, на которых можно было бы использовать наше механическое оборудование, нет. В этом отношении мы являемся отдельным островком, который работает только сам на себя. Нами уже изобретено свыше 20 довольно сложных станков, часть из них сделана в 1935 г., остальные будут сделаны в 1936 г. Этот участок был у нас наиболее трудный.</w:t>
      </w:r>
    </w:p>
    <w:p w14:paraId="0A4C027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Вторым слабым участком в нашей складской работе является механизация погрузочно-разгрузочных работ. Тов. народный комиссар, когда был летом на Кубинке, указал, что мы, по существу, безобразно используем наших красноармейцев, которые разгружают на спине все боеприпасы, и дал задание к будущему году механизировать наши склады.</w:t>
      </w:r>
    </w:p>
    <w:p w14:paraId="2108158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Что нами проделано? 15—16 декабря будут испытываться 8 спец. транспортеров, сконструированных на наших складах и мастерских. Я должен доложить народному комиссару, насколько это трудно выполнить. Все задания, которые мы давали по механизации мастерским, академиям, институтам, высококвалифицированным работникам промышленности, ими не были разрешены. Они разрешены людьми практического порядка, работниками складов. Рабочие, техники мастерских разрешили их вчерне, а доработал инженерный состав. Само разрешение вопроса, сама идея была подана на наших складах. Ни академии, ни институты нам в этом отношении ничем не могли помочь.</w:t>
      </w:r>
    </w:p>
    <w:p w14:paraId="4E2FBF8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Третий вопрос, который задал командарм т. Дыбенко, относительно вообще механизации складов. Я считаю, что общая механизация складов на сегодняшний день достаточна. Что значит вообще механизировать склады? Это значит дать железную дорогу — она у нас есть; дать автотранспорт — он дается.</w:t>
      </w:r>
    </w:p>
    <w:p w14:paraId="18D2865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Подъездных путей нет.</w:t>
      </w:r>
    </w:p>
    <w:p w14:paraId="5F778BB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Ольшевский.</w:t>
      </w:r>
      <w:r w:rsidRPr="00E14102">
        <w:rPr>
          <w:color w:val="000000" w:themeColor="text1"/>
          <w:sz w:val="16"/>
          <w:szCs w:val="16"/>
        </w:rPr>
        <w:t xml:space="preserve"> Мотовозы даем, автотранспорт даем.</w:t>
      </w:r>
    </w:p>
    <w:p w14:paraId="0837F7D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сумме механизация складов решена. Не решена механизация погрузочно-разгрузочных работ и механизация мастерских. Этот вопрос как раз мы сейчас решаем.</w:t>
      </w:r>
    </w:p>
    <w:p w14:paraId="662B154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С </w:t>
      </w:r>
      <w:r w:rsidRPr="00E14102">
        <w:rPr>
          <w:rStyle w:val="a6"/>
          <w:i w:val="0"/>
          <w:color w:val="000000" w:themeColor="text1"/>
          <w:sz w:val="16"/>
          <w:szCs w:val="16"/>
        </w:rPr>
        <w:t>места.</w:t>
      </w:r>
      <w:r w:rsidRPr="00E14102">
        <w:rPr>
          <w:color w:val="000000" w:themeColor="text1"/>
          <w:sz w:val="16"/>
          <w:szCs w:val="16"/>
        </w:rPr>
        <w:t xml:space="preserve"> Это самый тяжелый вопрос.</w:t>
      </w:r>
    </w:p>
    <w:p w14:paraId="1DDCCE9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Ольшевский.</w:t>
      </w:r>
      <w:r w:rsidRPr="00E14102">
        <w:rPr>
          <w:color w:val="000000" w:themeColor="text1"/>
          <w:sz w:val="16"/>
          <w:szCs w:val="16"/>
        </w:rPr>
        <w:t xml:space="preserve"> Затем вопросы хранения. Основной вопрос в области хранения нашего имущества, мне кажется, — это рассредоточение наших складов. Целый ряд наших складов, находящихся в приграничных округах, емкостью 2—3 тыс. и выше вагонов представляют собой чрезвычайно заманчивый объект для нападения. Рассредоточение складов проведено в значительной степени в ОКДВА и в 1936—1937 гг. будет проведено по Ленинградскому, Белорусскому и Украинскому округам.</w:t>
      </w:r>
    </w:p>
    <w:p w14:paraId="3AED4ED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Первый опыт рассредоточения складов и создание полевых баз небольшого масштаба, проведенный в ОКДВА, показал, что мы идем по совершенно правильному пути с точки зрения рассредоточения складов, но чрезвычайно трудно обеспечить наши полевые мелкие базы средствами внутренней транспортировки, средствами охраны, средствами производства работ, ибо незначительные мелкие склады, разбросанные на большом протяжении, вызывают большие затраты в отношении их обслуживания. Мне казалось бы, что на наших небольших складах надо базироваться исключительно на автотранспорте.</w:t>
      </w:r>
    </w:p>
    <w:p w14:paraId="3CF76B5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Наконец, последний вопрос, т. народный комиссар, — это вопрос нашего строительства. Это самый тяжелый вопрос. Если командующие войсками оказывают помощь, если проведена большая работа в деле упорядочения складов, то все же в 1936 г. мы упираемся в то, что внутренние ресурсы уже исчерпаны, что своими ресурсами мы можем сделать очень мало, нужна крепкая финансовая поддержка. Количество складов — около 100. Средства, которые в этом году намечены по сравнению с 1935 г., значительно увеличены, но все же не вполне достаточны, и если бы была возможность на наши неотложные нужды добавить сумму, которая рассматривалась дополнительно у Маршала Советского Союза начальника Генерального штаба т. Егорова, нас бы это в значительной степени выручило.</w:t>
      </w:r>
    </w:p>
    <w:p w14:paraId="7ADE00D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120.</w:t>
      </w:r>
    </w:p>
    <w:p w14:paraId="31D3D55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Гайлит.</w:t>
      </w:r>
      <w:r w:rsidRPr="00E14102">
        <w:rPr>
          <w:color w:val="000000" w:themeColor="text1"/>
          <w:sz w:val="16"/>
          <w:szCs w:val="16"/>
        </w:rPr>
        <w:t xml:space="preserve"> Тов. народный комиссар, я целиком признаю правильность всех сделанных т. Тухачевским выводов. Не совсем можно согласиться с одним только его тезисом, а именно: что качество тактической подготовки обратно пропорционально качественному состоянию оружия.</w:t>
      </w:r>
    </w:p>
    <w:p w14:paraId="26ACF16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Тухачевский.</w:t>
      </w:r>
      <w:r w:rsidRPr="00E14102">
        <w:rPr>
          <w:color w:val="000000" w:themeColor="text1"/>
          <w:sz w:val="16"/>
          <w:szCs w:val="16"/>
        </w:rPr>
        <w:t xml:space="preserve"> Вы этим недовольны? </w:t>
      </w:r>
      <w:r w:rsidRPr="00E14102">
        <w:rPr>
          <w:rStyle w:val="a6"/>
          <w:i w:val="0"/>
          <w:color w:val="000000" w:themeColor="text1"/>
          <w:sz w:val="16"/>
          <w:szCs w:val="16"/>
        </w:rPr>
        <w:t>(Смех.)</w:t>
      </w:r>
    </w:p>
    <w:p w14:paraId="53B4F09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Гайлит.</w:t>
      </w:r>
      <w:r w:rsidRPr="00E14102">
        <w:rPr>
          <w:color w:val="000000" w:themeColor="text1"/>
          <w:sz w:val="16"/>
          <w:szCs w:val="16"/>
        </w:rPr>
        <w:t xml:space="preserve"> Я не хочу это принять в отношении себя, но дело в том, что такое положение не совсем верно по существу. По существу, боец всюду, даже там, где проводится меньшее количество маневров и больше тактических учений, боец ежедневно занимается с оружием и под дождем, и на ветру, и на солнце. Боец же и отвечает за чистку оружия. Важно только заставить бойца своевременно чистить это оружие, важно обеспечить контроль начсостава за этой чисткой. Только недостаточным контролем командиров полков, командиров дивизий и объясняется то состояние стрелкового оружия, которое отмечал т. Тухачевский по ряду округов.</w:t>
      </w:r>
    </w:p>
    <w:p w14:paraId="5F7F200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Вас Михаил Николаевич не ругал.</w:t>
      </w:r>
    </w:p>
    <w:p w14:paraId="2AFCB5D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Гайлит. Я</w:t>
      </w:r>
      <w:r w:rsidRPr="00E14102">
        <w:rPr>
          <w:color w:val="000000" w:themeColor="text1"/>
          <w:sz w:val="16"/>
          <w:szCs w:val="16"/>
        </w:rPr>
        <w:t xml:space="preserve"> считаю, что здесь уместно доложить народному комиссару, что состояние оружия в СибВО не было бы таковым, если бы своевременно мы не ударили по существовавшему положению в этой области. Я думаю, что не обижу присутствующего здесь Павла Ефимовича</w:t>
      </w:r>
      <w:hyperlink r:id="rId300" w:anchor="_ftn2" w:history="1">
        <w:r w:rsidRPr="00E14102">
          <w:rPr>
            <w:rStyle w:val="a4"/>
            <w:color w:val="000000" w:themeColor="text1"/>
            <w:sz w:val="16"/>
            <w:szCs w:val="16"/>
          </w:rPr>
          <w:t>[2]</w:t>
        </w:r>
      </w:hyperlink>
      <w:r w:rsidRPr="00E14102">
        <w:rPr>
          <w:color w:val="000000" w:themeColor="text1"/>
          <w:sz w:val="16"/>
          <w:szCs w:val="16"/>
        </w:rPr>
        <w:t>, если скажу, что именно он дал сигнал о неблагополучном положении с состоянием оружия в СибВО. Когда к нам пришла 71-я сд и я провел детальный осмотр оружия, то установил, что оружие в этой дивизии находится в исключительно плохом состоянии. Количество оружия, кроме того, не было учтено.</w:t>
      </w:r>
    </w:p>
    <w:p w14:paraId="3BD7BD6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Все это заставило меня проверить и другие части Сибирского военного округа, в которых я нашел тоже целый ряд безобразий в этом отношении. Перед командирами дивизий я поставил вопрос так: либо мы приведем в надлежащее состояние оружие, либо народный комиссар сделает с нами то же самое, что в свое время, в 1930 г., сделал с 12-й сд, когда снял с должности командира этой дивизии и отдал под суд ряд командиров. В связи с этим мною в соответствующие дивизии был выброшен ряд лучших мастеров. Двум командирам полков было объявлено, что они пойдут под арест, если через месяц не приведут в надлежащее состояние оружие, и только эта мера дала первый большой сдвиг.</w:t>
      </w:r>
    </w:p>
    <w:p w14:paraId="5E8A3E9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дальнейшем, т. народный комиссар, внимание к оружию у нас не ослаблялось. Осматривающий оружие в округе через каждые 2 месяца проверял войсковые части. Два раза проверяли оружие в лагерях. И только такое неослабное внимание обеспечило то состояние оружия, о котором докладывал т. Тухачевский.</w:t>
      </w:r>
    </w:p>
    <w:p w14:paraId="7890BBD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Пару слов о состоянии складов. Наши склады, в частности 25-й артиллерийский склад, до известного решения Центрального Комитета и ваших, т. народный комиссар, указаний летом, были далеко не в таком состоянии, в каком они находятся сейчас. Я здесь далек от мысли, что у меня склады в лучшем состоянии, чем у других. Но должен заявить, что к тому времени склады, безусловно, находились в неудовлетворительном состоянии. Только эти требования заставили нас по-настоящему заняться складами, и сейчас мы имеем право доложить вам, т. народный комиссар, что учет в окружных складах, безусловно, налажен, что комплектность артиллерийского имущества у нас обеспечена. У нас не хватает только отдельных деталей до определенной комплектности, но уже все имущество находится в другом состоянии, чем раньше. Мы привели, безусловно, в полную бдительность охрану окружных складов и следим, чтобы она не ослаблялась. У нас имеется по складам ряд узких мест. Первое — мы затруднены в части реализации вашего требования об отнесении окружных складов проволочной изгородью. Нам требуется около 90 т проволоки. В наличии в округе мы имеем всего-навсего 12 т. Сколько мы ни просили проволоки, нам пока ее не дают. Поэтому я считаю необходимым доложить вам, что мы не обносим склады изгородью, как это требуется, потому что нет проволоки.</w:t>
      </w:r>
    </w:p>
    <w:p w14:paraId="6383FB4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Левичев.</w:t>
      </w:r>
      <w:r w:rsidRPr="00E14102">
        <w:rPr>
          <w:color w:val="000000" w:themeColor="text1"/>
          <w:sz w:val="16"/>
          <w:szCs w:val="16"/>
        </w:rPr>
        <w:t xml:space="preserve"> Просят колоссальное количество проволоки, как будто бы всю страну хотят оплести проволокой.</w:t>
      </w:r>
    </w:p>
    <w:p w14:paraId="594BC58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Тухачевский.</w:t>
      </w:r>
      <w:r w:rsidRPr="00E14102">
        <w:rPr>
          <w:color w:val="000000" w:themeColor="text1"/>
          <w:sz w:val="16"/>
          <w:szCs w:val="16"/>
        </w:rPr>
        <w:t xml:space="preserve"> Проволоки заказывают исключительно много, и, по-моему, слишком много ее раздается.</w:t>
      </w:r>
    </w:p>
    <w:p w14:paraId="4AE4E99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И все же не хватает.</w:t>
      </w:r>
    </w:p>
    <w:p w14:paraId="4AE205C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Гайлит.</w:t>
      </w:r>
      <w:r w:rsidRPr="00E14102">
        <w:rPr>
          <w:color w:val="000000" w:themeColor="text1"/>
          <w:sz w:val="16"/>
          <w:szCs w:val="16"/>
        </w:rPr>
        <w:t xml:space="preserve"> У нас была заявка на 200 т, я ее сам снизил до 90 т. Думаю, что мы могли бы важнейшие работы уложить в 75 т.</w:t>
      </w:r>
    </w:p>
    <w:p w14:paraId="5C042E1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Хорошо бы обойтись 12 т.</w:t>
      </w:r>
    </w:p>
    <w:p w14:paraId="2768BB7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Гайлит.</w:t>
      </w:r>
      <w:r w:rsidRPr="00E14102">
        <w:rPr>
          <w:color w:val="000000" w:themeColor="text1"/>
          <w:sz w:val="16"/>
          <w:szCs w:val="16"/>
        </w:rPr>
        <w:t xml:space="preserve"> Родить проволоку я не могу.</w:t>
      </w:r>
    </w:p>
    <w:p w14:paraId="77EC83E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Рожать не надо, она у вас в этих размерах есть.</w:t>
      </w:r>
    </w:p>
    <w:p w14:paraId="478DB75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Гайлит.</w:t>
      </w:r>
      <w:r w:rsidRPr="00E14102">
        <w:rPr>
          <w:color w:val="000000" w:themeColor="text1"/>
          <w:sz w:val="16"/>
          <w:szCs w:val="16"/>
        </w:rPr>
        <w:t xml:space="preserve"> После доклада т. Хрулева вопрос о заработной плате рабочих как будто бы считается разрешенным. Но дело в том, что благодаря тому, что наши производственные рабочие на артиллерийских складах, в частности высококвалифицированные рабочие по металлу, получают сравнительно невысокую заработную плату — то у нас получается тяжелое положение с наймом. В Омске имеется сельскохозяйственный завод машиностроения, и мы по существу стали поставщиком квалифицированной рабочей силы для этого завода. Как только мы подготовим рабочих, они сейчас же уплывают на этот завод. Мы никак не можем добиться того, чтобы удержать у себя этих рабочих.</w:t>
      </w:r>
    </w:p>
    <w:p w14:paraId="22BF973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Вопрос о наших артиллерийских складах. Наш артиллерийский склад непосредственно прилегает к городу Омску. Мы никак не можем добиться, чтобы получить около 200 тыс. руб., чтобы снести один квартал и создать нормальные условия охраны этого склада.</w:t>
      </w:r>
    </w:p>
    <w:p w14:paraId="2B19EB0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Другой вопрос, который мы также никак не можем протолкнуть в Москве, хотя ходатайствовали по этому поводу десятки раз, — это вопрос о водопроводе. У нас бывают летом моменты, когда на несколько часов совершенно приостанавливается подача воды на артиллерийский склад. Мы не можем разрешить еще такой вопрос, как система громоотводов, которая пришла в ветхое состояние на огнескладах. Снимать не разрешают, ремонтировать тоже, а специалистов нигде нет.</w:t>
      </w:r>
    </w:p>
    <w:p w14:paraId="1C5B678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Последнее замечание в отношении запасных частей для артиллерийского вооружения. Орудия, приборы прицеливания, наводки и наблюдения мы не можем своевременно ремонтировать. Мы их донашиваем, потому что нет запасных частей, и мы должны считаться с мертвым ходом при наводке, должны считаться с люфтом в измерительных приборах и приборах наблюдения. Я прошу помочь нам в дальнейшем в этом отношении и дать больше этих запасных частей.</w:t>
      </w:r>
    </w:p>
    <w:p w14:paraId="799E9D8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121.</w:t>
      </w:r>
    </w:p>
    <w:p w14:paraId="550DF97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Максимов. Я</w:t>
      </w:r>
      <w:r w:rsidRPr="00E14102">
        <w:rPr>
          <w:color w:val="000000" w:themeColor="text1"/>
          <w:sz w:val="16"/>
          <w:szCs w:val="16"/>
        </w:rPr>
        <w:t xml:space="preserve"> коснусь, т. народный комиссар, вопросов состояния складов, которые мне были поручены по артиллерийской линии, и пару слов скажу по топографическим складам. Мне было поручено обследовать 66-й и 67-й склады. Обследование 66-го склада было второй раз и 67-го один раз.</w:t>
      </w:r>
    </w:p>
    <w:p w14:paraId="142837B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Прежде всего надо отметить десятки мелких мобвопросов, которые недостаточно отработаны и создают неточность боевой готовности склада. Десятки мелких вопросов откладываются на время самой мобилизации: то ключи, то материалы, то инструменты, а из этого создается большое дело, которое ставит под сомнение вопросы бесперебойной работы. В 66-м складе до сего времени не приписана рабочая сила. Она оказалась приписанной к спичечной фабрике, железной дороге и т.д. Для этого склада ожидается приписка 2000 чел. из Московской области, что ненормально и что необходимо срочно пересмотреть на предмет приписки рабочей силы из ближайших деревень. Неудовлетворительно обстоит дело с головными складами. Приписанный состав не проверен, и очень многие из этого состава являются лицами, далеко не удовлетворяющими назначению, иногда совершенно случайными. С другой стороны, эти склады не имеют полного обеспечения по линии довольствующих управлений.</w:t>
      </w:r>
    </w:p>
    <w:p w14:paraId="65EDB65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Вопрос технической безопасности особенно резко сказывается на безопасности работы в 66-м складе. Инструкция по безопасности работы в мастерской, сердце склада, не соблюдается. В период ответственных работ мастерская бросается на вольнонаемный состав. Так, при перебросках и перевозках замечено грубое обращение с ящиками. Был случай, когда ящик завалился с большой высоты, и только счастливый случай не привел к беде.</w:t>
      </w:r>
    </w:p>
    <w:p w14:paraId="6B78885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Вопрос о бдительности. Я не знаю, насколько обращали внимание другие проверяющие комиссии, но я обнаружил интересную вещь на 67-м складе. Я заслушал сообщение представителя НКВД, начальника и комиссара склада. Все в один голос заявили, что ничего неблагополучного на складе нет.</w:t>
      </w:r>
    </w:p>
    <w:p w14:paraId="0A14151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Представьте себе, т. народный комиссар, что через несколько часов в мастерской из разговоров с самими рабочими удалось выяснить, что с вопросом бдительности обстоит неблагополучно. Этот склад стоит в районе Москвы, куда в связи с паспортизацией стекается иногда уголовный элемент. Основной костяк в количестве 300— 400 чел. вольнонаемных в складе (66-м и 67-м) является опорой во время развертывания и мобилизации, ибо ни с каким штатным начальствующим составом нельзя развернуть всей работы. Вольнонаемный состав будет играть важную роль, он должен проворачивать работу своими силами. Я скажу относительно оплаты этого состава. Видимо, комиссия не учла одного обстоятельства — большой текучести этого состава, в силу чего эффекта от прибавки для большинства не получилось.</w:t>
      </w:r>
    </w:p>
    <w:p w14:paraId="3F796A3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Осепян.</w:t>
      </w:r>
      <w:r w:rsidRPr="00E14102">
        <w:rPr>
          <w:color w:val="000000" w:themeColor="text1"/>
          <w:sz w:val="16"/>
          <w:szCs w:val="16"/>
        </w:rPr>
        <w:t xml:space="preserve"> Что же ты предлагаешь?</w:t>
      </w:r>
    </w:p>
    <w:p w14:paraId="2FECCAE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Максимов.</w:t>
      </w:r>
      <w:r w:rsidRPr="00E14102">
        <w:rPr>
          <w:color w:val="000000" w:themeColor="text1"/>
          <w:sz w:val="16"/>
          <w:szCs w:val="16"/>
        </w:rPr>
        <w:t xml:space="preserve"> Я констатирую тот факт, что значительная часть состава не получила эффекта в силу текучести. Относительно комплектования. Приказ народного комиссара относительно комплектования складов выполняется странно, например 6 чел. военнообязанных заменены военнослужащими, но в оба склада пришли люди, не знающие машины, а у машин должны стоять люди, имеющие права не ниже 2-го разряда. Вот те вопросы, которые я хотел осветить в части поверки.</w:t>
      </w:r>
    </w:p>
    <w:p w14:paraId="2A30AA4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Теперь вопрос по картографическим складам. Наше картографическое имущество находится в беспризорном состоянии в смысле внимания к нему со стороны штабов округов. Содержимое склада является оперативным имуществом, и вся работа, которая происходит в наших складах, связана с оперативными мероприятиями в целом. А между тем укомплектованность личного состава начальников складов и их помощников совершенно случайная. Надо сказать, что все то, что идет по линии оперативной по 1-м отделам штабов, то, что особенно должно храниться секретно, — это можно выявить зачастую через систему наших складов. В одном из округов в силу того, что ни начальник штаба, ни начальник 1-го отдела [оперативного] не смотрели, что делается в системе карт, оказалось возможным выяснить через совершенно неответственного человека оперативное значение некоторых дивизий. С этим важным вопросом обстоит неблагополучно в ряде округов.</w:t>
      </w:r>
    </w:p>
    <w:p w14:paraId="28004B2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Второй из недочетов. В центре, в 7-м отделе [топографическом], всегда, оказывается, можно получить более точную справку о состоянии окружных складов, нежели в округах, и работники 1-х отделов, начальники штабов и их заместители в эти склады не спускаются и представление об этих складах имеют очень поверхностное.</w:t>
      </w:r>
    </w:p>
    <w:p w14:paraId="2E4F818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Вопрос охраны складов находится в совершенно неудовлетворительном состоянии. В некоторых округах до сих пор имеют место такие случаи, когда деньги, отпущенные на ремонт и даже на строительство складов, например в Приморье в течение нескольких лет, были использованы на другие цели, а складов до сих пор нет. Вот так обстоит дело с нашими складами.</w:t>
      </w:r>
    </w:p>
    <w:p w14:paraId="3B286BD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122.</w:t>
      </w:r>
    </w:p>
    <w:p w14:paraId="18BDC42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Середин.</w:t>
      </w:r>
      <w:r w:rsidRPr="00E14102">
        <w:rPr>
          <w:color w:val="000000" w:themeColor="text1"/>
          <w:sz w:val="16"/>
          <w:szCs w:val="16"/>
        </w:rPr>
        <w:t xml:space="preserve"> Тов. народный комиссар обороны Маршал Советского Союза, ваш приказ № 075</w:t>
      </w:r>
      <w:hyperlink r:id="rId301" w:anchor="_ftn3" w:history="1">
        <w:r w:rsidRPr="00E14102">
          <w:rPr>
            <w:rStyle w:val="a4"/>
            <w:color w:val="000000" w:themeColor="text1"/>
            <w:sz w:val="16"/>
            <w:szCs w:val="16"/>
          </w:rPr>
          <w:t>[3]</w:t>
        </w:r>
      </w:hyperlink>
      <w:r w:rsidRPr="00E14102">
        <w:rPr>
          <w:color w:val="000000" w:themeColor="text1"/>
          <w:sz w:val="16"/>
          <w:szCs w:val="16"/>
        </w:rPr>
        <w:t xml:space="preserve"> по исправлению переотлаженного и испорченного оружия выполнен. Но значит ли это, что мы не должны говорить о тех недопустимых технических вольностях, которые были допущены в армии? Наоборот, мне кажется, что мы должны еще больше заострить этот вопрос, так как имеющиеся на сегодня данные, в том числе и по состоянию непзапаса, говорят о том, что в отдельных случаях это еще имеет место. К чему это ведет? Это ведет к тому, что мы оружие, вполне боеспособное, даже такое всем известное безотказное оружие, как наган, делаем небоеспособным, портим пружину, а отсюда курок спускается с боевого взвода и получаются сплошные осечки, и из этого вполне боеспособного, имеющего мировую известность револьвера наган, мы делаем никому ненужный макет, который носим у себя в кобуре.</w:t>
      </w:r>
    </w:p>
    <w:p w14:paraId="431A52E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Откуда идет порча оружия? Порча оружия, т. народный комиссар, происходит из-за совершенно неосновательных, повышенных требований к нашему оружию; во всех случаях, когда мы имеем такие факты, что от оружия, которое по своим техническим и баллистическим данным не может дать того, что от него хотят получить, происходит порча этого оружия.</w:t>
      </w:r>
    </w:p>
    <w:p w14:paraId="63EC0A4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Так получилось, т. народный комиссар, и с винтовкой. В самом деле, мы стали требовать, чтобы наше оружие, в частности старая винтовка и новая, выпускаемая с завода, давала отличный, хороший и удовлетворительный бой. Мы стали требовать габарит 6 см для отличного боя, 10 см для хорошего боя и 15 см для удовлетворительного боя, с отклонением средней точки попадания 3 см во всех случаях (на 100 м). Что же получилось? Получилось то, что на отдельных винтовках и случайных стрельбах мы имели габарит 2x3, 2x2 см и даже были случаи, когда имели габарит 1x1 см, но это были отдельные случаи, не характеризующие нашего оружия с точки зрения его постоянности, его стабильности, т.е. отклонения средней точки попадания.</w:t>
      </w:r>
    </w:p>
    <w:p w14:paraId="7152A71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то же время на заводе для новых винтовок мы имеем габарит на 71 м, круг диаметром 13 см. Таким образом, новое оружие уже не дает того, что мы требуем, даже отстает от старого оружия, и отсюда, естественно, получился разрыв по пристрелке между данными завода и войсковыми. Даже новые модернизированные винтовки, поступающие в войска, часто переотлаживали и портили. Это абсолютно недопустимо и в ближайшем будущем должно быть изжито. Можно ли повысить стабильность боя? Да, можно. Но можно ли добиться абсолютной стабильности боя оружия, в частности винтовки? Нет, никакие пропитки, никакие лаки абсолютной стабильности не дают, так же как их не дают иностранные винтовки.</w:t>
      </w:r>
    </w:p>
    <w:p w14:paraId="0AE04B9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иностранных армиях, в частности в Чехословакии, Англии, Америке, Германии, требования к оружию ниже. Там на заводах пристреливают таким образом: например, в Чехословакии на заводе Брно при выпуске винтовки требуют при пристрелке габарит 14x14 см (квадрат) с отклонением средней точки попадания 9 см. Эти требования гораздо ниже наших, однако там считают, что такая винтовка (калибра 7,92-мм системы «Маузер» может поражать те цели, которые мы поражаем по нашему курсу стрельб. В Германии, Америке, Англии при выпуске винтовок с заводов требуют габарит — круг диаметром 10 см, совершенно не учитывая отклонения средней точки попадания. Это значит, что эта точка попадания может располагаться в пределах этого круга.</w:t>
      </w:r>
    </w:p>
    <w:p w14:paraId="59C1731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У нас же требуют, чтобы она была в пределах 3 см от контрольной точки. Этого можно достичь на отдельных образцах. Но иметь такие винтовки массового изготовления при том состоянии ложи, которое имеется сейчас, абсолютно нельзя. На сегодняшний день Артиллерийское управление провело большие опыты в этой области. Тов. народный комиссар, вы предложили этот вопрос разобрать специально с командующими войсками.</w:t>
      </w:r>
    </w:p>
    <w:p w14:paraId="6D68336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Мы должны пересмотреть требования к винтовке на заводе и таким образом, чтобы четыре пули укладывались при заводской пристрелке винтовок в круг диаметром 10 см с отклонением средней точки попадания 5 см, что и следует считать нормальным боем. В войсках же, чтобы сохранить весь запас винтовок, с которыми мы </w:t>
      </w:r>
      <w:r w:rsidRPr="00E14102">
        <w:rPr>
          <w:color w:val="000000" w:themeColor="text1"/>
          <w:sz w:val="16"/>
          <w:szCs w:val="16"/>
        </w:rPr>
        <w:lastRenderedPageBreak/>
        <w:t>будем воевать, следует считать нормальным боем такой бой, когда бой винтовки (4 пули) укладывается в круг диаметром 15 см. Это вполне обеспечит нас для боевых целей и не даст возможности портить новое оружие. Таким образом, все новое оружие у нас будет иметь гораздо более повышенные данные, и мы не дадим возможности войсками его портить.</w:t>
      </w:r>
    </w:p>
    <w:p w14:paraId="5188192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Егоров.</w:t>
      </w:r>
      <w:r w:rsidRPr="00E14102">
        <w:rPr>
          <w:color w:val="000000" w:themeColor="text1"/>
          <w:sz w:val="16"/>
          <w:szCs w:val="16"/>
        </w:rPr>
        <w:t xml:space="preserve"> В части нового оружия — это верно, а в части старого — нужно 13 см.</w:t>
      </w:r>
    </w:p>
    <w:p w14:paraId="6D3901C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Середин.</w:t>
      </w:r>
      <w:r w:rsidRPr="00E14102">
        <w:rPr>
          <w:color w:val="000000" w:themeColor="text1"/>
          <w:sz w:val="16"/>
          <w:szCs w:val="16"/>
        </w:rPr>
        <w:t xml:space="preserve"> Это принято по вашему докладу народным комиссаром и указано в Наставлении по приведению стрелкового оружия к нормальному бою, но так как это Наставление временное, его в дальнейшем можно пересмотреть</w:t>
      </w:r>
      <w:r w:rsidRPr="00E14102">
        <w:rPr>
          <w:color w:val="000000" w:themeColor="text1"/>
          <w:sz w:val="16"/>
          <w:szCs w:val="16"/>
          <w:vertAlign w:val="superscript"/>
        </w:rPr>
        <w:t>82</w:t>
      </w:r>
      <w:r w:rsidRPr="00E14102">
        <w:rPr>
          <w:color w:val="000000" w:themeColor="text1"/>
          <w:sz w:val="16"/>
          <w:szCs w:val="16"/>
        </w:rPr>
        <w:t>.</w:t>
      </w:r>
    </w:p>
    <w:p w14:paraId="3F06BDC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Вы скажите, как дело обстоит с ложей.</w:t>
      </w:r>
    </w:p>
    <w:p w14:paraId="00AB975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Середин.</w:t>
      </w:r>
      <w:r w:rsidRPr="00E14102">
        <w:rPr>
          <w:color w:val="000000" w:themeColor="text1"/>
          <w:sz w:val="16"/>
          <w:szCs w:val="16"/>
        </w:rPr>
        <w:t xml:space="preserve"> Наиболее больным местом в нашей винтовке является ложа. Как известно, ложа нашей винтовки слаба в своем наиболее уязвимом месте — в цевье. Для того чтобы сделать ее более прочной и более стабильной, не поддающейся действиям атмосферных влияний, мы проделали большие опыты по конструктивному изменению этой ложи, т.е. ставили ложу по образцам германской, английской и японской винтовок, затем мы применяли разную породу дерева, различную пропитку и лаковое покрытие. Что дает изменение конструкции ложи и, в частности, изменение крепления? Я бы сказал, жесткое крепление и конструктивные изменения в отношении прочности этой ложи дали вполне положительные результаты.</w:t>
      </w:r>
    </w:p>
    <w:p w14:paraId="51DAD8B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Что касается породы дерева, то на сегодня, как известно, наилучшей, наиболее устойчивой породой дерева является орех. Но ореха мы не можем получить даже на снайперские и автоматические винтовки. Приходится частично употреблять на снайперские и автоматические винтовки березовые ложи. Что касается пропитки и покрытия лаком, то надо сказать, что это покрытие и пропитка ни в какой степени нас удовлетворить не могут, так как не предохраняют от воздействия атмосферы и, таким образом, не сохраняют стабильность боя. По последним данным и по последним большим испытаниям на Тульском оружейном заводе, мы уже имеем специальную пропитку и специальный лак, которые дают возможность получить и при березовой ложе, с отбором и по качеству (выдержки) этой ложи, максимальную стабильность боя с гораздо меньшим отклонением средней точки попадания. К тому же мы освобождаемся от импорта дорогостоящего шеллака. Окончательное решение будет принято в этом месяце, но промышленность уже к этому готовится. Так обстоит вопрос с ложей. Во всяком случае, докладываю, что перейти на ореховую ложу мы не сможем. Было бы хорошо, если бы мы получили полностью ореховую ложу для снайперских и автоматических винтовок.</w:t>
      </w:r>
    </w:p>
    <w:p w14:paraId="53B825E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Несколько слов относительно технического состояния вооружения. Здесь уже заместитель наркома т. Тухачевский докладывал, что в худшем состоянии находится стрелковое вооружение Военно-воздушных сил. Что касается вооружения мотомехвойск, то оно в этом году показало себя со значительно лучшей стороны. Чем это объясняется? Какая причина, что в воздушных силах из года в год, и в том числе в 1935 г., мы не имеем улучшения, а наоборот, даже по таким новым видам вооружения, как ШКАС, имеется резкое ухудшение? Мы имеем 74% поражения каналов стволов (сыпь и следы ржавчины). Это говорит о недопустимом отношении к оружию. И я думаю, т, народный комиссар, что это исходит от определенной установки. Мы очень ценим авиацию, очень уважаем руководство авиацией, но мы решительно будем бороться против того, чтобы центром внимания авиации был только воздушный корабль как таковой. На сегодня у авиаторов потолок, скорость, дальность действия — это и все. Огнестрельное оружие — ничто. При таком отношении к оружию мы будем иметь просто быстро, высоко летающие, машины, но весьма уязвимые. В самом деле, что такое воздушный корабль без количественного и качественного вооружения, особенно без вооружения вполне исправного и надежного. Мы на заводе, т. народный комиссар, требуем от ШКАСа такой автоматики, чтобы на 3000 выстрелов не было ни одной задержки, а на 5000 выстрелов мы допускаем лишь всего две задержки, легко устраняемых в воздухе простым перезаряжанием. Что же получится от этого прекрасного оружия, которое выходит в таком отличном состоянии с завода, если так будут относиться к нему в авиачастях?</w:t>
      </w:r>
    </w:p>
    <w:p w14:paraId="5A9373F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Что касается поражения каналов стволов стрелкового вооружения, то мне кажется, что на сегодня основной выход — как об этом докладывал начальник Артиллерийского управления т. Ефимов — это хромирование. Значит, здесь вопрос работы промышленности.</w:t>
      </w:r>
    </w:p>
    <w:p w14:paraId="65D4FBD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Второй вопрос — о неоржавляющих капсюлях и улучшении по-рохов. В этом отношении мы в этом году и в будущем году будем иметь опытные партии, которые имеют очень важное значение в отношении уменьшения поражения стволов.</w:t>
      </w:r>
    </w:p>
    <w:p w14:paraId="36CF100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А смазка у вас какая?</w:t>
      </w:r>
    </w:p>
    <w:p w14:paraId="40A7702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Середин.</w:t>
      </w:r>
      <w:r w:rsidRPr="00E14102">
        <w:rPr>
          <w:color w:val="000000" w:themeColor="text1"/>
          <w:sz w:val="16"/>
          <w:szCs w:val="16"/>
        </w:rPr>
        <w:t xml:space="preserve"> Так точно, т. командарм, смазка у нас еще неважная, но и обращаются с ней скверно, она часто находится вместе с керосином, щелочью, а иногда и с водой, загрязняется и т.д. Поэтому дело не только в качестве смазки, но и в обращении с ней.</w:t>
      </w:r>
    </w:p>
    <w:p w14:paraId="72857EA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Вы сами заводили эту смазку, а теперь говорите, что она негодная.</w:t>
      </w:r>
    </w:p>
    <w:p w14:paraId="065980C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Середин.</w:t>
      </w:r>
      <w:r w:rsidRPr="00E14102">
        <w:rPr>
          <w:color w:val="000000" w:themeColor="text1"/>
          <w:sz w:val="16"/>
          <w:szCs w:val="16"/>
        </w:rPr>
        <w:t xml:space="preserve"> Тов. народный комиссар, я хотел бы коснуться еще одного большого вопроса. Сейчас новое оружие, скажем, винтовки, идут на текущее довольствие, а в непзапасе у нас хранятся винтовки старых годов изготовления, даже с пораженными каналами стволов. Не целесообразнее бьшо бы, скажем, модернизированные винтовки, или другие виды оружия класть в неприкосновенный запас, а старые винтовки постепенно изымать и заменять? К сожалению, на сегодня это дело обстоит не так.</w:t>
      </w:r>
    </w:p>
    <w:p w14:paraId="32AE022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 последний вопрос — относительно учета. Тов. народный комиссар, учета не будет до тех пор, пока не будут даны люди в соответствующем количестве и соответствующей квалификации. Учет — это живые, квалифицированные люди. Этим летом при поверке складов, согласно вашего приказа, я столкнулся с таким явлением, что учет ведет надзиратель — совершенно полуграмотный человек, который едва-едва каракулями выводит свою фамилию. Можно ли, т. народный комиссар, потребовать от такого человека правильного учета? Конечно, нет. Я лично считаю, т. народный комиссар, что на эту сторону, т.е. на количество учетчиков и на их подготовку, нужно обратить серьезное внимание.</w:t>
      </w:r>
    </w:p>
    <w:p w14:paraId="58962E7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123.</w:t>
      </w:r>
    </w:p>
    <w:p w14:paraId="1480AAC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Смирнов.</w:t>
      </w:r>
      <w:r w:rsidRPr="00E14102">
        <w:rPr>
          <w:color w:val="000000" w:themeColor="text1"/>
          <w:sz w:val="16"/>
          <w:szCs w:val="16"/>
        </w:rPr>
        <w:t xml:space="preserve"> Несмотря на то что мы все-таки складам уделяли внимание, командующие войсками и начальники политуправлений тоже занимались, очевидно, система нашего руководства была такова, что не гарантировала от целого ряда крупных недостатков в нашем складском хозяйстве и мы получили совершенно законный упрек со стороны т. народного комиссара и Центрального Комитета. Особенно политработники, с тем чтобы более серьезно заниматься вопросом материального обеспечения и вопросом сохранения нашего имущества.</w:t>
      </w:r>
    </w:p>
    <w:p w14:paraId="272536B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После указания Центрального Комитета и вашего, т. народный комиссар, была проделана большая работа. Во-первых, люди, которые стоят во главе складов, были проинструктированы, посланы были группы людей для осмотра складов, для помощи складским работникам, приведения имущества в порядок, его хранения, учета, дополнительно были проведены мероприятия по изучению людей и отсеву негодных. Были, в соответствии с указаниями т. Гамарника, организованы политические отделы при крупных складах. Они сейчас укомплектованы. Так что проделана известная работа, но я бы сказал, если сейчас оценивать, она еще проделана далеко недостаточно, и если подойти к складскому хозяйству сейчас с точки зрения новых требований, то работа предстоит чрезвычайно большая.</w:t>
      </w:r>
    </w:p>
    <w:p w14:paraId="59B0E5D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Что возникает сейчас нового, собственно говоря?</w:t>
      </w:r>
    </w:p>
    <w:p w14:paraId="726D6CD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Во-первых, мы стали богаче. У нас стало всего больше. Во-вторых, авиация, которая может достать через фронт, может разгромить наши склады. И в-третьих, механизация армии, которая оснастила армию такой сложнейшей техникой, поставила вопрос о людях — простой вахтер в химскладе не справится. Спецификация всякого имущества увеличилась. Вот вопрос, который дает новое направление хозяйствованию наших складов, и в этом свете то, что мы сделали, является далеко недостаточным. Я бы сказал, что только осмысливаем по-настоящему большой разворот работы, которую нужно проделать по материальному обеспечению армии, особенно в пограничных округах по материальной подготовке, обеспечению оперативной подготовки и оборудованию театра, фронта.</w:t>
      </w:r>
    </w:p>
    <w:p w14:paraId="6AF6A11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 вот первый вопрос, который возникает хотя бы в связи с тем, что мы стали богаче, вопрос о площадях, вопрос о помещении. Стоит ли пристраивать к старым помещениям? Я думаю, что нет, потому что наше хозяйство — это крупное вместилище и сосредоточивает такие богатства, которые рассчитаны на питание не одной армии. Надо рассредоточить и надо подумать о том, как и где кое-что прятать под землей, особенно в пограничных округах. В этом направлении мы недостаточно связаны, благодаря этому не используем местные возможности. Плохо работает наш районный военный комиссар, который должен был бы нам помогать в пограничных округах по оборудованию и экономической подготовке театра войны. Вот строят колхозы, строят совхозы, они строят свои овощехранилища, свои склады. Мы могли бы, внедряя наши требования, кое-что сделать, не затрачивая на это прямых государственных средств, а мобилизуя тут нашу совхозную и колхозную общественность. Потом, абсолютно нет никакой маскировки у нас в складах. Слаба она, и мысль над этим маловато работает. Склады скучены, страшно заметны, очень легко уязвимы. Нужно чем-нибудь и как-нибудь маскировать. Вот этого у нас нет. Затем сами хранилища у нас, они приспособлены для небольшого объема имущества, и потому такой кустарный способ самой работы в них.</w:t>
      </w:r>
    </w:p>
    <w:p w14:paraId="128E055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Если мы хотим, чтобы наше неприкосновенное имущество лежало хорошо, чтобы оно было секретно, чтобы доступ лишним людям не был туда, нужно, чтобы сами склады, которые ведают текущей оперативной работой, сами хранилища были бы отдельно, чтобы цеха были приспособлены для производства операций. А во многих хранилищах тут лежит и запас, и тут же производятся текущие операции, что страшно мешает. Получается неналаженность внутренней производственной деятельности. Это, безусловно, зависит от нас. При небольших затратах средств внутренний процесс производства можно значительно улучшить.</w:t>
      </w:r>
    </w:p>
    <w:p w14:paraId="6D6F66F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Потом встал вопрос о том, что надо учить людей. Тут один товарищ говорил, что нужно начинять, накачивать людей. Конечно, человека можно начинить и накачать, можно поругать, но самое главное — нужно, чтобы он знал, понимал спецификацию всех сложных видов снабжения армии. Безусловно, нужно учить народ. Можно ли и нужно ли всех пропускать через школы? Низовой аппарат можно учить системой нормальных командирских занятий, командирских занятий не в том смысле, чтобы водить роту, а систематическими командирскими занятиями в соответствии с их обязанностью, с их специальностью.</w:t>
      </w:r>
    </w:p>
    <w:p w14:paraId="65CE10C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Это он и понимает под словом накачать.</w:t>
      </w:r>
    </w:p>
    <w:p w14:paraId="2D67B17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Смирнов.</w:t>
      </w:r>
      <w:r w:rsidRPr="00E14102">
        <w:rPr>
          <w:color w:val="000000" w:themeColor="text1"/>
          <w:sz w:val="16"/>
          <w:szCs w:val="16"/>
        </w:rPr>
        <w:t xml:space="preserve"> Тогда я согласен. А высший состав? Подготовки, наших знаний, Климент Ефремович, не хватит, и нужно пропускать через школы или академии. До сих пор обучение командного состава идет так, что мы учим за счет штата, это болезненно сказывается на армии.</w:t>
      </w:r>
    </w:p>
    <w:p w14:paraId="7E0EE02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А вы знаете, сколько вне штата учится?</w:t>
      </w:r>
    </w:p>
    <w:p w14:paraId="1BBA9A3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Смирнов.</w:t>
      </w:r>
      <w:r w:rsidRPr="00E14102">
        <w:rPr>
          <w:color w:val="000000" w:themeColor="text1"/>
          <w:sz w:val="16"/>
          <w:szCs w:val="16"/>
        </w:rPr>
        <w:t xml:space="preserve"> Я знаю.</w:t>
      </w:r>
    </w:p>
    <w:p w14:paraId="60BB7D5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Если бы некоторые государства имели такие армии, сколько у нас учится вне штата, то были бы очень довольны.</w:t>
      </w:r>
    </w:p>
    <w:p w14:paraId="13C5078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Смирнов.</w:t>
      </w:r>
      <w:r w:rsidRPr="00E14102">
        <w:rPr>
          <w:color w:val="000000" w:themeColor="text1"/>
          <w:sz w:val="16"/>
          <w:szCs w:val="16"/>
        </w:rPr>
        <w:t xml:space="preserve"> Я хотел бы сделать отклонение, потому что это больной вопрос для армии. Армия видоизменяется, некоторые рода войск приобретают другую физиономию. Штаб РККА не успевает это оформить. Мы организуем внештатные роты подводников, парашютистов, и в связи с этим создается текучесть командного состава и неустойчивость в учебе, о чем говорил т. Якир, потому что командир роты не сидит хотя бы на этой работе. Я говорю, что надо учить этих людей, но по специальности и не за счет штата. Это большой вопрос, поэтому я позволил это отклонение.</w:t>
      </w:r>
    </w:p>
    <w:p w14:paraId="08BF202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Система зарплаты у нас не так проста, как на устойчивом производстве, на заводе, а применительно к складам, там похоже на завод и на мастерскую. Он полукустарь, ремонтирует отдельные вещи, нормировку установить затруднительно, поэтому не всегда можно перейти на сдельщину. В зарплате нужно сочетать и систему сдельщины, и месячную зарплату. Это дело надо продумать. Если мы будем по-настоящему развертывать стахановское движение, тогда у нас дело пойдет. Когда стахановское движение связано с личной заинтересованностью, оно пойдет значительно лучше. В складах мы можем дело развернуть по-настоящему, если обеспечим стахановское движение и правильную систему зарплаты.</w:t>
      </w:r>
    </w:p>
    <w:p w14:paraId="2741955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124.</w:t>
      </w:r>
    </w:p>
    <w:p w14:paraId="1A0C142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Бокис.</w:t>
      </w:r>
      <w:r w:rsidRPr="00E14102">
        <w:rPr>
          <w:color w:val="000000" w:themeColor="text1"/>
          <w:sz w:val="16"/>
          <w:szCs w:val="16"/>
        </w:rPr>
        <w:t xml:space="preserve"> Тов. народный комиссар, разрешите вам доложить, что ваш приказ № 025</w:t>
      </w:r>
      <w:hyperlink r:id="rId302" w:anchor="_ftn4" w:history="1">
        <w:r w:rsidRPr="00E14102">
          <w:rPr>
            <w:rStyle w:val="a4"/>
            <w:color w:val="000000" w:themeColor="text1"/>
            <w:sz w:val="16"/>
            <w:szCs w:val="16"/>
          </w:rPr>
          <w:t>[4]</w:t>
        </w:r>
      </w:hyperlink>
      <w:r w:rsidRPr="00E14102">
        <w:rPr>
          <w:color w:val="000000" w:themeColor="text1"/>
          <w:sz w:val="16"/>
          <w:szCs w:val="16"/>
        </w:rPr>
        <w:t>, который требовал, чтобы 85% машин были всегда боеспособными, в этом году выполнен всеми округами, даже перевыполнен на 3%. О чем это говорит? Это говорит о том, что то недоверие к сокращению расхода моторесурсов, которое было высказано на прошлогоднем заседании Военного совета, было необоснованно. Целый ряд частей, к примеру сказать 3-я бригада, даже сэкономили эти моточасы. Можно идти по пути дальнейшего сокращения моторесурсов, т. Уборевич.</w:t>
      </w:r>
    </w:p>
    <w:p w14:paraId="5C6D462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В ущерб боевой подготовке?</w:t>
      </w:r>
    </w:p>
    <w:p w14:paraId="67290BE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Бокис.</w:t>
      </w:r>
      <w:r w:rsidRPr="00E14102">
        <w:rPr>
          <w:color w:val="000000" w:themeColor="text1"/>
          <w:sz w:val="16"/>
          <w:szCs w:val="16"/>
        </w:rPr>
        <w:t xml:space="preserve"> Нет, не в ущерб боевой подготовке. Боевая подготовка отнюдь не ухудшилась в этом году, об этом говорят те результаты, которые здесь обсуждались.</w:t>
      </w:r>
    </w:p>
    <w:p w14:paraId="2CBB610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Тов. народный комиссар, теперь разрешите сказать относительно состояния вооружения наших частей. Здесь докладывали, что в этом году у танковых частей резкий перелом. Нужно сказать, что основную роль сыграл ваш приказ, когда вы крепко ударили по т. Бакши, в результате этого все взялись за выполнение вашего приказа, и целый ряд частей показал, что вооружение можно содержать в порядке. Но это обстоятельство еще не говорит о том, что все в порядке. В войсках еще нет такого положения, чтобы за вооружением боевой машины, боевой укладкой, оптическими прицелами, электропроводкой и т.д. следили все должным образом. Этого еще нет. У нас еще забывают закрепить башню, портят шарикоподшипники и т.д. На это нужно обратить особое внимание.</w:t>
      </w:r>
    </w:p>
    <w:p w14:paraId="2B874DB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Перехожу к состоянию складов. С состоянием складов я ознакомился лично, а также изучил все акты последних обследований, имевших место по округам с 20 ноября с.г. В этих актах дается хорошая оценка состоянию наших складов. Я считаю, что ряд комиссий переоценил состояние наших складов. Мы лично — Автобронетанковое управление, считаем, что мы пока достигли только удовлетворительных результатов, что ни один склад не сделали еще образцовым, как этого требует ваш приказ. Нам придется над этим упорно работать совместно с округами.</w:t>
      </w:r>
    </w:p>
    <w:p w14:paraId="00BE754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Относительно учета, У нас целый ряд ненормальностей в области учета. Этот учет особенно ненормально поставлен в войсковых частях. Можно привести такой пример: в этом году по вашему приказу завели индивидуальный учет каждой боевой машины — год поступления, количество отработанных моторочасов и т.д. Когда сверяем карточки учета, присланные войсковыми частями, с нашим учетом, то отказывается, что ряд войсковых частей не представляет правильных данных. О чем это говорит? Это говорит о том, что войска правильно не учитывают боевых машин, не уделяют этому вопросу должного внимания. В этом вопросе я могу привести такой пример: по 7-му мехкорпусу. Мы получили учетные данные, что у них не хватает для развертывания танков. Фактически же в 7-м мехкорпусе на сегодняшний день в связи с тем, что не было выполнено приказание о передаче танков сд, имеется 50 лишних танков. Эти данные говорят о том, что на дело учета нужно обратить самое серьезное внимание, особенно по боевым машинам. Нам приходится самим посылать людей в округа для того, чтобы наладить дело учета, иначе он налажен не будет. Необходимо, чтобы командующие войсками в этом вопросе помогли, так как иначе с этой ответственнейшей задачей мы не справимся. Если не будем знать годов поступления, отработанных моторесурсов, мы не сможем поставить правильно дело эксплуатации и ремонта.</w:t>
      </w:r>
    </w:p>
    <w:p w14:paraId="25A6C77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Тухачевский.</w:t>
      </w:r>
      <w:r w:rsidRPr="00E14102">
        <w:rPr>
          <w:color w:val="000000" w:themeColor="text1"/>
          <w:sz w:val="16"/>
          <w:szCs w:val="16"/>
        </w:rPr>
        <w:t xml:space="preserve"> Надо разработать комплекты.</w:t>
      </w:r>
    </w:p>
    <w:p w14:paraId="0A3E03E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Бокис.</w:t>
      </w:r>
      <w:r w:rsidRPr="00E14102">
        <w:rPr>
          <w:color w:val="000000" w:themeColor="text1"/>
          <w:sz w:val="16"/>
          <w:szCs w:val="16"/>
        </w:rPr>
        <w:t xml:space="preserve"> Мы все комплекты разработали. Мы виноваты в центре в одном отношении — несвоевременно взялись за инструмент к боевым машинам. Мы им обеспечивали в составе общих комплектов запасных частей, не выделив самостоятельно отдельных важнейших номенклатур. В будущем году это выделяется, и мы надеемся в 1-м квартале выправить неудовлетворительное положение по инструменту. По боевым машинам имеются узкие места, по которым нужно будет давить на промышленность, чтобы все то имущество, которое не хватает на доукомплектование, было бы получено в 1-м квартале.</w:t>
      </w:r>
    </w:p>
    <w:p w14:paraId="0829AA8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Но здесь, т. народный комиссар, я перед вами должен поставить следующий вопрос. Мы на будущий год должны договориться с т. Орджоникидзе</w:t>
      </w:r>
      <w:hyperlink r:id="rId303" w:anchor="_ftn5" w:history="1">
        <w:r w:rsidRPr="00E14102">
          <w:rPr>
            <w:rStyle w:val="a4"/>
            <w:color w:val="000000" w:themeColor="text1"/>
            <w:sz w:val="16"/>
            <w:szCs w:val="16"/>
          </w:rPr>
          <w:t>[5]</w:t>
        </w:r>
      </w:hyperlink>
      <w:r w:rsidRPr="00E14102">
        <w:rPr>
          <w:color w:val="000000" w:themeColor="text1"/>
          <w:sz w:val="16"/>
          <w:szCs w:val="16"/>
        </w:rPr>
        <w:t>, чтобы промышленность делала для нас комплектно запасные части. Мы не можем допустить такого положения, когда мы имеем дело с 50 заводами и на своих складах должны скомплектовать запчасти. Нам с этим делом трудно справиться. Нужно сделать так, как сделали для Артиллерийского управления. Есть ваше решение и решение т. Орджоникидзе, чтобы АУ дать запчасти укомплектованными. В отношении нас этого решения еще нет.</w:t>
      </w:r>
    </w:p>
    <w:p w14:paraId="4180A05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Вопрос о ремонте. </w:t>
      </w:r>
      <w:r w:rsidRPr="00E14102">
        <w:rPr>
          <w:rStyle w:val="a6"/>
          <w:i w:val="0"/>
          <w:color w:val="000000" w:themeColor="text1"/>
          <w:sz w:val="16"/>
          <w:szCs w:val="16"/>
        </w:rPr>
        <w:t>Я</w:t>
      </w:r>
      <w:r w:rsidRPr="00E14102">
        <w:rPr>
          <w:color w:val="000000" w:themeColor="text1"/>
          <w:sz w:val="16"/>
          <w:szCs w:val="16"/>
        </w:rPr>
        <w:t xml:space="preserve"> думаю, что нельзя еще на сегодняшний день перейти на тот способ ремонта, который предложил т. Ефимов. Мы можем сегодня выбросить все старые детали и заменить деталями, полученными от промышленности. Мы должны делать ремонт деталям. Мы не можем выбрасывать детали, которые могут быть еще отремонтированы. Поэтому мы отказываться от ремонтных мастерских на сегодняшний день не можем. Промышленности мы это дело не можем передать. Мы должны сохранить наши ремонтные мастерские. На Дальнем Востоке мы платили за ремонт легковой машины 8000 руб., в то время как промышленность дает новую машину за 4100 руб. Но тем не менее мы должны ремонтировать эти легковые машины, иначе у нас не будет хватать автомобилей.</w:t>
      </w:r>
    </w:p>
    <w:p w14:paraId="7E93821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Последний вопрос — это вопрос тыла. Мы провели специальные учения в Кунцеве, но, к сожалению, начальник Генерального штаба организационно не оформил целый ряд выводов, которые мы сделали по танковым войскам. Необходимо в 1-м квартале сформировать два армейских ремонтно-восстановительных батальона для работы на грунтовом участке, в районах скопления после боя ремонтных объектов. Это особенно важно проверить в Забайкалье у т. Грязнова. На основе опыта 1936 г. окончательно решить вопрос о количестве и организационной структуре этих батальонов.</w:t>
      </w:r>
    </w:p>
    <w:p w14:paraId="7BF22D6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125.</w:t>
      </w:r>
    </w:p>
    <w:p w14:paraId="14C4B73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Кулик.</w:t>
      </w:r>
      <w:r w:rsidRPr="00E14102">
        <w:rPr>
          <w:color w:val="000000" w:themeColor="text1"/>
          <w:sz w:val="16"/>
          <w:szCs w:val="16"/>
        </w:rPr>
        <w:t xml:space="preserve"> Тов. Тухачевский, говоря о стахановском движении, сказал, что стахановское движение — это значит освоить оружие с таким расчетом, чтобы дать максимальную убойность на войне. С этого я хотел бы начать.</w:t>
      </w:r>
    </w:p>
    <w:p w14:paraId="59B66B8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Третий корпус дрался за то, чтобы добиться убойности стрелкового и артиллерийского оружия. Это значит: сначала технически освоить вооружение, затем научиться стрелять и, наконец, как стрелять и по чему стрелять. Поэтому я считаю, что не может быть части тактически подготовленной, если она не освоила своего оружия. Может быть, я не так его понял?</w:t>
      </w:r>
    </w:p>
    <w:p w14:paraId="46475DF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Теперь возьму состояние оружия в 3-м корпусе. Нам пришлось очень много работать над тем, чтобы подготовить кадры для того, чтобы поставить на должную высоту сбережение, уход и ремонт вооружения, причем некоторые товарищи командиры, даже иногда и старшие, еще 3 года тому назад не знали своего оружия. Помните, как у нас была погоня за приданием оружию точного боя и т.д.? В 3-м ск много сделано для того, чтобы освоить оружие, на сегодняшний день в той же 17-й дивизии, которую здесь упоминали не добрым словом, состояние оружия, я ответственно докладываю, лучше, чем во многих других дивизиях. Правда, там т. Бондарь</w:t>
      </w:r>
      <w:hyperlink r:id="rId304" w:anchor="_ftn6" w:history="1">
        <w:r w:rsidRPr="00E14102">
          <w:rPr>
            <w:rStyle w:val="a4"/>
            <w:color w:val="000000" w:themeColor="text1"/>
            <w:sz w:val="16"/>
            <w:szCs w:val="16"/>
          </w:rPr>
          <w:t>[6]</w:t>
        </w:r>
      </w:hyperlink>
      <w:r w:rsidRPr="00E14102">
        <w:rPr>
          <w:color w:val="000000" w:themeColor="text1"/>
          <w:sz w:val="16"/>
          <w:szCs w:val="16"/>
        </w:rPr>
        <w:t xml:space="preserve"> — довольно технических грамотный человек. Здесь помогло нам и Артиллерийское управление, может быть, по старой памяти, потому что он был начальником ГАУ, а я был тоже немножко начальником ГАУ. </w:t>
      </w:r>
      <w:r w:rsidRPr="00E14102">
        <w:rPr>
          <w:rStyle w:val="a6"/>
          <w:i w:val="0"/>
          <w:color w:val="000000" w:themeColor="text1"/>
          <w:sz w:val="16"/>
          <w:szCs w:val="16"/>
        </w:rPr>
        <w:t>(Смех.) Я</w:t>
      </w:r>
      <w:r w:rsidRPr="00E14102">
        <w:rPr>
          <w:color w:val="000000" w:themeColor="text1"/>
          <w:sz w:val="16"/>
          <w:szCs w:val="16"/>
        </w:rPr>
        <w:t xml:space="preserve"> поэтому докладываю, что за оружием мы следим. Не может быть тактически грамотной части, если она не освоила свое оружие в техническом, стрелковом и тактическом отношении.</w:t>
      </w:r>
    </w:p>
    <w:p w14:paraId="3AEC198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Второй вопрос — относительно стволов. Я когда-то тоже докладывал о стволах на заседании РВС Союза и немного понимаю в этом вопросе. Винтовки у нас после перевооружения армии в 1925— 1927 гг. уже 8—10 лет в эксплуатации, и, конечно, их нельзя сравнить с новой винтовкой. Правда, у нас есть грехи в отношении сбережения, но во всяком случае если винтовка служит 8—10 лет, она ниже новой. Нельзя сравнить новую винтовку с винтовкой, работающей 8-10 лет.</w:t>
      </w:r>
    </w:p>
    <w:p w14:paraId="0E9D341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А сколько за 7 лет при нормальной стрельбе винтовка может дать выстрелов?</w:t>
      </w:r>
    </w:p>
    <w:p w14:paraId="3FE4A94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Кулик.</w:t>
      </w:r>
      <w:r w:rsidRPr="00E14102">
        <w:rPr>
          <w:color w:val="000000" w:themeColor="text1"/>
          <w:sz w:val="16"/>
          <w:szCs w:val="16"/>
        </w:rPr>
        <w:t xml:space="preserve"> Тысячу выстрелов.</w:t>
      </w:r>
    </w:p>
    <w:p w14:paraId="423EEED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А если из новой винтовки выстрелишь тысячу раз, она останется новой. Ты же проповедуешь, что через 7-8 лет винтовка, если она прекрасно содержится, должна все же технически снизиться.</w:t>
      </w:r>
    </w:p>
    <w:p w14:paraId="035DBD7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Кулик.</w:t>
      </w:r>
      <w:r w:rsidRPr="00E14102">
        <w:rPr>
          <w:color w:val="000000" w:themeColor="text1"/>
          <w:sz w:val="16"/>
          <w:szCs w:val="16"/>
        </w:rPr>
        <w:t xml:space="preserve"> Но какой-то процент ствола снижается.</w:t>
      </w:r>
    </w:p>
    <w:p w14:paraId="3E39843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Если ты ее не царапаешь о камни, не бьешь, если ты ее своевременно смазываешь, это будет новая винтовка.</w:t>
      </w:r>
    </w:p>
    <w:p w14:paraId="3F9349D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Кулик.</w:t>
      </w:r>
      <w:r w:rsidRPr="00E14102">
        <w:rPr>
          <w:color w:val="000000" w:themeColor="text1"/>
          <w:sz w:val="16"/>
          <w:szCs w:val="16"/>
        </w:rPr>
        <w:t xml:space="preserve"> Но все-таки есть какой-то процент изношенности.</w:t>
      </w:r>
    </w:p>
    <w:p w14:paraId="1083A41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Какая-то доля процента, если за винтовкой по-настоящему ухаживать.</w:t>
      </w:r>
    </w:p>
    <w:p w14:paraId="253B56B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Кулик.</w:t>
      </w:r>
      <w:r w:rsidRPr="00E14102">
        <w:rPr>
          <w:color w:val="000000" w:themeColor="text1"/>
          <w:sz w:val="16"/>
          <w:szCs w:val="16"/>
        </w:rPr>
        <w:t xml:space="preserve"> Я считаю, что нужно нажать на АУ, чтобы они освоили хромирование стволов.</w:t>
      </w:r>
    </w:p>
    <w:p w14:paraId="707B233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Теперь вопрос относительно помощи нам в отношении обеспечения всем необходимым наших полковых мастерских. До сих пор наши полковые мастерские не обеспечены всеми необходимыми инструментами, материалами и запасными частями, как это требуется. Поэтому просьба оказать помощь со стороны АУ.</w:t>
      </w:r>
    </w:p>
    <w:p w14:paraId="3F03DD2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Затем вопрос в отношении складского хозяйства. Тов. народный комиссар, вы издали приказ и требуете от нас содержать складское хозяйство в порядке, но посмотрите, что представляют собой наши склады. Если взять ваши требования, инструкции в отношении складов, то наши склады совершенно не соответствуют тем требованиям, которые вы предъявили. Нужно прямо смотреть правде в глаза. Необходимо просмотреть наше складское хозяйство, в особенности войсковые склады, и построить настоящие склады, чтобы наши склады соответствовали тем требованиям, которые вы предъявляете, особенно в отношении химического имущества. </w:t>
      </w:r>
      <w:r w:rsidRPr="00E14102">
        <w:rPr>
          <w:color w:val="000000" w:themeColor="text1"/>
          <w:sz w:val="16"/>
          <w:szCs w:val="16"/>
        </w:rPr>
        <w:lastRenderedPageBreak/>
        <w:t>Причем у нас склады случайные, они очень разбросаны по городам, в случайных помещениях. Когда посмотришь, сколько же людей учится в полку, то получается, что физически через день курсанты полковой школы зимой находятся в карауле. Поэтому вопрос в отношении складского хозяйства нужно рассматривать в соответствии с тем, что требуется вашим приказом и с точки зрения резкого сокращения караула в частях.</w:t>
      </w:r>
    </w:p>
    <w:p w14:paraId="12484D6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Затем нужно сказать, что артиллерийское хозяйство в дивизии самое большое, а начальника нет. Необходимо ввести начальника артснабжения. Кроме того, нужно ввести учет. Учет ведется плохо, потому что учитывать некому. Здесь фактически пустое место.</w:t>
      </w:r>
    </w:p>
    <w:p w14:paraId="7ACF3F2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Теперь в отношении вопросов тыла. Я не имел возможности выступить в прениях по первому докладу, поэтому вынужден по этому вопросу выступить сейчас. Мне пришлось командовать корпусом на опытных учениях в течение 1933—1935 гг. под руководством Штаба РККА в тот период, когда он проводил опытные учения в отношении тыла. В позапрошлом году я командовал в Гороховце и в этом году — на выходе с реальным тылом корпуса. У меня сложилось такое впечатление: начальник грунтового участка должен быть крепким командиром — типа командира дивизии, а нам на тыловое учение послали товарища из академии. Ему пришлось иметь дело с 7 тыс. чел., со сложной организацией. Он растерялся и на 4-й день сдал. Пришел к командующему т. Горбачеву и сказал: «Я обалдел и дальше командовать не могу».</w:t>
      </w:r>
    </w:p>
    <w:p w14:paraId="7BB61B2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Этот вопрос нужно по-настоящему пересмотреть, и на ДОП, и на КОП</w:t>
      </w:r>
      <w:r w:rsidRPr="00E14102">
        <w:rPr>
          <w:color w:val="000000" w:themeColor="text1"/>
          <w:sz w:val="16"/>
          <w:szCs w:val="16"/>
          <w:vertAlign w:val="superscript"/>
        </w:rPr>
        <w:t>83</w:t>
      </w:r>
      <w:r w:rsidRPr="00E14102">
        <w:rPr>
          <w:color w:val="000000" w:themeColor="text1"/>
          <w:sz w:val="16"/>
          <w:szCs w:val="16"/>
        </w:rPr>
        <w:t xml:space="preserve"> нужно посылать специалистов, крепких работников, а то получается обезличка. А фактически получается, что командует делопроизводитель из армейского аппарата по специальностям. Ко мне приезжает представитель из НГУ и говорит, что он парламентер; выходит, что я не имею в этом отношении никаких прав. Считаю, что оперативно НГУ нужно подчинить командиру корпуса.</w:t>
      </w:r>
    </w:p>
    <w:p w14:paraId="143D51C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отношении вооружения. Я считаю, что для станкового пулемета нужно иметь какую-то повозку. Если станковый пулемет не будет иметь повозку, то он будет не боеспособным. Относительно облегченного пулемета для роты. Я считаю, что станковый пулемет Максима для роты тяжел. Нужно дать облегченный пулемет</w:t>
      </w:r>
      <w:r w:rsidRPr="00E14102">
        <w:rPr>
          <w:color w:val="000000" w:themeColor="text1"/>
          <w:sz w:val="16"/>
          <w:szCs w:val="16"/>
          <w:vertAlign w:val="superscript"/>
        </w:rPr>
        <w:t>84</w:t>
      </w:r>
      <w:r w:rsidRPr="00E14102">
        <w:rPr>
          <w:color w:val="000000" w:themeColor="text1"/>
          <w:sz w:val="16"/>
          <w:szCs w:val="16"/>
        </w:rPr>
        <w:t>.</w:t>
      </w:r>
    </w:p>
    <w:p w14:paraId="0F76532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 вооружении артиллерии. Что можно сказать о полковой пушке 1927 г.</w:t>
      </w:r>
      <w:r w:rsidRPr="00E14102">
        <w:rPr>
          <w:color w:val="000000" w:themeColor="text1"/>
          <w:sz w:val="16"/>
          <w:szCs w:val="16"/>
          <w:vertAlign w:val="superscript"/>
        </w:rPr>
        <w:t>85</w:t>
      </w:r>
      <w:r w:rsidRPr="00E14102">
        <w:rPr>
          <w:color w:val="000000" w:themeColor="text1"/>
          <w:sz w:val="16"/>
          <w:szCs w:val="16"/>
        </w:rPr>
        <w:t>? Эта пушка была ценна и сыграла свою роль в переходный период вооружения. Сейчас нужно ставить вопрос иначе, надо дать в качестве полковой артиллерии пушку на самоходной установке, ибо орудие будет действовать в сфере влияния химии и ружейно-пулеметного огня, где лошадь неприменима, и обязательно пушку, а не гаубицу-пушку.</w:t>
      </w:r>
    </w:p>
    <w:p w14:paraId="496194B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 последний вопрос — вопрос о механизации артиллерии. Я считаю, что всю артиллерию, за исключением 37-мм пушки и 122-мм гаубицы, нужно перевести на механическую тягу, в особенности корпусную артиллерию — 76-мм гаубицы и 122-мм и 107-мм пушки.</w:t>
      </w:r>
    </w:p>
    <w:p w14:paraId="3F928F7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126.</w:t>
      </w:r>
    </w:p>
    <w:p w14:paraId="7495918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Дроздов.</w:t>
      </w:r>
      <w:r w:rsidRPr="00E14102">
        <w:rPr>
          <w:color w:val="000000" w:themeColor="text1"/>
          <w:sz w:val="16"/>
          <w:szCs w:val="16"/>
        </w:rPr>
        <w:t xml:space="preserve"> Тов. народный комиссар Маршал Советского Союза, я считаю необходимым остановиться на отдельных вопросах в разрезе доклада, который был сделан по вопросу эксплуатации вооружения в войсках.</w:t>
      </w:r>
    </w:p>
    <w:p w14:paraId="28FDD49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Первый вопрос — вопрос о ржавлении каналов винтовочных стволов. Здесь был предложен новый способ сохранения оружия — хромирование стволов. Я считаю, что этот вопрос дальнейшего, может быть, ближайшего будущего, но сейчас этот способ с учетом имеющегося вооружения вопроса не решает. Здесь говорилось о том, как у нас чистят оружие, но мало говорили, как нужно чистить и чем чистить. Я считаю совершенно необходимым предупредить, исходя из больших обследований войск, которые были проведены в текущем году, что смазки, которые применяются для чистки, по существу, это не те смазки, которые даются войскам. Почему это так? Потому что очень часто оружейное сало находится в войсках в банках с керосином и пр. Совершенно очевидно, что если этой смазкой, находящейся в неочищенной банке из-под керосина и воды, чистить винтовку, то ржавление будет обеспечено.</w:t>
      </w:r>
    </w:p>
    <w:p w14:paraId="2CD0B2B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Такое же положение наблюдается в артиллерийских частях, где в банках из-под керосина помещается пушечное сало, и все это там растворяется, и эта «смазка» применяется для чистки. Этому, казалось бы, «мелочному» вопросу внимания в частях уделяется слишком мало, и, как следствие, корозийность выходит очень значительная. В отношении самих смазок. Должен доложить, т. народный комиссар, что за последние три года по смазкам проведена весьма значительная работа. Сейчас смазки по своему составу очень неплохие. За этот период мы провели испытания целого ряда образцов смазок и иностранных армий, и нужно сказать, что по своему составу, по долговременности сохранения наши смазки не уступают иностранным, за исключением американской смазки, где применяется чистый вазелин. Основной недостаток — гигроскопичность наших смазок.</w:t>
      </w:r>
    </w:p>
    <w:p w14:paraId="5D65E45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Второй недоработанный вопрос тот, что на сегодняшний день еще не дана незамерзающая смазка, необходимая в первую очередь для авиации и для пулеметов на зимнее время, в особенности в условиях ОКДВА. Мы рекомендовали смазывать веретенным маслом. Тонкий слой веретенного масла обеспечивает работу только при температуре от 20 до 30°, при более низкой температуре веретенное масло не обеспечивает хорошую работу механизмов. Я считаю, что в ближайший период можно ожидать смазку, которая обеспечит работу в зимних условиях при 40—50°.</w:t>
      </w:r>
    </w:p>
    <w:p w14:paraId="28F6864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Голоса с места.</w:t>
      </w:r>
      <w:r w:rsidRPr="00E14102">
        <w:rPr>
          <w:color w:val="000000" w:themeColor="text1"/>
          <w:sz w:val="16"/>
          <w:szCs w:val="16"/>
        </w:rPr>
        <w:t xml:space="preserve"> Этого мало, нам нужна смазка, которая годилась бы при температуре 60°.</w:t>
      </w:r>
    </w:p>
    <w:p w14:paraId="1488FD2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Дроздов.</w:t>
      </w:r>
      <w:r w:rsidRPr="00E14102">
        <w:rPr>
          <w:color w:val="000000" w:themeColor="text1"/>
          <w:sz w:val="16"/>
          <w:szCs w:val="16"/>
        </w:rPr>
        <w:t xml:space="preserve"> Для того чтобы получить смазку, не замерзающую при 50°, работают научные организации, и работают долгое время, но пока этот вопрос еще не разрешен.</w:t>
      </w:r>
    </w:p>
    <w:p w14:paraId="6664619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Разрешите перейти, за краткостью времени, к другому вопросу — о состоянии материальной части. Со всей ответственностью нужно заявить, что осмотр материальной части в войсках был проведен в этом году гораздо жестче, чем за прошлый год и позапрошлый год. При осмотре выявилось, что на значительный процент войскового ремонта, главным образом на ремонт мелких повреждений, не обращается достаточного внимания. Так, например, в целом ряде орудий нет шплинтов, разводных колец и т.д. Командный состав не уяснил себе, что при отсутствии разводных колец на деталях он обязательно потеряет эту деталь, и орудие выйдет из строя. К сожалению, на эти «мелочи» в войсках слишком мало обращается внимания не только в батарее, но почти на каждом орудии эти мелочи, как правило, можно найти. Благодаря этим недостаткам, с которыми мы начали бороться особенно сильно за последний год, слишком велик процент так называемого войскового ремонта.</w:t>
      </w:r>
    </w:p>
    <w:p w14:paraId="3401907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должен заявить, что в особенности неблагополучно с изучением новой материальной части. В первую очередь я отношу вину на наш счет, мы не выпустили нужные руководства службы для этой новой материальной части, а во-вторых, и имеющиеся краткие руководства в частях не изучаются. Мне кажется, что изъятие за последние годы командного состава артиллерии и перевод его в мото-мехчасти и др. очень резко ослабил командный состав артиллерии, в первую очередь в батарее и дивизионе.</w:t>
      </w:r>
    </w:p>
    <w:p w14:paraId="3B0FE33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Одновременно я должен доложить, что я считаю не совсем благополучным дело с распределением командного состава в войсках. Сплошь и рядом можно встретить, это подтвердит и инспектор артиллерии, который вместе со мной проверял тяжелый полк АРГК, что командный состав почти полностью из Киевской, Московской или Ленинградской артиллерийских школ. То есть в полку АРГК одни легкачи, в то время как в дивизионных полках можно найти командный состав выпуска Одесской артиллерийской школы, т.е. распределение командного состава, оканчивающего школы со специальным артуклоном, проводится не совсем правильно.</w:t>
      </w:r>
    </w:p>
    <w:p w14:paraId="6B8BD75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Одесская школа — это школа тяжелой артиллерии. Вы не найдете в дивизионном полку ни одного человека из Одесской тяжелой школы. Вы не найдете их нигде, кроме как в морских частях.</w:t>
      </w:r>
    </w:p>
    <w:p w14:paraId="6ED03CA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Дроздов.</w:t>
      </w:r>
      <w:r w:rsidRPr="00E14102">
        <w:rPr>
          <w:color w:val="000000" w:themeColor="text1"/>
          <w:sz w:val="16"/>
          <w:szCs w:val="16"/>
        </w:rPr>
        <w:t xml:space="preserve"> Тов. командарм, вам докладывали по этому вопросу на основании данных 137-го полка. Вы можете найти в ряде частей артиллеристов, выпущенных Одесской школой, работающих в легких полках. А там, где нужны такие люди, их нет.</w:t>
      </w:r>
    </w:p>
    <w:p w14:paraId="45B4BB9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Нельзя ли более конкретно указать полк.</w:t>
      </w:r>
    </w:p>
    <w:p w14:paraId="418DB51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Дроздов.</w:t>
      </w:r>
      <w:r w:rsidRPr="00E14102">
        <w:rPr>
          <w:color w:val="000000" w:themeColor="text1"/>
          <w:sz w:val="16"/>
          <w:szCs w:val="16"/>
        </w:rPr>
        <w:t xml:space="preserve"> Например, в 137-м и 110-м полках АРГК и другие части АРГК.</w:t>
      </w:r>
    </w:p>
    <w:p w14:paraId="7468613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Назовите полковую батарею, в которой есть человек из Одесской тяжелой школы.</w:t>
      </w:r>
    </w:p>
    <w:p w14:paraId="636711A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Дроздов.</w:t>
      </w:r>
      <w:r w:rsidRPr="00E14102">
        <w:rPr>
          <w:color w:val="000000" w:themeColor="text1"/>
          <w:sz w:val="16"/>
          <w:szCs w:val="16"/>
        </w:rPr>
        <w:t xml:space="preserve"> В Московском округе, кажется в Пролетарской дивизии, было два командира.</w:t>
      </w:r>
    </w:p>
    <w:p w14:paraId="041C882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считаю, т. народный комиссар, что необходимо обратить внимание на изучение командным составом в первую очередь материальной части. Те сборы, которые проводились АУ, совершенно недостаточны. Совершенно необходимо проводить сборы командного состава и, кроме того, сборы организованным порядком при технических школах, сборы начальников боевого питания и артиллерийских техников.</w:t>
      </w:r>
    </w:p>
    <w:p w14:paraId="559F6C1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отношении запасных частей. Мы каждую новую пушку направляем обязательно с комплектом запасных частей. Должен оговориться, что на основе расстрела этих пушек мы выводим необходимый комплект, может быть, с ошибками, но тот комплект, который должен обслужить пушку на весь период ее службы. Особенно неблагополучно с потерями ЗИП было в мотомехчастях в 7-й бригаде и в других частях. Проведенный опыт в УВО выправляет это дело, т.е. прибывают новые пушки, имеющие свой комплект запасных частей, имеющиеся запасные части у них отбираются и кладутся в непзапас, а пополнение подаются новые по заявкам. Это нужно применять.</w:t>
      </w:r>
    </w:p>
    <w:p w14:paraId="6002DC9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Теперь по разгару каналов ствола. Здесь я считаю, что довольно благополучно по основным образцам, но 76-мм пушки образца 1909 г. на 79% имеют разгар. Такой пониженный процент объясняется тем, что горные пушки образца 1909 г. в основном изготовления до 1918 г. Одновременно я хотел доложить, что по 76-мм пушке образца 1902 г. выправляется положение с каналами при модернизации их</w:t>
      </w:r>
      <w:r w:rsidRPr="00E14102">
        <w:rPr>
          <w:color w:val="000000" w:themeColor="text1"/>
          <w:sz w:val="16"/>
          <w:szCs w:val="16"/>
          <w:vertAlign w:val="superscript"/>
        </w:rPr>
        <w:t>86</w:t>
      </w:r>
      <w:r w:rsidRPr="00E14102">
        <w:rPr>
          <w:color w:val="000000" w:themeColor="text1"/>
          <w:sz w:val="16"/>
          <w:szCs w:val="16"/>
        </w:rPr>
        <w:t>.</w:t>
      </w:r>
    </w:p>
    <w:p w14:paraId="68D4663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отношении 107-мм пушки — здесь 2% падает на не модернизированные пушки, которые в ближайшее время будут модернизировать. Все эти модернизированные пушки пропущены через ремонт.</w:t>
      </w:r>
    </w:p>
    <w:p w14:paraId="3762270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Большое неблагополучие по противотанковым пушкам объясняется тем, что здесь не отражена отдельно 37-мм Гочкиса, Грозонвер-на, Розенберга, которые дают высокий процент по противотанковым пушкам. Нужно поставить вопрос об изъятии 37-мм пушек Гочкиса, Розенберга и заменить их современными противотанковыми пушками</w:t>
      </w:r>
      <w:r w:rsidRPr="00E14102">
        <w:rPr>
          <w:color w:val="000000" w:themeColor="text1"/>
          <w:sz w:val="16"/>
          <w:szCs w:val="16"/>
          <w:vertAlign w:val="superscript"/>
        </w:rPr>
        <w:t>87</w:t>
      </w:r>
      <w:r w:rsidRPr="00E14102">
        <w:rPr>
          <w:color w:val="000000" w:themeColor="text1"/>
          <w:sz w:val="16"/>
          <w:szCs w:val="16"/>
        </w:rPr>
        <w:t>.</w:t>
      </w:r>
    </w:p>
    <w:p w14:paraId="4B7FB8E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127.</w:t>
      </w:r>
    </w:p>
    <w:p w14:paraId="7DE4E70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Роговский.</w:t>
      </w:r>
      <w:r w:rsidRPr="00E14102">
        <w:rPr>
          <w:color w:val="000000" w:themeColor="text1"/>
          <w:sz w:val="16"/>
          <w:szCs w:val="16"/>
        </w:rPr>
        <w:t xml:space="preserve"> Состояние артиллерийской техники в войсках, которая представлена не только одними орудиями, а сложнейшими приборами управления огнем, особенно в области зенитной артиллерии, звукометрическими станциями и другими приборами, не может быть рассматриваемо вне связи с технической подготовкой командного состава. Поверка технической подготовки командного состава, произведенная Инспекцией, а также округами, показывает, что командный состав </w:t>
      </w:r>
      <w:r w:rsidRPr="00E14102">
        <w:rPr>
          <w:color w:val="000000" w:themeColor="text1"/>
          <w:sz w:val="16"/>
          <w:szCs w:val="16"/>
        </w:rPr>
        <w:lastRenderedPageBreak/>
        <w:t>технически подготовлен чрезвычайно слабо и что командный состав в технической области, я бы сказал, в плену у технического состава. Сам технический состав, который находится в войсках, тоже подготовлен неважно, особенно по новой технике, которая получается в армии. Почему это происходит? Происходит это потому, что внимание технической подготовке начсостава уделяется далеко не достаточное. Техническая подготовка начсостава проходит главным образом по верхам. Например, изучают пушку. Говорят пушка имеет дальность такую-то, такую-то начальную скорость, у нее два колеса, весит она столько-то — и все. А когда в 1935 г. начали осматривать материальную часть не поверхностно, а начали залезать в нутро, начали разбирать ее, как, например, Б-4</w:t>
      </w:r>
      <w:r w:rsidRPr="00E14102">
        <w:rPr>
          <w:color w:val="000000" w:themeColor="text1"/>
          <w:sz w:val="16"/>
          <w:szCs w:val="16"/>
          <w:vertAlign w:val="superscript"/>
        </w:rPr>
        <w:t>88</w:t>
      </w:r>
      <w:r w:rsidRPr="00E14102">
        <w:rPr>
          <w:color w:val="000000" w:themeColor="text1"/>
          <w:sz w:val="16"/>
          <w:szCs w:val="16"/>
        </w:rPr>
        <w:t>, которая на разборку требует сутки и величайших знаний, так как система по своей мощности выстрела превосходит чуть ли не Днепрострой, то здесь сразу обнаружилось незнание техники командным составом. Командный состав боится подойти, залезть внутрь этой системы. Когда я по приказу народного комиссара обследовал в 137-м полку материальную часть, то оказалось, что командный состав боялся разбирать эту систему. То же самое в отношении приборов. Кто рискнет разбирать прибор ВЭСТ?</w:t>
      </w:r>
    </w:p>
    <w:p w14:paraId="517F0BF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Категорически запрещено.</w:t>
      </w:r>
    </w:p>
    <w:p w14:paraId="11FA230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Роговский.</w:t>
      </w:r>
      <w:r w:rsidRPr="00E14102">
        <w:rPr>
          <w:color w:val="000000" w:themeColor="text1"/>
          <w:sz w:val="16"/>
          <w:szCs w:val="16"/>
        </w:rPr>
        <w:t xml:space="preserve"> Нет, мы запрещаем разборку отдельных механизмов, но не можем запрещать разборку, например, противооткатных приспособлений, наполнение жидкостью которых является задачей войск. Мы это дело не можем запретить и никто его не запрещает. Таким образом, плохо мы учимся. Почему плохо мы учимся? Потому что технике в войсках комсостав учить некому. Кто будет учить, когда нет человека, который бы знал эту технику? Мы имеем в танковых батальонах, в танковых полках инженеров. Но мы не имеем инженеров в полках РГК, это колоссальные полки, которые представляют собой огромные предприятия. Это целый завод — артиллерийская мастерская, сама тяжелая пушка — чуть ли не целый завод. В эти полки необходимо обязательно ввести артиллерийского инженера, потому что некому учить начсостав этой сложной технике.</w:t>
      </w:r>
    </w:p>
    <w:p w14:paraId="441F5EE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Дальше — дело с руководствами также далеко неблагополучно. Мы имеем руководства описательного порядка, где сказано, например, что шплинт № 278 не входит в гайку 380 и т.п. Мы не имеем руководств, излагающих понятным языком основу устройства материальной части, основу устройства взрывателей и т.п. техники. Начсостав учит, зубрит отдельные механизмы, но не понимает суть дела. Такие специальные руководства для командного состава издать необходимо не в виде сухих описаний, а в виде популярного изложения вопроса в целом и отдельных его деталей.</w:t>
      </w:r>
    </w:p>
    <w:p w14:paraId="02895C3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Здесь говорил т. Розынко, что от войск требуется техническая артиллерийская грамотность для описания действия снарядов. Мы с т. Розынко разбирали один документ. В одном полку разорвало пушку. Технический лист заполнен неграмотно. Там сказано, что шрапнель снаряжена тротилом и получился разрыв в канале. Совершенно нелепая вещь, так как шрапнель никогда тротилом не снаряжается. Кто заполнял этот лист? Технический состав, который в этом отношении неграмотен, а мы мало сделали для его переподготовки в смысле специально технических сборов. Дается новая материальная часть, а техсостав не переподготовляется. Сейчас на АКУКСе увеличено изучение техники так же, как и в нормальных артиллерийских школах, где технике было уделено недостаточное количество часов и она проходилась попутно. Необходимо обратить особое внимание на организацию переподготовки технического состава.</w:t>
      </w:r>
    </w:p>
    <w:p w14:paraId="6AA3E46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 приборах. Приборы находятся в плохом состоянии, но у нас стереотруб в армии около 53-60%, причем учебных приборов совершенно нет. Негодные стереотрубы необходимо из армии выбраковать. Модернизированных стереотруб мы пока что еще не даем. Часть существующих стереотруб нужно выбраковать для учебных приборов и вообще обратить внимание на дачу учебных приборов. Уход за приборами безобразный: их бросают, бьют, не смазывают, не чистят, теряют отдельные части. Можно привести такой удивительный случай, что на опытных стрельбах в Мпсд, на которых присутствовал начальник Генерального штаба, когда вывели для высшего комсостава стереотрубы, то это был просто ужас в смысле состояния приборов — были разбиты уровни, свернуты винты, нет болтов и т.п.</w:t>
      </w:r>
    </w:p>
    <w:p w14:paraId="2C7E1A4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Тов. народный комиссар, катастрофическое положение с звукометрическими станциями. Нам нужно дать во что бы то ни стало перевозочные средства для звукометрических станций. Сейчас звукометрические станции перевозят в войсках на чем попало: не имеем ни машин, ни оборудованных повозок. И если эти станции еще целы, то это заслуга войск, и если в недалеком будущем не будут даны перевозочные средства, то станции погибнут.</w:t>
      </w:r>
    </w:p>
    <w:p w14:paraId="7CC25AD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127.</w:t>
      </w:r>
    </w:p>
    <w:p w14:paraId="47232C5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Викторов.</w:t>
      </w:r>
      <w:r w:rsidRPr="00E14102">
        <w:rPr>
          <w:color w:val="000000" w:themeColor="text1"/>
          <w:sz w:val="16"/>
          <w:szCs w:val="16"/>
        </w:rPr>
        <w:t xml:space="preserve"> Хранение вооружения на Тихоокеанском флоте встречало особые затруднения в связи с тем, что флот формировался и одновременно поступало большое количество весьма ответственного вооружения: минный запас, боезапас, торпеды и др. техническое имущество. Но тем не менее были приняты меры к тому, чтобы боезапас и вооружение устроить так, как этого требует обстановка на дальневосточном театре.</w:t>
      </w:r>
    </w:p>
    <w:p w14:paraId="2B69D23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Возьмем, например, мины. Я стремился к тому, чтобы все мины положить в тоннельные склады, потому что в условиях угрозы воздушных нападений оставлять мины в незащищенном виде было невозможно. Поэтому стали приспосабливать имеющиеся старые тоннельные погреба для хранения мин. В этом отношении мы достигли известных успехов. Надо сказать, что на сегодня большинство мин находится в минных заградителях или в туннельных погребах в хороших условиях, закрытых складах, но не защищенных. В целях обеспечения хранения минного запаса, а он поступает и будет поступать, нужно развертывать дальнейшее строительство складов, но именно защищенного тоннельного вида. Я не представляю себе, чтобы мины в условиях приграничной базы можно было хранить не в защищенных складах.</w:t>
      </w:r>
    </w:p>
    <w:p w14:paraId="15B2471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Второй вопрос — торпеды. Мы имеем большое количество торпед. Каждая торпеда представляет собой исключительно ценное имущество. От количества торпед и их состояния зависит действие подводных лодок. Поэтому ясно, что торпеды не могут тоже храниться в незащищенных складах. Нами были предприняты меры к тому, чтобы заложить торпеды в тоннели. Мы достигли известных успехов, но это еще не все.</w:t>
      </w:r>
    </w:p>
    <w:p w14:paraId="735D552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отношении артиллерийского боезапаса я считаю, что он размещен сейчас удовлетворительно, потому что имеется большое количество погребов старых фортов, которые мы приспособили для хранения боезапаса. Кроме того, когда батареи входили в строй, бетонные сооружения входили в строй, они сразу загружались боезапасом, в основном боезапас размещен удовлетворительно.</w:t>
      </w:r>
    </w:p>
    <w:p w14:paraId="5E97B9C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Хуже всего обстоит дело с авиаимуществом. Мы получили большую авиацию. Блоо брошено на театр очень большое количество авиаимущества, но строительство центральных складов и авиаскладов при частях значительно отстает от тех формирований, которые получил Тихоокеанский флот. Тут т. Левензону, если он здесь присутствует, надо особое внимание обратить на ассигнование на склады для нашего авиационного имущества, потому что у нас здесь обстоит дело совершенно неблагополучно.</w:t>
      </w:r>
    </w:p>
    <w:p w14:paraId="7DBF5C5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ремонту вооружения. Мы получили очень большое количество всякого рода вооружения и должны его ремонтировать. Тихоокеанский флот живет 4 года. С мастерскими же у нас дело обстоит очень тяжело. Нужны минные мастерские, нужны торпедные мастерские, нужны артиллерийские мастерские. Сейчас же мы пользуемся только временными мастерскими. Возьмем такую вещь, как автотранспортные мастерские. Около 3000 машин имеется в Тихоокеанском флоте, но у нас авторемонтной мастерской нет. Приходится машины ремонтировать в мастерских ОКДВА. Я прошу, чтобы нам дали хотя бы полевого типа автомастерские, чтобы заложить начало ремонтной базы для автотранспорта. Я прошу при рассмотрении кредитов на строительство будущего года это учесть и отпустить на Тихоокеанский флот соответствующие средства на мастерские. Ремонтные мастерские приходится создавать совершенно заново, а без них мы не можем поддерживать в должном состоянии, как требует постановление правительства, наше имущество.</w:t>
      </w:r>
    </w:p>
    <w:p w14:paraId="3145526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Теперь в отношении складов. Я, т. народный комиссар, просил, чтобы вы поставили вопрос перед правительством о передаче нам склада АКО.</w:t>
      </w:r>
    </w:p>
    <w:p w14:paraId="4B776EF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 Я</w:t>
      </w:r>
      <w:r w:rsidRPr="00E14102">
        <w:rPr>
          <w:color w:val="000000" w:themeColor="text1"/>
          <w:sz w:val="16"/>
          <w:szCs w:val="16"/>
        </w:rPr>
        <w:t xml:space="preserve"> докладывал Микояну</w:t>
      </w:r>
      <w:hyperlink r:id="rId305" w:anchor="_ftn7" w:history="1">
        <w:r w:rsidRPr="00E14102">
          <w:rPr>
            <w:rStyle w:val="a4"/>
            <w:color w:val="000000" w:themeColor="text1"/>
            <w:sz w:val="16"/>
            <w:szCs w:val="16"/>
          </w:rPr>
          <w:t>[7]</w:t>
        </w:r>
      </w:hyperlink>
      <w:r w:rsidRPr="00E14102">
        <w:rPr>
          <w:color w:val="000000" w:themeColor="text1"/>
          <w:sz w:val="16"/>
          <w:szCs w:val="16"/>
        </w:rPr>
        <w:t>. Склады будут вам переданы.</w:t>
      </w:r>
    </w:p>
    <w:p w14:paraId="3FE8FE5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Викторов.</w:t>
      </w:r>
      <w:r w:rsidRPr="00E14102">
        <w:rPr>
          <w:color w:val="000000" w:themeColor="text1"/>
          <w:sz w:val="16"/>
          <w:szCs w:val="16"/>
        </w:rPr>
        <w:t xml:space="preserve"> Это значительно облегчит нам хранение имущества. Особенно тяжело в этом отношении положение в новых укрепленных районах: Совгаванском, Ольго-Владимирском, Сучанском и Шкотовском. Там абсолютно складов нет. Вчера Михаил Николаевич рассматривал ассигнование на склады, но на эти районы ничего не ассигновано, а боезапасы и мобзапасы там будут нарастать. Я прошу не менее 1 000 000 отпустить только на эти районы дополнительно к намеченному. И затем такой вопрос, как погребки для зенитных батарей, денег на погребки никто не отпускает. Новые пушки у нас снабжаются исключительно тонкой выделки снарядами, и прямо жаль смотреть, когда эти снаряды лежат без должного прикрытия. Нужен 1 000 000 руб. Нужно это дело привести в должный порядок.</w:t>
      </w:r>
    </w:p>
    <w:p w14:paraId="6872AFD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прошу помочь нам в этом отношении.</w:t>
      </w:r>
    </w:p>
    <w:p w14:paraId="12D1A41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128.</w:t>
      </w:r>
    </w:p>
    <w:p w14:paraId="0F90513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Федько.</w:t>
      </w:r>
      <w:r w:rsidRPr="00E14102">
        <w:rPr>
          <w:color w:val="000000" w:themeColor="text1"/>
          <w:sz w:val="16"/>
          <w:szCs w:val="16"/>
        </w:rPr>
        <w:t xml:space="preserve"> Складское хозяйство войск Приморской группы к весне этого года бьшо в плачевном состоянии. Старые склады пришли в упадок. Новые склады, которые были построены в прошлом году, протекали, так как крыши были покрыты толем в один слой. Это заставило серьезно взяться за приведение в порядок складского хозяйства. Весной были выделены, в ущерб другим объектам строительства, два строительных батальона, которые перекрыли почти все склады толем и рубероидом. Одновременно в мае месяце было выделено до 1000 красноармейцев от частей для приведения в порядок имущества складов. Артиллерийские снаряды были пересмотрены, перечищены. Особенное внимание мною было уделено приведению в порядок авиабомб. Надо сказать, что в целом ряде эскадрилий авиационные бомбы хранились в безобразном состоянии. Пришлось мобилизовать летчиков и техников для того, чтобы привести авиабомбы в порядок. Кроме того, все артиллерийские склады, как и остальные склады, были ограждены колючей проволокой. Начали работу по маскировке складов. Правда, на сегодняшний день это дело находится в зачаточном состоянии, поскольку приходится вести экспериментальную работу, выяснить, каким способом легче всего наиболее тщательно замаскировать склады от воздушных нападений.</w:t>
      </w:r>
    </w:p>
    <w:p w14:paraId="2E89269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Проверены мобилизационные планы артиллерийских складов. В основном эти планы отработаны, но имеется еще целый ряд недоделов. А самое главное, мы еще не проверили по-настоящему работу складов в порядке войсковой мобилизации, это мы ставим очередной задачей.</w:t>
      </w:r>
    </w:p>
    <w:p w14:paraId="5E9A46B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Что у нас еще плохо? Во-первых, у нас плохо обстоит дело с окарауливанием. То количество штатных караульных взводов, которое намечено нам для складов, явно недостаточно. Приходится значительное количество красноармейцев из стрелковых дивизий прикомандировывать для того, чтобы более или менее надежно обеспечить охрану артиллерийских складов.</w:t>
      </w:r>
    </w:p>
    <w:p w14:paraId="5F98E9B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Во-вторых, вопросы освещения не решены, склады затемнены, также плохо обстоит дело с сигнализацией и пожарными командами, которые на большинстве складов отсутствуют. Нужно еще много работать для того, чтобы все склады войск Приморской группы привести в образцовое состояние. Для того чтобы проделать всю эту </w:t>
      </w:r>
      <w:r w:rsidRPr="00E14102">
        <w:rPr>
          <w:color w:val="000000" w:themeColor="text1"/>
          <w:sz w:val="16"/>
          <w:szCs w:val="16"/>
        </w:rPr>
        <w:lastRenderedPageBreak/>
        <w:t>работу, необходима помощь со стороны соответствующих центральных управлений. Плохо обстоит дело с механизацией погрузки и выгрузки и очень плохо с подъездными путями, которые отсутствуют. Эти два основных недочета в значительной степени будут усложнять работу складов в военное время.</w:t>
      </w:r>
    </w:p>
    <w:p w14:paraId="084A497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Весной мной намечается использовать части в течение одного месяца для того, чтобы построить подъездные пути, но для этого нужна помощь со стороны Инженерного управления РККА. Нам нужна помощь в отпуске необходимых нам механизмов для дорожных работ. Для того чтобы обеспечить подъездными путями склады, нужно сделать около 130 км гравийных дорог, но решить эту задачу без отпуска нам соответствующего количества дорожных машин будет чрезвычайно трудно. То же самое в части постройки узкоколеек и железнодорожных веток. Целый рад складов, несмотря на то что они были запроектированы, не обеспечены подъездными и железнодорожными путями. Эта задача также должна быть разрешена в 1936 г., что обеспечит быструю мобильную работу артиллерийских складов. Я считаю необходимым отработать вопросы рассредоточения в порядке эвакуации имущества, которое имеется на наших складах, на случай возможной блокировки со стороны противника.</w:t>
      </w:r>
    </w:p>
    <w:p w14:paraId="24F191C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 состоянии оружия. Оценка, данная Маршалом Советского Союза т. Тухачевским, в отношении технического состояния оружия также правильна в отношении войск Приморской группы. Мы на это дело очень нажимали, кое-какие достижения в этой области имеются, но приходится вести борьбу с некоторыми настроениями среди начсостава, который считает, что в приморских условиях, учитывая особые климатические условия (большое количество дождей), не представляется возможным как следует сохранять оружие. Эта точка зрения совершенно неверная. Даже в наших условиях есть все возможности для того, чтобы оружие содержать в порядке. Особое внимание приходится уделять вопросу сбережения артиллерийского имущества. Например, выход в горную тайгу приводил к тому, что пушки после этих походов требовали войскового, а иногда и специального ремонта. В этом отношении перед нами стоит особо серьезная задача — отработка вопросов сбережения вооружения: винтовок, пулеметов, пушек в условиях работы войск на горно-таежной местности.</w:t>
      </w:r>
    </w:p>
    <w:p w14:paraId="6273666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Вот вкратце все основные вопросы, которые я считал необходимым доложить Военному совету. Должен заверить, что мы примем все меры к тому, чтобы привести наши склады, наше оружие в хорошее, образцовое состояние, но, как я уже сказал, нужна будет соответствующая помощь со стороны центральных управлений НКО.</w:t>
      </w:r>
    </w:p>
    <w:p w14:paraId="002D2E3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Привести в порядок — мало. Нужно привести в порядок и потом содержать в надлежащем порядке, а у нас бывает так — приведут в порядок, а потом забудут о нем.</w:t>
      </w:r>
    </w:p>
    <w:p w14:paraId="60533D9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129.</w:t>
      </w:r>
    </w:p>
    <w:p w14:paraId="746F8201" w14:textId="77777777" w:rsidR="006161A5" w:rsidRPr="00E14102" w:rsidRDefault="00E14102" w:rsidP="00E14102">
      <w:pPr>
        <w:pStyle w:val="rtejustify"/>
        <w:spacing w:before="0" w:after="0"/>
        <w:rPr>
          <w:color w:val="000000" w:themeColor="text1"/>
          <w:sz w:val="16"/>
          <w:szCs w:val="16"/>
        </w:rPr>
      </w:pPr>
      <w:hyperlink r:id="rId306" w:anchor="_ftnref1" w:history="1">
        <w:r w:rsidR="006161A5" w:rsidRPr="00E14102">
          <w:rPr>
            <w:rStyle w:val="a4"/>
            <w:color w:val="000000" w:themeColor="text1"/>
            <w:sz w:val="16"/>
            <w:szCs w:val="16"/>
          </w:rPr>
          <w:t>[1]</w:t>
        </w:r>
      </w:hyperlink>
      <w:r w:rsidR="006161A5" w:rsidRPr="00E14102">
        <w:rPr>
          <w:color w:val="000000" w:themeColor="text1"/>
          <w:sz w:val="16"/>
          <w:szCs w:val="16"/>
        </w:rPr>
        <w:t> Приказ НКО СССР № 0060 от 14 августа 1935 г. о мероприятиях по упорядочению складов РККА.</w:t>
      </w:r>
    </w:p>
    <w:p w14:paraId="74DB6402" w14:textId="77777777" w:rsidR="006161A5" w:rsidRPr="00E14102" w:rsidRDefault="00E14102" w:rsidP="00E14102">
      <w:pPr>
        <w:pStyle w:val="rtejustify"/>
        <w:spacing w:before="0" w:after="0"/>
        <w:rPr>
          <w:color w:val="000000" w:themeColor="text1"/>
          <w:sz w:val="16"/>
          <w:szCs w:val="16"/>
        </w:rPr>
      </w:pPr>
      <w:hyperlink r:id="rId307" w:anchor="_ftnref2" w:history="1">
        <w:r w:rsidR="006161A5" w:rsidRPr="00E14102">
          <w:rPr>
            <w:rStyle w:val="a4"/>
            <w:color w:val="000000" w:themeColor="text1"/>
            <w:sz w:val="16"/>
            <w:szCs w:val="16"/>
          </w:rPr>
          <w:t>[2]</w:t>
        </w:r>
      </w:hyperlink>
      <w:r w:rsidR="006161A5" w:rsidRPr="00E14102">
        <w:rPr>
          <w:color w:val="000000" w:themeColor="text1"/>
          <w:sz w:val="16"/>
          <w:szCs w:val="16"/>
        </w:rPr>
        <w:t xml:space="preserve"> Дыбенко.</w:t>
      </w:r>
    </w:p>
    <w:p w14:paraId="1F98A67A" w14:textId="77777777" w:rsidR="006161A5" w:rsidRPr="00E14102" w:rsidRDefault="00E14102" w:rsidP="00E14102">
      <w:pPr>
        <w:pStyle w:val="rtejustify"/>
        <w:spacing w:before="0" w:after="0"/>
        <w:rPr>
          <w:color w:val="000000" w:themeColor="text1"/>
          <w:sz w:val="16"/>
          <w:szCs w:val="16"/>
        </w:rPr>
      </w:pPr>
      <w:hyperlink r:id="rId308" w:anchor="_ftnref3" w:history="1">
        <w:r w:rsidR="006161A5" w:rsidRPr="00E14102">
          <w:rPr>
            <w:rStyle w:val="a4"/>
            <w:color w:val="000000" w:themeColor="text1"/>
            <w:sz w:val="16"/>
            <w:szCs w:val="16"/>
          </w:rPr>
          <w:t>[3]</w:t>
        </w:r>
      </w:hyperlink>
      <w:r w:rsidR="006161A5" w:rsidRPr="00E14102">
        <w:rPr>
          <w:color w:val="000000" w:themeColor="text1"/>
          <w:sz w:val="16"/>
          <w:szCs w:val="16"/>
        </w:rPr>
        <w:t xml:space="preserve"> Приказ НКО СССР № 075 от 9 мая 1935 г. о результате контрольной поверки состояния стрелкового оружия и о запрещении неправильной отладки винтовок.</w:t>
      </w:r>
    </w:p>
    <w:p w14:paraId="3E3752A3" w14:textId="77777777" w:rsidR="006161A5" w:rsidRPr="00E14102" w:rsidRDefault="00E14102" w:rsidP="00E14102">
      <w:pPr>
        <w:pStyle w:val="rtejustify"/>
        <w:spacing w:before="0" w:after="0"/>
        <w:rPr>
          <w:color w:val="000000" w:themeColor="text1"/>
          <w:sz w:val="16"/>
          <w:szCs w:val="16"/>
        </w:rPr>
      </w:pPr>
      <w:hyperlink r:id="rId309" w:anchor="_ftnref4" w:history="1">
        <w:r w:rsidR="006161A5" w:rsidRPr="00E14102">
          <w:rPr>
            <w:rStyle w:val="a4"/>
            <w:color w:val="000000" w:themeColor="text1"/>
            <w:sz w:val="16"/>
            <w:szCs w:val="16"/>
          </w:rPr>
          <w:t>[4]</w:t>
        </w:r>
      </w:hyperlink>
      <w:r w:rsidR="006161A5" w:rsidRPr="00E14102">
        <w:rPr>
          <w:color w:val="000000" w:themeColor="text1"/>
          <w:sz w:val="16"/>
          <w:szCs w:val="16"/>
        </w:rPr>
        <w:t xml:space="preserve"> Приказ НКО СССР № 025 от 19 февраля 1935 г. о результатах обследования вооружения и боевого оборудования боевых машин в частях 7-го мехкорпуса.</w:t>
      </w:r>
    </w:p>
    <w:p w14:paraId="6B6A1985" w14:textId="77777777" w:rsidR="006161A5" w:rsidRPr="00E14102" w:rsidRDefault="00E14102" w:rsidP="00E14102">
      <w:pPr>
        <w:pStyle w:val="rtejustify"/>
        <w:spacing w:before="0" w:after="0"/>
        <w:rPr>
          <w:color w:val="000000" w:themeColor="text1"/>
          <w:sz w:val="16"/>
          <w:szCs w:val="16"/>
        </w:rPr>
      </w:pPr>
      <w:hyperlink r:id="rId310" w:anchor="_ftnref5" w:history="1">
        <w:r w:rsidR="006161A5" w:rsidRPr="00E14102">
          <w:rPr>
            <w:rStyle w:val="a4"/>
            <w:color w:val="000000" w:themeColor="text1"/>
            <w:sz w:val="16"/>
            <w:szCs w:val="16"/>
          </w:rPr>
          <w:t>[5]</w:t>
        </w:r>
      </w:hyperlink>
      <w:r w:rsidR="006161A5" w:rsidRPr="00E14102">
        <w:rPr>
          <w:color w:val="000000" w:themeColor="text1"/>
          <w:sz w:val="16"/>
          <w:szCs w:val="16"/>
        </w:rPr>
        <w:t xml:space="preserve"> Г.К. Орджоникидзе — нарком тяжелой промышленности.</w:t>
      </w:r>
    </w:p>
    <w:p w14:paraId="6061E924" w14:textId="77777777" w:rsidR="006161A5" w:rsidRPr="00E14102" w:rsidRDefault="00E14102" w:rsidP="00E14102">
      <w:pPr>
        <w:pStyle w:val="rtejustify"/>
        <w:spacing w:before="0" w:after="0"/>
        <w:rPr>
          <w:color w:val="000000" w:themeColor="text1"/>
          <w:sz w:val="16"/>
          <w:szCs w:val="16"/>
        </w:rPr>
      </w:pPr>
      <w:hyperlink r:id="rId311" w:anchor="_ftnref6" w:history="1">
        <w:r w:rsidR="006161A5" w:rsidRPr="00E14102">
          <w:rPr>
            <w:rStyle w:val="a4"/>
            <w:color w:val="000000" w:themeColor="text1"/>
            <w:sz w:val="16"/>
            <w:szCs w:val="16"/>
          </w:rPr>
          <w:t>[6]</w:t>
        </w:r>
      </w:hyperlink>
      <w:r w:rsidR="006161A5" w:rsidRPr="00E14102">
        <w:rPr>
          <w:color w:val="000000" w:themeColor="text1"/>
          <w:sz w:val="16"/>
          <w:szCs w:val="16"/>
        </w:rPr>
        <w:t xml:space="preserve"> Г.И. Бондарь — командир 17-й стрелковой дивизии.</w:t>
      </w:r>
    </w:p>
    <w:p w14:paraId="273A0496" w14:textId="77777777" w:rsidR="006161A5" w:rsidRPr="00E14102" w:rsidRDefault="00E14102" w:rsidP="00E14102">
      <w:pPr>
        <w:pStyle w:val="rtejustify"/>
        <w:spacing w:before="0" w:after="0"/>
        <w:rPr>
          <w:color w:val="000000" w:themeColor="text1"/>
          <w:sz w:val="16"/>
          <w:szCs w:val="16"/>
        </w:rPr>
      </w:pPr>
      <w:hyperlink r:id="rId312" w:anchor="_ftnref7" w:history="1">
        <w:r w:rsidR="006161A5" w:rsidRPr="00E14102">
          <w:rPr>
            <w:rStyle w:val="a4"/>
            <w:color w:val="000000" w:themeColor="text1"/>
            <w:sz w:val="16"/>
            <w:szCs w:val="16"/>
          </w:rPr>
          <w:t>[7]</w:t>
        </w:r>
      </w:hyperlink>
      <w:r w:rsidR="006161A5" w:rsidRPr="00E14102">
        <w:rPr>
          <w:color w:val="000000" w:themeColor="text1"/>
          <w:sz w:val="16"/>
          <w:szCs w:val="16"/>
        </w:rPr>
        <w:t xml:space="preserve"> А.И. Микоян — нарком пищевой промышленности.</w:t>
      </w:r>
    </w:p>
    <w:p w14:paraId="77CEC7A7" w14:textId="77777777" w:rsidR="006161A5" w:rsidRPr="00E14102" w:rsidRDefault="006161A5" w:rsidP="00E14102">
      <w:pPr>
        <w:jc w:val="both"/>
        <w:rPr>
          <w:color w:val="000000" w:themeColor="text1"/>
          <w:sz w:val="16"/>
          <w:szCs w:val="16"/>
        </w:rPr>
      </w:pPr>
      <w:r w:rsidRPr="00E14102">
        <w:rPr>
          <w:color w:val="000000" w:themeColor="text1"/>
          <w:sz w:val="16"/>
          <w:szCs w:val="16"/>
        </w:rPr>
        <w:t>Источник: Военный совет при народном комиссаре обороны СССР. Декабрь 1935 г.: Документы и материалы. — М.: "РОССПЭН", 2008. С. 327-385 (12594).</w:t>
      </w:r>
    </w:p>
    <w:p w14:paraId="52CE57B7" w14:textId="77777777" w:rsidR="006161A5" w:rsidRPr="00E14102" w:rsidRDefault="006161A5" w:rsidP="00E14102">
      <w:pPr>
        <w:jc w:val="both"/>
        <w:rPr>
          <w:color w:val="000000" w:themeColor="text1"/>
          <w:sz w:val="16"/>
          <w:szCs w:val="16"/>
        </w:rPr>
      </w:pPr>
    </w:p>
    <w:p w14:paraId="5107DFAC" w14:textId="77777777" w:rsidR="006161A5" w:rsidRPr="00E14102" w:rsidRDefault="006161A5" w:rsidP="00E14102">
      <w:pPr>
        <w:jc w:val="both"/>
        <w:rPr>
          <w:color w:val="000000" w:themeColor="text1"/>
          <w:sz w:val="16"/>
          <w:szCs w:val="16"/>
        </w:rPr>
      </w:pPr>
      <w:r w:rsidRPr="00E14102">
        <w:rPr>
          <w:color w:val="000000" w:themeColor="text1"/>
          <w:sz w:val="16"/>
          <w:szCs w:val="16"/>
        </w:rPr>
        <w:t>11 декабря 1935 г. Доклад и выступления об обозно-вещевом снабжении РККА</w:t>
      </w:r>
    </w:p>
    <w:p w14:paraId="361C9B4F" w14:textId="77777777" w:rsidR="006161A5" w:rsidRPr="00E14102" w:rsidRDefault="006161A5" w:rsidP="00E14102">
      <w:pPr>
        <w:pStyle w:val="rtecenter"/>
        <w:spacing w:before="0" w:after="0"/>
        <w:jc w:val="both"/>
        <w:rPr>
          <w:color w:val="000000" w:themeColor="text1"/>
          <w:sz w:val="16"/>
          <w:szCs w:val="16"/>
        </w:rPr>
      </w:pPr>
      <w:r w:rsidRPr="00E14102">
        <w:rPr>
          <w:rStyle w:val="a3"/>
          <w:b w:val="0"/>
          <w:color w:val="000000" w:themeColor="text1"/>
          <w:sz w:val="16"/>
          <w:szCs w:val="16"/>
        </w:rPr>
        <w:t>Стенограмма вечернего заседания 11 декабря 1935 г.</w:t>
      </w:r>
    </w:p>
    <w:p w14:paraId="027EE6A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Тов. народный комиссар, Маршал Советского Союза, во исполнение вашего указания докладываю о состоянии обозно-вещевого снабжения в частях РККА. Во исполнение постановления Совнаркома и Центрального Комитета Всесоюзной Коммунистической партии и ваших приказов № 0059, 0060 и 0145</w:t>
      </w:r>
      <w:hyperlink r:id="rId313" w:anchor="_ftn1" w:history="1">
        <w:r w:rsidRPr="00E14102">
          <w:rPr>
            <w:rStyle w:val="a4"/>
            <w:color w:val="000000" w:themeColor="text1"/>
            <w:sz w:val="16"/>
            <w:szCs w:val="16"/>
          </w:rPr>
          <w:t>[1]</w:t>
        </w:r>
      </w:hyperlink>
      <w:r w:rsidRPr="00E14102">
        <w:rPr>
          <w:color w:val="000000" w:themeColor="text1"/>
          <w:sz w:val="16"/>
          <w:szCs w:val="16"/>
        </w:rPr>
        <w:t xml:space="preserve"> после постановления СНК и ЦК и ваших приказов в хозяйстве обозно-вещевого снабжения РККА, безусловно, достигнуто некоторое улучшение. Хозяйством стали заниматься командиры всех степеней, до командующих войсками включительно, политработники и партийные организации. Но несмотря на этот перелом, я не могу все же похвастаться достижениями.</w:t>
      </w:r>
    </w:p>
    <w:p w14:paraId="5963CDB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Центральный Комитет и Совнарком указывали на необходимость перестройки системы снабжения в армии. К настоящему времени во всех звеньях — центр, округ, корпус, дивизия, полк — созданы органы обозно-вещевого снабжения, но укомплектование этих органов не было проведено в срок, чем и был нарушен ваш приказ № 0145, в котором говорилось, чтобы центральные управления были готовы перейти к 1 сентября, а окружные — к 5 сентября. Укомплектование этих органов проводится до сегодняшнего дня еще медленно и полностью не закончено. Надо при этом принять во внимание, что мы не имели подготовленных кадров снабженцев. Люди, приходящие на эту для них новую работу, нуждаются в усиленной хозяйственной специальной подготовке, так как они были взяты или из запаса, или со строевых должностей. Это неплохие люди, но как хозяйственники недостаточно подготовлены. По вашему приказанию, товарищ народный комиссар, разработана система курсов усовершенствования, нормальных школ, окружных школ, которая даст возможность давать армии 3770 чел. подготовленных кадров, из них 1382 чел. среднего и старшего начсостава и 2488 младшего и рядового состава. Начиная с осени 1937 г. начнется выпуск из военно-хозяйственной школы, в начале 1937 г. — с курсов усовершенствования и академии. Эта армия переподготовленных людей, конечно, подвинет дело нашего обозно-вещевого снабжения.</w:t>
      </w:r>
    </w:p>
    <w:p w14:paraId="64D8BE8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Самой важнейшей задачей, поставленной вами и Советом Народных Комиссаров, была задача произвести учет всего имущества, которое имеется в Рабоче-крестьянской Красной армии. Вашим приказом № 0190</w:t>
      </w:r>
      <w:hyperlink r:id="rId314" w:anchor="_ftn2" w:history="1">
        <w:r w:rsidRPr="00E14102">
          <w:rPr>
            <w:rStyle w:val="a4"/>
            <w:color w:val="000000" w:themeColor="text1"/>
            <w:sz w:val="16"/>
            <w:szCs w:val="16"/>
          </w:rPr>
          <w:t>[2]</w:t>
        </w:r>
      </w:hyperlink>
      <w:r w:rsidRPr="00E14102">
        <w:rPr>
          <w:color w:val="000000" w:themeColor="text1"/>
          <w:sz w:val="16"/>
          <w:szCs w:val="16"/>
        </w:rPr>
        <w:t xml:space="preserve"> о переучете имущества было приказано по всем округам переучесть все имущество. Срок был установлен 25 ноября. Все округа с окончанием в срок этой работы запоздали, но на сегодня уже почти полностью все округа представили отчеты. Не представили Северный военный комиссариат и несколько академий, моря и флотилии. ОКДВА должны представить свои сведения по учету к 1—25 декабря. Первым представил отчет Приволжский военный округ. Почти одновременно с ним представили Белорусский и Сибирский.</w:t>
      </w:r>
    </w:p>
    <w:p w14:paraId="6A121CF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Рассматривая качественную сторону материала переучета, нам пришлось вернуть назад несколько уже законченных и представленных форм, так как они были составлены неправильно. А округам приходилось возвращать в дивизии, так как иногда в дивизиях просто механически суммировали те сведения, которые им подавали полки, без углубленной проработки. О чем это говорит? Это говорит о том, что еще в полках, дивизиях не с должной добросовестностью отнеслись к составлению этих материалов. Несмотря на то что перед началом переучета части должны были должным образом подготовиться к нему, должны были учесть все свое имущество, в округах после проверки с нашими представителями все же расхождения оказались налицо. Например, в Северо-Кавказском военном округе. Здесь мы имели 2300 лишних гимнастерок, а всего 5000. 2300 гимнастерок они не учитывали. И в других округах, по их учетным материалам, по наличности на 1 ноября, т.е. к моменту начала общего переучета в РККА, имели место такого же рода явления.</w:t>
      </w:r>
    </w:p>
    <w:p w14:paraId="53EE9E2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Округа до переучета не знали точно, что у них имеется. Если взять ЛВО, то за 3 дня до представления материалов в Москву, в УОВС звонит по телефону из Ленинграда т. Федоров</w:t>
      </w:r>
      <w:hyperlink r:id="rId315" w:anchor="_ftn3" w:history="1">
        <w:r w:rsidRPr="00E14102">
          <w:rPr>
            <w:rStyle w:val="a4"/>
            <w:color w:val="000000" w:themeColor="text1"/>
            <w:sz w:val="16"/>
            <w:szCs w:val="16"/>
          </w:rPr>
          <w:t>[3]</w:t>
        </w:r>
      </w:hyperlink>
      <w:r w:rsidRPr="00E14102">
        <w:rPr>
          <w:color w:val="000000" w:themeColor="text1"/>
          <w:sz w:val="16"/>
          <w:szCs w:val="16"/>
        </w:rPr>
        <w:t xml:space="preserve"> с заявлением, что не хватает простыней. На самом же деле имелось 204 000 лишних простыней.</w:t>
      </w:r>
    </w:p>
    <w:p w14:paraId="0436174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Блюхер.</w:t>
      </w:r>
      <w:r w:rsidRPr="00E14102">
        <w:rPr>
          <w:color w:val="000000" w:themeColor="text1"/>
          <w:sz w:val="16"/>
          <w:szCs w:val="16"/>
        </w:rPr>
        <w:t xml:space="preserve"> Может быть, это санитарный запас?</w:t>
      </w:r>
    </w:p>
    <w:p w14:paraId="2A2717B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Нет, это не санитарный запас. Это имущество обеспечения кадра текущего довольствия. После они начали поправлять, говорили, что это, дескать, простыни второй категории. Но простыней второй категории вообще не бывает. Бывают лишь простыни годные или негодные.</w:t>
      </w:r>
    </w:p>
    <w:p w14:paraId="38C4BD8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СибВО имеется большое накопление имущества. Мы имеем по округам такое накопление: 25 тыс. шинелей, 46 тыс. нательных рубах, 54 тыс. тюфяков. КВО держит у себя на складах 246 тыс. перчаток. Это на 1 ноября, в то время как в войска выброшено только 15 тыс. А вы знаете, что с ноября месяца наступает зима. Шаровар суконных, т. Якир, в вашем округе не хватает потому, что мы не выполнили план по шароварам, но все же при этом 55 тыс. суконных шаровар находится на окружных складах, а в войска выброшено только 25 тыс., хотя для полного снабжения не хватает 100 тыс.</w:t>
      </w:r>
    </w:p>
    <w:p w14:paraId="6EA8219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Если мы посмотрим обеспеченность округов основными предметами вещевого довольствия, то мы увидим, что сведения, которые имелись в центре, далеко расходятся с действительностью. Вот вам данные по 6 округам — по .ПВО, ПриВО, УрВО, СКВО</w:t>
      </w:r>
      <w:hyperlink r:id="rId316" w:anchor="_ftn4" w:history="1">
        <w:r w:rsidRPr="00E14102">
          <w:rPr>
            <w:rStyle w:val="a4"/>
            <w:color w:val="000000" w:themeColor="text1"/>
            <w:sz w:val="16"/>
            <w:szCs w:val="16"/>
          </w:rPr>
          <w:t>[4]</w:t>
        </w:r>
      </w:hyperlink>
      <w:r w:rsidRPr="00E14102">
        <w:rPr>
          <w:color w:val="000000" w:themeColor="text1"/>
          <w:sz w:val="16"/>
          <w:szCs w:val="16"/>
        </w:rPr>
        <w:t xml:space="preserve"> — по следующим предметам: по шинелям, суконным рубахам, френчам, летним рубахам, кальсонам. Шинелей после удовлетворения имеется 189 тыс. Суконных рубах и френчей — 22 782. Шаровар не хватает 43 598. Летних рубах, после удовлетворения, которые могут пойти в счет будущего, 1936 г., — 674 000 штук.</w:t>
      </w:r>
    </w:p>
    <w:p w14:paraId="431E4CA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Эти сведения взяты из ваших отчетов. Летних шаровар имеется 561 000 штук на текущем довольствии кадров. Если вас интересует СКВО, то я могу сказать, сколько у вас лишнего. Суконных шаровар 2751, а летних рубах 50 000, Николай Дмитриевич. Рубах нательных мы имеем 457 000, кальсон 429 000. Это все такое имущество, которое может пойти в план 1936 г. О нем мы в центре без проведения нового учета точно и не знали.</w:t>
      </w:r>
    </w:p>
    <w:p w14:paraId="7C6F09D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А по ОКДВА сведения есть?</w:t>
      </w:r>
    </w:p>
    <w:p w14:paraId="4ADA5EC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Кост.</w:t>
      </w:r>
      <w:r w:rsidRPr="00E14102">
        <w:rPr>
          <w:color w:val="000000" w:themeColor="text1"/>
          <w:sz w:val="16"/>
          <w:szCs w:val="16"/>
        </w:rPr>
        <w:t xml:space="preserve"> По ОКДВА пока я сведений не имею. Их срок представления — 25 декабря.</w:t>
      </w:r>
    </w:p>
    <w:p w14:paraId="36726C3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Каково качество вещевого имущества?</w:t>
      </w:r>
    </w:p>
    <w:p w14:paraId="5EAEE3E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Качество вещевого имущества не может считаться прекрасным, но оно обеспечивает нужды бойца. Мы же его ухудшаем тем, что не приводим соответствующим образом в порядок. Редки случаи, когда, например, краска, посланная для подкрашивания, пошла в дело. По некоторым данным имеются сведения о том, что, несмотря на разрешение оставить переменников, после сбора эти переменники были оставлены, но имущество лежит на многих складах не постиранное, не выглаженное, а обувь находится смазанной прямо по грязи. Мы, конечно, обязаны улучшать качество вещевого имущества для красноармейца как по линии его крепости, так и по наружному виду. По указанию народного комиссара Управлением разработаны новые образцы, улучшающие качество и обмундирования, и обуви. Они предъявлены промышленности.</w:t>
      </w:r>
    </w:p>
    <w:p w14:paraId="766A184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Самым больным вопросом в РККА является вопрос с обувью. Излишков ее мы не имеем. Это получилось потому, что, несмотря на то что мы полностью почти 100% получили от промышленности, ее в этом количестве, видимо, все же не хватает для РККА. Положение в некоторых частях усугубляется с обувью еще и тем, т. </w:t>
      </w:r>
      <w:r w:rsidRPr="00E14102">
        <w:rPr>
          <w:color w:val="000000" w:themeColor="text1"/>
          <w:sz w:val="16"/>
          <w:szCs w:val="16"/>
        </w:rPr>
        <w:lastRenderedPageBreak/>
        <w:t>народный комиссар, что тот план реставрации сапог, который был дан войскам, не выполнен округами в срок. Причины были разные. Тов. Якир опять, видимо, со мною не согласится, почему Киевский округ не сумел реставрировать сапоги. Он скажет, наверное, как говорил и т. Лившиц</w:t>
      </w:r>
      <w:hyperlink r:id="rId317" w:anchor="_ftn5" w:history="1">
        <w:r w:rsidRPr="00E14102">
          <w:rPr>
            <w:rStyle w:val="a4"/>
            <w:color w:val="000000" w:themeColor="text1"/>
            <w:sz w:val="16"/>
            <w:szCs w:val="16"/>
          </w:rPr>
          <w:t>[5]</w:t>
        </w:r>
      </w:hyperlink>
      <w:r w:rsidRPr="00E14102">
        <w:rPr>
          <w:color w:val="000000" w:themeColor="text1"/>
          <w:sz w:val="16"/>
          <w:szCs w:val="16"/>
        </w:rPr>
        <w:t>, — хотя, может быть, т. Якир держится и другого мнения, — что мы не дали соответствующего материала. Верно, мы полностью не дали материала. Его у нас нет. Но все же некоторые округа сумели обойтись местными средствами. В Киевском складе, несмотря на невыполнение плана реставрации сапог, имелось 60 000 пар кожаных подметок. Они, безусловно, могли быть пущены на дело реставрации. Тов. Якир, когда вам докладывал т. Лившиц, он ввел вас в заблуждение, что мы не даем обуви.</w:t>
      </w:r>
    </w:p>
    <w:p w14:paraId="5F31D28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Откуда вы это знаете? Откуда вы знаете, что т. Лившиц мне докладывал и как докладывал?</w:t>
      </w:r>
    </w:p>
    <w:p w14:paraId="156564A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Тов. Лившиц приходил и говорил, что у вас обуви нет и обувью не обеспечены.</w:t>
      </w:r>
    </w:p>
    <w:p w14:paraId="6DD205B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Факт.</w:t>
      </w:r>
    </w:p>
    <w:p w14:paraId="2D325B8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И в других округах не хватает обуви, потому что фактически тот план реставрации, который был дан, не выполнен в срок, а имевшийся фонд на реставрацию не пошел на покрытие этого прорыва.</w:t>
      </w:r>
    </w:p>
    <w:p w14:paraId="7FED40D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Теперь относительно ремонта и сбережения имущества. Несмотря на постановление ЦК партии и ваш, т. народный комиссар, приказ, ремонт и сбережение имущества на сегодняшний день в частях находятся не на должной высоте. Как правило, склады не оборудованы и не отремонтированы. Правда, в этом отношении проделана огромная работа почти во всех округах, и картина по сравнению с августом месяцем этого года сейчас совершенно иная. Но, повторяю, полностью не приведен еще в порядок ремонт складов.</w:t>
      </w:r>
    </w:p>
    <w:p w14:paraId="4BDDAEA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Особенно тяжело с ремонтом обоза. Вообще с обозом неблагополучно, так как из года в год обоза становится все меньше. Учет обоза дал нам то же расхождение с имеющимися у нас данными, но, правда, в лучшую сторону — наличность обоза выходит большая, чем мы считали. Но состояние этого обоза неважное. Например, по ЛВО. Новых повозок — парные двуколки — 111, бывших в употреблении — 195, требующих ремонта — 281, требующих среднего ремонта — 215, капитального ремонта — 225 и негодных — 141 повозка. Это говорит о неблагополучном положении. По Белорусскому округу должно быть 1626 повозок, по документам числится 1680, а налицо оказалось — 1712. Это говорит о том, что мы не могли даже правильно сосчитать. Новых повозок 208, бывших в употреблении — 410.</w:t>
      </w:r>
    </w:p>
    <w:p w14:paraId="1281429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Тов. Косич докладывает свои сведения, а не окружные.</w:t>
      </w:r>
    </w:p>
    <w:p w14:paraId="03E538A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Никак нет — это ваши сведения.</w:t>
      </w:r>
    </w:p>
    <w:p w14:paraId="0BBA702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Вы лучше скажите, почему сейчас у нас 35 чел. сидят босыми в казарме?</w:t>
      </w:r>
    </w:p>
    <w:p w14:paraId="0A6D3EB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 Я</w:t>
      </w:r>
      <w:r w:rsidRPr="00E14102">
        <w:rPr>
          <w:color w:val="000000" w:themeColor="text1"/>
          <w:sz w:val="16"/>
          <w:szCs w:val="16"/>
        </w:rPr>
        <w:t xml:space="preserve"> продолжаю: требующих мелкого ремонта — 325, среднего ремонта — 368, капитального ремонта — 271 и негодных — 130. Я уже предупредил, что эти сведения округов, а не мои. Так что зря обижаетесь.</w:t>
      </w:r>
    </w:p>
    <w:p w14:paraId="1C0BD55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Каково положение с упряжью? Возьмем опять Ленинградский округ. После учета оказалось на 201 упряжь больше, чем у них числилось. Требуют мелкого ремонта — 400, среднего — 300, капитального ремонта — 174. Это не так страшно — починим. Беда в другом. Однажды Александр Ильич</w:t>
      </w:r>
      <w:hyperlink r:id="rId318" w:anchor="_ftn6" w:history="1">
        <w:r w:rsidRPr="00E14102">
          <w:rPr>
            <w:rStyle w:val="a4"/>
            <w:color w:val="000000" w:themeColor="text1"/>
            <w:sz w:val="16"/>
            <w:szCs w:val="16"/>
          </w:rPr>
          <w:t>[6]</w:t>
        </w:r>
      </w:hyperlink>
      <w:r w:rsidRPr="00E14102">
        <w:rPr>
          <w:color w:val="000000" w:themeColor="text1"/>
          <w:sz w:val="16"/>
          <w:szCs w:val="16"/>
        </w:rPr>
        <w:t xml:space="preserve"> нас собрал и задал вопрос, а подходит ли эта сбруя к имеющимся лошадям. Мы не могли сказать, подходит или нет, а когда начали проверять, то оказалось, что во многом не подходит. Это говорит о том, что нам надо хорошо знать, что у нас есть, что сбруи у нас мало, что она требует капитального ремонта. Надо обязательно знать, на каких лошадей подойдет эта сбруя. На это обстоятельство я хочу обратить серьезное внимание</w:t>
      </w:r>
    </w:p>
    <w:p w14:paraId="0D0327F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По старым нормам заказывали, а теперь нормы другие на лошадь стали.</w:t>
      </w:r>
    </w:p>
    <w:p w14:paraId="4D20262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С седлами такое положение: требующих капитального ремонта в Киевском округе 1971, и негодных — 1030. Семен Михайлович зря ушел. В других округах тоже довольно значительное количество седел, требующих капитального ремонта. Я, конечно, понимаю, что это происходит не от злой воли. Основная причина того, что седла не ремонтируются, приходят в негодность, заключается в том, что нет в достаточном количестве починочного материала для капитального ремонта. Но все же для мелкого, текущего ремонта такой материал можно было бы найти в залежах наших складов, которые обнаружены буквально во всех окружных складах.</w:t>
      </w:r>
    </w:p>
    <w:p w14:paraId="6563E18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И для капитального ремонта можно было бы найти нужный материал. Если они сами не могут, мы можем.</w:t>
      </w:r>
    </w:p>
    <w:p w14:paraId="43D00FE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Положение с обозом в стране сейчас тяжелое. В соответствии с постановлением ЦК принимаются следующие меры, В 1936 г. население колхозов и совхозов получает 300 000 единиц обоза. Совхозы и колхозы должны иметь для РККА повозку, сбрую и коня. В этом году должно быть 300 000. Я пытался провести 600 000, но меня не поддержали; говорят, что тяжело будет стране выдержать это количество.</w:t>
      </w:r>
    </w:p>
    <w:p w14:paraId="1FFFB1B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Хорошо, если будет 300 000.</w:t>
      </w:r>
    </w:p>
    <w:p w14:paraId="2F50AEC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Теперь относительно кухонь. Товарищи, вы знаете, что кухни у нас НЗ. Причем 20% их состава требуют ремонта, и капитального. На ремонт кухонь в ближайшее время нужно будет, безусловно, подналечь. У нас неудачно получилось с кипятильником. После проведенных опытов оказалось, что кипятильники, которые имеются в частях нашей Красной армии в НЗ, в большинстве случаев являются негодными. Это сигнализирует о том, что получаемое имущество на местах как следует не проверяется, как следует не испытывается. Надо сказать, что вообще все войсковые испытания, которым мы придаем огромное значение, до сих пор проводятся недостаточно серьезно. На это также надо обратить серьезное внимание.</w:t>
      </w:r>
    </w:p>
    <w:p w14:paraId="454E4CE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Дальше надо сказать, что управлением за последние два месяца разработан новый образец кухни с двумя котлами из нержавеющей стали. Эти кухни имеют два преимущества. Во-первых, они двухкотельные и, во-вторых, не требуют почти никакой полуды, что всегда особенно затрудняет наши части. Испытания, которые мы провели, показали, что эти кухни вполне способны выдержать 500 км.</w:t>
      </w:r>
    </w:p>
    <w:p w14:paraId="67E92BB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Но колеса отвалились?</w:t>
      </w:r>
    </w:p>
    <w:p w14:paraId="773FA1C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Колеса — это не котел... </w:t>
      </w:r>
      <w:r w:rsidRPr="00E14102">
        <w:rPr>
          <w:rStyle w:val="a6"/>
          <w:i w:val="0"/>
          <w:color w:val="000000" w:themeColor="text1"/>
          <w:sz w:val="16"/>
          <w:szCs w:val="16"/>
        </w:rPr>
        <w:t>(Смех.)</w:t>
      </w:r>
      <w:r w:rsidRPr="00E14102">
        <w:rPr>
          <w:color w:val="000000" w:themeColor="text1"/>
          <w:sz w:val="16"/>
          <w:szCs w:val="16"/>
        </w:rPr>
        <w:t xml:space="preserve"> Колеса отваливаются у всех кухонь. Это никакого отношения не имеет к котлам. Мы испытывали не колеса, а хотели и должны были испытать котлы из нержавеющей стали. Далее мною во исполнение постановления ЦК было получено задание от т. Егорова, Маршала Советского Союза, об увеличении изготовления вьюков. Образцов вьюков на сегодняшний день имеется 38.</w:t>
      </w:r>
    </w:p>
    <w:p w14:paraId="5F2DA73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Надо было бы показать нам.</w:t>
      </w:r>
    </w:p>
    <w:p w14:paraId="75746F5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18 вьюков после осмотра их т. Егоровым, т. Буденным и мною были посланы в ЗакВО, причем 17 вьюков признаны годными и только один признан негодным. Это вьюки для подрывного имущества, пулеметов Максима, патронов к пулеметам Максима, пулеметов Дегтярева, химических минометов, и вновь сконструировано 20 вьюков для испытания в горных условиях; затем вьюки для воды, для мало заметных препятствий и т.д.</w:t>
      </w:r>
    </w:p>
    <w:p w14:paraId="0EE0940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 вооружении имеется уже на сегодняшний день разработанный Артиллерийским управлением тип вьюка для перевозки горной артиллерии. Я думаю, что к 1 января, т.е. в установленный срок, мы это задание выполним и представим промышленности заказ. Образцы вьюков для освоения в 1936 г. уже предварительно осваиваются, и мы сможем ими снабдить армию в 1936 г.</w:t>
      </w:r>
    </w:p>
    <w:p w14:paraId="589BC38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Егоров.</w:t>
      </w:r>
      <w:r w:rsidRPr="00E14102">
        <w:rPr>
          <w:color w:val="000000" w:themeColor="text1"/>
          <w:sz w:val="16"/>
          <w:szCs w:val="16"/>
        </w:rPr>
        <w:t xml:space="preserve"> В первом полугодии.</w:t>
      </w:r>
    </w:p>
    <w:p w14:paraId="6AAA17D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Остановлюсь на принадлежностях к упряжи, к конскому снаряжению, т.е. на том вопросе, по которому выступал т. Буденный. По количеству выданное имущество полностью обеспечивает потребность нашей Рабоче-крестьянской Красной армии. И только на чумбуры</w:t>
      </w:r>
      <w:r w:rsidRPr="00E14102">
        <w:rPr>
          <w:color w:val="000000" w:themeColor="text1"/>
          <w:sz w:val="16"/>
          <w:szCs w:val="16"/>
          <w:vertAlign w:val="superscript"/>
        </w:rPr>
        <w:t>89</w:t>
      </w:r>
      <w:r w:rsidRPr="00E14102">
        <w:rPr>
          <w:color w:val="000000" w:themeColor="text1"/>
          <w:sz w:val="16"/>
          <w:szCs w:val="16"/>
        </w:rPr>
        <w:t xml:space="preserve"> заказ наш оказался недостаточным.</w:t>
      </w:r>
    </w:p>
    <w:p w14:paraId="1A60A91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Но все дело в том, чтобы то имущество, которое мы отправляем в армию, было обеспечено должным уходом и хранением. С этой целью проводили мы и проверку складского хозяйства. Проверка показала, что имущество на складах портится до настоящего времени потому, что обозных сараев не построено и вообще обоз хранится под открытым небом. Мы проверили склад № 169. Обнаружили недостаток в нательных рубашках. По учету их должно быть 53 000, налицо же 48 000, 5000 пропали. Кальсон же, наоборот, оказалось на 5000 штук больше и т.д. По складскому хозяйству проведены следующие мероприятия. Увеличен счетный аппарат склада на 40 должностей. Вольнонаемная охрана переходит с 1 января 1936 г. на положение охраны войсковой.</w:t>
      </w:r>
    </w:p>
    <w:p w14:paraId="094363A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Нами бьшо проверено состояние окружных складов, главным образом их мобилизационная работа. Оказалось, что мобилизационная работа поставлена не совсем как следует. Неправильно производится приписка к складам начсостава. Найдена необеспеченность некоторым имуществом. Но все же окружные склады почти приведены в порядок. Построены ограждения. Расчищена территория, освобождены подступы и т.д. Затем, выделено еще по 13 автогрузовых машин и 5 тракторов. Все негодное имущество, которое накапливается на складах и которое было обнаружено нами при переучете, должно быть реализовано. Обеспеченность мобилизационной потребности армии по ростовкам сапог и по комплектному имуществу все время производится; но полностью мы этот вопрос еще не решили, потому что у нас не хватает, чем пополнить НЗ по части обуви. Должен доложить вам, т. народный комиссар, что войска единодушно отказываются от ботинок с обмотками. Поэтому, по вашему приказанию, я дал уже проверить в войсках вот эти сапоги, голенищи которых сделаны исключительно из хлопчатобумажной ткани (</w:t>
      </w:r>
      <w:r w:rsidRPr="00E14102">
        <w:rPr>
          <w:rStyle w:val="a6"/>
          <w:i w:val="0"/>
          <w:color w:val="000000" w:themeColor="text1"/>
          <w:sz w:val="16"/>
          <w:szCs w:val="16"/>
        </w:rPr>
        <w:t>демонстрирует образец сапог).</w:t>
      </w:r>
      <w:r w:rsidRPr="00E14102">
        <w:rPr>
          <w:color w:val="000000" w:themeColor="text1"/>
          <w:sz w:val="16"/>
          <w:szCs w:val="16"/>
        </w:rPr>
        <w:t xml:space="preserve"> Месячная носка этих сапог показывает, что они производят впечатление кожаных голенищ по внешнему виду и по износу дают хорошие результаты. Эти голенища состоят из пяти слоев хлопчатобумажной ткани, пропитанной специальным составом, который изобрели в лаборатории. Вид они имеют хороший и носкость тоже очень хорошую.</w:t>
      </w:r>
    </w:p>
    <w:p w14:paraId="795282A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Месячного испытания мало?</w:t>
      </w:r>
    </w:p>
    <w:p w14:paraId="6D6C7A4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Если эти голенища выдержат 8 месяцев, тогда можно будет поставить вопрос о том, чтобы обмоток в армии не было, и при поддержке т. народного комиссара, который эту поддержку обещал, можно будет поставить вопрос о выработке этой керзы для нашей армии.</w:t>
      </w:r>
    </w:p>
    <w:p w14:paraId="759C7FD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Какие еще можно отметить недостатки окружного аппарата по части вверенного мне снабжения? Это плохое маневрирование тем фондом, который имеется налицо в их распоряжении.</w:t>
      </w:r>
    </w:p>
    <w:p w14:paraId="0FE21B6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И последний больной вопрос, на котором я хотел остановиться, — это вопрос со снабжением, так называемым хозобиходом. Мы сейчас послали все, что имелось у нас на складах, все, что получили от правительства по хозобиходу. Но обеспечение хозобиходом остается тяжелым, и положение может улучшиться только в первом или во втором квартале 1936 г., потому что потребность у нас огромная. Но все же и тут мы видим неравномерное распределение этого имущества. Вот Северо-Кавказский округ — не знаю потому ли, что у него есть завод, вырабатывающий посуду, — но у него кружек 170%, ложек 80%, чайников 190% и т.д., в то время как </w:t>
      </w:r>
      <w:r w:rsidRPr="00E14102">
        <w:rPr>
          <w:color w:val="000000" w:themeColor="text1"/>
          <w:sz w:val="16"/>
          <w:szCs w:val="16"/>
        </w:rPr>
        <w:lastRenderedPageBreak/>
        <w:t>другие округа имеют их значительно меньше. Хранение этого имущества, учет и нормы предметов хозобихода на сегодняшний день почти не существуют, потому и уход за этим имуществом у нас плохой.</w:t>
      </w:r>
    </w:p>
    <w:p w14:paraId="7042EBD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Что требовалось по постановлению Центрального Комитета от Управления обозно-вещевого снабжения? Требовалось представить образцы стального шлема. Этот образец представлен. Требовалось представить и разрешить вопрос с ватной курткой для территориальных частей. Все командующие войсками высказались за введение ватных курток на сбор терармейцев. Такая куртка представлена и народным комиссаром утверждена. Заказ на нее сделан. В 1936 г. территориальные части не полностью, но получат эту ватную куртку. Необходимо только добиться, чтобы эта куртка шла одновременно с плащ-палаткой, потому что иначе она потеряет весь свой смысл.</w:t>
      </w:r>
    </w:p>
    <w:p w14:paraId="525F006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А одеяла?</w:t>
      </w:r>
    </w:p>
    <w:p w14:paraId="21A06E1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Одеяла вводятся в норму снабжения, как было установлено Центральным Комитетом, и одно полотенце для переменника.</w:t>
      </w:r>
    </w:p>
    <w:p w14:paraId="22ABC13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Но сказать сейчас — выдадим или нет все сразу — не можем, потому что нормы снабжения не утверждены полностью правительством. Народный комиссар Маршал Советского Союза т. Ворошилов подписал все требования на все эти вещи.</w:t>
      </w:r>
    </w:p>
    <w:p w14:paraId="3221486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Мы должны были заказать и дать 50 хлебозаводов. На сегодняшний день мы заказ оформили, но заводов не дали, потому что промышленность не дает моторов. Полагаем, что 32 завода к 1 января сможем получить. Остальные придется перенести на следующий год. 100 хлебозаводов должны сделать в будущем году. Но меня беспокоит одно обстоятельство. Эти хлебозаводы работают хорошо, они испытаны, но очень тонкой работы и требуют очень тонкого ухода за собой. Ведь каждый завод имеет 12 различных моторов. Эти моторы нуждаются в очень деликатном ухаживании. Я боюсь, что если мы своевременно не освоим технику этих заводов и не поставим людей, которые могут сохранять эту технику, то можем быстро погубить дорогостоящее имущество, как это случилось с железнодорожным хлебозаводом на Дальнем Востоке. Хлебозавод на Дальнем Востоке вышел быстро из строя.</w:t>
      </w:r>
    </w:p>
    <w:p w14:paraId="41E3924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Какой, железнодорожный?</w:t>
      </w:r>
    </w:p>
    <w:p w14:paraId="5270699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Железнодорожный.</w:t>
      </w:r>
    </w:p>
    <w:p w14:paraId="3D909D7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Аронштам.</w:t>
      </w:r>
      <w:r w:rsidRPr="00E14102">
        <w:rPr>
          <w:color w:val="000000" w:themeColor="text1"/>
          <w:sz w:val="16"/>
          <w:szCs w:val="16"/>
        </w:rPr>
        <w:t xml:space="preserve"> А интересно, откуда у вас эта информация?</w:t>
      </w:r>
    </w:p>
    <w:p w14:paraId="6FF62B4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Эту информацию мы имеем из тех материалов, которые получили, и частично от вас.</w:t>
      </w:r>
    </w:p>
    <w:p w14:paraId="51E8554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Аронштам.</w:t>
      </w:r>
      <w:r w:rsidRPr="00E14102">
        <w:rPr>
          <w:color w:val="000000" w:themeColor="text1"/>
          <w:sz w:val="16"/>
          <w:szCs w:val="16"/>
        </w:rPr>
        <w:t xml:space="preserve"> Видно, люди ваши не поняли. Просто воду прекратили давать, и завод потребовал большого ремонта и агрегатов, которые вы нам не послали. </w:t>
      </w:r>
      <w:r w:rsidRPr="00E14102">
        <w:rPr>
          <w:rStyle w:val="a6"/>
          <w:i w:val="0"/>
          <w:color w:val="000000" w:themeColor="text1"/>
          <w:sz w:val="16"/>
          <w:szCs w:val="16"/>
        </w:rPr>
        <w:t>(Смех.)</w:t>
      </w:r>
    </w:p>
    <w:p w14:paraId="591D88D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Я могу представить документ: эти агрегаты мы туда послали. Поезд долго там работал, но он требует большой техники и грамотности по его обслуживанию.</w:t>
      </w:r>
    </w:p>
    <w:p w14:paraId="5D17BBC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 последнее. Я хочу обратить внимание, товарищи, на то, что если по текущему снабжению мы имеем и поверку, и части нас поверяют, и контроль поверяет, то в части подготовки к войне по обозно-вещевому снабжению у нас дело обстоит плохо. Плохо потому, что я не ввдел ни одного акта — и, наверное, их нет и в Генеральном штабе, — чтобы округами бьшо проверено, как их обеспечивают фабрики и заводы снабжением на время мобилизации и на первый год войны.</w:t>
      </w:r>
    </w:p>
    <w:p w14:paraId="728CB8E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Кроме Московского округа, где ты был помощником командующего войсками по материальной части и проверял.</w:t>
      </w:r>
    </w:p>
    <w:p w14:paraId="1B9E8BC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w:t>
      </w:r>
      <w:r w:rsidRPr="00E14102">
        <w:rPr>
          <w:color w:val="000000" w:themeColor="text1"/>
          <w:sz w:val="16"/>
          <w:szCs w:val="16"/>
        </w:rPr>
        <w:t xml:space="preserve"> Тоже не проверял до совещания при ЦК. Но это, конечно, не значит, что на моей ошибке не должны учиться другие.</w:t>
      </w:r>
    </w:p>
    <w:p w14:paraId="2C650F8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сейчас таким образом поставил это дело, т. народный комиссар. Я вошел с ходатайством перед Александром Ильичом, чтобы допустили моего военного приемщика, который сидит на месте, проверять готовность завода к войне. Другими способами я не могу получить сведений, как будет дело обстоять с подготовкой фабрик и заводов к войне. Визу наверняка дадут. Каждый округ должен проверить сам, как обстоит дело по линии обозно-вещевого снабжения. Без этого обойтись нельзя.</w:t>
      </w:r>
    </w:p>
    <w:p w14:paraId="3C12B89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Перед нами стоит много неразрешенных нашим Управлением задач.</w:t>
      </w:r>
    </w:p>
    <w:p w14:paraId="35414CC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Вы бы туг не острили, а сказали бы, как быть, когда 30% красноармейцев босые, сидят с обмотанными соломой ногами и не выходят.</w:t>
      </w:r>
    </w:p>
    <w:p w14:paraId="252C58A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Косич. Я</w:t>
      </w:r>
      <w:r w:rsidRPr="00E14102">
        <w:rPr>
          <w:color w:val="000000" w:themeColor="text1"/>
          <w:sz w:val="16"/>
          <w:szCs w:val="16"/>
        </w:rPr>
        <w:t xml:space="preserve"> бы с удовольствием вам эти сапоги дал, но у меня их нет. У меня ни одной пары сапог замаринованных нет. Я прошу реставрировать сапоги, реставрация которых еще не кончена. Нужно с этим кончить.</w:t>
      </w:r>
    </w:p>
    <w:p w14:paraId="31519BA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Итак, я считаю, что работа двинулась. Но не доведена окончательно до конца. Тут и политработа недостаточно проведена. Надо внедрить сознательное отношение и бережливость к своему обмундированию и к опрятному виду. Не налажен внутренний присмотр по сохранению обмундирования и т.д. Нужно самым серьезнейшим образом еще раз записать те пункты, которые не выполняются из постановления ЦК партии и с нашей стороны, и со стороны войсковых частей, чтобы они в кратчайшее время были выполнены.</w:t>
      </w:r>
    </w:p>
    <w:p w14:paraId="22CDADE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129-132.</w:t>
      </w:r>
    </w:p>
    <w:p w14:paraId="4795A5B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Разделение службы снабжения на обозно-вещевое и продовольственное дало положительные результаты. Однако это разделение до сегодняшнего дня не доведено до конца по всем войсковым частям и в первую очередь по военно-учебным заведениям.</w:t>
      </w:r>
    </w:p>
    <w:p w14:paraId="5303A17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вузах до сегодняшнего дня остается старая система учета: один делопроизводитель и один заведующий ведают всеми видами снабжения — вещевым, продовольственным и вооружением. Также остается неразрешенной задача в разведывательных дивизионах, танковых батальонах, где один делопроизводитель ведет учет обозно-вещевой, фуражный, артиллерийский, автобронетанкового имущества, химического, квартирно-коммунального хозяйства и финансовый. Все это возложено на одного и того же человека.</w:t>
      </w:r>
    </w:p>
    <w:p w14:paraId="4D573F3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Ну и что же?</w:t>
      </w:r>
    </w:p>
    <w:p w14:paraId="2720A55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Конечно, для вас: «Что же?» А это значит, что нужно иметь универсального человека, который должен знать все виды имущества. В военно-учебных заведениях все это возложено на одного делопроизводителя. То обстоятельство, что на одного делопроизводителя возложено ведение учета всего имущества, приводит к сумбуру. Я считаю, что нужно довести дело до конца. Приказом народного комиссара № 0145 было указано о том, чтобы 1 декабря Генштаб, АМУ и Обозно-вещевое и Продовольственное управления издали все инструкции. Несмотря на то что уже декабрь месяц наступил, ни одна инструкция не разработана и не выслана. Приходится пользоваться временным положением. До сегодняшнего дня нет еще штатов окружных мастерских и материалов, которые необходимы, чтобы реставрировать обмундирование и обувь.</w:t>
      </w:r>
    </w:p>
    <w:p w14:paraId="2A734F8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Конечно, Обозно-вещевое управление не могло сразу выслать все эти предметы. Но во всяком случае мы не имеем даже намека на то, что конкретно будет дано нам на 1936 г. Я должен заявить, что мы проделали огромнейшую работу в смысле реставрации обмундирования и обуви. Сейчас по округу нет нереставрированной обуви и обмундирования. Однако положение с обувью на 1936 г. остается весьма тяжелым, если действительно мы останемся на будущий год в том же положении, как это было во время лагерных сборов.</w:t>
      </w:r>
    </w:p>
    <w:p w14:paraId="24BE908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Еще один вопрос — о разделении складов. Те ассигнования, которые были даны в текущем году на постройку складов, ни в какой степени не обеспечивают нашу реальную потребность. Чтобы иметь отдельно продовольственные склады и отдельно склады обозно-вещевого имущества, нужны и соответствующие ассигнования. Мне кажется, что эти ассигнования должны быть пересмотрены.</w:t>
      </w:r>
    </w:p>
    <w:p w14:paraId="3DBABA5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Пользуясь тем, что я имею еще пять минут и не имел возможности выступать по вопросам артиллерийского снабжения, я позволю себе эти пять минут использовать для того, чтобы дать справки.</w:t>
      </w:r>
    </w:p>
    <w:p w14:paraId="3F8BAA1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моей просьбе в апреле месяце 1934 г. — а я вступил в командование в январе 1934 г. — была назначена комиссия Главного артиллерийского управления. Комиссией было установлено — акты имеются, — что налицо негодного оружия — 35 тыс. винтовок. Эти винтовки были изъяты из дивизий, уходящих на Дальний Восток, и были выданы второочередным дивизиям после ремонта в артиллерийских мастерских. Тов. Гайлит, выступая здесь, счел, видимо, нужным допустить иронию — пусть и «мое копыто кого-то лягнет». Он говорил о том, что 71-я дивизия имела оружие в скверном состоянии. Мною было своевременно написано т. Ефимову письмо с тем, чтобы проверить состояние оружия. Винтовки были признаны непригодными в двух полках, было установлено, что в неудовлетворительном состоянии находятся уход и сбережение. В дивизии были представители из Артуправления и СибВО. Об осмотрах оружия имеется акт. Тов. Гайлит пробовал доказать, что сигнал для Сибирского округа дала 71-я дивизия, но поверку он сделал через 6 месяцев по прибытии дивизии. Я могу представить все акты, которые показывают, что в 1935 г. проверкой АУ установлено хорошее состояние оружия в округе. Нет ни одного акта, который бы фиксировал, что хотя бы в одном полку найдено оружие в удовлетворительном состоянии. Только в хорошем и отличном состоянии как по хранению, по сбережению, так и по техническому состоянию.</w:t>
      </w:r>
    </w:p>
    <w:p w14:paraId="6C0A2D2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Дивизия проверялась, как только прибыла сюда.</w:t>
      </w:r>
    </w:p>
    <w:p w14:paraId="5D73B68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У меня есть акты по Артиллерийскому управлению. Дивизия прибыла на место, и там был ваш представитель и представитель из Артиллерийского управления. Если дивизия во время переезда не смазывала, не чистила винтовок, если дивизия потом 5—6 дней не осматривала оружия, то оружие можно за 10 дней привести в негодное состояние.</w:t>
      </w:r>
    </w:p>
    <w:p w14:paraId="3B2DD55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А кто подготовлял дивизию, чтобы она 10 дней не смазывала?</w:t>
      </w:r>
    </w:p>
    <w:p w14:paraId="685F7B2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Ты подготовлял.</w:t>
      </w:r>
    </w:p>
    <w:p w14:paraId="320522C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Когда человека пригвождают к позорному столбу — он имеет право сказать, насколько он виноват или прав.</w:t>
      </w:r>
    </w:p>
    <w:p w14:paraId="0A13CCF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Кого это пригвождают к позорному столбу?</w:t>
      </w:r>
    </w:p>
    <w:p w14:paraId="34AADAB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Меня. Я в январе 1934 г. вступил в командование округом. Разве я мог за 3 месяца привести в негодность 35 000 винтовок? Было приказание, чтобы уходящие на Дальний Восток дивизии снабдить лучшим оружием. Это и было сделано. А затем в апреле месяце актами Артиллерийского управления зафиксировано 35 000 винтовок негодных, оставшихся от тех дивизий, которые уходили.</w:t>
      </w:r>
    </w:p>
    <w:p w14:paraId="1994DCF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попрошу т. Ефимова представить все акты.</w:t>
      </w:r>
    </w:p>
    <w:p w14:paraId="7EEEDF8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lastRenderedPageBreak/>
        <w:t>Затем по артиллерии. Был назначен командиром артиллерийского полка т. Яковлев</w:t>
      </w:r>
      <w:hyperlink r:id="rId319" w:anchor="_ftn7" w:history="1">
        <w:r w:rsidRPr="00E14102">
          <w:rPr>
            <w:rStyle w:val="a4"/>
            <w:color w:val="000000" w:themeColor="text1"/>
            <w:sz w:val="16"/>
            <w:szCs w:val="16"/>
          </w:rPr>
          <w:t>[7]</w:t>
        </w:r>
      </w:hyperlink>
      <w:r w:rsidRPr="00E14102">
        <w:rPr>
          <w:color w:val="000000" w:themeColor="text1"/>
          <w:sz w:val="16"/>
          <w:szCs w:val="16"/>
        </w:rPr>
        <w:t>. Он работал в Артиллерийском управлении. Ведал техническим вооружением. За 6 месяцев своей работы т. Яковлев должен был показать образцы работы. А он оказался не на высоте. В этом полку Артуправлением обнаружено 2 системы в негодном состоянии. Какой же это командир полка, который не умеет ухаживать за матчастью артиллерии? Раньше т. Яковлев сам учил всех.</w:t>
      </w:r>
    </w:p>
    <w:p w14:paraId="2D0317E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Который с вами работал тут?</w:t>
      </w:r>
    </w:p>
    <w:p w14:paraId="6AB930D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Нет. Я 10 лет тому назад был начальником Артиллерийского управления. В 1926 г. я был назначен начальником Артуправления, а сейчас уже наступает 1936 г. Почему ни один не выступил и не сказал, что сегодня представляет из себя капсюль, порох и смазка, значительно влияющие на износ оружия? Здесь говорили о смазке. Неверно говорили. Эту смазку начали давать в этом году, а раньше было так — давали телеграмму за телеграммой, сообщали, что смазку номер такой-то не применять. То же самое в отношении боевой подготовки. Вот здесь присутствует т. Седякин. Он проверил все дивизии по боевой подготовке, и его акты не говорят того, что хотят приписать.</w:t>
      </w:r>
    </w:p>
    <w:p w14:paraId="5D948BB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132-133.</w:t>
      </w:r>
    </w:p>
    <w:p w14:paraId="26C0C7D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Дзыза.</w:t>
      </w:r>
      <w:r w:rsidRPr="00E14102">
        <w:rPr>
          <w:color w:val="000000" w:themeColor="text1"/>
          <w:sz w:val="16"/>
          <w:szCs w:val="16"/>
        </w:rPr>
        <w:t xml:space="preserve"> Оценка, данная ЦК партии, правительством и вашим приказом, т. народный комиссар, состоянию войскового хозяйства, несомненно, верна и в отношении войскового хозяйства Дальневосточной армии. Все это заставило нас много поработать над тем, чтобы войсковое хозяйство армии вытащить из прорыва, в котором оно находилось, хотя еще очень много осталось не сделанным и недоделанным. Что сделано в этом отношении, как выполняются эти приказы и что тормозит их выполнение — я хочу доложить Военному совету.</w:t>
      </w:r>
    </w:p>
    <w:p w14:paraId="4CC0681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Проведены следующие основные мероприятия, вытекающие из решений ЦК партии и ваших приказов по упорядочению войскового хозяйства.</w:t>
      </w:r>
    </w:p>
    <w:p w14:paraId="0C65148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Во-первых. Переучет обозно-вещевого имущества проводится и будет закончен в те сроки, которые для нас установлены.</w:t>
      </w:r>
    </w:p>
    <w:p w14:paraId="1CD1CD1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Во-вторых. Одним из серьезных вопросов, который был поставлен в порядке предварительной работы еще до получения приказов о переучете, — это приведение имущества НЗ в состояние, абсолютно пригодное для обеспечения частей как в смысле комплектности, так и полной его готовности. Пришлось пересмотреть все предметы, находящиеся в НЗ. Привести в комплектное состояние обоз, кухни, упряжь, оковать все сапоги, проверить рост сапог и других предметов, хранящихся в НЗ. Обнаружено большое количество недостатков, устранение которых зависит исключительно от заботливости командиров частей. В процессе приведения НЗ в порядок мы столкнулись с одной трудностью, которая не может быть устранена нашими собственными средствами, — это очень большой процент малого роста сапог. Попытка заменить эти сапоги за счет текущих ресурсов нам не удалась. Таким образом, на сегодняшний день мы не смогли выравнять НЗ в смысле установления правильной процентовки по росту сапог, которая требуется, и фактическим положением вещей и вашими приказами.</w:t>
      </w:r>
    </w:p>
    <w:p w14:paraId="37B5FF3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Третье. Следующий вопрос, который был поставлен вами в августе-сентябре месяце и который сейчас проводится и в складах, и в войсках, — это выправление состояния учета. В этой области мы имели и имеем до сих пор огромный прорыв. Предварительная проверка состояния учета и работы войск по улучшению этой работы, проведенная аппаратом армии в августе—сентябре, подтвердила, что вопросу учета не уделяется достаточного внимания и что учет не находится в руках таких работников, которые могли бы эту работу поднять на должную высоту без особого внимания и помощи учетным работникам со стороны командования частей, политаппарата и парторганизации. Я не могу доложить, что учет к настоящему времени вытянут на такой уровень, который гарантирует абсолютную точность всех данных, полученных нами как в процессе предварительного, так и последнего переучета. Только материалы инвентаризации позволят установить и количество, и качество имеющегося в армии обозно-вещевого имущества.</w:t>
      </w:r>
    </w:p>
    <w:p w14:paraId="5C0BBCB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Четвертое. Какие трудности мы имеем в настоящий момент в деле приведения обозно-вещевого имущества в порядок? Основное заключается в отсутствии ремонтной базы. Перед нами стоят огромные задачи по реставрации старого имущества и по организации текущего ремонта с тем, чтобы обеспечить установленные сроки носки и сберечь имущество от предварительного износа. Мы не имеем обозно-вещевых мастерских, а также оборудованных помещений для них и соответствующих кадров. Причем мы, т. народный комиссар, столкнулись здесь не только с тем, что не можем уложиться в те денежные лимиты, которые нам дает т. Хрулев на наем рабочей силы, но основная трудность у нас заключается в том, что нет специалистов, которые могли бы организовать это дело, наладить ремонт сапог, вещей, обоза и т.д. Поэтому для того чтобы организовать это, придется, очевидно, извне завозить квалифицированных людей, младших специалистов и организовать, кроме того, подготовку их у себя. Только создав эти кадры, можно будет организовать мастерские и по-настоящему поставить дело ремонта обозно-вещевого имущества.</w:t>
      </w:r>
    </w:p>
    <w:p w14:paraId="4954728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Дальше. Мы столкнулись с отсутствием материалов для ремонта. Чтобы привести кухни и обоз в надлежащий порядок, нам потребовалось 14,5 т краски, 160 т железа, около 3 т олова. Получили же мы 0,2 т олова, 0,5 т краски и около 25% железа. Если учесть невозможность в ДВК все получить на месте, то, естественно, что возможности для ремонта обозно-вещевого имущества были и остаются у нас очень ограниченными. Таким образом, вторая наша трудность заключается в отсутствии материальных ресурсов и денежных средств для ремонта обоза и кухонь.</w:t>
      </w:r>
    </w:p>
    <w:p w14:paraId="47B9A28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Третья трудность в области ремонта вещевого снабжения — это острый недостаток починочного материала и инструмента для ремонта вещевого имущества и обуви. Причем самые нормы отпуска починочного материала для нас явно недостаточны. К этому нужно добавить сроки и порядок получения этого имущества. Если бы мы получали это имущество в строго определенные сроки и полностью — в частности, две пары обуви, — то мы имели бы возможность маневрировать как в носке, так и своевременно сдавать вещи в текущий ремонт и этим предохранять от нужды донашивать до такого состояния, когда необходимо сдавать их в капитальный ремонт. Так маневрировать мы не имеем возможности. В текущем году до сих пор мы не получили полностью починочного материала. Достать же его на месте не можем, и, естественно, мы не выполнили плана ремонта полностью.</w:t>
      </w:r>
    </w:p>
    <w:p w14:paraId="379C921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Следующий вопрос, о котором я хочу доложить и который имеет для нас особое значение, т. народный комиссар, — это вопрос о сроках носки обуви. Мы проводили неоднократные опыты с различными сроками носки. Устанавливали 8-месячный срок носки, устанавливали годичный срок носки. На сегодня я должен доложить, т. народный комиссар, что при современном качестве отпускаемой обуви, нормах починочного материала, годичный срок носки мы у себя ввести не можем. Мы проверили пригодность и качество обуви в текущем году во время осенних учений. После месячных осенних учений, которые проводились в условиях бездорожья и грязи, около 10% сапог совершенно вышло из строя. Это говорит о том, что качество обуви, которую мы получаем, в наших горных бездорожных условиях, в условиях обильных дождей и грязи не отвечает требованиям длительной носки. Быстрый износ обуви у нас не является следствием плохой эксплуатации, несвоевременной смазки, отсутствием ремонта, осмотра, просушки ее и т.д. В этой области у нас еще много недочетов. Но если обувь после месячного срока приходит в негодность, то это уже говорит о недопустимо плохом качестве самой обуви. Проверка проводилась с участием представителей из Москвы.</w:t>
      </w:r>
    </w:p>
    <w:p w14:paraId="0C9E85E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Наверно, особенно обувь на резиновой подметке.</w:t>
      </w:r>
    </w:p>
    <w:p w14:paraId="3882E1A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Дзыза.</w:t>
      </w:r>
      <w:r w:rsidRPr="00E14102">
        <w:rPr>
          <w:color w:val="000000" w:themeColor="text1"/>
          <w:sz w:val="16"/>
          <w:szCs w:val="16"/>
        </w:rPr>
        <w:t xml:space="preserve"> Резины у нас скоро не будет, мы кончаем с резиновой подошвой, но даже кожаная подошва отваливалась, и бойцы оставались босиком.</w:t>
      </w:r>
    </w:p>
    <w:p w14:paraId="10189AF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Второй вопрос, который я считал нужным доложить об обуви, — это о размерах наших сапог и о зимней обуви. Нужно сказать, что этот вопрос касается в основном НЗ. Вопрос об обеспечении армии теплой обувью стоит не первый год. В 1933 г. после доклада и при содействии зам. наркома т. Гамарника мы получили значительные ресурсы валяной теплой обуви, что несколько облегчило положение в обеспечении обувью авиации и бронетанковых войск. Все же я должен доложить, что и сейчас вопрос о зимней обуви для нас не решен. В зимних условиях, при бесснежной зиме валенки через месяц носки выходят из строя. Выход из положения возможен либо в установлении, как правило, такого порядка, что валенки должны обшиваться кожей, это будет стоить недорого и сохранит валяную обувь, либо дать сапоги значительно большего размера особой пошивки и дать настоящие теплые носки, это сохранит нам и подвижность бойца, и обеспечит его от обмораживания ног. Я лично стою за второй вариант, т.е. за сапоги большего размера с одновременной выдачей теплых носков. Так остро положение с зимней обувью не только у нас, а и в еще большей мере у т. Грязнова. У него валяные сапоги выбывали из строя через один-два месяца.</w:t>
      </w:r>
    </w:p>
    <w:p w14:paraId="1AFEC06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Следующий вопрос, который разрешите доложить как имеющий для нас огромное значение, — это вопрос о подготовке младших командиров-хозяйственников. Мы столкнулись с таким положением, т. народный комиссар, что вопросы учета всего имущества, в особенности в полку, вопросы сохранения и ремонта этого имущества упираются не только в то, как к этому относится командование частей и хозяйственники, но и в то, что у нас не всегда имеются младшие командиры, техники своего дела, действительно болеющие за имущество, вверенное им, чтобы оно было цело, было в порядке, своевременно ремонтировалось, чтобы они знали каждый день и час, что у них находится на складе. До сих пор на эти должности мы подбирали в большинстве случайных людей и в дальнейшем не вели с ними почти никакой работы по повышению ими своей специальности. Я считаю, что нужно пойти если не для всех округов, то для наиболее крупных на создание специальных краткосрочных курсов месяца на 3—4, на которых эти младшие специалисты по складскому хозяйству, учету, ремонту и по эксплуатации имущества могли бы изучить как свою специальность, так и основы войскового хозяйства. Это будет, может быть, временной мерой. Но, подготовив несколько сот человек, мы обеспечим сохранение нашего имущества.</w:t>
      </w:r>
    </w:p>
    <w:p w14:paraId="3A27860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Такие курсы ведь организованы?</w:t>
      </w:r>
    </w:p>
    <w:p w14:paraId="194EBD1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Дзыза.</w:t>
      </w:r>
      <w:r w:rsidRPr="00E14102">
        <w:rPr>
          <w:color w:val="000000" w:themeColor="text1"/>
          <w:sz w:val="16"/>
          <w:szCs w:val="16"/>
        </w:rPr>
        <w:t xml:space="preserve"> Это совершенно иные курсы, это курсы, рассчитанные на переподготовку среднего и старшего начсостава. С ними нам также надо еще много работать. Над переподготовкой этой группы хозяйственников мы должны будем работать, несомненно, гораздо больше и более продолжительный срок. Туг же стоит вопрос о том, чтобы в течение 2-3 месяцев пропустить массу красноармейцев, младших командиров в дивизионно-армейском или корпусном масштабе с тем, чтобы подготовить их к овладению теми делами, за которые они отвечают, и которые они должны знать в совершенстве. Ведь на сегодняшний день они часто не знают, как нужно хранить то или иное имущество — кожевенные изделия, текстильные изделия, обоз и т.д. Курсы — эти дело не дорогое и на него нужно идти во что бы то ни стало.</w:t>
      </w:r>
    </w:p>
    <w:p w14:paraId="7CB9452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Блюхер.</w:t>
      </w:r>
      <w:r w:rsidRPr="00E14102">
        <w:rPr>
          <w:color w:val="000000" w:themeColor="text1"/>
          <w:sz w:val="16"/>
          <w:szCs w:val="16"/>
        </w:rPr>
        <w:t xml:space="preserve"> Это наше с тобой дело.</w:t>
      </w:r>
    </w:p>
    <w:p w14:paraId="6A9E66D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Дзыза.</w:t>
      </w:r>
      <w:r w:rsidRPr="00E14102">
        <w:rPr>
          <w:color w:val="000000" w:themeColor="text1"/>
          <w:sz w:val="16"/>
          <w:szCs w:val="16"/>
        </w:rPr>
        <w:t xml:space="preserve"> Верно, дело это наше, но оно требует помимо наших внутренних армейских мероприятий и людей, из которых будут комплектоваться эти курсы, также средств, учебных пособий, оборудования и много другого, что должны дать и центральные управления.</w:t>
      </w:r>
    </w:p>
    <w:p w14:paraId="59DC548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Блюхер.</w:t>
      </w:r>
      <w:r w:rsidRPr="00E14102">
        <w:rPr>
          <w:color w:val="000000" w:themeColor="text1"/>
          <w:sz w:val="16"/>
          <w:szCs w:val="16"/>
        </w:rPr>
        <w:t xml:space="preserve"> Народ надо набрать в армии.</w:t>
      </w:r>
    </w:p>
    <w:p w14:paraId="74A43DC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Дзыза.</w:t>
      </w:r>
      <w:r w:rsidRPr="00E14102">
        <w:rPr>
          <w:color w:val="000000" w:themeColor="text1"/>
          <w:sz w:val="16"/>
          <w:szCs w:val="16"/>
        </w:rPr>
        <w:t xml:space="preserve"> Совершенно правильно, т. командующий.</w:t>
      </w:r>
    </w:p>
    <w:p w14:paraId="5BE3AB2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lastRenderedPageBreak/>
        <w:t>Следующий вопрос, который я хотел доложить, — это вопрос, очевидно, имеющий особое значение только для ОКДВА, это вопрос об обмундировании военно-строительных батальонов и вообще всех строительных частей. В ОКДВА строительные части занимают солидное место. Несколько десятков тысяч человек работает на строительстве армии, на строительстве дорог, на строительстве Нарком-тяжпрома. Условия работы их известны, а обмундирование получают такое, что получает и боец. Это приводит к тому, что бойцы наших строительных частей представляют из себя людей исключительно неряшливо одетых, часто в оборванном обмундировании, которое они быстро изнашивают на стройке, в лесу, на сплаве и т.д. В результате этого они теряют свой воинский вид. Необходимо дать бойцам стройбатов рабочую одежду, в крайнем случае не форменную. Мы не можем у себя достать даже неформенную одежду на 60 с лишним тысяч красноармейцев строительных батальонов. В этом году из-за быстрого износа обуви мы допустили частичную вьщачу строительным батальонам лаптей, за что нас очень крепко поругали и что мы заслужили. Но у нас, т. народный комиссар, не было другого выхода. Мы вынуждены были идти на то, чтобы в глухих районах выдавать лапти, лишь бы бойцы босиком не ходили на работу. Я прошу выдать на красноармейцев стройбатов дополнительный комплект летнего обмундирования, вторую пару ботинок и одну пару нательного белья. Этим будет решен вопрос, имеющий для нас существенное значение. В крайнем случае нужно дать нам хотя бы неформенное обмундирование и обувь.</w:t>
      </w:r>
    </w:p>
    <w:p w14:paraId="4828D9B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 последний вопрос, на котором я остановлюсь, — это вопрос обеспечения нас своим обозом. Строительство обозных заводов, начатое два года тому назад, ведется исключительно медленно. На сегодняшний день нет никаких гарантий, что мы будем иметь свой обоз не только в 1936 г., но даже в 1937. Отношение к этому делу центральных органов — и Наркомлегпрома, и Наркомлеса, и других — если не недоброжелательное, то во всяком случае абсолютно индифферентное. Ни одна организация не хочет отвечать за строительство этих заводов по-настоящему. Необходимо заставить решением правительства соответствующие наркоматы строительство обозных заводов в ДВК форсировать.</w:t>
      </w:r>
    </w:p>
    <w:p w14:paraId="6236362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133-135.</w:t>
      </w:r>
    </w:p>
    <w:p w14:paraId="54C9224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Векличев.</w:t>
      </w:r>
      <w:r w:rsidRPr="00E14102">
        <w:rPr>
          <w:color w:val="000000" w:themeColor="text1"/>
          <w:sz w:val="16"/>
          <w:szCs w:val="16"/>
        </w:rPr>
        <w:t xml:space="preserve"> Всем сидящим здесь достаточно подробно известно то исключительно серьезное внимание, которое было уделено состоянию вещевого снабжения нашей Рабоче-крестьянской Красной армии Центральным Комитетом партии и лично т. Сталиным. Все знают, что по инициативе т. Сталина бьшо проведено обследование довольно значительного количества частей нашей Рабоче-крестьянской Красной армии, и в частности Московского военного округа. Были выявлены очень серьезные недочеты. Те указания, которые мы получили от Центрального Комитета партии, от т. Сталина и т. Ворошилова, заставили нас, во-первых, заняться перевоспитанием наших военно-хозяйственных работников и начать смотреть на дело военно-хозяйственного снабжения армии совершенно другими глазами. Нужно честно признаться, что в течение довольно значительного количества лет хозяйственные работники нашей Красной армии зачастую смотрели на дело совершенно по-антигосударственному — чтобы больше урвать, чтобы больше спрятать и т.д. И вот это нужно бьшо прежде всего побороть. И надо отдать справедливость, т. народный комиссар Маршал Советского Союза, что мы в нашем Московском округе проделали в этом отношении довольно солидную работу. Сейчас уже очень редко, но, к сожалению, можно еще найти людей, которые все-таки стараются где-то, что-то урвать, обмануть округ, представить неверные сведения и т.д. и т.п. Тов. Ошлею, который проверял все отчеты частей о переучете, приходилось возвращать их обратно и уточнять главным образом из-за неумения делать отчеты, но не из желания их скрывать. Сегодня мне пришлось говорить с т. Хаханьяном, членом Комиссии советского контроля, который познакомил меня с одним документом, где говорится, что с точки зрения создания общественного мнения была проделана солидная работа в тех частях, где они проверяли.</w:t>
      </w:r>
    </w:p>
    <w:p w14:paraId="4334038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А как политработники стали заниматься этим делом?</w:t>
      </w:r>
    </w:p>
    <w:p w14:paraId="3D7781A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Векличев.</w:t>
      </w:r>
      <w:r w:rsidRPr="00E14102">
        <w:rPr>
          <w:color w:val="000000" w:themeColor="text1"/>
          <w:sz w:val="16"/>
          <w:szCs w:val="16"/>
        </w:rPr>
        <w:t xml:space="preserve"> Перед политработниками мы поставили задачу изучения людей, которые руководят хозяйством и вообще с ним соприкасаются. Эта работа дала нам возможность повыгонять ряд нечестных людей и плохих работников и выдвинуть на их место новых.</w:t>
      </w:r>
    </w:p>
    <w:p w14:paraId="2CB5749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Многие политработники были привлечены в комиссии по переучету вещевого имущества. Они предварительно изучали все формы учета и приказы о вещевом довольствии. Ряд политработников делают контрольные поверки состояния складов. Особенно серьезную работу проводят партбюро и политработники по воспитанию хозяйственных кадров в борьбе с антигосударственными тенденциями. Несмотря на все это, мы еще не можем похвастаться состоянием обозно-вещевого дела.</w:t>
      </w:r>
    </w:p>
    <w:p w14:paraId="484713B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Большое значение в работе хозяйственных отделов играет то, что в МВО было на снабжении отдела 700 единиц. Военно-хозяйственный окружной орган настолько зашивался в связи с этим, что не имел возможности бывать в войсках и знать действительное положение. Благодаря тому, что наши хозяйственные органы не знали действительного положения дела на местах, я чуть не сотворил большую глупость. Я имею в виду историю с лаптями.</w:t>
      </w:r>
    </w:p>
    <w:p w14:paraId="69CCDA5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Сейчас мы имеем разделение ВХО на обозно-вещевой и продовольственный отдел. Мы имеем солидный учетный аппарат в дивизии, полковой аппарат, но окружной аппарат имеет непосредственно все же 400 единиц. Наверное, т. Ошлей выступит и об этом скажет. Это очень много.</w:t>
      </w:r>
    </w:p>
    <w:p w14:paraId="72E0A9D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 несмотря на то что т. Ошлей исключительно крепко взялся, несмотря на то что он более компетентен, чем какой-либо другой хозяйственник, он имеет мало возможностей проверять войска живым инспекторским аппаратом. 400 подчиненных точек, мелких точек — это очень много.</w:t>
      </w:r>
    </w:p>
    <w:p w14:paraId="2FE0C1C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Осепян.</w:t>
      </w:r>
      <w:r w:rsidRPr="00E14102">
        <w:rPr>
          <w:color w:val="000000" w:themeColor="text1"/>
          <w:sz w:val="16"/>
          <w:szCs w:val="16"/>
        </w:rPr>
        <w:t xml:space="preserve"> Сколько человек у него в аппарате?</w:t>
      </w:r>
    </w:p>
    <w:p w14:paraId="5C77928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Векличев.</w:t>
      </w:r>
      <w:r w:rsidRPr="00E14102">
        <w:rPr>
          <w:color w:val="000000" w:themeColor="text1"/>
          <w:sz w:val="16"/>
          <w:szCs w:val="16"/>
        </w:rPr>
        <w:t xml:space="preserve"> 20 с чем-то человек.</w:t>
      </w:r>
    </w:p>
    <w:p w14:paraId="723D936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Ошлей.</w:t>
      </w:r>
      <w:r w:rsidRPr="00E14102">
        <w:rPr>
          <w:color w:val="000000" w:themeColor="text1"/>
          <w:sz w:val="16"/>
          <w:szCs w:val="16"/>
        </w:rPr>
        <w:t xml:space="preserve"> 24 чел. по вещевому снабжению и 24 по продовольствию, всего 48 чел.</w:t>
      </w:r>
    </w:p>
    <w:p w14:paraId="3F4C6CA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Осепян.</w:t>
      </w:r>
      <w:r w:rsidRPr="00E14102">
        <w:rPr>
          <w:color w:val="000000" w:themeColor="text1"/>
          <w:sz w:val="16"/>
          <w:szCs w:val="16"/>
        </w:rPr>
        <w:t xml:space="preserve"> Аппарат большой.</w:t>
      </w:r>
    </w:p>
    <w:p w14:paraId="71F1DA5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Векличев. Я</w:t>
      </w:r>
      <w:r w:rsidRPr="00E14102">
        <w:rPr>
          <w:color w:val="000000" w:themeColor="text1"/>
          <w:sz w:val="16"/>
          <w:szCs w:val="16"/>
        </w:rPr>
        <w:t xml:space="preserve"> не возражаю, что это большой аппарат.</w:t>
      </w:r>
    </w:p>
    <w:p w14:paraId="6653712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хочу сказать о том, что мы взяли на себя большое обязательство. Мы получили по округу 125 чел. гражданских хозяйственников. Говоря по-честному, это довольно сырой состав. Надо всех их переварить, переобучить и перевоспитать. Тут т. Дзыза очень интересно рассказывал о том, как они переучивают младших людей. Мы это тоже проделываем. Но для того чтобы младших учить, нужно переучивать старших. Мы приводим большую работу по переквалификации вновь полученных 125 хозяйственников. Иначе нам будет довольно трудно двигать дело вперед. Вот тебе, т. Осепян, и много народа! Нет, т. Осепян, не много, если учитывать, что народ только что вчера сел за работу. Это, бесспорно, отражается на работе.</w:t>
      </w:r>
    </w:p>
    <w:p w14:paraId="2A2A0FE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Еще одно замечание. Мы не имеем до сих пор все же окружного вещевого склада. Это имеет, несомненно, очень большое значение. Мы живем вместе с центральным складом, мы не можем, как полагается, развертываться.</w:t>
      </w:r>
    </w:p>
    <w:p w14:paraId="2AB03BF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Егоров.</w:t>
      </w:r>
      <w:r w:rsidRPr="00E14102">
        <w:rPr>
          <w:color w:val="000000" w:themeColor="text1"/>
          <w:sz w:val="16"/>
          <w:szCs w:val="16"/>
        </w:rPr>
        <w:t xml:space="preserve"> Вас оттуда выгоняют?</w:t>
      </w:r>
    </w:p>
    <w:p w14:paraId="45F8B3D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Векличев.</w:t>
      </w:r>
      <w:r w:rsidRPr="00E14102">
        <w:rPr>
          <w:color w:val="000000" w:themeColor="text1"/>
          <w:sz w:val="16"/>
          <w:szCs w:val="16"/>
        </w:rPr>
        <w:t xml:space="preserve"> Еще не выгоняют. Год еще будем, наверное, там.</w:t>
      </w:r>
    </w:p>
    <w:p w14:paraId="7119164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Не имея окружного склада, мы просили начальника Генштаба, чтобы хотя бы в 1936 г. дал возможность рассредоточения дела и как минимум 3 склада на округ, который, кстати, имеет 5 областей. А вы, Александр Ильич, разрешили только один склад. Понятно, когда нет ни одного, то не плохо иметь хотя бы один. Но вы же сами на будущий год спросите нас, почему это дело не освоено, почему это не так, то не так и т.д. Это имеет большое значение. Вот какое положение, т. народный комиссар, получается с военно-вещевым снабжением.</w:t>
      </w:r>
    </w:p>
    <w:p w14:paraId="6A78785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согласен с т. Хаханьяном в том, что перед нами стоит большая и трудная задача переквалифицировать людей на мелкий ремонт. Дело это не шуточное, не такое легкое. Не каждый умеет пришить, зашить. Конечно, если мы возьмем и будем на шинели пришивать латки, то пришить можно, но выйдет грубо. Дело здесь в том, чтобы все это сделать так, как полагается. Мы стремимся к тому, чтобы это делалось прилично. Только мы сейчас начинаем вводить в полковых школах в учебном плане хозяйственные предметы. Обучать людей хозяйственному делу — это серьезная задача последующего года.</w:t>
      </w:r>
    </w:p>
    <w:p w14:paraId="2AAD4D4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должен Военному совету и народному комиссару обороны Маршалу Советского Союза здесь сказать, что тот урок, который нам был дан вами вместе с т. Сталиным, пошел на пользу. И все же я должен по-честному заявить, что большинство пунктов вашего приказа мы еще не выполнили, перед нами еще стоит очень большая и очень серьезная работа. Мы, политработники, вникая в детали хозяйственного дела, воспитывая и контролируя работу хозяйственных аппаратов, безусловно, решение ЦК и СНК выполним. Вот о чем я хотел доложить.</w:t>
      </w:r>
    </w:p>
    <w:p w14:paraId="557AE5C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135.</w:t>
      </w:r>
    </w:p>
    <w:p w14:paraId="66CCD6B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Товарищи, вопрос, который поставлен перед нами т. Косичем, является несколько необычным. Он несколько режет ухо потому, что мы не привыкли слушать о таких вопросах, как обозно-вещевое довольствие. Забыли про это дело. Партия, правительство и нарком обороны в свое время нам указали на это. Указали не просто так, а велели, чтобы наш тыл работал, как самые лучшие часы с прекрасным механизмом.</w:t>
      </w:r>
    </w:p>
    <w:p w14:paraId="5B56B7E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 вот когда мы после решения партии и приказа наркома впервые начинаем обсуждать этот вопрос на Военном совете — этот вопрос как-то все еще, видимо, режет ухо некоторым товарищам. Некоторые товарищи считают, что т. Косич, выступая здесь, будто бы «берет в оборот» людей. Верно, что т. Косич ставит вопрос очень резко и смело, но я считаю это правильным. Тов. Косич берется за дело по-настоящему. Мне, как инспектору кавалерии, с обозно-вещевым довольствием как будто бы и не приходится соприкасаться, но мы нашли уже большой контакт в работе.</w:t>
      </w:r>
    </w:p>
    <w:p w14:paraId="28DAB97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А седла?</w:t>
      </w:r>
    </w:p>
    <w:p w14:paraId="6A09F72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Ну, седла. Тут не в одних седлах дело. А дело в том, что мы ничем не занимались — ни седлами, ни штанами, ни кухней, ни обозом. Маршал Советского Союза т. Тухачевский говорил здесь о том, что у нас и упряжь на 30% сносилась. Почему она своевременно не починяется? Потому что мы с вами не занимались этим делом. А теперь мы должны этим заняться. Мы должны понять, что без правильно действующего тыла, работающего как часы, обойтись мы не сможем. Это недопустимо. Если мы даже в оперативно-тактическом отношении будем грамотны, но останемся неграмотными в вопросах снабжения, то все равно провалимся. Я не думаю, чтобы кто-нибудь мог доказывать обратное. Армия без тыла действовать не может. Без довольствующих органов и без их прекрасной четкой работы и организации армия небоеспособна. Что же тут доказывать? Вопрос ясен.</w:t>
      </w:r>
    </w:p>
    <w:p w14:paraId="1B5C573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lastRenderedPageBreak/>
        <w:t>Тов. Косич горячо берется за дело, и все мы должны всемерно ему помочь. Тогда и преодолеем трудности в вопросах снабжения и тыла. Климент Ефремович, я должен доложить, что некоторые начальники считают, что их части разуты процентов на 30 — все изношено, чинят себе штаны, шинели. И наряду с этим некоторые товарищи пытаются доказать, что надо изменить сроки носки вещевого довольствия: сапог, шаровар, шинелей. Это бьшо бы неправильным. Почему нельзя устанавливать новые сроки носки? Да потому, что наша армия не только расширилась количественно, но и принимает участие в строительстве, поэтому все вещи снашиваются быстрее. Кроме того, армия занимается и боевой подготовкой. Можно ли после этого устанавливать какие-то новые сроки носки вещам? Нельзя.</w:t>
      </w:r>
    </w:p>
    <w:p w14:paraId="408B632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Если вы хотите проверить сроки носки, то надо выделить какую-нибудь часть, которая находится в нормальных условиях, занимается только боевой подготовкой и не принимает участия на стройке. Но пока наша армия будет заниматься строительством, она будет преждевременно снашивать обмундирование. Разумеется, что мы должны это учитывать и на работы бойцам нужно выдавать рабочую одежду. При этом положении мы сможем сохранить обмундирование в частях либо придется давать дополнительно вещевое довольствие частям.</w:t>
      </w:r>
    </w:p>
    <w:p w14:paraId="3E66A3A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хотел остановить внимание товарищей на вопросе вьюков. Не знаю, как давно этот вопрос возник, но этот вопрос о вьюках, мне кажется, стоит достаточно давно. Однако только сейчас он впервые получил свое разрешение, и должен сказать, что благодаря той же настойчивости и энергии т. Косича. Казалось бы, т. Косич — начальник Управления обозно-вещевого, а Буденный — инспектор кавалерии, что тут общего? А мы с ним вместе создали комиссию с участием Инспекции кавалерии, которая сидит 25 дней в Закавказье, под председательством т. Зотова, с участием ряда товарищей, с представителями Обозно-вещевого управления, и проверяет вьюки. Из 18 вьюков уже проверили 17 вьюков.</w:t>
      </w:r>
    </w:p>
    <w:p w14:paraId="02A1467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 основном эти вьюки идут для кавалерии. Ваша тут большая доля. И это ваше дело. Вам, как инспектору кавалерии, прежде всего надлежит этим делом заниматься. Вы это делаете, и прекрасно.</w:t>
      </w:r>
    </w:p>
    <w:p w14:paraId="0019F6D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Я и не думал хвастать, я просто отметил, что мы занялись этим делом и что теперь оно сдвинулось с мертвой точки.</w:t>
      </w:r>
    </w:p>
    <w:p w14:paraId="7F1E556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Так вот я докладываю, что сейчас впервые вьюки начинают проверяться, испытываться и входят в жизнь нашей Красной армии. Это очень важно, потому что наша Рабоче-крестьянская Красная армия очень сильно нуждается во вьюках, особенно в горах. 18 вьюков уже прошли испытание на 280 км в горах, и надо сказать, что не было ни одного побоя, ни одной наминки у лошадей. Только один вьюк — санитарный — не был принят. Причем, надо вам сказать, что мы еще здесь с т. Барановым его забраковали. Он оказался таким, что с него раненые будут падать. Теперь предстоит испытание еще 20 вьюков. Те, которые приняты, — не знаю, будут ли они утверждены, — но все документы и люди подтверждают, что мы можем приступить в 1936 г. к массовому их изготовлению.</w:t>
      </w:r>
    </w:p>
    <w:p w14:paraId="49BEC74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Баранов.</w:t>
      </w:r>
      <w:r w:rsidRPr="00E14102">
        <w:rPr>
          <w:color w:val="000000" w:themeColor="text1"/>
          <w:sz w:val="16"/>
          <w:szCs w:val="16"/>
        </w:rPr>
        <w:t xml:space="preserve"> Обязательно нужно начать делать, и побольше.</w:t>
      </w:r>
    </w:p>
    <w:p w14:paraId="36EF8B3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Буденный.</w:t>
      </w:r>
      <w:r w:rsidRPr="00E14102">
        <w:rPr>
          <w:color w:val="000000" w:themeColor="text1"/>
          <w:sz w:val="16"/>
          <w:szCs w:val="16"/>
        </w:rPr>
        <w:t xml:space="preserve"> Совершенно правильно, нужно побольше дать заказ на эти вьюки. Тут некоторые товарищи выступали и говорили о том, что главное затруднение в том, что нет кадров и что это не дает возможности организовать ремонт. Я не спорю, от кадров зависит многое. Но, товарищи, если бы мы думали так, что если нет кадров, мы ничего делать не можем, то тогда бы и нашей революции не было бы. Ведь это меньшевики так рассуждали, например Либер</w:t>
      </w:r>
      <w:hyperlink r:id="rId320" w:anchor="_ftn8" w:history="1">
        <w:r w:rsidRPr="00E14102">
          <w:rPr>
            <w:rStyle w:val="a4"/>
            <w:color w:val="000000" w:themeColor="text1"/>
            <w:sz w:val="16"/>
            <w:szCs w:val="16"/>
          </w:rPr>
          <w:t>[8]</w:t>
        </w:r>
      </w:hyperlink>
      <w:r w:rsidRPr="00E14102">
        <w:rPr>
          <w:color w:val="000000" w:themeColor="text1"/>
          <w:sz w:val="16"/>
          <w:szCs w:val="16"/>
        </w:rPr>
        <w:t>, а тт. Ленин и Сталин самым решительным образом против этого оппортунизма протестовали, что будто бы революцию нельзя начинать, потому что нет кадров. Это меньшевистская точка зрения, с которой наша партия всегда боролась и борется. Мы знаем, что Ленин всегда нас учил и т. Сталин учит, что кадры там, где есть советская власть, где есть коммунистическая партия. Это нам всем нужно твердо помнить. Вот и все.</w:t>
      </w:r>
    </w:p>
    <w:p w14:paraId="1EBBAA9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136.</w:t>
      </w:r>
    </w:p>
    <w:p w14:paraId="208B7FB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Федько.</w:t>
      </w:r>
      <w:r w:rsidRPr="00E14102">
        <w:rPr>
          <w:color w:val="000000" w:themeColor="text1"/>
          <w:sz w:val="16"/>
          <w:szCs w:val="16"/>
        </w:rPr>
        <w:t xml:space="preserve"> В этом году мы значительно двинули работу по приведению в порядок обоза и вещевого довольствия. Но можно ли сказать, что после постановления Центрального Комитета нашей партии и приказа народного комиссара мы имеем уже решительный перелом? Я бы этого не сказал. Я считаю, что мы добьемся тогда перелома, когда проведем огромную воспитательную работу среди нашего начальствующего состава и красноармейцев, когда мы приучим красноармейца и командира к культурному, бережному отношению к народному достоянию. Я тоже мог бы привести по Приморской группе целый ряд фактов, говорящих о том, что как будто на первый взгляд мы добились перелома — привели вещевые склады в порядок и т.д. Но всего этого явно недостаточно.</w:t>
      </w:r>
    </w:p>
    <w:p w14:paraId="22AFD07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Самое важное, что необходимо сделать, — это перевоспитать красноармейца и командира. Возьмем обмундирование нашего красноармейца и уход за обувью. Здесь ставится вопрос о том, что сроки недостаточны, что существующие сроки для носки обуви малы. Я отчасти с этим согласен в отношении Приморья. Но должен сказать, что длительность сроков носки в значительной степени будет зависеть от ухода за обувью. В первую очередь нужно крепко поработать над тем, как организовать по-настоящему уход за обувью. Нужно использовать и развернуть творческую рационализаторскую мысль красноармейца, хозяйственника и командира. Мы еще не воспитали у красноармейца и командира культурного, хозяйского и бережного отношения к народному достоянию. Эту задачу я считаю главнейшей. Говорить так, что мы уже добились перелома, что в этой области половину дела мы сделали, как здесь говорил т. Векличев, — это будет неверно. Нам придется еще много поработать для того, чтобы по-настоящему, по-большевистски разрешить задачу, которую поставил перед нами Центральный Комитет нашей партии и народный комиссар.</w:t>
      </w:r>
    </w:p>
    <w:p w14:paraId="4DDE6E6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Но сделано ведь много?</w:t>
      </w:r>
    </w:p>
    <w:p w14:paraId="693D5BB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Федько.</w:t>
      </w:r>
      <w:r w:rsidRPr="00E14102">
        <w:rPr>
          <w:color w:val="000000" w:themeColor="text1"/>
          <w:sz w:val="16"/>
          <w:szCs w:val="16"/>
        </w:rPr>
        <w:t xml:space="preserve"> Сделано, но этого недостаточно.</w:t>
      </w:r>
    </w:p>
    <w:p w14:paraId="71F3C16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Основная задача заключается в перевоспитании людей, в том, чтобы воспитать хозяйское отношение к народному достоянию, которое доверила нам страна.</w:t>
      </w:r>
    </w:p>
    <w:p w14:paraId="2F4FBBC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хотел бы поднять еще вопросы, относящиеся к жизни войск Приморской группы. У нас очень плохо обстоит дело с эксплуатацией обоза. Мы в течение целого года вынуждены эксплуатировать колесный транспорт. Снега у нас не бывает. Для того чтобы обеспечить нормальную жизнь частей, необходима регулярная работа колесного транспорта. Между тем количество колесного транспорта по штату мирного времени не позволяет обеспечить своевременный подвоз всего необходимого для жизни частей. И зачастую командиры вынуждены, вопреки всем приказам, использовать для текущих нужд обоз НЗ. С этим пришлось вести самую решительную борьбу, вплоть до того, что на все повозки НЗ поставили пломбы. Но это не выход из положения. И я, т. народный комиссар, особенно ходатайствую перед вами о пересмотре штатов мирного времени в войсковых частях Приморской группы, потому что 18 повозок, положенных по штату мирного времени на полк, ни в какой степени не обеспечивают текущих нужд частей. На стороне же достать обоз мы не имеем никакой возможности. При поддержке т. Косича я вынужден пойти на организацию ремонтно-обозного завода. Сейчас организуется в Ворошилове обозная мастерская с расчетом строить 300 повозок ежемесячно.</w:t>
      </w:r>
    </w:p>
    <w:p w14:paraId="20E2901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Егоров.</w:t>
      </w:r>
      <w:r w:rsidRPr="00E14102">
        <w:rPr>
          <w:color w:val="000000" w:themeColor="text1"/>
          <w:sz w:val="16"/>
          <w:szCs w:val="16"/>
        </w:rPr>
        <w:t xml:space="preserve"> Напрасно вы строите в Ворошилове.</w:t>
      </w:r>
    </w:p>
    <w:p w14:paraId="2EBE85F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Федько.</w:t>
      </w:r>
      <w:r w:rsidRPr="00E14102">
        <w:rPr>
          <w:color w:val="000000" w:themeColor="text1"/>
          <w:sz w:val="16"/>
          <w:szCs w:val="16"/>
        </w:rPr>
        <w:t xml:space="preserve"> Это единственный выход для нас.</w:t>
      </w:r>
    </w:p>
    <w:p w14:paraId="5E25423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Второй вопрос. Мы очень нуждаемся в палатках. Я просил бы в первую очередь обеспечить нас палатками. В летний период непрерывно идут дожди, и это отражается на ходе боевой подготовки и на сбережении обмундирования.</w:t>
      </w:r>
    </w:p>
    <w:p w14:paraId="566B409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Последний вопрос. У нас довольно значительное количество войск, находящихся в укрепленных районах.</w:t>
      </w:r>
    </w:p>
    <w:p w14:paraId="6B9A4C5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Тов. Гамарник в свое время ставил вопрос о необходимости снабжения пулеметчиков УР спецобмундированием, которым приходится все время иметь дело с машинами, маслом и т.д.</w:t>
      </w:r>
    </w:p>
    <w:p w14:paraId="197014E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137.</w:t>
      </w:r>
    </w:p>
    <w:p w14:paraId="7BDFA83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Шестаков.</w:t>
      </w:r>
      <w:r w:rsidRPr="00E14102">
        <w:rPr>
          <w:color w:val="000000" w:themeColor="text1"/>
          <w:sz w:val="16"/>
          <w:szCs w:val="16"/>
        </w:rPr>
        <w:t xml:space="preserve"> Во исполнение решения Центрального Комитета и приказа народного комиссара о войсковом хозяйстве у нас в округе тоже была проделана большая работа. Были проверены все склады. К моменту получения постановления ЦК и приказа народного комиссара у нас в округе проходили сборы помполитов полков по марксистско-ленинской подготовке. Мы использовали эти сборы и послали помполитов полков на все окружные и войсковые склады. Надо сказать, что эти люди, проработав 15 дней, проделали огромнейшую работу. Навели порядок. Сейчас я перед отъездом сюда осматривал ряд складов. В сравнении с тем, что было раньше, имеется огромное улучшение. Имущество разложено по порядку, везде таблички, склады чистые. Сейчас в хозяйственные аппараты подобрали очень неплохих людей. Командир полка т. Новоселов, вновь назначенный начальником обозно-вещевого снабжения, работу повел совершенно по-иному. При проверке обнаружили на некоторых складах совершенно чужих, враждебных людей. Их выгнали. Сейчас продолжаем подбирать лучших, наиболее проверенных людей.</w:t>
      </w:r>
    </w:p>
    <w:p w14:paraId="4E45BAF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Но если бы мы сказали, что у нас все дело сделано, что беспокоиться незачем, это была бы неправда. Перелом есть, внимание на вопросах хозяйства сосредоточено. Это верно. Но предстоит огромная работа, чтобы это дело закрепить. Прежде всего надо много поработать политработникам. Я считаю, что главная задача политработы по обеспечению хорошего хозяйственного состояния заключается сейчас именно в том, о чем говорил и Иван Федорович Федько — добиться наконец того, чтобы боец действительно по-настоящему, любовно относился и к штанам, и к гимнастерке, и к сапогам, как к действительному социалистическому имуществу. Добились ли мы этого? По-моему, еще не добились. Небрежности, всякой невнимательности еще сколько угодно.</w:t>
      </w:r>
    </w:p>
    <w:p w14:paraId="6423A14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Поэтому главнейшая задача заключается в том, чтобы действительно красноармейца научить относиться бережно хранить свое обмундирование и обувь. Собирали мы всех политработников складов к себе в Читу после проверки складов. И когда я стал проверять, знают ли они всю механику складского дела, обнаружилось, что весьма слабо знают или совсем не знают. Если политработники будут произносить много речей и не будут знать всей механики работы склада, не сумеют проверить бухгалтера, то ни о какой положительной работе говорить не придется. Поэтому мы сейчас заставили всех политработников, политруков и военкомов и помполитов новых, которых сейчас ввели по приказу народного комиссара по целому ряду складов, где их раньше не бьшо, в определенные сроки все это изучить. Мало этого, через два месяца начнем принимать от них зачеты. Перед отъездом я проверял двоих. Можно бьшо видеть, как они сидят, корпят, но изучают внутрискладское дело.</w:t>
      </w:r>
    </w:p>
    <w:p w14:paraId="45EEF61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Правильно делают.</w:t>
      </w:r>
    </w:p>
    <w:p w14:paraId="7B62926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Шестаков.</w:t>
      </w:r>
      <w:r w:rsidRPr="00E14102">
        <w:rPr>
          <w:color w:val="000000" w:themeColor="text1"/>
          <w:sz w:val="16"/>
          <w:szCs w:val="16"/>
        </w:rPr>
        <w:t xml:space="preserve"> Что же дальше предстоит сделать? Ясно, что ослаблять внимание к вопросам хозяйства нельзя. Если мы будем считать, что дело сделано, что все закончено, мы наделаем немало ошибок.</w:t>
      </w:r>
    </w:p>
    <w:p w14:paraId="0F97B4B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Большим вопросом является ежедневная проверка. Мы много говорим о том, чтобы младший командир ежедневно осматривал красноармейца. А делается ли это везде? Там, где хороший командир и хороший политработник, там осматривают. Но во многих частях утреннего осмотра не бывает, а если и бывает, то формальный. </w:t>
      </w:r>
      <w:r w:rsidRPr="00E14102">
        <w:rPr>
          <w:color w:val="000000" w:themeColor="text1"/>
          <w:sz w:val="16"/>
          <w:szCs w:val="16"/>
        </w:rPr>
        <w:lastRenderedPageBreak/>
        <w:t>К вопросам политработы это имеет самое близкое касательство. Понятно, что если в ближайшее же время мы добьемся, что утренний ежедневный осмотр станет обязательным и высококачественным, несомненно, с обмундированием дело будет лучше.</w:t>
      </w:r>
    </w:p>
    <w:p w14:paraId="49FD946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заключение остановлюсь на нескольких вопросах, касающихся Забайкалья. Во-первых, нас обязательно нужно было бы, и как можно скорее снабдить подвижными автомастерскими — сапожными, шорно-седельными и т.д. Во-вторых, нам надо больше давать теплой обуви, валенок. В-третьих, мне кажется, что надо снабжать папахами и башлыками части тех округов, где бывают весьма сильные морозы. И, наконец, нужны меховые рукавицы и для кавалеристов какие-то теплые рейтузы.</w:t>
      </w:r>
    </w:p>
    <w:p w14:paraId="2032C97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137.</w:t>
      </w:r>
    </w:p>
    <w:p w14:paraId="576703B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Амелин.</w:t>
      </w:r>
      <w:r w:rsidRPr="00E14102">
        <w:rPr>
          <w:color w:val="000000" w:themeColor="text1"/>
          <w:sz w:val="16"/>
          <w:szCs w:val="16"/>
        </w:rPr>
        <w:t xml:space="preserve"> Решением Центрального Комитета и приказом вашим, т. народный комиссар, были поставлены определенные задачи по вопросам вещевого довольствия и продовольствия. На совещании особенно крепко тогда попало нам, политическим руководителям, партийным руководителям. Мы, видимо, тогда еще даже не совсем себе представили, насколько далеко отошли от вопросов материального обеспечения войск. Когда вернулись с совещания, получили ваш приказ, решение ЦК, посмотрели как следует на работу по материальному обеспечению войск и увидели, что мы, политработники, партийные руководители, действительно вопросам материального обеспечения частей уделяем очень мало внимания.</w:t>
      </w:r>
    </w:p>
    <w:p w14:paraId="260558A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Чем занялись в первую очередь? Мы посмотрели людей, кто работает на складах. Многих уволили, перевели, заменили. Сейчас это дело самым тщательным образом изучаем. Мы занялись и вопросом охраны складов. Нашли много недостатков. Каждый склад огородили проволочным заграждением, поставили заборы. Большинство складов подготовили к переходу на окарауливание воинскими частями. Наши склады имеют сейчас электрическое освещение, телефонизированы, внутри благоустроены и держатся в надлежащем порядке.</w:t>
      </w:r>
    </w:p>
    <w:p w14:paraId="3626866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Главное — нужно было сделать перелом в сознании людей. Мы собрали всех начальников складов, самым тщательным образом поговорили с ними по складским вопросам. Мы использовали сборы комиссаров полков, секретарей и на этих сборах проработали с ними положение о войсковом хозяйстве. Это в значительной мере помогло помполитам частей более конкретно заниматься вопросами хозяйства. Сейчас командиры, политические работники и партийные организации уделяют, бесспорно, значительно больше внимания хозяйству. У хозяйственных работников чувство ответственности к хозяйству выросло. Перелом несомненен, но он еще далеко не достаточен. На маневрах во всех частях ремонт сапог, починка обмундирования и подготовка обоза были проведены хорошо. Сейчас у каждого красноармейца имеются иголка, нитки, и он бережно относится к народному имуществу.</w:t>
      </w:r>
    </w:p>
    <w:p w14:paraId="7EFE52A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хочу привести несколько примеров того, как помполиты частей стали заниматься вопросами хозяйственного порядка. Вот например, помполит части 1477 пишет: «Бойцы бережно относятся к обмундированию и особенно к сохранению сапог, своевременно их смазывают. При обнаружении недостатков в сапогах или обмундировании обращаются в мастерские. Мастерские медлили с ремонтом, не хватало инструментов и мастеров. Приняли меры, нашли инструмент, нашли мастеров. Сейчас своевременно справляются с ремонтом и сапог, и обмундирования».</w:t>
      </w:r>
    </w:p>
    <w:p w14:paraId="7DB52CC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Другое письмо. Помполит 8-го кавполка пишет: «Имущество рассортировано, требующее ремонта — отремонтировано, хранение и учет приведены в порядок, проведен мелкий текущий ремонт. За счет внутренних ресурсов полка построены хорошие навесы для обоза. Продукты периодически освежаются. Обоз приведен в порядок и хранится удовлетворительно. Склады и кладовые в порядке». Вот еще письмо: «Все имущество, все запасы тщательно проверены. Запасные части к пулеметам, боеприпасы и другие предметы прочищены, смазаны и сложены в порядке. Учет разделен по отдельным довольствиям». И таких писем и решений парторганизаций у нас имеется целый ряд. О чем это говорит? Это говорит о том, что если раньше делом хозяйства политотдела дивизии, помполиты полков, парторганизации войсковых частей не занимались, то сейчас этому делу они уделяют много внимания. Можно прямо сказать, что значительная часть партийных организаций вплотную подошли к вопросам материального обеспечения частей.</w:t>
      </w:r>
    </w:p>
    <w:p w14:paraId="2A83A7F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Тов. Косич послал упрек Киевскому округу за то, что якобы мы имели починочный материал на 60 000 пар сапог, а сапог не чиним, и что мы имели сотни тысяч пар перчаток, а красноармейцам их не выдавали.</w:t>
      </w:r>
    </w:p>
    <w:p w14:paraId="17D0325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Оба эти упрека несправедливы. Во-первых, обувь мы отремонтировали в мастерских частей значительно больше 60 000 пар, но все дело в том, что обуви красноармейцам не хватает. Много сапог недополучили. Перчаток выдавать не могли, так как до окончания учета выдача была запрещена. Во многих частях мы не можем сотнями выводить бойцов на занятия из-за отсутствия сапог.</w:t>
      </w:r>
    </w:p>
    <w:p w14:paraId="2928B5A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конце я обращаюсь с просьбой и предложением — обувь выдавать своевременно и в положенных количествах. Качество обмундирования и обуви надо улучшить.</w:t>
      </w:r>
    </w:p>
    <w:p w14:paraId="19CDDDC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138.</w:t>
      </w:r>
    </w:p>
    <w:p w14:paraId="09C0E1ED" w14:textId="77777777" w:rsidR="006161A5" w:rsidRPr="00E14102" w:rsidRDefault="00E14102" w:rsidP="00E14102">
      <w:pPr>
        <w:pStyle w:val="rtejustify"/>
        <w:spacing w:before="0" w:after="0"/>
        <w:rPr>
          <w:color w:val="000000" w:themeColor="text1"/>
          <w:sz w:val="16"/>
          <w:szCs w:val="16"/>
        </w:rPr>
      </w:pPr>
      <w:hyperlink r:id="rId321" w:anchor="_ftnref1" w:history="1">
        <w:r w:rsidR="006161A5" w:rsidRPr="00E14102">
          <w:rPr>
            <w:rStyle w:val="a4"/>
            <w:color w:val="000000" w:themeColor="text1"/>
            <w:sz w:val="16"/>
            <w:szCs w:val="16"/>
          </w:rPr>
          <w:t>[1]</w:t>
        </w:r>
      </w:hyperlink>
      <w:r w:rsidR="006161A5" w:rsidRPr="00E14102">
        <w:rPr>
          <w:color w:val="000000" w:themeColor="text1"/>
          <w:sz w:val="16"/>
          <w:szCs w:val="16"/>
        </w:rPr>
        <w:t xml:space="preserve"> Приказ НКО СССР № 0059 от 14 августа 1935 г. с объявлением постановления СНК и ЦК ВКП(б) от 9.08.1935 г. № С-39сс о состоянии обозно-вещевого и продовольственного снабжения РККА; № 0060 от 14 августа 1935 г. о мероприятиях по упорядочению складов РККА; № 0145 от 14 августа 1935 г. о реорганизации военно-хозяйственного снабжения РККА и разделении Военно-хозяйственного управления РККА на два управления: Управление обозно-вещевого снабжения и Управление продовольственного снабжения.</w:t>
      </w:r>
    </w:p>
    <w:p w14:paraId="47A7E60A" w14:textId="77777777" w:rsidR="006161A5" w:rsidRPr="00E14102" w:rsidRDefault="00E14102" w:rsidP="00E14102">
      <w:pPr>
        <w:pStyle w:val="rtejustify"/>
        <w:spacing w:before="0" w:after="0"/>
        <w:rPr>
          <w:color w:val="000000" w:themeColor="text1"/>
          <w:sz w:val="16"/>
          <w:szCs w:val="16"/>
        </w:rPr>
      </w:pPr>
      <w:hyperlink r:id="rId322" w:anchor="_ftnref2" w:history="1">
        <w:r w:rsidR="006161A5" w:rsidRPr="00E14102">
          <w:rPr>
            <w:rStyle w:val="a4"/>
            <w:color w:val="000000" w:themeColor="text1"/>
            <w:sz w:val="16"/>
            <w:szCs w:val="16"/>
          </w:rPr>
          <w:t>[2]</w:t>
        </w:r>
      </w:hyperlink>
      <w:r w:rsidR="006161A5" w:rsidRPr="00E14102">
        <w:rPr>
          <w:color w:val="000000" w:themeColor="text1"/>
          <w:sz w:val="16"/>
          <w:szCs w:val="16"/>
        </w:rPr>
        <w:t xml:space="preserve"> Приказ НКО СС СР № 0190 от 1 октября 1935 г. с объявлением Инструкции по переучету обозно-вещевого имущества.</w:t>
      </w:r>
    </w:p>
    <w:p w14:paraId="0F30D62B" w14:textId="77777777" w:rsidR="006161A5" w:rsidRPr="00E14102" w:rsidRDefault="00E14102" w:rsidP="00E14102">
      <w:pPr>
        <w:pStyle w:val="rtejustify"/>
        <w:spacing w:before="0" w:after="0"/>
        <w:rPr>
          <w:color w:val="000000" w:themeColor="text1"/>
          <w:sz w:val="16"/>
          <w:szCs w:val="16"/>
        </w:rPr>
      </w:pPr>
      <w:hyperlink r:id="rId323" w:anchor="_ftnref3" w:history="1">
        <w:r w:rsidR="006161A5" w:rsidRPr="00E14102">
          <w:rPr>
            <w:rStyle w:val="a4"/>
            <w:color w:val="000000" w:themeColor="text1"/>
            <w:sz w:val="16"/>
            <w:szCs w:val="16"/>
          </w:rPr>
          <w:t>[3]</w:t>
        </w:r>
      </w:hyperlink>
      <w:r w:rsidR="006161A5" w:rsidRPr="00E14102">
        <w:rPr>
          <w:color w:val="000000" w:themeColor="text1"/>
          <w:sz w:val="16"/>
          <w:szCs w:val="16"/>
        </w:rPr>
        <w:t xml:space="preserve"> Дивинтендант В Ф, Федоров — начальник УОВС ЛВО.</w:t>
      </w:r>
    </w:p>
    <w:p w14:paraId="5F94DC80" w14:textId="77777777" w:rsidR="006161A5" w:rsidRPr="00E14102" w:rsidRDefault="00E14102" w:rsidP="00E14102">
      <w:pPr>
        <w:pStyle w:val="rtejustify"/>
        <w:spacing w:before="0" w:after="0"/>
        <w:rPr>
          <w:color w:val="000000" w:themeColor="text1"/>
          <w:sz w:val="16"/>
          <w:szCs w:val="16"/>
        </w:rPr>
      </w:pPr>
      <w:hyperlink r:id="rId324" w:anchor="_ftnref4" w:history="1">
        <w:r w:rsidR="006161A5" w:rsidRPr="00E14102">
          <w:rPr>
            <w:rStyle w:val="a4"/>
            <w:color w:val="000000" w:themeColor="text1"/>
            <w:sz w:val="16"/>
            <w:szCs w:val="16"/>
          </w:rPr>
          <w:t>[4]</w:t>
        </w:r>
      </w:hyperlink>
      <w:r w:rsidR="006161A5" w:rsidRPr="00E14102">
        <w:rPr>
          <w:color w:val="000000" w:themeColor="text1"/>
          <w:sz w:val="16"/>
          <w:szCs w:val="16"/>
        </w:rPr>
        <w:t xml:space="preserve"> Так в тексте.</w:t>
      </w:r>
    </w:p>
    <w:p w14:paraId="6CDC1322" w14:textId="77777777" w:rsidR="006161A5" w:rsidRPr="00E14102" w:rsidRDefault="00E14102" w:rsidP="00E14102">
      <w:pPr>
        <w:pStyle w:val="rtejustify"/>
        <w:spacing w:before="0" w:after="0"/>
        <w:rPr>
          <w:color w:val="000000" w:themeColor="text1"/>
          <w:sz w:val="16"/>
          <w:szCs w:val="16"/>
        </w:rPr>
      </w:pPr>
      <w:hyperlink r:id="rId325" w:anchor="_ftnref5" w:history="1">
        <w:r w:rsidR="006161A5" w:rsidRPr="00E14102">
          <w:rPr>
            <w:rStyle w:val="a4"/>
            <w:color w:val="000000" w:themeColor="text1"/>
            <w:sz w:val="16"/>
            <w:szCs w:val="16"/>
          </w:rPr>
          <w:t>[5]</w:t>
        </w:r>
      </w:hyperlink>
      <w:r w:rsidR="006161A5" w:rsidRPr="00E14102">
        <w:rPr>
          <w:color w:val="000000" w:themeColor="text1"/>
          <w:sz w:val="16"/>
          <w:szCs w:val="16"/>
        </w:rPr>
        <w:t xml:space="preserve"> Лившиц — начальник УОВС КВО.</w:t>
      </w:r>
    </w:p>
    <w:p w14:paraId="51D6EA20" w14:textId="77777777" w:rsidR="006161A5" w:rsidRPr="00E14102" w:rsidRDefault="00E14102" w:rsidP="00E14102">
      <w:pPr>
        <w:pStyle w:val="rtejustify"/>
        <w:spacing w:before="0" w:after="0"/>
        <w:rPr>
          <w:color w:val="000000" w:themeColor="text1"/>
          <w:sz w:val="16"/>
          <w:szCs w:val="16"/>
        </w:rPr>
      </w:pPr>
      <w:hyperlink r:id="rId326" w:anchor="_ftnref6" w:history="1">
        <w:r w:rsidR="006161A5" w:rsidRPr="00E14102">
          <w:rPr>
            <w:rStyle w:val="a4"/>
            <w:color w:val="000000" w:themeColor="text1"/>
            <w:sz w:val="16"/>
            <w:szCs w:val="16"/>
          </w:rPr>
          <w:t>[6]</w:t>
        </w:r>
      </w:hyperlink>
      <w:r w:rsidR="006161A5" w:rsidRPr="00E14102">
        <w:rPr>
          <w:color w:val="000000" w:themeColor="text1"/>
          <w:sz w:val="16"/>
          <w:szCs w:val="16"/>
        </w:rPr>
        <w:t xml:space="preserve"> Егоров.</w:t>
      </w:r>
    </w:p>
    <w:p w14:paraId="3CE0A152" w14:textId="77777777" w:rsidR="006161A5" w:rsidRPr="00E14102" w:rsidRDefault="00E14102" w:rsidP="00E14102">
      <w:pPr>
        <w:pStyle w:val="rtejustify"/>
        <w:spacing w:before="0" w:after="0"/>
        <w:rPr>
          <w:color w:val="000000" w:themeColor="text1"/>
          <w:sz w:val="16"/>
          <w:szCs w:val="16"/>
        </w:rPr>
      </w:pPr>
      <w:hyperlink r:id="rId327" w:anchor="_ftnref7" w:history="1">
        <w:r w:rsidR="006161A5" w:rsidRPr="00E14102">
          <w:rPr>
            <w:rStyle w:val="a4"/>
            <w:color w:val="000000" w:themeColor="text1"/>
            <w:sz w:val="16"/>
            <w:szCs w:val="16"/>
          </w:rPr>
          <w:t>[7]</w:t>
        </w:r>
      </w:hyperlink>
      <w:r w:rsidR="006161A5" w:rsidRPr="00E14102">
        <w:rPr>
          <w:color w:val="000000" w:themeColor="text1"/>
          <w:sz w:val="16"/>
          <w:szCs w:val="16"/>
        </w:rPr>
        <w:t xml:space="preserve"> Н.Д. Яковлев — командир артиллерийского полка ПриВО.</w:t>
      </w:r>
    </w:p>
    <w:p w14:paraId="10999C83" w14:textId="77777777" w:rsidR="006161A5" w:rsidRPr="00E14102" w:rsidRDefault="00E14102" w:rsidP="00E14102">
      <w:pPr>
        <w:pStyle w:val="rtejustify"/>
        <w:spacing w:before="0" w:after="0"/>
        <w:rPr>
          <w:color w:val="000000" w:themeColor="text1"/>
          <w:sz w:val="16"/>
          <w:szCs w:val="16"/>
        </w:rPr>
      </w:pPr>
      <w:hyperlink r:id="rId328" w:anchor="_ftnref8" w:history="1">
        <w:r w:rsidR="006161A5" w:rsidRPr="00E14102">
          <w:rPr>
            <w:rStyle w:val="a4"/>
            <w:color w:val="000000" w:themeColor="text1"/>
            <w:sz w:val="16"/>
            <w:szCs w:val="16"/>
          </w:rPr>
          <w:t>[8]</w:t>
        </w:r>
      </w:hyperlink>
      <w:r w:rsidR="006161A5" w:rsidRPr="00E14102">
        <w:rPr>
          <w:color w:val="000000" w:themeColor="text1"/>
          <w:sz w:val="16"/>
          <w:szCs w:val="16"/>
        </w:rPr>
        <w:t xml:space="preserve"> М .И. Либер (Гольдман) — бундовец, меньшевик.</w:t>
      </w:r>
    </w:p>
    <w:p w14:paraId="7015F945" w14:textId="77777777" w:rsidR="006161A5" w:rsidRPr="00E14102" w:rsidRDefault="006161A5" w:rsidP="00E14102">
      <w:pPr>
        <w:jc w:val="both"/>
        <w:rPr>
          <w:color w:val="000000" w:themeColor="text1"/>
          <w:sz w:val="16"/>
          <w:szCs w:val="16"/>
        </w:rPr>
      </w:pPr>
      <w:r w:rsidRPr="00E14102">
        <w:rPr>
          <w:color w:val="000000" w:themeColor="text1"/>
          <w:sz w:val="16"/>
          <w:szCs w:val="16"/>
        </w:rPr>
        <w:t>Источник: Военный совет при народном комиссаре обороны СССР. Декабрь 1935 г.: Документы и материалы. — М.: "РОССПЭН", 2008. С. 375-398 (12595).</w:t>
      </w:r>
    </w:p>
    <w:p w14:paraId="1608C84D" w14:textId="77777777" w:rsidR="006161A5" w:rsidRPr="00E14102" w:rsidRDefault="006161A5" w:rsidP="00E14102">
      <w:pPr>
        <w:jc w:val="both"/>
        <w:rPr>
          <w:color w:val="000000" w:themeColor="text1"/>
          <w:sz w:val="16"/>
          <w:szCs w:val="16"/>
        </w:rPr>
      </w:pPr>
    </w:p>
    <w:p w14:paraId="69F8EBBD" w14:textId="77777777" w:rsidR="006161A5" w:rsidRPr="00E14102" w:rsidRDefault="006161A5" w:rsidP="00E14102">
      <w:pPr>
        <w:jc w:val="both"/>
        <w:rPr>
          <w:color w:val="000000" w:themeColor="text1"/>
          <w:sz w:val="16"/>
          <w:szCs w:val="16"/>
        </w:rPr>
      </w:pPr>
      <w:r w:rsidRPr="00E14102">
        <w:rPr>
          <w:color w:val="000000" w:themeColor="text1"/>
          <w:sz w:val="16"/>
          <w:szCs w:val="16"/>
        </w:rPr>
        <w:t xml:space="preserve">11 декабря 1935 г. Стенограмма вечернего заседания </w:t>
      </w:r>
    </w:p>
    <w:p w14:paraId="0D78B39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Тов. народный комиссар, о значении продовольственного снабжения я докладывать не буду. Об этом очень ярко и отчетливо сказано в решениях ЦК ВКП(б) и правительства...</w:t>
      </w:r>
    </w:p>
    <w:p w14:paraId="6A8E59F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Это значение сразу познается. Не дадите завтра обедать — вас сразу поймут.</w:t>
      </w:r>
    </w:p>
    <w:p w14:paraId="721EDFE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...Ив ваших директивах правительство и Центральный Комитет, а затем и ваш приказ № 059 поставили перед Красной армией задачу привести дело продовольственного и фуражного снабжения в такое состояние, чтобы закон правительства об отпуске нам на целый год фондов по штатной численности нашей Красной армии, с обязательным отпуском войскам округов продовольствия на квартал и обязательным зачетом поквартально, выполнить.</w:t>
      </w:r>
    </w:p>
    <w:p w14:paraId="257F919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Для этого прежде всего нужно было привести в порядок и определить численность на 1936 г. Вы, т. народный комиссар, не так давно рассмотрели эту численность, и сейчас эти данные представлены в правительство. Наркоматы, которые снабжают нас, авансом отпустили уже фонды нам на 1-й квартал 1936 г., и на сегодня командующие войсками все, как правило, уже имеют точные данные, сколько войска округа получат продовольствия на 1-й квартал. Когда же я подошел к основному вопросу о том, каким образом засчитывать продовольствие в будущем 1936 г. поквартально, то, конечно, передо мной, т. народный комиссар, встала задача проверить состояние учета людей. Я вам должен доложить со всей ответственностью, что дело учета людей, которых мы обязаны кормить добросовестно и хорошо, поставлено, как правило, из рук вон плохо во всех штабах.</w:t>
      </w:r>
    </w:p>
    <w:p w14:paraId="2A00C8B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Причем я, как никто другой, встречаюсь с необходимостью точного учета людей, потому что рацион требует расчета на людей и на деньги. Я проверил данные на 3-й квартал и при отпуске продовольствия на 4-й квартал и докладываю: разница между численностью АМУ и штабов округов следующая: по Ленинградскому военному округу на 1,10 на 3287 чел. больше, чем данные АМУ. На 1,07 в этом же округе было 2246 чел., но это дело минувшее. В Киевском округе — больше, нежели по данным т. Вольпе.</w:t>
      </w:r>
    </w:p>
    <w:p w14:paraId="7B1FCD5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Какие же данные оказались верными?</w:t>
      </w:r>
    </w:p>
    <w:p w14:paraId="0E14A44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Я считаю, что окружные.</w:t>
      </w:r>
    </w:p>
    <w:p w14:paraId="48EED10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данном случае по этому округу были более верные данные, потому что данные собираются в округе и даются т. Вольпе.</w:t>
      </w:r>
    </w:p>
    <w:p w14:paraId="0CD6750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Ведь данные Вольпе те же, что и данные округа?</w:t>
      </w:r>
    </w:p>
    <w:p w14:paraId="1A53715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Вольпе пользуется данными округа.</w:t>
      </w:r>
    </w:p>
    <w:p w14:paraId="0E2F14F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Киевскому военному округу разница была на 4816 на 1.07 на 6438 на 1.10. Причем эта цифра в 4816 на 1.07 была официально подтверждена заместителем т. Вольпе и объяснена как недоучет людей по Киевскому военному округу. Об этом было послано сообщение начальнику штаба вверенного вам округа, т. Якир, с предложением наказать виновных. По ПриВО на 1,10 была разница на 819 чел. По Харьковскому округу на 1,12 все было в порядке, а на 1,07 — на 2865 чел. больше. По СКВО меньше на 1382 чел. по состоянию на 1 июля.</w:t>
      </w:r>
    </w:p>
    <w:p w14:paraId="3F44B1E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Здесь показывается меньшее количество, не фактическое, вы не сверяли?</w:t>
      </w:r>
    </w:p>
    <w:p w14:paraId="4968F6A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 Я</w:t>
      </w:r>
      <w:r w:rsidRPr="00E14102">
        <w:rPr>
          <w:color w:val="000000" w:themeColor="text1"/>
          <w:sz w:val="16"/>
          <w:szCs w:val="16"/>
        </w:rPr>
        <w:t xml:space="preserve"> пользуюсь данными округов.</w:t>
      </w:r>
    </w:p>
    <w:p w14:paraId="5ACA5BE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 чем тут дело?</w:t>
      </w:r>
    </w:p>
    <w:p w14:paraId="203559F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 Я</w:t>
      </w:r>
      <w:r w:rsidRPr="00E14102">
        <w:rPr>
          <w:color w:val="000000" w:themeColor="text1"/>
          <w:sz w:val="16"/>
          <w:szCs w:val="16"/>
        </w:rPr>
        <w:t xml:space="preserve"> считал, что нижестоящие штабы не успевают учитывать живых людей, а я же докладываю о наличном числе людей, а не штатном.</w:t>
      </w:r>
    </w:p>
    <w:p w14:paraId="39C9C59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А новобранцы тоже входят?</w:t>
      </w:r>
    </w:p>
    <w:p w14:paraId="0CAD9EF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Новобранцы тоже входят.</w:t>
      </w:r>
    </w:p>
    <w:p w14:paraId="7BB898F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lastRenderedPageBreak/>
        <w:t>Штабы округов, т. народный комиссар, обязаны учитывать живых людей поконкретнее, иначе кормить и сводить концы с концами я не могу успешно. Первое, что надо сделать, — это привести в порядок учет личного состава.</w:t>
      </w:r>
    </w:p>
    <w:p w14:paraId="73D1F64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Второй вопрос заключается в том, в каком состоянии находится учет всего продовольственного и фуражного добра. На 1 ноября во всех частях нашей Красной армии и во всех флотах был произведен полный переучет и снятие остатков. В результате я сейчас имею подробные данные о том, сколько во всей Красной армии и какого добра имеется. Причем одновременно были составлены так называемые внутренние отчеты за октябрь месяц. В войсках такие отчеты составляются за каждый месяц. По этим отчетам командир части может иметь отчетливое представление о своем аппарате и знать, в каком состоянии находится сам учет продфуража. Так вот, я могу доложить здесь, что, как правило, переучет проведен, остатки сняты, а отчеты за октябрь месяц, за редким исключением, — я лично дважды вызывал для личных докладов начальников отделов, — составлены, как правило, неудовлетворительно и в большинстве плохо. Все время разговаривают о приведении учета в порядок, но дело не двигается. Уперлись в полную безграмотность и бесконтрольность самого важного человека: делопроизводителя наших складов и учреждений. Я собрал в Московском гарнизоне этих делопроизводителей, часа 2—3 сидел с ними и убедился, что, если мы это звено сейчас не подтянем, не научим элементарной грамоте, как составлять отчеты и вести учет, мы, не будем иметь хороших результатов. Нужно этим звеном людей заняться как можно скорее и энергичнее.</w:t>
      </w:r>
    </w:p>
    <w:p w14:paraId="58E1F00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округам работа по переучету и по составлению внутренних отчетов выполнена с такими результатами: удовлетворительно в Киевском военном округе, Белорусском военном округе и Сибирском военном округе. Тов. Гайлит вправе такую оценку получить, потому что он и его люди в округе действительно очень много поработали. Удовлетворительно провели работу также Северо-Кавказский военный округ.</w:t>
      </w:r>
    </w:p>
    <w:p w14:paraId="6EC1846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Недостатков много еще.</w:t>
      </w:r>
    </w:p>
    <w:p w14:paraId="1101FB3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Московский военный округ, Уральский военный округ, Черное море. Безусловно, неудовлетворительно эту задачу выполнили: Ленинградский военный округ — причем я должен доложить здесь т. народному комиссару, что Ленинградский военный округ, несмотря на более благоприятные условия, — как ни один округ нуждается в большой работе по организации дела проверки складов и учета людей. Неудовлетворительно работают также Харьковский военный округ, Приволжский военный округ, Средне-Азиатский военный округ, Закавказье, Балтийский флот. Неудовлетворительно по учету и по составлению внутренних отчетов. Безусловно, плохо эту работу выполняют в ОКДВА и на Тихоокеанском флоте.</w:t>
      </w:r>
    </w:p>
    <w:p w14:paraId="140EB6F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Надо понять всю значимость этой работы. Я уже докладывал, что наш внутренний отчет отображает и учет людей, и расход за каждый месяц. Это основа всего, это своего рода зеркало. При этом я должен привести здесь такой факт. В середине или в начале ноября получаю телеграмму из ЛВО, что на 4-й квартал у них не хватает 3000 центнеров мяса. Так как мяса у меня не было, все было уже распланировано, я решил выяснить картину на месте. Послал туда Захарова, энергичного товарища, который мне на другой день телеграфирует, что свое требование ЛВО сократил до 150 т. Когда все это т. Захаров распутал, то оказалось, что ЛВО не только не надо было давать мяса, но что мясо округ должен был даже иметь в запасе.</w:t>
      </w:r>
    </w:p>
    <w:p w14:paraId="138DB04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У вас что-то математика хромает?</w:t>
      </w:r>
    </w:p>
    <w:p w14:paraId="3DB003A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По-моему, правильно, 300 т равно 3 тыс. центнеров.</w:t>
      </w:r>
    </w:p>
    <w:p w14:paraId="248A286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Третий вопрос — о питании. Это один из таких вопросов, который продолжает нас тревожить. Я должен подчеркнуть, что большую работу проделали командующие войсками по организации действительно хорошего питания красноармейцев, но, несмотря на это, мы все-таки имеем еще плохие результаты в этой области. Я хочу подчеркнуть, что у нас совершенно выпадает из поля нашего зрения и руководства сам процесс попадания продуктов в котел. Сплошь и рядом в котел попадают грязные, замусоренные продукты. Тут все дело в организации обработки продуктов. Дело это поставлено плохо. Бывает, что в пишу попадают всякого рода нечисти, даже черви.</w:t>
      </w:r>
    </w:p>
    <w:p w14:paraId="633C59A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 чем тут дело?</w:t>
      </w:r>
    </w:p>
    <w:p w14:paraId="1D48F10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Я получил сведения о недостаточно хорошей организации питания в Черноморском флоте. Послал туда Путныня, дав указания ему посмотреть, как готовится пища на кораблях. Пища действительно вкусная.</w:t>
      </w:r>
    </w:p>
    <w:p w14:paraId="12546A3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Редкое явление. На кораблях пища жирная, обильная, но невкусная. Пиша на кораблях ни в какое сравнение не может идти с пищей, которая дается Сухопутным войскам. Командный состав морских сил питается возмутительно плохо, хотя сама пища, как я сказал, обильная.</w:t>
      </w:r>
    </w:p>
    <w:p w14:paraId="4B7ADE4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Это морская традиция — побольше, но не вкусно.</w:t>
      </w:r>
    </w:p>
    <w:p w14:paraId="43AE02A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Я докладываю исходя из того, что мне сказал этот мною посланный товарищ.</w:t>
      </w:r>
    </w:p>
    <w:p w14:paraId="05A9086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А он во вкусах разбирается?</w:t>
      </w:r>
    </w:p>
    <w:p w14:paraId="40B5212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Понимает.</w:t>
      </w:r>
    </w:p>
    <w:p w14:paraId="7FC6A48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Хуже всего, что моряки сами не понимают и очень довольны своим положением.</w:t>
      </w:r>
    </w:p>
    <w:p w14:paraId="02A3699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К этому я хочу добавить, что на «Парижской коммуне» страшная грязь. Куски мяса везде разбросаны, камбуз замусорен, хлеб не убирался по 3 дня, мух исключительное количество. На одном из кораблей, «Игнатий Сергеев», между прочим, даже нашли червей в пище. Однако командиры, политработники и хозяйственники корабля на сигнал краснофлотцев о том, что попадаются в компоте, в кишмише, в хлебе черви, никакого внимания не обратили. Этот сигнал их ничему не научил. Товарищи, которые были туда направлены, нашли там полный беспорядок. То же самое на линейном корабле «Парижская коммуна» — все, что связано с хранением продуктов, с их предварительной обработкой, приготовлением на этом корабле находится в самом антисанитарном, антигигиеническом состоянии. Грязь везде невероятная.</w:t>
      </w:r>
    </w:p>
    <w:p w14:paraId="5216EB3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Вот еще очень красочный для нашей службы случай, т. народный комиссар. В 19-й дивизии в батальоне связи 17 сентября была коллективка. Прошло примерно полмесяца. Мы с т. Осепяном решили послать туда одного товарища посмотреть, как 19-я дивизия учла это большое политическое событие. В коллективке участвовало 40 чел., они отказались от приема пищи. Было установлено, что на месте никакого вывода из этого большого политического события не сделали. В этом батальоне вместе разделывалось мясо и рыба, причем рыба соленая и свежая. Вы себе представляете, когда в одном месте на одном столе свалены эти продукты — рыба и мясо, что из этого получается? Конечно, никакой доброкачественной пищи не приготовить. Однако это учтено не было даже после коллективки. В столовой невероятнейшая грязь. Питаются красноармейцы в две смены. Причем после первой смены столовая не убирается. Одна смена, поела, ушла, оставив после себя на столах объедки, обрезки хлеба, кости и т.д., приходит вторая смена и вынуждена за эту грязь садиться. Хранилища в этом батальоне были также в беспорядке. Причем самое главное, т. нарком, заключается в том, что пища, которая не была принята красноармейцами 17 сентября, была приготовлена из доброкачественных продуктов, но только невкусная — из рыбы трески, а, как вы знаете, треска требует специй, чтобы она была вкусной — нужно положить достаточное количество перца.</w:t>
      </w:r>
    </w:p>
    <w:p w14:paraId="544ABEF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И лаврового листа.</w:t>
      </w:r>
    </w:p>
    <w:p w14:paraId="528D626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Совершенно правильно, нужен и лавровый лист. А вот оказалось, что этих продуктов — перца и лаврового листа полтора месяца не было. Оттого и получилась невкусная пища, которую красноармейцы отказались принять. И надо оказать, что даже тогда, когда наши товарищи пришли в батальон, этих продуктов не было, а, между прочим, лавровый лист и перец наши склады имели.</w:t>
      </w:r>
    </w:p>
    <w:p w14:paraId="1505AEC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Очень мало в лучшую сторону отличается и 55-й полк. Там такая же довольно печальная картина. Чуть-чуть лучше в 19-м артполку.</w:t>
      </w:r>
    </w:p>
    <w:p w14:paraId="160E4D6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А врачи что делают?</w:t>
      </w:r>
    </w:p>
    <w:p w14:paraId="3DBC24B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Врачи? В бездеятельности в этом отношении виноваты и врачи. Если бы кто-нибудь проявил активность, такого рода безобразных случаев не было бы. Я докладываю вам об этом и считаю, что нам нужно обязательно в вопросах организации питания красноармейцев особенно подробно и тщательно заняться не только тем, как приготовить пищу, из каких продуктов, а направить свое внимание и на цейхаузы и склады, где хранятся продукты. Тут самое опасное, самое страшное. Как правило, рабочие на кухне грязные, рук не моют, причем сидят они в темных грязных кухнях, иногда без электрического света.</w:t>
      </w:r>
    </w:p>
    <w:p w14:paraId="75DA229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товарищи, докладываю об этом вопросе столь авторитетному собранию для того, чтобы нам это дело в ближайшее же время выправить самым решительным образом.</w:t>
      </w:r>
    </w:p>
    <w:p w14:paraId="4C6E53C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Теперь остановлюсь на складском хозяйстве. Склады, как правило, во всех округах и флотах были проверены; при этом и с точки зрения их мобилизационной готовности. Должен доложить, т. народный комиссар, что по мобилизационной готовности склады, за исключением 11-го, все имеют хвосты, большие или меньшие. У одного прикрытие плохое, у другого расчет на рабочую силу сделан неполно. Тут нужно обязательно что-то предпринять. Я буду просить, чтобы наши продовольственные склады были бы проверены еще раз в первом квартале 1936 г.</w:t>
      </w:r>
    </w:p>
    <w:p w14:paraId="3F90A71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Наша проверка обнаружила, например, что в 188-м складе в Свердловске не бьшо совершенно мобилизационного плана. Особенно тяжело с готовностью фронтовых и армейских учреждений.</w:t>
      </w:r>
    </w:p>
    <w:p w14:paraId="2B665D1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Об этом докладывал и начальник Генерального штаба, и т. Левичев выступал по этому поводу. Из 43 проверенных такого рода учреждений готовы к мобилизации только 19. Остальные можно считать не готовыми. Нет приписанных людей, а те, кто приписаны, сплошь безграмотные люди. Очень бедна и материальная часть. Тут надо прямо сказать, что мы стоим перед необходимостью в ближайшее время выправить фронтовые и армейские учреждения. Иначе наши мобилизационные расчеты, конечно, не выдержат критики.</w:t>
      </w:r>
    </w:p>
    <w:p w14:paraId="110D34D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Наши склады, и продовольственные, и фуражные, как правило, исключительно ветхи. Я уже не говорю про механизацию. В последнем квартале этого года на складское хозяйство было отпущено т. народным комиссаром 2,5 млн руб. На эти средства командующие войсками починили крышы, полы, кое-где сделали ограждения, кое-где перестелили полы. Этих денег мало на 70 с лишним складов. Причем в решении Центрального Комитета партии и правительства записано, что у нас не хватает мешковыбивалок. Когда я принял эту работу и проверил, то установил, что мешковыбивалки есть, но нет к ним моторов.</w:t>
      </w:r>
    </w:p>
    <w:p w14:paraId="42B1B40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На 1936 г. я составил расчет, правда, очень скромный расчет. Затем к этому времени подоспели соображения командующих войсками, и в результате всего этого мы сверстали план на новое строительство в 1936 г. на 27 млн. руб. по продовольственным складам, 25 млн. на новые склады и 2 с небольшим — на капитальный ремонт. </w:t>
      </w:r>
      <w:r w:rsidRPr="00E14102">
        <w:rPr>
          <w:color w:val="000000" w:themeColor="text1"/>
          <w:sz w:val="16"/>
          <w:szCs w:val="16"/>
        </w:rPr>
        <w:lastRenderedPageBreak/>
        <w:t>По неофициальным сведениям, я знаю, что эта сумма сокращена. Я просил бы, т. народный комиссар, эту сумму не сокращать. 27 млн руб. на строительство — это голодная цифра для очень ветхих наших продовольственных и фуражных складов.</w:t>
      </w:r>
    </w:p>
    <w:p w14:paraId="3654AE7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Затем, в этом году решением Центрального Комитета и правительства велено, чтобы мы построили обязательно холодильники в лагерях и крупных гарнизонах войск. Я этот подсчет сделал по голодной норме, и вышло, что нам нужно строить минимум 60—65 холодильников, примерно на 3 тыс. тонн для того, чтобы обеспечить холодильную площадь войскам, в том числе по Дальневосточной Красной армии — 8 холодильников небольшого объема. Это не означает, чтобы мы не строили большие холодильники.</w:t>
      </w:r>
    </w:p>
    <w:p w14:paraId="69B6B67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Егоров.</w:t>
      </w:r>
      <w:r w:rsidRPr="00E14102">
        <w:rPr>
          <w:color w:val="000000" w:themeColor="text1"/>
          <w:sz w:val="16"/>
          <w:szCs w:val="16"/>
        </w:rPr>
        <w:t xml:space="preserve"> На 1936 г. внесли?</w:t>
      </w:r>
    </w:p>
    <w:p w14:paraId="2183EBB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На 1936 г, 7 млн.</w:t>
      </w:r>
    </w:p>
    <w:p w14:paraId="5CF7CE6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Самые отстающие склады у нас все-таки по ОКДВА. Причем группа товарищей, которая ездила туда после решения ЦК нашей партии и правительства, установила очень большие беспорядки на складах, не связанные с объективным положением Краснознаменной Красной армии на Дальнем Востоке. Вот в 220-м складе все 11 хранилищ — а там прекрасные хранилища — заражены клещом, перешедшим на продукты. Стены и окна хранилищ были запылены, затянуты паутиной, территория двора захламлена, запущена, дорога была разъезжена, разбита. В 227-м складе пол исправный, в холодильнике была плесень, и он заражен грибком.</w:t>
      </w:r>
    </w:p>
    <w:p w14:paraId="29B66BA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Аронштам.</w:t>
      </w:r>
      <w:r w:rsidRPr="00E14102">
        <w:rPr>
          <w:color w:val="000000" w:themeColor="text1"/>
          <w:sz w:val="16"/>
          <w:szCs w:val="16"/>
        </w:rPr>
        <w:t xml:space="preserve"> Это от какого числа?</w:t>
      </w:r>
    </w:p>
    <w:p w14:paraId="564DF4B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Это точно, т. Аронштам. Я посылал Малышева. Он там сидел с 25 сентября по начало ноября и проверял все это. Стены и окна в этом складе в паутине, все заросли. Там есть хранилища и бурты. Так вот, между этими буртами все загажено человеческими испражнениями. Затем 137-й склад. Тоже очень плохо. 241-й склад. Они строят там в этом году новый склад. Ясно, что качество строительства может и должно быть хорошее. А там построили склады так, что сделали стены из горбылей, с большими щелями, пол уже сейчас прогнулся, потому что не рассчитан на нормальную тяжесть.</w:t>
      </w:r>
    </w:p>
    <w:p w14:paraId="07B2BA2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Стены засыпаны, что ли?</w:t>
      </w:r>
    </w:p>
    <w:p w14:paraId="6E9CF6B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Люди докладывали, что это не склад продовольственного добра, а это типичный сарай для сена. Представьте, т. народный комиссар, как можно сделать сарай для сена.</w:t>
      </w:r>
    </w:p>
    <w:p w14:paraId="16B17DF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Тов. Пашковский, вам известно что-нибудь об этом?</w:t>
      </w:r>
    </w:p>
    <w:p w14:paraId="3239F1C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Пашковский.</w:t>
      </w:r>
      <w:r w:rsidRPr="00E14102">
        <w:rPr>
          <w:color w:val="000000" w:themeColor="text1"/>
          <w:sz w:val="16"/>
          <w:szCs w:val="16"/>
        </w:rPr>
        <w:t xml:space="preserve"> Да.</w:t>
      </w:r>
    </w:p>
    <w:p w14:paraId="73FC331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Что это за стройка с горбылями? Там двойные стенки барачного типа?</w:t>
      </w:r>
    </w:p>
    <w:p w14:paraId="2D41834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Пашковский.</w:t>
      </w:r>
      <w:r w:rsidRPr="00E14102">
        <w:rPr>
          <w:color w:val="000000" w:themeColor="text1"/>
          <w:sz w:val="16"/>
          <w:szCs w:val="16"/>
        </w:rPr>
        <w:t xml:space="preserve"> Эти склады устроены дополнительно к утвержденным планам.</w:t>
      </w:r>
    </w:p>
    <w:p w14:paraId="455606F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А денег израсходовали столько, сколько стоят настоящие. Это легальное разбазаривание народных денег.</w:t>
      </w:r>
    </w:p>
    <w:p w14:paraId="1057341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Я, т. народный комиссар, буду просить, чтобы вы в особых своих указаниях по Дальнему Востоку дали директивы, чтобы склады на Дальнем Востоке были приведены в порядок. Сейчас есть все основания, чтобы на Дальнем Востоке это дело было поставлено образцово.</w:t>
      </w:r>
    </w:p>
    <w:p w14:paraId="7C7511F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Дальше, относительно кадров, служба продовольственного снабжения укомплектована в тех же процентах, как и докладывал т. Косич. Причем я тут обращаю внимание: имеется много рабочих, и есть достаточно коммунистов в тех людях, которыми укомплектована служба. Докладываю, что очень много людей, до 30% важных людей, совершенно без образования. Но надо подчеркнуть, что курсы, которые по решению начальника Генерального штаба Маршала Советского Союза т. Егорова решено сейчас создать по всей Красной армии, никак не решают дела с подготовкой кадров. Сейчас мы имеем до 15 тыс. всякого рода людей, в том числе поваров, а через курсы мы в состоянии подготовить только 2200 чел. Я прошу, чтобы в этом году нам разрешили в округах провести быстрые сборы, по две недели, по месяцу, чтобы пропустить максимальное количество людей через школы, хотя бы и с небольшим сроком обучения. Этим мы обеспечим себя мало-мальски грамотными людьми.</w:t>
      </w:r>
    </w:p>
    <w:p w14:paraId="323F2DD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Теперь разрешите, т. народный комиссар, остановиться на последнем вопросе — на обеспеченности. Я должен доложить, что войска по всем округам обеспечены. Запас, положенный иметь в мирное время, почти создан, за исключением, подчеркиваю, войск Дальнего Востока. И, безусловно, не в полном достатке овощи, хотя по овощам, т. Блюхер, этот год лучше прошлого. Однако полностью отказаться от сухих овощей и в будущем году, к сожалению, мы с вами не в состоянии.</w:t>
      </w:r>
    </w:p>
    <w:p w14:paraId="3CCF37F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хотел, т. народный комиссар, доложить относительно концентратов. Сейчас, по решению правительства и ЦК, мы обязаны концентраты изготовить и дать на утверждение специальный концентрированный продукт. На сегодня есть замечательный продукт, кроме консервов, замечательный соевый продукт, замечательный продукт каша гречневая в таблетках. К сожалению, их нельзя здесь попробовать. К 1.1.1936 г. мы в состоянии будем вам доложить, а затем войти в правительство об утверждении вида концентрированных продуктов. Я только прошу здесь определить, чтобы в 1936 г. мы 10-5 дивизий обязательно хотя бы раз в пятидневку пробовали кормить этими продуктами при напряженной боевой работе. В прошлом году с холодком отнеслись к этому вопросу, когда предлагали вареный хлеб. Сейчас большая необходимость все эти концентраты и вареный в кухне хлеб попробовать. Вместе с тем нужно подготовить кадры.</w:t>
      </w:r>
    </w:p>
    <w:p w14:paraId="74A235B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Тов. народный комиссар, продовольственная служба, как ни одна из других служб, нуждается в популярных, ярких плакатах и литературе. Нужно сейчас обязательно помочь нам в том, чтобы издать, товарищ заместитель народного комиссара, несколько плакатов.</w:t>
      </w:r>
    </w:p>
    <w:p w14:paraId="0DF4E3B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За этим дело не станет, это самое легкое дело.</w:t>
      </w:r>
    </w:p>
    <w:p w14:paraId="06D18D2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К сожалению, Ян Борисович, это самое трудное дело.</w:t>
      </w:r>
    </w:p>
    <w:p w14:paraId="30219DB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Заканчивая, т. народный комиссар, попрошу решить вопрос по пайку. Мы сейчас имеем такое положение, что до 8-й категории в армии командиры бесплатно получают паек.</w:t>
      </w:r>
    </w:p>
    <w:p w14:paraId="14AC28F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Это всем известно.</w:t>
      </w:r>
    </w:p>
    <w:p w14:paraId="2BAC10A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Перевести это на деньги, а начальствующий состав, работающий в поле, кормить из кухни.</w:t>
      </w:r>
    </w:p>
    <w:p w14:paraId="0308963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Может быть, вы скажете относительно освежения консервов?</w:t>
      </w:r>
    </w:p>
    <w:p w14:paraId="7B78706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Жильцов.</w:t>
      </w:r>
      <w:r w:rsidRPr="00E14102">
        <w:rPr>
          <w:color w:val="000000" w:themeColor="text1"/>
          <w:sz w:val="16"/>
          <w:szCs w:val="16"/>
        </w:rPr>
        <w:t xml:space="preserve"> План освежения консервов составлен, и в первом квартале 1936 г. все будет освежено. Разрешите на этом кончить.</w:t>
      </w:r>
    </w:p>
    <w:p w14:paraId="567C51B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138-141.</w:t>
      </w:r>
    </w:p>
    <w:p w14:paraId="7A57E2D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Ошлей.</w:t>
      </w:r>
      <w:r w:rsidRPr="00E14102">
        <w:rPr>
          <w:color w:val="000000" w:themeColor="text1"/>
          <w:sz w:val="16"/>
          <w:szCs w:val="16"/>
        </w:rPr>
        <w:t xml:space="preserve"> Я хочу доложить о том, каким образом МВО проводит в жизнь решения правительства и партии и приказы народного комиссара по военно-хозяйственному снабжению.</w:t>
      </w:r>
    </w:p>
    <w:p w14:paraId="18A5907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части системы снабжения аппарат создан не полностью. Нужно сказать, что хозяйственный аппарат значительно обновился, и сейчас среди хозяйственных работников немало людей, которые не знакомы с делом военно-хозяйственного снабжения. Задача заключается сейчас в основном в том, чтобы обучить эти кадры. Каким образом? Надо использовать тех местных работников, которые в этом деле понимают, и курсы, которые создаются в округах, для переподготовки. Правда, курсы эти рассчитаны на продолжительный срок — на 3-4 месяца. Таким образом, в течение года можно пропустить через них не больше 160 чел., и то старшие категории. Это, конечно, недостаточно. Мне кажется, что нужны будут краткосрочные сборы для того, чтобы обучать основную массу работников, которые ведут хозяйство. Для меня совершенно непонятно, почему такое невнимание к созданию таких курсов. Я получил проект приказа, который не утвержден, без хозотделения.</w:t>
      </w:r>
    </w:p>
    <w:p w14:paraId="22A420F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Теперь это утверждено.</w:t>
      </w:r>
    </w:p>
    <w:p w14:paraId="0D906CC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Ошлей.</w:t>
      </w:r>
      <w:r w:rsidRPr="00E14102">
        <w:rPr>
          <w:color w:val="000000" w:themeColor="text1"/>
          <w:sz w:val="16"/>
          <w:szCs w:val="16"/>
        </w:rPr>
        <w:t xml:space="preserve"> Чтобы научить, как вести хозяйство, во всяком случае на самих курсах, нужно иметь образцовое хозяйство. Только тогда люди могут научиться. Во-вторых, я считаю, что на курсах нужно обучить хозяйственников всей нашей военно-хозяйственной технике. Почему у нас плохо с питанием и вещевым имуществом? Просто потому, что хозяйственник-командир не знает, как пищевой продукт обрабатывается. Он не имеет основных понятий о приготовлении пищи. Считаю, что нужно и на окружных курсах добиваться, и на курсах усовершенствования при академии, чтобы начальствующий состав, работающий по снабжению, умел готовить пищу, хотя бы самые обыкновенные блюда, тогда он будет в состоянии исправлять и повара. Переучет имущества мы произвели по округу, но округ представил данные с опозданием. Это говорит о том, что недостаточно еще все удаляют внимание военно-хозяйственному снабжению.</w:t>
      </w:r>
    </w:p>
    <w:p w14:paraId="78A9129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округе имеется очень много частей, не подчиненных округу, и которые мы обязаны снабжать, но никакой меры воздействия по отношению к этим частям командующий не имеет права принимать. В этих частях находятся такие «вежливые» начальники, которые не просто говорят, что мы вам не подчинены, но которые, когда от них требуют сведений, отвечают, что «я не мог в срок представить потому, что был оперативно занят». Это, собственно, вежливая форма отказа дать сведения. Имущество же нужно отпускать своевременно. Из-за невнимательного отношения начальника нельзя оставить часть без продовольствия и вещснабжения.</w:t>
      </w:r>
    </w:p>
    <w:p w14:paraId="093AE29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Мобилизационные ведомости округа не представили потому, что их в округе еще не проверили. Представлять ведомости непроверенные нет смысла. Проверка ведомостей показала, что ряд даже штатных работников не умеют их составлять; хотя в них ясно указано, что нужно по каждой отдельной части представить. Представляют сводную ведомость по дивизии.</w:t>
      </w:r>
    </w:p>
    <w:p w14:paraId="33140D2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Организационный вопрос. Мне кажется, что вопрос о системе снабжения разрешен, в частности по МВО, наполовину, округ имеет много отдельных частей. Необходимо создание соответствующего аппарата, который должен контролировать, регулировать и проверять свои подчиненные части. Я считаю, что остается невыполненным соответствующий пункт постановления ЦИК и Совнаркома. Надо и в дальнейшем контролировать войсковые части, требовать от них заявок и проверять эти заявки. Сам окружной аппарат этого сделать будет не в состоянии. Я внес предложение — и поддерживаю его, — что необходимо создать хозяйственный аппарат при мобтерокругах.</w:t>
      </w:r>
    </w:p>
    <w:p w14:paraId="234A726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Тов. Косича этот вопрос как будто не интересует. Но я считаю, что это внесет большую точность, ибо весь хозяйственный план строится исключительно на краевых и областных планах. Дополнительный хозаппарат на местах нужно организовать скорее. Это улучшит снабжение и контроль. Управлять же сотнями частей невозможно.</w:t>
      </w:r>
    </w:p>
    <w:p w14:paraId="7A12D6D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lastRenderedPageBreak/>
        <w:t>По вопросу питания. Вопрос о питании имеет весьма серьезное значение и нуждается в большом внимании. Я не буду подробно останавливаться на этом вопросе постольку, поскольку все дело находится в наших руках и наладить его не так уж трудно. Вчера зам. наркома т. Тухачевский указывал, что красноармеец, нагруженный по норме, ему положенной, и без тренировки не в состоянии был пройти весь марш. Точно так же очень неприятное впечатление произвела на зам. наркома 17-я сд, которая в течение 5 дней была собрана по штатам военного времени. Ее снабдили имуществом, которое она должна иметь в военное время, и пустили на маневры. Сколоченной части не получилось. На зам. наркома она произвела нехорошее впечатление. Но если бы зам. народного комиссара т. Тухачевский проверил бы питание, то убедился бы, что с питанием у нас дело обстояло плохо. Когда проверили систему управления тыла в Кубинке, перевозка продуктов происходила не дальше КОПов и ДОПов. Живых людей не было. Как доходит готовая пища до красноармейца — проверено не было.</w:t>
      </w:r>
    </w:p>
    <w:p w14:paraId="3FC7F92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не имел возможности выступить по первому вопросу, но мне кажется, что в текущем году нужно провести, по крайней мере в двух округах, проверку того, как в нормальной боевой обстановке умеем организовывать питание бойцов.</w:t>
      </w:r>
    </w:p>
    <w:p w14:paraId="75AD1B5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Левичев.</w:t>
      </w:r>
      <w:r w:rsidRPr="00E14102">
        <w:rPr>
          <w:color w:val="000000" w:themeColor="text1"/>
          <w:sz w:val="16"/>
          <w:szCs w:val="16"/>
        </w:rPr>
        <w:t xml:space="preserve"> На маневрах производится.</w:t>
      </w:r>
    </w:p>
    <w:p w14:paraId="0CFF975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Ошлей.</w:t>
      </w:r>
      <w:r w:rsidRPr="00E14102">
        <w:rPr>
          <w:color w:val="000000" w:themeColor="text1"/>
          <w:sz w:val="16"/>
          <w:szCs w:val="16"/>
        </w:rPr>
        <w:t xml:space="preserve"> На маневрах все продовольствие создается за месяц в районах маневров. Для того чтобы страховать все варианты возможного оперативного решения, командиры страхуют пункты запасами продовольствия до 100%. Это не снабжение в действительно возможных условиях во время войны. Если мы боевую подготовку проверяем на маневрах, то питание мы в мирное время не проверяем. Мы должны пойти на известные затраты в текущем году и поставить практически это дело — организовать тыл, перевозки, и не иметь никаких заранее намеченных баз. Должны организовать склады, откуда снабжают на соответствующее расстояние, склады типа военного времени и проверить, как продукты дойдут до красноармейца, превращенные в хорошую пищу.</w:t>
      </w:r>
    </w:p>
    <w:p w14:paraId="445E262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Несколько слов о складском строительстве. Московский округ складов не имеет, но и на те склады, которые имеет, отпускаются небольшие средства. Нужно увеличить ассигнования на 1936 г. по складскому строительству и поскорее ввести штаты складов, которые были своевременно представлены и сейчас находятся в Генштабе на рассмотрении.</w:t>
      </w:r>
    </w:p>
    <w:p w14:paraId="6AEA3A1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Плохо дело с мобилизационной подготовкой складов только потому, что там счетные работники, которых сейчас дали, никуда не годятся. Вот делопроизводитель — сидит на продовольствии и на мобилизационном плане, а он еле-еле царапает, и естественно, что с работой не справляется. Если штаты не будут увеличены и не будет введен мобработник склада, трудно будет хорошо наладить работу.</w:t>
      </w:r>
    </w:p>
    <w:p w14:paraId="36C3B70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Пару слов о моей должности — должности помощника командующего войсками по материальному обеспечению. Эту должность из территориального положения надо перевести на кадровое. Чтобы можно было на деле обеспечить руководство материальным обеспечением частей, нужно дать инспекторов помощникам комвойск по материальному обеспечению. Имеются только 4 инспектора в отделах. Не могу я при помощи этих инспекторов проверять работу их же начальников.</w:t>
      </w:r>
    </w:p>
    <w:p w14:paraId="0D529C8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141-142.</w:t>
      </w:r>
    </w:p>
    <w:p w14:paraId="354BDE5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Гришин.</w:t>
      </w:r>
      <w:r w:rsidRPr="00E14102">
        <w:rPr>
          <w:color w:val="000000" w:themeColor="text1"/>
          <w:sz w:val="16"/>
          <w:szCs w:val="16"/>
        </w:rPr>
        <w:t xml:space="preserve"> После тех указаний, которые мы получили от народного комиссара обороны и от ЦК нашей партии, само собой разумеется, не могло не быть достижений в области ведения войскового хозяйства. Имеются достижения и у нас в Краснознаменном Балтийском флоте.</w:t>
      </w:r>
    </w:p>
    <w:p w14:paraId="3A9D1CF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должен доложить, что в области ведения хозяйства, как продовольственного, вещевого, шкиперского, так и по другим видам, у нас имеется большая разница по сравнению с округами. Если в пехотных частях имеются свои склады, где хранятся даже мобзапасы, то у нас на кораблях такого положения нет и быть не может. На кораблях имеется только запас для текущих надобностей. Все же остальное хранится в общих портовых складах. Поэтому нами было обращено главное и первоочередное внимание на приведение в порядок наших общевойсковых складов. Я должен вам доложить, что после совещания, которое было летом, мне лично пришлось проверить целый ряд складов, холодильников и т.п. в Кронштадте. А надо сказать, что в Кронштадте сосредоточено огромное большинство этих складов. Так вот, должен сознаться, мне стало стыдно за самого себя, что я раньше не побывал в них. В этих складах я обнаружил очень много больших и всяких недостатков.</w:t>
      </w:r>
    </w:p>
    <w:p w14:paraId="386C675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Прежде всего пришлось подумать и проверить, кому вверены эти склады, кто ведает хранением и сбережением продовольствия, вещевым имуществом, снаряжением и т.п. Когда же проверили этих людей, а их было немало — 790 с лишним человек, вольнонаемных и военнослужащих, оказалось большое засорение, особенно среди вольнонаемных. Пришлось нажимать на то, чтобы этим вопросом повседневно занимались политорганы и парторганизации. Между прочим, и у нас в Кронштадте не совсем нормально положение в том смысле, что вольнонаемные работники, работающие на складах, обслуживаются в партийном отношении районным комитетом партии.</w:t>
      </w:r>
    </w:p>
    <w:p w14:paraId="31C5AFB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здесь ставлю этот вопрос и буду просить при докладе т. Гамарника, чтобы нам при военных портах обязательно разрешили иметь хотя бы небольшой политотдел, чтобы иметь возможность обслуживать вольнонаемный и остальной народ, который работает на наших окладах. Это нам обязательно нужно.</w:t>
      </w:r>
    </w:p>
    <w:p w14:paraId="07F2553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Теперь остановлюсь на вопросе воспитания личного состава в духе сбережения государственного имущества и того имущества, которое ему дано по снабжению. У нас, во флоте, имеется некоторая разница по сравнению с Рабоче-крестьянской Красной армией. У нас каждый краснофлотец получает на год обмундирование, сколько ему положено, и оно является его собственностью. Предположим: 3 тельняшки, 3 форменки, брюки и т.д.</w:t>
      </w:r>
    </w:p>
    <w:p w14:paraId="76BC347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В прекрасном порядке.</w:t>
      </w:r>
    </w:p>
    <w:p w14:paraId="2D357B0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Гришин.</w:t>
      </w:r>
      <w:r w:rsidRPr="00E14102">
        <w:rPr>
          <w:color w:val="000000" w:themeColor="text1"/>
          <w:sz w:val="16"/>
          <w:szCs w:val="16"/>
        </w:rPr>
        <w:t xml:space="preserve"> Так точно. Наше положение несколько облегчается тем, что краснофлотец лучше бережет это обмундирование. Но тем не менее мы провели большую работу среди личного состава по сбережению обмундирования.</w:t>
      </w:r>
    </w:p>
    <w:p w14:paraId="77BD34D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Товарищи, у нас были случаи и такие, когда мы на кораблях сталкивались с жалобами командиров, что порт не выдает вилок, ножей и т.д. Бывало и так, что мы сами видели, когда приходили на миноносец, что не совсем хорошо сервирован стол — не хватает вилок, ножей и т.д. Спрашиваем, почему. Докладывают, что порт не дает. Тогда сами спускаемся в их кладовку и там находим эти вещи на гораздо большее количество, чем сколько имеется на корабле. Недостаток же в этих вещах произошел потому, что, к великому сожалению, командир, который командует, уже года полтора не спускается в эту кладовку, не знает, что там есть. Такое положение было. И мы с ним боремся. Я докладываю, что в этом отношении сейчас известные достижения уже имеются. Тов. Жильцов говорил здесь насчет пищи у нас, во флоте, и была дана реплика т. народным комиссаром обороны по поводу пищи во флоте. Я должен доложить, т. народный комиссар, о том, что у нас, на Балтике, за последнее время при объезде или при обходе наших частей и кораблей не было ни единой жалобы на недостаток или на недоброкачественность пищи. Я должен также доложить, что борщ, о котором здесь говорили, краснофлотцу нравится. Краснофлотец любит жирный борщ.</w:t>
      </w:r>
    </w:p>
    <w:p w14:paraId="30A248D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Не в этом дело. Жирный борщ всякий любит. Но кроме жира нужен еще вкус. Борщ доброкачественный, жирный, но вкуса в нем никакого нет. У начсостава в кают-компаниях просто ерунда, есть невозможно.</w:t>
      </w:r>
    </w:p>
    <w:p w14:paraId="5CD16DC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Гришин.</w:t>
      </w:r>
      <w:r w:rsidRPr="00E14102">
        <w:rPr>
          <w:color w:val="000000" w:themeColor="text1"/>
          <w:sz w:val="16"/>
          <w:szCs w:val="16"/>
        </w:rPr>
        <w:t xml:space="preserve"> Совершенно правильно. Нужно говорить о комсоставе. Наш комсостав питается хуже, чем краснофлотец.</w:t>
      </w:r>
    </w:p>
    <w:p w14:paraId="696DF11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А краснофлотец хуже, чем красноармеец, более однообразно и менее вкусно.</w:t>
      </w:r>
    </w:p>
    <w:p w14:paraId="39C6F23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Гришин.</w:t>
      </w:r>
      <w:r w:rsidRPr="00E14102">
        <w:rPr>
          <w:color w:val="000000" w:themeColor="text1"/>
          <w:sz w:val="16"/>
          <w:szCs w:val="16"/>
        </w:rPr>
        <w:t xml:space="preserve"> Совершенно правильно. Нам придется, по-видимому, т. народный комиссар, перевести комсостав на ту систему, какая была в старое и недоброе время на кораблях, когда держали рестораторов. Очевидно, нам придется этим вопросом заняться. При том положении, которое мы имеем сейчас, мы лучше кормить не будем. Наша кооперация не могла дать соответствующее количество и качество продуктов. И наш командный состав питается хуже краснофлотцев. По-видимому, придется перейти на ресторанную систему на кораблях. Что касается улучшения пищи краснофлотцам, тут придется пойти по линии дачи большей квалификации нашим кокам, поварам. Вопрос здесь упирается в приготовление пищи. Повысив квалификацию поваров, тем самым улучшим пищу.</w:t>
      </w:r>
    </w:p>
    <w:p w14:paraId="204739A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Вот все, что я хотел сказать, т. народный комиссар.</w:t>
      </w:r>
    </w:p>
    <w:p w14:paraId="677B269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143.</w:t>
      </w:r>
    </w:p>
    <w:p w14:paraId="7A852D4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Прокофьев. Я</w:t>
      </w:r>
      <w:r w:rsidRPr="00E14102">
        <w:rPr>
          <w:color w:val="000000" w:themeColor="text1"/>
          <w:sz w:val="16"/>
          <w:szCs w:val="16"/>
        </w:rPr>
        <w:t xml:space="preserve"> хочу доложить, т. народный комиссар, в какой мере и в какой степени мы реализовали и продолжаем реализовать ваши приказы, решения Центрального Комитета и нашего правительства по вопросам обозно-вещевого и продовольственного снабжения. Мы довели до сведения всего начальствующего состава, а впоследствии и до красноармейских масс, эти ваши приказы и решения партии и правительства. На сегодняшний день нет ни одного склада в округе, где мы с командующим войсками по меньшей мере по два, а то и по три раза не побывали. Но я должен доложить вам, т. народный комиссар, что, несмотря на это, мы все же похвастаться не можем, что на сегодняшний день полностью реализовали ваши приказы и решения партии. Мы еще не добились того, чтобы в наших складах был бы тот образцовый порядок и чистота, которые требуются на сегодняшний день.</w:t>
      </w:r>
    </w:p>
    <w:p w14:paraId="6227BBC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Чего мы добились? Это то, что мы довели до сознания каждого командира и политработника, что он должен заниматься повседневно войсковым хозяйством. Без этого мы не могли бы иметь того состояния, которое мы имеем сейчас почти на всех складах нашего округа, за исключением двух небольших частей: в части 225, где у нас дело плохо обстоит, и в Красноярском гарнизоне. Нашим большим злом на сегодняшний день продолжает оставаться вопрос о незаконных выдачах продовольственных продуктов со склада. Это имеет место.</w:t>
      </w:r>
    </w:p>
    <w:p w14:paraId="295B0B1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До сих пор?</w:t>
      </w:r>
    </w:p>
    <w:p w14:paraId="24C6719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Прокофьев.</w:t>
      </w:r>
      <w:r w:rsidRPr="00E14102">
        <w:rPr>
          <w:color w:val="000000" w:themeColor="text1"/>
          <w:sz w:val="16"/>
          <w:szCs w:val="16"/>
        </w:rPr>
        <w:t xml:space="preserve"> До сих пор. До последней проверки мы имели такие факты главным образом в Красноярском гарнизоне. Надо думать, что мы это изживем в самом непродолжительном времени.</w:t>
      </w:r>
    </w:p>
    <w:p w14:paraId="6C0072B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Пользуясь тем, т. народный комиссар, что мне не удалось выступить по предыдущему вопросу, я должен доложить, что, несмотря на все наши мероприятия и величайшее желание поставить дело так, как нам хотелось бы, и так, как это вытекает из ваших приказов и решений партии, мы ни по одному вопросу без вашей помощи сами ничего сделать не в состоянии. Я имею в виду наш обоз. Обоза у нас очень много, обоза, относящегося к неприкосновенному запасу. Но бывают случаи, как, например, в Омском, Новосибирском, Ачинском гарнизонах, когда немалое количество обоза стоит под открытым небом.</w:t>
      </w:r>
    </w:p>
    <w:p w14:paraId="683DAD8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Дальше я хотел бы поставить вопрос о нашем общественном питании. Ни мне лично, ни командующему войсками — а мы очень часто бываем в частях — не приходилось слышать нареканий со стороны красноармейцев о низком качестве питания. Таких случаев у нас не было.</w:t>
      </w:r>
    </w:p>
    <w:p w14:paraId="2137B06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Осепян.</w:t>
      </w:r>
      <w:r w:rsidRPr="00E14102">
        <w:rPr>
          <w:color w:val="000000" w:themeColor="text1"/>
          <w:sz w:val="16"/>
          <w:szCs w:val="16"/>
        </w:rPr>
        <w:t xml:space="preserve"> У вас не было такого случая?</w:t>
      </w:r>
    </w:p>
    <w:p w14:paraId="7076F90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Прокофьев.</w:t>
      </w:r>
      <w:r w:rsidRPr="00E14102">
        <w:rPr>
          <w:color w:val="000000" w:themeColor="text1"/>
          <w:sz w:val="16"/>
          <w:szCs w:val="16"/>
        </w:rPr>
        <w:t xml:space="preserve"> Прямых жалоб, т. Осепян, не было.</w:t>
      </w:r>
    </w:p>
    <w:p w14:paraId="1F3CF97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Отсутствие прямых жалоб не значит, что все хорошо.</w:t>
      </w:r>
    </w:p>
    <w:p w14:paraId="013BBF7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Прокофьев.</w:t>
      </w:r>
      <w:r w:rsidRPr="00E14102">
        <w:rPr>
          <w:color w:val="000000" w:themeColor="text1"/>
          <w:sz w:val="16"/>
          <w:szCs w:val="16"/>
        </w:rPr>
        <w:t xml:space="preserve"> Это правильно, Ян Борисович. Но я не могу согласиться с т. Жильцовым, когда он утверждает, что у нас, как правило, люди, работающие на кухне, не моют рук. Я не согласен с этим — это не соответствует действительности.</w:t>
      </w:r>
    </w:p>
    <w:p w14:paraId="6C2D4BF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Это преувеличение.</w:t>
      </w:r>
    </w:p>
    <w:p w14:paraId="20C90A3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Прокофьев.</w:t>
      </w:r>
      <w:r w:rsidRPr="00E14102">
        <w:rPr>
          <w:color w:val="000000" w:themeColor="text1"/>
          <w:sz w:val="16"/>
          <w:szCs w:val="16"/>
        </w:rPr>
        <w:t xml:space="preserve"> Это сгущено, т. Якир. Не может быть, чтобы у нас люди, работающие на красноармейской кухне, были бы настолько некультурны, настолько дикарями, чтобы не мыли рук. Отдельные случаи, конечно, могут быть, но мы с такими вещами не сталкивались.</w:t>
      </w:r>
    </w:p>
    <w:p w14:paraId="5B9AD01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Несколько слов о состоянии общественного питания начсостава. Несмотря на организованный недавно Военторг</w:t>
      </w:r>
      <w:r w:rsidRPr="00E14102">
        <w:rPr>
          <w:color w:val="000000" w:themeColor="text1"/>
          <w:sz w:val="16"/>
          <w:szCs w:val="16"/>
          <w:vertAlign w:val="superscript"/>
        </w:rPr>
        <w:t>90</w:t>
      </w:r>
      <w:r w:rsidRPr="00E14102">
        <w:rPr>
          <w:color w:val="000000" w:themeColor="text1"/>
          <w:sz w:val="16"/>
          <w:szCs w:val="16"/>
        </w:rPr>
        <w:t>, я должен сказать, т. народный комиссар, что, если бы мы не имели своих подсобных хозяйств, мы не получили бы значительного улучшения питания начсостава. В нашем округе абсолютное большинство столовых, бывших ранее в ведении ЗВК, перешли непосредственно частям. Это возможно бьшо сделать потому, что каждая часть имеет свое подсобное хозяйство. Благодаря этому значительно улучшено питание, и, что самое главное, оно значительно удешевлено. Тов. народный комиссар, я не знаю, как в дальнейшем будет обстоять дело с нашими подсобными хозяйствами, но мне думается, что его надо сохранить.</w:t>
      </w:r>
    </w:p>
    <w:p w14:paraId="5D2E5EA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143.</w:t>
      </w:r>
    </w:p>
    <w:p w14:paraId="56F1BAA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Зиновьев.</w:t>
      </w:r>
      <w:r w:rsidRPr="00E14102">
        <w:rPr>
          <w:color w:val="000000" w:themeColor="text1"/>
          <w:sz w:val="16"/>
          <w:szCs w:val="16"/>
        </w:rPr>
        <w:t xml:space="preserve"> С вашего разрешения, т. народный комиссар, я имею в виду использовать свое время по двум докладам.</w:t>
      </w:r>
    </w:p>
    <w:p w14:paraId="12937DC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Недостатков у нас по складам, кладовым и всему хозяйству обнаружено было очень много. После совещания в ЦК нашей партии мы на деле, разрешите об этом доложить, провели очень большую работу. Весь начальствующий состав, командиры, политработники и парторганизации, правда, не везде сразу, кое-где не без потуг, стали энергично работать над устранением недостатков. Сейчас мы имеем такое положение, когда в наших ротных и батарейных складах порядок уже нередкое явление. Продукты хранятся любовно, в сделанных ларечках, кое-где под стеклом, все подкрашено, помещение чистенькое, кое-где заведены дорожки и т.д. Внешний вид складов приведен в надлежащий порядок. В этом отношении, особенно наши младшие командиры и сверхсрочники, положили много труда и изобретательности. Они ходили по местным магазинам и складам, брали там примеры как нужно делать. Но, понятно, было бы неверно сказать, что мы решение ЦК, правительства и приказ народного комиссара выполнили по всем пунктам. Работать придется еще очень много. Но мы встречаемся иногда с таким настроением, правда, далеко не массовым, когда некоторые товарищи считают, что переучет провели, на складах все привели в порядок, ведомости заполнили, представили их по инстанциям, и, стало быть, гора с плеч долой, можно и успокоиться. Мы эти настроения подметили и крепко предупредили этих товарищей, что работать тут еще придется много, очень много, и что успокаиваться ни в коем случае нельзя.</w:t>
      </w:r>
    </w:p>
    <w:p w14:paraId="3F4D099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решениях ЦК и правительства, в требованиях народного комиссара вопросам быта красноармейца уделялось большое внимание. Действительно, недостатков тут мы имеем еще немало. Я приведу несколько фактов. В период напряженной горячей работы по приведению всех складов в порядок прихожу я в 253-й полк. Посмотрев склады и найдя их в порядке, иду в роту. В беседе с красноармейцами узнаю, что они не получали в продолжение двух недель сахар. Когда я начинаю выяснять, командиры докладывают, что, видите ли, мы сейчас заняты хозяйством, очень много уделяем внимания этому вопросу, поэтому такую деталь, как своевременную выдачу красноармейцам сахара, упустили.</w:t>
      </w:r>
    </w:p>
    <w:p w14:paraId="0975DEF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Другой случай. Было общее собрание в 126-м полку в связи с выступлением т. Сталина на совещании стахановцев. Собрание прошло очень хорошо, с большим подъемом. После собрания пошли по казармам. Зашли в столовую. В столовой этой, во-первых, полутемно. Значительная часть лампочек вывинчена и неизвестно кем унесена; во-вторых, не так-то уже чисто. Чай пьют не из чайников, а из кастрюль, которые предназначены для супа, не у всех есть кружки. Выясняем, в чем дело. Оказывается, что чайники есть, но у них отбиты ручки, кружки тоже на складе есть, но не сумели вовремя их принести. Грязновато и темно потому, что соответствующие начальники редко заглядывают в столовую и ей мало занимаются. Оправдываются же тем, что заняты хозяйством. Можно было бы привести еще ряд фактов.</w:t>
      </w:r>
    </w:p>
    <w:p w14:paraId="09F68B6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Получается, что наряду с большой работой по приведению в образцовый порядок хозяйства мы имеем такие явления, когда внимание к красноармейцу, к его нуждам, заботы о нем у нас все еще недостаточны. В этой части мы приказ народного комиссара и указания не выполнили, а это один из больших вопросов в решениях ЦК и правительства по вопросу войскового хозяйства.</w:t>
      </w:r>
    </w:p>
    <w:p w14:paraId="524EF60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хочу еще остановиться на вопросе питания нашего начальствующего состава. Здесь уже говорили об этом. Я считаю, что прав т. Жильцов, когда говорит, что надо изменить эту систему. Паек себя сейчас уже отжил. Мы фактически во время полевых занятий и на стрельбищах, выходах, кормим начсостав из котла. Наши военно-торговые конторы с этой работой полностью не справляются, тем более что столовые нам приходится кое-где сейчас закрывать. Прибавили жалованье. Продукты стали дешевле, и люди идут на базар, покупают себе свежие хорошие продукты — готовят дома. Поэтому отлив из столовых сейчас резко заметен. В полевых же условиях работы командира — а такого времени у него много бывает — надо разрешить ему обязательно питание с котла, вычитывая за это стоимость продуктов.</w:t>
      </w:r>
    </w:p>
    <w:p w14:paraId="3A41AEA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Хочу отметить еще один вопрос, что в работе по приведению складского хозяйства в порядок местные организации оказали нам существенную практическую помощь. В Троицке, в Златоусте, в Челябинске и других гарнизонах комсомольцами, комсомолками было отремонтировано очень много обмундирования. Немалую помощь нам оказали и жены начсостава, а отдельные из них просто проявляли героизм. Например, жена командира взвода 253-го сп. т. Бурова, отремонтировала 445 комплектов обмундирования, а 70-летняя старушка — мать одного командира 254-го сп, Чуракова, отремонтировала большое количество обмундирования, работая беспрерывно с 17.09 по 10.10, давая хорошее качество ремонта.</w:t>
      </w:r>
    </w:p>
    <w:p w14:paraId="04D53DE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А чем вы отметили все это?</w:t>
      </w:r>
    </w:p>
    <w:p w14:paraId="03B420C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Зиновьев.</w:t>
      </w:r>
      <w:r w:rsidRPr="00E14102">
        <w:rPr>
          <w:color w:val="000000" w:themeColor="text1"/>
          <w:sz w:val="16"/>
          <w:szCs w:val="16"/>
        </w:rPr>
        <w:t xml:space="preserve"> Не отметили. К сожалению, такие факты иногда проходят незамеченными, но мы таких людей отметим.</w:t>
      </w:r>
    </w:p>
    <w:p w14:paraId="305A610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А надо было отметить, надо было написать в «Красную звезду», чтобы об этом знала вся армия.</w:t>
      </w:r>
    </w:p>
    <w:p w14:paraId="164981F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Зиновьев.</w:t>
      </w:r>
      <w:r w:rsidRPr="00E14102">
        <w:rPr>
          <w:color w:val="000000" w:themeColor="text1"/>
          <w:sz w:val="16"/>
          <w:szCs w:val="16"/>
        </w:rPr>
        <w:t xml:space="preserve"> Весь начсостав, политаппарат, партийная организация, комсомол частей провели большую работу по приведению войскового хозяйства в порядок. Сейчас наша задача заключается в том чтобы не снижать это дело, а двигать его вперед, с тем чтобы в ближайшее время доложить народному комиссару, что войсковое хозяйство действительно работает, как часовой механизм, как того требует т. Сталин.</w:t>
      </w:r>
    </w:p>
    <w:p w14:paraId="1D0AD51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144.</w:t>
      </w:r>
    </w:p>
    <w:p w14:paraId="439CB0D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Баранов.</w:t>
      </w:r>
      <w:r w:rsidRPr="00E14102">
        <w:rPr>
          <w:color w:val="000000" w:themeColor="text1"/>
          <w:sz w:val="16"/>
          <w:szCs w:val="16"/>
        </w:rPr>
        <w:t xml:space="preserve"> Товарищи, несмотря на неоднократные указания народного комиссара, постановление ЦК партии и Совнаркома, все же на сегодняшний день нужно продовольственно-пищевой блок признать неблагополучным. Я не разделяю полностью точки зрения т. Жильцова. Может быть, поспешность в изучении этого вопроса не дала возможности т. Жильцову выяснить до конца всю картину. По докладу т. Жильцова выходит, что округа ничего не сделали. Я докладываю, т. народный комиссар, что если этот участок работы благополучным еще нельзя назвать, тем не менее этот вопрос резко сдвинулся с места. Уже одно то, что желудочно-кишечных заболеваний, которые потребовали в свое время вашего приказа, т. народный комиссар, считать каждый случай желудочно-кишечных заболеваний чрезвычайным происшествием, по сравнению с 1933—1934 гг. стало значительно меньше, является лучшим доказательством того, что наступило известное улучшение.</w:t>
      </w:r>
    </w:p>
    <w:p w14:paraId="6D38DC6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Какие имеются дефекты? Я считаю, что все имеющиеся на сегодня дефекты, может быть, за редким исключением, являются такими, что могут быть исправлены или самими частями, или в крайнем случае округами. Скажем, имеется дефект в оборудовании. Совсем необязательно дооборудование производить централизованным порядком. Значительная часть может быть проведена на месте. Наиболее узким местом в оборудовании являются холодильники, которые очень редко встречаются в частях, а между тем наличие холодильников в продовольственно-пищевом блоке имеет громадное значение.</w:t>
      </w:r>
    </w:p>
    <w:p w14:paraId="396C536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Надо отметить неприспособленность продовольственных хранилищ, в которых и на сегодня много условий для порчи продуктов. Мы имеем чрезвычайно легковесное отношение к кондициям. Кондиции установлены, но эти кондиции торгующие организации стремятся понизить. И если хозяйственник в части — напористый человек, он не примет продукцию с пониженной кондицией, а хозяйственнику ненапористому такую кондицию всучат. Известно, что во многих случаях желудочно-кишечные заболевания и пищевые отравления, как правило, являются следствием того, что пища приготовлялась из продуктов пониженных кондиций. Соблюдение кондиций носит пока совершенно случайный характер.</w:t>
      </w:r>
    </w:p>
    <w:p w14:paraId="0BC782B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Чрезвычайно важным является самый процесс прохождения продуктов от поставщика до рта потребителя, этот процесс, в сущности говоря, не регламентирован. А нужно прямо признать, что, несмотря на наличие должности помощника командира полка по хозяйственной части и еще целого ряда хозяйственных работников, у нас нет в этом деле хозяина. Без хозяина у нас и кухня — это наиболее важное звено в продовольственном деле.</w:t>
      </w:r>
    </w:p>
    <w:p w14:paraId="7FEF3F9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Нужно подчеркнуть, что отдельные звенья, из которых состоит процесс прохождения продукта в обработке, имеют большое значение. Прорыв в одном звене всегда может вести к порче пищи, со всеми затем последствиями.</w:t>
      </w:r>
    </w:p>
    <w:p w14:paraId="1868314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А что делают санитарные врачи?</w:t>
      </w:r>
    </w:p>
    <w:p w14:paraId="7037DA3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Баранов.</w:t>
      </w:r>
      <w:r w:rsidRPr="00E14102">
        <w:rPr>
          <w:color w:val="000000" w:themeColor="text1"/>
          <w:sz w:val="16"/>
          <w:szCs w:val="16"/>
        </w:rPr>
        <w:t xml:space="preserve"> О роли санитарной службы я скажу, Ян Борисович. Несомненно, во всех этих неполадках значительная доля вины ложится на санитарную службу — на тех врачей и лекарских помощников, которые к этому делу приставлены.</w:t>
      </w:r>
    </w:p>
    <w:p w14:paraId="29BA82B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У нас по распоряжению наркома в каждой части к продовольственному блоку приставлен врач и санитарный инструктор. Врач ответственен за весь продовольственный блок, а санитарный инструктор дежурит на кухне. Как будто бы ясна ответственность. Но вместе с тем до тех пор, пока во всем продовольственном деле не будет заведен совершенно четкий режим, не будет установлено строгое распределение ответственности, пока хозяйственники сами не возьмутся крепко за это дело, не будут чувствовать себя ответственными за это дело, до тех пор можно определенно сказать, что санитарная служба одна ничего сделать не сможет, санитарные врачи за всем уследить не могут. Кроме того, вы знаете, что у нас в полках обычно 2, в лучшем случае 3 врача, которые в то же время должны лечить больных, посещать на дому больных командиров и членов их семей, у них амбулатория, лазарет и т.д. Если мы всех врачей переключим на продовольственный блок, </w:t>
      </w:r>
      <w:r w:rsidRPr="00E14102">
        <w:rPr>
          <w:color w:val="000000" w:themeColor="text1"/>
          <w:sz w:val="16"/>
          <w:szCs w:val="16"/>
        </w:rPr>
        <w:lastRenderedPageBreak/>
        <w:t>то из этого ничего не выйдет, они не смогут тогда выполнять своих прямых обязанностей. Поэтому я считаю, что нужно установить ответственность не только санитарных работников, но и всех хозяйственных работников.</w:t>
      </w:r>
    </w:p>
    <w:p w14:paraId="733646B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Правильно.</w:t>
      </w:r>
    </w:p>
    <w:p w14:paraId="0444450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Баранов.</w:t>
      </w:r>
      <w:r w:rsidRPr="00E14102">
        <w:rPr>
          <w:color w:val="000000" w:themeColor="text1"/>
          <w:sz w:val="16"/>
          <w:szCs w:val="16"/>
        </w:rPr>
        <w:t xml:space="preserve"> И, пожалуй, в первую очередь нужно завести твердый режим. Нет режима еще у нас, Ян Борисович.</w:t>
      </w:r>
    </w:p>
    <w:p w14:paraId="4A1825E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 второе, нужно издать такое распоряжение, что акт врача, бракующий продукты для приема в пищу или приготовленную уже пищу, является таким документом, которым пренебрегать никто не может. А я вам могу привести много фактов, когда акт врача командиром рвется. Врач говорит, что продукт в пищу не годится, составляет акт, а этот акт уничтожается, продукты же пускаются в приготовление пищи. Я обязуюсь, если это нужно, представить соответствующие материалы. Какая же после всего этого цена работе врача, какая цена этому акту? Я считаю, что нужно установить такой порядок, при котором акт врача, бракующий пищу, является таким документом, который может быть отменен только вышестоящей санитарной инстанцией. Если бракует полковой врач, отменить может дивизионный врач.</w:t>
      </w:r>
    </w:p>
    <w:p w14:paraId="1B7225D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Затем дальше, до тех пор, пока кадры — об этом между прочим много было распоряжений и указаний — не будут более квалифицированными и вообще более культурными а надо признать, что на этом участке работают менее культурные люди то тех пор вкусовые качества пищи будут оставаться низкими, и гигиена будет страдать. Я считаю, что нужно было бы принять меры к тому, чтобы у нас в частях Красной армии на этом участке были бы более квалифицированные работники.</w:t>
      </w:r>
    </w:p>
    <w:p w14:paraId="05239C8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Наконец, в части концентратов. Я не знаю почему т. Жильцов до сих пор не использует разработанные Санитарным институтом концентраты — прекрасные супы, каши, котлеты, их можно превратить в пищу быстро и несложно. Они прошли испытание во многих частях и получили апробацию. Нужно эти концентраты дать в фабричное производство, начать заправку их как для всякого рода учений, так и в непзапас. Одновременно можно продолжать дальнейшую их проверку, главным образом на сроки хранения.</w:t>
      </w:r>
    </w:p>
    <w:p w14:paraId="4238A99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144.</w:t>
      </w:r>
    </w:p>
    <w:p w14:paraId="12CE77F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Аронштам.</w:t>
      </w:r>
      <w:r w:rsidRPr="00E14102">
        <w:rPr>
          <w:color w:val="000000" w:themeColor="text1"/>
          <w:sz w:val="16"/>
          <w:szCs w:val="16"/>
        </w:rPr>
        <w:t xml:space="preserve"> У нас настолько плохо обстоит дело с продовольственным снабжением, что я считаю просто непонятным, зачем принуждать нас, из ОКДВА, выступать здесь с трибуны по ряду вопросов и объяснять то, о чем говорил т. Жильцов, и отнимать время у присутствующих. Не это надо было сделать. То, что здесь говорил т. Жильцов о плохом состоянии складов, в частности о загрязненности, которая там имеется, то ведь т. Жильцов говорил, что это было в сентябре месяце, но что сейчас с помощью работников армии это дело ликвидировано. Зачем об этом было говорить, я не знаю.</w:t>
      </w:r>
    </w:p>
    <w:p w14:paraId="15DE345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Что у нас действительно плохо, так это положение со строительством складов, и нажим нужно было делать именно на это. У нас, как на складе 220, где мы часто бываем, так и на складах т. Федько, сотни вагонов грузов — причем скоропортящихся грузов — лежат под открытым небом, некуда нам их класть, и товары лежат в буртах. Нужно было сказать о том, как у нас на складах такие продукты, как сахар, лежат в таких высоких штабелях в самих складах, что сахар не успевает просыхать, сохраняет излишнюю влажность, и нам некуда его деть. А на территории нашего склада 220 свыше 10 хранилищ заняты комитетом резервов, и нам товар девать некуда. Я не хочу ни в какой степени здесь умалять скверное строительство наших складов. Я сам перед отъездом сюда сидел в 220-м складе. Мы делили его на обозно-вещевой склад и продовольственный. При мне разбирались стеллажи, тут же мы перевозили все товары, которые были определены на обозно-вещевой склад, тут же при мне производили строительство этого склада с тем, чтобы перевозить обозно-вещевое имущество и обратно — освободить площадь для продовольственного имущества. У т. Жильцова положение со складами такое же. Я видел склады, где сучьями завалена мука и целый ряд других продуктов. Поймите вы одно. Поймите, что мы не хотим нисколько защищать плохую работу. Если бы мы фигурировали на совещании в ЦК, то были бы вещи еще более ужасные, потому что у нас с хозяйством хуже, чем в других местах. Но нам нужно помочь со строительством. Меня вынудили выступать на эту тему, но теперь я хочу перейти к другим вопросам.</w:t>
      </w:r>
    </w:p>
    <w:p w14:paraId="088A20F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попрошу просто заслушать четыре цифры, касающиеся наших кадров хозяйственного аппарата. Я не согласен с тем, когда выступают и рисуют хозяйственников так, что они жульничают и мошенничают. Не в этом беда. Вот посмотрите, как мы с ними работаем, с хозяйственниками. Я беру до этой реформы военно-хозяйственного отдела кадры у нас в армии. Вот взять начальников военно-хозяйственного снабжения дивизий. Из них 80% взяты непосредственно с командной работы. 30% из них имеют годовой стаж хозяйственной работы, 40% — двухгодичной. Если взять помощников по материальному обеспечению командиров полков, то 92% выдвинуто из армии, а из них 85% имеют стаж работы только до 2 лет. Это молодежь, которая не знает, как работать. А мы что сделали? Мы передали все хозяйство на откуп этим людям. Я не согласен с тем, что у нас в складах сидят селезеночники и печеночники, с тем, о чем говорили. Но что значительная часть этих товарищей работает по нежеланию в хозяйственных складах, без особого энтузиазма, это верно. Вы посмотрите наши аттестации. Надо сказать правду на Военном совете, что когда мы видим, что командир немножко неподходящий для командования или видим, что политработник не подходит, мы пишем: на склад, на хозяйственную работу или преподавателем. До тех пор, пока у нас будет такое отношение к хозяйственным работникам, до тех пор, пока мы не создадим почета, авторитета</w:t>
      </w:r>
    </w:p>
    <w:p w14:paraId="361F117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Это другой вопрос. Но если человек не годится для командования, это не значит, что он никуда не годится. Он может оказаться замечательным на хозяйственной работе.</w:t>
      </w:r>
    </w:p>
    <w:p w14:paraId="60ED365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Аронштам.</w:t>
      </w:r>
      <w:r w:rsidRPr="00E14102">
        <w:rPr>
          <w:color w:val="000000" w:themeColor="text1"/>
          <w:sz w:val="16"/>
          <w:szCs w:val="16"/>
        </w:rPr>
        <w:t xml:space="preserve"> Если бы так подходили, что человек, годящийся для хозяйственной работы, — это другое дело.</w:t>
      </w:r>
    </w:p>
    <w:p w14:paraId="074A0E4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У меня был очень интересный разговор. Исключают из партии начальника хоздовольствия 80-го пулеметного батальона. Рабочий парень, член партии с 1918 г., участник Гражданской войны. Был в 71-й дивизии, имеет выговор за грубость, второй выговор с предупреждением, третий раз исключают и восстанавливают. Попадает в ОКДВА, исключают и восстанавливается. Интересный тип. Я вызвал его к себе. Что это за человек? Оказывается, ему ну просто не по вкусу хозяйственная работа. Действительно, хозяйством он занимается из рук вон плохо. Задергали его. В чем дело? Я, говорит, был аттестован на командира батальона, но верно, грублю я. Меня послали на хозяйственную работу, я ею никогда не занимался и вкуса у меня нет. И таких фактов можно привести много, когда хозяйственная работа расценивается нами, командирами и политработниками строевыми, как какая-то исправительная трудовая колония. С этим надо покончить. Ведь хозяйственник — это не просто распределяющий пайки, а это — человек, который организует тыл на время войны. А копните любого из нас. Мы, конечно, насчет тыла можем говорить, а вот на практике этого понимания у нас часто и не имеется.</w:t>
      </w:r>
    </w:p>
    <w:p w14:paraId="3F12AAD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Третий вопрос, который я хочу поставить здесь, — это вопрос о хлебопечении. Мы в нынешнем году, в особенности в связи с отменой хлебной торговли, специально занимались этим вопросом. Как занимались? Договорились с командующим, и я созвал к себе хлебопеков, военных хлебопеков и по линии кооперации. И занялись мы не разговорами о хлебопечении, а взяли хлеб, разрезали его и выяснили, как нужно печь. Что же выяснилось? Выяснилось, что хлебопечение является у нас, к сожалению, какой-то алхимией. В частности, температуру хлеба чем определяют? Не какими-нибудь техническими приборами, а ставит палец в тесто, подносит к носу и определяет степень закваски и температуру.</w:t>
      </w:r>
    </w:p>
    <w:p w14:paraId="4A31976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Всю жизнь так определяли.</w:t>
      </w:r>
    </w:p>
    <w:p w14:paraId="6B8B4B2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Аронштам.</w:t>
      </w:r>
      <w:r w:rsidRPr="00E14102">
        <w:rPr>
          <w:color w:val="000000" w:themeColor="text1"/>
          <w:sz w:val="16"/>
          <w:szCs w:val="16"/>
        </w:rPr>
        <w:t xml:space="preserve"> Если всю жизнь так определяли и прежде выходили специалисты-хлебопеки, то наш боец не выходит в хлебопеки.</w:t>
      </w:r>
    </w:p>
    <w:p w14:paraId="59CFCC9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Не в этом беда, это мелочь.</w:t>
      </w:r>
    </w:p>
    <w:p w14:paraId="13E9D07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Аронштам.</w:t>
      </w:r>
      <w:r w:rsidRPr="00E14102">
        <w:rPr>
          <w:color w:val="000000" w:themeColor="text1"/>
          <w:sz w:val="16"/>
          <w:szCs w:val="16"/>
        </w:rPr>
        <w:t xml:space="preserve"> К сожалению, у нас и хлеб не умеют печь.</w:t>
      </w:r>
    </w:p>
    <w:p w14:paraId="0BF05EB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Это неправда, хлеб всюду замечательный.</w:t>
      </w:r>
    </w:p>
    <w:p w14:paraId="1F6E96B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145.</w:t>
      </w:r>
    </w:p>
    <w:p w14:paraId="70994E43" w14:textId="77777777" w:rsidR="006161A5" w:rsidRPr="00E14102" w:rsidRDefault="006161A5" w:rsidP="00E14102">
      <w:pPr>
        <w:jc w:val="both"/>
        <w:rPr>
          <w:color w:val="000000" w:themeColor="text1"/>
          <w:sz w:val="16"/>
          <w:szCs w:val="16"/>
        </w:rPr>
      </w:pPr>
      <w:r w:rsidRPr="00E14102">
        <w:rPr>
          <w:color w:val="000000" w:themeColor="text1"/>
          <w:sz w:val="16"/>
          <w:szCs w:val="16"/>
        </w:rPr>
        <w:t>Источник: Военный совет при народном комиссаре обороны СССР. Декабрь 1935 г.: Документы и материалы. — М.: "РОССПЭН", 2008. С. 400-420 (12596).</w:t>
      </w:r>
    </w:p>
    <w:p w14:paraId="445C415F" w14:textId="77777777" w:rsidR="006161A5" w:rsidRPr="00E14102" w:rsidRDefault="006161A5" w:rsidP="00E14102">
      <w:pPr>
        <w:jc w:val="both"/>
        <w:rPr>
          <w:color w:val="000000" w:themeColor="text1"/>
          <w:sz w:val="16"/>
          <w:szCs w:val="16"/>
        </w:rPr>
      </w:pPr>
    </w:p>
    <w:p w14:paraId="2244BC0B" w14:textId="77777777" w:rsidR="008E471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41EEC65E" w14:textId="77777777" w:rsidR="008E4712" w:rsidRPr="00E14102" w:rsidRDefault="008E4712" w:rsidP="00E14102">
      <w:pPr>
        <w:autoSpaceDE w:val="0"/>
        <w:autoSpaceDN w:val="0"/>
        <w:adjustRightInd w:val="0"/>
        <w:jc w:val="both"/>
        <w:rPr>
          <w:iCs/>
          <w:color w:val="000000" w:themeColor="text1"/>
          <w:sz w:val="16"/>
          <w:szCs w:val="16"/>
        </w:rPr>
      </w:pPr>
    </w:p>
    <w:p w14:paraId="003CCBDC" w14:textId="77777777" w:rsidR="008E4712" w:rsidRPr="00E14102" w:rsidRDefault="008E4712" w:rsidP="00E14102">
      <w:pPr>
        <w:shd w:val="clear" w:color="auto" w:fill="FFFFFF"/>
        <w:jc w:val="both"/>
        <w:rPr>
          <w:color w:val="000000" w:themeColor="text1"/>
          <w:sz w:val="16"/>
          <w:szCs w:val="16"/>
        </w:rPr>
      </w:pPr>
      <w:r w:rsidRPr="00E14102">
        <w:rPr>
          <w:color w:val="000000" w:themeColor="text1"/>
          <w:sz w:val="16"/>
          <w:szCs w:val="16"/>
        </w:rPr>
        <w:t xml:space="preserve">11 декабря </w:t>
      </w:r>
      <w:bookmarkStart w:id="73" w:name="YANDEX_21"/>
      <w:bookmarkEnd w:id="73"/>
      <w:r w:rsidRPr="00E14102">
        <w:rPr>
          <w:color w:val="000000" w:themeColor="text1"/>
          <w:sz w:val="16"/>
          <w:szCs w:val="16"/>
        </w:rPr>
        <w:t> 1935  г. Вышинский обратился в ЦК, СНК и ЦИК с запиской, в которой утверждал, что эти требования Постановления Полит</w:t>
      </w:r>
      <w:r w:rsidRPr="00E14102">
        <w:rPr>
          <w:color w:val="000000" w:themeColor="text1"/>
          <w:sz w:val="16"/>
          <w:szCs w:val="16"/>
        </w:rPr>
        <w:softHyphen/>
        <w:t>бюро от 1 февраля 1933 г. и изданного на его основе постанов</w:t>
      </w:r>
      <w:r w:rsidRPr="00E14102">
        <w:rPr>
          <w:color w:val="000000" w:themeColor="text1"/>
          <w:sz w:val="16"/>
          <w:szCs w:val="16"/>
        </w:rPr>
        <w:softHyphen/>
        <w:t>ления Президиума ЦИК от 27 марта 1933 г., согласно которым предлагалось прекра</w:t>
      </w:r>
      <w:r w:rsidRPr="00E14102">
        <w:rPr>
          <w:color w:val="000000" w:themeColor="text1"/>
          <w:sz w:val="16"/>
          <w:szCs w:val="16"/>
        </w:rPr>
        <w:softHyphen/>
        <w:t>тить практику привлечения к суду по закону от 7 августа 1932 "лиц, виновных в мелких единичных кражах общественной собственности, или трудящихся, совершивших кражи из нуж</w:t>
      </w:r>
      <w:r w:rsidRPr="00E14102">
        <w:rPr>
          <w:color w:val="000000" w:themeColor="text1"/>
          <w:sz w:val="16"/>
          <w:szCs w:val="16"/>
        </w:rPr>
        <w:softHyphen/>
        <w:t>ды, по несознательности и при наличии других смягчающих обстоятельств", не выполняются и предлагал принять новое реше</w:t>
      </w:r>
      <w:r w:rsidRPr="00E14102">
        <w:rPr>
          <w:color w:val="000000" w:themeColor="text1"/>
          <w:sz w:val="16"/>
          <w:szCs w:val="16"/>
        </w:rPr>
        <w:softHyphen/>
        <w:t xml:space="preserve">ние, на этот раз о пересмотре дел осужденных по закону от 7 августа. Вопрос рассматривался членами Политбюро 15 </w:t>
      </w:r>
      <w:bookmarkStart w:id="74" w:name="YANDEX_22"/>
      <w:bookmarkEnd w:id="74"/>
      <w:r w:rsidRPr="00E14102">
        <w:rPr>
          <w:color w:val="000000" w:themeColor="text1"/>
          <w:sz w:val="16"/>
          <w:szCs w:val="16"/>
        </w:rPr>
        <w:t> янва</w:t>
      </w:r>
      <w:r w:rsidRPr="00E14102">
        <w:rPr>
          <w:color w:val="000000" w:themeColor="text1"/>
          <w:sz w:val="16"/>
          <w:szCs w:val="16"/>
        </w:rPr>
        <w:softHyphen/>
        <w:t xml:space="preserve">ря  </w:t>
      </w:r>
      <w:bookmarkStart w:id="75" w:name="YANDEX_23"/>
      <w:bookmarkEnd w:id="75"/>
      <w:r w:rsidRPr="00E14102">
        <w:rPr>
          <w:color w:val="000000" w:themeColor="text1"/>
          <w:sz w:val="16"/>
          <w:szCs w:val="16"/>
        </w:rPr>
        <w:t> 1936  г. Сталин согласился с доводами Вышинского и поста</w:t>
      </w:r>
      <w:r w:rsidRPr="00E14102">
        <w:rPr>
          <w:color w:val="000000" w:themeColor="text1"/>
          <w:sz w:val="16"/>
          <w:szCs w:val="16"/>
        </w:rPr>
        <w:softHyphen/>
        <w:t>вил на его записке резолюцию: "За (постановление не опубли</w:t>
      </w:r>
      <w:r w:rsidRPr="00E14102">
        <w:rPr>
          <w:color w:val="000000" w:themeColor="text1"/>
          <w:sz w:val="16"/>
          <w:szCs w:val="16"/>
        </w:rPr>
        <w:softHyphen/>
        <w:t>ковывать)"</w:t>
      </w:r>
      <w:r w:rsidRPr="00E14102">
        <w:rPr>
          <w:color w:val="000000" w:themeColor="text1"/>
          <w:sz w:val="16"/>
          <w:szCs w:val="16"/>
          <w:vertAlign w:val="superscript"/>
        </w:rPr>
        <w:t>28</w:t>
      </w:r>
      <w:r w:rsidRPr="00E14102">
        <w:rPr>
          <w:color w:val="000000" w:themeColor="text1"/>
          <w:sz w:val="16"/>
          <w:szCs w:val="16"/>
        </w:rPr>
        <w:t>. В подписанном 16 января постановлении ЦИК и СНК СССР "О проверке дел лиц, осужденных по постановлению ЦИК и СНК СССР от 7 августа 1932 г. "Об охране иму</w:t>
      </w:r>
      <w:r w:rsidRPr="00E14102">
        <w:rPr>
          <w:color w:val="000000" w:themeColor="text1"/>
          <w:sz w:val="16"/>
          <w:szCs w:val="16"/>
        </w:rPr>
        <w:softHyphen/>
        <w:t>щества государственных предприятий, колхозов и кооперации и укреплении общественной (социалистической) собственно</w:t>
      </w:r>
      <w:r w:rsidRPr="00E14102">
        <w:rPr>
          <w:color w:val="000000" w:themeColor="text1"/>
          <w:sz w:val="16"/>
          <w:szCs w:val="16"/>
        </w:rPr>
        <w:softHyphen/>
        <w:t>сти"" Верховному суду, Прокуратуре и НКВД поручалось проверить правильность применения постановления от 7 авгу</w:t>
      </w:r>
      <w:r w:rsidRPr="00E14102">
        <w:rPr>
          <w:color w:val="000000" w:themeColor="text1"/>
          <w:sz w:val="16"/>
          <w:szCs w:val="16"/>
        </w:rPr>
        <w:softHyphen/>
        <w:t xml:space="preserve">ста в отношении всех лиц, осужденных до 1 января </w:t>
      </w:r>
      <w:bookmarkStart w:id="76" w:name="YANDEX_24"/>
      <w:bookmarkEnd w:id="76"/>
      <w:r w:rsidRPr="00E14102">
        <w:rPr>
          <w:color w:val="000000" w:themeColor="text1"/>
          <w:sz w:val="16"/>
          <w:szCs w:val="16"/>
        </w:rPr>
        <w:t> 1935  г. Специальные комиссии должны были проверить приговоры на предмет соответствия постановлению Президиума ЦИК от 27 марта 1933 г. Комиссии могли ставить вопрос о сокращении срока заключения, а также о досрочном освобождении. Пере</w:t>
      </w:r>
      <w:r w:rsidRPr="00E14102">
        <w:rPr>
          <w:color w:val="000000" w:themeColor="text1"/>
          <w:sz w:val="16"/>
          <w:szCs w:val="16"/>
        </w:rPr>
        <w:softHyphen/>
        <w:t>смотр дел предстояло провести в шестимесячный срок.</w:t>
      </w:r>
    </w:p>
    <w:p w14:paraId="376563E1" w14:textId="77777777" w:rsidR="008E4712" w:rsidRPr="00E14102" w:rsidRDefault="008E4712" w:rsidP="00E14102">
      <w:pPr>
        <w:shd w:val="clear" w:color="auto" w:fill="FFFFFF"/>
        <w:jc w:val="both"/>
        <w:rPr>
          <w:color w:val="000000" w:themeColor="text1"/>
          <w:sz w:val="16"/>
          <w:szCs w:val="16"/>
        </w:rPr>
      </w:pPr>
      <w:r w:rsidRPr="00E14102">
        <w:rPr>
          <w:color w:val="000000" w:themeColor="text1"/>
          <w:sz w:val="16"/>
          <w:szCs w:val="16"/>
        </w:rPr>
        <w:t xml:space="preserve">Шесть месяцев спустя, 20 июля </w:t>
      </w:r>
      <w:bookmarkStart w:id="77" w:name="YANDEX_25"/>
      <w:bookmarkEnd w:id="77"/>
      <w:r w:rsidRPr="00E14102">
        <w:rPr>
          <w:color w:val="000000" w:themeColor="text1"/>
          <w:sz w:val="16"/>
          <w:szCs w:val="16"/>
        </w:rPr>
        <w:t> 1936  г., Вышинский доло</w:t>
      </w:r>
      <w:r w:rsidRPr="00E14102">
        <w:rPr>
          <w:color w:val="000000" w:themeColor="text1"/>
          <w:sz w:val="16"/>
          <w:szCs w:val="16"/>
        </w:rPr>
        <w:softHyphen/>
        <w:t>жил Сталину, Молотову и Калинину, что пересмотр дел на основании постановления от 16 января 1936 г. завершен. Всего было проверено более 115 тыс. дел и более чем в 91 тыс. случа</w:t>
      </w:r>
      <w:r w:rsidRPr="00E14102">
        <w:rPr>
          <w:color w:val="000000" w:themeColor="text1"/>
          <w:sz w:val="16"/>
          <w:szCs w:val="16"/>
        </w:rPr>
        <w:softHyphen/>
        <w:t>ях применение закона от 7 августа признано неправильным. В связи со снижением мер наказания из заключения были осво</w:t>
      </w:r>
      <w:r w:rsidRPr="00E14102">
        <w:rPr>
          <w:color w:val="000000" w:themeColor="text1"/>
          <w:sz w:val="16"/>
          <w:szCs w:val="16"/>
        </w:rPr>
        <w:softHyphen/>
        <w:t>бождены 37425 человек (32 процента всех проверенных) (17307).</w:t>
      </w:r>
    </w:p>
    <w:p w14:paraId="47B587FB" w14:textId="77777777" w:rsidR="008E4712" w:rsidRPr="00E14102" w:rsidRDefault="008E4712" w:rsidP="00E14102">
      <w:pPr>
        <w:autoSpaceDE w:val="0"/>
        <w:autoSpaceDN w:val="0"/>
        <w:adjustRightInd w:val="0"/>
        <w:jc w:val="both"/>
        <w:rPr>
          <w:iCs/>
          <w:color w:val="000000" w:themeColor="text1"/>
          <w:sz w:val="16"/>
          <w:szCs w:val="16"/>
        </w:rPr>
      </w:pPr>
    </w:p>
    <w:p w14:paraId="1A2E76D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392A520" w14:textId="77777777" w:rsidR="00D4105E" w:rsidRPr="00E14102" w:rsidRDefault="00D4105E" w:rsidP="00E14102">
      <w:pPr>
        <w:autoSpaceDE w:val="0"/>
        <w:autoSpaceDN w:val="0"/>
        <w:adjustRightInd w:val="0"/>
        <w:jc w:val="both"/>
        <w:rPr>
          <w:iCs/>
          <w:color w:val="000000" w:themeColor="text1"/>
          <w:sz w:val="16"/>
          <w:szCs w:val="16"/>
        </w:rPr>
      </w:pPr>
    </w:p>
    <w:p w14:paraId="2BD56F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 декабря 1935 Пом. Нач. МС РККА по авиации комдив Бергстрем писал письмо № 207158с Нач. ГУАП тов. Кагановичу</w:t>
      </w:r>
    </w:p>
    <w:p w14:paraId="3631C7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вопросу о выделения для ЦАГИ самолета Дорнье-Валь, Хейнкель и Р-5 на поплавках.</w:t>
      </w:r>
    </w:p>
    <w:p w14:paraId="2EBF85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Дорнье-Валь с моторами Лоррен 49 можно получить в Ейской Школе; распоряжение нужно взять у Нач. УВС РККА т. АЛКСНИСА,так как Ейская Школа подчинена ему.</w:t>
      </w:r>
    </w:p>
    <w:p w14:paraId="0475CB8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Одновременно о этим даю распоряжение Пом.Командующего Чф по Авиация о пе</w:t>
      </w:r>
      <w:r w:rsidRPr="00E14102">
        <w:rPr>
          <w:color w:val="000000" w:themeColor="text1"/>
          <w:sz w:val="16"/>
          <w:szCs w:val="16"/>
        </w:rPr>
        <w:softHyphen/>
        <w:t>редаче в ЦАГИ одного самолета Р5 на поплавках.</w:t>
      </w:r>
    </w:p>
    <w:p w14:paraId="360CC3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Xеинкелей в Морской Авиации РККА сейчас ощущается большой недостаток; выде</w:t>
      </w:r>
      <w:r w:rsidRPr="00E14102">
        <w:rPr>
          <w:color w:val="000000" w:themeColor="text1"/>
          <w:sz w:val="16"/>
          <w:szCs w:val="16"/>
        </w:rPr>
        <w:softHyphen/>
        <w:t>лять поэтому Вам самолет не могу. Завод № 45 задерживает ремонт (2326,186).</w:t>
      </w:r>
    </w:p>
    <w:p w14:paraId="22C10C5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303DA52" w14:textId="77777777" w:rsidR="006161A5" w:rsidRPr="00E14102" w:rsidRDefault="006161A5" w:rsidP="00E14102">
      <w:pPr>
        <w:autoSpaceDE w:val="0"/>
        <w:autoSpaceDN w:val="0"/>
        <w:adjustRightInd w:val="0"/>
        <w:jc w:val="both"/>
        <w:rPr>
          <w:color w:val="000000" w:themeColor="text1"/>
          <w:sz w:val="16"/>
          <w:szCs w:val="16"/>
        </w:rPr>
      </w:pPr>
      <w:r w:rsidRPr="00E14102">
        <w:rPr>
          <w:color w:val="000000" w:themeColor="text1"/>
          <w:sz w:val="16"/>
          <w:szCs w:val="16"/>
        </w:rPr>
        <w:t>12 декабря 1935 Пом. Нач. Морских сил по авиации Бергстрем писал письмо N 207158с Нач. ГУАП М.М.К. по вопросу о выделении для ЦАГИ самолетов Дорнье-Валь, Хейнкель и Р-5 на поплавках:</w:t>
      </w:r>
    </w:p>
    <w:p w14:paraId="25DB5EC5" w14:textId="77777777" w:rsidR="006161A5" w:rsidRPr="00E14102" w:rsidRDefault="006161A5" w:rsidP="00E14102">
      <w:pPr>
        <w:autoSpaceDE w:val="0"/>
        <w:autoSpaceDN w:val="0"/>
        <w:adjustRightInd w:val="0"/>
        <w:jc w:val="both"/>
        <w:rPr>
          <w:color w:val="000000" w:themeColor="text1"/>
          <w:sz w:val="16"/>
          <w:szCs w:val="16"/>
        </w:rPr>
      </w:pPr>
      <w:r w:rsidRPr="00E14102">
        <w:rPr>
          <w:color w:val="000000" w:themeColor="text1"/>
          <w:sz w:val="16"/>
          <w:szCs w:val="16"/>
        </w:rPr>
        <w:t>1. Дорнье Валь с моторами Лоррен 450 можно получить в Ейской школе...через Алксниса</w:t>
      </w:r>
    </w:p>
    <w:p w14:paraId="6BCF8361" w14:textId="77777777" w:rsidR="006161A5" w:rsidRPr="00E14102" w:rsidRDefault="006161A5" w:rsidP="00E14102">
      <w:pPr>
        <w:autoSpaceDE w:val="0"/>
        <w:autoSpaceDN w:val="0"/>
        <w:adjustRightInd w:val="0"/>
        <w:jc w:val="both"/>
        <w:rPr>
          <w:color w:val="000000" w:themeColor="text1"/>
          <w:sz w:val="16"/>
          <w:szCs w:val="16"/>
        </w:rPr>
      </w:pPr>
      <w:r w:rsidRPr="00E14102">
        <w:rPr>
          <w:color w:val="000000" w:themeColor="text1"/>
          <w:sz w:val="16"/>
          <w:szCs w:val="16"/>
        </w:rPr>
        <w:t>2. Одновременно с эти даю распоряжение Пом. командующему ЧФ по авиации о передаче ЦАГИ одного Р-5 на поплавках.</w:t>
      </w:r>
    </w:p>
    <w:p w14:paraId="12F01BF3" w14:textId="77777777" w:rsidR="006161A5" w:rsidRPr="00E14102" w:rsidRDefault="006161A5" w:rsidP="00E14102">
      <w:pPr>
        <w:autoSpaceDE w:val="0"/>
        <w:autoSpaceDN w:val="0"/>
        <w:adjustRightInd w:val="0"/>
        <w:jc w:val="both"/>
        <w:rPr>
          <w:color w:val="000000" w:themeColor="text1"/>
          <w:sz w:val="16"/>
          <w:szCs w:val="16"/>
        </w:rPr>
      </w:pPr>
      <w:r w:rsidRPr="00E14102">
        <w:rPr>
          <w:color w:val="000000" w:themeColor="text1"/>
          <w:sz w:val="16"/>
          <w:szCs w:val="16"/>
        </w:rPr>
        <w:t>Хейнкелей в Морской авиации РККА сейчас ощущается большой недостаток. Выделить поэтому самолет не могу. Завод 45 задерживает ремонт." (2336,186).</w:t>
      </w:r>
    </w:p>
    <w:p w14:paraId="206CE88F" w14:textId="77777777" w:rsidR="006161A5" w:rsidRPr="00E14102" w:rsidRDefault="006161A5" w:rsidP="00E14102">
      <w:pPr>
        <w:autoSpaceDE w:val="0"/>
        <w:autoSpaceDN w:val="0"/>
        <w:adjustRightInd w:val="0"/>
        <w:jc w:val="both"/>
        <w:rPr>
          <w:color w:val="000000" w:themeColor="text1"/>
          <w:sz w:val="16"/>
          <w:szCs w:val="16"/>
        </w:rPr>
      </w:pPr>
    </w:p>
    <w:p w14:paraId="0D22810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FBCC387" w14:textId="77777777" w:rsidR="00D4105E" w:rsidRPr="00E14102" w:rsidRDefault="00D4105E" w:rsidP="00E14102">
      <w:pPr>
        <w:autoSpaceDE w:val="0"/>
        <w:autoSpaceDN w:val="0"/>
        <w:adjustRightInd w:val="0"/>
        <w:jc w:val="both"/>
        <w:rPr>
          <w:iCs/>
          <w:color w:val="000000" w:themeColor="text1"/>
          <w:sz w:val="16"/>
          <w:szCs w:val="16"/>
        </w:rPr>
      </w:pPr>
    </w:p>
    <w:p w14:paraId="07A618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декабря 1935 года 5-й тяжелый танковый полк Резерва Главного Командования (РГК) в Харькове, в который поступили первые Т-35, был развернут в 5-ю отдельную тяжелую танковую бригаду. Организационно она состояла из трех линейных танковых батальонов одного учебного батальона боевого обеспечения и других подразделений (3862).</w:t>
      </w:r>
    </w:p>
    <w:p w14:paraId="09F422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Помимо 5-й тяжелой танковой бригады танки Т-35 поступали в различные военные учебные заведения. Так, по данным на 1 января 1938 года в РККА имелся 41 танк Т-35, 27 - в уже упомянутой танковой бригаде, 1 - на Казанских бронетанковых курсах усовершенствования технического состава (КБТКУТС), 2 - на НИБТ полигоне в Кубинке, 1 - в 3-й тяжелой танковой бригаде в Рязани 1 - при Военной академии моторизации и механизации (ВАММ) в Москве, 1 - в Орловской бронетанковой школе, 1 - на ЛБТКУКС (Т-35-1), 1 - в Ленинградской школе танковых техников, 1 - в Институте # 20 (с системой централизованной наводки) и 5 - на ХПЗ (3862).</w:t>
      </w:r>
    </w:p>
    <w:p w14:paraId="75E03CEB" w14:textId="77777777" w:rsidR="00D4105E" w:rsidRPr="00E14102" w:rsidRDefault="00D4105E" w:rsidP="00E14102">
      <w:pPr>
        <w:autoSpaceDE w:val="0"/>
        <w:autoSpaceDN w:val="0"/>
        <w:adjustRightInd w:val="0"/>
        <w:jc w:val="both"/>
        <w:rPr>
          <w:color w:val="000000" w:themeColor="text1"/>
          <w:sz w:val="16"/>
          <w:szCs w:val="16"/>
        </w:rPr>
      </w:pPr>
    </w:p>
    <w:p w14:paraId="368DEE7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7E01549E" w14:textId="77777777" w:rsidR="00D4105E" w:rsidRPr="00E14102" w:rsidRDefault="00D4105E" w:rsidP="00E14102">
      <w:pPr>
        <w:autoSpaceDE w:val="0"/>
        <w:autoSpaceDN w:val="0"/>
        <w:adjustRightInd w:val="0"/>
        <w:jc w:val="both"/>
        <w:rPr>
          <w:iCs/>
          <w:color w:val="000000" w:themeColor="text1"/>
          <w:sz w:val="16"/>
          <w:szCs w:val="16"/>
        </w:rPr>
      </w:pPr>
    </w:p>
    <w:p w14:paraId="14181D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декабря 1935 года Наркомом обороны была утверждена организация тяжелых танковых бригад (3862).</w:t>
      </w:r>
    </w:p>
    <w:p w14:paraId="7C1D362E" w14:textId="77777777" w:rsidR="00D4105E" w:rsidRPr="00E14102" w:rsidRDefault="00D4105E" w:rsidP="00E14102">
      <w:pPr>
        <w:autoSpaceDE w:val="0"/>
        <w:autoSpaceDN w:val="0"/>
        <w:adjustRightInd w:val="0"/>
        <w:jc w:val="both"/>
        <w:rPr>
          <w:color w:val="000000" w:themeColor="text1"/>
          <w:sz w:val="16"/>
          <w:szCs w:val="16"/>
        </w:rPr>
      </w:pPr>
    </w:p>
    <w:p w14:paraId="07B470D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05A5C00" w14:textId="77777777" w:rsidR="00D4105E" w:rsidRPr="00E14102" w:rsidRDefault="00D4105E" w:rsidP="00E14102">
      <w:pPr>
        <w:autoSpaceDE w:val="0"/>
        <w:autoSpaceDN w:val="0"/>
        <w:adjustRightInd w:val="0"/>
        <w:jc w:val="both"/>
        <w:rPr>
          <w:iCs/>
          <w:color w:val="000000" w:themeColor="text1"/>
          <w:sz w:val="16"/>
          <w:szCs w:val="16"/>
        </w:rPr>
      </w:pPr>
    </w:p>
    <w:p w14:paraId="158828B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 декабря 1935 согласно судебному обвинению, Пятаков тайно прилетел в Осло для встречи с Троцким (данный факт был опровергнут норвежскими газетами) (4962).</w:t>
      </w:r>
    </w:p>
    <w:p w14:paraId="238DED1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6CD36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12 и 18 декабря 1935. Протокол заседания Политбюро № 35, 1935 г.</w:t>
      </w:r>
    </w:p>
    <w:p w14:paraId="59A5B1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Предложения т. М. Кольцова </w:t>
      </w:r>
    </w:p>
    <w:p w14:paraId="44A791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Принять следующие предложения т. Кольцова. </w:t>
      </w:r>
    </w:p>
    <w:p w14:paraId="6B8CD6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Считать целесообразным ликвидацию находящегося в Москве Международного объединения Революционных Писателей (МОРП) и его секций, за исключением тех стран, где они являются самостоятельными жизнеспособными организациями (Франция, США). </w:t>
      </w:r>
    </w:p>
    <w:p w14:paraId="150B8E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 Разрешить приглашение Союзом СП ежегодно 10-12 иностранных писателей для ознакомления с СССР. Предложить "Интуристу" взять на себя материально-бытовое обслуживание писателей и их проезд. </w:t>
      </w:r>
    </w:p>
    <w:p w14:paraId="77597D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Поручить Журнально-газетному объединению регулярный и быстрый выпуск на русском языке новинок иностранной художественной литературы в общедоступном массовом издании по типу прежней "Универсальной библиотечки"... (11652).</w:t>
      </w:r>
    </w:p>
    <w:p w14:paraId="3F41E949" w14:textId="77777777" w:rsidR="00D4105E" w:rsidRPr="00E14102" w:rsidRDefault="00D4105E" w:rsidP="00E14102">
      <w:pPr>
        <w:autoSpaceDE w:val="0"/>
        <w:autoSpaceDN w:val="0"/>
        <w:adjustRightInd w:val="0"/>
        <w:jc w:val="both"/>
        <w:rPr>
          <w:color w:val="000000" w:themeColor="text1"/>
          <w:sz w:val="16"/>
          <w:szCs w:val="16"/>
        </w:rPr>
      </w:pPr>
    </w:p>
    <w:p w14:paraId="5E9F61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12 и 18 декабря 1935. Протокол заседания Политбюро № 35, 1935 г.</w:t>
      </w:r>
    </w:p>
    <w:p w14:paraId="237A85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пенсии А. А. Тимирязьевой</w:t>
      </w:r>
    </w:p>
    <w:p w14:paraId="2E5B73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Установить А. А. Тимирязьевой (вдова академика К. А. Тимирязева.— "Власть") пожизненную пенсию в размере 500 рублей в месяц и выдать единовременное пособие в размере 3 тысяч рублей (11652).</w:t>
      </w:r>
    </w:p>
    <w:p w14:paraId="0575E3E7" w14:textId="77777777" w:rsidR="00D4105E" w:rsidRPr="00E14102" w:rsidRDefault="00D4105E" w:rsidP="00E14102">
      <w:pPr>
        <w:autoSpaceDE w:val="0"/>
        <w:autoSpaceDN w:val="0"/>
        <w:adjustRightInd w:val="0"/>
        <w:jc w:val="both"/>
        <w:rPr>
          <w:color w:val="000000" w:themeColor="text1"/>
          <w:sz w:val="16"/>
          <w:szCs w:val="16"/>
        </w:rPr>
      </w:pPr>
    </w:p>
    <w:p w14:paraId="16B4CE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12 и 18 декабря 1935. Протокол заседания Политбюро № 35, 1935 г.</w:t>
      </w:r>
    </w:p>
    <w:p w14:paraId="315E92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школах в трудпоселках</w:t>
      </w:r>
    </w:p>
    <w:p w14:paraId="14148C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СНК СССР и ЦК ВКП(б) отмечают неудовлетворительное руководство со стороны Наркомпроса РСФСР делом обучения и воспитания детей трудпоселенцев: школы в трудпоселках не укомплектованы учительскими кадрами, среди учителей очень мало членов партии и комсомольцев, педагогическая подготовка подавляющей части учителей совершенно недостаточна... </w:t>
      </w:r>
    </w:p>
    <w:p w14:paraId="735C1D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СНК СССР и ЦК ВКП(б) постановляют: </w:t>
      </w:r>
    </w:p>
    <w:p w14:paraId="2FEFD9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Обязать Наркомпрос РСФСР совместно с НКВД в месячный срок разработать и внести на утверждение Отдела школ ЦК ВКП(б) конкретные мероприятия по развертыванию и укреплению школьной сети в трудпоселках, обеспечив детей трудпоселенцев всеобщим обучением на общих основаниях. В плане школьного строительства на ближайшие 2-3 года предусмотреть постройку новых школьных зданий (от начальных до средних школ) в наиболее крупных трудпоселках за счет местного бюджета. </w:t>
      </w:r>
    </w:p>
    <w:p w14:paraId="1F7E8F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 Установить, что непосредственное руководство школами трудпоселков (назначение административного и учительского состава, инспектирование, снабжение учебными пособиями, финансирование и т. д.) осуществляют соответствующие отделы народного образования. Краевым и областным отделам народного образования обеспечить систематический контроль и наблюдение за состоянием школ в трудпоселках. </w:t>
      </w:r>
    </w:p>
    <w:p w14:paraId="554496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3. Наркомпросу РСФСР в двухмесячный срок полностью укомплектовать школы в трудпоселках проверенными кадрами подготовленных учителей, имеющих высшее или среднее педагогическое образование. </w:t>
      </w:r>
    </w:p>
    <w:p w14:paraId="43483C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4. Поручить ЦК ВЛКСМ в месячный срок наметить и провести в жизнь ряд мероприятий по укреплению пионерских организаций в школах трудпоселков, учтя особые условия и значение политического воспитания детей трудпоселенцев. ЦК ВЛКСМ командировать в распоряжение Наркомпроса РСФСР не менее 100 комсомольцев для работы в школах трудпоселков. </w:t>
      </w:r>
    </w:p>
    <w:p w14:paraId="454323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Детей трудпоселенцев, окончивших неполную среднюю школу, принимать на общих основаниях как в техникумы, так и в другие специальные средние учебные заведения; окончивших среднюю школу допускать на общих основаниях в высшие учебные заведения (11652).</w:t>
      </w:r>
    </w:p>
    <w:p w14:paraId="3BC7E365" w14:textId="77777777" w:rsidR="00D4105E" w:rsidRPr="00E14102" w:rsidRDefault="00D4105E" w:rsidP="00E14102">
      <w:pPr>
        <w:autoSpaceDE w:val="0"/>
        <w:autoSpaceDN w:val="0"/>
        <w:adjustRightInd w:val="0"/>
        <w:jc w:val="both"/>
        <w:rPr>
          <w:color w:val="000000" w:themeColor="text1"/>
          <w:sz w:val="16"/>
          <w:szCs w:val="16"/>
        </w:rPr>
      </w:pPr>
    </w:p>
    <w:p w14:paraId="7E6B6EA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A81227B" w14:textId="77777777" w:rsidR="00D4105E" w:rsidRPr="00E14102" w:rsidRDefault="00D4105E" w:rsidP="00E14102">
      <w:pPr>
        <w:autoSpaceDE w:val="0"/>
        <w:autoSpaceDN w:val="0"/>
        <w:adjustRightInd w:val="0"/>
        <w:jc w:val="both"/>
        <w:rPr>
          <w:iCs/>
          <w:color w:val="000000" w:themeColor="text1"/>
          <w:sz w:val="16"/>
          <w:szCs w:val="16"/>
        </w:rPr>
      </w:pPr>
    </w:p>
    <w:p w14:paraId="4714C7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декабря 1935 в Египте националисты потребовали восстановления конституции 1923 года (3907,193).</w:t>
      </w:r>
    </w:p>
    <w:p w14:paraId="03434007" w14:textId="77777777" w:rsidR="00D4105E" w:rsidRPr="00E14102" w:rsidRDefault="00D4105E" w:rsidP="00E14102">
      <w:pPr>
        <w:autoSpaceDE w:val="0"/>
        <w:autoSpaceDN w:val="0"/>
        <w:adjustRightInd w:val="0"/>
        <w:jc w:val="both"/>
        <w:rPr>
          <w:color w:val="000000" w:themeColor="text1"/>
          <w:sz w:val="16"/>
          <w:szCs w:val="16"/>
        </w:rPr>
      </w:pPr>
    </w:p>
    <w:p w14:paraId="45FBF38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DB98716" w14:textId="77777777" w:rsidR="00D4105E" w:rsidRPr="00E14102" w:rsidRDefault="00D4105E" w:rsidP="00E14102">
      <w:pPr>
        <w:autoSpaceDE w:val="0"/>
        <w:autoSpaceDN w:val="0"/>
        <w:adjustRightInd w:val="0"/>
        <w:jc w:val="both"/>
        <w:rPr>
          <w:iCs/>
          <w:color w:val="000000" w:themeColor="text1"/>
          <w:sz w:val="16"/>
          <w:szCs w:val="16"/>
        </w:rPr>
      </w:pPr>
    </w:p>
    <w:p w14:paraId="018045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декабря 1934 Нач. ГУАП М.М.К. писал Нач. ХАИ Красильникову письмо N 242/5827с на вх. N 1320с от 25 ноября 1935 по вопросу о ХАИ-5 с К-14:</w:t>
      </w:r>
    </w:p>
    <w:p w14:paraId="30E64A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"Сообщаю, что вопрос о модификации ХАИ-5 под К-14 может быть разрешен в положительном плане лишь в случае удовлетворительных результатов испытаний ХАИ-5 с К-9." (2336,170).</w:t>
      </w:r>
    </w:p>
    <w:p w14:paraId="0DB9B377" w14:textId="77777777" w:rsidR="00D4105E" w:rsidRPr="00E14102" w:rsidRDefault="00D4105E" w:rsidP="00E14102">
      <w:pPr>
        <w:autoSpaceDE w:val="0"/>
        <w:autoSpaceDN w:val="0"/>
        <w:adjustRightInd w:val="0"/>
        <w:jc w:val="both"/>
        <w:rPr>
          <w:color w:val="000000" w:themeColor="text1"/>
          <w:sz w:val="16"/>
          <w:szCs w:val="16"/>
        </w:rPr>
      </w:pPr>
    </w:p>
    <w:p w14:paraId="2826A3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декабря 1935 года под управлением летчика Петрова при наблюдателе ведущем инженере Каштанове Н.Н. был совершен первый полет</w:t>
      </w:r>
      <w:r w:rsidR="00CD3BA6" w:rsidRPr="00E14102">
        <w:rPr>
          <w:color w:val="000000" w:themeColor="text1"/>
          <w:sz w:val="16"/>
          <w:szCs w:val="16"/>
        </w:rPr>
        <w:t xml:space="preserve"> БОК-1</w:t>
      </w:r>
      <w:r w:rsidRPr="00E14102">
        <w:rPr>
          <w:color w:val="000000" w:themeColor="text1"/>
          <w:sz w:val="16"/>
          <w:szCs w:val="16"/>
        </w:rPr>
        <w:t>. Серия последующих полетов, проведенных в 1936 году показала полную управляемость самолета и хорошую его устойчивость в полете (7851).</w:t>
      </w:r>
    </w:p>
    <w:p w14:paraId="6D6A9192" w14:textId="77777777" w:rsidR="00D4105E" w:rsidRPr="00E14102" w:rsidRDefault="00D4105E" w:rsidP="00E14102">
      <w:pPr>
        <w:autoSpaceDE w:val="0"/>
        <w:autoSpaceDN w:val="0"/>
        <w:adjustRightInd w:val="0"/>
        <w:jc w:val="both"/>
        <w:rPr>
          <w:color w:val="000000" w:themeColor="text1"/>
          <w:sz w:val="16"/>
          <w:szCs w:val="16"/>
        </w:rPr>
      </w:pPr>
    </w:p>
    <w:p w14:paraId="2C5F7C86" w14:textId="77777777" w:rsidR="00103BC7" w:rsidRPr="00E14102" w:rsidRDefault="00103BC7" w:rsidP="00E14102">
      <w:pPr>
        <w:jc w:val="both"/>
        <w:rPr>
          <w:color w:val="000000" w:themeColor="text1"/>
          <w:sz w:val="16"/>
          <w:szCs w:val="16"/>
        </w:rPr>
      </w:pPr>
      <w:r w:rsidRPr="00E14102">
        <w:rPr>
          <w:color w:val="000000" w:themeColor="text1"/>
          <w:sz w:val="16"/>
          <w:szCs w:val="16"/>
        </w:rPr>
        <w:t>13 декабря 1935 года первый полёт первого советского стратосферного самолёта БОК-1 (19162)</w:t>
      </w:r>
    </w:p>
    <w:p w14:paraId="6638E0E4" w14:textId="77777777" w:rsidR="00103BC7" w:rsidRPr="00E14102" w:rsidRDefault="00103BC7" w:rsidP="00E14102">
      <w:pPr>
        <w:jc w:val="both"/>
        <w:rPr>
          <w:color w:val="000000" w:themeColor="text1"/>
          <w:sz w:val="16"/>
          <w:szCs w:val="16"/>
        </w:rPr>
      </w:pPr>
    </w:p>
    <w:p w14:paraId="2F187E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декабря 1935 в воздух поднялся БОК-1 В.А.Чижевского с аэродрома завода N 35. БОК-1 был сделан на базе РД и ГК регенерационного была трехместной. Пилотировал И.Ф.Петров. Несмотря на -50 за бортом температура воздуха в кабине и влажность были высоки. ТК разрушались (3391).</w:t>
      </w:r>
    </w:p>
    <w:p w14:paraId="59AEF9B1" w14:textId="77777777" w:rsidR="00D4105E" w:rsidRPr="00E14102" w:rsidRDefault="00D4105E" w:rsidP="00E14102">
      <w:pPr>
        <w:autoSpaceDE w:val="0"/>
        <w:autoSpaceDN w:val="0"/>
        <w:adjustRightInd w:val="0"/>
        <w:jc w:val="both"/>
        <w:rPr>
          <w:color w:val="000000" w:themeColor="text1"/>
          <w:sz w:val="16"/>
          <w:szCs w:val="16"/>
        </w:rPr>
      </w:pPr>
    </w:p>
    <w:p w14:paraId="28ADE2DA" w14:textId="77777777" w:rsidR="00CD3BA6" w:rsidRPr="00E14102" w:rsidRDefault="00CD3BA6" w:rsidP="00E14102">
      <w:pPr>
        <w:jc w:val="both"/>
        <w:rPr>
          <w:color w:val="000000" w:themeColor="text1"/>
          <w:sz w:val="16"/>
          <w:szCs w:val="16"/>
        </w:rPr>
      </w:pPr>
      <w:r w:rsidRPr="00E14102">
        <w:rPr>
          <w:color w:val="000000" w:themeColor="text1"/>
          <w:sz w:val="16"/>
          <w:szCs w:val="16"/>
        </w:rPr>
        <w:lastRenderedPageBreak/>
        <w:t>13 декабря 1935 с аэродрома авиа</w:t>
      </w:r>
      <w:r w:rsidRPr="00E14102">
        <w:rPr>
          <w:color w:val="000000" w:themeColor="text1"/>
          <w:sz w:val="16"/>
          <w:szCs w:val="16"/>
        </w:rPr>
        <w:softHyphen/>
        <w:t>ционного завода № 35 в Смоленске впер</w:t>
      </w:r>
      <w:r w:rsidRPr="00E14102">
        <w:rPr>
          <w:color w:val="000000" w:themeColor="text1"/>
          <w:sz w:val="16"/>
          <w:szCs w:val="16"/>
        </w:rPr>
        <w:softHyphen/>
        <w:t>вые в Советском Союзе поднялся в воздух самолет с герметичной кабиной БОК-1, пилотируемый военным летчиком-испы</w:t>
      </w:r>
      <w:r w:rsidRPr="00E14102">
        <w:rPr>
          <w:color w:val="000000" w:themeColor="text1"/>
          <w:sz w:val="16"/>
          <w:szCs w:val="16"/>
        </w:rPr>
        <w:softHyphen/>
        <w:t>тателем И.Ф. Петровым (наблюдатель - Н.Н. Каштанов). В то время летчик Петров служил в НИИ ВВС в должности началь</w:t>
      </w:r>
      <w:r w:rsidRPr="00E14102">
        <w:rPr>
          <w:color w:val="000000" w:themeColor="text1"/>
          <w:sz w:val="16"/>
          <w:szCs w:val="16"/>
        </w:rPr>
        <w:softHyphen/>
        <w:t>ника отдела. Поскольку в Бюро особых конструкций (БОК) не было своей летно- испытательной службы и, соответственно, летчиков-испытателей, то по договорен</w:t>
      </w:r>
      <w:r w:rsidRPr="00E14102">
        <w:rPr>
          <w:color w:val="000000" w:themeColor="text1"/>
          <w:sz w:val="16"/>
          <w:szCs w:val="16"/>
        </w:rPr>
        <w:softHyphen/>
        <w:t>ности с руководством ВВС заводские ис</w:t>
      </w:r>
      <w:r w:rsidRPr="00E14102">
        <w:rPr>
          <w:color w:val="000000" w:themeColor="text1"/>
          <w:sz w:val="16"/>
          <w:szCs w:val="16"/>
        </w:rPr>
        <w:softHyphen/>
        <w:t>пытания поручили Ивану Федоровичу (12725).</w:t>
      </w:r>
    </w:p>
    <w:p w14:paraId="31E4A016" w14:textId="77777777" w:rsidR="00CD3BA6" w:rsidRPr="00E14102" w:rsidRDefault="00CD3BA6" w:rsidP="00E14102">
      <w:pPr>
        <w:jc w:val="both"/>
        <w:rPr>
          <w:color w:val="000000" w:themeColor="text1"/>
          <w:sz w:val="16"/>
          <w:szCs w:val="16"/>
        </w:rPr>
      </w:pPr>
    </w:p>
    <w:p w14:paraId="2ADE2C22" w14:textId="77777777" w:rsidR="00956454" w:rsidRPr="00E14102" w:rsidRDefault="00956454" w:rsidP="00E14102">
      <w:pPr>
        <w:jc w:val="both"/>
        <w:rPr>
          <w:color w:val="000000" w:themeColor="text1"/>
          <w:sz w:val="16"/>
          <w:szCs w:val="16"/>
        </w:rPr>
      </w:pPr>
      <w:r w:rsidRPr="00E14102">
        <w:rPr>
          <w:color w:val="000000" w:themeColor="text1"/>
          <w:sz w:val="16"/>
          <w:szCs w:val="16"/>
        </w:rPr>
        <w:t>13 декабря 1935 г. начальник отдела сухопутных самолётов НИИ ВВС И.Ф. Петров поднял БОК-1 с заводского аэродрома в первый полёт. Второе кресло занимал ведущий инженер самолёта Н.Н. Каштанов. Взлёт происходил со снега на лыжном шасси. Затем последовали доводки машины и новые полёты, была достигнута высота 9000 м.</w:t>
      </w:r>
    </w:p>
    <w:p w14:paraId="284FDA69" w14:textId="77777777" w:rsidR="00956454" w:rsidRPr="00E14102" w:rsidRDefault="00956454" w:rsidP="00E14102">
      <w:pPr>
        <w:jc w:val="both"/>
        <w:rPr>
          <w:color w:val="000000" w:themeColor="text1"/>
          <w:sz w:val="16"/>
          <w:szCs w:val="16"/>
        </w:rPr>
      </w:pPr>
      <w:r w:rsidRPr="00E14102">
        <w:rPr>
          <w:color w:val="000000" w:themeColor="text1"/>
          <w:sz w:val="16"/>
          <w:szCs w:val="16"/>
        </w:rPr>
        <w:t>Как отмечалось, внешне БОК-1 был похож на самолёт РД (АНТ-25). Конструкция планера также не имела принципиальных отличий — это был одномоторный металлический низкоплан с крылом большого размаха с гофрированной обшивкой. Как на АНТ-25, для уменьшения аэродинамического сопротивления поверх гофра крыла натянули отлакированное полотно. Проводка управления элеронами и рулями высоты была жёсткая, рулём направления и переставным стабилизатором — тросовая. Мотор — такой же, как на АНТ-25, редукторный М-34, но с односкоростным нагнетателем, обеспечивающим сохранение мощности 725 л. с. до высоты 4000 м. Винтов изменяемого в полёте шага ещё не было, поэтому на БОК-1 установили обычный деревянный винт диаметром 4 м. Он имел четыре лопасти, чтобы захватывать достаточное количество воздуха в разряженной на высоте атмосфере. В процессе испытательных полётов его заменили на трёхлопастный металлический винт с изменяемым на земле углом установки лопастей.</w:t>
      </w:r>
    </w:p>
    <w:p w14:paraId="1A7AC19E" w14:textId="77777777" w:rsidR="00956454" w:rsidRPr="00E14102" w:rsidRDefault="00956454" w:rsidP="00E14102">
      <w:pPr>
        <w:jc w:val="both"/>
        <w:rPr>
          <w:color w:val="000000" w:themeColor="text1"/>
          <w:sz w:val="16"/>
          <w:szCs w:val="16"/>
        </w:rPr>
      </w:pPr>
      <w:r w:rsidRPr="00E14102">
        <w:rPr>
          <w:color w:val="000000" w:themeColor="text1"/>
          <w:sz w:val="16"/>
          <w:szCs w:val="16"/>
        </w:rPr>
        <w:t>Отличия «БОКа» заключались в неубираемом в полёте шасси и изменённой конструктивно-силовой схеме крыла с топливными баками только в его корневой части (запас топлива стратоплана составлял 500 кг — в 13 раз меньше, чем на построенном для рекорда дальности АНТ-25). Вместо обычной за стеклённой кабины применялись небольшие иллюминаторы, как на корабле или подводной лодке.</w:t>
      </w:r>
    </w:p>
    <w:p w14:paraId="72628B35" w14:textId="77777777" w:rsidR="00956454" w:rsidRPr="00E14102" w:rsidRDefault="00956454" w:rsidP="00E14102">
      <w:pPr>
        <w:jc w:val="both"/>
        <w:rPr>
          <w:color w:val="000000" w:themeColor="text1"/>
          <w:sz w:val="16"/>
          <w:szCs w:val="16"/>
        </w:rPr>
      </w:pPr>
      <w:r w:rsidRPr="00E14102">
        <w:rPr>
          <w:color w:val="000000" w:themeColor="text1"/>
          <w:sz w:val="16"/>
          <w:szCs w:val="16"/>
        </w:rPr>
        <w:t>Но главное новшество находилось внутри самолёта. В центральной секции фюзеляжа имелся большой вырез, в который вставлялась двухместная гермокабина объёмом 1,8 м3 для пилота и наблюдателя (штурмана). Она имела овальную форму, так что её верхняя часть выступала из фюзеляжа. 11 шпангоутов обеспечивали ей необходимую жёсткость на больших высотах, когда разница давлений внутри и снаружи самолёта достигала 0,8 атм. Кабина была обшита дюралюминиевыми листами 2-мм толщины. Для герметичности применялся двухрядный заклёпочной шов, промазанный перед клёпкой свинцовыми белилами. Сверху кабина была обшита слоем войлока, а снизу обдувалась потоком тёплого воздуха, проходящего через радиатор двигателя.</w:t>
      </w:r>
    </w:p>
    <w:p w14:paraId="49837507" w14:textId="77777777" w:rsidR="00956454" w:rsidRPr="00E14102" w:rsidRDefault="00956454" w:rsidP="00E14102">
      <w:pPr>
        <w:jc w:val="both"/>
        <w:rPr>
          <w:color w:val="000000" w:themeColor="text1"/>
          <w:sz w:val="16"/>
          <w:szCs w:val="16"/>
        </w:rPr>
      </w:pPr>
      <w:r w:rsidRPr="00E14102">
        <w:rPr>
          <w:color w:val="000000" w:themeColor="text1"/>
          <w:sz w:val="16"/>
          <w:szCs w:val="16"/>
        </w:rPr>
        <w:t>В кабине были прорезаны иллюминаторы — впереди для лётчика и сзади по бокам для наблюдателя. Стекла из закалённого стекла имели толщину 15 мм. Для предотвращения запотевания и обмерзания в иллюминаторы вставили вторые, более тонкие стекла. Пространство между ними продувалось тёплым воздухом от двигателя, подаваемым по трубам с помощью вентилятора. Кроме того, между стёклами поместили вещество, поглощающее влагу — хлорид кальция с селикагелем.</w:t>
      </w:r>
    </w:p>
    <w:p w14:paraId="532D6249" w14:textId="77777777" w:rsidR="00956454" w:rsidRPr="00E14102" w:rsidRDefault="00956454" w:rsidP="00E14102">
      <w:pPr>
        <w:jc w:val="both"/>
        <w:rPr>
          <w:color w:val="000000" w:themeColor="text1"/>
          <w:sz w:val="16"/>
          <w:szCs w:val="16"/>
        </w:rPr>
      </w:pPr>
      <w:r w:rsidRPr="00E14102">
        <w:rPr>
          <w:color w:val="000000" w:themeColor="text1"/>
          <w:sz w:val="16"/>
          <w:szCs w:val="16"/>
        </w:rPr>
        <w:t>Управление мотором и рулями осуществлялось вращением валов, пропущенных через стенки кабины с помощью сальников. Сальники имели камеры, в которые заливалась смесь глицерина и спирта. Эта герметизирующая смесь оставалась жидкой при температуре до -70 °C. Приборы, связанные с внешней средой — альтиметр, указатель скорости, указатель поворотов, авиагоризонт — находились в гермоотсеке с герметизированной проводкой к внешним датчикам.</w:t>
      </w:r>
    </w:p>
    <w:p w14:paraId="0F207512" w14:textId="77777777" w:rsidR="00956454" w:rsidRPr="00E14102" w:rsidRDefault="00956454" w:rsidP="00E14102">
      <w:pPr>
        <w:jc w:val="both"/>
        <w:rPr>
          <w:color w:val="000000" w:themeColor="text1"/>
          <w:sz w:val="16"/>
          <w:szCs w:val="16"/>
        </w:rPr>
      </w:pPr>
      <w:r w:rsidRPr="00E14102">
        <w:rPr>
          <w:color w:val="000000" w:themeColor="text1"/>
          <w:sz w:val="16"/>
          <w:szCs w:val="16"/>
        </w:rPr>
        <w:t>К люку кабины с винтовым запором экипаж попадал через верхний люк в фюзеляже и негерметизированный отсек за кабиной. В этом отсеке пилот и наблюдатель оставляли свои парашюты, так как в тесной гермокабине с ними нельзя было бы разместиться.</w:t>
      </w:r>
    </w:p>
    <w:p w14:paraId="6B37F240" w14:textId="77777777" w:rsidR="00956454" w:rsidRPr="00E14102" w:rsidRDefault="00956454" w:rsidP="00E14102">
      <w:pPr>
        <w:jc w:val="both"/>
        <w:rPr>
          <w:color w:val="000000" w:themeColor="text1"/>
          <w:sz w:val="16"/>
          <w:szCs w:val="16"/>
        </w:rPr>
      </w:pPr>
      <w:r w:rsidRPr="00E14102">
        <w:rPr>
          <w:color w:val="000000" w:themeColor="text1"/>
          <w:sz w:val="16"/>
          <w:szCs w:val="16"/>
        </w:rPr>
        <w:t>Кабина герметизировалась при подъёме на 3–4 тыс. метров. Кислород поступал в неё из баллонов из расчёта 60 литров в час на человека. Углекислота и влага, выделяемые при дыхании, поглощались адсорбентами в специальных ёмкостях, через которые постоянно пропускался воздух кабины. При создании этой системы жизнеобеспечения конструкторы основывалась на опыте постройки гондолы стратостата «СССР-1» (17489).</w:t>
      </w:r>
    </w:p>
    <w:p w14:paraId="5C5582BA" w14:textId="77777777" w:rsidR="00956454" w:rsidRPr="00E14102" w:rsidRDefault="00956454" w:rsidP="00E14102">
      <w:pPr>
        <w:jc w:val="both"/>
        <w:rPr>
          <w:color w:val="000000" w:themeColor="text1"/>
          <w:sz w:val="16"/>
          <w:szCs w:val="16"/>
        </w:rPr>
      </w:pPr>
    </w:p>
    <w:p w14:paraId="5784EE9D" w14:textId="77777777" w:rsidR="001D1A86" w:rsidRPr="00E14102" w:rsidRDefault="001D1A86" w:rsidP="00E14102">
      <w:pPr>
        <w:jc w:val="both"/>
        <w:rPr>
          <w:color w:val="000000" w:themeColor="text1"/>
          <w:sz w:val="16"/>
          <w:szCs w:val="16"/>
        </w:rPr>
      </w:pPr>
      <w:r w:rsidRPr="00E14102">
        <w:rPr>
          <w:bCs/>
          <w:color w:val="000000" w:themeColor="text1"/>
          <w:sz w:val="16"/>
          <w:szCs w:val="16"/>
        </w:rPr>
        <w:t>13 декабря</w:t>
      </w:r>
      <w:r w:rsidRPr="00E14102">
        <w:rPr>
          <w:color w:val="000000" w:themeColor="text1"/>
          <w:sz w:val="16"/>
          <w:szCs w:val="16"/>
        </w:rPr>
        <w:t xml:space="preserve"> в 1935 году первый полет первого советского стратосферного самолета В.А.Чижевского «БОК-1» с гермокабиной, летчик-испытатель И.Ф.Петров (14859).</w:t>
      </w:r>
    </w:p>
    <w:p w14:paraId="21C2DD18" w14:textId="77777777" w:rsidR="001D1A86" w:rsidRPr="00E14102" w:rsidRDefault="001D1A86" w:rsidP="00E14102">
      <w:pPr>
        <w:jc w:val="both"/>
        <w:rPr>
          <w:color w:val="000000" w:themeColor="text1"/>
          <w:sz w:val="16"/>
          <w:szCs w:val="16"/>
        </w:rPr>
      </w:pPr>
    </w:p>
    <w:p w14:paraId="28BC22C8" w14:textId="77777777" w:rsidR="00483559" w:rsidRPr="00E14102" w:rsidRDefault="00483559" w:rsidP="00E14102">
      <w:pPr>
        <w:shd w:val="clear" w:color="auto" w:fill="FFFFFF"/>
        <w:jc w:val="both"/>
        <w:rPr>
          <w:color w:val="0070C0"/>
          <w:sz w:val="16"/>
          <w:szCs w:val="16"/>
        </w:rPr>
      </w:pPr>
      <w:r w:rsidRPr="00E14102">
        <w:rPr>
          <w:color w:val="0070C0"/>
          <w:sz w:val="16"/>
          <w:szCs w:val="16"/>
        </w:rPr>
        <w:t>13 декабря 1935 г. состоялся первый полёт БОК-1 (19876).</w:t>
      </w:r>
    </w:p>
    <w:p w14:paraId="548F1B43" w14:textId="77777777" w:rsidR="00483559" w:rsidRPr="00E14102" w:rsidRDefault="00483559" w:rsidP="00E14102">
      <w:pPr>
        <w:shd w:val="clear" w:color="auto" w:fill="FFFFFF"/>
        <w:jc w:val="both"/>
        <w:rPr>
          <w:color w:val="0070C0"/>
          <w:sz w:val="16"/>
          <w:szCs w:val="16"/>
        </w:rPr>
      </w:pPr>
    </w:p>
    <w:p w14:paraId="4BA8B6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декабря 1935 г. летчик-испытатель И.Ф.Петров с ведущим инженером и одним из создателей самолета Н.Н.Каштановым совершили на БОК-1 первый полет. Давление в полете внутри гермокабины соответствовало 2-3 км высоты, температура доходила до +25°С.</w:t>
      </w:r>
    </w:p>
    <w:p w14:paraId="2266F7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Затем последовали доводки систем самолета и очередные полеты. Иван Федорович Петров так описал эти события: "В 1936 г. я начинал заводские испытания первого советского самолета с герметической кабиной - БОК-1 конструкции Владимира Антоновича Чижевского. Заводской аэродром находился под Смоленском, и, в течение полутора лет, мне еженедельно приходилось ездить в Смоленск на испытания. В субботу вечером я уезжал из Москвы, спал в поезде, в воскресенье весь день проводил испытания, а вечером снова садился в поезд, чтобы в понедельник утром быть на своем рабочем месте в НИИ ВВС.</w:t>
      </w:r>
    </w:p>
    <w:p w14:paraId="63386E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Говорят первый блин комом. Естественно, что и первая герметичная самолетная кабина была совсем не похожа на те комфортабельные салоны, в которых мы все теперь привыкли летать. На самолете БОК-1 она представляла собой тесную цистерну с тремя маленькими око- шечками-иллюминаторами, не дававшему почти никакого обзора летчику. И так как располагалась эта бочка над радиатором водяного охлаждения довольно мощного двигателя М-34РН, то летная форма моя была весьма своеобразной: трусы и штук шесть полотенец. В полете температура в кабине из-за подогрева снизу поднималась до сорока градусов.</w:t>
      </w:r>
    </w:p>
    <w:p w14:paraId="06FFAF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Такое мотание из Москвы в Смоленск и обратно было, конечно, весьма изнурительным, и для продолжения испытаний я командировал в Смоленск летчика-испытателя своего отдела П.М.Стефановского, который успешно и завершил их".</w:t>
      </w:r>
    </w:p>
    <w:p w14:paraId="19F113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Петр Михайлович Стефановский к испытаниям БОК-1 подключился летом 1936-го года. Согласно официальным документам, 25 июля 1936 г. Стефановский с наблюдателем Каштановым достигли высоты 10.875 метров. Сам Петр Михайлович в своей книге воспоминаний "Триста неизвестных" дает другие значения. Впрочем, он описывает летние события 1936-го достаточно подробно, поэтому стоит их воспроизвести в изложении Стефановского:</w:t>
      </w:r>
    </w:p>
    <w:p w14:paraId="508A50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"Средняя часть фюзеляжа БОК-1 представляла собой цилиндрическую цистерну с тремя крошечными герметическими окошечками впереди. Левое отвинчивалось на манер пароходного иллюминатора. Вход в самолет располагался в корме цистерны. Ни дать, ни взять - люк подводной лодки. Задраивается, как и там, винтовым затвором.</w:t>
      </w:r>
    </w:p>
    <w:p w14:paraId="654FFE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это или подводная лодка, а лететь надо... Влезаем в верхнее отверстие, что в хвостовой части машины, оставляем тут парашюты. С ними в пилотскую кабину не проберешься: до нее метров шесть ползти внутри фюзеляжа надо. В кабине с парашютами и не разместишься - тесно до крайности. М-да, компоно- вочка!..</w:t>
      </w:r>
    </w:p>
    <w:p w14:paraId="48DF68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Парашюты совсем ни к чему. Коль "посыплемся", до них ни за что не доберешься. И без них не полетишь - инструкциями разными предусмотрены. Осторожность...</w:t>
      </w:r>
    </w:p>
    <w:p w14:paraId="3DB98B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Чего это я разворчался? Ползать не привык? В самолете - не привык. Но дополз. Уселся в свое кресло. Позади устроился Каштанов - ведущий инженер самолета. Осматриваюсь. Не кабина, а мышеловка. Теснотища неимоверная. Обзор - ни к черту. Видно воздушный винт, да градусов по пятнадцать в стороны.</w:t>
      </w:r>
    </w:p>
    <w:p w14:paraId="1229E8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Каштанов толкает в плечо - запускай. Мотор хорош. Взял сразу. Чувствуется - силен. И послушен. В кабине его совершенно не слышно. Герметика сказывается. Разговариваем с Каштановым без напряжения.</w:t>
      </w:r>
    </w:p>
    <w:p w14:paraId="6CBE9F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Взлетели неожиданно легко. На разбеге, на взлете только краюшка неба видна. Слеповата машина, не годится так.</w:t>
      </w:r>
    </w:p>
    <w:p w14:paraId="67E8DF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высоте трех-четырех тысяч метров, как и предусмотрено, задраили герметические люки. Влага и углекислота, выделяемые при дыхании, поглощаются специальными устройствами.. Повернешь краник - из баллонов поступает в кабину кислород, поступает с посвистом. Дышится свободно. Рядом висят кислородные маски - на случай разгерметизации на высоте. Здорово придумано.</w:t>
      </w:r>
    </w:p>
    <w:p w14:paraId="6BDEEE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тоже неплох. Рули эффективны. Барограф, находящийся в кабине, после герметизации вычерчивает идеальную прямую.</w:t>
      </w:r>
    </w:p>
    <w:p w14:paraId="627555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Вслед за пробным начались испытательные полеты. Июль в 1936 г. стоял жаркий, сухой. Летаем с совершенно непредусмотренным дополнением к летным костюмам - вафельными полотенцами на шеях. Без них - нельзя. Водо- радиатор мотора расположен в обтекателях под самым центром герметической "цистерны". Когда двигатель работает на полных оборотах - в кабине нестерпимо жарко. Пот заливает лицо, саднит глаза.</w:t>
      </w:r>
    </w:p>
    <w:p w14:paraId="4A60E6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Девять тысяч метров - потолок, достигнутый И.Ф.Петровым, остался позади. Уже в третьем полете мы добрались до двенадцати тысяч. На высоте прибавилось дел. Входишь в горизонтальный полет - обороты мотора снижаются и пол кабины перестает "подогреваться". Становится прохладнее. Стекла иллюминаторов сдвоенные. Между ними - накаливающиеся электрические проволочки. Вместе с влагопог- лотителями и теплым воздухом, поступающим по трубкам от внутрикабинного вентилятора, они не дают запотевать нашим окнам в "большое небо". Снаружи - хуже. Со стороны, противоположной солнцу, стекла подергиваются тончайшей ледяной вязью. Она быстро разрастается, уплотняется, и вскоре сквозь нее ничего не видишь. Остается одно - развернуть самолет, подставить замерзший иллюминатор под солнечные лучи. Не полет получается, а непрерывное саморазмораживание. Придется конструктору поломать голову и над этим грешком.</w:t>
      </w:r>
    </w:p>
    <w:p w14:paraId="0277D7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двенадцати тысячах метров столкнулись с более грозным явлением. На этой высоте начали замерзать ... элероны. Пришлось управлять самолетом только при помощи рулей глубины и поворота. В следующем полете попробовали промывать проводку на элеронах обезвоженным керосином. Ничего не дает. Видимо сказывается конструктивная особенность машины - очень большая длина тросов и обилие роликов на всем протяжении проводки. Решили летать с замерзшими элеронами. На высоте они не особенно и нужны, а спустишься до се- ми-восьми тысяч метров - оттаивают, начинают действовать опять.</w:t>
      </w:r>
    </w:p>
    <w:p w14:paraId="4A9708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Поступило распоряжение перегнать БОК-1 в Москву, на испытательный аэродром. Борьба за высоту вступила в новую стадию. Прошедшие полеты убеждали - самолет Чижевского способен подниматься много выше. Руководство НИИ ВВС одобрило мое предложение - достигнуть предельного потолка.</w:t>
      </w:r>
    </w:p>
    <w:p w14:paraId="1F3318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На двенадцати тысячах метров, как всегда, покрылся льдом иллюминатор с теневой стороны. Перестали действовать элероны - замерзли. К такому уже привыкли. Конструктор сообщил, что он придумывает что-то. Забираемся выше. У мотора еще есть запас мощности. Выше! Откуда эта плесень на стеклах окошек? Провел пальцем - иней... А электрообогрев, теплый воздух, влагопоглотители? Все работает. Иней же утолщается, утолщается на всех трех иллюминаторах. Лететь ничего не видя, да еще с бездействующими элеронами, нельзя. Понимаю, что нельзя, а лечу, забираюсь все выше и выше. Ногтем соскабливаю иней, растираю дырочку еще влажным от пота полотенцем и продолжаю упорно набирать высоту. Понемногу падает мощность мотора. Увеличивать обороты уже нельзя. Рычаг сектора газа - на предельном максимуме. Все. Выше не подняться.</w:t>
      </w:r>
    </w:p>
    <w:p w14:paraId="06511A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земле расшифровали барограмму - 13100 метров. Полученные по прибору при расшифровке с учетом всех поправок, они соответствовали максимальной высоте 14100 метров. Это - стратосфера!" (11941).</w:t>
      </w:r>
    </w:p>
    <w:p w14:paraId="7082476A" w14:textId="77777777" w:rsidR="00D4105E" w:rsidRPr="00E14102" w:rsidRDefault="00D4105E" w:rsidP="00E14102">
      <w:pPr>
        <w:autoSpaceDE w:val="0"/>
        <w:autoSpaceDN w:val="0"/>
        <w:adjustRightInd w:val="0"/>
        <w:jc w:val="both"/>
        <w:rPr>
          <w:color w:val="000000" w:themeColor="text1"/>
          <w:sz w:val="16"/>
          <w:szCs w:val="16"/>
        </w:rPr>
      </w:pPr>
    </w:p>
    <w:p w14:paraId="50FAA7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декабря 1935 г. в "Аэрофлоте" были учреждены нагрудные знаки "За налет" 300 и 500 тысяч километров, а 24 февраля 1936 г. знак "За налет - 1 млн. км". В день учреждения знака 24 февраля первым в стране "миллионером" стал Николай Петрович Шебанов. В принятом по этому поводу постановлении ЦИК СССР отмечалось: "В связи с безаварийным налетом 1 000 000 км за 17-летнюю непрерывную летную работу пилота Гражданского Воздушного Флота Н. П. Шебанова, за выдающиеся заслуги на воздушных линиях ГВФ наградить орденом Ленина" (11960).</w:t>
      </w:r>
    </w:p>
    <w:p w14:paraId="3AF85B86" w14:textId="77777777" w:rsidR="00D4105E" w:rsidRPr="00E14102" w:rsidRDefault="00D4105E" w:rsidP="00E14102">
      <w:pPr>
        <w:autoSpaceDE w:val="0"/>
        <w:autoSpaceDN w:val="0"/>
        <w:adjustRightInd w:val="0"/>
        <w:jc w:val="both"/>
        <w:rPr>
          <w:color w:val="000000" w:themeColor="text1"/>
          <w:sz w:val="16"/>
          <w:szCs w:val="16"/>
        </w:rPr>
      </w:pPr>
    </w:p>
    <w:p w14:paraId="64DBF9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декабря 1935 закончились гос. испытаниям и исследованиям прицела "ГЕРЦ-К", которые проходили с 25 сентября 1935:</w:t>
      </w:r>
    </w:p>
    <w:p w14:paraId="660CCF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w:t>
      </w:r>
    </w:p>
    <w:p w14:paraId="147A86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Расшифровать прибор с точки зрения теоретических и конструктивных принципов его.</w:t>
      </w:r>
    </w:p>
    <w:p w14:paraId="3B8CBD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 процессе теоретических и конструктивных исследований, а также работой в воздухе, отметить его недостатки, преимущества и свойства.</w:t>
      </w:r>
    </w:p>
    <w:p w14:paraId="214592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Опробовать прибор на взаимодействие с ЭСБР-2 при автоматическом сбрасывании бомб.</w:t>
      </w:r>
    </w:p>
    <w:p w14:paraId="050686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Наметить условия дальнейшего его испытания.</w:t>
      </w:r>
    </w:p>
    <w:p w14:paraId="666B12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4B7EB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полученных результатов теоретических исследований произвести испытание бомбометания, которые закончить в январе-феврале 1936 года (3103).</w:t>
      </w:r>
    </w:p>
    <w:p w14:paraId="0EC270FB" w14:textId="77777777" w:rsidR="00D4105E" w:rsidRPr="00E14102" w:rsidRDefault="00D4105E" w:rsidP="00E14102">
      <w:pPr>
        <w:autoSpaceDE w:val="0"/>
        <w:autoSpaceDN w:val="0"/>
        <w:adjustRightInd w:val="0"/>
        <w:jc w:val="both"/>
        <w:rPr>
          <w:color w:val="000000" w:themeColor="text1"/>
          <w:sz w:val="16"/>
          <w:szCs w:val="16"/>
        </w:rPr>
      </w:pPr>
    </w:p>
    <w:p w14:paraId="5474F3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декабря 1935 г. Начальник 1 отдела РНИИ Ю.А.Победоносцев и ин</w:t>
      </w:r>
      <w:r w:rsidRPr="00E14102">
        <w:rPr>
          <w:color w:val="000000" w:themeColor="text1"/>
          <w:sz w:val="16"/>
          <w:szCs w:val="16"/>
        </w:rPr>
        <w:softHyphen/>
        <w:t>женер 1 отдела РНИИ В.А.Артемь</w:t>
      </w:r>
      <w:r w:rsidRPr="00E14102">
        <w:rPr>
          <w:color w:val="000000" w:themeColor="text1"/>
          <w:sz w:val="16"/>
          <w:szCs w:val="16"/>
        </w:rPr>
        <w:softHyphen/>
        <w:t>ев так доклады</w:t>
      </w:r>
      <w:r w:rsidRPr="00E14102">
        <w:rPr>
          <w:color w:val="000000" w:themeColor="text1"/>
          <w:sz w:val="16"/>
          <w:szCs w:val="16"/>
        </w:rPr>
        <w:softHyphen/>
        <w:t>вали помощнику началь</w:t>
      </w:r>
      <w:r w:rsidRPr="00E14102">
        <w:rPr>
          <w:color w:val="000000" w:themeColor="text1"/>
          <w:sz w:val="16"/>
          <w:szCs w:val="16"/>
        </w:rPr>
        <w:softHyphen/>
        <w:t>ника НТО ОБАА АУ РККА М.М.Зандеру: «На основании до</w:t>
      </w:r>
      <w:r w:rsidRPr="00E14102">
        <w:rPr>
          <w:color w:val="000000" w:themeColor="text1"/>
          <w:sz w:val="16"/>
          <w:szCs w:val="16"/>
        </w:rPr>
        <w:softHyphen/>
        <w:t>говора с АУ РККА, в РНИИ разра</w:t>
      </w:r>
      <w:r w:rsidRPr="00E14102">
        <w:rPr>
          <w:color w:val="000000" w:themeColor="text1"/>
          <w:sz w:val="16"/>
          <w:szCs w:val="16"/>
        </w:rPr>
        <w:softHyphen/>
        <w:t>ботали опытный образец облег</w:t>
      </w:r>
      <w:r w:rsidRPr="00E14102">
        <w:rPr>
          <w:color w:val="000000" w:themeColor="text1"/>
          <w:sz w:val="16"/>
          <w:szCs w:val="16"/>
        </w:rPr>
        <w:softHyphen/>
        <w:t>ченного трассирующего РС-60Т модели 141000 вместо ТРС-68 мо</w:t>
      </w:r>
      <w:r w:rsidRPr="00E14102">
        <w:rPr>
          <w:color w:val="000000" w:themeColor="text1"/>
          <w:sz w:val="16"/>
          <w:szCs w:val="16"/>
        </w:rPr>
        <w:softHyphen/>
        <w:t>делей 140600 и 140700. Уже присту</w:t>
      </w:r>
      <w:r w:rsidRPr="00E14102">
        <w:rPr>
          <w:color w:val="000000" w:themeColor="text1"/>
          <w:sz w:val="16"/>
          <w:szCs w:val="16"/>
        </w:rPr>
        <w:softHyphen/>
        <w:t>пили к изготовлению опытной партии в 25 боеприпасов и пяти пусковых станков к ним. Прошу письменного подтверждения в из</w:t>
      </w:r>
      <w:r w:rsidRPr="00E14102">
        <w:rPr>
          <w:color w:val="000000" w:themeColor="text1"/>
          <w:sz w:val="16"/>
          <w:szCs w:val="16"/>
        </w:rPr>
        <w:softHyphen/>
        <w:t>менении калибра с 68 на 60 мм для приема заказа военпредом АУ».</w:t>
      </w:r>
    </w:p>
    <w:p w14:paraId="25A77C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облегченном 60-мм снаряде наибольшее предпочтение было отдано дыму трассы черного цвета и огневому следу ярко белого цвета. Видимость огневой и дымовой трас</w:t>
      </w:r>
      <w:r w:rsidRPr="00E14102">
        <w:rPr>
          <w:color w:val="000000" w:themeColor="text1"/>
          <w:sz w:val="16"/>
          <w:szCs w:val="16"/>
        </w:rPr>
        <w:softHyphen/>
        <w:t>сы глазом, в бинокль или теодолит требовалась не менее 5 км, а стабиль</w:t>
      </w:r>
      <w:r w:rsidRPr="00E14102">
        <w:rPr>
          <w:color w:val="000000" w:themeColor="text1"/>
          <w:sz w:val="16"/>
          <w:szCs w:val="16"/>
        </w:rPr>
        <w:softHyphen/>
        <w:t>ность трассы — не менее 2-3 секунд. Наличие дымового и огневого следа требовалось уже «на вылете снаряда в 10-15 м от земли» и в ходе дальней</w:t>
      </w:r>
      <w:r w:rsidRPr="00E14102">
        <w:rPr>
          <w:color w:val="000000" w:themeColor="text1"/>
          <w:sz w:val="16"/>
          <w:szCs w:val="16"/>
        </w:rPr>
        <w:softHyphen/>
        <w:t>шего трассирования траектории высотой 300 м. Выше 300 м и на нисхо</w:t>
      </w:r>
      <w:r w:rsidRPr="00E14102">
        <w:rPr>
          <w:color w:val="000000" w:themeColor="text1"/>
          <w:sz w:val="16"/>
          <w:szCs w:val="16"/>
        </w:rPr>
        <w:softHyphen/>
        <w:t>дящей ветви траектории это было непринципиально.</w:t>
      </w:r>
    </w:p>
    <w:p w14:paraId="2550360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Существенным дополнением к ТТТ явилась задача разработать «без</w:t>
      </w:r>
      <w:r w:rsidRPr="00E14102">
        <w:rPr>
          <w:color w:val="000000" w:themeColor="text1"/>
          <w:sz w:val="16"/>
          <w:szCs w:val="16"/>
        </w:rPr>
        <w:softHyphen/>
        <w:t>убойный сигнал» в корпусе из картона или пластмассы. Это требование разработчикам не удалось выполнить, поскольку ракетную камеру мож</w:t>
      </w:r>
      <w:r w:rsidRPr="00E14102">
        <w:rPr>
          <w:color w:val="000000" w:themeColor="text1"/>
          <w:sz w:val="16"/>
          <w:szCs w:val="16"/>
        </w:rPr>
        <w:softHyphen/>
        <w:t>но было изготовить исключительно из прочных материалов. Компенси</w:t>
      </w:r>
      <w:r w:rsidRPr="00E14102">
        <w:rPr>
          <w:color w:val="000000" w:themeColor="text1"/>
          <w:sz w:val="16"/>
          <w:szCs w:val="16"/>
        </w:rPr>
        <w:softHyphen/>
        <w:t>ровать это пришлось, применив парашют, с которым корпус боеприпаса спускался бы после срабатывания БЧ на траектории. В то же время, кор</w:t>
      </w:r>
      <w:r w:rsidRPr="00E14102">
        <w:rPr>
          <w:color w:val="000000" w:themeColor="text1"/>
          <w:sz w:val="16"/>
          <w:szCs w:val="16"/>
        </w:rPr>
        <w:softHyphen/>
        <w:t>пус БЧ изготовили из алюминия. Между тем использование парашюта обусловило необходимость оснащения снаряда оперением.</w:t>
      </w:r>
    </w:p>
    <w:p w14:paraId="113582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Помимо того, топографы просили оснастить новый ТРС «универсальной трассой», то есть, наблюдаемой как днем, так и ночью. Для это</w:t>
      </w:r>
      <w:r w:rsidRPr="00E14102">
        <w:rPr>
          <w:color w:val="000000" w:themeColor="text1"/>
          <w:sz w:val="16"/>
          <w:szCs w:val="16"/>
        </w:rPr>
        <w:softHyphen/>
        <w:t>го, по их мнению, достаточно было применить комбинированное снаря</w:t>
      </w:r>
      <w:r w:rsidRPr="00E14102">
        <w:rPr>
          <w:color w:val="000000" w:themeColor="text1"/>
          <w:sz w:val="16"/>
          <w:szCs w:val="16"/>
        </w:rPr>
        <w:softHyphen/>
        <w:t>жение БЧ или подобрать рецептуры, дающие одновременно цветной дым и огонь. В качестве дымового состава рекомендовали рецептуру «универсальной трассы» разработки АНИИ 1934 г. Однако, в дальней</w:t>
      </w:r>
      <w:r w:rsidRPr="00E14102">
        <w:rPr>
          <w:color w:val="000000" w:themeColor="text1"/>
          <w:sz w:val="16"/>
          <w:szCs w:val="16"/>
        </w:rPr>
        <w:softHyphen/>
        <w:t>шем опыты с ней не дали положительного результата - днем она создава</w:t>
      </w:r>
      <w:r w:rsidRPr="00E14102">
        <w:rPr>
          <w:color w:val="000000" w:themeColor="text1"/>
          <w:sz w:val="16"/>
          <w:szCs w:val="16"/>
        </w:rPr>
        <w:softHyphen/>
        <w:t>ла слабый дымовой эффект. В то же время, комбинированное снаряже</w:t>
      </w:r>
      <w:r w:rsidRPr="00E14102">
        <w:rPr>
          <w:color w:val="000000" w:themeColor="text1"/>
          <w:sz w:val="16"/>
          <w:szCs w:val="16"/>
        </w:rPr>
        <w:softHyphen/>
        <w:t>ние сильно ослабляло эффект трассы ночью и днем. В итоге за основу взяли состав для дневного наблюдения на основе цветного желатинизи-рованного пороха разработки ВХНИИ 1935 г.</w:t>
      </w:r>
    </w:p>
    <w:p w14:paraId="4CE817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стрельбы ракетными снарядами ТРС-60Т сначала создали опыт</w:t>
      </w:r>
      <w:r w:rsidRPr="00E14102">
        <w:rPr>
          <w:color w:val="000000" w:themeColor="text1"/>
          <w:sz w:val="16"/>
          <w:szCs w:val="16"/>
        </w:rPr>
        <w:softHyphen/>
        <w:t>ное ракетное орудие модели 101800. Первые опыты на полигоне потре</w:t>
      </w:r>
      <w:r w:rsidRPr="00E14102">
        <w:rPr>
          <w:color w:val="000000" w:themeColor="text1"/>
          <w:sz w:val="16"/>
          <w:szCs w:val="16"/>
        </w:rPr>
        <w:softHyphen/>
        <w:t>бовали внести корректировку в его конструкцию. Заказчик настоял на замене узла держателя снаряда при использовании штыря. Окончатель</w:t>
      </w:r>
      <w:r w:rsidRPr="00E14102">
        <w:rPr>
          <w:color w:val="000000" w:themeColor="text1"/>
          <w:sz w:val="16"/>
          <w:szCs w:val="16"/>
        </w:rPr>
        <w:softHyphen/>
        <w:t>ный вариант доработанной пусковой имел номер модели 102200 (11402).</w:t>
      </w:r>
    </w:p>
    <w:p w14:paraId="7EED28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B28CD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декабря 1935 года Орджоникидзе писал письмо N 2/5830сс в СТО Базилевичу.</w:t>
      </w:r>
    </w:p>
    <w:p w14:paraId="175726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N 2232/ко от 20 ноября 1935 г.</w:t>
      </w:r>
    </w:p>
    <w:p w14:paraId="055ADE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Воздушный глиссер Л-1 конструкции Левкова при прохождении гос. испытаний в принципе оправдал расчеты на проходимость над водой, над сушей, над болотом.</w:t>
      </w:r>
    </w:p>
    <w:p w14:paraId="0A1C1C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акта гос. испытаний, утвержденного зам. наркома Обороны Тухачевским, считаю возможным включить в план опытного строительства ГУАП на 1936 год постройку 2-х экземпляров воздушного глиссера Л-1 по военному применению, как:</w:t>
      </w:r>
    </w:p>
    <w:p w14:paraId="7377D2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Торпедный катер</w:t>
      </w:r>
    </w:p>
    <w:p w14:paraId="56C603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Транспортер для высадки десанта.</w:t>
      </w:r>
    </w:p>
    <w:p w14:paraId="058F7C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Постройка намечена в МАИ под руководством проф. Левкова, на что требуется разрешение (3502,7).</w:t>
      </w:r>
    </w:p>
    <w:p w14:paraId="6CB452F6" w14:textId="77777777" w:rsidR="00D4105E" w:rsidRPr="00E14102" w:rsidRDefault="00D4105E" w:rsidP="00E14102">
      <w:pPr>
        <w:autoSpaceDE w:val="0"/>
        <w:autoSpaceDN w:val="0"/>
        <w:adjustRightInd w:val="0"/>
        <w:jc w:val="both"/>
        <w:rPr>
          <w:color w:val="000000" w:themeColor="text1"/>
          <w:sz w:val="16"/>
          <w:szCs w:val="16"/>
        </w:rPr>
      </w:pPr>
    </w:p>
    <w:p w14:paraId="5CDF9CEE" w14:textId="77777777" w:rsidR="001D1A86"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9943027" w14:textId="77777777" w:rsidR="001D1A86" w:rsidRPr="00E14102" w:rsidRDefault="001D1A86" w:rsidP="00E14102">
      <w:pPr>
        <w:autoSpaceDE w:val="0"/>
        <w:autoSpaceDN w:val="0"/>
        <w:adjustRightInd w:val="0"/>
        <w:jc w:val="both"/>
        <w:rPr>
          <w:iCs/>
          <w:color w:val="000000" w:themeColor="text1"/>
          <w:sz w:val="16"/>
          <w:szCs w:val="16"/>
        </w:rPr>
      </w:pPr>
    </w:p>
    <w:p w14:paraId="15080BE8" w14:textId="77777777" w:rsidR="001D1A86" w:rsidRPr="00E14102" w:rsidRDefault="001D1A86" w:rsidP="00E14102">
      <w:pPr>
        <w:shd w:val="clear" w:color="auto" w:fill="FFFFFF"/>
        <w:jc w:val="both"/>
        <w:rPr>
          <w:color w:val="000000" w:themeColor="text1"/>
          <w:sz w:val="16"/>
          <w:szCs w:val="16"/>
        </w:rPr>
      </w:pPr>
      <w:r w:rsidRPr="00E14102">
        <w:rPr>
          <w:bCs/>
          <w:iCs/>
          <w:color w:val="000000" w:themeColor="text1"/>
          <w:sz w:val="16"/>
          <w:szCs w:val="16"/>
        </w:rPr>
        <w:t>13 декабря 1935 г.</w:t>
      </w:r>
      <w:r w:rsidRPr="00E14102">
        <w:rPr>
          <w:color w:val="000000" w:themeColor="text1"/>
          <w:sz w:val="16"/>
          <w:szCs w:val="16"/>
        </w:rPr>
        <w:t xml:space="preserve"> Доклад об общем состоянии военно-химического дела в РККА, направленный комкором Н.В.Куйбышевым (членом бюро КПК при ЦК ВКП(б), руководителем группы по военно-морским делам) в адрес И.В.Сталина, Н.И.Ежова, В.М.Молотова и К.Е.Ворошилова. Инспектор указал на отсутствие в армии противогаза для летчиков и танкистов (17133).</w:t>
      </w:r>
    </w:p>
    <w:p w14:paraId="70BD7E8C" w14:textId="77777777" w:rsidR="001D1A86" w:rsidRPr="00E14102" w:rsidRDefault="001D1A86" w:rsidP="00E14102">
      <w:pPr>
        <w:shd w:val="clear" w:color="auto" w:fill="FFFFFF"/>
        <w:jc w:val="both"/>
        <w:rPr>
          <w:color w:val="000000" w:themeColor="text1"/>
          <w:sz w:val="16"/>
          <w:szCs w:val="16"/>
        </w:rPr>
      </w:pPr>
    </w:p>
    <w:p w14:paraId="30ACB4B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C9D09F8" w14:textId="77777777" w:rsidR="00D4105E" w:rsidRPr="00E14102" w:rsidRDefault="00D4105E" w:rsidP="00E14102">
      <w:pPr>
        <w:autoSpaceDE w:val="0"/>
        <w:autoSpaceDN w:val="0"/>
        <w:adjustRightInd w:val="0"/>
        <w:jc w:val="both"/>
        <w:rPr>
          <w:iCs/>
          <w:color w:val="000000" w:themeColor="text1"/>
          <w:sz w:val="16"/>
          <w:szCs w:val="16"/>
        </w:rPr>
      </w:pPr>
    </w:p>
    <w:p w14:paraId="5F9472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декабря 1935 Бенеш сменил Массарика на посту президента Чехословакии (3907,193).</w:t>
      </w:r>
    </w:p>
    <w:p w14:paraId="5CEEA363" w14:textId="77777777" w:rsidR="00D4105E" w:rsidRPr="00E14102" w:rsidRDefault="00D4105E" w:rsidP="00E14102">
      <w:pPr>
        <w:autoSpaceDE w:val="0"/>
        <w:autoSpaceDN w:val="0"/>
        <w:adjustRightInd w:val="0"/>
        <w:jc w:val="both"/>
        <w:rPr>
          <w:color w:val="000000" w:themeColor="text1"/>
          <w:sz w:val="16"/>
          <w:szCs w:val="16"/>
        </w:rPr>
      </w:pPr>
    </w:p>
    <w:p w14:paraId="49FEED0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3D7D3C6" w14:textId="77777777" w:rsidR="00D4105E" w:rsidRPr="00E14102" w:rsidRDefault="00D4105E" w:rsidP="00E14102">
      <w:pPr>
        <w:autoSpaceDE w:val="0"/>
        <w:autoSpaceDN w:val="0"/>
        <w:adjustRightInd w:val="0"/>
        <w:jc w:val="both"/>
        <w:rPr>
          <w:iCs/>
          <w:color w:val="000000" w:themeColor="text1"/>
          <w:sz w:val="16"/>
          <w:szCs w:val="16"/>
        </w:rPr>
      </w:pPr>
    </w:p>
    <w:p w14:paraId="19E42F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декабря 1935, в соответствии с новыми ТТТ, ЦАГИ направил в УВВС эскизный проект будущего ТБ-7, состоявший из общего вида самолета, двух аэродинамических расчетов, весовой сводки, перечня оборудования, краткого описания и схемы вооружения (7685).</w:t>
      </w:r>
    </w:p>
    <w:p w14:paraId="6200AE74" w14:textId="77777777" w:rsidR="00D4105E" w:rsidRPr="00E14102" w:rsidRDefault="00D4105E" w:rsidP="00E14102">
      <w:pPr>
        <w:autoSpaceDE w:val="0"/>
        <w:autoSpaceDN w:val="0"/>
        <w:adjustRightInd w:val="0"/>
        <w:jc w:val="both"/>
        <w:rPr>
          <w:color w:val="000000" w:themeColor="text1"/>
          <w:sz w:val="16"/>
          <w:szCs w:val="16"/>
        </w:rPr>
      </w:pPr>
    </w:p>
    <w:p w14:paraId="4F3172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декабря 1935 ЦАГИ направил в УВВС эскизный проект будущего ТБ-7. Фактически весь год прошёл в согласованиях и уточнениях, к постройке опытного образца не приступали. Даже работу, которую начали, пришлось приостановить из-за изменения чертежей и отсутствия стальных труб, не прибывших в срок (11996).</w:t>
      </w:r>
    </w:p>
    <w:p w14:paraId="37029AF3" w14:textId="77777777" w:rsidR="00D4105E" w:rsidRPr="00E14102" w:rsidRDefault="00D4105E" w:rsidP="00E14102">
      <w:pPr>
        <w:autoSpaceDE w:val="0"/>
        <w:autoSpaceDN w:val="0"/>
        <w:adjustRightInd w:val="0"/>
        <w:jc w:val="both"/>
        <w:rPr>
          <w:color w:val="000000" w:themeColor="text1"/>
          <w:sz w:val="16"/>
          <w:szCs w:val="16"/>
        </w:rPr>
      </w:pPr>
    </w:p>
    <w:p w14:paraId="79FF3F2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 декабря 1935 К.Е.В. было подготовлено письмо И.В.С., В.М.М., Г.М.О.:</w:t>
      </w:r>
    </w:p>
    <w:p w14:paraId="5027BE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Посылаю копию доклада Командующего Войсками БВО Командарма 1-го ранга тов. УБОРЕВИЧА о де</w:t>
      </w:r>
      <w:r w:rsidRPr="00E14102">
        <w:rPr>
          <w:color w:val="000000" w:themeColor="text1"/>
          <w:sz w:val="16"/>
          <w:szCs w:val="16"/>
        </w:rPr>
        <w:softHyphen/>
        <w:t>фектах новых систем- самолетов.</w:t>
      </w:r>
    </w:p>
    <w:p w14:paraId="1FD43D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ПРИЛОЖЕНИЕ: доклад № 251сс (3419,126).</w:t>
      </w:r>
    </w:p>
    <w:p w14:paraId="2C3F829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декабря 1935 Командующий Войсками БВО Командарм 1-го ранга тов. УБОРЕВИЧ писал письмо № 251сс К.Е.В.</w:t>
      </w:r>
    </w:p>
    <w:p w14:paraId="1B81C4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СОВ.СЕКРЕТНО.</w:t>
      </w:r>
    </w:p>
    <w:p w14:paraId="5C6506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Проведенными в Белорусском Военном Округе испыта</w:t>
      </w:r>
      <w:r w:rsidRPr="00E14102">
        <w:rPr>
          <w:color w:val="000000" w:themeColor="text1"/>
          <w:sz w:val="16"/>
          <w:szCs w:val="16"/>
        </w:rPr>
        <w:softHyphen/>
        <w:t>ниями новых систем самолетов, поступающих на вооружение частей Округа установлен ряд крупнейших дефектов данных самолетов.</w:t>
      </w:r>
    </w:p>
    <w:p w14:paraId="2ABD5B3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 испытание самолета Р5-ССС - с мотором М-17Ф пока</w:t>
      </w:r>
      <w:r w:rsidRPr="00E14102">
        <w:rPr>
          <w:color w:val="000000" w:themeColor="text1"/>
          <w:sz w:val="16"/>
          <w:szCs w:val="16"/>
        </w:rPr>
        <w:softHyphen/>
        <w:t>зало следующие крупные дефекты конструкции самолета.</w:t>
      </w:r>
    </w:p>
    <w:p w14:paraId="3D61DE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В О Д А - выбрасывается через сифонной отверг стие расширительного бачка за 3 часа полета до по лутора ведер, что в особенности в жаркое время грозит перегре</w:t>
      </w:r>
      <w:r w:rsidRPr="00E14102">
        <w:rPr>
          <w:color w:val="000000" w:themeColor="text1"/>
          <w:sz w:val="16"/>
          <w:szCs w:val="16"/>
        </w:rPr>
        <w:softHyphen/>
        <w:t>вом мотора, и вынужденной посадкой. При пикировании вода заливает козырек и оптический прицел. Замерзание ее зимой будет лишать летчика возможности вести огонь.</w:t>
      </w:r>
    </w:p>
    <w:p w14:paraId="6EA07AF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БЕНЗОСИСТЕМА - Подача из верхнего бака идет только через помпу "Хорнет”. При отказе помпы (явление довольно частое) бензин из верхнего бака самотеком не поступает.</w:t>
      </w:r>
    </w:p>
    <w:p w14:paraId="1D9AE3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3. ПЕРЕДНЯЯ КАБИНА - Левая рука летчика утомляется, т.к. локоть лежит высоко. Огнетушитель летчик пустить в ход не может, т.к. достает его, только концами пальцев.</w:t>
      </w:r>
    </w:p>
    <w:p w14:paraId="5A20EE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ЗАДНЯЯ КАБИНА - Турель для ШКАС'а настолько стеснила кабину летнаба, что работать с надетым парашютом он не может совещенно: не "может наклониться ни к рации, ни прицелиться. Нет совершенно места для парашюта.</w:t>
      </w:r>
    </w:p>
    <w:p w14:paraId="3C717B8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ПЕРЕДНЕЕ ВООРУЖЕНИЕ - На каждый из 4-х ШКАСов может быть уложено только по 450 патрон. Возвратные пружины переза</w:t>
      </w:r>
      <w:r w:rsidRPr="00E14102">
        <w:rPr>
          <w:color w:val="000000" w:themeColor="text1"/>
          <w:sz w:val="16"/>
          <w:szCs w:val="16"/>
        </w:rPr>
        <w:softHyphen/>
        <w:t>ряжающего механизма слабы и не всегда возвращаются в пе</w:t>
      </w:r>
      <w:r w:rsidRPr="00E14102">
        <w:rPr>
          <w:color w:val="000000" w:themeColor="text1"/>
          <w:sz w:val="16"/>
          <w:szCs w:val="16"/>
        </w:rPr>
        <w:softHyphen/>
        <w:t>реднее положение, в результате осечки и задержки. Много задер</w:t>
      </w:r>
      <w:r w:rsidRPr="00E14102">
        <w:rPr>
          <w:color w:val="000000" w:themeColor="text1"/>
          <w:sz w:val="16"/>
          <w:szCs w:val="16"/>
        </w:rPr>
        <w:softHyphen/>
        <w:t>жек неустранимых в воздухе из-за перекоса ленты в подающих рукавах. При испытаниях не было ни одного случая стрельбы с выпуском всех патрон. Набивка звеньев происходит вручную. Зве</w:t>
      </w:r>
      <w:r w:rsidRPr="00E14102">
        <w:rPr>
          <w:color w:val="000000" w:themeColor="text1"/>
          <w:sz w:val="16"/>
          <w:szCs w:val="16"/>
        </w:rPr>
        <w:softHyphen/>
        <w:t>нья не откалиброваны. Установка пулемета имеет много острых углов, работать можно только голыми руками, в результате руки арттехников и пульмастеров изодраны в кровь.</w:t>
      </w:r>
    </w:p>
    <w:p w14:paraId="689DB11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БОМБАРДИРОВОЧНОЕ ВООРУЖЕНИЕ - Все замки работает только электрически. Всё замки очень нежны и капризны. Малейшая пыль или замасливание вывывает отказ. При работе на аккумуляторе - часты отказы, бомбы зависают и выпадают не на указан</w:t>
      </w:r>
      <w:r w:rsidRPr="00E14102">
        <w:rPr>
          <w:color w:val="000000" w:themeColor="text1"/>
          <w:sz w:val="16"/>
          <w:szCs w:val="16"/>
        </w:rPr>
        <w:softHyphen/>
        <w:t>ном месте. Контактная крышка сбрасывателя - из фибра, коро</w:t>
      </w:r>
      <w:r w:rsidRPr="00E14102">
        <w:rPr>
          <w:color w:val="000000" w:themeColor="text1"/>
          <w:sz w:val="16"/>
          <w:szCs w:val="16"/>
        </w:rPr>
        <w:softHyphen/>
        <w:t>бится, от атмосферных условий и дает отказы в работе. Следует пожалеть, что на данный самолет не поставлена установка ин</w:t>
      </w:r>
      <w:r w:rsidRPr="00E14102">
        <w:rPr>
          <w:color w:val="000000" w:themeColor="text1"/>
          <w:sz w:val="16"/>
          <w:szCs w:val="16"/>
        </w:rPr>
        <w:softHyphen/>
        <w:t>женера ПАВЛОВА, умещающаяся в фюзеляже, не сложная, безотказ</w:t>
      </w:r>
      <w:r w:rsidRPr="00E14102">
        <w:rPr>
          <w:color w:val="000000" w:themeColor="text1"/>
          <w:sz w:val="16"/>
          <w:szCs w:val="16"/>
        </w:rPr>
        <w:softHyphen/>
        <w:t>ная и дающая серию 9-10 бомб в секунду.</w:t>
      </w:r>
    </w:p>
    <w:p w14:paraId="04A02D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кассету помещаются - только бомбы АО8. Бомбы АО-10 входят с трудом, с переделкой стопоров, АОХ не вхо</w:t>
      </w:r>
      <w:r w:rsidRPr="00E14102">
        <w:rPr>
          <w:color w:val="000000" w:themeColor="text1"/>
          <w:sz w:val="16"/>
          <w:szCs w:val="16"/>
        </w:rPr>
        <w:softHyphen/>
        <w:t>дят совершенно. Боевая зарядка эскадрильи патронами и бом</w:t>
      </w:r>
      <w:r w:rsidRPr="00E14102">
        <w:rPr>
          <w:color w:val="000000" w:themeColor="text1"/>
          <w:sz w:val="16"/>
          <w:szCs w:val="16"/>
        </w:rPr>
        <w:softHyphen/>
        <w:t>бами при наличном штатном составе отнимает не менее 4 ча</w:t>
      </w:r>
      <w:r w:rsidRPr="00E14102">
        <w:rPr>
          <w:color w:val="000000" w:themeColor="text1"/>
          <w:sz w:val="16"/>
          <w:szCs w:val="16"/>
        </w:rPr>
        <w:softHyphen/>
        <w:t>сов напряженной работы.</w:t>
      </w:r>
    </w:p>
    <w:p w14:paraId="0FF7C5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Считаю, что подобный самолет прибавляющий против нормального Р5 на 40 клм. в час крейсерской скорости не явжется особым приобретением для штурмовых частей, т.к. ненадежность его, по сравнению с Р5, очень высока.</w:t>
      </w:r>
    </w:p>
    <w:p w14:paraId="2F5380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Войсковые испытания самолета И-16 показали ряд производственных и конструкторских дефектов, к числу их относятся:</w:t>
      </w:r>
    </w:p>
    <w:p w14:paraId="3187AA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угорание летчика через 1/2 часа полета из-за заби</w:t>
      </w:r>
      <w:r w:rsidRPr="00E14102">
        <w:rPr>
          <w:color w:val="000000" w:themeColor="text1"/>
          <w:sz w:val="16"/>
          <w:szCs w:val="16"/>
        </w:rPr>
        <w:softHyphen/>
        <w:t>вания отработанных газов в кабину. Завод № 39 поставил удлиненные патрубки несколько улучшающие положение, завод № 21 этих патрубков не ставит. Необходимо отвод газов вы</w:t>
      </w:r>
      <w:r w:rsidRPr="00E14102">
        <w:rPr>
          <w:color w:val="000000" w:themeColor="text1"/>
          <w:sz w:val="16"/>
          <w:szCs w:val="16"/>
        </w:rPr>
        <w:softHyphen/>
        <w:t>полнить под фюзеляж;</w:t>
      </w:r>
    </w:p>
    <w:p w14:paraId="3CA2B70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слабость крепления амортизационного пакета костыля;</w:t>
      </w:r>
    </w:p>
    <w:p w14:paraId="4954325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коробление фанеры на центроплане, отставание по</w:t>
      </w:r>
      <w:r w:rsidRPr="00E14102">
        <w:rPr>
          <w:color w:val="000000" w:themeColor="text1"/>
          <w:sz w:val="16"/>
          <w:szCs w:val="16"/>
        </w:rPr>
        <w:softHyphen/>
        <w:t>лотна на плоскостях;</w:t>
      </w:r>
    </w:p>
    <w:p w14:paraId="3E1B8F7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наличие случаев непроизвольного складывания шасси;</w:t>
      </w:r>
    </w:p>
    <w:p w14:paraId="425C997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 тугие гашетки, в результате чего при нажатии на гашетку самолет добавляет угол;</w:t>
      </w:r>
    </w:p>
    <w:p w14:paraId="7578F3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 при задержке одного пулемета самолет ворочает в сторону стреляющего;</w:t>
      </w:r>
    </w:p>
    <w:p w14:paraId="3C15E9F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ж) много времени приходится употреблять для поднятия и опускания шасси;</w:t>
      </w:r>
    </w:p>
    <w:p w14:paraId="2FBDF3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 установка пулеметов (подлежащих обязательной с'емке после полета) занимает 45 минут, что крайне невы</w:t>
      </w:r>
      <w:r w:rsidRPr="00E14102">
        <w:rPr>
          <w:color w:val="000000" w:themeColor="text1"/>
          <w:sz w:val="16"/>
          <w:szCs w:val="16"/>
        </w:rPr>
        <w:softHyphen/>
        <w:t>годно при вылете по тревоге;</w:t>
      </w:r>
    </w:p>
    <w:p w14:paraId="2535A9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 компас "КИ" на всех самолетах отказывает, почему слепой полет - невозможен.</w:t>
      </w:r>
    </w:p>
    <w:p w14:paraId="16BB9E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самолете ТБ-3 М-34Р после нескольких посадок вновь получился излом верхней части крепления амортизаци</w:t>
      </w:r>
      <w:r w:rsidRPr="00E14102">
        <w:rPr>
          <w:color w:val="000000" w:themeColor="text1"/>
          <w:sz w:val="16"/>
          <w:szCs w:val="16"/>
        </w:rPr>
        <w:softHyphen/>
        <w:t>онной стойки 15-го шпангоута. В результате полеты на этих кораблях прекращены. Завод № 22 вновь укрепляет хвосты (3419,127).</w:t>
      </w:r>
    </w:p>
    <w:p w14:paraId="36C14A39" w14:textId="77777777" w:rsidR="00D4105E" w:rsidRPr="00E14102" w:rsidRDefault="00D4105E" w:rsidP="00E14102">
      <w:pPr>
        <w:autoSpaceDE w:val="0"/>
        <w:autoSpaceDN w:val="0"/>
        <w:adjustRightInd w:val="0"/>
        <w:jc w:val="both"/>
        <w:rPr>
          <w:color w:val="000000" w:themeColor="text1"/>
          <w:sz w:val="16"/>
          <w:szCs w:val="16"/>
        </w:rPr>
      </w:pPr>
    </w:p>
    <w:p w14:paraId="30494E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декабря 1935 судя по фото была подготовлена схема самолета АНИТО-1 (АВИАВНИТО-1) завода им. Молотова Н.Г.Нурова и С.А.Элибекяна.</w:t>
      </w:r>
    </w:p>
    <w:p w14:paraId="074F2D16" w14:textId="77777777" w:rsidR="00D4105E" w:rsidRPr="00E14102" w:rsidRDefault="00D4105E" w:rsidP="00E14102">
      <w:pPr>
        <w:autoSpaceDE w:val="0"/>
        <w:autoSpaceDN w:val="0"/>
        <w:adjustRightInd w:val="0"/>
        <w:jc w:val="both"/>
        <w:rPr>
          <w:color w:val="000000" w:themeColor="text1"/>
          <w:sz w:val="16"/>
          <w:szCs w:val="16"/>
        </w:rPr>
      </w:pPr>
    </w:p>
    <w:p w14:paraId="0381516E" w14:textId="77777777" w:rsidR="001D1A86" w:rsidRPr="00E14102" w:rsidRDefault="001D1A86" w:rsidP="00E14102">
      <w:pPr>
        <w:pStyle w:val="rtejustify"/>
        <w:spacing w:before="0" w:after="0"/>
        <w:rPr>
          <w:color w:val="000000" w:themeColor="text1"/>
          <w:sz w:val="16"/>
          <w:szCs w:val="16"/>
        </w:rPr>
      </w:pPr>
      <w:r w:rsidRPr="00E14102">
        <w:rPr>
          <w:rStyle w:val="a6"/>
          <w:bCs/>
          <w:i w:val="0"/>
          <w:color w:val="000000" w:themeColor="text1"/>
          <w:sz w:val="16"/>
          <w:szCs w:val="16"/>
        </w:rPr>
        <w:t>14 декабря 1935 вышел приказ НКО №</w:t>
      </w:r>
      <w:r w:rsidRPr="00E14102">
        <w:rPr>
          <w:color w:val="000000" w:themeColor="text1"/>
          <w:sz w:val="16"/>
          <w:szCs w:val="16"/>
        </w:rPr>
        <w:t> 00102. О сроках окончания НИИ ВС РККА испытаний по приказу № 0038</w:t>
      </w:r>
      <w:r w:rsidRPr="00E14102">
        <w:rPr>
          <w:color w:val="000000" w:themeColor="text1"/>
          <w:sz w:val="16"/>
          <w:szCs w:val="16"/>
        </w:rPr>
        <w:noBreakHyphen/>
        <w:t>1935 г (15247).</w:t>
      </w:r>
    </w:p>
    <w:p w14:paraId="131D916D" w14:textId="77777777" w:rsidR="001D1A86" w:rsidRPr="00E14102" w:rsidRDefault="001D1A86" w:rsidP="00E14102">
      <w:pPr>
        <w:pStyle w:val="rtejustify"/>
        <w:spacing w:before="0" w:after="0"/>
        <w:rPr>
          <w:color w:val="000000" w:themeColor="text1"/>
          <w:sz w:val="16"/>
          <w:szCs w:val="16"/>
        </w:rPr>
      </w:pPr>
    </w:p>
    <w:p w14:paraId="7060B95E" w14:textId="77777777" w:rsidR="001D1A86"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9B442E2" w14:textId="77777777" w:rsidR="001D1A86" w:rsidRPr="00E14102" w:rsidRDefault="001D1A86" w:rsidP="00E14102">
      <w:pPr>
        <w:autoSpaceDE w:val="0"/>
        <w:autoSpaceDN w:val="0"/>
        <w:adjustRightInd w:val="0"/>
        <w:jc w:val="both"/>
        <w:rPr>
          <w:iCs/>
          <w:color w:val="000000" w:themeColor="text1"/>
          <w:sz w:val="16"/>
          <w:szCs w:val="16"/>
        </w:rPr>
      </w:pPr>
    </w:p>
    <w:p w14:paraId="2376BC22" w14:textId="77777777" w:rsidR="001D1A86" w:rsidRPr="00E14102" w:rsidRDefault="001D1A86" w:rsidP="00E14102">
      <w:pPr>
        <w:pStyle w:val="rtejustify"/>
        <w:spacing w:before="0" w:after="0"/>
        <w:rPr>
          <w:color w:val="000000" w:themeColor="text1"/>
          <w:sz w:val="16"/>
          <w:szCs w:val="16"/>
        </w:rPr>
      </w:pPr>
      <w:r w:rsidRPr="00E14102">
        <w:rPr>
          <w:rStyle w:val="a6"/>
          <w:bCs/>
          <w:i w:val="0"/>
          <w:color w:val="000000" w:themeColor="text1"/>
          <w:sz w:val="16"/>
          <w:szCs w:val="16"/>
        </w:rPr>
        <w:t>14 декабря 1935 вышел приказ НКТП № 199с.</w:t>
      </w:r>
      <w:r w:rsidRPr="00E14102">
        <w:rPr>
          <w:color w:val="000000" w:themeColor="text1"/>
          <w:sz w:val="16"/>
          <w:szCs w:val="16"/>
        </w:rPr>
        <w:t xml:space="preserve"> О передаче опытного минно-торпедного завода в Ленинграде из ведения ГВМУ в ведение Главморпрома. (РГАЭ. Ф. 7297. Оп. 38. Д. 171. Л. 307) (15246).</w:t>
      </w:r>
    </w:p>
    <w:p w14:paraId="1D1C2AA3" w14:textId="77777777" w:rsidR="001D1A86" w:rsidRPr="00E14102" w:rsidRDefault="001D1A86" w:rsidP="00E14102">
      <w:pPr>
        <w:pStyle w:val="rtejustify"/>
        <w:spacing w:before="0" w:after="0"/>
        <w:rPr>
          <w:color w:val="000000" w:themeColor="text1"/>
          <w:sz w:val="16"/>
          <w:szCs w:val="16"/>
        </w:rPr>
      </w:pPr>
    </w:p>
    <w:p w14:paraId="5C9C713A" w14:textId="77777777" w:rsidR="006161A5"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78B098E1" w14:textId="77777777" w:rsidR="006161A5" w:rsidRPr="00E14102" w:rsidRDefault="006161A5" w:rsidP="00E14102">
      <w:pPr>
        <w:autoSpaceDE w:val="0"/>
        <w:autoSpaceDN w:val="0"/>
        <w:adjustRightInd w:val="0"/>
        <w:jc w:val="both"/>
        <w:rPr>
          <w:iCs/>
          <w:color w:val="000000" w:themeColor="text1"/>
          <w:sz w:val="16"/>
          <w:szCs w:val="16"/>
        </w:rPr>
      </w:pPr>
    </w:p>
    <w:p w14:paraId="29E5F5A3" w14:textId="77777777" w:rsidR="006161A5" w:rsidRPr="00E14102" w:rsidRDefault="006161A5" w:rsidP="00E14102">
      <w:pPr>
        <w:jc w:val="both"/>
        <w:rPr>
          <w:color w:val="000000" w:themeColor="text1"/>
          <w:sz w:val="16"/>
          <w:szCs w:val="16"/>
        </w:rPr>
      </w:pPr>
      <w:r w:rsidRPr="00E14102">
        <w:rPr>
          <w:color w:val="000000" w:themeColor="text1"/>
          <w:sz w:val="16"/>
          <w:szCs w:val="16"/>
        </w:rPr>
        <w:t xml:space="preserve">14 декабря 1935 г. Стенограмма вечернего заседания </w:t>
      </w:r>
    </w:p>
    <w:p w14:paraId="760D387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Левензон.</w:t>
      </w:r>
      <w:r w:rsidRPr="00E14102">
        <w:rPr>
          <w:color w:val="000000" w:themeColor="text1"/>
          <w:sz w:val="16"/>
          <w:szCs w:val="16"/>
        </w:rPr>
        <w:t xml:space="preserve"> Отчет на 1 октября этого года показывает, что в части стоимости мы в этом году идем по европейской части со снижением против сметы на 1% против 4% превышения сметы в прошлом году. Общую картину нам может несколько испортить Дальний Восток, поскольку Забайкалье и Приамурье на это число идут с превышением против сметы на 2%. Во всяком случае, исходя из их удельного веса в строительном плане, можно предполагать, что в этом году превышения против сметы мы иметь не будем. Но можно ли это считать большим достижением? Было бы неправильным отрицать, что мы добились повышения сметной дисциплины, что против прошлого года по отдельным статьям есть экономия. Но в этом основную роль сыграли два обстоятельства: 1) то, что в этом году были более укрупненные капиталовложения по ряду участков, которые занимают по сумме одну треть всего плана, 2) поздно составленные сметы, которые отразили фактическую стоимость работ. Возможность соблюдения сметы в основном нужно отнести за счет этих двух факторов. Отчетность показывает, что имеющееся удешевление стоимости по ряду статей уходит на покрытие ряда перерасходов.</w:t>
      </w:r>
    </w:p>
    <w:p w14:paraId="743C2DA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Что отражает наш отчет? Транспорт дает экономию против сметных цен. Он дает экономию потому, что фактически мы ориентировались в сметах на больший процент гужевого транспорта, чем это имеет место наделе, ввиду большего использования автотранспорта, а это дает значительное удешевление.</w:t>
      </w:r>
    </w:p>
    <w:p w14:paraId="43B06CC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Второе. В сметах цены на материалы завышены. Поэтому и эта статья дает экономию против сметы. Но куда же тогда девается экономия? Она идет, как я говорил, на покрытие бесхозяйственности. С одной стороны, мы имеем превышение административно-хозяйственных расходов против смет (данные па 1 ноября показывают, что мы идем по административно-хозяйственным расходам на 4% выше того, что положено по нормам) и второе: расценки, по которым мы оплачиваем работу, завышены для ряда квалификаций. Затем — наши складские операции. Мы здесь идем выше нормы — вместо 4% заготовительно-складских начислений они достигают 6,7%. Тут имеют место излишние перевалочные операции, излишние командировочные и целый ряд других расходов. Таким образом по смете все идет благополучно, а фактически по ряду статей мы имеем недопустимый перерасход, а экономия, которую отражает отчет, по другим статьям, получается за счет завышенной сметы.</w:t>
      </w:r>
    </w:p>
    <w:p w14:paraId="6249298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 будущий год нам поставлена задача — снизить стоимость строительства на 14% против сметы. Сумеем ли мы снизить стоимость строительства на 14%? Сумеем. Те подсчеты, которые я буду приводить, являются очень осторожными подсчетами.</w:t>
      </w:r>
    </w:p>
    <w:p w14:paraId="2BCA7B0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Как мы подошли к вопросу об установлении размера возможного снижения: 1) мы обследовали ряд участков и имеем богатый материал, характеризующий положение на местах, 2) мы проанализировали ряд смет, составленных участками и округами, и сопоставили их с нашими (центральными) наиболее экономичными и, наконец, 3) мы поискали источников экономии и в нашей центральной смете, и в самом проекте. По этому материалу мы судим о возможном размере снижения.</w:t>
      </w:r>
    </w:p>
    <w:p w14:paraId="11DE9FB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Беру одну из основных статей нашего расхода — транспорт. По отношению к обшей стоимости строительства транспорт стоит 23—27%. Анализ ряда смет, а я считаю, что то количество смет, которое было проанализировано, и тот иллюстративный материал, который имеется у нас в виде докладов комиссии, которая была послана СКУ и Финансовым отделом, затем та проверка, которая была произведена по собственной инициативе ХВО, показывает, что в смете гужевой транспорт превалирует в 2 раза над автомобильным. Во-первых, это совершенно не соответствует фактическому положению вещей. Фактически положение как раз обратное. Во-вторых, подвозка гужевая у нас в среднем составляет 6 км, что совершенно недопустимо и ненормально. Если взять Ленинградский военный округ и сравнить с Белорусским и Киевским, то картина будет такая. Если в Киевском и Белорусском округах стоимость транспорта составляет 23—25% к общей стоимости строительства, то в Ленинградском она составляет только 14— 15%. Правда, в Ленинградском округе кое-что завуалировано вдобавок к этому в стоимости материалов. О чем это говорит? Это говорит о том, что в Ленинградском округе подвозка от станции назначения до места работ организована более правильно и потому дешевле. Правда, в некоторых местах и у них есть срывы. Но, как правило, у них железнодорожные ветки проложены более рационально и ближе к месту работ, в среднем до 3 км. В Белорусском и Киевском округах в смете отражено в среднем, конечно, с разными отклонениями гужевой или автомобильный подвоз на 6 км. Если только поставить как обязательную задачу свести расстояние подвозки от станции назначения к строительной площадке с 6 км до 3, затем изменить соотношение между автомобильным транспортом и гужевым как 4 к 1, т.е. 80% автомобильного и 20% гужевого и к этому ликвидировать широко распространенные безобразия в использовании транспорта (недогруз, простои), то получим огромную экономию.</w:t>
      </w:r>
    </w:p>
    <w:p w14:paraId="24A2506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Возьмите хотя бы строительство дома Наркомата обороны, проверьте, что происходит по утрам. В одно и то же время к стройке подходят сразу 5—6 машин с грузом; на машинах всего 2 грузчика. В то время как одна машина разгружается, 5 машин стоят. Это повсеместное явление. Никто не станет отрицать, что в деле использования транспорта большой непорядок. Мы имеем, к сожалению, лишь единичные случаи, когда транспорт работает по графику: одна машина выходит вслед за другой через 10 мин., и на разгрузку транспорт не задерживается. Надо сказать, что здесь кроются колоссальные ресурсы экономии. Я не считаю возможным затруднять вас арифметикой, но это как минимум дает 6% экономии к общей стоимости строительства и на 25% сокращает количество затрат по транспорту. Тов. Латсон, помощник командующего Харьковским военным округом, провел у себя такую проверку. Эта проверка целиком совпадает с нашими выводами, которые мы сделали на основании анализа смет и тех материалов, которые привезла наша комиссия и т. Хрулева.</w:t>
      </w:r>
    </w:p>
    <w:p w14:paraId="01F445B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lastRenderedPageBreak/>
        <w:t>Вопрос упорядочения нашего транспортного дела — это есть половина успеха в деле снижения себестоимости. Это вопрос о широкой колее, о расстоянии подвозки, об увеличении соотношения между автотранспортом и гужевым — короче говоря, о рациональном использовании нашего транспорта. То, что у нас имеет место, ни в какие ворота не лезет. Это основная статья экономии.</w:t>
      </w:r>
    </w:p>
    <w:p w14:paraId="1323F28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Затем идут другие более мелкие статьи. Казалось бы, пустяковая статья — замена носилок тачками. Разрешите вам доложить, что на носилках мы излишне переплачиваем, исходя из плана будущего года, стоимость половины тяжелой бригады. 20 млн руб. стоит нам разница между переноской тяжести на носилках и тачкой. Пойдите на любую стройку, и вы увидите, что все грузы переносятся на носилках. Чем это объясняется? Тем, что у нас есть женский труд, который строители не ставят ни во что, но так как этот труд невыгодный, на нем не зарабатываешь много, то его оплачивают не по нормам, а выше. Наши нормы — вещь очень гибкая. Правильно на совещании в ЦК начальник строительства Волгоканала сказал, что наши нормы и на солнце, и на ветер, и на мороз. Если вы оплачиваете труд работающих на тачках по норме выше, то это работающим невыгодно. Но если прораб запишет, что она поднялась на метр выше, или пошла кривизной, или на неудобном месте, тогда эта норма подгоняется так, что уже может прокормить. Переноску на носилках мы должны допускать на стройке в исключительных местах, где тачкой или подъемником нельзя достать, но не больше чем в 10—20%. Весь остальной внутрипостроечный транспорт должен быть заменен механизмами, в крайнем случае тачкой. И даже в этих условиях работой тачкой мы по отношению к общей стоимости строительства выгадываем 0,20%, что в нашем плане составит 20 млн руб.</w:t>
      </w:r>
    </w:p>
    <w:p w14:paraId="651ACAA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Третья статья — она может тоже показаться смехотворной — это вода, экономия на воде. Как вы думаете, как у нас в сметах отражена вода? Вот 91-й участок Белорусского округа; кубометр воды у него стоит 2 руб. 32 коп., на 74-м участке 1 руб. 50 коп. Короче говоря, вода на 91-м участке составляет 1,08% ко всей стоимости строительства; по казарме, по кухне, по столовой она составляет 0,4%. Тут были и объективные условия. Поздно был дан водопровод. Но, к сожалению, в сметах всюду отражена такая стоимость воды. А в будущем году в сметах стоимость воды не должна превышать 50—70 коп. за кубометр, что против этого года даст 0,2% экономии в общей стоимости строительства.</w:t>
      </w:r>
    </w:p>
    <w:p w14:paraId="4FDC60D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Относительно опалубки. Как у нас отражено в сметах это дело? Опалубку используют в лучшем случае 1 —2 раза, а потом ее бросают. Фактически хороший хозяин этого не делает, но в сметах так записано, а если в сметах так записано, то это дает возможность плохому хозяину так и делать. А что значит иметь правильный оборот опалубки? Это значит, что на обычных бетонных работах надо оборачивать опалубку три раза, а там, где бетон заготовляется централизованно, иметь десятикратный оборот опалубки. Вот эта «мелочь» тоже дает 0,2% к общей стоимости строительства.</w:t>
      </w:r>
    </w:p>
    <w:p w14:paraId="547B4C6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Затем, вопрос о механизации. Когда мы говорим о механизации применительно к нашим условиям работы, мы в первую очередь имеем в виду использование той мелкой механизации, которая у нас имеется, и, во-вторых, дальнейшее насыщение наших строек механизмами. Конечно, мы услышим много жалоб, что транспортеры были без лент, что запасных частей не было. Все это верно. Но ведь верно и то, что и наличный вертикальный транспорт не используется, что краны Косина у нас не используются в должной мере, что наши бетономешалки и растворомешалки, хотя и перевыполняют нормы, которые мы дали, но абсолютно не имеют той производительности, не дают того коэффициента использования, который могли бы дать. Наш коэффициент использования смехотворный. Правда, он общий с Наркомтяжпромом, но из этого ничего не следует. У нас царствует еще коза, кирпич тянут на спине, на козе.</w:t>
      </w:r>
    </w:p>
    <w:p w14:paraId="192FE04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А электроэнергия?</w:t>
      </w:r>
    </w:p>
    <w:p w14:paraId="5CBB756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Леванзон.</w:t>
      </w:r>
      <w:r w:rsidRPr="00E14102">
        <w:rPr>
          <w:color w:val="000000" w:themeColor="text1"/>
          <w:sz w:val="16"/>
          <w:szCs w:val="16"/>
        </w:rPr>
        <w:t xml:space="preserve"> Мы будем говорить и об электроэнергии. Речь идет о том, чтобы установить совершенно новые, обязательные для всех нормы в отношении вертикального транспорта. Подъем, начиная с 5 м высоты, должен быть обязательно механизирован. Это должно быть правилом в нашей работе. Что касается механизмов, которые у нас попользуются, их коэффициент использования, в зависимости от рода механизации надо удвоить: вместо 0,35 дать 0,70, там, где 0,15, дать 0,30 и т.д. Подсчеты подсказывают, что это возможно, и у хороших хозяев это имеет место. Вы ставите вопрос, что для этого нужна электроэнергия, конечно, нужна, я скажу об этом в конце доклада. Но только так нужно строить и только так нужно давать отправные данные.</w:t>
      </w:r>
    </w:p>
    <w:p w14:paraId="1E93F56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Следующий вопрос — вопрос повышения производительности труда. Если бы присутствующие здесь участвовали бы на совещании ЦК, мне не пришлось бы совершенно говорить на эту тему, потому что, когда я там выступал, я сказал: «Вряд ли мне нужно защищать вопрос о том, что в наших условиях возможно повышение производительности труда на 30%». И по совести доложу, что я 30% взял, учитывая, что в будущем году нам все же в большой доле придется работать с неквалифицированной рабочей силой. Если бы не это обстоятельство, если бы был расчет на квалифицированную рабочую силу, я бы смело поставил больше 30%.</w:t>
      </w:r>
    </w:p>
    <w:p w14:paraId="2D3ACD2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Почему? Это показывают те материалы, которые в нашем распоряжении имеются. В этом году наши строительные батальоны, которые работали в основных округах, в течение первых двухтрех месяцев не давали полной нормы, а к концу года мы имеем среднюю производительность 115—120% даже у них. О чем это говорит? Это говорит о том, что, несмотря на разрыв между низшей и высшей точкой производительности, мы имеем превышение норм.</w:t>
      </w:r>
    </w:p>
    <w:p w14:paraId="43DD55B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У нас обыкновенно думают, что превышение норм всегда связано с уплотненностью рабочего дня. Это не всегда так. Вот результаты наблюдения: на 107-м участке, 66-м участке, 215-м участке и 105-м участке. Бригада каменщиков дает 120% производительности труда, а труд уплотнен только на 73%. Если мы считаем 10% нормального простоя в течение дня для перекурки, отдыха и т.д., то все же на 17% не уплотнен рабочий день и все-таки бригада перевыполняет норму. Возьмите бригаду штукатуров на 215-м участке, там только 82% уплотненности рабочего дня, а норма перевыполняется. На 105-м участке бригада плотников, которая дает 134% производительности труда против нормы, а уплотненность рабочего дня у нас только 52%, т.е. если бы она уплотнила свой рабочий день по-настоящему, даже без рационализации, она могла бы выгонять 220—250% нормы.</w:t>
      </w:r>
    </w:p>
    <w:p w14:paraId="1D2E33A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Мы издали сейчас книжку, я вчера ее демонстрировал в ЦК, вот эту книжку. Это производственно-нормативная картотека. Данные ее наблюдений относятся к 1934 г. Стахановское движение тут совершенно не отражено. Наблюдалась работа средняя — как работает средний рабочий, и результаты показывали, что против существующей нормы производительность была от 30% превышения до 50 и 100. Это говорит о том, что с нашими нормами неблагополучно, а это единая норма для всего Союза. И к этой мысли на совещании в ЦК пришли совершенно твердо. Поэтому мы смело планируем 30% повышения производительности труда. Мы не каждому дадим 30%, это минимум 30%, а некоторым округам и участкам мы завоз рабочей силы будем планировать так, чтобы давать вдвое меньше, чем в этом году, при равных капиталовложениях. На стройке Академии Фрунзе они сами вынесли решение, что, имея удвоенный план в 1936 г., они остаются при прежней рабочей силе. Если бы они не вынесли этого решения, я все равно больше им не дал бы. Только так надо планировать рабочую силу, ибо я совершенно ответственно докладываю, что на наших участках излишек рабочей силы.</w:t>
      </w:r>
    </w:p>
    <w:p w14:paraId="1081912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Скажите прямо, можем выдержать 14% снижения стоимости строительства?</w:t>
      </w:r>
    </w:p>
    <w:p w14:paraId="55A9363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Левензон.</w:t>
      </w:r>
      <w:r w:rsidRPr="00E14102">
        <w:rPr>
          <w:color w:val="000000" w:themeColor="text1"/>
          <w:sz w:val="16"/>
          <w:szCs w:val="16"/>
        </w:rPr>
        <w:t xml:space="preserve"> Можем.</w:t>
      </w:r>
    </w:p>
    <w:p w14:paraId="5791C1A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Вы так и докладывайте.</w:t>
      </w:r>
    </w:p>
    <w:p w14:paraId="0DBF368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Левензон.</w:t>
      </w:r>
      <w:r w:rsidRPr="00E14102">
        <w:rPr>
          <w:color w:val="000000" w:themeColor="text1"/>
          <w:sz w:val="16"/>
          <w:szCs w:val="16"/>
        </w:rPr>
        <w:t xml:space="preserve"> За счет каких элементов я даю это снижение?</w:t>
      </w:r>
    </w:p>
    <w:p w14:paraId="7B9BB37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6% на один транспорт.</w:t>
      </w:r>
    </w:p>
    <w:p w14:paraId="1F4158B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Левензон.</w:t>
      </w:r>
      <w:r w:rsidRPr="00E14102">
        <w:rPr>
          <w:color w:val="000000" w:themeColor="text1"/>
          <w:sz w:val="16"/>
          <w:szCs w:val="16"/>
        </w:rPr>
        <w:t xml:space="preserve"> Тов. народный комиссар, опалубка кажется мелочью, но этих мелочей много, и из них складываются огромные суммы. Когда мы подойдем конкретно к каждому участку, то тут будет выявляться, что у одних дело поставлено хуже, у других лучше, но в целом я считаю те данные, те материалы, которые мы добыли совершенно репрезентативными и их можно распространить на все строительство РККА. И пусть никого не смущает эта вода. Вода — это не чепуха. Разве мыслимо, чтобы вода занимала 1% к общей стоимости постройки? Разве мыслимо, чтобы столько стоил кубометр воды?</w:t>
      </w:r>
    </w:p>
    <w:p w14:paraId="28F6299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Как мы работаем до сих пор? На аэродромных работах у нас господствует грабарь тачка. А на 202-м участке в Ленинграде перешли уже к механизации этих работ. Не думайте, что тут какая-то особенная механизация. Тут — трактор, плуги и другие механизмы, которыми мы располагаем. Надо только их правильно комбинировать и работу организовать. Когда мы подсчитали это дело, мы пришли к выводу, что это дешевле того, что мы делаем обыкновенно. А сколько тут рабочей силы освобождается? А в какой мере мы освобождаемся от расходов по коммунальным услугам, жилью и т.д.? Это к общему нашему плану составляет 0,15% экономии. Вы скажете: чепуха, какие-то десятые доли процента. Извините, из этих десятых долей складывается 14%.</w:t>
      </w:r>
    </w:p>
    <w:p w14:paraId="06A68B6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Следующие статьи — это конструктивные изменения в наших проектах, которые могут дать больше 1% экономии, экономия за счет правильного применения норм (1,15%), стоимость проектирования и др. Все это вместе взятое дает 10—11%. Не хватает еще 3%. Откуда их взять? 1 </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пойдет за счет снижения стоимости местных материалов. Это то, что дает правительство. И остальные 1</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 должны быть получены за счет экономии на материалах. Это по подсчетам совершенно возможная вещь. Таким образом мы можем дать 14%.</w:t>
      </w:r>
    </w:p>
    <w:p w14:paraId="3E3DD5F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докладываю, что я был крайне осторожен в наших расчетах. Мне вначале это тоже казалось очень сложным, но вот подсчет с карандашом в руке показывает, что это возможно. Но эти 14% голыми руками не возьмешь. Требуется огромная организационная работа с нашими кадрами, требуется жесткая дисциплина в соблюдении плана, смет, финансовая дисциплина, новые методы работ.</w:t>
      </w:r>
    </w:p>
    <w:p w14:paraId="65453FE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 кадрами у нас дело обстоит нехорошо и количественно, и качественно. Я докладываю о тех мероприятиях, которые нам нужны и которые зависят не столько от нас, строителей, сколько от той помощи, которая нам будет оказана. 2—3 месяца тому назад я докладывал вопрос о кадрах на будущий год. План у нас увеличивается вдвое. Мы имеем огромный некомплект инженерно-технического персонала. Где же пути, ведь у нас нет базы? Наша Военно-инженерная академия ничего не дает, в этом году дала 20-30 чел., на будущий год ничего не предвидится от нее получить. Она выпускает моряков, саперов, только не строителей. 2 месяца тому назад я просил, для того чтобы нам создать основной костяк наших кадров, разрешить прибегнуть к следующей операции по ВИА: снять с 5 курсов разных факультетов — моряков и саперов — человек 250—300 и дать им общеобразовательный уклон с тем, чтобы мы в начале строительного сезона получили человек 200-250 строителей. Этот вопрос не получил пока своего разрешения.</w:t>
      </w:r>
    </w:p>
    <w:p w14:paraId="2CB0D04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Разрешите аппелировать к вам: почему ЦК не пожалел снять тысячи людей, которые учились в не менее благородных учебных заведениях, чем ВИА, и послал их в политотделы? От этого дело и люди только выиграли. Почему мы не можем этого сделать по ВИА? Почему мы должны жаловаться в ЦК, почему мы должны </w:t>
      </w:r>
      <w:r w:rsidRPr="00E14102">
        <w:rPr>
          <w:color w:val="000000" w:themeColor="text1"/>
          <w:sz w:val="16"/>
          <w:szCs w:val="16"/>
        </w:rPr>
        <w:lastRenderedPageBreak/>
        <w:t>обращаться в НКТяжпром в то время, как можно этот основной костяк получить из ВИА? Нам нужно цементировать весь аппарат своими собственными кадрами. Еще не поздно будет и сейчас, если мы по ВИА произведем такую операцию. Но, кроме этого, нам нужно просить инженеров и техников, как оканчивающих в этом году вузы, так и опытных, и у НКТяжпрома и других наркоматов.</w:t>
      </w:r>
    </w:p>
    <w:p w14:paraId="1633852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Второй вопрос (а я докладываю вопросы, которые нужно будет поставить в правительстве) — это вопрос об оснащении наших строек электроэнергией. Я уверен, что здесь выступят командующие войсками и скажут, чтобы мы дали им дизелей. Мы в этом году дизелей для того огромного строительства, которое ведется, не дали. Сколько ни бились — ничего не получили. В IV квартале дают 4 дизеля, на будущий год записывают 60 дизелей. Приходится сложную работу проводить ручным трудом, а отсюда ясно: перед нами стоит вопрос со всей остротой об электроэнергии, о дизелях. Нужно учитывать, что мы работаем не в Москве, что мы не на Кропоткинской улице школу строим, а работаем на строительстве казарм, где нам самим надо прокладывать и водопровод, и канализацию, и строить электростанции и т.д. Мы должны поставить этот вопрос перед правительством, иначе все попытки механизировать работы ни к чему не приведут, а тем самым и снижение стоимости в большой части будет под вопросом.</w:t>
      </w:r>
    </w:p>
    <w:p w14:paraId="5187A33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Есть большой вопрос, который я выдвигал в своем выступлении в ЦК. Это вопрос относительно системы планирования материалов. Через несколько дней мы соберемся у т. Чубаря</w:t>
      </w:r>
      <w:hyperlink r:id="rId329" w:anchor="_ftn1" w:history="1">
        <w:r w:rsidRPr="00E14102">
          <w:rPr>
            <w:rStyle w:val="a4"/>
            <w:color w:val="000000" w:themeColor="text1"/>
            <w:sz w:val="16"/>
            <w:szCs w:val="16"/>
          </w:rPr>
          <w:t>[1]</w:t>
        </w:r>
      </w:hyperlink>
      <w:r w:rsidRPr="00E14102">
        <w:rPr>
          <w:color w:val="000000" w:themeColor="text1"/>
          <w:sz w:val="16"/>
          <w:szCs w:val="16"/>
        </w:rPr>
        <w:t xml:space="preserve"> для рассмотрения годового плана. Его утвердят, но через 2 дня про этот план забудут, ибо основным является квартальный план, но последний также зависит от месячного плана перевозок. Благодаря этому мы никогда не имеем возможности согласовывать с промышленностью спецификацию материалов. Мы вынуждены брать тот сортимент, который имеется в наличии. Отсюда и происходит то, что начальник участка не имеет твердого плана снабжения, а следовательно, и плана работ. Он — этот план — ломается часто. На участке излишние запасы материалов, на данный месяц ненужные, излишняя рабочая сила, финансовые затруднения и т.д.</w:t>
      </w:r>
    </w:p>
    <w:p w14:paraId="5B8E9AA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Вы в ЦК говорили?</w:t>
      </w:r>
    </w:p>
    <w:p w14:paraId="08D0C32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Левензон.</w:t>
      </w:r>
      <w:r w:rsidRPr="00E14102">
        <w:rPr>
          <w:color w:val="000000" w:themeColor="text1"/>
          <w:sz w:val="16"/>
          <w:szCs w:val="16"/>
        </w:rPr>
        <w:t xml:space="preserve"> Говорил. Я вчера говорил по этому вопросу, я говорил — дайте нам 80-90% годового плана, но дайте твердо, помесячно. Если я буду получать в январе, феврале, в марте известный процент, то мой начальник участка будет знать, что он получает, и на основе этого он будет организовывать всю работу. А что у нас сейчас происходит? Начальник участка на всякий случай держит резерв рабочей силы, думая: может быть, придет цемент, электротехника и т.д. Если будет известно, что мы получаем в январе, феврале и т.д. на каждый месяц, то это внесет оздоровляющее, организующее начало на нашей стройке.</w:t>
      </w:r>
    </w:p>
    <w:p w14:paraId="4BDC778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Вчера, т. народный комиссар, никто не дал ответа на этот вопрос, а т. Орджоникидзе, видимо, считает, что это невозможно. Давайте в виде опыта проведем... Пусть 20% останется для резервирования, но и 80% дадут больше, чем 100%. Что толку от этих 100%, если мы в этом году в IV квартале получаем 37% годового плана кровли? Эти вопросы мы должны поставить.</w:t>
      </w:r>
    </w:p>
    <w:p w14:paraId="63E167C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Теперь о вопросах внутренних, в частности о вопросах транспорта. Я не думаю, т. народный комиссар, обижать армию, забирать ее транспорт. Мы будем только просить у т. Халепского дать нам транспорт вовремя. Все равно мы его от правительства получим. Мы должны получить 2,5 тыс. машин, но надо получить их в январе-феврале, чтобы мы могли эти машины использовать в течение всего года.</w:t>
      </w:r>
    </w:p>
    <w:p w14:paraId="5956336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уже говорил о кадрах. Мы вам, т. народный комиссар, будем докладывать вопрос о подготовке и переподготовке кадров. Я думаю, что нам надо в течение 2-3 недель собрать по округам наш инженерно-технический персонал, чтобы зарядить его по-новому, в соответствии с решением ЦК.</w:t>
      </w:r>
    </w:p>
    <w:p w14:paraId="5AFFAE0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Зиму надо использовать для переподготовки рабочей силы. Нам надо использовать наших лучших стахановцев и использовать их как инструкторов для подготовки рабочей силы, для подготовки ее по новым методам работы. Это надо сделать во что бы то ни стало, чтобы из неквалифицированной рабочей силы создать в будущем году хорошие кадры. Это надо начинать теперь же с тем, чтобы создать основной костяк, вокруг которого будет нарастать основная рабочая сила.</w:t>
      </w:r>
    </w:p>
    <w:p w14:paraId="1DC4C6D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Еще по вопросу о внутренних мероприятиях. Мы должны совершенно по-иному поставить наше сметное и учетное дело. В ближайшие дни мы вам, т. народный комиссар, будем докладывать, как мы себе представляем это. То, что мы проработали у себя, совпадает с тем, что будет, видимо, принято ЦК и Совнаркомом. Речь идет о значительном упрощении нашего сметного дела. Нас ругают за наши сметы, и, вероятно, т. Хрулев, не без сетования будет говорить очень много на эту тему. Дело в том, что наша смета на дом занимает 200 страниц. Вы себе представьте — в этом году мы строим 10,5 тыс. объектов и по каждому объекту в среднем выходит 150 страниц.</w:t>
      </w:r>
    </w:p>
    <w:p w14:paraId="210D270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Сколько труда нужно убить, чтобы такое количество проверить? Надо сократить нашу смету в 20 раз, тогда ее легче составлять и проверять. Методы нами уже разработаны и будут вам, т. народный комиссар, доложены. Но помимо упрощения сметного и учетного дела нужно усилить контроль за этим сметным делом. Я докладываю нашу просьбу о создании контрольно-калькуляционной группы в ВСУ РККА и в округах для того, чтобы поставить сметную работу на должную высоту.</w:t>
      </w:r>
    </w:p>
    <w:p w14:paraId="10A0351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Последние два вопроса — вопрос о материальном положении нашего инженерно-технического персонала и о быте наших рабочих. Наши рабочие живут в конюшнях, живут в складах. Так жить нельзя. Так жить и никто не разрешит. Я прекрасно знаю, как трудно из нашего плана выкраивать деньги для рабочего жилья. Но, видимо, т. народный комиссар, придется это сделать. Нужно будет примерно 15—20 млн в этом году за какой угодно счет снять для того, чтобы этот вопрос решить. Возьмите вы инженера, который окончил в прошлом году. Он живет в Ярмолинцах, Славуте, Осиповичах и т.д., а семья его живет тут. Какая же это жизнь для инженера? Нужно дать ему возможность работать нормально.</w:t>
      </w:r>
    </w:p>
    <w:p w14:paraId="6D2116C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Последний вопрос — стахановское движение. Вопрос о возглав-лении стахановского движения есть основной для решения тех задач, которые перед нами стоят. Должен откровенно сказать то, что мы видели у себя на совещании строителей-стахановцев, то, что я услышал от стахановцев на совещании в ЦК, это такое, что никому не снилось по источникам экономии, культурного, сознательного отношения к работе. А как у нас обстоит дело? Кое-где шевелятся, и есть результаты очень недурные. Мы кое-что проверили. Но есть безобразные участки, где не только не занимаются стахановским движением, но наоборот. Возьмем участок ВИА, Московского округа. Там умудрились стахановцев вместо того, чтобы дать им возможность развернуть свою работу и повышать производительность труда, поставить на подсобную работу.</w:t>
      </w:r>
    </w:p>
    <w:p w14:paraId="2974D52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Вероятно, потому, что это Инженерная академия.</w:t>
      </w:r>
    </w:p>
    <w:p w14:paraId="0222C80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Левензон.</w:t>
      </w:r>
      <w:r w:rsidRPr="00E14102">
        <w:rPr>
          <w:color w:val="000000" w:themeColor="text1"/>
          <w:sz w:val="16"/>
          <w:szCs w:val="16"/>
        </w:rPr>
        <w:t xml:space="preserve"> Тут Инженерная академия ни при чем. Тут виноваты мы — строители, хотя помполит Инженерной академии должен был и этим делом заняться. Тут моя покорнейшая просьба помочь.</w:t>
      </w:r>
    </w:p>
    <w:p w14:paraId="0B60CCF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Скажите о качестве стройки.</w:t>
      </w:r>
    </w:p>
    <w:p w14:paraId="1BA34B4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Левензон.</w:t>
      </w:r>
      <w:r w:rsidRPr="00E14102">
        <w:rPr>
          <w:color w:val="000000" w:themeColor="text1"/>
          <w:sz w:val="16"/>
          <w:szCs w:val="16"/>
        </w:rPr>
        <w:t xml:space="preserve"> О качестве стройки скажу. Я считаю, что в вопросе развития стахановского движения, т. народный комиссар, нужна помощь политаппарата округов. У нас на участке один помполит, и тот норовит заниматься хозяйством, а не политработой.</w:t>
      </w:r>
    </w:p>
    <w:p w14:paraId="628C2B8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Там имеется коммунистическая прослойка.</w:t>
      </w:r>
    </w:p>
    <w:p w14:paraId="366E492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Прослойка коммунистическая 1,2%, а площадка большая, на площадке 3000 рабочих.</w:t>
      </w:r>
    </w:p>
    <w:p w14:paraId="3FF8FF0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Левензон. Я</w:t>
      </w:r>
      <w:r w:rsidRPr="00E14102">
        <w:rPr>
          <w:color w:val="000000" w:themeColor="text1"/>
          <w:sz w:val="16"/>
          <w:szCs w:val="16"/>
        </w:rPr>
        <w:t xml:space="preserve"> думаю, что на эту тему не нужно говорить. Значение стахановского движения для всех ясно. Надо им только заняться вплотную и немедленно.</w:t>
      </w:r>
    </w:p>
    <w:p w14:paraId="4E5CDA0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Относительно объемов и качества работ. В качестве мы имеем в этом году сдвиг, и, не хочу скромничать, большой сдвиг. Но пределов у нас нет. Безграмотности еще много. Особенно у нас не обращают внимания на мелочи. В этом отношении еще нужно поработать. В отношении объема работ разрешите назвать несколько цифр, поскольку мне задают об этом вопросы. В этом году до 1 января 1936 г. мы введем в эксплуатацию 237 домов начсостава, с общим количеством квартир 6150, или 18,5 тыс. комнат, 96 казарм на 35 000 чел., 143 гаража на 3235 машин, 265 конюшен на 37 000 лошадей, 40 ангаров.</w:t>
      </w:r>
    </w:p>
    <w:p w14:paraId="5B243B1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Относительно водопроводных работ — разрешите вам доложить, что в этом году мы уложили водопровод только по европейской части Союза, который по протяженности равен 42% всего Московского водопровода. По канализации — в этом году мы уложили наружную канализационную сеть, равную 21% всей московской канализационной сети. Центральное отопление — мы оборудовали в 700 зданиях и дали 409 самостоятельных котельных.</w:t>
      </w:r>
    </w:p>
    <w:p w14:paraId="17FCD72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прошлом году мы проложили бронекабеля 45 км, в этом году — 200 км. В прошлом году мы протянули воздушных линий 500 км, в этом году — 1500 км. Таковы итоги этого года, но то, что предстоит в будущем году, ни в какое сравнение с этим не идет. В этом году мы уложили 0,5 млрд штук кирпича, должны уложить 1600 млн штук кирпича.</w:t>
      </w:r>
    </w:p>
    <w:p w14:paraId="59D794B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Отсюда вывод, что и вопрос темпов, и вопрос качества должны занимать еще большее внимание, чем в этом году, а вопрос стоимости должен быть поставлен решительно под углом снижения. Мы должны снизить стоимость на 14%. Мы можем это сделать. Нужно проделать большую в этом направлении работу. Нужна ваша большая помощь. Мы обязаны дать и можем дать. Вот сидят начальники округов и участков, я думаю, что они подтвердят это. Нужно провести в жизнь те мероприятия, которые я сейчас тут докладывал.</w:t>
      </w:r>
    </w:p>
    <w:p w14:paraId="3E701EB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Тут, кажется, есть начальники строительных отделов западных округов, нужно было бы их заслушать, как они на это дело смотрят. А пока мы дадим слово т. Дзызе.</w:t>
      </w:r>
    </w:p>
    <w:p w14:paraId="6E58540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146-149.</w:t>
      </w:r>
    </w:p>
    <w:p w14:paraId="4D9DB90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Дзыза. Я</w:t>
      </w:r>
      <w:r w:rsidRPr="00E14102">
        <w:rPr>
          <w:color w:val="000000" w:themeColor="text1"/>
          <w:sz w:val="16"/>
          <w:szCs w:val="16"/>
        </w:rPr>
        <w:t xml:space="preserve"> хочу остановиться только на двух вопросах: дать очень краткую оценку состояния строительства у себя и второе, что коренным образом влияет и на выполнение плана строительства — на стоимость строительства у нас.</w:t>
      </w:r>
    </w:p>
    <w:p w14:paraId="36CF81C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Первое: каково состояние строительства у нас сейчас? Должен доложить, что строим мы чрезвычайно медленно, несомненно дорого, и качество строительства на сегодняшний день, по сравнению с качеством строительства в ряде других округов, у нас чрезвычайно низкое, хотя мы имеем в этой области также сдвиги по сравнению с качеством строительства 1933-го и даже 1934 г. Это первое-</w:t>
      </w:r>
    </w:p>
    <w:p w14:paraId="51B2996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Второе. Объем работы, выполняемой нами на сегодняшний день, не дает даже элементарных условий для нормального расквартирования, жизни и быта войсковых частей. Мы живем до сих пор, как правило, на двухъярусных нарах.</w:t>
      </w:r>
    </w:p>
    <w:p w14:paraId="4BB372F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Вы бы рассказали не о том, как плохо живут, а о том, как плохо вы строите.</w:t>
      </w:r>
    </w:p>
    <w:p w14:paraId="3E4E14D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lastRenderedPageBreak/>
        <w:t>Дзыза.</w:t>
      </w:r>
      <w:r w:rsidRPr="00E14102">
        <w:rPr>
          <w:color w:val="000000" w:themeColor="text1"/>
          <w:sz w:val="16"/>
          <w:szCs w:val="16"/>
        </w:rPr>
        <w:t xml:space="preserve"> Остро ощущаем недостаток квартирной площади и чрезвычайно плохо организовываем сохранение нашей боевой техники.</w:t>
      </w:r>
    </w:p>
    <w:p w14:paraId="5482754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Перехожу к основному вопросу, что мешает нам строить лучше, быстрее и качественно выше. Первое и основное — это строительный материал, которым мы располагаем. Мы вынуждены до сих пор, как правило, вести деревянное строительство, причем мало того, что мы ведем деревянное строительство, мы ведем это строительство из леса совершенно неудовлетворительного качества, из леса только что взятого из места заготовки, чрезвычайно сырого. Это коренным образом влияет на стоимость строительства, и вот почему. После осадочной работы деревянное строительство, все строительные детали — двери, окна, переплеты, полы и т.д. — мы должны коренным образом переделывать на второй год. Таким образом, одно то, что мы строим деревянные сооружения, в части переделки деталей и ремонта, в огромной степени удорожает наше строительство.</w:t>
      </w:r>
    </w:p>
    <w:p w14:paraId="2BD9808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Второе, что вытекает из этого, мы совершенно не можем благоустроить наши гарнизоны. Стоимость водопроводных работ, стоимость строительно-технических работ, стоимость электроосвещения и т.д. огромная по сравнению со стоимостью каменного городка, и это втрое удорожает наше строительство.</w:t>
      </w:r>
    </w:p>
    <w:p w14:paraId="5224982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Следующее обстоятельство, которое чрезвычайно затрудняет работы у нас, — это то, что база местных строительных материалов чрезвычайно ограничена. Мы до сих пор живем, по существу, на своей базе строительных материалов. Мы до сих пор добываем сами лес, если не полностью, то в значительной мере, а в части распиловки — 50% потребности. В лесе — из 500 000 кубометров леса мы 250 000-300 000 кубометров должны распиливать сами.</w:t>
      </w:r>
    </w:p>
    <w:p w14:paraId="60EEEE1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Мы до сих пор не можем приступить к кирпичному строительству только потому, что база строительных материалов по кирпичу в крае до сих пор не превышает 25—30 млн штук годовой программы. Даже на 1936 г. программа запланирована по краю в 35—40 млн штук кирпича при потребности только армии, чтобы перейти хотя бы частично на строительство кирпичных зданий, — в 150 млн штук. Таким образом, мы на сегодняшний день должны резко и категорически ставить перед собой задачу расширения кирпичного производства. Мы сами добываем лес, сами распиливаем лес, сами должны закладывать все наши объекты, сами должны ставить перед собой задачу добычи кирпича. По извести мы 100% нашей потребности добываем сами. 27-30 тыс. тонн извести мы добываем сами. Край дает всего около 5 тыс. тонн извести на все строительство края. Камень, песок, абсолютно все мы добываем сами.</w:t>
      </w:r>
    </w:p>
    <w:p w14:paraId="49307F8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докладываю об этих вещах только потому, что они имеют огромное значение в организации работ и в стоимости строительства. В организации работ они имеют следующее значение. По сей день, несмотря на то что все знают, что база строительных материалов края явно недостаточна для того, чтобы обеспечить огромное строительство ДВК, в том числе и строительство армии, не разрешили правильно собственной базы строительных материалов как в смысле финансирования, как в смысле организации, так и в смысле обеспечения рабочей силой.</w:t>
      </w:r>
    </w:p>
    <w:p w14:paraId="64987CE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Военно-строительное управление и другие центральные управления исходят из того, что получим строительные материалы в крае. Край этого не в состоянии дать. Если не будет принято решительных мер общегосударственного создания крупной индустриальной базы местных строительных материалов, край не даст ни в будущем году, ни в следующих годах необходимых местных материалов. Мы вынуждены заниматься добыванием собственных материалов и в дальнейшем. Это требует правильного учета всех тех нагрузок, которые планируются при строительстве в смысле расчетов потребности в рабочей силе.</w:t>
      </w:r>
    </w:p>
    <w:p w14:paraId="48FDCD7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 огромные работы по производству кирпича, которые мы должны были сделать в 1935 г., т.е. дать кирпича в два раза больше, чем дает край, заготовить сотни тысяч тонн пиломатериалов, имея 52 лесопильные рамы при наличии в крае всего 30 рам и т.д., говорит о том, что наше строительное хозяйство выросло за рамки подсобных предприятий, оно требует правильного финансирования и огромного вложения средств в эти производства. Это на сегодняшний день является еще непризнанным делом.</w:t>
      </w:r>
    </w:p>
    <w:p w14:paraId="4BBF421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Егоров.</w:t>
      </w:r>
      <w:r w:rsidRPr="00E14102">
        <w:rPr>
          <w:color w:val="000000" w:themeColor="text1"/>
          <w:sz w:val="16"/>
          <w:szCs w:val="16"/>
        </w:rPr>
        <w:t xml:space="preserve"> Скажите, как происходит строительство у вас?</w:t>
      </w:r>
    </w:p>
    <w:p w14:paraId="0358391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Дзыза.</w:t>
      </w:r>
      <w:r w:rsidRPr="00E14102">
        <w:rPr>
          <w:color w:val="000000" w:themeColor="text1"/>
          <w:sz w:val="16"/>
          <w:szCs w:val="16"/>
        </w:rPr>
        <w:t xml:space="preserve"> Второе, что нам нужно, — это решить вопрос о переходе к кирпичному производству и кирпичному строительству. Дальше продолжать деревянное строительство, которое, как я уже докладывал, исключительно дорого, нерентабельно, малокультурно, так как не дает возможности создания элементарных бытовых условий для наших командиров. А для этого требуется одно — решить вопрос о расширении собственных армейских кирпичных заводов и дальше. Нам нужно для строительства развернуть производство кирпича на 120—130 млн штук, этот кирпич получить, на это нужны титульные средства, потому что эти работы вырастают уже в огромные титульные работы. Все расчеты представлены. Я два месяца здесь сижу, добиваясь решения по этому вопросу, с тем чтобы перейти к 1936 г. на кирпичное строительство. Следующий вопрос — что может и что позволяет снизить стоимость этого строительства. Я уже говорил о том, что деревянное строительство исключительно дорого.</w:t>
      </w:r>
    </w:p>
    <w:p w14:paraId="6A93DA8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Вопрос, который для нас имеет очень существенное значение, — это вопрос организации строительных площадок. Здесь у нас, как правило, имеет место такое положение. Мы подготовку площадки в транспортном отношении начинаем тогда, когда построили фактически значительную часть сооружения, а не наоборот. Это положение должно быть коренным образом изменено.</w:t>
      </w:r>
    </w:p>
    <w:p w14:paraId="453495A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Дальше — обеспечить нас механизмами хотя бы для таких работ, как деревоотделочные. Я слушал здесь структуру военно-строительной промышленности на совещании стахановцев. Мы не имеем у себя ни одного такого агрегата, о которых говорили товарищи, таких агрегатов, которые нужны для каменоломенной промышленности, не имеем, а добываем 80 000 кубометров камня в сутки. В плане намечено добывать 145 000 кубометров камня и песка. Шахты на 11 и на 17 м рубили вручную, чтобы заложить 37 т аммонала и взорвать гору, поднять 45 000 кубометров камня. Это было сделано 17 сентября 1935 г. Но ни одного перфоратора я не мог получить в течение двух лет, хотя все знают, что мы добываем сами камень и должны будем добывать в дальнейшем.</w:t>
      </w:r>
    </w:p>
    <w:p w14:paraId="0D5E5BF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Строгальных станков я не имею. Организовать такую простую вещь, как механизацию целого ряда деталей — болтов и т.д., я не могу. Мы не имеем ни одного строительного двора. В этом году было решено построить 6 строительных дворов, просили на это дело 7 млн руб., но я их не имею, и ни одного строительного двора у нас нет. Механизация дала бы у нас огромную экономию средств строительства. А у нас до сих пор кузнец Вакула вручную кует все эти гайки и прочие вещи.</w:t>
      </w:r>
    </w:p>
    <w:p w14:paraId="77FA2DC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А сколько денег вы сдаете неосвоенными?</w:t>
      </w:r>
    </w:p>
    <w:p w14:paraId="53BBF7F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Дзыза.</w:t>
      </w:r>
      <w:r w:rsidRPr="00E14102">
        <w:rPr>
          <w:color w:val="000000" w:themeColor="text1"/>
          <w:sz w:val="16"/>
          <w:szCs w:val="16"/>
        </w:rPr>
        <w:t xml:space="preserve"> По кавалерийской дивизии около 11 млн уже сдано, а по остальным дивизиям около 10 млн.</w:t>
      </w:r>
    </w:p>
    <w:p w14:paraId="6D24F7E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Следующий вопрос — о стоимости местных строительных материалов, вопрос огромной важности для нашего края. Край в течение двух лет ведет борьбу, чтобы наконец установить стоимость местных строительных материалов. В крае была специальная правительственная комиссия. Правительственная комиссия в течение трех месяцев рассматривала вопрос стоимости местных строительных материалов и установила, что стоимость на кирпич и другие материалы, принятая для наших сметных исчислений, недостаточная, но тем не менее и на 1936 г. цены берутся для сметных исчислений на 40% ниже цен, установленных правительственной комиссией. Мы не можем ничего сделать в крае для того, чтобы уложить в сметную стоимость цены на местные строительные материалы, которые установлены правительственным решением.</w:t>
      </w:r>
    </w:p>
    <w:p w14:paraId="3E46463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Последний вопрос — это вопрос проектирования и составления смет. Тов. Левензон говорил, что мы в этом деле имеем большую путаницу. Это верно. Я должен сказать, что стоимость проектирования и составления смет имеет для нас огромное значение в том смысле, что при проектировании и составлении смет ведется большая дублирующая и параллельная работа, которая тянет за собой большие средства. Только по нашему краю стоимость проектных работ выражается в 2 млн руб., которых мы могли бы избежать, если бы дело было организационно правильно построено.</w:t>
      </w:r>
    </w:p>
    <w:p w14:paraId="2900469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150-151.</w:t>
      </w:r>
    </w:p>
    <w:p w14:paraId="0AA0881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Гайлит.</w:t>
      </w:r>
      <w:r w:rsidRPr="00E14102">
        <w:rPr>
          <w:color w:val="000000" w:themeColor="text1"/>
          <w:sz w:val="16"/>
          <w:szCs w:val="16"/>
        </w:rPr>
        <w:t xml:space="preserve"> Решение партии и правительства о снижении стоимости строительства на 14% является для нас программой действий. Это чрезвычайно серьезный момент в нашей дальнейшей строительной работе. Мне кажется, здесь было бы недостаточно, если бы мы докладывали народному комиссару лишь о том, что мы это обязательно выполним. Мы обязаны это выполнить, но наряду с этим нужно сказать и о тех трудностях, и тех нуждах, и особых условиях, которые все же необходимо учесть в нашей дальнейшей работе, без чего, безусловно, эти требования не могут быть выполнены.</w:t>
      </w:r>
    </w:p>
    <w:p w14:paraId="4B928D0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Здесь т. Левензон правильно сказал, что одним из важнейших условий успешного выполнения плана и снижения себестоимости является вопрос о транспорте.</w:t>
      </w:r>
    </w:p>
    <w:p w14:paraId="50397D9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должен сказать, что для СибВО этот вопрос имеет исключительно важное значение, ибо транспортные средства у нас вообще чрезвычайно скудны, начиная от железнодорожного и кончая автомобильным и гужевым. Наряду с этим мы имеем очень ответственные стройки в таких местах, где нам приходится прибегать к подвозу на расстояние до 8 км. Я имею в виду строительство в Красноярске. Расстояние здесь большое — буквально на 8 км приходится подвозить. Стоит вопрос о постройке там железнодорожной ветки, но до сих пор, несмотря на то, что это признано необходимым, вопрос не решен — будет ли ветка в будущем году или нет. Еще не закончены изыскания, еще и принципиально не решен вопрос о том, будет ли обязательно эта ж/д ветка дана или нет. А между тем следует отметить, что эта ветка для нас имеет чрезвычайно важное значение не только в смысле окончания строительства, но и колоссальное значение в мобилизационном отношении, ибо она будет важна для всего большого Красноярского военного городка, находящегося, как я говорил выше, в 8 км от железнодорожной станции. Поэтому здесь ветка чрезвычайно необходима.</w:t>
      </w:r>
    </w:p>
    <w:p w14:paraId="489301B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 механизации работ, в особенности в Красноярске и на Толмачеве — на наших основных стройках: здесь мы освещаем даже с помощью аварийных, электрических установок. Говорить о том, чтобы здесь механизировать производство, будет означать не больше как игру слов. Нам механизация необходима. И если нам своевременно не будут даны агрегаты, если нам не будут даны своевременно моторы и двигатели, то ни о каком вертикальном транспорте целого ряда работ мы не можем говорить.</w:t>
      </w:r>
    </w:p>
    <w:p w14:paraId="4AB57B6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Далее вопрос о материалах.</w:t>
      </w:r>
    </w:p>
    <w:p w14:paraId="2F4B376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Вы все говорите о заявках; доложите, что вы делаете.</w:t>
      </w:r>
    </w:p>
    <w:p w14:paraId="7398DA8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Гайлит.</w:t>
      </w:r>
      <w:r w:rsidRPr="00E14102">
        <w:rPr>
          <w:color w:val="000000" w:themeColor="text1"/>
          <w:sz w:val="16"/>
          <w:szCs w:val="16"/>
        </w:rPr>
        <w:t xml:space="preserve"> Я доложу, что мы делаем. Я считаю необходимым прежде всего сказать, в чем наши узкие места. В этом году мы испытывали острейший недостаток в ряде материалов, например цемента мы недополучили 800 т, своевременно недополучили целый ряд материалов централизованного снабжения. Из-за этого мы тормозили темп строительства. Мы срывали большие возможности стахановского движения. Мы имели такие случаи, когда день поработаем, даем на целом ряде участков исключительно высокие темпы, но свертываем работу в последующие дни, так как материалов нет. Мы в этом году недовыполнили свою программу главным образом </w:t>
      </w:r>
      <w:r w:rsidRPr="00E14102">
        <w:rPr>
          <w:color w:val="000000" w:themeColor="text1"/>
          <w:sz w:val="16"/>
          <w:szCs w:val="16"/>
        </w:rPr>
        <w:lastRenderedPageBreak/>
        <w:t>потому, что недополучили цемент. Мы, например, не получили материал для покрытия крыш ангаров. Несмотря на неоднократные обещания дать нам материал для крыш, повторяю, мы его не получили, и благодаря этому мы заканчиваем авиационное строительство всего лишь на 86% плана, по складам — на 95%, по войсковому строительству — на 99%. В дальнейшем надо крепко обеспечить это дело, ибо подготовка работ у нас находится в прямой зависимости от своевременного, централизованного снабжения материалами.</w:t>
      </w:r>
    </w:p>
    <w:p w14:paraId="4A04802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 тыловом ополчении</w:t>
      </w:r>
      <w:r w:rsidRPr="00E14102">
        <w:rPr>
          <w:color w:val="000000" w:themeColor="text1"/>
          <w:sz w:val="16"/>
          <w:szCs w:val="16"/>
          <w:vertAlign w:val="superscript"/>
        </w:rPr>
        <w:t>91</w:t>
      </w:r>
      <w:r w:rsidRPr="00E14102">
        <w:rPr>
          <w:color w:val="000000" w:themeColor="text1"/>
          <w:sz w:val="16"/>
          <w:szCs w:val="16"/>
        </w:rPr>
        <w:t>. Если мы не сумеем получить некоторого расширения тылового ополчения, скажем, для Красноярска, то мы будем находиться в безвыходном положении, ибо рабочей силы мы не можем получить — ее нет, да кроме того, мы не можем конкурировать с гражданскими организациями, которые нас бьют и рублем, и условиями работы. Тов. Левензон прав, когда он говорил насчет помещений для рабочих и инженерно-технического персонала. Это исключительно важный вопрос, который нас лимитирует.</w:t>
      </w:r>
    </w:p>
    <w:p w14:paraId="29B43B0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Небольшое у Гайлита строительство, а изображает он его так, что если вся Москва ему помогать не будет, то он провалится.</w:t>
      </w:r>
    </w:p>
    <w:p w14:paraId="0249F2A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Гайлит.</w:t>
      </w:r>
      <w:r w:rsidRPr="00E14102">
        <w:rPr>
          <w:color w:val="000000" w:themeColor="text1"/>
          <w:sz w:val="16"/>
          <w:szCs w:val="16"/>
        </w:rPr>
        <w:t xml:space="preserve"> Тов. заместитель народного комиссара, у нас раньше строительство в Сибири было на 1,5—2 млн, а в этом году мы имеем 22</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3</w:t>
      </w:r>
      <w:r w:rsidRPr="00E14102">
        <w:rPr>
          <w:color w:val="000000" w:themeColor="text1"/>
          <w:sz w:val="16"/>
          <w:szCs w:val="16"/>
        </w:rPr>
        <w:t xml:space="preserve"> млн.</w:t>
      </w:r>
    </w:p>
    <w:p w14:paraId="69EEF2D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Это во столько раз меньше, чем у Якира, Уборевича и Шапошникова?</w:t>
      </w:r>
    </w:p>
    <w:p w14:paraId="0EE6295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Вот молодой инженер будет строить один на 30.</w:t>
      </w:r>
    </w:p>
    <w:p w14:paraId="2ECC272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Гайлит.</w:t>
      </w:r>
      <w:r w:rsidRPr="00E14102">
        <w:rPr>
          <w:color w:val="000000" w:themeColor="text1"/>
          <w:sz w:val="16"/>
          <w:szCs w:val="16"/>
        </w:rPr>
        <w:t xml:space="preserve"> Но тем не менее мне нужно эту небольшую программу закончить.</w:t>
      </w:r>
    </w:p>
    <w:p w14:paraId="6905C58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Вам надо уметь у Западно-Сибирского облисполкома выжимать так, как это делают эти командующие.</w:t>
      </w:r>
    </w:p>
    <w:p w14:paraId="1D7789C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Гайлит.</w:t>
      </w:r>
      <w:r w:rsidRPr="00E14102">
        <w:rPr>
          <w:color w:val="000000" w:themeColor="text1"/>
          <w:sz w:val="16"/>
          <w:szCs w:val="16"/>
        </w:rPr>
        <w:t xml:space="preserve"> Тов. Гамарник, то, что упирается в централизованное снабжение, я не могу получать у них, а из них я выжимаю все.</w:t>
      </w:r>
    </w:p>
    <w:p w14:paraId="0DEDB14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151.</w:t>
      </w:r>
    </w:p>
    <w:p w14:paraId="72B6885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Петин.</w:t>
      </w:r>
      <w:r w:rsidRPr="00E14102">
        <w:rPr>
          <w:color w:val="000000" w:themeColor="text1"/>
          <w:sz w:val="16"/>
          <w:szCs w:val="16"/>
        </w:rPr>
        <w:t xml:space="preserve"> Получив осенью этого года категорическое приказание народного комиссара немедленно принять меры к удешевлению строительства, в Инженерном управлении были проведены и приняты следующие меры. По моему ходатайству начальником Морских сил РККА т. Орловым была созвана под председательством т. Лудри комиссия для пересмотра всех тактических и технических заданий в сторону повышения самого объема строительства. Были просмотрены и пересмотрены все элементы строительства баз и береговых батарей. Все это привело к возможности сократить расходы примерно на 8%. Окончательно эта работа еще не закончена. Затем в той же комиссии т. Лудри, с привлечением не только инженеров управления, но и Военно-инженерной академии, были пересмотрены нормы специальных сооружений и конструкций в целях уменьшения тех резервов и запасных мощностей, которые имеют место. Была дана директива начальника Морских сил РККА, чтобы не допускать упрощенчества, а пересмотреть эти запасы мощностей и нормы, учитывая, что в среде инженеров обычно имеется тенденция превышать. Одновременно мною были командированы группы работников от управления на Дальний Восток, в Краснознаменный Балтийский флот и Черное море для выявления причин удорожания строительства и выявления тех источников, которые могли бы привести к снижению себестоимости. Тут т. Левензон вам очень многое доложил из этой области. Я хочу только доложить вам о том, что наибольшие внутренние ресурсы, которые нужно немедленно мобилизовать, — это в области организации работ, в области повышения производительности труда. Нам доносят, так же как и по линии т. Левензона, что показательная производительность труда превышает 100% нормы.</w:t>
      </w:r>
    </w:p>
    <w:p w14:paraId="5F988CF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Но в массе-то производительность еще низкая. Если посмотреть фактически на уплотнение рабочего дня, то картина представляется очень печальная. Вот что дает фотография рабочего дня, произведенная на строительстве Краснознаменного Балтийского флота. На работе фактически используется 75,04%, не работают 24,96%. Если проанализировать, мы имеем следующую картину: простой по вине администрации и по вине инженерно-технического персонала — 3,8%, прогулы, исключая неявку на работу, — 3,2%, рабочий простой — </w:t>
      </w:r>
      <w:r w:rsidRPr="00E14102">
        <w:rPr>
          <w:rStyle w:val="a3"/>
          <w:b w:val="0"/>
          <w:color w:val="000000" w:themeColor="text1"/>
          <w:sz w:val="16"/>
          <w:szCs w:val="16"/>
        </w:rPr>
        <w:t>2</w:t>
      </w:r>
      <w:r w:rsidRPr="00E14102">
        <w:rPr>
          <w:color w:val="000000" w:themeColor="text1"/>
          <w:sz w:val="16"/>
          <w:szCs w:val="16"/>
        </w:rPr>
        <w:t>,</w:t>
      </w:r>
      <w:r w:rsidRPr="00E14102">
        <w:rPr>
          <w:rStyle w:val="a3"/>
          <w:b w:val="0"/>
          <w:color w:val="000000" w:themeColor="text1"/>
          <w:sz w:val="16"/>
          <w:szCs w:val="16"/>
        </w:rPr>
        <w:t>04</w:t>
      </w:r>
      <w:r w:rsidRPr="00E14102">
        <w:rPr>
          <w:color w:val="000000" w:themeColor="text1"/>
          <w:sz w:val="16"/>
          <w:szCs w:val="16"/>
        </w:rPr>
        <w:t>%, случайный простой из-за атмосферных явлений — 2% и только на отдых 13,06% (фактически на отдых можно было бы дать и больше).</w:t>
      </w:r>
    </w:p>
    <w:p w14:paraId="7A652EE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Какие же причины прогулов и их удельный вес? Плохая работа столовой — 31,4%, опоздания на работу и преждевременный уход — 28,2%, получение справок и денег в рабочее время — 9,3% и прочие причины — 31,1%. Но самое интересное — это простои от неумения организовать работу, от неподготовленности рабочего места — 21%; несвоевременная доставка материалов — 16%, неисправность механизмов — 13%, нерациональная расстановка рабочей силы — 31,8%, несвоевременная выдача карточек и производственных заданий — 17,6%. Вот куда уходит время, вот те ресурсы, которые при мобилизации сразу повысят производительность труда, а отсюда и снижение себестоимости.</w:t>
      </w:r>
    </w:p>
    <w:p w14:paraId="16C55D3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Условия нашего оборонительного строительства, которое уже два года, а в 1935 г. почти исключительно, идет на флотах — конечно, более тяжелые, чем условия казарменного строительства. Казарменное строительство для гарнизонов на далеких окраинах проводит тоже Инженерное управление. Так что мы находимся вообще в других условиях, чем Левензон. Откровенно говоря, постановление правительства о снижении себестоимости на 14%, поэтому меня сперва очень смутило. Но после того как я проанализировал те материалы, которые были привезены с Черного моря и с Краснознаменного Балтийского флота, я считаю, что это задание может и должно быть выполнено и по нашему ведомству.</w:t>
      </w:r>
    </w:p>
    <w:p w14:paraId="2C94CB4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отвечу т. Душенову — нужно подходить дифференцированно. Прежде всего, в постановлении правительства не сказано, что общий процент — 14. Этот процент берется по чисто строительным работам, а по монтажным и специальным работам — 11%. Затем мы подходим к каждому округу, к каждому флоту индивидуально, и на работе каждого флота и округа мы подходим дифференцированно к каждому объекту, в зависимости от того, в каких условиях он возводится. Конечно, в Моржанце и др. нам 14% не добиться, но в Мурманске, на Черном море, в районе Севастополя или Одессы, мы должны добиться снижения себестоимости на 14%.</w:t>
      </w:r>
    </w:p>
    <w:p w14:paraId="634788F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присоединяюсь к предложениям т. Левензона. Но меня беспокоит вопрос относительно зарплаты вольнонаемных — инженеров и техников, а в том числе бухгалтерского и счетного персонала. Вот уже целый год они добиваются, чтобы их в зарплате сравняли с инженерно-техническим персоналом Наркомтяжпрома и Гражданстроя. По этому поводу я предполагаю войти с особым предложением к вам, Ян Борисович.</w:t>
      </w:r>
    </w:p>
    <w:p w14:paraId="4A5F00B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151.</w:t>
      </w:r>
    </w:p>
    <w:p w14:paraId="39AC40A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Панкин.</w:t>
      </w:r>
      <w:r w:rsidRPr="00E14102">
        <w:rPr>
          <w:color w:val="000000" w:themeColor="text1"/>
          <w:sz w:val="16"/>
          <w:szCs w:val="16"/>
        </w:rPr>
        <w:t xml:space="preserve"> Товарищи, нам, непосредственным практическим работникам, которые находятся на военно-строительных участках, часто приходится сталкиваться с целым рядом вещей, срывающих выполнение нашего плана.</w:t>
      </w:r>
    </w:p>
    <w:p w14:paraId="2039396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Основной недостаток у нас заключается в том, что мы у себя на участках не имеем постоянных кадров. А постоянные кадры отсутствуют только потому, что мы не имеем жилья для этих постоянных кадров. Если мы завозим рабочих, готовим их, учим (а мы в большинстве случаев принимаем на стройку людей неквалифицированных), то, когда мы выработаем квалифицированных рабочих, когда они начинают не только выполнять, но и перевыполнять нормы, даже находясь в плохих жилищных условиях (в неотделанных домах и казармах), они начинают быстро переходить на те стройки, которые создают лучшие бытовые условия. Когда же мы начинаем строить временное жилье или бараки, нам не отпускают средств. Вот отсутствие хороших бытовых условий не дает возможности создать постоянные кадры и, следовательно, иметь ту опору, которая нам нужна.</w:t>
      </w:r>
    </w:p>
    <w:p w14:paraId="4E5B41F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Второй вопрос — это вопрос о тарифной системе. Мы у себя на военных стройках не повышаем расценок, а рядом с нами работает целый ряд других гражданских организаций, они переплачивают в полтора-два раза дороже, и это вызывает неизбежно текучесть рабочей силы на наших стройках. Например, на Украине, в Виннице, мы платим за штукатурку 67 коп. с квадратного метра, тогда как остальные строительства платят 1 р. 50 к. — 2 р. — 2 р. 50 к.</w:t>
      </w:r>
    </w:p>
    <w:p w14:paraId="1DFE60A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А вы на них донесите.</w:t>
      </w:r>
    </w:p>
    <w:p w14:paraId="42CE717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Панкин.</w:t>
      </w:r>
      <w:r w:rsidRPr="00E14102">
        <w:rPr>
          <w:color w:val="000000" w:themeColor="text1"/>
          <w:sz w:val="16"/>
          <w:szCs w:val="16"/>
        </w:rPr>
        <w:t xml:space="preserve"> Мы доносим, об этом поговорят, нам посочувствуют, а штукатуры идут туда, где платят 3 руб., а не 67 коп.</w:t>
      </w:r>
    </w:p>
    <w:p w14:paraId="04E3755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вопросе организации работ основной недостаток заключается в том, что мы получаем проекты и сметы буквально накануне приступа к работе, и с этими проектами нет возможности ознакомиться. Большинство участков не имеют серьезно продуманного плана организации работ, а это отражается и на неправильной расстановке рабочей силы, и на неправильном использовании рабочей силы.</w:t>
      </w:r>
    </w:p>
    <w:p w14:paraId="25194A4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 третий вопрос — это механизация. Мы были 3 дня на совещании в ЦК партии. Мы слышали, когда строители Наркомтяжпрома говорили о новых механизмах. Мы этих механизмов у себя не имеем. Если люди говорят, что у них имеется целый ряд новых усовершенствованных машин, то мы до сих пор продолжаем работать тачками. Кроме того, сейчас они пытаются переходить на снабжение материалами, готовыми фабрикатами, а мы у себя до сих пор не имеем такого положения.</w:t>
      </w:r>
    </w:p>
    <w:p w14:paraId="5644083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Причем я хотел бы поставить перед Военным советом такой вопрос. Мы каждый год строим наши дома и казармы совершенно нового типа. Нет ни одного года, чтобы нам дали типовые казармы, а это не дает возможности перейти на промышленное изготовление деталей. Вот мы строим дом, он через 6 месяцев меняется. Если бы дом этот был продуман, мы могли бы получить бруски, рамы, стропила и все, но отсутствие типовых проектов не дает возможности перейти на сборное строительство.</w:t>
      </w:r>
    </w:p>
    <w:p w14:paraId="0AFC388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Затем часто нас ругают за то, что у нас отсутствует высокое качество работы. Правда, в этом году мы стали строить лучше, но в этом деле нужно оказать нам соответствующую помощь в части организации необходимого скобья. Нам очень часто попадало и от т. Гамарника, и от других за то, что у нас плохие окна, но мы получаем такое плохое качество скобья, что по истечении некоторого времени его совершенно нельзя применить, причем достать более приличное скобье в условиях планового снабжения мы не можем. Мы вынуждены посылать толкачей в Москву и в Одессу для того, чтобы достать более приличное скобье. Насчет плановой отгрузки. Я построил 10-километровый водопровод, получил трубы, а фасонные части не получил, и если бы я ждал, пока их получу, то до сих пор не было бы этого водопровода. У нас имеется небольшая литейная мастерская, где можно отлить все фасонные части. Я отлил их кустарным способом, а это обошлось в 5 раз дороже.</w:t>
      </w:r>
    </w:p>
    <w:p w14:paraId="0911EB1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 ангаром. Командующий округом т. Якир дал приказ к 5-му числу принять корпусной авиационный отряд, и ангар к этому времени должен быть закончен. Мы заказали бруски, ждали их 2 с половиной месяца и не получили. Пришлось брать бревна, ставить пильщиков и распиливать бревна на отдельные бруски. Я поставил задачу, если я не сделаю ангара, мне влетит крепко, а если я его сделаю, то я перерасходую деньги, и тоже попадет. Я принял такое решение — за что меньше будут ругать, при помощи ручного труда сделал ангар и 15-го числа мы сдаем его полностью в эксплуатацию. Думаю, что сделал правильно.</w:t>
      </w:r>
    </w:p>
    <w:p w14:paraId="0F7391F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lastRenderedPageBreak/>
        <w:t>Затем, товарищи, у нас имеется такое положение с поставщиками. Допустим, они нам должны давать материалы на сентябрь месяц, причем мы должны получить их 1-го числа с тем, чтобы развернуть строительство в течение целого месяца. Мы очень часто получаем эти материалы не 1-го, а 30-го и 31-го числа, конечно, к сроку мы выполнить строительство уже не можем.</w:t>
      </w:r>
    </w:p>
    <w:p w14:paraId="5FB4743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Последний вопрос, на котором я бы хотел остановиться, — это вопрос о стахановском движении. У нас, как нигде, заложено чрезвычайно много потенциальной энергии и больших возможностей. Я вам приведу несколько примеров. Командующим войсками я был переброшен на участок Винница, этот участок был самым худшим в округе, и за него кое-кому крепко попало. Когда я принимал этот участок, то у нас была товарная выработка в мае 25 руб. 80 коп., в июне мы подняли ее до 29 руб., в августе дали 33 руб. и в сентябре подняли до 40 руб., в то время как на совещании в ЦК выступал ряд крупных строек и называли сумму в 35 руб. Мы выполнили план в августе месяце на 8,5% годового плана по аэродромному строительству. Тогда т. Якир дал нам указания, как следует перестроить отдельное место каждого рабочего. Там, где стояло 60 чел. рабочих, мы поставили 30 чел. рабочих, и эти 30 чел. дали ровно столько, сколько те 60 чел. На отдельных объектах с 8% годового плана мы в сентябре месяце дали 37% годового плана, почти не увеличивая рабочей силы, а исключительно путем повышения производительность труда.</w:t>
      </w:r>
    </w:p>
    <w:p w14:paraId="28DA817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Решение ЦК о том, чтобы на 14% снизить себестоимость, дать товарную выработку не ниже 35 руб. и повысить производительность труда на 30% — мы считаем, что для наших военных строек является мизерной цифрой. Я лично на своем участке берусь повысить производительность труда не на 30%, а на 40% и довести товарную выработку до 45 руб., причем план строительства, который дается нам, мы обязуемся выполнить не к 1 января, а к 15 декабря. Командующего войсками т. Якира я прошу это дело проверить и заверяю, что это дело будет полностью выполнено.</w:t>
      </w:r>
    </w:p>
    <w:p w14:paraId="61A5DA9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Имей в виду, что все застенографировано.</w:t>
      </w:r>
    </w:p>
    <w:p w14:paraId="32BFD8A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152.</w:t>
      </w:r>
    </w:p>
    <w:p w14:paraId="04E84E6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Козловский.</w:t>
      </w:r>
      <w:r w:rsidRPr="00E14102">
        <w:rPr>
          <w:color w:val="000000" w:themeColor="text1"/>
          <w:sz w:val="16"/>
          <w:szCs w:val="16"/>
        </w:rPr>
        <w:t xml:space="preserve"> Товарищи, вчера в ЦК партии т. Молотов</w:t>
      </w:r>
      <w:hyperlink r:id="rId330" w:anchor="_ftn2" w:history="1">
        <w:r w:rsidRPr="00E14102">
          <w:rPr>
            <w:rStyle w:val="a4"/>
            <w:color w:val="000000" w:themeColor="text1"/>
            <w:sz w:val="16"/>
            <w:szCs w:val="16"/>
          </w:rPr>
          <w:t>[2]</w:t>
        </w:r>
      </w:hyperlink>
      <w:r w:rsidRPr="00E14102">
        <w:rPr>
          <w:color w:val="000000" w:themeColor="text1"/>
          <w:sz w:val="16"/>
          <w:szCs w:val="16"/>
        </w:rPr>
        <w:t>, заключая совещание строителей, сказал, что основным недочетом строителей является то, что не выдерживают планирования в срок, не сдают предприятий, не сдают объектов и тем самым нарушают развитие народного хозяйства. Основное, за что надо ухватиться, он сформулировал таким образом:</w:t>
      </w:r>
    </w:p>
    <w:p w14:paraId="5F155C7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«Необходимо пафос строительства умножить на пафос овладения строительной механизацией».</w:t>
      </w:r>
    </w:p>
    <w:p w14:paraId="5188921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Этот год, прожитый нами, был очень напряженным и тяжелым годом. Поэтому не только строители, но как бы ни хотели строители освободить командование от вопросов строительных, этот год, если мы выполнили эту большую работу, то исключительно потому, что вопросами строительства, самыми конкретными, самыми непосредственными вопросами занимался командующий войсками т. Уборе-вич, политуправление, и были мобилизованы партийные и советские органы, местная власть, руководящие органы советской власти, партийные, для того чтобы этот план выполнить. Мы уже имели три плана, это известно.</w:t>
      </w:r>
    </w:p>
    <w:p w14:paraId="7F59BF9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А, б и в.</w:t>
      </w:r>
    </w:p>
    <w:p w14:paraId="3118F7E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Козловский.</w:t>
      </w:r>
      <w:r w:rsidRPr="00E14102">
        <w:rPr>
          <w:color w:val="000000" w:themeColor="text1"/>
          <w:sz w:val="16"/>
          <w:szCs w:val="16"/>
        </w:rPr>
        <w:t xml:space="preserve"> Совершенно правильно, а, б и начали г.</w:t>
      </w:r>
    </w:p>
    <w:p w14:paraId="25EA205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Мы, товарищи, для выполнения этих планов взяли фактически всю продукцию местных материалов Западной области и Белоруссии. Мы уложили 145 млн кирпича, мы уложили 205 тыс. кубометров камня, мы проложили 120 км дорог, и если подсчитать всю площадь крыш в квадратных метрах, то это выражается в 73,5 гектара. Таков, товарищи, объем выполненных работ.</w:t>
      </w:r>
    </w:p>
    <w:p w14:paraId="21E8A7B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Сейчас стоит вопрос о будущем годе. И т. Левензон, начальник управления, здесь выступал, заявляя, что мы в будущий год вступаем более организованными, что мы выполним поставленные ЦК партией задачи по снижению себестоимости на 14%.</w:t>
      </w:r>
    </w:p>
    <w:p w14:paraId="7577E59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товарищи, подтверждаю, что все возможности есть, чтобы эти задачи, поставленные ЦК партии, выполнить. Наш округ, начиная с 1933 г., имеет богатейший опыт в работе над людьми, над подготовкой кадров.</w:t>
      </w:r>
    </w:p>
    <w:p w14:paraId="13AF82D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А вот вызов т. Пачкина вы принимаете?</w:t>
      </w:r>
    </w:p>
    <w:p w14:paraId="4F3C03F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Козловский.</w:t>
      </w:r>
      <w:r w:rsidRPr="00E14102">
        <w:rPr>
          <w:color w:val="000000" w:themeColor="text1"/>
          <w:sz w:val="16"/>
          <w:szCs w:val="16"/>
        </w:rPr>
        <w:t xml:space="preserve"> Когда говорят об освоении в рублях и стоимости кубатуры, я бы просил, чтобы соответственно по округам дали твердые лимиты. Я вчера слушал выступления украинцев гражданских. 41 руб. стоит кубометр сооружений при цене: известь 19 руб., алебастр 15 руб. и кирпич 45 руб. По нашему округу средняя цена: 130 руб. кирпич, 80-90 руб. известь и 46 руб. алебастр. Поэтому я принимаю вызов, товарищ заместитель народного комиссара. Мы в этом году имеем освоение на обезличенных рабочих уже 35 руб., но мы имеем такие кадры, которые дают нормы в 200 и 300%. Мы ставим задачу к будущему году конкретно подготовить звено каменщиков, которые будут в среднем давать по 2000-2500 кирпича. Это реально, это дает возможность принять все 45 руб., о которых здесь говорил т. Пачкин.</w:t>
      </w:r>
    </w:p>
    <w:p w14:paraId="4C7116F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чем легче будет нам в будущем году? В том, что мы план будущего года фактически уже имеем сейчас. Мы в прошлом году в апреле месяце только приехали на рекогносцировку. Я утверждаю, что если здесь т. Левензон приводил такой пример, что кубометр воды на одном из наших участков занимает удельное место в 1 с десятыми процента, то я просто его расшифрую. Чем это объяснялось. Это объяснялось тем, что мы план получили в апреле, и с тем, чтобы в мае мы приступили к фундаменту, и с тем, что должны были во что бы то ни стало приступить к строительству на этом участке. Тов. Левензон, на сегодняшний день мы там 4 дома 4-этажных имеем, 3 из них сдали, казармы стоят, гаражи стоят. Здесь пришлось возить воду на лошадях, потому что труб в том количестве, которое нам было необходимо, чтобы провести воду, вы нам предоставить не могли. Тот факт, что мы имеем план уже сейчас, создает условия к тому, что мы не будем иметь такой стоимости воды, о которой здесь говорилось. Мы не будем иметь неподготовленные подъездные пути, и наконец, мы не будем пороть такую горячку в проектировании, в представлении смет, какую мы имели в этом году, ибо мы на сегодняшний день уже имеем типовой проект сооружений.</w:t>
      </w:r>
    </w:p>
    <w:p w14:paraId="298ABB5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Для того чтобы действительно еще успешнее нам бороться за снижение себестоимости, я бы просил, чтобы перед правительственными организациями центра был заострен вопрос о стоимости тех полуфабрикатов, которые мы начали в этом году применять у себя. Конкретно — столярка. В этом году было заказано па предприятиях госпромышленности большое количество этой столярки. При цене на наших комбинатах столярки 7—8 руб. кв. метр мы платим Бобруйскому комбинату 14 руб., комбинату, оснащенному техникой большой мощности. Я считаю эту стоимость явно завышенной. То же самое по карьеру. На наших карьерах мы получаем камень 18-19 руб. кубометр. Платили же мы за камень белорусским карьерам по 54 руб. за кубометр. Таким образом, вопрос о стоимости полуфабрикатов и местных материалов, который мы должны получать от местной и государственной промышленности, должен быть поставлен в такой плоскости, что необходимо будет эти цены снизить.</w:t>
      </w:r>
    </w:p>
    <w:p w14:paraId="4A42395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Предпоследний момент: мы получаем очень незначительные ассигнования на инструмент, который нас лимитирует в смысле эффективности, в частности возьмем такие вещи, как шурупы. Мы получаем в этом году от СКУ РККА только 7 т при нашей потребности до 40 т. Или нужно это производство поставить в централизованном порядке для того, чтобы мы не нуждались в этих вещах, или еще прибегнуть к каким-нибудь другим мероприятиям. А все это нам необходимо для проводок и монтажа столярки.</w:t>
      </w:r>
    </w:p>
    <w:p w14:paraId="699DDF8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Относительно станкотехники. Если мы справились в этом году с котлами и трубами, то фасонные части нас заедают. Весь монтаж, который мы проводим, базируется на электросварке и автогенной сварке. Это мелочь, которая должна быть устранена, тем более что не представляет каких-нибудь больших трудностей при том росте нашей промышленности, который мы имеем на сегодняшний день.</w:t>
      </w:r>
    </w:p>
    <w:p w14:paraId="6894DE4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Последний момент, т. заместитель народного комиссара, мы сдали 5 сооружений, но они сданы в таких местах, где электроэнергии еле-еле. Это в Киселевичах, в Сещи и др. районах. Сейчас каждая стройка, сданная в эксплуатацию, съедает всю электроэнергию. Вопрос обеспечения округа агрегатами вырастает в большой политический вопрос, ибо дома и клубы сданы в эксплуатацию, а пользоваться ими нормально не можем, так как не хватает агрегатов.</w:t>
      </w:r>
    </w:p>
    <w:p w14:paraId="321F8E3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153.</w:t>
      </w:r>
    </w:p>
    <w:p w14:paraId="7FA0116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Строительство является действительно одним из весьма отсталых участков нашей работы. Хотя ПриВО не имеет такого огромного строительства, как БВО и КВО, но все же строительство на 60 млн требует в первую очередь соответствующих кадров, организации и обеспечения этого строительства.</w:t>
      </w:r>
    </w:p>
    <w:p w14:paraId="3AC8571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считаю, что вопрос, поставленный т. Левензоном насчет кадров, является одним из важнейших вопросов в данное время. По ПриВО намечается 15 строительных участков. Мы имеем всего 4 начальников стройучастков, которые более или менее подходят, но которые благодаря низкой оплате труда категорически отказываются работать, заявляя о том, что у вас получаем на участке 600 руб., а рядом предлагают 1500 руб. Это тем более что в Куйбышевском, Саратовском и Сталинградском краях огромное промышленное строительство, где любой инженер с меньшей квалификацией, чем те, которые у нас на строительных участках, получает гораздо большую заработную плату.</w:t>
      </w:r>
    </w:p>
    <w:p w14:paraId="32C1C98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Мне казалось бы, что необходимо поставить вопрос о том, что начальник строительного участка и его помощник по хозяйственной части должны быть штатными единицами, потому что сейчас получить необходимые кадры инженеров на строительных участках из вольнонаемных абсолютно не представляется возможным.</w:t>
      </w:r>
    </w:p>
    <w:p w14:paraId="4F5CEE0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Второй вопрос — вопрос о рабочей силе. К сожалению, природа не дает того, что бы нам хотелось. Мы получаем поздно строительные планы. Утвержденного плана у нас еще нет. По существу, подготовка у нас фактически начинается с апреля—месяца, а в апреле месяце начинается посевная кампания. В июле-августе, когда должна быть особо напряженной работа, начинается уборочная кампания. В таких краях, как Оренбургский, Куйбышевский и Саратовский, колхозник во время уборочной кампании получает от 12 до 15 кг хлеба на трудодень, и поэтому он не идет за установленную зарплату на наше строительство. Если мы не получим строительных планов в декабре, то у нас работа может сорваться.</w:t>
      </w:r>
    </w:p>
    <w:p w14:paraId="3B25306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Почему другие округа их получили, а вы нет?</w:t>
      </w:r>
    </w:p>
    <w:p w14:paraId="1CBFBF4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Если бы мы эти планы получили бы в декабре, всю подготовительную работу проделали бы в течение января—февраля, начало работ организовали бы в марте, то мы не потеряли бы 2—3 месяца ценного времени.</w:t>
      </w:r>
    </w:p>
    <w:p w14:paraId="031A066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Относительно планового снабжения материалами. Мы очень часто задерживаем рабочую силу, чтобы ее не растерять. Я должен сказать, что получение плановых материалов у нас бывает исключительно несвоевременно, и этим самым мы в значительной степени удорожаем нашу строительную работу. Относительно получения местных материалов. Если взять ПриВО, то местная промышленность не может дать 15 млн кирпичей. Местные власти нам заявляют, что нам следовало бы сделать </w:t>
      </w:r>
      <w:r w:rsidRPr="00E14102">
        <w:rPr>
          <w:color w:val="000000" w:themeColor="text1"/>
          <w:sz w:val="16"/>
          <w:szCs w:val="16"/>
        </w:rPr>
        <w:lastRenderedPageBreak/>
        <w:t>заявку в мае месяце 1935 г. для того, чтобы получить кирпич в 1936 г. Эту заявку мы не сделали, а расширение заводов в течение зимы не представляется возможным, тем более что строительство промышленное значительно расширяется. Мне кажется, что требуется правительственное постановление о том, чтобы местные советские органы помогали бы нам в этом отношении.</w:t>
      </w:r>
    </w:p>
    <w:p w14:paraId="1874375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Получается странная вещь. Якир строит. Уборевич строит. Шапошников строит, а до него строил Белов — гигантская программа строительства, и они прямо-таки насиловали местные власти и все это делали без особого обращения к нам, они выжимали все это из той материальной базы, которая у них имеется. В Киевском округе т. Постышев</w:t>
      </w:r>
      <w:hyperlink r:id="rId331" w:anchor="_ftn3" w:history="1">
        <w:r w:rsidRPr="00E14102">
          <w:rPr>
            <w:rStyle w:val="a4"/>
            <w:color w:val="000000" w:themeColor="text1"/>
            <w:sz w:val="16"/>
            <w:szCs w:val="16"/>
          </w:rPr>
          <w:t>[3]</w:t>
        </w:r>
      </w:hyperlink>
      <w:r w:rsidRPr="00E14102">
        <w:rPr>
          <w:color w:val="000000" w:themeColor="text1"/>
          <w:sz w:val="16"/>
          <w:szCs w:val="16"/>
        </w:rPr>
        <w:t xml:space="preserve"> уделял внимания больше нам, чем школам, а вы в округе не можете это сделать. Вы нажимайте на крайком, на крайисполком.</w:t>
      </w:r>
    </w:p>
    <w:p w14:paraId="3D7BFEF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Я сделаю все, что возможно. Я должен сказать, что, между прочим, в Белоруссии столько не строится, сколько у нас. У нас, например, в одном Орске идет строительство на 240 млн руб.</w:t>
      </w:r>
    </w:p>
    <w:p w14:paraId="58F12BF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Но вам и кирпича-то всего нужно 15 млн.</w:t>
      </w:r>
    </w:p>
    <w:p w14:paraId="37305B3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Дыбенко. Я</w:t>
      </w:r>
      <w:r w:rsidRPr="00E14102">
        <w:rPr>
          <w:color w:val="000000" w:themeColor="text1"/>
          <w:sz w:val="16"/>
          <w:szCs w:val="16"/>
        </w:rPr>
        <w:t xml:space="preserve"> не говорю о том, что для нас нужно особое постановление. Я говорю лишь о том, что если бы мы знали о плане строительства на 1936 г. в июне—июле, то могли бы добиться расширения этих заводов. Но мы этого не знали.</w:t>
      </w:r>
    </w:p>
    <w:p w14:paraId="5528984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Относительно выкачивания рабочей силы. Я считаю, что существует совершенно превратное мнение, что в Куйбышевском, Саратовском и Оренбургском краях имеется огромный избыток рабочей силы. И на Приволжский округ накладывают: мы отправляем рабочих на Дальний Восток, в Белоруссию, а рабочих у нас совершенно нет. Эта выкачка, мне кажется, совершенно нереальная, и то, что возлагают на нас, мы не в состоянии выполнить, ибо за 4 года неурожая оттуда ушло населения 30—40%. Вопрос о рабочей силе становится сейчас очень серьезным вопросом.</w:t>
      </w:r>
    </w:p>
    <w:p w14:paraId="1166142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Роль военных надо поднять, а то вы там живете в мире и не добиваетесь своего.</w:t>
      </w:r>
    </w:p>
    <w:p w14:paraId="1420503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154.</w:t>
      </w:r>
    </w:p>
    <w:p w14:paraId="36B260B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Рабинович.</w:t>
      </w:r>
      <w:r w:rsidRPr="00E14102">
        <w:rPr>
          <w:color w:val="000000" w:themeColor="text1"/>
          <w:sz w:val="16"/>
          <w:szCs w:val="16"/>
        </w:rPr>
        <w:t xml:space="preserve"> Товарищи, задача снижения стоимости строительства на 14% и повышения производительности труда на 30% отнюдь не является легкой задачей. Это задача, которая потребует большого напряжения сил всего инженерно-технического персонала, всех наших кадров на стройке. Но в то же время нужно со всей ясностью и со всей четкостью заявить, что эта задача является осуществимой, это несомненно. Причем она осуществима даже при том условии, если мы сами себе поставим совершенно непременным условием значительное повышение качества тех работ, которые мы в будущем году поведем.</w:t>
      </w:r>
    </w:p>
    <w:p w14:paraId="743432C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Но я думаю, что здесь, на столь высоком совещании, нужно было бы затронуть не только вопросы текущего, так сказать, порядка, но и поставить вопросы некоторого проблемного порядка, которые будут иметь некоторое влияние на дальнейшее развертывание и развитие строительства нашей армии. Прежде всего вопросы планирования. Нужно, товарищи, сказать, что та система планирования, которая существует на сегодняшний день в армии, является уже неудовлетворительной. Система получения нами титульных списков и перспективных планов на будущий год в октябре является системой устаревшей и совершенно неприемлемой. И сейчас мы сталкиваемся с таким явлением, когда мы по нашим новым участковым планам сейчас зимой сидим без веток, без подъездных путей, без того, что является основой в подготовке к развертыванию строительства на участке. Я просил бы здесь, чтобы в будущем система планирования была установлена такая, чтобы округа получали свои строительные планы не позже августа месяца года, предшествующего строительству, и чтобы в 4-м квартале этого года обязательно было обеспечено финансирование в пределах 7—8% на проведение подготовительных к следующему году мероприятий. Это позволит нам в будущем поставить значительно более широкие задачи, чем 14% снижение строительства и чем 30% увеличение производительности труда. Но это является совершенно необходимым и обязательным условием культурного строительства, к которому мы во что бы то ни стало должны перейти.</w:t>
      </w:r>
    </w:p>
    <w:p w14:paraId="118DCDC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Второй вопрос, который я должен здесь тоже затронуть, — это вопрос о том, что наша система строительных организаций, низовая, известная под названием строительно-квартирного отдела округа, в таких округах как Ленинградский, а, может быть, Белорусский и Киевский (я не знаю их конкретных условий), не соответствует по своей организационной схеме тому объему и масштабу работ, которые они обязаны выполнить. Отсюда кустарщина, работа кое-как, авось кривая вытянет. Отсюда бесконечное дерганье командования, которое все должно делать в нормальном порядке хорошо налаженного, планово работающего аппарата. А все это делается от случая к случаю группой везущих людей. Я не знаю, сколько в других округах этих везущих людей. В Киевском округе, говорили, четыре, в Ленинградском округе их три. Не знаю, сколько в Белорусском. Но при такой системе работы, при такой кустарщине в организационной структуре этих колоссальных, гигантских строительных трестов, равных которым нет в Советском Союзе, действовать и работать дальше они не могут. Что я предлагаю? У вас есть в несгораемом шкафу то, что я предлагаю, и это не рассмотрено. А развивать это подробно здесь я не могу, так как потребуется слишком много времени.</w:t>
      </w:r>
    </w:p>
    <w:p w14:paraId="081BDC9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Третий вопрос — вопрос эксплуатации. Ведь мы являемся хозяевами огромного квартирного фонда, расцениваемого в сотни миллионов, а может быть, и миллиардов рублей. Этот фонд находится, я бы сказал, в очень неприглядном, тяжелом состоянии.</w:t>
      </w:r>
    </w:p>
    <w:p w14:paraId="2FEAD83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 места.</w:t>
      </w:r>
      <w:r w:rsidRPr="00E14102">
        <w:rPr>
          <w:color w:val="000000" w:themeColor="text1"/>
          <w:sz w:val="16"/>
          <w:szCs w:val="16"/>
        </w:rPr>
        <w:t xml:space="preserve"> Правильно, нужно выделить квартирный отдел.</w:t>
      </w:r>
    </w:p>
    <w:p w14:paraId="5F75686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Рабинович.</w:t>
      </w:r>
      <w:r w:rsidRPr="00E14102">
        <w:rPr>
          <w:color w:val="000000" w:themeColor="text1"/>
          <w:sz w:val="16"/>
          <w:szCs w:val="16"/>
        </w:rPr>
        <w:t xml:space="preserve"> Я не беру на себя смелости со всей категоричностью сказать, что надо выделить или не надо выделять квартирный отдел. Этот вопрос требует проработки. Но я хочу заострить взимание и заместителя народного комиссара и всего Военного совета на том, что это вопрос острый, что к этому делу нужно приглядеться, что наше квартирное хозяйство надо приводить в порядок. В таком состоянии, в котором сейчас существует квартирный и эксплуатационностроительный отделы, оставаться нельзя. Это взаимодействие, и такое сожительство, может быть, и естественное, но во всяком случае плоды от этого сожительства на сегодняшний день получаются уродливые. К этому делу нужно подойти и с ним покончить.</w:t>
      </w:r>
    </w:p>
    <w:p w14:paraId="363340F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Еще один очень острый вопрос, который нужно было бы затронуть. Это вопрос о нашем подсобном хозяйстве. Есть некоторые товарищи, которые ставят вопрос таким образом, что наши строительные организации должны обрастать какой-то системой подсобных организаций. Я думаю, товарищи, что такая точка зрения является неправильной. Мы в своей работе в основном должны опираться на мощь нашей промышленности. Чему равна эта мощь — нам всем в достаточной степени известно. В лице промышленности мы можем иметь очень солидного и очень большого союзника, и нам обзаводиться кустарными предприятиями, тратить деньги нашего армейского бюджета на это дело — нет никакого смысла. Здесь должно соответствующим образом сказаться влияние наших центральных управлений, чтобы промышленность была готова к тому, чтобы обеспечить наше оборонное строительство строительными деталями. Правда, вся промышленность строительных деталей в стране, как было констатировано на совещании в ЦК партии, находится в зародыше, и мы не можем предъявлять здесь больших требований. Но то обстоятельство, что мы вынуждены строить в предельно короткие сроки, делает совершенно необходимым снабжение этими строительными деталями в первую очередь оборонные стройки.</w:t>
      </w:r>
    </w:p>
    <w:p w14:paraId="6750F04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Судя по тем выступлениям, которые были и на совещании в Центральном Комитете, вряд ли следует ожидать, что в этом отношении мы встретим с чьей бы то ни было стороны какие бы то ни было большие помехи. Я это подчеркиваю для того, чтобы было ясно установлено, что впредь должна признаваться вредной система обрастания наших строительных организаций дорогостоящими и зачастую совершенно нерентабельными подсобными предприятиями.</w:t>
      </w:r>
    </w:p>
    <w:p w14:paraId="271E500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Следующий вопрос, который стоит перед нами, в частности чрезвычайно остро стоит перед Ленинградским округом, — это вопрос о рельсах и, как ни странно, вопрос о кирпиче. По вопросу о кирпиче. Одно время Ленинградский военный округ числился в числе отстающих округов, и мне, в качестве начальника строительного отдела, приходилось переживать довольно неприятные минуты. Но что я мог поделать при такой динамике снабжения кирпичом: при общей потребности в 93 млн штук кирпича — как мы получали этот кирпич. В первом квартала — 2 млн штук, во втором квартале — 20 млн штук, в третьем — 48 млн, в четвертом квартале — 22 млн. А мы должны были сдать все сооружения по директиве народного комиссара в эксплуатацию 15 октября. Конечно, И.П. Белов и И.В. Славин, они сделали все для того, чтобы обеспечить строительство, но больше того, что можно было выжать, конечно, не удавалось. Поэтому, так как в реальных условиях Ленинграда совершенно неизбежно, что такая картина в смысле обеспечения кирпичей будет иметь место и в нынешнем году.</w:t>
      </w:r>
    </w:p>
    <w:p w14:paraId="50F1B30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Это не обязательно. Я несколько раз говорил с т. Ждановым, говорил с т. Струппе</w:t>
      </w:r>
      <w:hyperlink r:id="rId332" w:anchor="_ftn4" w:history="1">
        <w:r w:rsidRPr="00E14102">
          <w:rPr>
            <w:rStyle w:val="a4"/>
            <w:color w:val="000000" w:themeColor="text1"/>
            <w:sz w:val="16"/>
            <w:szCs w:val="16"/>
          </w:rPr>
          <w:t>[4]</w:t>
        </w:r>
      </w:hyperlink>
      <w:r w:rsidRPr="00E14102">
        <w:rPr>
          <w:color w:val="000000" w:themeColor="text1"/>
          <w:sz w:val="16"/>
          <w:szCs w:val="16"/>
        </w:rPr>
        <w:t>, и они обещали этому делу помочь, говорили, пусть ставят перед нами все эти вопросы, и мы дадим.</w:t>
      </w:r>
    </w:p>
    <w:p w14:paraId="636ED9A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Рабинович.</w:t>
      </w:r>
      <w:r w:rsidRPr="00E14102">
        <w:rPr>
          <w:color w:val="000000" w:themeColor="text1"/>
          <w:sz w:val="16"/>
          <w:szCs w:val="16"/>
        </w:rPr>
        <w:t xml:space="preserve"> Если так — остается только радоваться.</w:t>
      </w:r>
    </w:p>
    <w:p w14:paraId="2E9FE28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И звонил несколько раз по телефону. Поставить вопрос мало, нужно нажимать, надо воевать.</w:t>
      </w:r>
    </w:p>
    <w:p w14:paraId="46C17A1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Рабинович.</w:t>
      </w:r>
      <w:r w:rsidRPr="00E14102">
        <w:rPr>
          <w:color w:val="000000" w:themeColor="text1"/>
          <w:sz w:val="16"/>
          <w:szCs w:val="16"/>
        </w:rPr>
        <w:t xml:space="preserve"> Тов. заместитель народного комиссара, воевать мы будем. К чему я это говорю? Я говорю это к тому, что нам необходимо все же в общей системе нашей работы установить определенный порядок очередности ведения работ. До сих пор те требования, которые нам предъявляли, — всю стройку к 1 октября, всю стройку к 15 октября, этого мы по условиям снабжения материалом сделать будем не в состоянии, поэтому определенная, строго продуманная очередность в соответствии с заданиями учебно-боевой подготовки округа должна быть положена в основу строительства будущего года. Только на этом пути лежит залог нашего успеха.</w:t>
      </w:r>
    </w:p>
    <w:p w14:paraId="07753DD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155.</w:t>
      </w:r>
    </w:p>
    <w:p w14:paraId="37D21C2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Гусарев.</w:t>
      </w:r>
      <w:r w:rsidRPr="00E14102">
        <w:rPr>
          <w:color w:val="000000" w:themeColor="text1"/>
          <w:sz w:val="16"/>
          <w:szCs w:val="16"/>
        </w:rPr>
        <w:t xml:space="preserve"> Товарищи, в 1935 г. строительство росло не особенно организованно. Правда, благодаря исключительной роли, которую играл командующий войсками нашего округа т. Якир, исключительной помощи, которую оказывал нам Центральный Комитет Коммунистической партии Украины, мы оргмероприятия 1935 г. выполнили полностью. Все то, что необходимо было принять по заданию народного комиссара, Киевским военным округом принято. Правда, я здесь доложил о том, что Центральный Комитет Коммунистической партии Украины оказывал исключительное внимание, исключительную помощь. Достаточно подчеркнуть то, что в течение всего строительного сезона по вопросам нашего строительства два раза собиралось Политбюро, три раза собирался Центральный Комитет партии, заслушивая доклады наших начальников участков, в том числе и мой. И, кроме того, при Совнаркоме Украины была создана специальная комиссия для оказания помощи нашему строительству, которая каждую пятидневку заслушивала наши доклады в отношении хода строительства. В частности, я по этим вопросам сделал доклады не знаю какое количество раз. Но все-таки стройку мы удорожили. Причины заключались в том, что спешка, наверстывание больших планов, план А, план Б, план В, наверстывали включительно до августа месяца. Это в значительной степени удорожало нашу стройку.</w:t>
      </w:r>
    </w:p>
    <w:p w14:paraId="128EBCB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lastRenderedPageBreak/>
        <w:t>Что нужно для 1936 г.? Я считаю, что в 1936 г. мы свою программу строительства, безусловно, выполним, и те 14%, о которых имеется постановление правительства, мы их дадим в том случае, если мы в достаточной степени к этому делу подготовимся. Что мы сделали по этому вопросу? Мы уже выбрали участок, мы составили генеральные планы, которые находятся здесь, в Москве, на утверждении. Мы завозим уже строительные материалы. Достаточно упомянуть, товарищи, что для 1936 г. нам нужно одного только кирпича 400 млн штук, нам нужно камня 1 млн кубометров, что исчисляется десятками тысяч вагонов, т.е. нам требуется огромнейшее количество материалов. Значит, если бы мы спланировали свою работу так, как планировали ее в прошлом году, то мы затянем завоз материалов, и мы эту программу не выполним. Я даже считаю, что по части 1936 г. мы уже имеем некоторое опоздание в том смысле, что мы для 1936 г. достаточного количества денег не имеем для оплаты материалов, требующихся по программе 1936 г. Украина завезла 100 млн штук кирпича, нужно еще завезти 300 млн штук, значит, наша потребность по Украине равняется 1/3 всего производства кирпича Украины, но здесь надо принять во внимание, что Украина завозит и в другие республики.</w:t>
      </w:r>
    </w:p>
    <w:p w14:paraId="08EB7DD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Самый коренной вопрос — это вопрос материальный, и если мы этот вопрос не разрешим в должной степени, если мы планово не завезем те материалы, которые нам необходимы, значит, они нас будут тянуть, и мы плана не выполним. Вы знаете, что для заготовки материалов мы просили 35 млн руб., а получили только 10 млн руб., причем 7 млн руб. нам перевели только вчера. Мы все время сидим без копейки денег. Вследствие этого, с одной стороны, мы имеем большое количество кредиторов, которые требуют с нас денег, с другой стороны, мы не завозим на стройки нужное количество строительных материалов, что тормозит выполнение программы, и, с третьей стороны, мы имеем план строительства на декабрь до 30 тыс. штук. Таким образом, не исключена возможность, что мы будем иметь срыв строительства, потому что, по моим сведениям, уже некоторые вагоны снимают за невыплату средств. И если мы будем готовиться так, как мы готовимся сегодня, то план просто немыслимо будет выполнить. Мы используем до некоторой степени план 4-го квартала, нам нужно максимально использовать первый квартал, а для того, чтобы его максимально использовать, нужно иметь приличное количество денег для того, чтобы иметь возможность завезти целый ряд необходимых материалов.</w:t>
      </w:r>
    </w:p>
    <w:p w14:paraId="4D46AEF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Кроме того, нужно Военно-строительному управлению поднять целый ряд вопросов по планированию материалов, заготавливаемых в централизованном порядке. В этом году у нас это дело буквально лихорадило. Необходимо вопросы централизованных заготовок разрешить здесь, потому что на таких вещах, как фитинги, мы переплачиваем огромное количество денег. Тов. Левензон докладывал здесь о 14%, но он вытянул их буквально из всего, из чего только можно было вытянуть, но он не рассказал о том, на каких материалах мы переплачиваем. Когда мы говорим, что у нас не хватает ребристых труб, которые стоят на 300% дороже, чем по централизованным заготовкам, то ведь мы за это переплачиваем огромные деньги и не имеем права показывать это в сметах.</w:t>
      </w:r>
    </w:p>
    <w:p w14:paraId="2BB4079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Несомненно, что мы имеем большие резервы и 14%, о которых докладывал т. Левензон, эти резервы, конечно, дадут. Но одновременно с этим мы имеем очень много трещин, которые необходимо покрывать за счет планового перерасхода. И вот когда стройка будет закончена и когда мы подсчитаем наши плюсы и минусы, то у нас минусы, т.е. те огромные суммы, которые мы переплачиваем по целому ряду материалов, которые мы должны были получить по централизованным заготовкам, эти минусы у нас будут превалировать перед плюсами. Что нам нужно? Нам нужно, чтобы промышленность, главным образом тяжелая промышленность, работала лучше, чем она работает в этом году. У нас в строительстве ведется расчет на металлические балки, и вот наступает момент, когда по ходу кладки нам нужно класть эти балки. Время уже давно наступило, а мне заявляют, что мы получим их не раньше сентября месяца. Это означает, что мы вынуждены класть временные деревянные балки, заготовить временные леса. Эти временные леса и балки деревянные на каждом объекте влекут за собой по 40-50 тыс. перерасхода. 14%, т. народный комиссар, мы вне всякого сомнения дадим, но только в том случае, когда Военно-строительное управление своевременно спланирует, и с его помощью мы подготовимся к этому делу значительно лучше, чем мы готовились в этом году.</w:t>
      </w:r>
    </w:p>
    <w:p w14:paraId="3494D47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156.</w:t>
      </w:r>
    </w:p>
    <w:p w14:paraId="4CA8EA65"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Горшков.</w:t>
      </w:r>
      <w:r w:rsidRPr="00E14102">
        <w:rPr>
          <w:color w:val="000000" w:themeColor="text1"/>
          <w:sz w:val="16"/>
          <w:szCs w:val="16"/>
        </w:rPr>
        <w:t xml:space="preserve"> По авиационному строительству можно сказать одно, что наш план, так называемый В, пришел с некоторым опозданием и являлся на местах последним. Это, конечно, отразилось на ходе его строительства.</w:t>
      </w:r>
    </w:p>
    <w:p w14:paraId="073511D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Самое основное, что у нас за 1935 г. надо отметить как недочет, это то, что мы недостаточно, не совсем справились с вопросами специфического авиационного строительства. Это наши бензо-водомаслогрейки и пр. По каким причинам? По водомаслогрейкам и бензо мы не справились потому, что не было дано промышленностью то, что нам полагалось, а в основном мы не справились в силу того, что недостаточно уделялось внимания на местах этому специфическому строительству. В большинстве случаев это строительство велось контрагентами, т.е. другими организациями. Начальники участков всегда прикрывались тем, что контрагент не сдал то-то и то-то, не хватило то-то и то-то, недополучено то-то и то-то, и это являлось основной помехой, что недостаточно уделялось внимания такой специальной стройке, как бензо-водомаслогрейки. Я как начальник авиастроительства разъезжал по многим участкам и видел. Ну, говорят, что это такие пустяки, 5000 стоит будка бензо, а когда приходит бригада, то этих будок нет. То же самое и с водомаслогрейками. Это мы оставили на последний план.</w:t>
      </w:r>
    </w:p>
    <w:p w14:paraId="19FB17B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Как у нас поставлен вопрос со снабжением? Относительно снабжения по линии земляных работ то, что т. Левензон говорил, нет никакого сомнения, что от механизации этих работ мы получим достаточно приличную экономию. Надо еще на местах особо уделить внимание такому явлению, и это особенно со стороны СКУ недостаточно было уделено внимания на проектные работы по земельным работам, что у нас во многих случаях земляные работы на аэродроме стоят 1 </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2</w:t>
      </w:r>
      <w:r w:rsidRPr="00E14102">
        <w:rPr>
          <w:color w:val="000000" w:themeColor="text1"/>
          <w:sz w:val="16"/>
          <w:szCs w:val="16"/>
        </w:rPr>
        <w:t>—2 млн, но когда мы делали на 2 млн на земле, то в проекте все подсчитывается со всех сторон, и когда земляные работы — то дело это решается очень просто, и часто мы видим такое явление, что непродуманный проект увеличивал земляные работы, а тем самым удорожалось это дело. По земляным работам путем механизации и очень тщательной проверки самого проекта земляных работ мы очень много можем найти средств, которые можно сэкономить.</w:t>
      </w:r>
    </w:p>
    <w:p w14:paraId="50C9857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Второе. По линии специфических работ бензо-водомаслогрейных установок, стоянок самолетов, рулежных дорожек, самого поля и засева его. Мы даже самое поле не делаем в течение одного года и даже двух лет. У нас нет ни одного гарнизона, даже самого старого, где бы накопился большой опыт, по которому с полями обстояло бы благополучно. А раз это так, что из года в год новая организация, то мы получаем большие накладные расходы и большое удорожание строительства. Нужно раз и навсегда поставить вопрос о том, чтобы поле делать максимум 2 года, а лучше 1 год. Необходимо найти пути удешевления строительства.</w:t>
      </w:r>
    </w:p>
    <w:p w14:paraId="5E11489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Вопрос строительства по плану В. Это основное строительство для 1935 г. Ряд округов справился с этим строительством хорошо. Если же взять ПриВО, то там строительство идет чрезвычайно слабо. По плану В идет строительство, давшее прекрасные результаты по КВО, так же как и по МВО, которые выполнили взятые на себя обязательства.</w:t>
      </w:r>
    </w:p>
    <w:p w14:paraId="5819E0E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Что нам нужно поставить по 1936 г.? По авиационному строительству нам надо во что бы то ни стало добиться того, чтобы мы своевременно все свои легкие самолеты спрятали в ангары. Это установка правительства и наркома. Вопрос ангарного строительства нужно поставить более рационально, заготавливать детали и все необходимое фабрично-заводским способом и не кустарить, как это имеет место до сих пор. В этом отношении в этом году прекрасные опыты показал .ПВО, который заказывал фермы на заводах, фермы прекрасного качества и значительно дешевле, чем тогда, когда мы кустарим.</w:t>
      </w:r>
    </w:p>
    <w:p w14:paraId="73D6E6C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Следующий вопрос — пора покончить с полями. Тут еще встает в связи с полями и земляными работами такой момент, что у нас нет семян соответствующего качества и соответствующих сортов, и Наркомзем этим вопросам не занимался. Нужно поставить вопрос через правительство о необходимости создания особых культур семян, потому что, как ни странно, те семена, которые сейчас имеются, они не годятся для засева по нашим аэродромам.</w:t>
      </w:r>
    </w:p>
    <w:p w14:paraId="16600B6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Водомаслогрейки. Если в этом году сделали 36, то в будущем году необходимо на этот вопрос обратить серьезное внимание и водомаслогрейки, как способствующие развитию авиации, нужно давать в больших количествах.</w:t>
      </w:r>
    </w:p>
    <w:p w14:paraId="7DA14CC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Ввиду специфичности авиации необходимо поставить вопрос о том, чтобы была выделена в округах соответствующая фигура или ячейка, ведающая авиационным строительством. Если в центре это имеет место, то в округах это совсем не отражено.</w:t>
      </w:r>
    </w:p>
    <w:p w14:paraId="300C0FA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18. Д. 52. Л. 157.</w:t>
      </w:r>
    </w:p>
    <w:p w14:paraId="59C1D9C7"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Товарищи, с авиационным строительством в некоторых округах, по-моему, дело обстоит из рук вон плохо. И не потому, что нельзя было проделать всего того, что нужно было сделать, а потому, что смотрели на авиационное строительство, как на строительство второй очереди.</w:t>
      </w:r>
    </w:p>
    <w:p w14:paraId="7CCC8C2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считаю в первую очередь необходимым остановиться на ПриВО. В ПриВО план авиационного строительства выполнен на 1 декабря всего на 45%, в то время как т. Якир, имея не меньший, а больший план, получив одновременно те же самые кредиты, выполнил план на 92% на 1 декабря. Почему т. Якир, у которого масштаб строительства в 3—4 раза больше, мог это выполнить, а ПриВО не мог? Я считаю, лишь только потому, что не уделено было того внимания, которое нужно было уделить авиационному строительству, и это несмотря на то, что была специальная директива народного комиссара, подтвержденная дважды, о том, что школьное строительство, а у Дыбенко преимущественно строительство школ, должно идти вне всякой очереди.</w:t>
      </w:r>
    </w:p>
    <w:p w14:paraId="4E29540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Второй вопрос — и Дальний Восток, включая не только ОКДВА, но и морской флот, тянет с авиационным строительством, в особенности в части ангаров. Получается такое положение, что самолеты гниют. Такого положения не должно быть. Я буду просить народного комиссара издать приказ о том, чтобы прекратили подачу самолетов до тех пор, пока не построят ангаров.</w:t>
      </w:r>
    </w:p>
    <w:p w14:paraId="2288D89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Викторов.</w:t>
      </w:r>
      <w:r w:rsidRPr="00E14102">
        <w:rPr>
          <w:color w:val="000000" w:themeColor="text1"/>
          <w:sz w:val="16"/>
          <w:szCs w:val="16"/>
        </w:rPr>
        <w:t xml:space="preserve"> А почему тянем?</w:t>
      </w:r>
    </w:p>
    <w:p w14:paraId="76E93EF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Я не строитель, поэтому не знаю, но есть директива народного комиссара о том, что авиационное строительство должно быть обеспечено. Мы не можем требовать от промышленности подачи самолетов, если они потом будут гнить.</w:t>
      </w:r>
    </w:p>
    <w:p w14:paraId="6D207E9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Викторов.</w:t>
      </w:r>
      <w:r w:rsidRPr="00E14102">
        <w:rPr>
          <w:color w:val="000000" w:themeColor="text1"/>
          <w:sz w:val="16"/>
          <w:szCs w:val="16"/>
        </w:rPr>
        <w:t xml:space="preserve"> Надо обеспечить строительство.</w:t>
      </w:r>
    </w:p>
    <w:p w14:paraId="12A5350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Алкснис.</w:t>
      </w:r>
      <w:r w:rsidRPr="00E14102">
        <w:rPr>
          <w:color w:val="000000" w:themeColor="text1"/>
          <w:sz w:val="16"/>
          <w:szCs w:val="16"/>
        </w:rPr>
        <w:t xml:space="preserve"> Вы сказали, что будете строить. Деритесь за то, чтобы были ангары. А как обеспечить строительство — я не могу этим делом заниматься. Я должен подавать самолеты, и вы вправе от меня этого требовать, а я от вас вправе требовать, чтобы эти самолеты были прикрыты, а до тех пор, пока самолеты не будут прикрыты, они вам не будут даны. Я об этом буду просить народного комиссара.</w:t>
      </w:r>
    </w:p>
    <w:p w14:paraId="66EF529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Третий вопрос. С 1932 г. мы строим на стационарных аэродромах бензохранилища и не можем их построить. В этом виновато СКУ. Я должен сказать, что Бензострой отвратительно относится к выполнению своих обязанностей — по существу, ни одно бензохранилище как следует не введено в эксплуатацию. Ссылка на то, что нельзя получить листового железа, неосновательна.</w:t>
      </w:r>
    </w:p>
    <w:p w14:paraId="06401B90" w14:textId="77777777" w:rsidR="006161A5" w:rsidRPr="00E14102" w:rsidRDefault="006161A5"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lastRenderedPageBreak/>
        <w:t>РГВА. Ф. 4. Оп. 18. Д. 52. Л. 157.</w:t>
      </w:r>
    </w:p>
    <w:p w14:paraId="646E1955" w14:textId="77777777" w:rsidR="006161A5" w:rsidRPr="00E14102" w:rsidRDefault="00E14102" w:rsidP="00E14102">
      <w:pPr>
        <w:pStyle w:val="ad"/>
        <w:spacing w:before="0" w:after="0"/>
        <w:rPr>
          <w:rFonts w:ascii="Times New Roman" w:hAnsi="Times New Roman" w:cs="Times New Roman"/>
          <w:color w:val="000000" w:themeColor="text1"/>
          <w:sz w:val="16"/>
          <w:szCs w:val="16"/>
          <w:lang w:val="ru-RU"/>
        </w:rPr>
      </w:pPr>
      <w:hyperlink r:id="rId333" w:anchor="_ftnref1" w:history="1">
        <w:r w:rsidR="006161A5" w:rsidRPr="00E14102">
          <w:rPr>
            <w:rStyle w:val="a4"/>
            <w:rFonts w:ascii="Times New Roman" w:hAnsi="Times New Roman" w:cs="Times New Roman"/>
            <w:color w:val="000000" w:themeColor="text1"/>
            <w:sz w:val="16"/>
            <w:szCs w:val="16"/>
            <w:lang w:val="ru-RU"/>
          </w:rPr>
          <w:t>[1]</w:t>
        </w:r>
      </w:hyperlink>
      <w:r w:rsidR="006161A5" w:rsidRPr="00E14102">
        <w:rPr>
          <w:rFonts w:ascii="Times New Roman" w:hAnsi="Times New Roman" w:cs="Times New Roman"/>
          <w:color w:val="000000" w:themeColor="text1"/>
          <w:sz w:val="16"/>
          <w:szCs w:val="16"/>
          <w:lang w:val="ru-RU"/>
        </w:rPr>
        <w:t xml:space="preserve"> В.Я. Чубарь — заместитель председателя СНК СССР.</w:t>
      </w:r>
    </w:p>
    <w:p w14:paraId="6ECED0A8" w14:textId="77777777" w:rsidR="006161A5" w:rsidRPr="00E14102" w:rsidRDefault="00E14102" w:rsidP="00E14102">
      <w:pPr>
        <w:pStyle w:val="ad"/>
        <w:spacing w:before="0" w:after="0"/>
        <w:rPr>
          <w:rFonts w:ascii="Times New Roman" w:hAnsi="Times New Roman" w:cs="Times New Roman"/>
          <w:color w:val="000000" w:themeColor="text1"/>
          <w:sz w:val="16"/>
          <w:szCs w:val="16"/>
          <w:lang w:val="ru-RU"/>
        </w:rPr>
      </w:pPr>
      <w:hyperlink r:id="rId334" w:anchor="_ftnref2" w:history="1">
        <w:r w:rsidR="006161A5" w:rsidRPr="00E14102">
          <w:rPr>
            <w:rStyle w:val="a4"/>
            <w:rFonts w:ascii="Times New Roman" w:hAnsi="Times New Roman" w:cs="Times New Roman"/>
            <w:color w:val="000000" w:themeColor="text1"/>
            <w:sz w:val="16"/>
            <w:szCs w:val="16"/>
            <w:lang w:val="ru-RU"/>
          </w:rPr>
          <w:t>[2]</w:t>
        </w:r>
      </w:hyperlink>
      <w:r w:rsidR="006161A5" w:rsidRPr="00E14102">
        <w:rPr>
          <w:rFonts w:ascii="Times New Roman" w:hAnsi="Times New Roman" w:cs="Times New Roman"/>
          <w:color w:val="000000" w:themeColor="text1"/>
          <w:sz w:val="16"/>
          <w:szCs w:val="16"/>
          <w:lang w:val="ru-RU"/>
        </w:rPr>
        <w:t xml:space="preserve"> В.М. Молотов — председатель С Н К СССР-</w:t>
      </w:r>
    </w:p>
    <w:p w14:paraId="0F27A3C3" w14:textId="77777777" w:rsidR="006161A5" w:rsidRPr="00E14102" w:rsidRDefault="00E14102" w:rsidP="00E14102">
      <w:pPr>
        <w:pStyle w:val="ad"/>
        <w:spacing w:before="0" w:after="0"/>
        <w:rPr>
          <w:rFonts w:ascii="Times New Roman" w:hAnsi="Times New Roman" w:cs="Times New Roman"/>
          <w:color w:val="000000" w:themeColor="text1"/>
          <w:sz w:val="16"/>
          <w:szCs w:val="16"/>
          <w:lang w:val="ru-RU"/>
        </w:rPr>
      </w:pPr>
      <w:hyperlink r:id="rId335" w:anchor="_ftnref3" w:history="1">
        <w:r w:rsidR="006161A5" w:rsidRPr="00E14102">
          <w:rPr>
            <w:rStyle w:val="a4"/>
            <w:rFonts w:ascii="Times New Roman" w:hAnsi="Times New Roman" w:cs="Times New Roman"/>
            <w:color w:val="000000" w:themeColor="text1"/>
            <w:sz w:val="16"/>
            <w:szCs w:val="16"/>
            <w:lang w:val="ru-RU"/>
          </w:rPr>
          <w:t>[3]</w:t>
        </w:r>
      </w:hyperlink>
      <w:r w:rsidR="006161A5" w:rsidRPr="00E14102">
        <w:rPr>
          <w:rFonts w:ascii="Times New Roman" w:hAnsi="Times New Roman" w:cs="Times New Roman"/>
          <w:color w:val="000000" w:themeColor="text1"/>
          <w:sz w:val="16"/>
          <w:szCs w:val="16"/>
          <w:lang w:val="ru-RU"/>
        </w:rPr>
        <w:t xml:space="preserve"> П .П . Постышев — секретарь ЦК КП(б) Украины.</w:t>
      </w:r>
    </w:p>
    <w:p w14:paraId="7EC22483" w14:textId="77777777" w:rsidR="006161A5" w:rsidRPr="00E14102" w:rsidRDefault="00E14102" w:rsidP="00E14102">
      <w:pPr>
        <w:pStyle w:val="ad"/>
        <w:spacing w:before="0" w:after="0"/>
        <w:rPr>
          <w:rFonts w:ascii="Times New Roman" w:hAnsi="Times New Roman" w:cs="Times New Roman"/>
          <w:color w:val="000000" w:themeColor="text1"/>
          <w:sz w:val="16"/>
          <w:szCs w:val="16"/>
          <w:lang w:val="ru-RU"/>
        </w:rPr>
      </w:pPr>
      <w:hyperlink r:id="rId336" w:anchor="_ftnref4" w:history="1">
        <w:r w:rsidR="006161A5" w:rsidRPr="00E14102">
          <w:rPr>
            <w:rStyle w:val="a4"/>
            <w:rFonts w:ascii="Times New Roman" w:hAnsi="Times New Roman" w:cs="Times New Roman"/>
            <w:color w:val="000000" w:themeColor="text1"/>
            <w:sz w:val="16"/>
            <w:szCs w:val="16"/>
            <w:lang w:val="ru-RU"/>
          </w:rPr>
          <w:t>[4]</w:t>
        </w:r>
      </w:hyperlink>
      <w:r w:rsidR="006161A5" w:rsidRPr="00E14102">
        <w:rPr>
          <w:rFonts w:ascii="Times New Roman" w:hAnsi="Times New Roman" w:cs="Times New Roman"/>
          <w:color w:val="000000" w:themeColor="text1"/>
          <w:sz w:val="16"/>
          <w:szCs w:val="16"/>
          <w:lang w:val="ru-RU"/>
        </w:rPr>
        <w:t xml:space="preserve"> А.А. Жданов и П. И. Струппе — секретари Ленинградского обкома и горкома ВКП(б).</w:t>
      </w:r>
    </w:p>
    <w:p w14:paraId="78FFAA06" w14:textId="77777777" w:rsidR="006161A5" w:rsidRPr="00E14102" w:rsidRDefault="006161A5" w:rsidP="00E14102">
      <w:pPr>
        <w:jc w:val="both"/>
        <w:rPr>
          <w:color w:val="000000" w:themeColor="text1"/>
          <w:sz w:val="16"/>
          <w:szCs w:val="16"/>
        </w:rPr>
      </w:pPr>
      <w:r w:rsidRPr="00E14102">
        <w:rPr>
          <w:color w:val="000000" w:themeColor="text1"/>
          <w:sz w:val="16"/>
          <w:szCs w:val="16"/>
        </w:rPr>
        <w:t>Источник: Военный совет при народном комиссаре обороны СССР. Декабрь 1935 г.: Документы и материалы. — М.: "РОССПЭН", 2008. С. 422-453 (12598).</w:t>
      </w:r>
    </w:p>
    <w:p w14:paraId="032AB2E0" w14:textId="77777777" w:rsidR="006161A5" w:rsidRPr="00E14102" w:rsidRDefault="006161A5" w:rsidP="00E14102">
      <w:pPr>
        <w:pStyle w:val="ad"/>
        <w:spacing w:before="0" w:after="0"/>
        <w:rPr>
          <w:rFonts w:ascii="Times New Roman" w:hAnsi="Times New Roman" w:cs="Times New Roman"/>
          <w:color w:val="000000" w:themeColor="text1"/>
          <w:sz w:val="16"/>
          <w:szCs w:val="16"/>
          <w:lang w:val="ru-RU"/>
        </w:rPr>
      </w:pPr>
    </w:p>
    <w:p w14:paraId="181CF73F" w14:textId="77777777" w:rsidR="006161A5" w:rsidRPr="00E14102" w:rsidRDefault="006161A5" w:rsidP="00E14102">
      <w:pPr>
        <w:jc w:val="both"/>
        <w:rPr>
          <w:color w:val="000000" w:themeColor="text1"/>
          <w:sz w:val="16"/>
          <w:szCs w:val="16"/>
        </w:rPr>
      </w:pPr>
      <w:r w:rsidRPr="00E14102">
        <w:rPr>
          <w:color w:val="000000" w:themeColor="text1"/>
          <w:sz w:val="16"/>
          <w:szCs w:val="16"/>
        </w:rPr>
        <w:t>14 декабря 1935 Заключительное слово народного комиссара обороны СССР Маршала Советского Союза К.Е. Ворошилова</w:t>
      </w:r>
    </w:p>
    <w:p w14:paraId="2A45E463" w14:textId="77777777" w:rsidR="006161A5" w:rsidRPr="00E14102" w:rsidRDefault="006161A5"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Гамарник.</w:t>
      </w:r>
      <w:r w:rsidRPr="00E14102">
        <w:rPr>
          <w:rFonts w:ascii="Times New Roman" w:hAnsi="Times New Roman" w:cs="Times New Roman"/>
          <w:color w:val="000000" w:themeColor="text1"/>
          <w:sz w:val="16"/>
          <w:szCs w:val="16"/>
          <w:lang w:val="ru-RU"/>
        </w:rPr>
        <w:t xml:space="preserve"> Слово имеет Климент Ефремович. (</w:t>
      </w:r>
      <w:r w:rsidRPr="00E14102">
        <w:rPr>
          <w:rStyle w:val="a6"/>
          <w:rFonts w:ascii="Times New Roman" w:hAnsi="Times New Roman" w:cs="Times New Roman"/>
          <w:i w:val="0"/>
          <w:color w:val="000000" w:themeColor="text1"/>
          <w:sz w:val="16"/>
          <w:szCs w:val="16"/>
          <w:lang w:val="ru-RU"/>
        </w:rPr>
        <w:t>Аплодисменты, все встают.)</w:t>
      </w:r>
    </w:p>
    <w:p w14:paraId="565772CB" w14:textId="77777777" w:rsidR="006161A5" w:rsidRPr="00E14102" w:rsidRDefault="006161A5" w:rsidP="00E14102">
      <w:pPr>
        <w:pStyle w:val="rtecenter"/>
        <w:spacing w:before="0" w:after="0"/>
        <w:jc w:val="both"/>
        <w:rPr>
          <w:color w:val="000000" w:themeColor="text1"/>
          <w:sz w:val="16"/>
          <w:szCs w:val="16"/>
        </w:rPr>
      </w:pPr>
      <w:r w:rsidRPr="00E14102">
        <w:rPr>
          <w:rStyle w:val="a3"/>
          <w:b w:val="0"/>
          <w:color w:val="000000" w:themeColor="text1"/>
          <w:sz w:val="16"/>
          <w:szCs w:val="16"/>
        </w:rPr>
        <w:t>Речь тов. Ворошилова</w:t>
      </w:r>
    </w:p>
    <w:p w14:paraId="73DBC4DD" w14:textId="77777777" w:rsidR="006161A5" w:rsidRPr="00E14102" w:rsidRDefault="006161A5"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Прежде чем перейти к обсуждавшимся здесь вопросам, я считаю нужным остановиться в нескольких словах </w:t>
      </w:r>
      <w:r w:rsidRPr="00E14102">
        <w:rPr>
          <w:rStyle w:val="a6"/>
          <w:rFonts w:ascii="Times New Roman" w:hAnsi="Times New Roman" w:cs="Times New Roman"/>
          <w:i w:val="0"/>
          <w:color w:val="000000" w:themeColor="text1"/>
          <w:sz w:val="16"/>
          <w:szCs w:val="16"/>
          <w:lang w:val="ru-RU"/>
        </w:rPr>
        <w:t>на международной военно-политической обстановке,</w:t>
      </w:r>
      <w:r w:rsidRPr="00E14102">
        <w:rPr>
          <w:rFonts w:ascii="Times New Roman" w:hAnsi="Times New Roman" w:cs="Times New Roman"/>
          <w:color w:val="000000" w:themeColor="text1"/>
          <w:sz w:val="16"/>
          <w:szCs w:val="16"/>
          <w:lang w:val="ru-RU"/>
        </w:rPr>
        <w:t xml:space="preserve"> в условиях которой мы сейчас работаем.</w:t>
      </w:r>
    </w:p>
    <w:p w14:paraId="511C3A6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Это нужно сделать тем более потому, что даже у т. Викторова на Тихом океане, где мы наиболее близки к возможности военных осложнений, у наших людей замечается некоторое успокоение, грозящее перейти в благодушие.</w:t>
      </w:r>
    </w:p>
    <w:p w14:paraId="42FAA0B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Весь 1935 г. был для нас в военно-политическом отношении весьма напряженным годом. Обстановка сегодняшнего и завтрашнего дня также не дает никаких оснований для демобилизации нашей бдительности, для какого бы то ни было снижения требовательности к постоянной боевой готовности частей армии, особенно на Дальнем Востоке</w:t>
      </w:r>
    </w:p>
    <w:p w14:paraId="23F592D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Мы уже несколько лет живем в условиях обострявшейся угрозы военного нападения врагов на советские границы. Может быть, из-за длительности сроков такого напряжения, может быть, наша печать недостаточно остро освещает конкретность угрозы войны, но так или иначе некоторое притупление внимания в этом отношении, видимо, имеет место даже в нашей армии.</w:t>
      </w:r>
    </w:p>
    <w:p w14:paraId="1F0FC2B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Между тем японские милитаристы в течение всего 1935 г. продолжали и продолжают вести себя по отношению к нам провокационно. Это хорошо известно тт. Викторову, Блюхеру, Федько, Аронштаму и другим дальневосточникам.</w:t>
      </w:r>
    </w:p>
    <w:p w14:paraId="3AAE84B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Но большинству здесь присутствующих вряд ли известен факт, что не так давно, в октябре месяца, на границах Приморья произошло по сути дела настоящее, правда маленькое, сражение наших пограничников с японцами.</w:t>
      </w:r>
    </w:p>
    <w:p w14:paraId="5425E87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Вообще за последний год почти не было месяца, чтобы японцы не выбросили вооруженных групп с разведывательными и провокационными целями на советскую территорию, главным образом в направлении Полтавского и Гродековского укрепрайонов. Обнаглев до крайности, японцы 12 октября произвели диверсию в глубь нашей территории уже довольно значительными силами. Кончилось это, правда, для них довольно печально. Японцы потеряли в этой стычке около 30 чел. убитыми и до 40 ранеными, причем значительная доля потерь причинена им в темноте огнем их же подкрепления, спешившего на помощь своим отходившим под напором наших пограничников.</w:t>
      </w:r>
    </w:p>
    <w:p w14:paraId="4D553AA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Наша Амурская военная флотилия довольно продолжительное время во второй половине лета находилась на позициях, готовая к бою с японо-маньчжурскими военными судами. Нам пришлось это сделать, потому что японо-маньчжуры вели себя самым наглым образом в наших водах на Амуре и Амурских протоках. Через Поярковькую протоку (недалеко от Благовещенска), являющуюся нашими территориальными водами, японо-маньчжуры неоднократно провокационно, полным ходом, проводили свои вооруженные корабли, направляя пулеметы и орудия на наши катера. Имея директиву о максимальной выдержке, наши боевые катера вынуждены были пропускать мимо себя японо-маньчжурские военные суда. Протока эта ни в военном, ни в хозяйственном смысле не представляет для нас большого значения, но само поведение японцев весьма показательно.</w:t>
      </w:r>
    </w:p>
    <w:p w14:paraId="59B930A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Тогда же японо-маньчжуры решили использовать для своих судов и другую протоку Амура Казакевичеву, что дало бы им возможность плавать мимо самого Хабаровска, мимо наших крупных военных складов и других серьезных военных и оборонно-хозяйственных объектов. Японцы собирались явочным порядком узаконить свое плавание через эту протоку, ссылаясь на какие-то подложные документы о правах Маньчжоу-Го на плавание по этой протоке. Обо всем этом было сообщено в японских и маньчжурских газетах, вскоре после чего у протоки Казакевичевой появились японо-маньчжур-ские суда. Мы заявили, что ни при каких условиях прохода их судов через Казакевичеву протоку не допустим, и для подкрепления нашего заявления были выдвинуты на позиции основные силы Амурской флотилии с приказом — не пустить японцев в эту протоку. Такой язык оказался для японцев более понятным, чем дипломатические разговоры, во всяком случае в Казакевичеву протоку они пойти не рискнули.</w:t>
      </w:r>
    </w:p>
    <w:p w14:paraId="308C51C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Очень сложным является положение и на границе Маньчжоу-Го с дружественной нам Монгольской Народной Республикой, где можно ожидать в любое время новых японских провокаций, непосредственно затрагивающих и наши интересы.</w:t>
      </w:r>
    </w:p>
    <w:p w14:paraId="122A3AB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Мы имеем также достоверные сведения, что японцы ведут большую работу по сколачиванию военного союза с Германией. Берлин в настоящее время переполнен японскими военными и военно-морскими миссиями, делегациями и отдельными офицерами, дружелюбно встречаемыми гитлеровскими людьми. Нет сомнения, что военный союз или что-нибудь в этом роде между фашистской Германией и Японией будет заключен, если уже не заключен.</w:t>
      </w:r>
    </w:p>
    <w:p w14:paraId="791AC51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 вооружениях немецких фашистов говорить не приходится. Работа в этом направлении ведется немцами исключительно интенсивно, и главным объектом, против которого немцы готовят свои вооружения, являемся мы — Советский Союз. Немцы развернули также активнейшую работу в соседних с нами государствах, насаждая там свои организации и свою агентуру с целью закрепления этих стран в орбите гитлеровской антисоветской милитаристской политики.</w:t>
      </w:r>
    </w:p>
    <w:p w14:paraId="1307B19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Несколько дней назад в Эстонии произошли события, в этом отношении весьма симптоматичные. Группа фашистов из союза ветеранов освободительной войны (против нас), так называемые вабсы, пыталась свергнуть нынешнее правительство, кстати сказать, также достаточно реакционное и по отношению к нам недружелюбное. И вот даже это правительство немцам не по вкусу, и они пытались, на этот раз неудачно, поставить у власти в Эстонии прямую свою агентуру в лице эстонских фашистов. Эта же линия с большим или меньшим успехом интенсивно проводится гитлеровцами в Финляндии, Латвии, Румынии. О германо-польском содружестве всем хорошо известно.</w:t>
      </w:r>
    </w:p>
    <w:p w14:paraId="2934A42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Реальная угроза японских милитаристов на Востоке и германских фашистов на Западе ни в коем случае не позволяет нам допустить какое бы то ни было благодушие и самоуспокоение, о признаках которого совершенно правильно сигнализировал т. Викторов.</w:t>
      </w:r>
    </w:p>
    <w:p w14:paraId="638B46A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отлично понимаю, что положение наших бойцов и начсостава весьма нелегкое. В течение ряда лет мы держим народ в напряжении, а войны нет и нет. Понятно, что известная психологическая реакция в этих условиях неизбежна; мы должны систематически работать над тем, чтобы эта реакция не оказалась для нас большим злом. Важнейшей задачей наших командиров и политработников является в настоящих условиях постоянное поддержание своих частей в боевой готовности, максимально возможной в условиях мирного времени. Для частей пограничных округов это означает надежную и проверенную готовность немедленно выступить для выполнения боевого приказа с полностью исправным оружием, боеприпасами, обозом и, главное, с бойцами и командирами, готовыми немедленно переключиться с учебы мирного времени на беспощадный бой с врагом. И для приграничных, и для внутренних округов это означает необходимость постоянного уточнения и фактической проверки своих мобилизационных планов наряду с неуклонным воспитанием бдительности и непосредственно вокруг себя, в своей работе и жизни и в отношении тех, кто угрожает границам нашего государства.</w:t>
      </w:r>
    </w:p>
    <w:p w14:paraId="7121B17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Задача руководителей — систематически проверять во всех подчиненных звеньях эту важнейшую сторону дела и решительно подтягивать «демобилизовавшихся» начальников и отстающие звенья боевой готовности войск и тылов. Наша важнейшая задача, в частности, по-настоящему подтянуть мобилизационную работу во всех ее звеньях с тем, чтобы, если придется мобилизоваться, провести эту сложную операцию с абсолютной организованностью. В не меньшей, а скорее еще в большей степени, все это относится к нашим флотам и, сегодня в особенности, к Тихоокеанскому флоту, который буквально каждый момент должен быть готов отразить неожиданное нападение коварного и наглого врага.</w:t>
      </w:r>
    </w:p>
    <w:p w14:paraId="34A1B1F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Наши враги начали уже понимать нашу силу. Это хорошо. Но надо иметь в виду, что наш непрерывный рост является, я бы сказал, палкой о двух концах. С одной стороны, на нас боятся напасть, с другой, видя, как быстро мы растем, кое-кто может прийти к выводу, что раз нападать, так выгоднее это сделать поскорее, чтобы не опоздать вообще. Правда, в японском правительстве сейчас как будто сидят люди, хоть и считающие войну с нами неизбежной и, больше того, целью японской политики, но предпочитающие понадежнее к этой войне подготовиться. В этой установке их поддерживают влиятельные в Японии придворные круги. Но мы не можем не считаться самым серьезным образом с настроениями некоторых японских кругов типа группы ныне отставного генерала Араки, которые против оттяжки войны с нами, за форсирование этой войны. Позиции этой группы очень сильны не только в рядах молодого японского офицерства, немало сторонников ее находится и в генеральном штабе, и особенно в штабах и частях Квантунской армии.</w:t>
      </w:r>
    </w:p>
    <w:p w14:paraId="3A35304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При наличии такого рода умонастроений да еще с учетом «инициативности» японских офицеров не исключена возможность, что, если мы хоть немного, т. Викторов, зазеваемся, нас в один «прекрасный», вовсе не ожидаемый, момент могут поставить перед фактом войны. Мы должны быть постоянно готовы на Дальнем Востоке не только к японским провокациям, могущим привести к войне, но и к крупному неожиданному военному нападению, которое сразу откроет военные действия.</w:t>
      </w:r>
    </w:p>
    <w:p w14:paraId="25896AE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Таким образом, в лице двух сильнейших буржуазно-милитаристских государств — Японии и Германии — мы имеем сейчас вполне определившихся злейших наших врагов, которые, по существу не скрывая этого, считают именно нас основным и первым объектом применения своих разбойничьих планов и своих интенсивнейших вооружений.</w:t>
      </w:r>
    </w:p>
    <w:p w14:paraId="23D6333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В этой связи я хочу предостеречь от одного греха, получившего у нас за последнее время довольно заметное распространение. У нас в армии очень любят славословить и хвастаться своими успехами. Нельзя забывать, товарищи, что чрезмерное наше хвастовство и похвалы, которые расточают нам последнее время враги, могут </w:t>
      </w:r>
      <w:r w:rsidRPr="00E14102">
        <w:rPr>
          <w:color w:val="000000" w:themeColor="text1"/>
          <w:sz w:val="16"/>
          <w:szCs w:val="16"/>
        </w:rPr>
        <w:lastRenderedPageBreak/>
        <w:t>принести нам большие неприятности. Похвалы всегда немножко успокаивают, размагничивают, вселяют в людей зазнайство; похвалы могут ослабить большое деловое напряжение, которое нам нужно еще на протяжении не одного года для того, чтобы окончательно завершить великое дело создания несокрушимой, все побеждающей вооруженной силы социализма.</w:t>
      </w:r>
    </w:p>
    <w:p w14:paraId="6B76EFDC" w14:textId="77777777" w:rsidR="006161A5" w:rsidRPr="00E14102" w:rsidRDefault="006161A5" w:rsidP="00E14102">
      <w:pPr>
        <w:pStyle w:val="rtejustify"/>
        <w:spacing w:before="0" w:after="0"/>
        <w:rPr>
          <w:color w:val="000000" w:themeColor="text1"/>
          <w:sz w:val="16"/>
          <w:szCs w:val="16"/>
        </w:rPr>
      </w:pPr>
      <w:r w:rsidRPr="00E14102">
        <w:rPr>
          <w:rStyle w:val="a3"/>
          <w:b w:val="0"/>
          <w:color w:val="000000" w:themeColor="text1"/>
          <w:sz w:val="16"/>
          <w:szCs w:val="16"/>
        </w:rPr>
        <w:t xml:space="preserve">О внутреннем положении Советского Союза </w:t>
      </w:r>
      <w:r w:rsidRPr="00E14102">
        <w:rPr>
          <w:color w:val="000000" w:themeColor="text1"/>
          <w:sz w:val="16"/>
          <w:szCs w:val="16"/>
        </w:rPr>
        <w:t>я много говорить не буду. Вы его знаете прекрасно. Мы из года в год растем, и растем крепко, уверенно во всех отношениях. 1935 г. был для нас годом особенно заметных, особенно блестящих успехов во всех областях, и нет никаких сомнений, что 1936 г. даст нам еще больше успехов, чем 1935-й. Наши богатства, наша производственная мощь растут буквально с каждым днем, непрерывно изменяя к лучшему и лучшему и экономику, и всю жизнь в нашей стране. О наших успехах все больше и все чаще говорят и наши классовые противники. Вот недавно, по сообщению агентства Рейтер (от 9 декабря), в английском парламенте, в палате депутатов, Уоллесу (главе департамента внешней торговли) был задан вопрос: «Не может ли он опубликовать доклад английского коммерческого советника в Москве наподобие того, как это было сделано в мае 1931 г.?» Уоллес на это ответил, что «в организации промышленности в СССР происходят изменения и что всякий доклад, который можно было бы составить, устареет во многих отношениях вскоре после его опубликования».</w:t>
      </w:r>
    </w:p>
    <w:p w14:paraId="4CDCBDF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 он совершенно прав. То, что сегодня нам кажется достижением, завтра уже пройденный этап. Наши противники сами считают более целесообразным для деловых кругов пользоваться о нас каждодневными, в крайнее случае ежемесячными сведениями, а не давать каких-то обобщающих на длительный срок характеристик нашей экономики. Следовательно, положение наше, и по признанию серьезных противников, является, по меньшей мере, хорошим.</w:t>
      </w:r>
    </w:p>
    <w:p w14:paraId="4B6F732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Самое главное заключается в том, что мы подвели уже под наше социалистическое хозяйство мощную индустриальную базу. Мы создали заново огромные производственные мощности, все отрасли хозяйства нашей страны непрерывно и успешно насыщаются все новыми и новыми массами разнообразных машин. Этот процесс стал поистине грандиозным за последние годы, когда мы уже не только строим, но и начали широко пользоваться плодами построенных нами многочисленных социалистических предприятий.</w:t>
      </w:r>
    </w:p>
    <w:p w14:paraId="0DA0BC1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Главнейшая наша внутренняя задача — обучение, воспитание, выращивание кадров.</w:t>
      </w:r>
    </w:p>
    <w:p w14:paraId="6A5D796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 совещании стахановцев т. Сталин говорил:</w:t>
      </w:r>
    </w:p>
    <w:p w14:paraId="1F08431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прошлом, года три тому назад у нас, собственно говоря, и не было почти новой техники». Тов. Сталин указывал дальше, что сейчас мы обогатились во всех отраслях хозяйства многочисленной новой техникой.</w:t>
      </w:r>
    </w:p>
    <w:p w14:paraId="1B02597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«Но, — говорит т. Сталин, — на одной лишь новой технике далеко не уедешь. Можно иметь первоклассную технику, первоклассные заводы и фабрики, но если нет людей, способных оседлать эту технику, техника так и останется у вас голой техникой. Чтобы новая техника могла дать свои результаты, надо иметь еще людей, кадры рабочих и работниц, способные стать во главе техники и двинуть ее вперед»</w:t>
      </w:r>
      <w:hyperlink r:id="rId337" w:anchor="_ftn1" w:history="1">
        <w:r w:rsidRPr="00E14102">
          <w:rPr>
            <w:rStyle w:val="a4"/>
            <w:color w:val="000000" w:themeColor="text1"/>
            <w:sz w:val="16"/>
            <w:szCs w:val="16"/>
          </w:rPr>
          <w:t>[1]</w:t>
        </w:r>
      </w:hyperlink>
      <w:r w:rsidRPr="00E14102">
        <w:rPr>
          <w:color w:val="000000" w:themeColor="text1"/>
          <w:sz w:val="16"/>
          <w:szCs w:val="16"/>
        </w:rPr>
        <w:t>.</w:t>
      </w:r>
    </w:p>
    <w:p w14:paraId="442F061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Тов. Сталин постоянно всем нам говорит, что сейчас, когда мы получили уже новые машины и много машин, самое главное для нас — люди, кадры, освоившие эти машины по-настоящему. На выпуске академиков в мае этого года т. Сталин говорил, что, если бы мы имели в достаточном количестве хорошо подготовленные кадры, мы получали бы пользы от своей работы в несколько раз больше, чем имеем сейчас. Эти слова т. Сталин полностью адресовал и нам — Красной армии. Вопрос кадров стал для всей нашей страны самым большим, самым важным вопросом. Вместе с техникой, вместе с новыми машинами, вместе с сопутствующим росту нашего хозяйства ростом грамотности, культуры вырастают и люди, овладевшие техникой, растут новые наши люди, которых сейчас называют стахановцами.</w:t>
      </w:r>
    </w:p>
    <w:p w14:paraId="5B0994B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Тов. Сталин говорит:</w:t>
      </w:r>
    </w:p>
    <w:p w14:paraId="199B340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«Сегодня стахановцев еще мало, но кто может сомневаться, что завтра их будет вдесятеро больше?»</w:t>
      </w:r>
    </w:p>
    <w:p w14:paraId="7228D56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Что это значит? Это значит, что новыми людьми, которые есть уже сегодня и которых завтра будет вдесятеро больше, нужно не по-старинке, а по-новому, по-другому руководить, нужно лучше людей растить и воспитывать, чтобы раскрыть все возможности для роста новых и новых стахановцев во всех отраслях нашей работы.</w:t>
      </w:r>
    </w:p>
    <w:p w14:paraId="2390965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Слова вождя о новой технике и о новых людях целиком относятся и к нам, к Красной армии. Еще три года назад, в 1932 г., вспомните, у нас было мало техники, почти не было новой, современной техники. Сейчас у нас много техники, и хорошей техники.</w:t>
      </w:r>
    </w:p>
    <w:p w14:paraId="7CE5004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Надо по-настоящему понять, что это накладывает на всех нас колоссальную ответственность. Машина человеком сделана, но, будучи сделана им, она потом начинает самого человека переделывать, она воздействует на него, она, это главное, требует от него очень многого. И если мы с вами не будем поспевать за машиной, то это обернется для нас очень плохо. </w:t>
      </w:r>
      <w:r w:rsidRPr="00E14102">
        <w:rPr>
          <w:rStyle w:val="a6"/>
          <w:i w:val="0"/>
          <w:color w:val="000000" w:themeColor="text1"/>
          <w:sz w:val="16"/>
          <w:szCs w:val="16"/>
        </w:rPr>
        <w:t>И для нас, для Красной армии, как и для всей страны, самым большим, самым главным вопросом в настоящий момент является вопрос о людях, о кадрах. Люди, их подготовка, их воспитание, их организация, руководство ими</w:t>
      </w:r>
      <w:r w:rsidRPr="00E14102">
        <w:rPr>
          <w:rStyle w:val="a3"/>
          <w:b w:val="0"/>
          <w:color w:val="000000" w:themeColor="text1"/>
          <w:sz w:val="16"/>
          <w:szCs w:val="16"/>
        </w:rPr>
        <w:t xml:space="preserve"> — </w:t>
      </w:r>
      <w:r w:rsidRPr="00E14102">
        <w:rPr>
          <w:rStyle w:val="a6"/>
          <w:i w:val="0"/>
          <w:color w:val="000000" w:themeColor="text1"/>
          <w:sz w:val="16"/>
          <w:szCs w:val="16"/>
        </w:rPr>
        <w:t>это самое главное, решающее сейчас для нас.</w:t>
      </w:r>
      <w:r w:rsidRPr="00E14102">
        <w:rPr>
          <w:color w:val="000000" w:themeColor="text1"/>
          <w:sz w:val="16"/>
          <w:szCs w:val="16"/>
        </w:rPr>
        <w:t xml:space="preserve"> Причем нужно ясно отдавать себе отчет в том, что наши люди, в первую голову наша молодежь, — это тоже уже не те люди, которые были у нас в прошлые годы.</w:t>
      </w:r>
    </w:p>
    <w:p w14:paraId="784911E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Страна дает нам новых людей, более культурных, более грамотных, более пытливых, более требовательных к своим командирам, к своим руководителям, людей преданных, желающих учиться, расти, полных энтузиазма. И у нас в армии появились, растут на наших глазах, растут вместе с новой техникой, на основе этой техники наши военные стахановцы и из красноармейцев, и из младших командиров, и, к нашему счастью, из нашего начальствующего состава. И кто, говоря словами т. Сталина, может сомневаться, что завтра таких людей, военных стахановцев, будет в десять раз больше? Темпы их роста зависят прежде всего от нас самих — от качества нашей работы, от работы нашего начальствующего состава.</w:t>
      </w:r>
    </w:p>
    <w:p w14:paraId="264121B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армии давно уже говорится о культурности, об организованности и системе в работе и учебе, о внимании к человеку, о помощи и выращивании способных людей, о культивировании и поощрении инициативы, об опасности отставания начальников от бурно растущей массы бойцов и т.п.</w:t>
      </w:r>
    </w:p>
    <w:p w14:paraId="2BB8208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Эти вопросы не сходят со страниц наших приказов и с уст наших командиров и политработников уже на протяжении нескольких лет. Нельзя никак сказать, что мы не достигли в деле роста, воспитания кадров никаких результатов. Наши кадры выросли не меньше, чем кадры промышленности или в любой другой отрасли нашего государства. Но жизнь требует от нас много большего.</w:t>
      </w:r>
    </w:p>
    <w:p w14:paraId="51C3F4B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Сейчас у нас новая техника, новое оружие и новые люди, пополняющие ежегодно ряды армии, поэтому работать постаринке, руководить постаринке уже вовсе нельзя.</w:t>
      </w:r>
    </w:p>
    <w:p w14:paraId="658EFF7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Тов. Роговский здесь рассказывал, как варварски еще обращаются у нас с временем, как командиры батарей поздно вечером сидят без дела в своих батареях и ждут — а вдруг командир дивизиона вызовет, а, добавлю от себя, командиры дивизионов, наверно, ждут, не вызовет ли их командир полка. Время мы не научились ценить, не научились использовать рационально каждую минуту и секунду на работе и бережно относиться к времени и своего и чужого отдыха. Слова т. Сталина, которые здесь приводил т. Гамарник о том, что нужно научиться считать время не только минутами, но и секундами, к кому еще могут относиться в большей степени, чем к нам, военным людям? Нужно научиться дорожить временем, тогда и организация нашей работы улучшится. Пока что мы не научились, не привыкли по-настоящему организованно работать.</w:t>
      </w:r>
    </w:p>
    <w:p w14:paraId="39EC72C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Вот еще один из примеров нашей работы. Генеральный штаб организовал большое тыловое учение у станции Кубинка, здесь, под Москвой, стоившее в совокупности сотни тысяч рублей. Мобилизовали массу людей, повозки, машины, развернули реальные станции снабжения, навезли снарядов, продовольствия, химические цистерны и прочее на целый корпус. Первое тыловое учение такого масштаба. Между тем тт. Фишман, Баранов и многие другие не приезжают на это учение, заняты, видите ли, в Москве. А с химической цистерной, люди к ней назначенные, обращаться не умеют; их посредник, преподаватель академии, и вообще-то доложил мне, что видит такую цистерну первый раз в жизни. Но все это мало занимает т. Фишмана, он сидит в канцелярии, мало интересуясь живым делом, о котором так много всегда кричит. Заместитель начальника Генерального штаба — главный руководитель этого учения организует дело таким образом, что командир корпуса вместе с его штабом и ряд других ответственных командиров сидят в нескольких десятках километров от реально развернутой станции снабжения и на картах разыгрывают операции и ломают головы над картой же, как этот самый тыл устроить, вместо того чтобы приехать на станцию снабжения и по-настоящему пощупать, изучить реально представленный корпусной тыл. Можно ли такими путями выращивать людей и допустимы ли у нас сегодня так организованные занятия, да еще столь дорогостоящие? Я взял один пример, но не может быть никаких сомнений в том, что плохо организованных, неинтересных, не оставляющих следа занятий у нас еще очень много. Товарищи Якир, Тодорский и другие правильно и своевременно подняли вопрос о качестве, о содержании занятий, о резком улучшении методики. Эту задачу надо обязательно внести в наш приказ на 1936 г. Мы лучше учим сейчас людей, чем учили раньше, даже чем в прошлом году, но нам нужно еще очень многое в этом деле коренным образом усовершенствовать.</w:t>
      </w:r>
    </w:p>
    <w:p w14:paraId="3EFBBBE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частности, эта задача в полной мере стоит перед академиями и школами. В наших академиях хотят научить людей всему сразу и поровну. И гонят подчас программу вперед, даже если слушатели не усвоили официально пройденное. Слишком мало времени оставляется для самостоятельной работы слушателей, программы академий все еще перегружены второстепенными предметами. В последнем, признаться, и я немного оказался виноват. Я как-то сказал, что не мешало бы время от времени, вне программы, читать слушателям академий для их общекультурного роста лекции по отдельным вопросам, упомянул я, в частности, астрономию, теологию и т.п. И вдруг мне сообщают, что на особом факультете Военной академии преподают астрономию как предмет и даже, кажется, зачеты требуют.</w:t>
      </w:r>
    </w:p>
    <w:p w14:paraId="5A6503B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Нужно очистить программы академий от всего, что является излишним на сегодняшний день, что мешает учебе, снижает ее качество, нужно умело и продуманно установить грань между главным и второстепенным. Пяти лет достаточно, чтобы получить высшее военное образование, чтобы выработать высококвалифицированных, широко технически подготовленных специалистов-инженеров. Нельзя, даже академиям, стремиться объять необъятое. Погоня за всем оканчивается для слушателей плохим усвоением элементарных знаний. То же самое, несколько в иной постановке, можно сказать и в отношении наших нормальных школ.</w:t>
      </w:r>
    </w:p>
    <w:p w14:paraId="704D033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На будущее время мы будем принимать в наши высшие школы только вполне подготовленных людей, выдержавших положенные испытания. Никаких льгот и послаблений в этом отношении никому больше давать нельзя. В нашей стране учиться и подготовиться, как полагается, может всякий, кто того захочет. Пусть лучше будет меньше слушателей в академиях, но это должны быть люди, по-настоящему подготовленные к успешному усвоению курса. Людей придется, очевидно, брать и со стороны, может быть, поставим вопрос о том, чтобы нам снова давали студентов из других высших учебных заведения для комплектования наших академий. Во всяком случае в будущем такого положения, когда люди, окончившие нашу Воздушную академию и оставленные адъюнктами в ней, слабее знали математику, чем </w:t>
      </w:r>
      <w:r w:rsidRPr="00E14102">
        <w:rPr>
          <w:color w:val="000000" w:themeColor="text1"/>
          <w:sz w:val="16"/>
          <w:szCs w:val="16"/>
        </w:rPr>
        <w:lastRenderedPageBreak/>
        <w:t>требует того программа первого курса французской высшей авиационной школы, терпеть нельзя. Об этом печальном, мягко выражаясь, казусе откровенно писал нам посланный для обучения во французскую высшую авиационную школу адъюнкт Воздушной академии т. Крестьянинов.</w:t>
      </w:r>
    </w:p>
    <w:p w14:paraId="5581062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Характеризуя живучую нашу некультурность, я не могу не коснуться некоторых фактов, касающихся наших аэродромов и авиационных частей.</w:t>
      </w:r>
    </w:p>
    <w:p w14:paraId="51D5262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Работа авиации на земле и аэродромное обслуживание до сих пор организованы плохо. Несмотря на многократные мои указания, руководители воздушных сил чересчур медленно раскачиваются в отношении ухода за земляным покровом аэродромов; связь на аэродромах, а также обеспечение механизмами аэродромной службы и эксплуатация этих механизмов находятся в недопустимо плохом состоянии. Мы слышали здесь от т. Халепского, что наши летчики своеобразно понимают технику и относятся к технике поэтому тоже своеобразно. Оказывается, что даже в безаварийных авиачастях автотранспорт и другие наземные машины не только не пользуются никаким вниманием, но весьма даже подвержены аварийности и, как правило, запущены. В воздухе как будто стало порядка больше, количество аварий и катастроф самолетов, хоть и абсолютно недостаточно, но все-таки немного сократилось, а вот аварий на земле в нашей авиации очень много. Бьют автомобили наши авиаторы в большом количестве, уход за ними очень плохой, автопарки во всех авиачастях не в порядке.</w:t>
      </w:r>
    </w:p>
    <w:p w14:paraId="7926BF2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Вот вам еще факт. Тов. Лавров инспектировал недавно одну из подмосковных авиационных бригад. Несколько месяцев назад мы основательно взгрели командование этой бригады, и я приказал обеспечить ее всем необходимым и навести в ней образцовый порядок. Недавно бригада получила новый дом для своего штаба и своих служб. Тов. Лавров побывал в этом доме и доносит мне, что новый прекрасный дом сейчас загажен, содержится в невероятной грязи, штукатурка отбита, уборные представляют собой клоаки, все загажено и заплевано и т.п. Вот и выращивайте в этаких «культурных» условиях работы новых людей.</w:t>
      </w:r>
    </w:p>
    <w:p w14:paraId="5E7F179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Что это — преступление или другое что? Конечно, преступление, но от подлой некультурности, с которой люди все еще не покончили.</w:t>
      </w:r>
    </w:p>
    <w:p w14:paraId="4CB934D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Это не мелочь, товарищи, это все серьезные боевые вопросы. Нужно объявить жестокую войну бескультурью и примиренчеству к нему. Необходима борьба и с теми, кто вопросам культурного отношения к вещам, будь то машина или помещение, обмундирование или другая какая-либо советская вещь, не придает значения, кто своими поступками игнорирует приказы командования, указания правительства.</w:t>
      </w:r>
    </w:p>
    <w:p w14:paraId="782D7B1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Наши люди в своем огромном большинстве хотят, чтобы у нас все было отлично и образцово. Но серость наша расейская мешает часто проводить в жизнь простые вещи. Нужно быстрее, решительнее добивать остатки этой расейской серости. Если сегодня она, эта серость, так вредит делу, что же будет, когда новейшая боевая материальная часть, в частности все эти И-15, И-16, затем И-17 и всякие другие тонкие и сложные машины, оружие и приборы начнут поступать к нам в массовых количествах. И-16 нельзя сравнивать не только с Фордзоном, но и с Р-5 или И-5</w:t>
      </w:r>
      <w:r w:rsidRPr="00E14102">
        <w:rPr>
          <w:color w:val="000000" w:themeColor="text1"/>
          <w:sz w:val="16"/>
          <w:szCs w:val="16"/>
          <w:vertAlign w:val="superscript"/>
        </w:rPr>
        <w:t>92</w:t>
      </w:r>
      <w:r w:rsidRPr="00E14102">
        <w:rPr>
          <w:color w:val="000000" w:themeColor="text1"/>
          <w:sz w:val="16"/>
          <w:szCs w:val="16"/>
        </w:rPr>
        <w:t>. Такая машина требует и по-настоящему культурных условий ее обслуживания и по-настоящему культурных людей.</w:t>
      </w:r>
    </w:p>
    <w:p w14:paraId="03D810C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Имеются ли у нас для этого люди? У нас много прекрасных, чудесных людей, в отношении которых нет слов для похвал. Эти люди есть у нас не только среди красноармейцев, их множество и среди наших командиров, среди летчиков, танкистов и во всех других родах войск. Таких людей будет все больше и больше, потому что вся страна переделывается. Но пока даже среди летных кадров мы наблюдали возмутительные факты. Стало быть, нужно упорно, методически, не переставая бить в одну точку, пока не добьем остатки некультурности.</w:t>
      </w:r>
    </w:p>
    <w:p w14:paraId="130859A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 что я говорю об авиации, касается, кого в большей, кого в меньшей степени, многих частей и прочих наших родов войск. Работа с людьми, выращивание, переделка людей, формирование высоко подготовленных, культурных кадров все еще поставлены неудовлетворительно. Я затронул только часть наших недостатков в работе с людьми. Можно бы немало добавить и о неумении распределить работу так, чтобы каждый четко знал и делал свое дело, и об излишней опеке над подчиненными, обезличивающей людей и снимающей с них ответственность, и о схематизме и шаблоне, за которыми некоторые упускают из виду живую действительность и здравый смысл.</w:t>
      </w:r>
    </w:p>
    <w:p w14:paraId="4264B18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Повторяю еще раз: работа с людьми, выращивание людей, четкая организация этих людей и всего дела</w:t>
      </w:r>
      <w:r w:rsidRPr="00E14102">
        <w:rPr>
          <w:rStyle w:val="a3"/>
          <w:b w:val="0"/>
          <w:color w:val="000000" w:themeColor="text1"/>
          <w:sz w:val="16"/>
          <w:szCs w:val="16"/>
        </w:rPr>
        <w:t xml:space="preserve"> — </w:t>
      </w:r>
      <w:r w:rsidRPr="00E14102">
        <w:rPr>
          <w:rStyle w:val="a6"/>
          <w:i w:val="0"/>
          <w:color w:val="000000" w:themeColor="text1"/>
          <w:sz w:val="16"/>
          <w:szCs w:val="16"/>
        </w:rPr>
        <w:t>главнейшая наша задача сегодня. И самое главной в этой главнейшей задаче</w:t>
      </w:r>
      <w:r w:rsidRPr="00E14102">
        <w:rPr>
          <w:rStyle w:val="a3"/>
          <w:b w:val="0"/>
          <w:color w:val="000000" w:themeColor="text1"/>
          <w:sz w:val="16"/>
          <w:szCs w:val="16"/>
        </w:rPr>
        <w:t xml:space="preserve"> — </w:t>
      </w:r>
      <w:r w:rsidRPr="00E14102">
        <w:rPr>
          <w:rStyle w:val="a6"/>
          <w:i w:val="0"/>
          <w:color w:val="000000" w:themeColor="text1"/>
          <w:sz w:val="16"/>
          <w:szCs w:val="16"/>
        </w:rPr>
        <w:t>воспитание и обучение организаторов, наших командиров, политработников и прочих начальников.</w:t>
      </w:r>
    </w:p>
    <w:p w14:paraId="2BFAD7D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Уместен такой вопрос, неужели есть такая уж необходимость так остро ставить вопрос о недостатках нашей работы с людьми? Разве малого мы достигли за последние годы: не умели стрелять, теперь стреляем неплохо; танки десятками стояли на дорогах, теперь ходят хорошо; подлодки по двадцать суток плавают в открытом море без захода на базу, научились неплохо летать, под водой целыми ротами ходить, организовывать маневры, высаживать тысячные авиадесанты, и т.д. и т.п. Все это верно, наших успехов никто у нас не оспаривает, о них и наши враги немало говорят и пишут. Но здесь мы должны сказать вот что: во-первых, эти успехи покупаются еще слишком большой затратой материальных ресурсов, времени и самого драгоценного нашего капитала — человеческих сил и, к несчастью, человеческих жизней, во-вторых, мы далеко не берем у техники всего того, что она может и должна дать, в-третьих, далеко не все еще наши люди одинаково хорошо работают и, в-четвертых, что самое главное, наши достижения отстают от огромных задач, стоящих перед нами.</w:t>
      </w:r>
    </w:p>
    <w:p w14:paraId="51381AFE" w14:textId="77777777" w:rsidR="006161A5" w:rsidRPr="00E14102" w:rsidRDefault="006161A5"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hAnsi="Times New Roman" w:cs="Times New Roman"/>
          <w:b w:val="0"/>
          <w:color w:val="000000" w:themeColor="text1"/>
          <w:sz w:val="16"/>
          <w:szCs w:val="16"/>
          <w:lang w:val="ru-RU"/>
        </w:rPr>
        <w:t>Итоги истекшего года и задачи армии</w:t>
      </w:r>
    </w:p>
    <w:p w14:paraId="707056B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Нынешнее заседание Военного совета, мне так думается, наиболее интересное, полезное и конкретное из всех наших ежегодных пленумов по боевой подготовке. Выступавшие докладчики и члены Военного совета затронули и основательно обсудили все основные практические вопросы, стоящие сейчас перед Рабоче-крестьянской Красной армией, и внесли очень много ценных, деловых предложений. Все эти предложения соответственно будут учтены как в основном приказе об итогах и задачах боевой подготовки, так и в тех приказах, которые будут изданы по каждому из пунктов повестки наших заседаний.</w:t>
      </w:r>
    </w:p>
    <w:p w14:paraId="20BB9F8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остановлюсь поэтому лишь на некоторых из затронутых здесь многочисленных вопросов.</w:t>
      </w:r>
    </w:p>
    <w:p w14:paraId="58E380A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Начну с оценки состояния нашей армии и работы, проделанной в 1935 г. Хочу сначала сообщить наиболее интересные из отзывов о нас иностранцев. О нашей технике, о людях и Красной армии в целом за последнее время в связи, видимо, с обострившейся международной обстановкой и нашими очевидными успехами, пишут все больше и больше и дают в большинстве высокие оценки.</w:t>
      </w:r>
    </w:p>
    <w:p w14:paraId="2ACBE14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ограничусь двумя наиболее характерными отзывами, исходящими от военных людей, лично наблюдавших нашу армию. Недавно мы имели возможность прочесть официальное донесение японского военного атташе своему начальству о наших мотомеханизированных войсках. На основании личных наблюдений, докладов японского офицера, стажировавшего в наших танковых частях, и, вероятно, еще кое-каких менее почтенных источников, он доносит:</w:t>
      </w:r>
    </w:p>
    <w:p w14:paraId="6A8F6E9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«Рост бронемеханизированных частей Красной армии, по крайней мере по внешнему впечатлению, представляется беспредельным». Эту «беспредельность» он видит в том, что Красная армия якобы ввела в каждый округ одно отдельное мехсоединение типа дивизии или бригады и в каждый корпус механизированный полк.</w:t>
      </w:r>
    </w:p>
    <w:p w14:paraId="1B9256F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Как видите, информация японского атташе в данном случае в немалой степени преуменьшает то, что мы фактически имеем, и все же рост наших мотомехвойск кажется ему беспредельным. Видимо, и наши парады в Москве и Ленинграде, которые японцы видят, и прочие поступающие к ним сведения о громадных масштабах оснащения нашей армии машинами производят на них солидное впечатление.</w:t>
      </w:r>
    </w:p>
    <w:p w14:paraId="58203AB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А вот более обобщающая статья из правой чешской газеты «Не-дельни лист», принадлежащая, как мы узнали, перу заместителя начальника чехословацкого генерального штаба генерала Гусарека, участника чехословацкого мятежа, побывавшего у нас на Киевских маневрах и посмотревшего еще кое-что и в армии, и в нашей стране. Тон статьи был столь необычным для этой газеты, что редакция ее сочла необходимым сопроводить статью вступлением, в котором говорилось:</w:t>
      </w:r>
    </w:p>
    <w:p w14:paraId="6778922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достоверности сообщаемого мы не сомневаемся. Мы хотели слышать правду, невзирая на то, нравится ли она кому-нибудь или нет. Эту правду мы даем на этих страницах с пояснением, что она не исходит из левого источника, хотя и звучит сверх ожидания хорошо. Она имеет тем большее значение, что исходит справа».</w:t>
      </w:r>
    </w:p>
    <w:p w14:paraId="178B098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Что же говорит Гусарек?</w:t>
      </w:r>
    </w:p>
    <w:p w14:paraId="4BF95E7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«Нужно, чтобы вы в корне переменили взгляд на сегодняшнюю Россию, — обращается он к читателям, — вы, знающие Россию довоенную и военную. Если вас интересует больше всего армия, то верьте, что трудно найти масштаб для сравнения сегодняшнего солдата с бывшим солдатом царским, послереволюционным или колчаковским. Этот новый солдат поразит вас здоровым сознанием собственного достоинства, подкрепленным физической и моральной подготовкой. Вопросы моральной подготовки, которая заключается в понимании политических целей государства, его очень интересуют; его политический кругозор, о котором больше заботятся, нежели у нас, не раздваивается и не обманывается. Вера в государство — его компас. В физическом отношении он едва ли найдет себе соперника. Один из многих примеров: когда моторизованная бригада синих прорвала фронт красных, к месту прорыва были подтянуты подкрепления. Находившийся в резерве батальон пробежал без отставших в полном снаряжении расстояние в 7 км бегом, чтобы своевременно прибыть в назначенное место. В этом помимо силы и воли есть готовность к самопожертвованию. А это вопрос, над которым стоит подумать.</w:t>
      </w:r>
    </w:p>
    <w:p w14:paraId="38A95CE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Еще пример из действительности: на 4 танка, увязших в болоте, бросается проходящая мимо резервная рота и в буквальном смысле слова вытаскивает их на сухое место, несмотря на то, что каждый из солдат находился по пояс в воде. После этой напряженной работы все, как один, выливают воду из сапог, и рота марширует дальше. Вся эта работа проделывается без принуждения, без крика и ругани.</w:t>
      </w:r>
    </w:p>
    <w:p w14:paraId="545D34A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Батарея при абсолютной тишине, которая кажется даже подозрительная, грузится на понтоны. Только отрывистые приказания режут воздух, за каждым из них следует немедленное исполнение, безоговорочное и быстрое. Дисциплина, которая не уговаривает, не ругает, а приказывает».</w:t>
      </w:r>
    </w:p>
    <w:p w14:paraId="16B9A96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Затем, переходя к материальному оснащению Красной армии, он пишет:</w:t>
      </w:r>
    </w:p>
    <w:p w14:paraId="6BA3EFB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«Это та область, которая произвела на нас самое сильное впечатление. Развернуть перед глазами зрителя на фронте в 10 км бой 1000 танков, ползущих по 4 в ряд друг за другом — значит поразить человека. А когда это движение тысяч тонн железа сопровождается грохотом сотен аэропланов, атакующих неприятеля, то создается впечатление, не поддающееся описанию. Когда тучи аэропланов сбрасывают в тылу противника десятки пулеметов, после чего следует спуск тысячи парашютистов, посадка самолетов, сборка 10 орудий, танков и двух бронированных автомобилей, выгрузка подкреплений с самолетов, приведение в готовность в течение двух часов боевой группы в 2500 чел. — это работа, которую пока что сумели показать миру только русские. Эти картины поразили в полном смысле слова не только нас, но и другие делегации».</w:t>
      </w:r>
    </w:p>
    <w:p w14:paraId="0B30148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Далее он излагает общее свое впечатление от Красной армии:</w:t>
      </w:r>
    </w:p>
    <w:p w14:paraId="4E9038D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lastRenderedPageBreak/>
        <w:t>«Армия, безусловно, проникнута боевым духом. Не только пехота, но и все остальные роды войск... Армия имеет еще преимущество. Это одна из наилучше вооруженных армий мира... Армия имеет еще не менее ценный боевой материал — любовь граждан и безграничную любовь молодежи. Армия и вожди государства выполнили еще одну задачу: с раннего детства привлекли на свою сторону молодежь и посеяли в ее сердцах любовь к армии и государству».</w:t>
      </w:r>
    </w:p>
    <w:p w14:paraId="0DE05F2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 наконец, выводы:</w:t>
      </w:r>
    </w:p>
    <w:p w14:paraId="73AE271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«Надо изменить наш взгляд на сегодняшнюю Россию. Это необходимо для взаимного благополучия и будущности. Нужно призадуматься над словами генерала Буденного, который на вопрос, почему он не пишет историю русской армии, которую создавал с самого начала, ответил: “Пишу ее, но шашкой”».</w:t>
      </w:r>
    </w:p>
    <w:p w14:paraId="7B1F713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Кто он, профессор?</w:t>
      </w:r>
    </w:p>
    <w:p w14:paraId="0047BB4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Он окончил, кажется, Академию генерального штаба во Франции, дрался с нами, будучи в чехословацком корпусе, в армии Колчака, но производит впечатление более или менее приличного человека.</w:t>
      </w:r>
    </w:p>
    <w:p w14:paraId="5AE85A5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Из газет мы знаем, что примерно то же самое о нас писали французы. В прошлом году писал о Белорусских маневрах в этом же духе итальянский генерал Грациолли. Конечно, мы лучше всей этой публики знаем свою собственную армию, знаем не только наши достижения, но и недостатки. Но факт остается фактом — эти господа, представители другого мира, оценили наконец нашу армию. Не каждому из этих писаний, не каждому слову в них можно, разумеется, верить, потому что каждый подобный отзыв, каждая статья печатается не вообще, а с учетом и под влиянием политических интересов и политической линии авторов и редакторов.</w:t>
      </w:r>
    </w:p>
    <w:p w14:paraId="1EDEF41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Наряду с многочисленными весьма высокими отзывами о нашей армии имеются и публикуемые и не публикуемые писания, которые по-другому говорят о нашей силе. Я вчера как раз получил довольно объемистый материал, автор которого, белогвардеец, злейший наш враг, пытается доказать одному из генеральных штабов, что Красная армия не является серьезной силой для большой войны, что ее кадры слабы, мало подготовлены и пр. Знать и даже изучать все эти и положительные, и отрицательные оценки нам нужно обязательно, но придавать им большое значение не следует, потому что враг может расхваливать и критиковать и сознательно с определенными целями, с тем чтобы доказать необходимость усиления своих собственных вооружений, а подчас и для того, чтобы тебя сбить с толку, успокоить.</w:t>
      </w:r>
    </w:p>
    <w:p w14:paraId="6A46932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Поэтому мы должны в нашей работе полагаться на свои собственные оценки, и притом достаточно критические и продуманные, так как от того, как мы оцениваем успехи и дефекты как армии в целом, так и отдельных отраслей нашей работы, во многом зависит и выработка дальнейших задач, которые мы себе ставим, и их выполнение.</w:t>
      </w:r>
    </w:p>
    <w:p w14:paraId="3087607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Какую же оценку мы должны дать себе сами? Здесь все товарищи, и докладчики, и выступавшие в прениях, в общем единодушно сходились на том, что в итоге истекшего года мы имеем значительные успехи не только в боевой подготовке, но и в других областях нашей работы, в частности — в области нашего хозяйства.</w:t>
      </w:r>
    </w:p>
    <w:p w14:paraId="548C51E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Думаю, что единодушие — это правильно. Нет надобности перечислять все наши достижения. Достаточно остановиться хотя бы на</w:t>
      </w:r>
    </w:p>
    <w:p w14:paraId="262FE0B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Киевских маневрах. Я считаю, что эти маневры — не изолированное явление, характеризующее один только Киевский военный округ. Киевские маневры показали лицо всей Красной армии на сегодняшний день. Этим я не хочу сказать, что все округа и все соединения подготовлены совершенно одинаково. Неравномерность в достижениях, неравномерность в организованности работы и сейчас еще имеется: в одних округах и дивизиях дело поставлено лучше, в других — несколько хуже. Но во всех округах значительно улучшилось владение техникой, дисциплинированнее и культурнее стал боец, грамотнее стал командир. В некоторых важнейших округах, я в этот не сомневаюсь, можно было бы в 1935 г. организовать и провести маневры не хуже Киевских. И в БВО у т. Уборевича, и в ЛВО у тт. Белова и Примакова я видел отличные соединения. К сожалению, т. Белов отсутствует</w:t>
      </w:r>
    </w:p>
    <w:p w14:paraId="15CDA53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Он болен.</w:t>
      </w:r>
    </w:p>
    <w:p w14:paraId="0D48717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Не мог выступить, а то бы он рассказал много интересных вещей. Улучшилось дело и в других наших округах. Я чуть было не сказал — и в Московском округе, но как раз здесь серьезнейшее для всей армии опытное учение 17-й дивизии было плохо организовано. За это, впрочем, нужно ругать не только командование округа, но и послать упрек нашему Генеральному штабу. Он плохо организовал учение и напрасно поручил именно 17-й дивизии показать, что будет представлять в бою новая стрелковая дивизия в 13 тыс. чел. 17-й дивизии было трудно справиться с этой задачей, причем главной причиной неудачи ее опытных учений я считаю то, что ей дали слишком мало времени на подготовку, на сколачивание территориальников, на то, чтобы командиры привыкли и к новой для них организации, и к новым в большинстве для них людям. Надо было либо дать 17-й дивизии больше времени на подготовку, либо назначить для опытов другую дивизию, лучше кадровую, чем территориальную, и лучше, пожалуй, это было сделать в более передовом округе, каковым, к великому сожалению, Московский округ не является. Выбор 17-й дивизии и непредоставление ей достаточного времени для подготовки к столь серьезному учению общеармейского масштаба — это тоже накладной расход на нашу еще слабую организацию.</w:t>
      </w:r>
    </w:p>
    <w:p w14:paraId="2F36DD4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Возвращаюсь к Киевским маневрам. Мне не один человек задавал вопрос: а правильно ли, что мы таким образом организуем маневры, как в Киеве, ведь это, собственно говоря, не маневры, а скорее большое опытное учение, а пространство, на котором маневры были разыграны, — увеличенный полигон; есть ли польза от таких маневров? Не знаю, может быть, я и не совсем прав, но должен вам сказать, что еще никогда я не был так удовлетворен маневрами, никогда не был так убежден, что именно такие маневры пока что нам нужны, как Киевские маневры.</w:t>
      </w:r>
    </w:p>
    <w:p w14:paraId="66D45D0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считаю, что пока нужно организовывать маневры именно таким методом. Это нужно, во-первых, потому, что мы еще только ищем новые пути в розыгрыше современного боя, насыщенного такими гигантскими массами современной техники. И опыт заграницы нам тут помочь почти не может, потому что пока, в мирное время, ни одна армия в мире не в состоянии вывести в поле столько техники и потому не знает такого масштаба маневров. Это нужно, во-вторых, для того, чтобы учить по-настоящему наш командный состав, кропотливо, систематически показать ему, каков нынешний бой и как его надлежит вести. С обеих этих точек зрения Киевские маневры дали нам очень много, дали несомненно больше, чем дали бы более «свободные» маневры.</w:t>
      </w:r>
    </w:p>
    <w:p w14:paraId="7C0122F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А назовем ли мы то, что было под Киевом, большим опытным учением или маневрами — от этого дело не меняется. Дело заключается в том, что мы должны были научить громадное количество командного состава умению действовать в современном бою, и этого мы добились. Мы хотели видеть возможно более близкую к действительности картину современного большого сражения, и эту картину мы увидели, я бы сказал, впервые. Шероховатостей на Киевских маневрах тоже было много, но в общем маневры были организованы и проведены очень хорошо.</w:t>
      </w:r>
    </w:p>
    <w:p w14:paraId="52A746A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Если мы учения такого же типа и так же организованно будем проводить в других округах, я уверен, не боясь впасть в ошибку, что через 2—3 года мы станем действительно по-настоящему обученной армией. На таких учениях каждый командир поймет, что такое современный бой, научится конкретно управлять боем, научится на деле решать серьезные боевые задачи, научится по-настоящему взаимодействию с другими родами войск, т.е. научится всему тому, в чем мы пока еще не слишком большие доки.</w:t>
      </w:r>
    </w:p>
    <w:p w14:paraId="764D73B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Опыт Киевских маневров заставляет подумать о многих очень серьезных вещах. Были там в действиях отдельных родов войск и немаловажные ошибки. В частности, я считаю не совсем продуманной до сих пор тактику танков ДД. Отрыв группы ДД от других наступающих частей после прорыва укрепленной полосы на неопределенное время, не совсем четкие задачи, которые ставятся при этом танкам ДД, — все это вызывает большие сомнения. На Киевских маневрах получилось, что после того, как танки ДД пробились через оборонительную полосу противника, они исчезли. Я сам пытался их найти и не мог. Знаю, что у них долго не было связи и с наступавшим стрелковым корпусом, и с высшим командованием. Каков должен быть промежуток времени между атакой группы ДД и пехоты с ТПП, на какую глубину должен быть рассчитан прорыв танков ДД, рассчитан для реального боя, а не теоретически, когда и каким порядком танки ДД должны снова примкнуть к своим войскам, каков должен быть порядок их взаимодействия после прорыва с прочими наступающими частями, как должна осуществляться боевая непрерывная связь их с главными наступающими силами — все эти вопросы нуждаются еще в самой серьезной отработке — и теоретически, и на картах, и в поле, — на учениях и маневрах.</w:t>
      </w:r>
    </w:p>
    <w:p w14:paraId="145D1C8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Еще серьезнее проблема нашей массированной </w:t>
      </w:r>
      <w:r w:rsidRPr="00E14102">
        <w:rPr>
          <w:rStyle w:val="a3"/>
          <w:b w:val="0"/>
          <w:color w:val="000000" w:themeColor="text1"/>
          <w:sz w:val="16"/>
          <w:szCs w:val="16"/>
        </w:rPr>
        <w:t xml:space="preserve">кавалерии. </w:t>
      </w:r>
      <w:r w:rsidRPr="00E14102">
        <w:rPr>
          <w:color w:val="000000" w:themeColor="text1"/>
          <w:sz w:val="16"/>
          <w:szCs w:val="16"/>
        </w:rPr>
        <w:t xml:space="preserve">Тут и нашему Генеральному штабу, и т. Буденному с его помощниками, и кавалерийским командирам нужно продумать все по-настоящему. Кавалерия в нынешних условиях </w:t>
      </w:r>
      <w:r w:rsidRPr="00E14102">
        <w:rPr>
          <w:rStyle w:val="a6"/>
          <w:i w:val="0"/>
          <w:color w:val="000000" w:themeColor="text1"/>
          <w:sz w:val="16"/>
          <w:szCs w:val="16"/>
        </w:rPr>
        <w:t>(обращается к т. Буденному),</w:t>
      </w:r>
      <w:r w:rsidRPr="00E14102">
        <w:rPr>
          <w:color w:val="000000" w:themeColor="text1"/>
          <w:sz w:val="16"/>
          <w:szCs w:val="16"/>
        </w:rPr>
        <w:t xml:space="preserve"> Семен Михайлович, действовать так, как когда-то действовала, не может, это бесспорный, непреложный факт. Если на кавалерию набрасываются целые эскадрильи, а то и бригады самолетов, а кавалерия в составе десятка тысяч всадников с танками, повозками, орудиями и прочим находится на «пятачке», от кавалерии в таких условиях ничего не останется. А кавалерии у нас много. Мы ее еще усиливаем, создаем новые дивизии. Делаем это в убеждении, что конница будет играть в предстоящей войне большую роль, но для этого необходима серьезная и кропотливая работа по организации и тактической боевой подготовке нашей конницы. Нужно, не теряя времени, прорабатывать всю сумму вопросов применения и действий конницы в современном, насыщенном техникой бою. В первую очередь необходимо разрешить в полном объеме проблему защиты кавалерии от авиации и взаимодействия со своей авиацией. Опыт наших маневров показывает, какие трудности должна преодолевать конница в будущих боях и сражениях. Конница явится наиболее уязвимым объектом для авиации противника. Нужно, чтобы конница с воздуха была надежно прикрыта своей, органически с ней спаянной авиацией. Обстановка для действий кавалерии резко изменилась. Всем кавалерийским начальникам, всем большим общевойсковым командирам следует это учесть и поработать немало над вопросами боевой подготовки конницы, а также подумать над вопросами применения больших конных масс в современных операциях. Эти вопросы, к сожалению, для современного сражения у нас еще мало разработаны.</w:t>
      </w:r>
    </w:p>
    <w:p w14:paraId="531C5A5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В боевой подготовке конницы, как и в других родах войск, есть много успехов, но много еще и серьезных недостатков. До сих пор хромает разведка. Конница, этот в недалеком прошлом наиболее подвижный род войск, до сих пор еще не научилась видеть впереди и вокруг себя, разведывать противника и местность, знать наперед, что надлежит знать командованию. Переправа через Ирпень 3-й дивизии была сплошным безобразием. Вместо предварительной разведки переправы наугад бросаются эскадроны в речку и калечат лошадей; демонстрируется безграмотность кавалерийского командования. Примерно то же о переправах сообщал здесь т. Мерецков, говоря о 8-й кавдивизии. 8-й дивизией командует один из лучших кавалерийских командиров т. Точенов, которого мы специально послали в ОКДВА для оздоровления 8-й кавдивизии, что им, как мне известно, в общем и сделано. И все же даже т. Точенов не научил свою дивизию вести непрерывную, умелую и умную разведку. Это </w:t>
      </w:r>
      <w:r w:rsidRPr="00E14102">
        <w:rPr>
          <w:color w:val="000000" w:themeColor="text1"/>
          <w:sz w:val="16"/>
          <w:szCs w:val="16"/>
        </w:rPr>
        <w:lastRenderedPageBreak/>
        <w:t>не может не портить репутации этого хорошего командира. Разведка конницы — это основное и главное условие успешности ее действий — хромает у нас если не на все четыре, то во всяком случае на обе ноги.</w:t>
      </w:r>
    </w:p>
    <w:p w14:paraId="01C343C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основных европейских армиях от конницы, в нашем понимании, почти отказались. Мы от нашей конницы не отказываемся, мы знаем нашу превосходную, организованную, с прекрасными традициями конницу, тем более мы обязаны поскорее разрешить все вопросы ее использования и ее тактики в будущей, резко меняющей свой облик, войне</w:t>
      </w:r>
      <w:r w:rsidRPr="00E14102">
        <w:rPr>
          <w:color w:val="000000" w:themeColor="text1"/>
          <w:sz w:val="16"/>
          <w:szCs w:val="16"/>
          <w:vertAlign w:val="superscript"/>
        </w:rPr>
        <w:t>93</w:t>
      </w:r>
      <w:r w:rsidRPr="00E14102">
        <w:rPr>
          <w:color w:val="000000" w:themeColor="text1"/>
          <w:sz w:val="16"/>
          <w:szCs w:val="16"/>
        </w:rPr>
        <w:t>.</w:t>
      </w:r>
    </w:p>
    <w:p w14:paraId="3B0CFB2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Если перейти к другим родам войск и службам, то достижения имеет буквально каждый из них: и авиация, и танковые войска, и артиллерия, и войска связи, и химические войска, инженерные и другие — всюду налицо рост против прошлого года. Но если присмотреться по-настоящему, то станет ясно, что этот рост недостаточен.</w:t>
      </w:r>
    </w:p>
    <w:p w14:paraId="7C0B94F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Наша </w:t>
      </w:r>
      <w:r w:rsidRPr="00E14102">
        <w:rPr>
          <w:rStyle w:val="a3"/>
          <w:b w:val="0"/>
          <w:color w:val="000000" w:themeColor="text1"/>
          <w:sz w:val="16"/>
          <w:szCs w:val="16"/>
        </w:rPr>
        <w:t xml:space="preserve">авиация. </w:t>
      </w:r>
      <w:r w:rsidRPr="00E14102">
        <w:rPr>
          <w:color w:val="000000" w:themeColor="text1"/>
          <w:sz w:val="16"/>
          <w:szCs w:val="16"/>
        </w:rPr>
        <w:t>Теперь уже наши летчики совершают слепые высотные полеты, понемногу летают ночью, умеют неплохо действовать в составе отряда и эскадрильи. Имеются достижения в огневой, штурманской и других элементах подготовки. Но вопросы более сложные — действия целых авиационных соединений, организованная и бесперебойная работа частей с полевых аэродромов, наконец, воздушный бой — эти вопросы еще далеки от удовлетворительного разрешения. Очень много вопросов встает перед нашей авиацией, в особенности перед истребителями, в связи с перевооружением на новую скоростную материальную часть.</w:t>
      </w:r>
    </w:p>
    <w:p w14:paraId="635E55A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Тов. Хрипин рассказывал здесь, что опытом доказано, например, что скоростной истребитель в хвост противнику стрелять не может, а сами истребители до последнего времени считали, что хвост самолета противника — самое уязвимое место для истребителя. Оказывается, на скоростных истребителях нельзя делать многого из того, что считалось для истребителя необходимых для боя в воздухе, т.е. штопора, резкие перевороты на крыло, иммельманы и пр. Что же вместо этого предлагается? Пока ничего по-настоящему проверенного, рассчитанного, испытанного.</w:t>
      </w:r>
    </w:p>
    <w:p w14:paraId="350952D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Таких тактических и технических деталей очень много, их нужно разрешать поскорее, без их разрешения большие вопросы подготовки авиации, в том числе воздушный бой, не могут быть разрешены.</w:t>
      </w:r>
    </w:p>
    <w:p w14:paraId="41BCEF0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Вопросами использования и действий всех авиационных средств в операции, тактикой воздушного боя нужно заняться теперь по-настоящему. Наша авиация доросла уже до возможности и необходимости успешного разрешения и этих вопросов. И совершенно правильно, что мы поставили вопросы боевой подготовки авиации отдельно на Военном совете, обсудили их как следует, и сейчас в приказе будут даны исчерпывающие задачи с указанием, как их исполнять. Выступавшие здесь работники авиации поделились своим большим опытом и сделали много серьезных, деловых предложений и по боевой подготовке, и по дальнейшему улучшению организации наших Воздушных сил. Все это нужно учесть и сделать все нужные выводы. Многое из того, что предлагается провести в 1936 г., мы, разумеется, могли бы осуществить раньше, но этого не сделали, хотя вопросами авиации у нас занимается громадное количество народа, в том числе наши командующие войсками округов. Занимаются этим делом как будто бы серьезно и вплотную, а вот спросить, как вы будете посылать ваших истребителей на противника, предположим вы </w:t>
      </w:r>
      <w:r w:rsidRPr="00E14102">
        <w:rPr>
          <w:rStyle w:val="a6"/>
          <w:i w:val="0"/>
          <w:color w:val="000000" w:themeColor="text1"/>
          <w:sz w:val="16"/>
          <w:szCs w:val="16"/>
        </w:rPr>
        <w:t>(обращаясь к т. Уборевичу),</w:t>
      </w:r>
      <w:r w:rsidRPr="00E14102">
        <w:rPr>
          <w:color w:val="000000" w:themeColor="text1"/>
          <w:sz w:val="16"/>
          <w:szCs w:val="16"/>
        </w:rPr>
        <w:t xml:space="preserve"> Иероним Петрович, при налете на столицу Белоруссии, если вы не будете знать твердо, как истребителям нужно действовать, на что они пригодны</w:t>
      </w:r>
    </w:p>
    <w:p w14:paraId="0829E9D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Уборевич. Я</w:t>
      </w:r>
      <w:r w:rsidRPr="00E14102">
        <w:rPr>
          <w:color w:val="000000" w:themeColor="text1"/>
          <w:sz w:val="16"/>
          <w:szCs w:val="16"/>
        </w:rPr>
        <w:t xml:space="preserve"> два года занимаюсь воздушным боем, и все командиры отрядов, эскадрилий в Бобруйске провели очень большие опыты, но они </w:t>
      </w:r>
      <w:r w:rsidRPr="00E14102">
        <w:rPr>
          <w:rStyle w:val="a6"/>
          <w:i w:val="0"/>
          <w:color w:val="000000" w:themeColor="text1"/>
          <w:sz w:val="16"/>
          <w:szCs w:val="16"/>
        </w:rPr>
        <w:t>(показывает на т. Алксниса)</w:t>
      </w:r>
      <w:r w:rsidRPr="00E14102">
        <w:rPr>
          <w:color w:val="000000" w:themeColor="text1"/>
          <w:sz w:val="16"/>
          <w:szCs w:val="16"/>
        </w:rPr>
        <w:t xml:space="preserve"> замариновали.</w:t>
      </w:r>
    </w:p>
    <w:p w14:paraId="4AFC5C8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Я знаю, что у вас на Бобруйских опытных учениях многое выяснилось, летчики и командиры многому научились, что авиация Белорусского округа — одна из лучших частей нашей авиации, но нам нужно уже не выяснять, а обучать всю авиацию, обучать теперь же и хорошо. Коротко говоря: мы имеем немалые достижения в боевой подготовке авиации. Наша авиация, ее летные и командные кадры непрерывно растут, совершенствуются, но нам еще предстоит колоссальная работа и по улучшению организации и методе боевой подготовки в авиачастях, и по тренировке целых соединений и крупных авиационных масс, по обучению командиров и летчиков воздушному бою, организации этого боя и управлению им, в особенности.</w:t>
      </w:r>
    </w:p>
    <w:p w14:paraId="4E75AFA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Все это вопросы большие, серьезные и не терпящие проволочек.</w:t>
      </w:r>
    </w:p>
    <w:p w14:paraId="13E198DB" w14:textId="77777777" w:rsidR="006161A5" w:rsidRPr="00E14102" w:rsidRDefault="006161A5" w:rsidP="00E14102">
      <w:pPr>
        <w:pStyle w:val="rtejustify"/>
        <w:spacing w:before="0" w:after="0"/>
        <w:rPr>
          <w:color w:val="000000" w:themeColor="text1"/>
          <w:sz w:val="16"/>
          <w:szCs w:val="16"/>
        </w:rPr>
      </w:pPr>
      <w:r w:rsidRPr="00E14102">
        <w:rPr>
          <w:rStyle w:val="a3"/>
          <w:b w:val="0"/>
          <w:color w:val="000000" w:themeColor="text1"/>
          <w:sz w:val="16"/>
          <w:szCs w:val="16"/>
        </w:rPr>
        <w:t xml:space="preserve">Химическое дело. </w:t>
      </w:r>
      <w:r w:rsidRPr="00E14102">
        <w:rPr>
          <w:color w:val="000000" w:themeColor="text1"/>
          <w:sz w:val="16"/>
          <w:szCs w:val="16"/>
        </w:rPr>
        <w:t>Очень слабо была на Киевских маневрах показана работа по освоению химических средств, вернее, я просто их по-настоящему не видел.</w:t>
      </w:r>
    </w:p>
    <w:p w14:paraId="50B1B99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Якир.</w:t>
      </w:r>
      <w:r w:rsidRPr="00E14102">
        <w:rPr>
          <w:color w:val="000000" w:themeColor="text1"/>
          <w:sz w:val="16"/>
          <w:szCs w:val="16"/>
        </w:rPr>
        <w:t xml:space="preserve"> Вы запретили.</w:t>
      </w:r>
    </w:p>
    <w:p w14:paraId="4D2999E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Я запретил, чтобы там воняли и показывали иностранцам наши боевые химические машины, но я не запрещал, чтобы вы показали, как мы будем защищаться против химии, как мы будем предохранять себя против возможности удушения нас с воздуха и на земле противником.</w:t>
      </w:r>
    </w:p>
    <w:p w14:paraId="500196F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Химическое дело у нас продолжает отставать. Из года в год мы об этом говорим. Может быть, потому, что это дело не весьма приятное, или потому, что мы все мало его пока знаем, но, надо прямо сказать, химия не пользуется такой заботой и командующих, и других наших начальников, как авиация и танки. Между тем химией мы должны и заниматься, и интересоваться не меньше, чем авиацией, танками и артиллерией.</w:t>
      </w:r>
    </w:p>
    <w:p w14:paraId="68098B7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Тов. Фишман был совершенно прав, когда говорил, что нам придется иметь дело с двумя противниками, которые в химическом отношении являются страшными врагами. Германия до сих пор самая сильная химическая держава. Что она на химию ставит серьезную ставку в будущей войне, в этом не может быть сомнений. Япония тоже имеет сильную химическую промышленность, а при помощи Германии она будет еще сильнее. Нельзя забывать и Польшу.</w:t>
      </w:r>
    </w:p>
    <w:p w14:paraId="51378F1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Генеральный штаб и начальник вооружений должны заняться вплотную этими вопросами: в тех приказах, которые мы отдадим, точно должно быть указано, кто и что и в какие сроки должен будет сделать. Надо будет проверять эту работу, наказывать всех виновных, невзирая ни на какие звания и заслуги, если люди по-настоящему не возьмутся во всех звеньях сверху донизу, засучив рукава, за военно-химическое дело.</w:t>
      </w:r>
    </w:p>
    <w:p w14:paraId="5B788CA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Перехожу </w:t>
      </w:r>
      <w:r w:rsidRPr="00E14102">
        <w:rPr>
          <w:rStyle w:val="a3"/>
          <w:b w:val="0"/>
          <w:color w:val="000000" w:themeColor="text1"/>
          <w:sz w:val="16"/>
          <w:szCs w:val="16"/>
        </w:rPr>
        <w:t xml:space="preserve">к артиллерии. </w:t>
      </w:r>
      <w:r w:rsidRPr="00E14102">
        <w:rPr>
          <w:color w:val="000000" w:themeColor="text1"/>
          <w:sz w:val="16"/>
          <w:szCs w:val="16"/>
        </w:rPr>
        <w:t>Вы, товарищи, должны знать, что правительство, ЦК партии и лично т. Сталин артиллерии придают очень большое значение.</w:t>
      </w:r>
    </w:p>
    <w:p w14:paraId="3AB8470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Все вы знаете, что мы недавно приняли программу и количественного, и качественного усиления артиллерии, главным образом дивизионной. Все вы знаете, что артиллерийские кадры выращиваются с большими трудностями. Поэтому, казалось бы, вопросам артиллерии должно быть уделено особо серьезное внимание. На деле получается не всегда так.</w:t>
      </w:r>
    </w:p>
    <w:p w14:paraId="4A8963A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 деле сплошь и рядом артиллерийскими частями занимаются мало, некоторые общевойсковые начальники забывают даже задачи ставить артиллерийским частям в ходе развития боя. Такие факты имели место и на Киевских маневрах.</w:t>
      </w:r>
    </w:p>
    <w:p w14:paraId="13C1F46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не совсем согласен или вернее не совсем понял, что говорил об артиллерийских кадрах Ян Борисович (Гамарник). Ян Борисович говорил, что наши артиллерийские командиры имеют очень небольшой стаж работы, мало сидят в полках и дивизионах. Выходило, что как будто бы это происходит от невнимания к этим вопросам. Я бы сказал, что это не наша вина, а наша беда.</w:t>
      </w:r>
    </w:p>
    <w:p w14:paraId="12C93C34"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Я так и сказал — именно поэтому над ними надо больше работать.</w:t>
      </w:r>
    </w:p>
    <w:p w14:paraId="4D17603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Вам известно, что за последние годы армия непрерывно растет, создается очень много новых частей и соединений, и этим в первую голову объясняется текучесть и то, что нашими артполками и дивизионами командуют часто очень молодые, без достаточного стажа, командиры. Но бесспорно одно — наши артиллеристы не пользуются еще поддержкой, любовью, вниманием в том размере, как их роль и значение в бою требуют. В 1936 г. артиллерию, наряду с авиацией и химией, мы обязаны окружить исключительным вниманием и вытянуть на большую высоту. Я думаю, что надлежит принять и некоторые организационные мероприятия. Нужно нашего инспектора, я говорю не о лицах, а о должности, переименовать в начальника артиллерии</w:t>
      </w:r>
      <w:r w:rsidRPr="00E14102">
        <w:rPr>
          <w:color w:val="000000" w:themeColor="text1"/>
          <w:sz w:val="16"/>
          <w:szCs w:val="16"/>
          <w:vertAlign w:val="superscript"/>
        </w:rPr>
        <w:t>94</w:t>
      </w:r>
      <w:r w:rsidRPr="00E14102">
        <w:rPr>
          <w:color w:val="000000" w:themeColor="text1"/>
          <w:sz w:val="16"/>
          <w:szCs w:val="16"/>
        </w:rPr>
        <w:t>.</w:t>
      </w:r>
    </w:p>
    <w:p w14:paraId="14D4240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w:t>
      </w:r>
      <w:r w:rsidRPr="00E14102">
        <w:rPr>
          <w:color w:val="000000" w:themeColor="text1"/>
          <w:sz w:val="16"/>
          <w:szCs w:val="16"/>
        </w:rPr>
        <w:t xml:space="preserve"> И слить с ГАУ.</w:t>
      </w:r>
    </w:p>
    <w:p w14:paraId="29781EC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Нужно подумать — слить или не сливать. Вряд ли такое слияние будет целесообразно, но нужно иметь авторитетного начальника артиллерии, который будет заботиться об артиллерии, не только наблюдая, контролируя и критикуя, а отвечая за нее по-настоящему и помогая и частям, и командующим войсками, которые не всегда и не все вопросы могут разрешить у себя без центра. Начальник артиллерии, зная опыт войск, изучая развитие артиллерии в иностранных армиях, будет толкать и ГАУ, требовать у него улучшений — эти права ему необходимо предоставить.</w:t>
      </w:r>
    </w:p>
    <w:p w14:paraId="00409AA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Для того чтобы показать, почему у нас происходит текучесть, почему люди работают меньше года на той им иной должности, я назову несколько цифр </w:t>
      </w:r>
      <w:r w:rsidRPr="00E14102">
        <w:rPr>
          <w:rStyle w:val="a6"/>
          <w:i w:val="0"/>
          <w:color w:val="000000" w:themeColor="text1"/>
          <w:sz w:val="16"/>
          <w:szCs w:val="16"/>
        </w:rPr>
        <w:t>(т. Ворошилов приводит цифры усиления армии по основным родам войск).</w:t>
      </w:r>
    </w:p>
    <w:p w14:paraId="49797F30" w14:textId="77777777" w:rsidR="006161A5" w:rsidRPr="00E14102" w:rsidRDefault="006161A5" w:rsidP="00E14102">
      <w:pPr>
        <w:pStyle w:val="rtecenter"/>
        <w:spacing w:before="0" w:after="0"/>
        <w:jc w:val="both"/>
        <w:rPr>
          <w:color w:val="000000" w:themeColor="text1"/>
          <w:sz w:val="16"/>
          <w:szCs w:val="16"/>
        </w:rPr>
      </w:pPr>
      <w:r w:rsidRPr="00E14102">
        <w:rPr>
          <w:rStyle w:val="a3"/>
          <w:b w:val="0"/>
          <w:color w:val="000000" w:themeColor="text1"/>
          <w:sz w:val="16"/>
          <w:szCs w:val="16"/>
        </w:rPr>
        <w:t>Несколько слов о наших кадрах</w:t>
      </w:r>
    </w:p>
    <w:p w14:paraId="551126B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При таком росте армии, о котором я здесь доложил, разумеется, мы не можем выдержать планомерности продвижения и обучения командных кадров, приходится и перебрасывать людей из одного рода войск в другой, и ставить иной раз на большие должности людей, которые еще не выросли до масштаба и ответственности этой работы. Но ничего не поделаешь. Это диктуется условиями обстановки.</w:t>
      </w:r>
    </w:p>
    <w:p w14:paraId="0E06E6E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Невзирая на все это, мы обязаны добиваться, чтобы наши командные кадры были лучше и квалифицированнее, чем в какой бы то ни было другой армии. В одной части наши кадры и сейчас лучше всех — это в политической части. Политическая сознательность, преданность своему пролетарскому классу и делу строительства социализма, готовность напряженно трудиться, не жалея себя, — вот облик нашего командира, начальника. Но для командира и начальника современной армии всего этого мало. Знать свое дело до мелочей, быть четким, точным в своей работе, уметь экономить и ценить время, быть постоянным и настойчивым в достижении цели, обладать волей и быть всесторонне образованным человеком, — вот таким должен быть, таким становится, таким обязательно будет наш командир и начальник. Нужно очень серьезно поработать над всеми деталями подготовки и доподготов-ки командных кадров в условиях очень быстрого их продвижения, подготовки прежде всего по всем конкретным вопросам специальности каждого командира.</w:t>
      </w:r>
    </w:p>
    <w:p w14:paraId="39D56DD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Для этого нужно не только составить хорошие приказы по боевой подготовке, надо всячески ускорять издание новых </w:t>
      </w:r>
      <w:r w:rsidRPr="00E14102">
        <w:rPr>
          <w:rStyle w:val="a3"/>
          <w:b w:val="0"/>
          <w:color w:val="000000" w:themeColor="text1"/>
          <w:sz w:val="16"/>
          <w:szCs w:val="16"/>
        </w:rPr>
        <w:t xml:space="preserve">уставов, </w:t>
      </w:r>
      <w:r w:rsidRPr="00E14102">
        <w:rPr>
          <w:color w:val="000000" w:themeColor="text1"/>
          <w:sz w:val="16"/>
          <w:szCs w:val="16"/>
        </w:rPr>
        <w:t>без которых теперь уже трудно ожидать большого роста наших командиров и начальников. Генеральному штабу нужно заняться уставным делом, выделить для этого лучших людей, организовать необходимые учения для проверки отдельных уставных положений и т.п.</w:t>
      </w:r>
    </w:p>
    <w:p w14:paraId="4BE3618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lastRenderedPageBreak/>
        <w:t>Сейчас нужен Полевой устав</w:t>
      </w:r>
      <w:r w:rsidRPr="00E14102">
        <w:rPr>
          <w:color w:val="000000" w:themeColor="text1"/>
          <w:sz w:val="16"/>
          <w:szCs w:val="16"/>
          <w:vertAlign w:val="superscript"/>
        </w:rPr>
        <w:t>95</w:t>
      </w:r>
      <w:r w:rsidRPr="00E14102">
        <w:rPr>
          <w:color w:val="000000" w:themeColor="text1"/>
          <w:sz w:val="16"/>
          <w:szCs w:val="16"/>
        </w:rPr>
        <w:t>, как воздух. Необходимо его скорее дать войскам. Пусть он будет иметь недочеты, погрешности, через год мы его подправим. Полевой устав, без которого нельзя установить основных и единых для всей армии положений ведения общевойскового боя, нужен поскорее и потому, что мы не можем без нового Полевого устава обновить боевые тактические уставы родов войск, а это также необходимо поскорее сделать.</w:t>
      </w:r>
    </w:p>
    <w:p w14:paraId="6D20D65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Нужно также, не откладывая больше, приступить к созданию высшей общевойсковой школы</w:t>
      </w:r>
      <w:r w:rsidRPr="00E14102">
        <w:rPr>
          <w:color w:val="000000" w:themeColor="text1"/>
          <w:sz w:val="16"/>
          <w:szCs w:val="16"/>
          <w:vertAlign w:val="superscript"/>
        </w:rPr>
        <w:t>96</w:t>
      </w:r>
      <w:r w:rsidRPr="00E14102">
        <w:rPr>
          <w:color w:val="000000" w:themeColor="text1"/>
          <w:sz w:val="16"/>
          <w:szCs w:val="16"/>
        </w:rPr>
        <w:t>, о которой мы давно говорили. В эту школу (точное название придумаем потом) придется подобрать наиболее способных и подготовленных людей из окончивших ранее другие академии для подготовки из них высших командиров и работников высших штабов, крупных организаторов боя и операции.</w:t>
      </w:r>
    </w:p>
    <w:p w14:paraId="1FCB120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Несколько замечаний относительно </w:t>
      </w:r>
      <w:r w:rsidRPr="00E14102">
        <w:rPr>
          <w:rStyle w:val="a3"/>
          <w:b w:val="0"/>
          <w:color w:val="000000" w:themeColor="text1"/>
          <w:sz w:val="16"/>
          <w:szCs w:val="16"/>
        </w:rPr>
        <w:t xml:space="preserve">военных званий. </w:t>
      </w:r>
      <w:r w:rsidRPr="00E14102">
        <w:rPr>
          <w:color w:val="000000" w:themeColor="text1"/>
          <w:sz w:val="16"/>
          <w:szCs w:val="16"/>
        </w:rPr>
        <w:t>Военные звания, введенные недавно правительством, вызывают среди нашего начальствующего состава немало разговоров, в том числе и вредных. Некоторые, например, считают, что введение военных званий — это что-то вроде введения чинов, а поэтому вещь неприятная и ненужная. Был даже случай, когда один запасник пришел, бросил свой военный билет и заявил, что он, видите ли, такой революционер, такой коммунист, что не может выдержать введения чинов и просит его исключить из запаса командиров Рабоче-крестьянской Красной армии.</w:t>
      </w:r>
    </w:p>
    <w:p w14:paraId="4C7F9BB1"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Потом он оказался все-таки больным, когда мы его проверили.</w:t>
      </w:r>
    </w:p>
    <w:p w14:paraId="5684A686"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Я об этом не знал. Во всяком случае и из сводок, и из разговоров я знаю, что подобные настроения вообще есть у кое-кого из наших людей. Есть и такие, которые думают, что военные звания — это хорошая вещь, теперь будет не то, что раньше было, только теперь мы становимся настоящими командирами и прочее в этом роде. А третьи думают, что вообще ничего не произошло, никаких существенных изменений не случилось — как был я хорошим ком-мунистом-командиром, так им и буду, а кто был плохим, так тот плохим и остался. Я думаю, товарищи, что все эти рассуждения и ошибочны, и вредны.</w:t>
      </w:r>
    </w:p>
    <w:p w14:paraId="39F538A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Центральный Комитет партии и наше правительство, когда вводили военные звания, отдавали себе точный отчет в значении и целях этого очень серьезного мероприятия. Что же в основном означает введение военных званий? Прежде всего то, что наш начальствующий состав только теперь рассаживается по-настоящему, каждый на свое место. Я не говорю о двух-трех десятках человек верхушки армии. Этих командиров назначает само правительство и оно только компетентно судит о правильности присвоения персональных военных званий этим лицам. Я имею в виду всю массу нашего начсостава, и в этом отношения только теперь, когда мы по-настоящему, добираясь до корней каждого нашего командира и начальника персонально, взялись за дело присвоения званий, только теперь мы поняли, как у нас был поверхностно организован важнейший наш капитал — наше человеческое, если можно так выразиться, хозяйство. А кто может думать, что это не сказывалось на деле? Когда мы, руководители, лично не знали по-настоящему о каждом командире и начальнике все, что он собою представляет, кто какой опыт имеет, кто на что по-настоящему способен, разве это не отражалось на деле? Разумеется, отражалось, и притом очень вредно. Только теперь мы все по-настоящему и воочию, на живых людях, убедились в очень серьезных ненормальностях в системе прохождения службы начальствующего состава. Может быть, тех неприятностей, недоделок и дефектов, о которых мы здесь говорили, было бы значительно меньше, если бы люди были расставлены правильно и более целесообразно и систематично, проходили свою службу в армии. Могут сказать, что определенная система прохождения службы в РККА была и раньше. Порядок аттестования и продвижения начсостава существует давно. Это верно. Однако верно также и то, что у нас создалась такая неразбериха и путаница в прохождении службы начсоством, что мы стояли перед угрозой потерять возможность получать от страны лучших людей в армию, так как никакой четкости в служебном продвижении командира у нас не было.</w:t>
      </w:r>
    </w:p>
    <w:p w14:paraId="0F8A12B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Достаточно только взять наших ромбистов (генералитет), чтобы понять нелепость положения. У нас люди с 3—4 ромбами на одном месте сидели годами. Я думаю, что не обижу этих хороших товарищей, если упомяну кое-кого из них. Возьму, к примеру, т. Лангового, который сидит у меня под боком и ведает большим делом. У него было 3 ромба, по занимаемой должности он имел право на них. А когда нужно было дать ему военное звание, то больше полковника ничего не дашь. И это не его вина. Он был хорошим работником в различных областях. Был в Персии, Женеве, его можно послать в Америку, Англию, Францию, куда угодно, но у него очень мало командного стажа и опыта практической войсковой работы. А ведь он окончил академию, может командовать. Если бы у нас была правильно организована система прохождения службы, этого не случилось бы. Тов. Ланговой за свою службу не раз побывал бы в войсках, он обязан был бы стажироваться, командовать.</w:t>
      </w:r>
    </w:p>
    <w:p w14:paraId="3EFCBFF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Возьмите т. Шпекторова, всеми уважаемого человека с большими знаниями, умницу, было у него 3, а раньше, кажется, даже 4 ромба. А теперь мы вынуждены были дать ему звание бригадного комиссара, ничего не поделаешь, так сложилась служебная карьера этого командира, и опять-таки не по его вине. Ему нужна стажировка, нужно по-новому теперь проходить свою службу. То же самое примерно и с тт. Мовчиным, Симоновым.</w:t>
      </w:r>
    </w:p>
    <w:p w14:paraId="015E07A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Конечно, после того как эти товарищи годика по два покомандуют, мы их быстро выдвинем, потому что они заслуживают того, чтобы быть в более высоких званиях. А пока что благодаря неразберихе и чепухе, которая существовала, эти и многие другие «пострадавшие» товарищи должны усердно работать — это главное, не особенно тоскуя о высоком военном звании — оно придет, обязательно придет.</w:t>
      </w:r>
    </w:p>
    <w:p w14:paraId="0F587B18"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Дыбенко.</w:t>
      </w:r>
      <w:r w:rsidRPr="00E14102">
        <w:rPr>
          <w:color w:val="000000" w:themeColor="text1"/>
          <w:sz w:val="16"/>
          <w:szCs w:val="16"/>
        </w:rPr>
        <w:t xml:space="preserve"> Сейчас называют ромбопад.</w:t>
      </w:r>
    </w:p>
    <w:p w14:paraId="5077110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Таким образом, важнейшая сторона этой большой реформы заключается в том, что мы установили впервые и по-настоящему правильный и планомерный порядок прохождения начсоставом службы в армии. Отныне, поскольку законодательным порядком установлены сроки выслуги в определенных должностях, никто из начальников не сможет помешать нормальному, закономерному росту и продвижению каждого военнослужащего. Красная армия выросла в первоклассную, вооруженную современной техникой, силу. Люди, кадры такой армии должны быть превосходно подготовлены и организованы. Военное звание — это один из лучших стимулов скрепления и цементизации кадров. Отныне в армии ничего случайного, временного, неустойчивого нет. Каждый работник, заранее знает свой служебный путь. От него самого зависит ускорить свое движение вперед, сократить сроки пребывания в том или ином военном звании.</w:t>
      </w:r>
    </w:p>
    <w:p w14:paraId="02D404B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думаю, что среди нас не найдется ни одного человека, который не понимал бы всей важности введения в Красной армии военных персональных званий. Благотворность этой реформы, несомненно, скоро скажется в сильнейшем росте, я бы сказал, расцвете наших командных и начальствующих кадров.</w:t>
      </w:r>
    </w:p>
    <w:p w14:paraId="1AC54B8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Но, как и всякое дело, и это важнейшее мероприятие правительства и партии нужно по-настоящему провести в жизнь. Нам надлежит не только пресечь всякие неумные разговоры — их не так много, — необходимо поскорее и основательно переаттестовать весь личный состав и присвоить каждому персональное военное звание. Можно заранее сказать, что в таком большом деле не обойтись без некоторых ошибок и упущений. Неизбежно будут и недовольные, так как дело идет о сотнях тысяч человек, но этим смущаться не следует, невольные ошибки будут исправлены, действительно обиженные будут удовлетворены, а в общем через пару лет наша Красная армия, ее командиры и начсостав будут стоять неизмеримо выше, чем-то было бы без этой реформы.</w:t>
      </w:r>
    </w:p>
    <w:p w14:paraId="1DEE4CB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Несколько слов по вопросам нашего </w:t>
      </w:r>
      <w:r w:rsidRPr="00E14102">
        <w:rPr>
          <w:rStyle w:val="a3"/>
          <w:b w:val="0"/>
          <w:color w:val="000000" w:themeColor="text1"/>
          <w:sz w:val="16"/>
          <w:szCs w:val="16"/>
        </w:rPr>
        <w:t xml:space="preserve">военного хозяйства. </w:t>
      </w:r>
      <w:r w:rsidRPr="00E14102">
        <w:rPr>
          <w:color w:val="000000" w:themeColor="text1"/>
          <w:sz w:val="16"/>
          <w:szCs w:val="16"/>
        </w:rPr>
        <w:t>После того, как ЦК партии и правительство указали на безобразия, которые имели место в области вещевого довольствия РККА, после того как мы создали отдельные управления по обозно-вещевому снабжению и продовольствию, после того как командующие войсками и другие начальники непосредственно занялись этим вопросом, кое-какие улучшения, бесспорно, имеются не только в вещевом и продовольственном деле, но и во всех отраслях работы нашего военного хозяйства. Наши склады приведены в относительный порядок, начали налаживать учет, кое-как наши командиры и политработники стали находить время и заглядывать для контроля своих хозяйственных органов, стали подумывать и над тем, как и чему учить и как помогать нашим хозяйственникам. Первые результаты уже имеются. Но мы будем самообольщаться, если решим, что уже все сделано и можно успокоиться. Работы впереди непочатый край. Подготовка всех наших многообразных тылов на военное время у нас отстала от общего развития техники, вооружения и организации армии.</w:t>
      </w:r>
    </w:p>
    <w:p w14:paraId="5A02B3F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Дело подготовки тыла к будущей войне мы только тогда, в частности, будем считать в надежном положении, когда все наше существующее уже сейчас окружное и войсковое хозяйство во всем его объеме, во всех его отраслях и во всех родах войск будет приведено в полный порядок. Есть ли возможность привести его в надлежащий вид, в надлежащий порядок? Безусловно, есть. Нужно только нашим командующим, их помощникам, командирам корпусов и дивизий, начальникам родов войск и служб, нашим политработникам строить свою работу так, чтобы бьшо выкроено достаточно времени для хозяйственных вопросов. Нужно помнить, что хозяйство — это не только богатство страны, выделенное в наше распоряжение, но и основное условие победы над противником. Все это как будто бы такие аксиомы, о которых не следовало бы здесь говорить, однако тот позор, который мы пережили в связи с обнаруженными вопиющими безобразиями в нашем военном хозяйство, заставляет серьезно ставить этот вопрос и здесь. Нам бьшо неприятно выслушивать справедливую критику контрольных органов, указывавших на промахи, проступки и неряшество в нашем хозяйстве, но будет еще более неприятно, если война застанет нас с неустроенным тылом. Нам придется серьезно и дорого заплатить за это. Воевать без хорошо налаженного военного хозяйства, прекрасно работающего хозяйственного аппарата, совершенно невозможно. Хороший, крепкий тыл — залог успехов и побед. А у нас немало людей, которые, увлекаясь подготовкой боевой части своих соединений, забывают об этой аксиоме, забывают, что без надежного тыла самые лучшие войска ничего сделать не смогут.</w:t>
      </w:r>
    </w:p>
    <w:p w14:paraId="34BF0B9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1936 г. необходимо вопросам хозяйства уделять столь же серьезное внимание, как и другим вопросам подготовки войск.</w:t>
      </w:r>
    </w:p>
    <w:p w14:paraId="202D235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Несколько слов </w:t>
      </w:r>
      <w:r w:rsidRPr="00E14102">
        <w:rPr>
          <w:rStyle w:val="a3"/>
          <w:b w:val="0"/>
          <w:color w:val="000000" w:themeColor="text1"/>
          <w:sz w:val="16"/>
          <w:szCs w:val="16"/>
        </w:rPr>
        <w:t xml:space="preserve">о Дальнем Востоке. </w:t>
      </w:r>
      <w:r w:rsidRPr="00E14102">
        <w:rPr>
          <w:color w:val="000000" w:themeColor="text1"/>
          <w:sz w:val="16"/>
          <w:szCs w:val="16"/>
        </w:rPr>
        <w:t>Тов. Блюхер (к сожалению, он сейчас отсутствует) сказал, что ОКДВА многого добилась, «но вот для действий наших войск в условиях горно-таежной местности мы не подготовлены и в смысле личной подготовки, и организационной». Поздравлять вас с этим, товарищи-дальневосточники, не приходится. Чему же вы тогда научились за четыре года непосредственной военной опасности, за четыре года, когда мы вам ничего не жалели и давали все вне всякой очереди? Что же, война должна была стрястись, чтобы вы по-настоящему научились воевать? Или вы хотите воевать только в низменных местах, долинах, на плоскостях? Не нужно ли договориться с японцами, в какой местности мы согласны драться и в какой не согласны? Когда они будут нашими друзьями, мы, пожалуй, договоримся и будем устраивать двухсторонние учения в местах, которые и им, и нам будут наиболее подходящими. Но пока они являются нашими злейшими врагами, нам нужно готовиться воевать в условиях, которые будут одинаковыми и для нас, и для них. Больше того: мы должны готовиться так, чтобы в любых условиях драться несравненно лучше, чем японцы. Японцы, таков характер местности их метрополии, больше всего готовятся в горах, лесисто-болотистых местах. Почему же вы отстаете с этим делом? Тов. Мерецков и другие товарищи рассказывали, как они проводили учение в горах, рассказывали о курьезах, как части путались, не могли найти одна другую. Семен Михайлович раздраженно бросил реплику: если вы параллельными ущельями идете, вы, конечно, никогда не встретите друг друга, потому что эти ущелья разделяются хребтами.</w:t>
      </w:r>
    </w:p>
    <w:p w14:paraId="7EB14E8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lastRenderedPageBreak/>
        <w:t>Вот в том-то и беда, что люди вместо того, чтобы сперва самим поездить по местности, изучить ее так, как сделал т. Якир, при подготовке Киевских маневров, выступают сразу на местность с массой людей, лошадей, с танками, артиллерией и прочее и пытаются без должной предварительной подготовки разыграть сражения и с налета разрешить сложные задачи боевой подготовки. Тов. Якир с командным составом рекогносцировал местность по-настоящему, несколько раза потом начальники хорошо разыграли на ней маневр. На учениях, пока войска и командиры должным образом не подготовлены, так и надо поступать. Да и вообще, кто и где говорил, что учения надо сразу начинать на местности с целыми соединениями войск? Это просто неправильно. Необходимо сначала и на картах, и на местности проверить и подготовить начальников, произвести внимательную рекогносцировку, тогда и учения с войсками дадут хорошие результаты.</w:t>
      </w:r>
    </w:p>
    <w:p w14:paraId="731EFC1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Ничего этого т. Мерецков с Иваном Федоровичем (Федько) не предусмотрели и не сделали. Все шло, я думаю, как обычно в таких случаях делается — размалевали карты, наметили маршруты на картах, даже рассчитали время и двинулись. А до этого учили войска и командиров вокруг своих казарм. Ну, войска и пошли, а в результате, вы слышали здесь, полк оторвался, и два дня не могли его найти. Если бы вы, товарищи, по-настоящему разведали местность, да еще с командирами дивизий, полков и, может быть, батальонов, вы бы даже то, о чем сказал Семен Михайлович, могли бы опровергнуть, потому что все эти параллельно идущие ущелья, разделенные хребтами, все-таки в каких-то точках имеют маленькие проходы. Войска вместо блужданий действительно учились бы боевым действиям в горно-лесистой местности, внезапным налетам на противника из таких мест, откуда их никто не мог ожидать. Вы хоть бы прочитали Арсеньева «В дебрях Уссурийского края»</w:t>
      </w:r>
      <w:r w:rsidRPr="00E14102">
        <w:rPr>
          <w:color w:val="000000" w:themeColor="text1"/>
          <w:sz w:val="16"/>
          <w:szCs w:val="16"/>
          <w:vertAlign w:val="superscript"/>
        </w:rPr>
        <w:t>97</w:t>
      </w:r>
      <w:r w:rsidRPr="00E14102">
        <w:rPr>
          <w:color w:val="000000" w:themeColor="text1"/>
          <w:sz w:val="16"/>
          <w:szCs w:val="16"/>
        </w:rPr>
        <w:t xml:space="preserve"> — и то многому научились бы. Он там прекрасно описывает условия гор и тайги Приморья, дает много конкретных данных об ущельях, об их характере, о таежных болотах, о районе озера Ханка, об общем характере местности.</w:t>
      </w:r>
    </w:p>
    <w:p w14:paraId="06B9F73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Люди сидят, работают много, учат войска «по-европейски», а свой театр знают плохо и недостаточно задумываются над тем, как возможно лучше воевать именно в своих конкретных условиях. В 1936 г. нужно это исправить. Если бы вы по-настоящему полазили по тайге и горам, изучили бы как следует пару направлений, то даже и этого достаточно, чтобы иметь общее представление о характере и особенностях и других рядом лежащих горно-лесных массивов. Нужно обучать войска, ни на одну минуту не забывая о конкретной своей действительности, об особенностях своего театра и своего противника.</w:t>
      </w:r>
    </w:p>
    <w:p w14:paraId="274DD25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вовсе не собираюсь отрицать успехи, которые имеет ОКДВА в боевой подготовке. Нужно отдать справедливость, вы сейчас выглядите гораздо лучше, чем два года или даже год тому назад. Достижения у вас значительные, и то, что вы полезли в горы, поняли, что этим делом нужно заниматься, — это очень хорошо. Но вот благодаря тому, что до того в горы и в тайгу как следует не лазили, один раз полезли, испугались и теперь кричат караул, — нужно в корне реорганизовать армию и т.д. Вместо заботы о том, как лучше на будущий год готовить войска и организовывать учения в горно-лесистом районе, в болотах, спорят вокруг одного — как реорганизовать армию.</w:t>
      </w:r>
    </w:p>
    <w:p w14:paraId="6F8C54B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Одни хотят перестроить всю армию, перевести ее на вьюки, весь обоз выбросить, переделать оружие и т.д. Эта крайняя «партия» ведет борьбу против «умеренного» течения, которое считает, что какую-то часть армии нужно переделать, но все-таки увлекаться нечего, потому что на дальневосточном театре не все направления одинаковы. Это правильно. Характер театра военных действий вовсе не одинаков, скажем, в Приморье и на Сунгарийском направлении или в районе Благовещенска. Есть направление и за горами, и за Амуром — в Маньчжурии, о чем мы должны думать не меньше, чем о своей приграничной территории. Есть и такие районы, где характер действий мало будет отличен от типичных наших западных направлений. Поэтому рьяные организационные увлечения излишни, они, во-первых, неверны по существу, а кроме того, отвлекают от тех конкретных и нужных задач, которые вы сами совершенно правильно перед собой ставите для быстрейшего разрешения. Вместе с тем мы примем все меры, чтобы возможно более продуманно внести поскорее необходимые организационные поправки, где это требуется, и обеспечить вас в нужных пределах горной амуницией.</w:t>
      </w:r>
    </w:p>
    <w:p w14:paraId="759BA269" w14:textId="77777777" w:rsidR="006161A5" w:rsidRPr="00E14102" w:rsidRDefault="006161A5"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hAnsi="Times New Roman" w:cs="Times New Roman"/>
          <w:b w:val="0"/>
          <w:color w:val="000000" w:themeColor="text1"/>
          <w:sz w:val="16"/>
          <w:szCs w:val="16"/>
          <w:lang w:val="ru-RU"/>
        </w:rPr>
        <w:t>О морских силах</w:t>
      </w:r>
    </w:p>
    <w:p w14:paraId="6EB2888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К сожалению, в этом году я лишен был возможности побывать на морях, но по докладам и начальника Морских сил, и командующих флотами, и по тем неприятностям, о которых мы получали с морей сведения, мы все-таки более или менее осведомлены о том, что в наших флотах происходит.</w:t>
      </w:r>
    </w:p>
    <w:p w14:paraId="522DBDE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Нужно отдать справедливость т. Викторову и его заместителям тт. Окуневу и Кирееву, что лучше всего боевая подготовка идет на</w:t>
      </w:r>
    </w:p>
    <w:p w14:paraId="3FDA11D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Дальнем Востоке. Невзирая на то что Тихоокеанский флот находится в более трудных условиях, чем другие, — и в смысле отдаленности от центра, и в материальном отношении, и просто по своей молодости, — постановка дела, успехи в боевой подготовке у т. Викторова лучше, чем на других морях.</w:t>
      </w:r>
    </w:p>
    <w:p w14:paraId="2BEA57C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Правда, т. Викторову дали хороших людей, отобрали лучшее, что было на Черном и Балтийском морях, но благодаря и тому, что сам т. Викторов человек напористый и знающий дело, им всем вместе удалось за короткое время создать настоящий боевой флот. Мы даже не представляем себе еще ясно, что это значит. Это значит, что наши недруги с Востока немного чувствуют себя со связанными руками. Несколько десятков хороших подлодок в руках хорошо организованных и умело управляющих ими команд — это немалая сила. Если т. Викторов будет продолжать боевую подготовку в том же духе, теми же методами, как он это делал совершенно правильно до сих пор, думаю, что на случай войны японцы будут очень осторожно действовать с моря и не особенно будут спокойны также за свои коммуникации.</w:t>
      </w:r>
    </w:p>
    <w:p w14:paraId="5836CA8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А скоро у них «ленинцы» начнут ходить.</w:t>
      </w:r>
    </w:p>
    <w:p w14:paraId="49059230"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Скоро Тихоокеанский флот получит корабли большого водоизмещения и большой боевой силы со значительным радиусом действия и автономностью. Так вот, если дело будет и дальше развиваться в том же направлении, а иначе оно не должно быть, то на Тихом океане все будет более или менее благополучно. И если у вас, т. Викторов, там имеются «пацифистские» настроения, о чем вы здесь сообщили, их нужно ликвидировать возможно скорее, как следует.</w:t>
      </w:r>
    </w:p>
    <w:p w14:paraId="75C604C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Правительство и мы все в меру сил делаем все, чтобы в кратчайшие сроки еще более усилить Тихоокеанский флот и подводными, и надводными, и воздушными силами, и береговой обороной.</w:t>
      </w:r>
    </w:p>
    <w:p w14:paraId="48B2B2E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Конечно, недочеты и у т. Викторова есть. Он о них здесь говорил, но тем не менее успехи на Дальнем Востоке у нас более заметны, чем недочеты. Это не может не радовать. Но это не должно кружить голову тихоокеанцев. Вам нужно работать еще больше и еще лучше.</w:t>
      </w:r>
    </w:p>
    <w:p w14:paraId="0A86ACD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 Черном море в этом году велась напряженная работа по боевой подготовке, по сколачиванию кораблей и соединений, и надо сказать, что отдельные корабли там действительно работают прекрасно. В частности, выделяется, по всем сведениям, «Червона Украина».</w:t>
      </w:r>
    </w:p>
    <w:p w14:paraId="6BA0F11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Но все-таки недочетов у т. Кожанова еще очень много. Был и один несчастный случай — тяжелый самолет вылетел и погиб, и они долго не знали даже, где он погиб.</w:t>
      </w:r>
    </w:p>
    <w:p w14:paraId="184EFD4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 плохой постановке дела в штабе т. Кожанова т. Орлов уже упомянул в своем докладе.</w:t>
      </w:r>
    </w:p>
    <w:p w14:paraId="2956ECC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считаю нужным сообщить вам о таком случае. Мне нужно было вызвать по боевой тревоге крейсер к Кавказскому побережью. Я дал соответствующую шифровку, которая была немедленно доставлена в Севастополь, и все же крейсер вышел с опозданием больше чем на полсуток. Если бы, отправив телеграмму, я не приказал одновременно связаться с Москвой и если бы оттуда управляющий делами НКО т. Смородинов все время по телефону не подталкивал штаб флота, чтобы он немедля высылал крейсер, опоздание бьшо бы безусловно большим. Почему это произошло? Это произошло потому, что, получив срочную шифровку, дежурный шифровальщик отложил ее до утра, дежурный по штабу его не подтолкнул, не проверил и никому не доложил. В результате начальство флота не знало о полученном срочном приказании. Вы представляете, что это за безобразие. Ну, а если бы в Черное море вошли корабли противника, да не для прогулки, а по делам более серьезным, что бьшо бы тогда? Что бьшо бы, если бы на нас напали и напали бы не там, где вы живете — в Севастополе, а где-нибудь в другом месте, например, где наши нефтепроводы, а сообщения о появлении кораблей противника лежали бы в недрах канцелярий и не доходили многими часами до командования? Чего стоит такое управление?</w:t>
      </w:r>
    </w:p>
    <w:p w14:paraId="06C738D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Я должен вообще сказать, что до сих пор еще (я нашим морякам и в приказе, и устно много раз это указывал) меня очень беспокоит служба боевого управления в целом: и работа штабов флотов и соединений, и служба управления на кораблях. В этом деле у моряков много еще недоработано, нет четкости, нужной здесь в максимальной степени.</w:t>
      </w:r>
    </w:p>
    <w:p w14:paraId="23DB29D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 Балтийском флоте, нужно отдать ему справедливость, не может быть без несчастных случаев, без многочисленных жертв. Они были в прошлом году, были и в этом году. Несчастные случаи характеризуют, конечно, управление.</w:t>
      </w:r>
    </w:p>
    <w:p w14:paraId="29E1631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Вы, дорогие товарищи, управляющие нашим Балтийским Краснознаменным флотом, замечательные люди, и Лев Михайлович Галлер, и Александр Сергеевич Гришин, замечательные у вас имена и отчества, а работа у вас неважная.</w:t>
      </w:r>
    </w:p>
    <w:p w14:paraId="46A258F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этом году собственную подлодку собственным линкором разрезали и утопили при самых диких, невероятных обстоятельствах. Это дело мы с т. Орловым лично разбирали. Погубили на этой подлодке 55 чел.</w:t>
      </w:r>
      <w:hyperlink r:id="rId338" w:anchor="_ftn2" w:history="1">
        <w:r w:rsidRPr="00E14102">
          <w:rPr>
            <w:rStyle w:val="a4"/>
            <w:color w:val="000000" w:themeColor="text1"/>
            <w:sz w:val="16"/>
            <w:szCs w:val="16"/>
          </w:rPr>
          <w:t>[2]</w:t>
        </w:r>
      </w:hyperlink>
      <w:r w:rsidRPr="00E14102">
        <w:rPr>
          <w:color w:val="000000" w:themeColor="text1"/>
          <w:sz w:val="16"/>
          <w:szCs w:val="16"/>
        </w:rPr>
        <w:t>, а в 1933 г. 68 чел. погубили на «Марате». И оба раза — только из-за безобразной организации дела, непродуманности в работе, в командовании, в управлении. Линкор и то ухитрились у себя под носом, недалеко от Кронштадта, посадить на камни, повредили дно и рисковали очень многим. Оказалось потом, что промеры недавно были произведены, об опасности плавания в этом районе и об этих самых злополучных камнях были все данные, но бумажки лежали где-то под сукном в канцелярии. Не говорю уже о мелких безобразиях, какие у них творятся, и не в малом количестве. Я думаю, что этому нужно положить конец, т. Орлов.</w:t>
      </w:r>
    </w:p>
    <w:p w14:paraId="5D3BFB1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Орлов.</w:t>
      </w:r>
      <w:r w:rsidRPr="00E14102">
        <w:rPr>
          <w:color w:val="000000" w:themeColor="text1"/>
          <w:sz w:val="16"/>
          <w:szCs w:val="16"/>
        </w:rPr>
        <w:t xml:space="preserve"> Правильно.</w:t>
      </w:r>
    </w:p>
    <w:p w14:paraId="611D32E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 этом не только они виноваты, но и мы с вами, а вы, возглавляющий Морские силы, виноваты не меньше, чем они.</w:t>
      </w:r>
    </w:p>
    <w:p w14:paraId="383741B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Меня спрашивали в правительстве и в ЦК: будет ли конец этим безобразиям? Я давал обещания, что будет, но уверенности у меня нет. И на 1936 г. и т. Кожанову, и т. Галлеру, и т. Гугину, и т. Гришину нужно свою работу планировать таким образом, чтобы ни при каких условиях ничего подобного не было.</w:t>
      </w:r>
    </w:p>
    <w:p w14:paraId="3AE16D0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Вы посмотрите — работает т. Викторов, боюсь сглазить его, в более трудных условиях: безусловно, у него трудностей больше, приходится «елозить» по Японскому морю при штормах и бурях, пока только одну подлодку посадил, не знаю, снял уже или нет.</w:t>
      </w:r>
    </w:p>
    <w:p w14:paraId="7520E4C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Голос с места.</w:t>
      </w:r>
      <w:r w:rsidRPr="00E14102">
        <w:rPr>
          <w:color w:val="000000" w:themeColor="text1"/>
          <w:sz w:val="16"/>
          <w:szCs w:val="16"/>
        </w:rPr>
        <w:t xml:space="preserve"> Нет.</w:t>
      </w:r>
    </w:p>
    <w:p w14:paraId="09F4D54D"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Значит, насадил как следует, хорошо, что без человеческих жертв. Если можно на Тихом океане, в условиях несравненно более трудных, чем на Балтике и Черном море, вести работу более или менее нормально, то и вы можете организовать дело так, чтобы безобразий не иметь.</w:t>
      </w:r>
    </w:p>
    <w:p w14:paraId="10A790F7" w14:textId="77777777" w:rsidR="006161A5" w:rsidRPr="00E14102" w:rsidRDefault="006161A5" w:rsidP="00E14102">
      <w:pPr>
        <w:pStyle w:val="ad"/>
        <w:spacing w:before="0" w:after="0"/>
        <w:rPr>
          <w:rFonts w:ascii="Times New Roman" w:hAnsi="Times New Roman" w:cs="Times New Roman"/>
          <w:color w:val="000000" w:themeColor="text1"/>
          <w:sz w:val="16"/>
          <w:szCs w:val="16"/>
          <w:lang w:val="ru-RU"/>
        </w:rPr>
      </w:pPr>
      <w:r w:rsidRPr="00E14102">
        <w:rPr>
          <w:rStyle w:val="a3"/>
          <w:rFonts w:ascii="Times New Roman" w:hAnsi="Times New Roman" w:cs="Times New Roman"/>
          <w:b w:val="0"/>
          <w:color w:val="000000" w:themeColor="text1"/>
          <w:sz w:val="16"/>
          <w:szCs w:val="16"/>
          <w:lang w:val="ru-RU"/>
        </w:rPr>
        <w:lastRenderedPageBreak/>
        <w:t>Об учете</w:t>
      </w:r>
    </w:p>
    <w:p w14:paraId="07710AB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Товарищи командующие и начальники управлений, вникните в эту механику. Изучите это дело и все, что мешает вам знать по-настоящему, что представляет собой ваш округ, а нам здесь в центре, что представляет собой наша армия и в людском, и в материальном отношении, и давайте все, что не соответствует нашим потребностям в смысле учета, совместными усилиями устраним. Дело должно быть организовано таким образом, чтобы в низовых звеньях каждодневно знать, а в высших штабах — в определенные периоды времени точно все, что у нас есть. Пока это дело у нас поставлено неудовлетворительно.</w:t>
      </w:r>
    </w:p>
    <w:p w14:paraId="16B567DA" w14:textId="77777777" w:rsidR="006161A5" w:rsidRPr="00E14102" w:rsidRDefault="006161A5" w:rsidP="00E14102">
      <w:pPr>
        <w:pStyle w:val="rtejustify"/>
        <w:spacing w:before="0" w:after="0"/>
        <w:rPr>
          <w:color w:val="000000" w:themeColor="text1"/>
          <w:sz w:val="16"/>
          <w:szCs w:val="16"/>
        </w:rPr>
      </w:pPr>
      <w:r w:rsidRPr="00E14102">
        <w:rPr>
          <w:rStyle w:val="a3"/>
          <w:b w:val="0"/>
          <w:color w:val="000000" w:themeColor="text1"/>
          <w:sz w:val="16"/>
          <w:szCs w:val="16"/>
        </w:rPr>
        <w:t xml:space="preserve">Вопросы строительства. </w:t>
      </w:r>
      <w:r w:rsidRPr="00E14102">
        <w:rPr>
          <w:color w:val="000000" w:themeColor="text1"/>
          <w:sz w:val="16"/>
          <w:szCs w:val="16"/>
        </w:rPr>
        <w:t>Тов. Левензон доложил вам решения правительства о снижении себестоимости строительства, доложил и предлагаемые им мероприятия по выполнению этих решений. Я очень боюсь, как бы нам не сорваться в этом деле. Не знаю, как думает т. Левензон полностью провести все эти мероприятия, если он вместе с округами не обеспечит снижение стоимости соответствующими резервами. Ведь помимо транспорта, помимо норм и целого ряда мероприятий, которые вы здесь правильно указываете, нужно иметь еще какие-то резервы, за счет которых надлежит снизить стоимость строительства. Я рекомендую очень внимательно подумать о резервах.</w:t>
      </w:r>
    </w:p>
    <w:p w14:paraId="485DC75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У нас людей на стройках больше, чем нужно, — вот главный резерв. А содержание людей и плохая работа людей, низкая производительность труда стоят дороже всего. Вы говорите (</w:t>
      </w:r>
      <w:r w:rsidRPr="00E14102">
        <w:rPr>
          <w:rStyle w:val="a6"/>
          <w:i w:val="0"/>
          <w:color w:val="000000" w:themeColor="text1"/>
          <w:sz w:val="16"/>
          <w:szCs w:val="16"/>
        </w:rPr>
        <w:t>обращаясь к т. Левензону),</w:t>
      </w:r>
      <w:r w:rsidRPr="00E14102">
        <w:rPr>
          <w:color w:val="000000" w:themeColor="text1"/>
          <w:sz w:val="16"/>
          <w:szCs w:val="16"/>
        </w:rPr>
        <w:t xml:space="preserve"> что хотите сокращать. Нужно пойти по этой линии. Но зато нужно заботиться о тех людях, которые у нас будут работать. Нужно их обеспечить и устроить. Хорошо платите меньшему количеству, обеспечьте, чтобы ваши строители жили в уюте и довольстве, и они будут лучше и больше работать. В конце концов, это даст удешевление. Кроме того, надо, наконец, решительно на деле, а не разговорами, пойти по линии механизации, которой очень еще мало на наших стройках. Нужно учить людей хорошо владеть строительными механизмами. Это тоже важнейший резерв. Очень хорошо, что вы верите, что на 14% можно сократить, но верите пока что вы только.</w:t>
      </w:r>
    </w:p>
    <w:p w14:paraId="50B5812A"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Гамарник.</w:t>
      </w:r>
      <w:r w:rsidRPr="00E14102">
        <w:rPr>
          <w:color w:val="000000" w:themeColor="text1"/>
          <w:sz w:val="16"/>
          <w:szCs w:val="16"/>
        </w:rPr>
        <w:t xml:space="preserve"> Он обязан верить.</w:t>
      </w:r>
    </w:p>
    <w:p w14:paraId="5E290E4F"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Он обязан верить потому, что ему приказывают, а я не знаю, как думают командующие. Вы потребовали, чтобы командующие не удорожали строительства? Не знаю, как т. Якир, но т. Уборе-вич развернул фронт строительства в 1935 г. не только по программе, установленной на этот год, но и в счет 1936 г. А вы (</w:t>
      </w:r>
      <w:r w:rsidRPr="00E14102">
        <w:rPr>
          <w:rStyle w:val="a6"/>
          <w:i w:val="0"/>
          <w:color w:val="000000" w:themeColor="text1"/>
          <w:sz w:val="16"/>
          <w:szCs w:val="16"/>
        </w:rPr>
        <w:t>обращаясь к т. Уборевичу)</w:t>
      </w:r>
      <w:r w:rsidRPr="00E14102">
        <w:rPr>
          <w:color w:val="000000" w:themeColor="text1"/>
          <w:sz w:val="16"/>
          <w:szCs w:val="16"/>
        </w:rPr>
        <w:t xml:space="preserve"> не имели права ничего сверх плана строить. Это нужно запретить, так как, если вы позволите людям увлечься и развертывать строительство сверх плана, у вас много будет начато, но мало закончено, строительство затянется и даст большое удорожание. Имейте в виду, что мы будем ЦК конкретно докладывать — Уборевич вот на столько-то и настолько-то не справился, Якир справился на столько-то, перевыполнил, ура ему. Насчет того, кто выполнил и кто нет, это в речи так говорится, а на деле может быть наоборот: Якир не справился, а Уборевич перевыполнил, ему ура. Мы будем принимать все меры, чтобы вам помогать. Но в то же время мы будем все время следить, кто и как строит.</w:t>
      </w:r>
    </w:p>
    <w:p w14:paraId="6816D5AC"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Уборевич.</w:t>
      </w:r>
      <w:r w:rsidRPr="00E14102">
        <w:rPr>
          <w:color w:val="000000" w:themeColor="text1"/>
          <w:sz w:val="16"/>
          <w:szCs w:val="16"/>
        </w:rPr>
        <w:t xml:space="preserve"> Имейте в виду, что мы каждый месяц по 5—7 дней стояли, снабжение материалами бьшо плохое.</w:t>
      </w:r>
    </w:p>
    <w:p w14:paraId="4F1013AE"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Ворошилов.</w:t>
      </w:r>
      <w:r w:rsidRPr="00E14102">
        <w:rPr>
          <w:color w:val="000000" w:themeColor="text1"/>
          <w:sz w:val="16"/>
          <w:szCs w:val="16"/>
        </w:rPr>
        <w:t xml:space="preserve"> Все эти вопросы надо как следует обсудить и рассчитать все точно. В 1936 г. мы обязаны построить хорошо на 2 млрд 400 млн по ценам 1935 г., получив на это денег на 14% меньше. Это нужно всем запомнить.</w:t>
      </w:r>
    </w:p>
    <w:p w14:paraId="36CFDF2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Последний вопрос. Я получил записку от т. Максимова, начальника 7-го отдела штаба. Тов. Максимов справедливо сетует на то, что мы мало замечаем такую, казалось бы, небольшую, но очень важную службу, какой является служба топографическая. Я с ним согласен. Среди наших топографов есть люди, которых надо наградить. Мы постараемся это сделать, думаю, что и правительство с этим согласится. За один год они проделали топографическую съемку в несколько сот тысяч квадратных километров, по площади, равной целой Франции. Работа наших военных топографов проводилась в самых тяжелых условиях, часто в местах, где на карте были белые пятна. Кроме того, есть большие успехи по аэротопографии и фотограмметрии, которые нужно энергично использовать в боевой подготовке войск. Я считаю, что на работу т. Максимова и его людей мы должны обратить серьезное внимание и поощрять их. Топографы дают нам сейчас много полезных вещей и для армии в целом, и для укрепрайонов, и для артиллерии, и для авиации в частности.</w:t>
      </w:r>
    </w:p>
    <w:p w14:paraId="5FB0354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Кончаю. На 1936 г. перед нами стоят те же основные задачи, что и в истекшем году, только еще более усложненные.</w:t>
      </w:r>
    </w:p>
    <w:p w14:paraId="05F7DBE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 1936 г. мы должны четко указать войскам не только их задачи, не только, что им надлежит делать, но возможно основательнее указать и методы, как надлежит работать, чтобы получить наибольшие успехи. У нас накопилось очень много замечательного опыта и замечательных примеров. Надо быстрее распространять лучший опыт и образцы работы лучших людей на всю армию. (</w:t>
      </w:r>
      <w:r w:rsidRPr="00E14102">
        <w:rPr>
          <w:rStyle w:val="a6"/>
          <w:i w:val="0"/>
          <w:color w:val="000000" w:themeColor="text1"/>
          <w:sz w:val="16"/>
          <w:szCs w:val="16"/>
        </w:rPr>
        <w:t>Аплодисменты всего зала.)</w:t>
      </w:r>
    </w:p>
    <w:p w14:paraId="10BBE5D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Вряд ли целесообразно зачитывать сейчас проекты приказов на 1936 г. В комиссиях ведь работали почти все участники совещания.</w:t>
      </w:r>
    </w:p>
    <w:p w14:paraId="136E2AE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Нужно поручить председателям комиссий вместе с моими заместителями и начальником Генерального штаба еще раз прочитать и выправить эти проекты. Потом мы дадим приказы по всем обсуждавшимся здесь вопросам.</w:t>
      </w:r>
    </w:p>
    <w:p w14:paraId="04717F3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Заседание объявляю закрытым.</w:t>
      </w:r>
    </w:p>
    <w:p w14:paraId="11296461" w14:textId="77777777" w:rsidR="006161A5" w:rsidRPr="00E14102" w:rsidRDefault="006161A5"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РГВА. Ф. 4. Оп. 18. Д. 52. Л. 157-168.</w:t>
      </w:r>
    </w:p>
    <w:p w14:paraId="7BFC8E17" w14:textId="77777777" w:rsidR="006161A5" w:rsidRPr="00E14102" w:rsidRDefault="00E14102" w:rsidP="00E14102">
      <w:pPr>
        <w:pStyle w:val="ad"/>
        <w:spacing w:before="0" w:after="0"/>
        <w:rPr>
          <w:rFonts w:ascii="Times New Roman" w:hAnsi="Times New Roman" w:cs="Times New Roman"/>
          <w:color w:val="000000" w:themeColor="text1"/>
          <w:sz w:val="16"/>
          <w:szCs w:val="16"/>
          <w:lang w:val="ru-RU"/>
        </w:rPr>
      </w:pPr>
      <w:hyperlink r:id="rId339" w:anchor="_ftnref1" w:history="1">
        <w:r w:rsidR="006161A5" w:rsidRPr="00E14102">
          <w:rPr>
            <w:rStyle w:val="a4"/>
            <w:rFonts w:ascii="Times New Roman" w:hAnsi="Times New Roman" w:cs="Times New Roman"/>
            <w:color w:val="000000" w:themeColor="text1"/>
            <w:sz w:val="16"/>
            <w:szCs w:val="16"/>
            <w:lang w:val="ru-RU"/>
          </w:rPr>
          <w:t>[1]</w:t>
        </w:r>
      </w:hyperlink>
      <w:r w:rsidR="006161A5" w:rsidRPr="00E14102">
        <w:rPr>
          <w:rFonts w:ascii="Times New Roman" w:hAnsi="Times New Roman" w:cs="Times New Roman"/>
          <w:color w:val="000000" w:themeColor="text1"/>
          <w:sz w:val="16"/>
          <w:szCs w:val="16"/>
          <w:lang w:val="ru-RU"/>
        </w:rPr>
        <w:t xml:space="preserve"> Сталин И.В. Сочинения. Т. 14. Март 1934—1940. С. 87.</w:t>
      </w:r>
    </w:p>
    <w:p w14:paraId="22E3F2AE" w14:textId="77777777" w:rsidR="006161A5" w:rsidRPr="00E14102" w:rsidRDefault="00E14102" w:rsidP="00E14102">
      <w:pPr>
        <w:pStyle w:val="ad"/>
        <w:spacing w:before="0" w:after="0"/>
        <w:rPr>
          <w:rFonts w:ascii="Times New Roman" w:hAnsi="Times New Roman" w:cs="Times New Roman"/>
          <w:color w:val="000000" w:themeColor="text1"/>
          <w:sz w:val="16"/>
          <w:szCs w:val="16"/>
          <w:lang w:val="ru-RU"/>
        </w:rPr>
      </w:pPr>
      <w:hyperlink r:id="rId340" w:anchor="_ftnref2" w:history="1">
        <w:r w:rsidR="006161A5" w:rsidRPr="00E14102">
          <w:rPr>
            <w:rStyle w:val="a4"/>
            <w:rFonts w:ascii="Times New Roman" w:hAnsi="Times New Roman" w:cs="Times New Roman"/>
            <w:color w:val="000000" w:themeColor="text1"/>
            <w:sz w:val="16"/>
            <w:szCs w:val="16"/>
            <w:lang w:val="ru-RU"/>
          </w:rPr>
          <w:t>[2]</w:t>
        </w:r>
      </w:hyperlink>
      <w:r w:rsidR="006161A5" w:rsidRPr="00E14102">
        <w:rPr>
          <w:rFonts w:ascii="Times New Roman" w:hAnsi="Times New Roman" w:cs="Times New Roman"/>
          <w:color w:val="000000" w:themeColor="text1"/>
          <w:sz w:val="16"/>
          <w:szCs w:val="16"/>
          <w:lang w:val="ru-RU"/>
        </w:rPr>
        <w:t xml:space="preserve"> См. примечание 16.</w:t>
      </w:r>
    </w:p>
    <w:p w14:paraId="1DE1CD76" w14:textId="77777777" w:rsidR="006161A5" w:rsidRPr="00E14102" w:rsidRDefault="006161A5" w:rsidP="00E14102">
      <w:pPr>
        <w:jc w:val="both"/>
        <w:rPr>
          <w:color w:val="000000" w:themeColor="text1"/>
          <w:sz w:val="16"/>
          <w:szCs w:val="16"/>
        </w:rPr>
      </w:pPr>
      <w:r w:rsidRPr="00E14102">
        <w:rPr>
          <w:color w:val="000000" w:themeColor="text1"/>
          <w:sz w:val="16"/>
          <w:szCs w:val="16"/>
        </w:rPr>
        <w:t>Источник: Военный совет при народном комиссаре обороны СССР. Декабрь 1935 г.: Документы и материалы. — М.: "РОССПЭН", 2008. С. 454-483</w:t>
      </w:r>
    </w:p>
    <w:p w14:paraId="7A93EFF2" w14:textId="77777777" w:rsidR="006161A5" w:rsidRPr="00E14102" w:rsidRDefault="006161A5" w:rsidP="00E14102">
      <w:pPr>
        <w:jc w:val="both"/>
        <w:rPr>
          <w:color w:val="000000" w:themeColor="text1"/>
          <w:sz w:val="16"/>
          <w:szCs w:val="16"/>
        </w:rPr>
      </w:pPr>
      <w:r w:rsidRPr="00E14102">
        <w:rPr>
          <w:color w:val="000000" w:themeColor="text1"/>
          <w:sz w:val="16"/>
          <w:szCs w:val="16"/>
        </w:rPr>
        <w:t>Архив: РГВА. Ф. 4. Оп. 18. Д. 52. Л. 157-168 (12599).</w:t>
      </w:r>
    </w:p>
    <w:p w14:paraId="18690D14" w14:textId="77777777" w:rsidR="006161A5" w:rsidRPr="00E14102" w:rsidRDefault="006161A5"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rPr>
        <w:t> </w:t>
      </w:r>
    </w:p>
    <w:p w14:paraId="11277CFA" w14:textId="77777777" w:rsidR="006161A5" w:rsidRPr="00E14102" w:rsidRDefault="006161A5" w:rsidP="00E14102">
      <w:pPr>
        <w:jc w:val="both"/>
        <w:rPr>
          <w:color w:val="000000" w:themeColor="text1"/>
          <w:sz w:val="16"/>
          <w:szCs w:val="16"/>
        </w:rPr>
      </w:pPr>
      <w:r w:rsidRPr="00E14102">
        <w:rPr>
          <w:color w:val="000000" w:themeColor="text1"/>
          <w:sz w:val="16"/>
          <w:szCs w:val="16"/>
        </w:rPr>
        <w:t>Не ранее 14 декабря 1935 г.</w:t>
      </w:r>
    </w:p>
    <w:p w14:paraId="32F24BF4" w14:textId="77777777" w:rsidR="006161A5" w:rsidRPr="00E14102" w:rsidRDefault="006161A5" w:rsidP="00E14102">
      <w:pPr>
        <w:jc w:val="both"/>
        <w:rPr>
          <w:color w:val="000000" w:themeColor="text1"/>
          <w:sz w:val="16"/>
          <w:szCs w:val="16"/>
        </w:rPr>
      </w:pPr>
      <w:r w:rsidRPr="00E14102">
        <w:rPr>
          <w:color w:val="000000" w:themeColor="text1"/>
          <w:sz w:val="16"/>
          <w:szCs w:val="16"/>
        </w:rPr>
        <w:t xml:space="preserve">8—14 декабря 1935 г. Протокол заседания Военного совета при НКО СССР </w:t>
      </w:r>
    </w:p>
    <w:p w14:paraId="14588DE9"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Присутствуют:</w:t>
      </w:r>
      <w:r w:rsidRPr="00E14102">
        <w:rPr>
          <w:color w:val="000000" w:themeColor="text1"/>
          <w:sz w:val="16"/>
          <w:szCs w:val="16"/>
        </w:rPr>
        <w:t xml:space="preserve"> тов. Ворошилов, Гамарник, Тухачевский, Буденный, Егоров, Блюхер, Алкснис, Амелин, Апанасенко, Аппога, Аронштам, Баранов, Белов, Булин, Василенко, Векличев, Великанов, Викторов, Галлер, Гарькавый, Гайлит, Германович, Горбачев, Грибов, Грязнов, Гугин, Гришин, Дубовый, Дыбенко, Ефимов, Ингаунис, Иппо, Казанский, Каменев, Каширин, Кожанов, Корк, Кулик, Кучинский, Ковтюх, Криворучко, Кутяков, Лапин, Левандовский, Левичев, Лудри, Меженинов, Мезис, Мерецков, Обысов, Орлов, Ошлей, Осепян, Петин, Примаков, Прокофьев, Рогове кий, Седякин, Славин, Смирнов, Тимошенко, То-дорский, Ткачев И.Ф., Туровский, Уборевич, Урицкий, Федько, Фельдман, Фишман, Халепский, Хрулев, Хрипин, Шапошников, Шестаков, Шифрес, Штерн, Эйдеман, Якир, Ярцев.</w:t>
      </w:r>
    </w:p>
    <w:p w14:paraId="2448D4F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Приглашены:</w:t>
      </w:r>
      <w:r w:rsidRPr="00E14102">
        <w:rPr>
          <w:color w:val="000000" w:themeColor="text1"/>
          <w:sz w:val="16"/>
          <w:szCs w:val="16"/>
        </w:rPr>
        <w:t xml:space="preserve"> тов. Базилевич, Бергстрем, Березкин, Богомягков, Быстрых, Вольпе, Гай, Душенов, Жильцов, Зиновьев, Ильин, Каль-пус, Кожевников, Косич, Куйбышев, Лавров, Ланда, Левензон, Лонгва, Максимов, Неронов, Никольский, Панцержанский, Паш-ковский, Петухов, Рымшан, Смирнов П.И., Ткалун, Ткачев М.Л., Троянкер, Ульрих, Фриновский, Харитонов, Хаханьян, Щаденко.</w:t>
      </w:r>
    </w:p>
    <w:p w14:paraId="191E35B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п. 3 — тов. Авиновицкий, Дроздов, Карасик, Могилевкин, Ольшевский, Розынко, Сакриер, Середин, Смирнов С.С.</w:t>
      </w:r>
    </w:p>
    <w:p w14:paraId="36FE586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По п. 4 и 5 — тов. Вайнер Л.Я., Дзыза, Гусарев, Горшков, Козловский, Михайлин, Павлов, Пачкин, Перцовский, Рабинович, Сава-ненков.</w:t>
      </w:r>
    </w:p>
    <w:p w14:paraId="56919153"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Слушали:</w:t>
      </w:r>
    </w:p>
    <w:p w14:paraId="2981024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1. Итоги боевой и политической подготовки за 1935 г. и задачи на 1936 г.</w:t>
      </w:r>
    </w:p>
    <w:p w14:paraId="55424C6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Доклады А.И. Егорова, Я.Б. Гамарника, В.М. Орлова.</w:t>
      </w:r>
    </w:p>
    <w:p w14:paraId="6B7A75C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прениях выступили: Дыбенко, Фишман, Халепский, Великанов, Горбачев, Федько, Роговский, Каширин, Левандовский, Дубовой, Гарькавый, Шапошников, Викторов, Гайлит, Грязнов, Уборевич, Алкснис, Якир, Кожанов, Галлер, Лавров, Меженинов, Тухачевский, Душенов, Косич, Хрипин, Шестаков, Буденный, Кучинский, Левичев, Эйдеман, Мезис, Лапин, Грибов, Ку-тяков, Блюхер, Бергстрем, Седякин, Примаков, Мерецков, Максимов, Гугин, Петин, Аронштам.</w:t>
      </w:r>
    </w:p>
    <w:p w14:paraId="5405CD2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2. Авиационные вопросы:</w:t>
      </w:r>
    </w:p>
    <w:p w14:paraId="7D9D2ED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а) система оперативно-тактической подготовки высшего комсостава и штабов;</w:t>
      </w:r>
    </w:p>
    <w:p w14:paraId="121B7CE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б) управление (разведка, связь, штурманская и метеослужбы);</w:t>
      </w:r>
    </w:p>
    <w:p w14:paraId="4393486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воздушный бой;</w:t>
      </w:r>
    </w:p>
    <w:p w14:paraId="044DE19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г) огневое дело;</w:t>
      </w:r>
    </w:p>
    <w:p w14:paraId="3AD3A0C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 тыл;</w:t>
      </w:r>
    </w:p>
    <w:p w14:paraId="63CC3DC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е) вузы.</w:t>
      </w:r>
    </w:p>
    <w:p w14:paraId="2D6BA1D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Доклад т. Я.И. Алксниса</w:t>
      </w:r>
    </w:p>
    <w:p w14:paraId="152C69B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прениях выступили: Каменев, Ткачев И.Ф., Ингаунис, Тодор-ский, Бергстрем, Меженинов, Лавров, Якир, Хрипин, Тухачевский, Лапин, Лонгва.</w:t>
      </w:r>
    </w:p>
    <w:p w14:paraId="63E00BD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3. Мероприятия по улучшению эксплуатации, хранения и сбережения оружия, боеприпасов и технического имущества:</w:t>
      </w:r>
    </w:p>
    <w:p w14:paraId="2533DF3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а) в войсках;</w:t>
      </w:r>
    </w:p>
    <w:p w14:paraId="5207618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б) на складах.</w:t>
      </w:r>
    </w:p>
    <w:p w14:paraId="003641E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Доклад т. М.Н. Тухачевского.</w:t>
      </w:r>
    </w:p>
    <w:p w14:paraId="3C8A1E8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прениях выступили: Ефимов, Мезис, Хрулев, Розынко, Ольшевский, Гайлит, Максимов, Середин, Смирнов, Бокис, Кулик, Дроздов, Роговский, Викторов, Федько.</w:t>
      </w:r>
    </w:p>
    <w:p w14:paraId="19C2911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4. Об обозно-вещевом и продовольственном снабжении РККА (выполнение постановления СНК и ЦК ВКП(б), приказов № 0059, 0060, 0145, 0190 и директивы № 294941 сс).</w:t>
      </w:r>
    </w:p>
    <w:p w14:paraId="5845ECD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Доклады Д.И. Косича, А.И. Жильцова.</w:t>
      </w:r>
    </w:p>
    <w:p w14:paraId="0D9CA04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прениях выступили: Дыбенко, Дзыза, Векличев, Буденный, Федько, Шестаков, Амелин, Ошлей, Гришин, Прокофьев, Зиновьев, Баранов, Аронштам.</w:t>
      </w:r>
    </w:p>
    <w:p w14:paraId="4CBD439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lastRenderedPageBreak/>
        <w:t>5. О мерах по выполнению постановления СНК СССР и ЦК ВКП(б) от 4.12.1935 г. в отношении удешевления строительства на 1936 г.</w:t>
      </w:r>
    </w:p>
    <w:p w14:paraId="13D5FCF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Доклад Ф.Я. Левензона.</w:t>
      </w:r>
    </w:p>
    <w:p w14:paraId="1356BA7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прениях выступили: Дзыза, Гайлит, Петин, Пачкин, Козловский, Дыбенко, Рабинович, Гусарев, Горшков, Алкснис.</w:t>
      </w:r>
    </w:p>
    <w:p w14:paraId="013D4C0B"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Постановили:</w:t>
      </w:r>
    </w:p>
    <w:p w14:paraId="279AF46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1. Создать комиссии для разработки:</w:t>
      </w:r>
    </w:p>
    <w:p w14:paraId="7E9FB67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а) Проекта приказа об итогах боевой и политической подготовки за 1935 г. и задачах на 1936 г. в составе: А.И. Егорова (председатель), Блюхера, Буденного, Якира, Уборевича, Шапошникова, Великанова, Федько, Алксниса, Халепского, Меженинова, Седякина, Орлова, Викторова, Галлера, Фишмана, Смирнова, Аронштама, Гришина, Векли-чева, Тимошенко, Ингауниса, Лапина, Осегоша, Левичева, Грязнова, Дыбенко, Булина, Лонгвы, Славина, Петина, Амелина, Роговского, Корка, Дубового, Гарькавого, Кожанова, Тухачевского, Белова.</w:t>
      </w:r>
    </w:p>
    <w:p w14:paraId="5026DEE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б) Проекта приказа по авиационным вопроса в составе: Алксниса (председатель), Якира, Уборевича, Каменева, Шапошникова, Орлова, Викторова, Кожанова, Федько, Меженинова, Хрипина, Лапина, Ингауниса, Тодорского, Бергстрема, Ткачева И.Ф., Фишмана, Лонгва, Грязнова, Лаврова, Василенко.</w:t>
      </w:r>
    </w:p>
    <w:p w14:paraId="7E42686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Перечня конкретных мероприятий по улучшению эксплуатации, хранения и сбережения оружия, боезапаса и технического имущества в войсках и на складах в составе: М.Н. Тухачевского (председатель), Уборевича, Якира, Шапошникова, Блюхера, Каширина, Гайлита, Левандовского, Викторова, Кожанова, Роговского, Ефимова, Левензона, Хрулева, Кулика, Фишмана, Орлова, Халепского, Алксниса, Лонгвы, Левичева, Мезиса, Аппоги, Петина, Горбачева, Галлера, Белова, Дубового, Розынко, Ольшевского, Дроздова, Середина, Сакриера, Бокиса, Грибова, Мерецкова.</w:t>
      </w:r>
    </w:p>
    <w:p w14:paraId="54AB6C5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г) Мероприятий по удешевлению строительства на 1936 г. (во исполнение постановления СНК и ЦК ВКП(б) от 4.12.1935 г. № 2606-429 с) в составе: Я.Б. Гамарника (председатель), Левичева, Якира, Уборевича, Блюхера, Шапошникова, Викторова, Грязнова, Дыбенко, Ошлея, Дзызы, Хрулева, Петина, Левинзона, Гусарева, Козловского, Рабиновича, Саваненкова, Пачкина, Алксниса, Халепского, Орлова, Горшкова, Павлова, Булина, Смирнова, Аппоги, Душенова.</w:t>
      </w:r>
    </w:p>
    <w:p w14:paraId="4F681F7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Комиссиям в 3-дневный срок закончить свою работу.</w:t>
      </w:r>
    </w:p>
    <w:p w14:paraId="688B2A1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2. Поручить заместителям народного комиссара армейскому комиссару 1-го ранга Я.Б. Гамарнику и Маршалу Советского Союза М.Н. Тухачевскому, начальнику Генерального штаба Маршалу Советского Союза А.И. Егорову вместе с председателями комиссий окончательно отработать проекты приказов и перечни мероприятий по всем вопросам работы комиссий и 19.12 с.г. представить на утверждение народному комиссару.</w:t>
      </w:r>
    </w:p>
    <w:p w14:paraId="3DDA6762" w14:textId="77777777" w:rsidR="006161A5" w:rsidRPr="00E14102" w:rsidRDefault="006161A5" w:rsidP="00E14102">
      <w:pPr>
        <w:pStyle w:val="rteright"/>
        <w:spacing w:before="0" w:after="0"/>
        <w:jc w:val="both"/>
        <w:rPr>
          <w:color w:val="000000" w:themeColor="text1"/>
          <w:sz w:val="16"/>
          <w:szCs w:val="16"/>
        </w:rPr>
      </w:pPr>
      <w:r w:rsidRPr="00E14102">
        <w:rPr>
          <w:color w:val="000000" w:themeColor="text1"/>
          <w:sz w:val="16"/>
          <w:szCs w:val="16"/>
        </w:rPr>
        <w:t xml:space="preserve">Народный комиссар обороны СССР Маршал Советского Союза </w:t>
      </w:r>
      <w:r w:rsidRPr="00E14102">
        <w:rPr>
          <w:rStyle w:val="a6"/>
          <w:i w:val="0"/>
          <w:color w:val="000000" w:themeColor="text1"/>
          <w:sz w:val="16"/>
          <w:szCs w:val="16"/>
        </w:rPr>
        <w:t>Ворошилов</w:t>
      </w:r>
    </w:p>
    <w:p w14:paraId="7EBCE8D3" w14:textId="77777777" w:rsidR="006161A5" w:rsidRPr="00E14102" w:rsidRDefault="006161A5"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РГВА. Ф. 4. Оп. 14. Д. 1365. Л. 78-81. Подлинник</w:t>
      </w:r>
    </w:p>
    <w:p w14:paraId="303CD8C5" w14:textId="77777777" w:rsidR="006161A5" w:rsidRPr="00E14102" w:rsidRDefault="006161A5" w:rsidP="00E14102">
      <w:pPr>
        <w:jc w:val="both"/>
        <w:rPr>
          <w:color w:val="000000" w:themeColor="text1"/>
          <w:sz w:val="16"/>
          <w:szCs w:val="16"/>
        </w:rPr>
      </w:pPr>
      <w:r w:rsidRPr="00E14102">
        <w:rPr>
          <w:color w:val="000000" w:themeColor="text1"/>
          <w:sz w:val="16"/>
          <w:szCs w:val="16"/>
        </w:rPr>
        <w:t>Источник: Военный совет при народном комиссаре обороны СССР. Декабрь 1935 г.: Документы и материалы. — М.: "РОССПЭН", 2008. С. 420-422 (12597).</w:t>
      </w:r>
    </w:p>
    <w:p w14:paraId="2954C99F" w14:textId="77777777" w:rsidR="006161A5" w:rsidRPr="00E14102" w:rsidRDefault="006161A5"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rPr>
        <w:t> </w:t>
      </w:r>
    </w:p>
    <w:p w14:paraId="34C79A4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687559A5" w14:textId="77777777" w:rsidR="00D4105E" w:rsidRPr="00E14102" w:rsidRDefault="00D4105E" w:rsidP="00E14102">
      <w:pPr>
        <w:autoSpaceDE w:val="0"/>
        <w:autoSpaceDN w:val="0"/>
        <w:adjustRightInd w:val="0"/>
        <w:jc w:val="both"/>
        <w:rPr>
          <w:iCs/>
          <w:color w:val="000000" w:themeColor="text1"/>
          <w:sz w:val="16"/>
          <w:szCs w:val="16"/>
        </w:rPr>
      </w:pPr>
    </w:p>
    <w:p w14:paraId="78FD0B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декабря 1935 президент Чехословакии Т.Массарик ушел в отставку по возрасту и его сменил Бенеш (3186).</w:t>
      </w:r>
    </w:p>
    <w:p w14:paraId="1EA836B6" w14:textId="77777777" w:rsidR="00D4105E" w:rsidRPr="00E14102" w:rsidRDefault="00D4105E" w:rsidP="00E14102">
      <w:pPr>
        <w:autoSpaceDE w:val="0"/>
        <w:autoSpaceDN w:val="0"/>
        <w:adjustRightInd w:val="0"/>
        <w:jc w:val="both"/>
        <w:rPr>
          <w:color w:val="000000" w:themeColor="text1"/>
          <w:sz w:val="16"/>
          <w:szCs w:val="16"/>
        </w:rPr>
      </w:pPr>
    </w:p>
    <w:p w14:paraId="3647A99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64154D9" w14:textId="77777777" w:rsidR="00D4105E" w:rsidRPr="00E14102" w:rsidRDefault="00D4105E" w:rsidP="00E14102">
      <w:pPr>
        <w:autoSpaceDE w:val="0"/>
        <w:autoSpaceDN w:val="0"/>
        <w:adjustRightInd w:val="0"/>
        <w:jc w:val="both"/>
        <w:rPr>
          <w:iCs/>
          <w:color w:val="000000" w:themeColor="text1"/>
          <w:sz w:val="16"/>
          <w:szCs w:val="16"/>
        </w:rPr>
      </w:pPr>
    </w:p>
    <w:p w14:paraId="436110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декабря 1935 года начальник управления ВС Алкснис утвердил Отчет о совместных полигонных и заводских испытаниях стрелкового, бомбардировочного и химического вооружения на самолете ДИ-6 в варианте штурмовика, предъявленного заводом № 39</w:t>
      </w:r>
    </w:p>
    <w:p w14:paraId="7DD522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w:t>
      </w:r>
    </w:p>
    <w:p w14:paraId="749202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Начато 31 октября 1935 года</w:t>
      </w:r>
    </w:p>
    <w:p w14:paraId="206C10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Окончено 29 ноября 1935 года</w:t>
      </w:r>
    </w:p>
    <w:p w14:paraId="6CB4CB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6EED59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 в/к 4 отдела Воротников</w:t>
      </w:r>
    </w:p>
    <w:p w14:paraId="229577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Инженер в/к 4 отдела Никольский</w:t>
      </w:r>
    </w:p>
    <w:p w14:paraId="5B141C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2D8969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Степень выполнения промышленностью тактико-технических требований, предъявляемых к стрелковому, бомбардировочному и химическому вооружению, установленному на самолете ДИ-6 в варианте штурмовика.</w:t>
      </w:r>
    </w:p>
    <w:p w14:paraId="0BA4F3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21CF0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Предъявленное заводом № 39 стрелковое и химическое вооружение на самолете ДИ-6 в варианте штурмовика полигонные испытания выдержало при условии, что в изготовлении серии самолетов должны быть устранены недостатки.</w:t>
      </w:r>
    </w:p>
    <w:p w14:paraId="3B4CCB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Полетные испытания бомбардировочного вооружения на самолете ДИ-6 в варианте штурмовика полностью не закончены вследствие порчи мотора.</w:t>
      </w:r>
    </w:p>
    <w:p w14:paraId="0C23AC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 состоит из двух пулеметных батарей по два пулемета ПВ-1 в каждой батареи, установленными по одной батарее под нижними плоскостями самолета.</w:t>
      </w:r>
    </w:p>
    <w:p w14:paraId="4FA7DB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759EB6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Химическое вооружение – прибор ВАП-6 стандартного типа модернизирован в части подвесных приспособлений и управления ……………………………….(7397, 30-57).</w:t>
      </w:r>
    </w:p>
    <w:p w14:paraId="64C06D4F" w14:textId="77777777" w:rsidR="00D4105E" w:rsidRPr="00E14102" w:rsidRDefault="00D4105E" w:rsidP="00E14102">
      <w:pPr>
        <w:autoSpaceDE w:val="0"/>
        <w:autoSpaceDN w:val="0"/>
        <w:adjustRightInd w:val="0"/>
        <w:jc w:val="both"/>
        <w:rPr>
          <w:color w:val="000000" w:themeColor="text1"/>
          <w:sz w:val="16"/>
          <w:szCs w:val="16"/>
        </w:rPr>
      </w:pPr>
    </w:p>
    <w:p w14:paraId="452E65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декабря 1935 года Начальник Управления ВС Алкснис утвердил Отчет о совместных полигонных и заводских испытаниях стрелкового, бомбардировочного и химического вооружения на самолете ДИ-6 в варианте штурмовика, предъявленного заводом N 39</w:t>
      </w:r>
    </w:p>
    <w:p w14:paraId="1FE9D5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w:t>
      </w:r>
    </w:p>
    <w:p w14:paraId="68A563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Начато 31 октября 1935 года</w:t>
      </w:r>
    </w:p>
    <w:p w14:paraId="2BF9C5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Окончено 29 ноября 1935 года</w:t>
      </w:r>
    </w:p>
    <w:p w14:paraId="282A76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00038F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Инж. в/кв. 4 отд. Воротников, Никольский.</w:t>
      </w:r>
    </w:p>
    <w:p w14:paraId="239E8F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14F65F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Степень выполнения промышленностью тактико-технических требований предъявляемых к стрелковому, бомбардировочному и химическому вооружению установленного на самолете ДИ-6 в варианте штурмовика.</w:t>
      </w:r>
    </w:p>
    <w:p w14:paraId="4AB7D7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9D874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Предъявленное заводом N 39 стрелковое и химическое вооружение на самолете ДИ-6 в варианте штурмовика - полигонные испытания выдержало, при условии, что в изготовлении серии самолетов должны быть устранены отмеченные недостатки.</w:t>
      </w:r>
    </w:p>
    <w:p w14:paraId="4FECB5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Предъявленный с самолетом ДИ-6 (в варианте штурмовика) модернизированный выливной авиационный прибор (ВАП-6) испытание выдержал как удовлетворяющий тактико-техническим требованиям.</w:t>
      </w:r>
    </w:p>
    <w:p w14:paraId="46FE34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Полетные испытания бомбардировочного вооружения на самолете ДИ-6 в варианте штурмовика полностью не закончены вследствие порчи мотора.</w:t>
      </w:r>
    </w:p>
    <w:p w14:paraId="212CF3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Дневник испытаний.</w:t>
      </w:r>
    </w:p>
    <w:p w14:paraId="549151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31.10.35 г. - стрельба из 4-х пулеметов в тире завода N 39 на безотказность действия крыльевой установки.</w:t>
      </w:r>
    </w:p>
    <w:p w14:paraId="65FD8D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1.11.35 г. - 1-й полет по маршруту Москва-Ногинск. Стрельба в воздухе.</w:t>
      </w:r>
    </w:p>
    <w:p w14:paraId="4B2C62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1.11.35 г. - 2-й полет по маршруту Москва-Ногинск. Стрельба в воздухе.</w:t>
      </w:r>
    </w:p>
    <w:p w14:paraId="00C68B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2.11.35 г. - 3-й полет по маршруту Москва-Ногинск. Полет не состоялся по причине отказа мотора.</w:t>
      </w:r>
    </w:p>
    <w:p w14:paraId="5BE4DD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3.11.35 г. - два полета по заданию 3-го полета.</w:t>
      </w:r>
    </w:p>
    <w:p w14:paraId="76205D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4.11 по 5.11.35 г. - ремонт верхних бензобаков.</w:t>
      </w:r>
    </w:p>
    <w:p w14:paraId="52A535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5.11.35 г. - земные испытания.</w:t>
      </w:r>
    </w:p>
    <w:p w14:paraId="26F938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9.11.35 г. - контрольный полет над аэродромом с заданием проверить удобство открывания пружинной ручкой бомбардировочных люков.</w:t>
      </w:r>
    </w:p>
    <w:p w14:paraId="41F406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10.11.35 г. - испытание на земле.</w:t>
      </w:r>
    </w:p>
    <w:p w14:paraId="49A198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11.11.35 г. - 3-й полет по маршруту Москва-Ногинск. Полет не состоялся.</w:t>
      </w:r>
    </w:p>
    <w:p w14:paraId="575119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12.11.35 г. - 3-й полет по маршруту Москва-Ногинск. Стрельба в воздухе.</w:t>
      </w:r>
    </w:p>
    <w:p w14:paraId="5D4889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13.11.35 г. - 4-й полет по маршруту Москва- посадка Ногинск. Стрельба в воздухе.</w:t>
      </w:r>
    </w:p>
    <w:p w14:paraId="42D810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14.11.35 г. - на земле Ногинск.</w:t>
      </w:r>
    </w:p>
    <w:p w14:paraId="760331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15.11.35 г. - на земле Ногинск.</w:t>
      </w:r>
    </w:p>
    <w:p w14:paraId="738658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16.11.35 г. - 5-й полет в районе полигона. Стрельба в воздухе.</w:t>
      </w:r>
    </w:p>
    <w:p w14:paraId="03FDC2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17.11.35 г. - 6-й полет в районе полигона. Выливание ВАПП.</w:t>
      </w:r>
    </w:p>
    <w:p w14:paraId="391F45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17.11.35 г. - 7-й полет в районе полигона. Сбрасывание корпусов бомб АО-8. Стрельба по колонне.</w:t>
      </w:r>
    </w:p>
    <w:p w14:paraId="7FCA16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17.11.35 г. - 8-й полет в районе полигона. Сбрасывание корпусов бомб АО-8.</w:t>
      </w:r>
    </w:p>
    <w:p w14:paraId="06C078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18.11.35 г. - работы на земле.</w:t>
      </w:r>
    </w:p>
    <w:p w14:paraId="20CCAE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19.11.35 г. - 9-й полет в районе Ногинска. Стрельба в воздухе.</w:t>
      </w:r>
    </w:p>
    <w:p w14:paraId="676085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20.11.35 г. - 10-й полет в районе полигона. Сбрасывание корпусов бомб АО-8.</w:t>
      </w:r>
    </w:p>
    <w:p w14:paraId="7CFCEE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21.11.35 г. - 10-й полет в районе полигона. Стрельба по колонне (3081).</w:t>
      </w:r>
    </w:p>
    <w:p w14:paraId="0E4D8544" w14:textId="77777777" w:rsidR="00D4105E" w:rsidRPr="00E14102" w:rsidRDefault="00D4105E" w:rsidP="00E14102">
      <w:pPr>
        <w:autoSpaceDE w:val="0"/>
        <w:autoSpaceDN w:val="0"/>
        <w:adjustRightInd w:val="0"/>
        <w:jc w:val="both"/>
        <w:rPr>
          <w:color w:val="000000" w:themeColor="text1"/>
          <w:sz w:val="16"/>
          <w:szCs w:val="16"/>
        </w:rPr>
      </w:pPr>
    </w:p>
    <w:p w14:paraId="4EFE3E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декабря 1935 Нач. НИИ ВВС комбриг Бажанов утвердил Отчет по гос. испытаниям ВМГ СБ-2 ИС.</w:t>
      </w:r>
    </w:p>
    <w:p w14:paraId="0AA3E7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исполнитель: и 4 отделения 3 отд. Никифоров</w:t>
      </w:r>
    </w:p>
    <w:p w14:paraId="4D02E6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035FCD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оценка ВМГ СБ 2ИС</w:t>
      </w:r>
    </w:p>
    <w:p w14:paraId="0D682F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Замер расхода горючего и определение действия высотного корректора</w:t>
      </w:r>
    </w:p>
    <w:p w14:paraId="70F455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87BAC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основании проведенных испытаний ВМГ СБ 2ИС 3 отд. НИИ ВВС считает:</w:t>
      </w:r>
    </w:p>
    <w:p w14:paraId="6B8CCB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Переохлаждение водной системы во время планирования при низких температурах и недостаточное охлаждение на взлете в летнее время не обеспечивает надежной работы моторов и снижает тактические свойства самолета.</w:t>
      </w:r>
    </w:p>
    <w:p w14:paraId="13559D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ВМГ в целом испытания прошла удовлетворительно и м.б. допущен к эксплуатации при условии устранения недостатков, указанных в сводке дефектов (2837).</w:t>
      </w:r>
    </w:p>
    <w:p w14:paraId="5699DF13" w14:textId="77777777" w:rsidR="00D4105E" w:rsidRPr="00E14102" w:rsidRDefault="00D4105E" w:rsidP="00E14102">
      <w:pPr>
        <w:autoSpaceDE w:val="0"/>
        <w:autoSpaceDN w:val="0"/>
        <w:adjustRightInd w:val="0"/>
        <w:jc w:val="both"/>
        <w:rPr>
          <w:color w:val="000000" w:themeColor="text1"/>
          <w:sz w:val="16"/>
          <w:szCs w:val="16"/>
        </w:rPr>
      </w:pPr>
    </w:p>
    <w:p w14:paraId="680FCD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декабря 1935 года Начальник Управления ВВС Алкснис утвердил Отчет по экспериментальным испытаниям опытного самолета Э-1 с мотором М-48 (изготовленного из магниевых сплавов типа “Электрон” - конструкции и постройки завода N 1 ГУАПа</w:t>
      </w:r>
    </w:p>
    <w:p w14:paraId="415102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w:t>
      </w:r>
    </w:p>
    <w:p w14:paraId="5BD778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Начато 8 октября 1935 года</w:t>
      </w:r>
    </w:p>
    <w:p w14:paraId="742A28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Окончено 28 ноября 1935 года</w:t>
      </w:r>
    </w:p>
    <w:p w14:paraId="10737F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39F01D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 - Слободчиков</w:t>
      </w:r>
    </w:p>
    <w:p w14:paraId="4B9D58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летчик – Стефановский</w:t>
      </w:r>
    </w:p>
    <w:p w14:paraId="6E6506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34AD5A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Полетные испытания самолета Э-1 и лабораторная проверка магниевых сплавов типа “Электрон” имели целью дать ответ о пригодности этих сплавов как конструктивного материала для самолетостроения и в частности, выявления коррозионной устойчивости их в условиях эксплуатации самолета на сухопутном аэродроме.</w:t>
      </w:r>
    </w:p>
    <w:p w14:paraId="79825C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полетные испытания должны были дать аэродинамическую характеристику самолета Э-1.</w:t>
      </w:r>
    </w:p>
    <w:p w14:paraId="19309E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Э-1 по своим аэродинамическим качествам не имеет чего-либо оригинального и представляет собой обычный моноплан с низко расположенным крылом. В ряду других машин легкомоторной авиации он не имеет каких-либо основных преимуществ.</w:t>
      </w:r>
    </w:p>
    <w:p w14:paraId="793EE6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применение магниевых сплавов типа “Электрон” в этом самолете сказалось в том, что отношение полезной нагрузки к полетному весу, выражающемуся цифрой 0,415 выделяет его как машину имеющую самый высокий показатель в этом отношении.</w:t>
      </w:r>
    </w:p>
    <w:p w14:paraId="7D1CC8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Следует заметить, что самолет Э-1 является опытным и в нем есть ряд элементов, которые не могут быть в серийных машинах. Кроме того при серийном производстве сама конструкция самолета будет более совершенной ……….</w:t>
      </w:r>
    </w:p>
    <w:p w14:paraId="5433DD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4C3D50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Рекомендовать постройку из магниевых сплавов 4-5 машин по своим аэродинамическим качествам стоящих на уровне современных требований к боевым самолетам, с последующим широким испытанием таковых не только на сухопутном аэродроме, но и в условиях морской авиации (3932).</w:t>
      </w:r>
    </w:p>
    <w:p w14:paraId="47CF58BC"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788C08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декабря 1935 с исх. N 3787с был направлен Отчет по испытаниям металлических винтов регулируемого в полете шага конструкции ЦИАМ на ТБ-3 4М-34РН N 22633, проведенных на заводе 22 в период с 3 сентября по 11 ноября 1935 (2933).</w:t>
      </w:r>
    </w:p>
    <w:p w14:paraId="2F22850F" w14:textId="77777777" w:rsidR="00D4105E" w:rsidRPr="00E14102" w:rsidRDefault="00D4105E" w:rsidP="00E14102">
      <w:pPr>
        <w:autoSpaceDE w:val="0"/>
        <w:autoSpaceDN w:val="0"/>
        <w:adjustRightInd w:val="0"/>
        <w:jc w:val="both"/>
        <w:rPr>
          <w:color w:val="000000" w:themeColor="text1"/>
          <w:sz w:val="16"/>
          <w:szCs w:val="16"/>
        </w:rPr>
      </w:pPr>
    </w:p>
    <w:p w14:paraId="5A575A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декабря 1935 разбился ПС-89 Э.Лавиля и А.В.Кулешова, так как сложилось ГО из-за бафтинга. Испытывался с весны 1935. Продолжили испытания на втором в 1937 (80,382).</w:t>
      </w:r>
    </w:p>
    <w:p w14:paraId="643F8574" w14:textId="77777777" w:rsidR="00D4105E" w:rsidRPr="00E14102" w:rsidRDefault="00D4105E" w:rsidP="00E14102">
      <w:pPr>
        <w:autoSpaceDE w:val="0"/>
        <w:autoSpaceDN w:val="0"/>
        <w:adjustRightInd w:val="0"/>
        <w:jc w:val="both"/>
        <w:rPr>
          <w:color w:val="000000" w:themeColor="text1"/>
          <w:sz w:val="16"/>
          <w:szCs w:val="16"/>
        </w:rPr>
      </w:pPr>
    </w:p>
    <w:p w14:paraId="73EF99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15 ноября 1935 во время заводских испытаний разрушился в воздухе перед посадкой ЗИГ-1 Э.Лавиля, А.В.Кулева и др. (438,726).</w:t>
      </w:r>
    </w:p>
    <w:p w14:paraId="49E8F4DF" w14:textId="77777777" w:rsidR="00D4105E" w:rsidRPr="00E14102" w:rsidRDefault="00D4105E" w:rsidP="00E14102">
      <w:pPr>
        <w:autoSpaceDE w:val="0"/>
        <w:autoSpaceDN w:val="0"/>
        <w:adjustRightInd w:val="0"/>
        <w:jc w:val="both"/>
        <w:rPr>
          <w:color w:val="000000" w:themeColor="text1"/>
          <w:sz w:val="16"/>
          <w:szCs w:val="16"/>
        </w:rPr>
      </w:pPr>
    </w:p>
    <w:p w14:paraId="0906DE5D"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15 декабря 1935 года письмо № 2420/ко членам КО Сталину, Орджоникидзе, Кагановичу Л.М., Межлауку В.</w:t>
      </w:r>
    </w:p>
    <w:p w14:paraId="678D56F8"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По указанию Молотова препровождаю для сведения доклад военного атташе в Китае Лепина об авиации.</w:t>
      </w:r>
    </w:p>
    <w:p w14:paraId="344E695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 копия № 1025/сс на 2 листах (3475,201).</w:t>
      </w:r>
    </w:p>
    <w:p w14:paraId="3F2C3B79"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1EF2570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15 декаб</w:t>
      </w:r>
      <w:r w:rsidRPr="00E14102">
        <w:rPr>
          <w:color w:val="000000" w:themeColor="text1"/>
          <w:sz w:val="16"/>
          <w:szCs w:val="16"/>
        </w:rPr>
        <w:softHyphen/>
        <w:t>ря 1935 г. по 17 января 1936 г. прошли госиспытания самолета КСМ. Испытания проводил инженер-летчик К.А.Калилец.</w:t>
      </w:r>
    </w:p>
    <w:p w14:paraId="520107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ходе испытаний было отмечено:</w:t>
      </w:r>
    </w:p>
    <w:p w14:paraId="0C99CFE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Самолет имеет хорошо продуманную, вполне современную аэродинамическую фор</w:t>
      </w:r>
      <w:r w:rsidRPr="00E14102">
        <w:rPr>
          <w:color w:val="000000" w:themeColor="text1"/>
          <w:sz w:val="16"/>
          <w:szCs w:val="16"/>
        </w:rPr>
        <w:softHyphen/>
        <w:t>му. Производственное выполнение хорошее.</w:t>
      </w:r>
    </w:p>
    <w:p w14:paraId="03C9FC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Самолет имеет небольшие посадочные скорости: 65 км/ч с закрытыми закрылка</w:t>
      </w:r>
      <w:r w:rsidRPr="00E14102">
        <w:rPr>
          <w:color w:val="000000" w:themeColor="text1"/>
          <w:sz w:val="16"/>
          <w:szCs w:val="16"/>
        </w:rPr>
        <w:softHyphen/>
        <w:t>ми и 57 км/ч с открытыми. Посадка самолета простая, пользование посадочными приспособлениями легкое.</w:t>
      </w:r>
    </w:p>
    <w:p w14:paraId="76D779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Управляемость самолетом хорошая, нагрузки на ручку и педали при всех режи</w:t>
      </w:r>
      <w:r w:rsidRPr="00E14102">
        <w:rPr>
          <w:color w:val="000000" w:themeColor="text1"/>
          <w:sz w:val="16"/>
          <w:szCs w:val="16"/>
        </w:rPr>
        <w:softHyphen/>
        <w:t>мах полета незначительные,</w:t>
      </w:r>
    </w:p>
    <w:p w14:paraId="4369A4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Для накопления большого опыта в эксплуатации ВМГ с мотором ГАЗ считать необходимым поставить этот мотор на су</w:t>
      </w:r>
      <w:r w:rsidRPr="00E14102">
        <w:rPr>
          <w:color w:val="000000" w:themeColor="text1"/>
          <w:sz w:val="16"/>
          <w:szCs w:val="16"/>
        </w:rPr>
        <w:softHyphen/>
        <w:t>ществующие уже легкие самолеты Грибовского и Яковлева.</w:t>
      </w:r>
    </w:p>
    <w:p w14:paraId="46DB0D8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НИИ ВС РККА Бажанов.</w:t>
      </w:r>
    </w:p>
    <w:p w14:paraId="5CA3502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1-го отдела Петров” (10715).</w:t>
      </w:r>
    </w:p>
    <w:p w14:paraId="0047E7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итогам испытаний было составлено следующее заключение:</w:t>
      </w:r>
    </w:p>
    <w:p w14:paraId="61975D2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Произведенные в НИИ ВС РККА ис</w:t>
      </w:r>
      <w:r w:rsidRPr="00E14102">
        <w:rPr>
          <w:color w:val="000000" w:themeColor="text1"/>
          <w:sz w:val="16"/>
          <w:szCs w:val="16"/>
        </w:rPr>
        <w:softHyphen/>
        <w:t>пытания самолета КСМ-1 с мотором ГАЗ показали полную возможность применения автомотора ГАЗ в авиации.</w:t>
      </w:r>
    </w:p>
    <w:p w14:paraId="06DEA1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В предъявленном виде опытный КСМ-1 вследствие, главным образом, перетяже-ления самолета имеет низкие лётно-эксплу-атационные данные и в таком виде не мо</w:t>
      </w:r>
      <w:r w:rsidRPr="00E14102">
        <w:rPr>
          <w:color w:val="000000" w:themeColor="text1"/>
          <w:sz w:val="16"/>
          <w:szCs w:val="16"/>
        </w:rPr>
        <w:softHyphen/>
        <w:t>жет служить образцом для серийной пост</w:t>
      </w:r>
      <w:r w:rsidRPr="00E14102">
        <w:rPr>
          <w:color w:val="000000" w:themeColor="text1"/>
          <w:sz w:val="16"/>
          <w:szCs w:val="16"/>
        </w:rPr>
        <w:softHyphen/>
        <w:t>ройки.</w:t>
      </w:r>
    </w:p>
    <w:p w14:paraId="25EB5F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Мотор ГАЗ установленный на самоле</w:t>
      </w:r>
      <w:r w:rsidRPr="00E14102">
        <w:rPr>
          <w:color w:val="000000" w:themeColor="text1"/>
          <w:sz w:val="16"/>
          <w:szCs w:val="16"/>
        </w:rPr>
        <w:softHyphen/>
        <w:t>те обладает:</w:t>
      </w:r>
    </w:p>
    <w:p w14:paraId="51B2ECB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большой надежностью работы (в том числе на трех сортах топлива),</w:t>
      </w:r>
    </w:p>
    <w:p w14:paraId="582F7A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простотой эксплуатации (обслуживание его не требует спецподготовки авиатехников),</w:t>
      </w:r>
    </w:p>
    <w:p w14:paraId="308B9F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большой экономичностью,</w:t>
      </w:r>
    </w:p>
    <w:p w14:paraId="776578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возможностью получения больших се</w:t>
      </w:r>
      <w:r w:rsidRPr="00E14102">
        <w:rPr>
          <w:color w:val="000000" w:themeColor="text1"/>
          <w:sz w:val="16"/>
          <w:szCs w:val="16"/>
        </w:rPr>
        <w:softHyphen/>
        <w:t>рий.</w:t>
      </w:r>
    </w:p>
    <w:p w14:paraId="0AD938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Поэтому считать необходимым постро</w:t>
      </w:r>
      <w:r w:rsidRPr="00E14102">
        <w:rPr>
          <w:color w:val="000000" w:themeColor="text1"/>
          <w:sz w:val="16"/>
          <w:szCs w:val="16"/>
        </w:rPr>
        <w:softHyphen/>
        <w:t>ить под этот мотор новый самолет с мень</w:t>
      </w:r>
      <w:r w:rsidRPr="00E14102">
        <w:rPr>
          <w:color w:val="000000" w:themeColor="text1"/>
          <w:sz w:val="16"/>
          <w:szCs w:val="16"/>
        </w:rPr>
        <w:softHyphen/>
        <w:t>шим полетным весом по специальным тре</w:t>
      </w:r>
      <w:r w:rsidRPr="00E14102">
        <w:rPr>
          <w:color w:val="000000" w:themeColor="text1"/>
          <w:sz w:val="16"/>
          <w:szCs w:val="16"/>
        </w:rPr>
        <w:softHyphen/>
        <w:t>бованиям, составленным НИИ ВС.</w:t>
      </w:r>
    </w:p>
    <w:p w14:paraId="4A64FD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Основным недостатком самолета яв</w:t>
      </w:r>
      <w:r w:rsidRPr="00E14102">
        <w:rPr>
          <w:color w:val="000000" w:themeColor="text1"/>
          <w:sz w:val="16"/>
          <w:szCs w:val="16"/>
        </w:rPr>
        <w:softHyphen/>
        <w:t>ляется перетяжеление его конструкции для данного мотора. Как следствие перетяжеле-ния, самолет имеет плохую скороподъем</w:t>
      </w:r>
      <w:r w:rsidRPr="00E14102">
        <w:rPr>
          <w:color w:val="000000" w:themeColor="text1"/>
          <w:sz w:val="16"/>
          <w:szCs w:val="16"/>
        </w:rPr>
        <w:softHyphen/>
        <w:t>ность и плохие взлетные свойства.</w:t>
      </w:r>
    </w:p>
    <w:p w14:paraId="1F6EEE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Самолет неустойчив в продольном от</w:t>
      </w:r>
      <w:r w:rsidRPr="00E14102">
        <w:rPr>
          <w:color w:val="000000" w:themeColor="text1"/>
          <w:sz w:val="16"/>
          <w:szCs w:val="16"/>
        </w:rPr>
        <w:softHyphen/>
        <w:t>ношении. Имеет заднюю центровку”.</w:t>
      </w:r>
    </w:p>
    <w:p w14:paraId="7DCDF5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Кроме того, Калилец раскритиковал за</w:t>
      </w:r>
      <w:r w:rsidRPr="00E14102">
        <w:rPr>
          <w:color w:val="000000" w:themeColor="text1"/>
          <w:sz w:val="16"/>
          <w:szCs w:val="16"/>
        </w:rPr>
        <w:softHyphen/>
        <w:t>крытый фонарь кабины — тесно и низко, в общем, неудобно. Словом, в предъявленном виде военным КСМ-1 не понравился: и ско</w:t>
      </w:r>
      <w:r w:rsidRPr="00E14102">
        <w:rPr>
          <w:color w:val="000000" w:themeColor="text1"/>
          <w:sz w:val="16"/>
          <w:szCs w:val="16"/>
        </w:rPr>
        <w:softHyphen/>
        <w:t>рость маленькая, и тяжел на подъем. Одна</w:t>
      </w:r>
      <w:r w:rsidRPr="00E14102">
        <w:rPr>
          <w:color w:val="000000" w:themeColor="text1"/>
          <w:sz w:val="16"/>
          <w:szCs w:val="16"/>
        </w:rPr>
        <w:softHyphen/>
        <w:t>ко даже у хорошей домохозяйки первый блин получается не всегда удачным. Что же говорить про подлинно пионерное инже</w:t>
      </w:r>
      <w:r w:rsidRPr="00E14102">
        <w:rPr>
          <w:color w:val="000000" w:themeColor="text1"/>
          <w:sz w:val="16"/>
          <w:szCs w:val="16"/>
        </w:rPr>
        <w:softHyphen/>
        <w:t>нерное начинание! Хотя выводы по резуль</w:t>
      </w:r>
      <w:r w:rsidRPr="00E14102">
        <w:rPr>
          <w:color w:val="000000" w:themeColor="text1"/>
          <w:sz w:val="16"/>
          <w:szCs w:val="16"/>
        </w:rPr>
        <w:softHyphen/>
        <w:t>татам испытаний были неоспоримы, воен</w:t>
      </w:r>
      <w:r w:rsidRPr="00E14102">
        <w:rPr>
          <w:color w:val="000000" w:themeColor="text1"/>
          <w:sz w:val="16"/>
          <w:szCs w:val="16"/>
        </w:rPr>
        <w:softHyphen/>
        <w:t>ные не отметили главное — предельно про</w:t>
      </w:r>
      <w:r w:rsidRPr="00E14102">
        <w:rPr>
          <w:color w:val="000000" w:themeColor="text1"/>
          <w:sz w:val="16"/>
          <w:szCs w:val="16"/>
        </w:rPr>
        <w:softHyphen/>
        <w:t>стой и дешевый в эксплуатации самолет как нельзя лучше подходил для трениров</w:t>
      </w:r>
      <w:r w:rsidRPr="00E14102">
        <w:rPr>
          <w:color w:val="000000" w:themeColor="text1"/>
          <w:sz w:val="16"/>
          <w:szCs w:val="16"/>
        </w:rPr>
        <w:softHyphen/>
        <w:t>ки будущих летчиков — обучению выполнению элементарных эволюции, когда нет надобности в больших скоростях, пилотаже и полётах выше облаков. Помимо машины первоначального обучения, самолет мог ис</w:t>
      </w:r>
      <w:r w:rsidRPr="00E14102">
        <w:rPr>
          <w:color w:val="000000" w:themeColor="text1"/>
          <w:sz w:val="16"/>
          <w:szCs w:val="16"/>
        </w:rPr>
        <w:softHyphen/>
        <w:t>пользоваться и в качестве легкого связного в звене дивизия — корпус, где также не требовались выдающиеся лётные данные. Однако военным привычно хотелось летать выше, дальше и быстрее всех, а потому планка требований на аппарат для первона</w:t>
      </w:r>
      <w:r w:rsidRPr="00E14102">
        <w:rPr>
          <w:color w:val="000000" w:themeColor="text1"/>
          <w:sz w:val="16"/>
          <w:szCs w:val="16"/>
        </w:rPr>
        <w:softHyphen/>
        <w:t>чального обучения курсантов лётному делу оказалась существенно завышенной. Машину вернули в Горький, где она ис</w:t>
      </w:r>
      <w:r w:rsidRPr="00E14102">
        <w:rPr>
          <w:color w:val="000000" w:themeColor="text1"/>
          <w:sz w:val="16"/>
          <w:szCs w:val="16"/>
        </w:rPr>
        <w:softHyphen/>
      </w:r>
      <w:r w:rsidRPr="00E14102">
        <w:rPr>
          <w:color w:val="000000" w:themeColor="text1"/>
          <w:sz w:val="16"/>
          <w:szCs w:val="16"/>
        </w:rPr>
        <w:lastRenderedPageBreak/>
        <w:t>пользовалась в качестве “опытовой” до само</w:t>
      </w:r>
      <w:r w:rsidRPr="00E14102">
        <w:rPr>
          <w:color w:val="000000" w:themeColor="text1"/>
          <w:sz w:val="16"/>
          <w:szCs w:val="16"/>
        </w:rPr>
        <w:softHyphen/>
        <w:t>го начала Великой Отечественной войны. КСМ был переделан — исчезла закрытая ка</w:t>
      </w:r>
      <w:r w:rsidRPr="00E14102">
        <w:rPr>
          <w:color w:val="000000" w:themeColor="text1"/>
          <w:sz w:val="16"/>
          <w:szCs w:val="16"/>
        </w:rPr>
        <w:softHyphen/>
        <w:t>бина. Теперь, пилоты укрывались от набегаю</w:t>
      </w:r>
      <w:r w:rsidRPr="00E14102">
        <w:rPr>
          <w:color w:val="000000" w:themeColor="text1"/>
          <w:sz w:val="16"/>
          <w:szCs w:val="16"/>
        </w:rPr>
        <w:softHyphen/>
        <w:t>щего потока воздуха за козырьками (10715).</w:t>
      </w:r>
    </w:p>
    <w:p w14:paraId="613E644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19A34D7"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 15 декабря 1935 г. по 17 января 1936 г. прошли госиспытания КСМ. Испытания проводил инженер-летчик К.А.Калилец.</w:t>
      </w:r>
    </w:p>
    <w:p w14:paraId="03E9DA4D"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ходе испытаний было отмечено:</w:t>
      </w:r>
    </w:p>
    <w:p w14:paraId="3D68664F"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 Самолет имеет хорошо продуманную, вполне современную аэродинамическую форму. Производственное выполнение хорошее.</w:t>
      </w:r>
    </w:p>
    <w:p w14:paraId="6929B03A"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 Самолет имеет небольшие посадочные скорости: 65 км/ч с закрытыми закрылками и 57 км/ч с открытыми. Посадка самолета простая, пользование посадочными приспособлениями легкое.</w:t>
      </w:r>
    </w:p>
    <w:p w14:paraId="7F5A7E81"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3. Управляемость самолетом хорошая, нагрузки на ручку и педали при всех режимах полета незначительные.</w:t>
      </w:r>
    </w:p>
    <w:p w14:paraId="4DB4081C"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4. Основным недостатком самолета является перетяжеление его конструкции для данного мотора. Как следствие перетяжеле-ния, самолет имеет плохую скороподъемность и плохие взлетные свойства.</w:t>
      </w:r>
    </w:p>
    <w:p w14:paraId="0EA7EDB8"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5. Самолет неустойчив в продольном отношении. Имеет заднюю центровку».</w:t>
      </w:r>
    </w:p>
    <w:p w14:paraId="5B5773A0"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 итогам испытаний было составлено следующее заключение:</w:t>
      </w:r>
    </w:p>
    <w:p w14:paraId="44FB9B6A"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«1. Произведенные в НИИ ВС РККА испытания самолета КСМ-1 с мотором ГАЗ показали полную возможность применения автомотора ГАЗ в авиации.</w:t>
      </w:r>
    </w:p>
    <w:p w14:paraId="038606A1"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 В предъявленном виде опытный КСМ-1 вследствие, главным образом, перетяже-леиия самолета имеет низкие лётно-эксплу-атационные данные и в таком виде не может служить образцом для серийной постройки.</w:t>
      </w:r>
    </w:p>
    <w:p w14:paraId="47B90F27"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3. Мотор ГАЗ установленный на самолете обладает:</w:t>
      </w:r>
    </w:p>
    <w:p w14:paraId="21871BA5"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а) большой надежностью работы (в том числе на трех сортах топлива),</w:t>
      </w:r>
    </w:p>
    <w:p w14:paraId="573C3F90"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б) простотой эксплуатации (обслуживание его не требует спецподготовки авиатехников),</w:t>
      </w:r>
    </w:p>
    <w:p w14:paraId="3D5F611D"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большой экономичностью,</w:t>
      </w:r>
    </w:p>
    <w:p w14:paraId="0F1D5B4C"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г) возможностью получения больших серий.</w:t>
      </w:r>
    </w:p>
    <w:p w14:paraId="74442A34"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Поэтому считать необходимым построить под этот мотор новый самолет с меньшим полетным весом по специальным требованиям, составленным НИИ ВС.</w:t>
      </w:r>
    </w:p>
    <w:p w14:paraId="7614048C"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4. Для накопления большого опыта в эксплуатации ВМГ с мотором ГАЗ считать необходимым поставить этот мотор на существующие уже легкие самолеты Грибовского и Яковлева.</w:t>
      </w:r>
    </w:p>
    <w:p w14:paraId="78FF7235"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Нач. НИИ ВС РККА Бажанов.</w:t>
      </w:r>
    </w:p>
    <w:p w14:paraId="7ACD4520"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Нач. 1-го отдела Петров».</w:t>
      </w:r>
    </w:p>
    <w:p w14:paraId="2FE1CFCB"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Кроме того, Калилец раскритиковал закрытый фонарь кабины — тесно и низко, в общем, неудобно. Словом, в предъявленном виде военным КСМ-1 не понравился: и скорость маленькая, и тяжел на подъем. Однако даже у хорошей домохозяйки первый блин получается не всегда удачным. Что же говорить про подлинно пионерное инженерное начинание! Хотя выводы по результатам испытаний были неоспоримы, военные не отметили главное — предельно простой и дешевый в эксплуатации самолет как нельзя лучше подходил для тренировки будущих летчиков — обучению выполнению элементарных эволюции, когда нет надобности в больших скоростях, пилотаже и полётах выше облаков. Помимо машины первоначального обучения, самолет мог использоваться и в качестве легкого связного в звене дивизия — корпус, где также не требовались выдающиеся лётные данные. Однако военным привычно хотелось летать выше, дальше и быстрее всех, а потому планка требований на аппарат для первоначального обучения курсантов лётному делу оказалась существенно завышенной.</w:t>
      </w:r>
    </w:p>
    <w:p w14:paraId="04ED5945"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Машину вернули в Горький, где она использовалась в качестве «опытовой» до самого начала Великой Отечественной войны. КСМ был переделан — исчезла закрытая кабина. Теперь, пилоты укрывались от набегающего потока воздуха за козырьками (12683).</w:t>
      </w:r>
    </w:p>
    <w:p w14:paraId="20865A39"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p>
    <w:p w14:paraId="5D4012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 декабря 1935 года Начальник и военком НИИ ВВС Алкснис утвердил Отчет по теме “Изыскание прозрачных материалов для козырьков и кабин самолетов” (6687).</w:t>
      </w:r>
    </w:p>
    <w:p w14:paraId="7E0CD1C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начато 1 апреля 1935 года</w:t>
      </w:r>
    </w:p>
    <w:p w14:paraId="4CD872E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окончено 20 декабря 1935 года</w:t>
      </w:r>
    </w:p>
    <w:p w14:paraId="26BD81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4F0CCE3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лакокрасочной лаборатории 6-го отдела Краснопольский</w:t>
      </w:r>
    </w:p>
    <w:p w14:paraId="394F6B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работы</w:t>
      </w:r>
    </w:p>
    <w:p w14:paraId="36E5437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Изучение и обследование исследовательских работ, проводимых в разных организациях Союза по изысканию новых материалов для козырьков и кабин самолетов и усовершенствованию применяемого в настоящее время целлулоида, который не отвечает техническим требованиям вследствие горючести, нестойкости к свету и низким температурам.</w:t>
      </w:r>
    </w:p>
    <w:p w14:paraId="145A3E9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51F10B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Считать возможным принять кристалит на гос. испытания по получении такового на полузаводской установке.</w:t>
      </w:r>
    </w:p>
    <w:p w14:paraId="73D07C90"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Провести в 1936 году в лаборатории пластмасс МХТИ им. Менделеева работу по получению прозрачных материалов из хлорвиниловых смол, форсируя одновременно работу по изысканию более высокого качества целлона (6687).</w:t>
      </w:r>
    </w:p>
    <w:p w14:paraId="2047A2D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773ED5C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09B9ADE" w14:textId="77777777" w:rsidR="00D4105E" w:rsidRPr="00E14102" w:rsidRDefault="00D4105E" w:rsidP="00E14102">
      <w:pPr>
        <w:autoSpaceDE w:val="0"/>
        <w:autoSpaceDN w:val="0"/>
        <w:adjustRightInd w:val="0"/>
        <w:jc w:val="both"/>
        <w:rPr>
          <w:iCs/>
          <w:color w:val="000000" w:themeColor="text1"/>
          <w:sz w:val="16"/>
          <w:szCs w:val="16"/>
        </w:rPr>
      </w:pPr>
    </w:p>
    <w:p w14:paraId="0FF88E1E" w14:textId="77777777" w:rsidR="00FD3C06" w:rsidRPr="00E14102" w:rsidRDefault="00FD3C06" w:rsidP="00E14102">
      <w:pPr>
        <w:jc w:val="both"/>
        <w:rPr>
          <w:rFonts w:eastAsia="TimesNewRomanPSMT"/>
          <w:color w:val="0070C0"/>
          <w:sz w:val="16"/>
          <w:szCs w:val="16"/>
        </w:rPr>
      </w:pPr>
      <w:r w:rsidRPr="00E14102">
        <w:rPr>
          <w:color w:val="0070C0"/>
          <w:sz w:val="16"/>
          <w:szCs w:val="16"/>
        </w:rPr>
        <w:t>К 15 декабря 1935 г. было закончено изготовление трех опытных образцов второго варианта 82-мм батальонного миномета (82-БМ-Ш-2), испытание которых было запланировано на НИАПе в январе 1936 г. Мины для них были поставлены заводом «Ростсельмаш».440 (20074).</w:t>
      </w:r>
    </w:p>
    <w:p w14:paraId="4D70DDBA" w14:textId="77777777" w:rsidR="00FD3C06" w:rsidRPr="00E14102" w:rsidRDefault="00FD3C06" w:rsidP="00E14102">
      <w:pPr>
        <w:jc w:val="both"/>
        <w:rPr>
          <w:rFonts w:eastAsia="TimesNewRomanPSMT"/>
          <w:color w:val="0070C0"/>
          <w:sz w:val="16"/>
          <w:szCs w:val="16"/>
        </w:rPr>
      </w:pPr>
    </w:p>
    <w:p w14:paraId="2C9108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декабря 1935 по поручению В.М.М. секретарь КО Базилевич письмами №№ 1984/ко, 1985/ко и др. Разослал в инстанции предложения Я.Гамарника по полугусеничным вездеходам от 10 октября 1935 (10536,37).</w:t>
      </w:r>
    </w:p>
    <w:p w14:paraId="52FBEB0C" w14:textId="77777777" w:rsidR="00D4105E" w:rsidRPr="00E14102" w:rsidRDefault="00D4105E" w:rsidP="00E14102">
      <w:pPr>
        <w:autoSpaceDE w:val="0"/>
        <w:autoSpaceDN w:val="0"/>
        <w:adjustRightInd w:val="0"/>
        <w:jc w:val="both"/>
        <w:rPr>
          <w:color w:val="000000" w:themeColor="text1"/>
          <w:sz w:val="16"/>
          <w:szCs w:val="16"/>
        </w:rPr>
      </w:pPr>
    </w:p>
    <w:p w14:paraId="25751BD4" w14:textId="77777777" w:rsidR="00FF7C89" w:rsidRPr="00E14102" w:rsidRDefault="00FF7C89" w:rsidP="00E14102">
      <w:pPr>
        <w:jc w:val="both"/>
        <w:rPr>
          <w:color w:val="000000" w:themeColor="text1"/>
          <w:sz w:val="16"/>
          <w:szCs w:val="16"/>
        </w:rPr>
      </w:pPr>
      <w:r w:rsidRPr="00E14102">
        <w:rPr>
          <w:color w:val="000000" w:themeColor="text1"/>
          <w:sz w:val="16"/>
          <w:szCs w:val="16"/>
        </w:rPr>
        <w:t xml:space="preserve">15 декабря 1935 г. после доводки танк БТ-ИС был доставлен из окружной мастерской ХВО на завод № 48 для проведения испытаний, которые состоялись в период с 17 декабря 1935 г. по 20 января 1936 г. На основании полученных в ходе испытаний результатов, комиссией были сделаны следующие выводы: </w:t>
      </w:r>
    </w:p>
    <w:p w14:paraId="18B96025" w14:textId="77777777" w:rsidR="00FF7C89" w:rsidRPr="00E14102" w:rsidRDefault="00FF7C89" w:rsidP="00E14102">
      <w:pPr>
        <w:jc w:val="both"/>
        <w:rPr>
          <w:iCs/>
          <w:color w:val="000000" w:themeColor="text1"/>
          <w:sz w:val="16"/>
          <w:szCs w:val="16"/>
        </w:rPr>
      </w:pPr>
      <w:r w:rsidRPr="00E14102">
        <w:rPr>
          <w:iCs/>
          <w:color w:val="000000" w:themeColor="text1"/>
          <w:sz w:val="16"/>
          <w:szCs w:val="16"/>
        </w:rPr>
        <w:t xml:space="preserve">«1. Три пары ведущих колес имеют преимущество перед одной и двумя парами. </w:t>
      </w:r>
    </w:p>
    <w:p w14:paraId="1AAA33E6" w14:textId="77777777" w:rsidR="00FF7C89" w:rsidRPr="00E14102" w:rsidRDefault="00FF7C89" w:rsidP="00E14102">
      <w:pPr>
        <w:jc w:val="both"/>
        <w:rPr>
          <w:iCs/>
          <w:color w:val="000000" w:themeColor="text1"/>
          <w:sz w:val="16"/>
          <w:szCs w:val="16"/>
        </w:rPr>
      </w:pPr>
      <w:r w:rsidRPr="00E14102">
        <w:rPr>
          <w:iCs/>
          <w:color w:val="000000" w:themeColor="text1"/>
          <w:sz w:val="16"/>
          <w:szCs w:val="16"/>
        </w:rPr>
        <w:t xml:space="preserve">2. Преимущества 2-х пар управляемых колес незначительны и практического эффекта не дают (особенно в зимних условиях). </w:t>
      </w:r>
    </w:p>
    <w:p w14:paraId="0E95CAD6" w14:textId="77777777" w:rsidR="00FF7C89" w:rsidRPr="00E14102" w:rsidRDefault="00FF7C89" w:rsidP="00E14102">
      <w:pPr>
        <w:jc w:val="both"/>
        <w:rPr>
          <w:color w:val="000000" w:themeColor="text1"/>
          <w:sz w:val="16"/>
          <w:szCs w:val="16"/>
        </w:rPr>
      </w:pPr>
      <w:r w:rsidRPr="00E14102">
        <w:rPr>
          <w:iCs/>
          <w:color w:val="000000" w:themeColor="text1"/>
          <w:sz w:val="16"/>
          <w:szCs w:val="16"/>
        </w:rPr>
        <w:t>3. Для нормального движения машины на одной гусенице необходимо изменить передаточное отношение к колесам при гусеничной скорости в пределах 0,5 – 0,8 % меньше существующего…»</w:t>
      </w:r>
      <w:r w:rsidRPr="00E14102">
        <w:rPr>
          <w:color w:val="000000" w:themeColor="text1"/>
          <w:sz w:val="16"/>
          <w:szCs w:val="16"/>
        </w:rPr>
        <w:t xml:space="preserve">. </w:t>
      </w:r>
    </w:p>
    <w:p w14:paraId="239323C6" w14:textId="77777777" w:rsidR="00FF7C89" w:rsidRPr="00E14102" w:rsidRDefault="00FF7C89" w:rsidP="00E14102">
      <w:pPr>
        <w:jc w:val="both"/>
        <w:rPr>
          <w:color w:val="000000" w:themeColor="text1"/>
          <w:sz w:val="16"/>
          <w:szCs w:val="16"/>
        </w:rPr>
      </w:pPr>
      <w:r w:rsidRPr="00E14102">
        <w:rPr>
          <w:bCs/>
          <w:color w:val="000000" w:themeColor="text1"/>
          <w:sz w:val="16"/>
          <w:szCs w:val="16"/>
        </w:rPr>
        <w:t>[РГВА. Ф. 31811. Оп. 3. Д. 580. Л. 18]</w:t>
      </w:r>
    </w:p>
    <w:p w14:paraId="5ED026F7" w14:textId="77777777" w:rsidR="00FF7C89" w:rsidRPr="00E14102" w:rsidRDefault="00FF7C89" w:rsidP="00E14102">
      <w:pPr>
        <w:jc w:val="both"/>
        <w:rPr>
          <w:color w:val="000000" w:themeColor="text1"/>
          <w:sz w:val="16"/>
          <w:szCs w:val="16"/>
        </w:rPr>
      </w:pPr>
      <w:r w:rsidRPr="00E14102">
        <w:rPr>
          <w:color w:val="000000" w:themeColor="text1"/>
          <w:sz w:val="16"/>
          <w:szCs w:val="16"/>
        </w:rPr>
        <w:t xml:space="preserve">Созданный во второй половине 1935 г. на базе танка БТ-2, опытный образец танка БТ-ИС в основном соответствовал первоначальному проекту Н.Ф. Цыганова – при движении танка на колёсах, вторые, третьи и четвертые пары колёс являлись ведущими. Исключение составляло количество управляемых колёс – на танке БТ-ИС вместо трех пар управляемых колёс (1,2 и 4), предусмотренных первоначальным проектом, управляемыми были две пары – первая и вторая. В конструкции танка БТ-ИС была реализована возможность движения одновременно на одной из гусениц и на колёсах. В этом случае уравнивание скоростей движения на колесах и гусенице осуществлялось с помощью специальных механизмов – синхронизаторов. Кроме этого танк мог двигаться на гусеницах с включенным приводом подвода крутящего момента к колёсным редукторам вторых, третьих и четвёртых пар опорных катков. Включение и выключение привода подвода крутящего момента, а также синхронизаторов скоростей осуществлялось через систему рычагов и тяг с рабочего места механика-водителя. </w:t>
      </w:r>
    </w:p>
    <w:p w14:paraId="7273A8DF" w14:textId="77777777" w:rsidR="00FF7C89" w:rsidRPr="00E14102" w:rsidRDefault="00FF7C89" w:rsidP="00E14102">
      <w:pPr>
        <w:jc w:val="both"/>
        <w:rPr>
          <w:color w:val="000000" w:themeColor="text1"/>
          <w:sz w:val="16"/>
          <w:szCs w:val="16"/>
        </w:rPr>
      </w:pPr>
      <w:r w:rsidRPr="00E14102">
        <w:rPr>
          <w:color w:val="000000" w:themeColor="text1"/>
          <w:sz w:val="16"/>
          <w:szCs w:val="16"/>
        </w:rPr>
        <w:t xml:space="preserve">Благодаря самоотверженной работе коллектива конструкторов, военных ремонтников и вольнонаемных рабочих окружной мастерской, опытный образец танка БТ-ИС удалось создать в сжатые сроки. Фотографии особо отличившихся работников были включены в </w:t>
      </w:r>
      <w:hyperlink r:id="rId341" w:tgtFrame="_blank" w:history="1">
        <w:r w:rsidRPr="00E14102">
          <w:rPr>
            <w:color w:val="000000" w:themeColor="text1"/>
            <w:sz w:val="16"/>
            <w:szCs w:val="16"/>
          </w:rPr>
          <w:t>фотоальбом</w:t>
        </w:r>
      </w:hyperlink>
      <w:r w:rsidRPr="00E14102">
        <w:rPr>
          <w:color w:val="000000" w:themeColor="text1"/>
          <w:sz w:val="16"/>
          <w:szCs w:val="16"/>
        </w:rPr>
        <w:t xml:space="preserve">, который в конце 1935 г. был отправлен в Москву народному комиссару обороны К.Е. Ворошилову (17502). </w:t>
      </w:r>
    </w:p>
    <w:p w14:paraId="5A22565E" w14:textId="77777777" w:rsidR="00FF7C89" w:rsidRPr="00E14102" w:rsidRDefault="00FF7C89" w:rsidP="00E14102">
      <w:pPr>
        <w:jc w:val="both"/>
        <w:rPr>
          <w:color w:val="000000" w:themeColor="text1"/>
          <w:sz w:val="16"/>
          <w:szCs w:val="16"/>
        </w:rPr>
      </w:pPr>
    </w:p>
    <w:p w14:paraId="72582897" w14:textId="77777777" w:rsidR="003E2723" w:rsidRPr="00E14102" w:rsidRDefault="003E2723" w:rsidP="00E14102">
      <w:pPr>
        <w:pStyle w:val="rtejustify"/>
        <w:spacing w:before="0" w:after="0"/>
        <w:rPr>
          <w:color w:val="000000" w:themeColor="text1"/>
          <w:sz w:val="16"/>
          <w:szCs w:val="16"/>
        </w:rPr>
      </w:pPr>
      <w:r w:rsidRPr="00E14102">
        <w:rPr>
          <w:rStyle w:val="a6"/>
          <w:bCs/>
          <w:i w:val="0"/>
          <w:color w:val="000000" w:themeColor="text1"/>
          <w:sz w:val="16"/>
          <w:szCs w:val="16"/>
        </w:rPr>
        <w:t>15 декабря</w:t>
      </w:r>
      <w:r w:rsidRPr="00E14102">
        <w:rPr>
          <w:color w:val="000000" w:themeColor="text1"/>
          <w:sz w:val="16"/>
          <w:szCs w:val="16"/>
        </w:rPr>
        <w:t xml:space="preserve"> 1935. Постановление СТО СССР № С</w:t>
      </w:r>
      <w:r w:rsidRPr="00E14102">
        <w:rPr>
          <w:color w:val="000000" w:themeColor="text1"/>
          <w:sz w:val="16"/>
          <w:szCs w:val="16"/>
        </w:rPr>
        <w:noBreakHyphen/>
        <w:t>159сс «О договоре с фирмой “Радио-корпорейшен”». (ГА РФ. Ф. Р</w:t>
      </w:r>
      <w:r w:rsidRPr="00E14102">
        <w:rPr>
          <w:color w:val="000000" w:themeColor="text1"/>
          <w:sz w:val="16"/>
          <w:szCs w:val="16"/>
        </w:rPr>
        <w:noBreakHyphen/>
        <w:t>8418. Оп. 28. Д. 7. Л. 246) (15460).</w:t>
      </w:r>
    </w:p>
    <w:p w14:paraId="3B1A1DE5" w14:textId="77777777" w:rsidR="003E2723" w:rsidRPr="00E14102" w:rsidRDefault="003E2723" w:rsidP="00E14102">
      <w:pPr>
        <w:pStyle w:val="rtejustify"/>
        <w:spacing w:before="0" w:after="0"/>
        <w:rPr>
          <w:color w:val="000000" w:themeColor="text1"/>
          <w:sz w:val="16"/>
          <w:szCs w:val="16"/>
        </w:rPr>
      </w:pPr>
    </w:p>
    <w:p w14:paraId="73F9A98A" w14:textId="77777777" w:rsidR="003E2723" w:rsidRPr="00E14102" w:rsidRDefault="003E2723" w:rsidP="00E14102">
      <w:pPr>
        <w:jc w:val="both"/>
        <w:rPr>
          <w:rStyle w:val="a6"/>
          <w:i w:val="0"/>
          <w:color w:val="000000" w:themeColor="text1"/>
          <w:sz w:val="16"/>
          <w:szCs w:val="16"/>
        </w:rPr>
      </w:pPr>
      <w:r w:rsidRPr="00E14102">
        <w:rPr>
          <w:rStyle w:val="a6"/>
          <w:i w:val="0"/>
          <w:color w:val="000000" w:themeColor="text1"/>
          <w:sz w:val="16"/>
          <w:szCs w:val="16"/>
        </w:rPr>
        <w:t xml:space="preserve">15 декабря 1935 г. </w:t>
      </w:r>
      <w:r w:rsidRPr="00E14102">
        <w:rPr>
          <w:color w:val="000000" w:themeColor="text1"/>
          <w:sz w:val="16"/>
          <w:szCs w:val="16"/>
        </w:rPr>
        <w:t>Докладная записка члена Комиссии советского контроля при СНК СССР Г. Д. Хаханьяна в ЦК ВКП(б) и СНК СССР о неудовлетворительном состоянии торпедного производства</w:t>
      </w:r>
    </w:p>
    <w:p w14:paraId="4BE9FAAF" w14:textId="77777777" w:rsidR="003E2723" w:rsidRPr="00E14102" w:rsidRDefault="003E2723" w:rsidP="00E14102">
      <w:pPr>
        <w:jc w:val="both"/>
        <w:rPr>
          <w:rStyle w:val="a6"/>
          <w:i w:val="0"/>
          <w:color w:val="000000" w:themeColor="text1"/>
          <w:sz w:val="16"/>
          <w:szCs w:val="16"/>
        </w:rPr>
      </w:pPr>
      <w:r w:rsidRPr="00E14102">
        <w:rPr>
          <w:rStyle w:val="a6"/>
          <w:i w:val="0"/>
          <w:color w:val="000000" w:themeColor="text1"/>
          <w:sz w:val="16"/>
          <w:szCs w:val="16"/>
        </w:rPr>
        <w:t>Совершенно секретно.</w:t>
      </w:r>
    </w:p>
    <w:p w14:paraId="6A42E69C" w14:textId="77777777" w:rsidR="003E2723" w:rsidRPr="00E14102" w:rsidRDefault="003E2723" w:rsidP="00E14102">
      <w:pPr>
        <w:jc w:val="both"/>
        <w:rPr>
          <w:color w:val="000000" w:themeColor="text1"/>
          <w:sz w:val="16"/>
          <w:szCs w:val="16"/>
        </w:rPr>
      </w:pPr>
      <w:r w:rsidRPr="00E14102">
        <w:rPr>
          <w:color w:val="000000" w:themeColor="text1"/>
          <w:sz w:val="16"/>
          <w:szCs w:val="16"/>
        </w:rPr>
        <w:t>О торпедной промышленности</w:t>
      </w:r>
    </w:p>
    <w:p w14:paraId="2395E31D" w14:textId="77777777" w:rsidR="003E2723" w:rsidRPr="00E14102" w:rsidRDefault="003E2723" w:rsidP="00E14102">
      <w:pPr>
        <w:pStyle w:val="rtejustify"/>
        <w:spacing w:before="0" w:after="0"/>
        <w:rPr>
          <w:color w:val="000000" w:themeColor="text1"/>
          <w:sz w:val="16"/>
          <w:szCs w:val="16"/>
        </w:rPr>
      </w:pPr>
      <w:r w:rsidRPr="00E14102">
        <w:rPr>
          <w:color w:val="000000" w:themeColor="text1"/>
          <w:sz w:val="16"/>
          <w:szCs w:val="16"/>
        </w:rPr>
        <w:t>Несмотря на то, что правительством за два последние года было принято четыре специальных постановления о торпедах, положение с торпедным производством до сих пор остается явно неблагополучным, ибо ни одно из правительственных постановлений Наркомтяжпромом не выполнено.</w:t>
      </w:r>
    </w:p>
    <w:p w14:paraId="48368D5A" w14:textId="77777777" w:rsidR="003E2723" w:rsidRPr="00E14102" w:rsidRDefault="003E2723" w:rsidP="00E14102">
      <w:pPr>
        <w:pStyle w:val="rtejustify"/>
        <w:spacing w:before="0" w:after="0"/>
        <w:rPr>
          <w:color w:val="000000" w:themeColor="text1"/>
          <w:sz w:val="16"/>
          <w:szCs w:val="16"/>
        </w:rPr>
      </w:pPr>
      <w:r w:rsidRPr="00E14102">
        <w:rPr>
          <w:color w:val="000000" w:themeColor="text1"/>
          <w:sz w:val="16"/>
          <w:szCs w:val="16"/>
        </w:rPr>
        <w:lastRenderedPageBreak/>
        <w:t>1. Производство 21</w:t>
      </w:r>
      <w:r w:rsidRPr="00E14102">
        <w:rPr>
          <w:color w:val="000000" w:themeColor="text1"/>
          <w:sz w:val="16"/>
          <w:szCs w:val="16"/>
        </w:rPr>
        <w:noBreakHyphen/>
        <w:t>дюймовых торпед на Ленинградском «Двигателе» не только не улучшилось за 1935 г., но даже несколько ухудшилось по сравнению с прошлым годом. За 10 месяцев 1934 г. была сдана 651 торпеда; в 1935 г. за те же 10 месяцев сдано только 537 торпед при годовом заказе в 900 единиц. На Феодосийской пристрелочной станции за несколько лет скопилось до 500 торпед, не выдержавших испытаний пристрелкой, т. е. по вине завода лежит мертвым грузом продукции в 25 млн. руб.</w:t>
      </w:r>
    </w:p>
    <w:p w14:paraId="6FD989EA" w14:textId="77777777" w:rsidR="003E2723" w:rsidRPr="00E14102" w:rsidRDefault="003E2723" w:rsidP="00E14102">
      <w:pPr>
        <w:pStyle w:val="rtejustify"/>
        <w:spacing w:before="0" w:after="0"/>
        <w:rPr>
          <w:color w:val="000000" w:themeColor="text1"/>
          <w:sz w:val="16"/>
          <w:szCs w:val="16"/>
        </w:rPr>
      </w:pPr>
      <w:r w:rsidRPr="00E14102">
        <w:rPr>
          <w:color w:val="000000" w:themeColor="text1"/>
          <w:sz w:val="16"/>
          <w:szCs w:val="16"/>
        </w:rPr>
        <w:t>2. «Двигательстрой» (Махачкала). Несмотря на личное обязательство т. Серго о постройке завода в установленный срок (1 июля 1935 г.) и, несмотря на вторичное подтверждение этого срока в постановлении СТО от 4 июня 1934 г., завод «Двигательстрой» до сих пор строительством не закончен, и к производству торпед на нем не приступлено. Дирекция завода предполагает начать производство торпед во II квартале 1936 г. с тем, чтобы первые опытные торпеды начать собирать с октября 1936 г. При этом оказывается, что даже и эти предположения являются совершенно не реальными, так как весь специнструмент, спецприспособления, штампы и модели общей стоимостью до 2250 тыс. руб. не только не изготовляются, не только не заказаны, но ГВМУ до сих пор даже не выяснило, на каких заводах будут изготовляться все эти предметы.</w:t>
      </w:r>
    </w:p>
    <w:p w14:paraId="078CB625" w14:textId="77777777" w:rsidR="003E2723" w:rsidRPr="00E14102" w:rsidRDefault="003E2723" w:rsidP="00E14102">
      <w:pPr>
        <w:pStyle w:val="rtejustify"/>
        <w:spacing w:before="0" w:after="0"/>
        <w:rPr>
          <w:color w:val="000000" w:themeColor="text1"/>
          <w:sz w:val="16"/>
          <w:szCs w:val="16"/>
        </w:rPr>
      </w:pPr>
      <w:r w:rsidRPr="00E14102">
        <w:rPr>
          <w:color w:val="000000" w:themeColor="text1"/>
          <w:sz w:val="16"/>
          <w:szCs w:val="16"/>
        </w:rPr>
        <w:t>3. Байкальский торпедный завод. По постановлению КО от 5 октября 1934 г.¹* требовалось приступить к строительству торпедного завода на годовую мощность в 1000 торпед. НКТП при наличии того, что ГВМУ явно не справляется даже с одним заводом «Махачкала», никаких работ по Байкальскому заводу не ведет и тем самым постановление КО до сих пор не выполняет.</w:t>
      </w:r>
    </w:p>
    <w:p w14:paraId="3C345EB7" w14:textId="77777777" w:rsidR="003E2723" w:rsidRPr="00E14102" w:rsidRDefault="003E2723" w:rsidP="00E14102">
      <w:pPr>
        <w:pStyle w:val="rtejustify"/>
        <w:spacing w:before="0" w:after="0"/>
        <w:rPr>
          <w:color w:val="000000" w:themeColor="text1"/>
          <w:sz w:val="16"/>
          <w:szCs w:val="16"/>
        </w:rPr>
      </w:pPr>
      <w:r w:rsidRPr="00E14102">
        <w:rPr>
          <w:color w:val="000000" w:themeColor="text1"/>
          <w:sz w:val="16"/>
          <w:szCs w:val="16"/>
        </w:rPr>
        <w:t>4. 18</w:t>
      </w:r>
      <w:r w:rsidRPr="00E14102">
        <w:rPr>
          <w:color w:val="000000" w:themeColor="text1"/>
          <w:sz w:val="16"/>
          <w:szCs w:val="16"/>
        </w:rPr>
        <w:noBreakHyphen/>
        <w:t>дюймовые торпеды. Головной завод им. Кирова в Б. Токмаке, Союздизель. Положение с производством 18</w:t>
      </w:r>
      <w:r w:rsidRPr="00E14102">
        <w:rPr>
          <w:color w:val="000000" w:themeColor="text1"/>
          <w:sz w:val="16"/>
          <w:szCs w:val="16"/>
        </w:rPr>
        <w:noBreakHyphen/>
        <w:t>дюймовых торпед исключительно неблагополучно и отношение к этому делу со стороны Союздизеля (т. Близниченко) и головного завода (директор Ростокин) исключительно безответственное. По постановлению КО от 22 марта 1934 г.²* в 1934 г. требовалось сдать 10 торпед и в 1935 г. изготовить 500 торпед. В 1934 г. главным образом по вине Союздизеля все дело с 18</w:t>
      </w:r>
      <w:r w:rsidRPr="00E14102">
        <w:rPr>
          <w:color w:val="000000" w:themeColor="text1"/>
          <w:sz w:val="16"/>
          <w:szCs w:val="16"/>
        </w:rPr>
        <w:noBreakHyphen/>
        <w:t>дюймовыми торпедами было провалено. НКТП в спецприказе от апреля 1935 г. признал, что «задание по организации производства торпед ФТ</w:t>
      </w:r>
      <w:r w:rsidRPr="00E14102">
        <w:rPr>
          <w:color w:val="000000" w:themeColor="text1"/>
          <w:sz w:val="16"/>
          <w:szCs w:val="16"/>
        </w:rPr>
        <w:noBreakHyphen/>
        <w:t>450 выполняется неудовлетворительно» и вновь дал задания главкам по обеспечению этого производства. Однако и в 1935 г. вследствие исключительно безобразной работы завода, совершенно не оправдавшего имени т. Кирова, завод не только не выполнил годового заказа в 200 торпед, но оказался не в состоянии предъявить хотя бы одну годную торпеду. Основная причина: сплошной брак на заводе им. Кирова (Союздизеля) и по литью и по механической обработке.</w:t>
      </w:r>
    </w:p>
    <w:p w14:paraId="402271F0" w14:textId="77777777" w:rsidR="003E2723" w:rsidRPr="00E14102" w:rsidRDefault="003E2723" w:rsidP="00E14102">
      <w:pPr>
        <w:pStyle w:val="rtejustify"/>
        <w:spacing w:before="0" w:after="0"/>
        <w:rPr>
          <w:color w:val="000000" w:themeColor="text1"/>
          <w:sz w:val="16"/>
          <w:szCs w:val="16"/>
        </w:rPr>
      </w:pPr>
      <w:r w:rsidRPr="00E14102">
        <w:rPr>
          <w:color w:val="000000" w:themeColor="text1"/>
          <w:sz w:val="16"/>
          <w:szCs w:val="16"/>
        </w:rPr>
        <w:t>Союздизель (т. Близниченко) вместо того, чтобы руководить заводом и своевременно выправлять этот исключительный беспорядок, сначала обманывал НКТП и КСК, давая заведомо неверную информацию, а затем всячески оправдывался, ссылаясь на непредвиденные трудности. Так, еще в январе 1935 г. в своей записке т. Близниченко заявил: «на сегодняшний день можно констатировать, что все детали по литью освоены», а в ноябре 1935 г., т. е. через 10 месяцев на заседании КСК тот же т. Близниченко главной причиной срыва всего производства 18</w:t>
      </w:r>
      <w:r w:rsidRPr="00E14102">
        <w:rPr>
          <w:color w:val="000000" w:themeColor="text1"/>
          <w:sz w:val="16"/>
          <w:szCs w:val="16"/>
        </w:rPr>
        <w:noBreakHyphen/>
        <w:t>дюймовых торпед выставлял полное неосвоение заводом того же самого литья. Таковы руководство Союздизеля и работа головного завода — отсюда полный провал производства 18</w:t>
      </w:r>
      <w:r w:rsidRPr="00E14102">
        <w:rPr>
          <w:color w:val="000000" w:themeColor="text1"/>
          <w:sz w:val="16"/>
          <w:szCs w:val="16"/>
        </w:rPr>
        <w:noBreakHyphen/>
        <w:t>дюймовых торпед в 1935 г. и отсутствие какой-либо перспективы на 1936 г. при существующем положении дела.</w:t>
      </w:r>
    </w:p>
    <w:p w14:paraId="0479EDC4" w14:textId="77777777" w:rsidR="003E2723" w:rsidRPr="00E14102" w:rsidRDefault="003E2723" w:rsidP="00E14102">
      <w:pPr>
        <w:pStyle w:val="rtejustify"/>
        <w:spacing w:before="0" w:after="0"/>
        <w:rPr>
          <w:color w:val="000000" w:themeColor="text1"/>
          <w:sz w:val="16"/>
          <w:szCs w:val="16"/>
        </w:rPr>
      </w:pPr>
      <w:r w:rsidRPr="00E14102">
        <w:rPr>
          <w:color w:val="000000" w:themeColor="text1"/>
          <w:sz w:val="16"/>
          <w:szCs w:val="16"/>
        </w:rPr>
        <w:t>Ввиду исключительно неудовлетворительного состояния с торпедным производством, считал бы необходимым заслушать этот вопрос на ближайшем заседании КО.</w:t>
      </w:r>
    </w:p>
    <w:p w14:paraId="54A3290E" w14:textId="77777777" w:rsidR="003E2723" w:rsidRPr="00E14102" w:rsidRDefault="003E2723"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Член КСК при СНК СССР Хаханьян</w:t>
      </w:r>
    </w:p>
    <w:p w14:paraId="126AE86A" w14:textId="77777777" w:rsidR="003E2723" w:rsidRPr="00E14102" w:rsidRDefault="003E2723"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Примечания</w:t>
      </w:r>
      <w:r w:rsidRPr="00E14102">
        <w:rPr>
          <w:rFonts w:ascii="Times New Roman" w:hAnsi="Times New Roman" w:cs="Times New Roman"/>
          <w:color w:val="000000" w:themeColor="text1"/>
          <w:sz w:val="16"/>
          <w:szCs w:val="16"/>
          <w:lang w:val="ru-RU"/>
        </w:rPr>
        <w:t>:</w:t>
      </w:r>
    </w:p>
    <w:p w14:paraId="2A62D452" w14:textId="77777777" w:rsidR="003E2723" w:rsidRPr="00E14102" w:rsidRDefault="003E2723"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¹*</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ГА</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РФ. Ф.</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Р</w:t>
      </w:r>
      <w:r w:rsidRPr="00E14102">
        <w:rPr>
          <w:rFonts w:ascii="Times New Roman" w:hAnsi="Times New Roman" w:cs="Times New Roman"/>
          <w:color w:val="000000" w:themeColor="text1"/>
          <w:sz w:val="16"/>
          <w:szCs w:val="16"/>
          <w:lang w:val="ru-RU"/>
        </w:rPr>
        <w:noBreakHyphen/>
        <w:t>8418. Оп.</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28. Д.</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5. Л.</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180.</w:t>
      </w:r>
    </w:p>
    <w:p w14:paraId="2C780EE7" w14:textId="77777777" w:rsidR="003E2723" w:rsidRPr="00E14102" w:rsidRDefault="003E2723"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²*</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ГА</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РФ. Ф.</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Р</w:t>
      </w:r>
      <w:r w:rsidRPr="00E14102">
        <w:rPr>
          <w:rFonts w:ascii="Times New Roman" w:hAnsi="Times New Roman" w:cs="Times New Roman"/>
          <w:color w:val="000000" w:themeColor="text1"/>
          <w:sz w:val="16"/>
          <w:szCs w:val="16"/>
          <w:lang w:val="ru-RU"/>
        </w:rPr>
        <w:noBreakHyphen/>
        <w:t>8418. Оп.</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28. Д.</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4. Л.</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158</w:t>
      </w:r>
      <w:r w:rsidRPr="00E14102">
        <w:rPr>
          <w:rFonts w:ascii="Times New Roman" w:hAnsi="Times New Roman" w:cs="Times New Roman"/>
          <w:color w:val="000000" w:themeColor="text1"/>
          <w:sz w:val="16"/>
          <w:szCs w:val="16"/>
          <w:lang w:val="ru-RU"/>
        </w:rPr>
        <w:noBreakHyphen/>
        <w:t>159.</w:t>
      </w:r>
    </w:p>
    <w:p w14:paraId="14E087D7" w14:textId="77777777" w:rsidR="003E2723" w:rsidRPr="00E14102" w:rsidRDefault="003E2723"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РГАЭ. Ф. 7537. Оп. 1. Д. 940. Л. 11-9. Копия (15368).</w:t>
      </w:r>
    </w:p>
    <w:p w14:paraId="04C8075E" w14:textId="77777777" w:rsidR="003E2723" w:rsidRPr="00E14102" w:rsidRDefault="003E2723" w:rsidP="00E14102">
      <w:pPr>
        <w:jc w:val="both"/>
        <w:rPr>
          <w:color w:val="000000" w:themeColor="text1"/>
          <w:sz w:val="16"/>
          <w:szCs w:val="16"/>
        </w:rPr>
      </w:pPr>
    </w:p>
    <w:p w14:paraId="08CF66D6" w14:textId="77777777" w:rsidR="003E2723" w:rsidRPr="00E14102" w:rsidRDefault="003E2723" w:rsidP="00E14102">
      <w:pPr>
        <w:jc w:val="both"/>
        <w:rPr>
          <w:color w:val="000000" w:themeColor="text1"/>
          <w:sz w:val="16"/>
          <w:szCs w:val="16"/>
        </w:rPr>
      </w:pPr>
      <w:r w:rsidRPr="00E14102">
        <w:rPr>
          <w:color w:val="000000" w:themeColor="text1"/>
          <w:sz w:val="16"/>
          <w:szCs w:val="16"/>
        </w:rPr>
        <w:t>15 декабря 1935 г. по поручению Молотова секретарь Комитета обороны при Правительстве Базилевич письмами №№ 1984/ко, 1985/ко и др. разослал в инстанции предложения Гамарника (15593).</w:t>
      </w:r>
    </w:p>
    <w:p w14:paraId="17A8D060" w14:textId="77777777" w:rsidR="003E2723" w:rsidRPr="00E14102" w:rsidRDefault="003E2723" w:rsidP="00E14102">
      <w:pPr>
        <w:jc w:val="both"/>
        <w:rPr>
          <w:color w:val="000000" w:themeColor="text1"/>
          <w:sz w:val="16"/>
          <w:szCs w:val="16"/>
        </w:rPr>
      </w:pPr>
    </w:p>
    <w:p w14:paraId="424EA1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декабря 1935 г. на Неве провели пробное погружение головной лодки серии Н (3898).</w:t>
      </w:r>
    </w:p>
    <w:p w14:paraId="5DA703FF" w14:textId="77777777" w:rsidR="00D4105E" w:rsidRPr="00E14102" w:rsidRDefault="00D4105E" w:rsidP="00E14102">
      <w:pPr>
        <w:autoSpaceDE w:val="0"/>
        <w:autoSpaceDN w:val="0"/>
        <w:adjustRightInd w:val="0"/>
        <w:jc w:val="both"/>
        <w:rPr>
          <w:color w:val="000000" w:themeColor="text1"/>
          <w:sz w:val="16"/>
          <w:szCs w:val="16"/>
        </w:rPr>
      </w:pPr>
    </w:p>
    <w:p w14:paraId="6B5133F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25444F66" w14:textId="77777777" w:rsidR="00D4105E" w:rsidRPr="00E14102" w:rsidRDefault="00D4105E" w:rsidP="00E14102">
      <w:pPr>
        <w:autoSpaceDE w:val="0"/>
        <w:autoSpaceDN w:val="0"/>
        <w:adjustRightInd w:val="0"/>
        <w:jc w:val="both"/>
        <w:rPr>
          <w:iCs/>
          <w:color w:val="000000" w:themeColor="text1"/>
          <w:sz w:val="16"/>
          <w:szCs w:val="16"/>
        </w:rPr>
      </w:pPr>
    </w:p>
    <w:p w14:paraId="48A6B1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декабря 1935 г. было Обращение Председателя Центрального советаОсоавиахима СССРв секретариат И. В. Сталина.</w:t>
      </w:r>
    </w:p>
    <w:p w14:paraId="3DF382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Пролетарии всех стран, соединяйтесь!</w:t>
      </w:r>
    </w:p>
    <w:p w14:paraId="41EA87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Осоавиахим — опора мирного труда и обороны СССР</w:t>
      </w:r>
    </w:p>
    <w:p w14:paraId="5D690E87" w14:textId="77777777" w:rsidR="00D4105E" w:rsidRPr="00E14102" w:rsidRDefault="00D4105E" w:rsidP="00E14102">
      <w:pPr>
        <w:jc w:val="both"/>
        <w:rPr>
          <w:color w:val="000000" w:themeColor="text1"/>
          <w:sz w:val="16"/>
          <w:szCs w:val="16"/>
        </w:rPr>
      </w:pPr>
      <w:r w:rsidRPr="00E14102">
        <w:rPr>
          <w:color w:val="000000" w:themeColor="text1"/>
          <w:sz w:val="16"/>
          <w:szCs w:val="16"/>
        </w:rPr>
        <w:t>СОЮЗ ОБЩЕСТВ</w:t>
      </w:r>
    </w:p>
    <w:p w14:paraId="225F3453" w14:textId="77777777" w:rsidR="00D4105E" w:rsidRPr="00E14102" w:rsidRDefault="00D4105E" w:rsidP="00E14102">
      <w:pPr>
        <w:jc w:val="both"/>
        <w:rPr>
          <w:color w:val="000000" w:themeColor="text1"/>
          <w:sz w:val="16"/>
          <w:szCs w:val="16"/>
        </w:rPr>
      </w:pPr>
      <w:r w:rsidRPr="00E14102">
        <w:rPr>
          <w:color w:val="000000" w:themeColor="text1"/>
          <w:sz w:val="16"/>
          <w:szCs w:val="16"/>
        </w:rPr>
        <w:t>ОБОРОНЫ и АВИАЦИОННО-ХИМИЧЕСКОГО СТРОИТЕЛЬСТВА СССР</w:t>
      </w:r>
    </w:p>
    <w:p w14:paraId="3967217B" w14:textId="77777777" w:rsidR="00D4105E" w:rsidRPr="00E14102" w:rsidRDefault="00D4105E" w:rsidP="00E14102">
      <w:pPr>
        <w:jc w:val="both"/>
        <w:rPr>
          <w:color w:val="000000" w:themeColor="text1"/>
          <w:sz w:val="16"/>
          <w:szCs w:val="16"/>
        </w:rPr>
      </w:pPr>
      <w:r w:rsidRPr="00E14102">
        <w:rPr>
          <w:color w:val="000000" w:themeColor="text1"/>
          <w:sz w:val="16"/>
          <w:szCs w:val="16"/>
        </w:rPr>
        <w:t>СОЮЗ ОСОАВИАХИМ СССР</w:t>
      </w:r>
    </w:p>
    <w:p w14:paraId="447C30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МОСКВА, 35, Раушская наб., 22</w:t>
      </w:r>
    </w:p>
    <w:p w14:paraId="6B5F1B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телеграмм: МОСКВА, ОСОАВИАХИМ</w:t>
      </w:r>
    </w:p>
    <w:p w14:paraId="3AB13F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11/62/1512</w:t>
      </w:r>
    </w:p>
    <w:p w14:paraId="3CE58E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декабря 1935 г.</w:t>
      </w:r>
    </w:p>
    <w:p w14:paraId="4D994B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СЕКРЕТАРИАТ тов. СТАЛИНА.</w:t>
      </w:r>
    </w:p>
    <w:p w14:paraId="0CF7F6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Участниками конного пробега Ашхабад — Москва оставлен в подарок тов. СТАЛИНУ жеребец «Орлик».</w:t>
      </w:r>
    </w:p>
    <w:p w14:paraId="1FAAD7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Указанная лошадь находится в данное время в Московской кавалерийской школе Осоавиахима имени С. М. Буденного.</w:t>
      </w:r>
    </w:p>
    <w:p w14:paraId="7811F0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Прошу доложить тов. Сталину и просить его разрешить оставить эту лошадь на хранение в Московской кавшколе Осоавиахима.</w:t>
      </w:r>
    </w:p>
    <w:p w14:paraId="633C79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Школа посещается тысячами трудящихся и нахождение коня тов. СТАЛИНА — служит огромным стимулом освоения учебных программ. Обучающиеся борятся за право ухаживать за конем тов. СТАЛИНА.</w:t>
      </w:r>
    </w:p>
    <w:p w14:paraId="2202F2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последующем прошу мне сообщить.</w:t>
      </w:r>
      <w:r w:rsidRPr="00E14102">
        <w:rPr>
          <w:color w:val="000000" w:themeColor="text1"/>
          <w:sz w:val="16"/>
          <w:szCs w:val="16"/>
          <w:vertAlign w:val="superscript"/>
        </w:rPr>
        <w:t>*</w:t>
      </w:r>
    </w:p>
    <w:p w14:paraId="661054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Резолюция на документе: «За. И. Ст.».</w:t>
      </w:r>
    </w:p>
    <w:p w14:paraId="1B7366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ПРЕДСЕДАТЕЛЬ ЦС ОСОАВИАХИМА СССР</w:t>
      </w:r>
    </w:p>
    <w:p w14:paraId="353703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 ЭЙДЕМАН/</w:t>
      </w:r>
    </w:p>
    <w:p w14:paraId="1A8EC4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РГАСПИ. Ф. 558. Оп. 11. Д. 833. Л. 111. Подлинник. Машинопись на бланке, подпись-автограф (11610).</w:t>
      </w:r>
    </w:p>
    <w:p w14:paraId="722000B9" w14:textId="77777777" w:rsidR="00D4105E" w:rsidRPr="00E14102" w:rsidRDefault="00D4105E" w:rsidP="00E14102">
      <w:pPr>
        <w:autoSpaceDE w:val="0"/>
        <w:autoSpaceDN w:val="0"/>
        <w:adjustRightInd w:val="0"/>
        <w:jc w:val="both"/>
        <w:rPr>
          <w:color w:val="000000" w:themeColor="text1"/>
          <w:sz w:val="16"/>
          <w:szCs w:val="16"/>
        </w:rPr>
      </w:pPr>
    </w:p>
    <w:p w14:paraId="50C8B1C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E589015" w14:textId="77777777" w:rsidR="00D4105E" w:rsidRPr="00E14102" w:rsidRDefault="00D4105E" w:rsidP="00E14102">
      <w:pPr>
        <w:autoSpaceDE w:val="0"/>
        <w:autoSpaceDN w:val="0"/>
        <w:adjustRightInd w:val="0"/>
        <w:jc w:val="both"/>
        <w:rPr>
          <w:iCs/>
          <w:color w:val="000000" w:themeColor="text1"/>
          <w:sz w:val="16"/>
          <w:szCs w:val="16"/>
        </w:rPr>
      </w:pPr>
    </w:p>
    <w:p w14:paraId="669C54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 декабря 1935 состоялось совещание в ГУАП:</w:t>
      </w:r>
    </w:p>
    <w:p w14:paraId="165C57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Слушали: Заказ УВС РККА на 1936 на самолеты и моторы.</w:t>
      </w:r>
    </w:p>
    <w:p w14:paraId="6FA36C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Постановили: 1. Принять заказ УВС на 1936 на самолет Рзет М-34 в количестве 600.</w:t>
      </w:r>
    </w:p>
    <w:p w14:paraId="6B98E6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Кол. машин ДИ-6, подлежащее изготовлению и сдаче УВС в 1936 установить после получения ГУАП от УВС заключения по результатам испытания.</w:t>
      </w:r>
    </w:p>
    <w:p w14:paraId="63C126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Предложить директору завода 39 Кацва сдать УВС 3 ДИ-6 с истребительном варианте 15 февраля 1936 и 2 самолета в штурмовом варианте не позже 15 марта 1936.</w:t>
      </w:r>
    </w:p>
    <w:p w14:paraId="03F783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Предложить директору завода 1 Беленкович сдать на аэродром для проведения заводских испытаний к 25 апреля 1936 3 ДИ-6 в штурмовом варианте.</w:t>
      </w:r>
    </w:p>
    <w:p w14:paraId="498E5E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Принять к сведению заявление Алксниса, что он учитывая удовлетворительные рез. гос. испытаний (сделано до 600 посадок ДИ-6), произведет войсковые испытания, даст заключение по ДИ-6 в истребительном и штурмовом вариантах в течение 10 официально-летных дней после предъявления заводом 39 УВС РККА этих машин.</w:t>
      </w:r>
    </w:p>
    <w:p w14:paraId="75D65C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Предложить директору завода 22 Марголину немедленно развернуть сборку машины СБ и сдать УВС на войсковые испытания 2 машины в январе, 3 машины с 1 по 15 февраля, 5 машин с 15 февраля по 1 марта.</w:t>
      </w:r>
    </w:p>
    <w:p w14:paraId="3BA17F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Принять к сведению заявление Алксниса, что УВС произведет гос. испытания СБ и даст заключение по результатам испытаний в месячный срок (т.е. 15 марта 1936) со дня предъявления заводом 22 первых 5 машин СБ.</w:t>
      </w:r>
    </w:p>
    <w:p w14:paraId="3D9E67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По окончании войсковых испытаний машины ДИ-6 и СБ, образцы их и чертежи к ним представить на утверждение НКО и НКТП для передачи их в серийное производство.</w:t>
      </w:r>
    </w:p>
    <w:p w14:paraId="00F927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p w14:paraId="7163DE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Установить заказ УВС по самолету ДБА на 1936 в количестве 5 машин, из них 3 с М-34РН и 2 с М-34ФРН.</w:t>
      </w:r>
    </w:p>
    <w:p w14:paraId="1F4F3D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Определить заказы УВС по машине ТБ-3 М-34РН на 1936 в 200 машин, с учетом переходящих машин с 1935.</w:t>
      </w:r>
    </w:p>
    <w:p w14:paraId="3E08F5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 Предложить Марголину и военпреду Горелину в 5 дневный срок установить перечень дефектов, не подлежащих устранению, на не изготовленных еще машинах ТБ-3 М-34РН и М-34РБ</w:t>
      </w:r>
    </w:p>
    <w:p w14:paraId="78AD3E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Заказ УВС РКА на 1936 на 25 машин РД и 5 ДБ-2 М-85 принять.</w:t>
      </w:r>
    </w:p>
    <w:p w14:paraId="2955B5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16. Определить размер заказа УВС на 1936 по машине И-16 М-25 в 800 машин.</w:t>
      </w:r>
    </w:p>
    <w:p w14:paraId="58111D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Просить Алксниса увеличить заказ на И-16 М-25 на 100</w:t>
      </w:r>
    </w:p>
    <w:p w14:paraId="23956D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Принять к сведению заявление Алксниса, что вопрос об увеличении заказа на И-16 будет разрешен после доклада его об этом Наркому обороны.</w:t>
      </w:r>
    </w:p>
    <w:p w14:paraId="369383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заказ УВС на 1936 на 450 машин У-2 М-11 принять." (2177,299).</w:t>
      </w:r>
    </w:p>
    <w:p w14:paraId="5439F890" w14:textId="77777777" w:rsidR="00D4105E" w:rsidRPr="00E14102" w:rsidRDefault="00D4105E" w:rsidP="00E14102">
      <w:pPr>
        <w:autoSpaceDE w:val="0"/>
        <w:autoSpaceDN w:val="0"/>
        <w:adjustRightInd w:val="0"/>
        <w:jc w:val="both"/>
        <w:rPr>
          <w:color w:val="000000" w:themeColor="text1"/>
          <w:sz w:val="16"/>
          <w:szCs w:val="16"/>
        </w:rPr>
      </w:pPr>
    </w:p>
    <w:p w14:paraId="4F018CBF" w14:textId="77777777" w:rsidR="003E2723"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9814C76" w14:textId="77777777" w:rsidR="003E2723" w:rsidRPr="00E14102" w:rsidRDefault="003E2723" w:rsidP="00E14102">
      <w:pPr>
        <w:autoSpaceDE w:val="0"/>
        <w:autoSpaceDN w:val="0"/>
        <w:adjustRightInd w:val="0"/>
        <w:jc w:val="both"/>
        <w:rPr>
          <w:iCs/>
          <w:color w:val="000000" w:themeColor="text1"/>
          <w:sz w:val="16"/>
          <w:szCs w:val="16"/>
        </w:rPr>
      </w:pPr>
    </w:p>
    <w:p w14:paraId="405F12E0" w14:textId="77777777" w:rsidR="003E2723" w:rsidRPr="00E14102" w:rsidRDefault="003E2723" w:rsidP="00E14102">
      <w:pPr>
        <w:pStyle w:val="rtejustify"/>
        <w:spacing w:before="0" w:after="0"/>
        <w:rPr>
          <w:color w:val="000000" w:themeColor="text1"/>
          <w:sz w:val="16"/>
          <w:szCs w:val="16"/>
        </w:rPr>
      </w:pPr>
      <w:r w:rsidRPr="00E14102">
        <w:rPr>
          <w:rStyle w:val="a6"/>
          <w:bCs/>
          <w:i w:val="0"/>
          <w:color w:val="000000" w:themeColor="text1"/>
          <w:sz w:val="16"/>
          <w:szCs w:val="16"/>
        </w:rPr>
        <w:t>16 декабря</w:t>
      </w:r>
      <w:r w:rsidRPr="00E14102">
        <w:rPr>
          <w:color w:val="000000" w:themeColor="text1"/>
          <w:sz w:val="16"/>
          <w:szCs w:val="16"/>
        </w:rPr>
        <w:t xml:space="preserve"> 1935 Решение Политбюро № 35. 17. О договоре с фирмой «Радиокорпорейшен» (ПБ от 29 ноября 1935 г.). — ОП. 19. О Бекаури (ПБ от 29 ноября 1925 г.). — ОП. 21. Вопрос НКО (ПБ от 29 ноября 1935 г.). — ОП. 23. Вопрос НКО (ПБ от 14 октября 1934 г., пр. № 15, п. 206), (ПБ от 29 ноября 1935 г.). — ОП. 55. О договоре о техпомощи с фирмой «Броун» (ПБ от 1 декабря 1935 г.). — ОП. 90. О строительстве ЗИС и подготовке производственной программы на 1936 г. по ЗИС</w:t>
      </w:r>
      <w:r w:rsidRPr="00E14102">
        <w:rPr>
          <w:color w:val="000000" w:themeColor="text1"/>
          <w:sz w:val="16"/>
          <w:szCs w:val="16"/>
        </w:rPr>
        <w:noBreakHyphen/>
        <w:t>5, 6, 8. (ПБ от 7 декабря 1935 г.). 100. Вопросы КО (ПБ от 9 декабря 1935 г.). — ОП. 105. Вопрос НКО (ПБ от 9 декабря 1935 г.). — ОП. 109. О заказах НКО (ПБ от 9 декабря 1935 г.). — ОП. 168. Об отпуске средств ЦС Осоавиахима (ПБ от 15 декабря 1935 г.). — ОП. 174. Вопрос Ворошилова (о командировании за границу группы работников Остехбюро) (ПБ от 15 декабря 1935 г.). — ОП. 192. О реорганизации ГВМУ НКТП (ПБ от 15 декабря 1935 г.). — ОП. (Политбюро ЦК РКП(б)-ВКП(Б). Повестки дня заседаний. 1919</w:t>
      </w:r>
      <w:r w:rsidRPr="00E14102">
        <w:rPr>
          <w:color w:val="000000" w:themeColor="text1"/>
          <w:sz w:val="16"/>
          <w:szCs w:val="16"/>
        </w:rPr>
        <w:noBreakHyphen/>
        <w:t>1952: Каталог / Т. 2. С. 717, 718, 719, 721, 722; РГАСПИ. Ф. 17. Оп. 162. Д. 19. Л. 2</w:t>
      </w:r>
      <w:r w:rsidRPr="00E14102">
        <w:rPr>
          <w:color w:val="000000" w:themeColor="text1"/>
          <w:sz w:val="16"/>
          <w:szCs w:val="16"/>
        </w:rPr>
        <w:noBreakHyphen/>
        <w:t>5, 7</w:t>
      </w:r>
      <w:r w:rsidRPr="00E14102">
        <w:rPr>
          <w:color w:val="000000" w:themeColor="text1"/>
          <w:sz w:val="16"/>
          <w:szCs w:val="16"/>
        </w:rPr>
        <w:noBreakHyphen/>
        <w:t>10, 15, 16) (15462).</w:t>
      </w:r>
    </w:p>
    <w:p w14:paraId="1A63E435" w14:textId="77777777" w:rsidR="003E2723" w:rsidRPr="00E14102" w:rsidRDefault="003E2723" w:rsidP="00E14102">
      <w:pPr>
        <w:pStyle w:val="rtejustify"/>
        <w:spacing w:before="0" w:after="0"/>
        <w:rPr>
          <w:color w:val="000000" w:themeColor="text1"/>
          <w:sz w:val="16"/>
          <w:szCs w:val="16"/>
        </w:rPr>
      </w:pPr>
    </w:p>
    <w:p w14:paraId="05368E0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8F2CAE1" w14:textId="77777777" w:rsidR="00D4105E" w:rsidRPr="00E14102" w:rsidRDefault="00D4105E" w:rsidP="00E14102">
      <w:pPr>
        <w:autoSpaceDE w:val="0"/>
        <w:autoSpaceDN w:val="0"/>
        <w:adjustRightInd w:val="0"/>
        <w:jc w:val="both"/>
        <w:rPr>
          <w:iCs/>
          <w:color w:val="000000" w:themeColor="text1"/>
          <w:sz w:val="16"/>
          <w:szCs w:val="16"/>
        </w:rPr>
      </w:pPr>
    </w:p>
    <w:p w14:paraId="355DDFA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 декабря 1935 Триумфальная площадь в Москве переименована в площадь Маяковского (4962).</w:t>
      </w:r>
    </w:p>
    <w:p w14:paraId="6D59A8D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3AF092A" w14:textId="77777777" w:rsidR="003E2723" w:rsidRPr="00E14102" w:rsidRDefault="003E2723"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16 декабря </w:t>
      </w:r>
      <w:r w:rsidRPr="00E14102">
        <w:rPr>
          <w:color w:val="000000" w:themeColor="text1"/>
          <w:sz w:val="16"/>
          <w:szCs w:val="16"/>
        </w:rPr>
        <w:t>в 1935 году триумфальная площадь в Москве была переименована в площадь имени Маяковского (ныне вновь Триумфальная площадь) (14862).</w:t>
      </w:r>
    </w:p>
    <w:p w14:paraId="0CFF47A2" w14:textId="77777777" w:rsidR="003E2723" w:rsidRPr="00E14102" w:rsidRDefault="003E2723" w:rsidP="00E14102">
      <w:pPr>
        <w:jc w:val="both"/>
        <w:rPr>
          <w:color w:val="000000" w:themeColor="text1"/>
          <w:sz w:val="16"/>
          <w:szCs w:val="16"/>
        </w:rPr>
      </w:pPr>
    </w:p>
    <w:p w14:paraId="386BCE3F" w14:textId="77777777" w:rsidR="003E2723" w:rsidRPr="00E14102" w:rsidRDefault="003E2723"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16 декабря </w:t>
      </w:r>
      <w:r w:rsidRPr="00E14102">
        <w:rPr>
          <w:color w:val="000000" w:themeColor="text1"/>
          <w:sz w:val="16"/>
          <w:szCs w:val="16"/>
        </w:rPr>
        <w:t>в 1935 году Политбюро ЦК ВКП(б) своими постановлениями образовало Комиссию по упрощению правописания и Всесоюзный комитет по делам искусств, которому поручалось "руководство всеми делами искусств, с подчинений ему театров, киноорганизаций, музыкальных и художественно-живописных, скульптурных и иных учреждений" (14862).</w:t>
      </w:r>
    </w:p>
    <w:p w14:paraId="1AD409CD" w14:textId="77777777" w:rsidR="003E2723" w:rsidRPr="00E14102" w:rsidRDefault="003E2723" w:rsidP="00E14102">
      <w:pPr>
        <w:jc w:val="both"/>
        <w:rPr>
          <w:color w:val="000000" w:themeColor="text1"/>
          <w:sz w:val="16"/>
          <w:szCs w:val="16"/>
        </w:rPr>
      </w:pPr>
    </w:p>
    <w:p w14:paraId="5388B8D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F26FE5F" w14:textId="77777777" w:rsidR="00D4105E" w:rsidRPr="00E14102" w:rsidRDefault="00D4105E" w:rsidP="00E14102">
      <w:pPr>
        <w:autoSpaceDE w:val="0"/>
        <w:autoSpaceDN w:val="0"/>
        <w:adjustRightInd w:val="0"/>
        <w:jc w:val="both"/>
        <w:rPr>
          <w:iCs/>
          <w:color w:val="000000" w:themeColor="text1"/>
          <w:sz w:val="16"/>
          <w:szCs w:val="16"/>
        </w:rPr>
      </w:pPr>
    </w:p>
    <w:p w14:paraId="55F951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декабря 1935 Нач. ГУГВФ т. Ткачев своим письмом N 01921/с обратился к т. В.М.М. (копия НКТП Г.К.О.) о передаче ему приобретенного нами самолета Дуглас, для использования его на линии Москва-Прага. Сначала ждал ЗИГ-1, но после катастрофы понял, что машины не будет и в дополнение к уже купленному хотел еще 2-3 в рамках тех. помощи, о покупке которой уже было принято решение СНК к тому времени (2166,53).</w:t>
      </w:r>
    </w:p>
    <w:p w14:paraId="58AC6DA3" w14:textId="77777777" w:rsidR="00D4105E" w:rsidRPr="00E14102" w:rsidRDefault="00D4105E" w:rsidP="00E14102">
      <w:pPr>
        <w:autoSpaceDE w:val="0"/>
        <w:autoSpaceDN w:val="0"/>
        <w:adjustRightInd w:val="0"/>
        <w:jc w:val="both"/>
        <w:rPr>
          <w:color w:val="000000" w:themeColor="text1"/>
          <w:sz w:val="16"/>
          <w:szCs w:val="16"/>
        </w:rPr>
      </w:pPr>
    </w:p>
    <w:p w14:paraId="69F6DF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декабря 1935 вышел приказ ГУАП N 396:</w:t>
      </w:r>
    </w:p>
    <w:p w14:paraId="3EF5AB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"Придавая особое значение развитию морской авиации:</w:t>
      </w:r>
    </w:p>
    <w:p w14:paraId="71B390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Организовать в системе ГУАП отдел морского самолетостроения.</w:t>
      </w:r>
    </w:p>
    <w:p w14:paraId="10AF9B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Нач. отдела назначаю ГК завода 1 Д.П.Г." М.М.К. (2073,29).</w:t>
      </w:r>
    </w:p>
    <w:p w14:paraId="3BE45619" w14:textId="77777777" w:rsidR="00D4105E" w:rsidRPr="00E14102" w:rsidRDefault="00D4105E" w:rsidP="00E14102">
      <w:pPr>
        <w:autoSpaceDE w:val="0"/>
        <w:autoSpaceDN w:val="0"/>
        <w:adjustRightInd w:val="0"/>
        <w:jc w:val="both"/>
        <w:rPr>
          <w:color w:val="000000" w:themeColor="text1"/>
          <w:sz w:val="16"/>
          <w:szCs w:val="16"/>
        </w:rPr>
      </w:pPr>
    </w:p>
    <w:p w14:paraId="41C7C11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17 декабря 1935 г. было письмо Директору РНИИ от начальника 5 отдела УВС РККА военинженера 1 ранга М.П.Пономарева: «По сообщению из АУ РККА (от Зандсра), РС-245 испытаний не выдержали. На вооружение не поступят. В 1936 г. по ракетным боеприпасам крупного калибра намечена разработка РС-203, в связи с чем изготовление пусковых для стрельбы РС-245 по договору с Вами нецелесообразно Во изменение ТТТ на прежних условиях договора и дополнительного соглашения, прошу ориентироваться на РС-203» (11402).</w:t>
      </w:r>
    </w:p>
    <w:p w14:paraId="2748730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17229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декабря 1935 года Сталину, Ворошилову и Тухачевскому был направлен доклад на шести страницах, подготовленный Е. Зарубиной (Вардо) по информации, сообщенной В. Леманом (Брайтенбахом). Связники — К. Харрис, М. Браудер и другие —отвозили документы в Париж для последующей отправки в Москву. В ноябре 1935 года Брайтенбах во время очередной встречи с советской разведчицей сообщил, что участвовал в совершенно секретном совещании в военном министерстве, где был ознакомлен с новейшими образцами боевой техники. Он передал описание новых типов артиллерийских орудий, в том числе дальнобойных, бронетехники, минометов, бронебойных пуль, специальных гранат и твердотопливных ракет. Он же позднее передал впервые, информацию о создании под руководством молодого тогда инженера, в будущем знаменитого В. фон Брауна, принципиально нового типа оружия — ракеты на жидком топливе для поражения целей на расстоянии в сотни километров. Позднее Брайтенбах сообщил дислокацию пяти секретных полигонов для испытания новых видов оружия (Дамаскин И. Разведчицы и шпионки. — М., 1999, с. 173—174.) (11765).</w:t>
      </w:r>
    </w:p>
    <w:p w14:paraId="33C1A335" w14:textId="77777777" w:rsidR="00D4105E" w:rsidRPr="00E14102" w:rsidRDefault="00D4105E" w:rsidP="00E14102">
      <w:pPr>
        <w:autoSpaceDE w:val="0"/>
        <w:autoSpaceDN w:val="0"/>
        <w:adjustRightInd w:val="0"/>
        <w:jc w:val="both"/>
        <w:rPr>
          <w:color w:val="000000" w:themeColor="text1"/>
          <w:sz w:val="16"/>
          <w:szCs w:val="16"/>
        </w:rPr>
      </w:pPr>
    </w:p>
    <w:p w14:paraId="7486D239" w14:textId="77777777" w:rsidR="001B6990" w:rsidRPr="00E14102" w:rsidRDefault="001B6990" w:rsidP="00E14102">
      <w:pPr>
        <w:jc w:val="both"/>
        <w:rPr>
          <w:color w:val="0070C0"/>
          <w:sz w:val="16"/>
          <w:szCs w:val="16"/>
        </w:rPr>
      </w:pPr>
      <w:r w:rsidRPr="00E14102">
        <w:rPr>
          <w:color w:val="0070C0"/>
          <w:sz w:val="16"/>
          <w:szCs w:val="16"/>
        </w:rPr>
        <w:t>17 декабря 1935 года донесение агента А/201 легло на стол Сталину. 26 января 1936 года оно было передано заместителю Наркома обороны М. Тухачевскому.</w:t>
      </w:r>
    </w:p>
    <w:p w14:paraId="733BC000" w14:textId="77777777" w:rsidR="001B6990" w:rsidRPr="00E14102" w:rsidRDefault="001B6990" w:rsidP="00E14102">
      <w:pPr>
        <w:jc w:val="both"/>
        <w:rPr>
          <w:color w:val="0070C0"/>
          <w:sz w:val="16"/>
          <w:szCs w:val="16"/>
        </w:rPr>
      </w:pPr>
      <w:r w:rsidRPr="00E14102">
        <w:rPr>
          <w:color w:val="0070C0"/>
          <w:sz w:val="16"/>
          <w:szCs w:val="16"/>
        </w:rPr>
        <w:t>Начальник Разведупра (им был в то время С.П. Урицкий), которому эти сведения были даны строго для личного ознаком</w:t>
      </w:r>
      <w:r w:rsidRPr="00E14102">
        <w:rPr>
          <w:color w:val="0070C0"/>
          <w:sz w:val="16"/>
          <w:szCs w:val="16"/>
        </w:rPr>
        <w:softHyphen/>
        <w:t>ления, возвращая документ, приложил к нему вопросник на трех листах. В пункте первом вопросника:</w:t>
      </w:r>
    </w:p>
    <w:p w14:paraId="5641C466" w14:textId="77777777" w:rsidR="001B6990" w:rsidRPr="00E14102" w:rsidRDefault="001B6990" w:rsidP="00E14102">
      <w:pPr>
        <w:jc w:val="both"/>
        <w:rPr>
          <w:color w:val="0070C0"/>
          <w:sz w:val="16"/>
          <w:szCs w:val="16"/>
        </w:rPr>
      </w:pPr>
      <w:r w:rsidRPr="00E14102">
        <w:rPr>
          <w:color w:val="0070C0"/>
          <w:sz w:val="16"/>
          <w:szCs w:val="16"/>
        </w:rPr>
        <w:t>«Ракеты и реактивные снаряды:</w:t>
      </w:r>
    </w:p>
    <w:p w14:paraId="34185565" w14:textId="77777777" w:rsidR="001B6990" w:rsidRPr="00E14102" w:rsidRDefault="001B6990" w:rsidP="00E14102">
      <w:pPr>
        <w:jc w:val="both"/>
        <w:rPr>
          <w:color w:val="0070C0"/>
          <w:sz w:val="16"/>
          <w:szCs w:val="16"/>
        </w:rPr>
      </w:pPr>
      <w:r w:rsidRPr="00E14102">
        <w:rPr>
          <w:color w:val="0070C0"/>
          <w:sz w:val="16"/>
          <w:szCs w:val="16"/>
        </w:rPr>
        <w:t>Где работает инженер Браун? Над чем он работает? Нет ли возможностей проникнуть к нему в лабораторию?</w:t>
      </w:r>
    </w:p>
    <w:p w14:paraId="2490E374" w14:textId="77777777" w:rsidR="001B6990" w:rsidRPr="00E14102" w:rsidRDefault="001B6990" w:rsidP="00E14102">
      <w:pPr>
        <w:jc w:val="both"/>
        <w:rPr>
          <w:color w:val="0070C0"/>
          <w:sz w:val="16"/>
          <w:szCs w:val="16"/>
        </w:rPr>
      </w:pPr>
      <w:r w:rsidRPr="00E14102">
        <w:rPr>
          <w:color w:val="0070C0"/>
          <w:sz w:val="16"/>
          <w:szCs w:val="16"/>
        </w:rPr>
        <w:t>Нет ли возможностей связаться с другими работниками в этой области?»</w:t>
      </w:r>
    </w:p>
    <w:p w14:paraId="657291DC" w14:textId="77777777" w:rsidR="001B6990" w:rsidRPr="00E14102" w:rsidRDefault="001B6990" w:rsidP="00E14102">
      <w:pPr>
        <w:jc w:val="both"/>
        <w:rPr>
          <w:color w:val="0070C0"/>
          <w:sz w:val="16"/>
          <w:szCs w:val="16"/>
        </w:rPr>
      </w:pPr>
      <w:r w:rsidRPr="00E14102">
        <w:rPr>
          <w:color w:val="0070C0"/>
          <w:sz w:val="16"/>
          <w:szCs w:val="16"/>
        </w:rPr>
        <w:t>На ряд вопросов Вилли Леман сумел найти ответы. В мае 1936 года он сообщил дислокацию пяти секретных полигонов для испытаний новых видов оружия, в конце года — об особых мерах режима секретности, введенных гестапо для охраны го</w:t>
      </w:r>
      <w:r w:rsidRPr="00E14102">
        <w:rPr>
          <w:color w:val="0070C0"/>
          <w:sz w:val="16"/>
          <w:szCs w:val="16"/>
        </w:rPr>
        <w:softHyphen/>
        <w:t>сударственной тайны в области разработки и производства но</w:t>
      </w:r>
      <w:r w:rsidRPr="00E14102">
        <w:rPr>
          <w:color w:val="0070C0"/>
          <w:sz w:val="16"/>
          <w:szCs w:val="16"/>
        </w:rPr>
        <w:softHyphen/>
        <w:t>вых видов вооружения... Эта информация пригодилась позже (22798).</w:t>
      </w:r>
    </w:p>
    <w:p w14:paraId="77529204" w14:textId="77777777" w:rsidR="001B6990" w:rsidRPr="00E14102" w:rsidRDefault="001B6990" w:rsidP="00E14102">
      <w:pPr>
        <w:jc w:val="both"/>
        <w:rPr>
          <w:rFonts w:eastAsia="TimesNewRomanPSMT"/>
          <w:color w:val="0070C0"/>
          <w:sz w:val="16"/>
          <w:szCs w:val="16"/>
        </w:rPr>
      </w:pPr>
    </w:p>
    <w:p w14:paraId="269EE8F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95D2FB7" w14:textId="77777777" w:rsidR="00D4105E" w:rsidRPr="00E14102" w:rsidRDefault="00D4105E" w:rsidP="00E14102">
      <w:pPr>
        <w:autoSpaceDE w:val="0"/>
        <w:autoSpaceDN w:val="0"/>
        <w:adjustRightInd w:val="0"/>
        <w:jc w:val="both"/>
        <w:rPr>
          <w:iCs/>
          <w:color w:val="000000" w:themeColor="text1"/>
          <w:sz w:val="16"/>
          <w:szCs w:val="16"/>
        </w:rPr>
      </w:pPr>
    </w:p>
    <w:p w14:paraId="46FC58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декабря 1935 года заводы Спецмаштреста отошли к главку Главного управления военной промышленностью. В конце 1936 г. тресты были ликвидированы и производство танков было передано Восьмому главку нового Наркомата оборонной промышленности. 28 февраля 1939 года 8-е Главное управление НКОП было передано в Наркомат среднего машиностроения (11326).</w:t>
      </w:r>
    </w:p>
    <w:p w14:paraId="59D61224" w14:textId="77777777" w:rsidR="00D4105E" w:rsidRPr="00E14102" w:rsidRDefault="00D4105E" w:rsidP="00E14102">
      <w:pPr>
        <w:autoSpaceDE w:val="0"/>
        <w:autoSpaceDN w:val="0"/>
        <w:adjustRightInd w:val="0"/>
        <w:jc w:val="both"/>
        <w:rPr>
          <w:color w:val="000000" w:themeColor="text1"/>
          <w:sz w:val="16"/>
          <w:szCs w:val="16"/>
        </w:rPr>
      </w:pPr>
    </w:p>
    <w:p w14:paraId="0482D7AF" w14:textId="77777777" w:rsidR="003E2723" w:rsidRPr="00E14102" w:rsidRDefault="003E2723" w:rsidP="00E14102">
      <w:pPr>
        <w:pStyle w:val="rtejustify"/>
        <w:spacing w:before="0" w:after="0"/>
        <w:rPr>
          <w:color w:val="000000" w:themeColor="text1"/>
          <w:sz w:val="16"/>
          <w:szCs w:val="16"/>
        </w:rPr>
      </w:pPr>
      <w:r w:rsidRPr="00E14102">
        <w:rPr>
          <w:rStyle w:val="a6"/>
          <w:bCs/>
          <w:i w:val="0"/>
          <w:color w:val="000000" w:themeColor="text1"/>
          <w:sz w:val="16"/>
          <w:szCs w:val="16"/>
        </w:rPr>
        <w:t>17 декабря</w:t>
      </w:r>
      <w:r w:rsidRPr="00E14102">
        <w:rPr>
          <w:color w:val="000000" w:themeColor="text1"/>
          <w:sz w:val="16"/>
          <w:szCs w:val="16"/>
        </w:rPr>
        <w:t xml:space="preserve">. </w:t>
      </w:r>
      <w:hyperlink r:id="rId342" w:history="1">
        <w:r w:rsidRPr="00E14102">
          <w:rPr>
            <w:rStyle w:val="a4"/>
            <w:color w:val="000000" w:themeColor="text1"/>
            <w:sz w:val="16"/>
            <w:szCs w:val="16"/>
            <w:u w:val="none"/>
          </w:rPr>
          <w:t>Постановление СНК СССР № С</w:t>
        </w:r>
        <w:r w:rsidRPr="00E14102">
          <w:rPr>
            <w:rStyle w:val="a4"/>
            <w:color w:val="000000" w:themeColor="text1"/>
            <w:sz w:val="16"/>
            <w:szCs w:val="16"/>
            <w:u w:val="none"/>
          </w:rPr>
          <w:noBreakHyphen/>
          <w:t>51с «О реорганизации Главного военно-мобилизационного управления НКТП»</w:t>
        </w:r>
      </w:hyperlink>
      <w:r w:rsidRPr="00E14102">
        <w:rPr>
          <w:color w:val="000000" w:themeColor="text1"/>
          <w:sz w:val="16"/>
          <w:szCs w:val="16"/>
        </w:rPr>
        <w:t>. (ГА РФ. Ф. Р</w:t>
      </w:r>
      <w:r w:rsidRPr="00E14102">
        <w:rPr>
          <w:color w:val="000000" w:themeColor="text1"/>
          <w:sz w:val="16"/>
          <w:szCs w:val="16"/>
        </w:rPr>
        <w:noBreakHyphen/>
        <w:t>8418. Оп. 28. Д. 17. Л. 119) (15460).</w:t>
      </w:r>
    </w:p>
    <w:p w14:paraId="2A98F791" w14:textId="77777777" w:rsidR="003E2723" w:rsidRPr="00E14102" w:rsidRDefault="003E2723" w:rsidP="00E14102">
      <w:pPr>
        <w:pStyle w:val="rtejustify"/>
        <w:spacing w:before="0" w:after="0"/>
        <w:rPr>
          <w:color w:val="000000" w:themeColor="text1"/>
          <w:sz w:val="16"/>
          <w:szCs w:val="16"/>
        </w:rPr>
      </w:pPr>
    </w:p>
    <w:p w14:paraId="495E48D9" w14:textId="77777777" w:rsidR="003E2723" w:rsidRPr="00E14102" w:rsidRDefault="003E2723" w:rsidP="00E14102">
      <w:pPr>
        <w:jc w:val="both"/>
        <w:rPr>
          <w:rStyle w:val="a6"/>
          <w:i w:val="0"/>
          <w:color w:val="000000" w:themeColor="text1"/>
          <w:sz w:val="16"/>
          <w:szCs w:val="16"/>
        </w:rPr>
      </w:pPr>
      <w:r w:rsidRPr="00E14102">
        <w:rPr>
          <w:rStyle w:val="a6"/>
          <w:i w:val="0"/>
          <w:color w:val="000000" w:themeColor="text1"/>
          <w:sz w:val="16"/>
          <w:szCs w:val="16"/>
        </w:rPr>
        <w:t xml:space="preserve">17 декабря 1935 г. </w:t>
      </w:r>
      <w:r w:rsidRPr="00E14102">
        <w:rPr>
          <w:color w:val="000000" w:themeColor="text1"/>
          <w:sz w:val="16"/>
          <w:szCs w:val="16"/>
        </w:rPr>
        <w:t>Постановление СНК СССР № С-5/с «О реорганизации Главного военно-мобилизационного управления Наркомата тяжелой промышленности»</w:t>
      </w:r>
    </w:p>
    <w:p w14:paraId="411D7823" w14:textId="77777777" w:rsidR="003E2723" w:rsidRPr="00E14102" w:rsidRDefault="003E2723" w:rsidP="00E14102">
      <w:pPr>
        <w:jc w:val="both"/>
        <w:rPr>
          <w:color w:val="000000" w:themeColor="text1"/>
          <w:sz w:val="16"/>
          <w:szCs w:val="16"/>
        </w:rPr>
      </w:pPr>
      <w:r w:rsidRPr="00E14102">
        <w:rPr>
          <w:rStyle w:val="a6"/>
          <w:i w:val="0"/>
          <w:color w:val="000000" w:themeColor="text1"/>
          <w:sz w:val="16"/>
          <w:szCs w:val="16"/>
        </w:rPr>
        <w:t>Секретно.</w:t>
      </w:r>
    </w:p>
    <w:p w14:paraId="22969F3F" w14:textId="77777777" w:rsidR="003E2723" w:rsidRPr="00E14102" w:rsidRDefault="003E2723" w:rsidP="00E14102">
      <w:pPr>
        <w:pStyle w:val="rtejustify"/>
        <w:spacing w:before="0" w:after="0"/>
        <w:rPr>
          <w:color w:val="000000" w:themeColor="text1"/>
          <w:sz w:val="16"/>
          <w:szCs w:val="16"/>
        </w:rPr>
      </w:pPr>
      <w:r w:rsidRPr="00E14102">
        <w:rPr>
          <w:color w:val="000000" w:themeColor="text1"/>
          <w:sz w:val="16"/>
          <w:szCs w:val="16"/>
        </w:rPr>
        <w:t>Совет народных комиссаров Союза ССР постановляет: утвердить следующее предложение т. Орджоникидзе: Главное военно-мобилизационное управление реорганизовать в два главных управления: 1. Главное управление военной промышленности. 2. Главное управление боеприпасов.</w:t>
      </w:r>
    </w:p>
    <w:p w14:paraId="07680723" w14:textId="77777777" w:rsidR="003E2723" w:rsidRPr="00E14102" w:rsidRDefault="003E2723" w:rsidP="00E14102">
      <w:pPr>
        <w:pStyle w:val="rtejustify"/>
        <w:spacing w:before="0" w:after="0"/>
        <w:rPr>
          <w:color w:val="000000" w:themeColor="text1"/>
          <w:sz w:val="16"/>
          <w:szCs w:val="16"/>
        </w:rPr>
      </w:pPr>
      <w:r w:rsidRPr="00E14102">
        <w:rPr>
          <w:color w:val="000000" w:themeColor="text1"/>
          <w:sz w:val="16"/>
          <w:szCs w:val="16"/>
        </w:rPr>
        <w:t>Моботдел из состава ГВМУ выделить. Начальником Моботдела НКТП назначить зам. наркома тяжелой промышленности т. Пятакова.</w:t>
      </w:r>
    </w:p>
    <w:p w14:paraId="3CE675A0" w14:textId="77777777" w:rsidR="003E2723" w:rsidRPr="00E14102" w:rsidRDefault="003E2723" w:rsidP="00E14102">
      <w:pPr>
        <w:pStyle w:val="rtejustify"/>
        <w:spacing w:before="0" w:after="0"/>
        <w:rPr>
          <w:color w:val="000000" w:themeColor="text1"/>
          <w:sz w:val="16"/>
          <w:szCs w:val="16"/>
        </w:rPr>
      </w:pPr>
      <w:r w:rsidRPr="00E14102">
        <w:rPr>
          <w:color w:val="000000" w:themeColor="text1"/>
          <w:sz w:val="16"/>
          <w:szCs w:val="16"/>
        </w:rPr>
        <w:t>Главному управлению военной промышленности подчинить: орудийно-арсенальные заводы, танковые заводы, ружейно-пулеметные заводы, оптико-механические заводы, торпедные заводы.</w:t>
      </w:r>
    </w:p>
    <w:p w14:paraId="703B3F88" w14:textId="77777777" w:rsidR="003E2723" w:rsidRPr="00E14102" w:rsidRDefault="003E2723" w:rsidP="00E14102">
      <w:pPr>
        <w:pStyle w:val="rtejustify"/>
        <w:spacing w:before="0" w:after="0"/>
        <w:rPr>
          <w:color w:val="000000" w:themeColor="text1"/>
          <w:sz w:val="16"/>
          <w:szCs w:val="16"/>
        </w:rPr>
      </w:pPr>
      <w:r w:rsidRPr="00E14102">
        <w:rPr>
          <w:color w:val="000000" w:themeColor="text1"/>
          <w:sz w:val="16"/>
          <w:szCs w:val="16"/>
        </w:rPr>
        <w:t>Главному управлению боеприпасов подчинить: снарядные заводы, трубочные и взрывательные заводы, патронные заводы и заводы пушечных гильз, снаряжательные заводы.</w:t>
      </w:r>
    </w:p>
    <w:p w14:paraId="2C013E64" w14:textId="77777777" w:rsidR="003E2723" w:rsidRPr="00E14102" w:rsidRDefault="003E2723" w:rsidP="00E14102">
      <w:pPr>
        <w:pStyle w:val="rtejustify"/>
        <w:spacing w:before="0" w:after="0"/>
        <w:rPr>
          <w:color w:val="000000" w:themeColor="text1"/>
          <w:sz w:val="16"/>
          <w:szCs w:val="16"/>
        </w:rPr>
      </w:pPr>
      <w:r w:rsidRPr="00E14102">
        <w:rPr>
          <w:color w:val="000000" w:themeColor="text1"/>
          <w:sz w:val="16"/>
          <w:szCs w:val="16"/>
        </w:rPr>
        <w:t>Тресты снарядный, патронно-гильзовый и Вохимтрест ликвидировать. Предложить НКТП¹*: начальником Главного управления военной промышленности назначить т. Павлуновского И. П. Начальником Управления боеприпасов назначить т. Мартиновича К. Ф.</w:t>
      </w:r>
    </w:p>
    <w:p w14:paraId="46C35114" w14:textId="77777777" w:rsidR="003E2723" w:rsidRPr="00E14102" w:rsidRDefault="003E2723"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Председатель Совета народных комиссаров СССР В.</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Молотов</w:t>
      </w:r>
    </w:p>
    <w:p w14:paraId="4E0A426F" w14:textId="77777777" w:rsidR="003E2723" w:rsidRPr="00E14102" w:rsidRDefault="003E2723"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Управляющий делами Совета народных комиссаров СССР И.</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Мирошников</w:t>
      </w:r>
    </w:p>
    <w:p w14:paraId="7AA371D0" w14:textId="77777777" w:rsidR="003E2723" w:rsidRPr="00E14102" w:rsidRDefault="003E2723"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Примечание</w:t>
      </w:r>
      <w:r w:rsidRPr="00E14102">
        <w:rPr>
          <w:rFonts w:ascii="Times New Roman" w:hAnsi="Times New Roman" w:cs="Times New Roman"/>
          <w:color w:val="000000" w:themeColor="text1"/>
          <w:sz w:val="16"/>
          <w:szCs w:val="16"/>
          <w:lang w:val="ru-RU"/>
        </w:rPr>
        <w:t>:</w:t>
      </w:r>
    </w:p>
    <w:p w14:paraId="6B52426E" w14:textId="77777777" w:rsidR="003E2723" w:rsidRPr="00E14102" w:rsidRDefault="003E2723"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¹*</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Два слова вписаны от руки.</w:t>
      </w:r>
    </w:p>
    <w:p w14:paraId="4DCB5831" w14:textId="77777777" w:rsidR="003E2723" w:rsidRPr="00E14102" w:rsidRDefault="003E2723"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ГА РФ. Ф. Р-8418. Оп. 28. Д. 17. Л. 119. Подлинник (15369).</w:t>
      </w:r>
    </w:p>
    <w:p w14:paraId="0D032EBD" w14:textId="77777777" w:rsidR="003E2723" w:rsidRPr="00E14102" w:rsidRDefault="003E2723" w:rsidP="00E14102">
      <w:pPr>
        <w:jc w:val="both"/>
        <w:rPr>
          <w:rStyle w:val="ucoz-forum-post"/>
          <w:rFonts w:eastAsiaTheme="majorEastAsia"/>
          <w:bCs/>
          <w:color w:val="000000" w:themeColor="text1"/>
          <w:sz w:val="16"/>
          <w:szCs w:val="16"/>
        </w:rPr>
      </w:pPr>
    </w:p>
    <w:p w14:paraId="4E24C175" w14:textId="77777777" w:rsidR="00FF7C89" w:rsidRPr="00E14102" w:rsidRDefault="00FF7C89" w:rsidP="00E14102">
      <w:pPr>
        <w:jc w:val="both"/>
        <w:rPr>
          <w:color w:val="000000" w:themeColor="text1"/>
          <w:sz w:val="16"/>
          <w:szCs w:val="16"/>
        </w:rPr>
      </w:pPr>
      <w:r w:rsidRPr="00E14102">
        <w:rPr>
          <w:color w:val="000000" w:themeColor="text1"/>
          <w:sz w:val="16"/>
          <w:szCs w:val="16"/>
        </w:rPr>
        <w:t xml:space="preserve">С 17 декабря 1935 г. по 20 января 1936 г. БТ-ИС на заводе № 48 прошел испытания. На основании полученных в ходе испытаний результатов, комиссией были сделаны следующие выводы: </w:t>
      </w:r>
    </w:p>
    <w:p w14:paraId="731E7334" w14:textId="77777777" w:rsidR="00FF7C89" w:rsidRPr="00E14102" w:rsidRDefault="00FF7C89" w:rsidP="00E14102">
      <w:pPr>
        <w:jc w:val="both"/>
        <w:rPr>
          <w:iCs/>
          <w:color w:val="000000" w:themeColor="text1"/>
          <w:sz w:val="16"/>
          <w:szCs w:val="16"/>
        </w:rPr>
      </w:pPr>
      <w:r w:rsidRPr="00E14102">
        <w:rPr>
          <w:iCs/>
          <w:color w:val="000000" w:themeColor="text1"/>
          <w:sz w:val="16"/>
          <w:szCs w:val="16"/>
        </w:rPr>
        <w:t xml:space="preserve">«1. Три пары ведущих колес имеют преимущество перед одной и двумя парами. </w:t>
      </w:r>
    </w:p>
    <w:p w14:paraId="72367997" w14:textId="77777777" w:rsidR="00FF7C89" w:rsidRPr="00E14102" w:rsidRDefault="00FF7C89" w:rsidP="00E14102">
      <w:pPr>
        <w:jc w:val="both"/>
        <w:rPr>
          <w:iCs/>
          <w:color w:val="000000" w:themeColor="text1"/>
          <w:sz w:val="16"/>
          <w:szCs w:val="16"/>
        </w:rPr>
      </w:pPr>
      <w:r w:rsidRPr="00E14102">
        <w:rPr>
          <w:iCs/>
          <w:color w:val="000000" w:themeColor="text1"/>
          <w:sz w:val="16"/>
          <w:szCs w:val="16"/>
        </w:rPr>
        <w:t xml:space="preserve">2. Преимущества 2-х пар управляемых колес незначительны и практического эффекта не дают (особенно в зимних условиях). </w:t>
      </w:r>
    </w:p>
    <w:p w14:paraId="2EE37EAE" w14:textId="77777777" w:rsidR="00FF7C89" w:rsidRPr="00E14102" w:rsidRDefault="00FF7C89" w:rsidP="00E14102">
      <w:pPr>
        <w:jc w:val="both"/>
        <w:rPr>
          <w:color w:val="000000" w:themeColor="text1"/>
          <w:sz w:val="16"/>
          <w:szCs w:val="16"/>
        </w:rPr>
      </w:pPr>
      <w:r w:rsidRPr="00E14102">
        <w:rPr>
          <w:iCs/>
          <w:color w:val="000000" w:themeColor="text1"/>
          <w:sz w:val="16"/>
          <w:szCs w:val="16"/>
        </w:rPr>
        <w:t>3. Для нормального движения машины на одной гусенице необходимо изменить передаточное отношение к колесам при гусеничной скорости в пределах 0,5 – 0,8 % меньше существующего…»</w:t>
      </w:r>
      <w:r w:rsidRPr="00E14102">
        <w:rPr>
          <w:color w:val="000000" w:themeColor="text1"/>
          <w:sz w:val="16"/>
          <w:szCs w:val="16"/>
        </w:rPr>
        <w:t xml:space="preserve">. </w:t>
      </w:r>
    </w:p>
    <w:p w14:paraId="687FB78B" w14:textId="77777777" w:rsidR="00FF7C89" w:rsidRPr="00E14102" w:rsidRDefault="00FF7C89" w:rsidP="00E14102">
      <w:pPr>
        <w:jc w:val="both"/>
        <w:rPr>
          <w:color w:val="000000" w:themeColor="text1"/>
          <w:sz w:val="16"/>
          <w:szCs w:val="16"/>
        </w:rPr>
      </w:pPr>
      <w:r w:rsidRPr="00E14102">
        <w:rPr>
          <w:bCs/>
          <w:color w:val="000000" w:themeColor="text1"/>
          <w:sz w:val="16"/>
          <w:szCs w:val="16"/>
        </w:rPr>
        <w:t>[РГВА. Ф. 31811. Оп. 3. Д. 580. Л. 18]</w:t>
      </w:r>
    </w:p>
    <w:p w14:paraId="06B143A4" w14:textId="77777777" w:rsidR="00FF7C89" w:rsidRPr="00E14102" w:rsidRDefault="00FF7C89" w:rsidP="00E14102">
      <w:pPr>
        <w:jc w:val="both"/>
        <w:rPr>
          <w:color w:val="000000" w:themeColor="text1"/>
          <w:sz w:val="16"/>
          <w:szCs w:val="16"/>
        </w:rPr>
      </w:pPr>
      <w:r w:rsidRPr="00E14102">
        <w:rPr>
          <w:color w:val="000000" w:themeColor="text1"/>
          <w:sz w:val="16"/>
          <w:szCs w:val="16"/>
        </w:rPr>
        <w:t xml:space="preserve">Созданный во второй половине 1935 г. на базе танка БТ-2, опытный образец танка БТ-ИС в основном соответствовал первоначальному проекту Н.Ф. Цыганова – при движении танка на колёсах, вторые, третьи и четвертые пары колёс являлись ведущими. Исключение составляло количество управляемых колёс – на танке БТ-ИС вместо трех пар управляемых колёс (1,2 и 4), предусмотренных первоначальным проектом, управляемыми были две пары – первая и вторая. В конструкции танка БТ-ИС была реализована возможность движения одновременно на одной из гусениц и на колёсах. В этом случае уравнивание скоростей движения на колесах и гусенице осуществлялось с помощью специальных механизмов – синхронизаторов. Кроме этого танк мог двигаться на гусеницах с включенным приводом подвода крутящего момента к колёсным редукторам вторых, третьих и четвёртых пар опорных катков. Включение и выключение привода подвода крутящего момента, а также синхронизаторов скоростей осуществлялось через систему рычагов и тяг с рабочего места механика-водителя. </w:t>
      </w:r>
    </w:p>
    <w:p w14:paraId="597C8C85" w14:textId="77777777" w:rsidR="00FF7C89" w:rsidRPr="00E14102" w:rsidRDefault="00FF7C89" w:rsidP="00E14102">
      <w:pPr>
        <w:jc w:val="both"/>
        <w:rPr>
          <w:color w:val="000000" w:themeColor="text1"/>
          <w:sz w:val="16"/>
          <w:szCs w:val="16"/>
        </w:rPr>
      </w:pPr>
      <w:r w:rsidRPr="00E14102">
        <w:rPr>
          <w:color w:val="000000" w:themeColor="text1"/>
          <w:sz w:val="16"/>
          <w:szCs w:val="16"/>
        </w:rPr>
        <w:t xml:space="preserve">Благодаря самоотверженной работе коллектива конструкторов, военных ремонтников и вольнонаемных рабочих окружной мастерской, опытный образец танка БТ-ИС удалось создать в сжатые сроки. Фотографии особо отличившихся работников были включены в </w:t>
      </w:r>
      <w:hyperlink r:id="rId343" w:tgtFrame="_blank" w:history="1">
        <w:r w:rsidRPr="00E14102">
          <w:rPr>
            <w:color w:val="000000" w:themeColor="text1"/>
            <w:sz w:val="16"/>
            <w:szCs w:val="16"/>
          </w:rPr>
          <w:t>фотоальбом</w:t>
        </w:r>
      </w:hyperlink>
      <w:r w:rsidRPr="00E14102">
        <w:rPr>
          <w:color w:val="000000" w:themeColor="text1"/>
          <w:sz w:val="16"/>
          <w:szCs w:val="16"/>
        </w:rPr>
        <w:t>, который в конце 1935 г. был отправлен в Москву народному комиссару обороны К.Е. Ворошилову.</w:t>
      </w:r>
    </w:p>
    <w:p w14:paraId="1A27AF06" w14:textId="77777777" w:rsidR="00FF7C89" w:rsidRPr="00E14102" w:rsidRDefault="00FF7C89" w:rsidP="00E14102">
      <w:pPr>
        <w:jc w:val="both"/>
        <w:rPr>
          <w:color w:val="000000" w:themeColor="text1"/>
          <w:sz w:val="16"/>
          <w:szCs w:val="16"/>
        </w:rPr>
      </w:pPr>
      <w:r w:rsidRPr="00E14102">
        <w:rPr>
          <w:color w:val="000000" w:themeColor="text1"/>
          <w:sz w:val="16"/>
          <w:szCs w:val="16"/>
        </w:rPr>
        <w:t xml:space="preserve">Таким образом, целесообразность дальнейших работ по усовершенствованию танков БТ-ИС была подтверждена, после чего К.Е. Ворошиловым и Г.К. Орджоникидзе было принято совместное решение о производстве в 1936 г. опытной серии (10 штук) танков БТ-ИС для проведения войсковых испытаний. Опытную серию танков БТ-ИС было решено изготавливать в г. Харькове на заводе № 48 (17502). </w:t>
      </w:r>
    </w:p>
    <w:p w14:paraId="7F723173" w14:textId="77777777" w:rsidR="00FF7C89" w:rsidRPr="00E14102" w:rsidRDefault="00FF7C89" w:rsidP="00E14102">
      <w:pPr>
        <w:jc w:val="both"/>
        <w:rPr>
          <w:color w:val="000000" w:themeColor="text1"/>
          <w:sz w:val="16"/>
          <w:szCs w:val="16"/>
        </w:rPr>
      </w:pPr>
    </w:p>
    <w:p w14:paraId="5ADFF26D" w14:textId="77777777" w:rsidR="00D4105E" w:rsidRPr="00E14102" w:rsidRDefault="004B7965" w:rsidP="00E14102">
      <w:pPr>
        <w:autoSpaceDE w:val="0"/>
        <w:autoSpaceDN w:val="0"/>
        <w:adjustRightInd w:val="0"/>
        <w:jc w:val="both"/>
        <w:rPr>
          <w:iCs/>
          <w:color w:val="000000" w:themeColor="text1"/>
          <w:sz w:val="16"/>
          <w:szCs w:val="16"/>
          <w:lang w:val="en-US"/>
        </w:rPr>
      </w:pPr>
      <w:r w:rsidRPr="00E14102">
        <w:rPr>
          <w:i/>
          <w:iCs/>
          <w:color w:val="000000" w:themeColor="text1"/>
          <w:sz w:val="16"/>
          <w:szCs w:val="16"/>
        </w:rPr>
        <w:t>За</w:t>
      </w:r>
      <w:r w:rsidRPr="00E14102">
        <w:rPr>
          <w:i/>
          <w:iCs/>
          <w:color w:val="000000" w:themeColor="text1"/>
          <w:sz w:val="16"/>
          <w:szCs w:val="16"/>
          <w:lang w:val="en-US"/>
        </w:rPr>
        <w:t xml:space="preserve"> </w:t>
      </w:r>
      <w:r w:rsidRPr="00E14102">
        <w:rPr>
          <w:i/>
          <w:iCs/>
          <w:color w:val="000000" w:themeColor="text1"/>
          <w:sz w:val="16"/>
          <w:szCs w:val="16"/>
        </w:rPr>
        <w:t>рубежом</w:t>
      </w:r>
      <w:r w:rsidRPr="00E14102">
        <w:rPr>
          <w:i/>
          <w:iCs/>
          <w:color w:val="000000" w:themeColor="text1"/>
          <w:sz w:val="16"/>
          <w:szCs w:val="16"/>
          <w:lang w:val="en-US"/>
        </w:rPr>
        <w:t>:</w:t>
      </w:r>
    </w:p>
    <w:p w14:paraId="5C641DEE" w14:textId="77777777" w:rsidR="00D4105E" w:rsidRPr="00E14102" w:rsidRDefault="00D4105E" w:rsidP="00E14102">
      <w:pPr>
        <w:autoSpaceDE w:val="0"/>
        <w:autoSpaceDN w:val="0"/>
        <w:adjustRightInd w:val="0"/>
        <w:jc w:val="both"/>
        <w:rPr>
          <w:iCs/>
          <w:color w:val="000000" w:themeColor="text1"/>
          <w:sz w:val="16"/>
          <w:szCs w:val="16"/>
          <w:lang w:val="en-US"/>
        </w:rPr>
      </w:pPr>
    </w:p>
    <w:p w14:paraId="2702F4FF" w14:textId="77777777" w:rsidR="001B6990" w:rsidRPr="00E14102" w:rsidRDefault="001B6990" w:rsidP="00E14102">
      <w:pPr>
        <w:jc w:val="both"/>
        <w:rPr>
          <w:color w:val="0070C0"/>
          <w:sz w:val="16"/>
          <w:szCs w:val="16"/>
        </w:rPr>
      </w:pPr>
      <w:r w:rsidRPr="00E14102">
        <w:rPr>
          <w:color w:val="0070C0"/>
          <w:sz w:val="16"/>
          <w:szCs w:val="16"/>
        </w:rPr>
        <w:t>17 декабря 1935 состоялся первый полет Douglas DST, прототипа Douglas DC-3 (20800).</w:t>
      </w:r>
    </w:p>
    <w:p w14:paraId="377DA232" w14:textId="77777777" w:rsidR="001B6990" w:rsidRPr="00E14102" w:rsidRDefault="001B6990" w:rsidP="00E14102">
      <w:pPr>
        <w:contextualSpacing/>
        <w:jc w:val="both"/>
        <w:rPr>
          <w:color w:val="0070C0"/>
          <w:sz w:val="16"/>
          <w:szCs w:val="16"/>
        </w:rPr>
      </w:pPr>
    </w:p>
    <w:p w14:paraId="69C41D8C" w14:textId="77777777" w:rsidR="001B6990" w:rsidRPr="00E14102" w:rsidRDefault="001B6990" w:rsidP="00E14102">
      <w:pPr>
        <w:contextualSpacing/>
        <w:jc w:val="both"/>
        <w:rPr>
          <w:color w:val="0070C0"/>
          <w:sz w:val="16"/>
          <w:szCs w:val="16"/>
        </w:rPr>
      </w:pPr>
      <w:r w:rsidRPr="00E14102">
        <w:rPr>
          <w:color w:val="0070C0"/>
          <w:sz w:val="16"/>
          <w:szCs w:val="16"/>
        </w:rPr>
        <w:t>17 декабря 1935 - Первый полет совершил самолет Douglas DST (DST - «Douglas Sleeper Transport») DC-3, созданный по просьбе авиакомпании «American Airlines», нуждавшейся в дополнительных спальных местах на трансконтинентальных рейсах. DC-3 имел цельнометаллическую конструкцию, за исключением полотняной обшивки на рулевых поверхностях, фюзеляж почти круглого поперечного сечения, убирающееся трехопорное шасси с самоориентирующимся хвостовым колесом и свободнонесущее цельнометаллическое оперение. В последующие пять лет пассажиропоток в США вырос почти в 6 раз в основном благодаря DC-3, чья безопасность стала почти легендарной. Использовался самолет и как военный транспорт, для чего производилось усиление задней части фюзеляжа и пола кабины, а также оснащение большими грузовыми дверями. Эти самолеты, получившие обозначение C-47 «Skytrain», принимали участие в боевых операциях в Сицилии, Бирме и Нормандии, поставлялись по ленд-лизу в Великобританию, где были названы «Дакота». В США было выпущено 10692 таких самолета; еще 5207 были построены по лицензии в СССР под обозначением Ли-2 (22700).</w:t>
      </w:r>
    </w:p>
    <w:p w14:paraId="23AE6558" w14:textId="77777777" w:rsidR="001B6990" w:rsidRPr="00E14102" w:rsidRDefault="001B6990" w:rsidP="00E14102">
      <w:pPr>
        <w:contextualSpacing/>
        <w:jc w:val="both"/>
        <w:rPr>
          <w:color w:val="0070C0"/>
          <w:sz w:val="16"/>
          <w:szCs w:val="16"/>
        </w:rPr>
      </w:pPr>
    </w:p>
    <w:p w14:paraId="07DD279B" w14:textId="77777777" w:rsidR="00D4105E" w:rsidRPr="00E14102" w:rsidRDefault="00D4105E" w:rsidP="00E14102">
      <w:pPr>
        <w:autoSpaceDE w:val="0"/>
        <w:autoSpaceDN w:val="0"/>
        <w:adjustRightInd w:val="0"/>
        <w:jc w:val="both"/>
        <w:rPr>
          <w:color w:val="000000" w:themeColor="text1"/>
          <w:sz w:val="16"/>
          <w:szCs w:val="16"/>
          <w:lang w:val="en-US"/>
        </w:rPr>
      </w:pPr>
      <w:r w:rsidRPr="00E14102">
        <w:rPr>
          <w:color w:val="000000" w:themeColor="text1"/>
          <w:sz w:val="16"/>
          <w:szCs w:val="16"/>
          <w:lang w:val="en-US"/>
        </w:rPr>
        <w:t>During December 1935 Douglas DC-3, one of the most successful airliners in history, first flew. By 1938, it carried the bulk of American air traffic. When production of the DC-3 and its derivatives ended in 1945, some 13,000 had been built (1038).</w:t>
      </w:r>
    </w:p>
    <w:p w14:paraId="4A450740" w14:textId="77777777" w:rsidR="00D4105E" w:rsidRPr="00E14102" w:rsidRDefault="00D4105E" w:rsidP="00E14102">
      <w:pPr>
        <w:autoSpaceDE w:val="0"/>
        <w:autoSpaceDN w:val="0"/>
        <w:adjustRightInd w:val="0"/>
        <w:jc w:val="both"/>
        <w:rPr>
          <w:color w:val="000000" w:themeColor="text1"/>
          <w:sz w:val="16"/>
          <w:szCs w:val="16"/>
          <w:lang w:val="en-US"/>
        </w:rPr>
      </w:pPr>
    </w:p>
    <w:p w14:paraId="553406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первый полет выполнил ДС-3. К 1938 он стал основной пассажирской и транспортной машиной США. До 1945 было построено 13 тыс. (1038).</w:t>
      </w:r>
    </w:p>
    <w:p w14:paraId="47FB9D46" w14:textId="77777777" w:rsidR="00D4105E" w:rsidRPr="00E14102" w:rsidRDefault="00D4105E" w:rsidP="00E14102">
      <w:pPr>
        <w:autoSpaceDE w:val="0"/>
        <w:autoSpaceDN w:val="0"/>
        <w:adjustRightInd w:val="0"/>
        <w:jc w:val="both"/>
        <w:rPr>
          <w:color w:val="000000" w:themeColor="text1"/>
          <w:sz w:val="16"/>
          <w:szCs w:val="16"/>
        </w:rPr>
      </w:pPr>
    </w:p>
    <w:p w14:paraId="1ACD70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декабря 1935 состоялся первый полет американского самолета Дуглас ДС-3, которых было построено свыше 13000 экземпляров (274).</w:t>
      </w:r>
    </w:p>
    <w:p w14:paraId="56518D73" w14:textId="77777777" w:rsidR="00D4105E" w:rsidRPr="00E14102" w:rsidRDefault="00D4105E" w:rsidP="00E14102">
      <w:pPr>
        <w:autoSpaceDE w:val="0"/>
        <w:autoSpaceDN w:val="0"/>
        <w:adjustRightInd w:val="0"/>
        <w:jc w:val="both"/>
        <w:rPr>
          <w:color w:val="000000" w:themeColor="text1"/>
          <w:sz w:val="16"/>
          <w:szCs w:val="16"/>
        </w:rPr>
      </w:pPr>
    </w:p>
    <w:p w14:paraId="11AC5AFC" w14:textId="77777777" w:rsidR="003E2723" w:rsidRPr="00E14102" w:rsidRDefault="003E2723" w:rsidP="00E14102">
      <w:pPr>
        <w:jc w:val="both"/>
        <w:rPr>
          <w:bCs/>
          <w:color w:val="000000" w:themeColor="text1"/>
          <w:sz w:val="16"/>
          <w:szCs w:val="16"/>
        </w:rPr>
      </w:pPr>
      <w:r w:rsidRPr="00E14102">
        <w:rPr>
          <w:rStyle w:val="ucoz-forum-post"/>
          <w:rFonts w:eastAsiaTheme="majorEastAsia"/>
          <w:bCs/>
          <w:color w:val="000000" w:themeColor="text1"/>
          <w:sz w:val="16"/>
          <w:szCs w:val="16"/>
        </w:rPr>
        <w:t xml:space="preserve">17 декабря </w:t>
      </w:r>
      <w:r w:rsidRPr="00E14102">
        <w:rPr>
          <w:color w:val="000000" w:themeColor="text1"/>
          <w:sz w:val="16"/>
          <w:szCs w:val="16"/>
        </w:rPr>
        <w:t>в 1935 году первый полет совершил самолет «Douglas DST» (DST = «Douglas Sleeper Transport») «DC-3», созданный по просьбе авиакомпании «American Airlines», нуждавшейся в дополнительных спальных местах на трансконтинентальных рейсах. «DC-3» имел цельнометаллическую конструкцию, за исключением полотняной обшивки на рулевых поверхностях, фюзеляж почти круглого поперечного сечения, убирающееся трехопорное шасси с самоориентирующимся хвостовым колесом и свободнонесущее цельнометаллическое оперение. В последующие пять лет пассажиропоток в США вырос почти в 6 раз в основном благодаря «DC-3», чья безопасность стала почти легендарной. Использовался самолет и как военный транспорт, для чего производилось усиление задней части фюзеляжа и пола кабины, а также оснащение большими грузовыми дверями. Эти самолеты, получившие обозначение «C-47» «Skytrain», принимали участие в боевых операциях в Сицилии, Бирме и Нормандии, поставлялись по ленд-лизу в Великобританию, где были названы «Дакота». В США было выпущено 10692 таких самолета; еще около 2000 были построены по лицензии в СССР под обозначением «Ли-2». «С-47» участвовали в Корейской войне и под обозначением «AC-47D» были развернуты во Вьетнаме. ВМС США и Корпус морской пехоты также использовали этот самолет под основным обозначением R4D. Модификации: «DST» - первоначальная модель (28 пассажиров) и двигателями «Wright» «Cyclone» (построен 21 самолет); «DST-A» - оснащенный звездообразными поршневыми двигателями «Pratt-Whitney» «Twin Wasp» (построено 19 самолетов); «DC-3» - базовая пассажирская модель для дневных полетов (от 21 до 28 пассажиров) и двигателями «Cyclone» (построено 266 машин); «DC-3A» - базовая пассажирская модель для дневных полетов, оснащенная звездообразными поршневыми двигателями «Twin Wasp» (построено 114 машин); «DC-3B» - конвертируемая модель с сиденьями-койками в переднем салоне и сиденьями в заднем салоне, рассчитанная на 28 пассажиров для дневных полетов и нескольких человек для ночных полетов; (построено 10 машин); «С-47» - военная модель с увеличенным на 15,2 см размахом крыла, с новым расположением топливных баков, со звездообразными поршневыми двигателями «R-1830-92», с небольшим астрокуполом, вмещавшая 2722 кг полезного груза или 28 парашютистов, или 14 раненых с тремя сопровождающими (построено 965 самолетов); «RC-47A» - применялась в Корее для разведывательных операций и для сбрасывания осветительных бомб; «SС-47A» - поисково-спасательный вариант; «VC-47A» - модификация предназначена для перевозки личного состава; С-47B - вариант для полетов «над снежным куполом» между Индией и Китаем (построено 3232 машины); «ТС-47В» - учебный самолет для обучения навигации (построено 133 самолета); «XC-47C» - экспериментальная модель с 2 амфибийными поплавками «Edo Mod.78», каждый из которых был способен вмеcтить около 1136 л топлива; «RC-47D» - разведывательный вариант; «SC-47D» - поисково-спасательный вариант; «TC-47D» - модификация в качестве учебного самолета; С-53 «Skytrooper» - вариант для перевозки войск с 28 сиденьями, крюком для буксировки планера, без грузовой двери и оснащенный звездообразными поршневыми двигателями «R-1830-92» (221 самолет построен в Санта-Монике); «С-117А» - транспортный самолет для перевозки личного состава (21 человек); «XCG-17» - экспериментальный планер для перевозки войск; «R4D-1» - грузовая модель для ВМС США (100 машин построено в Лонг-Бич); «Dakota» Mk.I - самолет ВВС Великобритании, аналогичный варианту «С-47» (52 самолета были получены по ленд-лизу); «Dakota» «Mk.II» - самолет ВВС Великобритании, аналогичный варианту «С-53» (девять самолетов были получены по ленд-лизу) ; «Dakota» «Mk.III» - самолет ВВС Великобритании, аналогичный варианту «С-47А» (12 самолетов были получены от ВВС США и 950 поставлены по ленд-лизу); «Dakota» Mk.IV - самолет ВВС Великобритании, аналогичный варианту «С-47В» (896 самолетов были получены по ленд-лизу); «Showa L2D» - выпущенный по лицензии японской компанией Mitsui; ЛТХ: Размах крыла 28,96 м; Длина 19,57 м; Высота 5,16 м; Площадь крыла 91,69 м2; Масса взлетная 11793 кг; Двигатели два «Pratt-Whitney» «R-1830-93» «Twin Wasp» (1200 л.с.); Максимальная скорость 369 км/час; Практическая дальность 3420 км; Практический потолок 7070 м; Экипаж 3; Полезная нагрузка 2722 кг груза или 28 парашютистов или 14 раненых с 3 сопровождающими.</w:t>
      </w:r>
    </w:p>
    <w:p w14:paraId="1C2B1FBC" w14:textId="77777777" w:rsidR="003E2723" w:rsidRPr="00E14102" w:rsidRDefault="003E2723" w:rsidP="00E14102">
      <w:pPr>
        <w:jc w:val="both"/>
        <w:rPr>
          <w:rStyle w:val="ucoz-forum-post"/>
          <w:rFonts w:eastAsiaTheme="majorEastAsia"/>
          <w:color w:val="000000" w:themeColor="text1"/>
          <w:sz w:val="16"/>
          <w:szCs w:val="16"/>
        </w:rPr>
      </w:pPr>
      <w:r w:rsidRPr="00E14102">
        <w:rPr>
          <w:rStyle w:val="ucoz-forum-post"/>
          <w:rFonts w:eastAsiaTheme="majorEastAsia"/>
          <w:color w:val="000000" w:themeColor="text1"/>
          <w:sz w:val="16"/>
          <w:szCs w:val="16"/>
        </w:rPr>
        <w:t>Выпускался в больших количествах (свыше 13000 экз.) в пассажирском и (под обозначением С-47) военно-транспортном вариантах. В СССР выпускался под названием Ли-2 (14863).</w:t>
      </w:r>
    </w:p>
    <w:p w14:paraId="3D6D2CE3" w14:textId="77777777" w:rsidR="003E2723" w:rsidRPr="00E14102" w:rsidRDefault="003E2723" w:rsidP="00E14102">
      <w:pPr>
        <w:jc w:val="both"/>
        <w:rPr>
          <w:rStyle w:val="ucoz-forum-post"/>
          <w:rFonts w:eastAsiaTheme="majorEastAsia"/>
          <w:color w:val="000000" w:themeColor="text1"/>
          <w:sz w:val="16"/>
          <w:szCs w:val="16"/>
        </w:rPr>
      </w:pPr>
    </w:p>
    <w:p w14:paraId="5EF226CD" w14:textId="77777777" w:rsidR="008709CC" w:rsidRPr="00E14102" w:rsidRDefault="008709CC" w:rsidP="00E14102">
      <w:pPr>
        <w:jc w:val="both"/>
        <w:rPr>
          <w:color w:val="0070C0"/>
          <w:sz w:val="16"/>
          <w:szCs w:val="16"/>
        </w:rPr>
      </w:pPr>
      <w:r w:rsidRPr="00E14102">
        <w:rPr>
          <w:color w:val="0070C0"/>
          <w:sz w:val="16"/>
          <w:szCs w:val="16"/>
        </w:rPr>
        <w:t>17 декабря 1935 г. юристы штаба USAAC нашли формальный повод оплатить сданный самолет и продолжить его разработку, т.к. хвостовая часть была повреждена лишь частично и могла использоваться для тренировки стрелков верхней и бортовых пулеметных установок (нижняя была разрушена).</w:t>
      </w:r>
    </w:p>
    <w:p w14:paraId="0AC75F44" w14:textId="77777777" w:rsidR="008709CC" w:rsidRPr="00E14102" w:rsidRDefault="008709CC" w:rsidP="00E14102">
      <w:pPr>
        <w:jc w:val="both"/>
        <w:rPr>
          <w:color w:val="0070C0"/>
          <w:sz w:val="16"/>
          <w:szCs w:val="16"/>
        </w:rPr>
      </w:pPr>
      <w:r w:rsidRPr="00E14102">
        <w:rPr>
          <w:color w:val="0070C0"/>
          <w:sz w:val="16"/>
          <w:szCs w:val="16"/>
        </w:rPr>
        <w:t>После катастрофы 30 октября 1935 г. в первом же полете Боинг Модель 299 по программе официальных испытаний начальник штаба (командующий) Армии США ген. М. Крейг (Malin Craig) отменил заказ на 65 серийных самолетов В-17, отдав распоряжение на те же деньги закупить 130 самолетов Douglas B-18. Также предполагалось не оплачивать фирме опытный самолет, поскольку было определено, что он разбился из-за КПН</w:t>
      </w:r>
    </w:p>
    <w:p w14:paraId="1D9E708C" w14:textId="77777777" w:rsidR="008709CC" w:rsidRPr="00E14102" w:rsidRDefault="008709CC" w:rsidP="00E14102">
      <w:pPr>
        <w:jc w:val="both"/>
        <w:rPr>
          <w:color w:val="0070C0"/>
          <w:sz w:val="16"/>
          <w:szCs w:val="16"/>
        </w:rPr>
      </w:pPr>
      <w:r w:rsidRPr="00E14102">
        <w:rPr>
          <w:color w:val="0070C0"/>
          <w:sz w:val="16"/>
          <w:szCs w:val="16"/>
        </w:rPr>
        <w:t xml:space="preserve"> После нового разбирательства было решено оплатить фирме «Боинг» строительство серии из 13 (по др. данным – 14) самолетов YB-17 для войсковых испытаний. Таким образом, разработка проекта была продолжена (23158).</w:t>
      </w:r>
    </w:p>
    <w:p w14:paraId="62507137" w14:textId="77777777" w:rsidR="008709CC" w:rsidRPr="00E14102" w:rsidRDefault="008709CC" w:rsidP="00E14102">
      <w:pPr>
        <w:jc w:val="both"/>
        <w:rPr>
          <w:color w:val="0070C0"/>
          <w:sz w:val="16"/>
          <w:szCs w:val="16"/>
        </w:rPr>
      </w:pPr>
    </w:p>
    <w:p w14:paraId="205FE625" w14:textId="77777777" w:rsidR="00FF7430" w:rsidRPr="00E14102" w:rsidRDefault="00FF7430" w:rsidP="00E14102">
      <w:pPr>
        <w:jc w:val="both"/>
        <w:rPr>
          <w:rStyle w:val="ucoz-forum-post"/>
          <w:rFonts w:eastAsiaTheme="majorEastAsia"/>
          <w:color w:val="000000" w:themeColor="text1"/>
          <w:sz w:val="16"/>
          <w:szCs w:val="16"/>
        </w:rPr>
      </w:pPr>
      <w:r w:rsidRPr="00E14102">
        <w:rPr>
          <w:rStyle w:val="ucoz-forum-post"/>
          <w:rFonts w:eastAsiaTheme="majorEastAsia"/>
          <w:bCs/>
          <w:color w:val="000000" w:themeColor="text1"/>
          <w:sz w:val="16"/>
          <w:szCs w:val="16"/>
        </w:rPr>
        <w:t xml:space="preserve">17 декабря 1935 </w:t>
      </w:r>
      <w:r w:rsidRPr="00E14102">
        <w:rPr>
          <w:rStyle w:val="ucoz-forum-post"/>
          <w:rFonts w:eastAsiaTheme="majorEastAsia"/>
          <w:color w:val="000000" w:themeColor="text1"/>
          <w:sz w:val="16"/>
          <w:szCs w:val="16"/>
        </w:rPr>
        <w:t>Первый полёт летающей лодки Consolidated PB2Y Coronado (14863).</w:t>
      </w:r>
    </w:p>
    <w:p w14:paraId="1A0CDF94" w14:textId="77777777" w:rsidR="00FF7430" w:rsidRPr="00E14102" w:rsidRDefault="00FF7430" w:rsidP="00E14102">
      <w:pPr>
        <w:jc w:val="both"/>
        <w:rPr>
          <w:rStyle w:val="ucoz-forum-post"/>
          <w:rFonts w:eastAsiaTheme="majorEastAsia"/>
          <w:color w:val="000000" w:themeColor="text1"/>
          <w:sz w:val="16"/>
          <w:szCs w:val="16"/>
        </w:rPr>
      </w:pPr>
    </w:p>
    <w:p w14:paraId="7AE9E4D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79FCEF28" w14:textId="77777777" w:rsidR="00D4105E" w:rsidRPr="00E14102" w:rsidRDefault="00D4105E" w:rsidP="00E14102">
      <w:pPr>
        <w:autoSpaceDE w:val="0"/>
        <w:autoSpaceDN w:val="0"/>
        <w:adjustRightInd w:val="0"/>
        <w:jc w:val="both"/>
        <w:rPr>
          <w:iCs/>
          <w:color w:val="000000" w:themeColor="text1"/>
          <w:sz w:val="16"/>
          <w:szCs w:val="16"/>
        </w:rPr>
      </w:pPr>
    </w:p>
    <w:p w14:paraId="1BBD9657" w14:textId="77777777" w:rsidR="003B3CE3" w:rsidRPr="00E14102" w:rsidRDefault="003B3CE3" w:rsidP="00E14102">
      <w:pPr>
        <w:jc w:val="both"/>
        <w:rPr>
          <w:color w:val="0070C0"/>
          <w:sz w:val="16"/>
          <w:szCs w:val="16"/>
        </w:rPr>
      </w:pPr>
      <w:r w:rsidRPr="00E14102">
        <w:rPr>
          <w:color w:val="0070C0"/>
          <w:sz w:val="16"/>
          <w:szCs w:val="16"/>
        </w:rPr>
        <w:t xml:space="preserve">18 декабря 1935 состоялся первый полет Miles M.7 Nighthawk (20800). </w:t>
      </w:r>
    </w:p>
    <w:p w14:paraId="533D4FE9" w14:textId="77777777" w:rsidR="003B3CE3" w:rsidRPr="00E14102" w:rsidRDefault="003B3CE3" w:rsidP="00E14102">
      <w:pPr>
        <w:jc w:val="both"/>
        <w:rPr>
          <w:color w:val="0070C0"/>
          <w:sz w:val="16"/>
          <w:szCs w:val="16"/>
        </w:rPr>
      </w:pPr>
    </w:p>
    <w:p w14:paraId="722F8258" w14:textId="77777777" w:rsidR="003B3CE3" w:rsidRPr="00E14102" w:rsidRDefault="003B3CE3" w:rsidP="00E14102">
      <w:pPr>
        <w:jc w:val="both"/>
        <w:rPr>
          <w:color w:val="0070C0"/>
          <w:sz w:val="16"/>
          <w:szCs w:val="16"/>
        </w:rPr>
      </w:pPr>
      <w:r w:rsidRPr="00E14102">
        <w:rPr>
          <w:color w:val="0070C0"/>
          <w:sz w:val="16"/>
          <w:szCs w:val="16"/>
        </w:rPr>
        <w:t>18 декабря 1935 - Первый полет Miles M.7 Nighthawk. Предназначался в первую очередь для обучения ночным полётам, полётам по приборам, навигации и для обучения радистов. Также предусматривалось его применение в качестве скоростного трёхместного самолёта связи. Miles M.7 Nighthawk представлял собой дальнейшее развитие легкого самолёта M.3E Falcon Six с сиденьями и органами управления, изменёнными таким образом, чтобы инструктор и курсант сидели впереди бок о бок. Центральная Y-образная ручка управления могла быть заменена на штурвал. Более поздняя версия самолёта была оснащена штурвалом "перекидного" типа (22699).</w:t>
      </w:r>
    </w:p>
    <w:p w14:paraId="23A86EF8" w14:textId="77777777" w:rsidR="003B3CE3" w:rsidRPr="00E14102" w:rsidRDefault="003B3CE3" w:rsidP="00E14102">
      <w:pPr>
        <w:jc w:val="both"/>
        <w:rPr>
          <w:color w:val="0070C0"/>
          <w:sz w:val="16"/>
          <w:szCs w:val="16"/>
        </w:rPr>
      </w:pPr>
    </w:p>
    <w:p w14:paraId="0FB5E375" w14:textId="77777777" w:rsidR="003B3CE3" w:rsidRPr="00E14102" w:rsidRDefault="003B3CE3" w:rsidP="00E14102">
      <w:pPr>
        <w:jc w:val="both"/>
        <w:rPr>
          <w:color w:val="0070C0"/>
          <w:sz w:val="16"/>
          <w:szCs w:val="16"/>
        </w:rPr>
      </w:pPr>
      <w:r w:rsidRPr="00E14102">
        <w:rPr>
          <w:color w:val="0070C0"/>
          <w:sz w:val="16"/>
          <w:szCs w:val="16"/>
        </w:rPr>
        <w:t>18 декабря 1935 - Начало успешного перелёта на самолёте Caudron C.635. Пилоты Женин и Роберт, пилотировали С.635, прозванный "Годи Радио", и начали перелет 18 декабря 1935 года в Ле Бурже, а через 57 часов 36 минут приземлились в Антананариву на Мадагаскаре, покрыв дистанцию в 8665 км (22699).</w:t>
      </w:r>
    </w:p>
    <w:p w14:paraId="4FE3BE4B" w14:textId="77777777" w:rsidR="003B3CE3" w:rsidRPr="00E14102" w:rsidRDefault="003B3CE3" w:rsidP="00E14102">
      <w:pPr>
        <w:jc w:val="both"/>
        <w:rPr>
          <w:color w:val="0070C0"/>
          <w:sz w:val="16"/>
          <w:szCs w:val="16"/>
        </w:rPr>
      </w:pPr>
    </w:p>
    <w:p w14:paraId="776FD6D3" w14:textId="77777777" w:rsidR="00FF7430" w:rsidRPr="00E14102" w:rsidRDefault="00FF7430" w:rsidP="00E14102">
      <w:pPr>
        <w:jc w:val="both"/>
        <w:rPr>
          <w:color w:val="000000" w:themeColor="text1"/>
          <w:sz w:val="16"/>
          <w:szCs w:val="16"/>
        </w:rPr>
      </w:pPr>
      <w:r w:rsidRPr="00E14102">
        <w:rPr>
          <w:rStyle w:val="ucoz-forum-post"/>
          <w:rFonts w:eastAsiaTheme="majorEastAsia"/>
          <w:bCs/>
          <w:color w:val="000000" w:themeColor="text1"/>
          <w:sz w:val="16"/>
          <w:szCs w:val="16"/>
        </w:rPr>
        <w:t xml:space="preserve">18 декабря </w:t>
      </w:r>
      <w:r w:rsidRPr="00E14102">
        <w:rPr>
          <w:color w:val="000000" w:themeColor="text1"/>
          <w:sz w:val="16"/>
          <w:szCs w:val="16"/>
        </w:rPr>
        <w:t>в 1935 году начало успешного перелёта на самолёте «Caudron» «C.635». Пилоты Женин и Роберт, пилотировали «С.635», прозванный "Годи Радио", и начали перелет 18 декабря 1935 года в Ле Бурже, а через 57 часов 36 минут приземлились в Антананариву на Мадагаскаре, покрыв дистанцию в 8665 км (14864).</w:t>
      </w:r>
    </w:p>
    <w:p w14:paraId="18916241" w14:textId="77777777" w:rsidR="00FF7430" w:rsidRPr="00E14102" w:rsidRDefault="00FF7430" w:rsidP="00E14102">
      <w:pPr>
        <w:jc w:val="both"/>
        <w:rPr>
          <w:color w:val="000000" w:themeColor="text1"/>
          <w:sz w:val="16"/>
          <w:szCs w:val="16"/>
        </w:rPr>
      </w:pPr>
    </w:p>
    <w:p w14:paraId="1C7305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 декабря 1935 вступили в силу экономические санкции Лиги наций против Италии (3186).</w:t>
      </w:r>
    </w:p>
    <w:p w14:paraId="03B9CBD3" w14:textId="77777777" w:rsidR="00D4105E" w:rsidRPr="00E14102" w:rsidRDefault="00D4105E" w:rsidP="00E14102">
      <w:pPr>
        <w:autoSpaceDE w:val="0"/>
        <w:autoSpaceDN w:val="0"/>
        <w:adjustRightInd w:val="0"/>
        <w:jc w:val="both"/>
        <w:rPr>
          <w:color w:val="000000" w:themeColor="text1"/>
          <w:sz w:val="16"/>
          <w:szCs w:val="16"/>
        </w:rPr>
      </w:pPr>
    </w:p>
    <w:p w14:paraId="09CD1C5F" w14:textId="77777777" w:rsidR="00CC1B46" w:rsidRPr="00E14102" w:rsidRDefault="00CC1B46" w:rsidP="00E14102">
      <w:pPr>
        <w:autoSpaceDE w:val="0"/>
        <w:autoSpaceDN w:val="0"/>
        <w:adjustRightInd w:val="0"/>
        <w:jc w:val="both"/>
        <w:rPr>
          <w:bCs/>
          <w:color w:val="000000" w:themeColor="text1"/>
          <w:sz w:val="16"/>
          <w:szCs w:val="16"/>
        </w:rPr>
      </w:pPr>
      <w:r w:rsidRPr="00E14102">
        <w:rPr>
          <w:color w:val="000000" w:themeColor="text1"/>
          <w:sz w:val="16"/>
          <w:szCs w:val="16"/>
        </w:rPr>
        <w:t xml:space="preserve">18 декабря 1935 г. Бенито Муссолини просит итальянцев пожертвовать в казну золото - </w:t>
      </w:r>
      <w:r w:rsidRPr="00E14102">
        <w:rPr>
          <w:bCs/>
          <w:color w:val="000000" w:themeColor="text1"/>
          <w:sz w:val="16"/>
          <w:szCs w:val="16"/>
        </w:rPr>
        <w:t xml:space="preserve">свои обручальные кольца и другие золотые украшения. Людей пригласили прийти и принести ихзолото </w:t>
      </w:r>
      <w:r w:rsidRPr="00E14102">
        <w:rPr>
          <w:color w:val="000000" w:themeColor="text1"/>
          <w:sz w:val="16"/>
          <w:szCs w:val="16"/>
        </w:rPr>
        <w:t>18 декабря</w:t>
      </w:r>
      <w:r w:rsidRPr="00E14102">
        <w:rPr>
          <w:bCs/>
          <w:color w:val="000000" w:themeColor="text1"/>
          <w:sz w:val="16"/>
          <w:szCs w:val="16"/>
        </w:rPr>
        <w:t xml:space="preserve"> в городские и сельские пункты сбора по всей стране. Несмотря на то, что весь день лил дождь, пришли тысячи женщин. Фашисты назвали </w:t>
      </w:r>
      <w:r w:rsidRPr="00E14102">
        <w:rPr>
          <w:color w:val="000000" w:themeColor="text1"/>
          <w:sz w:val="16"/>
          <w:szCs w:val="16"/>
        </w:rPr>
        <w:t>18 декабря</w:t>
      </w:r>
      <w:r w:rsidRPr="00E14102">
        <w:rPr>
          <w:bCs/>
          <w:color w:val="000000" w:themeColor="text1"/>
          <w:sz w:val="16"/>
          <w:szCs w:val="16"/>
        </w:rPr>
        <w:t xml:space="preserve"> Днем веры. Юные члены фашистского молодежного движения, принимавшие эти кольца, до сих пор с гордостью вспоминают этот день (17328).</w:t>
      </w:r>
    </w:p>
    <w:p w14:paraId="1CC61D44" w14:textId="77777777" w:rsidR="00CC1B46" w:rsidRPr="00E14102" w:rsidRDefault="00CC1B46" w:rsidP="00E14102">
      <w:pPr>
        <w:autoSpaceDE w:val="0"/>
        <w:autoSpaceDN w:val="0"/>
        <w:adjustRightInd w:val="0"/>
        <w:jc w:val="both"/>
        <w:rPr>
          <w:color w:val="000000" w:themeColor="text1"/>
          <w:sz w:val="16"/>
          <w:szCs w:val="16"/>
        </w:rPr>
      </w:pPr>
    </w:p>
    <w:p w14:paraId="775D686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57A57A9" w14:textId="77777777" w:rsidR="00D4105E" w:rsidRPr="00E14102" w:rsidRDefault="00D4105E" w:rsidP="00E14102">
      <w:pPr>
        <w:autoSpaceDE w:val="0"/>
        <w:autoSpaceDN w:val="0"/>
        <w:adjustRightInd w:val="0"/>
        <w:jc w:val="both"/>
        <w:rPr>
          <w:iCs/>
          <w:color w:val="000000" w:themeColor="text1"/>
          <w:sz w:val="16"/>
          <w:szCs w:val="16"/>
        </w:rPr>
      </w:pPr>
    </w:p>
    <w:p w14:paraId="5181C3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 декабря 1935 Базилевич подготовил справку для В.М.М.:</w:t>
      </w:r>
    </w:p>
    <w:p w14:paraId="7A28004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Тов. Ворошилов прислал копию доклада т. Уборевича о крупных недостатках в новых самолетах, которые поступили на вооружение частей.</w:t>
      </w:r>
    </w:p>
    <w:p w14:paraId="6B9EEF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Штурмовик (зав. № 1)</w:t>
      </w:r>
    </w:p>
    <w:p w14:paraId="4B53B7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Р-5 ССС /по замыслу конструкторов должен быть резко улучшенным Р-5 и по скорости (вместо 270-310 клм.) и по вооружению.</w:t>
      </w:r>
    </w:p>
    <w:p w14:paraId="65A296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войсковых испытаниях выявились следующие недостатки:</w:t>
      </w:r>
    </w:p>
    <w:p w14:paraId="2975E8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выбрасывание громадного количества воды через донную трубку радиатора,</w:t>
      </w:r>
    </w:p>
    <w:p w14:paraId="2B6C05B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плохая подача бензина,</w:t>
      </w:r>
    </w:p>
    <w:p w14:paraId="6A2357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теснота кабины летнаба, в которой с парашютом стрелять невозможно, а вследствие наличия острых углов руки работающих раздираются до крови. Бомбовое роружение ненадежно - часто отказывает в действии.</w:t>
      </w:r>
    </w:p>
    <w:p w14:paraId="68D2622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И-16 истребитель (з-д № 21 Горький)</w:t>
      </w:r>
    </w:p>
    <w:p w14:paraId="6A0D6CB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Летчик угорает от плохо отводящихся наружу отработанных газов,</w:t>
      </w:r>
    </w:p>
    <w:p w14:paraId="201028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Шасси самопроизвольно складывается, а при необходимости трудно поднимается и опускается,</w:t>
      </w:r>
    </w:p>
    <w:p w14:paraId="26DF71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Очень долго устанавливается пулемет - 45 мин. Обязательно снимающийся после полета,</w:t>
      </w:r>
    </w:p>
    <w:p w14:paraId="650564E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Компас “КИ" на всех самолетах отказывает. и др.</w:t>
      </w:r>
    </w:p>
    <w:p w14:paraId="1AFCA31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Самолет ТБЗ с М-34 Р (з-д № 22) - ломается стойка 15 шпангоута.</w:t>
      </w:r>
    </w:p>
    <w:p w14:paraId="6908C95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Р-Зет (з—д № 1) разведчик.</w:t>
      </w:r>
    </w:p>
    <w:p w14:paraId="112227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Радиус действия мал - 80 клм.,</w:t>
      </w:r>
    </w:p>
    <w:p w14:paraId="6654A84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Скоропод'емностъ мала - на 500 мтр.-18 мин.,</w:t>
      </w:r>
    </w:p>
    <w:p w14:paraId="58C8E4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Горючего хватает только на 1ч.15м. полета,</w:t>
      </w:r>
    </w:p>
    <w:p w14:paraId="2DFB256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Слабы передние ноги шасси и др.</w:t>
      </w:r>
    </w:p>
    <w:p w14:paraId="16D6FA5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Прошу указания доразослать материал неполучившим членам КО и запросить о мероприятиях т. Орджоникидзе (3429,125).</w:t>
      </w:r>
    </w:p>
    <w:p w14:paraId="504DF913" w14:textId="77777777" w:rsidR="00D4105E" w:rsidRPr="00E14102" w:rsidRDefault="00D4105E" w:rsidP="00E14102">
      <w:pPr>
        <w:autoSpaceDE w:val="0"/>
        <w:autoSpaceDN w:val="0"/>
        <w:adjustRightInd w:val="0"/>
        <w:jc w:val="both"/>
        <w:rPr>
          <w:color w:val="000000" w:themeColor="text1"/>
          <w:sz w:val="16"/>
          <w:szCs w:val="16"/>
        </w:rPr>
      </w:pPr>
    </w:p>
    <w:p w14:paraId="5A592D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декабря 1935 года Базилевич писал письмо N 2444/КО Кагановичу.</w:t>
      </w:r>
    </w:p>
    <w:p w14:paraId="2A284C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октября в КО докладывался вопрос о центральном наддуве системы инж. Трескина для самолета ТБ-3, а также вопрос о специальных самолетах рекорда высоты и скорости со схемой централизованного наддува инж. Трескина.</w:t>
      </w:r>
    </w:p>
    <w:p w14:paraId="670239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Правительство было за постройку центрального наддува и склонялось к необходимости строить и спец. самолет рекорда высоты.</w:t>
      </w:r>
    </w:p>
    <w:p w14:paraId="5B5451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Вопрос был отправлен на заключение техсовета ГУАП и по сообщению КПК и КСК, отражения в новом плане опытного строительства не получил, в части специальных рекордных самолетов системы инж. Трескина и Эберзина.</w:t>
      </w:r>
    </w:p>
    <w:p w14:paraId="4CB89C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доклада Молотову прошу дать информации:</w:t>
      </w:r>
    </w:p>
    <w:p w14:paraId="61625C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 развитии работ по центральному наддуву для ТБ3.</w:t>
      </w:r>
    </w:p>
    <w:p w14:paraId="157315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 специальном самолете рекорда высоты и скорости инж. Эберзина с моторной группой системы инж. Трескина (3569,30).</w:t>
      </w:r>
    </w:p>
    <w:p w14:paraId="7AFC6160" w14:textId="77777777" w:rsidR="00D4105E" w:rsidRPr="00E14102" w:rsidRDefault="00D4105E" w:rsidP="00E14102">
      <w:pPr>
        <w:autoSpaceDE w:val="0"/>
        <w:autoSpaceDN w:val="0"/>
        <w:adjustRightInd w:val="0"/>
        <w:jc w:val="both"/>
        <w:rPr>
          <w:color w:val="000000" w:themeColor="text1"/>
          <w:sz w:val="16"/>
          <w:szCs w:val="16"/>
        </w:rPr>
      </w:pPr>
    </w:p>
    <w:p w14:paraId="43FB7356" w14:textId="77777777" w:rsidR="003B3CE3" w:rsidRPr="00E14102" w:rsidRDefault="003B3CE3" w:rsidP="00E14102">
      <w:pPr>
        <w:jc w:val="both"/>
        <w:rPr>
          <w:color w:val="0070C0"/>
          <w:sz w:val="16"/>
          <w:szCs w:val="16"/>
        </w:rPr>
      </w:pPr>
      <w:r w:rsidRPr="00E14102">
        <w:rPr>
          <w:color w:val="0070C0"/>
          <w:sz w:val="16"/>
          <w:szCs w:val="16"/>
        </w:rPr>
        <w:t>19 декабря 1935 г. на заводе № 39 закончили первый опытный экземпляр СР Кочеригина. Особо отмечалось, что на практике постройка са</w:t>
      </w:r>
      <w:r w:rsidRPr="00E14102">
        <w:rPr>
          <w:color w:val="0070C0"/>
          <w:sz w:val="16"/>
          <w:szCs w:val="16"/>
        </w:rPr>
        <w:softHyphen/>
        <w:t>молета состоялась с большой задержкой, так как при проектировании была принята цельносварная конструкция лонжеронов крыла и центроплана из хромомолибдено</w:t>
      </w:r>
      <w:r w:rsidRPr="00E14102">
        <w:rPr>
          <w:color w:val="0070C0"/>
          <w:sz w:val="16"/>
          <w:szCs w:val="16"/>
        </w:rPr>
        <w:softHyphen/>
        <w:t>вых труб. Это потребовало освоения новой технологии сварки в сочетании с термообработкой. А печи для терми</w:t>
      </w:r>
      <w:r w:rsidRPr="00E14102">
        <w:rPr>
          <w:color w:val="0070C0"/>
          <w:sz w:val="16"/>
          <w:szCs w:val="16"/>
        </w:rPr>
        <w:softHyphen/>
        <w:t>ческого закаливания столь крупных элементов длиной около 4 м на заводе №39 не было, и лонжероны пришлось возить на завод №21 в Горький. При этом получение го</w:t>
      </w:r>
      <w:r w:rsidRPr="00E14102">
        <w:rPr>
          <w:color w:val="0070C0"/>
          <w:sz w:val="16"/>
          <w:szCs w:val="16"/>
        </w:rPr>
        <w:softHyphen/>
        <w:t>товых изделий давалось с большим трудом. Было изготов</w:t>
      </w:r>
      <w:r w:rsidRPr="00E14102">
        <w:rPr>
          <w:color w:val="0070C0"/>
          <w:sz w:val="16"/>
          <w:szCs w:val="16"/>
        </w:rPr>
        <w:softHyphen/>
        <w:t>лено 12 комплектов лонжеронов, чтобы выбрать один год</w:t>
      </w:r>
      <w:r w:rsidRPr="00E14102">
        <w:rPr>
          <w:color w:val="0070C0"/>
          <w:sz w:val="16"/>
          <w:szCs w:val="16"/>
        </w:rPr>
        <w:softHyphen/>
        <w:t>ный. Кроме того, долго возились с системой уборки лыж, довели механизм лишь 13 февраля 1936 г. Впрочем, пер</w:t>
      </w:r>
      <w:r w:rsidRPr="00E14102">
        <w:rPr>
          <w:color w:val="0070C0"/>
          <w:sz w:val="16"/>
          <w:szCs w:val="16"/>
        </w:rPr>
        <w:softHyphen/>
        <w:t>вый полет, который состоялся 22 февраля 1936 г. прове</w:t>
      </w:r>
      <w:r w:rsidRPr="00E14102">
        <w:rPr>
          <w:color w:val="0070C0"/>
          <w:sz w:val="16"/>
          <w:szCs w:val="16"/>
        </w:rPr>
        <w:softHyphen/>
        <w:t>ли на неубираемых лыжах.</w:t>
      </w:r>
    </w:p>
    <w:p w14:paraId="20847240" w14:textId="77777777" w:rsidR="003B3CE3" w:rsidRPr="00E14102" w:rsidRDefault="003B3CE3" w:rsidP="00E14102">
      <w:pPr>
        <w:jc w:val="both"/>
        <w:rPr>
          <w:color w:val="0070C0"/>
          <w:sz w:val="16"/>
          <w:szCs w:val="16"/>
        </w:rPr>
      </w:pPr>
      <w:r w:rsidRPr="00E14102">
        <w:rPr>
          <w:color w:val="0070C0"/>
          <w:sz w:val="16"/>
          <w:szCs w:val="16"/>
        </w:rPr>
        <w:t>Следует отметить, что в период 1935-36 гг. в СССР проектировались несколько скоростных разведчиков СР: С.А. Кочеригина, Д.П. Григоровича, А.И. Путилова, И.Г. Не</w:t>
      </w:r>
      <w:r w:rsidRPr="00E14102">
        <w:rPr>
          <w:color w:val="0070C0"/>
          <w:sz w:val="16"/>
          <w:szCs w:val="16"/>
        </w:rPr>
        <w:softHyphen/>
        <w:t>мана и А.Л. Гиммельфарба. Из этих самолетов только СР Путилова (созданный на базе пассажирского Сталь-11) ориентировался на двигатель жидкостного охлаждения М-100 (Испано-Сюиза 12ybrs). Все остальные конструкто</w:t>
      </w:r>
      <w:r w:rsidRPr="00E14102">
        <w:rPr>
          <w:color w:val="0070C0"/>
          <w:sz w:val="16"/>
          <w:szCs w:val="16"/>
        </w:rPr>
        <w:softHyphen/>
        <w:t>ры в 1935 г. рассчитывали на получение двигателя воздуш</w:t>
      </w:r>
      <w:r w:rsidRPr="00E14102">
        <w:rPr>
          <w:color w:val="0070C0"/>
          <w:sz w:val="16"/>
          <w:szCs w:val="16"/>
        </w:rPr>
        <w:softHyphen/>
        <w:t>ного охлаждения М-85. Между тем, двигателей М-85, да</w:t>
      </w:r>
      <w:r w:rsidRPr="00E14102">
        <w:rPr>
          <w:color w:val="0070C0"/>
          <w:sz w:val="16"/>
          <w:szCs w:val="16"/>
        </w:rPr>
        <w:softHyphen/>
        <w:t>же единичных, для оснащения опытных машин не было, по</w:t>
      </w:r>
      <w:r w:rsidRPr="00E14102">
        <w:rPr>
          <w:color w:val="0070C0"/>
          <w:sz w:val="16"/>
          <w:szCs w:val="16"/>
        </w:rPr>
        <w:softHyphen/>
        <w:t>этому постепенно все претенденты на СР были удалены. (20362).</w:t>
      </w:r>
    </w:p>
    <w:p w14:paraId="141FCA15" w14:textId="77777777" w:rsidR="003B3CE3" w:rsidRPr="00E14102" w:rsidRDefault="003B3CE3" w:rsidP="00E14102">
      <w:pPr>
        <w:shd w:val="clear" w:color="auto" w:fill="FFFFFF"/>
        <w:jc w:val="both"/>
        <w:rPr>
          <w:color w:val="0070C0"/>
          <w:sz w:val="16"/>
          <w:szCs w:val="16"/>
        </w:rPr>
      </w:pPr>
    </w:p>
    <w:p w14:paraId="3F309A2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19 декабря 1935 года вышел Приказ НИИ ВС № 0628 О проведении гос. испытаний опытного самолета КСМ-1 с автомобильным мотором ГАЗ.</w:t>
      </w:r>
    </w:p>
    <w:p w14:paraId="4696DB2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Предъявленный Горьковским автозаводом им. Молотова опытный самолет КСМ-1 с автомобильным мотором ГАЗ принять на гос. испытания.</w:t>
      </w:r>
    </w:p>
    <w:p w14:paraId="2462533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начать 15 декабря 1935 года на аэродроме НИИ ВС (р. Томский) (6815, 235).</w:t>
      </w:r>
    </w:p>
    <w:p w14:paraId="6B1F3BF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84C94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декабря 1935 был закончен производством на 39 заводе СР Кочеригина с опозданием почти на 3 месяца из-за проблем с изготовлением лонжеронов из хромомолибденовых труб (2166).</w:t>
      </w:r>
    </w:p>
    <w:p w14:paraId="1CF831EA" w14:textId="77777777" w:rsidR="00D4105E" w:rsidRPr="00E14102" w:rsidRDefault="00D4105E" w:rsidP="00E14102">
      <w:pPr>
        <w:autoSpaceDE w:val="0"/>
        <w:autoSpaceDN w:val="0"/>
        <w:adjustRightInd w:val="0"/>
        <w:jc w:val="both"/>
        <w:rPr>
          <w:color w:val="000000" w:themeColor="text1"/>
          <w:sz w:val="16"/>
          <w:szCs w:val="16"/>
        </w:rPr>
      </w:pPr>
    </w:p>
    <w:p w14:paraId="789F9D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декабря 1935 года Начальник Управления ВС Алкснис утвердил Отчет о полигонных испытаниях импортного ДАП"а британской фирмы приборов на самолете И-5 М-22</w:t>
      </w:r>
    </w:p>
    <w:p w14:paraId="1E7D1E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w:t>
      </w:r>
    </w:p>
    <w:p w14:paraId="40F967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Начато 28.10.35 г.</w:t>
      </w:r>
    </w:p>
    <w:p w14:paraId="3AF324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Окончено 4.12.35 г.</w:t>
      </w:r>
    </w:p>
    <w:p w14:paraId="1CD5E1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5436AA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Выявить конструктивные и эксплуатационные качества английского ДАП"а на самолете И-5 М-22.</w:t>
      </w:r>
    </w:p>
    <w:p w14:paraId="50332E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68C71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Дымоприбор британской фирмы приборов допустим для применения, согласно сделанных выводов.</w:t>
      </w:r>
    </w:p>
    <w:p w14:paraId="64F08B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Провести испытания прибора с дымосмесью S-IV (3079).</w:t>
      </w:r>
    </w:p>
    <w:p w14:paraId="7B300E89" w14:textId="77777777" w:rsidR="00D4105E" w:rsidRPr="00E14102" w:rsidRDefault="00D4105E" w:rsidP="00E14102">
      <w:pPr>
        <w:autoSpaceDE w:val="0"/>
        <w:autoSpaceDN w:val="0"/>
        <w:adjustRightInd w:val="0"/>
        <w:jc w:val="both"/>
        <w:rPr>
          <w:color w:val="000000" w:themeColor="text1"/>
          <w:sz w:val="16"/>
          <w:szCs w:val="16"/>
        </w:rPr>
      </w:pPr>
    </w:p>
    <w:p w14:paraId="7DAAA0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19 декабря 1935 года Куйбышев и чл. КПК при ЦК ВКП(б) зам. руководителя группы по военно-морским делам Н. Березин писали письмо N 340 сс Сталину, Молотову.</w:t>
      </w:r>
    </w:p>
    <w:p w14:paraId="15DCE6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октябре 1935 года прошла гос. испытания воздушная лодка конструкции проф. Левкова.</w:t>
      </w:r>
    </w:p>
    <w:p w14:paraId="568F5A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Конструкция лодки основана на новом до сих пор не применявшемся принципе. Путем засасывания воздуха сверху и нагнетания его вниз под машиной создается повышенное воздушное давление, поднимающее ее на высоту нескольких сантиметров над поверхностью. Под машиной создается как бы воздушная подушка по которой она и скользит над поверхностью. Нагнетание воздуха под машину производится двумя горизонтальными авиавинтами, приводимыми в движение двумя моторами. Путем специальных жалюзи, расположенных под винтами и управляемых тросами от водителя, создается отбрасывание нагнетаемого воздуха назад, вследствие чего машина получает движение вперед.</w:t>
      </w:r>
    </w:p>
    <w:p w14:paraId="5493CA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Машина, прошедшая ныне гос. испытания является экспериментальным образцом. Однако она целиком оправдала заложенный в нее Левковым принцип. При двух маломощных моторах М-11 машина при движении над водой давала скорость до 110 км/час, показала хорошую автоматическую устойчивость и совершенно спокойный ход. Хорошая устойчивость и спокойный ход оставались и при движении машины при волне до 1 метра высотой. Испытывалась машина и в движении над землей, по болоту, производился подъем из болота при погружении ее на 1/4 метра.</w:t>
      </w:r>
    </w:p>
    <w:p w14:paraId="44BDCA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Испытаниями установлено, что при устранении некоторых дефектов и проведении в жизнь намеченных усовершенствований машина проф. Левкова будет иметь большое значение как в качестве боевого оружия (торпедоносец, охотник за торпедными катерами и подлодками), так и быстроходного транспортного средства.</w:t>
      </w:r>
    </w:p>
    <w:p w14:paraId="40131A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НКОбороны на 1936 год заказывает несколько опытных вариантов этого нового типа...(3502,10-11).</w:t>
      </w:r>
    </w:p>
    <w:p w14:paraId="37FC6517" w14:textId="77777777" w:rsidR="00D4105E" w:rsidRPr="00E14102" w:rsidRDefault="00D4105E" w:rsidP="00E14102">
      <w:pPr>
        <w:autoSpaceDE w:val="0"/>
        <w:autoSpaceDN w:val="0"/>
        <w:adjustRightInd w:val="0"/>
        <w:jc w:val="both"/>
        <w:rPr>
          <w:color w:val="000000" w:themeColor="text1"/>
          <w:sz w:val="16"/>
          <w:szCs w:val="16"/>
        </w:rPr>
      </w:pPr>
    </w:p>
    <w:p w14:paraId="68BEF447" w14:textId="77777777" w:rsidR="00FF7430" w:rsidRPr="00E14102" w:rsidRDefault="00FF7430" w:rsidP="00E14102">
      <w:pPr>
        <w:jc w:val="both"/>
        <w:rPr>
          <w:rStyle w:val="a6"/>
          <w:i w:val="0"/>
          <w:color w:val="000000" w:themeColor="text1"/>
          <w:sz w:val="16"/>
          <w:szCs w:val="16"/>
        </w:rPr>
      </w:pPr>
      <w:r w:rsidRPr="00E14102">
        <w:rPr>
          <w:rStyle w:val="a6"/>
          <w:i w:val="0"/>
          <w:color w:val="000000" w:themeColor="text1"/>
          <w:sz w:val="16"/>
          <w:szCs w:val="16"/>
        </w:rPr>
        <w:t xml:space="preserve">19 декабря 1935 г. </w:t>
      </w:r>
      <w:r w:rsidRPr="00E14102">
        <w:rPr>
          <w:color w:val="000000" w:themeColor="text1"/>
          <w:sz w:val="16"/>
          <w:szCs w:val="16"/>
        </w:rPr>
        <w:t>Докладная записка руководителей группы по военно-морским делам Комиссии партийного контроля в ЦК ВКП(б) и СТО СССР о создании «воздушной лодки»</w:t>
      </w:r>
    </w:p>
    <w:p w14:paraId="00AE283B" w14:textId="77777777" w:rsidR="00FF7430" w:rsidRPr="00E14102" w:rsidRDefault="00FF7430" w:rsidP="00E14102">
      <w:pPr>
        <w:jc w:val="both"/>
        <w:rPr>
          <w:color w:val="000000" w:themeColor="text1"/>
          <w:sz w:val="16"/>
          <w:szCs w:val="16"/>
        </w:rPr>
      </w:pPr>
      <w:r w:rsidRPr="00E14102">
        <w:rPr>
          <w:rStyle w:val="a6"/>
          <w:i w:val="0"/>
          <w:color w:val="000000" w:themeColor="text1"/>
          <w:sz w:val="16"/>
          <w:szCs w:val="16"/>
        </w:rPr>
        <w:t>Совершенно секретно.</w:t>
      </w:r>
    </w:p>
    <w:p w14:paraId="344A0A25" w14:textId="77777777" w:rsidR="00FF7430" w:rsidRPr="00E14102" w:rsidRDefault="00FF7430" w:rsidP="00E14102">
      <w:pPr>
        <w:pStyle w:val="rtejustify"/>
        <w:spacing w:before="0" w:after="0"/>
        <w:rPr>
          <w:color w:val="000000" w:themeColor="text1"/>
          <w:sz w:val="16"/>
          <w:szCs w:val="16"/>
        </w:rPr>
      </w:pPr>
      <w:r w:rsidRPr="00E14102">
        <w:rPr>
          <w:color w:val="000000" w:themeColor="text1"/>
          <w:sz w:val="16"/>
          <w:szCs w:val="16"/>
        </w:rPr>
        <w:t>В октябре сего года прошла государственные испытания воздушная лодка конструкции профессора В. И. Левкова. Конструкция этой воздушной лодки основана на совершенно новом, до сих пор неизвестном принципе. Путем засасывания воздуха сверху и нагнетания его вниз под машиной создается повышенное воздушное давление, подымающее ее на высоту нескольких сантиметров над поверхностью. Под машиной создается как бы воздушная подушка, по которой она и скользит над поверхностью, ее не касаясь. Эта способность машины скользить над поверхностью позволяет ей двигаться одинаково как над водой, так и над сушей. Нагнетание воздуха под машину производится двумя горизонтальными авиавинтами, приводимыми в движение двумя моторами. Путем специальных жалюз, расположенных под винтами и управляемых тросами от водителя, создается отбрасывание нагнетаемого воздуха назад, вследствие чего машина получает движение вперед.</w:t>
      </w:r>
    </w:p>
    <w:p w14:paraId="1773F574" w14:textId="77777777" w:rsidR="00FF7430" w:rsidRPr="00E14102" w:rsidRDefault="00FF7430" w:rsidP="00E14102">
      <w:pPr>
        <w:pStyle w:val="rtejustify"/>
        <w:spacing w:before="0" w:after="0"/>
        <w:rPr>
          <w:color w:val="000000" w:themeColor="text1"/>
          <w:sz w:val="16"/>
          <w:szCs w:val="16"/>
        </w:rPr>
      </w:pPr>
      <w:r w:rsidRPr="00E14102">
        <w:rPr>
          <w:color w:val="000000" w:themeColor="text1"/>
          <w:sz w:val="16"/>
          <w:szCs w:val="16"/>
        </w:rPr>
        <w:t>Машина, прошедшая ныне гос. испытания, является экспериментальным образцом. Однако она целиком оправдала заложенный в нее т. Левковым принцип. При двух маломощных моторах М</w:t>
      </w:r>
      <w:r w:rsidRPr="00E14102">
        <w:rPr>
          <w:color w:val="000000" w:themeColor="text1"/>
          <w:sz w:val="16"/>
          <w:szCs w:val="16"/>
        </w:rPr>
        <w:noBreakHyphen/>
        <w:t>11 машина при движении над водой давала скорость до 110 км в час, показала хорошую автоматическую устойчивость и совершенно спокойный ход. Хорошая устойчивость и спокойный ход оставались и при движении машин на волне до 1 м высотой. Испытывалась машина и в движении над землей, по болоту, производился подъем из болота при погружении ее на 0,25 м. Испытаниями установлено, что при устранении некоторых дефектов и проведении в жизнь намеченных усовершенствований машина проф. Левкова будет иметь большое значение как в качестве боевого оружия (торпедоносец, охотник за торпедными катерами и подлодками), так и быстроходного транспортного средства.</w:t>
      </w:r>
    </w:p>
    <w:p w14:paraId="569C111C" w14:textId="77777777" w:rsidR="00FF7430" w:rsidRPr="00E14102" w:rsidRDefault="00FF7430" w:rsidP="00E14102">
      <w:pPr>
        <w:pStyle w:val="rtejustify"/>
        <w:spacing w:before="0" w:after="0"/>
        <w:rPr>
          <w:color w:val="000000" w:themeColor="text1"/>
          <w:sz w:val="16"/>
          <w:szCs w:val="16"/>
        </w:rPr>
      </w:pPr>
      <w:r w:rsidRPr="00E14102">
        <w:rPr>
          <w:color w:val="000000" w:themeColor="text1"/>
          <w:sz w:val="16"/>
          <w:szCs w:val="16"/>
        </w:rPr>
        <w:t>НК обороны на 1936 г. заказывает несколько опытных вариантов этого нового типа. Однако, ни в какой план научно-исследовательских работ работа проф. Левкова не внесена, организационные вопросы также не решены, между тем как при должной организации можно рассчитывать уже к концу лета будущего 1936 г. получить вполне пригодные для вооружения образцы.</w:t>
      </w:r>
    </w:p>
    <w:p w14:paraId="3C493694" w14:textId="77777777" w:rsidR="00FF7430" w:rsidRPr="00E14102" w:rsidRDefault="00FF7430" w:rsidP="00E14102">
      <w:pPr>
        <w:pStyle w:val="rtejustify"/>
        <w:spacing w:before="0" w:after="0"/>
        <w:rPr>
          <w:color w:val="000000" w:themeColor="text1"/>
          <w:sz w:val="16"/>
          <w:szCs w:val="16"/>
        </w:rPr>
      </w:pPr>
      <w:r w:rsidRPr="00E14102">
        <w:rPr>
          <w:color w:val="000000" w:themeColor="text1"/>
          <w:sz w:val="16"/>
          <w:szCs w:val="16"/>
        </w:rPr>
        <w:t>Было бы чрезвычайно желательно, если бы Вы решили заслушать проф. Левкова на одном из заседаний Комиссии обороны с тем, чтобы наметить необходимые мероприятия для скорейшего продвижения работ проф. Левкова, имеющих, по нашему мнению и по мнению большинства, видевших в действии лодку проф. Левкова, исключительное оборонное значение.</w:t>
      </w:r>
    </w:p>
    <w:p w14:paraId="5FBF8E00" w14:textId="77777777" w:rsidR="00FF7430" w:rsidRPr="00E14102" w:rsidRDefault="00FF7430" w:rsidP="00E14102">
      <w:pPr>
        <w:pStyle w:val="rtejustify"/>
        <w:spacing w:before="0" w:after="0"/>
        <w:rPr>
          <w:color w:val="000000" w:themeColor="text1"/>
          <w:sz w:val="16"/>
          <w:szCs w:val="16"/>
        </w:rPr>
      </w:pPr>
      <w:r w:rsidRPr="00E14102">
        <w:rPr>
          <w:rStyle w:val="a6"/>
          <w:i w:val="0"/>
          <w:color w:val="000000" w:themeColor="text1"/>
          <w:sz w:val="16"/>
          <w:szCs w:val="16"/>
        </w:rPr>
        <w:t>Приложение</w:t>
      </w:r>
      <w:r w:rsidRPr="00E14102">
        <w:rPr>
          <w:color w:val="000000" w:themeColor="text1"/>
          <w:sz w:val="16"/>
          <w:szCs w:val="16"/>
        </w:rPr>
        <w:t>: альбом снимков и эскизов воздушной лодки проф. Левкова¹*.</w:t>
      </w:r>
    </w:p>
    <w:p w14:paraId="52B785B8" w14:textId="77777777" w:rsidR="00FF7430" w:rsidRPr="00E14102" w:rsidRDefault="00FF7430"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Член бюро КПК при ЦК</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ВКП(б), руководитель группы по военно-морским делам Н.</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Куйбышев</w:t>
      </w:r>
    </w:p>
    <w:p w14:paraId="6591B703" w14:textId="77777777" w:rsidR="00FF7430" w:rsidRPr="00E14102" w:rsidRDefault="00FF7430"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Член КПК при ЦК</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ВКП(б), зам. руководителя группы по военно-морским делам Н.</w:t>
      </w:r>
      <w:r w:rsidRPr="00E14102">
        <w:rPr>
          <w:rStyle w:val="a6"/>
          <w:rFonts w:ascii="Times New Roman" w:hAnsi="Times New Roman" w:cs="Times New Roman"/>
          <w:i w:val="0"/>
          <w:color w:val="000000" w:themeColor="text1"/>
          <w:sz w:val="16"/>
          <w:szCs w:val="16"/>
        </w:rPr>
        <w:t> </w:t>
      </w:r>
      <w:r w:rsidRPr="00E14102">
        <w:rPr>
          <w:rStyle w:val="a6"/>
          <w:rFonts w:ascii="Times New Roman" w:hAnsi="Times New Roman" w:cs="Times New Roman"/>
          <w:i w:val="0"/>
          <w:color w:val="000000" w:themeColor="text1"/>
          <w:sz w:val="16"/>
          <w:szCs w:val="16"/>
          <w:lang w:val="ru-RU"/>
        </w:rPr>
        <w:t>Березин</w:t>
      </w:r>
    </w:p>
    <w:p w14:paraId="2226DFC2" w14:textId="77777777" w:rsidR="00FF7430" w:rsidRPr="00E14102" w:rsidRDefault="00FF7430" w:rsidP="00E14102">
      <w:pPr>
        <w:pStyle w:val="ad"/>
        <w:spacing w:before="0" w:after="0"/>
        <w:rPr>
          <w:rFonts w:ascii="Times New Roman" w:hAnsi="Times New Roman" w:cs="Times New Roman"/>
          <w:color w:val="000000" w:themeColor="text1"/>
          <w:sz w:val="16"/>
          <w:szCs w:val="16"/>
          <w:lang w:val="ru-RU"/>
        </w:rPr>
      </w:pPr>
      <w:r w:rsidRPr="00E14102">
        <w:rPr>
          <w:rStyle w:val="a6"/>
          <w:rFonts w:ascii="Times New Roman" w:hAnsi="Times New Roman" w:cs="Times New Roman"/>
          <w:i w:val="0"/>
          <w:color w:val="000000" w:themeColor="text1"/>
          <w:sz w:val="16"/>
          <w:szCs w:val="16"/>
          <w:lang w:val="ru-RU"/>
        </w:rPr>
        <w:t>Примечание</w:t>
      </w:r>
      <w:r w:rsidRPr="00E14102">
        <w:rPr>
          <w:rFonts w:ascii="Times New Roman" w:hAnsi="Times New Roman" w:cs="Times New Roman"/>
          <w:color w:val="000000" w:themeColor="text1"/>
          <w:sz w:val="16"/>
          <w:szCs w:val="16"/>
          <w:lang w:val="ru-RU"/>
        </w:rPr>
        <w:t>:</w:t>
      </w:r>
    </w:p>
    <w:p w14:paraId="4862DE02" w14:textId="77777777" w:rsidR="00FF7430" w:rsidRPr="00E14102" w:rsidRDefault="00FF7430"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¹*</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Приложение в деле отсутствует.</w:t>
      </w:r>
    </w:p>
    <w:p w14:paraId="13EBC5FA" w14:textId="77777777" w:rsidR="00FF7430" w:rsidRPr="00E14102" w:rsidRDefault="00FF7430"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АП РФ. Ф. 3. Оп. 46. Д. 7. Л. 107-108. Подлинник (15370).</w:t>
      </w:r>
    </w:p>
    <w:p w14:paraId="5716B3BA" w14:textId="77777777" w:rsidR="00FF7430" w:rsidRPr="00E14102" w:rsidRDefault="00FF7430" w:rsidP="00E14102">
      <w:pPr>
        <w:jc w:val="both"/>
        <w:rPr>
          <w:color w:val="000000" w:themeColor="text1"/>
          <w:sz w:val="16"/>
          <w:szCs w:val="16"/>
        </w:rPr>
      </w:pPr>
    </w:p>
    <w:p w14:paraId="1CF9D15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6E0F097" w14:textId="77777777" w:rsidR="00D4105E" w:rsidRPr="00E14102" w:rsidRDefault="00D4105E" w:rsidP="00E14102">
      <w:pPr>
        <w:autoSpaceDE w:val="0"/>
        <w:autoSpaceDN w:val="0"/>
        <w:adjustRightInd w:val="0"/>
        <w:jc w:val="both"/>
        <w:rPr>
          <w:iCs/>
          <w:color w:val="000000" w:themeColor="text1"/>
          <w:sz w:val="16"/>
          <w:szCs w:val="16"/>
        </w:rPr>
      </w:pPr>
    </w:p>
    <w:p w14:paraId="6E7A9F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19 и 25 декабря 1935. Протокол заседания Политбюро № 35, 1935 г.</w:t>
      </w:r>
    </w:p>
    <w:p w14:paraId="7149D3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заметке "Новые цены на сахар и кондитерские изделия", опубликованной в газете "Правда"</w:t>
      </w:r>
    </w:p>
    <w:p w14:paraId="3842C4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Признать неправильным, что в "Правде" решение соответствующих органов о снижении цен на сахар опубликовано не как сообщение о снижении цен, а как сообщение о "новых ценах на сахар и кондитерские изделия", что может запутать читателя и дать повод думать, что речь идет о повышении цен, а не о понижении. </w:t>
      </w:r>
    </w:p>
    <w:p w14:paraId="748B02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 Обязать редколлегию "Правды" представить ЦК объяснение на тот счет и сообщить о мерах, принятых ею для предотвращения таких ошибок (11652). </w:t>
      </w:r>
    </w:p>
    <w:p w14:paraId="13FA7910" w14:textId="77777777" w:rsidR="00D4105E" w:rsidRPr="00E14102" w:rsidRDefault="00D4105E" w:rsidP="00E14102">
      <w:pPr>
        <w:autoSpaceDE w:val="0"/>
        <w:autoSpaceDN w:val="0"/>
        <w:adjustRightInd w:val="0"/>
        <w:jc w:val="both"/>
        <w:rPr>
          <w:color w:val="000000" w:themeColor="text1"/>
          <w:sz w:val="16"/>
          <w:szCs w:val="16"/>
        </w:rPr>
      </w:pPr>
    </w:p>
    <w:p w14:paraId="0B0310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19 и 25 декабря 1935. Протокол заседания Политбюро № 35, 1935 г.</w:t>
      </w:r>
    </w:p>
    <w:p w14:paraId="0F8CFB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 Триумфальной площади в Москве </w:t>
      </w:r>
    </w:p>
    <w:p w14:paraId="2E9754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Переименовать Триумфальную площадь в Москве в площадь имени В. Маяковского (11652).</w:t>
      </w:r>
    </w:p>
    <w:p w14:paraId="7E8BD7E9" w14:textId="77777777" w:rsidR="00D4105E" w:rsidRPr="00E14102" w:rsidRDefault="00D4105E" w:rsidP="00E14102">
      <w:pPr>
        <w:autoSpaceDE w:val="0"/>
        <w:autoSpaceDN w:val="0"/>
        <w:adjustRightInd w:val="0"/>
        <w:jc w:val="both"/>
        <w:rPr>
          <w:color w:val="000000" w:themeColor="text1"/>
          <w:sz w:val="16"/>
          <w:szCs w:val="16"/>
        </w:rPr>
      </w:pPr>
    </w:p>
    <w:p w14:paraId="55E6EFF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790CD58" w14:textId="77777777" w:rsidR="00D4105E" w:rsidRPr="00E14102" w:rsidRDefault="00D4105E" w:rsidP="00E14102">
      <w:pPr>
        <w:autoSpaceDE w:val="0"/>
        <w:autoSpaceDN w:val="0"/>
        <w:adjustRightInd w:val="0"/>
        <w:jc w:val="both"/>
        <w:rPr>
          <w:iCs/>
          <w:color w:val="000000" w:themeColor="text1"/>
          <w:sz w:val="16"/>
          <w:szCs w:val="16"/>
        </w:rPr>
      </w:pPr>
    </w:p>
    <w:p w14:paraId="292271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декабря 1935 экипажи и наземный состав, отобранные в Харькове, прибыли в Москву во главе с комэском Кулыгиным и инженером Ковалевским для проведения войсковых испытаний Р-Зет. Войсковые испытания Р-Зет в 43-й (452-й) авиабригаде в Харькове планировали на сентябрь 1935 г., но малая серия из десяти самолётов была готова лишь к концу года. Там они прошли обучение и приняли самолёты. После облёта машин Кулыгин и директор завода Беленкович побывали на приёме у начальника ГУАП М.М. Кагановича. Кулыгин дал свой отзыв о Р-Зет, и прозвучал он довольно благожелательно.</w:t>
      </w:r>
    </w:p>
    <w:p w14:paraId="2957CF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Естественно, серийное производство Р-Зет разворачивалось на заводе № 1, ранее строившем Р-5. В заводской документации он именовался "изделием 38". Серийные машины несколько отличались от опытного образца. Довели до работоспособного состояния бомбовое вооружение, улучшили компоновку кабины летнаба. Верхнюю часть фонаря пилота выполнили съёмной. Её обычно сразу убирали, и кабина становилась полузакрытой. Кроме того, боковые секции фонаря у пилота сделали откидывающимися вниз. Продувало отчаянно, но обзор стал гораздо лучше. Обтекатели колёс, похоже, либо не ставили, либо их сразу же снимали. Дело в том, что на влажном аэродроме они забивались травой и грязью, что могло привести к самопроизвольному торможению и капотированию. По сравнению с опытной, серийные машины потяжелели на 80 - 85 кг, а управление, ранее столь лёгкое, стало более тугим.</w:t>
      </w:r>
    </w:p>
    <w:p w14:paraId="28C10C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января эскадрилья улетела в Харьков. И тут разразился скандал. До Алксниса дошла информация, что группа получила на заводе некие деньги, чем нарушалось правительственное постановление о запрещении денежного вознаграждения военнослужащих представителями промышленности. Он расценил это как подкуп с целью получения положительного отзыва о недоведённом самолёте и предложил отдать Кулыгина под суд за взятку. Каганович устно и письменно доказывал, что деньги выданы законно, поскольку военные экипажи провели часть сдаточных испытаний, возложенных на завод. Всё было оформлено ведомостями. Но формально Алкснис был прав, и в марте 1936 г. Кулыгина сняли с должности.</w:t>
      </w:r>
    </w:p>
    <w:p w14:paraId="110241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 войсковые испытания он всё-таки провести успел. Они выявили в целом те же дефекты, что и государственные: плохой обзор, особенно на рулении и посадке, недоведённость турели Тур-32, отказы тормозов колёс, плохая вентиляция кабин, большой вес на хвосте - костыль увязал в грунте, невозможность пилотирования из задней кабины (мешала радиостанция 13СК). Тем не менее "зет" на вооружение приняли, подписав, однако, совместный протокол ГУАП и НКВМ об устранении дефектов (11995).</w:t>
      </w:r>
    </w:p>
    <w:p w14:paraId="1E9B003F" w14:textId="77777777" w:rsidR="00D4105E" w:rsidRPr="00E14102" w:rsidRDefault="00D4105E" w:rsidP="00E14102">
      <w:pPr>
        <w:autoSpaceDE w:val="0"/>
        <w:autoSpaceDN w:val="0"/>
        <w:adjustRightInd w:val="0"/>
        <w:jc w:val="both"/>
        <w:rPr>
          <w:color w:val="000000" w:themeColor="text1"/>
          <w:sz w:val="16"/>
          <w:szCs w:val="16"/>
        </w:rPr>
      </w:pPr>
    </w:p>
    <w:p w14:paraId="3B6521D1"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20 декабря 1935 года Базилевич писал:</w:t>
      </w:r>
    </w:p>
    <w:p w14:paraId="31CF19D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 Окончательная редакция решения КО по авиации (утверждение предложений Орджоникидзе по повышению качества самолетов и моторов), порученная Межлауку, Орджоникидзе и Алкснису до сих пор еще не закончена. По поручению Межлаука редакция уточняется Алкснисом и Кагановичем, после чего будет завизирована Орджоникидзе.</w:t>
      </w:r>
    </w:p>
    <w:p w14:paraId="711FB29C"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Также до сих пор не собиралась комиссия Ворошилова по морской авиации. Срок истек …. Сбор комиссии намечался Ворошиловым ……, но всякий раз срывался по занятости Ворошилова (3475,162).</w:t>
      </w:r>
    </w:p>
    <w:p w14:paraId="6813F285"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604BCF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 декабря 1935 закончились изыскания прозрачных материалов для козырьков и кабин самолетов, которые проходили с 1 апреля 1935 (6687).</w:t>
      </w:r>
    </w:p>
    <w:p w14:paraId="5759C80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Отв. исполнители:</w:t>
      </w:r>
    </w:p>
    <w:p w14:paraId="2A5B73D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лакокрасочной лаборатории 6-го отдела Краснопольский</w:t>
      </w:r>
    </w:p>
    <w:p w14:paraId="1178850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работы</w:t>
      </w:r>
    </w:p>
    <w:p w14:paraId="5795448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Изучение и обследование исследовательских работ, проводимых в разных организациях Союза по изысканию новых материалов для козырьков и кабин самолетов и усовершенствованию применяемого в настоящее время целлулоида, который не отвечает техническим требованиям вследствие горючести, нестойкости к свету и низким температурам.</w:t>
      </w:r>
    </w:p>
    <w:p w14:paraId="1472ABB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E332A1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Считать возможным принять кристалит на гос. испытания по получении такового на полузаводской установке.</w:t>
      </w:r>
    </w:p>
    <w:p w14:paraId="5BE238D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Провести в 1936 году в лаборатории пластмасс МХТИ им. Менделеева работу по получению прозрачных материалов из хлорвиниловых смол, форсируя одновременно работу по изысканию более высокого качества целлона (6687).</w:t>
      </w:r>
    </w:p>
    <w:p w14:paraId="10ABD92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2BB5FAAB" w14:textId="77777777" w:rsidR="00FF7430"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F5E3B9F" w14:textId="77777777" w:rsidR="00FF7430" w:rsidRPr="00E14102" w:rsidRDefault="00FF7430" w:rsidP="00E14102">
      <w:pPr>
        <w:autoSpaceDE w:val="0"/>
        <w:autoSpaceDN w:val="0"/>
        <w:adjustRightInd w:val="0"/>
        <w:jc w:val="both"/>
        <w:rPr>
          <w:iCs/>
          <w:color w:val="000000" w:themeColor="text1"/>
          <w:sz w:val="16"/>
          <w:szCs w:val="16"/>
        </w:rPr>
      </w:pPr>
    </w:p>
    <w:p w14:paraId="5D224A3B" w14:textId="77777777" w:rsidR="00FF7430" w:rsidRPr="00E14102" w:rsidRDefault="00FF7430" w:rsidP="00E14102">
      <w:pPr>
        <w:jc w:val="both"/>
        <w:rPr>
          <w:bCs/>
          <w:color w:val="000000" w:themeColor="text1"/>
          <w:sz w:val="16"/>
          <w:szCs w:val="16"/>
        </w:rPr>
      </w:pPr>
      <w:r w:rsidRPr="00E14102">
        <w:rPr>
          <w:color w:val="000000" w:themeColor="text1"/>
          <w:sz w:val="16"/>
          <w:szCs w:val="16"/>
        </w:rPr>
        <w:t xml:space="preserve">20 декабря 1935 г. в докладной записке начальника Специального снарядного бюро Г. Г. Гобара председателю СНК СССР В. М. Молотову за 1935 г. были перечислены следующие </w:t>
      </w:r>
      <w:r w:rsidRPr="00E14102">
        <w:rPr>
          <w:rStyle w:val="a6"/>
          <w:bCs/>
          <w:i w:val="0"/>
          <w:color w:val="000000" w:themeColor="text1"/>
          <w:sz w:val="16"/>
          <w:szCs w:val="16"/>
        </w:rPr>
        <w:t>снаряды новых конструкций, поставленные на валовое производство</w:t>
      </w:r>
      <w:r w:rsidRPr="00E14102">
        <w:rPr>
          <w:color w:val="000000" w:themeColor="text1"/>
          <w:sz w:val="16"/>
          <w:szCs w:val="16"/>
        </w:rPr>
        <w:t>: 356</w:t>
      </w:r>
      <w:r w:rsidRPr="00E14102">
        <w:rPr>
          <w:color w:val="000000" w:themeColor="text1"/>
          <w:sz w:val="16"/>
          <w:szCs w:val="16"/>
        </w:rPr>
        <w:noBreakHyphen/>
        <w:t>мм бронебойные снаряды, 356</w:t>
      </w:r>
      <w:r w:rsidRPr="00E14102">
        <w:rPr>
          <w:color w:val="000000" w:themeColor="text1"/>
          <w:sz w:val="16"/>
          <w:szCs w:val="16"/>
        </w:rPr>
        <w:noBreakHyphen/>
        <w:t>мм фугасные снаряды, 180</w:t>
      </w:r>
      <w:r w:rsidRPr="00E14102">
        <w:rPr>
          <w:color w:val="000000" w:themeColor="text1"/>
          <w:sz w:val="16"/>
          <w:szCs w:val="16"/>
        </w:rPr>
        <w:noBreakHyphen/>
        <w:t>мм бронебойные снаряды, 180</w:t>
      </w:r>
      <w:r w:rsidRPr="00E14102">
        <w:rPr>
          <w:color w:val="000000" w:themeColor="text1"/>
          <w:sz w:val="16"/>
          <w:szCs w:val="16"/>
        </w:rPr>
        <w:noBreakHyphen/>
        <w:t>мм фугасные снаряды, 305</w:t>
      </w:r>
      <w:r w:rsidRPr="00E14102">
        <w:rPr>
          <w:color w:val="000000" w:themeColor="text1"/>
          <w:sz w:val="16"/>
          <w:szCs w:val="16"/>
        </w:rPr>
        <w:noBreakHyphen/>
        <w:t>мм бронебойные и фугасные снаряды. (РГАЭ. Ф. 7297. Оп. 38. Д. 269. Л. 260</w:t>
      </w:r>
      <w:r w:rsidRPr="00E14102">
        <w:rPr>
          <w:color w:val="000000" w:themeColor="text1"/>
          <w:sz w:val="16"/>
          <w:szCs w:val="16"/>
        </w:rPr>
        <w:noBreakHyphen/>
        <w:t>262) (15323).</w:t>
      </w:r>
    </w:p>
    <w:p w14:paraId="0786A2DD" w14:textId="77777777" w:rsidR="00FF7430" w:rsidRPr="00E14102" w:rsidRDefault="00FF7430" w:rsidP="00E14102">
      <w:pPr>
        <w:jc w:val="both"/>
        <w:rPr>
          <w:bCs/>
          <w:color w:val="000000" w:themeColor="text1"/>
          <w:sz w:val="16"/>
          <w:szCs w:val="16"/>
        </w:rPr>
      </w:pPr>
    </w:p>
    <w:p w14:paraId="53229B33" w14:textId="77777777" w:rsidR="00FF7430" w:rsidRPr="00E14102" w:rsidRDefault="00FF7430" w:rsidP="00E14102">
      <w:pPr>
        <w:jc w:val="both"/>
        <w:rPr>
          <w:color w:val="000000" w:themeColor="text1"/>
          <w:sz w:val="16"/>
          <w:szCs w:val="16"/>
        </w:rPr>
      </w:pPr>
      <w:r w:rsidRPr="00E14102">
        <w:rPr>
          <w:color w:val="000000" w:themeColor="text1"/>
          <w:sz w:val="16"/>
          <w:szCs w:val="16"/>
        </w:rPr>
        <w:t>20 декабря 1935 г. закончились испытания стрельбой и возкой новой 76-мм полуавтоматической пушки 32-К, явившейся развитием 31-К, которые проходили со 2 ноября.</w:t>
      </w:r>
    </w:p>
    <w:p w14:paraId="71A8E617" w14:textId="77777777" w:rsidR="00FF7430" w:rsidRPr="00E14102" w:rsidRDefault="00FF7430" w:rsidP="00E14102">
      <w:pPr>
        <w:jc w:val="both"/>
        <w:rPr>
          <w:color w:val="000000" w:themeColor="text1"/>
          <w:sz w:val="16"/>
          <w:szCs w:val="16"/>
        </w:rPr>
      </w:pPr>
      <w:r w:rsidRPr="00E14102">
        <w:rPr>
          <w:color w:val="000000" w:themeColor="text1"/>
          <w:sz w:val="16"/>
          <w:szCs w:val="16"/>
        </w:rPr>
        <w:t>Конструкция пушки была сохранена практически без изменений.</w:t>
      </w:r>
    </w:p>
    <w:p w14:paraId="778FF624" w14:textId="77777777" w:rsidR="00FF7430" w:rsidRPr="00E14102" w:rsidRDefault="00FF7430" w:rsidP="00E14102">
      <w:pPr>
        <w:jc w:val="both"/>
        <w:rPr>
          <w:color w:val="000000" w:themeColor="text1"/>
          <w:sz w:val="16"/>
          <w:szCs w:val="16"/>
        </w:rPr>
      </w:pPr>
      <w:r w:rsidRPr="00E14102">
        <w:rPr>
          <w:color w:val="000000" w:themeColor="text1"/>
          <w:sz w:val="16"/>
          <w:szCs w:val="16"/>
        </w:rPr>
        <w:t>Ствол состоял из свободной трубы, кожуха, казенника и щелевого дульного тормоза. Камора идентична Ф-22.</w:t>
      </w:r>
    </w:p>
    <w:p w14:paraId="68E2B198" w14:textId="77777777" w:rsidR="00FF7430" w:rsidRPr="00E14102" w:rsidRDefault="00FF7430" w:rsidP="00E14102">
      <w:pPr>
        <w:jc w:val="both"/>
        <w:rPr>
          <w:color w:val="000000" w:themeColor="text1"/>
          <w:sz w:val="16"/>
          <w:szCs w:val="16"/>
        </w:rPr>
      </w:pPr>
      <w:r w:rsidRPr="00E14102">
        <w:rPr>
          <w:color w:val="000000" w:themeColor="text1"/>
          <w:sz w:val="16"/>
          <w:szCs w:val="16"/>
        </w:rPr>
        <w:t>Образцы № 1 и № 2 имели полуавтоматику механического типа и съемный поддон. Боковины поддона в походном положении навешивают на станины.</w:t>
      </w:r>
    </w:p>
    <w:p w14:paraId="5BC4116C" w14:textId="77777777" w:rsidR="00FF7430" w:rsidRPr="00E14102" w:rsidRDefault="00FF7430" w:rsidP="00E14102">
      <w:pPr>
        <w:jc w:val="both"/>
        <w:rPr>
          <w:color w:val="000000" w:themeColor="text1"/>
          <w:sz w:val="16"/>
          <w:szCs w:val="16"/>
        </w:rPr>
      </w:pPr>
      <w:r w:rsidRPr="00E14102">
        <w:rPr>
          <w:color w:val="000000" w:themeColor="text1"/>
          <w:sz w:val="16"/>
          <w:szCs w:val="16"/>
        </w:rPr>
        <w:t>Образец № 3 имел полуавтоматику 76-мм зенитной пушки обр. 1931 г. (3-К) и несъемный поддон.</w:t>
      </w:r>
    </w:p>
    <w:p w14:paraId="0BDD4A15" w14:textId="77777777" w:rsidR="00FF7430" w:rsidRPr="00E14102" w:rsidRDefault="00FF7430" w:rsidP="00E14102">
      <w:pPr>
        <w:jc w:val="both"/>
        <w:rPr>
          <w:color w:val="000000" w:themeColor="text1"/>
          <w:sz w:val="16"/>
          <w:szCs w:val="16"/>
        </w:rPr>
      </w:pPr>
      <w:r w:rsidRPr="00E14102">
        <w:rPr>
          <w:color w:val="000000" w:themeColor="text1"/>
          <w:sz w:val="16"/>
          <w:szCs w:val="16"/>
        </w:rPr>
        <w:t>Колеса были двух типов:</w:t>
      </w:r>
    </w:p>
    <w:p w14:paraId="436FC60B" w14:textId="77777777" w:rsidR="00FF7430" w:rsidRPr="00E14102" w:rsidRDefault="00FF7430" w:rsidP="00E14102">
      <w:pPr>
        <w:jc w:val="both"/>
        <w:rPr>
          <w:color w:val="000000" w:themeColor="text1"/>
          <w:sz w:val="16"/>
          <w:szCs w:val="16"/>
        </w:rPr>
      </w:pPr>
      <w:r w:rsidRPr="00E14102">
        <w:rPr>
          <w:color w:val="000000" w:themeColor="text1"/>
          <w:sz w:val="16"/>
          <w:szCs w:val="16"/>
        </w:rPr>
        <w:t>а) деревянные диаметром 1230 мм с металлическим ободом шириной 120 мм (от 122-мм гаубицы обр. 1910 г.);</w:t>
      </w:r>
    </w:p>
    <w:p w14:paraId="320D799A" w14:textId="77777777" w:rsidR="00FF7430" w:rsidRPr="00E14102" w:rsidRDefault="00FF7430" w:rsidP="00E14102">
      <w:pPr>
        <w:jc w:val="both"/>
        <w:rPr>
          <w:color w:val="000000" w:themeColor="text1"/>
          <w:sz w:val="16"/>
          <w:szCs w:val="16"/>
        </w:rPr>
      </w:pPr>
      <w:r w:rsidRPr="00E14102">
        <w:rPr>
          <w:color w:val="000000" w:themeColor="text1"/>
          <w:sz w:val="16"/>
          <w:szCs w:val="16"/>
        </w:rPr>
        <w:t>б) металлические диаметром 1240 мм или 1250 мм с шириной обода 100 мм.</w:t>
      </w:r>
    </w:p>
    <w:p w14:paraId="49FEC81C" w14:textId="77777777" w:rsidR="00FF7430" w:rsidRPr="00E14102" w:rsidRDefault="00FF7430" w:rsidP="00E14102">
      <w:pPr>
        <w:jc w:val="both"/>
        <w:rPr>
          <w:color w:val="000000" w:themeColor="text1"/>
          <w:sz w:val="16"/>
          <w:szCs w:val="16"/>
        </w:rPr>
      </w:pPr>
      <w:r w:rsidRPr="00E14102">
        <w:rPr>
          <w:color w:val="000000" w:themeColor="text1"/>
          <w:sz w:val="16"/>
          <w:szCs w:val="16"/>
        </w:rPr>
        <w:t>Система была рассчитана на начальную скорость 740 м/с при весе снаряда 7,1 кг и давлении 2600 кг/см</w:t>
      </w:r>
      <w:r w:rsidRPr="00E14102">
        <w:rPr>
          <w:color w:val="000000" w:themeColor="text1"/>
          <w:sz w:val="16"/>
          <w:szCs w:val="16"/>
          <w:vertAlign w:val="superscript"/>
        </w:rPr>
        <w:t>2</w:t>
      </w:r>
      <w:r w:rsidRPr="00E14102">
        <w:rPr>
          <w:color w:val="000000" w:themeColor="text1"/>
          <w:sz w:val="16"/>
          <w:szCs w:val="16"/>
        </w:rPr>
        <w:t>, или начальную скорость 780 м/с при весе снаряда 6,45 кг. На испытаниях на НИАПе снаряд весом 6,45 кг при заряде 1,66 кг пороха марки 12/7 имел начальную скорость 761,6 м/с и дальность 14 600 м при угле +45°.</w:t>
      </w:r>
    </w:p>
    <w:p w14:paraId="4E4FB8BB" w14:textId="77777777" w:rsidR="00FF7430" w:rsidRPr="00E14102" w:rsidRDefault="00FF7430" w:rsidP="00E14102">
      <w:pPr>
        <w:jc w:val="both"/>
        <w:rPr>
          <w:color w:val="000000" w:themeColor="text1"/>
          <w:sz w:val="16"/>
          <w:szCs w:val="16"/>
        </w:rPr>
      </w:pPr>
      <w:r w:rsidRPr="00E14102">
        <w:rPr>
          <w:color w:val="000000" w:themeColor="text1"/>
          <w:sz w:val="16"/>
          <w:szCs w:val="16"/>
        </w:rPr>
        <w:t>Согласно заключению комиссии НИАПа: надо снизить вес системы с 1572 кг до 1500 кг (как задано для дивизионных систем), доработать полуавтоматику, упрочить сошники. После исправления неисправностей системы можно подавать ее на войсковые испытания. Но до них дело не дошло в связи с успехами Ф-22 (15117).</w:t>
      </w:r>
    </w:p>
    <w:p w14:paraId="636EC09D" w14:textId="77777777" w:rsidR="00FF7430" w:rsidRPr="00E14102" w:rsidRDefault="00FF7430" w:rsidP="00E14102">
      <w:pPr>
        <w:jc w:val="both"/>
        <w:rPr>
          <w:color w:val="000000" w:themeColor="text1"/>
          <w:sz w:val="16"/>
          <w:szCs w:val="16"/>
        </w:rPr>
      </w:pPr>
    </w:p>
    <w:p w14:paraId="2AE0295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749ED46E" w14:textId="77777777" w:rsidR="00D4105E" w:rsidRPr="00E14102" w:rsidRDefault="00D4105E" w:rsidP="00E14102">
      <w:pPr>
        <w:autoSpaceDE w:val="0"/>
        <w:autoSpaceDN w:val="0"/>
        <w:adjustRightInd w:val="0"/>
        <w:jc w:val="both"/>
        <w:rPr>
          <w:iCs/>
          <w:color w:val="000000" w:themeColor="text1"/>
          <w:sz w:val="16"/>
          <w:szCs w:val="16"/>
        </w:rPr>
      </w:pPr>
    </w:p>
    <w:p w14:paraId="0C487A66" w14:textId="77777777" w:rsidR="00103BC7" w:rsidRPr="00E14102" w:rsidRDefault="00103BC7" w:rsidP="00E14102">
      <w:pPr>
        <w:jc w:val="both"/>
        <w:rPr>
          <w:color w:val="000000" w:themeColor="text1"/>
          <w:sz w:val="16"/>
          <w:szCs w:val="16"/>
        </w:rPr>
      </w:pPr>
      <w:r w:rsidRPr="00E14102">
        <w:rPr>
          <w:color w:val="000000" w:themeColor="text1"/>
          <w:sz w:val="16"/>
          <w:szCs w:val="16"/>
        </w:rPr>
        <w:t>20 декабря 1935. На площади Революции открыта гостиница "Москва", уничтоженная в начале XXI века (18720).</w:t>
      </w:r>
    </w:p>
    <w:p w14:paraId="538C4709" w14:textId="77777777" w:rsidR="00103BC7" w:rsidRPr="00E14102" w:rsidRDefault="00103BC7" w:rsidP="00E14102">
      <w:pPr>
        <w:jc w:val="both"/>
        <w:rPr>
          <w:color w:val="000000" w:themeColor="text1"/>
          <w:sz w:val="16"/>
          <w:szCs w:val="16"/>
        </w:rPr>
      </w:pPr>
    </w:p>
    <w:p w14:paraId="478E16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 декабря 1935 появился приказ НКВД № 389:</w:t>
      </w:r>
    </w:p>
    <w:p w14:paraId="30EF40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целях развития стахановского движения в Дмитровском лагере НКВД на строительстве канала Москва-Волга, для поощрения заключенных, которые применяя стахановские методы работы систематически превышают в несколько раз установленные нормы выработки при хорошем качестве выполняемых работ, приказываю:</w:t>
      </w:r>
    </w:p>
    <w:p w14:paraId="658DAF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Начиная с 01.10.35 заключенным-стахановцам, работающим на основных работах по сооружению канала зачет рабочих дней производить согласно утвержденного “Временного положения о зачете рабочих дней” - за 1 день работы засчитывать 2 дня срок или 90 дней за квартал (7560).</w:t>
      </w:r>
    </w:p>
    <w:p w14:paraId="07A502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Объявить заключенным Дмитровского лагеря НКВД, работающим на основных работах строительства канала (земляные, бетонные, гравийные, лесозаготовки и т. п.), что если они начиная с настоящего момента и до конца строительства будут работать по стахановски, то они будут по окончании строительства представлены к досрочному освобождению” (7560).</w:t>
      </w:r>
    </w:p>
    <w:p w14:paraId="606A6644" w14:textId="77777777" w:rsidR="00D4105E" w:rsidRPr="00E14102" w:rsidRDefault="00D4105E" w:rsidP="00E14102">
      <w:pPr>
        <w:autoSpaceDE w:val="0"/>
        <w:autoSpaceDN w:val="0"/>
        <w:adjustRightInd w:val="0"/>
        <w:jc w:val="both"/>
        <w:rPr>
          <w:color w:val="000000" w:themeColor="text1"/>
          <w:sz w:val="16"/>
          <w:szCs w:val="16"/>
        </w:rPr>
      </w:pPr>
    </w:p>
    <w:p w14:paraId="6CE22414"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A8F0A41" w14:textId="77777777" w:rsidR="00D4105E" w:rsidRPr="00E14102" w:rsidRDefault="00D4105E" w:rsidP="00E14102">
      <w:pPr>
        <w:autoSpaceDE w:val="0"/>
        <w:autoSpaceDN w:val="0"/>
        <w:adjustRightInd w:val="0"/>
        <w:jc w:val="both"/>
        <w:rPr>
          <w:iCs/>
          <w:color w:val="000000" w:themeColor="text1"/>
          <w:sz w:val="16"/>
          <w:szCs w:val="16"/>
        </w:rPr>
      </w:pPr>
    </w:p>
    <w:p w14:paraId="1C8924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декабря 1935 Дир. ХАИ Красильников и Нач. Отдела Жолтовский писали письмо N 1456 ГУАП в Самолетный сектор Опытного отдела:</w:t>
      </w:r>
    </w:p>
    <w:p w14:paraId="543D8D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"Просим сообщить Проектному бюро самолетостроения ХАИ, можно ли представить самолет ХАИ-6 на гос. испытания без лыж." (2336,184).</w:t>
      </w:r>
    </w:p>
    <w:p w14:paraId="586BD401" w14:textId="77777777" w:rsidR="00D4105E" w:rsidRPr="00E14102" w:rsidRDefault="00D4105E" w:rsidP="00E14102">
      <w:pPr>
        <w:autoSpaceDE w:val="0"/>
        <w:autoSpaceDN w:val="0"/>
        <w:adjustRightInd w:val="0"/>
        <w:jc w:val="both"/>
        <w:rPr>
          <w:color w:val="000000" w:themeColor="text1"/>
          <w:sz w:val="16"/>
          <w:szCs w:val="16"/>
        </w:rPr>
      </w:pPr>
    </w:p>
    <w:p w14:paraId="3BB101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декабря 1935 г. Начальник НИИ ВС Бажанов утвердил Отчет по испытанию электробомбардировочной установки на самолете Р-5 в г. Оренбурге</w:t>
      </w:r>
    </w:p>
    <w:p w14:paraId="108AF5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w:t>
      </w:r>
    </w:p>
    <w:p w14:paraId="3DFD1B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Начато 1.08.35 г.</w:t>
      </w:r>
    </w:p>
    <w:p w14:paraId="3226B8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Окончено 22.10.35 г.</w:t>
      </w:r>
    </w:p>
    <w:p w14:paraId="1288D9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2716D7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Проверить работу электробомбардировочной установки на самолетах Р-5 в условиях, приближенным к войсковым испытаниям.</w:t>
      </w:r>
    </w:p>
    <w:p w14:paraId="32616B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5E5E39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испытания на самолетах Р-5 электрифицированных бомбодержателей "Дер-7" и "Дер-6", на последних приходилось производить доделки. На основании этого работа их в таком виде, как они есть - является неудовлетворительной (3119).</w:t>
      </w:r>
    </w:p>
    <w:p w14:paraId="5FD74703" w14:textId="77777777" w:rsidR="00D4105E" w:rsidRPr="00E14102" w:rsidRDefault="00D4105E" w:rsidP="00E14102">
      <w:pPr>
        <w:autoSpaceDE w:val="0"/>
        <w:autoSpaceDN w:val="0"/>
        <w:adjustRightInd w:val="0"/>
        <w:jc w:val="both"/>
        <w:rPr>
          <w:color w:val="000000" w:themeColor="text1"/>
          <w:sz w:val="16"/>
          <w:szCs w:val="16"/>
        </w:rPr>
      </w:pPr>
    </w:p>
    <w:p w14:paraId="60CC1B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декабря 1935 г. летчик Владимир Константинович Коккинаки на опытном экземпляре ЦКБ-3, специально облегченном для этого полета, установил мировой ре</w:t>
      </w:r>
      <w:r w:rsidRPr="00E14102">
        <w:rPr>
          <w:color w:val="000000" w:themeColor="text1"/>
          <w:sz w:val="16"/>
          <w:szCs w:val="16"/>
        </w:rPr>
        <w:softHyphen/>
        <w:t>корд высоты, поднявшись на 14575 м. Это на 132 м пре</w:t>
      </w:r>
      <w:r w:rsidRPr="00E14102">
        <w:rPr>
          <w:color w:val="000000" w:themeColor="text1"/>
          <w:sz w:val="16"/>
          <w:szCs w:val="16"/>
        </w:rPr>
        <w:softHyphen/>
        <w:t>вышало высоту, достигнутую в 1934 г. итальянцем Р.Донатти на самолете Капрони-114 (10667).</w:t>
      </w:r>
    </w:p>
    <w:p w14:paraId="1148D0EE" w14:textId="77777777" w:rsidR="00D4105E" w:rsidRPr="00E14102" w:rsidRDefault="00D4105E" w:rsidP="00E14102">
      <w:pPr>
        <w:autoSpaceDE w:val="0"/>
        <w:autoSpaceDN w:val="0"/>
        <w:adjustRightInd w:val="0"/>
        <w:jc w:val="both"/>
        <w:rPr>
          <w:color w:val="000000" w:themeColor="text1"/>
          <w:sz w:val="16"/>
          <w:szCs w:val="16"/>
        </w:rPr>
      </w:pPr>
    </w:p>
    <w:p w14:paraId="3183E7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декабря 1935 года начальник Управления ВС Алкснис утвердил:</w:t>
      </w:r>
    </w:p>
    <w:p w14:paraId="2C54AC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Отчет о госиспытаниях самолета И-16 М-22 № 4217 с неубирающимися шасси постройки завода № 21</w:t>
      </w:r>
    </w:p>
    <w:p w14:paraId="477CFB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начато 21 октября 1935 года</w:t>
      </w:r>
    </w:p>
    <w:p w14:paraId="20D16F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Испытание окончено 16 октября &lt;ноября&gt; 1935 года</w:t>
      </w:r>
    </w:p>
    <w:p w14:paraId="1DBCC5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6E0102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инженер – летчик Алтынов</w:t>
      </w:r>
    </w:p>
    <w:p w14:paraId="37BFB7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 летчик – Стефановский</w:t>
      </w:r>
    </w:p>
    <w:p w14:paraId="50EBAA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7C0395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Госиспытания самолета для сравнительных летных данных с серийным самолетом И-16 М22 с убирающимся шасси.</w:t>
      </w:r>
    </w:p>
    <w:p w14:paraId="308FBB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15271C0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Применение шасси установленного на самолете вполне целесообразно в комбинации с лыжами зимой, при условии возможности установки шасси на те же (и если нужно и на легкоустанавливаемые средствами частей ВС дополнительные) кронштейны крепления шасси убирающегося в полете.</w:t>
      </w:r>
    </w:p>
    <w:p w14:paraId="186AEC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w:t>
      </w:r>
    </w:p>
    <w:p w14:paraId="5912ABC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Применение неубирающегося шасси чрезвычайно полезно для выпуска и предварительной тренировки летчиков как в школах, так и в строю.</w:t>
      </w:r>
    </w:p>
    <w:p w14:paraId="3C55EE6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предъявленном виде неубирающееся шасси самолета И-16 М22 конструкции завода № 21 госиспытаний не выдержало.</w:t>
      </w:r>
    </w:p>
    <w:p w14:paraId="47A6D25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Вполне целесообразна доводка указанного шасси в частности в качестве зимнего варианта в комбинации с лыжами при условии возможности установки его на нормальные серийные самолеты И-16 М-22 силами и средствами частей ВС (7655).</w:t>
      </w:r>
    </w:p>
    <w:p w14:paraId="65DFF193"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5B43876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декабря 1935 года Начальник управления ВС Алкснис утвердил Отчет о гос. испытаниях самолета И-16 М-22 № 4217 с неубирающимися шасси постройки завода № 21 (6698).</w:t>
      </w:r>
    </w:p>
    <w:p w14:paraId="48AEE6B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начато 21 октября 1935 года</w:t>
      </w:r>
    </w:p>
    <w:p w14:paraId="78D6DC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окончено 16 ноября 1935 года</w:t>
      </w:r>
    </w:p>
    <w:p w14:paraId="65E216F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Отв. исполнители</w:t>
      </w:r>
    </w:p>
    <w:p w14:paraId="2D96ED4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инженер-летчик Алтынов</w:t>
      </w:r>
    </w:p>
    <w:p w14:paraId="121A5CF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летчик Стефановский</w:t>
      </w:r>
    </w:p>
    <w:p w14:paraId="186D603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371050A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для сравнительных летных данных с серийным самолетом И-16 М22 с убирающимся шасси.</w:t>
      </w:r>
    </w:p>
    <w:p w14:paraId="07F3057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112658B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Применение шасси установленного на самолете вполне целесообразно в комбинации с лыжами, при условии установки шасси на те же (и если нужно – и на легко устанавливаемые средствами частей ВС дополнительные) кронштейны крепления шасси убирающегося в полете.</w:t>
      </w:r>
    </w:p>
    <w:p w14:paraId="07252E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 (6698).</w:t>
      </w:r>
    </w:p>
    <w:p w14:paraId="386F36EA"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1D9A86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декабря 1935 г. Начальник ВВС Я.Алкснис утвердил отчет по испытаниям И-16 №421230. В период с 29 октября  по 13 ноября 1935 г. И-16 М-22 производства авиазавода №21, заводской №421230 испытывался в НИИ ВВС. Помимо прочего, данный экземпляр был более качественно выполнен. имел ряд усовершенствований, усиленную обшивку, для увеличения жесткости киля снабжен расчалками на хвостовом оперении. В ходе испытаний самолет сравнивался с образцом завода №39. причем это сравнение оказалось в пользу нижегородской машины.</w:t>
      </w:r>
    </w:p>
    <w:p w14:paraId="4C1943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числе прочих требований указал - срочно довести стрелковую установку истребителя (12015).</w:t>
      </w:r>
    </w:p>
    <w:p w14:paraId="00325031" w14:textId="77777777" w:rsidR="00D4105E" w:rsidRPr="00E14102" w:rsidRDefault="00D4105E" w:rsidP="00E14102">
      <w:pPr>
        <w:autoSpaceDE w:val="0"/>
        <w:autoSpaceDN w:val="0"/>
        <w:adjustRightInd w:val="0"/>
        <w:jc w:val="both"/>
        <w:rPr>
          <w:color w:val="000000" w:themeColor="text1"/>
          <w:sz w:val="16"/>
          <w:szCs w:val="16"/>
        </w:rPr>
      </w:pPr>
    </w:p>
    <w:p w14:paraId="253B28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декабря 1935 был организован Отдел опытного самолетостроения ГУАП и С.В.И. был назначен Начальником этого отдела (3846,6).</w:t>
      </w:r>
    </w:p>
    <w:p w14:paraId="698F0D93" w14:textId="77777777" w:rsidR="00D4105E" w:rsidRPr="00E14102" w:rsidRDefault="00D4105E" w:rsidP="00E14102">
      <w:pPr>
        <w:autoSpaceDE w:val="0"/>
        <w:autoSpaceDN w:val="0"/>
        <w:adjustRightInd w:val="0"/>
        <w:jc w:val="both"/>
        <w:rPr>
          <w:color w:val="000000" w:themeColor="text1"/>
          <w:sz w:val="16"/>
          <w:szCs w:val="16"/>
        </w:rPr>
      </w:pPr>
    </w:p>
    <w:p w14:paraId="3008A7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21-25 декабря 1935 состоялась конференция по скоростной авиации (438,702).</w:t>
      </w:r>
    </w:p>
    <w:p w14:paraId="5714970B" w14:textId="77777777" w:rsidR="00D4105E" w:rsidRPr="00E14102" w:rsidRDefault="00D4105E" w:rsidP="00E14102">
      <w:pPr>
        <w:autoSpaceDE w:val="0"/>
        <w:autoSpaceDN w:val="0"/>
        <w:adjustRightInd w:val="0"/>
        <w:jc w:val="both"/>
        <w:rPr>
          <w:color w:val="000000" w:themeColor="text1"/>
          <w:sz w:val="16"/>
          <w:szCs w:val="16"/>
        </w:rPr>
      </w:pPr>
    </w:p>
    <w:p w14:paraId="4BF377F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21 декабря 1935 года руководитель с/группы Чибисов писал письмо № 17/136 в СНК Базилевичу</w:t>
      </w:r>
    </w:p>
    <w:p w14:paraId="564EC31B"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 этом возвращается выписка из протокола № 15 КО от 21 декабря 1935 года № 2320/ко с резолюциями наркома Розенгольца “Закупить в счет текущих заказов в Германии” и зам. наркома Логановского – “Распоряжение сделано КО 3 декабря”.</w:t>
      </w:r>
    </w:p>
    <w:p w14:paraId="269FC45E"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 1 лист (3475,202).</w:t>
      </w:r>
    </w:p>
    <w:p w14:paraId="5A3D10A8"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73B4D3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 декабря 1935 года зам. наркома финансов писал письмо № 32/1с в СНК</w:t>
      </w:r>
    </w:p>
    <w:p w14:paraId="7B33DF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постановлением СТО от 2 декабря 1935 года о проверке размера убытков авиапромышленности – Наркомфином рассмотрены заявленные Наркомтяжпромом:</w:t>
      </w:r>
    </w:p>
    <w:p w14:paraId="101AC3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Фактические убытки за 10 месяцев – 33,2 м.р.</w:t>
      </w:r>
    </w:p>
    <w:p w14:paraId="6DC34D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Ожидаемые убытки в ноябре-декабре 1935 года – 85,0 м.р.</w:t>
      </w:r>
    </w:p>
    <w:p w14:paraId="7893EE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Ожидаемые убытки в незавершенном производстве на 1 января 1936 года по продукции, имеющей ориентировочные отпускные цены – 26,3 м.р.</w:t>
      </w:r>
    </w:p>
    <w:p w14:paraId="5E232E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на сумму – 144,5 м.р.</w:t>
      </w:r>
    </w:p>
    <w:p w14:paraId="06B5D5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Наркомфин считает необходимым довести до Вашего сведения, что представленные расчеты Наркомтяжпромом в части установления ожидаемых убытков сугубо ориентировочны.</w:t>
      </w:r>
    </w:p>
    <w:p w14:paraId="08C814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Наркомфин согласен при расчете убытков авиапромышленности оценить фактические убытки за 10 месяцев в 33,2 м. руб., т.е. сумму, представленную Наркомтяжпромом.</w:t>
      </w:r>
    </w:p>
    <w:p w14:paraId="7ECC19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Что касается убытков за ноябрь-декабрь, то Наркомфин определяет их на основе представленных материалов не в 85 м.р., как это заявлено Главным управлением авиапромышленности, а в размере 65,8 м. руб., из них:</w:t>
      </w:r>
    </w:p>
    <w:p w14:paraId="770AED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34,2 м. р. – потери от снятия с производства самолетов И-14 и ЛР, мотора М-75 и т.п.</w:t>
      </w:r>
    </w:p>
    <w:p w14:paraId="793479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31,6 м.р. – в силу удорожания себестоимости продукции программы 1935 года и неоплаченных затрат по переделкам и доделкам самолетов программы 1934 года (ТБ3-Р, МБР-2, И-15, И-16).</w:t>
      </w:r>
    </w:p>
    <w:p w14:paraId="6D37D0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Что же касается заявленных Наркомтяжпромом убытков в незавершенном производстве, переходящем на 1936 год в сумме 26,3 м.р. по продукции, не имеющей до сих пор твердо установленных цен (твердые цены по действующему порядку будут установлены на основе проверки фактической себестоимости после выпуска первых машин), то эти убытки в настоящее время установлены быть не могут и выяснятся лишь после реализации готовой продукции, т.е. в 1936 году.</w:t>
      </w:r>
    </w:p>
    <w:p w14:paraId="1150FF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Напряженное финансовое положение авиапромышленности связано в первую очередь с невыполнением этой промышленностью производственной программы и наличием у ряда предприятий больших накладных и бесхозяйственных расходов.</w:t>
      </w:r>
    </w:p>
    <w:p w14:paraId="6B759E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Подсчеты Наркомфина показывают, что убытки авиапромышленности в незавершенном производстве составят на 1 января 1936 года сумму около 14 млн. рублей. Таким образом общий размер убытков авиапромышленности, ожидаемых в 1936 году Наркомфином в настоящее время определяется в 113 м.р. вместо заявленных Наркомтяжпромом 144,5 м.р. Из 113 м.р. к настоящему времени за счет бюджетного финансирования покрыто 105,6 м.р. и непокрытыми остаются 7,4 м.р.</w:t>
      </w:r>
    </w:p>
    <w:p w14:paraId="1A3E2D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исполнение поручения СТО, Наркомфин просит принять прилагаемый проект постановления (3475,85).</w:t>
      </w:r>
    </w:p>
    <w:p w14:paraId="5E5E7F47" w14:textId="77777777" w:rsidR="00D4105E" w:rsidRPr="00E14102" w:rsidRDefault="00D4105E" w:rsidP="00E14102">
      <w:pPr>
        <w:autoSpaceDE w:val="0"/>
        <w:autoSpaceDN w:val="0"/>
        <w:adjustRightInd w:val="0"/>
        <w:jc w:val="both"/>
        <w:rPr>
          <w:color w:val="000000" w:themeColor="text1"/>
          <w:sz w:val="16"/>
          <w:szCs w:val="16"/>
        </w:rPr>
      </w:pPr>
    </w:p>
    <w:p w14:paraId="6A45BFB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0D922DB" w14:textId="77777777" w:rsidR="00D4105E" w:rsidRPr="00E14102" w:rsidRDefault="00D4105E" w:rsidP="00E14102">
      <w:pPr>
        <w:autoSpaceDE w:val="0"/>
        <w:autoSpaceDN w:val="0"/>
        <w:adjustRightInd w:val="0"/>
        <w:jc w:val="both"/>
        <w:rPr>
          <w:iCs/>
          <w:color w:val="000000" w:themeColor="text1"/>
          <w:sz w:val="16"/>
          <w:szCs w:val="16"/>
        </w:rPr>
      </w:pPr>
    </w:p>
    <w:p w14:paraId="751AEE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21-25 декабря 1935 Пленум ЦК ВКП(б) рассмотрел вопросы движения передовиков в промышленности и транспорте (317,274).</w:t>
      </w:r>
    </w:p>
    <w:p w14:paraId="2543F2EA" w14:textId="77777777" w:rsidR="00D4105E" w:rsidRPr="00E14102" w:rsidRDefault="00D4105E" w:rsidP="00E14102">
      <w:pPr>
        <w:autoSpaceDE w:val="0"/>
        <w:autoSpaceDN w:val="0"/>
        <w:adjustRightInd w:val="0"/>
        <w:jc w:val="both"/>
        <w:rPr>
          <w:color w:val="000000" w:themeColor="text1"/>
          <w:sz w:val="16"/>
          <w:szCs w:val="16"/>
        </w:rPr>
      </w:pPr>
    </w:p>
    <w:p w14:paraId="3ACAC32A" w14:textId="77777777" w:rsidR="00FF7430" w:rsidRPr="00E14102" w:rsidRDefault="00FF7430" w:rsidP="00E14102">
      <w:pPr>
        <w:pStyle w:val="rtejustify"/>
        <w:spacing w:before="0" w:after="0"/>
        <w:rPr>
          <w:color w:val="000000" w:themeColor="text1"/>
          <w:sz w:val="16"/>
          <w:szCs w:val="16"/>
        </w:rPr>
      </w:pPr>
      <w:r w:rsidRPr="00E14102">
        <w:rPr>
          <w:rStyle w:val="a6"/>
          <w:bCs/>
          <w:i w:val="0"/>
          <w:color w:val="000000" w:themeColor="text1"/>
          <w:sz w:val="16"/>
          <w:szCs w:val="16"/>
        </w:rPr>
        <w:t>21</w:t>
      </w:r>
      <w:r w:rsidRPr="00E14102">
        <w:rPr>
          <w:rStyle w:val="a6"/>
          <w:bCs/>
          <w:i w:val="0"/>
          <w:color w:val="000000" w:themeColor="text1"/>
          <w:sz w:val="16"/>
          <w:szCs w:val="16"/>
        </w:rPr>
        <w:noBreakHyphen/>
        <w:t>25 декабря 1935 г.</w:t>
      </w:r>
      <w:r w:rsidRPr="00E14102">
        <w:rPr>
          <w:color w:val="000000" w:themeColor="text1"/>
          <w:sz w:val="16"/>
          <w:szCs w:val="16"/>
        </w:rPr>
        <w:t xml:space="preserve"> состоялся </w:t>
      </w:r>
      <w:r w:rsidRPr="00E14102">
        <w:rPr>
          <w:rStyle w:val="a6"/>
          <w:bCs/>
          <w:i w:val="0"/>
          <w:color w:val="000000" w:themeColor="text1"/>
          <w:sz w:val="16"/>
          <w:szCs w:val="16"/>
        </w:rPr>
        <w:t>Пленум ЦК ВКП (б).</w:t>
      </w:r>
      <w:r w:rsidRPr="00E14102">
        <w:rPr>
          <w:color w:val="000000" w:themeColor="text1"/>
          <w:sz w:val="16"/>
          <w:szCs w:val="16"/>
        </w:rPr>
        <w:t xml:space="preserve"> Он рассмотрел вопросы промышленности и транспорта в связи со стахановским движением, а также подвел итоги проверки партийных документов. Пленум рекомендовал: развернуть стахановское движение, прежде всего, в добывающих отраслях; в тяжелой промышленности изменить нормы в сторону повышения и пересмотреть проектные мощности. По результатам проверки партийных документов, которая была проведена для выявления классово чуждых элементов в партии, пленум постановил предпринять ряд мер, направленных на очищение партии от случайных людей и врагов, и произвести обмен партийных документов с 1 февраля по 1 мая 1936 г. (15390).</w:t>
      </w:r>
    </w:p>
    <w:p w14:paraId="0FADF907" w14:textId="77777777" w:rsidR="00FF7430" w:rsidRPr="00E14102" w:rsidRDefault="00FF7430" w:rsidP="00E14102">
      <w:pPr>
        <w:jc w:val="both"/>
        <w:rPr>
          <w:bCs/>
          <w:color w:val="000000" w:themeColor="text1"/>
          <w:sz w:val="16"/>
          <w:szCs w:val="16"/>
        </w:rPr>
      </w:pPr>
    </w:p>
    <w:p w14:paraId="2037420F" w14:textId="77777777" w:rsidR="00FF7C89" w:rsidRPr="00E14102" w:rsidRDefault="00FF7C89" w:rsidP="00E14102">
      <w:pPr>
        <w:jc w:val="both"/>
        <w:rPr>
          <w:color w:val="000000" w:themeColor="text1"/>
          <w:sz w:val="16"/>
          <w:szCs w:val="16"/>
        </w:rPr>
      </w:pPr>
      <w:r w:rsidRPr="00E14102">
        <w:rPr>
          <w:color w:val="000000" w:themeColor="text1"/>
          <w:sz w:val="16"/>
          <w:szCs w:val="16"/>
        </w:rPr>
        <w:t>21</w:t>
      </w:r>
      <w:r w:rsidRPr="00E14102">
        <w:rPr>
          <w:color w:val="000000" w:themeColor="text1"/>
          <w:sz w:val="16"/>
          <w:szCs w:val="16"/>
        </w:rPr>
        <w:noBreakHyphen/>
        <w:t>25 декабря 1935 г. в Москве состоялся Декабрьский пленум ЦК ВКП(б). На нем были рассмотрены вопросы развития промышленности и транспорта в связи с развернувшимся в стране стахановским движением и итоги проверки партийных документов. В принятой резолюции по первому пункту указывалось, что созданию в короткий срок мощной тяжелой промышленности способствовало и стахановское движение, сутью которого является новая организация труда, рационализация технологических процессов, правильное разделение труда в производстве, освобождение квалифицированных рабочих от второстепенной работы, обеспечение быстрого роста производительности труда, а также значительное повышение зарплаты рабочих и служащих и культурно-технического уровня рабочего класса. Для более широкого распространения стахановского движения в резолюции было предложено сломить сопротивление консервативно мыслящих хозяйственников и ИТР, поставить во главе этого движения его сторонников, заменить существующие технические нормы более высокими, повысить нормы выработки так, чтобы сохранились прежние расценки, но увеличился фонд заработной платы. По отдельным отраслям народного хозяйства в резолюции были предложены конкретные мероприятия. (КПСС в резолюциях и решениях съездов, конференций и пленумов ЦК. Изд. 9</w:t>
      </w:r>
      <w:r w:rsidRPr="00E14102">
        <w:rPr>
          <w:color w:val="000000" w:themeColor="text1"/>
          <w:sz w:val="16"/>
          <w:szCs w:val="16"/>
        </w:rPr>
        <w:noBreakHyphen/>
        <w:t>е. Т. 6. — М., 1985. Стр. 284, 285-286.) (17757).</w:t>
      </w:r>
    </w:p>
    <w:p w14:paraId="02EDFBFD" w14:textId="77777777" w:rsidR="00FF7C89" w:rsidRPr="00E14102" w:rsidRDefault="00FF7C89" w:rsidP="00E14102">
      <w:pPr>
        <w:jc w:val="both"/>
        <w:rPr>
          <w:color w:val="000000" w:themeColor="text1"/>
          <w:sz w:val="16"/>
          <w:szCs w:val="16"/>
        </w:rPr>
      </w:pPr>
    </w:p>
    <w:p w14:paraId="7EE8D7C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5AAAFFB" w14:textId="77777777" w:rsidR="00D4105E" w:rsidRPr="00E14102" w:rsidRDefault="00D4105E" w:rsidP="00E14102">
      <w:pPr>
        <w:autoSpaceDE w:val="0"/>
        <w:autoSpaceDN w:val="0"/>
        <w:adjustRightInd w:val="0"/>
        <w:jc w:val="both"/>
        <w:rPr>
          <w:iCs/>
          <w:color w:val="000000" w:themeColor="text1"/>
          <w:sz w:val="16"/>
          <w:szCs w:val="16"/>
        </w:rPr>
      </w:pPr>
    </w:p>
    <w:p w14:paraId="402E1410" w14:textId="77777777" w:rsidR="00FF7430" w:rsidRPr="00E14102" w:rsidRDefault="00FF7430" w:rsidP="00E14102">
      <w:pPr>
        <w:jc w:val="both"/>
        <w:rPr>
          <w:color w:val="000000" w:themeColor="text1"/>
          <w:sz w:val="16"/>
          <w:szCs w:val="16"/>
        </w:rPr>
      </w:pPr>
      <w:r w:rsidRPr="00E14102">
        <w:rPr>
          <w:bCs/>
          <w:color w:val="000000" w:themeColor="text1"/>
          <w:sz w:val="16"/>
          <w:szCs w:val="16"/>
        </w:rPr>
        <w:t>21 декабря</w:t>
      </w:r>
      <w:r w:rsidRPr="00E14102">
        <w:rPr>
          <w:color w:val="000000" w:themeColor="text1"/>
          <w:sz w:val="16"/>
          <w:szCs w:val="16"/>
        </w:rPr>
        <w:t xml:space="preserve"> в 1935 году Gyroplane конструкции Луи Бреге и Рене Дорана впервые развил скорость 100 км/ч. Вертолет имел двигатель Hispano-Suiza 9Q мощностью 350 л.с., приводивший в действие два соосных двухлопастных несущих винта, вращавшихся в противоположных направлениях. В 1936 году Gyroplane Бреге-Дорана поднялся на высоту 158 м и провел в воздухе больше часа, преодолев за это время расстояние в 44 км (14867).</w:t>
      </w:r>
    </w:p>
    <w:p w14:paraId="42C48886" w14:textId="77777777" w:rsidR="00FF7430" w:rsidRPr="00E14102" w:rsidRDefault="00FF7430" w:rsidP="00E14102">
      <w:pPr>
        <w:jc w:val="both"/>
        <w:rPr>
          <w:color w:val="000000" w:themeColor="text1"/>
          <w:sz w:val="16"/>
          <w:szCs w:val="16"/>
        </w:rPr>
      </w:pPr>
    </w:p>
    <w:p w14:paraId="08B646F0" w14:textId="77777777" w:rsidR="00FF7430" w:rsidRPr="00E14102" w:rsidRDefault="00FF7430" w:rsidP="00E14102">
      <w:pPr>
        <w:jc w:val="both"/>
        <w:rPr>
          <w:color w:val="000000" w:themeColor="text1"/>
          <w:sz w:val="16"/>
          <w:szCs w:val="16"/>
        </w:rPr>
      </w:pPr>
      <w:r w:rsidRPr="00E14102">
        <w:rPr>
          <w:bCs/>
          <w:color w:val="000000" w:themeColor="text1"/>
          <w:sz w:val="16"/>
          <w:szCs w:val="16"/>
        </w:rPr>
        <w:t>21 декабря 1935 года</w:t>
      </w:r>
      <w:r w:rsidRPr="00E14102">
        <w:rPr>
          <w:color w:val="000000" w:themeColor="text1"/>
          <w:sz w:val="16"/>
          <w:szCs w:val="16"/>
        </w:rPr>
        <w:t xml:space="preserve"> Первый полет легкого аргентинского многоцелевого самолета Ае.М.S.1 (Militar de Sanitario). От предшественника эта модификация отличалась пассажирской кабиной, рассчитанной на перевозку четырех больных и специальной широкой дверью в левом борту фюзеляжа. Самолёт не был принят к серийному производству, оставшись в единственном экземпляре (14867).</w:t>
      </w:r>
    </w:p>
    <w:p w14:paraId="53CC18E3" w14:textId="77777777" w:rsidR="00FF7430" w:rsidRPr="00E14102" w:rsidRDefault="00FF7430" w:rsidP="00E14102">
      <w:pPr>
        <w:jc w:val="both"/>
        <w:rPr>
          <w:color w:val="000000" w:themeColor="text1"/>
          <w:sz w:val="16"/>
          <w:szCs w:val="16"/>
        </w:rPr>
      </w:pPr>
    </w:p>
    <w:p w14:paraId="57E3A30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21 декабря 1935 еврейским врачам в Германии запрещена частная практика (4962).</w:t>
      </w:r>
    </w:p>
    <w:p w14:paraId="52F2AA0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4271778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16035D99" w14:textId="77777777" w:rsidR="00D4105E" w:rsidRPr="00E14102" w:rsidRDefault="00D4105E" w:rsidP="00E14102">
      <w:pPr>
        <w:autoSpaceDE w:val="0"/>
        <w:autoSpaceDN w:val="0"/>
        <w:adjustRightInd w:val="0"/>
        <w:jc w:val="both"/>
        <w:rPr>
          <w:iCs/>
          <w:color w:val="000000" w:themeColor="text1"/>
          <w:sz w:val="16"/>
          <w:szCs w:val="16"/>
        </w:rPr>
      </w:pPr>
    </w:p>
    <w:p w14:paraId="1A2A6B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декабря 1935 года Базилевич писал письмо № 2302/ко в НКО Гамарнику</w:t>
      </w:r>
    </w:p>
    <w:p w14:paraId="685BD1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 376350сс/о от 21 октября 1935 года</w:t>
      </w:r>
    </w:p>
    <w:p w14:paraId="2579B0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указанию Молотова сообщаю, что конструктор опытных истребителей Яковлев А.С. обязан ГУАПом в месячный срок представить эскизные проекты предлагаемых машин – для рассмотрения Конструкторским советом ГУАПа.</w:t>
      </w:r>
    </w:p>
    <w:p w14:paraId="486668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Королев сообщил, что в случае положительной оценки – машины будут запущены в производство на заводе № 23 (Ленинград) (3527, 106).</w:t>
      </w:r>
    </w:p>
    <w:p w14:paraId="1BCCB51D" w14:textId="77777777" w:rsidR="00D4105E" w:rsidRPr="00E14102" w:rsidRDefault="00D4105E" w:rsidP="00E14102">
      <w:pPr>
        <w:autoSpaceDE w:val="0"/>
        <w:autoSpaceDN w:val="0"/>
        <w:adjustRightInd w:val="0"/>
        <w:jc w:val="both"/>
        <w:rPr>
          <w:color w:val="000000" w:themeColor="text1"/>
          <w:sz w:val="16"/>
          <w:szCs w:val="16"/>
        </w:rPr>
      </w:pPr>
    </w:p>
    <w:p w14:paraId="174CD1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декабря 1935 вышел приказ ГУАП N 399:</w:t>
      </w:r>
    </w:p>
    <w:p w14:paraId="791115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Организовать в составе ГУАП Отдел опытного самолетостроения.</w:t>
      </w:r>
    </w:p>
    <w:p w14:paraId="1F80F6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Нач. отд. опытного самолетостроения назначить и С.В.И. с оставлением за ним обязанностей нач. конструкторской бригады на заводе 39 впредь до выпуска на заводе 39 первых машин, проектируемых этой бригадой." М.М.К. (2173,24).</w:t>
      </w:r>
    </w:p>
    <w:p w14:paraId="317FB12E" w14:textId="77777777" w:rsidR="00D4105E" w:rsidRPr="00E14102" w:rsidRDefault="00D4105E" w:rsidP="00E14102">
      <w:pPr>
        <w:autoSpaceDE w:val="0"/>
        <w:autoSpaceDN w:val="0"/>
        <w:adjustRightInd w:val="0"/>
        <w:jc w:val="both"/>
        <w:rPr>
          <w:color w:val="000000" w:themeColor="text1"/>
          <w:sz w:val="16"/>
          <w:szCs w:val="16"/>
        </w:rPr>
      </w:pPr>
    </w:p>
    <w:p w14:paraId="0ABCF46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0DF8B9DC" w14:textId="77777777" w:rsidR="00D4105E" w:rsidRPr="00E14102" w:rsidRDefault="00D4105E" w:rsidP="00E14102">
      <w:pPr>
        <w:autoSpaceDE w:val="0"/>
        <w:autoSpaceDN w:val="0"/>
        <w:adjustRightInd w:val="0"/>
        <w:jc w:val="both"/>
        <w:rPr>
          <w:iCs/>
          <w:color w:val="000000" w:themeColor="text1"/>
          <w:sz w:val="16"/>
          <w:szCs w:val="16"/>
        </w:rPr>
      </w:pPr>
    </w:p>
    <w:p w14:paraId="19FEE7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 декабря 1935 во Франции вертолет Жироплан Лаборатуар развил скорость 80 км/час (3481).</w:t>
      </w:r>
    </w:p>
    <w:p w14:paraId="62FECEB3" w14:textId="77777777" w:rsidR="00D4105E" w:rsidRPr="00E14102" w:rsidRDefault="00D4105E" w:rsidP="00E14102">
      <w:pPr>
        <w:autoSpaceDE w:val="0"/>
        <w:autoSpaceDN w:val="0"/>
        <w:adjustRightInd w:val="0"/>
        <w:jc w:val="both"/>
        <w:rPr>
          <w:color w:val="000000" w:themeColor="text1"/>
          <w:sz w:val="16"/>
          <w:szCs w:val="16"/>
        </w:rPr>
      </w:pPr>
    </w:p>
    <w:p w14:paraId="644C82CA" w14:textId="77777777" w:rsidR="00FF7430" w:rsidRPr="00E14102" w:rsidRDefault="00FF7430" w:rsidP="00E14102">
      <w:pPr>
        <w:jc w:val="both"/>
        <w:rPr>
          <w:color w:val="000000" w:themeColor="text1"/>
          <w:sz w:val="16"/>
          <w:szCs w:val="16"/>
        </w:rPr>
      </w:pPr>
      <w:r w:rsidRPr="00E14102">
        <w:rPr>
          <w:bCs/>
          <w:color w:val="000000" w:themeColor="text1"/>
          <w:sz w:val="16"/>
          <w:szCs w:val="16"/>
        </w:rPr>
        <w:t>22 декабря</w:t>
      </w:r>
      <w:r w:rsidRPr="00E14102">
        <w:rPr>
          <w:color w:val="000000" w:themeColor="text1"/>
          <w:sz w:val="16"/>
          <w:szCs w:val="16"/>
        </w:rPr>
        <w:t xml:space="preserve"> в 1935 году первый вертолет совершивший успешный полет, французский "Жироплан Лаборатуар" конструкции Луи Бреге и Рене Дорана. Имея в качестве силовой установки 350-сильный двигатель «Испано-Сюиза 9Q», приводивший в действие два соосных двухлопастных несущих винта, вращавшихся в противоположных направлениях. 22 декабря 1935 г. этот вертолет развил скорость 80 км/ч. В 1936 г. он поднялся на высоту 158 м и провел в воздухе больше часа, преодолев за это время расстояние в 44км. В 1943 году вертолет был уничтожен в ходе авианалета (14868).</w:t>
      </w:r>
    </w:p>
    <w:p w14:paraId="66427073" w14:textId="77777777" w:rsidR="00FF7430" w:rsidRPr="00E14102" w:rsidRDefault="00FF7430" w:rsidP="00E14102">
      <w:pPr>
        <w:jc w:val="both"/>
        <w:rPr>
          <w:color w:val="000000" w:themeColor="text1"/>
          <w:sz w:val="16"/>
          <w:szCs w:val="16"/>
        </w:rPr>
      </w:pPr>
    </w:p>
    <w:p w14:paraId="1DE0C94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396E9BC" w14:textId="77777777" w:rsidR="00D4105E" w:rsidRPr="00E14102" w:rsidRDefault="00D4105E" w:rsidP="00E14102">
      <w:pPr>
        <w:autoSpaceDE w:val="0"/>
        <w:autoSpaceDN w:val="0"/>
        <w:adjustRightInd w:val="0"/>
        <w:jc w:val="both"/>
        <w:rPr>
          <w:iCs/>
          <w:color w:val="000000" w:themeColor="text1"/>
          <w:sz w:val="16"/>
          <w:szCs w:val="16"/>
        </w:rPr>
      </w:pPr>
    </w:p>
    <w:p w14:paraId="5F91A0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 декабря 1935 года зам. наркома тяжелой промышленности и нач. Глававиапрома Каганович писал письмо N 2/5972с в СТО Базилевичу.</w:t>
      </w:r>
    </w:p>
    <w:p w14:paraId="70C9E1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N 2444 от 19 декабря 1935 года.</w:t>
      </w:r>
    </w:p>
    <w:p w14:paraId="0BE16F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вопросу о центральном наддуве для самолета ТБ-3 по проекту инж. Трескина сообщаю, что эта тема включена в план опытного строительства по моторам на 1936 год.</w:t>
      </w:r>
    </w:p>
    <w:p w14:paraId="6289BE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данной теме предусматривается согласно плана подготовка самолета ТБ-3 к 1 июня 1936 года для летных испытаний и проверки заложенных принципов.</w:t>
      </w:r>
    </w:p>
    <w:p w14:paraId="59657C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ЦИАМу дано задание изготовить 3 комплекта центрального наддува с началом испытания на станке 1 экз. в апреле. В настоящее время центральный наддув запущен в производство в ЦИАМе.</w:t>
      </w:r>
    </w:p>
    <w:p w14:paraId="255C3E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Вопрос об изготовлении специального самолета для высотных полетов по проекту Эберзина рассматривался на Техническом совете ГУАП, где было принято решение не строить специального самолета, проверив схему и принцип работы на одном из серийных самолетов ТБ-3.</w:t>
      </w:r>
    </w:p>
    <w:p w14:paraId="5EDA58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этого в плане предусматривается постройка самолета ТБ-7 - ЦАГИ, на котором также намечается установка центрального наддува. Срок выхода центрального наддува на испытания намечен на 1 августа 1936 года (3569,16).</w:t>
      </w:r>
    </w:p>
    <w:p w14:paraId="7990C61E" w14:textId="77777777" w:rsidR="00D4105E" w:rsidRPr="00E14102" w:rsidRDefault="00D4105E" w:rsidP="00E14102">
      <w:pPr>
        <w:autoSpaceDE w:val="0"/>
        <w:autoSpaceDN w:val="0"/>
        <w:adjustRightInd w:val="0"/>
        <w:jc w:val="both"/>
        <w:rPr>
          <w:color w:val="000000" w:themeColor="text1"/>
          <w:sz w:val="16"/>
          <w:szCs w:val="16"/>
        </w:rPr>
      </w:pPr>
    </w:p>
    <w:p w14:paraId="420D5BF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 23 декабря 1935 по 5 октября 1936 года проводились испытания твердого лакокрасочного покрытия для деревянных пропеллеров (6728).</w:t>
      </w:r>
    </w:p>
    <w:p w14:paraId="158D0DE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5F5A6F1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нового твердого лакокрасочного покрытия, предложенного ВИАМом для защиты пропеллеров из твердых и мягких пород древесины, имело целью установить его качества и срок службы в условиях эксплуатации для принятия на снабжение в ВВС.</w:t>
      </w:r>
    </w:p>
    <w:p w14:paraId="2B63C27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проводилось с 23 декабря 1935 года по 5 октября 1936 года.</w:t>
      </w:r>
    </w:p>
    <w:p w14:paraId="2D27CFD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B5CE33C"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Твердые покрытия разработанные ВИАМом и предъявленные на испытания не удовлетворяют требованиям эксплуатации ВВС и на снабжение в том виде как они есть, приняты быть не могут.</w:t>
      </w:r>
    </w:p>
    <w:p w14:paraId="658672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Для опытной окраски были применены нитроцеллюлозные лакокрасочные материалы следующих наименований: нитроклей (для склейки полотна с древесиной), нитрошпатлевка, нитрогрунт”В”, нитроалюминиевая краска, нитролак “В”, нитросостав “ДО”.</w:t>
      </w:r>
    </w:p>
    <w:p w14:paraId="71D8F79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Рецептура материалов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875"/>
        <w:gridCol w:w="875"/>
        <w:gridCol w:w="999"/>
        <w:gridCol w:w="875"/>
        <w:gridCol w:w="875"/>
        <w:gridCol w:w="2448"/>
      </w:tblGrid>
      <w:tr w:rsidR="00E3599D" w:rsidRPr="00E14102" w14:paraId="555F13DC" w14:textId="77777777">
        <w:tc>
          <w:tcPr>
            <w:tcW w:w="3652" w:type="dxa"/>
          </w:tcPr>
          <w:p w14:paraId="2B9FDB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Наименование материалов</w:t>
            </w:r>
          </w:p>
        </w:tc>
        <w:tc>
          <w:tcPr>
            <w:tcW w:w="875" w:type="dxa"/>
          </w:tcPr>
          <w:p w14:paraId="2EBAC10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Нитроклей</w:t>
            </w:r>
          </w:p>
        </w:tc>
        <w:tc>
          <w:tcPr>
            <w:tcW w:w="875" w:type="dxa"/>
          </w:tcPr>
          <w:p w14:paraId="4D8C133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Нитрошпатлевка</w:t>
            </w:r>
          </w:p>
        </w:tc>
        <w:tc>
          <w:tcPr>
            <w:tcW w:w="999" w:type="dxa"/>
          </w:tcPr>
          <w:p w14:paraId="11C91CF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Нитрогрунт “В”</w:t>
            </w:r>
          </w:p>
        </w:tc>
        <w:tc>
          <w:tcPr>
            <w:tcW w:w="875" w:type="dxa"/>
          </w:tcPr>
          <w:p w14:paraId="6B69D5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Нитроалюминиевая краска</w:t>
            </w:r>
          </w:p>
        </w:tc>
        <w:tc>
          <w:tcPr>
            <w:tcW w:w="875" w:type="dxa"/>
          </w:tcPr>
          <w:p w14:paraId="5639F74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Нитролак “В”</w:t>
            </w:r>
          </w:p>
        </w:tc>
        <w:tc>
          <w:tcPr>
            <w:tcW w:w="2448" w:type="dxa"/>
          </w:tcPr>
          <w:p w14:paraId="08D102A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Нитросостав “ДО”</w:t>
            </w:r>
          </w:p>
        </w:tc>
      </w:tr>
      <w:tr w:rsidR="00E3599D" w:rsidRPr="00E14102" w14:paraId="413FEDA2" w14:textId="77777777">
        <w:tc>
          <w:tcPr>
            <w:tcW w:w="3652" w:type="dxa"/>
          </w:tcPr>
          <w:p w14:paraId="3B89C74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Нитроцеллюлоза н.в. (сухая)</w:t>
            </w:r>
          </w:p>
        </w:tc>
        <w:tc>
          <w:tcPr>
            <w:tcW w:w="875" w:type="dxa"/>
          </w:tcPr>
          <w:p w14:paraId="2FAF89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c>
          <w:tcPr>
            <w:tcW w:w="875" w:type="dxa"/>
          </w:tcPr>
          <w:p w14:paraId="7C37D3C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6,0</w:t>
            </w:r>
          </w:p>
        </w:tc>
        <w:tc>
          <w:tcPr>
            <w:tcW w:w="999" w:type="dxa"/>
          </w:tcPr>
          <w:p w14:paraId="04C3F6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6,0</w:t>
            </w:r>
          </w:p>
        </w:tc>
        <w:tc>
          <w:tcPr>
            <w:tcW w:w="875" w:type="dxa"/>
          </w:tcPr>
          <w:p w14:paraId="6CDDD0A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7,0</w:t>
            </w:r>
          </w:p>
        </w:tc>
        <w:tc>
          <w:tcPr>
            <w:tcW w:w="875" w:type="dxa"/>
          </w:tcPr>
          <w:p w14:paraId="1499A92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6,5</w:t>
            </w:r>
          </w:p>
        </w:tc>
        <w:tc>
          <w:tcPr>
            <w:tcW w:w="2448" w:type="dxa"/>
          </w:tcPr>
          <w:p w14:paraId="65F9F52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r>
      <w:tr w:rsidR="00E3599D" w:rsidRPr="00E14102" w14:paraId="72F258C4" w14:textId="77777777">
        <w:tc>
          <w:tcPr>
            <w:tcW w:w="3652" w:type="dxa"/>
          </w:tcPr>
          <w:p w14:paraId="4C8C265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Спирт этиловый (включая и коллокс)</w:t>
            </w:r>
          </w:p>
        </w:tc>
        <w:tc>
          <w:tcPr>
            <w:tcW w:w="875" w:type="dxa"/>
          </w:tcPr>
          <w:p w14:paraId="37A86E5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4,4</w:t>
            </w:r>
          </w:p>
        </w:tc>
        <w:tc>
          <w:tcPr>
            <w:tcW w:w="875" w:type="dxa"/>
          </w:tcPr>
          <w:p w14:paraId="539DCE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w:t>
            </w:r>
          </w:p>
        </w:tc>
        <w:tc>
          <w:tcPr>
            <w:tcW w:w="999" w:type="dxa"/>
          </w:tcPr>
          <w:p w14:paraId="67F6CFB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w:t>
            </w:r>
          </w:p>
        </w:tc>
        <w:tc>
          <w:tcPr>
            <w:tcW w:w="875" w:type="dxa"/>
          </w:tcPr>
          <w:p w14:paraId="028C920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w:t>
            </w:r>
          </w:p>
        </w:tc>
        <w:tc>
          <w:tcPr>
            <w:tcW w:w="875" w:type="dxa"/>
          </w:tcPr>
          <w:p w14:paraId="65C9EC0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2,2</w:t>
            </w:r>
          </w:p>
        </w:tc>
        <w:tc>
          <w:tcPr>
            <w:tcW w:w="2448" w:type="dxa"/>
          </w:tcPr>
          <w:p w14:paraId="0E6FD2B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4,0</w:t>
            </w:r>
          </w:p>
        </w:tc>
      </w:tr>
      <w:tr w:rsidR="00E3599D" w:rsidRPr="00E14102" w14:paraId="20A34CA1" w14:textId="77777777">
        <w:tc>
          <w:tcPr>
            <w:tcW w:w="3652" w:type="dxa"/>
          </w:tcPr>
          <w:p w14:paraId="5644453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Эфир гарпиус</w:t>
            </w:r>
          </w:p>
        </w:tc>
        <w:tc>
          <w:tcPr>
            <w:tcW w:w="875" w:type="dxa"/>
          </w:tcPr>
          <w:p w14:paraId="141F81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4,0</w:t>
            </w:r>
          </w:p>
        </w:tc>
        <w:tc>
          <w:tcPr>
            <w:tcW w:w="875" w:type="dxa"/>
          </w:tcPr>
          <w:p w14:paraId="17C6721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w:t>
            </w:r>
          </w:p>
        </w:tc>
        <w:tc>
          <w:tcPr>
            <w:tcW w:w="999" w:type="dxa"/>
          </w:tcPr>
          <w:p w14:paraId="33140F5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6,0</w:t>
            </w:r>
          </w:p>
        </w:tc>
        <w:tc>
          <w:tcPr>
            <w:tcW w:w="875" w:type="dxa"/>
          </w:tcPr>
          <w:p w14:paraId="239E13F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w:t>
            </w:r>
          </w:p>
        </w:tc>
        <w:tc>
          <w:tcPr>
            <w:tcW w:w="875" w:type="dxa"/>
          </w:tcPr>
          <w:p w14:paraId="026FBE0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2448" w:type="dxa"/>
          </w:tcPr>
          <w:p w14:paraId="13D9ABD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w:t>
            </w:r>
          </w:p>
        </w:tc>
      </w:tr>
      <w:tr w:rsidR="00E3599D" w:rsidRPr="00E14102" w14:paraId="71249AAA" w14:textId="77777777">
        <w:tc>
          <w:tcPr>
            <w:tcW w:w="3652" w:type="dxa"/>
          </w:tcPr>
          <w:p w14:paraId="33BF72F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Касторовое масло</w:t>
            </w:r>
          </w:p>
        </w:tc>
        <w:tc>
          <w:tcPr>
            <w:tcW w:w="875" w:type="dxa"/>
          </w:tcPr>
          <w:p w14:paraId="52AA23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64165C6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w:t>
            </w:r>
          </w:p>
        </w:tc>
        <w:tc>
          <w:tcPr>
            <w:tcW w:w="999" w:type="dxa"/>
          </w:tcPr>
          <w:p w14:paraId="48E4EB8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112CBF1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9,0</w:t>
            </w:r>
          </w:p>
        </w:tc>
        <w:tc>
          <w:tcPr>
            <w:tcW w:w="875" w:type="dxa"/>
          </w:tcPr>
          <w:p w14:paraId="7CAC74E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w:t>
            </w:r>
          </w:p>
        </w:tc>
        <w:tc>
          <w:tcPr>
            <w:tcW w:w="2448" w:type="dxa"/>
          </w:tcPr>
          <w:p w14:paraId="7F0EAD8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7,0</w:t>
            </w:r>
          </w:p>
        </w:tc>
      </w:tr>
      <w:tr w:rsidR="00E3599D" w:rsidRPr="00E14102" w14:paraId="0F6B4A36" w14:textId="77777777">
        <w:tc>
          <w:tcPr>
            <w:tcW w:w="3652" w:type="dxa"/>
          </w:tcPr>
          <w:p w14:paraId="244E5EA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Льняное масло слабо полимер.</w:t>
            </w:r>
          </w:p>
        </w:tc>
        <w:tc>
          <w:tcPr>
            <w:tcW w:w="875" w:type="dxa"/>
          </w:tcPr>
          <w:p w14:paraId="6D90E52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w:t>
            </w:r>
          </w:p>
        </w:tc>
        <w:tc>
          <w:tcPr>
            <w:tcW w:w="875" w:type="dxa"/>
          </w:tcPr>
          <w:p w14:paraId="6AB32E5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w:t>
            </w:r>
          </w:p>
        </w:tc>
        <w:tc>
          <w:tcPr>
            <w:tcW w:w="999" w:type="dxa"/>
          </w:tcPr>
          <w:p w14:paraId="77062D3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4,0</w:t>
            </w:r>
          </w:p>
        </w:tc>
        <w:tc>
          <w:tcPr>
            <w:tcW w:w="875" w:type="dxa"/>
          </w:tcPr>
          <w:p w14:paraId="4300FD0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17F8E1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2448" w:type="dxa"/>
          </w:tcPr>
          <w:p w14:paraId="41FFDA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2A3E2668" w14:textId="77777777">
        <w:tc>
          <w:tcPr>
            <w:tcW w:w="3652" w:type="dxa"/>
          </w:tcPr>
          <w:p w14:paraId="220ABF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Дибутилфталат</w:t>
            </w:r>
          </w:p>
        </w:tc>
        <w:tc>
          <w:tcPr>
            <w:tcW w:w="875" w:type="dxa"/>
          </w:tcPr>
          <w:p w14:paraId="115F83B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184C83E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4A6E1EB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7D9E64B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w:t>
            </w:r>
          </w:p>
        </w:tc>
        <w:tc>
          <w:tcPr>
            <w:tcW w:w="875" w:type="dxa"/>
          </w:tcPr>
          <w:p w14:paraId="4089DC4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w:t>
            </w:r>
          </w:p>
        </w:tc>
        <w:tc>
          <w:tcPr>
            <w:tcW w:w="2448" w:type="dxa"/>
          </w:tcPr>
          <w:p w14:paraId="03D555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7A7321D9" w14:textId="77777777">
        <w:tc>
          <w:tcPr>
            <w:tcW w:w="3652" w:type="dxa"/>
          </w:tcPr>
          <w:p w14:paraId="2D5436E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Трикрезилфосфат</w:t>
            </w:r>
          </w:p>
        </w:tc>
        <w:tc>
          <w:tcPr>
            <w:tcW w:w="875" w:type="dxa"/>
          </w:tcPr>
          <w:p w14:paraId="12CA1A1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3,2</w:t>
            </w:r>
          </w:p>
        </w:tc>
        <w:tc>
          <w:tcPr>
            <w:tcW w:w="875" w:type="dxa"/>
          </w:tcPr>
          <w:p w14:paraId="6E57178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1E2F757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w:t>
            </w:r>
          </w:p>
        </w:tc>
        <w:tc>
          <w:tcPr>
            <w:tcW w:w="875" w:type="dxa"/>
          </w:tcPr>
          <w:p w14:paraId="1DB9DF7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7EBDFF5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2448" w:type="dxa"/>
          </w:tcPr>
          <w:p w14:paraId="59FA82A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64D2A70D" w14:textId="77777777">
        <w:tc>
          <w:tcPr>
            <w:tcW w:w="3652" w:type="dxa"/>
          </w:tcPr>
          <w:p w14:paraId="2DE672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Ацетон</w:t>
            </w:r>
          </w:p>
        </w:tc>
        <w:tc>
          <w:tcPr>
            <w:tcW w:w="875" w:type="dxa"/>
          </w:tcPr>
          <w:p w14:paraId="7CB8E0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14,0</w:t>
            </w:r>
          </w:p>
        </w:tc>
        <w:tc>
          <w:tcPr>
            <w:tcW w:w="875" w:type="dxa"/>
          </w:tcPr>
          <w:p w14:paraId="5B7F040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w:t>
            </w:r>
          </w:p>
        </w:tc>
        <w:tc>
          <w:tcPr>
            <w:tcW w:w="999" w:type="dxa"/>
          </w:tcPr>
          <w:p w14:paraId="32C9B32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15,0</w:t>
            </w:r>
          </w:p>
        </w:tc>
        <w:tc>
          <w:tcPr>
            <w:tcW w:w="875" w:type="dxa"/>
          </w:tcPr>
          <w:p w14:paraId="7EEA53E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16,0</w:t>
            </w:r>
          </w:p>
        </w:tc>
        <w:tc>
          <w:tcPr>
            <w:tcW w:w="875" w:type="dxa"/>
          </w:tcPr>
          <w:p w14:paraId="7EA2A1D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14,3</w:t>
            </w:r>
          </w:p>
        </w:tc>
        <w:tc>
          <w:tcPr>
            <w:tcW w:w="2448" w:type="dxa"/>
          </w:tcPr>
          <w:p w14:paraId="40284B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14,0</w:t>
            </w:r>
          </w:p>
        </w:tc>
      </w:tr>
      <w:tr w:rsidR="00E3599D" w:rsidRPr="00E14102" w14:paraId="638E5EF7" w14:textId="77777777">
        <w:tc>
          <w:tcPr>
            <w:tcW w:w="3652" w:type="dxa"/>
          </w:tcPr>
          <w:p w14:paraId="005F8C5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Бензол</w:t>
            </w:r>
          </w:p>
        </w:tc>
        <w:tc>
          <w:tcPr>
            <w:tcW w:w="875" w:type="dxa"/>
          </w:tcPr>
          <w:p w14:paraId="6C96DD2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25,0</w:t>
            </w:r>
          </w:p>
        </w:tc>
        <w:tc>
          <w:tcPr>
            <w:tcW w:w="875" w:type="dxa"/>
          </w:tcPr>
          <w:p w14:paraId="72AF50A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6,0</w:t>
            </w:r>
          </w:p>
        </w:tc>
        <w:tc>
          <w:tcPr>
            <w:tcW w:w="999" w:type="dxa"/>
          </w:tcPr>
          <w:p w14:paraId="4AB5E7F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22,0</w:t>
            </w:r>
          </w:p>
        </w:tc>
        <w:tc>
          <w:tcPr>
            <w:tcW w:w="875" w:type="dxa"/>
          </w:tcPr>
          <w:p w14:paraId="3F90CB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30,0</w:t>
            </w:r>
          </w:p>
        </w:tc>
        <w:tc>
          <w:tcPr>
            <w:tcW w:w="875" w:type="dxa"/>
          </w:tcPr>
          <w:p w14:paraId="30E4154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30,0</w:t>
            </w:r>
          </w:p>
        </w:tc>
        <w:tc>
          <w:tcPr>
            <w:tcW w:w="2448" w:type="dxa"/>
          </w:tcPr>
          <w:p w14:paraId="391130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35,0</w:t>
            </w:r>
          </w:p>
        </w:tc>
      </w:tr>
      <w:tr w:rsidR="00E3599D" w:rsidRPr="00E14102" w14:paraId="3F9F5DC7" w14:textId="77777777">
        <w:tc>
          <w:tcPr>
            <w:tcW w:w="3652" w:type="dxa"/>
          </w:tcPr>
          <w:p w14:paraId="67DE216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Толуол</w:t>
            </w:r>
          </w:p>
        </w:tc>
        <w:tc>
          <w:tcPr>
            <w:tcW w:w="875" w:type="dxa"/>
          </w:tcPr>
          <w:p w14:paraId="4FB3D63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412EC4F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3A480E2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6,0</w:t>
            </w:r>
          </w:p>
        </w:tc>
        <w:tc>
          <w:tcPr>
            <w:tcW w:w="875" w:type="dxa"/>
          </w:tcPr>
          <w:p w14:paraId="7953CB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1EBC7FE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2448" w:type="dxa"/>
          </w:tcPr>
          <w:p w14:paraId="4084BEF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4992382" w14:textId="77777777">
        <w:tc>
          <w:tcPr>
            <w:tcW w:w="3652" w:type="dxa"/>
          </w:tcPr>
          <w:p w14:paraId="5FDD76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Ксилол</w:t>
            </w:r>
          </w:p>
        </w:tc>
        <w:tc>
          <w:tcPr>
            <w:tcW w:w="875" w:type="dxa"/>
          </w:tcPr>
          <w:p w14:paraId="4E22A8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229AB82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4,0</w:t>
            </w:r>
          </w:p>
        </w:tc>
        <w:tc>
          <w:tcPr>
            <w:tcW w:w="999" w:type="dxa"/>
          </w:tcPr>
          <w:p w14:paraId="2497F9B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75541F9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374C1D6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2448" w:type="dxa"/>
          </w:tcPr>
          <w:p w14:paraId="7E119BF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6157FFEE" w14:textId="77777777">
        <w:tc>
          <w:tcPr>
            <w:tcW w:w="3652" w:type="dxa"/>
          </w:tcPr>
          <w:p w14:paraId="01F3DE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Этилацетат</w:t>
            </w:r>
          </w:p>
        </w:tc>
        <w:tc>
          <w:tcPr>
            <w:tcW w:w="875" w:type="dxa"/>
          </w:tcPr>
          <w:p w14:paraId="03AC08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20,0</w:t>
            </w:r>
          </w:p>
        </w:tc>
        <w:tc>
          <w:tcPr>
            <w:tcW w:w="875" w:type="dxa"/>
          </w:tcPr>
          <w:p w14:paraId="79CE15B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10,0</w:t>
            </w:r>
          </w:p>
        </w:tc>
        <w:tc>
          <w:tcPr>
            <w:tcW w:w="999" w:type="dxa"/>
          </w:tcPr>
          <w:p w14:paraId="72235BA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12,0</w:t>
            </w:r>
          </w:p>
        </w:tc>
        <w:tc>
          <w:tcPr>
            <w:tcW w:w="875" w:type="dxa"/>
          </w:tcPr>
          <w:p w14:paraId="517F9B9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16,0</w:t>
            </w:r>
          </w:p>
        </w:tc>
        <w:tc>
          <w:tcPr>
            <w:tcW w:w="875" w:type="dxa"/>
          </w:tcPr>
          <w:p w14:paraId="2780B0D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15,0</w:t>
            </w:r>
          </w:p>
        </w:tc>
        <w:tc>
          <w:tcPr>
            <w:tcW w:w="2448" w:type="dxa"/>
          </w:tcPr>
          <w:p w14:paraId="0F0C2E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13,0</w:t>
            </w:r>
          </w:p>
        </w:tc>
      </w:tr>
      <w:tr w:rsidR="00E3599D" w:rsidRPr="00E14102" w14:paraId="79028CCD" w14:textId="77777777">
        <w:tc>
          <w:tcPr>
            <w:tcW w:w="3652" w:type="dxa"/>
          </w:tcPr>
          <w:p w14:paraId="080238C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Амилацетат</w:t>
            </w:r>
          </w:p>
        </w:tc>
        <w:tc>
          <w:tcPr>
            <w:tcW w:w="875" w:type="dxa"/>
          </w:tcPr>
          <w:p w14:paraId="584848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16,4</w:t>
            </w:r>
          </w:p>
        </w:tc>
        <w:tc>
          <w:tcPr>
            <w:tcW w:w="875" w:type="dxa"/>
          </w:tcPr>
          <w:p w14:paraId="6812A1D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6,0</w:t>
            </w:r>
          </w:p>
        </w:tc>
        <w:tc>
          <w:tcPr>
            <w:tcW w:w="999" w:type="dxa"/>
          </w:tcPr>
          <w:p w14:paraId="2DD8275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15,0</w:t>
            </w:r>
          </w:p>
        </w:tc>
        <w:tc>
          <w:tcPr>
            <w:tcW w:w="875" w:type="dxa"/>
          </w:tcPr>
          <w:p w14:paraId="586A648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8,0</w:t>
            </w:r>
          </w:p>
        </w:tc>
        <w:tc>
          <w:tcPr>
            <w:tcW w:w="875" w:type="dxa"/>
          </w:tcPr>
          <w:p w14:paraId="049FC87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25,0</w:t>
            </w:r>
          </w:p>
        </w:tc>
        <w:tc>
          <w:tcPr>
            <w:tcW w:w="2448" w:type="dxa"/>
          </w:tcPr>
          <w:p w14:paraId="00DB52C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12,0</w:t>
            </w:r>
          </w:p>
        </w:tc>
      </w:tr>
      <w:tr w:rsidR="00E3599D" w:rsidRPr="00E14102" w14:paraId="1D955410" w14:textId="77777777">
        <w:tc>
          <w:tcPr>
            <w:tcW w:w="3652" w:type="dxa"/>
          </w:tcPr>
          <w:p w14:paraId="71E09AB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Алюминиевый порошок</w:t>
            </w:r>
          </w:p>
        </w:tc>
        <w:tc>
          <w:tcPr>
            <w:tcW w:w="875" w:type="dxa"/>
          </w:tcPr>
          <w:p w14:paraId="509D639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41022F0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0BD23E7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1,0</w:t>
            </w:r>
          </w:p>
        </w:tc>
        <w:tc>
          <w:tcPr>
            <w:tcW w:w="875" w:type="dxa"/>
          </w:tcPr>
          <w:p w14:paraId="1BB218F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5,0</w:t>
            </w:r>
          </w:p>
        </w:tc>
        <w:tc>
          <w:tcPr>
            <w:tcW w:w="875" w:type="dxa"/>
          </w:tcPr>
          <w:p w14:paraId="1A73AF9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2448" w:type="dxa"/>
          </w:tcPr>
          <w:p w14:paraId="6325009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8D29BC4" w14:textId="77777777">
        <w:tc>
          <w:tcPr>
            <w:tcW w:w="3652" w:type="dxa"/>
          </w:tcPr>
          <w:p w14:paraId="04C6B92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Цинк. крон</w:t>
            </w:r>
          </w:p>
        </w:tc>
        <w:tc>
          <w:tcPr>
            <w:tcW w:w="875" w:type="dxa"/>
          </w:tcPr>
          <w:p w14:paraId="56BA417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426D8D4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999" w:type="dxa"/>
          </w:tcPr>
          <w:p w14:paraId="7FD2A97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9,0</w:t>
            </w:r>
          </w:p>
        </w:tc>
        <w:tc>
          <w:tcPr>
            <w:tcW w:w="875" w:type="dxa"/>
          </w:tcPr>
          <w:p w14:paraId="4FBC736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0BA323C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2448" w:type="dxa"/>
          </w:tcPr>
          <w:p w14:paraId="0CA09DC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6E8754AC" w14:textId="77777777">
        <w:tc>
          <w:tcPr>
            <w:tcW w:w="3652" w:type="dxa"/>
          </w:tcPr>
          <w:p w14:paraId="12AE5CF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Цинк. белила</w:t>
            </w:r>
          </w:p>
        </w:tc>
        <w:tc>
          <w:tcPr>
            <w:tcW w:w="875" w:type="dxa"/>
          </w:tcPr>
          <w:p w14:paraId="46310A0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625AA56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12,0</w:t>
            </w:r>
          </w:p>
        </w:tc>
        <w:tc>
          <w:tcPr>
            <w:tcW w:w="999" w:type="dxa"/>
          </w:tcPr>
          <w:p w14:paraId="4A8757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452A0F8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79A1B3F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2448" w:type="dxa"/>
          </w:tcPr>
          <w:p w14:paraId="4B82A88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5F209B11" w14:textId="77777777">
        <w:tc>
          <w:tcPr>
            <w:tcW w:w="3652" w:type="dxa"/>
          </w:tcPr>
          <w:p w14:paraId="58C8355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Свинцовый крон</w:t>
            </w:r>
          </w:p>
        </w:tc>
        <w:tc>
          <w:tcPr>
            <w:tcW w:w="875" w:type="dxa"/>
          </w:tcPr>
          <w:p w14:paraId="13B2D89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4F2CFDF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8,0</w:t>
            </w:r>
          </w:p>
        </w:tc>
        <w:tc>
          <w:tcPr>
            <w:tcW w:w="999" w:type="dxa"/>
          </w:tcPr>
          <w:p w14:paraId="0C17BB0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056EF4A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0CAB8C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2448" w:type="dxa"/>
          </w:tcPr>
          <w:p w14:paraId="2C33ED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3D7EA8F5" w14:textId="77777777">
        <w:tc>
          <w:tcPr>
            <w:tcW w:w="3652" w:type="dxa"/>
          </w:tcPr>
          <w:p w14:paraId="00E9C29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Каолин</w:t>
            </w:r>
          </w:p>
        </w:tc>
        <w:tc>
          <w:tcPr>
            <w:tcW w:w="875" w:type="dxa"/>
          </w:tcPr>
          <w:p w14:paraId="22DA74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31BC7F3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30,0</w:t>
            </w:r>
          </w:p>
        </w:tc>
        <w:tc>
          <w:tcPr>
            <w:tcW w:w="999" w:type="dxa"/>
          </w:tcPr>
          <w:p w14:paraId="2769A4E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1AE734E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875" w:type="dxa"/>
          </w:tcPr>
          <w:p w14:paraId="32E545F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c>
          <w:tcPr>
            <w:tcW w:w="2448" w:type="dxa"/>
          </w:tcPr>
          <w:p w14:paraId="20BAE8B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w:t>
            </w:r>
          </w:p>
        </w:tc>
      </w:tr>
    </w:tbl>
    <w:p w14:paraId="3F24937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Технологический процесс защиты пропеллеров твердой оболочкой по способу ВИАМа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528"/>
      </w:tblGrid>
      <w:tr w:rsidR="00E3599D" w:rsidRPr="00E14102" w14:paraId="60615C73" w14:textId="77777777">
        <w:tc>
          <w:tcPr>
            <w:tcW w:w="5070" w:type="dxa"/>
          </w:tcPr>
          <w:p w14:paraId="793AE1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Оклейка всего пропеллера</w:t>
            </w:r>
          </w:p>
        </w:tc>
        <w:tc>
          <w:tcPr>
            <w:tcW w:w="5528" w:type="dxa"/>
          </w:tcPr>
          <w:p w14:paraId="62E4035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Нитроклей и суровое разряженное полотно А/П</w:t>
            </w:r>
          </w:p>
        </w:tc>
      </w:tr>
      <w:tr w:rsidR="00E3599D" w:rsidRPr="00E14102" w14:paraId="199AF90C" w14:textId="77777777">
        <w:tc>
          <w:tcPr>
            <w:tcW w:w="5070" w:type="dxa"/>
          </w:tcPr>
          <w:p w14:paraId="12248FE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Оковка латунью с сеткой</w:t>
            </w:r>
          </w:p>
        </w:tc>
        <w:tc>
          <w:tcPr>
            <w:tcW w:w="5528" w:type="dxa"/>
          </w:tcPr>
          <w:p w14:paraId="1FB2635F"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r>
      <w:tr w:rsidR="00E3599D" w:rsidRPr="00E14102" w14:paraId="3407E769" w14:textId="77777777">
        <w:tc>
          <w:tcPr>
            <w:tcW w:w="5070" w:type="dxa"/>
          </w:tcPr>
          <w:p w14:paraId="69510A6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Шкурение всего пропеллера и очистка от пыли</w:t>
            </w:r>
          </w:p>
        </w:tc>
        <w:tc>
          <w:tcPr>
            <w:tcW w:w="5528" w:type="dxa"/>
          </w:tcPr>
          <w:p w14:paraId="6509622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Наждачная бумага и бензин</w:t>
            </w:r>
          </w:p>
        </w:tc>
      </w:tr>
      <w:tr w:rsidR="00E3599D" w:rsidRPr="00E14102" w14:paraId="039B0C2E" w14:textId="77777777">
        <w:tc>
          <w:tcPr>
            <w:tcW w:w="5070" w:type="dxa"/>
          </w:tcPr>
          <w:p w14:paraId="2E456E2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Получение прозрачной оболочки толщиной около 1 мм</w:t>
            </w:r>
          </w:p>
        </w:tc>
        <w:tc>
          <w:tcPr>
            <w:tcW w:w="5528" w:type="dxa"/>
          </w:tcPr>
          <w:p w14:paraId="38A095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Нитросостав “ДО”</w:t>
            </w:r>
          </w:p>
        </w:tc>
      </w:tr>
      <w:tr w:rsidR="00E3599D" w:rsidRPr="00E14102" w14:paraId="6971D4C8" w14:textId="77777777">
        <w:tc>
          <w:tcPr>
            <w:tcW w:w="5070" w:type="dxa"/>
          </w:tcPr>
          <w:p w14:paraId="6E2EFDA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Выравнивание оболочки по габаритам</w:t>
            </w:r>
          </w:p>
        </w:tc>
        <w:tc>
          <w:tcPr>
            <w:tcW w:w="5528" w:type="dxa"/>
          </w:tcPr>
          <w:p w14:paraId="1BC4D6D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Наждачная бумага и нитрошпатлевка в местах неровностей</w:t>
            </w:r>
          </w:p>
        </w:tc>
      </w:tr>
      <w:tr w:rsidR="00E3599D" w:rsidRPr="00E14102" w14:paraId="251C33A8" w14:textId="77777777">
        <w:tc>
          <w:tcPr>
            <w:tcW w:w="5070" w:type="dxa"/>
          </w:tcPr>
          <w:p w14:paraId="4EFCFA1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Грунтовка</w:t>
            </w:r>
          </w:p>
        </w:tc>
        <w:tc>
          <w:tcPr>
            <w:tcW w:w="5528" w:type="dxa"/>
          </w:tcPr>
          <w:p w14:paraId="5A12FA6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Нитрогрунт “В”</w:t>
            </w:r>
          </w:p>
        </w:tc>
      </w:tr>
      <w:tr w:rsidR="00E3599D" w:rsidRPr="00E14102" w14:paraId="0A03F124" w14:textId="77777777">
        <w:tc>
          <w:tcPr>
            <w:tcW w:w="5070" w:type="dxa"/>
          </w:tcPr>
          <w:p w14:paraId="45F6746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Шкурение</w:t>
            </w:r>
          </w:p>
        </w:tc>
        <w:tc>
          <w:tcPr>
            <w:tcW w:w="5528" w:type="dxa"/>
          </w:tcPr>
          <w:p w14:paraId="1ADC21A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Наждачная бумага</w:t>
            </w:r>
          </w:p>
        </w:tc>
      </w:tr>
      <w:tr w:rsidR="00E3599D" w:rsidRPr="00E14102" w14:paraId="178E3444" w14:textId="77777777">
        <w:tc>
          <w:tcPr>
            <w:tcW w:w="5070" w:type="dxa"/>
          </w:tcPr>
          <w:p w14:paraId="5446B4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Окраска 1 слой</w:t>
            </w:r>
          </w:p>
        </w:tc>
        <w:tc>
          <w:tcPr>
            <w:tcW w:w="5528" w:type="dxa"/>
          </w:tcPr>
          <w:p w14:paraId="3774D14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Нитроаллюминиевая краска “В”</w:t>
            </w:r>
          </w:p>
        </w:tc>
      </w:tr>
      <w:tr w:rsidR="00E3599D" w:rsidRPr="00E14102" w14:paraId="6DF3F268" w14:textId="77777777">
        <w:tc>
          <w:tcPr>
            <w:tcW w:w="5070" w:type="dxa"/>
          </w:tcPr>
          <w:p w14:paraId="4577DE8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Шкурение</w:t>
            </w:r>
          </w:p>
        </w:tc>
        <w:tc>
          <w:tcPr>
            <w:tcW w:w="5528" w:type="dxa"/>
          </w:tcPr>
          <w:p w14:paraId="229FF7D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Наждачная бумага</w:t>
            </w:r>
          </w:p>
        </w:tc>
      </w:tr>
      <w:tr w:rsidR="00E3599D" w:rsidRPr="00E14102" w14:paraId="2895B174" w14:textId="77777777">
        <w:tc>
          <w:tcPr>
            <w:tcW w:w="5070" w:type="dxa"/>
          </w:tcPr>
          <w:p w14:paraId="42A770E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Окраска 2 слой</w:t>
            </w:r>
          </w:p>
        </w:tc>
        <w:tc>
          <w:tcPr>
            <w:tcW w:w="5528" w:type="dxa"/>
          </w:tcPr>
          <w:p w14:paraId="2CA3F25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Нитроаллюминиевая краска “В”</w:t>
            </w:r>
          </w:p>
        </w:tc>
      </w:tr>
      <w:tr w:rsidR="00E3599D" w:rsidRPr="00E14102" w14:paraId="42A9A7D8" w14:textId="77777777">
        <w:tc>
          <w:tcPr>
            <w:tcW w:w="5070" w:type="dxa"/>
          </w:tcPr>
          <w:p w14:paraId="11C5768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Лакировка 1 слой</w:t>
            </w:r>
          </w:p>
        </w:tc>
        <w:tc>
          <w:tcPr>
            <w:tcW w:w="5528" w:type="dxa"/>
          </w:tcPr>
          <w:p w14:paraId="5F61B6A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 xml:space="preserve">Нитролак “В” с 10% нитроаллюминиевой краски </w:t>
            </w:r>
          </w:p>
        </w:tc>
      </w:tr>
      <w:tr w:rsidR="00E3599D" w:rsidRPr="00E14102" w14:paraId="2529CE65" w14:textId="77777777">
        <w:tc>
          <w:tcPr>
            <w:tcW w:w="5070" w:type="dxa"/>
          </w:tcPr>
          <w:p w14:paraId="0198EEA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Шлифовка</w:t>
            </w:r>
          </w:p>
        </w:tc>
        <w:tc>
          <w:tcPr>
            <w:tcW w:w="5528" w:type="dxa"/>
          </w:tcPr>
          <w:p w14:paraId="63072BD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Порошок пемзы с водой</w:t>
            </w:r>
          </w:p>
        </w:tc>
      </w:tr>
      <w:tr w:rsidR="00E3599D" w:rsidRPr="00E14102" w14:paraId="49ED2949" w14:textId="77777777">
        <w:tc>
          <w:tcPr>
            <w:tcW w:w="5070" w:type="dxa"/>
          </w:tcPr>
          <w:p w14:paraId="4FDFBE3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Лакировка 2 слой</w:t>
            </w:r>
          </w:p>
        </w:tc>
        <w:tc>
          <w:tcPr>
            <w:tcW w:w="5528" w:type="dxa"/>
          </w:tcPr>
          <w:p w14:paraId="5591802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Нитролак “В” с 10% нитроаллюминиевой краски</w:t>
            </w:r>
          </w:p>
        </w:tc>
      </w:tr>
    </w:tbl>
    <w:p w14:paraId="2A55B14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Технологический процесс защиты пропеллеров твердой оболочкой по способу завода № 161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528"/>
      </w:tblGrid>
      <w:tr w:rsidR="00E3599D" w:rsidRPr="00E14102" w14:paraId="496DADAB" w14:textId="77777777">
        <w:tc>
          <w:tcPr>
            <w:tcW w:w="5070" w:type="dxa"/>
          </w:tcPr>
          <w:p w14:paraId="347FEAB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Получение оболочки на наколотой древесине пропеллера</w:t>
            </w:r>
          </w:p>
        </w:tc>
        <w:tc>
          <w:tcPr>
            <w:tcW w:w="5528" w:type="dxa"/>
          </w:tcPr>
          <w:p w14:paraId="2A5CE94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Раствор авиацеллулоида “Р” с анилиновой краской</w:t>
            </w:r>
          </w:p>
        </w:tc>
      </w:tr>
      <w:tr w:rsidR="00E3599D" w:rsidRPr="00E14102" w14:paraId="57936C3F" w14:textId="77777777">
        <w:tc>
          <w:tcPr>
            <w:tcW w:w="5070" w:type="dxa"/>
          </w:tcPr>
          <w:p w14:paraId="0FAC5C6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Наклейка ткани</w:t>
            </w:r>
          </w:p>
        </w:tc>
        <w:tc>
          <w:tcPr>
            <w:tcW w:w="5528" w:type="dxa"/>
          </w:tcPr>
          <w:p w14:paraId="6261A8B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Льняное разряженное полотно. Раствор авиацеллулоида.</w:t>
            </w:r>
          </w:p>
        </w:tc>
      </w:tr>
      <w:tr w:rsidR="00E3599D" w:rsidRPr="00E14102" w14:paraId="685A58F5" w14:textId="77777777">
        <w:tc>
          <w:tcPr>
            <w:tcW w:w="5070" w:type="dxa"/>
          </w:tcPr>
          <w:p w14:paraId="4DAC83F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Подмазка по оковку. Натяжение и крепление оковки припаянной к железной сетке.</w:t>
            </w:r>
          </w:p>
        </w:tc>
        <w:tc>
          <w:tcPr>
            <w:tcW w:w="5528" w:type="dxa"/>
          </w:tcPr>
          <w:p w14:paraId="6E4F040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Раствор авиацеллулоида.</w:t>
            </w:r>
          </w:p>
        </w:tc>
      </w:tr>
      <w:tr w:rsidR="00E3599D" w:rsidRPr="00E14102" w14:paraId="4EA99BD0" w14:textId="77777777">
        <w:tc>
          <w:tcPr>
            <w:tcW w:w="5070" w:type="dxa"/>
          </w:tcPr>
          <w:p w14:paraId="6D1395B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Подмазка всего винта и наклейка окрашенной и размягченной в парах растворителя целлулоида.</w:t>
            </w:r>
          </w:p>
        </w:tc>
        <w:tc>
          <w:tcPr>
            <w:tcW w:w="5528" w:type="dxa"/>
          </w:tcPr>
          <w:p w14:paraId="236401E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r>
      <w:tr w:rsidR="00E3599D" w:rsidRPr="00E14102" w14:paraId="370DD94A" w14:textId="77777777">
        <w:tc>
          <w:tcPr>
            <w:tcW w:w="5070" w:type="dxa"/>
          </w:tcPr>
          <w:p w14:paraId="5BCB4A6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Прессовка в вакууммашинах в течение двух часов.</w:t>
            </w:r>
          </w:p>
        </w:tc>
        <w:tc>
          <w:tcPr>
            <w:tcW w:w="5528" w:type="dxa"/>
          </w:tcPr>
          <w:p w14:paraId="20F3764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r>
      <w:tr w:rsidR="00E3599D" w:rsidRPr="00E14102" w14:paraId="1275F9CE" w14:textId="77777777">
        <w:tc>
          <w:tcPr>
            <w:tcW w:w="5070" w:type="dxa"/>
          </w:tcPr>
          <w:p w14:paraId="2955AE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Сушка в шкафу в течение 8 часов и последующая выдержка в течение 24 час.</w:t>
            </w:r>
          </w:p>
        </w:tc>
        <w:tc>
          <w:tcPr>
            <w:tcW w:w="5528" w:type="dxa"/>
          </w:tcPr>
          <w:p w14:paraId="5719C3B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tc>
      </w:tr>
      <w:tr w:rsidR="00E3599D" w:rsidRPr="00E14102" w14:paraId="60AD5E17" w14:textId="77777777">
        <w:tc>
          <w:tcPr>
            <w:tcW w:w="5070" w:type="dxa"/>
          </w:tcPr>
          <w:p w14:paraId="52FD21C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Оправка винта.</w:t>
            </w:r>
          </w:p>
        </w:tc>
        <w:tc>
          <w:tcPr>
            <w:tcW w:w="5528" w:type="dxa"/>
          </w:tcPr>
          <w:p w14:paraId="54050C1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Напильник.</w:t>
            </w:r>
          </w:p>
        </w:tc>
      </w:tr>
      <w:tr w:rsidR="00E3599D" w:rsidRPr="00E14102" w14:paraId="205CBC0B" w14:textId="77777777">
        <w:tc>
          <w:tcPr>
            <w:tcW w:w="5070" w:type="dxa"/>
          </w:tcPr>
          <w:p w14:paraId="75FF77B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Шкурение.</w:t>
            </w:r>
          </w:p>
        </w:tc>
        <w:tc>
          <w:tcPr>
            <w:tcW w:w="5528" w:type="dxa"/>
          </w:tcPr>
          <w:p w14:paraId="64A1704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Наждачная бумага.</w:t>
            </w:r>
          </w:p>
        </w:tc>
      </w:tr>
      <w:tr w:rsidR="00E3599D" w:rsidRPr="00E14102" w14:paraId="7040BC5E" w14:textId="77777777">
        <w:tc>
          <w:tcPr>
            <w:tcW w:w="5070" w:type="dxa"/>
          </w:tcPr>
          <w:p w14:paraId="20A6B59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Шпаклевка</w:t>
            </w:r>
          </w:p>
        </w:tc>
        <w:tc>
          <w:tcPr>
            <w:tcW w:w="5528" w:type="dxa"/>
          </w:tcPr>
          <w:p w14:paraId="3690E8D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Смесь АШ-6 с раствором целлулоида.</w:t>
            </w:r>
          </w:p>
        </w:tc>
      </w:tr>
      <w:tr w:rsidR="00E3599D" w:rsidRPr="00E14102" w14:paraId="784B12DA" w14:textId="77777777">
        <w:tc>
          <w:tcPr>
            <w:tcW w:w="5070" w:type="dxa"/>
          </w:tcPr>
          <w:p w14:paraId="7E875A8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Шкурение</w:t>
            </w:r>
          </w:p>
        </w:tc>
        <w:tc>
          <w:tcPr>
            <w:tcW w:w="5528" w:type="dxa"/>
          </w:tcPr>
          <w:p w14:paraId="29A9F5E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Наждачная бумага.</w:t>
            </w:r>
          </w:p>
        </w:tc>
      </w:tr>
      <w:tr w:rsidR="00E3599D" w:rsidRPr="00E14102" w14:paraId="407FD372" w14:textId="77777777">
        <w:tc>
          <w:tcPr>
            <w:tcW w:w="5070" w:type="dxa"/>
          </w:tcPr>
          <w:p w14:paraId="731F2C0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Окраска 1 слой</w:t>
            </w:r>
          </w:p>
        </w:tc>
        <w:tc>
          <w:tcPr>
            <w:tcW w:w="5528" w:type="dxa"/>
          </w:tcPr>
          <w:p w14:paraId="0DE90C0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ДВ4 защ.</w:t>
            </w:r>
          </w:p>
        </w:tc>
      </w:tr>
      <w:tr w:rsidR="00E3599D" w:rsidRPr="00E14102" w14:paraId="446AA013" w14:textId="77777777">
        <w:tc>
          <w:tcPr>
            <w:tcW w:w="5070" w:type="dxa"/>
          </w:tcPr>
          <w:p w14:paraId="02DF80E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Шкурение</w:t>
            </w:r>
          </w:p>
        </w:tc>
        <w:tc>
          <w:tcPr>
            <w:tcW w:w="5528" w:type="dxa"/>
          </w:tcPr>
          <w:p w14:paraId="5360D22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Наждачная бумага.</w:t>
            </w:r>
          </w:p>
        </w:tc>
      </w:tr>
      <w:tr w:rsidR="00E3599D" w:rsidRPr="00E14102" w14:paraId="7E784B46" w14:textId="77777777">
        <w:tc>
          <w:tcPr>
            <w:tcW w:w="5070" w:type="dxa"/>
          </w:tcPr>
          <w:p w14:paraId="498BC01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Окраска 2 слой</w:t>
            </w:r>
          </w:p>
        </w:tc>
        <w:tc>
          <w:tcPr>
            <w:tcW w:w="5528" w:type="dxa"/>
          </w:tcPr>
          <w:p w14:paraId="1154D4E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ДВ4 защ.</w:t>
            </w:r>
          </w:p>
        </w:tc>
      </w:tr>
      <w:tr w:rsidR="00E3599D" w:rsidRPr="00E14102" w14:paraId="32416312" w14:textId="77777777">
        <w:tc>
          <w:tcPr>
            <w:tcW w:w="5070" w:type="dxa"/>
          </w:tcPr>
          <w:p w14:paraId="67ECC6D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Лакировка 1 слой</w:t>
            </w:r>
          </w:p>
        </w:tc>
        <w:tc>
          <w:tcPr>
            <w:tcW w:w="5528" w:type="dxa"/>
          </w:tcPr>
          <w:p w14:paraId="0194530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АВ4 б/цв.</w:t>
            </w:r>
          </w:p>
        </w:tc>
      </w:tr>
      <w:tr w:rsidR="00E3599D" w:rsidRPr="00E14102" w14:paraId="44D72DC6" w14:textId="77777777">
        <w:tc>
          <w:tcPr>
            <w:tcW w:w="5070" w:type="dxa"/>
          </w:tcPr>
          <w:p w14:paraId="1182803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Полировка</w:t>
            </w:r>
          </w:p>
        </w:tc>
        <w:tc>
          <w:tcPr>
            <w:tcW w:w="5528" w:type="dxa"/>
          </w:tcPr>
          <w:p w14:paraId="567E42D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Полировка водой</w:t>
            </w:r>
          </w:p>
        </w:tc>
      </w:tr>
      <w:tr w:rsidR="00E3599D" w:rsidRPr="00E14102" w14:paraId="28662FD3" w14:textId="77777777">
        <w:tc>
          <w:tcPr>
            <w:tcW w:w="5070" w:type="dxa"/>
          </w:tcPr>
          <w:p w14:paraId="0E03EA3C"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Лакировка 2 слой</w:t>
            </w:r>
          </w:p>
        </w:tc>
        <w:tc>
          <w:tcPr>
            <w:tcW w:w="5528" w:type="dxa"/>
          </w:tcPr>
          <w:p w14:paraId="473DC9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АВ4 б/цв.</w:t>
            </w:r>
          </w:p>
        </w:tc>
      </w:tr>
    </w:tbl>
    <w:p w14:paraId="73456C7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Способ защиты пропеллеров, предложенный ВИАМом несколько проще, чем завода № 161. Однако по качеству эти покрытия, как показали эксплуатационные испытания, преимущество остается за покрытием по способу завода № 161 (6728).</w:t>
      </w:r>
    </w:p>
    <w:p w14:paraId="495F27FC"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28DDA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23 декабря 1935 г. , в письме начальника 1 отдела РНИИ Ю.А.Победонос</w:t>
      </w:r>
      <w:r w:rsidRPr="00E14102">
        <w:rPr>
          <w:color w:val="000000" w:themeColor="text1"/>
          <w:sz w:val="16"/>
          <w:szCs w:val="16"/>
        </w:rPr>
        <w:softHyphen/>
        <w:t>цева и ведущего инженера В.А.Артемьева начальнику НТО-1 ОБАА АУ РККА, говорилось: «В настоящее время РНИИ, согласно резолюции начальника АУ РККА Н.А.Ефимова, изгото</w:t>
      </w:r>
      <w:r w:rsidRPr="00E14102">
        <w:rPr>
          <w:color w:val="000000" w:themeColor="text1"/>
          <w:sz w:val="16"/>
          <w:szCs w:val="16"/>
        </w:rPr>
        <w:softHyphen/>
        <w:t>вило 70 штук 74-мм ракетных осветительных и агитационных снарядов. Вместе с тем, ставим в известность, что все руководства по ним составлены в 1933 г., и в случае опытных заказов АУ по ним, должны быть переработа</w:t>
      </w:r>
      <w:r w:rsidRPr="00E14102">
        <w:rPr>
          <w:color w:val="000000" w:themeColor="text1"/>
          <w:sz w:val="16"/>
          <w:szCs w:val="16"/>
        </w:rPr>
        <w:softHyphen/>
        <w:t>ны. Снаряды предполагается испытывать в разных войсковых частях». В ведомости на изделия, подлежащие контрольному испытанию в 1941 г. на Софринском контрольно-испытательном артполигоне, зна</w:t>
      </w:r>
      <w:r w:rsidRPr="00E14102">
        <w:rPr>
          <w:color w:val="000000" w:themeColor="text1"/>
          <w:sz w:val="16"/>
          <w:szCs w:val="16"/>
        </w:rPr>
        <w:softHyphen/>
        <w:t>чилось 40 штук 165-мм ракетно-осветительных снарядов РОСС-165 и ракетно-сигнальных РСС-165, разработанных по теме объекта №148 «для нужд береговой обороны». В это же время, ракетные боеприпасы того же назначения для НКВМФ разрабатывали и в калибре 140 мм (11402).</w:t>
      </w:r>
    </w:p>
    <w:p w14:paraId="76F3B1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DDE97CC" w14:textId="77777777" w:rsidR="00731362"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F726D76" w14:textId="77777777" w:rsidR="00731362" w:rsidRPr="00E14102" w:rsidRDefault="00731362" w:rsidP="00E14102">
      <w:pPr>
        <w:autoSpaceDE w:val="0"/>
        <w:autoSpaceDN w:val="0"/>
        <w:adjustRightInd w:val="0"/>
        <w:jc w:val="both"/>
        <w:rPr>
          <w:iCs/>
          <w:color w:val="000000" w:themeColor="text1"/>
          <w:sz w:val="16"/>
          <w:szCs w:val="16"/>
        </w:rPr>
      </w:pPr>
    </w:p>
    <w:p w14:paraId="43DE278D" w14:textId="77777777" w:rsidR="00731362" w:rsidRPr="00E14102" w:rsidRDefault="00731362" w:rsidP="00E14102">
      <w:pPr>
        <w:autoSpaceDE w:val="0"/>
        <w:autoSpaceDN w:val="0"/>
        <w:adjustRightInd w:val="0"/>
        <w:jc w:val="both"/>
        <w:rPr>
          <w:color w:val="000000" w:themeColor="text1"/>
          <w:sz w:val="16"/>
          <w:szCs w:val="16"/>
        </w:rPr>
      </w:pPr>
      <w:r w:rsidRPr="00E14102">
        <w:rPr>
          <w:color w:val="000000" w:themeColor="text1"/>
          <w:sz w:val="16"/>
          <w:szCs w:val="16"/>
        </w:rPr>
        <w:t>23 декабря 1935 г. Политбюро (а затем и Совнарком) одоб</w:t>
      </w:r>
      <w:r w:rsidRPr="00E14102">
        <w:rPr>
          <w:color w:val="000000" w:themeColor="text1"/>
          <w:sz w:val="16"/>
          <w:szCs w:val="16"/>
        </w:rPr>
        <w:softHyphen/>
        <w:t>рили подготовленный прокурором СССР А.Я.Вышинским и наркомом внутренних дел Г.Г.Ягодой циркуляр об использо</w:t>
      </w:r>
      <w:r w:rsidRPr="00E14102">
        <w:rPr>
          <w:color w:val="000000" w:themeColor="text1"/>
          <w:sz w:val="16"/>
          <w:szCs w:val="16"/>
        </w:rPr>
        <w:softHyphen/>
        <w:t>вании на работе лиц, высланных и сосланных в администра</w:t>
      </w:r>
      <w:r w:rsidRPr="00E14102">
        <w:rPr>
          <w:color w:val="000000" w:themeColor="text1"/>
          <w:sz w:val="16"/>
          <w:szCs w:val="16"/>
        </w:rPr>
        <w:softHyphen/>
        <w:t>тивном порядке, и приеме их детей в учебные заведения. Цир</w:t>
      </w:r>
      <w:r w:rsidRPr="00E14102">
        <w:rPr>
          <w:color w:val="000000" w:themeColor="text1"/>
          <w:sz w:val="16"/>
          <w:szCs w:val="16"/>
        </w:rPr>
        <w:softHyphen/>
        <w:t>куляр, отправленный руководителям управлений НКВД и прокурорам на места, разрешал использовать по специально</w:t>
      </w:r>
      <w:r w:rsidRPr="00E14102">
        <w:rPr>
          <w:color w:val="000000" w:themeColor="text1"/>
          <w:sz w:val="16"/>
          <w:szCs w:val="16"/>
        </w:rPr>
        <w:softHyphen/>
        <w:t>сти в учреждениях и на предприятиях (кроме оборонных) ин</w:t>
      </w:r>
      <w:r w:rsidRPr="00E14102">
        <w:rPr>
          <w:color w:val="000000" w:themeColor="text1"/>
          <w:sz w:val="16"/>
          <w:szCs w:val="16"/>
        </w:rPr>
        <w:softHyphen/>
        <w:t>женеров, техников, врачей, агрономов, бухгалтеров и пр., со</w:t>
      </w:r>
      <w:r w:rsidRPr="00E14102">
        <w:rPr>
          <w:color w:val="000000" w:themeColor="text1"/>
          <w:sz w:val="16"/>
          <w:szCs w:val="16"/>
        </w:rPr>
        <w:softHyphen/>
        <w:t>сланных в административном порядке по постановлению Осо</w:t>
      </w:r>
      <w:r w:rsidRPr="00E14102">
        <w:rPr>
          <w:color w:val="000000" w:themeColor="text1"/>
          <w:sz w:val="16"/>
          <w:szCs w:val="16"/>
        </w:rPr>
        <w:softHyphen/>
        <w:t>бого совещания при НКВД, а также квалифицированных ра</w:t>
      </w:r>
      <w:r w:rsidRPr="00E14102">
        <w:rPr>
          <w:color w:val="000000" w:themeColor="text1"/>
          <w:sz w:val="16"/>
          <w:szCs w:val="16"/>
        </w:rPr>
        <w:softHyphen/>
        <w:t>бочих (за исключением тех случаев, когда Особое совещание специально запрещало использование по специальности). На</w:t>
      </w:r>
      <w:r w:rsidRPr="00E14102">
        <w:rPr>
          <w:color w:val="000000" w:themeColor="text1"/>
          <w:sz w:val="16"/>
          <w:szCs w:val="16"/>
        </w:rPr>
        <w:softHyphen/>
        <w:t>учные работники получали право работать по своей специальности в местах ссылки или высылки в том случае, "если они высланы или сосланы из столиц, промышленных пунктов и пограничной полосы в порядке очистки этих местностей от социально-опасных элементов". Дети, "высланные или со</w:t>
      </w:r>
      <w:r w:rsidRPr="00E14102">
        <w:rPr>
          <w:color w:val="000000" w:themeColor="text1"/>
          <w:sz w:val="16"/>
          <w:szCs w:val="16"/>
        </w:rPr>
        <w:softHyphen/>
        <w:t>сланные как иждивенцы своих родителей", подлежали "при</w:t>
      </w:r>
      <w:r w:rsidRPr="00E14102">
        <w:rPr>
          <w:color w:val="000000" w:themeColor="text1"/>
          <w:sz w:val="16"/>
          <w:szCs w:val="16"/>
        </w:rPr>
        <w:softHyphen/>
        <w:t>ему в учебные заведения по месту ссылки или высылки в по</w:t>
      </w:r>
      <w:r w:rsidRPr="00E14102">
        <w:rPr>
          <w:color w:val="000000" w:themeColor="text1"/>
          <w:sz w:val="16"/>
          <w:szCs w:val="16"/>
        </w:rPr>
        <w:softHyphen/>
        <w:t>рядке перевода". Несмотря на то, что во многих случаях этот циркуляр имел чисто декларативное значение (в отдаленных районах просто не существовало необходимых рабочих мест), он в определенной степени облегчил положение многих ссыльных и высланных (17307).</w:t>
      </w:r>
    </w:p>
    <w:p w14:paraId="3CA02457" w14:textId="77777777" w:rsidR="00731362" w:rsidRPr="00E14102" w:rsidRDefault="00731362" w:rsidP="00E14102">
      <w:pPr>
        <w:autoSpaceDE w:val="0"/>
        <w:autoSpaceDN w:val="0"/>
        <w:adjustRightInd w:val="0"/>
        <w:jc w:val="both"/>
        <w:rPr>
          <w:color w:val="000000" w:themeColor="text1"/>
          <w:sz w:val="16"/>
          <w:szCs w:val="16"/>
        </w:rPr>
      </w:pPr>
    </w:p>
    <w:p w14:paraId="669EE87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948BBF3" w14:textId="77777777" w:rsidR="00D4105E" w:rsidRPr="00E14102" w:rsidRDefault="00D4105E" w:rsidP="00E14102">
      <w:pPr>
        <w:autoSpaceDE w:val="0"/>
        <w:autoSpaceDN w:val="0"/>
        <w:adjustRightInd w:val="0"/>
        <w:jc w:val="both"/>
        <w:rPr>
          <w:iCs/>
          <w:color w:val="000000" w:themeColor="text1"/>
          <w:sz w:val="16"/>
          <w:szCs w:val="16"/>
        </w:rPr>
      </w:pPr>
    </w:p>
    <w:p w14:paraId="765F45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декабря 1935 закончились заводские летные испытания самолета ЦКБ МС-2 с мотором "Райт - Циклон" SR-1820-FIII и винтом Гамильтона (МБР-5 П.Д.Самсонова), предназначенного для разведки баз противника, разведки неприятельского флота и борьбы с подводными лодками, которые начались 3 октября 1935 (451). Всего сделали 51 полет и налетали 9:18. Оценили положительно (1030,27).</w:t>
      </w:r>
    </w:p>
    <w:p w14:paraId="3FF07859" w14:textId="77777777" w:rsidR="00D4105E" w:rsidRPr="00E14102" w:rsidRDefault="00D4105E" w:rsidP="00E14102">
      <w:pPr>
        <w:autoSpaceDE w:val="0"/>
        <w:autoSpaceDN w:val="0"/>
        <w:adjustRightInd w:val="0"/>
        <w:jc w:val="both"/>
        <w:rPr>
          <w:color w:val="000000" w:themeColor="text1"/>
          <w:sz w:val="16"/>
          <w:szCs w:val="16"/>
        </w:rPr>
      </w:pPr>
    </w:p>
    <w:p w14:paraId="0745CEEB"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C1FC605" w14:textId="77777777" w:rsidR="00D4105E" w:rsidRPr="00E14102" w:rsidRDefault="00D4105E" w:rsidP="00E14102">
      <w:pPr>
        <w:autoSpaceDE w:val="0"/>
        <w:autoSpaceDN w:val="0"/>
        <w:adjustRightInd w:val="0"/>
        <w:jc w:val="both"/>
        <w:rPr>
          <w:iCs/>
          <w:color w:val="000000" w:themeColor="text1"/>
          <w:sz w:val="16"/>
          <w:szCs w:val="16"/>
        </w:rPr>
      </w:pPr>
    </w:p>
    <w:p w14:paraId="09FC6D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 декабря 1935 г. был введен в эксплуатацию завод (Завод № 228 ИМ. В.П. Чкалова НК нефти, Орский нефтеперерабатывающий завод (НПЗ) им. В.П. Чкалова, ПО, ОАО «Орскнефтеоргсинтез» (ОНОС) /462407  г. Орск Оренбургской обл. ул. Гончарова, 1А тел. 29-24-51/), 6.01.1936 г. получен первый бензин. В 1939 г. заводу присвоено имя В.П. Чкалова.</w:t>
      </w:r>
    </w:p>
    <w:p w14:paraId="3404B6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начале 1930-х  г. принято решение о строительстве нефтеперерабатывающего завода в Орске. Первоначально строительная площадка «Крекингстроя» («Орскнефтезаводстроя») была выбрана на Кумакской возвышенности, но в 1932 г. строительство было перенесено на другое место. Технический проект утвержден в 05.1934 г. </w:t>
      </w:r>
    </w:p>
    <w:p w14:paraId="33E225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13.04.1942 г. вышло постановление ГКО № 1584 о переброске установки селективной очистки авиамасел с Константиновского завода на Орский НПЗ. 6.08.1942 г. и 11.10.1942 г. вышли постановления ГКО № 2154 и № 2402 об ускорении строительства завода и ввода его в строй. 10.10.1944 г. новое постановление ГКО № 6684 о мероприятиях по ускорению строительства завода № 228 на импортном оборудовании. 28.10.1944 г. - постановление ГКО № 6819 о подготовке завода к пуску.</w:t>
      </w:r>
    </w:p>
    <w:p w14:paraId="05D21B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02.1976 г. на базе НПЗ и завода синтетического спирта создано ПО «Орскнефтеоргсинтез».</w:t>
      </w:r>
    </w:p>
    <w:p w14:paraId="686EE2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1994 г. АО «ОНОС» вошло в состав нефтяной компании «ОНАКО», 14.09.2000 г.- в состав ТНК, с 2003 г.- в ТНК-</w:t>
      </w:r>
      <w:r w:rsidRPr="00E14102">
        <w:rPr>
          <w:color w:val="000000" w:themeColor="text1"/>
          <w:sz w:val="16"/>
          <w:szCs w:val="16"/>
          <w:lang w:val="en-US"/>
        </w:rPr>
        <w:t>BP</w:t>
      </w:r>
      <w:r w:rsidRPr="00E14102">
        <w:rPr>
          <w:color w:val="000000" w:themeColor="text1"/>
          <w:sz w:val="16"/>
          <w:szCs w:val="16"/>
        </w:rPr>
        <w:t>. С 12.2005 г. ОНОС- в составе «РуссНефти».</w:t>
      </w:r>
    </w:p>
    <w:p w14:paraId="00F1F8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составе НПЗ (2007 г.): цеха № 1 и № 2 по производству топлив; маслоблок (производство масел).</w:t>
      </w:r>
    </w:p>
    <w:p w14:paraId="5DC791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Численность персонала (2007 г.)- около 2500 чел.</w:t>
      </w:r>
    </w:p>
    <w:p w14:paraId="4C3514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Гендиректор (1999-2007 г.-)- В.В. Пилюгин.</w:t>
      </w:r>
    </w:p>
    <w:p w14:paraId="2B717EE7"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Производство:</w:t>
      </w:r>
      <w:r w:rsidRPr="00E14102">
        <w:rPr>
          <w:color w:val="000000" w:themeColor="text1"/>
          <w:sz w:val="16"/>
          <w:szCs w:val="16"/>
        </w:rPr>
        <w:t xml:space="preserve"> (2000-е) бензины А-76, А-80, АИ-92, АИ-95; реактивное топливо РТ; дизельное и моторное топливо; масла: индустриальные, авиационные, компрессорные, моторные, для холодильных машин; битум, мазут (11982).</w:t>
      </w:r>
    </w:p>
    <w:p w14:paraId="3C1E287A" w14:textId="77777777" w:rsidR="00D4105E" w:rsidRPr="00E14102" w:rsidRDefault="00D4105E" w:rsidP="00E14102">
      <w:pPr>
        <w:autoSpaceDE w:val="0"/>
        <w:autoSpaceDN w:val="0"/>
        <w:adjustRightInd w:val="0"/>
        <w:jc w:val="both"/>
        <w:rPr>
          <w:color w:val="000000" w:themeColor="text1"/>
          <w:sz w:val="16"/>
          <w:szCs w:val="16"/>
        </w:rPr>
      </w:pPr>
    </w:p>
    <w:p w14:paraId="6C03B1E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4CBCB3E" w14:textId="77777777" w:rsidR="00D4105E" w:rsidRPr="00E14102" w:rsidRDefault="00D4105E" w:rsidP="00E14102">
      <w:pPr>
        <w:autoSpaceDE w:val="0"/>
        <w:autoSpaceDN w:val="0"/>
        <w:adjustRightInd w:val="0"/>
        <w:jc w:val="both"/>
        <w:rPr>
          <w:iCs/>
          <w:color w:val="000000" w:themeColor="text1"/>
          <w:sz w:val="16"/>
          <w:szCs w:val="16"/>
        </w:rPr>
      </w:pPr>
    </w:p>
    <w:p w14:paraId="794106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25/26 декабря 1935 Нач. штаба НИИ ВВС Коробов писал письмо N 3712 директору завода 22 и районному инженеру завода 22:</w:t>
      </w:r>
    </w:p>
    <w:p w14:paraId="4EB1BB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"Препровождаю копию отчета по эталонному размещению аппаратуры Шутка на ТБ-3 4М-34Р."</w:t>
      </w:r>
    </w:p>
    <w:p w14:paraId="1365CA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Отчет о работе комиссии по эталонному размещению аппаратуры Шутка на ТБ-3 4М-34Р.</w:t>
      </w:r>
    </w:p>
    <w:p w14:paraId="4305D4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работы комиссии:</w:t>
      </w:r>
    </w:p>
    <w:p w14:paraId="51B71D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Создание образцовой установки приборов Шутки на ТБ-3 и согласование стыков между приборами Шутка, радиостанцией IIСК-1 и прибором ЭСКБ-2.</w:t>
      </w:r>
    </w:p>
    <w:p w14:paraId="78F49F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Летные испытания</w:t>
      </w:r>
    </w:p>
    <w:p w14:paraId="5BA195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проверки исправности работы приборов Шутки совместно с рацией IICR-1 было совершено 2 предварительных совместных полета без бомбовой нагрузки на обоих самолетах одновременно.</w:t>
      </w:r>
    </w:p>
    <w:p w14:paraId="60F2B4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1-й полет - 11 октября 1935. Цель полета: проверка работы приборов Шутки с рацией IICK-1. Продолжительность полета - 1:07</w:t>
      </w:r>
    </w:p>
    <w:p w14:paraId="5A0995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2-й полет - 15 октября 1935. Цель полета: проверка работы приборов Шутки с рацией IICK-1. Продолжительность полета - 0:55</w:t>
      </w:r>
    </w:p>
    <w:p w14:paraId="3CCA94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Потом был еще один полет 17 октября 1935.</w:t>
      </w:r>
    </w:p>
    <w:p w14:paraId="42A8F0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Выводы и заключение:</w:t>
      </w:r>
    </w:p>
    <w:p w14:paraId="660FAE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 Предложить для утверждения образцовую установку, расположение и монтаж приборов Шутки, произведенной на самолетах ТБ-3 4М-34РН N 22567, ТБ-3 4М-34Р N 22610, ТБ-3 4М-34Р N 22541 в качестве эталонного монтажа этих приборов для всех самолетов ТБ-3 4М-34РН и ТБ-3 4М-34Р выпуска 1935, обеспечивающего стыки между приборами Шутки, рацией IICK-1 и приборами ЭСБР-2 (870).</w:t>
      </w:r>
    </w:p>
    <w:p w14:paraId="02A804EF" w14:textId="77777777" w:rsidR="00D4105E" w:rsidRPr="00E14102" w:rsidRDefault="00D4105E" w:rsidP="00E14102">
      <w:pPr>
        <w:autoSpaceDE w:val="0"/>
        <w:autoSpaceDN w:val="0"/>
        <w:adjustRightInd w:val="0"/>
        <w:jc w:val="both"/>
        <w:rPr>
          <w:color w:val="000000" w:themeColor="text1"/>
          <w:sz w:val="16"/>
          <w:szCs w:val="16"/>
        </w:rPr>
      </w:pPr>
    </w:p>
    <w:p w14:paraId="02D1F0A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B0A40D6" w14:textId="77777777" w:rsidR="00D4105E" w:rsidRPr="00E14102" w:rsidRDefault="00D4105E" w:rsidP="00E14102">
      <w:pPr>
        <w:autoSpaceDE w:val="0"/>
        <w:autoSpaceDN w:val="0"/>
        <w:adjustRightInd w:val="0"/>
        <w:jc w:val="both"/>
        <w:rPr>
          <w:iCs/>
          <w:color w:val="000000" w:themeColor="text1"/>
          <w:sz w:val="16"/>
          <w:szCs w:val="16"/>
        </w:rPr>
      </w:pPr>
    </w:p>
    <w:p w14:paraId="636640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 декабря 1938 г. вышел отчет комиссии по большим конкурсным испытаниям зенитных пушек, в которых участвовали АКТ-37 на лафетах ЛАКТ-37 и ТАКТ-37 (ЗУ-7). Согласно отчету ЛАКТ-37 и ТАКТ-37 «не годны для длительных стрельб…доработка подобных систем нецелесообразна». На этом работы по АКТ-37 и были прекращены.</w:t>
      </w:r>
    </w:p>
    <w:p w14:paraId="64C492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Данные автомата АКТ-37 </w:t>
      </w:r>
    </w:p>
    <w:p w14:paraId="643D3C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мм — 37</w:t>
      </w:r>
    </w:p>
    <w:p w14:paraId="1C50ED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автомата, мм — 3050*</w:t>
      </w:r>
    </w:p>
    <w:p w14:paraId="67A931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ствола, мм/клб — 1900/51,3</w:t>
      </w:r>
    </w:p>
    <w:p w14:paraId="60E818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нарезной части, мм — 1652</w:t>
      </w:r>
    </w:p>
    <w:p w14:paraId="42F84C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Объем каморы, л — 0,266</w:t>
      </w:r>
    </w:p>
    <w:p w14:paraId="4A9552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Крутизна нарезов: у основания, клб/град — 50/3°35?43?</w:t>
      </w:r>
    </w:p>
    <w:p w14:paraId="5D8497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дула, клб/град — 30/5°58?42?</w:t>
      </w:r>
    </w:p>
    <w:p w14:paraId="42C5C5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Число нарезов — 15</w:t>
      </w:r>
    </w:p>
    <w:p w14:paraId="382B2E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Глубина нарезов, мм — 0,45</w:t>
      </w:r>
    </w:p>
    <w:p w14:paraId="6BADC4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Ширина нарезов, мм — 4,8</w:t>
      </w:r>
    </w:p>
    <w:p w14:paraId="045D53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Ширина полей, мм — 2,5</w:t>
      </w:r>
    </w:p>
    <w:p w14:paraId="0B673D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ствола, кг — 13,13*</w:t>
      </w:r>
    </w:p>
    <w:p w14:paraId="12AB2C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автоматики (затвора с рамой), кг — 8,5*</w:t>
      </w:r>
    </w:p>
    <w:p w14:paraId="4BC5B8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откатных частей, кг — 134,5 (при весе качающейся части 240 кг)</w:t>
      </w:r>
    </w:p>
    <w:p w14:paraId="7B5069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качающейся части, кг — 215* (позже 240 кг)</w:t>
      </w:r>
    </w:p>
    <w:p w14:paraId="56DE78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магазина с 5 патронами, кг — 12,5*</w:t>
      </w:r>
    </w:p>
    <w:p w14:paraId="2FD0DB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отката, мм: максимальная — 160</w:t>
      </w:r>
    </w:p>
    <w:p w14:paraId="7A9130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минимальная, обеспечивающая работу автоматики — 153–155</w:t>
      </w:r>
    </w:p>
    <w:p w14:paraId="2F03E9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Темп стрельбы, выстр/мин — 150–200 (на различных испытаниях)</w:t>
      </w:r>
    </w:p>
    <w:p w14:paraId="442F4E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Расчетные данные.</w:t>
      </w:r>
    </w:p>
    <w:p w14:paraId="65D5EE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5B2F92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гильзы первоначально была 265 мм, а с конца 1936 г. — 240 мм. Вес патрона около 1,5 кг.</w:t>
      </w:r>
    </w:p>
    <w:p w14:paraId="4B0A17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5D34BE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Основными отличиями АСКОН от АКТ были:</w:t>
      </w:r>
    </w:p>
    <w:p w14:paraId="4B8C74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66543D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48CAFC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2E3576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541530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4BE7A8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Данные 37-мм автоматической пушки АСКОН-37 </w:t>
      </w:r>
    </w:p>
    <w:p w14:paraId="11379C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Калибр, мм — 37</w:t>
      </w:r>
    </w:p>
    <w:p w14:paraId="1D7E93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автомата, мм — 3318</w:t>
      </w:r>
    </w:p>
    <w:p w14:paraId="1BDD8B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ствола, мм/клб — 2335/63,1</w:t>
      </w:r>
    </w:p>
    <w:p w14:paraId="1D2E7C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пути снаряда по каналу, мм — 2115</w:t>
      </w:r>
    </w:p>
    <w:p w14:paraId="1B58DD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нарезной части, мм — 072</w:t>
      </w:r>
    </w:p>
    <w:p w14:paraId="3B3B2F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Объем каморы, дм3 — 0,540</w:t>
      </w:r>
    </w:p>
    <w:p w14:paraId="688AA2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Крутизна нарезов постоянная, клб — 30</w:t>
      </w:r>
    </w:p>
    <w:p w14:paraId="2979BF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Число нарезов — 16</w:t>
      </w:r>
    </w:p>
    <w:p w14:paraId="3EAE95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Глубина нарезов, мм — 0,45</w:t>
      </w:r>
    </w:p>
    <w:p w14:paraId="4AA9EC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Ширина полей, мм — 2,5</w:t>
      </w:r>
    </w:p>
    <w:p w14:paraId="73E869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ствольной группы, кг — 123,4</w:t>
      </w:r>
    </w:p>
    <w:p w14:paraId="361231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автоматики, кг — 13</w:t>
      </w:r>
    </w:p>
    <w:p w14:paraId="730B3E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откатных частей; кг — 153</w:t>
      </w:r>
    </w:p>
    <w:p w14:paraId="115B7E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люльки, кг — 71,24</w:t>
      </w:r>
    </w:p>
    <w:p w14:paraId="7E18D6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магазина, кг — 5,73</w:t>
      </w:r>
    </w:p>
    <w:p w14:paraId="19E4D4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качающейся части, кг — 442,1</w:t>
      </w:r>
    </w:p>
    <w:p w14:paraId="7ABBF2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отката ствола, мм — 117</w:t>
      </w:r>
    </w:p>
    <w:p w14:paraId="1744B6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Темп стрельбы, выстр/мин — 250</w:t>
      </w:r>
    </w:p>
    <w:p w14:paraId="422B75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Баллистические данные АСКОН-37</w:t>
      </w:r>
    </w:p>
    <w:p w14:paraId="1856C8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снаряда — Осколочный чертежа 6436 (АНИМИ)</w:t>
      </w:r>
    </w:p>
    <w:p w14:paraId="5453EF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снаряда, кг — 0,645</w:t>
      </w:r>
    </w:p>
    <w:p w14:paraId="331A4B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заряда, кг — 0,378</w:t>
      </w:r>
    </w:p>
    <w:p w14:paraId="12D794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Начальная скорость, м/с — 1060</w:t>
      </w:r>
    </w:p>
    <w:p w14:paraId="736CD2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Давление, кг/см2 — 2900 (12091).</w:t>
      </w:r>
    </w:p>
    <w:p w14:paraId="30C425F4" w14:textId="767B2F61" w:rsidR="00D4105E" w:rsidRPr="00E14102" w:rsidRDefault="00D4105E" w:rsidP="00E14102">
      <w:pPr>
        <w:autoSpaceDE w:val="0"/>
        <w:autoSpaceDN w:val="0"/>
        <w:adjustRightInd w:val="0"/>
        <w:jc w:val="both"/>
        <w:rPr>
          <w:color w:val="000000" w:themeColor="text1"/>
          <w:sz w:val="16"/>
          <w:szCs w:val="16"/>
        </w:rPr>
      </w:pPr>
    </w:p>
    <w:p w14:paraId="6ED59DA3" w14:textId="3CA02934" w:rsidR="003B3CE3" w:rsidRPr="00E14102" w:rsidRDefault="003B3CE3" w:rsidP="00E14102">
      <w:pPr>
        <w:autoSpaceDE w:val="0"/>
        <w:autoSpaceDN w:val="0"/>
        <w:adjustRightInd w:val="0"/>
        <w:jc w:val="both"/>
        <w:rPr>
          <w:i/>
          <w:iCs/>
          <w:color w:val="000000" w:themeColor="text1"/>
          <w:sz w:val="16"/>
          <w:szCs w:val="16"/>
        </w:rPr>
      </w:pPr>
      <w:r w:rsidRPr="00E14102">
        <w:rPr>
          <w:i/>
          <w:iCs/>
          <w:color w:val="000000" w:themeColor="text1"/>
          <w:sz w:val="16"/>
          <w:szCs w:val="16"/>
        </w:rPr>
        <w:t>Армия:</w:t>
      </w:r>
    </w:p>
    <w:p w14:paraId="61C44CCA" w14:textId="77777777" w:rsidR="003B3CE3" w:rsidRPr="00E14102" w:rsidRDefault="003B3CE3" w:rsidP="00E14102">
      <w:pPr>
        <w:autoSpaceDE w:val="0"/>
        <w:autoSpaceDN w:val="0"/>
        <w:adjustRightInd w:val="0"/>
        <w:jc w:val="both"/>
        <w:rPr>
          <w:i/>
          <w:iCs/>
          <w:color w:val="000000" w:themeColor="text1"/>
          <w:sz w:val="16"/>
          <w:szCs w:val="16"/>
        </w:rPr>
      </w:pPr>
    </w:p>
    <w:p w14:paraId="4C7B2DDE" w14:textId="77777777" w:rsidR="003B3CE3" w:rsidRPr="00E14102" w:rsidRDefault="003B3CE3" w:rsidP="00E14102">
      <w:pPr>
        <w:jc w:val="both"/>
        <w:rPr>
          <w:color w:val="0070C0"/>
          <w:sz w:val="16"/>
          <w:szCs w:val="16"/>
        </w:rPr>
      </w:pPr>
      <w:r w:rsidRPr="00E14102">
        <w:rPr>
          <w:color w:val="0070C0"/>
          <w:sz w:val="16"/>
          <w:szCs w:val="16"/>
        </w:rPr>
        <w:t>В ночь на 25 декабря 1935 личный состав звена самолетов Р-5 с аэродрома Вахты, где была сосредоточена авиационная группа погранвойск Среднеазиатского региона в количестве четырех авиаотрядов (командиром этой авиационной группы был назначен командир 4-го отдельного авиацион</w:t>
      </w:r>
      <w:r w:rsidRPr="00E14102">
        <w:rPr>
          <w:color w:val="0070C0"/>
          <w:sz w:val="16"/>
          <w:szCs w:val="16"/>
        </w:rPr>
        <w:softHyphen/>
        <w:t>ного отряда (г. Акмолинск) К. Шишковбыл) поднят по тревоге.</w:t>
      </w:r>
    </w:p>
    <w:p w14:paraId="2C9B8B92" w14:textId="77777777" w:rsidR="003B3CE3" w:rsidRPr="00E14102" w:rsidRDefault="003B3CE3" w:rsidP="00E14102">
      <w:pPr>
        <w:jc w:val="both"/>
        <w:rPr>
          <w:color w:val="0070C0"/>
          <w:sz w:val="16"/>
          <w:szCs w:val="16"/>
        </w:rPr>
      </w:pPr>
      <w:r w:rsidRPr="00E14102">
        <w:rPr>
          <w:color w:val="0070C0"/>
          <w:sz w:val="16"/>
          <w:szCs w:val="16"/>
        </w:rPr>
        <w:t>На рассвете первым взлетел К. Шишков, за ним стартовали В. Полынин и С. Антоненок. Тяжело груженные машины оторвались от земли и легли на за</w:t>
      </w:r>
      <w:r w:rsidRPr="00E14102">
        <w:rPr>
          <w:color w:val="0070C0"/>
          <w:sz w:val="16"/>
          <w:szCs w:val="16"/>
        </w:rPr>
        <w:softHyphen/>
        <w:t>данный курс. Подлетая к Урумчи, экипажи увидели у крепостной стены, опоясывающей город, множество людей. Это мятежники штурмовали кре</w:t>
      </w:r>
      <w:r w:rsidRPr="00E14102">
        <w:rPr>
          <w:color w:val="0070C0"/>
          <w:sz w:val="16"/>
          <w:szCs w:val="16"/>
        </w:rPr>
        <w:softHyphen/>
        <w:t>пость, позади пехоты гарцевали конники. Тускло поблескивали частые вспышки выстрелов. До сих пор К. Шишкову и его ведомым экипажам прихо</w:t>
      </w:r>
      <w:r w:rsidRPr="00E14102">
        <w:rPr>
          <w:color w:val="0070C0"/>
          <w:sz w:val="16"/>
          <w:szCs w:val="16"/>
        </w:rPr>
        <w:softHyphen/>
        <w:t>дилось бомбить только на полигонах, сейчас же внизу была реальная цель. Снизившись до высоты 250 м экипажи сбросили бомбы в гущу мятежников. На выходе из атаки открывали огонь из пулеметов. На третьем заходе было прекрасно видно, как толпа нападающих отхлынула от стен и бросилась врас</w:t>
      </w:r>
      <w:r w:rsidRPr="00E14102">
        <w:rPr>
          <w:color w:val="0070C0"/>
          <w:sz w:val="16"/>
          <w:szCs w:val="16"/>
        </w:rPr>
        <w:softHyphen/>
        <w:t>сыпную. Обогнав бегущих пеших бандитов, помчалась в горы и конница.</w:t>
      </w:r>
    </w:p>
    <w:p w14:paraId="6646256C" w14:textId="77777777" w:rsidR="003B3CE3" w:rsidRPr="00E14102" w:rsidRDefault="003B3CE3" w:rsidP="00E14102">
      <w:pPr>
        <w:jc w:val="both"/>
        <w:rPr>
          <w:color w:val="0070C0"/>
          <w:sz w:val="16"/>
          <w:szCs w:val="16"/>
        </w:rPr>
      </w:pPr>
      <w:r w:rsidRPr="00E14102">
        <w:rPr>
          <w:color w:val="0070C0"/>
          <w:sz w:val="16"/>
          <w:szCs w:val="16"/>
        </w:rPr>
        <w:t>Благодаря своевременной помощи летчиков удалось не только снять бло</w:t>
      </w:r>
      <w:r w:rsidRPr="00E14102">
        <w:rPr>
          <w:color w:val="0070C0"/>
          <w:sz w:val="16"/>
          <w:szCs w:val="16"/>
        </w:rPr>
        <w:softHyphen/>
        <w:t>каду крепости и города, но и отбросить мятежников далеко в горы (20402).</w:t>
      </w:r>
    </w:p>
    <w:p w14:paraId="2C1681B8" w14:textId="77777777" w:rsidR="003B3CE3" w:rsidRPr="00E14102" w:rsidRDefault="003B3CE3" w:rsidP="00E14102">
      <w:pPr>
        <w:jc w:val="both"/>
        <w:rPr>
          <w:color w:val="0070C0"/>
          <w:sz w:val="16"/>
          <w:szCs w:val="16"/>
        </w:rPr>
      </w:pPr>
    </w:p>
    <w:p w14:paraId="6FF0CFA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45AA3CB" w14:textId="77777777" w:rsidR="00D4105E" w:rsidRPr="00E14102" w:rsidRDefault="00D4105E" w:rsidP="00E14102">
      <w:pPr>
        <w:autoSpaceDE w:val="0"/>
        <w:autoSpaceDN w:val="0"/>
        <w:adjustRightInd w:val="0"/>
        <w:jc w:val="both"/>
        <w:rPr>
          <w:iCs/>
          <w:color w:val="000000" w:themeColor="text1"/>
          <w:sz w:val="16"/>
          <w:szCs w:val="16"/>
        </w:rPr>
      </w:pPr>
    </w:p>
    <w:p w14:paraId="244A54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26 декабря 1935 вышел приказ НКТП N 202сс по качеству самолетов моторов и необходимости его повышения (2149,17).</w:t>
      </w:r>
    </w:p>
    <w:p w14:paraId="52A11C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Об устранении дефектов в самолетах и моторах (И-15 М-25, И-16 М-22, ТБ-3 4М-34Р</w:t>
      </w:r>
    </w:p>
    <w:p w14:paraId="09E10E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По морской авиации</w:t>
      </w:r>
    </w:p>
    <w:p w14:paraId="1A022E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 Нач. ГУАП т. Кагановичу организовать в ГУАП Отдел Морского Самолетостроения...</w:t>
      </w:r>
    </w:p>
    <w:p w14:paraId="60C4CE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 Считать центром НИР по гидроавиации ЦАГИ. Наряду с этим, ГУАП и директорам соответствующих заводов развернуть НИ и ЭР по морскому самолетостроению на серийных заводах 31, 23, 45, 30, 126...</w:t>
      </w:r>
    </w:p>
    <w:p w14:paraId="794069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Приемка материалов, полуфабрикатов и деталей</w:t>
      </w:r>
    </w:p>
    <w:p w14:paraId="3721C0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Карбюраторы</w:t>
      </w:r>
    </w:p>
    <w:p w14:paraId="24EB54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Радиаторы</w:t>
      </w:r>
    </w:p>
    <w:p w14:paraId="731D02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Тормозные колеса</w:t>
      </w:r>
    </w:p>
    <w:p w14:paraId="3AE9B6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Резиновые изделия</w:t>
      </w:r>
    </w:p>
    <w:p w14:paraId="331A1F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авиационные троса и проволока</w:t>
      </w:r>
    </w:p>
    <w:p w14:paraId="0C3251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 Роликовые и шариковые подшипники</w:t>
      </w:r>
    </w:p>
    <w:p w14:paraId="016CD0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 Краски, лаки и клеи</w:t>
      </w:r>
    </w:p>
    <w:p w14:paraId="4698B8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 Нач. ГУАП выделить на самолетостроительных заводах малярные цеха, а там, где это по условиям технологического процесса не представляется возможным, в цехах, где производится покрытие красками и лаками деталей самолетов, создать необходимые к этому условия, в смысле чистоты, температуры и влажности. Программу мероприятий по окраске самолетов на самолетостроительных заводах разработать совместно с ВИАМ и Нач. Главоргхимпрома и представить мне на утверждение не позднее 1 января 1936.</w:t>
      </w:r>
    </w:p>
    <w:p w14:paraId="6BD865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 Нач. ГУАП, директору ВИАМ разработать новую рецептуру лаков и красок, исходя из лучшей заграничной техники и представить мне на утверждение на позднее 1 марта 1936</w:t>
      </w:r>
    </w:p>
    <w:p w14:paraId="67AA2C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 Стекло, зеркала, триплекс и целлулоид</w:t>
      </w:r>
    </w:p>
    <w:p w14:paraId="068920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 Электроаппаратура и электрооборудование</w:t>
      </w:r>
    </w:p>
    <w:p w14:paraId="55AE3A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магнето</w:t>
      </w:r>
    </w:p>
    <w:p w14:paraId="1818B3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свечи</w:t>
      </w:r>
    </w:p>
    <w:p w14:paraId="06B5AC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электроарматура</w:t>
      </w:r>
    </w:p>
    <w:p w14:paraId="02B75B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электромеханизмы</w:t>
      </w:r>
    </w:p>
    <w:p w14:paraId="4F47F7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динамо</w:t>
      </w:r>
    </w:p>
    <w:p w14:paraId="16F44A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провода высокого напряжения</w:t>
      </w:r>
    </w:p>
    <w:p w14:paraId="34D87E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 мероприятия по обеспечению выпуска электрооборудования</w:t>
      </w:r>
    </w:p>
    <w:p w14:paraId="70868A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 Авиационные приборы... (2149,20).</w:t>
      </w:r>
    </w:p>
    <w:p w14:paraId="747DD62D" w14:textId="77777777" w:rsidR="00D4105E" w:rsidRPr="00E14102" w:rsidRDefault="00D4105E" w:rsidP="00E14102">
      <w:pPr>
        <w:autoSpaceDE w:val="0"/>
        <w:autoSpaceDN w:val="0"/>
        <w:adjustRightInd w:val="0"/>
        <w:jc w:val="both"/>
        <w:rPr>
          <w:color w:val="000000" w:themeColor="text1"/>
          <w:sz w:val="16"/>
          <w:szCs w:val="16"/>
        </w:rPr>
      </w:pPr>
    </w:p>
    <w:p w14:paraId="1A8E7A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декабря 1935 года вышел приказ № 202сс по НКТП</w:t>
      </w:r>
    </w:p>
    <w:p w14:paraId="670DC1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Несмотря на то, сто тяжелая промышленность имеет полную возможность поставлять РККА лучшие в мире самолеты и моторы, качество последних зачастую снижается, благодаря совершенно недопустимому, часто небрежному и невнимательному отношению авиационных заводов, конструкторов, ГУАПа и заводов-поставщиков к вопросам качества.</w:t>
      </w:r>
    </w:p>
    <w:p w14:paraId="15D136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первую очередь, разумеется, за качество выпускаемой продукции несут ответственность самолетные и моторные заводы, ибо они обязаны организовать тщательнейшее наблюдение за качеством продукции, вплоть до мелочей, как своего собственного производства, так и принимаемой от заводов-поставщиков.</w:t>
      </w:r>
    </w:p>
    <w:p w14:paraId="163257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Правительство поставило перед нами задачу обеспечить наилучшее качество наших самолетов, авиамоторов, агрегатов, полуфабрикатов, приборов и предметов вооружения.</w:t>
      </w:r>
    </w:p>
    <w:p w14:paraId="245E86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Требую от всех авиационных заводов и заводов-поставщиков авиационной промышленности исключительного внимания к вопросам качества, не допуская впредь выпуска моторов и самолетов не удовлетворяющих во всех отношениях, вплоть до внешней отделки, самые строгие требования заказчика, с тем, чтобы наши самолеты и моторы не уступали лучшим европейским и американским образцам и приказываю:</w:t>
      </w:r>
    </w:p>
    <w:p w14:paraId="5969E6F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 устранении дефектов в самолетах и моторах.</w:t>
      </w:r>
    </w:p>
    <w:p w14:paraId="4ECE818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расширить объем заводских испытаний новых образцов продукции авиазаводов, доведя это объем до объема госиспытаний.</w:t>
      </w:r>
    </w:p>
    <w:p w14:paraId="634BCB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Кагановичу в месячный срок представить мне план организации и объем заводских испытаний на утверждение.</w:t>
      </w:r>
    </w:p>
    <w:p w14:paraId="6DD6FE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Заводам сдавать на госиспытания только образцы, полностью доведенные и удовлетворительно прошедшие заводские испытания.</w:t>
      </w:r>
    </w:p>
    <w:p w14:paraId="6BED30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Директорам заводов составлять отчет заводских испытаний самолетов и при передаче их на госиспытания сдавать только с актом начальника ГУАПа, утверждающим отчет.</w:t>
      </w:r>
    </w:p>
    <w:p w14:paraId="05785E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проведения заводских испытаний ГУАПу обеспечить заводскую летную станцию необходимым оборудованием и личным составом.</w:t>
      </w:r>
    </w:p>
    <w:p w14:paraId="75BE36B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Директорам заводов №№ 1 и 39 Беленковичу и Кацва, не позднее 1 февраля 1936 года устранить на всех выпущенных с этих заводов самолетах И15-М25 дефекты, связанные с поломкой моторных рам, хвостового оперения, шасси и горизонтальных труб фюзеляжа.</w:t>
      </w:r>
    </w:p>
    <w:p w14:paraId="1D4560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 же директорам не позднее 1 февраля 1936 года закончить устранение дефектов, связанных с недостаточной прочностью и неудовлетоврительностью конструкции и производства, мешающих нормальной эксплуатации самолетов И15-М25, а именно:</w:t>
      </w:r>
    </w:p>
    <w:p w14:paraId="0994B2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поломка костылей и кронштейна балансира синхронизатора;</w:t>
      </w:r>
    </w:p>
    <w:p w14:paraId="28A1C5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люфт в сочленениях управления самолетом:</w:t>
      </w:r>
    </w:p>
    <w:p w14:paraId="6125AC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течь бензобака, бензо- маслокрана и течь в соединениях трубопроводов;</w:t>
      </w:r>
    </w:p>
    <w:p w14:paraId="7D58E1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прочие мелкие дефекты.</w:t>
      </w:r>
    </w:p>
    <w:p w14:paraId="55D2D4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Тем же директорам изготовить и заменить не позже 1 июля 1936 года на всех самолетах И15-М25, находящихся на Дальнем Востоке, крылья по отдельному заказу УВВС РККА.</w:t>
      </w:r>
    </w:p>
    <w:p w14:paraId="142EA4A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Директорам заводов №№ 21 и 39 Мирошникову и Кацва на всех выпущенных самолетах И16-М22 устранить все дефекты опасные для полета и понижающие боеспособность, выявленные на войсковых испытаниях в сроки, согласованные между начальником УВВС и начальником ГУАПа (протокол № 83 от 4 ноября 1935 года и уточнение № 42/03054 от 17 ноября 1935 года), а также устранить все дефекты, мешающие нормальной эксплуатации в сроки по согласованию между военными представителями УВВС и директорами заводов.</w:t>
      </w:r>
    </w:p>
    <w:p w14:paraId="5C6EEA4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а) Начальнику ГУАПа Кагановичу и заводу № 21 Мирошникову все самолеты И16-М25 заказа 1935 года оборудовать оборудовать самопуски “Эклипс” приводами Динамо ДСФ-500 по образцу самолета завода № 39 и радиостанциями в соотношении 1:3.</w:t>
      </w:r>
    </w:p>
    <w:p w14:paraId="261DFF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сконструировать и поставить на производство после госиспытаний убирающиеся шасси с лыжами для И-16.</w:t>
      </w:r>
    </w:p>
    <w:p w14:paraId="67DFD8A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 1 Беленковичу к 1 февраля 1936 года на всех выпущенных машинах ССС-М17 устранить следующие дефекты:</w:t>
      </w:r>
    </w:p>
    <w:p w14:paraId="11880C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выбрасывание воды в полете;</w:t>
      </w:r>
    </w:p>
    <w:p w14:paraId="2B428F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вибрация стабилизаторов;</w:t>
      </w:r>
    </w:p>
    <w:p w14:paraId="337616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отказ стрелкового вооружения;</w:t>
      </w:r>
    </w:p>
    <w:p w14:paraId="545C2B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отказ бомбового вооружения.</w:t>
      </w:r>
    </w:p>
    <w:p w14:paraId="6F0F96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с этим и в тот же срок устранить и эксплуатационные дефекты, выявленные в процессе войсковых испытаний, уточнив перечень дефектов совместно с военным представительством УВВС РККА.</w:t>
      </w:r>
    </w:p>
    <w:p w14:paraId="441E913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 22 Марголину:</w:t>
      </w:r>
    </w:p>
    <w:p w14:paraId="63B4BF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закончить ремонт 40 самолетов ТБ3-М34Р по моторной раме, бакам и усилению 15-го шпангоута к 15 января 1936 года и установить на всех ТБ3-М34Р баллонные костыльные колеса, винты с уширенной ступицей и красномедные радиаторы не позже 1 февраля 1936 года;</w:t>
      </w:r>
    </w:p>
    <w:p w14:paraId="2816C1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провести статические испытания самолетов ТБ3-М34РН по программе, согласованной с военным представителем УВВС не позже 15 января 1936 года;</w:t>
      </w:r>
    </w:p>
    <w:p w14:paraId="0C0CB5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 всех самолетах ТБ3-М34РН устранить все дефекты, выявленные на госиспытаниях в НИИ ВВС в соответствии с протоколом, согласованным между директором завода и военным представителем и утвержденным начальником УВВС РККА.</w:t>
      </w:r>
    </w:p>
    <w:p w14:paraId="5E9E1FA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 1 Беленковичу давать самолеты РЗЕТ в окончательно исправленном виде, в виду того, что завод полностью отвечает за сдаваемый самолет от начала до конца сов семи деталями, вооружением и т.д.</w:t>
      </w:r>
    </w:p>
    <w:p w14:paraId="7330B79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 21 Мирошникову, исходя из требований УВВС, чтобы самолеты были с самопусками и рациями, сдавать только те самолеты, на которых будут установлены самопуски, а также рации в отношении 1:3.</w:t>
      </w:r>
    </w:p>
    <w:p w14:paraId="2F00BE2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Заместителю начальника ГУАПа Туполеву в 5-ти дневный срок установить необходимые исправления в самолетах ТБ3-РБ и РН и принять все меры к срочному устранению всех дефектов в этих самолетах.</w:t>
      </w:r>
    </w:p>
    <w:p w14:paraId="4A8AC58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lastRenderedPageBreak/>
        <w:t>Директору завода № 135 Буздалину не позднее 1 января 1936 года отправить заводу № 1 один самолет ИП-1 для установки на нем 6-ти пулеметов Шкас и один самолет заводу № 38 Курчевскому для доработки.</w:t>
      </w:r>
    </w:p>
    <w:p w14:paraId="48C918E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провести все необходимые мероприятия по всем самолетам с мотором М34РН и М34Н (до отправки самолета в части ВС), обеспечивающие нормальную работу моторов в зимних условиях (конденсат).</w:t>
      </w:r>
    </w:p>
    <w:p w14:paraId="65CCFA4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Директорам заводов №№ 24 и 33 Марьямову и Юдину на всех моторах М34РН и М34Н и в первую очередь на уже выпущенных, внести необходимые переделки карбюраторов в соответствии с результатами заводских и летных испытаний для улучшения характеристики расхода топлива и получения более экономичных расходов.</w:t>
      </w:r>
    </w:p>
    <w:p w14:paraId="03A9937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 24 Марьямову:</w:t>
      </w:r>
    </w:p>
    <w:p w14:paraId="1B8BF0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запустить в серийное производство стальные гнезда клапанов для обеспечения эксплуатации моторов на этиловой смеси и на низких расходах топлива;</w:t>
      </w:r>
    </w:p>
    <w:p w14:paraId="628D09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совместно с НИИ ВС провести необходимые испытания, как на станке, так и на самолете на бедных смесях с таким расчетом, чтобы не позднее 1 февраля 1936 года дать инструкцию частям о работе на бедных смесях для увеличения радиуса действия самолета ТБ3 с мотором М34РН;</w:t>
      </w:r>
    </w:p>
    <w:p w14:paraId="57B6AC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не позже 15 января 1936 года провести испытание самолета “ВИЭТ”;</w:t>
      </w:r>
    </w:p>
    <w:p w14:paraId="160908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не позднее 1 марта 1936 года предъявить на госиспытания форсированный мотор М34 (номинальная мощность 1050 л.с. на высоте 3500 м, максимальная – 1200 л.с.) с карбюратором внутри “у” с новым нагнетателем и регулятором давления.</w:t>
      </w:r>
    </w:p>
    <w:p w14:paraId="739463E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 26 Королеву провести испытания и исследования обедненных смесей на моторе М-100 до 240-250 гр/л.с. на эксплуатационной мощности, закончив их к 1 февраля 1936 года.</w:t>
      </w:r>
    </w:p>
    <w:p w14:paraId="1EC9AB3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 19 Побережскому к 1 марта 1936 года предъявить на испытание на самолете мотор М-25 с воздушным самопуском.</w:t>
      </w:r>
    </w:p>
    <w:p w14:paraId="39BA91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ГУАПу совместно с заводами №№ 19 и 1 провести испытания карбюратора “Солекс” на самолете с мотором М-25 и по окончании испытания, не позже й января 1936 года представить мне на утверждение на каком карбюраторе будет в дальнейшем работать мотор М-25.</w:t>
      </w:r>
    </w:p>
    <w:p w14:paraId="457D4AB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 29 Александрову совместно с ЦИАМ и Главнефтью провести работы по подбору минерального масла к мотору М-85, закончив ее не позже 15 февраля 1936 года, а также провести работу по проверке мотора М-85 на бедных смесях не позднее 15 марта 1936 года.</w:t>
      </w:r>
    </w:p>
    <w:p w14:paraId="72A79C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По морской авиации.</w:t>
      </w:r>
    </w:p>
    <w:p w14:paraId="2337544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организовать в ГУАПе Отдел морского самолетостроения.</w:t>
      </w:r>
    </w:p>
    <w:p w14:paraId="1CA88ED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организовать в Московском авиационном институте регулярную подготовку для гидросамолетной промышленности инженеров-конструкторов и производственников, обеспечив в 1936 году выпуск не менее 50-ти инженеров этой специальности.</w:t>
      </w:r>
    </w:p>
    <w:p w14:paraId="097CBBA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Считать центром научно-исследовательской работы по гидроавиации – ЦАГИ. Наряду с этим ГУАПу и директорам соответствующих заводов развернуть научно-исследовательскую и экспериментальную работу по морскому самолетостроению на серийных заводах №№ 31, 23, 45, 30, 126.</w:t>
      </w:r>
    </w:p>
    <w:p w14:paraId="1137BE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ГУАПу предусмотреть по заводу № 30 развитие научно-………..</w:t>
      </w:r>
    </w:p>
    <w:p w14:paraId="2296DD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III. Приемка материалов, полуфабрикатов и деталей.</w:t>
      </w:r>
    </w:p>
    <w:p w14:paraId="10ADF8A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Главному управлению авиационной промышленности в двухмесячный срок организовать на всех заводах-поставщиках качественную приемку материалов, полуфабрикатов и деталей, отправляемых на заводы авиационной промышленности. К организации качественной приемки привлечь свои научно-исследовательские институты и авиационные заводы.</w:t>
      </w:r>
    </w:p>
    <w:p w14:paraId="7D290B5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Запретить с 1 апреля 1936 года отгрузку материалов, полуфабрикатов и деталей авиационным заводам без их клеймения или письменного удостоверения о пригодности со стороны представителей авиационной промышленности (см. п. 20).</w:t>
      </w:r>
    </w:p>
    <w:p w14:paraId="2AA3E47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подобрать на все заводы-поставщики инспекторов-приемщиков и представить мне на утверждение список инспекторов и инструкцию им.</w:t>
      </w:r>
    </w:p>
    <w:p w14:paraId="6C7F779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ввиду слабости работы ВИАМ, представить мне на утверждение план мероприятий по улучшению работы Института, усиления руководства его и повышения качества технического персонала.</w:t>
      </w:r>
    </w:p>
    <w:p w14:paraId="711B28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IV. Карбюраторы.</w:t>
      </w:r>
    </w:p>
    <w:p w14:paraId="39FD125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сосредоточить на заводе № 33 работу по конструированию новых образцов карбюраторов и доводки, как для моторов вновь вводящихся в производство, так и по созданию специальных образцов, улучшающих работу серийных моторов, или выполняемых для специальных заданий (перевернутый полет, форсированные моторы и т.д.).</w:t>
      </w:r>
    </w:p>
    <w:p w14:paraId="3CB567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Организовать в этих целях при заводе № 33 конструкторское бюро по карбюрации, передав в это бюро из ЦИАМа и других организаций системы Наркомтяжпрома конструкторов-специалистов по карбюрации. Организацию бюро начальнику ГУАПу совместно с Сектором кадров НКТП и директором завода № 33 закончить к 1 февраля 1936 года.</w:t>
      </w:r>
    </w:p>
    <w:p w14:paraId="16430AF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не позднее 1 января 1936 года дать заводу № 33 в письменной форме плановое задание на разработку опытных конструкций на 1936-37 гг., а к 1 февраля 1936 года – перспективный план на ближайшие годы.</w:t>
      </w:r>
    </w:p>
    <w:p w14:paraId="2507E6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Плановое задание должно обеспечить завод № 33 тактико-техническими требованиями по каждому типу, а в части сроков предусмотреть необходимость окончания всех опытных работ и испытаний (включая летные), а также прохождения госиспытаний до запуска карбюраторов в серийное производство.</w:t>
      </w:r>
    </w:p>
    <w:p w14:paraId="3B251DC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 создать на заводе № 33 необходимую техническую базу для исследования, испытания и доводки карбюраторов, для чего:</w:t>
      </w:r>
    </w:p>
    <w:p w14:paraId="19F4DB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построить к 1-му мая 1936 года моторно-испытательную станцию;</w:t>
      </w:r>
    </w:p>
    <w:p w14:paraId="61A00B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снабдить завод необходимым для станции оборудованием, в том числе двумя балансированными станками “Степлер”.</w:t>
      </w:r>
    </w:p>
    <w:p w14:paraId="53E24B6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 моменту готовности моторно-испытательной станции на заводе № 33, начальнику ГУАПа выделить заводу серийные моторы типов М-25, М-100, М-85, М-34НР и в дальнейшем, по мере подготовки к производству, выделить по одному мотору каждого нового типа.</w:t>
      </w:r>
    </w:p>
    <w:p w14:paraId="2B73983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 обеспечить в своей системе своевременное проведение моторных и летных испытаний, как новых карбюраторов, так и по доводке серийных.</w:t>
      </w:r>
    </w:p>
    <w:p w14:paraId="0CA3621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не позднее 1 февраля 1936 года обеспечить окончание госиспытаний по К-25 и К-100.</w:t>
      </w:r>
    </w:p>
    <w:p w14:paraId="72F75D6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 33 Юдину не позже 20 декабря 1935 года подготовить опытную партию К-11 по результатам работы ВВА для исправления характеристик, а начальнику ГУАПа Кагановичу не позже 1 февраля 1936 года провести испытание этой партии на моторе и самолете.</w:t>
      </w:r>
    </w:p>
    <w:p w14:paraId="16C7301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 33 Юдину к 1 января 1936 года провести все необходимые улучшения по организации работы и оборудования карбюраторного отделения завода № 33 и опытного цеха, разгрузив последний от выполнения работ по серийному выпуску в целях сокращения сроков конструирования и улучшения качества новых образцов карбюраторов.</w:t>
      </w:r>
    </w:p>
    <w:p w14:paraId="728C4C4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и начальнику ИНО НКТП Биренцвейгу не позже 1 февраля 1936 года организовать командировку работников завода № 33 за границу, в целях изучения новых конструкций и производства карбюраторов, а также ведения предварительных переговоров относительно оказания технической помощи.</w:t>
      </w:r>
    </w:p>
    <w:p w14:paraId="0B561D0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ВИАМ Десятникову закончить исследование подбора наивыгоднейших пар игл и гнезд игл, обеспечивающих срок службы этих деталей не менее 100 часов, представив свои предложения на утверждение начальника ГУАПа Кагановича не позже 1 января 1936 года.</w:t>
      </w:r>
    </w:p>
    <w:p w14:paraId="01A541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Директору завода № 33 Юдину провести все изыскания по выявлению причин преждевременного износа игл и гнезд к ним и не позже 1 января 1936 года представить свои выводы и предложения начальнику ГУАПа Кагановичу.</w:t>
      </w:r>
    </w:p>
    <w:p w14:paraId="3BCDE9A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 33 Юдину:</w:t>
      </w:r>
    </w:p>
    <w:p w14:paraId="658930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с 1 февраля 1936 года ввести 100%-ные испытания серийной продукции продувкой на “Марелли” на режимах эксплуатационном, максимальном и высотного корректора;</w:t>
      </w:r>
    </w:p>
    <w:p w14:paraId="5B0C7C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с 1 мая 1936 года перейти на продувку на тех же точках, а также на малом газе и двух промежуточных серийной продукции на вакуум-насосах;</w:t>
      </w:r>
    </w:p>
    <w:p w14:paraId="09126E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 1 января 1936 года ввести квартальные испытания карбюраторов на моторе в течение 100 часов для проверки износа механизмов данной серии.</w:t>
      </w:r>
    </w:p>
    <w:p w14:paraId="232929A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Запуск карбюраторов в серийное производство производить лишь по специальным каждый раз письменным разрешениям начальника ГУАПа. При выдаче такого разрешения начальник ГУАПа должен установить: полную проверенность образца карбюратора, выверенность по каждому цеху технологии, обеспеченность средств производства, надлежащего качества и организации правильного контроля производства.</w:t>
      </w:r>
    </w:p>
    <w:p w14:paraId="7D3028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находящимся уже в серийном производстве карбюраторам начальнику ГУАПа проверить состояние технологического процесса и совместно с директором завода № 33 Юдиным обеспечить не позже 15 января 1936 года доработку технологии и снабдить недостающими по этой технологии средствами производства и контроля (приспособления, шаблоны, калибры и проч. к ним) и дублерам к ним к 1 апреля 1936 года.</w:t>
      </w:r>
    </w:p>
    <w:p w14:paraId="3B9F524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и начальнику ИНО НКТП Биренцвейгу не позже 1 февраля 1936 года обеспечить заводу № 33 алмазные резцы для обеспечения чистоты обработки смесительных камер.</w:t>
      </w:r>
    </w:p>
    <w:p w14:paraId="6A247EE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 33 Юдину не позже 1 января 1936 года ликвидировать явления заедания жиклеров и других деталей по резьбам, для чего пересмотреть и проверить технологию, организацию, методы и средства контроля по резьбам, а также соответствие качества материалов и доложить к 1 января 1936 года о принятых мерах начальнику ГУАПа Кагановичу.</w:t>
      </w:r>
    </w:p>
    <w:p w14:paraId="1526441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 33 Юдину добиться резкого повышения по сравнению с 1935 годом качества внешнего покрытия (без морщин, сыпи, утяжин и выбоин), с улучшением надежности сроков службы и внешнего вида карбюратора, для чего:</w:t>
      </w:r>
    </w:p>
    <w:p w14:paraId="780EA8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улучшить механическую подготовку поверхности под покрытие;</w:t>
      </w:r>
    </w:p>
    <w:p w14:paraId="655E67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б) провести исследование и всесторонние испытания новых улучшенных материалов и технологии внешнего покрытия;</w:t>
      </w:r>
    </w:p>
    <w:p w14:paraId="71B1D6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ввести кадмированные стальные детали;</w:t>
      </w:r>
    </w:p>
    <w:p w14:paraId="4E7BDE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ввести полировку с последующей никелировкой латунных деталей;</w:t>
      </w:r>
    </w:p>
    <w:p w14:paraId="011A6C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организовать переоборудование гальванической мастерской для обеспечения кадмирования и хромирования.</w:t>
      </w:r>
    </w:p>
    <w:p w14:paraId="6DD3ED1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Установить следующие веса карбюраторов:</w:t>
      </w:r>
    </w:p>
    <w:p w14:paraId="763B7A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К-22 – 9,5 кг (взамен нынешнего 10,65)</w:t>
      </w:r>
    </w:p>
    <w:p w14:paraId="62DC27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патрубок к нему 5,0 кг (взамен нынешнего 5,225)</w:t>
      </w:r>
    </w:p>
    <w:p w14:paraId="32E2C3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К-34 - 12,0 кг (взамен нынешнего 12,75)</w:t>
      </w:r>
    </w:p>
    <w:p w14:paraId="4081DC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Ответственность за веса возложить по литью на директора завода № 20 Алмазова с 1 января 1936 года, а по карбюраторам в целом на директора завода № 33 Юдина с 1 января 1936 года.</w:t>
      </w:r>
    </w:p>
    <w:p w14:paraId="50F49F5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 33 Юдину организовать упаковку (пергаментная бумага, обливка керосином, обтирка ветошью) и отправку карбюраторов и их деталей не хуже, чем это делается на заграничных заводах, и прежде всего, обеспечить предохранение карбюраторов от засоренности их стружкой и пр.</w:t>
      </w:r>
    </w:p>
    <w:p w14:paraId="5392D1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Заводу № 33 составить к каждому карбюратору описание его конструкции и работы, а также правила эксплуатации.</w:t>
      </w:r>
    </w:p>
    <w:p w14:paraId="428C90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Описания и правила эксплуатации для каждого карбюратора в отдельности сообщить начальнику УВВС и обеспечить каждый комплект карбюраторов описанием.</w:t>
      </w:r>
    </w:p>
    <w:p w14:paraId="2583B35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Карбюратор должен иметь срок службы, соответствующий сроку службы, установленному для мотора, для которого он предназначен, при условии регулярного просмотра карбюратора в сроки, установленные специальной инструкцией УВВС и согласованные с начальником ГУАПа.</w:t>
      </w:r>
    </w:p>
    <w:p w14:paraId="4884C6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Всякого рода изменения в карбюраторе могут производиться лишь с разрешения начальника ГУАПа.</w:t>
      </w:r>
    </w:p>
    <w:p w14:paraId="28B7AD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V. Радиаторы.</w:t>
      </w:r>
    </w:p>
    <w:p w14:paraId="298D659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целях улучшения конструкции и изготовления радиаторов:</w:t>
      </w:r>
    </w:p>
    <w:p w14:paraId="307F12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Начальнику ГУАПа Кагановичу не позже 1 января 1936 года организовать в ВИАМе специальную группу по руководству конструированием и проверки технологического процесса производства радиаторов для самолетостроения и изыскания наилучших материалов для них.</w:t>
      </w:r>
    </w:p>
    <w:p w14:paraId="15FEE8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эту группу ВИАМа возложить техническое обслуживание завода № 34, Кольчугинского завода им. Орджоникидзе и ТПЗ и контроль качества радиаторов.</w:t>
      </w:r>
    </w:p>
    <w:p w14:paraId="6F2688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Начальнику ЦАГИ Харламову в двухмесячный срок проверить и внести исправления в конструкцию радиаторов, изготовляемых Кольчугинским заводом им. Орджоникидзе и представить свои предложения на утверждение начальника ГУАПа Кагановича не позже 1 февраля 1936 года.</w:t>
      </w:r>
    </w:p>
    <w:p w14:paraId="343DD2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Директору завода № 34 Гарнизову организовать у себя конструирование и производство новых типов радиаторов, для чего усилить имеющееся на заводе конструкторское бюро и создать испытательную радиаторную станцию, соответствующую современным требованиям радиаторостроения.</w:t>
      </w:r>
    </w:p>
    <w:p w14:paraId="42C373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Начальнику ГУАПа Кагановичу не позже 15 января 1936 года рассмотреть и вопрос о целесообразности оставления производства водомасляных радиаторов и замены их воздушно-масляными и представить мне свои предложения.</w:t>
      </w:r>
    </w:p>
    <w:p w14:paraId="5F27F8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Начальнику ИНО НКТП Биренцвейгу совместно с начальником ГУАП Кагановичем и начальником Главцветметобработки Акивисом не позже января 1936 года организовать командировку в Америку и Европу группы инженеров (по одному от ВИАМ, завода № 34 и Кольчугинского завода) для ознакомления с новостями в области технологии производства радиаторов и трубок.</w:t>
      </w:r>
    </w:p>
    <w:p w14:paraId="1B81631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 1 января 1936 года выпускать радиаторы для самолетов исключительно с медной трубкой.</w:t>
      </w:r>
    </w:p>
    <w:p w14:paraId="4DC311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Директору завода им. Орджоникидзе Пархоменко и директору ВИАМ Десятникову не позже 15 декабря разработать и представить на утверждение начальника ГУАПа Кагановича технические условия на трубки из красной меди, а также проект производственной инструкции для красномедных трубок, представив их на утверждение начальника Главцветметобработки Акивиса.</w:t>
      </w:r>
    </w:p>
    <w:p w14:paraId="4F8F5C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Директору Тульского патронного завода Северному пересмотреть технологический процесс изготовления красномедных трубок для уничтожения в них хрупкости и представить таковой не позже 1 января 1936 года, а директору ВИАМ Десятникову и начальнику Главцветметобработки Акивису оказать ТПЗ необходимую помощь в этой работе.</w:t>
      </w:r>
    </w:p>
    <w:p w14:paraId="49CBA3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Директору завода № 34 Гарнизову с привлечением Главцветмета и Главцветметобработки организовать разработку нового технологического процесса красномедных трубок методом холодной прессовки (способ Винчестера) и представить свои предложения по этому вопросу на утверждение начальнику ГУАП Кагановичу и начальнику Главцветметобработки Акивису не позже 1 февраля 1936 года.</w:t>
      </w:r>
    </w:p>
    <w:p w14:paraId="244025F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ВИАМ Десятникову совместно с директором завода им. Орджоникидзе Пархоменко разработать не позже 1 января 1936 года вопрос о получении наиболее плотных слитков для изготовления радиаторных трубок и свои предложения представить на утверждение начальника ГУАП.</w:t>
      </w:r>
    </w:p>
    <w:p w14:paraId="4BFCE05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им. Орджоникидзе Пархоменко и директору завода № 34 Гарнизову в двухмесячный срок провести полный капитальный ремонт помещений, занятых производством радиаторов …………., исключая всякую возможность попадания пыли в трубки и радиаторы в процессе их изготовления.</w:t>
      </w:r>
    </w:p>
    <w:p w14:paraId="3F37A6F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для улучшения качества радиаторов предусмотреть перевод на заводе № 34 производства деталей радиаторов с ручной работы на штамповку.</w:t>
      </w:r>
    </w:p>
    <w:p w14:paraId="550C92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VI. Тормозные колеса.</w:t>
      </w:r>
    </w:p>
    <w:p w14:paraId="5E56FA2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 120 Михайлову совместно с НИИ ВВС и ЦАГИ пересмотреть существующие технические условия на выпуск заводом № 34 продукции под углом зрения повышения качества колес и представить таковые на утверждение начальника ГУАП одновременно со сроками вступления в действие новых технических условий.</w:t>
      </w:r>
    </w:p>
    <w:p w14:paraId="49C8AA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первую очередь устранить дефекты тормозных колес 2000х450 мм и 700х100, отмеченные госиспытаниями самолета ТБ3-4М34РН и войсковыми испытаниями И16-М22 и И16-М25 и И15-М25.</w:t>
      </w:r>
    </w:p>
    <w:p w14:paraId="323276C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и директору завода № 120 улучшить технико-производственную базу завода № 120, для чего:</w:t>
      </w:r>
    </w:p>
    <w:p w14:paraId="550431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организовать заводскую механическую лабораторию и рентгеновский кабинет для обслуживания производства авиационных колес;</w:t>
      </w:r>
    </w:p>
    <w:p w14:paraId="1CE40B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заказать на импорт установку для пригонки, притирки и испытания тормозов в целях облегчения эксплуатации колес у потребителя;</w:t>
      </w:r>
    </w:p>
    <w:p w14:paraId="7399ED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организовать лабораторию для динамического и статического испытания колес (для динамических испытаний установку типа “Бендикс”);</w:t>
      </w:r>
    </w:p>
    <w:p w14:paraId="733E72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перейти к шлифовке цилиндров редуктора и т.д.;</w:t>
      </w:r>
    </w:p>
    <w:p w14:paraId="3DC0AA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перейти от ручной клепки колес к гидравлической и усилить кузнечно-штамповочное оборудование для горячей штамповки.</w:t>
      </w:r>
    </w:p>
    <w:p w14:paraId="2363C2B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а также директорам заводов №№ 95 и 120, ВИАМ и ЦАГИ со второй половины 1936 года провести максимальную замену литья деталей колес штамповкой и прежде всего тормозных барабанов размеров от 700 до 900 метров включительно с соответствующим изменением толщины стенок и сечения, а также тормозных колодок и рычагов тормозов, агрегатов управления тормозами и других мелких деталей из легких сплавов.</w:t>
      </w:r>
    </w:p>
    <w:p w14:paraId="453107E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заводу № 120 и ЦАГИ с середины 1936 года устанавливать в колесах замену бронзовых вкладышей коническими роликовыми подшипниками.</w:t>
      </w:r>
    </w:p>
    <w:p w14:paraId="0509B9B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 и заводу № 120 с середины 1936 года заменить тормозную ленту из ферадо-асбеста на ферадо-пластмассу (асболит).</w:t>
      </w:r>
    </w:p>
    <w:p w14:paraId="61272255"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355D0A32" w14:textId="77777777" w:rsidR="00FF7430" w:rsidRPr="00E14102" w:rsidRDefault="00FF7430" w:rsidP="00E14102">
      <w:pPr>
        <w:pStyle w:val="rtejustify"/>
        <w:spacing w:before="0" w:after="0"/>
        <w:rPr>
          <w:color w:val="000000" w:themeColor="text1"/>
          <w:sz w:val="16"/>
          <w:szCs w:val="16"/>
        </w:rPr>
      </w:pPr>
      <w:r w:rsidRPr="00E14102">
        <w:rPr>
          <w:rStyle w:val="a6"/>
          <w:bCs/>
          <w:i w:val="0"/>
          <w:color w:val="000000" w:themeColor="text1"/>
          <w:sz w:val="16"/>
          <w:szCs w:val="16"/>
        </w:rPr>
        <w:t>26 декабря 1935 вышел приказ НКТП № 202сс.</w:t>
      </w:r>
      <w:r w:rsidRPr="00E14102">
        <w:rPr>
          <w:color w:val="000000" w:themeColor="text1"/>
          <w:sz w:val="16"/>
          <w:szCs w:val="16"/>
        </w:rPr>
        <w:t xml:space="preserve"> Об улучшении качества самолетов и моторов, производимых на предприятиях НКТП СССР. (РГАЭ. Ф. 7297. Оп. 38. Д. 171. Л. 328</w:t>
      </w:r>
      <w:r w:rsidRPr="00E14102">
        <w:rPr>
          <w:color w:val="000000" w:themeColor="text1"/>
          <w:sz w:val="16"/>
          <w:szCs w:val="16"/>
        </w:rPr>
        <w:noBreakHyphen/>
        <w:t>326) (15246).</w:t>
      </w:r>
    </w:p>
    <w:p w14:paraId="4D5CE88B" w14:textId="77777777" w:rsidR="00FF7430" w:rsidRPr="00E14102" w:rsidRDefault="00FF7430" w:rsidP="00E14102">
      <w:pPr>
        <w:pStyle w:val="rtejustify"/>
        <w:spacing w:before="0" w:after="0"/>
        <w:rPr>
          <w:color w:val="000000" w:themeColor="text1"/>
          <w:sz w:val="16"/>
          <w:szCs w:val="16"/>
        </w:rPr>
      </w:pPr>
    </w:p>
    <w:p w14:paraId="0052082C" w14:textId="77777777" w:rsidR="00FF7430" w:rsidRPr="00E14102" w:rsidRDefault="00FF7430" w:rsidP="00E14102">
      <w:pPr>
        <w:pStyle w:val="rtejustify"/>
        <w:spacing w:before="0" w:after="0"/>
        <w:rPr>
          <w:rStyle w:val="a6"/>
          <w:bCs/>
          <w:i w:val="0"/>
          <w:color w:val="000000" w:themeColor="text1"/>
          <w:sz w:val="16"/>
          <w:szCs w:val="16"/>
        </w:rPr>
      </w:pPr>
      <w:r w:rsidRPr="00E14102">
        <w:rPr>
          <w:color w:val="000000" w:themeColor="text1"/>
          <w:sz w:val="16"/>
          <w:szCs w:val="16"/>
        </w:rPr>
        <w:t>26 декабря 1935 г. по Наркомату тяжелой промышленности СССР был издан приказ № 202 «Об улучшении качества самолетов и моторов, производимых на предприятиях НКТП». В соответствии с ним предприятия ГУАП должны были увеличить объем заводских испытаний образцов продукции авиазаводов и своевременно устранять все выявленные недостатки и дефекты. Были выработаны конкретные мероприятия по каждому виду продукции, по каждому заводу. Организовывался порядок приема готовой продукции. Центром научно-исследовательской работы объявлялся ЦАГИ, а в ГУАП создан отдел морского самолетостроения. (РГАЭ. Ф. 7297. Оп. 38. Д. 171. Л. 328</w:t>
      </w:r>
      <w:r w:rsidRPr="00E14102">
        <w:rPr>
          <w:color w:val="000000" w:themeColor="text1"/>
          <w:sz w:val="16"/>
          <w:szCs w:val="16"/>
        </w:rPr>
        <w:noBreakHyphen/>
        <w:t>326) (15347).</w:t>
      </w:r>
    </w:p>
    <w:p w14:paraId="66103422" w14:textId="77777777" w:rsidR="00FF7430" w:rsidRPr="00E14102" w:rsidRDefault="00FF7430" w:rsidP="00E14102">
      <w:pPr>
        <w:pStyle w:val="rtejustify"/>
        <w:spacing w:before="0" w:after="0"/>
        <w:rPr>
          <w:rStyle w:val="a6"/>
          <w:bCs/>
          <w:i w:val="0"/>
          <w:color w:val="000000" w:themeColor="text1"/>
          <w:sz w:val="16"/>
          <w:szCs w:val="16"/>
        </w:rPr>
      </w:pPr>
    </w:p>
    <w:p w14:paraId="16ACE66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начальнику ЦАГИ, директору завода № 120 и завода № 20, начиная с середины 1936 года, заменить поршневой цилиндр с кожаным манжетом на гофрированную металлическую мембрану для пневматических тормозов размером 900х200, 1100х250, 900х300 и 2000х450, а также для самолетов типа МГ.</w:t>
      </w:r>
    </w:p>
    <w:p w14:paraId="020ED9E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 120 и ВИАМ обеспечить улучшенное покрытие красками и противокоррозионную обработку по всем видам изделий тормозных устройств, в особенности для электрона.</w:t>
      </w:r>
    </w:p>
    <w:p w14:paraId="0ECB25E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 120 и ВИАМ заменить силуминовое литье и штамповку на литье и штамповку из более легких магнитных сплавов (электрон), разработав технические условия и календарный план перевода и представить таковые начальнику ГУАПа не позже 15 января 1936 года.</w:t>
      </w:r>
    </w:p>
    <w:p w14:paraId="2279C95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обратить особое внимание на улучшение внешней отделки тормозных колес и их сборку, а также на монтаж колес на самолетах, имея в виду, что недостаточно удовлетворительное качество монтажа в настоящее время является одной из серьезных причин не вполне удовлетворительной работы тормозных устройств.</w:t>
      </w:r>
    </w:p>
    <w:p w14:paraId="352ED95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lastRenderedPageBreak/>
        <w:t>Начальнику ГУАПа Кагановичу, совместно с начальником ГУМПа Гуревичем и начальником Главметиза Золотаревым не позже 1 января 1936 года разработать вопрос о производстве проволоки для пружин, по качеству не уступающей импортной рояльной, имея в виду, что выпускаемая проволока ОВС по качеству своему не годится.</w:t>
      </w:r>
    </w:p>
    <w:p w14:paraId="6154AF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Разработанные мероприятия представить мне на утверждение к 10-му января 1936 года.</w:t>
      </w:r>
    </w:p>
    <w:p w14:paraId="08D60E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ИНО НКТП Биренцвейгу по согласованию с начальником ГУАПа Кагановичем, впредь до освоения собственного производства этой проволоки, обеспечить импорт рояльной проволоки в необходимом количестве.</w:t>
      </w:r>
    </w:p>
    <w:p w14:paraId="170511B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Заводу № 120 не позже I квартала 1936 года совместно с НИИ ВВС и ЦАГИ составить все необходимые описания и инструкцию по монтажу, хранению и эксплуатации тормозных устройств выпускаемых заводом № 120 и передать таковые начальнику УВВС.</w:t>
      </w:r>
    </w:p>
    <w:p w14:paraId="3885AD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Обеспечивать каждое тормозное приспособление своим описанием.</w:t>
      </w:r>
    </w:p>
    <w:p w14:paraId="7B4E1EB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совместно с директором завода № 120 разработать календарный план на 1936 год по расширению применения электрона для производства тормозных колес и подачи заводу № 120 соответствующего количества магния.</w:t>
      </w:r>
    </w:p>
    <w:p w14:paraId="7EFE8BF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ВИАМ совместно с заводом № 95 не позже января 1936 года закончить работу по штамповке тормозных барабанов и представить свои соображения на утверждение начальнику ГУАПа.</w:t>
      </w:r>
    </w:p>
    <w:p w14:paraId="064C188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проверить на заводе № 120 весовой контроль выпускаемой продукции тормозных устройств и обеспечить самый строгий контроль в этом отношении.</w:t>
      </w:r>
    </w:p>
    <w:p w14:paraId="305614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VII. Резиновые изделия.</w:t>
      </w:r>
    </w:p>
    <w:p w14:paraId="715250A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Утвердить улучшенный стандарт аэропокрышек и аэрокамер согласно приложения № 2 (см. приложение № 2).</w:t>
      </w:r>
    </w:p>
    <w:p w14:paraId="7DED0C3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Главрезины Биткеру не позднее 1 января 1936 года рассмотреть и утвердить всю рецептуру резиновых смесей для авиационной промышленности в сторону придания изделиям большей морозостойкости, маслоупорности и улучшения старения.</w:t>
      </w:r>
    </w:p>
    <w:p w14:paraId="09FB0D2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и начальнику Главрезины Биткеру в месячный срок собрать все материалы, характеризующие эксплуатационные качества авиарезины и представить мне к 1 января на утверждение все мероприятия по улучшению эксплуатационных качеств авиационной резины.</w:t>
      </w:r>
    </w:p>
    <w:p w14:paraId="7F33486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Главрезины перейти в отношении аэропокрышек на рецептуру с газовой сажей и в отношении аэрокамер – на рецептуру с пятисернистой сурьмой, а начальнику Главредмета Некрасову, в первую очередь, удовлетворить все потребности Главрезины в пятисернистой сурьме, а начальнику Главнефти Баринову поставить Главрезине в 1936 году 12500 тонн газовой сажи.</w:t>
      </w:r>
    </w:p>
    <w:p w14:paraId="6D6EB2E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Ижорского завода Белову обеспечить стальным литьем и поковками полностью всю заявку Главрезины и ГУАПа по аэроформам для авиамашин.</w:t>
      </w:r>
    </w:p>
    <w:p w14:paraId="4AD2F77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Заместителю наркома тяжелой промышленности Кагановичу в декадный срок выделить один из заводов общего машиностроения для организации на нем производства форм и штампов для авиадеталей, в частности форм для варки пневматиков полубаллонов.</w:t>
      </w:r>
    </w:p>
    <w:p w14:paraId="1A6BF0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Кагановичу выделить заводам “Каучук” (авиадетали) и НРК (асбопрокладки) необходимые станки.</w:t>
      </w:r>
    </w:p>
    <w:p w14:paraId="39F1D83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ИНО НКТП Биренцвейгу в срочном порядке купить измерительные приборы для Главрезины и необходимые измерительные приборы ей, обеспечивающие высокое качество авиарезины.</w:t>
      </w:r>
    </w:p>
    <w:p w14:paraId="0E01609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Сектору материальных балансов Иалесу полностью обеспечить заявку Главрезины на листовую латунь для производства прокладок.</w:t>
      </w:r>
    </w:p>
    <w:p w14:paraId="65E294A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Главрезины и директору завода “Каучук” улучшить качество камерных тормозов (тормозные колеса), для чего перейти на изготовление камер без поперечного стыка, дающего утолщение.</w:t>
      </w:r>
    </w:p>
    <w:p w14:paraId="406DE62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Главрезины разработать мероприятия по улучшению авиапневматики и обеспечить:</w:t>
      </w:r>
    </w:p>
    <w:p w14:paraId="5322EF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уменьшение веса авиапневматики следующих размеров: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E3599D" w:rsidRPr="00E14102" w14:paraId="06A8E213" w14:textId="77777777">
        <w:tc>
          <w:tcPr>
            <w:tcW w:w="5635" w:type="dxa"/>
          </w:tcPr>
          <w:p w14:paraId="7E4F09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Размер</w:t>
            </w:r>
          </w:p>
        </w:tc>
        <w:tc>
          <w:tcPr>
            <w:tcW w:w="5635" w:type="dxa"/>
          </w:tcPr>
          <w:p w14:paraId="391F73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w:t>
            </w:r>
          </w:p>
        </w:tc>
      </w:tr>
      <w:tr w:rsidR="00E3599D" w:rsidRPr="00E14102" w14:paraId="655682B5" w14:textId="77777777">
        <w:tc>
          <w:tcPr>
            <w:tcW w:w="5635" w:type="dxa"/>
          </w:tcPr>
          <w:p w14:paraId="17F5AB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900х200</w:t>
            </w:r>
          </w:p>
        </w:tc>
        <w:tc>
          <w:tcPr>
            <w:tcW w:w="5635" w:type="dxa"/>
          </w:tcPr>
          <w:p w14:paraId="46BD40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января 1936 года</w:t>
            </w:r>
          </w:p>
        </w:tc>
      </w:tr>
      <w:tr w:rsidR="00E3599D" w:rsidRPr="00E14102" w14:paraId="1BA7BB8A" w14:textId="77777777">
        <w:tc>
          <w:tcPr>
            <w:tcW w:w="5635" w:type="dxa"/>
          </w:tcPr>
          <w:p w14:paraId="42E141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1350х300</w:t>
            </w:r>
          </w:p>
        </w:tc>
        <w:tc>
          <w:tcPr>
            <w:tcW w:w="5635" w:type="dxa"/>
          </w:tcPr>
          <w:p w14:paraId="568A88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февраля 1936 года</w:t>
            </w:r>
          </w:p>
        </w:tc>
      </w:tr>
      <w:tr w:rsidR="00E3599D" w:rsidRPr="00E14102" w14:paraId="3AF363E2" w14:textId="77777777">
        <w:tc>
          <w:tcPr>
            <w:tcW w:w="5635" w:type="dxa"/>
          </w:tcPr>
          <w:p w14:paraId="0CD262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2000х450</w:t>
            </w:r>
          </w:p>
        </w:tc>
        <w:tc>
          <w:tcPr>
            <w:tcW w:w="5635" w:type="dxa"/>
          </w:tcPr>
          <w:p w14:paraId="7E0904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марта1936 года</w:t>
            </w:r>
          </w:p>
        </w:tc>
      </w:tr>
      <w:tr w:rsidR="00E3599D" w:rsidRPr="00E14102" w14:paraId="56EADE68" w14:textId="77777777">
        <w:tc>
          <w:tcPr>
            <w:tcW w:w="5635" w:type="dxa"/>
          </w:tcPr>
          <w:p w14:paraId="264BAE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900х300</w:t>
            </w:r>
          </w:p>
        </w:tc>
        <w:tc>
          <w:tcPr>
            <w:tcW w:w="5635" w:type="dxa"/>
          </w:tcPr>
          <w:p w14:paraId="4060A6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апреля 1936 года</w:t>
            </w:r>
          </w:p>
        </w:tc>
      </w:tr>
    </w:tbl>
    <w:p w14:paraId="0B632B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ввести рисунчатый протектор для покрышек авиаколес для размеров от 700 до 900 включительно без увеличения веса пневматик после облегчения;</w:t>
      </w:r>
    </w:p>
    <w:p w14:paraId="769700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ускорить выпуск новых опытных типов тормозных и хвостовых пневматиков-полубаллонов для скорейшего внедрения их в эксплуатацию, в первую очередь с 1 февраля 1936 года следующих размеров:</w:t>
      </w:r>
    </w:p>
    <w:p w14:paraId="19E8C3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1000х350</w:t>
      </w:r>
    </w:p>
    <w:p w14:paraId="1196EC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600х150</w:t>
      </w:r>
    </w:p>
    <w:p w14:paraId="65EB8A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1600х500</w:t>
      </w:r>
    </w:p>
    <w:p w14:paraId="183A30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500х125</w:t>
      </w:r>
    </w:p>
    <w:p w14:paraId="0B57E3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200х80</w:t>
      </w:r>
    </w:p>
    <w:p w14:paraId="45AE51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1800х700</w:t>
      </w:r>
    </w:p>
    <w:p w14:paraId="4B73A5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400х150</w:t>
      </w:r>
    </w:p>
    <w:p w14:paraId="2E9504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начальнику Главрезины Биткеру в месячный срок разработать необходимые мероприятия и организовать производство всех вентилей для камер, для всех размеров тормозов и хвостовых колес, включая и новые, согласовав технические условия с начальником ГУАПа Кагановичем.</w:t>
      </w:r>
    </w:p>
    <w:p w14:paraId="25E6B2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VIII. Авиационные тросы и проволока.</w:t>
      </w:r>
    </w:p>
    <w:p w14:paraId="1E63332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Начальником Главметиза Золотареву совместно с начальником ГУАПа Кагановичем и начальником УВС РККА разработать все мероприятия, в том числе и научно-исследовательские работы, по обеспечению высокого качества авиатросов, с тем, чтобы они работали не менее 150-200 часов, а также план перехода на авиатросы с мягким сердечником и представить мне к 15 января свои предложения, а также предложения по улучшению оцинковки тросов, обеспечивающие продолжительное хранение их без ржавления.</w:t>
      </w:r>
    </w:p>
    <w:p w14:paraId="5EAE58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Золотореву изучить качество и конструкцию заграничных авиатросов и внести мне на утверждение к 1 августа 1936 года проект изменения существующих стандартов и технических условий.</w:t>
      </w:r>
    </w:p>
    <w:p w14:paraId="6176BDB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Главметиза Золотареву и начальнику ГУМПа Гуревичу в месячный срок разработать и согласовать с начальником ГУАПа Кагановичем все мероприятия по улучшению качества проволоки для авиапромышленности.</w:t>
      </w:r>
    </w:p>
    <w:p w14:paraId="2359721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Прикрепить завод “Красный гвоздильщик” по снабжению качественной заготовкой для изготовления авиапроволоки к Ижорскому заводу.</w:t>
      </w:r>
    </w:p>
    <w:p w14:paraId="3979EC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снабжения качественной катанкой Белорецкого сталепроволочного завода, начальнику Главметиза провести на Белорецком металлургическом заводе все необходимые работы, обеспечивающие получение крупных слитков, отлитых с утопленной головкой и обжатой чищеной заготовки.</w:t>
      </w:r>
    </w:p>
    <w:p w14:paraId="157DC97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Стальсбыт Бабаеву и начальнику Главметиза Золотареву обеспечить Белорецкому сталепроволочному заводу в I квартале 1936 года 200 тонн обжатой заготовки необходимых марок для производства высококачественной проволоки для авиапромышленности.</w:t>
      </w:r>
    </w:p>
    <w:p w14:paraId="15A6AA0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Главметиза Золотареву установить два агрегата для гальванической оцинковки проволоки:</w:t>
      </w:r>
    </w:p>
    <w:p w14:paraId="35D5B9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 на Белорецком заводе и</w:t>
      </w:r>
    </w:p>
    <w:p w14:paraId="633BCB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 на заводе “Красный гвоздильщик”</w:t>
      </w:r>
    </w:p>
    <w:p w14:paraId="0800D4C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Главметиза Золотареву разработать вопрос о целесообразности изготовления кадмированной и хромированной проволоки для авиатросов и по согласованию своих предложений с начальником ГУАПа Кагановичем представить мне не позже 1 января 1936 года свои предложения по этому вопросу.</w:t>
      </w:r>
    </w:p>
    <w:p w14:paraId="22EFD3F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Главметиза Золотареву организовать изучение заводами-изготовителями авиатросов работы авиатросов непосредственно в местах из использования для подбора материала, необходимого для улучшения качества авиатросов.</w:t>
      </w:r>
    </w:p>
    <w:p w14:paraId="65A2DC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IX. Роликовые и шарнирные подшипники.</w:t>
      </w:r>
    </w:p>
    <w:p w14:paraId="33E6A94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М.М. Кагановичу и директорам ГПЗ № 1 и ГПЗ № 2 в месячный срок изучить все недостатки роликовых и шариковых подшипников, поставляемых авиационной промышленности и разработать и провести все мероприятия, обеспечивающие надлежащее качество их.</w:t>
      </w:r>
    </w:p>
    <w:p w14:paraId="32F9FD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первую очередь, ликвидировать нижеследующие недостатки по ГПЗ №№ 1 и 2:</w:t>
      </w:r>
    </w:p>
    <w:p w14:paraId="3B72EA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наличие трещин у готовых роликов, предъявляемых к приемке, являющихся следствием термической обработки и недостаточно высокого качества материала (дефекты наружной поверхности, волосовины, трещины);</w:t>
      </w:r>
    </w:p>
    <w:p w14:paraId="42A7E9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отсутствие полировки, наличие царапин на поверхности ролика;</w:t>
      </w:r>
    </w:p>
    <w:p w14:paraId="3EBFA5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неоднородная и высокая твердость шариков: (46-67 по Роквеллю вместо 61-64);</w:t>
      </w:r>
    </w:p>
    <w:p w14:paraId="5938FF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наличие шариков, выходящие за установленные допуски: (2 микрона);</w:t>
      </w:r>
    </w:p>
    <w:p w14:paraId="7AAC4D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трещины на кольцах шарикоподшипников (на ГПЗ № 2) термического и шлифовочного характера;</w:t>
      </w:r>
    </w:p>
    <w:p w14:paraId="3F1950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недостаточная точность изготовления обойм для конических упорных подшипников (подшипники №№ 638901 и 639901);</w:t>
      </w:r>
    </w:p>
    <w:p w14:paraId="4932FF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ж) поломки штампов, сепараторов, плохая клепка сепараторов (вываливание и разрушение заклепок); плохая керновка сепараторов и большой люфт сепараторов;</w:t>
      </w:r>
    </w:p>
    <w:p w14:paraId="448903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 недостаточно тщательная наружная отделка, грубые фаски и неудовлетворительная маркировка;</w:t>
      </w:r>
    </w:p>
    <w:p w14:paraId="576832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недостаточно тщательная комплектовка подшипников;</w:t>
      </w:r>
    </w:p>
    <w:p w14:paraId="53681F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недостаточное предохранение от коррозии, неудовлетворительная подготовка деталей к упаковке и низкое качество самой упаковки;</w:t>
      </w:r>
    </w:p>
    <w:p w14:paraId="5C8B12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 повышенный износ по сравнению с аналогичными импортными подшипниками;</w:t>
      </w:r>
    </w:p>
    <w:p w14:paraId="5E4570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 недостаточный срок службы шарикоподшипников в авиационной промышленности, имея в виду, что срок службы аналогичных импортных подшипников выше наших и довести в течение 1936 года работу шарикоподшипников не менее чем до 800-1000 часов (за исключением особо специальных), в зависимости от типа и условий работы подшипников.</w:t>
      </w:r>
    </w:p>
    <w:p w14:paraId="28FEF5B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Моему заместителю М.М. Кагановичу не позднее 1 января рассмотреть и утвердить все технические условия по шарико- и роликоподшипникам, идущим для авиационной промышленности и, в частности:</w:t>
      </w:r>
    </w:p>
    <w:p w14:paraId="5824E8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гарантийные сроки службы подшипников (не ниже характеристики СКФ);</w:t>
      </w:r>
    </w:p>
    <w:p w14:paraId="1AE86A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ввести систематические испытания подшипников на долговечность на заводских вибрационных установках, в том числе также и на динамическую нагрузку, в первую очередь форсируя испытания быстроходных (выше 15000 оборотов) подшипников;</w:t>
      </w:r>
    </w:p>
    <w:p w14:paraId="61575B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ввести систематическое наблюдение за работой подшипников на авиационных заводах и в частях УВС;</w:t>
      </w:r>
    </w:p>
    <w:p w14:paraId="6F537E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совместно с УВС (Донбравино) разработать и утвердить допуска на боковое деление подшипников с отверстиями до 80 мм, составив спецификацию подшипников, требующих повышенную точность и установить эти допуска совместно с ГУАПом и ГАЗ №№ 1 и 2 индивидуально по каждому подшипнику.</w:t>
      </w:r>
    </w:p>
    <w:p w14:paraId="712840A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ГУМПа Гуревичу, управляющему Спецстали Тевосяну и директорам заводов “Серп и Молот”, “Электросталь” и “Красный Октябрь” совместно с начальником ГУАПа Кагановичем и директорами ГАЗ № 1 и ГАЗ № 2 в месячный срок разработать мероприятия по усилению контроля за качеством сталей, поставляемым подшипниковым заводам в целях обеспечения высокого качества авиаподшипников и, в частности, разработать и провести мероприятия, обеспечивающие предварительную шлифовку сталей, идущих на изготовление авиаподшипников шариковых и роликовых; ввести на металлургических заводах контроль всех сталей, поставляемых подшипниковым заводам на электромагнитных дефектоскопах; рассмотреть и обеспечить поставку труб ГПЗ № 2 с Первоуральского трубного завода надлежащего качества в полном соответствии с техническими условиями ГПЗ № 2.</w:t>
      </w:r>
    </w:p>
    <w:p w14:paraId="304505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 Краски, лаки и клей.</w:t>
      </w:r>
    </w:p>
    <w:p w14:paraId="62FD9B0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и директору ВИАМ совместно с начальником Главоргхимпрома и директором заода № 36 не позднее 1 января 1936 года рассмотреть и утвердить новую рецептуру клея для авиапромышленности, исходя из необходимости резкого улучшения водоупорности этого клея.</w:t>
      </w:r>
    </w:p>
    <w:p w14:paraId="3630ABB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и ИНО НКТП купить за границей образцы различных клеев, употребляемых в настоящее время в авиационной промышленности и произвести испытания и анализы их в лаборатории ВИАМа.</w:t>
      </w:r>
    </w:p>
    <w:p w14:paraId="04394FD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Главхимпрома Ратайчвку совместно с начальником ГУАПа и начальником Главоргхимпрома в месячный срок рассмотреть и утвердить технические условия и программу подачи фтористого натра заводу № 36.</w:t>
      </w:r>
    </w:p>
    <w:p w14:paraId="25B8F7A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совместно с начальником Главцветметобработки Акивисом разработать и представить мне не позднее 10 января план перевода самолетостроения на металл с анодной поляризацией металлических поверхностей перед их покраской путем создания соответствующих установок на заводах № 95 и им. Ворошилова.</w:t>
      </w:r>
    </w:p>
    <w:p w14:paraId="4402520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выделить на самолетостроительных заводах малярные цеха, а там где условия технологического процесса это не представляется возможным, в цехах где производится покрытие красками и лаками деталей самолетов, создать необходимые к этому условия в смысле чистоты, температуры и влажности. Программу мероприятий по окраске самолетов на самолетостроительных заводах разработать совместно с ВИАМом и начальником Главоргхимпрома и представить мне на утверждение не позднее 1 января 1936 года.</w:t>
      </w:r>
    </w:p>
    <w:p w14:paraId="2811E0D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и директору ВИАМа разработать новую рецептуру лаков и красок, исходя из лучшей заграничной техники и представить мне на утверждение не позднее 1 марта 1936 года.</w:t>
      </w:r>
    </w:p>
    <w:p w14:paraId="50EC3D9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Главхимпрома Ратайчвку, начальнику Порохового треста Коту и начальнику ГУАПа Кагановичу в месячный срок разработать технические условия по вязкости колоксилина, представив таковые мне на утверждение не позднее 1 января 1936 года, с тем чтобы с 1936 года обеспечить поставку колоксилина с завода им. Косякова заводу № 36 по новым техническим условиям.</w:t>
      </w:r>
    </w:p>
    <w:p w14:paraId="1204031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ИНО Биренцвейгу в I полугодии 1936 года обеспечить закупку для завода № 36 – 325 тонн низковязкого лакового колоксилина, обеспечивающего аэронитровое производство.</w:t>
      </w:r>
    </w:p>
    <w:p w14:paraId="3EF6F0B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ГУМПа Гуревичу, начальнику Главоргхимпрома Хвостовскому, Союзхимпластмасс Фрумкину, начальнику Главнефти Баринову и управляющему Союзнефтеторга Ефуни обеспечить завод № 36 в необходимом количестве и качестве толуолом, сольвентнафтом, пиридином 1-го сорта, канифолью подсочной марки, не ниже марки ВЖ и газовой сажей качеством не ниже американской марки “Пирлес-Блек”.</w:t>
      </w:r>
    </w:p>
    <w:p w14:paraId="227D0C7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директору ВИАМа, начальнику Главоргхимпрома (НИЛ) включить в тематический план 1936 года задачу получения несгораемых аэролаков.</w:t>
      </w:r>
    </w:p>
    <w:p w14:paraId="3253503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обеспечения производства масляных и эмалевых красок необходимого качества обязать Главоргхимпром совместно с начальником ГУАПа проверить качество красок, поставляемых заводом “Красная Пресня” и провести все необходимые мероприятия по резкому улучшению качества этих красок, и в частности, сменить на заводе “Красная Пресня” устаревшую аппаратуру (центрифуги, сварочные котлы). Управляющему Химмаштреста Болдвину принять заказ на изготовление этого оборудования с поставкой в I квартале 1936 года. Начальнику ИНО Биренцвейгу обеспечить поставку из-за границы для заводов № 36 и “Красная Пресня” 9-ти центрофуг в начале 1936 года.</w:t>
      </w:r>
    </w:p>
    <w:p w14:paraId="413885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Начальнику ИНО Биренцвейгу обеспечить полностью заводы № 36 и “Красная Пресня” импортным шеллаком и древесным маслом.</w:t>
      </w:r>
    </w:p>
    <w:p w14:paraId="306FEC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Управляющему Стальсбыта Бабаеву обеспечить полностью потребность завода “Красная Пресня” в белой жести для тары лакокрасочных изделий, поставляемых авиапромышленности.</w:t>
      </w:r>
    </w:p>
    <w:p w14:paraId="50D8294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совместно с начальником Главоргхимпрома Хвостовским и УВС РККА не позднее 1 июля 1936 года разработать и утвердить весь ассортимент лаков и красок для авиационной промышленности и технические условия к ним под углом зрения сокращения и стандартизации цветов.</w:t>
      </w:r>
    </w:p>
    <w:p w14:paraId="0FB36C1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совместно с начальником Главоргхимпрома организовать при ВИАМе группу лучших работников лакокрасочной промышленности из числа как работающих в ВИАМе, так и работающих на заводах № 36 и “Красная Пресня” и в Институте лаков и красок в целях разработки технических условий и рецептуры по лакам и краскам для авиационной промышленности, исходя из того, что эти лаки и краски должны быть выше лучших заграничных образцов.</w:t>
      </w:r>
    </w:p>
    <w:p w14:paraId="71479C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Начальнику ИНО по согласованию с начальником ЦАГИ выделить ВИАМу на 1936 год необходимые средства для импорта для лакокрасочной лаборатории ВИАМа необходимого оборудования и различных компонентов аэролаков и аэрокрасок.</w:t>
      </w:r>
    </w:p>
    <w:p w14:paraId="6338BBC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Главнефти Баринову спроектировать завод амилового спирта из нефтяных газов мощностью 2000 тонн в год, с окончанием рабочего проекта во II квартале 1936 года, доложив мне не позднее мая 1936 года конкретные предложения о строительстве указанного завода и о вводе его в эксплуатацию в 1937 году.</w:t>
      </w:r>
    </w:p>
    <w:p w14:paraId="1288FDB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Главхимпрома Ратайчвку и управляющему Всесоюзным пороховым трестом Коту запроектировать и построить в 1936 году в системе заводов Порохового треста специальное производство (автоклавным способом) низко вязкого лакового колоксилина с тем, чтобы с конца 1936 года таковой начал поступать на предприятия Главоргхимпрома.</w:t>
      </w:r>
    </w:p>
    <w:p w14:paraId="2C7B0E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XI. Стекло, зеркала, триплекс и целлулоид.</w:t>
      </w:r>
    </w:p>
    <w:p w14:paraId="07F4CCB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Главхимпром Ратайчвку, директору завода Автостекло ликвидировать в 1936 году все дефекты зеркал, имевшие место в 1935 году (пузыри, царапины, пятнистость и появление ржавчины). Директору ВИАМ не позднее 30 декабря 1935 года дать Авиаснабу и заводу Автостекло анализ причин, порождающих пятнистость зеркальных стекол.</w:t>
      </w:r>
    </w:p>
    <w:p w14:paraId="555D1E1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ГВМУ Павлуновскому обеспечить поставку заводу Автостекло сырья с Изюмского завода оптических стекол для получения зеркал соответствующих техническим условиям.</w:t>
      </w:r>
    </w:p>
    <w:p w14:paraId="7058C50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Главхимпрома и директору завода Автостекло в декадный срок изготовить 5 образцов зеркал из зеркальных стекол Константиновского завода и представить таковые на утверждение начальнику ГУАПа.</w:t>
      </w:r>
    </w:p>
    <w:p w14:paraId="188C7C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рассмотреть и утвердить образцы зеркал, производимых заводом Автостекло для авиапромышленности.</w:t>
      </w:r>
    </w:p>
    <w:p w14:paraId="608B99F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Главхимпром Ратайчвку и директорам Константиновского и Московского заводов Автостекло совместно с начальником ВОТИ Немовым в декадный срок рассмотреть все дефекты стекла, поставляемого заводу Авиаприбор и провести все необходимые мероприятия по устранению этих дефектов с таким расчетом, чтобы с I квартала 1936 года стекло для Авиаприбора поставлялось надлежащего качества и, в частности, обеспечить поставку прозрачного стекла без зеленоватого и желтоватого оттенков, без пузырьков, царапин/извилин и т.п.</w:t>
      </w:r>
    </w:p>
    <w:p w14:paraId="669F13B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Главоргхимпрома Хвостовскому и управляющему Союзхимпластмасс Фрумкину обеспечить в 1936 году поставку авиапромышленности целлулоида надлежащего качества и, в частности, обеспечить производство целлулоида со следующими характеристиками:</w:t>
      </w:r>
    </w:p>
    <w:p w14:paraId="7FC526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прозрачность не менее 90% для листов толщиной от 1 до 3 мм включительно;</w:t>
      </w:r>
    </w:p>
    <w:p w14:paraId="496406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морозостойкость не менее 60 градусов;</w:t>
      </w:r>
    </w:p>
    <w:p w14:paraId="1D536C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прозрачность, прочность и светостойкость в течение 2-х лет при всяких температурах от +60 до – 60 градусов С;</w:t>
      </w:r>
    </w:p>
    <w:p w14:paraId="247A30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г) сохранение качества целлулоида при эксплуатации в различных атмосферных условиях (повышенная влажность, сухость и т.д.);</w:t>
      </w:r>
    </w:p>
    <w:p w14:paraId="7EA769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временное сопротивление разрыву и удлинению при разрыве нескольких выше существующего.</w:t>
      </w:r>
    </w:p>
    <w:p w14:paraId="779764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Начальнику ИНО Биренцвейгу совместно с управляющим Союзхимпластмасс и начальником ГУАПа выписать для последнего образцы импортного целлулоида пригодного для авиапромышленности, каковые передать Союзхимпластмасс.</w:t>
      </w:r>
    </w:p>
    <w:p w14:paraId="060096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Начальнику ГУАП командировать представителя авиационной промышленности на Охтинский завод и совместно с заводом разработать все мероприятия для получения целлулоида необходимого для авиационной промышленности качества.</w:t>
      </w:r>
    </w:p>
    <w:p w14:paraId="5FACD97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Главхимпром Ратайчвку обеспечить поставку авиапромышленности безосколочного листового стекла всех толщин, исходя из следующих требований авиапромышленности:</w:t>
      </w:r>
    </w:p>
    <w:p w14:paraId="051EE8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прозрачность не менее 90%;</w:t>
      </w:r>
    </w:p>
    <w:p w14:paraId="0DC824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морозостойкость не менее 70 градусов;</w:t>
      </w:r>
    </w:p>
    <w:p w14:paraId="52396A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светостойкость не менее 3-х лет;</w:t>
      </w:r>
    </w:p>
    <w:p w14:paraId="7FA82A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сохранность при всех температурных режимах от + 60 до – 70 градусов С и в различных атмосферных условиях (повышенная влажность и внешние механические явления, сухость и т.п.);</w:t>
      </w:r>
    </w:p>
    <w:p w14:paraId="717F05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отсутствие пузырей, царапин и других пороков, прочная склейка и сплошная влагонепроницаемая заливка;</w:t>
      </w:r>
    </w:p>
    <w:p w14:paraId="31159D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механические качества и другие допуски согласно существующим техническим условиям.</w:t>
      </w:r>
    </w:p>
    <w:p w14:paraId="253A4D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Начальнику Главхимпром Ратайчвку исходя из этого разработать всю программу мероприятий по обеспечению поставки стекла авиапромышленности надлежащего качества и представить мне таковую не позднее 1 января 1936 года, согласовав ее предварительно начальником ГУАПа Кагановичем.</w:t>
      </w:r>
    </w:p>
    <w:p w14:paraId="48A94B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XII. Электроарматура и электрооборудование.</w:t>
      </w:r>
    </w:p>
    <w:p w14:paraId="21B8A3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Магнето.</w:t>
      </w:r>
    </w:p>
    <w:p w14:paraId="437688F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Электрозаводу перейти в 1936 году на поставку магнето с автоматическим опережением для моторов М-34, М-17, М-100 с тем, чтобы выпуск их составил не менее 30% от выпуска всех магнето для этих моторов.</w:t>
      </w:r>
    </w:p>
    <w:p w14:paraId="3571C7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мотору М-25 заводу АТЭ представить ГУАПу на утверждение опытные образцы магнето с автоматическим опережением к 1 января 1936 года, подготовив переход на серийное производство этих магнето через месяц после утверждения образца.</w:t>
      </w:r>
    </w:p>
    <w:p w14:paraId="6904E3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Электрозаводу представить ГУАПу опытные образцы магнето для мотора М-11 к 1 марта 1936 года.</w:t>
      </w:r>
    </w:p>
    <w:p w14:paraId="7B8D08B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Электрозавода:</w:t>
      </w:r>
    </w:p>
    <w:p w14:paraId="6C9387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Обеспечить не позже 1 февраля 1936 года доведение экранированного магнето БС-12-П для работы на моторе М-34 форсированного по 2500 оборотов в минуту коленчатого вала.</w:t>
      </w:r>
    </w:p>
    <w:p w14:paraId="72C051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Обеспечить не позже 1 июня 1936 года взаимозаменяемость колодок по экранированному магнето.</w:t>
      </w:r>
    </w:p>
    <w:p w14:paraId="57024A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Не позже 1 марта 1936 года устранить выгорание контактов на распределителе тока и колодках магнето.</w:t>
      </w:r>
    </w:p>
    <w:p w14:paraId="0DFD5F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В первой половине 1936 года резко улучшить качество внутренней и внешней отделки магнето, перейдя на выпуск полированных магнето с тем, чтобы к 1 февраля 1936 года были представлены начальнику ГУАПа на утверждение образцы всех типов магнето с улучшенной отделкой и с 1 июля 1936 года выпускать магнето только улучшенной отделки.</w:t>
      </w:r>
    </w:p>
    <w:p w14:paraId="4C48DC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Обеспечить изготовление магнето приспособленных для работы на больших высотах, в первую очередь для мотора М-34 и М-100 по предлагаемым техническим условиям с тем, чтобы с 1 мая 1936 года начать выпуск этих магнето.</w:t>
      </w:r>
    </w:p>
    <w:p w14:paraId="2245C0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В 1936 году изготовить образцы магнето для двухрядного звездообразного 18-ти цилиндрового авиамотора и представить таковые начальнику ГУАПа на утверждение.</w:t>
      </w:r>
    </w:p>
    <w:p w14:paraId="68F1BD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 Разработать и внедрить в серийное производство в 1936 году экранированные аварийные контакты на 2, 3, 4 и 6 моторов, особенно форсируя выпуск 2-х моторного аварийного контакта.</w:t>
      </w:r>
    </w:p>
    <w:p w14:paraId="1D0D16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 Разработать и изготовить не позднее 1 февраля 1936 года опытный образец батарейного зажигания на 24 вольта и через 3 месяца после принятия образца организовать серийное производство.</w:t>
      </w:r>
    </w:p>
    <w:p w14:paraId="1A2B09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Изготовить промышленные образцы переключателей рабочих магнето уменьшенного габарита и улучшенного типа.</w:t>
      </w:r>
    </w:p>
    <w:p w14:paraId="001049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Главному управлению авиационной промышленности совместно с Управлением воздушных сил РККА определить заграничные типы, подлежащие внедрению в серийное производство.</w:t>
      </w:r>
    </w:p>
    <w:p w14:paraId="0BCF6A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Не позже 1 апреля разработать и представить на утверждение переключатель рабочих магнето комбинированных в один блок с аварийным контактом для 2, 3, 4 моторной машины по лучшим заграничным образцам.</w:t>
      </w:r>
    </w:p>
    <w:p w14:paraId="2F3607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 В целях уменьшения шума магнето и облегчения веса применять текстолитовые шестерни с тем, чтобы образцы новой конструкции были испытаны не позже 1 февраля 1936 года.</w:t>
      </w:r>
    </w:p>
    <w:p w14:paraId="46DAB22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и директорам авиамоторных заводов придерживаться строго стандартов на изготовление посадочных мест магнето, чтобы избегать пригонки магнето, изготовляемых по стандарту.</w:t>
      </w:r>
    </w:p>
    <w:p w14:paraId="4EF2875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Управляющему ВАКТа Проскуровскому для обеспечения пуска зажигания от аккумуляторов выполнить задание Электрозавода по пробным и серийным образцам аккумуляторов для зажигания на 24 вольт.</w:t>
      </w:r>
    </w:p>
    <w:p w14:paraId="493F25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Свечи.</w:t>
      </w:r>
    </w:p>
    <w:p w14:paraId="1697BDA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Электрозавода обеспечить не позже 1 февраля 1936 года выпуск опытной партии нового типа свечей, обеспечивающих работу мотора с наддувом до 2 атмосфер при степени сжатия 6 и при оборотах мотора до 2500 на работе бензина с этиловой жидкостью.</w:t>
      </w:r>
    </w:p>
    <w:p w14:paraId="565331B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совместно с начальником Главэнергопрома в месячный срок организовать тщательную проверку работы всех типов выпускаемых для автомоторов свечей, составить подробную ведомость всех обнаруженных хотя бы мельчайших дефектов свечей, а начальнику Главэнергопрома по этой ведомости обеспечить полное устранение всех обнаруженных дефектов.</w:t>
      </w:r>
    </w:p>
    <w:p w14:paraId="50A629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Электроарматура.</w:t>
      </w:r>
    </w:p>
    <w:p w14:paraId="1191B61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Сосредоточить все производство электроосветительной и коммутационной самолетной аппаратуры на заводе Электросвет, а Главэнергопрому провести все мероприятия по необходимой реконструкции завода, обеспечивающего выпуск электроосветительной и коммутационной самолетной аппаратуры в количестве, полностью покрывающем потребность авиационной промышленности и высокого качества.</w:t>
      </w:r>
    </w:p>
    <w:p w14:paraId="1E034D8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“Электросвет”:</w:t>
      </w:r>
    </w:p>
    <w:p w14:paraId="7FC0E3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внедрить в серийное производство сигнальные лампы с 1 марта 1936 года;</w:t>
      </w:r>
    </w:p>
    <w:p w14:paraId="25DF6C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внедрить в серийное производство прибор АСП-95 на 12-24 вольт с новой ручкой из пластмассы с 1 марта 1936 года;</w:t>
      </w:r>
    </w:p>
    <w:p w14:paraId="073F61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выпустить кабинные лампы рационального освещения в серию с 1 июня 1936 года;</w:t>
      </w:r>
    </w:p>
    <w:p w14:paraId="257BA8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внедрить новые образцы переносной лампы с 1 апреля 1936 года;</w:t>
      </w:r>
    </w:p>
    <w:p w14:paraId="140CB7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внедрить новый щиток с измененной схемой с 1 июля 1936 года;</w:t>
      </w:r>
    </w:p>
    <w:p w14:paraId="46F82C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разработать и организовать серийное производство реостатов к кабинной лампе по новым техническим требованиям УВС на 1936 год с 1 июля 1936 года, потребность в 24-х вольтовых реостатах с начала 1936 года удовлетворять путем использования прессформы 12-ти вольтового реостата с ограничением диапазона регулирования;</w:t>
      </w:r>
    </w:p>
    <w:p w14:paraId="39CB4A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 выпустить и организовать серийное производство аэронавигационных огней, представив опытные образцы на утверждение к 1 марта 1936 года;</w:t>
      </w:r>
    </w:p>
    <w:p w14:paraId="46FD77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 включить в план опытных работ завода “Электросвет” на 1936 год следующее задание:</w:t>
      </w:r>
    </w:p>
    <w:p w14:paraId="04CF75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аэронавигационные огни для скрытого самолетовождения;</w:t>
      </w:r>
    </w:p>
    <w:p w14:paraId="25D47F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прибор для секретной сигнализации;</w:t>
      </w:r>
    </w:p>
    <w:p w14:paraId="643925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серии аэродромной осветительной аппаратуры;</w:t>
      </w:r>
    </w:p>
    <w:p w14:paraId="7F6693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плавкие предохранители с обставкой до 100 атмосфер;</w:t>
      </w:r>
    </w:p>
    <w:p w14:paraId="1D4767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реостат обогревания одежды на 24 вольта;</w:t>
      </w:r>
    </w:p>
    <w:p w14:paraId="574E6B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стандартные сигнальные лампы на 5 вольт;</w:t>
      </w:r>
    </w:p>
    <w:p w14:paraId="766D26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тумблер американского типа.</w:t>
      </w:r>
    </w:p>
    <w:p w14:paraId="5478CA0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Электрозавода обеспечить выпуск 24-х вольтовых софитных ламп в 5 и 10 ватт и шаровых 100 ваттных, начиная с января 1936 года.</w:t>
      </w:r>
    </w:p>
    <w:p w14:paraId="38EB04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Электромеханизмы.</w:t>
      </w:r>
    </w:p>
    <w:p w14:paraId="2B1E1E3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Главэнергопрома Филимонову в декадный срок разработать предложения по организации производства электрической части для следующих механизмов:</w:t>
      </w:r>
    </w:p>
    <w:p w14:paraId="3D78CE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электроподъемные шасси типа СБ и РД;</w:t>
      </w:r>
    </w:p>
    <w:p w14:paraId="5E9CFE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электробензопомпа для самолета МДР-4 и МГ;</w:t>
      </w:r>
    </w:p>
    <w:p w14:paraId="47D14F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электрическое управление стабилизации для самолета МГ;</w:t>
      </w:r>
    </w:p>
    <w:p w14:paraId="43D5AC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электрокоммутатор для самолета МДР-4;</w:t>
      </w:r>
    </w:p>
    <w:p w14:paraId="77402E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убирающиеся факелодержатели;</w:t>
      </w:r>
    </w:p>
    <w:p w14:paraId="7438B8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электромагнитные краны для топлива;</w:t>
      </w:r>
    </w:p>
    <w:p w14:paraId="3F1C80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пожарная сигнализация;</w:t>
      </w:r>
    </w:p>
    <w:p w14:paraId="4386CE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управление винтом переменного шага;</w:t>
      </w:r>
    </w:p>
    <w:p w14:paraId="25B993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максимальные автоматы до 100 ампер;</w:t>
      </w:r>
    </w:p>
    <w:p w14:paraId="5B56B2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дистанционные аварийные выключатели для аккумуляторов;</w:t>
      </w:r>
    </w:p>
    <w:p w14:paraId="280E55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электросветовая и звуковая сигнализация положения убирающегося шасси;</w:t>
      </w:r>
    </w:p>
    <w:p w14:paraId="48EC1E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электрическое управление щитками;</w:t>
      </w:r>
    </w:p>
    <w:p w14:paraId="255739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электрическое управление винтом переменного шага</w:t>
      </w:r>
    </w:p>
    <w:p w14:paraId="1E4C56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представить их на утверждение заместителя наркома тяжелой промышленности Кагановича.</w:t>
      </w:r>
    </w:p>
    <w:p w14:paraId="71A5E0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Динамо.</w:t>
      </w:r>
    </w:p>
    <w:p w14:paraId="03A2441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Главэнергопрома обеспечить выпуск динамо и разработанных к ним стандартных приводов соответственно прилагаемым техническим условиям.</w:t>
      </w:r>
    </w:p>
    <w:p w14:paraId="031A61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Приводы высокого напряжения.</w:t>
      </w:r>
    </w:p>
    <w:p w14:paraId="262C60F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Главцветметобработки Аквису:</w:t>
      </w:r>
    </w:p>
    <w:p w14:paraId="0F9105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обеспечить в 1936 году выпуск экранированных проводов высокого напряжения для экранирования зажигания только с минусовым допуском по диаметру;</w:t>
      </w:r>
    </w:p>
    <w:p w14:paraId="497BB7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довести качество лакированного провода и оплетки по электрическим свойствам до качества не ниже провода и оплетки американского образца, применяемого фирмой Райт;</w:t>
      </w:r>
    </w:p>
    <w:p w14:paraId="2A3542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организовать производство экранированных проводов низкого напряжения до 1500 вольт;</w:t>
      </w:r>
    </w:p>
    <w:p w14:paraId="5844DD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организовать выпуск многожильных проводов низкого напряжения американского образца по типу фирмы “Стерлинг” для электроизмерительных целей на самолетах;</w:t>
      </w:r>
    </w:p>
    <w:p w14:paraId="64EB95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организовать выпуск бронированного провода низкого напряжения по образцу фирмы Стерлинг самолетного типа.</w:t>
      </w:r>
    </w:p>
    <w:p w14:paraId="3CC648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 Мероприятия по обеспечению выпуска электрооборудования.</w:t>
      </w:r>
    </w:p>
    <w:p w14:paraId="1DCC7B2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Главнемета Волину обеспечить завод АТЭ в 1936 году слюдой мусковит, очищенной №№ 7 и 8, I, II и III сорта; слюдой флогонит твердой звенящей “цыганка” № 7 и № 8 и слюдой мусковит шаблонкой I и II сорта. Слюда должна соответствовать техническим условиям завода АТЭ.</w:t>
      </w:r>
    </w:p>
    <w:p w14:paraId="489CA07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Ленинградскому горному институту развернуть работы по плавленой слюде и ее применению для авиасвечей в соответствии с техническими требованиями завода АТЭ. Первые образцы плавленой слюды представить заводу АТЭ в декабре 1935 года. Институту организовать работу таким образом, чтобы обеспечить внедрение плавленой слюды для изоляторов свечей с половины 1936 года.</w:t>
      </w:r>
    </w:p>
    <w:p w14:paraId="3BC3E7C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улучшения качества электродов магнето Кольчугинскому заводу поставлять заводу АТЭ монель-металл ленточный 1х19,5 мм в количестве 900 кг взамен красной меди с началом поставки с 1 февраля 1936 года.</w:t>
      </w:r>
    </w:p>
    <w:p w14:paraId="659F267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улучшения качества щек и бегунов авиамагнето заводу “Каучук” освоить в 1936 году лакировку твердой резины аналогично имеющимся американским образцам с тем, чтобы с 1 апреля 1936 года поставлять резину твердую исключительно в лакированном виде. Одновременно заводу “Каучук” освоить изготовление щек с четкими цифрами, обозначающими чередование искр.</w:t>
      </w:r>
    </w:p>
    <w:p w14:paraId="2592878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Управляющему Спецстали Тевосяну и заводу “Электросталь” обеспечить выпуск нержавеющей стали для свечей диаметром 9,5 мм в холоднотянутом калиброванном виде взамен поставляемой ныне стали горячекатаной.</w:t>
      </w:r>
    </w:p>
    <w:p w14:paraId="0166350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Союзхимпластмасс (Любчанский завод) не позже 1 февраля 1936 года изготовить заготовки для текстолитовых бесшумных шестерен для авиамагнето в соответствии с чертежами и требованиями завода АТЭ.</w:t>
      </w:r>
    </w:p>
    <w:p w14:paraId="490C8E4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целях ликвидации применения импортных материалов в авиамагнето обязать в течение 1936 года:</w:t>
      </w:r>
    </w:p>
    <w:p w14:paraId="01BC14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Главэнергопрому (завод “Электросталь”) освоить производство лакированной бумаги;</w:t>
      </w:r>
    </w:p>
    <w:p w14:paraId="276ACF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Главэнергопрому (завод НЭИЗ) освоить производство резного изоляционного шелка;</w:t>
      </w:r>
    </w:p>
    <w:p w14:paraId="47AD4E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ГУВП (Киевский завод) освоить производство пружинной стали “Ракли”;</w:t>
      </w:r>
    </w:p>
    <w:p w14:paraId="5EA885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Спецстали (завод “Серп и Молот”) освоить производство стали марки 1112-6 мм и специального профиля по чертежу РХ-3112 для поводков магнето;</w:t>
      </w:r>
    </w:p>
    <w:p w14:paraId="0207D8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Главметизу (завод “Красный гвоздильщик”) освоить производство рояльной проволоки.</w:t>
      </w:r>
    </w:p>
    <w:p w14:paraId="01FDB927"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Главцветметобработки (Подольский завод литья под давлением) обеспечить поставку заводу АТЭ литья под давлением алюминиевого, бронзы и латуни по чертежам завода АТЭ.</w:t>
      </w:r>
    </w:p>
    <w:p w14:paraId="7DB4CF7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Для резкого улучшения внешнего вида и отделки авиамагнето Главэнергопрому (завод Изолит) улучшить с 1 января 1936 года поверхность кокильного литья, поставляемого для авиамагнето в соответствии с имеющимися импортными образцами.</w:t>
      </w:r>
    </w:p>
    <w:p w14:paraId="1C88890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Сапецсталь – Тевосяну освоить в первой половине 1936 года производство железоникелевой и алюминиевой стали для роторов магнето.</w:t>
      </w:r>
    </w:p>
    <w:p w14:paraId="3CFCD02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ИНО Биренцвейгу выделить Электрозаводу импортный контингент на оборудование для производства авиасвечей в сумме 230000 рублей с реализацией такового не позже 1 мая 1936 года, а Лукину выделить Электрозаводу 5 станков союзного производства.</w:t>
      </w:r>
    </w:p>
    <w:p w14:paraId="49C9DAA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Заводам ГПЗ № 1 и ГПЗ № 2 обеспечить снабжение самолетных генераторов подшипниками “Экстра” по техническим условиям УВС РККА; в течение 1936 года заводам освоить выпуск высокооборотных шарикоподшипников до 10000 оборотов (легкой и средней серии однорядных радиальных и двухосных сферических).</w:t>
      </w:r>
    </w:p>
    <w:p w14:paraId="5FD72AB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Главэспрома Лютову:</w:t>
      </w:r>
    </w:p>
    <w:p w14:paraId="5C8F73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обеспечить завод им. Лепсе в 1936 году электрическими конденсаторами для самолетных машин;</w:t>
      </w:r>
    </w:p>
    <w:p w14:paraId="06440E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обеспечить выпуск конденсаторов высокого напряжения меньших габаритов по техническим требованиям завода им. Лепсе.</w:t>
      </w:r>
    </w:p>
    <w:p w14:paraId="7BDADE7B"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Главцветметобработки Аквису:</w:t>
      </w:r>
    </w:p>
    <w:p w14:paraId="169620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обеспечить в 1936 году завод им. Лепсе потребным количеством меднокадминевой меди вместо обыкновенной коллекторной меди;</w:t>
      </w:r>
    </w:p>
    <w:p w14:paraId="187805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обеспечить в 1936 году повышение качества эмалированных проводов (обмоточная медь) согласно технических условий завода им. Лепсе;</w:t>
      </w:r>
    </w:p>
    <w:p w14:paraId="4F7898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обеспечить завод им. Лепсе морозостойкими проводами по техническим требованиям завода им. Лепсе;</w:t>
      </w:r>
    </w:p>
    <w:p w14:paraId="607E86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освоить в 1936 году провода с тонкой шелковой изоляцией по требованиям завода им. Лепсе.</w:t>
      </w:r>
    </w:p>
    <w:p w14:paraId="70F59C4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ВЭИ усилить научно-исследовательскую работу по новым сплавам из редких металлов для контр-регуляторов.</w:t>
      </w:r>
    </w:p>
    <w:p w14:paraId="1978A78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 начальнику Главэнергопрома Филимонову, директору завода им. Лепсе с привлечением УВС рассмотреть качество выпускаемого ДОС-2 и утвердить технические условия для разработки нового образца 15 января 1936 года.</w:t>
      </w:r>
    </w:p>
    <w:p w14:paraId="44C0DE1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ИНО Биренцвейгу выделить заводу “Электросвет” с поставкой в течение I квартала 1936 года оборудование по импорту на 75000 рублей, а начальнику Отдела оборудования Лукину укомплектовать полностью завод “Электросвет” необходимым оборудованием.</w:t>
      </w:r>
    </w:p>
    <w:p w14:paraId="3615A4C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Управляющему ВООМП Кривицкому организовать на Изюмском стекольном заводе производство прессованных стекол для аэронавигационных огней и фильтров дневного и красного света с поставкой этих стекол с 1 марта 1936 года.</w:t>
      </w:r>
    </w:p>
    <w:p w14:paraId="775E25A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Заводу “Оргметалл” изготовить для завода “Электросвет” необходимые пресс-формы в количестве 15 штук в соответствии с установленными мною сроками внедрения новых образцов арматуры.</w:t>
      </w:r>
    </w:p>
    <w:p w14:paraId="71D7519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Управляющему Союзхимпластмасс Фрумкину обеспечить передачу заводу “Электросвет” карболитовых деталей для новых изделий в срок, обеспечивающий своевременный выпуск указанной арматуры.</w:t>
      </w:r>
    </w:p>
    <w:p w14:paraId="6C6199C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Главметизу разместить на своих заводах производство эмалированной осветительной арматуры в обмен производственного задания заводу “Электросвет” по 1936 году, а заводу “Электросвет” передать Главметизу освобождающееся оборудование эмалировочного цеха.</w:t>
      </w:r>
    </w:p>
    <w:p w14:paraId="7754EFE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Главэспрома увеличить задание заводу им. Орджоникидзе на 1936 год по плавким вставкам, исходя из полного удовлетворения потребности ГУАПа и УВС РККА.</w:t>
      </w:r>
    </w:p>
    <w:p w14:paraId="1084934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Главрезины совместно с Главэнергопромом и директорами заводов “Электросвет” и “Каучук” разработать вопрос о передаче изготовления непосредственно заводу “Каучук” деталей АТЭ, с передачей этому заводу необходимого оборудования с завода “Электросвет” и свои предложения представить мне не позже 30 декабря 1935 года.</w:t>
      </w:r>
    </w:p>
    <w:p w14:paraId="4913490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Директору завода им. Орджоникидзе передать заводу “Электросвет” не позднее 30 декабря все необходимые штампы и инструменты для изготовления изделий, передаваемых с завода им. Орджоникидзе на завод “Электросвет”.</w:t>
      </w:r>
    </w:p>
    <w:p w14:paraId="03E5BF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XIII. Авиационные приборы.</w:t>
      </w:r>
    </w:p>
    <w:p w14:paraId="1FE5EF8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Управляющему ВОТИ Немову:</w:t>
      </w:r>
    </w:p>
    <w:p w14:paraId="532412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С первого квартала 1936 года организовать серийный выпуск анероидов для ГУМПа по повышенным требованиям, не уступающим заграничным фирмам.</w:t>
      </w:r>
    </w:p>
    <w:p w14:paraId="29E577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Со второго квартала 1936 года организовать выпуск вариометров до 30 м/сек..</w:t>
      </w:r>
    </w:p>
    <w:p w14:paraId="6322CD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Начиная с 1 июля 1936 года все аэронавигационные приборы, за исключением жироскопических, выпускать в стандартных корпусах диаметром 60 и 80 мм.</w:t>
      </w:r>
    </w:p>
    <w:p w14:paraId="4936CB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г) Со второго квартала 1936 года организовать серийный выпуск трубок “Пито” на 24 вольта.</w:t>
      </w:r>
    </w:p>
    <w:p w14:paraId="561811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В четвертом квартала 1936 года произвести выпуск первой опытной партии приборов, показывающих расход горючего (флюометров).</w:t>
      </w:r>
    </w:p>
    <w:p w14:paraId="746A17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С февраля 1936 года начать серийный выпуск компасов КМ-6.</w:t>
      </w:r>
    </w:p>
    <w:p w14:paraId="251074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 В течение 1936 года выпустить первую опытную партию компасов К-5.</w:t>
      </w:r>
    </w:p>
    <w:p w14:paraId="035EBB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 В первом квартале 1936 года начать серийное производство по авиагоризонту для истребителей.</w:t>
      </w:r>
    </w:p>
    <w:p w14:paraId="645229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Со второго квартала 1936 года начать серийный выпуск указателей поворота с регулированием и чувствительностью, переменной в зависимости от типа самолета без сохранения постоянного числа оборотов волчка.</w:t>
      </w:r>
    </w:p>
    <w:p w14:paraId="3F1484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Со второго квартала 1936 года по получении заключения о годности, организовать производство нового вида тахометра на 3000 оборотов.</w:t>
      </w:r>
    </w:p>
    <w:p w14:paraId="11250E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 С первого квартала 1936 года по получении окончательного заключения НКО, организовать выпуск бензиномеров для самолетов тяжелого типа по имеющейся инструкции ЦАГИ.</w:t>
      </w:r>
    </w:p>
    <w:p w14:paraId="55A6BD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 Проработать проблему возможности выпуска 4-х стрелочного индикатора с тем, чтобы в случае удачного разрешения первая опытная партия была выпущена в 1936 году для войсковых испытаний.</w:t>
      </w:r>
    </w:p>
    <w:p w14:paraId="78B016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 Во втором квартале 1936 года выпустить первую опытную серию приборов, определяющих перегрузку самолету.</w:t>
      </w:r>
    </w:p>
    <w:p w14:paraId="1664F0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С первого квартала 1936 года обеспечить выпуск дистанционных электрических авиатермометров, показывающих цилиндра мотора, в количествах, обеспечивающих полную потребность авиации для самолетов с воздушным охлаждением.</w:t>
      </w:r>
    </w:p>
    <w:p w14:paraId="3976E5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 второго квартала 1936 года обеспечить выпуск дистанционных электротермометров воды, масла и воздуха (карбюраторных) по образцам фирмы Вестон.</w:t>
      </w:r>
    </w:p>
    <w:p w14:paraId="215BCB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 Со второго квартала 1936 года организовать серийное производство дистанционных аэротермометров на температуру +(-) 50 градусов и одновременно повести работу по приспособлению термометра сопротивления на диапазон температур +(-) 70 градусов, с тем чтобы во втором полугодии организовать их серийный выпуск.</w:t>
      </w:r>
    </w:p>
    <w:p w14:paraId="59983D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 С января 1936 года организовать серийный выпуск гиромагнитных компасов.</w:t>
      </w:r>
    </w:p>
    <w:p w14:paraId="408A07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В 1936 году обеспечить выпуск автопилотов в количестве 400 штук, из них 200 штук типа “Сперри” стандартных и 200 штук АВП-10 ВОТИ (150 штук с компрессорами и 50 штук с ветрянкой).</w:t>
      </w:r>
    </w:p>
    <w:p w14:paraId="0A45E6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 В течение 1936 года конструктивно разработать по заграничным образцам и выпустить самопишущие приборы, необходимые для испытания самолетов: барографы до 18 км, термографы до 60 градусов, самопишущие указатели скорости, самописцы перегрузки самолета (акселирографы), приборы указывающие давление на ручное и ножное управление самолетом, указатели отклонения рулей и элеронов, вибрографы, для чего ИНО приобрести заграничные образцы указанных приборов и передать их ВОТИ.</w:t>
      </w:r>
    </w:p>
    <w:p w14:paraId="36B87A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 Немову с первого квартала 1936 года выпускать на своих заводах термостаты для радиаторов в потребном количестве для ГУАПа.</w:t>
      </w:r>
    </w:p>
    <w:p w14:paraId="5E48CB45"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Управляющему ВООМП Кривицкому:</w:t>
      </w:r>
    </w:p>
    <w:p w14:paraId="29AAFB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 первой половине 1936 года выпустить образцы визиров для одноместного истребителя и двухместной скоростной машины;</w:t>
      </w:r>
    </w:p>
    <w:p w14:paraId="1F7FF4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 начале второго квартала 1936 года выпустить образцы октана и в третьем квартале приступить к их серийному выпуску;</w:t>
      </w:r>
    </w:p>
    <w:p w14:paraId="0AE34F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сконструировать и выпустить в 1936 году приборы автоматического наблюдения с фотографической записью (типа “Сименс” или ДФЛ);</w:t>
      </w:r>
    </w:p>
    <w:p w14:paraId="4D5DBA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в 1936 году поставить производство динамиков по образцу “Сименс-Гальске”.</w:t>
      </w:r>
    </w:p>
    <w:p w14:paraId="1FCAE94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Главэспром Лютову:</w:t>
      </w:r>
    </w:p>
    <w:p w14:paraId="4664F1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 1936 году выпустить опытную партию аппаратуры для организации метеослужб по системе “Телетайп”;</w:t>
      </w:r>
    </w:p>
    <w:p w14:paraId="29894D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с первого квартала 1936 года организовать серийное производство электробензиномеров по образцам завода “Электроприбор”;</w:t>
      </w:r>
    </w:p>
    <w:p w14:paraId="137C26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обязать “Электроприбор” разработать и поставить с 1 мая 1936 года на серийное производство электротахометр переменного тока по требованию УВС вместо тахометра постоянного тока;</w:t>
      </w:r>
    </w:p>
    <w:p w14:paraId="1CDE87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обязать “Электроприбор” поставить с 1 мая 1936 года серийный выпуск амперметров типа 4-МА и в течение 1936 года разработать новые конструкции вольтметров и амперметров в стандартных корпусах, доведя их качество до уровня современных заграничных приборов фирмы Вестон;</w:t>
      </w:r>
    </w:p>
    <w:p w14:paraId="201406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по заводу “Электроприбор” разработать тип комбинированного вольтамперметра самолетного типа.</w:t>
      </w:r>
    </w:p>
    <w:p w14:paraId="3B4FCCF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ГУАПа Кагановичу:</w:t>
      </w:r>
    </w:p>
    <w:p w14:paraId="7F7634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организовать производство пневматической почты на своих заводах;</w:t>
      </w:r>
    </w:p>
    <w:p w14:paraId="74B7FC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с первого квартала 1936 года на заводе № 20, выпускающем шестеренчатые помпы, организовать производство вакуумных помп;</w:t>
      </w:r>
    </w:p>
    <w:p w14:paraId="5162F2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обратить сугубое внимание на производство монтажа всех приборов на самолетах, а также и установки амортизированных приборных досок.</w:t>
      </w:r>
    </w:p>
    <w:p w14:paraId="5C0C14C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ГУВП Павлуновскому:</w:t>
      </w:r>
    </w:p>
    <w:p w14:paraId="5685DF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с 1 января 1936 года поставить производство компрессоров для автопилотов на заводе “Красный октябрь” по техническим условиям завода “Метрон”;</w:t>
      </w:r>
    </w:p>
    <w:p w14:paraId="68EA56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полностью обеспечить поставку латунных трубок с Тульского завода впредь до организации их производства на заводе Главцветметобработка по техническим условиям завода Аиваприбор для анероидов.</w:t>
      </w:r>
    </w:p>
    <w:p w14:paraId="00F56F4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Техношарснабу Карпову:</w:t>
      </w:r>
    </w:p>
    <w:p w14:paraId="62BB80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 января 1936 года полностью обеспечить ВОТИ шариками для креноскопов по техническим условиям завода Авиаприбор.</w:t>
      </w:r>
    </w:p>
    <w:p w14:paraId="4E34796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Главоргхимпрому Хворостовскому:</w:t>
      </w:r>
    </w:p>
    <w:p w14:paraId="4E2191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поставить производство хлорметила с 1 января 1936 года;</w:t>
      </w:r>
    </w:p>
    <w:p w14:paraId="78CE06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обеспечить заводы ВОТИ специальными лаками и красками по техническим условиям последнего.</w:t>
      </w:r>
    </w:p>
    <w:p w14:paraId="12D3132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Управляющему “Лаборреактивсбыт”.</w:t>
      </w:r>
    </w:p>
    <w:p w14:paraId="46929E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Организовать выпуск контрольно-поверочных установок для УВС РККА по чертежам и техническим условиям последнего.</w:t>
      </w:r>
    </w:p>
    <w:p w14:paraId="01DF299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Главцветметобработки Аквису:</w:t>
      </w:r>
    </w:p>
    <w:p w14:paraId="694A99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организовать производство тянутых трубок для анероидов на одном из своих заводов по техническим условиям завода “Авиаприбор”;</w:t>
      </w:r>
    </w:p>
    <w:p w14:paraId="6DE198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до второго квартала 1936 года оплетку для трубопроводов аэротермометров и манометров производить из красной меди, а со второго квартала – из алюминия;</w:t>
      </w:r>
    </w:p>
    <w:p w14:paraId="02930E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 течение первого квартала 1936 года разработать и освоить производство многожильных проводов для авиационных приборов по имеющемуся у них американскому образцу;</w:t>
      </w:r>
    </w:p>
    <w:p w14:paraId="5E9B69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с 1 января 1936 года наладить качественный выпуск трубок для аэротермометров по техническим условиям завода Авиаприбор;</w:t>
      </w:r>
    </w:p>
    <w:p w14:paraId="0B1F61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с 1 января 1936 года организовать выпуск термобиметалла;</w:t>
      </w:r>
    </w:p>
    <w:p w14:paraId="4DE6C7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с 1 января 1936 года начать поставку берилиевой бронзы диаметром свыше 0,02 мм с завода “Красный выборжец”;</w:t>
      </w:r>
    </w:p>
    <w:p w14:paraId="298A46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 с первого квартала 1936 года организовать производство алюминиевых проводов в изоляции;</w:t>
      </w:r>
    </w:p>
    <w:p w14:paraId="38B7D6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 обеспечить ВОТИ поставкой с неменяющимися электрическими показателями: константа, манганина, хромеля и алюмеля;</w:t>
      </w:r>
    </w:p>
    <w:p w14:paraId="7FA282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 обеспечить ВОТИ кадмием.</w:t>
      </w:r>
    </w:p>
    <w:p w14:paraId="187940B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Управляющему Спецстали Тевосяну:</w:t>
      </w:r>
    </w:p>
    <w:p w14:paraId="7EB550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с 1 июля 1936 года освоить производство и поставку кобальтовой стали с содержанием последнего от 30% и выше;</w:t>
      </w:r>
    </w:p>
    <w:p w14:paraId="0CE2EC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с 1 июля 1936 года начать поставку качественных сталей:</w:t>
      </w:r>
    </w:p>
    <w:p w14:paraId="788F5E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шарикоподшипниковой стали марки ШХ-15,</w:t>
      </w:r>
    </w:p>
    <w:p w14:paraId="2F1D8E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нержавеющей стали толщиной 0,5 мм до 3 мм,</w:t>
      </w:r>
    </w:p>
    <w:p w14:paraId="1BED41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прутковой нержавеющей стали диаметром до 20 мм.</w:t>
      </w:r>
    </w:p>
    <w:p w14:paraId="78048E7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Главстанкоинструмента Альперовичу обеспечить авиапромышленность в 1936 году всем необходимым инструментом, в особенности мерительным, режущим и слесарно-монтажным, доложив мне о специальных мероприятиях, освобождающих от импорта.</w:t>
      </w:r>
    </w:p>
    <w:p w14:paraId="61D9E9C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Главному инспектору НКТП тщательно наблюдать за исполнением настоящего приказа и представлять мне ежемесячные сводные донесения о всех задержках в выполнении настоящего приказа (3574,165-199).</w:t>
      </w:r>
    </w:p>
    <w:p w14:paraId="7FEB72CD" w14:textId="77777777" w:rsidR="00D4105E" w:rsidRPr="00E14102" w:rsidRDefault="00D4105E" w:rsidP="00E14102">
      <w:pPr>
        <w:autoSpaceDE w:val="0"/>
        <w:autoSpaceDN w:val="0"/>
        <w:adjustRightInd w:val="0"/>
        <w:jc w:val="both"/>
        <w:rPr>
          <w:iCs/>
          <w:color w:val="000000" w:themeColor="text1"/>
          <w:sz w:val="16"/>
          <w:szCs w:val="16"/>
        </w:rPr>
      </w:pPr>
    </w:p>
    <w:p w14:paraId="5ECB404F" w14:textId="77777777" w:rsidR="003B3CE3" w:rsidRPr="00E14102" w:rsidRDefault="003B3CE3" w:rsidP="00E14102">
      <w:pPr>
        <w:jc w:val="both"/>
        <w:rPr>
          <w:color w:val="0070C0"/>
          <w:sz w:val="16"/>
          <w:szCs w:val="16"/>
        </w:rPr>
      </w:pPr>
      <w:r w:rsidRPr="00E14102">
        <w:rPr>
          <w:color w:val="0070C0"/>
          <w:sz w:val="16"/>
          <w:szCs w:val="16"/>
        </w:rPr>
        <w:t>26 декабря 1935 г. О.Г. Кричак выполнил первый полёт для исследования трансфор</w:t>
      </w:r>
      <w:r w:rsidRPr="00E14102">
        <w:rPr>
          <w:color w:val="0070C0"/>
          <w:sz w:val="16"/>
          <w:szCs w:val="16"/>
        </w:rPr>
        <w:softHyphen/>
        <w:t>мации воздушных масс и суточного хода метео</w:t>
      </w:r>
      <w:r w:rsidRPr="00E14102">
        <w:rPr>
          <w:color w:val="0070C0"/>
          <w:sz w:val="16"/>
          <w:szCs w:val="16"/>
        </w:rPr>
        <w:softHyphen/>
        <w:t>рологических элементов в свободной атмосфере. Аэростат Славянского аэроклу</w:t>
      </w:r>
      <w:r w:rsidRPr="00E14102">
        <w:rPr>
          <w:color w:val="0070C0"/>
          <w:sz w:val="16"/>
          <w:szCs w:val="16"/>
        </w:rPr>
        <w:softHyphen/>
        <w:t>ба им. Прокофьева «СССР СР-4» (объём 640 м3) вылетел из города в 08.05 под управлением пи</w:t>
      </w:r>
      <w:r w:rsidRPr="00E14102">
        <w:rPr>
          <w:color w:val="0070C0"/>
          <w:sz w:val="16"/>
          <w:szCs w:val="16"/>
        </w:rPr>
        <w:softHyphen/>
        <w:t>лота аэроклуба К.А. Тарасова и в 16.30 опустился в районе с. Коломак Харьковской области. Полёт большей частью проходил над облаками на вы</w:t>
      </w:r>
      <w:r w:rsidRPr="00E14102">
        <w:rPr>
          <w:color w:val="0070C0"/>
          <w:sz w:val="16"/>
          <w:szCs w:val="16"/>
        </w:rPr>
        <w:softHyphen/>
        <w:t>соте 1000-1500 м. На парашютах сбросили 11 мо</w:t>
      </w:r>
      <w:r w:rsidRPr="00E14102">
        <w:rPr>
          <w:color w:val="0070C0"/>
          <w:sz w:val="16"/>
          <w:szCs w:val="16"/>
        </w:rPr>
        <w:softHyphen/>
        <w:t>дифицированных метеорографов (с ускоренным вращением барабана) системы П.А. Молчанова. Контрольные замеры велись анероидом-высото</w:t>
      </w:r>
      <w:r w:rsidRPr="00E14102">
        <w:rPr>
          <w:color w:val="0070C0"/>
          <w:sz w:val="16"/>
          <w:szCs w:val="16"/>
        </w:rPr>
        <w:softHyphen/>
        <w:t>мером и психрометром Ассмана. Сделали 12 фо</w:t>
      </w:r>
      <w:r w:rsidRPr="00E14102">
        <w:rPr>
          <w:color w:val="0070C0"/>
          <w:sz w:val="16"/>
          <w:szCs w:val="16"/>
        </w:rPr>
        <w:softHyphen/>
        <w:t>тоснимков облаков, оптических явлений и т.д.</w:t>
      </w:r>
    </w:p>
    <w:p w14:paraId="366EF63C" w14:textId="77777777" w:rsidR="003B3CE3" w:rsidRPr="00E14102" w:rsidRDefault="003B3CE3" w:rsidP="00E14102">
      <w:pPr>
        <w:jc w:val="both"/>
        <w:rPr>
          <w:color w:val="0070C0"/>
          <w:sz w:val="16"/>
          <w:szCs w:val="16"/>
        </w:rPr>
      </w:pPr>
      <w:r w:rsidRPr="00E14102">
        <w:rPr>
          <w:color w:val="0070C0"/>
          <w:sz w:val="16"/>
          <w:szCs w:val="16"/>
        </w:rPr>
        <w:t>Так как аэростат перемещался вместе с воз</w:t>
      </w:r>
      <w:r w:rsidRPr="00E14102">
        <w:rPr>
          <w:color w:val="0070C0"/>
          <w:sz w:val="16"/>
          <w:szCs w:val="16"/>
        </w:rPr>
        <w:softHyphen/>
        <w:t>душной массой, то представлялось возможным исключить влияние адвекции (горизонтального перемещения) на показания приборов и исследо</w:t>
      </w:r>
      <w:r w:rsidRPr="00E14102">
        <w:rPr>
          <w:color w:val="0070C0"/>
          <w:sz w:val="16"/>
          <w:szCs w:val="16"/>
        </w:rPr>
        <w:softHyphen/>
        <w:t>вать характеристики трансформации, получен</w:t>
      </w:r>
      <w:r w:rsidRPr="00E14102">
        <w:rPr>
          <w:color w:val="0070C0"/>
          <w:sz w:val="16"/>
          <w:szCs w:val="16"/>
        </w:rPr>
        <w:softHyphen/>
        <w:t>ные непосредственными измерениями, тогда как изучение трансформации воздушных масс по данным радиозондирования требовало отделе</w:t>
      </w:r>
      <w:r w:rsidRPr="00E14102">
        <w:rPr>
          <w:color w:val="0070C0"/>
          <w:sz w:val="16"/>
          <w:szCs w:val="16"/>
        </w:rPr>
        <w:softHyphen/>
        <w:t>ния адвекции от собственно трансформации, что не всегда было возможно (20120).</w:t>
      </w:r>
    </w:p>
    <w:p w14:paraId="59E925FA" w14:textId="77777777" w:rsidR="003B3CE3" w:rsidRPr="00E14102" w:rsidRDefault="003B3CE3" w:rsidP="00E14102">
      <w:pPr>
        <w:jc w:val="both"/>
        <w:rPr>
          <w:color w:val="0070C0"/>
          <w:sz w:val="16"/>
          <w:szCs w:val="16"/>
        </w:rPr>
      </w:pPr>
    </w:p>
    <w:p w14:paraId="06A0230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lastRenderedPageBreak/>
        <w:t>Другие оборонные отрасли:</w:t>
      </w:r>
    </w:p>
    <w:p w14:paraId="486D77DF" w14:textId="77777777" w:rsidR="00D4105E" w:rsidRPr="00E14102" w:rsidRDefault="00D4105E" w:rsidP="00E14102">
      <w:pPr>
        <w:autoSpaceDE w:val="0"/>
        <w:autoSpaceDN w:val="0"/>
        <w:adjustRightInd w:val="0"/>
        <w:jc w:val="both"/>
        <w:rPr>
          <w:iCs/>
          <w:color w:val="000000" w:themeColor="text1"/>
          <w:sz w:val="16"/>
          <w:szCs w:val="16"/>
        </w:rPr>
      </w:pPr>
    </w:p>
    <w:p w14:paraId="2A9C91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 декабря 1935 года был сдан в эксплуатацию железнодорожный-ремонтный завод, который в 1936 году получил название КЗЗЧ (Куйбышевский завод запасных частей) имени В.В.Куйбышева. На нем работало около двух тысяч человек. Выпускали паровозные и вагонные рессоры, буксы, оси, пружины. Это было первое промышленное предприятие Безымянки, которая к этому времени стала именоваться уже станцией. строительство завода «Сажерез» (Самарского железнодорожно-ремонтного завода) по производству запчастей для подвижного состава началось еще в 1914 году. Были заложены первые корпуса, построены вспомогательные помещения. Но в связи с началом Первой мировой войны и последующими революционными событиями строительство было заморожено. В августе 1932 года возобновилось строительство железнодорожно-ремонтного завода. В стройке участвовало около тысячи человек, в том числе (это было очень важно для того времени!) – 70 коммунистов и 55 комсомольцев. Работы шли по графику, утвержденному самарским горкомом ВКП(б), который объявил стройку ударной. В сентябре 1933 года городская партийная организация для «усиления» строительства завода направила еще 30 коммунистов и укрепила местную профсоюзную организацию (11878).</w:t>
      </w:r>
    </w:p>
    <w:p w14:paraId="5379A1FE" w14:textId="77777777" w:rsidR="00D4105E" w:rsidRPr="00E14102" w:rsidRDefault="00D4105E" w:rsidP="00E14102">
      <w:pPr>
        <w:autoSpaceDE w:val="0"/>
        <w:autoSpaceDN w:val="0"/>
        <w:adjustRightInd w:val="0"/>
        <w:jc w:val="both"/>
        <w:rPr>
          <w:color w:val="000000" w:themeColor="text1"/>
          <w:sz w:val="16"/>
          <w:szCs w:val="16"/>
        </w:rPr>
      </w:pPr>
    </w:p>
    <w:p w14:paraId="7C486DC7" w14:textId="77777777" w:rsidR="00952628" w:rsidRPr="00E14102" w:rsidRDefault="00952628" w:rsidP="00E14102">
      <w:pPr>
        <w:pStyle w:val="ad"/>
        <w:shd w:val="clear" w:color="auto" w:fill="FFFFFF"/>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26 декабря 1935 года завод Можерез, который строился с 1920, а затем с августа 1932 был сдан в эксплуатацию, в 1936 году он получил название КЗЗЧ (Куйбышевский завод запасных частей) имени В.В.Куйбышева. На нем работало около двух тысяч человек. Для них было построено около 50 бараков и несколько двухэтажных деревянных домов. А в 1937 году на Безымянке впервые появились 5 четырехэтажных многоквартирных домов и клуб завода «Сажерез». Завод выпускал паровозные и вагонные рессоры, буксы, оси, пружины. Это было первое промышленное предприятие Безымянки, которая к этому времени стала официально именоваться станцией (19827).</w:t>
      </w:r>
    </w:p>
    <w:p w14:paraId="01A869B3" w14:textId="77777777" w:rsidR="00952628" w:rsidRPr="00E14102" w:rsidRDefault="00952628" w:rsidP="00E14102">
      <w:pPr>
        <w:pStyle w:val="affb"/>
        <w:shd w:val="clear" w:color="auto" w:fill="FFFFFF"/>
        <w:spacing w:before="0" w:beforeAutospacing="0" w:after="0" w:afterAutospacing="0"/>
        <w:jc w:val="both"/>
        <w:rPr>
          <w:color w:val="000000" w:themeColor="text1"/>
          <w:sz w:val="16"/>
          <w:szCs w:val="16"/>
        </w:rPr>
      </w:pPr>
    </w:p>
    <w:p w14:paraId="34EBBBF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297A915" w14:textId="77777777" w:rsidR="00D4105E" w:rsidRPr="00E14102" w:rsidRDefault="00D4105E" w:rsidP="00E14102">
      <w:pPr>
        <w:autoSpaceDE w:val="0"/>
        <w:autoSpaceDN w:val="0"/>
        <w:adjustRightInd w:val="0"/>
        <w:jc w:val="both"/>
        <w:rPr>
          <w:iCs/>
          <w:color w:val="000000" w:themeColor="text1"/>
          <w:sz w:val="16"/>
          <w:szCs w:val="16"/>
        </w:rPr>
      </w:pPr>
    </w:p>
    <w:p w14:paraId="1F3E7D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Между 26 декабря 1935 и 1 января 1936. Протокол заседания Политбюро № 36, 1935 г.</w:t>
      </w:r>
    </w:p>
    <w:p w14:paraId="3B6585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 заметке в газете "Рабочая Москва" (от 23.12) под названием "В ночь на 1 января" </w:t>
      </w:r>
    </w:p>
    <w:p w14:paraId="40CF3D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Предложение т. Щура (начальнику Управления мер и весов) о переводе на один час часовой стрелки с 1 января 1936 года и изменении в связи с этим времени начала работы на предприятиях и учреждениях отвергнуть как совершенно несостоятельное, а т. Щуру объявить выговор за дачу в печать сведений об этом неуместном проекте. </w:t>
      </w:r>
    </w:p>
    <w:p w14:paraId="697142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Указать редакторам газет... на недопустимость помещения сообщений о проектах решений, внесенных на рассмотрение правительства, но не принятых правительством... (11652).</w:t>
      </w:r>
    </w:p>
    <w:p w14:paraId="39210511" w14:textId="77777777" w:rsidR="00D4105E" w:rsidRPr="00E14102" w:rsidRDefault="00D4105E" w:rsidP="00E14102">
      <w:pPr>
        <w:autoSpaceDE w:val="0"/>
        <w:autoSpaceDN w:val="0"/>
        <w:adjustRightInd w:val="0"/>
        <w:jc w:val="both"/>
        <w:rPr>
          <w:color w:val="000000" w:themeColor="text1"/>
          <w:sz w:val="16"/>
          <w:szCs w:val="16"/>
        </w:rPr>
      </w:pPr>
    </w:p>
    <w:p w14:paraId="42CC32E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EC94D3D" w14:textId="77777777" w:rsidR="00D4105E" w:rsidRPr="00E14102" w:rsidRDefault="00D4105E" w:rsidP="00E14102">
      <w:pPr>
        <w:autoSpaceDE w:val="0"/>
        <w:autoSpaceDN w:val="0"/>
        <w:adjustRightInd w:val="0"/>
        <w:jc w:val="both"/>
        <w:rPr>
          <w:iCs/>
          <w:color w:val="000000" w:themeColor="text1"/>
          <w:sz w:val="16"/>
          <w:szCs w:val="16"/>
        </w:rPr>
      </w:pPr>
    </w:p>
    <w:p w14:paraId="44630C98" w14:textId="77777777" w:rsidR="00F132DF" w:rsidRPr="00E14102" w:rsidRDefault="00F132DF" w:rsidP="00E14102">
      <w:pPr>
        <w:jc w:val="both"/>
        <w:rPr>
          <w:color w:val="0070C0"/>
          <w:sz w:val="16"/>
          <w:szCs w:val="16"/>
        </w:rPr>
      </w:pPr>
      <w:r w:rsidRPr="00E14102">
        <w:rPr>
          <w:color w:val="0070C0"/>
          <w:sz w:val="16"/>
          <w:szCs w:val="16"/>
        </w:rPr>
        <w:t>26 декабря 1935 генерал Родольфо Грациани просит разрешения у Бенито Муссолини использовать отравляющий газ против эфиопских войск. Он получает его, и в последние дни декабря итальянские самолеты начинают сбрасывать горчичный газ на эфиопские войска в районе реки Таккадзе и в деревне Джиджига. Итальянские самолеты будут сбрасывать отравляющий газ до конца войны и продолжать использовать его против эфиопских партизан после окончания войны (20800).</w:t>
      </w:r>
    </w:p>
    <w:p w14:paraId="26E70CA5" w14:textId="77777777" w:rsidR="00F132DF" w:rsidRPr="00E14102" w:rsidRDefault="00F132DF" w:rsidP="00E14102">
      <w:pPr>
        <w:jc w:val="both"/>
        <w:rPr>
          <w:color w:val="0070C0"/>
          <w:sz w:val="16"/>
          <w:szCs w:val="16"/>
        </w:rPr>
      </w:pPr>
    </w:p>
    <w:p w14:paraId="7BA4F30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26 декабря 1935 на Гавайских островах предпринята попытка остановить извержение вулкана авиабомбардировкой (4962).</w:t>
      </w:r>
    </w:p>
    <w:p w14:paraId="020C3388"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29218FB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79453BB" w14:textId="77777777" w:rsidR="00D4105E" w:rsidRPr="00E14102" w:rsidRDefault="00D4105E" w:rsidP="00E14102">
      <w:pPr>
        <w:autoSpaceDE w:val="0"/>
        <w:autoSpaceDN w:val="0"/>
        <w:adjustRightInd w:val="0"/>
        <w:jc w:val="both"/>
        <w:rPr>
          <w:iCs/>
          <w:color w:val="000000" w:themeColor="text1"/>
          <w:sz w:val="16"/>
          <w:szCs w:val="16"/>
        </w:rPr>
      </w:pPr>
    </w:p>
    <w:p w14:paraId="605CE0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декабря 1935 самолет ЗИГ-1 (ПС-89) потерпел катастрофу вследствие вибраций (бафтинга) стабилизатора. Под руководством А.Н. Туполева создавался пассажирский самолет ПС-35. Общими для них были максимально ужатые фюзеляжи в ущерб комфорту пассажиров. ПС-89 и ПС-35 по летно- техническим данным значительно уступали "Стали-7". Тем не менее машину Бартини построили в единственном экземпляре, а ПС-89 - в семи, не считая опытного образца. Что касается ПС-35, то их выпустили девять (включая опытный экзепляр). ПС-89 и ПС-35 можно было встретить в Аэрофлоте, в том числе и на международных авиалиниях, но недолго (11994).</w:t>
      </w:r>
    </w:p>
    <w:p w14:paraId="660B8E76" w14:textId="77777777" w:rsidR="00D4105E" w:rsidRPr="00E14102" w:rsidRDefault="00D4105E" w:rsidP="00E14102">
      <w:pPr>
        <w:autoSpaceDE w:val="0"/>
        <w:autoSpaceDN w:val="0"/>
        <w:adjustRightInd w:val="0"/>
        <w:jc w:val="both"/>
        <w:rPr>
          <w:color w:val="000000" w:themeColor="text1"/>
          <w:sz w:val="16"/>
          <w:szCs w:val="16"/>
        </w:rPr>
      </w:pPr>
    </w:p>
    <w:p w14:paraId="646532D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27 декабря 1935 г. было письмо от начальника РНИй И.Т.Клейменова и начальника 1 отдела Ю.А.Победоносцева началь</w:t>
      </w:r>
      <w:r w:rsidRPr="00E14102">
        <w:rPr>
          <w:color w:val="000000" w:themeColor="text1"/>
          <w:sz w:val="16"/>
          <w:szCs w:val="16"/>
        </w:rPr>
        <w:softHyphen/>
        <w:t>нику 5 отдела УВС РККА М.П.Пономареву: «Полу</w:t>
      </w:r>
      <w:r w:rsidRPr="00E14102">
        <w:rPr>
          <w:color w:val="000000" w:themeColor="text1"/>
          <w:sz w:val="16"/>
          <w:szCs w:val="16"/>
        </w:rPr>
        <w:softHyphen/>
        <w:t>ченные Вами сведения о том, что ракетные снаряды РС-245 якобы не выдержали испытаний, не соответствуют действительности. Испы</w:t>
      </w:r>
      <w:r w:rsidRPr="00E14102">
        <w:rPr>
          <w:color w:val="000000" w:themeColor="text1"/>
          <w:sz w:val="16"/>
          <w:szCs w:val="16"/>
        </w:rPr>
        <w:softHyphen/>
        <w:t>танный в этом году первый вариант снарядов дал вполне удовлетвори</w:t>
      </w:r>
      <w:r w:rsidRPr="00E14102">
        <w:rPr>
          <w:color w:val="000000" w:themeColor="text1"/>
          <w:sz w:val="16"/>
          <w:szCs w:val="16"/>
        </w:rPr>
        <w:softHyphen/>
        <w:t>тельные результаты. В январе 1936 г. будет испытан второй вариант боеприпаса, рассчитанный на большую дальность и скорость. В 1936 г. Артуправление планирует поручить РНИИ разработку 203-мм авиабомбы с дополнительной скоростью. Так как для этого потребуется организовать производство нового пороха, испытания первых образцов авиабомбы можно ожидать, в лучшем случае, в кон</w:t>
      </w:r>
      <w:r w:rsidRPr="00E14102">
        <w:rPr>
          <w:color w:val="000000" w:themeColor="text1"/>
          <w:sz w:val="16"/>
          <w:szCs w:val="16"/>
        </w:rPr>
        <w:softHyphen/>
        <w:t>це второго квартала 1936 г.</w:t>
      </w:r>
    </w:p>
    <w:p w14:paraId="195D14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Проектировать установку такого калибра до получения хотя бы ори</w:t>
      </w:r>
      <w:r w:rsidRPr="00E14102">
        <w:rPr>
          <w:color w:val="000000" w:themeColor="text1"/>
          <w:sz w:val="16"/>
          <w:szCs w:val="16"/>
        </w:rPr>
        <w:softHyphen/>
        <w:t>ентировочных опытных данных, явно нецелесообразно. В настоящее время уже закончено проектирование опытной установки на самолет ТБ-3 для стрельбы РС-245. Оно может быть изготовлено и смонтирова</w:t>
      </w:r>
      <w:r w:rsidRPr="00E14102">
        <w:rPr>
          <w:color w:val="000000" w:themeColor="text1"/>
          <w:sz w:val="16"/>
          <w:szCs w:val="16"/>
        </w:rPr>
        <w:softHyphen/>
        <w:t>но в течение 2-3 месяцев. Ввиду этого, совершенно нецелесообразно от</w:t>
      </w:r>
      <w:r w:rsidRPr="00E14102">
        <w:rPr>
          <w:color w:val="000000" w:themeColor="text1"/>
          <w:sz w:val="16"/>
          <w:szCs w:val="16"/>
        </w:rPr>
        <w:softHyphen/>
        <w:t>кладывать испытания самолета ТБ-3 до отработки нового снаряда.</w:t>
      </w:r>
    </w:p>
    <w:p w14:paraId="22ED8E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После получения опытных данных по отстрелу РС-245, переход к но</w:t>
      </w:r>
      <w:r w:rsidRPr="00E14102">
        <w:rPr>
          <w:color w:val="000000" w:themeColor="text1"/>
          <w:sz w:val="16"/>
          <w:szCs w:val="16"/>
        </w:rPr>
        <w:softHyphen/>
        <w:t>вому калибру не представит каких-либо затруднений. Институт предла</w:t>
      </w:r>
      <w:r w:rsidRPr="00E14102">
        <w:rPr>
          <w:color w:val="000000" w:themeColor="text1"/>
          <w:sz w:val="16"/>
          <w:szCs w:val="16"/>
        </w:rPr>
        <w:softHyphen/>
        <w:t>гает теперь же приступить к изготовлению орудийной установки по ч ка</w:t>
      </w:r>
      <w:r w:rsidRPr="00E14102">
        <w:rPr>
          <w:color w:val="000000" w:themeColor="text1"/>
          <w:sz w:val="16"/>
          <w:szCs w:val="16"/>
        </w:rPr>
        <w:softHyphen/>
        <w:t>либр 245 мм. С этим же калибром провести испытания стрельбой» (11402).</w:t>
      </w:r>
    </w:p>
    <w:p w14:paraId="0E8383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65F81BA" w14:textId="77777777" w:rsidR="00C4639C" w:rsidRPr="00E14102" w:rsidRDefault="00C4639C" w:rsidP="00E14102">
      <w:pPr>
        <w:pStyle w:val="rtejustify"/>
        <w:spacing w:before="0" w:after="0"/>
        <w:rPr>
          <w:color w:val="000000" w:themeColor="text1"/>
          <w:sz w:val="16"/>
          <w:szCs w:val="16"/>
        </w:rPr>
      </w:pPr>
      <w:r w:rsidRPr="00E14102">
        <w:rPr>
          <w:rStyle w:val="a6"/>
          <w:bCs/>
          <w:i w:val="0"/>
          <w:color w:val="000000" w:themeColor="text1"/>
          <w:sz w:val="16"/>
          <w:szCs w:val="16"/>
        </w:rPr>
        <w:t>27 декабря 1935 вышел приказ НКТП № 203с.</w:t>
      </w:r>
      <w:r w:rsidRPr="00E14102">
        <w:rPr>
          <w:color w:val="000000" w:themeColor="text1"/>
          <w:sz w:val="16"/>
          <w:szCs w:val="16"/>
        </w:rPr>
        <w:t xml:space="preserve"> О мероприятиях по обеспечению авиационной промышленности стальными поковками в 1936 г. (РГАЭ. Ф. 7297. Оп. 28. Д. 248. Л. 9) (15246).</w:t>
      </w:r>
    </w:p>
    <w:p w14:paraId="79009C67" w14:textId="77777777" w:rsidR="00C4639C" w:rsidRPr="00E14102" w:rsidRDefault="00C4639C" w:rsidP="00E14102">
      <w:pPr>
        <w:pStyle w:val="rtejustify"/>
        <w:spacing w:before="0" w:after="0"/>
        <w:rPr>
          <w:color w:val="000000" w:themeColor="text1"/>
          <w:sz w:val="16"/>
          <w:szCs w:val="16"/>
        </w:rPr>
      </w:pPr>
    </w:p>
    <w:p w14:paraId="277D0179" w14:textId="77777777" w:rsidR="00C4639C" w:rsidRPr="00E14102" w:rsidRDefault="00C4639C" w:rsidP="00E14102">
      <w:pPr>
        <w:pStyle w:val="rtejustify"/>
        <w:spacing w:before="0" w:after="0"/>
        <w:rPr>
          <w:color w:val="000000" w:themeColor="text1"/>
          <w:sz w:val="16"/>
          <w:szCs w:val="16"/>
        </w:rPr>
      </w:pPr>
      <w:r w:rsidRPr="00E14102">
        <w:rPr>
          <w:rStyle w:val="a6"/>
          <w:bCs/>
          <w:i w:val="0"/>
          <w:color w:val="000000" w:themeColor="text1"/>
          <w:sz w:val="16"/>
          <w:szCs w:val="16"/>
        </w:rPr>
        <w:t>27 декабря 1935 вышел приказ НКТП № 204с.</w:t>
      </w:r>
      <w:r w:rsidRPr="00E14102">
        <w:rPr>
          <w:color w:val="000000" w:themeColor="text1"/>
          <w:sz w:val="16"/>
          <w:szCs w:val="16"/>
        </w:rPr>
        <w:t xml:space="preserve"> Об обеспечении работы завода № 19 им. Сталина в 1936 г. и заданиях другим предприятиям НКТП СССР. (РГАЭ. Ф. 7297. Оп. 38. Д. 248. Л. 15) (15246).</w:t>
      </w:r>
    </w:p>
    <w:p w14:paraId="01AE41B9" w14:textId="77777777" w:rsidR="00C4639C" w:rsidRPr="00E14102" w:rsidRDefault="00C4639C" w:rsidP="00E14102">
      <w:pPr>
        <w:pStyle w:val="rtejustify"/>
        <w:spacing w:before="0" w:after="0"/>
        <w:rPr>
          <w:color w:val="000000" w:themeColor="text1"/>
          <w:sz w:val="16"/>
          <w:szCs w:val="16"/>
        </w:rPr>
      </w:pPr>
    </w:p>
    <w:p w14:paraId="151C039E" w14:textId="77777777" w:rsidR="00C4639C" w:rsidRPr="00E14102" w:rsidRDefault="00C4639C" w:rsidP="00E14102">
      <w:pPr>
        <w:shd w:val="clear" w:color="auto" w:fill="FFFFFF"/>
        <w:jc w:val="both"/>
        <w:rPr>
          <w:color w:val="000000" w:themeColor="text1"/>
          <w:sz w:val="16"/>
          <w:szCs w:val="16"/>
        </w:rPr>
      </w:pPr>
      <w:r w:rsidRPr="00E14102">
        <w:rPr>
          <w:bCs/>
          <w:iCs/>
          <w:color w:val="000000" w:themeColor="text1"/>
          <w:sz w:val="16"/>
          <w:szCs w:val="16"/>
        </w:rPr>
        <w:t>27 декабря 1935 г.</w:t>
      </w:r>
      <w:r w:rsidRPr="00E14102">
        <w:rPr>
          <w:color w:val="000000" w:themeColor="text1"/>
          <w:sz w:val="16"/>
          <w:szCs w:val="16"/>
        </w:rPr>
        <w:t xml:space="preserve"> Приказ наркома обороны СССР К.Е.Ворошилова о передаче химического вооружения самолетов, в том числе вопросов разработки образцов химического вооружения (ВАПов, ДАПов, ампульных кассет) и внедрения их в войска, из ХИМУ РККА в Управление ВВС РККА (17133).</w:t>
      </w:r>
    </w:p>
    <w:p w14:paraId="6EC37AB9" w14:textId="77777777" w:rsidR="00C4639C" w:rsidRPr="00E14102" w:rsidRDefault="00C4639C" w:rsidP="00E14102">
      <w:pPr>
        <w:shd w:val="clear" w:color="auto" w:fill="FFFFFF"/>
        <w:jc w:val="both"/>
        <w:rPr>
          <w:color w:val="000000" w:themeColor="text1"/>
          <w:sz w:val="16"/>
          <w:szCs w:val="16"/>
        </w:rPr>
      </w:pPr>
    </w:p>
    <w:p w14:paraId="5C47F0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27 декабря 1935 г. готовые ТРС-60Т начальник мастерских РНИИ Надеждин, старший контрольный мастер РНИИ Шатыгин и ин</w:t>
      </w:r>
      <w:r w:rsidRPr="00E14102">
        <w:rPr>
          <w:color w:val="000000" w:themeColor="text1"/>
          <w:sz w:val="16"/>
          <w:szCs w:val="16"/>
        </w:rPr>
        <w:softHyphen/>
        <w:t>женер 1 отдела РНИИ М.Б.Новиков сдали военпреду АУ РККА Мерку</w:t>
      </w:r>
      <w:r w:rsidRPr="00E14102">
        <w:rPr>
          <w:color w:val="000000" w:themeColor="text1"/>
          <w:sz w:val="16"/>
          <w:szCs w:val="16"/>
        </w:rPr>
        <w:softHyphen/>
        <w:t>лову. Орудие модели 101800 для стрельбы оперенными 60-мм ракетными снарядами не удовлетворило заказчиков «в смысле его направляемое ги без наличия устанавливающих приборов». То есть, его практически не</w:t>
      </w:r>
      <w:r w:rsidRPr="00E14102">
        <w:rPr>
          <w:color w:val="000000" w:themeColor="text1"/>
          <w:sz w:val="16"/>
          <w:szCs w:val="16"/>
        </w:rPr>
        <w:softHyphen/>
        <w:t>возможно было нацелить строго в зенит. В итоге прежнее ракетное ору</w:t>
      </w:r>
      <w:r w:rsidRPr="00E14102">
        <w:rPr>
          <w:color w:val="000000" w:themeColor="text1"/>
          <w:sz w:val="16"/>
          <w:szCs w:val="16"/>
        </w:rPr>
        <w:softHyphen/>
        <w:t>дие модели 102200 дополнили контрольным шаровым уровнем (11402).</w:t>
      </w:r>
    </w:p>
    <w:p w14:paraId="4ED43BF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F0D56FC" w14:textId="77777777" w:rsidR="00D4105E" w:rsidRPr="00E14102" w:rsidRDefault="004B7965" w:rsidP="00E14102">
      <w:pPr>
        <w:shd w:val="clear" w:color="auto" w:fill="FFFFFF"/>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7DCEDCBB" w14:textId="77777777" w:rsidR="00D4105E" w:rsidRPr="00E14102" w:rsidRDefault="00D4105E" w:rsidP="00E14102">
      <w:pPr>
        <w:shd w:val="clear" w:color="auto" w:fill="FFFFFF"/>
        <w:autoSpaceDE w:val="0"/>
        <w:autoSpaceDN w:val="0"/>
        <w:adjustRightInd w:val="0"/>
        <w:jc w:val="both"/>
        <w:rPr>
          <w:iCs/>
          <w:color w:val="000000" w:themeColor="text1"/>
          <w:sz w:val="16"/>
          <w:szCs w:val="16"/>
        </w:rPr>
      </w:pPr>
    </w:p>
    <w:p w14:paraId="03F6F4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 декабря 1935 г. было подготовлено сообщение № 57976</w:t>
      </w:r>
    </w:p>
    <w:p w14:paraId="340756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СЕКРЕТАРЮ ЦК ВКП (Б)</w:t>
      </w:r>
    </w:p>
    <w:p w14:paraId="189380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тов. Сталину</w:t>
      </w:r>
    </w:p>
    <w:p w14:paraId="6DA964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последнее время отмечается значительно возросшая активность польской разведки, выражающаяся в усиленной переброске разведывательной и диверсионной агентуры на советскую территорию.</w:t>
      </w:r>
    </w:p>
    <w:p w14:paraId="167477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дополнение к ранее сообщенным данным о задержаниях польской агентуры на Белоруссии (сообщено в ЦК ВКП (б) за № 57745, от 4 декабря с. г.), НКВД БССР за последние дни вновь ликвидирован ряд крупных агентов польской разведки, прибывших нелегально из Польши:</w:t>
      </w:r>
    </w:p>
    <w:p w14:paraId="0D2B67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В районе 17 пограничного (Слуцкое направление), при попытке ухода в Польшу, задержан неизвестный в красноармейском обмундировании (без петлиц), отказавшийся первоначально себя назвать.</w:t>
      </w:r>
    </w:p>
    <w:p w14:paraId="5535E2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задержанном изъяты хранившиеся в полевой сумке многочисленные шпионские сведения и документальные данные о частях РККА Смоленского гарнизона, а также два фиктивных советских паспорта.</w:t>
      </w:r>
    </w:p>
    <w:p w14:paraId="0F316E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 числа обнаруженных шпионских сведений заслуживают особого внимания:</w:t>
      </w:r>
    </w:p>
    <w:p w14:paraId="76579C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Чертежи танка “Б-Т”;</w:t>
      </w:r>
    </w:p>
    <w:p w14:paraId="1A1E81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Чертежи пороховых погребов;</w:t>
      </w:r>
    </w:p>
    <w:p w14:paraId="1F5CE9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Данные о производстве запасных частей к пулеметам, танкам и самолетам на заводе №35 в Смоленске;</w:t>
      </w:r>
    </w:p>
    <w:p w14:paraId="4A7491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Дислокация и подробное месторасположение танковых, авиационных частей, аэродромов и окружных огнескладов по Смоленскому и Ржевскому гарнизонам, с описанием военных гаражей и ряд других данных о военном строительстве Белорусского военного округа.</w:t>
      </w:r>
    </w:p>
    <w:p w14:paraId="74FDF8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Следствием установлено, что задержанный является уроженцем гор. Сосновец (Польша) – Скшековским Адамом Станиславовичем.</w:t>
      </w:r>
    </w:p>
    <w:p w14:paraId="4E22A2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Скшековский сознался, что является агентом Столпецкой разведывательной пляцувки и что в СССР он направлен в октябре с. г. с заданием осесть в Смоленске, где организовать разведывательную резидентуру. Переброске его в СССР предшествовало прохождение им специальной разведывательной школы в Польше.</w:t>
      </w:r>
    </w:p>
    <w:p w14:paraId="21D251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время пребывания в Смоленске (около двух месяцев), Скшековский сменил три квартиры. На одной из квартир обыском обнаружен и изъят портативный фотоаппарат и фотопринадлежности, которым он фотографировал военные объекты. На другой квартире изъято кодированное письмо на имя Ибрагимова (под этой фамилией Скшековский скрывался в Смоленске), в котором ему предлагается от имени разведки оставаться в Смоленске и продолжать работу. Письмо датировано 8 декабрем.</w:t>
      </w:r>
    </w:p>
    <w:p w14:paraId="1C885E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Находясь в Смоленске, Скшековский установил связь со следующими лицами, от которых он получал в личных беседах интересующие его секретные данные о частях РККА:</w:t>
      </w:r>
    </w:p>
    <w:p w14:paraId="368F45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Семякин – электромеханик 5-й авиабригады (сверхсрочник, беспартийный);</w:t>
      </w:r>
    </w:p>
    <w:p w14:paraId="316F8C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Васин – кладовщик военного госпиталя, беспартийный;</w:t>
      </w:r>
    </w:p>
    <w:p w14:paraId="1F7C67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Рачков – рабочий завода “Цудоргранса” им. Калинина, беспартийный;</w:t>
      </w:r>
    </w:p>
    <w:p w14:paraId="029EA2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Камтович – санитарка военного госпиталя, беспартийная.</w:t>
      </w:r>
    </w:p>
    <w:p w14:paraId="1AD7C2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перечисленные лица арестованы и в сообщении Скшековскому секретных данных по Смоленскому гарнизону сознались.</w:t>
      </w:r>
    </w:p>
    <w:p w14:paraId="6259EF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21-го декабря с. г. на участке 18 пограничного отряда (Мозырьское направление), в 500 метрах от границы, сторожевым нарядом был обнаружен неизвестный в белом маскированном халате, двигавшийся в тыл. При попытке задержания неизвестный отстреливался и в перестрелке был убит. При убитом обнаружены: карабин с 20 патронами, наган с 5 патронами, карманный электрический фонарь польского происхождения и иодоформ, применяемый обычно агентурой для засыпки следов против преследования их розыскными собаками.</w:t>
      </w:r>
    </w:p>
    <w:p w14:paraId="2F3D1A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предварительным данным, убитый является видным польским диверсантом Олешко, неоднократно совершавшим по заданиям польской разведки вооруженные переходы на советскую территорию.</w:t>
      </w:r>
    </w:p>
    <w:p w14:paraId="561BA6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В районе 15-го пограничного отряда (Минское направление) задержан при переходе из Польши агент Вилейской разведывательной пляцувки Янушко Евгений. Установлено, что Янушко еще в 1931 г. пытался нелегально проникнуть в СССР, но был задержан на нашей территории и выдворен в Польшу.</w:t>
      </w:r>
    </w:p>
    <w:p w14:paraId="7DDAEB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Янушко сознался, что с 1925 г. является внутренним агентом политической полиции и что в 1931 г. он направлялся в СССР по заданиям политической полиции. После выдворения из СССР в Польшу, Янушко был помещен по заданиям полиции в Виленскую тюрьму, для освещения и разработки политических заключенных.</w:t>
      </w:r>
    </w:p>
    <w:p w14:paraId="5293FA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1933 г. Янушко был освобожден из тюрьмы для освещения деятельности коммунистических организаций; за время работы в полиции, он провалил ряд ячеек коммунистической партии Западной Белоруссии.</w:t>
      </w:r>
    </w:p>
    <w:p w14:paraId="120F05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ноябре 1935 г. Янушко, как проверенный и квалифицированный агент был передан политической полиции для дальнейшего использования в Вилейскую разведывательную пляцувку.</w:t>
      </w:r>
    </w:p>
    <w:p w14:paraId="6540EC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Янушко направлялся в СССР с заданиями: осесть в Харькове, где устроится рабочим на Харьковском тракторном заводе. В котельном цехе ХТЗ Янушко должен был создать диверсионную группу с задачей произвести диверсионный акт (путем взрыва или поджога), для вывода завода из строя.</w:t>
      </w:r>
    </w:p>
    <w:p w14:paraId="06ACC1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времени совершения диверсионного акта Янушко должен был получить специальное указание через курьера, который будет направлен к нему разведкой.</w:t>
      </w:r>
    </w:p>
    <w:p w14:paraId="2C82AB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В районе 17 пограничного отряда (Соуцкое направление) задержан при перехода из Польши агент Лунинецкой разведывательной пляцувки Пашкевич Антон.</w:t>
      </w:r>
    </w:p>
    <w:p w14:paraId="2C0B9F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Пашкевич сознался, что в СССР он направлен для восстановления в Слуцком районе связей видного польского диверсанта Занкевича, разгромленных в 1933-34 г.г.</w:t>
      </w:r>
    </w:p>
    <w:p w14:paraId="54E1E0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Следует отметить, что в 1930 г. Пашкевич использовался центральной техникой коммунистической партии Западной Белоруссии в качестве проносчика партийной литературы.</w:t>
      </w:r>
    </w:p>
    <w:p w14:paraId="785F6D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районе 15 пограничного отряда (Минское направление) при переходе из Польши задержан агент Вилейской разведывательной пляцувки Сокол Николай, бежавший в ноябре с. г. в Польшу из Заславльского района (БССР).</w:t>
      </w:r>
    </w:p>
    <w:p w14:paraId="000A3D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Сокол сознался, что в СССР он направлен в качестве вербовщика и для сбора шпионских сведений по приграничным районам.</w:t>
      </w:r>
    </w:p>
    <w:p w14:paraId="23E253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Народный Комиссар Внутренних дел СССР Ягода </w:t>
      </w:r>
    </w:p>
    <w:p w14:paraId="3CA5D4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АП РФ, ф.3, оп.58, д.248, лл.80-84 (11462).</w:t>
      </w:r>
    </w:p>
    <w:p w14:paraId="40E69F61" w14:textId="25539C6F" w:rsidR="00D4105E" w:rsidRPr="00E14102" w:rsidRDefault="00D4105E" w:rsidP="00E14102">
      <w:pPr>
        <w:autoSpaceDE w:val="0"/>
        <w:autoSpaceDN w:val="0"/>
        <w:adjustRightInd w:val="0"/>
        <w:jc w:val="both"/>
        <w:rPr>
          <w:color w:val="000000" w:themeColor="text1"/>
          <w:sz w:val="16"/>
          <w:szCs w:val="16"/>
        </w:rPr>
      </w:pPr>
    </w:p>
    <w:p w14:paraId="13A50ED7" w14:textId="3CEB22D7" w:rsidR="00F132DF" w:rsidRPr="00E14102" w:rsidRDefault="00F132DF" w:rsidP="00E14102">
      <w:pPr>
        <w:autoSpaceDE w:val="0"/>
        <w:autoSpaceDN w:val="0"/>
        <w:adjustRightInd w:val="0"/>
        <w:jc w:val="both"/>
        <w:rPr>
          <w:i/>
          <w:iCs/>
          <w:color w:val="000000" w:themeColor="text1"/>
          <w:sz w:val="16"/>
          <w:szCs w:val="16"/>
        </w:rPr>
      </w:pPr>
      <w:r w:rsidRPr="00E14102">
        <w:rPr>
          <w:i/>
          <w:iCs/>
          <w:color w:val="000000" w:themeColor="text1"/>
          <w:sz w:val="16"/>
          <w:szCs w:val="16"/>
        </w:rPr>
        <w:t>За рубежом:</w:t>
      </w:r>
    </w:p>
    <w:p w14:paraId="618648CE" w14:textId="77777777" w:rsidR="00F132DF" w:rsidRPr="00E14102" w:rsidRDefault="00F132DF" w:rsidP="00E14102">
      <w:pPr>
        <w:autoSpaceDE w:val="0"/>
        <w:autoSpaceDN w:val="0"/>
        <w:adjustRightInd w:val="0"/>
        <w:jc w:val="both"/>
        <w:rPr>
          <w:i/>
          <w:iCs/>
          <w:color w:val="000000" w:themeColor="text1"/>
          <w:sz w:val="16"/>
          <w:szCs w:val="16"/>
        </w:rPr>
      </w:pPr>
    </w:p>
    <w:p w14:paraId="03C20F13" w14:textId="77777777" w:rsidR="00F132DF" w:rsidRPr="00E14102" w:rsidRDefault="00F132DF" w:rsidP="00E14102">
      <w:pPr>
        <w:jc w:val="both"/>
        <w:rPr>
          <w:color w:val="0070C0"/>
          <w:sz w:val="16"/>
          <w:szCs w:val="16"/>
        </w:rPr>
      </w:pPr>
      <w:r w:rsidRPr="00E14102">
        <w:rPr>
          <w:color w:val="0070C0"/>
          <w:sz w:val="16"/>
          <w:szCs w:val="16"/>
        </w:rPr>
        <w:t>27 декабря 1935 бомбардировщики армейского авиакорпуса США с территории Уиллер-Филд бомбят лавовые трубы, чтобы отвести поток лавы от Мауна-Лоа, угрожающий Хило, Гавайи . Бомбардировка ВМС США ведется с самолета – амфибии (20800).</w:t>
      </w:r>
    </w:p>
    <w:p w14:paraId="46C8EDB2" w14:textId="77777777" w:rsidR="00F132DF" w:rsidRPr="00E14102" w:rsidRDefault="00F132DF" w:rsidP="00E14102">
      <w:pPr>
        <w:jc w:val="both"/>
        <w:rPr>
          <w:color w:val="0070C0"/>
          <w:sz w:val="16"/>
          <w:szCs w:val="16"/>
        </w:rPr>
      </w:pPr>
    </w:p>
    <w:p w14:paraId="6A7D1BCF"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CA0D0A7" w14:textId="77777777" w:rsidR="00D4105E" w:rsidRPr="00E14102" w:rsidRDefault="00D4105E" w:rsidP="00E14102">
      <w:pPr>
        <w:autoSpaceDE w:val="0"/>
        <w:autoSpaceDN w:val="0"/>
        <w:adjustRightInd w:val="0"/>
        <w:jc w:val="both"/>
        <w:rPr>
          <w:iCs/>
          <w:color w:val="000000" w:themeColor="text1"/>
          <w:sz w:val="16"/>
          <w:szCs w:val="16"/>
        </w:rPr>
      </w:pPr>
    </w:p>
    <w:p w14:paraId="20718B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декабря 1935 состоялся опытный полет с переливом топлива из ТБ-3 (АНТ-6) в И-16 по системе инженера А.К.Запанованного. Шланг соединял летчик истребителя рукой. Участвовали л НИИ ВВС к Курбан, Соколов и ст. л Брагин и Евсеев (438,702).</w:t>
      </w:r>
    </w:p>
    <w:p w14:paraId="3F03AE36" w14:textId="77777777" w:rsidR="00D4105E" w:rsidRPr="00E14102" w:rsidRDefault="00D4105E" w:rsidP="00E14102">
      <w:pPr>
        <w:autoSpaceDE w:val="0"/>
        <w:autoSpaceDN w:val="0"/>
        <w:adjustRightInd w:val="0"/>
        <w:jc w:val="both"/>
        <w:rPr>
          <w:color w:val="000000" w:themeColor="text1"/>
          <w:sz w:val="16"/>
          <w:szCs w:val="16"/>
        </w:rPr>
      </w:pPr>
    </w:p>
    <w:p w14:paraId="0B3F2F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декабря 1935 ГУАП писал Нач. отдела Инотехпомощи Соловьеву (копия Нач. Мот. отдела Алмазову) письмо N 120/2175с о том, что в соответствии с планом опытного строительства требуется 32 мотора К-14 Гном-Рон, в т.ч. ЦАГИ - 19, заводу 39 - 8, СКБ Григоровича - 2, Зав. 18 Калинину - 2, Заводу 1 - 1 (2336,51).</w:t>
      </w:r>
    </w:p>
    <w:p w14:paraId="120D1757" w14:textId="77777777" w:rsidR="00D4105E" w:rsidRPr="00E14102" w:rsidRDefault="00D4105E" w:rsidP="00E14102">
      <w:pPr>
        <w:autoSpaceDE w:val="0"/>
        <w:autoSpaceDN w:val="0"/>
        <w:adjustRightInd w:val="0"/>
        <w:jc w:val="both"/>
        <w:rPr>
          <w:color w:val="000000" w:themeColor="text1"/>
          <w:sz w:val="16"/>
          <w:szCs w:val="16"/>
        </w:rPr>
      </w:pPr>
    </w:p>
    <w:p w14:paraId="1B452B0A" w14:textId="77777777" w:rsidR="00C4639C" w:rsidRPr="00E14102" w:rsidRDefault="00C4639C" w:rsidP="00E14102">
      <w:pPr>
        <w:pStyle w:val="rtejustify"/>
        <w:spacing w:before="0" w:after="0"/>
        <w:rPr>
          <w:color w:val="000000" w:themeColor="text1"/>
          <w:sz w:val="16"/>
          <w:szCs w:val="16"/>
        </w:rPr>
      </w:pPr>
      <w:r w:rsidRPr="00E14102">
        <w:rPr>
          <w:rStyle w:val="a6"/>
          <w:bCs/>
          <w:i w:val="0"/>
          <w:color w:val="000000" w:themeColor="text1"/>
          <w:sz w:val="16"/>
          <w:szCs w:val="16"/>
        </w:rPr>
        <w:t>28 декабря</w:t>
      </w:r>
      <w:r w:rsidRPr="00E14102">
        <w:rPr>
          <w:color w:val="000000" w:themeColor="text1"/>
          <w:sz w:val="16"/>
          <w:szCs w:val="16"/>
        </w:rPr>
        <w:t xml:space="preserve"> 1935. Постановление СНК СССР № С</w:t>
      </w:r>
      <w:r w:rsidRPr="00E14102">
        <w:rPr>
          <w:color w:val="000000" w:themeColor="text1"/>
          <w:sz w:val="16"/>
          <w:szCs w:val="16"/>
        </w:rPr>
        <w:noBreakHyphen/>
        <w:t>52с «Об отпуске средств на покрытие убытков авиапромышленности». (ГА РФ. Ф. Р</w:t>
      </w:r>
      <w:r w:rsidRPr="00E14102">
        <w:rPr>
          <w:color w:val="000000" w:themeColor="text1"/>
          <w:sz w:val="16"/>
          <w:szCs w:val="16"/>
        </w:rPr>
        <w:noBreakHyphen/>
        <w:t>8418. Оп. 28. Д. 17. Л. 120) (15460).</w:t>
      </w:r>
    </w:p>
    <w:p w14:paraId="4790EE95" w14:textId="77777777" w:rsidR="00C4639C" w:rsidRPr="00E14102" w:rsidRDefault="00C4639C" w:rsidP="00E14102">
      <w:pPr>
        <w:pStyle w:val="rtejustify"/>
        <w:spacing w:before="0" w:after="0"/>
        <w:rPr>
          <w:color w:val="000000" w:themeColor="text1"/>
          <w:sz w:val="16"/>
          <w:szCs w:val="16"/>
        </w:rPr>
      </w:pPr>
    </w:p>
    <w:p w14:paraId="1E1D9C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декабря 1935 года постановление № С-52с СНК</w:t>
      </w:r>
    </w:p>
    <w:p w14:paraId="71115F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 отпуске средств на покрытие убытков авиапромышленности</w:t>
      </w:r>
    </w:p>
    <w:p w14:paraId="428243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СНК постановляет:</w:t>
      </w:r>
    </w:p>
    <w:p w14:paraId="1A58CB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Отпустить дополнительно к ранее отпущенным 40 млн. рублей согласно постановления СТО от 2 декабря 1935 года, на покрытие убытков авиапромышленности НКТП 15 млн. рублей из резервного фонда СНК.</w:t>
      </w:r>
    </w:p>
    <w:p w14:paraId="5B8E59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(Вопрос решен постановлением СТО № ОК-3сс "О работе авиапромышленности" (см. д. № 240/6 – 1936 г.) и постановление СТО № ОК-4сс "План опытного строительства авиации" (см. д. № 210-4 – 1936 г.) (3475,2).</w:t>
      </w:r>
    </w:p>
    <w:p w14:paraId="7F0787AC" w14:textId="77777777" w:rsidR="00D4105E" w:rsidRPr="00E14102" w:rsidRDefault="00D4105E" w:rsidP="00E14102">
      <w:pPr>
        <w:autoSpaceDE w:val="0"/>
        <w:autoSpaceDN w:val="0"/>
        <w:adjustRightInd w:val="0"/>
        <w:jc w:val="both"/>
        <w:rPr>
          <w:color w:val="000000" w:themeColor="text1"/>
          <w:sz w:val="16"/>
          <w:szCs w:val="16"/>
        </w:rPr>
      </w:pPr>
    </w:p>
    <w:p w14:paraId="5EECBC7B" w14:textId="77777777" w:rsidR="00C4639C" w:rsidRPr="00E14102" w:rsidRDefault="004B7965" w:rsidP="00E14102">
      <w:pPr>
        <w:shd w:val="clear" w:color="auto" w:fill="FFFFFF"/>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B07A336" w14:textId="77777777" w:rsidR="00C4639C" w:rsidRPr="00E14102" w:rsidRDefault="00C4639C" w:rsidP="00E14102">
      <w:pPr>
        <w:shd w:val="clear" w:color="auto" w:fill="FFFFFF"/>
        <w:autoSpaceDE w:val="0"/>
        <w:autoSpaceDN w:val="0"/>
        <w:adjustRightInd w:val="0"/>
        <w:jc w:val="both"/>
        <w:rPr>
          <w:iCs/>
          <w:color w:val="000000" w:themeColor="text1"/>
          <w:sz w:val="16"/>
          <w:szCs w:val="16"/>
        </w:rPr>
      </w:pPr>
    </w:p>
    <w:p w14:paraId="2F0D11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 декабря 1935 г. в Комиссию Обороны поступило спецсообщение ЭКУ НКВД «О неудовлетворительной постановке учета, охраны деталей и готовой военной продукции на Тульском оружейном заводе» (1566,106).</w:t>
      </w:r>
    </w:p>
    <w:p w14:paraId="23522A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23B39F6" w14:textId="77777777" w:rsidR="006161A5"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552B5E6B" w14:textId="77777777" w:rsidR="006161A5" w:rsidRPr="00E14102" w:rsidRDefault="006161A5" w:rsidP="00E14102">
      <w:pPr>
        <w:autoSpaceDE w:val="0"/>
        <w:autoSpaceDN w:val="0"/>
        <w:adjustRightInd w:val="0"/>
        <w:jc w:val="both"/>
        <w:rPr>
          <w:iCs/>
          <w:color w:val="000000" w:themeColor="text1"/>
          <w:sz w:val="16"/>
          <w:szCs w:val="16"/>
        </w:rPr>
      </w:pPr>
    </w:p>
    <w:p w14:paraId="7BD216B8" w14:textId="77777777" w:rsidR="00C4639C" w:rsidRPr="00E14102" w:rsidRDefault="00C4639C" w:rsidP="00E14102">
      <w:pPr>
        <w:shd w:val="clear" w:color="auto" w:fill="FFFFFF"/>
        <w:jc w:val="both"/>
        <w:rPr>
          <w:color w:val="000000" w:themeColor="text1"/>
          <w:sz w:val="16"/>
          <w:szCs w:val="16"/>
        </w:rPr>
      </w:pPr>
      <w:r w:rsidRPr="00E14102">
        <w:rPr>
          <w:bCs/>
          <w:iCs/>
          <w:color w:val="000000" w:themeColor="text1"/>
          <w:sz w:val="16"/>
          <w:szCs w:val="16"/>
        </w:rPr>
        <w:t>28 декабря 1935 г.</w:t>
      </w:r>
      <w:r w:rsidRPr="00E14102">
        <w:rPr>
          <w:color w:val="000000" w:themeColor="text1"/>
          <w:sz w:val="16"/>
          <w:szCs w:val="16"/>
        </w:rPr>
        <w:t xml:space="preserve"> Приказ наркома обороны СССР К.Е.Ворошилова «</w:t>
      </w:r>
      <w:r w:rsidRPr="00E14102">
        <w:rPr>
          <w:iCs/>
          <w:color w:val="000000" w:themeColor="text1"/>
          <w:sz w:val="16"/>
          <w:szCs w:val="16"/>
        </w:rPr>
        <w:t>Об итогах боевой подготовки РККА за 1935 и задачах на 1936 год</w:t>
      </w:r>
      <w:r w:rsidRPr="00E14102">
        <w:rPr>
          <w:color w:val="000000" w:themeColor="text1"/>
          <w:sz w:val="16"/>
          <w:szCs w:val="16"/>
        </w:rPr>
        <w:t>». В числе одной из наиболее важных задач химической подготовки РККА приказано отработать «</w:t>
      </w:r>
      <w:r w:rsidRPr="00E14102">
        <w:rPr>
          <w:iCs/>
          <w:color w:val="000000" w:themeColor="text1"/>
          <w:sz w:val="16"/>
          <w:szCs w:val="16"/>
        </w:rPr>
        <w:t>методы массированного использования в бою химических средств нападения с помощью авиации, артиллерии и спецмашин</w:t>
      </w:r>
      <w:r w:rsidRPr="00E14102">
        <w:rPr>
          <w:color w:val="000000" w:themeColor="text1"/>
          <w:sz w:val="16"/>
          <w:szCs w:val="16"/>
        </w:rPr>
        <w:t>» (17133).</w:t>
      </w:r>
    </w:p>
    <w:p w14:paraId="45BE879B" w14:textId="77777777" w:rsidR="00C4639C" w:rsidRPr="00E14102" w:rsidRDefault="00C4639C" w:rsidP="00E14102">
      <w:pPr>
        <w:shd w:val="clear" w:color="auto" w:fill="FFFFFF"/>
        <w:jc w:val="both"/>
        <w:rPr>
          <w:color w:val="000000" w:themeColor="text1"/>
          <w:sz w:val="16"/>
          <w:szCs w:val="16"/>
        </w:rPr>
      </w:pPr>
    </w:p>
    <w:p w14:paraId="39651B67" w14:textId="77777777" w:rsidR="00C4639C" w:rsidRPr="00E14102" w:rsidRDefault="00C4639C" w:rsidP="00E14102">
      <w:pPr>
        <w:pStyle w:val="rtejustify"/>
        <w:spacing w:before="0" w:after="0"/>
        <w:rPr>
          <w:color w:val="000000" w:themeColor="text1"/>
          <w:sz w:val="16"/>
          <w:szCs w:val="16"/>
        </w:rPr>
      </w:pPr>
      <w:r w:rsidRPr="00E14102">
        <w:rPr>
          <w:color w:val="000000" w:themeColor="text1"/>
          <w:sz w:val="16"/>
          <w:szCs w:val="16"/>
        </w:rPr>
        <w:t xml:space="preserve">28 декабря 1935 г. Приказ НКО СССР о задачах боевой подготовки Воздушных сил РККА на 1936 г. </w:t>
      </w:r>
      <w:r w:rsidRPr="00E14102">
        <w:rPr>
          <w:rStyle w:val="a6"/>
          <w:i w:val="0"/>
          <w:color w:val="000000" w:themeColor="text1"/>
          <w:sz w:val="16"/>
          <w:szCs w:val="16"/>
        </w:rPr>
        <w:t>№ 00104</w:t>
      </w:r>
    </w:p>
    <w:p w14:paraId="76D90CF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развитие моего приказа № 0103 от 28.12.1935 г. и приказа № 0077 1935 г. дальнейшее совершенствование боевой подготовки Воздушных сил РККА строить на основе проведения самостоятельных действий и операций ВС и в условиях взаимодействия авиации с другими родами войск в современном общевойсковом глубоком бою и операции.</w:t>
      </w:r>
    </w:p>
    <w:p w14:paraId="7FD2612C" w14:textId="77777777" w:rsidR="006161A5" w:rsidRPr="00E14102" w:rsidRDefault="006161A5"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Для решения этих задач приказываю:</w:t>
      </w:r>
    </w:p>
    <w:p w14:paraId="44E6DD47" w14:textId="77777777" w:rsidR="006161A5" w:rsidRPr="00E14102" w:rsidRDefault="006161A5" w:rsidP="00E14102">
      <w:pPr>
        <w:pStyle w:val="rtecenter"/>
        <w:spacing w:before="0" w:after="0"/>
        <w:jc w:val="both"/>
        <w:rPr>
          <w:color w:val="000000" w:themeColor="text1"/>
          <w:sz w:val="16"/>
          <w:szCs w:val="16"/>
        </w:rPr>
      </w:pPr>
      <w:r w:rsidRPr="00E14102">
        <w:rPr>
          <w:rStyle w:val="a6"/>
          <w:i w:val="0"/>
          <w:color w:val="000000" w:themeColor="text1"/>
          <w:sz w:val="16"/>
          <w:szCs w:val="16"/>
        </w:rPr>
        <w:t>I. По оперативно-тактической подготовке</w:t>
      </w:r>
    </w:p>
    <w:p w14:paraId="67C3D63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lastRenderedPageBreak/>
        <w:t xml:space="preserve">1. Начальнику Генерального штаба РККА совместно с начальником УВС РККА, полностью использовав опыт специальных учений и крупных маневров РККА 1935 г., разработать и представить мне на утверждение к 20.1.1936 г. </w:t>
      </w:r>
      <w:r w:rsidRPr="00E14102">
        <w:rPr>
          <w:rStyle w:val="a3"/>
          <w:b w:val="0"/>
          <w:color w:val="000000" w:themeColor="text1"/>
          <w:sz w:val="16"/>
          <w:szCs w:val="16"/>
        </w:rPr>
        <w:t>«Инструкцию по ведению самостоятельных действий и воздушных операций».</w:t>
      </w:r>
    </w:p>
    <w:p w14:paraId="5EFDEB9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2. Впредь систему оперативно-тактической подготовки Воздушных сил РККА организовывать и проводить на основе «Инструкции по ведению самостоятельных действий и воздушных операций».</w:t>
      </w:r>
    </w:p>
    <w:p w14:paraId="4E45255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Распоряжением начальника Генерального штаба РККА и командующих войсками округов и флотов провести с высшим командным составом ВС РККА установочные сборы, полевые авиационные поездки, междуокружные учения кадров тяжелой авиации (с пунктами ПВО) и воздушные маневры с развернутыми тылами в сроки, предусмотренные «Планом специальных сборов и учений на 1936 г.».</w:t>
      </w:r>
    </w:p>
    <w:p w14:paraId="4DB5D6F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3. Командующим войсками округов и флотов в целях отработки взаимодействия ввести в систему подготовки войск практику учений авиации с земными войсками (флотами), для чего:</w:t>
      </w:r>
    </w:p>
    <w:p w14:paraId="5403A3B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а) систематически проводить учения земных войск (боевых судов) с авиацией для отработки вопросов разведки и взаимодействия авиации с другими родами войск (флотом), обратив особое внимание на совместную работу авиации с конницей и автобронетанковыми частями и соединениями и подводными лодками;</w:t>
      </w:r>
    </w:p>
    <w:p w14:paraId="2AAC2D86" w14:textId="77777777" w:rsidR="006161A5" w:rsidRPr="00E14102" w:rsidRDefault="006161A5"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б) организовать учения земных войск (флота) специально для отработки авиацией наиболее трудных элементов взаимодействия, как, например, совместная работа самолетов с разведывательными частями конницы, с подводными лодками и торпедными катерами, наведение танков на цель и т.д.;</w:t>
      </w:r>
    </w:p>
    <w:p w14:paraId="2A5B2E3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привлекать командиров и начальников штабов корпусов и командиров 1 -го и 2-го отделов штабов округов (флотов) к участию на авиационных играх, полевых поездках и междугарнизонных летнотактических учениях;</w:t>
      </w:r>
    </w:p>
    <w:p w14:paraId="0707F6B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г) привлекать командиров частей легкой авиации на общевойсковые сборы, а также на общевойсковые учения дивизионного и корпусного масштаба в качестве посредников;</w:t>
      </w:r>
    </w:p>
    <w:p w14:paraId="5790164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 провести для командиров отдельных частей легкой боевой авиации и начальников их штабов краткосрочные сборы по изучению новых вопросов общевойсковой тактики.</w:t>
      </w:r>
    </w:p>
    <w:p w14:paraId="4DB2A4A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4. Во всех округах на специальных авиационных занятиях и учениях особо отработать темы:</w:t>
      </w:r>
    </w:p>
    <w:p w14:paraId="5963DA8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а) уничтожение авиации противника на земле и в воздухе в целях обеспечения за собою превосходства в воздухе;</w:t>
      </w:r>
    </w:p>
    <w:p w14:paraId="66C480C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б) парализование перебросок и подвоза противника по ж.-д. и грунтовым путям с целью срыва сосредоточения или операции противника;</w:t>
      </w:r>
    </w:p>
    <w:p w14:paraId="1B8C600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уничтожение резервов и транспортных средств боевого питания противника на подходах к полю боя;</w:t>
      </w:r>
    </w:p>
    <w:p w14:paraId="734CC64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г) обеспечение выброски и высадки воздушного десанта, содействие ему в решении поставленной задачи;</w:t>
      </w:r>
    </w:p>
    <w:p w14:paraId="63608F6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 противодействие и уничтожение совместно с ПВО авиации противника при налете на нашу территорию.</w:t>
      </w:r>
    </w:p>
    <w:p w14:paraId="0A6A400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этих целях под личным руководством начальников ВС округов и командиров корпусов тяжелой авиации систематичести проводить групповые упражнения, двухсторонние военные игры и двухсторонние учения с кадрами и средствами связи (зимой — не менее 2 и летом — не менее 3) при обязательном расположении частей (кадров) и штабов на полевых аэродромах.</w:t>
      </w:r>
    </w:p>
    <w:p w14:paraId="29263B2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 этих учениях изучить способы и приемы применения всех средств поражения.</w:t>
      </w:r>
    </w:p>
    <w:p w14:paraId="3AB9453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Особое внимание обратить на отработку организации и проведения разведки и наблюдения.</w:t>
      </w:r>
    </w:p>
    <w:p w14:paraId="70A1A30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5. Каждому роду авиации практически отработать способы и приемы выполнения своих основных боевых задач по прилагаемым при сем темам (см. прил.), для чего командирам авиабригад проводить со своими частями и штабами ежемесячно групповые упражнения, двухсторонние игры и летно-тактические учения кадров со средствами связи (не менее одного учения в месяц).</w:t>
      </w:r>
    </w:p>
    <w:p w14:paraId="03F81F0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 время этих учений проводить выходы штабов со средствами связи для практики в управлении частями и материальном обеспечении их действий в условиях полевой обстановки.</w:t>
      </w:r>
    </w:p>
    <w:p w14:paraId="60CB478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При прохождении каждой темы особо тщательно отработать управление частями и подразделениями на земле и в воздухе, разведку, распределение и использование сил, выбор и расчет средств поражения, воздушный бой с авиацией противника при следовании к цели и обратно и у самой цели, устройство тыла и расчет средств по, обеспечению боя и операции, ПТО, ПВО, ПХО и маскировку своего расположения.</w:t>
      </w:r>
    </w:p>
    <w:p w14:paraId="7182F24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6. Командующим войсками округов (флотов) ввести в план командирской подготовки Воздушных сил специальные занятия штабов частей и соединений по работе «на себя» (техника штабной службы, сколачивание штаба) и по тренировке штабов в управлении войсками путем выходов штабов в поле со средствами связи, постоянного участия их в летно-тактических учениях с кадрами и т.д.</w:t>
      </w:r>
    </w:p>
    <w:p w14:paraId="4795ACD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Провести во всех бригадах два двухдекадных сбора штабов бригад и эскадрилий со всем приписанным к ним составом командиров запаса (один — зимой, другой — летом).</w:t>
      </w:r>
    </w:p>
    <w:p w14:paraId="54158C1A" w14:textId="77777777" w:rsidR="006161A5" w:rsidRPr="00E14102" w:rsidRDefault="006161A5" w:rsidP="00E14102">
      <w:pPr>
        <w:pStyle w:val="rtecenter"/>
        <w:spacing w:before="0" w:after="0"/>
        <w:jc w:val="both"/>
        <w:rPr>
          <w:color w:val="000000" w:themeColor="text1"/>
          <w:sz w:val="16"/>
          <w:szCs w:val="16"/>
        </w:rPr>
      </w:pPr>
      <w:r w:rsidRPr="00E14102">
        <w:rPr>
          <w:rStyle w:val="a6"/>
          <w:i w:val="0"/>
          <w:color w:val="000000" w:themeColor="text1"/>
          <w:sz w:val="16"/>
          <w:szCs w:val="16"/>
        </w:rPr>
        <w:t>II. По управлению авиацией</w:t>
      </w:r>
    </w:p>
    <w:p w14:paraId="59AC97E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1. На всех занятиях и учениях боевые задачи авиачастям и соединениям ставить на тех же основаниях, как частям и соединениям других родов войск, т.е. на бой и операцию, а не на отдельные вылеты (удары).</w:t>
      </w:r>
    </w:p>
    <w:p w14:paraId="4D4CB70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Требовать от командиров частей и соединений и их штабов четкой организации, подготовки и проведения боя и операции всего комплекса необходимых боевых действий и управления: организации разведки и связи, распределения сил по целям и времени, выбор и расчет средств поражения, использования резервов, устройства тыла и организации подвоза, обороны и маскировки своего расположения и т.д.</w:t>
      </w:r>
    </w:p>
    <w:p w14:paraId="1315C11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2. Способы гибкого и непрерывного управления авиацией на земле и в воздухе изучать, усовершенствовать и отрабатывать на всех оперативно-тактических занятиях и учениях и выходах штабов в поле со средствами связи.</w:t>
      </w:r>
    </w:p>
    <w:p w14:paraId="449E32E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Исключительное значение придать надежной и бесперебойной радиосвязи, добиваясь максимальной скрытности и скорости в передаче распоряжений, донесений и информации.</w:t>
      </w:r>
    </w:p>
    <w:p w14:paraId="041398B2" w14:textId="77777777" w:rsidR="006161A5" w:rsidRPr="00E14102" w:rsidRDefault="006161A5" w:rsidP="00E14102">
      <w:pPr>
        <w:pStyle w:val="rtecenter"/>
        <w:spacing w:before="0" w:after="0"/>
        <w:jc w:val="both"/>
        <w:rPr>
          <w:color w:val="000000" w:themeColor="text1"/>
          <w:sz w:val="16"/>
          <w:szCs w:val="16"/>
        </w:rPr>
      </w:pPr>
      <w:r w:rsidRPr="00E14102">
        <w:rPr>
          <w:rStyle w:val="a6"/>
          <w:i w:val="0"/>
          <w:color w:val="000000" w:themeColor="text1"/>
          <w:sz w:val="16"/>
          <w:szCs w:val="16"/>
        </w:rPr>
        <w:t>III. По воздушному бою</w:t>
      </w:r>
    </w:p>
    <w:p w14:paraId="7ED590C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1. Начальнику УВС РККА разработать на основе опытных учений 1935 г. «Инструкцию по воздушному бою» по согласованию с Генштабом и представить мне на утверждение не позже 1.2.1936 г.</w:t>
      </w:r>
    </w:p>
    <w:p w14:paraId="6220BB6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Отчетный материал этих опытных учений не позже 15.1.1936 г. разослать во все округа, авиабригады и авиашколы.</w:t>
      </w:r>
    </w:p>
    <w:p w14:paraId="1CC30BD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2. Включить воздушный бой в комплекс каждого полета частей, подразделений и соединений, а равно и каждого полета отдельных самолетов.</w:t>
      </w:r>
    </w:p>
    <w:p w14:paraId="01AAA07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3. Для дальнейшего усовершенствования приемов (маневра и способов ведения огня) воздушного боя командующим войсками провести опытные учения по воздушному бою истребителей с другими родами авиации.</w:t>
      </w:r>
    </w:p>
    <w:p w14:paraId="09D98DE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 эти опытные учения привлекать лучшие подразделения и части.</w:t>
      </w:r>
    </w:p>
    <w:p w14:paraId="7A26A18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 этих опытных учениях предоставить атакующим и оброня-ющимся свободу маневра и выбора наивыгоднейших направлений атаки в соответствии с обстановкой, ограничивая лишь дистанции сближения в воздушном бою.</w:t>
      </w:r>
    </w:p>
    <w:p w14:paraId="370EAB9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Организация подготовки и проведения этих опытных учений должна исключить возможность столкновений в полете и обеспечить безопасность сближения и маневра.</w:t>
      </w:r>
    </w:p>
    <w:p w14:paraId="48DAAE5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Результаты этих опытных учений с конкретными выводами и предложениями представить мне через начальника УВС РККА не позже 1.9.1936 г.</w:t>
      </w:r>
    </w:p>
    <w:p w14:paraId="085EB5D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Начальникам УВС и МС РККА по принадлежности в 1936 г. организовать опытные учения на следующие темы:</w:t>
      </w:r>
    </w:p>
    <w:p w14:paraId="3473C7F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а) групповой воздушный бой скоростных самолетов всех родов авиации в разных группах до бригады включительно;</w:t>
      </w:r>
    </w:p>
    <w:p w14:paraId="58CAF8B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б) бомбометание с больших высот и на больших скоростях днем и ночью по неподвижным крупным целям в условиях противодействия ПВО;</w:t>
      </w:r>
    </w:p>
    <w:p w14:paraId="7DB36D5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бомбометание по воздушным целям;</w:t>
      </w:r>
    </w:p>
    <w:p w14:paraId="6776E15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г) бомбометание с пикирования по неподвижным и подвижным земным (морским) и воздушным целям;</w:t>
      </w:r>
    </w:p>
    <w:p w14:paraId="56B0E50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 бомбометание с больших высот и на больших скоростях по морским судам днем и ночью;</w:t>
      </w:r>
    </w:p>
    <w:p w14:paraId="5B4F56D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е) изыскание наивыгоднейших строев и порядков разных родов авиации против поражения от огня авиации и ПВО противника.</w:t>
      </w:r>
    </w:p>
    <w:p w14:paraId="0DC38EBD" w14:textId="77777777" w:rsidR="006161A5" w:rsidRPr="00E14102" w:rsidRDefault="006161A5" w:rsidP="00E14102">
      <w:pPr>
        <w:pStyle w:val="rtecenter"/>
        <w:spacing w:before="0" w:after="0"/>
        <w:jc w:val="both"/>
        <w:rPr>
          <w:color w:val="000000" w:themeColor="text1"/>
          <w:sz w:val="16"/>
          <w:szCs w:val="16"/>
        </w:rPr>
      </w:pPr>
      <w:r w:rsidRPr="00E14102">
        <w:rPr>
          <w:rStyle w:val="a6"/>
          <w:i w:val="0"/>
          <w:color w:val="000000" w:themeColor="text1"/>
          <w:sz w:val="16"/>
          <w:szCs w:val="16"/>
        </w:rPr>
        <w:t>IV. По специальной подготовке</w:t>
      </w:r>
    </w:p>
    <w:p w14:paraId="22479C3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1. Повседневную практику и освоение высотных, слепых и ночных полетов во всех родах ВС довести до полета у технического потолка своих самолетов, полета в облаках и за облаками днем и ночью, применяя наивыгоднейшие строи и боевые порядки.</w:t>
      </w:r>
    </w:p>
    <w:p w14:paraId="30409C4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Для повышения безопасности полетов и лучшего овладения пилотажем и маневром в сложных условиях включить в план командирской технической подготовки летного состава основательное изучение теории (динамики) полета со сдачей зачетов.</w:t>
      </w:r>
    </w:p>
    <w:p w14:paraId="39B7653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Начальнику УВС РККА преподать не позже 15.1.1936 г. специальные указания и программы по изучению теории полета.</w:t>
      </w:r>
    </w:p>
    <w:p w14:paraId="4BB3F07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2. В истребительной авиации резко поднять технику высшего пилотажа, для чего в первую очередь провести окружные сборы командиров частей и подразделений и пропустить руководящие командирские кадры истребительной авиации через эскадрилью высшего пилотажа Одесской школы.</w:t>
      </w:r>
    </w:p>
    <w:p w14:paraId="511DB3A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3. В курсах подготовки 1936 г. предусмотреть подготовку летчиков и летнабов первого года службы в строю действиям в группах до бригад включительно (днем), равняясь по командам и личному примеру ведущих командиров подразделений и частей.</w:t>
      </w:r>
    </w:p>
    <w:p w14:paraId="7B81784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4. Начальнику УВС РККА и командующим войсками округов (флотов) обратить свое особое внимание на резкое повышение огневой подготовки экипажей, подразделений, частей и соединений ВС, широко практикуя стрельбы по земным целям и бомбометание на соседних и полевых полигонах в обстановке, близкой к боевой (противодействие авиации и ПВО).</w:t>
      </w:r>
    </w:p>
    <w:p w14:paraId="30F177D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lastRenderedPageBreak/>
        <w:t>В огневой подготовке основные усилия направить на подготовку по тому виду огня, который для данного лица экипажа и данного рода авиации является решающим.</w:t>
      </w:r>
    </w:p>
    <w:p w14:paraId="3A8E765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 огневой подготовке авиации широко практиковать предварительную тренировку состава экипажа на земле — на тренировочной аппаратуре и применение фотокинопулеметов и фотохейсов в полете.</w:t>
      </w:r>
    </w:p>
    <w:p w14:paraId="065F23F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Упражнения по огневой подготовке, как правило, включать в комплекс каждого полета.</w:t>
      </w:r>
    </w:p>
    <w:p w14:paraId="0AF3FA0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5. Начальнику Генштаба РККА совместно с начальником УВС РККА выделить из общего состава Воздушных сил 5 авиабригад для широкого применения в них химического оружия в наступательных и оборонительных действиях на земле и в воздухе.</w:t>
      </w:r>
    </w:p>
    <w:p w14:paraId="4CCB879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Программу занятий выделенных бригад начальнику Генштаба РККА представить мне на утверждение к 1.2.1936 г.</w:t>
      </w:r>
    </w:p>
    <w:p w14:paraId="371E0D7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Начальнику Химического управления РККА к 1.5.1936 г. полностью снабдить эти бригады всем необходимым химическим имуществом.</w:t>
      </w:r>
    </w:p>
    <w:p w14:paraId="16F7650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6. С целью ознакомления старшего и высшего начсостава ВС РККА с применением новых средств химической борьбы в воздушных силах начальнику Химического управления РККА летом 1936 г. провести показное учение на Центральном химическом полигоне. Командующим войсками округов провести аналогичные учения при тех авиабригадах, которые выделяются для специальных занятий с химическим оружием.</w:t>
      </w:r>
    </w:p>
    <w:p w14:paraId="2BEA718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7. В системе командирской подготовки инженерно-технического состава обратить особое внимание на овладение знаниями и навыками по эксплуатации новой материальной части самолетов, моторов, их вооружения и оборудования и всех средств механизации и автотранспорта.</w:t>
      </w:r>
    </w:p>
    <w:p w14:paraId="5C11977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8. Начальнику УВС РККА организовать при КУСАТе (Ленинград) краткосрочные курсы для командиров отдельных частей и соединений по изучению новой материальной части ВС, а руководящий технический состав своевременно подготовить к приему новой материальной части в НИИ ВС и ВВА РККА.</w:t>
      </w:r>
    </w:p>
    <w:p w14:paraId="29ED7BA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9. В целях повышения подготовки летного состава в ориентировке по местности помимо изучения топографии и тренировки в чтении карт широко практиковать выходы в поле и выезды по маршрутам на автомашинах с остановками через каждые 2-3 км для определения места своего нахождения по карте, местным ориентирам и компасу.</w:t>
      </w:r>
    </w:p>
    <w:p w14:paraId="16AD054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10. Начальнику АБТУ совместно с начальником УВС РККА организовать подготовку и усовершенствование всех кадров для обеспечения грамотной эксплуатации новых средств механизации технической и аэродромной службы и автотранспорта ВС РККА.</w:t>
      </w:r>
    </w:p>
    <w:p w14:paraId="06AFCE8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11. Требую от командиров всех степеней самого широкого применения тренировочной аппаратуры и приборов для предварительной подготовки и тренировки на земле всего состава экипажей по всем видам специальной подготовки.</w:t>
      </w:r>
    </w:p>
    <w:p w14:paraId="21920BA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Режим экономии моторесурса в полете, и особо, резкое снижение работы моторов на земле ставлю в качестве одной из главнейших задач по сбережению боевой материальной части перед всеми командирами и политработниками частей и соединений ВС РККА, перед комвойсками (флотами) и перед начальником УВС РККА.</w:t>
      </w:r>
    </w:p>
    <w:p w14:paraId="7AD6930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Нач. УВС РККА представить мне к 1.2.1936 г. соображения по массовому применению тягачей, тракторов и пр. для возки самолетов на красную линию, в ангары и т.д. в целях сбережения моторесурса и экономии горючего.</w:t>
      </w:r>
    </w:p>
    <w:p w14:paraId="14D39A09" w14:textId="77777777" w:rsidR="006161A5" w:rsidRPr="00E14102" w:rsidRDefault="006161A5" w:rsidP="00E14102">
      <w:pPr>
        <w:pStyle w:val="rtecenter"/>
        <w:spacing w:before="0" w:after="0"/>
        <w:jc w:val="both"/>
        <w:rPr>
          <w:color w:val="000000" w:themeColor="text1"/>
          <w:sz w:val="16"/>
          <w:szCs w:val="16"/>
        </w:rPr>
      </w:pPr>
      <w:r w:rsidRPr="00E14102">
        <w:rPr>
          <w:rStyle w:val="a6"/>
          <w:i w:val="0"/>
          <w:color w:val="000000" w:themeColor="text1"/>
          <w:sz w:val="16"/>
          <w:szCs w:val="16"/>
        </w:rPr>
        <w:t>V. По тылу</w:t>
      </w:r>
    </w:p>
    <w:p w14:paraId="14C9162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1. Генштабу, УВС РККА и командующим войсками округов к 1.7.1936 г. сформировать по одному головному складу в округах:</w:t>
      </w:r>
    </w:p>
    <w:p w14:paraId="01628EB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ЛВО, БВО, КВО, ЗабВО и ОКДВАи организовать их использование по схеме военного времени в течение июля—сентября. Эти склады привлечь на воздушные учения и маневры с целью всесторонней оценки головных складов Воздушных сил по требованиям военного времени.</w:t>
      </w:r>
    </w:p>
    <w:p w14:paraId="3D09A1BA"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Результаты этих опытных учений и головных складов с выводами представить мне через начальника УВС РККА не позже 15.10.1936 г.</w:t>
      </w:r>
    </w:p>
    <w:p w14:paraId="358E2C9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2. Командующим войсками ЛВО, БВО, КВО, ЗабВО и ОКДВА для практической проверки службы войскового тыла авиации выделить не менее чем по одной эскадрилье с тылами военного времени и провести опыт применения этих эскадрилий в полевой обстановке в условиях зимнего и летнего периода.</w:t>
      </w:r>
    </w:p>
    <w:p w14:paraId="2A51A83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Эскадрильи перебрасывать на новые аэродромы не менее 3 раз в течение месяца.</w:t>
      </w:r>
    </w:p>
    <w:p w14:paraId="19AF66D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Результаты этих опытов по тылу и боевому применению с выводами и предложениями представить мне через начальника УВВС РККА: за зиму — не позже 1.4.1936 г., а за лето — не позже 1.9.1936 г.</w:t>
      </w:r>
    </w:p>
    <w:p w14:paraId="7909925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3. Командующим войсками округов (флотов) организовать на постоянных аэродромах работы по устройству убежищ для защиты личного состава и материальной части от поражения с воздуха. В подготовке полевых аэродромов и учебе частей ВС на полевых аэродромах обращать особое внимание на их маскировку, используя прилегающую к аэродрому растительность и местные постройки и изыскивая средства и способы искусственной маскировки аэродромов и материальной части на них.</w:t>
      </w:r>
    </w:p>
    <w:p w14:paraId="7F40B31A" w14:textId="77777777" w:rsidR="006161A5" w:rsidRPr="00E14102" w:rsidRDefault="006161A5" w:rsidP="00E14102">
      <w:pPr>
        <w:pStyle w:val="rtecenter"/>
        <w:spacing w:before="0" w:after="0"/>
        <w:jc w:val="both"/>
        <w:rPr>
          <w:color w:val="000000" w:themeColor="text1"/>
          <w:sz w:val="16"/>
          <w:szCs w:val="16"/>
        </w:rPr>
      </w:pPr>
      <w:r w:rsidRPr="00E14102">
        <w:rPr>
          <w:rStyle w:val="a6"/>
          <w:i w:val="0"/>
          <w:color w:val="000000" w:themeColor="text1"/>
          <w:sz w:val="16"/>
          <w:szCs w:val="16"/>
        </w:rPr>
        <w:t>VI. Об установлении особого авиационного режима над территорией СССР</w:t>
      </w:r>
    </w:p>
    <w:p w14:paraId="7023EAF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1. Установить режим, исключающий еще в мирное время возможность внезапного появления самолетов над любым пунктом СССР, имеющим важное военно-политическое и экономическое значение, без предварительного оповещения соответствующих авиационных командиров.</w:t>
      </w:r>
    </w:p>
    <w:p w14:paraId="2CFB30E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Это мероприятие должно привить навыки в своевременном предотвращении налетов авиации вероятных противников на нашу территорию.</w:t>
      </w:r>
    </w:p>
    <w:p w14:paraId="3B8FAF9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2. Начальнику Генштаба РККА совместно с начальником УВС РККА, начальником Управления ПВО РККА и начальником ГУГВФ разработать и представить мне к 1.2.1936 г. мероприятия по обеспечению проведения в жизнь «Воздушного кодекса Союза ССР», утвержденного СНК Союза.</w:t>
      </w:r>
    </w:p>
    <w:p w14:paraId="124EF02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 xml:space="preserve">Народный комиссар обороны СССР Маршал Советского Союза </w:t>
      </w:r>
      <w:r w:rsidRPr="00E14102">
        <w:rPr>
          <w:rStyle w:val="a6"/>
          <w:i w:val="0"/>
          <w:color w:val="000000" w:themeColor="text1"/>
          <w:sz w:val="16"/>
          <w:szCs w:val="16"/>
        </w:rPr>
        <w:t>К. Ворошилов</w:t>
      </w:r>
    </w:p>
    <w:p w14:paraId="795F8432" w14:textId="77777777" w:rsidR="006161A5" w:rsidRPr="00E14102" w:rsidRDefault="006161A5" w:rsidP="00E14102">
      <w:pPr>
        <w:pStyle w:val="rtejustify"/>
        <w:spacing w:before="0" w:after="0"/>
        <w:rPr>
          <w:color w:val="000000" w:themeColor="text1"/>
          <w:sz w:val="16"/>
          <w:szCs w:val="16"/>
        </w:rPr>
      </w:pPr>
      <w:r w:rsidRPr="00E14102">
        <w:rPr>
          <w:rStyle w:val="a6"/>
          <w:i w:val="0"/>
          <w:color w:val="000000" w:themeColor="text1"/>
          <w:sz w:val="16"/>
          <w:szCs w:val="16"/>
        </w:rPr>
        <w:t>РГВА. Ф. 4. Оп. 15. Д. 6. Л. 135—139. Типографский экземпляр.</w:t>
      </w:r>
    </w:p>
    <w:p w14:paraId="605F5A50" w14:textId="77777777" w:rsidR="006161A5" w:rsidRPr="00E14102" w:rsidRDefault="006161A5" w:rsidP="00E14102">
      <w:pPr>
        <w:pStyle w:val="rtecenter"/>
        <w:spacing w:before="0" w:after="0"/>
        <w:jc w:val="both"/>
        <w:rPr>
          <w:color w:val="000000" w:themeColor="text1"/>
          <w:sz w:val="16"/>
          <w:szCs w:val="16"/>
        </w:rPr>
      </w:pPr>
      <w:r w:rsidRPr="00E14102">
        <w:rPr>
          <w:rStyle w:val="a3"/>
          <w:b w:val="0"/>
          <w:color w:val="000000" w:themeColor="text1"/>
          <w:sz w:val="16"/>
          <w:szCs w:val="16"/>
        </w:rPr>
        <w:t>Приложение</w:t>
      </w:r>
    </w:p>
    <w:p w14:paraId="45189B7C" w14:textId="77777777" w:rsidR="006161A5" w:rsidRPr="00E14102" w:rsidRDefault="006161A5" w:rsidP="00E14102">
      <w:pPr>
        <w:pStyle w:val="rtecenter"/>
        <w:spacing w:before="0" w:after="0"/>
        <w:jc w:val="both"/>
        <w:rPr>
          <w:color w:val="000000" w:themeColor="text1"/>
          <w:sz w:val="16"/>
          <w:szCs w:val="16"/>
        </w:rPr>
      </w:pPr>
      <w:r w:rsidRPr="00E14102">
        <w:rPr>
          <w:rStyle w:val="a3"/>
          <w:b w:val="0"/>
          <w:color w:val="000000" w:themeColor="text1"/>
          <w:sz w:val="16"/>
          <w:szCs w:val="16"/>
        </w:rPr>
        <w:t>Темы для летно-тактических учений авиабригад на 1936 г.</w:t>
      </w:r>
    </w:p>
    <w:p w14:paraId="5C11B784" w14:textId="77777777" w:rsidR="006161A5" w:rsidRPr="00E14102" w:rsidRDefault="006161A5" w:rsidP="00E14102">
      <w:pPr>
        <w:pStyle w:val="rtecenter"/>
        <w:spacing w:before="0" w:after="0"/>
        <w:jc w:val="both"/>
        <w:rPr>
          <w:color w:val="000000" w:themeColor="text1"/>
          <w:sz w:val="16"/>
          <w:szCs w:val="16"/>
        </w:rPr>
      </w:pPr>
      <w:r w:rsidRPr="00E14102">
        <w:rPr>
          <w:rStyle w:val="a6"/>
          <w:i w:val="0"/>
          <w:color w:val="000000" w:themeColor="text1"/>
          <w:sz w:val="16"/>
          <w:szCs w:val="16"/>
        </w:rPr>
        <w:t>1. Тяжелая авиация</w:t>
      </w:r>
    </w:p>
    <w:p w14:paraId="2EBA2A2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1.</w:t>
      </w:r>
    </w:p>
    <w:p w14:paraId="36EF126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Бомбардировочное нападение бригады тяжелой авиации в непосредственном сопровождении крейсеров на крупный промышленный объект в глубоком тылу противника при противодействии ЗА и авиации противника на маршруте и у цели.</w:t>
      </w:r>
    </w:p>
    <w:p w14:paraId="0CA1A7C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2.</w:t>
      </w:r>
    </w:p>
    <w:p w14:paraId="30AF27A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Совместные действия ТБ бригады с бригадой легких бомбардировщиков по разрушению крупного ж.-д. узла и ж.-д. магистралей в тылу противника с задачей срыва перевозок в течение 3— 5—10 суток.</w:t>
      </w:r>
    </w:p>
    <w:p w14:paraId="4A913D1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3.</w:t>
      </w:r>
    </w:p>
    <w:p w14:paraId="40E2364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Организация и проведение средствами ТВ бригады дневного и ночного воздушного десанта (высадка и выброска) в тылу противника на обеспеченной площадке и взаимодействие с легкой боевой авиацией по прикрытию и обеспечению этой высадки.</w:t>
      </w:r>
    </w:p>
    <w:p w14:paraId="4149639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4.</w:t>
      </w:r>
    </w:p>
    <w:p w14:paraId="377D6B5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Взаимодействие сухопутной ТБ бригады с морскими силами при атаке кораблей (или транспортов) противника в море и в базе.</w:t>
      </w:r>
    </w:p>
    <w:p w14:paraId="618CF01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5.</w:t>
      </w:r>
    </w:p>
    <w:p w14:paraId="76E4186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Ведение воздушного боя на большой высоте и управление этим боем при нападении на ТБ бригаду авиации противника на пути к цели и у самой цели.</w:t>
      </w:r>
    </w:p>
    <w:p w14:paraId="2789AE3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6.</w:t>
      </w:r>
    </w:p>
    <w:p w14:paraId="67EC683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Боевое обеспечение ТБ бригады при подготовке и проведении воздушной операции.</w:t>
      </w:r>
    </w:p>
    <w:p w14:paraId="7367CF36" w14:textId="77777777" w:rsidR="006161A5" w:rsidRPr="00E14102" w:rsidRDefault="006161A5" w:rsidP="00E14102">
      <w:pPr>
        <w:pStyle w:val="rtecenter"/>
        <w:spacing w:before="0" w:after="0"/>
        <w:jc w:val="both"/>
        <w:rPr>
          <w:color w:val="000000" w:themeColor="text1"/>
          <w:sz w:val="16"/>
          <w:szCs w:val="16"/>
        </w:rPr>
      </w:pPr>
      <w:r w:rsidRPr="00E14102">
        <w:rPr>
          <w:rStyle w:val="a6"/>
          <w:i w:val="0"/>
          <w:color w:val="000000" w:themeColor="text1"/>
          <w:sz w:val="16"/>
          <w:szCs w:val="16"/>
        </w:rPr>
        <w:t>2. Легкобомбардировочная авиация</w:t>
      </w:r>
    </w:p>
    <w:p w14:paraId="70854FC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1.</w:t>
      </w:r>
    </w:p>
    <w:p w14:paraId="4551E38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Атака аэродромного узла истребителей и других родов авиации противника бригадой легких бомбардировщиков в интересах обеспечения действий тяжелой авиации и превосходства в воздухе.</w:t>
      </w:r>
    </w:p>
    <w:p w14:paraId="7191827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2.</w:t>
      </w:r>
    </w:p>
    <w:p w14:paraId="7647B8D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Дневное и ночное нападение л/б бригады на ж.-д. узел и ж.-д. перегоны противника при противодействии средств ПВО и авиации противника.</w:t>
      </w:r>
    </w:p>
    <w:p w14:paraId="388B229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3.</w:t>
      </w:r>
    </w:p>
    <w:p w14:paraId="4CBAD8E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Совместные действия л/б бригады с морскими силами при отражении морского десанта противника.</w:t>
      </w:r>
    </w:p>
    <w:p w14:paraId="371F7B1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4.</w:t>
      </w:r>
    </w:p>
    <w:p w14:paraId="4DC2208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Воздушный бой л/б бригады, прикрывающей в воздухе боевой порядок тяжелого авиакорпуса.</w:t>
      </w:r>
    </w:p>
    <w:p w14:paraId="2B65FE6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5.</w:t>
      </w:r>
    </w:p>
    <w:p w14:paraId="02DEAEB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Действия л/б бригады в войсковом тылу противника в интересах ск, кк и мк при прорыве последними укрепленной полосы противника.</w:t>
      </w:r>
    </w:p>
    <w:p w14:paraId="33E0388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6.</w:t>
      </w:r>
    </w:p>
    <w:p w14:paraId="3BE6764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Действия л/б бригады совместно с воздушно-десантным отрядом и боевое питание этого отряда.</w:t>
      </w:r>
    </w:p>
    <w:p w14:paraId="135478B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7.</w:t>
      </w:r>
    </w:p>
    <w:p w14:paraId="2AA7755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Действия л/б бригады по срыву мобилизации и сосредоточения противника в начальный период войны в определенном районе.</w:t>
      </w:r>
    </w:p>
    <w:p w14:paraId="754D96A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8.</w:t>
      </w:r>
    </w:p>
    <w:p w14:paraId="3C99247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Противодействие л/б авиации, взаимодействующей с другими родами авиации и ПВО, налету противника на нашу территорию.</w:t>
      </w:r>
    </w:p>
    <w:p w14:paraId="5A17B72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9.</w:t>
      </w:r>
    </w:p>
    <w:p w14:paraId="5AD929A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lastRenderedPageBreak/>
        <w:t>Воздушный бой л/б бригады с авиацией противника на маршруте к цели и у самой цели при выполнении налета на объекты в тылу противника.</w:t>
      </w:r>
    </w:p>
    <w:p w14:paraId="5820D6F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10.</w:t>
      </w:r>
    </w:p>
    <w:p w14:paraId="7EE4C5D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Нападение л/б авиации на армейские и фронтовые склады и базы с целью их уничтожения и срыва питания армии противника.</w:t>
      </w:r>
    </w:p>
    <w:p w14:paraId="29875EDE" w14:textId="77777777" w:rsidR="006161A5" w:rsidRPr="00E14102" w:rsidRDefault="006161A5" w:rsidP="00E14102">
      <w:pPr>
        <w:pStyle w:val="rtecenter"/>
        <w:spacing w:before="0" w:after="0"/>
        <w:jc w:val="both"/>
        <w:rPr>
          <w:color w:val="000000" w:themeColor="text1"/>
          <w:sz w:val="16"/>
          <w:szCs w:val="16"/>
        </w:rPr>
      </w:pPr>
      <w:r w:rsidRPr="00E14102">
        <w:rPr>
          <w:rStyle w:val="a6"/>
          <w:i w:val="0"/>
          <w:color w:val="000000" w:themeColor="text1"/>
          <w:sz w:val="16"/>
          <w:szCs w:val="16"/>
        </w:rPr>
        <w:t>3. Штурмовая авиация</w:t>
      </w:r>
    </w:p>
    <w:p w14:paraId="494F2B5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1.</w:t>
      </w:r>
    </w:p>
    <w:p w14:paraId="7D3D6C8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Нападение штурмовой эскадрильи и бригады на аэродромы противника в интересах обеспечения боевой работы тяжелой авиации и превосходства в воздухе.</w:t>
      </w:r>
    </w:p>
    <w:p w14:paraId="3879A0C2"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2.</w:t>
      </w:r>
    </w:p>
    <w:p w14:paraId="2D18F5F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Нейтрализация штурмовой авиацией средств ПВО крупного ж.-д. узла в интересах обеспечения действий ТБ авиации по ж.-д. узлу.</w:t>
      </w:r>
    </w:p>
    <w:p w14:paraId="31A1B7A3"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3.</w:t>
      </w:r>
    </w:p>
    <w:p w14:paraId="240EC20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Разрушение ж.-д. перегонов и грунтовых путей с целью срыва сосредоточения или оперативного маневра противника.</w:t>
      </w:r>
    </w:p>
    <w:p w14:paraId="653764C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4.</w:t>
      </w:r>
    </w:p>
    <w:p w14:paraId="19213FD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Нападение штурмовой авиации на военные дороги, головные склады, армейские и фронтовые базы для расстройства перевозок в армейском и войсковом тылу противника и срыва снабжения его армии.</w:t>
      </w:r>
    </w:p>
    <w:p w14:paraId="2B9BF5E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5.</w:t>
      </w:r>
    </w:p>
    <w:p w14:paraId="19345E21"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Штурмовая эскадрилья и бригада во взаимодействии с группой вторжения в начальный период войны.</w:t>
      </w:r>
    </w:p>
    <w:p w14:paraId="090BE3F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6.</w:t>
      </w:r>
    </w:p>
    <w:p w14:paraId="28355B9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Штурмовая эскадрилья и бригада во взаимодействии с ск, кк и мк при прорыве укрепленной полосы противника и в глубоком рейде.</w:t>
      </w:r>
    </w:p>
    <w:p w14:paraId="22086A8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7.</w:t>
      </w:r>
    </w:p>
    <w:p w14:paraId="37EC9F3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Особо отработать взаимодействие штурмовой и истребительной авиации с кк и надежное прикрытие авиацией действий крупных кавалерийских масс.</w:t>
      </w:r>
    </w:p>
    <w:p w14:paraId="0BA5658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8.</w:t>
      </w:r>
    </w:p>
    <w:p w14:paraId="63342C94"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Воздушный бой штурмовой эскадрильи и бригады с авиацией противника над его территорией при следовании к цели и у самой цели при нападении на объекты в тылу противника.</w:t>
      </w:r>
    </w:p>
    <w:p w14:paraId="639F095F"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9.</w:t>
      </w:r>
    </w:p>
    <w:p w14:paraId="6737790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Воздушный бой штурмовой эскадрильи и бригады с авиацией противника, во взаимодействии с другими родами авиации и ПВО, над нашей территорией при отражении налета авиации противника на ее маршруте к цели и обратно.</w:t>
      </w:r>
    </w:p>
    <w:p w14:paraId="562AAA27" w14:textId="77777777" w:rsidR="006161A5" w:rsidRPr="00E14102" w:rsidRDefault="006161A5" w:rsidP="00E14102">
      <w:pPr>
        <w:pStyle w:val="rtecenter"/>
        <w:spacing w:before="0" w:after="0"/>
        <w:jc w:val="both"/>
        <w:rPr>
          <w:color w:val="000000" w:themeColor="text1"/>
          <w:sz w:val="16"/>
          <w:szCs w:val="16"/>
        </w:rPr>
      </w:pPr>
      <w:r w:rsidRPr="00E14102">
        <w:rPr>
          <w:rStyle w:val="a6"/>
          <w:i w:val="0"/>
          <w:color w:val="000000" w:themeColor="text1"/>
          <w:sz w:val="16"/>
          <w:szCs w:val="16"/>
        </w:rPr>
        <w:t>4. Истребительная авиация</w:t>
      </w:r>
    </w:p>
    <w:p w14:paraId="3DCE853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1.</w:t>
      </w:r>
    </w:p>
    <w:p w14:paraId="36DA64A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Действия истребительной эскадрильи и бригады по аэродромам противника в целях обеспечения господства в воздухе.</w:t>
      </w:r>
    </w:p>
    <w:p w14:paraId="73543F4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2.</w:t>
      </w:r>
    </w:p>
    <w:p w14:paraId="020D1E4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Действия истребительной эскадрильи и бригады фронта и армии в отражении глубокого налета воздушного противника.</w:t>
      </w:r>
    </w:p>
    <w:p w14:paraId="4C4F515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3.</w:t>
      </w:r>
    </w:p>
    <w:p w14:paraId="19F0AF1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Прикрытие истребительной эскадрильей и бригадой прохода через фронт тяжелого авиационного соединения при следовании к цели и обратно.</w:t>
      </w:r>
    </w:p>
    <w:p w14:paraId="41798AC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4.</w:t>
      </w:r>
    </w:p>
    <w:p w14:paraId="6ECCC49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Действия истребительной бригады в обороне крупного центра.</w:t>
      </w:r>
    </w:p>
    <w:p w14:paraId="409E8A5B"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5.</w:t>
      </w:r>
    </w:p>
    <w:p w14:paraId="1D2E933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Воздушный бой истребительной эскадрильи и бригады с авиацией противника над своей территорией и территорией противника.</w:t>
      </w:r>
    </w:p>
    <w:p w14:paraId="1ED24367" w14:textId="77777777" w:rsidR="006161A5" w:rsidRPr="00E14102" w:rsidRDefault="006161A5" w:rsidP="00E14102">
      <w:pPr>
        <w:pStyle w:val="rtecenter"/>
        <w:spacing w:before="0" w:after="0"/>
        <w:jc w:val="both"/>
        <w:rPr>
          <w:color w:val="000000" w:themeColor="text1"/>
          <w:sz w:val="16"/>
          <w:szCs w:val="16"/>
        </w:rPr>
      </w:pPr>
      <w:r w:rsidRPr="00E14102">
        <w:rPr>
          <w:color w:val="000000" w:themeColor="text1"/>
          <w:sz w:val="16"/>
          <w:szCs w:val="16"/>
        </w:rPr>
        <w:t xml:space="preserve">5. </w:t>
      </w:r>
      <w:r w:rsidRPr="00E14102">
        <w:rPr>
          <w:rStyle w:val="a6"/>
          <w:i w:val="0"/>
          <w:color w:val="000000" w:themeColor="text1"/>
          <w:sz w:val="16"/>
          <w:szCs w:val="16"/>
        </w:rPr>
        <w:t>Разведывательная авиация</w:t>
      </w:r>
    </w:p>
    <w:p w14:paraId="0370968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1.</w:t>
      </w:r>
    </w:p>
    <w:p w14:paraId="114B267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Организация боевой непрерывной разведки воздушного противника в период войны.</w:t>
      </w:r>
    </w:p>
    <w:p w14:paraId="0B0F54E9"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2.</w:t>
      </w:r>
    </w:p>
    <w:p w14:paraId="66393287"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Дневная и ночная разведка полевых аэродромов противника.</w:t>
      </w:r>
    </w:p>
    <w:p w14:paraId="3B54549D"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3.</w:t>
      </w:r>
    </w:p>
    <w:p w14:paraId="2D3ED045"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Разведка ж.-д. узла, прикрываемого ЗА и истребителями.</w:t>
      </w:r>
    </w:p>
    <w:p w14:paraId="5DC8BA9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4.</w:t>
      </w:r>
    </w:p>
    <w:p w14:paraId="78ABE0D0"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Разведка морской базы противника.</w:t>
      </w:r>
    </w:p>
    <w:p w14:paraId="74DC8C36"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5.</w:t>
      </w:r>
    </w:p>
    <w:p w14:paraId="4BFBEF2C"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Ночная и дневная разведка наземных войск противника.</w:t>
      </w:r>
    </w:p>
    <w:p w14:paraId="1B13590E"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Тема № 6.</w:t>
      </w:r>
    </w:p>
    <w:p w14:paraId="504C4168" w14:textId="77777777" w:rsidR="006161A5" w:rsidRPr="00E14102" w:rsidRDefault="006161A5" w:rsidP="00E14102">
      <w:pPr>
        <w:pStyle w:val="rtejustify"/>
        <w:spacing w:before="0" w:after="0"/>
        <w:rPr>
          <w:color w:val="000000" w:themeColor="text1"/>
          <w:sz w:val="16"/>
          <w:szCs w:val="16"/>
        </w:rPr>
      </w:pPr>
      <w:r w:rsidRPr="00E14102">
        <w:rPr>
          <w:color w:val="000000" w:themeColor="text1"/>
          <w:sz w:val="16"/>
          <w:szCs w:val="16"/>
        </w:rPr>
        <w:t>Разведка путей подвоза и передвижения войск.</w:t>
      </w:r>
    </w:p>
    <w:p w14:paraId="18760C06" w14:textId="77777777" w:rsidR="006161A5" w:rsidRPr="00E14102" w:rsidRDefault="006161A5" w:rsidP="00E14102">
      <w:pPr>
        <w:pStyle w:val="rteright"/>
        <w:spacing w:before="0" w:after="0"/>
        <w:jc w:val="both"/>
        <w:rPr>
          <w:color w:val="000000" w:themeColor="text1"/>
          <w:sz w:val="16"/>
          <w:szCs w:val="16"/>
        </w:rPr>
      </w:pPr>
      <w:r w:rsidRPr="00E14102">
        <w:rPr>
          <w:color w:val="000000" w:themeColor="text1"/>
          <w:sz w:val="16"/>
          <w:szCs w:val="16"/>
        </w:rPr>
        <w:t xml:space="preserve">Начальник Генерального штаба РККА Маршал Советского Союза </w:t>
      </w:r>
      <w:r w:rsidRPr="00E14102">
        <w:rPr>
          <w:rStyle w:val="a6"/>
          <w:i w:val="0"/>
          <w:color w:val="000000" w:themeColor="text1"/>
          <w:sz w:val="16"/>
          <w:szCs w:val="16"/>
        </w:rPr>
        <w:t>А. И. Егоров</w:t>
      </w:r>
    </w:p>
    <w:p w14:paraId="03B80279" w14:textId="77777777" w:rsidR="006161A5" w:rsidRPr="00E14102" w:rsidRDefault="006161A5" w:rsidP="00E14102">
      <w:pPr>
        <w:jc w:val="both"/>
        <w:rPr>
          <w:color w:val="000000" w:themeColor="text1"/>
          <w:sz w:val="16"/>
          <w:szCs w:val="16"/>
        </w:rPr>
      </w:pPr>
      <w:r w:rsidRPr="00E14102">
        <w:rPr>
          <w:color w:val="000000" w:themeColor="text1"/>
          <w:sz w:val="16"/>
          <w:szCs w:val="16"/>
        </w:rPr>
        <w:t>Источник: Военный совет при народном комиссаре обороны СССР. Декабрь 1935 г.: Документы и материалы. — М.: "РОССПЭН", 2008. С. 506-515</w:t>
      </w:r>
    </w:p>
    <w:p w14:paraId="45438997" w14:textId="77777777" w:rsidR="006161A5" w:rsidRPr="00E14102" w:rsidRDefault="006161A5" w:rsidP="00E14102">
      <w:pPr>
        <w:jc w:val="both"/>
        <w:rPr>
          <w:color w:val="000000" w:themeColor="text1"/>
          <w:sz w:val="16"/>
          <w:szCs w:val="16"/>
        </w:rPr>
      </w:pPr>
      <w:r w:rsidRPr="00E14102">
        <w:rPr>
          <w:color w:val="000000" w:themeColor="text1"/>
          <w:sz w:val="16"/>
          <w:szCs w:val="16"/>
        </w:rPr>
        <w:t>Архив: РГВА. Ф. 4. Оп. 15. Д. 6. Л. 139—141. Типографский экземпляр (12600).</w:t>
      </w:r>
    </w:p>
    <w:p w14:paraId="4B023115" w14:textId="77777777" w:rsidR="006161A5" w:rsidRPr="00E14102" w:rsidRDefault="006161A5" w:rsidP="00E14102">
      <w:pPr>
        <w:pStyle w:val="rteright"/>
        <w:spacing w:before="0" w:after="0"/>
        <w:jc w:val="both"/>
        <w:rPr>
          <w:color w:val="000000" w:themeColor="text1"/>
          <w:sz w:val="16"/>
          <w:szCs w:val="16"/>
        </w:rPr>
      </w:pPr>
    </w:p>
    <w:p w14:paraId="2E21DA8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3CA50F3" w14:textId="77777777" w:rsidR="00D4105E" w:rsidRPr="00E14102" w:rsidRDefault="00D4105E" w:rsidP="00E14102">
      <w:pPr>
        <w:autoSpaceDE w:val="0"/>
        <w:autoSpaceDN w:val="0"/>
        <w:adjustRightInd w:val="0"/>
        <w:jc w:val="both"/>
        <w:rPr>
          <w:iCs/>
          <w:color w:val="000000" w:themeColor="text1"/>
          <w:sz w:val="16"/>
          <w:szCs w:val="16"/>
        </w:rPr>
      </w:pPr>
    </w:p>
    <w:p w14:paraId="69D6BA43" w14:textId="77777777" w:rsidR="00F132DF" w:rsidRPr="00E14102" w:rsidRDefault="00F132DF" w:rsidP="00E14102">
      <w:pPr>
        <w:jc w:val="both"/>
        <w:rPr>
          <w:color w:val="0070C0"/>
          <w:sz w:val="16"/>
          <w:szCs w:val="16"/>
        </w:rPr>
      </w:pPr>
      <w:r w:rsidRPr="00E14102">
        <w:rPr>
          <w:color w:val="0070C0"/>
          <w:sz w:val="16"/>
          <w:szCs w:val="16"/>
        </w:rPr>
        <w:t>28 декабря 1935 года в газете «Правда» вышла статья второго секретаря ЦК КП Украины П.П.Постышева «Давайте организуем к Новому году детям хорошую елку». Это был очень важный и своевременный шаг, так как празднование Нового года и Рождества Христова было отменено еще в двадцатых годах, дни недели именовались по числам, а вся страна трудилась над успешным выполнением пятилетнего плана. И вдруг Новый год, нарядная елка, игрушки и подарки, предпраздничная суета, хотя сам праздник еще не был выходным днем, но улыбки на лицах ребят и взрослых были лучшим свидетельством того, что это торжество необходимо. Уже на следующий, 1936 год, встреча Нового года распространилась на всю страну, появились елочные базары, стали изготавливаться артелями елочные украшения, дарились подарки. На новогодней елке 1937 года в Доме Советов в Москве впервые появилась Снегурочка – внучка Деда Мороза. Именно с этого момента стало известно изречение И.В.Сталина: «Жить стало лучше, жить стало веселей!» (21179).</w:t>
      </w:r>
    </w:p>
    <w:p w14:paraId="6DB48A42" w14:textId="77777777" w:rsidR="00F132DF" w:rsidRPr="00E14102" w:rsidRDefault="00F132DF" w:rsidP="00E14102">
      <w:pPr>
        <w:jc w:val="both"/>
        <w:rPr>
          <w:color w:val="0070C0"/>
          <w:sz w:val="16"/>
          <w:szCs w:val="16"/>
        </w:rPr>
      </w:pPr>
    </w:p>
    <w:p w14:paraId="639072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 декабря 1935 приказом МВС и Дмитлага № 295 объявлялось о начавшейся 2 ноября эксплуатации двухпутного участка “Хлебниково - Дмитров” Савеловской железной дороги, выстроенного силами МВС (7560).</w:t>
      </w:r>
    </w:p>
    <w:p w14:paraId="3786E011" w14:textId="77777777" w:rsidR="00D4105E" w:rsidRPr="00E14102" w:rsidRDefault="00D4105E" w:rsidP="00E14102">
      <w:pPr>
        <w:autoSpaceDE w:val="0"/>
        <w:autoSpaceDN w:val="0"/>
        <w:adjustRightInd w:val="0"/>
        <w:jc w:val="both"/>
        <w:rPr>
          <w:color w:val="000000" w:themeColor="text1"/>
          <w:sz w:val="16"/>
          <w:szCs w:val="16"/>
        </w:rPr>
      </w:pPr>
    </w:p>
    <w:p w14:paraId="4C4EAE0A" w14:textId="77777777" w:rsidR="00D4105E" w:rsidRPr="00E14102" w:rsidRDefault="004B7965" w:rsidP="00E14102">
      <w:pPr>
        <w:tabs>
          <w:tab w:val="left" w:pos="11199"/>
        </w:tabs>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01778283" w14:textId="77777777" w:rsidR="00D4105E" w:rsidRPr="00E14102" w:rsidRDefault="00D4105E" w:rsidP="00E14102">
      <w:pPr>
        <w:tabs>
          <w:tab w:val="left" w:pos="11199"/>
        </w:tabs>
        <w:autoSpaceDE w:val="0"/>
        <w:autoSpaceDN w:val="0"/>
        <w:adjustRightInd w:val="0"/>
        <w:jc w:val="both"/>
        <w:rPr>
          <w:iCs/>
          <w:color w:val="000000" w:themeColor="text1"/>
          <w:sz w:val="16"/>
          <w:szCs w:val="16"/>
        </w:rPr>
      </w:pPr>
    </w:p>
    <w:p w14:paraId="60D69D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29 декабря 1935 г. закончились заводские испытания машин триплекса, которые шли с 1 октября. В ходе них САУ прошли: СУ-5-1 - 296 км, СУ-5-2 — 206 км и СУ-5-3 — 189 км. 1 ноября после пробе</w:t>
      </w:r>
      <w:r w:rsidRPr="00E14102">
        <w:rPr>
          <w:color w:val="000000" w:themeColor="text1"/>
          <w:sz w:val="16"/>
          <w:szCs w:val="16"/>
        </w:rPr>
        <w:softHyphen/>
        <w:t>га СУ-5-3 была отправлена на парад в Москву. Кроме про</w:t>
      </w:r>
      <w:r w:rsidRPr="00E14102">
        <w:rPr>
          <w:color w:val="000000" w:themeColor="text1"/>
          <w:sz w:val="16"/>
          <w:szCs w:val="16"/>
        </w:rPr>
        <w:softHyphen/>
        <w:t>бегов, машины испытывались стрельбой — по 50 выстре</w:t>
      </w:r>
      <w:r w:rsidRPr="00E14102">
        <w:rPr>
          <w:color w:val="000000" w:themeColor="text1"/>
          <w:sz w:val="16"/>
          <w:szCs w:val="16"/>
        </w:rPr>
        <w:softHyphen/>
        <w:t>лов СУ-5-1 и СУ-5-2 и 23 выстрела СУ-5-3. В отчете по ре</w:t>
      </w:r>
      <w:r w:rsidRPr="00E14102">
        <w:rPr>
          <w:color w:val="000000" w:themeColor="text1"/>
          <w:sz w:val="16"/>
          <w:szCs w:val="16"/>
        </w:rPr>
        <w:softHyphen/>
        <w:t>зультатам испытаний были сделаны следующие выводы:</w:t>
      </w:r>
    </w:p>
    <w:p w14:paraId="2451F8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iCs/>
          <w:color w:val="000000" w:themeColor="text1"/>
          <w:sz w:val="16"/>
          <w:szCs w:val="16"/>
        </w:rPr>
        <w:t>«Самоходные установки обладают тактической по</w:t>
      </w:r>
      <w:r w:rsidRPr="00E14102">
        <w:rPr>
          <w:iCs/>
          <w:color w:val="000000" w:themeColor="text1"/>
          <w:sz w:val="16"/>
          <w:szCs w:val="16"/>
        </w:rPr>
        <w:softHyphen/>
        <w:t>движностью, позволяющей им передвигаться по дорогам и вне дорог. Переход в боевое положение для 76- и 122-мм СУ-5 — немедленно, для 152-мм машины — 2—3 минуты (необходи</w:t>
      </w:r>
      <w:r w:rsidRPr="00E14102">
        <w:rPr>
          <w:iCs/>
          <w:color w:val="000000" w:themeColor="text1"/>
          <w:sz w:val="16"/>
          <w:szCs w:val="16"/>
        </w:rPr>
        <w:softHyphen/>
        <w:t>мость ведения стрельбы с упором).</w:t>
      </w:r>
    </w:p>
    <w:p w14:paraId="77C26959"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Недостатки: мала прочность кронштейна, связывающего люльку с цапфовой обоймой, слабы бандажи опорных колес.</w:t>
      </w:r>
    </w:p>
    <w:p w14:paraId="785060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iCs/>
          <w:color w:val="000000" w:themeColor="text1"/>
          <w:sz w:val="16"/>
          <w:szCs w:val="16"/>
        </w:rPr>
        <w:t>Все выявленные дефекты принципиального значения не имеют и вполне устранимы».</w:t>
      </w:r>
    </w:p>
    <w:p w14:paraId="3EA0B6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Параллельно испытаниям шла доработка конструк</w:t>
      </w:r>
      <w:r w:rsidRPr="00E14102">
        <w:rPr>
          <w:color w:val="000000" w:themeColor="text1"/>
          <w:sz w:val="16"/>
          <w:szCs w:val="16"/>
        </w:rPr>
        <w:softHyphen/>
        <w:t>ции СУ-5. Так, для СУ-5-2 была введена укладка возимо</w:t>
      </w:r>
      <w:r w:rsidRPr="00E14102">
        <w:rPr>
          <w:color w:val="000000" w:themeColor="text1"/>
          <w:sz w:val="16"/>
          <w:szCs w:val="16"/>
        </w:rPr>
        <w:softHyphen/>
        <w:t>го БК в размере всего лишь четырех снарядов и шести гильз с зарядами, позднее, шести выстрелов.</w:t>
      </w:r>
    </w:p>
    <w:p w14:paraId="36884F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Планом на 1936 г. предполагалось изготовить партию из 30 шт. СУ-5-2. СУ-5-1 решили не выпускать, так как АТ-1 показала более предпочтительные результаты, а для СУ-5-3, во-первых, не было серийных орудий и, во-вторых, шасси Т-26 оказалось слабоватым для 152-мм мортиры (11417).</w:t>
      </w:r>
    </w:p>
    <w:p w14:paraId="26576E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344834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766D0BB6" w14:textId="77777777" w:rsidR="00D4105E" w:rsidRPr="00E14102" w:rsidRDefault="00D4105E" w:rsidP="00E14102">
      <w:pPr>
        <w:autoSpaceDE w:val="0"/>
        <w:autoSpaceDN w:val="0"/>
        <w:adjustRightInd w:val="0"/>
        <w:jc w:val="both"/>
        <w:rPr>
          <w:iCs/>
          <w:color w:val="000000" w:themeColor="text1"/>
          <w:sz w:val="16"/>
          <w:szCs w:val="16"/>
        </w:rPr>
      </w:pPr>
    </w:p>
    <w:p w14:paraId="50674BE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29 декабря 1935 в СССР объявлено о сокращении потребления водки на 50% с 1913 года (4962).</w:t>
      </w:r>
    </w:p>
    <w:p w14:paraId="25D8381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72EC62EE"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719C347A" w14:textId="77777777" w:rsidR="00D4105E" w:rsidRPr="00E14102" w:rsidRDefault="00D4105E" w:rsidP="00E14102">
      <w:pPr>
        <w:autoSpaceDE w:val="0"/>
        <w:autoSpaceDN w:val="0"/>
        <w:adjustRightInd w:val="0"/>
        <w:jc w:val="both"/>
        <w:rPr>
          <w:iCs/>
          <w:color w:val="000000" w:themeColor="text1"/>
          <w:sz w:val="16"/>
          <w:szCs w:val="16"/>
        </w:rPr>
      </w:pPr>
    </w:p>
    <w:p w14:paraId="10961B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декабря 1935 машину уже в который раз вернули в НИИ для продолжения испытаний. Государственные испытания СБ-2ИС продолжались до апреля 1936 г. (7643).</w:t>
      </w:r>
    </w:p>
    <w:p w14:paraId="69A77FE9" w14:textId="77777777" w:rsidR="00D4105E" w:rsidRPr="00E14102" w:rsidRDefault="00D4105E" w:rsidP="00E14102">
      <w:pPr>
        <w:autoSpaceDE w:val="0"/>
        <w:autoSpaceDN w:val="0"/>
        <w:adjustRightInd w:val="0"/>
        <w:jc w:val="both"/>
        <w:rPr>
          <w:color w:val="000000" w:themeColor="text1"/>
          <w:sz w:val="16"/>
          <w:szCs w:val="16"/>
        </w:rPr>
      </w:pPr>
    </w:p>
    <w:p w14:paraId="59E300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декабря 1935 Зам. ГИ ГУАП Фохт писал Нач. ХАИ Красильникову письмо N 242/6061с на 1456 от 21 декабря о возможности представить самолет ХАИ-6 без лыж:</w:t>
      </w:r>
    </w:p>
    <w:p w14:paraId="74A5C5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ХАИ-6 будет проходить гос. испытания в Москве в зимних условиях, поэтому обязательна установка его на лыжи." (2336,185).</w:t>
      </w:r>
    </w:p>
    <w:p w14:paraId="16A5122C" w14:textId="77777777" w:rsidR="00D4105E" w:rsidRPr="00E14102" w:rsidRDefault="00D4105E" w:rsidP="00E14102">
      <w:pPr>
        <w:autoSpaceDE w:val="0"/>
        <w:autoSpaceDN w:val="0"/>
        <w:adjustRightInd w:val="0"/>
        <w:jc w:val="both"/>
        <w:rPr>
          <w:color w:val="000000" w:themeColor="text1"/>
          <w:sz w:val="16"/>
          <w:szCs w:val="16"/>
        </w:rPr>
      </w:pPr>
    </w:p>
    <w:p w14:paraId="55B6D5C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30 декабря 1935 проходили испытания самолета Р-6 с малым количеством горючего в бензобаках, которые проходили с 9 декабря 1935 (6832).</w:t>
      </w:r>
    </w:p>
    <w:p w14:paraId="6233610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681DEC1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Ст. инженер 3 отдела Чернявский</w:t>
      </w:r>
    </w:p>
    <w:p w14:paraId="5EF6D7B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3EBE6B8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Установить надежность действия системы питания горючим самолета Р-6 с малым количеством горючего в бензобаках, как при работе моторов на земле, так и в полете при различных положениях самолета.</w:t>
      </w:r>
    </w:p>
    <w:p w14:paraId="2A2F46E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72BEC1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Система питания на самолете Р-6 с количеством горючего в бензобаках – 210 кг (менее 10% общей емкости баков) в полете по прямой, на виражах и горках работает надежно.</w:t>
      </w:r>
    </w:p>
    <w:p w14:paraId="1B0DCDC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Календарь испытаний</w:t>
      </w:r>
    </w:p>
    <w:p w14:paraId="7B9C2AD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 декабря 1936 года – пробный вылет</w:t>
      </w:r>
    </w:p>
    <w:p w14:paraId="3123D13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28 декабря 1936 года – испытательный полет с малым количеством горючего (6832).</w:t>
      </w:r>
    </w:p>
    <w:p w14:paraId="461D3E6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6AF014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декабря 1935 г., Николай Поликарпов представил проект новой высотной модификации полутораплана, обозначенной им как И-15 РВ (Рекорд высоты). В этом варианте предполагалась закрытая кабина с обогревом и полностью закапотированный двигатель по типу И-16. Размах верхнего крыла был увеличен до 12 м, нижнего - до 9,5 м. Несущая поверхность крыльев соответственно увеличивалась по сравнению с базовой моделью и составляла 26,9 кв.м. По расчетам И-15 РВ мог достичь высоты 15 400 м. Проект этого высотного варианта не осуществлялся, так как полеты на высоту в полтора десятка километров являлись для пилота, сидящего в открытой кабине, слишком рискованным предприятием. Нужна была герметическая кабина (6593).</w:t>
      </w:r>
    </w:p>
    <w:p w14:paraId="174C1149" w14:textId="77777777" w:rsidR="00D4105E" w:rsidRPr="00E14102" w:rsidRDefault="00D4105E" w:rsidP="00E14102">
      <w:pPr>
        <w:autoSpaceDE w:val="0"/>
        <w:autoSpaceDN w:val="0"/>
        <w:adjustRightInd w:val="0"/>
        <w:jc w:val="both"/>
        <w:rPr>
          <w:color w:val="000000" w:themeColor="text1"/>
          <w:sz w:val="16"/>
          <w:szCs w:val="16"/>
        </w:rPr>
      </w:pPr>
    </w:p>
    <w:p w14:paraId="5C3FCA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декабря 1935 г., Николай Поликарпов представил проект новой высотной модификации полутора- плана, обозначенной им как И-15 РВ (Рекорд высоты). В этом варианте предполагалась закрытая кабина с обогревом и полностью закапотированный двигатель по типу И-16. Размах верхнего крыла был увеличен до 12 м, нижнего - до 9,5 м. Несущая поверхность крыльев соответственно увеличивалась по сравнению с базовой моделью и составляла 26,9 кв.м.</w:t>
      </w:r>
    </w:p>
    <w:p w14:paraId="1655E2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расчетам И-15 РВ мог достичь высоты 15400 м. Однако до его реализации дело не дошло, так как полеты на высоту в полтора десятка километров являлись для летчика, сидящего в открытой кабине, слишком рискованным предприятием. Нужна была герметическая кабина.</w:t>
      </w:r>
    </w:p>
    <w:p w14:paraId="77EEFD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Гермокабину для И-15 в КБ Поликарпова разработали в 1937 г. Основным условием при ее проектировании и постройке являлась неизменность силовых элементов конструкции самолета. Кабина представляла собой эластичный кокон, склеенный из нескольких слоев прорезиненного перкаля.</w:t>
      </w:r>
    </w:p>
    <w:p w14:paraId="266ED7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Фонарь выполнили в виде двухслойного плексигласового колпака, закрепленного на стальном каркасе. При открытии его подвижная центральная часть откидывалась на правый борт. Конструкцию установили на второй опытной машине - ЦКБ-3. Самолет оснастили двигателем М-25Е, оснащенным двумя турбокомпрессорами (ТК).</w:t>
      </w:r>
    </w:p>
    <w:p w14:paraId="055F8B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указанных доработок аппарат получил обозначение И-15В (высотный), в ряде документов обозначался также как "Объект 415-В". И-15В долго совершенствовался и доводился, летал мало. 26 января 1939 г. самолет осмотрела специальная комиссия, которая признала, что "материальная часть очень изношена", конструкция эксплуатируется уже в течение пяти лет, в то время, как по нормам ВВС срок эксплуатации определен в четыре года. Комиссия заключила, что самолет по этой причине к дальнейшему использованию не годен и полеты на нем следует прекратить. Эта показательная формалистика стала ничем иным, как удачным выходом из тупиковой ситуации. Дело в том, что продолжать работу над самолетом И -15 В в тот момент уже не имело смысла, ибо летали варианты И-15 с более удачными гермокабинами конструкции Щербакова (12014).</w:t>
      </w:r>
    </w:p>
    <w:p w14:paraId="3D82067E" w14:textId="77777777" w:rsidR="00D4105E" w:rsidRPr="00E14102" w:rsidRDefault="00D4105E" w:rsidP="00E14102">
      <w:pPr>
        <w:autoSpaceDE w:val="0"/>
        <w:autoSpaceDN w:val="0"/>
        <w:adjustRightInd w:val="0"/>
        <w:jc w:val="both"/>
        <w:rPr>
          <w:color w:val="000000" w:themeColor="text1"/>
          <w:sz w:val="16"/>
          <w:szCs w:val="16"/>
        </w:rPr>
      </w:pPr>
    </w:p>
    <w:p w14:paraId="403FE8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декабря 1935 Зам. НКТП Л.М.К. писал письмо в СТО на № 2408/ко от 15 декабря 1935 г.:</w:t>
      </w:r>
    </w:p>
    <w:p w14:paraId="6EBE40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докладу Командующего Войсками Б.В.О. тов. УБОРЕВИЧА об основных дефектах, установленных при войсковых испытани</w:t>
      </w:r>
      <w:r w:rsidRPr="00E14102">
        <w:rPr>
          <w:color w:val="000000" w:themeColor="text1"/>
          <w:sz w:val="16"/>
          <w:szCs w:val="16"/>
        </w:rPr>
        <w:softHyphen/>
        <w:t>ях в самолетах новых систем, производимых предприятиями НКТП, НКТП сообщает следующее:</w:t>
      </w:r>
    </w:p>
    <w:p w14:paraId="13AB70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До самолету "ССС” с </w:t>
      </w:r>
      <w:r w:rsidRPr="00E14102">
        <w:rPr>
          <w:smallCaps/>
          <w:color w:val="000000" w:themeColor="text1"/>
          <w:sz w:val="16"/>
          <w:szCs w:val="16"/>
        </w:rPr>
        <w:t xml:space="preserve">мотором </w:t>
      </w:r>
      <w:r w:rsidRPr="00E14102">
        <w:rPr>
          <w:color w:val="000000" w:themeColor="text1"/>
          <w:sz w:val="16"/>
          <w:szCs w:val="16"/>
        </w:rPr>
        <w:t>М-17Ф.</w:t>
      </w:r>
    </w:p>
    <w:p w14:paraId="32F8D01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Ряд, отмеченных в докладе, дефектов на последующих ма</w:t>
      </w:r>
      <w:r w:rsidRPr="00E14102">
        <w:rPr>
          <w:color w:val="000000" w:themeColor="text1"/>
          <w:sz w:val="16"/>
          <w:szCs w:val="16"/>
        </w:rPr>
        <w:softHyphen/>
        <w:t>шинах нами устранен, а именно:</w:t>
      </w:r>
    </w:p>
    <w:p w14:paraId="0E53EE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Выбрасывание воды из расширительного бачка, ни на заводе, ни в отчете НИИ УВС по испытанию эталона ССС, не отмечалось и было обнаружено позднее при заводских облетах машин, после отправки первого десятка самолетов ССС на войсковые испытания. '</w:t>
      </w:r>
    </w:p>
    <w:p w14:paraId="44E23CE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последующих машинах этот дефект устранен путем из</w:t>
      </w:r>
      <w:r w:rsidRPr="00E14102">
        <w:rPr>
          <w:color w:val="000000" w:themeColor="text1"/>
          <w:sz w:val="16"/>
          <w:szCs w:val="16"/>
        </w:rPr>
        <w:softHyphen/>
        <w:t>менения конструкции атмосферной трубки и расширительного бачка.</w:t>
      </w:r>
    </w:p>
    <w:p w14:paraId="364836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Новые бачки в данное время досланы к 10 машинам, про</w:t>
      </w:r>
      <w:r w:rsidRPr="00E14102">
        <w:rPr>
          <w:color w:val="000000" w:themeColor="text1"/>
          <w:sz w:val="16"/>
          <w:szCs w:val="16"/>
        </w:rPr>
        <w:softHyphen/>
        <w:t>ходившим испытания.</w:t>
      </w:r>
    </w:p>
    <w:p w14:paraId="0B4C790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Невозможность питания мотора бензином от верхних баков, путем самотека. при отказе помны “Хорнет" (в отчете НИИ ВВС не отмечалось), легко устраняется путем смены пружины на обратном клапане помпы "Хорнет” на пружину более слабую или путем "откусывания” 3-х витков существующей пружи</w:t>
      </w:r>
      <w:r w:rsidRPr="00E14102">
        <w:rPr>
          <w:color w:val="000000" w:themeColor="text1"/>
          <w:sz w:val="16"/>
          <w:szCs w:val="16"/>
        </w:rPr>
        <w:softHyphen/>
        <w:t>ны (что проверялось и на заводе и на войсковых испытаниях).</w:t>
      </w:r>
    </w:p>
    <w:p w14:paraId="0FCC42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Пружины, оттарированные на нужное давление, будут ра</w:t>
      </w:r>
      <w:r w:rsidRPr="00E14102">
        <w:rPr>
          <w:color w:val="000000" w:themeColor="text1"/>
          <w:sz w:val="16"/>
          <w:szCs w:val="16"/>
        </w:rPr>
        <w:softHyphen/>
        <w:t>зосланы в войсковые части заводом.дополнительно.</w:t>
      </w:r>
    </w:p>
    <w:p w14:paraId="2A27FD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Об утомляемости левой руки пилота вследствие высо</w:t>
      </w:r>
      <w:r w:rsidRPr="00E14102">
        <w:rPr>
          <w:color w:val="000000" w:themeColor="text1"/>
          <w:sz w:val="16"/>
          <w:szCs w:val="16"/>
        </w:rPr>
        <w:softHyphen/>
        <w:t>кого положения локтя и невозможности пустить в ход огнету</w:t>
      </w:r>
      <w:r w:rsidRPr="00E14102">
        <w:rPr>
          <w:color w:val="000000" w:themeColor="text1"/>
          <w:sz w:val="16"/>
          <w:szCs w:val="16"/>
        </w:rPr>
        <w:softHyphen/>
        <w:t>шитель вследствие того, что пилот достает его концами паль</w:t>
      </w:r>
      <w:r w:rsidRPr="00E14102">
        <w:rPr>
          <w:color w:val="000000" w:themeColor="text1"/>
          <w:sz w:val="16"/>
          <w:szCs w:val="16"/>
        </w:rPr>
        <w:softHyphen/>
        <w:t>цев, не отмечалось ни в отчете НИИ УВС, ни при облетах ма</w:t>
      </w:r>
      <w:r w:rsidRPr="00E14102">
        <w:rPr>
          <w:color w:val="000000" w:themeColor="text1"/>
          <w:sz w:val="16"/>
          <w:szCs w:val="16"/>
        </w:rPr>
        <w:softHyphen/>
        <w:t>шин на заводе.</w:t>
      </w:r>
    </w:p>
    <w:p w14:paraId="5B458E0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Положение левой руки пилота на сам. ССС такое же, как на серийном сам. Р-5. Замечаний от УВС по Р-5 завод никаких не имел.</w:t>
      </w:r>
    </w:p>
    <w:p w14:paraId="16671C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Стеснение кабины летнаба турелью для "Шкас" (Тур-8), отмечалось НИИ УВС еще по сам. Р-5. Заводом были смонтирова</w:t>
      </w:r>
      <w:r w:rsidRPr="00E14102">
        <w:rPr>
          <w:color w:val="000000" w:themeColor="text1"/>
          <w:sz w:val="16"/>
          <w:szCs w:val="16"/>
        </w:rPr>
        <w:softHyphen/>
        <w:t>ны на 3-х самолетах измененные задние установки, частично освобождающие кабину и предъявлены для осмотра НИИ УВС и Маршалу Советского Союза тов. ТУХАЧЕВСКОМУ. После испытания машин заводу все же было предложено УВС монтировать стандартную турель "Тур-8 с неподвижным ящиком, кото</w:t>
      </w:r>
      <w:r w:rsidRPr="00E14102">
        <w:rPr>
          <w:color w:val="000000" w:themeColor="text1"/>
          <w:sz w:val="16"/>
          <w:szCs w:val="16"/>
        </w:rPr>
        <w:softHyphen/>
        <w:t>рая и ставится в настоящее время на сам. ССС.</w:t>
      </w:r>
    </w:p>
    <w:p w14:paraId="0CAEF9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возможности свободной работы летнаба в кабине, при существующей турели, может быть применен прицепной парашют, кото</w:t>
      </w:r>
      <w:r w:rsidRPr="00E14102">
        <w:rPr>
          <w:color w:val="000000" w:themeColor="text1"/>
          <w:sz w:val="16"/>
          <w:szCs w:val="16"/>
        </w:rPr>
        <w:softHyphen/>
        <w:t>рый в свое время предлагался заводом.</w:t>
      </w:r>
    </w:p>
    <w:p w14:paraId="2FA86E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Слабость возвратных пружин перезаряжающего механизма пуле</w:t>
      </w:r>
      <w:r w:rsidRPr="00E14102">
        <w:rPr>
          <w:color w:val="000000" w:themeColor="text1"/>
          <w:sz w:val="16"/>
          <w:szCs w:val="16"/>
        </w:rPr>
        <w:softHyphen/>
        <w:t>метов отмечалась на первых машинах и на заводе, что является след</w:t>
      </w:r>
      <w:r w:rsidRPr="00E14102">
        <w:rPr>
          <w:color w:val="000000" w:themeColor="text1"/>
          <w:sz w:val="16"/>
          <w:szCs w:val="16"/>
        </w:rPr>
        <w:softHyphen/>
        <w:t>ствием установки на первые 25 машин пулеметов турельного типа из первых выпусков Т0З"а. При монтаже на последующие машины пулеметов крыльевого типа последних выпусков Т03"а - отказов возвратных пру</w:t>
      </w:r>
      <w:r w:rsidRPr="00E14102">
        <w:rPr>
          <w:color w:val="000000" w:themeColor="text1"/>
          <w:sz w:val="16"/>
          <w:szCs w:val="16"/>
        </w:rPr>
        <w:softHyphen/>
        <w:t>жин, на заводе не наблюдалось.</w:t>
      </w:r>
    </w:p>
    <w:p w14:paraId="6BAC29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усиления действия возвратной пружины (в случае нужды в том в войсковых частях), заводом прикладываются дополнительные пружины к каждому самолету, которые могут быть смонтированы в в/ча</w:t>
      </w:r>
      <w:r w:rsidRPr="00E14102">
        <w:rPr>
          <w:color w:val="000000" w:themeColor="text1"/>
          <w:sz w:val="16"/>
          <w:szCs w:val="16"/>
        </w:rPr>
        <w:softHyphen/>
        <w:t>стях.</w:t>
      </w:r>
    </w:p>
    <w:p w14:paraId="46CCE7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Большое количество задержек в стрельбе пулеметов, помимо не</w:t>
      </w:r>
      <w:r w:rsidRPr="00E14102">
        <w:rPr>
          <w:color w:val="000000" w:themeColor="text1"/>
          <w:sz w:val="16"/>
          <w:szCs w:val="16"/>
        </w:rPr>
        <w:softHyphen/>
        <w:t>совершенства самой установки, зависит от:</w:t>
      </w:r>
    </w:p>
    <w:p w14:paraId="3DD648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заедания патрона в звене, вследствие ручной набивки патро</w:t>
      </w:r>
      <w:r w:rsidRPr="00E14102">
        <w:rPr>
          <w:color w:val="000000" w:themeColor="text1"/>
          <w:sz w:val="16"/>
          <w:szCs w:val="16"/>
        </w:rPr>
        <w:softHyphen/>
        <w:t>нов и некалиброванные звенья;</w:t>
      </w:r>
    </w:p>
    <w:p w14:paraId="60A1F6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недостаточного освоения новой техники личным составом, что было отмечено и при войсковых испытаниях и в заводской прак</w:t>
      </w:r>
      <w:r w:rsidRPr="00E14102">
        <w:rPr>
          <w:color w:val="000000" w:themeColor="text1"/>
          <w:sz w:val="16"/>
          <w:szCs w:val="16"/>
        </w:rPr>
        <w:softHyphen/>
        <w:t>тике.</w:t>
      </w:r>
    </w:p>
    <w:p w14:paraId="408D29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Надежность огня крыльевой установки почти не уступает надеж</w:t>
      </w:r>
      <w:r w:rsidRPr="00E14102">
        <w:rPr>
          <w:color w:val="000000" w:themeColor="text1"/>
          <w:sz w:val="16"/>
          <w:szCs w:val="16"/>
        </w:rPr>
        <w:softHyphen/>
        <w:t>ности огня турельной установки по данным и войсковых испытаний и завода).</w:t>
      </w:r>
    </w:p>
    <w:p w14:paraId="0279C73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Управление сбрасыванием бомб электрифицировано. Бомбы мо</w:t>
      </w:r>
      <w:r w:rsidRPr="00E14102">
        <w:rPr>
          <w:color w:val="000000" w:themeColor="text1"/>
          <w:sz w:val="16"/>
          <w:szCs w:val="16"/>
        </w:rPr>
        <w:softHyphen/>
        <w:t>гут сбрасываться по 1, 2, 3, 4 в любом порядке. В случае отказа электросбрасывателя, сбрасывание производится механическим (троссовым) дублером. При этом все бомбы сбрасываются одновременно. Такая схема управления замками одобрена и утверждена УВС.</w:t>
      </w:r>
    </w:p>
    <w:p w14:paraId="14DCFD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обеспечения безотказной работы, совершенно необходим тща</w:t>
      </w:r>
      <w:r w:rsidRPr="00E14102">
        <w:rPr>
          <w:color w:val="000000" w:themeColor="text1"/>
          <w:sz w:val="16"/>
          <w:szCs w:val="16"/>
        </w:rPr>
        <w:softHyphen/>
        <w:t>тельный уход за замками, предохранение их от загрязнения и смазка соответствующими незамерзающими маслами. Работает замки, при этом и от аккумулятора и от динамо.</w:t>
      </w:r>
    </w:p>
    <w:p w14:paraId="7CF4D9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предварительным данным испытания отказов бомбовой установ</w:t>
      </w:r>
      <w:r w:rsidRPr="00E14102">
        <w:rPr>
          <w:color w:val="000000" w:themeColor="text1"/>
          <w:sz w:val="16"/>
          <w:szCs w:val="16"/>
        </w:rPr>
        <w:softHyphen/>
        <w:t>ки было около 7 - 8%, при этом 3/4 из них получаются только из-за неосвоения установки личным составом.</w:t>
      </w:r>
    </w:p>
    <w:p w14:paraId="5837031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кассету помещаются, как бомбы АО-3, так и бомбы АО-10 без всякой переделки кассет.</w:t>
      </w:r>
    </w:p>
    <w:p w14:paraId="517E54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проектировании бомбовой установки, возможность подвески АОХ - не учитывалась (согласно тактико-технических требований НИИ УВС на сам. ССС).</w:t>
      </w:r>
    </w:p>
    <w:p w14:paraId="767CE02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Дефекты, отмеченные в свое время НИИ УВС при испытании этало</w:t>
      </w:r>
      <w:r w:rsidRPr="00E14102">
        <w:rPr>
          <w:color w:val="000000" w:themeColor="text1"/>
          <w:sz w:val="16"/>
          <w:szCs w:val="16"/>
        </w:rPr>
        <w:softHyphen/>
        <w:t>на 3-С, в серии были заводом устранены.</w:t>
      </w:r>
    </w:p>
    <w:p w14:paraId="2FB146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1.1.36 г. завод №.1 заканчивает выпуск самолетов ССС. Не</w:t>
      </w:r>
      <w:r w:rsidRPr="00E14102">
        <w:rPr>
          <w:color w:val="000000" w:themeColor="text1"/>
          <w:sz w:val="16"/>
          <w:szCs w:val="16"/>
        </w:rPr>
        <w:softHyphen/>
        <w:t>смотря на-запаздывание сведений о результате войсковых испытаний, Ряд дефектов, не отмечающихся УВС при испытании эталона, но выяв</w:t>
      </w:r>
      <w:r w:rsidRPr="00E14102">
        <w:rPr>
          <w:color w:val="000000" w:themeColor="text1"/>
          <w:sz w:val="16"/>
          <w:szCs w:val="16"/>
        </w:rPr>
        <w:softHyphen/>
        <w:t>ленных позднее, был устранен в серийном производстве, так что на самолетах серийного производства устранен целый ряд дефектов, вы</w:t>
      </w:r>
      <w:r w:rsidRPr="00E14102">
        <w:rPr>
          <w:color w:val="000000" w:themeColor="text1"/>
          <w:sz w:val="16"/>
          <w:szCs w:val="16"/>
        </w:rPr>
        <w:softHyphen/>
        <w:t>явившихся на испытаниях войсковой серии.</w:t>
      </w:r>
    </w:p>
    <w:p w14:paraId="3EECD3E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Поэтому завод №.1, для обеспечения качества своей продукции, направляет бригады с завода в войсковые части (имеется специаль</w:t>
      </w:r>
      <w:r w:rsidRPr="00E14102">
        <w:rPr>
          <w:color w:val="000000" w:themeColor="text1"/>
          <w:sz w:val="16"/>
          <w:szCs w:val="16"/>
        </w:rPr>
        <w:softHyphen/>
        <w:t>ное соглашение завода №.1 с УВС РККА).</w:t>
      </w:r>
    </w:p>
    <w:p w14:paraId="1E8A64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До самолету И-16 М-22.</w:t>
      </w:r>
    </w:p>
    <w:p w14:paraId="3E2DB28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До пункту "А”.</w:t>
      </w:r>
    </w:p>
    <w:p w14:paraId="7A268A0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устранения угорания летчика и забивания отработанных газов в кабину заводом № .39 введены удлиненные выхлопные патруб</w:t>
      </w:r>
      <w:r w:rsidRPr="00E14102">
        <w:rPr>
          <w:color w:val="000000" w:themeColor="text1"/>
          <w:sz w:val="16"/>
          <w:szCs w:val="16"/>
        </w:rPr>
        <w:softHyphen/>
        <w:t>ки, которые утверждены Н.К.О. (УВС РККА) и т.о. отводить газы под фюзеляж не имеёт смысла, из-за сложности конструкции и ухудшения летных качеств самолета.</w:t>
      </w:r>
    </w:p>
    <w:p w14:paraId="338B30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Заводом №.39 и №.21 указанные патрубки высылаются в войсковые части по нарядам УВС РККА.</w:t>
      </w:r>
    </w:p>
    <w:p w14:paraId="7DE1A9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пункту "Б"</w:t>
      </w:r>
    </w:p>
    <w:p w14:paraId="552F86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усиления крепления амортизационного пакета костыля заво</w:t>
      </w:r>
      <w:r w:rsidRPr="00E14102">
        <w:rPr>
          <w:color w:val="000000" w:themeColor="text1"/>
          <w:sz w:val="16"/>
          <w:szCs w:val="16"/>
        </w:rPr>
        <w:softHyphen/>
        <w:t>дом №.39 заменен стяжной болт с диаметра 8 мм на 9 мм. Эти болты высланы заводом №.39 и высылаются зав. №.21 в войсковые части по нарядам УВС РККА.</w:t>
      </w:r>
    </w:p>
    <w:p w14:paraId="1B5861F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пункту “В”</w:t>
      </w:r>
    </w:p>
    <w:p w14:paraId="28B2B36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поводу коробления фанеры на зализах центроплана мы полу</w:t>
      </w:r>
      <w:r w:rsidRPr="00E14102">
        <w:rPr>
          <w:color w:val="000000" w:themeColor="text1"/>
          <w:sz w:val="16"/>
          <w:szCs w:val="16"/>
        </w:rPr>
        <w:softHyphen/>
        <w:t>чили еще ранее-сведения на основании войсковых испытаний И16-М22, произведенных в Брянске.</w:t>
      </w:r>
    </w:p>
    <w:p w14:paraId="6A98F6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Это коробление, по нашему мнению, согласованному с Военным Представителем завода №.39 является результатом недостаточной про</w:t>
      </w:r>
      <w:r w:rsidRPr="00E14102">
        <w:rPr>
          <w:color w:val="000000" w:themeColor="text1"/>
          <w:sz w:val="16"/>
          <w:szCs w:val="16"/>
        </w:rPr>
        <w:softHyphen/>
        <w:t>сушки шпона при изготовлении этих машин. На машинах, находящихся в частях исправить это не представляется возможным, В дальнейшем при производстве машин учитывается этот дефект и дается большая выдержка при просушке шпона на заводе №.21.</w:t>
      </w:r>
    </w:p>
    <w:p w14:paraId="0940A0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 этом дефекте производственного характера сообщено заводу.</w:t>
      </w:r>
    </w:p>
    <w:p w14:paraId="0F4969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Что касается отставания полотна на плоскостях самолета, не</w:t>
      </w:r>
      <w:r w:rsidRPr="00E14102">
        <w:rPr>
          <w:color w:val="000000" w:themeColor="text1"/>
          <w:sz w:val="16"/>
          <w:szCs w:val="16"/>
        </w:rPr>
        <w:softHyphen/>
        <w:t>обходимо отметить, что на сам. И-16 с моторами "Райт-Циклон", ко</w:t>
      </w:r>
      <w:r w:rsidRPr="00E14102">
        <w:rPr>
          <w:color w:val="000000" w:themeColor="text1"/>
          <w:sz w:val="16"/>
          <w:szCs w:val="16"/>
        </w:rPr>
        <w:softHyphen/>
        <w:t>торые будут выпускаться 21-м заводом, предусмотрено увеличение дюралевой обшивки носковой части профиля крыла. Отставание же полотна на самолете И16 - М22, о чем ранее было известно конструк</w:t>
      </w:r>
      <w:r w:rsidRPr="00E14102">
        <w:rPr>
          <w:color w:val="000000" w:themeColor="text1"/>
          <w:sz w:val="16"/>
          <w:szCs w:val="16"/>
        </w:rPr>
        <w:softHyphen/>
        <w:t>тору, не вызвало опасений безопасности полета, так как остаточных деформаций полотна при этом не обнаружилось.</w:t>
      </w:r>
    </w:p>
    <w:p w14:paraId="0E574A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пункту “Г".</w:t>
      </w:r>
    </w:p>
    <w:p w14:paraId="45DCE4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 случаях непроизвольного складывания шасси заводу №.39 уже было ранее известно из акта специальной комиссии с участием представителя 39-го завода, обследовавшего эти случаи в бригаде БВО.</w:t>
      </w:r>
    </w:p>
    <w:p w14:paraId="4623AB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НКТП дано указание бригаде тов. ПОЛИКАРПОВА срочно довести об этом дефекте до сведения ЦАГИ, где разрабатывалась конструк</w:t>
      </w:r>
      <w:r w:rsidRPr="00E14102">
        <w:rPr>
          <w:color w:val="000000" w:themeColor="text1"/>
          <w:sz w:val="16"/>
          <w:szCs w:val="16"/>
        </w:rPr>
        <w:softHyphen/>
        <w:t>ция колеса и совместно с 9-й бригадой ЦАГИ установить допустимые зазоры и дать указания заводу №.120, производящему эти колеса и заводу №.1 для проверки зазоров при монтаже.</w:t>
      </w:r>
    </w:p>
    <w:p w14:paraId="618346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 были из-за незнания летного состава мат. части</w:t>
      </w:r>
    </w:p>
    <w:p w14:paraId="042B9A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пункту "Д”.</w:t>
      </w:r>
    </w:p>
    <w:p w14:paraId="17D8235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Гашетки являются стандартными. По мнению конструкторов большие усиления при нажатии на гашетку имеют место в резуль</w:t>
      </w:r>
      <w:r w:rsidRPr="00E14102">
        <w:rPr>
          <w:color w:val="000000" w:themeColor="text1"/>
          <w:sz w:val="16"/>
          <w:szCs w:val="16"/>
        </w:rPr>
        <w:softHyphen/>
        <w:t>тате направильной регулировки троссов проводки.</w:t>
      </w:r>
    </w:p>
    <w:p w14:paraId="59D005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НКТП дано указание бригаде составить инструкцию регулировки и через Военного Представителя завода №.39 направить эту инструкцию в части.</w:t>
      </w:r>
    </w:p>
    <w:p w14:paraId="1C66BA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пункту "Е”.</w:t>
      </w:r>
    </w:p>
    <w:p w14:paraId="2C106E1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Явление разворота самолета в сторону стреляющего пулемета при остановке другого, при мелких очередях, рекомендуемых так</w:t>
      </w:r>
      <w:r w:rsidRPr="00E14102">
        <w:rPr>
          <w:color w:val="000000" w:themeColor="text1"/>
          <w:sz w:val="16"/>
          <w:szCs w:val="16"/>
        </w:rPr>
        <w:softHyphen/>
        <w:t>тикой воздушного боя, не может иметь место и поэтому устране</w:t>
      </w:r>
      <w:r w:rsidRPr="00E14102">
        <w:rPr>
          <w:color w:val="000000" w:themeColor="text1"/>
          <w:sz w:val="16"/>
          <w:szCs w:val="16"/>
        </w:rPr>
        <w:softHyphen/>
        <w:t>ние его при проектировании ПУЛ- установки не предусматривалось.</w:t>
      </w:r>
    </w:p>
    <w:p w14:paraId="0D5B8C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настоящее время дано задание бригаде тов .ПОЛИКАРПОВА на разработку конструкции специального наддульника, понижающего силу отдачи пулемета. Суждение целесообразности применения по</w:t>
      </w:r>
      <w:r w:rsidRPr="00E14102">
        <w:rPr>
          <w:color w:val="000000" w:themeColor="text1"/>
          <w:sz w:val="16"/>
          <w:szCs w:val="16"/>
        </w:rPr>
        <w:softHyphen/>
        <w:t>следнего может быть выявлено только после изготовления опытного образца и проведения испытания стрельбой.</w:t>
      </w:r>
    </w:p>
    <w:p w14:paraId="0C1B441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пункту "Ж".</w:t>
      </w:r>
    </w:p>
    <w:p w14:paraId="0D104D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Время под"ема шасси при троссовой схеме уборки связано с затрачиваемой силой для под"ема. Сокращение времени под"ема вызывает новый дефект - большие усилия на ручку под"ема.</w:t>
      </w:r>
    </w:p>
    <w:p w14:paraId="458649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Шасси и его кинематика прошли госиспытания и даже повойсковым испытаниям завод замечаний не имел.</w:t>
      </w:r>
    </w:p>
    <w:p w14:paraId="4BCC24D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Пд пункту "3".</w:t>
      </w:r>
    </w:p>
    <w:p w14:paraId="71AEDE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процессе госиспытаний было пред"явлено требование для сокращения времени установки пулеметов сделать легкос"емные нижние дюки, что и было выполнено путем замены шомполов на зам</w:t>
      </w:r>
      <w:r w:rsidRPr="00E14102">
        <w:rPr>
          <w:color w:val="000000" w:themeColor="text1"/>
          <w:sz w:val="16"/>
          <w:szCs w:val="16"/>
        </w:rPr>
        <w:softHyphen/>
        <w:t>ки "Ферри".</w:t>
      </w:r>
    </w:p>
    <w:p w14:paraId="5CA027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Снижение времени установки пулемета можно достигнуть за счет дальнейшей тренировки обслуживающего персонала.</w:t>
      </w:r>
    </w:p>
    <w:p w14:paraId="07239E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пункту "И".</w:t>
      </w:r>
    </w:p>
    <w:p w14:paraId="7C822D0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Отказ компаса (КИ) происходит от вибрации приборной доски.</w:t>
      </w:r>
    </w:p>
    <w:p w14:paraId="2905D5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настоящее время бригадой разработано дополнительное крепление доски, которое будет в ближайшее времям достално в части по машинам 39-го завода.</w:t>
      </w:r>
    </w:p>
    <w:p w14:paraId="5FE55AB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Крепление этой доски на заводе № 21 производится по их чертежам, разработанным самостоятельно и также будут досылать</w:t>
      </w:r>
      <w:r w:rsidRPr="00E14102">
        <w:rPr>
          <w:color w:val="000000" w:themeColor="text1"/>
          <w:sz w:val="16"/>
          <w:szCs w:val="16"/>
        </w:rPr>
        <w:softHyphen/>
        <w:t>ся в части.</w:t>
      </w:r>
    </w:p>
    <w:p w14:paraId="7CD550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 самолетах ТБ-3.</w:t>
      </w:r>
    </w:p>
    <w:p w14:paraId="1E8BB4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самолетах ТБ-3 4М34Р в количестве 42 штук в войсковой части №. 2402 БВО, работа по усилению верхнего узла крепления масляной амортизационной стоики костыля была начата с 16.</w:t>
      </w:r>
      <w:r w:rsidRPr="00E14102">
        <w:rPr>
          <w:color w:val="000000" w:themeColor="text1"/>
          <w:sz w:val="16"/>
          <w:szCs w:val="16"/>
          <w:lang w:val="en-US"/>
        </w:rPr>
        <w:t>XI</w:t>
      </w:r>
      <w:r w:rsidRPr="00E14102">
        <w:rPr>
          <w:color w:val="000000" w:themeColor="text1"/>
          <w:sz w:val="16"/>
          <w:szCs w:val="16"/>
        </w:rPr>
        <w:t>.35 г. - закончена 14.ХП.35 и сдана по акту от 14ХП.35 г.</w:t>
      </w:r>
    </w:p>
    <w:p w14:paraId="709895B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испытательных полетах на взлет и посадку, дефектов об</w:t>
      </w:r>
      <w:r w:rsidRPr="00E14102">
        <w:rPr>
          <w:color w:val="000000" w:themeColor="text1"/>
          <w:sz w:val="16"/>
          <w:szCs w:val="16"/>
        </w:rPr>
        <w:softHyphen/>
        <w:t>наружено не было.</w:t>
      </w:r>
    </w:p>
    <w:p w14:paraId="28B3CF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Приемочной Комиссией самолеты допущены к эксплоатациа .</w:t>
      </w:r>
    </w:p>
    <w:p w14:paraId="153B2BF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отношении самолета "ЗЕТ" считаю необходимым доложить, что они были изготовлена еще в 1932-1933 г., согласно тактико -техни</w:t>
      </w:r>
      <w:r w:rsidRPr="00E14102">
        <w:rPr>
          <w:color w:val="000000" w:themeColor="text1"/>
          <w:sz w:val="16"/>
          <w:szCs w:val="16"/>
        </w:rPr>
        <w:softHyphen/>
        <w:t>ческих требований УВС РККА и сняты с производства в 1934 году.</w:t>
      </w:r>
    </w:p>
    <w:p w14:paraId="1A1300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НКТП считает необходимым сообщить, что он всегда чутко от</w:t>
      </w:r>
      <w:r w:rsidRPr="00E14102">
        <w:rPr>
          <w:color w:val="000000" w:themeColor="text1"/>
          <w:sz w:val="16"/>
          <w:szCs w:val="16"/>
        </w:rPr>
        <w:softHyphen/>
        <w:t>носился к запросам Наркомата Сбороны, немедленно принимая меры к устранению дефектов и в дальнейшем, по требованию НКОбороны, бу</w:t>
      </w:r>
      <w:r w:rsidRPr="00E14102">
        <w:rPr>
          <w:color w:val="000000" w:themeColor="text1"/>
          <w:sz w:val="16"/>
          <w:szCs w:val="16"/>
        </w:rPr>
        <w:softHyphen/>
        <w:t>дет принимать к исполнению необходимые изменения в строгом соответствии с техническими условиями, согласованными НКСбороны и НКТП.-</w:t>
      </w:r>
    </w:p>
    <w:p w14:paraId="6618FA3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Зам.Народного Комиссара Тяжелой Промышленности Каганович.</w:t>
      </w:r>
    </w:p>
    <w:p w14:paraId="67430A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 . Сталину</w:t>
      </w:r>
    </w:p>
    <w:p w14:paraId="11EF50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 Ворошилову</w:t>
      </w:r>
    </w:p>
    <w:p w14:paraId="24F94C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 .Орджоникидзе</w:t>
      </w:r>
    </w:p>
    <w:p w14:paraId="0B084F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 Кагановичу Л.М.</w:t>
      </w:r>
    </w:p>
    <w:p w14:paraId="58EC23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 Межлауку В.И.</w:t>
      </w:r>
    </w:p>
    <w:p w14:paraId="761806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 Уборевичу (3419,132).</w:t>
      </w:r>
    </w:p>
    <w:p w14:paraId="12BE7103" w14:textId="77777777" w:rsidR="00D4105E" w:rsidRPr="00E14102" w:rsidRDefault="00D4105E" w:rsidP="00E14102">
      <w:pPr>
        <w:autoSpaceDE w:val="0"/>
        <w:autoSpaceDN w:val="0"/>
        <w:adjustRightInd w:val="0"/>
        <w:jc w:val="both"/>
        <w:rPr>
          <w:color w:val="000000" w:themeColor="text1"/>
          <w:sz w:val="16"/>
          <w:szCs w:val="16"/>
        </w:rPr>
      </w:pPr>
    </w:p>
    <w:p w14:paraId="2F0234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декабря 1935 года была подготовлена Справка по программе самолетов 1935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E3599D" w:rsidRPr="00E14102" w14:paraId="2476BDCB" w14:textId="77777777">
        <w:tc>
          <w:tcPr>
            <w:tcW w:w="2817" w:type="dxa"/>
          </w:tcPr>
          <w:p w14:paraId="029812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самолета</w:t>
            </w:r>
          </w:p>
        </w:tc>
        <w:tc>
          <w:tcPr>
            <w:tcW w:w="2817" w:type="dxa"/>
          </w:tcPr>
          <w:p w14:paraId="1F0365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1935 года</w:t>
            </w:r>
          </w:p>
        </w:tc>
        <w:tc>
          <w:tcPr>
            <w:tcW w:w="2817" w:type="dxa"/>
          </w:tcPr>
          <w:p w14:paraId="606707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Сдача на 1 января 1936 года</w:t>
            </w:r>
          </w:p>
        </w:tc>
        <w:tc>
          <w:tcPr>
            <w:tcW w:w="2817" w:type="dxa"/>
          </w:tcPr>
          <w:p w14:paraId="6B8691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5AB3234B" w14:textId="77777777">
        <w:tc>
          <w:tcPr>
            <w:tcW w:w="2817" w:type="dxa"/>
          </w:tcPr>
          <w:p w14:paraId="7A5BDF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w:t>
            </w:r>
          </w:p>
        </w:tc>
        <w:tc>
          <w:tcPr>
            <w:tcW w:w="2817" w:type="dxa"/>
          </w:tcPr>
          <w:p w14:paraId="318C9CCE"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7A68692B"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12978AC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8ADFCC" w14:textId="77777777">
        <w:tc>
          <w:tcPr>
            <w:tcW w:w="2817" w:type="dxa"/>
          </w:tcPr>
          <w:p w14:paraId="255DE6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И15-М25</w:t>
            </w:r>
          </w:p>
        </w:tc>
        <w:tc>
          <w:tcPr>
            <w:tcW w:w="2817" w:type="dxa"/>
          </w:tcPr>
          <w:p w14:paraId="1E6F68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291*</w:t>
            </w:r>
          </w:p>
        </w:tc>
        <w:tc>
          <w:tcPr>
            <w:tcW w:w="2817" w:type="dxa"/>
          </w:tcPr>
          <w:p w14:paraId="331683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275*</w:t>
            </w:r>
          </w:p>
        </w:tc>
        <w:tc>
          <w:tcPr>
            <w:tcW w:w="2817" w:type="dxa"/>
          </w:tcPr>
          <w:p w14:paraId="01D125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т.ч. 56 самолетов недосданные в 1934 года</w:t>
            </w:r>
          </w:p>
        </w:tc>
      </w:tr>
      <w:tr w:rsidR="00E3599D" w:rsidRPr="00E14102" w14:paraId="4270951A" w14:textId="77777777">
        <w:tc>
          <w:tcPr>
            <w:tcW w:w="2817" w:type="dxa"/>
          </w:tcPr>
          <w:p w14:paraId="1DB869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Р5-М17 разведчик</w:t>
            </w:r>
          </w:p>
        </w:tc>
        <w:tc>
          <w:tcPr>
            <w:tcW w:w="2817" w:type="dxa"/>
          </w:tcPr>
          <w:p w14:paraId="46B092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441</w:t>
            </w:r>
          </w:p>
        </w:tc>
        <w:tc>
          <w:tcPr>
            <w:tcW w:w="2817" w:type="dxa"/>
          </w:tcPr>
          <w:p w14:paraId="7EF1ED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2817" w:type="dxa"/>
          </w:tcPr>
          <w:p w14:paraId="22200BC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948EEE1" w14:textId="77777777">
        <w:tc>
          <w:tcPr>
            <w:tcW w:w="2817" w:type="dxa"/>
          </w:tcPr>
          <w:p w14:paraId="7414EF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ССС-М17 разведчик</w:t>
            </w:r>
          </w:p>
        </w:tc>
        <w:tc>
          <w:tcPr>
            <w:tcW w:w="2817" w:type="dxa"/>
          </w:tcPr>
          <w:p w14:paraId="622368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w:t>
            </w:r>
          </w:p>
        </w:tc>
        <w:tc>
          <w:tcPr>
            <w:tcW w:w="2817" w:type="dxa"/>
          </w:tcPr>
          <w:p w14:paraId="037507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218</w:t>
            </w:r>
          </w:p>
        </w:tc>
        <w:tc>
          <w:tcPr>
            <w:tcW w:w="2817" w:type="dxa"/>
          </w:tcPr>
          <w:p w14:paraId="3BB63CD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9236E6" w14:textId="77777777">
        <w:tc>
          <w:tcPr>
            <w:tcW w:w="2817" w:type="dxa"/>
          </w:tcPr>
          <w:p w14:paraId="5E0101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РЗЭТ-М34Н разведчик</w:t>
            </w:r>
          </w:p>
        </w:tc>
        <w:tc>
          <w:tcPr>
            <w:tcW w:w="2817" w:type="dxa"/>
          </w:tcPr>
          <w:p w14:paraId="679DF5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2817" w:type="dxa"/>
          </w:tcPr>
          <w:p w14:paraId="31D36F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w:t>
            </w:r>
          </w:p>
        </w:tc>
        <w:tc>
          <w:tcPr>
            <w:tcW w:w="2817" w:type="dxa"/>
          </w:tcPr>
          <w:p w14:paraId="175C00A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7379C7C" w14:textId="77777777">
        <w:tc>
          <w:tcPr>
            <w:tcW w:w="2817" w:type="dxa"/>
          </w:tcPr>
          <w:p w14:paraId="6750F7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2817" w:type="dxa"/>
          </w:tcPr>
          <w:p w14:paraId="283EB8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1482</w:t>
            </w:r>
          </w:p>
        </w:tc>
        <w:tc>
          <w:tcPr>
            <w:tcW w:w="2817" w:type="dxa"/>
          </w:tcPr>
          <w:p w14:paraId="094767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1004</w:t>
            </w:r>
          </w:p>
        </w:tc>
        <w:tc>
          <w:tcPr>
            <w:tcW w:w="2817" w:type="dxa"/>
          </w:tcPr>
          <w:p w14:paraId="136AE74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F4E1022" w14:textId="77777777">
        <w:tc>
          <w:tcPr>
            <w:tcW w:w="2817" w:type="dxa"/>
          </w:tcPr>
          <w:p w14:paraId="7B7B07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18</w:t>
            </w:r>
          </w:p>
        </w:tc>
        <w:tc>
          <w:tcPr>
            <w:tcW w:w="2817" w:type="dxa"/>
          </w:tcPr>
          <w:p w14:paraId="39C98A69"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03CFA328"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4FB2F42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ABB4075" w14:textId="77777777">
        <w:tc>
          <w:tcPr>
            <w:tcW w:w="2817" w:type="dxa"/>
          </w:tcPr>
          <w:p w14:paraId="10CD9B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РД-М34Р</w:t>
            </w:r>
          </w:p>
        </w:tc>
        <w:tc>
          <w:tcPr>
            <w:tcW w:w="2817" w:type="dxa"/>
          </w:tcPr>
          <w:p w14:paraId="3AC606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2817" w:type="dxa"/>
          </w:tcPr>
          <w:p w14:paraId="5A01B1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17" w:type="dxa"/>
          </w:tcPr>
          <w:p w14:paraId="0DFC14E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96DFAC8" w14:textId="77777777">
        <w:tc>
          <w:tcPr>
            <w:tcW w:w="2817" w:type="dxa"/>
          </w:tcPr>
          <w:p w14:paraId="1CA48E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21</w:t>
            </w:r>
          </w:p>
        </w:tc>
        <w:tc>
          <w:tcPr>
            <w:tcW w:w="2817" w:type="dxa"/>
          </w:tcPr>
          <w:p w14:paraId="6FECBE8E"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68574D7D"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784490A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87EF073" w14:textId="77777777">
        <w:tc>
          <w:tcPr>
            <w:tcW w:w="2817" w:type="dxa"/>
          </w:tcPr>
          <w:p w14:paraId="0B3AB9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И16-М22</w:t>
            </w:r>
          </w:p>
        </w:tc>
        <w:tc>
          <w:tcPr>
            <w:tcW w:w="2817" w:type="dxa"/>
          </w:tcPr>
          <w:p w14:paraId="66F5C9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2817" w:type="dxa"/>
          </w:tcPr>
          <w:p w14:paraId="7E32D0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2817" w:type="dxa"/>
          </w:tcPr>
          <w:p w14:paraId="7E720D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т.ч. 41 оформленные сдачей в 1934 году</w:t>
            </w:r>
          </w:p>
        </w:tc>
      </w:tr>
      <w:tr w:rsidR="00E3599D" w:rsidRPr="00E14102" w14:paraId="65A835FA" w14:textId="77777777">
        <w:tc>
          <w:tcPr>
            <w:tcW w:w="2817" w:type="dxa"/>
          </w:tcPr>
          <w:p w14:paraId="38DB73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И16-М25</w:t>
            </w:r>
          </w:p>
        </w:tc>
        <w:tc>
          <w:tcPr>
            <w:tcW w:w="2817" w:type="dxa"/>
          </w:tcPr>
          <w:p w14:paraId="55E401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2817" w:type="dxa"/>
          </w:tcPr>
          <w:p w14:paraId="27110D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17" w:type="dxa"/>
          </w:tcPr>
          <w:p w14:paraId="54308D4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0A250C5" w14:textId="77777777">
        <w:tc>
          <w:tcPr>
            <w:tcW w:w="2817" w:type="dxa"/>
          </w:tcPr>
          <w:p w14:paraId="012BB4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УТИ-М22</w:t>
            </w:r>
          </w:p>
        </w:tc>
        <w:tc>
          <w:tcPr>
            <w:tcW w:w="2817" w:type="dxa"/>
          </w:tcPr>
          <w:p w14:paraId="04BB55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2817" w:type="dxa"/>
          </w:tcPr>
          <w:p w14:paraId="21D770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2817" w:type="dxa"/>
          </w:tcPr>
          <w:p w14:paraId="610825E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1FB2C94" w14:textId="77777777">
        <w:tc>
          <w:tcPr>
            <w:tcW w:w="2817" w:type="dxa"/>
          </w:tcPr>
          <w:p w14:paraId="3E0142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2817" w:type="dxa"/>
          </w:tcPr>
          <w:p w14:paraId="5161E7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670</w:t>
            </w:r>
          </w:p>
        </w:tc>
        <w:tc>
          <w:tcPr>
            <w:tcW w:w="2817" w:type="dxa"/>
          </w:tcPr>
          <w:p w14:paraId="340B09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520</w:t>
            </w:r>
          </w:p>
        </w:tc>
        <w:tc>
          <w:tcPr>
            <w:tcW w:w="2817" w:type="dxa"/>
          </w:tcPr>
          <w:p w14:paraId="2665FF2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72409AF" w14:textId="77777777">
        <w:tc>
          <w:tcPr>
            <w:tcW w:w="2817" w:type="dxa"/>
          </w:tcPr>
          <w:p w14:paraId="0BE9EB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tc>
        <w:tc>
          <w:tcPr>
            <w:tcW w:w="2817" w:type="dxa"/>
          </w:tcPr>
          <w:p w14:paraId="27F5CCE2"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1BC1CC00"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74BBE3E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16E007A" w14:textId="77777777">
        <w:tc>
          <w:tcPr>
            <w:tcW w:w="2817" w:type="dxa"/>
          </w:tcPr>
          <w:p w14:paraId="6C9471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ТБ3-4М34РБ</w:t>
            </w:r>
          </w:p>
        </w:tc>
        <w:tc>
          <w:tcPr>
            <w:tcW w:w="2817" w:type="dxa"/>
          </w:tcPr>
          <w:p w14:paraId="15E200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w:t>
            </w:r>
          </w:p>
        </w:tc>
        <w:tc>
          <w:tcPr>
            <w:tcW w:w="2817" w:type="dxa"/>
          </w:tcPr>
          <w:p w14:paraId="1A2EDD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w:t>
            </w:r>
          </w:p>
        </w:tc>
        <w:tc>
          <w:tcPr>
            <w:tcW w:w="2817" w:type="dxa"/>
          </w:tcPr>
          <w:p w14:paraId="12E40A5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3255BFF" w14:textId="77777777">
        <w:tc>
          <w:tcPr>
            <w:tcW w:w="2817" w:type="dxa"/>
          </w:tcPr>
          <w:p w14:paraId="041523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ТБ3-4М34РН</w:t>
            </w:r>
          </w:p>
        </w:tc>
        <w:tc>
          <w:tcPr>
            <w:tcW w:w="2817" w:type="dxa"/>
          </w:tcPr>
          <w:p w14:paraId="3A08AD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w:t>
            </w:r>
          </w:p>
        </w:tc>
        <w:tc>
          <w:tcPr>
            <w:tcW w:w="2817" w:type="dxa"/>
          </w:tcPr>
          <w:p w14:paraId="7A0253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17" w:type="dxa"/>
          </w:tcPr>
          <w:p w14:paraId="465482A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9A96396" w14:textId="77777777">
        <w:tc>
          <w:tcPr>
            <w:tcW w:w="2817" w:type="dxa"/>
          </w:tcPr>
          <w:p w14:paraId="3B470D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КР6-2М17</w:t>
            </w:r>
          </w:p>
        </w:tc>
        <w:tc>
          <w:tcPr>
            <w:tcW w:w="2817" w:type="dxa"/>
          </w:tcPr>
          <w:p w14:paraId="2FEBDB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2817" w:type="dxa"/>
          </w:tcPr>
          <w:p w14:paraId="064C21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2817" w:type="dxa"/>
          </w:tcPr>
          <w:p w14:paraId="31A8895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F826F87" w14:textId="77777777">
        <w:tc>
          <w:tcPr>
            <w:tcW w:w="2817" w:type="dxa"/>
          </w:tcPr>
          <w:p w14:paraId="625E45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КР6А-2М17</w:t>
            </w:r>
          </w:p>
        </w:tc>
        <w:tc>
          <w:tcPr>
            <w:tcW w:w="2817" w:type="dxa"/>
          </w:tcPr>
          <w:p w14:paraId="55ADD6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2817" w:type="dxa"/>
          </w:tcPr>
          <w:p w14:paraId="0918AB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w:t>
            </w:r>
          </w:p>
        </w:tc>
        <w:tc>
          <w:tcPr>
            <w:tcW w:w="2817" w:type="dxa"/>
          </w:tcPr>
          <w:p w14:paraId="12778DA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67912F3" w14:textId="77777777">
        <w:tc>
          <w:tcPr>
            <w:tcW w:w="2817" w:type="dxa"/>
          </w:tcPr>
          <w:p w14:paraId="19FD4D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СБ-2М100</w:t>
            </w:r>
          </w:p>
        </w:tc>
        <w:tc>
          <w:tcPr>
            <w:tcW w:w="2817" w:type="dxa"/>
          </w:tcPr>
          <w:p w14:paraId="259068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2817" w:type="dxa"/>
          </w:tcPr>
          <w:p w14:paraId="3002F3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17" w:type="dxa"/>
          </w:tcPr>
          <w:p w14:paraId="7C543B6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1EDD8D1" w14:textId="77777777">
        <w:tc>
          <w:tcPr>
            <w:tcW w:w="2817" w:type="dxa"/>
          </w:tcPr>
          <w:p w14:paraId="2DD8D7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2817" w:type="dxa"/>
          </w:tcPr>
          <w:p w14:paraId="72CC96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598</w:t>
            </w:r>
          </w:p>
        </w:tc>
        <w:tc>
          <w:tcPr>
            <w:tcW w:w="2817" w:type="dxa"/>
          </w:tcPr>
          <w:p w14:paraId="2DB7D2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56</w:t>
            </w:r>
          </w:p>
        </w:tc>
        <w:tc>
          <w:tcPr>
            <w:tcW w:w="2817" w:type="dxa"/>
          </w:tcPr>
          <w:p w14:paraId="00218B6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DF19B3B" w14:textId="77777777">
        <w:tc>
          <w:tcPr>
            <w:tcW w:w="2817" w:type="dxa"/>
          </w:tcPr>
          <w:p w14:paraId="3CA3A1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23</w:t>
            </w:r>
          </w:p>
        </w:tc>
        <w:tc>
          <w:tcPr>
            <w:tcW w:w="2817" w:type="dxa"/>
          </w:tcPr>
          <w:p w14:paraId="6C66FAEA"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45B4D8DF"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45F0B23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12D763" w14:textId="77777777">
        <w:tc>
          <w:tcPr>
            <w:tcW w:w="2817" w:type="dxa"/>
          </w:tcPr>
          <w:p w14:paraId="78DD09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У2-М11</w:t>
            </w:r>
          </w:p>
        </w:tc>
        <w:tc>
          <w:tcPr>
            <w:tcW w:w="2817" w:type="dxa"/>
          </w:tcPr>
          <w:p w14:paraId="52C4BF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326</w:t>
            </w:r>
          </w:p>
        </w:tc>
        <w:tc>
          <w:tcPr>
            <w:tcW w:w="2817" w:type="dxa"/>
          </w:tcPr>
          <w:p w14:paraId="60E2BC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326</w:t>
            </w:r>
          </w:p>
        </w:tc>
        <w:tc>
          <w:tcPr>
            <w:tcW w:w="2817" w:type="dxa"/>
          </w:tcPr>
          <w:p w14:paraId="756385D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2EA4306" w14:textId="77777777">
        <w:tc>
          <w:tcPr>
            <w:tcW w:w="2817" w:type="dxa"/>
          </w:tcPr>
          <w:p w14:paraId="1BDDA6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ВС-М11</w:t>
            </w:r>
          </w:p>
        </w:tc>
        <w:tc>
          <w:tcPr>
            <w:tcW w:w="2817" w:type="dxa"/>
          </w:tcPr>
          <w:p w14:paraId="215090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w:t>
            </w:r>
          </w:p>
        </w:tc>
        <w:tc>
          <w:tcPr>
            <w:tcW w:w="2817" w:type="dxa"/>
          </w:tcPr>
          <w:p w14:paraId="2AD17F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w:t>
            </w:r>
          </w:p>
        </w:tc>
        <w:tc>
          <w:tcPr>
            <w:tcW w:w="2817" w:type="dxa"/>
          </w:tcPr>
          <w:p w14:paraId="420E1FE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557AE1E" w14:textId="77777777">
        <w:tc>
          <w:tcPr>
            <w:tcW w:w="2817" w:type="dxa"/>
          </w:tcPr>
          <w:p w14:paraId="601A04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АП-М11</w:t>
            </w:r>
          </w:p>
        </w:tc>
        <w:tc>
          <w:tcPr>
            <w:tcW w:w="2817" w:type="dxa"/>
          </w:tcPr>
          <w:p w14:paraId="61376B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2817" w:type="dxa"/>
          </w:tcPr>
          <w:p w14:paraId="2633CD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54</w:t>
            </w:r>
          </w:p>
        </w:tc>
        <w:tc>
          <w:tcPr>
            <w:tcW w:w="2817" w:type="dxa"/>
          </w:tcPr>
          <w:p w14:paraId="2C5A756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CDA7297" w14:textId="77777777">
        <w:tc>
          <w:tcPr>
            <w:tcW w:w="2817" w:type="dxa"/>
          </w:tcPr>
          <w:p w14:paraId="2FBF6E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СП-М11</w:t>
            </w:r>
          </w:p>
        </w:tc>
        <w:tc>
          <w:tcPr>
            <w:tcW w:w="2817" w:type="dxa"/>
          </w:tcPr>
          <w:p w14:paraId="5DF9F2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128</w:t>
            </w:r>
          </w:p>
        </w:tc>
        <w:tc>
          <w:tcPr>
            <w:tcW w:w="2817" w:type="dxa"/>
          </w:tcPr>
          <w:p w14:paraId="58CD77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w:t>
            </w:r>
          </w:p>
        </w:tc>
        <w:tc>
          <w:tcPr>
            <w:tcW w:w="2817" w:type="dxa"/>
          </w:tcPr>
          <w:p w14:paraId="5D6E55B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3F5D1FE" w14:textId="77777777">
        <w:tc>
          <w:tcPr>
            <w:tcW w:w="2817" w:type="dxa"/>
          </w:tcPr>
          <w:p w14:paraId="136AFE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СС-М11</w:t>
            </w:r>
          </w:p>
        </w:tc>
        <w:tc>
          <w:tcPr>
            <w:tcW w:w="2817" w:type="dxa"/>
          </w:tcPr>
          <w:p w14:paraId="0AAE46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w:t>
            </w:r>
          </w:p>
        </w:tc>
        <w:tc>
          <w:tcPr>
            <w:tcW w:w="2817" w:type="dxa"/>
          </w:tcPr>
          <w:p w14:paraId="5AC526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w:t>
            </w:r>
          </w:p>
        </w:tc>
        <w:tc>
          <w:tcPr>
            <w:tcW w:w="2817" w:type="dxa"/>
          </w:tcPr>
          <w:p w14:paraId="58710C6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8787240" w14:textId="77777777">
        <w:tc>
          <w:tcPr>
            <w:tcW w:w="2817" w:type="dxa"/>
          </w:tcPr>
          <w:p w14:paraId="0885B9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АИР6-М11</w:t>
            </w:r>
          </w:p>
        </w:tc>
        <w:tc>
          <w:tcPr>
            <w:tcW w:w="2817" w:type="dxa"/>
          </w:tcPr>
          <w:p w14:paraId="0D27F8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54</w:t>
            </w:r>
          </w:p>
        </w:tc>
        <w:tc>
          <w:tcPr>
            <w:tcW w:w="2817" w:type="dxa"/>
          </w:tcPr>
          <w:p w14:paraId="51720E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17" w:type="dxa"/>
          </w:tcPr>
          <w:p w14:paraId="1FB406E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03049A6" w14:textId="77777777">
        <w:tc>
          <w:tcPr>
            <w:tcW w:w="2817" w:type="dxa"/>
          </w:tcPr>
          <w:p w14:paraId="1FC3E7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2817" w:type="dxa"/>
          </w:tcPr>
          <w:p w14:paraId="39A45C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772</w:t>
            </w:r>
          </w:p>
        </w:tc>
        <w:tc>
          <w:tcPr>
            <w:tcW w:w="2817" w:type="dxa"/>
          </w:tcPr>
          <w:p w14:paraId="718D48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709</w:t>
            </w:r>
          </w:p>
        </w:tc>
        <w:tc>
          <w:tcPr>
            <w:tcW w:w="2817" w:type="dxa"/>
          </w:tcPr>
          <w:p w14:paraId="54190DB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14ACF1C" w14:textId="77777777">
        <w:tc>
          <w:tcPr>
            <w:tcW w:w="2817" w:type="dxa"/>
          </w:tcPr>
          <w:p w14:paraId="37863E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c>
          <w:tcPr>
            <w:tcW w:w="2817" w:type="dxa"/>
          </w:tcPr>
          <w:p w14:paraId="340BE1CC"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46E21159"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69C04CA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D56BF8F" w14:textId="77777777">
        <w:tc>
          <w:tcPr>
            <w:tcW w:w="2817" w:type="dxa"/>
          </w:tcPr>
          <w:p w14:paraId="7DF830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МБР2-М17</w:t>
            </w:r>
          </w:p>
        </w:tc>
        <w:tc>
          <w:tcPr>
            <w:tcW w:w="2817" w:type="dxa"/>
          </w:tcPr>
          <w:p w14:paraId="356880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w:t>
            </w:r>
          </w:p>
        </w:tc>
        <w:tc>
          <w:tcPr>
            <w:tcW w:w="2817" w:type="dxa"/>
          </w:tcPr>
          <w:p w14:paraId="0523FE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w:t>
            </w:r>
          </w:p>
        </w:tc>
        <w:tc>
          <w:tcPr>
            <w:tcW w:w="2817" w:type="dxa"/>
          </w:tcPr>
          <w:p w14:paraId="50E5075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B8EECEA" w14:textId="77777777">
        <w:tc>
          <w:tcPr>
            <w:tcW w:w="2817" w:type="dxa"/>
          </w:tcPr>
          <w:p w14:paraId="03FFCA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МДР4-М34Р</w:t>
            </w:r>
          </w:p>
        </w:tc>
        <w:tc>
          <w:tcPr>
            <w:tcW w:w="2817" w:type="dxa"/>
          </w:tcPr>
          <w:p w14:paraId="071901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w:t>
            </w:r>
          </w:p>
        </w:tc>
        <w:tc>
          <w:tcPr>
            <w:tcW w:w="2817" w:type="dxa"/>
          </w:tcPr>
          <w:p w14:paraId="655E3A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17" w:type="dxa"/>
          </w:tcPr>
          <w:p w14:paraId="6AF9C88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EE05142" w14:textId="77777777">
        <w:tc>
          <w:tcPr>
            <w:tcW w:w="2817" w:type="dxa"/>
          </w:tcPr>
          <w:p w14:paraId="052388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2817" w:type="dxa"/>
          </w:tcPr>
          <w:p w14:paraId="3F46D8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115</w:t>
            </w:r>
          </w:p>
        </w:tc>
        <w:tc>
          <w:tcPr>
            <w:tcW w:w="2817" w:type="dxa"/>
          </w:tcPr>
          <w:p w14:paraId="1BE24D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w:t>
            </w:r>
          </w:p>
        </w:tc>
        <w:tc>
          <w:tcPr>
            <w:tcW w:w="2817" w:type="dxa"/>
          </w:tcPr>
          <w:p w14:paraId="53D6B4B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9D9869D" w14:textId="77777777">
        <w:tc>
          <w:tcPr>
            <w:tcW w:w="2817" w:type="dxa"/>
          </w:tcPr>
          <w:p w14:paraId="2E9A3D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2817" w:type="dxa"/>
          </w:tcPr>
          <w:p w14:paraId="6E2F65CD"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2B6162B5"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52148FB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8CE3A43" w14:textId="77777777">
        <w:tc>
          <w:tcPr>
            <w:tcW w:w="2817" w:type="dxa"/>
          </w:tcPr>
          <w:p w14:paraId="290E24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И15-М25</w:t>
            </w:r>
          </w:p>
        </w:tc>
        <w:tc>
          <w:tcPr>
            <w:tcW w:w="2817" w:type="dxa"/>
          </w:tcPr>
          <w:p w14:paraId="1EAA93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2817" w:type="dxa"/>
          </w:tcPr>
          <w:p w14:paraId="10DA16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2817" w:type="dxa"/>
          </w:tcPr>
          <w:p w14:paraId="199D0B7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53D317E" w14:textId="77777777">
        <w:tc>
          <w:tcPr>
            <w:tcW w:w="2817" w:type="dxa"/>
          </w:tcPr>
          <w:p w14:paraId="5A9DE8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И16-М25</w:t>
            </w:r>
          </w:p>
        </w:tc>
        <w:tc>
          <w:tcPr>
            <w:tcW w:w="2817" w:type="dxa"/>
          </w:tcPr>
          <w:p w14:paraId="76E36C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2817" w:type="dxa"/>
          </w:tcPr>
          <w:p w14:paraId="0DC3DD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w:t>
            </w:r>
          </w:p>
        </w:tc>
        <w:tc>
          <w:tcPr>
            <w:tcW w:w="2817" w:type="dxa"/>
          </w:tcPr>
          <w:p w14:paraId="2E0EB4D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9471468" w14:textId="77777777">
        <w:tc>
          <w:tcPr>
            <w:tcW w:w="2817" w:type="dxa"/>
          </w:tcPr>
          <w:p w14:paraId="17A072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ДИ6-М25</w:t>
            </w:r>
          </w:p>
        </w:tc>
        <w:tc>
          <w:tcPr>
            <w:tcW w:w="2817" w:type="dxa"/>
          </w:tcPr>
          <w:p w14:paraId="016426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2817" w:type="dxa"/>
          </w:tcPr>
          <w:p w14:paraId="7A1AC4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17" w:type="dxa"/>
          </w:tcPr>
          <w:p w14:paraId="6FFEB3D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744B66D" w14:textId="77777777">
        <w:tc>
          <w:tcPr>
            <w:tcW w:w="2817" w:type="dxa"/>
          </w:tcPr>
          <w:p w14:paraId="56E69B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2817" w:type="dxa"/>
          </w:tcPr>
          <w:p w14:paraId="67EDD5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w:t>
            </w:r>
          </w:p>
        </w:tc>
        <w:tc>
          <w:tcPr>
            <w:tcW w:w="2817" w:type="dxa"/>
          </w:tcPr>
          <w:p w14:paraId="2A309A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w:t>
            </w:r>
          </w:p>
        </w:tc>
        <w:tc>
          <w:tcPr>
            <w:tcW w:w="2817" w:type="dxa"/>
          </w:tcPr>
          <w:p w14:paraId="25ABB4D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ABFD92F" w14:textId="77777777">
        <w:tc>
          <w:tcPr>
            <w:tcW w:w="2817" w:type="dxa"/>
          </w:tcPr>
          <w:p w14:paraId="321761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43</w:t>
            </w:r>
          </w:p>
        </w:tc>
        <w:tc>
          <w:tcPr>
            <w:tcW w:w="2817" w:type="dxa"/>
          </w:tcPr>
          <w:p w14:paraId="45F69159"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1F32D30F"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7BD7A41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55D4402" w14:textId="77777777">
        <w:tc>
          <w:tcPr>
            <w:tcW w:w="2817" w:type="dxa"/>
          </w:tcPr>
          <w:p w14:paraId="4CFBA2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 ХАИ-М22</w:t>
            </w:r>
          </w:p>
        </w:tc>
        <w:tc>
          <w:tcPr>
            <w:tcW w:w="2817" w:type="dxa"/>
          </w:tcPr>
          <w:p w14:paraId="6C8BC0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2817" w:type="dxa"/>
          </w:tcPr>
          <w:p w14:paraId="486692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2817" w:type="dxa"/>
          </w:tcPr>
          <w:p w14:paraId="2201AD2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9BD65DB" w14:textId="77777777">
        <w:tc>
          <w:tcPr>
            <w:tcW w:w="2817" w:type="dxa"/>
          </w:tcPr>
          <w:p w14:paraId="5606BE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45</w:t>
            </w:r>
          </w:p>
        </w:tc>
        <w:tc>
          <w:tcPr>
            <w:tcW w:w="2817" w:type="dxa"/>
          </w:tcPr>
          <w:p w14:paraId="5BB76F7D"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273D0745"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6B4CBB6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9283249" w14:textId="77777777">
        <w:tc>
          <w:tcPr>
            <w:tcW w:w="2817" w:type="dxa"/>
          </w:tcPr>
          <w:p w14:paraId="71F978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 МП1-М17</w:t>
            </w:r>
          </w:p>
        </w:tc>
        <w:tc>
          <w:tcPr>
            <w:tcW w:w="2817" w:type="dxa"/>
          </w:tcPr>
          <w:p w14:paraId="0A9ED5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w:t>
            </w:r>
          </w:p>
        </w:tc>
        <w:tc>
          <w:tcPr>
            <w:tcW w:w="2817" w:type="dxa"/>
          </w:tcPr>
          <w:p w14:paraId="0A7775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w:t>
            </w:r>
          </w:p>
        </w:tc>
        <w:tc>
          <w:tcPr>
            <w:tcW w:w="2817" w:type="dxa"/>
          </w:tcPr>
          <w:p w14:paraId="23DE106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C4F19DB" w14:textId="77777777">
        <w:tc>
          <w:tcPr>
            <w:tcW w:w="2817" w:type="dxa"/>
          </w:tcPr>
          <w:p w14:paraId="361DDF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Зввод № 81</w:t>
            </w:r>
          </w:p>
        </w:tc>
        <w:tc>
          <w:tcPr>
            <w:tcW w:w="2817" w:type="dxa"/>
          </w:tcPr>
          <w:p w14:paraId="3312432D"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5EA7ED9D"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6B5378D3"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544693F" w14:textId="77777777">
        <w:tc>
          <w:tcPr>
            <w:tcW w:w="2817" w:type="dxa"/>
          </w:tcPr>
          <w:p w14:paraId="019FD3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 СТ-2 М22</w:t>
            </w:r>
          </w:p>
        </w:tc>
        <w:tc>
          <w:tcPr>
            <w:tcW w:w="2817" w:type="dxa"/>
          </w:tcPr>
          <w:p w14:paraId="6B793A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w:t>
            </w:r>
          </w:p>
        </w:tc>
        <w:tc>
          <w:tcPr>
            <w:tcW w:w="2817" w:type="dxa"/>
          </w:tcPr>
          <w:p w14:paraId="24BB07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14</w:t>
            </w:r>
          </w:p>
        </w:tc>
        <w:tc>
          <w:tcPr>
            <w:tcW w:w="2817" w:type="dxa"/>
          </w:tcPr>
          <w:p w14:paraId="3613161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9739BDF" w14:textId="77777777">
        <w:tc>
          <w:tcPr>
            <w:tcW w:w="2817" w:type="dxa"/>
          </w:tcPr>
          <w:p w14:paraId="7C8662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 СТ-3 М22</w:t>
            </w:r>
          </w:p>
        </w:tc>
        <w:tc>
          <w:tcPr>
            <w:tcW w:w="2817" w:type="dxa"/>
          </w:tcPr>
          <w:p w14:paraId="4A795B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2817" w:type="dxa"/>
          </w:tcPr>
          <w:p w14:paraId="2CAEF7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2817" w:type="dxa"/>
          </w:tcPr>
          <w:p w14:paraId="4F54F62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1C325DF" w14:textId="77777777">
        <w:tc>
          <w:tcPr>
            <w:tcW w:w="2817" w:type="dxa"/>
          </w:tcPr>
          <w:p w14:paraId="332F76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2817" w:type="dxa"/>
          </w:tcPr>
          <w:p w14:paraId="3EEF75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64</w:t>
            </w:r>
          </w:p>
        </w:tc>
        <w:tc>
          <w:tcPr>
            <w:tcW w:w="2817" w:type="dxa"/>
          </w:tcPr>
          <w:p w14:paraId="038B81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w:t>
            </w:r>
          </w:p>
        </w:tc>
        <w:tc>
          <w:tcPr>
            <w:tcW w:w="2817" w:type="dxa"/>
          </w:tcPr>
          <w:p w14:paraId="19EE306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BADA22" w14:textId="77777777">
        <w:tc>
          <w:tcPr>
            <w:tcW w:w="2817" w:type="dxa"/>
          </w:tcPr>
          <w:p w14:paraId="1690C9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125</w:t>
            </w:r>
          </w:p>
        </w:tc>
        <w:tc>
          <w:tcPr>
            <w:tcW w:w="2817" w:type="dxa"/>
          </w:tcPr>
          <w:p w14:paraId="4B7D1CC2"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19C52B0D"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3C114CC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03AA3B" w14:textId="77777777">
        <w:tc>
          <w:tcPr>
            <w:tcW w:w="2817" w:type="dxa"/>
          </w:tcPr>
          <w:p w14:paraId="614F4F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 И14-М25</w:t>
            </w:r>
          </w:p>
        </w:tc>
        <w:tc>
          <w:tcPr>
            <w:tcW w:w="2817" w:type="dxa"/>
          </w:tcPr>
          <w:p w14:paraId="3AB812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2817" w:type="dxa"/>
          </w:tcPr>
          <w:p w14:paraId="42A00A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17" w:type="dxa"/>
          </w:tcPr>
          <w:p w14:paraId="10B9B28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5638D5D" w14:textId="77777777">
        <w:tc>
          <w:tcPr>
            <w:tcW w:w="2817" w:type="dxa"/>
          </w:tcPr>
          <w:p w14:paraId="0AA67F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126</w:t>
            </w:r>
          </w:p>
        </w:tc>
        <w:tc>
          <w:tcPr>
            <w:tcW w:w="2817" w:type="dxa"/>
          </w:tcPr>
          <w:p w14:paraId="307880E5"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19F592E8"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7D118D3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057B6EC" w14:textId="77777777">
        <w:tc>
          <w:tcPr>
            <w:tcW w:w="2817" w:type="dxa"/>
          </w:tcPr>
          <w:p w14:paraId="7732F1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 ЗЭТ-М22</w:t>
            </w:r>
          </w:p>
        </w:tc>
        <w:tc>
          <w:tcPr>
            <w:tcW w:w="2817" w:type="dxa"/>
          </w:tcPr>
          <w:p w14:paraId="786923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2817" w:type="dxa"/>
          </w:tcPr>
          <w:p w14:paraId="747B6D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2817" w:type="dxa"/>
          </w:tcPr>
          <w:p w14:paraId="3E279A5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A4DDD50" w14:textId="77777777">
        <w:tc>
          <w:tcPr>
            <w:tcW w:w="2817" w:type="dxa"/>
          </w:tcPr>
          <w:p w14:paraId="101136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 ИП1-М25</w:t>
            </w:r>
          </w:p>
        </w:tc>
        <w:tc>
          <w:tcPr>
            <w:tcW w:w="2817" w:type="dxa"/>
          </w:tcPr>
          <w:p w14:paraId="7F698F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2817" w:type="dxa"/>
          </w:tcPr>
          <w:p w14:paraId="0FB26F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17" w:type="dxa"/>
          </w:tcPr>
          <w:p w14:paraId="4B6A5BB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E5C851D" w14:textId="77777777">
        <w:tc>
          <w:tcPr>
            <w:tcW w:w="2817" w:type="dxa"/>
          </w:tcPr>
          <w:p w14:paraId="283031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2817" w:type="dxa"/>
          </w:tcPr>
          <w:p w14:paraId="5BF0D3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w:t>
            </w:r>
          </w:p>
        </w:tc>
        <w:tc>
          <w:tcPr>
            <w:tcW w:w="2817" w:type="dxa"/>
          </w:tcPr>
          <w:p w14:paraId="40FA96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2817" w:type="dxa"/>
          </w:tcPr>
          <w:p w14:paraId="6861E35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214299D" w14:textId="77777777">
        <w:tc>
          <w:tcPr>
            <w:tcW w:w="2817" w:type="dxa"/>
          </w:tcPr>
          <w:p w14:paraId="0E6B55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2817" w:type="dxa"/>
          </w:tcPr>
          <w:p w14:paraId="46BF7A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3995</w:t>
            </w:r>
          </w:p>
        </w:tc>
        <w:tc>
          <w:tcPr>
            <w:tcW w:w="2817" w:type="dxa"/>
          </w:tcPr>
          <w:p w14:paraId="3ACDD8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2488 (2167,190)</w:t>
            </w:r>
          </w:p>
        </w:tc>
        <w:tc>
          <w:tcPr>
            <w:tcW w:w="2817" w:type="dxa"/>
          </w:tcPr>
          <w:p w14:paraId="05E66097" w14:textId="77777777" w:rsidR="00D4105E" w:rsidRPr="00E14102" w:rsidRDefault="00D4105E" w:rsidP="00E14102">
            <w:pPr>
              <w:autoSpaceDE w:val="0"/>
              <w:autoSpaceDN w:val="0"/>
              <w:adjustRightInd w:val="0"/>
              <w:jc w:val="both"/>
              <w:rPr>
                <w:color w:val="000000" w:themeColor="text1"/>
                <w:sz w:val="16"/>
                <w:szCs w:val="16"/>
              </w:rPr>
            </w:pPr>
          </w:p>
        </w:tc>
      </w:tr>
    </w:tbl>
    <w:p w14:paraId="0A8D65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(3574,247).</w:t>
      </w:r>
    </w:p>
    <w:p w14:paraId="6D6A3E52" w14:textId="77777777" w:rsidR="00D4105E" w:rsidRPr="00E14102" w:rsidRDefault="00D4105E" w:rsidP="00E14102">
      <w:pPr>
        <w:autoSpaceDE w:val="0"/>
        <w:autoSpaceDN w:val="0"/>
        <w:adjustRightInd w:val="0"/>
        <w:jc w:val="both"/>
        <w:rPr>
          <w:color w:val="000000" w:themeColor="text1"/>
          <w:sz w:val="16"/>
          <w:szCs w:val="16"/>
        </w:rPr>
      </w:pPr>
    </w:p>
    <w:p w14:paraId="1FE5BC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декабря 1935 года была подготовлена Справка по программе моторов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E3599D" w:rsidRPr="00E14102" w14:paraId="21E677B0" w14:textId="77777777">
        <w:tc>
          <w:tcPr>
            <w:tcW w:w="2817" w:type="dxa"/>
          </w:tcPr>
          <w:p w14:paraId="4B6F57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моторов</w:t>
            </w:r>
          </w:p>
        </w:tc>
        <w:tc>
          <w:tcPr>
            <w:tcW w:w="2817" w:type="dxa"/>
          </w:tcPr>
          <w:p w14:paraId="097784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План 1935 года</w:t>
            </w:r>
          </w:p>
        </w:tc>
        <w:tc>
          <w:tcPr>
            <w:tcW w:w="2817" w:type="dxa"/>
          </w:tcPr>
          <w:p w14:paraId="491089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Ожидаемое выполнение за 1935 год</w:t>
            </w:r>
          </w:p>
        </w:tc>
        <w:tc>
          <w:tcPr>
            <w:tcW w:w="2817" w:type="dxa"/>
          </w:tcPr>
          <w:p w14:paraId="1A7BFE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5AB42A57" w14:textId="77777777">
        <w:tc>
          <w:tcPr>
            <w:tcW w:w="2817" w:type="dxa"/>
          </w:tcPr>
          <w:p w14:paraId="218A54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16</w:t>
            </w:r>
          </w:p>
        </w:tc>
        <w:tc>
          <w:tcPr>
            <w:tcW w:w="2817" w:type="dxa"/>
          </w:tcPr>
          <w:p w14:paraId="52E91EED"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54545C96"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4370D55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4F60BF2" w14:textId="77777777">
        <w:tc>
          <w:tcPr>
            <w:tcW w:w="2817" w:type="dxa"/>
          </w:tcPr>
          <w:p w14:paraId="4CC921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М-11</w:t>
            </w:r>
          </w:p>
        </w:tc>
        <w:tc>
          <w:tcPr>
            <w:tcW w:w="2817" w:type="dxa"/>
          </w:tcPr>
          <w:p w14:paraId="5B2A1E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705</w:t>
            </w:r>
          </w:p>
        </w:tc>
        <w:tc>
          <w:tcPr>
            <w:tcW w:w="2817" w:type="dxa"/>
          </w:tcPr>
          <w:p w14:paraId="79CF16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2817" w:type="dxa"/>
          </w:tcPr>
          <w:p w14:paraId="189B9D8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D451549" w14:textId="77777777">
        <w:tc>
          <w:tcPr>
            <w:tcW w:w="2817" w:type="dxa"/>
          </w:tcPr>
          <w:p w14:paraId="0E3511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2817" w:type="dxa"/>
          </w:tcPr>
          <w:p w14:paraId="24F09D0F"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3DC5FBB3"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6F55E52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80B7698" w14:textId="77777777">
        <w:tc>
          <w:tcPr>
            <w:tcW w:w="2817" w:type="dxa"/>
          </w:tcPr>
          <w:p w14:paraId="6E4E5E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М-34Р</w:t>
            </w:r>
          </w:p>
        </w:tc>
        <w:tc>
          <w:tcPr>
            <w:tcW w:w="2817" w:type="dxa"/>
          </w:tcPr>
          <w:p w14:paraId="4F968F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w:t>
            </w:r>
          </w:p>
        </w:tc>
        <w:tc>
          <w:tcPr>
            <w:tcW w:w="2817" w:type="dxa"/>
          </w:tcPr>
          <w:p w14:paraId="5E1846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501</w:t>
            </w:r>
          </w:p>
        </w:tc>
        <w:tc>
          <w:tcPr>
            <w:tcW w:w="2817" w:type="dxa"/>
          </w:tcPr>
          <w:p w14:paraId="645A521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442F477" w14:textId="77777777">
        <w:tc>
          <w:tcPr>
            <w:tcW w:w="2817" w:type="dxa"/>
          </w:tcPr>
          <w:p w14:paraId="6AD1A1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М-34РН</w:t>
            </w:r>
          </w:p>
        </w:tc>
        <w:tc>
          <w:tcPr>
            <w:tcW w:w="2817" w:type="dxa"/>
          </w:tcPr>
          <w:p w14:paraId="0725D9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605</w:t>
            </w:r>
          </w:p>
        </w:tc>
        <w:tc>
          <w:tcPr>
            <w:tcW w:w="2817" w:type="dxa"/>
          </w:tcPr>
          <w:p w14:paraId="52036A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478</w:t>
            </w:r>
          </w:p>
        </w:tc>
        <w:tc>
          <w:tcPr>
            <w:tcW w:w="2817" w:type="dxa"/>
          </w:tcPr>
          <w:p w14:paraId="68237B6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02EF943" w14:textId="77777777">
        <w:tc>
          <w:tcPr>
            <w:tcW w:w="2817" w:type="dxa"/>
          </w:tcPr>
          <w:p w14:paraId="07A95A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М-34Н</w:t>
            </w:r>
          </w:p>
        </w:tc>
        <w:tc>
          <w:tcPr>
            <w:tcW w:w="2817" w:type="dxa"/>
          </w:tcPr>
          <w:p w14:paraId="06FB7E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2817" w:type="dxa"/>
          </w:tcPr>
          <w:p w14:paraId="79372F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175</w:t>
            </w:r>
          </w:p>
        </w:tc>
        <w:tc>
          <w:tcPr>
            <w:tcW w:w="2817" w:type="dxa"/>
          </w:tcPr>
          <w:p w14:paraId="55224E9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513517D" w14:textId="77777777">
        <w:tc>
          <w:tcPr>
            <w:tcW w:w="2817" w:type="dxa"/>
          </w:tcPr>
          <w:p w14:paraId="451D4E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ГМ-34</w:t>
            </w:r>
          </w:p>
        </w:tc>
        <w:tc>
          <w:tcPr>
            <w:tcW w:w="2817" w:type="dxa"/>
          </w:tcPr>
          <w:p w14:paraId="1057FD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325</w:t>
            </w:r>
          </w:p>
        </w:tc>
        <w:tc>
          <w:tcPr>
            <w:tcW w:w="2817" w:type="dxa"/>
          </w:tcPr>
          <w:p w14:paraId="1AB361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325</w:t>
            </w:r>
          </w:p>
        </w:tc>
        <w:tc>
          <w:tcPr>
            <w:tcW w:w="2817" w:type="dxa"/>
          </w:tcPr>
          <w:p w14:paraId="6EB51C8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81903A8" w14:textId="77777777">
        <w:tc>
          <w:tcPr>
            <w:tcW w:w="2817" w:type="dxa"/>
          </w:tcPr>
          <w:p w14:paraId="4129EC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М-34ФРН</w:t>
            </w:r>
          </w:p>
        </w:tc>
        <w:tc>
          <w:tcPr>
            <w:tcW w:w="2817" w:type="dxa"/>
          </w:tcPr>
          <w:p w14:paraId="0074C7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17" w:type="dxa"/>
          </w:tcPr>
          <w:p w14:paraId="1B1C18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w:t>
            </w:r>
          </w:p>
        </w:tc>
        <w:tc>
          <w:tcPr>
            <w:tcW w:w="2817" w:type="dxa"/>
          </w:tcPr>
          <w:p w14:paraId="1FD84D4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CFE0551" w14:textId="77777777">
        <w:tc>
          <w:tcPr>
            <w:tcW w:w="2817" w:type="dxa"/>
          </w:tcPr>
          <w:p w14:paraId="02AE0C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w:t>
            </w:r>
          </w:p>
        </w:tc>
        <w:tc>
          <w:tcPr>
            <w:tcW w:w="2817" w:type="dxa"/>
          </w:tcPr>
          <w:p w14:paraId="6A3492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817" w:type="dxa"/>
          </w:tcPr>
          <w:p w14:paraId="7DF0ED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w:t>
            </w:r>
          </w:p>
        </w:tc>
        <w:tc>
          <w:tcPr>
            <w:tcW w:w="2817" w:type="dxa"/>
          </w:tcPr>
          <w:p w14:paraId="1EDB454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5B1F4C9" w14:textId="77777777">
        <w:tc>
          <w:tcPr>
            <w:tcW w:w="2817" w:type="dxa"/>
          </w:tcPr>
          <w:p w14:paraId="181EE1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2817" w:type="dxa"/>
          </w:tcPr>
          <w:p w14:paraId="73C456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1710*</w:t>
            </w:r>
          </w:p>
        </w:tc>
        <w:tc>
          <w:tcPr>
            <w:tcW w:w="2817" w:type="dxa"/>
          </w:tcPr>
          <w:p w14:paraId="4E45D5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tc>
        <w:tc>
          <w:tcPr>
            <w:tcW w:w="2817" w:type="dxa"/>
          </w:tcPr>
          <w:p w14:paraId="682D877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AF02AE2" w14:textId="77777777">
        <w:tc>
          <w:tcPr>
            <w:tcW w:w="2817" w:type="dxa"/>
          </w:tcPr>
          <w:p w14:paraId="07088A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26</w:t>
            </w:r>
          </w:p>
        </w:tc>
        <w:tc>
          <w:tcPr>
            <w:tcW w:w="2817" w:type="dxa"/>
          </w:tcPr>
          <w:p w14:paraId="6DBED4E3"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4CFA0811"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2F145AE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E370134" w14:textId="77777777">
        <w:tc>
          <w:tcPr>
            <w:tcW w:w="2817" w:type="dxa"/>
          </w:tcPr>
          <w:p w14:paraId="2AA9E7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М-17</w:t>
            </w:r>
          </w:p>
        </w:tc>
        <w:tc>
          <w:tcPr>
            <w:tcW w:w="2817" w:type="dxa"/>
          </w:tcPr>
          <w:p w14:paraId="5317C4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3400</w:t>
            </w:r>
          </w:p>
        </w:tc>
        <w:tc>
          <w:tcPr>
            <w:tcW w:w="2817" w:type="dxa"/>
          </w:tcPr>
          <w:p w14:paraId="51DC4F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3400</w:t>
            </w:r>
          </w:p>
        </w:tc>
        <w:tc>
          <w:tcPr>
            <w:tcW w:w="2817" w:type="dxa"/>
          </w:tcPr>
          <w:p w14:paraId="0BE0129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5F9C880" w14:textId="77777777">
        <w:tc>
          <w:tcPr>
            <w:tcW w:w="2817" w:type="dxa"/>
          </w:tcPr>
          <w:p w14:paraId="0F35FE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М-100</w:t>
            </w:r>
          </w:p>
        </w:tc>
        <w:tc>
          <w:tcPr>
            <w:tcW w:w="2817" w:type="dxa"/>
          </w:tcPr>
          <w:p w14:paraId="25719A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2817" w:type="dxa"/>
          </w:tcPr>
          <w:p w14:paraId="12342E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w:t>
            </w:r>
          </w:p>
        </w:tc>
        <w:tc>
          <w:tcPr>
            <w:tcW w:w="2817" w:type="dxa"/>
          </w:tcPr>
          <w:p w14:paraId="76E4E38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8E1DC8B" w14:textId="77777777">
        <w:tc>
          <w:tcPr>
            <w:tcW w:w="2817" w:type="dxa"/>
          </w:tcPr>
          <w:p w14:paraId="1A8DA6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2817" w:type="dxa"/>
          </w:tcPr>
          <w:p w14:paraId="472BDC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4400</w:t>
            </w:r>
          </w:p>
        </w:tc>
        <w:tc>
          <w:tcPr>
            <w:tcW w:w="2817" w:type="dxa"/>
          </w:tcPr>
          <w:p w14:paraId="78C4FB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3520</w:t>
            </w:r>
          </w:p>
        </w:tc>
        <w:tc>
          <w:tcPr>
            <w:tcW w:w="2817" w:type="dxa"/>
          </w:tcPr>
          <w:p w14:paraId="37E009B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B82C056" w14:textId="77777777">
        <w:tc>
          <w:tcPr>
            <w:tcW w:w="2817" w:type="dxa"/>
          </w:tcPr>
          <w:p w14:paraId="7BD68E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2817" w:type="dxa"/>
          </w:tcPr>
          <w:p w14:paraId="711CDBBC"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7B26A012"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13D7DE9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B0BD81D" w14:textId="77777777">
        <w:tc>
          <w:tcPr>
            <w:tcW w:w="2817" w:type="dxa"/>
          </w:tcPr>
          <w:p w14:paraId="421984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М-11</w:t>
            </w:r>
          </w:p>
        </w:tc>
        <w:tc>
          <w:tcPr>
            <w:tcW w:w="2817" w:type="dxa"/>
          </w:tcPr>
          <w:p w14:paraId="6802B3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2817" w:type="dxa"/>
          </w:tcPr>
          <w:p w14:paraId="4AA30A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1016**</w:t>
            </w:r>
          </w:p>
        </w:tc>
        <w:tc>
          <w:tcPr>
            <w:tcW w:w="2817" w:type="dxa"/>
          </w:tcPr>
          <w:p w14:paraId="6BCFB9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т.ч. 114 некондиционных</w:t>
            </w:r>
          </w:p>
        </w:tc>
      </w:tr>
      <w:tr w:rsidR="00E3599D" w:rsidRPr="00E14102" w14:paraId="19338BF3" w14:textId="77777777">
        <w:tc>
          <w:tcPr>
            <w:tcW w:w="2817" w:type="dxa"/>
          </w:tcPr>
          <w:p w14:paraId="306E92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М-22</w:t>
            </w:r>
          </w:p>
        </w:tc>
        <w:tc>
          <w:tcPr>
            <w:tcW w:w="2817" w:type="dxa"/>
          </w:tcPr>
          <w:p w14:paraId="1D0A1E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2817" w:type="dxa"/>
          </w:tcPr>
          <w:p w14:paraId="285024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2817" w:type="dxa"/>
          </w:tcPr>
          <w:p w14:paraId="258FD03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F8F5139" w14:textId="77777777">
        <w:tc>
          <w:tcPr>
            <w:tcW w:w="2817" w:type="dxa"/>
          </w:tcPr>
          <w:p w14:paraId="698CA5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М-75</w:t>
            </w:r>
          </w:p>
        </w:tc>
        <w:tc>
          <w:tcPr>
            <w:tcW w:w="2817" w:type="dxa"/>
          </w:tcPr>
          <w:p w14:paraId="53A57B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2817" w:type="dxa"/>
          </w:tcPr>
          <w:p w14:paraId="0E7D07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w:t>
            </w:r>
          </w:p>
        </w:tc>
        <w:tc>
          <w:tcPr>
            <w:tcW w:w="2817" w:type="dxa"/>
          </w:tcPr>
          <w:p w14:paraId="6D8CD9E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473CE6D" w14:textId="77777777">
        <w:tc>
          <w:tcPr>
            <w:tcW w:w="2817" w:type="dxa"/>
          </w:tcPr>
          <w:p w14:paraId="482BD2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М-85</w:t>
            </w:r>
          </w:p>
        </w:tc>
        <w:tc>
          <w:tcPr>
            <w:tcW w:w="2817" w:type="dxa"/>
          </w:tcPr>
          <w:p w14:paraId="543537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2817" w:type="dxa"/>
          </w:tcPr>
          <w:p w14:paraId="18B166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2817" w:type="dxa"/>
          </w:tcPr>
          <w:p w14:paraId="68B575C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4405BBD" w14:textId="77777777">
        <w:tc>
          <w:tcPr>
            <w:tcW w:w="2817" w:type="dxa"/>
          </w:tcPr>
          <w:p w14:paraId="39C2E6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Итого</w:t>
            </w:r>
          </w:p>
        </w:tc>
        <w:tc>
          <w:tcPr>
            <w:tcW w:w="2817" w:type="dxa"/>
          </w:tcPr>
          <w:p w14:paraId="051140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1750</w:t>
            </w:r>
          </w:p>
        </w:tc>
        <w:tc>
          <w:tcPr>
            <w:tcW w:w="2817" w:type="dxa"/>
          </w:tcPr>
          <w:p w14:paraId="01EEAC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1724</w:t>
            </w:r>
          </w:p>
        </w:tc>
        <w:tc>
          <w:tcPr>
            <w:tcW w:w="2817" w:type="dxa"/>
          </w:tcPr>
          <w:p w14:paraId="3C6E730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ABE24E" w14:textId="77777777">
        <w:tc>
          <w:tcPr>
            <w:tcW w:w="2817" w:type="dxa"/>
          </w:tcPr>
          <w:p w14:paraId="640C64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19</w:t>
            </w:r>
          </w:p>
        </w:tc>
        <w:tc>
          <w:tcPr>
            <w:tcW w:w="2817" w:type="dxa"/>
          </w:tcPr>
          <w:p w14:paraId="4A7208B0"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13C432CA"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68DD239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0D9B146" w14:textId="77777777">
        <w:tc>
          <w:tcPr>
            <w:tcW w:w="2817" w:type="dxa"/>
          </w:tcPr>
          <w:p w14:paraId="0B157A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М-25</w:t>
            </w:r>
          </w:p>
        </w:tc>
        <w:tc>
          <w:tcPr>
            <w:tcW w:w="2817" w:type="dxa"/>
          </w:tcPr>
          <w:p w14:paraId="5209EB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2817" w:type="dxa"/>
          </w:tcPr>
          <w:p w14:paraId="61ACB1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630</w:t>
            </w:r>
          </w:p>
        </w:tc>
        <w:tc>
          <w:tcPr>
            <w:tcW w:w="2817" w:type="dxa"/>
          </w:tcPr>
          <w:p w14:paraId="393567B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4791E52" w14:textId="77777777">
        <w:tc>
          <w:tcPr>
            <w:tcW w:w="2817" w:type="dxa"/>
          </w:tcPr>
          <w:p w14:paraId="4A72AE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2817" w:type="dxa"/>
          </w:tcPr>
          <w:p w14:paraId="2CA44A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9165</w:t>
            </w:r>
          </w:p>
        </w:tc>
        <w:tc>
          <w:tcPr>
            <w:tcW w:w="2817" w:type="dxa"/>
          </w:tcPr>
          <w:p w14:paraId="35D4F6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7574</w:t>
            </w:r>
          </w:p>
        </w:tc>
        <w:tc>
          <w:tcPr>
            <w:tcW w:w="2817" w:type="dxa"/>
          </w:tcPr>
          <w:p w14:paraId="460EE522" w14:textId="77777777" w:rsidR="00D4105E" w:rsidRPr="00E14102" w:rsidRDefault="00D4105E" w:rsidP="00E14102">
            <w:pPr>
              <w:autoSpaceDE w:val="0"/>
              <w:autoSpaceDN w:val="0"/>
              <w:adjustRightInd w:val="0"/>
              <w:jc w:val="both"/>
              <w:rPr>
                <w:color w:val="000000" w:themeColor="text1"/>
                <w:sz w:val="16"/>
                <w:szCs w:val="16"/>
              </w:rPr>
            </w:pPr>
          </w:p>
        </w:tc>
      </w:tr>
    </w:tbl>
    <w:p w14:paraId="758D08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p w14:paraId="3E9A78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**1710 моторов составлял план по государственному заказу; со снятием 200 моторов, в связи с заданием заводу изготовить головную серию форсированных моторов (М34ФРН), план завода № 24 на 1935 год устанавливается:</w:t>
      </w:r>
    </w:p>
    <w:p w14:paraId="470BD6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моторов М-34Р – 500 штук; М-34Н – 200 штук; М-34РН – 455; ГМ-34 – 325 штук и М-34ФРН – 20 штук, всего 1500 моторов (3574,248).</w:t>
      </w:r>
    </w:p>
    <w:p w14:paraId="2C2C11B8" w14:textId="77777777" w:rsidR="00D4105E" w:rsidRPr="00E14102" w:rsidRDefault="00D4105E" w:rsidP="00E14102">
      <w:pPr>
        <w:autoSpaceDE w:val="0"/>
        <w:autoSpaceDN w:val="0"/>
        <w:adjustRightInd w:val="0"/>
        <w:jc w:val="both"/>
        <w:rPr>
          <w:color w:val="000000" w:themeColor="text1"/>
          <w:sz w:val="16"/>
          <w:szCs w:val="16"/>
        </w:rPr>
      </w:pPr>
    </w:p>
    <w:p w14:paraId="31B08873"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C6F7DFD" w14:textId="77777777" w:rsidR="00D4105E" w:rsidRPr="00E14102" w:rsidRDefault="00D4105E" w:rsidP="00E14102">
      <w:pPr>
        <w:autoSpaceDE w:val="0"/>
        <w:autoSpaceDN w:val="0"/>
        <w:adjustRightInd w:val="0"/>
        <w:jc w:val="both"/>
        <w:rPr>
          <w:iCs/>
          <w:color w:val="000000" w:themeColor="text1"/>
          <w:sz w:val="16"/>
          <w:szCs w:val="16"/>
        </w:rPr>
      </w:pPr>
    </w:p>
    <w:p w14:paraId="3C4147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декабря 1935 были отменены все ограничения, связанные с социальным положением (3481).</w:t>
      </w:r>
    </w:p>
    <w:p w14:paraId="2F5DE562" w14:textId="77777777" w:rsidR="00D4105E" w:rsidRPr="00E14102" w:rsidRDefault="00D4105E" w:rsidP="00E14102">
      <w:pPr>
        <w:autoSpaceDE w:val="0"/>
        <w:autoSpaceDN w:val="0"/>
        <w:adjustRightInd w:val="0"/>
        <w:jc w:val="both"/>
        <w:rPr>
          <w:color w:val="000000" w:themeColor="text1"/>
          <w:sz w:val="16"/>
          <w:szCs w:val="16"/>
        </w:rPr>
      </w:pPr>
    </w:p>
    <w:p w14:paraId="4035B0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декабря 1935 были отменены все ограничения для абитуриентов ВУЗов и техникумов по социальному положению и происхождению (1348,271).</w:t>
      </w:r>
    </w:p>
    <w:p w14:paraId="66C8A3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Интересно, кто из конструкторов после этого начал учиться будучи уже не в абитуриентском возрасте.</w:t>
      </w:r>
    </w:p>
    <w:p w14:paraId="3A3696D0" w14:textId="77777777" w:rsidR="00D4105E" w:rsidRPr="00E14102" w:rsidRDefault="00D4105E" w:rsidP="00E14102">
      <w:pPr>
        <w:autoSpaceDE w:val="0"/>
        <w:autoSpaceDN w:val="0"/>
        <w:adjustRightInd w:val="0"/>
        <w:jc w:val="both"/>
        <w:rPr>
          <w:iCs/>
          <w:color w:val="000000" w:themeColor="text1"/>
          <w:sz w:val="16"/>
          <w:szCs w:val="16"/>
        </w:rPr>
      </w:pPr>
    </w:p>
    <w:p w14:paraId="5B446D72"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B279DFB" w14:textId="77777777" w:rsidR="00D4105E" w:rsidRPr="00E14102" w:rsidRDefault="00D4105E" w:rsidP="00E14102">
      <w:pPr>
        <w:autoSpaceDE w:val="0"/>
        <w:autoSpaceDN w:val="0"/>
        <w:adjustRightInd w:val="0"/>
        <w:jc w:val="both"/>
        <w:rPr>
          <w:iCs/>
          <w:color w:val="000000" w:themeColor="text1"/>
          <w:sz w:val="16"/>
          <w:szCs w:val="16"/>
        </w:rPr>
      </w:pPr>
    </w:p>
    <w:p w14:paraId="69E491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31 декабря 1935 года вышел Приказ НИИ ВС № 0645 О возобновлении испытания самолета СБ-2ИС.</w:t>
      </w:r>
    </w:p>
    <w:p w14:paraId="00B9793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начать с 30 декабря 1935 года.</w:t>
      </w:r>
    </w:p>
    <w:p w14:paraId="666B87A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Испытания производить на аэродроме НИИ ВС (6815, 250).</w:t>
      </w:r>
    </w:p>
    <w:p w14:paraId="4640ABC6"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3A0AAB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31 декабря 1935 года Начальник-комиссар НИИ ВС Бажанов утвердил Отчет по испытаниям серийных самолетов "Зет" постройки завода 135 за NN 13533, 13534 и 13535 на предмет определения разрушающего действия выстрелов из пушек "АПК-4м"</w:t>
      </w:r>
    </w:p>
    <w:p w14:paraId="46629F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w:t>
      </w:r>
    </w:p>
    <w:p w14:paraId="509196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Начаты 28.06.35 г.</w:t>
      </w:r>
    </w:p>
    <w:p w14:paraId="7C4F8D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Окончены 10.09.35 г.</w:t>
      </w:r>
    </w:p>
    <w:p w14:paraId="12FBCD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Отв. исполнитель Н. Мельников.</w:t>
      </w:r>
    </w:p>
    <w:p w14:paraId="6110B1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58649D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Определение разрушающего действия выстрелов из пушек "АПК-4м" калибра 7,62 мм на части самолета "Зет".</w:t>
      </w:r>
    </w:p>
    <w:p w14:paraId="26F1B1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Определение эксплуатационных свойств самолетов "Зет".</w:t>
      </w:r>
    </w:p>
    <w:p w14:paraId="2134B6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проводились в Евпатории в Особой авиагруппе в/ч 1127 в период с 20.05 по 11.09.35 г.</w:t>
      </w:r>
    </w:p>
    <w:p w14:paraId="7E437B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N 13533 - летчик Катичев К.А.</w:t>
      </w:r>
    </w:p>
    <w:p w14:paraId="7DD36C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N 13534 - летчик Звонарев Н.И.</w:t>
      </w:r>
    </w:p>
    <w:p w14:paraId="32E6C9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N 13535 - летчик Кравченко Г.П.</w:t>
      </w:r>
    </w:p>
    <w:p w14:paraId="5ACE47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Выводы.</w:t>
      </w:r>
    </w:p>
    <w:p w14:paraId="368BF6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среднем, после 100-150 выстрелов необходим особо тщательный контроль за состоянием самолета с возможной заменой отдельных его частей и деталей (3074).</w:t>
      </w:r>
    </w:p>
    <w:p w14:paraId="32828F48" w14:textId="77777777" w:rsidR="00D4105E" w:rsidRPr="00E14102" w:rsidRDefault="00D4105E" w:rsidP="00E14102">
      <w:pPr>
        <w:autoSpaceDE w:val="0"/>
        <w:autoSpaceDN w:val="0"/>
        <w:adjustRightInd w:val="0"/>
        <w:jc w:val="both"/>
        <w:rPr>
          <w:color w:val="000000" w:themeColor="text1"/>
          <w:sz w:val="16"/>
          <w:szCs w:val="16"/>
        </w:rPr>
      </w:pPr>
    </w:p>
    <w:p w14:paraId="55BF877C" w14:textId="77777777" w:rsidR="00C4639C" w:rsidRPr="00E14102" w:rsidRDefault="00C4639C" w:rsidP="00E14102">
      <w:pPr>
        <w:shd w:val="clear" w:color="auto" w:fill="FFFFFF"/>
        <w:jc w:val="both"/>
        <w:rPr>
          <w:color w:val="000000" w:themeColor="text1"/>
          <w:sz w:val="16"/>
          <w:szCs w:val="16"/>
        </w:rPr>
      </w:pPr>
      <w:r w:rsidRPr="00E14102">
        <w:rPr>
          <w:color w:val="000000" w:themeColor="text1"/>
          <w:sz w:val="16"/>
          <w:szCs w:val="16"/>
        </w:rPr>
        <w:t>31 октября 1935 года первый опытный образец ДИ-6 в варианте штурмовика был предъявлен на полигонные и заводские испытания вооружения. Основные его отличия от базовой машины сводились к установке под нижним крылом вместо двух ШКАСов, попарно четырех пулеметов ПВ-1, закрытых обтекателями. Их патронные ящики располагались в фюзеляже. К четырем бомбодержателям Д-1 под крылом добавили столько же ДЕР-32 под фюзеляжем. Пристрелку и испытание крыльевых пулеметных установок длинными и короткими очередями полным боекомплектом производили в заводском тире. На полигоне в Ногинске стрельбы вели в горизонтальных полетах на разных высотах, в глубоких виражах и с пикирования, осуществляли бомбометание корпусами авиабомб АО-8, испытывали выливные приборы ВАП-6. Всего за время испытаний было выполнено 10 полетов, израсходовано 20785 патронов – пулеметы работали безотказно. Но при этом различные мелкие дефекты самолета буквально преследовали испытательную бригаду, а осенняя погода мешала проведению полетов.</w:t>
      </w:r>
    </w:p>
    <w:p w14:paraId="2FBD8115" w14:textId="77777777" w:rsidR="00C4639C" w:rsidRPr="00E14102" w:rsidRDefault="00C4639C" w:rsidP="00E14102">
      <w:pPr>
        <w:shd w:val="clear" w:color="auto" w:fill="FFFFFF"/>
        <w:jc w:val="both"/>
        <w:rPr>
          <w:color w:val="000000" w:themeColor="text1"/>
          <w:sz w:val="16"/>
          <w:szCs w:val="16"/>
        </w:rPr>
      </w:pPr>
      <w:r w:rsidRPr="00E14102">
        <w:rPr>
          <w:color w:val="000000" w:themeColor="text1"/>
          <w:sz w:val="16"/>
          <w:szCs w:val="16"/>
        </w:rPr>
        <w:t>По итогам испытаний ДИ-6ш начальник ВВС Я.И. Алкснис принял решение о проведении дополнительных полигонных испытаний вооружения штурмовика, с привлечением наиболее подготовленных летчиков из строевых частей. В этих испытаниях, проведенных НИИ ВВС в феврале–марте 1936 года, приняли участие экипажи Ленинградского, Белорусского и Киевского военных округов. Строевые летчики в первую очередь обратили внимание на эксплуатационные недостатки штурмовика. В их отзывах встречаются такие замечания:</w:t>
      </w:r>
    </w:p>
    <w:p w14:paraId="140DBEB9" w14:textId="77777777" w:rsidR="00C4639C" w:rsidRPr="00E14102" w:rsidRDefault="00C4639C" w:rsidP="00E14102">
      <w:pPr>
        <w:shd w:val="clear" w:color="auto" w:fill="FFFFFF"/>
        <w:jc w:val="both"/>
        <w:rPr>
          <w:color w:val="000000" w:themeColor="text1"/>
          <w:sz w:val="16"/>
          <w:szCs w:val="16"/>
        </w:rPr>
      </w:pPr>
      <w:r w:rsidRPr="00E14102">
        <w:rPr>
          <w:iCs/>
          <w:color w:val="000000" w:themeColor="text1"/>
          <w:sz w:val="16"/>
          <w:szCs w:val="16"/>
        </w:rPr>
        <w:t>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градусов в переднюю полусферу), а поэтому теряется основное свойство штурмовика – внезапность.</w:t>
      </w:r>
    </w:p>
    <w:p w14:paraId="6E5A8C9B" w14:textId="77777777" w:rsidR="00C4639C" w:rsidRPr="00E14102" w:rsidRDefault="00C4639C" w:rsidP="00E14102">
      <w:pPr>
        <w:shd w:val="clear" w:color="auto" w:fill="FFFFFF"/>
        <w:jc w:val="both"/>
        <w:rPr>
          <w:color w:val="000000" w:themeColor="text1"/>
          <w:sz w:val="16"/>
          <w:szCs w:val="16"/>
        </w:rPr>
      </w:pPr>
      <w:r w:rsidRPr="00E14102">
        <w:rPr>
          <w:color w:val="000000" w:themeColor="text1"/>
          <w:sz w:val="16"/>
          <w:szCs w:val="16"/>
        </w:rPr>
        <w:t>Претензии высказывались к стрелковому вооружению. Указывали на невозможность ведения огня из задней стрелковой установки по земле и ограниченность сектора обстрела воздушных целей, невозможность поддержки огнем соседних самолетов в строю. Подвергалось критике и бомбардировочное вооружение. Количество и ассортимент бомб не соответствовали тактическим задачам штурмовика.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 Были и другие серьезные замечания (15223).</w:t>
      </w:r>
    </w:p>
    <w:p w14:paraId="22D10880" w14:textId="77777777" w:rsidR="00C4639C" w:rsidRPr="00E14102" w:rsidRDefault="00C4639C" w:rsidP="00E14102">
      <w:pPr>
        <w:shd w:val="clear" w:color="auto" w:fill="FFFFFF"/>
        <w:jc w:val="both"/>
        <w:rPr>
          <w:color w:val="000000" w:themeColor="text1"/>
          <w:sz w:val="16"/>
          <w:szCs w:val="16"/>
        </w:rPr>
      </w:pPr>
    </w:p>
    <w:p w14:paraId="483FE97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31 декабря 1935 года Начальник управления ВС командарм II ранга Алкснис утвердил Технические требования к рекордному высотному самолету (6694).</w:t>
      </w:r>
    </w:p>
    <w:p w14:paraId="56EB97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Назначение самолета</w:t>
      </w:r>
    </w:p>
    <w:p w14:paraId="27136E3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Установление нового мирового рекорда высоты, с возможным использованием в дальнейшем для изучения вопросов работы на больших высотах в качестве двухместного самолета.</w:t>
      </w:r>
    </w:p>
    <w:p w14:paraId="2F7912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Условия работы</w:t>
      </w:r>
    </w:p>
    <w:p w14:paraId="52CD20C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днем при благоприятных метеорологических условиях над аэродромом.</w:t>
      </w:r>
    </w:p>
    <w:p w14:paraId="226F4E2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предусматривает следующие режимы:</w:t>
      </w:r>
    </w:p>
    <w:p w14:paraId="2316228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потолок.</w:t>
      </w:r>
    </w:p>
    <w:p w14:paraId="2337989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Полет на максимальной скорости.</w:t>
      </w:r>
    </w:p>
    <w:p w14:paraId="26E6BDBE"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Крутые виражи.</w:t>
      </w:r>
    </w:p>
    <w:p w14:paraId="7D09DB6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Выходы из крутых планирований.</w:t>
      </w:r>
    </w:p>
    <w:p w14:paraId="7E3376F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Летно-технические данные</w:t>
      </w:r>
    </w:p>
    <w:p w14:paraId="17675B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 ориентировочной полезной нагрузкой 115,6 кг должен обладать нижеследующими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E3599D" w:rsidRPr="00E14102" w14:paraId="3E61FC35" w14:textId="77777777">
        <w:tc>
          <w:tcPr>
            <w:tcW w:w="4428" w:type="dxa"/>
            <w:tcBorders>
              <w:top w:val="nil"/>
              <w:left w:val="nil"/>
              <w:bottom w:val="nil"/>
              <w:right w:val="nil"/>
            </w:tcBorders>
          </w:tcPr>
          <w:p w14:paraId="733A071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Потолок практический</w:t>
            </w:r>
          </w:p>
        </w:tc>
        <w:tc>
          <w:tcPr>
            <w:tcW w:w="4428" w:type="dxa"/>
            <w:tcBorders>
              <w:top w:val="nil"/>
              <w:left w:val="nil"/>
              <w:bottom w:val="nil"/>
              <w:right w:val="nil"/>
            </w:tcBorders>
          </w:tcPr>
          <w:p w14:paraId="142DDC1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15500 м</w:t>
            </w:r>
          </w:p>
        </w:tc>
      </w:tr>
    </w:tbl>
    <w:p w14:paraId="5015558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Емкость бензинового бака должна позволять производить полет продолжительностью не менее 2,5 часов.</w:t>
      </w:r>
    </w:p>
    <w:p w14:paraId="5D7EA8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Конструкция самолета</w:t>
      </w:r>
    </w:p>
    <w:p w14:paraId="5F03F703"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строится под мотор Райт-Циклон Ф54 700 НР с высотностью в 4900 м при 2100 об/мин. с винтом регулируемого шага в полете конструкции завода № 28.</w:t>
      </w:r>
    </w:p>
    <w:p w14:paraId="36281AD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…………………..(6694).</w:t>
      </w:r>
    </w:p>
    <w:p w14:paraId="3B99668B"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06FFB9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декабря 1935 военпред на заводе 31 Загайнов подписал заключение по МБР-5 П.Д.Самсонова (1030,27):</w:t>
      </w:r>
    </w:p>
    <w:p w14:paraId="1B7046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Несмотря на имеющиеся недостатки конструктивного и производственного характера комиссия считает, что МБР-5 с РЦ по предварительным результатам заводских испытаний, по своему классу, по общей компоновке, по общим ЛТД и мореходным качествам является современной и необходимой машиной для морских сил РККА.</w:t>
      </w:r>
    </w:p>
    <w:p w14:paraId="3D478A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В заказе на 1936 первая группа машин д.б. принята как войсковая серия для всестороннего эксплуатационного изучения и выявления опасных по прочности мест.</w:t>
      </w:r>
    </w:p>
    <w:p w14:paraId="7CABF0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К первой группе заказа 1936 необходимо предъявить заводу требования об устранении всех дефектов, выявленных представительством УВВС РККА на заводе 31 и МЛИС УВВС РККА на гос. испытаниях." (1030,27).</w:t>
      </w:r>
    </w:p>
    <w:p w14:paraId="6B405569" w14:textId="77777777" w:rsidR="00D4105E" w:rsidRPr="00E14102" w:rsidRDefault="00D4105E" w:rsidP="00E14102">
      <w:pPr>
        <w:autoSpaceDE w:val="0"/>
        <w:autoSpaceDN w:val="0"/>
        <w:adjustRightInd w:val="0"/>
        <w:jc w:val="both"/>
        <w:rPr>
          <w:color w:val="000000" w:themeColor="text1"/>
          <w:sz w:val="16"/>
          <w:szCs w:val="16"/>
        </w:rPr>
      </w:pPr>
    </w:p>
    <w:p w14:paraId="1E197E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декабря 1935 года начальник Управления ВС писал письмо № 41/003681 председателю комиссии по редактированию проекта постановления СТО по авиации Молотову, наркому обороны маршалу Ворошилову, зам. наркома тяжелой промышленности и начальнику ГУАПа Кагановичу М.</w:t>
      </w:r>
    </w:p>
    <w:p w14:paraId="531BA6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исполнение Ваших указаний, настоящим представляю проект постановления СТО об опытном строительстве авиации, согласованный с зам. НКТП и начальником ГУАПа М. Кагановичем и планы опытного строительства самолетов и моторов на 1936-37 год, согласованные между ГУАПом и УВС в комиссии наркома Тяжелой промышленности Орджоникидзе и доложенные 2 декабря 1935 года в СТО.</w:t>
      </w:r>
    </w:p>
    <w:p w14:paraId="66C015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настоящее время, в связи с предложенным комиссией Рудзатак сокращением кредитов на опытное строительство и научно-исследовательские работы, ГУАП ставит вопрос о пересмотре самого плана опытного строительства, принятого на заседании СТО 2 декабря 1935 года.</w:t>
      </w:r>
    </w:p>
    <w:p w14:paraId="7203CD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 не считал себя в праве идти на обсуждение этого предложения, подвергающего ревизии решения СТО от 2 декабря 1935 года.</w:t>
      </w:r>
    </w:p>
    <w:p w14:paraId="16DFF6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 проект постановления и планы опытного строительства самолетов и моторов (3527, 28).</w:t>
      </w:r>
    </w:p>
    <w:p w14:paraId="28F7AC47" w14:textId="77777777" w:rsidR="00D4105E" w:rsidRPr="00E14102" w:rsidRDefault="00D4105E" w:rsidP="00E14102">
      <w:pPr>
        <w:autoSpaceDE w:val="0"/>
        <w:autoSpaceDN w:val="0"/>
        <w:adjustRightInd w:val="0"/>
        <w:jc w:val="both"/>
        <w:rPr>
          <w:color w:val="000000" w:themeColor="text1"/>
          <w:sz w:val="16"/>
          <w:szCs w:val="16"/>
        </w:rPr>
      </w:pPr>
    </w:p>
    <w:p w14:paraId="4098F94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31 декабря 1935 года закончились испытания ацетилцеллюлозных аэролаков, которые проводились с 1 февраля 1935 (6730).</w:t>
      </w:r>
    </w:p>
    <w:p w14:paraId="479F2E2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40BB159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 лакокрасочной лаборатории Отдела 6 Краснопольский</w:t>
      </w:r>
    </w:p>
    <w:p w14:paraId="64391A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7DC4151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666AB97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759485F"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комбинированными аэролаками до полного выявления качеств покрытий при работе в условиях эксплуатации.</w:t>
      </w:r>
    </w:p>
    <w:p w14:paraId="273A24F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Рецептура ацетилцеллюлозного аэролака первого покрытия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36"/>
        <w:gridCol w:w="4428"/>
      </w:tblGrid>
      <w:tr w:rsidR="00E3599D" w:rsidRPr="00E14102" w14:paraId="59268EC5" w14:textId="77777777">
        <w:tc>
          <w:tcPr>
            <w:tcW w:w="2736" w:type="dxa"/>
            <w:tcBorders>
              <w:top w:val="single" w:sz="12" w:space="0" w:color="auto"/>
            </w:tcBorders>
          </w:tcPr>
          <w:p w14:paraId="7CA8603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Ацетилцеллюлоза</w:t>
            </w:r>
          </w:p>
        </w:tc>
        <w:tc>
          <w:tcPr>
            <w:tcW w:w="4428" w:type="dxa"/>
            <w:tcBorders>
              <w:top w:val="single" w:sz="12" w:space="0" w:color="auto"/>
            </w:tcBorders>
          </w:tcPr>
          <w:p w14:paraId="627FBA9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11,3%</w:t>
            </w:r>
          </w:p>
        </w:tc>
      </w:tr>
      <w:tr w:rsidR="00E3599D" w:rsidRPr="00E14102" w14:paraId="7A0C6B13" w14:textId="77777777">
        <w:tc>
          <w:tcPr>
            <w:tcW w:w="2736" w:type="dxa"/>
          </w:tcPr>
          <w:p w14:paraId="373FF9D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lastRenderedPageBreak/>
              <w:t>Бензилацетат</w:t>
            </w:r>
          </w:p>
        </w:tc>
        <w:tc>
          <w:tcPr>
            <w:tcW w:w="4428" w:type="dxa"/>
          </w:tcPr>
          <w:p w14:paraId="2C6000D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8,0%</w:t>
            </w:r>
          </w:p>
        </w:tc>
      </w:tr>
      <w:tr w:rsidR="00E3599D" w:rsidRPr="00E14102" w14:paraId="600ED1A3" w14:textId="77777777">
        <w:tc>
          <w:tcPr>
            <w:tcW w:w="2736" w:type="dxa"/>
          </w:tcPr>
          <w:p w14:paraId="4974C29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Бензол</w:t>
            </w:r>
          </w:p>
        </w:tc>
        <w:tc>
          <w:tcPr>
            <w:tcW w:w="4428" w:type="dxa"/>
          </w:tcPr>
          <w:p w14:paraId="1F5A237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13,3%</w:t>
            </w:r>
          </w:p>
        </w:tc>
      </w:tr>
      <w:tr w:rsidR="00E3599D" w:rsidRPr="00E14102" w14:paraId="3185A846" w14:textId="77777777">
        <w:tc>
          <w:tcPr>
            <w:tcW w:w="2736" w:type="dxa"/>
          </w:tcPr>
          <w:p w14:paraId="338D326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Этиловый спирт</w:t>
            </w:r>
          </w:p>
        </w:tc>
        <w:tc>
          <w:tcPr>
            <w:tcW w:w="4428" w:type="dxa"/>
          </w:tcPr>
          <w:p w14:paraId="4AD3919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13,3%</w:t>
            </w:r>
          </w:p>
        </w:tc>
      </w:tr>
      <w:tr w:rsidR="00E3599D" w:rsidRPr="00E14102" w14:paraId="0009AE1A" w14:textId="77777777">
        <w:tc>
          <w:tcPr>
            <w:tcW w:w="2736" w:type="dxa"/>
          </w:tcPr>
          <w:p w14:paraId="6F954B6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Этилацетат</w:t>
            </w:r>
          </w:p>
        </w:tc>
        <w:tc>
          <w:tcPr>
            <w:tcW w:w="4428" w:type="dxa"/>
          </w:tcPr>
          <w:p w14:paraId="4D7AEE0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26,6%</w:t>
            </w:r>
          </w:p>
        </w:tc>
      </w:tr>
      <w:tr w:rsidR="00E3599D" w:rsidRPr="00E14102" w14:paraId="33F2EF89" w14:textId="77777777">
        <w:tc>
          <w:tcPr>
            <w:tcW w:w="2736" w:type="dxa"/>
            <w:tcBorders>
              <w:bottom w:val="single" w:sz="12" w:space="0" w:color="auto"/>
            </w:tcBorders>
          </w:tcPr>
          <w:p w14:paraId="0E68DA1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Ацетон технический</w:t>
            </w:r>
          </w:p>
        </w:tc>
        <w:tc>
          <w:tcPr>
            <w:tcW w:w="4428" w:type="dxa"/>
            <w:tcBorders>
              <w:bottom w:val="single" w:sz="12" w:space="0" w:color="auto"/>
            </w:tcBorders>
          </w:tcPr>
          <w:p w14:paraId="6783522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27,5%</w:t>
            </w:r>
          </w:p>
        </w:tc>
      </w:tr>
    </w:tbl>
    <w:p w14:paraId="09DC34D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Метод окраски самолетов и рам</w:t>
      </w:r>
    </w:p>
    <w:p w14:paraId="5FE3B5F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нормальными нитролаками второго покрытия.</w:t>
      </w:r>
    </w:p>
    <w:p w14:paraId="3DC8450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Третий слой цветного аэролака наносился на самолет после окончания заводских испытаний его (6730).</w:t>
      </w:r>
    </w:p>
    <w:p w14:paraId="470D1341"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BA88C2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31 декабря 1935 года закончились испытания по теме ЛК-7 “Испытание ацетилцеллюлозных аэролаков”, которые проводились с 1 февраля 1935 (6830).</w:t>
      </w:r>
    </w:p>
    <w:p w14:paraId="6C16022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исполнитель:</w:t>
      </w:r>
    </w:p>
    <w:p w14:paraId="235D2BF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Начальник лакокрасочной лаборатории 6 Отдела Краснопольский</w:t>
      </w:r>
    </w:p>
    <w:p w14:paraId="486BA8F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653E2BE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1D280A4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241EFDD7"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 аэролаками до полного выявления качеств покрытий при работе в условиях эксплуатации.</w:t>
      </w:r>
    </w:p>
    <w:p w14:paraId="53FCF5D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Поставить перед ВИАМом и заводом № 36 вопрос о проработке в 1936 году рецептуры цветных ацетилцеллюлозных аэролаков для защиты покрытий и об уточнении рецептуры бесцветных лаков с целью получения более высокой усадки.</w:t>
      </w:r>
    </w:p>
    <w:p w14:paraId="2A70706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Рецептура ацетилцеллюлозного аэролака первого покрытия</w:t>
      </w:r>
    </w:p>
    <w:p w14:paraId="36941E5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Ацетилцеллюлоза – 11,3 %</w:t>
      </w:r>
    </w:p>
    <w:p w14:paraId="6B5BE489"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Бензилацетат – 8%</w:t>
      </w:r>
    </w:p>
    <w:p w14:paraId="3F5B572D"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Бензол – 13,3%</w:t>
      </w:r>
    </w:p>
    <w:p w14:paraId="2E2C397B"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Этиловый спирт – 13,3%</w:t>
      </w:r>
    </w:p>
    <w:p w14:paraId="71A5FF3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Этилацетат – 26,6%</w:t>
      </w:r>
    </w:p>
    <w:p w14:paraId="083DEC6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Ацетон технический – 27,5%</w:t>
      </w:r>
    </w:p>
    <w:p w14:paraId="4AA20CA5"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 нитролаком второго покрытия.</w:t>
      </w:r>
    </w:p>
    <w:p w14:paraId="45CBF3C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Были окрашены 2 самолета (И-15 и ЗС) (6830).</w:t>
      </w:r>
    </w:p>
    <w:p w14:paraId="3C52F679" w14:textId="77777777" w:rsidR="00D4105E" w:rsidRPr="00E14102" w:rsidRDefault="00D4105E" w:rsidP="00E14102">
      <w:pPr>
        <w:tabs>
          <w:tab w:val="left" w:pos="11199"/>
        </w:tabs>
        <w:autoSpaceDE w:val="0"/>
        <w:autoSpaceDN w:val="0"/>
        <w:adjustRightInd w:val="0"/>
        <w:jc w:val="both"/>
        <w:rPr>
          <w:color w:val="000000" w:themeColor="text1"/>
          <w:sz w:val="16"/>
          <w:szCs w:val="16"/>
        </w:rPr>
      </w:pPr>
    </w:p>
    <w:p w14:paraId="55C665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декабря 1935 был подписан Отчет Экспериментального института НКТП по работам РККА (1931-1935 гг):</w:t>
      </w:r>
    </w:p>
    <w:p w14:paraId="3721C5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Проблема, предложенная Зам. Наркома Обороны т. Тухачевским по вопросу создания нового рода войск - воздушный десант - была решена Экспериментальным институтом НКТП в течение 5 лет.</w:t>
      </w:r>
    </w:p>
    <w:p w14:paraId="25991F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оснащения воздушно-десантных войск проработано 35 изобретений Нач. ЭИ т. Гроховского.</w:t>
      </w:r>
    </w:p>
    <w:p w14:paraId="7E5BAB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Большинство этих изобретений были практически использованы Командармом 1 р т. Беловым в бытность его Командующим ЛВО в первой десантной бригаде, созданной в СССР, а также на Киевских маневрах 1935.</w:t>
      </w:r>
    </w:p>
    <w:p w14:paraId="1DC3BA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1936 ЭИ под руководством т. М.М.К. приступает к разрешению задач, поставленных И.В.С., по созданию новых конструкций самолетов, обеспечивающих наибольшую высоту, скорость, продолжительность и дальность полета."</w:t>
      </w:r>
    </w:p>
    <w:p w14:paraId="78E85DE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«ЛЕТАЮЩАЯ БАТАРЕЯ».</w:t>
      </w:r>
    </w:p>
    <w:p w14:paraId="0566A43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Установка трех 76-мм пушек на самолете ТБ-3 4М-17 (двух 76-мм пушек обр. 1927 г.—в плоскостях, и одной 76-мм пушки (зенитной) -обр. 1931 г. в центроплане самолета) дает возможность использовать самолет в десантной операции, в целях'содействия захвату района для высадки десантных подразделений.</w:t>
      </w:r>
    </w:p>
    <w:p w14:paraId="4DB752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Другие варианты применения сам. ТБ-3, вооруженного пушками, указаны, ниже.</w:t>
      </w:r>
    </w:p>
    <w:p w14:paraId="0CE349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6816B9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комиссии, назначенной Зам. Наркома Обороны Маршалом Советского Союза тов. ТУХАЧЕВСКИМ</w:t>
      </w:r>
    </w:p>
    <w:p w14:paraId="2E0969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определения оперативно-тактических свойств самолета ТБ-3, воо</w:t>
      </w:r>
      <w:r w:rsidRPr="00E14102">
        <w:rPr>
          <w:color w:val="000000" w:themeColor="text1"/>
          <w:sz w:val="16"/>
          <w:szCs w:val="16"/>
        </w:rPr>
        <w:softHyphen/>
        <w:t>руженного Экспериментальным институтом пушками калибром 76 мм.</w:t>
      </w:r>
    </w:p>
    <w:p w14:paraId="3A2717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lang w:val="en-US"/>
        </w:rPr>
        <w:t>I</w:t>
      </w:r>
      <w:r w:rsidRPr="00E14102">
        <w:rPr>
          <w:color w:val="000000" w:themeColor="text1"/>
          <w:sz w:val="16"/>
          <w:szCs w:val="16"/>
        </w:rPr>
        <w:t>. ЗАМЕЧАНИЯ ТЕХНИЧЕСКОГО ПОРЯДКА.</w:t>
      </w:r>
    </w:p>
    <w:p w14:paraId="08C87E5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Установка пушек 76-мм калибра с нормальной начальной ско</w:t>
      </w:r>
      <w:r w:rsidRPr="00E14102">
        <w:rPr>
          <w:color w:val="000000" w:themeColor="text1"/>
          <w:sz w:val="16"/>
          <w:szCs w:val="16"/>
        </w:rPr>
        <w:softHyphen/>
        <w:t>ростью открывает новую эру в области вооружения самолетов.</w:t>
      </w:r>
    </w:p>
    <w:p w14:paraId="0EA3C74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Теоретический спор о возможности конструкции самолета выдер</w:t>
      </w:r>
      <w:r w:rsidRPr="00E14102">
        <w:rPr>
          <w:color w:val="000000" w:themeColor="text1"/>
          <w:sz w:val="16"/>
          <w:szCs w:val="16"/>
        </w:rPr>
        <w:softHyphen/>
        <w:t>жать отдачу пушки крупного калибра настоящим экспериментом удач</w:t>
      </w:r>
      <w:r w:rsidRPr="00E14102">
        <w:rPr>
          <w:color w:val="000000" w:themeColor="text1"/>
          <w:sz w:val="16"/>
          <w:szCs w:val="16"/>
        </w:rPr>
        <w:softHyphen/>
        <w:t>но разрешен в положительном смысле.</w:t>
      </w:r>
    </w:p>
    <w:p w14:paraId="3C20589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Комиссия отмечает как весьма положительный факт, что эки</w:t>
      </w:r>
      <w:r w:rsidRPr="00E14102">
        <w:rPr>
          <w:color w:val="000000" w:themeColor="text1"/>
          <w:sz w:val="16"/>
          <w:szCs w:val="16"/>
        </w:rPr>
        <w:softHyphen/>
        <w:t>паж данного самолета не испытывает неудобств при выстреле и, что-установленные откатывающиеся пушки на самолете при 125 выстре</w:t>
      </w:r>
      <w:r w:rsidRPr="00E14102">
        <w:rPr>
          <w:color w:val="000000" w:themeColor="text1"/>
          <w:sz w:val="16"/>
          <w:szCs w:val="16"/>
        </w:rPr>
        <w:softHyphen/>
        <w:t>лах на испытании не дали никаких разрушений самолету и его уста</w:t>
      </w:r>
      <w:r w:rsidRPr="00E14102">
        <w:rPr>
          <w:color w:val="000000" w:themeColor="text1"/>
          <w:sz w:val="16"/>
          <w:szCs w:val="16"/>
        </w:rPr>
        <w:softHyphen/>
        <w:t>новкам. Комиссия считает однако необходимым продолжить дальней</w:t>
      </w:r>
      <w:r w:rsidRPr="00E14102">
        <w:rPr>
          <w:color w:val="000000" w:themeColor="text1"/>
          <w:sz w:val="16"/>
          <w:szCs w:val="16"/>
        </w:rPr>
        <w:softHyphen/>
        <w:t>шие стрельбы в воздухе для испытания прочности самолета и самих, установок. •</w:t>
      </w:r>
    </w:p>
    <w:p w14:paraId="3FF461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Данные проведенных испытаний позволяют установить, что. летные качества самолета ТЁ-3. вооруженного пушками, — не лотк жаются; однако точность наводки определяется маневренными свой</w:t>
      </w:r>
      <w:r w:rsidRPr="00E14102">
        <w:rPr>
          <w:color w:val="000000" w:themeColor="text1"/>
          <w:sz w:val="16"/>
          <w:szCs w:val="16"/>
        </w:rPr>
        <w:softHyphen/>
        <w:t>ствами самолета. Боевой комплект определяется грузопод'емностью самолета, но количество снарядов непосредственно у пушек равно не более 150 шт., остальные в так называемых «погребах». Возможно решение проблемы передачи снарядов' в полете с одного самолета на. другой, что может дать ряд оперативно-тактических преимуществ.</w:t>
      </w:r>
    </w:p>
    <w:p w14:paraId="1D5B4B8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Для отражения атак противника на малых дистанциях самолет ТБ-3, вооруженный пушками, может иметь нормальное вооружение пулеметами, кроме пулемета в носовой кабине, место которого заня</w:t>
      </w:r>
      <w:r w:rsidRPr="00E14102">
        <w:rPr>
          <w:color w:val="000000" w:themeColor="text1"/>
          <w:sz w:val="16"/>
          <w:szCs w:val="16"/>
        </w:rPr>
        <w:softHyphen/>
        <w:t>то пушкой.</w:t>
      </w:r>
    </w:p>
    <w:p w14:paraId="526D57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Кассеты для бомб упразднены и на их месте устроены храни</w:t>
      </w:r>
      <w:r w:rsidRPr="00E14102">
        <w:rPr>
          <w:color w:val="000000" w:themeColor="text1"/>
          <w:sz w:val="16"/>
          <w:szCs w:val="16"/>
        </w:rPr>
        <w:softHyphen/>
        <w:t>лища для снарядов. Бомбы могут быть подвешены на внешних дер</w:t>
      </w:r>
      <w:r w:rsidRPr="00E14102">
        <w:rPr>
          <w:color w:val="000000" w:themeColor="text1"/>
          <w:sz w:val="16"/>
          <w:szCs w:val="16"/>
        </w:rPr>
        <w:softHyphen/>
        <w:t>жателях в пределах установленных для ТБ-3 — норм.</w:t>
      </w:r>
    </w:p>
    <w:p w14:paraId="47C790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По заявлению конструкторов практическая скорострельность равна 27 выстрелам в минуту из 3 пушек. Изучение конструкции уста</w:t>
      </w:r>
      <w:r w:rsidRPr="00E14102">
        <w:rPr>
          <w:color w:val="000000" w:themeColor="text1"/>
          <w:sz w:val="16"/>
          <w:szCs w:val="16"/>
        </w:rPr>
        <w:softHyphen/>
        <w:t>новки позволяет сделать вывод, что это не предел и путем ряда до</w:t>
      </w:r>
      <w:r w:rsidRPr="00E14102">
        <w:rPr>
          <w:color w:val="000000" w:themeColor="text1"/>
          <w:sz w:val="16"/>
          <w:szCs w:val="16"/>
        </w:rPr>
        <w:softHyphen/>
        <w:t>полнительных усовершенствований можно будет эту скоросгрель-</w:t>
      </w:r>
    </w:p>
    <w:p w14:paraId="4DF7F1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ность несколько увеличить, что весьма желательно для стрельбы по воздушным целям.</w:t>
      </w:r>
    </w:p>
    <w:p w14:paraId="3C0619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Прицеливание осуществляется наводкой всего самолета. При существующих неподвижных установках пушек, учитывая ограни</w:t>
      </w:r>
      <w:r w:rsidRPr="00E14102">
        <w:rPr>
          <w:color w:val="000000" w:themeColor="text1"/>
          <w:sz w:val="16"/>
          <w:szCs w:val="16"/>
        </w:rPr>
        <w:softHyphen/>
        <w:t>ченную маневренность ТБ-3, нельзя ожидать точной стрельбы. Окон</w:t>
      </w:r>
      <w:r w:rsidRPr="00E14102">
        <w:rPr>
          <w:color w:val="000000" w:themeColor="text1"/>
          <w:sz w:val="16"/>
          <w:szCs w:val="16"/>
        </w:rPr>
        <w:softHyphen/>
        <w:t>чательное суждение о последней можно сделать только после прове</w:t>
      </w:r>
      <w:r w:rsidRPr="00E14102">
        <w:rPr>
          <w:color w:val="000000" w:themeColor="text1"/>
          <w:sz w:val="16"/>
          <w:szCs w:val="16"/>
        </w:rPr>
        <w:softHyphen/>
        <w:t>дения специальных опытных стрельб. Кроме опытов, полное .исследо</w:t>
      </w:r>
      <w:r w:rsidRPr="00E14102">
        <w:rPr>
          <w:color w:val="000000" w:themeColor="text1"/>
          <w:sz w:val="16"/>
          <w:szCs w:val="16"/>
        </w:rPr>
        <w:softHyphen/>
        <w:t>вание этого вопроса требует большой [вычислительной работы, слож</w:t>
      </w:r>
      <w:r w:rsidRPr="00E14102">
        <w:rPr>
          <w:color w:val="000000" w:themeColor="text1"/>
          <w:sz w:val="16"/>
          <w:szCs w:val="16"/>
        </w:rPr>
        <w:softHyphen/>
        <w:t>ной и громоздкой. '</w:t>
      </w:r>
      <w:r w:rsidRPr="00E14102">
        <w:rPr>
          <w:color w:val="000000" w:themeColor="text1"/>
          <w:sz w:val="16"/>
          <w:szCs w:val="16"/>
          <w:vertAlign w:val="superscript"/>
        </w:rPr>
        <w:t>:</w:t>
      </w:r>
    </w:p>
    <w:p w14:paraId="50FFC8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Залп трех орудий 76 мм поражает своими осколками об'ем рав</w:t>
      </w:r>
      <w:r w:rsidRPr="00E14102">
        <w:rPr>
          <w:color w:val="000000" w:themeColor="text1"/>
          <w:sz w:val="16"/>
          <w:szCs w:val="16"/>
        </w:rPr>
        <w:softHyphen/>
        <w:t>ный примерно 10.000 м</w:t>
      </w:r>
      <w:r w:rsidRPr="00E14102">
        <w:rPr>
          <w:color w:val="000000" w:themeColor="text1"/>
          <w:sz w:val="16"/>
          <w:szCs w:val="16"/>
          <w:vertAlign w:val="superscript"/>
        </w:rPr>
        <w:t>3</w:t>
      </w:r>
      <w:r w:rsidRPr="00E14102">
        <w:rPr>
          <w:color w:val="000000" w:themeColor="text1"/>
          <w:sz w:val="16"/>
          <w:szCs w:val="16"/>
        </w:rPr>
        <w:t xml:space="preserve"> (звено истребителей). Для надежного пора</w:t>
      </w:r>
      <w:r w:rsidRPr="00E14102">
        <w:rPr>
          <w:color w:val="000000" w:themeColor="text1"/>
          <w:sz w:val="16"/>
          <w:szCs w:val="16"/>
        </w:rPr>
        <w:softHyphen/>
        <w:t>жения снаряд требует точного попадания. Благодаря неподвижности установки и малой маневренности ТБ-3, рассеивание снарядов при стрельбе можно ожидать значительным, но оно все же будет на много меньше рассеивания, даваемого пушками других систем с .меньшей начальной скоростью. Так как рассеивание самого орудия при его большой начальной скорости (820 м/с.) небольшое, то можно за счет усовершенствования установок уменьшить общее рассеивание.</w:t>
      </w:r>
    </w:p>
    <w:p w14:paraId="7FC1A68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При стрельбе по воздушным целям наводка на цель будет труд</w:t>
      </w:r>
      <w:r w:rsidRPr="00E14102">
        <w:rPr>
          <w:color w:val="000000" w:themeColor="text1"/>
          <w:sz w:val="16"/>
          <w:szCs w:val="16"/>
        </w:rPr>
        <w:softHyphen/>
        <w:t>на, так как:</w:t>
      </w:r>
    </w:p>
    <w:p w14:paraId="431F61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установка пушек на самолете неподвижна,</w:t>
      </w:r>
    </w:p>
    <w:p w14:paraId="25DA93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на самолете не установлены счетно-решающие приборы к этим установкам (дальномеры, автоматы установки трубки и т. п.).</w:t>
      </w:r>
    </w:p>
    <w:p w14:paraId="4D4CF7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lang w:val="en-US"/>
        </w:rPr>
        <w:t>II</w:t>
      </w:r>
      <w:r w:rsidRPr="00E14102">
        <w:rPr>
          <w:color w:val="000000" w:themeColor="text1"/>
          <w:sz w:val="16"/>
          <w:szCs w:val="16"/>
        </w:rPr>
        <w:t>. ЗАМЕЧАНИЯ ТАКТИЧЕСКОГО ПОРЯДКА.</w:t>
      </w:r>
    </w:p>
    <w:p w14:paraId="1CB8D3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 Даже в настоящем своем виде с тактической точки зрения осуществленная установка 3-х пушек на ТБ-3 имеет огромное значе</w:t>
      </w:r>
      <w:r w:rsidRPr="00E14102">
        <w:rPr>
          <w:color w:val="000000" w:themeColor="text1"/>
          <w:sz w:val="16"/>
          <w:szCs w:val="16"/>
        </w:rPr>
        <w:softHyphen/>
        <w:t>ние:</w:t>
      </w:r>
    </w:p>
    <w:p w14:paraId="799DEB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при полете к цели, корабли, вооруженные пушками, следуют в голове соединения. Они защищают всю переднюю зону от атак истребителей, открывая огонь на дистанции, на которой истребители даже еще не могут думать об атаке;</w:t>
      </w:r>
    </w:p>
    <w:p w14:paraId="3A4ED2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встретив впереди себя аэростаты заграждения, пушечные кора</w:t>
      </w:r>
      <w:r w:rsidRPr="00E14102">
        <w:rPr>
          <w:color w:val="000000" w:themeColor="text1"/>
          <w:sz w:val="16"/>
          <w:szCs w:val="16"/>
        </w:rPr>
        <w:softHyphen/>
        <w:t>бли расстреливают их из пушек, прокладывая дорогу остальному соединению, .Даже если аэростаты заграждения находятся значитель</w:t>
      </w:r>
      <w:r w:rsidRPr="00E14102">
        <w:rPr>
          <w:color w:val="000000" w:themeColor="text1"/>
          <w:sz w:val="16"/>
          <w:szCs w:val="16"/>
        </w:rPr>
        <w:softHyphen/>
        <w:t>но выше 'полета ТБ-3, стрельба шрапнелью Гарфа или другими спе</w:t>
      </w:r>
      <w:r w:rsidRPr="00E14102">
        <w:rPr>
          <w:color w:val="000000" w:themeColor="text1"/>
          <w:sz w:val="16"/>
          <w:szCs w:val="16"/>
        </w:rPr>
        <w:softHyphen/>
        <w:t>циальными снарядами даст возможность перебить троса аэростатов заграждения и очистить путь к цели для всего соединения;</w:t>
      </w:r>
    </w:p>
    <w:p w14:paraId="7CE49F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в) пушечные самолеты ТБ-3 представляют огромный интерес лля удара по целям, имеющих сильную зенитную артиллерию, так как лсзвотшот обстреливать цель издалека (до 18 км) не входя в зону огня ЗА;</w:t>
      </w:r>
    </w:p>
    <w:p w14:paraId="69BCE3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еще больший интерес пушечные самолеты ТБ-3 представляют при ударе по аэродромам противника, не входящим в ситему какого-либо крупного пункта. В этом случае система предупреждения орга</w:t>
      </w:r>
      <w:r w:rsidRPr="00E14102">
        <w:rPr>
          <w:color w:val="000000" w:themeColor="text1"/>
          <w:sz w:val="16"/>
          <w:szCs w:val="16"/>
        </w:rPr>
        <w:softHyphen/>
        <w:t>низуется за счет средств самого авиационного соединения и в силу матого количества этих средств посты предупреждения не могут быть вынесены далеко вперед. При наличии -пушек на самолете, во многих случаях, аэродром может быть взят под действительный ар</w:t>
      </w:r>
      <w:r w:rsidRPr="00E14102">
        <w:rPr>
          <w:color w:val="000000" w:themeColor="text1"/>
          <w:sz w:val="16"/>
          <w:szCs w:val="16"/>
        </w:rPr>
        <w:softHyphen/>
        <w:t>тиллерийский огонь прежде, чем указанные посты успеют предупре</w:t>
      </w:r>
      <w:r w:rsidRPr="00E14102">
        <w:rPr>
          <w:color w:val="000000" w:themeColor="text1"/>
          <w:sz w:val="16"/>
          <w:szCs w:val="16"/>
        </w:rPr>
        <w:softHyphen/>
        <w:t>дить о появлении противника и самолеты успеют вылететь с аэро</w:t>
      </w:r>
      <w:r w:rsidRPr="00E14102">
        <w:rPr>
          <w:color w:val="000000" w:themeColor="text1"/>
          <w:sz w:val="16"/>
          <w:szCs w:val="16"/>
        </w:rPr>
        <w:softHyphen/>
        <w:t>дрома; • •</w:t>
      </w:r>
    </w:p>
    <w:p w14:paraId="0E628DC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 борьба с морскими десантами противника принимает при по</w:t>
      </w:r>
      <w:r w:rsidRPr="00E14102">
        <w:rPr>
          <w:color w:val="000000" w:themeColor="text1"/>
          <w:sz w:val="16"/>
          <w:szCs w:val="16"/>
        </w:rPr>
        <w:softHyphen/>
        <w:t>мощи пушечных самолетов совершенно новые более надежные формы. Если раньше посадка и высадка десанта з гавани могла быть неиз</w:t>
      </w:r>
      <w:r w:rsidRPr="00E14102">
        <w:rPr>
          <w:color w:val="000000" w:themeColor="text1"/>
          <w:sz w:val="16"/>
          <w:szCs w:val="16"/>
        </w:rPr>
        <w:softHyphen/>
        <w:t>вестный срок прикрыта сильной ЗА, то теперь с установкой пушек на самолете необходимо значительно расширить зону ЗА, чтобы бо</w:t>
      </w:r>
      <w:r w:rsidRPr="00E14102">
        <w:rPr>
          <w:color w:val="000000" w:themeColor="text1"/>
          <w:sz w:val="16"/>
          <w:szCs w:val="16"/>
        </w:rPr>
        <w:softHyphen/>
        <w:t>роться -против обстрела десанта с пушечных самолетов. Это заста</w:t>
      </w:r>
      <w:r w:rsidRPr="00E14102">
        <w:rPr>
          <w:color w:val="000000" w:themeColor="text1"/>
          <w:sz w:val="16"/>
          <w:szCs w:val="16"/>
        </w:rPr>
        <w:softHyphen/>
        <w:t>вит или сделать огонь ЗА менее плотным, или сосредотачивать и без того большое количество зенитной артиллерии;</w:t>
      </w:r>
    </w:p>
    <w:p w14:paraId="75E50F5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 при необходимости удара по десантным транспортам в море, пушечные самолеты смогут это сделать не входя в зону ЗА боевых кораблей, причем огонь по транспортам орудий. 76-мм калибра будет несомненно весьма действительным, не говоря уже о более крупном калибре;</w:t>
      </w:r>
    </w:p>
    <w:p w14:paraId="6F8B2B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ж) большое оперативно-тактическое значение пушечные самоле</w:t>
      </w:r>
      <w:r w:rsidRPr="00E14102">
        <w:rPr>
          <w:color w:val="000000" w:themeColor="text1"/>
          <w:sz w:val="16"/>
          <w:szCs w:val="16"/>
        </w:rPr>
        <w:softHyphen/>
        <w:t>ты приобретают в огневом содействии выбрасываемым и высаживае</w:t>
      </w:r>
      <w:r w:rsidRPr="00E14102">
        <w:rPr>
          <w:color w:val="000000" w:themeColor="text1"/>
          <w:sz w:val="16"/>
          <w:szCs w:val="16"/>
        </w:rPr>
        <w:softHyphen/>
        <w:t>мым воздушным десантам;</w:t>
      </w:r>
    </w:p>
    <w:p w14:paraId="492374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 ТБ-3 вооруженные пушками могут быть использованы как ле</w:t>
      </w:r>
      <w:r w:rsidRPr="00E14102">
        <w:rPr>
          <w:color w:val="000000" w:themeColor="text1"/>
          <w:sz w:val="16"/>
          <w:szCs w:val="16"/>
        </w:rPr>
        <w:softHyphen/>
        <w:t>тающая зенитная артиллерия при обороне крупных промышленных и политических об'ектов, причем для этой цели можно будет исполь</w:t>
      </w:r>
      <w:r w:rsidRPr="00E14102">
        <w:rPr>
          <w:color w:val="000000" w:themeColor="text1"/>
          <w:sz w:val="16"/>
          <w:szCs w:val="16"/>
        </w:rPr>
        <w:softHyphen/>
        <w:t>зовать уже устаревающие корабли, т. к. большой скорости для этого не требуется. Применение ТБ-3 в качестве летающей зенитной батареи будет особенно выгодно, т. к. такая летающая зенитная батарея мо</w:t>
      </w:r>
      <w:r w:rsidRPr="00E14102">
        <w:rPr>
          <w:color w:val="000000" w:themeColor="text1"/>
          <w:sz w:val="16"/>
          <w:szCs w:val="16"/>
        </w:rPr>
        <w:softHyphen/>
        <w:t>жет получить по радио заранее все необходимые сведения от ППО пункта и ложась на встречный курс на боевом курсе противника пе</w:t>
      </w:r>
      <w:r w:rsidRPr="00E14102">
        <w:rPr>
          <w:color w:val="000000" w:themeColor="text1"/>
          <w:sz w:val="16"/>
          <w:szCs w:val="16"/>
        </w:rPr>
        <w:softHyphen/>
        <w:t>ред сбрасыванием бомб, — будет с большим успехом расстреливать последнего;</w:t>
      </w:r>
    </w:p>
    <w:p w14:paraId="703C52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 снабдив такую летающую зенитную батарею звеном Вахми-строва, мы будем иметь выгодное оперативно-тактическое сочетание. Противник разбитый артогнем с ТБ-3 будет добиваться истребителя</w:t>
      </w:r>
      <w:r w:rsidRPr="00E14102">
        <w:rPr>
          <w:color w:val="000000" w:themeColor="text1"/>
          <w:sz w:val="16"/>
          <w:szCs w:val="16"/>
        </w:rPr>
        <w:softHyphen/>
        <w:t>ми звена. Это же звено при наличии радио может также корпектиро-' зать огонь с ТБ-3.</w:t>
      </w:r>
    </w:p>
    <w:p w14:paraId="553E27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lang w:val="en-US"/>
        </w:rPr>
        <w:t>III</w:t>
      </w:r>
      <w:r w:rsidRPr="00E14102">
        <w:rPr>
          <w:color w:val="000000" w:themeColor="text1"/>
          <w:sz w:val="16"/>
          <w:szCs w:val="16"/>
        </w:rPr>
        <w:t>. ПРЕДЛОЖЕНИЯ.</w:t>
      </w:r>
    </w:p>
    <w:p w14:paraId="4C7D23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 Комиссия считает необходимым наметить следующие пути дальнейшего усовершенствования пушечной установки на ТБ-3:</w:t>
      </w:r>
    </w:p>
    <w:p w14:paraId="77C7B7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установку пушек сделать подвижной с возможно наибольшим конусом обстрела. При возможности осуществления отклонения пуш</w:t>
      </w:r>
      <w:r w:rsidRPr="00E14102">
        <w:rPr>
          <w:color w:val="000000" w:themeColor="text1"/>
          <w:sz w:val="16"/>
          <w:szCs w:val="16"/>
        </w:rPr>
        <w:softHyphen/>
        <w:t>ки в пределах 10—15° в каждую сторону, условия стрельбы зо многом улучшатся, наводка облегчится, точность стрельбы по земным целям увеличится." Последнее позволит вести стрельбу даже по таким целям, как склады, цеха заводов, ангары и т. п.;</w:t>
      </w:r>
    </w:p>
    <w:p w14:paraId="43D66B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ввести к подвижным установкам прицел полуавтомат, что по</w:t>
      </w:r>
      <w:r w:rsidRPr="00E14102">
        <w:rPr>
          <w:color w:val="000000" w:themeColor="text1"/>
          <w:sz w:val="16"/>
          <w:szCs w:val="16"/>
        </w:rPr>
        <w:softHyphen/>
        <w:t>высит еще более точность стрельбы и позволит вести обстрел 'круп</w:t>
      </w:r>
      <w:r w:rsidRPr="00E14102">
        <w:rPr>
          <w:color w:val="000000" w:themeColor="text1"/>
          <w:sz w:val="16"/>
          <w:szCs w:val="16"/>
        </w:rPr>
        <w:softHyphen/>
        <w:t>ных воздушных целей на курсах близких к встречному или пресле</w:t>
      </w:r>
      <w:r w:rsidRPr="00E14102">
        <w:rPr>
          <w:color w:val="000000" w:themeColor="text1"/>
          <w:sz w:val="16"/>
          <w:szCs w:val="16"/>
        </w:rPr>
        <w:softHyphen/>
        <w:t>дующему. Стрельба по земле в этом случае будет еще эффективнее и позволит вести огонь даже по отдельным точкам: стреляющая бата</w:t>
      </w:r>
      <w:r w:rsidRPr="00E14102">
        <w:rPr>
          <w:color w:val="000000" w:themeColor="text1"/>
          <w:sz w:val="16"/>
          <w:szCs w:val="16"/>
        </w:rPr>
        <w:softHyphen/>
        <w:t>рея, прожектора, ж. д. эшелоны;</w:t>
      </w:r>
    </w:p>
    <w:p w14:paraId="13F494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ввести дальномер, который даст возможность значительно пол</w:t>
      </w:r>
      <w:r w:rsidRPr="00E14102">
        <w:rPr>
          <w:color w:val="000000" w:themeColor="text1"/>
          <w:sz w:val="16"/>
          <w:szCs w:val="16"/>
        </w:rPr>
        <w:softHyphen/>
        <w:t>нее решить вопрос обстрела воздушных целей. Об'ектами здесь могут служитьнебольшие соединения на преследующих и встречных курсах при курсовом угле 10—15". По большим соединениям возмож</w:t>
      </w:r>
      <w:r w:rsidRPr="00E14102">
        <w:rPr>
          <w:color w:val="000000" w:themeColor="text1"/>
          <w:sz w:val="16"/>
          <w:szCs w:val="16"/>
        </w:rPr>
        <w:softHyphen/>
        <w:t>на будет стрельба на пересекающихся курсах;</w:t>
      </w:r>
    </w:p>
    <w:p w14:paraId="28FAEAE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ввести на ряду с ранее указанными усовершенствованиями прибор для автоматической установки трубки, что позволит исполь</w:t>
      </w:r>
      <w:r w:rsidRPr="00E14102">
        <w:rPr>
          <w:color w:val="000000" w:themeColor="text1"/>
          <w:sz w:val="16"/>
          <w:szCs w:val="16"/>
        </w:rPr>
        <w:softHyphen/>
        <w:t>зовать до предела скорострельность пушек и повысить точность стрельбы, значительно увеличив вероятность попадания;</w:t>
      </w:r>
    </w:p>
    <w:p w14:paraId="3D1199D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 наконец, введение автоматического прибора управления огнем решит полностью в пределах современных возможностей задачу точ</w:t>
      </w:r>
      <w:r w:rsidRPr="00E14102">
        <w:rPr>
          <w:color w:val="000000" w:themeColor="text1"/>
          <w:sz w:val="16"/>
          <w:szCs w:val="16"/>
        </w:rPr>
        <w:softHyphen/>
        <w:t>ной стрельбы по воздушным целям. В этом случае можно допустить наличие прибора управления огнем на флагманском корабле с пере</w:t>
      </w:r>
      <w:r w:rsidRPr="00E14102">
        <w:rPr>
          <w:color w:val="000000" w:themeColor="text1"/>
          <w:sz w:val="16"/>
          <w:szCs w:val="16"/>
        </w:rPr>
        <w:softHyphen/>
        <w:t>дачей необходимых элементов наводки ведомым кораблям телеме</w:t>
      </w:r>
      <w:r w:rsidRPr="00E14102">
        <w:rPr>
          <w:color w:val="000000" w:themeColor="text1"/>
          <w:sz w:val="16"/>
          <w:szCs w:val="16"/>
        </w:rPr>
        <w:softHyphen/>
        <w:t>ханическими средствами;</w:t>
      </w:r>
    </w:p>
    <w:p w14:paraId="6748DB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 дальнейшее усовершенствование должно итти по пути увели</w:t>
      </w:r>
      <w:r w:rsidRPr="00E14102">
        <w:rPr>
          <w:color w:val="000000" w:themeColor="text1"/>
          <w:sz w:val="16"/>
          <w:szCs w:val="16"/>
        </w:rPr>
        <w:softHyphen/>
        <w:t>чения конусов обстрела пушек с возможностью стрельбы в первую очередь назад и затем вниз, вверх и в стороны. Требуется разработка специальных снарядов и взрывателей к ним; *</w:t>
      </w:r>
    </w:p>
    <w:p w14:paraId="711C6E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ж) параллельно с введением указанных выше усовершенствований необходимо поставить конструкторам-самолетчикам задачу создания специального артиллерийского самолета, где сама конструкция само</w:t>
      </w:r>
      <w:r w:rsidRPr="00E14102">
        <w:rPr>
          <w:color w:val="000000" w:themeColor="text1"/>
          <w:sz w:val="16"/>
          <w:szCs w:val="16"/>
        </w:rPr>
        <w:softHyphen/>
        <w:t>лета представляла бы из себя лафет для подвижной установки пушек.</w:t>
      </w:r>
    </w:p>
    <w:p w14:paraId="6AD70E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lang w:val="en-US"/>
        </w:rPr>
        <w:t>IV</w:t>
      </w:r>
      <w:r w:rsidRPr="00E14102">
        <w:rPr>
          <w:color w:val="000000" w:themeColor="text1"/>
          <w:sz w:val="16"/>
          <w:szCs w:val="16"/>
        </w:rPr>
        <w:t>. ОБЩЕЕ ЗАКЛЮЧЕНИЕ.</w:t>
      </w:r>
    </w:p>
    <w:p w14:paraId="575501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С тактической точки зрения самолет ТБ-3, вооруженный пуш</w:t>
      </w:r>
      <w:r w:rsidRPr="00E14102">
        <w:rPr>
          <w:color w:val="000000" w:themeColor="text1"/>
          <w:sz w:val="16"/>
          <w:szCs w:val="16"/>
        </w:rPr>
        <w:softHyphen/>
        <w:t>ками Э. И., уже в настоящем своем виде представляет крупный инте</w:t>
      </w:r>
      <w:r w:rsidRPr="00E14102">
        <w:rPr>
          <w:color w:val="000000" w:themeColor="text1"/>
          <w:sz w:val="16"/>
          <w:szCs w:val="16"/>
        </w:rPr>
        <w:softHyphen/>
        <w:t>рес.</w:t>
      </w:r>
    </w:p>
    <w:p w14:paraId="7328393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Необходимо срочно продолжать опыты по дальнейшему от</w:t>
      </w:r>
      <w:r w:rsidRPr="00E14102">
        <w:rPr>
          <w:color w:val="000000" w:themeColor="text1"/>
          <w:sz w:val="16"/>
          <w:szCs w:val="16"/>
        </w:rPr>
        <w:softHyphen/>
        <w:t>стрелу для определения влияния отдачи на конструкцию самолета.</w:t>
      </w:r>
    </w:p>
    <w:p w14:paraId="69289E8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Необходимо срочно приступить к дальнейшему усовершенство</w:t>
      </w:r>
      <w:r w:rsidRPr="00E14102">
        <w:rPr>
          <w:color w:val="000000" w:themeColor="text1"/>
          <w:sz w:val="16"/>
          <w:szCs w:val="16"/>
        </w:rPr>
        <w:softHyphen/>
        <w:t>ванию установок по пути, намеченному комиссией.</w:t>
      </w:r>
    </w:p>
    <w:p w14:paraId="56571C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Необходимо создать отряд ТБ-3, вооруженных пушками, для практического изучения их применения.</w:t>
      </w:r>
    </w:p>
    <w:p w14:paraId="66DEEB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Необходимо приступить к проектированию специального пу</w:t>
      </w:r>
      <w:r w:rsidRPr="00E14102">
        <w:rPr>
          <w:color w:val="000000" w:themeColor="text1"/>
          <w:sz w:val="16"/>
          <w:szCs w:val="16"/>
        </w:rPr>
        <w:softHyphen/>
        <w:t>шечного самолета для нормальной артиллерии даже и более крупного калибра.</w:t>
      </w:r>
    </w:p>
    <w:p w14:paraId="10FC07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w:t>
      </w:r>
    </w:p>
    <w:p w14:paraId="2FA666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Инженерно-командн. факультета ВВА Бузанов.</w:t>
      </w:r>
    </w:p>
    <w:p w14:paraId="1DB2014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w:t>
      </w:r>
    </w:p>
    <w:p w14:paraId="50E81EE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арт. факультета ВВА Коннэрт.</w:t>
      </w:r>
    </w:p>
    <w:p w14:paraId="73F5F4B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кафедры тактики Трунов.</w:t>
      </w:r>
    </w:p>
    <w:p w14:paraId="3DB9A2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кафедры экспл. вооруж. Рукавишников.</w:t>
      </w:r>
    </w:p>
    <w:p w14:paraId="159A797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кафедры воздушн. стрельбы Пугачев.</w:t>
      </w:r>
    </w:p>
    <w:p w14:paraId="623364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 руковод. кафедры тактики Чайкин.</w:t>
      </w:r>
    </w:p>
    <w:p w14:paraId="68946C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 декабря 1935 г.</w:t>
      </w:r>
    </w:p>
    <w:p w14:paraId="211CCE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ЗАКЛЮЧЕНИЕ КОМИССИИ ПО ГОСУДАРСТВЕННЫМ ИСПЫТА</w:t>
      </w:r>
      <w:r w:rsidRPr="00E14102">
        <w:rPr>
          <w:color w:val="000000" w:themeColor="text1"/>
          <w:sz w:val="16"/>
          <w:szCs w:val="16"/>
        </w:rPr>
        <w:softHyphen/>
        <w:t>НИЯМ ОБ'ЕКТА Г-52.</w:t>
      </w:r>
    </w:p>
    <w:p w14:paraId="693577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Пред'явленный на государственные испытания самолет ТБ-3 4М-17, вооруженный двумя 7б-мм пушками обр, 1927 г. и одной 76-мм пушкой обр. 1931 г. — государственные испытания выдержал.</w:t>
      </w:r>
    </w:p>
    <w:p w14:paraId="433BB6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Для проведения войсковых испытаний необходимо заказать серию самолетов ТБ-3 4М-34Р — в этом же варианте вооружения с устранением недочетов, выявленных при испытании и с учетом осо</w:t>
      </w:r>
      <w:r w:rsidRPr="00E14102">
        <w:rPr>
          <w:color w:val="000000" w:themeColor="text1"/>
          <w:sz w:val="16"/>
          <w:szCs w:val="16"/>
        </w:rPr>
        <w:softHyphen/>
        <w:t>бенностей данных самолетов.</w:t>
      </w:r>
    </w:p>
    <w:p w14:paraId="64C6EA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Комиссия считает, что испытания подтвердили абсолютную бе</w:t>
      </w:r>
      <w:r w:rsidRPr="00E14102">
        <w:rPr>
          <w:color w:val="000000" w:themeColor="text1"/>
          <w:sz w:val="16"/>
          <w:szCs w:val="16"/>
        </w:rPr>
        <w:softHyphen/>
        <w:t>зопасность действия энергии отдачи на режим полета самолета, как при одиночной стрельбе, так и при стрельбе залпами из орудий по</w:t>
      </w:r>
      <w:r w:rsidRPr="00E14102">
        <w:rPr>
          <w:color w:val="000000" w:themeColor="text1"/>
          <w:sz w:val="16"/>
          <w:szCs w:val="16"/>
        </w:rPr>
        <w:softHyphen/>
        <w:t>левого типа (с энергией отдачи до 2225 кг, при начальной скорости — 820 м/с и весе снаряда 6,5 кг).</w:t>
      </w:r>
    </w:p>
    <w:p w14:paraId="3E2D79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w:t>
      </w:r>
    </w:p>
    <w:p w14:paraId="71A972C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Начальник Научно-испытат. института ВС РККА Бажанов.</w:t>
      </w:r>
    </w:p>
    <w:p w14:paraId="0CA5CF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w:t>
      </w:r>
    </w:p>
    <w:p w14:paraId="501948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Начальник отдела вооружений ВС РККА Понамарев.</w:t>
      </w:r>
    </w:p>
    <w:p w14:paraId="74EF86B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Начальник отдела вооружений НИИ ВС РККА Шевденко.</w:t>
      </w:r>
    </w:p>
    <w:p w14:paraId="240F73E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Инженер отдела вооружений НИИ ВС РККА Глушенко.</w:t>
      </w:r>
    </w:p>
    <w:p w14:paraId="7FDDDD3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Инженер самолетного отдела НИИ ВС РККА Лссюков.</w:t>
      </w:r>
    </w:p>
    <w:p w14:paraId="7D7BD2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Представитель АУ РККА Начальник отделен. ОМА АУ Липин.</w:t>
      </w:r>
    </w:p>
    <w:p w14:paraId="12487F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29 сентября 1935 г.</w:t>
      </w:r>
    </w:p>
    <w:p w14:paraId="02521D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ЛЮДСКИЕ ПАРАШЮТЫ.</w:t>
      </w:r>
    </w:p>
    <w:p w14:paraId="23411E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Десантный хлопчато-бумажный парашют.</w:t>
      </w:r>
    </w:p>
    <w:p w14:paraId="143CA8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Десантный хл.-бумажный парашют — предназначен для снаря</w:t>
      </w:r>
      <w:r w:rsidRPr="00E14102">
        <w:rPr>
          <w:color w:val="000000" w:themeColor="text1"/>
          <w:sz w:val="16"/>
          <w:szCs w:val="16"/>
        </w:rPr>
        <w:softHyphen/>
        <w:t>жения им бойцо% парашютно-десантных подразделений при прыжках с самолетов во время выполнения боевой операция.</w:t>
      </w:r>
    </w:p>
    <w:p w14:paraId="7611E74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Вместе с тем, ПД-1 — является типом боевого парашюта, широ</w:t>
      </w:r>
      <w:r w:rsidRPr="00E14102">
        <w:rPr>
          <w:color w:val="000000" w:themeColor="text1"/>
          <w:sz w:val="16"/>
          <w:szCs w:val="16"/>
        </w:rPr>
        <w:softHyphen/>
        <w:t>ко применяемого в ВС РККА.</w:t>
      </w:r>
    </w:p>
    <w:p w14:paraId="27E307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Обладая основными данными парашюта ПТ-1, десантный пара</w:t>
      </w:r>
      <w:r w:rsidRPr="00E14102">
        <w:rPr>
          <w:color w:val="000000" w:themeColor="text1"/>
          <w:sz w:val="16"/>
          <w:szCs w:val="16"/>
        </w:rPr>
        <w:softHyphen/>
        <w:t>шют выгодно отличается от последнего, заменой шелкового купола — куполом из хл.-бумажной материи — перкаля, и шелковых строп — стропами из хл.-бумажного шнура того же сечения.</w:t>
      </w:r>
    </w:p>
    <w:p w14:paraId="4B946F2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Первые (нижние) клинья перкалевого купола изготовлены из шелковой материи, что дает возможность наиболее скорого раскры</w:t>
      </w:r>
      <w:r w:rsidRPr="00E14102">
        <w:rPr>
          <w:color w:val="000000" w:themeColor="text1"/>
          <w:sz w:val="16"/>
          <w:szCs w:val="16"/>
        </w:rPr>
        <w:softHyphen/>
        <w:t>тия купола парашюта в воздухе.</w:t>
      </w:r>
    </w:p>
    <w:p w14:paraId="1878E4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Универсальный парашют.</w:t>
      </w:r>
    </w:p>
    <w:p w14:paraId="70E5476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Универсальный парашют Г-36 — -предназначен для лиц экипажа самолета, -которым по условиям работы, обычный парашют с посто</w:t>
      </w:r>
      <w:r w:rsidRPr="00E14102">
        <w:rPr>
          <w:color w:val="000000" w:themeColor="text1"/>
          <w:sz w:val="16"/>
          <w:szCs w:val="16"/>
        </w:rPr>
        <w:softHyphen/>
        <w:t>янным креплением ранца создает ряд неудобств и затрудняет выпол</w:t>
      </w:r>
      <w:r w:rsidRPr="00E14102">
        <w:rPr>
          <w:color w:val="000000" w:themeColor="text1"/>
          <w:sz w:val="16"/>
          <w:szCs w:val="16"/>
        </w:rPr>
        <w:softHyphen/>
        <w:t>нение ими своих обязанностей в полете (борт, техник, инженер, лет-наб).</w:t>
      </w:r>
    </w:p>
    <w:p w14:paraId="26F0DA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 сконструированитаким образом, что может мгновенно быть соединен с подвесной системой при помощи специального карабина.</w:t>
      </w:r>
    </w:p>
    <w:p w14:paraId="01063C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Применение ПД-1, как боевого парашюта — экономичней обыч</w:t>
      </w:r>
      <w:r w:rsidRPr="00E14102">
        <w:rPr>
          <w:color w:val="000000" w:themeColor="text1"/>
          <w:sz w:val="16"/>
          <w:szCs w:val="16"/>
        </w:rPr>
        <w:softHyphen/>
        <w:t>ных типов парашюта, т. к. замена шелкового купола и строп — пер-лалем и хл.-бумажными шнурами, — вдвое удешевляет стоимость ком</w:t>
      </w:r>
      <w:r w:rsidRPr="00E14102">
        <w:rPr>
          <w:color w:val="000000" w:themeColor="text1"/>
          <w:sz w:val="16"/>
          <w:szCs w:val="16"/>
        </w:rPr>
        <w:softHyphen/>
        <w:t>плекта и в сроках эксплоатацни, — превосходит в несколько раз шелковые образцы, как более подверженные разрушению, истиранию л слеживанию.</w:t>
      </w:r>
    </w:p>
    <w:p w14:paraId="6758EC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Примечание. Десантные перкалевые парашюты ПД-1 приняты на снабжение ВС РККА в 1932 г.</w:t>
      </w:r>
    </w:p>
    <w:p w14:paraId="5977E5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Парашют сконструирован таким образом, что может мгновенно быть соединен с подвесной системой при помощи специального ка</w:t>
      </w:r>
      <w:r w:rsidRPr="00E14102">
        <w:rPr>
          <w:color w:val="000000" w:themeColor="text1"/>
          <w:sz w:val="16"/>
          <w:szCs w:val="16"/>
        </w:rPr>
        <w:softHyphen/>
        <w:t>рабина.</w:t>
      </w:r>
    </w:p>
    <w:p w14:paraId="67A72E0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полете парашют, как правило, находится у рабочих мест эки</w:t>
      </w:r>
      <w:r w:rsidRPr="00E14102">
        <w:rPr>
          <w:color w:val="000000" w:themeColor="text1"/>
          <w:sz w:val="16"/>
          <w:szCs w:val="16"/>
        </w:rPr>
        <w:softHyphen/>
        <w:t>пажа.</w:t>
      </w:r>
    </w:p>
    <w:p w14:paraId="139D85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необходимости (в случае аварии, пожара и т. д.), борт, тех</w:t>
      </w:r>
      <w:r w:rsidRPr="00E14102">
        <w:rPr>
          <w:color w:val="000000" w:themeColor="text1"/>
          <w:sz w:val="16"/>
          <w:szCs w:val="16"/>
        </w:rPr>
        <w:softHyphen/>
        <w:t>ник, инженер или летнаб, — берет ранец с парашютом, укрепляет его мгновенно в замке подвесной системы и оставляет самолет.</w:t>
      </w:r>
    </w:p>
    <w:p w14:paraId="1D0735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Из заключения комиссии по гос. испытаниям от 11 августа 1935 г.</w:t>
      </w:r>
    </w:p>
    <w:p w14:paraId="389C0B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«Парашют Г-36, представленный Экспериментальным институ</w:t>
      </w:r>
      <w:r w:rsidRPr="00E14102">
        <w:rPr>
          <w:color w:val="000000" w:themeColor="text1"/>
          <w:sz w:val="16"/>
          <w:szCs w:val="16"/>
        </w:rPr>
        <w:softHyphen/>
        <w:t>том НКТП — государственные испытания — выдержал.</w:t>
      </w:r>
    </w:p>
    <w:p w14:paraId="557E6A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Указанный парашют рекомендовать для принятия на снабжение ВС РККА».</w:t>
      </w:r>
    </w:p>
    <w:p w14:paraId="6DC6C4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.УТВЕРЖДАЮ'</w:t>
      </w:r>
    </w:p>
    <w:p w14:paraId="7D7E6B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В/ч 1127—Бажанов</w:t>
      </w:r>
    </w:p>
    <w:p w14:paraId="75FB7D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3.9.35 г.</w:t>
      </w:r>
    </w:p>
    <w:p w14:paraId="4C180C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 Н/О В. Ч. 1698 Кабанов. Начальник 5 отдела В. Ч. 1127 Петров.</w:t>
      </w:r>
    </w:p>
    <w:p w14:paraId="519CEC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Парашютный дистанционный автомат.</w:t>
      </w:r>
    </w:p>
    <w:p w14:paraId="0C3412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Парашютный дистанционный автомат, — установленный на пара</w:t>
      </w:r>
      <w:r w:rsidRPr="00E14102">
        <w:rPr>
          <w:color w:val="000000" w:themeColor="text1"/>
          <w:sz w:val="16"/>
          <w:szCs w:val="16"/>
        </w:rPr>
        <w:softHyphen/>
        <w:t>шюте, служит для автоматического раскрытия его в течении времени от 5—25 сек. — по заданию.</w:t>
      </w:r>
    </w:p>
    <w:p w14:paraId="44BBE59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Применение парашютного дистанционного автомата в ВС РКК'А,— обеспечивает безаварийное сбрасывание на парашютах, и при затяж</w:t>
      </w:r>
      <w:r w:rsidRPr="00E14102">
        <w:rPr>
          <w:color w:val="000000" w:themeColor="text1"/>
          <w:sz w:val="16"/>
          <w:szCs w:val="16"/>
        </w:rPr>
        <w:softHyphen/>
        <w:t>ных прыжках, а кроме того дает возможность производить сбрасыва</w:t>
      </w:r>
      <w:r w:rsidRPr="00E14102">
        <w:rPr>
          <w:color w:val="000000" w:themeColor="text1"/>
          <w:sz w:val="16"/>
          <w:szCs w:val="16"/>
        </w:rPr>
        <w:softHyphen/>
        <w:t>ние воздушно-десантных подразделений из др. родов войск, не имею</w:t>
      </w:r>
      <w:r w:rsidRPr="00E14102">
        <w:rPr>
          <w:color w:val="000000" w:themeColor="text1"/>
          <w:sz w:val="16"/>
          <w:szCs w:val="16"/>
        </w:rPr>
        <w:softHyphen/>
        <w:t>щих специальной парашютной подготовки.</w:t>
      </w:r>
    </w:p>
    <w:p w14:paraId="776374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Заключение комиссии по заводским испытаниям от 11/Х1—1935 г.</w:t>
      </w:r>
    </w:p>
    <w:p w14:paraId="3D725CE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Парашютные дистанционные автоматы — заводские испытания выдержали.</w:t>
      </w:r>
    </w:p>
    <w:p w14:paraId="6763188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Передать П. Д. А. — на государственные испытания.</w:t>
      </w:r>
    </w:p>
    <w:p w14:paraId="5FB0001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 Фоменков. Члены:</w:t>
      </w:r>
    </w:p>
    <w:p w14:paraId="7E00CD3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Ведущий инженер Малынич, Мастер параш, дела Шмидт. Инструктор п/дела Одинцов.</w:t>
      </w:r>
    </w:p>
    <w:p w14:paraId="7FCDCD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Парашют точного приземления (ЛТП)</w:t>
      </w:r>
    </w:p>
    <w:p w14:paraId="154391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 точного приземления — предназначен для высотных прыжков и обеспечивает точность приземления парашютиста, сокра</w:t>
      </w:r>
      <w:r w:rsidRPr="00E14102">
        <w:rPr>
          <w:color w:val="000000" w:themeColor="text1"/>
          <w:sz w:val="16"/>
          <w:szCs w:val="16"/>
        </w:rPr>
        <w:softHyphen/>
        <w:t>щая время снижения в три раза по сравнению с обычными людскими парашютами.</w:t>
      </w:r>
    </w:p>
    <w:p w14:paraId="5C3F45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Комплект 'ПТП состоит из двух куполов, последовательно раскры</w:t>
      </w:r>
      <w:r w:rsidRPr="00E14102">
        <w:rPr>
          <w:color w:val="000000" w:themeColor="text1"/>
          <w:sz w:val="16"/>
          <w:szCs w:val="16"/>
        </w:rPr>
        <w:softHyphen/>
        <w:t>вающихся в воздухе. Вслед за отделением от самолета, — парашю</w:t>
      </w:r>
      <w:r w:rsidRPr="00E14102">
        <w:rPr>
          <w:color w:val="000000" w:themeColor="text1"/>
          <w:sz w:val="16"/>
          <w:szCs w:val="16"/>
        </w:rPr>
        <w:softHyphen/>
        <w:t>тист раскрывает малый купол (д=2 м), и идя к земле со скоростью до 25 м/сек., — раскрывает второй купол (д=7,6 м), продолжая нор</w:t>
      </w:r>
      <w:r w:rsidRPr="00E14102">
        <w:rPr>
          <w:color w:val="000000" w:themeColor="text1"/>
          <w:sz w:val="16"/>
          <w:szCs w:val="16"/>
        </w:rPr>
        <w:softHyphen/>
        <w:t>мальное приземление.</w:t>
      </w:r>
    </w:p>
    <w:p w14:paraId="026632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Время снижения на малом куполе определяется высотой, с кото</w:t>
      </w:r>
      <w:r w:rsidRPr="00E14102">
        <w:rPr>
          <w:color w:val="000000" w:themeColor="text1"/>
          <w:sz w:val="16"/>
          <w:szCs w:val="16"/>
        </w:rPr>
        <w:softHyphen/>
        <w:t>рой произведен прыжок.</w:t>
      </w:r>
    </w:p>
    <w:p w14:paraId="25B7AE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Испытания парашюта ПТП показали: Безотказность его действия.</w:t>
      </w:r>
    </w:p>
    <w:p w14:paraId="129DF3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прыжке отсутствует штопорное положение тела, чего нель</w:t>
      </w:r>
      <w:r w:rsidRPr="00E14102">
        <w:rPr>
          <w:color w:val="000000" w:themeColor="text1"/>
          <w:sz w:val="16"/>
          <w:szCs w:val="16"/>
        </w:rPr>
        <w:softHyphen/>
        <w:t>зя избежать при затяжных прыжках на парашютах других систем.</w:t>
      </w:r>
    </w:p>
    <w:p w14:paraId="508BF7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 для высотного сбрасывания не требует особой допол</w:t>
      </w:r>
      <w:r w:rsidRPr="00E14102">
        <w:rPr>
          <w:color w:val="000000" w:themeColor="text1"/>
          <w:sz w:val="16"/>
          <w:szCs w:val="16"/>
        </w:rPr>
        <w:softHyphen/>
        <w:t>нительной подготовки бойца-парашютиста.</w:t>
      </w:r>
    </w:p>
    <w:p w14:paraId="24A15AF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Техника прыжка — обычна.</w:t>
      </w:r>
    </w:p>
    <w:p w14:paraId="5D2A60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Укладка парашюта по времени, — одинакова с укладкой пара</w:t>
      </w:r>
      <w:r w:rsidRPr="00E14102">
        <w:rPr>
          <w:color w:val="000000" w:themeColor="text1"/>
          <w:sz w:val="16"/>
          <w:szCs w:val="16"/>
        </w:rPr>
        <w:softHyphen/>
        <w:t>шютов существующих систем. . . ..</w:t>
      </w:r>
    </w:p>
    <w:p w14:paraId="3DBE911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Ориентировка при снижении на малом куполе — нормальная.</w:t>
      </w:r>
    </w:p>
    <w:p w14:paraId="52D114F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Преимуществом ПТП является возможность поворота парашюти</w:t>
      </w:r>
      <w:r w:rsidRPr="00E14102">
        <w:rPr>
          <w:color w:val="000000" w:themeColor="text1"/>
          <w:sz w:val="16"/>
          <w:szCs w:val="16"/>
        </w:rPr>
        <w:softHyphen/>
        <w:t>ста в воздухе в любом направлении (до 360°) посредством выбрасыва</w:t>
      </w:r>
      <w:r w:rsidRPr="00E14102">
        <w:rPr>
          <w:color w:val="000000" w:themeColor="text1"/>
          <w:sz w:val="16"/>
          <w:szCs w:val="16"/>
        </w:rPr>
        <w:softHyphen/>
        <w:t>ния правой руки в сторону.</w:t>
      </w:r>
    </w:p>
    <w:p w14:paraId="3A1F34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сравнению с парашютами, принятыми на снабжение в ВС РККА, парашют ПТП имеет следующие преимущества:</w:t>
      </w:r>
    </w:p>
    <w:p w14:paraId="5A3B94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При наличии ветра скоростью 6—7 м/сек., сокращается относ парашюта при снижении, более чем в три раза, чем значительно по</w:t>
      </w:r>
      <w:r w:rsidRPr="00E14102">
        <w:rPr>
          <w:color w:val="000000" w:themeColor="text1"/>
          <w:sz w:val="16"/>
          <w:szCs w:val="16"/>
        </w:rPr>
        <w:softHyphen/>
        <w:t>вышается точность приземления, как отдельного бойца, так и куч</w:t>
      </w:r>
      <w:r w:rsidRPr="00E14102">
        <w:rPr>
          <w:color w:val="000000" w:themeColor="text1"/>
          <w:sz w:val="16"/>
          <w:szCs w:val="16"/>
        </w:rPr>
        <w:softHyphen/>
        <w:t>ность приземления десантной группы, повышая в то же время мораль-ное состояние бойцов.</w:t>
      </w:r>
    </w:p>
    <w:p w14:paraId="3ABF64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При спуске с 4000 м, время снижения сокращается более чем в три раза.</w:t>
      </w:r>
    </w:p>
    <w:p w14:paraId="5B8AFC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Динамический удар при раскрытии малого купола ощущается слабо, в виду небольшой его поверхности.</w:t>
      </w:r>
    </w:p>
    <w:p w14:paraId="7E0256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Заключение комиссии по государственным испытаниям от 5/УН—35 г.</w:t>
      </w:r>
    </w:p>
    <w:p w14:paraId="3AC077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Парашют государственные испытания выдержал.</w:t>
      </w:r>
    </w:p>
    <w:p w14:paraId="04B2A6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Заказать серию парашютов «ПТП» для войсковых испытаний.</w:t>
      </w:r>
    </w:p>
    <w:p w14:paraId="54BCB3D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Начальник отдела вооружения НИИ ВС РККА Петров. Вр. нач. отделения Шадский.</w:t>
      </w:r>
    </w:p>
    <w:p w14:paraId="664D06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„УТВЕРЖДАЮ" Нач. НИИ ВС..РККА Бажанов</w:t>
      </w:r>
    </w:p>
    <w:p w14:paraId="33FDF3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Десантная подвесная кабина.</w:t>
      </w:r>
    </w:p>
    <w:p w14:paraId="3078064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Десантная кабина (КП-1) — предназначается для подвески под самолетом типа ТБ-1 и переброски по воздуху авиадесантного отря</w:t>
      </w:r>
      <w:r w:rsidRPr="00E14102">
        <w:rPr>
          <w:color w:val="000000" w:themeColor="text1"/>
          <w:sz w:val="16"/>
          <w:szCs w:val="16"/>
        </w:rPr>
        <w:softHyphen/>
        <w:t>да в 16 чел. с последующим 'Сбрасыванием бойцов — на парашютах — з тылу противника.</w:t>
      </w:r>
    </w:p>
    <w:p w14:paraId="0795EB1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Применение КП-1 дает возможность кучного сбрасывания пара</w:t>
      </w:r>
      <w:r w:rsidRPr="00E14102">
        <w:rPr>
          <w:color w:val="000000" w:themeColor="text1"/>
          <w:sz w:val="16"/>
          <w:szCs w:val="16"/>
        </w:rPr>
        <w:softHyphen/>
        <w:t>шютно-десантного отряда для выполнения спец. заданий в тылу про</w:t>
      </w:r>
      <w:r w:rsidRPr="00E14102">
        <w:rPr>
          <w:color w:val="000000" w:themeColor="text1"/>
          <w:sz w:val="16"/>
          <w:szCs w:val="16"/>
        </w:rPr>
        <w:softHyphen/>
        <w:t>тивника — в составе унитарного подразделения, а кроме того, —. сообщает бомбардировочному самолету типа ТБ-1 — свойства десант</w:t>
      </w:r>
      <w:r w:rsidRPr="00E14102">
        <w:rPr>
          <w:color w:val="000000" w:themeColor="text1"/>
          <w:sz w:val="16"/>
          <w:szCs w:val="16"/>
        </w:rPr>
        <w:softHyphen/>
        <w:t>ного корабля, расширяя варианты тактико-оперативного использова</w:t>
      </w:r>
      <w:r w:rsidRPr="00E14102">
        <w:rPr>
          <w:color w:val="000000" w:themeColor="text1"/>
          <w:sz w:val="16"/>
          <w:szCs w:val="16"/>
        </w:rPr>
        <w:softHyphen/>
        <w:t>ния обычного бомбардировщика.</w:t>
      </w:r>
    </w:p>
    <w:p w14:paraId="1D68E9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Подвешивается кабина под фюзеляжем самолета.</w:t>
      </w:r>
    </w:p>
    <w:p w14:paraId="5CE542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Вооруженный парашютно-десантный отряд производит посадку в кабину через люк в полу ее </w:t>
      </w:r>
      <w:r w:rsidRPr="00E14102">
        <w:rPr>
          <w:smallCaps/>
          <w:color w:val="000000" w:themeColor="text1"/>
          <w:sz w:val="16"/>
          <w:szCs w:val="16"/>
        </w:rPr>
        <w:t xml:space="preserve">«особой </w:t>
      </w:r>
      <w:r w:rsidRPr="00E14102">
        <w:rPr>
          <w:color w:val="000000" w:themeColor="text1"/>
          <w:sz w:val="16"/>
          <w:szCs w:val="16"/>
        </w:rPr>
        <w:t>части. '</w:t>
      </w:r>
    </w:p>
    <w:p w14:paraId="6233818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Поднявшийся в воздух самолет, подходит к месту, заданному для высадки отряда, где через открытый люк кабины первым пры</w:t>
      </w:r>
      <w:r w:rsidRPr="00E14102">
        <w:rPr>
          <w:color w:val="000000" w:themeColor="text1"/>
          <w:sz w:val="16"/>
          <w:szCs w:val="16"/>
        </w:rPr>
        <w:softHyphen/>
        <w:t>гает командир отряда, а за ним, в установленном порядке с интерва</w:t>
      </w:r>
      <w:r w:rsidRPr="00E14102">
        <w:rPr>
          <w:color w:val="000000" w:themeColor="text1"/>
          <w:sz w:val="16"/>
          <w:szCs w:val="16"/>
        </w:rPr>
        <w:softHyphen/>
        <w:t>лом 1—2 секунды — бойцы оставляют кабину.</w:t>
      </w:r>
    </w:p>
    <w:p w14:paraId="6CFC2D7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Приземлившийся вооруженный парашютно-десантный отряд, — оставляет парашюты и приступает к выполнению боевой задачи.</w:t>
      </w:r>
    </w:p>
    <w:p w14:paraId="216A2FB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Выписка из заключения по госиспытаниям.</w:t>
      </w:r>
    </w:p>
    <w:p w14:paraId="01B62D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«Десантную кабину на 16 чел. под самолет ТБ-1 '— принять на снабжение ВВС РККА»...</w:t>
      </w:r>
    </w:p>
    <w:p w14:paraId="450E41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w:t>
      </w:r>
    </w:p>
    <w:p w14:paraId="4EF11DF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ком. войсками ЛВО Флоренский.</w:t>
      </w:r>
    </w:p>
    <w:p w14:paraId="131740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Врид. нач. 1-го Управления штаба ВВС РККА Лазаревич.</w:t>
      </w:r>
    </w:p>
    <w:p w14:paraId="7E18422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 комиссии:</w:t>
      </w:r>
    </w:p>
    <w:p w14:paraId="03AE92D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5-го отдела НИИ ВВС РККА Соловьев.</w:t>
      </w:r>
    </w:p>
    <w:p w14:paraId="5B43C5E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Мл. инженер 5-го Отдела НИИ ВВС РККА Данилов.</w:t>
      </w:r>
    </w:p>
    <w:p w14:paraId="520CF90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 ОО № 3 Бойцов.</w:t>
      </w:r>
    </w:p>
    <w:p w14:paraId="56BB4D6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нач. бюро вооружений Штаба РККА Золотое.</w:t>
      </w:r>
    </w:p>
    <w:p w14:paraId="6A952E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Представитель ПУРККА Октябрьский.</w:t>
      </w:r>
    </w:p>
    <w:p w14:paraId="7827B1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Осконпробюро ВВС РККА Гроховский.</w:t>
      </w:r>
    </w:p>
    <w:p w14:paraId="25D783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Представитель ОО ЛВО Смирнов,</w:t>
      </w:r>
    </w:p>
    <w:p w14:paraId="57DAB1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октября 1932 г.</w:t>
      </w:r>
    </w:p>
    <w:p w14:paraId="7BE0724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Подвесные кассеты для самолета Р-5.</w:t>
      </w:r>
    </w:p>
    <w:p w14:paraId="6C8CDB7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Основное назначение кассет — максимально использовать грузо-под'емность сам. Р-5 без внесения изменений в его конструкцию.</w:t>
      </w:r>
    </w:p>
    <w:p w14:paraId="72CD58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Несущая поверхность двух кассет имеет площадь 15,2 кв. м, что дает при соединении кассет с крыльями (с учетом перекрытия ими 8,5 кв. м площади крыльев) — увеличение общей площади несущих поверхностей самолета на 7 щ. м.</w:t>
      </w:r>
    </w:p>
    <w:p w14:paraId="4ACAE2B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Таким образом кассеты разрешают проблему *самогнесущгго гру</w:t>
      </w:r>
      <w:r w:rsidRPr="00E14102">
        <w:rPr>
          <w:color w:val="000000" w:themeColor="text1"/>
          <w:sz w:val="16"/>
          <w:szCs w:val="16"/>
        </w:rPr>
        <w:softHyphen/>
        <w:t>за», т. е, использования грузовых камер путем придания им формы крыла, для получения дополнительной под'емной силы, увеличиваю</w:t>
      </w:r>
      <w:r w:rsidRPr="00E14102">
        <w:rPr>
          <w:color w:val="000000" w:themeColor="text1"/>
          <w:sz w:val="16"/>
          <w:szCs w:val="16"/>
        </w:rPr>
        <w:softHyphen/>
        <w:t>щей грузапод'емность самолета.</w:t>
      </w:r>
    </w:p>
    <w:p w14:paraId="6468DAC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Каждая кассета имеет 4 отсека, расчитанных на загрузку одним человеком или 80 кг груза.</w:t>
      </w:r>
    </w:p>
    <w:p w14:paraId="259CE82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Конструкция кассет позволяет производить сбрасывание груза на парашютах при помощи обычного бомбосбрасывателя из кабины лет-наба.</w:t>
      </w:r>
    </w:p>
    <w:p w14:paraId="0F8298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военных целей об'ект может быть использован я следующих вариантах:</w:t>
      </w:r>
    </w:p>
    <w:p w14:paraId="2025188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Для переброски воздушно-десантной группы из 8 бойцов.</w:t>
      </w:r>
    </w:p>
    <w:p w14:paraId="4A2A98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Для переброски 8 раненых бойцов, для чего сконструированы специальные носилки.</w:t>
      </w:r>
    </w:p>
    <w:p w14:paraId="5F2C660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Для постановки в воздухе тросовой завесы из однокиломет</w:t>
      </w:r>
      <w:r w:rsidRPr="00E14102">
        <w:rPr>
          <w:color w:val="000000" w:themeColor="text1"/>
          <w:sz w:val="16"/>
          <w:szCs w:val="16"/>
        </w:rPr>
        <w:softHyphen/>
        <w:t>ровых тросов, — при нападении самолетов противника.</w:t>
      </w:r>
    </w:p>
    <w:p w14:paraId="45538CA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Для переброски всевозможных грузов.</w:t>
      </w:r>
    </w:p>
    <w:p w14:paraId="31471E7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Для разбрасывания агитлитературы.</w:t>
      </w:r>
    </w:p>
    <w:p w14:paraId="106949A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Кроме того сам. Р-5, снабженный кассетами, может быть широко использован и на 'гражданских воздушных линиях, участвуя во вся</w:t>
      </w:r>
      <w:r w:rsidRPr="00E14102">
        <w:rPr>
          <w:color w:val="000000" w:themeColor="text1"/>
          <w:sz w:val="16"/>
          <w:szCs w:val="16"/>
        </w:rPr>
        <w:softHyphen/>
        <w:t>кого рода спасательных работах, экспедициях и транспортировании срочных грузов, почты и т. д.</w:t>
      </w:r>
    </w:p>
    <w:p w14:paraId="323B2D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Об'ект Г-61 — прошел заводские испытания и передается на го</w:t>
      </w:r>
      <w:r w:rsidRPr="00E14102">
        <w:rPr>
          <w:color w:val="000000" w:themeColor="text1"/>
          <w:sz w:val="16"/>
          <w:szCs w:val="16"/>
        </w:rPr>
        <w:softHyphen/>
        <w:t>сударственные испытания.</w:t>
      </w:r>
    </w:p>
    <w:p w14:paraId="234EBE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8. Грузовые парашюты.</w:t>
      </w:r>
    </w:p>
    <w:p w14:paraId="1EEF3D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Грузовые парашюты—диаметром в 3, 8, 12, 20, 25 и 30 м пред</w:t>
      </w:r>
      <w:r w:rsidRPr="00E14102">
        <w:rPr>
          <w:color w:val="000000" w:themeColor="text1"/>
          <w:sz w:val="16"/>
          <w:szCs w:val="16"/>
        </w:rPr>
        <w:softHyphen/>
        <w:t>назначены для приземления сброшенных с самолетов различных гру</w:t>
      </w:r>
      <w:r w:rsidRPr="00E14102">
        <w:rPr>
          <w:color w:val="000000" w:themeColor="text1"/>
          <w:sz w:val="16"/>
          <w:szCs w:val="16"/>
        </w:rPr>
        <w:softHyphen/>
        <w:t>зов весом от 20 до 1650 кг.</w:t>
      </w:r>
    </w:p>
    <w:p w14:paraId="5B1BBFA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Грузовые парашюты изготовляются из авиационного полотна или перкаля.</w:t>
      </w:r>
    </w:p>
    <w:p w14:paraId="52950B3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Комплект парашюта состоит из следующих частей:</w:t>
      </w:r>
    </w:p>
    <w:p w14:paraId="3ADB2B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купола;</w:t>
      </w:r>
    </w:p>
    <w:p w14:paraId="0516DE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строп с коушем, и</w:t>
      </w:r>
    </w:p>
    <w:p w14:paraId="5965098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чехла.</w:t>
      </w:r>
    </w:p>
    <w:p w14:paraId="142AC03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Основные данные грузовых парашютов.</w:t>
      </w:r>
    </w:p>
    <w:p w14:paraId="471C6E0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Таблица применения грузовых парашютов</w:t>
      </w:r>
    </w:p>
    <w:p w14:paraId="28B59B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применении грузовых парашютов диаметром 3, 8 я 12 м — последние укладываются в специальные парашютные камеры, имею</w:t>
      </w:r>
      <w:r w:rsidRPr="00E14102">
        <w:rPr>
          <w:color w:val="000000" w:themeColor="text1"/>
          <w:sz w:val="16"/>
          <w:szCs w:val="16"/>
        </w:rPr>
        <w:softHyphen/>
        <w:t>щиеся в транспортных приспособлениях (ПГ-2к, ПД—ММ. ПД—ББ, ПД—Кор и др.).</w:t>
      </w:r>
    </w:p>
    <w:p w14:paraId="5A1DFD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Парашюты диаметром 20, 25 и 30 м, служащие для сбрасывания тяжелых грузов, — укладываются в специальные цилиндры, и подве</w:t>
      </w:r>
      <w:r w:rsidRPr="00E14102">
        <w:rPr>
          <w:color w:val="000000" w:themeColor="text1"/>
          <w:sz w:val="16"/>
          <w:szCs w:val="16"/>
        </w:rPr>
        <w:softHyphen/>
        <w:t>шиваются в них под самолетами.</w:t>
      </w:r>
    </w:p>
    <w:p w14:paraId="4B85246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Примечание. Парашют диаметром 12 м. применяемый</w:t>
      </w:r>
    </w:p>
    <w:p w14:paraId="4DD21A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сбрасывания ПД—М-1 укладывается в специальный цилиндр.</w:t>
      </w:r>
    </w:p>
    <w:p w14:paraId="1040F2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Парашютный цилиндр — состоит из трех частей: 1) рабочей ча</w:t>
      </w:r>
      <w:r w:rsidRPr="00E14102">
        <w:rPr>
          <w:color w:val="000000" w:themeColor="text1"/>
          <w:sz w:val="16"/>
          <w:szCs w:val="16"/>
        </w:rPr>
        <w:softHyphen/>
        <w:t>сти, 2) обтекателя, 3) обхвата с ушком бомбового типа, 4) авиазенто-вого мешка.</w:t>
      </w:r>
    </w:p>
    <w:p w14:paraId="26A4E1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Вес цилиндра для парашюта д-12 м — 10,2 кг.</w:t>
      </w:r>
    </w:p>
    <w:p w14:paraId="1E71E8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Вес цилиндра для парашюта д-20 м — 25,5 кг.</w:t>
      </w:r>
    </w:p>
    <w:p w14:paraId="12E634F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Вес цилиндра для парашюта д-25 м — 31,5 кг.</w:t>
      </w:r>
    </w:p>
    <w:p w14:paraId="248A96F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Вес цилиндра для парашюта д-30 м — 35,5 кг.</w:t>
      </w:r>
    </w:p>
    <w:p w14:paraId="73CD394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Выписка из заключения по госиспытаниям.</w:t>
      </w:r>
    </w:p>
    <w:p w14:paraId="231BF6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«Парашюты из авиаполотна диаметром 25 и 30 метров, — при</w:t>
      </w:r>
      <w:r w:rsidRPr="00E14102">
        <w:rPr>
          <w:color w:val="000000" w:themeColor="text1"/>
          <w:sz w:val="16"/>
          <w:szCs w:val="16"/>
        </w:rPr>
        <w:softHyphen/>
        <w:t>нять на снабжение_ВВС РККА для спуска на них грузов методом сры</w:t>
      </w:r>
      <w:r w:rsidRPr="00E14102">
        <w:rPr>
          <w:color w:val="000000" w:themeColor="text1"/>
          <w:sz w:val="16"/>
          <w:szCs w:val="16"/>
        </w:rPr>
        <w:softHyphen/>
        <w:t>ва и допустить на" войсковые испытания»...</w:t>
      </w:r>
    </w:p>
    <w:p w14:paraId="02D4D0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w:t>
      </w:r>
    </w:p>
    <w:p w14:paraId="393F63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ком. войсками ЛВО Флоровский.</w:t>
      </w:r>
    </w:p>
    <w:p w14:paraId="4FE9AB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 комиссии:</w:t>
      </w:r>
    </w:p>
    <w:p w14:paraId="52618E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Врид. нач. 1-го Управления штаба ВВС РККА Лазаревич.</w:t>
      </w:r>
    </w:p>
    <w:p w14:paraId="03A93B7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5-го отдела НИИ ВВС РККА Соловьев. Мл. инженер 5-го Отдела НИИ ВВС РККА Данилов. Командир ОО № 3 Бойцов.</w:t>
      </w:r>
    </w:p>
    <w:p w14:paraId="0E59EAB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Пом. нач. бюро вооружений Штаба РККА Золотое. Представитель ПУРККА Октябрьский. Нач. Осконпробюро ВВС РККА Гроховский. </w:t>
      </w:r>
      <w:r w:rsidRPr="00E14102">
        <w:rPr>
          <w:color w:val="000000" w:themeColor="text1"/>
          <w:sz w:val="16"/>
          <w:szCs w:val="16"/>
          <w:lang w:val="en-US"/>
        </w:rPr>
        <w:t>I</w:t>
      </w:r>
      <w:r w:rsidRPr="00E14102">
        <w:rPr>
          <w:color w:val="000000" w:themeColor="text1"/>
          <w:sz w:val="16"/>
          <w:szCs w:val="16"/>
        </w:rPr>
        <w:t xml:space="preserve"> Представитель ОО ЛВО Смирнов.</w:t>
      </w:r>
    </w:p>
    <w:p w14:paraId="2A8E3CB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октября 1932 г.</w:t>
      </w:r>
    </w:p>
    <w:p w14:paraId="2DBBB7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Примечание. Грузовые парашюты диаметром 3. 8, 12 и 20 м приняты на снабжение ВС РККА совместно с транспортными приспособлениями соответственно к ним относящимися (карто</w:t>
      </w:r>
      <w:r w:rsidRPr="00E14102">
        <w:rPr>
          <w:color w:val="000000" w:themeColor="text1"/>
          <w:sz w:val="16"/>
          <w:szCs w:val="16"/>
        </w:rPr>
        <w:softHyphen/>
        <w:t>нажный мешок, мягкий мешок и овальный цилиндр).</w:t>
      </w:r>
    </w:p>
    <w:p w14:paraId="157BC23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Грузовые марлевые парашюты</w:t>
      </w:r>
    </w:p>
    <w:p w14:paraId="47D625C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предназначены для приземления сброшенных с самолетов грузов:</w:t>
      </w:r>
    </w:p>
    <w:p w14:paraId="7D73F1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Г-39 — диаметром 5м — груз весом до 30 кг.</w:t>
      </w:r>
    </w:p>
    <w:p w14:paraId="64029E6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Г-40 — диаметром Юм — груз весом до 80 кг.</w:t>
      </w:r>
    </w:p>
    <w:p w14:paraId="5384606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Г-41 — диаметром 15м — груз весом до 160 кг.</w:t>
      </w:r>
    </w:p>
    <w:p w14:paraId="187296E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Применение грузовых марлевых парашютов, дает большую эко</w:t>
      </w:r>
      <w:r w:rsidRPr="00E14102">
        <w:rPr>
          <w:color w:val="000000" w:themeColor="text1"/>
          <w:sz w:val="16"/>
          <w:szCs w:val="16"/>
        </w:rPr>
        <w:softHyphen/>
        <w:t>номию средств при их изготовлении по сравнению с хл.-бумажными грузовыми парашютами, т. к. стоимость 1 м перкаля выражается в сумме 2 руб., в то время, как 1 м марли специальной кондиции — об</w:t>
      </w:r>
      <w:r w:rsidRPr="00E14102">
        <w:rPr>
          <w:color w:val="000000" w:themeColor="text1"/>
          <w:sz w:val="16"/>
          <w:szCs w:val="16"/>
        </w:rPr>
        <w:softHyphen/>
        <w:t>ходится в 50 коп.</w:t>
      </w:r>
    </w:p>
    <w:p w14:paraId="7F14B73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Справка. Грузовые марлевые парашюты Г-39, Г-40 и Г-41 прошли государственные испытания и приняты на снабжение ВС РККА.</w:t>
      </w:r>
    </w:p>
    <w:p w14:paraId="58C5D7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 Картонажный транспортный мешок.</w:t>
      </w:r>
    </w:p>
    <w:p w14:paraId="38DEBDE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Картонажный транспортный мешок (ПГ-2к) — предназначен для укладки в него разнообразных грузов весом до 30 кг, подвески под самолетом Р-5, и последующего 'сбрасывания на парашюте (д=3,5 м).</w:t>
      </w:r>
    </w:p>
    <w:p w14:paraId="542783E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картонажный мешок могут быть уложены различные боевые грузы, соответствующие по своим габаритам об'ему рабочей (загру</w:t>
      </w:r>
      <w:r w:rsidRPr="00E14102">
        <w:rPr>
          <w:color w:val="000000" w:themeColor="text1"/>
          <w:sz w:val="16"/>
          <w:szCs w:val="16"/>
        </w:rPr>
        <w:softHyphen/>
        <w:t>зочной) части мешка: револьверы, патроны (в обоймах и пачках), магазины для ручных пулеметов, средства связи (полевые телефон</w:t>
      </w:r>
      <w:r w:rsidRPr="00E14102">
        <w:rPr>
          <w:color w:val="000000" w:themeColor="text1"/>
          <w:sz w:val="16"/>
          <w:szCs w:val="16"/>
        </w:rPr>
        <w:softHyphen/>
        <w:t>ные аппараты, радиоаппаратура), медсанимущество (в банках, ампу</w:t>
      </w:r>
      <w:r w:rsidRPr="00E14102">
        <w:rPr>
          <w:color w:val="000000" w:themeColor="text1"/>
          <w:sz w:val="16"/>
          <w:szCs w:val="16"/>
        </w:rPr>
        <w:softHyphen/>
        <w:t>лах, коробках), продовольствие (консервы, галеты и т. п.).</w:t>
      </w:r>
    </w:p>
    <w:p w14:paraId="0AFD32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Под самолет может быть подвешено з замках балок бомбодер</w:t>
      </w:r>
      <w:r w:rsidRPr="00E14102">
        <w:rPr>
          <w:color w:val="000000" w:themeColor="text1"/>
          <w:sz w:val="16"/>
          <w:szCs w:val="16"/>
        </w:rPr>
        <w:softHyphen/>
        <w:t>жателей — десять мешков с грузом.</w:t>
      </w:r>
    </w:p>
    <w:p w14:paraId="2E93C2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Сброшенный в воздухе летнабом по правилам обычного бомбо</w:t>
      </w:r>
      <w:r w:rsidRPr="00E14102">
        <w:rPr>
          <w:color w:val="000000" w:themeColor="text1"/>
          <w:sz w:val="16"/>
          <w:szCs w:val="16"/>
        </w:rPr>
        <w:softHyphen/>
        <w:t>метания, мешок отделяется от самолета, и, падая извлекает с по</w:t>
      </w:r>
      <w:r w:rsidRPr="00E14102">
        <w:rPr>
          <w:color w:val="000000" w:themeColor="text1"/>
          <w:sz w:val="16"/>
          <w:szCs w:val="16"/>
        </w:rPr>
        <w:softHyphen/>
        <w:t>мощью вытяжной веревки парашют -из камеры, после чего (под дей</w:t>
      </w:r>
      <w:r w:rsidRPr="00E14102">
        <w:rPr>
          <w:color w:val="000000" w:themeColor="text1"/>
          <w:sz w:val="16"/>
          <w:szCs w:val="16"/>
        </w:rPr>
        <w:softHyphen/>
        <w:t>ствием тяжести мешка) — вытяжная веревка обрывается, купол пара</w:t>
      </w:r>
      <w:r w:rsidRPr="00E14102">
        <w:rPr>
          <w:color w:val="000000" w:themeColor="text1"/>
          <w:sz w:val="16"/>
          <w:szCs w:val="16"/>
        </w:rPr>
        <w:softHyphen/>
        <w:t>шюта раскрывается, — и приземляет мешок.</w:t>
      </w:r>
    </w:p>
    <w:p w14:paraId="7587B6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Примечание. Картонажный транспортный мешок принят на снабжение ВС РККА — в 1931 г.</w:t>
      </w:r>
    </w:p>
    <w:p w14:paraId="72844B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 Овальный грузовой цилиндр.</w:t>
      </w:r>
    </w:p>
    <w:p w14:paraId="585BBD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Овальный грузовой цилиндр (ПД-Кор) — предназначен для ук</w:t>
      </w:r>
      <w:r w:rsidRPr="00E14102">
        <w:rPr>
          <w:color w:val="000000" w:themeColor="text1"/>
          <w:sz w:val="16"/>
          <w:szCs w:val="16"/>
        </w:rPr>
        <w:softHyphen/>
        <w:t>ладки в него разнообразных грузов, весом до 135 кг, транспортировки и сбрасывания на парашюте д=12 м с самолета типа Р-5.</w:t>
      </w:r>
    </w:p>
    <w:p w14:paraId="528497B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Он может быть использован для переброски боевых грузов авиа</w:t>
      </w:r>
      <w:r w:rsidRPr="00E14102">
        <w:rPr>
          <w:color w:val="000000" w:themeColor="text1"/>
          <w:sz w:val="16"/>
          <w:szCs w:val="16"/>
        </w:rPr>
        <w:softHyphen/>
        <w:t>десантным соединениям (вооружение, боеприпасы, продовольствие, медсанимущество и т. д.), действующим в тылу противника, а, кроме гого — для транспортировки и парашютного сбрасывания грузов эк</w:t>
      </w:r>
      <w:r w:rsidRPr="00E14102">
        <w:rPr>
          <w:color w:val="000000" w:themeColor="text1"/>
          <w:sz w:val="16"/>
          <w:szCs w:val="16"/>
        </w:rPr>
        <w:softHyphen/>
        <w:t>спедициям, отдаленным пунктам и др., лишенным обычных средств и путей связи.</w:t>
      </w:r>
    </w:p>
    <w:p w14:paraId="43BDA6E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Ярким примером использования овальных грузовых цилиндров в особом случае, — следует признать опыт летчика — Героя Совет</w:t>
      </w:r>
      <w:r w:rsidRPr="00E14102">
        <w:rPr>
          <w:color w:val="000000" w:themeColor="text1"/>
          <w:sz w:val="16"/>
          <w:szCs w:val="16"/>
        </w:rPr>
        <w:softHyphen/>
        <w:t>ского Союза т. Молокова, перебросившего в 1934 г. на материк дзух челюскинцев в овальных цилиндрах, подвешенных пол плоскостями самолета.</w:t>
      </w:r>
    </w:p>
    <w:p w14:paraId="5DB951D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Подвешенные под плоскостями овальные цилиндры, — сбрасы</w:t>
      </w:r>
      <w:r w:rsidRPr="00E14102">
        <w:rPr>
          <w:color w:val="000000" w:themeColor="text1"/>
          <w:sz w:val="16"/>
          <w:szCs w:val="16"/>
        </w:rPr>
        <w:softHyphen/>
        <w:t>ваются в полете летнабом обычным способом.</w:t>
      </w:r>
    </w:p>
    <w:p w14:paraId="2986C3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Заключение комиссии по государственному испытанию.</w:t>
      </w:r>
    </w:p>
    <w:p w14:paraId="31FF8B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Овальный цилиндр допустить на снабжение ВВС РКК'А. В эталоне устранить отмеченные при испытании дефекты.</w:t>
      </w:r>
    </w:p>
    <w:p w14:paraId="33A083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 время войсковых испытаний разработать варианты всевозмож</w:t>
      </w:r>
      <w:r w:rsidRPr="00E14102">
        <w:rPr>
          <w:color w:val="000000" w:themeColor="text1"/>
          <w:sz w:val="16"/>
          <w:szCs w:val="16"/>
        </w:rPr>
        <w:softHyphen/>
        <w:t>ных загрузок при условии общего веса загруженного цилиндра не свыше 200 кг.</w:t>
      </w:r>
    </w:p>
    <w:p w14:paraId="2FE404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w:t>
      </w:r>
    </w:p>
    <w:p w14:paraId="597E3CA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ком. войсками ЛВО Флоровский.</w:t>
      </w:r>
    </w:p>
    <w:p w14:paraId="5AE9990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 комиссии:</w:t>
      </w:r>
    </w:p>
    <w:p w14:paraId="4EA06A8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Врид. нач. 1-го Управления штаба</w:t>
      </w:r>
    </w:p>
    <w:p w14:paraId="7B236D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ВВС РКК Лазаревич.</w:t>
      </w:r>
    </w:p>
    <w:p w14:paraId="1927B56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5-го отдела НИИ ВВС РККА Соловьев.</w:t>
      </w:r>
    </w:p>
    <w:p w14:paraId="2367B6E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Мл. инженер 5-го Отдела НИИ ВВС РККА Данилов.</w:t>
      </w:r>
    </w:p>
    <w:p w14:paraId="5CE02D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 ОО № 3 Бойцов.</w:t>
      </w:r>
    </w:p>
    <w:p w14:paraId="1F4558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нач. бюро вооружений Штаба РККА Золотое.</w:t>
      </w:r>
    </w:p>
    <w:p w14:paraId="426BD21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Представитель ПУРККА Октябрьский.</w:t>
      </w:r>
    </w:p>
    <w:p w14:paraId="3D668E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Осконпробюро ВВС РККА Гроховский.</w:t>
      </w:r>
    </w:p>
    <w:p w14:paraId="227F14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Представитель ОО ЛВО Смирнов.</w:t>
      </w:r>
    </w:p>
    <w:p w14:paraId="00440C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 Мягкий транспортно-десантный мешок.</w:t>
      </w:r>
    </w:p>
    <w:p w14:paraId="4DA2B1A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Мягкий транспортно-десантный мешок (ПД—ММ) — предназна</w:t>
      </w:r>
      <w:r w:rsidRPr="00E14102">
        <w:rPr>
          <w:color w:val="000000" w:themeColor="text1"/>
          <w:sz w:val="16"/>
          <w:szCs w:val="16"/>
        </w:rPr>
        <w:softHyphen/>
        <w:t>чен для загрузки, транспортировки и сбрасывания с самолета типа Р-5 на парашюте (д=8 м) — боевых грузов для авиадесантных частей.</w:t>
      </w:r>
    </w:p>
    <w:p w14:paraId="758616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мягкий мешок могут быть уложены боевые грузы различного назначения, по своим габаритам, соответствующих об'е.му мешка, -— в количестве:</w:t>
      </w:r>
    </w:p>
    <w:p w14:paraId="340BDCA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пушки ДРП — 1;</w:t>
      </w:r>
    </w:p>
    <w:p w14:paraId="461C1B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снаряды к ДРП — 8.</w:t>
      </w:r>
    </w:p>
    <w:p w14:paraId="3F531A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ручные пулеметы сист. Дегтярева — 6;</w:t>
      </w:r>
    </w:p>
    <w:p w14:paraId="723143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магазины с патронами к РП — 24;</w:t>
      </w:r>
    </w:p>
    <w:p w14:paraId="66F42A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 ручные гранаты обр. 1914/30 г. — 100;</w:t>
      </w:r>
    </w:p>
    <w:p w14:paraId="401AC68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 винтовки обр. 1891/1930 г. — 12;</w:t>
      </w:r>
    </w:p>
    <w:p w14:paraId="5E3EEA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ж) патроны винтовочные — 1800—3000;</w:t>
      </w:r>
    </w:p>
    <w:p w14:paraId="2EB833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з) револьверы и автрматич. пистолеты — 50;</w:t>
      </w:r>
    </w:p>
    <w:p w14:paraId="6BA83B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 бензин, масло и друг, жидкости — 60 л;</w:t>
      </w:r>
    </w:p>
    <w:p w14:paraId="300D081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шанцевый инструмент — 1 ком. (30 предм.).</w:t>
      </w:r>
    </w:p>
    <w:p w14:paraId="7EFD2C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Мешки подвешиваются в замках подкрыльных балок бомбодер</w:t>
      </w:r>
      <w:r w:rsidRPr="00E14102">
        <w:rPr>
          <w:color w:val="000000" w:themeColor="text1"/>
          <w:sz w:val="16"/>
          <w:szCs w:val="16"/>
        </w:rPr>
        <w:softHyphen/>
        <w:t>жателей самолета.</w:t>
      </w:r>
    </w:p>
    <w:p w14:paraId="519B87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Сбрасывание производится летнабом — по правилам обычного бомбометания. При открытии замка бомбодержателя, мешок отде</w:t>
      </w:r>
      <w:r w:rsidRPr="00E14102">
        <w:rPr>
          <w:color w:val="000000" w:themeColor="text1"/>
          <w:sz w:val="16"/>
          <w:szCs w:val="16"/>
        </w:rPr>
        <w:softHyphen/>
        <w:t>ляется от самолета, и, падая, извлекает при помощи вытяжной верев</w:t>
      </w:r>
      <w:r w:rsidRPr="00E14102">
        <w:rPr>
          <w:color w:val="000000" w:themeColor="text1"/>
          <w:sz w:val="16"/>
          <w:szCs w:val="16"/>
        </w:rPr>
        <w:softHyphen/>
        <w:t>ки — «упол парашюта.</w:t>
      </w:r>
    </w:p>
    <w:p w14:paraId="56AA68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Под действием тяжести мешка вытяжная веревка обрывается, и раскрывшийся купол парашюта приземляет мешок с грузом.</w:t>
      </w:r>
    </w:p>
    <w:p w14:paraId="626AAF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Заключение комиссии по государственному испытанию. </w:t>
      </w:r>
      <w:r w:rsidRPr="00E14102">
        <w:rPr>
          <w:color w:val="000000" w:themeColor="text1"/>
          <w:sz w:val="16"/>
          <w:szCs w:val="16"/>
          <w:vertAlign w:val="subscript"/>
        </w:rPr>
        <w:t>:</w:t>
      </w:r>
      <w:r w:rsidRPr="00E14102">
        <w:rPr>
          <w:color w:val="000000" w:themeColor="text1"/>
          <w:sz w:val="16"/>
          <w:szCs w:val="16"/>
        </w:rPr>
        <w:t>. Мягкий мешок с парашютом системы Осконпробюро ВВС РКЙА принять на снабжение ВВС и допустить к постройке войсковой серии, с целью определения эксплоатационных его качеств, области приме</w:t>
      </w:r>
      <w:r w:rsidRPr="00E14102">
        <w:rPr>
          <w:color w:val="000000" w:themeColor="text1"/>
          <w:sz w:val="16"/>
          <w:szCs w:val="16"/>
        </w:rPr>
        <w:softHyphen/>
        <w:t>нения и вариантов загрузки.</w:t>
      </w:r>
    </w:p>
    <w:p w14:paraId="31EA33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w:t>
      </w:r>
    </w:p>
    <w:p w14:paraId="00C339D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ком. войсками ЛВО Флоренский.</w:t>
      </w:r>
    </w:p>
    <w:p w14:paraId="5C8E6F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 комиссии:</w:t>
      </w:r>
    </w:p>
    <w:p w14:paraId="5F559AA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Врид. нач. 1-го Управления штаба</w:t>
      </w:r>
    </w:p>
    <w:p w14:paraId="721A56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ВВС РККА Лазаревич.</w:t>
      </w:r>
    </w:p>
    <w:p w14:paraId="77640DB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5-го отдела НИИ ВВС РККА Соловьев. Мл. инженер 5-го Отдела НИИ ВВС РККА Данилов. Командир ОО № 3 Бойцов.</w:t>
      </w:r>
    </w:p>
    <w:p w14:paraId="546EC2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нач. бюро вооружений Штаба РКК'А Золотое. Представитель ПУРККА Октябрьский. Нач. Осконпробюро ВВС РККА Гроховский. ( Представитель ОО ЛВО Смирнов.</w:t>
      </w:r>
    </w:p>
    <w:p w14:paraId="382D674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13. Подвесные бензо-масляные баки.</w:t>
      </w:r>
    </w:p>
    <w:p w14:paraId="40E062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Подвесной бензо-масляный бак (1ПД—ББ) — предназначен для загрузки бензином, маслом или др. жидкостями, .подвески под само</w:t>
      </w:r>
      <w:r w:rsidRPr="00E14102">
        <w:rPr>
          <w:color w:val="000000" w:themeColor="text1"/>
          <w:sz w:val="16"/>
          <w:szCs w:val="16"/>
        </w:rPr>
        <w:softHyphen/>
        <w:t>лет Р-5, транспортировки и сбрасывания на парашюте (д=8 м).</w:t>
      </w:r>
    </w:p>
    <w:p w14:paraId="7B36EDD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Применение ПД—ББ открывает возможность снабжения с возду</w:t>
      </w:r>
      <w:r w:rsidRPr="00E14102">
        <w:rPr>
          <w:color w:val="000000" w:themeColor="text1"/>
          <w:sz w:val="16"/>
          <w:szCs w:val="16"/>
        </w:rPr>
        <w:softHyphen/>
        <w:t>ха горючим рейдирующие мото-мехсоединения и автотранспорт де</w:t>
      </w:r>
      <w:r w:rsidRPr="00E14102">
        <w:rPr>
          <w:color w:val="000000" w:themeColor="text1"/>
          <w:sz w:val="16"/>
          <w:szCs w:val="16"/>
        </w:rPr>
        <w:softHyphen/>
        <w:t>сантных отрядов, действующих в тылу противника—в отрыве от баз.</w:t>
      </w:r>
    </w:p>
    <w:p w14:paraId="054F9DF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Посадка самолета с подвешенными ПД—ББ, дает возможность использования их как подвижные цистерны с горючим и маслом, — в условиях дальних перелетов, при отсутствии стационарных баз для заправки самолетов. Емкость бака: бензин — 66,6 л, масло — 7.4 л. Всего — 74 л (61 кг).</w:t>
      </w:r>
    </w:p>
    <w:p w14:paraId="5A6BB13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 исключена возможность применения ПД — ММ для доставок горючего, масла, воды или др. жидкостей, — экспедициям, отдален</w:t>
      </w:r>
      <w:r w:rsidRPr="00E14102">
        <w:rPr>
          <w:color w:val="000000" w:themeColor="text1"/>
          <w:sz w:val="16"/>
          <w:szCs w:val="16"/>
        </w:rPr>
        <w:softHyphen/>
        <w:t>ным населенным пунктам, МТС и т. п., — лишенных обычных путей и средств связи,, или в особых случаях.</w:t>
      </w:r>
    </w:p>
    <w:p w14:paraId="707A9C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Снаряженный и загруженный бак — подвешивается под самоле</w:t>
      </w:r>
      <w:r w:rsidRPr="00E14102">
        <w:rPr>
          <w:color w:val="000000" w:themeColor="text1"/>
          <w:sz w:val="16"/>
          <w:szCs w:val="16"/>
        </w:rPr>
        <w:softHyphen/>
        <w:t>том и сбрасывается летнабом — по правилам нормального бомбоме</w:t>
      </w:r>
      <w:r w:rsidRPr="00E14102">
        <w:rPr>
          <w:color w:val="000000" w:themeColor="text1"/>
          <w:sz w:val="16"/>
          <w:szCs w:val="16"/>
        </w:rPr>
        <w:softHyphen/>
        <w:t>тания.</w:t>
      </w:r>
    </w:p>
    <w:p w14:paraId="2ADDDD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Раскрывшийся парашют, приземляет бензо-масляный бак — 'В за</w:t>
      </w:r>
      <w:r w:rsidRPr="00E14102">
        <w:rPr>
          <w:color w:val="000000" w:themeColor="text1"/>
          <w:sz w:val="16"/>
          <w:szCs w:val="16"/>
        </w:rPr>
        <w:softHyphen/>
        <w:t>данном районе.</w:t>
      </w:r>
    </w:p>
    <w:p w14:paraId="1C81BC2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Заключение комиссии по государственному испытанию.</w:t>
      </w:r>
    </w:p>
    <w:p w14:paraId="381C2B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Бак принять на снабжение ВВС РККА, При постройке этало</w:t>
      </w:r>
      <w:r w:rsidRPr="00E14102">
        <w:rPr>
          <w:color w:val="000000" w:themeColor="text1"/>
          <w:sz w:val="16"/>
          <w:szCs w:val="16"/>
        </w:rPr>
        <w:softHyphen/>
        <w:t>на учесть все указанные замечания.</w:t>
      </w:r>
    </w:p>
    <w:p w14:paraId="2BABF6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w:t>
      </w:r>
    </w:p>
    <w:p w14:paraId="7F230E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ком. войсками ЛЕЮ Флоровский.</w:t>
      </w:r>
    </w:p>
    <w:p w14:paraId="7EF90B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 комиссии:</w:t>
      </w:r>
    </w:p>
    <w:p w14:paraId="333B19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Врид. нач .1 Управления штаба</w:t>
      </w:r>
    </w:p>
    <w:p w14:paraId="7D4187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ВВС РККА Лазаревич. Нач. 5 Отдела НИИ ВВС РККА Соловьев. Мл. инженер 5 Отдела НИИ ВВС РККА Данилов. Командир ОО № 3 Бойцов. Пом. нач. бюро вооружения РККА Золотое. Представитель ПУРККА Октябрьский. Нач. Осконпробюро ВВС РККА Гроховский. Представитель ОО ЛВО Смирнов.</w:t>
      </w:r>
    </w:p>
    <w:p w14:paraId="55FADD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 Установка для мотоциклов «</w:t>
      </w:r>
      <w:r w:rsidRPr="00E14102">
        <w:rPr>
          <w:color w:val="000000" w:themeColor="text1"/>
          <w:sz w:val="16"/>
          <w:szCs w:val="16"/>
          <w:lang w:val="en-US"/>
        </w:rPr>
        <w:t>X</w:t>
      </w:r>
      <w:r w:rsidRPr="00E14102">
        <w:rPr>
          <w:color w:val="000000" w:themeColor="text1"/>
          <w:sz w:val="16"/>
          <w:szCs w:val="16"/>
        </w:rPr>
        <w:t>. Д.» 3,5 НР.</w:t>
      </w:r>
    </w:p>
    <w:p w14:paraId="13FE52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Установка для мотоциклов «Харлей Давидсон» 3,5 НР — приспо</w:t>
      </w:r>
      <w:r w:rsidRPr="00E14102">
        <w:rPr>
          <w:color w:val="000000" w:themeColor="text1"/>
          <w:sz w:val="16"/>
          <w:szCs w:val="16"/>
        </w:rPr>
        <w:softHyphen/>
        <w:t>собление для подвески 2 мотоциклов под плоскостями самолета Р-5, транспортировки и сбрасывания на парашюте д=12 м.</w:t>
      </w:r>
    </w:p>
    <w:p w14:paraId="1EADD7C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Сброшенные в условиях авиадесантной операции в тылу про</w:t>
      </w:r>
      <w:r w:rsidRPr="00E14102">
        <w:rPr>
          <w:color w:val="000000" w:themeColor="text1"/>
          <w:sz w:val="16"/>
          <w:szCs w:val="16"/>
        </w:rPr>
        <w:softHyphen/>
        <w:t>тивника, мотоциклы могут быть применены как средства связи, раз</w:t>
      </w:r>
      <w:r w:rsidRPr="00E14102">
        <w:rPr>
          <w:color w:val="000000" w:themeColor="text1"/>
          <w:sz w:val="16"/>
          <w:szCs w:val="16"/>
        </w:rPr>
        <w:softHyphen/>
        <w:t>ведки и транспорта. '</w:t>
      </w:r>
    </w:p>
    <w:p w14:paraId="0E3AAFA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Мотоциклы подвешиваются в двух замках балок Дер-7 —, каж</w:t>
      </w:r>
      <w:r w:rsidRPr="00E14102">
        <w:rPr>
          <w:color w:val="000000" w:themeColor="text1"/>
          <w:sz w:val="16"/>
          <w:szCs w:val="16"/>
        </w:rPr>
        <w:softHyphen/>
        <w:t>дый, под левой и правой плоскостями самолета.</w:t>
      </w:r>
    </w:p>
    <w:p w14:paraId="7C71576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Рядом с ними, с помощью дополнительного приспособления, под-вешмрается цилиндр с уложенным парашютом (соединенным тросами с мотоциклом).</w:t>
      </w:r>
    </w:p>
    <w:p w14:paraId="2333246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Сбрасывание производится летнабом, — обычным способом, при котором падающий мотоцикл, действуя на вытяжной' трос, — извле</w:t>
      </w:r>
      <w:r w:rsidRPr="00E14102">
        <w:rPr>
          <w:color w:val="000000" w:themeColor="text1"/>
          <w:sz w:val="16"/>
          <w:szCs w:val="16"/>
        </w:rPr>
        <w:softHyphen/>
        <w:t>кает парашют из цилиндра.</w:t>
      </w:r>
    </w:p>
    <w:p w14:paraId="7C081B0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 раскрывается и приземляет мотоцикл.</w:t>
      </w:r>
    </w:p>
    <w:p w14:paraId="5E0170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Выписка из заключения по госиспытаниям.</w:t>
      </w:r>
    </w:p>
    <w:p w14:paraId="7857D8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«Подвеску мотоциклов «Харлей Давидсон» 3,5 НР для сбрасыва</w:t>
      </w:r>
      <w:r w:rsidRPr="00E14102">
        <w:rPr>
          <w:color w:val="000000" w:themeColor="text1"/>
          <w:sz w:val="16"/>
          <w:szCs w:val="16"/>
        </w:rPr>
        <w:softHyphen/>
        <w:t>ния на парашюте принять на снабжение ВВС РККА»...</w:t>
      </w:r>
    </w:p>
    <w:p w14:paraId="5D196A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 ,</w:t>
      </w:r>
    </w:p>
    <w:p w14:paraId="331321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ком. войсками ЛВО Флоренский.</w:t>
      </w:r>
    </w:p>
    <w:p w14:paraId="7FF219F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 комиссии:</w:t>
      </w:r>
    </w:p>
    <w:p w14:paraId="05DABD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Врид. нач. 1 управления Штаба</w:t>
      </w:r>
    </w:p>
    <w:p w14:paraId="33AB38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ВВС РККА Лазаревич.</w:t>
      </w:r>
    </w:p>
    <w:p w14:paraId="4A93A4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5 отдела НИИ ВВС РККА Соловьев.</w:t>
      </w:r>
    </w:p>
    <w:p w14:paraId="1D1D433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Мл. инженер 5 отдела НИИ ВВС РККА Данилов.</w:t>
      </w:r>
    </w:p>
    <w:p w14:paraId="06A7739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 ОО № 3 Бойцов.</w:t>
      </w:r>
    </w:p>
    <w:p w14:paraId="610A119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нач. Бюро вооружений Штаба РККА Золотев.</w:t>
      </w:r>
    </w:p>
    <w:p w14:paraId="5A51AE5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Представитель ПУРКК'А Октябрьский.</w:t>
      </w:r>
    </w:p>
    <w:p w14:paraId="0A9AFDD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Оскоппробюро ВВС РККА Гроховский.</w:t>
      </w:r>
    </w:p>
    <w:p w14:paraId="770871E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Представитель ОО ЛВО Смирнов.</w:t>
      </w:r>
    </w:p>
    <w:p w14:paraId="1A0674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октября 1932 г.</w:t>
      </w:r>
    </w:p>
    <w:p w14:paraId="04A1B4F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15. Прокладка телефонной связи самолетом.</w:t>
      </w:r>
    </w:p>
    <w:p w14:paraId="4AA70F5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Существующие способы организации телефонной связи в усло</w:t>
      </w:r>
      <w:r w:rsidRPr="00E14102">
        <w:rPr>
          <w:color w:val="000000" w:themeColor="text1"/>
          <w:sz w:val="16"/>
          <w:szCs w:val="16"/>
        </w:rPr>
        <w:softHyphen/>
        <w:t>виях быстро развивающихся боевых операций являются мало эффек</w:t>
      </w:r>
      <w:r w:rsidRPr="00E14102">
        <w:rPr>
          <w:color w:val="000000" w:themeColor="text1"/>
          <w:sz w:val="16"/>
          <w:szCs w:val="16"/>
        </w:rPr>
        <w:softHyphen/>
        <w:t>тивными.</w:t>
      </w:r>
    </w:p>
    <w:p w14:paraId="0604404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Установка проволочной (телефонной) связи, при помощи суще</w:t>
      </w:r>
      <w:r w:rsidRPr="00E14102">
        <w:rPr>
          <w:color w:val="000000" w:themeColor="text1"/>
          <w:sz w:val="16"/>
          <w:szCs w:val="16"/>
        </w:rPr>
        <w:softHyphen/>
        <w:t>ствующих средств (пешими и конными группами связистов, автома</w:t>
      </w:r>
      <w:r w:rsidRPr="00E14102">
        <w:rPr>
          <w:color w:val="000000" w:themeColor="text1"/>
          <w:sz w:val="16"/>
          <w:szCs w:val="16"/>
        </w:rPr>
        <w:softHyphen/>
        <w:t>шиной и др.) протекает очень медленно, я, в значительной мере за</w:t>
      </w:r>
      <w:r w:rsidRPr="00E14102">
        <w:rPr>
          <w:color w:val="000000" w:themeColor="text1"/>
          <w:sz w:val="16"/>
          <w:szCs w:val="16"/>
        </w:rPr>
        <w:softHyphen/>
        <w:t>висит от условий и конфигурации местности.</w:t>
      </w:r>
    </w:p>
    <w:p w14:paraId="6C224B5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Разрешенная проблема скоростной прокладки телефонного ка</w:t>
      </w:r>
      <w:r w:rsidRPr="00E14102">
        <w:rPr>
          <w:color w:val="000000" w:themeColor="text1"/>
          <w:sz w:val="16"/>
          <w:szCs w:val="16"/>
        </w:rPr>
        <w:softHyphen/>
        <w:t>беля самолетом,—в условиях современной боевой операции, — при</w:t>
      </w:r>
      <w:r w:rsidRPr="00E14102">
        <w:rPr>
          <w:color w:val="000000" w:themeColor="text1"/>
          <w:sz w:val="16"/>
          <w:szCs w:val="16"/>
        </w:rPr>
        <w:softHyphen/>
        <w:t>дает исключительное значение этому виду связи, обеспечивая быстро</w:t>
      </w:r>
      <w:r w:rsidRPr="00E14102">
        <w:rPr>
          <w:color w:val="000000" w:themeColor="text1"/>
          <w:sz w:val="16"/>
          <w:szCs w:val="16"/>
        </w:rPr>
        <w:softHyphen/>
        <w:t>ту ее установки, а, следовательно, и управление частями в бою.</w:t>
      </w:r>
    </w:p>
    <w:p w14:paraId="7AB226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Комплект приспособлений для прокладки телефонного кабеля самолетом.</w:t>
      </w:r>
    </w:p>
    <w:p w14:paraId="1F853FE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Предназначен для подвески под самолет Р-5 и наводки телефон</w:t>
      </w:r>
      <w:r w:rsidRPr="00E14102">
        <w:rPr>
          <w:color w:val="000000" w:themeColor="text1"/>
          <w:sz w:val="16"/>
          <w:szCs w:val="16"/>
        </w:rPr>
        <w:softHyphen/>
        <w:t>ной линии в полете, путем разматывания кабеля — между двумя или несколькими наземными пунктами на расстоянии в 5, 10 и 30 км — и состоит из:</w:t>
      </w:r>
    </w:p>
    <w:p w14:paraId="55F09A7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двух картонажных мешков ПГ-2к с парашютами;</w:t>
      </w:r>
    </w:p>
    <w:p w14:paraId="0A63A2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 двух телефонных аппаратов УНА</w:t>
      </w:r>
      <w:r w:rsidRPr="00E14102">
        <w:rPr>
          <w:color w:val="000000" w:themeColor="text1"/>
          <w:sz w:val="16"/>
          <w:szCs w:val="16"/>
          <w:vertAlign w:val="subscript"/>
        </w:rPr>
        <w:t>:</w:t>
      </w:r>
      <w:r w:rsidRPr="00E14102">
        <w:rPr>
          <w:color w:val="000000" w:themeColor="text1"/>
          <w:sz w:val="16"/>
          <w:szCs w:val="16"/>
        </w:rPr>
        <w:t>Ф;</w:t>
      </w:r>
    </w:p>
    <w:p w14:paraId="2B4AA5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цилиндра для катушки кабеля;</w:t>
      </w:r>
    </w:p>
    <w:p w14:paraId="69C5A9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 катушки кабеля специальной намотки длиною а 5 или 10 км.</w:t>
      </w:r>
    </w:p>
    <w:p w14:paraId="5EF4B83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Прокладка телефонной линии с воздуха между наземными пунк</w:t>
      </w:r>
      <w:r w:rsidRPr="00E14102">
        <w:rPr>
          <w:color w:val="000000" w:themeColor="text1"/>
          <w:sz w:val="16"/>
          <w:szCs w:val="16"/>
        </w:rPr>
        <w:softHyphen/>
        <w:t>тами осуществляется летнабом.</w:t>
      </w:r>
    </w:p>
    <w:p w14:paraId="6D4CD0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Выйдя на курс, летнаб сбрасывает картонажный мешок с теле</w:t>
      </w:r>
      <w:r w:rsidRPr="00E14102">
        <w:rPr>
          <w:color w:val="000000" w:themeColor="text1"/>
          <w:sz w:val="16"/>
          <w:szCs w:val="16"/>
        </w:rPr>
        <w:softHyphen/>
        <w:t>фонным аппаратом.</w:t>
      </w:r>
    </w:p>
    <w:p w14:paraId="36EE78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Падающий мешок вытягивает парашют и, приземляясь, способ</w:t>
      </w:r>
      <w:r w:rsidRPr="00E14102">
        <w:rPr>
          <w:color w:val="000000" w:themeColor="text1"/>
          <w:sz w:val="16"/>
          <w:szCs w:val="16"/>
        </w:rPr>
        <w:softHyphen/>
        <w:t>ствует разматыванию телефонного кабеля, выбираемого из цилиндра вследствие движения самолета.</w:t>
      </w:r>
    </w:p>
    <w:p w14:paraId="759F34B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Сброшенный на втором пункте, приземлившийся телефонный ап</w:t>
      </w:r>
      <w:r w:rsidRPr="00E14102">
        <w:rPr>
          <w:color w:val="000000" w:themeColor="text1"/>
          <w:sz w:val="16"/>
          <w:szCs w:val="16"/>
        </w:rPr>
        <w:softHyphen/>
        <w:t>парат соединяется ;со вторым концом кабеля, что является оконча</w:t>
      </w:r>
      <w:r w:rsidRPr="00E14102">
        <w:rPr>
          <w:color w:val="000000" w:themeColor="text1"/>
          <w:sz w:val="16"/>
          <w:szCs w:val="16"/>
        </w:rPr>
        <w:softHyphen/>
        <w:t>нием прокладки и установлением связи между наземными пунктами.</w:t>
      </w:r>
    </w:p>
    <w:p w14:paraId="77B60B1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Связь между наземными пунктами устанавливается самолетами, на расстоянии 10 км—в 4 мин.</w:t>
      </w:r>
    </w:p>
    <w:p w14:paraId="1DD3B38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Заключение комиссии по государственным испытаниям.</w:t>
      </w:r>
    </w:p>
    <w:p w14:paraId="5D9B94A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Короба на 5 и 10 км провода принять на снабжение ВВС РКК'А и передать на широкие войсковые испытания с целью выявления всех областей применения и полной оценки эксплоатационных качеств.</w:t>
      </w:r>
    </w:p>
    <w:p w14:paraId="34A32E4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w:t>
      </w:r>
    </w:p>
    <w:p w14:paraId="733413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ком. войсками ЛВО Флоренский.</w:t>
      </w:r>
    </w:p>
    <w:p w14:paraId="2FCC5D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 комиссии:</w:t>
      </w:r>
    </w:p>
    <w:p w14:paraId="4E3A270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Врид. нач. 1 управления Штаба ВВС РККА Лазаревич.</w:t>
      </w:r>
    </w:p>
    <w:p w14:paraId="27F80A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Нач. 5 отдела НИИ ВВС РККА Соловьев.</w:t>
      </w:r>
    </w:p>
    <w:p w14:paraId="71B45A4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Мл. инженер 5 отдела НИИ ВВС РККА Данилов.</w:t>
      </w:r>
    </w:p>
    <w:p w14:paraId="2EF914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 ОО № 3 Бойцов,</w:t>
      </w:r>
    </w:p>
    <w:p w14:paraId="24A6FF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нач. Бюро вооружений Штаба РККА Золотое.</w:t>
      </w:r>
    </w:p>
    <w:p w14:paraId="35AAB0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Представитель ПУРККА Октябрьский.</w:t>
      </w:r>
    </w:p>
    <w:p w14:paraId="703DB66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Осконпробюро ВВС РККА Гроховский.</w:t>
      </w:r>
    </w:p>
    <w:p w14:paraId="0A8C8C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Представитель ОО ЛВО Смирнов.</w:t>
      </w:r>
    </w:p>
    <w:p w14:paraId="4CF506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16. Диверсионные собаки.</w:t>
      </w:r>
    </w:p>
    <w:p w14:paraId="6F0AE7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Создание об'екта Г-58 для сбрасывания с самолета на парашютах диверсионных собак открывает широкие тактико-оперативные воз</w:t>
      </w:r>
      <w:r w:rsidRPr="00E14102">
        <w:rPr>
          <w:color w:val="000000" w:themeColor="text1"/>
          <w:sz w:val="16"/>
          <w:szCs w:val="16"/>
        </w:rPr>
        <w:softHyphen/>
        <w:t>можности его использования в целях подрыва ж.-д. линий, мостов, бензохранилищ, самолетов, оборудования аэродромов, огнескладов, и других об'ектов в тылу противника.</w:t>
      </w:r>
    </w:p>
    <w:p w14:paraId="106DB9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Работа собак особой службы поверялась на различных об'ектах при сбрасывании их с самолетов на парашютах.</w:t>
      </w:r>
    </w:p>
    <w:p w14:paraId="5C6B1C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Собаки показали хорошую работу, — сбрасывая седла с взрыв-веществами у об'ектов поражения.</w:t>
      </w:r>
    </w:p>
    <w:p w14:paraId="143291E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Опыты подтвердили также возможность использования собак «собой службы как на освоенной, так и на неосвоенной местности.</w:t>
      </w:r>
    </w:p>
    <w:p w14:paraId="731343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Собаки, сброшенные на парашютах и на незнакомой им местно</w:t>
      </w:r>
      <w:r w:rsidRPr="00E14102">
        <w:rPr>
          <w:color w:val="000000" w:themeColor="text1"/>
          <w:sz w:val="16"/>
          <w:szCs w:val="16"/>
        </w:rPr>
        <w:softHyphen/>
        <w:t>сти, сбрасывали с себя седла у предназначенных об'ектов.</w:t>
      </w:r>
    </w:p>
    <w:p w14:paraId="45237C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Работа собак, пущенных с рук (без сбрасывания с самолета) -— лала такие же положительные результаты.</w:t>
      </w:r>
    </w:p>
    <w:p w14:paraId="7D5DBB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Проведенные опыты и государственные испытания подтвердили полную возможность использования собак особой службы Для само</w:t>
      </w:r>
      <w:r w:rsidRPr="00E14102">
        <w:rPr>
          <w:color w:val="000000" w:themeColor="text1"/>
          <w:sz w:val="16"/>
          <w:szCs w:val="16"/>
        </w:rPr>
        <w:softHyphen/>
        <w:t>стоятельных диверсионных действий. Не исключается также возмож</w:t>
      </w:r>
      <w:r w:rsidRPr="00E14102">
        <w:rPr>
          <w:color w:val="000000" w:themeColor="text1"/>
          <w:sz w:val="16"/>
          <w:szCs w:val="16"/>
        </w:rPr>
        <w:softHyphen/>
        <w:t>ность применения собак и во всякого рода воздушно-десантных опе</w:t>
      </w:r>
      <w:r w:rsidRPr="00E14102">
        <w:rPr>
          <w:color w:val="000000" w:themeColor="text1"/>
          <w:sz w:val="16"/>
          <w:szCs w:val="16"/>
        </w:rPr>
        <w:softHyphen/>
        <w:t>рациях.</w:t>
      </w:r>
    </w:p>
    <w:p w14:paraId="0FE962D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Большое значение приобретает вопрос эффективности действия взрыввещестза, сбрасываемого одной собакой в количестве 6—7 кг. От этой эффективности будет зависить расчет средств, выделяемых для того или иного об'екта.</w:t>
      </w:r>
    </w:p>
    <w:p w14:paraId="0781580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Таким образом, при разрешении затронутых выше вопросов, воз</w:t>
      </w:r>
      <w:r w:rsidRPr="00E14102">
        <w:rPr>
          <w:color w:val="000000" w:themeColor="text1"/>
          <w:sz w:val="16"/>
          <w:szCs w:val="16"/>
        </w:rPr>
        <w:softHyphen/>
        <w:t>можность выброски собак в глубоком тылу противника, предрешает •большой успех диверсионных действий.</w:t>
      </w:r>
    </w:p>
    <w:p w14:paraId="081AC5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Особо следует отметить важность применения этого способа ди</w:t>
      </w:r>
      <w:r w:rsidRPr="00E14102">
        <w:rPr>
          <w:color w:val="000000" w:themeColor="text1"/>
          <w:sz w:val="16"/>
          <w:szCs w:val="16"/>
        </w:rPr>
        <w:softHyphen/>
        <w:t>версионных действий в период сосредоточения армий и усиленного подвоза эшелонов с людьм-и, боеприпасами и имуществом. Диверси</w:t>
      </w:r>
      <w:r w:rsidRPr="00E14102">
        <w:rPr>
          <w:color w:val="000000" w:themeColor="text1"/>
          <w:sz w:val="16"/>
          <w:szCs w:val="16"/>
        </w:rPr>
        <w:softHyphen/>
        <w:t>онные действия по ж.-д. путям, идущим к пунктам сосредоточения, могут значительно повлиять на срыв плана сосредоточения и под</w:t>
      </w:r>
      <w:r w:rsidRPr="00E14102">
        <w:rPr>
          <w:color w:val="000000" w:themeColor="text1"/>
          <w:sz w:val="16"/>
          <w:szCs w:val="16"/>
        </w:rPr>
        <w:softHyphen/>
        <w:t>воза</w:t>
      </w:r>
    </w:p>
    <w:p w14:paraId="0614F2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Огромную роль и значение будет иметь работа собак особой службы по аэродромным узлам противника, нанося огромный ущерб материальной части.</w:t>
      </w:r>
    </w:p>
    <w:p w14:paraId="6CA1C4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Использование собак особой службы по нефтепромышленным районам (поджог) и по другим крупным об'ектам поражения — также обещает немалый успех.</w:t>
      </w:r>
    </w:p>
    <w:p w14:paraId="14F1CF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Оперативная значимость об'екта Г-58 — вытекает из всего выше</w:t>
      </w:r>
      <w:r w:rsidRPr="00E14102">
        <w:rPr>
          <w:color w:val="000000" w:themeColor="text1"/>
          <w:sz w:val="16"/>
          <w:szCs w:val="16"/>
        </w:rPr>
        <w:softHyphen/>
        <w:t>изложенного.</w:t>
      </w:r>
    </w:p>
    <w:p w14:paraId="1BC524E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Заключение государственной комиссии по об'екту Г-58 от 1,1 1935 г.</w:t>
      </w:r>
    </w:p>
    <w:p w14:paraId="7525A5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Испытания показали безотказность работы собак на выше</w:t>
      </w:r>
      <w:r w:rsidRPr="00E14102">
        <w:rPr>
          <w:color w:val="000000" w:themeColor="text1"/>
          <w:sz w:val="16"/>
          <w:szCs w:val="16"/>
        </w:rPr>
        <w:softHyphen/>
        <w:t>указанных об'ектах, при спуске собак с рук, а также при самостоя</w:t>
      </w:r>
      <w:r w:rsidRPr="00E14102">
        <w:rPr>
          <w:color w:val="000000" w:themeColor="text1"/>
          <w:sz w:val="16"/>
          <w:szCs w:val="16"/>
        </w:rPr>
        <w:softHyphen/>
        <w:t>тельной работе при сбрасывании с воздуха.</w:t>
      </w:r>
    </w:p>
    <w:p w14:paraId="4054D64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Короба и боевые седла — отвечают своему назначению.</w:t>
      </w:r>
    </w:p>
    <w:p w14:paraId="11AD0A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Комиссия находит вполне установленным возможность исполь</w:t>
      </w:r>
      <w:r w:rsidRPr="00E14102">
        <w:rPr>
          <w:color w:val="000000" w:themeColor="text1"/>
          <w:sz w:val="16"/>
          <w:szCs w:val="16"/>
        </w:rPr>
        <w:softHyphen/>
        <w:t>зования со-бак для производства взрывов, поджогов н отравлений при действиях по разнообразным об'ектам в тылу противника, и, считает необходимым форсирование этого дела путем организации специ</w:t>
      </w:r>
      <w:r w:rsidRPr="00E14102">
        <w:rPr>
          <w:color w:val="000000" w:themeColor="text1"/>
          <w:sz w:val="16"/>
          <w:szCs w:val="16"/>
        </w:rPr>
        <w:softHyphen/>
        <w:t>альной школы.</w:t>
      </w:r>
    </w:p>
    <w:p w14:paraId="36721C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срочном порядке развернуть исследовательскую р'аботу по опре</w:t>
      </w:r>
      <w:r w:rsidRPr="00E14102">
        <w:rPr>
          <w:color w:val="000000" w:themeColor="text1"/>
          <w:sz w:val="16"/>
          <w:szCs w:val="16"/>
        </w:rPr>
        <w:softHyphen/>
        <w:t>делению спецификации спец. взрыв, веществ, гарантирующих макси</w:t>
      </w:r>
      <w:r w:rsidRPr="00E14102">
        <w:rPr>
          <w:color w:val="000000" w:themeColor="text1"/>
          <w:sz w:val="16"/>
          <w:szCs w:val="16"/>
        </w:rPr>
        <w:softHyphen/>
        <w:t>мальные разрушительные действия, и, по своим весовым данным,— наиболее приспособленных к применению диверсионными собаками, по указанным об'ектам поражений.</w:t>
      </w:r>
    </w:p>
    <w:p w14:paraId="52C0CD0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Испытания считать законченными и об'ект Г-58 принятым на снабжение РККА.</w:t>
      </w:r>
    </w:p>
    <w:p w14:paraId="4985D0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w:t>
      </w:r>
    </w:p>
    <w:p w14:paraId="2D969B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Зам. нач. Штаба УВС РККА Лавров.</w:t>
      </w:r>
    </w:p>
    <w:p w14:paraId="05CB29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 комиссии:</w:t>
      </w:r>
    </w:p>
    <w:p w14:paraId="5E05956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Татарченко.</w:t>
      </w:r>
    </w:p>
    <w:p w14:paraId="1742984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Евстигнеев.</w:t>
      </w:r>
    </w:p>
    <w:p w14:paraId="70D94E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Вахламов.</w:t>
      </w:r>
    </w:p>
    <w:p w14:paraId="5B9F11F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Зайцев.</w:t>
      </w:r>
    </w:p>
    <w:p w14:paraId="0080C0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Смага.</w:t>
      </w:r>
    </w:p>
    <w:p w14:paraId="665BD5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.Медведев.</w:t>
      </w:r>
    </w:p>
    <w:p w14:paraId="6C074FF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ТЯЖЕЛЫЕ ПОДВЕСКИ.</w:t>
      </w:r>
    </w:p>
    <w:p w14:paraId="6F93C2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17. Универсальная рама образца 1935 г.</w:t>
      </w:r>
    </w:p>
    <w:p w14:paraId="12A3EC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Разрешенная проблема переброски по воздуху тяжелого воору</w:t>
      </w:r>
      <w:r w:rsidRPr="00E14102">
        <w:rPr>
          <w:color w:val="000000" w:themeColor="text1"/>
          <w:sz w:val="16"/>
          <w:szCs w:val="16"/>
        </w:rPr>
        <w:softHyphen/>
        <w:t>жения, позволяет иметь в составе высаживаемого в тылу противника десанта, — артиллерию, автотранспорт и легкие авто-броне-танковые средства.</w:t>
      </w:r>
    </w:p>
    <w:p w14:paraId="35A6DC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Разрешение этой задачи в большой степени повышает огневую мощь и .увеличивает маневренность действующих в тылу противника десантных войск. -• •</w:t>
      </w:r>
    </w:p>
    <w:p w14:paraId="5D5A50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Этим и определяется оперативная ценность и значимость об'екта ПГ-12 образца 1935 г.</w:t>
      </w:r>
    </w:p>
    <w:p w14:paraId="6CBE77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Об'ект ПГ-12 представляет из себя универсальную раму, пред</w:t>
      </w:r>
      <w:r w:rsidRPr="00E14102">
        <w:rPr>
          <w:color w:val="000000" w:themeColor="text1"/>
          <w:sz w:val="16"/>
          <w:szCs w:val="16"/>
        </w:rPr>
        <w:softHyphen/>
        <w:t>назначенную для подвески 'И транспортирования самолетом ТБ-3 сле</w:t>
      </w:r>
      <w:r w:rsidRPr="00E14102">
        <w:rPr>
          <w:color w:val="000000" w:themeColor="text1"/>
          <w:sz w:val="16"/>
          <w:szCs w:val="16"/>
        </w:rPr>
        <w:softHyphen/>
        <w:t>дующих тяжелых десантных об'ектов:</w:t>
      </w:r>
    </w:p>
    <w:p w14:paraId="61F0470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Танка «Амфибия» (Т-37).</w:t>
      </w:r>
    </w:p>
    <w:p w14:paraId="59E2C8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Бронеавтомобиля (Д-8).</w:t>
      </w:r>
    </w:p>
    <w:p w14:paraId="6C2F6C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Двух спаренных 76-мм пушек обр. 1927 г.</w:t>
      </w:r>
    </w:p>
    <w:p w14:paraId="72688D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1,5-т грузового автомобиля «Форд АА» (Ф—1,5 т1.</w:t>
      </w:r>
    </w:p>
    <w:p w14:paraId="300EF5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Автомобиля сПИКАГЪ.</w:t>
      </w:r>
    </w:p>
    <w:p w14:paraId="48F45F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Заключение государственной комиссии от 4 мая 1935 г.</w:t>
      </w:r>
    </w:p>
    <w:p w14:paraId="620BB61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«Считать, что в раме образца 1935 г. все изменения, предусмо</w:t>
      </w:r>
      <w:r w:rsidRPr="00E14102">
        <w:rPr>
          <w:color w:val="000000" w:themeColor="text1"/>
          <w:sz w:val="16"/>
          <w:szCs w:val="16"/>
        </w:rPr>
        <w:softHyphen/>
        <w:t>тренные актом комиссии по проведению государственных испытаний от 14 октября 1934 г. — Экспериментальным институтом НКТП вне</w:t>
      </w:r>
      <w:r w:rsidRPr="00E14102">
        <w:rPr>
          <w:color w:val="000000" w:themeColor="text1"/>
          <w:sz w:val="16"/>
          <w:szCs w:val="16"/>
        </w:rPr>
        <w:softHyphen/>
        <w:t>сены и представленный образец универсальных рам с указанными вы</w:t>
      </w:r>
      <w:r w:rsidRPr="00E14102">
        <w:rPr>
          <w:color w:val="000000" w:themeColor="text1"/>
          <w:sz w:val="16"/>
          <w:szCs w:val="16"/>
        </w:rPr>
        <w:softHyphen/>
        <w:t>ше изменениями в настоящем акте, может служить эталоном при изготовлении серийного заказа».</w:t>
      </w:r>
    </w:p>
    <w:p w14:paraId="7654F4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Справка. ГТол\'чен правительственный заказ на 500 экземпляров универсальных рам. Срок изготовления всех рам и рассылка их по частям ВС РККА — декабрь месяц 1935 г. Заказ выполнен Экспери</w:t>
      </w:r>
      <w:r w:rsidRPr="00E14102">
        <w:rPr>
          <w:color w:val="000000" w:themeColor="text1"/>
          <w:sz w:val="16"/>
          <w:szCs w:val="16"/>
        </w:rPr>
        <w:softHyphen/>
        <w:t>ментальным институтом НКТП.</w:t>
      </w:r>
    </w:p>
    <w:p w14:paraId="34259D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18. Парашютный вариант применения ПГ-12 образца 1935 г.</w:t>
      </w:r>
    </w:p>
    <w:p w14:paraId="221DF4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Современное развитие военной техники, условия и боевая обста</w:t>
      </w:r>
      <w:r w:rsidRPr="00E14102">
        <w:rPr>
          <w:color w:val="000000" w:themeColor="text1"/>
          <w:sz w:val="16"/>
          <w:szCs w:val="16"/>
        </w:rPr>
        <w:softHyphen/>
        <w:t>новка,— не всегда позволит осуществить посадочный десант, .в тылу противника.</w:t>
      </w:r>
    </w:p>
    <w:p w14:paraId="723D5E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Специальное приспособление для сбрасывания на грузовых, пара</w:t>
      </w:r>
      <w:r w:rsidRPr="00E14102">
        <w:rPr>
          <w:color w:val="000000" w:themeColor="text1"/>
          <w:sz w:val="16"/>
          <w:szCs w:val="16"/>
        </w:rPr>
        <w:softHyphen/>
        <w:t>шютах Г-42 и Г-43 об'ектов вооружения, транспортируемых само</w:t>
      </w:r>
      <w:r w:rsidRPr="00E14102">
        <w:rPr>
          <w:color w:val="000000" w:themeColor="text1"/>
          <w:sz w:val="16"/>
          <w:szCs w:val="16"/>
        </w:rPr>
        <w:softHyphen/>
        <w:t>летами типа ТБ-3, разрешает вопрос переброски этих об'екгов в тыл противника без посадки самолетов, чем повышается оперативно-так</w:t>
      </w:r>
      <w:r w:rsidRPr="00E14102">
        <w:rPr>
          <w:color w:val="000000" w:themeColor="text1"/>
          <w:sz w:val="16"/>
          <w:szCs w:val="16"/>
        </w:rPr>
        <w:softHyphen/>
        <w:t>тическая значимость воздушного десанта, и расширяется возможность его боевого применения.</w:t>
      </w:r>
    </w:p>
    <w:p w14:paraId="376915C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Парашютный вариант применения универсальной рамы ПГ-12 предназначен для сбрасывания в тылу противника на грузовых пара</w:t>
      </w:r>
      <w:r w:rsidRPr="00E14102">
        <w:rPr>
          <w:color w:val="000000" w:themeColor="text1"/>
          <w:sz w:val="16"/>
          <w:szCs w:val="16"/>
        </w:rPr>
        <w:softHyphen/>
        <w:t>шютах следующих тяжелых об'ектов вооружения, транспортируемых на самолетах ТБ-3.</w:t>
      </w:r>
    </w:p>
    <w:p w14:paraId="5574B93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П/грузового автомобиля «ПИКАП» (Г-29).</w:t>
      </w:r>
    </w:p>
    <w:p w14:paraId="79F2A2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Грузового автомобиля «ГАЗ» — 1,5 т. (Г-27).</w:t>
      </w:r>
    </w:p>
    <w:p w14:paraId="6C49B26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Двух спаренных 76-мм пушек образца 1927 г. (Г-32).</w:t>
      </w:r>
    </w:p>
    <w:p w14:paraId="624DDD1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Танка «Амфибия» — Т-37 (Г-28).</w:t>
      </w:r>
    </w:p>
    <w:p w14:paraId="602723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 Грузовые марлевые парашюты Г-42.</w:t>
      </w:r>
    </w:p>
    <w:p w14:paraId="5876B5E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 Грузовой марлевый парашют Г-42 диаметром 35 м предназна</w:t>
      </w:r>
      <w:r w:rsidRPr="00E14102">
        <w:rPr>
          <w:color w:val="000000" w:themeColor="text1"/>
          <w:sz w:val="16"/>
          <w:szCs w:val="16"/>
        </w:rPr>
        <w:softHyphen/>
        <w:t>чен для приземления сброшенных с самолета грузов весом до 1500 кг.</w:t>
      </w:r>
    </w:p>
    <w:p w14:paraId="5D2E39C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 Грузовой марлевый парашют диаметром 45 м для универсальной рамы ПГ-12.</w:t>
      </w:r>
    </w:p>
    <w:p w14:paraId="516AC0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Предназначен для приземления сброшенных с тяжелых самолетов грузов весом 2000 кг</w:t>
      </w:r>
    </w:p>
    <w:p w14:paraId="076A1C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21. Метод срыва для сбрасывания тяжелых грузов с самолетов.</w:t>
      </w:r>
    </w:p>
    <w:p w14:paraId="0CC77EE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Метод срыва для сбрасывания тяжелых грузов и об'ектов на па</w:t>
      </w:r>
      <w:r w:rsidRPr="00E14102">
        <w:rPr>
          <w:color w:val="000000" w:themeColor="text1"/>
          <w:sz w:val="16"/>
          <w:szCs w:val="16"/>
        </w:rPr>
        <w:softHyphen/>
        <w:t>рашютах — является наиболее безотказным и целесообразным спосо</w:t>
      </w:r>
      <w:r w:rsidRPr="00E14102">
        <w:rPr>
          <w:color w:val="000000" w:themeColor="text1"/>
          <w:sz w:val="16"/>
          <w:szCs w:val="16"/>
        </w:rPr>
        <w:softHyphen/>
        <w:t>бом указанного назначения.</w:t>
      </w:r>
    </w:p>
    <w:p w14:paraId="5C5B4E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отличие от ранее применявшегося способа освобождения и рас</w:t>
      </w:r>
      <w:r w:rsidRPr="00E14102">
        <w:rPr>
          <w:color w:val="000000" w:themeColor="text1"/>
          <w:sz w:val="16"/>
          <w:szCs w:val="16"/>
        </w:rPr>
        <w:softHyphen/>
        <w:t>крытия парашюта под действием падающего груза, — метод срыва обеспечивает безотказность действия всей системы и создает ряд преимуществ, устраняющих возможность аварии груза, нераскрытие или свертывание парашюта в воздухе.</w:t>
      </w:r>
    </w:p>
    <w:p w14:paraId="35E869B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Испытания метода срыва при сбрасывании тяжелых грузов с па</w:t>
      </w:r>
      <w:r w:rsidRPr="00E14102">
        <w:rPr>
          <w:color w:val="000000" w:themeColor="text1"/>
          <w:sz w:val="16"/>
          <w:szCs w:val="16"/>
        </w:rPr>
        <w:softHyphen/>
        <w:t>рашютом, показали, что по сравнению с прежними методами сбра</w:t>
      </w:r>
      <w:r w:rsidRPr="00E14102">
        <w:rPr>
          <w:color w:val="000000" w:themeColor="text1"/>
          <w:sz w:val="16"/>
          <w:szCs w:val="16"/>
        </w:rPr>
        <w:softHyphen/>
        <w:t>сывания:</w:t>
      </w:r>
    </w:p>
    <w:p w14:paraId="302BC4F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Нагрузка на парашютную систему, образующаяся при сбрасы</w:t>
      </w:r>
      <w:r w:rsidRPr="00E14102">
        <w:rPr>
          <w:color w:val="000000" w:themeColor="text1"/>
          <w:sz w:val="16"/>
          <w:szCs w:val="16"/>
        </w:rPr>
        <w:softHyphen/>
        <w:t>вании груза — меньше.</w:t>
      </w:r>
    </w:p>
    <w:p w14:paraId="1A3099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2. Отсутствует всякая опасность при сбрасывании — для само</w:t>
      </w:r>
      <w:r w:rsidRPr="00E14102">
        <w:rPr>
          <w:color w:val="000000" w:themeColor="text1"/>
          <w:sz w:val="16"/>
          <w:szCs w:val="16"/>
        </w:rPr>
        <w:softHyphen/>
        <w:t>лета.</w:t>
      </w:r>
    </w:p>
    <w:p w14:paraId="558014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Значительно уменьшается аэродинамический удар, образую</w:t>
      </w:r>
      <w:r w:rsidRPr="00E14102">
        <w:rPr>
          <w:color w:val="000000" w:themeColor="text1"/>
          <w:sz w:val="16"/>
          <w:szCs w:val="16"/>
        </w:rPr>
        <w:softHyphen/>
        <w:t>щийся при полном раскрытии парашюта.</w:t>
      </w:r>
    </w:p>
    <w:p w14:paraId="2DB1E21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Понижается минимальная высота, необходимая для сбрасыва</w:t>
      </w:r>
      <w:r w:rsidRPr="00E14102">
        <w:rPr>
          <w:color w:val="000000" w:themeColor="text1"/>
          <w:sz w:val="16"/>
          <w:szCs w:val="16"/>
        </w:rPr>
        <w:softHyphen/>
        <w:t>ния тяжелых грузов. .</w:t>
      </w:r>
    </w:p>
    <w:p w14:paraId="1C3A437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Уменьшается средняя скорость снижения сброшенного груза.</w:t>
      </w:r>
    </w:p>
    <w:p w14:paraId="023B53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Ускоряется затухание парашюта после приземления.</w:t>
      </w:r>
    </w:p>
    <w:p w14:paraId="3903CC5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Исключается возможность отказа в действии всей системы.</w:t>
      </w:r>
    </w:p>
    <w:p w14:paraId="61C3B7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Сущность применения метода срыва заключается в том, что вн&lt;1-чале сбрасывается цилиндр с парашютом. Под действием тяжести па</w:t>
      </w:r>
      <w:r w:rsidRPr="00E14102">
        <w:rPr>
          <w:color w:val="000000" w:themeColor="text1"/>
          <w:sz w:val="16"/>
          <w:szCs w:val="16"/>
        </w:rPr>
        <w:softHyphen/>
        <w:t>дающего цилиндра, купол грузового парашюта, уложенного в нем,. освобождается из цилиндра, и, попадая под действие встречного гоз-душного потока от работающих винтов, — раскрывается наполови</w:t>
      </w:r>
      <w:r w:rsidRPr="00E14102">
        <w:rPr>
          <w:color w:val="000000" w:themeColor="text1"/>
          <w:sz w:val="16"/>
          <w:szCs w:val="16"/>
        </w:rPr>
        <w:softHyphen/>
        <w:t>ну — под углом к фюзеляжу самолета и в сторону, противоположную линии полета.</w:t>
      </w:r>
    </w:p>
    <w:p w14:paraId="2C70C2D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Действуя на вытяжные тросы, укрепленные к коушу,»— парашют вытаскивает шпильки из отверстий конусов балки м/с, ушки об'екта соскальзывают с конусных головок, и груз приземляется на ранее уже раскрывшемся парашюте.</w:t>
      </w:r>
    </w:p>
    <w:p w14:paraId="7CEEB4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Выписка из заключения по госиспытаниям.</w:t>
      </w:r>
    </w:p>
    <w:p w14:paraId="6C93484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«Метод срыва признать наиболее целесообразным для сбрасыва</w:t>
      </w:r>
      <w:r w:rsidRPr="00E14102">
        <w:rPr>
          <w:color w:val="000000" w:themeColor="text1"/>
          <w:sz w:val="16"/>
          <w:szCs w:val="16"/>
        </w:rPr>
        <w:softHyphen/>
        <w:t>ния тяжелых грузов на парашютах, как вполне себя оправдавший»...</w:t>
      </w:r>
    </w:p>
    <w:p w14:paraId="69484E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w:t>
      </w:r>
    </w:p>
    <w:p w14:paraId="15E9A0A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ком войсками ЛВО Флоренский.</w:t>
      </w:r>
    </w:p>
    <w:p w14:paraId="3EC4F2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Врид. нач. 1 управления Штаба</w:t>
      </w:r>
    </w:p>
    <w:p w14:paraId="249D84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ВВС РККА Лазаревич.</w:t>
      </w:r>
    </w:p>
    <w:p w14:paraId="49FD67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 комиссии:</w:t>
      </w:r>
    </w:p>
    <w:p w14:paraId="196BD8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5 отдела НИИ ВВС РККА Соловьев. Мл. инженер 5 отдела НИИ ВВС РККА Данилов. Командир ОО № 3 Бойцов.</w:t>
      </w:r>
    </w:p>
    <w:p w14:paraId="596263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нач. Бюро вооружений Штаба РККА Золотое. Представитель ПУРКК'А Октябрьский. Нач. Осконпробюро ВВС РККА Гроховский. ( Представитель ОО ЛВО Смирнов.</w:t>
      </w:r>
    </w:p>
    <w:p w14:paraId="2E928B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октября 1932</w:t>
      </w:r>
    </w:p>
    <w:p w14:paraId="4704D8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Грузовая клеть</w:t>
      </w:r>
    </w:p>
    <w:p w14:paraId="1FED5F4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Грузовая клеть - предназначена для различных грузов весом до 700 кг, подвески под с-том ТБ-1 и сбрасывания на парашюте д = 25 м</w:t>
      </w:r>
    </w:p>
    <w:p w14:paraId="706DB59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Выписка из заключения по госиспытаниям.</w:t>
      </w:r>
    </w:p>
    <w:p w14:paraId="3BDC00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«Клеть для сбрасывания грузов с самолета ТБ-1, — принять на снабжение ВВС РККА и передать на войсковые испытания»...</w:t>
      </w:r>
    </w:p>
    <w:p w14:paraId="0200941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w:t>
      </w:r>
    </w:p>
    <w:p w14:paraId="6B3E485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ком. войсками ЛВО Флоровский.</w:t>
      </w:r>
    </w:p>
    <w:p w14:paraId="4F691EF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 комиссии:</w:t>
      </w:r>
    </w:p>
    <w:p w14:paraId="0ED615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Вряд. нач. 1 управления Штаба</w:t>
      </w:r>
    </w:p>
    <w:p w14:paraId="45F9BC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ВВС РККА Лазаревич. Нач. 5 отдела НИИ ВВС РККА Соловьев. Мл. инженер-5 отдела НИИ ВВС РККА Данилов. Командир ОО № 3 Бойцов.</w:t>
      </w:r>
    </w:p>
    <w:p w14:paraId="18CAC1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нач. Бюро вооружений Штаба РККА Золотое. Представитель ПУРККА Октябрьский. Нач. Осконпробюро ВВС РККА Гроховский. ' Представитель ОО ЛВО Смирнов.</w:t>
      </w:r>
    </w:p>
    <w:p w14:paraId="35679A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октября 1932 г.</w:t>
      </w:r>
    </w:p>
    <w:p w14:paraId="629DB7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23. Установка для 2 мотоциклов «Харлей Дэвидсон» с колясками.</w:t>
      </w:r>
    </w:p>
    <w:p w14:paraId="57861B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Установка ПД-М2 предназначена для подвески под самолетом ти</w:t>
      </w:r>
      <w:r w:rsidRPr="00E14102">
        <w:rPr>
          <w:color w:val="000000" w:themeColor="text1"/>
          <w:sz w:val="16"/>
          <w:szCs w:val="16"/>
        </w:rPr>
        <w:softHyphen/>
        <w:t>па ТБ-1 клети с 2 мотоциклами «</w:t>
      </w:r>
      <w:r w:rsidRPr="00E14102">
        <w:rPr>
          <w:color w:val="000000" w:themeColor="text1"/>
          <w:sz w:val="16"/>
          <w:szCs w:val="16"/>
          <w:lang w:val="en-US"/>
        </w:rPr>
        <w:t>X</w:t>
      </w:r>
      <w:r w:rsidRPr="00E14102">
        <w:rPr>
          <w:color w:val="000000" w:themeColor="text1"/>
          <w:sz w:val="16"/>
          <w:szCs w:val="16"/>
        </w:rPr>
        <w:t>. Д.» с колясками, транспортировки, ее по воздуху и сбрасывания методом -срыва на грузовом парашюте д = 25 м. Клеть так же может быть использована для переброски раз</w:t>
      </w:r>
      <w:r w:rsidRPr="00E14102">
        <w:rPr>
          <w:color w:val="000000" w:themeColor="text1"/>
          <w:sz w:val="16"/>
          <w:szCs w:val="16"/>
        </w:rPr>
        <w:softHyphen/>
        <w:t>ных грузов весом</w:t>
      </w:r>
      <w:r w:rsidRPr="00E14102">
        <w:rPr>
          <w:color w:val="000000" w:themeColor="text1"/>
          <w:sz w:val="16"/>
          <w:szCs w:val="16"/>
          <w:vertAlign w:val="superscript"/>
        </w:rPr>
        <w:t>1</w:t>
      </w:r>
      <w:r w:rsidRPr="00E14102">
        <w:rPr>
          <w:color w:val="000000" w:themeColor="text1"/>
          <w:sz w:val="16"/>
          <w:szCs w:val="16"/>
        </w:rPr>
        <w:t xml:space="preserve"> до 1000 кг.</w:t>
      </w:r>
    </w:p>
    <w:p w14:paraId="4ECDE9D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Выписка из заключения по госиспытаниям.</w:t>
      </w:r>
    </w:p>
    <w:p w14:paraId="4C918C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«Установку для сбрасывания мотоциклов «Харлей Дэвидсон» с колясками на парашютах с самолета ТБ-1 — принять на снабжение ВВС РККА и допустить</w:t>
      </w:r>
      <w:r w:rsidRPr="00E14102">
        <w:rPr>
          <w:color w:val="000000" w:themeColor="text1"/>
          <w:sz w:val="16"/>
          <w:szCs w:val="16"/>
          <w:vertAlign w:val="subscript"/>
        </w:rPr>
        <w:t>е</w:t>
      </w:r>
      <w:r w:rsidRPr="00E14102">
        <w:rPr>
          <w:color w:val="000000" w:themeColor="text1"/>
          <w:sz w:val="16"/>
          <w:szCs w:val="16"/>
        </w:rPr>
        <w:t>к войсковым испытаниям»...</w:t>
      </w:r>
    </w:p>
    <w:p w14:paraId="06CA62E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w:t>
      </w:r>
    </w:p>
    <w:p w14:paraId="1D4021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ком. войсками ЛВО Флоровский.</w:t>
      </w:r>
    </w:p>
    <w:p w14:paraId="404510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 комиссии:</w:t>
      </w:r>
    </w:p>
    <w:p w14:paraId="349389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Врид. нач. 1 управления Штаба</w:t>
      </w:r>
    </w:p>
    <w:p w14:paraId="1B0629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ВВС РККА Лазаревич.</w:t>
      </w:r>
    </w:p>
    <w:p w14:paraId="566B7E3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Представитель ОО ЛВО Смирнов. Нач. 5 отдела НИИ ВВС РККА Соловьев. Мл. инженер 5 отдела НИИ ВВС РККА Данилов. Командир ОО № 3 Бойцов.</w:t>
      </w:r>
    </w:p>
    <w:p w14:paraId="74D6A90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нач. Бюро вооружений Штаба РККА Золотое. Представитель ПУРКК'А Октябрьский. ( Нач. Осконпробюро ВВС РККА Гроховский.</w:t>
      </w:r>
    </w:p>
    <w:p w14:paraId="6A1F34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октября 1932 г.</w:t>
      </w:r>
    </w:p>
    <w:p w14:paraId="4A2388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24. Установка для 76-мм пушек образца 1913 г.</w:t>
      </w:r>
    </w:p>
    <w:p w14:paraId="503406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Установка ПД-0 предназначена для подвески под самолетом типа ТБ-1 одной 76-мм пушки образца 1913 г., транспортировки по воз</w:t>
      </w:r>
      <w:r w:rsidRPr="00E14102">
        <w:rPr>
          <w:color w:val="000000" w:themeColor="text1"/>
          <w:sz w:val="16"/>
          <w:szCs w:val="16"/>
        </w:rPr>
        <w:softHyphen/>
        <w:t>духу и сбрасывания методом срыва на парашюте д = 25 м в целях придания артиллерийских средств действующему в тылу противника авиадесанту.</w:t>
      </w:r>
    </w:p>
    <w:p w14:paraId="76E449A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Пушка подвешивается под фюзеляжем самолета.</w:t>
      </w:r>
    </w:p>
    <w:p w14:paraId="2EE9F31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Сзади, лод фюзеляжем, на балке Дер-13 подвешивается цилиндр с уложенным и соединенным с пушкой парашютом.</w:t>
      </w:r>
    </w:p>
    <w:p w14:paraId="601FA3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Подойдя к назначенному месту, летнаб, действуя «методом сры</w:t>
      </w:r>
      <w:r w:rsidRPr="00E14102">
        <w:rPr>
          <w:color w:val="000000" w:themeColor="text1"/>
          <w:sz w:val="16"/>
          <w:szCs w:val="16"/>
        </w:rPr>
        <w:softHyphen/>
        <w:t>ва», сбрасывает пушку на парашюте.</w:t>
      </w:r>
    </w:p>
    <w:p w14:paraId="38CB9AE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Выписка из заключения по госиспытаниям.</w:t>
      </w:r>
    </w:p>
    <w:p w14:paraId="7602618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«Установку для сбрасывания полковой 76-мм пушки — принять на снабжение ВВС РККА и допустить к войсковым испытаниям»...</w:t>
      </w:r>
    </w:p>
    <w:p w14:paraId="5463D7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w:t>
      </w:r>
    </w:p>
    <w:p w14:paraId="154A503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ком. войсками ЛВО Флоровский.</w:t>
      </w:r>
    </w:p>
    <w:p w14:paraId="5EF4661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 комиссии:</w:t>
      </w:r>
    </w:p>
    <w:p w14:paraId="60FD297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Врид. нач. 1 управления Штаба</w:t>
      </w:r>
    </w:p>
    <w:p w14:paraId="6B2D95E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ВВС РККА Лазаревич. Нач. 5 отдела НИИ ВВС РККА Соловьев. Мл. инженер 5 отдела НИИ ВВС РККА Данилов. , Командир ОО № 3 Бойцов.</w:t>
      </w:r>
    </w:p>
    <w:p w14:paraId="4EDC6B3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нач. Бюро вооружений Штаба РККА Золотое. Представитель ПУРКК'А Октябрьский. Нач. Осконпробюро ВВС РККА Гроховский. 'Представитель ОО ЛВО Смирнов.</w:t>
      </w:r>
    </w:p>
    <w:p w14:paraId="79096A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октября 1932 г.</w:t>
      </w:r>
    </w:p>
    <w:p w14:paraId="7955198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25. Установка для сбрасывания танкетки английского образца системы Карден-Ллойд.</w:t>
      </w:r>
    </w:p>
    <w:p w14:paraId="50C1B62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Установка предназначена для подвески под самолетом типа ТБ-1 2-местной танкетки английского образца, транспортировки по воз</w:t>
      </w:r>
      <w:r w:rsidRPr="00E14102">
        <w:rPr>
          <w:color w:val="000000" w:themeColor="text1"/>
          <w:sz w:val="16"/>
          <w:szCs w:val="16"/>
        </w:rPr>
        <w:softHyphen/>
        <w:t>духу и сбрасывания на парашюте д = 30 м.</w:t>
      </w:r>
    </w:p>
    <w:p w14:paraId="3275A2C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Применение установки открывает возможность парашютного сбрасывания в тылу противника легких мото-мехсоединений или от</w:t>
      </w:r>
      <w:r w:rsidRPr="00E14102">
        <w:rPr>
          <w:color w:val="000000" w:themeColor="text1"/>
          <w:sz w:val="16"/>
          <w:szCs w:val="16"/>
        </w:rPr>
        <w:softHyphen/>
        <w:t>дельных мото-мехединиц для целей разведки и связи, прикрытия, веде</w:t>
      </w:r>
      <w:r w:rsidRPr="00E14102">
        <w:rPr>
          <w:color w:val="000000" w:themeColor="text1"/>
          <w:sz w:val="16"/>
          <w:szCs w:val="16"/>
        </w:rPr>
        <w:softHyphen/>
        <w:t>ния огня и поддержки ранее высаженных или сброшенных авиадесант</w:t>
      </w:r>
      <w:r w:rsidRPr="00E14102">
        <w:rPr>
          <w:color w:val="000000" w:themeColor="text1"/>
          <w:sz w:val="16"/>
          <w:szCs w:val="16"/>
        </w:rPr>
        <w:softHyphen/>
        <w:t>ных подразделений.</w:t>
      </w:r>
    </w:p>
    <w:p w14:paraId="65F17C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Цилиндр с уложенным парашютом подвешивается в замке балки Дер-13 позади танкетки.</w:t>
      </w:r>
    </w:p>
    <w:p w14:paraId="7C4282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Сбрасывание производится летнабом «методом срыва».</w:t>
      </w:r>
    </w:p>
    <w:p w14:paraId="1E94A1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Выписка из заключения по госиспытаниям.</w:t>
      </w:r>
    </w:p>
    <w:p w14:paraId="46F7CB7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«Установку для сбрасывания танкетки английского образца — принять на снабжение ВВС РККА и допустить к войсковым испыта</w:t>
      </w:r>
      <w:r w:rsidRPr="00E14102">
        <w:rPr>
          <w:color w:val="000000" w:themeColor="text1"/>
          <w:sz w:val="16"/>
          <w:szCs w:val="16"/>
        </w:rPr>
        <w:softHyphen/>
        <w:t>ниям»...</w:t>
      </w:r>
    </w:p>
    <w:p w14:paraId="2B4523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w:t>
      </w:r>
    </w:p>
    <w:p w14:paraId="166A9B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ком. войсками ЛВО Флоренский.</w:t>
      </w:r>
    </w:p>
    <w:p w14:paraId="12CEDE0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w:t>
      </w:r>
    </w:p>
    <w:p w14:paraId="252817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Врид. нач. 1 управления Штаба ВВС РККА Лазаревич.</w:t>
      </w:r>
    </w:p>
    <w:p w14:paraId="0E25A68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5 отдела НИИ ВВС РККА Соловьев.</w:t>
      </w:r>
    </w:p>
    <w:p w14:paraId="557181F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Мл. инженер 5 отдела НИИ ВВС РККА Данилов,</w:t>
      </w:r>
    </w:p>
    <w:p w14:paraId="7E930E0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 ОО № 3 Бойцов.</w:t>
      </w:r>
    </w:p>
    <w:p w14:paraId="6A8D4E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нач. Бюро вооружений Штаба РККА Золотое.</w:t>
      </w:r>
    </w:p>
    <w:p w14:paraId="4A0B39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Представитель ПУРКК'А Октябрьский.</w:t>
      </w:r>
    </w:p>
    <w:p w14:paraId="2BA54D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Осконпробюро ВВС РККА Гроховский.</w:t>
      </w:r>
    </w:p>
    <w:p w14:paraId="7F954C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Представитель ОО ЛВО Смирнов.</w:t>
      </w:r>
    </w:p>
    <w:p w14:paraId="1DB750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октября 1932 г.</w:t>
      </w:r>
    </w:p>
    <w:p w14:paraId="1CA5142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26. Установка для п/грузового автомобиля «Форд-А».</w:t>
      </w:r>
    </w:p>
    <w:p w14:paraId="04032A6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Установка ПД-А предназначена для подвески под самолетом типа ТБ-1 л/грузового автомобиля «Форд-А», транспортировки и сбрасы</w:t>
      </w:r>
      <w:r w:rsidRPr="00E14102">
        <w:rPr>
          <w:color w:val="000000" w:themeColor="text1"/>
          <w:sz w:val="16"/>
          <w:szCs w:val="16"/>
        </w:rPr>
        <w:softHyphen/>
        <w:t>вания на парашюте д = 30 м, для придания авиадесантным подразде</w:t>
      </w:r>
      <w:r w:rsidRPr="00E14102">
        <w:rPr>
          <w:color w:val="000000" w:themeColor="text1"/>
          <w:sz w:val="16"/>
          <w:szCs w:val="16"/>
        </w:rPr>
        <w:softHyphen/>
        <w:t>лениям, действующим в тылу противника, автотранспортных средств в целях перевозки бойцов и грузов.</w:t>
      </w:r>
    </w:p>
    <w:p w14:paraId="087DC2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Автомашина «Форд-А» подвергается некоторому видоизменению, заключающемуся в том, что взамен снятого заднего сидения, ставит</w:t>
      </w:r>
      <w:r w:rsidRPr="00E14102">
        <w:rPr>
          <w:color w:val="000000" w:themeColor="text1"/>
          <w:sz w:val="16"/>
          <w:szCs w:val="16"/>
        </w:rPr>
        <w:softHyphen/>
        <w:t>ся легкая рама с кузовом, складывающимся во время полета, для уменьшения лобового сопротивления, а на оси ставится добавочные амортизаторы, рассчитанные на нагрузку в 1 т.</w:t>
      </w:r>
    </w:p>
    <w:p w14:paraId="5B88500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Автомашина подвешивается под фюзеляжем самолета.</w:t>
      </w:r>
    </w:p>
    <w:p w14:paraId="177297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Цилиндр с уложенным и соединенным тросами с автомашиной — парашютом — подвешивается сзади автомашины.</w:t>
      </w:r>
    </w:p>
    <w:p w14:paraId="2226034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Сбрасывание осуществляется летнабом «методом срыва», т. е, сбрасыванием цилиндра с парашютом и последующим отделением из-под самолета автомобиля. </w:t>
      </w:r>
    </w:p>
    <w:p w14:paraId="2757DC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Выписка из заключения по госиспытаниям.</w:t>
      </w:r>
    </w:p>
    <w:p w14:paraId="70B15A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«Установку для сбрасывания на парашюте автомобиля «Форд» — принять на снабжение ВВС РККА и передать на войсковые испы</w:t>
      </w:r>
      <w:r w:rsidRPr="00E14102">
        <w:rPr>
          <w:color w:val="000000" w:themeColor="text1"/>
          <w:sz w:val="16"/>
          <w:szCs w:val="16"/>
        </w:rPr>
        <w:softHyphen/>
        <w:t>тания»...</w:t>
      </w:r>
    </w:p>
    <w:p w14:paraId="5EE622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w:t>
      </w:r>
    </w:p>
    <w:p w14:paraId="3DD2A07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ком. войсками ЛВО Флоровский.</w:t>
      </w:r>
    </w:p>
    <w:p w14:paraId="5461D3D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Члены комиссии:</w:t>
      </w:r>
    </w:p>
    <w:p w14:paraId="480888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Врид. нач. 1 управления Штаба</w:t>
      </w:r>
    </w:p>
    <w:p w14:paraId="0A7680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ВВС РККА Лазаревич.</w:t>
      </w:r>
    </w:p>
    <w:p w14:paraId="7F30DF1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 5 отдела НИИ ВВС РККА Соловьев.</w:t>
      </w:r>
    </w:p>
    <w:p w14:paraId="10EAC6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Мл. инженер 5 отдела НИИ ВВС РККА Данилов.</w:t>
      </w:r>
    </w:p>
    <w:p w14:paraId="19C08F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Командир ОО № 3 Бойцов.</w:t>
      </w:r>
    </w:p>
    <w:p w14:paraId="0B4EDAD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нач. Бюро вооружений Штаба РККА Золотой. Представитель ПУРКК'А Октябрьский. Нач. Осконпробюро ВВС РККА Гроховский. ! " Представитель ОО ЛВО Смирнов.</w:t>
      </w:r>
    </w:p>
    <w:p w14:paraId="6B2EA8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октября 1932 г.</w:t>
      </w:r>
    </w:p>
    <w:p w14:paraId="7802FF0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27. Универсальный истребитель.</w:t>
      </w:r>
    </w:p>
    <w:p w14:paraId="25FEA92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До настоящего времени истребительная авиация основной своей задачей имела — ведение воздушного боя.</w:t>
      </w:r>
    </w:p>
    <w:p w14:paraId="35AC0F8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Разрешенная проблема загрузки истребительных самолетов, рас</w:t>
      </w:r>
      <w:r w:rsidRPr="00E14102">
        <w:rPr>
          <w:color w:val="000000" w:themeColor="text1"/>
          <w:sz w:val="16"/>
          <w:szCs w:val="16"/>
        </w:rPr>
        <w:softHyphen/>
        <w:t>ширяет возможности боевого применения истребительной авиации в следующих вариантах:</w:t>
      </w:r>
    </w:p>
    <w:p w14:paraId="24DC065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Подвеска под истребителем тяжелых бомб весом до 500 кг, для бомбометания с пикирующего полета по целям, значительно повышает процент поражаемости в сравнении с обычными способами бомбометания.</w:t>
      </w:r>
    </w:p>
    <w:p w14:paraId="27EBBA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Подвеска ВАП'ов и ДА'П'ов весом до 500 кг для разбрызгивания ОВ и постановки дымзавес.</w:t>
      </w:r>
    </w:p>
    <w:p w14:paraId="1959EA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Подвеска под истребителем дополнительных бензобаков для переливки горючего в основной бак самолета, что увеличивает ра</w:t>
      </w:r>
      <w:r w:rsidRPr="00E14102">
        <w:rPr>
          <w:color w:val="000000" w:themeColor="text1"/>
          <w:sz w:val="16"/>
          <w:szCs w:val="16"/>
        </w:rPr>
        <w:softHyphen/>
        <w:t>диус действия и, тем самым позволяет сопровождать тяжелые само</w:t>
      </w:r>
      <w:r w:rsidRPr="00E14102">
        <w:rPr>
          <w:color w:val="000000" w:themeColor="text1"/>
          <w:sz w:val="16"/>
          <w:szCs w:val="16"/>
        </w:rPr>
        <w:softHyphen/>
        <w:t>леты в глубокий тыл противника.</w:t>
      </w:r>
    </w:p>
    <w:p w14:paraId="2980C4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Разрешенная проблема снаряжения истребительного самолета тя</w:t>
      </w:r>
      <w:r w:rsidRPr="00E14102">
        <w:rPr>
          <w:color w:val="000000" w:themeColor="text1"/>
          <w:sz w:val="16"/>
          <w:szCs w:val="16"/>
        </w:rPr>
        <w:softHyphen/>
        <w:t>желыми бомбами—дает возможность подвешивать к истребитель</w:t>
      </w:r>
      <w:r w:rsidRPr="00E14102">
        <w:rPr>
          <w:color w:val="000000" w:themeColor="text1"/>
          <w:sz w:val="16"/>
          <w:szCs w:val="16"/>
        </w:rPr>
        <w:softHyphen/>
        <w:t>ному самолету бомбы в 100, 2СО и 250 кг, допуская нагрузку в 500 кг на один самолет.</w:t>
      </w:r>
    </w:p>
    <w:p w14:paraId="4BFC97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Если до настоящего времени истребительнаТ) авиация имела своей задачей — ведение воздушного боя, то с разрешением задачи под</w:t>
      </w:r>
      <w:r w:rsidRPr="00E14102">
        <w:rPr>
          <w:color w:val="000000" w:themeColor="text1"/>
          <w:sz w:val="16"/>
          <w:szCs w:val="16"/>
        </w:rPr>
        <w:softHyphen/>
        <w:t>вески тяжелых бомб — перед истребительной авиацией возникают более широкие возможности ее боевого применения.</w:t>
      </w:r>
    </w:p>
    <w:p w14:paraId="3441D7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Подвеска к истребительным самолетам ВАП'ов и ДАП'ов, а также дополнительных бензобаков, что также практически разрешено, — еще более увеличивают боевые возможности истребительной авиации.</w:t>
      </w:r>
    </w:p>
    <w:p w14:paraId="5D08224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Варианты применения.</w:t>
      </w:r>
    </w:p>
    <w:p w14:paraId="1C1728E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При бомбометании тяжелыми бомбами аэродромов противни</w:t>
      </w:r>
      <w:r w:rsidRPr="00E14102">
        <w:rPr>
          <w:color w:val="000000" w:themeColor="text1"/>
          <w:sz w:val="16"/>
          <w:szCs w:val="16"/>
        </w:rPr>
        <w:softHyphen/>
        <w:t>ка, истребитель превращаясь в бомбардировщика, после бомбомета</w:t>
      </w:r>
      <w:r w:rsidRPr="00E14102">
        <w:rPr>
          <w:color w:val="000000" w:themeColor="text1"/>
          <w:sz w:val="16"/>
          <w:szCs w:val="16"/>
        </w:rPr>
        <w:softHyphen/>
        <w:t>ния оставляет за собой преимущества в скорости и маневренности, имея возможность вести воздушный бой, в то же время являясь мало уязвимой целью для огня противника.</w:t>
      </w:r>
    </w:p>
    <w:p w14:paraId="3F88E1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Бомбометание с пикирующего полета по мостам, узловым ж.-д. станциям, взрывскладам, населенным пунктам, аэродромам и другим об ектам, дает преимущества перед тяжелыми самолетами, в получе</w:t>
      </w:r>
      <w:r w:rsidRPr="00E14102">
        <w:rPr>
          <w:color w:val="000000" w:themeColor="text1"/>
          <w:sz w:val="16"/>
          <w:szCs w:val="16"/>
        </w:rPr>
        <w:softHyphen/>
        <w:t>нии более высокого процента попадания по целям, так как тяжелая бомба, сброшенная с пикирующего полета, представляет собою хо</w:t>
      </w:r>
      <w:r w:rsidRPr="00E14102">
        <w:rPr>
          <w:color w:val="000000" w:themeColor="text1"/>
          <w:sz w:val="16"/>
          <w:szCs w:val="16"/>
        </w:rPr>
        <w:softHyphen/>
        <w:t>рошо нацеленный, летящий с большой скоростью снаряд.</w:t>
      </w:r>
    </w:p>
    <w:p w14:paraId="0130DC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Бомбометание истребителями по морским судам с пикирую</w:t>
      </w:r>
      <w:r w:rsidRPr="00E14102">
        <w:rPr>
          <w:color w:val="000000" w:themeColor="text1"/>
          <w:sz w:val="16"/>
          <w:szCs w:val="16"/>
        </w:rPr>
        <w:softHyphen/>
        <w:t>щего полета обеспечивает надежное разрушение кораблей тахлм ка</w:t>
      </w:r>
      <w:r w:rsidRPr="00E14102">
        <w:rPr>
          <w:color w:val="000000" w:themeColor="text1"/>
          <w:sz w:val="16"/>
          <w:szCs w:val="16"/>
        </w:rPr>
        <w:softHyphen/>
        <w:t>либром как 250 кг бомба.</w:t>
      </w:r>
    </w:p>
    <w:p w14:paraId="4A7668E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Бомбометание по 'Строям бомбардировочных соединений про</w:t>
      </w:r>
      <w:r w:rsidRPr="00E14102">
        <w:rPr>
          <w:color w:val="000000" w:themeColor="text1"/>
          <w:sz w:val="16"/>
          <w:szCs w:val="16"/>
        </w:rPr>
        <w:softHyphen/>
        <w:t>тивника даег возможность надежного их поражения.</w:t>
      </w:r>
    </w:p>
    <w:p w14:paraId="3BA3A7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Взрывная волна от действия тяжелых бомб, настолько должна быть разрушительна, что попавшие в ее сферу самолеты противника, будут уничтожены.</w:t>
      </w:r>
    </w:p>
    <w:p w14:paraId="105C1F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Истребитель, вооруженный бомбой, может быть применен в операции по захвату аэродрома противника — в целях использова</w:t>
      </w:r>
      <w:r w:rsidRPr="00E14102">
        <w:rPr>
          <w:color w:val="000000" w:themeColor="text1"/>
          <w:sz w:val="16"/>
          <w:szCs w:val="16"/>
        </w:rPr>
        <w:softHyphen/>
        <w:t>ния его для посадочного десанта.</w:t>
      </w:r>
    </w:p>
    <w:p w14:paraId="39361B1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Подвешенный под истребительный самолет ВАП позволяет в течении 6 секунд заразить площадь в три квадратных километра. Два подвешенных ВА'П'а — увеличивают площадь поражения до 6'км.</w:t>
      </w:r>
    </w:p>
    <w:p w14:paraId="6BB9EC4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ВАП имеет емкость ......... 140 л.</w:t>
      </w:r>
    </w:p>
    <w:p w14:paraId="56AAAFC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Вес пустого прибора ........ 29 кг.</w:t>
      </w:r>
    </w:p>
    <w:p w14:paraId="6D26E19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Вес с нагрузкой .......... 182 »</w:t>
      </w:r>
    </w:p>
    <w:p w14:paraId="07A8B4A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Балка ............. 7 »</w:t>
      </w:r>
    </w:p>
    <w:p w14:paraId="6E26FBA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Всего. . . 218 кг.</w:t>
      </w:r>
    </w:p>
    <w:p w14:paraId="6891FE9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Подвешенный под самолетом ДАП позволяет с выс( 100 м поставить дымзавесу длиною 2,5—3 км.</w:t>
      </w:r>
    </w:p>
    <w:p w14:paraId="43E1435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Два ДАП'а увеличивают длину дымзавесы до 5—б км. ДАП имеет емкость . ....... 180 лит.</w:t>
      </w:r>
    </w:p>
    <w:p w14:paraId="33E25CC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Вес пустого прибора ........ 72 кг.</w:t>
      </w:r>
    </w:p>
    <w:p w14:paraId="0E0EA3F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Вес балки ............ 7 »</w:t>
      </w:r>
    </w:p>
    <w:p w14:paraId="62B470B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Редуктор (на два ДА'П'а) ..... 3 »</w:t>
      </w:r>
    </w:p>
    <w:p w14:paraId="3F5471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Проводка (на один) ........ 1,5 »</w:t>
      </w:r>
    </w:p>
    <w:p w14:paraId="2594DE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Подвешенные под истребительным самолетом, бензиновые ба</w:t>
      </w:r>
      <w:r w:rsidRPr="00E14102">
        <w:rPr>
          <w:color w:val="000000" w:themeColor="text1"/>
          <w:sz w:val="16"/>
          <w:szCs w:val="16"/>
        </w:rPr>
        <w:softHyphen/>
        <w:t>ки увеличивают продолжительность полета на 4,5 часа, а, следова</w:t>
      </w:r>
      <w:r w:rsidRPr="00E14102">
        <w:rPr>
          <w:color w:val="000000" w:themeColor="text1"/>
          <w:sz w:val="16"/>
          <w:szCs w:val="16"/>
        </w:rPr>
        <w:softHyphen/>
        <w:t>тельно, и радиус действия, тем самым, позволяя истребителям сопро</w:t>
      </w:r>
      <w:r w:rsidRPr="00E14102">
        <w:rPr>
          <w:color w:val="000000" w:themeColor="text1"/>
          <w:sz w:val="16"/>
          <w:szCs w:val="16"/>
        </w:rPr>
        <w:softHyphen/>
        <w:t>вождать тяжелые самолеты в глубокий тыл противника.</w:t>
      </w:r>
    </w:p>
    <w:p w14:paraId="5B2D87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Вес конструкции:</w:t>
      </w:r>
    </w:p>
    <w:p w14:paraId="7CA0F3E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Бака — 2 шт. ........... 32 кг.</w:t>
      </w:r>
    </w:p>
    <w:p w14:paraId="45B9A3C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Балки — 2 шт. .......... 14 »</w:t>
      </w:r>
    </w:p>
    <w:p w14:paraId="7DCD18C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Бензопроводки .......... 6 »</w:t>
      </w:r>
    </w:p>
    <w:p w14:paraId="403C846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Всего. - . 52 кг.</w:t>
      </w:r>
    </w:p>
    <w:p w14:paraId="6CB1266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Об'ект Г-50 прошел заводские испытания</w:t>
      </w:r>
    </w:p>
    <w:p w14:paraId="631C4C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28. Планерлет.</w:t>
      </w:r>
    </w:p>
    <w:p w14:paraId="4FA39B9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Г-31 — омоторенный планер большой грузопод'емности, снаб</w:t>
      </w:r>
      <w:r w:rsidRPr="00E14102">
        <w:rPr>
          <w:color w:val="000000" w:themeColor="text1"/>
          <w:sz w:val="16"/>
          <w:szCs w:val="16"/>
        </w:rPr>
        <w:softHyphen/>
        <w:t>женный маломощным мотором М-11 100 НР, — предназначен для перевозки воздушно-десантной группы в количестве 16 чел. или груза, весом до 1500 кг (вооружение, горючее, боеприпасы, продовольствие и др.).</w:t>
      </w:r>
    </w:p>
    <w:p w14:paraId="5294B4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Осуществление этого эксперимента, допускающего нагрузку в 30 кг на 1 НР мощности мотора, дает полную уверенность в возможности создания десантно-транспортного самолета на 200-— 250 чел,, при наличии такого мотора, как М-34 Р в 1200 НР.</w:t>
      </w:r>
    </w:p>
    <w:p w14:paraId="2DE2C7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Деревянная конструкция планерлета Г-31, по своей экономично</w:t>
      </w:r>
      <w:r w:rsidRPr="00E14102">
        <w:rPr>
          <w:color w:val="000000" w:themeColor="text1"/>
          <w:sz w:val="16"/>
          <w:szCs w:val="16"/>
        </w:rPr>
        <w:softHyphen/>
        <w:t>сти дает возможность массового применения для десантных целей.</w:t>
      </w:r>
    </w:p>
    <w:p w14:paraId="701318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ХАРАКТЕРИСТИКИ ТРАНСПОРТНОГО ПЛАНЕРЛЕТА Г-31. А. Основные данные.</w:t>
      </w:r>
    </w:p>
    <w:p w14:paraId="279A331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Размах крыла (полный) ........ 28 м</w:t>
      </w:r>
    </w:p>
    <w:p w14:paraId="61A7306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Длина центроплана .......... 12 „</w:t>
      </w:r>
    </w:p>
    <w:p w14:paraId="65F8D5F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Площадь крыла (полная) ... -.-... 67,6 м</w:t>
      </w:r>
      <w:r w:rsidRPr="00E14102">
        <w:rPr>
          <w:color w:val="000000" w:themeColor="text1"/>
          <w:sz w:val="16"/>
          <w:szCs w:val="16"/>
          <w:vertAlign w:val="superscript"/>
        </w:rPr>
        <w:t>5</w:t>
      </w:r>
    </w:p>
    <w:p w14:paraId="1634D91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центроплана ......... 38,4</w:t>
      </w:r>
    </w:p>
    <w:p w14:paraId="047A27D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одного элерона ....... 4,05 м</w:t>
      </w:r>
      <w:r w:rsidRPr="00E14102">
        <w:rPr>
          <w:color w:val="000000" w:themeColor="text1"/>
          <w:sz w:val="16"/>
          <w:szCs w:val="16"/>
          <w:vertAlign w:val="superscript"/>
        </w:rPr>
        <w:t>2</w:t>
      </w:r>
    </w:p>
    <w:p w14:paraId="5D56678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вертик. оперения ....... 4,1</w:t>
      </w:r>
    </w:p>
    <w:p w14:paraId="56CF51E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рулей поворота ........ 2,28</w:t>
      </w:r>
    </w:p>
    <w:p w14:paraId="6A86084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киля ............. 1,33</w:t>
      </w:r>
    </w:p>
    <w:p w14:paraId="32F83AD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гориз. оперения ....... 9,27</w:t>
      </w:r>
    </w:p>
    <w:p w14:paraId="77F6735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 стабилизаторов ....... 3,3</w:t>
      </w:r>
    </w:p>
    <w:p w14:paraId="44B4C3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 рулей высоты ........ 5,776 м</w:t>
      </w:r>
      <w:r w:rsidRPr="00E14102">
        <w:rPr>
          <w:color w:val="000000" w:themeColor="text1"/>
          <w:sz w:val="16"/>
          <w:szCs w:val="16"/>
          <w:vertAlign w:val="superscript"/>
        </w:rPr>
        <w:t>г</w:t>
      </w:r>
    </w:p>
    <w:p w14:paraId="65BCE4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 Длина самолета (полная) ........ 12,376 м</w:t>
      </w:r>
    </w:p>
    <w:p w14:paraId="1A88D6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Б. Весовые данные.</w:t>
      </w:r>
    </w:p>
    <w:p w14:paraId="0E869C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Вес полный полетный ....... 2000 кг</w:t>
      </w:r>
    </w:p>
    <w:p w14:paraId="5D229D4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 самолета пустого ....... 1600 „</w:t>
      </w:r>
    </w:p>
    <w:p w14:paraId="13F87D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 наименьший полетный ..... 1750 „</w:t>
      </w:r>
    </w:p>
    <w:p w14:paraId="3EED568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 полезн. нагрузки ....... 1400 „</w:t>
      </w:r>
    </w:p>
    <w:p w14:paraId="321E91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 % веса полезной нагрузки к пол-</w:t>
      </w:r>
    </w:p>
    <w:p w14:paraId="59C593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ному полетному весу ........ 47</w:t>
      </w:r>
    </w:p>
    <w:p w14:paraId="0BBD15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 % веса пустого к полному полетному весу ............. 53</w:t>
      </w:r>
    </w:p>
    <w:p w14:paraId="6FE3289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Нагрузка на 1 м* крыла ...... 44,4 кг</w:t>
      </w:r>
    </w:p>
    <w:p w14:paraId="7898BAE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8. на 1 м* при наименьшем полетном весе ........... 25,7 „</w:t>
      </w:r>
    </w:p>
    <w:p w14:paraId="164774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9. Ц. т. при наименьшем полетном весе 39,0% САХ 10. Ц. т. при полном полетном весе . . 35,0%</w:t>
      </w:r>
    </w:p>
    <w:p w14:paraId="4E45B1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Полетные данные.</w:t>
      </w:r>
    </w:p>
    <w:p w14:paraId="62B0809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Скорость крейсерская ...... 101 км'ч.</w:t>
      </w:r>
    </w:p>
    <w:p w14:paraId="2841E6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 планирования ..... 70 ,</w:t>
      </w:r>
    </w:p>
    <w:p w14:paraId="0338F3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 максимальная ..... 120</w:t>
      </w:r>
    </w:p>
    <w:p w14:paraId="3ACEF1E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 посадочная ....... 40—45 км/ч.</w:t>
      </w:r>
    </w:p>
    <w:p w14:paraId="30243AB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Дальность полета ......... 2000 км</w:t>
      </w:r>
    </w:p>
    <w:p w14:paraId="78EE38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Запас горючего на ........ 20 ч.</w:t>
      </w:r>
    </w:p>
    <w:p w14:paraId="65EC31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Потолок ............. 5000 м</w:t>
      </w:r>
    </w:p>
    <w:p w14:paraId="3126F6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29. Применение самолета ТБ-3 для парашютно-десантных и тра.нс-портно-десантных операций,</w:t>
      </w:r>
    </w:p>
    <w:p w14:paraId="3ED4B2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Работа Экспериментального института над вопросами применения самолета ТБ-3 для 'парашютно-десантных и транспортно-десантных целей, — открывают возможности использования самолета ТБ-3 как транспортно-десантного корабля, и расширяет варианты тактического применения бомбардировочного самолета для организации массовой десантной операции.</w:t>
      </w:r>
    </w:p>
    <w:p w14:paraId="00D9BCB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Проведенные государственные испытания, полностью подтвер</w:t>
      </w:r>
      <w:r w:rsidRPr="00E14102">
        <w:rPr>
          <w:color w:val="000000" w:themeColor="text1"/>
          <w:sz w:val="16"/>
          <w:szCs w:val="16"/>
        </w:rPr>
        <w:softHyphen/>
        <w:t>дили возможность размещения в самолете ТБ-3 4М-17 десантного от</w:t>
      </w:r>
      <w:r w:rsidRPr="00E14102">
        <w:rPr>
          <w:color w:val="000000" w:themeColor="text1"/>
          <w:sz w:val="16"/>
          <w:szCs w:val="16"/>
        </w:rPr>
        <w:softHyphen/>
        <w:t>ряда в количестве 20, 25, 31, 40 и 50 человек, переброски его по воз</w:t>
      </w:r>
      <w:r w:rsidRPr="00E14102">
        <w:rPr>
          <w:color w:val="000000" w:themeColor="text1"/>
          <w:sz w:val="16"/>
          <w:szCs w:val="16"/>
        </w:rPr>
        <w:softHyphen/>
        <w:t>духу и последующего сбрасывания на парашютах или посадки в тылу противника.</w:t>
      </w:r>
    </w:p>
    <w:p w14:paraId="3C29EA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Сбрасывание 50 чел. производится в два захода (по 25 чел.) с высоты 800 м и осуществляется по времени в 12—16 сек., давая куч</w:t>
      </w:r>
      <w:r w:rsidRPr="00E14102">
        <w:rPr>
          <w:color w:val="000000" w:themeColor="text1"/>
          <w:sz w:val="16"/>
          <w:szCs w:val="16"/>
        </w:rPr>
        <w:softHyphen/>
        <w:t>ное приземление отряда на площади 1 км</w:t>
      </w:r>
      <w:r w:rsidRPr="00E14102">
        <w:rPr>
          <w:color w:val="000000" w:themeColor="text1"/>
          <w:sz w:val="16"/>
          <w:szCs w:val="16"/>
          <w:vertAlign w:val="superscript"/>
        </w:rPr>
        <w:t>2</w:t>
      </w:r>
      <w:r w:rsidRPr="00E14102">
        <w:rPr>
          <w:color w:val="000000" w:themeColor="text1"/>
          <w:sz w:val="16"/>
          <w:szCs w:val="16"/>
        </w:rPr>
        <w:t>.</w:t>
      </w:r>
    </w:p>
    <w:p w14:paraId="2F1C2C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Посадка самолета с десантом производится на обычную аэро</w:t>
      </w:r>
      <w:r w:rsidRPr="00E14102">
        <w:rPr>
          <w:color w:val="000000" w:themeColor="text1"/>
          <w:sz w:val="16"/>
          <w:szCs w:val="16"/>
        </w:rPr>
        <w:softHyphen/>
        <w:t>дромную площадку, обладающую свободными подходами и отсут</w:t>
      </w:r>
      <w:r w:rsidRPr="00E14102">
        <w:rPr>
          <w:color w:val="000000" w:themeColor="text1"/>
          <w:sz w:val="16"/>
          <w:szCs w:val="16"/>
        </w:rPr>
        <w:softHyphen/>
        <w:t>ствием препятствий.</w:t>
      </w:r>
    </w:p>
    <w:p w14:paraId="66F6B1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Конструктивные данные самолета допускают указанную нагрузку, и при задней центровке 37,2% ^ пилотируется нормально, не выходя в части управляемости и устойчивости из пределов, обеспечивающих выполнение нормального сбрасывания десанта в воздухе.</w:t>
      </w:r>
    </w:p>
    <w:p w14:paraId="211052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РВС-СССР</w:t>
      </w:r>
    </w:p>
    <w:p w14:paraId="0A38EAF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НАЧАЛЬНИК</w:t>
      </w:r>
    </w:p>
    <w:p w14:paraId="449AB4A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ВОЕННЫХ ВОЗДУШНЫХ СИЛ</w:t>
      </w:r>
    </w:p>
    <w:p w14:paraId="7E109F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РККА</w:t>
      </w:r>
    </w:p>
    <w:p w14:paraId="5ECFDD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СЕКРЕТНО.</w:t>
      </w:r>
    </w:p>
    <w:p w14:paraId="6764254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Экз. № 1</w:t>
      </w:r>
    </w:p>
    <w:p w14:paraId="07F684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14 августа 1934 г. г. Москва, ул. Разина, 5.</w:t>
      </w:r>
    </w:p>
    <w:p w14:paraId="174465C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АКТ № 076</w:t>
      </w:r>
    </w:p>
    <w:p w14:paraId="360165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УТВЕРЖДЕНИЯ ГОСУДАРСТВЕННЫХ ИСПЫТАНИЙ.</w:t>
      </w:r>
    </w:p>
    <w:p w14:paraId="6E8C857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Отчет государственных испытаний самолета ТБ-3 4М-17 для парашютно-десантных и транспортно-десантных целей с десантом 20, 25, 31, 40 и 50 человек — утверждаю.</w:t>
      </w:r>
    </w:p>
    <w:p w14:paraId="1FE835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Начальнику УМТС и В обеспечить строевые части ВВС не</w:t>
      </w:r>
      <w:r w:rsidRPr="00E14102">
        <w:rPr>
          <w:color w:val="000000" w:themeColor="text1"/>
          <w:sz w:val="16"/>
          <w:szCs w:val="16"/>
        </w:rPr>
        <w:softHyphen/>
        <w:t>обходимыми материалами по оборудованию самолетов ТБ-3 4М-17 для десантных целей, -согласно приложенных при сем указаний.</w:t>
      </w:r>
    </w:p>
    <w:p w14:paraId="2A4982B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Начальнику УМТС и В впредь отработку эталона самолета ТБ-3 на следующий год, производить с учетом потребностей воздуш</w:t>
      </w:r>
      <w:r w:rsidRPr="00E14102">
        <w:rPr>
          <w:color w:val="000000" w:themeColor="text1"/>
          <w:sz w:val="16"/>
          <w:szCs w:val="16"/>
        </w:rPr>
        <w:softHyphen/>
        <w:t>но-десантной службы.</w:t>
      </w:r>
    </w:p>
    <w:p w14:paraId="61281A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Начальнику службы Особого назначения ВВС внедрить з строе</w:t>
      </w:r>
      <w:r w:rsidRPr="00E14102">
        <w:rPr>
          <w:color w:val="000000" w:themeColor="text1"/>
          <w:sz w:val="16"/>
          <w:szCs w:val="16"/>
        </w:rPr>
        <w:softHyphen/>
        <w:t>вые части военных ;воздушных сил настоящий материал по исполь</w:t>
      </w:r>
      <w:r w:rsidRPr="00E14102">
        <w:rPr>
          <w:color w:val="000000" w:themeColor="text1"/>
          <w:sz w:val="16"/>
          <w:szCs w:val="16"/>
        </w:rPr>
        <w:softHyphen/>
        <w:t>зованию самолета ТБ-3 4М-17 для воздушно-десантных целей, а так</w:t>
      </w:r>
      <w:r w:rsidRPr="00E14102">
        <w:rPr>
          <w:color w:val="000000" w:themeColor="text1"/>
          <w:sz w:val="16"/>
          <w:szCs w:val="16"/>
        </w:rPr>
        <w:softHyphen/>
        <w:t>же обеспечить необходимыми указаниями и инструкциями по приме</w:t>
      </w:r>
      <w:r w:rsidRPr="00E14102">
        <w:rPr>
          <w:color w:val="000000" w:themeColor="text1"/>
          <w:sz w:val="16"/>
          <w:szCs w:val="16"/>
        </w:rPr>
        <w:softHyphen/>
        <w:t>нению самолета ТБ-3 4М-17 для сбрасывания и транспортировки де</w:t>
      </w:r>
      <w:r w:rsidRPr="00E14102">
        <w:rPr>
          <w:color w:val="000000" w:themeColor="text1"/>
          <w:sz w:val="16"/>
          <w:szCs w:val="16"/>
        </w:rPr>
        <w:softHyphen/>
        <w:t>санта в 20, 25, 31, 40 и 50 чел.</w:t>
      </w:r>
    </w:p>
    <w:p w14:paraId="5A9E6A7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Начальник военных воздушных сил РККА Алкснис.</w:t>
      </w:r>
    </w:p>
    <w:p w14:paraId="0A66313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30. Тренировочная парашютная вышка.</w:t>
      </w:r>
    </w:p>
    <w:p w14:paraId="0D79EAD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Тренировочная парашютная вышка предназначена для обучения технике прыжка и приземления парашютистов и отработки в них во</w:t>
      </w:r>
      <w:r w:rsidRPr="00E14102">
        <w:rPr>
          <w:color w:val="000000" w:themeColor="text1"/>
          <w:sz w:val="16"/>
          <w:szCs w:val="16"/>
        </w:rPr>
        <w:softHyphen/>
        <w:t>левых качеств: смелости, решительности и уверенности в действиях.</w:t>
      </w:r>
    </w:p>
    <w:p w14:paraId="1933CD6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емировочная парашютная вышка (общий вид).</w:t>
      </w:r>
    </w:p>
    <w:p w14:paraId="735B5C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Парашютная зышка, являясь лучшим учебно-тренировочный при</w:t>
      </w:r>
      <w:r w:rsidRPr="00E14102">
        <w:rPr>
          <w:color w:val="000000" w:themeColor="text1"/>
          <w:sz w:val="16"/>
          <w:szCs w:val="16"/>
        </w:rPr>
        <w:softHyphen/>
        <w:t>способлением для массовой подготовки парашютистов в организа</w:t>
      </w:r>
      <w:r w:rsidRPr="00E14102">
        <w:rPr>
          <w:color w:val="000000" w:themeColor="text1"/>
          <w:sz w:val="16"/>
          <w:szCs w:val="16"/>
        </w:rPr>
        <w:softHyphen/>
        <w:t>циях Осоавиахима, аэроклубах и др. — вместе с тем служит для на</w:t>
      </w:r>
      <w:r w:rsidRPr="00E14102">
        <w:rPr>
          <w:color w:val="000000" w:themeColor="text1"/>
          <w:sz w:val="16"/>
          <w:szCs w:val="16"/>
        </w:rPr>
        <w:softHyphen/>
        <w:t>чального обучения бойцов парашютно-десантных подразделений, со</w:t>
      </w:r>
      <w:r w:rsidRPr="00E14102">
        <w:rPr>
          <w:color w:val="000000" w:themeColor="text1"/>
          <w:sz w:val="16"/>
          <w:szCs w:val="16"/>
        </w:rPr>
        <w:softHyphen/>
        <w:t>общая им навыки, необходимые для освоения прыжков с самолетов.</w:t>
      </w:r>
    </w:p>
    <w:p w14:paraId="12F89F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Конструктивно, тренировочная вышка представляет собой бревен</w:t>
      </w:r>
      <w:r w:rsidRPr="00E14102">
        <w:rPr>
          <w:color w:val="000000" w:themeColor="text1"/>
          <w:sz w:val="16"/>
          <w:szCs w:val="16"/>
        </w:rPr>
        <w:softHyphen/>
        <w:t>чатую трехгранную башню-пирамиду высотой в 25 и 35 м.</w:t>
      </w:r>
    </w:p>
    <w:p w14:paraId="6703152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Вышка разделена на 4 яруса-этажа, сообщающихся лестницами-Прыжки производятся 'с площадки 4 этажа на раскрытом пара</w:t>
      </w:r>
      <w:r w:rsidRPr="00E14102">
        <w:rPr>
          <w:color w:val="000000" w:themeColor="text1"/>
          <w:sz w:val="16"/>
          <w:szCs w:val="16"/>
        </w:rPr>
        <w:softHyphen/>
        <w:t>шюте д = 8 м с подвесной системой.</w:t>
      </w:r>
    </w:p>
    <w:p w14:paraId="7C5023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«Вышку для тренировки парашютистов принять на снабжение ВВС РКК'А»...</w:t>
      </w:r>
    </w:p>
    <w:p w14:paraId="296FFD7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Председатель комиссии:</w:t>
      </w:r>
    </w:p>
    <w:p w14:paraId="485C593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кои. войсками ЛВО Флоровский.</w:t>
      </w:r>
    </w:p>
    <w:p w14:paraId="19D82E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Врид. нач. 1 управления Штаба ВВС РККА Лазаревич Нач. 5 отдела НИИ ВВС РККА Соловьев. Мл. инженер 5 отдела НИИ ВВС РККА Данилов. Командир ОО № 3 Бойцов.</w:t>
      </w:r>
    </w:p>
    <w:p w14:paraId="158897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Пом. нач. Бюро вооружений Штаба РККА Золотое. Представитель ПУРКК'А Октябрьский, Нач. Осконпробюро ВВС РККА Гроховский. Представитель ОО ЛВО Смирнов.</w:t>
      </w:r>
    </w:p>
    <w:p w14:paraId="341AEE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октября 1932 г.</w:t>
      </w:r>
    </w:p>
    <w:p w14:paraId="084388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31. Тренировочное приспособление — парашютная катапульта.</w:t>
      </w:r>
    </w:p>
    <w:p w14:paraId="21DEBA7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Парашютная катапульта предназначена для подготовки и обуче</w:t>
      </w:r>
      <w:r w:rsidRPr="00E14102">
        <w:rPr>
          <w:color w:val="000000" w:themeColor="text1"/>
          <w:sz w:val="16"/>
          <w:szCs w:val="16"/>
        </w:rPr>
        <w:softHyphen/>
        <w:t>ния парашютистов технике управления парашютом в воздухе, при</w:t>
      </w:r>
      <w:r w:rsidRPr="00E14102">
        <w:rPr>
          <w:color w:val="000000" w:themeColor="text1"/>
          <w:sz w:val="16"/>
          <w:szCs w:val="16"/>
        </w:rPr>
        <w:softHyphen/>
        <w:t>земления -и отработке навыков, необходимых парашютисту при вы полнении боевых прыжков.</w:t>
      </w:r>
    </w:p>
    <w:p w14:paraId="78A4903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Конструктивные данные парашютной катапульты, простота упра</w:t>
      </w:r>
      <w:r w:rsidRPr="00E14102">
        <w:rPr>
          <w:color w:val="000000" w:themeColor="text1"/>
          <w:sz w:val="16"/>
          <w:szCs w:val="16"/>
        </w:rPr>
        <w:softHyphen/>
        <w:t>влении и эксплоатации — дает возможность массового применения ее как спортивно-тренировочного приспособления в аэроклубах, спорт</w:t>
      </w:r>
      <w:r w:rsidRPr="00E14102">
        <w:rPr>
          <w:color w:val="000000" w:themeColor="text1"/>
          <w:sz w:val="16"/>
          <w:szCs w:val="16"/>
        </w:rPr>
        <w:softHyphen/>
        <w:t>площадках, парках КиО и организациях Осоавиэхима.</w:t>
      </w:r>
    </w:p>
    <w:p w14:paraId="5C3C98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Парашютная катапульта представляет собой трехосную 1,5-т гру</w:t>
      </w:r>
      <w:r w:rsidRPr="00E14102">
        <w:rPr>
          <w:color w:val="000000" w:themeColor="text1"/>
          <w:sz w:val="16"/>
          <w:szCs w:val="16"/>
        </w:rPr>
        <w:softHyphen/>
        <w:t>зовую автомашину ГАЗ-АА, с установленным в кузове на специаль</w:t>
      </w:r>
      <w:r w:rsidRPr="00E14102">
        <w:rPr>
          <w:color w:val="000000" w:themeColor="text1"/>
          <w:sz w:val="16"/>
          <w:szCs w:val="16"/>
        </w:rPr>
        <w:softHyphen/>
        <w:t>ной раме мотором М-11 100 НР с б-лопаетным деревянным винтом.</w:t>
      </w:r>
    </w:p>
    <w:p w14:paraId="1BB8BAB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Взлетная решетка перекрывает мотор и служит местом нахожде</w:t>
      </w:r>
      <w:r w:rsidRPr="00E14102">
        <w:rPr>
          <w:color w:val="000000" w:themeColor="text1"/>
          <w:sz w:val="16"/>
          <w:szCs w:val="16"/>
        </w:rPr>
        <w:softHyphen/>
        <w:t>ния и под'ема.. парашютиста.</w:t>
      </w:r>
    </w:p>
    <w:p w14:paraId="18DF26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Мостик, находящийся над кабиной автомашины, предназначен для инструктора, руководящего под'емом парашютиста.</w:t>
      </w:r>
    </w:p>
    <w:p w14:paraId="43E0E5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Под'ем парашютиста в воздух производится на 10-м шелковом парашюте, соединенным с подвесной системой, надетой на парашю</w:t>
      </w:r>
      <w:r w:rsidRPr="00E14102">
        <w:rPr>
          <w:color w:val="000000" w:themeColor="text1"/>
          <w:sz w:val="16"/>
          <w:szCs w:val="16"/>
        </w:rPr>
        <w:softHyphen/>
        <w:t>тисте.</w:t>
      </w:r>
    </w:p>
    <w:p w14:paraId="25DE08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От работы мотора М-11 образуется 'воздушный поток, раскрыва</w:t>
      </w:r>
      <w:r w:rsidRPr="00E14102">
        <w:rPr>
          <w:color w:val="000000" w:themeColor="text1"/>
          <w:sz w:val="16"/>
          <w:szCs w:val="16"/>
        </w:rPr>
        <w:softHyphen/>
        <w:t>ющий купол парашюта, что приводит к под'ему парашютиста в воз</w:t>
      </w:r>
      <w:r w:rsidRPr="00E14102">
        <w:rPr>
          <w:color w:val="000000" w:themeColor="text1"/>
          <w:sz w:val="16"/>
          <w:szCs w:val="16"/>
        </w:rPr>
        <w:softHyphen/>
        <w:t>дух на высоту 30—40 .ч и последующему нормальному приземлению.</w:t>
      </w:r>
    </w:p>
    <w:p w14:paraId="51F054D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32. Резиновый пневматический планер.</w:t>
      </w:r>
    </w:p>
    <w:p w14:paraId="0BF3E67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Отличительным качеством Г-25 является материал, из которого построены его фюзеляж и плоокости — прорезиненный авиационный перкаль.</w:t>
      </w:r>
    </w:p>
    <w:p w14:paraId="26DE4B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Обладая в основном конструктивными формами обычного ..пла</w:t>
      </w:r>
      <w:r w:rsidRPr="00E14102">
        <w:rPr>
          <w:color w:val="000000" w:themeColor="text1"/>
          <w:sz w:val="16"/>
          <w:szCs w:val="16"/>
        </w:rPr>
        <w:softHyphen/>
        <w:t>нера, Г-25 представляет резиновую пневматическую конструкцию."</w:t>
      </w:r>
    </w:p>
    <w:p w14:paraId="39059A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Плоскости планера, разделенные на отсеки, перед полетом наду</w:t>
      </w:r>
      <w:r w:rsidRPr="00E14102">
        <w:rPr>
          <w:color w:val="000000" w:themeColor="text1"/>
          <w:sz w:val="16"/>
          <w:szCs w:val="16"/>
        </w:rPr>
        <w:softHyphen/>
        <w:t>ваются воздухом в течение 10—15 м обычным ручным насосом.</w:t>
      </w:r>
    </w:p>
    <w:p w14:paraId="26FF034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Кабина рассчитана на пилота, и снабжена в носовой части специ</w:t>
      </w:r>
      <w:r w:rsidRPr="00E14102">
        <w:rPr>
          <w:color w:val="000000" w:themeColor="text1"/>
          <w:sz w:val="16"/>
          <w:szCs w:val="16"/>
        </w:rPr>
        <w:softHyphen/>
        <w:t>альным замком, для укрепления хлопчатобумажного буксировочного фала, соединяющегося с буксирным самолетом типа У-2 — для под'ема планера в воздух.</w:t>
      </w:r>
    </w:p>
    <w:p w14:paraId="202E78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Управление — деревянное и аналогично самолетному. Взамен; тросовых, поставлены растяжки из хлопчатобумажного фала.</w:t>
      </w:r>
    </w:p>
    <w:p w14:paraId="31E272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Поднятый в воздух самолетом-буксировщиком, — пилот произ</w:t>
      </w:r>
      <w:r w:rsidRPr="00E14102">
        <w:rPr>
          <w:color w:val="000000" w:themeColor="text1"/>
          <w:sz w:val="16"/>
          <w:szCs w:val="16"/>
        </w:rPr>
        <w:softHyphen/>
        <w:t>водит на высоте отцепку планера и переходит на парящий полег.</w:t>
      </w:r>
    </w:p>
    <w:p w14:paraId="574E32E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Летные качества планера — устойчивость и легкая управляемость, незначительный вес (42 кг), и, особенность конструкции, дающая воз</w:t>
      </w:r>
      <w:r w:rsidRPr="00E14102">
        <w:rPr>
          <w:color w:val="000000" w:themeColor="text1"/>
          <w:sz w:val="16"/>
          <w:szCs w:val="16"/>
        </w:rPr>
        <w:softHyphen/>
        <w:t xml:space="preserve">можность складывать планер для хранения в обычных условиях,— делает его наиболее приемлемым типом учебного планера </w:t>
      </w:r>
      <w:r w:rsidRPr="00E14102">
        <w:rPr>
          <w:smallCaps/>
          <w:color w:val="000000" w:themeColor="text1"/>
          <w:sz w:val="16"/>
          <w:szCs w:val="16"/>
        </w:rPr>
        <w:t xml:space="preserve">е </w:t>
      </w:r>
      <w:r w:rsidRPr="00E14102">
        <w:rPr>
          <w:color w:val="000000" w:themeColor="text1"/>
          <w:sz w:val="16"/>
          <w:szCs w:val="16"/>
        </w:rPr>
        <w:t>организа</w:t>
      </w:r>
      <w:r w:rsidRPr="00E14102">
        <w:rPr>
          <w:color w:val="000000" w:themeColor="text1"/>
          <w:sz w:val="16"/>
          <w:szCs w:val="16"/>
        </w:rPr>
        <w:softHyphen/>
        <w:t>циях Осоавиахима, аэроклубах и предприятиях.</w:t>
      </w:r>
    </w:p>
    <w:p w14:paraId="6E044C9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Исследовательские работы.</w:t>
      </w:r>
    </w:p>
    <w:p w14:paraId="35FB3A4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 два года (1933—1934) Экспериментальным институтом подго</w:t>
      </w:r>
      <w:r w:rsidRPr="00E14102">
        <w:rPr>
          <w:color w:val="000000" w:themeColor="text1"/>
          <w:sz w:val="16"/>
          <w:szCs w:val="16"/>
        </w:rPr>
        <w:softHyphen/>
        <w:t>товлено без отрыва от производства 2000 парашютистов — рабочих, комсомольцев и молодежи Красной Пресни г. Москвы.</w:t>
      </w:r>
    </w:p>
    <w:p w14:paraId="01F7DF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Исследовательская работа института по экспериментальным прыж</w:t>
      </w:r>
      <w:r w:rsidRPr="00E14102">
        <w:rPr>
          <w:color w:val="000000" w:themeColor="text1"/>
          <w:sz w:val="16"/>
          <w:szCs w:val="16"/>
        </w:rPr>
        <w:softHyphen/>
        <w:t>кам с больших высот без кислородных приборов.</w:t>
      </w:r>
    </w:p>
    <w:p w14:paraId="1D35027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Исследовательская работа по проведениям высотных парашют</w:t>
      </w:r>
      <w:r w:rsidRPr="00E14102">
        <w:rPr>
          <w:color w:val="000000" w:themeColor="text1"/>
          <w:sz w:val="16"/>
          <w:szCs w:val="16"/>
        </w:rPr>
        <w:softHyphen/>
        <w:t>ных прыжков без кислородных приборов была организована Экспери</w:t>
      </w:r>
      <w:r w:rsidRPr="00E14102">
        <w:rPr>
          <w:color w:val="000000" w:themeColor="text1"/>
          <w:sz w:val="16"/>
          <w:szCs w:val="16"/>
        </w:rPr>
        <w:softHyphen/>
        <w:t>ментальным институтом с целью определения возможности сбрасы</w:t>
      </w:r>
      <w:r w:rsidRPr="00E14102">
        <w:rPr>
          <w:color w:val="000000" w:themeColor="text1"/>
          <w:sz w:val="16"/>
          <w:szCs w:val="16"/>
        </w:rPr>
        <w:softHyphen/>
        <w:t>вания личного состава, на парашютах, с высот порядка 7000—8000 м.</w:t>
      </w:r>
    </w:p>
    <w:p w14:paraId="15AB61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Об'ектом для этой работы была взята женская парашютная группа.</w:t>
      </w:r>
    </w:p>
    <w:p w14:paraId="6ABBC7B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Выделенные для участия з высотных прыжках парашютистки, были подвергнуты специальному углубленному медицинскому осви</w:t>
      </w:r>
      <w:r w:rsidRPr="00E14102">
        <w:rPr>
          <w:color w:val="000000" w:themeColor="text1"/>
          <w:sz w:val="16"/>
          <w:szCs w:val="16"/>
        </w:rPr>
        <w:softHyphen/>
        <w:t>детельствованию и систематическому наблюдению для определения пригодности их к высотным прыжкам.</w:t>
      </w:r>
    </w:p>
    <w:p w14:paraId="40E8FB6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Кроме того, была организована специальная тренировка, заклю</w:t>
      </w:r>
      <w:r w:rsidRPr="00E14102">
        <w:rPr>
          <w:color w:val="000000" w:themeColor="text1"/>
          <w:sz w:val="16"/>
          <w:szCs w:val="16"/>
        </w:rPr>
        <w:softHyphen/>
        <w:t>чавшаяся в испытаниях на «кислородное голодание» в барокамере на различных «высотах», и в высотных полетах на самолете, с целью определения практического «потолка» для каждой из участниц — под общим наблюдением зам. начальника ЛНИСИ РККА проф. Стрель</w:t>
      </w:r>
      <w:r w:rsidRPr="00E14102">
        <w:rPr>
          <w:color w:val="000000" w:themeColor="text1"/>
          <w:sz w:val="16"/>
          <w:szCs w:val="16"/>
        </w:rPr>
        <w:softHyphen/>
        <w:t>цова.</w:t>
      </w:r>
    </w:p>
    <w:p w14:paraId="4500EB3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Дополнительно были проведены высотные полеты парашютисток, на 5000 м, 6000 м и затем 7000 м без кислородных приборов.</w:t>
      </w:r>
    </w:p>
    <w:p w14:paraId="4F4D81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17 июня 1935 г. в 6 час. 10 мин. утра с Центрального аэродрома состоялся первый под'ем самолета Р-6 с установленным на нем мете-</w:t>
      </w:r>
    </w:p>
    <w:p w14:paraId="6B5C3C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реографом (опечатанным ГАМС'ом) в составе экипажа: командира корабля т. Шмидт [". А., летчика Э. И. т. Маламуж Т. Т. и 1-й группы парашютисток: тт. Николаевой А., Барцевой М7 и Бабушкиной Н.</w:t>
      </w:r>
    </w:p>
    <w:p w14:paraId="4C88874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7 час. 12 мин. группа совершила прыжок с высоты 6893 м над сел. Петровское, благополучно приземлившись в районе с. Талица.</w:t>
      </w:r>
    </w:p>
    <w:p w14:paraId="2CBABE4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8 час. 45 мин. самолет Р-6 с тем же экипажем поднял в воздух вторую группу парашютисток в составе: тт. Яковлевой О., Малинов</w:t>
      </w:r>
      <w:r w:rsidRPr="00E14102">
        <w:rPr>
          <w:color w:val="000000" w:themeColor="text1"/>
          <w:sz w:val="16"/>
          <w:szCs w:val="16"/>
        </w:rPr>
        <w:softHyphen/>
        <w:t>ской М. и Блохиной С. В 9 час. 33 мин. парашютисте!; оставили са</w:t>
      </w:r>
      <w:r w:rsidRPr="00E14102">
        <w:rPr>
          <w:color w:val="000000" w:themeColor="text1"/>
          <w:sz w:val="16"/>
          <w:szCs w:val="16"/>
        </w:rPr>
        <w:softHyphen/>
        <w:t>молет на высоте 7177 м и благополучно приземлились в районе</w:t>
      </w:r>
    </w:p>
    <w:p w14:paraId="1322A3E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 Снегири.</w:t>
      </w:r>
    </w:p>
    <w:p w14:paraId="32F797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Средняя высота, с которой были произведены прыжки, зафикси</w:t>
      </w:r>
      <w:r w:rsidRPr="00E14102">
        <w:rPr>
          <w:color w:val="000000" w:themeColor="text1"/>
          <w:sz w:val="16"/>
          <w:szCs w:val="16"/>
        </w:rPr>
        <w:softHyphen/>
        <w:t>рована для всей группы — 7035 м, что является мировым рекордом высотного прыжка для женщин без кислородного прибора,</w:t>
      </w:r>
    </w:p>
    <w:p w14:paraId="5F86C7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Проведенный эксперимент группой парашютисток разрешает проблему пребывания человеческого организма в тропосфере (в об</w:t>
      </w:r>
      <w:r w:rsidRPr="00E14102">
        <w:rPr>
          <w:color w:val="000000" w:themeColor="text1"/>
          <w:sz w:val="16"/>
          <w:szCs w:val="16"/>
        </w:rPr>
        <w:softHyphen/>
        <w:t>становке «кислородного голодания»), что приобретает большое прак</w:t>
      </w:r>
      <w:r w:rsidRPr="00E14102">
        <w:rPr>
          <w:color w:val="000000" w:themeColor="text1"/>
          <w:sz w:val="16"/>
          <w:szCs w:val="16"/>
        </w:rPr>
        <w:softHyphen/>
        <w:t>тическое значение в деле летно-боевой подготовки личного состава</w:t>
      </w:r>
    </w:p>
    <w:p w14:paraId="50B165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 РККА.</w:t>
      </w:r>
    </w:p>
    <w:p w14:paraId="40828BF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ЦИК СССР отметил это рекордное достижение, наградив органи</w:t>
      </w:r>
      <w:r w:rsidRPr="00E14102">
        <w:rPr>
          <w:color w:val="000000" w:themeColor="text1"/>
          <w:sz w:val="16"/>
          <w:szCs w:val="16"/>
        </w:rPr>
        <w:softHyphen/>
        <w:t>заторов и участников: тт. Николаеву А., Бабушкину Н. и Шмидт Г. А. — орденами «Красней Звезды»; тт. Яковлеву О., Барцеву М., Малиновскую М., Блохину С. и Маламуж Т. Т. (летчика) — грамотами</w:t>
      </w:r>
    </w:p>
    <w:p w14:paraId="6B416E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ЦИК СССР.</w:t>
      </w:r>
    </w:p>
    <w:p w14:paraId="483F05A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Начальнику — главному конструктору Экспериментального ин</w:t>
      </w:r>
      <w:r w:rsidRPr="00E14102">
        <w:rPr>
          <w:color w:val="000000" w:themeColor="text1"/>
          <w:sz w:val="16"/>
          <w:szCs w:val="16"/>
        </w:rPr>
        <w:softHyphen/>
        <w:t>ститута НКТП т. П.. И. Гроховскому Правительством об'явлена бла</w:t>
      </w:r>
      <w:r w:rsidRPr="00E14102">
        <w:rPr>
          <w:color w:val="000000" w:themeColor="text1"/>
          <w:sz w:val="16"/>
          <w:szCs w:val="16"/>
        </w:rPr>
        <w:softHyphen/>
        <w:t>годарность.</w:t>
      </w:r>
    </w:p>
    <w:p w14:paraId="34C819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Высотный прыжок парашютисток тт. Пясецкой Г. и Шишмаревой А. без кислородного прибора с высоты 7923 м.</w:t>
      </w:r>
    </w:p>
    <w:p w14:paraId="7B8920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процессе проведения исследовательской работы по зьгсотным прыжкам, Экспериментальный институт подготовил и осуществил рекордный прыжок двух парашютисток Галины Пясецкой и Анны Шишмаревой с высоты 7923 м:</w:t>
      </w:r>
    </w:p>
    <w:p w14:paraId="56A40BA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Тт. Пясецкая и Шишмарева, подготовляя свдн рекордный прыжок, прошли длительную подготовку и специальную тренировку под ру</w:t>
      </w:r>
      <w:r w:rsidRPr="00E14102">
        <w:rPr>
          <w:color w:val="000000" w:themeColor="text1"/>
          <w:sz w:val="16"/>
          <w:szCs w:val="16"/>
        </w:rPr>
        <w:softHyphen/>
        <w:t>ководством и наблюдением специалистов.</w:t>
      </w:r>
    </w:p>
    <w:p w14:paraId="6E60E80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августа 1935 г. в 6 час. 45 мин., самолет Р-6. пилотируемый летчиком Э. И. НКТП т. Маламуж Т. Т., стартовал с Центрального аэродрома, имея на бэрту парашютисток тт. Пясецкую и Шишма-реву. ' ... .</w:t>
      </w:r>
    </w:p>
    <w:p w14:paraId="16B147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7 час. 40 мин., оставив самолет на высоте 7923 м, т. Пясецкая благополучно приземлилась у с. Старобеево, а т. Шишмарева — в районе ст. Химки.</w:t>
      </w:r>
    </w:p>
    <w:p w14:paraId="2A0C25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Работа, проведенная институтом по подготовке и проведению высотных прыжков тт. Пясецкой и Шишмаревой, лишний раз под</w:t>
      </w:r>
      <w:r w:rsidRPr="00E14102">
        <w:rPr>
          <w:color w:val="000000" w:themeColor="text1"/>
          <w:sz w:val="16"/>
          <w:szCs w:val="16"/>
        </w:rPr>
        <w:softHyphen/>
        <w:t>твердила правильность выводов и постановки всей системы экспери</w:t>
      </w:r>
      <w:r w:rsidRPr="00E14102">
        <w:rPr>
          <w:color w:val="000000" w:themeColor="text1"/>
          <w:sz w:val="16"/>
          <w:szCs w:val="16"/>
        </w:rPr>
        <w:softHyphen/>
        <w:t>ментально-исследовательской парашютной работы института.</w:t>
      </w:r>
    </w:p>
    <w:p w14:paraId="2F1A14E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103. Тов. Пясецкая Галлна, рожд. 1915 г., член ВЛКСМ, б. работница, студентка ЦИФК. Пара</w:t>
      </w:r>
      <w:r w:rsidRPr="00E14102">
        <w:rPr>
          <w:color w:val="000000" w:themeColor="text1"/>
          <w:sz w:val="16"/>
          <w:szCs w:val="16"/>
        </w:rPr>
        <w:softHyphen/>
        <w:t>шютным спортом занимается с 19.ЭД г. Совер</w:t>
      </w:r>
      <w:r w:rsidRPr="00E14102">
        <w:rPr>
          <w:color w:val="000000" w:themeColor="text1"/>
          <w:sz w:val="16"/>
          <w:szCs w:val="16"/>
        </w:rPr>
        <w:softHyphen/>
        <w:t>шенный 2/УШ — рекордный прыжок — 13-й.</w:t>
      </w:r>
    </w:p>
    <w:p w14:paraId="16A0D26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своим результатам, достижения тт. Пясецкой и Шишмаревой, 2 августа 1935 г. являются мировым рекордом высотного прыжка без кислородных приборов не только для женщин, но и для мужчин.</w:t>
      </w:r>
    </w:p>
    <w:p w14:paraId="32B3EC1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августа 1935 г. постановлением Центрального Исполнительного Комитета Союза ССР тт. 'Пясецкая и Шишмарева награждены орде</w:t>
      </w:r>
      <w:r w:rsidRPr="00E14102">
        <w:rPr>
          <w:color w:val="000000" w:themeColor="text1"/>
          <w:sz w:val="16"/>
          <w:szCs w:val="16"/>
        </w:rPr>
        <w:softHyphen/>
        <w:t>нами «Красной Звезды».</w:t>
      </w:r>
    </w:p>
    <w:p w14:paraId="3B751D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Групповой прыжок женщин-парашютисток в воду.</w:t>
      </w:r>
    </w:p>
    <w:p w14:paraId="16ED13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25 июня 1935 г. был осуществлен первый групповой прыжок на воду женщин-парашютигтак, подготовленных Экспериментальным институтом НКТП.</w:t>
      </w:r>
    </w:p>
    <w:p w14:paraId="2016B78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Прыжки были совершены над озером Сенеж у дер. Осипово в 70 км от г. Москвы.</w:t>
      </w:r>
    </w:p>
    <w:p w14:paraId="228B2D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групповом прыжке участвовали парашютистки: тт. Барцева М., Бабушкина Н., Блохина С., Малиновская М., Яковлева О. и Гураль М.</w:t>
      </w:r>
    </w:p>
    <w:p w14:paraId="5057ACD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Все участницы группового прыжка проходили специальную тре</w:t>
      </w:r>
      <w:r w:rsidRPr="00E14102">
        <w:rPr>
          <w:color w:val="000000" w:themeColor="text1"/>
          <w:sz w:val="16"/>
          <w:szCs w:val="16"/>
        </w:rPr>
        <w:softHyphen/>
        <w:t>нировку по освоению техники прыжка и приземления в усложненных условиях (вода, сильный ветер и т. п.).</w:t>
      </w:r>
    </w:p>
    <w:p w14:paraId="4E8E711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25 июня 1935 г., с самолета У-2, пилотируемого летчиком т Шмидт Г. А., последовательно, в 3 под'ема с высоты 600 м, были сброшен!)! над озером Сенеж тт. Блохина, Бабушкина, Барцева, Мали</w:t>
      </w:r>
      <w:r w:rsidRPr="00E14102">
        <w:rPr>
          <w:color w:val="000000" w:themeColor="text1"/>
          <w:sz w:val="16"/>
          <w:szCs w:val="16"/>
        </w:rPr>
        <w:softHyphen/>
        <w:t>новская, Гураль и Яковлева,</w:t>
      </w:r>
    </w:p>
    <w:p w14:paraId="4995A0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Раскрытие парашютов было произведено нормально и парашю</w:t>
      </w:r>
      <w:r w:rsidRPr="00E14102">
        <w:rPr>
          <w:color w:val="000000" w:themeColor="text1"/>
          <w:sz w:val="16"/>
          <w:szCs w:val="16"/>
        </w:rPr>
        <w:softHyphen/>
        <w:t>тистки, освободившись своевременно в воздухе от подвесной систе</w:t>
      </w:r>
      <w:r w:rsidRPr="00E14102">
        <w:rPr>
          <w:color w:val="000000" w:themeColor="text1"/>
          <w:sz w:val="16"/>
          <w:szCs w:val="16"/>
        </w:rPr>
        <w:softHyphen/>
        <w:t>мы, благополучно спустились на воду, где были подобраны де^ку-рившими лодками и мотопаромом.</w:t>
      </w:r>
    </w:p>
    <w:p w14:paraId="0C3669F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Групповой перелет женщин-пилотов и техников Ленинград — Москва.</w:t>
      </w:r>
    </w:p>
    <w:p w14:paraId="1E8C734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Реализуя постановление ЦК ВЛКСМ по работе среди женщин, в части усиления вовлечения их в комплектование летных школ и под</w:t>
      </w:r>
      <w:r w:rsidRPr="00E14102">
        <w:rPr>
          <w:color w:val="000000" w:themeColor="text1"/>
          <w:sz w:val="16"/>
          <w:szCs w:val="16"/>
        </w:rPr>
        <w:softHyphen/>
        <w:t>готовки к несению воздушной службы внутри страны. — Эксперимен</w:t>
      </w:r>
      <w:r w:rsidRPr="00E14102">
        <w:rPr>
          <w:color w:val="000000" w:themeColor="text1"/>
          <w:sz w:val="16"/>
          <w:szCs w:val="16"/>
        </w:rPr>
        <w:softHyphen/>
        <w:t>тальным институтом был подготовлен и осуществлен первый группо</w:t>
      </w:r>
      <w:r w:rsidRPr="00E14102">
        <w:rPr>
          <w:color w:val="000000" w:themeColor="text1"/>
          <w:sz w:val="16"/>
          <w:szCs w:val="16"/>
        </w:rPr>
        <w:softHyphen/>
        <w:t>вой перелет женщин-пилотов по маршруту Ленинград — Москва, имевший целью и поверку матчасти серийных самолетов АИР-6, выпу</w:t>
      </w:r>
      <w:r w:rsidRPr="00E14102">
        <w:rPr>
          <w:color w:val="000000" w:themeColor="text1"/>
          <w:sz w:val="16"/>
          <w:szCs w:val="16"/>
        </w:rPr>
        <w:softHyphen/>
        <w:t>скаемых Опытным заводом № 47 Экспериментального института.</w:t>
      </w:r>
    </w:p>
    <w:p w14:paraId="0D2EAA3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6 по 10 августа с. г. участницы перелета: тт. Кадатская А. (командир отряда), Иконникова Л. (техник), Раскова М., Денисова А. (мотористы). Прохорова Е., Стояновская В., Рачко Е., Корытова Н., Клебе А. (пилоты), Смоленская Е. (корреспондент газеты «За инду</w:t>
      </w:r>
      <w:r w:rsidRPr="00E14102">
        <w:rPr>
          <w:color w:val="000000" w:themeColor="text1"/>
          <w:sz w:val="16"/>
          <w:szCs w:val="16"/>
        </w:rPr>
        <w:softHyphen/>
        <w:t>стриализацию») и Плеске Г. (корреспондент газеты «Комсомольская Правда») проходили тренировку в Ленинграде при филиале Экспери</w:t>
      </w:r>
      <w:r w:rsidRPr="00E14102">
        <w:rPr>
          <w:color w:val="000000" w:themeColor="text1"/>
          <w:sz w:val="16"/>
          <w:szCs w:val="16"/>
        </w:rPr>
        <w:softHyphen/>
        <w:t>ментального института.</w:t>
      </w:r>
    </w:p>
    <w:p w14:paraId="5244771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10 августа 1935 г. в 19 ч. 10 м. был дан старт перелету и 6 само</w:t>
      </w:r>
      <w:r w:rsidRPr="00E14102">
        <w:rPr>
          <w:color w:val="000000" w:themeColor="text1"/>
          <w:sz w:val="16"/>
          <w:szCs w:val="16"/>
        </w:rPr>
        <w:softHyphen/>
        <w:t>летов АИР-6 вылетели на Москву в составе 2 звеньев.</w:t>
      </w:r>
    </w:p>
    <w:p w14:paraId="2798896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Неблагоприятная погода, плохие метеоусловия и грозовой ливень в районе Валдая, привели к вынужденной посадке всей группы близь м. Веребье.</w:t>
      </w:r>
    </w:p>
    <w:p w14:paraId="21DC70D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12 августа рано утром -самолеты продолжали полет и в 10 ч. 05 м. вся группа благополучно финишировала на Центральном аэродроме в Москве — выполнив задание, несмотря на трудности маршрута и тяжелые метеорологические условия.</w:t>
      </w:r>
    </w:p>
    <w:p w14:paraId="20E2A17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 своим результатам проведенный перелет женщин-пилотов от</w:t>
      </w:r>
      <w:r w:rsidRPr="00E14102">
        <w:rPr>
          <w:color w:val="000000" w:themeColor="text1"/>
          <w:sz w:val="16"/>
          <w:szCs w:val="16"/>
        </w:rPr>
        <w:softHyphen/>
        <w:t>крывает возможности широкой подготовки из них полноценных лет</w:t>
      </w:r>
      <w:r w:rsidRPr="00E14102">
        <w:rPr>
          <w:color w:val="000000" w:themeColor="text1"/>
          <w:sz w:val="16"/>
          <w:szCs w:val="16"/>
        </w:rPr>
        <w:softHyphen/>
        <w:t>чиков.</w:t>
      </w:r>
    </w:p>
    <w:p w14:paraId="3158D0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Опытная работа Экспериментального института НКТП по подго</w:t>
      </w:r>
      <w:r w:rsidRPr="00E14102">
        <w:rPr>
          <w:color w:val="000000" w:themeColor="text1"/>
          <w:sz w:val="16"/>
          <w:szCs w:val="16"/>
        </w:rPr>
        <w:softHyphen/>
        <w:t>товке несовершеннолетних пилотов.</w:t>
      </w:r>
    </w:p>
    <w:p w14:paraId="374F5DB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Экспериментальный институт НК.ТП заканчивает в настоящее вре</w:t>
      </w:r>
      <w:r w:rsidRPr="00E14102">
        <w:rPr>
          <w:color w:val="000000" w:themeColor="text1"/>
          <w:sz w:val="16"/>
          <w:szCs w:val="16"/>
        </w:rPr>
        <w:softHyphen/>
        <w:t>мя опыт по подготовке несовершеннолетних пилотов (12—15-летнего возраста) из бывших беспризорников-правонарушителей.</w:t>
      </w:r>
    </w:p>
    <w:p w14:paraId="7ACBA2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феврале 1935 г. начальником института П. И. Грохавским из воспитанников Болшевской трудкоммуны НКВД были отобраны 4 ре</w:t>
      </w:r>
      <w:r w:rsidRPr="00E14102">
        <w:rPr>
          <w:color w:val="000000" w:themeColor="text1"/>
          <w:sz w:val="16"/>
          <w:szCs w:val="16"/>
        </w:rPr>
        <w:softHyphen/>
        <w:t>бят в возрасте 12—15 лет (Егоров, Гречихин, Оснпов, Рубцов), из которых создана специальная опытная летная группа.</w:t>
      </w:r>
    </w:p>
    <w:p w14:paraId="711990F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Соответствие нх к летно-под'емной службе было установлено Московской гарнизонной комиссией.</w:t>
      </w:r>
    </w:p>
    <w:p w14:paraId="7CDBD81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занятий с группой уч.тетов была составлена специальная программа по теоретической и практической летной подготовке.</w:t>
      </w:r>
    </w:p>
    <w:p w14:paraId="18FE657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Одновременно программой была предусмотрена политическая и общеобразовательная подготовка учлетов — по курсу средней шко</w:t>
      </w:r>
      <w:r w:rsidRPr="00E14102">
        <w:rPr>
          <w:color w:val="000000" w:themeColor="text1"/>
          <w:sz w:val="16"/>
          <w:szCs w:val="16"/>
        </w:rPr>
        <w:softHyphen/>
        <w:t>лы, и вся группа находилась под систематическим наблюдением вра</w:t>
      </w:r>
      <w:r w:rsidRPr="00E14102">
        <w:rPr>
          <w:color w:val="000000" w:themeColor="text1"/>
          <w:sz w:val="16"/>
          <w:szCs w:val="16"/>
        </w:rPr>
        <w:softHyphen/>
        <w:t>чей и руководством отдельного воспитателя.</w:t>
      </w:r>
    </w:p>
    <w:p w14:paraId="72866D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результате правильно организованной подготовки с начала мая с г. все учлеты совершили значительное количество полетов с ин</w:t>
      </w:r>
      <w:r w:rsidRPr="00E14102">
        <w:rPr>
          <w:color w:val="000000" w:themeColor="text1"/>
          <w:sz w:val="16"/>
          <w:szCs w:val="16"/>
        </w:rPr>
        <w:softHyphen/>
        <w:t>структором: т. Гречихин — 110 полетов — за 10 час. 11 мин., т. Руб</w:t>
      </w:r>
      <w:r w:rsidRPr="00E14102">
        <w:rPr>
          <w:color w:val="000000" w:themeColor="text1"/>
          <w:sz w:val="16"/>
          <w:szCs w:val="16"/>
        </w:rPr>
        <w:softHyphen/>
        <w:t>цов — 113 полетов — 15 ч. 29 мин. (из них 2 самостоятельно), т. Его</w:t>
      </w:r>
      <w:r w:rsidRPr="00E14102">
        <w:rPr>
          <w:color w:val="000000" w:themeColor="text1"/>
          <w:sz w:val="16"/>
          <w:szCs w:val="16"/>
        </w:rPr>
        <w:softHyphen/>
        <w:t>ров — 135 полетов — 20 ч: 19 м. и т. Оснпов — 109 полетом — 15 ч. 54 м. (2186).</w:t>
      </w:r>
    </w:p>
    <w:p w14:paraId="2A2786B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967BEF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2C161B8B" w14:textId="77777777" w:rsidR="00D4105E" w:rsidRPr="00E14102" w:rsidRDefault="00D4105E" w:rsidP="00E14102">
      <w:pPr>
        <w:autoSpaceDE w:val="0"/>
        <w:autoSpaceDN w:val="0"/>
        <w:adjustRightInd w:val="0"/>
        <w:jc w:val="both"/>
        <w:rPr>
          <w:iCs/>
          <w:color w:val="000000" w:themeColor="text1"/>
          <w:sz w:val="16"/>
          <w:szCs w:val="16"/>
        </w:rPr>
      </w:pPr>
    </w:p>
    <w:p w14:paraId="672B69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декабря 1935 г. (дата подписания протокола) были закончены заводские испытания первой 180-мм двухорудийной башенной установки МБ-2-180 (3861).</w:t>
      </w:r>
    </w:p>
    <w:p w14:paraId="076C00D6" w14:textId="77777777" w:rsidR="00D4105E" w:rsidRPr="00E14102" w:rsidRDefault="00D4105E" w:rsidP="00E14102">
      <w:pPr>
        <w:autoSpaceDE w:val="0"/>
        <w:autoSpaceDN w:val="0"/>
        <w:adjustRightInd w:val="0"/>
        <w:jc w:val="both"/>
        <w:rPr>
          <w:color w:val="000000" w:themeColor="text1"/>
          <w:sz w:val="16"/>
          <w:szCs w:val="16"/>
        </w:rPr>
      </w:pPr>
    </w:p>
    <w:p w14:paraId="5568C4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С 31 декабря 1935 г. по 20 января 1936 г. на НИАП велись испытания стрельбой 152-мм пушки Бр-2. На полигонных испытаниях скорострельность Бр-2 колебалась от 3,8 минут до 4,3 минут на выстрел, в зависимости от типа лотка. Меткость Бр-2 была одного порядка с Б-30 и ее признали удовлетворительной. Отмечено тугое запирание затвора. Всего в ходе заводских и полигонных испытаний пушка Бр-2 сделала 138 выстрелов и ее начальная скорость упала на 1,3%. Согласно заключению комиссии НИАПа "Бр-2 не может быть допущена к войсковым испытаниям из-за неуравновешенности качающейся части" и ряда других недоработок. Однако АУ вопреки мнению комиссии НИАПа отправило Бр-2 на войсковые испытания на полигон АКУКС (3861).</w:t>
      </w:r>
    </w:p>
    <w:p w14:paraId="2F574789" w14:textId="77777777" w:rsidR="00D4105E" w:rsidRPr="00E14102" w:rsidRDefault="00D4105E" w:rsidP="00E14102">
      <w:pPr>
        <w:autoSpaceDE w:val="0"/>
        <w:autoSpaceDN w:val="0"/>
        <w:adjustRightInd w:val="0"/>
        <w:jc w:val="both"/>
        <w:rPr>
          <w:color w:val="000000" w:themeColor="text1"/>
          <w:sz w:val="16"/>
          <w:szCs w:val="16"/>
        </w:rPr>
      </w:pPr>
    </w:p>
    <w:p w14:paraId="42601648" w14:textId="77777777" w:rsidR="00270FBF" w:rsidRPr="00E14102" w:rsidRDefault="00270FBF" w:rsidP="00E14102">
      <w:pPr>
        <w:pStyle w:val="rtejustify"/>
        <w:spacing w:before="0" w:after="0"/>
        <w:rPr>
          <w:color w:val="000000" w:themeColor="text1"/>
          <w:sz w:val="16"/>
          <w:szCs w:val="16"/>
        </w:rPr>
      </w:pPr>
      <w:r w:rsidRPr="00E14102">
        <w:rPr>
          <w:rStyle w:val="a6"/>
          <w:bCs/>
          <w:i w:val="0"/>
          <w:color w:val="000000" w:themeColor="text1"/>
          <w:sz w:val="16"/>
          <w:szCs w:val="16"/>
        </w:rPr>
        <w:t>31 декабря 1935 вышел приказ НКО №</w:t>
      </w:r>
      <w:r w:rsidRPr="00E14102">
        <w:rPr>
          <w:color w:val="000000" w:themeColor="text1"/>
          <w:sz w:val="16"/>
          <w:szCs w:val="16"/>
        </w:rPr>
        <w:t> 0244. Об исключении из состава дивизиона тральщиков бригады загр[адителей] и тральщиков ТОФ тральщиков «Диомид», «Славянка» и «Босфор» и включения взамен их трех новых буксиров (15247).</w:t>
      </w:r>
    </w:p>
    <w:p w14:paraId="7B4394E1" w14:textId="77777777" w:rsidR="00270FBF" w:rsidRPr="00E14102" w:rsidRDefault="00270FBF" w:rsidP="00E14102">
      <w:pPr>
        <w:pStyle w:val="rtejustify"/>
        <w:spacing w:before="0" w:after="0"/>
        <w:rPr>
          <w:color w:val="000000" w:themeColor="text1"/>
          <w:sz w:val="16"/>
          <w:szCs w:val="16"/>
        </w:rPr>
      </w:pPr>
    </w:p>
    <w:p w14:paraId="6AB37BF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02A69E4D" w14:textId="77777777" w:rsidR="00D4105E" w:rsidRPr="00E14102" w:rsidRDefault="00D4105E" w:rsidP="00E14102">
      <w:pPr>
        <w:autoSpaceDE w:val="0"/>
        <w:autoSpaceDN w:val="0"/>
        <w:adjustRightInd w:val="0"/>
        <w:jc w:val="both"/>
        <w:rPr>
          <w:iCs/>
          <w:color w:val="000000" w:themeColor="text1"/>
          <w:sz w:val="16"/>
          <w:szCs w:val="16"/>
        </w:rPr>
      </w:pPr>
    </w:p>
    <w:p w14:paraId="4D13A9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066C59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05A6DCA9" w14:textId="77777777" w:rsidR="00D4105E" w:rsidRPr="00E14102" w:rsidRDefault="00D4105E" w:rsidP="00E14102">
      <w:pPr>
        <w:autoSpaceDE w:val="0"/>
        <w:autoSpaceDN w:val="0"/>
        <w:adjustRightInd w:val="0"/>
        <w:jc w:val="both"/>
        <w:rPr>
          <w:color w:val="000000" w:themeColor="text1"/>
          <w:sz w:val="16"/>
          <w:szCs w:val="16"/>
        </w:rPr>
      </w:pPr>
    </w:p>
    <w:p w14:paraId="6D6BFE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 декабря 1935 г. за № 388 705 сс было подготовлено письмо:</w:t>
      </w:r>
    </w:p>
    <w:p w14:paraId="631A32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«Совершенно секретно</w:t>
      </w:r>
    </w:p>
    <w:p w14:paraId="7F01A5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Заместитель начальника Генерального штаба</w:t>
      </w:r>
    </w:p>
    <w:p w14:paraId="7D3CE2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Рабоче-Крестьянской Красной Армии</w:t>
      </w:r>
    </w:p>
    <w:p w14:paraId="23B97D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Начальнику морских сил РККА Флагману Флота 1-ого ранга Командующему Краснознаменным Балтийским Флотом Флагману Флота 2-ого ранга т. Галлер Л.М.</w:t>
      </w:r>
    </w:p>
    <w:p w14:paraId="1E096F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Настоящим сообщаю, что 27.12.35 г. Народный Коммиссар обороны Союза СССР Маршал Советского Союза т. Ворошилов утвердил:</w:t>
      </w:r>
    </w:p>
    <w:p w14:paraId="6B14FF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 . Места позиций для 356 —305-мм в жел. дор. батарей [выделено мной — В. Б.]:</w:t>
      </w:r>
    </w:p>
    <w:p w14:paraId="1FA6FE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на Кургаловском полуострове Ш —59°42'02", Д—28°03 '07" с директриссой стрельбы 250.</w:t>
      </w:r>
    </w:p>
    <w:p w14:paraId="647574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на Сойкинском полуострове юго-восточнее дер. Колганпя Ш—59° 49'35" ,Д—28° 33'07'' я с директриссой стрельбы 335.</w:t>
      </w:r>
    </w:p>
    <w:p w14:paraId="0914B7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 Места позиций для 180 -мм ж.д.батареи [выделено мной — В. Б.]:</w:t>
      </w:r>
    </w:p>
    <w:p w14:paraId="7AC96F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 районе деревень Кургалово-Вейно Ш —59°45'24", Д— 28°07'06" с директриссами стрельбы 305 и 25.</w:t>
      </w:r>
    </w:p>
    <w:p w14:paraId="1CD5A8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юго-западнее дер. Колганпя Ш—59°49'30", Д—28°31'17" с директриссами стрельбы 320 и 25.</w:t>
      </w:r>
    </w:p>
    <w:p w14:paraId="4BBBDA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севернее деревни Липово Ш—59°56'11’’, Д—29°01’36" с директриссой стрельбы 305.</w:t>
      </w:r>
    </w:p>
    <w:p w14:paraId="00C05D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в районе форта «Ф» Ш—59° 58'05", Д – 29°18'24" с директриссой стрельбы — 330.</w:t>
      </w:r>
    </w:p>
    <w:p w14:paraId="6EE174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III . Место базы жел.дол. артиллерии для бат. №№ 9, 17 и 18 в районе разъезда Валговицы, дер. Мукково — карьер Кямеши [выделено мной — В. Б.].</w:t>
      </w:r>
    </w:p>
    <w:p w14:paraId="5A4596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IV . Позиция стационарных 130 мм батарей:</w:t>
      </w:r>
    </w:p>
    <w:p w14:paraId="3AB8AF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 районе дер.Кургалово Ш—59° 46'16" ,Д—28°0б'24" с директриссой стрельбы 350.</w:t>
      </w:r>
    </w:p>
    <w:p w14:paraId="5A3F91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на северной оконечности мыса Колгонпя Ш-59° 40'15", Д... (неразборчиво).</w:t>
      </w:r>
    </w:p>
    <w:p w14:paraId="53BD71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Вопрос о переселении в 1936 году в другие места жителей деревень: Кургалово, Колганпя и отдельных хуторов, расположенных в районе позиций, командующему Краснознаменным Балтийским Флотом поставить перед Ленинградским облисполкомом.</w:t>
      </w:r>
    </w:p>
    <w:p w14:paraId="25B091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 результатах сообщить мне.</w:t>
      </w:r>
    </w:p>
    <w:p w14:paraId="01D294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начальника Генерального штаба РККА комкор ...» (11454).</w:t>
      </w:r>
    </w:p>
    <w:p w14:paraId="069646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«Перечнем объектов строительства для базы железнодорожной ар­ тиллерии в районе дер. Мукково в 1936 году» было определено, в частности, возведение:</w:t>
      </w:r>
    </w:p>
    <w:p w14:paraId="4E0F78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казармы для 305-мм батареи на 288 человек (кирпичной); </w:t>
      </w:r>
    </w:p>
    <w:p w14:paraId="429582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казармы для 180-мм батареи на 262 человека (рубленой); </w:t>
      </w:r>
    </w:p>
    <w:p w14:paraId="7CBBFD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дома для старшего личного состава на 25 семей (кирпичного); </w:t>
      </w:r>
    </w:p>
    <w:p w14:paraId="5303AB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дома для среднего личного состава на 50 семей (кирпичного); </w:t>
      </w:r>
    </w:p>
    <w:p w14:paraId="4EDB64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дома для сверхсрочнослужащих на 40 семей (деревянно-рубленого); </w:t>
      </w:r>
    </w:p>
    <w:p w14:paraId="51A3B5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общежития для рабочих строительства на 400 человек; </w:t>
      </w:r>
    </w:p>
    <w:p w14:paraId="107C1B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камбуза и столовой на 1500 человек обедающих (деревянно-рубленных) с одновременной пропускной способностью 500 человек; </w:t>
      </w:r>
    </w:p>
    <w:p w14:paraId="044A70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бани и прачечной (деревянно-рубленной); </w:t>
      </w:r>
    </w:p>
    <w:p w14:paraId="36C53C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штаба для управления и железнодорожной базы (кирпичного); </w:t>
      </w:r>
    </w:p>
    <w:p w14:paraId="47B9A9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кают-компании начальствующего состава (деревянно-рубленной).*</w:t>
      </w:r>
    </w:p>
    <w:p w14:paraId="38B44C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Большая программа была определена и по техническому строительству. Предстояло: </w:t>
      </w:r>
    </w:p>
    <w:p w14:paraId="77DF37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соорудить кирпичную электростанцию с двумя дизелями по 150 НР, </w:t>
      </w:r>
    </w:p>
    <w:p w14:paraId="4950DA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водонасосную станцию с водонапорной башней; </w:t>
      </w:r>
    </w:p>
    <w:p w14:paraId="3DE2D6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кирпичный гараж для 12 боевых машин Зендера мехтяги; </w:t>
      </w:r>
    </w:p>
    <w:p w14:paraId="423F4B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кирпичный склад обозно-вещевого и технического имущества; </w:t>
      </w:r>
    </w:p>
    <w:p w14:paraId="113973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кирпичный склад продовольственного снабжения; </w:t>
      </w:r>
    </w:p>
    <w:p w14:paraId="641EAE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овощехранилище и ледник; </w:t>
      </w:r>
    </w:p>
    <w:p w14:paraId="0815FD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проложить разводящую сеть водопровода и канализации; </w:t>
      </w:r>
    </w:p>
    <w:p w14:paraId="4E9CFF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протянуть наружную сеть электроосвещения; </w:t>
      </w:r>
    </w:p>
    <w:p w14:paraId="77FE1A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выполнить значительные работы по благоустройству городка, устройству подъездных путей, включая 1,5 километра автодороги, по ограждению территории городка и базы. </w:t>
      </w:r>
    </w:p>
    <w:p w14:paraId="6A389C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Общая стоимость этих работ была определена в 4 миллиона 690 тысяч рублей.**</w:t>
      </w:r>
    </w:p>
    <w:p w14:paraId="18DA1D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 менее напряженные задачи были поставлены и в части железнодорожного строительства. Предстояло проложить:</w:t>
      </w:r>
    </w:p>
    <w:p w14:paraId="02AA4F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путь №1 — главный (полезная длина не менее 450 метров) с восточным и западным примыканием к главной линии Котлы—Усть-Луга;</w:t>
      </w:r>
    </w:p>
    <w:p w14:paraId="5AC919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путь №2 — главный (полезная длина не менее 450 метров);</w:t>
      </w:r>
    </w:p>
    <w:p w14:paraId="6FD7CA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пути №№ 5, 6, 7 и 8 — базовые (полезная длина не менее 450 м) Для стоянки материальной части батареи № 17 и батареи № 9;</w:t>
      </w:r>
    </w:p>
    <w:p w14:paraId="4485A0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тракционный путь с треугольником и кочегарной ямой;</w:t>
      </w:r>
    </w:p>
    <w:p w14:paraId="5562FF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 тупик № 15 со складским помещением;</w:t>
      </w:r>
    </w:p>
    <w:p w14:paraId="51DEF9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 вытяжной тупик № 14 (полезная длина 3000 метров).</w:t>
      </w:r>
    </w:p>
    <w:p w14:paraId="7212A4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Построить водоснабжение (водокачку, водоемное здание и разводную сеть), обеспечивающее отправление 9 эшелонов вслед друг за другом через 10—15 мин ( паровозы серии «Эм»).</w:t>
      </w:r>
    </w:p>
    <w:p w14:paraId="504E27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3) Построить временный угольный склад на 450 тонн при треугольнике. </w:t>
      </w:r>
    </w:p>
    <w:p w14:paraId="6148D9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4) Построить кирпичное одноэтажное здание (площадью 540 кв.м) под склад смазочных, горючих и обтирочных материалов для подвижного состава батарей. </w:t>
      </w:r>
    </w:p>
    <w:p w14:paraId="42D29E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5) Построить кирпичный паровозный сарай на 4 стойла для паровозов серии «Эм». </w:t>
      </w:r>
    </w:p>
    <w:p w14:paraId="2511D5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того, в 1936 году предусматривалось сооружение угольного склада на 450 тонн топлива, кирпичного склада смазочных, горючих и обтирочных материалов для подвижного состава батарей, кирпичного паро­ возного сарая на 4 стойла для паровозов серии «Эм».*</w:t>
      </w:r>
    </w:p>
    <w:p w14:paraId="384639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Еще более масштабные работы по развитию «базы Мукково» намечались на перспективу. «План 5-летнего развития батарей ЗУРа и КБФ» предусматривал сооружение:</w:t>
      </w:r>
    </w:p>
    <w:p w14:paraId="792188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еще одного кирпичного дома начсостава на 25 квартир с жилой площадью 1344,15 кв. м; </w:t>
      </w:r>
    </w:p>
    <w:p w14:paraId="167DD6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гражданской амбулатории на 25 посещений со стационаром на 5 коек; </w:t>
      </w:r>
    </w:p>
    <w:p w14:paraId="74A6B4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детского очага на 60 детей; </w:t>
      </w:r>
    </w:p>
    <w:p w14:paraId="3A6431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детских яслей на 80 детей; </w:t>
      </w:r>
    </w:p>
    <w:p w14:paraId="30DD49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кирпичной школы-десятилетки; </w:t>
      </w:r>
    </w:p>
    <w:p w14:paraId="34639B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клуба-кино со зрительным залом на 800 мест; </w:t>
      </w:r>
    </w:p>
    <w:p w14:paraId="6C5CD8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магазина-универмага на 100 посетителей; </w:t>
      </w:r>
    </w:p>
    <w:p w14:paraId="40F4DA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бани-душевой с пропускной способностью 60 чел.-час. и других объектов социального назначения.** </w:t>
      </w:r>
    </w:p>
    <w:p w14:paraId="0C6E5D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Одновременно с обустройством базы в Мукково по всему южному побережью Финского залива в ускоренном темпе развернулось сооружение стационарных боевых позиций и объектов инфраструктуры для тяжелых железнодорожных батарей. Пожалуй, самое концентрированное размещение объектов такого рода осуществлялось на полуостровах Колгонпя и Кургальский.</w:t>
      </w:r>
    </w:p>
    <w:p w14:paraId="00F86B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директивами Начальника Генерального Штаба РККА №№ 8/011113, 8/011114 от 5.01.31 г. в 1932—1933 годах были намечены к строительству позиции для 356-мм железнодорожной артиллерии в Курголово, Колгонпя, Алютино, Кандыкюля и для 180-мм — в Кирьямо, Колгонпя, Долгово, Липово, Красная горка—Черная Лахта. Работы, однако, продвигались с большими трудностями. К середине 1935 года фактически были построены: позиция № 300 (Кургальская) и позиция № 100 (Алютинская) — для 305- и 356-мм железнодорожной артиллерии.РГАВМФ, ф. Р-92, оп. 2, д 281, л. 8.</w:t>
      </w:r>
    </w:p>
    <w:p w14:paraId="552F88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РГАВМФ, ф. Р-92, оп. 2, д. 281, л. 30. </w:t>
      </w:r>
    </w:p>
    <w:p w14:paraId="1BA580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РГАВМФ, ф. Р-92, оп. 2, д. 416, л. 364 (11545).</w:t>
      </w:r>
    </w:p>
    <w:p w14:paraId="374882EA" w14:textId="77777777" w:rsidR="00D4105E" w:rsidRPr="00E14102" w:rsidRDefault="00D4105E" w:rsidP="00E14102">
      <w:pPr>
        <w:autoSpaceDE w:val="0"/>
        <w:autoSpaceDN w:val="0"/>
        <w:adjustRightInd w:val="0"/>
        <w:jc w:val="both"/>
        <w:rPr>
          <w:color w:val="000000" w:themeColor="text1"/>
          <w:sz w:val="16"/>
          <w:szCs w:val="16"/>
        </w:rPr>
      </w:pPr>
    </w:p>
    <w:p w14:paraId="73D323F2" w14:textId="77777777" w:rsidR="00270FBF"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0616EC0F" w14:textId="77777777" w:rsidR="00270FBF" w:rsidRPr="00E14102" w:rsidRDefault="00270FBF" w:rsidP="00E14102">
      <w:pPr>
        <w:autoSpaceDE w:val="0"/>
        <w:autoSpaceDN w:val="0"/>
        <w:adjustRightInd w:val="0"/>
        <w:jc w:val="both"/>
        <w:rPr>
          <w:iCs/>
          <w:color w:val="000000" w:themeColor="text1"/>
          <w:sz w:val="16"/>
          <w:szCs w:val="16"/>
        </w:rPr>
      </w:pPr>
    </w:p>
    <w:p w14:paraId="386AB9B7" w14:textId="77777777" w:rsidR="00270FBF" w:rsidRPr="00E14102" w:rsidRDefault="00270FBF" w:rsidP="00E14102">
      <w:pPr>
        <w:jc w:val="both"/>
        <w:rPr>
          <w:color w:val="000000" w:themeColor="text1"/>
          <w:sz w:val="16"/>
          <w:szCs w:val="16"/>
        </w:rPr>
      </w:pPr>
      <w:r w:rsidRPr="00E14102">
        <w:rPr>
          <w:bCs/>
          <w:color w:val="000000" w:themeColor="text1"/>
          <w:sz w:val="16"/>
          <w:szCs w:val="16"/>
        </w:rPr>
        <w:t>31 декабря</w:t>
      </w:r>
      <w:r w:rsidRPr="00E14102">
        <w:rPr>
          <w:color w:val="000000" w:themeColor="text1"/>
          <w:sz w:val="16"/>
          <w:szCs w:val="16"/>
        </w:rPr>
        <w:t xml:space="preserve"> в 1935 году в Ленинграде с Балтийского вокзала в Красное Село отправляется первый электропоезд (14877).</w:t>
      </w:r>
    </w:p>
    <w:p w14:paraId="71637925" w14:textId="41B0E206" w:rsidR="00270FBF" w:rsidRPr="00E14102" w:rsidRDefault="00270FBF" w:rsidP="00E14102">
      <w:pPr>
        <w:jc w:val="both"/>
        <w:rPr>
          <w:color w:val="000000" w:themeColor="text1"/>
          <w:sz w:val="16"/>
          <w:szCs w:val="16"/>
        </w:rPr>
      </w:pPr>
    </w:p>
    <w:p w14:paraId="39DBE9FB" w14:textId="6D462032" w:rsidR="005A12B1" w:rsidRPr="00E14102" w:rsidRDefault="005A12B1" w:rsidP="00E14102">
      <w:pPr>
        <w:jc w:val="both"/>
        <w:rPr>
          <w:i/>
          <w:iCs/>
          <w:color w:val="000000" w:themeColor="text1"/>
          <w:sz w:val="16"/>
          <w:szCs w:val="16"/>
        </w:rPr>
      </w:pPr>
      <w:r w:rsidRPr="00E14102">
        <w:rPr>
          <w:i/>
          <w:iCs/>
          <w:color w:val="000000" w:themeColor="text1"/>
          <w:sz w:val="16"/>
          <w:szCs w:val="16"/>
        </w:rPr>
        <w:t>За рубежом:</w:t>
      </w:r>
    </w:p>
    <w:p w14:paraId="16B98684" w14:textId="77777777" w:rsidR="005A12B1" w:rsidRPr="00E14102" w:rsidRDefault="005A12B1" w:rsidP="00E14102">
      <w:pPr>
        <w:jc w:val="both"/>
        <w:rPr>
          <w:i/>
          <w:iCs/>
          <w:color w:val="000000" w:themeColor="text1"/>
          <w:sz w:val="16"/>
          <w:szCs w:val="16"/>
        </w:rPr>
      </w:pPr>
    </w:p>
    <w:p w14:paraId="00A6F870" w14:textId="77777777" w:rsidR="005A12B1" w:rsidRPr="00E14102" w:rsidRDefault="005A12B1" w:rsidP="00E14102">
      <w:pPr>
        <w:jc w:val="both"/>
        <w:rPr>
          <w:color w:val="0070C0"/>
          <w:sz w:val="16"/>
          <w:szCs w:val="16"/>
        </w:rPr>
      </w:pPr>
      <w:r w:rsidRPr="00E14102">
        <w:rPr>
          <w:color w:val="0070C0"/>
          <w:sz w:val="16"/>
          <w:szCs w:val="16"/>
        </w:rPr>
        <w:t>31 декабря 1935 летающая лодка Imperial Airways Short S.8 Calcutta (регистрация G-AASJ, город Хартум) терпит катастрофу из-за отказа всех трех двигателей незадолго до завершения полета между Критом и Александрией, Египет, сразу после наступления темноты и совершает вынужденную посадку в Средиземном море. Пилот - единственный выживший; все девять пассажиров и три других члена экипажа погибают при ударе или тонут, когда самолет тонет (20800).</w:t>
      </w:r>
    </w:p>
    <w:p w14:paraId="20959045" w14:textId="77777777" w:rsidR="005A12B1" w:rsidRPr="00E14102" w:rsidRDefault="005A12B1" w:rsidP="00E14102">
      <w:pPr>
        <w:jc w:val="both"/>
        <w:rPr>
          <w:color w:val="0070C0"/>
          <w:sz w:val="16"/>
          <w:szCs w:val="16"/>
        </w:rPr>
      </w:pPr>
    </w:p>
    <w:p w14:paraId="24CC67A8" w14:textId="77777777" w:rsidR="005A12B1" w:rsidRPr="00E14102" w:rsidRDefault="005A12B1" w:rsidP="00E14102">
      <w:pPr>
        <w:jc w:val="both"/>
        <w:rPr>
          <w:color w:val="0070C0"/>
          <w:sz w:val="16"/>
          <w:szCs w:val="16"/>
        </w:rPr>
      </w:pPr>
      <w:r w:rsidRPr="00E14102">
        <w:rPr>
          <w:color w:val="0070C0"/>
          <w:sz w:val="16"/>
          <w:szCs w:val="16"/>
        </w:rPr>
        <w:t>31 декабря 1935 состоялся первый полет Avro Anson Mark I, первая серийная версия Anson (20800).</w:t>
      </w:r>
    </w:p>
    <w:p w14:paraId="50B16D09" w14:textId="77777777" w:rsidR="005A12B1" w:rsidRPr="00E14102" w:rsidRDefault="005A12B1" w:rsidP="00E14102">
      <w:pPr>
        <w:jc w:val="both"/>
        <w:rPr>
          <w:color w:val="0070C0"/>
          <w:sz w:val="16"/>
          <w:szCs w:val="16"/>
        </w:rPr>
      </w:pPr>
    </w:p>
    <w:p w14:paraId="102B6E3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D2FEB80" w14:textId="77777777" w:rsidR="00D4105E" w:rsidRPr="00E14102" w:rsidRDefault="00D4105E" w:rsidP="00E14102">
      <w:pPr>
        <w:autoSpaceDE w:val="0"/>
        <w:autoSpaceDN w:val="0"/>
        <w:adjustRightInd w:val="0"/>
        <w:jc w:val="both"/>
        <w:rPr>
          <w:iCs/>
          <w:color w:val="000000" w:themeColor="text1"/>
          <w:sz w:val="16"/>
          <w:szCs w:val="16"/>
        </w:rPr>
      </w:pPr>
    </w:p>
    <w:p w14:paraId="626A7E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последних числах декабря 1935 в ГУАП был организован отдел опытного самолетостроения и С.В.Ильюшин был назначен его начальником (с сохранением обязанностей главного конструктора) (24,86).</w:t>
      </w:r>
    </w:p>
    <w:p w14:paraId="2A77FE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это же время Г.Н.Королев (74,101), ставший руководителем авиастроения после смерти П.И.Баранова, был заменен на М.М.Кагановича. Г.Н.Королев стал директором Рыбинского завода 26. А.Н.Туполев стал ГИ Глававиапрома, а С.В.И. - начальником отдела опытного самолетостроения (80,422).</w:t>
      </w:r>
    </w:p>
    <w:p w14:paraId="587813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это произошло 5 января 1936</w:t>
      </w:r>
    </w:p>
    <w:p w14:paraId="119DC6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А.С.М. такой отдел был и ранее.</w:t>
      </w:r>
    </w:p>
    <w:p w14:paraId="6CC745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начальником Глававиапрома вместо Г.Н.Королева, который сменил на этом посту П.И.Баранова, был назначен М.М.Каганович (277).</w:t>
      </w:r>
    </w:p>
    <w:p w14:paraId="33B93B03" w14:textId="77777777" w:rsidR="00D4105E" w:rsidRPr="00E14102" w:rsidRDefault="00D4105E" w:rsidP="00E14102">
      <w:pPr>
        <w:autoSpaceDE w:val="0"/>
        <w:autoSpaceDN w:val="0"/>
        <w:adjustRightInd w:val="0"/>
        <w:jc w:val="both"/>
        <w:rPr>
          <w:color w:val="000000" w:themeColor="text1"/>
          <w:sz w:val="16"/>
          <w:szCs w:val="16"/>
        </w:rPr>
      </w:pPr>
    </w:p>
    <w:p w14:paraId="30F6645F" w14:textId="77777777" w:rsidR="005A12B1" w:rsidRPr="00E14102" w:rsidRDefault="005A12B1" w:rsidP="00E14102">
      <w:pPr>
        <w:jc w:val="both"/>
        <w:rPr>
          <w:color w:val="0070C0"/>
          <w:sz w:val="16"/>
          <w:szCs w:val="16"/>
        </w:rPr>
      </w:pPr>
      <w:r w:rsidRPr="00E14102">
        <w:rPr>
          <w:color w:val="0070C0"/>
          <w:sz w:val="16"/>
          <w:szCs w:val="16"/>
        </w:rPr>
        <w:t>С конца декабря 1935 последовавшие заводские испытания нового разведчика СР Кочеригина проходили не очень удачно, с постоян</w:t>
      </w:r>
      <w:r w:rsidRPr="00E14102">
        <w:rPr>
          <w:color w:val="0070C0"/>
          <w:sz w:val="16"/>
          <w:szCs w:val="16"/>
        </w:rPr>
        <w:softHyphen/>
        <w:t>ными поломками и последующими усовершенствования</w:t>
      </w:r>
      <w:r w:rsidRPr="00E14102">
        <w:rPr>
          <w:color w:val="0070C0"/>
          <w:sz w:val="16"/>
          <w:szCs w:val="16"/>
        </w:rPr>
        <w:softHyphen/>
        <w:t>ми. Многими специалистами указывалось, что самолет конструктивно сложен. Особо отмечалась сложная убор</w:t>
      </w:r>
      <w:r w:rsidRPr="00E14102">
        <w:rPr>
          <w:color w:val="0070C0"/>
          <w:sz w:val="16"/>
          <w:szCs w:val="16"/>
        </w:rPr>
        <w:softHyphen/>
        <w:t>ка шасси: «В сочленениях шасси имеется 12 открытых шарниров. Сама система подъема и опускания шасси (по типу Ди-6), при испытаниях работала вполне удовлетвори</w:t>
      </w:r>
      <w:r w:rsidRPr="00E14102">
        <w:rPr>
          <w:color w:val="0070C0"/>
          <w:sz w:val="16"/>
          <w:szCs w:val="16"/>
        </w:rPr>
        <w:softHyphen/>
        <w:t>тельно, но большое число манипуляций при этом ослож</w:t>
      </w:r>
      <w:r w:rsidRPr="00E14102">
        <w:rPr>
          <w:color w:val="0070C0"/>
          <w:sz w:val="16"/>
          <w:szCs w:val="16"/>
        </w:rPr>
        <w:softHyphen/>
        <w:t>няет работу летчика. Если при опускании шасси в систе</w:t>
      </w:r>
      <w:r w:rsidRPr="00E14102">
        <w:rPr>
          <w:color w:val="0070C0"/>
          <w:sz w:val="16"/>
          <w:szCs w:val="16"/>
        </w:rPr>
        <w:softHyphen/>
        <w:t>му поступает давление воздуха больше 30 атм - замки не запираются».</w:t>
      </w:r>
    </w:p>
    <w:p w14:paraId="77754B1A" w14:textId="77777777" w:rsidR="005A12B1" w:rsidRPr="00E14102" w:rsidRDefault="005A12B1" w:rsidP="00E14102">
      <w:pPr>
        <w:jc w:val="both"/>
        <w:rPr>
          <w:color w:val="0070C0"/>
          <w:sz w:val="16"/>
          <w:szCs w:val="16"/>
        </w:rPr>
      </w:pPr>
      <w:r w:rsidRPr="00E14102">
        <w:rPr>
          <w:color w:val="0070C0"/>
          <w:sz w:val="16"/>
          <w:szCs w:val="16"/>
        </w:rPr>
        <w:t>При проведении испытаний указывалось, что схема шас</w:t>
      </w:r>
      <w:r w:rsidRPr="00E14102">
        <w:rPr>
          <w:color w:val="0070C0"/>
          <w:sz w:val="16"/>
          <w:szCs w:val="16"/>
        </w:rPr>
        <w:softHyphen/>
        <w:t>си выполнена по типу ДИ-6. Однако более всего эта схе</w:t>
      </w:r>
      <w:r w:rsidRPr="00E14102">
        <w:rPr>
          <w:color w:val="0070C0"/>
          <w:sz w:val="16"/>
          <w:szCs w:val="16"/>
        </w:rPr>
        <w:softHyphen/>
        <w:t>ма напоминала убираемое шасси опытного истребителя конструкции Поликарпова ЦКБ-15 (И-17). Этот весьма прогрессивный самолет с двигателем М-100 мог иметь большое будущее. Однако первый опытный экземпляр, не</w:t>
      </w:r>
      <w:r w:rsidRPr="00E14102">
        <w:rPr>
          <w:color w:val="0070C0"/>
          <w:sz w:val="16"/>
          <w:szCs w:val="16"/>
        </w:rPr>
        <w:softHyphen/>
        <w:t>смотря на удовлетворительные летные данные, дальней</w:t>
      </w:r>
      <w:r w:rsidRPr="00E14102">
        <w:rPr>
          <w:color w:val="0070C0"/>
          <w:sz w:val="16"/>
          <w:szCs w:val="16"/>
        </w:rPr>
        <w:softHyphen/>
        <w:t>шего развития не получил. В стремлении обеспечить при</w:t>
      </w:r>
      <w:r w:rsidRPr="00E14102">
        <w:rPr>
          <w:color w:val="0070C0"/>
          <w:sz w:val="16"/>
          <w:szCs w:val="16"/>
        </w:rPr>
        <w:softHyphen/>
        <w:t>емлемый стояночный угол (диаметр используемого воздуш</w:t>
      </w:r>
      <w:r w:rsidRPr="00E14102">
        <w:rPr>
          <w:color w:val="0070C0"/>
          <w:sz w:val="16"/>
          <w:szCs w:val="16"/>
        </w:rPr>
        <w:softHyphen/>
        <w:t>ного винта 3,4 м оказался велик для такого маленького самолета) конструкторы установили шасси под большим углом к вертикали, что осложнило работу амортизаторов и, как следствие, дальнейшую эксплуатацию этого опыт</w:t>
      </w:r>
      <w:r w:rsidRPr="00E14102">
        <w:rPr>
          <w:color w:val="0070C0"/>
          <w:sz w:val="16"/>
          <w:szCs w:val="16"/>
        </w:rPr>
        <w:softHyphen/>
        <w:t>ного образца. Ненадежно проявил себя и механизм убор</w:t>
      </w:r>
      <w:r w:rsidRPr="00E14102">
        <w:rPr>
          <w:color w:val="0070C0"/>
          <w:sz w:val="16"/>
          <w:szCs w:val="16"/>
        </w:rPr>
        <w:softHyphen/>
        <w:t>ки шасси, поэтому позднее самолет оборудовали неуби- раемыми пирамидальными стойками, снабженными рези</w:t>
      </w:r>
      <w:r w:rsidRPr="00E14102">
        <w:rPr>
          <w:color w:val="0070C0"/>
          <w:sz w:val="16"/>
          <w:szCs w:val="16"/>
        </w:rPr>
        <w:softHyphen/>
        <w:t>новой пластинчатой амортизацией (20362).</w:t>
      </w:r>
    </w:p>
    <w:p w14:paraId="69CF264B" w14:textId="77777777" w:rsidR="005A12B1" w:rsidRPr="00E14102" w:rsidRDefault="005A12B1" w:rsidP="00E14102">
      <w:pPr>
        <w:shd w:val="clear" w:color="auto" w:fill="FFFFFF"/>
        <w:jc w:val="both"/>
        <w:rPr>
          <w:color w:val="0070C0"/>
          <w:sz w:val="16"/>
          <w:szCs w:val="16"/>
        </w:rPr>
      </w:pPr>
    </w:p>
    <w:p w14:paraId="6419BEE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ABE65F6" w14:textId="77777777" w:rsidR="00D4105E" w:rsidRPr="00E14102" w:rsidRDefault="00D4105E" w:rsidP="00E14102">
      <w:pPr>
        <w:autoSpaceDE w:val="0"/>
        <w:autoSpaceDN w:val="0"/>
        <w:adjustRightInd w:val="0"/>
        <w:jc w:val="both"/>
        <w:rPr>
          <w:iCs/>
          <w:color w:val="000000" w:themeColor="text1"/>
          <w:sz w:val="16"/>
          <w:szCs w:val="16"/>
        </w:rPr>
      </w:pPr>
    </w:p>
    <w:p w14:paraId="055A5C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концу декабря 1935 на ХПЗ собрали два первых экземпляра БД-2А - один для доводочных испытаний, другой - для установки на самолет-разведчик Р-5 (9021).</w:t>
      </w:r>
    </w:p>
    <w:p w14:paraId="76965F5B" w14:textId="77777777" w:rsidR="00D4105E" w:rsidRPr="00E14102" w:rsidRDefault="00D4105E" w:rsidP="00E14102">
      <w:pPr>
        <w:autoSpaceDE w:val="0"/>
        <w:autoSpaceDN w:val="0"/>
        <w:adjustRightInd w:val="0"/>
        <w:jc w:val="both"/>
        <w:rPr>
          <w:color w:val="000000" w:themeColor="text1"/>
          <w:sz w:val="16"/>
          <w:szCs w:val="16"/>
        </w:rPr>
      </w:pPr>
    </w:p>
    <w:p w14:paraId="01D524C4" w14:textId="77777777" w:rsidR="00785FA5"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68F02CAC" w14:textId="77777777" w:rsidR="00785FA5" w:rsidRPr="00E14102" w:rsidRDefault="00785FA5" w:rsidP="00E14102">
      <w:pPr>
        <w:autoSpaceDE w:val="0"/>
        <w:autoSpaceDN w:val="0"/>
        <w:adjustRightInd w:val="0"/>
        <w:jc w:val="both"/>
        <w:rPr>
          <w:iCs/>
          <w:color w:val="000000" w:themeColor="text1"/>
          <w:sz w:val="16"/>
          <w:szCs w:val="16"/>
        </w:rPr>
      </w:pPr>
    </w:p>
    <w:p w14:paraId="60EEA88A" w14:textId="77777777" w:rsidR="00785FA5" w:rsidRPr="00E14102" w:rsidRDefault="00785FA5"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конце декабря </w:t>
      </w:r>
      <w:r w:rsidRPr="00E14102">
        <w:rPr>
          <w:rStyle w:val="highlight"/>
          <w:color w:val="000000" w:themeColor="text1"/>
          <w:sz w:val="16"/>
          <w:szCs w:val="16"/>
        </w:rPr>
        <w:t> 1935 </w:t>
      </w:r>
      <w:r w:rsidRPr="00E14102">
        <w:rPr>
          <w:color w:val="000000" w:themeColor="text1"/>
          <w:sz w:val="16"/>
          <w:szCs w:val="16"/>
        </w:rPr>
        <w:t xml:space="preserve"> г. Ежов на пленуме ЦК сообщил, что, по неполным данным на 1 декабря </w:t>
      </w:r>
      <w:r w:rsidRPr="00E14102">
        <w:rPr>
          <w:rStyle w:val="highlight"/>
          <w:color w:val="000000" w:themeColor="text1"/>
          <w:sz w:val="16"/>
          <w:szCs w:val="16"/>
        </w:rPr>
        <w:t> 1935 </w:t>
      </w:r>
      <w:r w:rsidRPr="00E14102">
        <w:rPr>
          <w:color w:val="000000" w:themeColor="text1"/>
          <w:sz w:val="16"/>
          <w:szCs w:val="16"/>
        </w:rPr>
        <w:t xml:space="preserve"> г., в связи с исключением из партии было арестовано 15.218 "врагов" и разоблачено свыше ста "вражеских организаций и групп". На совещании по итогам проверки партдокументов, прохо</w:t>
      </w:r>
      <w:r w:rsidRPr="00E14102">
        <w:rPr>
          <w:color w:val="000000" w:themeColor="text1"/>
          <w:sz w:val="16"/>
          <w:szCs w:val="16"/>
        </w:rPr>
        <w:softHyphen/>
        <w:t xml:space="preserve">дившем 25 </w:t>
      </w:r>
      <w:bookmarkStart w:id="78" w:name="YANDEX_7"/>
      <w:bookmarkEnd w:id="78"/>
      <w:r w:rsidRPr="00E14102">
        <w:rPr>
          <w:rStyle w:val="highlight"/>
          <w:color w:val="000000" w:themeColor="text1"/>
          <w:sz w:val="16"/>
          <w:szCs w:val="16"/>
        </w:rPr>
        <w:t> января </w:t>
      </w:r>
      <w:bookmarkStart w:id="79" w:name="YANDEX_8"/>
      <w:bookmarkEnd w:id="79"/>
      <w:r w:rsidRPr="00E14102">
        <w:rPr>
          <w:rStyle w:val="highlight"/>
          <w:color w:val="000000" w:themeColor="text1"/>
          <w:sz w:val="16"/>
          <w:szCs w:val="16"/>
        </w:rPr>
        <w:t> 1936 </w:t>
      </w:r>
      <w:r w:rsidRPr="00E14102">
        <w:rPr>
          <w:color w:val="000000" w:themeColor="text1"/>
          <w:sz w:val="16"/>
          <w:szCs w:val="16"/>
        </w:rPr>
        <w:t xml:space="preserve"> г. в отделе организационно-партий</w:t>
      </w:r>
      <w:r w:rsidRPr="00E14102">
        <w:rPr>
          <w:color w:val="000000" w:themeColor="text1"/>
          <w:sz w:val="16"/>
          <w:szCs w:val="16"/>
        </w:rPr>
        <w:softHyphen/>
        <w:t>ных органов ЦК ВКП(б), Ежов предупредил, что "чистка" не завершена и среди исключенных из партии остались "враги", все еще не привлеченные к судебной ответственности. "...Мы должны вести соответствующую работу и тут надо обязать первых секретарей крайкомов, чтобы они связались с органа</w:t>
      </w:r>
      <w:r w:rsidRPr="00E14102">
        <w:rPr>
          <w:color w:val="000000" w:themeColor="text1"/>
          <w:sz w:val="16"/>
          <w:szCs w:val="16"/>
        </w:rPr>
        <w:softHyphen/>
        <w:t>ми НКВД и дали нам персональный список, кого надо в адми</w:t>
      </w:r>
      <w:r w:rsidRPr="00E14102">
        <w:rPr>
          <w:color w:val="000000" w:themeColor="text1"/>
          <w:sz w:val="16"/>
          <w:szCs w:val="16"/>
        </w:rPr>
        <w:softHyphen/>
        <w:t>нистративном порядке высылать из края немедленно", — го</w:t>
      </w:r>
      <w:r w:rsidRPr="00E14102">
        <w:rPr>
          <w:color w:val="000000" w:themeColor="text1"/>
          <w:sz w:val="16"/>
          <w:szCs w:val="16"/>
        </w:rPr>
        <w:softHyphen/>
        <w:t>ворил Ежов (17306).</w:t>
      </w:r>
    </w:p>
    <w:p w14:paraId="3EC48FBF" w14:textId="77777777" w:rsidR="00785FA5" w:rsidRPr="00E14102" w:rsidRDefault="00785FA5" w:rsidP="00E14102">
      <w:pPr>
        <w:autoSpaceDE w:val="0"/>
        <w:autoSpaceDN w:val="0"/>
        <w:adjustRightInd w:val="0"/>
        <w:jc w:val="both"/>
        <w:rPr>
          <w:color w:val="000000" w:themeColor="text1"/>
          <w:sz w:val="16"/>
          <w:szCs w:val="16"/>
        </w:rPr>
      </w:pPr>
    </w:p>
    <w:p w14:paraId="15CB758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39682EB5" w14:textId="77777777" w:rsidR="00D4105E" w:rsidRPr="00E14102" w:rsidRDefault="00D4105E" w:rsidP="00E14102">
      <w:pPr>
        <w:autoSpaceDE w:val="0"/>
        <w:autoSpaceDN w:val="0"/>
        <w:adjustRightInd w:val="0"/>
        <w:jc w:val="both"/>
        <w:rPr>
          <w:iCs/>
          <w:color w:val="000000" w:themeColor="text1"/>
          <w:sz w:val="16"/>
          <w:szCs w:val="16"/>
        </w:rPr>
      </w:pPr>
    </w:p>
    <w:p w14:paraId="6CD4A2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почти одновременно с утверждением эскизного проекта был рассмотрен и одобрен деревянный макет АНТ-42 и после этого было принято окончательное решение о постройке АНТ-42 на опытном заводе ЗОК ЦАГИ (2122,6).</w:t>
      </w:r>
    </w:p>
    <w:p w14:paraId="347881E1" w14:textId="77777777" w:rsidR="00D4105E" w:rsidRPr="00E14102" w:rsidRDefault="00D4105E" w:rsidP="00E14102">
      <w:pPr>
        <w:autoSpaceDE w:val="0"/>
        <w:autoSpaceDN w:val="0"/>
        <w:adjustRightInd w:val="0"/>
        <w:jc w:val="both"/>
        <w:rPr>
          <w:color w:val="000000" w:themeColor="text1"/>
          <w:sz w:val="16"/>
          <w:szCs w:val="16"/>
        </w:rPr>
      </w:pPr>
    </w:p>
    <w:p w14:paraId="0E1B51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практически одновременно с утверждением эскизного проекта рассмотрели и одобрили полноразмерный деревянный макет самолета, после чего последовало окончательное решение о постройке АНТ-42 на опытном заводе ЦАГИ ЗОК (Завод Опытных Конструкций). Этот авиационный завод, который долгие годы функционировал в районе улицы Радио в Москве, 1 июля 1936 г. выделили из состава ЦАГИ как самостоятельный авиазавод №156 Главного Управления авиапромышленности (ГУАП). Реорганизация одновременно коснулась и личного состава предприятия. В.М.Петлякова назначили первым заместителем директора завода и начальником конструкторского отдела, его заместителем и ведущим по машине "42" назначили И.Ф.Незваля. Что касается А.Н.Туполева, то еще ранее, 5 января 1936 г., его назначили первым заместителем начальника ГУАП, что предполагало исполнение обязанностей главного инженера всей советской авиапромышленности (12025).</w:t>
      </w:r>
    </w:p>
    <w:p w14:paraId="491E2719" w14:textId="77777777" w:rsidR="00D4105E" w:rsidRPr="00E14102" w:rsidRDefault="00D4105E" w:rsidP="00E14102">
      <w:pPr>
        <w:autoSpaceDE w:val="0"/>
        <w:autoSpaceDN w:val="0"/>
        <w:adjustRightInd w:val="0"/>
        <w:jc w:val="both"/>
        <w:rPr>
          <w:color w:val="000000" w:themeColor="text1"/>
          <w:sz w:val="16"/>
          <w:szCs w:val="16"/>
        </w:rPr>
      </w:pPr>
    </w:p>
    <w:p w14:paraId="24CECD10" w14:textId="77777777" w:rsidR="00270FBF" w:rsidRPr="00E14102" w:rsidRDefault="00270FBF" w:rsidP="00E14102">
      <w:pPr>
        <w:jc w:val="both"/>
        <w:rPr>
          <w:color w:val="000000" w:themeColor="text1"/>
          <w:sz w:val="16"/>
          <w:szCs w:val="16"/>
        </w:rPr>
      </w:pPr>
      <w:r w:rsidRPr="00E14102">
        <w:rPr>
          <w:color w:val="000000" w:themeColor="text1"/>
          <w:sz w:val="16"/>
          <w:szCs w:val="16"/>
        </w:rPr>
        <w:t>В декaбре 1935 г. объединенное проектное бюро (ОПБ) зaводa № 22 и Военно - воздушной aкaдемии приступило к проектировaнию мaшины, получившей обознaчение "Б". Эскизный проект под обознaчением БДД (бомбaрдировщик дaльнего действия) был подготовлен и подписaн Болховитиновым 27 мaртa 1936 г. Отметим, что укaзaнное обознaчение уже упоминaлось выше, то есть зaдaние продолжaло остaвaться aктуaльным, однaко его требуемые летные хaрaктеристики, соглaсно новых ТТТ, зaметно возрaстaли. В пояснительной зaписке к проекту укaзывaлось, что новый сaмолет должен облaдaть увеличенной мaксимaльной скоростью и высотностью и является дaльнейшим совершенствовaнием мaшины "А". В силовой устaновке предполaгaлось использовaть перспективные двигaтели М-34ФРН с зaявленной взлетной мощностью 1200 л. с.</w:t>
      </w:r>
    </w:p>
    <w:p w14:paraId="2C9DB6A1" w14:textId="77777777" w:rsidR="00270FBF" w:rsidRPr="00E14102" w:rsidRDefault="00270FBF" w:rsidP="00E14102">
      <w:pPr>
        <w:jc w:val="both"/>
        <w:rPr>
          <w:color w:val="000000" w:themeColor="text1"/>
          <w:sz w:val="16"/>
          <w:szCs w:val="16"/>
        </w:rPr>
      </w:pPr>
      <w:r w:rsidRPr="00E14102">
        <w:rPr>
          <w:color w:val="000000" w:themeColor="text1"/>
          <w:sz w:val="16"/>
          <w:szCs w:val="16"/>
        </w:rPr>
        <w:t>Это был достaточно интересный сaмолет. Он отличaлся стремительной формой фюзеляжa, двухкилевым вертикaльным оперением, пушечным вооружением для обороны передней и зaдней полусферы, дополнительными пулеметaми ШКАС зa кaбиной пилотов для перекрытия мертвых зон обстрелa. В то время в ЦАГИ уже велись проектные рaботы по АНТ-42 (ТБ-7), в котором для увеличения высоты полетa решили использовaть дополнительный пятый двигaтель, тaк нaзывaемый aгрегaт центрaльного нaддувa (АЦН). Болховитинов тaкже рaссмaтривaл тaкой вaриaнт, однaко более эффективным считaл использовaние 4 двигaтелей, оснaщенных двухскоростными нaгнетaтелями: "Основным недостaтком схемы центрaльного нaддувa нaдо считaть уменьшенную примерно нa 3 тонны предельную грузоподъемность мaшины…"</w:t>
      </w:r>
    </w:p>
    <w:p w14:paraId="397413D5" w14:textId="77777777" w:rsidR="00270FBF" w:rsidRPr="00E14102" w:rsidRDefault="00270FBF" w:rsidP="00E14102">
      <w:pPr>
        <w:jc w:val="both"/>
        <w:rPr>
          <w:color w:val="000000" w:themeColor="text1"/>
          <w:sz w:val="16"/>
          <w:szCs w:val="16"/>
        </w:rPr>
      </w:pPr>
      <w:r w:rsidRPr="00E14102">
        <w:rPr>
          <w:color w:val="000000" w:themeColor="text1"/>
          <w:sz w:val="16"/>
          <w:szCs w:val="16"/>
        </w:rPr>
        <w:t xml:space="preserve">Еще одной оригинaльной идеей стaло предложение оборудовaть БДД герметическими кaбинaми для экипaжa: "Для создaния нормaльных условий экипaжу нa сaмолете стaвятся кaбины, в которых нaгнетaется воздух, проходя очистительные фильтры. Выбор этой схемы высотной нaгнетaтельной кaбины объясняется следующим. Кaбинa вентилируемaя, не требует одновременно aбсолютной герметичности. Кaбинa отaпливaется теплым воздухом, поступaющим от моторов. Отпaдaют вопросы влaжности и осушения". Впрочем, вопрос с устaновкой герметических кaбин скорее походил нa блaгие пожелaния, ибо многие предстaвления о </w:t>
      </w:r>
      <w:r w:rsidRPr="00E14102">
        <w:rPr>
          <w:color w:val="000000" w:themeColor="text1"/>
          <w:sz w:val="16"/>
          <w:szCs w:val="16"/>
        </w:rPr>
        <w:lastRenderedPageBreak/>
        <w:t>герметичности предстaвлялись несколько нaивными. Чего стоили, нaпример, зaявления об отсутствии "aбсолютной герметичности" (выше) или предположения, что в случaе боевого повреждения пробоину можно будет зaткнуть чем-нибудь (15566).</w:t>
      </w:r>
    </w:p>
    <w:p w14:paraId="3529A7F3" w14:textId="77777777" w:rsidR="00270FBF" w:rsidRPr="00E14102" w:rsidRDefault="00270FBF" w:rsidP="00E14102">
      <w:pPr>
        <w:jc w:val="both"/>
        <w:rPr>
          <w:color w:val="000000" w:themeColor="text1"/>
          <w:sz w:val="16"/>
          <w:szCs w:val="16"/>
        </w:rPr>
      </w:pPr>
    </w:p>
    <w:p w14:paraId="1A1CD964"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декабре 1935 Начальник управления ВС утвердил Отчет по испытанию соединения “Звено” (ТБ3-4М17 + 2И16) (6695).</w:t>
      </w:r>
    </w:p>
    <w:p w14:paraId="5FCC891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начато 21 октября 1935 года</w:t>
      </w:r>
    </w:p>
    <w:p w14:paraId="44B37D2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окончено 1 декабря 1935 года</w:t>
      </w:r>
    </w:p>
    <w:p w14:paraId="34D47C6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56B49F2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 Лосюков</w:t>
      </w:r>
    </w:p>
    <w:p w14:paraId="6A4B90E8"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70031561"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Проверить надежность конструкции установок для подвески истребителей и безотказность их работы.</w:t>
      </w:r>
    </w:p>
    <w:p w14:paraId="4158292B"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Проверить надежность схем питания горючим и смазочным самолетов И16 от ТБ3 в полете.</w:t>
      </w:r>
    </w:p>
    <w:p w14:paraId="6E302512"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Выявить влияние установок на летные данные.</w:t>
      </w:r>
    </w:p>
    <w:p w14:paraId="480B0432"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69ACD84A"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Установку соединения “Звено” (ТБ3-4М17+2И16) заводской литер 3-6 считать прошедшей испытание (6695).</w:t>
      </w:r>
    </w:p>
    <w:p w14:paraId="26F27ED4"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3FF84C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был утвержден Отчет по испытанию самолета “ЗВЕНА” ТБ3-4М17+1М22 (“ТЯГАЧ”).</w:t>
      </w:r>
    </w:p>
    <w:p w14:paraId="33A460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Ведущие испытания:</w:t>
      </w:r>
    </w:p>
    <w:p w14:paraId="44253B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 инженер Фролов</w:t>
      </w:r>
    </w:p>
    <w:p w14:paraId="63566A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 инженер Белозеров</w:t>
      </w:r>
    </w:p>
    <w:p w14:paraId="0543DD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Летчики:</w:t>
      </w:r>
    </w:p>
    <w:p w14:paraId="179BFF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Стефановский, Нюхтиков, Супрун</w:t>
      </w:r>
    </w:p>
    <w:p w14:paraId="56B41F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Цель испытания:</w:t>
      </w:r>
    </w:p>
    <w:p w14:paraId="573887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Проведенные 4 полета с “ТЯГАЧЕМ” – И5-М22, как добавочный мотор, имели целью выявить возможность применения добавочного мотора с обтекаемой формой на обычных установках самолета “ЗВЕНА” для улучшения летных данных самолета – ТБ3-4М17. Эти испытания ставили также задачу выявить и проверить ряд аэродинамических и конструктивных вопросов для дальнейшей работы инженера Вахмистрова по его проекту добавочного мощного мотора на ТБ3 – “МОЩНЫЙ ТЯГАЧ”.</w:t>
      </w:r>
    </w:p>
    <w:p w14:paraId="2EA4EF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087B6A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дальнейшей работе инженеру Вахмистрову необходимо:</w:t>
      </w:r>
    </w:p>
    <w:p w14:paraId="01B295B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Провести теоретические исследования по применению специального мощного тягача на бомбардировщиках с различной площадью плоскостей у тягача для выявления наивыгоднейшей аэродинамики тягача, его размеров и режимов применения тягача на бомбардировщике.</w:t>
      </w:r>
    </w:p>
    <w:p w14:paraId="3B252FD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По проведении теоретическим путем целесообразности применения мощного тягача, поставить вопрос о дальнейшей работе и о постройке специального тягача перед НИИ ВВС.</w:t>
      </w:r>
    </w:p>
    <w:p w14:paraId="1CA94013"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Применение тягача в таком виде, И-5-М22 без плоскостей и оперения на ТБ3 нецелесообразно, ввиду крайне незначительного улучшения летных данных и еще по тому, что дальнейшее увеличение мощности на ТБ3 ограничено его прочностью.</w:t>
      </w:r>
    </w:p>
    <w:p w14:paraId="240BD1C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Дальнейших работ с тягачами И-5 М22 не проводить.</w:t>
      </w:r>
    </w:p>
    <w:p w14:paraId="747B6D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Тягач:</w:t>
      </w:r>
    </w:p>
    <w:p w14:paraId="3E286A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Тягач И5-М22 представляет собой фюзеляж И-5 с мотором М-22. С И-5 сняты – колеса, горизонтальное и вертикальное оперение плоскости, ручка управления, троса и костыль. Был снят также кок, т.к. в прошлом году при испытаниях “З-2” был срыв кока в воздухе.</w:t>
      </w:r>
    </w:p>
    <w:p w14:paraId="2F7D90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Проведенные 4 полета с тягачом продолжительностью в 6 час. 07 мин. проходили нормально.</w:t>
      </w:r>
    </w:p>
    <w:p w14:paraId="7F10A3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сравнения летных данных было проведено 2 полета ТБ3-4М17 без тягача на километраж и потолок продолжительностью в 3 часа (3967).</w:t>
      </w:r>
    </w:p>
    <w:p w14:paraId="3C56A1F6" w14:textId="77777777" w:rsidR="00D4105E" w:rsidRPr="00E14102" w:rsidRDefault="00D4105E" w:rsidP="00E14102">
      <w:pPr>
        <w:autoSpaceDE w:val="0"/>
        <w:autoSpaceDN w:val="0"/>
        <w:adjustRightInd w:val="0"/>
        <w:jc w:val="both"/>
        <w:rPr>
          <w:color w:val="000000" w:themeColor="text1"/>
          <w:sz w:val="16"/>
          <w:szCs w:val="16"/>
        </w:rPr>
      </w:pPr>
    </w:p>
    <w:p w14:paraId="629029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 штурмовик Г-52 Гроховского - серийный самолет ТБ-3 с моторами М-17, на котором в носу фюзеляжа была установлена зенитная пушка калибра 76 мм образца 1931 г., а в крыльях - два полевых 76мм орудия образца 1927 г. - прошел государственные испытания. Основное назначение самолета - огневое обеспечение десантной операции.</w:t>
      </w:r>
    </w:p>
    <w:p w14:paraId="4F863A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Снаряды весом 6,5 кг. Дальность стрельбы - до 18 км. Наводка на цель обеспечивалась разворотом самолета. Для прицеливания перед козырьком летчика имелась планка с простейшим сетчатым прицелом.</w:t>
      </w:r>
    </w:p>
    <w:p w14:paraId="6B6E73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заявлению конструктора три пушки “летающей батареи” могли произвести до 27 выстрелов в минуту. Последнее вызывает сомнение, так как применяемые пушки не имели автомата заряжания. Кроме того, поскольку дальность до цели определялась практически на глазок, ожидать большого положительного эффекта от применения “летающей батареи” Гроховского все же не приходится (9649).</w:t>
      </w:r>
    </w:p>
    <w:p w14:paraId="07584AA1" w14:textId="77777777" w:rsidR="00D4105E" w:rsidRPr="00E14102" w:rsidRDefault="00D4105E" w:rsidP="00E14102">
      <w:pPr>
        <w:autoSpaceDE w:val="0"/>
        <w:autoSpaceDN w:val="0"/>
        <w:adjustRightInd w:val="0"/>
        <w:jc w:val="both"/>
        <w:rPr>
          <w:color w:val="000000" w:themeColor="text1"/>
          <w:sz w:val="16"/>
          <w:szCs w:val="16"/>
        </w:rPr>
      </w:pPr>
    </w:p>
    <w:p w14:paraId="6133BE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Главным конструктором завода № 135 назначен И. Г. Неман. В структуре завода создано опытное конструкторское бюро ОКО-135 (10674).</w:t>
      </w:r>
    </w:p>
    <w:p w14:paraId="191A87EC" w14:textId="77777777" w:rsidR="00D4105E" w:rsidRPr="00E14102" w:rsidRDefault="00D4105E" w:rsidP="00E14102">
      <w:pPr>
        <w:autoSpaceDE w:val="0"/>
        <w:autoSpaceDN w:val="0"/>
        <w:adjustRightInd w:val="0"/>
        <w:jc w:val="both"/>
        <w:rPr>
          <w:color w:val="000000" w:themeColor="text1"/>
          <w:sz w:val="16"/>
          <w:szCs w:val="16"/>
        </w:rPr>
      </w:pPr>
    </w:p>
    <w:p w14:paraId="29DD1A9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 декабре 1935 года Начальник управления ВС Алкснис утвердил Отчет о гос. испытаниях самолета И-16 М-22 № 421230 с убирающимся шасси постройки завода № 21 (6700).</w:t>
      </w:r>
    </w:p>
    <w:p w14:paraId="2250D823"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начато 29 октября 1935 года</w:t>
      </w:r>
    </w:p>
    <w:p w14:paraId="128077AE"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Испытание окончено 13 ноября 1935 года</w:t>
      </w:r>
    </w:p>
    <w:p w14:paraId="657C1431"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Отв. исполнители</w:t>
      </w:r>
    </w:p>
    <w:p w14:paraId="641F8EAA"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Вед. инженер-летчик Алтынов</w:t>
      </w:r>
    </w:p>
    <w:p w14:paraId="29B0FB0F"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Цель испытаний</w:t>
      </w:r>
    </w:p>
    <w:p w14:paraId="059C2620"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Гос. испытания самолета с целью сравнительной оценки летных данных серийного самолета постройки завода № 21 с данными опытного экземпляра самолета.</w:t>
      </w:r>
    </w:p>
    <w:p w14:paraId="526F4B87"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находился на испытаниях 16 дней из них летных – 7.</w:t>
      </w:r>
    </w:p>
    <w:p w14:paraId="12B152D6" w14:textId="77777777" w:rsidR="00D4105E" w:rsidRPr="00E14102" w:rsidRDefault="00D4105E" w:rsidP="00E14102">
      <w:pPr>
        <w:tabs>
          <w:tab w:val="left" w:pos="11199"/>
        </w:tabs>
        <w:autoSpaceDE w:val="0"/>
        <w:autoSpaceDN w:val="0"/>
        <w:adjustRightInd w:val="0"/>
        <w:jc w:val="both"/>
        <w:rPr>
          <w:color w:val="000000" w:themeColor="text1"/>
          <w:sz w:val="16"/>
          <w:szCs w:val="16"/>
        </w:rPr>
      </w:pPr>
      <w:r w:rsidRPr="00E14102">
        <w:rPr>
          <w:color w:val="000000" w:themeColor="text1"/>
          <w:sz w:val="16"/>
          <w:szCs w:val="16"/>
        </w:rPr>
        <w:t>Заключение</w:t>
      </w:r>
    </w:p>
    <w:p w14:paraId="37C39896"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r w:rsidRPr="00E14102">
        <w:rPr>
          <w:color w:val="000000" w:themeColor="text1"/>
          <w:sz w:val="16"/>
          <w:szCs w:val="16"/>
        </w:rPr>
        <w:t>Самолет И-16 № 421230 постройки завода № 21 гос. испытания прошел удовлетворительно (6700).</w:t>
      </w:r>
    </w:p>
    <w:p w14:paraId="65C178D9" w14:textId="77777777" w:rsidR="00D4105E" w:rsidRPr="00E14102" w:rsidRDefault="00D4105E" w:rsidP="00E14102">
      <w:pPr>
        <w:tabs>
          <w:tab w:val="left" w:pos="360"/>
          <w:tab w:val="left" w:pos="11199"/>
        </w:tabs>
        <w:autoSpaceDE w:val="0"/>
        <w:autoSpaceDN w:val="0"/>
        <w:adjustRightInd w:val="0"/>
        <w:jc w:val="both"/>
        <w:rPr>
          <w:color w:val="000000" w:themeColor="text1"/>
          <w:sz w:val="16"/>
          <w:szCs w:val="16"/>
        </w:rPr>
      </w:pPr>
    </w:p>
    <w:p w14:paraId="4A460C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декабре 1935 г. приняли решение: не дожидаясь за</w:t>
      </w:r>
      <w:r w:rsidRPr="00E14102">
        <w:rPr>
          <w:color w:val="000000" w:themeColor="text1"/>
          <w:sz w:val="16"/>
          <w:szCs w:val="16"/>
        </w:rPr>
        <w:softHyphen/>
        <w:t>вершения ремонта ЦКБ-15, выпустить новый вариант И-17 со внесенными изменениями в конструкцию. Ма</w:t>
      </w:r>
      <w:r w:rsidRPr="00E14102">
        <w:rPr>
          <w:color w:val="000000" w:themeColor="text1"/>
          <w:sz w:val="16"/>
          <w:szCs w:val="16"/>
        </w:rPr>
        <w:softHyphen/>
        <w:t>шина получила обозначение ЦКБ-19. К этому времени моторы Испано-Сюиза 12 уже находились в серии на отечественных заводах под обозначением М-100 (глав</w:t>
      </w:r>
      <w:r w:rsidRPr="00E14102">
        <w:rPr>
          <w:color w:val="000000" w:themeColor="text1"/>
          <w:sz w:val="16"/>
          <w:szCs w:val="16"/>
        </w:rPr>
        <w:softHyphen/>
        <w:t>ный конструктор - В.Я.Климов). ЦКБ-19 строили в двух экземплярах, из них второй с самого начала пред</w:t>
      </w:r>
      <w:r w:rsidRPr="00E14102">
        <w:rPr>
          <w:color w:val="000000" w:themeColor="text1"/>
          <w:sz w:val="16"/>
          <w:szCs w:val="16"/>
        </w:rPr>
        <w:softHyphen/>
        <w:t>назначался для установки пушки. Самолет отличался от ЦКБ-15 закрылками типа “Шренк”, увеличенной коле</w:t>
      </w:r>
      <w:r w:rsidRPr="00E14102">
        <w:rPr>
          <w:color w:val="000000" w:themeColor="text1"/>
          <w:sz w:val="16"/>
          <w:szCs w:val="16"/>
        </w:rPr>
        <w:softHyphen/>
        <w:t>ей шасси; колеса теперь убирались к фюзеляжу, а не в консоли, и не тросовым механизмом, а пневматичес</w:t>
      </w:r>
      <w:r w:rsidRPr="00E14102">
        <w:rPr>
          <w:color w:val="000000" w:themeColor="text1"/>
          <w:sz w:val="16"/>
          <w:szCs w:val="16"/>
        </w:rPr>
        <w:softHyphen/>
        <w:t>ким. Впервые в СССР на машине установили водомас-ляный радиатор, охлаждавшийся водой основных радиаторов, размещенных в крыле. Практически одновременно с ЦКБ-19 завершилось проектирование его пушечного варианта ЦКБ-19бис. В “Техническом описании самолета ЦКБ-19бис с мото</w:t>
      </w:r>
      <w:r w:rsidRPr="00E14102">
        <w:rPr>
          <w:color w:val="000000" w:themeColor="text1"/>
          <w:sz w:val="16"/>
          <w:szCs w:val="16"/>
        </w:rPr>
        <w:softHyphen/>
        <w:t>ром Испано-Сюиза 12” говорилось: “Самолет ЦКБ-19бис является улучшенной модификацией самолета ЦКБ-19, от которого отличается в основном мотором и вооружением”. Крышка кабины ЦКБ-19бис сдвигалась назад. Длина самолета составляла 7,365 м, размах - 10 м, пло</w:t>
      </w:r>
      <w:r w:rsidRPr="00E14102">
        <w:rPr>
          <w:color w:val="000000" w:themeColor="text1"/>
          <w:sz w:val="16"/>
          <w:szCs w:val="16"/>
        </w:rPr>
        <w:softHyphen/>
        <w:t>щадь крыла - 17,65 м</w:t>
      </w:r>
      <w:r w:rsidRPr="00E14102">
        <w:rPr>
          <w:color w:val="000000" w:themeColor="text1"/>
          <w:sz w:val="16"/>
          <w:szCs w:val="16"/>
          <w:vertAlign w:val="superscript"/>
        </w:rPr>
        <w:t>2</w:t>
      </w:r>
      <w:r w:rsidRPr="00E14102">
        <w:rPr>
          <w:color w:val="000000" w:themeColor="text1"/>
          <w:sz w:val="16"/>
          <w:szCs w:val="16"/>
        </w:rPr>
        <w:t>, колея шасси (колеса 750x125 мм) -2,868 м. Н.Н.Поликарпов назначил Д.Л.Томашевича веду</w:t>
      </w:r>
      <w:r w:rsidRPr="00E14102">
        <w:rPr>
          <w:color w:val="000000" w:themeColor="text1"/>
          <w:sz w:val="16"/>
          <w:szCs w:val="16"/>
        </w:rPr>
        <w:softHyphen/>
        <w:t>щим конструктором самолетов ЦКБ-19 и ЦКБ-19бис. ЦКБ-19 строился с мотором М-100А (Испано-Сюиза 12УЪг5), а ЦКБ-196ис с Испано-Сюиза 12Усгз (М-100П). “Николай Николаевич изучал рекордные самолеты Супермарин, их формы, показывал мне, как будет обте</w:t>
      </w:r>
      <w:r w:rsidRPr="00E14102">
        <w:rPr>
          <w:color w:val="000000" w:themeColor="text1"/>
          <w:sz w:val="16"/>
          <w:szCs w:val="16"/>
        </w:rPr>
        <w:softHyphen/>
        <w:t>кать воздух то или иное место самолета и как выбрать формы для И-17. Эту методику анализа воздушного по</w:t>
      </w:r>
      <w:r w:rsidRPr="00E14102">
        <w:rPr>
          <w:color w:val="000000" w:themeColor="text1"/>
          <w:sz w:val="16"/>
          <w:szCs w:val="16"/>
        </w:rPr>
        <w:softHyphen/>
        <w:t>тока я запомнил надолго и применил при модернизации самолета Пе-2 в 1943 г. (на нем получили увеличение скорости почти на 100 км/ч)... К мнению ЦАГИ Нико</w:t>
      </w:r>
      <w:r w:rsidRPr="00E14102">
        <w:rPr>
          <w:color w:val="000000" w:themeColor="text1"/>
          <w:sz w:val="16"/>
          <w:szCs w:val="16"/>
        </w:rPr>
        <w:softHyphen/>
        <w:t>лай Николаевич относился без издевки, без иронии, но и без абсолютного доверия. Он учил делать самостоятель</w:t>
      </w:r>
      <w:r w:rsidRPr="00E14102">
        <w:rPr>
          <w:color w:val="000000" w:themeColor="text1"/>
          <w:sz w:val="16"/>
          <w:szCs w:val="16"/>
        </w:rPr>
        <w:softHyphen/>
        <w:t>но анализ продувок и выводы. Позже, когда управление авиапромышленности обюрократилось, рекомендации ЦАГИ претендовали на обязательность. Лишь однажды Николай Николаевич допустил иронию [по отношению к структуре ЦАГИ]: “Бюро новой техники - БНТ” он на</w:t>
      </w:r>
      <w:r w:rsidRPr="00E14102">
        <w:rPr>
          <w:color w:val="000000" w:themeColor="text1"/>
          <w:sz w:val="16"/>
          <w:szCs w:val="16"/>
        </w:rPr>
        <w:softHyphen/>
        <w:t>звал “Бюро непризнанных талантов” - туда шли рабо</w:t>
      </w:r>
      <w:r w:rsidRPr="00E14102">
        <w:rPr>
          <w:color w:val="000000" w:themeColor="text1"/>
          <w:sz w:val="16"/>
          <w:szCs w:val="16"/>
        </w:rPr>
        <w:softHyphen/>
        <w:t>тать конструкторы, не нашедшие себе места в конструкторских бюро”, - вспоминал Дмитрий Людвигович (10667).</w:t>
      </w:r>
    </w:p>
    <w:p w14:paraId="7C4DF1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524EC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был готов эскизный проект И-19 (ЦКБ-33). Столкнувшись с невозможностью обеспечить охлаждение поверхностными радиаторами на взлетном режиме Н.Н.П. решил трансформировать программу рекордного скоростного И-18 (ЦКБ-25) в истребитель И-19 (ЦКБ-33) с двумя выдвижными ражиаторами. К февралю 1936 проект вновь переработали (4207, 90).</w:t>
      </w:r>
    </w:p>
    <w:p w14:paraId="04935728" w14:textId="77777777" w:rsidR="00D4105E" w:rsidRPr="00E14102" w:rsidRDefault="00D4105E" w:rsidP="00E14102">
      <w:pPr>
        <w:autoSpaceDE w:val="0"/>
        <w:autoSpaceDN w:val="0"/>
        <w:adjustRightInd w:val="0"/>
        <w:jc w:val="both"/>
        <w:rPr>
          <w:color w:val="000000" w:themeColor="text1"/>
          <w:sz w:val="16"/>
          <w:szCs w:val="16"/>
        </w:rPr>
      </w:pPr>
    </w:p>
    <w:p w14:paraId="2383580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В декабре 1935 г. завершилась разработка эскизного проекта ЦКБ-33. В “Пояснительной записке” говори</w:t>
      </w:r>
      <w:r w:rsidRPr="00E14102">
        <w:rPr>
          <w:color w:val="000000" w:themeColor="text1"/>
          <w:sz w:val="16"/>
          <w:szCs w:val="16"/>
        </w:rPr>
        <w:softHyphen/>
        <w:t>лось: “Самолет ЦКБ-33 - скоростной одноместный ис</w:t>
      </w:r>
      <w:r w:rsidRPr="00E14102">
        <w:rPr>
          <w:color w:val="000000" w:themeColor="text1"/>
          <w:sz w:val="16"/>
          <w:szCs w:val="16"/>
        </w:rPr>
        <w:softHyphen/>
        <w:t>требитель, является улучшенной модификацией ЦКБ-15 и ЦКБ-19. По сравнению с ними ЦКБ-33 имеет другой мотор (12Усгз) с испарительно-водяным охлаждением и другим вооружением”. По расчетам, при полетном весе 1960 кг (вес пустого 1467 кг) ЦКБ-33 достигал скорости 507 км/ч на высоте 3380 м, потолка - 9975 м, дальность полета - 800 км. Во</w:t>
      </w:r>
      <w:r w:rsidRPr="00E14102">
        <w:rPr>
          <w:color w:val="000000" w:themeColor="text1"/>
          <w:sz w:val="16"/>
          <w:szCs w:val="16"/>
        </w:rPr>
        <w:softHyphen/>
        <w:t>оружение состояло из одного 12,7-мм пулемета ИШАК, стреляющего через втулку винта, и двух пулеметов ШКАС в крыле. На поверхности крыла располагались пароконденсаторы общей площадью 7 м</w:t>
      </w:r>
      <w:r w:rsidRPr="00E14102">
        <w:rPr>
          <w:color w:val="000000" w:themeColor="text1"/>
          <w:sz w:val="16"/>
          <w:szCs w:val="16"/>
          <w:vertAlign w:val="superscript"/>
        </w:rPr>
        <w:t>2</w:t>
      </w:r>
      <w:r w:rsidRPr="00E14102">
        <w:rPr>
          <w:color w:val="000000" w:themeColor="text1"/>
          <w:sz w:val="16"/>
          <w:szCs w:val="16"/>
        </w:rPr>
        <w:t>, а для обеспе</w:t>
      </w:r>
      <w:r w:rsidRPr="00E14102">
        <w:rPr>
          <w:color w:val="000000" w:themeColor="text1"/>
          <w:sz w:val="16"/>
          <w:szCs w:val="16"/>
        </w:rPr>
        <w:softHyphen/>
        <w:t>чения нормальной работы двигателя на малых скоростях в дополнение к ним устанавливались два убираемых в полете радиатора. Проект утвердили в НИИ ВВС и после устране</w:t>
      </w:r>
      <w:r w:rsidRPr="00E14102">
        <w:rPr>
          <w:color w:val="000000" w:themeColor="text1"/>
          <w:sz w:val="16"/>
          <w:szCs w:val="16"/>
        </w:rPr>
        <w:softHyphen/>
        <w:t>ния замечаний рекомендовали к постройке. Но вскоре технические требования претерпе</w:t>
      </w:r>
      <w:r w:rsidRPr="00E14102">
        <w:rPr>
          <w:color w:val="000000" w:themeColor="text1"/>
          <w:sz w:val="16"/>
          <w:szCs w:val="16"/>
        </w:rPr>
        <w:softHyphen/>
        <w:t>ли некоторые изменения. (10667).</w:t>
      </w:r>
    </w:p>
    <w:p w14:paraId="00D4A4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8B34B5E" w14:textId="77777777" w:rsidR="00270FBF" w:rsidRPr="00E14102" w:rsidRDefault="00270FBF" w:rsidP="00E14102">
      <w:pPr>
        <w:shd w:val="clear" w:color="auto" w:fill="FFFFFF"/>
        <w:jc w:val="both"/>
        <w:rPr>
          <w:color w:val="000000" w:themeColor="text1"/>
          <w:sz w:val="16"/>
          <w:szCs w:val="16"/>
        </w:rPr>
      </w:pPr>
      <w:r w:rsidRPr="00E14102">
        <w:rPr>
          <w:color w:val="000000" w:themeColor="text1"/>
          <w:sz w:val="16"/>
          <w:szCs w:val="16"/>
        </w:rPr>
        <w:t>В декабре 1935 года был завершен эскизный проект самолета ЦКБ-33. Самолет мог достигать скорости 507 км/ч на высоте 3380 метров, потолка в 9975 метров, и дальности полета 800 км. Предполагалось, что ЦКБ-33 выйдет на заводские испытания к 15-му апреля 1936 года (15223).</w:t>
      </w:r>
    </w:p>
    <w:p w14:paraId="115F5A73" w14:textId="77777777" w:rsidR="00270FBF" w:rsidRPr="00E14102" w:rsidRDefault="00270FBF" w:rsidP="00E14102">
      <w:pPr>
        <w:shd w:val="clear" w:color="auto" w:fill="FFFFFF"/>
        <w:jc w:val="both"/>
        <w:rPr>
          <w:color w:val="000000" w:themeColor="text1"/>
          <w:sz w:val="16"/>
          <w:szCs w:val="16"/>
        </w:rPr>
      </w:pPr>
    </w:p>
    <w:p w14:paraId="121DB2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 был готов эскизный про</w:t>
      </w:r>
      <w:r w:rsidRPr="00E14102">
        <w:rPr>
          <w:color w:val="000000" w:themeColor="text1"/>
          <w:sz w:val="16"/>
          <w:szCs w:val="16"/>
        </w:rPr>
        <w:softHyphen/>
        <w:t>ект истребителя И-19. Предусматривалось, что он будет иметь два варианта вооружения, размещенного в крыле: 1) 4 пулемета ШКАС; 2) 2 пушки ШВАК. При взлетном весе 2043 кг (вес пустого 1583 кг) И-19 имел расчетную максимальную скорость 575-600 км/ч на высоте 4000 м, потолок 10000-11000 м, набирал высоту 5000 м за 7,5 мин. Проект утвердили в НИИ ВВС и после устране</w:t>
      </w:r>
      <w:r w:rsidRPr="00E14102">
        <w:rPr>
          <w:color w:val="000000" w:themeColor="text1"/>
          <w:sz w:val="16"/>
          <w:szCs w:val="16"/>
        </w:rPr>
        <w:softHyphen/>
        <w:t>ния замечаний рекомендовали к постройке. Но вскоре технические требования к истребителю И-19 претерпе</w:t>
      </w:r>
      <w:r w:rsidRPr="00E14102">
        <w:rPr>
          <w:color w:val="000000" w:themeColor="text1"/>
          <w:sz w:val="16"/>
          <w:szCs w:val="16"/>
        </w:rPr>
        <w:softHyphen/>
        <w:t>ли некоторые изменения.(10667).</w:t>
      </w:r>
    </w:p>
    <w:p w14:paraId="1849AF0F" w14:textId="77777777" w:rsidR="00D4105E" w:rsidRPr="00E14102" w:rsidRDefault="00D4105E" w:rsidP="00E14102">
      <w:pPr>
        <w:autoSpaceDE w:val="0"/>
        <w:autoSpaceDN w:val="0"/>
        <w:adjustRightInd w:val="0"/>
        <w:jc w:val="both"/>
        <w:rPr>
          <w:color w:val="000000" w:themeColor="text1"/>
          <w:sz w:val="16"/>
          <w:szCs w:val="16"/>
        </w:rPr>
      </w:pPr>
    </w:p>
    <w:p w14:paraId="5DCDA1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 был выпушен учебно-тренировочный И-16 УТ-2 №82120, который потерпел катастрофу 17 июля 1936 г. Летчик- сдатчик завода Ф.Ф.Меч обучал пилотированию на этой машине летчика Д.М.Чеботенко. При заходе на посадку на малой высоте самолет сорвался в штопор и в короткое мгновение похоронил обоих пилотов (12015).</w:t>
      </w:r>
    </w:p>
    <w:p w14:paraId="34ADF7B2" w14:textId="77777777" w:rsidR="00D4105E" w:rsidRPr="00E14102" w:rsidRDefault="00D4105E" w:rsidP="00E14102">
      <w:pPr>
        <w:autoSpaceDE w:val="0"/>
        <w:autoSpaceDN w:val="0"/>
        <w:adjustRightInd w:val="0"/>
        <w:jc w:val="both"/>
        <w:rPr>
          <w:color w:val="000000" w:themeColor="text1"/>
          <w:sz w:val="16"/>
          <w:szCs w:val="16"/>
        </w:rPr>
      </w:pPr>
    </w:p>
    <w:p w14:paraId="11043D29" w14:textId="77777777" w:rsidR="00270FBF" w:rsidRPr="00E14102" w:rsidRDefault="00270FBF" w:rsidP="00E14102">
      <w:pPr>
        <w:shd w:val="clear" w:color="auto" w:fill="FFFFFF"/>
        <w:jc w:val="both"/>
        <w:rPr>
          <w:color w:val="000000" w:themeColor="text1"/>
          <w:sz w:val="16"/>
          <w:szCs w:val="16"/>
        </w:rPr>
      </w:pPr>
      <w:r w:rsidRPr="00E14102">
        <w:rPr>
          <w:color w:val="000000" w:themeColor="text1"/>
          <w:sz w:val="16"/>
          <w:szCs w:val="16"/>
        </w:rPr>
        <w:t>В декабре 1935 года испытания Ди-6 без новых происшествий завершились. Самолет на высоте 3000 м. показал максимальную скорость, превышавшую расчетную – 376,5 км/ч. Дальность полета тоже была достаточной – 690 км. Вместе с тем, практический потолок в 7400 метров оказался ниже заданного. Всего в НИИ ВСС выполнили 123 полета, из них 103 с уборкой шасси. Общий налет составил более 17 часов.</w:t>
      </w:r>
    </w:p>
    <w:p w14:paraId="6AAB0B09" w14:textId="77777777" w:rsidR="00270FBF" w:rsidRPr="00E14102" w:rsidRDefault="00270FBF" w:rsidP="00E14102">
      <w:pPr>
        <w:shd w:val="clear" w:color="auto" w:fill="FFFFFF"/>
        <w:jc w:val="both"/>
        <w:rPr>
          <w:color w:val="000000" w:themeColor="text1"/>
          <w:sz w:val="16"/>
          <w:szCs w:val="16"/>
        </w:rPr>
      </w:pPr>
      <w:r w:rsidRPr="00E14102">
        <w:rPr>
          <w:color w:val="000000" w:themeColor="text1"/>
          <w:sz w:val="16"/>
          <w:szCs w:val="16"/>
        </w:rPr>
        <w:t>Отзыв испытателей о ДИ-6 в целом был положительным. В частности в отчете говорилось:</w:t>
      </w:r>
    </w:p>
    <w:p w14:paraId="3ED33A80" w14:textId="77777777" w:rsidR="00270FBF" w:rsidRPr="00E14102" w:rsidRDefault="00270FBF" w:rsidP="00E14102">
      <w:pPr>
        <w:shd w:val="clear" w:color="auto" w:fill="FFFFFF"/>
        <w:jc w:val="both"/>
        <w:rPr>
          <w:iCs/>
          <w:color w:val="000000" w:themeColor="text1"/>
          <w:sz w:val="16"/>
          <w:szCs w:val="16"/>
        </w:rPr>
      </w:pPr>
      <w:r w:rsidRPr="00E14102">
        <w:rPr>
          <w:iCs/>
          <w:color w:val="000000" w:themeColor="text1"/>
          <w:sz w:val="16"/>
          <w:szCs w:val="16"/>
        </w:rPr>
        <w:t>По максимальной скорости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w:t>
      </w:r>
    </w:p>
    <w:p w14:paraId="48781F5C" w14:textId="77777777" w:rsidR="00270FBF" w:rsidRPr="00E14102" w:rsidRDefault="00270FBF" w:rsidP="00E14102">
      <w:pPr>
        <w:shd w:val="clear" w:color="auto" w:fill="FFFFFF"/>
        <w:jc w:val="both"/>
        <w:rPr>
          <w:color w:val="000000" w:themeColor="text1"/>
          <w:sz w:val="16"/>
          <w:szCs w:val="16"/>
        </w:rPr>
      </w:pPr>
      <w:r w:rsidRPr="00E14102">
        <w:rPr>
          <w:color w:val="000000" w:themeColor="text1"/>
          <w:sz w:val="16"/>
          <w:szCs w:val="16"/>
        </w:rPr>
        <w:t>Конструкцию убирающегося шасси и колес с внутренней амортизацией испытатели сочли удачной и рекомендовали к внедрению на машинах других типов. Вместе с тем в отчете об испытаниях отмечалась сильная вибрация нижних крыльев на земле и в воздухе, недостаточная эффективность элеронов, сложность процесса выпуска и уборки шасси, неудобство кабины истребителя. Были замечания и к вооружению.</w:t>
      </w:r>
    </w:p>
    <w:p w14:paraId="4357E49D" w14:textId="77777777" w:rsidR="00270FBF" w:rsidRPr="00E14102" w:rsidRDefault="00270FBF" w:rsidP="00E14102">
      <w:pPr>
        <w:shd w:val="clear" w:color="auto" w:fill="FFFFFF"/>
        <w:jc w:val="both"/>
        <w:rPr>
          <w:color w:val="000000" w:themeColor="text1"/>
          <w:sz w:val="16"/>
          <w:szCs w:val="16"/>
        </w:rPr>
      </w:pPr>
      <w:r w:rsidRPr="00E14102">
        <w:rPr>
          <w:color w:val="000000" w:themeColor="text1"/>
          <w:sz w:val="16"/>
          <w:szCs w:val="16"/>
        </w:rPr>
        <w:t>Однако все эти недостатки сочли устранимыми. В заключении отчета НИИ ВВС, заводу № 39 предлагалось приступить к постройке опытной войсковой серии самолета. Начальник ВВС РККА Я.И. Алкснис подписал акт по утверждению результатов Государственных испытаний, в котором говорилось: «Просить Начальника ГУАПа обязать завод № 39 выпустить в кратчайший срок один из 10 самолетов ДИ-6М-25, заказанных УВВС для войсковых испытаний, как образец для заказа ДИ-6М-25 на 1936 г.» (По нормам того времени, в полном обозначении самолета обязательно указывался тип двигателя) (15223).</w:t>
      </w:r>
    </w:p>
    <w:p w14:paraId="1DEA2CDC" w14:textId="77777777" w:rsidR="00270FBF" w:rsidRPr="00E14102" w:rsidRDefault="00270FBF" w:rsidP="00E14102">
      <w:pPr>
        <w:shd w:val="clear" w:color="auto" w:fill="FFFFFF"/>
        <w:jc w:val="both"/>
        <w:rPr>
          <w:color w:val="000000" w:themeColor="text1"/>
          <w:sz w:val="16"/>
          <w:szCs w:val="16"/>
        </w:rPr>
      </w:pPr>
    </w:p>
    <w:p w14:paraId="3BC7B4E3" w14:textId="77777777" w:rsidR="00611DF0" w:rsidRPr="00E14102" w:rsidRDefault="00611DF0" w:rsidP="00E14102">
      <w:pPr>
        <w:pStyle w:val="a7"/>
        <w:rPr>
          <w:color w:val="000000" w:themeColor="text1"/>
          <w:sz w:val="16"/>
          <w:szCs w:val="16"/>
          <w:lang w:val="ru-RU"/>
        </w:rPr>
      </w:pPr>
      <w:r w:rsidRPr="00E14102">
        <w:rPr>
          <w:color w:val="000000" w:themeColor="text1"/>
          <w:sz w:val="16"/>
          <w:szCs w:val="16"/>
          <w:lang w:val="ru-RU"/>
        </w:rPr>
        <w:t>В декабре 1935 г. решением Совнаркома работу по И-3 Вахмистрова пре</w:t>
      </w:r>
      <w:r w:rsidRPr="00E14102">
        <w:rPr>
          <w:color w:val="000000" w:themeColor="text1"/>
          <w:sz w:val="16"/>
          <w:szCs w:val="16"/>
          <w:lang w:val="ru-RU"/>
        </w:rPr>
        <w:softHyphen/>
        <w:t>кратили. На него успели истратить около полумиллиона рублей. Недостроенную машину списали (17741).</w:t>
      </w:r>
    </w:p>
    <w:p w14:paraId="77732E72" w14:textId="77777777" w:rsidR="00611DF0" w:rsidRPr="00E14102" w:rsidRDefault="00611DF0" w:rsidP="00E14102">
      <w:pPr>
        <w:pStyle w:val="a7"/>
        <w:rPr>
          <w:color w:val="000000" w:themeColor="text1"/>
          <w:sz w:val="16"/>
          <w:szCs w:val="16"/>
          <w:lang w:val="ru-RU"/>
        </w:rPr>
      </w:pPr>
    </w:p>
    <w:p w14:paraId="18C9BE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декабря 1935 г. по январь 1936 г. Инженер-летчик К.А.Калилец провел в НИИ ВВС госиспытания КСМ, показавшие:</w:t>
      </w:r>
    </w:p>
    <w:p w14:paraId="0E9595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 Полную возможность применения автомотора ГАЗ в авиации.</w:t>
      </w:r>
    </w:p>
    <w:p w14:paraId="1B8851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КСМ-^вследствие перетяжеления имеет низкие данные и не может служить образцом для серийной постройки.</w:t>
      </w:r>
    </w:p>
    <w:p w14:paraId="57A24B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Мотор ГАЗ установленный на самолете обладает:</w:t>
      </w:r>
    </w:p>
    <w:p w14:paraId="0836AD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большой надежностью работы (в том числе на трех сортах топлива),</w:t>
      </w:r>
    </w:p>
    <w:p w14:paraId="349FD0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простотой эксплуатации,</w:t>
      </w:r>
    </w:p>
    <w:p w14:paraId="7206F2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большой экономичностью,</w:t>
      </w:r>
    </w:p>
    <w:p w14:paraId="0F8227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 возможностью получения больших серий”.</w:t>
      </w:r>
    </w:p>
    <w:p w14:paraId="0F2707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испытаний самолет вернулся в Горький. Фонарь кабины убрали - его раскритиковал Калилец (10212).</w:t>
      </w:r>
    </w:p>
    <w:p w14:paraId="676229DE" w14:textId="77777777" w:rsidR="00D4105E" w:rsidRPr="00E14102" w:rsidRDefault="00D4105E" w:rsidP="00E14102">
      <w:pPr>
        <w:autoSpaceDE w:val="0"/>
        <w:autoSpaceDN w:val="0"/>
        <w:adjustRightInd w:val="0"/>
        <w:jc w:val="both"/>
        <w:rPr>
          <w:color w:val="000000" w:themeColor="text1"/>
          <w:sz w:val="16"/>
          <w:szCs w:val="16"/>
        </w:rPr>
      </w:pPr>
    </w:p>
    <w:p w14:paraId="3BED1B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года в ходе дальнейшего совершенствования DC-2 появился еще более вместительный DST, оборудованный, как железнодорожный вагон, спальными местами, а затем его вариант DC-3 с обычными креслами (3457,50).</w:t>
      </w:r>
    </w:p>
    <w:p w14:paraId="1254B9ED" w14:textId="77777777" w:rsidR="00D4105E" w:rsidRPr="00E14102" w:rsidRDefault="00D4105E" w:rsidP="00E14102">
      <w:pPr>
        <w:autoSpaceDE w:val="0"/>
        <w:autoSpaceDN w:val="0"/>
        <w:adjustRightInd w:val="0"/>
        <w:jc w:val="both"/>
        <w:rPr>
          <w:color w:val="000000" w:themeColor="text1"/>
          <w:sz w:val="16"/>
          <w:szCs w:val="16"/>
        </w:rPr>
      </w:pPr>
    </w:p>
    <w:p w14:paraId="576D6B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СССР заказал фирме Фейри 2 самолета-истребителя Фантом. Это были машины N F2264 и F2265, изготовленные в Хейсе и получившие номера AF8001 AF8002 Госселье (Бельгия, которой их пытались продать) и эти номера нанесли на хвостовые части. В ноябре 1935 машины были облетаны (2557,21).</w:t>
      </w:r>
    </w:p>
    <w:p w14:paraId="1BBD1725" w14:textId="77777777" w:rsidR="00D4105E" w:rsidRPr="00E14102" w:rsidRDefault="00D4105E" w:rsidP="00E14102">
      <w:pPr>
        <w:autoSpaceDE w:val="0"/>
        <w:autoSpaceDN w:val="0"/>
        <w:adjustRightInd w:val="0"/>
        <w:jc w:val="both"/>
        <w:rPr>
          <w:color w:val="000000" w:themeColor="text1"/>
          <w:sz w:val="16"/>
          <w:szCs w:val="16"/>
        </w:rPr>
      </w:pPr>
    </w:p>
    <w:p w14:paraId="402DB5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завершили разработку эскизного проекта МТБ-2 (АНТ-44) и начали постройку первой машины (80,280).</w:t>
      </w:r>
    </w:p>
    <w:p w14:paraId="34872F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другим данным в это время машина уже была построена.</w:t>
      </w:r>
    </w:p>
    <w:p w14:paraId="412BA1CE" w14:textId="77777777" w:rsidR="00D4105E" w:rsidRPr="00E14102" w:rsidRDefault="00D4105E" w:rsidP="00E14102">
      <w:pPr>
        <w:autoSpaceDE w:val="0"/>
        <w:autoSpaceDN w:val="0"/>
        <w:adjustRightInd w:val="0"/>
        <w:jc w:val="both"/>
        <w:rPr>
          <w:color w:val="000000" w:themeColor="text1"/>
          <w:sz w:val="16"/>
          <w:szCs w:val="16"/>
        </w:rPr>
      </w:pPr>
    </w:p>
    <w:p w14:paraId="41EB3E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 последовали первые уточнения и дополнения к разработанному эскизному проекту МТБ-2. Они повлекли за собой изменение расчетных характеристик. Нормальный полетный вес определили в 15780 кг, максимальную скорость на высоте 3850 м - 330 км/ч, максимальную дальность полета - 2000 км, максимальную бомбовую нагрузку - 2000 кг.</w:t>
      </w:r>
    </w:p>
    <w:p w14:paraId="78CD10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рассмотрения представленных характеристик в феврале 1936 г. со стороны заказчиков последовало заявление, что новый гид росамолет ЦАГИ не удовлетворяет ТТТ по Части бомбовой нагрузки и дальности полета. Военные требовали при дальности полета 2000 км обеспечить бомбовую нагрузку 2500 кг. Среди лиц, требующих пересмотра эскизного проекта, значился помощник начальника морских сил по авиации Ромашкин (несколько лет тому назад он командовал эскадрильей летающих лодок Дорнье "Валь" на Черном море) (11962).</w:t>
      </w:r>
    </w:p>
    <w:p w14:paraId="6DF0A3B1" w14:textId="77777777" w:rsidR="00D4105E" w:rsidRPr="00E14102" w:rsidRDefault="00D4105E" w:rsidP="00E14102">
      <w:pPr>
        <w:autoSpaceDE w:val="0"/>
        <w:autoSpaceDN w:val="0"/>
        <w:adjustRightInd w:val="0"/>
        <w:jc w:val="both"/>
        <w:rPr>
          <w:color w:val="000000" w:themeColor="text1"/>
          <w:sz w:val="16"/>
          <w:szCs w:val="16"/>
        </w:rPr>
      </w:pPr>
    </w:p>
    <w:p w14:paraId="43C4B8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на АНТ-27 начали устанавливать двигатели М-34ФРН (2072,75).</w:t>
      </w:r>
    </w:p>
    <w:p w14:paraId="6CD7D8EB" w14:textId="77777777" w:rsidR="00D4105E" w:rsidRPr="00E14102" w:rsidRDefault="00D4105E" w:rsidP="00E14102">
      <w:pPr>
        <w:autoSpaceDE w:val="0"/>
        <w:autoSpaceDN w:val="0"/>
        <w:adjustRightInd w:val="0"/>
        <w:jc w:val="both"/>
        <w:rPr>
          <w:color w:val="000000" w:themeColor="text1"/>
          <w:sz w:val="16"/>
          <w:szCs w:val="16"/>
        </w:rPr>
      </w:pPr>
    </w:p>
    <w:p w14:paraId="2FA9AB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в ЦАГИ (КОСОС) с учетом опыта постройки дублера АНТ-27 начали разработку модернизированного с обшивкой крыльев из гладкого алюминия, переделанным центропланом и поплавками, съемным лыжным шасси и с М-34ФРН. С апреля 1936 в Таганроге работала большая группа КОСОС во главе с Голубковым и к 1 октября сдали рабочие чертежи, но машину исключили из плана опытного стр-ва (6472, 34).</w:t>
      </w:r>
    </w:p>
    <w:p w14:paraId="1B3492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F81F131" w14:textId="77777777" w:rsidR="005A12B1" w:rsidRPr="00E14102" w:rsidRDefault="005A12B1" w:rsidP="00E14102">
      <w:pPr>
        <w:jc w:val="both"/>
        <w:rPr>
          <w:color w:val="0070C0"/>
          <w:sz w:val="16"/>
          <w:szCs w:val="16"/>
          <w:lang w:bidi="ru-RU"/>
        </w:rPr>
      </w:pPr>
      <w:r w:rsidRPr="00E14102">
        <w:rPr>
          <w:color w:val="0070C0"/>
          <w:sz w:val="16"/>
          <w:szCs w:val="16"/>
          <w:lang w:bidi="ru-RU"/>
        </w:rPr>
        <w:t>В декаб</w:t>
      </w:r>
      <w:r w:rsidRPr="00E14102">
        <w:rPr>
          <w:color w:val="0070C0"/>
          <w:sz w:val="16"/>
          <w:szCs w:val="16"/>
          <w:lang w:bidi="ru-RU"/>
        </w:rPr>
        <w:softHyphen/>
        <w:t>ре 1935 г. уже с опытом постройки «дублера» начали разрабатывать проект МДР-4Р. Кроме применения новых двигателей, на нем решили усилить кры</w:t>
      </w:r>
      <w:r w:rsidRPr="00E14102">
        <w:rPr>
          <w:color w:val="0070C0"/>
          <w:sz w:val="16"/>
          <w:szCs w:val="16"/>
          <w:lang w:bidi="ru-RU"/>
        </w:rPr>
        <w:softHyphen/>
        <w:t>ло, заменить полотно на консолях гладкой алюминиевой обшивкой, переделать центроплан и поплавки, устано</w:t>
      </w:r>
      <w:r w:rsidRPr="00E14102">
        <w:rPr>
          <w:color w:val="0070C0"/>
          <w:sz w:val="16"/>
          <w:szCs w:val="16"/>
          <w:lang w:bidi="ru-RU"/>
        </w:rPr>
        <w:softHyphen/>
        <w:t>вить новую пулеметную башню и предусмотрели примене</w:t>
      </w:r>
      <w:r w:rsidRPr="00E14102">
        <w:rPr>
          <w:color w:val="0070C0"/>
          <w:sz w:val="16"/>
          <w:szCs w:val="16"/>
          <w:lang w:bidi="ru-RU"/>
        </w:rPr>
        <w:softHyphen/>
        <w:t>ние съемного лыжного шасси. Этот вариант хотели быс</w:t>
      </w:r>
      <w:r w:rsidRPr="00E14102">
        <w:rPr>
          <w:color w:val="0070C0"/>
          <w:sz w:val="16"/>
          <w:szCs w:val="16"/>
          <w:lang w:bidi="ru-RU"/>
        </w:rPr>
        <w:softHyphen/>
        <w:t>трее внедрить в серию, и с апреля 1936 г. в Таганроге ра</w:t>
      </w:r>
      <w:r w:rsidRPr="00E14102">
        <w:rPr>
          <w:color w:val="0070C0"/>
          <w:sz w:val="16"/>
          <w:szCs w:val="16"/>
          <w:lang w:bidi="ru-RU"/>
        </w:rPr>
        <w:softHyphen/>
        <w:t>ботала большая группа сотрудников КОСОС во главе с А.П. Голубковым (20325).</w:t>
      </w:r>
    </w:p>
    <w:p w14:paraId="670ED68A" w14:textId="77777777" w:rsidR="005A12B1" w:rsidRPr="00E14102" w:rsidRDefault="005A12B1" w:rsidP="00E14102">
      <w:pPr>
        <w:jc w:val="both"/>
        <w:rPr>
          <w:color w:val="0070C0"/>
          <w:sz w:val="16"/>
          <w:szCs w:val="16"/>
          <w:lang w:bidi="ru-RU"/>
        </w:rPr>
      </w:pPr>
    </w:p>
    <w:p w14:paraId="4AE769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Кон</w:t>
      </w:r>
      <w:r w:rsidRPr="00E14102">
        <w:rPr>
          <w:color w:val="000000" w:themeColor="text1"/>
          <w:sz w:val="16"/>
          <w:szCs w:val="16"/>
        </w:rPr>
        <w:softHyphen/>
        <w:t>структивная разработка в основном закончилась в декаб</w:t>
      </w:r>
      <w:r w:rsidRPr="00E14102">
        <w:rPr>
          <w:color w:val="000000" w:themeColor="text1"/>
          <w:sz w:val="16"/>
          <w:szCs w:val="16"/>
        </w:rPr>
        <w:softHyphen/>
        <w:t>ре 1935 г., к окончанию лета 1936 г. в Таганроге построили первый опытный экземпляр и подготовили его к летным испытаниям (11107).</w:t>
      </w:r>
    </w:p>
    <w:p w14:paraId="2AC2FB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530320A" w14:textId="77777777" w:rsidR="004428EE" w:rsidRPr="00E14102" w:rsidRDefault="004428EE" w:rsidP="00E14102">
      <w:pPr>
        <w:pStyle w:val="61"/>
        <w:shd w:val="clear" w:color="auto" w:fill="auto"/>
        <w:spacing w:before="0" w:line="240" w:lineRule="auto"/>
        <w:rPr>
          <w:color w:val="000000" w:themeColor="text1"/>
          <w:sz w:val="16"/>
          <w:szCs w:val="16"/>
        </w:rPr>
      </w:pPr>
      <w:r w:rsidRPr="00E14102">
        <w:rPr>
          <w:color w:val="000000" w:themeColor="text1"/>
          <w:sz w:val="16"/>
          <w:szCs w:val="16"/>
        </w:rPr>
        <w:t>В декабре 1935 года кон</w:t>
      </w:r>
      <w:r w:rsidRPr="00E14102">
        <w:rPr>
          <w:color w:val="000000" w:themeColor="text1"/>
          <w:sz w:val="16"/>
          <w:szCs w:val="16"/>
        </w:rPr>
        <w:softHyphen/>
        <w:t>структивная разработка КОР-1 в основном закончи</w:t>
      </w:r>
      <w:r w:rsidRPr="00E14102">
        <w:rPr>
          <w:color w:val="000000" w:themeColor="text1"/>
          <w:sz w:val="16"/>
          <w:szCs w:val="16"/>
        </w:rPr>
        <w:softHyphen/>
        <w:t>лась, а к окончанию ле</w:t>
      </w:r>
      <w:r w:rsidRPr="00E14102">
        <w:rPr>
          <w:color w:val="000000" w:themeColor="text1"/>
          <w:sz w:val="16"/>
          <w:szCs w:val="16"/>
        </w:rPr>
        <w:softHyphen/>
        <w:t>та следующего года первый опытный экзем</w:t>
      </w:r>
      <w:r w:rsidRPr="00E14102">
        <w:rPr>
          <w:color w:val="000000" w:themeColor="text1"/>
          <w:sz w:val="16"/>
          <w:szCs w:val="16"/>
        </w:rPr>
        <w:softHyphen/>
        <w:t>пляр построили в Таганроге и подготовили к летным испытаниям.</w:t>
      </w:r>
    </w:p>
    <w:p w14:paraId="74FC546A" w14:textId="77777777" w:rsidR="004428EE" w:rsidRPr="00E14102" w:rsidRDefault="004428EE" w:rsidP="00E14102">
      <w:pPr>
        <w:jc w:val="both"/>
        <w:rPr>
          <w:color w:val="000000" w:themeColor="text1"/>
          <w:sz w:val="16"/>
          <w:szCs w:val="16"/>
        </w:rPr>
      </w:pPr>
      <w:r w:rsidRPr="00E14102">
        <w:rPr>
          <w:color w:val="000000" w:themeColor="text1"/>
          <w:sz w:val="16"/>
          <w:szCs w:val="16"/>
        </w:rPr>
        <w:t>КОР-1 представлял собой нормальный, т.е. классический, биплан на одном цент</w:t>
      </w:r>
      <w:r w:rsidRPr="00E14102">
        <w:rPr>
          <w:color w:val="000000" w:themeColor="text1"/>
          <w:sz w:val="16"/>
          <w:szCs w:val="16"/>
        </w:rPr>
        <w:softHyphen/>
        <w:t>ральном поплавке с двумя поплавками боко</w:t>
      </w:r>
      <w:r w:rsidRPr="00E14102">
        <w:rPr>
          <w:color w:val="000000" w:themeColor="text1"/>
          <w:sz w:val="16"/>
          <w:szCs w:val="16"/>
        </w:rPr>
        <w:softHyphen/>
        <w:t>вой остойчивости. Конструкция полностью металлическая, с обшивкой из полотна. Был оснащен звездообразным двигателем М-25 мощностью 700 л.с. с трехлопастным воз</w:t>
      </w:r>
      <w:r w:rsidRPr="00E14102">
        <w:rPr>
          <w:color w:val="000000" w:themeColor="text1"/>
          <w:sz w:val="16"/>
          <w:szCs w:val="16"/>
        </w:rPr>
        <w:softHyphen/>
        <w:t>душным винтом постоянного шага. В серии обычно устанавливались двухлопастные воз</w:t>
      </w:r>
      <w:r w:rsidRPr="00E14102">
        <w:rPr>
          <w:color w:val="000000" w:themeColor="text1"/>
          <w:sz w:val="16"/>
          <w:szCs w:val="16"/>
        </w:rPr>
        <w:softHyphen/>
        <w:t xml:space="preserve">душные винты постоянного шага. Экипаж составляли два человека: летчик и воздушный стрелок-наблюдатель. </w:t>
      </w:r>
      <w:r w:rsidRPr="00E14102">
        <w:rPr>
          <w:color w:val="000000" w:themeColor="text1"/>
          <w:sz w:val="16"/>
          <w:szCs w:val="16"/>
        </w:rPr>
        <w:lastRenderedPageBreak/>
        <w:t>Наступательное воо</w:t>
      </w:r>
      <w:r w:rsidRPr="00E14102">
        <w:rPr>
          <w:color w:val="000000" w:themeColor="text1"/>
          <w:sz w:val="16"/>
          <w:szCs w:val="16"/>
        </w:rPr>
        <w:softHyphen/>
        <w:t>ружение включало два пулемета ШКАС на верхнем крыле. Пулеметы выступали из кры</w:t>
      </w:r>
      <w:r w:rsidRPr="00E14102">
        <w:rPr>
          <w:color w:val="000000" w:themeColor="text1"/>
          <w:sz w:val="16"/>
          <w:szCs w:val="16"/>
        </w:rPr>
        <w:softHyphen/>
        <w:t>ла и были вынесены за пределы вращающе</w:t>
      </w:r>
      <w:r w:rsidRPr="00E14102">
        <w:rPr>
          <w:color w:val="000000" w:themeColor="text1"/>
          <w:sz w:val="16"/>
          <w:szCs w:val="16"/>
        </w:rPr>
        <w:softHyphen/>
        <w:t>гося воздушного винта. Оборонительное во</w:t>
      </w:r>
      <w:r w:rsidRPr="00E14102">
        <w:rPr>
          <w:color w:val="000000" w:themeColor="text1"/>
          <w:sz w:val="16"/>
          <w:szCs w:val="16"/>
        </w:rPr>
        <w:softHyphen/>
        <w:t>оружение — один пулемет ШКАС на шквор</w:t>
      </w:r>
      <w:r w:rsidRPr="00E14102">
        <w:rPr>
          <w:color w:val="000000" w:themeColor="text1"/>
          <w:sz w:val="16"/>
          <w:szCs w:val="16"/>
        </w:rPr>
        <w:softHyphen/>
        <w:t>невой установке у воздушного стрелка. Бом</w:t>
      </w:r>
      <w:r w:rsidRPr="00E14102">
        <w:rPr>
          <w:color w:val="000000" w:themeColor="text1"/>
          <w:sz w:val="16"/>
          <w:szCs w:val="16"/>
        </w:rPr>
        <w:softHyphen/>
        <w:t>бардировочное вооружение - две авиабомбы калибра 50 кг под нижним крылом на стан</w:t>
      </w:r>
      <w:r w:rsidRPr="00E14102">
        <w:rPr>
          <w:color w:val="000000" w:themeColor="text1"/>
          <w:sz w:val="16"/>
          <w:szCs w:val="16"/>
        </w:rPr>
        <w:softHyphen/>
        <w:t>дартных держателях (12301).</w:t>
      </w:r>
    </w:p>
    <w:p w14:paraId="0F3F5BD9" w14:textId="77777777" w:rsidR="004428EE" w:rsidRPr="00E14102" w:rsidRDefault="004428EE" w:rsidP="00E14102">
      <w:pPr>
        <w:jc w:val="both"/>
        <w:rPr>
          <w:color w:val="000000" w:themeColor="text1"/>
          <w:sz w:val="16"/>
          <w:szCs w:val="16"/>
        </w:rPr>
      </w:pPr>
    </w:p>
    <w:p w14:paraId="0CB358B2" w14:textId="77777777" w:rsidR="00D4105E" w:rsidRPr="00E14102" w:rsidRDefault="004428EE" w:rsidP="00E14102">
      <w:pPr>
        <w:autoSpaceDE w:val="0"/>
        <w:autoSpaceDN w:val="0"/>
        <w:adjustRightInd w:val="0"/>
        <w:jc w:val="both"/>
        <w:rPr>
          <w:color w:val="000000" w:themeColor="text1"/>
          <w:sz w:val="16"/>
          <w:szCs w:val="16"/>
        </w:rPr>
      </w:pPr>
      <w:r w:rsidRPr="00E14102">
        <w:rPr>
          <w:color w:val="000000" w:themeColor="text1"/>
          <w:sz w:val="16"/>
          <w:szCs w:val="16"/>
        </w:rPr>
        <w:t>В</w:t>
      </w:r>
      <w:r w:rsidR="00D4105E" w:rsidRPr="00E14102">
        <w:rPr>
          <w:color w:val="000000" w:themeColor="text1"/>
          <w:sz w:val="16"/>
          <w:szCs w:val="16"/>
        </w:rPr>
        <w:t xml:space="preserve"> декабре 1935 года</w:t>
      </w:r>
      <w:r w:rsidRPr="00E14102">
        <w:rPr>
          <w:color w:val="000000" w:themeColor="text1"/>
          <w:sz w:val="16"/>
          <w:szCs w:val="16"/>
        </w:rPr>
        <w:t xml:space="preserve"> завершились испытания пневматического самолета, предназначенного для ведения разведки</w:t>
      </w:r>
      <w:r w:rsidR="00D4105E" w:rsidRPr="00E14102">
        <w:rPr>
          <w:color w:val="000000" w:themeColor="text1"/>
          <w:sz w:val="16"/>
          <w:szCs w:val="16"/>
        </w:rPr>
        <w:t>, после чего ему был присвоен индекс ПГ-69. 27 марта 1936-го на совещании, которое проводил с флотскими специалистами и представителями промышленности командующий БФ Л.М. Галлер, было решено оборудовать подводную лодку типа «Барс» мягким резиновым самолетом до 1 июня (Там же. Л. 39.) (11176).</w:t>
      </w:r>
    </w:p>
    <w:p w14:paraId="575E555E" w14:textId="77777777" w:rsidR="00D4105E" w:rsidRPr="00E14102" w:rsidRDefault="00D4105E" w:rsidP="00E14102">
      <w:pPr>
        <w:autoSpaceDE w:val="0"/>
        <w:autoSpaceDN w:val="0"/>
        <w:adjustRightInd w:val="0"/>
        <w:jc w:val="both"/>
        <w:rPr>
          <w:color w:val="000000" w:themeColor="text1"/>
          <w:sz w:val="16"/>
          <w:szCs w:val="16"/>
        </w:rPr>
      </w:pPr>
    </w:p>
    <w:p w14:paraId="58FDD3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В.М.М. подписал постановление СТО "О производстве испытаний и постройке головной серии арктического гидросамолета ДАР" В.М.М. (2161,95).</w:t>
      </w:r>
    </w:p>
    <w:p w14:paraId="1CA90730" w14:textId="77777777" w:rsidR="00D4105E" w:rsidRPr="00E14102" w:rsidRDefault="00D4105E" w:rsidP="00E14102">
      <w:pPr>
        <w:autoSpaceDE w:val="0"/>
        <w:autoSpaceDN w:val="0"/>
        <w:adjustRightInd w:val="0"/>
        <w:jc w:val="both"/>
        <w:rPr>
          <w:color w:val="000000" w:themeColor="text1"/>
          <w:sz w:val="16"/>
          <w:szCs w:val="16"/>
        </w:rPr>
      </w:pPr>
    </w:p>
    <w:p w14:paraId="1B857C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КБ Г. М. Бериева получает задание на проектирование МДР-5 (451).</w:t>
      </w:r>
    </w:p>
    <w:p w14:paraId="6B119F6F" w14:textId="77777777" w:rsidR="00D4105E" w:rsidRPr="00E14102" w:rsidRDefault="00D4105E" w:rsidP="00E14102">
      <w:pPr>
        <w:autoSpaceDE w:val="0"/>
        <w:autoSpaceDN w:val="0"/>
        <w:adjustRightInd w:val="0"/>
        <w:jc w:val="both"/>
        <w:rPr>
          <w:color w:val="000000" w:themeColor="text1"/>
          <w:sz w:val="16"/>
          <w:szCs w:val="16"/>
        </w:rPr>
      </w:pPr>
    </w:p>
    <w:p w14:paraId="1E1E52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в КБ Г.М.Б. - ЦКБ МС в основном закончилось проектирование КОР-1 (9079,29).</w:t>
      </w:r>
    </w:p>
    <w:p w14:paraId="0C5B1E20" w14:textId="77777777" w:rsidR="00D4105E" w:rsidRPr="00E14102" w:rsidRDefault="00D4105E" w:rsidP="00E14102">
      <w:pPr>
        <w:autoSpaceDE w:val="0"/>
        <w:autoSpaceDN w:val="0"/>
        <w:adjustRightInd w:val="0"/>
        <w:jc w:val="both"/>
        <w:rPr>
          <w:color w:val="000000" w:themeColor="text1"/>
          <w:sz w:val="16"/>
          <w:szCs w:val="16"/>
        </w:rPr>
      </w:pPr>
    </w:p>
    <w:p w14:paraId="1E9F6614" w14:textId="77777777" w:rsidR="00103BC7" w:rsidRPr="00E14102" w:rsidRDefault="00103BC7" w:rsidP="00E14102">
      <w:pPr>
        <w:jc w:val="both"/>
        <w:rPr>
          <w:color w:val="000000" w:themeColor="text1"/>
          <w:sz w:val="16"/>
          <w:szCs w:val="16"/>
        </w:rPr>
      </w:pPr>
      <w:r w:rsidRPr="00E14102">
        <w:rPr>
          <w:color w:val="000000" w:themeColor="text1"/>
          <w:sz w:val="16"/>
          <w:szCs w:val="16"/>
        </w:rPr>
        <w:t>В декабре 1935 г. пробные летные испытания надувного планера (без мотора) дали положительные результаты. В ходе опытно-конструкторских работ инженеры института во взаимодействии с начальником Военно-морских сил Балтийского моря флагманом второго ранга Л.М. Галлером отрабатывали вопросы размещения пневматического гидросамолета ПГ-69 на борту подводной лодки «Барс». Дальнейшие испытания ПГ-69 на прочность под моторной нагрузкой в 1936 г. были задержаны из-за непоставки импортного мотора «Прага» (19543).</w:t>
      </w:r>
    </w:p>
    <w:p w14:paraId="641BC66F" w14:textId="77777777" w:rsidR="00103BC7" w:rsidRPr="00E14102" w:rsidRDefault="00103BC7" w:rsidP="00E14102">
      <w:pPr>
        <w:jc w:val="both"/>
        <w:rPr>
          <w:color w:val="000000" w:themeColor="text1"/>
          <w:sz w:val="16"/>
          <w:szCs w:val="16"/>
        </w:rPr>
      </w:pPr>
    </w:p>
    <w:p w14:paraId="189880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по рекомендации отчета по испытаниям было принято решение о разработке усовершенствованного автожира А-7 - А-7бис (257,17).</w:t>
      </w:r>
    </w:p>
    <w:p w14:paraId="2D9497BF" w14:textId="77777777" w:rsidR="00D4105E" w:rsidRPr="00E14102" w:rsidRDefault="00D4105E" w:rsidP="00E14102">
      <w:pPr>
        <w:autoSpaceDE w:val="0"/>
        <w:autoSpaceDN w:val="0"/>
        <w:adjustRightInd w:val="0"/>
        <w:jc w:val="both"/>
        <w:rPr>
          <w:color w:val="000000" w:themeColor="text1"/>
          <w:sz w:val="16"/>
          <w:szCs w:val="16"/>
        </w:rPr>
      </w:pPr>
    </w:p>
    <w:p w14:paraId="388E3E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года был подготовлен План опытного строительства самолетов на 1936-1937 гг. (приложение № 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41"/>
        <w:gridCol w:w="1077"/>
        <w:gridCol w:w="1077"/>
        <w:gridCol w:w="1077"/>
        <w:gridCol w:w="1077"/>
        <w:gridCol w:w="1191"/>
        <w:gridCol w:w="1408"/>
        <w:gridCol w:w="2325"/>
      </w:tblGrid>
      <w:tr w:rsidR="00E3599D" w:rsidRPr="00E14102" w14:paraId="4E33A88E" w14:textId="77777777">
        <w:tc>
          <w:tcPr>
            <w:tcW w:w="2041" w:type="dxa"/>
          </w:tcPr>
          <w:p w14:paraId="44090B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Военное назначение самолета</w:t>
            </w:r>
          </w:p>
        </w:tc>
        <w:tc>
          <w:tcPr>
            <w:tcW w:w="1077" w:type="dxa"/>
          </w:tcPr>
          <w:p w14:paraId="2A18C9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Высота боевого применения</w:t>
            </w:r>
          </w:p>
        </w:tc>
        <w:tc>
          <w:tcPr>
            <w:tcW w:w="1077" w:type="dxa"/>
          </w:tcPr>
          <w:p w14:paraId="140246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применения</w:t>
            </w:r>
          </w:p>
        </w:tc>
        <w:tc>
          <w:tcPr>
            <w:tcW w:w="1077" w:type="dxa"/>
          </w:tcPr>
          <w:p w14:paraId="3658F5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w:t>
            </w:r>
          </w:p>
        </w:tc>
        <w:tc>
          <w:tcPr>
            <w:tcW w:w="1077" w:type="dxa"/>
          </w:tcPr>
          <w:p w14:paraId="0DC184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действия</w:t>
            </w:r>
          </w:p>
        </w:tc>
        <w:tc>
          <w:tcPr>
            <w:tcW w:w="1191" w:type="dxa"/>
          </w:tcPr>
          <w:p w14:paraId="5406F5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1408" w:type="dxa"/>
          </w:tcPr>
          <w:p w14:paraId="2A081F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госиспытания</w:t>
            </w:r>
          </w:p>
        </w:tc>
        <w:tc>
          <w:tcPr>
            <w:tcW w:w="2325" w:type="dxa"/>
          </w:tcPr>
          <w:p w14:paraId="14A30C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6AC45ADD" w14:textId="77777777">
        <w:tc>
          <w:tcPr>
            <w:tcW w:w="2041" w:type="dxa"/>
          </w:tcPr>
          <w:p w14:paraId="2ED61B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Сухопутные самолеты.</w:t>
            </w:r>
          </w:p>
        </w:tc>
        <w:tc>
          <w:tcPr>
            <w:tcW w:w="1077" w:type="dxa"/>
          </w:tcPr>
          <w:p w14:paraId="66F7C3AD"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4A1AAE3F"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7C9B7E06"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743EB5E5"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24D50D00"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1C6087C1"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3E44A6E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CD4F883" w14:textId="77777777">
        <w:tc>
          <w:tcPr>
            <w:tcW w:w="2041" w:type="dxa"/>
          </w:tcPr>
          <w:p w14:paraId="09DEB3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И17-М100</w:t>
            </w:r>
          </w:p>
        </w:tc>
        <w:tc>
          <w:tcPr>
            <w:tcW w:w="1077" w:type="dxa"/>
          </w:tcPr>
          <w:p w14:paraId="3FA42E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189D1B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1077" w:type="dxa"/>
          </w:tcPr>
          <w:p w14:paraId="5E43F8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1077" w:type="dxa"/>
          </w:tcPr>
          <w:p w14:paraId="709C99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191" w:type="dxa"/>
          </w:tcPr>
          <w:p w14:paraId="42B6AB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408" w:type="dxa"/>
          </w:tcPr>
          <w:p w14:paraId="74E079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w:t>
            </w:r>
          </w:p>
        </w:tc>
        <w:tc>
          <w:tcPr>
            <w:tcW w:w="2325" w:type="dxa"/>
          </w:tcPr>
          <w:p w14:paraId="629D04F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7EE6C2E" w14:textId="77777777">
        <w:tc>
          <w:tcPr>
            <w:tcW w:w="2041" w:type="dxa"/>
          </w:tcPr>
          <w:p w14:paraId="514E7F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И18-М100 (с пушкой)</w:t>
            </w:r>
          </w:p>
        </w:tc>
        <w:tc>
          <w:tcPr>
            <w:tcW w:w="1077" w:type="dxa"/>
          </w:tcPr>
          <w:p w14:paraId="4B80F6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2D8CE7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1077" w:type="dxa"/>
          </w:tcPr>
          <w:p w14:paraId="118F07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1077" w:type="dxa"/>
          </w:tcPr>
          <w:p w14:paraId="370CFC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191" w:type="dxa"/>
          </w:tcPr>
          <w:p w14:paraId="0847F7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408" w:type="dxa"/>
          </w:tcPr>
          <w:p w14:paraId="4BF3E5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1936 г.</w:t>
            </w:r>
          </w:p>
        </w:tc>
        <w:tc>
          <w:tcPr>
            <w:tcW w:w="2325" w:type="dxa"/>
          </w:tcPr>
          <w:p w14:paraId="66A736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является модификацией И17-М100</w:t>
            </w:r>
          </w:p>
        </w:tc>
      </w:tr>
      <w:tr w:rsidR="00E3599D" w:rsidRPr="00E14102" w14:paraId="13C719D0" w14:textId="77777777">
        <w:tc>
          <w:tcPr>
            <w:tcW w:w="2041" w:type="dxa"/>
          </w:tcPr>
          <w:p w14:paraId="50B8F7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И19-М34ФН</w:t>
            </w:r>
          </w:p>
        </w:tc>
        <w:tc>
          <w:tcPr>
            <w:tcW w:w="1077" w:type="dxa"/>
          </w:tcPr>
          <w:p w14:paraId="62F80A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60B0FF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550-600</w:t>
            </w:r>
          </w:p>
        </w:tc>
        <w:tc>
          <w:tcPr>
            <w:tcW w:w="1077" w:type="dxa"/>
          </w:tcPr>
          <w:p w14:paraId="013A1F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1077" w:type="dxa"/>
          </w:tcPr>
          <w:p w14:paraId="2DE441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191" w:type="dxa"/>
          </w:tcPr>
          <w:p w14:paraId="28AA7B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408" w:type="dxa"/>
          </w:tcPr>
          <w:p w14:paraId="2F4F95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1B151B5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AF3E03E" w14:textId="77777777">
        <w:tc>
          <w:tcPr>
            <w:tcW w:w="2041" w:type="dxa"/>
          </w:tcPr>
          <w:p w14:paraId="5835EE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пушечный М-100</w:t>
            </w:r>
          </w:p>
        </w:tc>
        <w:tc>
          <w:tcPr>
            <w:tcW w:w="1077" w:type="dxa"/>
          </w:tcPr>
          <w:p w14:paraId="28126E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6627F7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500-550</w:t>
            </w:r>
          </w:p>
        </w:tc>
        <w:tc>
          <w:tcPr>
            <w:tcW w:w="1077" w:type="dxa"/>
          </w:tcPr>
          <w:p w14:paraId="2651D9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1077" w:type="dxa"/>
          </w:tcPr>
          <w:p w14:paraId="2D079E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191" w:type="dxa"/>
          </w:tcPr>
          <w:p w14:paraId="1868B2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c>
          <w:tcPr>
            <w:tcW w:w="1408" w:type="dxa"/>
          </w:tcPr>
          <w:p w14:paraId="0396BD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w:t>
            </w:r>
          </w:p>
        </w:tc>
        <w:tc>
          <w:tcPr>
            <w:tcW w:w="2325" w:type="dxa"/>
          </w:tcPr>
          <w:p w14:paraId="48FE9DA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ADA6FAD" w14:textId="77777777">
        <w:tc>
          <w:tcPr>
            <w:tcW w:w="2041" w:type="dxa"/>
          </w:tcPr>
          <w:p w14:paraId="28EEA8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 М34ФРН (специальный)</w:t>
            </w:r>
          </w:p>
        </w:tc>
        <w:tc>
          <w:tcPr>
            <w:tcW w:w="1077" w:type="dxa"/>
          </w:tcPr>
          <w:p w14:paraId="66B0F7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2E25E6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1077" w:type="dxa"/>
          </w:tcPr>
          <w:p w14:paraId="7F1103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1077" w:type="dxa"/>
          </w:tcPr>
          <w:p w14:paraId="4ACC8D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700/1000</w:t>
            </w:r>
          </w:p>
        </w:tc>
        <w:tc>
          <w:tcPr>
            <w:tcW w:w="1191" w:type="dxa"/>
          </w:tcPr>
          <w:p w14:paraId="245C09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408" w:type="dxa"/>
          </w:tcPr>
          <w:p w14:paraId="79F611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w:t>
            </w:r>
          </w:p>
        </w:tc>
        <w:tc>
          <w:tcPr>
            <w:tcW w:w="2325" w:type="dxa"/>
          </w:tcPr>
          <w:p w14:paraId="701403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600 км на высоте 3000 м</w:t>
            </w:r>
          </w:p>
        </w:tc>
      </w:tr>
      <w:tr w:rsidR="00E3599D" w:rsidRPr="00E14102" w14:paraId="2C0F6E8E" w14:textId="77777777">
        <w:tc>
          <w:tcPr>
            <w:tcW w:w="2041" w:type="dxa"/>
          </w:tcPr>
          <w:p w14:paraId="38FB26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Одноместный истребитель</w:t>
            </w:r>
          </w:p>
        </w:tc>
        <w:tc>
          <w:tcPr>
            <w:tcW w:w="1077" w:type="dxa"/>
          </w:tcPr>
          <w:p w14:paraId="15F271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10EB51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500-550</w:t>
            </w:r>
          </w:p>
        </w:tc>
        <w:tc>
          <w:tcPr>
            <w:tcW w:w="1077" w:type="dxa"/>
          </w:tcPr>
          <w:p w14:paraId="2EB23D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110-115</w:t>
            </w:r>
          </w:p>
        </w:tc>
        <w:tc>
          <w:tcPr>
            <w:tcW w:w="1077" w:type="dxa"/>
          </w:tcPr>
          <w:p w14:paraId="06F5BE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191" w:type="dxa"/>
          </w:tcPr>
          <w:p w14:paraId="1C9F5F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21</w:t>
            </w:r>
          </w:p>
        </w:tc>
        <w:tc>
          <w:tcPr>
            <w:tcW w:w="1408" w:type="dxa"/>
          </w:tcPr>
          <w:p w14:paraId="291C24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w:t>
            </w:r>
          </w:p>
        </w:tc>
        <w:tc>
          <w:tcPr>
            <w:tcW w:w="2325" w:type="dxa"/>
          </w:tcPr>
          <w:p w14:paraId="37A0BA1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C2566BB" w14:textId="77777777">
        <w:tc>
          <w:tcPr>
            <w:tcW w:w="2041" w:type="dxa"/>
          </w:tcPr>
          <w:p w14:paraId="6710F6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Многоместный истребитель 2М85</w:t>
            </w:r>
          </w:p>
        </w:tc>
        <w:tc>
          <w:tcPr>
            <w:tcW w:w="1077" w:type="dxa"/>
          </w:tcPr>
          <w:p w14:paraId="10CE9B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611ED4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375</w:t>
            </w:r>
          </w:p>
        </w:tc>
        <w:tc>
          <w:tcPr>
            <w:tcW w:w="1077" w:type="dxa"/>
          </w:tcPr>
          <w:p w14:paraId="76C94F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403F6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471BF4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408" w:type="dxa"/>
          </w:tcPr>
          <w:p w14:paraId="16925E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w:t>
            </w:r>
          </w:p>
        </w:tc>
        <w:tc>
          <w:tcPr>
            <w:tcW w:w="2325" w:type="dxa"/>
          </w:tcPr>
          <w:p w14:paraId="083033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старом плане самолет имел марку ДИ-8</w:t>
            </w:r>
          </w:p>
        </w:tc>
      </w:tr>
      <w:tr w:rsidR="00E3599D" w:rsidRPr="00E14102" w14:paraId="24571474" w14:textId="77777777">
        <w:tc>
          <w:tcPr>
            <w:tcW w:w="2041" w:type="dxa"/>
          </w:tcPr>
          <w:p w14:paraId="01E2D8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разведчик (Р9-М85)</w:t>
            </w:r>
          </w:p>
        </w:tc>
        <w:tc>
          <w:tcPr>
            <w:tcW w:w="1077" w:type="dxa"/>
          </w:tcPr>
          <w:p w14:paraId="768CBB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100F4A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1077" w:type="dxa"/>
          </w:tcPr>
          <w:p w14:paraId="35B66D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1077" w:type="dxa"/>
          </w:tcPr>
          <w:p w14:paraId="328345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191" w:type="dxa"/>
          </w:tcPr>
          <w:p w14:paraId="710934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408" w:type="dxa"/>
          </w:tcPr>
          <w:p w14:paraId="093722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1936 г.</w:t>
            </w:r>
          </w:p>
        </w:tc>
        <w:tc>
          <w:tcPr>
            <w:tcW w:w="2325" w:type="dxa"/>
          </w:tcPr>
          <w:p w14:paraId="232D851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8F7F657" w14:textId="77777777">
        <w:tc>
          <w:tcPr>
            <w:tcW w:w="2041" w:type="dxa"/>
          </w:tcPr>
          <w:p w14:paraId="3BB864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разведчик</w:t>
            </w:r>
          </w:p>
        </w:tc>
        <w:tc>
          <w:tcPr>
            <w:tcW w:w="1077" w:type="dxa"/>
          </w:tcPr>
          <w:p w14:paraId="2C0200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63E09B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1077" w:type="dxa"/>
          </w:tcPr>
          <w:p w14:paraId="3ABB6A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1077" w:type="dxa"/>
          </w:tcPr>
          <w:p w14:paraId="42E23C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191" w:type="dxa"/>
          </w:tcPr>
          <w:p w14:paraId="7C2628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135</w:t>
            </w:r>
          </w:p>
        </w:tc>
        <w:tc>
          <w:tcPr>
            <w:tcW w:w="1408" w:type="dxa"/>
          </w:tcPr>
          <w:p w14:paraId="5EE2BF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3BE69B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переводе конструктора ХАИ Немана на завод № 135. В отношении модификации тоже.</w:t>
            </w:r>
          </w:p>
        </w:tc>
      </w:tr>
      <w:tr w:rsidR="00E3599D" w:rsidRPr="00E14102" w14:paraId="0C2EF4A5" w14:textId="77777777">
        <w:tc>
          <w:tcPr>
            <w:tcW w:w="2041" w:type="dxa"/>
          </w:tcPr>
          <w:p w14:paraId="7BB220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разведчик</w:t>
            </w:r>
          </w:p>
        </w:tc>
        <w:tc>
          <w:tcPr>
            <w:tcW w:w="1077" w:type="dxa"/>
          </w:tcPr>
          <w:p w14:paraId="7B837D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7E7C9E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450-500</w:t>
            </w:r>
          </w:p>
        </w:tc>
        <w:tc>
          <w:tcPr>
            <w:tcW w:w="1077" w:type="dxa"/>
          </w:tcPr>
          <w:p w14:paraId="0DCBD8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1077" w:type="dxa"/>
          </w:tcPr>
          <w:p w14:paraId="603C44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191" w:type="dxa"/>
          </w:tcPr>
          <w:p w14:paraId="030EFD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c>
          <w:tcPr>
            <w:tcW w:w="1408" w:type="dxa"/>
          </w:tcPr>
          <w:p w14:paraId="710E01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1936 г.</w:t>
            </w:r>
          </w:p>
        </w:tc>
        <w:tc>
          <w:tcPr>
            <w:tcW w:w="2325" w:type="dxa"/>
          </w:tcPr>
          <w:p w14:paraId="415F9DA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37E4433" w14:textId="77777777">
        <w:tc>
          <w:tcPr>
            <w:tcW w:w="2041" w:type="dxa"/>
          </w:tcPr>
          <w:p w14:paraId="006C18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Дальний разведчик 2М-100</w:t>
            </w:r>
          </w:p>
        </w:tc>
        <w:tc>
          <w:tcPr>
            <w:tcW w:w="1077" w:type="dxa"/>
          </w:tcPr>
          <w:p w14:paraId="4DF61B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758084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405-430</w:t>
            </w:r>
          </w:p>
        </w:tc>
        <w:tc>
          <w:tcPr>
            <w:tcW w:w="1077" w:type="dxa"/>
          </w:tcPr>
          <w:p w14:paraId="5E67F9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55D84C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 норм. с перегрузкой 3000</w:t>
            </w:r>
          </w:p>
        </w:tc>
        <w:tc>
          <w:tcPr>
            <w:tcW w:w="1191" w:type="dxa"/>
          </w:tcPr>
          <w:p w14:paraId="65F4C6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408" w:type="dxa"/>
          </w:tcPr>
          <w:p w14:paraId="7A6DE9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 г.</w:t>
            </w:r>
          </w:p>
        </w:tc>
        <w:tc>
          <w:tcPr>
            <w:tcW w:w="2325" w:type="dxa"/>
          </w:tcPr>
          <w:p w14:paraId="659F83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является модификацией СБ-2М100</w:t>
            </w:r>
          </w:p>
        </w:tc>
      </w:tr>
      <w:tr w:rsidR="00E3599D" w:rsidRPr="00E14102" w14:paraId="7C5B8624" w14:textId="77777777">
        <w:tc>
          <w:tcPr>
            <w:tcW w:w="2041" w:type="dxa"/>
          </w:tcPr>
          <w:p w14:paraId="0E0B16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Бомбардировщик дальнего действия (ТБ7-4М34) с центральным наддувом</w:t>
            </w:r>
          </w:p>
        </w:tc>
        <w:tc>
          <w:tcPr>
            <w:tcW w:w="1077" w:type="dxa"/>
          </w:tcPr>
          <w:p w14:paraId="5A7361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8-9000</w:t>
            </w:r>
          </w:p>
        </w:tc>
        <w:tc>
          <w:tcPr>
            <w:tcW w:w="1077" w:type="dxa"/>
          </w:tcPr>
          <w:p w14:paraId="1771DD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1077" w:type="dxa"/>
          </w:tcPr>
          <w:p w14:paraId="06390C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1077" w:type="dxa"/>
          </w:tcPr>
          <w:p w14:paraId="55A5D0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 норм. с перегрузкой 4000</w:t>
            </w:r>
          </w:p>
        </w:tc>
        <w:tc>
          <w:tcPr>
            <w:tcW w:w="1191" w:type="dxa"/>
          </w:tcPr>
          <w:p w14:paraId="55342D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408" w:type="dxa"/>
          </w:tcPr>
          <w:p w14:paraId="4DC45A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00CE10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совместных испытаний</w:t>
            </w:r>
          </w:p>
        </w:tc>
      </w:tr>
      <w:tr w:rsidR="00E3599D" w:rsidRPr="00E14102" w14:paraId="25061CB7" w14:textId="77777777">
        <w:tc>
          <w:tcPr>
            <w:tcW w:w="2041" w:type="dxa"/>
          </w:tcPr>
          <w:p w14:paraId="5E3601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Бомбардировщик дальнего действия с М34 со специальным наддувом</w:t>
            </w:r>
          </w:p>
        </w:tc>
        <w:tc>
          <w:tcPr>
            <w:tcW w:w="1077" w:type="dxa"/>
          </w:tcPr>
          <w:p w14:paraId="58D6ED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8-9000</w:t>
            </w:r>
          </w:p>
        </w:tc>
        <w:tc>
          <w:tcPr>
            <w:tcW w:w="1077" w:type="dxa"/>
          </w:tcPr>
          <w:p w14:paraId="486B4A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1077" w:type="dxa"/>
          </w:tcPr>
          <w:p w14:paraId="572227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1077" w:type="dxa"/>
          </w:tcPr>
          <w:p w14:paraId="5464FC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 норм. с перегрузкой 4000</w:t>
            </w:r>
          </w:p>
        </w:tc>
        <w:tc>
          <w:tcPr>
            <w:tcW w:w="1191" w:type="dxa"/>
          </w:tcPr>
          <w:p w14:paraId="413BD5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tc>
        <w:tc>
          <w:tcPr>
            <w:tcW w:w="1408" w:type="dxa"/>
          </w:tcPr>
          <w:p w14:paraId="2F7A47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1937 г.</w:t>
            </w:r>
          </w:p>
        </w:tc>
        <w:tc>
          <w:tcPr>
            <w:tcW w:w="2325" w:type="dxa"/>
          </w:tcPr>
          <w:p w14:paraId="0111DA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является дальнейшим развитием самолета ДБ-4М34РН завода № 22</w:t>
            </w:r>
          </w:p>
        </w:tc>
      </w:tr>
      <w:tr w:rsidR="00E3599D" w:rsidRPr="00E14102" w14:paraId="5F447CF9" w14:textId="77777777">
        <w:tc>
          <w:tcPr>
            <w:tcW w:w="2041" w:type="dxa"/>
          </w:tcPr>
          <w:p w14:paraId="768856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Бомбардировщик дальнего действия с 2-мя моторами М-85</w:t>
            </w:r>
          </w:p>
        </w:tc>
        <w:tc>
          <w:tcPr>
            <w:tcW w:w="1077" w:type="dxa"/>
          </w:tcPr>
          <w:p w14:paraId="676941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4BF236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300-320</w:t>
            </w:r>
          </w:p>
        </w:tc>
        <w:tc>
          <w:tcPr>
            <w:tcW w:w="1077" w:type="dxa"/>
          </w:tcPr>
          <w:p w14:paraId="2612E9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w:t>
            </w:r>
          </w:p>
        </w:tc>
        <w:tc>
          <w:tcPr>
            <w:tcW w:w="1077" w:type="dxa"/>
          </w:tcPr>
          <w:p w14:paraId="3EA4F8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191" w:type="dxa"/>
          </w:tcPr>
          <w:p w14:paraId="59DC14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408" w:type="dxa"/>
          </w:tcPr>
          <w:p w14:paraId="6B1D22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w:t>
            </w:r>
          </w:p>
        </w:tc>
        <w:tc>
          <w:tcPr>
            <w:tcW w:w="2325" w:type="dxa"/>
          </w:tcPr>
          <w:p w14:paraId="57C5EDE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9B755E4" w14:textId="77777777">
        <w:tc>
          <w:tcPr>
            <w:tcW w:w="2041" w:type="dxa"/>
          </w:tcPr>
          <w:p w14:paraId="617B56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Бомбардировщик дальнего действия (скоростной) 2М85</w:t>
            </w:r>
          </w:p>
        </w:tc>
        <w:tc>
          <w:tcPr>
            <w:tcW w:w="1077" w:type="dxa"/>
          </w:tcPr>
          <w:p w14:paraId="53AA3C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44CEE9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1077" w:type="dxa"/>
          </w:tcPr>
          <w:p w14:paraId="50EE71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668B71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 км норм. с перегрузкой 4000</w:t>
            </w:r>
          </w:p>
        </w:tc>
        <w:tc>
          <w:tcPr>
            <w:tcW w:w="1191" w:type="dxa"/>
          </w:tcPr>
          <w:p w14:paraId="0E86A2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408" w:type="dxa"/>
          </w:tcPr>
          <w:p w14:paraId="5E1197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w:t>
            </w:r>
          </w:p>
        </w:tc>
        <w:tc>
          <w:tcPr>
            <w:tcW w:w="2325" w:type="dxa"/>
          </w:tcPr>
          <w:p w14:paraId="63F283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экземпляр с пониженной дальностью выпускается к 1 апреля 1936 года</w:t>
            </w:r>
          </w:p>
        </w:tc>
      </w:tr>
      <w:tr w:rsidR="00E3599D" w:rsidRPr="00E14102" w14:paraId="04A2EE59" w14:textId="77777777">
        <w:tc>
          <w:tcPr>
            <w:tcW w:w="2041" w:type="dxa"/>
          </w:tcPr>
          <w:p w14:paraId="396706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Пикирующий бомбардировщик</w:t>
            </w:r>
          </w:p>
        </w:tc>
        <w:tc>
          <w:tcPr>
            <w:tcW w:w="1077" w:type="dxa"/>
          </w:tcPr>
          <w:p w14:paraId="407C29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7655F2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400-450</w:t>
            </w:r>
          </w:p>
        </w:tc>
        <w:tc>
          <w:tcPr>
            <w:tcW w:w="1077" w:type="dxa"/>
          </w:tcPr>
          <w:p w14:paraId="5A50C9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90-95</w:t>
            </w:r>
          </w:p>
        </w:tc>
        <w:tc>
          <w:tcPr>
            <w:tcW w:w="1077" w:type="dxa"/>
          </w:tcPr>
          <w:p w14:paraId="685175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 км норм. с перегрузкой 1000</w:t>
            </w:r>
          </w:p>
        </w:tc>
        <w:tc>
          <w:tcPr>
            <w:tcW w:w="1191" w:type="dxa"/>
          </w:tcPr>
          <w:p w14:paraId="18176C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c>
          <w:tcPr>
            <w:tcW w:w="1408" w:type="dxa"/>
          </w:tcPr>
          <w:p w14:paraId="55B1FD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 г.</w:t>
            </w:r>
          </w:p>
        </w:tc>
        <w:tc>
          <w:tcPr>
            <w:tcW w:w="2325" w:type="dxa"/>
          </w:tcPr>
          <w:p w14:paraId="2869F9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положительных результатах заводских испытаний модифицируется в скоростного разведчика и легкого бомбардировщика, путем замены вооружения и оборудования.</w:t>
            </w:r>
          </w:p>
        </w:tc>
      </w:tr>
      <w:tr w:rsidR="00E3599D" w:rsidRPr="00E14102" w14:paraId="1D6EE910" w14:textId="77777777">
        <w:tc>
          <w:tcPr>
            <w:tcW w:w="2041" w:type="dxa"/>
          </w:tcPr>
          <w:p w14:paraId="799E91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Войсковой самолет (2-х местный) с М34ФРН</w:t>
            </w:r>
          </w:p>
        </w:tc>
        <w:tc>
          <w:tcPr>
            <w:tcW w:w="1077" w:type="dxa"/>
          </w:tcPr>
          <w:p w14:paraId="5331FB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3-5000</w:t>
            </w:r>
          </w:p>
        </w:tc>
        <w:tc>
          <w:tcPr>
            <w:tcW w:w="1077" w:type="dxa"/>
          </w:tcPr>
          <w:p w14:paraId="3F9D46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350-400</w:t>
            </w:r>
          </w:p>
        </w:tc>
        <w:tc>
          <w:tcPr>
            <w:tcW w:w="1077" w:type="dxa"/>
          </w:tcPr>
          <w:p w14:paraId="0F9BB1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80-90</w:t>
            </w:r>
          </w:p>
        </w:tc>
        <w:tc>
          <w:tcPr>
            <w:tcW w:w="1077" w:type="dxa"/>
          </w:tcPr>
          <w:p w14:paraId="62EFAF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191" w:type="dxa"/>
          </w:tcPr>
          <w:p w14:paraId="2038FB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39</w:t>
            </w:r>
          </w:p>
        </w:tc>
        <w:tc>
          <w:tcPr>
            <w:tcW w:w="1408" w:type="dxa"/>
          </w:tcPr>
          <w:p w14:paraId="450AEE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4F6CD6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Конструируется бригадой Кочерыгина</w:t>
            </w:r>
          </w:p>
        </w:tc>
      </w:tr>
      <w:tr w:rsidR="00E3599D" w:rsidRPr="00E14102" w14:paraId="4A1253A4" w14:textId="77777777">
        <w:tc>
          <w:tcPr>
            <w:tcW w:w="2041" w:type="dxa"/>
          </w:tcPr>
          <w:p w14:paraId="42EFD3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Артиллерийский корректировщик – М34ФРН</w:t>
            </w:r>
          </w:p>
        </w:tc>
        <w:tc>
          <w:tcPr>
            <w:tcW w:w="1077" w:type="dxa"/>
          </w:tcPr>
          <w:p w14:paraId="059169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369AA6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350-400</w:t>
            </w:r>
          </w:p>
        </w:tc>
        <w:tc>
          <w:tcPr>
            <w:tcW w:w="1077" w:type="dxa"/>
          </w:tcPr>
          <w:p w14:paraId="65E06C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80-90</w:t>
            </w:r>
          </w:p>
        </w:tc>
        <w:tc>
          <w:tcPr>
            <w:tcW w:w="1077" w:type="dxa"/>
          </w:tcPr>
          <w:p w14:paraId="6DAC84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1200</w:t>
            </w:r>
          </w:p>
        </w:tc>
        <w:tc>
          <w:tcPr>
            <w:tcW w:w="1191" w:type="dxa"/>
          </w:tcPr>
          <w:p w14:paraId="0E656E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c>
          <w:tcPr>
            <w:tcW w:w="1408" w:type="dxa"/>
          </w:tcPr>
          <w:p w14:paraId="643B29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4CAAA8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должен быть трехместный</w:t>
            </w:r>
          </w:p>
        </w:tc>
      </w:tr>
      <w:tr w:rsidR="00E3599D" w:rsidRPr="00E14102" w14:paraId="12FCA4ED" w14:textId="77777777">
        <w:tc>
          <w:tcPr>
            <w:tcW w:w="2041" w:type="dxa"/>
          </w:tcPr>
          <w:p w14:paraId="3C1F89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Торпедоносец (средний бомбардировщик)</w:t>
            </w:r>
          </w:p>
        </w:tc>
        <w:tc>
          <w:tcPr>
            <w:tcW w:w="1077" w:type="dxa"/>
          </w:tcPr>
          <w:p w14:paraId="20ECD1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382619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340</w:t>
            </w:r>
          </w:p>
        </w:tc>
        <w:tc>
          <w:tcPr>
            <w:tcW w:w="1077" w:type="dxa"/>
          </w:tcPr>
          <w:p w14:paraId="28B64C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w:t>
            </w:r>
          </w:p>
        </w:tc>
        <w:tc>
          <w:tcPr>
            <w:tcW w:w="1077" w:type="dxa"/>
          </w:tcPr>
          <w:p w14:paraId="74998A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1300</w:t>
            </w:r>
          </w:p>
        </w:tc>
        <w:tc>
          <w:tcPr>
            <w:tcW w:w="1191" w:type="dxa"/>
          </w:tcPr>
          <w:p w14:paraId="41650A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408" w:type="dxa"/>
          </w:tcPr>
          <w:p w14:paraId="5C55A0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w:t>
            </w:r>
          </w:p>
        </w:tc>
        <w:tc>
          <w:tcPr>
            <w:tcW w:w="2325" w:type="dxa"/>
          </w:tcPr>
          <w:p w14:paraId="5BF64D3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7584E38" w14:textId="77777777">
        <w:tc>
          <w:tcPr>
            <w:tcW w:w="2041" w:type="dxa"/>
          </w:tcPr>
          <w:p w14:paraId="014FD4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УТИ-МГ21 или МГ31 учебно-тренировочный истребитель</w:t>
            </w:r>
          </w:p>
        </w:tc>
        <w:tc>
          <w:tcPr>
            <w:tcW w:w="1077" w:type="dxa"/>
          </w:tcPr>
          <w:p w14:paraId="6E8C29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12157B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5D382054"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4D3D123A"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3AF121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23</w:t>
            </w:r>
          </w:p>
        </w:tc>
        <w:tc>
          <w:tcPr>
            <w:tcW w:w="1408" w:type="dxa"/>
          </w:tcPr>
          <w:p w14:paraId="4F9EEA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325" w:type="dxa"/>
          </w:tcPr>
          <w:p w14:paraId="1E9A7A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предъявления на госиспытания определить в зависимости от получения моторов</w:t>
            </w:r>
          </w:p>
        </w:tc>
      </w:tr>
      <w:tr w:rsidR="00E3599D" w:rsidRPr="00E14102" w14:paraId="10AB33F1" w14:textId="77777777">
        <w:tc>
          <w:tcPr>
            <w:tcW w:w="2041" w:type="dxa"/>
          </w:tcPr>
          <w:p w14:paraId="01BD75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УТИ-МГ21 или МГ31 учебно-тренировочный истребитель</w:t>
            </w:r>
          </w:p>
        </w:tc>
        <w:tc>
          <w:tcPr>
            <w:tcW w:w="1077" w:type="dxa"/>
          </w:tcPr>
          <w:p w14:paraId="5C6154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1D067C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1CF45D9B"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65B7C94A"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56B20E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КАИ</w:t>
            </w:r>
          </w:p>
        </w:tc>
        <w:tc>
          <w:tcPr>
            <w:tcW w:w="1408" w:type="dxa"/>
          </w:tcPr>
          <w:p w14:paraId="07ECA0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325" w:type="dxa"/>
          </w:tcPr>
          <w:p w14:paraId="1BDD379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256860C" w14:textId="77777777">
        <w:tc>
          <w:tcPr>
            <w:tcW w:w="2041" w:type="dxa"/>
          </w:tcPr>
          <w:p w14:paraId="12F456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Экспериментальные самолеты и аппараты</w:t>
            </w:r>
          </w:p>
        </w:tc>
        <w:tc>
          <w:tcPr>
            <w:tcW w:w="1077" w:type="dxa"/>
          </w:tcPr>
          <w:p w14:paraId="42B99807"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650A0AE6"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4D5108E6"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38CF363F"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0060EECD"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21B5CEC5"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56CA1A0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CFECD6B" w14:textId="77777777">
        <w:tc>
          <w:tcPr>
            <w:tcW w:w="2041" w:type="dxa"/>
          </w:tcPr>
          <w:p w14:paraId="6C6130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Войсковой самолет - летающее крыло с 2М22</w:t>
            </w:r>
          </w:p>
        </w:tc>
        <w:tc>
          <w:tcPr>
            <w:tcW w:w="1077" w:type="dxa"/>
          </w:tcPr>
          <w:p w14:paraId="679297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DCFD5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94EC8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4E615F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088A47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18</w:t>
            </w:r>
          </w:p>
        </w:tc>
        <w:tc>
          <w:tcPr>
            <w:tcW w:w="1408" w:type="dxa"/>
          </w:tcPr>
          <w:p w14:paraId="3BE9D3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1936 г.</w:t>
            </w:r>
          </w:p>
        </w:tc>
        <w:tc>
          <w:tcPr>
            <w:tcW w:w="2325" w:type="dxa"/>
          </w:tcPr>
          <w:p w14:paraId="1450DB6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507701C" w14:textId="77777777">
        <w:tc>
          <w:tcPr>
            <w:tcW w:w="2041" w:type="dxa"/>
          </w:tcPr>
          <w:p w14:paraId="561B86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Пушечный истребитель М100 (новые материалы, паровое охлаждение)</w:t>
            </w:r>
          </w:p>
        </w:tc>
        <w:tc>
          <w:tcPr>
            <w:tcW w:w="1077" w:type="dxa"/>
          </w:tcPr>
          <w:p w14:paraId="79037D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15E2DC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3B21ED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1FAF28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1DA342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СНИИ ГУГВФ</w:t>
            </w:r>
          </w:p>
        </w:tc>
        <w:tc>
          <w:tcPr>
            <w:tcW w:w="1408" w:type="dxa"/>
          </w:tcPr>
          <w:p w14:paraId="1B3E9B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1936 г.</w:t>
            </w:r>
          </w:p>
        </w:tc>
        <w:tc>
          <w:tcPr>
            <w:tcW w:w="2325" w:type="dxa"/>
          </w:tcPr>
          <w:p w14:paraId="4BDDBF7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8682E4E" w14:textId="77777777">
        <w:tc>
          <w:tcPr>
            <w:tcW w:w="2041" w:type="dxa"/>
          </w:tcPr>
          <w:p w14:paraId="59648B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 РЦ скоростной автожир</w:t>
            </w:r>
          </w:p>
        </w:tc>
        <w:tc>
          <w:tcPr>
            <w:tcW w:w="1077" w:type="dxa"/>
          </w:tcPr>
          <w:p w14:paraId="015823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D61D4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1D1F1D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4DBAF2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17FFAA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408" w:type="dxa"/>
          </w:tcPr>
          <w:p w14:paraId="46296F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w:t>
            </w:r>
          </w:p>
        </w:tc>
        <w:tc>
          <w:tcPr>
            <w:tcW w:w="2325" w:type="dxa"/>
          </w:tcPr>
          <w:p w14:paraId="3EA9853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599B41F" w14:textId="77777777">
        <w:tc>
          <w:tcPr>
            <w:tcW w:w="2041" w:type="dxa"/>
          </w:tcPr>
          <w:p w14:paraId="1FC516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Геликоптер</w:t>
            </w:r>
          </w:p>
        </w:tc>
        <w:tc>
          <w:tcPr>
            <w:tcW w:w="1077" w:type="dxa"/>
          </w:tcPr>
          <w:p w14:paraId="670ED7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3F60A9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A4D54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03C119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21FBAC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408" w:type="dxa"/>
          </w:tcPr>
          <w:p w14:paraId="4F09E7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4A053A48"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500BC94" w14:textId="77777777">
        <w:tc>
          <w:tcPr>
            <w:tcW w:w="2041" w:type="dxa"/>
          </w:tcPr>
          <w:p w14:paraId="349FEC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по взлету и посадке истребителей с ТБ</w:t>
            </w:r>
          </w:p>
        </w:tc>
        <w:tc>
          <w:tcPr>
            <w:tcW w:w="1077" w:type="dxa"/>
          </w:tcPr>
          <w:p w14:paraId="76425D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6B162C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4CB674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0EA90D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067284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22</w:t>
            </w:r>
          </w:p>
        </w:tc>
        <w:tc>
          <w:tcPr>
            <w:tcW w:w="1408" w:type="dxa"/>
          </w:tcPr>
          <w:p w14:paraId="7240A3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1936-37 гг.</w:t>
            </w:r>
          </w:p>
        </w:tc>
        <w:tc>
          <w:tcPr>
            <w:tcW w:w="2325" w:type="dxa"/>
          </w:tcPr>
          <w:p w14:paraId="34C7186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FACF66F" w14:textId="77777777">
        <w:tc>
          <w:tcPr>
            <w:tcW w:w="2041" w:type="dxa"/>
          </w:tcPr>
          <w:p w14:paraId="184F4F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Морские самолеты.</w:t>
            </w:r>
          </w:p>
        </w:tc>
        <w:tc>
          <w:tcPr>
            <w:tcW w:w="1077" w:type="dxa"/>
          </w:tcPr>
          <w:p w14:paraId="35A35A5A"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56CE0CCE"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39CE1A12"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32CAF936"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2FC749D6"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0B685995"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3D415D8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6C9937C" w14:textId="77777777">
        <w:tc>
          <w:tcPr>
            <w:tcW w:w="2041" w:type="dxa"/>
          </w:tcPr>
          <w:p w14:paraId="7976A8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СБ на поплавках</w:t>
            </w:r>
          </w:p>
        </w:tc>
        <w:tc>
          <w:tcPr>
            <w:tcW w:w="1077" w:type="dxa"/>
          </w:tcPr>
          <w:p w14:paraId="5821E5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75D5E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4405A7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7F305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311CB6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408" w:type="dxa"/>
          </w:tcPr>
          <w:p w14:paraId="35868F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1936 г.</w:t>
            </w:r>
          </w:p>
        </w:tc>
        <w:tc>
          <w:tcPr>
            <w:tcW w:w="2325" w:type="dxa"/>
          </w:tcPr>
          <w:p w14:paraId="063B2A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совместных испытаний</w:t>
            </w:r>
          </w:p>
        </w:tc>
      </w:tr>
      <w:tr w:rsidR="00E3599D" w:rsidRPr="00E14102" w14:paraId="1842E45F" w14:textId="77777777">
        <w:tc>
          <w:tcPr>
            <w:tcW w:w="2041" w:type="dxa"/>
          </w:tcPr>
          <w:p w14:paraId="1E2BD6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МБР5-РЦ морской ближний разведчик</w:t>
            </w:r>
          </w:p>
        </w:tc>
        <w:tc>
          <w:tcPr>
            <w:tcW w:w="1077" w:type="dxa"/>
          </w:tcPr>
          <w:p w14:paraId="12D315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46FECC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37E992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16B3D4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0BE606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c>
          <w:tcPr>
            <w:tcW w:w="1408" w:type="dxa"/>
          </w:tcPr>
          <w:p w14:paraId="128D1C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 декабря 1936 г.</w:t>
            </w:r>
          </w:p>
        </w:tc>
        <w:tc>
          <w:tcPr>
            <w:tcW w:w="2325" w:type="dxa"/>
          </w:tcPr>
          <w:p w14:paraId="4A96DA5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80794ED" w14:textId="77777777">
        <w:tc>
          <w:tcPr>
            <w:tcW w:w="2041" w:type="dxa"/>
          </w:tcPr>
          <w:p w14:paraId="593FBC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МДР5-2К14 морской дальний разведчик</w:t>
            </w:r>
          </w:p>
        </w:tc>
        <w:tc>
          <w:tcPr>
            <w:tcW w:w="1077" w:type="dxa"/>
          </w:tcPr>
          <w:p w14:paraId="7D3A9E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4CF282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0E72A4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5F1037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0C3585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c>
          <w:tcPr>
            <w:tcW w:w="1408" w:type="dxa"/>
          </w:tcPr>
          <w:p w14:paraId="7C3FFD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3DE652E9"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32F2721" w14:textId="77777777">
        <w:tc>
          <w:tcPr>
            <w:tcW w:w="2041" w:type="dxa"/>
          </w:tcPr>
          <w:p w14:paraId="65E931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Дальний морской разведчик (МДР6)</w:t>
            </w:r>
          </w:p>
        </w:tc>
        <w:tc>
          <w:tcPr>
            <w:tcW w:w="1077" w:type="dxa"/>
          </w:tcPr>
          <w:p w14:paraId="3E208A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017AD5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300-350</w:t>
            </w:r>
          </w:p>
        </w:tc>
        <w:tc>
          <w:tcPr>
            <w:tcW w:w="1077" w:type="dxa"/>
          </w:tcPr>
          <w:p w14:paraId="605BDF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3FA067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07B94B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45 (Четвериков)</w:t>
            </w:r>
          </w:p>
        </w:tc>
        <w:tc>
          <w:tcPr>
            <w:tcW w:w="1408" w:type="dxa"/>
          </w:tcPr>
          <w:p w14:paraId="6A8305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w:t>
            </w:r>
          </w:p>
        </w:tc>
        <w:tc>
          <w:tcPr>
            <w:tcW w:w="2325" w:type="dxa"/>
          </w:tcPr>
          <w:p w14:paraId="3F6A7C4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541AB26" w14:textId="77777777">
        <w:tc>
          <w:tcPr>
            <w:tcW w:w="2041" w:type="dxa"/>
          </w:tcPr>
          <w:p w14:paraId="72FD0D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МБР6 морской ближний разведчик</w:t>
            </w:r>
          </w:p>
        </w:tc>
        <w:tc>
          <w:tcPr>
            <w:tcW w:w="1077" w:type="dxa"/>
          </w:tcPr>
          <w:p w14:paraId="7102AD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0EBD06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325-375</w:t>
            </w:r>
          </w:p>
        </w:tc>
        <w:tc>
          <w:tcPr>
            <w:tcW w:w="1077" w:type="dxa"/>
          </w:tcPr>
          <w:p w14:paraId="049E1B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077" w:type="dxa"/>
          </w:tcPr>
          <w:p w14:paraId="4092FF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191" w:type="dxa"/>
          </w:tcPr>
          <w:p w14:paraId="625097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c>
          <w:tcPr>
            <w:tcW w:w="1408" w:type="dxa"/>
          </w:tcPr>
          <w:p w14:paraId="48DD79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1937 г.</w:t>
            </w:r>
          </w:p>
        </w:tc>
        <w:tc>
          <w:tcPr>
            <w:tcW w:w="2325" w:type="dxa"/>
          </w:tcPr>
          <w:p w14:paraId="738FF89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C7685DF" w14:textId="77777777">
        <w:tc>
          <w:tcPr>
            <w:tcW w:w="2041" w:type="dxa"/>
          </w:tcPr>
          <w:p w14:paraId="734FC4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КОР-РЦ корабельный разведчик</w:t>
            </w:r>
          </w:p>
        </w:tc>
        <w:tc>
          <w:tcPr>
            <w:tcW w:w="1077" w:type="dxa"/>
          </w:tcPr>
          <w:p w14:paraId="562F21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691983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12E088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4ADB23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53EB2B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c>
          <w:tcPr>
            <w:tcW w:w="1408" w:type="dxa"/>
          </w:tcPr>
          <w:p w14:paraId="7FE311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w:t>
            </w:r>
          </w:p>
        </w:tc>
        <w:tc>
          <w:tcPr>
            <w:tcW w:w="2325" w:type="dxa"/>
          </w:tcPr>
          <w:p w14:paraId="452D788D"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64ED38D" w14:textId="77777777">
        <w:tc>
          <w:tcPr>
            <w:tcW w:w="2041" w:type="dxa"/>
          </w:tcPr>
          <w:p w14:paraId="69FAB5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МТБ2-4М85 морской тяжелый бомбардировщик АНТ-44</w:t>
            </w:r>
          </w:p>
        </w:tc>
        <w:tc>
          <w:tcPr>
            <w:tcW w:w="1077" w:type="dxa"/>
          </w:tcPr>
          <w:p w14:paraId="520807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1077" w:type="dxa"/>
          </w:tcPr>
          <w:p w14:paraId="192136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300-350</w:t>
            </w:r>
          </w:p>
        </w:tc>
        <w:tc>
          <w:tcPr>
            <w:tcW w:w="1077" w:type="dxa"/>
          </w:tcPr>
          <w:p w14:paraId="2A4691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04C7B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1191" w:type="dxa"/>
          </w:tcPr>
          <w:p w14:paraId="4131F8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408" w:type="dxa"/>
          </w:tcPr>
          <w:p w14:paraId="3511D1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 декабря 1936 г.</w:t>
            </w:r>
          </w:p>
        </w:tc>
        <w:tc>
          <w:tcPr>
            <w:tcW w:w="2325" w:type="dxa"/>
          </w:tcPr>
          <w:p w14:paraId="0791254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70770CF" w14:textId="77777777">
        <w:tc>
          <w:tcPr>
            <w:tcW w:w="2041" w:type="dxa"/>
          </w:tcPr>
          <w:p w14:paraId="7916B7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Торпедоносец на поплавках</w:t>
            </w:r>
          </w:p>
        </w:tc>
        <w:tc>
          <w:tcPr>
            <w:tcW w:w="1077" w:type="dxa"/>
          </w:tcPr>
          <w:p w14:paraId="777BCD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6379D6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5431CE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15D8BE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3705E8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408" w:type="dxa"/>
          </w:tcPr>
          <w:p w14:paraId="78B9EE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w:t>
            </w:r>
          </w:p>
        </w:tc>
        <w:tc>
          <w:tcPr>
            <w:tcW w:w="2325" w:type="dxa"/>
          </w:tcPr>
          <w:p w14:paraId="100A526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F6E79F0" w14:textId="77777777">
        <w:tc>
          <w:tcPr>
            <w:tcW w:w="2041" w:type="dxa"/>
          </w:tcPr>
          <w:p w14:paraId="737FB5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Морской учебный</w:t>
            </w:r>
          </w:p>
        </w:tc>
        <w:tc>
          <w:tcPr>
            <w:tcW w:w="1077" w:type="dxa"/>
          </w:tcPr>
          <w:p w14:paraId="0550A2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0185B4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015B61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9AEAE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2D5F45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23</w:t>
            </w:r>
          </w:p>
        </w:tc>
        <w:tc>
          <w:tcPr>
            <w:tcW w:w="1408" w:type="dxa"/>
          </w:tcPr>
          <w:p w14:paraId="3AF130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 г.</w:t>
            </w:r>
          </w:p>
        </w:tc>
        <w:tc>
          <w:tcPr>
            <w:tcW w:w="2325" w:type="dxa"/>
          </w:tcPr>
          <w:p w14:paraId="51EC40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испытания</w:t>
            </w:r>
          </w:p>
        </w:tc>
      </w:tr>
      <w:tr w:rsidR="00E3599D" w:rsidRPr="00E14102" w14:paraId="6C9AC184" w14:textId="77777777">
        <w:tc>
          <w:tcPr>
            <w:tcW w:w="2041" w:type="dxa"/>
          </w:tcPr>
          <w:p w14:paraId="7C48EE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МБР5-М25 (с металлической лодкой)</w:t>
            </w:r>
          </w:p>
        </w:tc>
        <w:tc>
          <w:tcPr>
            <w:tcW w:w="1077" w:type="dxa"/>
          </w:tcPr>
          <w:p w14:paraId="150345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3994EB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11FEA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6068DC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31F247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31</w:t>
            </w:r>
          </w:p>
        </w:tc>
        <w:tc>
          <w:tcPr>
            <w:tcW w:w="1408" w:type="dxa"/>
          </w:tcPr>
          <w:p w14:paraId="36BFFD8A"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7E6E68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УМС и ГУАПу согласовать срок выхода госиспытания</w:t>
            </w:r>
          </w:p>
        </w:tc>
      </w:tr>
      <w:tr w:rsidR="00E3599D" w:rsidRPr="00E14102" w14:paraId="4A922F08" w14:textId="77777777">
        <w:tc>
          <w:tcPr>
            <w:tcW w:w="2041" w:type="dxa"/>
          </w:tcPr>
          <w:p w14:paraId="07FEDC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III. Гражданские самолеты.</w:t>
            </w:r>
          </w:p>
        </w:tc>
        <w:tc>
          <w:tcPr>
            <w:tcW w:w="1077" w:type="dxa"/>
          </w:tcPr>
          <w:p w14:paraId="575C9047"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1517E5D6"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50D907C0"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310B35C1"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161A0143"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7EAF1A23"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1E8AB6C4"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16AFEC0" w14:textId="77777777">
        <w:tc>
          <w:tcPr>
            <w:tcW w:w="2041" w:type="dxa"/>
          </w:tcPr>
          <w:p w14:paraId="652317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АНТ-35 (СБ в пассажирском варианте)</w:t>
            </w:r>
          </w:p>
        </w:tc>
        <w:tc>
          <w:tcPr>
            <w:tcW w:w="1077" w:type="dxa"/>
          </w:tcPr>
          <w:p w14:paraId="0E5221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FEB3A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360</w:t>
            </w:r>
          </w:p>
        </w:tc>
        <w:tc>
          <w:tcPr>
            <w:tcW w:w="1077" w:type="dxa"/>
          </w:tcPr>
          <w:p w14:paraId="7E318C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w:t>
            </w:r>
          </w:p>
        </w:tc>
        <w:tc>
          <w:tcPr>
            <w:tcW w:w="1077" w:type="dxa"/>
          </w:tcPr>
          <w:p w14:paraId="4DED0E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w:t>
            </w:r>
          </w:p>
        </w:tc>
        <w:tc>
          <w:tcPr>
            <w:tcW w:w="1191" w:type="dxa"/>
          </w:tcPr>
          <w:p w14:paraId="1A4785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408" w:type="dxa"/>
          </w:tcPr>
          <w:p w14:paraId="44E44B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 заводские испыт.</w:t>
            </w:r>
          </w:p>
        </w:tc>
        <w:tc>
          <w:tcPr>
            <w:tcW w:w="2325" w:type="dxa"/>
          </w:tcPr>
          <w:p w14:paraId="05232C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Коммерческая нагрузка 1000 кг – 10 пассажиров, 2 – экипаж</w:t>
            </w:r>
          </w:p>
        </w:tc>
      </w:tr>
      <w:tr w:rsidR="00E3599D" w:rsidRPr="00E14102" w14:paraId="176BFD73" w14:textId="77777777">
        <w:tc>
          <w:tcPr>
            <w:tcW w:w="2041" w:type="dxa"/>
          </w:tcPr>
          <w:p w14:paraId="70BBE0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АНТ-27 (МДР4 в пассажирском варианте)</w:t>
            </w:r>
          </w:p>
        </w:tc>
        <w:tc>
          <w:tcPr>
            <w:tcW w:w="1077" w:type="dxa"/>
          </w:tcPr>
          <w:p w14:paraId="729A6C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94457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3DCDC1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19827C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3DDC84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c>
          <w:tcPr>
            <w:tcW w:w="1408" w:type="dxa"/>
          </w:tcPr>
          <w:p w14:paraId="4FC9E9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Через 4 месяца после выхода самолета из серии</w:t>
            </w:r>
          </w:p>
        </w:tc>
        <w:tc>
          <w:tcPr>
            <w:tcW w:w="2325" w:type="dxa"/>
          </w:tcPr>
          <w:p w14:paraId="100B2A8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0CCEEB2" w14:textId="77777777">
        <w:tc>
          <w:tcPr>
            <w:tcW w:w="2041" w:type="dxa"/>
          </w:tcPr>
          <w:p w14:paraId="24E6EE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ТА-1 транспортная амфибия</w:t>
            </w:r>
          </w:p>
        </w:tc>
        <w:tc>
          <w:tcPr>
            <w:tcW w:w="1077" w:type="dxa"/>
          </w:tcPr>
          <w:p w14:paraId="4A5021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F18F0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AD958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F2459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30867B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45 (Четвериков)</w:t>
            </w:r>
          </w:p>
        </w:tc>
        <w:tc>
          <w:tcPr>
            <w:tcW w:w="1408" w:type="dxa"/>
          </w:tcPr>
          <w:p w14:paraId="323C57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w:t>
            </w:r>
          </w:p>
        </w:tc>
        <w:tc>
          <w:tcPr>
            <w:tcW w:w="2325" w:type="dxa"/>
          </w:tcPr>
          <w:p w14:paraId="4FFE7B4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0DB9058" w14:textId="77777777">
        <w:tc>
          <w:tcPr>
            <w:tcW w:w="2041" w:type="dxa"/>
          </w:tcPr>
          <w:p w14:paraId="00EE05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АРК-3 (арктический вариант МДР-6) для ГУСМПа</w:t>
            </w:r>
          </w:p>
        </w:tc>
        <w:tc>
          <w:tcPr>
            <w:tcW w:w="1077" w:type="dxa"/>
          </w:tcPr>
          <w:p w14:paraId="465882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4CA217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017CE6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F94F2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00365D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45 (Четвериков)</w:t>
            </w:r>
          </w:p>
        </w:tc>
        <w:tc>
          <w:tcPr>
            <w:tcW w:w="1408" w:type="dxa"/>
          </w:tcPr>
          <w:p w14:paraId="40A94E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февраля 1936 г.</w:t>
            </w:r>
          </w:p>
        </w:tc>
        <w:tc>
          <w:tcPr>
            <w:tcW w:w="2325" w:type="dxa"/>
          </w:tcPr>
          <w:p w14:paraId="3A24624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095532F" w14:textId="77777777">
        <w:tc>
          <w:tcPr>
            <w:tcW w:w="2041" w:type="dxa"/>
          </w:tcPr>
          <w:p w14:paraId="223D43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АРК-3 (для ГУГВФ)</w:t>
            </w:r>
          </w:p>
        </w:tc>
        <w:tc>
          <w:tcPr>
            <w:tcW w:w="1077" w:type="dxa"/>
          </w:tcPr>
          <w:p w14:paraId="234712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8ADF8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452017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B2ED8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4F30EF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45 (Четвериков)</w:t>
            </w:r>
          </w:p>
        </w:tc>
        <w:tc>
          <w:tcPr>
            <w:tcW w:w="1408" w:type="dxa"/>
          </w:tcPr>
          <w:p w14:paraId="236622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1936 г.</w:t>
            </w:r>
          </w:p>
        </w:tc>
        <w:tc>
          <w:tcPr>
            <w:tcW w:w="2325" w:type="dxa"/>
          </w:tcPr>
          <w:p w14:paraId="204FCDC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0C15A56" w14:textId="77777777">
        <w:tc>
          <w:tcPr>
            <w:tcW w:w="2041" w:type="dxa"/>
          </w:tcPr>
          <w:p w14:paraId="6BA505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Сталь-11</w:t>
            </w:r>
          </w:p>
        </w:tc>
        <w:tc>
          <w:tcPr>
            <w:tcW w:w="1077" w:type="dxa"/>
          </w:tcPr>
          <w:p w14:paraId="34CCCC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FDEAD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0CA6E5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9BB67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257F67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81</w:t>
            </w:r>
          </w:p>
        </w:tc>
        <w:tc>
          <w:tcPr>
            <w:tcW w:w="1408" w:type="dxa"/>
          </w:tcPr>
          <w:p w14:paraId="23C4DC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1936 г.</w:t>
            </w:r>
          </w:p>
        </w:tc>
        <w:tc>
          <w:tcPr>
            <w:tcW w:w="2325" w:type="dxa"/>
          </w:tcPr>
          <w:p w14:paraId="5239DC3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08426D7" w14:textId="77777777">
        <w:tc>
          <w:tcPr>
            <w:tcW w:w="2041" w:type="dxa"/>
          </w:tcPr>
          <w:p w14:paraId="64B345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ДКЛ-2МГ31</w:t>
            </w:r>
          </w:p>
        </w:tc>
        <w:tc>
          <w:tcPr>
            <w:tcW w:w="1077" w:type="dxa"/>
          </w:tcPr>
          <w:p w14:paraId="4C7DF2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16BCB4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6053EE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0EF088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3CA02A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КАИ</w:t>
            </w:r>
          </w:p>
        </w:tc>
        <w:tc>
          <w:tcPr>
            <w:tcW w:w="1408" w:type="dxa"/>
          </w:tcPr>
          <w:p w14:paraId="67865B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2873E0CF" w14:textId="77777777" w:rsidR="00D4105E" w:rsidRPr="00E14102" w:rsidRDefault="00D4105E" w:rsidP="00E14102">
            <w:pPr>
              <w:autoSpaceDE w:val="0"/>
              <w:autoSpaceDN w:val="0"/>
              <w:adjustRightInd w:val="0"/>
              <w:jc w:val="both"/>
              <w:rPr>
                <w:color w:val="000000" w:themeColor="text1"/>
                <w:sz w:val="16"/>
                <w:szCs w:val="16"/>
              </w:rPr>
            </w:pPr>
          </w:p>
        </w:tc>
      </w:tr>
    </w:tbl>
    <w:p w14:paraId="68D2BE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(3574,83-85).</w:t>
      </w:r>
    </w:p>
    <w:p w14:paraId="77D2D30A" w14:textId="77777777" w:rsidR="00D4105E" w:rsidRPr="00E14102" w:rsidRDefault="00D4105E" w:rsidP="00E14102">
      <w:pPr>
        <w:autoSpaceDE w:val="0"/>
        <w:autoSpaceDN w:val="0"/>
        <w:adjustRightInd w:val="0"/>
        <w:jc w:val="both"/>
        <w:rPr>
          <w:color w:val="000000" w:themeColor="text1"/>
          <w:sz w:val="16"/>
          <w:szCs w:val="16"/>
        </w:rPr>
      </w:pPr>
    </w:p>
    <w:p w14:paraId="6DF720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года был План постройки рекордных самолетов и моторов на 1936-38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E3599D" w:rsidRPr="00E14102" w14:paraId="0F56E4B8" w14:textId="77777777">
        <w:tc>
          <w:tcPr>
            <w:tcW w:w="2817" w:type="dxa"/>
          </w:tcPr>
          <w:p w14:paraId="3CB0DC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самолета и мотора</w:t>
            </w:r>
          </w:p>
        </w:tc>
        <w:tc>
          <w:tcPr>
            <w:tcW w:w="2817" w:type="dxa"/>
          </w:tcPr>
          <w:p w14:paraId="67F647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на высоте боевого применения</w:t>
            </w:r>
          </w:p>
        </w:tc>
        <w:tc>
          <w:tcPr>
            <w:tcW w:w="2817" w:type="dxa"/>
          </w:tcPr>
          <w:p w14:paraId="6E2481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испытаний</w:t>
            </w:r>
          </w:p>
        </w:tc>
        <w:tc>
          <w:tcPr>
            <w:tcW w:w="2817" w:type="dxa"/>
          </w:tcPr>
          <w:p w14:paraId="097602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r>
      <w:tr w:rsidR="00E3599D" w:rsidRPr="00E14102" w14:paraId="5B2AF2C4" w14:textId="77777777">
        <w:tc>
          <w:tcPr>
            <w:tcW w:w="2817" w:type="dxa"/>
          </w:tcPr>
          <w:p w14:paraId="139123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Самолеты</w:t>
            </w:r>
          </w:p>
        </w:tc>
        <w:tc>
          <w:tcPr>
            <w:tcW w:w="2817" w:type="dxa"/>
          </w:tcPr>
          <w:p w14:paraId="4212DD4C"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68C07596"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3A6BF88C"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6F1B625" w14:textId="77777777">
        <w:tc>
          <w:tcPr>
            <w:tcW w:w="2817" w:type="dxa"/>
          </w:tcPr>
          <w:p w14:paraId="19B036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Установка мотора М34 с нагнетателем РАТО на самолет РЗЕТ</w:t>
            </w:r>
          </w:p>
        </w:tc>
        <w:tc>
          <w:tcPr>
            <w:tcW w:w="2817" w:type="dxa"/>
          </w:tcPr>
          <w:p w14:paraId="181D0D90"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2D9E13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Июнь 1936 года</w:t>
            </w:r>
          </w:p>
        </w:tc>
        <w:tc>
          <w:tcPr>
            <w:tcW w:w="2817" w:type="dxa"/>
          </w:tcPr>
          <w:p w14:paraId="245FB6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w:t>
            </w:r>
          </w:p>
        </w:tc>
      </w:tr>
      <w:tr w:rsidR="00E3599D" w:rsidRPr="00E14102" w14:paraId="69E5EB0C" w14:textId="77777777">
        <w:tc>
          <w:tcPr>
            <w:tcW w:w="2817" w:type="dxa"/>
          </w:tcPr>
          <w:p w14:paraId="01E562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Рекордный самолет на высоте 16000-20000 м</w:t>
            </w:r>
          </w:p>
        </w:tc>
        <w:tc>
          <w:tcPr>
            <w:tcW w:w="2817" w:type="dxa"/>
          </w:tcPr>
          <w:p w14:paraId="57F68BDC"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28605E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Июнь 1937 года</w:t>
            </w:r>
          </w:p>
        </w:tc>
        <w:tc>
          <w:tcPr>
            <w:tcW w:w="2817" w:type="dxa"/>
          </w:tcPr>
          <w:p w14:paraId="141AF9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r>
      <w:tr w:rsidR="00E3599D" w:rsidRPr="00E14102" w14:paraId="57796098" w14:textId="77777777">
        <w:tc>
          <w:tcPr>
            <w:tcW w:w="2817" w:type="dxa"/>
          </w:tcPr>
          <w:p w14:paraId="347719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Рекордный самолет на высоте 16000-20000 м</w:t>
            </w:r>
          </w:p>
        </w:tc>
        <w:tc>
          <w:tcPr>
            <w:tcW w:w="2817" w:type="dxa"/>
          </w:tcPr>
          <w:p w14:paraId="58148469"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26288D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Июнь 1937 года</w:t>
            </w:r>
          </w:p>
        </w:tc>
        <w:tc>
          <w:tcPr>
            <w:tcW w:w="2817" w:type="dxa"/>
          </w:tcPr>
          <w:p w14:paraId="7CC974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35 (Чижевский)</w:t>
            </w:r>
          </w:p>
        </w:tc>
      </w:tr>
      <w:tr w:rsidR="00E3599D" w:rsidRPr="00E14102" w14:paraId="1FB90277" w14:textId="77777777">
        <w:tc>
          <w:tcPr>
            <w:tcW w:w="2817" w:type="dxa"/>
          </w:tcPr>
          <w:p w14:paraId="667B87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экспериментальный самолет</w:t>
            </w:r>
          </w:p>
        </w:tc>
        <w:tc>
          <w:tcPr>
            <w:tcW w:w="2817" w:type="dxa"/>
          </w:tcPr>
          <w:p w14:paraId="2BF8E3C7"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06470B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Август 1937 года</w:t>
            </w:r>
          </w:p>
        </w:tc>
        <w:tc>
          <w:tcPr>
            <w:tcW w:w="2817" w:type="dxa"/>
          </w:tcPr>
          <w:p w14:paraId="6EA089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r>
      <w:tr w:rsidR="00E3599D" w:rsidRPr="00E14102" w14:paraId="7645DE45" w14:textId="77777777">
        <w:tc>
          <w:tcPr>
            <w:tcW w:w="2817" w:type="dxa"/>
          </w:tcPr>
          <w:p w14:paraId="17A05C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Скоростной рекордный</w:t>
            </w:r>
          </w:p>
        </w:tc>
        <w:tc>
          <w:tcPr>
            <w:tcW w:w="2817" w:type="dxa"/>
          </w:tcPr>
          <w:p w14:paraId="7E08BE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700-750/0</w:t>
            </w:r>
          </w:p>
        </w:tc>
        <w:tc>
          <w:tcPr>
            <w:tcW w:w="2817" w:type="dxa"/>
          </w:tcPr>
          <w:p w14:paraId="3091D8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Декабрь 1937 года</w:t>
            </w:r>
          </w:p>
        </w:tc>
        <w:tc>
          <w:tcPr>
            <w:tcW w:w="2817" w:type="dxa"/>
          </w:tcPr>
          <w:p w14:paraId="6626B6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ЦАГИ</w:t>
            </w:r>
          </w:p>
        </w:tc>
      </w:tr>
      <w:tr w:rsidR="00E3599D" w:rsidRPr="00E14102" w14:paraId="2D867CCA" w14:textId="77777777">
        <w:tc>
          <w:tcPr>
            <w:tcW w:w="2817" w:type="dxa"/>
          </w:tcPr>
          <w:p w14:paraId="716CF4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Рекордный скоростной самолет с маломощным мотором 400-500 л.с.</w:t>
            </w:r>
          </w:p>
        </w:tc>
        <w:tc>
          <w:tcPr>
            <w:tcW w:w="2817" w:type="dxa"/>
          </w:tcPr>
          <w:p w14:paraId="7BE421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550-600/0</w:t>
            </w:r>
          </w:p>
        </w:tc>
        <w:tc>
          <w:tcPr>
            <w:tcW w:w="2817" w:type="dxa"/>
          </w:tcPr>
          <w:p w14:paraId="79DF96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Август 1937 года</w:t>
            </w:r>
          </w:p>
        </w:tc>
        <w:tc>
          <w:tcPr>
            <w:tcW w:w="2817" w:type="dxa"/>
          </w:tcPr>
          <w:p w14:paraId="118EC7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514DB419" w14:textId="77777777">
        <w:tc>
          <w:tcPr>
            <w:tcW w:w="2817" w:type="dxa"/>
          </w:tcPr>
          <w:p w14:paraId="1B6E2E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w:t>
            </w:r>
          </w:p>
        </w:tc>
        <w:tc>
          <w:tcPr>
            <w:tcW w:w="2817" w:type="dxa"/>
          </w:tcPr>
          <w:p w14:paraId="6CF895D1"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17985AEE"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4AE5146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9B1A019" w14:textId="77777777">
        <w:tc>
          <w:tcPr>
            <w:tcW w:w="2817" w:type="dxa"/>
          </w:tcPr>
          <w:p w14:paraId="2D0311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форсированный (для рекорда скорости) мощностью 2000 л.с.</w:t>
            </w:r>
          </w:p>
        </w:tc>
        <w:tc>
          <w:tcPr>
            <w:tcW w:w="2817" w:type="dxa"/>
          </w:tcPr>
          <w:p w14:paraId="69CCD774" w14:textId="77777777" w:rsidR="00D4105E" w:rsidRPr="00E14102" w:rsidRDefault="00D4105E" w:rsidP="00E14102">
            <w:pPr>
              <w:autoSpaceDE w:val="0"/>
              <w:autoSpaceDN w:val="0"/>
              <w:adjustRightInd w:val="0"/>
              <w:jc w:val="both"/>
              <w:rPr>
                <w:color w:val="000000" w:themeColor="text1"/>
                <w:sz w:val="16"/>
                <w:szCs w:val="16"/>
              </w:rPr>
            </w:pPr>
          </w:p>
        </w:tc>
        <w:tc>
          <w:tcPr>
            <w:tcW w:w="2817" w:type="dxa"/>
          </w:tcPr>
          <w:p w14:paraId="72725B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июля 1936 года</w:t>
            </w:r>
          </w:p>
        </w:tc>
        <w:tc>
          <w:tcPr>
            <w:tcW w:w="2817" w:type="dxa"/>
          </w:tcPr>
          <w:p w14:paraId="2837A4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r>
    </w:tbl>
    <w:p w14:paraId="2E57D3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(3574,86).</w:t>
      </w:r>
    </w:p>
    <w:p w14:paraId="7A4EFA29" w14:textId="77777777" w:rsidR="00D4105E" w:rsidRPr="00E14102" w:rsidRDefault="00D4105E" w:rsidP="00E14102">
      <w:pPr>
        <w:autoSpaceDE w:val="0"/>
        <w:autoSpaceDN w:val="0"/>
        <w:adjustRightInd w:val="0"/>
        <w:jc w:val="both"/>
        <w:rPr>
          <w:color w:val="000000" w:themeColor="text1"/>
          <w:sz w:val="16"/>
          <w:szCs w:val="16"/>
        </w:rPr>
      </w:pPr>
    </w:p>
    <w:p w14:paraId="42DFE9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года было подготовлено постановление СТО (проект)</w:t>
      </w:r>
    </w:p>
    <w:p w14:paraId="230F03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 опытном строительстве авиации</w:t>
      </w:r>
    </w:p>
    <w:p w14:paraId="11FEE6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СТО постановляет:</w:t>
      </w:r>
    </w:p>
    <w:p w14:paraId="7ACBB62A"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Утвердить план опытного строительства самолетов и моторов на 1936-37 гг. (см. приложение).</w:t>
      </w:r>
    </w:p>
    <w:p w14:paraId="741873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Считать исключительно важной и первоочередной работой по этому плану конструирование, постройку, испытание и доводку до образца для серийного производства скоростных разведчиков и морских самолетов.</w:t>
      </w:r>
    </w:p>
    <w:p w14:paraId="691C73D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 конструировании опытных образцов самолетов и их усовершенствовании исходить из того, что самолет должен быть рассчитан на среднего летчика и на эксплуатацию самолетов в полевых условиях.</w:t>
      </w:r>
    </w:p>
    <w:p w14:paraId="0394239F"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lastRenderedPageBreak/>
        <w:t>Отметить, что авиадизель конструкции инженера Чаромского (ЦИАМ) АН-1 прошел госиспытания и предложить Наркомтяжпрому (ГУАП) изготовить в 1936 году опытную серию авиадизелей АН-1 в количестве 20 штук, устранив отдельные недочеты, обнаруженные при испытании первого мотора.</w:t>
      </w:r>
    </w:p>
    <w:p w14:paraId="652746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целью проверки на самолете авиадизеля АН-1 обязать завод № 18 к 1 мая 1936 года установить дизель АН-1 производства ЦИАМа на самолете РД (военный вариант) и заводу № 22 к 1 августа 1936 года четыре дизеля АН-1 производства завода № 24 на одном из серийных самолетов ТБ3.</w:t>
      </w:r>
    </w:p>
    <w:p w14:paraId="2ECA8D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Заводу № 24 передать на завод № 22 не менее 5-ти (пять) дизелей АН-1 к 1 июня 1936 года.</w:t>
      </w:r>
    </w:p>
    <w:p w14:paraId="2BA25DA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Наркомтяжпром рассмотреть строящиеся опытные образцы паровых турбин и авиадизелей (не вошедших в настоящий план) и доложить в месячный срок свои предложения СТО.</w:t>
      </w:r>
    </w:p>
    <w:p w14:paraId="0EEEE14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НКТП в 2-х декадный срок представить в СТО на утверждение спецификацию моторов, самолетов и приборов, подлежащих закупке за границей в качестве образцов для изучения и одновременно представить план финансирования, обеспечивающий выполнение плана опытных работ.</w:t>
      </w:r>
    </w:p>
    <w:p w14:paraId="7D460B74"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НКТП на основе научной проработки и широких летных исследований разработать и внести к 1 сентября 1936 года в СТО новые нормы прочности самолетов на 1937 год.</w:t>
      </w:r>
    </w:p>
    <w:p w14:paraId="03326219"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w:t>
      </w:r>
    </w:p>
    <w:p w14:paraId="3EE9FD6C"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НКТП разработать и внести в СТО к 1 марта 1936 года типовые установки для производства статических и динамических (вибрационных) испытаний: в течение 1936 и 1937 гг. построить и оборудовать в ЦИАМе динамическую лабораторию для исследования материалов и деталей моторов в условиях динамической нагрузки.</w:t>
      </w:r>
    </w:p>
    <w:p w14:paraId="31ABF5C0"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Придавая особую важность переходу на винты с регулируемым в полете шагом:</w:t>
      </w:r>
    </w:p>
    <w:p w14:paraId="2CFF853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Предложить НКТП (ГУАП Королеву) представить на государственные испытания:</w:t>
      </w:r>
    </w:p>
    <w:p w14:paraId="61A761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ВРШ-2 завода № 28 для применения на самолетах И16-М25, ИП1-М25, ДИ6-М25 к 25 декабря 1935 года;</w:t>
      </w:r>
    </w:p>
    <w:p w14:paraId="6D5D24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ВРШ-3 ЦИАМа для применения на самолетах ТБ3-4М34РН, ДБ4-М34РН;</w:t>
      </w:r>
    </w:p>
    <w:p w14:paraId="2947FC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ВРШ-ЦАГИ для СБ-2М100 к 1 марта 1936 года.</w:t>
      </w:r>
    </w:p>
    <w:p w14:paraId="49B0195E"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Обязать ОВИ НКО представить на госиспытания винт конструкторского бюро № 2 для самолета РЗЕТ-М34Н к 5 декабря 1935 года и винт МБР2-М34Н к 1 января 1936 года.</w:t>
      </w:r>
    </w:p>
    <w:p w14:paraId="03C9FFD2"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Начальнику ГУАП Королеву обеспечить установку указанных выше винтов для госиспытаний на самолетах не позднее чем через 2 месяца после удовлетворительного окончания госиспытаний на станке.</w:t>
      </w:r>
    </w:p>
    <w:p w14:paraId="7767D881"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Наркомтяжпром (ГУАП Королеву) организовать производство ВРШ по образцам, которые прошли госиспытания и утверждены для серийной постройки. По утвержденным типам винтов вести в 1936 году производство с таким расчетом, чтобы со 2-го полугодия они были внедрены в производство крупными сериями, а с 1937 года все самолеты под этот винт и мотор были бы снабжены винтами регулируемого в полете шага.</w:t>
      </w:r>
    </w:p>
    <w:p w14:paraId="65E9B6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Учебные самолеты винтами ВРШ не снабжать.</w:t>
      </w:r>
    </w:p>
    <w:p w14:paraId="51FA5E8D"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Наркомвнешторг (НКВТ) Розенгольц совместно с начальником ГУАПа Королевым заказать у американской фирмы Гамильтон-Стандарт 15 ВРШ по нашим техтребованиям для самолетов ТБ3-М34РН, СБ-2М100, РЗЕТ-М34Н, И16-М25 и выяснить условия покупки технической помощи на указанные выше винты, доложив о результатах СТО не позже 1 января 1936 года (3574,81-82).</w:t>
      </w:r>
    </w:p>
    <w:p w14:paraId="0D0A1FCB"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587256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года начальник УВС командарм 2 ранга Алкснис писал письмо № 42/04209сс в СТО Базилевичу.</w:t>
      </w:r>
    </w:p>
    <w:p w14:paraId="35744A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(Пометка: Алкснису. Прошу в двухдневный срок согласовать с НКТП. В. Межлаук).</w:t>
      </w:r>
    </w:p>
    <w:p w14:paraId="49530D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указаниями, полученными мною от зам. председателя СНК Межлаука, при сем возвращаю материал с поправками к проектам постановлений и проекту приказа, представленному НКТП, по вопросу о состоянии авиапромышленности и опытном строительстве.</w:t>
      </w:r>
    </w:p>
    <w:p w14:paraId="12386F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/Одновременно с этим сообщаю, что в принципиальную (оценочно-вводную) часть проектов постановлений и приказа я никаких поправок не даю.</w:t>
      </w:r>
    </w:p>
    <w:p w14:paraId="1A19DF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Приложение: упомянутое (3527, 40).</w:t>
      </w:r>
    </w:p>
    <w:p w14:paraId="6D9C802E" w14:textId="77777777" w:rsidR="00D4105E" w:rsidRPr="00E14102" w:rsidRDefault="00D4105E" w:rsidP="00E14102">
      <w:pPr>
        <w:autoSpaceDE w:val="0"/>
        <w:autoSpaceDN w:val="0"/>
        <w:adjustRightInd w:val="0"/>
        <w:jc w:val="both"/>
        <w:rPr>
          <w:color w:val="000000" w:themeColor="text1"/>
          <w:sz w:val="16"/>
          <w:szCs w:val="16"/>
        </w:rPr>
      </w:pPr>
    </w:p>
    <w:p w14:paraId="27EE58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завод 29 сдал на гос. испытания М-85 со взлетной мощностью 765 нр и номинальной мощностью 800 нр на 3850 (2405,166).</w:t>
      </w:r>
    </w:p>
    <w:p w14:paraId="7DB3CCFF" w14:textId="77777777" w:rsidR="00D4105E" w:rsidRPr="00E14102" w:rsidRDefault="00D4105E" w:rsidP="00E14102">
      <w:pPr>
        <w:autoSpaceDE w:val="0"/>
        <w:autoSpaceDN w:val="0"/>
        <w:adjustRightInd w:val="0"/>
        <w:jc w:val="both"/>
        <w:rPr>
          <w:color w:val="000000" w:themeColor="text1"/>
          <w:sz w:val="16"/>
          <w:szCs w:val="16"/>
        </w:rPr>
      </w:pPr>
    </w:p>
    <w:p w14:paraId="75CC45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П.О.С. написал служебную записку по поводу установки на АНТ-25 двигателя АН-1 (1102).</w:t>
      </w:r>
    </w:p>
    <w:p w14:paraId="388A8B56" w14:textId="77777777" w:rsidR="00D4105E" w:rsidRPr="00E14102" w:rsidRDefault="00D4105E" w:rsidP="00E14102">
      <w:pPr>
        <w:autoSpaceDE w:val="0"/>
        <w:autoSpaceDN w:val="0"/>
        <w:adjustRightInd w:val="0"/>
        <w:jc w:val="both"/>
        <w:rPr>
          <w:color w:val="000000" w:themeColor="text1"/>
          <w:sz w:val="16"/>
          <w:szCs w:val="16"/>
        </w:rPr>
      </w:pPr>
    </w:p>
    <w:p w14:paraId="361034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года был подготовлен План опытного моторостроения на 1936-1937 годы (приложение № 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41"/>
        <w:gridCol w:w="1077"/>
        <w:gridCol w:w="1077"/>
        <w:gridCol w:w="1077"/>
        <w:gridCol w:w="1077"/>
        <w:gridCol w:w="1191"/>
        <w:gridCol w:w="1408"/>
        <w:gridCol w:w="2325"/>
      </w:tblGrid>
      <w:tr w:rsidR="00E3599D" w:rsidRPr="00E14102" w14:paraId="7814117C" w14:textId="77777777">
        <w:tc>
          <w:tcPr>
            <w:tcW w:w="2041" w:type="dxa"/>
          </w:tcPr>
          <w:p w14:paraId="26B2D0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объектов</w:t>
            </w:r>
          </w:p>
        </w:tc>
        <w:tc>
          <w:tcPr>
            <w:tcW w:w="1077" w:type="dxa"/>
          </w:tcPr>
          <w:p w14:paraId="34FF35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Мощность</w:t>
            </w:r>
          </w:p>
        </w:tc>
        <w:tc>
          <w:tcPr>
            <w:tcW w:w="1077" w:type="dxa"/>
          </w:tcPr>
          <w:p w14:paraId="3DBD3A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Высотность</w:t>
            </w:r>
          </w:p>
        </w:tc>
        <w:tc>
          <w:tcPr>
            <w:tcW w:w="1077" w:type="dxa"/>
          </w:tcPr>
          <w:p w14:paraId="1F8A50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w:t>
            </w:r>
          </w:p>
        </w:tc>
        <w:tc>
          <w:tcPr>
            <w:tcW w:w="1077" w:type="dxa"/>
          </w:tcPr>
          <w:p w14:paraId="183DD2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Расход горючего</w:t>
            </w:r>
          </w:p>
        </w:tc>
        <w:tc>
          <w:tcPr>
            <w:tcW w:w="1191" w:type="dxa"/>
          </w:tcPr>
          <w:p w14:paraId="16B4E6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Строящая организация</w:t>
            </w:r>
          </w:p>
        </w:tc>
        <w:tc>
          <w:tcPr>
            <w:tcW w:w="1408" w:type="dxa"/>
          </w:tcPr>
          <w:p w14:paraId="34F156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Срок госиспытаний</w:t>
            </w:r>
          </w:p>
        </w:tc>
        <w:tc>
          <w:tcPr>
            <w:tcW w:w="2325" w:type="dxa"/>
          </w:tcPr>
          <w:p w14:paraId="2981EA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Примечание</w:t>
            </w:r>
          </w:p>
        </w:tc>
      </w:tr>
      <w:tr w:rsidR="00E3599D" w:rsidRPr="00E14102" w14:paraId="3A13030D" w14:textId="77777777">
        <w:tc>
          <w:tcPr>
            <w:tcW w:w="2041" w:type="dxa"/>
          </w:tcPr>
          <w:p w14:paraId="34EFB5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 Опытные бензиновые моторы</w:t>
            </w:r>
          </w:p>
        </w:tc>
        <w:tc>
          <w:tcPr>
            <w:tcW w:w="1077" w:type="dxa"/>
          </w:tcPr>
          <w:p w14:paraId="6B1EB876"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14978726"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14286F16"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6E3A4DE5"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4DCB3F27"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0942A9D7"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5D7A5B7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4C227A9A" w14:textId="77777777">
        <w:tc>
          <w:tcPr>
            <w:tcW w:w="2041" w:type="dxa"/>
          </w:tcPr>
          <w:p w14:paraId="0668CD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М-56 – 14 цилиндровая 2-х рядная звезда воздушного охлаждения</w:t>
            </w:r>
          </w:p>
        </w:tc>
        <w:tc>
          <w:tcPr>
            <w:tcW w:w="1077" w:type="dxa"/>
          </w:tcPr>
          <w:p w14:paraId="7D8DA3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077" w:type="dxa"/>
          </w:tcPr>
          <w:p w14:paraId="3DD607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w:t>
            </w:r>
          </w:p>
        </w:tc>
        <w:tc>
          <w:tcPr>
            <w:tcW w:w="1077" w:type="dxa"/>
          </w:tcPr>
          <w:p w14:paraId="56F7E0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1077" w:type="dxa"/>
          </w:tcPr>
          <w:p w14:paraId="7E67CD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w:t>
            </w:r>
          </w:p>
        </w:tc>
        <w:tc>
          <w:tcPr>
            <w:tcW w:w="1191" w:type="dxa"/>
          </w:tcPr>
          <w:p w14:paraId="6F37B6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476052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w:t>
            </w:r>
          </w:p>
        </w:tc>
        <w:tc>
          <w:tcPr>
            <w:tcW w:w="2325" w:type="dxa"/>
          </w:tcPr>
          <w:p w14:paraId="5558D64F"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B39D69A" w14:textId="77777777">
        <w:tc>
          <w:tcPr>
            <w:tcW w:w="2041" w:type="dxa"/>
          </w:tcPr>
          <w:p w14:paraId="61C640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ММ-1 (маломощный мотор)</w:t>
            </w:r>
          </w:p>
        </w:tc>
        <w:tc>
          <w:tcPr>
            <w:tcW w:w="1077" w:type="dxa"/>
          </w:tcPr>
          <w:p w14:paraId="0DB7D1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250-300</w:t>
            </w:r>
          </w:p>
        </w:tc>
        <w:tc>
          <w:tcPr>
            <w:tcW w:w="1077" w:type="dxa"/>
          </w:tcPr>
          <w:p w14:paraId="5FF1A4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1077" w:type="dxa"/>
          </w:tcPr>
          <w:p w14:paraId="545185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225</w:t>
            </w:r>
          </w:p>
        </w:tc>
        <w:tc>
          <w:tcPr>
            <w:tcW w:w="1077" w:type="dxa"/>
          </w:tcPr>
          <w:p w14:paraId="5685B6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280-290</w:t>
            </w:r>
          </w:p>
        </w:tc>
        <w:tc>
          <w:tcPr>
            <w:tcW w:w="1191" w:type="dxa"/>
          </w:tcPr>
          <w:p w14:paraId="62BECC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4CBB95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мая 1936 г.</w:t>
            </w:r>
          </w:p>
        </w:tc>
        <w:tc>
          <w:tcPr>
            <w:tcW w:w="2325" w:type="dxa"/>
          </w:tcPr>
          <w:p w14:paraId="535D3E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Совместно с заводом № 16</w:t>
            </w:r>
          </w:p>
        </w:tc>
      </w:tr>
      <w:tr w:rsidR="00E3599D" w:rsidRPr="00E14102" w14:paraId="758B795D" w14:textId="77777777">
        <w:tc>
          <w:tcPr>
            <w:tcW w:w="2041" w:type="dxa"/>
          </w:tcPr>
          <w:p w14:paraId="34EA99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Развитие мотора ММ-1 V-образного с опрокинутыми вниз цилиндрами воздушного охлаждения</w:t>
            </w:r>
          </w:p>
        </w:tc>
        <w:tc>
          <w:tcPr>
            <w:tcW w:w="1077" w:type="dxa"/>
          </w:tcPr>
          <w:p w14:paraId="270CCF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1077" w:type="dxa"/>
          </w:tcPr>
          <w:p w14:paraId="317C7B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w:t>
            </w:r>
          </w:p>
        </w:tc>
        <w:tc>
          <w:tcPr>
            <w:tcW w:w="1077" w:type="dxa"/>
          </w:tcPr>
          <w:p w14:paraId="0F99DC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350-370</w:t>
            </w:r>
          </w:p>
        </w:tc>
        <w:tc>
          <w:tcPr>
            <w:tcW w:w="1077" w:type="dxa"/>
          </w:tcPr>
          <w:p w14:paraId="1CBA4F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328492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совместно с заводом № 16</w:t>
            </w:r>
          </w:p>
        </w:tc>
        <w:tc>
          <w:tcPr>
            <w:tcW w:w="1408" w:type="dxa"/>
          </w:tcPr>
          <w:p w14:paraId="22E239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5BB2CD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испытания</w:t>
            </w:r>
          </w:p>
        </w:tc>
      </w:tr>
      <w:tr w:rsidR="00E3599D" w:rsidRPr="00E14102" w14:paraId="1F74DC45" w14:textId="77777777">
        <w:tc>
          <w:tcPr>
            <w:tcW w:w="2041" w:type="dxa"/>
          </w:tcPr>
          <w:p w14:paraId="02BBDD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Бесклапанный мотор</w:t>
            </w:r>
          </w:p>
        </w:tc>
        <w:tc>
          <w:tcPr>
            <w:tcW w:w="1077" w:type="dxa"/>
          </w:tcPr>
          <w:p w14:paraId="7C275C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650-700</w:t>
            </w:r>
          </w:p>
        </w:tc>
        <w:tc>
          <w:tcPr>
            <w:tcW w:w="1077" w:type="dxa"/>
          </w:tcPr>
          <w:p w14:paraId="0D21CF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1077" w:type="dxa"/>
          </w:tcPr>
          <w:p w14:paraId="6523E8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DA7E4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1D0854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639D26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1EDD00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испытания</w:t>
            </w:r>
          </w:p>
        </w:tc>
      </w:tr>
      <w:tr w:rsidR="00E3599D" w:rsidRPr="00E14102" w14:paraId="0D734BC5" w14:textId="77777777">
        <w:tc>
          <w:tcPr>
            <w:tcW w:w="2041" w:type="dxa"/>
          </w:tcPr>
          <w:p w14:paraId="6132F9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М-44 для торпедных катеров</w:t>
            </w:r>
          </w:p>
        </w:tc>
        <w:tc>
          <w:tcPr>
            <w:tcW w:w="1077" w:type="dxa"/>
          </w:tcPr>
          <w:p w14:paraId="7B8ABF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1600</w:t>
            </w:r>
          </w:p>
        </w:tc>
        <w:tc>
          <w:tcPr>
            <w:tcW w:w="1077" w:type="dxa"/>
          </w:tcPr>
          <w:p w14:paraId="14EBCF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357C4B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C60FD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2FED94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4862E1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w:t>
            </w:r>
          </w:p>
        </w:tc>
        <w:tc>
          <w:tcPr>
            <w:tcW w:w="2325" w:type="dxa"/>
          </w:tcPr>
          <w:p w14:paraId="146BFA7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6418074" w14:textId="77777777">
        <w:tc>
          <w:tcPr>
            <w:tcW w:w="2041" w:type="dxa"/>
          </w:tcPr>
          <w:p w14:paraId="1B2E77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 Авиационные дизеля</w:t>
            </w:r>
          </w:p>
        </w:tc>
        <w:tc>
          <w:tcPr>
            <w:tcW w:w="1077" w:type="dxa"/>
          </w:tcPr>
          <w:p w14:paraId="609AB159"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29928BEF"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760F192D"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3C45CCE2"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5CD1C58E"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7694AF0D"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410C7717"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FC3254E" w14:textId="77777777">
        <w:tc>
          <w:tcPr>
            <w:tcW w:w="2041" w:type="dxa"/>
          </w:tcPr>
          <w:p w14:paraId="69E9A6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…-1А</w:t>
            </w:r>
          </w:p>
        </w:tc>
        <w:tc>
          <w:tcPr>
            <w:tcW w:w="1077" w:type="dxa"/>
          </w:tcPr>
          <w:p w14:paraId="43A462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w:t>
            </w:r>
          </w:p>
        </w:tc>
        <w:tc>
          <w:tcPr>
            <w:tcW w:w="1077" w:type="dxa"/>
          </w:tcPr>
          <w:p w14:paraId="1475BD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1077" w:type="dxa"/>
          </w:tcPr>
          <w:p w14:paraId="03ED15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395750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170-180</w:t>
            </w:r>
          </w:p>
        </w:tc>
        <w:tc>
          <w:tcPr>
            <w:tcW w:w="1191" w:type="dxa"/>
          </w:tcPr>
          <w:p w14:paraId="65C04E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1D85E7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w:t>
            </w:r>
          </w:p>
        </w:tc>
        <w:tc>
          <w:tcPr>
            <w:tcW w:w="2325" w:type="dxa"/>
          </w:tcPr>
          <w:p w14:paraId="350C311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12EEF2F1" w14:textId="77777777">
        <w:tc>
          <w:tcPr>
            <w:tcW w:w="2041" w:type="dxa"/>
          </w:tcPr>
          <w:p w14:paraId="6C7AE9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…-1Ф (форсированный)</w:t>
            </w:r>
          </w:p>
        </w:tc>
        <w:tc>
          <w:tcPr>
            <w:tcW w:w="1077" w:type="dxa"/>
          </w:tcPr>
          <w:p w14:paraId="4267DD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259705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1077" w:type="dxa"/>
          </w:tcPr>
          <w:p w14:paraId="2DC35C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3AB41F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170-180</w:t>
            </w:r>
          </w:p>
        </w:tc>
        <w:tc>
          <w:tcPr>
            <w:tcW w:w="1191" w:type="dxa"/>
          </w:tcPr>
          <w:p w14:paraId="2B2D87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0CBEAA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1937 г.</w:t>
            </w:r>
          </w:p>
        </w:tc>
        <w:tc>
          <w:tcPr>
            <w:tcW w:w="2325" w:type="dxa"/>
          </w:tcPr>
          <w:p w14:paraId="09A17AC1"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E821444" w14:textId="77777777">
        <w:tc>
          <w:tcPr>
            <w:tcW w:w="2041" w:type="dxa"/>
          </w:tcPr>
          <w:p w14:paraId="73EABD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…-314 цил., двухрядная звезда воздушного охлаждения</w:t>
            </w:r>
          </w:p>
        </w:tc>
        <w:tc>
          <w:tcPr>
            <w:tcW w:w="1077" w:type="dxa"/>
          </w:tcPr>
          <w:p w14:paraId="0F6929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077" w:type="dxa"/>
          </w:tcPr>
          <w:p w14:paraId="50688F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3000</w:t>
            </w:r>
          </w:p>
        </w:tc>
        <w:tc>
          <w:tcPr>
            <w:tcW w:w="1077" w:type="dxa"/>
          </w:tcPr>
          <w:p w14:paraId="564D50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077" w:type="dxa"/>
          </w:tcPr>
          <w:p w14:paraId="6F15A0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w:t>
            </w:r>
          </w:p>
        </w:tc>
        <w:tc>
          <w:tcPr>
            <w:tcW w:w="1191" w:type="dxa"/>
          </w:tcPr>
          <w:p w14:paraId="2BA822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6C5297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379587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испытания</w:t>
            </w:r>
          </w:p>
        </w:tc>
      </w:tr>
      <w:tr w:rsidR="00E3599D" w:rsidRPr="00E14102" w14:paraId="511C5C0E" w14:textId="77777777">
        <w:tc>
          <w:tcPr>
            <w:tcW w:w="2041" w:type="dxa"/>
          </w:tcPr>
          <w:p w14:paraId="5F5065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III. Турбины</w:t>
            </w:r>
          </w:p>
        </w:tc>
        <w:tc>
          <w:tcPr>
            <w:tcW w:w="1077" w:type="dxa"/>
          </w:tcPr>
          <w:p w14:paraId="2A54749E"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050A9330"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01BD5E5A"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58D941DD"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21C0AAB5"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7761B00D"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79ABDBC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8F7762A" w14:textId="77777777">
        <w:tc>
          <w:tcPr>
            <w:tcW w:w="2041" w:type="dxa"/>
          </w:tcPr>
          <w:p w14:paraId="480466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ГТ газовая турбина</w:t>
            </w:r>
          </w:p>
        </w:tc>
        <w:tc>
          <w:tcPr>
            <w:tcW w:w="1077" w:type="dxa"/>
          </w:tcPr>
          <w:p w14:paraId="6BD9EE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22AC6B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4B9292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510E29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276C6E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ВТИ и Кировский завод</w:t>
            </w:r>
          </w:p>
        </w:tc>
        <w:tc>
          <w:tcPr>
            <w:tcW w:w="1408" w:type="dxa"/>
          </w:tcPr>
          <w:p w14:paraId="05E93D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5FD77D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Заводские испытания</w:t>
            </w:r>
          </w:p>
        </w:tc>
      </w:tr>
      <w:tr w:rsidR="00E3599D" w:rsidRPr="00E14102" w14:paraId="4554C409" w14:textId="77777777">
        <w:tc>
          <w:tcPr>
            <w:tcW w:w="2041" w:type="dxa"/>
          </w:tcPr>
          <w:p w14:paraId="787D06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Модификация серийных моторов</w:t>
            </w:r>
          </w:p>
        </w:tc>
        <w:tc>
          <w:tcPr>
            <w:tcW w:w="1077" w:type="dxa"/>
          </w:tcPr>
          <w:p w14:paraId="6F5FA294"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42ECFC47"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18971B05"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77F43F84"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7035ADB3"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5655AAE1"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2F89678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D868A2C" w14:textId="77777777">
        <w:tc>
          <w:tcPr>
            <w:tcW w:w="2041" w:type="dxa"/>
          </w:tcPr>
          <w:p w14:paraId="5FF176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М25 Д двухрядная 18-ти цилиндровая звезда</w:t>
            </w:r>
          </w:p>
        </w:tc>
        <w:tc>
          <w:tcPr>
            <w:tcW w:w="1077" w:type="dxa"/>
          </w:tcPr>
          <w:p w14:paraId="4D6ED3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1250</w:t>
            </w:r>
          </w:p>
        </w:tc>
        <w:tc>
          <w:tcPr>
            <w:tcW w:w="1077" w:type="dxa"/>
          </w:tcPr>
          <w:p w14:paraId="2FB1DE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2500</w:t>
            </w:r>
          </w:p>
        </w:tc>
        <w:tc>
          <w:tcPr>
            <w:tcW w:w="1077" w:type="dxa"/>
          </w:tcPr>
          <w:p w14:paraId="55B88A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077" w:type="dxa"/>
          </w:tcPr>
          <w:p w14:paraId="23981A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1191" w:type="dxa"/>
          </w:tcPr>
          <w:p w14:paraId="1D4862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19</w:t>
            </w:r>
          </w:p>
        </w:tc>
        <w:tc>
          <w:tcPr>
            <w:tcW w:w="1408" w:type="dxa"/>
          </w:tcPr>
          <w:p w14:paraId="7CE7FA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6A8A7A6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E885F15" w14:textId="77777777">
        <w:tc>
          <w:tcPr>
            <w:tcW w:w="2041" w:type="dxa"/>
          </w:tcPr>
          <w:p w14:paraId="0D6FA2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М-25 с 2-х скоростным нагнетателем (М-62)</w:t>
            </w:r>
          </w:p>
        </w:tc>
        <w:tc>
          <w:tcPr>
            <w:tcW w:w="1077" w:type="dxa"/>
          </w:tcPr>
          <w:p w14:paraId="0EABDE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w:t>
            </w:r>
          </w:p>
        </w:tc>
        <w:tc>
          <w:tcPr>
            <w:tcW w:w="1077" w:type="dxa"/>
          </w:tcPr>
          <w:p w14:paraId="728865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75B0CD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1077" w:type="dxa"/>
          </w:tcPr>
          <w:p w14:paraId="1AC692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1191" w:type="dxa"/>
          </w:tcPr>
          <w:p w14:paraId="4EEF8E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19</w:t>
            </w:r>
          </w:p>
        </w:tc>
        <w:tc>
          <w:tcPr>
            <w:tcW w:w="1408" w:type="dxa"/>
          </w:tcPr>
          <w:p w14:paraId="57378F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w:t>
            </w:r>
          </w:p>
        </w:tc>
        <w:tc>
          <w:tcPr>
            <w:tcW w:w="2325" w:type="dxa"/>
          </w:tcPr>
          <w:p w14:paraId="097A2920"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2A3E2185" w14:textId="77777777">
        <w:tc>
          <w:tcPr>
            <w:tcW w:w="2041" w:type="dxa"/>
          </w:tcPr>
          <w:p w14:paraId="40B473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М-34ФРН</w:t>
            </w:r>
          </w:p>
        </w:tc>
        <w:tc>
          <w:tcPr>
            <w:tcW w:w="1077" w:type="dxa"/>
          </w:tcPr>
          <w:p w14:paraId="65CAA0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298082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421C20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680</w:t>
            </w:r>
          </w:p>
        </w:tc>
        <w:tc>
          <w:tcPr>
            <w:tcW w:w="1077" w:type="dxa"/>
          </w:tcPr>
          <w:p w14:paraId="4C0C36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255-265</w:t>
            </w:r>
          </w:p>
        </w:tc>
        <w:tc>
          <w:tcPr>
            <w:tcW w:w="1191" w:type="dxa"/>
          </w:tcPr>
          <w:p w14:paraId="0B8DA4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408" w:type="dxa"/>
          </w:tcPr>
          <w:p w14:paraId="53EA27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1936 г.</w:t>
            </w:r>
          </w:p>
        </w:tc>
        <w:tc>
          <w:tcPr>
            <w:tcW w:w="2325" w:type="dxa"/>
          </w:tcPr>
          <w:p w14:paraId="59018452"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F77E50B" w14:textId="77777777">
        <w:tc>
          <w:tcPr>
            <w:tcW w:w="2041" w:type="dxa"/>
          </w:tcPr>
          <w:p w14:paraId="2C98BC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М-34ФН</w:t>
            </w:r>
          </w:p>
        </w:tc>
        <w:tc>
          <w:tcPr>
            <w:tcW w:w="1077" w:type="dxa"/>
          </w:tcPr>
          <w:p w14:paraId="7A7490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077" w:type="dxa"/>
          </w:tcPr>
          <w:p w14:paraId="64E5D4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5000</w:t>
            </w:r>
          </w:p>
        </w:tc>
        <w:tc>
          <w:tcPr>
            <w:tcW w:w="1077" w:type="dxa"/>
          </w:tcPr>
          <w:p w14:paraId="60166C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w:t>
            </w:r>
          </w:p>
        </w:tc>
        <w:tc>
          <w:tcPr>
            <w:tcW w:w="1077" w:type="dxa"/>
          </w:tcPr>
          <w:p w14:paraId="575A90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255-265</w:t>
            </w:r>
          </w:p>
        </w:tc>
        <w:tc>
          <w:tcPr>
            <w:tcW w:w="1191" w:type="dxa"/>
          </w:tcPr>
          <w:p w14:paraId="486E3B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408" w:type="dxa"/>
          </w:tcPr>
          <w:p w14:paraId="47E7F6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ноября 1936 г.</w:t>
            </w:r>
          </w:p>
        </w:tc>
        <w:tc>
          <w:tcPr>
            <w:tcW w:w="2325" w:type="dxa"/>
          </w:tcPr>
          <w:p w14:paraId="28E6F5FE"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6BB8A753" w14:textId="77777777">
        <w:tc>
          <w:tcPr>
            <w:tcW w:w="2041" w:type="dxa"/>
          </w:tcPr>
          <w:p w14:paraId="759AB3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М-34 смешанного охлаждения</w:t>
            </w:r>
          </w:p>
        </w:tc>
        <w:tc>
          <w:tcPr>
            <w:tcW w:w="1077" w:type="dxa"/>
          </w:tcPr>
          <w:p w14:paraId="4AEC0E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1050</w:t>
            </w:r>
          </w:p>
        </w:tc>
        <w:tc>
          <w:tcPr>
            <w:tcW w:w="1077" w:type="dxa"/>
          </w:tcPr>
          <w:p w14:paraId="5CF51A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3500</w:t>
            </w:r>
          </w:p>
        </w:tc>
        <w:tc>
          <w:tcPr>
            <w:tcW w:w="1077" w:type="dxa"/>
          </w:tcPr>
          <w:p w14:paraId="420FC7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264BF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255-265</w:t>
            </w:r>
          </w:p>
        </w:tc>
        <w:tc>
          <w:tcPr>
            <w:tcW w:w="1191" w:type="dxa"/>
          </w:tcPr>
          <w:p w14:paraId="1E10C1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408" w:type="dxa"/>
          </w:tcPr>
          <w:p w14:paraId="03DEB3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1186640B"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1D661C5" w14:textId="77777777">
        <w:tc>
          <w:tcPr>
            <w:tcW w:w="2041" w:type="dxa"/>
          </w:tcPr>
          <w:p w14:paraId="25F817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ГМ-34НБ для торпедных катеров форсир. с нагнетателем</w:t>
            </w:r>
          </w:p>
        </w:tc>
        <w:tc>
          <w:tcPr>
            <w:tcW w:w="1077" w:type="dxa"/>
          </w:tcPr>
          <w:p w14:paraId="39A02A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1250</w:t>
            </w:r>
          </w:p>
        </w:tc>
        <w:tc>
          <w:tcPr>
            <w:tcW w:w="1077" w:type="dxa"/>
          </w:tcPr>
          <w:p w14:paraId="509876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0400A1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735FB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5D05BC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24</w:t>
            </w:r>
          </w:p>
        </w:tc>
        <w:tc>
          <w:tcPr>
            <w:tcW w:w="1408" w:type="dxa"/>
          </w:tcPr>
          <w:p w14:paraId="40195B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27DD5A1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94F53D5" w14:textId="77777777">
        <w:tc>
          <w:tcPr>
            <w:tcW w:w="2041" w:type="dxa"/>
          </w:tcPr>
          <w:p w14:paraId="4871C9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М-86 (развитие К-9) двухрядная 18-ти цилиндровая звезда</w:t>
            </w:r>
          </w:p>
        </w:tc>
        <w:tc>
          <w:tcPr>
            <w:tcW w:w="1077" w:type="dxa"/>
          </w:tcPr>
          <w:p w14:paraId="505DC4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1050</w:t>
            </w:r>
          </w:p>
        </w:tc>
        <w:tc>
          <w:tcPr>
            <w:tcW w:w="1077" w:type="dxa"/>
          </w:tcPr>
          <w:p w14:paraId="38577F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1077" w:type="dxa"/>
          </w:tcPr>
          <w:p w14:paraId="0FD36E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700-750</w:t>
            </w:r>
          </w:p>
        </w:tc>
        <w:tc>
          <w:tcPr>
            <w:tcW w:w="1077" w:type="dxa"/>
          </w:tcPr>
          <w:p w14:paraId="3D4EA8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1191" w:type="dxa"/>
          </w:tcPr>
          <w:p w14:paraId="0D95DF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1408" w:type="dxa"/>
          </w:tcPr>
          <w:p w14:paraId="49B66F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декабря 1936 г.</w:t>
            </w:r>
          </w:p>
        </w:tc>
        <w:tc>
          <w:tcPr>
            <w:tcW w:w="2325" w:type="dxa"/>
          </w:tcPr>
          <w:p w14:paraId="76D58B56"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7472C2B6" w14:textId="77777777">
        <w:tc>
          <w:tcPr>
            <w:tcW w:w="2041" w:type="dxa"/>
          </w:tcPr>
          <w:p w14:paraId="734FFA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М-85Ф (форсированный)</w:t>
            </w:r>
          </w:p>
        </w:tc>
        <w:tc>
          <w:tcPr>
            <w:tcW w:w="1077" w:type="dxa"/>
          </w:tcPr>
          <w:p w14:paraId="5E4259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950</w:t>
            </w:r>
          </w:p>
        </w:tc>
        <w:tc>
          <w:tcPr>
            <w:tcW w:w="1077" w:type="dxa"/>
          </w:tcPr>
          <w:p w14:paraId="327B00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1077" w:type="dxa"/>
          </w:tcPr>
          <w:p w14:paraId="33C4C8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630</w:t>
            </w:r>
          </w:p>
        </w:tc>
        <w:tc>
          <w:tcPr>
            <w:tcW w:w="1077" w:type="dxa"/>
          </w:tcPr>
          <w:p w14:paraId="1F4F93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290</w:t>
            </w:r>
          </w:p>
        </w:tc>
        <w:tc>
          <w:tcPr>
            <w:tcW w:w="1191" w:type="dxa"/>
          </w:tcPr>
          <w:p w14:paraId="4AE90E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29</w:t>
            </w:r>
          </w:p>
        </w:tc>
        <w:tc>
          <w:tcPr>
            <w:tcW w:w="1408" w:type="dxa"/>
          </w:tcPr>
          <w:p w14:paraId="69EAD1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 г.</w:t>
            </w:r>
          </w:p>
        </w:tc>
        <w:tc>
          <w:tcPr>
            <w:tcW w:w="2325" w:type="dxa"/>
          </w:tcPr>
          <w:p w14:paraId="7061D69A"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54BA4A2C" w14:textId="77777777">
        <w:tc>
          <w:tcPr>
            <w:tcW w:w="2041" w:type="dxa"/>
          </w:tcPr>
          <w:p w14:paraId="71A4A8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М-100Ф (форсированный)</w:t>
            </w:r>
          </w:p>
        </w:tc>
        <w:tc>
          <w:tcPr>
            <w:tcW w:w="1077" w:type="dxa"/>
          </w:tcPr>
          <w:p w14:paraId="54D545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950</w:t>
            </w:r>
          </w:p>
        </w:tc>
        <w:tc>
          <w:tcPr>
            <w:tcW w:w="1077" w:type="dxa"/>
          </w:tcPr>
          <w:p w14:paraId="14CBC6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4000</w:t>
            </w:r>
          </w:p>
        </w:tc>
        <w:tc>
          <w:tcPr>
            <w:tcW w:w="1077" w:type="dxa"/>
          </w:tcPr>
          <w:p w14:paraId="688775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500</w:t>
            </w:r>
          </w:p>
        </w:tc>
        <w:tc>
          <w:tcPr>
            <w:tcW w:w="1077" w:type="dxa"/>
          </w:tcPr>
          <w:p w14:paraId="2FBA24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280</w:t>
            </w:r>
          </w:p>
        </w:tc>
        <w:tc>
          <w:tcPr>
            <w:tcW w:w="1191" w:type="dxa"/>
          </w:tcPr>
          <w:p w14:paraId="132738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26</w:t>
            </w:r>
          </w:p>
        </w:tc>
        <w:tc>
          <w:tcPr>
            <w:tcW w:w="1408" w:type="dxa"/>
          </w:tcPr>
          <w:p w14:paraId="62B3D8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октября 1936 г.</w:t>
            </w:r>
          </w:p>
        </w:tc>
        <w:tc>
          <w:tcPr>
            <w:tcW w:w="2325" w:type="dxa"/>
          </w:tcPr>
          <w:p w14:paraId="2890C3F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3312FCE2" w14:textId="77777777">
        <w:tc>
          <w:tcPr>
            <w:tcW w:w="2041" w:type="dxa"/>
          </w:tcPr>
          <w:p w14:paraId="09BC4E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Новые агрегаты</w:t>
            </w:r>
          </w:p>
        </w:tc>
        <w:tc>
          <w:tcPr>
            <w:tcW w:w="1077" w:type="dxa"/>
          </w:tcPr>
          <w:p w14:paraId="1816C0C5"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3BEDF286"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327DD7EC" w14:textId="77777777" w:rsidR="00D4105E" w:rsidRPr="00E14102" w:rsidRDefault="00D4105E" w:rsidP="00E14102">
            <w:pPr>
              <w:autoSpaceDE w:val="0"/>
              <w:autoSpaceDN w:val="0"/>
              <w:adjustRightInd w:val="0"/>
              <w:jc w:val="both"/>
              <w:rPr>
                <w:color w:val="000000" w:themeColor="text1"/>
                <w:sz w:val="16"/>
                <w:szCs w:val="16"/>
              </w:rPr>
            </w:pPr>
          </w:p>
        </w:tc>
        <w:tc>
          <w:tcPr>
            <w:tcW w:w="1077" w:type="dxa"/>
          </w:tcPr>
          <w:p w14:paraId="20D13906" w14:textId="77777777" w:rsidR="00D4105E" w:rsidRPr="00E14102" w:rsidRDefault="00D4105E" w:rsidP="00E14102">
            <w:pPr>
              <w:autoSpaceDE w:val="0"/>
              <w:autoSpaceDN w:val="0"/>
              <w:adjustRightInd w:val="0"/>
              <w:jc w:val="both"/>
              <w:rPr>
                <w:color w:val="000000" w:themeColor="text1"/>
                <w:sz w:val="16"/>
                <w:szCs w:val="16"/>
              </w:rPr>
            </w:pPr>
          </w:p>
        </w:tc>
        <w:tc>
          <w:tcPr>
            <w:tcW w:w="1191" w:type="dxa"/>
          </w:tcPr>
          <w:p w14:paraId="15856F2D" w14:textId="77777777" w:rsidR="00D4105E" w:rsidRPr="00E14102" w:rsidRDefault="00D4105E" w:rsidP="00E14102">
            <w:pPr>
              <w:autoSpaceDE w:val="0"/>
              <w:autoSpaceDN w:val="0"/>
              <w:adjustRightInd w:val="0"/>
              <w:jc w:val="both"/>
              <w:rPr>
                <w:color w:val="000000" w:themeColor="text1"/>
                <w:sz w:val="16"/>
                <w:szCs w:val="16"/>
              </w:rPr>
            </w:pPr>
          </w:p>
        </w:tc>
        <w:tc>
          <w:tcPr>
            <w:tcW w:w="1408" w:type="dxa"/>
          </w:tcPr>
          <w:p w14:paraId="3B06DC94" w14:textId="77777777" w:rsidR="00D4105E" w:rsidRPr="00E14102" w:rsidRDefault="00D4105E" w:rsidP="00E14102">
            <w:pPr>
              <w:autoSpaceDE w:val="0"/>
              <w:autoSpaceDN w:val="0"/>
              <w:adjustRightInd w:val="0"/>
              <w:jc w:val="both"/>
              <w:rPr>
                <w:color w:val="000000" w:themeColor="text1"/>
                <w:sz w:val="16"/>
                <w:szCs w:val="16"/>
              </w:rPr>
            </w:pPr>
          </w:p>
        </w:tc>
        <w:tc>
          <w:tcPr>
            <w:tcW w:w="2325" w:type="dxa"/>
          </w:tcPr>
          <w:p w14:paraId="1148DB55" w14:textId="77777777" w:rsidR="00D4105E" w:rsidRPr="00E14102" w:rsidRDefault="00D4105E" w:rsidP="00E14102">
            <w:pPr>
              <w:autoSpaceDE w:val="0"/>
              <w:autoSpaceDN w:val="0"/>
              <w:adjustRightInd w:val="0"/>
              <w:jc w:val="both"/>
              <w:rPr>
                <w:color w:val="000000" w:themeColor="text1"/>
                <w:sz w:val="16"/>
                <w:szCs w:val="16"/>
              </w:rPr>
            </w:pPr>
          </w:p>
        </w:tc>
      </w:tr>
      <w:tr w:rsidR="00E3599D" w:rsidRPr="00E14102" w14:paraId="0CA0152E" w14:textId="77777777">
        <w:tc>
          <w:tcPr>
            <w:tcW w:w="2041" w:type="dxa"/>
          </w:tcPr>
          <w:p w14:paraId="7A7C3B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Перевод на непосредственный впрыск моторов М34, М100, М25, М85</w:t>
            </w:r>
          </w:p>
        </w:tc>
        <w:tc>
          <w:tcPr>
            <w:tcW w:w="1077" w:type="dxa"/>
          </w:tcPr>
          <w:p w14:paraId="0B1693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C35F9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3DB8A1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6F2490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68C7E2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совместно с заводами</w:t>
            </w:r>
          </w:p>
        </w:tc>
        <w:tc>
          <w:tcPr>
            <w:tcW w:w="1408" w:type="dxa"/>
          </w:tcPr>
          <w:p w14:paraId="5753BE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апреля 1936 г.</w:t>
            </w:r>
          </w:p>
          <w:p w14:paraId="42B9E5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70A532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М34 предъявл. к 1 апреля 1936 г.</w:t>
            </w:r>
          </w:p>
        </w:tc>
      </w:tr>
      <w:tr w:rsidR="00E3599D" w:rsidRPr="00E14102" w14:paraId="79D096B2" w14:textId="77777777">
        <w:tc>
          <w:tcPr>
            <w:tcW w:w="2041" w:type="dxa"/>
          </w:tcPr>
          <w:p w14:paraId="745940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Повышение высотности моторов М34, М100 и М85 (двухступенч. и двухскор. нагнет.) </w:t>
            </w:r>
          </w:p>
        </w:tc>
        <w:tc>
          <w:tcPr>
            <w:tcW w:w="1077" w:type="dxa"/>
          </w:tcPr>
          <w:p w14:paraId="1EFC2C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4B38F1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6000</w:t>
            </w:r>
          </w:p>
        </w:tc>
        <w:tc>
          <w:tcPr>
            <w:tcW w:w="1077" w:type="dxa"/>
          </w:tcPr>
          <w:p w14:paraId="629B6B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F8888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33EDD2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совместно с заводами</w:t>
            </w:r>
          </w:p>
        </w:tc>
        <w:tc>
          <w:tcPr>
            <w:tcW w:w="1408" w:type="dxa"/>
          </w:tcPr>
          <w:p w14:paraId="45A75A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марта 1936 г.</w:t>
            </w:r>
          </w:p>
          <w:p w14:paraId="405659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января 1937 г.</w:t>
            </w:r>
          </w:p>
        </w:tc>
        <w:tc>
          <w:tcPr>
            <w:tcW w:w="2325" w:type="dxa"/>
          </w:tcPr>
          <w:p w14:paraId="4BA451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 М34 предъявл. к 1 марта 1936 г.</w:t>
            </w:r>
          </w:p>
        </w:tc>
      </w:tr>
      <w:tr w:rsidR="00E3599D" w:rsidRPr="00E14102" w14:paraId="19D10B5D" w14:textId="77777777">
        <w:tc>
          <w:tcPr>
            <w:tcW w:w="2041" w:type="dxa"/>
          </w:tcPr>
          <w:p w14:paraId="523217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Повышение высотности моторов М34 (турбокомпрессор)</w:t>
            </w:r>
          </w:p>
        </w:tc>
        <w:tc>
          <w:tcPr>
            <w:tcW w:w="1077" w:type="dxa"/>
          </w:tcPr>
          <w:p w14:paraId="66C379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741917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8500</w:t>
            </w:r>
          </w:p>
        </w:tc>
        <w:tc>
          <w:tcPr>
            <w:tcW w:w="1077" w:type="dxa"/>
          </w:tcPr>
          <w:p w14:paraId="0195B7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67BD91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6E8D7B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44D028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w:t>
            </w:r>
          </w:p>
        </w:tc>
        <w:tc>
          <w:tcPr>
            <w:tcW w:w="2325" w:type="dxa"/>
          </w:tcPr>
          <w:p w14:paraId="00B423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на самолете</w:t>
            </w:r>
          </w:p>
        </w:tc>
      </w:tr>
      <w:tr w:rsidR="00E3599D" w:rsidRPr="00E14102" w14:paraId="036465AF" w14:textId="77777777">
        <w:tc>
          <w:tcPr>
            <w:tcW w:w="2041" w:type="dxa"/>
          </w:tcPr>
          <w:p w14:paraId="03ADB1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Центральный наддув к самолету ТБ3</w:t>
            </w:r>
          </w:p>
        </w:tc>
        <w:tc>
          <w:tcPr>
            <w:tcW w:w="1077" w:type="dxa"/>
          </w:tcPr>
          <w:p w14:paraId="396FE7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15208C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8000-9000</w:t>
            </w:r>
          </w:p>
        </w:tc>
        <w:tc>
          <w:tcPr>
            <w:tcW w:w="1077" w:type="dxa"/>
          </w:tcPr>
          <w:p w14:paraId="1CCD45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09E8D6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447A78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w:t>
            </w:r>
          </w:p>
        </w:tc>
        <w:tc>
          <w:tcPr>
            <w:tcW w:w="1408" w:type="dxa"/>
          </w:tcPr>
          <w:p w14:paraId="297135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июня 1936 г.</w:t>
            </w:r>
          </w:p>
        </w:tc>
        <w:tc>
          <w:tcPr>
            <w:tcW w:w="2325" w:type="dxa"/>
          </w:tcPr>
          <w:p w14:paraId="77228C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Испытания на самолете</w:t>
            </w:r>
          </w:p>
        </w:tc>
      </w:tr>
      <w:tr w:rsidR="00E3599D" w:rsidRPr="00E14102" w14:paraId="5F7E08B8" w14:textId="77777777">
        <w:tc>
          <w:tcPr>
            <w:tcW w:w="2041" w:type="dxa"/>
          </w:tcPr>
          <w:p w14:paraId="3D9DA7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Центральный наддув к самолету ТБ7</w:t>
            </w:r>
          </w:p>
        </w:tc>
        <w:tc>
          <w:tcPr>
            <w:tcW w:w="1077" w:type="dxa"/>
          </w:tcPr>
          <w:p w14:paraId="643519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642D30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8000-9000</w:t>
            </w:r>
          </w:p>
        </w:tc>
        <w:tc>
          <w:tcPr>
            <w:tcW w:w="1077" w:type="dxa"/>
          </w:tcPr>
          <w:p w14:paraId="349A93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077" w:type="dxa"/>
          </w:tcPr>
          <w:p w14:paraId="292541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191" w:type="dxa"/>
          </w:tcPr>
          <w:p w14:paraId="155047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ЦИАМ с ЦАГИ</w:t>
            </w:r>
          </w:p>
        </w:tc>
        <w:tc>
          <w:tcPr>
            <w:tcW w:w="1408" w:type="dxa"/>
          </w:tcPr>
          <w:p w14:paraId="43C31B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августа 1936 г.</w:t>
            </w:r>
          </w:p>
        </w:tc>
        <w:tc>
          <w:tcPr>
            <w:tcW w:w="2325" w:type="dxa"/>
          </w:tcPr>
          <w:p w14:paraId="2EFA9DA1" w14:textId="77777777" w:rsidR="00D4105E" w:rsidRPr="00E14102" w:rsidRDefault="00D4105E" w:rsidP="00E14102">
            <w:pPr>
              <w:autoSpaceDE w:val="0"/>
              <w:autoSpaceDN w:val="0"/>
              <w:adjustRightInd w:val="0"/>
              <w:jc w:val="both"/>
              <w:rPr>
                <w:color w:val="000000" w:themeColor="text1"/>
                <w:sz w:val="16"/>
                <w:szCs w:val="16"/>
              </w:rPr>
            </w:pPr>
          </w:p>
        </w:tc>
      </w:tr>
    </w:tbl>
    <w:p w14:paraId="012175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(3574,87-88)</w:t>
      </w:r>
    </w:p>
    <w:p w14:paraId="7BB3F5F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1EF7AD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декабре 1935 г. было изготовлено два опытных экземпляра БД-2А - авиационного варианта танкового дизеля БД-2 мощностью 400/420 л.с., созданного в 1933 г. в УНИАДИ в Харькове. По сравнению с тан</w:t>
      </w:r>
      <w:r w:rsidRPr="00E14102">
        <w:rPr>
          <w:color w:val="000000" w:themeColor="text1"/>
          <w:sz w:val="16"/>
          <w:szCs w:val="16"/>
        </w:rPr>
        <w:softHyphen/>
        <w:t>ковым вариантом авиационный был облегчен и снабжен нагнетателем от мотора М-34РН. В июле—декабре 1936 г. БД-2А испытывался на самолете Р-5. Испытания показали, что БД-2А не имеет преимуществ по сравнению с серийным мотором М-34РНБ. Сам БД-2 после доработки превратился в широко известный дизель В-2, устанавливавшийся на танках Т-34 и КВ.</w:t>
      </w:r>
    </w:p>
    <w:p w14:paraId="1B48706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Характеристики:</w:t>
      </w:r>
    </w:p>
    <w:p w14:paraId="450C371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12-цилиндровый, У-образный, четырехтактный, водяного охлажде</w:t>
      </w:r>
      <w:r w:rsidRPr="00E14102">
        <w:rPr>
          <w:color w:val="000000" w:themeColor="text1"/>
          <w:sz w:val="16"/>
          <w:szCs w:val="16"/>
        </w:rPr>
        <w:softHyphen/>
        <w:t>ния, с ПЦН;</w:t>
      </w:r>
    </w:p>
    <w:p w14:paraId="00AB59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мощность 600 л.с. (11852)</w:t>
      </w:r>
    </w:p>
    <w:p w14:paraId="489E40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A2FEC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начальник участка на Пермском авиационном заводе, выступая на областном слёте «стахановцев» военпрома (Свердловск), прямо рассказывал о том, как отбирались наиболее подготовленные рабочие, как им создавались соответствующие условия; о ночной подготовке к «штурму», привлечении вспомогательных рабочих в помощь новоявленным «стахановцам» говорилось и на первом областном совещании «стахановцев» в том же Свердловске. Рекордсмены (Сметанин, Гудов) первое время даже устраивали показательные перевыполнения нормы, за которыми «с напряжённым вниманием следил весь цех». А в том же Донбассе первая «стахановская смена», организованная 30 ноября 1935 на шахте им. Дзержинского и выполнившая за 6 часов всю суточную программу, проводилась силами «стахановцев», стянутых в неё со всех других смен. К такого рода ударным вахтам готовились загодя, накапливая необходимые сырьё и ресурсы (11562).</w:t>
      </w:r>
    </w:p>
    <w:p w14:paraId="1B91A1FB" w14:textId="77777777" w:rsidR="00D4105E" w:rsidRPr="00E14102" w:rsidRDefault="00D4105E" w:rsidP="00E14102">
      <w:pPr>
        <w:autoSpaceDE w:val="0"/>
        <w:autoSpaceDN w:val="0"/>
        <w:adjustRightInd w:val="0"/>
        <w:jc w:val="both"/>
        <w:rPr>
          <w:color w:val="000000" w:themeColor="text1"/>
          <w:sz w:val="16"/>
          <w:szCs w:val="16"/>
        </w:rPr>
      </w:pPr>
    </w:p>
    <w:p w14:paraId="3CFFD0CF"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В декабре 1935 года В. Молотов писал письмо № 2484/ко в Политбюро ЦК ВКП(б)</w:t>
      </w:r>
    </w:p>
    <w:p w14:paraId="3CFA58A3"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Прошу утвердить постановление СНК – об отпуске из резервного фонда СНК 15 млн. руб. на покрытие убытков авиапромышленности НКТП.</w:t>
      </w:r>
    </w:p>
    <w:p w14:paraId="6B272AF9" w14:textId="77777777" w:rsidR="00D4105E" w:rsidRPr="00E14102" w:rsidRDefault="00D4105E" w:rsidP="00E14102">
      <w:pPr>
        <w:tabs>
          <w:tab w:val="left" w:pos="567"/>
        </w:tabs>
        <w:autoSpaceDE w:val="0"/>
        <w:autoSpaceDN w:val="0"/>
        <w:adjustRightInd w:val="0"/>
        <w:jc w:val="both"/>
        <w:rPr>
          <w:color w:val="000000" w:themeColor="text1"/>
          <w:sz w:val="16"/>
          <w:szCs w:val="16"/>
        </w:rPr>
      </w:pPr>
      <w:r w:rsidRPr="00E14102">
        <w:rPr>
          <w:color w:val="000000" w:themeColor="text1"/>
          <w:sz w:val="16"/>
          <w:szCs w:val="16"/>
        </w:rPr>
        <w:t>Приложение: Постановление СНК и доклад НКТП (3475,205).</w:t>
      </w:r>
    </w:p>
    <w:p w14:paraId="58A8706A" w14:textId="77777777" w:rsidR="00D4105E" w:rsidRPr="00E14102" w:rsidRDefault="00D4105E" w:rsidP="00E14102">
      <w:pPr>
        <w:tabs>
          <w:tab w:val="left" w:pos="567"/>
        </w:tabs>
        <w:autoSpaceDE w:val="0"/>
        <w:autoSpaceDN w:val="0"/>
        <w:adjustRightInd w:val="0"/>
        <w:jc w:val="both"/>
        <w:rPr>
          <w:color w:val="000000" w:themeColor="text1"/>
          <w:sz w:val="16"/>
          <w:szCs w:val="16"/>
        </w:rPr>
      </w:pPr>
    </w:p>
    <w:p w14:paraId="50ED8A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года вышло постановление СНК</w:t>
      </w:r>
    </w:p>
    <w:p w14:paraId="43E030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СНК постановляет:</w:t>
      </w:r>
    </w:p>
    <w:p w14:paraId="0AA8C806"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Отпустить дополнительно к ранее отпущенным 40,0 млн. руб., согласно постановления СТО от 2 декабря 1935 года, на покрытие убытков авиапромышленности 7,4 млн. руб. из резервного фонда СНК (3475,86).</w:t>
      </w:r>
    </w:p>
    <w:p w14:paraId="080E3273"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23B215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закончились работы по ацетилцеллюлозным аэролакам первого и второго покрытия, предназначенным для окраски полотняной обшивки самолетов, которые шли с февраля 1935. В результате проведенной работы ВИАМ'ом были разработаны а заводом 36 изготовлены ааролаки на основе ацетилцеллюлоэы, как бесцветные, так и цветные. Однако цветные аэролаки оказались недоброкачественными и не подвергались испытаниям. Основной их недостаток заключался в "белении" при нанесении на полотно. В виду этого, работа была ограничена испытанием бесцветных ацетилцеллюлозных аэролаков в комбинации с покрытиями из нитроцеллюлозных лаков (цветной второй слой). В отношении бесцветного лака была установлена его полная техническая характеристика, показывающая, что по своим свойствам ацетилцеллюлозный аэролак ни я чем не уступает нитроцеллюлозному марки А1Н, применявшемуся в то время в авиации (2560,13).</w:t>
      </w:r>
    </w:p>
    <w:p w14:paraId="020129FB" w14:textId="77777777" w:rsidR="00D4105E" w:rsidRPr="00E14102" w:rsidRDefault="00D4105E" w:rsidP="00E14102">
      <w:pPr>
        <w:autoSpaceDE w:val="0"/>
        <w:autoSpaceDN w:val="0"/>
        <w:adjustRightInd w:val="0"/>
        <w:jc w:val="both"/>
        <w:rPr>
          <w:color w:val="000000" w:themeColor="text1"/>
          <w:sz w:val="16"/>
          <w:szCs w:val="16"/>
        </w:rPr>
      </w:pPr>
    </w:p>
    <w:p w14:paraId="01B42A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 В. М. Орловым были утверждены первые тактико-технические задания на КВП. Среди них было и задание на постройку "транспортера для высадки десан</w:t>
      </w:r>
      <w:r w:rsidRPr="00E14102">
        <w:rPr>
          <w:color w:val="000000" w:themeColor="text1"/>
          <w:sz w:val="16"/>
          <w:szCs w:val="16"/>
        </w:rPr>
        <w:softHyphen/>
        <w:t>та". Работы Левкова в этом направлении предвосхитили появление известных в послевоенном советском ВМФ десантньис КВП (3898).</w:t>
      </w:r>
    </w:p>
    <w:p w14:paraId="77D7B8F2" w14:textId="77777777" w:rsidR="00D4105E" w:rsidRPr="00E14102" w:rsidRDefault="00D4105E" w:rsidP="00E14102">
      <w:pPr>
        <w:autoSpaceDE w:val="0"/>
        <w:autoSpaceDN w:val="0"/>
        <w:adjustRightInd w:val="0"/>
        <w:jc w:val="both"/>
        <w:rPr>
          <w:color w:val="000000" w:themeColor="text1"/>
          <w:sz w:val="16"/>
          <w:szCs w:val="16"/>
        </w:rPr>
      </w:pPr>
    </w:p>
    <w:p w14:paraId="29DF26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декабре 1935 года расследованием, произведенное военной группой КПК (вел дело быв. зам.нач. военной группы т. Березин) ДЕЙСТВИЯ НЕМОВА ПРИЗНАЮТСЯ НЕПРАВИЛЬНЫМ!, УКАЗЫВАЕТСЯ НА ЧРЕЗВЫЧАЙНУЮ ВАЖНОСТЬ ВОЗДУШНОЙ ТОРПЕДЫ. НЕМОВУ ПРЕДЛАГАЕТСЯ НЕМЕДЛЕННО ВОССТАНОВИТЬ ЗАВОД. ПРЕДЛОЖЕНИЕ'ВОЕННОЙ ГРУППЫ КПК ЗАМИНАЕТСЯ.</w:t>
      </w:r>
    </w:p>
    <w:p w14:paraId="70D5DCB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 В конце 1935 года я обращаюсь к Вам за помощью. Вы направляете заявление в Наркомтяжпром для расследования. Од</w:t>
      </w:r>
      <w:r w:rsidRPr="00E14102">
        <w:rPr>
          <w:color w:val="000000" w:themeColor="text1"/>
          <w:sz w:val="16"/>
          <w:szCs w:val="16"/>
        </w:rPr>
        <w:softHyphen/>
        <w:t>нако, документ с Вашей резолюцией попадает для расследова</w:t>
      </w:r>
      <w:r w:rsidRPr="00E14102">
        <w:rPr>
          <w:color w:val="000000" w:themeColor="text1"/>
          <w:sz w:val="16"/>
          <w:szCs w:val="16"/>
        </w:rPr>
        <w:softHyphen/>
        <w:t>ния к Немову, на действия которого я именно и жаловался. Дело им заминается.</w:t>
      </w:r>
    </w:p>
    <w:p w14:paraId="5782146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НИКАКОГО РАССЛЕДОВАНИЯ.ПО ВАШЕЙ РЕЗОЛЮЦИИ ПРОИЗВЕДЕНО НЕ БЫЛО.</w:t>
      </w:r>
    </w:p>
    <w:p w14:paraId="34549F4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Одним из широко применяемых методов помех изобретательству является заглазное распускание всякого рода слухов и докладывание втайне от изобретателя всяких технических не</w:t>
      </w:r>
      <w:r w:rsidRPr="00E14102">
        <w:rPr>
          <w:color w:val="000000" w:themeColor="text1"/>
          <w:sz w:val="16"/>
          <w:szCs w:val="16"/>
        </w:rPr>
        <w:softHyphen/>
        <w:t>лепостей.</w:t>
      </w:r>
    </w:p>
    <w:p w14:paraId="2D6F896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Дело воздушных торпед, на которое затрачены громадные средства и которые с технической и тактической стороны за</w:t>
      </w:r>
      <w:r w:rsidRPr="00E14102">
        <w:rPr>
          <w:color w:val="000000" w:themeColor="text1"/>
          <w:sz w:val="16"/>
          <w:szCs w:val="16"/>
        </w:rPr>
        <w:softHyphen/>
        <w:t>щищаются крупнейшими авторитетами, совершенно неожиданно прекращается ВВС без единого доказательства, подтвержденного расчетами, без единого технического совещания.</w:t>
      </w:r>
    </w:p>
    <w:p w14:paraId="2AF67A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этом подписываются новые тактико-технические требо</w:t>
      </w:r>
      <w:r w:rsidRPr="00E14102">
        <w:rPr>
          <w:color w:val="000000" w:themeColor="text1"/>
          <w:sz w:val="16"/>
          <w:szCs w:val="16"/>
        </w:rPr>
        <w:softHyphen/>
        <w:t>вания, придуманные специально для угробления вообще всякой мыслимой воздушной торпеды.</w:t>
      </w:r>
    </w:p>
    <w:p w14:paraId="4CD789E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Многое о применяемых методах "агитации" смог бы расска</w:t>
      </w:r>
      <w:r w:rsidRPr="00E14102">
        <w:rPr>
          <w:color w:val="000000" w:themeColor="text1"/>
          <w:sz w:val="16"/>
          <w:szCs w:val="16"/>
        </w:rPr>
        <w:softHyphen/>
        <w:t>зать зам. нач.вооружений т. Ефимов.</w:t>
      </w:r>
    </w:p>
    <w:p w14:paraId="03D243A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В мае 1936 года зам. НКО т. Тухачевский, а затем вновь назначенный нач. вооружений т.Халепский пишет отношение в ГУАП НКТП, в котором указывая на чрезвычайную важность воз</w:t>
      </w:r>
      <w:r w:rsidRPr="00E14102">
        <w:rPr>
          <w:color w:val="000000" w:themeColor="text1"/>
          <w:sz w:val="16"/>
          <w:szCs w:val="16"/>
        </w:rPr>
        <w:softHyphen/>
        <w:t>душной торпеды для РККА, просит восстановить работу. В ГУАП"е после двух месяцев волокиты говорят, что нет денег. ВОПРОС ВНОВЬ ЗАМИНАЕТСЯ.</w:t>
      </w:r>
    </w:p>
    <w:p w14:paraId="347A244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В конце августа 1936 г. по представлению т. Хрущева все дело вновь разбирается в КПК при ЦК ВКП(б).</w:t>
      </w:r>
    </w:p>
    <w:p w14:paraId="4CCD892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основании расследования был составлен проект поста</w:t>
      </w:r>
      <w:r w:rsidRPr="00E14102">
        <w:rPr>
          <w:color w:val="000000" w:themeColor="text1"/>
          <w:sz w:val="16"/>
          <w:szCs w:val="16"/>
        </w:rPr>
        <w:softHyphen/>
        <w:t>новления КПК, которым:</w:t>
      </w:r>
    </w:p>
    <w:p w14:paraId="0412CE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1.Нападки на торпеду признаются технически необоснованными. Торпеда признается имеющей крупное значение. НКТП ПРЕДЛАГАЕТСЯ НЕМЕДЛЕННО ВОССТАНОВИТЬ РАБОТУ. Мне предлагается в течение 37 года сдать торпеды по новым тактико-техническим требованиям.</w:t>
      </w:r>
    </w:p>
    <w:p w14:paraId="60775D0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Действия Немова и т. Алксниса квалифицируются как совершенно неправильные, за что им об"является выговор.</w:t>
      </w:r>
    </w:p>
    <w:p w14:paraId="5E38B7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УВВС предлагается дать на образцы изготовляемых новых торпед технически обоснованные тактико-технические тре</w:t>
      </w:r>
      <w:r w:rsidRPr="00E14102">
        <w:rPr>
          <w:color w:val="000000" w:themeColor="text1"/>
          <w:sz w:val="16"/>
          <w:szCs w:val="16"/>
        </w:rPr>
        <w:softHyphen/>
        <w:t>бования.</w:t>
      </w:r>
    </w:p>
    <w:p w14:paraId="40F7A5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1936 года меня вызвал т. Яковлев, который ска</w:t>
      </w:r>
      <w:r w:rsidRPr="00E14102">
        <w:rPr>
          <w:color w:val="000000" w:themeColor="text1"/>
          <w:sz w:val="16"/>
          <w:szCs w:val="16"/>
        </w:rPr>
        <w:softHyphen/>
        <w:t>зал, что на-днях я должен начать работать.</w:t>
      </w:r>
    </w:p>
    <w:p w14:paraId="77912C3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Однако прошло уже 4 месяца, а проект решения КПК не реализуется.</w:t>
      </w:r>
    </w:p>
    <w:p w14:paraId="175B3FD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Я пытался выяснить в КПК у т. Куйбышева причины дальней</w:t>
      </w:r>
      <w:r w:rsidRPr="00E14102">
        <w:rPr>
          <w:color w:val="000000" w:themeColor="text1"/>
          <w:sz w:val="16"/>
          <w:szCs w:val="16"/>
        </w:rPr>
        <w:softHyphen/>
        <w:t>шей задержки и не порочит ли кто положительные результаты обследования КПК.</w:t>
      </w:r>
    </w:p>
    <w:p w14:paraId="22ACAB3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Тов. Куйбышев сказал, что проект решения КПК совершенно правилен, но что разрешение вопроса вновь потонуло в недрах НКОП и ВВС. Получается замкнутый круг, из которого не видно выхода (3872,31).</w:t>
      </w:r>
    </w:p>
    <w:p w14:paraId="553138D7" w14:textId="77777777" w:rsidR="00D4105E" w:rsidRPr="00E14102" w:rsidRDefault="00D4105E" w:rsidP="00E14102">
      <w:pPr>
        <w:autoSpaceDE w:val="0"/>
        <w:autoSpaceDN w:val="0"/>
        <w:adjustRightInd w:val="0"/>
        <w:jc w:val="both"/>
        <w:rPr>
          <w:color w:val="000000" w:themeColor="text1"/>
          <w:sz w:val="16"/>
          <w:szCs w:val="16"/>
        </w:rPr>
      </w:pPr>
    </w:p>
    <w:p w14:paraId="5C5E84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В декабре 1935 в рапорте заместителю начальника УВС РККА комкору В.В.Хрипи-</w:t>
      </w:r>
      <w:r w:rsidRPr="00E14102">
        <w:rPr>
          <w:color w:val="000000" w:themeColor="text1"/>
          <w:sz w:val="16"/>
          <w:szCs w:val="16"/>
          <w:vertAlign w:val="superscript"/>
        </w:rPr>
        <w:t>Н</w:t>
      </w:r>
      <w:r w:rsidRPr="00E14102">
        <w:rPr>
          <w:color w:val="000000" w:themeColor="text1"/>
          <w:sz w:val="16"/>
          <w:szCs w:val="16"/>
        </w:rPr>
        <w:t>У от заместителя начальника 5 отдела УВС РККА А.И.Калинина говорилось: «Докладываю о состоянии работ по ракетным снарядам в РНИИ.</w:t>
      </w:r>
    </w:p>
    <w:p w14:paraId="310CCCC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"С-82 модели 1454. Первая партия этих боеприпасов, заказанная АУ в 1934 г, передана на НИАП, где проходят всесторонние испытания. Наземные испытания еше не закончены. В 1934 г проведено не</w:t>
      </w:r>
      <w:r w:rsidRPr="00E14102">
        <w:rPr>
          <w:color w:val="000000" w:themeColor="text1"/>
          <w:sz w:val="16"/>
          <w:szCs w:val="16"/>
        </w:rPr>
        <w:softHyphen/>
        <w:t>сколько стрельб РС-82 в воздухе из орудийных агрегатов, установленных на самолете И-5. В результате были разрушены нервюры истребителя. Испытания в воздухе до получения всех необходимых характеристик бо-еприпаса на земле были прекращены. Кроме того, вследствие аварии на самолете Р-6 при наземной стрельбе снарядами РС-132, машина сгорела полностью. До получения данных отстрела с НИАП и сдачи всего заказа на боеприпасы Артуправлению воздушная стрельба с И-5 проводиться не будет. Таким образом, летные испытания в НИИ Воздушных Сил мо</w:t>
      </w:r>
      <w:r w:rsidRPr="00E14102">
        <w:rPr>
          <w:color w:val="000000" w:themeColor="text1"/>
          <w:sz w:val="16"/>
          <w:szCs w:val="16"/>
        </w:rPr>
        <w:softHyphen/>
        <w:t>гут начаться не ранее 1 февраля 1936 г.</w:t>
      </w:r>
    </w:p>
    <w:p w14:paraId="5319D3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РС-132 модели 1458. Также необходимо закончить их наземные ис</w:t>
      </w:r>
      <w:r w:rsidRPr="00E14102">
        <w:rPr>
          <w:color w:val="000000" w:themeColor="text1"/>
          <w:sz w:val="16"/>
          <w:szCs w:val="16"/>
        </w:rPr>
        <w:softHyphen/>
        <w:t>пытания стрельбой на НИАП. Они также задерживаются вследствие не</w:t>
      </w:r>
      <w:r w:rsidRPr="00E14102">
        <w:rPr>
          <w:color w:val="000000" w:themeColor="text1"/>
          <w:sz w:val="16"/>
          <w:szCs w:val="16"/>
        </w:rPr>
        <w:softHyphen/>
        <w:t>подачи промышленностью снарядов. По договору 1935 г. заводы №70 и 75 должны были подать НКО до конца года по 5000 ракетных снарядов обоих калибров для полигонных и войсковых испытаний, а также окон</w:t>
      </w:r>
      <w:r w:rsidRPr="00E14102">
        <w:rPr>
          <w:color w:val="000000" w:themeColor="text1"/>
          <w:sz w:val="16"/>
          <w:szCs w:val="16"/>
        </w:rPr>
        <w:softHyphen/>
        <w:t>чательной техники и тактики их применения с самолетов. Но промышленность по этим заказам ни одного снаряда не дала. О неудовлетвори</w:t>
      </w:r>
      <w:r w:rsidRPr="00E14102">
        <w:rPr>
          <w:color w:val="000000" w:themeColor="text1"/>
          <w:sz w:val="16"/>
          <w:szCs w:val="16"/>
        </w:rPr>
        <w:softHyphen/>
        <w:t>тельном ходе вооружения авиации ракетными снарядами начальник УВС РККА доложил Наркому Обороны 31 марта сего года».</w:t>
      </w:r>
    </w:p>
    <w:p w14:paraId="20C7451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Переписка о ходе разработки РС затрагивала и посторонние ведомст</w:t>
      </w:r>
      <w:r w:rsidRPr="00E14102">
        <w:rPr>
          <w:color w:val="000000" w:themeColor="text1"/>
          <w:sz w:val="16"/>
          <w:szCs w:val="16"/>
        </w:rPr>
        <w:softHyphen/>
        <w:t>ва. В письме наркому иностранных дел В.М.Молотову от заместителя НКТП Рухимовича, в частности, говорилось: «Реальными результатами РНИИ НКТП за 1935 г. явились РС-82 и РС-132, которых НКОП заказа</w:t>
      </w:r>
      <w:r w:rsidRPr="00E14102">
        <w:rPr>
          <w:color w:val="000000" w:themeColor="text1"/>
          <w:sz w:val="16"/>
          <w:szCs w:val="16"/>
        </w:rPr>
        <w:softHyphen/>
        <w:t>ло по 5000 штук каждого калибра. В результате отработки к концу 1935 г. оба снаряда значительно улучшили конструктивно и по баллистике. о 1936 г. НКО заказывает уже их усовершенствованные варианты в 1935 г. в РНИИ было свыше 60 тем. В 1936 г. - только 11» (11402).</w:t>
      </w:r>
    </w:p>
    <w:p w14:paraId="17B2FBE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87646E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декабре 1935 г. заместитель начальника 5-го отдела УВС РККА А.И.Калинин в своем докладе заместителю начальника УВС РККА комкору В.В.Хрипину, констатировал: «Для проведения госиспытаний самолетов, вооруженных ракетными снарядами, 5-й отдел УВС РККА заказал на опытном заводе НИИ ВВС образцы установок под РС-132 на самолет Р-6, на самолет Ио под снаряды РС-82, а также сбрасываемые установки для самолета И-14. Все они должны были поступить к 1 сентября сего года, но до сих пор не го</w:t>
      </w:r>
      <w:r w:rsidRPr="00E14102">
        <w:rPr>
          <w:color w:val="000000" w:themeColor="text1"/>
          <w:sz w:val="16"/>
          <w:szCs w:val="16"/>
        </w:rPr>
        <w:softHyphen/>
        <w:t>товы». Но сблокированные по три в пусковые агрегаты, ракетные орудия были готовы только почти гол спустя (11402).</w:t>
      </w:r>
    </w:p>
    <w:p w14:paraId="7C8BB7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Обычно технические условия на производство боеприпасов или стрелковых систем, как чтиво, достаточно занудны. Между тем некото</w:t>
      </w:r>
      <w:r w:rsidRPr="00E14102">
        <w:rPr>
          <w:color w:val="000000" w:themeColor="text1"/>
          <w:sz w:val="16"/>
          <w:szCs w:val="16"/>
        </w:rPr>
        <w:softHyphen/>
        <w:t>рые моменты из ТУ на изготовление и прием 82-мм ракетных установок на самолет И-5 и 132-мм ракетных установок на самолет Р-6 по чертежам 101200 и 101300 сегодня довольно любопытны, хотя бы с точки зрения терминологии.</w:t>
      </w:r>
    </w:p>
    <w:p w14:paraId="170DAB0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«...Материал бугелей может быть заменен алюминием марки 2П-Окончательно обработанные бугели не должны иметь раковин, трещин. В противном случае они бракуются. ...Особое внимание обратить на направляющие, которые изготавливаются вначале в виде заготовки. Оконча</w:t>
      </w:r>
      <w:r w:rsidRPr="00E14102">
        <w:rPr>
          <w:color w:val="000000" w:themeColor="text1"/>
          <w:sz w:val="16"/>
          <w:szCs w:val="16"/>
        </w:rPr>
        <w:softHyphen/>
        <w:t>тельная обработка ведется по чертежу. Взаимное положение направляю</w:t>
      </w:r>
      <w:r w:rsidRPr="00E14102">
        <w:rPr>
          <w:color w:val="000000" w:themeColor="text1"/>
          <w:sz w:val="16"/>
          <w:szCs w:val="16"/>
        </w:rPr>
        <w:softHyphen/>
        <w:t>щих и пазов каждой пары должно быть строго горизонтальным на протяжении.</w:t>
      </w:r>
    </w:p>
    <w:p w14:paraId="02675A3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...Проверка положения и действия стопоров снарядов производится следующим образом. Окончательно готовый снаряд пригоняется к весу 30 кг для РС-132 и 10 кг для РС-82. Приготовленный таким образом сна</w:t>
      </w:r>
      <w:r w:rsidRPr="00E14102">
        <w:rPr>
          <w:color w:val="000000" w:themeColor="text1"/>
          <w:sz w:val="16"/>
          <w:szCs w:val="16"/>
        </w:rPr>
        <w:softHyphen/>
        <w:t>ряд устанавливается в положение, готовое к выстрелу. Затем пусковой станок устанавливается вертикально казенной частью вверх, и дополнительными весовыми элементами его масса увеличивается в 1.5 раза. Сто</w:t>
      </w:r>
      <w:r w:rsidRPr="00E14102">
        <w:rPr>
          <w:color w:val="000000" w:themeColor="text1"/>
          <w:sz w:val="16"/>
          <w:szCs w:val="16"/>
        </w:rPr>
        <w:softHyphen/>
        <w:t>поры пусковых станков для РС-132 должны выдерживать 45 кг статической нагрузки, а для РС-82 - 15 кг» (11402).</w:t>
      </w:r>
    </w:p>
    <w:p w14:paraId="51FC3FE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52B5D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 было подготовлено письмо Заместителю начальника УВС РККА комкору Хрипину от зам. на</w:t>
      </w:r>
      <w:r w:rsidRPr="00E14102">
        <w:rPr>
          <w:color w:val="000000" w:themeColor="text1"/>
          <w:sz w:val="16"/>
          <w:szCs w:val="16"/>
        </w:rPr>
        <w:softHyphen/>
        <w:t>чальника 5 отдела УВС РККА Калинина: «РНИИ работа</w:t>
      </w:r>
      <w:r w:rsidRPr="00E14102">
        <w:rPr>
          <w:color w:val="000000" w:themeColor="text1"/>
          <w:sz w:val="16"/>
          <w:szCs w:val="16"/>
        </w:rPr>
        <w:softHyphen/>
        <w:t>ет также над конструкцией крылатых ракетных аппаратов с использова</w:t>
      </w:r>
      <w:r w:rsidRPr="00E14102">
        <w:rPr>
          <w:color w:val="000000" w:themeColor="text1"/>
          <w:sz w:val="16"/>
          <w:szCs w:val="16"/>
        </w:rPr>
        <w:softHyphen/>
        <w:t>нием порохового ракетного двигателя. Имеется реальная возможность покрывать такими воздушными торпедами расстояние на земле до 20 км.</w:t>
      </w:r>
    </w:p>
    <w:p w14:paraId="7B9DA3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1934 г. УВС РККА уже выдавали ТТТ на воздушную торпеду, но РНИИ не согласился с требованием УВС обеспечить меткость в 1/150 дальности стрельбы. Эти работы в РНИИ в данное время продолжаются. Работы по ЖРД в настоящее время из стадии опытов еще не вышли» (11402).</w:t>
      </w:r>
    </w:p>
    <w:p w14:paraId="6984EFB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BECBF6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3477CBA7" w14:textId="77777777" w:rsidR="00D4105E" w:rsidRPr="00E14102" w:rsidRDefault="00D4105E" w:rsidP="00E14102">
      <w:pPr>
        <w:autoSpaceDE w:val="0"/>
        <w:autoSpaceDN w:val="0"/>
        <w:adjustRightInd w:val="0"/>
        <w:jc w:val="both"/>
        <w:rPr>
          <w:iCs/>
          <w:color w:val="000000" w:themeColor="text1"/>
          <w:sz w:val="16"/>
          <w:szCs w:val="16"/>
        </w:rPr>
      </w:pPr>
    </w:p>
    <w:p w14:paraId="72CC9B75" w14:textId="77777777" w:rsidR="00103BC7" w:rsidRPr="00E14102" w:rsidRDefault="00103BC7" w:rsidP="00E14102">
      <w:pPr>
        <w:jc w:val="both"/>
        <w:rPr>
          <w:color w:val="000000" w:themeColor="text1"/>
          <w:sz w:val="16"/>
          <w:szCs w:val="16"/>
        </w:rPr>
      </w:pPr>
      <w:r w:rsidRPr="00E14102">
        <w:rPr>
          <w:color w:val="000000" w:themeColor="text1"/>
          <w:sz w:val="16"/>
          <w:szCs w:val="16"/>
        </w:rPr>
        <w:t>В декабре 1935 г. ЦУНХУ Госплана СССР в записке «О браке продукции военной промышленности» сообщало правительству: «Военное машиностроение дало за 10 месяцев 1935 г. браку на 156,6 млн. руб., что составляет 7,2% от общего выпуска продукции этой отрасли» (18406).</w:t>
      </w:r>
    </w:p>
    <w:p w14:paraId="2E74D6E2" w14:textId="77777777" w:rsidR="00103BC7" w:rsidRPr="00E14102" w:rsidRDefault="00103BC7" w:rsidP="00E14102">
      <w:pPr>
        <w:jc w:val="both"/>
        <w:rPr>
          <w:color w:val="000000" w:themeColor="text1"/>
          <w:sz w:val="16"/>
          <w:szCs w:val="16"/>
        </w:rPr>
      </w:pPr>
    </w:p>
    <w:p w14:paraId="53646DD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декаб</w:t>
      </w:r>
      <w:r w:rsidRPr="00E14102">
        <w:rPr>
          <w:color w:val="000000" w:themeColor="text1"/>
          <w:sz w:val="16"/>
          <w:szCs w:val="16"/>
        </w:rPr>
        <w:softHyphen/>
        <w:t>ре 1935 г. ЦУНХУ Госплана СССР в записке «О браке продук ции военной промышленности» сообщало правительству: «Воен</w:t>
      </w:r>
      <w:r w:rsidRPr="00E14102">
        <w:rPr>
          <w:color w:val="000000" w:themeColor="text1"/>
          <w:sz w:val="16"/>
          <w:szCs w:val="16"/>
        </w:rPr>
        <w:softHyphen/>
        <w:t>ное машиностроение дало за 10 месяцев 1935 г. браку на 156,6 млн. руб., что составляет 7,2% от общего выпуска продукции этой отрасли. ...Сумма потерь от брака равносильна тому, что свыше месяца военное машиностроение работало вхолостую» (РГАЭ ф. 1562, оп. 329, д. 120, л. 22) (1566,93). Из той же записки следует, что за 10 месяцев 1935 г. авиа</w:t>
      </w:r>
      <w:r w:rsidRPr="00E14102">
        <w:rPr>
          <w:color w:val="000000" w:themeColor="text1"/>
          <w:sz w:val="16"/>
          <w:szCs w:val="16"/>
        </w:rPr>
        <w:softHyphen/>
        <w:t>ционные заводы выпустили бракованной продукции на сумму 59,4 млн. руб., оружейные и артиллерийские — на сумму 97 млн. руб. Бракованными оказались 15,7% военной и 7,2% мир</w:t>
      </w:r>
      <w:r w:rsidRPr="00E14102">
        <w:rPr>
          <w:color w:val="000000" w:themeColor="text1"/>
          <w:sz w:val="16"/>
          <w:szCs w:val="16"/>
        </w:rPr>
        <w:softHyphen/>
        <w:t>ной продукции Снарядного треста (РГАЭ ф. 1562, оп. 329, д. 120, л. 22) (1566,93).</w:t>
      </w:r>
    </w:p>
    <w:p w14:paraId="4ED6FE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23755EA" w14:textId="77777777" w:rsidR="00D0059C" w:rsidRPr="00E14102" w:rsidRDefault="00D0059C" w:rsidP="00E14102">
      <w:pPr>
        <w:jc w:val="both"/>
        <w:rPr>
          <w:color w:val="0070C0"/>
          <w:sz w:val="16"/>
          <w:szCs w:val="16"/>
        </w:rPr>
      </w:pPr>
      <w:r w:rsidRPr="00E14102">
        <w:rPr>
          <w:color w:val="0070C0"/>
          <w:sz w:val="16"/>
          <w:szCs w:val="16"/>
        </w:rPr>
        <w:t>С декабря 1935 года по январь 1936 года проводились полигонные испытания 152-мм пушки, которые выявили ее многочисленные недостатки.</w:t>
      </w:r>
    </w:p>
    <w:p w14:paraId="7FE7E804" w14:textId="77777777" w:rsidR="00D0059C" w:rsidRPr="00E14102" w:rsidRDefault="00D0059C" w:rsidP="00E14102">
      <w:pPr>
        <w:jc w:val="both"/>
        <w:rPr>
          <w:color w:val="0070C0"/>
          <w:sz w:val="16"/>
          <w:szCs w:val="16"/>
        </w:rPr>
      </w:pPr>
      <w:r w:rsidRPr="00E14102">
        <w:rPr>
          <w:color w:val="0070C0"/>
          <w:sz w:val="16"/>
          <w:szCs w:val="16"/>
        </w:rPr>
        <w:t>По результатам испытаний скрепленный ствол заменили стволом со свободной трубой, и в марте 1936 года завод «Баррикады» получил задание начать производство орудия. В 1937 году здесь была изготовлена малая серия из 7 орудий. Однако при их испытаниях оказалось, что при стрельбе полным зарядом (начальная скорость снаряда 880 м/с) живучесть стволов не превышает 100 выстрелов. Это было недопустимо, и начались эксперименты со стволами увеличенной длины и с разной глубиной нарезки. На основании их результатов, в декабре 1938 года, для серийного производства приняли вариант пушки с углубленной нарезкой. Она стреляла осколочно-фугасными снарядами ОФ-551 массой 48,9 кг (из них 6,53 кг взрывчатых веществ). При стрельбе полным зарядом начальная скорость снаряда составляла 880 м/с, а максимальная дальность полета — 25750 м. Масса 152-мм пушки образца 1935 года в боевом положении составляла 18200 кг. Тренированный расчет мог вести стрельбу из пушки с темпом 1 выстрел в 4 минуты.</w:t>
      </w:r>
    </w:p>
    <w:p w14:paraId="7EBCE4E0" w14:textId="77777777" w:rsidR="00D0059C" w:rsidRPr="00E14102" w:rsidRDefault="00D0059C" w:rsidP="00E14102">
      <w:pPr>
        <w:jc w:val="both"/>
        <w:rPr>
          <w:color w:val="0070C0"/>
          <w:sz w:val="16"/>
          <w:szCs w:val="16"/>
        </w:rPr>
      </w:pPr>
      <w:r w:rsidRPr="00E14102">
        <w:rPr>
          <w:color w:val="0070C0"/>
          <w:sz w:val="16"/>
          <w:szCs w:val="16"/>
        </w:rPr>
        <w:t>Пушка была разработана конструкторским бюро завода «Баррикады» и предназначалась для борьбы с артиллерией противника и разрушения его тыловых оборонительных районов. Конструкция этой пушки была в значительной степени унифицирована с конструкцией 203-мм гаубицы образца 1931 года.</w:t>
      </w:r>
    </w:p>
    <w:p w14:paraId="2FA5564B" w14:textId="77777777" w:rsidR="00D0059C" w:rsidRPr="00E14102" w:rsidRDefault="00D0059C" w:rsidP="00E14102">
      <w:pPr>
        <w:jc w:val="both"/>
        <w:rPr>
          <w:color w:val="0070C0"/>
          <w:sz w:val="16"/>
          <w:szCs w:val="16"/>
        </w:rPr>
      </w:pPr>
      <w:r w:rsidRPr="00E14102">
        <w:rPr>
          <w:color w:val="0070C0"/>
          <w:sz w:val="16"/>
          <w:szCs w:val="16"/>
        </w:rPr>
        <w:t>От гаубицы с небольшими изменениями был позаимствован лафет на гусеничном ходу, благодаря которому имелась возможность вести стрельбу непосредственно с грунта без использования специальных платформ. Новым элементом системы стал 152-мм ствол длиной 47,1 калибра с поршневым затвором. Его масса вместе с затвором составляла 5300 кг (22974).</w:t>
      </w:r>
    </w:p>
    <w:p w14:paraId="74EC4AE4" w14:textId="77777777" w:rsidR="00D0059C" w:rsidRPr="00E14102" w:rsidRDefault="00D0059C" w:rsidP="00E14102">
      <w:pPr>
        <w:jc w:val="both"/>
        <w:rPr>
          <w:color w:val="0070C0"/>
          <w:sz w:val="16"/>
          <w:szCs w:val="16"/>
        </w:rPr>
      </w:pPr>
    </w:p>
    <w:p w14:paraId="29E13932" w14:textId="77777777" w:rsidR="00D0059C" w:rsidRPr="00E14102" w:rsidRDefault="00D0059C" w:rsidP="00E14102">
      <w:pPr>
        <w:pStyle w:val="article-renderblock"/>
        <w:shd w:val="clear" w:color="auto" w:fill="FFFFFF"/>
        <w:spacing w:before="0" w:beforeAutospacing="0" w:after="0" w:afterAutospacing="0"/>
        <w:jc w:val="both"/>
        <w:rPr>
          <w:color w:val="0070C0"/>
          <w:sz w:val="16"/>
          <w:szCs w:val="16"/>
        </w:rPr>
      </w:pPr>
      <w:r w:rsidRPr="00E14102">
        <w:rPr>
          <w:color w:val="0070C0"/>
          <w:sz w:val="16"/>
          <w:szCs w:val="16"/>
        </w:rPr>
        <w:t>В декабре 1935 года, согласно планам, выпускать Т-38 планировали с 1936 по 1938 годы, при этом задача по созданию разведывательного колесно-гусеничного танка-амфибии оставалась. В планах опытных работ на 1937 год значился "разведывательный колесно-гусеничный плавающий танк с двигателем дизель и скоростью 60 км/ч". Работы по танку, как и создание нового мотора, возложили на завод №37 (20826).</w:t>
      </w:r>
    </w:p>
    <w:p w14:paraId="405C0968" w14:textId="77777777" w:rsidR="00D0059C" w:rsidRPr="00E14102" w:rsidRDefault="00D0059C" w:rsidP="00E14102">
      <w:pPr>
        <w:pStyle w:val="article-renderblock"/>
        <w:shd w:val="clear" w:color="auto" w:fill="FFFFFF"/>
        <w:spacing w:before="0" w:beforeAutospacing="0" w:after="0" w:afterAutospacing="0"/>
        <w:jc w:val="both"/>
        <w:rPr>
          <w:color w:val="0070C0"/>
          <w:sz w:val="16"/>
          <w:szCs w:val="16"/>
        </w:rPr>
      </w:pPr>
    </w:p>
    <w:p w14:paraId="28E267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 между Главэспромом и многоотраслевой американской фирмой RCA был заключен договор о технической помощи. Главэспром полу чал право использовать весь технический опыт фирмы путем получения от нее конструктивных чертежей, технологических инструментов, результатов лабора торных работ, патентов на изобретения и посредством непосредственного изу чения советскими специалистами работ фирмы в ее лабораториях и заводах (ЦГА СПб., ф. 1321, оп. 3, д. 6, л. 1.). С 1937 г. завод № 211 (Так стал называться завод «Светлана» с 1936 г. В 1937-1938 гг. завод носил наименова ние – организация почтового ящика № 729 НКОП, в 1939 г. под таким же названием пе решел в ведение НКАП, а в 1940 г. – Наркомата электропромышленности.) освоил и приступил к производству металличе ских приемо-усилительных ламп американского типа. При этом использова лось закупленное в США оборудование, на котором удалось достичь произво дительности аналогичной производительности на предприятиях фирмы. Пер воначально было освоено десять типов американских ламп и несколько типов телевизионных трубок. Начав изготовление ламп с импортных деталей, завод постепенно перешел на собственное их изготовление сначала из импортного, а потом и из отечественного сырья. Освоение выпуска деталей шло значительными темпами, как это видно из таблицы 6 (ЦГА СПб., ф. 1321, оп. 3, д. 6, л. 15.).</w:t>
      </w:r>
    </w:p>
    <w:p w14:paraId="10B8FB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Таблица 6 Объем освоенных деталей в шт./% по состоянию 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E3599D" w:rsidRPr="00E14102" w14:paraId="1A93C003" w14:textId="77777777">
        <w:tc>
          <w:tcPr>
            <w:tcW w:w="2242" w:type="dxa"/>
            <w:tcBorders>
              <w:top w:val="single" w:sz="12" w:space="0" w:color="auto"/>
            </w:tcBorders>
          </w:tcPr>
          <w:p w14:paraId="2391B3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Характер используемых деталей радиоламп</w:t>
            </w:r>
          </w:p>
        </w:tc>
        <w:tc>
          <w:tcPr>
            <w:tcW w:w="2242" w:type="dxa"/>
            <w:tcBorders>
              <w:top w:val="single" w:sz="12" w:space="0" w:color="auto"/>
            </w:tcBorders>
          </w:tcPr>
          <w:p w14:paraId="27A3E7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1.01.1938</w:t>
            </w:r>
          </w:p>
        </w:tc>
        <w:tc>
          <w:tcPr>
            <w:tcW w:w="2242" w:type="dxa"/>
            <w:tcBorders>
              <w:top w:val="single" w:sz="12" w:space="0" w:color="auto"/>
            </w:tcBorders>
          </w:tcPr>
          <w:p w14:paraId="55EA4C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1.01.1939</w:t>
            </w:r>
          </w:p>
        </w:tc>
        <w:tc>
          <w:tcPr>
            <w:tcW w:w="2242" w:type="dxa"/>
            <w:tcBorders>
              <w:top w:val="single" w:sz="12" w:space="0" w:color="auto"/>
            </w:tcBorders>
          </w:tcPr>
          <w:p w14:paraId="187645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1.01.1940</w:t>
            </w:r>
          </w:p>
        </w:tc>
        <w:tc>
          <w:tcPr>
            <w:tcW w:w="2242" w:type="dxa"/>
            <w:tcBorders>
              <w:top w:val="single" w:sz="12" w:space="0" w:color="auto"/>
            </w:tcBorders>
          </w:tcPr>
          <w:p w14:paraId="0C5456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1.01.1941</w:t>
            </w:r>
          </w:p>
        </w:tc>
      </w:tr>
      <w:tr w:rsidR="00E3599D" w:rsidRPr="00E14102" w14:paraId="0F478E2B" w14:textId="77777777">
        <w:tc>
          <w:tcPr>
            <w:tcW w:w="2242" w:type="dxa"/>
          </w:tcPr>
          <w:p w14:paraId="3139E1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Импортные детали</w:t>
            </w:r>
          </w:p>
        </w:tc>
        <w:tc>
          <w:tcPr>
            <w:tcW w:w="2242" w:type="dxa"/>
          </w:tcPr>
          <w:p w14:paraId="147A63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238/100%</w:t>
            </w:r>
          </w:p>
        </w:tc>
        <w:tc>
          <w:tcPr>
            <w:tcW w:w="2242" w:type="dxa"/>
          </w:tcPr>
          <w:p w14:paraId="365805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3/0,4%</w:t>
            </w:r>
          </w:p>
        </w:tc>
        <w:tc>
          <w:tcPr>
            <w:tcW w:w="2242" w:type="dxa"/>
          </w:tcPr>
          <w:p w14:paraId="69E3D5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3/1,26%</w:t>
            </w:r>
          </w:p>
        </w:tc>
        <w:tc>
          <w:tcPr>
            <w:tcW w:w="2242" w:type="dxa"/>
          </w:tcPr>
          <w:p w14:paraId="647FA0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1/0,4% </w:t>
            </w:r>
          </w:p>
        </w:tc>
      </w:tr>
      <w:tr w:rsidR="00E3599D" w:rsidRPr="00E14102" w14:paraId="0952D7D5" w14:textId="77777777">
        <w:tc>
          <w:tcPr>
            <w:tcW w:w="2242" w:type="dxa"/>
          </w:tcPr>
          <w:p w14:paraId="4725D0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Детали из импортного сырья</w:t>
            </w:r>
          </w:p>
        </w:tc>
        <w:tc>
          <w:tcPr>
            <w:tcW w:w="2242" w:type="dxa"/>
          </w:tcPr>
          <w:p w14:paraId="10CED9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42" w:type="dxa"/>
          </w:tcPr>
          <w:p w14:paraId="6A8DB0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57/24%</w:t>
            </w:r>
          </w:p>
        </w:tc>
        <w:tc>
          <w:tcPr>
            <w:tcW w:w="2242" w:type="dxa"/>
          </w:tcPr>
          <w:p w14:paraId="58BBE6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27/11%</w:t>
            </w:r>
          </w:p>
        </w:tc>
        <w:tc>
          <w:tcPr>
            <w:tcW w:w="2242" w:type="dxa"/>
          </w:tcPr>
          <w:p w14:paraId="3B7EC4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10/4,6%</w:t>
            </w:r>
          </w:p>
        </w:tc>
      </w:tr>
      <w:tr w:rsidR="00E3599D" w:rsidRPr="00E14102" w14:paraId="3563D0C7" w14:textId="77777777">
        <w:tc>
          <w:tcPr>
            <w:tcW w:w="2242" w:type="dxa"/>
            <w:tcBorders>
              <w:bottom w:val="single" w:sz="12" w:space="0" w:color="auto"/>
            </w:tcBorders>
          </w:tcPr>
          <w:p w14:paraId="4A2ECA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Детали отечественные и из отечественного сырья</w:t>
            </w:r>
          </w:p>
        </w:tc>
        <w:tc>
          <w:tcPr>
            <w:tcW w:w="2242" w:type="dxa"/>
            <w:tcBorders>
              <w:bottom w:val="single" w:sz="12" w:space="0" w:color="auto"/>
            </w:tcBorders>
          </w:tcPr>
          <w:p w14:paraId="00267B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42" w:type="dxa"/>
            <w:tcBorders>
              <w:bottom w:val="single" w:sz="12" w:space="0" w:color="auto"/>
            </w:tcBorders>
          </w:tcPr>
          <w:p w14:paraId="5F49A4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178/75,6%</w:t>
            </w:r>
          </w:p>
        </w:tc>
        <w:tc>
          <w:tcPr>
            <w:tcW w:w="2242" w:type="dxa"/>
            <w:tcBorders>
              <w:bottom w:val="single" w:sz="12" w:space="0" w:color="auto"/>
            </w:tcBorders>
          </w:tcPr>
          <w:p w14:paraId="2729C2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 208/87,74%</w:t>
            </w:r>
          </w:p>
        </w:tc>
        <w:tc>
          <w:tcPr>
            <w:tcW w:w="2242" w:type="dxa"/>
            <w:tcBorders>
              <w:bottom w:val="single" w:sz="12" w:space="0" w:color="auto"/>
            </w:tcBorders>
          </w:tcPr>
          <w:p w14:paraId="081F57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227/95%</w:t>
            </w:r>
          </w:p>
        </w:tc>
      </w:tr>
    </w:tbl>
    <w:p w14:paraId="514D2C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(11870).</w:t>
      </w:r>
    </w:p>
    <w:p w14:paraId="18B2D0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Всего за период 1937-1940 гг. с помощью фирмы RCA на предприятии было выпущено 3650000 ламп 22 типов (ЦГА СПб., ф. 1321, оп. 3, д. 6, л. 3.). Одновременно ОВЛ с использованием элементов американской техники активно занималась разработкой вакуумных изделий собственной конструк ции, а также модернизацией старых типов изделий. Производственный опыт американской фирмы был использован при внедрении во все области деятельности завода технической документации. Кроме того, американская сторона предоставила 135000 листов чертежей ма шин, инструментов, приспособлений. Большое значение имели командировки отечественных специалистов на заводы и в лаборатории фирмы RCA, где за пять лет действия договора побы вал 51 представитель завода № 211 (ЦГА СПб., ф. 1321, оп. 3, д. 6, л. 31.). Вместе с тем необходимо отметить и существенные недостатки, которые имели место при реализации договора и были вызваны как причинами объек тивного характера, так и стали следствием недостаточного внимания со сторо ны руководства отечественной промышленности к развитию электровакуум ной отрасли. По-прежнему самой острой проблемой, которая постоянно лихорадила производство на заводе № 211, было снабжение качественными материалами. Особенно остро встал этот вопрос, когда начался переход на эти материалы при изготовлении американских типов ламп. Оказалось, что на советском рынке материалы, равноценные по своим физико-химическим характеристи кам американским образцам, просто-напросто отсутствуют. Поставщики были мало заинтересованы в поставках сырья, т.к. количественная их потребность исчислялась какими-нибудь сотнями килограммов, в то время как требования к качеству были гораздо более высокими и отличными от других потребите лей. Частые перебои в снабжении приводили к нарушениям производственно го цикла на заводе № 211, к необходимости повторного испытания одних и тех же деталей (что влекло сокращения срока их службы). Отрицательно сказыва лось слабое техническое оснащение производства, отсутствие на предприятии даже стабилизированной электроэнергии, низкий уровень механизации работ (ЦГА СПб., ф. 1321, оп. 3, д. 6, л. 31.). Все это приводило к значительному количеству выпуска бракованной продукции по сравнению с аналогичным показателем на предприятиях фирмы RCA. Представление о том, насколько эти показатели по некоторым типам ламп отличались, дает таблица 7 (ЦГА СПб., ф. 1321, оп. 3, д. 6, л. 6.).</w:t>
      </w:r>
    </w:p>
    <w:p w14:paraId="1F05D4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Таблица 7 % выхода годной продукции</w:t>
      </w:r>
    </w:p>
    <w:p w14:paraId="3DAECE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Завод № 211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E3599D" w:rsidRPr="00E14102" w14:paraId="61815ECC" w14:textId="77777777">
        <w:tc>
          <w:tcPr>
            <w:tcW w:w="2242" w:type="dxa"/>
            <w:tcBorders>
              <w:top w:val="single" w:sz="12" w:space="0" w:color="auto"/>
            </w:tcBorders>
          </w:tcPr>
          <w:p w14:paraId="762517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 лампы</w:t>
            </w:r>
          </w:p>
        </w:tc>
        <w:tc>
          <w:tcPr>
            <w:tcW w:w="2242" w:type="dxa"/>
            <w:tcBorders>
              <w:top w:val="single" w:sz="12" w:space="0" w:color="auto"/>
            </w:tcBorders>
          </w:tcPr>
          <w:p w14:paraId="080B3B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RCA</w:t>
            </w:r>
          </w:p>
        </w:tc>
        <w:tc>
          <w:tcPr>
            <w:tcW w:w="2242" w:type="dxa"/>
            <w:tcBorders>
              <w:top w:val="single" w:sz="12" w:space="0" w:color="auto"/>
            </w:tcBorders>
          </w:tcPr>
          <w:p w14:paraId="320767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1938 г.</w:t>
            </w:r>
          </w:p>
        </w:tc>
        <w:tc>
          <w:tcPr>
            <w:tcW w:w="2242" w:type="dxa"/>
            <w:tcBorders>
              <w:top w:val="single" w:sz="12" w:space="0" w:color="auto"/>
            </w:tcBorders>
          </w:tcPr>
          <w:p w14:paraId="611DD9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1939 г.</w:t>
            </w:r>
          </w:p>
        </w:tc>
        <w:tc>
          <w:tcPr>
            <w:tcW w:w="2242" w:type="dxa"/>
            <w:tcBorders>
              <w:top w:val="single" w:sz="12" w:space="0" w:color="auto"/>
            </w:tcBorders>
          </w:tcPr>
          <w:p w14:paraId="513E63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1940 г.</w:t>
            </w:r>
          </w:p>
        </w:tc>
      </w:tr>
      <w:tr w:rsidR="00E3599D" w:rsidRPr="00E14102" w14:paraId="338F7B1D" w14:textId="77777777">
        <w:tc>
          <w:tcPr>
            <w:tcW w:w="2242" w:type="dxa"/>
          </w:tcPr>
          <w:p w14:paraId="3B1E98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6Ц4С</w:t>
            </w:r>
          </w:p>
        </w:tc>
        <w:tc>
          <w:tcPr>
            <w:tcW w:w="2242" w:type="dxa"/>
          </w:tcPr>
          <w:p w14:paraId="1FC35E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97</w:t>
            </w:r>
          </w:p>
        </w:tc>
        <w:tc>
          <w:tcPr>
            <w:tcW w:w="2242" w:type="dxa"/>
          </w:tcPr>
          <w:p w14:paraId="24FD4A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88,5</w:t>
            </w:r>
          </w:p>
        </w:tc>
        <w:tc>
          <w:tcPr>
            <w:tcW w:w="2242" w:type="dxa"/>
          </w:tcPr>
          <w:p w14:paraId="241F3E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91,8</w:t>
            </w:r>
          </w:p>
        </w:tc>
        <w:tc>
          <w:tcPr>
            <w:tcW w:w="2242" w:type="dxa"/>
          </w:tcPr>
          <w:p w14:paraId="5DA8E6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92,1</w:t>
            </w:r>
          </w:p>
        </w:tc>
      </w:tr>
      <w:tr w:rsidR="00E3599D" w:rsidRPr="00E14102" w14:paraId="2C457320" w14:textId="77777777">
        <w:tc>
          <w:tcPr>
            <w:tcW w:w="2242" w:type="dxa"/>
          </w:tcPr>
          <w:p w14:paraId="2272C5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6Е5</w:t>
            </w:r>
          </w:p>
        </w:tc>
        <w:tc>
          <w:tcPr>
            <w:tcW w:w="2242" w:type="dxa"/>
          </w:tcPr>
          <w:p w14:paraId="2820E0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81,7</w:t>
            </w:r>
          </w:p>
        </w:tc>
        <w:tc>
          <w:tcPr>
            <w:tcW w:w="2242" w:type="dxa"/>
          </w:tcPr>
          <w:p w14:paraId="105FFD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70,3</w:t>
            </w:r>
          </w:p>
        </w:tc>
        <w:tc>
          <w:tcPr>
            <w:tcW w:w="2242" w:type="dxa"/>
          </w:tcPr>
          <w:p w14:paraId="4D83F8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67,3</w:t>
            </w:r>
          </w:p>
        </w:tc>
        <w:tc>
          <w:tcPr>
            <w:tcW w:w="2242" w:type="dxa"/>
          </w:tcPr>
          <w:p w14:paraId="5AD805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53</w:t>
            </w:r>
          </w:p>
        </w:tc>
      </w:tr>
      <w:tr w:rsidR="00E3599D" w:rsidRPr="00E14102" w14:paraId="094C6484" w14:textId="77777777">
        <w:tc>
          <w:tcPr>
            <w:tcW w:w="2242" w:type="dxa"/>
          </w:tcPr>
          <w:p w14:paraId="7F5E52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6К7</w:t>
            </w:r>
          </w:p>
        </w:tc>
        <w:tc>
          <w:tcPr>
            <w:tcW w:w="2242" w:type="dxa"/>
          </w:tcPr>
          <w:p w14:paraId="608010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94,2</w:t>
            </w:r>
          </w:p>
        </w:tc>
        <w:tc>
          <w:tcPr>
            <w:tcW w:w="2242" w:type="dxa"/>
          </w:tcPr>
          <w:p w14:paraId="2C02F7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61</w:t>
            </w:r>
          </w:p>
        </w:tc>
        <w:tc>
          <w:tcPr>
            <w:tcW w:w="2242" w:type="dxa"/>
          </w:tcPr>
          <w:p w14:paraId="08EECA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59,5</w:t>
            </w:r>
          </w:p>
        </w:tc>
        <w:tc>
          <w:tcPr>
            <w:tcW w:w="2242" w:type="dxa"/>
          </w:tcPr>
          <w:p w14:paraId="4BD36E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53,7</w:t>
            </w:r>
          </w:p>
        </w:tc>
      </w:tr>
      <w:tr w:rsidR="00E3599D" w:rsidRPr="00E14102" w14:paraId="6F33AED2" w14:textId="77777777">
        <w:tc>
          <w:tcPr>
            <w:tcW w:w="2242" w:type="dxa"/>
          </w:tcPr>
          <w:p w14:paraId="52B8C8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6Х6</w:t>
            </w:r>
          </w:p>
        </w:tc>
        <w:tc>
          <w:tcPr>
            <w:tcW w:w="2242" w:type="dxa"/>
          </w:tcPr>
          <w:p w14:paraId="15E68D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89,4</w:t>
            </w:r>
          </w:p>
        </w:tc>
        <w:tc>
          <w:tcPr>
            <w:tcW w:w="2242" w:type="dxa"/>
          </w:tcPr>
          <w:p w14:paraId="48BDEA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77,2</w:t>
            </w:r>
          </w:p>
        </w:tc>
        <w:tc>
          <w:tcPr>
            <w:tcW w:w="2242" w:type="dxa"/>
          </w:tcPr>
          <w:p w14:paraId="38E325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58</w:t>
            </w:r>
          </w:p>
        </w:tc>
        <w:tc>
          <w:tcPr>
            <w:tcW w:w="2242" w:type="dxa"/>
          </w:tcPr>
          <w:p w14:paraId="7D1A26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58,2 </w:t>
            </w:r>
          </w:p>
        </w:tc>
      </w:tr>
      <w:tr w:rsidR="00E3599D" w:rsidRPr="00E14102" w14:paraId="7171F6F8" w14:textId="77777777">
        <w:tc>
          <w:tcPr>
            <w:tcW w:w="2242" w:type="dxa"/>
          </w:tcPr>
          <w:p w14:paraId="2CC69B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6Ф5</w:t>
            </w:r>
          </w:p>
        </w:tc>
        <w:tc>
          <w:tcPr>
            <w:tcW w:w="2242" w:type="dxa"/>
          </w:tcPr>
          <w:p w14:paraId="5A410A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93,4</w:t>
            </w:r>
          </w:p>
        </w:tc>
        <w:tc>
          <w:tcPr>
            <w:tcW w:w="2242" w:type="dxa"/>
          </w:tcPr>
          <w:p w14:paraId="0C418F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w:t>
            </w:r>
          </w:p>
        </w:tc>
        <w:tc>
          <w:tcPr>
            <w:tcW w:w="2242" w:type="dxa"/>
          </w:tcPr>
          <w:p w14:paraId="4A314A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64,5</w:t>
            </w:r>
          </w:p>
        </w:tc>
        <w:tc>
          <w:tcPr>
            <w:tcW w:w="2242" w:type="dxa"/>
          </w:tcPr>
          <w:p w14:paraId="5FF267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55,8</w:t>
            </w:r>
          </w:p>
        </w:tc>
      </w:tr>
      <w:tr w:rsidR="00E3599D" w:rsidRPr="00E14102" w14:paraId="2ABD3C16" w14:textId="77777777">
        <w:tc>
          <w:tcPr>
            <w:tcW w:w="2242" w:type="dxa"/>
          </w:tcPr>
          <w:p w14:paraId="3C1C8D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6Ф6</w:t>
            </w:r>
          </w:p>
        </w:tc>
        <w:tc>
          <w:tcPr>
            <w:tcW w:w="2242" w:type="dxa"/>
          </w:tcPr>
          <w:p w14:paraId="2E7D33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95,8</w:t>
            </w:r>
          </w:p>
        </w:tc>
        <w:tc>
          <w:tcPr>
            <w:tcW w:w="2242" w:type="dxa"/>
          </w:tcPr>
          <w:p w14:paraId="143672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55</w:t>
            </w:r>
          </w:p>
        </w:tc>
        <w:tc>
          <w:tcPr>
            <w:tcW w:w="2242" w:type="dxa"/>
          </w:tcPr>
          <w:p w14:paraId="07C398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60,1</w:t>
            </w:r>
          </w:p>
        </w:tc>
        <w:tc>
          <w:tcPr>
            <w:tcW w:w="2242" w:type="dxa"/>
          </w:tcPr>
          <w:p w14:paraId="75ADE1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46</w:t>
            </w:r>
          </w:p>
        </w:tc>
      </w:tr>
      <w:tr w:rsidR="00E3599D" w:rsidRPr="00E14102" w14:paraId="5DC1F20C" w14:textId="77777777">
        <w:tc>
          <w:tcPr>
            <w:tcW w:w="2242" w:type="dxa"/>
            <w:tcBorders>
              <w:bottom w:val="single" w:sz="12" w:space="0" w:color="auto"/>
            </w:tcBorders>
          </w:tcPr>
          <w:p w14:paraId="38B6E9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6А8</w:t>
            </w:r>
          </w:p>
        </w:tc>
        <w:tc>
          <w:tcPr>
            <w:tcW w:w="2242" w:type="dxa"/>
            <w:tcBorders>
              <w:bottom w:val="single" w:sz="12" w:space="0" w:color="auto"/>
            </w:tcBorders>
          </w:tcPr>
          <w:p w14:paraId="5C1AD9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91,9</w:t>
            </w:r>
          </w:p>
        </w:tc>
        <w:tc>
          <w:tcPr>
            <w:tcW w:w="2242" w:type="dxa"/>
            <w:tcBorders>
              <w:bottom w:val="single" w:sz="12" w:space="0" w:color="auto"/>
            </w:tcBorders>
          </w:tcPr>
          <w:p w14:paraId="0D05B2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2242" w:type="dxa"/>
            <w:tcBorders>
              <w:bottom w:val="single" w:sz="12" w:space="0" w:color="auto"/>
            </w:tcBorders>
          </w:tcPr>
          <w:p w14:paraId="2EA905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42,7</w:t>
            </w:r>
          </w:p>
        </w:tc>
        <w:tc>
          <w:tcPr>
            <w:tcW w:w="2242" w:type="dxa"/>
            <w:tcBorders>
              <w:bottom w:val="single" w:sz="12" w:space="0" w:color="auto"/>
            </w:tcBorders>
          </w:tcPr>
          <w:p w14:paraId="253AD9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33,6</w:t>
            </w:r>
          </w:p>
        </w:tc>
      </w:tr>
    </w:tbl>
    <w:p w14:paraId="746FA4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низкой эффективностью наша промышленность использовала другие стороны оказанной технической помощи. Предоставленные американской стороной чертежи для их использования в отечественном производстве требо вали переработки в соответствии с нашими ГОСТами, что в свою очередь тре бовало существенных затрат. К концу 1940 г. из 1500 моделей различных уст ройств, на которые имелись чертежи, были воспроизведены в отечественном производстве только 202 и еще при проектировании и конструировании 251 моделей были применены американские чертежи (ЦГА СПб., ф. 1321, оп. 3, д. 6, л. 18.). Не в полном объеме были использованы и все предоставленные фирмой возможности для командировок в США (не более 65%). При этом нельзя не подчеркнуть, что среди посетивших предприятия RCA советских представите лей, специалисты завода № 211 составили только около половины. И все-таки, несмотря на имевшиеся недостатки и недоработки, значение технической помощи, оказанной фирмой RCA, для развития отечественной электровакуумной промышленности переоценить невозможно. По мнению С.А. Зусмановского, сменившего С.А. Векшинского на посту руководителя ОВЛ в 1937 г., эта помощь позволила превратить нашу промышленность из кустарной в современную и механизированную (ЦГА СПб., ф. 1321, оп. 3, д. 1, л. 211.). Американская помощь позволила существенно активизировать работы по разработке новых электровакуумных изделий для военных и других специ альных радиосредств. Военная тематика занимала все большое место в рабо тах ОВЛ, которая к 1940 г. превратилась в мощное научно-исследовательское учреждение в составе завода. Лаборатория состояла из шестнадцати отделов, охватывавших все отрасли электровакуумного производства. Она занимала площадь 5000 кв. м и насчитывала 880 человек персонала, в т.ч. 300 – инже нерно-технического состава. Если за весь предвоенный период в лаборатории на заводе «Светлана» был разработан 391 тип ламп, то только в течение 1938 1939 гг. таких разработок было выполнено около ста (ЦГА СПб., ф. 1321, оп. 3, д. 1, л. 205; ф. 1321, оп. 4, л. 1.). Кроме разработок, ОВЛ занималась производством опытных и мелкосерийных партий вакуумных из делий, объем которого, например, в 1939 г. составил более 97000 единиц (ЦГА СПб., ф. 1321, оп. 3, д. 1, л. 137.) (11870).</w:t>
      </w:r>
    </w:p>
    <w:p w14:paraId="79F863CC" w14:textId="77777777" w:rsidR="00D4105E" w:rsidRPr="00E14102" w:rsidRDefault="00D4105E" w:rsidP="00E14102">
      <w:pPr>
        <w:autoSpaceDE w:val="0"/>
        <w:autoSpaceDN w:val="0"/>
        <w:adjustRightInd w:val="0"/>
        <w:jc w:val="both"/>
        <w:rPr>
          <w:color w:val="000000" w:themeColor="text1"/>
          <w:sz w:val="16"/>
          <w:szCs w:val="16"/>
        </w:rPr>
      </w:pPr>
    </w:p>
    <w:p w14:paraId="491972D5" w14:textId="77777777" w:rsidR="00611DF0" w:rsidRPr="00E14102" w:rsidRDefault="00611DF0" w:rsidP="00E14102">
      <w:pPr>
        <w:jc w:val="both"/>
        <w:rPr>
          <w:color w:val="000000" w:themeColor="text1"/>
          <w:sz w:val="16"/>
          <w:szCs w:val="16"/>
        </w:rPr>
      </w:pPr>
      <w:r w:rsidRPr="00E14102">
        <w:rPr>
          <w:color w:val="000000" w:themeColor="text1"/>
          <w:sz w:val="16"/>
          <w:szCs w:val="16"/>
        </w:rPr>
        <w:t>В декабре 1935 г. был создан Опытный сектор разведки и наведения ПВО путем преобразования конструкторского бюро Управления противовоздушной обороны РККА. Его штат состоял из 30 чел., в том числе: 11 инженеров, 1 техник и комендантский взвод. Задачами опытного сектора являлись: комплексное изучение вопросов противовоздушного наблюдения и средств управления, полигонные испытания аппаратуры, сбор и накопление опытных данных по регистрации полетов самолетов. За ним сохранялись также и функции, которые ранее выполняло КБ УПВО. Для опытной эксплуатации радиосредств обнаружения сектору выделили направление на восток от Москвы, где предполагалось построить систему радиообнаружения, проводить испытания и накапливать опыт. В конце декабря 1936 г. он перешел в Техническое управление РККА, с подчинением Научно-испытательному техническому институту РККА (НИТИ РККА), но уже 21 января 1937 г. передан в непосредственное подчинение начальника Технического управления РККА. После объединения Технического управления РККА с Управлением связи РККА 26 июля 1937 г. в августе 1937 г. сектор передали в Управление связи РККА, а проведение работ по аппаратуре радиообнаружения поручили Научно-исследовательскому и испытательному институту связи (НИИИС) РККА. План опытного сектора на 1938 г. состоял из следующих направлений: экспериментальные установки системы радиообнаружения линейного типа на УКВ; лабораторные установки радиодальномера на УКВ для обнаружения самолета и определения расстояния до него; лабораторный макет “Радиокоординатор” (радиообнаружитель для ЗА) на ДЦВ (17812).</w:t>
      </w:r>
    </w:p>
    <w:p w14:paraId="70573A9B" w14:textId="77777777" w:rsidR="00611DF0" w:rsidRPr="00E14102" w:rsidRDefault="00611DF0" w:rsidP="00E14102">
      <w:pPr>
        <w:jc w:val="both"/>
        <w:rPr>
          <w:color w:val="000000" w:themeColor="text1"/>
          <w:sz w:val="16"/>
          <w:szCs w:val="16"/>
        </w:rPr>
      </w:pPr>
    </w:p>
    <w:p w14:paraId="5D70355B" w14:textId="77777777" w:rsidR="009B093F" w:rsidRPr="00E14102" w:rsidRDefault="009B093F" w:rsidP="00E14102">
      <w:pPr>
        <w:jc w:val="both"/>
        <w:rPr>
          <w:rFonts w:eastAsia="TimesNewRoman"/>
          <w:color w:val="000000" w:themeColor="text1"/>
          <w:sz w:val="16"/>
          <w:szCs w:val="16"/>
        </w:rPr>
      </w:pPr>
      <w:r w:rsidRPr="00E14102">
        <w:rPr>
          <w:rFonts w:eastAsia="TimesNewRoman"/>
          <w:color w:val="000000" w:themeColor="text1"/>
          <w:sz w:val="16"/>
          <w:szCs w:val="16"/>
        </w:rPr>
        <w:t xml:space="preserve">В декабре 1935 г. между Главэспромом и </w:t>
      </w:r>
      <w:r w:rsidRPr="00E14102">
        <w:rPr>
          <w:rFonts w:eastAsia="TimesNewRoman"/>
          <w:iCs/>
          <w:color w:val="000000" w:themeColor="text1"/>
          <w:sz w:val="16"/>
          <w:szCs w:val="16"/>
        </w:rPr>
        <w:t xml:space="preserve">RCA </w:t>
      </w:r>
      <w:r w:rsidRPr="00E14102">
        <w:rPr>
          <w:rFonts w:eastAsia="TimesNewRoman"/>
          <w:color w:val="000000" w:themeColor="text1"/>
          <w:sz w:val="16"/>
          <w:szCs w:val="16"/>
        </w:rPr>
        <w:t xml:space="preserve">был заключен договор о технической помощи. Условия его были во многом сходны с условиями договора 1923 г. с Французской генеральной компанией. Главэспром получал право использовать весь технический опыт фирмы </w:t>
      </w:r>
      <w:r w:rsidRPr="00E14102">
        <w:rPr>
          <w:rFonts w:eastAsia="TimesNewRoman"/>
          <w:iCs/>
          <w:color w:val="000000" w:themeColor="text1"/>
          <w:sz w:val="16"/>
          <w:szCs w:val="16"/>
        </w:rPr>
        <w:t xml:space="preserve">RCA </w:t>
      </w:r>
      <w:r w:rsidRPr="00E14102">
        <w:rPr>
          <w:rFonts w:eastAsia="TimesNewRoman"/>
          <w:color w:val="000000" w:themeColor="text1"/>
          <w:sz w:val="16"/>
          <w:szCs w:val="16"/>
        </w:rPr>
        <w:t>путем получения от нее конструктивных чертежей, технологических инструментов, результатов лабораторных работ, патентов на изобретения и посредством непосредственного изучения советскими специалистами работ фирмы в ее лабораториях и заводах [13, д. 6, л. 1].</w:t>
      </w:r>
    </w:p>
    <w:p w14:paraId="34BBD760" w14:textId="77777777" w:rsidR="009B093F" w:rsidRPr="00E14102" w:rsidRDefault="009B093F" w:rsidP="00E14102">
      <w:pPr>
        <w:jc w:val="both"/>
        <w:rPr>
          <w:rFonts w:eastAsia="TimesNewRoman"/>
          <w:color w:val="000000" w:themeColor="text1"/>
          <w:sz w:val="16"/>
          <w:szCs w:val="16"/>
        </w:rPr>
      </w:pPr>
      <w:r w:rsidRPr="00E14102">
        <w:rPr>
          <w:rFonts w:eastAsia="TimesNewRoman"/>
          <w:color w:val="000000" w:themeColor="text1"/>
          <w:sz w:val="16"/>
          <w:szCs w:val="16"/>
        </w:rPr>
        <w:t xml:space="preserve">С 1937 г. на «Светлане» было освоено и начато серийное производство принципиально новых радиоламп американского типа. При этом использовалось закупленное в США оборудование, на котором удалось достичь производительности, аналогичной производительности на предприятиях фирмы. Начав изготовление ламп с импортных деталей, завод «Светлана» постепенно перешел на собственное их изготовление сначала из импортного, а потом и из отечественного сырья. Всего за период 1937-1940 гг. с помощью фирмы </w:t>
      </w:r>
      <w:r w:rsidRPr="00E14102">
        <w:rPr>
          <w:rFonts w:eastAsia="TimesNewRoman"/>
          <w:iCs/>
          <w:color w:val="000000" w:themeColor="text1"/>
          <w:sz w:val="16"/>
          <w:szCs w:val="16"/>
        </w:rPr>
        <w:t xml:space="preserve">RCA </w:t>
      </w:r>
      <w:r w:rsidRPr="00E14102">
        <w:rPr>
          <w:rFonts w:eastAsia="TimesNewRoman"/>
          <w:color w:val="000000" w:themeColor="text1"/>
          <w:sz w:val="16"/>
          <w:szCs w:val="16"/>
        </w:rPr>
        <w:t>на «Светлане» было выпущено более 3,5 млн ламп [Там же, л. 3].</w:t>
      </w:r>
    </w:p>
    <w:p w14:paraId="25424642" w14:textId="77777777" w:rsidR="009B093F" w:rsidRPr="00E14102" w:rsidRDefault="009B093F" w:rsidP="00E14102">
      <w:pPr>
        <w:jc w:val="both"/>
        <w:rPr>
          <w:rFonts w:eastAsia="TimesNewRoman"/>
          <w:color w:val="000000" w:themeColor="text1"/>
          <w:sz w:val="16"/>
          <w:szCs w:val="16"/>
        </w:rPr>
      </w:pPr>
      <w:r w:rsidRPr="00E14102">
        <w:rPr>
          <w:rFonts w:eastAsia="TimesNewRoman"/>
          <w:color w:val="000000" w:themeColor="text1"/>
          <w:sz w:val="16"/>
          <w:szCs w:val="16"/>
        </w:rPr>
        <w:t xml:space="preserve">В лаборатории «Светланы» с использованием элементов американской техники активно проводилась разработка вакуумных изделий собственной конструкции, а также модернизация старых типов. Производственный опыт американской фирмы был использован при внедрении во все области деятельности завода самой современной технической документации. Американской стороной было предоставлено огромное количество (более 130 тыс.) чертежей машин, инструментов, приспособлений. Чрезвычайно важное значение имели командировки отечественных специалистов на заводы и в лаборатории фирмы </w:t>
      </w:r>
      <w:r w:rsidRPr="00E14102">
        <w:rPr>
          <w:rFonts w:eastAsia="TimesNewRoman"/>
          <w:iCs/>
          <w:color w:val="000000" w:themeColor="text1"/>
          <w:sz w:val="16"/>
          <w:szCs w:val="16"/>
        </w:rPr>
        <w:t>RCA</w:t>
      </w:r>
      <w:r w:rsidRPr="00E14102">
        <w:rPr>
          <w:rFonts w:eastAsia="TimesNewRoman"/>
          <w:color w:val="000000" w:themeColor="text1"/>
          <w:sz w:val="16"/>
          <w:szCs w:val="16"/>
        </w:rPr>
        <w:t>. За время действия договора там побывали около 100 советских инженеров, половина из которых были представителями «Светланы» [Там же, л. 31]. Все они получили возможность ознакомиться и на практике получить навыки выполнения технологических процессов и организации современного производства.</w:t>
      </w:r>
    </w:p>
    <w:p w14:paraId="7A8E1748" w14:textId="77777777" w:rsidR="009B093F" w:rsidRPr="00E14102" w:rsidRDefault="009B093F" w:rsidP="00E14102">
      <w:pPr>
        <w:jc w:val="both"/>
        <w:rPr>
          <w:rFonts w:eastAsia="TimesNewRoman"/>
          <w:color w:val="000000" w:themeColor="text1"/>
          <w:sz w:val="16"/>
          <w:szCs w:val="16"/>
        </w:rPr>
      </w:pPr>
      <w:r w:rsidRPr="00E14102">
        <w:rPr>
          <w:rFonts w:eastAsia="TimesNewRoman"/>
          <w:color w:val="000000" w:themeColor="text1"/>
          <w:sz w:val="16"/>
          <w:szCs w:val="16"/>
        </w:rPr>
        <w:t>Весьма показательную оценку помощи, предоставленной американской фирмой, дал С. А. Зусмановский.</w:t>
      </w:r>
    </w:p>
    <w:p w14:paraId="38202609" w14:textId="77777777" w:rsidR="009B093F" w:rsidRPr="00E14102" w:rsidRDefault="009B093F" w:rsidP="00E14102">
      <w:pPr>
        <w:jc w:val="both"/>
        <w:rPr>
          <w:rFonts w:eastAsia="TimesNewRoman"/>
          <w:color w:val="000000" w:themeColor="text1"/>
          <w:sz w:val="16"/>
          <w:szCs w:val="16"/>
        </w:rPr>
      </w:pPr>
      <w:r w:rsidRPr="00E14102">
        <w:rPr>
          <w:rFonts w:eastAsia="TimesNewRoman"/>
          <w:color w:val="000000" w:themeColor="text1"/>
          <w:sz w:val="16"/>
          <w:szCs w:val="16"/>
        </w:rPr>
        <w:t>По его словам, эта помощь позволила превратить нашу промышленность из кустарной в современную и механизированную [Там же, д. 1, л. 211] (12695).</w:t>
      </w:r>
    </w:p>
    <w:p w14:paraId="445FEAEE" w14:textId="77777777" w:rsidR="009B093F" w:rsidRPr="00E14102" w:rsidRDefault="009B093F" w:rsidP="00E14102">
      <w:pPr>
        <w:jc w:val="both"/>
        <w:rPr>
          <w:rFonts w:eastAsia="TimesNewRoman"/>
          <w:color w:val="000000" w:themeColor="text1"/>
          <w:sz w:val="16"/>
          <w:szCs w:val="16"/>
        </w:rPr>
      </w:pPr>
    </w:p>
    <w:p w14:paraId="2EC4872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декабре 1935 г. проведенное плановое обследование мостовых кранов на заводе № 92 показало, что все они находились «в безобразном состоянии». В частности, на 10-тонном кране сгорел магнитный тормоз, и кран работал без него, у роликовых токоприемников пальцы выехали и выпали, а троллеи сорваны с подвесок. 14 апреля 1935 в том же цеху из-за отказа тормозов сошел с рельсов и опрокинулся 25-тонный мостовой кран (11741).</w:t>
      </w:r>
    </w:p>
    <w:p w14:paraId="4480A83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6C265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 Нарком обороны своим приказом преобразовал КБ УПВО в Опытный сектор разведки и наведения ПВО и утвердил его структуру и штат (всего 30 человек, в том числе 11 инженеров, 1 техник и комендантский взвод). Для опытной эксплуатации радиосредств обнаружения сектору было выделено направление на восток от Москвы, в котором должны были строиться система радиообнаружения и проводиться испытания.</w:t>
      </w:r>
    </w:p>
    <w:p w14:paraId="3AAE75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задачу Опытного сектора входили комплексное изучение вопросов противовоздушного наблюдения и средств управления, полигонные испытания аппаратуры, сбор и накопление опытных данных по регистрации полетов самолетов. За ним сохранялись также и задачи, выполнявшиеся ранее КБ УПВО.</w:t>
      </w:r>
    </w:p>
    <w:p w14:paraId="51D82F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Система радиообнаружения сектора восточного направления должна была оснащаться комплектами аппаратуры «Вега» (11026).</w:t>
      </w:r>
    </w:p>
    <w:p w14:paraId="6DA7B642" w14:textId="77777777" w:rsidR="00D4105E" w:rsidRPr="00E14102" w:rsidRDefault="00D4105E" w:rsidP="00E14102">
      <w:pPr>
        <w:autoSpaceDE w:val="0"/>
        <w:autoSpaceDN w:val="0"/>
        <w:adjustRightInd w:val="0"/>
        <w:jc w:val="both"/>
        <w:rPr>
          <w:color w:val="000000" w:themeColor="text1"/>
          <w:sz w:val="16"/>
          <w:szCs w:val="16"/>
        </w:rPr>
      </w:pPr>
    </w:p>
    <w:p w14:paraId="5607F777" w14:textId="77777777" w:rsidR="00103BC7" w:rsidRPr="00E14102" w:rsidRDefault="00103BC7" w:rsidP="00E14102">
      <w:pPr>
        <w:jc w:val="both"/>
        <w:rPr>
          <w:color w:val="000000" w:themeColor="text1"/>
          <w:sz w:val="16"/>
          <w:szCs w:val="16"/>
        </w:rPr>
      </w:pPr>
      <w:r w:rsidRPr="00E14102">
        <w:rPr>
          <w:color w:val="000000" w:themeColor="text1"/>
          <w:sz w:val="16"/>
          <w:szCs w:val="16"/>
        </w:rPr>
        <w:lastRenderedPageBreak/>
        <w:t xml:space="preserve">В декабре 1935 г. между Главэспромом и многоотраслевой американской фирмой </w:t>
      </w:r>
      <w:r w:rsidRPr="00E14102">
        <w:rPr>
          <w:color w:val="000000" w:themeColor="text1"/>
          <w:sz w:val="16"/>
          <w:szCs w:val="16"/>
          <w:lang w:val="en-US"/>
        </w:rPr>
        <w:t>RCA</w:t>
      </w:r>
      <w:r w:rsidRPr="00E14102">
        <w:rPr>
          <w:color w:val="000000" w:themeColor="text1"/>
          <w:sz w:val="16"/>
          <w:szCs w:val="16"/>
        </w:rPr>
        <w:t xml:space="preserve"> был заключен договор о технической помощи. Главэспром полу</w:t>
      </w:r>
      <w:r w:rsidRPr="00E14102">
        <w:rPr>
          <w:color w:val="000000" w:themeColor="text1"/>
          <w:sz w:val="16"/>
          <w:szCs w:val="16"/>
        </w:rPr>
        <w:softHyphen/>
        <w:t>чал право использовать весь технический опыт фирмы путем получения от нее конструктивных чертежей, технологических инструментов, результатов лабора</w:t>
      </w:r>
      <w:r w:rsidRPr="00E14102">
        <w:rPr>
          <w:color w:val="000000" w:themeColor="text1"/>
          <w:sz w:val="16"/>
          <w:szCs w:val="16"/>
        </w:rPr>
        <w:softHyphen/>
        <w:t>торных работ, патентов на изобретения и посредством непосредственного изу</w:t>
      </w:r>
      <w:r w:rsidRPr="00E14102">
        <w:rPr>
          <w:color w:val="000000" w:themeColor="text1"/>
          <w:sz w:val="16"/>
          <w:szCs w:val="16"/>
        </w:rPr>
        <w:softHyphen/>
        <w:t>чения советскими специалистами работ фирмы в ее лабораториях и заводах.</w:t>
      </w:r>
    </w:p>
    <w:p w14:paraId="0AAD62E1" w14:textId="77777777" w:rsidR="00103BC7" w:rsidRPr="00E14102" w:rsidRDefault="00103BC7" w:rsidP="00E14102">
      <w:pPr>
        <w:jc w:val="both"/>
        <w:rPr>
          <w:color w:val="000000" w:themeColor="text1"/>
          <w:sz w:val="16"/>
          <w:szCs w:val="16"/>
        </w:rPr>
      </w:pPr>
      <w:r w:rsidRPr="00E14102">
        <w:rPr>
          <w:color w:val="000000" w:themeColor="text1"/>
          <w:sz w:val="16"/>
          <w:szCs w:val="16"/>
        </w:rPr>
        <w:t>Производственный опыт американской фирмы был использован при внедрении во все области деятельности завода технической документации. Кроме того, американская сторона предоставила 135000 листов чертежей ма</w:t>
      </w:r>
      <w:r w:rsidRPr="00E14102">
        <w:rPr>
          <w:color w:val="000000" w:themeColor="text1"/>
          <w:sz w:val="16"/>
          <w:szCs w:val="16"/>
        </w:rPr>
        <w:softHyphen/>
        <w:t>шин, инструментов, приспособлений.</w:t>
      </w:r>
    </w:p>
    <w:p w14:paraId="38B712A1" w14:textId="77777777" w:rsidR="00103BC7" w:rsidRPr="00E14102" w:rsidRDefault="00103BC7" w:rsidP="00E14102">
      <w:pPr>
        <w:jc w:val="both"/>
        <w:rPr>
          <w:color w:val="000000" w:themeColor="text1"/>
          <w:sz w:val="16"/>
          <w:szCs w:val="16"/>
        </w:rPr>
      </w:pPr>
      <w:r w:rsidRPr="00E14102">
        <w:rPr>
          <w:color w:val="000000" w:themeColor="text1"/>
          <w:sz w:val="16"/>
          <w:szCs w:val="16"/>
        </w:rPr>
        <w:t xml:space="preserve">Всего за период 1937-1940 гг. с помощью фирмы </w:t>
      </w:r>
      <w:r w:rsidRPr="00E14102">
        <w:rPr>
          <w:color w:val="000000" w:themeColor="text1"/>
          <w:sz w:val="16"/>
          <w:szCs w:val="16"/>
          <w:lang w:val="en-US"/>
        </w:rPr>
        <w:t>RCA</w:t>
      </w:r>
      <w:r w:rsidRPr="00E14102">
        <w:rPr>
          <w:color w:val="000000" w:themeColor="text1"/>
          <w:sz w:val="16"/>
          <w:szCs w:val="16"/>
        </w:rPr>
        <w:t xml:space="preserve"> на предприятии было выпущено 3650000 ламп 22 типов.</w:t>
      </w:r>
    </w:p>
    <w:p w14:paraId="62526980" w14:textId="77777777" w:rsidR="00103BC7" w:rsidRPr="00E14102" w:rsidRDefault="00103BC7" w:rsidP="00E14102">
      <w:pPr>
        <w:jc w:val="both"/>
        <w:rPr>
          <w:color w:val="000000" w:themeColor="text1"/>
          <w:sz w:val="16"/>
          <w:szCs w:val="16"/>
        </w:rPr>
      </w:pPr>
      <w:r w:rsidRPr="00E14102">
        <w:rPr>
          <w:color w:val="000000" w:themeColor="text1"/>
          <w:sz w:val="16"/>
          <w:szCs w:val="16"/>
        </w:rPr>
        <w:t xml:space="preserve">Большое значение имели командировки отечественных специалистов на заводы и в лаборатории фирмы </w:t>
      </w:r>
      <w:r w:rsidRPr="00E14102">
        <w:rPr>
          <w:color w:val="000000" w:themeColor="text1"/>
          <w:sz w:val="16"/>
          <w:szCs w:val="16"/>
          <w:lang w:val="en-US"/>
        </w:rPr>
        <w:t>RCA</w:t>
      </w:r>
      <w:r w:rsidRPr="00E14102">
        <w:rPr>
          <w:color w:val="000000" w:themeColor="text1"/>
          <w:sz w:val="16"/>
          <w:szCs w:val="16"/>
        </w:rPr>
        <w:t>, где за пять лет действия договора побы</w:t>
      </w:r>
      <w:r w:rsidRPr="00E14102">
        <w:rPr>
          <w:color w:val="000000" w:themeColor="text1"/>
          <w:sz w:val="16"/>
          <w:szCs w:val="16"/>
        </w:rPr>
        <w:softHyphen/>
        <w:t>вал 51 представитель завода № 211 (19098).</w:t>
      </w:r>
    </w:p>
    <w:p w14:paraId="0EA64A7D" w14:textId="77777777" w:rsidR="00103BC7" w:rsidRPr="00E14102" w:rsidRDefault="00103BC7" w:rsidP="00E14102">
      <w:pPr>
        <w:jc w:val="both"/>
        <w:rPr>
          <w:color w:val="000000" w:themeColor="text1"/>
          <w:sz w:val="16"/>
          <w:szCs w:val="16"/>
        </w:rPr>
      </w:pPr>
    </w:p>
    <w:p w14:paraId="1C8461F9" w14:textId="77777777" w:rsidR="00103BC7" w:rsidRPr="00E14102" w:rsidRDefault="00103BC7" w:rsidP="00E14102">
      <w:pPr>
        <w:jc w:val="both"/>
        <w:rPr>
          <w:color w:val="000000" w:themeColor="text1"/>
          <w:sz w:val="16"/>
          <w:szCs w:val="16"/>
        </w:rPr>
      </w:pPr>
      <w:r w:rsidRPr="00E14102">
        <w:rPr>
          <w:color w:val="000000" w:themeColor="text1"/>
          <w:sz w:val="16"/>
          <w:szCs w:val="16"/>
        </w:rPr>
        <w:t>В декабре 1935 г. между Главэспромом и RCA был заключен договор о технической помощи сроком на пять лет. Советская сторона получила право использовать весь технический опыт фирмы путем получения от нее конструктивных чертежей, технологических инструментов, результатов лабораторных работ, патентов на изобретения и посредством непосредственного изучения советскими специалистами работ фирмы в ее лабораториях и заводах. Помощь фирмы в достаточно больших объемах получили многие электрослаботочные предприятия и учреждения (завод им. Козицкого, ОРПУ, ИРПА и проч.). Но особенно ценной она оказалась для завода «Светлана», где с 1937 г. было освоено и начато серийное производство принципиально новых радиоламп американского типа. Начав изготовление ламп с импортных деталей, ленинградский завод постепенно перешел на собственное их производство сначала из импортного, а потом и из отечественного сырья. Всего за период 1937-1940 гг. с помощью фирмы RCA на «Светлане» было выпущено более 3,5 млн. ламп. Итог сотрудничества с американской компанией очень емко выразил С.А. Зусмановский. По его словам, помощь RCA позволила превратить нашу промышленность из кустарной в современную и механизированную (18297).</w:t>
      </w:r>
    </w:p>
    <w:p w14:paraId="1DAF48A7" w14:textId="77777777" w:rsidR="00103BC7" w:rsidRPr="00E14102" w:rsidRDefault="00103BC7" w:rsidP="00E14102">
      <w:pPr>
        <w:jc w:val="both"/>
        <w:rPr>
          <w:color w:val="000000" w:themeColor="text1"/>
          <w:sz w:val="16"/>
          <w:szCs w:val="16"/>
        </w:rPr>
      </w:pPr>
    </w:p>
    <w:p w14:paraId="6882F5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 началь</w:t>
      </w:r>
      <w:r w:rsidRPr="00E14102">
        <w:rPr>
          <w:color w:val="000000" w:themeColor="text1"/>
          <w:sz w:val="16"/>
          <w:szCs w:val="16"/>
        </w:rPr>
        <w:softHyphen/>
        <w:t>ник ЦКБС-1 В. Л..Бжезинский и его ближайший помощник В. П. Римский-Корсаков представили обобщенную сводку по про</w:t>
      </w:r>
      <w:r w:rsidRPr="00E14102">
        <w:rPr>
          <w:color w:val="000000" w:themeColor="text1"/>
          <w:sz w:val="16"/>
          <w:szCs w:val="16"/>
        </w:rPr>
        <w:softHyphen/>
        <w:t>ектам линкоров, броненосных кораблей и популярньис тогда крейсеров-авианосцев (гибридов) от 21 500 до 28 500 т (305 мм, от 49 до 60 самолетов), разрабатываемых ЦКБС-1, Орлову, начальнику Главморпрома Муклевичу, а также на</w:t>
      </w:r>
      <w:r w:rsidRPr="00E14102">
        <w:rPr>
          <w:color w:val="000000" w:themeColor="text1"/>
          <w:sz w:val="16"/>
          <w:szCs w:val="16"/>
        </w:rPr>
        <w:softHyphen/>
        <w:t>чальникам отдела кораблестроения УВМС и НИВК (3898).</w:t>
      </w:r>
    </w:p>
    <w:p w14:paraId="03049645" w14:textId="77777777" w:rsidR="00D4105E" w:rsidRPr="00E14102" w:rsidRDefault="00D4105E" w:rsidP="00E14102">
      <w:pPr>
        <w:autoSpaceDE w:val="0"/>
        <w:autoSpaceDN w:val="0"/>
        <w:adjustRightInd w:val="0"/>
        <w:jc w:val="both"/>
        <w:rPr>
          <w:color w:val="000000" w:themeColor="text1"/>
          <w:sz w:val="16"/>
          <w:szCs w:val="16"/>
        </w:rPr>
      </w:pPr>
    </w:p>
    <w:p w14:paraId="62057D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 поставив рекорд стапельного пе</w:t>
      </w:r>
      <w:r w:rsidRPr="00E14102">
        <w:rPr>
          <w:color w:val="000000" w:themeColor="text1"/>
          <w:sz w:val="16"/>
          <w:szCs w:val="16"/>
        </w:rPr>
        <w:softHyphen/>
        <w:t>риода постройки корпуса на этом заводе (5 месяцев, ) на Северной верфи был спушен на воду заложенный в июне 1935 экспериментальный эсминец, получивший название "Серго Орджоникидзе" (9838). В 1936 г. на Северной верфи были изготовлены и главные тур</w:t>
      </w:r>
      <w:r w:rsidRPr="00E14102">
        <w:rPr>
          <w:color w:val="000000" w:themeColor="text1"/>
          <w:sz w:val="16"/>
          <w:szCs w:val="16"/>
        </w:rPr>
        <w:softHyphen/>
        <w:t>бины, спроектированные под руководством А. В. Сперанского в развитие турбин лидеров пр.1. Однако ввод в строй эсминца "Серго Орджоникидзе", испыта</w:t>
      </w:r>
      <w:r w:rsidRPr="00E14102">
        <w:rPr>
          <w:color w:val="000000" w:themeColor="text1"/>
          <w:sz w:val="16"/>
          <w:szCs w:val="16"/>
        </w:rPr>
        <w:softHyphen/>
        <w:t>ния которого были намечены на осень 1936 г., задержался по цело</w:t>
      </w:r>
      <w:r w:rsidRPr="00E14102">
        <w:rPr>
          <w:color w:val="000000" w:themeColor="text1"/>
          <w:sz w:val="16"/>
          <w:szCs w:val="16"/>
        </w:rPr>
        <w:softHyphen/>
        <w:t>му ряду объективных и субъективных причин. В числе первых бы</w:t>
      </w:r>
      <w:r w:rsidRPr="00E14102">
        <w:rPr>
          <w:color w:val="000000" w:themeColor="text1"/>
          <w:sz w:val="16"/>
          <w:szCs w:val="16"/>
        </w:rPr>
        <w:softHyphen/>
        <w:t>ла неготовность завода изготовить надежную систему автоматиче</w:t>
      </w:r>
      <w:r w:rsidRPr="00E14102">
        <w:rPr>
          <w:color w:val="000000" w:themeColor="text1"/>
          <w:sz w:val="16"/>
          <w:szCs w:val="16"/>
        </w:rPr>
        <w:softHyphen/>
        <w:t>ского регулирования прямоточных котлов, которые к тому же не были доведены до работоспособности на береговом стенде. Опазды</w:t>
      </w:r>
      <w:r w:rsidRPr="00E14102">
        <w:rPr>
          <w:color w:val="000000" w:themeColor="text1"/>
          <w:sz w:val="16"/>
          <w:szCs w:val="16"/>
        </w:rPr>
        <w:softHyphen/>
        <w:t>вало и изготовление 130-мм башен, первые образцы которых поя</w:t>
      </w:r>
      <w:r w:rsidRPr="00E14102">
        <w:rPr>
          <w:color w:val="000000" w:themeColor="text1"/>
          <w:sz w:val="16"/>
          <w:szCs w:val="16"/>
        </w:rPr>
        <w:softHyphen/>
        <w:t>вились только в 1940 г. К числу субъективных обстоятельств отно</w:t>
      </w:r>
      <w:r w:rsidRPr="00E14102">
        <w:rPr>
          <w:color w:val="000000" w:themeColor="text1"/>
          <w:sz w:val="16"/>
          <w:szCs w:val="16"/>
        </w:rPr>
        <w:softHyphen/>
        <w:t>сились крайняя спешка в создании главных механизмов, само</w:t>
      </w:r>
      <w:r w:rsidRPr="00E14102">
        <w:rPr>
          <w:color w:val="000000" w:themeColor="text1"/>
          <w:sz w:val="16"/>
          <w:szCs w:val="16"/>
        </w:rPr>
        <w:softHyphen/>
        <w:t>вольное отстранение Бжезинского от руководства строительством корабля директором завода Мирошиным (за "неумение возглав</w:t>
      </w:r>
      <w:r w:rsidRPr="00E14102">
        <w:rPr>
          <w:color w:val="000000" w:themeColor="text1"/>
          <w:sz w:val="16"/>
          <w:szCs w:val="16"/>
        </w:rPr>
        <w:softHyphen/>
        <w:t>лять завод" и придирки к техническому директору А. И. Павлову и строителям Муклевич в начале 1936 г. снял Мирошина с должно</w:t>
      </w:r>
      <w:r w:rsidRPr="00E14102">
        <w:rPr>
          <w:color w:val="000000" w:themeColor="text1"/>
          <w:sz w:val="16"/>
          <w:szCs w:val="16"/>
        </w:rPr>
        <w:softHyphen/>
        <w:t>сти, и директором завода им. А. А. Жданова, как стала называться Северная верфь, назначил Л. С. Окорского), арест Бжезинского и настоящий разгром ЦКБС-1 в 1937 г. (3898)</w:t>
      </w:r>
    </w:p>
    <w:p w14:paraId="079F21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 январе 1936 гг. на Балтийском за</w:t>
      </w:r>
      <w:r w:rsidRPr="00E14102">
        <w:rPr>
          <w:color w:val="000000" w:themeColor="text1"/>
          <w:sz w:val="16"/>
          <w:szCs w:val="16"/>
        </w:rPr>
        <w:softHyphen/>
        <w:t xml:space="preserve">воде были заложены первые три лодки 1Хбис серии — Н-4 </w:t>
      </w:r>
      <w:r w:rsidRPr="00E14102">
        <w:rPr>
          <w:iCs/>
          <w:color w:val="000000" w:themeColor="text1"/>
          <w:sz w:val="16"/>
          <w:szCs w:val="16"/>
        </w:rPr>
        <w:t>(с</w:t>
      </w:r>
      <w:r w:rsidRPr="00E14102">
        <w:rPr>
          <w:color w:val="000000" w:themeColor="text1"/>
          <w:sz w:val="16"/>
          <w:szCs w:val="16"/>
        </w:rPr>
        <w:t xml:space="preserve"> октября 1937 г. — С-4), Н-5 (С-5) и Н-6 (С-6). Они были спущены на воду в мае 1936 — марте 1938 гг. Головная С-4 вступила в строй в ноябре 1939 г. С декабря 1936 г. серийная постройка однотипных лодок началась на заводе 112 ("Красное Сормово") с планируемой сдачей их в Ленинграде. До июня 1941 г. включительно в Горьком зало</w:t>
      </w:r>
      <w:r w:rsidRPr="00E14102">
        <w:rPr>
          <w:color w:val="000000" w:themeColor="text1"/>
          <w:sz w:val="16"/>
          <w:szCs w:val="16"/>
        </w:rPr>
        <w:softHyphen/>
        <w:t>жили или заготовили материалы для постройки 31 подводной лод ки 1Хбис серии. Из них в 1939—1940 гг. были сданы и вошли в со</w:t>
      </w:r>
      <w:r w:rsidRPr="00E14102">
        <w:rPr>
          <w:color w:val="000000" w:themeColor="text1"/>
          <w:sz w:val="16"/>
          <w:szCs w:val="16"/>
        </w:rPr>
        <w:softHyphen/>
        <w:t>став КБФ шесть единиц — С-7—С-10, С-101 и С-102. Три едини</w:t>
      </w:r>
      <w:r w:rsidRPr="00E14102">
        <w:rPr>
          <w:color w:val="000000" w:themeColor="text1"/>
          <w:sz w:val="16"/>
          <w:szCs w:val="16"/>
        </w:rPr>
        <w:softHyphen/>
        <w:t>цы — С-11—С-13, спущенные на воду и переведенные в Ленин</w:t>
      </w:r>
      <w:r w:rsidRPr="00E14102">
        <w:rPr>
          <w:color w:val="000000" w:themeColor="text1"/>
          <w:sz w:val="16"/>
          <w:szCs w:val="16"/>
        </w:rPr>
        <w:softHyphen/>
        <w:t>град в 1938—1939 гг., были практически готовы к началу вой</w:t>
      </w:r>
      <w:r w:rsidRPr="00E14102">
        <w:rPr>
          <w:color w:val="000000" w:themeColor="text1"/>
          <w:sz w:val="16"/>
          <w:szCs w:val="16"/>
        </w:rPr>
        <w:softHyphen/>
        <w:t>ны и проходили испытания. С апреля 1939 по май 1941 г. на заводе 112 спустили на воду еще двенадцать таких же лодок, получивших обозначение С-14—С-18, С-22—С-26, С-103 и С-104. Корпуса С-27—С-30 к этому времени находились еще на стапелях, где уже готовились к сборке следующие шесть единиц — С-39— С-44, для которых имелся большой задел обработанного метал</w:t>
      </w:r>
      <w:r w:rsidRPr="00E14102">
        <w:rPr>
          <w:color w:val="000000" w:themeColor="text1"/>
          <w:sz w:val="16"/>
          <w:szCs w:val="16"/>
        </w:rPr>
        <w:softHyphen/>
        <w:t>ла (3898).</w:t>
      </w:r>
    </w:p>
    <w:p w14:paraId="7EE198A1" w14:textId="77777777" w:rsidR="00D4105E" w:rsidRPr="00E14102" w:rsidRDefault="00D4105E" w:rsidP="00E14102">
      <w:pPr>
        <w:autoSpaceDE w:val="0"/>
        <w:autoSpaceDN w:val="0"/>
        <w:adjustRightInd w:val="0"/>
        <w:jc w:val="both"/>
        <w:rPr>
          <w:color w:val="000000" w:themeColor="text1"/>
          <w:sz w:val="16"/>
          <w:szCs w:val="16"/>
        </w:rPr>
      </w:pPr>
    </w:p>
    <w:p w14:paraId="2FA957CB" w14:textId="77777777" w:rsidR="00270FBF" w:rsidRPr="00E14102" w:rsidRDefault="00270FBF" w:rsidP="00E14102">
      <w:pPr>
        <w:pStyle w:val="rtejustify"/>
        <w:spacing w:before="0" w:after="0"/>
        <w:rPr>
          <w:color w:val="000000" w:themeColor="text1"/>
          <w:sz w:val="16"/>
          <w:szCs w:val="16"/>
        </w:rPr>
      </w:pPr>
      <w:r w:rsidRPr="00E14102">
        <w:rPr>
          <w:color w:val="000000" w:themeColor="text1"/>
          <w:sz w:val="16"/>
          <w:szCs w:val="16"/>
        </w:rPr>
        <w:t>В декабре 1935 г. вступила в строй последняя лодка V</w:t>
      </w:r>
      <w:r w:rsidRPr="00E14102">
        <w:rPr>
          <w:color w:val="000000" w:themeColor="text1"/>
          <w:sz w:val="16"/>
          <w:szCs w:val="16"/>
        </w:rPr>
        <w:noBreakHyphen/>
        <w:t>бис серии. Одновременно с разработкой общего проекта V</w:t>
      </w:r>
      <w:r w:rsidRPr="00E14102">
        <w:rPr>
          <w:color w:val="000000" w:themeColor="text1"/>
          <w:sz w:val="16"/>
          <w:szCs w:val="16"/>
        </w:rPr>
        <w:noBreakHyphen/>
        <w:t>бис серии ЦКБС</w:t>
      </w:r>
      <w:r w:rsidRPr="00E14102">
        <w:rPr>
          <w:color w:val="000000" w:themeColor="text1"/>
          <w:sz w:val="16"/>
          <w:szCs w:val="16"/>
        </w:rPr>
        <w:noBreakHyphen/>
        <w:t>2 разработало улучшенный проект средней лодки VIII серии (позже V</w:t>
      </w:r>
      <w:r w:rsidRPr="00E14102">
        <w:rPr>
          <w:color w:val="000000" w:themeColor="text1"/>
          <w:sz w:val="16"/>
          <w:szCs w:val="16"/>
        </w:rPr>
        <w:noBreakHyphen/>
        <w:t>бис II серии) по заданию на «Щуку</w:t>
      </w:r>
      <w:r w:rsidRPr="00E14102">
        <w:rPr>
          <w:color w:val="000000" w:themeColor="text1"/>
          <w:sz w:val="16"/>
          <w:szCs w:val="16"/>
        </w:rPr>
        <w:noBreakHyphen/>
        <w:t>Б». Головная лодка этой серии «Треска» была заложена на Балтийском заводе 6 ноября 1933 г., спущена на воду 1 августа 1934 г. Строительство велось также на заводе «Красное Сормово». Последняя лодка, предназначенная для тихоокеанского флота, вступила в строй в ноябре 1935 г., а последняя черноморская — в декабре 1936 г. В ходе эксплуатации подводные лодки типа «Щука» всех серий (43 лодки) показали себя достаточно надежными кораблями (15280).</w:t>
      </w:r>
    </w:p>
    <w:p w14:paraId="0E99D19A" w14:textId="77777777" w:rsidR="00270FBF" w:rsidRPr="00E14102" w:rsidRDefault="00270FBF" w:rsidP="00E14102">
      <w:pPr>
        <w:pStyle w:val="rtejustify"/>
        <w:spacing w:before="0" w:after="0"/>
        <w:rPr>
          <w:color w:val="000000" w:themeColor="text1"/>
          <w:sz w:val="16"/>
          <w:szCs w:val="16"/>
        </w:rPr>
      </w:pPr>
    </w:p>
    <w:p w14:paraId="3E0AC60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3E5BE684" w14:textId="77777777" w:rsidR="00D4105E" w:rsidRPr="00E14102" w:rsidRDefault="00D4105E" w:rsidP="00E14102">
      <w:pPr>
        <w:autoSpaceDE w:val="0"/>
        <w:autoSpaceDN w:val="0"/>
        <w:adjustRightInd w:val="0"/>
        <w:jc w:val="both"/>
        <w:rPr>
          <w:iCs/>
          <w:color w:val="000000" w:themeColor="text1"/>
          <w:sz w:val="16"/>
          <w:szCs w:val="16"/>
        </w:rPr>
      </w:pPr>
    </w:p>
    <w:p w14:paraId="162CD099" w14:textId="77777777" w:rsidR="005A12B1" w:rsidRPr="00E14102" w:rsidRDefault="005A12B1" w:rsidP="00E14102">
      <w:pPr>
        <w:jc w:val="both"/>
        <w:rPr>
          <w:color w:val="0070C0"/>
          <w:sz w:val="16"/>
          <w:szCs w:val="16"/>
        </w:rPr>
      </w:pPr>
      <w:r w:rsidRPr="00E14102">
        <w:rPr>
          <w:color w:val="0070C0"/>
          <w:sz w:val="16"/>
          <w:szCs w:val="16"/>
        </w:rPr>
        <w:t>С декабря 1935 по январь месяц 1936 года в Военно-воздушных силах РККА было сформировано крупное авиационное соединение, предназначенное «для решения оперативных и стратегических задач, поставленных Главным Командованием, в ходе самостоятельных воздушных операций». На основании приказа Народного комиссариата обороны СССР № 001 от 8 января 1936 года новое оперативно-стратегическое объединение РККА получило наименование: «АОН (армия особого назначения) – авиационная армия Резерва Главного Командования».</w:t>
      </w:r>
    </w:p>
    <w:p w14:paraId="504B473D" w14:textId="77777777" w:rsidR="005A12B1" w:rsidRPr="00E14102" w:rsidRDefault="005A12B1" w:rsidP="00E14102">
      <w:pPr>
        <w:jc w:val="both"/>
        <w:rPr>
          <w:color w:val="0070C0"/>
          <w:sz w:val="16"/>
          <w:szCs w:val="16"/>
        </w:rPr>
      </w:pPr>
      <w:r w:rsidRPr="00E14102">
        <w:rPr>
          <w:color w:val="0070C0"/>
          <w:sz w:val="16"/>
          <w:szCs w:val="16"/>
        </w:rPr>
        <w:t>Командующим 1-й Армией Особого Назначения был назначен комкор Василий Владимирович Хрипин. «Командующий АОН пользовался правами командующего войсками округа и подчинялся непосредственно Наркому обороны».</w:t>
      </w:r>
    </w:p>
    <w:p w14:paraId="72F8C357" w14:textId="77777777" w:rsidR="005A12B1" w:rsidRPr="00E14102" w:rsidRDefault="005A12B1" w:rsidP="00E14102">
      <w:pPr>
        <w:jc w:val="both"/>
        <w:rPr>
          <w:color w:val="0070C0"/>
          <w:sz w:val="16"/>
          <w:szCs w:val="16"/>
        </w:rPr>
      </w:pPr>
      <w:r w:rsidRPr="00E14102">
        <w:rPr>
          <w:color w:val="0070C0"/>
          <w:sz w:val="16"/>
          <w:szCs w:val="16"/>
        </w:rPr>
        <w:t>До мая месяца 1938 года в состав 1-ой Армии Особого Назначения входили три авиакорпуса, первый из которых базировался на аэродроме Монино, а два других были дислоцированы в Калинине (ныне – Тверь) и Воронеже. Основой 1-го авиакорпуса армии Резерва Главного Командования АОН-1 стала 23-я тяжёлобомбардировочная авиационная бригада (21535).</w:t>
      </w:r>
    </w:p>
    <w:p w14:paraId="4C6AD066" w14:textId="77777777" w:rsidR="005A12B1" w:rsidRPr="00E14102" w:rsidRDefault="005A12B1" w:rsidP="00E14102">
      <w:pPr>
        <w:jc w:val="both"/>
        <w:rPr>
          <w:color w:val="0070C0"/>
          <w:sz w:val="16"/>
          <w:szCs w:val="16"/>
        </w:rPr>
      </w:pPr>
    </w:p>
    <w:p w14:paraId="66A725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декабре 1935 сформировали 4-ю истребительную эскадрилью, а затем и 3-ю, вооруженные И-4 (АНТ-5) и лишь в середине 1936 их заменили на И-16 </w:t>
      </w:r>
    </w:p>
    <w:p w14:paraId="3568C15C" w14:textId="77777777" w:rsidR="00D4105E" w:rsidRPr="00E14102" w:rsidRDefault="00D4105E" w:rsidP="00E14102">
      <w:pPr>
        <w:autoSpaceDE w:val="0"/>
        <w:autoSpaceDN w:val="0"/>
        <w:adjustRightInd w:val="0"/>
        <w:jc w:val="both"/>
        <w:rPr>
          <w:color w:val="000000" w:themeColor="text1"/>
          <w:sz w:val="16"/>
          <w:szCs w:val="16"/>
        </w:rPr>
      </w:pPr>
    </w:p>
    <w:p w14:paraId="0ECEC2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года танковые полки были развернуты в отдельные тяжелые танковые бригады. Тяжелая танковая бригада на танках Т-28 состояла из трех линейных батальонов, учебного батальона, батальона боевого обеспечения и других подразделений (3862).</w:t>
      </w:r>
    </w:p>
    <w:p w14:paraId="2D0BB801" w14:textId="77777777" w:rsidR="00D4105E" w:rsidRPr="00E14102" w:rsidRDefault="00D4105E" w:rsidP="00E14102">
      <w:pPr>
        <w:autoSpaceDE w:val="0"/>
        <w:autoSpaceDN w:val="0"/>
        <w:adjustRightInd w:val="0"/>
        <w:jc w:val="both"/>
        <w:rPr>
          <w:color w:val="000000" w:themeColor="text1"/>
          <w:sz w:val="16"/>
          <w:szCs w:val="16"/>
        </w:rPr>
      </w:pPr>
    </w:p>
    <w:p w14:paraId="359ECB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Нач. военной разведки Урицкий представил доклад “Коалиция против СССР”, в основу которого был положен документ, составленный в июле 1935 для французского Генштаба офицером русской белой армии. Французы направили его чехам, а чехи - ознакомили с ним СССР (9089,212).</w:t>
      </w:r>
    </w:p>
    <w:p w14:paraId="27E20B32" w14:textId="77777777" w:rsidR="00D4105E" w:rsidRPr="00E14102" w:rsidRDefault="00D4105E" w:rsidP="00E14102">
      <w:pPr>
        <w:autoSpaceDE w:val="0"/>
        <w:autoSpaceDN w:val="0"/>
        <w:adjustRightInd w:val="0"/>
        <w:jc w:val="both"/>
        <w:rPr>
          <w:color w:val="000000" w:themeColor="text1"/>
          <w:sz w:val="16"/>
          <w:szCs w:val="16"/>
        </w:rPr>
      </w:pPr>
    </w:p>
    <w:p w14:paraId="25D44ED6"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5CE14121" w14:textId="77777777" w:rsidR="00D4105E" w:rsidRPr="00E14102" w:rsidRDefault="00D4105E" w:rsidP="00E14102">
      <w:pPr>
        <w:autoSpaceDE w:val="0"/>
        <w:autoSpaceDN w:val="0"/>
        <w:adjustRightInd w:val="0"/>
        <w:jc w:val="both"/>
        <w:rPr>
          <w:iCs/>
          <w:color w:val="000000" w:themeColor="text1"/>
          <w:sz w:val="16"/>
          <w:szCs w:val="16"/>
        </w:rPr>
      </w:pPr>
    </w:p>
    <w:p w14:paraId="488C83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был пленум ЦК. Обсудили состояние работы промышленности и транспорта в связи с развитием стахановского движения. Осудили перегибы с посадками (226,438).</w:t>
      </w:r>
    </w:p>
    <w:p w14:paraId="51A09084" w14:textId="77777777" w:rsidR="00D4105E" w:rsidRPr="00E14102" w:rsidRDefault="00D4105E" w:rsidP="00E14102">
      <w:pPr>
        <w:autoSpaceDE w:val="0"/>
        <w:autoSpaceDN w:val="0"/>
        <w:adjustRightInd w:val="0"/>
        <w:jc w:val="both"/>
        <w:rPr>
          <w:color w:val="000000" w:themeColor="text1"/>
          <w:sz w:val="16"/>
          <w:szCs w:val="16"/>
        </w:rPr>
      </w:pPr>
    </w:p>
    <w:p w14:paraId="17D50A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1935-го пленум ЦК ВКП(б) принял решение о пересмотре с 01.01.1936 норм выработки по всем отраслям промышленности с учётом рекордов «стахановцев» (не забываем: пятилетку нужно было выполнять, и непременно досрочно, за 4 года и 3 месяца — был такой у «Сталина» фетиш). Так, в чёрной металлургии нормы возросли на 13-20%, в угольной промышленности — на 22-27,5%, в нефтяной — на 27-29%, в химической промышленности по различным видам производства — от 24 до 42,2%, в машиностроении от 28,5 до 55%. Они устанавливались с учётом достижений стахановцев и были ниже их повседневной выработки, но значительно превышали среднюю производительность общей массы рабочих. Так сбылись мрачные предчувствия ветеранов производства, говоривших об ударниках конца 20-х: «Молодёжь нагонит большие нормы, а потом разбегутся кто куда… а нам, старикам, придётся отдуваться — отрабатывать большие нормы за сниженные расценки». Кстати, расценки действительно были несколько снижены решением того пленума (11562).</w:t>
      </w:r>
    </w:p>
    <w:p w14:paraId="62F8C020" w14:textId="77777777" w:rsidR="00D4105E" w:rsidRPr="00E14102" w:rsidRDefault="00D4105E" w:rsidP="00E14102">
      <w:pPr>
        <w:autoSpaceDE w:val="0"/>
        <w:autoSpaceDN w:val="0"/>
        <w:adjustRightInd w:val="0"/>
        <w:jc w:val="both"/>
        <w:rPr>
          <w:color w:val="000000" w:themeColor="text1"/>
          <w:sz w:val="16"/>
          <w:szCs w:val="16"/>
        </w:rPr>
      </w:pPr>
    </w:p>
    <w:p w14:paraId="7BEF8681"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2F07FEDF" w14:textId="77777777" w:rsidR="00D4105E" w:rsidRPr="00E14102" w:rsidRDefault="00D4105E" w:rsidP="00E14102">
      <w:pPr>
        <w:autoSpaceDE w:val="0"/>
        <w:autoSpaceDN w:val="0"/>
        <w:adjustRightInd w:val="0"/>
        <w:jc w:val="both"/>
        <w:rPr>
          <w:iCs/>
          <w:color w:val="000000" w:themeColor="text1"/>
          <w:sz w:val="16"/>
          <w:szCs w:val="16"/>
        </w:rPr>
      </w:pPr>
    </w:p>
    <w:p w14:paraId="60C97C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на выставке британской ГА демонстрировали модель Шорт Майо и объявили об испытаниях весной (2921,34).</w:t>
      </w:r>
    </w:p>
    <w:p w14:paraId="2CAD3837" w14:textId="77777777" w:rsidR="00D4105E" w:rsidRPr="00E14102" w:rsidRDefault="00D4105E" w:rsidP="00E14102">
      <w:pPr>
        <w:autoSpaceDE w:val="0"/>
        <w:autoSpaceDN w:val="0"/>
        <w:adjustRightInd w:val="0"/>
        <w:jc w:val="both"/>
        <w:rPr>
          <w:color w:val="000000" w:themeColor="text1"/>
          <w:sz w:val="16"/>
          <w:szCs w:val="16"/>
        </w:rPr>
      </w:pPr>
    </w:p>
    <w:p w14:paraId="225BF5A5" w14:textId="77777777" w:rsidR="00D0059C" w:rsidRPr="00E14102" w:rsidRDefault="00D0059C"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появился спальный DST Дугласа, вариантом которого стал ДС-3 (4141,16).</w:t>
      </w:r>
    </w:p>
    <w:p w14:paraId="3CEB6DF8" w14:textId="77777777" w:rsidR="00D0059C" w:rsidRPr="00E14102" w:rsidRDefault="00D0059C" w:rsidP="00E14102">
      <w:pPr>
        <w:autoSpaceDE w:val="0"/>
        <w:autoSpaceDN w:val="0"/>
        <w:adjustRightInd w:val="0"/>
        <w:jc w:val="both"/>
        <w:rPr>
          <w:color w:val="000000" w:themeColor="text1"/>
          <w:sz w:val="16"/>
          <w:szCs w:val="16"/>
        </w:rPr>
      </w:pPr>
    </w:p>
    <w:p w14:paraId="09ADF783" w14:textId="77777777" w:rsidR="00D0059C" w:rsidRPr="00E14102" w:rsidRDefault="00D0059C" w:rsidP="00E14102">
      <w:pPr>
        <w:jc w:val="both"/>
        <w:rPr>
          <w:color w:val="0070C0"/>
          <w:sz w:val="16"/>
          <w:szCs w:val="16"/>
        </w:rPr>
      </w:pPr>
      <w:r w:rsidRPr="00E14102">
        <w:rPr>
          <w:color w:val="0070C0"/>
          <w:sz w:val="16"/>
          <w:szCs w:val="16"/>
        </w:rPr>
        <w:lastRenderedPageBreak/>
        <w:t>В декабрь 1935 в ознаменование 300 - летия французского господства в Северной и Южной Америке на летающей лодке Latecoere 521 лейтенант де Vaisseau делает демонстрационный полет из Франции в Дакар, Сенегал, затем через южную часть Атлантического океана в Натале, Бразилия, затем во французскую Вест - Индия. Затем он летит в Пенсаколу, Флорида , где получает повреждения во время шторма. Позже он ремонтируется и возвращается в строй (20800).</w:t>
      </w:r>
    </w:p>
    <w:p w14:paraId="71FD06B2" w14:textId="77777777" w:rsidR="00D0059C" w:rsidRPr="00E14102" w:rsidRDefault="00D0059C" w:rsidP="00E14102">
      <w:pPr>
        <w:jc w:val="both"/>
        <w:rPr>
          <w:color w:val="0070C0"/>
          <w:sz w:val="16"/>
          <w:szCs w:val="16"/>
        </w:rPr>
      </w:pPr>
    </w:p>
    <w:p w14:paraId="12F6DE04" w14:textId="77777777" w:rsidR="00D0059C" w:rsidRPr="00E14102" w:rsidRDefault="00D0059C" w:rsidP="00E14102">
      <w:pPr>
        <w:jc w:val="both"/>
        <w:rPr>
          <w:color w:val="0070C0"/>
          <w:sz w:val="16"/>
          <w:szCs w:val="16"/>
        </w:rPr>
      </w:pPr>
      <w:r w:rsidRPr="00E14102">
        <w:rPr>
          <w:color w:val="0070C0"/>
          <w:sz w:val="16"/>
          <w:szCs w:val="16"/>
        </w:rPr>
        <w:t>В декабрь 1935 Grumman JF-2 Duck Корпуса морской пехоты США устанавливает неофициальный мировой рекорд скорости для самолетов - амфибий с одним двигателем, достигая 191 миль в час (308 км / ч) (20800).</w:t>
      </w:r>
    </w:p>
    <w:p w14:paraId="23B002F7" w14:textId="77777777" w:rsidR="00D0059C" w:rsidRPr="00E14102" w:rsidRDefault="00D0059C" w:rsidP="00E14102">
      <w:pPr>
        <w:jc w:val="both"/>
        <w:rPr>
          <w:color w:val="0070C0"/>
          <w:sz w:val="16"/>
          <w:szCs w:val="16"/>
        </w:rPr>
      </w:pPr>
    </w:p>
    <w:p w14:paraId="549E4C79" w14:textId="77777777" w:rsidR="00D0059C" w:rsidRPr="00E14102" w:rsidRDefault="00D0059C" w:rsidP="00E14102">
      <w:pPr>
        <w:pStyle w:val="article-renderblock"/>
        <w:shd w:val="clear" w:color="auto" w:fill="FFFFFF"/>
        <w:spacing w:before="0" w:beforeAutospacing="0" w:after="0" w:afterAutospacing="0"/>
        <w:jc w:val="both"/>
        <w:rPr>
          <w:color w:val="0070C0"/>
          <w:sz w:val="16"/>
          <w:szCs w:val="16"/>
        </w:rPr>
      </w:pPr>
      <w:bookmarkStart w:id="80" w:name="_Hlk91488691"/>
      <w:r w:rsidRPr="00E14102">
        <w:rPr>
          <w:color w:val="0070C0"/>
          <w:sz w:val="16"/>
          <w:szCs w:val="16"/>
        </w:rPr>
        <w:t>С декабря 1935 г. на юго-восточном побережье были установлены пять импульсных станций дальнего обнаружения самолетов CH (Chain Home), чтобы защитить устье Темзы и Лондон и они начали работать на регулярной основе. В августе 1937 г. количество этих станций увеличилось до двадцати, и с этого времени на восточном побережье Англии стала работать сеть станций защиты от воздушного нападения. Эти станции, обнаруживавшие самолеты на расстоянии до 320 км, имели следующие технические характеристики: диапазон волн 10–13 м, длительность импульса 10–15 мкс, частота повторения импульсов 25 Гц. Мощность в импульсе вначале была 200 кВт, в дальнейшем ее повысили до 800 кВт. Так как передатчик станции работал только 250 мкс в секунду, то средняя мощность его не превышала 250 Вт.</w:t>
      </w:r>
    </w:p>
    <w:p w14:paraId="57E8AF2C" w14:textId="77777777" w:rsidR="00D0059C" w:rsidRPr="00E14102" w:rsidRDefault="00D0059C" w:rsidP="00E14102">
      <w:pPr>
        <w:pStyle w:val="article-renderblock"/>
        <w:shd w:val="clear" w:color="auto" w:fill="FFFFFF"/>
        <w:spacing w:before="0" w:beforeAutospacing="0" w:after="0" w:afterAutospacing="0"/>
        <w:jc w:val="both"/>
        <w:rPr>
          <w:color w:val="0070C0"/>
          <w:sz w:val="16"/>
          <w:szCs w:val="16"/>
        </w:rPr>
      </w:pPr>
      <w:r w:rsidRPr="00E14102">
        <w:rPr>
          <w:color w:val="0070C0"/>
          <w:sz w:val="16"/>
          <w:szCs w:val="16"/>
        </w:rPr>
        <w:t>Передающая антенная система CH представляла собой группу горизонтальных вибраторов и рефлекторов, подвешенных на четырех (позже трех) металлических мачтах высотой 350 футов (107 метров), расположенных в одну линию. Эта антенная система устанавливалась неподвижно и имела широко направленное излучение. Таким образом, станция обнаруживала любой само лет, попавший в облучаемую ею зону. Использование рефлекторов в многовибраторной антенне позволило иметь в ней одностороннюю диаграмму направленности и увеличенный коэффициент усиления антенны.</w:t>
      </w:r>
    </w:p>
    <w:p w14:paraId="1495166F" w14:textId="77777777" w:rsidR="00D0059C" w:rsidRPr="00E14102" w:rsidRDefault="00D0059C" w:rsidP="00E14102">
      <w:pPr>
        <w:pStyle w:val="article-renderblock"/>
        <w:shd w:val="clear" w:color="auto" w:fill="FFFFFF"/>
        <w:spacing w:before="0" w:beforeAutospacing="0" w:after="0" w:afterAutospacing="0"/>
        <w:jc w:val="both"/>
        <w:rPr>
          <w:color w:val="0070C0"/>
          <w:sz w:val="16"/>
          <w:szCs w:val="16"/>
        </w:rPr>
      </w:pPr>
      <w:r w:rsidRPr="00E14102">
        <w:rPr>
          <w:color w:val="0070C0"/>
          <w:sz w:val="16"/>
          <w:szCs w:val="16"/>
        </w:rPr>
        <w:t>Приемная антенная система состояла из двух скрещенных вибраторов для определения азимута (пеленга) цели и двух вибраторов на разных высотах для определения углов места. Приемные антенны подвешивались на четырех деревянных мачтах высотой 240 футов (73 метра) (22737).</w:t>
      </w:r>
    </w:p>
    <w:bookmarkEnd w:id="80"/>
    <w:p w14:paraId="368A65EF" w14:textId="77777777" w:rsidR="00D0059C" w:rsidRPr="00E14102" w:rsidRDefault="00D0059C" w:rsidP="00E14102">
      <w:pPr>
        <w:pStyle w:val="article-renderblock"/>
        <w:shd w:val="clear" w:color="auto" w:fill="FFFFFF"/>
        <w:spacing w:before="0" w:beforeAutospacing="0" w:after="0" w:afterAutospacing="0"/>
        <w:jc w:val="both"/>
        <w:rPr>
          <w:color w:val="0070C0"/>
          <w:sz w:val="16"/>
          <w:szCs w:val="16"/>
        </w:rPr>
      </w:pPr>
    </w:p>
    <w:p w14:paraId="60D77C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1935 г. по инициативе Парижа главы внешнеполитических ведомств Франции и Британии, П.Лаваль и С.Хор, подписали между собой секретное соглашение о посредничестве в эфиопском конфликте (соглашение Хор - Лаваль). Стороны условились содействовать примирению Эфиопии с Италией на основе весьма серьезных уступок итальянским притязаниям. Предполагалось, что война будет прекращена, если Эфиопия передаст Италии богатую северную провинцию Тигре. Другая перспективная юго-восточная провинция Огаден должна была превратиться в сферу экономического преобладания Италии. Территория, остававшаяся под суверенитетом императора Хайле Селассие I, должна была сократиться на одну треть и включать в себя самые бедные и отсталые районы страны.</w:t>
      </w:r>
    </w:p>
    <w:p w14:paraId="45CA5F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Такое соглашение могло удовлетворить Рим. Однако Эфиопия отклонила франко-британское посредничество. Более того, после публикации секретного проекта в печати в Париже и Лондоне разразился скандал. Общественное мнение осудило предлагаемую Парижем и Лондоном сделку как аморальную и циничную. Хор был вынужден выйти в отставку (его сменил Иден). Месяц спустя (в силу иных причин) оставил свой пост и Лаваль (3871).</w:t>
      </w:r>
    </w:p>
    <w:p w14:paraId="7FB19942" w14:textId="77777777" w:rsidR="00D4105E" w:rsidRPr="00E14102" w:rsidRDefault="00D4105E" w:rsidP="00E14102">
      <w:pPr>
        <w:autoSpaceDE w:val="0"/>
        <w:autoSpaceDN w:val="0"/>
        <w:adjustRightInd w:val="0"/>
        <w:jc w:val="both"/>
        <w:rPr>
          <w:color w:val="000000" w:themeColor="text1"/>
          <w:sz w:val="16"/>
          <w:szCs w:val="16"/>
        </w:rPr>
      </w:pPr>
    </w:p>
    <w:p w14:paraId="5B51725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5E9D1726" w14:textId="77777777" w:rsidR="00D4105E" w:rsidRPr="00E14102" w:rsidRDefault="00D4105E" w:rsidP="00E14102">
      <w:pPr>
        <w:autoSpaceDE w:val="0"/>
        <w:autoSpaceDN w:val="0"/>
        <w:adjustRightInd w:val="0"/>
        <w:jc w:val="both"/>
        <w:rPr>
          <w:iCs/>
          <w:color w:val="000000" w:themeColor="text1"/>
          <w:sz w:val="16"/>
          <w:szCs w:val="16"/>
        </w:rPr>
      </w:pPr>
    </w:p>
    <w:p w14:paraId="4B8E03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декабря 1935 г. по апрель 1936 г. в производ</w:t>
      </w:r>
      <w:r w:rsidRPr="00E14102">
        <w:rPr>
          <w:color w:val="000000" w:themeColor="text1"/>
          <w:sz w:val="16"/>
          <w:szCs w:val="16"/>
        </w:rPr>
        <w:softHyphen/>
        <w:t>ство были запущены следующие машины 2-й бригады: И-17 (ЦКБ-19), И-17бис (ЦКБ-19бис), И-18 (ЦКБ-33), И-186ис (ЦКБ-43), И-19 (ЦКБ-25). В качестве первооче</w:t>
      </w:r>
      <w:r w:rsidRPr="00E14102">
        <w:rPr>
          <w:color w:val="000000" w:themeColor="text1"/>
          <w:sz w:val="16"/>
          <w:szCs w:val="16"/>
        </w:rPr>
        <w:softHyphen/>
        <w:t>редной задачи рассматривался выпуск ЦКБ-19 и ЦКБ-19бис. Но производственные планы систематически проваливались, чему способствовали сложные взаимо</w:t>
      </w:r>
      <w:r w:rsidRPr="00E14102">
        <w:rPr>
          <w:color w:val="000000" w:themeColor="text1"/>
          <w:sz w:val="16"/>
          <w:szCs w:val="16"/>
        </w:rPr>
        <w:softHyphen/>
        <w:t>отношения бригады № 2 с дирекцией завода № 39. В на</w:t>
      </w:r>
      <w:r w:rsidRPr="00E14102">
        <w:rPr>
          <w:color w:val="000000" w:themeColor="text1"/>
          <w:sz w:val="16"/>
          <w:szCs w:val="16"/>
        </w:rPr>
        <w:softHyphen/>
        <w:t>чале 1936 г. в производстве уже находился И-21 (ЦКБ-32) С.В.Ильюшина, а к постройке И-18, И-18бис, И-19 даже не приступали (10667).</w:t>
      </w:r>
    </w:p>
    <w:p w14:paraId="223A070D" w14:textId="77777777" w:rsidR="00D4105E" w:rsidRPr="00E14102" w:rsidRDefault="00D4105E" w:rsidP="00E14102">
      <w:pPr>
        <w:autoSpaceDE w:val="0"/>
        <w:autoSpaceDN w:val="0"/>
        <w:adjustRightInd w:val="0"/>
        <w:jc w:val="both"/>
        <w:rPr>
          <w:color w:val="000000" w:themeColor="text1"/>
          <w:sz w:val="16"/>
          <w:szCs w:val="16"/>
        </w:rPr>
      </w:pPr>
    </w:p>
    <w:p w14:paraId="272D30A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BB1241C" w14:textId="77777777" w:rsidR="00D4105E" w:rsidRPr="00E14102" w:rsidRDefault="00D4105E" w:rsidP="00E14102">
      <w:pPr>
        <w:autoSpaceDE w:val="0"/>
        <w:autoSpaceDN w:val="0"/>
        <w:adjustRightInd w:val="0"/>
        <w:jc w:val="both"/>
        <w:rPr>
          <w:iCs/>
          <w:color w:val="000000" w:themeColor="text1"/>
          <w:sz w:val="16"/>
          <w:szCs w:val="16"/>
        </w:rPr>
      </w:pPr>
    </w:p>
    <w:p w14:paraId="25C2EF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конца 1935 по начало 1936 испытывался ТБ-3 (АНТ-6) с четырехлопастными винтами, который был сделан на основе серийного 22 завода N 22452. Решили ставить на серийные (346,28).</w:t>
      </w:r>
    </w:p>
    <w:p w14:paraId="4271D82D" w14:textId="77777777" w:rsidR="00D4105E" w:rsidRPr="00E14102" w:rsidRDefault="00D4105E" w:rsidP="00E14102">
      <w:pPr>
        <w:autoSpaceDE w:val="0"/>
        <w:autoSpaceDN w:val="0"/>
        <w:adjustRightInd w:val="0"/>
        <w:jc w:val="both"/>
        <w:rPr>
          <w:color w:val="000000" w:themeColor="text1"/>
          <w:sz w:val="16"/>
          <w:szCs w:val="16"/>
        </w:rPr>
      </w:pPr>
    </w:p>
    <w:p w14:paraId="247F1A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концу 1935 было предложено объединить звенья ТБ-3 (АНТ-6) + 2хИ-15, ТБ-3 (АНТ-6) + 2хИ-16 и ТЮ-3 + И-Z подвеска в воздухе, которые прошли испытания к середине 1935, в Авиаматку ПВО и она была поднята в воздух П.М.Стефановским в конце 1935 вместе с С.П.Супруном, А.И.Никашиным, Алтыновым, Будаковым и В.А.Степанченком - подцеплялся на Z (375,41).</w:t>
      </w:r>
    </w:p>
    <w:p w14:paraId="3B3220E0" w14:textId="77777777" w:rsidR="00D4105E" w:rsidRPr="00E14102" w:rsidRDefault="00D4105E" w:rsidP="00E14102">
      <w:pPr>
        <w:autoSpaceDE w:val="0"/>
        <w:autoSpaceDN w:val="0"/>
        <w:adjustRightInd w:val="0"/>
        <w:jc w:val="both"/>
        <w:rPr>
          <w:color w:val="000000" w:themeColor="text1"/>
          <w:sz w:val="16"/>
          <w:szCs w:val="16"/>
        </w:rPr>
      </w:pPr>
    </w:p>
    <w:p w14:paraId="0D2405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второй половине 1935-го УВВС поменяло приоритеты в назначении АНТ-41 - теперь основным вариантом стал торпедоносец, получивший новое обозначение-Т-1.</w:t>
      </w:r>
    </w:p>
    <w:p w14:paraId="39E639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Изменение основного назначения потребовало дополнительных изменений в проекте. Кардинального характера они не носили, но задержка на испытания составила все же несколько месяцев. Правда, эта задержка обуславливалась не только изменением требований к самолету.</w:t>
      </w:r>
    </w:p>
    <w:p w14:paraId="502A74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то же самое время были также уточнены характеристики разрабатываемых двигателей М-34ФРН, и появилась необходимость вновь сделать аэродинамический расчет.</w:t>
      </w:r>
    </w:p>
    <w:p w14:paraId="07D40B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сокращения сроков выпуска Т-1 решили часть необходимых изменений внести в конструкцию уже в ходе серийного выпуска, который предполагалось начать в 1936-м. Новое проектирование самолета, в виду новизны его назначения, снова несколько затянулось, затянулась, естественно, и его постройка (9534,17).</w:t>
      </w:r>
    </w:p>
    <w:p w14:paraId="6CC072B6" w14:textId="77777777" w:rsidR="00D4105E" w:rsidRPr="00E14102" w:rsidRDefault="00D4105E" w:rsidP="00E14102">
      <w:pPr>
        <w:autoSpaceDE w:val="0"/>
        <w:autoSpaceDN w:val="0"/>
        <w:adjustRightInd w:val="0"/>
        <w:jc w:val="both"/>
        <w:rPr>
          <w:color w:val="000000" w:themeColor="text1"/>
          <w:sz w:val="16"/>
          <w:szCs w:val="16"/>
        </w:rPr>
      </w:pPr>
    </w:p>
    <w:p w14:paraId="2DFD8F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функция торпедоносца вышла на первый план, машину АНТ-41 переименовали ил ЛК-4 в Т-1, а о "крейсере" постепенно забыли (12036).</w:t>
      </w:r>
    </w:p>
    <w:p w14:paraId="7377042E" w14:textId="77777777" w:rsidR="00D4105E" w:rsidRPr="00E14102" w:rsidRDefault="00D4105E" w:rsidP="00E14102">
      <w:pPr>
        <w:autoSpaceDE w:val="0"/>
        <w:autoSpaceDN w:val="0"/>
        <w:adjustRightInd w:val="0"/>
        <w:jc w:val="both"/>
        <w:rPr>
          <w:color w:val="000000" w:themeColor="text1"/>
          <w:sz w:val="16"/>
          <w:szCs w:val="16"/>
        </w:rPr>
      </w:pPr>
    </w:p>
    <w:p w14:paraId="37E83B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продолжились испытания ДИП (АНТ-29). Гос. испытаний, намеченных на первую половину 1936 не было (4,11).</w:t>
      </w:r>
    </w:p>
    <w:p w14:paraId="632CEE47" w14:textId="77777777" w:rsidR="00D4105E" w:rsidRPr="00E14102" w:rsidRDefault="00D4105E" w:rsidP="00E14102">
      <w:pPr>
        <w:autoSpaceDE w:val="0"/>
        <w:autoSpaceDN w:val="0"/>
        <w:adjustRightInd w:val="0"/>
        <w:jc w:val="both"/>
        <w:rPr>
          <w:color w:val="000000" w:themeColor="text1"/>
          <w:sz w:val="16"/>
          <w:szCs w:val="16"/>
        </w:rPr>
      </w:pPr>
    </w:p>
    <w:p w14:paraId="4DBE143A" w14:textId="77777777" w:rsidR="004428EE" w:rsidRPr="00E14102" w:rsidRDefault="004428EE" w:rsidP="00E14102">
      <w:pPr>
        <w:jc w:val="both"/>
        <w:rPr>
          <w:color w:val="000000" w:themeColor="text1"/>
          <w:sz w:val="16"/>
          <w:szCs w:val="16"/>
        </w:rPr>
      </w:pPr>
      <w:r w:rsidRPr="00E14102">
        <w:rPr>
          <w:color w:val="000000" w:themeColor="text1"/>
          <w:sz w:val="16"/>
          <w:szCs w:val="16"/>
        </w:rPr>
        <w:t>К концу 1935 г. имелось четыре Р-6 и КР-6, год спустя - пять (по другим данным - семь). В 1936 г. три самолёта на поплавках работали на регулярной линии вдоль Енисея и считались там самыми эффективными. В воздушной экспедиции, доставившей на Северный полюс папанинцев, участвовал в качестве разведчика самолёт П.Г. Головина (Н-166). Оборудованная дополнительным бензобаком машина несла экипаж из пяти человек (пилота, штурмана, радиста и двух механиков). 5 июля 1937 г. Н-166, предваряя прибытие самолётов АНТ-6А, пролетел над Северным полюсом.</w:t>
      </w:r>
    </w:p>
    <w:p w14:paraId="101AC745" w14:textId="77777777" w:rsidR="004428EE" w:rsidRPr="00E14102" w:rsidRDefault="004428EE" w:rsidP="00E14102">
      <w:pPr>
        <w:jc w:val="both"/>
        <w:rPr>
          <w:color w:val="000000" w:themeColor="text1"/>
          <w:sz w:val="16"/>
          <w:szCs w:val="16"/>
        </w:rPr>
      </w:pPr>
      <w:r w:rsidRPr="00E14102">
        <w:rPr>
          <w:color w:val="000000" w:themeColor="text1"/>
          <w:sz w:val="16"/>
          <w:szCs w:val="16"/>
        </w:rPr>
        <w:t>В 1937 г. на ПС-7 полярники совершили перелёт из Москвы в бухту Нагаева протяженностью 9220 км. В марте - апреле 1938 г. четыре ПС-7 из Ленской авиагруппы привлекли к операции по вывозу людей с затёртого льдами в море Лаптевых каравана. Первый вылет состоялся 23 марта. Машины в этот день взяли на борт 23 человека, в первую очередь - женщин. Всего лётчики Г.А. Асямов, Л.Н. Дмитриев, Г.С. Шпаков и присоединившийся к ним позже Седых за шесть рейсов вывезли в Тикси более 80 человек (12264).</w:t>
      </w:r>
    </w:p>
    <w:p w14:paraId="6E5B5F81" w14:textId="77777777" w:rsidR="004428EE" w:rsidRPr="00E14102" w:rsidRDefault="004428EE" w:rsidP="00E14102">
      <w:pPr>
        <w:jc w:val="both"/>
        <w:rPr>
          <w:color w:val="000000" w:themeColor="text1"/>
          <w:sz w:val="16"/>
          <w:szCs w:val="16"/>
        </w:rPr>
      </w:pPr>
    </w:p>
    <w:p w14:paraId="426BD5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конца 1935 года завод № 1 сдал 11 серийных машин Р-Z, а в 1936 г. P-Z стал самым массово выпускаемым боевым самолетом в СССР. Всего за 1936 г. произвели 885 таких разведчиков.</w:t>
      </w:r>
    </w:p>
    <w:p w14:paraId="3DFC59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Поставляемые промышленностью P-Z шли для замены износившихся разведчиков Р-5 и для формирования новых подразделений. С началом боевых действий в Испании некоторое количество ЗЕТов было отправлено туда (5016).</w:t>
      </w:r>
    </w:p>
    <w:p w14:paraId="15040A28" w14:textId="77777777" w:rsidR="00D4105E" w:rsidRPr="00E14102" w:rsidRDefault="00D4105E" w:rsidP="00E14102">
      <w:pPr>
        <w:autoSpaceDE w:val="0"/>
        <w:autoSpaceDN w:val="0"/>
        <w:adjustRightInd w:val="0"/>
        <w:jc w:val="both"/>
        <w:rPr>
          <w:color w:val="000000" w:themeColor="text1"/>
          <w:sz w:val="16"/>
          <w:szCs w:val="16"/>
        </w:rPr>
      </w:pPr>
    </w:p>
    <w:p w14:paraId="570660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по инициативе А.Н.Т. после его поездки в США и ознакомления с многоцелевыми машинами Валти и Нортроп началось проектирование аналогичных машин в СССР. А.Н.Т. предложил М.М.К. поручить работу С.А.Кочеригину, П.О.С., И.Г.Неману и Н.Н.П. (3807,70).</w:t>
      </w:r>
    </w:p>
    <w:p w14:paraId="2AA34D73" w14:textId="77777777" w:rsidR="00D4105E" w:rsidRPr="00E14102" w:rsidRDefault="00D4105E" w:rsidP="00E14102">
      <w:pPr>
        <w:autoSpaceDE w:val="0"/>
        <w:autoSpaceDN w:val="0"/>
        <w:adjustRightInd w:val="0"/>
        <w:jc w:val="both"/>
        <w:rPr>
          <w:color w:val="000000" w:themeColor="text1"/>
          <w:sz w:val="16"/>
          <w:szCs w:val="16"/>
        </w:rPr>
      </w:pPr>
    </w:p>
    <w:p w14:paraId="55DEFEBB" w14:textId="77777777" w:rsidR="00270FBF" w:rsidRPr="00E14102" w:rsidRDefault="00270FBF" w:rsidP="00E14102">
      <w:pPr>
        <w:pStyle w:val="a7"/>
        <w:rPr>
          <w:color w:val="000000" w:themeColor="text1"/>
          <w:sz w:val="16"/>
          <w:szCs w:val="16"/>
          <w:lang w:val="ru-RU"/>
        </w:rPr>
      </w:pPr>
      <w:r w:rsidRPr="00E14102">
        <w:rPr>
          <w:color w:val="000000" w:themeColor="text1"/>
          <w:sz w:val="16"/>
          <w:szCs w:val="16"/>
          <w:lang w:val="ru-RU"/>
        </w:rPr>
        <w:t>До конца 1935 г. были проведены аэро</w:t>
      </w:r>
      <w:r w:rsidRPr="00E14102">
        <w:rPr>
          <w:color w:val="000000" w:themeColor="text1"/>
          <w:sz w:val="16"/>
          <w:szCs w:val="16"/>
          <w:lang w:val="ru-RU"/>
        </w:rPr>
        <w:softHyphen/>
        <w:t>динамический и центровочный расчёты по проекту скоростного разведчика № 51 (АНТ-51) с двигателем М-34ФРН и сданы в производство четыре опытных отсека крыла для испытаний (15975).</w:t>
      </w:r>
    </w:p>
    <w:p w14:paraId="66DF307C" w14:textId="77777777" w:rsidR="00270FBF" w:rsidRPr="00E14102" w:rsidRDefault="00270FBF" w:rsidP="00E14102">
      <w:pPr>
        <w:pStyle w:val="a7"/>
        <w:rPr>
          <w:color w:val="000000" w:themeColor="text1"/>
          <w:sz w:val="16"/>
          <w:szCs w:val="16"/>
          <w:lang w:val="ru-RU"/>
        </w:rPr>
      </w:pPr>
    </w:p>
    <w:p w14:paraId="1B53FC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конца 1935 года в ЦАГИ успели произвести аэродинамический и центровочный расчеты, сдать в производство четыре отсека крыла скоростного разведчика с мотором М-34ФРН мощностью 1025 л.с. (5360).</w:t>
      </w:r>
    </w:p>
    <w:p w14:paraId="7FFB89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Основные характеристики самолета на этапе предварительного проектирования: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E3599D" w:rsidRPr="00E14102" w14:paraId="5D6594E0" w14:textId="77777777">
        <w:tc>
          <w:tcPr>
            <w:tcW w:w="4261" w:type="dxa"/>
            <w:tcBorders>
              <w:top w:val="single" w:sz="12" w:space="0" w:color="auto"/>
            </w:tcBorders>
          </w:tcPr>
          <w:p w14:paraId="6FDE75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крыла, м</w:t>
            </w:r>
          </w:p>
        </w:tc>
        <w:tc>
          <w:tcPr>
            <w:tcW w:w="4261" w:type="dxa"/>
            <w:tcBorders>
              <w:top w:val="single" w:sz="12" w:space="0" w:color="auto"/>
            </w:tcBorders>
          </w:tcPr>
          <w:p w14:paraId="444D1D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13</w:t>
            </w:r>
          </w:p>
        </w:tc>
      </w:tr>
      <w:tr w:rsidR="00E3599D" w:rsidRPr="00E14102" w14:paraId="29E81A9C" w14:textId="77777777">
        <w:tc>
          <w:tcPr>
            <w:tcW w:w="4261" w:type="dxa"/>
          </w:tcPr>
          <w:p w14:paraId="1D0D38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самолета, м</w:t>
            </w:r>
          </w:p>
        </w:tc>
        <w:tc>
          <w:tcPr>
            <w:tcW w:w="4261" w:type="dxa"/>
          </w:tcPr>
          <w:p w14:paraId="1F3AB2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9,39</w:t>
            </w:r>
          </w:p>
        </w:tc>
      </w:tr>
      <w:tr w:rsidR="00E3599D" w:rsidRPr="00E14102" w14:paraId="48C1346A" w14:textId="77777777">
        <w:tc>
          <w:tcPr>
            <w:tcW w:w="4261" w:type="dxa"/>
          </w:tcPr>
          <w:p w14:paraId="4851A8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крыла, м</w:t>
            </w:r>
          </w:p>
        </w:tc>
        <w:tc>
          <w:tcPr>
            <w:tcW w:w="4261" w:type="dxa"/>
          </w:tcPr>
          <w:p w14:paraId="7FBE75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22.816</w:t>
            </w:r>
          </w:p>
        </w:tc>
      </w:tr>
      <w:tr w:rsidR="00E3599D" w:rsidRPr="00E14102" w14:paraId="0933B10B" w14:textId="77777777">
        <w:tc>
          <w:tcPr>
            <w:tcW w:w="4261" w:type="dxa"/>
          </w:tcPr>
          <w:p w14:paraId="3704A7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Полетный вес, кг</w:t>
            </w:r>
          </w:p>
        </w:tc>
        <w:tc>
          <w:tcPr>
            <w:tcW w:w="4261" w:type="dxa"/>
          </w:tcPr>
          <w:p w14:paraId="48A1FB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3210</w:t>
            </w:r>
          </w:p>
        </w:tc>
      </w:tr>
      <w:tr w:rsidR="00E3599D" w:rsidRPr="00E14102" w14:paraId="7F09603A" w14:textId="77777777">
        <w:tc>
          <w:tcPr>
            <w:tcW w:w="4261" w:type="dxa"/>
          </w:tcPr>
          <w:p w14:paraId="1F1B99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Вес пустого, кг</w:t>
            </w:r>
          </w:p>
        </w:tc>
        <w:tc>
          <w:tcPr>
            <w:tcW w:w="4261" w:type="dxa"/>
          </w:tcPr>
          <w:p w14:paraId="00D178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2076</w:t>
            </w:r>
          </w:p>
        </w:tc>
      </w:tr>
      <w:tr w:rsidR="00E3599D" w:rsidRPr="00E14102" w14:paraId="4A7D388A" w14:textId="77777777">
        <w:tc>
          <w:tcPr>
            <w:tcW w:w="4261" w:type="dxa"/>
          </w:tcPr>
          <w:p w14:paraId="25BD90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Скорость максимальная на 4000 м, км/ч</w:t>
            </w:r>
          </w:p>
        </w:tc>
        <w:tc>
          <w:tcPr>
            <w:tcW w:w="4261" w:type="dxa"/>
          </w:tcPr>
          <w:p w14:paraId="744D09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455</w:t>
            </w:r>
          </w:p>
        </w:tc>
      </w:tr>
      <w:tr w:rsidR="00E3599D" w:rsidRPr="00E14102" w14:paraId="051D1281" w14:textId="77777777">
        <w:tc>
          <w:tcPr>
            <w:tcW w:w="4261" w:type="dxa"/>
          </w:tcPr>
          <w:p w14:paraId="40EEDB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Потолок практический, м</w:t>
            </w:r>
          </w:p>
        </w:tc>
        <w:tc>
          <w:tcPr>
            <w:tcW w:w="4261" w:type="dxa"/>
          </w:tcPr>
          <w:p w14:paraId="26722C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9800</w:t>
            </w:r>
          </w:p>
        </w:tc>
      </w:tr>
      <w:tr w:rsidR="00E3599D" w:rsidRPr="00E14102" w14:paraId="04DB87C4" w14:textId="77777777">
        <w:tc>
          <w:tcPr>
            <w:tcW w:w="4261" w:type="dxa"/>
            <w:tcBorders>
              <w:bottom w:val="single" w:sz="12" w:space="0" w:color="auto"/>
            </w:tcBorders>
          </w:tcPr>
          <w:p w14:paraId="475B98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на высоте 6000м при скорости 290 км/ч, км</w:t>
            </w:r>
          </w:p>
        </w:tc>
        <w:tc>
          <w:tcPr>
            <w:tcW w:w="4261" w:type="dxa"/>
            <w:tcBorders>
              <w:bottom w:val="single" w:sz="12" w:space="0" w:color="auto"/>
            </w:tcBorders>
          </w:tcPr>
          <w:p w14:paraId="1FE73B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 (5360).</w:t>
            </w:r>
          </w:p>
        </w:tc>
      </w:tr>
    </w:tbl>
    <w:p w14:paraId="74F42EE9" w14:textId="77777777" w:rsidR="00D4105E" w:rsidRPr="00E14102" w:rsidRDefault="00D4105E" w:rsidP="00E14102">
      <w:pPr>
        <w:autoSpaceDE w:val="0"/>
        <w:autoSpaceDN w:val="0"/>
        <w:adjustRightInd w:val="0"/>
        <w:jc w:val="both"/>
        <w:rPr>
          <w:color w:val="000000" w:themeColor="text1"/>
          <w:sz w:val="16"/>
          <w:szCs w:val="16"/>
        </w:rPr>
      </w:pPr>
    </w:p>
    <w:p w14:paraId="56B890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конце 1935 г. Н.Н.П. начал работу над двухместном истребителе. К лету 1936 г. ему удалось “на</w:t>
      </w:r>
      <w:r w:rsidRPr="00E14102">
        <w:rPr>
          <w:color w:val="000000" w:themeColor="text1"/>
          <w:sz w:val="16"/>
          <w:szCs w:val="16"/>
        </w:rPr>
        <w:softHyphen/>
        <w:t>щупать” компоновки, удовлетворяющие большинству из требований к подобному классу машин. Предполага</w:t>
      </w:r>
      <w:r w:rsidRPr="00E14102">
        <w:rPr>
          <w:color w:val="000000" w:themeColor="text1"/>
          <w:sz w:val="16"/>
          <w:szCs w:val="16"/>
        </w:rPr>
        <w:softHyphen/>
        <w:t>лось, что самолет будет двухмоторным монопланом с гладкой металлической обшивкой и убираемым шасси. Двухместный вариант не обеспечивал требуемой уни</w:t>
      </w:r>
      <w:r w:rsidRPr="00E14102">
        <w:rPr>
          <w:color w:val="000000" w:themeColor="text1"/>
          <w:sz w:val="16"/>
          <w:szCs w:val="16"/>
        </w:rPr>
        <w:softHyphen/>
        <w:t>версальности боевого применения, поэтому машина стала трехместной. Оставался открытым вопрос с двигателями. Большо</w:t>
      </w:r>
      <w:r w:rsidRPr="00E14102">
        <w:rPr>
          <w:color w:val="000000" w:themeColor="text1"/>
          <w:sz w:val="16"/>
          <w:szCs w:val="16"/>
        </w:rPr>
        <w:softHyphen/>
        <w:t>го разнообразия в выборе не было: мощный (1200 л.с.), но тяжелый М-34ФН или более легкий М-100, но разви</w:t>
      </w:r>
      <w:r w:rsidRPr="00E14102">
        <w:rPr>
          <w:color w:val="000000" w:themeColor="text1"/>
          <w:sz w:val="16"/>
          <w:szCs w:val="16"/>
        </w:rPr>
        <w:softHyphen/>
        <w:t>вающий 760 л.с. Первоначально Николай Николаевич склонялся к использованию М-34ФН, но после получения сведений из КБ В.Я.Климова об успехах в разработ</w:t>
      </w:r>
      <w:r w:rsidRPr="00E14102">
        <w:rPr>
          <w:color w:val="000000" w:themeColor="text1"/>
          <w:sz w:val="16"/>
          <w:szCs w:val="16"/>
        </w:rPr>
        <w:softHyphen/>
        <w:t>ке форсированной модификации М-100Ф, получившей в серийном производстве обозначение М-103, принял решение о разработке вариантов с обоими двигателями, чтобы потом, после тщательного сравнения, выбрать для постройки лучший. Существовала еще одна проблема: самолет какого назначения надо строить в первую очередь - штурмо</w:t>
      </w:r>
      <w:r w:rsidRPr="00E14102">
        <w:rPr>
          <w:color w:val="000000" w:themeColor="text1"/>
          <w:sz w:val="16"/>
          <w:szCs w:val="16"/>
        </w:rPr>
        <w:softHyphen/>
        <w:t>вик (воздушный танк - ВТ), ближний бомбардировщик (самолет воздушного боя - СВБ) или многоместный пу</w:t>
      </w:r>
      <w:r w:rsidRPr="00E14102">
        <w:rPr>
          <w:color w:val="000000" w:themeColor="text1"/>
          <w:sz w:val="16"/>
          <w:szCs w:val="16"/>
        </w:rPr>
        <w:softHyphen/>
        <w:t>шечный истребитель (МПИ). Сам Поликарпов считал, что прежде всего нужен СВБ. В сентябре 1936 г. были го</w:t>
      </w:r>
      <w:r w:rsidRPr="00E14102">
        <w:rPr>
          <w:color w:val="000000" w:themeColor="text1"/>
          <w:sz w:val="16"/>
          <w:szCs w:val="16"/>
        </w:rPr>
        <w:softHyphen/>
        <w:t>товы проекты СВБ с моторами М-34ФН и М-100Ф с одно- и двухкилевым оперением. Длина самолета рав</w:t>
      </w:r>
      <w:r w:rsidRPr="00E14102">
        <w:rPr>
          <w:color w:val="000000" w:themeColor="text1"/>
          <w:sz w:val="16"/>
          <w:szCs w:val="16"/>
        </w:rPr>
        <w:softHyphen/>
        <w:t>нялась 10,8 м, размах крыла - 16,5 м, площадь крыла -40,7 м</w:t>
      </w:r>
      <w:r w:rsidRPr="00E14102">
        <w:rPr>
          <w:color w:val="000000" w:themeColor="text1"/>
          <w:sz w:val="16"/>
          <w:szCs w:val="16"/>
          <w:vertAlign w:val="superscript"/>
        </w:rPr>
        <w:t>2</w:t>
      </w:r>
      <w:r w:rsidRPr="00E14102">
        <w:rPr>
          <w:color w:val="000000" w:themeColor="text1"/>
          <w:sz w:val="16"/>
          <w:szCs w:val="16"/>
        </w:rPr>
        <w:t>. Согласно расчетам, СВБ с двумя моторами М-100Ф мощностью 950 л.с. на высоте 5000 м может развивать максимальную скорость 521 км/ч. С М-34ФН машина имела бы скорость 550 км/ч на той же высоте 5000 м, но с меньшей нагрузкой. Одновременно подготовили проект многоместного пушечного истребителя МПИ с двумя М-34ФН. Его ха</w:t>
      </w:r>
      <w:r w:rsidRPr="00E14102">
        <w:rPr>
          <w:color w:val="000000" w:themeColor="text1"/>
          <w:sz w:val="16"/>
          <w:szCs w:val="16"/>
        </w:rPr>
        <w:softHyphen/>
        <w:t>рактеристики были аналогичны характеристикам СВБ (10667).</w:t>
      </w:r>
    </w:p>
    <w:p w14:paraId="017E735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B1BCE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Н.Н.Поликарпов начал прорабатывать концепцию скоростного многоцелевого двухмоторного самолета с использованием относительно мощных для того времени моторов М-100, М-34ФРН, М-85 и М-25 (9649).</w:t>
      </w:r>
    </w:p>
    <w:p w14:paraId="24D30AA0" w14:textId="77777777" w:rsidR="00D4105E" w:rsidRPr="00E14102" w:rsidRDefault="00D4105E" w:rsidP="00E14102">
      <w:pPr>
        <w:autoSpaceDE w:val="0"/>
        <w:autoSpaceDN w:val="0"/>
        <w:adjustRightInd w:val="0"/>
        <w:jc w:val="both"/>
        <w:rPr>
          <w:color w:val="000000" w:themeColor="text1"/>
          <w:sz w:val="16"/>
          <w:szCs w:val="16"/>
        </w:rPr>
      </w:pPr>
    </w:p>
    <w:p w14:paraId="3D935266" w14:textId="77777777" w:rsidR="00F54C89" w:rsidRPr="00E14102" w:rsidRDefault="00F54C89" w:rsidP="00E14102">
      <w:pPr>
        <w:jc w:val="both"/>
        <w:rPr>
          <w:color w:val="0070C0"/>
          <w:sz w:val="16"/>
          <w:szCs w:val="16"/>
        </w:rPr>
      </w:pPr>
      <w:r w:rsidRPr="00E14102">
        <w:rPr>
          <w:color w:val="0070C0"/>
          <w:sz w:val="16"/>
          <w:szCs w:val="16"/>
        </w:rPr>
        <w:t>В конце 1935 года пять экземпляров ДИ-6 для проведения войсковых испытаний строились на авиазаводе №39. Причем три из них оценивались как истребители, а два как легкие штурмовики (ЛШ) (20362).</w:t>
      </w:r>
    </w:p>
    <w:p w14:paraId="57CCE7F3" w14:textId="77777777" w:rsidR="00F54C89" w:rsidRPr="00E14102" w:rsidRDefault="00F54C89" w:rsidP="00E14102">
      <w:pPr>
        <w:shd w:val="clear" w:color="auto" w:fill="FFFFFF"/>
        <w:jc w:val="both"/>
        <w:rPr>
          <w:color w:val="0070C0"/>
          <w:sz w:val="16"/>
          <w:szCs w:val="16"/>
        </w:rPr>
      </w:pPr>
    </w:p>
    <w:p w14:paraId="4F4B5F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года Р-5 сняли с производства. Всего за этот последний год изготовили 500 машин разных модификаций (12034).</w:t>
      </w:r>
    </w:p>
    <w:p w14:paraId="198F7D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Выпуск самолетов семейства Р-5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E3599D" w:rsidRPr="00E14102" w14:paraId="123E706E" w14:textId="77777777">
        <w:tc>
          <w:tcPr>
            <w:tcW w:w="1401" w:type="dxa"/>
            <w:tcBorders>
              <w:top w:val="single" w:sz="12" w:space="0" w:color="auto"/>
            </w:tcBorders>
          </w:tcPr>
          <w:p w14:paraId="30D6C8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Тип</w:t>
            </w:r>
          </w:p>
        </w:tc>
        <w:tc>
          <w:tcPr>
            <w:tcW w:w="1401" w:type="dxa"/>
            <w:tcBorders>
              <w:top w:val="single" w:sz="12" w:space="0" w:color="auto"/>
            </w:tcBorders>
          </w:tcPr>
          <w:p w14:paraId="3AC543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1930</w:t>
            </w:r>
          </w:p>
        </w:tc>
        <w:tc>
          <w:tcPr>
            <w:tcW w:w="1401" w:type="dxa"/>
            <w:tcBorders>
              <w:top w:val="single" w:sz="12" w:space="0" w:color="auto"/>
            </w:tcBorders>
          </w:tcPr>
          <w:p w14:paraId="3CC63E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1931</w:t>
            </w:r>
          </w:p>
        </w:tc>
        <w:tc>
          <w:tcPr>
            <w:tcW w:w="1401" w:type="dxa"/>
            <w:tcBorders>
              <w:top w:val="single" w:sz="12" w:space="0" w:color="auto"/>
            </w:tcBorders>
          </w:tcPr>
          <w:p w14:paraId="1C4C1B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1932</w:t>
            </w:r>
          </w:p>
        </w:tc>
        <w:tc>
          <w:tcPr>
            <w:tcW w:w="1401" w:type="dxa"/>
            <w:tcBorders>
              <w:top w:val="single" w:sz="12" w:space="0" w:color="auto"/>
            </w:tcBorders>
          </w:tcPr>
          <w:p w14:paraId="2EB90E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w:t>
            </w:r>
          </w:p>
        </w:tc>
        <w:tc>
          <w:tcPr>
            <w:tcW w:w="1401" w:type="dxa"/>
            <w:tcBorders>
              <w:top w:val="single" w:sz="12" w:space="0" w:color="auto"/>
            </w:tcBorders>
          </w:tcPr>
          <w:p w14:paraId="0C6ABB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w:t>
            </w:r>
          </w:p>
        </w:tc>
        <w:tc>
          <w:tcPr>
            <w:tcW w:w="1401" w:type="dxa"/>
            <w:tcBorders>
              <w:top w:val="single" w:sz="12" w:space="0" w:color="auto"/>
            </w:tcBorders>
          </w:tcPr>
          <w:p w14:paraId="75967A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1935</w:t>
            </w:r>
          </w:p>
        </w:tc>
        <w:tc>
          <w:tcPr>
            <w:tcW w:w="1401" w:type="dxa"/>
            <w:tcBorders>
              <w:top w:val="single" w:sz="12" w:space="0" w:color="auto"/>
            </w:tcBorders>
          </w:tcPr>
          <w:p w14:paraId="28DBC5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w:t>
            </w:r>
          </w:p>
        </w:tc>
      </w:tr>
      <w:tr w:rsidR="00E3599D" w:rsidRPr="00E14102" w14:paraId="46B53824" w14:textId="77777777">
        <w:tc>
          <w:tcPr>
            <w:tcW w:w="1401" w:type="dxa"/>
          </w:tcPr>
          <w:p w14:paraId="006BF4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w:t>
            </w:r>
          </w:p>
        </w:tc>
        <w:tc>
          <w:tcPr>
            <w:tcW w:w="1401" w:type="dxa"/>
          </w:tcPr>
          <w:p w14:paraId="488999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w:t>
            </w:r>
          </w:p>
        </w:tc>
        <w:tc>
          <w:tcPr>
            <w:tcW w:w="1401" w:type="dxa"/>
          </w:tcPr>
          <w:p w14:paraId="61CA13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336</w:t>
            </w:r>
          </w:p>
        </w:tc>
        <w:tc>
          <w:tcPr>
            <w:tcW w:w="1401" w:type="dxa"/>
          </w:tcPr>
          <w:p w14:paraId="20538C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884</w:t>
            </w:r>
          </w:p>
        </w:tc>
        <w:tc>
          <w:tcPr>
            <w:tcW w:w="1401" w:type="dxa"/>
          </w:tcPr>
          <w:p w14:paraId="404E4D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1572</w:t>
            </w:r>
          </w:p>
        </w:tc>
        <w:tc>
          <w:tcPr>
            <w:tcW w:w="1401" w:type="dxa"/>
          </w:tcPr>
          <w:p w14:paraId="16F843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1642</w:t>
            </w:r>
          </w:p>
        </w:tc>
        <w:tc>
          <w:tcPr>
            <w:tcW w:w="1401" w:type="dxa"/>
          </w:tcPr>
          <w:p w14:paraId="4D5034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401" w:type="dxa"/>
          </w:tcPr>
          <w:p w14:paraId="18F33E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0A030BCE" w14:textId="77777777">
        <w:tc>
          <w:tcPr>
            <w:tcW w:w="1401" w:type="dxa"/>
          </w:tcPr>
          <w:p w14:paraId="31379E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Р-5Т</w:t>
            </w:r>
          </w:p>
        </w:tc>
        <w:tc>
          <w:tcPr>
            <w:tcW w:w="1401" w:type="dxa"/>
          </w:tcPr>
          <w:p w14:paraId="3DCD99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401" w:type="dxa"/>
          </w:tcPr>
          <w:p w14:paraId="138F25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401" w:type="dxa"/>
          </w:tcPr>
          <w:p w14:paraId="75900B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401" w:type="dxa"/>
          </w:tcPr>
          <w:p w14:paraId="3205B8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401" w:type="dxa"/>
          </w:tcPr>
          <w:p w14:paraId="20862C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401" w:type="dxa"/>
          </w:tcPr>
          <w:p w14:paraId="5655C4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401" w:type="dxa"/>
          </w:tcPr>
          <w:p w14:paraId="336D7A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3257C368" w14:textId="77777777">
        <w:tc>
          <w:tcPr>
            <w:tcW w:w="1401" w:type="dxa"/>
          </w:tcPr>
          <w:p w14:paraId="31E881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Р-5а</w:t>
            </w:r>
          </w:p>
        </w:tc>
        <w:tc>
          <w:tcPr>
            <w:tcW w:w="1401" w:type="dxa"/>
          </w:tcPr>
          <w:p w14:paraId="3FAE97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401" w:type="dxa"/>
          </w:tcPr>
          <w:p w14:paraId="27FD5C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401" w:type="dxa"/>
          </w:tcPr>
          <w:p w14:paraId="3DCAE6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401" w:type="dxa"/>
          </w:tcPr>
          <w:p w14:paraId="2BF469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401" w:type="dxa"/>
          </w:tcPr>
          <w:p w14:paraId="5A78C8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61</w:t>
            </w:r>
          </w:p>
        </w:tc>
        <w:tc>
          <w:tcPr>
            <w:tcW w:w="1401" w:type="dxa"/>
          </w:tcPr>
          <w:p w14:paraId="66A817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50</w:t>
            </w:r>
          </w:p>
        </w:tc>
        <w:tc>
          <w:tcPr>
            <w:tcW w:w="1401" w:type="dxa"/>
          </w:tcPr>
          <w:p w14:paraId="59A1E1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55FD6F55" w14:textId="77777777">
        <w:tc>
          <w:tcPr>
            <w:tcW w:w="1401" w:type="dxa"/>
            <w:tcBorders>
              <w:bottom w:val="single" w:sz="12" w:space="0" w:color="auto"/>
            </w:tcBorders>
          </w:tcPr>
          <w:p w14:paraId="6BF042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ССС</w:t>
            </w:r>
          </w:p>
        </w:tc>
        <w:tc>
          <w:tcPr>
            <w:tcW w:w="1401" w:type="dxa"/>
            <w:tcBorders>
              <w:bottom w:val="single" w:sz="12" w:space="0" w:color="auto"/>
            </w:tcBorders>
          </w:tcPr>
          <w:p w14:paraId="7B22BB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401" w:type="dxa"/>
            <w:tcBorders>
              <w:bottom w:val="single" w:sz="12" w:space="0" w:color="auto"/>
            </w:tcBorders>
          </w:tcPr>
          <w:p w14:paraId="7E7927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401" w:type="dxa"/>
            <w:tcBorders>
              <w:bottom w:val="single" w:sz="12" w:space="0" w:color="auto"/>
            </w:tcBorders>
          </w:tcPr>
          <w:p w14:paraId="08EB98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401" w:type="dxa"/>
            <w:tcBorders>
              <w:bottom w:val="single" w:sz="12" w:space="0" w:color="auto"/>
            </w:tcBorders>
          </w:tcPr>
          <w:p w14:paraId="513DE7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401" w:type="dxa"/>
            <w:tcBorders>
              <w:bottom w:val="single" w:sz="12" w:space="0" w:color="auto"/>
            </w:tcBorders>
          </w:tcPr>
          <w:p w14:paraId="4EF3C2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c>
          <w:tcPr>
            <w:tcW w:w="1401" w:type="dxa"/>
            <w:tcBorders>
              <w:bottom w:val="single" w:sz="12" w:space="0" w:color="auto"/>
            </w:tcBorders>
          </w:tcPr>
          <w:p w14:paraId="7887E5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221</w:t>
            </w:r>
          </w:p>
        </w:tc>
        <w:tc>
          <w:tcPr>
            <w:tcW w:w="1401" w:type="dxa"/>
            <w:tcBorders>
              <w:bottom w:val="single" w:sz="12" w:space="0" w:color="auto"/>
            </w:tcBorders>
          </w:tcPr>
          <w:p w14:paraId="10883F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129</w:t>
            </w:r>
          </w:p>
        </w:tc>
      </w:tr>
    </w:tbl>
    <w:p w14:paraId="76A4EF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(12034).</w:t>
      </w:r>
    </w:p>
    <w:p w14:paraId="30732056" w14:textId="77777777" w:rsidR="00D4105E" w:rsidRPr="00E14102" w:rsidRDefault="00D4105E" w:rsidP="00E14102">
      <w:pPr>
        <w:autoSpaceDE w:val="0"/>
        <w:autoSpaceDN w:val="0"/>
        <w:adjustRightInd w:val="0"/>
        <w:jc w:val="both"/>
        <w:rPr>
          <w:color w:val="000000" w:themeColor="text1"/>
          <w:sz w:val="16"/>
          <w:szCs w:val="16"/>
        </w:rPr>
      </w:pPr>
    </w:p>
    <w:p w14:paraId="4BAC44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концу 1935 все работы Н.Н.П. и доработки И-15 прекратили и Н.Н.П. назначили ГК одновременно 21 завода и 84 завода. Весь 1936 - он потратил на создание базы опытного самолетостроения в Горьком (222,39).</w:t>
      </w:r>
    </w:p>
    <w:p w14:paraId="2AD2AA76" w14:textId="77777777" w:rsidR="00D4105E" w:rsidRPr="00E14102" w:rsidRDefault="00D4105E" w:rsidP="00E14102">
      <w:pPr>
        <w:autoSpaceDE w:val="0"/>
        <w:autoSpaceDN w:val="0"/>
        <w:adjustRightInd w:val="0"/>
        <w:jc w:val="both"/>
        <w:rPr>
          <w:color w:val="000000" w:themeColor="text1"/>
          <w:sz w:val="16"/>
          <w:szCs w:val="16"/>
        </w:rPr>
      </w:pPr>
    </w:p>
    <w:p w14:paraId="6EE24B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И-15 был снят с производства, а в истории развития истребителей бипланной схемы в Советском Союзе, казалось, поставили жирную точку (6592).</w:t>
      </w:r>
    </w:p>
    <w:p w14:paraId="7A6452E8" w14:textId="77777777" w:rsidR="00D4105E" w:rsidRPr="00E14102" w:rsidRDefault="00D4105E" w:rsidP="00E14102">
      <w:pPr>
        <w:autoSpaceDE w:val="0"/>
        <w:autoSpaceDN w:val="0"/>
        <w:adjustRightInd w:val="0"/>
        <w:jc w:val="both"/>
        <w:rPr>
          <w:color w:val="000000" w:themeColor="text1"/>
          <w:sz w:val="16"/>
          <w:szCs w:val="16"/>
        </w:rPr>
      </w:pPr>
    </w:p>
    <w:p w14:paraId="75CD7D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неплохие показатели высотности и скороподъемности И-15 использовали для достижения мирового рекорда высоты. Для реализации этой задачи подготовили первый опытный экземпляр ЦКБ-3 (аварийный). С самолета смыли краску, крылья обтянули тончайшим полотном с уменьшенным покрытитем аэролаком, так, что последние стали прямо-таки прозрачными, как это было у аэропланов на заре авиации. Сняли вооружение, амортизацию шасси, многое оборудование, пытаясь выиграть хоть несколько килограммов веса. Сняли и капот Тауненда с установленного высотного двигателя Райт “Циклон” F-54. Горючее заливалось только для дороги наверх, обратно предполагалось планировать с выключенным двигателем (6593).</w:t>
      </w:r>
    </w:p>
    <w:p w14:paraId="675C19C3" w14:textId="77777777" w:rsidR="00D4105E" w:rsidRPr="00E14102" w:rsidRDefault="00D4105E" w:rsidP="00E14102">
      <w:pPr>
        <w:autoSpaceDE w:val="0"/>
        <w:autoSpaceDN w:val="0"/>
        <w:adjustRightInd w:val="0"/>
        <w:jc w:val="both"/>
        <w:rPr>
          <w:color w:val="000000" w:themeColor="text1"/>
          <w:sz w:val="16"/>
          <w:szCs w:val="16"/>
        </w:rPr>
      </w:pPr>
    </w:p>
    <w:p w14:paraId="535530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прекратили производство И-15 и до конца 1937 - по существу до начала 1938, когда начали производство И-15бис - не производили. То есть И-15 не было более двух лет (202,34).</w:t>
      </w:r>
    </w:p>
    <w:p w14:paraId="0639005E" w14:textId="77777777" w:rsidR="00D4105E" w:rsidRPr="00E14102" w:rsidRDefault="00D4105E" w:rsidP="00E14102">
      <w:pPr>
        <w:autoSpaceDE w:val="0"/>
        <w:autoSpaceDN w:val="0"/>
        <w:adjustRightInd w:val="0"/>
        <w:jc w:val="both"/>
        <w:rPr>
          <w:color w:val="000000" w:themeColor="text1"/>
          <w:sz w:val="16"/>
          <w:szCs w:val="16"/>
        </w:rPr>
      </w:pPr>
    </w:p>
    <w:p w14:paraId="53CFCD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неплохие показатели высотности и скороподъемности И-15 использовали для достижения мирового рекорда высоты. Для реализации задуманного отремонтировали и усовершенствовали первый опытный экземпляр ЦКБ-3. С самолета смыли краску, крылья обтянули тончайшим полотном с уменьшенным покрытием аэролаком, так, что последние стали почти прозрачными, как это было у аэропланов на заре авиации. Сняли вооружение, амортизацию шасси, многое оборудование, пытаясь выиграть хоть несколько килограммов веса. Сняли и капот Тауненда с установленного высотного двигателя Райт "Циклон" F-54. Горючее заливалось только для дороги наверх, обратно предполагалось планировать с выключенным двигателем (12014).</w:t>
      </w:r>
    </w:p>
    <w:p w14:paraId="66068A54" w14:textId="77777777" w:rsidR="00D4105E" w:rsidRPr="00E14102" w:rsidRDefault="00D4105E" w:rsidP="00E14102">
      <w:pPr>
        <w:autoSpaceDE w:val="0"/>
        <w:autoSpaceDN w:val="0"/>
        <w:adjustRightInd w:val="0"/>
        <w:jc w:val="both"/>
        <w:rPr>
          <w:color w:val="000000" w:themeColor="text1"/>
          <w:sz w:val="16"/>
          <w:szCs w:val="16"/>
        </w:rPr>
      </w:pPr>
    </w:p>
    <w:p w14:paraId="23F5AA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конце 1935 г. завод № 21 решил модернизировать четырехпулеметный И-16 тип 4 (И-161). Поликарпов не возражал, так как надеялся, что проводимое заводом усовершенствование И-161 облегчит внедрение в серию новых модификаций самолета И-16, в том числе и с пу</w:t>
      </w:r>
      <w:r w:rsidRPr="00E14102">
        <w:rPr>
          <w:color w:val="000000" w:themeColor="text1"/>
          <w:sz w:val="16"/>
          <w:szCs w:val="16"/>
        </w:rPr>
        <w:softHyphen/>
        <w:t>шечным вооружением. После установки двигателя М-25, капота по типу 5, введения других изменений в конструкции согласно ука</w:t>
      </w:r>
      <w:r w:rsidRPr="00E14102">
        <w:rPr>
          <w:color w:val="000000" w:themeColor="text1"/>
          <w:sz w:val="16"/>
          <w:szCs w:val="16"/>
        </w:rPr>
        <w:softHyphen/>
        <w:t>заниям Н.Н.Поликарпова, вложившим в этот вариант опыт проектирования истребителя ЦКБ-18 с тем же мо</w:t>
      </w:r>
      <w:r w:rsidRPr="00E14102">
        <w:rPr>
          <w:color w:val="000000" w:themeColor="text1"/>
          <w:sz w:val="16"/>
          <w:szCs w:val="16"/>
        </w:rPr>
        <w:softHyphen/>
        <w:t>тором, самолет получил обозначение И-162. К концу ок</w:t>
      </w:r>
      <w:r w:rsidRPr="00E14102">
        <w:rPr>
          <w:color w:val="000000" w:themeColor="text1"/>
          <w:sz w:val="16"/>
          <w:szCs w:val="16"/>
        </w:rPr>
        <w:softHyphen/>
        <w:t>тября 1936 г. машина прошла заводские испытания, после чего по “самостийному”, не согласованному с ВВС, указанию директора завода Мирошникова построили войсковую серию четырехпулеметных И-16 с М-25, ко</w:t>
      </w:r>
      <w:r w:rsidRPr="00E14102">
        <w:rPr>
          <w:color w:val="000000" w:themeColor="text1"/>
          <w:sz w:val="16"/>
          <w:szCs w:val="16"/>
        </w:rPr>
        <w:softHyphen/>
        <w:t>торую отправили для испытаний в Брянскую бригаду. Руководство ВВС довольно прохладно отнеслось к этим испытаниям. Во-первых, их проведение не было согласовано с ВВС, во-вторых, более целесообразной считалась установка на И-16 синхронных пулеметов (10667).</w:t>
      </w:r>
    </w:p>
    <w:p w14:paraId="2288D5D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6815A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Н.Н.П. сделал первые наброски эскизного проекта самолета ЦКБ-18 с уста</w:t>
      </w:r>
      <w:r w:rsidRPr="00E14102">
        <w:rPr>
          <w:color w:val="000000" w:themeColor="text1"/>
          <w:sz w:val="16"/>
          <w:szCs w:val="16"/>
        </w:rPr>
        <w:softHyphen/>
        <w:t>новленными в крыле двумя 20-мм пушками выполнили Они показали принципиальную возмож</w:t>
      </w:r>
      <w:r w:rsidRPr="00E14102">
        <w:rPr>
          <w:color w:val="000000" w:themeColor="text1"/>
          <w:sz w:val="16"/>
          <w:szCs w:val="16"/>
        </w:rPr>
        <w:softHyphen/>
        <w:t>ность такой установки, несмотря на повышенную силу отдачи оружия (10667).</w:t>
      </w:r>
    </w:p>
    <w:p w14:paraId="5B842F73" w14:textId="77777777" w:rsidR="00D4105E" w:rsidRPr="00E14102" w:rsidRDefault="00D4105E" w:rsidP="00E14102">
      <w:pPr>
        <w:autoSpaceDE w:val="0"/>
        <w:autoSpaceDN w:val="0"/>
        <w:adjustRightInd w:val="0"/>
        <w:jc w:val="both"/>
        <w:rPr>
          <w:color w:val="000000" w:themeColor="text1"/>
          <w:sz w:val="16"/>
          <w:szCs w:val="16"/>
        </w:rPr>
      </w:pPr>
    </w:p>
    <w:p w14:paraId="791D40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на 21 заводе разрабатывали машину И-161 - И-16 с 4 ШКАС в крыльях и 4х20 кг бомб. В серию пошел вариант с пушками, названный И-16 тип 12. Потом в 1937 сделали еще одну машину с обозначением И-161 и это был облегченный вариант И-16 с М-88 для выпуска в 1938 (1808,15).</w:t>
      </w:r>
    </w:p>
    <w:p w14:paraId="7243DDAF" w14:textId="77777777" w:rsidR="00D4105E" w:rsidRPr="00E14102" w:rsidRDefault="00D4105E" w:rsidP="00E14102">
      <w:pPr>
        <w:autoSpaceDE w:val="0"/>
        <w:autoSpaceDN w:val="0"/>
        <w:adjustRightInd w:val="0"/>
        <w:jc w:val="both"/>
        <w:rPr>
          <w:color w:val="000000" w:themeColor="text1"/>
          <w:sz w:val="16"/>
          <w:szCs w:val="16"/>
        </w:rPr>
      </w:pPr>
    </w:p>
    <w:p w14:paraId="2DE17D7C" w14:textId="77777777" w:rsidR="00F54C89" w:rsidRPr="00E14102" w:rsidRDefault="00F54C89" w:rsidP="00E14102">
      <w:pPr>
        <w:jc w:val="both"/>
        <w:rPr>
          <w:color w:val="0070C0"/>
          <w:sz w:val="16"/>
          <w:szCs w:val="16"/>
        </w:rPr>
      </w:pPr>
      <w:r w:rsidRPr="00E14102">
        <w:rPr>
          <w:color w:val="0070C0"/>
          <w:sz w:val="16"/>
          <w:szCs w:val="16"/>
        </w:rPr>
        <w:t>В конце 1935 года с большой задержкой завод № 21 приступил к выпуску самолетов И-16 с более мощным мотором М-25. Они имели капот меньшего диаметра. Эти машины имели обозначение тип 5. Летные испытания самолета № 5213, машины первой серии с двигателем М-25, прошли на заводском аэродроме в период с 26.12.1935 по 26.5.1936 гг. (21100).</w:t>
      </w:r>
    </w:p>
    <w:p w14:paraId="3E97C7B4" w14:textId="77777777" w:rsidR="00F54C89" w:rsidRPr="00E14102" w:rsidRDefault="00F54C89" w:rsidP="00E14102">
      <w:pPr>
        <w:jc w:val="both"/>
        <w:rPr>
          <w:color w:val="0070C0"/>
          <w:sz w:val="16"/>
          <w:szCs w:val="16"/>
        </w:rPr>
      </w:pPr>
    </w:p>
    <w:p w14:paraId="309C74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появился И-16 с убираемыми в полете лыжами. 2 февраля 1936 г. новое зимнее шасси смонтировали на одном из истребителей с двигателем М-22. Кабан крепления стойки шасси на лыже оборудовали специальным поворотным устройством, заднюю часть капота снизу укоротили. Испытания, проведенные на двух самолетах - № 123904 и № 123906. показали работоспособность механизма, поэтому работу по подготовке серийного образца передали на завод №21. В течение последующих двух лет в воинских частях детали с нсубираемы- ми в полете лыжами, однако уже в 1938 г. вопрос с уборкой решили. Самолеты выпуска второй половины года имели для вышеозначенной цели выколотку-ложемент в нижней части капота. Отработали и сам механизм уборки. С этого момента все серийные И-16 (за исключением типа 29) могли переставляться зимой на лыжи без заметного ущерба для летных характеристик (12015).</w:t>
      </w:r>
    </w:p>
    <w:p w14:paraId="7D1E7762" w14:textId="77777777" w:rsidR="00D4105E" w:rsidRPr="00E14102" w:rsidRDefault="00D4105E" w:rsidP="00E14102">
      <w:pPr>
        <w:autoSpaceDE w:val="0"/>
        <w:autoSpaceDN w:val="0"/>
        <w:adjustRightInd w:val="0"/>
        <w:jc w:val="both"/>
        <w:rPr>
          <w:color w:val="000000" w:themeColor="text1"/>
          <w:sz w:val="16"/>
          <w:szCs w:val="16"/>
        </w:rPr>
      </w:pPr>
    </w:p>
    <w:p w14:paraId="14D6F3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испытывался еще один двухместный вариант - УТИ-3 №11211. оснащенный советским двигателем М-58. За время испытаний, участие в которых принимал В.II.Чкатов, до весны 1936 г. самолет налетали 33 часа. Опытный двигатель наработал на земле дополнительно 40 часов. Хотя УТИ-3 оценивался более высоко чем УТ-2 №8211. по причине отсутствия необходимого количества двигателей М-58 самолет остался в единственном экземпляре (12015).</w:t>
      </w:r>
    </w:p>
    <w:p w14:paraId="154543CA" w14:textId="77777777" w:rsidR="00D4105E" w:rsidRPr="00E14102" w:rsidRDefault="00D4105E" w:rsidP="00E14102">
      <w:pPr>
        <w:autoSpaceDE w:val="0"/>
        <w:autoSpaceDN w:val="0"/>
        <w:adjustRightInd w:val="0"/>
        <w:jc w:val="both"/>
        <w:rPr>
          <w:color w:val="000000" w:themeColor="text1"/>
          <w:sz w:val="16"/>
          <w:szCs w:val="16"/>
        </w:rPr>
      </w:pPr>
    </w:p>
    <w:p w14:paraId="1D464F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конце 1935 г. Поликарпов назначил Томашевича своим помощником и ведущим конструктором по истребителю ЦКБ-19бис с мотором М-100. Это еще одна модификация И-17, главной особенностью которой (впервые в СССР) являлась пушка, стреляющая через полый вал редуктора мотора жидкостного охлаждения. По причинам, не относящимся к этому самолету, в серии он не строился, хотя возможность серийного производства на авиазаводе в Казани рассматривалась.</w:t>
      </w:r>
    </w:p>
    <w:p w14:paraId="2D6F9C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Томашевич участвовал в проектировании рекордных самолетов на базе И-17, модификаций этого истребителя- ЦКБ-25, ЦКБ-33, ЦКБ-43 и других (9536,5).</w:t>
      </w:r>
    </w:p>
    <w:p w14:paraId="2DDC42B8" w14:textId="77777777" w:rsidR="00D4105E" w:rsidRPr="00E14102" w:rsidRDefault="00D4105E" w:rsidP="00E14102">
      <w:pPr>
        <w:autoSpaceDE w:val="0"/>
        <w:autoSpaceDN w:val="0"/>
        <w:adjustRightInd w:val="0"/>
        <w:jc w:val="both"/>
        <w:rPr>
          <w:color w:val="000000" w:themeColor="text1"/>
          <w:sz w:val="16"/>
          <w:szCs w:val="16"/>
        </w:rPr>
      </w:pPr>
    </w:p>
    <w:p w14:paraId="75F85AB1" w14:textId="77777777" w:rsidR="00E3675F" w:rsidRPr="00E14102" w:rsidRDefault="00E3675F" w:rsidP="00E14102">
      <w:pPr>
        <w:jc w:val="both"/>
        <w:rPr>
          <w:color w:val="000000" w:themeColor="text1"/>
          <w:sz w:val="16"/>
          <w:szCs w:val="16"/>
        </w:rPr>
      </w:pPr>
      <w:r w:rsidRPr="00E14102">
        <w:rPr>
          <w:color w:val="000000" w:themeColor="text1"/>
          <w:sz w:val="16"/>
          <w:szCs w:val="16"/>
        </w:rPr>
        <w:t>В конце 1935 г. Поликарпов назначил Томашевича своим помощником и ведущим конструктором по истребителю ЦКБ-19бис с мотором М-100. Это еще одна модификация И-17, главной особенностью которой (впервые в СССР) являлась пушка, стреляющая через полый вал редуктора мотора жидкостного охлаждения. По причинам, не относящимся к этому самолету, в серии он не строился, хотя возможность серийного производства на авиазаводе в Казани рассматривалась (18254).</w:t>
      </w:r>
    </w:p>
    <w:p w14:paraId="53BC2DF0" w14:textId="77777777" w:rsidR="00E3675F" w:rsidRPr="00E14102" w:rsidRDefault="00E3675F" w:rsidP="00E14102">
      <w:pPr>
        <w:jc w:val="both"/>
        <w:rPr>
          <w:color w:val="000000" w:themeColor="text1"/>
          <w:sz w:val="16"/>
          <w:szCs w:val="16"/>
        </w:rPr>
      </w:pPr>
    </w:p>
    <w:p w14:paraId="753B30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А.И.Алкснис поддержал предложения по истребителю-биплану А.А.Боровкова и И.Ф.Флорова (4,67).</w:t>
      </w:r>
    </w:p>
    <w:p w14:paraId="7AD09450" w14:textId="77777777" w:rsidR="00D4105E" w:rsidRPr="00E14102" w:rsidRDefault="00D4105E" w:rsidP="00E14102">
      <w:pPr>
        <w:autoSpaceDE w:val="0"/>
        <w:autoSpaceDN w:val="0"/>
        <w:adjustRightInd w:val="0"/>
        <w:jc w:val="both"/>
        <w:rPr>
          <w:color w:val="000000" w:themeColor="text1"/>
          <w:sz w:val="16"/>
          <w:szCs w:val="16"/>
        </w:rPr>
      </w:pPr>
    </w:p>
    <w:p w14:paraId="2ED6C5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Д.П.Г. работал над скоростным разведчиком ДГ-58 и поэтому получил приглашение в программу Иванов (1153,32).</w:t>
      </w:r>
    </w:p>
    <w:p w14:paraId="00621836" w14:textId="77777777" w:rsidR="00D4105E" w:rsidRPr="00E14102" w:rsidRDefault="00D4105E" w:rsidP="00E14102">
      <w:pPr>
        <w:autoSpaceDE w:val="0"/>
        <w:autoSpaceDN w:val="0"/>
        <w:adjustRightInd w:val="0"/>
        <w:jc w:val="both"/>
        <w:rPr>
          <w:color w:val="000000" w:themeColor="text1"/>
          <w:sz w:val="16"/>
          <w:szCs w:val="16"/>
        </w:rPr>
      </w:pPr>
    </w:p>
    <w:p w14:paraId="4E478903" w14:textId="77777777" w:rsidR="00270FBF" w:rsidRPr="00E14102" w:rsidRDefault="00270FBF" w:rsidP="00E14102">
      <w:pPr>
        <w:pStyle w:val="a7"/>
        <w:rPr>
          <w:color w:val="000000" w:themeColor="text1"/>
          <w:sz w:val="16"/>
          <w:szCs w:val="16"/>
          <w:lang w:val="ru-RU"/>
        </w:rPr>
      </w:pPr>
      <w:r w:rsidRPr="00E14102">
        <w:rPr>
          <w:color w:val="000000" w:themeColor="text1"/>
          <w:sz w:val="16"/>
          <w:szCs w:val="16"/>
          <w:lang w:val="ru-RU"/>
        </w:rPr>
        <w:t>В конце 1935 г., в злоклю</w:t>
      </w:r>
      <w:r w:rsidRPr="00E14102">
        <w:rPr>
          <w:color w:val="000000" w:themeColor="text1"/>
          <w:sz w:val="16"/>
          <w:szCs w:val="16"/>
          <w:lang w:val="ru-RU"/>
        </w:rPr>
        <w:softHyphen/>
        <w:t>чениях Д.П.Г. наступил вообще странный период, в течение которого он постепенно оказался и без производ</w:t>
      </w:r>
      <w:r w:rsidRPr="00E14102">
        <w:rPr>
          <w:color w:val="000000" w:themeColor="text1"/>
          <w:sz w:val="16"/>
          <w:szCs w:val="16"/>
          <w:lang w:val="ru-RU"/>
        </w:rPr>
        <w:softHyphen/>
        <w:t>ственной базы, и без заданий на новые самолеты (15746).</w:t>
      </w:r>
    </w:p>
    <w:p w14:paraId="2960172D" w14:textId="77777777" w:rsidR="00270FBF" w:rsidRPr="00E14102" w:rsidRDefault="00270FBF" w:rsidP="00E14102">
      <w:pPr>
        <w:pStyle w:val="a7"/>
        <w:rPr>
          <w:color w:val="000000" w:themeColor="text1"/>
          <w:sz w:val="16"/>
          <w:szCs w:val="16"/>
          <w:lang w:val="ru-RU"/>
        </w:rPr>
      </w:pPr>
    </w:p>
    <w:p w14:paraId="6665EE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на завод № 43 ГВФ была переведена конструкторская группа под руководством В.К. Таирова, выделенная из ОКБ Н.Н. Поликарпова (в 1934-35 г. Таиров был зам. гл. конструктора ОКБ Поликарпова на заводе № 21). С 1936 г. группа преобразована в ОКО, работавший при заводе до начала 1941 г.</w:t>
      </w:r>
    </w:p>
    <w:p w14:paraId="6F7A32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 НКОП № 0259 от 3.12.1937 г. планировалось перевести ОКБ завода № 43 гл. конструктора Таирова на «Саркомбайн», назначив его гл. конструктором завода, но это не было выполнено.</w:t>
      </w:r>
    </w:p>
    <w:p w14:paraId="3DE6DE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Сначала велись работы по доводке ХАИ-1, затем на его базе создан ОКО-1; ОКО-2, ОКО-3, ОКО-5, ОКО-6 (Та-1), Та-3.</w:t>
      </w:r>
    </w:p>
    <w:p w14:paraId="5CF0BE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пост. КО № 256сс от 29.10.1938 г. по пр. № 439сс от 16/19.11.1938 г. в план опытных работ ОКО было включено проектирование и постройка 3-х экземпляров самолета ОКО-3 с выпуском 1-го к 1.05.1939 г.</w:t>
      </w:r>
    </w:p>
    <w:p w14:paraId="1AD8E8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приказу № 115с от 10-13.03.1940 г. ОКО переводился на завод № 81 НКАП, но здесь числился недолго. Еще при переезде, из-за принятия решения о начале серийного выпуска ББ-22 на заводе № 81, В.К. Таиров был оставлен гл. конструктором завода № 43 для окончания доводки самолета ОКО-6 и запуска его в серию (приказ № 317сс от 27.06.1940 г.). По приказу № 115сс от 6.02.1941 г. ОКО В.К. Таирова было преобразовано в самостоятельный завод № 483 НКАП в  г. Киеве.</w:t>
      </w:r>
    </w:p>
    <w:p w14:paraId="0E57B5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конструктор (1936-41 г.)- В.К. Таиров (11982).</w:t>
      </w:r>
    </w:p>
    <w:p w14:paraId="55CC1E9B" w14:textId="77777777" w:rsidR="00D4105E" w:rsidRPr="00E14102" w:rsidRDefault="00D4105E" w:rsidP="00E14102">
      <w:pPr>
        <w:autoSpaceDE w:val="0"/>
        <w:autoSpaceDN w:val="0"/>
        <w:adjustRightInd w:val="0"/>
        <w:jc w:val="both"/>
        <w:rPr>
          <w:color w:val="000000" w:themeColor="text1"/>
          <w:sz w:val="16"/>
          <w:szCs w:val="16"/>
        </w:rPr>
      </w:pPr>
    </w:p>
    <w:p w14:paraId="12BF10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А.И.Путилов, работающий над Сталь-11 тоже разрабатывал его военный вариант под обозначением Р-9 (как и машина ЦКБ-27 С.А.Кочеригина) (1153,32).</w:t>
      </w:r>
    </w:p>
    <w:p w14:paraId="46F92E29" w14:textId="77777777" w:rsidR="00D4105E" w:rsidRPr="00E14102" w:rsidRDefault="00D4105E" w:rsidP="00E14102">
      <w:pPr>
        <w:autoSpaceDE w:val="0"/>
        <w:autoSpaceDN w:val="0"/>
        <w:adjustRightInd w:val="0"/>
        <w:jc w:val="both"/>
        <w:rPr>
          <w:color w:val="000000" w:themeColor="text1"/>
          <w:sz w:val="16"/>
          <w:szCs w:val="16"/>
        </w:rPr>
      </w:pPr>
    </w:p>
    <w:p w14:paraId="606CC1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АИР-14 А.С.Я. (Ут-1) совершил свой первый полет. Как и все яковлевские новинки, ма</w:t>
      </w:r>
      <w:r w:rsidRPr="00E14102">
        <w:rPr>
          <w:color w:val="000000" w:themeColor="text1"/>
          <w:sz w:val="16"/>
          <w:szCs w:val="16"/>
        </w:rPr>
        <w:softHyphen/>
        <w:t>шину облетывал Ю.И. Пионтковский. АИР-14 имел “фирменную” окраску -самолет весь был красный, а на руле по</w:t>
      </w:r>
      <w:r w:rsidRPr="00E14102">
        <w:rPr>
          <w:color w:val="000000" w:themeColor="text1"/>
          <w:sz w:val="16"/>
          <w:szCs w:val="16"/>
        </w:rPr>
        <w:softHyphen/>
        <w:t>ворота - красные и белые горизонталь</w:t>
      </w:r>
      <w:r w:rsidRPr="00E14102">
        <w:rPr>
          <w:color w:val="000000" w:themeColor="text1"/>
          <w:sz w:val="16"/>
          <w:szCs w:val="16"/>
        </w:rPr>
        <w:softHyphen/>
        <w:t>ные полосы (3955).</w:t>
      </w:r>
    </w:p>
    <w:p w14:paraId="47470BFC" w14:textId="77777777" w:rsidR="00D4105E" w:rsidRPr="00E14102" w:rsidRDefault="00D4105E" w:rsidP="00E14102">
      <w:pPr>
        <w:autoSpaceDE w:val="0"/>
        <w:autoSpaceDN w:val="0"/>
        <w:adjustRightInd w:val="0"/>
        <w:jc w:val="both"/>
        <w:rPr>
          <w:color w:val="000000" w:themeColor="text1"/>
          <w:sz w:val="16"/>
          <w:szCs w:val="16"/>
        </w:rPr>
      </w:pPr>
    </w:p>
    <w:p w14:paraId="0BA391E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 конца 1935 г. на заводе №21 под руководством Боровкова начали проектировать новый учебно-трени</w:t>
      </w:r>
      <w:r w:rsidRPr="00E14102">
        <w:rPr>
          <w:color w:val="000000" w:themeColor="text1"/>
          <w:sz w:val="16"/>
          <w:szCs w:val="16"/>
        </w:rPr>
        <w:softHyphen/>
        <w:t>ровочный самолет УТИ-3 с мотором М-58МН. В марте 1936 г. он был построен. Полетный вес машины равнял</w:t>
      </w:r>
      <w:r w:rsidRPr="00E14102">
        <w:rPr>
          <w:color w:val="000000" w:themeColor="text1"/>
          <w:sz w:val="16"/>
          <w:szCs w:val="16"/>
        </w:rPr>
        <w:softHyphen/>
        <w:t>ся 1553 кг. Помимо винтомоторной группы, УТИ-3 от</w:t>
      </w:r>
      <w:r w:rsidRPr="00E14102">
        <w:rPr>
          <w:color w:val="000000" w:themeColor="text1"/>
          <w:sz w:val="16"/>
          <w:szCs w:val="16"/>
        </w:rPr>
        <w:softHyphen/>
        <w:t>личался от УТИ-2 закрытой двухместной кабиной. Однако система открытия крышек фонаря кабины рабо</w:t>
      </w:r>
      <w:r w:rsidRPr="00E14102">
        <w:rPr>
          <w:color w:val="000000" w:themeColor="text1"/>
          <w:sz w:val="16"/>
          <w:szCs w:val="16"/>
        </w:rPr>
        <w:softHyphen/>
        <w:t>тала плохо, и после ряда полетов крышки фонаря сняли и дальнейшие испытания проходили с открытой каби</w:t>
      </w:r>
      <w:r w:rsidRPr="00E14102">
        <w:rPr>
          <w:color w:val="000000" w:themeColor="text1"/>
          <w:sz w:val="16"/>
          <w:szCs w:val="16"/>
        </w:rPr>
        <w:softHyphen/>
        <w:t>ной. Летные испытания завершились к июлю 1936 г. У земли УТИ-3 (заводской номер 11211, т.е. машина ти</w:t>
      </w:r>
      <w:r w:rsidRPr="00E14102">
        <w:rPr>
          <w:color w:val="000000" w:themeColor="text1"/>
          <w:sz w:val="16"/>
          <w:szCs w:val="16"/>
        </w:rPr>
        <w:softHyphen/>
        <w:t>па 11 постройки завода №21, экземпляр № 1) развивал максимальную скорость 334 км/ч, на высоте 3000 м -315 км/ч, достигал потолка 6400 м. Результаты испытаний показали, что в целом УТИ-3 оказался хуже УТИ-2. Это касалось и летных характери</w:t>
      </w:r>
      <w:r w:rsidRPr="00E14102">
        <w:rPr>
          <w:color w:val="000000" w:themeColor="text1"/>
          <w:sz w:val="16"/>
          <w:szCs w:val="16"/>
        </w:rPr>
        <w:softHyphen/>
        <w:t>стик, и условий эксплуатации, и надежности винтомо</w:t>
      </w:r>
      <w:r w:rsidRPr="00E14102">
        <w:rPr>
          <w:color w:val="000000" w:themeColor="text1"/>
          <w:sz w:val="16"/>
          <w:szCs w:val="16"/>
        </w:rPr>
        <w:softHyphen/>
        <w:t>торной установки. Сама конструкция также имела дефекты. В отчете по испытаниям записано: “Самолет УТИ-3 и его винтомоторная группа для нормальной эксплуатации не доведены”. Все работы по этому самолету были прекращены (10667).</w:t>
      </w:r>
    </w:p>
    <w:p w14:paraId="1D20E5B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21A84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в У-2ВС решили внести некоторые изменения. В задней кабине разместили фотооборудо</w:t>
      </w:r>
      <w:r w:rsidRPr="00E14102">
        <w:rPr>
          <w:color w:val="000000" w:themeColor="text1"/>
          <w:sz w:val="16"/>
          <w:szCs w:val="16"/>
        </w:rPr>
        <w:softHyphen/>
        <w:t>вание. Самолет получил обозначение ВС эталон 1936 г. За 1936 г. построили 298 таких машин (10667).</w:t>
      </w:r>
    </w:p>
    <w:p w14:paraId="1E69C526" w14:textId="77777777" w:rsidR="00D4105E" w:rsidRPr="00E14102" w:rsidRDefault="00D4105E" w:rsidP="00E14102">
      <w:pPr>
        <w:autoSpaceDE w:val="0"/>
        <w:autoSpaceDN w:val="0"/>
        <w:adjustRightInd w:val="0"/>
        <w:jc w:val="both"/>
        <w:rPr>
          <w:color w:val="000000" w:themeColor="text1"/>
          <w:sz w:val="16"/>
          <w:szCs w:val="16"/>
        </w:rPr>
      </w:pPr>
    </w:p>
    <w:p w14:paraId="5ABD08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под руководством Б.Д.Урлапова, помошника П.И.Гроховского по самолетостроению, началось проектирование Г-26 по ИС-12. К концу 1936 самолет был на 90% готов, но не завершили (428,13).</w:t>
      </w:r>
    </w:p>
    <w:p w14:paraId="2109D9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Б.Д.Урлапов работал заместителем руководителя Экспериментального института НКТП (и одновременно главного конструктора) П.И.Гроховского. Как известно, организация, возглавляемая Гроховским, проектировала и строила множество диковинных конструкций. Поэтому изготовление здесь необычного опытного истребителя с двигателем "Испано-Сюиза" вполне вписывалось в рамки деятельности института.</w:t>
      </w:r>
    </w:p>
    <w:p w14:paraId="11F3A8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Г-26 задумывался как истребитель-перехватчик с особо качественной аэродинамикой, небольшими размерами и полетным весом - все это позволяло надеяться на достижении заявленной полетной скорости 600 км/ч. Конструкция смешанная - с деревянным моноко- ковым фюзеляжем и металлическим крылом, оборудованным поверхностным радиатором охлаждения двигателя. Крыло малой площади, менее 9 квадратных метров, что определило даже в расчетном варианте высокую нагрузку на его поверхность - 183 кг/мг.</w:t>
      </w:r>
    </w:p>
    <w:p w14:paraId="4B8BFD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Шасси предполагалось с одним центральным колесом, убираемым в фюзеляж, и двумя крыльевыми поддерживающими опорами. Для уменьшения посадочной скорости, крыло оснащалось закрылками, занимавшими всю его нижнюю заднюю кромку между элеронами. Вооружение состояло из двух крыльевых пулеметов ШКАС вне зоны диска вращения воздушного винта.</w:t>
      </w:r>
    </w:p>
    <w:p w14:paraId="5480FA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Строить оригинальный истребитель начали на заводе №47 в Ленинграде в 1935 г. и в течение года постройка машины была почти завершена. Однако взлететь Г-26 не довелось. Начавшаяся в 1936 г. реорганизация промышленности коснулась и Экспериментального института НКТП - его перевели в Главное управление авиационной промышленности (ГУАП). Финансирование организации сначала сократили, а затем ее вовсе закрыли, авиазавод №47 передали для изготовления легких самолетов конструкции А.С.Яковлева. В ходе этих преобразований специальная комиссия ГУАП постановила считать Г-26 бесперспективным и предложила его уничтожить. С процессом уничтожения в Советском Союзе всегда получалось очень хорошо и ретивые исполнители выполнили задачу незамедлительно (11951).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E3599D" w:rsidRPr="00E14102" w14:paraId="7EA01E50" w14:textId="77777777">
        <w:tc>
          <w:tcPr>
            <w:tcW w:w="5156" w:type="dxa"/>
            <w:tcBorders>
              <w:top w:val="single" w:sz="12" w:space="0" w:color="auto"/>
            </w:tcBorders>
          </w:tcPr>
          <w:p w14:paraId="7329A6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Размах крыла (м) </w:t>
            </w:r>
          </w:p>
        </w:tc>
        <w:tc>
          <w:tcPr>
            <w:tcW w:w="5156" w:type="dxa"/>
            <w:tcBorders>
              <w:top w:val="single" w:sz="12" w:space="0" w:color="auto"/>
            </w:tcBorders>
          </w:tcPr>
          <w:p w14:paraId="1FE3BB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w:t>
            </w:r>
          </w:p>
        </w:tc>
      </w:tr>
      <w:tr w:rsidR="00E3599D" w:rsidRPr="00E14102" w14:paraId="21B53019" w14:textId="77777777">
        <w:tc>
          <w:tcPr>
            <w:tcW w:w="5156" w:type="dxa"/>
          </w:tcPr>
          <w:p w14:paraId="5FB7E5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Длина в линии полета (м) </w:t>
            </w:r>
          </w:p>
        </w:tc>
        <w:tc>
          <w:tcPr>
            <w:tcW w:w="5156" w:type="dxa"/>
          </w:tcPr>
          <w:p w14:paraId="2CE9D5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6,33</w:t>
            </w:r>
          </w:p>
        </w:tc>
      </w:tr>
      <w:tr w:rsidR="00E3599D" w:rsidRPr="00E14102" w14:paraId="754CDF3E" w14:textId="77777777">
        <w:tc>
          <w:tcPr>
            <w:tcW w:w="5156" w:type="dxa"/>
          </w:tcPr>
          <w:p w14:paraId="3F02E1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Площадь крыла (м2) </w:t>
            </w:r>
          </w:p>
        </w:tc>
        <w:tc>
          <w:tcPr>
            <w:tcW w:w="5156" w:type="dxa"/>
          </w:tcPr>
          <w:p w14:paraId="6C9D9A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8,96</w:t>
            </w:r>
          </w:p>
        </w:tc>
      </w:tr>
      <w:tr w:rsidR="00E3599D" w:rsidRPr="00E14102" w14:paraId="37E56417" w14:textId="77777777">
        <w:tc>
          <w:tcPr>
            <w:tcW w:w="5156" w:type="dxa"/>
          </w:tcPr>
          <w:p w14:paraId="211D3E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Масса пустого (кг)</w:t>
            </w:r>
          </w:p>
        </w:tc>
        <w:tc>
          <w:tcPr>
            <w:tcW w:w="5156" w:type="dxa"/>
          </w:tcPr>
          <w:p w14:paraId="79F144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1292</w:t>
            </w:r>
          </w:p>
        </w:tc>
      </w:tr>
      <w:tr w:rsidR="00E3599D" w:rsidRPr="00E14102" w14:paraId="4AADDC96" w14:textId="77777777">
        <w:tc>
          <w:tcPr>
            <w:tcW w:w="5156" w:type="dxa"/>
          </w:tcPr>
          <w:p w14:paraId="763D90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Полетная масса (кг) </w:t>
            </w:r>
          </w:p>
        </w:tc>
        <w:tc>
          <w:tcPr>
            <w:tcW w:w="5156" w:type="dxa"/>
          </w:tcPr>
          <w:p w14:paraId="32ED0A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1640</w:t>
            </w:r>
          </w:p>
        </w:tc>
      </w:tr>
      <w:tr w:rsidR="00E3599D" w:rsidRPr="00E14102" w14:paraId="7F254AC8" w14:textId="77777777">
        <w:tc>
          <w:tcPr>
            <w:tcW w:w="5156" w:type="dxa"/>
          </w:tcPr>
          <w:p w14:paraId="0AF442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у земли (км/ч)</w:t>
            </w:r>
          </w:p>
        </w:tc>
        <w:tc>
          <w:tcPr>
            <w:tcW w:w="5156" w:type="dxa"/>
          </w:tcPr>
          <w:p w14:paraId="57B96A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490</w:t>
            </w:r>
          </w:p>
        </w:tc>
      </w:tr>
      <w:tr w:rsidR="00E3599D" w:rsidRPr="00E14102" w14:paraId="157DF54C" w14:textId="77777777">
        <w:tc>
          <w:tcPr>
            <w:tcW w:w="5156" w:type="dxa"/>
          </w:tcPr>
          <w:p w14:paraId="54B2DC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Максимальная скорость на высоте 3380 м (км/ч) </w:t>
            </w:r>
          </w:p>
        </w:tc>
        <w:tc>
          <w:tcPr>
            <w:tcW w:w="5156" w:type="dxa"/>
          </w:tcPr>
          <w:p w14:paraId="6CBC79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565</w:t>
            </w:r>
          </w:p>
        </w:tc>
      </w:tr>
      <w:tr w:rsidR="00E3599D" w:rsidRPr="00E14102" w14:paraId="485D07F5" w14:textId="77777777">
        <w:tc>
          <w:tcPr>
            <w:tcW w:w="5156" w:type="dxa"/>
          </w:tcPr>
          <w:p w14:paraId="1C380F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Посадочная скорость (км/ч) </w:t>
            </w:r>
          </w:p>
        </w:tc>
        <w:tc>
          <w:tcPr>
            <w:tcW w:w="5156" w:type="dxa"/>
          </w:tcPr>
          <w:p w14:paraId="2DCA63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159</w:t>
            </w:r>
          </w:p>
        </w:tc>
      </w:tr>
      <w:tr w:rsidR="00E3599D" w:rsidRPr="00E14102" w14:paraId="18CA2F7B" w14:textId="77777777">
        <w:tc>
          <w:tcPr>
            <w:tcW w:w="5156" w:type="dxa"/>
          </w:tcPr>
          <w:p w14:paraId="34070E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Удельная нагрузка на крыло (кг/м2)</w:t>
            </w:r>
          </w:p>
        </w:tc>
        <w:tc>
          <w:tcPr>
            <w:tcW w:w="5156" w:type="dxa"/>
          </w:tcPr>
          <w:p w14:paraId="0DB5F6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183</w:t>
            </w:r>
          </w:p>
        </w:tc>
      </w:tr>
      <w:tr w:rsidR="00E3599D" w:rsidRPr="00E14102" w14:paraId="44198818" w14:textId="77777777">
        <w:tc>
          <w:tcPr>
            <w:tcW w:w="5156" w:type="dxa"/>
          </w:tcPr>
          <w:p w14:paraId="1F8C31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полета (км)</w:t>
            </w:r>
          </w:p>
        </w:tc>
        <w:tc>
          <w:tcPr>
            <w:tcW w:w="5156" w:type="dxa"/>
          </w:tcPr>
          <w:p w14:paraId="605BFD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750</w:t>
            </w:r>
          </w:p>
        </w:tc>
      </w:tr>
      <w:tr w:rsidR="00E3599D" w:rsidRPr="00E14102" w14:paraId="11B14245" w14:textId="77777777">
        <w:tc>
          <w:tcPr>
            <w:tcW w:w="5156" w:type="dxa"/>
          </w:tcPr>
          <w:p w14:paraId="2286E4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разбега (м)</w:t>
            </w:r>
          </w:p>
        </w:tc>
        <w:tc>
          <w:tcPr>
            <w:tcW w:w="5156" w:type="dxa"/>
          </w:tcPr>
          <w:p w14:paraId="2BE881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450-700</w:t>
            </w:r>
          </w:p>
        </w:tc>
      </w:tr>
      <w:tr w:rsidR="00E3599D" w:rsidRPr="00E14102" w14:paraId="23A28083" w14:textId="77777777">
        <w:tc>
          <w:tcPr>
            <w:tcW w:w="5156" w:type="dxa"/>
          </w:tcPr>
          <w:p w14:paraId="584802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Длина пробега (м) </w:t>
            </w:r>
          </w:p>
        </w:tc>
        <w:tc>
          <w:tcPr>
            <w:tcW w:w="5156" w:type="dxa"/>
          </w:tcPr>
          <w:p w14:paraId="5D871E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420-600</w:t>
            </w:r>
          </w:p>
        </w:tc>
      </w:tr>
      <w:tr w:rsidR="00E3599D" w:rsidRPr="00E14102" w14:paraId="500FE0AE" w14:textId="77777777">
        <w:tc>
          <w:tcPr>
            <w:tcW w:w="5156" w:type="dxa"/>
            <w:tcBorders>
              <w:bottom w:val="single" w:sz="12" w:space="0" w:color="auto"/>
            </w:tcBorders>
          </w:tcPr>
          <w:p w14:paraId="2C28E3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полета максимальная (км)</w:t>
            </w:r>
          </w:p>
        </w:tc>
        <w:tc>
          <w:tcPr>
            <w:tcW w:w="5156" w:type="dxa"/>
            <w:tcBorders>
              <w:bottom w:val="single" w:sz="12" w:space="0" w:color="auto"/>
            </w:tcBorders>
          </w:tcPr>
          <w:p w14:paraId="37B905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1180</w:t>
            </w:r>
          </w:p>
        </w:tc>
      </w:tr>
    </w:tbl>
    <w:p w14:paraId="0C2B64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(11951).</w:t>
      </w:r>
    </w:p>
    <w:p w14:paraId="77C9D444" w14:textId="77777777" w:rsidR="00D4105E" w:rsidRPr="00E14102" w:rsidRDefault="00D4105E" w:rsidP="00E14102">
      <w:pPr>
        <w:autoSpaceDE w:val="0"/>
        <w:autoSpaceDN w:val="0"/>
        <w:adjustRightInd w:val="0"/>
        <w:jc w:val="both"/>
        <w:rPr>
          <w:color w:val="000000" w:themeColor="text1"/>
          <w:sz w:val="16"/>
          <w:szCs w:val="16"/>
        </w:rPr>
      </w:pPr>
    </w:p>
    <w:p w14:paraId="14E12E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проводились эксперименты по сцепке летящего планера с самолетом (94,8).</w:t>
      </w:r>
    </w:p>
    <w:p w14:paraId="1DBA8569" w14:textId="77777777" w:rsidR="00D4105E" w:rsidRPr="00E14102" w:rsidRDefault="00D4105E" w:rsidP="00E14102">
      <w:pPr>
        <w:autoSpaceDE w:val="0"/>
        <w:autoSpaceDN w:val="0"/>
        <w:adjustRightInd w:val="0"/>
        <w:jc w:val="both"/>
        <w:rPr>
          <w:color w:val="000000" w:themeColor="text1"/>
          <w:sz w:val="16"/>
          <w:szCs w:val="16"/>
        </w:rPr>
      </w:pPr>
    </w:p>
    <w:p w14:paraId="179CD8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в Тушино Бородиным и Васяниным проводились эксперименты по подхвату планера самолетом в воздухе (429,121).</w:t>
      </w:r>
    </w:p>
    <w:p w14:paraId="772B5C2D" w14:textId="77777777" w:rsidR="00D4105E" w:rsidRPr="00E14102" w:rsidRDefault="00D4105E" w:rsidP="00E14102">
      <w:pPr>
        <w:autoSpaceDE w:val="0"/>
        <w:autoSpaceDN w:val="0"/>
        <w:adjustRightInd w:val="0"/>
        <w:jc w:val="both"/>
        <w:rPr>
          <w:color w:val="000000" w:themeColor="text1"/>
          <w:sz w:val="16"/>
          <w:szCs w:val="16"/>
        </w:rPr>
      </w:pPr>
    </w:p>
    <w:p w14:paraId="557C1F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в Таганрогском аэроклубе на основе планера Г-14 разработали еще один проект летающей цистерны на 1 т горючего. Хотели переливать в полете не только в буксировщик, но и в другие самолеты (94,10).</w:t>
      </w:r>
    </w:p>
    <w:p w14:paraId="15DE2764" w14:textId="77777777" w:rsidR="00D4105E" w:rsidRPr="00E14102" w:rsidRDefault="00D4105E" w:rsidP="00E14102">
      <w:pPr>
        <w:autoSpaceDE w:val="0"/>
        <w:autoSpaceDN w:val="0"/>
        <w:adjustRightInd w:val="0"/>
        <w:jc w:val="both"/>
        <w:rPr>
          <w:color w:val="000000" w:themeColor="text1"/>
          <w:sz w:val="16"/>
          <w:szCs w:val="16"/>
        </w:rPr>
      </w:pPr>
    </w:p>
    <w:p w14:paraId="0699E838" w14:textId="77777777" w:rsidR="00D4105E" w:rsidRPr="00E14102" w:rsidRDefault="00D4105E" w:rsidP="00E14102">
      <w:pPr>
        <w:tabs>
          <w:tab w:val="left" w:pos="360"/>
        </w:tabs>
        <w:autoSpaceDE w:val="0"/>
        <w:autoSpaceDN w:val="0"/>
        <w:adjustRightInd w:val="0"/>
        <w:jc w:val="both"/>
        <w:rPr>
          <w:color w:val="000000" w:themeColor="text1"/>
          <w:sz w:val="16"/>
          <w:szCs w:val="16"/>
        </w:rPr>
      </w:pPr>
      <w:r w:rsidRPr="00E14102">
        <w:rPr>
          <w:color w:val="000000" w:themeColor="text1"/>
          <w:sz w:val="16"/>
          <w:szCs w:val="16"/>
        </w:rPr>
        <w:t>В конце 1935 года автожир А-7 был передан на госиспытания. На госиспытаниях эта машина выявила достаточно удовлетворительные для автожира результаты, основываясь на чем военное ведомство приняло решение построить небольшую серию этих машин для войсковых испытаний. Этот автожир А-7 явился по существу первым советским автожиром, дающим удовлетворительные летные данные и приближающимся к современным требованиям авиации. Однако, несмотря на это, эта машина конструктивно и производственно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перепроектированию, а запуск этой перепроектированной машины в серию без испытания на опытном экземпляре, сопряжен со значительным неоправданным риском и может только затормозить дальнейшее развитие автожиростроения (имея в виду печальный опыт серии автожиров А-4). Соответствующие работники ВВС, упустившие значительный период времени в деле внедрения и использования автожиров, думают настоящее время неоправдываемой поспешностью исправить свое упущение, что может быть чревато еще большими неприятностями (3849,13).</w:t>
      </w:r>
    </w:p>
    <w:p w14:paraId="596E6B5B" w14:textId="77777777" w:rsidR="00D4105E" w:rsidRPr="00E14102" w:rsidRDefault="00D4105E" w:rsidP="00E14102">
      <w:pPr>
        <w:tabs>
          <w:tab w:val="left" w:pos="360"/>
        </w:tabs>
        <w:autoSpaceDE w:val="0"/>
        <w:autoSpaceDN w:val="0"/>
        <w:adjustRightInd w:val="0"/>
        <w:jc w:val="both"/>
        <w:rPr>
          <w:color w:val="000000" w:themeColor="text1"/>
          <w:sz w:val="16"/>
          <w:szCs w:val="16"/>
        </w:rPr>
      </w:pPr>
    </w:p>
    <w:p w14:paraId="7C1979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был закончен ДАР Р.Л.Б. на заводе Опытных конструкций ГВФ и Ленинградского судостроительного завода (2793,27). Потом работали до 1940 и проблемой было то, что после сварки нержавеющая сталь теряла свои свойства (99,199).</w:t>
      </w:r>
    </w:p>
    <w:p w14:paraId="784585EA" w14:textId="77777777" w:rsidR="00D4105E" w:rsidRPr="00E14102" w:rsidRDefault="00D4105E" w:rsidP="00E14102">
      <w:pPr>
        <w:autoSpaceDE w:val="0"/>
        <w:autoSpaceDN w:val="0"/>
        <w:adjustRightInd w:val="0"/>
        <w:jc w:val="both"/>
        <w:rPr>
          <w:color w:val="000000" w:themeColor="text1"/>
          <w:sz w:val="16"/>
          <w:szCs w:val="16"/>
        </w:rPr>
      </w:pPr>
    </w:p>
    <w:p w14:paraId="1E2F6A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был построен и испытан ДАР Р.Л.Бартини (91,61). Также ДАР испытывался весной 1936. Летал сам Б.Г.Чухновский. Полярная авиация заказала 5, но строить не стали из-за сложности (80,270).</w:t>
      </w:r>
    </w:p>
    <w:p w14:paraId="1C0275EB" w14:textId="77777777" w:rsidR="00D4105E" w:rsidRPr="00E14102" w:rsidRDefault="00D4105E" w:rsidP="00E14102">
      <w:pPr>
        <w:autoSpaceDE w:val="0"/>
        <w:autoSpaceDN w:val="0"/>
        <w:adjustRightInd w:val="0"/>
        <w:jc w:val="both"/>
        <w:rPr>
          <w:color w:val="000000" w:themeColor="text1"/>
          <w:sz w:val="16"/>
          <w:szCs w:val="16"/>
        </w:rPr>
      </w:pPr>
    </w:p>
    <w:p w14:paraId="25726B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закончили ДАР. Плановый срок был 20 мая 1934 г. Проведение дополнительных исследова</w:t>
      </w:r>
      <w:r w:rsidRPr="00E14102">
        <w:rPr>
          <w:color w:val="000000" w:themeColor="text1"/>
          <w:sz w:val="16"/>
          <w:szCs w:val="16"/>
        </w:rPr>
        <w:softHyphen/>
        <w:t>ний и использование оригинальных техноло</w:t>
      </w:r>
      <w:r w:rsidRPr="00E14102">
        <w:rPr>
          <w:color w:val="000000" w:themeColor="text1"/>
          <w:sz w:val="16"/>
          <w:szCs w:val="16"/>
        </w:rPr>
        <w:softHyphen/>
        <w:t>гий, конечно, несколько задержало сроки по</w:t>
      </w:r>
      <w:r w:rsidRPr="00E14102">
        <w:rPr>
          <w:color w:val="000000" w:themeColor="text1"/>
          <w:sz w:val="16"/>
          <w:szCs w:val="16"/>
        </w:rPr>
        <w:softHyphen/>
        <w:t>стройки.</w:t>
      </w:r>
    </w:p>
    <w:p w14:paraId="319D55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Однако прежде испытали особое устрой</w:t>
      </w:r>
      <w:r w:rsidRPr="00E14102">
        <w:rPr>
          <w:color w:val="000000" w:themeColor="text1"/>
          <w:sz w:val="16"/>
          <w:szCs w:val="16"/>
        </w:rPr>
        <w:softHyphen/>
        <w:t>ство, которым оснастили одну из летающих лодок Дорнье «Валь». Устройство было пред</w:t>
      </w:r>
      <w:r w:rsidRPr="00E14102">
        <w:rPr>
          <w:color w:val="000000" w:themeColor="text1"/>
          <w:sz w:val="16"/>
          <w:szCs w:val="16"/>
        </w:rPr>
        <w:softHyphen/>
        <w:t>назначено для более безопасной эксплуата</w:t>
      </w:r>
      <w:r w:rsidRPr="00E14102">
        <w:rPr>
          <w:color w:val="000000" w:themeColor="text1"/>
          <w:sz w:val="16"/>
          <w:szCs w:val="16"/>
        </w:rPr>
        <w:softHyphen/>
        <w:t>ции ДАРа со льда и снега. В.Б. Шавров в «Истории конструкций...» писал, что оно «... представляло собой пять резиновых мешков-камер длиной 1 м и диаметром 0,25 м. Камеры были обклеены брезентом, а снизу за</w:t>
      </w:r>
      <w:r w:rsidRPr="00E14102">
        <w:rPr>
          <w:color w:val="000000" w:themeColor="text1"/>
          <w:sz w:val="16"/>
          <w:szCs w:val="16"/>
        </w:rPr>
        <w:softHyphen/>
        <w:t>щищены полозами из 20-мм фанеры, облицо</w:t>
      </w:r>
      <w:r w:rsidRPr="00E14102">
        <w:rPr>
          <w:color w:val="000000" w:themeColor="text1"/>
          <w:sz w:val="16"/>
          <w:szCs w:val="16"/>
        </w:rPr>
        <w:softHyphen/>
        <w:t>ванной нержавеющей сталью толщиной 0,8 мм. По бокам эти полозы прикрывались гоф</w:t>
      </w:r>
      <w:r w:rsidRPr="00E14102">
        <w:rPr>
          <w:color w:val="000000" w:themeColor="text1"/>
          <w:sz w:val="16"/>
          <w:szCs w:val="16"/>
        </w:rPr>
        <w:softHyphen/>
        <w:t>рированным стальным листом, допускавшим их осадку. Указанная конструкция с успехом выдержала испытания весной 1936 г., она действительно смягчала посадку и снижала толчки при разбеге».</w:t>
      </w:r>
    </w:p>
    <w:p w14:paraId="7BEB05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Описанными взлетными полозами на днище оснастили один из черноморских «Валей». Работу провели в Севастополе, на ремзаводе №45 на рубеже 1935-1936 гг. Для испытаний экипаж военных летчиков вместе с Чухновским перелетел на этой летающей лодке на Азовское море. Садились и взлетали со льда во второй половине февраля 1936 г. Лед оказался слабый, трещал и проваливался, однако «Валь» с новым днищем с успехом до</w:t>
      </w:r>
      <w:r w:rsidRPr="00E14102">
        <w:rPr>
          <w:color w:val="000000" w:themeColor="text1"/>
          <w:sz w:val="16"/>
          <w:szCs w:val="16"/>
        </w:rPr>
        <w:softHyphen/>
        <w:t>казал свои вездеходные возможности (11978).</w:t>
      </w:r>
    </w:p>
    <w:p w14:paraId="02398EA4" w14:textId="77777777" w:rsidR="00D4105E" w:rsidRPr="00E14102" w:rsidRDefault="00D4105E" w:rsidP="00E14102">
      <w:pPr>
        <w:autoSpaceDE w:val="0"/>
        <w:autoSpaceDN w:val="0"/>
        <w:adjustRightInd w:val="0"/>
        <w:jc w:val="both"/>
        <w:rPr>
          <w:color w:val="000000" w:themeColor="text1"/>
          <w:sz w:val="16"/>
          <w:szCs w:val="16"/>
        </w:rPr>
      </w:pPr>
    </w:p>
    <w:p w14:paraId="7521D2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конце 1935 года в Москву поступила информация о новом американском легком бомбардировщике-штурмовике "Валти" V-11. Докладывая наркому обороны К.Е.Ворошилову о планах приобретения в США авиационных лицензий, начальник штаба ВВС РККА В.К.Лавров подчеркивал, что "штурмовик "Валти" обладает исключительно высокими данными по скорости и по дальности". В сравнении с морально устаревшими советскими штурмовиками-бипланами Р-5Ш и ССС так оно и было. В результате V-11 включили в список на покупку лицензий, утвержденный решением Совета Труда и Обороны (СТО - тогдашний аналог совета министров) 11 апреля 1936 г. Вскоре начались переговоры с руководством фирмы "Валти" (11470). </w:t>
      </w:r>
    </w:p>
    <w:p w14:paraId="2D97C5DE" w14:textId="77777777" w:rsidR="00D4105E" w:rsidRPr="00E14102" w:rsidRDefault="00D4105E" w:rsidP="00E14102">
      <w:pPr>
        <w:autoSpaceDE w:val="0"/>
        <w:autoSpaceDN w:val="0"/>
        <w:adjustRightInd w:val="0"/>
        <w:jc w:val="both"/>
        <w:rPr>
          <w:color w:val="000000" w:themeColor="text1"/>
          <w:sz w:val="16"/>
          <w:szCs w:val="16"/>
        </w:rPr>
      </w:pPr>
    </w:p>
    <w:p w14:paraId="328EA141" w14:textId="77777777" w:rsidR="00E3675F" w:rsidRPr="00E14102" w:rsidRDefault="00E3675F" w:rsidP="00E14102">
      <w:pPr>
        <w:pStyle w:val="rtejustify"/>
        <w:shd w:val="clear" w:color="auto" w:fill="FFFFFF"/>
        <w:spacing w:before="0" w:after="0"/>
        <w:rPr>
          <w:color w:val="000000" w:themeColor="text1"/>
          <w:sz w:val="16"/>
          <w:szCs w:val="16"/>
        </w:rPr>
      </w:pPr>
      <w:r w:rsidRPr="00E14102">
        <w:rPr>
          <w:color w:val="000000" w:themeColor="text1"/>
          <w:sz w:val="16"/>
          <w:szCs w:val="16"/>
        </w:rPr>
        <w:t>В конце 1935 года в Москву поступила информация о новом американском легком бомбарди</w:t>
      </w:r>
      <w:r w:rsidRPr="00E14102">
        <w:rPr>
          <w:color w:val="000000" w:themeColor="text1"/>
          <w:sz w:val="16"/>
          <w:szCs w:val="16"/>
        </w:rPr>
        <w:softHyphen/>
        <w:t>ров</w:t>
      </w:r>
      <w:r w:rsidRPr="00E14102">
        <w:rPr>
          <w:color w:val="000000" w:themeColor="text1"/>
          <w:sz w:val="16"/>
          <w:szCs w:val="16"/>
        </w:rPr>
        <w:softHyphen/>
        <w:t>щике-штурмовике «Валти» V-11. Докладывая наркому обороны К. Е. Ворошилову о планах приоб</w:t>
      </w:r>
      <w:r w:rsidRPr="00E14102">
        <w:rPr>
          <w:color w:val="000000" w:themeColor="text1"/>
          <w:sz w:val="16"/>
          <w:szCs w:val="16"/>
        </w:rPr>
        <w:softHyphen/>
        <w:t>ре</w:t>
      </w:r>
      <w:r w:rsidRPr="00E14102">
        <w:rPr>
          <w:color w:val="000000" w:themeColor="text1"/>
          <w:sz w:val="16"/>
          <w:szCs w:val="16"/>
        </w:rPr>
        <w:softHyphen/>
        <w:t>тения в США авиационных лицензий, начальник штаба ВВС РККА В. К. Лавров подчеркивал, что</w:t>
      </w:r>
    </w:p>
    <w:p w14:paraId="24CCF8A8" w14:textId="77777777" w:rsidR="00E3675F" w:rsidRPr="00E14102" w:rsidRDefault="00E3675F"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Style w:val="a6"/>
          <w:rFonts w:ascii="Times New Roman" w:eastAsiaTheme="majorEastAsia" w:hAnsi="Times New Roman" w:cs="Times New Roman"/>
          <w:i w:val="0"/>
          <w:color w:val="000000" w:themeColor="text1"/>
          <w:sz w:val="16"/>
          <w:szCs w:val="16"/>
          <w:bdr w:val="none" w:sz="0" w:space="0" w:color="auto" w:frame="1"/>
          <w:lang w:val="ru-RU"/>
        </w:rPr>
        <w:t>«штурмовик «Валти» обладает исключительно высокими данными по скорости и по дальности».</w:t>
      </w:r>
    </w:p>
    <w:p w14:paraId="666C07CA" w14:textId="77777777" w:rsidR="00E3675F" w:rsidRPr="00E14102" w:rsidRDefault="00E3675F" w:rsidP="00E14102">
      <w:pPr>
        <w:pStyle w:val="rtejustify"/>
        <w:shd w:val="clear" w:color="auto" w:fill="FFFFFF"/>
        <w:spacing w:before="0" w:after="0"/>
        <w:rPr>
          <w:color w:val="000000" w:themeColor="text1"/>
          <w:sz w:val="16"/>
          <w:szCs w:val="16"/>
        </w:rPr>
      </w:pPr>
      <w:r w:rsidRPr="00E14102">
        <w:rPr>
          <w:color w:val="000000" w:themeColor="text1"/>
          <w:sz w:val="16"/>
          <w:szCs w:val="16"/>
        </w:rPr>
        <w:t>В результате V-11 включили в список на покупку лицензий, утвержденный решением Совета Труда и Обороны (СТО – тогдашний аналог совета министров) 11 апреля 1935 г. Вскоре начались пере</w:t>
      </w:r>
      <w:r w:rsidRPr="00E14102">
        <w:rPr>
          <w:color w:val="000000" w:themeColor="text1"/>
          <w:sz w:val="16"/>
          <w:szCs w:val="16"/>
        </w:rPr>
        <w:softHyphen/>
        <w:t>говоры с руководством фирмы «Валти» (19199).</w:t>
      </w:r>
    </w:p>
    <w:p w14:paraId="5973CA84" w14:textId="77777777" w:rsidR="00E3675F" w:rsidRPr="00E14102" w:rsidRDefault="00E3675F" w:rsidP="00E14102">
      <w:pPr>
        <w:pStyle w:val="rtejustify"/>
        <w:shd w:val="clear" w:color="auto" w:fill="FFFFFF"/>
        <w:spacing w:before="0" w:after="0"/>
        <w:rPr>
          <w:color w:val="000000" w:themeColor="text1"/>
          <w:sz w:val="16"/>
          <w:szCs w:val="16"/>
        </w:rPr>
      </w:pPr>
    </w:p>
    <w:p w14:paraId="4A2D06A4" w14:textId="77777777" w:rsidR="00E3675F" w:rsidRPr="00E14102" w:rsidRDefault="00E3675F"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К концу 1935 года И-5 составляли уже заметную часть парка истребительной авиации, хотя по численности они еще уступали И-3 и И-4. Интересно сравнить И-5 с истребителями, состоявшими на вооружении различных стран в первой половине 30-х годов, которые могли стать для него потенциальными противниками. Практически все истребители, выпущенные в 1928-31 годах, так же как и наш И-5, были бипланами (особняком стоит только сконструированный в Польше </w:t>
      </w:r>
      <w:r w:rsidRPr="00E14102">
        <w:rPr>
          <w:rFonts w:ascii="Times New Roman" w:hAnsi="Times New Roman" w:cs="Times New Roman"/>
          <w:color w:val="000000" w:themeColor="text1"/>
          <w:sz w:val="16"/>
          <w:szCs w:val="16"/>
        </w:rPr>
        <w:t>PZL</w:t>
      </w:r>
      <w:r w:rsidRPr="00E14102">
        <w:rPr>
          <w:rFonts w:ascii="Times New Roman" w:hAnsi="Times New Roman" w:cs="Times New Roman"/>
          <w:color w:val="000000" w:themeColor="text1"/>
          <w:sz w:val="16"/>
          <w:szCs w:val="16"/>
          <w:lang w:val="ru-RU"/>
        </w:rPr>
        <w:t xml:space="preserve"> Р.7а – подкосный высокоплан с крылом типа «чайка»). Вооружение у всех тоже было одинаковым: два пулемета винтовочного калибра (7,62 мм – у советских и американских, 7,69 мм – у английских, 7,5 мм – у французских) и 20-50 кг бомб.</w:t>
      </w:r>
    </w:p>
    <w:p w14:paraId="3C648F81" w14:textId="77777777" w:rsidR="00E3675F" w:rsidRPr="00E14102" w:rsidRDefault="00E3675F"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И-5 выглядит среди них явным «середнячком», не выделяясь ни сверхвысокой максимальной скоростью (английский Хаукер «Фьюри» и американский Кертис Р-6Е опережали его на 35–50 км/ч за счет гораздо более мощных моторов водяного охлаждения с маленьким миделем), ни потолком (здесь он сильно уступал чехословацкому ВН.33Е и многим другим машинам с высотными двигателями), ни скороподъемностью (в подъеме на 3000 м он проигрывал «Фьюри» более минуты).</w:t>
      </w:r>
    </w:p>
    <w:p w14:paraId="78E21E1A" w14:textId="77777777" w:rsidR="00E3675F" w:rsidRPr="00E14102" w:rsidRDefault="00E3675F"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Зато у земли И-5 уступал ненамного или вообще не уступал конкурентам по скорости и выделялся отличной маневренностью. Легкий и компактный самолет с небольшой нагрузкой на крыло имел очень малый радиус виража, и здесь ему поистине не было равных. И-5 легко и послушно выполнял все фигуры высшего пилотажа. В целом до 1934–35 годов, когда на вооружение разных стран поступили истребители-бипланы нового поколения, И-5 оставался вполне на уровне той техники, которой располагали потенциальные противники.</w:t>
      </w:r>
    </w:p>
    <w:p w14:paraId="15A9CE46" w14:textId="77777777" w:rsidR="00E3675F" w:rsidRPr="00E14102" w:rsidRDefault="00E3675F" w:rsidP="00E14102">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Истребитель строился до конца 1934 г. На последних сериях внедрили часть нововведений, появившихся на опытном самолете И-5бис (он же «эталон 1933 г.»), – вооружение из четырех ПВ-1, измененную приборную доску, металлические пропеллеры. Всего собрали более 800 машин, в том числе 20 УТИ-1. Это был двухместный учебный вариант, созданный на заводе №21 местными конструк</w:t>
      </w:r>
      <w:r w:rsidRPr="00E14102">
        <w:rPr>
          <w:rFonts w:ascii="Times New Roman" w:hAnsi="Times New Roman" w:cs="Times New Roman"/>
          <w:color w:val="000000" w:themeColor="text1"/>
          <w:sz w:val="16"/>
          <w:szCs w:val="16"/>
          <w:lang w:val="ru-RU"/>
        </w:rPr>
        <w:softHyphen/>
        <w:t>торами</w:t>
      </w:r>
      <w:r w:rsidRPr="00E14102">
        <w:rPr>
          <w:rFonts w:ascii="Times New Roman" w:hAnsi="Times New Roman" w:cs="Times New Roman"/>
          <w:color w:val="000000" w:themeColor="text1"/>
          <w:sz w:val="16"/>
          <w:szCs w:val="16"/>
        </w:rPr>
        <w:t> </w:t>
      </w:r>
      <w:hyperlink r:id="rId344" w:history="1">
        <w:r w:rsidRPr="00E14102">
          <w:rPr>
            <w:rStyle w:val="a3"/>
            <w:rFonts w:ascii="Times New Roman" w:hAnsi="Times New Roman" w:cs="Times New Roman"/>
            <w:b w:val="0"/>
            <w:color w:val="000000" w:themeColor="text1"/>
            <w:sz w:val="16"/>
            <w:szCs w:val="16"/>
            <w:bdr w:val="none" w:sz="0" w:space="0" w:color="auto" w:frame="1"/>
            <w:lang w:val="ru-RU"/>
          </w:rPr>
          <w:t>А. Боровковым и И. Флоровым (19176).</w:t>
        </w:r>
      </w:hyperlink>
    </w:p>
    <w:p w14:paraId="2E5B0C9A" w14:textId="77777777" w:rsidR="00E3675F" w:rsidRPr="00E14102" w:rsidRDefault="00E3675F" w:rsidP="00E14102">
      <w:pPr>
        <w:pStyle w:val="rtecenter"/>
        <w:shd w:val="clear" w:color="auto" w:fill="FFFFFF"/>
        <w:spacing w:before="0" w:after="0"/>
        <w:jc w:val="both"/>
        <w:textAlignment w:val="baseline"/>
        <w:rPr>
          <w:color w:val="000000" w:themeColor="text1"/>
          <w:sz w:val="16"/>
          <w:szCs w:val="16"/>
        </w:rPr>
      </w:pPr>
    </w:p>
    <w:p w14:paraId="561F1BA7" w14:textId="77777777" w:rsidR="00F54C89" w:rsidRPr="00E14102" w:rsidRDefault="00F54C89" w:rsidP="00E14102">
      <w:pPr>
        <w:jc w:val="both"/>
        <w:rPr>
          <w:color w:val="0070C0"/>
          <w:sz w:val="16"/>
          <w:szCs w:val="16"/>
        </w:rPr>
      </w:pPr>
      <w:r w:rsidRPr="00E14102">
        <w:rPr>
          <w:color w:val="0070C0"/>
          <w:sz w:val="16"/>
          <w:szCs w:val="16"/>
        </w:rPr>
        <w:t>В конце 1935 г. в ООК ЦАГИ началась разработка эскизного проекта автожира А-15. Он предполагался как многоце</w:t>
      </w:r>
      <w:r w:rsidRPr="00E14102">
        <w:rPr>
          <w:color w:val="0070C0"/>
          <w:sz w:val="16"/>
          <w:szCs w:val="16"/>
        </w:rPr>
        <w:softHyphen/>
        <w:t>левой военный аппарат для выполнения ближней развед</w:t>
      </w:r>
      <w:r w:rsidRPr="00E14102">
        <w:rPr>
          <w:color w:val="0070C0"/>
          <w:sz w:val="16"/>
          <w:szCs w:val="16"/>
        </w:rPr>
        <w:softHyphen/>
        <w:t>ки и корректирования артиллерийского огня. Рабочее про</w:t>
      </w:r>
      <w:r w:rsidRPr="00E14102">
        <w:rPr>
          <w:color w:val="0070C0"/>
          <w:sz w:val="16"/>
          <w:szCs w:val="16"/>
        </w:rPr>
        <w:softHyphen/>
        <w:t>ектирование, наблюдение за строительством и подготов</w:t>
      </w:r>
      <w:r w:rsidRPr="00E14102">
        <w:rPr>
          <w:color w:val="0070C0"/>
          <w:sz w:val="16"/>
          <w:szCs w:val="16"/>
        </w:rPr>
        <w:softHyphen/>
        <w:t>ка к испытаниям велась под руководством В.А. Кузнецова. Автожир строился в 1936-37 гг. в цехе винтовых аппара</w:t>
      </w:r>
      <w:r w:rsidRPr="00E14102">
        <w:rPr>
          <w:color w:val="0070C0"/>
          <w:sz w:val="16"/>
          <w:szCs w:val="16"/>
        </w:rPr>
        <w:softHyphen/>
        <w:t>тов завода № 156.</w:t>
      </w:r>
    </w:p>
    <w:p w14:paraId="0274B6EE" w14:textId="77777777" w:rsidR="00F54C89" w:rsidRPr="00E14102" w:rsidRDefault="00F54C89" w:rsidP="00E14102">
      <w:pPr>
        <w:jc w:val="both"/>
        <w:rPr>
          <w:color w:val="0070C0"/>
          <w:sz w:val="16"/>
          <w:szCs w:val="16"/>
        </w:rPr>
      </w:pPr>
      <w:r w:rsidRPr="00E14102">
        <w:rPr>
          <w:color w:val="0070C0"/>
          <w:sz w:val="16"/>
          <w:szCs w:val="16"/>
        </w:rPr>
        <w:t>А-15 представлял собой двухместный бескрылый авто</w:t>
      </w:r>
      <w:r w:rsidRPr="00E14102">
        <w:rPr>
          <w:color w:val="0070C0"/>
          <w:sz w:val="16"/>
          <w:szCs w:val="16"/>
        </w:rPr>
        <w:softHyphen/>
        <w:t>жир с непосредственным управлением втулкой ротора, ос</w:t>
      </w:r>
      <w:r w:rsidRPr="00E14102">
        <w:rPr>
          <w:color w:val="0070C0"/>
          <w:sz w:val="16"/>
          <w:szCs w:val="16"/>
        </w:rPr>
        <w:softHyphen/>
        <w:t>нащенный двигателем М-25в мощностью 725 л.с. с воз</w:t>
      </w:r>
      <w:r w:rsidRPr="00E14102">
        <w:rPr>
          <w:color w:val="0070C0"/>
          <w:sz w:val="16"/>
          <w:szCs w:val="16"/>
        </w:rPr>
        <w:softHyphen/>
        <w:t>душным винтом «Гамильтон - Стандарт» диаметром 2,96 м. Автожир имел наибольшие размеры и полетный вес сре</w:t>
      </w:r>
      <w:r w:rsidRPr="00E14102">
        <w:rPr>
          <w:color w:val="0070C0"/>
          <w:sz w:val="16"/>
          <w:szCs w:val="16"/>
        </w:rPr>
        <w:softHyphen/>
        <w:t>ди всех советских автожиров.</w:t>
      </w:r>
    </w:p>
    <w:p w14:paraId="529A7318" w14:textId="77777777" w:rsidR="00F54C89" w:rsidRPr="00E14102" w:rsidRDefault="00F54C89" w:rsidP="00E14102">
      <w:pPr>
        <w:jc w:val="both"/>
        <w:rPr>
          <w:color w:val="0070C0"/>
          <w:sz w:val="16"/>
          <w:szCs w:val="16"/>
        </w:rPr>
      </w:pPr>
      <w:r w:rsidRPr="00E14102">
        <w:rPr>
          <w:color w:val="0070C0"/>
          <w:sz w:val="16"/>
          <w:szCs w:val="16"/>
        </w:rPr>
        <w:t>Трехлопастный ротор А-15 диаметром 18 м являлся на</w:t>
      </w:r>
      <w:r w:rsidRPr="00E14102">
        <w:rPr>
          <w:color w:val="0070C0"/>
          <w:sz w:val="16"/>
          <w:szCs w:val="16"/>
        </w:rPr>
        <w:softHyphen/>
        <w:t>ибольшим среди ранее построенных автожиров. Управле</w:t>
      </w:r>
      <w:r w:rsidRPr="00E14102">
        <w:rPr>
          <w:color w:val="0070C0"/>
          <w:sz w:val="16"/>
          <w:szCs w:val="16"/>
        </w:rPr>
        <w:softHyphen/>
        <w:t>ние ротором непосредственное с фиксацией положения втулки в нерабочем положении. Большой диаметр ротора обусловил высокие окружные скорости для концов лопа</w:t>
      </w:r>
      <w:r w:rsidRPr="00E14102">
        <w:rPr>
          <w:color w:val="0070C0"/>
          <w:sz w:val="16"/>
          <w:szCs w:val="16"/>
        </w:rPr>
        <w:softHyphen/>
        <w:t>стей, поэтому профиль их сечения по радиусу менялся. От оси вращения до радиуса 5,5 м использовался профиль ЦАГИ серии В относительной толщины 15-17,6%. На кон</w:t>
      </w:r>
      <w:r w:rsidRPr="00E14102">
        <w:rPr>
          <w:color w:val="0070C0"/>
          <w:sz w:val="16"/>
          <w:szCs w:val="16"/>
        </w:rPr>
        <w:softHyphen/>
        <w:t>цевой части лопасти использовался скоростной профиль Стэк относительной толщины 11-12,8%.</w:t>
      </w:r>
    </w:p>
    <w:p w14:paraId="0A3E4720" w14:textId="77777777" w:rsidR="00F54C89" w:rsidRPr="00E14102" w:rsidRDefault="00F54C89" w:rsidP="00E14102">
      <w:pPr>
        <w:jc w:val="both"/>
        <w:rPr>
          <w:color w:val="0070C0"/>
          <w:sz w:val="16"/>
          <w:szCs w:val="16"/>
        </w:rPr>
      </w:pPr>
      <w:r w:rsidRPr="00E14102">
        <w:rPr>
          <w:color w:val="0070C0"/>
          <w:sz w:val="16"/>
          <w:szCs w:val="16"/>
        </w:rPr>
        <w:t>Конструктивно лопасти несущего ротора А-15 были по</w:t>
      </w:r>
      <w:r w:rsidRPr="00E14102">
        <w:rPr>
          <w:color w:val="0070C0"/>
          <w:sz w:val="16"/>
          <w:szCs w:val="16"/>
        </w:rPr>
        <w:softHyphen/>
        <w:t>добны лопастям автожира А-12: состояли из стального трубчатого лонжерона с деревянными нервюрами, с об</w:t>
      </w:r>
      <w:r w:rsidRPr="00E14102">
        <w:rPr>
          <w:color w:val="0070C0"/>
          <w:sz w:val="16"/>
          <w:szCs w:val="16"/>
        </w:rPr>
        <w:softHyphen/>
        <w:t>шивкой из фанеры и полотна. В крепление лопастей ро</w:t>
      </w:r>
      <w:r w:rsidRPr="00E14102">
        <w:rPr>
          <w:color w:val="0070C0"/>
          <w:sz w:val="16"/>
          <w:szCs w:val="16"/>
        </w:rPr>
        <w:softHyphen/>
        <w:t>тора включены гидравлические демпферы, которые впос</w:t>
      </w:r>
      <w:r w:rsidRPr="00E14102">
        <w:rPr>
          <w:color w:val="0070C0"/>
          <w:sz w:val="16"/>
          <w:szCs w:val="16"/>
        </w:rPr>
        <w:softHyphen/>
        <w:t>ледствии стали основной заботой при доводке автожира.</w:t>
      </w:r>
    </w:p>
    <w:p w14:paraId="123B5438" w14:textId="77777777" w:rsidR="00F54C89" w:rsidRPr="00E14102" w:rsidRDefault="00F54C89" w:rsidP="00E14102">
      <w:pPr>
        <w:jc w:val="both"/>
        <w:rPr>
          <w:color w:val="0070C0"/>
          <w:sz w:val="16"/>
          <w:szCs w:val="16"/>
        </w:rPr>
      </w:pPr>
      <w:r w:rsidRPr="00E14102">
        <w:rPr>
          <w:color w:val="0070C0"/>
          <w:sz w:val="16"/>
          <w:szCs w:val="16"/>
        </w:rPr>
        <w:t>Крепление ротора осуществлено на мощной централь</w:t>
      </w:r>
      <w:r w:rsidRPr="00E14102">
        <w:rPr>
          <w:color w:val="0070C0"/>
          <w:sz w:val="16"/>
          <w:szCs w:val="16"/>
        </w:rPr>
        <w:softHyphen/>
        <w:t>ной стойке, размещенной перед передней кабиной. Стой-</w:t>
      </w:r>
    </w:p>
    <w:p w14:paraId="091AA7A9" w14:textId="77777777" w:rsidR="00F54C89" w:rsidRPr="00E14102" w:rsidRDefault="00F54C89" w:rsidP="00E14102">
      <w:pPr>
        <w:jc w:val="both"/>
        <w:rPr>
          <w:color w:val="0070C0"/>
          <w:sz w:val="16"/>
          <w:szCs w:val="16"/>
        </w:rPr>
      </w:pPr>
      <w:r w:rsidRPr="00E14102">
        <w:rPr>
          <w:color w:val="0070C0"/>
          <w:sz w:val="16"/>
          <w:szCs w:val="16"/>
        </w:rPr>
        <w:t>ка крепилась дополнительным передним подкосом и бо</w:t>
      </w:r>
      <w:r w:rsidRPr="00E14102">
        <w:rPr>
          <w:color w:val="0070C0"/>
          <w:sz w:val="16"/>
          <w:szCs w:val="16"/>
        </w:rPr>
        <w:softHyphen/>
        <w:t>ковыми стальными расчалками.</w:t>
      </w:r>
    </w:p>
    <w:p w14:paraId="5E9EC487" w14:textId="77777777" w:rsidR="00F54C89" w:rsidRPr="00E14102" w:rsidRDefault="00F54C89" w:rsidP="00E14102">
      <w:pPr>
        <w:jc w:val="both"/>
        <w:rPr>
          <w:color w:val="0070C0"/>
          <w:sz w:val="16"/>
          <w:szCs w:val="16"/>
        </w:rPr>
      </w:pPr>
      <w:r w:rsidRPr="00E14102">
        <w:rPr>
          <w:color w:val="0070C0"/>
          <w:sz w:val="16"/>
          <w:szCs w:val="16"/>
        </w:rPr>
        <w:t>Хвостовая часть фюзеляжа А-15 заканчивалась рулем по</w:t>
      </w:r>
      <w:r w:rsidRPr="00E14102">
        <w:rPr>
          <w:color w:val="0070C0"/>
          <w:sz w:val="16"/>
          <w:szCs w:val="16"/>
        </w:rPr>
        <w:softHyphen/>
        <w:t>ворота, уширенным за счет небольшого подфюзеляжного киля. Стабилизатор подкосный с управляемыми закрылка</w:t>
      </w:r>
      <w:r w:rsidRPr="00E14102">
        <w:rPr>
          <w:color w:val="0070C0"/>
          <w:sz w:val="16"/>
          <w:szCs w:val="16"/>
        </w:rPr>
        <w:softHyphen/>
        <w:t>ми, снизу к нему крепятся две килевые «шайбы».</w:t>
      </w:r>
    </w:p>
    <w:p w14:paraId="0BE6497C" w14:textId="77777777" w:rsidR="00F54C89" w:rsidRPr="00E14102" w:rsidRDefault="00F54C89" w:rsidP="00E14102">
      <w:pPr>
        <w:jc w:val="both"/>
        <w:rPr>
          <w:color w:val="0070C0"/>
          <w:sz w:val="16"/>
          <w:szCs w:val="16"/>
        </w:rPr>
      </w:pPr>
      <w:r w:rsidRPr="00E14102">
        <w:rPr>
          <w:color w:val="0070C0"/>
          <w:sz w:val="16"/>
          <w:szCs w:val="16"/>
        </w:rPr>
        <w:t>Шасси с хвостовым колесом, колея основных колес, за</w:t>
      </w:r>
      <w:r w:rsidRPr="00E14102">
        <w:rPr>
          <w:color w:val="0070C0"/>
          <w:sz w:val="16"/>
          <w:szCs w:val="16"/>
        </w:rPr>
        <w:softHyphen/>
        <w:t>ключенных в обтекатели, равняется 3500 мм.</w:t>
      </w:r>
    </w:p>
    <w:p w14:paraId="1C9DD6BE" w14:textId="77777777" w:rsidR="00F54C89" w:rsidRPr="00E14102" w:rsidRDefault="00F54C89" w:rsidP="00E14102">
      <w:pPr>
        <w:jc w:val="both"/>
        <w:rPr>
          <w:color w:val="0070C0"/>
          <w:sz w:val="16"/>
          <w:szCs w:val="16"/>
        </w:rPr>
      </w:pPr>
      <w:r w:rsidRPr="00E14102">
        <w:rPr>
          <w:color w:val="0070C0"/>
          <w:sz w:val="16"/>
          <w:szCs w:val="16"/>
        </w:rPr>
        <w:t>Вооружение А-15 состояло из синхронного пулемета ШКАС и одного оборонительного ШКАС на турели ТУР-8. Бомбы крепились под фюзеляжем и на специальных дер</w:t>
      </w:r>
      <w:r w:rsidRPr="00E14102">
        <w:rPr>
          <w:color w:val="0070C0"/>
          <w:sz w:val="16"/>
          <w:szCs w:val="16"/>
        </w:rPr>
        <w:softHyphen/>
        <w:t>жателях за стойками шасси. Установка фото- и радиообо</w:t>
      </w:r>
      <w:r w:rsidRPr="00E14102">
        <w:rPr>
          <w:color w:val="0070C0"/>
          <w:sz w:val="16"/>
          <w:szCs w:val="16"/>
        </w:rPr>
        <w:softHyphen/>
        <w:t>рудования стандартная (20361).</w:t>
      </w:r>
    </w:p>
    <w:p w14:paraId="6E43EF71" w14:textId="77777777" w:rsidR="00F54C89" w:rsidRPr="00E14102" w:rsidRDefault="00F54C89" w:rsidP="00E14102">
      <w:pPr>
        <w:shd w:val="clear" w:color="auto" w:fill="FFFFFF"/>
        <w:jc w:val="both"/>
        <w:rPr>
          <w:color w:val="0070C0"/>
          <w:sz w:val="16"/>
          <w:szCs w:val="16"/>
        </w:rPr>
      </w:pPr>
    </w:p>
    <w:p w14:paraId="75FF3A1F" w14:textId="77777777" w:rsidR="004428EE" w:rsidRPr="00E14102" w:rsidRDefault="004428EE" w:rsidP="00E14102">
      <w:pPr>
        <w:jc w:val="both"/>
        <w:rPr>
          <w:color w:val="000000" w:themeColor="text1"/>
          <w:sz w:val="16"/>
          <w:szCs w:val="16"/>
        </w:rPr>
      </w:pPr>
      <w:r w:rsidRPr="00E14102">
        <w:rPr>
          <w:color w:val="000000" w:themeColor="text1"/>
          <w:sz w:val="16"/>
          <w:szCs w:val="16"/>
        </w:rPr>
        <w:t xml:space="preserve">К концу 1935 г. были сформированы основные производственные и вспомогательные цехи, определившие облик завода № 126. Площадь построенной части главного корпуса превышала 20 тыс. кв. м. В августе 1935 г. началось оснащение агрегатных цехов. Всего за 1935 г. было установлено свыше 270 единиц оборудования. В 1936 г. площадь построенной части главного корпуса составляла около 44 тыс. кв. м., было установлено около 470 единиц оборудования. </w:t>
      </w:r>
    </w:p>
    <w:p w14:paraId="5B65B0B8" w14:textId="77777777" w:rsidR="004428EE" w:rsidRPr="00E14102" w:rsidRDefault="004428EE" w:rsidP="00E14102">
      <w:pPr>
        <w:jc w:val="both"/>
        <w:rPr>
          <w:color w:val="000000" w:themeColor="text1"/>
          <w:sz w:val="16"/>
          <w:szCs w:val="16"/>
        </w:rPr>
      </w:pPr>
      <w:r w:rsidRPr="00E14102">
        <w:rPr>
          <w:color w:val="000000" w:themeColor="text1"/>
          <w:sz w:val="16"/>
          <w:szCs w:val="16"/>
        </w:rPr>
        <w:t xml:space="preserve">Сдерживала темпы строительства и нормальный ход работ в механическом, инструментальном и др. цехах нехватка электроэнергии. Завод пользовался э/энергией временной э/станции (ВЭС). В генеральном проекте авиационного завода, а затем в последующих заданиях главка, наркомата и правительства с самого начала строительства завода постройка в системе завода электростанции не предусматривалась. Более крупные энергообъекты на то время еще не были построены. </w:t>
      </w:r>
    </w:p>
    <w:p w14:paraId="67396D9D" w14:textId="77777777" w:rsidR="004428EE" w:rsidRPr="00E14102" w:rsidRDefault="004428EE" w:rsidP="00E14102">
      <w:pPr>
        <w:jc w:val="both"/>
        <w:rPr>
          <w:color w:val="000000" w:themeColor="text1"/>
          <w:sz w:val="16"/>
          <w:szCs w:val="16"/>
        </w:rPr>
      </w:pPr>
      <w:r w:rsidRPr="00E14102">
        <w:rPr>
          <w:color w:val="000000" w:themeColor="text1"/>
          <w:sz w:val="16"/>
          <w:szCs w:val="16"/>
        </w:rPr>
        <w:t>В достаточном количестве завод стал получать э/энергию лишь в январе 1936 г. с введением новых мощностей на ТЭЦ судостроительного завода, откуда к авиационному заводу была протянута ЛЭП (12211).</w:t>
      </w:r>
    </w:p>
    <w:p w14:paraId="212F1A05" w14:textId="77777777" w:rsidR="004428EE" w:rsidRPr="00E14102" w:rsidRDefault="004428EE" w:rsidP="00E14102">
      <w:pPr>
        <w:jc w:val="both"/>
        <w:rPr>
          <w:color w:val="000000" w:themeColor="text1"/>
          <w:sz w:val="16"/>
          <w:szCs w:val="16"/>
        </w:rPr>
      </w:pPr>
    </w:p>
    <w:p w14:paraId="270600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А.А.Микулин был наконец назначен главным конструктором завода Фрунзе. Там был модифицирован М-34 (77,127).</w:t>
      </w:r>
    </w:p>
    <w:p w14:paraId="2C5090D8" w14:textId="77777777" w:rsidR="00D4105E" w:rsidRPr="00E14102" w:rsidRDefault="00D4105E" w:rsidP="00E14102">
      <w:pPr>
        <w:autoSpaceDE w:val="0"/>
        <w:autoSpaceDN w:val="0"/>
        <w:adjustRightInd w:val="0"/>
        <w:jc w:val="both"/>
        <w:rPr>
          <w:color w:val="000000" w:themeColor="text1"/>
          <w:sz w:val="16"/>
          <w:szCs w:val="16"/>
        </w:rPr>
      </w:pPr>
    </w:p>
    <w:p w14:paraId="29D183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в производство запустили М-34РНА и РНБ с редуктором и ПНЦ (80,81).</w:t>
      </w:r>
    </w:p>
    <w:p w14:paraId="65C057DF" w14:textId="77777777" w:rsidR="00D4105E" w:rsidRPr="00E14102" w:rsidRDefault="00D4105E" w:rsidP="00E14102">
      <w:pPr>
        <w:autoSpaceDE w:val="0"/>
        <w:autoSpaceDN w:val="0"/>
        <w:adjustRightInd w:val="0"/>
        <w:jc w:val="both"/>
        <w:rPr>
          <w:color w:val="000000" w:themeColor="text1"/>
          <w:sz w:val="16"/>
          <w:szCs w:val="16"/>
        </w:rPr>
      </w:pPr>
    </w:p>
    <w:p w14:paraId="1EF7E8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конце 1935 г. были собраны и успешно испытаны два авиадизеля БД-2А с наддувом. Работой руководил Г.И. Аптекман. В октябре 1937 г. в Харьков привезли опытный образец АН-1, который на стенде проработал 100 часов. Несмотря на все протес-ты завода этот авиационный двигатель стал серийно производится под маркой М-40 (11224). </w:t>
      </w:r>
    </w:p>
    <w:p w14:paraId="27957162" w14:textId="77777777" w:rsidR="00D4105E" w:rsidRPr="00E14102" w:rsidRDefault="00D4105E" w:rsidP="00E14102">
      <w:pPr>
        <w:autoSpaceDE w:val="0"/>
        <w:autoSpaceDN w:val="0"/>
        <w:adjustRightInd w:val="0"/>
        <w:jc w:val="both"/>
        <w:rPr>
          <w:color w:val="000000" w:themeColor="text1"/>
          <w:sz w:val="16"/>
          <w:szCs w:val="16"/>
        </w:rPr>
      </w:pPr>
    </w:p>
    <w:p w14:paraId="2B2B94C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концу 1935 г. изготовили одноцилиндровую уста</w:t>
      </w:r>
      <w:r w:rsidRPr="00E14102">
        <w:rPr>
          <w:color w:val="000000" w:themeColor="text1"/>
          <w:sz w:val="16"/>
          <w:szCs w:val="16"/>
        </w:rPr>
        <w:softHyphen/>
        <w:t>новку МФ-1, на которой отрабатывали цилиндро-поршневую группу М-200. Впервые он был включен в план 1931 г. просто как «двигатель Фомина». Концепцию этого двигателя разработал В.Н. Фомин. Это был двухтактный мотор с противоположно движущимися поршнями и оконно-щелевым газора</w:t>
      </w:r>
      <w:r w:rsidRPr="00E14102">
        <w:rPr>
          <w:color w:val="000000" w:themeColor="text1"/>
          <w:sz w:val="16"/>
          <w:szCs w:val="16"/>
        </w:rPr>
        <w:softHyphen/>
        <w:t>спределением, по схеме схожий с дизелями фирмы «Юнкере». Но М-200 работал на бензине (с непосредственным впрыском) и имел искровое зажигание. Довольно долго работы в этом направлении ограничивались теорети</w:t>
      </w:r>
      <w:r w:rsidRPr="00E14102">
        <w:rPr>
          <w:color w:val="000000" w:themeColor="text1"/>
          <w:sz w:val="16"/>
          <w:szCs w:val="16"/>
        </w:rPr>
        <w:softHyphen/>
        <w:t>ческими расчетами. В проектировании М-200 участвовали, кроме Фомина, Л.Б. Эделынтейн С.К. Туманский и С.А. Косберг. Разработку конструкции завершили толь</w:t>
      </w:r>
      <w:r w:rsidRPr="00E14102">
        <w:rPr>
          <w:color w:val="000000" w:themeColor="text1"/>
          <w:sz w:val="16"/>
          <w:szCs w:val="16"/>
        </w:rPr>
        <w:softHyphen/>
        <w:t>ко в 1937 г., опытный образец изготовили в следующем году. На ис</w:t>
      </w:r>
      <w:r w:rsidRPr="00E14102">
        <w:rPr>
          <w:color w:val="000000" w:themeColor="text1"/>
          <w:sz w:val="16"/>
          <w:szCs w:val="16"/>
        </w:rPr>
        <w:softHyphen/>
        <w:t>пытаниях произошло разрушение поршней. Дальнейшая судьба М-200 неизвестна (11852).</w:t>
      </w:r>
    </w:p>
    <w:p w14:paraId="41F8019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260FF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В.К.Таирова, который работал на 39 заводе у Н.Н.П. и занимался И-16, перевели на 43 завод в Киев, где создали ОКО, который он возглавил, а зам. стал М.Р.Бисноват. Стали проектировать почтово-пассажирский а двух вариантах - одномоторном и двухмоторном (стояли за него), на ГУ выбрал одномоторный с М-25 (1363,35).</w:t>
      </w:r>
    </w:p>
    <w:p w14:paraId="3E238F59" w14:textId="77777777" w:rsidR="00D4105E" w:rsidRPr="00E14102" w:rsidRDefault="00D4105E" w:rsidP="00E14102">
      <w:pPr>
        <w:autoSpaceDE w:val="0"/>
        <w:autoSpaceDN w:val="0"/>
        <w:adjustRightInd w:val="0"/>
        <w:jc w:val="both"/>
        <w:rPr>
          <w:color w:val="000000" w:themeColor="text1"/>
          <w:sz w:val="16"/>
          <w:szCs w:val="16"/>
        </w:rPr>
      </w:pPr>
    </w:p>
    <w:p w14:paraId="753F15D5" w14:textId="77777777" w:rsidR="004428EE" w:rsidRPr="00E14102" w:rsidRDefault="004428EE" w:rsidP="00E14102">
      <w:pPr>
        <w:jc w:val="both"/>
        <w:rPr>
          <w:color w:val="000000" w:themeColor="text1"/>
          <w:sz w:val="16"/>
          <w:szCs w:val="16"/>
        </w:rPr>
      </w:pPr>
      <w:r w:rsidRPr="00E14102">
        <w:rPr>
          <w:color w:val="000000" w:themeColor="text1"/>
          <w:sz w:val="16"/>
          <w:szCs w:val="16"/>
        </w:rPr>
        <w:t xml:space="preserve">В конце 1935 г. завод № 29 начал опытное производство модификации французского авиадвигателя под маркой М-85. Всего было выпущено более 450 таких двигателей. </w:t>
      </w:r>
    </w:p>
    <w:p w14:paraId="103577AE" w14:textId="77777777" w:rsidR="004428EE" w:rsidRPr="00E14102" w:rsidRDefault="004428EE" w:rsidP="00E14102">
      <w:pPr>
        <w:jc w:val="both"/>
        <w:rPr>
          <w:color w:val="000000" w:themeColor="text1"/>
          <w:sz w:val="16"/>
          <w:szCs w:val="16"/>
        </w:rPr>
      </w:pPr>
      <w:r w:rsidRPr="00E14102">
        <w:rPr>
          <w:color w:val="000000" w:themeColor="text1"/>
          <w:sz w:val="16"/>
          <w:szCs w:val="16"/>
        </w:rPr>
        <w:t xml:space="preserve">Учитывая отдельные недостатки французского двигателя "Мистраль-Мажор", Назаров затеял его принципиальную переработку и выпустил чертежи нового двигателя М-86, а затем и двигателя М-87. </w:t>
      </w:r>
    </w:p>
    <w:p w14:paraId="6E3D05E1" w14:textId="77777777" w:rsidR="004428EE" w:rsidRPr="00E14102" w:rsidRDefault="004428EE" w:rsidP="00E14102">
      <w:pPr>
        <w:jc w:val="both"/>
        <w:rPr>
          <w:color w:val="000000" w:themeColor="text1"/>
          <w:sz w:val="16"/>
          <w:szCs w:val="16"/>
        </w:rPr>
      </w:pPr>
      <w:r w:rsidRPr="00E14102">
        <w:rPr>
          <w:color w:val="000000" w:themeColor="text1"/>
          <w:sz w:val="16"/>
          <w:szCs w:val="16"/>
        </w:rPr>
        <w:t xml:space="preserve">В 1937 г. руководство НКАП назначило на должность Главного конструктора завода № 29 инженера Туманского Сергея Константиновича, а Назаров был отправлен Главным конструктором воронежского завода № 16. </w:t>
      </w:r>
    </w:p>
    <w:p w14:paraId="3617875E" w14:textId="77777777" w:rsidR="004428EE" w:rsidRPr="00E14102" w:rsidRDefault="004428EE" w:rsidP="00E14102">
      <w:pPr>
        <w:jc w:val="both"/>
        <w:rPr>
          <w:color w:val="000000" w:themeColor="text1"/>
          <w:sz w:val="16"/>
          <w:szCs w:val="16"/>
        </w:rPr>
      </w:pPr>
      <w:r w:rsidRPr="00E14102">
        <w:rPr>
          <w:color w:val="000000" w:themeColor="text1"/>
          <w:sz w:val="16"/>
          <w:szCs w:val="16"/>
        </w:rPr>
        <w:t xml:space="preserve">В декабре 1937 г. Назарова арестовали. Он был доставлен в московскую Бутырскую тюрьму, а оттуда в Тушинскую шарашку ОКБ-82 в распоряжение Чаромского. </w:t>
      </w:r>
    </w:p>
    <w:p w14:paraId="3FB0FA17" w14:textId="77777777" w:rsidR="004428EE" w:rsidRPr="00E14102" w:rsidRDefault="004428EE" w:rsidP="00E14102">
      <w:pPr>
        <w:jc w:val="both"/>
        <w:rPr>
          <w:color w:val="000000" w:themeColor="text1"/>
          <w:sz w:val="16"/>
          <w:szCs w:val="16"/>
        </w:rPr>
      </w:pPr>
      <w:r w:rsidRPr="00E14102">
        <w:rPr>
          <w:color w:val="000000" w:themeColor="text1"/>
          <w:sz w:val="16"/>
          <w:szCs w:val="16"/>
        </w:rPr>
        <w:t xml:space="preserve">На Тушинском авиазаводе серийно изготавливались назаровские двигатели, и он был культовой фигурой для заводчан, но у Чаромского была только единственная возможность - назначить его руководителем группы по созданию нагнетателя и редуктора для разрабатывавшегося дизеля. </w:t>
      </w:r>
    </w:p>
    <w:p w14:paraId="03770F23" w14:textId="77777777" w:rsidR="004428EE" w:rsidRPr="00E14102" w:rsidRDefault="004428EE" w:rsidP="00E14102">
      <w:pPr>
        <w:jc w:val="both"/>
        <w:rPr>
          <w:color w:val="000000" w:themeColor="text1"/>
          <w:sz w:val="16"/>
          <w:szCs w:val="16"/>
        </w:rPr>
      </w:pPr>
      <w:r w:rsidRPr="00E14102">
        <w:rPr>
          <w:color w:val="000000" w:themeColor="text1"/>
          <w:sz w:val="16"/>
          <w:szCs w:val="16"/>
        </w:rPr>
        <w:t xml:space="preserve">Тем не менее творческая натура Назарова не могла мириться с решением рутинных задач. Он разработал способ стабилизации работы системы наддува авиадизелей. Однако этого весьма талантливого и исключительно работоспособного инженера преследовал какой-то злой рок. Разработанную систему Назаров не смог довести до совершенства. Помешали события, связанные с началом войны. В 1941 г. Тушинский завод и ОКБ-82 были эвакуированы в Казань. Новая ситуация привела к реорганизации коллективов шарашек. </w:t>
      </w:r>
    </w:p>
    <w:p w14:paraId="098C6FD6" w14:textId="77777777" w:rsidR="004428EE" w:rsidRPr="00E14102" w:rsidRDefault="004428EE" w:rsidP="00E14102">
      <w:pPr>
        <w:jc w:val="both"/>
        <w:rPr>
          <w:color w:val="000000" w:themeColor="text1"/>
          <w:sz w:val="16"/>
          <w:szCs w:val="16"/>
        </w:rPr>
      </w:pPr>
      <w:r w:rsidRPr="00E14102">
        <w:rPr>
          <w:color w:val="000000" w:themeColor="text1"/>
          <w:sz w:val="16"/>
          <w:szCs w:val="16"/>
        </w:rPr>
        <w:t xml:space="preserve">Разработанную Назаровым систему усовершенствовал Чаромский и применил на двигателе М-30, что позволило, наконец, создать действительно работоспособный двигатель, который и был запущен в серийное производство. </w:t>
      </w:r>
    </w:p>
    <w:p w14:paraId="6BAB081B" w14:textId="77777777" w:rsidR="004428EE" w:rsidRPr="00E14102" w:rsidRDefault="004428EE" w:rsidP="00E14102">
      <w:pPr>
        <w:jc w:val="both"/>
        <w:rPr>
          <w:color w:val="000000" w:themeColor="text1"/>
          <w:sz w:val="16"/>
          <w:szCs w:val="16"/>
        </w:rPr>
      </w:pPr>
      <w:r w:rsidRPr="00E14102">
        <w:rPr>
          <w:color w:val="000000" w:themeColor="text1"/>
          <w:sz w:val="16"/>
          <w:szCs w:val="16"/>
        </w:rPr>
        <w:t xml:space="preserve">Вскоре Назаров был переведен в состав ракетного ОКБ-16 под руководством Валентина Глушко, и ему пришлось прекратить работу по совершенствованию дизельных авиадвигателей. </w:t>
      </w:r>
    </w:p>
    <w:p w14:paraId="1B62E9D3" w14:textId="77777777" w:rsidR="004428EE" w:rsidRPr="00E14102" w:rsidRDefault="004428EE" w:rsidP="00E14102">
      <w:pPr>
        <w:jc w:val="both"/>
        <w:rPr>
          <w:color w:val="000000" w:themeColor="text1"/>
          <w:sz w:val="16"/>
          <w:szCs w:val="16"/>
        </w:rPr>
      </w:pPr>
      <w:r w:rsidRPr="00E14102">
        <w:rPr>
          <w:color w:val="000000" w:themeColor="text1"/>
          <w:sz w:val="16"/>
          <w:szCs w:val="16"/>
        </w:rPr>
        <w:t>Казанская шарага ОКБ-16 была развернута на базе эвакуированного из Воронежа завода № 16, на котором Аркадий Сергеевич работал в момент ареста.</w:t>
      </w:r>
    </w:p>
    <w:p w14:paraId="3CB0FA6D" w14:textId="77777777" w:rsidR="004428EE" w:rsidRPr="00E14102" w:rsidRDefault="004428EE" w:rsidP="00E14102">
      <w:pPr>
        <w:jc w:val="both"/>
        <w:rPr>
          <w:color w:val="000000" w:themeColor="text1"/>
          <w:sz w:val="16"/>
          <w:szCs w:val="16"/>
        </w:rPr>
      </w:pPr>
      <w:r w:rsidRPr="00E14102">
        <w:rPr>
          <w:color w:val="000000" w:themeColor="text1"/>
          <w:sz w:val="16"/>
          <w:szCs w:val="16"/>
        </w:rPr>
        <w:t xml:space="preserve">В то время Глушко работал над ЖРД, которые предполагалось устанавливать на самолеты для кратковременного увеличения тяги. </w:t>
      </w:r>
    </w:p>
    <w:p w14:paraId="6C83F8F8" w14:textId="77777777" w:rsidR="004428EE" w:rsidRPr="00E14102" w:rsidRDefault="004428EE" w:rsidP="00E14102">
      <w:pPr>
        <w:jc w:val="both"/>
        <w:rPr>
          <w:color w:val="000000" w:themeColor="text1"/>
          <w:sz w:val="16"/>
          <w:szCs w:val="16"/>
        </w:rPr>
      </w:pPr>
      <w:r w:rsidRPr="00E14102">
        <w:rPr>
          <w:color w:val="000000" w:themeColor="text1"/>
          <w:sz w:val="16"/>
          <w:szCs w:val="16"/>
        </w:rPr>
        <w:t xml:space="preserve">Аркадию Назарову пришлось осваивать совершенно новые для него задачи, и он не мог своими знаниями конкурировать с инженерами, которые уже несколько лет занимались ракетными проблемами. </w:t>
      </w:r>
    </w:p>
    <w:p w14:paraId="1DF325FA" w14:textId="77777777" w:rsidR="004428EE" w:rsidRPr="00E14102" w:rsidRDefault="004428EE" w:rsidP="00E14102">
      <w:pPr>
        <w:jc w:val="both"/>
        <w:rPr>
          <w:color w:val="000000" w:themeColor="text1"/>
          <w:sz w:val="16"/>
          <w:szCs w:val="16"/>
        </w:rPr>
      </w:pPr>
      <w:r w:rsidRPr="00E14102">
        <w:rPr>
          <w:color w:val="000000" w:themeColor="text1"/>
          <w:sz w:val="16"/>
          <w:szCs w:val="16"/>
        </w:rPr>
        <w:t xml:space="preserve">Поэтому, когда коллектив ракетчиков ОКБ-16 добился ощутимых результатов и Берия предложил Глушко составить список на освобождение наиболее отличившихся сотрудников, Назарова не оказалось в этом списке. </w:t>
      </w:r>
    </w:p>
    <w:p w14:paraId="1404A03F" w14:textId="77777777" w:rsidR="004428EE" w:rsidRPr="00E14102" w:rsidRDefault="004428EE" w:rsidP="00E14102">
      <w:pPr>
        <w:jc w:val="both"/>
        <w:rPr>
          <w:color w:val="000000" w:themeColor="text1"/>
          <w:sz w:val="16"/>
          <w:szCs w:val="16"/>
        </w:rPr>
      </w:pPr>
      <w:r w:rsidRPr="00E14102">
        <w:rPr>
          <w:color w:val="000000" w:themeColor="text1"/>
          <w:sz w:val="16"/>
          <w:szCs w:val="16"/>
        </w:rPr>
        <w:t>ОКБ-16 было расформировано, и Назаров был направлен в Таганрогскую самолетную шарашку ОКБ-86. Главный конструктор этой шарашки Роберт Бартини назначил его заместителем Главного конструктора шарашки ОКБ-86 (12129).</w:t>
      </w:r>
    </w:p>
    <w:p w14:paraId="10843BC0" w14:textId="77777777" w:rsidR="004428EE" w:rsidRPr="00E14102" w:rsidRDefault="004428EE" w:rsidP="00E14102">
      <w:pPr>
        <w:jc w:val="both"/>
        <w:rPr>
          <w:color w:val="000000" w:themeColor="text1"/>
          <w:sz w:val="16"/>
          <w:szCs w:val="16"/>
        </w:rPr>
      </w:pPr>
    </w:p>
    <w:p w14:paraId="3BF4E454" w14:textId="77777777" w:rsidR="000F1C22" w:rsidRPr="00E14102" w:rsidRDefault="000F1C22" w:rsidP="00E14102">
      <w:pPr>
        <w:jc w:val="both"/>
        <w:rPr>
          <w:color w:val="000000" w:themeColor="text1"/>
          <w:sz w:val="16"/>
          <w:szCs w:val="16"/>
        </w:rPr>
      </w:pPr>
      <w:r w:rsidRPr="00E14102">
        <w:rPr>
          <w:color w:val="000000" w:themeColor="text1"/>
          <w:sz w:val="16"/>
          <w:szCs w:val="16"/>
        </w:rPr>
        <w:t>В конце 1935 г. завод № 29 начал опытное производство модификации французского авиадвигателя под маркой М-85. Всего было выпущено более 450 таких двигателей. Учитывая отдельные недостатки французского двигателя «Мистраль-Мажор», Назаров затеял его принципиальную переработку и выпустил чертежи нового двигателя М-86, а затем и двигателя М-87 (18668).</w:t>
      </w:r>
    </w:p>
    <w:p w14:paraId="3CE85178" w14:textId="77777777" w:rsidR="000F1C22" w:rsidRPr="00E14102" w:rsidRDefault="000F1C22" w:rsidP="00E14102">
      <w:pPr>
        <w:jc w:val="both"/>
        <w:rPr>
          <w:color w:val="000000" w:themeColor="text1"/>
          <w:sz w:val="16"/>
          <w:szCs w:val="16"/>
        </w:rPr>
      </w:pPr>
    </w:p>
    <w:p w14:paraId="378A3219" w14:textId="77777777" w:rsidR="000F1C22" w:rsidRPr="00E14102" w:rsidRDefault="000F1C22" w:rsidP="00E14102">
      <w:pPr>
        <w:pStyle w:val="aa"/>
        <w:jc w:val="both"/>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 xml:space="preserve">До конца 1935 г., используя зачастую американские детали, завод выпустил 660 М-25. В июле, по представлению наркома обороны К.Е. Ворошилова, вопрос об И-16 с мотором Райт «Циклон» </w:t>
      </w:r>
      <w:r w:rsidRPr="00E14102">
        <w:rPr>
          <w:rFonts w:ascii="Times New Roman" w:hAnsi="Times New Roman" w:cs="Times New Roman"/>
          <w:color w:val="000000" w:themeColor="text1"/>
          <w:sz w:val="16"/>
          <w:szCs w:val="16"/>
        </w:rPr>
        <w:t>F</w:t>
      </w:r>
      <w:r w:rsidRPr="00E14102">
        <w:rPr>
          <w:rFonts w:ascii="Times New Roman" w:hAnsi="Times New Roman" w:cs="Times New Roman"/>
          <w:color w:val="000000" w:themeColor="text1"/>
          <w:sz w:val="16"/>
          <w:szCs w:val="16"/>
          <w:lang w:val="ru-RU"/>
        </w:rPr>
        <w:t>-3 (М-25) рассмотрели на заседании правительства. Результатом стало решение о скорейшем развертывании серийного производства такого истребителя (19109).</w:t>
      </w:r>
    </w:p>
    <w:p w14:paraId="4BB0CA30" w14:textId="77777777" w:rsidR="000F1C22" w:rsidRPr="00E14102" w:rsidRDefault="000F1C22" w:rsidP="00E14102">
      <w:pPr>
        <w:pStyle w:val="aa"/>
        <w:jc w:val="both"/>
        <w:rPr>
          <w:rFonts w:ascii="Times New Roman" w:hAnsi="Times New Roman" w:cs="Times New Roman"/>
          <w:color w:val="000000" w:themeColor="text1"/>
          <w:sz w:val="16"/>
          <w:szCs w:val="16"/>
          <w:lang w:val="ru-RU"/>
        </w:rPr>
      </w:pPr>
    </w:p>
    <w:p w14:paraId="58497CDC" w14:textId="77777777" w:rsidR="000F1C22" w:rsidRPr="00E14102" w:rsidRDefault="000F1C22" w:rsidP="00E14102">
      <w:pPr>
        <w:jc w:val="both"/>
        <w:rPr>
          <w:color w:val="000000" w:themeColor="text1"/>
          <w:sz w:val="16"/>
          <w:szCs w:val="16"/>
        </w:rPr>
      </w:pPr>
      <w:r w:rsidRPr="00E14102">
        <w:rPr>
          <w:color w:val="000000" w:themeColor="text1"/>
          <w:sz w:val="16"/>
          <w:szCs w:val="16"/>
        </w:rPr>
        <w:t>С конца 1935 года с большим опозданием стали выдавать задания на проектирование новых винтов. Но зачастую с новыми модификациями моторов они были слабо сопряжены. Рост мощности моторов фактически обесценивался падением к.п.д. винтов, не давая никакого прироста тяги, а, следовательно, и скорости. И это наиболее ярко проявилось на модификациях истребителей И 15 и И 16. Исследования НИИ ВВС подтвердили это. В частности, испытания в НИИ ВВС истребителей И 16 тип 24 (1939 г.) и тип 29 (1940 г.) показали, что у самолёта не исчерпаны все возможности развития, главным образом, из-за винта. Если к.п.д. винта с мотором М 25 у земли был равен 77-78%, то с М 25А - 75%, а с М 25В не превышал 71%. Новый винт АВ 1 для М 63 выдавал максимальное значение к.п.д. у земли, равное 72%! Для сравнения: к.п.д. немецких винтов у земли находился в диапазоне от 78 до 82% (19534).</w:t>
      </w:r>
    </w:p>
    <w:p w14:paraId="1647F391" w14:textId="77777777" w:rsidR="000F1C22" w:rsidRPr="00E14102" w:rsidRDefault="000F1C22" w:rsidP="00E14102">
      <w:pPr>
        <w:jc w:val="both"/>
        <w:rPr>
          <w:color w:val="000000" w:themeColor="text1"/>
          <w:sz w:val="16"/>
          <w:szCs w:val="16"/>
        </w:rPr>
      </w:pPr>
    </w:p>
    <w:p w14:paraId="6157CD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года по мотивировке расширения производственной базы, завод № 3 был переведен на завод № 213 (бывший Авиаприбор). Майзель А.Е. на завод № 213 переведен не был вследствие его автоматического отстранения от работ еще на заводе № 3 в начале 1935 года (3441, 33).</w:t>
      </w:r>
    </w:p>
    <w:p w14:paraId="0082002B" w14:textId="77777777" w:rsidR="00D4105E" w:rsidRPr="00E14102" w:rsidRDefault="00D4105E" w:rsidP="00E14102">
      <w:pPr>
        <w:autoSpaceDE w:val="0"/>
        <w:autoSpaceDN w:val="0"/>
        <w:adjustRightInd w:val="0"/>
        <w:jc w:val="both"/>
        <w:rPr>
          <w:color w:val="000000" w:themeColor="text1"/>
          <w:sz w:val="16"/>
          <w:szCs w:val="16"/>
        </w:rPr>
      </w:pPr>
    </w:p>
    <w:p w14:paraId="164D13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IV квартала 1935 года по постановлению СТО № 34 “Гипроавиа” было предложено начать проектирование завода № 30 на площадке Иваньково на берегу Московского моря, рядом с Иваньковской плотиной канала Москва-Волга (9229).</w:t>
      </w:r>
    </w:p>
    <w:p w14:paraId="25EEA047" w14:textId="77777777" w:rsidR="00D4105E" w:rsidRPr="00E14102" w:rsidRDefault="00D4105E" w:rsidP="00E14102">
      <w:pPr>
        <w:autoSpaceDE w:val="0"/>
        <w:autoSpaceDN w:val="0"/>
        <w:adjustRightInd w:val="0"/>
        <w:jc w:val="both"/>
        <w:rPr>
          <w:color w:val="000000" w:themeColor="text1"/>
          <w:sz w:val="16"/>
          <w:szCs w:val="16"/>
        </w:rPr>
      </w:pPr>
    </w:p>
    <w:p w14:paraId="4E878F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года был полностью пущен завод № 168</w:t>
      </w:r>
    </w:p>
    <w:p w14:paraId="41A4C9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Реконструируемое</w:t>
      </w:r>
    </w:p>
    <w:p w14:paraId="69CE9A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Характер производства –мелкосерийное</w:t>
      </w:r>
    </w:p>
    <w:p w14:paraId="35FEA2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Наименование производства – агрегатостроение (крылья и оперение)</w:t>
      </w:r>
    </w:p>
    <w:p w14:paraId="04A9C1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Рязань, п/я 168</w:t>
      </w:r>
    </w:p>
    <w:p w14:paraId="7F6E7B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168 находившийся ранее в системе “Союзмебель” Главспецдревпрома НК леса, в 1934 году реконструирован на производство деревянных воздушных винтов, а в 1936 году получив территорию и производственные корпуса соседней обувной фабрики, дополнительно запроектирован на производство самолетных лыж типа Р-5. Металлические детали получались с завода № 163. С 1937 года завод перешел на производство автофотолабораторий в кузовах автобусного типа, копировальных приборов и фотолабораторных столов. А также винтовое производство, которое было организовано в соответствии с проектом, но мощности которого использовались не полностью в связи с небольшой программой, которая была дана заводу на 1940 год.</w:t>
      </w:r>
    </w:p>
    <w:p w14:paraId="4C8A24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приказом НКАП, завод с начала 1941 года должен перейти на агрегатостроение (крылья и хвостовое оперение). Для его перехода проведена некоторая реорганизация внутри завода (9295).</w:t>
      </w:r>
    </w:p>
    <w:p w14:paraId="6AB5D7ED" w14:textId="77777777" w:rsidR="00D4105E" w:rsidRPr="00E14102" w:rsidRDefault="00D4105E" w:rsidP="00E14102">
      <w:pPr>
        <w:autoSpaceDE w:val="0"/>
        <w:autoSpaceDN w:val="0"/>
        <w:adjustRightInd w:val="0"/>
        <w:jc w:val="both"/>
        <w:rPr>
          <w:color w:val="000000" w:themeColor="text1"/>
          <w:sz w:val="16"/>
          <w:szCs w:val="16"/>
        </w:rPr>
      </w:pPr>
    </w:p>
    <w:p w14:paraId="5D2999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года заводом № 119 было получено задание по выпуску шасси самолетов И-16. В 1938 году в состав завода был влит весовой завод “Ильича” НК электропромышленности. В 1940 году завод полностью обеспечивал агрегатами шасси выпуск самолетов И-16 на заводе № 21, самолетов ДБ-3Ф на заводе № 39 и самолетов СП-84 на заводе № 84. С четвертого квартала 1940 года завод приступил к изготовлению и серийному выпуску шасси для самолетов ПЕ-2 и ЛАГГ-3. В октябре 1941 года завод был эвакуирован в Горький.</w:t>
      </w:r>
    </w:p>
    <w:p w14:paraId="1FF3C8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Горьком завод разместился на производственных площадях бывш. завода “Гудок Октября” на площади завода им. Воробьева, производственных мастерских авиатехникума, мастерских Горремвеса). В 1942 году завод приступил к строительству собственных площадей по Арзамасскому шоссе, 14.</w:t>
      </w:r>
    </w:p>
    <w:p w14:paraId="66639F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 Волков А.</w:t>
      </w:r>
    </w:p>
    <w:p w14:paraId="16F460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Адрес: Горький</w:t>
      </w:r>
    </w:p>
    <w:p w14:paraId="382690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Производственный профиль – шасси самолетов</w:t>
      </w:r>
    </w:p>
    <w:p w14:paraId="3A74DB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Директора: С 11 декабря 1940 года по 19 февраля 1942 года – Попов А.Ф. С 8 февраля 1942 года по 23 июня 1944 года – Григорьев Г.М. С 25 июня 1944 года по 13 октября 1949 года – Солонин В.А. С 29 сентября 1949 года – Волков А.А. (9678).</w:t>
      </w:r>
    </w:p>
    <w:p w14:paraId="30155AE0" w14:textId="77777777" w:rsidR="00D4105E" w:rsidRPr="00E14102" w:rsidRDefault="00D4105E" w:rsidP="00E14102">
      <w:pPr>
        <w:autoSpaceDE w:val="0"/>
        <w:autoSpaceDN w:val="0"/>
        <w:adjustRightInd w:val="0"/>
        <w:jc w:val="both"/>
        <w:rPr>
          <w:color w:val="000000" w:themeColor="text1"/>
          <w:sz w:val="16"/>
          <w:szCs w:val="16"/>
        </w:rPr>
      </w:pPr>
    </w:p>
    <w:p w14:paraId="3E4BFE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конце 1935 года Майзель обращался к И.В.С. за помощью. И.В.С. направляет заявление в Наркомтяжпром для расследования. Од</w:t>
      </w:r>
      <w:r w:rsidRPr="00E14102">
        <w:rPr>
          <w:color w:val="000000" w:themeColor="text1"/>
          <w:sz w:val="16"/>
          <w:szCs w:val="16"/>
        </w:rPr>
        <w:softHyphen/>
        <w:t>нако, документ с резолюцией И.В.С. попадает для расследова</w:t>
      </w:r>
      <w:r w:rsidRPr="00E14102">
        <w:rPr>
          <w:color w:val="000000" w:themeColor="text1"/>
          <w:sz w:val="16"/>
          <w:szCs w:val="16"/>
        </w:rPr>
        <w:softHyphen/>
        <w:t>ния к Немову, на действия которого я именно и жаловался. Дело им заминается.</w:t>
      </w:r>
    </w:p>
    <w:p w14:paraId="0474CD6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НИКАКОГО РАССЛЕДОВАНИЯ.ПО ВАШЕЙ РЕЗОЛЮЦИИ ПРОИЗВЕДЕНО НЕ БЫЛО.</w:t>
      </w:r>
    </w:p>
    <w:p w14:paraId="0FF954A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 Одним из широко применяемых методов помех изобретательству является заглазное распускание всякого рода слухов и докладывание втайне от изобретателя всяких технических не</w:t>
      </w:r>
      <w:r w:rsidRPr="00E14102">
        <w:rPr>
          <w:color w:val="000000" w:themeColor="text1"/>
          <w:sz w:val="16"/>
          <w:szCs w:val="16"/>
        </w:rPr>
        <w:softHyphen/>
        <w:t>лепостей.</w:t>
      </w:r>
    </w:p>
    <w:p w14:paraId="6B31F2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Дело воздушных торпед, на которое затрачены громадные средства и которые с технической и тактической стороны за</w:t>
      </w:r>
      <w:r w:rsidRPr="00E14102">
        <w:rPr>
          <w:color w:val="000000" w:themeColor="text1"/>
          <w:sz w:val="16"/>
          <w:szCs w:val="16"/>
        </w:rPr>
        <w:softHyphen/>
        <w:t>щищаются крупнейшими авторитетами, совершенно неожиданно прекращается ВВС без единого доказательства, подтвержденного расчетами, без единого технического совещания.</w:t>
      </w:r>
    </w:p>
    <w:p w14:paraId="76420B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этом подписываются новые тактико-технические требо</w:t>
      </w:r>
      <w:r w:rsidRPr="00E14102">
        <w:rPr>
          <w:color w:val="000000" w:themeColor="text1"/>
          <w:sz w:val="16"/>
          <w:szCs w:val="16"/>
        </w:rPr>
        <w:softHyphen/>
        <w:t>вания, придуманные специально для угробления вообще всякой мыслимой воздушной торпеды.</w:t>
      </w:r>
    </w:p>
    <w:p w14:paraId="5EAEC3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Многое о применяемых методах "агитации" смог бы расска</w:t>
      </w:r>
      <w:r w:rsidRPr="00E14102">
        <w:rPr>
          <w:color w:val="000000" w:themeColor="text1"/>
          <w:sz w:val="16"/>
          <w:szCs w:val="16"/>
        </w:rPr>
        <w:softHyphen/>
        <w:t>зать зам. нач.вооружений т. Ефимов.</w:t>
      </w:r>
    </w:p>
    <w:p w14:paraId="7182338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6) В мае 1936 года зам. НКО т. Тухачевский, а затем вновь назначенный нач. вооружений т.Халепский пишет отношение в ГУАП НКТП, в котором указывая на чрезвычайную важность воз</w:t>
      </w:r>
      <w:r w:rsidRPr="00E14102">
        <w:rPr>
          <w:color w:val="000000" w:themeColor="text1"/>
          <w:sz w:val="16"/>
          <w:szCs w:val="16"/>
        </w:rPr>
        <w:softHyphen/>
        <w:t>душной торпеды для РККА, просит восстановить работу. В ГУАП"е после двух месяцев волокиты говорят, что нет денег. ВОПРОС ВНОВЬ ЗАМИНАЕТСЯ.</w:t>
      </w:r>
    </w:p>
    <w:p w14:paraId="2B003D0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7) В конце августа 1936 г. по представлению т. Хрущева все дело вновь разбирается в КПК при ЦК ВКП(б).</w:t>
      </w:r>
    </w:p>
    <w:p w14:paraId="433308B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основании расследования был составлен проект поста</w:t>
      </w:r>
      <w:r w:rsidRPr="00E14102">
        <w:rPr>
          <w:color w:val="000000" w:themeColor="text1"/>
          <w:sz w:val="16"/>
          <w:szCs w:val="16"/>
        </w:rPr>
        <w:softHyphen/>
        <w:t>новления КПК, которым:</w:t>
      </w:r>
    </w:p>
    <w:p w14:paraId="17E345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1.Нападки на торпеду признаются технически необоснованными. Торпеда признается имеющей крупное значение. НКТП ПРЕДЛАГАЕТСЯ НЕМЕДЛЕННО ВОССТАНОВИТЬ РАБОТУ. Мне предлагается в течение 37 года сдать торпеды по новым тактико-техническим требованиям.</w:t>
      </w:r>
    </w:p>
    <w:p w14:paraId="04FC8E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 Действия Немова и т. Алксниса квалифицируются как совершенно неправильные, за что им об"является выговор.</w:t>
      </w:r>
    </w:p>
    <w:p w14:paraId="6804BB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 УВВС предлагается дать на образцы изготовляемых новых торпед технически обоснованные тактико-технические тре</w:t>
      </w:r>
      <w:r w:rsidRPr="00E14102">
        <w:rPr>
          <w:color w:val="000000" w:themeColor="text1"/>
          <w:sz w:val="16"/>
          <w:szCs w:val="16"/>
        </w:rPr>
        <w:softHyphen/>
        <w:t>бования.</w:t>
      </w:r>
    </w:p>
    <w:p w14:paraId="189317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декабре 1936 года меня вызвал т. Яковлев, который ска</w:t>
      </w:r>
      <w:r w:rsidRPr="00E14102">
        <w:rPr>
          <w:color w:val="000000" w:themeColor="text1"/>
          <w:sz w:val="16"/>
          <w:szCs w:val="16"/>
        </w:rPr>
        <w:softHyphen/>
        <w:t>зал, что на-днях я должен начать работать.</w:t>
      </w:r>
    </w:p>
    <w:p w14:paraId="5E01F35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Однако прошло уже 4 месяца, а проект решения КПК не реализуется.</w:t>
      </w:r>
    </w:p>
    <w:p w14:paraId="0BE22A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Я пытался выяснить в КПК у т. Куйбышева причины дальней</w:t>
      </w:r>
      <w:r w:rsidRPr="00E14102">
        <w:rPr>
          <w:color w:val="000000" w:themeColor="text1"/>
          <w:sz w:val="16"/>
          <w:szCs w:val="16"/>
        </w:rPr>
        <w:softHyphen/>
        <w:t>шей задержки и не порочит ли кто положительные результаты обследования КПК.</w:t>
      </w:r>
    </w:p>
    <w:p w14:paraId="7E92AE8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Тов. Куйбышев сказал, что проект решения КПК совершенно правилен, но что разрешение вопроса вновь потонуло в недрах НКОП и ВВС. Получается замкнутый круг, из которого не видно выхода (3872,31).</w:t>
      </w:r>
    </w:p>
    <w:p w14:paraId="5C3E803B" w14:textId="77777777" w:rsidR="00D4105E" w:rsidRPr="00E14102" w:rsidRDefault="00D4105E" w:rsidP="00E14102">
      <w:pPr>
        <w:autoSpaceDE w:val="0"/>
        <w:autoSpaceDN w:val="0"/>
        <w:adjustRightInd w:val="0"/>
        <w:jc w:val="both"/>
        <w:rPr>
          <w:color w:val="000000" w:themeColor="text1"/>
          <w:sz w:val="16"/>
          <w:szCs w:val="16"/>
        </w:rPr>
      </w:pPr>
    </w:p>
    <w:p w14:paraId="64CA35C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конце 1935 года над ракетной системой калибра 245 мм нависла угроза прекращения работ. Директору РНИИ от начальника 5 отдела УВС РККА военинженера 1 ранга М.П.Пономарева 17 декабря 1935 г.: «По сообщению из АУ РККА (от Зандсра), РС-245 испытаний не выдержали. На вооружение не поступят. В 1936 г. по ракетным боеприпасам крупного калибра намечена разработка РС-203, в связи с чем изготовление пусковых для стрельбы РС-245 по договору с Вами нецелесообразно Во изменение ТТТ на прежних условиях договора и дополнительного соглашения, прошу ориентироваться на РС-203» (11402).</w:t>
      </w:r>
    </w:p>
    <w:p w14:paraId="3C7D945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8B0BC46" w14:textId="77777777" w:rsidR="00CD3BA6" w:rsidRPr="00E14102" w:rsidRDefault="00CD3BA6" w:rsidP="00E14102">
      <w:pPr>
        <w:jc w:val="both"/>
        <w:rPr>
          <w:color w:val="000000" w:themeColor="text1"/>
          <w:sz w:val="16"/>
          <w:szCs w:val="16"/>
        </w:rPr>
      </w:pPr>
      <w:r w:rsidRPr="00E14102">
        <w:rPr>
          <w:color w:val="000000" w:themeColor="text1"/>
          <w:sz w:val="16"/>
          <w:szCs w:val="16"/>
        </w:rPr>
        <w:t>В конце 1935 г. сотрудни</w:t>
      </w:r>
      <w:r w:rsidRPr="00E14102">
        <w:rPr>
          <w:color w:val="000000" w:themeColor="text1"/>
          <w:sz w:val="16"/>
          <w:szCs w:val="16"/>
        </w:rPr>
        <w:softHyphen/>
        <w:t>ки КБ Военно-воздушной академии И.В. Веневидов и Г.М. Можаровский внесли предложение по десантированию легкого плавающего танка Т-37А с предельно малой высоты на воду. Самолет на бреющем полете должен был спускать танк на тросах, а в момент касания водной поверх</w:t>
      </w:r>
      <w:r w:rsidRPr="00E14102">
        <w:rPr>
          <w:color w:val="000000" w:themeColor="text1"/>
          <w:sz w:val="16"/>
          <w:szCs w:val="16"/>
        </w:rPr>
        <w:softHyphen/>
        <w:t>ности автоматически отцеплять его от троса. Далее танк перемещался на лыжах, подложенных под его гусеницы, замедляя движение неболь</w:t>
      </w:r>
      <w:r w:rsidRPr="00E14102">
        <w:rPr>
          <w:color w:val="000000" w:themeColor="text1"/>
          <w:sz w:val="16"/>
          <w:szCs w:val="16"/>
        </w:rPr>
        <w:softHyphen/>
        <w:t>шим тормозным парашютом. Изначально вся разработка оценивалась в 150000 руб. Конструктивные переделки Т-37А сводились к монтажу небольших приспособлений для крепления тормозящих парашютов, костылей лыж и т.д. Стоимость этой работы не превышала 15000 руб., однако по ряду причин это предложение развития не получило.</w:t>
      </w:r>
    </w:p>
    <w:p w14:paraId="6F33AE21" w14:textId="77777777" w:rsidR="00CD3BA6" w:rsidRPr="00E14102" w:rsidRDefault="00CD3BA6" w:rsidP="00E14102">
      <w:pPr>
        <w:jc w:val="both"/>
        <w:rPr>
          <w:color w:val="000000" w:themeColor="text1"/>
          <w:sz w:val="16"/>
          <w:szCs w:val="16"/>
        </w:rPr>
      </w:pPr>
      <w:r w:rsidRPr="00E14102">
        <w:rPr>
          <w:color w:val="000000" w:themeColor="text1"/>
          <w:sz w:val="16"/>
          <w:szCs w:val="16"/>
        </w:rPr>
        <w:t>Параллельно в Военной академии моторизации и механизации им. И.В. Сталина под руководством начальника проектно-конструкторского сектора НИО ВАММ военинженера 3-го ранга Ж.Я. Котина создали под</w:t>
      </w:r>
      <w:r w:rsidRPr="00E14102">
        <w:rPr>
          <w:color w:val="000000" w:themeColor="text1"/>
          <w:sz w:val="16"/>
          <w:szCs w:val="16"/>
        </w:rPr>
        <w:softHyphen/>
        <w:t>веску для крепления Т-37А к бомбардировщику ТБ-3, основой которой послужила доработанная ПГ-12. Проверить правильности этой идеи пла</w:t>
      </w:r>
      <w:r w:rsidRPr="00E14102">
        <w:rPr>
          <w:color w:val="000000" w:themeColor="text1"/>
          <w:sz w:val="16"/>
          <w:szCs w:val="16"/>
        </w:rPr>
        <w:softHyphen/>
        <w:t>нировалось в ходе опытов по сбросу Т-37А на воду.</w:t>
      </w:r>
    </w:p>
    <w:p w14:paraId="2CAC2CFD" w14:textId="77777777" w:rsidR="00CD3BA6" w:rsidRPr="00E14102" w:rsidRDefault="00CD3BA6" w:rsidP="00E14102">
      <w:pPr>
        <w:jc w:val="both"/>
        <w:rPr>
          <w:color w:val="000000" w:themeColor="text1"/>
          <w:sz w:val="16"/>
          <w:szCs w:val="16"/>
        </w:rPr>
      </w:pPr>
      <w:r w:rsidRPr="00E14102">
        <w:rPr>
          <w:color w:val="000000" w:themeColor="text1"/>
          <w:sz w:val="16"/>
          <w:szCs w:val="16"/>
        </w:rPr>
        <w:t>Однако проект подвески, получившей обозначение «ТВД», сначала совершенно не устроил Управление Военно-воздушных сил РККА, кото</w:t>
      </w:r>
      <w:r w:rsidRPr="00E14102">
        <w:rPr>
          <w:color w:val="000000" w:themeColor="text1"/>
          <w:sz w:val="16"/>
          <w:szCs w:val="16"/>
        </w:rPr>
        <w:softHyphen/>
        <w:t>рое курировало весь ход работ и отвечало за практическую реализацию. Так, при рассмотрении проекта подвески танка Т-37 к ТБ-3, представ</w:t>
      </w:r>
      <w:r w:rsidRPr="00E14102">
        <w:rPr>
          <w:color w:val="000000" w:themeColor="text1"/>
          <w:sz w:val="16"/>
          <w:szCs w:val="16"/>
        </w:rPr>
        <w:softHyphen/>
        <w:t>ленного ВАММ РККА в январе 1936 г., оказалось, что</w:t>
      </w:r>
      <w:r w:rsidRPr="00E14102">
        <w:rPr>
          <w:rStyle w:val="ae"/>
          <w:rFonts w:ascii="Times New Roman" w:hAnsi="Times New Roman"/>
          <w:i w:val="0"/>
          <w:color w:val="000000" w:themeColor="text1"/>
          <w:sz w:val="16"/>
          <w:szCs w:val="16"/>
        </w:rPr>
        <w:t xml:space="preserve"> «всяразработка заключается только в некоторой переработке скобы на самом танке уже существующей подвески.</w:t>
      </w:r>
    </w:p>
    <w:p w14:paraId="6446A945" w14:textId="77777777" w:rsidR="00CD3BA6" w:rsidRPr="00E14102" w:rsidRDefault="00CD3BA6" w:rsidP="00E14102">
      <w:pPr>
        <w:jc w:val="both"/>
        <w:rPr>
          <w:color w:val="000000" w:themeColor="text1"/>
          <w:sz w:val="16"/>
          <w:szCs w:val="16"/>
        </w:rPr>
      </w:pPr>
      <w:r w:rsidRPr="00E14102">
        <w:rPr>
          <w:rStyle w:val="ae"/>
          <w:rFonts w:ascii="Times New Roman" w:hAnsi="Times New Roman"/>
          <w:i w:val="0"/>
          <w:color w:val="000000" w:themeColor="text1"/>
          <w:sz w:val="16"/>
          <w:szCs w:val="16"/>
        </w:rPr>
        <w:t>При этом скоба эта сделана даже не для нового выпуска Т-37 с пробко</w:t>
      </w:r>
      <w:r w:rsidRPr="00E14102">
        <w:rPr>
          <w:rStyle w:val="ae"/>
          <w:rFonts w:ascii="Times New Roman" w:hAnsi="Times New Roman"/>
          <w:i w:val="0"/>
          <w:color w:val="000000" w:themeColor="text1"/>
          <w:sz w:val="16"/>
          <w:szCs w:val="16"/>
        </w:rPr>
        <w:softHyphen/>
        <w:t>выми поплавками, а для старого».</w:t>
      </w:r>
      <w:r w:rsidRPr="00E14102">
        <w:rPr>
          <w:color w:val="000000" w:themeColor="text1"/>
          <w:sz w:val="16"/>
          <w:szCs w:val="16"/>
        </w:rPr>
        <w:t xml:space="preserve"> Между тем, изначально оговаривалось более кардинальное улучшение всей конструкции подвески ПГ-12, учи</w:t>
      </w:r>
      <w:r w:rsidRPr="00E14102">
        <w:rPr>
          <w:color w:val="000000" w:themeColor="text1"/>
          <w:sz w:val="16"/>
          <w:szCs w:val="16"/>
        </w:rPr>
        <w:softHyphen/>
        <w:t>тывая необходимость решения задачи не только транспортировки танка, но и его сброса (12743).</w:t>
      </w:r>
    </w:p>
    <w:p w14:paraId="05D8A139" w14:textId="77777777" w:rsidR="00CD3BA6" w:rsidRPr="00E14102" w:rsidRDefault="00CD3BA6" w:rsidP="00E14102">
      <w:pPr>
        <w:jc w:val="both"/>
        <w:rPr>
          <w:color w:val="000000" w:themeColor="text1"/>
          <w:sz w:val="16"/>
          <w:szCs w:val="16"/>
        </w:rPr>
      </w:pPr>
    </w:p>
    <w:p w14:paraId="62ADC36C" w14:textId="77777777" w:rsidR="002A3C23" w:rsidRPr="00E14102" w:rsidRDefault="002A3C23" w:rsidP="00E14102">
      <w:pPr>
        <w:shd w:val="clear" w:color="auto" w:fill="FFFFFF"/>
        <w:jc w:val="both"/>
        <w:rPr>
          <w:color w:val="000000" w:themeColor="text1"/>
          <w:sz w:val="16"/>
          <w:szCs w:val="16"/>
        </w:rPr>
      </w:pPr>
      <w:r w:rsidRPr="00E14102">
        <w:rPr>
          <w:color w:val="000000" w:themeColor="text1"/>
          <w:sz w:val="16"/>
          <w:szCs w:val="16"/>
        </w:rPr>
        <w:t>В конце 1935 г. С П. Королев добился включения работ по созданию ракетоплана в план РНИИ. В это время Коро лев считал, что успехи в создании ЖРД и другие техничес кие достижения уже позволяют создать высотный ракетоп лан.</w:t>
      </w:r>
    </w:p>
    <w:p w14:paraId="3F2EFD85" w14:textId="77777777" w:rsidR="002A3C23" w:rsidRPr="00E14102" w:rsidRDefault="002A3C23" w:rsidP="00E14102">
      <w:pPr>
        <w:shd w:val="clear" w:color="auto" w:fill="FFFFFF"/>
        <w:jc w:val="both"/>
        <w:rPr>
          <w:color w:val="000000" w:themeColor="text1"/>
          <w:sz w:val="16"/>
          <w:szCs w:val="16"/>
        </w:rPr>
      </w:pPr>
      <w:r w:rsidRPr="00E14102">
        <w:rPr>
          <w:color w:val="000000" w:themeColor="text1"/>
          <w:sz w:val="16"/>
          <w:szCs w:val="16"/>
        </w:rPr>
        <w:t>В 1936 г. в РНИИ были возобновлены расчетно-проект ные работы по ракетопланам. В этом году под руководством С П. Королева и Е.С. Щетинкова был разработан проект двух местного экспериментального ракетоплана, получившего в плане работ РНИИ обозначение «Объект 218» или РП-218, в затем РП-318 (19586).</w:t>
      </w:r>
    </w:p>
    <w:p w14:paraId="08C0B7C1" w14:textId="77777777" w:rsidR="002A3C23" w:rsidRPr="00E14102" w:rsidRDefault="002A3C23" w:rsidP="00E14102">
      <w:pPr>
        <w:shd w:val="clear" w:color="auto" w:fill="FFFFFF"/>
        <w:jc w:val="both"/>
        <w:rPr>
          <w:color w:val="000000" w:themeColor="text1"/>
          <w:sz w:val="16"/>
          <w:szCs w:val="16"/>
        </w:rPr>
      </w:pPr>
    </w:p>
    <w:p w14:paraId="645611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на 207 заводе было начато проектирование дирижабля ДП-16 (2050,8).</w:t>
      </w:r>
    </w:p>
    <w:p w14:paraId="54F693A8" w14:textId="77777777" w:rsidR="00D4105E" w:rsidRPr="00E14102" w:rsidRDefault="00D4105E" w:rsidP="00E14102">
      <w:pPr>
        <w:autoSpaceDE w:val="0"/>
        <w:autoSpaceDN w:val="0"/>
        <w:adjustRightInd w:val="0"/>
        <w:jc w:val="both"/>
        <w:rPr>
          <w:color w:val="000000" w:themeColor="text1"/>
          <w:sz w:val="16"/>
          <w:szCs w:val="16"/>
        </w:rPr>
      </w:pPr>
    </w:p>
    <w:p w14:paraId="128B833A" w14:textId="77777777" w:rsidR="00270FBF" w:rsidRPr="00E14102" w:rsidRDefault="00270FBF" w:rsidP="00E14102">
      <w:pPr>
        <w:jc w:val="both"/>
        <w:rPr>
          <w:color w:val="000000" w:themeColor="text1"/>
          <w:sz w:val="16"/>
          <w:szCs w:val="16"/>
        </w:rPr>
      </w:pPr>
      <w:r w:rsidRPr="00E14102">
        <w:rPr>
          <w:color w:val="000000" w:themeColor="text1"/>
          <w:sz w:val="16"/>
          <w:szCs w:val="16"/>
        </w:rPr>
        <w:t>В конце 1935 г. была построена модель цельнометаллического дирижабля Циолковского из нержавеющей стали объемом 1000 м3 [Работа по дирижаблю К.Э. Циолковского // Технический бюллетень Дирижаблестроя. - 1936. - № 6, с. 98] (15234).</w:t>
      </w:r>
    </w:p>
    <w:p w14:paraId="0D3610D4" w14:textId="77777777" w:rsidR="00270FBF" w:rsidRPr="00E14102" w:rsidRDefault="00270FBF" w:rsidP="00E14102">
      <w:pPr>
        <w:jc w:val="both"/>
        <w:rPr>
          <w:color w:val="000000" w:themeColor="text1"/>
          <w:sz w:val="16"/>
          <w:szCs w:val="16"/>
        </w:rPr>
      </w:pPr>
    </w:p>
    <w:p w14:paraId="30B62BBE" w14:textId="77777777" w:rsidR="00FD6F98" w:rsidRPr="00E14102" w:rsidRDefault="00FD6F98" w:rsidP="00E14102">
      <w:pPr>
        <w:jc w:val="both"/>
        <w:rPr>
          <w:color w:val="0070C0"/>
          <w:sz w:val="16"/>
          <w:szCs w:val="16"/>
        </w:rPr>
      </w:pPr>
      <w:r w:rsidRPr="00E14102">
        <w:rPr>
          <w:color w:val="0070C0"/>
          <w:sz w:val="16"/>
          <w:szCs w:val="16"/>
        </w:rPr>
        <w:t>В конце 1935 г., уже после смерти учёного, в КБ-3, которое возгла</w:t>
      </w:r>
      <w:r w:rsidRPr="00E14102">
        <w:rPr>
          <w:color w:val="0070C0"/>
          <w:sz w:val="16"/>
          <w:szCs w:val="16"/>
        </w:rPr>
        <w:softHyphen/>
        <w:t>вил В.А. Джапаридзе, изготовили из нержавею</w:t>
      </w:r>
      <w:r w:rsidRPr="00E14102">
        <w:rPr>
          <w:color w:val="0070C0"/>
          <w:sz w:val="16"/>
          <w:szCs w:val="16"/>
        </w:rPr>
        <w:softHyphen/>
        <w:t>щей стали толщиной 0,1 мм путём электросварки модель ЦМ-4 объёмом 1080 м3. Оболочка модели имела длину 45 м и диаметр миделя 7,2 м.</w:t>
      </w:r>
    </w:p>
    <w:p w14:paraId="57B8D756" w14:textId="77777777" w:rsidR="00FD6F98" w:rsidRPr="00E14102" w:rsidRDefault="00FD6F98" w:rsidP="00E14102">
      <w:pPr>
        <w:jc w:val="both"/>
        <w:rPr>
          <w:color w:val="0070C0"/>
          <w:sz w:val="16"/>
          <w:szCs w:val="16"/>
        </w:rPr>
      </w:pPr>
      <w:r w:rsidRPr="00E14102">
        <w:rPr>
          <w:color w:val="0070C0"/>
          <w:sz w:val="16"/>
          <w:szCs w:val="16"/>
        </w:rPr>
        <w:t>Испытания на газопроницаемость показали хорошие результаты. Для постройки оболочек дирижаблей Циолковского всё возрастающего объёма требовалось разработать методы мо</w:t>
      </w:r>
      <w:r w:rsidRPr="00E14102">
        <w:rPr>
          <w:color w:val="0070C0"/>
          <w:sz w:val="16"/>
          <w:szCs w:val="16"/>
        </w:rPr>
        <w:softHyphen/>
        <w:t>дельных экспериментов. Поэтому в КБ-3 изгото</w:t>
      </w:r>
      <w:r w:rsidRPr="00E14102">
        <w:rPr>
          <w:color w:val="0070C0"/>
          <w:sz w:val="16"/>
          <w:szCs w:val="16"/>
        </w:rPr>
        <w:softHyphen/>
        <w:t>вили модель ЦМ-12, представлявшую собой гео</w:t>
      </w:r>
      <w:r w:rsidRPr="00E14102">
        <w:rPr>
          <w:color w:val="0070C0"/>
          <w:sz w:val="16"/>
          <w:szCs w:val="16"/>
        </w:rPr>
        <w:softHyphen/>
        <w:t>метрическое и механическое подобие оболочки ЦМ-4 в масштабе 1:10, и в конце 1936 г. провели её аэростатические испытания.</w:t>
      </w:r>
    </w:p>
    <w:p w14:paraId="6929EABC" w14:textId="77777777" w:rsidR="00FD6F98" w:rsidRPr="00E14102" w:rsidRDefault="00FD6F98" w:rsidP="00E14102">
      <w:pPr>
        <w:jc w:val="both"/>
        <w:rPr>
          <w:color w:val="0070C0"/>
          <w:sz w:val="16"/>
          <w:szCs w:val="16"/>
        </w:rPr>
      </w:pPr>
      <w:r w:rsidRPr="00E14102">
        <w:rPr>
          <w:color w:val="0070C0"/>
          <w:sz w:val="16"/>
          <w:szCs w:val="16"/>
        </w:rPr>
        <w:t>Работы над цельнометаллическим дирижа</w:t>
      </w:r>
      <w:r w:rsidRPr="00E14102">
        <w:rPr>
          <w:color w:val="0070C0"/>
          <w:sz w:val="16"/>
          <w:szCs w:val="16"/>
        </w:rPr>
        <w:softHyphen/>
        <w:t>блем К.Э. Циолковского велись до 1938 г., когда их прекратили в связи с общим сворачиванием работ по дирижаблестроению. К этому времени недостатки схемы Циолковского стали очевид</w:t>
      </w:r>
      <w:r w:rsidRPr="00E14102">
        <w:rPr>
          <w:color w:val="0070C0"/>
          <w:sz w:val="16"/>
          <w:szCs w:val="16"/>
        </w:rPr>
        <w:softHyphen/>
        <w:t>ны, и последняя модель (ЦМ-12-5) представля</w:t>
      </w:r>
      <w:r w:rsidRPr="00E14102">
        <w:rPr>
          <w:color w:val="0070C0"/>
          <w:sz w:val="16"/>
          <w:szCs w:val="16"/>
        </w:rPr>
        <w:softHyphen/>
        <w:t>ла собой баллонетный дирижабль с металличе</w:t>
      </w:r>
      <w:r w:rsidRPr="00E14102">
        <w:rPr>
          <w:color w:val="0070C0"/>
          <w:sz w:val="16"/>
          <w:szCs w:val="16"/>
        </w:rPr>
        <w:softHyphen/>
        <w:t>ской оболочкой (20120).</w:t>
      </w:r>
    </w:p>
    <w:p w14:paraId="081F2F1A" w14:textId="77777777" w:rsidR="00FD6F98" w:rsidRPr="00E14102" w:rsidRDefault="00FD6F98" w:rsidP="00E14102">
      <w:pPr>
        <w:jc w:val="both"/>
        <w:rPr>
          <w:color w:val="0070C0"/>
          <w:sz w:val="16"/>
          <w:szCs w:val="16"/>
        </w:rPr>
      </w:pPr>
    </w:p>
    <w:p w14:paraId="6E3056CD"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4F7EE2BE" w14:textId="77777777" w:rsidR="00D4105E" w:rsidRPr="00E14102" w:rsidRDefault="00D4105E" w:rsidP="00E14102">
      <w:pPr>
        <w:autoSpaceDE w:val="0"/>
        <w:autoSpaceDN w:val="0"/>
        <w:adjustRightInd w:val="0"/>
        <w:jc w:val="both"/>
        <w:rPr>
          <w:iCs/>
          <w:color w:val="000000" w:themeColor="text1"/>
          <w:sz w:val="16"/>
          <w:szCs w:val="16"/>
        </w:rPr>
      </w:pPr>
    </w:p>
    <w:p w14:paraId="51CD7E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концу 1935 г. промышленность передала военным свыше 840 орудий Курчевского различных систем, которые в основном осели на складах. Поспешили с пушками Курчевского, в итоге потеряли почти два года, а Красная Армия не получила современное оружие.</w:t>
      </w:r>
    </w:p>
    <w:p w14:paraId="538DCC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Самой массовой была пушка БПК. В ноябре 1929 г. М.Н. Тухачевский, будучи командующим Ленинградским военным округом, "настоятельно ходатайствовал о принятии на вооружение батальонной артиллерии пушки ДРП". Правда, за год до этого председатель РВС СССР А.И. Корк и начальник артиллерийского управления РККА Г.И. Кулик рекомендовали воздержаться от принятия ее на вооружение. Спор военачальников разрешился весной 1931 г., после назначения Тухачевского заместителем Наркомвоенмора - начальником вооружений РККА.</w:t>
      </w:r>
    </w:p>
    <w:p w14:paraId="01F148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сдали заказчику 134 пушки БПК.</w:t>
      </w:r>
    </w:p>
    <w:p w14:paraId="2087D4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БПК состояла из ствола, прицельного приспособления и двухколесного лафета. На затворе орудия крепился на резьбе сопловой блок. Особенностью этого орудия, как, впрочем, и остальных, предназначенных для сухопутных войск, были стандартные патроны от трехдюймовых орудий. Правда, гильза отличалась отверстием в ее донной части, из которого после воспламенения истекали пороховые газы. Снаряд имел ведущий поясок, расположенный в донной части и легко деформировавшийся при его движении в канале ствола. После выстрела боец открывал затвор, из которого извлекалась использованная гильза.</w:t>
      </w:r>
    </w:p>
    <w:p w14:paraId="1602B1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БПК можно было использовать и как миномет при стрельбе специальными минами на расстояние до одного километра. Для этого снимали сопло и в зарядную камеру вставляли приспособление в виде укороченной латунной гильзы с жалом. Заряжание и выстрел происходили как в обычном миномете (11617).</w:t>
      </w:r>
    </w:p>
    <w:p w14:paraId="005D5FF8" w14:textId="77777777" w:rsidR="00D4105E" w:rsidRPr="00E14102" w:rsidRDefault="00D4105E" w:rsidP="00E14102">
      <w:pPr>
        <w:autoSpaceDE w:val="0"/>
        <w:autoSpaceDN w:val="0"/>
        <w:adjustRightInd w:val="0"/>
        <w:jc w:val="both"/>
        <w:rPr>
          <w:color w:val="000000" w:themeColor="text1"/>
          <w:sz w:val="16"/>
          <w:szCs w:val="16"/>
        </w:rPr>
      </w:pPr>
    </w:p>
    <w:p w14:paraId="19375782" w14:textId="77777777" w:rsidR="00270FBF" w:rsidRPr="00E14102" w:rsidRDefault="00270FBF" w:rsidP="00E14102">
      <w:pPr>
        <w:jc w:val="both"/>
        <w:rPr>
          <w:color w:val="000000" w:themeColor="text1"/>
          <w:sz w:val="16"/>
          <w:szCs w:val="16"/>
        </w:rPr>
      </w:pPr>
      <w:r w:rsidRPr="00E14102">
        <w:rPr>
          <w:color w:val="000000" w:themeColor="text1"/>
          <w:sz w:val="16"/>
          <w:szCs w:val="16"/>
        </w:rPr>
        <w:t xml:space="preserve">К концу 1935 была закончена переделка второй 356-мм пушки в 368-мм. При испытаниях 368-мм пушки № 2 в 1936 — начале 1937 г, снарядом чертежа 6314 были получены удовлетворительные результаты, и на их основе в марте 1937 г. составили таблицы стрельбы из 368-мм пушки снарядами черт. 6314. Конструкция снаряда </w:t>
      </w:r>
      <w:r w:rsidRPr="00E14102">
        <w:rPr>
          <w:color w:val="000000" w:themeColor="text1"/>
          <w:sz w:val="16"/>
          <w:szCs w:val="16"/>
        </w:rPr>
        <w:lastRenderedPageBreak/>
        <w:t>чертежа 6314 весила 254 кг, из них на поясковый поддон приходилось 112,1 кг, на активный снаряд 140 кг. Длина 220-мм активного снаряда 5 калибров. В качестве взрывчатого вещества использовалось 7 кг тротила, взрыватель РГМ. При стрельбе полным зарядом в 223 кг начальная скорость составляла 1390 м/с, а дальность — 120,5 км. Таким образом, была получена та же дальность, что и у «Парижской пушки», но более тяжелым снарядом. Главное же заключалось в том, что была использована обычная морская пушка, да и живучесть ствола была гораздо больше, чем у немцев. 368-мм стволы предполагалось установить на железнодорожных транспортерах ТМ-1—14. Тем не менее на этом этапе работы с поисковыми поддонами приостановили, поскольку предпочтение было отдано звездчатым поддонам. Но прежде чем перейти к снарядам со звездчатыми поддонами, закончу рассказ о сверхдальних пушках с обычными поисковыми снарядами (15117).</w:t>
      </w:r>
    </w:p>
    <w:p w14:paraId="7B24C25C" w14:textId="77777777" w:rsidR="00270FBF" w:rsidRPr="00E14102" w:rsidRDefault="00270FBF" w:rsidP="00E14102">
      <w:pPr>
        <w:jc w:val="both"/>
        <w:rPr>
          <w:color w:val="000000" w:themeColor="text1"/>
          <w:sz w:val="16"/>
          <w:szCs w:val="16"/>
        </w:rPr>
      </w:pPr>
    </w:p>
    <w:p w14:paraId="4C412B1A" w14:textId="77777777" w:rsidR="009B093F" w:rsidRPr="00E14102" w:rsidRDefault="009B093F" w:rsidP="00E14102">
      <w:pPr>
        <w:jc w:val="both"/>
        <w:rPr>
          <w:color w:val="000000" w:themeColor="text1"/>
          <w:sz w:val="16"/>
          <w:szCs w:val="16"/>
        </w:rPr>
      </w:pPr>
      <w:r w:rsidRPr="00E14102">
        <w:rPr>
          <w:color w:val="000000" w:themeColor="text1"/>
          <w:sz w:val="16"/>
          <w:szCs w:val="16"/>
        </w:rPr>
        <w:t>В конце 1935 г. были проведены стрельбы снарядами с поясковыми поддонами чертежа 6125. Вес активного снаряда составил 142 кг, а вес поддона — 120 кг, дальность стрельбы — 97 270 м при угле +42°. Среднее рассеивание по четырем выстрелам: боковое — 55 м, продольное — 935 м. Ожидаемая дальность при угле +50° — 110 км. Падение поддонов происходило на расстоянии 3–5 км. Всего было произведено 47 выстрелов снарядами чертежа 6125.</w:t>
      </w:r>
    </w:p>
    <w:p w14:paraId="7B1F7536" w14:textId="77777777" w:rsidR="009B093F" w:rsidRPr="00E14102" w:rsidRDefault="009B093F" w:rsidP="00E14102">
      <w:pPr>
        <w:jc w:val="both"/>
        <w:rPr>
          <w:color w:val="000000" w:themeColor="text1"/>
          <w:sz w:val="16"/>
          <w:szCs w:val="16"/>
        </w:rPr>
      </w:pPr>
      <w:r w:rsidRPr="00E14102">
        <w:rPr>
          <w:color w:val="000000" w:themeColor="text1"/>
          <w:sz w:val="16"/>
          <w:szCs w:val="16"/>
        </w:rPr>
        <w:t>Далее работы были продолжены по пути облегчения пояскового поддона до 112 кг (снаряд чертежа 6314).</w:t>
      </w:r>
    </w:p>
    <w:p w14:paraId="00E0809F" w14:textId="77777777" w:rsidR="009B093F" w:rsidRPr="00E14102" w:rsidRDefault="009B093F" w:rsidP="00E14102">
      <w:pPr>
        <w:jc w:val="both"/>
        <w:rPr>
          <w:color w:val="000000" w:themeColor="text1"/>
          <w:sz w:val="16"/>
          <w:szCs w:val="16"/>
        </w:rPr>
      </w:pPr>
      <w:r w:rsidRPr="00E14102">
        <w:rPr>
          <w:color w:val="000000" w:themeColor="text1"/>
          <w:sz w:val="16"/>
          <w:szCs w:val="16"/>
        </w:rPr>
        <w:t>К тому времени была закончена переделка второй 356мм пушки в 368-мм. При испытаниях 368-мм пушки № 2 в 1936-м — начале 1937 г. снарядом чертежа 6314 были получены удовлетворительные результаты, и на их основе в марте 1937 г. составили таблицы стрельбы из 368-мм пушки снарядами чертежа 6314. Конструкция снаряда чертежа 6314 весила 254 кг, из них на поясковый поддон приходилось 112,1 кг, на активный снаряд — 140 кг. Длина 220-мм активного снаряда — 5 калибров. В качестве взрывчатого вещества использовалось 7 кг тротила, взрыватель РГМ. При стрельбе полным зарядом в 223 кг начальная скорость составляла 1390 м/с, а дальность 120,5 кг. Таким образом, была получена та же дальность, что и у «Парижской пушки», но более тяжелым снарядом. Главное же заключалось в том, что была использована обычная морская пушка, да и живучесть ствола была гораздо больше, чем у немцев. 368-мм стволы предполагалось установить на железнодорожных транспортерах ТМ-1–14.</w:t>
      </w:r>
    </w:p>
    <w:p w14:paraId="3FB30BBC" w14:textId="77777777" w:rsidR="009B093F" w:rsidRPr="00E14102" w:rsidRDefault="009B093F" w:rsidP="00E14102">
      <w:pPr>
        <w:jc w:val="both"/>
        <w:rPr>
          <w:color w:val="000000" w:themeColor="text1"/>
          <w:sz w:val="16"/>
          <w:szCs w:val="16"/>
        </w:rPr>
      </w:pPr>
      <w:r w:rsidRPr="00E14102">
        <w:rPr>
          <w:color w:val="000000" w:themeColor="text1"/>
          <w:sz w:val="16"/>
          <w:szCs w:val="16"/>
        </w:rPr>
        <w:t>Тем не менее на этом этапе работы с поясковыми поддонами приостановили, поскольку предпочтение было отдано звездчатым поддонам. Но прежде чем перейти к снарядам со звездчатыми поддонами, закончу рассказ о сверхдальних пушках с обычными поясковыми снарядами (12705).</w:t>
      </w:r>
    </w:p>
    <w:p w14:paraId="52D5F913" w14:textId="77777777" w:rsidR="009B093F" w:rsidRPr="00E14102" w:rsidRDefault="009B093F" w:rsidP="00E14102">
      <w:pPr>
        <w:jc w:val="both"/>
        <w:rPr>
          <w:color w:val="000000" w:themeColor="text1"/>
          <w:sz w:val="16"/>
          <w:szCs w:val="16"/>
        </w:rPr>
      </w:pPr>
    </w:p>
    <w:p w14:paraId="75C121AB" w14:textId="77777777" w:rsidR="00270FBF" w:rsidRPr="00E14102" w:rsidRDefault="00270FBF" w:rsidP="00E14102">
      <w:pPr>
        <w:jc w:val="both"/>
        <w:rPr>
          <w:color w:val="000000" w:themeColor="text1"/>
          <w:sz w:val="16"/>
          <w:szCs w:val="16"/>
        </w:rPr>
      </w:pPr>
      <w:r w:rsidRPr="00E14102">
        <w:rPr>
          <w:color w:val="000000" w:themeColor="text1"/>
          <w:sz w:val="16"/>
          <w:szCs w:val="16"/>
        </w:rPr>
        <w:t>В конце 1935 г. были проведены стрельбы снарядами с поясковыми поддонами чертежа 6125. Вес активного снаряда составил 142 кг, а вес поддона — 120 кг, дальность стрельбы — 97 270 м при угле +42°. Среднее рассеивание по четырем выстрелам: боковое 55 м, продольное 935 м. Ожидаемая дальность при угле +50° — 110 км. Падение поддонов происходило на расстоянии 3—5 км. Всего было произведено 47 выстрелов снарядами чертежа 6125. Далее работы были продолжены по пути облегчения пояскового поддона до 112 кг (снаряд чертежа 6314) (15117).</w:t>
      </w:r>
    </w:p>
    <w:p w14:paraId="0D35A02D" w14:textId="77777777" w:rsidR="00270FBF" w:rsidRPr="00E14102" w:rsidRDefault="00270FBF" w:rsidP="00E14102">
      <w:pPr>
        <w:jc w:val="both"/>
        <w:rPr>
          <w:color w:val="000000" w:themeColor="text1"/>
          <w:sz w:val="16"/>
          <w:szCs w:val="16"/>
        </w:rPr>
      </w:pPr>
    </w:p>
    <w:p w14:paraId="27526CFB" w14:textId="77777777" w:rsidR="00FD6F98" w:rsidRPr="00E14102" w:rsidRDefault="00FD6F98" w:rsidP="00E14102">
      <w:pPr>
        <w:autoSpaceDE w:val="0"/>
        <w:autoSpaceDN w:val="0"/>
        <w:adjustRightInd w:val="0"/>
        <w:jc w:val="both"/>
        <w:rPr>
          <w:color w:val="0070C0"/>
          <w:sz w:val="16"/>
          <w:szCs w:val="16"/>
        </w:rPr>
      </w:pPr>
      <w:r w:rsidRPr="00E14102">
        <w:rPr>
          <w:color w:val="0070C0"/>
          <w:sz w:val="16"/>
          <w:szCs w:val="16"/>
        </w:rPr>
        <w:t xml:space="preserve">Для решения вопроса о дальнейшей работе СКБ и в целях обеспечения выполнения плана работ за конец 1935 г. и в 1936 г. Б. И. Шавырин, который к этому времени возглавлял СКБ, в октябре 1935 г. обратился к начальнику ГВМУ НКТП СССР И. П. Павлуновскому с просьбой о передаче Бюро всего комплекса работ по проектированию минометов, централизации полномочий по размещению нарядов на разработку и изготовление мин в других КБ, а также ускорении перевода коллектива Бюро на один из заводов ГВМУ, расположенных вблизи полигона.443 </w:t>
      </w:r>
    </w:p>
    <w:p w14:paraId="202BA563" w14:textId="77777777" w:rsidR="00FD6F98" w:rsidRPr="00E14102" w:rsidRDefault="00FD6F98" w:rsidP="00E14102">
      <w:pPr>
        <w:autoSpaceDE w:val="0"/>
        <w:autoSpaceDN w:val="0"/>
        <w:adjustRightInd w:val="0"/>
        <w:jc w:val="both"/>
        <w:rPr>
          <w:color w:val="0070C0"/>
          <w:sz w:val="16"/>
          <w:szCs w:val="16"/>
        </w:rPr>
      </w:pPr>
      <w:r w:rsidRPr="00E14102">
        <w:rPr>
          <w:color w:val="0070C0"/>
          <w:sz w:val="16"/>
          <w:szCs w:val="16"/>
        </w:rPr>
        <w:t xml:space="preserve">Планы СКБ на 1936 г. включали в себя проектную и научно-исследовательскую работу по созданию минометов основных калибров и мин к ним: 60-мм ротный миномет, 82-мм облегченный батальонный и крешерный минометы, продолжение работ по 107-мм химическому миномету, 120-мм полковой миномет, разработка установки 107-мм или 120-мм систем на танке Т-26, устройства приспособления на танкетке Т-27 для подкопа грунта под опорную плиту и прицепа для перевозки мин этих калибров. Также предполагалось проведение доработки конструкций 60-, 82-, 107- и 120-мм мин, причем одним из направлений было суррогатирование 82-мм фугасных мин (аналогично 107-мм химическим минам).444 </w:t>
      </w:r>
    </w:p>
    <w:p w14:paraId="45749664" w14:textId="77777777" w:rsidR="00FD6F98" w:rsidRPr="00E14102" w:rsidRDefault="00FD6F98" w:rsidP="00E14102">
      <w:pPr>
        <w:jc w:val="both"/>
        <w:rPr>
          <w:rFonts w:eastAsia="TimesNewRomanPSMT"/>
          <w:color w:val="0070C0"/>
          <w:sz w:val="16"/>
          <w:szCs w:val="16"/>
        </w:rPr>
      </w:pPr>
      <w:r w:rsidRPr="00E14102">
        <w:rPr>
          <w:color w:val="0070C0"/>
          <w:sz w:val="16"/>
          <w:szCs w:val="16"/>
        </w:rPr>
        <w:t>Вопрос о переводе СКБ при заводе «Красный Октябрь» из г. Харькова к концу 1935 г. был решен – новым местом расположения СКБ был назначен Ленинградский машиностроительный завод №7. На основании приказа ГУВП НКТП СССР №А/511 от 28 января 1936 г. начальник СКБ при заводе «Красный Октябрь» (г. Харьков) Б. И. Шавырин прибыл по направлению на постоянную работу в Ленинград на завод №7 в марте 1936 г. После приезда Б. И. Шавырин поселился недалеко от завода, по адресу: Ключевая ул., д. 18, кв. 2. 2 апреля 1936 г. Б. И. Шавырин был принят на завод №7 в качестве инженера-механика Технического отдела. 3 августа 1936 г. Б. И. Шавырин был переведен на должность старшего конструктора КБ завода.445 (20074).</w:t>
      </w:r>
    </w:p>
    <w:p w14:paraId="24BA427C" w14:textId="77777777" w:rsidR="00FD6F98" w:rsidRPr="00E14102" w:rsidRDefault="00FD6F98" w:rsidP="00E14102">
      <w:pPr>
        <w:jc w:val="both"/>
        <w:rPr>
          <w:rFonts w:eastAsia="TimesNewRomanPSMT"/>
          <w:color w:val="0070C0"/>
          <w:sz w:val="16"/>
          <w:szCs w:val="16"/>
        </w:rPr>
      </w:pPr>
    </w:p>
    <w:p w14:paraId="5D4E85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специалисты НИО ВАММ выдвинули предложение и разработали ТТТ на установку на БТ-5 165-мм газодинамического миномета, созданного в АНИИ. Не пошел сам миномет (3880,16).</w:t>
      </w:r>
    </w:p>
    <w:p w14:paraId="2876F1C2" w14:textId="77777777" w:rsidR="00D4105E" w:rsidRPr="00E14102" w:rsidRDefault="00D4105E" w:rsidP="00E14102">
      <w:pPr>
        <w:autoSpaceDE w:val="0"/>
        <w:autoSpaceDN w:val="0"/>
        <w:adjustRightInd w:val="0"/>
        <w:jc w:val="both"/>
        <w:rPr>
          <w:color w:val="000000" w:themeColor="text1"/>
          <w:sz w:val="16"/>
          <w:szCs w:val="16"/>
        </w:rPr>
      </w:pPr>
    </w:p>
    <w:p w14:paraId="762577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концу 1935 года четыре танковых полка РГК: в Смоленске, Киеве, Харькове и Слуцке состояли из трех батальонов по 30 танков в каждом. На их вооружение поступали средние (Т-28) и тяжелые (Т-35) танки (3918).</w:t>
      </w:r>
    </w:p>
    <w:p w14:paraId="16726CB0" w14:textId="77777777" w:rsidR="00D4105E" w:rsidRPr="00E14102" w:rsidRDefault="00D4105E" w:rsidP="00E14102">
      <w:pPr>
        <w:autoSpaceDE w:val="0"/>
        <w:autoSpaceDN w:val="0"/>
        <w:adjustRightInd w:val="0"/>
        <w:jc w:val="both"/>
        <w:rPr>
          <w:color w:val="000000" w:themeColor="text1"/>
          <w:sz w:val="16"/>
          <w:szCs w:val="16"/>
        </w:rPr>
      </w:pPr>
    </w:p>
    <w:p w14:paraId="3EC054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года были проведены стрельбы снарядами 220/368-мм с поясковыми поддонами чертежа 6125. Вес активного снаряда составил 142 кг, вес поддона 120 кг, дальность стрельбы 97270 м при угле возвышения 42. Среднее рассеивание по четырем выстрелам: боковое 55 м, продольное 935 м. Ожидаемая дальность при угле +50 110 км. Падение поддонов происходило на расстоянии 35 км. Всего было произведено 47 выстрелов. Далее поиски были продолжены по пути облегчения пояскового поддона до 112 кг (снаряд чертежа 6314). К тому времени была закончена переделка второй 356-мм пушки в 368-мм (3861).</w:t>
      </w:r>
    </w:p>
    <w:p w14:paraId="73825DDE" w14:textId="77777777" w:rsidR="00D4105E" w:rsidRPr="00E14102" w:rsidRDefault="00D4105E" w:rsidP="00E14102">
      <w:pPr>
        <w:autoSpaceDE w:val="0"/>
        <w:autoSpaceDN w:val="0"/>
        <w:adjustRightInd w:val="0"/>
        <w:jc w:val="both"/>
        <w:rPr>
          <w:color w:val="000000" w:themeColor="text1"/>
          <w:sz w:val="16"/>
          <w:szCs w:val="16"/>
        </w:rPr>
      </w:pPr>
    </w:p>
    <w:p w14:paraId="6B57F1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года при рассмотрении вопроса об орудия с глушителями главный конструктор завода № 8 заявил: "Я в глушитель не верю". "При стрельбе надо подходить к дулу и менять втулки, что очень неудобно в бою". Позже создан новый способ глушения, которое производилось путем закрытия дула после выстрела. Для этого применялся снаряд с поддоном, который отделялся от снаряда и закрывал собой дуло. Чтобы отделять поддон у дула было введено специальное приспособление, которое обеспечивало задержку поддона и сбрасывание его после выстрела, не требуя выхода расчета из-за щита. Такой глушитель был испытан на 45-мм ПТП. Пушка испытывалась 40-мм осколочным снарядом (то есть подкалиберным) (3861).</w:t>
      </w:r>
    </w:p>
    <w:p w14:paraId="27CE2759" w14:textId="77777777" w:rsidR="00D4105E" w:rsidRPr="00E14102" w:rsidRDefault="00D4105E" w:rsidP="00E14102">
      <w:pPr>
        <w:autoSpaceDE w:val="0"/>
        <w:autoSpaceDN w:val="0"/>
        <w:adjustRightInd w:val="0"/>
        <w:jc w:val="both"/>
        <w:rPr>
          <w:color w:val="000000" w:themeColor="text1"/>
          <w:sz w:val="16"/>
          <w:szCs w:val="16"/>
        </w:rPr>
      </w:pPr>
    </w:p>
    <w:p w14:paraId="2AC83C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 начале 1936 проходили испытания 76 мм САУ АТ-1 с ПС-3 на базе Т-26. Дорабатывали до 1938 (9527,263).</w:t>
      </w:r>
    </w:p>
    <w:p w14:paraId="5ECF6D29" w14:textId="77777777" w:rsidR="00D4105E" w:rsidRPr="00E14102" w:rsidRDefault="00D4105E" w:rsidP="00E14102">
      <w:pPr>
        <w:autoSpaceDE w:val="0"/>
        <w:autoSpaceDN w:val="0"/>
        <w:adjustRightInd w:val="0"/>
        <w:jc w:val="both"/>
        <w:rPr>
          <w:color w:val="000000" w:themeColor="text1"/>
          <w:sz w:val="16"/>
          <w:szCs w:val="16"/>
        </w:rPr>
      </w:pPr>
    </w:p>
    <w:p w14:paraId="569BAE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сотрудниками НИО ВАММ было выдвинуто предложение и разработаны ТТТ по установке в БТ-5, Т-28 и Т-35 165 мм газодинамического миномета разработки АНИИ. Развитие работ по СУ-14 с 203 мм гаубицей остановило эти работы (9527,264).</w:t>
      </w:r>
    </w:p>
    <w:p w14:paraId="2D8E3123" w14:textId="77777777" w:rsidR="00D4105E" w:rsidRPr="00E14102" w:rsidRDefault="00D4105E" w:rsidP="00E14102">
      <w:pPr>
        <w:autoSpaceDE w:val="0"/>
        <w:autoSpaceDN w:val="0"/>
        <w:adjustRightInd w:val="0"/>
        <w:jc w:val="both"/>
        <w:rPr>
          <w:color w:val="000000" w:themeColor="text1"/>
          <w:sz w:val="16"/>
          <w:szCs w:val="16"/>
        </w:rPr>
      </w:pPr>
    </w:p>
    <w:p w14:paraId="42FFE1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конце 1935 г. была разра</w:t>
      </w:r>
      <w:r w:rsidRPr="00E14102">
        <w:rPr>
          <w:color w:val="000000" w:themeColor="text1"/>
          <w:sz w:val="16"/>
          <w:szCs w:val="16"/>
        </w:rPr>
        <w:softHyphen/>
        <w:t>ботана установка дополнительного бензобака в танке Т-26, что позволило на серийном образце в 1936—37 гг. поднять запас хода до 240 км. Была также изменена вся схема бензопитания, сэконо</w:t>
      </w:r>
      <w:r w:rsidRPr="00E14102">
        <w:rPr>
          <w:color w:val="000000" w:themeColor="text1"/>
          <w:sz w:val="16"/>
          <w:szCs w:val="16"/>
        </w:rPr>
        <w:softHyphen/>
        <w:t>мившая некоторое количество дефицитных медных и рези</w:t>
      </w:r>
      <w:r w:rsidRPr="00E14102">
        <w:rPr>
          <w:color w:val="000000" w:themeColor="text1"/>
          <w:sz w:val="16"/>
          <w:szCs w:val="16"/>
        </w:rPr>
        <w:softHyphen/>
        <w:t>новых трубок. В том же 1937 г. были разработаны бакелито</w:t>
      </w:r>
      <w:r w:rsidRPr="00E14102">
        <w:rPr>
          <w:color w:val="000000" w:themeColor="text1"/>
          <w:sz w:val="16"/>
          <w:szCs w:val="16"/>
        </w:rPr>
        <w:softHyphen/>
        <w:t>вые бензобаки не только более дешевые, но и более легкие и простые в уходе, а главное — меньше боящиеся прострела пулей (пробоины небольшого диаметра, как правило, само</w:t>
      </w:r>
      <w:r w:rsidRPr="00E14102">
        <w:rPr>
          <w:color w:val="000000" w:themeColor="text1"/>
          <w:sz w:val="16"/>
          <w:szCs w:val="16"/>
        </w:rPr>
        <w:softHyphen/>
        <w:t>затягивались).</w:t>
      </w:r>
    </w:p>
    <w:p w14:paraId="6D8690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Корпус танка, первоначально клепаный, с 1935-36 гг. на</w:t>
      </w:r>
      <w:r w:rsidRPr="00E14102">
        <w:rPr>
          <w:color w:val="000000" w:themeColor="text1"/>
          <w:sz w:val="16"/>
          <w:szCs w:val="16"/>
        </w:rPr>
        <w:softHyphen/>
        <w:t>чал изготавливаться с применением электросварки, причем качество сварных соединений Т-26 было много лучше тако</w:t>
      </w:r>
      <w:r w:rsidRPr="00E14102">
        <w:rPr>
          <w:color w:val="000000" w:themeColor="text1"/>
          <w:sz w:val="16"/>
          <w:szCs w:val="16"/>
        </w:rPr>
        <w:softHyphen/>
        <w:t>вых же на танках БТ и Т-38 (10733,327).</w:t>
      </w:r>
    </w:p>
    <w:p w14:paraId="5E6AF0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7A5FD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конце 1935 г. в кормовой части башни Т-26 стали устанавливать шаровую установку с пулеметом ДТ (который тогда именовался «Ворошиловским»). Тогда же часть пулеметов ДТ начали оборудовать оптическим при</w:t>
      </w:r>
      <w:r w:rsidRPr="00E14102">
        <w:rPr>
          <w:color w:val="000000" w:themeColor="text1"/>
          <w:sz w:val="16"/>
          <w:szCs w:val="16"/>
        </w:rPr>
        <w:softHyphen/>
        <w:t>целом с 2,5-кратным увеличением (10733,327).</w:t>
      </w:r>
    </w:p>
    <w:p w14:paraId="45F3A9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FA91A0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конце 1935 г. работы по колесно-гусеничным плавающим танкам Т-43 были окончательно прекращены (10733,293).</w:t>
      </w:r>
    </w:p>
    <w:p w14:paraId="05589B9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355E5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концу 1935 года, буквально за несколько месяцев на ХПЗ выпустили всю техдокументацию тягача “Ворошиловец”. С самого начала в конструкцию заложили опытный быстроходный танковый дизель БД-2 (400 л.с.) - 12-цилиндровый V-образный, 4-тактный, с непосредственным впрыском и с корпусными деталями из алюминиевых сплавов. Одновременно над доработкой и доводкой его напряженно работал отдел "400" завода под руководством К.Ф. Челпана. В 1936 году два образца сверхтягача были построены и в течение двух лет проходили заводские и полигонные испытания (9640).</w:t>
      </w:r>
    </w:p>
    <w:p w14:paraId="014953C0" w14:textId="77777777" w:rsidR="00D4105E" w:rsidRPr="00E14102" w:rsidRDefault="00D4105E" w:rsidP="00E14102">
      <w:pPr>
        <w:autoSpaceDE w:val="0"/>
        <w:autoSpaceDN w:val="0"/>
        <w:adjustRightInd w:val="0"/>
        <w:jc w:val="both"/>
        <w:rPr>
          <w:color w:val="000000" w:themeColor="text1"/>
          <w:sz w:val="16"/>
          <w:szCs w:val="16"/>
        </w:rPr>
      </w:pPr>
    </w:p>
    <w:p w14:paraId="751E8B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Конец 1935 года и весь 1936 год прошли в полевых испытаниях СТЗ-НАТИ, проводившихся в Воронежской и Сталинградской областях под руководством М. Якоби и В. Тюляева, транспортные тракторы совершили успешный пробег из Сталинграда в Москву. Одновременно полным ходом велась подготовка к реконструкции заводов (11418).</w:t>
      </w:r>
    </w:p>
    <w:p w14:paraId="2FD686B2" w14:textId="77777777" w:rsidR="00D4105E" w:rsidRPr="00E14102" w:rsidRDefault="00D4105E" w:rsidP="00E14102">
      <w:pPr>
        <w:autoSpaceDE w:val="0"/>
        <w:autoSpaceDN w:val="0"/>
        <w:adjustRightInd w:val="0"/>
        <w:jc w:val="both"/>
        <w:rPr>
          <w:color w:val="000000" w:themeColor="text1"/>
          <w:sz w:val="16"/>
          <w:szCs w:val="16"/>
        </w:rPr>
      </w:pPr>
    </w:p>
    <w:p w14:paraId="43D97362" w14:textId="77777777" w:rsidR="00E9159F" w:rsidRPr="00E14102" w:rsidRDefault="00E9159F" w:rsidP="00E14102">
      <w:pPr>
        <w:jc w:val="both"/>
        <w:rPr>
          <w:color w:val="0070C0"/>
          <w:sz w:val="16"/>
          <w:szCs w:val="16"/>
        </w:rPr>
      </w:pPr>
      <w:r w:rsidRPr="00E14102">
        <w:rPr>
          <w:color w:val="0070C0"/>
          <w:sz w:val="16"/>
          <w:szCs w:val="16"/>
          <w:lang w:bidi="ru-RU"/>
        </w:rPr>
        <w:lastRenderedPageBreak/>
        <w:t>К концу 1935 г. на ХПЗ подготовили техническую документацию на новый артиллерийский тягач. На следующий год из</w:t>
      </w:r>
      <w:r w:rsidRPr="00E14102">
        <w:rPr>
          <w:color w:val="0070C0"/>
          <w:sz w:val="16"/>
          <w:szCs w:val="16"/>
          <w:lang w:bidi="ru-RU"/>
        </w:rPr>
        <w:softHyphen/>
        <w:t>готовили два опытных образца, в течение двух лет проходивших заводские и государственные испытания. В марте 1937 г. один из «Ворошиловцев» совершил пробег Харьков-Москва-Харьков. Но ввиду необходимости до</w:t>
      </w:r>
      <w:r w:rsidRPr="00E14102">
        <w:rPr>
          <w:color w:val="0070C0"/>
          <w:sz w:val="16"/>
          <w:szCs w:val="16"/>
          <w:lang w:bidi="ru-RU"/>
        </w:rPr>
        <w:softHyphen/>
        <w:t>работки двигателя начать серийное производства новых тягачей удалось лишь в конце 1939 г. Выпуск «Ворошиловцев» на заводе № 183 продолжался до конца августа 1941 г., когда его прекратили из-за нехватки двигателей: все дизели В-2 шли на танки Т-34. Попытки найти замену В-2 успехом не увенчались, хотя на «Ворошиловце» испытывали дизель В-4 мощностью 300 л. с. (шестицилиндровую «половинку» двигателя В-2) и бензиновый мотор М-17Т (400 л. с.). Всего изготовили 1123 тягача «Ворошиловец». Треть из них (336 машин) дослужили до конца войны, эксплуатировались они в частях тяжелой артиллерии и в первое послевоенное десятилетие (23180).</w:t>
      </w:r>
    </w:p>
    <w:p w14:paraId="082C4CD9" w14:textId="77777777" w:rsidR="00E9159F" w:rsidRPr="00E14102" w:rsidRDefault="00E9159F" w:rsidP="00E14102">
      <w:pPr>
        <w:jc w:val="both"/>
        <w:rPr>
          <w:rFonts w:eastAsia="TimesNewRomanPSMT"/>
          <w:color w:val="0070C0"/>
          <w:sz w:val="16"/>
          <w:szCs w:val="16"/>
        </w:rPr>
      </w:pPr>
    </w:p>
    <w:p w14:paraId="78655E60" w14:textId="77777777" w:rsidR="00F54C89" w:rsidRPr="00E14102" w:rsidRDefault="00F54C89" w:rsidP="00E14102">
      <w:pPr>
        <w:jc w:val="both"/>
        <w:rPr>
          <w:color w:val="0070C0"/>
          <w:sz w:val="16"/>
          <w:szCs w:val="16"/>
        </w:rPr>
      </w:pPr>
      <w:r w:rsidRPr="00E14102">
        <w:rPr>
          <w:color w:val="0070C0"/>
          <w:sz w:val="16"/>
          <w:szCs w:val="16"/>
        </w:rPr>
        <w:t>К концу 1935 г. численность работников за</w:t>
      </w:r>
      <w:r w:rsidRPr="00E14102">
        <w:rPr>
          <w:color w:val="0070C0"/>
          <w:sz w:val="16"/>
          <w:szCs w:val="16"/>
        </w:rPr>
        <w:softHyphen/>
        <w:t>вода опытных конструкций НАТИ уже достигла 250 человек, в том числе: 191 рабочий, 37 инженер</w:t>
      </w:r>
      <w:r w:rsidRPr="00E14102">
        <w:rPr>
          <w:color w:val="0070C0"/>
          <w:sz w:val="16"/>
          <w:szCs w:val="16"/>
        </w:rPr>
        <w:softHyphen/>
        <w:t>но-технических работников и 22 служащих (22518).</w:t>
      </w:r>
    </w:p>
    <w:p w14:paraId="63E285A1" w14:textId="77777777" w:rsidR="00F54C89" w:rsidRPr="00E14102" w:rsidRDefault="00F54C89" w:rsidP="00E14102">
      <w:pPr>
        <w:jc w:val="both"/>
        <w:rPr>
          <w:color w:val="0070C0"/>
          <w:sz w:val="16"/>
          <w:szCs w:val="16"/>
        </w:rPr>
      </w:pPr>
    </w:p>
    <w:p w14:paraId="70F5395D" w14:textId="77777777" w:rsidR="00E9159F" w:rsidRPr="00E14102" w:rsidRDefault="00E9159F" w:rsidP="00E14102">
      <w:pPr>
        <w:jc w:val="both"/>
        <w:rPr>
          <w:rFonts w:eastAsia="TimesNewRomanPSMT"/>
          <w:color w:val="0070C0"/>
          <w:sz w:val="16"/>
          <w:szCs w:val="16"/>
        </w:rPr>
      </w:pPr>
      <w:r w:rsidRPr="00E14102">
        <w:rPr>
          <w:color w:val="0070C0"/>
          <w:sz w:val="16"/>
          <w:szCs w:val="16"/>
        </w:rPr>
        <w:t>В конце 1935 года конструкторами склада № 60 был разработан проект платформы ПВО. Особой сложностью ее конструкция не отличалась. В центре стандартной 20-тонной двухосной грузовой платформы установили шестигранный короб, склепанный из 20-мм броневых листов. Его плоская крыша состояла из двух половин, которые откатывались на роликах в стороны, открывая установленную внутри стандартную счетверенную зенитную установку (ЗУ) пулеметов «максим». Обслуживалась установка расчетом из трех человек, которые попадали внутрь через прямоугольную дверь, обращенную к торцу платформы. Для аварийной эвакуации в полу бронекоробки был предусмотрен люк-лаз. Боекомплект ЗУ составлял 10 тыс. патронов (40 коробок с лентами по 250 патронов). В 1936 году в мастерских склада № 60 был изготовлен опытный экземпляр платформы ПВО, получивший наименование СПУ-БЕПО — специальная пулеметная установка для бронепоездов. Ее испытания не принесли каких-либо неожиданностей, и в том же году конструкторская документация на СПУ-БЕПО была передана на завод «Красный Профинтерн» для организации серийного производства. Планировалось, что каждый бронепоезд РККА будет иметь в своем составе по одной СПУ-БЕПО. Однако за пять лет было изготовлено всего 28 СПУ-БЕПО, т. е. чуть больше половины потребного количества. Из них к 1940 году 15 штук находилось на Дальнем Востоке и в Забайкалье (22744).</w:t>
      </w:r>
    </w:p>
    <w:p w14:paraId="0AA69D33" w14:textId="77777777" w:rsidR="00E9159F" w:rsidRPr="00E14102" w:rsidRDefault="00E9159F" w:rsidP="00E14102">
      <w:pPr>
        <w:jc w:val="both"/>
        <w:rPr>
          <w:rFonts w:eastAsia="TimesNewRomanPSMT"/>
          <w:color w:val="0070C0"/>
          <w:sz w:val="16"/>
          <w:szCs w:val="16"/>
        </w:rPr>
      </w:pPr>
    </w:p>
    <w:p w14:paraId="2C20F159" w14:textId="77777777" w:rsidR="00E9159F" w:rsidRPr="00E14102" w:rsidRDefault="00E9159F" w:rsidP="00E14102">
      <w:pPr>
        <w:jc w:val="both"/>
        <w:rPr>
          <w:color w:val="0070C0"/>
          <w:sz w:val="16"/>
          <w:szCs w:val="16"/>
        </w:rPr>
      </w:pPr>
      <w:r w:rsidRPr="00E14102">
        <w:rPr>
          <w:color w:val="0070C0"/>
          <w:sz w:val="16"/>
          <w:szCs w:val="16"/>
        </w:rPr>
        <w:t>В конце 1935 года прошли испытания бронедрезин БДТ, ДТР и ДШ Экспериментального завода НКПС, и после внесения незначительных изменений они были рекомендованы для серийного производства. Уже в 1936 году планировалось построить по 10 штук БТД и ДТР. Однако, как это часто бывало, данные планы были сорваны — возникли трудности со своевременной подготовкой документации и поставками от смежников, в частности не хватало башен от Т-26. В результате до конца 1936 года РККА удалось получить всего две БДТ. И дальше дела шли не лучшим образом, с большими усилиями к исходу 1937 года смогли построить и передать заказчику всего четыре ДТР и два БДТ. Таким образом, вместе с опытными, было изготовлено всего 11 бронедрезин (по пять штук БДТ и ДТР и одна опытная штабная) (22743).</w:t>
      </w:r>
    </w:p>
    <w:p w14:paraId="06D79E28" w14:textId="77777777" w:rsidR="00E9159F" w:rsidRPr="00E14102" w:rsidRDefault="00E9159F" w:rsidP="00E14102">
      <w:pPr>
        <w:jc w:val="both"/>
        <w:rPr>
          <w:color w:val="0070C0"/>
          <w:sz w:val="16"/>
          <w:szCs w:val="16"/>
        </w:rPr>
      </w:pPr>
    </w:p>
    <w:p w14:paraId="53FA3A59" w14:textId="77777777" w:rsidR="002A3C23" w:rsidRPr="00E14102" w:rsidRDefault="002A3C23" w:rsidP="00E14102">
      <w:pPr>
        <w:jc w:val="both"/>
        <w:rPr>
          <w:color w:val="000000" w:themeColor="text1"/>
          <w:sz w:val="16"/>
          <w:szCs w:val="16"/>
        </w:rPr>
      </w:pPr>
      <w:r w:rsidRPr="00E14102">
        <w:rPr>
          <w:color w:val="000000" w:themeColor="text1"/>
          <w:sz w:val="16"/>
          <w:szCs w:val="16"/>
        </w:rPr>
        <w:t>С конца 1935 г. ТИЗы стали поступать заказчикам, и до начала войны заводским военпредом было принято 12 392 мотоцикла. Еще 22 машины были учтены военпредом после начала войны и до эвакуации завода (19776).</w:t>
      </w:r>
    </w:p>
    <w:p w14:paraId="419D4073" w14:textId="77777777" w:rsidR="002A3C23" w:rsidRPr="00E14102" w:rsidRDefault="002A3C23" w:rsidP="00E14102">
      <w:pPr>
        <w:jc w:val="both"/>
        <w:rPr>
          <w:color w:val="000000" w:themeColor="text1"/>
          <w:sz w:val="16"/>
          <w:szCs w:val="16"/>
        </w:rPr>
      </w:pPr>
    </w:p>
    <w:p w14:paraId="48BE46A1" w14:textId="77777777" w:rsidR="00E3675F" w:rsidRPr="00E14102" w:rsidRDefault="00E3675F" w:rsidP="00E14102">
      <w:pPr>
        <w:jc w:val="both"/>
        <w:rPr>
          <w:color w:val="000000" w:themeColor="text1"/>
          <w:sz w:val="16"/>
          <w:szCs w:val="16"/>
        </w:rPr>
      </w:pPr>
      <w:r w:rsidRPr="00E14102">
        <w:rPr>
          <w:color w:val="000000" w:themeColor="text1"/>
          <w:sz w:val="16"/>
          <w:szCs w:val="16"/>
        </w:rPr>
        <w:t>В конце 1935 года все три опытных образца бронедрезин - Э-7 (тяжелая), Э-6 (транспортер) и Э-4 (штабная) передали в отдельный полк бронепоездов для проведения войсковых испытаний. Тяжелая бронедрезина (БДТ) испытывалась с 30 ноября 1935 года по 2б марта 1936 года по маршруту Брянск - Смоленск - Орел, при этом общий пробег составил 1060 км, штабная бронедрезина (ДШ) - с 27 ноября 1935 года по 6 января 1936 года по тому же маршруту (пробег 1576 км), дрезина-транспортер (ДТР) - с 7 по 24 января 1936 года. Эти пробеги позволили внести небольшие изменения в конструкцию дрезин для более надежной их работы. Одновременно с этим велся выбор предприятия для организации серийного изготовления бронедрезин. Выбор был сделан в пользу Подольского крекинго-элект-ровозостроительного завода - это предприятие к этому времени уже имело опыт производства бронекорпусов для танкеток Т-27 и танков Т-37.</w:t>
      </w:r>
    </w:p>
    <w:p w14:paraId="46A879EF" w14:textId="77777777" w:rsidR="00E3675F" w:rsidRPr="00E14102" w:rsidRDefault="00E3675F" w:rsidP="00E14102">
      <w:pPr>
        <w:jc w:val="both"/>
        <w:rPr>
          <w:color w:val="000000" w:themeColor="text1"/>
          <w:sz w:val="16"/>
          <w:szCs w:val="16"/>
        </w:rPr>
      </w:pPr>
      <w:r w:rsidRPr="00E14102">
        <w:rPr>
          <w:color w:val="000000" w:themeColor="text1"/>
          <w:sz w:val="16"/>
          <w:szCs w:val="16"/>
        </w:rPr>
        <w:t>План на 1936 год составил 10 БДТ и 10 ДТР, но его выполнить не удалось по целому ряду причин (18626). </w:t>
      </w:r>
    </w:p>
    <w:p w14:paraId="485AB1CC" w14:textId="77777777" w:rsidR="00E3675F" w:rsidRPr="00E14102" w:rsidRDefault="00E3675F" w:rsidP="00E14102">
      <w:pPr>
        <w:jc w:val="both"/>
        <w:rPr>
          <w:color w:val="000000" w:themeColor="text1"/>
          <w:sz w:val="16"/>
          <w:szCs w:val="16"/>
        </w:rPr>
      </w:pPr>
    </w:p>
    <w:p w14:paraId="5A63AF22" w14:textId="77777777" w:rsidR="00270FBF" w:rsidRPr="00E14102" w:rsidRDefault="00270FBF" w:rsidP="00E14102">
      <w:pPr>
        <w:jc w:val="both"/>
        <w:rPr>
          <w:color w:val="000000" w:themeColor="text1"/>
          <w:sz w:val="16"/>
          <w:szCs w:val="16"/>
        </w:rPr>
      </w:pPr>
      <w:r w:rsidRPr="00E14102">
        <w:rPr>
          <w:color w:val="000000" w:themeColor="text1"/>
          <w:sz w:val="16"/>
          <w:szCs w:val="16"/>
        </w:rPr>
        <w:t xml:space="preserve">В конце 1935 года легкий понтонный парк НЛП был принят на вооружение Красной Армии. Понтонные парки НЛП к началу Великой Отечественной войны считались одними из лучших легких парков и имели более высокие тактико-технические характеристики по сравнению с иностранными образцами. В состав парка НЛП входило 28 односекционных складных открытых понтонов из бакелизированной фанеры. Из составных частей понтонного парка НЛП наводили мостовую переправу длиной от 78 до </w:t>
      </w:r>
      <w:smartTag w:uri="urn:schemas-microsoft-com:office:smarttags" w:element="metricconverter">
        <w:smartTagPr>
          <w:attr w:name="ProductID" w:val="1945 г"/>
        </w:smartTagPr>
        <w:r w:rsidRPr="00E14102">
          <w:rPr>
            <w:color w:val="000000" w:themeColor="text1"/>
            <w:sz w:val="16"/>
            <w:szCs w:val="16"/>
          </w:rPr>
          <w:t>135 м</w:t>
        </w:r>
      </w:smartTag>
      <w:r w:rsidRPr="00E14102">
        <w:rPr>
          <w:color w:val="000000" w:themeColor="text1"/>
          <w:sz w:val="16"/>
          <w:szCs w:val="16"/>
        </w:rPr>
        <w:t xml:space="preserve"> для грузов от 3,5 до 12 т или собирали от 7 до 12 перевозных паромов грузоподъемностью от 5 до 12 т. Один понтон парка мог перевозить десант из 25 человек (15218).</w:t>
      </w:r>
    </w:p>
    <w:p w14:paraId="3D4284E4" w14:textId="77777777" w:rsidR="00270FBF" w:rsidRPr="00E14102" w:rsidRDefault="00270FBF" w:rsidP="00E14102">
      <w:pPr>
        <w:jc w:val="both"/>
        <w:rPr>
          <w:color w:val="000000" w:themeColor="text1"/>
          <w:sz w:val="16"/>
          <w:szCs w:val="16"/>
        </w:rPr>
      </w:pPr>
    </w:p>
    <w:p w14:paraId="48FFA5B9" w14:textId="77777777" w:rsidR="00FD6F98" w:rsidRPr="00E14102" w:rsidRDefault="00FD6F98" w:rsidP="00E14102">
      <w:pPr>
        <w:autoSpaceDE w:val="0"/>
        <w:autoSpaceDN w:val="0"/>
        <w:adjustRightInd w:val="0"/>
        <w:jc w:val="both"/>
        <w:rPr>
          <w:color w:val="0070C0"/>
          <w:sz w:val="16"/>
          <w:szCs w:val="16"/>
        </w:rPr>
      </w:pPr>
      <w:r w:rsidRPr="00E14102">
        <w:rPr>
          <w:color w:val="0070C0"/>
          <w:sz w:val="16"/>
          <w:szCs w:val="16"/>
          <w:shd w:val="clear" w:color="auto" w:fill="FFFFFF"/>
        </w:rPr>
        <w:t>В конце 1935 года А.И. Берг выступил против Бекаури и был поддержан некоторыми руководителями правительства. Е.Н.Шошков в книге «Репрессированное Остехбюро» (СПб: Мемориал, 1995) пишет, что с 23 июня 1934 года о деятельности работников «Остехбюро» А.И. Берг регулярно информировал ОГПУ (а позже НКВД). В письме от 21 июля 1936 года в адрес особого отдела НКВД Балтийского флота Берг назвал работы «Остехбюро» антисоветскими (22290).</w:t>
      </w:r>
    </w:p>
    <w:p w14:paraId="12858027" w14:textId="77777777" w:rsidR="00FD6F98" w:rsidRPr="00E14102" w:rsidRDefault="00FD6F98" w:rsidP="00E14102">
      <w:pPr>
        <w:autoSpaceDE w:val="0"/>
        <w:autoSpaceDN w:val="0"/>
        <w:adjustRightInd w:val="0"/>
        <w:jc w:val="both"/>
        <w:rPr>
          <w:color w:val="0070C0"/>
          <w:sz w:val="16"/>
          <w:szCs w:val="16"/>
        </w:rPr>
      </w:pPr>
    </w:p>
    <w:p w14:paraId="3BF0FAFE" w14:textId="77777777" w:rsidR="00E3675F" w:rsidRPr="00E14102" w:rsidRDefault="00E3675F" w:rsidP="00E14102">
      <w:pPr>
        <w:autoSpaceDE w:val="0"/>
        <w:autoSpaceDN w:val="0"/>
        <w:adjustRightInd w:val="0"/>
        <w:jc w:val="both"/>
        <w:rPr>
          <w:color w:val="000000" w:themeColor="text1"/>
          <w:sz w:val="16"/>
          <w:szCs w:val="16"/>
        </w:rPr>
      </w:pPr>
      <w:r w:rsidRPr="00E14102">
        <w:rPr>
          <w:color w:val="000000" w:themeColor="text1"/>
          <w:sz w:val="16"/>
          <w:szCs w:val="16"/>
        </w:rPr>
        <w:t>К концу 1935 г. (по сути, всего за шесть месяцев) группе составе В.М. Домничева, В.Н. Рытова, О.А. Примазовой и Е.П. Изотовой завода им. А.А. Кулакова (тогда он назывался завод № 209) удалось решить все принципиальные вопросы производства шифровальной машины (11808).</w:t>
      </w:r>
    </w:p>
    <w:p w14:paraId="26D9A5C9" w14:textId="77777777" w:rsidR="00E3675F" w:rsidRPr="00E14102" w:rsidRDefault="00E3675F" w:rsidP="00E14102">
      <w:pPr>
        <w:autoSpaceDE w:val="0"/>
        <w:autoSpaceDN w:val="0"/>
        <w:adjustRightInd w:val="0"/>
        <w:jc w:val="both"/>
        <w:rPr>
          <w:color w:val="000000" w:themeColor="text1"/>
          <w:sz w:val="16"/>
          <w:szCs w:val="16"/>
        </w:rPr>
      </w:pPr>
    </w:p>
    <w:p w14:paraId="06B9DCC0" w14:textId="77777777" w:rsidR="00270FBF" w:rsidRPr="00E14102" w:rsidRDefault="00270FBF" w:rsidP="00E14102">
      <w:pPr>
        <w:jc w:val="both"/>
        <w:rPr>
          <w:color w:val="000000" w:themeColor="text1"/>
          <w:sz w:val="16"/>
          <w:szCs w:val="16"/>
        </w:rPr>
      </w:pPr>
      <w:r w:rsidRPr="00E14102">
        <w:rPr>
          <w:color w:val="000000" w:themeColor="text1"/>
          <w:sz w:val="16"/>
          <w:szCs w:val="16"/>
        </w:rPr>
        <w:t>В конце 1935 года строившаяся на ленинградском заводе "Судомех" лодка "АПЛ", бала спущена на воду. В начале 1936 года субмарина получила условное наименование "Пигмей", которое затем стало и собственным названием самой подводной лодки. Заместитель начальника ВМС РККА флагман I ранга Иван Мартынович Лудри утвердил проект "Пигмея" лишь 27 июня 1936 года и санкционировал постройку на "Судомехе" еще шести субмарин по этому проекту. Опытный образец "Пигмея" был построен под руководством строителя А. Н. Щеглова и летом 1936 года тайно перевезен по железной дороге на Черное море, на Севастопольскую базу Остехбюро. Подводная лодка имела надводное водоизмещение 18,6 тонн, длину корпуса –16,0 м, ширину – 2,62 м. Скорость хода в надводном положении не превышала 6 узлов, подводная - 5 узлов. Предельная глубина погружения "Пигмея" определялась в 30 метров, я автономность не превышала 3 суток. Дальность плавания в надводном положении составляла 290 миль, а под водой лодка могла пройти 60 миль экономическим ходом или 18 миль - полным ходом. Основным вооружением субмарины являлись два бортовых 450-мм торпедных аппарата для лодочных торпед "45-15" с открытым хранением торпед в специальных нишах корпуса. Экипаж "Пигмея" имел, кроме пистолетов, ручной 7,62-мм пулемет хранившийся у рубочного люка (15731).</w:t>
      </w:r>
    </w:p>
    <w:p w14:paraId="2356653A" w14:textId="77777777" w:rsidR="00270FBF" w:rsidRPr="00E14102" w:rsidRDefault="00270FBF" w:rsidP="00E14102">
      <w:pPr>
        <w:jc w:val="both"/>
        <w:rPr>
          <w:color w:val="000000" w:themeColor="text1"/>
          <w:sz w:val="16"/>
          <w:szCs w:val="16"/>
        </w:rPr>
      </w:pPr>
    </w:p>
    <w:p w14:paraId="447633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прошли испытания головной пл, построенной по немецкому проекту (3898).</w:t>
      </w:r>
    </w:p>
    <w:p w14:paraId="05ABD96B" w14:textId="77777777" w:rsidR="00D4105E" w:rsidRPr="00E14102" w:rsidRDefault="00D4105E" w:rsidP="00E14102">
      <w:pPr>
        <w:autoSpaceDE w:val="0"/>
        <w:autoSpaceDN w:val="0"/>
        <w:adjustRightInd w:val="0"/>
        <w:jc w:val="both"/>
        <w:rPr>
          <w:color w:val="000000" w:themeColor="text1"/>
          <w:sz w:val="16"/>
          <w:szCs w:val="16"/>
        </w:rPr>
      </w:pPr>
    </w:p>
    <w:p w14:paraId="2CC085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три лодки IX серии спустили на воду, вскоре приступили к швартовым испытаниям и только тогда сочли возможным отказаться от представителей фирмы "Дешимаг". Можно предположить, что германская фирма в накладе не осталась хотя бы потому, что проработки проекта "Е-2", финансировавшиеся нашей страной, во многом легли в основу проекта германской подводной лодки VII серии, самой массовой подлодки Второй мировой войны. С другой стороны, это говорит и об удачности принятых технических решений. Третий корпус, где должны были устанавливать приборы и механизмы отечественного производства, из-за задержек поставок, прежде всего дизелей, своевременно сдан не был (10672).</w:t>
      </w:r>
    </w:p>
    <w:p w14:paraId="70D7490C" w14:textId="77777777" w:rsidR="00D4105E" w:rsidRPr="00E14102" w:rsidRDefault="00D4105E" w:rsidP="00E14102">
      <w:pPr>
        <w:autoSpaceDE w:val="0"/>
        <w:autoSpaceDN w:val="0"/>
        <w:adjustRightInd w:val="0"/>
        <w:jc w:val="both"/>
        <w:rPr>
          <w:color w:val="000000" w:themeColor="text1"/>
          <w:sz w:val="16"/>
          <w:szCs w:val="16"/>
        </w:rPr>
      </w:pPr>
    </w:p>
    <w:p w14:paraId="0E1A43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была пущена первая очередь завода “Дагдизель” (Завод № 183, завод «Дагдизель», ОАО «Завод «Дагдизель» /Дагестан 368300  г. Каспийск ул. Ленина, 1 тел. (87246) 67-181, 52-940/). Завод стал градообразующим предприятием  г. Каспийска. В 1941 г. после начала войны торпедное производство завода эвакуировано в Алма-Ату на завод № 175.</w:t>
      </w:r>
    </w:p>
    <w:p w14:paraId="20A40B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Возможно, завод № 183 восстановлен на месте эвакуированного завода № 182.</w:t>
      </w:r>
    </w:p>
    <w:p w14:paraId="504920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1960-е  г. на территории завода на окраине Каспийска построена испытательная база ЦКБ по СПК. На достроечной базе завода была произведена окончательная сборка экраноплана КМ.</w:t>
      </w:r>
    </w:p>
    <w:p w14:paraId="208031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1960-х  г. совместно с Богородским механическим заводом создан судовой дизель 6ЧСП 9,5/11 мощностью 60 л.с.</w:t>
      </w:r>
    </w:p>
    <w:p w14:paraId="70FED2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торпеды; судовые и промышленные дизели и электроагрегаты на их основе. В 1990-е  г. в рамках конверсии освоен выпуск сельскохозяйственных и строительных машин, пищевого оборудования, электросварочных агрегатов, дизель-электростанций сухопутного и морского назначения; зарядных генераторов, стартеров; радиально-поршневых насосов высокого давления для гидросистем горнодобывающих и газо</w:t>
      </w:r>
      <w:r w:rsidRPr="00E14102">
        <w:rPr>
          <w:color w:val="000000" w:themeColor="text1"/>
          <w:sz w:val="16"/>
          <w:szCs w:val="16"/>
        </w:rPr>
        <w:softHyphen/>
        <w:t>нефтедобывающих машин.</w:t>
      </w:r>
    </w:p>
    <w:p w14:paraId="7ADA8C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1966 г. завод переименован в «Дагдизель».</w:t>
      </w:r>
    </w:p>
    <w:p w14:paraId="2D47A8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решению правительства № 22-р от 9.01.2004 г. вошло в перечень стратегических предприятий.</w:t>
      </w:r>
    </w:p>
    <w:p w14:paraId="311CB7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Имелись производства (2000-е): литейное, кузнечно-прессовое, сварочное, механосборочное, гальваническое, порошковой металлургии, пластмасс и РТИ.</w:t>
      </w:r>
    </w:p>
    <w:p w14:paraId="35C022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Предприятие планировалось включить в состав концерна «Морское подводное оружие» (2006 г.).</w:t>
      </w:r>
    </w:p>
    <w:p w14:paraId="270B69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Гендиректор (2007 г.)- Н. Покорский.</w:t>
      </w:r>
    </w:p>
    <w:p w14:paraId="7BE3DD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КР «КСЩ» (1958-59-),</w:t>
      </w:r>
      <w:r w:rsidRPr="00E14102">
        <w:rPr>
          <w:color w:val="000000" w:themeColor="text1"/>
          <w:sz w:val="16"/>
          <w:szCs w:val="16"/>
          <w:vertAlign w:val="superscript"/>
        </w:rPr>
        <w:t>62</w:t>
      </w:r>
      <w:r w:rsidRPr="00E14102">
        <w:rPr>
          <w:color w:val="000000" w:themeColor="text1"/>
          <w:sz w:val="16"/>
          <w:szCs w:val="16"/>
        </w:rPr>
        <w:t xml:space="preserve"> торпеды АТ-1 (1962-70)- 925 (11982).</w:t>
      </w:r>
    </w:p>
    <w:p w14:paraId="6FAD15C1" w14:textId="77777777" w:rsidR="00D4105E" w:rsidRPr="00E14102" w:rsidRDefault="00D4105E" w:rsidP="00E14102">
      <w:pPr>
        <w:autoSpaceDE w:val="0"/>
        <w:autoSpaceDN w:val="0"/>
        <w:adjustRightInd w:val="0"/>
        <w:jc w:val="both"/>
        <w:rPr>
          <w:color w:val="000000" w:themeColor="text1"/>
          <w:sz w:val="16"/>
          <w:szCs w:val="16"/>
        </w:rPr>
      </w:pPr>
    </w:p>
    <w:p w14:paraId="5E287E07"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5277C88E" w14:textId="77777777" w:rsidR="00D4105E" w:rsidRPr="00E14102" w:rsidRDefault="00D4105E" w:rsidP="00E14102">
      <w:pPr>
        <w:autoSpaceDE w:val="0"/>
        <w:autoSpaceDN w:val="0"/>
        <w:adjustRightInd w:val="0"/>
        <w:jc w:val="both"/>
        <w:rPr>
          <w:iCs/>
          <w:color w:val="000000" w:themeColor="text1"/>
          <w:sz w:val="16"/>
          <w:szCs w:val="16"/>
        </w:rPr>
      </w:pPr>
    </w:p>
    <w:p w14:paraId="5855CC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концу 1935 г. И-5 уже официально считался устаревшим самолётом. Эти машины решили постепенно заменять в строевых частях на И-15 и И-16, а старые бипланы направить в учебные заведения. Первый такой истребитель передали в лётную школу еще в июле 1932 г., но приоритет тогда отдавали бурно растущим в количестве эскадрильям ВВС. В декабре 1933 г. среди учебных машин было всего три И-5, а ещё восемь находились в учебной бригаде Военно-воз- душной академии. В октябре 1935 г. появился приказ начальника УВВС о передаче десяти И-5 во 2-ю школу лётчиков в Борисоглебске. Машины брали из числа старых и изношенных, сдававшихся строевыми частями. Реально лишь в 1936 г. "пятерками" стали укомплектовывать Борисоглебскую и Качинс- кую школы, а затем и другие, готовившие лётчиков-истребителей. Там они сменили И-3 и И-4.</w:t>
      </w:r>
    </w:p>
    <w:p w14:paraId="6E98C6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И-5 стал ступенькой для перехода с чисто учебных машин на боевые И-15 и И-16. Например, в Борисоглебской школе в 1937 г. перед полётами на УТИ-4 (двухместном варианте И-16) курсанты, освоившие У-2, обязательно тренировались на И-5. В конце 1930-х гг. они имелись в Ульяновской, Оренбургской, Одесской школах. Самые потрёпанные, со снятым с крыльев полотном, использовались для тренировки курсантов в рулении по аэродрому.</w:t>
      </w:r>
    </w:p>
    <w:p w14:paraId="760BF5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Располагали И-5 и авиационно-технические школы, готовившие механиков. Например, школа в Иркутске имела шесть таких машин, служивших нелетающими учебными пособиями.</w:t>
      </w:r>
    </w:p>
    <w:p w14:paraId="43DFCB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Самолёты ранних серий к тому времени были уже сильно изношены. Например, в июле 1936 г. командующий Ленинградским военным округом Б.М. Шапошников докладывал наркому К.Е. Ворошилову, что в 13-й эскадрилье осталось 14 истребителей на 43 лётчика, причём только три машины были исправны настолько, что им разрешалось удаляться от аэродрома (11997).</w:t>
      </w:r>
    </w:p>
    <w:p w14:paraId="7B8CC8A0" w14:textId="77777777" w:rsidR="00D4105E" w:rsidRPr="00E14102" w:rsidRDefault="00D4105E" w:rsidP="00E14102">
      <w:pPr>
        <w:autoSpaceDE w:val="0"/>
        <w:autoSpaceDN w:val="0"/>
        <w:adjustRightInd w:val="0"/>
        <w:jc w:val="both"/>
        <w:rPr>
          <w:color w:val="000000" w:themeColor="text1"/>
          <w:sz w:val="16"/>
          <w:szCs w:val="16"/>
        </w:rPr>
      </w:pPr>
    </w:p>
    <w:p w14:paraId="62F997C3" w14:textId="77777777" w:rsidR="00E3675F" w:rsidRPr="00E14102" w:rsidRDefault="00E3675F"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1C3FF493" w14:textId="77777777" w:rsidR="00E3675F" w:rsidRPr="00E14102" w:rsidRDefault="00E3675F" w:rsidP="00E14102">
      <w:pPr>
        <w:autoSpaceDE w:val="0"/>
        <w:autoSpaceDN w:val="0"/>
        <w:adjustRightInd w:val="0"/>
        <w:jc w:val="both"/>
        <w:rPr>
          <w:iCs/>
          <w:color w:val="000000" w:themeColor="text1"/>
          <w:sz w:val="16"/>
          <w:szCs w:val="16"/>
        </w:rPr>
      </w:pPr>
    </w:p>
    <w:p w14:paraId="5C9671FC" w14:textId="77777777" w:rsidR="00E3675F" w:rsidRPr="00E14102" w:rsidRDefault="00E3675F" w:rsidP="00E14102">
      <w:pPr>
        <w:jc w:val="both"/>
        <w:rPr>
          <w:color w:val="000000" w:themeColor="text1"/>
          <w:sz w:val="16"/>
          <w:szCs w:val="16"/>
        </w:rPr>
      </w:pPr>
      <w:r w:rsidRPr="00E14102">
        <w:rPr>
          <w:color w:val="000000" w:themeColor="text1"/>
          <w:sz w:val="16"/>
          <w:szCs w:val="16"/>
          <w:shd w:val="clear" w:color="auto" w:fill="FFFFFF"/>
        </w:rPr>
        <w:t>В конце 1935 года вместе с отменой карточек была ликвидирована система закрытых распределителей для рабочих. «Правда» к середине 1936-го уже перестроилась и стала призывать «решительно устранить пережитки распределенчества» (19550).</w:t>
      </w:r>
    </w:p>
    <w:p w14:paraId="129FAE6F" w14:textId="77777777" w:rsidR="00E3675F" w:rsidRPr="00E14102" w:rsidRDefault="00E3675F" w:rsidP="00E14102">
      <w:pPr>
        <w:jc w:val="both"/>
        <w:rPr>
          <w:color w:val="000000" w:themeColor="text1"/>
          <w:sz w:val="16"/>
          <w:szCs w:val="16"/>
        </w:rPr>
      </w:pPr>
    </w:p>
    <w:p w14:paraId="12F3A2A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27B3C1B4" w14:textId="77777777" w:rsidR="00D4105E" w:rsidRPr="00E14102" w:rsidRDefault="00D4105E" w:rsidP="00E14102">
      <w:pPr>
        <w:autoSpaceDE w:val="0"/>
        <w:autoSpaceDN w:val="0"/>
        <w:adjustRightInd w:val="0"/>
        <w:jc w:val="both"/>
        <w:rPr>
          <w:iCs/>
          <w:color w:val="000000" w:themeColor="text1"/>
          <w:sz w:val="16"/>
          <w:szCs w:val="16"/>
        </w:rPr>
      </w:pPr>
    </w:p>
    <w:p w14:paraId="361AD2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когда только-только была выпущена их первая серия, впервые рассматривался вопрос о поставке Р-Зет на экспорт. Правительство Турции попросило СССР продать 20 - 30 лёгких бомбардировщиков. Устаревшие Р-5 турок не устраивали. Оставалось лишь предложить им Р-Зет. Но резонно сочли, что сначала надо насытить новыми самолётами собственные ВВС. Турецкий запрос был отвергнут (11995).</w:t>
      </w:r>
    </w:p>
    <w:p w14:paraId="3E09AC73" w14:textId="77777777" w:rsidR="00D4105E" w:rsidRPr="00E14102" w:rsidRDefault="00D4105E" w:rsidP="00E14102">
      <w:pPr>
        <w:autoSpaceDE w:val="0"/>
        <w:autoSpaceDN w:val="0"/>
        <w:adjustRightInd w:val="0"/>
        <w:jc w:val="both"/>
        <w:rPr>
          <w:color w:val="000000" w:themeColor="text1"/>
          <w:sz w:val="16"/>
          <w:szCs w:val="16"/>
        </w:rPr>
      </w:pPr>
    </w:p>
    <w:p w14:paraId="1429839C"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17AAA442" w14:textId="77777777" w:rsidR="00D4105E" w:rsidRPr="00E14102" w:rsidRDefault="00D4105E" w:rsidP="00E14102">
      <w:pPr>
        <w:autoSpaceDE w:val="0"/>
        <w:autoSpaceDN w:val="0"/>
        <w:adjustRightInd w:val="0"/>
        <w:jc w:val="both"/>
        <w:rPr>
          <w:iCs/>
          <w:color w:val="000000" w:themeColor="text1"/>
          <w:sz w:val="16"/>
          <w:szCs w:val="16"/>
        </w:rPr>
      </w:pPr>
    </w:p>
    <w:p w14:paraId="086C2E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начали серию Не-111А, разработанную на основе Не-111в. Потом делали Не-111С, который в январе 1936 экспонировали на выставке на аэродроме Темпельхоф. Сьтал самым быстрым пассажирским со скоростью до 400 км/час при двигателях БМВ-6 6,0 Z (4270,20).</w:t>
      </w:r>
    </w:p>
    <w:p w14:paraId="393BEDC5" w14:textId="77777777" w:rsidR="00D4105E" w:rsidRPr="00E14102" w:rsidRDefault="00D4105E" w:rsidP="00E14102">
      <w:pPr>
        <w:autoSpaceDE w:val="0"/>
        <w:autoSpaceDN w:val="0"/>
        <w:adjustRightInd w:val="0"/>
        <w:jc w:val="both"/>
        <w:rPr>
          <w:color w:val="000000" w:themeColor="text1"/>
          <w:sz w:val="16"/>
          <w:szCs w:val="16"/>
        </w:rPr>
      </w:pPr>
    </w:p>
    <w:p w14:paraId="2A6C0FDF" w14:textId="77777777" w:rsidR="00FD6F98" w:rsidRPr="00E14102" w:rsidRDefault="00FD6F98" w:rsidP="00E14102">
      <w:pPr>
        <w:jc w:val="both"/>
        <w:rPr>
          <w:color w:val="0070C0"/>
          <w:sz w:val="16"/>
          <w:szCs w:val="16"/>
        </w:rPr>
      </w:pPr>
      <w:r w:rsidRPr="00E14102">
        <w:rPr>
          <w:color w:val="0070C0"/>
          <w:sz w:val="16"/>
          <w:szCs w:val="16"/>
        </w:rPr>
        <w:t xml:space="preserve">Конец 1935 года состоялся первый полет Йокосука </w:t>
      </w:r>
      <w:r w:rsidRPr="00E14102">
        <w:rPr>
          <w:color w:val="0070C0"/>
          <w:sz w:val="16"/>
          <w:szCs w:val="16"/>
          <w:lang w:val="en-US"/>
        </w:rPr>
        <w:t>B</w:t>
      </w:r>
      <w:r w:rsidRPr="00E14102">
        <w:rPr>
          <w:color w:val="0070C0"/>
          <w:sz w:val="16"/>
          <w:szCs w:val="16"/>
        </w:rPr>
        <w:t>4</w:t>
      </w:r>
      <w:r w:rsidRPr="00E14102">
        <w:rPr>
          <w:color w:val="0070C0"/>
          <w:sz w:val="16"/>
          <w:szCs w:val="16"/>
          <w:lang w:val="en-US"/>
        </w:rPr>
        <w:t>Y</w:t>
      </w:r>
      <w:r w:rsidRPr="00E14102">
        <w:rPr>
          <w:color w:val="0070C0"/>
          <w:sz w:val="16"/>
          <w:szCs w:val="16"/>
        </w:rPr>
        <w:t xml:space="preserve"> (союзное имя «Жан») (20800).</w:t>
      </w:r>
    </w:p>
    <w:p w14:paraId="0EA99649" w14:textId="77777777" w:rsidR="00FD6F98" w:rsidRPr="00E14102" w:rsidRDefault="00FD6F98" w:rsidP="00E14102">
      <w:pPr>
        <w:jc w:val="both"/>
        <w:rPr>
          <w:color w:val="0070C0"/>
          <w:sz w:val="16"/>
          <w:szCs w:val="16"/>
        </w:rPr>
      </w:pPr>
    </w:p>
    <w:p w14:paraId="4B1D70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г. англичане решили устроить грандиозное шоу — радиоуправляемый самолет должен был уничтожить радиоуправляемый линкор. В качестве мишени использовал</w:t>
      </w:r>
      <w:r w:rsidRPr="00E14102">
        <w:rPr>
          <w:color w:val="000000" w:themeColor="text1"/>
          <w:sz w:val="16"/>
          <w:szCs w:val="16"/>
        </w:rPr>
        <w:softHyphen/>
        <w:t>ся разоруженный линкор “Центурион” водоизмещением 25,7 тыс. т, который в 1926 г. был обращен в радиоуправля</w:t>
      </w:r>
      <w:r w:rsidRPr="00E14102">
        <w:rPr>
          <w:color w:val="000000" w:themeColor="text1"/>
          <w:sz w:val="16"/>
          <w:szCs w:val="16"/>
        </w:rPr>
        <w:softHyphen/>
        <w:t>емый корабль-цель. Но, увы, из этой затеи ничего не вышло (10675).</w:t>
      </w:r>
    </w:p>
    <w:p w14:paraId="4378ECC6" w14:textId="77777777" w:rsidR="00D4105E" w:rsidRPr="00E14102" w:rsidRDefault="00D4105E" w:rsidP="00E14102">
      <w:pPr>
        <w:autoSpaceDE w:val="0"/>
        <w:autoSpaceDN w:val="0"/>
        <w:adjustRightInd w:val="0"/>
        <w:jc w:val="both"/>
        <w:rPr>
          <w:color w:val="000000" w:themeColor="text1"/>
          <w:sz w:val="16"/>
          <w:szCs w:val="16"/>
        </w:rPr>
      </w:pPr>
    </w:p>
    <w:p w14:paraId="112043CC" w14:textId="77777777" w:rsidR="00270FBF" w:rsidRPr="00E14102" w:rsidRDefault="00270FBF" w:rsidP="00E14102">
      <w:pPr>
        <w:jc w:val="both"/>
        <w:rPr>
          <w:color w:val="000000" w:themeColor="text1"/>
          <w:sz w:val="16"/>
          <w:szCs w:val="16"/>
        </w:rPr>
      </w:pPr>
      <w:r w:rsidRPr="00E14102">
        <w:rPr>
          <w:color w:val="000000" w:themeColor="text1"/>
          <w:sz w:val="16"/>
          <w:szCs w:val="16"/>
        </w:rPr>
        <w:t>В конце 1935 г. англичане решили устроить грандиозное шоу — радиоуправляемый самолет «Куинби» должен был уничтожить радиоуправляемый линкор. В качестве мишени использовался разоруженный линкор «Центурион» водоизмещением 25,7 тыс. т, который в 1926 г. был обращен в радиоуправляемый корабль-цель. Но, увы, из этой затеи ничего не вышло (15117).</w:t>
      </w:r>
    </w:p>
    <w:p w14:paraId="1DD590C0" w14:textId="77777777" w:rsidR="00270FBF" w:rsidRPr="00E14102" w:rsidRDefault="00270FBF" w:rsidP="00E14102">
      <w:pPr>
        <w:jc w:val="both"/>
        <w:rPr>
          <w:color w:val="000000" w:themeColor="text1"/>
          <w:sz w:val="16"/>
          <w:szCs w:val="16"/>
        </w:rPr>
      </w:pPr>
    </w:p>
    <w:p w14:paraId="251ECC99" w14:textId="77777777" w:rsidR="00270FBF" w:rsidRPr="00E14102" w:rsidRDefault="00270FBF" w:rsidP="00E14102">
      <w:pPr>
        <w:pStyle w:val="ad"/>
        <w:spacing w:before="0" w:after="0"/>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lang w:val="ru-RU"/>
        </w:rPr>
        <w:t>В конце 1935</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 xml:space="preserve">г. Г. Маркони в своем очередном интервью, касаясь пресловутых «лучей смерти», указывал исключительные возможности, которые таит в себе применение в военном деле дециметровых волн. В прессе их стали именовать как «новые» или «таинственные» лучи. Проект по созданию такого оружия провалился, но позднее он привел к тому технологическому прорыву, который сыграл важнейшую роль во время воздушной Битвы за Британию </w:t>
      </w:r>
      <w:r w:rsidRPr="00E14102">
        <w:rPr>
          <w:rFonts w:ascii="Times New Roman" w:hAnsi="Times New Roman" w:cs="Times New Roman"/>
          <w:color w:val="000000" w:themeColor="text1"/>
          <w:sz w:val="16"/>
          <w:szCs w:val="16"/>
        </w:rPr>
        <w:t>1940 года (15736).</w:t>
      </w:r>
    </w:p>
    <w:p w14:paraId="299BE1ED" w14:textId="77777777" w:rsidR="00270FBF" w:rsidRPr="00E14102" w:rsidRDefault="00270FBF" w:rsidP="00E14102">
      <w:pPr>
        <w:pStyle w:val="ad"/>
        <w:spacing w:before="0" w:after="0"/>
        <w:rPr>
          <w:rFonts w:ascii="Times New Roman" w:hAnsi="Times New Roman" w:cs="Times New Roman"/>
          <w:color w:val="000000" w:themeColor="text1"/>
          <w:sz w:val="16"/>
          <w:szCs w:val="16"/>
        </w:rPr>
      </w:pPr>
    </w:p>
    <w:p w14:paraId="5C36FA7E" w14:textId="77777777" w:rsidR="00270FBF" w:rsidRPr="00E14102" w:rsidRDefault="00270FBF" w:rsidP="00E14102">
      <w:pPr>
        <w:jc w:val="both"/>
        <w:rPr>
          <w:color w:val="000000" w:themeColor="text1"/>
          <w:sz w:val="16"/>
          <w:szCs w:val="16"/>
        </w:rPr>
      </w:pPr>
      <w:r w:rsidRPr="00E14102">
        <w:rPr>
          <w:color w:val="000000" w:themeColor="text1"/>
          <w:sz w:val="16"/>
          <w:szCs w:val="16"/>
        </w:rPr>
        <w:t>В конце 1935 г. дальновидные люди в руководстве британской авиации уже четко осознали, что последует за приходом Гитлера к власти. Королевские  ВВС  все ускоряющимися темпами приступили к программе расширения и модернизации. Им насущно необходимы были новые истребители. Многие трудности, с которыми столкнулись в ходе доводки моноплана "Хаукер" и при его внедрении в серию были связаны именно со спешкой. Так, "сырой" мотор вышел из строя в феврале 1936 г. Были неприятности и с другими узлами и агрегатами. Все первые полеты выполнял Балмэн, опытный летчик, ветеран Первой мировой, проработавший до "Хаукер" испытателем в исследовательском центре в Фарнборо. С 1925 г. через его руки прошли все машины, выпускавшиеся фирмой. В течение трех месяцев истребитель претерпел ряд изменений. Двигатель перегревался. Для борьбы с этим увеличили площадь радиатора, соответственно укрупнив и его обтекатель, Подкосы стабилизатора сочли излишними и убрали совсем. Зато существенно усилили каркас фонаря кабины, вибрировавший на ветру. Чуть позже сняли центральную секцию посадочных щитков, нарушавшую обтекание радиатора. Убрали как ненужные нижние секции створок шасси, ранее при посадке отгибавшиеся вбок, перпендикулярно колесу. После всех этих доработок взлетный вес достиг 2577 кг. Балмэн сперва жаловался на тесную кабину и плохой обзор вперед на рулении, но постепенно привык. До расчетной скорости истребитель не дотягивал, но показал на испытаниях 507 км/ч. Это был первый английский истребитель, переваливший за недостижимую ранее отметку 300 миль/час (483 км/ч). Устойчивость и управляемость были в норме. В феврале 1936 г.  опытный  самолет передали в экспериментальный центр ААЕЕ в Мартлшем-Хис. Летавший там на нем испытатель Д.Андерсон подтвердил данные заводских полетов и достаточно высоко оценил маневренность и управляемость истребителя, отметив только увеличение нагрузки на рули при больших скоростях (15129).</w:t>
      </w:r>
    </w:p>
    <w:p w14:paraId="443492DC" w14:textId="77777777" w:rsidR="00270FBF" w:rsidRPr="00E14102" w:rsidRDefault="00270FBF" w:rsidP="00E14102">
      <w:pPr>
        <w:jc w:val="both"/>
        <w:rPr>
          <w:color w:val="000000" w:themeColor="text1"/>
          <w:sz w:val="16"/>
          <w:szCs w:val="16"/>
        </w:rPr>
      </w:pPr>
    </w:p>
    <w:p w14:paraId="2FF2C8A8"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0089A7E" w14:textId="77777777" w:rsidR="00D4105E" w:rsidRPr="00E14102" w:rsidRDefault="00D4105E" w:rsidP="00E14102">
      <w:pPr>
        <w:autoSpaceDE w:val="0"/>
        <w:autoSpaceDN w:val="0"/>
        <w:adjustRightInd w:val="0"/>
        <w:jc w:val="both"/>
        <w:rPr>
          <w:iCs/>
          <w:color w:val="000000" w:themeColor="text1"/>
          <w:sz w:val="16"/>
          <w:szCs w:val="16"/>
        </w:rPr>
      </w:pPr>
    </w:p>
    <w:p w14:paraId="351B95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1935 - весной 1936 продолжились полигонные испытания Су-14. На НИАПе проходили испытания стрельбой, но прокатку не испытывали из-за неисправности ходовой - 100 тракков имели надлом ушков. Всего сдалали 206 выстрелов. По резулььтатам решили, что допустить на войсковые испытания невозможно. В 1937 направили на завод № 185, где ходовую переделали и разместили 152 мм пушку Б-30 (7437, 5).</w:t>
      </w:r>
    </w:p>
    <w:p w14:paraId="7E50FAB3" w14:textId="77777777" w:rsidR="00D4105E" w:rsidRPr="00E14102" w:rsidRDefault="00D4105E" w:rsidP="00E14102">
      <w:pPr>
        <w:autoSpaceDE w:val="0"/>
        <w:autoSpaceDN w:val="0"/>
        <w:adjustRightInd w:val="0"/>
        <w:jc w:val="both"/>
        <w:rPr>
          <w:color w:val="000000" w:themeColor="text1"/>
          <w:sz w:val="16"/>
          <w:szCs w:val="16"/>
        </w:rPr>
      </w:pPr>
    </w:p>
    <w:p w14:paraId="03AEA6CF" w14:textId="77777777" w:rsidR="004428E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5E41F763" w14:textId="77777777" w:rsidR="004428EE" w:rsidRPr="00E14102" w:rsidRDefault="004428EE" w:rsidP="00E14102">
      <w:pPr>
        <w:autoSpaceDE w:val="0"/>
        <w:autoSpaceDN w:val="0"/>
        <w:adjustRightInd w:val="0"/>
        <w:jc w:val="both"/>
        <w:rPr>
          <w:iCs/>
          <w:color w:val="000000" w:themeColor="text1"/>
          <w:sz w:val="16"/>
          <w:szCs w:val="16"/>
        </w:rPr>
      </w:pPr>
    </w:p>
    <w:p w14:paraId="23BC86E7" w14:textId="77777777" w:rsidR="004428EE" w:rsidRPr="00E14102" w:rsidRDefault="004428EE" w:rsidP="00E14102">
      <w:pPr>
        <w:pStyle w:val="7"/>
        <w:shd w:val="clear" w:color="auto" w:fill="auto"/>
        <w:spacing w:line="240" w:lineRule="auto"/>
        <w:ind w:firstLine="0"/>
        <w:jc w:val="both"/>
        <w:rPr>
          <w:rFonts w:ascii="Times New Roman" w:hAnsi="Times New Roman"/>
          <w:color w:val="000000" w:themeColor="text1"/>
          <w:sz w:val="16"/>
          <w:szCs w:val="16"/>
        </w:rPr>
      </w:pPr>
      <w:r w:rsidRPr="00E14102">
        <w:rPr>
          <w:rFonts w:ascii="Times New Roman" w:hAnsi="Times New Roman"/>
          <w:color w:val="000000" w:themeColor="text1"/>
          <w:sz w:val="16"/>
          <w:szCs w:val="16"/>
        </w:rPr>
        <w:t>В IV квартале 1935 г. после предварительных испытаний была изготовлена партия БХМ-4 на базе плавающего танка Т-37. В от</w:t>
      </w:r>
      <w:r w:rsidRPr="00E14102">
        <w:rPr>
          <w:rFonts w:ascii="Times New Roman" w:hAnsi="Times New Roman"/>
          <w:color w:val="000000" w:themeColor="text1"/>
          <w:sz w:val="16"/>
          <w:szCs w:val="16"/>
        </w:rPr>
        <w:softHyphen/>
        <w:t>четных документах эти боевые химические ма</w:t>
      </w:r>
      <w:r w:rsidRPr="00E14102">
        <w:rPr>
          <w:rFonts w:ascii="Times New Roman" w:hAnsi="Times New Roman"/>
          <w:color w:val="000000" w:themeColor="text1"/>
          <w:sz w:val="16"/>
          <w:szCs w:val="16"/>
        </w:rPr>
        <w:softHyphen/>
        <w:t>шины учитывались под наименованиями ХТ-37 (химический танк), ОТ-37 (огнеметный танк) или БХМ-4. В последнем случае статистиче</w:t>
      </w:r>
      <w:r w:rsidRPr="00E14102">
        <w:rPr>
          <w:rFonts w:ascii="Times New Roman" w:hAnsi="Times New Roman"/>
          <w:color w:val="000000" w:themeColor="text1"/>
          <w:sz w:val="16"/>
          <w:szCs w:val="16"/>
        </w:rPr>
        <w:softHyphen/>
        <w:t>ские данные для БХМ-4 на базе Т-37 и Т-27 мог</w:t>
      </w:r>
      <w:r w:rsidRPr="00E14102">
        <w:rPr>
          <w:rFonts w:ascii="Times New Roman" w:hAnsi="Times New Roman"/>
          <w:color w:val="000000" w:themeColor="text1"/>
          <w:sz w:val="16"/>
          <w:szCs w:val="16"/>
        </w:rPr>
        <w:softHyphen/>
        <w:t>ли быть общими.</w:t>
      </w:r>
    </w:p>
    <w:p w14:paraId="12902204" w14:textId="77777777" w:rsidR="004428EE" w:rsidRPr="00E14102" w:rsidRDefault="004428EE" w:rsidP="00E14102">
      <w:pPr>
        <w:pStyle w:val="7"/>
        <w:shd w:val="clear" w:color="auto" w:fill="auto"/>
        <w:spacing w:line="240" w:lineRule="auto"/>
        <w:ind w:firstLine="0"/>
        <w:jc w:val="both"/>
        <w:rPr>
          <w:rFonts w:ascii="Times New Roman" w:hAnsi="Times New Roman"/>
          <w:color w:val="000000" w:themeColor="text1"/>
          <w:sz w:val="16"/>
          <w:szCs w:val="16"/>
        </w:rPr>
      </w:pPr>
      <w:r w:rsidRPr="00E14102">
        <w:rPr>
          <w:rFonts w:ascii="Times New Roman" w:hAnsi="Times New Roman"/>
          <w:color w:val="000000" w:themeColor="text1"/>
          <w:sz w:val="16"/>
          <w:szCs w:val="16"/>
        </w:rPr>
        <w:t>Для накопления опыта использования и совершенствования техники эксплуатации и применения боевые химические машины регу</w:t>
      </w:r>
      <w:r w:rsidRPr="00E14102">
        <w:rPr>
          <w:rFonts w:ascii="Times New Roman" w:hAnsi="Times New Roman"/>
          <w:color w:val="000000" w:themeColor="text1"/>
          <w:sz w:val="16"/>
          <w:szCs w:val="16"/>
        </w:rPr>
        <w:softHyphen/>
        <w:t>лярно участвовали в учения и испытаниях — как комплексных, так и специальных. Так, в 1936 г. лабораторией №4 Центрального военного хи</w:t>
      </w:r>
      <w:r w:rsidRPr="00E14102">
        <w:rPr>
          <w:rFonts w:ascii="Times New Roman" w:hAnsi="Times New Roman"/>
          <w:color w:val="000000" w:themeColor="text1"/>
          <w:sz w:val="16"/>
          <w:szCs w:val="16"/>
        </w:rPr>
        <w:softHyphen/>
        <w:t>мического полигона (ЦВХП) были проведены комплексные испытания боевых химических машин ХБТ-1 и ХТ-37. Основной целью при этом являлось определение боевых и тех</w:t>
      </w:r>
      <w:r w:rsidRPr="00E14102">
        <w:rPr>
          <w:rFonts w:ascii="Times New Roman" w:hAnsi="Times New Roman"/>
          <w:color w:val="000000" w:themeColor="text1"/>
          <w:sz w:val="16"/>
          <w:szCs w:val="16"/>
        </w:rPr>
        <w:softHyphen/>
        <w:t>нических характеристик, норм эксплуатации химической аппаратуры и изучение влияния работы химической аппаратуры на эксплуата</w:t>
      </w:r>
      <w:r w:rsidRPr="00E14102">
        <w:rPr>
          <w:rFonts w:ascii="Times New Roman" w:hAnsi="Times New Roman"/>
          <w:color w:val="000000" w:themeColor="text1"/>
          <w:sz w:val="16"/>
          <w:szCs w:val="16"/>
        </w:rPr>
        <w:softHyphen/>
        <w:t>цию двигателя и шасси. Испытания показали пригодность ХБТ-1 и ХТ-37 для огнеметания и дымопуска, дали возможность установить нормы времени на подготовку к работе химиче</w:t>
      </w:r>
      <w:r w:rsidRPr="00E14102">
        <w:rPr>
          <w:rFonts w:ascii="Times New Roman" w:hAnsi="Times New Roman"/>
          <w:color w:val="000000" w:themeColor="text1"/>
          <w:sz w:val="16"/>
          <w:szCs w:val="16"/>
        </w:rPr>
        <w:softHyphen/>
        <w:t>ской аппаратуры, порядок работы и дегазации после выполнения работы, а также позволили получить бесценный опыт, пригодившийся при совершенствовании конструкций элементов боевых химических машин.</w:t>
      </w:r>
    </w:p>
    <w:p w14:paraId="3E759B9D" w14:textId="77777777" w:rsidR="004428EE" w:rsidRPr="00E14102" w:rsidRDefault="004428EE" w:rsidP="00E14102">
      <w:pPr>
        <w:pStyle w:val="7"/>
        <w:shd w:val="clear" w:color="auto" w:fill="auto"/>
        <w:spacing w:line="240" w:lineRule="auto"/>
        <w:ind w:firstLine="0"/>
        <w:jc w:val="both"/>
        <w:rPr>
          <w:rFonts w:ascii="Times New Roman" w:hAnsi="Times New Roman"/>
          <w:color w:val="000000" w:themeColor="text1"/>
          <w:sz w:val="16"/>
          <w:szCs w:val="16"/>
        </w:rPr>
      </w:pPr>
      <w:r w:rsidRPr="00E14102">
        <w:rPr>
          <w:rFonts w:ascii="Times New Roman" w:hAnsi="Times New Roman"/>
          <w:color w:val="000000" w:themeColor="text1"/>
          <w:sz w:val="16"/>
          <w:szCs w:val="16"/>
        </w:rPr>
        <w:t>Выявились и недостатки. В частности, при</w:t>
      </w:r>
      <w:r w:rsidRPr="00E14102">
        <w:rPr>
          <w:rFonts w:ascii="Times New Roman" w:hAnsi="Times New Roman"/>
          <w:color w:val="000000" w:themeColor="text1"/>
          <w:sz w:val="16"/>
          <w:szCs w:val="16"/>
        </w:rPr>
        <w:softHyphen/>
        <w:t>менительно к ХТ-37 отмечалось неудовлетво</w:t>
      </w:r>
      <w:r w:rsidRPr="00E14102">
        <w:rPr>
          <w:rFonts w:ascii="Times New Roman" w:hAnsi="Times New Roman"/>
          <w:color w:val="000000" w:themeColor="text1"/>
          <w:sz w:val="16"/>
          <w:szCs w:val="16"/>
        </w:rPr>
        <w:softHyphen/>
        <w:t xml:space="preserve">рительное качество специальной химической аппаратуры. Так, относительно конструкции </w:t>
      </w:r>
      <w:r w:rsidRPr="00E14102">
        <w:rPr>
          <w:rStyle w:val="52"/>
          <w:rFonts w:ascii="Times New Roman" w:hAnsi="Times New Roman"/>
          <w:color w:val="000000" w:themeColor="text1"/>
          <w:spacing w:val="0"/>
          <w:sz w:val="16"/>
          <w:szCs w:val="16"/>
        </w:rPr>
        <w:t>прибыли только 3, остальные на заводах. По</w:t>
      </w:r>
      <w:r w:rsidRPr="00E14102">
        <w:rPr>
          <w:rStyle w:val="52"/>
          <w:rFonts w:ascii="Times New Roman" w:hAnsi="Times New Roman"/>
          <w:color w:val="000000" w:themeColor="text1"/>
          <w:spacing w:val="0"/>
          <w:sz w:val="16"/>
          <w:szCs w:val="16"/>
        </w:rPr>
        <w:softHyphen/>
        <w:t>добная практика приводит к тому, что ко вре</w:t>
      </w:r>
      <w:r w:rsidRPr="00E14102">
        <w:rPr>
          <w:rStyle w:val="52"/>
          <w:rFonts w:ascii="Times New Roman" w:hAnsi="Times New Roman"/>
          <w:color w:val="000000" w:themeColor="text1"/>
          <w:spacing w:val="0"/>
          <w:sz w:val="16"/>
          <w:szCs w:val="16"/>
        </w:rPr>
        <w:softHyphen/>
        <w:t xml:space="preserve">мени окончания всех работ по отработке хим. аппаратуры, а </w:t>
      </w:r>
      <w:r w:rsidRPr="00E14102">
        <w:rPr>
          <w:rStyle w:val="52"/>
          <w:rFonts w:ascii="Times New Roman" w:hAnsi="Times New Roman"/>
          <w:color w:val="000000" w:themeColor="text1"/>
          <w:spacing w:val="0"/>
          <w:sz w:val="16"/>
          <w:szCs w:val="16"/>
        </w:rPr>
        <w:lastRenderedPageBreak/>
        <w:t>иногда и раньше, прекращается изготовление того типа танка, на котором про</w:t>
      </w:r>
      <w:r w:rsidRPr="00E14102">
        <w:rPr>
          <w:rStyle w:val="52"/>
          <w:rFonts w:ascii="Times New Roman" w:hAnsi="Times New Roman"/>
          <w:color w:val="000000" w:themeColor="text1"/>
          <w:spacing w:val="0"/>
          <w:sz w:val="16"/>
          <w:szCs w:val="16"/>
        </w:rPr>
        <w:softHyphen/>
        <w:t>ектировалось и изготовлялось хим. вооруже</w:t>
      </w:r>
      <w:r w:rsidRPr="00E14102">
        <w:rPr>
          <w:rStyle w:val="52"/>
          <w:rFonts w:ascii="Times New Roman" w:hAnsi="Times New Roman"/>
          <w:color w:val="000000" w:themeColor="text1"/>
          <w:spacing w:val="0"/>
          <w:sz w:val="16"/>
          <w:szCs w:val="16"/>
        </w:rPr>
        <w:softHyphen/>
        <w:t>ние. Например, уже прекращено изготовление БТ-5, на котором конструировали ХБТ-1, и пре</w:t>
      </w:r>
      <w:r w:rsidRPr="00E14102">
        <w:rPr>
          <w:rStyle w:val="52"/>
          <w:rFonts w:ascii="Times New Roman" w:hAnsi="Times New Roman"/>
          <w:color w:val="000000" w:themeColor="text1"/>
          <w:spacing w:val="0"/>
          <w:sz w:val="16"/>
          <w:szCs w:val="16"/>
        </w:rPr>
        <w:softHyphen/>
        <w:t>кращается изготовление Т-37 в таком виде, в каком на него поставили хим. аппаратуру».</w:t>
      </w:r>
    </w:p>
    <w:p w14:paraId="40DFBDA9" w14:textId="77777777" w:rsidR="004428EE" w:rsidRPr="00E14102" w:rsidRDefault="004428EE" w:rsidP="00E14102">
      <w:pPr>
        <w:pStyle w:val="7"/>
        <w:shd w:val="clear" w:color="auto" w:fill="auto"/>
        <w:spacing w:line="240" w:lineRule="auto"/>
        <w:ind w:firstLine="0"/>
        <w:jc w:val="both"/>
        <w:rPr>
          <w:rFonts w:ascii="Times New Roman" w:hAnsi="Times New Roman"/>
          <w:color w:val="000000" w:themeColor="text1"/>
          <w:sz w:val="16"/>
          <w:szCs w:val="16"/>
        </w:rPr>
      </w:pPr>
      <w:r w:rsidRPr="00E14102">
        <w:rPr>
          <w:rFonts w:ascii="Times New Roman" w:hAnsi="Times New Roman"/>
          <w:color w:val="000000" w:themeColor="text1"/>
          <w:sz w:val="16"/>
          <w:szCs w:val="16"/>
        </w:rPr>
        <w:t>Испытатели отметили как существенный недочет отсутствие прицельных приспособле</w:t>
      </w:r>
      <w:r w:rsidRPr="00E14102">
        <w:rPr>
          <w:rFonts w:ascii="Times New Roman" w:hAnsi="Times New Roman"/>
          <w:color w:val="000000" w:themeColor="text1"/>
          <w:sz w:val="16"/>
          <w:szCs w:val="16"/>
        </w:rPr>
        <w:softHyphen/>
        <w:t>ний и приспособлений для сдувания остатков огнесмеси у края брандспойта в конце каждого выстрела. Высказывались и замечания органи</w:t>
      </w:r>
      <w:r w:rsidRPr="00E14102">
        <w:rPr>
          <w:rFonts w:ascii="Times New Roman" w:hAnsi="Times New Roman"/>
          <w:color w:val="000000" w:themeColor="text1"/>
          <w:sz w:val="16"/>
          <w:szCs w:val="16"/>
        </w:rPr>
        <w:softHyphen/>
        <w:t>зационного характера:</w:t>
      </w:r>
    </w:p>
    <w:p w14:paraId="627BDE40" w14:textId="77777777" w:rsidR="004428EE" w:rsidRPr="00E14102" w:rsidRDefault="004428EE" w:rsidP="00E14102">
      <w:pPr>
        <w:jc w:val="both"/>
        <w:rPr>
          <w:rStyle w:val="12"/>
          <w:i w:val="0"/>
          <w:color w:val="000000" w:themeColor="text1"/>
          <w:sz w:val="16"/>
          <w:szCs w:val="16"/>
        </w:rPr>
      </w:pPr>
      <w:r w:rsidRPr="00E14102">
        <w:rPr>
          <w:color w:val="000000" w:themeColor="text1"/>
          <w:sz w:val="16"/>
          <w:szCs w:val="16"/>
        </w:rPr>
        <w:t>«Совершенно недостаточен темп констру</w:t>
      </w:r>
      <w:r w:rsidRPr="00E14102">
        <w:rPr>
          <w:color w:val="000000" w:themeColor="text1"/>
          <w:sz w:val="16"/>
          <w:szCs w:val="16"/>
        </w:rPr>
        <w:softHyphen/>
        <w:t>ирования и изготовления опытных образцов хим. танков. Из 8-ми новых машин, подле</w:t>
      </w:r>
      <w:r w:rsidRPr="00E14102">
        <w:rPr>
          <w:color w:val="000000" w:themeColor="text1"/>
          <w:sz w:val="16"/>
          <w:szCs w:val="16"/>
        </w:rPr>
        <w:softHyphen/>
        <w:t>жащих испытаниям на ЦВХП по плану 1936 г</w:t>
      </w:r>
    </w:p>
    <w:p w14:paraId="450A1FA2" w14:textId="77777777" w:rsidR="004428EE" w:rsidRPr="00E14102" w:rsidRDefault="004428EE" w:rsidP="00E14102">
      <w:pPr>
        <w:pStyle w:val="7"/>
        <w:shd w:val="clear" w:color="auto" w:fill="auto"/>
        <w:spacing w:line="240" w:lineRule="auto"/>
        <w:ind w:firstLine="0"/>
        <w:jc w:val="both"/>
        <w:rPr>
          <w:rFonts w:ascii="Times New Roman" w:hAnsi="Times New Roman"/>
          <w:color w:val="000000" w:themeColor="text1"/>
          <w:sz w:val="16"/>
          <w:szCs w:val="16"/>
        </w:rPr>
      </w:pPr>
      <w:r w:rsidRPr="00E14102">
        <w:rPr>
          <w:rFonts w:ascii="Times New Roman" w:hAnsi="Times New Roman"/>
          <w:color w:val="000000" w:themeColor="text1"/>
          <w:sz w:val="16"/>
          <w:szCs w:val="16"/>
        </w:rPr>
        <w:t>В связи с имевшимися недостатками и прекращением производства базовой машины выпуск химических танков ХТ-37 ограничился небольшой партией. В дальнейшем опыт про</w:t>
      </w:r>
      <w:r w:rsidRPr="00E14102">
        <w:rPr>
          <w:rFonts w:ascii="Times New Roman" w:hAnsi="Times New Roman"/>
          <w:color w:val="000000" w:themeColor="text1"/>
          <w:sz w:val="16"/>
          <w:szCs w:val="16"/>
        </w:rPr>
        <w:softHyphen/>
        <w:t>ектирования, испытаний и эксплуатации первых боевых химических машин был использован при создании более совершенных конструкций (12125).</w:t>
      </w:r>
    </w:p>
    <w:p w14:paraId="306C5049" w14:textId="77777777" w:rsidR="004428EE" w:rsidRPr="00E14102" w:rsidRDefault="004428EE" w:rsidP="00E14102">
      <w:pPr>
        <w:pStyle w:val="8"/>
        <w:shd w:val="clear" w:color="auto" w:fill="auto"/>
        <w:spacing w:after="0" w:line="240" w:lineRule="auto"/>
        <w:ind w:firstLine="0"/>
        <w:jc w:val="both"/>
        <w:rPr>
          <w:rFonts w:ascii="Times New Roman" w:hAnsi="Times New Roman"/>
          <w:color w:val="000000" w:themeColor="text1"/>
          <w:sz w:val="16"/>
          <w:szCs w:val="16"/>
        </w:rPr>
      </w:pPr>
    </w:p>
    <w:p w14:paraId="4650D078" w14:textId="77777777" w:rsidR="009B093F"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255A5E2B" w14:textId="77777777" w:rsidR="009B093F" w:rsidRPr="00E14102" w:rsidRDefault="009B093F" w:rsidP="00E14102">
      <w:pPr>
        <w:autoSpaceDE w:val="0"/>
        <w:autoSpaceDN w:val="0"/>
        <w:adjustRightInd w:val="0"/>
        <w:jc w:val="both"/>
        <w:rPr>
          <w:iCs/>
          <w:color w:val="000000" w:themeColor="text1"/>
          <w:sz w:val="16"/>
          <w:szCs w:val="16"/>
        </w:rPr>
      </w:pPr>
    </w:p>
    <w:p w14:paraId="16DB518B" w14:textId="77777777" w:rsidR="009B093F" w:rsidRPr="00E14102" w:rsidRDefault="009B093F" w:rsidP="00E14102">
      <w:pPr>
        <w:jc w:val="both"/>
        <w:rPr>
          <w:color w:val="000000" w:themeColor="text1"/>
          <w:sz w:val="16"/>
          <w:szCs w:val="16"/>
        </w:rPr>
      </w:pPr>
      <w:r w:rsidRPr="00E14102">
        <w:rPr>
          <w:color w:val="000000" w:themeColor="text1"/>
          <w:sz w:val="16"/>
          <w:szCs w:val="16"/>
        </w:rPr>
        <w:t>Со второй половины 1935 г. в КБ-2 УВИ шло проектирование двухмоторного сухопутного самолета ЛБ (легкий бомбардировщик). Однако, в апреле 1936 г. Отделом военных изобретений НКО было прекращено изготовление рабочих чертежей.</w:t>
      </w:r>
    </w:p>
    <w:p w14:paraId="76D404A1" w14:textId="77777777" w:rsidR="009B093F" w:rsidRPr="00E14102" w:rsidRDefault="009B093F" w:rsidP="00E14102">
      <w:pPr>
        <w:jc w:val="both"/>
        <w:rPr>
          <w:color w:val="000000" w:themeColor="text1"/>
          <w:sz w:val="16"/>
          <w:szCs w:val="16"/>
        </w:rPr>
      </w:pPr>
      <w:r w:rsidRPr="00E14102">
        <w:rPr>
          <w:color w:val="000000" w:themeColor="text1"/>
          <w:sz w:val="16"/>
          <w:szCs w:val="16"/>
        </w:rPr>
        <w:t>С 1936 г. разрабатывался теоретически, а в апреле 1937 г. были готовы рабочие чертежи на винт Дюзен-фингель, который в 1937 г. должен был быть изготовлен (12702).</w:t>
      </w:r>
    </w:p>
    <w:p w14:paraId="3EC28B1A" w14:textId="77777777" w:rsidR="009B093F" w:rsidRPr="00E14102" w:rsidRDefault="009B093F" w:rsidP="00E14102">
      <w:pPr>
        <w:jc w:val="both"/>
        <w:rPr>
          <w:color w:val="000000" w:themeColor="text1"/>
          <w:sz w:val="16"/>
          <w:szCs w:val="16"/>
        </w:rPr>
      </w:pPr>
    </w:p>
    <w:p w14:paraId="0115B4D5" w14:textId="77777777" w:rsidR="00F54C89" w:rsidRPr="00E14102" w:rsidRDefault="00F54C89" w:rsidP="00E14102">
      <w:pPr>
        <w:jc w:val="both"/>
        <w:rPr>
          <w:color w:val="0070C0"/>
          <w:sz w:val="16"/>
          <w:szCs w:val="16"/>
        </w:rPr>
      </w:pPr>
      <w:r w:rsidRPr="00E14102">
        <w:rPr>
          <w:rFonts w:eastAsia="Trebuchet MS"/>
          <w:color w:val="0070C0"/>
          <w:sz w:val="16"/>
          <w:szCs w:val="16"/>
        </w:rPr>
        <w:t>Вторая половина 1935 года прошла в КБ Немана под знаком доводки ФР-РЦ (ХАИ-6). Самолет был подготовлен к заводским испы</w:t>
      </w:r>
      <w:r w:rsidRPr="00E14102">
        <w:rPr>
          <w:rFonts w:eastAsia="Trebuchet MS"/>
          <w:color w:val="0070C0"/>
          <w:sz w:val="16"/>
          <w:szCs w:val="16"/>
        </w:rPr>
        <w:softHyphen/>
        <w:t>таниям 10 мая - всего на 10 дней позже пла</w:t>
      </w:r>
      <w:r w:rsidRPr="00E14102">
        <w:rPr>
          <w:rFonts w:eastAsia="Trebuchet MS"/>
          <w:color w:val="0070C0"/>
          <w:sz w:val="16"/>
          <w:szCs w:val="16"/>
        </w:rPr>
        <w:softHyphen/>
        <w:t>нового срока - но после обследования комиссией технической готовности к поле</w:t>
      </w:r>
      <w:r w:rsidRPr="00E14102">
        <w:rPr>
          <w:rFonts w:eastAsia="Trebuchet MS"/>
          <w:color w:val="0070C0"/>
          <w:sz w:val="16"/>
          <w:szCs w:val="16"/>
        </w:rPr>
        <w:softHyphen/>
        <w:t>там не был допущен в виду необходимости внесения ряда исправлений. Начало завод</w:t>
      </w:r>
      <w:r w:rsidRPr="00E14102">
        <w:rPr>
          <w:rFonts w:eastAsia="Trebuchet MS"/>
          <w:color w:val="0070C0"/>
          <w:sz w:val="16"/>
          <w:szCs w:val="16"/>
        </w:rPr>
        <w:softHyphen/>
        <w:t>ских испытаний перенесли на 10 июня, а в ходе этих испытаний выявилась необходи</w:t>
      </w:r>
      <w:r w:rsidRPr="00E14102">
        <w:rPr>
          <w:rFonts w:eastAsia="Trebuchet MS"/>
          <w:color w:val="0070C0"/>
          <w:sz w:val="16"/>
          <w:szCs w:val="16"/>
        </w:rPr>
        <w:softHyphen/>
        <w:t>мость переделки посадочных щитков, капо</w:t>
      </w:r>
      <w:r w:rsidRPr="00E14102">
        <w:rPr>
          <w:rFonts w:eastAsia="Trebuchet MS"/>
          <w:color w:val="0070C0"/>
          <w:sz w:val="16"/>
          <w:szCs w:val="16"/>
        </w:rPr>
        <w:softHyphen/>
        <w:t>тов и оперения. Работы затянулись до октяб</w:t>
      </w:r>
      <w:r w:rsidRPr="00E14102">
        <w:rPr>
          <w:rFonts w:eastAsia="Trebuchet MS"/>
          <w:color w:val="0070C0"/>
          <w:sz w:val="16"/>
          <w:szCs w:val="16"/>
        </w:rPr>
        <w:softHyphen/>
        <w:t>ря, что не могло не сказаться на других про</w:t>
      </w:r>
      <w:r w:rsidRPr="00E14102">
        <w:rPr>
          <w:rFonts w:eastAsia="Trebuchet MS"/>
          <w:color w:val="0070C0"/>
          <w:sz w:val="16"/>
          <w:szCs w:val="16"/>
        </w:rPr>
        <w:softHyphen/>
        <w:t>ектах. Маленький коллектив, ведущие кон</w:t>
      </w:r>
      <w:r w:rsidRPr="00E14102">
        <w:rPr>
          <w:rFonts w:eastAsia="Trebuchet MS"/>
          <w:color w:val="0070C0"/>
          <w:sz w:val="16"/>
          <w:szCs w:val="16"/>
        </w:rPr>
        <w:softHyphen/>
        <w:t>структоры которого были еще задействованы и в учебном процессе ХАИ, попросту захлебы</w:t>
      </w:r>
      <w:r w:rsidRPr="00E14102">
        <w:rPr>
          <w:rFonts w:eastAsia="Trebuchet MS"/>
          <w:color w:val="0070C0"/>
          <w:sz w:val="16"/>
          <w:szCs w:val="16"/>
        </w:rPr>
        <w:softHyphen/>
        <w:t>вался. Законченный по первоначальным ТТТ эскизный проект СР-М34РН, по причине повышения требований в апреле пришлось полностью перерабатывать под мотор К-14. В связи с заменой М-22 на М-75 и по результа</w:t>
      </w:r>
      <w:r w:rsidRPr="00E14102">
        <w:rPr>
          <w:rFonts w:eastAsia="Trebuchet MS"/>
          <w:color w:val="0070C0"/>
          <w:sz w:val="16"/>
          <w:szCs w:val="16"/>
        </w:rPr>
        <w:softHyphen/>
        <w:t>там испытаний в конструкцию ХАИ-5 тоже требовалось внести немало изменений. К середине июля сумели изготовить все детали для статиспытаний. Сами испытания были проведены по всем частям самолета кроме фюзеляжа. На летный экземпляр были гото</w:t>
      </w:r>
      <w:r w:rsidRPr="00E14102">
        <w:rPr>
          <w:rFonts w:eastAsia="Trebuchet MS"/>
          <w:color w:val="0070C0"/>
          <w:sz w:val="16"/>
          <w:szCs w:val="16"/>
        </w:rPr>
        <w:softHyphen/>
        <w:t>вы все агрегаты. Оставалось закончить уста</w:t>
      </w:r>
      <w:r w:rsidRPr="00E14102">
        <w:rPr>
          <w:rFonts w:eastAsia="Trebuchet MS"/>
          <w:color w:val="0070C0"/>
          <w:sz w:val="16"/>
          <w:szCs w:val="16"/>
        </w:rPr>
        <w:softHyphen/>
        <w:t>новку мотора с подводками, оборудование кабин, специальное оборудование и воору</w:t>
      </w:r>
      <w:r w:rsidRPr="00E14102">
        <w:rPr>
          <w:rFonts w:eastAsia="Trebuchet MS"/>
          <w:color w:val="0070C0"/>
          <w:sz w:val="16"/>
          <w:szCs w:val="16"/>
        </w:rPr>
        <w:softHyphen/>
        <w:t>жение. Кроме того, был разработан эскизный проект цельнометаллического СР-К14, наи</w:t>
      </w:r>
      <w:r w:rsidRPr="00E14102">
        <w:rPr>
          <w:rFonts w:eastAsia="Trebuchet MS"/>
          <w:color w:val="0070C0"/>
          <w:sz w:val="16"/>
          <w:szCs w:val="16"/>
        </w:rPr>
        <w:softHyphen/>
        <w:t>более полно отвечающего текущим возмож</w:t>
      </w:r>
      <w:r w:rsidRPr="00E14102">
        <w:rPr>
          <w:rFonts w:eastAsia="Trebuchet MS"/>
          <w:color w:val="0070C0"/>
          <w:sz w:val="16"/>
          <w:szCs w:val="16"/>
        </w:rPr>
        <w:softHyphen/>
        <w:t>ностям завода № 135. Одновременно строил</w:t>
      </w:r>
      <w:r w:rsidRPr="00E14102">
        <w:rPr>
          <w:rFonts w:eastAsia="Trebuchet MS"/>
          <w:color w:val="0070C0"/>
          <w:sz w:val="16"/>
          <w:szCs w:val="16"/>
        </w:rPr>
        <w:softHyphen/>
        <w:t>ся его макет. С учетом загруженности КБ, по согласованию с ГУАП, срок выхода на испыта</w:t>
      </w:r>
      <w:r w:rsidRPr="00E14102">
        <w:rPr>
          <w:rFonts w:eastAsia="Trebuchet MS"/>
          <w:color w:val="0070C0"/>
          <w:sz w:val="16"/>
          <w:szCs w:val="16"/>
        </w:rPr>
        <w:softHyphen/>
        <w:t>ния ХАИ-5 сдвинулся на ноябрь 1935 года, а СР-К14 - вообще на август 1936 года. Тем не менее, уже 7 октября 1935 года врид. Началь</w:t>
      </w:r>
      <w:r w:rsidRPr="00E14102">
        <w:rPr>
          <w:rFonts w:eastAsia="Trebuchet MS"/>
          <w:color w:val="0070C0"/>
          <w:sz w:val="16"/>
          <w:szCs w:val="16"/>
        </w:rPr>
        <w:softHyphen/>
        <w:t>ника ХАИ Косенко и Начальник Производ</w:t>
      </w:r>
      <w:r w:rsidRPr="00E14102">
        <w:rPr>
          <w:rFonts w:eastAsia="Trebuchet MS"/>
          <w:color w:val="0070C0"/>
          <w:sz w:val="16"/>
          <w:szCs w:val="16"/>
        </w:rPr>
        <w:softHyphen/>
        <w:t>ственной части Неман направили письмо № 1046с в ГУАП:</w:t>
      </w:r>
      <w:r w:rsidRPr="00E14102">
        <w:rPr>
          <w:rFonts w:eastAsia="Segoe UI"/>
          <w:color w:val="0070C0"/>
          <w:sz w:val="16"/>
          <w:szCs w:val="16"/>
        </w:rPr>
        <w:t xml:space="preserve"> «В связи с окончанием СР - самолета ХАИ-5 с К-9, прошу разрешить при</w:t>
      </w:r>
      <w:r w:rsidRPr="00E14102">
        <w:rPr>
          <w:rFonts w:eastAsia="Segoe UI"/>
          <w:color w:val="0070C0"/>
          <w:sz w:val="16"/>
          <w:szCs w:val="16"/>
        </w:rPr>
        <w:softHyphen/>
        <w:t>ступить к изготовлению второго экземпля</w:t>
      </w:r>
      <w:r w:rsidRPr="00E14102">
        <w:rPr>
          <w:rFonts w:eastAsia="Segoe UI"/>
          <w:color w:val="0070C0"/>
          <w:sz w:val="16"/>
          <w:szCs w:val="16"/>
        </w:rPr>
        <w:softHyphen/>
        <w:t>ра с К-14. Ожидаем: скорость - 450-460 км/час, посадочная скорость - 100 км/час, потолок -10000 м».</w:t>
      </w:r>
    </w:p>
    <w:p w14:paraId="38C7064D" w14:textId="77777777" w:rsidR="00F54C89" w:rsidRPr="00E14102" w:rsidRDefault="00F54C89" w:rsidP="00E14102">
      <w:pPr>
        <w:jc w:val="both"/>
        <w:rPr>
          <w:rFonts w:eastAsia="Arial Unicode MS"/>
          <w:color w:val="0070C0"/>
          <w:sz w:val="16"/>
          <w:szCs w:val="16"/>
        </w:rPr>
      </w:pPr>
      <w:r w:rsidRPr="00E14102">
        <w:rPr>
          <w:rFonts w:eastAsia="Trebuchet MS"/>
          <w:color w:val="0070C0"/>
          <w:sz w:val="16"/>
          <w:szCs w:val="16"/>
        </w:rPr>
        <w:t>Самолет был вроде бы готов, а вот с мото</w:t>
      </w:r>
      <w:r w:rsidRPr="00E14102">
        <w:rPr>
          <w:rFonts w:eastAsia="Trebuchet MS"/>
          <w:color w:val="0070C0"/>
          <w:sz w:val="16"/>
          <w:szCs w:val="16"/>
        </w:rPr>
        <w:softHyphen/>
        <w:t>ром ситуация складывалась печально. Поста</w:t>
      </w:r>
      <w:r w:rsidRPr="00E14102">
        <w:rPr>
          <w:rFonts w:eastAsia="Trebuchet MS"/>
          <w:color w:val="0070C0"/>
          <w:sz w:val="16"/>
          <w:szCs w:val="16"/>
        </w:rPr>
        <w:softHyphen/>
        <w:t>новлением СТО № К-202сс от 29 декабря 1934 года заводу № 29 была установлена про</w:t>
      </w:r>
      <w:r w:rsidRPr="00E14102">
        <w:rPr>
          <w:rFonts w:eastAsia="Trebuchet MS"/>
          <w:color w:val="0070C0"/>
          <w:sz w:val="16"/>
          <w:szCs w:val="16"/>
        </w:rPr>
        <w:softHyphen/>
        <w:t>изводственная программа на 1935 год по выпуску моторов М-85 - 100 и М-75 - 150 штук, однако фактически все ресурсы были брошены на освоение более мощного и пер</w:t>
      </w:r>
      <w:r w:rsidRPr="00E14102">
        <w:rPr>
          <w:rFonts w:eastAsia="Trebuchet MS"/>
          <w:color w:val="0070C0"/>
          <w:sz w:val="16"/>
          <w:szCs w:val="16"/>
        </w:rPr>
        <w:softHyphen/>
        <w:t>спективного М-85. По отчетам, было собрано только два М-75 и то, возможно, эта цифра означает лишь количество «Мистралей», полученных заводом от французов. Дело в том, что в Перми на заводе № 19 успешно шло внедрение</w:t>
      </w:r>
      <w:r w:rsidRPr="00E14102">
        <w:rPr>
          <w:rFonts w:eastAsia="Arial Unicode MS"/>
          <w:color w:val="0070C0"/>
          <w:sz w:val="16"/>
          <w:szCs w:val="16"/>
        </w:rPr>
        <w:t xml:space="preserve"> лицензионной копии «Райт-Цикло</w:t>
      </w:r>
      <w:r w:rsidRPr="00E14102">
        <w:rPr>
          <w:rFonts w:eastAsia="Arial Unicode MS"/>
          <w:color w:val="0070C0"/>
          <w:sz w:val="16"/>
          <w:szCs w:val="16"/>
        </w:rPr>
        <w:softHyphen/>
        <w:t>на Ф3». Дублирование мощностей со всех сторон выглядело не очень рациональным (19898).</w:t>
      </w:r>
    </w:p>
    <w:p w14:paraId="46499748" w14:textId="76CFBCBC" w:rsidR="00F54C89" w:rsidRPr="00E14102" w:rsidRDefault="00F54C89" w:rsidP="00E14102">
      <w:pPr>
        <w:jc w:val="both"/>
        <w:rPr>
          <w:rFonts w:eastAsia="Arial Unicode MS"/>
          <w:color w:val="0070C0"/>
          <w:sz w:val="16"/>
          <w:szCs w:val="16"/>
        </w:rPr>
      </w:pPr>
    </w:p>
    <w:p w14:paraId="1A886279" w14:textId="14B6BB34" w:rsidR="00F54C89" w:rsidRPr="00E14102" w:rsidRDefault="00F54C89" w:rsidP="00E14102">
      <w:pPr>
        <w:jc w:val="both"/>
        <w:rPr>
          <w:rFonts w:eastAsia="Arial Unicode MS"/>
          <w:i/>
          <w:iCs/>
          <w:color w:val="0070C0"/>
          <w:sz w:val="16"/>
          <w:szCs w:val="16"/>
        </w:rPr>
      </w:pPr>
      <w:r w:rsidRPr="00E14102">
        <w:rPr>
          <w:rFonts w:eastAsia="Arial Unicode MS"/>
          <w:i/>
          <w:iCs/>
          <w:color w:val="0070C0"/>
          <w:sz w:val="16"/>
          <w:szCs w:val="16"/>
        </w:rPr>
        <w:t>Другие оборонные отрасли:</w:t>
      </w:r>
    </w:p>
    <w:p w14:paraId="2E96ED64" w14:textId="77777777" w:rsidR="00F54C89" w:rsidRPr="00E14102" w:rsidRDefault="00F54C89" w:rsidP="00E14102">
      <w:pPr>
        <w:jc w:val="both"/>
        <w:rPr>
          <w:rFonts w:eastAsia="Arial Unicode MS"/>
          <w:i/>
          <w:iCs/>
          <w:color w:val="0070C0"/>
          <w:sz w:val="16"/>
          <w:szCs w:val="16"/>
        </w:rPr>
      </w:pPr>
    </w:p>
    <w:p w14:paraId="103D8C43" w14:textId="77777777" w:rsidR="00F54C89" w:rsidRPr="00E14102" w:rsidRDefault="00F54C89" w:rsidP="00E14102">
      <w:pPr>
        <w:jc w:val="both"/>
        <w:rPr>
          <w:color w:val="0070C0"/>
          <w:sz w:val="16"/>
          <w:szCs w:val="16"/>
        </w:rPr>
      </w:pPr>
      <w:r w:rsidRPr="00E14102">
        <w:rPr>
          <w:color w:val="0070C0"/>
          <w:sz w:val="16"/>
          <w:szCs w:val="16"/>
        </w:rPr>
        <w:t>Во второй половине 1935 г. велись разработ</w:t>
      </w:r>
      <w:r w:rsidRPr="00E14102">
        <w:rPr>
          <w:color w:val="0070C0"/>
          <w:sz w:val="16"/>
          <w:szCs w:val="16"/>
        </w:rPr>
        <w:softHyphen/>
        <w:t>ки независимых подвесок для автомобилей ГАЗ-А и автобуса ЗИС-8. Для записи усилий на рулевом коле</w:t>
      </w:r>
      <w:r w:rsidRPr="00E14102">
        <w:rPr>
          <w:color w:val="0070C0"/>
          <w:sz w:val="16"/>
          <w:szCs w:val="16"/>
        </w:rPr>
        <w:softHyphen/>
        <w:t>се под руководством Б.А. Глуха и М.И. Брискина был спроектирован специальный прибор. В нем запись осуществлялась иглой, царапающей на кинопленке, которая наматывалась на барабан, приводимый в движение электромотором (22518).</w:t>
      </w:r>
    </w:p>
    <w:p w14:paraId="243A976B" w14:textId="77777777" w:rsidR="00F54C89" w:rsidRPr="00E14102" w:rsidRDefault="00F54C89" w:rsidP="00E14102">
      <w:pPr>
        <w:jc w:val="both"/>
        <w:rPr>
          <w:color w:val="0070C0"/>
          <w:sz w:val="16"/>
          <w:szCs w:val="16"/>
        </w:rPr>
      </w:pPr>
    </w:p>
    <w:p w14:paraId="176112FB" w14:textId="77777777" w:rsidR="00A15BC6" w:rsidRPr="00E14102" w:rsidRDefault="00A15BC6"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221EB13" w14:textId="77777777" w:rsidR="00A15BC6" w:rsidRPr="00E14102" w:rsidRDefault="00A15BC6" w:rsidP="00E14102">
      <w:pPr>
        <w:autoSpaceDE w:val="0"/>
        <w:autoSpaceDN w:val="0"/>
        <w:adjustRightInd w:val="0"/>
        <w:jc w:val="both"/>
        <w:rPr>
          <w:iCs/>
          <w:color w:val="000000" w:themeColor="text1"/>
          <w:sz w:val="16"/>
          <w:szCs w:val="16"/>
        </w:rPr>
      </w:pPr>
    </w:p>
    <w:p w14:paraId="0A59B0DE" w14:textId="77777777" w:rsidR="00A15BC6" w:rsidRPr="00E14102" w:rsidRDefault="00A15BC6" w:rsidP="00E14102">
      <w:pPr>
        <w:shd w:val="clear" w:color="auto" w:fill="FFFFFF"/>
        <w:jc w:val="both"/>
        <w:rPr>
          <w:color w:val="0070C0"/>
          <w:sz w:val="16"/>
          <w:szCs w:val="16"/>
        </w:rPr>
      </w:pPr>
      <w:r w:rsidRPr="00E14102">
        <w:rPr>
          <w:color w:val="0070C0"/>
          <w:sz w:val="16"/>
          <w:szCs w:val="16"/>
        </w:rPr>
        <w:t>В начале зимы 1935 А-7 наконец-то поступил в НИИ ВВС. 7 декабря 1935 года вышел приказ по институту №0616 о проведении госиспы</w:t>
      </w:r>
      <w:r w:rsidRPr="00E14102">
        <w:rPr>
          <w:color w:val="0070C0"/>
          <w:sz w:val="16"/>
          <w:szCs w:val="16"/>
        </w:rPr>
        <w:softHyphen/>
        <w:t>таний автожира А-7 с М-22, однако из-за оче</w:t>
      </w:r>
      <w:r w:rsidRPr="00E14102">
        <w:rPr>
          <w:color w:val="0070C0"/>
          <w:sz w:val="16"/>
          <w:szCs w:val="16"/>
        </w:rPr>
        <w:softHyphen/>
        <w:t xml:space="preserve">редной поломки, фактическая передача </w:t>
      </w:r>
      <w:r w:rsidRPr="00E14102">
        <w:rPr>
          <w:rStyle w:val="af0"/>
          <w:rFonts w:eastAsiaTheme="minorHAnsi"/>
          <w:color w:val="0070C0"/>
          <w:sz w:val="16"/>
          <w:szCs w:val="16"/>
        </w:rPr>
        <w:t>состоялось 20 декабря. Примерную програм</w:t>
      </w:r>
      <w:r w:rsidRPr="00E14102">
        <w:rPr>
          <w:rStyle w:val="af0"/>
          <w:rFonts w:eastAsiaTheme="minorHAnsi"/>
          <w:color w:val="0070C0"/>
          <w:sz w:val="16"/>
          <w:szCs w:val="16"/>
        </w:rPr>
        <w:softHyphen/>
        <w:t>му испытаний утвердили еще вначале года, на упомянутом совещании у Я.И. Алксниса. Тогда решили, что начальнику НИИ совмест</w:t>
      </w:r>
      <w:r w:rsidRPr="00E14102">
        <w:rPr>
          <w:rStyle w:val="af0"/>
          <w:rFonts w:eastAsiaTheme="minorHAnsi"/>
          <w:color w:val="0070C0"/>
          <w:sz w:val="16"/>
          <w:szCs w:val="16"/>
        </w:rPr>
        <w:softHyphen/>
        <w:t>но с начальником ЦАГИ следовало составить программу испытаний автожира А-7, исходя из его назначения как средства наблюдения (для замены аэростата наблюдения), самоле</w:t>
      </w:r>
      <w:r w:rsidRPr="00E14102">
        <w:rPr>
          <w:rStyle w:val="af0"/>
          <w:rFonts w:eastAsiaTheme="minorHAnsi"/>
          <w:color w:val="0070C0"/>
          <w:sz w:val="16"/>
          <w:szCs w:val="16"/>
        </w:rPr>
        <w:softHyphen/>
        <w:t>та ближней разведки, самолета для коррек</w:t>
      </w:r>
      <w:r w:rsidRPr="00E14102">
        <w:rPr>
          <w:rStyle w:val="af0"/>
          <w:rFonts w:eastAsiaTheme="minorHAnsi"/>
          <w:color w:val="0070C0"/>
          <w:sz w:val="16"/>
          <w:szCs w:val="16"/>
        </w:rPr>
        <w:softHyphen/>
        <w:t>тировки артогня (сухопутного и морского) и самолета разведки подлодок у своих бере</w:t>
      </w:r>
      <w:r w:rsidRPr="00E14102">
        <w:rPr>
          <w:rStyle w:val="af0"/>
          <w:rFonts w:eastAsiaTheme="minorHAnsi"/>
          <w:color w:val="0070C0"/>
          <w:sz w:val="16"/>
          <w:szCs w:val="16"/>
        </w:rPr>
        <w:softHyphen/>
        <w:t>гов. Правда, в итоге «морскую» часть испыта</w:t>
      </w:r>
      <w:r w:rsidRPr="00E14102">
        <w:rPr>
          <w:rStyle w:val="af0"/>
          <w:rFonts w:eastAsiaTheme="minorHAnsi"/>
          <w:color w:val="0070C0"/>
          <w:sz w:val="16"/>
          <w:szCs w:val="16"/>
        </w:rPr>
        <w:softHyphen/>
        <w:t>ний позже отложили на будущее, зато по ука</w:t>
      </w:r>
      <w:r w:rsidRPr="00E14102">
        <w:rPr>
          <w:rStyle w:val="af0"/>
          <w:rFonts w:eastAsiaTheme="minorHAnsi"/>
          <w:color w:val="0070C0"/>
          <w:sz w:val="16"/>
          <w:szCs w:val="16"/>
        </w:rPr>
        <w:softHyphen/>
        <w:t>занию Тухачевского добавили раздел по испытанию хим вооружений.</w:t>
      </w:r>
    </w:p>
    <w:p w14:paraId="2DE2FA2F" w14:textId="77777777" w:rsidR="00A15BC6" w:rsidRPr="00E14102" w:rsidRDefault="00A15BC6" w:rsidP="00E14102">
      <w:pPr>
        <w:jc w:val="both"/>
        <w:rPr>
          <w:color w:val="0070C0"/>
          <w:sz w:val="16"/>
          <w:szCs w:val="16"/>
        </w:rPr>
      </w:pPr>
      <w:r w:rsidRPr="00E14102">
        <w:rPr>
          <w:color w:val="0070C0"/>
          <w:sz w:val="16"/>
          <w:szCs w:val="16"/>
        </w:rPr>
        <w:t>В НИИ ВВС уже испытывали автожиры, но в данном случае А-7 представлял собой каче</w:t>
      </w:r>
      <w:r w:rsidRPr="00E14102">
        <w:rPr>
          <w:color w:val="0070C0"/>
          <w:sz w:val="16"/>
          <w:szCs w:val="16"/>
        </w:rPr>
        <w:softHyphen/>
        <w:t>ственный скачок, прежде всего, как система вооружения. Было решено провести совместные испытания: принимая во внима</w:t>
      </w:r>
      <w:r w:rsidRPr="00E14102">
        <w:rPr>
          <w:color w:val="0070C0"/>
          <w:sz w:val="16"/>
          <w:szCs w:val="16"/>
        </w:rPr>
        <w:softHyphen/>
        <w:t>ние сложность и новизну машины, участие специалистов ЦАГИ посчитали совсем не лишним. Работу возглавили одновременно два ведущих инженера. Ивановский от НИИ ВВС и Иванов от ОЭЛИД ЦАГИ. Ивановский выступал еще и в роли ведущего летчика- испытателя, летнаб-испытатель - капитан Цветков. Участие в испытаниях принимали Попов и Корзинщиков.</w:t>
      </w:r>
    </w:p>
    <w:p w14:paraId="77A4A620" w14:textId="77777777" w:rsidR="00A15BC6" w:rsidRPr="00E14102" w:rsidRDefault="00A15BC6" w:rsidP="00E14102">
      <w:pPr>
        <w:jc w:val="both"/>
        <w:rPr>
          <w:color w:val="0070C0"/>
          <w:sz w:val="16"/>
          <w:szCs w:val="16"/>
        </w:rPr>
      </w:pPr>
      <w:r w:rsidRPr="00E14102">
        <w:rPr>
          <w:color w:val="0070C0"/>
          <w:sz w:val="16"/>
          <w:szCs w:val="16"/>
        </w:rPr>
        <w:t>По результатам обмера и взвешивания в НИИ ВВС были получены следующие данные. Длина автожира - 8,17 метра, высота на сто</w:t>
      </w:r>
      <w:r w:rsidRPr="00E14102">
        <w:rPr>
          <w:color w:val="0070C0"/>
          <w:sz w:val="16"/>
          <w:szCs w:val="16"/>
        </w:rPr>
        <w:softHyphen/>
        <w:t>янке - 3,885 м, размах крыла -10,41 м, диа</w:t>
      </w:r>
      <w:r w:rsidRPr="00E14102">
        <w:rPr>
          <w:color w:val="0070C0"/>
          <w:sz w:val="16"/>
          <w:szCs w:val="16"/>
        </w:rPr>
        <w:softHyphen/>
        <w:t>метр ротора - 15,18 м, хорда лопасти - 500 мм, угол свеса лопасти - 5 градусов, диаметр винта - 2,8 м. Колея шасси - 3,5 м, база - 1,8 8м. Площадь крыла составляла 14,7 кв. м, горизонтальное оперение имело площадь, с учетом подкилевой части или как тогда гово</w:t>
      </w:r>
      <w:r w:rsidRPr="00E14102">
        <w:rPr>
          <w:color w:val="0070C0"/>
          <w:sz w:val="16"/>
          <w:szCs w:val="16"/>
        </w:rPr>
        <w:softHyphen/>
        <w:t>рили «с перекрытием» 4,01 кв. м, «чистая» площадь Г0 - 3,75 кв. м. Вес пустого автожи</w:t>
      </w:r>
      <w:r w:rsidRPr="00E14102">
        <w:rPr>
          <w:color w:val="0070C0"/>
          <w:sz w:val="16"/>
          <w:szCs w:val="16"/>
        </w:rPr>
        <w:softHyphen/>
        <w:t>ра -1453 кг, полетный вес - 2110 кг.</w:t>
      </w:r>
    </w:p>
    <w:p w14:paraId="02861DA7" w14:textId="77777777" w:rsidR="00A15BC6" w:rsidRPr="00E14102" w:rsidRDefault="00A15BC6" w:rsidP="00E14102">
      <w:pPr>
        <w:jc w:val="both"/>
        <w:rPr>
          <w:color w:val="0070C0"/>
          <w:sz w:val="16"/>
          <w:szCs w:val="16"/>
        </w:rPr>
      </w:pPr>
      <w:r w:rsidRPr="00E14102">
        <w:rPr>
          <w:color w:val="0070C0"/>
          <w:sz w:val="16"/>
          <w:szCs w:val="16"/>
        </w:rPr>
        <w:t>Испытания продолжались более двух месяцев - почти до конца февраля 1936 года. Всего было выполнено 60 полетов общей продолжительностью 29 часов 17 минут. 11 дней стояла нелетная погода, 22 дня ушло на устранение поломок автожира. 31 полет заняли летно-технические испытания, такти</w:t>
      </w:r>
      <w:r w:rsidRPr="00E14102">
        <w:rPr>
          <w:color w:val="0070C0"/>
          <w:sz w:val="16"/>
          <w:szCs w:val="16"/>
        </w:rPr>
        <w:softHyphen/>
        <w:t>ческие - 10, 3 и 5 полетов, соответственно, ушло на испытания оборудования и вооруже</w:t>
      </w:r>
      <w:r w:rsidRPr="00E14102">
        <w:rPr>
          <w:color w:val="0070C0"/>
          <w:sz w:val="16"/>
          <w:szCs w:val="16"/>
        </w:rPr>
        <w:softHyphen/>
        <w:t>ния. Заказ Тухачевского - отработка химвооружения - производилась в 11 полетах. Стоит отметить, что поломок для таких испы</w:t>
      </w:r>
      <w:r w:rsidRPr="00E14102">
        <w:rPr>
          <w:color w:val="0070C0"/>
          <w:sz w:val="16"/>
          <w:szCs w:val="16"/>
        </w:rPr>
        <w:softHyphen/>
        <w:t>таний было необычно мало, причем замену мотора из-за разрушения поршня в расчет вообще можно не принимать, как не имею</w:t>
      </w:r>
      <w:r w:rsidRPr="00E14102">
        <w:rPr>
          <w:color w:val="0070C0"/>
          <w:sz w:val="16"/>
          <w:szCs w:val="16"/>
        </w:rPr>
        <w:softHyphen/>
        <w:t>щую отношения к собственно конструкции автожира. Кроме этого, в ходе испытаний произошел обрыв кронштейна весового ком</w:t>
      </w:r>
      <w:r w:rsidRPr="00E14102">
        <w:rPr>
          <w:color w:val="0070C0"/>
          <w:sz w:val="16"/>
          <w:szCs w:val="16"/>
        </w:rPr>
        <w:softHyphen/>
        <w:t>пенсатора левого руля высоты. Ударившись о руль, он срикошетил и повредил лопасть ротора. Это была единственная серьезная поломка в полете. Еще два дефекта прояви</w:t>
      </w:r>
      <w:r w:rsidRPr="00E14102">
        <w:rPr>
          <w:color w:val="0070C0"/>
          <w:sz w:val="16"/>
          <w:szCs w:val="16"/>
        </w:rPr>
        <w:softHyphen/>
        <w:t>лись на земле. Их можно отнести к издерж</w:t>
      </w:r>
      <w:r w:rsidRPr="00E14102">
        <w:rPr>
          <w:color w:val="0070C0"/>
          <w:sz w:val="16"/>
          <w:szCs w:val="16"/>
        </w:rPr>
        <w:softHyphen/>
        <w:t>кам освоения зимней эксплуатации. В пер</w:t>
      </w:r>
      <w:r w:rsidRPr="00E14102">
        <w:rPr>
          <w:color w:val="0070C0"/>
          <w:sz w:val="16"/>
          <w:szCs w:val="16"/>
        </w:rPr>
        <w:softHyphen/>
        <w:t>вом случае из-за примерзания лыж основных ног произошло их несинхронное страгивание, в результате был поврежден один из стержней фермы передней ноги. Во втором, при попадании заднего конца передней лыжи в проталину на рулении выскочила из пазов пластинчатая резина амортизации лыжи, что привело к повреждению винта.</w:t>
      </w:r>
    </w:p>
    <w:p w14:paraId="6E2C453D" w14:textId="77777777" w:rsidR="00A15BC6" w:rsidRPr="00E14102" w:rsidRDefault="00A15BC6" w:rsidP="00E14102">
      <w:pPr>
        <w:jc w:val="both"/>
        <w:rPr>
          <w:color w:val="0070C0"/>
          <w:sz w:val="16"/>
          <w:szCs w:val="16"/>
        </w:rPr>
      </w:pPr>
      <w:r w:rsidRPr="00E14102">
        <w:rPr>
          <w:color w:val="0070C0"/>
          <w:sz w:val="16"/>
          <w:szCs w:val="16"/>
        </w:rPr>
        <w:t>Весьма скромное число поломок может служить подтверждением достаточно высо</w:t>
      </w:r>
      <w:r w:rsidRPr="00E14102">
        <w:rPr>
          <w:color w:val="0070C0"/>
          <w:sz w:val="16"/>
          <w:szCs w:val="16"/>
        </w:rPr>
        <w:softHyphen/>
        <w:t>кой надежности А-7, тем более, что програм</w:t>
      </w:r>
      <w:r w:rsidRPr="00E14102">
        <w:rPr>
          <w:color w:val="0070C0"/>
          <w:sz w:val="16"/>
          <w:szCs w:val="16"/>
        </w:rPr>
        <w:softHyphen/>
        <w:t>ма испытаний по сравнению с обычными самолетными была обширнее. Помимо стан</w:t>
      </w:r>
      <w:r w:rsidRPr="00E14102">
        <w:rPr>
          <w:color w:val="0070C0"/>
          <w:sz w:val="16"/>
          <w:szCs w:val="16"/>
        </w:rPr>
        <w:softHyphen/>
        <w:t>дартного набора полетов, автожир был под</w:t>
      </w:r>
      <w:r w:rsidRPr="00E14102">
        <w:rPr>
          <w:color w:val="0070C0"/>
          <w:sz w:val="16"/>
          <w:szCs w:val="16"/>
        </w:rPr>
        <w:softHyphen/>
        <w:t>вергнут целому ряду дополнительных прове</w:t>
      </w:r>
      <w:r w:rsidRPr="00E14102">
        <w:rPr>
          <w:color w:val="0070C0"/>
          <w:sz w:val="16"/>
          <w:szCs w:val="16"/>
        </w:rPr>
        <w:softHyphen/>
        <w:t>рок. Стоит заметить, что не все они были запланированы заранее, тем не менее, про</w:t>
      </w:r>
      <w:r w:rsidRPr="00E14102">
        <w:rPr>
          <w:color w:val="0070C0"/>
          <w:sz w:val="16"/>
          <w:szCs w:val="16"/>
        </w:rPr>
        <w:softHyphen/>
        <w:t>шел он их успешно. В частности, при возвра</w:t>
      </w:r>
      <w:r w:rsidRPr="00E14102">
        <w:rPr>
          <w:color w:val="0070C0"/>
          <w:sz w:val="16"/>
          <w:szCs w:val="16"/>
        </w:rPr>
        <w:softHyphen/>
        <w:t>щении с полигона НИХИ РККА в Кузьминках на Центральный аэродром 26 февраля авто</w:t>
      </w:r>
      <w:r w:rsidRPr="00E14102">
        <w:rPr>
          <w:color w:val="0070C0"/>
          <w:sz w:val="16"/>
          <w:szCs w:val="16"/>
        </w:rPr>
        <w:softHyphen/>
        <w:t>жир попал в условия обледенения. Образо</w:t>
      </w:r>
      <w:r w:rsidRPr="00E14102">
        <w:rPr>
          <w:color w:val="0070C0"/>
          <w:sz w:val="16"/>
          <w:szCs w:val="16"/>
        </w:rPr>
        <w:softHyphen/>
        <w:t>вание ледяной корки до 0,5 мм на ребрах атаки крыла, подкосов и лопастей ротора заметных изменений в работе ротора не вызвало. В ходе испытаний А-7 несколько раз попадал в снегопад на время до четверти часа. Повреждений лопастей ротора замече</w:t>
      </w:r>
      <w:r w:rsidRPr="00E14102">
        <w:rPr>
          <w:color w:val="0070C0"/>
          <w:sz w:val="16"/>
          <w:szCs w:val="16"/>
        </w:rPr>
        <w:softHyphen/>
        <w:t>но не было, заодно убедились, что полет авто</w:t>
      </w:r>
      <w:r w:rsidRPr="00E14102">
        <w:rPr>
          <w:color w:val="0070C0"/>
          <w:sz w:val="16"/>
          <w:szCs w:val="16"/>
        </w:rPr>
        <w:softHyphen/>
        <w:t>жира в отсутствии видимости не сложнее, чем на самолете.</w:t>
      </w:r>
    </w:p>
    <w:p w14:paraId="3369307F" w14:textId="77777777" w:rsidR="00A15BC6" w:rsidRPr="00E14102" w:rsidRDefault="00A15BC6" w:rsidP="00E14102">
      <w:pPr>
        <w:jc w:val="both"/>
        <w:rPr>
          <w:color w:val="0070C0"/>
          <w:sz w:val="16"/>
          <w:szCs w:val="16"/>
        </w:rPr>
      </w:pPr>
      <w:r w:rsidRPr="00E14102">
        <w:rPr>
          <w:color w:val="0070C0"/>
          <w:sz w:val="16"/>
          <w:szCs w:val="16"/>
        </w:rPr>
        <w:t>В плановом порядке А-7 испытали на полеты с перегрузкой, взлетный вес при этом доходил до 2180 кг, полеты с ассиметричной подвеской весом 80 кг под центропланом и консолью с плечом от оси автожира 1,1 и 2,4 метра соответственно. Кроме этого, выпол</w:t>
      </w:r>
      <w:r w:rsidRPr="00E14102">
        <w:rPr>
          <w:color w:val="0070C0"/>
          <w:sz w:val="16"/>
          <w:szCs w:val="16"/>
        </w:rPr>
        <w:softHyphen/>
        <w:t>нялись полеты при порывах ветра до 14 м/с и отрабатывался взлете обледенелой поверх</w:t>
      </w:r>
      <w:r w:rsidRPr="00E14102">
        <w:rPr>
          <w:color w:val="0070C0"/>
          <w:sz w:val="16"/>
          <w:szCs w:val="16"/>
        </w:rPr>
        <w:softHyphen/>
        <w:t>ности. Все эти испытания А-7 прошел успеш</w:t>
      </w:r>
      <w:r w:rsidRPr="00E14102">
        <w:rPr>
          <w:color w:val="0070C0"/>
          <w:sz w:val="16"/>
          <w:szCs w:val="16"/>
        </w:rPr>
        <w:softHyphen/>
        <w:t>но, единственным недостатком оказалась необходимость удержания автожира на льду, пока ротор раскручивался до 140-150 оборо</w:t>
      </w:r>
      <w:r w:rsidRPr="00E14102">
        <w:rPr>
          <w:color w:val="0070C0"/>
          <w:sz w:val="16"/>
          <w:szCs w:val="16"/>
        </w:rPr>
        <w:softHyphen/>
        <w:t>тов в минуту, правда, для этого вполне хвата</w:t>
      </w:r>
      <w:r w:rsidRPr="00E14102">
        <w:rPr>
          <w:color w:val="0070C0"/>
          <w:sz w:val="16"/>
          <w:szCs w:val="16"/>
        </w:rPr>
        <w:softHyphen/>
        <w:t>ло двух человек наземного персонала.</w:t>
      </w:r>
    </w:p>
    <w:p w14:paraId="657641F0" w14:textId="77777777" w:rsidR="00A15BC6" w:rsidRPr="00E14102" w:rsidRDefault="00A15BC6" w:rsidP="00E14102">
      <w:pPr>
        <w:shd w:val="clear" w:color="auto" w:fill="FFFFFF"/>
        <w:jc w:val="both"/>
        <w:rPr>
          <w:color w:val="0070C0"/>
          <w:sz w:val="16"/>
          <w:szCs w:val="16"/>
        </w:rPr>
      </w:pPr>
      <w:r w:rsidRPr="00E14102">
        <w:rPr>
          <w:color w:val="0070C0"/>
          <w:sz w:val="16"/>
          <w:szCs w:val="16"/>
        </w:rPr>
        <w:t>Обязательным пунктом программы было определение летных характеристик, хотя в НИИ ВВС не стали замерять практический потолок и скороподъемность на лыжах. В отчет записали данные заводских испыта</w:t>
      </w:r>
      <w:r w:rsidRPr="00E14102">
        <w:rPr>
          <w:color w:val="0070C0"/>
          <w:sz w:val="16"/>
          <w:szCs w:val="16"/>
        </w:rPr>
        <w:softHyphen/>
        <w:t>ний. На колесах А-7, по данным ОЭЛИД ЦАГИ, забирался на 3 километра за 16,2 минуты и его потолок составлял 4800 метров. Осталь</w:t>
      </w:r>
      <w:r w:rsidRPr="00E14102">
        <w:rPr>
          <w:color w:val="0070C0"/>
          <w:sz w:val="16"/>
          <w:szCs w:val="16"/>
        </w:rPr>
        <w:softHyphen/>
        <w:t>ные характеристики военные определяли сами. Максимальная скорость автожира у земли составляла 200 км/ч, минимальная - 45 км/ч, на меньшей скорости самолетные органы управления (рули и элероны) теряли эффективность. Для разбега и пробега без торможения на лыжах требовалась дистан</w:t>
      </w:r>
      <w:r w:rsidRPr="00E14102">
        <w:rPr>
          <w:color w:val="0070C0"/>
          <w:sz w:val="16"/>
          <w:szCs w:val="16"/>
        </w:rPr>
        <w:softHyphen/>
        <w:t>ция в 60-70 метров, при этом взлет произво</w:t>
      </w:r>
      <w:r w:rsidRPr="00E14102">
        <w:rPr>
          <w:color w:val="0070C0"/>
          <w:sz w:val="16"/>
          <w:szCs w:val="16"/>
        </w:rPr>
        <w:softHyphen/>
        <w:t>дился за 6-7 секунд. Время пробега составля</w:t>
      </w:r>
      <w:r w:rsidRPr="00E14102">
        <w:rPr>
          <w:color w:val="0070C0"/>
          <w:sz w:val="16"/>
          <w:szCs w:val="16"/>
        </w:rPr>
        <w:softHyphen/>
        <w:t>ло 8-9 секунд. Вираж на высоте 1000 метров А-7 выполнял за 15-17 секунд. Максималь</w:t>
      </w:r>
      <w:r w:rsidRPr="00E14102">
        <w:rPr>
          <w:color w:val="0070C0"/>
          <w:sz w:val="16"/>
          <w:szCs w:val="16"/>
        </w:rPr>
        <w:softHyphen/>
        <w:t>ную дальность полета на скорости 140 км/ч и высоте 1000 м при запасе топлива 325 кг определили расчетным путем на основании замера расхода горючего. Он должна была составлять 775 км.</w:t>
      </w:r>
    </w:p>
    <w:p w14:paraId="04CC912C" w14:textId="77777777" w:rsidR="00A15BC6" w:rsidRPr="00E14102" w:rsidRDefault="00A15BC6" w:rsidP="00E14102">
      <w:pPr>
        <w:jc w:val="both"/>
        <w:rPr>
          <w:color w:val="0070C0"/>
          <w:sz w:val="16"/>
          <w:szCs w:val="16"/>
        </w:rPr>
      </w:pPr>
      <w:r w:rsidRPr="00E14102">
        <w:rPr>
          <w:color w:val="0070C0"/>
          <w:sz w:val="16"/>
          <w:szCs w:val="16"/>
        </w:rPr>
        <w:lastRenderedPageBreak/>
        <w:t>Летные характеристики, конечно, требо</w:t>
      </w:r>
      <w:r w:rsidRPr="00E14102">
        <w:rPr>
          <w:color w:val="0070C0"/>
          <w:sz w:val="16"/>
          <w:szCs w:val="16"/>
        </w:rPr>
        <w:softHyphen/>
        <w:t>вали подтверждения, но самой приоритетной задачей было изучение тактических возмож</w:t>
      </w:r>
      <w:r w:rsidRPr="00E14102">
        <w:rPr>
          <w:color w:val="0070C0"/>
          <w:sz w:val="16"/>
          <w:szCs w:val="16"/>
        </w:rPr>
        <w:softHyphen/>
        <w:t>ностей этого необычного летательного аппа</w:t>
      </w:r>
      <w:r w:rsidRPr="00E14102">
        <w:rPr>
          <w:color w:val="0070C0"/>
          <w:sz w:val="16"/>
          <w:szCs w:val="16"/>
        </w:rPr>
        <w:softHyphen/>
        <w:t>рата. Что в действительности может воору</w:t>
      </w:r>
      <w:r w:rsidRPr="00E14102">
        <w:rPr>
          <w:color w:val="0070C0"/>
          <w:sz w:val="16"/>
          <w:szCs w:val="16"/>
        </w:rPr>
        <w:softHyphen/>
        <w:t>женный и оснащенный радио- и фотоаппара</w:t>
      </w:r>
      <w:r w:rsidRPr="00E14102">
        <w:rPr>
          <w:color w:val="0070C0"/>
          <w:sz w:val="16"/>
          <w:szCs w:val="16"/>
        </w:rPr>
        <w:softHyphen/>
        <w:t>турой автожир в точности не знал никто.</w:t>
      </w:r>
    </w:p>
    <w:p w14:paraId="36E9F790" w14:textId="77777777" w:rsidR="00A15BC6" w:rsidRPr="00E14102" w:rsidRDefault="00A15BC6" w:rsidP="00E14102">
      <w:pPr>
        <w:jc w:val="both"/>
        <w:rPr>
          <w:color w:val="0070C0"/>
          <w:sz w:val="16"/>
          <w:szCs w:val="16"/>
        </w:rPr>
      </w:pPr>
      <w:r w:rsidRPr="00E14102">
        <w:rPr>
          <w:color w:val="0070C0"/>
          <w:sz w:val="16"/>
          <w:szCs w:val="16"/>
        </w:rPr>
        <w:t>Предстояло определить потенциал А-7 как средства связи, разведки и наблюдения, а также понять, насколько хорошо он может постоять за себя в воздушном бою.</w:t>
      </w:r>
    </w:p>
    <w:p w14:paraId="48CB1A17" w14:textId="77777777" w:rsidR="00A15BC6" w:rsidRPr="00E14102" w:rsidRDefault="00A15BC6" w:rsidP="00E14102">
      <w:pPr>
        <w:jc w:val="both"/>
        <w:rPr>
          <w:color w:val="0070C0"/>
          <w:sz w:val="16"/>
          <w:szCs w:val="16"/>
        </w:rPr>
      </w:pPr>
      <w:r w:rsidRPr="00E14102">
        <w:rPr>
          <w:color w:val="0070C0"/>
          <w:sz w:val="16"/>
          <w:szCs w:val="16"/>
        </w:rPr>
        <w:t>Наблюдение и визуальную разведку в ходе испытаний производили в основном со средних высот. Оказалось, что делать это несколько удобнее, чем с самолета, в первую очередь благодаря низкой минимальной ско</w:t>
      </w:r>
      <w:r w:rsidRPr="00E14102">
        <w:rPr>
          <w:color w:val="0070C0"/>
          <w:sz w:val="16"/>
          <w:szCs w:val="16"/>
        </w:rPr>
        <w:softHyphen/>
        <w:t>рости, что позволяло «задерживаться» над обследуемым объектом и более детально изучать его. Это обстоятельство обеспечива</w:t>
      </w:r>
      <w:r w:rsidRPr="00E14102">
        <w:rPr>
          <w:color w:val="0070C0"/>
          <w:sz w:val="16"/>
          <w:szCs w:val="16"/>
        </w:rPr>
        <w:softHyphen/>
        <w:t>ло возможность успешно выполнять графи</w:t>
      </w:r>
      <w:r w:rsidRPr="00E14102">
        <w:rPr>
          <w:color w:val="0070C0"/>
          <w:sz w:val="16"/>
          <w:szCs w:val="16"/>
        </w:rPr>
        <w:softHyphen/>
        <w:t>ческие донесения и снимать кроки местно</w:t>
      </w:r>
      <w:r w:rsidRPr="00E14102">
        <w:rPr>
          <w:color w:val="0070C0"/>
          <w:sz w:val="16"/>
          <w:szCs w:val="16"/>
        </w:rPr>
        <w:softHyphen/>
        <w:t>сти. Немаловажную роль играл и хороший обзор из задней кабины. Способность долгое время держаться на минимальных скоростях позволяла вести длительное наблюдение за определенными секторами или объектами, что при наличии устойчивой радиосвязи при</w:t>
      </w:r>
      <w:r w:rsidRPr="00E14102">
        <w:rPr>
          <w:color w:val="0070C0"/>
          <w:sz w:val="16"/>
          <w:szCs w:val="16"/>
        </w:rPr>
        <w:softHyphen/>
        <w:t>ближало автожир по возможностям к привяз</w:t>
      </w:r>
      <w:r w:rsidRPr="00E14102">
        <w:rPr>
          <w:color w:val="0070C0"/>
          <w:sz w:val="16"/>
          <w:szCs w:val="16"/>
        </w:rPr>
        <w:softHyphen/>
        <w:t>ным аэростатам.</w:t>
      </w:r>
    </w:p>
    <w:p w14:paraId="32B4C8D6" w14:textId="77777777" w:rsidR="00A15BC6" w:rsidRPr="00E14102" w:rsidRDefault="00A15BC6" w:rsidP="00E14102">
      <w:pPr>
        <w:jc w:val="both"/>
        <w:rPr>
          <w:color w:val="0070C0"/>
          <w:sz w:val="16"/>
          <w:szCs w:val="16"/>
        </w:rPr>
      </w:pPr>
      <w:r w:rsidRPr="00E14102">
        <w:rPr>
          <w:color w:val="0070C0"/>
          <w:sz w:val="16"/>
          <w:szCs w:val="16"/>
        </w:rPr>
        <w:t>Еще в ходе заводских испытаний были отмечены вибрации оперения и хвостовой части фюзеляжа. До концы победить это явление не удалось не только на А-7, но и на последующих модификациях. Тряска и виб</w:t>
      </w:r>
      <w:r w:rsidRPr="00E14102">
        <w:rPr>
          <w:color w:val="0070C0"/>
          <w:sz w:val="16"/>
          <w:szCs w:val="16"/>
        </w:rPr>
        <w:softHyphen/>
        <w:t>рации фюзеляжа практически исключали наблюдение при помощи бинокля. Реально их можно было вести только на режимах пла</w:t>
      </w:r>
      <w:r w:rsidRPr="00E14102">
        <w:rPr>
          <w:color w:val="0070C0"/>
          <w:sz w:val="16"/>
          <w:szCs w:val="16"/>
        </w:rPr>
        <w:softHyphen/>
        <w:t>нирования или парашютирования при работе мотора на малом газе. В то же время, радио</w:t>
      </w:r>
      <w:r w:rsidRPr="00E14102">
        <w:rPr>
          <w:color w:val="0070C0"/>
          <w:sz w:val="16"/>
          <w:szCs w:val="16"/>
        </w:rPr>
        <w:softHyphen/>
        <w:t>станция 13-СК начинала устойчиво работать на скорости около 90 км/ч - динамомашина, установленная на А-7, работала от набегаю</w:t>
      </w:r>
      <w:r w:rsidRPr="00E14102">
        <w:rPr>
          <w:color w:val="0070C0"/>
          <w:sz w:val="16"/>
          <w:szCs w:val="16"/>
        </w:rPr>
        <w:softHyphen/>
        <w:t>щего потока и на малых скоростях ее мощно</w:t>
      </w:r>
      <w:r w:rsidRPr="00E14102">
        <w:rPr>
          <w:color w:val="0070C0"/>
          <w:sz w:val="16"/>
          <w:szCs w:val="16"/>
        </w:rPr>
        <w:softHyphen/>
        <w:t>сти не хватало. Как фоторазведчик автожир по крайней мере не уступал самолету, а пер</w:t>
      </w:r>
      <w:r w:rsidRPr="00E14102">
        <w:rPr>
          <w:color w:val="0070C0"/>
          <w:sz w:val="16"/>
          <w:szCs w:val="16"/>
        </w:rPr>
        <w:softHyphen/>
        <w:t>спективную аэрофотосъемку производить оказалось значительно удобнее.</w:t>
      </w:r>
    </w:p>
    <w:p w14:paraId="5C898378" w14:textId="77777777" w:rsidR="00A15BC6" w:rsidRPr="00E14102" w:rsidRDefault="00A15BC6" w:rsidP="00E14102">
      <w:pPr>
        <w:shd w:val="clear" w:color="auto" w:fill="FFFFFF"/>
        <w:jc w:val="both"/>
        <w:rPr>
          <w:color w:val="0070C0"/>
          <w:sz w:val="16"/>
          <w:szCs w:val="16"/>
        </w:rPr>
      </w:pPr>
      <w:r w:rsidRPr="00E14102">
        <w:rPr>
          <w:color w:val="0070C0"/>
          <w:sz w:val="16"/>
          <w:szCs w:val="16"/>
        </w:rPr>
        <w:t>Учебные воздушные бои проводились с самолетом И-15 при высоте полета автожира 1000 - 1500 метров, при его начальной ско</w:t>
      </w:r>
      <w:r w:rsidRPr="00E14102">
        <w:rPr>
          <w:color w:val="0070C0"/>
          <w:sz w:val="16"/>
          <w:szCs w:val="16"/>
        </w:rPr>
        <w:softHyphen/>
        <w:t>рости 165 км/ч с ее уменьшением до мини</w:t>
      </w:r>
      <w:r w:rsidRPr="00E14102">
        <w:rPr>
          <w:color w:val="0070C0"/>
          <w:sz w:val="16"/>
          <w:szCs w:val="16"/>
        </w:rPr>
        <w:softHyphen/>
        <w:t>мальной. Скорости истребителя не ограничи</w:t>
      </w:r>
      <w:r w:rsidRPr="00E14102">
        <w:rPr>
          <w:color w:val="0070C0"/>
          <w:sz w:val="16"/>
          <w:szCs w:val="16"/>
        </w:rPr>
        <w:softHyphen/>
        <w:t>вались. Дистанция начала атаки - 1000 мет</w:t>
      </w:r>
      <w:r w:rsidRPr="00E14102">
        <w:rPr>
          <w:color w:val="0070C0"/>
          <w:sz w:val="16"/>
          <w:szCs w:val="16"/>
        </w:rPr>
        <w:softHyphen/>
        <w:t>ров, выход - не ближе 150 м. Были опробова</w:t>
      </w:r>
      <w:r w:rsidRPr="00E14102">
        <w:rPr>
          <w:color w:val="0070C0"/>
          <w:sz w:val="16"/>
          <w:szCs w:val="16"/>
        </w:rPr>
        <w:softHyphen/>
        <w:t>ны самые разнообразные варианты нападения. Автожир атаковали сзади сверху с пре</w:t>
      </w:r>
      <w:r w:rsidRPr="00E14102">
        <w:rPr>
          <w:color w:val="0070C0"/>
          <w:sz w:val="16"/>
          <w:szCs w:val="16"/>
        </w:rPr>
        <w:softHyphen/>
        <w:t>вышением в 500 и 1000 метров, с различными углами пикирования, а также с выходом под хвост. Пробовали наносить удары спереди, как с превышением, так и снизу - с превыше</w:t>
      </w:r>
      <w:r w:rsidRPr="00E14102">
        <w:rPr>
          <w:color w:val="0070C0"/>
          <w:sz w:val="16"/>
          <w:szCs w:val="16"/>
        </w:rPr>
        <w:softHyphen/>
        <w:t>нием А-7 над истребителем на полкилометра. Были опробованы различные варианты атак сбоку, а также бой на виражах. В любом слу</w:t>
      </w:r>
      <w:r w:rsidRPr="00E14102">
        <w:rPr>
          <w:color w:val="0070C0"/>
          <w:sz w:val="16"/>
          <w:szCs w:val="16"/>
        </w:rPr>
        <w:softHyphen/>
        <w:t>чае, ротор создавал вокруг автожира доста</w:t>
      </w:r>
      <w:r w:rsidRPr="00E14102">
        <w:rPr>
          <w:color w:val="0070C0"/>
          <w:sz w:val="16"/>
          <w:szCs w:val="16"/>
        </w:rPr>
        <w:softHyphen/>
        <w:t>точно объемную мертвую зону. Тем не менее, нашлись и оригинальные способы защиты. В первую очередь это способность энергично сбрасывать скорость полета вплоть до мини</w:t>
      </w:r>
      <w:r w:rsidRPr="00E14102">
        <w:rPr>
          <w:color w:val="0070C0"/>
          <w:sz w:val="16"/>
          <w:szCs w:val="16"/>
        </w:rPr>
        <w:softHyphen/>
        <w:t>мальной, а также возможность резкого изме</w:t>
      </w:r>
      <w:r w:rsidRPr="00E14102">
        <w:rPr>
          <w:color w:val="0070C0"/>
          <w:sz w:val="16"/>
          <w:szCs w:val="16"/>
        </w:rPr>
        <w:softHyphen/>
        <w:t>нения направления полета. Умелое примене</w:t>
      </w:r>
      <w:r w:rsidRPr="00E14102">
        <w:rPr>
          <w:color w:val="0070C0"/>
          <w:sz w:val="16"/>
          <w:szCs w:val="16"/>
        </w:rPr>
        <w:softHyphen/>
        <w:t>ние этих приемов помогало если не сорвать атаку истребителя, то серьезно затруднить прицельную стрельбу. Способность автожи</w:t>
      </w:r>
      <w:r w:rsidRPr="00E14102">
        <w:rPr>
          <w:color w:val="0070C0"/>
          <w:sz w:val="16"/>
          <w:szCs w:val="16"/>
        </w:rPr>
        <w:softHyphen/>
        <w:t>ра выполнять глубокие виражи на скоростях около 90 км/ч не позволяла противнику успешно атаковать его на этом режиме. Кроме того, на дальних дистанциях было трудно определить направление полета авто</w:t>
      </w:r>
      <w:r w:rsidRPr="00E14102">
        <w:rPr>
          <w:color w:val="0070C0"/>
          <w:sz w:val="16"/>
          <w:szCs w:val="16"/>
        </w:rPr>
        <w:softHyphen/>
        <w:t>жира, а при наблюдении сверху серебристый аппарат легко терялся на фоне снега.</w:t>
      </w:r>
    </w:p>
    <w:p w14:paraId="2285889C" w14:textId="77777777" w:rsidR="00A15BC6" w:rsidRPr="00E14102" w:rsidRDefault="00A15BC6" w:rsidP="00E14102">
      <w:pPr>
        <w:jc w:val="both"/>
        <w:rPr>
          <w:color w:val="0070C0"/>
          <w:sz w:val="16"/>
          <w:szCs w:val="16"/>
        </w:rPr>
      </w:pPr>
      <w:r w:rsidRPr="00E14102">
        <w:rPr>
          <w:color w:val="0070C0"/>
          <w:sz w:val="16"/>
          <w:szCs w:val="16"/>
        </w:rPr>
        <w:t>Вооружение испытывали в конце програм</w:t>
      </w:r>
      <w:r w:rsidRPr="00E14102">
        <w:rPr>
          <w:color w:val="0070C0"/>
          <w:sz w:val="16"/>
          <w:szCs w:val="16"/>
        </w:rPr>
        <w:softHyphen/>
        <w:t>мы. Для стрельбы через винт на А-7 у правого борта на двух шкворнях был установлен пуле</w:t>
      </w:r>
      <w:r w:rsidRPr="00E14102">
        <w:rPr>
          <w:color w:val="0070C0"/>
          <w:sz w:val="16"/>
          <w:szCs w:val="16"/>
        </w:rPr>
        <w:softHyphen/>
        <w:t>мет ПВ-1 с прицелом 0П-1, синхронизатором типа «</w:t>
      </w:r>
      <w:r w:rsidRPr="00E14102">
        <w:rPr>
          <w:color w:val="0070C0"/>
          <w:sz w:val="16"/>
          <w:szCs w:val="16"/>
          <w:lang w:val="en-US"/>
        </w:rPr>
        <w:t>Z</w:t>
      </w:r>
      <w:r w:rsidRPr="00E14102">
        <w:rPr>
          <w:color w:val="0070C0"/>
          <w:sz w:val="16"/>
          <w:szCs w:val="16"/>
        </w:rPr>
        <w:t>» и спусковым механизмом ПУЛ-9. Регулировка оси ствола осуществлялась на заднем шкворне. Спереди приборной доски был жестко закреплен патронный ящик с бое</w:t>
      </w:r>
      <w:r w:rsidRPr="00E14102">
        <w:rPr>
          <w:color w:val="0070C0"/>
          <w:sz w:val="16"/>
          <w:szCs w:val="16"/>
        </w:rPr>
        <w:softHyphen/>
        <w:t>запасом 500 штук. Перед ним устанавливался ящик для сбора звеньев, гильзы выбрасыва</w:t>
      </w:r>
      <w:r w:rsidRPr="00E14102">
        <w:rPr>
          <w:color w:val="0070C0"/>
          <w:sz w:val="16"/>
          <w:szCs w:val="16"/>
        </w:rPr>
        <w:softHyphen/>
        <w:t>лись за борт снизу фюзеляжа. Заднюю полу</w:t>
      </w:r>
      <w:r w:rsidRPr="00E14102">
        <w:rPr>
          <w:color w:val="0070C0"/>
          <w:sz w:val="16"/>
          <w:szCs w:val="16"/>
        </w:rPr>
        <w:softHyphen/>
        <w:t>сферу защищала слегка доработанная турель ТУР-6, на которую мог устанавливаться пуле</w:t>
      </w:r>
      <w:r w:rsidRPr="00E14102">
        <w:rPr>
          <w:color w:val="0070C0"/>
          <w:sz w:val="16"/>
          <w:szCs w:val="16"/>
        </w:rPr>
        <w:softHyphen/>
        <w:t>мет ДА или спарка ДА-2. Для предотвращения прострела лопастей ротора подъем турели ограничили вкладышами в сегменты верти</w:t>
      </w:r>
      <w:r w:rsidRPr="00E14102">
        <w:rPr>
          <w:color w:val="0070C0"/>
          <w:sz w:val="16"/>
          <w:szCs w:val="16"/>
        </w:rPr>
        <w:softHyphen/>
        <w:t>кального подъема, кроме того, на дуге турели имелся откидной фиксатор. Подвесное сиденье летнаба крепилось на крючках к подвижному кольцу турели. Гнезда на 12 мага</w:t>
      </w:r>
      <w:r w:rsidRPr="00E14102">
        <w:rPr>
          <w:color w:val="0070C0"/>
          <w:sz w:val="16"/>
          <w:szCs w:val="16"/>
        </w:rPr>
        <w:softHyphen/>
        <w:t>зинов располагались в задней части кабины. 2 февраля переднюю установку отстреляли в тире завода №39, а на задней турели был про</w:t>
      </w:r>
      <w:r w:rsidRPr="00E14102">
        <w:rPr>
          <w:color w:val="0070C0"/>
          <w:sz w:val="16"/>
          <w:szCs w:val="16"/>
        </w:rPr>
        <w:softHyphen/>
        <w:t>веден замер углов обстрела. На «стрельбу» было выполнено два вылета, в которых опро</w:t>
      </w:r>
      <w:r w:rsidRPr="00E14102">
        <w:rPr>
          <w:color w:val="0070C0"/>
          <w:sz w:val="16"/>
          <w:szCs w:val="16"/>
        </w:rPr>
        <w:softHyphen/>
        <w:t>бовали обе установки. Всего был произведен 971 выстрел. Стрелковое вооружение автожи</w:t>
      </w:r>
      <w:r w:rsidRPr="00E14102">
        <w:rPr>
          <w:color w:val="0070C0"/>
          <w:sz w:val="16"/>
          <w:szCs w:val="16"/>
        </w:rPr>
        <w:softHyphen/>
        <w:t>ра признали соответствующим предъявлен</w:t>
      </w:r>
      <w:r w:rsidRPr="00E14102">
        <w:rPr>
          <w:color w:val="0070C0"/>
          <w:sz w:val="16"/>
          <w:szCs w:val="16"/>
        </w:rPr>
        <w:softHyphen/>
        <w:t>ным техническим требованиям.</w:t>
      </w:r>
    </w:p>
    <w:p w14:paraId="77D67F5E" w14:textId="77777777" w:rsidR="00A15BC6" w:rsidRPr="00E14102" w:rsidRDefault="00A15BC6" w:rsidP="00E14102">
      <w:pPr>
        <w:jc w:val="both"/>
        <w:rPr>
          <w:color w:val="0070C0"/>
          <w:sz w:val="16"/>
          <w:szCs w:val="16"/>
        </w:rPr>
      </w:pPr>
      <w:r w:rsidRPr="00E14102">
        <w:rPr>
          <w:color w:val="0070C0"/>
          <w:sz w:val="16"/>
          <w:szCs w:val="16"/>
        </w:rPr>
        <w:t>Так уж получилось, что из-за вмешатель</w:t>
      </w:r>
      <w:r w:rsidRPr="00E14102">
        <w:rPr>
          <w:color w:val="0070C0"/>
          <w:sz w:val="16"/>
          <w:szCs w:val="16"/>
        </w:rPr>
        <w:softHyphen/>
        <w:t>ства Тухачевского самой важной частью испытаний оказалась отработка применения химического вооружения. Несмотря на то, что детальное описание работ поместили в совместный отчет НИИ ВВС и ЦАГИ, было оформлено еще три отдельных отчета: НИИ ВВС, 0ЭЛИД ЦАГИ и полевого отдела НИХИ. Саму установку разрабатывали в спешке, можно сказать, на коленке и из подручных материалов. В частности, передние узлы под</w:t>
      </w:r>
      <w:r w:rsidRPr="00E14102">
        <w:rPr>
          <w:color w:val="0070C0"/>
          <w:sz w:val="16"/>
          <w:szCs w:val="16"/>
        </w:rPr>
        <w:softHyphen/>
        <w:t>вески поставили от Р-б, а командный прибор в кабине летнаба взяли с С-62. ВАП-4М или как писали в отчете, ВАП-4 мод. решили не сбрасывать - времени на отработку такой системы просто не было. До этого автожи как оружие массового поражения никто специ</w:t>
      </w:r>
      <w:r w:rsidRPr="00E14102">
        <w:rPr>
          <w:color w:val="0070C0"/>
          <w:sz w:val="16"/>
          <w:szCs w:val="16"/>
        </w:rPr>
        <w:softHyphen/>
        <w:t>ально не рассматривал (19868).</w:t>
      </w:r>
    </w:p>
    <w:p w14:paraId="7AE129EA" w14:textId="77777777" w:rsidR="00A15BC6" w:rsidRPr="00E14102" w:rsidRDefault="00A15BC6" w:rsidP="00E14102">
      <w:pPr>
        <w:shd w:val="clear" w:color="auto" w:fill="FFFFFF"/>
        <w:jc w:val="both"/>
        <w:rPr>
          <w:color w:val="0070C0"/>
          <w:sz w:val="16"/>
          <w:szCs w:val="16"/>
        </w:rPr>
      </w:pPr>
    </w:p>
    <w:p w14:paraId="2B7C7D05" w14:textId="77777777" w:rsidR="00A15BC6" w:rsidRPr="00E14102" w:rsidRDefault="00A15BC6"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61D4E249" w14:textId="77777777" w:rsidR="00A15BC6" w:rsidRPr="00E14102" w:rsidRDefault="00A15BC6" w:rsidP="00E14102">
      <w:pPr>
        <w:autoSpaceDE w:val="0"/>
        <w:autoSpaceDN w:val="0"/>
        <w:adjustRightInd w:val="0"/>
        <w:jc w:val="both"/>
        <w:rPr>
          <w:iCs/>
          <w:color w:val="000000" w:themeColor="text1"/>
          <w:sz w:val="16"/>
          <w:szCs w:val="16"/>
        </w:rPr>
      </w:pPr>
    </w:p>
    <w:p w14:paraId="6911B867" w14:textId="77777777" w:rsidR="00A15BC6" w:rsidRPr="00E14102" w:rsidRDefault="00A15BC6" w:rsidP="00E14102">
      <w:pPr>
        <w:jc w:val="both"/>
        <w:rPr>
          <w:color w:val="0070C0"/>
          <w:sz w:val="16"/>
          <w:szCs w:val="16"/>
        </w:rPr>
      </w:pPr>
      <w:r w:rsidRPr="00E14102">
        <w:rPr>
          <w:color w:val="0070C0"/>
          <w:sz w:val="16"/>
          <w:szCs w:val="16"/>
        </w:rPr>
        <w:t>Зимой и летом-осенью 1935 года – в два этапа прототип истребителя ИП-1 с обозначе</w:t>
      </w:r>
      <w:r w:rsidRPr="00E14102">
        <w:rPr>
          <w:color w:val="0070C0"/>
          <w:sz w:val="16"/>
          <w:szCs w:val="16"/>
        </w:rPr>
        <w:softHyphen/>
        <w:t>нием ДГ-52 на руле направления про</w:t>
      </w:r>
      <w:r w:rsidRPr="00E14102">
        <w:rPr>
          <w:color w:val="0070C0"/>
          <w:sz w:val="16"/>
          <w:szCs w:val="16"/>
        </w:rPr>
        <w:softHyphen/>
        <w:t>ходил испытания в НИИ ВВС. Однако в обоих случаях до полетов на штопор дело не дошло. Тут не было злого умысла или фирмачества, просто в те годы такие испыта</w:t>
      </w:r>
      <w:r w:rsidRPr="00E14102">
        <w:rPr>
          <w:color w:val="0070C0"/>
          <w:sz w:val="16"/>
          <w:szCs w:val="16"/>
        </w:rPr>
        <w:softHyphen/>
        <w:t>ния не считали, как говорится, элементом обязательной программы, да к тому же, они сопряжены с высокой вероятностью потери машины, и их поэтому, как правило, сдвигают в конец программы полетов, а в данном слу</w:t>
      </w:r>
      <w:r w:rsidRPr="00E14102">
        <w:rPr>
          <w:color w:val="0070C0"/>
          <w:sz w:val="16"/>
          <w:szCs w:val="16"/>
        </w:rPr>
        <w:softHyphen/>
        <w:t>чае программу до конца оба раза выполнить не удалось. Зимой самолет отправился в ремонт после второй посадки с невыпущен</w:t>
      </w:r>
      <w:r w:rsidRPr="00E14102">
        <w:rPr>
          <w:color w:val="0070C0"/>
          <w:sz w:val="16"/>
          <w:szCs w:val="16"/>
        </w:rPr>
        <w:softHyphen/>
        <w:t>ными шасси, а летние испытания прекратили по причине многочисленных повреждений обшивки и конструкции крыла и оперения в результате интенсивных полетов и стрельбы из динамореактивных пушек (19863).</w:t>
      </w:r>
    </w:p>
    <w:p w14:paraId="67DC42D3" w14:textId="77777777" w:rsidR="00A15BC6" w:rsidRPr="00E14102" w:rsidRDefault="00A15BC6" w:rsidP="00E14102">
      <w:pPr>
        <w:jc w:val="both"/>
        <w:rPr>
          <w:color w:val="0070C0"/>
          <w:sz w:val="16"/>
          <w:szCs w:val="16"/>
        </w:rPr>
      </w:pPr>
    </w:p>
    <w:p w14:paraId="07FC78B7" w14:textId="77777777" w:rsidR="00A15BC6" w:rsidRPr="00E14102" w:rsidRDefault="00A15BC6" w:rsidP="00E14102">
      <w:pPr>
        <w:jc w:val="both"/>
        <w:rPr>
          <w:color w:val="0070C0"/>
          <w:sz w:val="16"/>
          <w:szCs w:val="16"/>
        </w:rPr>
      </w:pPr>
      <w:r w:rsidRPr="00E14102">
        <w:rPr>
          <w:color w:val="0070C0"/>
          <w:sz w:val="16"/>
          <w:szCs w:val="16"/>
        </w:rPr>
        <w:t>Зимой 1935-1936 самолет прототип истребителя ИП-1 с обозначе</w:t>
      </w:r>
      <w:r w:rsidRPr="00E14102">
        <w:rPr>
          <w:color w:val="0070C0"/>
          <w:sz w:val="16"/>
          <w:szCs w:val="16"/>
        </w:rPr>
        <w:softHyphen/>
        <w:t>нием ДГ-52 на руле направления отправился в ремонт после второй посадки с невыпущен</w:t>
      </w:r>
      <w:r w:rsidRPr="00E14102">
        <w:rPr>
          <w:color w:val="0070C0"/>
          <w:sz w:val="16"/>
          <w:szCs w:val="16"/>
        </w:rPr>
        <w:softHyphen/>
        <w:t>ными шасси, а летние испытания прекратили по причине многочисленных повреждений обшивки и конструкции крыла и оперения в результате интенсивных полетов и стрельбы из динамореактивных пушек (19863).</w:t>
      </w:r>
    </w:p>
    <w:p w14:paraId="7BAFB2B5" w14:textId="77777777" w:rsidR="00A15BC6" w:rsidRPr="00E14102" w:rsidRDefault="00A15BC6" w:rsidP="00E14102">
      <w:pPr>
        <w:jc w:val="both"/>
        <w:rPr>
          <w:color w:val="0070C0"/>
          <w:sz w:val="16"/>
          <w:szCs w:val="16"/>
        </w:rPr>
      </w:pPr>
    </w:p>
    <w:p w14:paraId="485F2C9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63EE6B7" w14:textId="77777777" w:rsidR="00D4105E" w:rsidRPr="00E14102" w:rsidRDefault="00D4105E" w:rsidP="00E14102">
      <w:pPr>
        <w:autoSpaceDE w:val="0"/>
        <w:autoSpaceDN w:val="0"/>
        <w:adjustRightInd w:val="0"/>
        <w:jc w:val="both"/>
        <w:rPr>
          <w:iCs/>
          <w:color w:val="000000" w:themeColor="text1"/>
          <w:sz w:val="16"/>
          <w:szCs w:val="16"/>
        </w:rPr>
      </w:pPr>
    </w:p>
    <w:p w14:paraId="3625BA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С. В. Ильюшин в инициативном порядке предложил пассажирский вариант бомбардировщика ББ-2 (ЦКБ-30). Проект был достаточно детально проработан:</w:t>
      </w:r>
    </w:p>
    <w:p w14:paraId="60838B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Секретно. Экз. № 1</w:t>
      </w:r>
    </w:p>
    <w:p w14:paraId="317EFC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Компоновка и конструкция военного самолета ББ-2 задумана так, чтобы без переделок самолет мог быть переоборудован (а не перестроен) из военного варианта в пассажирский.</w:t>
      </w:r>
    </w:p>
    <w:p w14:paraId="6F9E8C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Вся конструкция самолета при переходе из военного варианта в гражданский и наоборот, из гражданского в военный, остается неизменной, таким образом производственный процесс остается для обоих вариантов идентичным.</w:t>
      </w:r>
    </w:p>
    <w:p w14:paraId="308748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Конструкция предусматривает постановку двух типов моторов:</w:t>
      </w:r>
    </w:p>
    <w:p w14:paraId="510566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“Гном-Рон” К-14 и Райт-Циклон-3.</w:t>
      </w:r>
    </w:p>
    <w:p w14:paraId="573E8F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Данные самолета с указанными моторами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E3599D" w:rsidRPr="00E14102" w14:paraId="2FFBF560" w14:textId="77777777">
        <w:tc>
          <w:tcPr>
            <w:tcW w:w="2840" w:type="dxa"/>
            <w:tcBorders>
              <w:top w:val="single" w:sz="12" w:space="0" w:color="auto"/>
            </w:tcBorders>
          </w:tcPr>
          <w:p w14:paraId="162400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Данные</w:t>
            </w:r>
          </w:p>
        </w:tc>
        <w:tc>
          <w:tcPr>
            <w:tcW w:w="2840" w:type="dxa"/>
            <w:tcBorders>
              <w:top w:val="single" w:sz="12" w:space="0" w:color="auto"/>
            </w:tcBorders>
          </w:tcPr>
          <w:p w14:paraId="7E2164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Гном-Рон К-14</w:t>
            </w:r>
          </w:p>
        </w:tc>
        <w:tc>
          <w:tcPr>
            <w:tcW w:w="2840" w:type="dxa"/>
            <w:tcBorders>
              <w:top w:val="single" w:sz="12" w:space="0" w:color="auto"/>
            </w:tcBorders>
          </w:tcPr>
          <w:p w14:paraId="621A8F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Райт-Циклон-3</w:t>
            </w:r>
          </w:p>
        </w:tc>
      </w:tr>
      <w:tr w:rsidR="00E3599D" w:rsidRPr="00E14102" w14:paraId="24671375" w14:textId="77777777">
        <w:tc>
          <w:tcPr>
            <w:tcW w:w="2840" w:type="dxa"/>
          </w:tcPr>
          <w:p w14:paraId="70013B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Экипаж</w:t>
            </w:r>
          </w:p>
        </w:tc>
        <w:tc>
          <w:tcPr>
            <w:tcW w:w="2840" w:type="dxa"/>
          </w:tcPr>
          <w:p w14:paraId="7A674A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c>
          <w:tcPr>
            <w:tcW w:w="2840" w:type="dxa"/>
          </w:tcPr>
          <w:p w14:paraId="679399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r>
      <w:tr w:rsidR="00E3599D" w:rsidRPr="00E14102" w14:paraId="27344777" w14:textId="77777777">
        <w:tc>
          <w:tcPr>
            <w:tcW w:w="2840" w:type="dxa"/>
          </w:tcPr>
          <w:p w14:paraId="216242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Пассажиров</w:t>
            </w:r>
          </w:p>
        </w:tc>
        <w:tc>
          <w:tcPr>
            <w:tcW w:w="2840" w:type="dxa"/>
          </w:tcPr>
          <w:p w14:paraId="519932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w:t>
            </w:r>
          </w:p>
        </w:tc>
        <w:tc>
          <w:tcPr>
            <w:tcW w:w="2840" w:type="dxa"/>
          </w:tcPr>
          <w:p w14:paraId="7D39A3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w:t>
            </w:r>
          </w:p>
        </w:tc>
      </w:tr>
      <w:tr w:rsidR="00E3599D" w:rsidRPr="00E14102" w14:paraId="6E3CD7FA" w14:textId="77777777">
        <w:tc>
          <w:tcPr>
            <w:tcW w:w="2840" w:type="dxa"/>
          </w:tcPr>
          <w:p w14:paraId="1BA65A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Скорость максим.на высоте 3000 м</w:t>
            </w:r>
          </w:p>
        </w:tc>
        <w:tc>
          <w:tcPr>
            <w:tcW w:w="2840" w:type="dxa"/>
          </w:tcPr>
          <w:p w14:paraId="57E30D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350-375 на высоте 4000 м</w:t>
            </w:r>
          </w:p>
        </w:tc>
        <w:tc>
          <w:tcPr>
            <w:tcW w:w="2840" w:type="dxa"/>
          </w:tcPr>
          <w:p w14:paraId="3C784D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385-410</w:t>
            </w:r>
          </w:p>
        </w:tc>
      </w:tr>
      <w:tr w:rsidR="00E3599D" w:rsidRPr="00E14102" w14:paraId="0593C162" w14:textId="77777777">
        <w:tc>
          <w:tcPr>
            <w:tcW w:w="2840" w:type="dxa"/>
          </w:tcPr>
          <w:p w14:paraId="2F3680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Потолок</w:t>
            </w:r>
          </w:p>
        </w:tc>
        <w:tc>
          <w:tcPr>
            <w:tcW w:w="2840" w:type="dxa"/>
          </w:tcPr>
          <w:p w14:paraId="58FD5F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8000</w:t>
            </w:r>
          </w:p>
        </w:tc>
        <w:tc>
          <w:tcPr>
            <w:tcW w:w="2840" w:type="dxa"/>
          </w:tcPr>
          <w:p w14:paraId="0B4232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6500</w:t>
            </w:r>
          </w:p>
        </w:tc>
      </w:tr>
      <w:tr w:rsidR="00E3599D" w:rsidRPr="00E14102" w14:paraId="2A98BFBD" w14:textId="77777777">
        <w:tc>
          <w:tcPr>
            <w:tcW w:w="2840" w:type="dxa"/>
          </w:tcPr>
          <w:p w14:paraId="106E6F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Посадочная скорость при взлете</w:t>
            </w:r>
          </w:p>
        </w:tc>
        <w:tc>
          <w:tcPr>
            <w:tcW w:w="2840" w:type="dxa"/>
          </w:tcPr>
          <w:p w14:paraId="77BECD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w:t>
            </w:r>
          </w:p>
        </w:tc>
        <w:tc>
          <w:tcPr>
            <w:tcW w:w="2840" w:type="dxa"/>
          </w:tcPr>
          <w:p w14:paraId="6DD54A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96</w:t>
            </w:r>
          </w:p>
        </w:tc>
      </w:tr>
      <w:tr w:rsidR="00E3599D" w:rsidRPr="00E14102" w14:paraId="64ABEBD3" w14:textId="77777777">
        <w:tc>
          <w:tcPr>
            <w:tcW w:w="2840" w:type="dxa"/>
          </w:tcPr>
          <w:p w14:paraId="41006D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Посадочная скорость при выгоревшем горючем</w:t>
            </w:r>
          </w:p>
        </w:tc>
        <w:tc>
          <w:tcPr>
            <w:tcW w:w="2840" w:type="dxa"/>
          </w:tcPr>
          <w:p w14:paraId="4863AE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w:t>
            </w:r>
          </w:p>
        </w:tc>
        <w:tc>
          <w:tcPr>
            <w:tcW w:w="2840" w:type="dxa"/>
          </w:tcPr>
          <w:p w14:paraId="333072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91</w:t>
            </w:r>
          </w:p>
        </w:tc>
      </w:tr>
      <w:tr w:rsidR="00E3599D" w:rsidRPr="00E14102" w14:paraId="3B19BA47" w14:textId="77777777">
        <w:tc>
          <w:tcPr>
            <w:tcW w:w="2840" w:type="dxa"/>
          </w:tcPr>
          <w:p w14:paraId="3282F8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Нормальная дальность</w:t>
            </w:r>
          </w:p>
        </w:tc>
        <w:tc>
          <w:tcPr>
            <w:tcW w:w="2840" w:type="dxa"/>
          </w:tcPr>
          <w:p w14:paraId="658295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w:t>
            </w:r>
          </w:p>
        </w:tc>
        <w:tc>
          <w:tcPr>
            <w:tcW w:w="2840" w:type="dxa"/>
          </w:tcPr>
          <w:p w14:paraId="5DAFC4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850</w:t>
            </w:r>
          </w:p>
        </w:tc>
      </w:tr>
      <w:tr w:rsidR="00E3599D" w:rsidRPr="00E14102" w14:paraId="4F1CF2E8" w14:textId="77777777">
        <w:tc>
          <w:tcPr>
            <w:tcW w:w="2840" w:type="dxa"/>
            <w:tcBorders>
              <w:bottom w:val="single" w:sz="12" w:space="0" w:color="auto"/>
            </w:tcBorders>
          </w:tcPr>
          <w:p w14:paraId="650C18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 Дальность с перегрузкой</w:t>
            </w:r>
          </w:p>
        </w:tc>
        <w:tc>
          <w:tcPr>
            <w:tcW w:w="2840" w:type="dxa"/>
            <w:tcBorders>
              <w:bottom w:val="single" w:sz="12" w:space="0" w:color="auto"/>
            </w:tcBorders>
          </w:tcPr>
          <w:p w14:paraId="1C24FB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tc>
        <w:tc>
          <w:tcPr>
            <w:tcW w:w="2840" w:type="dxa"/>
            <w:tcBorders>
              <w:bottom w:val="single" w:sz="12" w:space="0" w:color="auto"/>
            </w:tcBorders>
          </w:tcPr>
          <w:p w14:paraId="51D0B7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tc>
      </w:tr>
    </w:tbl>
    <w:p w14:paraId="249F91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сем прилагается краткое техническое описание самолета. Начальник бригады № 3 С. Ильюшин</w:t>
      </w:r>
    </w:p>
    <w:p w14:paraId="18A5CE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Секретно, Экз. № 1</w:t>
      </w:r>
    </w:p>
    <w:p w14:paraId="2BEB42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Краткое техническое описание самолета ББ-2 -2 “Гном-Рон” К-14</w:t>
      </w:r>
    </w:p>
    <w:p w14:paraId="7B5836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ББ-2 2К-14 представляет собой моноплан с низкорасположенным крылом цельнометаллической конструкции. Фюзеляж на первый летный экземпляр самолета делается цельнодеревянный, каркас которого состоит из стрингеров, лонжеронов и поперечных клееных фанерных шпангоутов.</w:t>
      </w:r>
    </w:p>
    <w:p w14:paraId="022298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Обшивка из фанерного шпона. На втором летном экземпляре будет цельнометаллический фюзеляж целиком из супералюминия с жесткой обшивкой. Оперение цельнометаллическое - дюралюминиевое.</w:t>
      </w:r>
    </w:p>
    <w:p w14:paraId="043731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Крыло</w:t>
      </w:r>
    </w:p>
    <w:p w14:paraId="547E76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Крыло состоит из пяти частей. Средняя часть - центроплан, - жестко укреплен к фюзеляжу и составляет с ним одно целое. Размер центроплана таков, что он может вместе с фюзеляжем входить в габариты железной дороги.</w:t>
      </w:r>
    </w:p>
    <w:p w14:paraId="12A4DF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Требование обязательной первозки самолета по железной дороге вызвало необходимость разрезать крыло еще в одном месте, так как иначе все моторное хозяйство и шасси находились бы вместе с консолью и таким образом создали бы все вытекающие при этом неудобства, связанные со сборкой и разборкой самолета.</w:t>
      </w:r>
    </w:p>
    <w:p w14:paraId="5A31DA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крыло состоит из центральной части и двух примыкающих к нему отсеков, на которых крепятся шасси и моторная установка, и двух консолей.</w:t>
      </w:r>
    </w:p>
    <w:p w14:paraId="459963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Крыло состоит из двух лонжеронов из закаленной хромомолибде-новой стали форменного типа. Каркас крыла состоит из набора равно-силовых нервюр и продольных стрингеров. В местах стыка консолей и моторных отсеков к центроплану жесткая обшика будет соединена для того, чтобы она работала на всем размахе.</w:t>
      </w:r>
    </w:p>
    <w:p w14:paraId="28828C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Обшивка гладкая с потайной клепкой. Нервюры и обшивка - из супердюраля. Между продольной осью самолета и внутренним концом элерона расположены щитки для уменьшения посадочной скорости.</w:t>
      </w:r>
    </w:p>
    <w:p w14:paraId="335ED2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Профиль крыла - CLARC Y 15, толщина у корня крыла - 16%, на конце крыла - 10%. Элероны не щелевые. Разгрузка от шарнирных моментов достигается с помощью флетнеров.</w:t>
      </w:r>
    </w:p>
    <w:p w14:paraId="57CCEA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Фюзеляж</w:t>
      </w:r>
    </w:p>
    <w:p w14:paraId="6B5AF4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Фюзеляж состоит из пяти продольных лонжеронов, системы стрингеров и поперечного набора, состоящего из клееных фанерных с деревом рам. Покрытие фюзеляжа - шпон 4,5 и б слоев шпона. Киль составляет одно целое с фюзеляжем.</w:t>
      </w:r>
    </w:p>
    <w:p w14:paraId="1B5199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Шасси</w:t>
      </w:r>
    </w:p>
    <w:p w14:paraId="24850E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Шасси убирающееся назад по потоку. Уборка и выпуск шасси производятся посредством гидравлической системы. Механизм уборки состоит из цилиндра и штока непосредственно действующего на рычаг, ось вращения которого совпадает с осью вращения шасси. На передний удар усилие воспринимается подкосом, идущим в основном от рамы шасси к форменной корзинке крыла. На этих подкосах имеются ползуны, которые в верхнем убранном положении и в нижнем выпущенном положении имеют замки пушечного типа, которые посредством механической передачи могут быть открываемы и закрываемы.</w:t>
      </w:r>
    </w:p>
    <w:p w14:paraId="1F9A9D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Предусмотрен аварийный выпуск шасси.</w:t>
      </w:r>
    </w:p>
    <w:p w14:paraId="099FA7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том случае, когда откажет работать основной механизм по выпуску шасси - гидравлический, тогда посредством механизма, состоящего из барабана с рукояткой вращения в кабине летчика и тросов, проходящих через систему роликов, осуществляется выпуск шасси.</w:t>
      </w:r>
    </w:p>
    <w:p w14:paraId="4CF629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Система аморитизации олеопневматическая. Колесо - тормозное, 900х200 мм. Все предусмотрено для того, чтобы в случае возможных в дальнейшем больших перегрузок самолета можно было бы заменить переднюю раму шасси и подкосы для колеса размером 1100х250 мм.</w:t>
      </w:r>
    </w:p>
    <w:p w14:paraId="1A9F80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Винто-моторная группа</w:t>
      </w:r>
    </w:p>
    <w:p w14:paraId="74071E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Моторы “Гном-Рон” К-14 помещены на крыльях. Ось тяги винта помещена на 75 мм ниже хорды крыла. Мотор окопотирован капотом НАКА. Масляные баки помещены за мотором. Бензиновая система состоит из шести баков, размещенных: два в центроплане и один в моторном отсеке. Масляный радиатор будет размещен радиально вокруг нижней части редуктора мотора. Заливка системы перед запуском будет осуществляться самотеком из бачка, находящегося в фюзеляже, в коке обтекания за головой летчика.</w:t>
      </w:r>
    </w:p>
    <w:p w14:paraId="501D1D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Хвостовое оперение</w:t>
      </w:r>
    </w:p>
    <w:p w14:paraId="07F170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Хвостовое оперение состоит из неподвижного закрепленного стабилизатора, могущего регулироваться лишь на земле, и двух рулей высоты, снабженных для разгрузки от шарнирных моментов флетнерами.</w:t>
      </w:r>
    </w:p>
    <w:p w14:paraId="5480DE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Лонжероны стабилизатора - передний и задний, - из дюралюминиевых труб, форменные, клепаной конструкции. Обшивка стабилизатора гладкая, жесткая. Руль высоты имеет полутрубчатого типа лонжероны, работающие на кручение. Обшивка руля высоты будет полотняная.</w:t>
      </w:r>
    </w:p>
    <w:p w14:paraId="6ED695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Киль составляет одно целое с фюзеляжем. Руль поворота разгружен от шарнирных моментов флетнером и имеет конструкцию, аналогичную рулю высоты. Все кабанчики спрятаны внутри фюзеляжа.</w:t>
      </w:r>
    </w:p>
    <w:p w14:paraId="3937A5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Костыль</w:t>
      </w:r>
    </w:p>
    <w:p w14:paraId="26E328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Костыль имеет олеопневматическую амортизацию, находится на последней жесткой раме фюзеляжа, на которую одевается съемный выколотый каркас, открывая таким образом доступ для осмотра костыля и всех тяг, идущих от руля глубины и руля поворота, а также крепление к фюзеляжу заднего лонжерона стабилизатора.</w:t>
      </w:r>
    </w:p>
    <w:p w14:paraId="7384D5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бригады № 3 ЦКБ з-да № 39 Сер. Ильюшин (9969).</w:t>
      </w:r>
    </w:p>
    <w:p w14:paraId="4A05AB28" w14:textId="77777777" w:rsidR="00D4105E" w:rsidRPr="00E14102" w:rsidRDefault="00D4105E" w:rsidP="00E14102">
      <w:pPr>
        <w:autoSpaceDE w:val="0"/>
        <w:autoSpaceDN w:val="0"/>
        <w:adjustRightInd w:val="0"/>
        <w:jc w:val="both"/>
        <w:rPr>
          <w:color w:val="000000" w:themeColor="text1"/>
          <w:sz w:val="16"/>
          <w:szCs w:val="16"/>
        </w:rPr>
      </w:pPr>
    </w:p>
    <w:p w14:paraId="5683F39F"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 xml:space="preserve">В 1935 году С. В. Ильюшин в инициативном порядке предложил пассажирский вариант бомбардировщика ББ-2 (ЦКБ-30). Проект был проработан в первом приближении, о чем свидетельствуют найденные документы. </w:t>
      </w:r>
    </w:p>
    <w:p w14:paraId="1F260FA7"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 xml:space="preserve">Экз. N 1 </w:t>
      </w:r>
    </w:p>
    <w:p w14:paraId="12333AEF"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Компоновка и конструкция военного самолета ББ-2 задумана так, чтобы без переделок самолет мог быть переоборудован (а не перестроен) из военного варианта в пассажирский.</w:t>
      </w:r>
    </w:p>
    <w:p w14:paraId="52689E51"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Вся конструкция самолета при переходе из военного варианта в гражданский и наоборот, из гражданского в военный, остается неизменной, таким образом производственный процесс остается для обоих вариантов идентичным.</w:t>
      </w:r>
    </w:p>
    <w:p w14:paraId="128E6BCF"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Конструкция предусматривает постановку двух типов моторов: "Гном-Рон" К-14 и "Райт-Циклон" Ф-3.</w:t>
      </w:r>
    </w:p>
    <w:p w14:paraId="7CCAAAA1"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Данные самолета с указанными моторами следующие: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
        <w:gridCol w:w="3489"/>
        <w:gridCol w:w="1244"/>
        <w:gridCol w:w="1409"/>
      </w:tblGrid>
      <w:tr w:rsidR="00E3599D" w:rsidRPr="00E14102" w14:paraId="413FDBC6" w14:textId="77777777" w:rsidTr="001B27B4">
        <w:tc>
          <w:tcPr>
            <w:tcW w:w="0" w:type="auto"/>
            <w:shd w:val="clear" w:color="auto" w:fill="auto"/>
            <w:hideMark/>
          </w:tcPr>
          <w:p w14:paraId="0600D8CE" w14:textId="77777777" w:rsidR="009B093F" w:rsidRPr="00E14102" w:rsidRDefault="009B093F" w:rsidP="00E14102">
            <w:pPr>
              <w:shd w:val="clear" w:color="auto" w:fill="FFFFFF"/>
              <w:jc w:val="both"/>
              <w:rPr>
                <w:color w:val="000000" w:themeColor="text1"/>
                <w:sz w:val="16"/>
                <w:szCs w:val="16"/>
              </w:rPr>
            </w:pPr>
          </w:p>
        </w:tc>
        <w:tc>
          <w:tcPr>
            <w:tcW w:w="0" w:type="auto"/>
            <w:shd w:val="clear" w:color="auto" w:fill="auto"/>
            <w:hideMark/>
          </w:tcPr>
          <w:p w14:paraId="698A031E" w14:textId="77777777" w:rsidR="009B093F" w:rsidRPr="00E14102" w:rsidRDefault="009B093F" w:rsidP="00E14102">
            <w:pPr>
              <w:jc w:val="both"/>
              <w:rPr>
                <w:color w:val="000000" w:themeColor="text1"/>
                <w:sz w:val="16"/>
                <w:szCs w:val="16"/>
              </w:rPr>
            </w:pPr>
            <w:r w:rsidRPr="00E14102">
              <w:rPr>
                <w:color w:val="000000" w:themeColor="text1"/>
                <w:sz w:val="16"/>
                <w:szCs w:val="16"/>
              </w:rPr>
              <w:t>Данные</w:t>
            </w:r>
          </w:p>
        </w:tc>
        <w:tc>
          <w:tcPr>
            <w:tcW w:w="0" w:type="auto"/>
            <w:shd w:val="clear" w:color="auto" w:fill="auto"/>
            <w:hideMark/>
          </w:tcPr>
          <w:p w14:paraId="6EA67D26" w14:textId="77777777" w:rsidR="009B093F" w:rsidRPr="00E14102" w:rsidRDefault="009B093F" w:rsidP="00E14102">
            <w:pPr>
              <w:jc w:val="both"/>
              <w:rPr>
                <w:color w:val="000000" w:themeColor="text1"/>
                <w:sz w:val="16"/>
                <w:szCs w:val="16"/>
              </w:rPr>
            </w:pPr>
            <w:r w:rsidRPr="00E14102">
              <w:rPr>
                <w:color w:val="000000" w:themeColor="text1"/>
                <w:sz w:val="16"/>
                <w:szCs w:val="16"/>
              </w:rPr>
              <w:t>Гном-Рон К-14</w:t>
            </w:r>
          </w:p>
        </w:tc>
        <w:tc>
          <w:tcPr>
            <w:tcW w:w="0" w:type="auto"/>
            <w:shd w:val="clear" w:color="auto" w:fill="auto"/>
            <w:hideMark/>
          </w:tcPr>
          <w:p w14:paraId="041C0030" w14:textId="77777777" w:rsidR="009B093F" w:rsidRPr="00E14102" w:rsidRDefault="009B093F" w:rsidP="00E14102">
            <w:pPr>
              <w:jc w:val="both"/>
              <w:rPr>
                <w:color w:val="000000" w:themeColor="text1"/>
                <w:sz w:val="16"/>
                <w:szCs w:val="16"/>
              </w:rPr>
            </w:pPr>
            <w:r w:rsidRPr="00E14102">
              <w:rPr>
                <w:color w:val="000000" w:themeColor="text1"/>
                <w:sz w:val="16"/>
                <w:szCs w:val="16"/>
              </w:rPr>
              <w:t>Райт-Циклон Ф-3</w:t>
            </w:r>
          </w:p>
        </w:tc>
      </w:tr>
      <w:tr w:rsidR="00E3599D" w:rsidRPr="00E14102" w14:paraId="31EED70E" w14:textId="77777777" w:rsidTr="001B27B4">
        <w:tc>
          <w:tcPr>
            <w:tcW w:w="0" w:type="auto"/>
            <w:shd w:val="clear" w:color="auto" w:fill="auto"/>
            <w:hideMark/>
          </w:tcPr>
          <w:p w14:paraId="49DF0675" w14:textId="77777777" w:rsidR="009B093F" w:rsidRPr="00E14102" w:rsidRDefault="009B093F" w:rsidP="00E14102">
            <w:pPr>
              <w:jc w:val="both"/>
              <w:rPr>
                <w:color w:val="000000" w:themeColor="text1"/>
                <w:sz w:val="16"/>
                <w:szCs w:val="16"/>
              </w:rPr>
            </w:pPr>
            <w:r w:rsidRPr="00E14102">
              <w:rPr>
                <w:color w:val="000000" w:themeColor="text1"/>
                <w:sz w:val="16"/>
                <w:szCs w:val="16"/>
              </w:rPr>
              <w:t>1.</w:t>
            </w:r>
          </w:p>
        </w:tc>
        <w:tc>
          <w:tcPr>
            <w:tcW w:w="0" w:type="auto"/>
            <w:shd w:val="clear" w:color="auto" w:fill="auto"/>
            <w:hideMark/>
          </w:tcPr>
          <w:p w14:paraId="0C0793F1" w14:textId="77777777" w:rsidR="009B093F" w:rsidRPr="00E14102" w:rsidRDefault="009B093F" w:rsidP="00E14102">
            <w:pPr>
              <w:jc w:val="both"/>
              <w:rPr>
                <w:color w:val="000000" w:themeColor="text1"/>
                <w:sz w:val="16"/>
                <w:szCs w:val="16"/>
              </w:rPr>
            </w:pPr>
            <w:r w:rsidRPr="00E14102">
              <w:rPr>
                <w:color w:val="000000" w:themeColor="text1"/>
                <w:sz w:val="16"/>
                <w:szCs w:val="16"/>
              </w:rPr>
              <w:t>Экипаж</w:t>
            </w:r>
          </w:p>
        </w:tc>
        <w:tc>
          <w:tcPr>
            <w:tcW w:w="0" w:type="auto"/>
            <w:shd w:val="clear" w:color="auto" w:fill="auto"/>
            <w:hideMark/>
          </w:tcPr>
          <w:p w14:paraId="19C34B70" w14:textId="77777777" w:rsidR="009B093F" w:rsidRPr="00E14102" w:rsidRDefault="009B093F" w:rsidP="00E14102">
            <w:pPr>
              <w:jc w:val="both"/>
              <w:rPr>
                <w:color w:val="000000" w:themeColor="text1"/>
                <w:sz w:val="16"/>
                <w:szCs w:val="16"/>
              </w:rPr>
            </w:pPr>
            <w:r w:rsidRPr="00E14102">
              <w:rPr>
                <w:color w:val="000000" w:themeColor="text1"/>
                <w:sz w:val="16"/>
                <w:szCs w:val="16"/>
              </w:rPr>
              <w:t>2</w:t>
            </w:r>
          </w:p>
        </w:tc>
        <w:tc>
          <w:tcPr>
            <w:tcW w:w="0" w:type="auto"/>
            <w:shd w:val="clear" w:color="auto" w:fill="auto"/>
            <w:hideMark/>
          </w:tcPr>
          <w:p w14:paraId="7431B4B7" w14:textId="77777777" w:rsidR="009B093F" w:rsidRPr="00E14102" w:rsidRDefault="009B093F" w:rsidP="00E14102">
            <w:pPr>
              <w:jc w:val="both"/>
              <w:rPr>
                <w:color w:val="000000" w:themeColor="text1"/>
                <w:sz w:val="16"/>
                <w:szCs w:val="16"/>
              </w:rPr>
            </w:pPr>
            <w:r w:rsidRPr="00E14102">
              <w:rPr>
                <w:color w:val="000000" w:themeColor="text1"/>
                <w:sz w:val="16"/>
                <w:szCs w:val="16"/>
              </w:rPr>
              <w:t>2</w:t>
            </w:r>
          </w:p>
        </w:tc>
      </w:tr>
      <w:tr w:rsidR="00E3599D" w:rsidRPr="00E14102" w14:paraId="4899E210" w14:textId="77777777" w:rsidTr="001B27B4">
        <w:tc>
          <w:tcPr>
            <w:tcW w:w="0" w:type="auto"/>
            <w:shd w:val="clear" w:color="auto" w:fill="auto"/>
            <w:hideMark/>
          </w:tcPr>
          <w:p w14:paraId="32BCF041" w14:textId="77777777" w:rsidR="009B093F" w:rsidRPr="00E14102" w:rsidRDefault="009B093F" w:rsidP="00E14102">
            <w:pPr>
              <w:jc w:val="both"/>
              <w:rPr>
                <w:color w:val="000000" w:themeColor="text1"/>
                <w:sz w:val="16"/>
                <w:szCs w:val="16"/>
              </w:rPr>
            </w:pPr>
            <w:r w:rsidRPr="00E14102">
              <w:rPr>
                <w:color w:val="000000" w:themeColor="text1"/>
                <w:sz w:val="16"/>
                <w:szCs w:val="16"/>
              </w:rPr>
              <w:t>2.</w:t>
            </w:r>
          </w:p>
        </w:tc>
        <w:tc>
          <w:tcPr>
            <w:tcW w:w="0" w:type="auto"/>
            <w:shd w:val="clear" w:color="auto" w:fill="auto"/>
            <w:hideMark/>
          </w:tcPr>
          <w:p w14:paraId="1559C1FC" w14:textId="77777777" w:rsidR="009B093F" w:rsidRPr="00E14102" w:rsidRDefault="009B093F" w:rsidP="00E14102">
            <w:pPr>
              <w:jc w:val="both"/>
              <w:rPr>
                <w:color w:val="000000" w:themeColor="text1"/>
                <w:sz w:val="16"/>
                <w:szCs w:val="16"/>
              </w:rPr>
            </w:pPr>
            <w:r w:rsidRPr="00E14102">
              <w:rPr>
                <w:color w:val="000000" w:themeColor="text1"/>
                <w:sz w:val="16"/>
                <w:szCs w:val="16"/>
              </w:rPr>
              <w:t>Пассажиров</w:t>
            </w:r>
          </w:p>
        </w:tc>
        <w:tc>
          <w:tcPr>
            <w:tcW w:w="0" w:type="auto"/>
            <w:shd w:val="clear" w:color="auto" w:fill="auto"/>
            <w:hideMark/>
          </w:tcPr>
          <w:p w14:paraId="2F73A841" w14:textId="77777777" w:rsidR="009B093F" w:rsidRPr="00E14102" w:rsidRDefault="009B093F" w:rsidP="00E14102">
            <w:pPr>
              <w:jc w:val="both"/>
              <w:rPr>
                <w:color w:val="000000" w:themeColor="text1"/>
                <w:sz w:val="16"/>
                <w:szCs w:val="16"/>
              </w:rPr>
            </w:pPr>
            <w:r w:rsidRPr="00E14102">
              <w:rPr>
                <w:color w:val="000000" w:themeColor="text1"/>
                <w:sz w:val="16"/>
                <w:szCs w:val="16"/>
              </w:rPr>
              <w:t>12</w:t>
            </w:r>
          </w:p>
        </w:tc>
        <w:tc>
          <w:tcPr>
            <w:tcW w:w="0" w:type="auto"/>
            <w:shd w:val="clear" w:color="auto" w:fill="auto"/>
            <w:hideMark/>
          </w:tcPr>
          <w:p w14:paraId="030A98F0" w14:textId="77777777" w:rsidR="009B093F" w:rsidRPr="00E14102" w:rsidRDefault="009B093F" w:rsidP="00E14102">
            <w:pPr>
              <w:jc w:val="both"/>
              <w:rPr>
                <w:color w:val="000000" w:themeColor="text1"/>
                <w:sz w:val="16"/>
                <w:szCs w:val="16"/>
              </w:rPr>
            </w:pPr>
            <w:r w:rsidRPr="00E14102">
              <w:rPr>
                <w:color w:val="000000" w:themeColor="text1"/>
                <w:sz w:val="16"/>
                <w:szCs w:val="16"/>
              </w:rPr>
              <w:t>12</w:t>
            </w:r>
          </w:p>
        </w:tc>
      </w:tr>
      <w:tr w:rsidR="00E3599D" w:rsidRPr="00E14102" w14:paraId="0B54B908" w14:textId="77777777" w:rsidTr="001B27B4">
        <w:tc>
          <w:tcPr>
            <w:tcW w:w="0" w:type="auto"/>
            <w:shd w:val="clear" w:color="auto" w:fill="auto"/>
            <w:hideMark/>
          </w:tcPr>
          <w:p w14:paraId="52826677" w14:textId="77777777" w:rsidR="009B093F" w:rsidRPr="00E14102" w:rsidRDefault="009B093F" w:rsidP="00E14102">
            <w:pPr>
              <w:jc w:val="both"/>
              <w:rPr>
                <w:color w:val="000000" w:themeColor="text1"/>
                <w:sz w:val="16"/>
                <w:szCs w:val="16"/>
              </w:rPr>
            </w:pPr>
            <w:r w:rsidRPr="00E14102">
              <w:rPr>
                <w:color w:val="000000" w:themeColor="text1"/>
                <w:sz w:val="16"/>
                <w:szCs w:val="16"/>
              </w:rPr>
              <w:t>3.</w:t>
            </w:r>
          </w:p>
        </w:tc>
        <w:tc>
          <w:tcPr>
            <w:tcW w:w="0" w:type="auto"/>
            <w:shd w:val="clear" w:color="auto" w:fill="auto"/>
            <w:hideMark/>
          </w:tcPr>
          <w:p w14:paraId="6FA1CE3A" w14:textId="77777777" w:rsidR="009B093F" w:rsidRPr="00E14102" w:rsidRDefault="009B093F" w:rsidP="00E14102">
            <w:pPr>
              <w:jc w:val="both"/>
              <w:rPr>
                <w:color w:val="000000" w:themeColor="text1"/>
                <w:sz w:val="16"/>
                <w:szCs w:val="16"/>
              </w:rPr>
            </w:pPr>
            <w:r w:rsidRPr="00E14102">
              <w:rPr>
                <w:color w:val="000000" w:themeColor="text1"/>
                <w:sz w:val="16"/>
                <w:szCs w:val="16"/>
              </w:rPr>
              <w:t>Скорость максим. на высоте 3000</w:t>
            </w:r>
          </w:p>
          <w:p w14:paraId="2D716F99" w14:textId="77777777" w:rsidR="009B093F" w:rsidRPr="00E14102" w:rsidRDefault="009B093F" w:rsidP="00E14102">
            <w:pPr>
              <w:jc w:val="both"/>
              <w:rPr>
                <w:color w:val="000000" w:themeColor="text1"/>
                <w:sz w:val="16"/>
                <w:szCs w:val="16"/>
              </w:rPr>
            </w:pPr>
            <w:r w:rsidRPr="00E14102">
              <w:rPr>
                <w:color w:val="000000" w:themeColor="text1"/>
                <w:sz w:val="16"/>
                <w:szCs w:val="16"/>
              </w:rPr>
              <w:t>на высоте 4000</w:t>
            </w:r>
          </w:p>
        </w:tc>
        <w:tc>
          <w:tcPr>
            <w:tcW w:w="0" w:type="auto"/>
            <w:shd w:val="clear" w:color="auto" w:fill="auto"/>
            <w:hideMark/>
          </w:tcPr>
          <w:p w14:paraId="73D3030A" w14:textId="77777777" w:rsidR="009B093F" w:rsidRPr="00E14102" w:rsidRDefault="009B093F" w:rsidP="00E14102">
            <w:pPr>
              <w:jc w:val="both"/>
              <w:rPr>
                <w:color w:val="000000" w:themeColor="text1"/>
                <w:sz w:val="16"/>
                <w:szCs w:val="16"/>
              </w:rPr>
            </w:pPr>
            <w:r w:rsidRPr="00E14102">
              <w:rPr>
                <w:color w:val="000000" w:themeColor="text1"/>
                <w:sz w:val="16"/>
                <w:szCs w:val="16"/>
              </w:rPr>
              <w:t>-</w:t>
            </w:r>
          </w:p>
          <w:p w14:paraId="01289B43" w14:textId="77777777" w:rsidR="009B093F" w:rsidRPr="00E14102" w:rsidRDefault="009B093F" w:rsidP="00E14102">
            <w:pPr>
              <w:jc w:val="both"/>
              <w:rPr>
                <w:color w:val="000000" w:themeColor="text1"/>
                <w:sz w:val="16"/>
                <w:szCs w:val="16"/>
              </w:rPr>
            </w:pPr>
            <w:r w:rsidRPr="00E14102">
              <w:rPr>
                <w:color w:val="000000" w:themeColor="text1"/>
                <w:sz w:val="16"/>
                <w:szCs w:val="16"/>
              </w:rPr>
              <w:t>-</w:t>
            </w:r>
          </w:p>
        </w:tc>
        <w:tc>
          <w:tcPr>
            <w:tcW w:w="0" w:type="auto"/>
            <w:shd w:val="clear" w:color="auto" w:fill="auto"/>
            <w:hideMark/>
          </w:tcPr>
          <w:p w14:paraId="0DD8F9F0" w14:textId="77777777" w:rsidR="009B093F" w:rsidRPr="00E14102" w:rsidRDefault="009B093F" w:rsidP="00E14102">
            <w:pPr>
              <w:jc w:val="both"/>
              <w:rPr>
                <w:color w:val="000000" w:themeColor="text1"/>
                <w:sz w:val="16"/>
                <w:szCs w:val="16"/>
              </w:rPr>
            </w:pPr>
            <w:r w:rsidRPr="00E14102">
              <w:rPr>
                <w:color w:val="000000" w:themeColor="text1"/>
                <w:sz w:val="16"/>
                <w:szCs w:val="16"/>
              </w:rPr>
              <w:t>350-375</w:t>
            </w:r>
          </w:p>
          <w:p w14:paraId="57F92030" w14:textId="77777777" w:rsidR="009B093F" w:rsidRPr="00E14102" w:rsidRDefault="009B093F" w:rsidP="00E14102">
            <w:pPr>
              <w:jc w:val="both"/>
              <w:rPr>
                <w:color w:val="000000" w:themeColor="text1"/>
                <w:sz w:val="16"/>
                <w:szCs w:val="16"/>
              </w:rPr>
            </w:pPr>
            <w:r w:rsidRPr="00E14102">
              <w:rPr>
                <w:color w:val="000000" w:themeColor="text1"/>
                <w:sz w:val="16"/>
                <w:szCs w:val="16"/>
              </w:rPr>
              <w:t>385-410</w:t>
            </w:r>
          </w:p>
        </w:tc>
      </w:tr>
      <w:tr w:rsidR="00E3599D" w:rsidRPr="00E14102" w14:paraId="626BCA7E" w14:textId="77777777" w:rsidTr="001B27B4">
        <w:tc>
          <w:tcPr>
            <w:tcW w:w="0" w:type="auto"/>
            <w:shd w:val="clear" w:color="auto" w:fill="auto"/>
            <w:hideMark/>
          </w:tcPr>
          <w:p w14:paraId="4C4B0CC5" w14:textId="77777777" w:rsidR="009B093F" w:rsidRPr="00E14102" w:rsidRDefault="009B093F" w:rsidP="00E14102">
            <w:pPr>
              <w:jc w:val="both"/>
              <w:rPr>
                <w:color w:val="000000" w:themeColor="text1"/>
                <w:sz w:val="16"/>
                <w:szCs w:val="16"/>
              </w:rPr>
            </w:pPr>
            <w:r w:rsidRPr="00E14102">
              <w:rPr>
                <w:color w:val="000000" w:themeColor="text1"/>
                <w:sz w:val="16"/>
                <w:szCs w:val="16"/>
              </w:rPr>
              <w:t>4.</w:t>
            </w:r>
          </w:p>
        </w:tc>
        <w:tc>
          <w:tcPr>
            <w:tcW w:w="0" w:type="auto"/>
            <w:shd w:val="clear" w:color="auto" w:fill="auto"/>
            <w:hideMark/>
          </w:tcPr>
          <w:p w14:paraId="7635C97D" w14:textId="77777777" w:rsidR="009B093F" w:rsidRPr="00E14102" w:rsidRDefault="009B093F" w:rsidP="00E14102">
            <w:pPr>
              <w:jc w:val="both"/>
              <w:rPr>
                <w:color w:val="000000" w:themeColor="text1"/>
                <w:sz w:val="16"/>
                <w:szCs w:val="16"/>
              </w:rPr>
            </w:pPr>
            <w:r w:rsidRPr="00E14102">
              <w:rPr>
                <w:color w:val="000000" w:themeColor="text1"/>
                <w:sz w:val="16"/>
                <w:szCs w:val="16"/>
              </w:rPr>
              <w:t>Потолок</w:t>
            </w:r>
          </w:p>
        </w:tc>
        <w:tc>
          <w:tcPr>
            <w:tcW w:w="0" w:type="auto"/>
            <w:shd w:val="clear" w:color="auto" w:fill="auto"/>
            <w:hideMark/>
          </w:tcPr>
          <w:p w14:paraId="087FBE25" w14:textId="77777777" w:rsidR="009B093F" w:rsidRPr="00E14102" w:rsidRDefault="009B093F" w:rsidP="00E14102">
            <w:pPr>
              <w:jc w:val="both"/>
              <w:rPr>
                <w:color w:val="000000" w:themeColor="text1"/>
                <w:sz w:val="16"/>
                <w:szCs w:val="16"/>
              </w:rPr>
            </w:pPr>
            <w:r w:rsidRPr="00E14102">
              <w:rPr>
                <w:color w:val="000000" w:themeColor="text1"/>
                <w:sz w:val="16"/>
                <w:szCs w:val="16"/>
              </w:rPr>
              <w:t>8000</w:t>
            </w:r>
          </w:p>
        </w:tc>
        <w:tc>
          <w:tcPr>
            <w:tcW w:w="0" w:type="auto"/>
            <w:shd w:val="clear" w:color="auto" w:fill="auto"/>
            <w:hideMark/>
          </w:tcPr>
          <w:p w14:paraId="27AE3D20" w14:textId="77777777" w:rsidR="009B093F" w:rsidRPr="00E14102" w:rsidRDefault="009B093F" w:rsidP="00E14102">
            <w:pPr>
              <w:jc w:val="both"/>
              <w:rPr>
                <w:color w:val="000000" w:themeColor="text1"/>
                <w:sz w:val="16"/>
                <w:szCs w:val="16"/>
              </w:rPr>
            </w:pPr>
            <w:r w:rsidRPr="00E14102">
              <w:rPr>
                <w:color w:val="000000" w:themeColor="text1"/>
                <w:sz w:val="16"/>
                <w:szCs w:val="16"/>
              </w:rPr>
              <w:t>6500</w:t>
            </w:r>
          </w:p>
        </w:tc>
      </w:tr>
      <w:tr w:rsidR="00E3599D" w:rsidRPr="00E14102" w14:paraId="357FA322" w14:textId="77777777" w:rsidTr="001B27B4">
        <w:tc>
          <w:tcPr>
            <w:tcW w:w="0" w:type="auto"/>
            <w:shd w:val="clear" w:color="auto" w:fill="auto"/>
            <w:hideMark/>
          </w:tcPr>
          <w:p w14:paraId="5C4423C1" w14:textId="77777777" w:rsidR="009B093F" w:rsidRPr="00E14102" w:rsidRDefault="009B093F" w:rsidP="00E14102">
            <w:pPr>
              <w:jc w:val="both"/>
              <w:rPr>
                <w:color w:val="000000" w:themeColor="text1"/>
                <w:sz w:val="16"/>
                <w:szCs w:val="16"/>
              </w:rPr>
            </w:pPr>
            <w:r w:rsidRPr="00E14102">
              <w:rPr>
                <w:color w:val="000000" w:themeColor="text1"/>
                <w:sz w:val="16"/>
                <w:szCs w:val="16"/>
              </w:rPr>
              <w:t>5.</w:t>
            </w:r>
          </w:p>
        </w:tc>
        <w:tc>
          <w:tcPr>
            <w:tcW w:w="0" w:type="auto"/>
            <w:shd w:val="clear" w:color="auto" w:fill="auto"/>
            <w:hideMark/>
          </w:tcPr>
          <w:p w14:paraId="3D1C971A" w14:textId="77777777" w:rsidR="009B093F" w:rsidRPr="00E14102" w:rsidRDefault="009B093F" w:rsidP="00E14102">
            <w:pPr>
              <w:jc w:val="both"/>
              <w:rPr>
                <w:color w:val="000000" w:themeColor="text1"/>
                <w:sz w:val="16"/>
                <w:szCs w:val="16"/>
              </w:rPr>
            </w:pPr>
            <w:r w:rsidRPr="00E14102">
              <w:rPr>
                <w:color w:val="000000" w:themeColor="text1"/>
                <w:sz w:val="16"/>
                <w:szCs w:val="16"/>
              </w:rPr>
              <w:t xml:space="preserve">Посадочная скорость при взлете </w:t>
            </w:r>
          </w:p>
        </w:tc>
        <w:tc>
          <w:tcPr>
            <w:tcW w:w="0" w:type="auto"/>
            <w:shd w:val="clear" w:color="auto" w:fill="auto"/>
            <w:hideMark/>
          </w:tcPr>
          <w:p w14:paraId="0CDDA12E" w14:textId="77777777" w:rsidR="009B093F" w:rsidRPr="00E14102" w:rsidRDefault="009B093F" w:rsidP="00E14102">
            <w:pPr>
              <w:jc w:val="both"/>
              <w:rPr>
                <w:color w:val="000000" w:themeColor="text1"/>
                <w:sz w:val="16"/>
                <w:szCs w:val="16"/>
              </w:rPr>
            </w:pPr>
            <w:r w:rsidRPr="00E14102">
              <w:rPr>
                <w:color w:val="000000" w:themeColor="text1"/>
                <w:sz w:val="16"/>
                <w:szCs w:val="16"/>
              </w:rPr>
              <w:t>96</w:t>
            </w:r>
          </w:p>
        </w:tc>
        <w:tc>
          <w:tcPr>
            <w:tcW w:w="0" w:type="auto"/>
            <w:shd w:val="clear" w:color="auto" w:fill="auto"/>
            <w:hideMark/>
          </w:tcPr>
          <w:p w14:paraId="2D7D284B" w14:textId="77777777" w:rsidR="009B093F" w:rsidRPr="00E14102" w:rsidRDefault="009B093F" w:rsidP="00E14102">
            <w:pPr>
              <w:jc w:val="both"/>
              <w:rPr>
                <w:color w:val="000000" w:themeColor="text1"/>
                <w:sz w:val="16"/>
                <w:szCs w:val="16"/>
              </w:rPr>
            </w:pPr>
            <w:r w:rsidRPr="00E14102">
              <w:rPr>
                <w:color w:val="000000" w:themeColor="text1"/>
                <w:sz w:val="16"/>
                <w:szCs w:val="16"/>
              </w:rPr>
              <w:t>96</w:t>
            </w:r>
          </w:p>
        </w:tc>
      </w:tr>
      <w:tr w:rsidR="00E3599D" w:rsidRPr="00E14102" w14:paraId="0825CB29" w14:textId="77777777" w:rsidTr="001B27B4">
        <w:tc>
          <w:tcPr>
            <w:tcW w:w="0" w:type="auto"/>
            <w:shd w:val="clear" w:color="auto" w:fill="auto"/>
            <w:hideMark/>
          </w:tcPr>
          <w:p w14:paraId="7CA219AD" w14:textId="77777777" w:rsidR="009B093F" w:rsidRPr="00E14102" w:rsidRDefault="009B093F" w:rsidP="00E14102">
            <w:pPr>
              <w:jc w:val="both"/>
              <w:rPr>
                <w:color w:val="000000" w:themeColor="text1"/>
                <w:sz w:val="16"/>
                <w:szCs w:val="16"/>
              </w:rPr>
            </w:pPr>
            <w:r w:rsidRPr="00E14102">
              <w:rPr>
                <w:color w:val="000000" w:themeColor="text1"/>
                <w:sz w:val="16"/>
                <w:szCs w:val="16"/>
              </w:rPr>
              <w:t>6.</w:t>
            </w:r>
          </w:p>
        </w:tc>
        <w:tc>
          <w:tcPr>
            <w:tcW w:w="0" w:type="auto"/>
            <w:shd w:val="clear" w:color="auto" w:fill="auto"/>
            <w:hideMark/>
          </w:tcPr>
          <w:p w14:paraId="71C0093E" w14:textId="77777777" w:rsidR="009B093F" w:rsidRPr="00E14102" w:rsidRDefault="009B093F" w:rsidP="00E14102">
            <w:pPr>
              <w:jc w:val="both"/>
              <w:rPr>
                <w:color w:val="000000" w:themeColor="text1"/>
                <w:sz w:val="16"/>
                <w:szCs w:val="16"/>
              </w:rPr>
            </w:pPr>
            <w:r w:rsidRPr="00E14102">
              <w:rPr>
                <w:color w:val="000000" w:themeColor="text1"/>
                <w:sz w:val="16"/>
                <w:szCs w:val="16"/>
              </w:rPr>
              <w:t>Посадочная скорость при выгоревшем горючем</w:t>
            </w:r>
          </w:p>
        </w:tc>
        <w:tc>
          <w:tcPr>
            <w:tcW w:w="0" w:type="auto"/>
            <w:shd w:val="clear" w:color="auto" w:fill="auto"/>
            <w:hideMark/>
          </w:tcPr>
          <w:p w14:paraId="6F2F720D" w14:textId="77777777" w:rsidR="009B093F" w:rsidRPr="00E14102" w:rsidRDefault="009B093F" w:rsidP="00E14102">
            <w:pPr>
              <w:jc w:val="both"/>
              <w:rPr>
                <w:color w:val="000000" w:themeColor="text1"/>
                <w:sz w:val="16"/>
                <w:szCs w:val="16"/>
              </w:rPr>
            </w:pPr>
            <w:r w:rsidRPr="00E14102">
              <w:rPr>
                <w:color w:val="000000" w:themeColor="text1"/>
                <w:sz w:val="16"/>
                <w:szCs w:val="16"/>
              </w:rPr>
              <w:t>91</w:t>
            </w:r>
          </w:p>
        </w:tc>
        <w:tc>
          <w:tcPr>
            <w:tcW w:w="0" w:type="auto"/>
            <w:shd w:val="clear" w:color="auto" w:fill="auto"/>
            <w:hideMark/>
          </w:tcPr>
          <w:p w14:paraId="0A375789" w14:textId="77777777" w:rsidR="009B093F" w:rsidRPr="00E14102" w:rsidRDefault="009B093F" w:rsidP="00E14102">
            <w:pPr>
              <w:jc w:val="both"/>
              <w:rPr>
                <w:color w:val="000000" w:themeColor="text1"/>
                <w:sz w:val="16"/>
                <w:szCs w:val="16"/>
              </w:rPr>
            </w:pPr>
            <w:r w:rsidRPr="00E14102">
              <w:rPr>
                <w:color w:val="000000" w:themeColor="text1"/>
                <w:sz w:val="16"/>
                <w:szCs w:val="16"/>
              </w:rPr>
              <w:t>91</w:t>
            </w:r>
          </w:p>
        </w:tc>
      </w:tr>
      <w:tr w:rsidR="00E3599D" w:rsidRPr="00E14102" w14:paraId="746CE32C" w14:textId="77777777" w:rsidTr="001B27B4">
        <w:tc>
          <w:tcPr>
            <w:tcW w:w="0" w:type="auto"/>
            <w:shd w:val="clear" w:color="auto" w:fill="auto"/>
            <w:hideMark/>
          </w:tcPr>
          <w:p w14:paraId="2CEF93B3" w14:textId="77777777" w:rsidR="009B093F" w:rsidRPr="00E14102" w:rsidRDefault="009B093F" w:rsidP="00E14102">
            <w:pPr>
              <w:jc w:val="both"/>
              <w:rPr>
                <w:color w:val="000000" w:themeColor="text1"/>
                <w:sz w:val="16"/>
                <w:szCs w:val="16"/>
              </w:rPr>
            </w:pPr>
            <w:r w:rsidRPr="00E14102">
              <w:rPr>
                <w:color w:val="000000" w:themeColor="text1"/>
                <w:sz w:val="16"/>
                <w:szCs w:val="16"/>
              </w:rPr>
              <w:t>7.</w:t>
            </w:r>
          </w:p>
        </w:tc>
        <w:tc>
          <w:tcPr>
            <w:tcW w:w="0" w:type="auto"/>
            <w:shd w:val="clear" w:color="auto" w:fill="auto"/>
            <w:hideMark/>
          </w:tcPr>
          <w:p w14:paraId="7E020F84" w14:textId="77777777" w:rsidR="009B093F" w:rsidRPr="00E14102" w:rsidRDefault="009B093F" w:rsidP="00E14102">
            <w:pPr>
              <w:jc w:val="both"/>
              <w:rPr>
                <w:color w:val="000000" w:themeColor="text1"/>
                <w:sz w:val="16"/>
                <w:szCs w:val="16"/>
              </w:rPr>
            </w:pPr>
            <w:r w:rsidRPr="00E14102">
              <w:rPr>
                <w:color w:val="000000" w:themeColor="text1"/>
                <w:sz w:val="16"/>
                <w:szCs w:val="16"/>
              </w:rPr>
              <w:t>Нормальная дальность</w:t>
            </w:r>
          </w:p>
        </w:tc>
        <w:tc>
          <w:tcPr>
            <w:tcW w:w="0" w:type="auto"/>
            <w:shd w:val="clear" w:color="auto" w:fill="auto"/>
            <w:hideMark/>
          </w:tcPr>
          <w:p w14:paraId="301A44D3" w14:textId="77777777" w:rsidR="009B093F" w:rsidRPr="00E14102" w:rsidRDefault="009B093F" w:rsidP="00E14102">
            <w:pPr>
              <w:jc w:val="both"/>
              <w:rPr>
                <w:color w:val="000000" w:themeColor="text1"/>
                <w:sz w:val="16"/>
                <w:szCs w:val="16"/>
              </w:rPr>
            </w:pPr>
            <w:r w:rsidRPr="00E14102">
              <w:rPr>
                <w:color w:val="000000" w:themeColor="text1"/>
                <w:sz w:val="16"/>
                <w:szCs w:val="16"/>
              </w:rPr>
              <w:t>850</w:t>
            </w:r>
          </w:p>
        </w:tc>
        <w:tc>
          <w:tcPr>
            <w:tcW w:w="0" w:type="auto"/>
            <w:shd w:val="clear" w:color="auto" w:fill="auto"/>
            <w:hideMark/>
          </w:tcPr>
          <w:p w14:paraId="7ACF0E84" w14:textId="77777777" w:rsidR="009B093F" w:rsidRPr="00E14102" w:rsidRDefault="009B093F" w:rsidP="00E14102">
            <w:pPr>
              <w:jc w:val="both"/>
              <w:rPr>
                <w:color w:val="000000" w:themeColor="text1"/>
                <w:sz w:val="16"/>
                <w:szCs w:val="16"/>
              </w:rPr>
            </w:pPr>
            <w:r w:rsidRPr="00E14102">
              <w:rPr>
                <w:color w:val="000000" w:themeColor="text1"/>
                <w:sz w:val="16"/>
                <w:szCs w:val="16"/>
              </w:rPr>
              <w:t>850</w:t>
            </w:r>
          </w:p>
        </w:tc>
      </w:tr>
      <w:tr w:rsidR="00E3599D" w:rsidRPr="00E14102" w14:paraId="43CC81B5" w14:textId="77777777" w:rsidTr="001B27B4">
        <w:tc>
          <w:tcPr>
            <w:tcW w:w="0" w:type="auto"/>
            <w:shd w:val="clear" w:color="auto" w:fill="auto"/>
            <w:hideMark/>
          </w:tcPr>
          <w:p w14:paraId="10540DB1" w14:textId="77777777" w:rsidR="009B093F" w:rsidRPr="00E14102" w:rsidRDefault="009B093F" w:rsidP="00E14102">
            <w:pPr>
              <w:jc w:val="both"/>
              <w:rPr>
                <w:color w:val="000000" w:themeColor="text1"/>
                <w:sz w:val="16"/>
                <w:szCs w:val="16"/>
              </w:rPr>
            </w:pPr>
            <w:r w:rsidRPr="00E14102">
              <w:rPr>
                <w:color w:val="000000" w:themeColor="text1"/>
                <w:sz w:val="16"/>
                <w:szCs w:val="16"/>
              </w:rPr>
              <w:t>8.</w:t>
            </w:r>
          </w:p>
        </w:tc>
        <w:tc>
          <w:tcPr>
            <w:tcW w:w="0" w:type="auto"/>
            <w:shd w:val="clear" w:color="auto" w:fill="auto"/>
            <w:hideMark/>
          </w:tcPr>
          <w:p w14:paraId="039DF8C6" w14:textId="77777777" w:rsidR="009B093F" w:rsidRPr="00E14102" w:rsidRDefault="009B093F" w:rsidP="00E14102">
            <w:pPr>
              <w:jc w:val="both"/>
              <w:rPr>
                <w:color w:val="000000" w:themeColor="text1"/>
                <w:sz w:val="16"/>
                <w:szCs w:val="16"/>
              </w:rPr>
            </w:pPr>
            <w:r w:rsidRPr="00E14102">
              <w:rPr>
                <w:color w:val="000000" w:themeColor="text1"/>
                <w:sz w:val="16"/>
                <w:szCs w:val="16"/>
              </w:rPr>
              <w:t>Дальность с перегрузкой</w:t>
            </w:r>
          </w:p>
        </w:tc>
        <w:tc>
          <w:tcPr>
            <w:tcW w:w="0" w:type="auto"/>
            <w:shd w:val="clear" w:color="auto" w:fill="auto"/>
            <w:hideMark/>
          </w:tcPr>
          <w:p w14:paraId="5E5D839E" w14:textId="77777777" w:rsidR="009B093F" w:rsidRPr="00E14102" w:rsidRDefault="009B093F" w:rsidP="00E14102">
            <w:pPr>
              <w:jc w:val="both"/>
              <w:rPr>
                <w:color w:val="000000" w:themeColor="text1"/>
                <w:sz w:val="16"/>
                <w:szCs w:val="16"/>
              </w:rPr>
            </w:pPr>
            <w:r w:rsidRPr="00E14102">
              <w:rPr>
                <w:color w:val="000000" w:themeColor="text1"/>
                <w:sz w:val="16"/>
                <w:szCs w:val="16"/>
              </w:rPr>
              <w:t>1500</w:t>
            </w:r>
          </w:p>
        </w:tc>
        <w:tc>
          <w:tcPr>
            <w:tcW w:w="0" w:type="auto"/>
            <w:shd w:val="clear" w:color="auto" w:fill="auto"/>
            <w:hideMark/>
          </w:tcPr>
          <w:p w14:paraId="448F2D5F" w14:textId="77777777" w:rsidR="009B093F" w:rsidRPr="00E14102" w:rsidRDefault="009B093F" w:rsidP="00E14102">
            <w:pPr>
              <w:jc w:val="both"/>
              <w:rPr>
                <w:color w:val="000000" w:themeColor="text1"/>
                <w:sz w:val="16"/>
                <w:szCs w:val="16"/>
              </w:rPr>
            </w:pPr>
            <w:r w:rsidRPr="00E14102">
              <w:rPr>
                <w:color w:val="000000" w:themeColor="text1"/>
                <w:sz w:val="16"/>
                <w:szCs w:val="16"/>
              </w:rPr>
              <w:t>1500</w:t>
            </w:r>
          </w:p>
        </w:tc>
      </w:tr>
    </w:tbl>
    <w:p w14:paraId="1798E1AF"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При сем прилагается краткое техническое описание самолета.</w:t>
      </w:r>
    </w:p>
    <w:p w14:paraId="5F16C3C0"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Начальник бригады © 3 С. Ильюшин. Секретно.</w:t>
      </w:r>
    </w:p>
    <w:p w14:paraId="07607A0A"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Экз. N 1</w:t>
      </w:r>
    </w:p>
    <w:p w14:paraId="1B368A95"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Краткое техническое описание самолета ББ-2-2 "Гном-Рон" К-14 Самолет ББ-2-2 К-14 представляет собой моноплан с низкорасположенным крылом цельнометаллической конструкции. Фюзеляж на первый летный экземпляр самолета делается цельнодеревянный, каркас которого состоит из стрингеров, лонжеронов и поперечных клееных фанерных шпангоутов.</w:t>
      </w:r>
    </w:p>
    <w:p w14:paraId="166F2B68"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Обшивка из фанерного шпона. На втором летном экземпляре будет цельнометаллический фюзеляж целиком из супераллюминия с жесткой обшивкой. Оперение цельнометаллическое - дюралюминиевое. 1. Крыло.</w:t>
      </w:r>
    </w:p>
    <w:p w14:paraId="41E0EDE0"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 xml:space="preserve">Крыло состоит из пяти частей. Средняя часть - центроплан жестко укреплен к фюзеляжу и составляет с ним одно целое. Размер центроплана таков, что он может вместе с фюзеляжем входить в габариты железной дороги. </w:t>
      </w:r>
    </w:p>
    <w:p w14:paraId="6D1293F2"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Требование обязательной перевозки самолета по железной дороге вызвало необходимость разрезать крыло еще в одном месте, так как иначе все моторное хозяйство и шасси находились бы вместе с консолью и, таким образом, создали бы все вытекающие при этом неудобства, связанные со сборкой и разборкой самолета.</w:t>
      </w:r>
    </w:p>
    <w:p w14:paraId="7CC2A87E"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 xml:space="preserve">Таким образом, крыло состоит из центральной части, двух примыкающих к нему отсеков, на которых крепятся шасси и моторная установка, и двух консолей. </w:t>
      </w:r>
    </w:p>
    <w:p w14:paraId="52C6D419"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Крыло состоит из двух лонжеронов из закаленной хромомолибденовой стали ферменного типа. Каркас крыла состоит из набора равносиловых нервюр и продольных стрингеров. В местах стыка консолей и моторных отсеков к центроплану жесткая обшивка будет соединена для того, чтобы она работала на всем размахе.</w:t>
      </w:r>
    </w:p>
    <w:p w14:paraId="30C39355"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Обшивка гладкая с потайной клепкой. Нервюры и обшивка из супердюраля. Между продольной осью самолета и внутренним концом элерона расположены щитки для уменьшения посадочной скорости.</w:t>
      </w:r>
    </w:p>
    <w:p w14:paraId="59F7EBF5"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Профиль крыла CLARC Y 15, толщина у корня крыла 16%, на конце крыла 10%. Элероны не щелевые. Разгрузка от шарнирных моментов достигается с помощью флетнеров.</w:t>
      </w:r>
    </w:p>
    <w:p w14:paraId="17240C2B"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2. Фюзеляж.</w:t>
      </w:r>
    </w:p>
    <w:p w14:paraId="5CF39241"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Фюзеляж состоит из пяти продольных лонжеронов, системы стрингеров и поперечного набора, состоящего из клееных фанерных с деревом рам. Покрытие фюзеляжа - шпон 4,5 и 6 слоев шпона. Киль составляет одно целое с фюзеляжем.</w:t>
      </w:r>
    </w:p>
    <w:p w14:paraId="073EB024"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3. Шасси.</w:t>
      </w:r>
    </w:p>
    <w:p w14:paraId="0AF81778"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 xml:space="preserve">Шасси убирающееся назад по потоку. Уборка и выпуск шасси производятся посредством гидравлической системы. Механизм уборки состоит из цилиндра и штока непосредственно действующего на рычаг, ось вращения которого совпадает с осью вращения шасси. </w:t>
      </w:r>
    </w:p>
    <w:p w14:paraId="6AA90785"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На передний удар усилие воспринимается подкосом, идущим от основной рамы шасси к ферменной корзинке крыла. На этих подкосах имеются ползуны, которые в верхнем убранном положении и в нижнем выпущенном положении имеют замки пушечного типа, которые посредством механической передачи могут быть открываемы и закрываемы. Предусмотрен аварийный выпуск шасси.</w:t>
      </w:r>
    </w:p>
    <w:p w14:paraId="71926A9B"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lastRenderedPageBreak/>
        <w:t>В том случае, когда откажет работать основной механизм по выпуску шасси - гидравлический, тогда посредством механизма, состоящего из барабана с рукояткой вращения в кабине летчика и тросов, проходящих через систему роликов, осуществляется выпуск шасси.</w:t>
      </w:r>
    </w:p>
    <w:p w14:paraId="1910AEBA"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Система амортизации олеопневматическая. Колесо - тормозное, 900х200. Все предусмотрено для того, чтобы в случае возможных в дальнейшем больших перегрузок самолета можно было бы заменить переднюю раму шасси и подкосы для колеса размером 1100х250.</w:t>
      </w:r>
    </w:p>
    <w:p w14:paraId="300BD722"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4. Винто-моторная группа.</w:t>
      </w:r>
    </w:p>
    <w:p w14:paraId="51490AB8"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 xml:space="preserve">Моторы "Гном-Рон" К-14 помещены на крыльях. Ось тяги винта помещена на 75 мм ниже хорды крыла. Мотор окапотирован капотом NACA. Масляные баки помещены за мотором. </w:t>
      </w:r>
    </w:p>
    <w:p w14:paraId="7A2D06BD"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Бензиновая система состоит из шести баков, размещенных: два в центроплане и один в моторном отсеке. Масляный радиатор будет размещен радиально вокруг нижней части редуктора мотора. Заливка системы перед запуском будет осуществляться самотеком из бачка, находящегося в фюзеляже, в коке обтекания за головой летчика.</w:t>
      </w:r>
    </w:p>
    <w:p w14:paraId="2C686EF5"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5. Хвостовое оперение.</w:t>
      </w:r>
    </w:p>
    <w:p w14:paraId="3D756EDE"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 xml:space="preserve">Хвостовое оперение состоит из неподвижного закрепленного стабилизатора, могущего регулироваться лишь на земле, и двух рулей высоты, снабженных для разгрузки от шарнирных моментов флетнерами. </w:t>
      </w:r>
    </w:p>
    <w:p w14:paraId="5D2B0786"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 xml:space="preserve">Лонжероны стабилизатора - передний и задний - из дюралюминиевых труб, ферменные, клепаной конструкции. Обшивка стабилизатора гладкая, жесткая. Руль высоты имеет полутрубчатого типа лонжероны жесткие, работающие на кручение. Обшивка руля высоты будет полотняная. </w:t>
      </w:r>
    </w:p>
    <w:p w14:paraId="56CC8774"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Киль составляет одно целое с фюзеляжем. Руль поворота разгружен от шарнирных моментов флетнером и имеет конструкцию, аналогичную рулю высоты. Все кабанчики спрятаны внутри фюзеляжа.</w:t>
      </w:r>
    </w:p>
    <w:p w14:paraId="7F755CEE"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6. Костыль</w:t>
      </w:r>
    </w:p>
    <w:p w14:paraId="547B16F6"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Костыль имеет олеопневматическую амортизацию, находится на последней жесткой раме фюзеляжа, на которую одевается съемный выколотый каркас, открывая, таким образом, доступ для осмотра костыля и всех тяг, идущих от руля глубины и руля поворота, а также крепление к фюзеляжу заднего лонжерона стабилизатора.</w:t>
      </w:r>
    </w:p>
    <w:p w14:paraId="112CC8FE"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 xml:space="preserve">Начальник бригады N 3 </w:t>
      </w:r>
    </w:p>
    <w:p w14:paraId="7E2761C8"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ЦКБ з-да N 39</w:t>
      </w:r>
    </w:p>
    <w:p w14:paraId="47DF279F"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Сер. Ильюшин</w:t>
      </w:r>
    </w:p>
    <w:p w14:paraId="56FFE33D"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При рассмотрении указанного проекта возникают вполне обоснованные сомнения в возможности его реализации. Конструктивные особенности ближнего бомбардировщика ББ-2 и габариты внутреннего объема его фюзеляжа практически не оставляют шансов разместить внутри 12 пассажиров и обеспечить их хотя бы минимальным комфортом. Передняя и задняя пассажирские кабины, имеющие в поперечнике ~ 1100 и по высоте ~ 1400 мм, не позволяют разместить 12 пассажирских кресел и обеспечить приемлемый по ширине проход между ними.</w:t>
      </w:r>
    </w:p>
    <w:p w14:paraId="31BD8B41"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К сожалению, в сохранившихся документах нет упоминания о том, какие кресла предполагалось установить на этот самолет. По всей видимости, единственно возможным вариантом было использование легких откидных сидений, установленных на боковых стенках кабины.</w:t>
      </w:r>
    </w:p>
    <w:p w14:paraId="4F940C43"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 xml:space="preserve">Вторым моментом, ставящим под сомнение возможность осуществления этого проекта, является конструкция средней части фюзеляжа и жестко связанным с ней центропланом крыла. </w:t>
      </w:r>
    </w:p>
    <w:p w14:paraId="7DA74366"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Дело в том, что задний лонжерон центроплана, насквозь прорезая фюзеляж, образует над полом задней пассажирской кабины довольно высокую глухую стенку, отсекающую три передних пассажирских места, что при очень незначительной высоте кабины создает непреодолимые трудности подхода к ним.</w:t>
      </w:r>
    </w:p>
    <w:p w14:paraId="14D190D3"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 xml:space="preserve">И, наконец, не совсем удачное конструктивное решение по расположению передней пассажирской кабины, вход и выход из которой должны были проходить через нижний люк, расположенный как раз под креслами. </w:t>
      </w:r>
    </w:p>
    <w:p w14:paraId="46ADB05D"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Ограниченные габариты кабины при сдвинутых креслах и открытом люке не оставляли места для двух человек, поэтому и в этом случае единственно возможным вариантом было использование откидных сидений, совсем не кстати, находящихся в плоскости вращения винта.</w:t>
      </w:r>
    </w:p>
    <w:p w14:paraId="1053C517"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 xml:space="preserve">По мнению авторов, указанные недостатки не являлись ошибками, допущенными при проектировании. Конструкторский коллектив бригады © 3, возглавляемый С. В. Ильюшиным, до предела загруженный работой по созданию бомбардировщика ДБ-3, счел возможным формально выполнить требования НИИ ВВС о необходимости разработки новых самолетов одновременно в двух вариантах, для ВВС и </w:t>
      </w:r>
    </w:p>
    <w:tbl>
      <w:tblPr>
        <w:tblW w:w="317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3"/>
        <w:gridCol w:w="3594"/>
      </w:tblGrid>
      <w:tr w:rsidR="00E3599D" w:rsidRPr="00E14102" w14:paraId="0850CAE7" w14:textId="77777777" w:rsidTr="001B27B4">
        <w:tc>
          <w:tcPr>
            <w:tcW w:w="2500" w:type="pct"/>
            <w:shd w:val="clear" w:color="auto" w:fill="auto"/>
            <w:hideMark/>
          </w:tcPr>
          <w:p w14:paraId="78BCCD02" w14:textId="77777777" w:rsidR="009B093F" w:rsidRPr="00E14102" w:rsidRDefault="009B093F" w:rsidP="00E14102">
            <w:pPr>
              <w:jc w:val="both"/>
              <w:rPr>
                <w:color w:val="000000" w:themeColor="text1"/>
                <w:sz w:val="16"/>
                <w:szCs w:val="16"/>
              </w:rPr>
            </w:pPr>
            <w:r w:rsidRPr="00E14102">
              <w:rPr>
                <w:color w:val="000000" w:themeColor="text1"/>
                <w:sz w:val="16"/>
                <w:szCs w:val="16"/>
              </w:rPr>
              <w:t>Модификация</w:t>
            </w:r>
          </w:p>
        </w:tc>
        <w:tc>
          <w:tcPr>
            <w:tcW w:w="2500" w:type="pct"/>
            <w:shd w:val="clear" w:color="auto" w:fill="auto"/>
            <w:hideMark/>
          </w:tcPr>
          <w:p w14:paraId="7E11B4C4" w14:textId="77777777" w:rsidR="009B093F" w:rsidRPr="00E14102" w:rsidRDefault="009B093F" w:rsidP="00E14102">
            <w:pPr>
              <w:jc w:val="both"/>
              <w:rPr>
                <w:color w:val="000000" w:themeColor="text1"/>
                <w:sz w:val="16"/>
                <w:szCs w:val="16"/>
              </w:rPr>
            </w:pPr>
            <w:r w:rsidRPr="00E14102">
              <w:rPr>
                <w:color w:val="000000" w:themeColor="text1"/>
                <w:sz w:val="16"/>
                <w:szCs w:val="16"/>
              </w:rPr>
              <w:t>ЦКБ-26П (ББ-2)</w:t>
            </w:r>
          </w:p>
        </w:tc>
      </w:tr>
      <w:tr w:rsidR="00E3599D" w:rsidRPr="00E14102" w14:paraId="3F380ACD" w14:textId="77777777" w:rsidTr="001B27B4">
        <w:tc>
          <w:tcPr>
            <w:tcW w:w="2500" w:type="pct"/>
            <w:shd w:val="clear" w:color="auto" w:fill="auto"/>
            <w:hideMark/>
          </w:tcPr>
          <w:p w14:paraId="1E84B199" w14:textId="77777777" w:rsidR="009B093F" w:rsidRPr="00E14102" w:rsidRDefault="009B093F" w:rsidP="00E14102">
            <w:pPr>
              <w:jc w:val="both"/>
              <w:rPr>
                <w:color w:val="000000" w:themeColor="text1"/>
                <w:sz w:val="16"/>
                <w:szCs w:val="16"/>
              </w:rPr>
            </w:pPr>
            <w:r w:rsidRPr="00E14102">
              <w:rPr>
                <w:color w:val="000000" w:themeColor="text1"/>
                <w:sz w:val="16"/>
                <w:szCs w:val="16"/>
              </w:rPr>
              <w:t>Размах крыла, м</w:t>
            </w:r>
          </w:p>
        </w:tc>
        <w:tc>
          <w:tcPr>
            <w:tcW w:w="2500" w:type="pct"/>
            <w:shd w:val="clear" w:color="auto" w:fill="auto"/>
            <w:hideMark/>
          </w:tcPr>
          <w:p w14:paraId="639DFE77" w14:textId="77777777" w:rsidR="009B093F" w:rsidRPr="00E14102" w:rsidRDefault="009B093F" w:rsidP="00E14102">
            <w:pPr>
              <w:jc w:val="both"/>
              <w:rPr>
                <w:color w:val="000000" w:themeColor="text1"/>
                <w:sz w:val="16"/>
                <w:szCs w:val="16"/>
              </w:rPr>
            </w:pPr>
            <w:r w:rsidRPr="00E14102">
              <w:rPr>
                <w:color w:val="000000" w:themeColor="text1"/>
                <w:sz w:val="16"/>
                <w:szCs w:val="16"/>
              </w:rPr>
              <w:t>21.15</w:t>
            </w:r>
          </w:p>
        </w:tc>
      </w:tr>
      <w:tr w:rsidR="00E3599D" w:rsidRPr="00E14102" w14:paraId="5C03EFC1" w14:textId="77777777" w:rsidTr="001B27B4">
        <w:tc>
          <w:tcPr>
            <w:tcW w:w="2500" w:type="pct"/>
            <w:shd w:val="clear" w:color="auto" w:fill="auto"/>
            <w:hideMark/>
          </w:tcPr>
          <w:p w14:paraId="64031FB4" w14:textId="77777777" w:rsidR="009B093F" w:rsidRPr="00E14102" w:rsidRDefault="009B093F" w:rsidP="00E14102">
            <w:pPr>
              <w:jc w:val="both"/>
              <w:rPr>
                <w:color w:val="000000" w:themeColor="text1"/>
                <w:sz w:val="16"/>
                <w:szCs w:val="16"/>
              </w:rPr>
            </w:pPr>
            <w:r w:rsidRPr="00E14102">
              <w:rPr>
                <w:color w:val="000000" w:themeColor="text1"/>
                <w:sz w:val="16"/>
                <w:szCs w:val="16"/>
              </w:rPr>
              <w:t>Длина, м</w:t>
            </w:r>
          </w:p>
        </w:tc>
        <w:tc>
          <w:tcPr>
            <w:tcW w:w="2500" w:type="pct"/>
            <w:shd w:val="clear" w:color="auto" w:fill="auto"/>
            <w:hideMark/>
          </w:tcPr>
          <w:p w14:paraId="66E4364C" w14:textId="77777777" w:rsidR="009B093F" w:rsidRPr="00E14102" w:rsidRDefault="009B093F" w:rsidP="00E14102">
            <w:pPr>
              <w:jc w:val="both"/>
              <w:rPr>
                <w:color w:val="000000" w:themeColor="text1"/>
                <w:sz w:val="16"/>
                <w:szCs w:val="16"/>
              </w:rPr>
            </w:pPr>
            <w:r w:rsidRPr="00E14102">
              <w:rPr>
                <w:color w:val="000000" w:themeColor="text1"/>
                <w:sz w:val="16"/>
                <w:szCs w:val="16"/>
              </w:rPr>
              <w:t>15.12</w:t>
            </w:r>
          </w:p>
        </w:tc>
      </w:tr>
      <w:tr w:rsidR="00E3599D" w:rsidRPr="00E14102" w14:paraId="674443CB" w14:textId="77777777" w:rsidTr="001B27B4">
        <w:tc>
          <w:tcPr>
            <w:tcW w:w="2500" w:type="pct"/>
            <w:shd w:val="clear" w:color="auto" w:fill="auto"/>
            <w:hideMark/>
          </w:tcPr>
          <w:p w14:paraId="1E119967" w14:textId="77777777" w:rsidR="009B093F" w:rsidRPr="00E14102" w:rsidRDefault="009B093F" w:rsidP="00E14102">
            <w:pPr>
              <w:jc w:val="both"/>
              <w:rPr>
                <w:color w:val="000000" w:themeColor="text1"/>
                <w:sz w:val="16"/>
                <w:szCs w:val="16"/>
              </w:rPr>
            </w:pPr>
            <w:r w:rsidRPr="00E14102">
              <w:rPr>
                <w:color w:val="000000" w:themeColor="text1"/>
                <w:sz w:val="16"/>
                <w:szCs w:val="16"/>
              </w:rPr>
              <w:t>Высота, м</w:t>
            </w:r>
          </w:p>
        </w:tc>
        <w:tc>
          <w:tcPr>
            <w:tcW w:w="2500" w:type="pct"/>
            <w:shd w:val="clear" w:color="auto" w:fill="auto"/>
            <w:hideMark/>
          </w:tcPr>
          <w:p w14:paraId="2436D98A" w14:textId="77777777" w:rsidR="009B093F" w:rsidRPr="00E14102" w:rsidRDefault="009B093F" w:rsidP="00E14102">
            <w:pPr>
              <w:jc w:val="both"/>
              <w:rPr>
                <w:color w:val="000000" w:themeColor="text1"/>
                <w:sz w:val="16"/>
                <w:szCs w:val="16"/>
              </w:rPr>
            </w:pPr>
            <w:r w:rsidRPr="00E14102">
              <w:rPr>
                <w:color w:val="000000" w:themeColor="text1"/>
                <w:sz w:val="16"/>
                <w:szCs w:val="16"/>
              </w:rPr>
              <w:t>4.19</w:t>
            </w:r>
          </w:p>
        </w:tc>
      </w:tr>
      <w:tr w:rsidR="00E3599D" w:rsidRPr="00E14102" w14:paraId="3C375056" w14:textId="77777777" w:rsidTr="001B27B4">
        <w:tc>
          <w:tcPr>
            <w:tcW w:w="2500" w:type="pct"/>
            <w:shd w:val="clear" w:color="auto" w:fill="auto"/>
            <w:hideMark/>
          </w:tcPr>
          <w:p w14:paraId="40E9B995" w14:textId="77777777" w:rsidR="009B093F" w:rsidRPr="00E14102" w:rsidRDefault="009B093F" w:rsidP="00E14102">
            <w:pPr>
              <w:jc w:val="both"/>
              <w:rPr>
                <w:color w:val="000000" w:themeColor="text1"/>
                <w:sz w:val="16"/>
                <w:szCs w:val="16"/>
              </w:rPr>
            </w:pPr>
            <w:r w:rsidRPr="00E14102">
              <w:rPr>
                <w:color w:val="000000" w:themeColor="text1"/>
                <w:sz w:val="16"/>
                <w:szCs w:val="16"/>
              </w:rPr>
              <w:t>Площадь крыла, м2</w:t>
            </w:r>
          </w:p>
        </w:tc>
        <w:tc>
          <w:tcPr>
            <w:tcW w:w="2500" w:type="pct"/>
            <w:shd w:val="clear" w:color="auto" w:fill="auto"/>
            <w:hideMark/>
          </w:tcPr>
          <w:p w14:paraId="6181661D" w14:textId="77777777" w:rsidR="009B093F" w:rsidRPr="00E14102" w:rsidRDefault="009B093F" w:rsidP="00E14102">
            <w:pPr>
              <w:jc w:val="both"/>
              <w:rPr>
                <w:color w:val="000000" w:themeColor="text1"/>
                <w:sz w:val="16"/>
                <w:szCs w:val="16"/>
              </w:rPr>
            </w:pPr>
            <w:r w:rsidRPr="00E14102">
              <w:rPr>
                <w:color w:val="000000" w:themeColor="text1"/>
                <w:sz w:val="16"/>
                <w:szCs w:val="16"/>
              </w:rPr>
              <w:t>64.70</w:t>
            </w:r>
          </w:p>
        </w:tc>
      </w:tr>
      <w:tr w:rsidR="00E3599D" w:rsidRPr="00E14102" w14:paraId="7B2B38A9" w14:textId="77777777" w:rsidTr="001B27B4">
        <w:tc>
          <w:tcPr>
            <w:tcW w:w="2500" w:type="pct"/>
            <w:shd w:val="clear" w:color="auto" w:fill="auto"/>
            <w:hideMark/>
          </w:tcPr>
          <w:p w14:paraId="3111B900" w14:textId="77777777" w:rsidR="009B093F" w:rsidRPr="00E14102" w:rsidRDefault="009B093F" w:rsidP="00E14102">
            <w:pPr>
              <w:jc w:val="both"/>
              <w:rPr>
                <w:color w:val="000000" w:themeColor="text1"/>
                <w:sz w:val="16"/>
                <w:szCs w:val="16"/>
              </w:rPr>
            </w:pPr>
            <w:r w:rsidRPr="00E14102">
              <w:rPr>
                <w:color w:val="000000" w:themeColor="text1"/>
                <w:sz w:val="16"/>
                <w:szCs w:val="16"/>
              </w:rPr>
              <w:t>Масса, кг</w:t>
            </w:r>
          </w:p>
        </w:tc>
        <w:tc>
          <w:tcPr>
            <w:tcW w:w="2500" w:type="pct"/>
            <w:shd w:val="clear" w:color="auto" w:fill="auto"/>
            <w:hideMark/>
          </w:tcPr>
          <w:p w14:paraId="0FF312F7" w14:textId="77777777" w:rsidR="009B093F" w:rsidRPr="00E14102" w:rsidRDefault="009B093F" w:rsidP="00E14102">
            <w:pPr>
              <w:jc w:val="both"/>
              <w:rPr>
                <w:color w:val="000000" w:themeColor="text1"/>
                <w:sz w:val="16"/>
                <w:szCs w:val="16"/>
              </w:rPr>
            </w:pPr>
          </w:p>
        </w:tc>
      </w:tr>
      <w:tr w:rsidR="00E3599D" w:rsidRPr="00E14102" w14:paraId="4BAA3285" w14:textId="77777777" w:rsidTr="001B27B4">
        <w:tc>
          <w:tcPr>
            <w:tcW w:w="2500" w:type="pct"/>
            <w:shd w:val="clear" w:color="auto" w:fill="auto"/>
            <w:hideMark/>
          </w:tcPr>
          <w:p w14:paraId="4429AEAB" w14:textId="77777777" w:rsidR="009B093F" w:rsidRPr="00E14102" w:rsidRDefault="009B093F" w:rsidP="00E14102">
            <w:pPr>
              <w:jc w:val="both"/>
              <w:rPr>
                <w:color w:val="000000" w:themeColor="text1"/>
                <w:sz w:val="16"/>
                <w:szCs w:val="16"/>
              </w:rPr>
            </w:pPr>
            <w:r w:rsidRPr="00E14102">
              <w:rPr>
                <w:color w:val="000000" w:themeColor="text1"/>
                <w:sz w:val="16"/>
                <w:szCs w:val="16"/>
              </w:rPr>
              <w:t>пустого самолета</w:t>
            </w:r>
          </w:p>
        </w:tc>
        <w:tc>
          <w:tcPr>
            <w:tcW w:w="2500" w:type="pct"/>
            <w:shd w:val="clear" w:color="auto" w:fill="auto"/>
            <w:hideMark/>
          </w:tcPr>
          <w:p w14:paraId="0E1EB8F4" w14:textId="77777777" w:rsidR="009B093F" w:rsidRPr="00E14102" w:rsidRDefault="009B093F" w:rsidP="00E14102">
            <w:pPr>
              <w:jc w:val="both"/>
              <w:rPr>
                <w:color w:val="000000" w:themeColor="text1"/>
                <w:sz w:val="16"/>
                <w:szCs w:val="16"/>
              </w:rPr>
            </w:pPr>
          </w:p>
        </w:tc>
      </w:tr>
      <w:tr w:rsidR="00E3599D" w:rsidRPr="00E14102" w14:paraId="2552E4D1" w14:textId="77777777" w:rsidTr="001B27B4">
        <w:tc>
          <w:tcPr>
            <w:tcW w:w="2500" w:type="pct"/>
            <w:shd w:val="clear" w:color="auto" w:fill="auto"/>
            <w:hideMark/>
          </w:tcPr>
          <w:p w14:paraId="5B60F5E7" w14:textId="77777777" w:rsidR="009B093F" w:rsidRPr="00E14102" w:rsidRDefault="009B093F" w:rsidP="00E14102">
            <w:pPr>
              <w:jc w:val="both"/>
              <w:rPr>
                <w:color w:val="000000" w:themeColor="text1"/>
                <w:sz w:val="16"/>
                <w:szCs w:val="16"/>
              </w:rPr>
            </w:pPr>
            <w:r w:rsidRPr="00E14102">
              <w:rPr>
                <w:color w:val="000000" w:themeColor="text1"/>
                <w:sz w:val="16"/>
                <w:szCs w:val="16"/>
              </w:rPr>
              <w:t>нормальная взлетная</w:t>
            </w:r>
          </w:p>
        </w:tc>
        <w:tc>
          <w:tcPr>
            <w:tcW w:w="2500" w:type="pct"/>
            <w:shd w:val="clear" w:color="auto" w:fill="auto"/>
            <w:hideMark/>
          </w:tcPr>
          <w:p w14:paraId="31C673BD" w14:textId="77777777" w:rsidR="009B093F" w:rsidRPr="00E14102" w:rsidRDefault="009B093F" w:rsidP="00E14102">
            <w:pPr>
              <w:jc w:val="both"/>
              <w:rPr>
                <w:color w:val="000000" w:themeColor="text1"/>
                <w:sz w:val="16"/>
                <w:szCs w:val="16"/>
              </w:rPr>
            </w:pPr>
          </w:p>
        </w:tc>
      </w:tr>
      <w:tr w:rsidR="00E3599D" w:rsidRPr="00E14102" w14:paraId="0B1A9570" w14:textId="77777777" w:rsidTr="001B27B4">
        <w:tc>
          <w:tcPr>
            <w:tcW w:w="2500" w:type="pct"/>
            <w:shd w:val="clear" w:color="auto" w:fill="auto"/>
            <w:hideMark/>
          </w:tcPr>
          <w:p w14:paraId="7820E084" w14:textId="77777777" w:rsidR="009B093F" w:rsidRPr="00E14102" w:rsidRDefault="009B093F" w:rsidP="00E14102">
            <w:pPr>
              <w:jc w:val="both"/>
              <w:rPr>
                <w:color w:val="000000" w:themeColor="text1"/>
                <w:sz w:val="16"/>
                <w:szCs w:val="16"/>
              </w:rPr>
            </w:pPr>
            <w:r w:rsidRPr="00E14102">
              <w:rPr>
                <w:color w:val="000000" w:themeColor="text1"/>
                <w:sz w:val="16"/>
                <w:szCs w:val="16"/>
              </w:rPr>
              <w:t>Тип двигателя</w:t>
            </w:r>
          </w:p>
        </w:tc>
        <w:tc>
          <w:tcPr>
            <w:tcW w:w="2500" w:type="pct"/>
            <w:shd w:val="clear" w:color="auto" w:fill="auto"/>
            <w:hideMark/>
          </w:tcPr>
          <w:p w14:paraId="205229CE" w14:textId="77777777" w:rsidR="009B093F" w:rsidRPr="00E14102" w:rsidRDefault="009B093F" w:rsidP="00E14102">
            <w:pPr>
              <w:jc w:val="both"/>
              <w:rPr>
                <w:color w:val="000000" w:themeColor="text1"/>
                <w:sz w:val="16"/>
                <w:szCs w:val="16"/>
              </w:rPr>
            </w:pPr>
            <w:r w:rsidRPr="00E14102">
              <w:rPr>
                <w:color w:val="000000" w:themeColor="text1"/>
                <w:sz w:val="16"/>
                <w:szCs w:val="16"/>
              </w:rPr>
              <w:t>2 ПД Gnome-Rhone K-14</w:t>
            </w:r>
          </w:p>
        </w:tc>
      </w:tr>
      <w:tr w:rsidR="00E3599D" w:rsidRPr="00E14102" w14:paraId="7FAE01AC" w14:textId="77777777" w:rsidTr="001B27B4">
        <w:tc>
          <w:tcPr>
            <w:tcW w:w="2500" w:type="pct"/>
            <w:shd w:val="clear" w:color="auto" w:fill="auto"/>
            <w:hideMark/>
          </w:tcPr>
          <w:p w14:paraId="15E395C0" w14:textId="77777777" w:rsidR="009B093F" w:rsidRPr="00E14102" w:rsidRDefault="009B093F" w:rsidP="00E14102">
            <w:pPr>
              <w:jc w:val="both"/>
              <w:rPr>
                <w:color w:val="000000" w:themeColor="text1"/>
                <w:sz w:val="16"/>
                <w:szCs w:val="16"/>
              </w:rPr>
            </w:pPr>
            <w:r w:rsidRPr="00E14102">
              <w:rPr>
                <w:color w:val="000000" w:themeColor="text1"/>
                <w:sz w:val="16"/>
                <w:szCs w:val="16"/>
              </w:rPr>
              <w:t>Мощность, л.с.</w:t>
            </w:r>
          </w:p>
        </w:tc>
        <w:tc>
          <w:tcPr>
            <w:tcW w:w="2500" w:type="pct"/>
            <w:shd w:val="clear" w:color="auto" w:fill="auto"/>
            <w:hideMark/>
          </w:tcPr>
          <w:p w14:paraId="56F492BB" w14:textId="77777777" w:rsidR="009B093F" w:rsidRPr="00E14102" w:rsidRDefault="009B093F" w:rsidP="00E14102">
            <w:pPr>
              <w:jc w:val="both"/>
              <w:rPr>
                <w:color w:val="000000" w:themeColor="text1"/>
                <w:sz w:val="16"/>
                <w:szCs w:val="16"/>
              </w:rPr>
            </w:pPr>
            <w:r w:rsidRPr="00E14102">
              <w:rPr>
                <w:color w:val="000000" w:themeColor="text1"/>
                <w:sz w:val="16"/>
                <w:szCs w:val="16"/>
              </w:rPr>
              <w:t>2 х 1050</w:t>
            </w:r>
          </w:p>
        </w:tc>
      </w:tr>
      <w:tr w:rsidR="00E3599D" w:rsidRPr="00E14102" w14:paraId="45824D05" w14:textId="77777777" w:rsidTr="001B27B4">
        <w:tc>
          <w:tcPr>
            <w:tcW w:w="2500" w:type="pct"/>
            <w:shd w:val="clear" w:color="auto" w:fill="auto"/>
            <w:hideMark/>
          </w:tcPr>
          <w:p w14:paraId="51831959" w14:textId="77777777" w:rsidR="009B093F" w:rsidRPr="00E14102" w:rsidRDefault="009B093F" w:rsidP="00E14102">
            <w:pPr>
              <w:jc w:val="both"/>
              <w:rPr>
                <w:color w:val="000000" w:themeColor="text1"/>
                <w:sz w:val="16"/>
                <w:szCs w:val="16"/>
              </w:rPr>
            </w:pPr>
            <w:r w:rsidRPr="00E14102">
              <w:rPr>
                <w:color w:val="000000" w:themeColor="text1"/>
                <w:sz w:val="16"/>
                <w:szCs w:val="16"/>
              </w:rPr>
              <w:t>Максимальная скорость , км/ч</w:t>
            </w:r>
          </w:p>
        </w:tc>
        <w:tc>
          <w:tcPr>
            <w:tcW w:w="2500" w:type="pct"/>
            <w:shd w:val="clear" w:color="auto" w:fill="auto"/>
            <w:hideMark/>
          </w:tcPr>
          <w:p w14:paraId="2D703A88" w14:textId="77777777" w:rsidR="009B093F" w:rsidRPr="00E14102" w:rsidRDefault="009B093F" w:rsidP="00E14102">
            <w:pPr>
              <w:jc w:val="both"/>
              <w:rPr>
                <w:color w:val="000000" w:themeColor="text1"/>
                <w:sz w:val="16"/>
                <w:szCs w:val="16"/>
              </w:rPr>
            </w:pPr>
            <w:r w:rsidRPr="00E14102">
              <w:rPr>
                <w:color w:val="000000" w:themeColor="text1"/>
                <w:sz w:val="16"/>
                <w:szCs w:val="16"/>
              </w:rPr>
              <w:t>385-410</w:t>
            </w:r>
          </w:p>
        </w:tc>
      </w:tr>
      <w:tr w:rsidR="00E3599D" w:rsidRPr="00E14102" w14:paraId="131A053A" w14:textId="77777777" w:rsidTr="001B27B4">
        <w:tc>
          <w:tcPr>
            <w:tcW w:w="2500" w:type="pct"/>
            <w:shd w:val="clear" w:color="auto" w:fill="auto"/>
            <w:hideMark/>
          </w:tcPr>
          <w:p w14:paraId="32D19BF3" w14:textId="77777777" w:rsidR="009B093F" w:rsidRPr="00E14102" w:rsidRDefault="009B093F" w:rsidP="00E14102">
            <w:pPr>
              <w:jc w:val="both"/>
              <w:rPr>
                <w:color w:val="000000" w:themeColor="text1"/>
                <w:sz w:val="16"/>
                <w:szCs w:val="16"/>
              </w:rPr>
            </w:pPr>
            <w:r w:rsidRPr="00E14102">
              <w:rPr>
                <w:color w:val="000000" w:themeColor="text1"/>
                <w:sz w:val="16"/>
                <w:szCs w:val="16"/>
              </w:rPr>
              <w:t>Крейсерская скорость , км/ч</w:t>
            </w:r>
          </w:p>
        </w:tc>
        <w:tc>
          <w:tcPr>
            <w:tcW w:w="2500" w:type="pct"/>
            <w:shd w:val="clear" w:color="auto" w:fill="auto"/>
            <w:hideMark/>
          </w:tcPr>
          <w:p w14:paraId="2E5878AB" w14:textId="77777777" w:rsidR="009B093F" w:rsidRPr="00E14102" w:rsidRDefault="009B093F" w:rsidP="00E14102">
            <w:pPr>
              <w:jc w:val="both"/>
              <w:rPr>
                <w:color w:val="000000" w:themeColor="text1"/>
                <w:sz w:val="16"/>
                <w:szCs w:val="16"/>
              </w:rPr>
            </w:pPr>
            <w:r w:rsidRPr="00E14102">
              <w:rPr>
                <w:color w:val="000000" w:themeColor="text1"/>
                <w:sz w:val="16"/>
                <w:szCs w:val="16"/>
              </w:rPr>
              <w:t>320</w:t>
            </w:r>
          </w:p>
        </w:tc>
      </w:tr>
      <w:tr w:rsidR="00E3599D" w:rsidRPr="00E14102" w14:paraId="38CC82EF" w14:textId="77777777" w:rsidTr="001B27B4">
        <w:tc>
          <w:tcPr>
            <w:tcW w:w="2500" w:type="pct"/>
            <w:shd w:val="clear" w:color="auto" w:fill="auto"/>
            <w:hideMark/>
          </w:tcPr>
          <w:p w14:paraId="68473206" w14:textId="77777777" w:rsidR="009B093F" w:rsidRPr="00E14102" w:rsidRDefault="009B093F" w:rsidP="00E14102">
            <w:pPr>
              <w:jc w:val="both"/>
              <w:rPr>
                <w:color w:val="000000" w:themeColor="text1"/>
                <w:sz w:val="16"/>
                <w:szCs w:val="16"/>
              </w:rPr>
            </w:pPr>
            <w:r w:rsidRPr="00E14102">
              <w:rPr>
                <w:color w:val="000000" w:themeColor="text1"/>
                <w:sz w:val="16"/>
                <w:szCs w:val="16"/>
              </w:rPr>
              <w:t>Перегоночная дальность, км</w:t>
            </w:r>
          </w:p>
        </w:tc>
        <w:tc>
          <w:tcPr>
            <w:tcW w:w="2500" w:type="pct"/>
            <w:shd w:val="clear" w:color="auto" w:fill="auto"/>
            <w:hideMark/>
          </w:tcPr>
          <w:p w14:paraId="0E56F39D" w14:textId="77777777" w:rsidR="009B093F" w:rsidRPr="00E14102" w:rsidRDefault="009B093F" w:rsidP="00E14102">
            <w:pPr>
              <w:jc w:val="both"/>
              <w:rPr>
                <w:color w:val="000000" w:themeColor="text1"/>
                <w:sz w:val="16"/>
                <w:szCs w:val="16"/>
              </w:rPr>
            </w:pPr>
            <w:r w:rsidRPr="00E14102">
              <w:rPr>
                <w:color w:val="000000" w:themeColor="text1"/>
                <w:sz w:val="16"/>
                <w:szCs w:val="16"/>
              </w:rPr>
              <w:t>1500</w:t>
            </w:r>
          </w:p>
        </w:tc>
      </w:tr>
      <w:tr w:rsidR="00E3599D" w:rsidRPr="00E14102" w14:paraId="58FD0F03" w14:textId="77777777" w:rsidTr="001B27B4">
        <w:tc>
          <w:tcPr>
            <w:tcW w:w="2500" w:type="pct"/>
            <w:shd w:val="clear" w:color="auto" w:fill="auto"/>
            <w:hideMark/>
          </w:tcPr>
          <w:p w14:paraId="18C7EDCF" w14:textId="77777777" w:rsidR="009B093F" w:rsidRPr="00E14102" w:rsidRDefault="009B093F" w:rsidP="00E14102">
            <w:pPr>
              <w:jc w:val="both"/>
              <w:rPr>
                <w:color w:val="000000" w:themeColor="text1"/>
                <w:sz w:val="16"/>
                <w:szCs w:val="16"/>
              </w:rPr>
            </w:pPr>
            <w:r w:rsidRPr="00E14102">
              <w:rPr>
                <w:color w:val="000000" w:themeColor="text1"/>
                <w:sz w:val="16"/>
                <w:szCs w:val="16"/>
              </w:rPr>
              <w:t>Практическая дальность, км</w:t>
            </w:r>
          </w:p>
        </w:tc>
        <w:tc>
          <w:tcPr>
            <w:tcW w:w="2500" w:type="pct"/>
            <w:shd w:val="clear" w:color="auto" w:fill="auto"/>
            <w:hideMark/>
          </w:tcPr>
          <w:p w14:paraId="48FACFA7" w14:textId="77777777" w:rsidR="009B093F" w:rsidRPr="00E14102" w:rsidRDefault="009B093F" w:rsidP="00E14102">
            <w:pPr>
              <w:jc w:val="both"/>
              <w:rPr>
                <w:color w:val="000000" w:themeColor="text1"/>
                <w:sz w:val="16"/>
                <w:szCs w:val="16"/>
              </w:rPr>
            </w:pPr>
            <w:r w:rsidRPr="00E14102">
              <w:rPr>
                <w:color w:val="000000" w:themeColor="text1"/>
                <w:sz w:val="16"/>
                <w:szCs w:val="16"/>
              </w:rPr>
              <w:t>850</w:t>
            </w:r>
          </w:p>
        </w:tc>
      </w:tr>
      <w:tr w:rsidR="00E3599D" w:rsidRPr="00E14102" w14:paraId="309F610D" w14:textId="77777777" w:rsidTr="001B27B4">
        <w:tc>
          <w:tcPr>
            <w:tcW w:w="2500" w:type="pct"/>
            <w:shd w:val="clear" w:color="auto" w:fill="auto"/>
            <w:hideMark/>
          </w:tcPr>
          <w:p w14:paraId="7F35BBA8" w14:textId="77777777" w:rsidR="009B093F" w:rsidRPr="00E14102" w:rsidRDefault="009B093F" w:rsidP="00E14102">
            <w:pPr>
              <w:jc w:val="both"/>
              <w:rPr>
                <w:color w:val="000000" w:themeColor="text1"/>
                <w:sz w:val="16"/>
                <w:szCs w:val="16"/>
              </w:rPr>
            </w:pPr>
            <w:r w:rsidRPr="00E14102">
              <w:rPr>
                <w:color w:val="000000" w:themeColor="text1"/>
                <w:sz w:val="16"/>
                <w:szCs w:val="16"/>
              </w:rPr>
              <w:t>Скороподъемность, м/мин</w:t>
            </w:r>
          </w:p>
        </w:tc>
        <w:tc>
          <w:tcPr>
            <w:tcW w:w="2500" w:type="pct"/>
            <w:shd w:val="clear" w:color="auto" w:fill="auto"/>
            <w:hideMark/>
          </w:tcPr>
          <w:p w14:paraId="4B6D0681" w14:textId="77777777" w:rsidR="009B093F" w:rsidRPr="00E14102" w:rsidRDefault="009B093F" w:rsidP="00E14102">
            <w:pPr>
              <w:jc w:val="both"/>
              <w:rPr>
                <w:color w:val="000000" w:themeColor="text1"/>
                <w:sz w:val="16"/>
                <w:szCs w:val="16"/>
              </w:rPr>
            </w:pPr>
          </w:p>
        </w:tc>
      </w:tr>
      <w:tr w:rsidR="00E3599D" w:rsidRPr="00E14102" w14:paraId="615CD6F3" w14:textId="77777777" w:rsidTr="001B27B4">
        <w:tc>
          <w:tcPr>
            <w:tcW w:w="2500" w:type="pct"/>
            <w:shd w:val="clear" w:color="auto" w:fill="auto"/>
            <w:hideMark/>
          </w:tcPr>
          <w:p w14:paraId="6D5AEF8F" w14:textId="77777777" w:rsidR="009B093F" w:rsidRPr="00E14102" w:rsidRDefault="009B093F" w:rsidP="00E14102">
            <w:pPr>
              <w:jc w:val="both"/>
              <w:rPr>
                <w:color w:val="000000" w:themeColor="text1"/>
                <w:sz w:val="16"/>
                <w:szCs w:val="16"/>
              </w:rPr>
            </w:pPr>
            <w:r w:rsidRPr="00E14102">
              <w:rPr>
                <w:color w:val="000000" w:themeColor="text1"/>
                <w:sz w:val="16"/>
                <w:szCs w:val="16"/>
              </w:rPr>
              <w:t>Практический потолок, м</w:t>
            </w:r>
          </w:p>
        </w:tc>
        <w:tc>
          <w:tcPr>
            <w:tcW w:w="2500" w:type="pct"/>
            <w:shd w:val="clear" w:color="auto" w:fill="auto"/>
            <w:hideMark/>
          </w:tcPr>
          <w:p w14:paraId="54A537DC" w14:textId="77777777" w:rsidR="009B093F" w:rsidRPr="00E14102" w:rsidRDefault="009B093F" w:rsidP="00E14102">
            <w:pPr>
              <w:jc w:val="both"/>
              <w:rPr>
                <w:color w:val="000000" w:themeColor="text1"/>
                <w:sz w:val="16"/>
                <w:szCs w:val="16"/>
              </w:rPr>
            </w:pPr>
            <w:r w:rsidRPr="00E14102">
              <w:rPr>
                <w:color w:val="000000" w:themeColor="text1"/>
                <w:sz w:val="16"/>
                <w:szCs w:val="16"/>
              </w:rPr>
              <w:t>8100</w:t>
            </w:r>
          </w:p>
        </w:tc>
      </w:tr>
      <w:tr w:rsidR="00E3599D" w:rsidRPr="00E14102" w14:paraId="66392EFC" w14:textId="77777777" w:rsidTr="001B27B4">
        <w:tc>
          <w:tcPr>
            <w:tcW w:w="2500" w:type="pct"/>
            <w:shd w:val="clear" w:color="auto" w:fill="auto"/>
            <w:hideMark/>
          </w:tcPr>
          <w:p w14:paraId="41AF14EC" w14:textId="77777777" w:rsidR="009B093F" w:rsidRPr="00E14102" w:rsidRDefault="009B093F" w:rsidP="00E14102">
            <w:pPr>
              <w:jc w:val="both"/>
              <w:rPr>
                <w:color w:val="000000" w:themeColor="text1"/>
                <w:sz w:val="16"/>
                <w:szCs w:val="16"/>
              </w:rPr>
            </w:pPr>
            <w:r w:rsidRPr="00E14102">
              <w:rPr>
                <w:color w:val="000000" w:themeColor="text1"/>
                <w:sz w:val="16"/>
                <w:szCs w:val="16"/>
              </w:rPr>
              <w:t>Экипаж, чел</w:t>
            </w:r>
          </w:p>
        </w:tc>
        <w:tc>
          <w:tcPr>
            <w:tcW w:w="2500" w:type="pct"/>
            <w:shd w:val="clear" w:color="auto" w:fill="auto"/>
            <w:hideMark/>
          </w:tcPr>
          <w:p w14:paraId="74C28A1B" w14:textId="77777777" w:rsidR="009B093F" w:rsidRPr="00E14102" w:rsidRDefault="009B093F" w:rsidP="00E14102">
            <w:pPr>
              <w:jc w:val="both"/>
              <w:rPr>
                <w:color w:val="000000" w:themeColor="text1"/>
                <w:sz w:val="16"/>
                <w:szCs w:val="16"/>
              </w:rPr>
            </w:pPr>
            <w:r w:rsidRPr="00E14102">
              <w:rPr>
                <w:color w:val="000000" w:themeColor="text1"/>
                <w:sz w:val="16"/>
                <w:szCs w:val="16"/>
              </w:rPr>
              <w:t>2</w:t>
            </w:r>
          </w:p>
        </w:tc>
      </w:tr>
      <w:tr w:rsidR="00E3599D" w:rsidRPr="00E14102" w14:paraId="3C968C4C" w14:textId="77777777" w:rsidTr="001B27B4">
        <w:tc>
          <w:tcPr>
            <w:tcW w:w="2500" w:type="pct"/>
            <w:shd w:val="clear" w:color="auto" w:fill="auto"/>
            <w:hideMark/>
          </w:tcPr>
          <w:p w14:paraId="3ACC5915" w14:textId="77777777" w:rsidR="009B093F" w:rsidRPr="00E14102" w:rsidRDefault="009B093F" w:rsidP="00E14102">
            <w:pPr>
              <w:jc w:val="both"/>
              <w:rPr>
                <w:color w:val="000000" w:themeColor="text1"/>
                <w:sz w:val="16"/>
                <w:szCs w:val="16"/>
              </w:rPr>
            </w:pPr>
            <w:r w:rsidRPr="00E14102">
              <w:rPr>
                <w:color w:val="000000" w:themeColor="text1"/>
                <w:sz w:val="16"/>
                <w:szCs w:val="16"/>
              </w:rPr>
              <w:t>Полезная нагрузка:</w:t>
            </w:r>
          </w:p>
        </w:tc>
        <w:tc>
          <w:tcPr>
            <w:tcW w:w="2500" w:type="pct"/>
            <w:shd w:val="clear" w:color="auto" w:fill="auto"/>
            <w:hideMark/>
          </w:tcPr>
          <w:p w14:paraId="4C8244CF" w14:textId="77777777" w:rsidR="009B093F" w:rsidRPr="00E14102" w:rsidRDefault="009B093F" w:rsidP="00E14102">
            <w:pPr>
              <w:jc w:val="both"/>
              <w:rPr>
                <w:color w:val="000000" w:themeColor="text1"/>
                <w:sz w:val="16"/>
                <w:szCs w:val="16"/>
              </w:rPr>
            </w:pPr>
            <w:r w:rsidRPr="00E14102">
              <w:rPr>
                <w:color w:val="000000" w:themeColor="text1"/>
                <w:sz w:val="16"/>
                <w:szCs w:val="16"/>
              </w:rPr>
              <w:t>12 пассажиров</w:t>
            </w:r>
          </w:p>
        </w:tc>
      </w:tr>
    </w:tbl>
    <w:p w14:paraId="769103F1" w14:textId="77777777" w:rsidR="009B093F" w:rsidRPr="00E14102" w:rsidRDefault="009B093F" w:rsidP="00E14102">
      <w:pPr>
        <w:jc w:val="both"/>
        <w:rPr>
          <w:bCs/>
          <w:color w:val="000000" w:themeColor="text1"/>
          <w:sz w:val="16"/>
          <w:szCs w:val="16"/>
        </w:rPr>
      </w:pPr>
      <w:r w:rsidRPr="00E14102">
        <w:rPr>
          <w:bCs/>
          <w:color w:val="000000" w:themeColor="text1"/>
          <w:sz w:val="16"/>
          <w:szCs w:val="16"/>
        </w:rPr>
        <w:t>(22704).</w:t>
      </w:r>
    </w:p>
    <w:p w14:paraId="34512791" w14:textId="77777777" w:rsidR="009B093F" w:rsidRPr="00E14102" w:rsidRDefault="009B093F" w:rsidP="00E14102">
      <w:pPr>
        <w:pStyle w:val="ad"/>
        <w:spacing w:before="0" w:after="0"/>
        <w:rPr>
          <w:rFonts w:ascii="Times New Roman" w:hAnsi="Times New Roman" w:cs="Times New Roman"/>
          <w:color w:val="000000" w:themeColor="text1"/>
          <w:sz w:val="16"/>
          <w:szCs w:val="16"/>
        </w:rPr>
      </w:pPr>
    </w:p>
    <w:p w14:paraId="2867B8A0" w14:textId="77777777" w:rsidR="005417B0" w:rsidRPr="00E14102" w:rsidRDefault="005417B0" w:rsidP="00E14102">
      <w:pPr>
        <w:jc w:val="both"/>
        <w:rPr>
          <w:color w:val="000000" w:themeColor="text1"/>
          <w:sz w:val="16"/>
          <w:szCs w:val="16"/>
        </w:rPr>
      </w:pPr>
      <w:r w:rsidRPr="00E14102">
        <w:rPr>
          <w:color w:val="000000" w:themeColor="text1"/>
          <w:sz w:val="16"/>
          <w:szCs w:val="16"/>
        </w:rPr>
        <w:t>В 1935 году С. В. Ильюшин в инициативном порядке предложил пассажирский вариант  бомбардировщика ББ-2 (ЦКБ-30). Проем был достаточно детально проработан, о чем свидетельствуют найденные документы. Ниже мы приводим полный текст докладной записки, подписанной начальником бригады № 3 С. В. Ильюшиным.</w:t>
      </w:r>
    </w:p>
    <w:p w14:paraId="2E228886" w14:textId="77777777" w:rsidR="005417B0" w:rsidRPr="00E14102" w:rsidRDefault="005417B0" w:rsidP="00E14102">
      <w:pPr>
        <w:jc w:val="both"/>
        <w:rPr>
          <w:color w:val="000000" w:themeColor="text1"/>
          <w:sz w:val="16"/>
          <w:szCs w:val="16"/>
        </w:rPr>
      </w:pPr>
      <w:r w:rsidRPr="00E14102">
        <w:rPr>
          <w:color w:val="000000" w:themeColor="text1"/>
          <w:sz w:val="16"/>
          <w:szCs w:val="16"/>
        </w:rPr>
        <w:t>Секретно. Экз № 1</w:t>
      </w:r>
    </w:p>
    <w:p w14:paraId="7DDC5192" w14:textId="77777777" w:rsidR="005417B0" w:rsidRPr="00E14102" w:rsidRDefault="005417B0" w:rsidP="00E14102">
      <w:pPr>
        <w:jc w:val="both"/>
        <w:rPr>
          <w:color w:val="000000" w:themeColor="text1"/>
          <w:sz w:val="16"/>
          <w:szCs w:val="16"/>
        </w:rPr>
      </w:pPr>
      <w:r w:rsidRPr="00E14102">
        <w:rPr>
          <w:color w:val="000000" w:themeColor="text1"/>
          <w:sz w:val="16"/>
          <w:szCs w:val="16"/>
        </w:rPr>
        <w:t>Компоновка и конструкция военного самолета ББ-2 задумана так, чтобы без переделок самолет мог быть переоборудован (а не перестроен) из военного варианта в пассажирский.</w:t>
      </w:r>
    </w:p>
    <w:p w14:paraId="08324687" w14:textId="77777777" w:rsidR="005417B0" w:rsidRPr="00E14102" w:rsidRDefault="005417B0" w:rsidP="00E14102">
      <w:pPr>
        <w:jc w:val="both"/>
        <w:rPr>
          <w:color w:val="000000" w:themeColor="text1"/>
          <w:sz w:val="16"/>
          <w:szCs w:val="16"/>
        </w:rPr>
      </w:pPr>
      <w:r w:rsidRPr="00E14102">
        <w:rPr>
          <w:color w:val="000000" w:themeColor="text1"/>
          <w:sz w:val="16"/>
          <w:szCs w:val="16"/>
        </w:rPr>
        <w:t>Вся конструкция самолета при переходе из военного варианта в гражданский и наоборот, из гражданского в военный, остается неизменной, таким образом производственный процесс остается для обоих вариантов идентичным.</w:t>
      </w:r>
    </w:p>
    <w:p w14:paraId="0BC85F85" w14:textId="77777777" w:rsidR="005417B0" w:rsidRPr="00E14102" w:rsidRDefault="005417B0" w:rsidP="00E14102">
      <w:pPr>
        <w:jc w:val="both"/>
        <w:rPr>
          <w:color w:val="000000" w:themeColor="text1"/>
          <w:sz w:val="16"/>
          <w:szCs w:val="16"/>
        </w:rPr>
      </w:pPr>
      <w:r w:rsidRPr="00E14102">
        <w:rPr>
          <w:color w:val="000000" w:themeColor="text1"/>
          <w:sz w:val="16"/>
          <w:szCs w:val="16"/>
        </w:rPr>
        <w:t>Конструкция предусматривает постановку двух типов моторов: «Гном-Рон» К-14 и Райт-Циклон-3.</w:t>
      </w:r>
    </w:p>
    <w:p w14:paraId="210526D1" w14:textId="77777777" w:rsidR="005417B0" w:rsidRPr="00E14102" w:rsidRDefault="005417B0" w:rsidP="00E14102">
      <w:pPr>
        <w:jc w:val="both"/>
        <w:rPr>
          <w:color w:val="000000" w:themeColor="text1"/>
          <w:sz w:val="16"/>
          <w:szCs w:val="16"/>
        </w:rPr>
      </w:pPr>
      <w:r w:rsidRPr="00E14102">
        <w:rPr>
          <w:color w:val="000000" w:themeColor="text1"/>
          <w:sz w:val="16"/>
          <w:szCs w:val="16"/>
        </w:rPr>
        <w:t>Данные самолета с указанными моторами следующие:</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7275"/>
        <w:gridCol w:w="2005"/>
        <w:gridCol w:w="2043"/>
      </w:tblGrid>
      <w:tr w:rsidR="00E3599D" w:rsidRPr="00E14102" w14:paraId="612BBC64"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5DAEEDED" w14:textId="77777777" w:rsidR="005417B0" w:rsidRPr="00E14102" w:rsidRDefault="005417B0" w:rsidP="00E14102">
            <w:pPr>
              <w:jc w:val="both"/>
              <w:rPr>
                <w:color w:val="000000" w:themeColor="text1"/>
                <w:sz w:val="16"/>
                <w:szCs w:val="16"/>
              </w:rPr>
            </w:pPr>
            <w:r w:rsidRPr="00E14102">
              <w:rPr>
                <w:color w:val="000000" w:themeColor="text1"/>
                <w:sz w:val="16"/>
                <w:szCs w:val="16"/>
              </w:rPr>
              <w:t>Данные</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1AEA7A50" w14:textId="77777777" w:rsidR="005417B0" w:rsidRPr="00E14102" w:rsidRDefault="005417B0" w:rsidP="00E14102">
            <w:pPr>
              <w:jc w:val="both"/>
              <w:rPr>
                <w:color w:val="000000" w:themeColor="text1"/>
                <w:sz w:val="16"/>
                <w:szCs w:val="16"/>
              </w:rPr>
            </w:pPr>
            <w:r w:rsidRPr="00E14102">
              <w:rPr>
                <w:color w:val="000000" w:themeColor="text1"/>
                <w:sz w:val="16"/>
                <w:szCs w:val="16"/>
              </w:rPr>
              <w:t>Гном-Рон К-14</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3063010A" w14:textId="77777777" w:rsidR="005417B0" w:rsidRPr="00E14102" w:rsidRDefault="005417B0" w:rsidP="00E14102">
            <w:pPr>
              <w:jc w:val="both"/>
              <w:rPr>
                <w:color w:val="000000" w:themeColor="text1"/>
                <w:sz w:val="16"/>
                <w:szCs w:val="16"/>
              </w:rPr>
            </w:pPr>
            <w:r w:rsidRPr="00E14102">
              <w:rPr>
                <w:color w:val="000000" w:themeColor="text1"/>
                <w:sz w:val="16"/>
                <w:szCs w:val="16"/>
              </w:rPr>
              <w:t>Райт-Циклон-3</w:t>
            </w:r>
          </w:p>
        </w:tc>
      </w:tr>
      <w:tr w:rsidR="00E3599D" w:rsidRPr="00E14102" w14:paraId="7AB16CB5"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65E72769" w14:textId="77777777" w:rsidR="005417B0" w:rsidRPr="00E14102" w:rsidRDefault="005417B0" w:rsidP="00E14102">
            <w:pPr>
              <w:jc w:val="both"/>
              <w:rPr>
                <w:color w:val="000000" w:themeColor="text1"/>
                <w:sz w:val="16"/>
                <w:szCs w:val="16"/>
              </w:rPr>
            </w:pPr>
            <w:r w:rsidRPr="00E14102">
              <w:rPr>
                <w:color w:val="000000" w:themeColor="text1"/>
                <w:sz w:val="16"/>
                <w:szCs w:val="16"/>
              </w:rPr>
              <w:t>1. Экипаж</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6FDFD43D" w14:textId="77777777" w:rsidR="005417B0" w:rsidRPr="00E14102" w:rsidRDefault="005417B0" w:rsidP="00E14102">
            <w:pPr>
              <w:jc w:val="both"/>
              <w:rPr>
                <w:color w:val="000000" w:themeColor="text1"/>
                <w:sz w:val="16"/>
                <w:szCs w:val="16"/>
              </w:rPr>
            </w:pPr>
            <w:r w:rsidRPr="00E14102">
              <w:rPr>
                <w:color w:val="000000" w:themeColor="text1"/>
                <w:sz w:val="16"/>
                <w:szCs w:val="16"/>
              </w:rPr>
              <w:t>2</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78DE13FB" w14:textId="77777777" w:rsidR="005417B0" w:rsidRPr="00E14102" w:rsidRDefault="005417B0" w:rsidP="00E14102">
            <w:pPr>
              <w:jc w:val="both"/>
              <w:rPr>
                <w:color w:val="000000" w:themeColor="text1"/>
                <w:sz w:val="16"/>
                <w:szCs w:val="16"/>
              </w:rPr>
            </w:pPr>
            <w:r w:rsidRPr="00E14102">
              <w:rPr>
                <w:color w:val="000000" w:themeColor="text1"/>
                <w:sz w:val="16"/>
                <w:szCs w:val="16"/>
              </w:rPr>
              <w:t>2</w:t>
            </w:r>
          </w:p>
        </w:tc>
      </w:tr>
      <w:tr w:rsidR="00E3599D" w:rsidRPr="00E14102" w14:paraId="006E1A04"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3A44495" w14:textId="77777777" w:rsidR="005417B0" w:rsidRPr="00E14102" w:rsidRDefault="005417B0" w:rsidP="00E14102">
            <w:pPr>
              <w:jc w:val="both"/>
              <w:rPr>
                <w:color w:val="000000" w:themeColor="text1"/>
                <w:sz w:val="16"/>
                <w:szCs w:val="16"/>
              </w:rPr>
            </w:pPr>
            <w:r w:rsidRPr="00E14102">
              <w:rPr>
                <w:color w:val="000000" w:themeColor="text1"/>
                <w:sz w:val="16"/>
                <w:szCs w:val="16"/>
              </w:rPr>
              <w:t>2. Пассажиров</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4FE7C01A" w14:textId="77777777" w:rsidR="005417B0" w:rsidRPr="00E14102" w:rsidRDefault="005417B0" w:rsidP="00E14102">
            <w:pPr>
              <w:jc w:val="both"/>
              <w:rPr>
                <w:color w:val="000000" w:themeColor="text1"/>
                <w:sz w:val="16"/>
                <w:szCs w:val="16"/>
              </w:rPr>
            </w:pPr>
            <w:r w:rsidRPr="00E14102">
              <w:rPr>
                <w:color w:val="000000" w:themeColor="text1"/>
                <w:sz w:val="16"/>
                <w:szCs w:val="16"/>
              </w:rPr>
              <w:t>12</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8C17339" w14:textId="77777777" w:rsidR="005417B0" w:rsidRPr="00E14102" w:rsidRDefault="005417B0" w:rsidP="00E14102">
            <w:pPr>
              <w:jc w:val="both"/>
              <w:rPr>
                <w:color w:val="000000" w:themeColor="text1"/>
                <w:sz w:val="16"/>
                <w:szCs w:val="16"/>
              </w:rPr>
            </w:pPr>
            <w:r w:rsidRPr="00E14102">
              <w:rPr>
                <w:color w:val="000000" w:themeColor="text1"/>
                <w:sz w:val="16"/>
                <w:szCs w:val="16"/>
              </w:rPr>
              <w:t>12</w:t>
            </w:r>
          </w:p>
        </w:tc>
      </w:tr>
      <w:tr w:rsidR="00E3599D" w:rsidRPr="00E14102" w14:paraId="17FF8FD7"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1AE8C9CC" w14:textId="77777777" w:rsidR="005417B0" w:rsidRPr="00E14102" w:rsidRDefault="005417B0" w:rsidP="00E14102">
            <w:pPr>
              <w:jc w:val="both"/>
              <w:rPr>
                <w:color w:val="000000" w:themeColor="text1"/>
                <w:sz w:val="16"/>
                <w:szCs w:val="16"/>
              </w:rPr>
            </w:pPr>
            <w:r w:rsidRPr="00E14102">
              <w:rPr>
                <w:color w:val="000000" w:themeColor="text1"/>
                <w:sz w:val="16"/>
                <w:szCs w:val="16"/>
              </w:rPr>
              <w:t>3. Скорость максимальная</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6F924F61" w14:textId="77777777" w:rsidR="005417B0" w:rsidRPr="00E14102" w:rsidRDefault="005417B0" w:rsidP="00E14102">
            <w:pPr>
              <w:jc w:val="both"/>
              <w:rPr>
                <w:color w:val="000000" w:themeColor="text1"/>
                <w:sz w:val="16"/>
                <w:szCs w:val="16"/>
              </w:rPr>
            </w:pPr>
            <w:r w:rsidRPr="00E14102">
              <w:rPr>
                <w:color w:val="000000" w:themeColor="text1"/>
                <w:sz w:val="16"/>
                <w:szCs w:val="16"/>
              </w:rPr>
              <w:t> </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5AFC3163" w14:textId="77777777" w:rsidR="005417B0" w:rsidRPr="00E14102" w:rsidRDefault="005417B0" w:rsidP="00E14102">
            <w:pPr>
              <w:jc w:val="both"/>
              <w:rPr>
                <w:color w:val="000000" w:themeColor="text1"/>
                <w:sz w:val="16"/>
                <w:szCs w:val="16"/>
              </w:rPr>
            </w:pPr>
            <w:r w:rsidRPr="00E14102">
              <w:rPr>
                <w:color w:val="000000" w:themeColor="text1"/>
                <w:sz w:val="16"/>
                <w:szCs w:val="16"/>
              </w:rPr>
              <w:t> </w:t>
            </w:r>
          </w:p>
        </w:tc>
      </w:tr>
      <w:tr w:rsidR="00E3599D" w:rsidRPr="00E14102" w14:paraId="36CA3F99"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423DDBA9" w14:textId="77777777" w:rsidR="005417B0" w:rsidRPr="00E14102" w:rsidRDefault="005417B0" w:rsidP="00E14102">
            <w:pPr>
              <w:jc w:val="both"/>
              <w:rPr>
                <w:color w:val="000000" w:themeColor="text1"/>
                <w:sz w:val="16"/>
                <w:szCs w:val="16"/>
              </w:rPr>
            </w:pPr>
            <w:r w:rsidRPr="00E14102">
              <w:rPr>
                <w:color w:val="000000" w:themeColor="text1"/>
                <w:sz w:val="16"/>
                <w:szCs w:val="16"/>
              </w:rPr>
              <w:t>на высоте 3000 м</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5A20B0D8" w14:textId="77777777" w:rsidR="005417B0" w:rsidRPr="00E14102" w:rsidRDefault="005417B0" w:rsidP="00E14102">
            <w:pPr>
              <w:jc w:val="both"/>
              <w:rPr>
                <w:color w:val="000000" w:themeColor="text1"/>
                <w:sz w:val="16"/>
                <w:szCs w:val="16"/>
              </w:rPr>
            </w:pPr>
            <w:r w:rsidRPr="00E14102">
              <w:rPr>
                <w:color w:val="000000" w:themeColor="text1"/>
                <w:sz w:val="16"/>
                <w:szCs w:val="16"/>
              </w:rPr>
              <w:t>-</w:t>
            </w:r>
          </w:p>
          <w:p w14:paraId="332D2F21" w14:textId="77777777" w:rsidR="005417B0" w:rsidRPr="00E14102" w:rsidRDefault="005417B0" w:rsidP="00E14102">
            <w:pPr>
              <w:jc w:val="both"/>
              <w:rPr>
                <w:color w:val="000000" w:themeColor="text1"/>
                <w:sz w:val="16"/>
                <w:szCs w:val="16"/>
              </w:rPr>
            </w:pPr>
            <w:r w:rsidRPr="00E14102">
              <w:rPr>
                <w:color w:val="000000" w:themeColor="text1"/>
                <w:sz w:val="16"/>
                <w:szCs w:val="16"/>
              </w:rPr>
              <w:t> </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6775C49A" w14:textId="77777777" w:rsidR="005417B0" w:rsidRPr="00E14102" w:rsidRDefault="005417B0" w:rsidP="00E14102">
            <w:pPr>
              <w:jc w:val="both"/>
              <w:rPr>
                <w:color w:val="000000" w:themeColor="text1"/>
                <w:sz w:val="16"/>
                <w:szCs w:val="16"/>
              </w:rPr>
            </w:pPr>
            <w:r w:rsidRPr="00E14102">
              <w:rPr>
                <w:color w:val="000000" w:themeColor="text1"/>
                <w:sz w:val="16"/>
                <w:szCs w:val="16"/>
              </w:rPr>
              <w:t>350-375</w:t>
            </w:r>
          </w:p>
          <w:p w14:paraId="2C0429F4" w14:textId="77777777" w:rsidR="005417B0" w:rsidRPr="00E14102" w:rsidRDefault="005417B0" w:rsidP="00E14102">
            <w:pPr>
              <w:jc w:val="both"/>
              <w:rPr>
                <w:color w:val="000000" w:themeColor="text1"/>
                <w:sz w:val="16"/>
                <w:szCs w:val="16"/>
              </w:rPr>
            </w:pPr>
            <w:r w:rsidRPr="00E14102">
              <w:rPr>
                <w:color w:val="000000" w:themeColor="text1"/>
                <w:sz w:val="16"/>
                <w:szCs w:val="16"/>
              </w:rPr>
              <w:t> </w:t>
            </w:r>
          </w:p>
        </w:tc>
      </w:tr>
      <w:tr w:rsidR="00E3599D" w:rsidRPr="00E14102" w14:paraId="792754E3"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7F68EC7" w14:textId="77777777" w:rsidR="005417B0" w:rsidRPr="00E14102" w:rsidRDefault="005417B0" w:rsidP="00E14102">
            <w:pPr>
              <w:jc w:val="both"/>
              <w:rPr>
                <w:color w:val="000000" w:themeColor="text1"/>
                <w:sz w:val="16"/>
                <w:szCs w:val="16"/>
              </w:rPr>
            </w:pPr>
            <w:r w:rsidRPr="00E14102">
              <w:rPr>
                <w:color w:val="000000" w:themeColor="text1"/>
                <w:sz w:val="16"/>
                <w:szCs w:val="16"/>
              </w:rPr>
              <w:t>на высоте 4000 м</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18D012A1" w14:textId="77777777" w:rsidR="005417B0" w:rsidRPr="00E14102" w:rsidRDefault="005417B0" w:rsidP="00E14102">
            <w:pPr>
              <w:jc w:val="both"/>
              <w:rPr>
                <w:color w:val="000000" w:themeColor="text1"/>
                <w:sz w:val="16"/>
                <w:szCs w:val="16"/>
              </w:rPr>
            </w:pPr>
            <w:r w:rsidRPr="00E14102">
              <w:rPr>
                <w:color w:val="000000" w:themeColor="text1"/>
                <w:sz w:val="16"/>
                <w:szCs w:val="16"/>
              </w:rPr>
              <w:t>385-410</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1677605" w14:textId="77777777" w:rsidR="005417B0" w:rsidRPr="00E14102" w:rsidRDefault="005417B0" w:rsidP="00E14102">
            <w:pPr>
              <w:jc w:val="both"/>
              <w:rPr>
                <w:color w:val="000000" w:themeColor="text1"/>
                <w:sz w:val="16"/>
                <w:szCs w:val="16"/>
              </w:rPr>
            </w:pPr>
            <w:r w:rsidRPr="00E14102">
              <w:rPr>
                <w:color w:val="000000" w:themeColor="text1"/>
                <w:sz w:val="16"/>
                <w:szCs w:val="16"/>
              </w:rPr>
              <w:t>-</w:t>
            </w:r>
          </w:p>
        </w:tc>
      </w:tr>
      <w:tr w:rsidR="00E3599D" w:rsidRPr="00E14102" w14:paraId="4689CEAC"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74F075B5" w14:textId="77777777" w:rsidR="005417B0" w:rsidRPr="00E14102" w:rsidRDefault="005417B0" w:rsidP="00E14102">
            <w:pPr>
              <w:jc w:val="both"/>
              <w:rPr>
                <w:color w:val="000000" w:themeColor="text1"/>
                <w:sz w:val="16"/>
                <w:szCs w:val="16"/>
              </w:rPr>
            </w:pPr>
            <w:r w:rsidRPr="00E14102">
              <w:rPr>
                <w:color w:val="000000" w:themeColor="text1"/>
                <w:sz w:val="16"/>
                <w:szCs w:val="16"/>
              </w:rPr>
              <w:t>4. Потолок</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47E0A60D" w14:textId="77777777" w:rsidR="005417B0" w:rsidRPr="00E14102" w:rsidRDefault="005417B0" w:rsidP="00E14102">
            <w:pPr>
              <w:jc w:val="both"/>
              <w:rPr>
                <w:color w:val="000000" w:themeColor="text1"/>
                <w:sz w:val="16"/>
                <w:szCs w:val="16"/>
              </w:rPr>
            </w:pPr>
            <w:r w:rsidRPr="00E14102">
              <w:rPr>
                <w:color w:val="000000" w:themeColor="text1"/>
                <w:sz w:val="16"/>
                <w:szCs w:val="16"/>
              </w:rPr>
              <w:t>8000</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104F1FF6" w14:textId="77777777" w:rsidR="005417B0" w:rsidRPr="00E14102" w:rsidRDefault="005417B0" w:rsidP="00E14102">
            <w:pPr>
              <w:jc w:val="both"/>
              <w:rPr>
                <w:color w:val="000000" w:themeColor="text1"/>
                <w:sz w:val="16"/>
                <w:szCs w:val="16"/>
              </w:rPr>
            </w:pPr>
            <w:r w:rsidRPr="00E14102">
              <w:rPr>
                <w:color w:val="000000" w:themeColor="text1"/>
                <w:sz w:val="16"/>
                <w:szCs w:val="16"/>
              </w:rPr>
              <w:t>6500</w:t>
            </w:r>
          </w:p>
        </w:tc>
      </w:tr>
      <w:tr w:rsidR="00E3599D" w:rsidRPr="00E14102" w14:paraId="08BC1D96"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2FCA8011" w14:textId="77777777" w:rsidR="005417B0" w:rsidRPr="00E14102" w:rsidRDefault="005417B0" w:rsidP="00E14102">
            <w:pPr>
              <w:jc w:val="both"/>
              <w:rPr>
                <w:color w:val="000000" w:themeColor="text1"/>
                <w:sz w:val="16"/>
                <w:szCs w:val="16"/>
              </w:rPr>
            </w:pPr>
            <w:r w:rsidRPr="00E14102">
              <w:rPr>
                <w:color w:val="000000" w:themeColor="text1"/>
                <w:sz w:val="16"/>
                <w:szCs w:val="16"/>
              </w:rPr>
              <w:t>5. Посадочная скорость при взлете</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69FCF04" w14:textId="77777777" w:rsidR="005417B0" w:rsidRPr="00E14102" w:rsidRDefault="005417B0" w:rsidP="00E14102">
            <w:pPr>
              <w:jc w:val="both"/>
              <w:rPr>
                <w:color w:val="000000" w:themeColor="text1"/>
                <w:sz w:val="16"/>
                <w:szCs w:val="16"/>
              </w:rPr>
            </w:pPr>
            <w:r w:rsidRPr="00E14102">
              <w:rPr>
                <w:color w:val="000000" w:themeColor="text1"/>
                <w:sz w:val="16"/>
                <w:szCs w:val="16"/>
              </w:rPr>
              <w:t>96</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3BD580D4" w14:textId="77777777" w:rsidR="005417B0" w:rsidRPr="00E14102" w:rsidRDefault="005417B0" w:rsidP="00E14102">
            <w:pPr>
              <w:jc w:val="both"/>
              <w:rPr>
                <w:color w:val="000000" w:themeColor="text1"/>
                <w:sz w:val="16"/>
                <w:szCs w:val="16"/>
              </w:rPr>
            </w:pPr>
            <w:r w:rsidRPr="00E14102">
              <w:rPr>
                <w:color w:val="000000" w:themeColor="text1"/>
                <w:sz w:val="16"/>
                <w:szCs w:val="16"/>
              </w:rPr>
              <w:t>96</w:t>
            </w:r>
          </w:p>
        </w:tc>
      </w:tr>
      <w:tr w:rsidR="00E3599D" w:rsidRPr="00E14102" w14:paraId="52854F38"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33C7AB6E" w14:textId="77777777" w:rsidR="005417B0" w:rsidRPr="00E14102" w:rsidRDefault="005417B0" w:rsidP="00E14102">
            <w:pPr>
              <w:jc w:val="both"/>
              <w:rPr>
                <w:color w:val="000000" w:themeColor="text1"/>
                <w:sz w:val="16"/>
                <w:szCs w:val="16"/>
              </w:rPr>
            </w:pPr>
            <w:r w:rsidRPr="00E14102">
              <w:rPr>
                <w:color w:val="000000" w:themeColor="text1"/>
                <w:sz w:val="16"/>
                <w:szCs w:val="16"/>
              </w:rPr>
              <w:t>6. Посадочная скорость при выгоревшем горючем</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E086DAF" w14:textId="77777777" w:rsidR="005417B0" w:rsidRPr="00E14102" w:rsidRDefault="005417B0" w:rsidP="00E14102">
            <w:pPr>
              <w:jc w:val="both"/>
              <w:rPr>
                <w:color w:val="000000" w:themeColor="text1"/>
                <w:sz w:val="16"/>
                <w:szCs w:val="16"/>
              </w:rPr>
            </w:pPr>
            <w:r w:rsidRPr="00E14102">
              <w:rPr>
                <w:color w:val="000000" w:themeColor="text1"/>
                <w:sz w:val="16"/>
                <w:szCs w:val="16"/>
              </w:rPr>
              <w:t>91</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74649A6D" w14:textId="77777777" w:rsidR="005417B0" w:rsidRPr="00E14102" w:rsidRDefault="005417B0" w:rsidP="00E14102">
            <w:pPr>
              <w:jc w:val="both"/>
              <w:rPr>
                <w:color w:val="000000" w:themeColor="text1"/>
                <w:sz w:val="16"/>
                <w:szCs w:val="16"/>
              </w:rPr>
            </w:pPr>
            <w:r w:rsidRPr="00E14102">
              <w:rPr>
                <w:color w:val="000000" w:themeColor="text1"/>
                <w:sz w:val="16"/>
                <w:szCs w:val="16"/>
              </w:rPr>
              <w:t>91</w:t>
            </w:r>
          </w:p>
        </w:tc>
      </w:tr>
      <w:tr w:rsidR="00E3599D" w:rsidRPr="00E14102" w14:paraId="4DF351FF"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5F3CE87D" w14:textId="77777777" w:rsidR="005417B0" w:rsidRPr="00E14102" w:rsidRDefault="005417B0" w:rsidP="00E14102">
            <w:pPr>
              <w:jc w:val="both"/>
              <w:rPr>
                <w:color w:val="000000" w:themeColor="text1"/>
                <w:sz w:val="16"/>
                <w:szCs w:val="16"/>
              </w:rPr>
            </w:pPr>
            <w:r w:rsidRPr="00E14102">
              <w:rPr>
                <w:color w:val="000000" w:themeColor="text1"/>
                <w:sz w:val="16"/>
                <w:szCs w:val="16"/>
              </w:rPr>
              <w:t>7. Нормальная дальность</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3EAFF8C0" w14:textId="77777777" w:rsidR="005417B0" w:rsidRPr="00E14102" w:rsidRDefault="005417B0" w:rsidP="00E14102">
            <w:pPr>
              <w:jc w:val="both"/>
              <w:rPr>
                <w:color w:val="000000" w:themeColor="text1"/>
                <w:sz w:val="16"/>
                <w:szCs w:val="16"/>
              </w:rPr>
            </w:pPr>
            <w:r w:rsidRPr="00E14102">
              <w:rPr>
                <w:color w:val="000000" w:themeColor="text1"/>
                <w:sz w:val="16"/>
                <w:szCs w:val="16"/>
              </w:rPr>
              <w:t>850</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7FE6A275" w14:textId="77777777" w:rsidR="005417B0" w:rsidRPr="00E14102" w:rsidRDefault="005417B0" w:rsidP="00E14102">
            <w:pPr>
              <w:jc w:val="both"/>
              <w:rPr>
                <w:color w:val="000000" w:themeColor="text1"/>
                <w:sz w:val="16"/>
                <w:szCs w:val="16"/>
              </w:rPr>
            </w:pPr>
            <w:r w:rsidRPr="00E14102">
              <w:rPr>
                <w:color w:val="000000" w:themeColor="text1"/>
                <w:sz w:val="16"/>
                <w:szCs w:val="16"/>
              </w:rPr>
              <w:t>850</w:t>
            </w:r>
          </w:p>
        </w:tc>
      </w:tr>
      <w:tr w:rsidR="00E3599D" w:rsidRPr="00E14102" w14:paraId="13C31C2F"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A9D8845" w14:textId="77777777" w:rsidR="005417B0" w:rsidRPr="00E14102" w:rsidRDefault="005417B0" w:rsidP="00E14102">
            <w:pPr>
              <w:jc w:val="both"/>
              <w:rPr>
                <w:color w:val="000000" w:themeColor="text1"/>
                <w:sz w:val="16"/>
                <w:szCs w:val="16"/>
              </w:rPr>
            </w:pPr>
            <w:r w:rsidRPr="00E14102">
              <w:rPr>
                <w:color w:val="000000" w:themeColor="text1"/>
                <w:sz w:val="16"/>
                <w:szCs w:val="16"/>
              </w:rPr>
              <w:t>8. Дальность с перегрузкой</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5881705E" w14:textId="77777777" w:rsidR="005417B0" w:rsidRPr="00E14102" w:rsidRDefault="005417B0" w:rsidP="00E14102">
            <w:pPr>
              <w:jc w:val="both"/>
              <w:rPr>
                <w:color w:val="000000" w:themeColor="text1"/>
                <w:sz w:val="16"/>
                <w:szCs w:val="16"/>
              </w:rPr>
            </w:pPr>
            <w:r w:rsidRPr="00E14102">
              <w:rPr>
                <w:color w:val="000000" w:themeColor="text1"/>
                <w:sz w:val="16"/>
                <w:szCs w:val="16"/>
              </w:rPr>
              <w:t>1500</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78C0B3EA" w14:textId="77777777" w:rsidR="005417B0" w:rsidRPr="00E14102" w:rsidRDefault="005417B0" w:rsidP="00E14102">
            <w:pPr>
              <w:jc w:val="both"/>
              <w:rPr>
                <w:color w:val="000000" w:themeColor="text1"/>
                <w:sz w:val="16"/>
                <w:szCs w:val="16"/>
              </w:rPr>
            </w:pPr>
            <w:r w:rsidRPr="00E14102">
              <w:rPr>
                <w:color w:val="000000" w:themeColor="text1"/>
                <w:sz w:val="16"/>
                <w:szCs w:val="16"/>
              </w:rPr>
              <w:t>1500</w:t>
            </w:r>
          </w:p>
        </w:tc>
      </w:tr>
    </w:tbl>
    <w:p w14:paraId="3F1CFA6F" w14:textId="77777777" w:rsidR="005417B0" w:rsidRPr="00E14102" w:rsidRDefault="005417B0" w:rsidP="00E14102">
      <w:pPr>
        <w:jc w:val="both"/>
        <w:rPr>
          <w:color w:val="000000" w:themeColor="text1"/>
          <w:sz w:val="16"/>
          <w:szCs w:val="16"/>
        </w:rPr>
      </w:pPr>
      <w:r w:rsidRPr="00E14102">
        <w:rPr>
          <w:color w:val="000000" w:themeColor="text1"/>
          <w:sz w:val="16"/>
          <w:szCs w:val="16"/>
        </w:rPr>
        <w:lastRenderedPageBreak/>
        <w:t>При сем прилагается краткое техническое описание самолета. Начальник бригады № 3 С. Ильюшин</w:t>
      </w:r>
    </w:p>
    <w:p w14:paraId="55C0597A" w14:textId="77777777" w:rsidR="005417B0" w:rsidRPr="00E14102" w:rsidRDefault="005417B0" w:rsidP="00E14102">
      <w:pPr>
        <w:jc w:val="both"/>
        <w:rPr>
          <w:color w:val="000000" w:themeColor="text1"/>
          <w:sz w:val="16"/>
          <w:szCs w:val="16"/>
        </w:rPr>
      </w:pPr>
      <w:r w:rsidRPr="00E14102">
        <w:rPr>
          <w:color w:val="000000" w:themeColor="text1"/>
          <w:sz w:val="16"/>
          <w:szCs w:val="16"/>
        </w:rPr>
        <w:t>Секретно. Экз 1937 вышел приказ НКОП № 1</w:t>
      </w:r>
    </w:p>
    <w:p w14:paraId="4F357F67" w14:textId="77777777" w:rsidR="005417B0" w:rsidRPr="00E14102" w:rsidRDefault="005417B0" w:rsidP="00E14102">
      <w:pPr>
        <w:jc w:val="both"/>
        <w:rPr>
          <w:color w:val="000000" w:themeColor="text1"/>
          <w:sz w:val="16"/>
          <w:szCs w:val="16"/>
        </w:rPr>
      </w:pPr>
      <w:r w:rsidRPr="00E14102">
        <w:rPr>
          <w:color w:val="000000" w:themeColor="text1"/>
          <w:sz w:val="16"/>
          <w:szCs w:val="16"/>
        </w:rPr>
        <w:t>Краткое техническое описание самолета ББ-2 -2 «Гном-Рон» К-14</w:t>
      </w:r>
    </w:p>
    <w:p w14:paraId="52656357" w14:textId="77777777" w:rsidR="005417B0" w:rsidRPr="00E14102" w:rsidRDefault="005417B0" w:rsidP="00E14102">
      <w:pPr>
        <w:jc w:val="both"/>
        <w:rPr>
          <w:color w:val="000000" w:themeColor="text1"/>
          <w:sz w:val="16"/>
          <w:szCs w:val="16"/>
        </w:rPr>
      </w:pPr>
      <w:r w:rsidRPr="00E14102">
        <w:rPr>
          <w:color w:val="000000" w:themeColor="text1"/>
          <w:sz w:val="16"/>
          <w:szCs w:val="16"/>
        </w:rPr>
        <w:t>Самолет ББ-2 2К-14 представляет собой моноплан с низкорасположенным крылом цельнометаллической конструкции. Фюзеляж на первый летный экземпляр самолета делается цельнодеревянный, каркас которого состоит из стрингеров, лонжеронов и поперечных клееных фанерных шпангоутов.</w:t>
      </w:r>
    </w:p>
    <w:p w14:paraId="16A0E10B" w14:textId="77777777" w:rsidR="005417B0" w:rsidRPr="00E14102" w:rsidRDefault="005417B0" w:rsidP="00E14102">
      <w:pPr>
        <w:jc w:val="both"/>
        <w:rPr>
          <w:color w:val="000000" w:themeColor="text1"/>
          <w:sz w:val="16"/>
          <w:szCs w:val="16"/>
        </w:rPr>
      </w:pPr>
      <w:r w:rsidRPr="00E14102">
        <w:rPr>
          <w:color w:val="000000" w:themeColor="text1"/>
          <w:sz w:val="16"/>
          <w:szCs w:val="16"/>
        </w:rPr>
        <w:t>Обшивка из фанерного шпона. На втором летном экземпляре будет цельнометаллический фюзеляж целиком из супералюминия с жесткой обшивкой. Оперение цельнометаллическое - дюралюминиевое.</w:t>
      </w:r>
    </w:p>
    <w:p w14:paraId="34E60DB5" w14:textId="77777777" w:rsidR="005417B0" w:rsidRPr="00E14102" w:rsidRDefault="005417B0" w:rsidP="00E14102">
      <w:pPr>
        <w:jc w:val="both"/>
        <w:rPr>
          <w:color w:val="000000" w:themeColor="text1"/>
          <w:sz w:val="16"/>
          <w:szCs w:val="16"/>
        </w:rPr>
      </w:pPr>
      <w:r w:rsidRPr="00E14102">
        <w:rPr>
          <w:color w:val="000000" w:themeColor="text1"/>
          <w:sz w:val="16"/>
          <w:szCs w:val="16"/>
        </w:rPr>
        <w:t>1. Крыло.</w:t>
      </w:r>
    </w:p>
    <w:p w14:paraId="78A8A0C2" w14:textId="77777777" w:rsidR="005417B0" w:rsidRPr="00E14102" w:rsidRDefault="005417B0" w:rsidP="00E14102">
      <w:pPr>
        <w:jc w:val="both"/>
        <w:rPr>
          <w:color w:val="000000" w:themeColor="text1"/>
          <w:sz w:val="16"/>
          <w:szCs w:val="16"/>
        </w:rPr>
      </w:pPr>
      <w:r w:rsidRPr="00E14102">
        <w:rPr>
          <w:color w:val="000000" w:themeColor="text1"/>
          <w:sz w:val="16"/>
          <w:szCs w:val="16"/>
        </w:rPr>
        <w:t>Крыло состоит из пяти частей. Средняя часть - центроплан, - жестко укреплен к фюзеляжу и составляет с ним одно целое. Размер центроплана таков, что он может вместе с фюзеляжем входить в габариты железной дороги.</w:t>
      </w:r>
    </w:p>
    <w:p w14:paraId="782C21AB" w14:textId="77777777" w:rsidR="005417B0" w:rsidRPr="00E14102" w:rsidRDefault="005417B0" w:rsidP="00E14102">
      <w:pPr>
        <w:jc w:val="both"/>
        <w:rPr>
          <w:color w:val="000000" w:themeColor="text1"/>
          <w:sz w:val="16"/>
          <w:szCs w:val="16"/>
        </w:rPr>
      </w:pPr>
      <w:r w:rsidRPr="00E14102">
        <w:rPr>
          <w:color w:val="000000" w:themeColor="text1"/>
          <w:sz w:val="16"/>
          <w:szCs w:val="16"/>
        </w:rPr>
        <w:t>Требование обязательной первозки самолета по железной дороге вызвало необходимость разрезать крыло еще в одном месте, так как иначе все моторное хозяйство и шасси находились бы вместе с консолью и таким образом создали бы все вытекающие при этом неудобства, связанные со сборкой и разборкой самолета.</w:t>
      </w:r>
    </w:p>
    <w:p w14:paraId="50148C3D" w14:textId="77777777" w:rsidR="005417B0" w:rsidRPr="00E14102" w:rsidRDefault="005417B0" w:rsidP="00E14102">
      <w:pPr>
        <w:jc w:val="both"/>
        <w:rPr>
          <w:color w:val="000000" w:themeColor="text1"/>
          <w:sz w:val="16"/>
          <w:szCs w:val="16"/>
        </w:rPr>
      </w:pPr>
      <w:r w:rsidRPr="00E14102">
        <w:rPr>
          <w:color w:val="000000" w:themeColor="text1"/>
          <w:sz w:val="16"/>
          <w:szCs w:val="16"/>
        </w:rPr>
        <w:t>Таким образом, крыло состоит из центральной части и двух примыкающих к нему отсеков, на которых крепятся шасси и моторная установка, и двух консолей.</w:t>
      </w:r>
    </w:p>
    <w:p w14:paraId="3F54E863" w14:textId="77777777" w:rsidR="005417B0" w:rsidRPr="00E14102" w:rsidRDefault="005417B0" w:rsidP="00E14102">
      <w:pPr>
        <w:jc w:val="both"/>
        <w:rPr>
          <w:color w:val="000000" w:themeColor="text1"/>
          <w:sz w:val="16"/>
          <w:szCs w:val="16"/>
        </w:rPr>
      </w:pPr>
      <w:r w:rsidRPr="00E14102">
        <w:rPr>
          <w:color w:val="000000" w:themeColor="text1"/>
          <w:sz w:val="16"/>
          <w:szCs w:val="16"/>
        </w:rPr>
        <w:t>Крыло состоит из двух лонжеронов из закаленной хромомолибденовой стали ферменного типа. Каркас крыла состоит из набора равносиловых нервюр и продольных стрингеров. В местах стыка консолей и моторных отсеков к центроплану жесткая обшика будет соединена для того, чтобы она работала на всем размахе.</w:t>
      </w:r>
    </w:p>
    <w:p w14:paraId="3763EAD8" w14:textId="77777777" w:rsidR="005417B0" w:rsidRPr="00E14102" w:rsidRDefault="005417B0" w:rsidP="00E14102">
      <w:pPr>
        <w:jc w:val="both"/>
        <w:rPr>
          <w:color w:val="000000" w:themeColor="text1"/>
          <w:sz w:val="16"/>
          <w:szCs w:val="16"/>
        </w:rPr>
      </w:pPr>
      <w:r w:rsidRPr="00E14102">
        <w:rPr>
          <w:color w:val="000000" w:themeColor="text1"/>
          <w:sz w:val="16"/>
          <w:szCs w:val="16"/>
        </w:rPr>
        <w:t>Обшивка гладкая с потайной клепкой. Нервюры и обшивка - из супердюраля. Между продольной осью самолета и внутренним концом элерона расположены щитки для уменьшения посадочной скорости.</w:t>
      </w:r>
    </w:p>
    <w:p w14:paraId="0F3521E2" w14:textId="77777777" w:rsidR="005417B0" w:rsidRPr="00E14102" w:rsidRDefault="005417B0" w:rsidP="00E14102">
      <w:pPr>
        <w:jc w:val="both"/>
        <w:rPr>
          <w:color w:val="000000" w:themeColor="text1"/>
          <w:sz w:val="16"/>
          <w:szCs w:val="16"/>
        </w:rPr>
      </w:pPr>
      <w:r w:rsidRPr="00E14102">
        <w:rPr>
          <w:color w:val="000000" w:themeColor="text1"/>
          <w:sz w:val="16"/>
          <w:szCs w:val="16"/>
        </w:rPr>
        <w:t>Профиль крыла - CLARC Y 15, толщина у корня крыла - 16%, на конце крыла - 10%. Элероны не щелевые. Разгрузка от шарнирных моментов достигается с помощью флетнеров.</w:t>
      </w:r>
    </w:p>
    <w:p w14:paraId="0461A489" w14:textId="77777777" w:rsidR="005417B0" w:rsidRPr="00E14102" w:rsidRDefault="005417B0" w:rsidP="00E14102">
      <w:pPr>
        <w:jc w:val="both"/>
        <w:rPr>
          <w:color w:val="000000" w:themeColor="text1"/>
          <w:sz w:val="16"/>
          <w:szCs w:val="16"/>
        </w:rPr>
      </w:pPr>
      <w:r w:rsidRPr="00E14102">
        <w:rPr>
          <w:color w:val="000000" w:themeColor="text1"/>
          <w:sz w:val="16"/>
          <w:szCs w:val="16"/>
        </w:rPr>
        <w:t>2. Фюзеляж.</w:t>
      </w:r>
    </w:p>
    <w:p w14:paraId="30F1CF8C" w14:textId="77777777" w:rsidR="005417B0" w:rsidRPr="00E14102" w:rsidRDefault="005417B0" w:rsidP="00E14102">
      <w:pPr>
        <w:jc w:val="both"/>
        <w:rPr>
          <w:color w:val="000000" w:themeColor="text1"/>
          <w:sz w:val="16"/>
          <w:szCs w:val="16"/>
        </w:rPr>
      </w:pPr>
      <w:r w:rsidRPr="00E14102">
        <w:rPr>
          <w:color w:val="000000" w:themeColor="text1"/>
          <w:sz w:val="16"/>
          <w:szCs w:val="16"/>
        </w:rPr>
        <w:t>Фюзеляж состоит из пяти продольных лонжеронов, системы стрингеров и поперечного набора, состоящего из клееных фанерных с деревом рам. Покрытие фюзеляжа - шпон 4,5 и б слоев шпона. Киль составляет одно целое с фюзеляжем.</w:t>
      </w:r>
    </w:p>
    <w:p w14:paraId="47B3F50B" w14:textId="77777777" w:rsidR="005417B0" w:rsidRPr="00E14102" w:rsidRDefault="005417B0" w:rsidP="00E14102">
      <w:pPr>
        <w:jc w:val="both"/>
        <w:rPr>
          <w:color w:val="000000" w:themeColor="text1"/>
          <w:sz w:val="16"/>
          <w:szCs w:val="16"/>
        </w:rPr>
      </w:pPr>
      <w:r w:rsidRPr="00E14102">
        <w:rPr>
          <w:color w:val="000000" w:themeColor="text1"/>
          <w:sz w:val="16"/>
          <w:szCs w:val="16"/>
        </w:rPr>
        <w:t>3. Шасси.</w:t>
      </w:r>
    </w:p>
    <w:p w14:paraId="5DCC6FE6" w14:textId="77777777" w:rsidR="005417B0" w:rsidRPr="00E14102" w:rsidRDefault="005417B0" w:rsidP="00E14102">
      <w:pPr>
        <w:jc w:val="both"/>
        <w:rPr>
          <w:color w:val="000000" w:themeColor="text1"/>
          <w:sz w:val="16"/>
          <w:szCs w:val="16"/>
        </w:rPr>
      </w:pPr>
      <w:r w:rsidRPr="00E14102">
        <w:rPr>
          <w:color w:val="000000" w:themeColor="text1"/>
          <w:sz w:val="16"/>
          <w:szCs w:val="16"/>
        </w:rPr>
        <w:t>Шасси убирающееся назад по потоку. Уборка и выпуск шасси производятся посредством гидравлической системы. Механизм уборки состоит из цилиндра и штока непосредственно действующего на рычаг, ось вращения которого совпадает с осью вращения шасси. На передний удар усилие воспринимается подкосом, идущим в основном от рамы шасси к ферменной корзинке крыла. На этих подкосах имеются ползуны, которые в верхнем убранном положении и в нижнем выпущенном положении имеют замки пушечного типа, которые посредством механической передачи могут быть открываемы и закрываемы.</w:t>
      </w:r>
    </w:p>
    <w:p w14:paraId="06EDC0A5" w14:textId="77777777" w:rsidR="005417B0" w:rsidRPr="00E14102" w:rsidRDefault="005417B0" w:rsidP="00E14102">
      <w:pPr>
        <w:jc w:val="both"/>
        <w:rPr>
          <w:color w:val="000000" w:themeColor="text1"/>
          <w:sz w:val="16"/>
          <w:szCs w:val="16"/>
        </w:rPr>
      </w:pPr>
      <w:r w:rsidRPr="00E14102">
        <w:rPr>
          <w:color w:val="000000" w:themeColor="text1"/>
          <w:sz w:val="16"/>
          <w:szCs w:val="16"/>
        </w:rPr>
        <w:t>Предусмотрен аварийный выпуск шасси.</w:t>
      </w:r>
    </w:p>
    <w:p w14:paraId="6A04379B" w14:textId="77777777" w:rsidR="005417B0" w:rsidRPr="00E14102" w:rsidRDefault="005417B0" w:rsidP="00E14102">
      <w:pPr>
        <w:jc w:val="both"/>
        <w:rPr>
          <w:color w:val="000000" w:themeColor="text1"/>
          <w:sz w:val="16"/>
          <w:szCs w:val="16"/>
        </w:rPr>
      </w:pPr>
      <w:r w:rsidRPr="00E14102">
        <w:rPr>
          <w:color w:val="000000" w:themeColor="text1"/>
          <w:sz w:val="16"/>
          <w:szCs w:val="16"/>
        </w:rPr>
        <w:t>В том случае, когда откажет работать основной механизм по выпуску шасси - гидравлический, тогда посредством механизма, состоящего из барабана с рукояткой вращения в кабине летчика и тросов, проходящих через систему роликов, осуществляется выпуск шасси.</w:t>
      </w:r>
    </w:p>
    <w:p w14:paraId="3ED621F4" w14:textId="77777777" w:rsidR="005417B0" w:rsidRPr="00E14102" w:rsidRDefault="005417B0" w:rsidP="00E14102">
      <w:pPr>
        <w:jc w:val="both"/>
        <w:rPr>
          <w:color w:val="000000" w:themeColor="text1"/>
          <w:sz w:val="16"/>
          <w:szCs w:val="16"/>
        </w:rPr>
      </w:pPr>
      <w:r w:rsidRPr="00E14102">
        <w:rPr>
          <w:color w:val="000000" w:themeColor="text1"/>
          <w:sz w:val="16"/>
          <w:szCs w:val="16"/>
        </w:rPr>
        <w:t>Система аморитизации олеопневматическая. Колесо - тормозное, 900×200 мм. Все предусмотрено для того, чтобы в случае возможных в дальнейшем больших перегрузок самолета можно было бы заменить переднюю раму шасси и подкосы для колеса размером 1100×250 мм.</w:t>
      </w:r>
    </w:p>
    <w:p w14:paraId="37E17604" w14:textId="77777777" w:rsidR="005417B0" w:rsidRPr="00E14102" w:rsidRDefault="005417B0" w:rsidP="00E14102">
      <w:pPr>
        <w:jc w:val="both"/>
        <w:rPr>
          <w:color w:val="000000" w:themeColor="text1"/>
          <w:sz w:val="16"/>
          <w:szCs w:val="16"/>
        </w:rPr>
      </w:pPr>
      <w:r w:rsidRPr="00E14102">
        <w:rPr>
          <w:color w:val="000000" w:themeColor="text1"/>
          <w:sz w:val="16"/>
          <w:szCs w:val="16"/>
        </w:rPr>
        <w:t>4. Винто-моторная группа.</w:t>
      </w:r>
    </w:p>
    <w:p w14:paraId="5F795244" w14:textId="77777777" w:rsidR="005417B0" w:rsidRPr="00E14102" w:rsidRDefault="005417B0" w:rsidP="00E14102">
      <w:pPr>
        <w:jc w:val="both"/>
        <w:rPr>
          <w:color w:val="000000" w:themeColor="text1"/>
          <w:sz w:val="16"/>
          <w:szCs w:val="16"/>
        </w:rPr>
      </w:pPr>
      <w:r w:rsidRPr="00E14102">
        <w:rPr>
          <w:color w:val="000000" w:themeColor="text1"/>
          <w:sz w:val="16"/>
          <w:szCs w:val="16"/>
        </w:rPr>
        <w:t>Моторы «Гном-Рон» К-14 помещены на крыльях. Ось тяги винта помещена на 75 мм ниже хорды крыла. Мотор окопотирован капотом НАКА. Масляные баки помещены за мотором. Бензиновая система состоит из шести баков, размещенных: два в центроплане и один в моторном отсеке. Масляный радиатор будет размещен радиально вокруг нижней части редуктора мотора. Заливка системы перед запуском будет осуществляться самотеком из бачка, находящегося в фюзеляже, в коке обтекания за головой летчика.</w:t>
      </w:r>
    </w:p>
    <w:p w14:paraId="4C55DA3C" w14:textId="77777777" w:rsidR="005417B0" w:rsidRPr="00E14102" w:rsidRDefault="005417B0" w:rsidP="00E14102">
      <w:pPr>
        <w:jc w:val="both"/>
        <w:rPr>
          <w:color w:val="000000" w:themeColor="text1"/>
          <w:sz w:val="16"/>
          <w:szCs w:val="16"/>
        </w:rPr>
      </w:pPr>
      <w:r w:rsidRPr="00E14102">
        <w:rPr>
          <w:color w:val="000000" w:themeColor="text1"/>
          <w:sz w:val="16"/>
          <w:szCs w:val="16"/>
        </w:rPr>
        <w:t>5. Хвостовое оперение.</w:t>
      </w:r>
    </w:p>
    <w:p w14:paraId="14A22058" w14:textId="77777777" w:rsidR="005417B0" w:rsidRPr="00E14102" w:rsidRDefault="005417B0" w:rsidP="00E14102">
      <w:pPr>
        <w:jc w:val="both"/>
        <w:rPr>
          <w:color w:val="000000" w:themeColor="text1"/>
          <w:sz w:val="16"/>
          <w:szCs w:val="16"/>
        </w:rPr>
      </w:pPr>
      <w:r w:rsidRPr="00E14102">
        <w:rPr>
          <w:color w:val="000000" w:themeColor="text1"/>
          <w:sz w:val="16"/>
          <w:szCs w:val="16"/>
        </w:rPr>
        <w:t>Хвостовое оперение состоит из неподвижного закрепленного стабилизатора, могущего регулироваться лишь на земле, и двух рулей высоты, снабженных для разгрузки от шарнирных моментов флетнерами.</w:t>
      </w:r>
    </w:p>
    <w:p w14:paraId="2ABF7CB4" w14:textId="77777777" w:rsidR="005417B0" w:rsidRPr="00E14102" w:rsidRDefault="005417B0" w:rsidP="00E14102">
      <w:pPr>
        <w:jc w:val="both"/>
        <w:rPr>
          <w:color w:val="000000" w:themeColor="text1"/>
          <w:sz w:val="16"/>
          <w:szCs w:val="16"/>
        </w:rPr>
      </w:pPr>
      <w:r w:rsidRPr="00E14102">
        <w:rPr>
          <w:color w:val="000000" w:themeColor="text1"/>
          <w:sz w:val="16"/>
          <w:szCs w:val="16"/>
        </w:rPr>
        <w:t>Лонжероны стабилизатора - передний и задний, - из дюралюминиевых труб, ферменные, клепаной конструкции. Обшивка стабилизатора гладкая, жесткая. Руль высоты имеет полутрубчатого типа лонжероны, работающие на кручение. Обшивка руля высоты будет полотняная.</w:t>
      </w:r>
    </w:p>
    <w:p w14:paraId="0F1FC9BB" w14:textId="77777777" w:rsidR="005417B0" w:rsidRPr="00E14102" w:rsidRDefault="005417B0" w:rsidP="00E14102">
      <w:pPr>
        <w:jc w:val="both"/>
        <w:rPr>
          <w:color w:val="000000" w:themeColor="text1"/>
          <w:sz w:val="16"/>
          <w:szCs w:val="16"/>
        </w:rPr>
      </w:pPr>
      <w:r w:rsidRPr="00E14102">
        <w:rPr>
          <w:color w:val="000000" w:themeColor="text1"/>
          <w:sz w:val="16"/>
          <w:szCs w:val="16"/>
        </w:rPr>
        <w:t>Киль составляет одно целое с фюзеляжем. Руль поворота разгружен от шарнирных моментов флетнером и имеет конструкцию, аналогичную рулю высоты. Все кабанчики спрятаны внутри фюзеляжа.</w:t>
      </w:r>
    </w:p>
    <w:p w14:paraId="518AB139" w14:textId="77777777" w:rsidR="005417B0" w:rsidRPr="00E14102" w:rsidRDefault="005417B0" w:rsidP="00E14102">
      <w:pPr>
        <w:jc w:val="both"/>
        <w:rPr>
          <w:color w:val="000000" w:themeColor="text1"/>
          <w:sz w:val="16"/>
          <w:szCs w:val="16"/>
        </w:rPr>
      </w:pPr>
      <w:r w:rsidRPr="00E14102">
        <w:rPr>
          <w:color w:val="000000" w:themeColor="text1"/>
          <w:sz w:val="16"/>
          <w:szCs w:val="16"/>
        </w:rPr>
        <w:t>6. Костыль</w:t>
      </w:r>
    </w:p>
    <w:p w14:paraId="50BDAA94" w14:textId="77777777" w:rsidR="005417B0" w:rsidRPr="00E14102" w:rsidRDefault="005417B0" w:rsidP="00E14102">
      <w:pPr>
        <w:jc w:val="both"/>
        <w:rPr>
          <w:color w:val="000000" w:themeColor="text1"/>
          <w:sz w:val="16"/>
          <w:szCs w:val="16"/>
        </w:rPr>
      </w:pPr>
      <w:r w:rsidRPr="00E14102">
        <w:rPr>
          <w:color w:val="000000" w:themeColor="text1"/>
          <w:sz w:val="16"/>
          <w:szCs w:val="16"/>
        </w:rPr>
        <w:t>Костыль имеет олеопневматическую амортизацию, находится на последней жесткой раме фюзеляжа, на которую одевается съемный выколотый каркас, открывая таким образом доступ для осмотра костыля и всех тяг, идущих от руля глубины и руля поворота, а также крепление к фюзеляжу заднего лонжерона стабилизатора.</w:t>
      </w:r>
    </w:p>
    <w:p w14:paraId="1745C590" w14:textId="77777777" w:rsidR="005417B0" w:rsidRPr="00E14102" w:rsidRDefault="005417B0" w:rsidP="00E14102">
      <w:pPr>
        <w:jc w:val="both"/>
        <w:rPr>
          <w:color w:val="000000" w:themeColor="text1"/>
          <w:sz w:val="16"/>
          <w:szCs w:val="16"/>
        </w:rPr>
      </w:pPr>
      <w:r w:rsidRPr="00E14102">
        <w:rPr>
          <w:color w:val="000000" w:themeColor="text1"/>
          <w:sz w:val="16"/>
          <w:szCs w:val="16"/>
        </w:rPr>
        <w:t>Начальник бригады № 3 ЦКБ з-да №39 Сер. Ильюшин (15546).</w:t>
      </w:r>
    </w:p>
    <w:p w14:paraId="6AB8D7F6" w14:textId="77777777" w:rsidR="005417B0" w:rsidRPr="00E14102" w:rsidRDefault="005417B0" w:rsidP="00E14102">
      <w:pPr>
        <w:jc w:val="both"/>
        <w:rPr>
          <w:color w:val="000000" w:themeColor="text1"/>
          <w:sz w:val="16"/>
          <w:szCs w:val="16"/>
        </w:rPr>
      </w:pPr>
    </w:p>
    <w:p w14:paraId="5041F0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в СССР книга Д.Дуэ Господство в воздухе была опубликована Воениздатом. Как раз по взглядам Дуэ основу воздушной армии должна составлять тяжелая бомбардировочная авиация. Авиация же, предназначенная для решения тактических и оперативных задач совместно с сухопутными войсками и флотом он считал "бесполезной, излишней и вредной" (518,11).</w:t>
      </w:r>
    </w:p>
    <w:p w14:paraId="0CB358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Получается, что рост доли ДБА и отказ от штурмовиков полностью соответствует идеям Дуэ.</w:t>
      </w:r>
    </w:p>
    <w:p w14:paraId="575DD550" w14:textId="77777777" w:rsidR="00D4105E" w:rsidRPr="00E14102" w:rsidRDefault="00D4105E" w:rsidP="00E14102">
      <w:pPr>
        <w:autoSpaceDE w:val="0"/>
        <w:autoSpaceDN w:val="0"/>
        <w:adjustRightInd w:val="0"/>
        <w:jc w:val="both"/>
        <w:rPr>
          <w:color w:val="000000" w:themeColor="text1"/>
          <w:sz w:val="16"/>
          <w:szCs w:val="16"/>
        </w:rPr>
      </w:pPr>
    </w:p>
    <w:p w14:paraId="45CD50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1935-м завод №1 выпустил первые 11 машин, в следующем году - 885. Судя по результатам государственных испытаний самолета первой серии, модернизация благоприятно отразилась на его летных характеристиках. Возросли скороподъемность, горизонтальная скорость и потолок. Вместе с тем немного ухудшились взлетно-посадочные характеристики, но это была плата за увеличение удельной нагрузки на крылья. Имелись и другие недостатки, устраненные на самолетах следующих серий (3175,15).</w:t>
      </w:r>
    </w:p>
    <w:p w14:paraId="7098200A" w14:textId="77777777" w:rsidR="00D4105E" w:rsidRPr="00E14102" w:rsidRDefault="00D4105E" w:rsidP="00E14102">
      <w:pPr>
        <w:autoSpaceDE w:val="0"/>
        <w:autoSpaceDN w:val="0"/>
        <w:adjustRightInd w:val="0"/>
        <w:jc w:val="both"/>
        <w:rPr>
          <w:color w:val="000000" w:themeColor="text1"/>
          <w:sz w:val="16"/>
          <w:szCs w:val="16"/>
        </w:rPr>
      </w:pPr>
    </w:p>
    <w:p w14:paraId="171212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на вооружение приняли подвеску ПГ-12П, сконструированную в КБ-29. Она давала возможность закрепить между стойками плавающий танк Т-37А, бронемашины Д-12 или ФАИ, грузовики ГАЗ-ААилиАМО-Ф15,атакже 76-мм полевую пушку. Таких подвесок на заводе №47 изготовили всего 150, сравнительно равномерно распределив их по округам. Практически одновременно с появлением ПГ-12П в 3-й бригаде особого назначения (воздушно-десантной) сделали свое приспособление для перевозки танкетки Т-27. А в 1937 г. в Академии механизации и моторизации РККА под руководством Ж.Я.Котина1, построили платформу-поддон ТВД-2 для беспарашютного сбрасывания танка Т-37А на воду. Этот способ на практике опробовали на одном из подмосковных озер (9964).</w:t>
      </w:r>
    </w:p>
    <w:p w14:paraId="2B53DDF9" w14:textId="77777777" w:rsidR="00D4105E" w:rsidRPr="00E14102" w:rsidRDefault="00D4105E" w:rsidP="00E14102">
      <w:pPr>
        <w:autoSpaceDE w:val="0"/>
        <w:autoSpaceDN w:val="0"/>
        <w:adjustRightInd w:val="0"/>
        <w:jc w:val="both"/>
        <w:rPr>
          <w:color w:val="000000" w:themeColor="text1"/>
          <w:sz w:val="16"/>
          <w:szCs w:val="16"/>
        </w:rPr>
      </w:pPr>
    </w:p>
    <w:p w14:paraId="4B776B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на Р-5 проводились заводские испытания аппаратуры "Ковирасиг", созданной в ленинградском Остехбюро. Она предназначалась для корректировки по радио артиллерийского огня, причем данные посылались с самолета в виде кода. Устройство получилось столь громоздким, что турель пришлось демонтировать. Сочли, что в представленном виде "Ковирасиг" для боевого использования непригодна (12034).</w:t>
      </w:r>
    </w:p>
    <w:p w14:paraId="3F6129DC" w14:textId="77777777" w:rsidR="00D4105E" w:rsidRPr="00E14102" w:rsidRDefault="00D4105E" w:rsidP="00E14102">
      <w:pPr>
        <w:autoSpaceDE w:val="0"/>
        <w:autoSpaceDN w:val="0"/>
        <w:adjustRightInd w:val="0"/>
        <w:jc w:val="both"/>
        <w:rPr>
          <w:color w:val="000000" w:themeColor="text1"/>
          <w:sz w:val="16"/>
          <w:szCs w:val="16"/>
        </w:rPr>
      </w:pPr>
    </w:p>
    <w:p w14:paraId="0D8FC1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1935 г. по приказу УВВС со старых самолетов ТБ-3 снимали подкрыльные башни Б-2 (9964).</w:t>
      </w:r>
    </w:p>
    <w:p w14:paraId="5EECF6CB" w14:textId="77777777" w:rsidR="00D4105E" w:rsidRPr="00E14102" w:rsidRDefault="00D4105E" w:rsidP="00E14102">
      <w:pPr>
        <w:autoSpaceDE w:val="0"/>
        <w:autoSpaceDN w:val="0"/>
        <w:adjustRightInd w:val="0"/>
        <w:jc w:val="both"/>
        <w:rPr>
          <w:color w:val="000000" w:themeColor="text1"/>
          <w:sz w:val="16"/>
          <w:szCs w:val="16"/>
        </w:rPr>
      </w:pPr>
    </w:p>
    <w:p w14:paraId="43C4AE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1935 г. выпустили всего 74 самолета, все модификации ТБ-ЗР. В этот период количество четырехмоторных бомбовозов в ВВС РККА достигло своего пика - ими полностью или частично были вооружены 36 эскадрилий (7668).</w:t>
      </w:r>
    </w:p>
    <w:p w14:paraId="6B54112F" w14:textId="77777777" w:rsidR="00D4105E" w:rsidRPr="00E14102" w:rsidRDefault="00D4105E" w:rsidP="00E14102">
      <w:pPr>
        <w:autoSpaceDE w:val="0"/>
        <w:autoSpaceDN w:val="0"/>
        <w:adjustRightInd w:val="0"/>
        <w:jc w:val="both"/>
        <w:rPr>
          <w:color w:val="000000" w:themeColor="text1"/>
          <w:sz w:val="16"/>
          <w:szCs w:val="16"/>
        </w:rPr>
      </w:pPr>
    </w:p>
    <w:p w14:paraId="13243A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на ТБ-3 (АНТ-6) опробовали систему слепой посадки ПОС-1 и к 1939 по результатам этих работ сделали телемеханический самолет. В 1941 применяли в боевых действиях (346,31).</w:t>
      </w:r>
    </w:p>
    <w:p w14:paraId="6FE329B6" w14:textId="77777777" w:rsidR="00D4105E" w:rsidRPr="00E14102" w:rsidRDefault="00D4105E" w:rsidP="00E14102">
      <w:pPr>
        <w:autoSpaceDE w:val="0"/>
        <w:autoSpaceDN w:val="0"/>
        <w:adjustRightInd w:val="0"/>
        <w:jc w:val="both"/>
        <w:rPr>
          <w:color w:val="000000" w:themeColor="text1"/>
          <w:sz w:val="16"/>
          <w:szCs w:val="16"/>
        </w:rPr>
      </w:pPr>
    </w:p>
    <w:p w14:paraId="78C426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на основе ТБ-3 (АНТ-6) 4М-34РН 22 завода N 22727 по заданию УВВС сделали летающую лабораторию для определения возможностей подвески химоружия. Сначала сделали систему подвески 4 ВАП-500 или ДАП-К-3 с одновременным или раздельным выливанием. К 1937 могли подвешивать 5 ВАП-1000. Расход - 500 л/с. Дальность 600-800 км (346,31).</w:t>
      </w:r>
    </w:p>
    <w:p w14:paraId="1803E305" w14:textId="77777777" w:rsidR="00D4105E" w:rsidRPr="00E14102" w:rsidRDefault="00D4105E" w:rsidP="00E14102">
      <w:pPr>
        <w:autoSpaceDE w:val="0"/>
        <w:autoSpaceDN w:val="0"/>
        <w:adjustRightInd w:val="0"/>
        <w:jc w:val="both"/>
        <w:rPr>
          <w:color w:val="000000" w:themeColor="text1"/>
          <w:sz w:val="16"/>
          <w:szCs w:val="16"/>
        </w:rPr>
      </w:pPr>
    </w:p>
    <w:p w14:paraId="6828F7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испытывался телеуправляемый ТБ-1 (92,350).</w:t>
      </w:r>
    </w:p>
    <w:p w14:paraId="069F7A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Это с 1924-то.</w:t>
      </w:r>
    </w:p>
    <w:p w14:paraId="2F3205F5" w14:textId="77777777" w:rsidR="00D4105E" w:rsidRPr="00E14102" w:rsidRDefault="00D4105E" w:rsidP="00E14102">
      <w:pPr>
        <w:autoSpaceDE w:val="0"/>
        <w:autoSpaceDN w:val="0"/>
        <w:adjustRightInd w:val="0"/>
        <w:jc w:val="both"/>
        <w:rPr>
          <w:color w:val="000000" w:themeColor="text1"/>
          <w:sz w:val="16"/>
          <w:szCs w:val="16"/>
        </w:rPr>
      </w:pPr>
    </w:p>
    <w:p w14:paraId="2D1B49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подвешивали Т-27 под ТБ-3 на подвеске А.Ф.Кравцова, позволяющем сброс с небольшой высоты (1124,9).</w:t>
      </w:r>
    </w:p>
    <w:p w14:paraId="0AF07666" w14:textId="77777777" w:rsidR="00D4105E" w:rsidRPr="00E14102" w:rsidRDefault="00D4105E" w:rsidP="00E14102">
      <w:pPr>
        <w:autoSpaceDE w:val="0"/>
        <w:autoSpaceDN w:val="0"/>
        <w:adjustRightInd w:val="0"/>
        <w:jc w:val="both"/>
        <w:rPr>
          <w:color w:val="000000" w:themeColor="text1"/>
          <w:sz w:val="16"/>
          <w:szCs w:val="16"/>
        </w:rPr>
      </w:pPr>
    </w:p>
    <w:p w14:paraId="45FAE4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на машинах Р-6 стоял новый фотоаппарат АФА-13 и улучшенная радиостанция 13ЭСК. Пневмопочту заменили переговорным устройством. Но это было не привычное сейчас СПУ, а просто трубы с двумя наконечниками - в один говорили, в другой слушали. Поэтому их и называли в просторечии "рот" и "ухо". Место немецкого бомбового прицела "Герц" занял отечественный ОПБ-1, скопированный с него же. Усилили амортизационную стойку шасси, одев поверх нее трубу из углеродистой стаж. Ввели аварийный слив горючего, но неудачно - опорожнение баков через него длилось до часа.</w:t>
      </w:r>
    </w:p>
    <w:p w14:paraId="4516F4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257</w:t>
      </w:r>
    </w:p>
    <w:p w14:paraId="1CA0B9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завод № 22 сдал 48 КР-6, но больше половины из них укомплектовали поплавками и сдали морской авиации. На этом производство устаревшего "крейсера" прекратили, так же как разработку модификации с моторами М-34 и металлическими винтами. Правда, в 1936 г. 20 самолетов, причем старого типа Р-6, собрали на новом заводе № 126 в Комсомольске-на-Амуре, но все их передали в гражданскую авиацию.</w:t>
      </w:r>
    </w:p>
    <w:p w14:paraId="5CF2CA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Р-6 и КР-6, в сущности, так и не стали массовыми самолетами. Когда последний из них стал строиться в больших количествах, он уже устарел безнадежно. С ТБ-1 "крейсер" -лце мог равняться, но от ТБ-3 он уже отставал и по скорости, и по радиусу действия. По мере совершенствования ТБ-3 разница все увеличивалась. Даже модернизация в КР-6 не смогла уравнять их характеристики. Получалось, что "крейсер" не мог выполнить свою основную задачу - охранять тяжелые бомбардировщики, поскольку просто не способен был удержаться с ними в одном строю (12036).</w:t>
      </w:r>
    </w:p>
    <w:p w14:paraId="695BA511" w14:textId="77777777" w:rsidR="00D4105E" w:rsidRPr="00E14102" w:rsidRDefault="00D4105E" w:rsidP="00E14102">
      <w:pPr>
        <w:autoSpaceDE w:val="0"/>
        <w:autoSpaceDN w:val="0"/>
        <w:adjustRightInd w:val="0"/>
        <w:jc w:val="both"/>
        <w:rPr>
          <w:color w:val="000000" w:themeColor="text1"/>
          <w:sz w:val="16"/>
          <w:szCs w:val="16"/>
        </w:rPr>
      </w:pPr>
    </w:p>
    <w:p w14:paraId="7BD861A7" w14:textId="77777777" w:rsidR="004428EE" w:rsidRPr="00E14102" w:rsidRDefault="004428EE" w:rsidP="00E14102">
      <w:pPr>
        <w:jc w:val="both"/>
        <w:rPr>
          <w:color w:val="000000" w:themeColor="text1"/>
          <w:sz w:val="16"/>
          <w:szCs w:val="16"/>
        </w:rPr>
      </w:pPr>
      <w:r w:rsidRPr="00E14102">
        <w:rPr>
          <w:color w:val="000000" w:themeColor="text1"/>
          <w:sz w:val="16"/>
          <w:szCs w:val="16"/>
        </w:rPr>
        <w:t xml:space="preserve">В 1935 </w:t>
      </w:r>
      <w:r w:rsidR="009B093F" w:rsidRPr="00E14102">
        <w:rPr>
          <w:color w:val="000000" w:themeColor="text1"/>
          <w:sz w:val="16"/>
          <w:szCs w:val="16"/>
        </w:rPr>
        <w:t>г. С.С. Львов из Военно-воздуш</w:t>
      </w:r>
      <w:r w:rsidRPr="00E14102">
        <w:rPr>
          <w:color w:val="000000" w:themeColor="text1"/>
          <w:sz w:val="16"/>
          <w:szCs w:val="16"/>
        </w:rPr>
        <w:t>ной академии предложил сделать из Р-6 пикирующий бомбардировщик. Речь шла не о реальном бомбометании с пикирования с уже устаревшей машины, а о проверке конструкции аэродинамических тормозов, необходимых для этого. Тормозное устройство Львова выглядело как веер с каркасом из стальных труб, между которыми натягивалась шёлковая сетка. Р-6 должен был нести четыре таких «опахала» под крылом. Для приведения их в действие пилот дёргал рукоятку, открывая замки. Набегающим потоком веера раскрывались назад, удерживаемые стальными тросами, прикреплёнными ко второму лонжерону. При открытии других замков тросы отсоединялись, и веера напором воздуха складывались назад. Расчёты системы на прочность выполнялись сотрудниками ЦАГИ и завода № 39.</w:t>
      </w:r>
    </w:p>
    <w:p w14:paraId="372733C3" w14:textId="77777777" w:rsidR="004428EE" w:rsidRPr="00E14102" w:rsidRDefault="004428EE" w:rsidP="00E14102">
      <w:pPr>
        <w:jc w:val="both"/>
        <w:rPr>
          <w:color w:val="000000" w:themeColor="text1"/>
          <w:sz w:val="16"/>
          <w:szCs w:val="16"/>
        </w:rPr>
      </w:pPr>
      <w:r w:rsidRPr="00E14102">
        <w:rPr>
          <w:color w:val="000000" w:themeColor="text1"/>
          <w:sz w:val="16"/>
          <w:szCs w:val="16"/>
        </w:rPr>
        <w:t>Сначала построили уменьшенную в пять раз модель и продули её в аэродинамической трубе. Выявились вибрации в раскрытом положении. Их попытались устранить введением обтекателей, которых разработали пять вариантов. Когда устройство довели до ума, оказалось, что туполевцы передали академии чертежи не серийного Р-6, а опытного образца, отличавшегося и по конструкции, и по весу. Пришлось все пересчитывать. Изготовили новую модель, опять опробовали её, а затем в мастерских академии приступили к изготовлению вееров уже в полный размер. Была ли оборудована ими настоящая машина, установить не удалось (12264).</w:t>
      </w:r>
    </w:p>
    <w:p w14:paraId="75F98F7C" w14:textId="77777777" w:rsidR="004428EE" w:rsidRPr="00E14102" w:rsidRDefault="004428EE" w:rsidP="00E14102">
      <w:pPr>
        <w:jc w:val="both"/>
        <w:rPr>
          <w:color w:val="000000" w:themeColor="text1"/>
          <w:sz w:val="16"/>
          <w:szCs w:val="16"/>
        </w:rPr>
      </w:pPr>
    </w:p>
    <w:p w14:paraId="02028B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штурмовики Р-5Ш стали заменять другой модификацией Р-5-го - Р-5ССС (скоростной, скороподъем-ный, скорострельный).</w:t>
      </w:r>
    </w:p>
    <w:p w14:paraId="36AD6B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Изменения базовой модели коснулись главным образом улучшения аэродинамики (коэффициентлобово-го сопротивления был снижен в 1,37 раза), установки более мощного мотора М-17ф (взлетная мощность 715 л. с., номинальная - 500 л. с.) и усиления вооружения.</w:t>
      </w:r>
    </w:p>
    <w:p w14:paraId="360250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Улучшение аэродинамики было достигнуто за счет установки обтекателей на шасси, зализов в узлах крепления стоек и подкосов, а также путем улучшения общей отделки. В результате скорость Р-5ССС, по сравнению с Р-5Ш, возросла на 25-30 км/ч, а потолок - на 2000 м. Кроме того, в стойках шасси были введены масляно-воздушные амортизаторы.</w:t>
      </w:r>
    </w:p>
    <w:p w14:paraId="11CA48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Стрелковое вооружение машины состояло из двух синхронных пулеметов ШКАС и четырех ШКАС на нижнем крыле. Бомбовая нагрузка самолета (200-500 кг) размещалась как на внешних бомбодержателях, так и на внутренней подвеске в небольшом бомбо-отсеке под кабиной летчика.</w:t>
      </w:r>
    </w:p>
    <w:p w14:paraId="184690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за три года серийного производства (1935-37 гг. ) московским авиазаводом № 1 было изготовлено 620 самолетов этого типа (9649).</w:t>
      </w:r>
    </w:p>
    <w:p w14:paraId="66230067" w14:textId="77777777" w:rsidR="00D4105E" w:rsidRPr="00E14102" w:rsidRDefault="00D4105E" w:rsidP="00E14102">
      <w:pPr>
        <w:autoSpaceDE w:val="0"/>
        <w:autoSpaceDN w:val="0"/>
        <w:adjustRightInd w:val="0"/>
        <w:jc w:val="both"/>
        <w:rPr>
          <w:color w:val="000000" w:themeColor="text1"/>
          <w:sz w:val="16"/>
          <w:szCs w:val="16"/>
        </w:rPr>
      </w:pPr>
    </w:p>
    <w:p w14:paraId="67D351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строили Р-Z - поменьше, чем Р-5 и М-34Н (92,484). Был и Р-Z штурмовик с 4 ШКАС под нижним крылом (92,484).</w:t>
      </w:r>
    </w:p>
    <w:p w14:paraId="30DEECF1" w14:textId="77777777" w:rsidR="00D4105E" w:rsidRPr="00E14102" w:rsidRDefault="00D4105E" w:rsidP="00E14102">
      <w:pPr>
        <w:autoSpaceDE w:val="0"/>
        <w:autoSpaceDN w:val="0"/>
        <w:adjustRightInd w:val="0"/>
        <w:jc w:val="both"/>
        <w:rPr>
          <w:color w:val="000000" w:themeColor="text1"/>
          <w:sz w:val="16"/>
          <w:szCs w:val="16"/>
        </w:rPr>
      </w:pPr>
    </w:p>
    <w:p w14:paraId="7334A4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испытывался СР (ЦКБ-27) С.А.Кочеригина. Потом доделали в Р-9, но шасси уже не убиралось и скорость упала. Неустойчив. Началась серия, но быстро прекратили (80,191).</w:t>
      </w:r>
    </w:p>
    <w:p w14:paraId="45886F62" w14:textId="77777777" w:rsidR="00D4105E" w:rsidRPr="00E14102" w:rsidRDefault="00D4105E" w:rsidP="00E14102">
      <w:pPr>
        <w:autoSpaceDE w:val="0"/>
        <w:autoSpaceDN w:val="0"/>
        <w:adjustRightInd w:val="0"/>
        <w:jc w:val="both"/>
        <w:rPr>
          <w:color w:val="000000" w:themeColor="text1"/>
          <w:sz w:val="16"/>
          <w:szCs w:val="16"/>
        </w:rPr>
      </w:pPr>
    </w:p>
    <w:p w14:paraId="1E25D8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ЦКБ получило заказ на разработку авиаци</w:t>
      </w:r>
      <w:r w:rsidRPr="00E14102">
        <w:rPr>
          <w:color w:val="000000" w:themeColor="text1"/>
          <w:sz w:val="16"/>
          <w:szCs w:val="16"/>
        </w:rPr>
        <w:softHyphen/>
        <w:t>онного артиллерийского корректировщика. В это же время флоту потребовался палубный разведчик с хоро</w:t>
      </w:r>
      <w:r w:rsidRPr="00E14102">
        <w:rPr>
          <w:color w:val="000000" w:themeColor="text1"/>
          <w:sz w:val="16"/>
          <w:szCs w:val="16"/>
        </w:rPr>
        <w:softHyphen/>
        <w:t>шим обзором для оснащения предполагаемого к пост</w:t>
      </w:r>
      <w:r w:rsidRPr="00E14102">
        <w:rPr>
          <w:color w:val="000000" w:themeColor="text1"/>
          <w:sz w:val="16"/>
          <w:szCs w:val="16"/>
        </w:rPr>
        <w:softHyphen/>
        <w:t>ройке первого отечественного авианосца. Бригада № 1, специализирующаяся на создании самолетов-разведчи</w:t>
      </w:r>
      <w:r w:rsidRPr="00E14102">
        <w:rPr>
          <w:color w:val="000000" w:themeColor="text1"/>
          <w:sz w:val="16"/>
          <w:szCs w:val="16"/>
        </w:rPr>
        <w:softHyphen/>
        <w:t>ков, но занятая другими срочными делами, не видела для себя смысла в этом задании. Тогда за дело взялся Н.Н.Поликарпов и разработал проект такого самолета по схеме высокоплан - АК. На него предполагалось ус</w:t>
      </w:r>
      <w:r w:rsidRPr="00E14102">
        <w:rPr>
          <w:color w:val="000000" w:themeColor="text1"/>
          <w:sz w:val="16"/>
          <w:szCs w:val="16"/>
        </w:rPr>
        <w:softHyphen/>
        <w:t>тановить двигатель Райт “Циклон”, затем М-25В и М-62. Шасси одностоечное, неубираемое, колеса в обтекате</w:t>
      </w:r>
      <w:r w:rsidRPr="00E14102">
        <w:rPr>
          <w:color w:val="000000" w:themeColor="text1"/>
          <w:sz w:val="16"/>
          <w:szCs w:val="16"/>
        </w:rPr>
        <w:softHyphen/>
        <w:t>лях. Рассматривался и вариант с шасси, убираемом ры</w:t>
      </w:r>
      <w:r w:rsidRPr="00E14102">
        <w:rPr>
          <w:color w:val="000000" w:themeColor="text1"/>
          <w:sz w:val="16"/>
          <w:szCs w:val="16"/>
        </w:rPr>
        <w:softHyphen/>
        <w:t>чажным механизмом в борта фюзеляжа. Самолет предполагалось использовать для разведки, корректи</w:t>
      </w:r>
      <w:r w:rsidRPr="00E14102">
        <w:rPr>
          <w:color w:val="000000" w:themeColor="text1"/>
          <w:sz w:val="16"/>
          <w:szCs w:val="16"/>
        </w:rPr>
        <w:softHyphen/>
        <w:t>ровки, а также в качестве торпедоносца (10667).</w:t>
      </w:r>
    </w:p>
    <w:p w14:paraId="2CFCB2EF" w14:textId="77777777" w:rsidR="00D4105E" w:rsidRPr="00E14102" w:rsidRDefault="00D4105E" w:rsidP="00E14102">
      <w:pPr>
        <w:autoSpaceDE w:val="0"/>
        <w:autoSpaceDN w:val="0"/>
        <w:adjustRightInd w:val="0"/>
        <w:jc w:val="both"/>
        <w:rPr>
          <w:color w:val="000000" w:themeColor="text1"/>
          <w:sz w:val="16"/>
          <w:szCs w:val="16"/>
        </w:rPr>
      </w:pPr>
    </w:p>
    <w:p w14:paraId="756933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был сделан и испытывался (заводские испытания) ХАИ-6 - двухместный скоростной фоторазведчик без оружия. Не приняли, так как пошел Р-10 (4,45).</w:t>
      </w:r>
    </w:p>
    <w:p w14:paraId="5FF6C813" w14:textId="77777777" w:rsidR="00D4105E" w:rsidRPr="00E14102" w:rsidRDefault="00D4105E" w:rsidP="00E14102">
      <w:pPr>
        <w:autoSpaceDE w:val="0"/>
        <w:autoSpaceDN w:val="0"/>
        <w:adjustRightInd w:val="0"/>
        <w:jc w:val="both"/>
        <w:rPr>
          <w:color w:val="000000" w:themeColor="text1"/>
          <w:sz w:val="16"/>
          <w:szCs w:val="16"/>
        </w:rPr>
      </w:pPr>
    </w:p>
    <w:p w14:paraId="19665C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И.Г.Неману предложили разработать проект металлического ББ и Ш ХАИ-7 (РШ) с АМ-34ФРНТ. Низкоплан с крылом кессонного типа с работающей обшивкой. Крыло разрабатывала бригада И.П.Кравченко. Проект до конца не довели в связи с изменениями требований военных (553,147).</w:t>
      </w:r>
    </w:p>
    <w:p w14:paraId="06ED7A1D" w14:textId="77777777" w:rsidR="00D4105E" w:rsidRPr="00E14102" w:rsidRDefault="00D4105E" w:rsidP="00E14102">
      <w:pPr>
        <w:autoSpaceDE w:val="0"/>
        <w:autoSpaceDN w:val="0"/>
        <w:adjustRightInd w:val="0"/>
        <w:jc w:val="both"/>
        <w:rPr>
          <w:color w:val="000000" w:themeColor="text1"/>
          <w:sz w:val="16"/>
          <w:szCs w:val="16"/>
        </w:rPr>
      </w:pPr>
    </w:p>
    <w:p w14:paraId="5F7257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прорабатывали возможность использования ДИ-6 в гражданской авиации как скоростного почтового самолета. Груз предполагалось размещать в задней кабине, откуда убиралось место стрелка вместе со шкворневой пулеметной установкой. Намечалось гражданские ДИ-6 выпускать параллельно с боевыми, начиная с 1936 г. Один из проектов задания Комитета Обороны по выпуску самолетов для ГВФ, подготовленный в 1935 г., предусматривал постройку 50 таких машин уже в 1936 г., причем первые 25 экземпляров планировалось сдать уже к 1 июня. Но, как упоминалось выше, за 1936 г. завод № 39 успел сделать всего лишь десять ДИ-6 войсковой серии. Из этого следует, что, по-видимому, от данного проекта отказались. Идея использовать разоруженные ДИ-6 в ГВФ возродилась в конце 1930-х гг., когда стали думать, что делать со ставшими ненужными военным устаревшими двухместными истребителями. НИИ ГВФ был передан для изучения один ДИ-6. Но и там он не вызвал большого энтузиазма. Эта единственная машина числилась за НИИ по крайней мере до апреля 1941 г., причем, по сводкам, значилась во вполне исправном состоянии. Дальнейшая ее судьба неизвестна (11992).</w:t>
      </w:r>
    </w:p>
    <w:p w14:paraId="40A1B55E" w14:textId="77777777" w:rsidR="00D4105E" w:rsidRPr="00E14102" w:rsidRDefault="00D4105E" w:rsidP="00E14102">
      <w:pPr>
        <w:autoSpaceDE w:val="0"/>
        <w:autoSpaceDN w:val="0"/>
        <w:adjustRightInd w:val="0"/>
        <w:jc w:val="both"/>
        <w:rPr>
          <w:color w:val="000000" w:themeColor="text1"/>
          <w:sz w:val="16"/>
          <w:szCs w:val="16"/>
        </w:rPr>
      </w:pPr>
    </w:p>
    <w:p w14:paraId="16B7A9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истребитель И-16 с двигателем М-58М прошел летные испытания. Запорожский двигатель позволил увеличить на 30…40 км/ч максимальную скорость самолета (11478)</w:t>
      </w:r>
    </w:p>
    <w:p w14:paraId="1EE2B909" w14:textId="77777777" w:rsidR="00D4105E" w:rsidRPr="00E14102" w:rsidRDefault="00D4105E" w:rsidP="00E14102">
      <w:pPr>
        <w:autoSpaceDE w:val="0"/>
        <w:autoSpaceDN w:val="0"/>
        <w:adjustRightInd w:val="0"/>
        <w:jc w:val="both"/>
        <w:rPr>
          <w:color w:val="000000" w:themeColor="text1"/>
          <w:sz w:val="16"/>
          <w:szCs w:val="16"/>
        </w:rPr>
      </w:pPr>
    </w:p>
    <w:p w14:paraId="7AE147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появился ЦКБ-18 (И-16 штурмовик) с М 22, с бронированием кабины и усиленным вооружением - защита спереди и сзади впервые + чашка. Вооружение - 4 ШКАС или ПВ-1, 100 кг бомб. Два имели - 6 ШКАС в центроплане и консолях с отклонением на 20 град. вниз. Стали частью СПБ (92,468).</w:t>
      </w:r>
    </w:p>
    <w:p w14:paraId="2F8FC375" w14:textId="77777777" w:rsidR="00D4105E" w:rsidRPr="00E14102" w:rsidRDefault="00D4105E" w:rsidP="00E14102">
      <w:pPr>
        <w:autoSpaceDE w:val="0"/>
        <w:autoSpaceDN w:val="0"/>
        <w:adjustRightInd w:val="0"/>
        <w:jc w:val="both"/>
        <w:rPr>
          <w:color w:val="000000" w:themeColor="text1"/>
          <w:sz w:val="16"/>
          <w:szCs w:val="16"/>
        </w:rPr>
      </w:pPr>
    </w:p>
    <w:p w14:paraId="394A19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в планах конструкторской бригады Поликарпова дальнейшее совершенствование ЦКБ-15 выглядело следующим образом:</w:t>
      </w:r>
    </w:p>
    <w:p w14:paraId="6ACF6C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ЦКБ-19 (И-17), второй опытный экземпляр с двигателем "Испано Сюиза" 12Ybrs. Этот самолет строился и о нем более подробно ниже.</w:t>
      </w:r>
    </w:p>
    <w:p w14:paraId="3293D0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ЦКБ-25 (И-19), апрель 1935 г. Двигатель "Гном Рон", звездообразный. Проект детально не прорабатывался, упоминается в общем списке по причине совпадения обозначений.</w:t>
      </w:r>
    </w:p>
    <w:p w14:paraId="6BC185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ЦКБ-25 (И-19), проект датирован декабрем 1935 г. Двигатель М-34 (форсированный) с гликолевым охлаждением.</w:t>
      </w:r>
    </w:p>
    <w:p w14:paraId="7A2110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ЦКБ-25 (И-19), проект 1935 г. Двигатель "Испано Сюиза" 12Ycrs, совмещенный с магазинной пушкой ШКАС-2, стреляющей через втулку воздушного винта. Самолет строился иод обозначением ЦКБ-19бис.</w:t>
      </w:r>
    </w:p>
    <w:p w14:paraId="618050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ЦКБ-28 (И-20), один из вариантов с "Испано Сюиза" 12Ybrs. Судя по отсутствию дополнительной информации, дальше присвоения указанных обозначений дело с этим проектом не продвинулось.</w:t>
      </w:r>
    </w:p>
    <w:p w14:paraId="12A331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ЦКБ-33 (И-18). Поначалу эскизный проект, датированный сентябрем 1935 г., как улучшение ЦКБ-15 и ЦКБ -19 с пушечным двигателем "Испано Сюиза" l2Ycrs и паро- испарительной системой охлаждения. В проекте указывалась максимальная скорость 500 км/ч на высоте 3000 м. В ряде документов этот проект обозначается как ЦКБ-19 с испарительным (иногда паровым) охлаждением. Основным отличием этой машины в проекте являлось использование системы испарптельно-водяного охлаждения, размешенной в обшивке крыла. Площадь крыльевых конденсаторов с обшивкой из нержавеющей стали составляла 7,0 м. В проекте 1935 г. аппарат рассматривался с пушечным вооружением. В дальнейшем - как невооруженный рекордный вариант.</w:t>
      </w:r>
    </w:p>
    <w:p w14:paraId="19A50D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ЦКБ-43 (И-17 или И-18), опытный, с двигателем "Испано Сюиза" 12Ycrs. Не реализован.</w:t>
      </w:r>
    </w:p>
    <w:p w14:paraId="6BF6BE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дополнение к указанным разработкам 1935 г. следует отнести проект И-17МП (многопулеметный истребитель), называемый также "Ш" - штурмовик. Данный вариант прорабатывался по заданию Тухачевского, при этом часть пулеметов предполагалось разместить в подвесных обтекаемых контейнерах.</w:t>
      </w:r>
    </w:p>
    <w:p w14:paraId="73F62D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1936 г. указанные проекты продолжали находиться в разработке, гри машины - ЦКБ-19, ЦКБ- 19бис, ЦКБ-25 (И-19) с АМ-34ФРН находились в постройке.</w:t>
      </w:r>
    </w:p>
    <w:p w14:paraId="4635D5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И-17 (ЦКБ-19) подвесной</w:t>
      </w:r>
    </w:p>
    <w:p w14:paraId="1A51E4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Проект этого самолета, датированный 30 апреля 1936 г., не поручил каких-либо дополнительных обозначений. Определялся как модификация ЦКБ-19 для подвески под тяжелый бомбардировщик ТБ-3, отсюда обозначение - "подвесной истребитель". Основным отличием являлось уменьшение площади крыла с 17,65 м2 до 9,13 м что позволяло значительно увеличить скоростные характеристики (до 550 км/ч). Шасси отсутствовало, посадка на землю предполагалась как аварийный вариант. Самолет должен был отцепляться в воздухе по необходимости и после выполнения боевой задачи (охрана бомбардировщиков) вновь возвращаться на носитель. Осуществление подцепки в воздухе предполагаюсь на скоростях 180- 200 км/ч. "Подвесной истребитель" предполагалось оснастить двигателем "Испано Сюиза" 12Ybrs с водяным или гликолевым охлаждением, вооружить двумя пушками ШВАК или одной ШВАК и двумя пулеметами ШКАС. Для осуществления данного проекта Поликарпов предлагал использовать первый опытный И-17 (ЦКБ-15), который на тот момент находился на территории завода № 39 и являлся невостребованным. По</w:t>
      </w:r>
    </w:p>
    <w:p w14:paraId="52BB8A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мнению конструктора, следовало изготовить Общий вид проекта новое крыло и горизонтальное оперение, "подвесного" для чего требовались минимальные сроки. истребителя И-17 Предложение интереса не вызвало и детально не прорабатывалось (12016).</w:t>
      </w:r>
    </w:p>
    <w:p w14:paraId="7FB40D85" w14:textId="77777777" w:rsidR="00D4105E" w:rsidRPr="00E14102" w:rsidRDefault="00D4105E" w:rsidP="00E14102">
      <w:pPr>
        <w:autoSpaceDE w:val="0"/>
        <w:autoSpaceDN w:val="0"/>
        <w:adjustRightInd w:val="0"/>
        <w:jc w:val="both"/>
        <w:rPr>
          <w:color w:val="000000" w:themeColor="text1"/>
          <w:sz w:val="16"/>
          <w:szCs w:val="16"/>
        </w:rPr>
      </w:pPr>
    </w:p>
    <w:p w14:paraId="397797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построили 18 двухместных самолета УТИ-2 тип 14, а также 3 УТ-2 и 1 УТИ-3. За 1936 г. произвели 27 УТИ-2. что позволяет определить общее число учебно-тренировочных истребителей с М-22 в 45 экземпляров. В том же году в производство запустили машину с М-25, получившую наименование УТИ-4. Первые 8 экземпляров успели построить до конца I936 г.. однако сдавали их в числе обшей серии уже в 1937 г. (12015).</w:t>
      </w:r>
    </w:p>
    <w:p w14:paraId="3C03E647" w14:textId="77777777" w:rsidR="00D4105E" w:rsidRPr="00E14102" w:rsidRDefault="00D4105E" w:rsidP="00E14102">
      <w:pPr>
        <w:autoSpaceDE w:val="0"/>
        <w:autoSpaceDN w:val="0"/>
        <w:adjustRightInd w:val="0"/>
        <w:jc w:val="both"/>
        <w:rPr>
          <w:color w:val="000000" w:themeColor="text1"/>
          <w:sz w:val="16"/>
          <w:szCs w:val="16"/>
        </w:rPr>
      </w:pPr>
    </w:p>
    <w:p w14:paraId="7CA5FE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Н.Н.П. сделал ЦКБ-19. Ведущим конструктором был Д.Л.Томашевич (67,120). ЦКБ-19 с М-100 испытывался в 1935 и показал скорость 500 км/ч (92,471).</w:t>
      </w:r>
    </w:p>
    <w:p w14:paraId="071C4E6B" w14:textId="77777777" w:rsidR="00D4105E" w:rsidRPr="00E14102" w:rsidRDefault="00D4105E" w:rsidP="00E14102">
      <w:pPr>
        <w:autoSpaceDE w:val="0"/>
        <w:autoSpaceDN w:val="0"/>
        <w:adjustRightInd w:val="0"/>
        <w:jc w:val="both"/>
        <w:rPr>
          <w:color w:val="000000" w:themeColor="text1"/>
          <w:sz w:val="16"/>
          <w:szCs w:val="16"/>
        </w:rPr>
      </w:pPr>
    </w:p>
    <w:p w14:paraId="63F912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в планах конструкторской бригады Поликарпова дальнейшее совершенствование ЦКБ-15 выглядело следующим образом:</w:t>
      </w:r>
    </w:p>
    <w:p w14:paraId="654771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ЦКБ-19 (И-17), второй опытный с двигателем "Испано Сюиза" HS 12Ybrs. Этот самолёт строился и о нём будет подробно рассказано ниже.</w:t>
      </w:r>
    </w:p>
    <w:p w14:paraId="00E37D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ЦКБ-25 (И-19), апрель 1935 г. Двигатель "Гном-Рон", звездообразный. Проект детально не прорабатывался, упоминается в общем списке по причине совпадения обозначений.</w:t>
      </w:r>
    </w:p>
    <w:p w14:paraId="3253BF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ЦКБ-25 (И-19), проект датирован декабрём 1935 г. Двигатель М-34 (форсированный) с гли-колевым охлаждением.</w:t>
      </w:r>
    </w:p>
    <w:p w14:paraId="51EFC7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ЦКБ-25 (И-19), проект 1935 г. Двигатель HS 12Ycrs, совмещённый с магазинной пушкой ШКАС-2, стреляющей через втулку воздушного винта. Самолёт строился под обозначением ЦКБ-19бис.</w:t>
      </w:r>
    </w:p>
    <w:p w14:paraId="76B5DE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 ЦКБ-28 (И-20), один из вариантов с HS 12Ybrs. Судя по отсутствию дополнительной информации, дальше присвоения указанных обозначений дело с этим проектом не продвинулось.</w:t>
      </w:r>
    </w:p>
    <w:p w14:paraId="3A2DDF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 ЦКБ-33 (И-18). Поначалу эскизный проект, датированный сентябрем 1935 г. как улучшение ЦКБ-15 и ЦКБ-19 с пушечным двигателем HS 12Ycrs и пароиспарительной системой охлаждения. В проекте указывалась максимальная скорость 500 км/ч на высоте 3000 м. В ряде документов этот проект обозначается как ЦКБ-19 с испарительным (иногда паровым) охлаждением. Основным отличием этой машины являлось использование испарительно-водяно-го охлаждения, размещённого в обшивке крыла. Площадь крыльевых конденсаторов с обшивкой из нержавеющей стали 7,0 M"'. В проекте 1935 г. аппарат рассматривался с пушечным вооружением. В дальнейшем - как невооружённый рекордный вариант.</w:t>
      </w:r>
    </w:p>
    <w:p w14:paraId="0CDE8D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 ЦКБ-43 (И-17 или И-18) опытный, с двигателем HS 12Ycrs. Не реализован.</w:t>
      </w:r>
    </w:p>
    <w:p w14:paraId="50F9D3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дополнение к указанным разработкам 1935 г. следует отнести проект И-17МП (многопулемётный истребитель), называемый также "Ш" - штурмовик. Данный вариант прорабатывался по заданию Тухачевского, при этом часть пулемётов предполагалась разместить в подвесных обтекаемых контейнерах.</w:t>
      </w:r>
    </w:p>
    <w:p w14:paraId="1B4389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1936 г. указанные проекты продолжали находиться в разработке, три машины - ЦКБ-19, ЦКБ-19бис, ЦКБ-25 (И-19) с АМ-34ФРН строились (9630).</w:t>
      </w:r>
    </w:p>
    <w:p w14:paraId="090E5137" w14:textId="77777777" w:rsidR="00D4105E" w:rsidRPr="00E14102" w:rsidRDefault="00D4105E" w:rsidP="00E14102">
      <w:pPr>
        <w:autoSpaceDE w:val="0"/>
        <w:autoSpaceDN w:val="0"/>
        <w:adjustRightInd w:val="0"/>
        <w:jc w:val="both"/>
        <w:rPr>
          <w:color w:val="000000" w:themeColor="text1"/>
          <w:sz w:val="16"/>
          <w:szCs w:val="16"/>
        </w:rPr>
      </w:pPr>
    </w:p>
    <w:p w14:paraId="054E6C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авиазавод №1 выпустил 273 И-15. Полтора десятка экземпляров изготовил завод №39, еше две машины он закончил в 1936 году. Общее количество построенных в СССР И-15 составило 384 экземпляра.</w:t>
      </w:r>
    </w:p>
    <w:p w14:paraId="2CB267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Распределение по годам выпуска выглядело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E3599D" w:rsidRPr="00E14102" w14:paraId="7B954F45" w14:textId="77777777">
        <w:tc>
          <w:tcPr>
            <w:tcW w:w="2802" w:type="dxa"/>
            <w:tcBorders>
              <w:top w:val="single" w:sz="12" w:space="0" w:color="auto"/>
            </w:tcBorders>
          </w:tcPr>
          <w:p w14:paraId="533382BE" w14:textId="77777777" w:rsidR="00D4105E" w:rsidRPr="00E14102" w:rsidRDefault="00D4105E" w:rsidP="00E14102">
            <w:pPr>
              <w:autoSpaceDE w:val="0"/>
              <w:autoSpaceDN w:val="0"/>
              <w:adjustRightInd w:val="0"/>
              <w:jc w:val="both"/>
              <w:rPr>
                <w:color w:val="000000" w:themeColor="text1"/>
                <w:sz w:val="16"/>
                <w:szCs w:val="16"/>
              </w:rPr>
            </w:pPr>
          </w:p>
        </w:tc>
        <w:tc>
          <w:tcPr>
            <w:tcW w:w="2802" w:type="dxa"/>
            <w:tcBorders>
              <w:top w:val="single" w:sz="12" w:space="0" w:color="auto"/>
            </w:tcBorders>
          </w:tcPr>
          <w:p w14:paraId="7A2BA2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w:t>
            </w:r>
          </w:p>
        </w:tc>
        <w:tc>
          <w:tcPr>
            <w:tcW w:w="2802" w:type="dxa"/>
            <w:tcBorders>
              <w:top w:val="single" w:sz="12" w:space="0" w:color="auto"/>
            </w:tcBorders>
          </w:tcPr>
          <w:p w14:paraId="771206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1935 г.</w:t>
            </w:r>
          </w:p>
        </w:tc>
        <w:tc>
          <w:tcPr>
            <w:tcW w:w="2802" w:type="dxa"/>
            <w:tcBorders>
              <w:top w:val="single" w:sz="12" w:space="0" w:color="auto"/>
            </w:tcBorders>
          </w:tcPr>
          <w:p w14:paraId="097F81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 г.</w:t>
            </w:r>
          </w:p>
        </w:tc>
      </w:tr>
      <w:tr w:rsidR="00E3599D" w:rsidRPr="00E14102" w14:paraId="6A8479A4" w14:textId="77777777">
        <w:tc>
          <w:tcPr>
            <w:tcW w:w="2802" w:type="dxa"/>
          </w:tcPr>
          <w:p w14:paraId="2A0F03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№1</w:t>
            </w:r>
          </w:p>
        </w:tc>
        <w:tc>
          <w:tcPr>
            <w:tcW w:w="2802" w:type="dxa"/>
          </w:tcPr>
          <w:p w14:paraId="1CF2F7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w:t>
            </w:r>
          </w:p>
        </w:tc>
        <w:tc>
          <w:tcPr>
            <w:tcW w:w="2802" w:type="dxa"/>
          </w:tcPr>
          <w:p w14:paraId="300B2E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273</w:t>
            </w:r>
          </w:p>
        </w:tc>
        <w:tc>
          <w:tcPr>
            <w:tcW w:w="2802" w:type="dxa"/>
          </w:tcPr>
          <w:p w14:paraId="37FFC7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r>
      <w:tr w:rsidR="00E3599D" w:rsidRPr="00E14102" w14:paraId="1E4475A2" w14:textId="77777777">
        <w:tc>
          <w:tcPr>
            <w:tcW w:w="2802" w:type="dxa"/>
          </w:tcPr>
          <w:p w14:paraId="773B77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№39</w:t>
            </w:r>
          </w:p>
        </w:tc>
        <w:tc>
          <w:tcPr>
            <w:tcW w:w="2802" w:type="dxa"/>
          </w:tcPr>
          <w:p w14:paraId="3F6BCF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34</w:t>
            </w:r>
          </w:p>
        </w:tc>
        <w:tc>
          <w:tcPr>
            <w:tcW w:w="2802" w:type="dxa"/>
          </w:tcPr>
          <w:p w14:paraId="26104A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w:t>
            </w:r>
          </w:p>
        </w:tc>
        <w:tc>
          <w:tcPr>
            <w:tcW w:w="2802" w:type="dxa"/>
          </w:tcPr>
          <w:p w14:paraId="5A1979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645C1BC8" w14:textId="77777777">
        <w:tc>
          <w:tcPr>
            <w:tcW w:w="2802" w:type="dxa"/>
            <w:tcBorders>
              <w:bottom w:val="single" w:sz="12" w:space="0" w:color="auto"/>
            </w:tcBorders>
          </w:tcPr>
          <w:p w14:paraId="43617F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2802" w:type="dxa"/>
            <w:tcBorders>
              <w:bottom w:val="single" w:sz="12" w:space="0" w:color="auto"/>
            </w:tcBorders>
          </w:tcPr>
          <w:p w14:paraId="0E746F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94</w:t>
            </w:r>
          </w:p>
        </w:tc>
        <w:tc>
          <w:tcPr>
            <w:tcW w:w="2802" w:type="dxa"/>
            <w:tcBorders>
              <w:bottom w:val="single" w:sz="12" w:space="0" w:color="auto"/>
            </w:tcBorders>
          </w:tcPr>
          <w:p w14:paraId="23DEA1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288</w:t>
            </w:r>
          </w:p>
        </w:tc>
        <w:tc>
          <w:tcPr>
            <w:tcW w:w="2802" w:type="dxa"/>
            <w:tcBorders>
              <w:bottom w:val="single" w:sz="12" w:space="0" w:color="auto"/>
            </w:tcBorders>
          </w:tcPr>
          <w:p w14:paraId="2ED960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r>
    </w:tbl>
    <w:p w14:paraId="3CA2C3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(12014).</w:t>
      </w:r>
    </w:p>
    <w:p w14:paraId="4B221CDF" w14:textId="77777777" w:rsidR="00D4105E" w:rsidRPr="00E14102" w:rsidRDefault="00D4105E" w:rsidP="00E14102">
      <w:pPr>
        <w:autoSpaceDE w:val="0"/>
        <w:autoSpaceDN w:val="0"/>
        <w:adjustRightInd w:val="0"/>
        <w:jc w:val="both"/>
        <w:rPr>
          <w:color w:val="000000" w:themeColor="text1"/>
          <w:sz w:val="16"/>
          <w:szCs w:val="16"/>
        </w:rPr>
      </w:pPr>
    </w:p>
    <w:p w14:paraId="76BA6B9A" w14:textId="77777777" w:rsidR="004428EE" w:rsidRPr="00E14102" w:rsidRDefault="004428EE" w:rsidP="00E14102">
      <w:pPr>
        <w:jc w:val="both"/>
        <w:rPr>
          <w:color w:val="000000" w:themeColor="text1"/>
          <w:sz w:val="16"/>
          <w:szCs w:val="16"/>
        </w:rPr>
      </w:pPr>
      <w:r w:rsidRPr="00E14102">
        <w:rPr>
          <w:color w:val="000000" w:themeColor="text1"/>
          <w:sz w:val="16"/>
          <w:szCs w:val="16"/>
        </w:rPr>
        <w:t>В 1935 г. завод № 1 выпустил 273 И-15. Полтора десятка экземпляров изготовил завод № 39, ещё две машины он закончил в 1936 г. (12261).</w:t>
      </w:r>
    </w:p>
    <w:p w14:paraId="68BEF5EB" w14:textId="77777777" w:rsidR="004428EE" w:rsidRPr="00E14102" w:rsidRDefault="004428EE" w:rsidP="00E14102">
      <w:pPr>
        <w:jc w:val="both"/>
        <w:rPr>
          <w:color w:val="000000" w:themeColor="text1"/>
          <w:sz w:val="16"/>
          <w:szCs w:val="16"/>
        </w:rPr>
      </w:pPr>
    </w:p>
    <w:p w14:paraId="00ED25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конструктор Сорокин предложил подвешивать под нижним крылом И-15, на штатных бомбодержателях, четыре пулемета ШКAC в обтекаемых контейнерах. Такой самолет мог использоваться в качестве штурмовика. Каждый контейнер вмещал один пулемет ШКАС с цилиндрическим магазином, рассчитанным на 450 патронов. В апреле 1936 г. один такой контейнер был изготовлен, подвешивался под левым крылом ЦКБ-3 №7 и проходил летные и полигонные испытания. Установку признали дееспособной, но требующей доработки. Впоследствии, испытания подвесных ШКАСов продолжили на И-153Ш (12014).</w:t>
      </w:r>
    </w:p>
    <w:p w14:paraId="24CBD1AB" w14:textId="77777777" w:rsidR="00D4105E" w:rsidRPr="00E14102" w:rsidRDefault="00D4105E" w:rsidP="00E14102">
      <w:pPr>
        <w:autoSpaceDE w:val="0"/>
        <w:autoSpaceDN w:val="0"/>
        <w:adjustRightInd w:val="0"/>
        <w:jc w:val="both"/>
        <w:rPr>
          <w:color w:val="000000" w:themeColor="text1"/>
          <w:sz w:val="16"/>
          <w:szCs w:val="16"/>
        </w:rPr>
      </w:pPr>
    </w:p>
    <w:p w14:paraId="3A3742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в КБ Н.Н.П. разработали много новых вариантов, предполагающих совершенствование базовой модели И-17. В планах КБ значился ЦКБ-25 (И-19) с форсированным двигателем М-34 и гликолевым охлаждением, улучшенный ЦКБ-28 (И-20), ЦКБ-33 (И-18) с пушечным двигателем "Испано-Сюиза" 12Ycrs и пароиспарительной системой охлаждения. Кроме того, до конца 1935 г. на основе истребителей были подготовлены эскизные проекты рекордных самолетов И-19 и И-18. Проектирование рекордных машин продолжалась в КБ Поликарпова и в 1936 г., однако в связи с последующим их изъятием из плана и дальнейшим перебазированием самого КБ скоро прекратилось. Сам Поликарпов надеялся продолжить данную работу, в частности, в июне 1936 г. он обращается к начальнику ГУАП М.М.Кагановичу: "По заданию Сталина нами были сконструированы рекордные самолеты И-18 (М-100, М-103) с расчетной скоростью 530 км/час и И-19 (М-34ФРН) с расчетной скоростью 600 км/час. Конструктивные чертежи этих самолетов были закончены еще на заводе №39 и началась их постройка, однако ГУАП не ввел их в план 1936 г. и изготовление прекратили. ...Нужно продолжить работу с И-19, это гарантирует нам побитие рекорда и выполнение личного задания тов. Сталина".</w:t>
      </w:r>
    </w:p>
    <w:p w14:paraId="750C46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Поликарпов настойчиво пытался развивать целое семейство своих новых машин и нет никаких свидетельств, что он прохладно относился к совершенствованию И-17. Скорее всего, заметного интереса к разработкам конструктора не наблюдалось у заказчика в лице Управления ВВС. Дополнительным подтверждением сказанного является то, что за все описанное время в отношении построенных ЦКБ-15 и ЦКБ-19 почти не отмечалось привычных тогда грозных начальственных указаний, требующих "ускорить сроки сдачи", "принять немедленно", "срочно представить". Обстановка вокруг поликарповских самолетов была какая-то вялая и более напоминала молчаливый заговор (11951).</w:t>
      </w:r>
    </w:p>
    <w:p w14:paraId="7307DED5" w14:textId="77777777" w:rsidR="00D4105E" w:rsidRPr="00E14102" w:rsidRDefault="00D4105E" w:rsidP="00E14102">
      <w:pPr>
        <w:autoSpaceDE w:val="0"/>
        <w:autoSpaceDN w:val="0"/>
        <w:adjustRightInd w:val="0"/>
        <w:jc w:val="both"/>
        <w:rPr>
          <w:color w:val="000000" w:themeColor="text1"/>
          <w:sz w:val="16"/>
          <w:szCs w:val="16"/>
        </w:rPr>
      </w:pPr>
    </w:p>
    <w:p w14:paraId="0FFC7B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в ЦКБ проектировался еще один самолет, который получил наименование ЦКБ-44. Это был И-16 с 4 пулеметами в крыле и двигателем Райт "Циклон" F-54. Предполагался к использованию как штурмовик без бронирования. Считается, что конструкторская документация использовалась при создании И-162 на заводе №21 (12015).</w:t>
      </w:r>
    </w:p>
    <w:p w14:paraId="640B79AC" w14:textId="77777777" w:rsidR="00D4105E" w:rsidRPr="00E14102" w:rsidRDefault="00D4105E" w:rsidP="00E14102">
      <w:pPr>
        <w:autoSpaceDE w:val="0"/>
        <w:autoSpaceDN w:val="0"/>
        <w:adjustRightInd w:val="0"/>
        <w:jc w:val="both"/>
        <w:rPr>
          <w:color w:val="000000" w:themeColor="text1"/>
          <w:sz w:val="16"/>
          <w:szCs w:val="16"/>
        </w:rPr>
      </w:pPr>
    </w:p>
    <w:p w14:paraId="2747A4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течение 1935 г. завод № 135 изготовил ещё 20 И-ЗЕТ. Таким образом, суммарный выпуск на двух предприятиях составил 72 машины (12005).</w:t>
      </w:r>
    </w:p>
    <w:p w14:paraId="027FE893" w14:textId="77777777" w:rsidR="00D4105E" w:rsidRPr="00E14102" w:rsidRDefault="00D4105E" w:rsidP="00E14102">
      <w:pPr>
        <w:autoSpaceDE w:val="0"/>
        <w:autoSpaceDN w:val="0"/>
        <w:adjustRightInd w:val="0"/>
        <w:jc w:val="both"/>
        <w:rPr>
          <w:color w:val="000000" w:themeColor="text1"/>
          <w:sz w:val="16"/>
          <w:szCs w:val="16"/>
        </w:rPr>
      </w:pPr>
    </w:p>
    <w:p w14:paraId="000A09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был разработан еще один проект скоростного истребителя - конструктора А.А.Пороховщикова, работавшего в ту пору на авиазаводе №1. Известно лишь, что истребитель Пороховщиковым имел обозначение П-7 и создавался под двигатель "Испано-Сюиза" 12Ybrs максимальной мощностью 850 л.с. Скорее всего, вопрос о постройке П-7 до обсуждения в руководстве не дошел (11951).</w:t>
      </w:r>
    </w:p>
    <w:p w14:paraId="1C289763" w14:textId="77777777" w:rsidR="00D4105E" w:rsidRPr="00E14102" w:rsidRDefault="00D4105E" w:rsidP="00E14102">
      <w:pPr>
        <w:autoSpaceDE w:val="0"/>
        <w:autoSpaceDN w:val="0"/>
        <w:adjustRightInd w:val="0"/>
        <w:jc w:val="both"/>
        <w:rPr>
          <w:color w:val="000000" w:themeColor="text1"/>
          <w:sz w:val="16"/>
          <w:szCs w:val="16"/>
        </w:rPr>
      </w:pPr>
    </w:p>
    <w:p w14:paraId="5C447B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сделали УТИ-4 на 21 заводе (310). Именно на нем разбились вдвоем П.Осипенко и А.Серов (1076,564).</w:t>
      </w:r>
    </w:p>
    <w:p w14:paraId="4A3D75D0" w14:textId="77777777" w:rsidR="00D4105E" w:rsidRPr="00E14102" w:rsidRDefault="00D4105E" w:rsidP="00E14102">
      <w:pPr>
        <w:autoSpaceDE w:val="0"/>
        <w:autoSpaceDN w:val="0"/>
        <w:adjustRightInd w:val="0"/>
        <w:jc w:val="both"/>
        <w:rPr>
          <w:color w:val="000000" w:themeColor="text1"/>
          <w:sz w:val="16"/>
          <w:szCs w:val="16"/>
        </w:rPr>
      </w:pPr>
    </w:p>
    <w:p w14:paraId="32DD98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летал КАИ-1 З.И.Ицковича (310).</w:t>
      </w:r>
    </w:p>
    <w:p w14:paraId="7A346FA9" w14:textId="77777777" w:rsidR="00D4105E" w:rsidRPr="00E14102" w:rsidRDefault="00D4105E" w:rsidP="00E14102">
      <w:pPr>
        <w:autoSpaceDE w:val="0"/>
        <w:autoSpaceDN w:val="0"/>
        <w:adjustRightInd w:val="0"/>
        <w:jc w:val="both"/>
        <w:rPr>
          <w:color w:val="000000" w:themeColor="text1"/>
          <w:sz w:val="16"/>
          <w:szCs w:val="16"/>
        </w:rPr>
      </w:pPr>
    </w:p>
    <w:p w14:paraId="48ACA2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арестовали П.А.Ивенсена, автора двухбалочного Г-38, и сослали на Соловки за КР (83,181).</w:t>
      </w:r>
    </w:p>
    <w:p w14:paraId="21D674E3" w14:textId="77777777" w:rsidR="00D4105E" w:rsidRPr="00E14102" w:rsidRDefault="00D4105E" w:rsidP="00E14102">
      <w:pPr>
        <w:autoSpaceDE w:val="0"/>
        <w:autoSpaceDN w:val="0"/>
        <w:adjustRightInd w:val="0"/>
        <w:jc w:val="both"/>
        <w:rPr>
          <w:color w:val="000000" w:themeColor="text1"/>
          <w:sz w:val="16"/>
          <w:szCs w:val="16"/>
        </w:rPr>
      </w:pPr>
    </w:p>
    <w:p w14:paraId="3B4EE874" w14:textId="77777777" w:rsidR="005417B0" w:rsidRPr="00E14102" w:rsidRDefault="005417B0" w:rsidP="00E14102">
      <w:pPr>
        <w:jc w:val="both"/>
        <w:rPr>
          <w:color w:val="000000" w:themeColor="text1"/>
          <w:sz w:val="16"/>
          <w:szCs w:val="16"/>
        </w:rPr>
      </w:pPr>
      <w:r w:rsidRPr="00E14102">
        <w:rPr>
          <w:color w:val="000000" w:themeColor="text1"/>
          <w:sz w:val="16"/>
          <w:szCs w:val="16"/>
        </w:rPr>
        <w:lastRenderedPageBreak/>
        <w:t>В 1935 г., возглавляя ЦКБ-39, Григорович  предложил  ГУАП проект среднего бомбардировщика с убираемым шасси. Это был классический низкоплан с двумя двигателями М-22, но предполагалось и установка более мощных двигателей (М-25, М-34РН). Шасси с внешним подкосом наполовину убиралось поворотом назад. Выступающая часть колеса прикрывалась обтекателем. В известной степени это предохраняло фюзеляж от разрушения при вынужденной посадке с убранными шасси.  Вооружение состояло из 3-х открытых спаренных пулеметных установок, которые обеспечивали  защиту самолета спереди и сзади. Бомбы общим весом в 1000 кг. находились  в 2-х фюзеляжных бомбоотсеках. Экипаж: пилот, штурман и 3 стрелка.</w:t>
      </w:r>
    </w:p>
    <w:p w14:paraId="5D3888A0" w14:textId="77777777" w:rsidR="005417B0" w:rsidRPr="00E14102" w:rsidRDefault="005417B0" w:rsidP="00E14102">
      <w:pPr>
        <w:jc w:val="both"/>
        <w:rPr>
          <w:color w:val="000000" w:themeColor="text1"/>
          <w:sz w:val="16"/>
          <w:szCs w:val="16"/>
        </w:rPr>
      </w:pPr>
      <w:r w:rsidRPr="00E14102">
        <w:rPr>
          <w:color w:val="000000" w:themeColor="text1"/>
          <w:sz w:val="16"/>
          <w:szCs w:val="16"/>
        </w:rPr>
        <w:t>По конструкции он был типичными представителям машин поколения середины тридцатых годов, то есть в определенной степени консервативными. Впрочем, Дмитрий Павлович не стремился к особой оригинальности конструктивных решений.</w:t>
      </w:r>
    </w:p>
    <w:p w14:paraId="5CDE3DD6" w14:textId="77777777" w:rsidR="005417B0" w:rsidRPr="00E14102" w:rsidRDefault="005417B0" w:rsidP="00E14102">
      <w:pPr>
        <w:jc w:val="both"/>
        <w:rPr>
          <w:color w:val="000000" w:themeColor="text1"/>
          <w:sz w:val="16"/>
          <w:szCs w:val="16"/>
        </w:rPr>
      </w:pPr>
      <w:r w:rsidRPr="00E14102">
        <w:rPr>
          <w:color w:val="000000" w:themeColor="text1"/>
          <w:sz w:val="16"/>
          <w:szCs w:val="16"/>
        </w:rPr>
        <w:t>ЛТХ двухмоторного бомбардировщика Григоровича.</w:t>
      </w:r>
    </w:p>
    <w:p w14:paraId="54F7212B" w14:textId="77777777" w:rsidR="005417B0" w:rsidRPr="00E14102" w:rsidRDefault="005417B0" w:rsidP="00E14102">
      <w:pPr>
        <w:jc w:val="both"/>
        <w:rPr>
          <w:color w:val="000000" w:themeColor="text1"/>
          <w:sz w:val="16"/>
          <w:szCs w:val="16"/>
        </w:rPr>
      </w:pPr>
      <w:r w:rsidRPr="00E14102">
        <w:rPr>
          <w:color w:val="000000" w:themeColor="text1"/>
          <w:sz w:val="16"/>
          <w:szCs w:val="16"/>
        </w:rPr>
        <w:t>Размах крыльев:  22,5 м;</w:t>
      </w:r>
    </w:p>
    <w:p w14:paraId="27C05413" w14:textId="77777777" w:rsidR="005417B0" w:rsidRPr="00E14102" w:rsidRDefault="005417B0" w:rsidP="00E14102">
      <w:pPr>
        <w:jc w:val="both"/>
        <w:rPr>
          <w:color w:val="000000" w:themeColor="text1"/>
          <w:sz w:val="16"/>
          <w:szCs w:val="16"/>
        </w:rPr>
      </w:pPr>
      <w:r w:rsidRPr="00E14102">
        <w:rPr>
          <w:color w:val="000000" w:themeColor="text1"/>
          <w:sz w:val="16"/>
          <w:szCs w:val="16"/>
        </w:rPr>
        <w:t>Длина:  14,5 м;</w:t>
      </w:r>
    </w:p>
    <w:p w14:paraId="1866347F" w14:textId="77777777" w:rsidR="005417B0" w:rsidRPr="00E14102" w:rsidRDefault="005417B0" w:rsidP="00E14102">
      <w:pPr>
        <w:jc w:val="both"/>
        <w:rPr>
          <w:color w:val="000000" w:themeColor="text1"/>
          <w:sz w:val="16"/>
          <w:szCs w:val="16"/>
        </w:rPr>
      </w:pPr>
      <w:r w:rsidRPr="00E14102">
        <w:rPr>
          <w:color w:val="000000" w:themeColor="text1"/>
          <w:sz w:val="16"/>
          <w:szCs w:val="16"/>
        </w:rPr>
        <w:t>Площадь крыла 75 м2;</w:t>
      </w:r>
    </w:p>
    <w:p w14:paraId="23F8AC94" w14:textId="77777777" w:rsidR="005417B0" w:rsidRPr="00E14102" w:rsidRDefault="005417B0" w:rsidP="00E14102">
      <w:pPr>
        <w:jc w:val="both"/>
        <w:rPr>
          <w:color w:val="000000" w:themeColor="text1"/>
          <w:sz w:val="16"/>
          <w:szCs w:val="16"/>
        </w:rPr>
      </w:pPr>
      <w:r w:rsidRPr="00E14102">
        <w:rPr>
          <w:color w:val="000000" w:themeColor="text1"/>
          <w:sz w:val="16"/>
          <w:szCs w:val="16"/>
        </w:rPr>
        <w:t>Вес конструкции: 3350 кг;</w:t>
      </w:r>
    </w:p>
    <w:p w14:paraId="16016556" w14:textId="77777777" w:rsidR="005417B0" w:rsidRPr="00E14102" w:rsidRDefault="005417B0" w:rsidP="00E14102">
      <w:pPr>
        <w:jc w:val="both"/>
        <w:rPr>
          <w:color w:val="000000" w:themeColor="text1"/>
          <w:sz w:val="16"/>
          <w:szCs w:val="16"/>
        </w:rPr>
      </w:pPr>
      <w:r w:rsidRPr="00E14102">
        <w:rPr>
          <w:color w:val="000000" w:themeColor="text1"/>
          <w:sz w:val="16"/>
          <w:szCs w:val="16"/>
        </w:rPr>
        <w:t>Взлетный вес: 5880 кг;</w:t>
      </w:r>
    </w:p>
    <w:p w14:paraId="4E99573A" w14:textId="77777777" w:rsidR="005417B0" w:rsidRPr="00E14102" w:rsidRDefault="005417B0" w:rsidP="00E14102">
      <w:pPr>
        <w:jc w:val="both"/>
        <w:rPr>
          <w:color w:val="000000" w:themeColor="text1"/>
          <w:sz w:val="16"/>
          <w:szCs w:val="16"/>
        </w:rPr>
      </w:pPr>
      <w:r w:rsidRPr="00E14102">
        <w:rPr>
          <w:color w:val="000000" w:themeColor="text1"/>
          <w:sz w:val="16"/>
          <w:szCs w:val="16"/>
        </w:rPr>
        <w:t>Двигатели: 2х М-22, мощность 480 л.с.;</w:t>
      </w:r>
    </w:p>
    <w:p w14:paraId="6BB434BE" w14:textId="77777777" w:rsidR="005417B0" w:rsidRPr="00E14102" w:rsidRDefault="005417B0" w:rsidP="00E14102">
      <w:pPr>
        <w:jc w:val="both"/>
        <w:rPr>
          <w:color w:val="000000" w:themeColor="text1"/>
          <w:sz w:val="16"/>
          <w:szCs w:val="16"/>
        </w:rPr>
      </w:pPr>
      <w:r w:rsidRPr="00E14102">
        <w:rPr>
          <w:color w:val="000000" w:themeColor="text1"/>
          <w:sz w:val="16"/>
          <w:szCs w:val="16"/>
        </w:rPr>
        <w:t>Скорость макс: 250 км/ч;</w:t>
      </w:r>
    </w:p>
    <w:p w14:paraId="7B5853B5" w14:textId="77777777" w:rsidR="005417B0" w:rsidRPr="00E14102" w:rsidRDefault="005417B0" w:rsidP="00E14102">
      <w:pPr>
        <w:jc w:val="both"/>
        <w:rPr>
          <w:color w:val="000000" w:themeColor="text1"/>
          <w:sz w:val="16"/>
          <w:szCs w:val="16"/>
        </w:rPr>
      </w:pPr>
      <w:r w:rsidRPr="00E14102">
        <w:rPr>
          <w:color w:val="000000" w:themeColor="text1"/>
          <w:sz w:val="16"/>
          <w:szCs w:val="16"/>
        </w:rPr>
        <w:t>Дальность 900 км</w:t>
      </w:r>
    </w:p>
    <w:p w14:paraId="06903C2C" w14:textId="77777777" w:rsidR="005417B0" w:rsidRPr="00E14102" w:rsidRDefault="005417B0" w:rsidP="00E14102">
      <w:pPr>
        <w:jc w:val="both"/>
        <w:rPr>
          <w:color w:val="000000" w:themeColor="text1"/>
          <w:sz w:val="16"/>
          <w:szCs w:val="16"/>
        </w:rPr>
      </w:pPr>
      <w:r w:rsidRPr="00E14102">
        <w:rPr>
          <w:color w:val="000000" w:themeColor="text1"/>
          <w:sz w:val="16"/>
          <w:szCs w:val="16"/>
        </w:rPr>
        <w:t>Экипаж 5 чел.</w:t>
      </w:r>
    </w:p>
    <w:p w14:paraId="6661095F" w14:textId="77777777" w:rsidR="005417B0" w:rsidRPr="00E14102" w:rsidRDefault="005417B0" w:rsidP="00E14102">
      <w:pPr>
        <w:jc w:val="both"/>
        <w:rPr>
          <w:color w:val="000000" w:themeColor="text1"/>
          <w:sz w:val="16"/>
          <w:szCs w:val="16"/>
        </w:rPr>
      </w:pPr>
      <w:r w:rsidRPr="00E14102">
        <w:rPr>
          <w:color w:val="000000" w:themeColor="text1"/>
          <w:sz w:val="16"/>
          <w:szCs w:val="16"/>
        </w:rPr>
        <w:t>Вооружение: 6 х 7,62 мм пулеметов ДА, бомбы – 1000 кг.</w:t>
      </w:r>
    </w:p>
    <w:p w14:paraId="33B173DA" w14:textId="77777777" w:rsidR="005417B0" w:rsidRPr="00E14102" w:rsidRDefault="005417B0" w:rsidP="00E14102">
      <w:pPr>
        <w:jc w:val="both"/>
        <w:rPr>
          <w:color w:val="000000" w:themeColor="text1"/>
          <w:sz w:val="16"/>
          <w:szCs w:val="16"/>
        </w:rPr>
      </w:pPr>
      <w:r w:rsidRPr="00E14102">
        <w:rPr>
          <w:color w:val="000000" w:themeColor="text1"/>
          <w:sz w:val="16"/>
          <w:szCs w:val="16"/>
        </w:rPr>
        <w:t>Григорович не смог заинтересовать своим проектом ГУАП. Маломощные двигатели М-22 выбранные для бомбардировщика, не давали ему шансов против уже испытуемых  СБ и ДБ-3.</w:t>
      </w:r>
    </w:p>
    <w:p w14:paraId="39B65314" w14:textId="77777777" w:rsidR="005417B0" w:rsidRPr="00E14102" w:rsidRDefault="005417B0" w:rsidP="00E14102">
      <w:pPr>
        <w:jc w:val="both"/>
        <w:rPr>
          <w:color w:val="000000" w:themeColor="text1"/>
          <w:sz w:val="16"/>
          <w:szCs w:val="16"/>
        </w:rPr>
      </w:pPr>
      <w:r w:rsidRPr="00E14102">
        <w:rPr>
          <w:color w:val="000000" w:themeColor="text1"/>
          <w:sz w:val="16"/>
          <w:szCs w:val="16"/>
        </w:rPr>
        <w:t>На основе бомбардировщика, Григорович  предлагал проект двухмоторного 11 -местный пассажирского самолета.</w:t>
      </w:r>
    </w:p>
    <w:p w14:paraId="229DFAC9" w14:textId="77777777" w:rsidR="005417B0" w:rsidRPr="00E14102" w:rsidRDefault="005417B0" w:rsidP="00E14102">
      <w:pPr>
        <w:jc w:val="both"/>
        <w:rPr>
          <w:color w:val="000000" w:themeColor="text1"/>
          <w:sz w:val="16"/>
          <w:szCs w:val="16"/>
        </w:rPr>
      </w:pPr>
      <w:r w:rsidRPr="00E14102">
        <w:rPr>
          <w:color w:val="000000" w:themeColor="text1"/>
          <w:sz w:val="16"/>
          <w:szCs w:val="16"/>
        </w:rPr>
        <w:t>Скоростной двухмоторный пассажирский самолет</w:t>
      </w:r>
    </w:p>
    <w:p w14:paraId="21AAC6AA" w14:textId="77777777" w:rsidR="005417B0" w:rsidRPr="00E14102" w:rsidRDefault="005417B0" w:rsidP="00E14102">
      <w:pPr>
        <w:jc w:val="both"/>
        <w:rPr>
          <w:color w:val="000000" w:themeColor="text1"/>
          <w:sz w:val="16"/>
          <w:szCs w:val="16"/>
        </w:rPr>
      </w:pPr>
      <w:r w:rsidRPr="00E14102">
        <w:rPr>
          <w:color w:val="000000" w:themeColor="text1"/>
          <w:sz w:val="16"/>
          <w:szCs w:val="16"/>
        </w:rPr>
        <w:t>Размах крыльев: 22,9м;</w:t>
      </w:r>
    </w:p>
    <w:p w14:paraId="2F9432D6" w14:textId="77777777" w:rsidR="005417B0" w:rsidRPr="00E14102" w:rsidRDefault="005417B0" w:rsidP="00E14102">
      <w:pPr>
        <w:jc w:val="both"/>
        <w:rPr>
          <w:color w:val="000000" w:themeColor="text1"/>
          <w:sz w:val="16"/>
          <w:szCs w:val="16"/>
        </w:rPr>
      </w:pPr>
      <w:r w:rsidRPr="00E14102">
        <w:rPr>
          <w:color w:val="000000" w:themeColor="text1"/>
          <w:sz w:val="16"/>
          <w:szCs w:val="16"/>
        </w:rPr>
        <w:t>Длина: 14,5 м;</w:t>
      </w:r>
    </w:p>
    <w:p w14:paraId="636F15BB" w14:textId="77777777" w:rsidR="005417B0" w:rsidRPr="00E14102" w:rsidRDefault="005417B0" w:rsidP="00E14102">
      <w:pPr>
        <w:jc w:val="both"/>
        <w:rPr>
          <w:color w:val="000000" w:themeColor="text1"/>
          <w:sz w:val="16"/>
          <w:szCs w:val="16"/>
        </w:rPr>
      </w:pPr>
      <w:r w:rsidRPr="00E14102">
        <w:rPr>
          <w:color w:val="000000" w:themeColor="text1"/>
          <w:sz w:val="16"/>
          <w:szCs w:val="16"/>
        </w:rPr>
        <w:t>Несущая поверхность :75 м²;</w:t>
      </w:r>
    </w:p>
    <w:p w14:paraId="37A1868B" w14:textId="77777777" w:rsidR="005417B0" w:rsidRPr="00E14102" w:rsidRDefault="005417B0" w:rsidP="00E14102">
      <w:pPr>
        <w:jc w:val="both"/>
        <w:rPr>
          <w:color w:val="000000" w:themeColor="text1"/>
          <w:sz w:val="16"/>
          <w:szCs w:val="16"/>
        </w:rPr>
      </w:pPr>
      <w:r w:rsidRPr="00E14102">
        <w:rPr>
          <w:color w:val="000000" w:themeColor="text1"/>
          <w:sz w:val="16"/>
          <w:szCs w:val="16"/>
        </w:rPr>
        <w:t>Нагрузка коммерческая :1000 кг;</w:t>
      </w:r>
    </w:p>
    <w:p w14:paraId="4AB353A5" w14:textId="77777777" w:rsidR="005417B0" w:rsidRPr="00E14102" w:rsidRDefault="005417B0" w:rsidP="00E14102">
      <w:pPr>
        <w:jc w:val="both"/>
        <w:rPr>
          <w:color w:val="000000" w:themeColor="text1"/>
          <w:sz w:val="16"/>
          <w:szCs w:val="16"/>
        </w:rPr>
      </w:pPr>
      <w:r w:rsidRPr="00E14102">
        <w:rPr>
          <w:color w:val="000000" w:themeColor="text1"/>
          <w:sz w:val="16"/>
          <w:szCs w:val="16"/>
        </w:rPr>
        <w:t>Вес конструкции: 3350 кг;</w:t>
      </w:r>
    </w:p>
    <w:p w14:paraId="5C9CAFEA" w14:textId="77777777" w:rsidR="005417B0" w:rsidRPr="00E14102" w:rsidRDefault="005417B0" w:rsidP="00E14102">
      <w:pPr>
        <w:jc w:val="both"/>
        <w:rPr>
          <w:color w:val="000000" w:themeColor="text1"/>
          <w:sz w:val="16"/>
          <w:szCs w:val="16"/>
        </w:rPr>
      </w:pPr>
      <w:r w:rsidRPr="00E14102">
        <w:rPr>
          <w:color w:val="000000" w:themeColor="text1"/>
          <w:sz w:val="16"/>
          <w:szCs w:val="16"/>
        </w:rPr>
        <w:t>Вес полетный: 5330 кг;</w:t>
      </w:r>
    </w:p>
    <w:p w14:paraId="02158F16" w14:textId="77777777" w:rsidR="005417B0" w:rsidRPr="00E14102" w:rsidRDefault="005417B0" w:rsidP="00E14102">
      <w:pPr>
        <w:jc w:val="both"/>
        <w:rPr>
          <w:color w:val="000000" w:themeColor="text1"/>
          <w:sz w:val="16"/>
          <w:szCs w:val="16"/>
        </w:rPr>
      </w:pPr>
      <w:r w:rsidRPr="00E14102">
        <w:rPr>
          <w:color w:val="000000" w:themeColor="text1"/>
          <w:sz w:val="16"/>
          <w:szCs w:val="16"/>
        </w:rPr>
        <w:t>Мощность 960 МФ;</w:t>
      </w:r>
    </w:p>
    <w:p w14:paraId="101EE1C3" w14:textId="77777777" w:rsidR="005417B0" w:rsidRPr="00E14102" w:rsidRDefault="005417B0" w:rsidP="00E14102">
      <w:pPr>
        <w:jc w:val="both"/>
        <w:rPr>
          <w:color w:val="000000" w:themeColor="text1"/>
          <w:sz w:val="16"/>
          <w:szCs w:val="16"/>
        </w:rPr>
      </w:pPr>
      <w:r w:rsidRPr="00E14102">
        <w:rPr>
          <w:color w:val="000000" w:themeColor="text1"/>
          <w:sz w:val="16"/>
          <w:szCs w:val="16"/>
        </w:rPr>
        <w:t>Скорость макс. 250 км/ч;</w:t>
      </w:r>
    </w:p>
    <w:p w14:paraId="0BC7B41C" w14:textId="77777777" w:rsidR="005417B0" w:rsidRPr="00E14102" w:rsidRDefault="005417B0" w:rsidP="00E14102">
      <w:pPr>
        <w:jc w:val="both"/>
        <w:rPr>
          <w:color w:val="000000" w:themeColor="text1"/>
          <w:sz w:val="16"/>
          <w:szCs w:val="16"/>
        </w:rPr>
      </w:pPr>
      <w:r w:rsidRPr="00E14102">
        <w:rPr>
          <w:color w:val="000000" w:themeColor="text1"/>
          <w:sz w:val="16"/>
          <w:szCs w:val="16"/>
        </w:rPr>
        <w:t>Дальность: 900 км;</w:t>
      </w:r>
    </w:p>
    <w:p w14:paraId="07555E7B" w14:textId="77777777" w:rsidR="005417B0" w:rsidRPr="00E14102" w:rsidRDefault="005417B0" w:rsidP="00E14102">
      <w:pPr>
        <w:jc w:val="both"/>
        <w:rPr>
          <w:color w:val="000000" w:themeColor="text1"/>
          <w:sz w:val="16"/>
          <w:szCs w:val="16"/>
        </w:rPr>
      </w:pPr>
      <w:r w:rsidRPr="00E14102">
        <w:rPr>
          <w:color w:val="000000" w:themeColor="text1"/>
          <w:sz w:val="16"/>
          <w:szCs w:val="16"/>
        </w:rPr>
        <w:t>Экипаж 2 чел;</w:t>
      </w:r>
    </w:p>
    <w:p w14:paraId="71165305" w14:textId="77777777" w:rsidR="005417B0" w:rsidRPr="00E14102" w:rsidRDefault="005417B0" w:rsidP="00E14102">
      <w:pPr>
        <w:jc w:val="both"/>
        <w:rPr>
          <w:color w:val="000000" w:themeColor="text1"/>
          <w:sz w:val="16"/>
          <w:szCs w:val="16"/>
        </w:rPr>
      </w:pPr>
      <w:r w:rsidRPr="00E14102">
        <w:rPr>
          <w:color w:val="000000" w:themeColor="text1"/>
          <w:sz w:val="16"/>
          <w:szCs w:val="16"/>
        </w:rPr>
        <w:t>Пассажиры 11 чел.</w:t>
      </w:r>
    </w:p>
    <w:p w14:paraId="007BEBD1" w14:textId="77777777" w:rsidR="005417B0" w:rsidRPr="00E14102" w:rsidRDefault="005417B0" w:rsidP="00E14102">
      <w:pPr>
        <w:jc w:val="both"/>
        <w:rPr>
          <w:color w:val="000000" w:themeColor="text1"/>
          <w:sz w:val="16"/>
          <w:szCs w:val="16"/>
        </w:rPr>
      </w:pPr>
      <w:r w:rsidRPr="00E14102">
        <w:rPr>
          <w:color w:val="000000" w:themeColor="text1"/>
          <w:sz w:val="16"/>
          <w:szCs w:val="16"/>
        </w:rPr>
        <w:t>Проект пассажирского самолета так же развития не получил, весной 1936 КБ Григоровича закрыли (15585).</w:t>
      </w:r>
    </w:p>
    <w:p w14:paraId="2D12744A" w14:textId="77777777" w:rsidR="005417B0" w:rsidRPr="00E14102" w:rsidRDefault="005417B0" w:rsidP="00E14102">
      <w:pPr>
        <w:jc w:val="both"/>
        <w:rPr>
          <w:color w:val="000000" w:themeColor="text1"/>
          <w:sz w:val="16"/>
          <w:szCs w:val="16"/>
        </w:rPr>
      </w:pPr>
    </w:p>
    <w:p w14:paraId="3803F9AD" w14:textId="77777777" w:rsidR="005417B0" w:rsidRPr="00E14102" w:rsidRDefault="005417B0" w:rsidP="00E14102">
      <w:pPr>
        <w:jc w:val="both"/>
        <w:rPr>
          <w:color w:val="000000" w:themeColor="text1"/>
          <w:sz w:val="16"/>
          <w:szCs w:val="16"/>
        </w:rPr>
      </w:pPr>
      <w:r w:rsidRPr="00E14102">
        <w:rPr>
          <w:color w:val="000000" w:themeColor="text1"/>
          <w:sz w:val="16"/>
          <w:szCs w:val="16"/>
        </w:rPr>
        <w:t>В 1935 г. был разработан проект - конструктора А.А.Пороховщикова, работавшего в ту пору на авиазаводе №1. Известно лишь, что истребитель Пороховщиковым имел обозначение П-7 и создавался под двигатель «Испано-Сюиза» 12Ybrs максимальной мощностью 850 л.с. Скорее всего, вопрос о постройке П-7 до обсуждения в руководстве не дошел (15556).</w:t>
      </w:r>
    </w:p>
    <w:p w14:paraId="0B8E2912" w14:textId="77777777" w:rsidR="005417B0" w:rsidRPr="00E14102" w:rsidRDefault="005417B0" w:rsidP="00E14102">
      <w:pPr>
        <w:jc w:val="both"/>
        <w:rPr>
          <w:color w:val="000000" w:themeColor="text1"/>
          <w:sz w:val="16"/>
          <w:szCs w:val="16"/>
        </w:rPr>
      </w:pPr>
    </w:p>
    <w:p w14:paraId="67CA50C8" w14:textId="77777777" w:rsidR="005417B0" w:rsidRPr="00E14102" w:rsidRDefault="005417B0" w:rsidP="00E14102">
      <w:pPr>
        <w:jc w:val="both"/>
        <w:rPr>
          <w:color w:val="000000" w:themeColor="text1"/>
          <w:sz w:val="16"/>
          <w:szCs w:val="16"/>
        </w:rPr>
      </w:pPr>
      <w:r w:rsidRPr="00E14102">
        <w:rPr>
          <w:color w:val="000000" w:themeColor="text1"/>
          <w:sz w:val="16"/>
          <w:szCs w:val="16"/>
        </w:rPr>
        <w:t>В 1935 г. В.Н. Беляев разработал проект сходного с ДБ-ЛК пассажирского самолета для конкурса Авиавнито, который занял второе место после проекта Д.А. Ромейко- Гурко), идею создания одномоторного скоростного самолета с упругим крылом не оставили 915581).</w:t>
      </w:r>
    </w:p>
    <w:p w14:paraId="578A002A" w14:textId="77777777" w:rsidR="005417B0" w:rsidRPr="00E14102" w:rsidRDefault="005417B0" w:rsidP="00E14102">
      <w:pPr>
        <w:jc w:val="both"/>
        <w:rPr>
          <w:color w:val="000000" w:themeColor="text1"/>
          <w:sz w:val="16"/>
          <w:szCs w:val="16"/>
        </w:rPr>
      </w:pPr>
    </w:p>
    <w:p w14:paraId="64354098" w14:textId="77777777" w:rsidR="005417B0" w:rsidRPr="00E14102" w:rsidRDefault="005417B0" w:rsidP="00E14102">
      <w:pPr>
        <w:pStyle w:val="a7"/>
        <w:rPr>
          <w:color w:val="000000" w:themeColor="text1"/>
          <w:sz w:val="16"/>
          <w:szCs w:val="16"/>
          <w:lang w:val="ru-RU"/>
        </w:rPr>
      </w:pPr>
      <w:r w:rsidRPr="00E14102">
        <w:rPr>
          <w:color w:val="000000" w:themeColor="text1"/>
          <w:sz w:val="16"/>
          <w:szCs w:val="16"/>
          <w:lang w:val="ru-RU"/>
        </w:rPr>
        <w:t>В 1935 г. С.В. Ильюшин направил в УВВС и ГУАП эскизный проект пас</w:t>
      </w:r>
      <w:r w:rsidRPr="00E14102">
        <w:rPr>
          <w:color w:val="000000" w:themeColor="text1"/>
          <w:sz w:val="16"/>
          <w:szCs w:val="16"/>
          <w:lang w:val="ru-RU"/>
        </w:rPr>
        <w:softHyphen/>
        <w:t>сажирского варианта самолета ББ-2 и объяснительную записку к нему, в которой он писал:</w:t>
      </w:r>
      <w:r w:rsidRPr="00E14102">
        <w:rPr>
          <w:rStyle w:val="106"/>
          <w:rFonts w:eastAsia="Arial Unicode MS"/>
          <w:color w:val="000000" w:themeColor="text1"/>
          <w:sz w:val="16"/>
          <w:szCs w:val="16"/>
          <w:lang w:val="ru-RU"/>
        </w:rPr>
        <w:t xml:space="preserve"> «Компоновка и конструкция военного самолета ББ-2 задумана так, чтобы без переделок самолет мог быть переоборудован (а не перестроен) из военного вари</w:t>
      </w:r>
      <w:r w:rsidRPr="00E14102">
        <w:rPr>
          <w:rStyle w:val="106"/>
          <w:rFonts w:eastAsia="Arial Unicode MS"/>
          <w:color w:val="000000" w:themeColor="text1"/>
          <w:sz w:val="16"/>
          <w:szCs w:val="16"/>
          <w:lang w:val="ru-RU"/>
        </w:rPr>
        <w:softHyphen/>
        <w:t>анта в пассажирский. Вся конструкция самолета при переходе из военного варианта в гражданский и наоборот, из гражданского в военный, остается неизменной. Таким образом, произ</w:t>
      </w:r>
      <w:r w:rsidRPr="00E14102">
        <w:rPr>
          <w:rStyle w:val="106"/>
          <w:rFonts w:eastAsia="Arial Unicode MS"/>
          <w:color w:val="000000" w:themeColor="text1"/>
          <w:sz w:val="16"/>
          <w:szCs w:val="16"/>
          <w:lang w:val="ru-RU"/>
        </w:rPr>
        <w:softHyphen/>
        <w:t>водственный процесс остается для обоих вариантов идентичным».</w:t>
      </w:r>
      <w:r w:rsidRPr="00E14102">
        <w:rPr>
          <w:rStyle w:val="1014"/>
          <w:rFonts w:ascii="Times New Roman" w:eastAsia="Arial Unicode MS" w:hAnsi="Times New Roman" w:cs="Times New Roman"/>
          <w:color w:val="000000" w:themeColor="text1"/>
          <w:sz w:val="16"/>
          <w:szCs w:val="16"/>
          <w:lang w:val="ru-RU"/>
        </w:rPr>
        <w:t xml:space="preserve"> До</w:t>
      </w:r>
      <w:r w:rsidRPr="00E14102">
        <w:rPr>
          <w:rStyle w:val="1014"/>
          <w:rFonts w:ascii="Times New Roman" w:eastAsia="Arial Unicode MS" w:hAnsi="Times New Roman" w:cs="Times New Roman"/>
          <w:color w:val="000000" w:themeColor="text1"/>
          <w:sz w:val="16"/>
          <w:szCs w:val="16"/>
          <w:lang w:val="ru-RU"/>
        </w:rPr>
        <w:softHyphen/>
        <w:t>кумент включал в себя и краткое тех</w:t>
      </w:r>
      <w:r w:rsidRPr="00E14102">
        <w:rPr>
          <w:rStyle w:val="1014"/>
          <w:rFonts w:ascii="Times New Roman" w:eastAsia="Arial Unicode MS" w:hAnsi="Times New Roman" w:cs="Times New Roman"/>
          <w:color w:val="000000" w:themeColor="text1"/>
          <w:sz w:val="16"/>
          <w:szCs w:val="16"/>
          <w:lang w:val="ru-RU"/>
        </w:rPr>
        <w:softHyphen/>
        <w:t>ническое описание машины ББ-2, на базе которой предлагался вышеука</w:t>
      </w:r>
      <w:r w:rsidRPr="00E14102">
        <w:rPr>
          <w:rStyle w:val="1014"/>
          <w:rFonts w:ascii="Times New Roman" w:eastAsia="Arial Unicode MS" w:hAnsi="Times New Roman" w:cs="Times New Roman"/>
          <w:color w:val="000000" w:themeColor="text1"/>
          <w:sz w:val="16"/>
          <w:szCs w:val="16"/>
          <w:lang w:val="ru-RU"/>
        </w:rPr>
        <w:softHyphen/>
        <w:t>занный эскизный проект. Он предус</w:t>
      </w:r>
      <w:r w:rsidRPr="00E14102">
        <w:rPr>
          <w:rStyle w:val="1014"/>
          <w:rFonts w:ascii="Times New Roman" w:eastAsia="Arial Unicode MS" w:hAnsi="Times New Roman" w:cs="Times New Roman"/>
          <w:color w:val="000000" w:themeColor="text1"/>
          <w:sz w:val="16"/>
          <w:szCs w:val="16"/>
          <w:lang w:val="ru-RU"/>
        </w:rPr>
        <w:softHyphen/>
        <w:t>матривал установку двух двигателей Гном-Рон К-14 мощностью 725 л.с. или Райт-Циклон Р-3 с мощностью 625 л.с.</w:t>
      </w:r>
    </w:p>
    <w:p w14:paraId="69FBF24A" w14:textId="77777777" w:rsidR="005417B0" w:rsidRPr="00E14102" w:rsidRDefault="005417B0" w:rsidP="00E14102">
      <w:pPr>
        <w:pStyle w:val="a7"/>
        <w:rPr>
          <w:color w:val="000000" w:themeColor="text1"/>
          <w:sz w:val="16"/>
          <w:szCs w:val="16"/>
          <w:lang w:val="ru-RU"/>
        </w:rPr>
      </w:pPr>
      <w:r w:rsidRPr="00E14102">
        <w:rPr>
          <w:color w:val="000000" w:themeColor="text1"/>
          <w:sz w:val="16"/>
          <w:szCs w:val="16"/>
          <w:lang w:val="ru-RU"/>
        </w:rPr>
        <w:t>Максимальная расчетная скорость с двигателем Гном-Рон на высоте 4ООО м достигала 385-410 км/ч, а с двигате</w:t>
      </w:r>
      <w:r w:rsidRPr="00E14102">
        <w:rPr>
          <w:color w:val="000000" w:themeColor="text1"/>
          <w:sz w:val="16"/>
          <w:szCs w:val="16"/>
          <w:lang w:val="ru-RU"/>
        </w:rPr>
        <w:softHyphen/>
        <w:t>лем Райт-Циклон на высоте 3000 м - 350-375 км/ч. Практический потолок полета самолета определялся в 8000 м. На пассажирском варианте самолета предполагалось перевозить 12 человек на дальность 850 км. Экипаж из двух человек включал в себя пилота и штур</w:t>
      </w:r>
      <w:r w:rsidRPr="00E14102">
        <w:rPr>
          <w:color w:val="000000" w:themeColor="text1"/>
          <w:sz w:val="16"/>
          <w:szCs w:val="16"/>
          <w:lang w:val="ru-RU"/>
        </w:rPr>
        <w:softHyphen/>
        <w:t>мана, сидящего в пассажирской ка</w:t>
      </w:r>
      <w:r w:rsidRPr="00E14102">
        <w:rPr>
          <w:color w:val="000000" w:themeColor="text1"/>
          <w:sz w:val="16"/>
          <w:szCs w:val="16"/>
          <w:lang w:val="ru-RU"/>
        </w:rPr>
        <w:softHyphen/>
        <w:t>бине. Однако вызывает вопросы отсут</w:t>
      </w:r>
      <w:r w:rsidRPr="00E14102">
        <w:rPr>
          <w:color w:val="000000" w:themeColor="text1"/>
          <w:sz w:val="16"/>
          <w:szCs w:val="16"/>
          <w:lang w:val="ru-RU"/>
        </w:rPr>
        <w:softHyphen/>
        <w:t>ствие в имеющихся документах каких либо упоминаний о предоставляемом пассажирам комфорте. Нет данных о конструкции используемых кресел, ширине прохода между ними и инфор</w:t>
      </w:r>
      <w:r w:rsidRPr="00E14102">
        <w:rPr>
          <w:color w:val="000000" w:themeColor="text1"/>
          <w:sz w:val="16"/>
          <w:szCs w:val="16"/>
          <w:lang w:val="ru-RU"/>
        </w:rPr>
        <w:softHyphen/>
        <w:t>мации о наличии внутренней отделки пассажирской кабины.</w:t>
      </w:r>
    </w:p>
    <w:p w14:paraId="018AF061" w14:textId="77777777" w:rsidR="005417B0" w:rsidRPr="00E14102" w:rsidRDefault="005417B0" w:rsidP="00E14102">
      <w:pPr>
        <w:pStyle w:val="a7"/>
        <w:rPr>
          <w:color w:val="000000" w:themeColor="text1"/>
          <w:sz w:val="16"/>
          <w:szCs w:val="16"/>
          <w:lang w:val="ru-RU"/>
        </w:rPr>
      </w:pPr>
      <w:r w:rsidRPr="00E14102">
        <w:rPr>
          <w:color w:val="000000" w:themeColor="text1"/>
          <w:sz w:val="16"/>
          <w:szCs w:val="16"/>
          <w:lang w:val="ru-RU"/>
        </w:rPr>
        <w:t>При рассмотрении имеющегося оригинала компоновочной схемы этой машины видно, что нарисованные кре</w:t>
      </w:r>
      <w:r w:rsidRPr="00E14102">
        <w:rPr>
          <w:color w:val="000000" w:themeColor="text1"/>
          <w:sz w:val="16"/>
          <w:szCs w:val="16"/>
          <w:lang w:val="ru-RU"/>
        </w:rPr>
        <w:softHyphen/>
        <w:t>сла с боковыми подлокотниками вряд ли могли быть установлены внутри ка</w:t>
      </w:r>
      <w:r w:rsidRPr="00E14102">
        <w:rPr>
          <w:color w:val="000000" w:themeColor="text1"/>
          <w:sz w:val="16"/>
          <w:szCs w:val="16"/>
          <w:lang w:val="ru-RU"/>
        </w:rPr>
        <w:softHyphen/>
        <w:t>бины из-за слишком малых ее габари</w:t>
      </w:r>
      <w:r w:rsidRPr="00E14102">
        <w:rPr>
          <w:color w:val="000000" w:themeColor="text1"/>
          <w:sz w:val="16"/>
          <w:szCs w:val="16"/>
          <w:lang w:val="ru-RU"/>
        </w:rPr>
        <w:softHyphen/>
        <w:t>тов, ведь наружные размеры ее эллип</w:t>
      </w:r>
      <w:r w:rsidRPr="00E14102">
        <w:rPr>
          <w:color w:val="000000" w:themeColor="text1"/>
          <w:sz w:val="16"/>
          <w:szCs w:val="16"/>
          <w:lang w:val="ru-RU"/>
        </w:rPr>
        <w:softHyphen/>
        <w:t>совидного сечения составляли всего 1200</w:t>
      </w:r>
      <w:r w:rsidRPr="00E14102">
        <w:rPr>
          <w:color w:val="000000" w:themeColor="text1"/>
          <w:sz w:val="16"/>
          <w:szCs w:val="16"/>
        </w:rPr>
        <w:t>x</w:t>
      </w:r>
      <w:r w:rsidRPr="00E14102">
        <w:rPr>
          <w:color w:val="000000" w:themeColor="text1"/>
          <w:sz w:val="16"/>
          <w:szCs w:val="16"/>
          <w:lang w:val="ru-RU"/>
        </w:rPr>
        <w:t>1750 мм. Проходящий сквозь фюзеляж задний лонжерон крыла пе</w:t>
      </w:r>
      <w:r w:rsidRPr="00E14102">
        <w:rPr>
          <w:color w:val="000000" w:themeColor="text1"/>
          <w:sz w:val="16"/>
          <w:szCs w:val="16"/>
          <w:lang w:val="ru-RU"/>
        </w:rPr>
        <w:softHyphen/>
        <w:t>рекрывал проход к двум передним ря</w:t>
      </w:r>
      <w:r w:rsidRPr="00E14102">
        <w:rPr>
          <w:color w:val="000000" w:themeColor="text1"/>
          <w:sz w:val="16"/>
          <w:szCs w:val="16"/>
          <w:lang w:val="ru-RU"/>
        </w:rPr>
        <w:softHyphen/>
        <w:t>дам пассажирских мест, отрезая их от входной двери перегородкой; вызывает сомнение предлагаемая схема входа и выхода пассажиров в двухместной кабине передней части фюзеляжа, ко</w:t>
      </w:r>
      <w:r w:rsidRPr="00E14102">
        <w:rPr>
          <w:color w:val="000000" w:themeColor="text1"/>
          <w:sz w:val="16"/>
          <w:szCs w:val="16"/>
          <w:lang w:val="ru-RU"/>
        </w:rPr>
        <w:softHyphen/>
        <w:t>торые предполагались снизу через люк в полу, расположенный прямо под кре</w:t>
      </w:r>
      <w:r w:rsidRPr="00E14102">
        <w:rPr>
          <w:color w:val="000000" w:themeColor="text1"/>
          <w:sz w:val="16"/>
          <w:szCs w:val="16"/>
          <w:lang w:val="ru-RU"/>
        </w:rPr>
        <w:softHyphen/>
        <w:t>слами. Все это дает основание предпо</w:t>
      </w:r>
      <w:r w:rsidRPr="00E14102">
        <w:rPr>
          <w:color w:val="000000" w:themeColor="text1"/>
          <w:sz w:val="16"/>
          <w:szCs w:val="16"/>
          <w:lang w:val="ru-RU"/>
        </w:rPr>
        <w:softHyphen/>
        <w:t>ложить, что этот проект был для группы С.В. Ильюшина формальным поводом выполнить требование вышеупомяну</w:t>
      </w:r>
      <w:r w:rsidRPr="00E14102">
        <w:rPr>
          <w:color w:val="000000" w:themeColor="text1"/>
          <w:sz w:val="16"/>
          <w:szCs w:val="16"/>
          <w:lang w:val="ru-RU"/>
        </w:rPr>
        <w:softHyphen/>
        <w:t>того Положения УНИИ ВВС, в то время как основные усилия и внимание кол</w:t>
      </w:r>
      <w:r w:rsidRPr="00E14102">
        <w:rPr>
          <w:color w:val="000000" w:themeColor="text1"/>
          <w:sz w:val="16"/>
          <w:szCs w:val="16"/>
          <w:lang w:val="ru-RU"/>
        </w:rPr>
        <w:softHyphen/>
        <w:t>лектива были направлены на создание боевого бомбардировщика.</w:t>
      </w:r>
    </w:p>
    <w:p w14:paraId="4A347781" w14:textId="77777777" w:rsidR="005417B0" w:rsidRPr="00E14102" w:rsidRDefault="005417B0" w:rsidP="00E14102">
      <w:pPr>
        <w:pStyle w:val="a7"/>
        <w:rPr>
          <w:color w:val="000000" w:themeColor="text1"/>
          <w:sz w:val="16"/>
          <w:szCs w:val="16"/>
          <w:lang w:val="ru-RU"/>
        </w:rPr>
      </w:pPr>
      <w:r w:rsidRPr="00E14102">
        <w:rPr>
          <w:rStyle w:val="251"/>
          <w:rFonts w:ascii="Times New Roman" w:hAnsi="Times New Roman" w:cs="Times New Roman"/>
          <w:b w:val="0"/>
          <w:color w:val="000000" w:themeColor="text1"/>
          <w:sz w:val="16"/>
          <w:szCs w:val="16"/>
          <w:lang w:val="ru-RU"/>
        </w:rPr>
        <w:t>В дальнейшем</w:t>
      </w:r>
      <w:r w:rsidRPr="00E14102">
        <w:rPr>
          <w:color w:val="000000" w:themeColor="text1"/>
          <w:sz w:val="16"/>
          <w:szCs w:val="16"/>
          <w:lang w:val="ru-RU"/>
        </w:rPr>
        <w:t xml:space="preserve"> этот проект все же был частично реализован, хотя и в несколько другом варианте исполнения, конце 1937 г. на заводе №39 заказано несколько самолетов ДБ-</w:t>
      </w:r>
      <w:r w:rsidRPr="00E14102">
        <w:rPr>
          <w:rStyle w:val="910"/>
          <w:rFonts w:ascii="Times New Roman" w:hAnsi="Times New Roman" w:cs="Times New Roman"/>
          <w:b w:val="0"/>
          <w:color w:val="000000" w:themeColor="text1"/>
          <w:spacing w:val="0"/>
          <w:sz w:val="16"/>
          <w:szCs w:val="16"/>
          <w:lang w:val="ru-RU"/>
        </w:rPr>
        <w:t>3 в</w:t>
      </w:r>
      <w:r w:rsidRPr="00E14102">
        <w:rPr>
          <w:color w:val="000000" w:themeColor="text1"/>
          <w:sz w:val="16"/>
          <w:szCs w:val="16"/>
          <w:lang w:val="ru-RU"/>
        </w:rPr>
        <w:t xml:space="preserve"> транспортно-грузовом варианте </w:t>
      </w:r>
      <w:r w:rsidRPr="00E14102">
        <w:rPr>
          <w:rStyle w:val="251"/>
          <w:rFonts w:ascii="Times New Roman" w:hAnsi="Times New Roman" w:cs="Times New Roman"/>
          <w:b w:val="0"/>
          <w:color w:val="000000" w:themeColor="text1"/>
          <w:sz w:val="16"/>
          <w:szCs w:val="16"/>
          <w:lang w:val="ru-RU"/>
        </w:rPr>
        <w:t>дальних</w:t>
      </w:r>
      <w:r w:rsidRPr="00E14102">
        <w:rPr>
          <w:color w:val="000000" w:themeColor="text1"/>
          <w:sz w:val="16"/>
          <w:szCs w:val="16"/>
          <w:lang w:val="ru-RU"/>
        </w:rPr>
        <w:t xml:space="preserve"> перелетов, которые предназначались для доставки военных со</w:t>
      </w:r>
      <w:r w:rsidRPr="00E14102">
        <w:rPr>
          <w:color w:val="000000" w:themeColor="text1"/>
          <w:sz w:val="16"/>
          <w:szCs w:val="16"/>
          <w:lang w:val="ru-RU"/>
        </w:rPr>
        <w:softHyphen/>
      </w:r>
      <w:r w:rsidRPr="00E14102">
        <w:rPr>
          <w:rStyle w:val="910"/>
          <w:rFonts w:ascii="Times New Roman" w:hAnsi="Times New Roman" w:cs="Times New Roman"/>
          <w:b w:val="0"/>
          <w:color w:val="000000" w:themeColor="text1"/>
          <w:spacing w:val="0"/>
          <w:sz w:val="16"/>
          <w:szCs w:val="16"/>
          <w:lang w:val="ru-RU"/>
        </w:rPr>
        <w:t>ветиков,</w:t>
      </w:r>
      <w:r w:rsidRPr="00E14102">
        <w:rPr>
          <w:color w:val="000000" w:themeColor="text1"/>
          <w:sz w:val="16"/>
          <w:szCs w:val="16"/>
          <w:lang w:val="ru-RU"/>
        </w:rPr>
        <w:t xml:space="preserve"> необходимого оборудования и</w:t>
      </w:r>
      <w:r w:rsidRPr="00E14102">
        <w:rPr>
          <w:rStyle w:val="251"/>
          <w:rFonts w:ascii="Times New Roman" w:hAnsi="Times New Roman" w:cs="Times New Roman"/>
          <w:b w:val="0"/>
          <w:color w:val="000000" w:themeColor="text1"/>
          <w:sz w:val="16"/>
          <w:szCs w:val="16"/>
          <w:lang w:val="ru-RU"/>
        </w:rPr>
        <w:t xml:space="preserve"> запасных</w:t>
      </w:r>
      <w:r w:rsidRPr="00E14102">
        <w:rPr>
          <w:color w:val="000000" w:themeColor="text1"/>
          <w:sz w:val="16"/>
          <w:szCs w:val="16"/>
          <w:lang w:val="ru-RU"/>
        </w:rPr>
        <w:t xml:space="preserve"> частей для советских истре</w:t>
      </w:r>
      <w:r w:rsidRPr="00E14102">
        <w:rPr>
          <w:color w:val="000000" w:themeColor="text1"/>
          <w:sz w:val="16"/>
          <w:szCs w:val="16"/>
          <w:lang w:val="ru-RU"/>
        </w:rPr>
        <w:softHyphen/>
      </w:r>
      <w:r w:rsidRPr="00E14102">
        <w:rPr>
          <w:rStyle w:val="910"/>
          <w:rFonts w:ascii="Times New Roman" w:hAnsi="Times New Roman" w:cs="Times New Roman"/>
          <w:b w:val="0"/>
          <w:color w:val="000000" w:themeColor="text1"/>
          <w:spacing w:val="0"/>
          <w:sz w:val="16"/>
          <w:szCs w:val="16"/>
          <w:lang w:val="ru-RU"/>
        </w:rPr>
        <w:t>бителей</w:t>
      </w:r>
      <w:r w:rsidRPr="00E14102">
        <w:rPr>
          <w:rStyle w:val="251"/>
          <w:rFonts w:ascii="Times New Roman" w:hAnsi="Times New Roman" w:cs="Times New Roman"/>
          <w:b w:val="0"/>
          <w:color w:val="000000" w:themeColor="text1"/>
          <w:sz w:val="16"/>
          <w:szCs w:val="16"/>
          <w:lang w:val="ru-RU"/>
        </w:rPr>
        <w:t xml:space="preserve"> и</w:t>
      </w:r>
      <w:r w:rsidRPr="00E14102">
        <w:rPr>
          <w:color w:val="000000" w:themeColor="text1"/>
          <w:sz w:val="16"/>
          <w:szCs w:val="16"/>
          <w:lang w:val="ru-RU"/>
        </w:rPr>
        <w:t xml:space="preserve"> бомбардировщиков, передан</w:t>
      </w:r>
      <w:r w:rsidRPr="00E14102">
        <w:rPr>
          <w:color w:val="000000" w:themeColor="text1"/>
          <w:sz w:val="16"/>
          <w:szCs w:val="16"/>
          <w:lang w:val="ru-RU"/>
        </w:rPr>
        <w:softHyphen/>
      </w:r>
      <w:r w:rsidRPr="00E14102">
        <w:rPr>
          <w:rStyle w:val="910"/>
          <w:rFonts w:ascii="Times New Roman" w:hAnsi="Times New Roman" w:cs="Times New Roman"/>
          <w:b w:val="0"/>
          <w:color w:val="000000" w:themeColor="text1"/>
          <w:spacing w:val="0"/>
          <w:sz w:val="16"/>
          <w:szCs w:val="16"/>
          <w:lang w:val="ru-RU"/>
        </w:rPr>
        <w:t>ных</w:t>
      </w:r>
      <w:r w:rsidRPr="00E14102">
        <w:rPr>
          <w:color w:val="000000" w:themeColor="text1"/>
          <w:sz w:val="16"/>
          <w:szCs w:val="16"/>
          <w:lang w:val="ru-RU"/>
        </w:rPr>
        <w:t xml:space="preserve"> Китаю для отражения развязанной </w:t>
      </w:r>
      <w:r w:rsidRPr="00E14102">
        <w:rPr>
          <w:rStyle w:val="910"/>
          <w:rFonts w:ascii="Times New Roman" w:hAnsi="Times New Roman" w:cs="Times New Roman"/>
          <w:b w:val="0"/>
          <w:color w:val="000000" w:themeColor="text1"/>
          <w:spacing w:val="0"/>
          <w:sz w:val="16"/>
          <w:szCs w:val="16"/>
          <w:lang w:val="ru-RU"/>
        </w:rPr>
        <w:t>там в</w:t>
      </w:r>
      <w:r w:rsidRPr="00E14102">
        <w:rPr>
          <w:color w:val="000000" w:themeColor="text1"/>
          <w:sz w:val="16"/>
          <w:szCs w:val="16"/>
          <w:lang w:val="ru-RU"/>
        </w:rPr>
        <w:t xml:space="preserve"> 1937 г. японской агрессии (15749).</w:t>
      </w:r>
    </w:p>
    <w:p w14:paraId="59D96788" w14:textId="77777777" w:rsidR="005417B0" w:rsidRPr="00E14102" w:rsidRDefault="005417B0" w:rsidP="00E14102">
      <w:pPr>
        <w:pStyle w:val="a7"/>
        <w:rPr>
          <w:color w:val="000000" w:themeColor="text1"/>
          <w:sz w:val="16"/>
          <w:szCs w:val="16"/>
          <w:lang w:val="ru-RU"/>
        </w:rPr>
      </w:pPr>
    </w:p>
    <w:p w14:paraId="04659F48" w14:textId="77777777" w:rsidR="005417B0" w:rsidRPr="00E14102" w:rsidRDefault="005417B0" w:rsidP="00E14102">
      <w:pPr>
        <w:jc w:val="both"/>
        <w:rPr>
          <w:color w:val="000000" w:themeColor="text1"/>
          <w:sz w:val="16"/>
          <w:szCs w:val="16"/>
        </w:rPr>
      </w:pPr>
      <w:r w:rsidRPr="00E14102">
        <w:rPr>
          <w:color w:val="000000" w:themeColor="text1"/>
          <w:sz w:val="16"/>
          <w:szCs w:val="16"/>
        </w:rPr>
        <w:t>1935 г. и 1936 г. в отношении материальной части в истории советских ВВС стали пе</w:t>
      </w:r>
      <w:r w:rsidRPr="00E14102">
        <w:rPr>
          <w:color w:val="000000" w:themeColor="text1"/>
          <w:sz w:val="16"/>
          <w:szCs w:val="16"/>
        </w:rPr>
        <w:softHyphen/>
        <w:t>реходным периодом. Именно в эти годы типы боевых самолётов, созданные Первой ми</w:t>
      </w:r>
      <w:r w:rsidRPr="00E14102">
        <w:rPr>
          <w:color w:val="000000" w:themeColor="text1"/>
          <w:sz w:val="16"/>
          <w:szCs w:val="16"/>
        </w:rPr>
        <w:softHyphen/>
        <w:t>ровой войной — многоцелевые одномоторные бипланы, выполнявшие функции и раз</w:t>
      </w:r>
      <w:r w:rsidRPr="00E14102">
        <w:rPr>
          <w:color w:val="000000" w:themeColor="text1"/>
          <w:sz w:val="16"/>
          <w:szCs w:val="16"/>
        </w:rPr>
        <w:softHyphen/>
        <w:t>ведчиков и ударных машин, и истребители-бипланы — начали уступать место технике ка</w:t>
      </w:r>
      <w:r w:rsidRPr="00E14102">
        <w:rPr>
          <w:color w:val="000000" w:themeColor="text1"/>
          <w:sz w:val="16"/>
          <w:szCs w:val="16"/>
        </w:rPr>
        <w:softHyphen/>
        <w:t>чественно иного уровня — цельнометаллическим двух- и многомоторным бомбардиров</w:t>
      </w:r>
      <w:r w:rsidRPr="00E14102">
        <w:rPr>
          <w:color w:val="000000" w:themeColor="text1"/>
          <w:sz w:val="16"/>
          <w:szCs w:val="16"/>
        </w:rPr>
        <w:softHyphen/>
        <w:t>щикам и скоростным истребителям-монопланам. Такие машины (ТБ-3, СБ, И-16) стали символами советской авиации 1930-х годов, но еще в 1935 г. в ней были широко рас</w:t>
      </w:r>
      <w:r w:rsidRPr="00E14102">
        <w:rPr>
          <w:color w:val="000000" w:themeColor="text1"/>
          <w:sz w:val="16"/>
          <w:szCs w:val="16"/>
        </w:rPr>
        <w:softHyphen/>
        <w:t>пространены лишь первые образцы такой техники, несшие еще много архаичных черт — тяжёлые бомбардировщики ТБ-3 с гофрированной обшивкой, неубирающимся шас</w:t>
      </w:r>
      <w:r w:rsidRPr="00E14102">
        <w:rPr>
          <w:color w:val="000000" w:themeColor="text1"/>
          <w:sz w:val="16"/>
          <w:szCs w:val="16"/>
        </w:rPr>
        <w:softHyphen/>
        <w:t>си и открытыми кабинами. Да и ими располагала лишь стратегическая авиация, а обно</w:t>
      </w:r>
      <w:r w:rsidRPr="00E14102">
        <w:rPr>
          <w:color w:val="000000" w:themeColor="text1"/>
          <w:sz w:val="16"/>
          <w:szCs w:val="16"/>
        </w:rPr>
        <w:softHyphen/>
        <w:t>вление самолётного парка тактической авиации началось лишь в 1935 г.</w:t>
      </w:r>
    </w:p>
    <w:p w14:paraId="499C3C96" w14:textId="77777777" w:rsidR="005417B0" w:rsidRPr="00E14102" w:rsidRDefault="005417B0" w:rsidP="00E14102">
      <w:pPr>
        <w:jc w:val="both"/>
        <w:rPr>
          <w:color w:val="000000" w:themeColor="text1"/>
          <w:sz w:val="16"/>
          <w:szCs w:val="16"/>
        </w:rPr>
      </w:pPr>
      <w:r w:rsidRPr="00E14102">
        <w:rPr>
          <w:color w:val="000000" w:themeColor="text1"/>
          <w:sz w:val="16"/>
          <w:szCs w:val="16"/>
        </w:rPr>
        <w:t>И только началось! Скоростные истребители-монопланы И-16 серийно выпускались с 1934 г., но в 1935 г. даже в таких важнейших стратегических группировках РККА, как КВО и БВО эти, как выразился увидевший их в апреле московский парикмахер Волков, «курносые самолёты с коротким хвостом» имелись лишь в Брянской авиабригаде БВО. К тому же это были, в основном, машины первой серийной модификации — И-16 тип 4 (или, как их обозначали в ВВС, И-16 М-22) — оснащенные маломощным двигателем М-22 и практически не имевшие поэтому преимущества в скорости перед новыми би</w:t>
      </w:r>
      <w:r w:rsidRPr="00E14102">
        <w:rPr>
          <w:color w:val="000000" w:themeColor="text1"/>
          <w:sz w:val="16"/>
          <w:szCs w:val="16"/>
        </w:rPr>
        <w:softHyphen/>
        <w:t>планами И-15. В 1935 г. в Киевский округ И-16 вообще не попали (109-я иаэ КВО к ию</w:t>
      </w:r>
      <w:r w:rsidRPr="00E14102">
        <w:rPr>
          <w:color w:val="000000" w:themeColor="text1"/>
          <w:sz w:val="16"/>
          <w:szCs w:val="16"/>
        </w:rPr>
        <w:softHyphen/>
        <w:t>ню 1935 г. получила И-15, но освоение их затянулось, и на сентябрьских Киевских маневрах 109-я иаэ летала на своих старых И-5). Основными типами истребителей в КВО в 1935 г. оставались бипланы И-5, а в БВО — бипланы И-3 и И-7. Кстати, БВО яв</w:t>
      </w:r>
      <w:r w:rsidRPr="00E14102">
        <w:rPr>
          <w:color w:val="000000" w:themeColor="text1"/>
          <w:sz w:val="16"/>
          <w:szCs w:val="16"/>
        </w:rPr>
        <w:softHyphen/>
        <w:t>лялся настоящим заповедником немногочисленных истребителей И-7 (лицензионный не</w:t>
      </w:r>
      <w:r w:rsidRPr="00E14102">
        <w:rPr>
          <w:color w:val="000000" w:themeColor="text1"/>
          <w:sz w:val="16"/>
          <w:szCs w:val="16"/>
        </w:rPr>
        <w:softHyphen/>
        <w:t xml:space="preserve">мецкий Хейнкель </w:t>
      </w:r>
      <w:r w:rsidRPr="00E14102">
        <w:rPr>
          <w:color w:val="000000" w:themeColor="text1"/>
          <w:sz w:val="16"/>
          <w:szCs w:val="16"/>
          <w:lang w:val="en-US"/>
        </w:rPr>
        <w:t>HD</w:t>
      </w:r>
      <w:r w:rsidRPr="00E14102">
        <w:rPr>
          <w:color w:val="000000" w:themeColor="text1"/>
          <w:sz w:val="16"/>
          <w:szCs w:val="16"/>
        </w:rPr>
        <w:t>.37): бо'льшая часть из 131 экземпляра «Хейнкелей» служила именно там, и ещё в январе 1935 г. И-7 оказался там самым распространенным типом истре</w:t>
      </w:r>
      <w:r w:rsidRPr="00E14102">
        <w:rPr>
          <w:color w:val="000000" w:themeColor="text1"/>
          <w:sz w:val="16"/>
          <w:szCs w:val="16"/>
        </w:rPr>
        <w:softHyphen/>
        <w:t>бителя. Из шести иаэ БВО на нем тогда летали 2</w:t>
      </w:r>
      <w:r w:rsidRPr="00E14102">
        <w:rPr>
          <w:color w:val="000000" w:themeColor="text1"/>
          <w:sz w:val="16"/>
          <w:szCs w:val="16"/>
          <w:vertAlign w:val="superscript"/>
        </w:rPr>
        <w:t>2</w:t>
      </w:r>
      <w:r w:rsidRPr="00E14102">
        <w:rPr>
          <w:color w:val="000000" w:themeColor="text1"/>
          <w:sz w:val="16"/>
          <w:szCs w:val="16"/>
        </w:rPr>
        <w:t>/</w:t>
      </w:r>
      <w:r w:rsidRPr="00E14102">
        <w:rPr>
          <w:color w:val="000000" w:themeColor="text1"/>
          <w:sz w:val="16"/>
          <w:szCs w:val="16"/>
          <w:vertAlign w:val="subscript"/>
        </w:rPr>
        <w:t>3</w:t>
      </w:r>
      <w:r w:rsidRPr="00E14102">
        <w:rPr>
          <w:color w:val="000000" w:themeColor="text1"/>
          <w:sz w:val="16"/>
          <w:szCs w:val="16"/>
        </w:rPr>
        <w:t xml:space="preserve"> (ещё 2</w:t>
      </w:r>
      <w:r w:rsidRPr="00E14102">
        <w:rPr>
          <w:color w:val="000000" w:themeColor="text1"/>
          <w:sz w:val="16"/>
          <w:szCs w:val="16"/>
          <w:vertAlign w:val="superscript"/>
        </w:rPr>
        <w:t>1</w:t>
      </w:r>
      <w:r w:rsidRPr="00E14102">
        <w:rPr>
          <w:color w:val="000000" w:themeColor="text1"/>
          <w:sz w:val="16"/>
          <w:szCs w:val="16"/>
        </w:rPr>
        <w:t>/</w:t>
      </w:r>
      <w:r w:rsidRPr="00E14102">
        <w:rPr>
          <w:color w:val="000000" w:themeColor="text1"/>
          <w:sz w:val="16"/>
          <w:szCs w:val="16"/>
          <w:vertAlign w:val="subscript"/>
        </w:rPr>
        <w:t>3</w:t>
      </w:r>
      <w:r w:rsidRPr="00E14102">
        <w:rPr>
          <w:color w:val="000000" w:themeColor="text1"/>
          <w:sz w:val="16"/>
          <w:szCs w:val="16"/>
        </w:rPr>
        <w:t xml:space="preserve"> — на И-3 и лишь одна — на самом распростра</w:t>
      </w:r>
      <w:r w:rsidRPr="00E14102">
        <w:rPr>
          <w:color w:val="000000" w:themeColor="text1"/>
          <w:sz w:val="16"/>
          <w:szCs w:val="16"/>
        </w:rPr>
        <w:softHyphen/>
        <w:t>нённом в ВВС РККА И-5) — 40-я, 106-я (коман</w:t>
      </w:r>
      <w:r w:rsidRPr="00E14102">
        <w:rPr>
          <w:color w:val="000000" w:themeColor="text1"/>
          <w:sz w:val="16"/>
          <w:szCs w:val="16"/>
        </w:rPr>
        <w:softHyphen/>
        <w:t>дир которой в марте 1935 г. прямо заявил инспектирующим из Москвы, что И-7 «очень плох»</w:t>
      </w:r>
      <w:r w:rsidRPr="00E14102">
        <w:rPr>
          <w:color w:val="000000" w:themeColor="text1"/>
          <w:sz w:val="16"/>
          <w:szCs w:val="16"/>
          <w:vertAlign w:val="superscript"/>
        </w:rPr>
        <w:t>4</w:t>
      </w:r>
      <w:r w:rsidRPr="00E14102">
        <w:rPr>
          <w:color w:val="000000" w:themeColor="text1"/>
          <w:sz w:val="16"/>
          <w:szCs w:val="16"/>
        </w:rPr>
        <w:t>) и два из трёх от</w:t>
      </w:r>
      <w:r w:rsidRPr="00E14102">
        <w:rPr>
          <w:color w:val="000000" w:themeColor="text1"/>
          <w:sz w:val="16"/>
          <w:szCs w:val="16"/>
        </w:rPr>
        <w:softHyphen/>
        <w:t>рядов 33-й иаэ (15803).</w:t>
      </w:r>
    </w:p>
    <w:p w14:paraId="09CD1F83" w14:textId="77777777" w:rsidR="005417B0" w:rsidRPr="00E14102" w:rsidRDefault="005417B0" w:rsidP="00E14102">
      <w:pPr>
        <w:jc w:val="both"/>
        <w:rPr>
          <w:color w:val="000000" w:themeColor="text1"/>
          <w:sz w:val="16"/>
          <w:szCs w:val="16"/>
        </w:rPr>
      </w:pPr>
    </w:p>
    <w:p w14:paraId="1D3E8FFA" w14:textId="77777777" w:rsidR="005417B0" w:rsidRPr="00E14102" w:rsidRDefault="005417B0" w:rsidP="00E14102">
      <w:pPr>
        <w:jc w:val="both"/>
        <w:rPr>
          <w:color w:val="000000" w:themeColor="text1"/>
          <w:sz w:val="16"/>
          <w:szCs w:val="16"/>
        </w:rPr>
      </w:pPr>
      <w:r w:rsidRPr="00E14102">
        <w:rPr>
          <w:color w:val="000000" w:themeColor="text1"/>
          <w:sz w:val="16"/>
          <w:szCs w:val="16"/>
        </w:rPr>
        <w:t>В 1935 г. на заводе №47 в Ленинграде строили Г-26 Б.Д.Урлапова, работавшего заместителем руководителя Экспериментального института НКТП (и одновременно главного конструктора) П.И.Гроховского и в течение года постройка машины была почти завершена. Однако взлететь Г-26 не довелось.</w:t>
      </w:r>
    </w:p>
    <w:p w14:paraId="042623D2" w14:textId="77777777" w:rsidR="005417B0" w:rsidRPr="00E14102" w:rsidRDefault="005417B0" w:rsidP="00E14102">
      <w:pPr>
        <w:jc w:val="both"/>
        <w:rPr>
          <w:color w:val="000000" w:themeColor="text1"/>
          <w:sz w:val="16"/>
          <w:szCs w:val="16"/>
        </w:rPr>
      </w:pPr>
      <w:r w:rsidRPr="00E14102">
        <w:rPr>
          <w:color w:val="000000" w:themeColor="text1"/>
          <w:sz w:val="16"/>
          <w:szCs w:val="16"/>
        </w:rPr>
        <w:t xml:space="preserve">Г-26 задумывался как истребитель-перехватчик с особо качественной аэродинамикой, небольшими размерами и полетным весом - все это позволяло надеяться на достижении заявленной полетной скорости 600 км/ч. Конструкция смешанная - с деревянным монококовым фюзеляжем и металлическим крылом, оборудованным </w:t>
      </w:r>
      <w:r w:rsidRPr="00E14102">
        <w:rPr>
          <w:color w:val="000000" w:themeColor="text1"/>
          <w:sz w:val="16"/>
          <w:szCs w:val="16"/>
        </w:rPr>
        <w:lastRenderedPageBreak/>
        <w:t>поверхностным радиатором охлаждения двигателя. Крыло малой площади, менее 9 квадратных метров, что определило даже в расчетном варианте высокую нагрузку на его поверхность - 183 кг/м².</w:t>
      </w:r>
    </w:p>
    <w:p w14:paraId="4638D308" w14:textId="77777777" w:rsidR="005417B0" w:rsidRPr="00E14102" w:rsidRDefault="005417B0" w:rsidP="00E14102">
      <w:pPr>
        <w:jc w:val="both"/>
        <w:rPr>
          <w:color w:val="000000" w:themeColor="text1"/>
          <w:sz w:val="16"/>
          <w:szCs w:val="16"/>
        </w:rPr>
      </w:pPr>
      <w:r w:rsidRPr="00E14102">
        <w:rPr>
          <w:color w:val="000000" w:themeColor="text1"/>
          <w:sz w:val="16"/>
          <w:szCs w:val="16"/>
        </w:rPr>
        <w:t>Шасси предполагалось с одним центральным колесом, убираемым в фюзеляж, и двумя крыльевыми поддерживающими опорами. Для уменьшения посадочной скорости, крыло оснащалось закрылками, занимавшими всю его нижнюю заднюю кромку между элеронами. Вооружение состояло из двух крыльевых пулеметов ШКАС вне зоны диска вращения воздушного винта.</w:t>
      </w:r>
    </w:p>
    <w:p w14:paraId="0D04A609" w14:textId="77777777" w:rsidR="005417B0" w:rsidRPr="00E14102" w:rsidRDefault="005417B0" w:rsidP="00E14102">
      <w:pPr>
        <w:jc w:val="both"/>
        <w:rPr>
          <w:color w:val="000000" w:themeColor="text1"/>
          <w:sz w:val="16"/>
          <w:szCs w:val="16"/>
        </w:rPr>
      </w:pPr>
      <w:r w:rsidRPr="00E14102">
        <w:rPr>
          <w:color w:val="000000" w:themeColor="text1"/>
          <w:sz w:val="16"/>
          <w:szCs w:val="16"/>
        </w:rPr>
        <w:t>Начавшаяся в 1936 г. реорганизация промышленности коснулась и Экспериментального института НКТП - его перевели в Главное управление авиационной промышленности (ГУАП). Финансирование организации сначала сократили, а затем ее вовсе закрыли, авиазавод №47 передали для изготовления легких самолетов конструкции А.С.Яковлева. В ходе этих преобразований специальная комиссия ГУАП постановила считать Г-26 бесперспективным и предложила его уничтожить (15556).</w:t>
      </w:r>
    </w:p>
    <w:p w14:paraId="06626FBB" w14:textId="77777777" w:rsidR="005417B0" w:rsidRPr="00E14102" w:rsidRDefault="005417B0" w:rsidP="00E14102">
      <w:pPr>
        <w:jc w:val="both"/>
        <w:rPr>
          <w:color w:val="000000" w:themeColor="text1"/>
          <w:sz w:val="16"/>
          <w:szCs w:val="16"/>
        </w:rPr>
      </w:pPr>
    </w:p>
    <w:p w14:paraId="0964FE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на заводе № 47 в Ленинграде начали строить Г-26 и в течение года постройка машины была почти завершена. Однако подняться в воздух Г-26 не довелось.</w:t>
      </w:r>
    </w:p>
    <w:p w14:paraId="0291A1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Г-26 задумывался как истребитель-перехватчик с особо качественной аэродинамикой, обладал небольшими размерами и полетным весом - все это позволяло надеяться на достижение заявленной полетной скорости 600 км/ч. Конструкция смешанная - с деревянным монококовым фюзеляжем и металлическим крылом, оборудованным поверхностным радиатором охлаждения двигателя. Крыло малой площади, менее 9 м2, что определило даже в расчетном варианте высокую нагрузку на его поверхность - 183 кг/м2.</w:t>
      </w:r>
    </w:p>
    <w:p w14:paraId="27E2F2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Шасси с одним центральным колесом, убираемым в фюзеляж, и двумя крыльевыми поддерживающими опорами. Для уменьшения посадочной скорости крыло оснащалось закрылками, занимавшими всю его нижнюю заднюю кромку между элеронами. Вооружение состояло из двух крыльевых пулеметов ШКАС, вынесенных за пределы диска вращения воздушного винта.</w:t>
      </w:r>
    </w:p>
    <w:p w14:paraId="486ECC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Расчетные данные истребителя Г-26: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E3599D" w:rsidRPr="00E14102" w14:paraId="0818AEFB" w14:textId="77777777">
        <w:tc>
          <w:tcPr>
            <w:tcW w:w="5605" w:type="dxa"/>
            <w:tcBorders>
              <w:top w:val="single" w:sz="12" w:space="0" w:color="auto"/>
            </w:tcBorders>
          </w:tcPr>
          <w:p w14:paraId="5DB980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Размах крыла (м)</w:t>
            </w:r>
          </w:p>
        </w:tc>
        <w:tc>
          <w:tcPr>
            <w:tcW w:w="5605" w:type="dxa"/>
            <w:tcBorders>
              <w:top w:val="single" w:sz="12" w:space="0" w:color="auto"/>
            </w:tcBorders>
          </w:tcPr>
          <w:p w14:paraId="3088B8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7,0</w:t>
            </w:r>
          </w:p>
        </w:tc>
      </w:tr>
      <w:tr w:rsidR="00E3599D" w:rsidRPr="00E14102" w14:paraId="7451662C" w14:textId="77777777">
        <w:tc>
          <w:tcPr>
            <w:tcW w:w="5605" w:type="dxa"/>
          </w:tcPr>
          <w:p w14:paraId="35FD84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в линии полета (м)</w:t>
            </w:r>
          </w:p>
        </w:tc>
        <w:tc>
          <w:tcPr>
            <w:tcW w:w="5605" w:type="dxa"/>
          </w:tcPr>
          <w:p w14:paraId="59C4F7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6,33</w:t>
            </w:r>
          </w:p>
        </w:tc>
      </w:tr>
      <w:tr w:rsidR="00E3599D" w:rsidRPr="00E14102" w14:paraId="22A7FB7F" w14:textId="77777777">
        <w:tc>
          <w:tcPr>
            <w:tcW w:w="5605" w:type="dxa"/>
          </w:tcPr>
          <w:p w14:paraId="71C98E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крыла (м2)</w:t>
            </w:r>
          </w:p>
        </w:tc>
        <w:tc>
          <w:tcPr>
            <w:tcW w:w="5605" w:type="dxa"/>
          </w:tcPr>
          <w:p w14:paraId="5C617A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8,96</w:t>
            </w:r>
          </w:p>
        </w:tc>
      </w:tr>
      <w:tr w:rsidR="00E3599D" w:rsidRPr="00E14102" w14:paraId="79CF94F3" w14:textId="77777777">
        <w:tc>
          <w:tcPr>
            <w:tcW w:w="5605" w:type="dxa"/>
          </w:tcPr>
          <w:p w14:paraId="216803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Масса пустого (кг)</w:t>
            </w:r>
          </w:p>
        </w:tc>
        <w:tc>
          <w:tcPr>
            <w:tcW w:w="5605" w:type="dxa"/>
          </w:tcPr>
          <w:p w14:paraId="2E57CF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1292</w:t>
            </w:r>
          </w:p>
        </w:tc>
      </w:tr>
      <w:tr w:rsidR="00E3599D" w:rsidRPr="00E14102" w14:paraId="0ACCD642" w14:textId="77777777">
        <w:tc>
          <w:tcPr>
            <w:tcW w:w="5605" w:type="dxa"/>
          </w:tcPr>
          <w:p w14:paraId="2B922B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Полетная масса (кг)</w:t>
            </w:r>
          </w:p>
        </w:tc>
        <w:tc>
          <w:tcPr>
            <w:tcW w:w="5605" w:type="dxa"/>
          </w:tcPr>
          <w:p w14:paraId="21A67B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1640</w:t>
            </w:r>
          </w:p>
        </w:tc>
      </w:tr>
      <w:tr w:rsidR="00E3599D" w:rsidRPr="00E14102" w14:paraId="38ACBF9D" w14:textId="77777777">
        <w:tc>
          <w:tcPr>
            <w:tcW w:w="5605" w:type="dxa"/>
          </w:tcPr>
          <w:p w14:paraId="6F445E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у земли (км/ч)</w:t>
            </w:r>
          </w:p>
        </w:tc>
        <w:tc>
          <w:tcPr>
            <w:tcW w:w="5605" w:type="dxa"/>
          </w:tcPr>
          <w:p w14:paraId="2CEDC5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490</w:t>
            </w:r>
          </w:p>
        </w:tc>
      </w:tr>
      <w:tr w:rsidR="00E3599D" w:rsidRPr="00E14102" w14:paraId="17F423FC" w14:textId="77777777">
        <w:tc>
          <w:tcPr>
            <w:tcW w:w="5605" w:type="dxa"/>
          </w:tcPr>
          <w:p w14:paraId="563FBF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скорость на высоте 3380 м (км/ч)</w:t>
            </w:r>
          </w:p>
        </w:tc>
        <w:tc>
          <w:tcPr>
            <w:tcW w:w="5605" w:type="dxa"/>
          </w:tcPr>
          <w:p w14:paraId="66A661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565</w:t>
            </w:r>
          </w:p>
        </w:tc>
      </w:tr>
      <w:tr w:rsidR="00E3599D" w:rsidRPr="00E14102" w14:paraId="6DB7E5B6" w14:textId="77777777">
        <w:tc>
          <w:tcPr>
            <w:tcW w:w="5605" w:type="dxa"/>
          </w:tcPr>
          <w:p w14:paraId="0C1533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Посадочная скорость (км/ч)</w:t>
            </w:r>
          </w:p>
        </w:tc>
        <w:tc>
          <w:tcPr>
            <w:tcW w:w="5605" w:type="dxa"/>
          </w:tcPr>
          <w:p w14:paraId="246264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159</w:t>
            </w:r>
          </w:p>
        </w:tc>
      </w:tr>
      <w:tr w:rsidR="00E3599D" w:rsidRPr="00E14102" w14:paraId="459AC9D3" w14:textId="77777777">
        <w:tc>
          <w:tcPr>
            <w:tcW w:w="5605" w:type="dxa"/>
          </w:tcPr>
          <w:p w14:paraId="42F460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Удельная нагрузка на крыло (кг/мг)</w:t>
            </w:r>
          </w:p>
        </w:tc>
        <w:tc>
          <w:tcPr>
            <w:tcW w:w="5605" w:type="dxa"/>
          </w:tcPr>
          <w:p w14:paraId="341FDE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183</w:t>
            </w:r>
          </w:p>
        </w:tc>
      </w:tr>
      <w:tr w:rsidR="00E3599D" w:rsidRPr="00E14102" w14:paraId="7A6867A3" w14:textId="77777777">
        <w:tc>
          <w:tcPr>
            <w:tcW w:w="5605" w:type="dxa"/>
          </w:tcPr>
          <w:p w14:paraId="5E3D71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Дальность полета (км)</w:t>
            </w:r>
          </w:p>
        </w:tc>
        <w:tc>
          <w:tcPr>
            <w:tcW w:w="5605" w:type="dxa"/>
          </w:tcPr>
          <w:p w14:paraId="764970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750</w:t>
            </w:r>
          </w:p>
        </w:tc>
      </w:tr>
      <w:tr w:rsidR="00E3599D" w:rsidRPr="00E14102" w14:paraId="6EDAB4D2" w14:textId="77777777">
        <w:tc>
          <w:tcPr>
            <w:tcW w:w="5605" w:type="dxa"/>
          </w:tcPr>
          <w:p w14:paraId="125CDF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разбега (м)</w:t>
            </w:r>
          </w:p>
        </w:tc>
        <w:tc>
          <w:tcPr>
            <w:tcW w:w="5605" w:type="dxa"/>
          </w:tcPr>
          <w:p w14:paraId="1006C5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450-700</w:t>
            </w:r>
          </w:p>
        </w:tc>
      </w:tr>
      <w:tr w:rsidR="00E3599D" w:rsidRPr="00E14102" w14:paraId="1E8EBDF3" w14:textId="77777777">
        <w:tc>
          <w:tcPr>
            <w:tcW w:w="5605" w:type="dxa"/>
            <w:tcBorders>
              <w:bottom w:val="single" w:sz="12" w:space="0" w:color="auto"/>
            </w:tcBorders>
          </w:tcPr>
          <w:p w14:paraId="5757CB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Длина пробега (м)</w:t>
            </w:r>
          </w:p>
        </w:tc>
        <w:tc>
          <w:tcPr>
            <w:tcW w:w="5605" w:type="dxa"/>
            <w:tcBorders>
              <w:bottom w:val="single" w:sz="12" w:space="0" w:color="auto"/>
            </w:tcBorders>
          </w:tcPr>
          <w:p w14:paraId="5E347C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420-600</w:t>
            </w:r>
          </w:p>
        </w:tc>
      </w:tr>
    </w:tbl>
    <w:p w14:paraId="6519D6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(12016)</w:t>
      </w:r>
    </w:p>
    <w:p w14:paraId="2B578F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Начавшаяся в 1936 г. реорганизация промышленности коснулась и Экспериментального института Грохов- ского - его передали в Главное управление авиационной промышленности (ГУАП). Финансирование организации сначала сократили, а затем ее вовсе закрыли, авиазавод № 47 передали для изготовления легких самолетов конструкции А.С.Яковлева. Где-то посередине этих событий специальная комиссия ГУАП постановила считать Г-26 бесперспективным и предложила его уничтожить. С процессом уничтожения результатов чьей либо деятельности в Советском Союзе всегда получалось очень хорошо, ретивые исполнители выполнили задачу незамедлительно (12016).</w:t>
      </w:r>
    </w:p>
    <w:p w14:paraId="59366FCA" w14:textId="77777777" w:rsidR="00D4105E" w:rsidRPr="00E14102" w:rsidRDefault="00D4105E" w:rsidP="00E14102">
      <w:pPr>
        <w:autoSpaceDE w:val="0"/>
        <w:autoSpaceDN w:val="0"/>
        <w:adjustRightInd w:val="0"/>
        <w:jc w:val="both"/>
        <w:rPr>
          <w:color w:val="000000" w:themeColor="text1"/>
          <w:sz w:val="16"/>
          <w:szCs w:val="16"/>
        </w:rPr>
      </w:pPr>
    </w:p>
    <w:p w14:paraId="186B91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на заводе № 1 по проекту Д.С. Маркова на основе Р-5 построили "лимузин" для трех пассажиров. На нем опять появилась лестница, на колеса надели обтекатели (11936).</w:t>
      </w:r>
    </w:p>
    <w:p w14:paraId="71ACF0F7" w14:textId="77777777" w:rsidR="00D4105E" w:rsidRPr="00E14102" w:rsidRDefault="00D4105E" w:rsidP="00E14102">
      <w:pPr>
        <w:autoSpaceDE w:val="0"/>
        <w:autoSpaceDN w:val="0"/>
        <w:adjustRightInd w:val="0"/>
        <w:jc w:val="both"/>
        <w:rPr>
          <w:color w:val="000000" w:themeColor="text1"/>
          <w:sz w:val="16"/>
          <w:szCs w:val="16"/>
        </w:rPr>
      </w:pPr>
    </w:p>
    <w:p w14:paraId="12A525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на ремонтном заводе № 35 в Смоленске изготовили два самолета АРК-5. Каркас фонаря кабины сварили из стали. Часть рам и стрингеров фюзеляжа сделали из дюраля. В передней кабине сидел пилот, в задней - механик, радист и два пассажира. Грузовые контейнеры по сравнению с ЛП-5 стали больше. В левом установили компрессор с собственным двигателем, что позволяло завести мотор сжатым воздухом даже после длительной стоянки. Спереди на контейнерах смонтировали два электрогенератора с ветрянками: слева - для радиостанции, справа - для освещения. Один из самолетов получил радиополукомпас (11936).</w:t>
      </w:r>
    </w:p>
    <w:p w14:paraId="649B629B" w14:textId="77777777" w:rsidR="00D4105E" w:rsidRPr="00E14102" w:rsidRDefault="00D4105E" w:rsidP="00E14102">
      <w:pPr>
        <w:autoSpaceDE w:val="0"/>
        <w:autoSpaceDN w:val="0"/>
        <w:adjustRightInd w:val="0"/>
        <w:jc w:val="both"/>
        <w:rPr>
          <w:color w:val="000000" w:themeColor="text1"/>
          <w:sz w:val="16"/>
          <w:szCs w:val="16"/>
        </w:rPr>
      </w:pPr>
    </w:p>
    <w:p w14:paraId="3822B1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был закончен БОК-1, но когда точно - неизвестно. Испытывался летом 1936 (95,22).</w:t>
      </w:r>
    </w:p>
    <w:p w14:paraId="25FB53EB" w14:textId="77777777" w:rsidR="00D4105E" w:rsidRPr="00E14102" w:rsidRDefault="00D4105E" w:rsidP="00E14102">
      <w:pPr>
        <w:autoSpaceDE w:val="0"/>
        <w:autoSpaceDN w:val="0"/>
        <w:adjustRightInd w:val="0"/>
        <w:jc w:val="both"/>
        <w:rPr>
          <w:color w:val="000000" w:themeColor="text1"/>
          <w:sz w:val="16"/>
          <w:szCs w:val="16"/>
        </w:rPr>
      </w:pPr>
    </w:p>
    <w:p w14:paraId="35CF20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под руководством Чижевского сотрудники Бюро особых конструкций (БОК) ЦАГИ разработали в 1935 г. экспериментальный самолет бесхвостой схемы с двигателем М-11. При этом учли и использовали ценный опыт, ранее накопленный Черановс-ким при создании подобных самолетов, а также реализовали ряд новых идей.</w:t>
      </w:r>
    </w:p>
    <w:p w14:paraId="660BCB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Основным конструктивным материалом самолета, спроектированного Чижевским и названного “БОК-5”, является дюраль. Несущие узлы стальные. Крыло обтянуто полотном, прилегающая к кабине пилота часть -гофром. Это сделано для удобства обслуживания мотора и посадки в кабину.</w:t>
      </w:r>
    </w:p>
    <w:p w14:paraId="6D79F2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Трапециевидной формы крыло трех-лонжеронное: два лонжерона из дюралевых труб и один - из листового дюраля, коробчатого типа (к нему крепится поворотная часть крыла). Нервюры форменного типа, из дюралевых профилей. Расчалка крыльев -проволочная.</w:t>
      </w:r>
    </w:p>
    <w:p w14:paraId="7A5C53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Крыло, с почти прямой задней кромкой и стреловидной - передней, по всему размаху разрезано, и его профиль может изменяться. Во время полета средняя часть крыла (за вторым лонжероном) регулируется по желанию летчика. Угол установки меняется в диапазоне от +3 до -5 градусов относительно хорды крыла. Поворотная часть крыла заменяет собой стабилизатор, легко снимая с ручки управления аэродинамические нагрузки.</w:t>
      </w:r>
    </w:p>
    <w:p w14:paraId="42EF30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Поворотная часть крыла с подвесным оперением отклоняется для продольной весовой балансировки с помощью специального штурвала в кабине. Управление поворотной частью - тросовое.</w:t>
      </w:r>
    </w:p>
    <w:p w14:paraId="6D2B1C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Каркас поворотной части обшит листовым 0,5-мм дюралем. Он состоит из нервюрок, выполненых также из листового дюралюминия. По задней кромке поворотной части крыла приклепаны кронштейны для подвешивания рулей высоты и элеронов. Здесь же имеются гнезда, служащие отверстиями для пропуска весовых балансиров подвесного оперения.</w:t>
      </w:r>
    </w:p>
    <w:p w14:paraId="29E43D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крыле применен профиль с относительной толщиной 14% и 8-образной средней линией. Элероны и рули высоты представляют собой подкрылки с перевернутым Крыловым профилем.</w:t>
      </w:r>
    </w:p>
    <w:p w14:paraId="3413FF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крыла составляет 23,15 м2 (в том числе поворотной части - 4,0 м2), рулей высоты и элеронов - 4,3 м2.</w:t>
      </w:r>
    </w:p>
    <w:p w14:paraId="7E47E5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выступающим над крылом фюзеляжем имеется вертикальное оперение, состоящее из киля и руля направления.</w:t>
      </w:r>
    </w:p>
    <w:p w14:paraId="2732F3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Каркас фюзеляжа состоит из легких шпангоутов, скрепленных стрингерами и общим листовым дюралем. Нижняя часть фюзеляжа заподлицо с крылом. Лонжероны крыла проходят фюзеляж насквозь.</w:t>
      </w:r>
    </w:p>
    <w:p w14:paraId="68BE51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кабиной летчика фюзеляж переходит в вертикальную колонку с килем, к которой крепится на двух кронштейнах руль направления и костыль.</w:t>
      </w:r>
    </w:p>
    <w:p w14:paraId="683B88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рулей высоты составляет 8,45% от площади всего крыла. Компенсация осевая и весовая - при помощи балансиров, вынесенных вперед оси вращения. Имеются жесткие, не регулирующиеся триммеры</w:t>
      </w:r>
    </w:p>
    <w:p w14:paraId="4EF544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Элероны являются продолжением руля высоты, подвешены под третий отсек поворотной части. Площадь их составляет 5,82% от площади крыла. Компенсация осевая 21% и весовая - по типу рулей высоты.</w:t>
      </w:r>
    </w:p>
    <w:p w14:paraId="326334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Руль поворота крепится к колонке фюзеляжа на двух шарнирах, площадь его составляет 3,4% от площади крыла.</w:t>
      </w:r>
    </w:p>
    <w:p w14:paraId="22F09F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киля составляет 0,5% от площади крыла. Компенсация осевая.</w:t>
      </w:r>
    </w:p>
    <w:p w14:paraId="042AF7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Каркас рулей высоты, элеронов и руля направления состоит из лонжерона - дюралевой трубы и дюралевых нервюрок коробчатого сечения. Каркасы рулей обшиты полотном.</w:t>
      </w:r>
    </w:p>
    <w:p w14:paraId="7F6F98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Шасси не убирающееся (как на самолете У-2), с пластинчатой амортизацией. Колеса 700х100 мм. Костыль управляемый, он включен в управление рулем направления (через амортизаторы). На башмаке костыля приварен мощный продольный гребень (по ходу самолета), что значительно улучшает управляемость на земле.</w:t>
      </w:r>
    </w:p>
    <w:p w14:paraId="773F39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Кабина имеет козырек, и для удобства бортовая верхняя часть откидывается.</w:t>
      </w:r>
    </w:p>
    <w:p w14:paraId="4F8BA6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самолете установлен мотор М-11 мощностью 110 л.с. с обычным карбюратором. Моторная рама сварная, из стальных труб. Винт деревянный от самолета У-2, диаметром 2,3 метра и шагом Н=2,08.</w:t>
      </w:r>
    </w:p>
    <w:p w14:paraId="3B6E20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Питание осуществляется самотеком - из двух бензобаков емкостью по 32 кг, расположенных в кабине над ногами пилота. Для дальних полетов имеется запасной бачок емкостью 24 кг, который находится в фюзеляже, за спиной пилота. Баки изготовлены из луженого железа. Масляный бачок емкостью 14 кг прикреплен к моторной раме (9977).</w:t>
      </w:r>
    </w:p>
    <w:p w14:paraId="0AD84E29" w14:textId="77777777" w:rsidR="00D4105E" w:rsidRPr="00E14102" w:rsidRDefault="00D4105E" w:rsidP="00E14102">
      <w:pPr>
        <w:autoSpaceDE w:val="0"/>
        <w:autoSpaceDN w:val="0"/>
        <w:adjustRightInd w:val="0"/>
        <w:jc w:val="both"/>
        <w:rPr>
          <w:color w:val="000000" w:themeColor="text1"/>
          <w:sz w:val="16"/>
          <w:szCs w:val="16"/>
        </w:rPr>
      </w:pPr>
    </w:p>
    <w:p w14:paraId="273B27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 в МАИ П.Д.Грушин, впоследствии выдаю</w:t>
      </w:r>
      <w:r w:rsidRPr="00E14102">
        <w:rPr>
          <w:color w:val="000000" w:themeColor="text1"/>
          <w:sz w:val="16"/>
          <w:szCs w:val="16"/>
        </w:rPr>
        <w:softHyphen/>
        <w:t>щийся конструктор ракет, переделал один У-2: на двига</w:t>
      </w:r>
      <w:r w:rsidRPr="00E14102">
        <w:rPr>
          <w:color w:val="000000" w:themeColor="text1"/>
          <w:sz w:val="16"/>
          <w:szCs w:val="16"/>
        </w:rPr>
        <w:softHyphen/>
        <w:t>тель поставили кольцевой обтекатель НАКА, шасси снабдили обтекателями, добавили два бензобака. Каби</w:t>
      </w:r>
      <w:r w:rsidRPr="00E14102">
        <w:rPr>
          <w:color w:val="000000" w:themeColor="text1"/>
          <w:sz w:val="16"/>
          <w:szCs w:val="16"/>
        </w:rPr>
        <w:softHyphen/>
        <w:t>ны закрывал фонарь. Максимальная скорость полета увеличилась на 20 км/ч - до 170 км/ч. Относительно небольшое улучшение летных харак</w:t>
      </w:r>
      <w:r w:rsidRPr="00E14102">
        <w:rPr>
          <w:color w:val="000000" w:themeColor="text1"/>
          <w:sz w:val="16"/>
          <w:szCs w:val="16"/>
        </w:rPr>
        <w:softHyphen/>
        <w:t>теристик в этих и других подобных машинах достига</w:t>
      </w:r>
      <w:r w:rsidRPr="00E14102">
        <w:rPr>
          <w:color w:val="000000" w:themeColor="text1"/>
          <w:sz w:val="16"/>
          <w:szCs w:val="16"/>
        </w:rPr>
        <w:softHyphen/>
        <w:t>лось ценой усложнения конструкции и производства самолета. Поэтому в серию они не внедрялись.(10667).</w:t>
      </w:r>
    </w:p>
    <w:p w14:paraId="236C0F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3A7DE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мастерских Московского авиатехникума на средства Осоавиахима был построен НВ-2 В.В.Никитина (310).</w:t>
      </w:r>
    </w:p>
    <w:p w14:paraId="5A082935" w14:textId="77777777" w:rsidR="00D4105E" w:rsidRPr="00E14102" w:rsidRDefault="00D4105E" w:rsidP="00E14102">
      <w:pPr>
        <w:autoSpaceDE w:val="0"/>
        <w:autoSpaceDN w:val="0"/>
        <w:adjustRightInd w:val="0"/>
        <w:jc w:val="both"/>
        <w:rPr>
          <w:color w:val="000000" w:themeColor="text1"/>
          <w:sz w:val="16"/>
          <w:szCs w:val="16"/>
        </w:rPr>
      </w:pPr>
    </w:p>
    <w:p w14:paraId="0621AC0D" w14:textId="77777777" w:rsidR="00CD3BA6" w:rsidRPr="00E14102" w:rsidRDefault="00CD3BA6" w:rsidP="00E14102">
      <w:pPr>
        <w:jc w:val="both"/>
        <w:rPr>
          <w:color w:val="000000" w:themeColor="text1"/>
          <w:sz w:val="16"/>
          <w:szCs w:val="16"/>
        </w:rPr>
      </w:pPr>
      <w:r w:rsidRPr="00E14102">
        <w:rPr>
          <w:color w:val="000000" w:themeColor="text1"/>
          <w:sz w:val="16"/>
          <w:szCs w:val="16"/>
        </w:rPr>
        <w:t>В 1935 году по иници</w:t>
      </w:r>
      <w:r w:rsidRPr="00E14102">
        <w:rPr>
          <w:color w:val="000000" w:themeColor="text1"/>
          <w:sz w:val="16"/>
          <w:szCs w:val="16"/>
        </w:rPr>
        <w:softHyphen/>
        <w:t>ативе общественности конструкторское бюро Стратосферного комитета АВИА-ВНИТО предложило проект исследова</w:t>
      </w:r>
      <w:r w:rsidRPr="00E14102">
        <w:rPr>
          <w:color w:val="000000" w:themeColor="text1"/>
          <w:sz w:val="16"/>
          <w:szCs w:val="16"/>
        </w:rPr>
        <w:softHyphen/>
        <w:t>тельского высотного самолета СБ-1 с мо</w:t>
      </w:r>
      <w:r w:rsidRPr="00E14102">
        <w:rPr>
          <w:color w:val="000000" w:themeColor="text1"/>
          <w:sz w:val="16"/>
          <w:szCs w:val="16"/>
        </w:rPr>
        <w:softHyphen/>
        <w:t>тором «Гном-Рон» К-14. но без гермока</w:t>
      </w:r>
      <w:r w:rsidRPr="00E14102">
        <w:rPr>
          <w:color w:val="000000" w:themeColor="text1"/>
          <w:sz w:val="16"/>
          <w:szCs w:val="16"/>
        </w:rPr>
        <w:softHyphen/>
        <w:t>бины. Правда, экипаж должен был обла</w:t>
      </w:r>
      <w:r w:rsidRPr="00E14102">
        <w:rPr>
          <w:color w:val="000000" w:themeColor="text1"/>
          <w:sz w:val="16"/>
          <w:szCs w:val="16"/>
        </w:rPr>
        <w:softHyphen/>
        <w:t>читься в скафандры, которые еще предсто</w:t>
      </w:r>
      <w:r w:rsidRPr="00E14102">
        <w:rPr>
          <w:color w:val="000000" w:themeColor="text1"/>
          <w:sz w:val="16"/>
          <w:szCs w:val="16"/>
        </w:rPr>
        <w:softHyphen/>
        <w:t>яло создать. Даже приступили к постройке этой машины на заводе № 1 имени Авиах- има, но она не завершилась (12725).</w:t>
      </w:r>
    </w:p>
    <w:p w14:paraId="54D22160" w14:textId="77777777" w:rsidR="00CD3BA6" w:rsidRPr="00E14102" w:rsidRDefault="00CD3BA6" w:rsidP="00E14102">
      <w:pPr>
        <w:jc w:val="both"/>
        <w:rPr>
          <w:color w:val="000000" w:themeColor="text1"/>
          <w:sz w:val="16"/>
          <w:szCs w:val="16"/>
        </w:rPr>
      </w:pPr>
    </w:p>
    <w:p w14:paraId="1C5731A0"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В 1935 г. Грибовский организует при МКБ небольшую авиамастерскую, которая размещалась в соседнем подвале. Весь штат мастерской состоял из восьми человек. Из оборудования, кроме верстаков, имелся лишь сверлильный станок, поэтому все крупные металлические узлы приходилось заказывать в других организациях. Проблемой явилось извлечение готовых аппаратов из мастерской, для этого пришлось расширять окно подвала.</w:t>
      </w:r>
    </w:p>
    <w:p w14:paraId="5817811E"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Тем не менее, несмотря на «спартанские» условия, в течение 1935 г. в МКБ создали планеры Г-18 и Г-19, а также спортивно-тренировочный самолет Г-20.</w:t>
      </w:r>
    </w:p>
    <w:p w14:paraId="18C14C5E"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Двухместный пилотажно-буксировочный Г-18 явился дальнейшим развитием Г-14, с внесением ряда изменений и усовершенствований. В частности, для улучшения аэродинамики на нем установили зализ крыла в месте сопряжения с фюзеляжем.</w:t>
      </w:r>
    </w:p>
    <w:p w14:paraId="4A9B7E46"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При первом вылете на Тушинском аэродроме, который выполнял известный планерист Карташов, Г-18 потерпел аварию со значительными повреждениями и не восстанавливался.</w:t>
      </w:r>
    </w:p>
    <w:p w14:paraId="4A483240" w14:textId="77777777" w:rsidR="009B093F" w:rsidRPr="00E14102" w:rsidRDefault="009B093F" w:rsidP="00E14102">
      <w:pPr>
        <w:shd w:val="clear" w:color="auto" w:fill="FFFFFF"/>
        <w:jc w:val="both"/>
        <w:rPr>
          <w:color w:val="000000" w:themeColor="text1"/>
          <w:sz w:val="16"/>
          <w:szCs w:val="16"/>
        </w:rPr>
      </w:pPr>
      <w:r w:rsidRPr="00E14102">
        <w:rPr>
          <w:color w:val="000000" w:themeColor="text1"/>
          <w:sz w:val="16"/>
          <w:szCs w:val="16"/>
        </w:rPr>
        <w:t>Рекордный Г-19 являлся развитием более раннего Г-17 и стал последним спортивным планером Грибовского. Далее, на продолжительное время конструктор увлекся спортивными самолетами (12682).</w:t>
      </w:r>
    </w:p>
    <w:p w14:paraId="4EBC8D87" w14:textId="77777777" w:rsidR="009B093F" w:rsidRPr="00E14102" w:rsidRDefault="009B093F" w:rsidP="00E14102">
      <w:pPr>
        <w:shd w:val="clear" w:color="auto" w:fill="FFFFFF"/>
        <w:jc w:val="both"/>
        <w:rPr>
          <w:color w:val="000000" w:themeColor="text1"/>
          <w:sz w:val="16"/>
          <w:szCs w:val="16"/>
        </w:rPr>
      </w:pPr>
    </w:p>
    <w:p w14:paraId="328E4A70" w14:textId="77777777" w:rsidR="00576539" w:rsidRPr="00E14102" w:rsidRDefault="00576539" w:rsidP="00E14102">
      <w:pPr>
        <w:jc w:val="both"/>
        <w:rPr>
          <w:color w:val="000000" w:themeColor="text1"/>
          <w:sz w:val="16"/>
          <w:szCs w:val="16"/>
        </w:rPr>
      </w:pPr>
      <w:r w:rsidRPr="00E14102">
        <w:rPr>
          <w:color w:val="000000" w:themeColor="text1"/>
          <w:sz w:val="16"/>
          <w:szCs w:val="16"/>
        </w:rPr>
        <w:t xml:space="preserve">В 1935 г. известный изобретатель П.И. Гроховский предложил свой вариант стратопланера </w:t>
      </w:r>
      <w:hyperlink r:id="rId345" w:history="1">
        <w:r w:rsidRPr="00E14102">
          <w:rPr>
            <w:color w:val="000000" w:themeColor="text1"/>
            <w:sz w:val="16"/>
            <w:szCs w:val="16"/>
          </w:rPr>
          <w:t>[190]</w:t>
        </w:r>
      </w:hyperlink>
      <w:r w:rsidRPr="00E14102">
        <w:rPr>
          <w:color w:val="000000" w:themeColor="text1"/>
          <w:sz w:val="16"/>
          <w:szCs w:val="16"/>
        </w:rPr>
        <w:t xml:space="preserve"> . Предполагалось, что летательный аппарат типа «летающее крыло» будет забуксирован на высоту самолётом Р-5 с мотором М-34 с нагнетателем, а затем, отсоединившись, планерист продолжит полёт с помощью двух «реактивных моторов». Как обычно, ни технических расчётов, ни описания двигателей Гроховский к заявке на изобретение не приложил, ограничившись красивым рисунком (17489).</w:t>
      </w:r>
    </w:p>
    <w:p w14:paraId="17CA6EBA" w14:textId="77777777" w:rsidR="00576539" w:rsidRPr="00E14102" w:rsidRDefault="00576539" w:rsidP="00E14102">
      <w:pPr>
        <w:jc w:val="both"/>
        <w:rPr>
          <w:color w:val="000000" w:themeColor="text1"/>
          <w:sz w:val="16"/>
          <w:szCs w:val="16"/>
        </w:rPr>
      </w:pPr>
    </w:p>
    <w:p w14:paraId="4C068659" w14:textId="77777777" w:rsidR="00576539" w:rsidRPr="00E14102" w:rsidRDefault="00576539" w:rsidP="00E14102">
      <w:pPr>
        <w:jc w:val="both"/>
        <w:rPr>
          <w:color w:val="000000" w:themeColor="text1"/>
          <w:sz w:val="16"/>
          <w:szCs w:val="16"/>
        </w:rPr>
      </w:pPr>
      <w:r w:rsidRPr="00E14102">
        <w:rPr>
          <w:color w:val="000000" w:themeColor="text1"/>
          <w:sz w:val="16"/>
          <w:szCs w:val="16"/>
        </w:rPr>
        <w:t xml:space="preserve">В 1935 г. П.И. Гроховский предлагал построить самолёт, верхнее крыло которого за счёт поворота на 180° ложилось на фюзеляж, образуя с ним одно целое </w:t>
      </w:r>
      <w:hyperlink r:id="rId346" w:history="1">
        <w:r w:rsidRPr="00E14102">
          <w:rPr>
            <w:color w:val="000000" w:themeColor="text1"/>
            <w:sz w:val="16"/>
            <w:szCs w:val="16"/>
          </w:rPr>
          <w:t>[304]</w:t>
        </w:r>
      </w:hyperlink>
      <w:r w:rsidRPr="00E14102">
        <w:rPr>
          <w:color w:val="000000" w:themeColor="text1"/>
          <w:sz w:val="16"/>
          <w:szCs w:val="16"/>
        </w:rPr>
        <w:t xml:space="preserve"> (17489).</w:t>
      </w:r>
    </w:p>
    <w:p w14:paraId="315CE7B0" w14:textId="77777777" w:rsidR="00576539" w:rsidRPr="00E14102" w:rsidRDefault="00576539" w:rsidP="00E14102">
      <w:pPr>
        <w:jc w:val="both"/>
        <w:rPr>
          <w:color w:val="000000" w:themeColor="text1"/>
          <w:sz w:val="16"/>
          <w:szCs w:val="16"/>
        </w:rPr>
      </w:pPr>
    </w:p>
    <w:p w14:paraId="54311F3B" w14:textId="77777777" w:rsidR="00576539" w:rsidRPr="00E14102" w:rsidRDefault="00576539" w:rsidP="00E14102">
      <w:pPr>
        <w:pStyle w:val="Bodytext1"/>
        <w:shd w:val="clear" w:color="auto" w:fill="auto"/>
        <w:spacing w:line="240" w:lineRule="auto"/>
        <w:ind w:firstLine="0"/>
        <w:rPr>
          <w:rFonts w:ascii="Times New Roman" w:hAnsi="Times New Roman" w:cs="Times New Roman"/>
          <w:color w:val="000000" w:themeColor="text1"/>
          <w:sz w:val="16"/>
          <w:szCs w:val="16"/>
        </w:rPr>
      </w:pPr>
      <w:r w:rsidRPr="00E14102">
        <w:rPr>
          <w:rFonts w:ascii="Times New Roman" w:hAnsi="Times New Roman" w:cs="Times New Roman"/>
          <w:color w:val="000000" w:themeColor="text1"/>
          <w:sz w:val="16"/>
          <w:szCs w:val="16"/>
        </w:rPr>
        <w:t>В 1935 г. в ВАММ им. Сталина инженер Голоперов под руководством начальника ка</w:t>
      </w:r>
      <w:r w:rsidRPr="00E14102">
        <w:rPr>
          <w:rFonts w:ascii="Times New Roman" w:hAnsi="Times New Roman" w:cs="Times New Roman"/>
          <w:color w:val="000000" w:themeColor="text1"/>
          <w:sz w:val="16"/>
          <w:szCs w:val="16"/>
        </w:rPr>
        <w:softHyphen/>
        <w:t>федры спецоборудования С.Д. Давидовича выполнил проект сухопутной гусеничной тор</w:t>
      </w:r>
      <w:r w:rsidRPr="00E14102">
        <w:rPr>
          <w:rFonts w:ascii="Times New Roman" w:hAnsi="Times New Roman" w:cs="Times New Roman"/>
          <w:color w:val="000000" w:themeColor="text1"/>
          <w:sz w:val="16"/>
          <w:szCs w:val="16"/>
        </w:rPr>
        <w:softHyphen/>
        <w:t>педы, управляемой по проводам или по радио, предназначавшейся для борьбы с тяжелыми танками противника, с пулеметными гнездами и с различными укреплениями. Машина имела расчетную массу 650 кг. Предусматривалась установка карбюраторного двигателя мощно</w:t>
      </w:r>
      <w:r w:rsidRPr="00E14102">
        <w:rPr>
          <w:rFonts w:ascii="Times New Roman" w:hAnsi="Times New Roman" w:cs="Times New Roman"/>
          <w:color w:val="000000" w:themeColor="text1"/>
          <w:sz w:val="16"/>
          <w:szCs w:val="16"/>
        </w:rPr>
        <w:softHyphen/>
        <w:t>стью 9 л.с. (6,6 кВт), который позволил бы ей развивать максимальную скорость движения на местности до 14 км/ч. Запас хода по про</w:t>
      </w:r>
      <w:r w:rsidRPr="00E14102">
        <w:rPr>
          <w:rFonts w:ascii="Times New Roman" w:hAnsi="Times New Roman" w:cs="Times New Roman"/>
          <w:color w:val="000000" w:themeColor="text1"/>
          <w:sz w:val="16"/>
          <w:szCs w:val="16"/>
        </w:rPr>
        <w:softHyphen/>
        <w:t>екту достигал 12 км. Для защиты от ружейно- пулеметного огня противника торпеда имела броню толщиной 3,5 и 6 мм. Масса заряда ВВ составляла 30 кг (17745).</w:t>
      </w:r>
    </w:p>
    <w:p w14:paraId="7B880188" w14:textId="77777777" w:rsidR="00576539" w:rsidRPr="00E14102" w:rsidRDefault="00576539" w:rsidP="00E14102">
      <w:pPr>
        <w:pStyle w:val="a7"/>
        <w:rPr>
          <w:color w:val="000000" w:themeColor="text1"/>
          <w:sz w:val="16"/>
          <w:szCs w:val="16"/>
          <w:lang w:val="ru-RU"/>
        </w:rPr>
      </w:pPr>
    </w:p>
    <w:p w14:paraId="2BAFBC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СССР через Амторг приобрел в США у частного лица самолет Локхид Электра. Другие два были приобретены в 1937 (3341,18).</w:t>
      </w:r>
    </w:p>
    <w:p w14:paraId="0FD43C8F" w14:textId="77777777" w:rsidR="00D4105E" w:rsidRPr="00E14102" w:rsidRDefault="00D4105E" w:rsidP="00E14102">
      <w:pPr>
        <w:autoSpaceDE w:val="0"/>
        <w:autoSpaceDN w:val="0"/>
        <w:adjustRightInd w:val="0"/>
        <w:jc w:val="both"/>
        <w:rPr>
          <w:color w:val="000000" w:themeColor="text1"/>
          <w:sz w:val="16"/>
          <w:szCs w:val="16"/>
        </w:rPr>
      </w:pPr>
    </w:p>
    <w:p w14:paraId="5C2404BA" w14:textId="77777777" w:rsidR="005417B0" w:rsidRPr="00E14102" w:rsidRDefault="005417B0" w:rsidP="00E14102">
      <w:pPr>
        <w:jc w:val="both"/>
        <w:rPr>
          <w:color w:val="000000" w:themeColor="text1"/>
          <w:sz w:val="16"/>
          <w:szCs w:val="16"/>
        </w:rPr>
      </w:pPr>
      <w:r w:rsidRPr="00E14102">
        <w:rPr>
          <w:color w:val="000000" w:themeColor="text1"/>
          <w:sz w:val="16"/>
          <w:szCs w:val="16"/>
        </w:rPr>
        <w:t>В 1935 г. советско-американская внешнеторговая фирма "Амторг Трейдинг Корпорейшин" приобрела DC-2-152 (регистр № 14949, зав. № 1413), а 11 апреля 1936г. было принято решение о закупке в США лицензии на производство DC-3. Кроме лицензии, приобретались и 18 машин, которые переправлялись в Союз через две созданные "Амторгом" фиктивные авиакомпании "Норт Истерн" и "Экселло". Именно им в период с ноября 1936 г. по март 1939 г. "Дуглас Эйркрафт" и передал указанные 18 самолетов. Первым был DC-3-1588, который зарегистрировали на "Экселло" и 30 ноября 1936 г. отгрузили во французский порт Шербур. С мая по август 1938 г. последовала партия из 11 самолетов, а затем и остальные 6 DС-3, причем последний был доставлен в разобранном виде якобы для запчастей. "Норт Истерн" и "Экселло" просуществовали ровно столько, сколько потребовалось для доставки всех самолетов в СССР (15463).</w:t>
      </w:r>
    </w:p>
    <w:p w14:paraId="6CD6380C" w14:textId="77777777" w:rsidR="005417B0" w:rsidRPr="00E14102" w:rsidRDefault="005417B0" w:rsidP="00E14102">
      <w:pPr>
        <w:jc w:val="both"/>
        <w:rPr>
          <w:color w:val="000000" w:themeColor="text1"/>
          <w:sz w:val="16"/>
          <w:szCs w:val="16"/>
        </w:rPr>
      </w:pPr>
    </w:p>
    <w:p w14:paraId="713114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B.C. Пышнова разработал легкий самолет, который получил название ВВА-1 (Военно-Воздушная Академия - первый). До недавних пор об этом самолете было известно совсем немного, а вернее лишь скромное упоминание с приведением схемы машины в книге В.Б. Шаврова "История конструкций самолетов в СССР до 1938 года" со ссылкой на 9-й номер журнала "Самолет". В Российском государственном военном архиве удалось разыскать материалы по испытанию этой машины, а фотоальбом, посвященный ВВА-1, автор по чистой случайности приобрел на "барахолке". Вернее сперва приобрел альбом, а уж потом начался поиск материалов в архиве.</w:t>
      </w:r>
    </w:p>
    <w:p w14:paraId="02EA75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ВВА-1 разрабатывался в соответствии с требованиями конкурса легких безопасных самолетов Осоавиахима 1934 г. Основное внимание при его проектировании было уделено средствам снижающим посадочную скорость, обеспечению удобства и комфорта пассажиров, а также внешней отделки машины. По своему назначению самолет ВВА-1 мог использоваться для связи, для обучения и тренировки, а также в качестве местного транспорта.</w:t>
      </w:r>
    </w:p>
    <w:p w14:paraId="77B5A3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аэродинамической схеме ВВА-1 являлся подкосным полуторапланом с крыльями равной ширины и закрытой кабиной. В качестве основного конструкционного материала использовалось дерево (сосна, фанера), а также применялись листовая сталь (капот) и полотно (обшивка).</w:t>
      </w:r>
    </w:p>
    <w:p w14:paraId="0E4EF6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Владимир Пышное у своего планера "Стриж". Коктебель, 1923 г.</w:t>
      </w:r>
    </w:p>
    <w:p w14:paraId="065AB8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Фюзеляж представлял собой монокок круглого сечения. Его силовой набор состоял из 17 кольцевых шпангоутов, четырех лонжеронов с переменным сечением (20x20 у хвоста, 30x30 у моторамы) и 10 стрингеров сечением 10x15. Обшивался фюзеляж фанерными листами, толщина которых составляла 3 мм в передней и хвостовой части и 2 мм в средней. Для обеспечения большей жесткости в фюзеляже почти не было отверстий (люков и т.п.).</w:t>
      </w:r>
    </w:p>
    <w:p w14:paraId="617405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Силовая схема коробки крыльев была выполнена в виде буквы "W" с использованием жестких подкосов. Крылья в плане имели прямоугольную форму с круглыми законцовками. Силовой каркас состоял из двух коробчатых лонжеронов (полки склеены из трех сосновых реек, стенки из 3 мм фанеры), набора простых и усиленных нервюр и лент-расчалок. Носок крыла, до переднего лонжерона, изготавливался отдельно и пристыковывался после обтяжки крыла полотном. Склеенные из сосны подкосы имели обтекаемое сечение. Стык подкосов и крыла закрывался обтекателями. Элероны располагались на верхнем крыле.</w:t>
      </w:r>
    </w:p>
    <w:p w14:paraId="3B0F76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Профиль крыла комбинированный. Форма средней линии была взята по профилю ЦАГИ Р-Н, но с уменьшенной кривизной, а толщины - с профилей американской серии NACA с относительной толщиной 10,5%. Последнее было сделано в целях увеличения высоты заднего лонжерона. Поперечное "V" крыльев составляло 3°, угол установки - 0°.</w:t>
      </w:r>
    </w:p>
    <w:p w14:paraId="5B4D24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Консоли верхнего крыла крепились к небольшому центроплану, расположенному сверху закрытой кабины, а нижнего - к фюзеляжу. В целях уменьшения интерференции нижнее крыло в месте сопряжения с фюзеляжем имело "обратную чайку". Кроме этого для компактного хранения и удобной транспортировки коробка крыльев могла складываться назад путем ее вращения вокруг стыка задних лонжеронов. Благодаря этому размах можно было уменьшить с 11 м до 3,4 м.</w:t>
      </w:r>
    </w:p>
    <w:p w14:paraId="396F22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Хвостовое оперение в аэродинамическом отношении имело свои особенности. Во-первых, оно было несколько больше среднестатистических значений. Во-вторых, стабилизатор относительно киля значительно выдвинут вперед и приподнят. Это делалось с целью улучшить работу оперения при штопоре, путем уменьшения взаимного заслонения его поверхностей.</w:t>
      </w:r>
    </w:p>
    <w:p w14:paraId="778220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Стабилизатор имел основной лонжерон, находившийся на расстоянии около 27% хорды, и дополнительный лонжерон, расположенный у шарниров руля высоты. Основной лонжерон имел подкосы и дополнительные расчалки. Передняя часть стабилизатора, воспринимающая кручение, обшивалась фанерой, а остальная полотном. Крепление стабилизатора осуществлялось в четырех точках: одна находилась на его передней кромке и три на основном лонжероне - центральная на фюзеляже и две боковые на подкосах. На земле установочный угол стабилизатора мог регулироваться с помощью специального ключа путем вращения подъемника соединенного с узлом крепления на передней кромке. Каркас руля высоты выполнялся из дерева и обшивался полотном.</w:t>
      </w:r>
    </w:p>
    <w:p w14:paraId="56344E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Вертикальное оперение свободно- несущее. Оно крепилось хомутами к концевым шпангоутам фюзеляжа и имело силовую схему и конструкцию аналогичную горизонтальному оперению. Для контроля состояния узлов крепления вертикального оперения и костыля необходимо было снимать хвостовой обтекатель фюзеляжа (но испытаниях он не устанавливался).</w:t>
      </w:r>
    </w:p>
    <w:p w14:paraId="2FC599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Управление самолетом сделано двойным, причем вторая ручка была съемной. Педали двойного управления связаны между собой поперечной трубой. Управление рулем высоты смешанное - под кабиной и багажником жесткое, далее тросовое и после качалки к рулю шли жесткие тяги. Управление элеронами жесткое, а рулем направления тросовое. Тяги, идущие к элеронам, имели специальные легкоразъемные замки, что облегчало их расстыковку при складывании коробки крыльев.</w:t>
      </w:r>
    </w:p>
    <w:p w14:paraId="4AAAC3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Взлетно-посадочные устройства самолета ВВА-1 включали в себя основные опоры шасси, костыльную установку, щелевые закрылки на верхнем крыле и щитки типа Нортон- Шренк на нижнем. Максимальный угол открытия закрылков 30°, щитков - 45°. Основные опоры шасси имели обтекаемую форму. Они оснащались резиновыми амортизаторами (работающие на сжатие резиновые кольца, ход около 150 мм) и не тормозными колесами размером 700x100. Полуоси изготавливались из труб хромомолиб- деновой термически обработанной стали размером 44x40. Костыль также имел резиновую амортизацию (шесть колец 16-мм резинового шнура) и мог свободно ориентироваться во все стороны. Вместо вилки с колесом мог устанавливаться костыльный наконечник. Колея шасси составляла 1,8 м, стояночный угол - 11°, угол капотажа - 24°.</w:t>
      </w:r>
    </w:p>
    <w:p w14:paraId="140B0C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в соответствии с условиями конкурса оснащался отечественным мотором воздушного охлаждения М-11 с взлетной мощностью 110 л.с. Он крепился к фюзеляжу в четырех точках с помощью восьмистержневой моторамы изготовленной из стали марки "М". Силовая установка оснащалась двумя капотами - внутренним и внешним. Для охлаждения мотора внешний капот имел передние регулируемые отверстия, которые располагались напротив цилиндров, и заднюю кольцевую щель. Полет мог выполняться также только при наличии внутреннего капота. Специально для самолета ВВА-1 был разработан новый деревянный винт постоянного шага.</w:t>
      </w:r>
    </w:p>
    <w:p w14:paraId="06F96D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Питание мотора горючим обеспечивали два бензобака. Главный бак емкостью около 100 л располагался в центроплане над кабиной, а второй бак находился в фюзеляже перед приборной доской. Подача топлива осуществлялась самотеком. Специальный тройник обеспечивал возможность питания от каждого бака отдельно или от обоих вместе. Запас горючего контролировался с помощью поплавкового указателя, который показывал наличие топлива в верхнем баке. Маслосистема была аналогична таковой у самолета У-2.</w:t>
      </w:r>
    </w:p>
    <w:p w14:paraId="29E5D5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ВВА-1 имел закрытую кабину. В нормальном варианте в ней размещалось три человека. Кресло пилота находилось впереди слева, а сзади него располагался диван для двух пассажиров. Кроме этого предусматривалась установка откидного сиденья справа от пилота, что давало возможность пользоваться вторым управлением. Вход в кабину осуществлялся через две двери, расположенные по обоим бортам фюзеляжа. Окна на дверях имели сдвигающиеся форточки.</w:t>
      </w:r>
    </w:p>
    <w:p w14:paraId="71449F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Приборное оборудование включало: указатель скорости, указатель поворота и скольжения, вариометр, часы, компас, счетчик оборотов, указатели температуры и давления масла, переключатель магнето и кнопку пускового вибратора. Освещение обеспечивали приборная и кабинная лампы.</w:t>
      </w:r>
    </w:p>
    <w:p w14:paraId="709A74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Самолет строился в мастерских Военной Воздушной Академии. Летом 1935 г. машина была готова к испытаниям. Ее отличал современный вид и высокое качество внешней отделки. Но, к сожалению, по сравнению с расчетными данными ВВА-1 оказался перетяжеленным. Масса пустой машины вместо запланированных 580...600 кг достигла 845 кг. При полетной массе 1146 кг центровка самолета составила 34,2% САХ (11932).</w:t>
      </w:r>
    </w:p>
    <w:p w14:paraId="7076603F" w14:textId="77777777" w:rsidR="00D4105E" w:rsidRPr="00E14102" w:rsidRDefault="00D4105E" w:rsidP="00E14102">
      <w:pPr>
        <w:autoSpaceDE w:val="0"/>
        <w:autoSpaceDN w:val="0"/>
        <w:adjustRightInd w:val="0"/>
        <w:jc w:val="both"/>
        <w:rPr>
          <w:color w:val="000000" w:themeColor="text1"/>
          <w:sz w:val="16"/>
          <w:szCs w:val="16"/>
        </w:rPr>
      </w:pPr>
    </w:p>
    <w:p w14:paraId="08574A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был разработан еще один проект скоростного истребителя - конструктора А.А.Пороховщикова, работавшего в ту пору на авиазаводе №1. Известно лишь, что истребитель Пороховщиковым имел обозначение П-7 и создавался под двигатель "Испано-Сюиза" 12Ybrs максимальной мощностью 850 л.с. Скорее всего, вопрос о постройке П-7 до обсуждения в руководстве не дошел (11951).</w:t>
      </w:r>
    </w:p>
    <w:p w14:paraId="17C07D43" w14:textId="77777777" w:rsidR="00D4105E" w:rsidRPr="00E14102" w:rsidRDefault="00D4105E" w:rsidP="00E14102">
      <w:pPr>
        <w:autoSpaceDE w:val="0"/>
        <w:autoSpaceDN w:val="0"/>
        <w:adjustRightInd w:val="0"/>
        <w:jc w:val="both"/>
        <w:rPr>
          <w:color w:val="000000" w:themeColor="text1"/>
          <w:sz w:val="16"/>
          <w:szCs w:val="16"/>
        </w:rPr>
      </w:pPr>
    </w:p>
    <w:p w14:paraId="4E9231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по следам комиссии Погосского последовала новая комиссия, возглавляемая на этот раз А.Н. Туполевым. Результаты этой комиссии могут быть оценены двояко. С одной стороны, в течении 4-х месяцев были осмотрены многочисленные авиастроительные заводы, с другой стороны, выделенные комиссии 600000 $ были потрачены далеко не полностью. Комиссия приобрела только 2 самолёта – штурмовик Нортоп 2Е и пассажирский самолёт DC-2. Особую досаду руководства Амторга вызвал эпизод с истребителем Северского. Не смотря на настойчивые рекомендации Н.А. Соколова, комиссия Туполева не приобрела эту, по тем временам новейшую машину. Не исключено, что причина отказа от покупки истребителя была связана с тем, что её конструктор - А.Н. Прокофьев-Северский, а так же значительная часть его сотрудников были эмигрантами из России. Когда же к вопросу о закупке этого истребителя вернулись, поезд уже ушёл – Р-35 был принят на вооружение американских ВВС, сменив в роли основного истребителя Боинг Р-26, и "на сторону" уже не продавался. Его нельзя было не только покупать, но даже осматривать (11507).</w:t>
      </w:r>
    </w:p>
    <w:p w14:paraId="5971BFE1" w14:textId="77777777" w:rsidR="00D4105E" w:rsidRPr="00E14102" w:rsidRDefault="00D4105E" w:rsidP="00E14102">
      <w:pPr>
        <w:autoSpaceDE w:val="0"/>
        <w:autoSpaceDN w:val="0"/>
        <w:adjustRightInd w:val="0"/>
        <w:jc w:val="both"/>
        <w:rPr>
          <w:color w:val="000000" w:themeColor="text1"/>
          <w:sz w:val="16"/>
          <w:szCs w:val="16"/>
        </w:rPr>
      </w:pPr>
    </w:p>
    <w:p w14:paraId="7BDAFE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1935 г. ознаменовался широким применением разнотипных "лимузинов" и специальной подготовкой самолетов к эксплуатации на севере. В одной только Енисейской группе натри П-5 имелось шесть Л П-5. Весной два Л П-5, пилотируемые М.В. Водопьяновым и М.Я. Линделем, совершили перелет Москва - Хабаровск - м. Шмидта.</w:t>
      </w:r>
    </w:p>
    <w:p w14:paraId="1B753177" w14:textId="77777777" w:rsidR="00D4105E" w:rsidRPr="00E14102" w:rsidRDefault="00D4105E" w:rsidP="00E14102">
      <w:pPr>
        <w:autoSpaceDE w:val="0"/>
        <w:autoSpaceDN w:val="0"/>
        <w:adjustRightInd w:val="0"/>
        <w:jc w:val="both"/>
        <w:rPr>
          <w:color w:val="000000" w:themeColor="text1"/>
          <w:sz w:val="16"/>
          <w:szCs w:val="16"/>
        </w:rPr>
      </w:pPr>
    </w:p>
    <w:p w14:paraId="79F757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на заводе № 1 по проекту Д.С. Маркова построили "лимузин" для трех пассажиров. На нем опять появилась наружная лестница, а на колеса одели обтекатели по типу ССС. Этот самолет считался подарком VII съезду Советов, был тщательно отделан и снабжен более богатым комплектом приборов.</w:t>
      </w:r>
    </w:p>
    <w:p w14:paraId="20F60E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том же году в авиамастерских Забайкальской группы ОКДВА в Чите по приказу помощника командующего армией по авиации Лапина два Р-5 доработали в пассажирские для перевозки штабных работников. Лапину объявили выговор за вывод из строя боевых машин, но переделывать обратно самолеты не стали.</w:t>
      </w:r>
    </w:p>
    <w:p w14:paraId="1A98E1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Существовали и специальные "арктические" машины с закрытыми кабинами. Первыми из них стали два ЛП-5 (или ПЛ-5), изготовленных в 1934 г. Они имели дополнительные бензобаки и грузовые контейнеры у корневых частей крыла. В 1935 г. на авиаремонтном заводе № 35 в Смоленске изготовили два АРК-5. В конструкции использовали предложения известного полярного летчика М. Водопьянова и его механика Ф. Бассейна. Пассажирская кабина была оформлена совсем по-другому, со значительно меньшей плошадыо остекления. Фонарь ее имел стальной сварной каркас. Часть рам фюзеляжа сделали из дюраля, связав их дюралевыми же стрингерами. В задней кабине довольно удобно размешались четыре человека - механик, радист и два пассажира. Грузовые контейнеры по сравнению с ЛП-5 увеличили в размерах - уж очень много всего собирались туда уложить. АРК-5 строились для воздушных экспедиций в полярных районах и должны были нести все необходимое на любой случай - от запасного винта и надувной лодки до рационов на 45 суток на всех трех членов экипажа (пилота, механика и радиста). В левом ящике стоял компрессор "Бристоль" с собственным маленьким двигателем. Это позволяло завести мотор сжатым воздухом где угодно даже после длительной стоянки. Спереди на ящиках смонтировали два электрогенератора с ветрянками: слева для питания радиостанции, справа - освещения. Один из самолетов (Н-128) получил радиополукомпас с большой рамочной антенной на крыше кабины.</w:t>
      </w:r>
    </w:p>
    <w:p w14:paraId="7617B6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 построили более трех десятков "лимузинов" разного образца (12034).</w:t>
      </w:r>
    </w:p>
    <w:p w14:paraId="06B6578B" w14:textId="77777777" w:rsidR="00D4105E" w:rsidRPr="00E14102" w:rsidRDefault="00D4105E" w:rsidP="00E14102">
      <w:pPr>
        <w:autoSpaceDE w:val="0"/>
        <w:autoSpaceDN w:val="0"/>
        <w:adjustRightInd w:val="0"/>
        <w:jc w:val="both"/>
        <w:rPr>
          <w:color w:val="000000" w:themeColor="text1"/>
          <w:sz w:val="16"/>
          <w:szCs w:val="16"/>
        </w:rPr>
      </w:pPr>
    </w:p>
    <w:p w14:paraId="1C4910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два Р-5 испытывали с так называемым "бабочковым", V-образным. оперением, рули которого сочетали функции рулей высоты и направления. Такой вариант сулил улучшение обстрела назад. Сама идея была предложена польским конструктором Е. Рудлицким. У нас ее разрабатывали одновременно в Военно-воздушной академии (совместно с НАГИ) и на заводе № 1. Вариант академии (два раздельных стабилизатора с подкосами) испытывался летом 1935 г. Летали М.М. Громов, К.К. Попов и И.Ф. Козлов. Управляемость самолета в результате переделки ухудшилась. Конструкция, спроектированная на заводе № 1 техником Филатовым, имела один цельный стабилизаторе перегибом. Он оказался недостаточно прочным, осенью 1935 г. оперение развалилось в полете. Летчик Гроздь и сам Филатов погибли (12034).</w:t>
      </w:r>
    </w:p>
    <w:p w14:paraId="3A17DB6D" w14:textId="77777777" w:rsidR="00D4105E" w:rsidRPr="00E14102" w:rsidRDefault="00D4105E" w:rsidP="00E14102">
      <w:pPr>
        <w:autoSpaceDE w:val="0"/>
        <w:autoSpaceDN w:val="0"/>
        <w:adjustRightInd w:val="0"/>
        <w:jc w:val="both"/>
        <w:rPr>
          <w:color w:val="000000" w:themeColor="text1"/>
          <w:sz w:val="16"/>
          <w:szCs w:val="16"/>
        </w:rPr>
      </w:pPr>
    </w:p>
    <w:p w14:paraId="4049BD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был готов и КОР-1 (79,220).</w:t>
      </w:r>
    </w:p>
    <w:p w14:paraId="6804A164" w14:textId="77777777" w:rsidR="00D4105E" w:rsidRPr="00E14102" w:rsidRDefault="00D4105E" w:rsidP="00E14102">
      <w:pPr>
        <w:autoSpaceDE w:val="0"/>
        <w:autoSpaceDN w:val="0"/>
        <w:adjustRightInd w:val="0"/>
        <w:jc w:val="both"/>
        <w:rPr>
          <w:color w:val="000000" w:themeColor="text1"/>
          <w:sz w:val="16"/>
          <w:szCs w:val="16"/>
        </w:rPr>
      </w:pPr>
    </w:p>
    <w:p w14:paraId="14B073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была закончена постройка опытного самолета КОР-1, который проектировался для вооружения крейсеров типа "Киров", "Калинин" и "Слава" (451).</w:t>
      </w:r>
    </w:p>
    <w:p w14:paraId="5052F22A" w14:textId="77777777" w:rsidR="00D4105E" w:rsidRPr="00E14102" w:rsidRDefault="00D4105E" w:rsidP="00E14102">
      <w:pPr>
        <w:autoSpaceDE w:val="0"/>
        <w:autoSpaceDN w:val="0"/>
        <w:adjustRightInd w:val="0"/>
        <w:jc w:val="both"/>
        <w:rPr>
          <w:color w:val="000000" w:themeColor="text1"/>
          <w:sz w:val="16"/>
          <w:szCs w:val="16"/>
        </w:rPr>
      </w:pPr>
    </w:p>
    <w:p w14:paraId="19211D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был доведен до эталона после завершения гос. испытаний МДР-4 с АМ-34Р и гос. испытания МК-1 (320).</w:t>
      </w:r>
    </w:p>
    <w:p w14:paraId="26696B71" w14:textId="77777777" w:rsidR="00D4105E" w:rsidRPr="00E14102" w:rsidRDefault="00D4105E" w:rsidP="00E14102">
      <w:pPr>
        <w:autoSpaceDE w:val="0"/>
        <w:autoSpaceDN w:val="0"/>
        <w:adjustRightInd w:val="0"/>
        <w:jc w:val="both"/>
        <w:rPr>
          <w:color w:val="000000" w:themeColor="text1"/>
          <w:sz w:val="16"/>
          <w:szCs w:val="16"/>
        </w:rPr>
      </w:pPr>
    </w:p>
    <w:p w14:paraId="354B9F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 испытывался построенный заводом № 23 са</w:t>
      </w:r>
      <w:r w:rsidRPr="00E14102">
        <w:rPr>
          <w:color w:val="000000" w:themeColor="text1"/>
          <w:sz w:val="16"/>
          <w:szCs w:val="16"/>
        </w:rPr>
        <w:softHyphen/>
        <w:t>молет СПЛ (СП-лимузин, “Башнефть”). В нем над всеми тремя кабинами стоял целлулоидный фонарь, обтекате</w:t>
      </w:r>
      <w:r w:rsidRPr="00E14102">
        <w:rPr>
          <w:color w:val="000000" w:themeColor="text1"/>
          <w:sz w:val="16"/>
          <w:szCs w:val="16"/>
        </w:rPr>
        <w:softHyphen/>
        <w:t>ли на колеса, кольцо Тауненда на двигателе. Несмотря на лучшие летные и эксплуатационные характеристики, се</w:t>
      </w:r>
      <w:r w:rsidRPr="00E14102">
        <w:rPr>
          <w:color w:val="000000" w:themeColor="text1"/>
          <w:sz w:val="16"/>
          <w:szCs w:val="16"/>
        </w:rPr>
        <w:softHyphen/>
        <w:t>рийно он не строился, а единственный экземпляр в даль</w:t>
      </w:r>
      <w:r w:rsidRPr="00E14102">
        <w:rPr>
          <w:color w:val="000000" w:themeColor="text1"/>
          <w:sz w:val="16"/>
          <w:szCs w:val="16"/>
        </w:rPr>
        <w:softHyphen/>
        <w:t>нейшем использовался трестом “Башнефть” (10667).</w:t>
      </w:r>
    </w:p>
    <w:p w14:paraId="3143F5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722DA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был готов геликожир В.Изакко, который разрабатывали с 1932 и строили в ЗОК НИИ ГВФ. Испытания оказались неудачными и итальянец в 1936 уехал] (4,454).</w:t>
      </w:r>
    </w:p>
    <w:p w14:paraId="2F246D90" w14:textId="77777777" w:rsidR="00D4105E" w:rsidRPr="00E14102" w:rsidRDefault="00D4105E" w:rsidP="00E14102">
      <w:pPr>
        <w:autoSpaceDE w:val="0"/>
        <w:autoSpaceDN w:val="0"/>
        <w:adjustRightInd w:val="0"/>
        <w:jc w:val="both"/>
        <w:rPr>
          <w:color w:val="000000" w:themeColor="text1"/>
          <w:sz w:val="16"/>
          <w:szCs w:val="16"/>
        </w:rPr>
      </w:pPr>
    </w:p>
    <w:p w14:paraId="238BEE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А.Д.Чаромским был создан дизель АН-1 (5,50).</w:t>
      </w:r>
    </w:p>
    <w:p w14:paraId="4A521F00" w14:textId="77777777" w:rsidR="00D4105E" w:rsidRPr="00E14102" w:rsidRDefault="00D4105E" w:rsidP="00E14102">
      <w:pPr>
        <w:autoSpaceDE w:val="0"/>
        <w:autoSpaceDN w:val="0"/>
        <w:adjustRightInd w:val="0"/>
        <w:jc w:val="both"/>
        <w:rPr>
          <w:color w:val="000000" w:themeColor="text1"/>
          <w:sz w:val="16"/>
          <w:szCs w:val="16"/>
        </w:rPr>
      </w:pPr>
    </w:p>
    <w:p w14:paraId="4B7C1D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 инженер С.С. Баландин предложил новый тип устройства для преобразования поступательного движения во вращательное. Отказавшись от классического кривошипно-шатунного механизма, он заменил его ори</w:t>
      </w:r>
      <w:r w:rsidRPr="00E14102">
        <w:rPr>
          <w:color w:val="000000" w:themeColor="text1"/>
          <w:sz w:val="16"/>
          <w:szCs w:val="16"/>
        </w:rPr>
        <w:softHyphen/>
        <w:t>гинальной схемой с использованием прямолинейных штоков и промежу</w:t>
      </w:r>
      <w:r w:rsidRPr="00E14102">
        <w:rPr>
          <w:color w:val="000000" w:themeColor="text1"/>
          <w:sz w:val="16"/>
          <w:szCs w:val="16"/>
        </w:rPr>
        <w:softHyphen/>
        <w:t>точного вала. При этом цилиндры обязательно располагались оппозитными парами. Это позволяло сделать двигатель компактнее и повысить его к.п.д. и ресурс за счет уменьшения трения в кинематических парах механизма. Впервые Баландин предложил свою схему применительно к паровым ма</w:t>
      </w:r>
      <w:r w:rsidRPr="00E14102">
        <w:rPr>
          <w:color w:val="000000" w:themeColor="text1"/>
          <w:sz w:val="16"/>
          <w:szCs w:val="16"/>
        </w:rPr>
        <w:softHyphen/>
        <w:t>шинам, но с 1937 г. начал заниматься авиационными двигателями внутрен</w:t>
      </w:r>
      <w:r w:rsidRPr="00E14102">
        <w:rPr>
          <w:color w:val="000000" w:themeColor="text1"/>
          <w:sz w:val="16"/>
          <w:szCs w:val="16"/>
        </w:rPr>
        <w:softHyphen/>
        <w:t>него сгорания. В 1938 г. он спроектировал свой первый авиамотор ОМБ, использовавший цилиндры, головки и поршни широко распространенного двигателя М-11 А. Четырехцилиндровый мотор ОМБ был изготовлен, про</w:t>
      </w:r>
      <w:r w:rsidRPr="00E14102">
        <w:rPr>
          <w:color w:val="000000" w:themeColor="text1"/>
          <w:sz w:val="16"/>
          <w:szCs w:val="16"/>
        </w:rPr>
        <w:softHyphen/>
        <w:t xml:space="preserve">ходил заводские и совместные испытания. Проводилось сравнение ОМБ </w:t>
      </w:r>
      <w:r w:rsidRPr="00E14102">
        <w:rPr>
          <w:color w:val="000000" w:themeColor="text1"/>
          <w:sz w:val="16"/>
          <w:szCs w:val="16"/>
        </w:rPr>
        <w:lastRenderedPageBreak/>
        <w:t>и серийного двигателя М-ИГ традиционной звездообразной схемы, показав</w:t>
      </w:r>
      <w:r w:rsidRPr="00E14102">
        <w:rPr>
          <w:color w:val="000000" w:themeColor="text1"/>
          <w:sz w:val="16"/>
          <w:szCs w:val="16"/>
        </w:rPr>
        <w:softHyphen/>
        <w:t>шее ряд преимуществ мотора Баландина в отношении теплонапряженности, ресурса и расхода топлива. ОМБ проходил испытания до 1941 г. С использованием опыта, полученного в работе над предыдущей кон</w:t>
      </w:r>
      <w:r w:rsidRPr="00E14102">
        <w:rPr>
          <w:color w:val="000000" w:themeColor="text1"/>
          <w:sz w:val="16"/>
          <w:szCs w:val="16"/>
        </w:rPr>
        <w:softHyphen/>
        <w:t>струкцией, было создано унифицированное семейство двигателей «МБ» («мотор бесшатунный»). В него входили четырехцилиндровый МБ-4 (являв</w:t>
      </w:r>
      <w:r w:rsidRPr="00E14102">
        <w:rPr>
          <w:color w:val="000000" w:themeColor="text1"/>
          <w:sz w:val="16"/>
          <w:szCs w:val="16"/>
        </w:rPr>
        <w:softHyphen/>
        <w:t>шийся усовершенствованным вариантом ОМБ) и восьмицилиндровый МБ-8 (фактически два МБ-4, работавших на один вал). За ними последовали ана</w:t>
      </w:r>
      <w:r w:rsidRPr="00E14102">
        <w:rPr>
          <w:color w:val="000000" w:themeColor="text1"/>
          <w:sz w:val="16"/>
          <w:szCs w:val="16"/>
        </w:rPr>
        <w:softHyphen/>
        <w:t>логичные типы, отличавшиеся в основном диаметром цилиндров — МБ-46 и МБ-86. Все они были построены и испытывались на стендах. После войны Баландин получил задание на создание нового особо мощ</w:t>
      </w:r>
      <w:r w:rsidRPr="00E14102">
        <w:rPr>
          <w:color w:val="000000" w:themeColor="text1"/>
          <w:sz w:val="16"/>
          <w:szCs w:val="16"/>
        </w:rPr>
        <w:softHyphen/>
        <w:t>ного авиамотора М-127 (9000 л.с.). Для этого на заводе № 500 в Тушино организовали специальное конструкторское бюро ОКБ-500-П (параллельно на этом же предприятии функционировало ОКБ-500-1 В.М. Яковлева, за</w:t>
      </w:r>
      <w:r w:rsidRPr="00E14102">
        <w:rPr>
          <w:color w:val="000000" w:themeColor="text1"/>
          <w:sz w:val="16"/>
          <w:szCs w:val="16"/>
        </w:rPr>
        <w:softHyphen/>
        <w:t>нимавшееся авиационными дизелями). В ОКБ-500-П сначала разработали проект 12-цилиндрового двигателя ОМ-127о мощностью 2100 л.с., а затем перешли к работам по ОМ-127, представлявшему собой 8-цилиндровый отсек 24-цилиндрового М-127. Последний фактически должен был соби</w:t>
      </w:r>
      <w:r w:rsidRPr="00E14102">
        <w:rPr>
          <w:color w:val="000000" w:themeColor="text1"/>
          <w:sz w:val="16"/>
          <w:szCs w:val="16"/>
        </w:rPr>
        <w:softHyphen/>
        <w:t>раться из трех ОМ-127, установленных друг за другом. Особенностью этого мотора являлось двойное действие, то есть вспышки происходили с обеих сторон каждого поршня. ОМ-127 впоследствии доработали в самостоятельный двигатель ОМ-127РН с собственным редуктором и импульсными турбинами. ОМ-127 и ОМ-127РН были построены в нескольких экземплярах и проходили за</w:t>
      </w:r>
      <w:r w:rsidRPr="00E14102">
        <w:rPr>
          <w:color w:val="000000" w:themeColor="text1"/>
          <w:sz w:val="16"/>
          <w:szCs w:val="16"/>
        </w:rPr>
        <w:softHyphen/>
        <w:t>водские испытания. Проект М-127 с учетом опыта доработки ОМ-127РН превратили в М-127К мощностью 10 000 л.с. с импульсными турбинами, увеличенной степенью сжатия и новым редуктором. Завод № 500 начал изготовление узлов и агрегатов этого двигателя, предназначавшегося для тяжелых бомбардировщиков. Под руководством Баландина разработали чертежи еще более мощного мотора. Это был двухтактный дизель, который, по расчетам, мог развить мощность 14 000 л.с. Его проект появился в 1948 г. Но к этому времени уже начался переход на реактивную технику. В данном диапазоне мощностей преимущество имели турбовинтовые и турбореактивные двигатели, которые уже разрабатывались в Советском Союзе. Конструкторское бюро В.М. Яковлева, размещавшееся на том же заводе, получило задание скопировать английский ТРД «Дервент» V. Для того чтобы сосредоточить все силы на этой важной и срочной работе, ОКБ-500-П расформировали; большую часть его сотрудников влили в ОКБ-500-1 Яковлева. После ликвидации конструкторского бюро Баландин продолжал занимать</w:t>
      </w:r>
      <w:r w:rsidRPr="00E14102">
        <w:rPr>
          <w:color w:val="000000" w:themeColor="text1"/>
          <w:sz w:val="16"/>
          <w:szCs w:val="16"/>
        </w:rPr>
        <w:softHyphen/>
        <w:t>ся разработкой бесшатунных двигателей, но уже применительно к автомо</w:t>
      </w:r>
      <w:r w:rsidRPr="00E14102">
        <w:rPr>
          <w:color w:val="000000" w:themeColor="text1"/>
          <w:sz w:val="16"/>
          <w:szCs w:val="16"/>
        </w:rPr>
        <w:softHyphen/>
        <w:t>билям. Однако ни один из них не дошел до серийного производства. Но интерес к схеме Баландина не угас. В настоящее время в России проектируются несколько типов бесшатунных двигателей мощностью от 200 до 750 л.с., использующих механизм Баландина или его варианты. На выставке «Авиадвигатель-2006» выставлялись сразу три двигателя бесша</w:t>
      </w:r>
      <w:r w:rsidRPr="00E14102">
        <w:rPr>
          <w:color w:val="000000" w:themeColor="text1"/>
          <w:sz w:val="16"/>
          <w:szCs w:val="16"/>
        </w:rPr>
        <w:softHyphen/>
        <w:t>тунной схемы. Два были созданы в СГАКУ и МАИ. Третий, дизель Вуля, выделялся металлокерамическими гильзами и поршневыми кольцами из углеродного композита (11852).</w:t>
      </w:r>
    </w:p>
    <w:p w14:paraId="7376B54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C1494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решили передать работы по опытному моторостроению заводам, а в ЦИАМ (как в ЦАГИ) оставить только исследования и испытания. Принципиально. ГК - В.А.Добрынин, К.И.Жданов, В.Я.Климов, С.К.Туманский, Е.В.Урмин, А.Д.Чаромский и др. (80,45).</w:t>
      </w:r>
    </w:p>
    <w:p w14:paraId="2C8804B0" w14:textId="77777777" w:rsidR="00D4105E" w:rsidRPr="00E14102" w:rsidRDefault="00D4105E" w:rsidP="00E14102">
      <w:pPr>
        <w:autoSpaceDE w:val="0"/>
        <w:autoSpaceDN w:val="0"/>
        <w:adjustRightInd w:val="0"/>
        <w:jc w:val="both"/>
        <w:rPr>
          <w:color w:val="000000" w:themeColor="text1"/>
          <w:sz w:val="16"/>
          <w:szCs w:val="16"/>
        </w:rPr>
      </w:pPr>
    </w:p>
    <w:p w14:paraId="792898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внедрили и первые ВИШ для М-34. Конструкторы - И.Я.Лысенко, К.И.Жданов и С.Ш.Бас-Дубов (80,82).</w:t>
      </w:r>
    </w:p>
    <w:p w14:paraId="25720191" w14:textId="77777777" w:rsidR="00D4105E" w:rsidRPr="00E14102" w:rsidRDefault="00D4105E" w:rsidP="00E14102">
      <w:pPr>
        <w:autoSpaceDE w:val="0"/>
        <w:autoSpaceDN w:val="0"/>
        <w:adjustRightInd w:val="0"/>
        <w:jc w:val="both"/>
        <w:rPr>
          <w:color w:val="000000" w:themeColor="text1"/>
          <w:sz w:val="16"/>
          <w:szCs w:val="16"/>
        </w:rPr>
      </w:pPr>
    </w:p>
    <w:p w14:paraId="21B2DA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вступил в строй завод 120 по колесам, а его литейное производство затем стало самостоятельным заводом 219 (80,428).</w:t>
      </w:r>
    </w:p>
    <w:p w14:paraId="65674EF9" w14:textId="77777777" w:rsidR="00D4105E" w:rsidRPr="00E14102" w:rsidRDefault="00D4105E" w:rsidP="00E14102">
      <w:pPr>
        <w:autoSpaceDE w:val="0"/>
        <w:autoSpaceDN w:val="0"/>
        <w:adjustRightInd w:val="0"/>
        <w:jc w:val="both"/>
        <w:rPr>
          <w:color w:val="000000" w:themeColor="text1"/>
          <w:sz w:val="16"/>
          <w:szCs w:val="16"/>
        </w:rPr>
      </w:pPr>
    </w:p>
    <w:p w14:paraId="474D93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талантливый конструктор - моторист С. А. Трескин, еще работая в МАИ, предложил использовать для повышения летных данных самолета ТБ-3, главным образом высотности ТБ-3, агрегат центрального наддува (АЦН), представлявший собой специальный дополнительный мотор, приводящий во вращение нагнетатель для наддува основных моторов. А. Н. Туполев отнесся к этой идее отрицательно. В этих условиях некоторые руководители ГУАП предложили реализовать ее на самолете СБ для создания высотного скоростного бомбардировщика. К сожалению, практической реализации это предложение так и не нашло (9531,27).</w:t>
      </w:r>
    </w:p>
    <w:p w14:paraId="062553EB" w14:textId="77777777" w:rsidR="00D4105E" w:rsidRPr="00E14102" w:rsidRDefault="00D4105E" w:rsidP="00E14102">
      <w:pPr>
        <w:autoSpaceDE w:val="0"/>
        <w:autoSpaceDN w:val="0"/>
        <w:adjustRightInd w:val="0"/>
        <w:jc w:val="both"/>
        <w:rPr>
          <w:color w:val="000000" w:themeColor="text1"/>
          <w:sz w:val="16"/>
          <w:szCs w:val="16"/>
        </w:rPr>
      </w:pPr>
    </w:p>
    <w:p w14:paraId="61111C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авиазавод №1 выпустил 273 И-15. Полтора десятка изготовил завод №39, еще две машины он закончил в 1936 г. Общее количество произведенных И-15 составило 384 экземпляра. Распределение по годам выпуска выглядело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30"/>
        <w:gridCol w:w="2130"/>
        <w:gridCol w:w="2130"/>
        <w:gridCol w:w="2130"/>
      </w:tblGrid>
      <w:tr w:rsidR="00E3599D" w:rsidRPr="00E14102" w14:paraId="15AF84CF" w14:textId="77777777">
        <w:tc>
          <w:tcPr>
            <w:tcW w:w="2130" w:type="dxa"/>
            <w:tcBorders>
              <w:top w:val="single" w:sz="12" w:space="0" w:color="auto"/>
            </w:tcBorders>
          </w:tcPr>
          <w:p w14:paraId="6878F165" w14:textId="77777777" w:rsidR="00D4105E" w:rsidRPr="00E14102" w:rsidRDefault="00D4105E" w:rsidP="00E14102">
            <w:pPr>
              <w:autoSpaceDE w:val="0"/>
              <w:autoSpaceDN w:val="0"/>
              <w:adjustRightInd w:val="0"/>
              <w:jc w:val="both"/>
              <w:rPr>
                <w:color w:val="000000" w:themeColor="text1"/>
                <w:sz w:val="16"/>
                <w:szCs w:val="16"/>
              </w:rPr>
            </w:pPr>
          </w:p>
        </w:tc>
        <w:tc>
          <w:tcPr>
            <w:tcW w:w="2130" w:type="dxa"/>
            <w:tcBorders>
              <w:top w:val="single" w:sz="12" w:space="0" w:color="auto"/>
            </w:tcBorders>
          </w:tcPr>
          <w:p w14:paraId="02D1AD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1934г.</w:t>
            </w:r>
          </w:p>
        </w:tc>
        <w:tc>
          <w:tcPr>
            <w:tcW w:w="2130" w:type="dxa"/>
            <w:tcBorders>
              <w:top w:val="single" w:sz="12" w:space="0" w:color="auto"/>
            </w:tcBorders>
          </w:tcPr>
          <w:p w14:paraId="410AF9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1935г.</w:t>
            </w:r>
          </w:p>
        </w:tc>
        <w:tc>
          <w:tcPr>
            <w:tcW w:w="2130" w:type="dxa"/>
            <w:tcBorders>
              <w:top w:val="single" w:sz="12" w:space="0" w:color="auto"/>
            </w:tcBorders>
          </w:tcPr>
          <w:p w14:paraId="5D07F7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1936г.</w:t>
            </w:r>
          </w:p>
        </w:tc>
      </w:tr>
      <w:tr w:rsidR="00E3599D" w:rsidRPr="00E14102" w14:paraId="5B2380FA" w14:textId="77777777">
        <w:tc>
          <w:tcPr>
            <w:tcW w:w="2130" w:type="dxa"/>
          </w:tcPr>
          <w:p w14:paraId="0986A4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№1</w:t>
            </w:r>
          </w:p>
        </w:tc>
        <w:tc>
          <w:tcPr>
            <w:tcW w:w="2130" w:type="dxa"/>
          </w:tcPr>
          <w:p w14:paraId="0D5C28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60</w:t>
            </w:r>
          </w:p>
        </w:tc>
        <w:tc>
          <w:tcPr>
            <w:tcW w:w="2130" w:type="dxa"/>
          </w:tcPr>
          <w:p w14:paraId="2398EF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273</w:t>
            </w:r>
          </w:p>
        </w:tc>
        <w:tc>
          <w:tcPr>
            <w:tcW w:w="2130" w:type="dxa"/>
          </w:tcPr>
          <w:p w14:paraId="3D35FC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w:t>
            </w:r>
          </w:p>
        </w:tc>
      </w:tr>
      <w:tr w:rsidR="00E3599D" w:rsidRPr="00E14102" w14:paraId="0DD5882A" w14:textId="77777777">
        <w:tc>
          <w:tcPr>
            <w:tcW w:w="2130" w:type="dxa"/>
          </w:tcPr>
          <w:p w14:paraId="7C17DA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№39</w:t>
            </w:r>
          </w:p>
        </w:tc>
        <w:tc>
          <w:tcPr>
            <w:tcW w:w="2130" w:type="dxa"/>
          </w:tcPr>
          <w:p w14:paraId="3A2823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41</w:t>
            </w:r>
          </w:p>
        </w:tc>
        <w:tc>
          <w:tcPr>
            <w:tcW w:w="2130" w:type="dxa"/>
          </w:tcPr>
          <w:p w14:paraId="30F9C0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2130" w:type="dxa"/>
          </w:tcPr>
          <w:p w14:paraId="785271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w:t>
            </w:r>
          </w:p>
        </w:tc>
      </w:tr>
      <w:tr w:rsidR="00E3599D" w:rsidRPr="00E14102" w14:paraId="1ABC2F51" w14:textId="77777777">
        <w:tc>
          <w:tcPr>
            <w:tcW w:w="2130" w:type="dxa"/>
            <w:tcBorders>
              <w:bottom w:val="single" w:sz="12" w:space="0" w:color="auto"/>
            </w:tcBorders>
          </w:tcPr>
          <w:p w14:paraId="53D55D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Всего</w:t>
            </w:r>
          </w:p>
        </w:tc>
        <w:tc>
          <w:tcPr>
            <w:tcW w:w="2130" w:type="dxa"/>
            <w:tcBorders>
              <w:bottom w:val="single" w:sz="12" w:space="0" w:color="auto"/>
            </w:tcBorders>
          </w:tcPr>
          <w:p w14:paraId="3B745B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101</w:t>
            </w:r>
          </w:p>
        </w:tc>
        <w:tc>
          <w:tcPr>
            <w:tcW w:w="2130" w:type="dxa"/>
            <w:tcBorders>
              <w:bottom w:val="single" w:sz="12" w:space="0" w:color="auto"/>
            </w:tcBorders>
          </w:tcPr>
          <w:p w14:paraId="79F08B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278</w:t>
            </w:r>
          </w:p>
        </w:tc>
        <w:tc>
          <w:tcPr>
            <w:tcW w:w="2130" w:type="dxa"/>
            <w:tcBorders>
              <w:bottom w:val="single" w:sz="12" w:space="0" w:color="auto"/>
            </w:tcBorders>
          </w:tcPr>
          <w:p w14:paraId="1C30E4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(6593)</w:t>
            </w:r>
          </w:p>
        </w:tc>
      </w:tr>
    </w:tbl>
    <w:p w14:paraId="406FFE35" w14:textId="77777777" w:rsidR="00D4105E" w:rsidRPr="00E14102" w:rsidRDefault="00D4105E" w:rsidP="00E14102">
      <w:pPr>
        <w:autoSpaceDE w:val="0"/>
        <w:autoSpaceDN w:val="0"/>
        <w:adjustRightInd w:val="0"/>
        <w:jc w:val="both"/>
        <w:rPr>
          <w:color w:val="000000" w:themeColor="text1"/>
          <w:sz w:val="16"/>
          <w:szCs w:val="16"/>
        </w:rPr>
      </w:pPr>
    </w:p>
    <w:p w14:paraId="237811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производство с/х машин на будущем заводе № 132 было прекращено и завод перешел на выпуск военных и крестьянских повозок, военных походных кухонь, санитарных двуколок, тракторных прицепов. В период 1929-1940 гг. на Симском заводе проведена крупная реконструкция с учетом выпуска продукции с/х машиностроения. В 1940 году Симский завод был передан в ведение Главармолита НКОМ по заданию которого завод начал изготовлять арматуру для паросиловых установок низкого и высокого давления и арматуру для водопроводных сетей, продолжая одновременно выпускать повозки, кухни, санитарные двуколки.</w:t>
      </w:r>
    </w:p>
    <w:p w14:paraId="5045D6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переходом в ведение Главармолита заводу было присвоено название “Симский арматурный завод”. Завод по выпуску указанных изделий работал до июля 1941 года. В июле 1941 года на основании постановления Правительства и приказа НКАП и НКОМ от 14 июля 1941 года за № 250/417 на площадях Симского арматурного завода разместился завод № 444 эвакуированный со ст. Плющево Московской области, ранее представлявший из себя агрегатный завод по выпуску НБ и НБ-1.</w:t>
      </w:r>
    </w:p>
    <w:p w14:paraId="22472C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Приказом НКАП от 6 июля 1941 года за № 632000 завод № 444 должен был дублировать продукцию завода № 132.</w:t>
      </w:r>
    </w:p>
    <w:p w14:paraId="1F7232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приказа НКАП от 10 октября 1941 года за № 106700 завод № 132 был эвакуирован из Москвы и также размещен на площадях Симского арматурного завода.</w:t>
      </w:r>
    </w:p>
    <w:p w14:paraId="7AFFF7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объединении трех заводов, новому объединенному заводу присвоен № 132 НКАП. С момента объединения заводов директором завода № 132 НКАП приказом от 28 января 1941 года назначен Ивайкин А.М. В 1942 году 22 апреля директором завода № 132 назначен Лурье В.С. 15 декабря 1944 года директором завода № 132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48C6F9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1464B4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766E09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 Фокеев</w:t>
      </w:r>
    </w:p>
    <w:p w14:paraId="767F27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Адрес: Сим Челябинской области</w:t>
      </w:r>
    </w:p>
    <w:p w14:paraId="0713B8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Производственный профиль – агрегатный завод (9877).</w:t>
      </w:r>
    </w:p>
    <w:p w14:paraId="1A930BAA" w14:textId="77777777" w:rsidR="00D4105E" w:rsidRPr="00E14102" w:rsidRDefault="00D4105E" w:rsidP="00E14102">
      <w:pPr>
        <w:autoSpaceDE w:val="0"/>
        <w:autoSpaceDN w:val="0"/>
        <w:adjustRightInd w:val="0"/>
        <w:jc w:val="both"/>
        <w:rPr>
          <w:color w:val="000000" w:themeColor="text1"/>
          <w:sz w:val="16"/>
          <w:szCs w:val="16"/>
        </w:rPr>
      </w:pPr>
    </w:p>
    <w:p w14:paraId="1633457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 А.А. Микулина назна</w:t>
      </w:r>
      <w:r w:rsidRPr="00E14102">
        <w:rPr>
          <w:color w:val="000000" w:themeColor="text1"/>
          <w:sz w:val="16"/>
          <w:szCs w:val="16"/>
        </w:rPr>
        <w:softHyphen/>
        <w:t>чили главным конструктором завода № 24. В ознаменование его заслуг Комитет обороны СССР 9 августа 1936 г. переименовал двигатель в АМ-34 по его инициалам. Микулин продолжал совершенствовать свой мотор, форсируя его по наддуву и оборотам. Но затянувшаяся довод</w:t>
      </w:r>
      <w:r w:rsidRPr="00E14102">
        <w:rPr>
          <w:color w:val="000000" w:themeColor="text1"/>
          <w:sz w:val="16"/>
          <w:szCs w:val="16"/>
        </w:rPr>
        <w:softHyphen/>
        <w:t>ка М-34ФРН привела к недовольству со стороны руководства авиапро</w:t>
      </w:r>
      <w:r w:rsidRPr="00E14102">
        <w:rPr>
          <w:color w:val="000000" w:themeColor="text1"/>
          <w:sz w:val="16"/>
          <w:szCs w:val="16"/>
        </w:rPr>
        <w:softHyphen/>
        <w:t>мышленности. Микулин недолго за</w:t>
      </w:r>
      <w:r w:rsidRPr="00E14102">
        <w:rPr>
          <w:color w:val="000000" w:themeColor="text1"/>
          <w:sz w:val="16"/>
          <w:szCs w:val="16"/>
        </w:rPr>
        <w:softHyphen/>
        <w:t>нимал должность главного конструк</w:t>
      </w:r>
      <w:r w:rsidRPr="00E14102">
        <w:rPr>
          <w:color w:val="000000" w:themeColor="text1"/>
          <w:sz w:val="16"/>
          <w:szCs w:val="16"/>
        </w:rPr>
        <w:softHyphen/>
        <w:t>тора. Вскоре его заменил Добрынин, а за Микулиным оставили только руководство работой по развитию АМ-34. В годы сталинских репрессий не</w:t>
      </w:r>
      <w:r w:rsidRPr="00E14102">
        <w:rPr>
          <w:color w:val="000000" w:themeColor="text1"/>
          <w:sz w:val="16"/>
          <w:szCs w:val="16"/>
        </w:rPr>
        <w:softHyphen/>
        <w:t>удачи могли дорого обойтись бес</w:t>
      </w:r>
      <w:r w:rsidRPr="00E14102">
        <w:rPr>
          <w:color w:val="000000" w:themeColor="text1"/>
          <w:sz w:val="16"/>
          <w:szCs w:val="16"/>
        </w:rPr>
        <w:softHyphen/>
        <w:t>партийному инженеру, но от участи «врага народа» его, видимо, изба</w:t>
      </w:r>
      <w:r w:rsidRPr="00E14102">
        <w:rPr>
          <w:color w:val="000000" w:themeColor="text1"/>
          <w:sz w:val="16"/>
          <w:szCs w:val="16"/>
        </w:rPr>
        <w:softHyphen/>
        <w:t>вили нашумевшие перелеты. Чкалов и Громов летали на машинах с мику-линскими двигателями. Мотор М-34РД вместе с самолетом РД успеш</w:t>
      </w:r>
      <w:r w:rsidRPr="00E14102">
        <w:rPr>
          <w:color w:val="000000" w:themeColor="text1"/>
          <w:sz w:val="16"/>
          <w:szCs w:val="16"/>
        </w:rPr>
        <w:softHyphen/>
        <w:t>но выставлялся за рубежом. Впро</w:t>
      </w:r>
      <w:r w:rsidRPr="00E14102">
        <w:rPr>
          <w:color w:val="000000" w:themeColor="text1"/>
          <w:sz w:val="16"/>
          <w:szCs w:val="16"/>
        </w:rPr>
        <w:softHyphen/>
        <w:t>чем, и на ДБА, на котором в Аркти</w:t>
      </w:r>
      <w:r w:rsidRPr="00E14102">
        <w:rPr>
          <w:color w:val="000000" w:themeColor="text1"/>
          <w:sz w:val="16"/>
          <w:szCs w:val="16"/>
        </w:rPr>
        <w:softHyphen/>
        <w:t>ке пропал экипаж Леваневского, дви</w:t>
      </w:r>
      <w:r w:rsidRPr="00E14102">
        <w:rPr>
          <w:color w:val="000000" w:themeColor="text1"/>
          <w:sz w:val="16"/>
          <w:szCs w:val="16"/>
        </w:rPr>
        <w:softHyphen/>
        <w:t>гатели тоже были микулинскими. В то время завод № 24 в боль</w:t>
      </w:r>
      <w:r w:rsidRPr="00E14102">
        <w:rPr>
          <w:color w:val="000000" w:themeColor="text1"/>
          <w:sz w:val="16"/>
          <w:szCs w:val="16"/>
        </w:rPr>
        <w:softHyphen/>
        <w:t>ших количествах выпускал двигатели разных модификаций. Резкому уве</w:t>
      </w:r>
      <w:r w:rsidRPr="00E14102">
        <w:rPr>
          <w:color w:val="000000" w:themeColor="text1"/>
          <w:sz w:val="16"/>
          <w:szCs w:val="16"/>
        </w:rPr>
        <w:softHyphen/>
        <w:t>личению выпуска способствовал пе</w:t>
      </w:r>
      <w:r w:rsidRPr="00E14102">
        <w:rPr>
          <w:color w:val="000000" w:themeColor="text1"/>
          <w:sz w:val="16"/>
          <w:szCs w:val="16"/>
        </w:rPr>
        <w:softHyphen/>
        <w:t>реход на конвейерную сборку. Ра</w:t>
      </w:r>
      <w:r w:rsidRPr="00E14102">
        <w:rPr>
          <w:color w:val="000000" w:themeColor="text1"/>
          <w:sz w:val="16"/>
          <w:szCs w:val="16"/>
        </w:rPr>
        <w:softHyphen/>
        <w:t>нее один мотор собирала бригада из пяти-шести человек. За одну сме</w:t>
      </w:r>
      <w:r w:rsidRPr="00E14102">
        <w:rPr>
          <w:color w:val="000000" w:themeColor="text1"/>
          <w:sz w:val="16"/>
          <w:szCs w:val="16"/>
        </w:rPr>
        <w:softHyphen/>
        <w:t>ну она не укладывалась, но другой бригаде недособранный двигатель не передавали; так он и стоял, пока не вернется начавшая над ним работу группа. При новой системе мотор пе</w:t>
      </w:r>
      <w:r w:rsidRPr="00E14102">
        <w:rPr>
          <w:color w:val="000000" w:themeColor="text1"/>
          <w:sz w:val="16"/>
          <w:szCs w:val="16"/>
        </w:rPr>
        <w:softHyphen/>
        <w:t>редвигался с позиции на позицию на тележке-стапеле. Рассчитывали, что при этом удастся сэкономить на за</w:t>
      </w:r>
      <w:r w:rsidRPr="00E14102">
        <w:rPr>
          <w:color w:val="000000" w:themeColor="text1"/>
          <w:sz w:val="16"/>
          <w:szCs w:val="16"/>
        </w:rPr>
        <w:softHyphen/>
        <w:t>работной плате. Вместо слесарей вы</w:t>
      </w:r>
      <w:r w:rsidRPr="00E14102">
        <w:rPr>
          <w:color w:val="000000" w:themeColor="text1"/>
          <w:sz w:val="16"/>
          <w:szCs w:val="16"/>
        </w:rPr>
        <w:softHyphen/>
        <w:t>соких разрядов на линию выставили вчерашних «фабзайцев» - выпускни</w:t>
      </w:r>
      <w:r w:rsidRPr="00E14102">
        <w:rPr>
          <w:color w:val="000000" w:themeColor="text1"/>
          <w:sz w:val="16"/>
          <w:szCs w:val="16"/>
        </w:rPr>
        <w:softHyphen/>
        <w:t>ков фабрично-заводского училища. Темп сборки вырос вдвое, но выхо</w:t>
      </w:r>
      <w:r w:rsidRPr="00E14102">
        <w:rPr>
          <w:color w:val="000000" w:themeColor="text1"/>
          <w:sz w:val="16"/>
          <w:szCs w:val="16"/>
        </w:rPr>
        <w:softHyphen/>
        <w:t>дившие с конвейера изделия оказа</w:t>
      </w:r>
      <w:r w:rsidRPr="00E14102">
        <w:rPr>
          <w:color w:val="000000" w:themeColor="text1"/>
          <w:sz w:val="16"/>
          <w:szCs w:val="16"/>
        </w:rPr>
        <w:softHyphen/>
        <w:t>лись просто комплектами деталей. Эти моторы пришлось заново пере</w:t>
      </w:r>
      <w:r w:rsidRPr="00E14102">
        <w:rPr>
          <w:color w:val="000000" w:themeColor="text1"/>
          <w:sz w:val="16"/>
          <w:szCs w:val="16"/>
        </w:rPr>
        <w:softHyphen/>
        <w:t>бирать высококвалифицированным рабочим. Позже систему отладили, распределив операции между работ</w:t>
      </w:r>
      <w:r w:rsidRPr="00E14102">
        <w:rPr>
          <w:color w:val="000000" w:themeColor="text1"/>
          <w:sz w:val="16"/>
          <w:szCs w:val="16"/>
        </w:rPr>
        <w:softHyphen/>
        <w:t>никами разной квалификации, но оказалось, что механические цеха не могут с нужной скоростью обеспе</w:t>
      </w:r>
      <w:r w:rsidRPr="00E14102">
        <w:rPr>
          <w:color w:val="000000" w:themeColor="text1"/>
          <w:sz w:val="16"/>
          <w:szCs w:val="16"/>
        </w:rPr>
        <w:softHyphen/>
        <w:t>чить конвейер деталями - требова</w:t>
      </w:r>
      <w:r w:rsidRPr="00E14102">
        <w:rPr>
          <w:color w:val="000000" w:themeColor="text1"/>
          <w:sz w:val="16"/>
          <w:szCs w:val="16"/>
        </w:rPr>
        <w:softHyphen/>
        <w:t>лось их расширять, завозить новое оборудование и набирать рабочих (11848).</w:t>
      </w:r>
    </w:p>
    <w:p w14:paraId="47FD7FE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31FF9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для обеспечения высоких темпов роста производства мотора М-85 и проведения работ по созданию его модификаций, были приняты решения правительства о переносе производства моторов семейства М-11 с завода № 29 на завод № 16 (Воронеж) и о прекращении в 1937 г. производства мотора М-22. В связи с необходимостью конструкторского сопровождения серийного производства моторов М-11 и выполнения работ по их модернизации при заводе № 16 было организовано ОКБ (в настоящее время "Опытно-конструкторское бюро моторостроения"), руководителем которого и главным конструктором завода в ноябре 1936 г. был назначен А.С. Назаров (11478).</w:t>
      </w:r>
    </w:p>
    <w:p w14:paraId="5CA58D1A" w14:textId="77777777" w:rsidR="00D4105E" w:rsidRPr="00E14102" w:rsidRDefault="00D4105E" w:rsidP="00E14102">
      <w:pPr>
        <w:autoSpaceDE w:val="0"/>
        <w:autoSpaceDN w:val="0"/>
        <w:adjustRightInd w:val="0"/>
        <w:jc w:val="both"/>
        <w:rPr>
          <w:color w:val="000000" w:themeColor="text1"/>
          <w:sz w:val="16"/>
          <w:szCs w:val="16"/>
        </w:rPr>
      </w:pPr>
    </w:p>
    <w:p w14:paraId="562313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М-48 проходил летные испытания на учебном самолете У-3, который, однако, в серию не запустили (11478).</w:t>
      </w:r>
    </w:p>
    <w:p w14:paraId="1A9E0C06" w14:textId="77777777" w:rsidR="00D4105E" w:rsidRPr="00E14102" w:rsidRDefault="00D4105E" w:rsidP="00E14102">
      <w:pPr>
        <w:autoSpaceDE w:val="0"/>
        <w:autoSpaceDN w:val="0"/>
        <w:adjustRightInd w:val="0"/>
        <w:jc w:val="both"/>
        <w:rPr>
          <w:color w:val="000000" w:themeColor="text1"/>
          <w:sz w:val="16"/>
          <w:szCs w:val="16"/>
        </w:rPr>
      </w:pPr>
    </w:p>
    <w:p w14:paraId="3C400E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 впервые к установке на любительский само</w:t>
      </w:r>
      <w:r w:rsidRPr="00E14102">
        <w:rPr>
          <w:color w:val="000000" w:themeColor="text1"/>
          <w:sz w:val="16"/>
          <w:szCs w:val="16"/>
        </w:rPr>
        <w:softHyphen/>
        <w:t>лет КСМ-1 кустарно приспособили мотор ГАЗ мощностью 46,5 л.с. В 1936 г. его испытали в НИИ ВВС, но признали неудовлетворительным. В середине 1936 г. появился уже специально доработанный двигатель ГАЗ-Авиа-60 (он же МГАЗ-60). За основу был взят серийный мотор в 52 л.с. от легковой машины М-1. Его форсировали по степени сжатия и существенно облегчили за счет замены чугунной головки блока на алюминиевую, вы</w:t>
      </w:r>
      <w:r w:rsidRPr="00E14102">
        <w:rPr>
          <w:color w:val="000000" w:themeColor="text1"/>
          <w:sz w:val="16"/>
          <w:szCs w:val="16"/>
        </w:rPr>
        <w:softHyphen/>
        <w:t>сверливания шеек коленчатого вала и других мероприятий. Мотор получил новый носок вала с упорным подшипником и усовершенствованную схе</w:t>
      </w:r>
      <w:r w:rsidRPr="00E14102">
        <w:rPr>
          <w:color w:val="000000" w:themeColor="text1"/>
          <w:sz w:val="16"/>
          <w:szCs w:val="16"/>
        </w:rPr>
        <w:softHyphen/>
        <w:t>му смазки, а также двойное зажигание по авиационным нормам. В начале 1937 г. МГАЗ-60 испытывался на самолете Г-23 «Комсомолец-2». В 1939 г. на базе мотора «модель 204» (скопированного с американского «Додж») был создан ГАЗ-11, форсированный до 85 л.с. и снабженный ре</w:t>
      </w:r>
      <w:r w:rsidRPr="00E14102">
        <w:rPr>
          <w:color w:val="000000" w:themeColor="text1"/>
          <w:sz w:val="16"/>
          <w:szCs w:val="16"/>
        </w:rPr>
        <w:softHyphen/>
        <w:t>дуктором. По сравнению с автомобильным двигателем его опять несколько облегчили. Однако зажигание осталось одинарным, батарейного типа. В ав</w:t>
      </w:r>
      <w:r w:rsidRPr="00E14102">
        <w:rPr>
          <w:color w:val="000000" w:themeColor="text1"/>
          <w:sz w:val="16"/>
          <w:szCs w:val="16"/>
        </w:rPr>
        <w:softHyphen/>
        <w:t>густе того же года ГАЗ-И испытали на самолете КСМ-1. В марте 1940 г. эта машина проходила государственные испытания в НИИ ВВС. Мотор признали неудовлетворительным. В ноябре КСМ-1 потерпел катастрофу в Горьком и более не восстанавливался.</w:t>
      </w:r>
    </w:p>
    <w:p w14:paraId="006BF56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Работы по переделке автомобильных двигателей в авиационные пре</w:t>
      </w:r>
      <w:r w:rsidRPr="00E14102">
        <w:rPr>
          <w:color w:val="000000" w:themeColor="text1"/>
          <w:sz w:val="16"/>
          <w:szCs w:val="16"/>
        </w:rPr>
        <w:softHyphen/>
        <w:t>кратили. К ним вернулись уже создатели любительских конструкций в послевоенный период.</w:t>
      </w:r>
    </w:p>
    <w:p w14:paraId="48B2B8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МГАЗ-60</w:t>
      </w:r>
    </w:p>
    <w:p w14:paraId="0B4ABA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Переделка в авиационный мотор 4-цилинлрового автомобильного дви</w:t>
      </w:r>
      <w:r w:rsidRPr="00E14102">
        <w:rPr>
          <w:color w:val="000000" w:themeColor="text1"/>
          <w:sz w:val="16"/>
          <w:szCs w:val="16"/>
        </w:rPr>
        <w:softHyphen/>
        <w:t>гателя.</w:t>
      </w:r>
    </w:p>
    <w:p w14:paraId="4CD599F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Характеристики:</w:t>
      </w:r>
    </w:p>
    <w:p w14:paraId="398104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4-цилиндровый, рядный, четырехтактный, водяного охлаждения без-редукторный, без ПЦН;</w:t>
      </w:r>
    </w:p>
    <w:p w14:paraId="2589416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диаметр цилиндра/ход поршня 98,5/108 мм;</w:t>
      </w:r>
    </w:p>
    <w:p w14:paraId="1D9FFD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объем 3,28 л;</w:t>
      </w:r>
    </w:p>
    <w:p w14:paraId="1DBC426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степень сжатия 5,6;</w:t>
      </w:r>
    </w:p>
    <w:p w14:paraId="5A4D33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мощность 62,5 л.с.;</w:t>
      </w:r>
    </w:p>
    <w:p w14:paraId="5ECB0D6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вес 120 кг.</w:t>
      </w:r>
    </w:p>
    <w:p w14:paraId="2ECD449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Мотор ГАЗ-11</w:t>
      </w:r>
    </w:p>
    <w:p w14:paraId="13CE16F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объем 3,48 л;</w:t>
      </w:r>
    </w:p>
    <w:p w14:paraId="6454236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степень сжатия 6,5;</w:t>
      </w:r>
    </w:p>
    <w:p w14:paraId="0ADFE5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мощность 83/85 л.с.;</w:t>
      </w:r>
    </w:p>
    <w:p w14:paraId="4A7B69A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вес 183 кг.</w:t>
      </w:r>
    </w:p>
    <w:p w14:paraId="7B9107E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Опытные образцы устанавливались на самолетах КСМ-1, Г-25бис и У-2.</w:t>
      </w:r>
    </w:p>
    <w:p w14:paraId="05E919C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ГАЗ-11</w:t>
      </w:r>
    </w:p>
    <w:p w14:paraId="5A8E169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авиационный мотор 6-цилиндрового автомобильного дви-Характеристики:</w:t>
      </w:r>
    </w:p>
    <w:p w14:paraId="1805AD5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6-цилиндровый, рядный, четырехтактный, водяного охлаждения пе-дукторный, без ПЦН; '</w:t>
      </w:r>
    </w:p>
    <w:p w14:paraId="2CD8DB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диаметр цилиндра/ход поршня 82/110 мм (11952;</w:t>
      </w:r>
    </w:p>
    <w:p w14:paraId="166683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5D9E5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двигатели МГ-11, МГ-21 и МГ-31 вполне успешно прошли заводские и государственные испытания. Была доказана на практике их надежная и устойчивая работа, а также возможность дальнейшего форсирования максимальной мощности без серьезных конструктивных и производственных изменений. После проведения усовершенствований и доработок двигатели МГ начали внедрять в мелкосерийное производство на заводе № 82 ГВФ, расположенном в Тушино. В настоящее время этот завод по-прежнему функционирует и именуется как ОАО "ММПП им. В.В. Чернышева".</w:t>
      </w:r>
    </w:p>
    <w:p w14:paraId="434AE2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1932-33 гг. сюда перевели из КБ-29 группу конструкторов во главе с М.А. Коссовым, которые ранее занимались внедрением и совершенствованием М-11. Задачей отдела стало создание на основе конструкции и технологии М-11 целого семейства двигателей для гражданской и спортивной авиации мощностью до 300 л.с. В результате, была развернута и в течение нескольких лет продолжалась работа по созданию звездообразных двигателей серии МГ (мотор гражданский): МГ-11 (5 цилиндров), МГ-21 (7 цилиндров) и МГ-31 (9 цилиндров), а также перевернутого рядного мотора воздушного охлаждения МГ-40.</w:t>
      </w:r>
    </w:p>
    <w:p w14:paraId="2ADD25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МГ-11, МГ-21, МГ-31 являлись 4-х тактными, карбюраторными авиадвигателями воздушного охлаждения, работали на бензине, были оснащены приводом центрального наддува (ПЦН). Все три имели такие же размеры цилиндров, как у М-11 (125x140 мм), в первых вариантах на них использовались многие детали и узлы М-11 (поршни, цилиндры, шатуны).</w:t>
      </w:r>
    </w:p>
    <w:p w14:paraId="00E7DD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Одним из основных достоинств двигателей МГ стала унификация деталей, со временем доведенная до 92% их взаимозаменяемости по числу наименований. Индивидуальными для каждого типа являлись картеры, главные шатуны, кулачковые распределительные шайбы и некоторые шестерни, т.е. те детали, которые отражали кинематику 5-и, 7-и, и 9-и цилиндровых схем. Унификация значительно упрощала и удешевляла производство всех типов моторов на одном заводе, ремонт и снабжение запасными частями в условиях эксплуатации, облегчала их освоение летно-техническим составом.</w:t>
      </w:r>
    </w:p>
    <w:p w14:paraId="5A3AB2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Среди трех упомянутых типов 220-сильный МГ-21 не вышел из стадии опытных образцов. Известно, что один из таких двигателей пытались установить на гидросамолет НВ-4 конструкции В.В.Никитина взамен прежнего М-11. Впрочем, о полетах НВ-4 с МГ-21 сведения не обнаружены.</w:t>
      </w:r>
    </w:p>
    <w:p w14:paraId="18E788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МГ-11 строился малой серией. Он устанавливался на самолеты УТ-2, САМ-5 2бис, У-5, УТИ-б и некоторые другие. Форсированный по мощности до 210 лошадиных сил МГ-11ФН в 1939 г. установили на САМ-5 2бис конструкции А.С.Москалева. С ним самолет установил рекорд высоты, составивший 8760 метров.</w:t>
      </w:r>
    </w:p>
    <w:p w14:paraId="057230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МГ-31 явился самым мощным и наиболее востребованным среди всего указанного семейства. МГ-31 устанавливались на Сталь-2, РАФ-11, ДКЛ-2, ЛИГ-8, МА-1, СХ-1 (ЛИГ-10), НВ-5, Ш-7, ЛИГ-5, У5-ЛШ и некоторые другие аппараты. Серийное производство этих двигателей развернули на моторном заводе №82 в Тушино в 1936 г. За два года были выпущены две серии МГ-31 и МГ-31Ф. Тогда же эти двигатели начали устанавливать на серийных самолетах Сталь-2 (они строились также в Тушино, на авиазаводе №81). С августа 1938 г. Сталь-2 с МГ-31Ф эксплуатировались в отрядах Азово- Черноморского, Украинского и Северо-Казах- станского управлений ГВФ. Выполняли грузовые и почтовые перевозки. Указывалось, что двигатель надежен, обеспечивает 150 часов работы до первого ремонта. Постепенно, после ряда усовершенствований, срок службы этих двигателей в ГВФ довели 250 часов, а Сталь-2 с МГ-31Ф начали использовать и в пассажирском варианте.</w:t>
      </w:r>
    </w:p>
    <w:p w14:paraId="08A87F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Третья серия МГ-31Ф строилась в 1938- 1939 гг. Габаритный диаметр двигателя увеличился до 1120 мм, габаритная длина осталась прежней - 975,5 мм, вес увеличился до 288 кг. Были введены кожухи на элементы газораспределения (защищали от пыли и предохраняли от разбрызгивания масла), также введены дефлекторы, уплотняющие воздушный поток, и повышающие эффективность охлаждения цилиндров (температура под задней свечой понизилась на 40-45°С).</w:t>
      </w:r>
    </w:p>
    <w:p w14:paraId="432432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Строились также опытные образцы форсированных по мощности до 450 л.с. МГ-31Ф2, МГ-31ФН. Впрочем, довести их до серии не уда лось, в 1939-1940 гг. работы по этим моторам были свернуты. Причин было несколько. В частности, в 1938-1939 гг. на заводе №82 организовали тюремное КБ (шарашку), где конструкторы-заключенные вели разработку авиадизелей. Затем завод передали из ГВФ в НКАП и полностью переключили на производство дизелей, которые считались на тот момент важнейшим направлением в авиационном двигателестрое- нии. Отдел бензиновых двигателей, который какое-то время именовался как НИИ АД (авиадвигателей) ГВФ, был ликвидирован и стал подразделением объединенного НИИ ГВФ. Без производственной базы все усилия талантливого коллектива оказались помножены на ноль. Попытка перевести работы на Воронежский завод №16 не увенчалась успехом, там перед войной и своих забот оказалось предостаточно.</w:t>
      </w:r>
    </w:p>
    <w:p w14:paraId="5EB9C3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Основные параметры двигателей семейства МГ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E3599D" w:rsidRPr="00E14102" w14:paraId="37383565" w14:textId="77777777">
        <w:tc>
          <w:tcPr>
            <w:tcW w:w="1601" w:type="dxa"/>
            <w:tcBorders>
              <w:top w:val="single" w:sz="12" w:space="0" w:color="auto"/>
            </w:tcBorders>
          </w:tcPr>
          <w:p w14:paraId="179AB52C" w14:textId="77777777" w:rsidR="00D4105E" w:rsidRPr="00E14102" w:rsidRDefault="00D4105E" w:rsidP="00E14102">
            <w:pPr>
              <w:autoSpaceDE w:val="0"/>
              <w:autoSpaceDN w:val="0"/>
              <w:adjustRightInd w:val="0"/>
              <w:jc w:val="both"/>
              <w:rPr>
                <w:color w:val="000000" w:themeColor="text1"/>
                <w:sz w:val="16"/>
                <w:szCs w:val="16"/>
              </w:rPr>
            </w:pPr>
          </w:p>
        </w:tc>
        <w:tc>
          <w:tcPr>
            <w:tcW w:w="1601" w:type="dxa"/>
            <w:tcBorders>
              <w:top w:val="single" w:sz="12" w:space="0" w:color="auto"/>
            </w:tcBorders>
          </w:tcPr>
          <w:p w14:paraId="252516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МГ-31</w:t>
            </w:r>
          </w:p>
        </w:tc>
        <w:tc>
          <w:tcPr>
            <w:tcW w:w="1601" w:type="dxa"/>
            <w:tcBorders>
              <w:top w:val="single" w:sz="12" w:space="0" w:color="auto"/>
            </w:tcBorders>
          </w:tcPr>
          <w:p w14:paraId="1AEE4A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МГ-21</w:t>
            </w:r>
          </w:p>
        </w:tc>
        <w:tc>
          <w:tcPr>
            <w:tcW w:w="1601" w:type="dxa"/>
            <w:tcBorders>
              <w:top w:val="single" w:sz="12" w:space="0" w:color="auto"/>
            </w:tcBorders>
          </w:tcPr>
          <w:p w14:paraId="42AA5C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МГ-11</w:t>
            </w:r>
          </w:p>
        </w:tc>
        <w:tc>
          <w:tcPr>
            <w:tcW w:w="1601" w:type="dxa"/>
            <w:tcBorders>
              <w:top w:val="single" w:sz="12" w:space="0" w:color="auto"/>
            </w:tcBorders>
          </w:tcPr>
          <w:p w14:paraId="1CA086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МГ-31Ф</w:t>
            </w:r>
          </w:p>
        </w:tc>
        <w:tc>
          <w:tcPr>
            <w:tcW w:w="1601" w:type="dxa"/>
            <w:tcBorders>
              <w:top w:val="single" w:sz="12" w:space="0" w:color="auto"/>
            </w:tcBorders>
          </w:tcPr>
          <w:p w14:paraId="554CBC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МГ-31Ф2</w:t>
            </w:r>
          </w:p>
        </w:tc>
        <w:tc>
          <w:tcPr>
            <w:tcW w:w="1601" w:type="dxa"/>
            <w:tcBorders>
              <w:top w:val="single" w:sz="12" w:space="0" w:color="auto"/>
            </w:tcBorders>
          </w:tcPr>
          <w:p w14:paraId="7BEFBD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МГ-11ФН</w:t>
            </w:r>
          </w:p>
        </w:tc>
      </w:tr>
      <w:tr w:rsidR="00E3599D" w:rsidRPr="00E14102" w14:paraId="3B766BB4" w14:textId="77777777">
        <w:tc>
          <w:tcPr>
            <w:tcW w:w="1601" w:type="dxa"/>
          </w:tcPr>
          <w:p w14:paraId="02652E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Число цилиндров</w:t>
            </w:r>
          </w:p>
        </w:tc>
        <w:tc>
          <w:tcPr>
            <w:tcW w:w="1601" w:type="dxa"/>
          </w:tcPr>
          <w:p w14:paraId="7EB1B6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1601" w:type="dxa"/>
          </w:tcPr>
          <w:p w14:paraId="02A7B6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w:t>
            </w:r>
          </w:p>
        </w:tc>
        <w:tc>
          <w:tcPr>
            <w:tcW w:w="1601" w:type="dxa"/>
          </w:tcPr>
          <w:p w14:paraId="771A7D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01" w:type="dxa"/>
          </w:tcPr>
          <w:p w14:paraId="4E45CA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1601" w:type="dxa"/>
          </w:tcPr>
          <w:p w14:paraId="667614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w:t>
            </w:r>
          </w:p>
        </w:tc>
        <w:tc>
          <w:tcPr>
            <w:tcW w:w="1601" w:type="dxa"/>
          </w:tcPr>
          <w:p w14:paraId="5AF671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r>
      <w:tr w:rsidR="00E3599D" w:rsidRPr="00E14102" w14:paraId="548A5A78" w14:textId="77777777">
        <w:tc>
          <w:tcPr>
            <w:tcW w:w="1601" w:type="dxa"/>
          </w:tcPr>
          <w:p w14:paraId="490E9E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Номинальная мощность (л.с.)</w:t>
            </w:r>
          </w:p>
        </w:tc>
        <w:tc>
          <w:tcPr>
            <w:tcW w:w="1601" w:type="dxa"/>
          </w:tcPr>
          <w:p w14:paraId="50E455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270</w:t>
            </w:r>
          </w:p>
        </w:tc>
        <w:tc>
          <w:tcPr>
            <w:tcW w:w="1601" w:type="dxa"/>
          </w:tcPr>
          <w:p w14:paraId="62A242F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w:t>
            </w:r>
          </w:p>
        </w:tc>
        <w:tc>
          <w:tcPr>
            <w:tcW w:w="1601" w:type="dxa"/>
          </w:tcPr>
          <w:p w14:paraId="05EF69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w:t>
            </w:r>
          </w:p>
        </w:tc>
        <w:tc>
          <w:tcPr>
            <w:tcW w:w="1601" w:type="dxa"/>
          </w:tcPr>
          <w:p w14:paraId="4CAC4B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300</w:t>
            </w:r>
          </w:p>
        </w:tc>
        <w:tc>
          <w:tcPr>
            <w:tcW w:w="1601" w:type="dxa"/>
          </w:tcPr>
          <w:p w14:paraId="08E58D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400</w:t>
            </w:r>
          </w:p>
        </w:tc>
        <w:tc>
          <w:tcPr>
            <w:tcW w:w="1601" w:type="dxa"/>
          </w:tcPr>
          <w:p w14:paraId="6967F7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w:t>
            </w:r>
          </w:p>
        </w:tc>
      </w:tr>
      <w:tr w:rsidR="00E3599D" w:rsidRPr="00E14102" w14:paraId="1FCD5953" w14:textId="77777777">
        <w:tc>
          <w:tcPr>
            <w:tcW w:w="1601" w:type="dxa"/>
          </w:tcPr>
          <w:p w14:paraId="5ABD8E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Номин. частота вращения вала (об/мин)</w:t>
            </w:r>
          </w:p>
        </w:tc>
        <w:tc>
          <w:tcPr>
            <w:tcW w:w="1601" w:type="dxa"/>
          </w:tcPr>
          <w:p w14:paraId="351852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1720</w:t>
            </w:r>
          </w:p>
        </w:tc>
        <w:tc>
          <w:tcPr>
            <w:tcW w:w="1601" w:type="dxa"/>
          </w:tcPr>
          <w:p w14:paraId="011FF5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1680</w:t>
            </w:r>
          </w:p>
        </w:tc>
        <w:tc>
          <w:tcPr>
            <w:tcW w:w="1601" w:type="dxa"/>
          </w:tcPr>
          <w:p w14:paraId="4216FC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1790</w:t>
            </w:r>
          </w:p>
        </w:tc>
        <w:tc>
          <w:tcPr>
            <w:tcW w:w="1601" w:type="dxa"/>
          </w:tcPr>
          <w:p w14:paraId="06DF24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1850</w:t>
            </w:r>
          </w:p>
        </w:tc>
        <w:tc>
          <w:tcPr>
            <w:tcW w:w="1601" w:type="dxa"/>
          </w:tcPr>
          <w:p w14:paraId="397940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1601" w:type="dxa"/>
          </w:tcPr>
          <w:p w14:paraId="7B9F0D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1950</w:t>
            </w:r>
          </w:p>
        </w:tc>
      </w:tr>
      <w:tr w:rsidR="00E3599D" w:rsidRPr="00E14102" w14:paraId="585F92C3" w14:textId="77777777">
        <w:tc>
          <w:tcPr>
            <w:tcW w:w="1601" w:type="dxa"/>
          </w:tcPr>
          <w:p w14:paraId="23E89A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Максимальная мощность (л.с.)</w:t>
            </w:r>
          </w:p>
        </w:tc>
        <w:tc>
          <w:tcPr>
            <w:tcW w:w="1601" w:type="dxa"/>
          </w:tcPr>
          <w:p w14:paraId="2D874F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320</w:t>
            </w:r>
          </w:p>
        </w:tc>
        <w:tc>
          <w:tcPr>
            <w:tcW w:w="1601" w:type="dxa"/>
          </w:tcPr>
          <w:p w14:paraId="3AF5BE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220</w:t>
            </w:r>
          </w:p>
        </w:tc>
        <w:tc>
          <w:tcPr>
            <w:tcW w:w="1601" w:type="dxa"/>
          </w:tcPr>
          <w:p w14:paraId="00973B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180</w:t>
            </w:r>
          </w:p>
        </w:tc>
        <w:tc>
          <w:tcPr>
            <w:tcW w:w="1601" w:type="dxa"/>
          </w:tcPr>
          <w:p w14:paraId="44C731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350</w:t>
            </w:r>
          </w:p>
        </w:tc>
        <w:tc>
          <w:tcPr>
            <w:tcW w:w="1601" w:type="dxa"/>
          </w:tcPr>
          <w:p w14:paraId="28BF0B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450</w:t>
            </w:r>
          </w:p>
        </w:tc>
        <w:tc>
          <w:tcPr>
            <w:tcW w:w="1601" w:type="dxa"/>
          </w:tcPr>
          <w:p w14:paraId="4424F1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210</w:t>
            </w:r>
          </w:p>
        </w:tc>
      </w:tr>
      <w:tr w:rsidR="00E3599D" w:rsidRPr="00E14102" w14:paraId="149BDCC2" w14:textId="77777777">
        <w:tc>
          <w:tcPr>
            <w:tcW w:w="1601" w:type="dxa"/>
          </w:tcPr>
          <w:p w14:paraId="658E16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Частота вращения на макс. мощн. (об/мин)</w:t>
            </w:r>
          </w:p>
        </w:tc>
        <w:tc>
          <w:tcPr>
            <w:tcW w:w="1601" w:type="dxa"/>
          </w:tcPr>
          <w:p w14:paraId="170BFB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1820</w:t>
            </w:r>
          </w:p>
        </w:tc>
        <w:tc>
          <w:tcPr>
            <w:tcW w:w="1601" w:type="dxa"/>
          </w:tcPr>
          <w:p w14:paraId="41ACDA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1720</w:t>
            </w:r>
          </w:p>
        </w:tc>
        <w:tc>
          <w:tcPr>
            <w:tcW w:w="1601" w:type="dxa"/>
          </w:tcPr>
          <w:p w14:paraId="1F38FA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1890</w:t>
            </w:r>
          </w:p>
        </w:tc>
        <w:tc>
          <w:tcPr>
            <w:tcW w:w="1601" w:type="dxa"/>
          </w:tcPr>
          <w:p w14:paraId="680144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1601" w:type="dxa"/>
          </w:tcPr>
          <w:p w14:paraId="13B1A4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2100</w:t>
            </w:r>
          </w:p>
        </w:tc>
        <w:tc>
          <w:tcPr>
            <w:tcW w:w="1601" w:type="dxa"/>
          </w:tcPr>
          <w:p w14:paraId="20FFE9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2100</w:t>
            </w:r>
          </w:p>
        </w:tc>
      </w:tr>
      <w:tr w:rsidR="00E3599D" w:rsidRPr="00E14102" w14:paraId="4EA3D55F" w14:textId="77777777">
        <w:tc>
          <w:tcPr>
            <w:tcW w:w="1601" w:type="dxa"/>
          </w:tcPr>
          <w:p w14:paraId="3A70B3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Высотность(м)</w:t>
            </w:r>
          </w:p>
        </w:tc>
        <w:tc>
          <w:tcPr>
            <w:tcW w:w="1601" w:type="dxa"/>
          </w:tcPr>
          <w:p w14:paraId="10AF8C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601" w:type="dxa"/>
          </w:tcPr>
          <w:p w14:paraId="399DC0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601" w:type="dxa"/>
          </w:tcPr>
          <w:p w14:paraId="73F72A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601" w:type="dxa"/>
          </w:tcPr>
          <w:p w14:paraId="6C23CB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1000</w:t>
            </w:r>
          </w:p>
        </w:tc>
        <w:tc>
          <w:tcPr>
            <w:tcW w:w="1601" w:type="dxa"/>
          </w:tcPr>
          <w:p w14:paraId="34346C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tc>
        <w:tc>
          <w:tcPr>
            <w:tcW w:w="1601" w:type="dxa"/>
          </w:tcPr>
          <w:p w14:paraId="5A356D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r>
      <w:tr w:rsidR="00E3599D" w:rsidRPr="00E14102" w14:paraId="66AACDC8" w14:textId="77777777">
        <w:tc>
          <w:tcPr>
            <w:tcW w:w="1601" w:type="dxa"/>
          </w:tcPr>
          <w:p w14:paraId="7E3D69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Макс, частота вращен. вала (об/мин)</w:t>
            </w:r>
          </w:p>
        </w:tc>
        <w:tc>
          <w:tcPr>
            <w:tcW w:w="1601" w:type="dxa"/>
          </w:tcPr>
          <w:p w14:paraId="150D60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1601" w:type="dxa"/>
          </w:tcPr>
          <w:p w14:paraId="3D4B6C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1601" w:type="dxa"/>
          </w:tcPr>
          <w:p w14:paraId="118BDB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2000</w:t>
            </w:r>
          </w:p>
        </w:tc>
        <w:tc>
          <w:tcPr>
            <w:tcW w:w="1601" w:type="dxa"/>
          </w:tcPr>
          <w:p w14:paraId="3D6ED8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2100</w:t>
            </w:r>
          </w:p>
        </w:tc>
        <w:tc>
          <w:tcPr>
            <w:tcW w:w="1601" w:type="dxa"/>
          </w:tcPr>
          <w:p w14:paraId="6061FA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2200</w:t>
            </w:r>
          </w:p>
        </w:tc>
        <w:tc>
          <w:tcPr>
            <w:tcW w:w="1601" w:type="dxa"/>
          </w:tcPr>
          <w:p w14:paraId="29CE33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2200</w:t>
            </w:r>
          </w:p>
        </w:tc>
      </w:tr>
      <w:tr w:rsidR="00E3599D" w:rsidRPr="00E14102" w14:paraId="6899CEDB" w14:textId="77777777">
        <w:tc>
          <w:tcPr>
            <w:tcW w:w="1601" w:type="dxa"/>
          </w:tcPr>
          <w:p w14:paraId="41A564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Рабочий объем всех цилиндров (л)</w:t>
            </w:r>
          </w:p>
        </w:tc>
        <w:tc>
          <w:tcPr>
            <w:tcW w:w="1601" w:type="dxa"/>
          </w:tcPr>
          <w:p w14:paraId="0119AD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15,45</w:t>
            </w:r>
          </w:p>
        </w:tc>
        <w:tc>
          <w:tcPr>
            <w:tcW w:w="1601" w:type="dxa"/>
          </w:tcPr>
          <w:p w14:paraId="511265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12,0</w:t>
            </w:r>
          </w:p>
        </w:tc>
        <w:tc>
          <w:tcPr>
            <w:tcW w:w="1601" w:type="dxa"/>
          </w:tcPr>
          <w:p w14:paraId="49D1D1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w:t>
            </w:r>
          </w:p>
        </w:tc>
        <w:tc>
          <w:tcPr>
            <w:tcW w:w="1601" w:type="dxa"/>
          </w:tcPr>
          <w:p w14:paraId="116370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15,45</w:t>
            </w:r>
          </w:p>
        </w:tc>
        <w:tc>
          <w:tcPr>
            <w:tcW w:w="1601" w:type="dxa"/>
          </w:tcPr>
          <w:p w14:paraId="2EE240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15,45</w:t>
            </w:r>
          </w:p>
        </w:tc>
        <w:tc>
          <w:tcPr>
            <w:tcW w:w="1601" w:type="dxa"/>
          </w:tcPr>
          <w:p w14:paraId="38C495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8,6</w:t>
            </w:r>
          </w:p>
        </w:tc>
      </w:tr>
      <w:tr w:rsidR="00E3599D" w:rsidRPr="00E14102" w14:paraId="3DE5336B" w14:textId="77777777">
        <w:tc>
          <w:tcPr>
            <w:tcW w:w="1601" w:type="dxa"/>
          </w:tcPr>
          <w:p w14:paraId="6FA186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Масса сухого двигателя (кг)</w:t>
            </w:r>
          </w:p>
        </w:tc>
        <w:tc>
          <w:tcPr>
            <w:tcW w:w="1601" w:type="dxa"/>
          </w:tcPr>
          <w:p w14:paraId="22AE8F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247</w:t>
            </w:r>
          </w:p>
        </w:tc>
        <w:tc>
          <w:tcPr>
            <w:tcW w:w="1601" w:type="dxa"/>
          </w:tcPr>
          <w:p w14:paraId="1DB32A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214</w:t>
            </w:r>
          </w:p>
        </w:tc>
        <w:tc>
          <w:tcPr>
            <w:tcW w:w="1601" w:type="dxa"/>
          </w:tcPr>
          <w:p w14:paraId="7D7A50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175</w:t>
            </w:r>
          </w:p>
        </w:tc>
        <w:tc>
          <w:tcPr>
            <w:tcW w:w="1601" w:type="dxa"/>
          </w:tcPr>
          <w:p w14:paraId="585DC4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260</w:t>
            </w:r>
          </w:p>
        </w:tc>
        <w:tc>
          <w:tcPr>
            <w:tcW w:w="1601" w:type="dxa"/>
          </w:tcPr>
          <w:p w14:paraId="204B7B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265</w:t>
            </w:r>
          </w:p>
        </w:tc>
        <w:tc>
          <w:tcPr>
            <w:tcW w:w="1601" w:type="dxa"/>
          </w:tcPr>
          <w:p w14:paraId="0ACB8C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185</w:t>
            </w:r>
          </w:p>
        </w:tc>
      </w:tr>
      <w:tr w:rsidR="00E3599D" w:rsidRPr="00E14102" w14:paraId="2CFF17A5" w14:textId="77777777">
        <w:tc>
          <w:tcPr>
            <w:tcW w:w="1601" w:type="dxa"/>
          </w:tcPr>
          <w:p w14:paraId="1CF26A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Габаритный диаметр (мм)</w:t>
            </w:r>
          </w:p>
        </w:tc>
        <w:tc>
          <w:tcPr>
            <w:tcW w:w="1601" w:type="dxa"/>
          </w:tcPr>
          <w:p w14:paraId="1AE81B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1075</w:t>
            </w:r>
          </w:p>
        </w:tc>
        <w:tc>
          <w:tcPr>
            <w:tcW w:w="1601" w:type="dxa"/>
          </w:tcPr>
          <w:p w14:paraId="5578A3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1075</w:t>
            </w:r>
          </w:p>
        </w:tc>
        <w:tc>
          <w:tcPr>
            <w:tcW w:w="1601" w:type="dxa"/>
          </w:tcPr>
          <w:p w14:paraId="10304D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1075</w:t>
            </w:r>
          </w:p>
        </w:tc>
        <w:tc>
          <w:tcPr>
            <w:tcW w:w="1601" w:type="dxa"/>
          </w:tcPr>
          <w:p w14:paraId="282C68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1090</w:t>
            </w:r>
          </w:p>
        </w:tc>
        <w:tc>
          <w:tcPr>
            <w:tcW w:w="1601" w:type="dxa"/>
          </w:tcPr>
          <w:p w14:paraId="4AB5D4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1090</w:t>
            </w:r>
          </w:p>
        </w:tc>
        <w:tc>
          <w:tcPr>
            <w:tcW w:w="1601" w:type="dxa"/>
          </w:tcPr>
          <w:p w14:paraId="3CABFC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1090</w:t>
            </w:r>
          </w:p>
        </w:tc>
      </w:tr>
      <w:tr w:rsidR="00E3599D" w:rsidRPr="00E14102" w14:paraId="31B6C3C1" w14:textId="77777777">
        <w:tc>
          <w:tcPr>
            <w:tcW w:w="1601" w:type="dxa"/>
          </w:tcPr>
          <w:p w14:paraId="513AE4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Габаритная длина (мм)</w:t>
            </w:r>
          </w:p>
        </w:tc>
        <w:tc>
          <w:tcPr>
            <w:tcW w:w="1601" w:type="dxa"/>
          </w:tcPr>
          <w:p w14:paraId="5B4C32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1040</w:t>
            </w:r>
          </w:p>
        </w:tc>
        <w:tc>
          <w:tcPr>
            <w:tcW w:w="1601" w:type="dxa"/>
          </w:tcPr>
          <w:p w14:paraId="154689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1040</w:t>
            </w:r>
          </w:p>
        </w:tc>
        <w:tc>
          <w:tcPr>
            <w:tcW w:w="1601" w:type="dxa"/>
          </w:tcPr>
          <w:p w14:paraId="4E1758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1040</w:t>
            </w:r>
          </w:p>
        </w:tc>
        <w:tc>
          <w:tcPr>
            <w:tcW w:w="1601" w:type="dxa"/>
          </w:tcPr>
          <w:p w14:paraId="70AB6A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1060</w:t>
            </w:r>
          </w:p>
        </w:tc>
        <w:tc>
          <w:tcPr>
            <w:tcW w:w="1601" w:type="dxa"/>
          </w:tcPr>
          <w:p w14:paraId="7B1684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1060</w:t>
            </w:r>
          </w:p>
        </w:tc>
        <w:tc>
          <w:tcPr>
            <w:tcW w:w="1601" w:type="dxa"/>
          </w:tcPr>
          <w:p w14:paraId="29E783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1060</w:t>
            </w:r>
          </w:p>
        </w:tc>
      </w:tr>
      <w:tr w:rsidR="00E3599D" w:rsidRPr="00E14102" w14:paraId="1E197A86" w14:textId="77777777">
        <w:tc>
          <w:tcPr>
            <w:tcW w:w="1601" w:type="dxa"/>
          </w:tcPr>
          <w:p w14:paraId="4B809C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Октановое число топлива</w:t>
            </w:r>
          </w:p>
        </w:tc>
        <w:tc>
          <w:tcPr>
            <w:tcW w:w="1601" w:type="dxa"/>
          </w:tcPr>
          <w:p w14:paraId="200F2E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w:t>
            </w:r>
          </w:p>
        </w:tc>
        <w:tc>
          <w:tcPr>
            <w:tcW w:w="1601" w:type="dxa"/>
          </w:tcPr>
          <w:p w14:paraId="017582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w:t>
            </w:r>
          </w:p>
        </w:tc>
        <w:tc>
          <w:tcPr>
            <w:tcW w:w="1601" w:type="dxa"/>
          </w:tcPr>
          <w:p w14:paraId="141E9C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w:t>
            </w:r>
          </w:p>
        </w:tc>
        <w:tc>
          <w:tcPr>
            <w:tcW w:w="1601" w:type="dxa"/>
          </w:tcPr>
          <w:p w14:paraId="7559C6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72</w:t>
            </w:r>
          </w:p>
        </w:tc>
        <w:tc>
          <w:tcPr>
            <w:tcW w:w="1601" w:type="dxa"/>
          </w:tcPr>
          <w:p w14:paraId="10223B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85</w:t>
            </w:r>
          </w:p>
        </w:tc>
        <w:tc>
          <w:tcPr>
            <w:tcW w:w="1601" w:type="dxa"/>
          </w:tcPr>
          <w:p w14:paraId="0C5118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90</w:t>
            </w:r>
          </w:p>
        </w:tc>
      </w:tr>
      <w:tr w:rsidR="00E3599D" w:rsidRPr="00E14102" w14:paraId="2D55DE63" w14:textId="77777777">
        <w:tc>
          <w:tcPr>
            <w:tcW w:w="1601" w:type="dxa"/>
          </w:tcPr>
          <w:p w14:paraId="527E2A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Удельный расход топлива (г/л.с/ч)</w:t>
            </w:r>
          </w:p>
        </w:tc>
        <w:tc>
          <w:tcPr>
            <w:tcW w:w="1601" w:type="dxa"/>
          </w:tcPr>
          <w:p w14:paraId="4D1FA6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245</w:t>
            </w:r>
          </w:p>
        </w:tc>
        <w:tc>
          <w:tcPr>
            <w:tcW w:w="1601" w:type="dxa"/>
          </w:tcPr>
          <w:p w14:paraId="524E4F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245</w:t>
            </w:r>
          </w:p>
        </w:tc>
        <w:tc>
          <w:tcPr>
            <w:tcW w:w="1601" w:type="dxa"/>
          </w:tcPr>
          <w:p w14:paraId="213D69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245</w:t>
            </w:r>
          </w:p>
        </w:tc>
        <w:tc>
          <w:tcPr>
            <w:tcW w:w="1601" w:type="dxa"/>
          </w:tcPr>
          <w:p w14:paraId="4C001B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w:t>
            </w:r>
          </w:p>
        </w:tc>
        <w:tc>
          <w:tcPr>
            <w:tcW w:w="1601" w:type="dxa"/>
          </w:tcPr>
          <w:p w14:paraId="3B2EF43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w:t>
            </w:r>
          </w:p>
        </w:tc>
        <w:tc>
          <w:tcPr>
            <w:tcW w:w="1601" w:type="dxa"/>
          </w:tcPr>
          <w:p w14:paraId="135B36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240</w:t>
            </w:r>
          </w:p>
        </w:tc>
      </w:tr>
      <w:tr w:rsidR="00E3599D" w:rsidRPr="00E14102" w14:paraId="3C1730BA" w14:textId="77777777">
        <w:tc>
          <w:tcPr>
            <w:tcW w:w="1601" w:type="dxa"/>
            <w:tcBorders>
              <w:bottom w:val="single" w:sz="12" w:space="0" w:color="auto"/>
            </w:tcBorders>
          </w:tcPr>
          <w:p w14:paraId="524144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Удельный расход масла (г/л.с/ч)</w:t>
            </w:r>
          </w:p>
        </w:tc>
        <w:tc>
          <w:tcPr>
            <w:tcW w:w="1601" w:type="dxa"/>
            <w:tcBorders>
              <w:bottom w:val="single" w:sz="12" w:space="0" w:color="auto"/>
            </w:tcBorders>
          </w:tcPr>
          <w:p w14:paraId="2CF62E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01" w:type="dxa"/>
            <w:tcBorders>
              <w:bottom w:val="single" w:sz="12" w:space="0" w:color="auto"/>
            </w:tcBorders>
          </w:tcPr>
          <w:p w14:paraId="7B75B2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01" w:type="dxa"/>
            <w:tcBorders>
              <w:bottom w:val="single" w:sz="12" w:space="0" w:color="auto"/>
            </w:tcBorders>
          </w:tcPr>
          <w:p w14:paraId="6D4F6A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01" w:type="dxa"/>
            <w:tcBorders>
              <w:bottom w:val="single" w:sz="12" w:space="0" w:color="auto"/>
            </w:tcBorders>
          </w:tcPr>
          <w:p w14:paraId="1AB16D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01" w:type="dxa"/>
            <w:tcBorders>
              <w:bottom w:val="single" w:sz="12" w:space="0" w:color="auto"/>
            </w:tcBorders>
          </w:tcPr>
          <w:p w14:paraId="23CC16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c>
          <w:tcPr>
            <w:tcW w:w="1601" w:type="dxa"/>
            <w:tcBorders>
              <w:bottom w:val="single" w:sz="12" w:space="0" w:color="auto"/>
            </w:tcBorders>
          </w:tcPr>
          <w:p w14:paraId="677986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w:t>
            </w:r>
          </w:p>
        </w:tc>
      </w:tr>
    </w:tbl>
    <w:p w14:paraId="60B531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(11969).</w:t>
      </w:r>
    </w:p>
    <w:p w14:paraId="2230453D" w14:textId="77777777" w:rsidR="00D4105E" w:rsidRPr="00E14102" w:rsidRDefault="00D4105E" w:rsidP="00E14102">
      <w:pPr>
        <w:autoSpaceDE w:val="0"/>
        <w:autoSpaceDN w:val="0"/>
        <w:adjustRightInd w:val="0"/>
        <w:jc w:val="both"/>
        <w:rPr>
          <w:color w:val="000000" w:themeColor="text1"/>
          <w:sz w:val="16"/>
          <w:szCs w:val="16"/>
        </w:rPr>
      </w:pPr>
    </w:p>
    <w:p w14:paraId="30DD03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техническое руководство авиазавода №20 внимательно изучало описание процесса изготовления литейных форм, выпоров и литников на заводе "Райт". Кстати сказать, к 1940 г. американская технология изготовления выпоров и литья поршневых колец на советских моторных заводах была освоена. Помимо технологии литейного дела на заводе "Райт", советские инженеры в середине 30-х годов изучали производство масляных фильтров на фабрике "Куно Инжиниринг Корпорейшен" (Меридек, Коннектикут), отдельных узлов мотора "Райт-Циклон" на заводе "Уиллокс-Рич" (Бэти-Крик, Мичиган), методику испытаний бензиновых помп на заводе "Ромек" (Патерсон), модельное дело на заводе "Райт", а так же вопросы технического нормирования и организации труда, а так же ряд других технологических проблем. Материалы заграничного опыта считались крайне ценной информацией, поэтому доклады инженеров, вернувшихся из заокеанских командировок, обычно получали пометки "Данные этого доклада не цитировать в печати, доклад не давать для ознакомления иностранным специалистам, брать с сотрудников подписку о соблюдении настоящих правил." (11507).</w:t>
      </w:r>
    </w:p>
    <w:p w14:paraId="29E8F7F1" w14:textId="77777777" w:rsidR="00D4105E" w:rsidRPr="00E14102" w:rsidRDefault="00D4105E" w:rsidP="00E14102">
      <w:pPr>
        <w:autoSpaceDE w:val="0"/>
        <w:autoSpaceDN w:val="0"/>
        <w:adjustRightInd w:val="0"/>
        <w:jc w:val="both"/>
        <w:rPr>
          <w:color w:val="000000" w:themeColor="text1"/>
          <w:sz w:val="16"/>
          <w:szCs w:val="16"/>
        </w:rPr>
      </w:pPr>
    </w:p>
    <w:p w14:paraId="697CB2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в НИИ ВВС на одну машину установили купленный в США турбокомпрессор «Дженерал электрик». Нагнетатель предназначался для «Либерти» и подогнать его к М-5 не составило особой проблемы. В этой работе участвовали сотрудники НИИ ВВС и ЦИАМ, руководил ей военный инженер Павлючук.</w:t>
      </w:r>
    </w:p>
    <w:p w14:paraId="6FCBD8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Турбонагнетатель прикрепили к подмоторной раме. Обшивку фюзеляжа у выхлопных патрубков прикрыли стальным листом с асбестовой прокладкой. Пришлось также внести изменения в капотирование. Вес мотоустановки увеличился на 60 кг.</w:t>
      </w:r>
    </w:p>
    <w:p w14:paraId="7A3933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Первый полет Р-1 с турбонаддувом состоялся 23 июля 1935 г. Пилотировал машину летчик Каверин, а в кабине летнаба сидел Павлючук. После посадки пилот выключил зажигание, но двигатель не остановился. Попробовали включить зажигание вновь — начался пожар в нагнетателе; но когда Каверин прибавил обороты, огонь потух.</w:t>
      </w:r>
    </w:p>
    <w:p w14:paraId="7F81E7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дальнейших полетах таких неприятностей уже не встретили. Выявили только чрезмерный выброс масла из пошипников турбокомпрессора. Всего до 21 октября летчики Каверин, Уроничев и Долгов совершили 17 полетов с различными летнабами. Опыт знакомства с американским устройством позже использовали при разработке первых отечественных турбонагнетателей (11923).</w:t>
      </w:r>
    </w:p>
    <w:p w14:paraId="358B680C" w14:textId="77777777" w:rsidR="00D4105E" w:rsidRPr="00E14102" w:rsidRDefault="00D4105E" w:rsidP="00E14102">
      <w:pPr>
        <w:autoSpaceDE w:val="0"/>
        <w:autoSpaceDN w:val="0"/>
        <w:adjustRightInd w:val="0"/>
        <w:jc w:val="both"/>
        <w:rPr>
          <w:color w:val="000000" w:themeColor="text1"/>
          <w:sz w:val="16"/>
          <w:szCs w:val="16"/>
        </w:rPr>
      </w:pPr>
    </w:p>
    <w:p w14:paraId="402376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было принято решение об организации на заводе № 149 (Завод № 149 НКТП, НКОП /г. Иркутск/) производства моторов М-25. Ввод в строй был намечен на 1937 г., проектная мощность - 6 тыс. моторов в год. К 1936 г. завод вошел в состав моторного треста ГУАП НКТП, в 12.1936 г. передан в 1ГУ НКОП." Вскоре был переименован в завод № 19бис (на 12.1938 г. числился в списках предприятий НКОП как завод № 149</w:t>
      </w:r>
      <w:r w:rsidRPr="00E14102">
        <w:rPr>
          <w:color w:val="000000" w:themeColor="text1"/>
          <w:sz w:val="16"/>
          <w:szCs w:val="16"/>
          <w:vertAlign w:val="superscript"/>
        </w:rPr>
        <w:t>139</w:t>
      </w:r>
      <w:r w:rsidRPr="00E14102">
        <w:rPr>
          <w:color w:val="000000" w:themeColor="text1"/>
          <w:sz w:val="16"/>
          <w:szCs w:val="16"/>
        </w:rPr>
        <w:t>). В небольших количествах выпускал моторы (11982).</w:t>
      </w:r>
    </w:p>
    <w:p w14:paraId="2B895DB7" w14:textId="77777777" w:rsidR="00D4105E" w:rsidRPr="00E14102" w:rsidRDefault="00D4105E" w:rsidP="00E14102">
      <w:pPr>
        <w:autoSpaceDE w:val="0"/>
        <w:autoSpaceDN w:val="0"/>
        <w:adjustRightInd w:val="0"/>
        <w:jc w:val="both"/>
        <w:rPr>
          <w:color w:val="000000" w:themeColor="text1"/>
          <w:sz w:val="16"/>
          <w:szCs w:val="16"/>
        </w:rPr>
      </w:pPr>
    </w:p>
    <w:p w14:paraId="4FDD0D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по инициативе Л. Б. Евангулова на моторостроительном факультете МАИ был организован отдел проектирования и изготовления гидротормозов для испытания авиационных моторов, до этого ввозимых из-за рубежа. Силами этого отдела в МАИ успешно освоено производство нескольких типов гидротормозов для испытания быстроходных авиационных и автотракторных двигателей. В 1937 г. отдел гидротормозов реорганизован в специальное техническое бюро, а в 1938 г. на его базе создан завод специального оборудования, выпускавший оборудования для моторных заводов. Для учебных целей по инициативе ученых, инженеров, техников и рабочих моторного факультета (и в первую очередь моторной лаборатории) на факультете был организован музей авиадвигателей. Моторная лаборатория предложила Главному управлению авиационной промышленности несколько интересных тем и, получив поддержку Наркомата, приступила к их выполнению. Темы были следующие: гаситель пламени во всасывающем патрубке двигателя М-34, авиационный паровой двигатель, авиадвигатель со сверхвысоким наддувом (до 4 атм). Непосредственными исполнителями этих тем были Ф. Н. Ветров, Г. Н. Чиликиди, И. С. Кормилицын, И. П. Емелик, В. И. Тарасов, В. Н. Дорофеев, М. А. Попов и А. Крюков. Научный руководитель — профессор А. В. Квасников. Работы велись на протяжении нескольких лет и имели большое значение для развития факультета. Разработанные в МАИ гасители пламени для всасывающих патрубков авиадвигателей (авторы Ф. Н. Ветров, И. С. Кормилицын, Г. Н. Чиликиди) выпускались большими сериями и широко эксплуатировались. На моторостроительном факультете была выполнена интересная НИР по утилизации энергии продуктов сгорания авиационных моторов. Утилизация тепловой энергии двигателя осуществлялась дожиганием его выхлопных газов с установкой на выхлопе газовой турбины, паротурбоком-прессора и реактивных патрубков. Работы по дожиганию продуктов сгорания (реактивный выхлоп, реактивный радиатор) А. В. Квасникова и И. С. Кормилицына нашли практическое применение в авиационной промышленности. Кафедрой «Теория двигателей» выполнена большая научная работа по повышению температуры охлаждающей жидкости двигателей водяного охлаждения (до 170—175°С). Доказана возможность создания системы охлаждения с образованием пара непосредственно в рубашке охлаждения двигателя. Моторный факультет МАИ достиг больших успехов в области создания авиадвигателей. В 1935—1936 гг. группой студентов под руководством В. И. Тарасова был разработан легкий двигатель для установки на самолете «Октябренок». За основу конструкции двигателя взят мотор «Кейль». Двигатель — двухцилиндровый, воздушного охлаждения, массой 20 кг и мощностью 20 л.с. при скорости вращения 4500 об/мин, изготовлен полностью в УПМ института. Испытания показали, что мотор развивает расчетную мощность, но т.к. к сроку двигатель не был доведен, на самолет его не ставили. Тем не менее создание такого авиадвигателя явилось большим достижением студенческого КБ (12075).</w:t>
      </w:r>
    </w:p>
    <w:p w14:paraId="6E62514E" w14:textId="77777777" w:rsidR="00D4105E" w:rsidRPr="00E14102" w:rsidRDefault="00D4105E" w:rsidP="00E14102">
      <w:pPr>
        <w:autoSpaceDE w:val="0"/>
        <w:autoSpaceDN w:val="0"/>
        <w:adjustRightInd w:val="0"/>
        <w:jc w:val="both"/>
        <w:rPr>
          <w:color w:val="000000" w:themeColor="text1"/>
          <w:sz w:val="16"/>
          <w:szCs w:val="16"/>
        </w:rPr>
      </w:pPr>
    </w:p>
    <w:p w14:paraId="4CD604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были разработаны первые серии самолетных переговорных устройств на три и восемь рабочих мест (СПУ-3 и СПУ-8). Необходимость устройств для связи на самолетах, в танках и в долговре менных фортификационных сооружениях укрепленных районов потребовала проведения в Военной лаборатории исследовательских работ в области телефон ной связи в условиях повышенных шумов. С этой целью к работам лаборатории Эльсниц привлек Акустический отдел Отраслевой телефонной лаборатории и организовал вначале изучение физической сущности шумов самолета. Для этого с помощью инженера Л.А. Варшавского и его сотрудников И.М. Литвака, М.Я.Гольдина, И.Л. Галунова и др. были проведены исследования шумов самолетов сначала на аэродроме в Детском Селе, а затем в более широком масштабе на аэ родроме НИИ ВВС под Москвой. Изучив шумы самолетов и их влияние на пере дачу речи по телефону, сотрудники Военной лаборатории изготовили несколько пробных конструкций телефонных переговорных устройств для связи внутри самолета, а также для связи самолета с землей и самолета с самолетом по радио. На основе этих работ к 1935 г. была разработана, изготовлена и установлена на известном в то время самолете «Максим Горький» самолетная АТС на шестнадцать номеров. Она работала на нем вплоть до трагической гибели самолета. В дальнейшем разработки по теле фонированию в условиях больших шумов были переданы в Акустический отдел Отраслевой телефонной лаборатории. Здесь Эльсниц вместе с инженером Вар шавским и конструктором В.Г. Евгеньевым занимался разработкой танкового переговорного устройства (ТПУ) (Архив ВИМАИВиВС, ф. 57р, оп. 1, д. 12, л. 21.) (11870).</w:t>
      </w:r>
    </w:p>
    <w:p w14:paraId="497DB3D1" w14:textId="77777777" w:rsidR="00D4105E" w:rsidRPr="00E14102" w:rsidRDefault="00D4105E" w:rsidP="00E14102">
      <w:pPr>
        <w:autoSpaceDE w:val="0"/>
        <w:autoSpaceDN w:val="0"/>
        <w:adjustRightInd w:val="0"/>
        <w:jc w:val="both"/>
        <w:rPr>
          <w:color w:val="000000" w:themeColor="text1"/>
          <w:sz w:val="16"/>
          <w:szCs w:val="16"/>
        </w:rPr>
      </w:pPr>
    </w:p>
    <w:p w14:paraId="76682C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когда строительство завода в Иваньково только начиналось, его расоложение на берегу водохранилища казалось очень выгодным. НКВД преддлагал для строительства вонтингенты, занятые на строительстве канала Москва-Волга. К 1938 ситуация с заводом в Иваньково складывалась ьезрадостно. Завод уже существовал, а железнодорожная станция оказалась на другом берегу Волги. В роли заготовительного цеха предприятия было решено использовать Савеловский завод (впоследствии — завод № 31), но расстояние до него составляло 17 км, что ставило на повестку дня организацию «внутризаводского» транспорта. Наибольшее беспокойство вызывал тот факт, та) главный корпус завода № 30 оказался выстроен ниже уровня «Московского моря», поэтому прорыв дамбы грозил затоплением предприятия. Тем не менее, деньги были уже потрачены, капитальные строения вчерне заверше</w:t>
      </w:r>
      <w:r w:rsidRPr="00E14102">
        <w:rPr>
          <w:color w:val="000000" w:themeColor="text1"/>
          <w:sz w:val="16"/>
          <w:szCs w:val="16"/>
        </w:rPr>
        <w:softHyphen/>
        <w:t>ны, поэтому строительство завода было решено продолжать. 25 сентября 1938 г. КО обязал НКОП форсировать строитель</w:t>
      </w:r>
      <w:r w:rsidRPr="00E14102">
        <w:rPr>
          <w:color w:val="000000" w:themeColor="text1"/>
          <w:sz w:val="16"/>
          <w:szCs w:val="16"/>
        </w:rPr>
        <w:softHyphen/>
        <w:t>ство завода № 30 таким образом, чтобы 13 900 м</w:t>
      </w:r>
      <w:r w:rsidRPr="00E14102">
        <w:rPr>
          <w:color w:val="000000" w:themeColor="text1"/>
          <w:sz w:val="16"/>
          <w:szCs w:val="16"/>
          <w:vertAlign w:val="superscript"/>
        </w:rPr>
        <w:t>2</w:t>
      </w:r>
      <w:r w:rsidRPr="00E14102">
        <w:rPr>
          <w:color w:val="000000" w:themeColor="text1"/>
          <w:sz w:val="16"/>
          <w:szCs w:val="16"/>
        </w:rPr>
        <w:t xml:space="preserve"> производ</w:t>
      </w:r>
      <w:r w:rsidRPr="00E14102">
        <w:rPr>
          <w:color w:val="000000" w:themeColor="text1"/>
          <w:sz w:val="16"/>
          <w:szCs w:val="16"/>
        </w:rPr>
        <w:softHyphen/>
        <w:t>ственной площади были сданы в эксплуатацию в IV квартале 1938 г., 10 900 м</w:t>
      </w:r>
      <w:r w:rsidRPr="00E14102">
        <w:rPr>
          <w:color w:val="000000" w:themeColor="text1"/>
          <w:sz w:val="16"/>
          <w:szCs w:val="16"/>
          <w:vertAlign w:val="superscript"/>
        </w:rPr>
        <w:t>2</w:t>
      </w:r>
      <w:r w:rsidRPr="00E14102">
        <w:rPr>
          <w:color w:val="000000" w:themeColor="text1"/>
          <w:sz w:val="16"/>
          <w:szCs w:val="16"/>
        </w:rPr>
        <w:t>—в I квартале 1939 г. и 3000 м</w:t>
      </w:r>
      <w:r w:rsidRPr="00E14102">
        <w:rPr>
          <w:color w:val="000000" w:themeColor="text1"/>
          <w:sz w:val="16"/>
          <w:szCs w:val="16"/>
          <w:vertAlign w:val="superscript"/>
        </w:rPr>
        <w:t>2</w:t>
      </w:r>
      <w:r w:rsidRPr="00E14102">
        <w:rPr>
          <w:color w:val="000000" w:themeColor="text1"/>
          <w:sz w:val="16"/>
          <w:szCs w:val="16"/>
        </w:rPr>
        <w:t>—в Ш квар</w:t>
      </w:r>
      <w:r w:rsidRPr="00E14102">
        <w:rPr>
          <w:color w:val="000000" w:themeColor="text1"/>
          <w:sz w:val="16"/>
          <w:szCs w:val="16"/>
        </w:rPr>
        <w:softHyphen/>
        <w:t xml:space="preserve">тале 1939 г. (ГА РФ. Ф. 8418. Он. 22. Д. 625. Л. 2). Согласно проекту завода, практически </w:t>
      </w:r>
      <w:r w:rsidRPr="00E14102">
        <w:rPr>
          <w:color w:val="000000" w:themeColor="text1"/>
          <w:sz w:val="16"/>
          <w:szCs w:val="16"/>
        </w:rPr>
        <w:lastRenderedPageBreak/>
        <w:t>все основные и вспомогательные производства (за исключением кузницы) должны были быть сосредоточены в едином Главном кор</w:t>
      </w:r>
      <w:r w:rsidRPr="00E14102">
        <w:rPr>
          <w:color w:val="000000" w:themeColor="text1"/>
          <w:sz w:val="16"/>
          <w:szCs w:val="16"/>
        </w:rPr>
        <w:softHyphen/>
        <w:t>пусе производственной площадью 17 000 м</w:t>
      </w:r>
      <w:r w:rsidRPr="00E14102">
        <w:rPr>
          <w:color w:val="000000" w:themeColor="text1"/>
          <w:sz w:val="16"/>
          <w:szCs w:val="16"/>
          <w:vertAlign w:val="superscript"/>
        </w:rPr>
        <w:t>2</w:t>
      </w:r>
      <w:r w:rsidRPr="00E14102">
        <w:rPr>
          <w:color w:val="000000" w:themeColor="text1"/>
          <w:sz w:val="16"/>
          <w:szCs w:val="16"/>
        </w:rPr>
        <w:t>. К сожалению, строительство этого здания превратилось в типичный долго</w:t>
      </w:r>
      <w:r w:rsidRPr="00E14102">
        <w:rPr>
          <w:color w:val="000000" w:themeColor="text1"/>
          <w:sz w:val="16"/>
          <w:szCs w:val="16"/>
        </w:rPr>
        <w:softHyphen/>
        <w:t>строй — даже к 1941 г. стройка не была завершена. Соот</w:t>
      </w:r>
      <w:r w:rsidRPr="00E14102">
        <w:rPr>
          <w:color w:val="000000" w:themeColor="text1"/>
          <w:sz w:val="16"/>
          <w:szCs w:val="16"/>
        </w:rPr>
        <w:softHyphen/>
        <w:t xml:space="preserve">ветственно, все цеха завода были вынуждены работать в условиях перманентной достройки. Вторым «узким местом» завода стала постоянная нехватка станков. Даже к 1941 г. на заводе находилось лишь 202 металлорежущих станка (из них 45 — импортные), чего явно не хватало для крупносерийного производства (РГАЭ. Ф. 8044. </w:t>
      </w:r>
      <w:r w:rsidRPr="00E14102">
        <w:rPr>
          <w:color w:val="000000" w:themeColor="text1"/>
          <w:sz w:val="16"/>
          <w:szCs w:val="16"/>
          <w:lang w:val="en-US"/>
        </w:rPr>
        <w:t>On</w:t>
      </w:r>
      <w:r w:rsidRPr="00E14102">
        <w:rPr>
          <w:color w:val="000000" w:themeColor="text1"/>
          <w:sz w:val="16"/>
          <w:szCs w:val="16"/>
        </w:rPr>
        <w:t xml:space="preserve">. 1. Д. 684. Л. 165). Тем не менее, в 1941 г. завод наконец получил задание на серийное производство гидросамолётов МДР-6. На предприятие было доставлено 7 комплектов оснастки, но из-за нехватки места удалось смонтировать только 4 (РГАЭ. Ф. 8044. </w:t>
      </w:r>
      <w:r w:rsidRPr="00E14102">
        <w:rPr>
          <w:color w:val="000000" w:themeColor="text1"/>
          <w:sz w:val="16"/>
          <w:szCs w:val="16"/>
          <w:lang w:val="en-US"/>
        </w:rPr>
        <w:t>On</w:t>
      </w:r>
      <w:r w:rsidRPr="00E14102">
        <w:rPr>
          <w:color w:val="000000" w:themeColor="text1"/>
          <w:sz w:val="16"/>
          <w:szCs w:val="16"/>
        </w:rPr>
        <w:t>. 1. Д. 684. Л. 166). Крайне тяжёлым было положение с персоналом. Значительная часть работников, в том числе и главный инженер завода, изъявляли желание покинуть предприятие и были вынуждены остаться только под административным давлением. Характерной являлась картина агрегатно-сборочного цеха. В этом цехе работало 204 человека, из них 95 были учениками, 3 имели I разряд по тарифной сетке, 71 — II, 22 —Ш, 12 — IV и 1 —V разряд. Рабочих высших, VI—VIII разрядов, в цехе не было вовсе. Большинство рабочих цеха были новичками на заводе — 14 человек работали с 1939 г., 58 — с 1940-го, а остальные 132 пришли на завод только в 1941 г. Если учесть, что приведённые данные датированы 3 марта 1941 г., получа</w:t>
      </w:r>
      <w:r w:rsidRPr="00E14102">
        <w:rPr>
          <w:color w:val="000000" w:themeColor="text1"/>
          <w:sz w:val="16"/>
          <w:szCs w:val="16"/>
        </w:rPr>
        <w:softHyphen/>
        <w:t>ется, что подавляющее большинство персонала предприятия работало на заводе 1—2 месяца (12011).</w:t>
      </w:r>
    </w:p>
    <w:p w14:paraId="157C05DF" w14:textId="77777777" w:rsidR="00D4105E" w:rsidRPr="00E14102" w:rsidRDefault="00D4105E" w:rsidP="00E14102">
      <w:pPr>
        <w:autoSpaceDE w:val="0"/>
        <w:autoSpaceDN w:val="0"/>
        <w:adjustRightInd w:val="0"/>
        <w:jc w:val="both"/>
        <w:rPr>
          <w:color w:val="000000" w:themeColor="text1"/>
          <w:sz w:val="16"/>
          <w:szCs w:val="16"/>
        </w:rPr>
      </w:pPr>
    </w:p>
    <w:p w14:paraId="51F9F4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1935 г. В.В. Никитин работал при Московском авиатехникуме (до этого- в КБ при заводе № 23). В 1938 г. здесь образовано ОКБ-30. По приказу № 385с от 26.11.1939 г. передано в 11ГУ НКАП. По приказу НКАП № 106с от 5.03.1940 г. ОКБ-30 предоставлена производственная база на заводе № 156. Разработка экспериментального «складного истребителя» ИС-1 (первый полет 29.05.1940 г.).</w:t>
      </w:r>
    </w:p>
    <w:p w14:paraId="7D1798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приказу НКАП № 411с от 5.05.1941 г. в связи с прекращением работ по экспериментальному самолету группа конструкторов (13 чел.) из ОКБ-30 НКАП во главе с В.В. Никитиным переведена во вновь образованное КБ завода № 26 НКАП. Никитин назначен гл. конструктором КБ по созданию стандартных винтомоторных групп.</w:t>
      </w:r>
    </w:p>
    <w:p w14:paraId="0D3184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приказу № 459с от 20.05.1941 г. ОКБ ликвидировано. Личный состав во главе с Шевченко, а также все помещения и оборудование ОКБ, находившиеся на Центральном аэродроме, были переданы в распоряжение ЛИИ для организации ОКБ завода ЛИИ. Шевченко затем снова работал лётчиком-испытателем.</w:t>
      </w:r>
    </w:p>
    <w:p w14:paraId="3FAAFD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1942 г. Никитин работал гл. конструктором ремонтных мастерских в Москве, затем (в том же году)- в ЦАГИ. Затем был замом Н.И. Камова.</w:t>
      </w:r>
    </w:p>
    <w:p w14:paraId="1DD327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конструктор (-1941 г.)- В.В. Шевченко.</w:t>
      </w:r>
    </w:p>
    <w:p w14:paraId="489F15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гл. конструктора- В.В. Никитин.</w:t>
      </w:r>
    </w:p>
    <w:p w14:paraId="1A14D5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(09.1940-41 г.-)- М.П. Озимков (11982).</w:t>
      </w:r>
    </w:p>
    <w:p w14:paraId="2C451E43" w14:textId="77777777" w:rsidR="00A90F29" w:rsidRPr="00E14102" w:rsidRDefault="00A90F29" w:rsidP="00E14102">
      <w:pPr>
        <w:autoSpaceDE w:val="0"/>
        <w:autoSpaceDN w:val="0"/>
        <w:adjustRightInd w:val="0"/>
        <w:jc w:val="both"/>
        <w:rPr>
          <w:color w:val="000000" w:themeColor="text1"/>
          <w:sz w:val="16"/>
          <w:szCs w:val="16"/>
        </w:rPr>
      </w:pPr>
    </w:p>
    <w:p w14:paraId="72A6C4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было 8 самолетных ОКБ (237,176).</w:t>
      </w:r>
    </w:p>
    <w:p w14:paraId="02C9C258" w14:textId="77777777" w:rsidR="00D4105E" w:rsidRPr="00E14102" w:rsidRDefault="00D4105E" w:rsidP="00E14102">
      <w:pPr>
        <w:autoSpaceDE w:val="0"/>
        <w:autoSpaceDN w:val="0"/>
        <w:adjustRightInd w:val="0"/>
        <w:jc w:val="both"/>
        <w:rPr>
          <w:color w:val="000000" w:themeColor="text1"/>
          <w:sz w:val="16"/>
          <w:szCs w:val="16"/>
        </w:rPr>
      </w:pPr>
    </w:p>
    <w:p w14:paraId="113167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И.Ф.Петров вышел в Правительство с предложением о создании в НИИ ВВС комплексных испытательных "сквозных бригад" по каждому самолету в составе: ведущий л-и, ведущий инженер по мотору, ведущий инженер по оборудованию, в-и по вооружению. Бригада должна была вести машину начиная от ТТТ. Приняли (262,37).</w:t>
      </w:r>
    </w:p>
    <w:p w14:paraId="2F5BDEC3" w14:textId="77777777" w:rsidR="00D4105E" w:rsidRPr="00E14102" w:rsidRDefault="00D4105E" w:rsidP="00E14102">
      <w:pPr>
        <w:autoSpaceDE w:val="0"/>
        <w:autoSpaceDN w:val="0"/>
        <w:adjustRightInd w:val="0"/>
        <w:jc w:val="both"/>
        <w:rPr>
          <w:color w:val="000000" w:themeColor="text1"/>
          <w:sz w:val="16"/>
          <w:szCs w:val="16"/>
        </w:rPr>
      </w:pPr>
    </w:p>
    <w:p w14:paraId="727D99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началось проектирование специального испытательного аэродрома для ЦАГИ в Раменском (173,312).</w:t>
      </w:r>
    </w:p>
    <w:p w14:paraId="577F924B" w14:textId="77777777" w:rsidR="00D4105E" w:rsidRPr="00E14102" w:rsidRDefault="00D4105E" w:rsidP="00E14102">
      <w:pPr>
        <w:autoSpaceDE w:val="0"/>
        <w:autoSpaceDN w:val="0"/>
        <w:adjustRightInd w:val="0"/>
        <w:jc w:val="both"/>
        <w:rPr>
          <w:color w:val="000000" w:themeColor="text1"/>
          <w:sz w:val="16"/>
          <w:szCs w:val="16"/>
        </w:rPr>
      </w:pPr>
    </w:p>
    <w:p w14:paraId="541C2EB9" w14:textId="77777777" w:rsidR="00D4105E" w:rsidRPr="00E14102" w:rsidRDefault="00D4105E" w:rsidP="00E14102">
      <w:pPr>
        <w:jc w:val="both"/>
        <w:rPr>
          <w:color w:val="000000" w:themeColor="text1"/>
          <w:sz w:val="16"/>
          <w:szCs w:val="16"/>
        </w:rPr>
      </w:pPr>
      <w:r w:rsidRPr="00E14102">
        <w:rPr>
          <w:color w:val="000000" w:themeColor="text1"/>
          <w:sz w:val="16"/>
          <w:szCs w:val="16"/>
        </w:rPr>
        <w:t>В 1935 г. в хабаровске было начато строительство завода (Завод № 83 им. М. Горького ГУ ГВФ, НКОП, НКАП, Завод им. Горького /680052  г. Хабаровск/) для ремонта и сборки различных двигателей, в этом же году отремонтирован первый двигатель. К 1936 г. завод передан из ГУ ГВФ в состав подсобного треста ГУАП НКТП, в 12.1936 г. передан в ведение 1ГУ НКОП (и на 12.1938 г.). В 12.1940 г. завод передан из 6ГУ в 1ГУ НКАП.</w:t>
      </w:r>
    </w:p>
    <w:p w14:paraId="583943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приказу № 905с от 25.08.1941 г. завод № 83 передан в подчинение заводу № 126 НКАП в качестве филиала с передачей из 1 ГУ в 9ГУ. Начальником филиала/ зам. директора завода № 126 назначен Муратов.</w:t>
      </w:r>
    </w:p>
    <w:p w14:paraId="27D10D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оперения, моторам, стоек шасси и др. деталей для ДБ-3 и ДБ-ЗФ (1941-42 г.). На 1941 г. заводу утвержден план по выпуску 50 Як-3.</w:t>
      </w:r>
      <w:r w:rsidRPr="00E14102">
        <w:rPr>
          <w:color w:val="000000" w:themeColor="text1"/>
          <w:sz w:val="16"/>
          <w:szCs w:val="16"/>
          <w:vertAlign w:val="superscript"/>
        </w:rPr>
        <w:t>144</w:t>
      </w:r>
    </w:p>
    <w:p w14:paraId="19F615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приказу НКАП № 745с от 4.10.1942 г. филиал был вновь выделен в самостоятельный ГС завод № 83 ЮГУ НКАП для производства агрегатов к Ил-4. Производство элеронов, посадочных щитков, рулей, законцовок крыла, створок бомболюка велось по 1945 г. В годы войны собирал также грузовики «Студебеккер» и «Додж», поставляемые по ленд-лизу.</w:t>
      </w:r>
    </w:p>
    <w:p w14:paraId="10B448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годы войны производственные площади увеличены с 11,5 тыс. м</w:t>
      </w:r>
      <w:r w:rsidRPr="00E14102">
        <w:rPr>
          <w:color w:val="000000" w:themeColor="text1"/>
          <w:sz w:val="16"/>
          <w:szCs w:val="16"/>
          <w:vertAlign w:val="superscript"/>
        </w:rPr>
        <w:t>2</w:t>
      </w:r>
      <w:r w:rsidRPr="00E14102">
        <w:rPr>
          <w:color w:val="000000" w:themeColor="text1"/>
          <w:sz w:val="16"/>
          <w:szCs w:val="16"/>
        </w:rPr>
        <w:t xml:space="preserve"> до 17,5 тыс. м</w:t>
      </w:r>
      <w:r w:rsidRPr="00E14102">
        <w:rPr>
          <w:color w:val="000000" w:themeColor="text1"/>
          <w:sz w:val="16"/>
          <w:szCs w:val="16"/>
          <w:vertAlign w:val="superscript"/>
        </w:rPr>
        <w:t>2</w:t>
      </w:r>
      <w:r w:rsidRPr="00E14102">
        <w:rPr>
          <w:color w:val="000000" w:themeColor="text1"/>
          <w:sz w:val="16"/>
          <w:szCs w:val="16"/>
        </w:rPr>
        <w:t>, число рабочих увеличилось с 822 чел. До 2088 чел. Введены в строй литейный, кузнечный, деревоотделочный, электролитический цеха, установка для производства карбида кальция, газогенераторная и ацетиленовая станции.</w:t>
      </w:r>
      <w:r w:rsidRPr="00E14102">
        <w:rPr>
          <w:color w:val="000000" w:themeColor="text1"/>
          <w:sz w:val="16"/>
          <w:szCs w:val="16"/>
          <w:vertAlign w:val="superscript"/>
        </w:rPr>
        <w:t>90</w:t>
      </w:r>
    </w:p>
    <w:p w14:paraId="6F5A4F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приказу № 0260/ 442с от 13.11.1945 г. завод № 83 со всем имуществом и личным составом передан в ведение ГУ ГВФ. В 1946 г. завод был передан в ведение МСП (и, возможно, получил № 19).</w:t>
      </w:r>
    </w:p>
    <w:p w14:paraId="76A2BF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Количество оборудования: (11.1940 г.)-100 металлорежущих станков.</w:t>
      </w:r>
    </w:p>
    <w:p w14:paraId="5C999E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(11.03.1937-2.02.1938 г.)- И. Г. Мельник (снят), (2.02.1938 г.-&gt; П.П. Сотник, (1940 г.)- Прокофьев, (- 1941-44 г.-)- Муратов. И.О. директора (1945 г.)- Климов.</w:t>
      </w:r>
    </w:p>
    <w:p w14:paraId="0C5A62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директора (06.1937 г.)- А.С. Попович.</w:t>
      </w:r>
    </w:p>
    <w:p w14:paraId="027E34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(-06.1937-10.07.1938 г.)- А.С. Попович, (10.07.1938 г.-)- Н.И. Рыбин,</w:t>
      </w:r>
      <w:r w:rsidRPr="00E14102">
        <w:rPr>
          <w:color w:val="000000" w:themeColor="text1"/>
          <w:sz w:val="16"/>
          <w:szCs w:val="16"/>
          <w:vertAlign w:val="superscript"/>
        </w:rPr>
        <w:t>139</w:t>
      </w:r>
      <w:r w:rsidRPr="00E14102">
        <w:rPr>
          <w:color w:val="000000" w:themeColor="text1"/>
          <w:sz w:val="16"/>
          <w:szCs w:val="16"/>
        </w:rPr>
        <w:t xml:space="preserve"> В.М. Чинак (завод им. Горького) (11982).</w:t>
      </w:r>
    </w:p>
    <w:p w14:paraId="3EB8C012" w14:textId="77777777" w:rsidR="00D4105E" w:rsidRPr="00E14102" w:rsidRDefault="00D4105E" w:rsidP="00E14102">
      <w:pPr>
        <w:autoSpaceDE w:val="0"/>
        <w:autoSpaceDN w:val="0"/>
        <w:adjustRightInd w:val="0"/>
        <w:jc w:val="both"/>
        <w:rPr>
          <w:color w:val="000000" w:themeColor="text1"/>
          <w:sz w:val="16"/>
          <w:szCs w:val="16"/>
        </w:rPr>
      </w:pPr>
    </w:p>
    <w:p w14:paraId="50AD54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Первые системы радиомаячка и радиополукомпаса испытывали в 1935. В серию не пошли (172,26).</w:t>
      </w:r>
    </w:p>
    <w:p w14:paraId="249CDF4D" w14:textId="77777777" w:rsidR="00D4105E" w:rsidRPr="00E14102" w:rsidRDefault="00D4105E" w:rsidP="00E14102">
      <w:pPr>
        <w:autoSpaceDE w:val="0"/>
        <w:autoSpaceDN w:val="0"/>
        <w:adjustRightInd w:val="0"/>
        <w:jc w:val="both"/>
        <w:rPr>
          <w:color w:val="000000" w:themeColor="text1"/>
          <w:sz w:val="16"/>
          <w:szCs w:val="16"/>
        </w:rPr>
      </w:pPr>
    </w:p>
    <w:p w14:paraId="312F57FA" w14:textId="77777777" w:rsidR="004428EE" w:rsidRPr="00E14102" w:rsidRDefault="004428EE" w:rsidP="00E14102">
      <w:pPr>
        <w:jc w:val="both"/>
        <w:rPr>
          <w:color w:val="000000" w:themeColor="text1"/>
          <w:sz w:val="16"/>
          <w:szCs w:val="16"/>
        </w:rPr>
      </w:pPr>
      <w:r w:rsidRPr="00E14102">
        <w:rPr>
          <w:color w:val="000000" w:themeColor="text1"/>
          <w:sz w:val="16"/>
          <w:szCs w:val="16"/>
        </w:rPr>
        <w:t>В 1935 году в системе 3-2 на ТБ-3 устанавливали три истребителя И-5 (один на фюзеляже). Затем под этот же ТБ-3 в до</w:t>
      </w:r>
      <w:r w:rsidRPr="00E14102">
        <w:rPr>
          <w:color w:val="000000" w:themeColor="text1"/>
          <w:sz w:val="16"/>
          <w:szCs w:val="16"/>
        </w:rPr>
        <w:softHyphen/>
        <w:t>полнение к двум верхним И-5 добавили два подкрыльсвых И-16 и один И-ЗЕТ, который подцеплялся к бомбовозу в воздухе. Дико</w:t>
      </w:r>
      <w:r w:rsidRPr="00E14102">
        <w:rPr>
          <w:color w:val="000000" w:themeColor="text1"/>
          <w:sz w:val="16"/>
          <w:szCs w:val="16"/>
        </w:rPr>
        <w:softHyphen/>
        <w:t>винная воздушная этажерка получила наи</w:t>
      </w:r>
      <w:r w:rsidRPr="00E14102">
        <w:rPr>
          <w:color w:val="000000" w:themeColor="text1"/>
          <w:sz w:val="16"/>
          <w:szCs w:val="16"/>
        </w:rPr>
        <w:softHyphen/>
        <w:t>менование «Авиаматка ПВО» (А-М). Другое ее обозначение указывалось более академич</w:t>
      </w:r>
      <w:r w:rsidRPr="00E14102">
        <w:rPr>
          <w:color w:val="000000" w:themeColor="text1"/>
          <w:sz w:val="16"/>
          <w:szCs w:val="16"/>
        </w:rPr>
        <w:softHyphen/>
        <w:t>но: ТБ-3 4М-17 + 2И-5 + 2И-16 + И-ЗЕТ.</w:t>
      </w:r>
    </w:p>
    <w:p w14:paraId="004EE4D8" w14:textId="77777777" w:rsidR="004428EE" w:rsidRPr="00E14102" w:rsidRDefault="004428EE" w:rsidP="00E14102">
      <w:pPr>
        <w:jc w:val="both"/>
        <w:rPr>
          <w:color w:val="000000" w:themeColor="text1"/>
          <w:sz w:val="16"/>
          <w:szCs w:val="16"/>
        </w:rPr>
      </w:pPr>
      <w:r w:rsidRPr="00E14102">
        <w:rPr>
          <w:color w:val="000000" w:themeColor="text1"/>
          <w:sz w:val="16"/>
          <w:szCs w:val="16"/>
        </w:rPr>
        <w:t>А верхний, «фюзеляжный» И-5 без кры</w:t>
      </w:r>
      <w:r w:rsidRPr="00E14102">
        <w:rPr>
          <w:color w:val="000000" w:themeColor="text1"/>
          <w:sz w:val="16"/>
          <w:szCs w:val="16"/>
        </w:rPr>
        <w:softHyphen/>
        <w:t>льев использовали в качестве так называ</w:t>
      </w:r>
      <w:r w:rsidRPr="00E14102">
        <w:rPr>
          <w:color w:val="000000" w:themeColor="text1"/>
          <w:sz w:val="16"/>
          <w:szCs w:val="16"/>
        </w:rPr>
        <w:softHyphen/>
        <w:t>емого «тягача» (дополнительной силовой установки), предназначенного для облегче</w:t>
      </w:r>
      <w:r w:rsidRPr="00E14102">
        <w:rPr>
          <w:color w:val="000000" w:themeColor="text1"/>
          <w:sz w:val="16"/>
          <w:szCs w:val="16"/>
        </w:rPr>
        <w:softHyphen/>
        <w:t>ния взлета тяжело нагруженного бомбовоза. При испытаниях отмечалось, что с «тягачом» потолок ТБ-3 возрос на 350 метров, скоро</w:t>
      </w:r>
      <w:r w:rsidRPr="00E14102">
        <w:rPr>
          <w:color w:val="000000" w:themeColor="text1"/>
          <w:sz w:val="16"/>
          <w:szCs w:val="16"/>
        </w:rPr>
        <w:softHyphen/>
        <w:t>подъемность увеличилась — на 3000 м само</w:t>
      </w:r>
      <w:r w:rsidRPr="00E14102">
        <w:rPr>
          <w:color w:val="000000" w:themeColor="text1"/>
          <w:sz w:val="16"/>
          <w:szCs w:val="16"/>
        </w:rPr>
        <w:softHyphen/>
        <w:t>лет поднимался за 7-8 минут. Полетная ско</w:t>
      </w:r>
      <w:r w:rsidRPr="00E14102">
        <w:rPr>
          <w:color w:val="000000" w:themeColor="text1"/>
          <w:sz w:val="16"/>
          <w:szCs w:val="16"/>
        </w:rPr>
        <w:softHyphen/>
        <w:t>рость возросла на 10 км/ч, разбег при совер</w:t>
      </w:r>
      <w:r w:rsidRPr="00E14102">
        <w:rPr>
          <w:color w:val="000000" w:themeColor="text1"/>
          <w:sz w:val="16"/>
          <w:szCs w:val="16"/>
        </w:rPr>
        <w:softHyphen/>
        <w:t>шении взлета уменьшился на 5 секунд. Од</w:t>
      </w:r>
      <w:r w:rsidRPr="00E14102">
        <w:rPr>
          <w:color w:val="000000" w:themeColor="text1"/>
          <w:sz w:val="16"/>
          <w:szCs w:val="16"/>
        </w:rPr>
        <w:softHyphen/>
        <w:t>нако в итоге признавалось, что дальнейшие опыты с И-5 нецелесообразны, так как уда</w:t>
      </w:r>
      <w:r w:rsidRPr="00E14102">
        <w:rPr>
          <w:color w:val="000000" w:themeColor="text1"/>
          <w:sz w:val="16"/>
          <w:szCs w:val="16"/>
        </w:rPr>
        <w:softHyphen/>
        <w:t>лось добиться крайне незначительного улуч</w:t>
      </w:r>
      <w:r w:rsidRPr="00E14102">
        <w:rPr>
          <w:color w:val="000000" w:themeColor="text1"/>
          <w:sz w:val="16"/>
          <w:szCs w:val="16"/>
        </w:rPr>
        <w:softHyphen/>
        <w:t>шения летных данных.</w:t>
      </w:r>
    </w:p>
    <w:p w14:paraId="6DADEFD5" w14:textId="77777777" w:rsidR="004428EE" w:rsidRPr="00E14102" w:rsidRDefault="004428EE" w:rsidP="00E14102">
      <w:pPr>
        <w:jc w:val="both"/>
        <w:rPr>
          <w:color w:val="000000" w:themeColor="text1"/>
          <w:sz w:val="16"/>
          <w:szCs w:val="16"/>
        </w:rPr>
      </w:pPr>
      <w:r w:rsidRPr="00E14102">
        <w:rPr>
          <w:color w:val="000000" w:themeColor="text1"/>
          <w:sz w:val="16"/>
          <w:szCs w:val="16"/>
        </w:rPr>
        <w:t>На этом использование И-5 в систе</w:t>
      </w:r>
      <w:r w:rsidRPr="00E14102">
        <w:rPr>
          <w:color w:val="000000" w:themeColor="text1"/>
          <w:sz w:val="16"/>
          <w:szCs w:val="16"/>
        </w:rPr>
        <w:softHyphen/>
        <w:t>мах Вахмистрова закончилось. Наибольше</w:t>
      </w:r>
      <w:r w:rsidRPr="00E14102">
        <w:rPr>
          <w:color w:val="000000" w:themeColor="text1"/>
          <w:sz w:val="16"/>
          <w:szCs w:val="16"/>
        </w:rPr>
        <w:softHyphen/>
        <w:t>го успеха воздушного соединения «самолет- звено» удалось добиться при использовании монопланов И-16 (12295).</w:t>
      </w:r>
    </w:p>
    <w:p w14:paraId="44D6B584" w14:textId="77777777" w:rsidR="004428EE" w:rsidRPr="00E14102" w:rsidRDefault="004428EE" w:rsidP="00E14102">
      <w:pPr>
        <w:jc w:val="both"/>
        <w:rPr>
          <w:color w:val="000000" w:themeColor="text1"/>
          <w:sz w:val="16"/>
          <w:szCs w:val="16"/>
        </w:rPr>
      </w:pPr>
    </w:p>
    <w:p w14:paraId="7BFE69D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В1935 г. коллектив Гроховского сдал на снабжение войск универсальную подвеску ПГ-12 для транспортировки на штатных бомбодержателях тяжелого бомбардировщика ТБ-3-4М-34 тяже</w:t>
      </w:r>
      <w:r w:rsidRPr="00E14102">
        <w:rPr>
          <w:color w:val="000000" w:themeColor="text1"/>
          <w:sz w:val="16"/>
          <w:szCs w:val="16"/>
        </w:rPr>
        <w:softHyphen/>
        <w:t>лых грузов в вариантах: автомобиль ГАЗ-А или ГАЗ-А «Пикап», ГАЗ-АА (один или с 45-мм пушкой), две 76-мм полковые пушки, бронеавтомобиль Д-12, плавающий танк Т-37А или Т-38, грузовая платформа. Также он проде</w:t>
      </w:r>
      <w:r w:rsidRPr="00E14102">
        <w:rPr>
          <w:color w:val="000000" w:themeColor="text1"/>
          <w:sz w:val="16"/>
          <w:szCs w:val="16"/>
        </w:rPr>
        <w:softHyphen/>
        <w:t>монстрировал парашют-планер в форме мягкого треугольного крыла, складные крылья «Летучая мышь».</w:t>
      </w:r>
    </w:p>
    <w:p w14:paraId="6A2F0B4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том же году ряд объектов Гроховс</w:t>
      </w:r>
      <w:r w:rsidRPr="00E14102">
        <w:rPr>
          <w:color w:val="000000" w:themeColor="text1"/>
          <w:sz w:val="16"/>
          <w:szCs w:val="16"/>
        </w:rPr>
        <w:softHyphen/>
        <w:t>кого применили в ходе знаменитых Киевских маневров. Для увеличения количества десантников, перебрасы</w:t>
      </w:r>
      <w:r w:rsidRPr="00E14102">
        <w:rPr>
          <w:color w:val="000000" w:themeColor="text1"/>
          <w:sz w:val="16"/>
          <w:szCs w:val="16"/>
        </w:rPr>
        <w:softHyphen/>
        <w:t>ваемых бомбардировщиком, кроме переоборудования бомбоотсеков, испытывали подвесные кабины (бомбардировщики ТБ-3</w:t>
      </w:r>
      <w:r w:rsidRPr="00E14102">
        <w:rPr>
          <w:color w:val="000000" w:themeColor="text1"/>
          <w:sz w:val="16"/>
          <w:szCs w:val="16"/>
          <w:vertAlign w:val="subscript"/>
        </w:rPr>
        <w:t>Г</w:t>
      </w:r>
      <w:r w:rsidRPr="00E14102">
        <w:rPr>
          <w:color w:val="000000" w:themeColor="text1"/>
          <w:sz w:val="16"/>
          <w:szCs w:val="16"/>
        </w:rPr>
        <w:t xml:space="preserve"> приспособ</w:t>
      </w:r>
      <w:r w:rsidRPr="00E14102">
        <w:rPr>
          <w:color w:val="000000" w:themeColor="text1"/>
          <w:sz w:val="16"/>
          <w:szCs w:val="16"/>
        </w:rPr>
        <w:softHyphen/>
        <w:t>ленные для десантирования парашю</w:t>
      </w:r>
      <w:r w:rsidRPr="00E14102">
        <w:rPr>
          <w:color w:val="000000" w:themeColor="text1"/>
          <w:sz w:val="16"/>
          <w:szCs w:val="16"/>
        </w:rPr>
        <w:softHyphen/>
        <w:t>тистов можно увидеть, например, в кинофильме «Если завтра война» 1938 г., а ТБ-1 с подвесными кабина</w:t>
      </w:r>
      <w:r w:rsidRPr="00E14102">
        <w:rPr>
          <w:color w:val="000000" w:themeColor="text1"/>
          <w:sz w:val="16"/>
          <w:szCs w:val="16"/>
        </w:rPr>
        <w:softHyphen/>
        <w:t>ми - в фильме «Танкисты» 1939 г.). Проходили испытания также само</w:t>
      </w:r>
      <w:r w:rsidRPr="00E14102">
        <w:rPr>
          <w:color w:val="000000" w:themeColor="text1"/>
          <w:sz w:val="16"/>
          <w:szCs w:val="16"/>
        </w:rPr>
        <w:softHyphen/>
        <w:t>лет с отделяемой кабиной (грузовой, десантной, санитарной), установка на ТБ-3 трех 76-мм пушек - зенитной и двух полковых.</w:t>
      </w:r>
    </w:p>
    <w:p w14:paraId="29CFDEF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Вообще диапазон работ ОКБ и Экспериментального института был чрезвычайно широк и не всегда отвечал реальным научно-техническим и производственным возможностям, в то же время ряд актуальных тем, на</w:t>
      </w:r>
      <w:r w:rsidRPr="00E14102">
        <w:rPr>
          <w:color w:val="000000" w:themeColor="text1"/>
          <w:sz w:val="16"/>
          <w:szCs w:val="16"/>
        </w:rPr>
        <w:softHyphen/>
        <w:t>чатых ОКБ и Экспериментальным институтом, так и не был доведен до практического результата. Некото</w:t>
      </w:r>
      <w:r w:rsidRPr="00E14102">
        <w:rPr>
          <w:color w:val="000000" w:themeColor="text1"/>
          <w:sz w:val="16"/>
          <w:szCs w:val="16"/>
        </w:rPr>
        <w:softHyphen/>
        <w:t>рые предложения Гроховского оказы</w:t>
      </w:r>
      <w:r w:rsidRPr="00E14102">
        <w:rPr>
          <w:color w:val="000000" w:themeColor="text1"/>
          <w:sz w:val="16"/>
          <w:szCs w:val="16"/>
        </w:rPr>
        <w:softHyphen/>
        <w:t>вались либо наивны, либо свидетель</w:t>
      </w:r>
      <w:r w:rsidRPr="00E14102">
        <w:rPr>
          <w:color w:val="000000" w:themeColor="text1"/>
          <w:sz w:val="16"/>
          <w:szCs w:val="16"/>
        </w:rPr>
        <w:softHyphen/>
        <w:t>ствовали о своеобразном понимании основных законов физики. Отдель</w:t>
      </w:r>
      <w:r w:rsidRPr="00E14102">
        <w:rPr>
          <w:color w:val="000000" w:themeColor="text1"/>
          <w:sz w:val="16"/>
          <w:szCs w:val="16"/>
        </w:rPr>
        <w:softHyphen/>
        <w:t>ные опыты нельзя было воспринять иначе как аттракционы - вроде букси</w:t>
      </w:r>
      <w:r w:rsidRPr="00E14102">
        <w:rPr>
          <w:color w:val="000000" w:themeColor="text1"/>
          <w:sz w:val="16"/>
          <w:szCs w:val="16"/>
        </w:rPr>
        <w:softHyphen/>
        <w:t>ровки лыжников за самолетом У-2, прокладки телефонного кабеля с са</w:t>
      </w:r>
      <w:r w:rsidRPr="00E14102">
        <w:rPr>
          <w:color w:val="000000" w:themeColor="text1"/>
          <w:sz w:val="16"/>
          <w:szCs w:val="16"/>
        </w:rPr>
        <w:softHyphen/>
        <w:t>молета Р-5, надувного крыла для пара</w:t>
      </w:r>
      <w:r w:rsidRPr="00E14102">
        <w:rPr>
          <w:color w:val="000000" w:themeColor="text1"/>
          <w:sz w:val="16"/>
          <w:szCs w:val="16"/>
        </w:rPr>
        <w:softHyphen/>
        <w:t>шютиста, «авиабуса» на 2-4 человек для беспарашютного сброса с брею</w:t>
      </w:r>
      <w:r w:rsidRPr="00E14102">
        <w:rPr>
          <w:color w:val="000000" w:themeColor="text1"/>
          <w:sz w:val="16"/>
          <w:szCs w:val="16"/>
        </w:rPr>
        <w:softHyphen/>
        <w:t>щего полета. Однако такой задуман</w:t>
      </w:r>
      <w:r w:rsidRPr="00E14102">
        <w:rPr>
          <w:color w:val="000000" w:themeColor="text1"/>
          <w:sz w:val="16"/>
          <w:szCs w:val="16"/>
        </w:rPr>
        <w:softHyphen/>
        <w:t>ный Гроховским «аттракцион», как парашютные вышки, «выросшие» в 1930-е гг. во многих парках культуры и отдыха, немало сделал для приобще</w:t>
      </w:r>
      <w:r w:rsidRPr="00E14102">
        <w:rPr>
          <w:color w:val="000000" w:themeColor="text1"/>
          <w:sz w:val="16"/>
          <w:szCs w:val="16"/>
        </w:rPr>
        <w:softHyphen/>
        <w:t>ния молодежи к парашютизму.</w:t>
      </w:r>
    </w:p>
    <w:p w14:paraId="26AA34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Сама тема воздушно-десантной техники и специальной техники и во</w:t>
      </w:r>
      <w:r w:rsidRPr="00E14102">
        <w:rPr>
          <w:color w:val="000000" w:themeColor="text1"/>
          <w:sz w:val="16"/>
          <w:szCs w:val="16"/>
        </w:rPr>
        <w:softHyphen/>
        <w:t>оружения для ВДВ была совершенно новой, никакого отечественного и за</w:t>
      </w:r>
      <w:r w:rsidRPr="00E14102">
        <w:rPr>
          <w:color w:val="000000" w:themeColor="text1"/>
          <w:sz w:val="16"/>
          <w:szCs w:val="16"/>
        </w:rPr>
        <w:softHyphen/>
        <w:t>рубежного опыта в этой области не имелось. И создание при таких услови</w:t>
      </w:r>
      <w:r w:rsidRPr="00E14102">
        <w:rPr>
          <w:color w:val="000000" w:themeColor="text1"/>
          <w:sz w:val="16"/>
          <w:szCs w:val="16"/>
        </w:rPr>
        <w:softHyphen/>
        <w:t>ях и за короткий срок (чуть более 5 лет) основ развития парашютно-десантной техники, сдача на вооружение РККА ряда образцов парашютов, под</w:t>
      </w:r>
      <w:r w:rsidRPr="00E14102">
        <w:rPr>
          <w:color w:val="000000" w:themeColor="text1"/>
          <w:sz w:val="16"/>
          <w:szCs w:val="16"/>
        </w:rPr>
        <w:softHyphen/>
        <w:t>весок, установок, десантной тары, пе</w:t>
      </w:r>
      <w:r w:rsidRPr="00E14102">
        <w:rPr>
          <w:color w:val="000000" w:themeColor="text1"/>
          <w:sz w:val="16"/>
          <w:szCs w:val="16"/>
        </w:rPr>
        <w:softHyphen/>
        <w:t>реоборудование имевшихся тяжелых бомбардировщиков для десантирова</w:t>
      </w:r>
      <w:r w:rsidRPr="00E14102">
        <w:rPr>
          <w:color w:val="000000" w:themeColor="text1"/>
          <w:sz w:val="16"/>
          <w:szCs w:val="16"/>
        </w:rPr>
        <w:softHyphen/>
        <w:t>ния были существенным достижением пионеров этого направления. Можно отметить, например, что конструкции ПДММ (продолговатый мешок с пара</w:t>
      </w:r>
      <w:r w:rsidRPr="00E14102">
        <w:rPr>
          <w:color w:val="000000" w:themeColor="text1"/>
          <w:sz w:val="16"/>
          <w:szCs w:val="16"/>
        </w:rPr>
        <w:softHyphen/>
        <w:t>шютной камерой с одного конца и ват-ноопилочным амортизатором с друго</w:t>
      </w:r>
      <w:r w:rsidRPr="00E14102">
        <w:rPr>
          <w:color w:val="000000" w:themeColor="text1"/>
          <w:sz w:val="16"/>
          <w:szCs w:val="16"/>
        </w:rPr>
        <w:softHyphen/>
        <w:t>го, боковым клапаном и деревянными рейками в качестве силовых элемен</w:t>
      </w:r>
      <w:r w:rsidRPr="00E14102">
        <w:rPr>
          <w:color w:val="000000" w:themeColor="text1"/>
          <w:sz w:val="16"/>
          <w:szCs w:val="16"/>
        </w:rPr>
        <w:softHyphen/>
        <w:t>тов) и ПДББ стали потом типовыми. Метод срыва пригодился для десанти</w:t>
      </w:r>
      <w:r w:rsidRPr="00E14102">
        <w:rPr>
          <w:color w:val="000000" w:themeColor="text1"/>
          <w:sz w:val="16"/>
          <w:szCs w:val="16"/>
        </w:rPr>
        <w:softHyphen/>
        <w:t>рования грузов с военно-транспортно</w:t>
      </w:r>
      <w:r w:rsidRPr="00E14102">
        <w:rPr>
          <w:color w:val="000000" w:themeColor="text1"/>
          <w:sz w:val="16"/>
          <w:szCs w:val="16"/>
        </w:rPr>
        <w:softHyphen/>
        <w:t>го самолета, как и проведенные в этот период опытно-конструкторские рабо</w:t>
      </w:r>
      <w:r w:rsidRPr="00E14102">
        <w:rPr>
          <w:color w:val="000000" w:themeColor="text1"/>
          <w:sz w:val="16"/>
          <w:szCs w:val="16"/>
        </w:rPr>
        <w:softHyphen/>
        <w:t>ты по парашютному десантированию техники и вооружения (легкого авто</w:t>
      </w:r>
      <w:r w:rsidRPr="00E14102">
        <w:rPr>
          <w:color w:val="000000" w:themeColor="text1"/>
          <w:sz w:val="16"/>
          <w:szCs w:val="16"/>
        </w:rPr>
        <w:softHyphen/>
        <w:t>мобиля, танкетки, 76-мм пушки) (11752).</w:t>
      </w:r>
    </w:p>
    <w:p w14:paraId="6AB1B81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3EF110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1935 г. приняли на вооружение предназначенную для ТБ-3 подвеску ПГ-12 (она же "универсальная рама обр. 1935 г."). Она серийно выпускалась на заводе № 47 в вариантах ПГ-12 (для посадочного десанта) и ПГ-12П (для сбрасывания с парашютом). Последний мог комплектоваться парашютом Г-42 (рассчитанным на вес груза до 1,5 т) или Г-43 (на 2 т). Всего выпустили 150 штук (из 500 первоначально заказанных). В округа эти подвески поступили к октябрю 1936 г. К ПГ-12 крепилась грузовая платформа ГП-1 ферменной конструкции, которая позволяла перевозить и сбрасывать с парашютами автомобили, бронемашины, легкие танки, артиллерийские орудия весом до 3 т. К примеру, на платформе можно было закрепить пикап (на базе ГАЗ-А или М-1), "полуторку" ГАЗ-АА (с обрезанной верхней частью кабины) или одновременно две пушки - 76-мм полковую обр. 1927 г. и 45-мм противотанковую с передками. Из бронетехники пробовали грузить танк-амфибию Т-37 и броневик Д-12. Как ни странно, труднее всего было летать с ГАЗ-АА, грузовик создавал наибольшее сопротивление, и вынуждал пилота самолета-носителя бороться с тенденцией к пикированию. Скорость ТБ-3 с наружной подвеской уменьшалась на 10-20 км/ч. В 1937 г. П Г-12 модернизировали, приспособив к поздним модификациям ТБ-3 (12036).</w:t>
      </w:r>
    </w:p>
    <w:p w14:paraId="41052C97" w14:textId="77777777" w:rsidR="00D4105E" w:rsidRPr="00E14102" w:rsidRDefault="00D4105E" w:rsidP="00E14102">
      <w:pPr>
        <w:autoSpaceDE w:val="0"/>
        <w:autoSpaceDN w:val="0"/>
        <w:adjustRightInd w:val="0"/>
        <w:jc w:val="both"/>
        <w:rPr>
          <w:color w:val="000000" w:themeColor="text1"/>
          <w:sz w:val="16"/>
          <w:szCs w:val="16"/>
        </w:rPr>
      </w:pPr>
    </w:p>
    <w:p w14:paraId="7E8C6B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М.Савицкий сделал большой парашют для гондолы стратостата (1 тыс. м кв.). Кроме того - ПД (десантный), ПТ-1 (тренировочный), ПТ-1а и ПТ-2 (для тяжеловесов) - 87 кв. м (72,56).</w:t>
      </w:r>
    </w:p>
    <w:p w14:paraId="6C118F16" w14:textId="77777777" w:rsidR="00D4105E" w:rsidRPr="00E14102" w:rsidRDefault="00D4105E" w:rsidP="00E14102">
      <w:pPr>
        <w:autoSpaceDE w:val="0"/>
        <w:autoSpaceDN w:val="0"/>
        <w:adjustRightInd w:val="0"/>
        <w:jc w:val="both"/>
        <w:rPr>
          <w:color w:val="000000" w:themeColor="text1"/>
          <w:sz w:val="16"/>
          <w:szCs w:val="16"/>
        </w:rPr>
      </w:pPr>
    </w:p>
    <w:p w14:paraId="78AB2E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появился и новый парашют летчика - ПЛ-3м. Был квадратный из каркасной ткани. Жил долго. Ограничения по скорости покидания - 400 км/час (72,56).</w:t>
      </w:r>
    </w:p>
    <w:p w14:paraId="5A260F9F" w14:textId="77777777" w:rsidR="00D4105E" w:rsidRPr="00E14102" w:rsidRDefault="00D4105E" w:rsidP="00E14102">
      <w:pPr>
        <w:autoSpaceDE w:val="0"/>
        <w:autoSpaceDN w:val="0"/>
        <w:adjustRightInd w:val="0"/>
        <w:jc w:val="both"/>
        <w:rPr>
          <w:color w:val="000000" w:themeColor="text1"/>
          <w:sz w:val="16"/>
          <w:szCs w:val="16"/>
        </w:rPr>
      </w:pPr>
    </w:p>
    <w:p w14:paraId="013221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была создана турель МВ-3 И.В.Веневидова и Г.М.Можаровского (85,458).</w:t>
      </w:r>
    </w:p>
    <w:p w14:paraId="7B364452" w14:textId="77777777" w:rsidR="00D4105E" w:rsidRPr="00E14102" w:rsidRDefault="00D4105E" w:rsidP="00E14102">
      <w:pPr>
        <w:autoSpaceDE w:val="0"/>
        <w:autoSpaceDN w:val="0"/>
        <w:adjustRightInd w:val="0"/>
        <w:jc w:val="both"/>
        <w:rPr>
          <w:color w:val="000000" w:themeColor="text1"/>
          <w:sz w:val="16"/>
          <w:szCs w:val="16"/>
        </w:rPr>
      </w:pPr>
    </w:p>
    <w:p w14:paraId="6BE7FA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в ЦАГИ сделали электрифицированную ТУР-10 под ШКАС, турель под пушку ШВАК, испытали свободную подвеску бом весом до 2000 кг, закончили ампульную кассету АК-3 (320).</w:t>
      </w:r>
    </w:p>
    <w:p w14:paraId="3D895C40" w14:textId="77777777" w:rsidR="00D4105E" w:rsidRPr="00E14102" w:rsidRDefault="00D4105E" w:rsidP="00E14102">
      <w:pPr>
        <w:autoSpaceDE w:val="0"/>
        <w:autoSpaceDN w:val="0"/>
        <w:adjustRightInd w:val="0"/>
        <w:jc w:val="both"/>
        <w:rPr>
          <w:color w:val="000000" w:themeColor="text1"/>
          <w:sz w:val="16"/>
          <w:szCs w:val="16"/>
        </w:rPr>
      </w:pPr>
    </w:p>
    <w:p w14:paraId="59A4D8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сделали крупнокалиберный 12.7 мм пулемет ШВАК. Полигонные испытания показали, что можно сделать и 20 мм пушку путем замены ствола. Испытывал В.П.Чкалов на И-16 (86,243).</w:t>
      </w:r>
    </w:p>
    <w:p w14:paraId="2404D591" w14:textId="77777777" w:rsidR="00D4105E" w:rsidRPr="00E14102" w:rsidRDefault="00D4105E" w:rsidP="00E14102">
      <w:pPr>
        <w:autoSpaceDE w:val="0"/>
        <w:autoSpaceDN w:val="0"/>
        <w:adjustRightInd w:val="0"/>
        <w:jc w:val="both"/>
        <w:rPr>
          <w:color w:val="000000" w:themeColor="text1"/>
          <w:sz w:val="16"/>
          <w:szCs w:val="16"/>
        </w:rPr>
      </w:pPr>
    </w:p>
    <w:p w14:paraId="6881D2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работая над авиационной пушкой ШВАК, конструкторы ИНЗ-2 еще предложили использовать ее в качестве полевой зенитной пушки. К ней было предложено два варианта лафета - системы Колесникова и лафет от 20-мм пушки обр. 1930 г. ("Рейнметалл") (3861).</w:t>
      </w:r>
    </w:p>
    <w:p w14:paraId="5767D7AA" w14:textId="77777777" w:rsidR="00D4105E" w:rsidRPr="00E14102" w:rsidRDefault="00D4105E" w:rsidP="00E14102">
      <w:pPr>
        <w:autoSpaceDE w:val="0"/>
        <w:autoSpaceDN w:val="0"/>
        <w:adjustRightInd w:val="0"/>
        <w:jc w:val="both"/>
        <w:rPr>
          <w:color w:val="000000" w:themeColor="text1"/>
          <w:sz w:val="16"/>
          <w:szCs w:val="16"/>
        </w:rPr>
      </w:pPr>
    </w:p>
    <w:p w14:paraId="45C989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на заведе им. Кирокижа начался выпуск авиационных пушек ШВАК, а в 1938 г. - производство крупнокалиберных пулеметов тульского конструктора М.Е.Березина. В 1940 г. на Ковровском заводе конструктором Г.С.Шпагиным был разработан пистолет-пулемет ППШ - один из самых популярных в армии образцов оружия своего времени (9698).</w:t>
      </w:r>
    </w:p>
    <w:p w14:paraId="5F9E4779" w14:textId="77777777" w:rsidR="00D4105E" w:rsidRPr="00E14102" w:rsidRDefault="00D4105E" w:rsidP="00E14102">
      <w:pPr>
        <w:autoSpaceDE w:val="0"/>
        <w:autoSpaceDN w:val="0"/>
        <w:adjustRightInd w:val="0"/>
        <w:jc w:val="both"/>
        <w:rPr>
          <w:color w:val="000000" w:themeColor="text1"/>
          <w:sz w:val="16"/>
          <w:szCs w:val="16"/>
        </w:rPr>
      </w:pPr>
    </w:p>
    <w:p w14:paraId="5628C5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завод (Завод № 145 НКТП, НКОП, НКАП, МАП им С.М. Кирова, Завод № 2 МАП, Государственный Опытный союзный завод № 2 МАП /г. Москва 1 -й Павелецкий пр.; ст. Безымянка пос. Красная Глинка,  г. Куйбышев/) передан из НКМС в ГУАП НКТП, в 12.1936 г. завод № 145 передан в ведение 1ГУ НКОП, (и на 12.1938 г.).</w:t>
      </w:r>
    </w:p>
    <w:p w14:paraId="7525D4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Имел экспериментально-испытательную станцию, расположенную в Кузьминках на химическом полигоне. Она была создана в 1932 г. при ЦАГИ и вместе с опытным производством химвооружения была передана в 1936 г. заводу № 145. Испытания опытных образцов химвооружения (бригада гл. конструктора М.Н. Родионова).</w:t>
      </w:r>
    </w:p>
    <w:p w14:paraId="4750F9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приказу НКАП № 156с от 11.06.1940 г. завод № 145 получил имя С.М. Кирова.</w:t>
      </w:r>
    </w:p>
    <w:p w14:paraId="087639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Перед войной группа ИТР и рабочих с завода № 145 переведена для укрепления производства на завод № 455.</w:t>
      </w:r>
    </w:p>
    <w:p w14:paraId="3A8CBB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войны - единственный завод по агрегатам химвооружения (около 75% объема производства). С началом войны производство химвооружения начато также на заводах № 455, № 261 и № 479 НКАП.</w:t>
      </w:r>
    </w:p>
    <w:p w14:paraId="440AFF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1941 г. завод был эвакуирован. Сначала в 10.1941 г. началась эвакуация в Уфу. Затем это решение отменено, и по приказу № 1109сс от 11.11.1941 г. завод № 145 2ГУ НКАП вместе с КБ эвакуирован в Куйбышев ст. Безымянка на территорию Лаборатории Куйбышевского гидроузла в двух км от берега Волги и в 6 км от ст. Красная Глинка. Здесь по приказу № 1121сс от 15.11.1941 г. завод объединен с эвакуированным ранее на эту же площадку заводом № 455 НКАП в единый завод № 145 НКАП. Часть завода была эвакуирована в Свердловск, где затем на этой базе создан Свердловский завод эбонитовых изделий (далее- ЗАО «Уралэластотехника»). Поселки Красная Глинка и Управленческий в годы ВОВ включены в состав  г. Куйбышева.</w:t>
      </w:r>
    </w:p>
    <w:p w14:paraId="74FD7F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Площадка эвакуированного завода со всеми сооружениями, остатками оборудования и кадров по приказу № 134м/ 84мс от 31.12.1941 г. передана заводу № 221 НКТП. Однако здесь некоторое время продолжал действовать филиал ОКБ завода № 145. Затем по приказу № 277с от 14.04.1942 г. филиал был переведен и влит в состав филиала завода № 145 в Болшево.</w:t>
      </w:r>
    </w:p>
    <w:p w14:paraId="3C08C5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1942 г. часть оборудования была передана на новый завод № 455 НКАП.</w:t>
      </w:r>
    </w:p>
    <w:p w14:paraId="377C39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приказу № 735с от 8.12.1943 г. с завода № 145 переведена группа специалистов для усиления ОКБ завода №219 НКАП.</w:t>
      </w:r>
    </w:p>
    <w:p w14:paraId="33C02C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Пост. СМ СССР № 874-366сс от 17.04.1946 г. и приказом МАП № 228сс от 19.04.1946 г. завод № 145 МАП передан из 2ГУ в непосредственное ведение министра и переименован в опытный завод № 2 МАП.</w:t>
      </w:r>
    </w:p>
    <w:p w14:paraId="6E839B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Имел вторую производственную площадку в 3,5 га в двух км от основной на территории бывших авторемонтных мастерских УОС МВД. Разработка авиационных и ракетных двигателей. В 07.1946 г. завод передан в Особое управление и преобразован в опытный. В 1946-47 г. проведена коренная реконструкция производства, заводу выделено 1064 вагона трофейного оборудования и имущества. В 1948 г. начато строительство наземной испытательной станции. В связи с упразднением Особого управления с 15.06.1949 г. завод передан в 8ГУ (приказ № 422сс от 4.06.1949 г.).</w:t>
      </w:r>
    </w:p>
    <w:p w14:paraId="49E5CE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Работали специалисты из моторных ОТБ-1 и ОТБ-2, переведенных из Германии. Из немецких специалистов образовано 4 ОКБ. После 05.1949 г. все ОКБ объединены в одно, его начальником стал Квасов, зам. начальника- Брандлер.</w:t>
      </w:r>
    </w:p>
    <w:p w14:paraId="102F7F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1950 г. из ОКБ-16 МАП на завод переведен немецкий специалист М. Христиан для участия в создании ТВ-2. К 1953 г. все немцы отправлены в ГДР.</w:t>
      </w:r>
    </w:p>
    <w:p w14:paraId="092925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постановления правительства от 11.07.1951 г. на заводе началась разработка двигателя ТВ-2. После катастрофы самолета «95-1» во время испытаний с двигателями 2ТВ-2Ф работы по ним были прекращены, задел по ним передан ОКБ-478 и ОКБ-19.</w:t>
      </w:r>
    </w:p>
    <w:p w14:paraId="0A9B35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постановлению СМ СССР от 29.03.1952 г. и приказу МАП от 1.04.1952 г. началась разработка ТВД ТВ-16 на базе ТВ-12.</w:t>
      </w:r>
      <w:r w:rsidRPr="00E14102">
        <w:rPr>
          <w:color w:val="000000" w:themeColor="text1"/>
          <w:sz w:val="16"/>
          <w:szCs w:val="16"/>
          <w:vertAlign w:val="superscript"/>
        </w:rPr>
        <w:t>30</w:t>
      </w:r>
    </w:p>
    <w:p w14:paraId="7F5709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Кроме работ по опытному двигателестроению, на заводе до 1952 г. продолжалось производство разовых химических бомб УХАП-500, а с 1952 г. планировалось начать выпуск РВП-200.</w:t>
      </w:r>
    </w:p>
    <w:p w14:paraId="490FB7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Пост. СМ № 533-271 от 19.02.1953 г. предписывалось передать завод в подчинение КБ-1 «для усиления работ по заказам ТГУ при СМ СССР», но это не было выполнено. В 06.1953 г. завод № 2 переименован в завод № 276 </w:t>
      </w:r>
      <w:r w:rsidRPr="00E14102">
        <w:rPr>
          <w:color w:val="000000" w:themeColor="text1"/>
          <w:sz w:val="16"/>
          <w:szCs w:val="16"/>
          <w:lang w:val="en-US"/>
        </w:rPr>
        <w:t>MAII</w:t>
      </w:r>
      <w:r w:rsidRPr="00E14102">
        <w:rPr>
          <w:color w:val="000000" w:themeColor="text1"/>
          <w:sz w:val="16"/>
          <w:szCs w:val="16"/>
        </w:rPr>
        <w:t>.</w:t>
      </w:r>
    </w:p>
    <w:p w14:paraId="7AFA3E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территории (1948 г.)-14,03 га; застройки (1948 г.)- 28344 м</w:t>
      </w:r>
      <w:r w:rsidRPr="00E14102">
        <w:rPr>
          <w:color w:val="000000" w:themeColor="text1"/>
          <w:sz w:val="16"/>
          <w:szCs w:val="16"/>
          <w:vertAlign w:val="superscript"/>
        </w:rPr>
        <w:t>2</w:t>
      </w:r>
      <w:r w:rsidRPr="00E14102">
        <w:rPr>
          <w:color w:val="000000" w:themeColor="text1"/>
          <w:sz w:val="16"/>
          <w:szCs w:val="16"/>
        </w:rPr>
        <w:t>; производственная (1948 г.)- 16563 м</w:t>
      </w:r>
      <w:r w:rsidRPr="00E14102">
        <w:rPr>
          <w:color w:val="000000" w:themeColor="text1"/>
          <w:sz w:val="16"/>
          <w:szCs w:val="16"/>
          <w:vertAlign w:val="superscript"/>
        </w:rPr>
        <w:t>2</w:t>
      </w:r>
      <w:r w:rsidRPr="00E14102">
        <w:rPr>
          <w:color w:val="000000" w:themeColor="text1"/>
          <w:sz w:val="16"/>
          <w:szCs w:val="16"/>
        </w:rPr>
        <w:t>.</w:t>
      </w:r>
    </w:p>
    <w:p w14:paraId="6D418A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(19.01-14.07.1937 г.)- И.П. Тюкин-Косой, (14.07.1937-01.1944 г.-)- В.И. Крупнов, (-01-06.1945 г.-)- Данилевич, (1946-47 г.-)- Н.М. Олехнович. Ответственный руководитель (22.05.1950-53 г.)- Н.Д. Кузнецов.</w:t>
      </w:r>
    </w:p>
    <w:p w14:paraId="065D77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директора (-10.1940 г.)- Е.А. Рогов, (12.1940 г.-)-  Г.Т. Бучнев.</w:t>
      </w:r>
    </w:p>
    <w:p w14:paraId="4ABA42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Технический директор (16.04.1937 г.-)- Д.Д. Коротчаев (Каратчаев).</w:t>
      </w:r>
    </w:p>
    <w:p w14:paraId="668F1B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(-16.04.1937 г.)- В.А. Клименов, (-16.09.1937 г.)- Д.Д. Коротчаев, (31.10.1938-; 12.1940 г.-)-  Г.Т. Бучнев.</w:t>
      </w:r>
    </w:p>
    <w:p w14:paraId="1B1D1E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конструктор (02.1937 г.)- М.Н. Родионов, (1937-41 г.-)- И.И. Картуков, (15.04.1949-53 г.)- Н.Д. Кузнецов.</w:t>
      </w:r>
      <w:r w:rsidRPr="00E14102">
        <w:rPr>
          <w:color w:val="000000" w:themeColor="text1"/>
          <w:sz w:val="16"/>
          <w:szCs w:val="16"/>
          <w:vertAlign w:val="superscript"/>
        </w:rPr>
        <w:t>101</w:t>
      </w:r>
    </w:p>
    <w:p w14:paraId="4737AE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Создано: ТВД: ТВ-2,2ТВ-2Ф (1950-51), ТВ-12 (1951-53).</w:t>
      </w:r>
    </w:p>
    <w:p w14:paraId="3E2C81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(ВОВ) выливные авиаприборы: ВАП-1000, ВАП-500, ВАП-250 (8-В-121м), ВАП-200 (8-В- 131), УХАП-250, УХАП-200, ХАРП, ЗАП; ампульные бомбовые кассеты: АБК-1, КМБ-2 («17-1»), КМБ-Ер-2 (АБК-2), КМБ-Пе-2, АБК-3 (8-А-159), АБК-240, АБКП-500 (8-А-161), АБКП-100; ампульные кассеты: АК-1, АК- 2; противотанковый ампуломет «37-1»; авиационные механические прицелы КП-5, КПТ-5, МК-4, МФ-5; замки- держатели Д-2, Дер-31 (У-7-Ш-711), Дер-32; балки для ВАП-250, БП-50; торпедодержатели Т-18, минодержатели МД-39 (11982).</w:t>
      </w:r>
    </w:p>
    <w:p w14:paraId="4C7EE070" w14:textId="77777777" w:rsidR="00D4105E" w:rsidRPr="00E14102" w:rsidRDefault="00D4105E" w:rsidP="00E14102">
      <w:pPr>
        <w:autoSpaceDE w:val="0"/>
        <w:autoSpaceDN w:val="0"/>
        <w:adjustRightInd w:val="0"/>
        <w:jc w:val="both"/>
        <w:rPr>
          <w:color w:val="000000" w:themeColor="text1"/>
          <w:sz w:val="16"/>
          <w:szCs w:val="16"/>
        </w:rPr>
      </w:pPr>
    </w:p>
    <w:p w14:paraId="3A750A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в Тушино был введен в эксплуатацию в ведении самолетостроительного треста ГУАП НКТП (предприятие на этом месте существовало с 1901 г.) завод (Завод № 163 НКТП, НКАП , Пензенский приборостроительный завод МАП, завод «Электроавтомат», Пензенский завод «Эра», НПО «Эра», АООТ, ОАО «Пензенское НПП «Эра» /г. Тушино Московской обл.;  г. Пенза наб. Мойки, 50 (1947 г.)/ /440052  г. Пенза ул. Свердлова, 2 тел. 33-81-02/). В 12.1936 г. завод передан в 1ГУ НКОП (на 12.1938 г. не числился в списках предприятий НКОП). Перед войной - в ведении 10ГУ НКАП. Производство деталей самолетов: крыло и оперение для И-16, авиационные лыжи.</w:t>
      </w:r>
    </w:p>
    <w:p w14:paraId="372AF8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1941 г. завод эвакуирован в Пензу на площадку бывшего авиационного завода В.А. Лебедева. По приказу № 841с от 12.08.1941 г. на завод передано производство шасси с завода № 479 НКАП с соответствующим оборудованием и личным составом.</w:t>
      </w:r>
    </w:p>
    <w:p w14:paraId="068BB3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По приказу № 529с от 16.07.1942 г. в Пензу со всем личным составом и оборудованием переведена основная часть завода № 450 НКАП и влита в состав завода № 163 НКАП. (Есть упоминание, что завод № 163 в 1942 г., 04.1943 г. находился в Иркутске, разработано цельнодеревянное крыло и оперение для И-16). В годы войны - ремонт отечественных и американских самолетов, полученных по ленд-лизу.</w:t>
      </w:r>
    </w:p>
    <w:p w14:paraId="387F36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старом месте в Тушино затем образован завод № 500.</w:t>
      </w:r>
    </w:p>
    <w:p w14:paraId="035C3A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1.03.1946 г. завод передан из 6ГУ в 11ГУ. По приказу № 219сс от 18.04.1946 г. завод с 1.01.1947 г. передан из 11ГУ в 5ГУ, и началось освоение производства контрольно-испытательных установок. Затем завод специализировался на изготовлении тренажеров, в т.ч. авиационных.</w:t>
      </w:r>
    </w:p>
    <w:p w14:paraId="043D2F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пост. СМ СССР № 713-342 от 26.06.1957 г. передан в ведение СНХ РСФСР.</w:t>
      </w:r>
    </w:p>
    <w:p w14:paraId="3A5B88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по тренажеру обучения личного состава наведению ракеты Х-59.</w:t>
      </w:r>
    </w:p>
    <w:p w14:paraId="648D59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(1990-е-2002 г.): разработка и производство комплексных специализированных авиационных тренажеров для всех типов ЛА.</w:t>
      </w:r>
    </w:p>
    <w:p w14:paraId="1D9D01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Назывался завод «Электроавтомат». В 1976 г. называлось ПКО «Эра», в 1993 г.- Пензенское ПО «Эра». По решению правительства № 22-р от 9.01.2004 г. и Указу Президента РФ № 1009 от 4.08.2004 г. вошло в число стратегических оборонных предприятий.</w:t>
      </w:r>
    </w:p>
    <w:p w14:paraId="2B3F94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(01.1940 г.-)- Н. Г. Драчев, (-01.1943-02.1945 г.-)- А.П. Иваненко. Гендиректор (1990-е)- Б.В. Клюев, (2002 г.)- А.Н. Анисимов, (2003 г.)- А.Н. Бростилов.</w:t>
      </w:r>
    </w:p>
    <w:p w14:paraId="413FB7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гендиректора: по производству (2002 г.)- К.В. Чичикин; по коммерции (2002 г.)- В.П. Сироткин.</w:t>
      </w:r>
      <w:r w:rsidRPr="00E14102">
        <w:rPr>
          <w:color w:val="000000" w:themeColor="text1"/>
          <w:sz w:val="16"/>
          <w:szCs w:val="16"/>
          <w:vertAlign w:val="superscript"/>
        </w:rPr>
        <w:t>69</w:t>
      </w:r>
    </w:p>
    <w:p w14:paraId="447E36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Технический директор (1990-е)-  Г.И. Балашов.</w:t>
      </w:r>
    </w:p>
    <w:p w14:paraId="3907B2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конструктор (1990-е)- В.Н. Климкин (11982).</w:t>
      </w:r>
    </w:p>
    <w:p w14:paraId="775C9184" w14:textId="77777777" w:rsidR="00A90F29" w:rsidRPr="00E14102" w:rsidRDefault="00A90F29" w:rsidP="00E14102">
      <w:pPr>
        <w:autoSpaceDE w:val="0"/>
        <w:autoSpaceDN w:val="0"/>
        <w:adjustRightInd w:val="0"/>
        <w:jc w:val="both"/>
        <w:rPr>
          <w:color w:val="000000" w:themeColor="text1"/>
          <w:sz w:val="16"/>
          <w:szCs w:val="16"/>
        </w:rPr>
      </w:pPr>
    </w:p>
    <w:p w14:paraId="35477C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предприятие (Завод № 168 НКАП, МАП, Рязанский деревообделочный завод (РДОЗ) Главлеспрома, Ростовский вертолетный завод, п/я 13, Ростовское вертолетное ПО (РВПО), РВПП, ОАО «Ростовский вертолетный производственный комплекс» (РВПК) («Роствертол») /г. Рязань;  г. Волжск Марийской АССР ст. Козловка/ /344038  г. Ростов-на-Дону ул. Новаторов, 5 тел. 97-72-21/ /Московское представительство:  г. Москва Вишняковский пер., 4; 1-я Рыбинская ул., 13 тел. 297-74-93/</w:t>
      </w:r>
    </w:p>
    <w:p w14:paraId="1285C4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переведено в оборонную промышленность и получило наименование «завод № 168». С 1.07.1939 г. РДОЗ переведен из Главлеспрома в НКАП. Начинается перевод на авиационную продукцию: лонжероны, в/винты для У-2, Р-5, ТБ-3, авиалыжи, аэросани, наземное оборудование, походные фотолаборатории для аэросъемок. По приказу № 573с от 26.06.1941 г. завод (Завод № 168 НКАП, МАП, Рязанский деревообделочный завод (РДОЗ) Главлеспрома, Ростовский вертолетный завод, п/я 13, Ростовское вертолетное ПО (РВПО), РВПП, ОАО «Ростовский вертолетный производственный комплекс» (РВПК) («Роствертол») /г. Рязань;  г. Волжск Марийской АССР ст. Козловка/ /344038  г. Ростов-на-Дону ул. Новаторов, 5 тел. 97-72-21/ /Московское представительство:  г. Москва Вишняковский пер., 4; 1-я Рыбинская ул., 13 тел. 297-74-93/) передан в 11ГУ НКАП. Начато освоение производства планера КЦ-2.</w:t>
      </w:r>
    </w:p>
    <w:p w14:paraId="30CA4E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приказу № 2003/526-621с от 4.07.1941 г. заводу в качестве филиала были переданы площади и сооружения Рязанского Ликеро-водочного завода НК1Ш.</w:t>
      </w:r>
    </w:p>
    <w:p w14:paraId="5C2783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Летом 1941 г. основная часть завода эвакуирована в пос. Лопатино ( г. Волжск) Марийской АССР на территорию деревообделочного комбината НКлеса. Часть завода (винтовой цех) эвакуирована на завод № 471 в  г. Шумерля, а часть- на ст. Козловка на площадку завода № 494 НКАП.</w:t>
      </w:r>
    </w:p>
    <w:p w14:paraId="72EE7D7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старой площадке в Рязани организован филиал завода № 168, преобразованный в 05.1942 г. в самостоятельный завод № 463 НКАП.</w:t>
      </w:r>
    </w:p>
    <w:p w14:paraId="424FC5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09.1942 г. началось освоение производства УТ-2, в 1943 г. построен бомбардировочный вариант УТ-2МВ.</w:t>
      </w:r>
    </w:p>
    <w:p w14:paraId="09474B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конце 1943-начале 1944 г. часть специалистов завода переведены на завод № 468 в ОКБ гл. конструктора П.В. Цыбина.</w:t>
      </w:r>
    </w:p>
    <w:p w14:paraId="0F2B4E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пост. ГКО № 6639сс от 1.10.1944 г. и приказом № 640с/ 721/ ЦЗ от 31.10.1944 г. завод № 168 переведен из Волжска в  г. Ростов-на-Дону на площадку завода № 87 НКАП. На их базе создан единый завод № 168 НКАП. 1.03.1951 г. он передан из 11ГУ в ЮГУ, а с 1.07.1954 г.- в 1ГУ. В соответствии с пост. СМ СССР № 713-342 от 26.06.1957 г. передан в ведение СНХ РСФСР. В 1960-е  г. имел наименование «п/я 13». В 1977 г. на базе Ростовского вертолетного завода создано РВПО.</w:t>
      </w:r>
    </w:p>
    <w:p w14:paraId="0B5D0D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1953 г. началась подготовка к производству Ил-40. Представителем ОКБ на заводе назначен Н.Ф. Нагорнов. В 1956 г. производство было прекращено.</w:t>
      </w:r>
    </w:p>
    <w:p w14:paraId="0BCF5E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1956 г. завод перешел на производство вертолетов.</w:t>
      </w:r>
    </w:p>
    <w:p w14:paraId="2D72B8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1961 г. на заводе организован филиал № 2 завода № 329. Организатором и первым руководителем филиала стал М.Б. Суворов.</w:t>
      </w:r>
    </w:p>
    <w:p w14:paraId="252499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10.1977 г. в серию запущен Ми-26.</w:t>
      </w:r>
    </w:p>
    <w:p w14:paraId="082C06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ОАО «Роствертол» образовано 14.12.1992 г. В 2004 г. ОАО включало в себя 18 заводов и 11 дочерних предприятий, в т.ч. ЗАО «Завод пластмасс». «Роствертол» являлся крупнейшим вертолетным заводом в мире. По решению правительства № 22-р от 9.01.2004 г. вошло в перечень стратегических предприятий. В 12.2004 г. «Роствертол» вошел во вновь образованную Корпорацию «Вертолеты Миля». В 2007 г. входило в ОПК «Оборонпром».</w:t>
      </w:r>
    </w:p>
    <w:p w14:paraId="1BF82C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11.2006 г. создано совместное предприятие «Роствертол Геликоптере Чайна Лтд.» с гонконгской компанией «Лекторн авиэйшн» для осуществления лизинга вертолетов Ми-26.</w:t>
      </w:r>
    </w:p>
    <w:p w14:paraId="1AD6AC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 06.2002 г. первые два Ми-24П модифицированы в Ми-24ПН. В 2003 г. планировалось возобновить производство вертолетов- Ми-2А.</w:t>
      </w:r>
      <w:r w:rsidRPr="00E14102">
        <w:rPr>
          <w:color w:val="000000" w:themeColor="text1"/>
          <w:sz w:val="16"/>
          <w:szCs w:val="16"/>
          <w:vertAlign w:val="superscript"/>
        </w:rPr>
        <w:t>Ъ</w:t>
      </w:r>
      <w:r w:rsidRPr="00E14102">
        <w:rPr>
          <w:color w:val="000000" w:themeColor="text1"/>
          <w:sz w:val="16"/>
          <w:szCs w:val="16"/>
        </w:rPr>
        <w:t>"</w:t>
      </w:r>
      <w:r w:rsidRPr="00E14102">
        <w:rPr>
          <w:color w:val="000000" w:themeColor="text1"/>
          <w:sz w:val="16"/>
          <w:szCs w:val="16"/>
          <w:vertAlign w:val="superscript"/>
        </w:rPr>
        <w:t>17 06 03</w:t>
      </w:r>
    </w:p>
    <w:p w14:paraId="38A4D1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(2004 г.): подготовка производства Ми-28Н, легкого учебно-тренировочного Ми-бОМАИ; программа модернизации Ми-26, Ми-24/ Ми-35.</w:t>
      </w:r>
    </w:p>
    <w:p w14:paraId="2614E96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2007 г. выпущено 7 предсерийных и первые 4 серийные Ми-28Н, в 2008 г. - 6 серийных машин.</w:t>
      </w:r>
    </w:p>
    <w:p w14:paraId="0B4BCD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Численность персонала (1.01.2002 г.)- 7339 чел., (2004 г.)- 7100 чел.</w:t>
      </w:r>
    </w:p>
    <w:p w14:paraId="76050B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(01.1940 г.-)- П.Е. Лишанин, (07.1941 г.)- М.А. Кутюрин, (-01.1943-05.1944 г.-)- И.М. Шпаков. Ген. директор (1979-2000 г.-)- М.В. Нагибин, (-2002-05 г.-)- Б.Н. Слюсарь.</w:t>
      </w:r>
    </w:p>
    <w:p w14:paraId="3A8A15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1-й зам. Гендиректора (2002 г.)- А.А. Кегеян. Зам. Гендиректора: по ВЭД (2002-04 г.)- А.Б. Шибитов; по реализации (2002 г.)- А.В. Колупаев; (2003 г.)- В. Павлов, (-2004-05 г.-)- П. Мотренко, (10.2004 г.)- М.Б. Флек.</w:t>
      </w:r>
    </w:p>
    <w:p w14:paraId="5E6CDD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гл. конструктора- А.Б. Шибитов, (2009 г.)- А. Латоцкий.</w:t>
      </w:r>
    </w:p>
    <w:p w14:paraId="118844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(1976-79 г.)- М.В. Нагибин, (2002 г.)- И.А. Семенов,</w:t>
      </w:r>
      <w:r w:rsidRPr="00E14102">
        <w:rPr>
          <w:color w:val="000000" w:themeColor="text1"/>
          <w:sz w:val="16"/>
          <w:szCs w:val="16"/>
          <w:vertAlign w:val="superscript"/>
        </w:rPr>
        <w:t>69</w:t>
      </w:r>
      <w:r w:rsidRPr="00E14102">
        <w:rPr>
          <w:color w:val="000000" w:themeColor="text1"/>
          <w:sz w:val="16"/>
          <w:szCs w:val="16"/>
        </w:rPr>
        <w:t xml:space="preserve"> (2009 г.)- А. Варфоломеев.</w:t>
      </w:r>
    </w:p>
    <w:p w14:paraId="33B2D4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Руководитель московского представительства (2004 г.)- Н.П. Зайцев.</w:t>
      </w:r>
    </w:p>
    <w:p w14:paraId="6E9818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конструкторы: (1941 г.)- П.В. Цыбин, (1941 г.)- Д.Н. Колесников.</w:t>
      </w:r>
    </w:p>
    <w:p w14:paraId="5BE8F9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летной службы- Ю. Шевченко.</w:t>
      </w:r>
    </w:p>
    <w:p w14:paraId="13C986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самолеты: УТ-2 и УТ-2М (1942-47)- 935, По-2 (1947-49), Ил-ЮМ (1952-54), Ил-40 (1953)-6; планеры: КЦ-20 (1942-43), Як-14 (1949-51); вертолеты: Ми-1 (1956-60), Ми-6 (1957-59-), Ми-10- 40, Ми-24 (1973-2000-), Ми-35 (-2000-05-), Ми-26 (1977-2005-)- 300, Ми-28 (2004-05-), Ми-28Н (2005-09-)- 17; модернизация Ми-2А для МО (-2004-05-)- 22, Ми-35 (2005); капремонт Ми-26 (2004); в/винты для М-11 (1941); воздушные баллоны; боевые автоматические аэростаты «ДА» (БАД-3500), «БД» (БАБ-325) (I960-);</w:t>
      </w:r>
    </w:p>
    <w:p w14:paraId="3543DC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топливозаправщики ТЗ-6 (2004): спортивный автомобиль «Ода», минигрузовик «Хомка», прицепы к легковым автомобилям (2004).</w:t>
      </w:r>
    </w:p>
    <w:p w14:paraId="076E14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ОАО «ОКБ «Ростов-Миль» /344038  г. Ростов-на-Дону, ул. Новаторов, 5 тел. 97-72-54/ ТО, ремонт и модернизация Ми-2 (2004 г.).</w:t>
      </w:r>
    </w:p>
    <w:p w14:paraId="2524C0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Гендиректор (11.2004 г.)- И.П. Шимко (11982).</w:t>
      </w:r>
    </w:p>
    <w:p w14:paraId="0E0A2A3A" w14:textId="77777777" w:rsidR="00D4105E" w:rsidRPr="00E14102" w:rsidRDefault="00D4105E" w:rsidP="00E14102">
      <w:pPr>
        <w:autoSpaceDE w:val="0"/>
        <w:autoSpaceDN w:val="0"/>
        <w:adjustRightInd w:val="0"/>
        <w:jc w:val="both"/>
        <w:rPr>
          <w:color w:val="000000" w:themeColor="text1"/>
          <w:sz w:val="16"/>
          <w:szCs w:val="16"/>
        </w:rPr>
      </w:pPr>
    </w:p>
    <w:p w14:paraId="3702BC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на заводе № 169, созданном как “Казанский завод обозных деталей” НКлеса /г. Казань/ и выпускавшем тачанки, началось производство авиационных деревянных лыж и подвесок к ним. По приказу от 8.07.1939 г. передан из НКлеса в НКАП и получил № 169. С 1940 г. началось производство деревянных частей самолета И-153, крыла и оперения для ЛаГТ-3. По приказу № 573с от 26.06.1941 г. завод передан в ИГУ НКАП. В начале войны началась подготовка к производству двух десантно-транспортных планеров: «Сокол»  Г.Н. Воробьева и «Орел» конструкции Б.В. Кучеренко, Л.М. Роднянского и Н.И. Афанасьева.</w:t>
      </w:r>
    </w:p>
    <w:p w14:paraId="7F0C14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пост. СНК № 1842-830 от 9.07.1941 г. завод № 387 в 07-08.1941 г. эвакуирован в Казань на площадку завода № 169 НКАП 11ГУ. Здесь по приказу № 858сс от 15.08.1941 г. образован единый завод № 387 НКАП в системе 1ГУ. Завод № 169 с 08.1941 г. выбыл из числа действующих. Программа производства планеров передана Шумерлинскому и Козловскому деревообделочным комбинатам.</w:t>
      </w:r>
    </w:p>
    <w:p w14:paraId="0D76B2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(01.1940-41 г.)- И.М. Шпаков (затем- зам. директора завода № 387).</w:t>
      </w:r>
    </w:p>
    <w:p w14:paraId="1DAC48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конструктор (1940 г.)- Б.В. Кучеренко (11982).</w:t>
      </w:r>
    </w:p>
    <w:p w14:paraId="7558C8D8" w14:textId="77777777" w:rsidR="00A90F29" w:rsidRPr="00E14102" w:rsidRDefault="00A90F29" w:rsidP="00E14102">
      <w:pPr>
        <w:autoSpaceDE w:val="0"/>
        <w:autoSpaceDN w:val="0"/>
        <w:adjustRightInd w:val="0"/>
        <w:jc w:val="both"/>
        <w:rPr>
          <w:color w:val="000000" w:themeColor="text1"/>
          <w:sz w:val="16"/>
          <w:szCs w:val="16"/>
        </w:rPr>
      </w:pPr>
    </w:p>
    <w:p w14:paraId="6A1E0E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завод № 14 им. В.П. Затонского выделен из состава Станкостроительного завода № 2 им.  Г. Димитрова (ГС Завод № 462 НКАП, Завод физприборов № 14 им. В.П. Затонского /Украина  г. Днепропетровск/). В соответствии с пост, правительства от 17.08.1940 г. завод № 14 передан из НКпроса Украины в 4ГУ НКАП и по приказу № 673с от 29.11.1940 г. получил название ГС завод № 462. Заводу дополнительно к прежней продукции поручено производство поршневых колец для авиадвигателей.</w:t>
      </w:r>
    </w:p>
    <w:p w14:paraId="1E0C79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1940 г. строится новый производственный корпус, введены в строй литейный цех, котельная, электроподстанция, заводоуправление. К 1941 г. завод имел 11 корпусов общей площадью 3000 м".</w:t>
      </w:r>
    </w:p>
    <w:p w14:paraId="5FA02F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07.1941 г. завод эвакуирован в Пермь и влит в качестве цеха поршневых колец в состав завода № 19 НКАП.</w:t>
      </w:r>
    </w:p>
    <w:p w14:paraId="1F3ADA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приказу № 679с от 15.11.1943 г. на старом месте организованы Ремонтно-механические мастерские НКАП. В 02.1944 г. мастерские преобразованы в завод № 489 4ГУ НКАП.</w:t>
      </w:r>
    </w:p>
    <w:p w14:paraId="2FE5B7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Численность персонала (1.01.1941 г.)- более 1000 чел.</w:t>
      </w:r>
    </w:p>
    <w:p w14:paraId="1ABCE6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Директор (11.1940 г.-)- Н.Ф. Иванов.</w:t>
      </w:r>
    </w:p>
    <w:p w14:paraId="5BE14116"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Производство:</w:t>
      </w:r>
      <w:r w:rsidRPr="00E14102">
        <w:rPr>
          <w:color w:val="000000" w:themeColor="text1"/>
          <w:sz w:val="16"/>
          <w:szCs w:val="16"/>
        </w:rPr>
        <w:t xml:space="preserve"> токарно-винторезные станки ТВ-1, ТВ-2 (1935-38 г.); корпуса 45-мм противотанковых снарядов (1939); школьные наглядные пособия.</w:t>
      </w:r>
    </w:p>
    <w:p w14:paraId="6B8AC0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Станкостроительный завод № 2 им.  Г. Димитрова /Украина  г. Днепропетровск/</w:t>
      </w:r>
    </w:p>
    <w:p w14:paraId="44F9BBB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1926 г. были организованы мастерские «Маната» по выпуску школьных наглядных пособий и слесарного инструмента. В 1932 г. мастерские преобразованы в Станкостроительный завод № 2. В 1934 г. заводу присвоено имя  Г. Димитрова. В 1935 г. из состава завода выделяется самостоятельный завод физприборов № 14 им. В.П. Затонского, который становится головным предприятием (11982).</w:t>
      </w:r>
    </w:p>
    <w:p w14:paraId="3BA2E333" w14:textId="77777777" w:rsidR="00D4105E" w:rsidRPr="00E14102" w:rsidRDefault="00D4105E" w:rsidP="00E14102">
      <w:pPr>
        <w:autoSpaceDE w:val="0"/>
        <w:autoSpaceDN w:val="0"/>
        <w:adjustRightInd w:val="0"/>
        <w:jc w:val="both"/>
        <w:rPr>
          <w:color w:val="000000" w:themeColor="text1"/>
          <w:sz w:val="16"/>
          <w:szCs w:val="16"/>
        </w:rPr>
      </w:pPr>
    </w:p>
    <w:p w14:paraId="72F2EA33" w14:textId="77777777" w:rsidR="00A90F29" w:rsidRPr="00E14102" w:rsidRDefault="00A90F29" w:rsidP="00E14102">
      <w:pPr>
        <w:jc w:val="both"/>
        <w:rPr>
          <w:color w:val="000000" w:themeColor="text1"/>
          <w:sz w:val="16"/>
          <w:szCs w:val="16"/>
        </w:rPr>
      </w:pPr>
      <w:r w:rsidRPr="00E14102">
        <w:rPr>
          <w:color w:val="000000" w:themeColor="text1"/>
          <w:sz w:val="16"/>
          <w:szCs w:val="16"/>
        </w:rPr>
        <w:t>В 1935 году СТБ было преобразовано в Конструкторско-технологическом бюро (КТБ-27).</w:t>
      </w:r>
    </w:p>
    <w:p w14:paraId="6C0F9C16" w14:textId="77777777" w:rsidR="00A90F29" w:rsidRPr="00E14102" w:rsidRDefault="00A90F29" w:rsidP="00E14102">
      <w:pPr>
        <w:jc w:val="both"/>
        <w:rPr>
          <w:color w:val="000000" w:themeColor="text1"/>
          <w:sz w:val="16"/>
          <w:szCs w:val="16"/>
        </w:rPr>
      </w:pPr>
      <w:r w:rsidRPr="00E14102">
        <w:rPr>
          <w:color w:val="000000" w:themeColor="text1"/>
          <w:sz w:val="16"/>
          <w:szCs w:val="16"/>
        </w:rPr>
        <w:t>КТБ-27 по-прежнему существовало на территории завода № 67, но было переподчинено Главному мобилизационному управлению Наркомтяжпрома. НИО же по-прежнему оставался отделом при заводе № 67, хотя работы его и КТБ-27 были взаимосвязаны: задачей КТБ было оказание помощи спеццехам валовых заводов, производивших образцы, разрабатываемые НИО. Без визы КТБ-27 заказчик не принимал от НИО чертежей для сдачи на валовое производство.</w:t>
      </w:r>
    </w:p>
    <w:p w14:paraId="2DE3F80C" w14:textId="77777777" w:rsidR="00A90F29" w:rsidRPr="00E14102" w:rsidRDefault="00A90F29" w:rsidP="00E14102">
      <w:pPr>
        <w:jc w:val="both"/>
        <w:rPr>
          <w:color w:val="000000" w:themeColor="text1"/>
          <w:sz w:val="16"/>
          <w:szCs w:val="16"/>
        </w:rPr>
      </w:pPr>
      <w:r w:rsidRPr="00E14102">
        <w:rPr>
          <w:color w:val="000000" w:themeColor="text1"/>
          <w:sz w:val="16"/>
          <w:szCs w:val="16"/>
        </w:rPr>
        <w:t>После 1935 года КТБ-27 быстро стало пополняться кадрами. Так, в области сварки стали работать А. С. Ольшанский, В. А. Боголюбский: вопросами механической обработки и сборки занимались Ананченко, В. В. Шишкин, Д. А. Силин, Е. Т. Шестоперова, Г. П. Курин; литьем – Н. И. Соколов, В. Е. Ермолаев; вопросами измерений – А. И. Павлов, В. В. Любичев, Б. К. Ярцев, А. Н. Фролов и т. д. Начальником КТБ-27 был назначен Г. Е. Ворошнин, его заместителями – Н. И. Крупнов и Н. М. Кашкин.</w:t>
      </w:r>
    </w:p>
    <w:p w14:paraId="1DAFA82C" w14:textId="77777777" w:rsidR="00A90F29" w:rsidRPr="00E14102" w:rsidRDefault="00A90F29"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Сотрудники КТБ работали чрезвычайно оперативно. Так, альбом контрольно- мерительного инструмента заводу «Красный котельщик», который делал в это время ФАБ-250, был выслан в Таганрог через сутки. Также в течение суток был разрабоан техпроцесс на изготовление запального стакана авиабомбы ФАБ-100, и технолог тут же выехал с документами в Ростов на «Ростсельмаш».</w:t>
      </w:r>
    </w:p>
    <w:p w14:paraId="76D36238" w14:textId="77777777" w:rsidR="00A90F29" w:rsidRPr="00E14102" w:rsidRDefault="00A90F29" w:rsidP="00E14102">
      <w:pPr>
        <w:jc w:val="both"/>
        <w:rPr>
          <w:color w:val="000000" w:themeColor="text1"/>
          <w:sz w:val="16"/>
          <w:szCs w:val="16"/>
        </w:rPr>
      </w:pPr>
      <w:r w:rsidRPr="00E14102">
        <w:rPr>
          <w:color w:val="000000" w:themeColor="text1"/>
          <w:sz w:val="16"/>
          <w:szCs w:val="16"/>
        </w:rPr>
        <w:t>Вообще, система оперативной помощи была в КТБ-27 хорошо продумана: технолог по вызову с завода выезжал туда на ближайшем поезде, надо было только захватить из дому необходимые вещи. Билет он получал от специального агента, который встречал его уже на вокзале.</w:t>
      </w:r>
    </w:p>
    <w:p w14:paraId="266BEE10" w14:textId="77777777" w:rsidR="00A90F29" w:rsidRPr="00E14102" w:rsidRDefault="00A90F29" w:rsidP="00E14102">
      <w:pPr>
        <w:jc w:val="both"/>
        <w:rPr>
          <w:color w:val="000000" w:themeColor="text1"/>
          <w:sz w:val="16"/>
          <w:szCs w:val="16"/>
        </w:rPr>
      </w:pPr>
      <w:r w:rsidRPr="00E14102">
        <w:rPr>
          <w:color w:val="000000" w:themeColor="text1"/>
          <w:sz w:val="16"/>
          <w:szCs w:val="16"/>
        </w:rPr>
        <w:t>Душой этого небольшого, но слаженного коллектива был по-прежнему Г. Е. Ворошнин, сам отличавшийся необыкновенной оперативностью и подвижностью.</w:t>
      </w:r>
    </w:p>
    <w:p w14:paraId="1598AF10" w14:textId="77777777" w:rsidR="00A90F29" w:rsidRPr="00E14102" w:rsidRDefault="00A90F29" w:rsidP="00E14102">
      <w:pPr>
        <w:jc w:val="both"/>
        <w:rPr>
          <w:color w:val="000000" w:themeColor="text1"/>
          <w:sz w:val="16"/>
          <w:szCs w:val="16"/>
        </w:rPr>
      </w:pPr>
      <w:r w:rsidRPr="00E14102">
        <w:rPr>
          <w:color w:val="000000" w:themeColor="text1"/>
          <w:sz w:val="16"/>
          <w:szCs w:val="16"/>
        </w:rPr>
        <w:t>В 1937 году в КТБ-27 было организовано второе всесоюзное совещание представителей заводов, выпускающих бомбы, и военпредов с участием работников НИО. Совместное обсуждение технологических вопросов, ТУ и чертежей помогло и промышленности, и конструкторам (15794).</w:t>
      </w:r>
    </w:p>
    <w:p w14:paraId="1D80A4B9" w14:textId="77777777" w:rsidR="00A90F29" w:rsidRPr="00E14102" w:rsidRDefault="00A90F29" w:rsidP="00E14102">
      <w:pPr>
        <w:jc w:val="both"/>
        <w:rPr>
          <w:color w:val="000000" w:themeColor="text1"/>
          <w:sz w:val="16"/>
          <w:szCs w:val="16"/>
        </w:rPr>
      </w:pPr>
    </w:p>
    <w:p w14:paraId="6B3C11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завод 23 изготовил 4 гидропланера. Минно-торпедный институт сидел в Гребном порту в бывших торпедных и авиационных мастерских Планеры - по нормам прочности 1934 с перегрузкой А 10. Для проведения испытаний выделили 2 ТБ-3М-17 (АНТ-6), под крылом смонтировали специальные держатели-подвески. испытательная база ПТ - в Новгородском районе на аэродроме в Кречевицах. Испытывали в течение 1936 (154,16).</w:t>
      </w:r>
    </w:p>
    <w:p w14:paraId="7A7CAE04" w14:textId="77777777" w:rsidR="00D4105E" w:rsidRPr="00E14102" w:rsidRDefault="00D4105E" w:rsidP="00E14102">
      <w:pPr>
        <w:autoSpaceDE w:val="0"/>
        <w:autoSpaceDN w:val="0"/>
        <w:adjustRightInd w:val="0"/>
        <w:jc w:val="both"/>
        <w:rPr>
          <w:color w:val="000000" w:themeColor="text1"/>
          <w:sz w:val="16"/>
          <w:szCs w:val="16"/>
        </w:rPr>
      </w:pPr>
    </w:p>
    <w:p w14:paraId="1C2CC492" w14:textId="77777777" w:rsidR="004462A4" w:rsidRPr="00E14102" w:rsidRDefault="004462A4" w:rsidP="00E14102">
      <w:pPr>
        <w:jc w:val="both"/>
        <w:rPr>
          <w:color w:val="000000" w:themeColor="text1"/>
          <w:sz w:val="16"/>
          <w:szCs w:val="16"/>
        </w:rPr>
      </w:pPr>
      <w:r w:rsidRPr="00E14102">
        <w:rPr>
          <w:color w:val="000000" w:themeColor="text1"/>
          <w:sz w:val="16"/>
          <w:szCs w:val="16"/>
        </w:rPr>
        <w:t>В 1935 году КБ-21, бывшее ОСКОНБюро, выпустило автоматические автопилоты для ПТ. Ещё ранее для проверки схемы и проектных данных безмоторных торпед построили модели в масштабе 1/10 и 1/4 натуральной величины. В 1933 году модели 1/4 при запуске с высоты 1100 м пролетали 10-11 км.</w:t>
      </w:r>
    </w:p>
    <w:p w14:paraId="7C7DC4EA" w14:textId="77777777" w:rsidR="004462A4" w:rsidRPr="00E14102" w:rsidRDefault="004462A4" w:rsidP="00E14102">
      <w:pPr>
        <w:jc w:val="both"/>
        <w:rPr>
          <w:color w:val="000000" w:themeColor="text1"/>
          <w:sz w:val="16"/>
          <w:szCs w:val="16"/>
        </w:rPr>
      </w:pPr>
      <w:r w:rsidRPr="00E14102">
        <w:rPr>
          <w:color w:val="000000" w:themeColor="text1"/>
          <w:sz w:val="16"/>
          <w:szCs w:val="16"/>
        </w:rPr>
        <w:t>В 1935 году УМС РККА заказало промышленности четыре планера ПТ по своему тактико-техническому заданию и вспомогательные средства для их использования. Разработку планерной части ПТ поручили КБ на авиазаводе № 23 в Ленинграде, специализировав</w:t>
      </w:r>
      <w:r w:rsidRPr="00E14102">
        <w:rPr>
          <w:color w:val="000000" w:themeColor="text1"/>
          <w:sz w:val="16"/>
          <w:szCs w:val="16"/>
        </w:rPr>
        <w:softHyphen/>
        <w:t>шемся на морских самолетах. Главным конструктором был назначен Н.Г. Михельсон, ве</w:t>
      </w:r>
      <w:r w:rsidRPr="00E14102">
        <w:rPr>
          <w:color w:val="000000" w:themeColor="text1"/>
          <w:sz w:val="16"/>
          <w:szCs w:val="16"/>
        </w:rPr>
        <w:softHyphen/>
        <w:t>дущим инженером по испытаниям - начальник опытного конструкторского отдела завода И.А. Морщихин. В разработке участвовали инженеры А.А. Лихачев и С.П. Сурин.</w:t>
      </w:r>
    </w:p>
    <w:p w14:paraId="7FF847D4" w14:textId="77777777" w:rsidR="004462A4" w:rsidRPr="00E14102" w:rsidRDefault="004462A4" w:rsidP="00E14102">
      <w:pPr>
        <w:jc w:val="both"/>
        <w:rPr>
          <w:color w:val="000000" w:themeColor="text1"/>
          <w:sz w:val="16"/>
          <w:szCs w:val="16"/>
        </w:rPr>
      </w:pPr>
      <w:r w:rsidRPr="00E14102">
        <w:rPr>
          <w:color w:val="000000" w:themeColor="text1"/>
          <w:sz w:val="16"/>
          <w:szCs w:val="16"/>
        </w:rPr>
        <w:t>Систему наведения для ПТ, получившую шифр «КВАНТ», должен был разработать НИИ -10. По распоряжению УМС для работ по «ПТ» НИМТИ были переданы помещения бывших торпедных и авиационных мастерских в Гребном порту на Васильевском острове. В 1935 году завод N° 23 изготовил первые четыре гидропланера. В качестве боевой нагрузки ис</w:t>
      </w:r>
      <w:r w:rsidRPr="00E14102">
        <w:rPr>
          <w:color w:val="000000" w:themeColor="text1"/>
          <w:sz w:val="16"/>
          <w:szCs w:val="16"/>
        </w:rPr>
        <w:softHyphen/>
        <w:t>пытывали не только торпеды, но и тяжёлые авиабомбы (15845).</w:t>
      </w:r>
    </w:p>
    <w:p w14:paraId="72E895E9" w14:textId="77777777" w:rsidR="004462A4" w:rsidRPr="00E14102" w:rsidRDefault="004462A4" w:rsidP="00E14102">
      <w:pPr>
        <w:jc w:val="both"/>
        <w:rPr>
          <w:color w:val="000000" w:themeColor="text1"/>
          <w:sz w:val="16"/>
          <w:szCs w:val="16"/>
        </w:rPr>
      </w:pPr>
    </w:p>
    <w:p w14:paraId="5FCBFC43" w14:textId="77777777" w:rsidR="004462A4" w:rsidRPr="00E14102" w:rsidRDefault="004462A4" w:rsidP="00E14102">
      <w:pPr>
        <w:jc w:val="both"/>
        <w:rPr>
          <w:color w:val="000000" w:themeColor="text1"/>
          <w:sz w:val="16"/>
          <w:szCs w:val="16"/>
        </w:rPr>
      </w:pPr>
      <w:r w:rsidRPr="00E14102">
        <w:rPr>
          <w:color w:val="000000" w:themeColor="text1"/>
          <w:sz w:val="16"/>
          <w:szCs w:val="16"/>
        </w:rPr>
        <w:t>В 1935 году завод N° 23 изготовил первые четыре гидропланера. В качестве боевой нагрузки ис</w:t>
      </w:r>
      <w:r w:rsidRPr="00E14102">
        <w:rPr>
          <w:color w:val="000000" w:themeColor="text1"/>
          <w:sz w:val="16"/>
          <w:szCs w:val="16"/>
        </w:rPr>
        <w:softHyphen/>
        <w:t>пытывали не только торпеды, но и тяжёлые авиабомбы.</w:t>
      </w:r>
    </w:p>
    <w:p w14:paraId="2F99707B" w14:textId="77777777" w:rsidR="004462A4" w:rsidRPr="00E14102" w:rsidRDefault="004462A4" w:rsidP="00E14102">
      <w:pPr>
        <w:jc w:val="both"/>
        <w:rPr>
          <w:color w:val="000000" w:themeColor="text1"/>
          <w:sz w:val="16"/>
          <w:szCs w:val="16"/>
        </w:rPr>
      </w:pPr>
      <w:r w:rsidRPr="00E14102">
        <w:rPr>
          <w:color w:val="000000" w:themeColor="text1"/>
          <w:sz w:val="16"/>
          <w:szCs w:val="16"/>
        </w:rPr>
        <w:t>Что же из себя представлял Планер торпедоносец (в некоторых документах он обозна</w:t>
      </w:r>
      <w:r w:rsidRPr="00E14102">
        <w:rPr>
          <w:color w:val="000000" w:themeColor="text1"/>
          <w:sz w:val="16"/>
          <w:szCs w:val="16"/>
        </w:rPr>
        <w:softHyphen/>
        <w:t>чался как Планер Специального Назначения - ПСН) постройки завода № 23?</w:t>
      </w:r>
    </w:p>
    <w:p w14:paraId="2C7CE5DE" w14:textId="77777777" w:rsidR="004462A4" w:rsidRPr="00E14102" w:rsidRDefault="004462A4" w:rsidP="00E14102">
      <w:pPr>
        <w:jc w:val="both"/>
        <w:rPr>
          <w:color w:val="000000" w:themeColor="text1"/>
          <w:sz w:val="16"/>
          <w:szCs w:val="16"/>
        </w:rPr>
      </w:pPr>
      <w:r w:rsidRPr="00E14102">
        <w:rPr>
          <w:color w:val="000000" w:themeColor="text1"/>
          <w:sz w:val="16"/>
          <w:szCs w:val="16"/>
        </w:rPr>
        <w:t>Гидропланер конструктора Н.Г. Михельсона относился к третьей группе военных са</w:t>
      </w:r>
      <w:r w:rsidRPr="00E14102">
        <w:rPr>
          <w:color w:val="000000" w:themeColor="text1"/>
          <w:sz w:val="16"/>
          <w:szCs w:val="16"/>
        </w:rPr>
        <w:softHyphen/>
        <w:t>молетов по нормам прочности 1934 года с перегрузочным коэффициентом А-10. Размах крыла -8 м. Высота - 2,02 м. Вес полный (с пилотом, но без нагрузки) - 970 кг. Полезная нагрузка - 1000 кг. Угол поперечного V - +4°. Угол стреловидности по передней кромке крыла - 11°.</w:t>
      </w:r>
    </w:p>
    <w:p w14:paraId="4E8B3E8E" w14:textId="77777777" w:rsidR="004462A4" w:rsidRPr="00E14102" w:rsidRDefault="004462A4" w:rsidP="00E14102">
      <w:pPr>
        <w:jc w:val="both"/>
        <w:rPr>
          <w:color w:val="000000" w:themeColor="text1"/>
          <w:sz w:val="16"/>
          <w:szCs w:val="16"/>
        </w:rPr>
      </w:pPr>
      <w:r w:rsidRPr="00E14102">
        <w:rPr>
          <w:color w:val="000000" w:themeColor="text1"/>
          <w:sz w:val="16"/>
          <w:szCs w:val="16"/>
        </w:rPr>
        <w:t>Наводящее устройство системы КВАНТ состояло из трёх прожекторов, смонтиро</w:t>
      </w:r>
      <w:r w:rsidRPr="00E14102">
        <w:rPr>
          <w:color w:val="000000" w:themeColor="text1"/>
          <w:sz w:val="16"/>
          <w:szCs w:val="16"/>
        </w:rPr>
        <w:softHyphen/>
        <w:t>ванных вместе со вспомогательным оборудо</w:t>
      </w:r>
      <w:r w:rsidRPr="00E14102">
        <w:rPr>
          <w:color w:val="000000" w:themeColor="text1"/>
          <w:sz w:val="16"/>
          <w:szCs w:val="16"/>
        </w:rPr>
        <w:softHyphen/>
        <w:t>ванием снизу на фюзеляже самолета ТБ-3.</w:t>
      </w:r>
    </w:p>
    <w:p w14:paraId="4EEB9D4F" w14:textId="77777777" w:rsidR="004462A4" w:rsidRPr="00E14102" w:rsidRDefault="004462A4" w:rsidP="00E14102">
      <w:pPr>
        <w:jc w:val="both"/>
        <w:rPr>
          <w:color w:val="000000" w:themeColor="text1"/>
          <w:sz w:val="16"/>
          <w:szCs w:val="16"/>
        </w:rPr>
      </w:pPr>
      <w:r w:rsidRPr="00E14102">
        <w:rPr>
          <w:color w:val="000000" w:themeColor="text1"/>
          <w:sz w:val="16"/>
          <w:szCs w:val="16"/>
        </w:rPr>
        <w:t>Комиссия в составе инженеров И.Ф Незваля, Н.Н. Фадеева, А.К. Мартынова и В.Н. Матвеева с участием инженеров института телемеханики и связи З.И. Эрос и В.Д. Калмы</w:t>
      </w:r>
      <w:r w:rsidRPr="00E14102">
        <w:rPr>
          <w:color w:val="000000" w:themeColor="text1"/>
          <w:sz w:val="16"/>
          <w:szCs w:val="16"/>
        </w:rPr>
        <w:softHyphen/>
        <w:t>кова рассмотрели общие виды установки «КВАНТ» в результате испытания модели уста</w:t>
      </w:r>
      <w:r w:rsidRPr="00E14102">
        <w:rPr>
          <w:color w:val="000000" w:themeColor="text1"/>
          <w:sz w:val="16"/>
          <w:szCs w:val="16"/>
        </w:rPr>
        <w:softHyphen/>
        <w:t>новки в аэродинамической трубе ЭАС ЦАГИ и, заслушав объяснения Эрос и Калмыкова, постановила: «Влияние установки указанного объекта на летные качества самолета ТБ-3 выразится в уменьшении максимальной скорости в пределах 4-5%» (15845).</w:t>
      </w:r>
    </w:p>
    <w:p w14:paraId="3FFEC3BB" w14:textId="77777777" w:rsidR="004462A4" w:rsidRPr="00E14102" w:rsidRDefault="004462A4" w:rsidP="00E14102">
      <w:pPr>
        <w:jc w:val="both"/>
        <w:rPr>
          <w:color w:val="000000" w:themeColor="text1"/>
          <w:sz w:val="16"/>
          <w:szCs w:val="16"/>
        </w:rPr>
      </w:pPr>
    </w:p>
    <w:p w14:paraId="2BA7A3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на 23 заводе были готовы первые 4 гидропланера, названные ПСН-1 (планер специального назначения). Размах крыльев ПСН достигал 8 м, высота превышала 2 мм, масса конструкции 970 кг, а полезной нагрузки - 1000 кг. По нормам прочности планер относился к третьей группе военных самолетов с перегрузочным коэффициентом А-10 (3861).</w:t>
      </w:r>
    </w:p>
    <w:p w14:paraId="592D5D5B" w14:textId="77777777" w:rsidR="00D4105E" w:rsidRPr="00E14102" w:rsidRDefault="00D4105E" w:rsidP="00E14102">
      <w:pPr>
        <w:autoSpaceDE w:val="0"/>
        <w:autoSpaceDN w:val="0"/>
        <w:adjustRightInd w:val="0"/>
        <w:jc w:val="both"/>
        <w:rPr>
          <w:color w:val="000000" w:themeColor="text1"/>
          <w:sz w:val="16"/>
          <w:szCs w:val="16"/>
        </w:rPr>
      </w:pPr>
    </w:p>
    <w:p w14:paraId="3C6346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на основании результатов проведенных экспериментальных работ промышленности был сделан заказ на изготовление ПТ и вспомогательных средств для их использования по тактико-техническому заданию УМС РККА. Выпуск опытной партии ПТ поручили ОКБ завода N23 в Ленинграде, а создание системы наведения (кодовое обозначение "Квант") — НИИ N10 Наркомата оборонной промышленности (НКОП). УМС своим распоряжением передало Научно-исследовательскому минно-торпедному институту помещения бывших торпедных и авиационных мастерских и ангаров в Гребном порту. В 1935 году завод N23 изготовил первые 4 гидропланера, получившие название ПСН-1 (планер специального назначения), со следующими характеристиками: размах крыльев 8000 мм; высота 2020 мм; масса конструкции 970 кг; полезная нагрузка 1000 кг. По нормам прочности 1934 года планер относился к третьей группе военных самолетов с перегрузочным коэффициентом А-10. В августе в Ленинграде проводилась контрольная буксировка ПТ без отцепления за самолетом Р-5.</w:t>
      </w:r>
    </w:p>
    <w:p w14:paraId="47A2B8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Для полномасштабных летных испытаний ПТ в качестве самолета-матки были выделены два самолета — ТБ-3 и М-17, под каждым крылом которых смонтировали специальные держатели. Экспериментальная база ПТ размещалась в районе Новгорода на аэродроме в Кречевицах. На расположенном рядом озере проходили буксировочные испытания торпеды на воде с подлетом на небольшую высоту на буксире за самолетом Р-6. и отчете, составленном по их результату, говорилось: "Планер N3 с реданом (уступом на днище) сцеплен тросом 120 м с самолетом Р-6 (АНТ-7). При пробежке на буксире планер показал хорошие мореходность на волне и управляемость, что дало возможность держаться не в струе самолета, а в стороне. Планер на скорости 95-100 км/ ч был два раза оторван от воды. На третьем отрыве произвел отцепление от самолета, посадка нормальная. Самолет-буксировщик вел летчик Бирбуц, а планер пилотировал летчик-испытатель НИМТИ Иванов. Можно с полным основанием считать, что эти испытания стали первыми в нашей стране. Нет сведений и о мировой практике буксировки и взлета планера с воды при нагрузке 75 кг на 1 кв. м несущей поверхности" (12040).</w:t>
      </w:r>
    </w:p>
    <w:p w14:paraId="488E9D0A" w14:textId="77777777" w:rsidR="00D4105E" w:rsidRPr="00E14102" w:rsidRDefault="00D4105E" w:rsidP="00E14102">
      <w:pPr>
        <w:autoSpaceDE w:val="0"/>
        <w:autoSpaceDN w:val="0"/>
        <w:adjustRightInd w:val="0"/>
        <w:jc w:val="both"/>
        <w:rPr>
          <w:color w:val="000000" w:themeColor="text1"/>
          <w:sz w:val="16"/>
          <w:szCs w:val="16"/>
        </w:rPr>
      </w:pPr>
    </w:p>
    <w:p w14:paraId="222B5BBB" w14:textId="77777777" w:rsidR="00543DB7" w:rsidRPr="00E14102" w:rsidRDefault="00543DB7" w:rsidP="00E14102">
      <w:pPr>
        <w:shd w:val="clear" w:color="auto" w:fill="FFFFFF"/>
        <w:jc w:val="both"/>
        <w:rPr>
          <w:color w:val="000000" w:themeColor="text1"/>
          <w:sz w:val="16"/>
          <w:szCs w:val="16"/>
        </w:rPr>
      </w:pPr>
      <w:r w:rsidRPr="00E14102">
        <w:rPr>
          <w:color w:val="000000" w:themeColor="text1"/>
          <w:sz w:val="16"/>
          <w:szCs w:val="16"/>
        </w:rPr>
        <w:t>В 1935 г. в АГОС проводились серьезные работы по крат ковременному и резкому повышению скорости истребителя.</w:t>
      </w:r>
    </w:p>
    <w:p w14:paraId="746AD944" w14:textId="77777777" w:rsidR="00543DB7" w:rsidRPr="00E14102" w:rsidRDefault="00543DB7" w:rsidP="00E14102">
      <w:pPr>
        <w:shd w:val="clear" w:color="auto" w:fill="FFFFFF"/>
        <w:jc w:val="both"/>
        <w:rPr>
          <w:color w:val="000000" w:themeColor="text1"/>
          <w:sz w:val="16"/>
          <w:szCs w:val="16"/>
        </w:rPr>
      </w:pPr>
      <w:r w:rsidRPr="00E14102">
        <w:rPr>
          <w:color w:val="000000" w:themeColor="text1"/>
          <w:sz w:val="16"/>
          <w:szCs w:val="16"/>
        </w:rPr>
        <w:t>Для решения этого вопроса проводились эксперименты, истре битель И-4 снаряжали реактивными ускорителями типа РНИИ.</w:t>
      </w:r>
    </w:p>
    <w:p w14:paraId="421DF8B8" w14:textId="77777777" w:rsidR="00543DB7" w:rsidRPr="00E14102" w:rsidRDefault="00543DB7" w:rsidP="00E14102">
      <w:pPr>
        <w:shd w:val="clear" w:color="auto" w:fill="FFFFFF"/>
        <w:jc w:val="both"/>
        <w:rPr>
          <w:color w:val="000000" w:themeColor="text1"/>
          <w:sz w:val="16"/>
          <w:szCs w:val="16"/>
        </w:rPr>
      </w:pPr>
      <w:r w:rsidRPr="00E14102">
        <w:rPr>
          <w:color w:val="000000" w:themeColor="text1"/>
          <w:sz w:val="16"/>
          <w:szCs w:val="16"/>
        </w:rPr>
        <w:t>С этой целью изготовили шесть пороховых ракет, которые ус танавливались по три с каждой стороны машины. Тяга каж дой ракеты составляла 450...500 кгс, время горения 2,5 с, длина Ракеты — 0,6 м, диаметр ракеты — 0,11 м. Первоначально ра кеты давали тягу 250 кгс при массе 5 кг каждой, в том числе п орохового заряда. В 1936 г. эти работы были приостановле на. Их возобновили позже, устанавливая ТТУ на самолете И-15.</w:t>
      </w:r>
    </w:p>
    <w:p w14:paraId="12DB7DCB" w14:textId="77777777" w:rsidR="00543DB7" w:rsidRPr="00E14102" w:rsidRDefault="00543DB7" w:rsidP="00E14102">
      <w:pPr>
        <w:shd w:val="clear" w:color="auto" w:fill="FFFFFF"/>
        <w:jc w:val="both"/>
        <w:rPr>
          <w:color w:val="000000" w:themeColor="text1"/>
          <w:sz w:val="16"/>
          <w:szCs w:val="16"/>
        </w:rPr>
      </w:pPr>
      <w:r w:rsidRPr="00E14102">
        <w:rPr>
          <w:color w:val="000000" w:themeColor="text1"/>
          <w:sz w:val="16"/>
          <w:szCs w:val="16"/>
        </w:rPr>
        <w:t>В 1943 г. были проведены опыты с установкой пороховых ускорителей на бомбардировщике Пе-2 (летчик-испытатель М.Л. Галлай). Эти опыты не получили дальнейшего развития (19586).</w:t>
      </w:r>
    </w:p>
    <w:p w14:paraId="09758B26" w14:textId="77777777" w:rsidR="00543DB7" w:rsidRPr="00E14102" w:rsidRDefault="00543DB7" w:rsidP="00E14102">
      <w:pPr>
        <w:shd w:val="clear" w:color="auto" w:fill="FFFFFF"/>
        <w:jc w:val="both"/>
        <w:rPr>
          <w:color w:val="000000" w:themeColor="text1"/>
          <w:sz w:val="16"/>
          <w:szCs w:val="16"/>
        </w:rPr>
      </w:pPr>
    </w:p>
    <w:p w14:paraId="7D67DF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систематические стрельбы РС с И-15 показали, что при стрельбе с летящего точность повышается (177,158).</w:t>
      </w:r>
    </w:p>
    <w:p w14:paraId="14EFB85E" w14:textId="77777777" w:rsidR="00D4105E" w:rsidRPr="00E14102" w:rsidRDefault="00D4105E" w:rsidP="00E14102">
      <w:pPr>
        <w:autoSpaceDE w:val="0"/>
        <w:autoSpaceDN w:val="0"/>
        <w:adjustRightInd w:val="0"/>
        <w:jc w:val="both"/>
        <w:rPr>
          <w:color w:val="000000" w:themeColor="text1"/>
          <w:sz w:val="16"/>
          <w:szCs w:val="16"/>
        </w:rPr>
      </w:pPr>
    </w:p>
    <w:p w14:paraId="4B80A4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в РНИИ по предложению Г.Э.Лангемака возникло направление вооружения авиации бомбами с ракетными двигателями в качестве разгонного средства, чтобы увеличить скорость бомбы у цели. Бомбы называли ДС - добавленной скорости и были в двух вариантах: бетонобойные - БЕТАБ-ДС и бронебойные БРАБ-ДС и для обоих отработали двигатели диаметром 203 и 254 мм (1233,45).</w:t>
      </w:r>
    </w:p>
    <w:p w14:paraId="213843A0" w14:textId="77777777" w:rsidR="00D4105E" w:rsidRPr="00E14102" w:rsidRDefault="00D4105E" w:rsidP="00E14102">
      <w:pPr>
        <w:autoSpaceDE w:val="0"/>
        <w:autoSpaceDN w:val="0"/>
        <w:adjustRightInd w:val="0"/>
        <w:jc w:val="both"/>
        <w:rPr>
          <w:color w:val="000000" w:themeColor="text1"/>
          <w:sz w:val="16"/>
          <w:szCs w:val="16"/>
        </w:rPr>
      </w:pPr>
    </w:p>
    <w:p w14:paraId="06871F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1935 г.М.Н. Тухачевский утвердил задание на "самонаправляющуюся воздушную торпеду" с фотоэлектрическим наведением (на источник света). Надо понимать, собирались выпускать ее ночью по хорошо освещенным объектам. Задание требовало от нее скорость "не менее 900 км/ч" и дальность полета 15 - 20 км. Известно, что, по крайней мере, головка самонаведения для нее была создана и проходила испытания на планере (12036).</w:t>
      </w:r>
    </w:p>
    <w:p w14:paraId="08C1EBD7" w14:textId="77777777" w:rsidR="00D4105E" w:rsidRPr="00E14102" w:rsidRDefault="00D4105E" w:rsidP="00E14102">
      <w:pPr>
        <w:autoSpaceDE w:val="0"/>
        <w:autoSpaceDN w:val="0"/>
        <w:adjustRightInd w:val="0"/>
        <w:jc w:val="both"/>
        <w:rPr>
          <w:color w:val="000000" w:themeColor="text1"/>
          <w:sz w:val="16"/>
          <w:szCs w:val="16"/>
        </w:rPr>
      </w:pPr>
    </w:p>
    <w:p w14:paraId="128149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И. В. Савин и А. К. Норов разработали образец пулемета, имеющего темп стрельбы 2800-3000 выстрелов. Такая высокая скорострельность была достигнута за счет сокращения времени, необходимого для полного цикла перезаряжания, путем применения принципа отвода пороховых газов при движении ствола вперед.</w:t>
      </w:r>
    </w:p>
    <w:p w14:paraId="04DD8A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1936 г. авиационный пулемет системы Савина - Норова (СП) успешно прошел испытания. 8 июня 1937 г. Комитет Обороны постановил дать заказ на серийный выпуск пулемета СП, присвоив ему наименование «7,62-мм скорострельный авиационный пулемет обр. 1937 г. системы Савина - Норова» (11316).</w:t>
      </w:r>
    </w:p>
    <w:p w14:paraId="4212D70D" w14:textId="77777777" w:rsidR="00D4105E" w:rsidRPr="00E14102" w:rsidRDefault="00D4105E" w:rsidP="00E14102">
      <w:pPr>
        <w:autoSpaceDE w:val="0"/>
        <w:autoSpaceDN w:val="0"/>
        <w:adjustRightInd w:val="0"/>
        <w:jc w:val="both"/>
        <w:rPr>
          <w:color w:val="000000" w:themeColor="text1"/>
          <w:sz w:val="16"/>
          <w:szCs w:val="16"/>
        </w:rPr>
      </w:pPr>
    </w:p>
    <w:p w14:paraId="67D0D47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специалисты РНИИ провели заводские испытания на безопасность стрельбы и рассеивание авиа</w:t>
      </w:r>
      <w:r w:rsidRPr="00E14102">
        <w:rPr>
          <w:color w:val="000000" w:themeColor="text1"/>
          <w:sz w:val="16"/>
          <w:szCs w:val="16"/>
        </w:rPr>
        <w:softHyphen/>
        <w:t>ционных ракетно-осколочных снарядов РОС-82 модели 2-01171 на Ржевском НИАП под Ленинградом. Сначала на земле с истребителя И-4 отстреляли небольшую партию бое</w:t>
      </w:r>
      <w:r w:rsidRPr="00E14102">
        <w:rPr>
          <w:color w:val="000000" w:themeColor="text1"/>
          <w:sz w:val="16"/>
          <w:szCs w:val="16"/>
        </w:rPr>
        <w:softHyphen/>
        <w:t>припасов с целью проверки влияния пламени на фюзеляж и хвостовое оперение самолетов, выполненные из деревянного силового набора и оклеенные тканью, пропитанной лаком. Их результаты показали, что летчик и самолет не подвергаются воздействию «газовой струи», отдача на машину при стрельбе незначительна, однако мала надежность систе</w:t>
      </w:r>
      <w:r w:rsidRPr="00E14102">
        <w:rPr>
          <w:color w:val="000000" w:themeColor="text1"/>
          <w:sz w:val="16"/>
          <w:szCs w:val="16"/>
        </w:rPr>
        <w:softHyphen/>
        <w:t>мы электровоспламенения, а нижняя часть обшивки крыла требует до</w:t>
      </w:r>
      <w:r w:rsidRPr="00E14102">
        <w:rPr>
          <w:color w:val="000000" w:themeColor="text1"/>
          <w:sz w:val="16"/>
          <w:szCs w:val="16"/>
        </w:rPr>
        <w:softHyphen/>
        <w:t>полнительной защиты листами из алюминиевых сплавов.</w:t>
      </w:r>
    </w:p>
    <w:p w14:paraId="517351F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Затем самолет установили и закрепили на специально выстроен</w:t>
      </w:r>
      <w:r w:rsidRPr="00E14102">
        <w:rPr>
          <w:color w:val="000000" w:themeColor="text1"/>
          <w:sz w:val="16"/>
          <w:szCs w:val="16"/>
        </w:rPr>
        <w:softHyphen/>
        <w:t>ном бревенчатом помосте. Изменяя высоту задней опоры, самолету придавали положение, имитирующее пологое кабрирование или гори</w:t>
      </w:r>
      <w:r w:rsidRPr="00E14102">
        <w:rPr>
          <w:color w:val="000000" w:themeColor="text1"/>
          <w:sz w:val="16"/>
          <w:szCs w:val="16"/>
        </w:rPr>
        <w:softHyphen/>
        <w:t>зонтальный полет. Стрельбу вели по фанерным щитам, установлен</w:t>
      </w:r>
      <w:r w:rsidRPr="00E14102">
        <w:rPr>
          <w:color w:val="000000" w:themeColor="text1"/>
          <w:sz w:val="16"/>
          <w:szCs w:val="16"/>
        </w:rPr>
        <w:softHyphen/>
        <w:t>ным на различных дальностях. Довольно неплохие первые результаты показали, что с увеличением дальности стрельбы абсолютная и отно</w:t>
      </w:r>
      <w:r w:rsidRPr="00E14102">
        <w:rPr>
          <w:color w:val="000000" w:themeColor="text1"/>
          <w:sz w:val="16"/>
          <w:szCs w:val="16"/>
        </w:rPr>
        <w:softHyphen/>
        <w:t>сительная величина рассеивания уменьшаются. Но если с относитель</w:t>
      </w:r>
      <w:r w:rsidRPr="00E14102">
        <w:rPr>
          <w:color w:val="000000" w:themeColor="text1"/>
          <w:sz w:val="16"/>
          <w:szCs w:val="16"/>
        </w:rPr>
        <w:softHyphen/>
        <w:t>ными параметрами здесь было все понятно, то в отношении абсолют</w:t>
      </w:r>
      <w:r w:rsidRPr="00E14102">
        <w:rPr>
          <w:color w:val="000000" w:themeColor="text1"/>
          <w:sz w:val="16"/>
          <w:szCs w:val="16"/>
        </w:rPr>
        <w:softHyphen/>
        <w:t>ных величин...</w:t>
      </w:r>
    </w:p>
    <w:p w14:paraId="501C32D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Кстати, развенчивая легенду аварийности при стрельбе РС... За пери</w:t>
      </w:r>
      <w:r w:rsidRPr="00E14102">
        <w:rPr>
          <w:color w:val="000000" w:themeColor="text1"/>
          <w:sz w:val="16"/>
          <w:szCs w:val="16"/>
        </w:rPr>
        <w:softHyphen/>
        <w:t>од испытаний 1933-1934 гг. было выпущено 380 штук РС-82 и РС-132. Разрывы камеры двигателя РС-82 составили вероятность 0,5%, а единст</w:t>
      </w:r>
      <w:r w:rsidRPr="00E14102">
        <w:rPr>
          <w:color w:val="000000" w:themeColor="text1"/>
          <w:sz w:val="16"/>
          <w:szCs w:val="16"/>
        </w:rPr>
        <w:softHyphen/>
        <w:t>венная выбитая крышка-сопло у РС-132 - вероятность 1,25%. При от</w:t>
      </w:r>
      <w:r w:rsidRPr="00E14102">
        <w:rPr>
          <w:color w:val="000000" w:themeColor="text1"/>
          <w:sz w:val="16"/>
          <w:szCs w:val="16"/>
        </w:rPr>
        <w:softHyphen/>
        <w:t>стрелах в этот же период 203-мм гаубичных артснарядов с порохами но</w:t>
      </w:r>
      <w:r w:rsidRPr="00E14102">
        <w:rPr>
          <w:color w:val="000000" w:themeColor="text1"/>
          <w:sz w:val="16"/>
          <w:szCs w:val="16"/>
        </w:rPr>
        <w:softHyphen/>
        <w:t>вой партии аварийность была куда выше, а у артсистем отрывало стволы. И ничего, - это обычный рабочий процесс исследований. Так что инси</w:t>
      </w:r>
      <w:r w:rsidRPr="00E14102">
        <w:rPr>
          <w:color w:val="000000" w:themeColor="text1"/>
          <w:sz w:val="16"/>
          <w:szCs w:val="16"/>
        </w:rPr>
        <w:softHyphen/>
        <w:t>нуации относительно опасности и ненадежности РС на их фоне - жал</w:t>
      </w:r>
      <w:r w:rsidRPr="00E14102">
        <w:rPr>
          <w:color w:val="000000" w:themeColor="text1"/>
          <w:sz w:val="16"/>
          <w:szCs w:val="16"/>
        </w:rPr>
        <w:softHyphen/>
        <w:t>кий миф, призванный оправдать поступки противников ракетного ору</w:t>
      </w:r>
      <w:r w:rsidRPr="00E14102">
        <w:rPr>
          <w:color w:val="000000" w:themeColor="text1"/>
          <w:sz w:val="16"/>
          <w:szCs w:val="16"/>
        </w:rPr>
        <w:softHyphen/>
        <w:t>жия в тот период. Жаль, что до сих пор он претендует на роль официаль</w:t>
      </w:r>
      <w:r w:rsidRPr="00E14102">
        <w:rPr>
          <w:color w:val="000000" w:themeColor="text1"/>
          <w:sz w:val="16"/>
          <w:szCs w:val="16"/>
        </w:rPr>
        <w:softHyphen/>
        <w:t>ной версии развития событий.</w:t>
      </w:r>
    </w:p>
    <w:p w14:paraId="64D65DB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пояснения отличия каждого последующего образца от предыду</w:t>
      </w:r>
      <w:r w:rsidRPr="00E14102">
        <w:rPr>
          <w:color w:val="000000" w:themeColor="text1"/>
          <w:sz w:val="16"/>
          <w:szCs w:val="16"/>
        </w:rPr>
        <w:softHyphen/>
        <w:t>щего, необходимо составить полное представление хотя бы о первом об</w:t>
      </w:r>
      <w:r w:rsidRPr="00E14102">
        <w:rPr>
          <w:color w:val="000000" w:themeColor="text1"/>
          <w:sz w:val="16"/>
          <w:szCs w:val="16"/>
        </w:rPr>
        <w:softHyphen/>
        <w:t>разце РС-82 модели 2-01171 промышленного изготовления 1935 г. На</w:t>
      </w:r>
      <w:r w:rsidRPr="00E14102">
        <w:rPr>
          <w:color w:val="000000" w:themeColor="text1"/>
          <w:sz w:val="16"/>
          <w:szCs w:val="16"/>
        </w:rPr>
        <w:softHyphen/>
        <w:t>помним, что его прототипом был «ракетный бризантный снаряд» РС-82 той же модели (партии для полигонных испытаний) неудачного произ</w:t>
      </w:r>
      <w:r w:rsidRPr="00E14102">
        <w:rPr>
          <w:color w:val="000000" w:themeColor="text1"/>
          <w:sz w:val="16"/>
          <w:szCs w:val="16"/>
        </w:rPr>
        <w:softHyphen/>
        <w:t>водства 1934 г. Хотя, изначально, по кодификации ГДЛ УВИ НВ РККА, он значился опытным РС-82 модели 1454.</w:t>
      </w:r>
    </w:p>
    <w:p w14:paraId="0ED5C4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Если следовать техническим понятиям и терминологии тех лет, сна</w:t>
      </w:r>
      <w:r w:rsidRPr="00E14102">
        <w:rPr>
          <w:color w:val="000000" w:themeColor="text1"/>
          <w:sz w:val="16"/>
          <w:szCs w:val="16"/>
        </w:rPr>
        <w:softHyphen/>
        <w:t>ряд (рис. 1.1) состоял из частей - головной (боевой) и ракетной. Основ</w:t>
      </w:r>
      <w:r w:rsidRPr="00E14102">
        <w:rPr>
          <w:color w:val="000000" w:themeColor="text1"/>
          <w:sz w:val="16"/>
          <w:szCs w:val="16"/>
        </w:rPr>
        <w:softHyphen/>
        <w:t>ное назначение боеприпаса — «стрельба по крупным авиасоединениям, отдельным крупным самолетам (типа ТБ) противника, а также аэроста</w:t>
      </w:r>
      <w:r w:rsidRPr="00E14102">
        <w:rPr>
          <w:color w:val="000000" w:themeColor="text1"/>
          <w:sz w:val="16"/>
          <w:szCs w:val="16"/>
        </w:rPr>
        <w:softHyphen/>
        <w:t>там заграждения». Наряду с этим, было определено и вспомогательное назначение — «уничтожение живой силы противника, разрушение лег</w:t>
      </w:r>
      <w:r w:rsidRPr="00E14102">
        <w:rPr>
          <w:color w:val="000000" w:themeColor="text1"/>
          <w:sz w:val="16"/>
          <w:szCs w:val="16"/>
        </w:rPr>
        <w:softHyphen/>
        <w:t>ких сооружений (посильных для разрушения по мощности снаряда) и легких надводных судов и подводных лодок на проходе над целью».</w:t>
      </w:r>
    </w:p>
    <w:p w14:paraId="39D370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Корпус БЧ представлял собой стальной стакан длиной 114,2-115,8 мм (у прототипа - 114,5-115,5) с толщиной стенок 10 мм (у прототипа — 9,5 мм), открытый в донной части. Его передняя часть была слегка закругле</w:t>
      </w:r>
      <w:r w:rsidRPr="00E14102">
        <w:rPr>
          <w:color w:val="000000" w:themeColor="text1"/>
          <w:sz w:val="16"/>
          <w:szCs w:val="16"/>
        </w:rPr>
        <w:softHyphen/>
        <w:t>на для создания аэродинамически плавного перехода с корпусом голов</w:t>
      </w:r>
      <w:r w:rsidRPr="00E14102">
        <w:rPr>
          <w:color w:val="000000" w:themeColor="text1"/>
          <w:sz w:val="16"/>
          <w:szCs w:val="16"/>
        </w:rPr>
        <w:softHyphen/>
        <w:t>ной дистанционной трубки АГДТ-А. Посадочная площадка для взрыва</w:t>
      </w:r>
      <w:r w:rsidRPr="00E14102">
        <w:rPr>
          <w:color w:val="000000" w:themeColor="text1"/>
          <w:sz w:val="16"/>
          <w:szCs w:val="16"/>
        </w:rPr>
        <w:softHyphen/>
        <w:t>теля - диаметром 64 мм.</w:t>
      </w:r>
    </w:p>
    <w:p w14:paraId="7F833DE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стыковки с двигателем служила внутренняя резьба в задней (дон</w:t>
      </w:r>
      <w:r w:rsidRPr="00E14102">
        <w:rPr>
          <w:color w:val="000000" w:themeColor="text1"/>
          <w:sz w:val="16"/>
          <w:szCs w:val="16"/>
        </w:rPr>
        <w:softHyphen/>
        <w:t>ной) части корпуса БЧ диаметром 65 мм, нарезанная на глубину 10 мм. Боевым зарядом служил сульфитный тротил, снаряженный в БЧ мето</w:t>
      </w:r>
      <w:r w:rsidRPr="00E14102">
        <w:rPr>
          <w:color w:val="000000" w:themeColor="text1"/>
          <w:sz w:val="16"/>
          <w:szCs w:val="16"/>
        </w:rPr>
        <w:softHyphen/>
        <w:t>дом горячей заливки со стороны головного очка. При этом для выпуска воздуха на переднем срезе корпуса БЧ служило технологическое отвер</w:t>
      </w:r>
      <w:r w:rsidRPr="00E14102">
        <w:rPr>
          <w:color w:val="000000" w:themeColor="text1"/>
          <w:sz w:val="16"/>
          <w:szCs w:val="16"/>
        </w:rPr>
        <w:softHyphen/>
        <w:t>стие диаметром 3 мм. Ровный задний срез ВВ после заливки тротилом, на глубине 10 мм от заднего среза БЧ формировали на токарных станках плоским ножом (фрезой).</w:t>
      </w:r>
    </w:p>
    <w:p w14:paraId="68EB5CD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Между тем в цилиндрическом выступе высотой 10 мм с наружной резьбой на корпусе двигателя, предназначенном для стыковки с БЧ, для облегчения конструкции выполняли выборку металла на глубину 10 мм с диаметром 53 мм. Эту полость продуктивно не использовали. Она ограничивала количество ВВ, хотя, возможно, изолировала боевой заряд от разогретого двигателя. На дно этой полости со стороны БЧ укладыва</w:t>
      </w:r>
      <w:r w:rsidRPr="00E14102">
        <w:rPr>
          <w:color w:val="000000" w:themeColor="text1"/>
          <w:sz w:val="16"/>
          <w:szCs w:val="16"/>
        </w:rPr>
        <w:softHyphen/>
        <w:t>ли асбестовую прокладку и слой гипса толщиной 4 мм. На него сверху до краев заливали слой парафина толщиной 6 мм (у прототипа полость ни</w:t>
      </w:r>
      <w:r w:rsidRPr="00E14102">
        <w:rPr>
          <w:color w:val="000000" w:themeColor="text1"/>
          <w:sz w:val="16"/>
          <w:szCs w:val="16"/>
        </w:rPr>
        <w:softHyphen/>
        <w:t>чем не заполняли, то есть, оставалась воздушная подушка).</w:t>
      </w:r>
    </w:p>
    <w:p w14:paraId="2854FF9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Гнездо в боевом заряде под тетриловую шашку дополнительного де</w:t>
      </w:r>
      <w:r w:rsidRPr="00E14102">
        <w:rPr>
          <w:color w:val="000000" w:themeColor="text1"/>
          <w:sz w:val="16"/>
          <w:szCs w:val="16"/>
        </w:rPr>
        <w:softHyphen/>
        <w:t>тонатора сверлили через резьбовое отверстие в БЧ. Затем в него устанав</w:t>
      </w:r>
      <w:r w:rsidRPr="00E14102">
        <w:rPr>
          <w:color w:val="000000" w:themeColor="text1"/>
          <w:sz w:val="16"/>
          <w:szCs w:val="16"/>
        </w:rPr>
        <w:softHyphen/>
        <w:t>ливали переходную втулку (у прототипа втулки не было, и при сверлов</w:t>
      </w:r>
      <w:r w:rsidRPr="00E14102">
        <w:rPr>
          <w:color w:val="000000" w:themeColor="text1"/>
          <w:sz w:val="16"/>
          <w:szCs w:val="16"/>
        </w:rPr>
        <w:softHyphen/>
        <w:t>ке ВВ забивалось в резьбу головного очка). В свою очередь, во втулке также было выполнено резьбовое отверстие (головное очко) диаметром 25,4 мм для установки взрывателей. Прессованная шашка дополнитель ного детонатора из тетрила массой 24 г имела диаметр 23 мм и высоту 31 мм. Со стороны взрывателя в ней - глухое отверстие глубиной 12 мм для дополнительного детонатора дистанционной трубки.</w:t>
      </w:r>
    </w:p>
    <w:p w14:paraId="5FDF18A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организованного дробления на осколки заданной массы, на корпусе БЧ фрезеровали 20 продольных и один поперечный коль</w:t>
      </w:r>
      <w:r w:rsidRPr="00E14102">
        <w:rPr>
          <w:color w:val="000000" w:themeColor="text1"/>
          <w:sz w:val="16"/>
          <w:szCs w:val="16"/>
        </w:rPr>
        <w:softHyphen/>
        <w:t>цевой надрезы глубиной 3 мм (у прототипа — шириной и глубиной 0,3-0,5 мм) равнобедренного треугольного профиля. Поперечный надрез был выполнен на расстоянии 45 мм от переднего среза БЧ, как раз на границе перехода от оживальной к цилиндрической части кор</w:t>
      </w:r>
      <w:r w:rsidRPr="00E14102">
        <w:rPr>
          <w:color w:val="000000" w:themeColor="text1"/>
          <w:sz w:val="16"/>
          <w:szCs w:val="16"/>
        </w:rPr>
        <w:softHyphen/>
        <w:t>пуса. Его профиль - в виде равнобедренного прямоугольного тре</w:t>
      </w:r>
      <w:r w:rsidRPr="00E14102">
        <w:rPr>
          <w:color w:val="000000" w:themeColor="text1"/>
          <w:sz w:val="16"/>
          <w:szCs w:val="16"/>
        </w:rPr>
        <w:softHyphen/>
        <w:t>угольника с пологим скосом по полету снаряда (у прототипа — глуби</w:t>
      </w:r>
      <w:r w:rsidRPr="00E14102">
        <w:rPr>
          <w:color w:val="000000" w:themeColor="text1"/>
          <w:sz w:val="16"/>
          <w:szCs w:val="16"/>
        </w:rPr>
        <w:softHyphen/>
        <w:t>ной не менее 0,5 мм, а на ранних моделях его профиль — в виде пря</w:t>
      </w:r>
      <w:r w:rsidRPr="00E14102">
        <w:rPr>
          <w:color w:val="000000" w:themeColor="text1"/>
          <w:sz w:val="16"/>
          <w:szCs w:val="16"/>
        </w:rPr>
        <w:softHyphen/>
        <w:t>моугольной канавки).</w:t>
      </w:r>
    </w:p>
    <w:p w14:paraId="0CC0B6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затягивания БЧ ключом при сборке снаряда, на цилиндрической части ее корпуса с двух противоположных сторон были выполнены два глухих отверстия диаметром 8 мм (у прототипа — одно на расстоянии 15 мм от донного среза БЧ). Кроме того, положение головной втулки с взрывателем, а также БЧ с ракетной частью дополнительно фиксирова</w:t>
      </w:r>
      <w:r w:rsidRPr="00E14102">
        <w:rPr>
          <w:color w:val="000000" w:themeColor="text1"/>
          <w:sz w:val="16"/>
          <w:szCs w:val="16"/>
        </w:rPr>
        <w:softHyphen/>
        <w:t>ли контровочными винтами. БЧ дополняла установленная внутри стальная цилиндрическая тонкостенная манжета (второй корпус БЧ) длиной 60 мм для улучшения дробления корпуса БЧ по надрезам.</w:t>
      </w:r>
    </w:p>
    <w:p w14:paraId="581B8B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Корпус двигателя ракетной части снаряда - стальной стакан длиной 280 мм с внутренним диаметром 72 мм и толщиной стенок 3 мм (емко</w:t>
      </w:r>
      <w:r w:rsidRPr="00E14102">
        <w:rPr>
          <w:color w:val="000000" w:themeColor="text1"/>
          <w:sz w:val="16"/>
          <w:szCs w:val="16"/>
        </w:rPr>
        <w:softHyphen/>
        <w:t>стью 1 литр). Его передняя часть была наглухо закрыта дном. На внеш</w:t>
      </w:r>
      <w:r w:rsidRPr="00E14102">
        <w:rPr>
          <w:color w:val="000000" w:themeColor="text1"/>
          <w:sz w:val="16"/>
          <w:szCs w:val="16"/>
        </w:rPr>
        <w:softHyphen/>
        <w:t>ней стороне дна выточен цилиндрический выступ с внешней резьбой диаметром 65 мм для крепления с БЧ. В задней части корпуса двигателя нарезана внутренняя резьба для установки сопловой крышки. На наруж</w:t>
      </w:r>
      <w:r w:rsidRPr="00E14102">
        <w:rPr>
          <w:color w:val="000000" w:themeColor="text1"/>
          <w:sz w:val="16"/>
          <w:szCs w:val="16"/>
        </w:rPr>
        <w:softHyphen/>
        <w:t>ной поверхности корпуса двигателя с целью облегчения боеприпаса осу</w:t>
      </w:r>
      <w:r w:rsidRPr="00E14102">
        <w:rPr>
          <w:color w:val="000000" w:themeColor="text1"/>
          <w:sz w:val="16"/>
          <w:szCs w:val="16"/>
        </w:rPr>
        <w:softHyphen/>
        <w:t>ществляли выборку металла на глубину 1,5 мм. Хотя, на концевых частях корпуса двигателя оставались пояса переднего и заднего центрирующих утолщений шириной по 25 мм (у прототипа переднее центрирующее — Шириной 23 мм). В них с двух противоположных сторон устанавливали четыре прямых медных ведущих штифта. У прототипа ведущие штифты изготавливали с запасом по длине и с прорезью под отвертку. После ус</w:t>
      </w:r>
      <w:r w:rsidRPr="00E14102">
        <w:rPr>
          <w:color w:val="000000" w:themeColor="text1"/>
          <w:sz w:val="16"/>
          <w:szCs w:val="16"/>
        </w:rPr>
        <w:softHyphen/>
        <w:t>тановки штифтов, их излишек срезали.</w:t>
      </w:r>
    </w:p>
    <w:p w14:paraId="33C2172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Внутренняя подводящая часть стальной крышки-сопла была сфериче</w:t>
      </w:r>
      <w:r w:rsidRPr="00E14102">
        <w:rPr>
          <w:color w:val="000000" w:themeColor="text1"/>
          <w:sz w:val="16"/>
          <w:szCs w:val="16"/>
        </w:rPr>
        <w:softHyphen/>
        <w:t>ской. Общая длина сопловой рюмки — 137 мм. Диаметр критического се</w:t>
      </w:r>
      <w:r w:rsidRPr="00E14102">
        <w:rPr>
          <w:color w:val="000000" w:themeColor="text1"/>
          <w:sz w:val="16"/>
          <w:szCs w:val="16"/>
        </w:rPr>
        <w:softHyphen/>
        <w:t>чения сопла составлял 21,4 мм (у прототипа — 21,0 мм). Диаметр выходно го сечения сопла — 42,9 мм. В передней части крышки-сопла был выпол</w:t>
      </w:r>
      <w:r w:rsidRPr="00E14102">
        <w:rPr>
          <w:color w:val="000000" w:themeColor="text1"/>
          <w:sz w:val="16"/>
          <w:szCs w:val="16"/>
        </w:rPr>
        <w:softHyphen/>
        <w:t>нен цилиндрический выступ, препятствующий перекосу этого узла при установке в корпус двигателя на резьбе. Внутри этого выступа вытачивали гнездо для плотной посадки в него дисковой диафрагмы. Стальная диа</w:t>
      </w:r>
      <w:r w:rsidRPr="00E14102">
        <w:rPr>
          <w:color w:val="000000" w:themeColor="text1"/>
          <w:sz w:val="16"/>
          <w:szCs w:val="16"/>
        </w:rPr>
        <w:softHyphen/>
        <w:t>фрагма толщиной 4 мм располагала семью отверстиями диаметром 15 мм для свободного прохода продуктов горения ракетного заряда. На ней в сторону камеры двигателя были установлены три цилиндрических Т-об</w:t>
      </w:r>
      <w:r w:rsidRPr="00E14102">
        <w:rPr>
          <w:color w:val="000000" w:themeColor="text1"/>
          <w:sz w:val="16"/>
          <w:szCs w:val="16"/>
        </w:rPr>
        <w:softHyphen/>
        <w:t>разных упора для поджатая пороховых шашек РЗ.</w:t>
      </w:r>
    </w:p>
    <w:p w14:paraId="37FEA1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сопловом раструбе снаружи в районе среза на глубину 10 мм была нарезана резьба для стыковки с сопловым обтекателем. Внутри раструба у соплового среза на глубину 8 мм был выполнен цилиндрический пере</w:t>
      </w:r>
      <w:r w:rsidRPr="00E14102">
        <w:rPr>
          <w:color w:val="000000" w:themeColor="text1"/>
          <w:sz w:val="16"/>
          <w:szCs w:val="16"/>
        </w:rPr>
        <w:softHyphen/>
        <w:t>ход для установки картонной сопловой тарели с медными контактами (у прототипа — тарели модели 192000 - отштампованной из латунного листа толщиной 0,5 мм). Тарель диаметром 43 мм плотно закрывала со</w:t>
      </w:r>
      <w:r w:rsidRPr="00E14102">
        <w:rPr>
          <w:color w:val="000000" w:themeColor="text1"/>
          <w:sz w:val="16"/>
          <w:szCs w:val="16"/>
        </w:rPr>
        <w:softHyphen/>
        <w:t>пло, предохраняя пороховые воспламенители от влаги и служила также для установки перед стрельбой электрозапала модели 191900 или 191900/А со штепселем. В транспортном положении отверстие диамет</w:t>
      </w:r>
      <w:r w:rsidRPr="00E14102">
        <w:rPr>
          <w:color w:val="000000" w:themeColor="text1"/>
          <w:sz w:val="16"/>
          <w:szCs w:val="16"/>
        </w:rPr>
        <w:softHyphen/>
        <w:t>ром 12 мм в сопловой тарели закрывала резиновая коническая пробка (у прототипа - пластмассовая (мастичная) «пробка взамен электрозапа</w:t>
      </w:r>
      <w:r w:rsidRPr="00E14102">
        <w:rPr>
          <w:color w:val="000000" w:themeColor="text1"/>
          <w:sz w:val="16"/>
          <w:szCs w:val="16"/>
        </w:rPr>
        <w:softHyphen/>
        <w:t>ла» на резьбе).</w:t>
      </w:r>
    </w:p>
    <w:p w14:paraId="3E9170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Стабилизатор снаряда состоял из четырех дюралевых крыльев опере</w:t>
      </w:r>
      <w:r w:rsidRPr="00E14102">
        <w:rPr>
          <w:color w:val="000000" w:themeColor="text1"/>
          <w:sz w:val="16"/>
          <w:szCs w:val="16"/>
        </w:rPr>
        <w:softHyphen/>
        <w:t>ния размахом 202 мм, приклепанных за отогнутые на 11 мм края к алю</w:t>
      </w:r>
      <w:r w:rsidRPr="00E14102">
        <w:rPr>
          <w:color w:val="000000" w:themeColor="text1"/>
          <w:sz w:val="16"/>
          <w:szCs w:val="16"/>
        </w:rPr>
        <w:softHyphen/>
        <w:t>миниевому обтекателю сопла. Конический обтекатель своей широкой частью свободно садился на седловину крышки-сопла, а в узкой он имел внутреннюю резьбу для соединения с сопловым раструбом. Для затяги</w:t>
      </w:r>
      <w:r w:rsidRPr="00E14102">
        <w:rPr>
          <w:color w:val="000000" w:themeColor="text1"/>
          <w:sz w:val="16"/>
          <w:szCs w:val="16"/>
        </w:rPr>
        <w:softHyphen/>
        <w:t>вания обтекателя ключом, на его корпусе с двух противоположных сто</w:t>
      </w:r>
      <w:r w:rsidRPr="00E14102">
        <w:rPr>
          <w:color w:val="000000" w:themeColor="text1"/>
          <w:sz w:val="16"/>
          <w:szCs w:val="16"/>
        </w:rPr>
        <w:softHyphen/>
        <w:t>рон выполнены два сквозных отверстия диаметром 6 мм. После установ</w:t>
      </w:r>
      <w:r w:rsidRPr="00E14102">
        <w:rPr>
          <w:color w:val="000000" w:themeColor="text1"/>
          <w:sz w:val="16"/>
          <w:szCs w:val="16"/>
        </w:rPr>
        <w:softHyphen/>
        <w:t>ки обтекателя на место, его дополнительно фиксировали резьбовой шпилькой (у прототипа — двумя гладкими медными шпильками с проти</w:t>
      </w:r>
      <w:r w:rsidRPr="00E14102">
        <w:rPr>
          <w:color w:val="000000" w:themeColor="text1"/>
          <w:sz w:val="16"/>
          <w:szCs w:val="16"/>
        </w:rPr>
        <w:softHyphen/>
        <w:t>воположных сторон) с крышкой двигателя. Длина крыла составляла 160 мм, ширина - 75 мм.</w:t>
      </w:r>
    </w:p>
    <w:p w14:paraId="6C9453E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Ракетный заряд набирали из 28 пороховых шашек рецептуры ПТП. Из коротких цилиндрических пороховых шашек формировали семиряд-ный четырехъярусный РЗ. Высота шашки - 57,5 мм, внешний диаметр — 23 мм, диаметр сквозного канала - 6 мм. У специалистов эти характери</w:t>
      </w:r>
      <w:r w:rsidRPr="00E14102">
        <w:rPr>
          <w:color w:val="000000" w:themeColor="text1"/>
          <w:sz w:val="16"/>
          <w:szCs w:val="16"/>
        </w:rPr>
        <w:softHyphen/>
        <w:t>стики принято было обозначать следующим образом: ПТП-23/6-57,5 мм. Для предотвращения проворачивания шашек каждого яруса относи</w:t>
      </w:r>
      <w:r w:rsidRPr="00E14102">
        <w:rPr>
          <w:color w:val="000000" w:themeColor="text1"/>
          <w:sz w:val="16"/>
          <w:szCs w:val="16"/>
        </w:rPr>
        <w:softHyphen/>
        <w:t>тельно соседнего (для совпадения каналов пороховых шашек) одну из них разрезали поперек пополам и устанавливали по торцам РЗ в одном из крайних рядов. По торцам РЗ также располагали донный и сопловой воспламенители в виде 6-граммовых навесок дымного ружейного поро</w:t>
      </w:r>
      <w:r w:rsidRPr="00E14102">
        <w:rPr>
          <w:color w:val="000000" w:themeColor="text1"/>
          <w:sz w:val="16"/>
          <w:szCs w:val="16"/>
        </w:rPr>
        <w:softHyphen/>
        <w:t>ха ДРП № 1 или ДРП №2 в батистовых или миткалевых картузах круглой формы.</w:t>
      </w:r>
    </w:p>
    <w:p w14:paraId="1163BA7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сборке снаряда для улучшения герметичности все резьбовые со</w:t>
      </w:r>
      <w:r w:rsidRPr="00E14102">
        <w:rPr>
          <w:color w:val="000000" w:themeColor="text1"/>
          <w:sz w:val="16"/>
          <w:szCs w:val="16"/>
        </w:rPr>
        <w:softHyphen/>
        <w:t>единения промазывали суриком. На все внутренние поверхности бое-припаса за исключением резьбы наносили антикоррозийное покрытие слоем шеллачного спиртового лака. После снаряжания БЧ поверхность гнезда под дополнительный детонатор, а также донный срез ВВ покры</w:t>
      </w:r>
      <w:r w:rsidRPr="00E14102">
        <w:rPr>
          <w:color w:val="000000" w:themeColor="text1"/>
          <w:sz w:val="16"/>
          <w:szCs w:val="16"/>
        </w:rPr>
        <w:softHyphen/>
        <w:t>вали лаком. Перед установкой снаряженной БЧ, на донный срез ВВ бо</w:t>
      </w:r>
      <w:r w:rsidRPr="00E14102">
        <w:rPr>
          <w:color w:val="000000" w:themeColor="text1"/>
          <w:sz w:val="16"/>
          <w:szCs w:val="16"/>
        </w:rPr>
        <w:softHyphen/>
        <w:t>евого заряда укладывали круглые картонную и жестяную прокладки.</w:t>
      </w:r>
    </w:p>
    <w:p w14:paraId="39F5DA6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На густом шеллачном лаке была также приклеена в своем гнезде и тетри-ловая шашка дополнительного детонатора.</w:t>
      </w:r>
    </w:p>
    <w:p w14:paraId="27C7589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После снаряжания боеприпасы, предназначенные для долговремен</w:t>
      </w:r>
      <w:r w:rsidRPr="00E14102">
        <w:rPr>
          <w:color w:val="000000" w:themeColor="text1"/>
          <w:sz w:val="16"/>
          <w:szCs w:val="16"/>
        </w:rPr>
        <w:softHyphen/>
        <w:t>ного хранения, полностью (за исключением ведущих штифтов) покры</w:t>
      </w:r>
      <w:r w:rsidRPr="00E14102">
        <w:rPr>
          <w:color w:val="000000" w:themeColor="text1"/>
          <w:sz w:val="16"/>
          <w:szCs w:val="16"/>
        </w:rPr>
        <w:softHyphen/>
        <w:t>вали двумя слоями масляной краски серо-голубого цвета. В случае не</w:t>
      </w:r>
      <w:r w:rsidRPr="00E14102">
        <w:rPr>
          <w:color w:val="000000" w:themeColor="text1"/>
          <w:sz w:val="16"/>
          <w:szCs w:val="16"/>
        </w:rPr>
        <w:softHyphen/>
        <w:t>продолжительного хранения, вместо краски использовали горячую оли</w:t>
      </w:r>
      <w:r w:rsidRPr="00E14102">
        <w:rPr>
          <w:color w:val="000000" w:themeColor="text1"/>
          <w:sz w:val="16"/>
          <w:szCs w:val="16"/>
        </w:rPr>
        <w:softHyphen/>
        <w:t>фу самого высокого качества. При хранении и транспортировке голов</w:t>
      </w:r>
      <w:r w:rsidRPr="00E14102">
        <w:rPr>
          <w:color w:val="000000" w:themeColor="text1"/>
          <w:sz w:val="16"/>
          <w:szCs w:val="16"/>
        </w:rPr>
        <w:softHyphen/>
        <w:t>ное очко снарядов было закрыто пластмассовой (мастичной) пробкой, установленной на резьбе.</w:t>
      </w:r>
    </w:p>
    <w:p w14:paraId="259F3A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Конструктивно ракетно-осколочный снаряд РОС-132 модели 2-01172 состоял в основном из аналогичных узлов и элементов, отличных лишь увеличенными габаритами и массой. Впрочем, в его конструкции были и свои особенности. Итак, основное назначение «ракетного бри-зантного снаряда» РС-132 упомянутой модели (партии для полигонных испытаний) производства 1934 г. — «поражение соединений самолетов противника (преимущественно тяжелых бомбардировщиков) и уничто</w:t>
      </w:r>
      <w:r w:rsidRPr="00E14102">
        <w:rPr>
          <w:color w:val="000000" w:themeColor="text1"/>
          <w:sz w:val="16"/>
          <w:szCs w:val="16"/>
        </w:rPr>
        <w:softHyphen/>
        <w:t>жение баллонных заграждений обороняемых пунктов. Вспомогатель</w:t>
      </w:r>
      <w:r w:rsidRPr="00E14102">
        <w:rPr>
          <w:color w:val="000000" w:themeColor="text1"/>
          <w:sz w:val="16"/>
          <w:szCs w:val="16"/>
        </w:rPr>
        <w:softHyphen/>
        <w:t>ное — уничтожение живой силы противника, расстройство деятельности погрузочно-разгрузочных станций и уничтожение танкеток и легких танков». Напомним, что по кодификации ГДЛ УВИ НВ РККА, он зна</w:t>
      </w:r>
      <w:r w:rsidRPr="00E14102">
        <w:rPr>
          <w:color w:val="000000" w:themeColor="text1"/>
          <w:sz w:val="16"/>
          <w:szCs w:val="16"/>
        </w:rPr>
        <w:softHyphen/>
        <w:t>чился опытным РС-132 модели 1458.</w:t>
      </w:r>
    </w:p>
    <w:p w14:paraId="688C8F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Корпус БЧ - стальной стакан длиной 215 мм с толщиной стенок 12 мм, также открытый в донной части, как и у РС-82. Для выпуска воздуха на переднем срезе корпуса БЧ служило технологическое отверстие диа</w:t>
      </w:r>
      <w:r w:rsidRPr="00E14102">
        <w:rPr>
          <w:color w:val="000000" w:themeColor="text1"/>
          <w:sz w:val="16"/>
          <w:szCs w:val="16"/>
        </w:rPr>
        <w:softHyphen/>
        <w:t>метром 4 мм. В цилиндрическом выступе высотой 12 мм с наружной резьбой на корпусе двигателя, предназначенном для стыковки с БЧ, для облегчения конструкции выполняли выборку металла на глубину 12 мм, но далее донная его часть имела вид усеченного конуса высотой 5 мм. Именно ее со стороны БЧ изолировали асбестовой прокладкой и слоем гипса толщиной 4 мм и заливали слоем парафина. Но при этом оставалась и воздушная подушка толщиной 12 мм. Тетриловая шашка дополнительного детонатора имела те же габариты, что и у РС-82. Техно</w:t>
      </w:r>
      <w:r w:rsidRPr="00E14102">
        <w:rPr>
          <w:color w:val="000000" w:themeColor="text1"/>
          <w:sz w:val="16"/>
          <w:szCs w:val="16"/>
        </w:rPr>
        <w:softHyphen/>
        <w:t>логия ее постановки в ВВ также соответствовала.</w:t>
      </w:r>
    </w:p>
    <w:p w14:paraId="7375F15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организованного дробления на осколки заданной массы, на кор</w:t>
      </w:r>
      <w:r w:rsidRPr="00E14102">
        <w:rPr>
          <w:color w:val="000000" w:themeColor="text1"/>
          <w:sz w:val="16"/>
          <w:szCs w:val="16"/>
        </w:rPr>
        <w:softHyphen/>
        <w:t>пусе БЧ фрезеровали также 20 продольных и один поперечный кольцевой надрезы шириной и глубиной 0,5-0,8 мм аналогичного профиля. Попе</w:t>
      </w:r>
      <w:r w:rsidRPr="00E14102">
        <w:rPr>
          <w:color w:val="000000" w:themeColor="text1"/>
          <w:sz w:val="16"/>
          <w:szCs w:val="16"/>
        </w:rPr>
        <w:softHyphen/>
        <w:t>речный надрез был выполнен на расстоянии 130 мм от переднего среза БЧ, как раз на границе перехода от оживальной к цилиндрической части корпуса. Его профиль - в виде равнобедренного прямоугольного треуголь</w:t>
      </w:r>
      <w:r w:rsidRPr="00E14102">
        <w:rPr>
          <w:color w:val="000000" w:themeColor="text1"/>
          <w:sz w:val="16"/>
          <w:szCs w:val="16"/>
        </w:rPr>
        <w:softHyphen/>
        <w:t>ника с пологим скосом по полету снаряда. БЧ дополнял установленный внутри стальной цилиндрический тонкостенный стакан (второй корпус БЧ) длиной 85 мм для улучшения дробления корпуса БЧ по надрезам.</w:t>
      </w:r>
    </w:p>
    <w:p w14:paraId="0EB9254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Корпус двигателя ракетной части снаряда - стальной стакан длиной 343 мм с внутренним диаметром 120 мм и толщиной стенок 4 мм. На на</w:t>
      </w:r>
      <w:r w:rsidRPr="00E14102">
        <w:rPr>
          <w:color w:val="000000" w:themeColor="text1"/>
          <w:sz w:val="16"/>
          <w:szCs w:val="16"/>
        </w:rPr>
        <w:softHyphen/>
        <w:t>ружной поверхности корпуса двигателя с целью облегчения боеприпаса осуществляли выборку металла на глубину 2 мм. При этом на концевых частях корпуса двигателя оставались пояса переднего и заднего центри</w:t>
      </w:r>
      <w:r w:rsidRPr="00E14102">
        <w:rPr>
          <w:color w:val="000000" w:themeColor="text1"/>
          <w:sz w:val="16"/>
          <w:szCs w:val="16"/>
        </w:rPr>
        <w:softHyphen/>
        <w:t>рующих утолщений шириной по 20 мм. На них с двух противоположных сторон устанавливали четыре прямых медных ведущих штифта диамет</w:t>
      </w:r>
      <w:r w:rsidRPr="00E14102">
        <w:rPr>
          <w:color w:val="000000" w:themeColor="text1"/>
          <w:sz w:val="16"/>
          <w:szCs w:val="16"/>
        </w:rPr>
        <w:softHyphen/>
        <w:t>ром 10 мм, выступающие на 6,5 мм.</w:t>
      </w:r>
    </w:p>
    <w:p w14:paraId="6FD6BF0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Общая длина сопловой рюмки — 247 мм. Диаметр критического сече</w:t>
      </w:r>
      <w:r w:rsidRPr="00E14102">
        <w:rPr>
          <w:color w:val="000000" w:themeColor="text1"/>
          <w:sz w:val="16"/>
          <w:szCs w:val="16"/>
        </w:rPr>
        <w:softHyphen/>
        <w:t>ния сопла составлял 31,0 мм. Диаметр выходного сечения сопла — 74,0 мм. В стальной диафрагме толщиной 5 мм было выполнено 19 отверстий диа</w:t>
      </w:r>
      <w:r w:rsidRPr="00E14102">
        <w:rPr>
          <w:color w:val="000000" w:themeColor="text1"/>
          <w:sz w:val="16"/>
          <w:szCs w:val="16"/>
        </w:rPr>
        <w:softHyphen/>
        <w:t>метром 15мм для свободного прохода продуктов горения ракетного заряда. На ней в сторону камеры двигателя были установлены шесть цилиндриче</w:t>
      </w:r>
      <w:r w:rsidRPr="00E14102">
        <w:rPr>
          <w:color w:val="000000" w:themeColor="text1"/>
          <w:sz w:val="16"/>
          <w:szCs w:val="16"/>
        </w:rPr>
        <w:softHyphen/>
        <w:t>ских Т-образных упоров для поджатая пороховых шашек РЗ. На сопловом раструбе снаружи в районе среза на глубину 12 мм нарезали резьбу для сты</w:t>
      </w:r>
      <w:r w:rsidRPr="00E14102">
        <w:rPr>
          <w:color w:val="000000" w:themeColor="text1"/>
          <w:sz w:val="16"/>
          <w:szCs w:val="16"/>
        </w:rPr>
        <w:softHyphen/>
        <w:t>ковки с сопловым обтекателем. Внутри раструба у соплового среза на глу</w:t>
      </w:r>
      <w:r w:rsidRPr="00E14102">
        <w:rPr>
          <w:color w:val="000000" w:themeColor="text1"/>
          <w:sz w:val="16"/>
          <w:szCs w:val="16"/>
        </w:rPr>
        <w:softHyphen/>
        <w:t>бину 8 мм был выполнен цилиндрический переход для установки тарели модели 192100, отштампованной из латунного листа толщиной 0,5 мм. Та-рель диаметром 74,6 мм плотно закрывала сопло, предохраняя пороховые воспламенители от влаги и служила также для установки перед стрельбой электрозапала модели 191900 с проводниками или 191900/А со штепселем.</w:t>
      </w:r>
    </w:p>
    <w:p w14:paraId="1C6B1A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Стабилизатор снаряда состоял из четырех дюралевых крыльев опере</w:t>
      </w:r>
      <w:r w:rsidRPr="00E14102">
        <w:rPr>
          <w:color w:val="000000" w:themeColor="text1"/>
          <w:sz w:val="16"/>
          <w:szCs w:val="16"/>
        </w:rPr>
        <w:softHyphen/>
        <w:t>ния, тремя шипами установленных в прорези конического алюминиево</w:t>
      </w:r>
      <w:r w:rsidRPr="00E14102">
        <w:rPr>
          <w:color w:val="000000" w:themeColor="text1"/>
          <w:sz w:val="16"/>
          <w:szCs w:val="16"/>
        </w:rPr>
        <w:softHyphen/>
        <w:t>го соплового обтекателя и приклепанных к нему снаружи двумя угольни</w:t>
      </w:r>
      <w:r w:rsidRPr="00E14102">
        <w:rPr>
          <w:color w:val="000000" w:themeColor="text1"/>
          <w:sz w:val="16"/>
          <w:szCs w:val="16"/>
        </w:rPr>
        <w:softHyphen/>
        <w:t>ками, а внутри обтекателя — к усилительной пластине. Для затягивания обтекателя ключом, на его корпусе с двух противоположных сторон вы</w:t>
      </w:r>
      <w:r w:rsidRPr="00E14102">
        <w:rPr>
          <w:color w:val="000000" w:themeColor="text1"/>
          <w:sz w:val="16"/>
          <w:szCs w:val="16"/>
        </w:rPr>
        <w:softHyphen/>
        <w:t>полняли два сквозных отверстия диаметром 8 мм. Длина крыла состав</w:t>
      </w:r>
      <w:r w:rsidRPr="00E14102">
        <w:rPr>
          <w:color w:val="000000" w:themeColor="text1"/>
          <w:sz w:val="16"/>
          <w:szCs w:val="16"/>
        </w:rPr>
        <w:softHyphen/>
        <w:t>ляла 293 мм, ширина - 105 мм.</w:t>
      </w:r>
    </w:p>
    <w:p w14:paraId="53E6774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Ракетный заряд набирали из 35 пороховых шашек рецептуры ПТП. Из коротких цилиндрических пороховых шашек формировали семиряд-ный пятиярусный РЗ. Высота шашки - 57,5 мм, внешний диаметр — 40 мм, диаметр сквозного канала — 8 мм. У специалистов эти характеристи</w:t>
      </w:r>
      <w:r w:rsidRPr="00E14102">
        <w:rPr>
          <w:color w:val="000000" w:themeColor="text1"/>
          <w:sz w:val="16"/>
          <w:szCs w:val="16"/>
        </w:rPr>
        <w:softHyphen/>
        <w:t>ки принято было обозначать следующим образом: ПТП-40/8-57,5 мм. Для предотвращения проворачивания шашек каждого яруса относитель</w:t>
      </w:r>
      <w:r w:rsidRPr="00E14102">
        <w:rPr>
          <w:color w:val="000000" w:themeColor="text1"/>
          <w:sz w:val="16"/>
          <w:szCs w:val="16"/>
        </w:rPr>
        <w:softHyphen/>
        <w:t>но соседнего (для совпадения каналов пороховых шашек) одну из них разрезали поперек пополам и устанавливали по торцам РЗ в одном из крайних рядов. По торцам РЗ также располагали донный и сопловой воспламенители в виде 12-граммовых навесок дымного ружейного поро ха ДРП № 1 или ДРП №2 в батистовых или миткалевых картузах круглой формы.</w:t>
      </w:r>
    </w:p>
    <w:p w14:paraId="4B79BEE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Укупорка ракетных боеприпасов калибра 82 мм представляла собой дощатую прямоугольную деревянную тару «парково-отсылочного типа», сколоченную из гладко обработанных досок «без сучков и свилеватостей древесины». Снаружи ящики окрашивали в красный цвет, внутри — про</w:t>
      </w:r>
      <w:r w:rsidRPr="00E14102">
        <w:rPr>
          <w:color w:val="000000" w:themeColor="text1"/>
          <w:sz w:val="16"/>
          <w:szCs w:val="16"/>
        </w:rPr>
        <w:softHyphen/>
        <w:t>питывали олифой. С 1938 г. укупорка для РС, чтобы не привлекать к се</w:t>
      </w:r>
      <w:r w:rsidRPr="00E14102">
        <w:rPr>
          <w:color w:val="000000" w:themeColor="text1"/>
          <w:sz w:val="16"/>
          <w:szCs w:val="16"/>
        </w:rPr>
        <w:softHyphen/>
        <w:t>бе лишнего внимания, приобрела характерный для боеприпасов темно-зеленый цвет. Снаряды калибра 82 мм укладывали в ящики по пять (ре</w:t>
      </w:r>
      <w:r w:rsidRPr="00E14102">
        <w:rPr>
          <w:color w:val="000000" w:themeColor="text1"/>
          <w:sz w:val="16"/>
          <w:szCs w:val="16"/>
        </w:rPr>
        <w:softHyphen/>
        <w:t>же — шесть) штук. РОС-132 хранили и транспортировали уложенными в ящики по три (реже — четыре) штуки. Сведений, подтверждающих вы</w:t>
      </w:r>
      <w:r w:rsidRPr="00E14102">
        <w:rPr>
          <w:color w:val="000000" w:themeColor="text1"/>
          <w:sz w:val="16"/>
          <w:szCs w:val="16"/>
        </w:rPr>
        <w:softHyphen/>
        <w:t>полнение требования военных рассылать РОС-132 в таре уменьшенных габаритов (для двух снарядов), не обнаружено (11402).</w:t>
      </w:r>
    </w:p>
    <w:p w14:paraId="189D3F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39C78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АГОС пыталась на И-4 по предложению л Н.П.Благина (346,23) попробовать ускорители РНИИ - РН-11 (на несколько минут увеличивалась скорость). Шесть пороховых ракет по три в агрегате. Время работы - 2.5 с, длина 500-600, диаметр - 110 мм (92,344). Работы прекратили в 1936 (346,23).</w:t>
      </w:r>
    </w:p>
    <w:p w14:paraId="04C732F3" w14:textId="77777777" w:rsidR="00D4105E" w:rsidRPr="00E14102" w:rsidRDefault="00D4105E" w:rsidP="00E14102">
      <w:pPr>
        <w:autoSpaceDE w:val="0"/>
        <w:autoSpaceDN w:val="0"/>
        <w:adjustRightInd w:val="0"/>
        <w:jc w:val="both"/>
        <w:rPr>
          <w:color w:val="000000" w:themeColor="text1"/>
          <w:sz w:val="16"/>
          <w:szCs w:val="16"/>
        </w:rPr>
      </w:pPr>
    </w:p>
    <w:p w14:paraId="68FA38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 а не в 1937 г., как до сих пор гласила официальная версия, начались первые опыты с нитроглицериновыми порохами в РНИИ НКТП. Это подтверждает письмо начальнику 4 отдела АВ ВВС РККА вое нинженеру 1 ранга Э.К.Ларману и директору завода №75 Беркашвили от заместителя директора НИИ-3 НКОП военинженера 1 ранга Г.Э.Лангемака и начальника группы №4 Ю.А.Победоносцева, датированное 13 января 1937 г.: «РОС-82 чертежа 111000, изготовленные на заводе №75 в 1936 г., имеют размер критического сечения сопла, равный 18,3 мм. Это сопло было подобрано, исходя из условий иметь в камере максимальное давление не более 250 кг/см</w:t>
      </w:r>
      <w:r w:rsidRPr="00E14102">
        <w:rPr>
          <w:color w:val="000000" w:themeColor="text1"/>
          <w:sz w:val="16"/>
          <w:szCs w:val="16"/>
          <w:vertAlign w:val="superscript"/>
        </w:rPr>
        <w:t>2</w:t>
      </w:r>
      <w:r w:rsidRPr="00E14102">
        <w:rPr>
          <w:color w:val="000000" w:themeColor="text1"/>
          <w:sz w:val="16"/>
          <w:szCs w:val="16"/>
        </w:rPr>
        <w:t>. Опыты по подбору сопла вели летом 1935 г. с опытной партией пороха НГВ, изготовленного на заводе №6 имени Н.А.Морозова с примесью графита.</w:t>
      </w:r>
    </w:p>
    <w:p w14:paraId="6246C3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настоящее время завод №6 освоил производство шашек НГВ не</w:t>
      </w:r>
      <w:r w:rsidRPr="00E14102">
        <w:rPr>
          <w:color w:val="000000" w:themeColor="text1"/>
          <w:sz w:val="16"/>
          <w:szCs w:val="16"/>
        </w:rPr>
        <w:softHyphen/>
        <w:t>сколько иного состава, которые в снаряде чертежа 111000 дают давление порядка 330-390 кг/см</w:t>
      </w:r>
      <w:r w:rsidRPr="00E14102">
        <w:rPr>
          <w:color w:val="000000" w:themeColor="text1"/>
          <w:sz w:val="16"/>
          <w:szCs w:val="16"/>
          <w:vertAlign w:val="superscript"/>
        </w:rPr>
        <w:t>2</w:t>
      </w:r>
      <w:r w:rsidRPr="00E14102">
        <w:rPr>
          <w:color w:val="000000" w:themeColor="text1"/>
          <w:sz w:val="16"/>
          <w:szCs w:val="16"/>
        </w:rPr>
        <w:t>. Так как в настоящее время завод №6 не изготов</w:t>
      </w:r>
      <w:r w:rsidRPr="00E14102">
        <w:rPr>
          <w:color w:val="000000" w:themeColor="text1"/>
          <w:sz w:val="16"/>
          <w:szCs w:val="16"/>
        </w:rPr>
        <w:softHyphen/>
        <w:t>ляет более шашек с графитом, для отстрела снарядов чертежа 111000 следует использовать освоенный сорт НГВ. Для избежания чрезмерного да</w:t>
      </w:r>
      <w:r w:rsidRPr="00E14102">
        <w:rPr>
          <w:color w:val="000000" w:themeColor="text1"/>
          <w:sz w:val="16"/>
          <w:szCs w:val="16"/>
        </w:rPr>
        <w:softHyphen/>
        <w:t>вления в камере необходимо либо расточить критическое сечение сопла До 19 мм, либо уменьшить РЗ с 28 до 26 шашек. При проведении одного Из этих мероприятий максимальное давление будет приведено к величине 250 кг, на которое рассчитана ее прочность. При сем по просьбе заво</w:t>
      </w:r>
      <w:r w:rsidRPr="00E14102">
        <w:rPr>
          <w:color w:val="000000" w:themeColor="text1"/>
          <w:sz w:val="16"/>
          <w:szCs w:val="16"/>
        </w:rPr>
        <w:softHyphen/>
        <w:t>да №75 прилагается программа отстрела 25 штук РС-82 чертежа 111000 на дальность и меткость с неполным РЗ».</w:t>
      </w:r>
    </w:p>
    <w:p w14:paraId="4FD2ED4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Итак, по заданию УВВС завод №75 изготовил партию РС-82 моде</w:t>
      </w:r>
      <w:r w:rsidRPr="00E14102">
        <w:rPr>
          <w:color w:val="000000" w:themeColor="text1"/>
          <w:sz w:val="16"/>
          <w:szCs w:val="16"/>
        </w:rPr>
        <w:softHyphen/>
        <w:t>ли 111000 для контрольных испытаний на стенде (11402).</w:t>
      </w:r>
    </w:p>
    <w:p w14:paraId="69E4EFF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ED7B62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 разработали широкую номенклатуру бугельных установок для РС:</w:t>
      </w:r>
    </w:p>
    <w:p w14:paraId="04737F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подвесные стационарные пакеты направляющих;</w:t>
      </w:r>
    </w:p>
    <w:p w14:paraId="5DE4F9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подвесные сбрасываемые пакеты и однозарядные орудия;</w:t>
      </w:r>
    </w:p>
    <w:p w14:paraId="3450724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выдвижные из фюзеляжа однозарядные орудия.</w:t>
      </w:r>
    </w:p>
    <w:p w14:paraId="0D3E21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Ракетные орудия первой группы использовали на истребителях И-5 для стрельбы снарядами РС-82 в 1935 г. Это были трехзарядные идентичные пусковые станки, размешенные по одному под правой и левой консолями нижнего крыла. Поперечный силовой набор этих ПУ с целью снижения массы отливали из алюминиевых сплавов. Для продольного использовали дюралевые трубы, а полозья направляющих изготавливали из профиля сложной конфигурации, также выполненного из дюраля.</w:t>
      </w:r>
    </w:p>
    <w:p w14:paraId="2387068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Такое сочетание конструкционных материалов и схемы изделия, невозможно признать весьма удачным. Дело в том, что конструкция орудия прямоугольной схемы не имела ни одного треугольного элемента жесткости. Таким образом, при продолжительном ведении огня из одного крайнего «ствола» после нескольких циклов заряжания и выстрела, подобно параллелограмму, деформировалась вся установка. В итоге расстояние между противоположными полозьями направляющих уменьшалось, что обслуживающий персонал ощущать как заклинивание снаряда при его заряжании. Как бы там ни было, но такие пусковые станки достойны более пристального внимания, ибо в дальнейшем они поступили на вооружение ВВС РККА.</w:t>
      </w:r>
    </w:p>
    <w:p w14:paraId="0E1341B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фиксации заряженных в орудие снарядов, на направляющих станка предусмотрели подпружиненные стопоры, удерживающие боеприпас за два задних ведущих штифта. «Благодаря» деревянной конструкции самолета, схему воспламенения пришлось организован, двух</w:t>
      </w:r>
      <w:r w:rsidRPr="00E14102">
        <w:rPr>
          <w:color w:val="000000" w:themeColor="text1"/>
          <w:sz w:val="16"/>
          <w:szCs w:val="16"/>
        </w:rPr>
        <w:softHyphen/>
        <w:t>проводной. То есть, металлическую раму орудия подключили к одному полюсу аккумулятора, а возле каждого снаряда на изолированной пластине был выведен второй контакт в виде винта с барашковой гайкой Пиропатроны ПП-1 помешали в держатель с двумя припаянными проводниками, один из которых присоединяли к общему контакту орудия а второй — к индивидуальному.</w:t>
      </w:r>
    </w:p>
    <w:p w14:paraId="13CCD1F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 заряжании орудия снаряд подносили к переднему срезу «ствола» и помещали в пазы направляющих заднюю пару ведущих штифтов. За</w:t>
      </w:r>
      <w:r w:rsidRPr="00E14102">
        <w:rPr>
          <w:color w:val="000000" w:themeColor="text1"/>
          <w:sz w:val="16"/>
          <w:szCs w:val="16"/>
        </w:rPr>
        <w:softHyphen/>
        <w:t>тем, продвигая боеприпас назад, вводили в пазы и переднюю пару штифтов. С незначительным усилием руки РС-82 загоняли в стопоры, затем вставляли в гнездо тарели держатель с пиропатроном и пристегивали бо</w:t>
      </w:r>
      <w:r w:rsidRPr="00E14102">
        <w:rPr>
          <w:color w:val="000000" w:themeColor="text1"/>
          <w:sz w:val="16"/>
          <w:szCs w:val="16"/>
        </w:rPr>
        <w:softHyphen/>
        <w:t>евую чеку дистанционной трубки АГДТ к карабину с тросом на корпусе орудия. Крыльчатку взрывателя фиксировали вилкой, подобной приме</w:t>
      </w:r>
      <w:r w:rsidRPr="00E14102">
        <w:rPr>
          <w:color w:val="000000" w:themeColor="text1"/>
          <w:sz w:val="16"/>
          <w:szCs w:val="16"/>
        </w:rPr>
        <w:softHyphen/>
        <w:t>няемой на балочных бомбодержателях, чтобы до момента старта снаряда она не вращалась в набегающем потоке воздуха (11402).</w:t>
      </w:r>
    </w:p>
    <w:p w14:paraId="339EB07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69E49B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 вслед за истребителями И-5 в процесс вооружения ракетами включили и перспективные машины. Для РНИИ начальник НИИ ВС РККА В.К.Лавров составил ТТТ на установку РС-82 на истребителях И-16, утвержденные 9 марта начальником УВС РККА командармом 2 ранга Я.И.Алкснисом. Основное ее назначение было определено, как «обстрел авиасоединений и отдельных групп тяжелых бомбардировщи</w:t>
      </w:r>
      <w:r w:rsidRPr="00E14102">
        <w:rPr>
          <w:color w:val="000000" w:themeColor="text1"/>
          <w:sz w:val="16"/>
          <w:szCs w:val="16"/>
        </w:rPr>
        <w:softHyphen/>
        <w:t>ков противника». Вспомогательное — «уничтожение живой силы, матчасти противника и пр., не проходя над целью». Вне сомнения, формули</w:t>
      </w:r>
      <w:r w:rsidRPr="00E14102">
        <w:rPr>
          <w:color w:val="000000" w:themeColor="text1"/>
          <w:sz w:val="16"/>
          <w:szCs w:val="16"/>
        </w:rPr>
        <w:softHyphen/>
        <w:t>ровки Лаврова корректнее считать требованиями ко всей ракетной сис</w:t>
      </w:r>
      <w:r w:rsidRPr="00E14102">
        <w:rPr>
          <w:color w:val="000000" w:themeColor="text1"/>
          <w:sz w:val="16"/>
          <w:szCs w:val="16"/>
        </w:rPr>
        <w:softHyphen/>
        <w:t>теме истребителя, однако в то время ее основой считан и именно ракет</w:t>
      </w:r>
      <w:r w:rsidRPr="00E14102">
        <w:rPr>
          <w:color w:val="000000" w:themeColor="text1"/>
          <w:sz w:val="16"/>
          <w:szCs w:val="16"/>
        </w:rPr>
        <w:softHyphen/>
        <w:t>ное орудие.</w:t>
      </w:r>
    </w:p>
    <w:p w14:paraId="02330D2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lastRenderedPageBreak/>
        <w:t>Стрелковая установка должна была состоять из двух агрегатов, закре</w:t>
      </w:r>
      <w:r w:rsidRPr="00E14102">
        <w:rPr>
          <w:color w:val="000000" w:themeColor="text1"/>
          <w:sz w:val="16"/>
          <w:szCs w:val="16"/>
        </w:rPr>
        <w:softHyphen/>
        <w:t>пленных под нижними плоскостями самолета. Каждый агрегат - из трех орудий (трех пар направляющих, соединенных между собой). Ресурс на</w:t>
      </w:r>
      <w:r w:rsidRPr="00E14102">
        <w:rPr>
          <w:color w:val="000000" w:themeColor="text1"/>
          <w:sz w:val="16"/>
          <w:szCs w:val="16"/>
        </w:rPr>
        <w:softHyphen/>
        <w:t>правляющих - до 500 выстрелов без ремонта. Поскольку машина была более маневренная, требовалось исключить возможность выпадения снаряда вперед или назад при взлете, посадке «или выполнении фигур, допускаемых на данном самолете». Конструкция агрегатов должна была «исключить возможность ожога обшивки плоскости самолета и рядом лежащего снаряда при стрельбе». Воспламенять РЗ снарядов требовалось «электрическим путем, с управлением из кабины летчика», в электроцепи необходимо было предусмотреть предохранитель.</w:t>
      </w:r>
    </w:p>
    <w:p w14:paraId="7B8CB50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Прибор управления огнем (в документе - сбрасыватель) должен был обеспечить возможность одиночной стрельбы, залпом и любым количе</w:t>
      </w:r>
      <w:r w:rsidRPr="00E14102">
        <w:rPr>
          <w:color w:val="000000" w:themeColor="text1"/>
          <w:sz w:val="16"/>
          <w:szCs w:val="16"/>
        </w:rPr>
        <w:softHyphen/>
        <w:t>ством снарядов вплоть до шести с интервалом от 0,1 до 1.0 с. Масса агре</w:t>
      </w:r>
      <w:r w:rsidRPr="00E14102">
        <w:rPr>
          <w:color w:val="000000" w:themeColor="text1"/>
          <w:sz w:val="16"/>
          <w:szCs w:val="16"/>
        </w:rPr>
        <w:softHyphen/>
        <w:t>гата без боезапаса - не более 15 кг. Требовалось также максимально улуч</w:t>
      </w:r>
      <w:r w:rsidRPr="00E14102">
        <w:rPr>
          <w:color w:val="000000" w:themeColor="text1"/>
          <w:sz w:val="16"/>
          <w:szCs w:val="16"/>
        </w:rPr>
        <w:softHyphen/>
        <w:t>шить его аэродинамику и предусмотреть легкий монтаж на любом само</w:t>
      </w:r>
      <w:r w:rsidRPr="00E14102">
        <w:rPr>
          <w:color w:val="000000" w:themeColor="text1"/>
          <w:sz w:val="16"/>
          <w:szCs w:val="16"/>
        </w:rPr>
        <w:softHyphen/>
        <w:t>лете И-16 без его заводских переделок. При стрельбе из нес на 4000 м Рассеивание по дальности и боковому направлению не должно было Превышать 1/150 дистанции. На 2000 м - не более 1/130 дистанции.</w:t>
      </w:r>
    </w:p>
    <w:p w14:paraId="6009FDA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Забегая вперед, отметим, что конструктивно пусковые истреби геля И-15 будто занимали промежуточное положение - ранние модели его пусковых станков были незначительно модернизированными аналогами использованных на И-5. Поздние модели — «аэродинамически необла</w:t>
      </w:r>
      <w:r w:rsidRPr="00E14102">
        <w:rPr>
          <w:color w:val="000000" w:themeColor="text1"/>
          <w:sz w:val="16"/>
          <w:szCs w:val="16"/>
        </w:rPr>
        <w:softHyphen/>
        <w:t>гороженными» аналогами пусковых станков истребителя И-16. Но, по</w:t>
      </w:r>
      <w:r w:rsidRPr="00E14102">
        <w:rPr>
          <w:color w:val="000000" w:themeColor="text1"/>
          <w:sz w:val="16"/>
          <w:szCs w:val="16"/>
        </w:rPr>
        <w:softHyphen/>
        <w:t>жалуй, наиболее любопытными были два варианта вооружения истреби</w:t>
      </w:r>
      <w:r w:rsidRPr="00E14102">
        <w:rPr>
          <w:color w:val="000000" w:themeColor="text1"/>
          <w:sz w:val="16"/>
          <w:szCs w:val="16"/>
        </w:rPr>
        <w:softHyphen/>
        <w:t>телей И-14 со сбрасываемыми пусковыми агрегатами. ТТТ на их разработку составил также начальник НИИ ВС РККА В.К.Лавров. Утвердил их начальник УВС РККА Я.И.Алкснис также 9 марта 1935 г.</w:t>
      </w:r>
    </w:p>
    <w:p w14:paraId="7A53CE7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первом случае установка состояла из двух агрегатов, подвешенных под плоскостями самолета в замки бомбодержателей Дер-32, а каждый агрегат - из трех орудий. Во втором - она состояла из четырех агрегатов, подвешенных под плоскостями в замки Дер-32. Но каждый агрегат со</w:t>
      </w:r>
      <w:r w:rsidRPr="00E14102">
        <w:rPr>
          <w:color w:val="000000" w:themeColor="text1"/>
          <w:sz w:val="16"/>
          <w:szCs w:val="16"/>
        </w:rPr>
        <w:softHyphen/>
        <w:t>стоял из одного орудия. Основное и вспомогательное назначение сбра</w:t>
      </w:r>
      <w:r w:rsidRPr="00E14102">
        <w:rPr>
          <w:color w:val="000000" w:themeColor="text1"/>
          <w:sz w:val="16"/>
          <w:szCs w:val="16"/>
        </w:rPr>
        <w:softHyphen/>
        <w:t>сываемых орудийных установок, а также требования по меткости стрель</w:t>
      </w:r>
      <w:r w:rsidRPr="00E14102">
        <w:rPr>
          <w:color w:val="000000" w:themeColor="text1"/>
          <w:sz w:val="16"/>
          <w:szCs w:val="16"/>
        </w:rPr>
        <w:softHyphen/>
        <w:t>бы соответствовали изложенным в ТТТ к реактивной системе на истребителе И-16.</w:t>
      </w:r>
    </w:p>
    <w:p w14:paraId="7C25C32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Поскольку конструктивно агрегаты должны были исключать при стрельбе возможность ожога обшивки плоскости самолета и рядом лежа</w:t>
      </w:r>
      <w:r w:rsidRPr="00E14102">
        <w:rPr>
          <w:color w:val="000000" w:themeColor="text1"/>
          <w:sz w:val="16"/>
          <w:szCs w:val="16"/>
        </w:rPr>
        <w:softHyphen/>
        <w:t>щего снаряда, можно с уверенностью говорить о пусковых станках имен</w:t>
      </w:r>
      <w:r w:rsidRPr="00E14102">
        <w:rPr>
          <w:color w:val="000000" w:themeColor="text1"/>
          <w:sz w:val="16"/>
          <w:szCs w:val="16"/>
        </w:rPr>
        <w:softHyphen/>
        <w:t>но коробчатого типа с «несущим корпусом», а не рамного. А вот что от</w:t>
      </w:r>
      <w:r w:rsidRPr="00E14102">
        <w:rPr>
          <w:color w:val="000000" w:themeColor="text1"/>
          <w:sz w:val="16"/>
          <w:szCs w:val="16"/>
        </w:rPr>
        <w:softHyphen/>
        <w:t>личало их от жестко закрепленного пакета направляющих для И-16. га к это возможность юстировки на земле в вертикальной и в горизонтальной плоскостях в пределах 3 гр. в каждую сторону. Для воспламенения РЗ сна</w:t>
      </w:r>
      <w:r w:rsidRPr="00E14102">
        <w:rPr>
          <w:color w:val="000000" w:themeColor="text1"/>
          <w:sz w:val="16"/>
          <w:szCs w:val="16"/>
        </w:rPr>
        <w:softHyphen/>
        <w:t>рядов требовалось использовать штатный электробомбосбрасыватель. имеющийся на самолете, а также предусмотреть возможность ведения одиночною огня и залпом.</w:t>
      </w:r>
    </w:p>
    <w:p w14:paraId="4FBC103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Масса трехорудийного агрегата — не более 15 кг, одноорудийного - не более 6 кг. К обоим вариантам установок предъявляли общие требова</w:t>
      </w:r>
      <w:r w:rsidRPr="00E14102">
        <w:rPr>
          <w:color w:val="000000" w:themeColor="text1"/>
          <w:sz w:val="16"/>
          <w:szCs w:val="16"/>
        </w:rPr>
        <w:softHyphen/>
        <w:t>ния по «максимально обтекаемой форме и несложному монтажу на лю</w:t>
      </w:r>
      <w:r w:rsidRPr="00E14102">
        <w:rPr>
          <w:color w:val="000000" w:themeColor="text1"/>
          <w:sz w:val="16"/>
          <w:szCs w:val="16"/>
        </w:rPr>
        <w:softHyphen/>
        <w:t>бом самолете И-14 без его заводских переделок». Специальным требова</w:t>
      </w:r>
      <w:r w:rsidRPr="00E14102">
        <w:rPr>
          <w:color w:val="000000" w:themeColor="text1"/>
          <w:sz w:val="16"/>
          <w:szCs w:val="16"/>
        </w:rPr>
        <w:softHyphen/>
        <w:t>нием стала гарантия от возможных зависаний установок и от поврежде</w:t>
      </w:r>
      <w:r w:rsidRPr="00E14102">
        <w:rPr>
          <w:color w:val="000000" w:themeColor="text1"/>
          <w:sz w:val="16"/>
          <w:szCs w:val="16"/>
        </w:rPr>
        <w:softHyphen/>
        <w:t>ния плоскости самолета при сбрасывании.</w:t>
      </w:r>
    </w:p>
    <w:p w14:paraId="7CC733F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Кстати, подобная концепция установки пусковых вполне могла бы решить проблемы истребительной авиации, возникшие в ВВС КА в 1942 г. Тогда из-за потерь в скоростях самолетов ракетные орудия при</w:t>
      </w:r>
      <w:r w:rsidRPr="00E14102">
        <w:rPr>
          <w:color w:val="000000" w:themeColor="text1"/>
          <w:sz w:val="16"/>
          <w:szCs w:val="16"/>
        </w:rPr>
        <w:softHyphen/>
        <w:t>казано было снять, и до окончания войны их использовали только в штурмовой авиации. Более подробно к анализу данной ситуации мы вернемся в соответствующем разделе пятой главы (11402).</w:t>
      </w:r>
    </w:p>
    <w:p w14:paraId="0120B19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5E48DBD2" w14:textId="77777777" w:rsidR="00543DB7" w:rsidRPr="00E14102" w:rsidRDefault="00543DB7" w:rsidP="00E14102">
      <w:pPr>
        <w:jc w:val="both"/>
        <w:rPr>
          <w:color w:val="000000" w:themeColor="text1"/>
          <w:sz w:val="16"/>
          <w:szCs w:val="16"/>
        </w:rPr>
      </w:pPr>
      <w:r w:rsidRPr="00E14102">
        <w:rPr>
          <w:color w:val="000000" w:themeColor="text1"/>
          <w:sz w:val="16"/>
          <w:szCs w:val="16"/>
        </w:rPr>
        <w:t>В 1935 г. были разработаны первые серии самолетных переговорных устройств на три и восемь рабочих мест (СПУ-3 и СПУ-8). На основе этих работ к 1935 г. была разработана, изготовлена и установлена на известном в то время самолете «Максим Горький» самолетная АТС на шестнадцать номеров. Она работала на нем вплоть до трагической гибели самолета. В дальнейшем разработки по теле</w:t>
      </w:r>
      <w:r w:rsidRPr="00E14102">
        <w:rPr>
          <w:color w:val="000000" w:themeColor="text1"/>
          <w:sz w:val="16"/>
          <w:szCs w:val="16"/>
        </w:rPr>
        <w:softHyphen/>
        <w:t>фонированию в условиях больших шумов были переданы в Акустический отдел Отраслевой телефонной лаборатории. Здесь Эльсниц вместе с инженером Вар</w:t>
      </w:r>
      <w:r w:rsidRPr="00E14102">
        <w:rPr>
          <w:color w:val="000000" w:themeColor="text1"/>
          <w:sz w:val="16"/>
          <w:szCs w:val="16"/>
        </w:rPr>
        <w:softHyphen/>
        <w:t>шавским и конструктором В.Г. Евгеньевым занимался разработкой танкового переговорного устройства (ТПУ) (19098).</w:t>
      </w:r>
    </w:p>
    <w:p w14:paraId="2C25E075" w14:textId="77777777" w:rsidR="00543DB7" w:rsidRPr="00E14102" w:rsidRDefault="00543DB7" w:rsidP="00E14102">
      <w:pPr>
        <w:jc w:val="both"/>
        <w:rPr>
          <w:color w:val="000000" w:themeColor="text1"/>
          <w:sz w:val="16"/>
          <w:szCs w:val="16"/>
        </w:rPr>
      </w:pPr>
    </w:p>
    <w:p w14:paraId="4420AD4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в сведениях о реактивных снарядах, разработанных и РНИИ ГУБ НКТП в 1935 г., составленных Ф.Н.Пойдой, в частности говорилось, что первый 132-мм ракетный осветительный парашютный снаряд был раз</w:t>
      </w:r>
      <w:r w:rsidRPr="00E14102">
        <w:rPr>
          <w:color w:val="000000" w:themeColor="text1"/>
          <w:sz w:val="16"/>
          <w:szCs w:val="16"/>
        </w:rPr>
        <w:softHyphen/>
        <w:t>работан по заказу УВМС РККА. Его официальные испытания состоя</w:t>
      </w:r>
      <w:r w:rsidRPr="00E14102">
        <w:rPr>
          <w:color w:val="000000" w:themeColor="text1"/>
          <w:sz w:val="16"/>
          <w:szCs w:val="16"/>
        </w:rPr>
        <w:softHyphen/>
        <w:t>лись 5 июня 1935 г. в Евпатории в присутствии наркомвоенмора и под председательством начальника вооружений РККА М.Н.Тухачевского. По всей видимости, это были комбинированные снаряды «РС-132-0 и А» модели 140500 осветительного и агитационного действия.</w:t>
      </w:r>
    </w:p>
    <w:p w14:paraId="34A4BFF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Агитационный и осветительный варианты снаряда отличала лишь оснастка внутри БЧ, предназначенная для размещения либо четырех осветительных факелов с парашютами, либо двух рулонов с листовками. Еще до полигонных испытаний постановлением Научно-технического журнала №035 ГАУ РККА по НТО УПВС от 15 января 1935 г. для производства опытно-валовой партии снарядам присвоили номер модели 2-01305 (11402).</w:t>
      </w:r>
    </w:p>
    <w:p w14:paraId="2F65E0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269BE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 военные отмечали, что АГДТ не имеет автоматического установщика трубок в полете, что не позволяет изменять и учитывать поправки в соответствии с требованиями обстановки боя. Все это накладывало ограничение на применение РС. Следует отметить, что первый прибор-установшик дистанционных трубок в 1927-28 гг. был разработан испытан в Германии. Для более точного отсчета при установке взрывателей на требуемое время срабатывания немцы применили световую сиг</w:t>
      </w:r>
      <w:r w:rsidRPr="00E14102">
        <w:rPr>
          <w:color w:val="000000" w:themeColor="text1"/>
          <w:sz w:val="16"/>
          <w:szCs w:val="16"/>
        </w:rPr>
        <w:softHyphen/>
        <w:t>нализацию, но и она не позволила добиться требуемых результатов. Спу</w:t>
      </w:r>
      <w:r w:rsidRPr="00E14102">
        <w:rPr>
          <w:color w:val="000000" w:themeColor="text1"/>
          <w:sz w:val="16"/>
          <w:szCs w:val="16"/>
        </w:rPr>
        <w:softHyphen/>
        <w:t>стя год, советский аналог прибора-установщика, разработанный Коло</w:t>
      </w:r>
      <w:r w:rsidRPr="00E14102">
        <w:rPr>
          <w:color w:val="000000" w:themeColor="text1"/>
          <w:sz w:val="16"/>
          <w:szCs w:val="16"/>
        </w:rPr>
        <w:softHyphen/>
        <w:t>совым и Семенихиным, испытали в НИИ ВВС РККА. Принцип дейст</w:t>
      </w:r>
      <w:r w:rsidRPr="00E14102">
        <w:rPr>
          <w:color w:val="000000" w:themeColor="text1"/>
          <w:sz w:val="16"/>
          <w:szCs w:val="16"/>
        </w:rPr>
        <w:softHyphen/>
        <w:t>вия прибора — механический с гибким валом и шестернями. Результат — примерно тот же, что и у немцев — большой люфт в механических при</w:t>
      </w:r>
      <w:r w:rsidRPr="00E14102">
        <w:rPr>
          <w:color w:val="000000" w:themeColor="text1"/>
          <w:sz w:val="16"/>
          <w:szCs w:val="16"/>
        </w:rPr>
        <w:softHyphen/>
        <w:t>водах не позволял устанавливать трубки с необходимой точностью.</w:t>
      </w:r>
    </w:p>
    <w:p w14:paraId="5DB7F9D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отличие от авиабомбовых взрывателей, к конструкции штатных го</w:t>
      </w:r>
      <w:r w:rsidRPr="00E14102">
        <w:rPr>
          <w:color w:val="000000" w:themeColor="text1"/>
          <w:sz w:val="16"/>
          <w:szCs w:val="16"/>
        </w:rPr>
        <w:softHyphen/>
        <w:t>ловных взрывателей, применяемых в отечественной авиации для РС, предъявляли более жесткие требования по надежности взведения в усло</w:t>
      </w:r>
      <w:r w:rsidRPr="00E14102">
        <w:rPr>
          <w:color w:val="000000" w:themeColor="text1"/>
          <w:sz w:val="16"/>
          <w:szCs w:val="16"/>
        </w:rPr>
        <w:softHyphen/>
        <w:t>виях перегрузок, обусловленных стартом снарядов. Когда ракетно-оско</w:t>
      </w:r>
      <w:r w:rsidRPr="00E14102">
        <w:rPr>
          <w:color w:val="000000" w:themeColor="text1"/>
          <w:sz w:val="16"/>
          <w:szCs w:val="16"/>
        </w:rPr>
        <w:softHyphen/>
        <w:t>лочно-фугасные снаряды планировали применять для стрельбы по воз</w:t>
      </w:r>
      <w:r w:rsidRPr="00E14102">
        <w:rPr>
          <w:color w:val="000000" w:themeColor="text1"/>
          <w:sz w:val="16"/>
          <w:szCs w:val="16"/>
        </w:rPr>
        <w:softHyphen/>
        <w:t>душным целям, их, как и ракетно-осколочныс снаряды, окончательно снаряжали дистанционными трубками АГДТ-А «для РС». Для ведения огня по наземным целям, эти боеприпасы оснащали взрывателями мгновенного действия АМ-А «для РС». Дальнейшее развитие пошло в области комбинированных взрывателей — дистанционного и мгновенного действия, а также дистанционных трубках с возможностью регули</w:t>
      </w:r>
      <w:r w:rsidRPr="00E14102">
        <w:rPr>
          <w:color w:val="000000" w:themeColor="text1"/>
          <w:sz w:val="16"/>
          <w:szCs w:val="16"/>
        </w:rPr>
        <w:softHyphen/>
        <w:t>рования времени их срабатывания из кабины пилота.</w:t>
      </w:r>
    </w:p>
    <w:p w14:paraId="75F90FE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 1935 г. программу полигонных испытаний продолжала дистанци</w:t>
      </w:r>
      <w:r w:rsidRPr="00E14102">
        <w:rPr>
          <w:color w:val="000000" w:themeColor="text1"/>
          <w:sz w:val="16"/>
          <w:szCs w:val="16"/>
        </w:rPr>
        <w:softHyphen/>
        <w:t>онная трубка ПГ-1 конструкции Остехбюро с максимальным замедле</w:t>
      </w:r>
      <w:r w:rsidRPr="00E14102">
        <w:rPr>
          <w:color w:val="000000" w:themeColor="text1"/>
          <w:sz w:val="16"/>
          <w:szCs w:val="16"/>
        </w:rPr>
        <w:softHyphen/>
        <w:t>нием до 40 с.</w:t>
      </w:r>
    </w:p>
    <w:p w14:paraId="6EE4572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8F14B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согласно плану работ РНИИ ГУБ НКТП по теме объекта №60, отстреляли пять 45-мм и 70-мм турбореактивных «ракет-но-жироскопических» снарядов РЖС-45 и РЖС-70 мм конструкции НИСИ. По результатам испытаний, законченных к 20 мая, указано: «Вы</w:t>
      </w:r>
      <w:r w:rsidRPr="00E14102">
        <w:rPr>
          <w:color w:val="000000" w:themeColor="text1"/>
          <w:sz w:val="16"/>
          <w:szCs w:val="16"/>
        </w:rPr>
        <w:softHyphen/>
        <w:t>явлены большие конструктивные дефекты снарядов и установлено, ч то дальнейшие испытания ТРС нецелесообразны» (11402).</w:t>
      </w:r>
    </w:p>
    <w:p w14:paraId="6BDD60CC" w14:textId="77777777" w:rsidR="00D4105E" w:rsidRPr="00E14102" w:rsidRDefault="00D4105E" w:rsidP="00E14102">
      <w:pPr>
        <w:autoSpaceDE w:val="0"/>
        <w:autoSpaceDN w:val="0"/>
        <w:adjustRightInd w:val="0"/>
        <w:jc w:val="both"/>
        <w:rPr>
          <w:color w:val="000000" w:themeColor="text1"/>
          <w:sz w:val="16"/>
          <w:szCs w:val="16"/>
        </w:rPr>
      </w:pPr>
    </w:p>
    <w:p w14:paraId="26D76A72" w14:textId="77777777" w:rsidR="00543DB7" w:rsidRPr="00E14102" w:rsidRDefault="00543DB7" w:rsidP="00E14102">
      <w:pPr>
        <w:jc w:val="both"/>
        <w:rPr>
          <w:color w:val="000000" w:themeColor="text1"/>
          <w:sz w:val="16"/>
          <w:szCs w:val="16"/>
        </w:rPr>
      </w:pPr>
      <w:r w:rsidRPr="00E14102">
        <w:rPr>
          <w:color w:val="000000" w:themeColor="text1"/>
          <w:sz w:val="16"/>
          <w:szCs w:val="16"/>
        </w:rPr>
        <w:t>Начиная с 1935 г., изготовление ракетных зарядов к авиационным снарядам РС-82 и PC-132 в связи с ростом потребности в них было переведено на южноукраинский завод. Освоение производства пороха Н и изготовление зарядов из него производилось так же, как и на заводе им. Морозова, под авторским контролем А.С.Бакаева, Б.П.Фомина, В.С.Дернового.</w:t>
      </w:r>
    </w:p>
    <w:p w14:paraId="311B6677" w14:textId="77777777" w:rsidR="00543DB7" w:rsidRPr="00E14102" w:rsidRDefault="00543DB7" w:rsidP="00E14102">
      <w:pPr>
        <w:jc w:val="both"/>
        <w:rPr>
          <w:color w:val="000000" w:themeColor="text1"/>
          <w:sz w:val="16"/>
          <w:szCs w:val="16"/>
        </w:rPr>
      </w:pPr>
      <w:r w:rsidRPr="00E14102">
        <w:rPr>
          <w:color w:val="000000" w:themeColor="text1"/>
          <w:sz w:val="16"/>
          <w:szCs w:val="16"/>
        </w:rPr>
        <w:t>Накопленный заводом опыт изготовления баллиститного пороха для морской артиллерии позволил сразу же приступить к изготовлению зарядов 24/6-57 мм, предназначенных для реактивного снаряда РС-82.</w:t>
      </w:r>
    </w:p>
    <w:p w14:paraId="0336AEE9" w14:textId="77777777" w:rsidR="00543DB7" w:rsidRPr="00E14102" w:rsidRDefault="00543DB7" w:rsidP="00E14102">
      <w:pPr>
        <w:jc w:val="both"/>
        <w:rPr>
          <w:color w:val="000000" w:themeColor="text1"/>
          <w:sz w:val="16"/>
          <w:szCs w:val="16"/>
        </w:rPr>
      </w:pPr>
      <w:r w:rsidRPr="00E14102">
        <w:rPr>
          <w:color w:val="000000" w:themeColor="text1"/>
          <w:sz w:val="16"/>
          <w:szCs w:val="16"/>
        </w:rPr>
        <w:t>Изготовленные первые образцы шашек из пороха по размерам и внешнему виду полностью удовлетворяли требованиям РНИИ. Необходима была проверка характера горения пороха в условиях ракетной камеры. Показателями, характеризовавшими работу заряда в тот период, являлись величина максимального давления в камере, определяемая по обжатию крешерных столбиков, и разброс давлений в ракетной камере.</w:t>
      </w:r>
    </w:p>
    <w:p w14:paraId="63E0E5A7" w14:textId="77777777" w:rsidR="00543DB7" w:rsidRPr="00E14102" w:rsidRDefault="00543DB7" w:rsidP="00E14102">
      <w:pPr>
        <w:jc w:val="both"/>
        <w:rPr>
          <w:color w:val="000000" w:themeColor="text1"/>
          <w:sz w:val="16"/>
          <w:szCs w:val="16"/>
        </w:rPr>
      </w:pPr>
      <w:r w:rsidRPr="00E14102">
        <w:rPr>
          <w:color w:val="000000" w:themeColor="text1"/>
          <w:sz w:val="16"/>
          <w:szCs w:val="16"/>
        </w:rPr>
        <w:t>Опыты по сжиганию пороховых шашек, проведенные в материальной части, доставленной на завод Ю.А.Победоносцевым, показали вполне приемлемые результаты (из-за отсутствия испытательных стендов испытания проводились на открытой площадке полигона завода) и послужили основанием для проведения следующего этапа — отработки технологии получения шашек диаметром 40 мм к авиационному снаряду PC-132. Чертежи пресс-инструмента разработал И.В.Крыжановский.</w:t>
      </w:r>
    </w:p>
    <w:p w14:paraId="45D71CAC" w14:textId="77777777" w:rsidR="00543DB7" w:rsidRPr="00E14102" w:rsidRDefault="00543DB7" w:rsidP="00E14102">
      <w:pPr>
        <w:jc w:val="both"/>
        <w:rPr>
          <w:color w:val="000000" w:themeColor="text1"/>
          <w:sz w:val="16"/>
          <w:szCs w:val="16"/>
        </w:rPr>
      </w:pPr>
      <w:r w:rsidRPr="00E14102">
        <w:rPr>
          <w:color w:val="000000" w:themeColor="text1"/>
          <w:sz w:val="16"/>
          <w:szCs w:val="16"/>
        </w:rPr>
        <w:t>Как указывалось выше, длина пороховых шашек (57,5 мм) была установлена в то время вынужденно, исходя из технологических возможностей их изготовления глухим прессованием из ПТП. Хотя технология изготовления баллиститных порохов не ограничивала длину шашек, пришлось все-таки, до проведения сравнительных проверок зарядов из порохов ПТП и Н, заряды из пороха Н изготовлять такими же короткими, т.е. 57,5 мм. Позднее, после проведения сравнительных испытаний зарядов, состоявших из коротких и длинных шашек, перешли к изготовлению зарядов из шашек, длина которых была примерно равна длине ракетных камер, а именно 230 мм для РС-82 и 287,5 мм для PC-132 (см. рис. 1,б и 2,б). Предметом особой заботы специалистов при изготовлении ракетных зарядов была борьба с воздушными включениями в пороховых шашках.</w:t>
      </w:r>
    </w:p>
    <w:p w14:paraId="6873DDA1" w14:textId="77777777" w:rsidR="00543DB7" w:rsidRPr="00E14102" w:rsidRDefault="00543DB7" w:rsidP="00E14102">
      <w:pPr>
        <w:jc w:val="both"/>
        <w:rPr>
          <w:color w:val="000000" w:themeColor="text1"/>
          <w:sz w:val="16"/>
          <w:szCs w:val="16"/>
        </w:rPr>
      </w:pPr>
      <w:r w:rsidRPr="00E14102">
        <w:rPr>
          <w:color w:val="000000" w:themeColor="text1"/>
          <w:sz w:val="16"/>
          <w:szCs w:val="16"/>
        </w:rPr>
        <w:t>Вопрос решился компромиссным путем: как дальнейшим совершенствованием и регламентацией технологического процесса при одновременном повышении дисциплины производства, так и регламентацией допустимых дефектов в пороховых шашках, которые были определены в процессе стендовых испытаний зарядов с воздушными включениями, различными по из количеству и размерам.</w:t>
      </w:r>
    </w:p>
    <w:p w14:paraId="400A5FF3" w14:textId="77777777" w:rsidR="00543DB7" w:rsidRPr="00E14102" w:rsidRDefault="00543DB7" w:rsidP="00E14102">
      <w:pPr>
        <w:jc w:val="both"/>
        <w:rPr>
          <w:color w:val="000000" w:themeColor="text1"/>
          <w:sz w:val="16"/>
          <w:szCs w:val="16"/>
        </w:rPr>
      </w:pPr>
      <w:r w:rsidRPr="00E14102">
        <w:rPr>
          <w:color w:val="000000" w:themeColor="text1"/>
          <w:sz w:val="16"/>
          <w:szCs w:val="16"/>
        </w:rPr>
        <w:t xml:space="preserve">Ю.А.Победоносцев вспоминает: "Пришлось ввести жесткую отбраковку, тщательное перемешивание шашек, изготовленных на разных прессах, и целый ряд других новых операций. Сказались и новые условия производства, и несколько другое оборудование, и наконец, иные климатические условия. Например, было замечено, что если партия пороховых шашек сдавалась отделу технического контроля ранним утром, то давление в камерах при горении было нормальным. Во второй же половине дня давление, как правило, повышалось, и вся партия шашек браковалась. Оказывается, на ракетные заряды сильное воздействие оказывала температура воздуха. </w:t>
      </w:r>
      <w:r w:rsidRPr="00E14102">
        <w:rPr>
          <w:color w:val="000000" w:themeColor="text1"/>
          <w:sz w:val="16"/>
          <w:szCs w:val="16"/>
        </w:rPr>
        <w:lastRenderedPageBreak/>
        <w:t>Холодными ночами заряды остывали, и партия давала нормальное давление. За день контрольные заряды сильно разогревались и давали повышенное давление, не укладывавшееся в допустимые пределы" /5, с. 33/.</w:t>
      </w:r>
    </w:p>
    <w:p w14:paraId="690FCDC8" w14:textId="77777777" w:rsidR="00543DB7" w:rsidRPr="00E14102" w:rsidRDefault="00543DB7" w:rsidP="00E14102">
      <w:pPr>
        <w:jc w:val="both"/>
        <w:rPr>
          <w:color w:val="000000" w:themeColor="text1"/>
          <w:sz w:val="16"/>
          <w:szCs w:val="16"/>
        </w:rPr>
      </w:pPr>
      <w:r w:rsidRPr="00E14102">
        <w:rPr>
          <w:color w:val="000000" w:themeColor="text1"/>
          <w:sz w:val="16"/>
          <w:szCs w:val="16"/>
        </w:rPr>
        <w:t>Проведенные на южноукраинском заводе многочисленные стендовые испытания ракетных двигателей с зарядами из нитроглицериновых баллиститных порохов при самых разнообразных условиях снаряжения ракетных двигателей и при различных температурах заряда дали богатый исходный материал для разработки методов расчета заряда, подбора диаметра критического сечения сопел и т.д., а также для серьезных теоретических обобщений (18646).</w:t>
      </w:r>
    </w:p>
    <w:p w14:paraId="1E567010" w14:textId="77777777" w:rsidR="00543DB7" w:rsidRPr="00E14102" w:rsidRDefault="00543DB7" w:rsidP="00E14102">
      <w:pPr>
        <w:jc w:val="both"/>
        <w:rPr>
          <w:color w:val="000000" w:themeColor="text1"/>
          <w:sz w:val="16"/>
          <w:szCs w:val="16"/>
        </w:rPr>
      </w:pPr>
    </w:p>
    <w:p w14:paraId="7515D9B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на основе 132-мм ракетного агитационного снаряда РС-132-О и А модели 1337/4 был сконструирован авиационный вариант РС-132-О и А модели 140500. Постановлением Научно-технического журнала по 7-му сектору НТО УПВС ГАУ РККА №035 от 15 января 1935 г., эти боеприпасы были запу</w:t>
      </w:r>
      <w:r w:rsidRPr="00E14102">
        <w:rPr>
          <w:color w:val="000000" w:themeColor="text1"/>
          <w:sz w:val="16"/>
          <w:szCs w:val="16"/>
        </w:rPr>
        <w:softHyphen/>
        <w:t>щены в опытно-серийное производство с присвоением им номера моде</w:t>
      </w:r>
      <w:r w:rsidRPr="00E14102">
        <w:rPr>
          <w:color w:val="000000" w:themeColor="text1"/>
          <w:sz w:val="16"/>
          <w:szCs w:val="16"/>
        </w:rPr>
        <w:softHyphen/>
        <w:t>ли 2-01305. Несмотря на положительные результаты полигонных испы</w:t>
      </w:r>
      <w:r w:rsidRPr="00E14102">
        <w:rPr>
          <w:color w:val="000000" w:themeColor="text1"/>
          <w:sz w:val="16"/>
          <w:szCs w:val="16"/>
        </w:rPr>
        <w:softHyphen/>
        <w:t>таний при стрельбе с танка БТ-5 и торпедного катера, на вооружение авиации и сухопутных войск эти боеприпасы почему-то не поступили. Скорее всего, от них отказался заказчик — ОГПУ (11402).</w:t>
      </w:r>
    </w:p>
    <w:p w14:paraId="624D713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FFDD01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 по заказу УМС РККА в рамках темы по объекту №41ф в РНИИ ГУБ НКТП разработали 132-мм ракетно-фугасный снаряд РФС-132 для вооружения морских судов. От авиационного РС-132 его отличала возможность оснащения авиационным пневматическим авиационным взрывателем АПУВ. Этот головной взрыватель был доста</w:t>
      </w:r>
      <w:r w:rsidRPr="00E14102">
        <w:rPr>
          <w:color w:val="000000" w:themeColor="text1"/>
          <w:sz w:val="16"/>
          <w:szCs w:val="16"/>
        </w:rPr>
        <w:softHyphen/>
        <w:t>точно хорошо отработан, его выпускали большими партиями. Моряков, по-видимому, удовлетворяла его способность срабатывать при касании поверхности воды. Однако, снаряд потребовал доработки под более длинный хвостовик взрывателя, нежели у традиционных для авиации го</w:t>
      </w:r>
      <w:r w:rsidRPr="00E14102">
        <w:rPr>
          <w:color w:val="000000" w:themeColor="text1"/>
          <w:sz w:val="16"/>
          <w:szCs w:val="16"/>
        </w:rPr>
        <w:softHyphen/>
        <w:t>ловных трубок АГДТ. К концу года заказчику сдали партию из 44 таких снарядов, не проводя их заводских проверочных испытаний. Дальней</w:t>
      </w:r>
      <w:r w:rsidRPr="00E14102">
        <w:rPr>
          <w:color w:val="000000" w:themeColor="text1"/>
          <w:sz w:val="16"/>
          <w:szCs w:val="16"/>
        </w:rPr>
        <w:softHyphen/>
        <w:t>шая судьба боеприпасов неизвестна. Трудно сказать, для каких подразделений УМС РККА предназнача</w:t>
      </w:r>
      <w:r w:rsidRPr="00E14102">
        <w:rPr>
          <w:color w:val="000000" w:themeColor="text1"/>
          <w:sz w:val="16"/>
          <w:szCs w:val="16"/>
        </w:rPr>
        <w:softHyphen/>
        <w:t>лись 132-мм ракетные осветительные парашютные снаряды модели 140500 (тема объекта №58) - для корабельной или для береговой артил</w:t>
      </w:r>
      <w:r w:rsidRPr="00E14102">
        <w:rPr>
          <w:color w:val="000000" w:themeColor="text1"/>
          <w:sz w:val="16"/>
          <w:szCs w:val="16"/>
        </w:rPr>
        <w:softHyphen/>
        <w:t>лерии? То, что их официальные испытания состоялись 5 июня 1933 г. в Евпатории в присутствии наркомвоенмора и под председательством начальника вооружений РККА М.Н.Тухачевского, дает основания отне</w:t>
      </w:r>
      <w:r w:rsidRPr="00E14102">
        <w:rPr>
          <w:color w:val="000000" w:themeColor="text1"/>
          <w:sz w:val="16"/>
          <w:szCs w:val="16"/>
        </w:rPr>
        <w:softHyphen/>
        <w:t>сти их к оружию береговых артиллеристов. Однако, последующий ход событий свидетельствует в пользу палубной артиллерии. Хотя, возможно их разрабатывали и для тех, и для других (11402).</w:t>
      </w:r>
    </w:p>
    <w:p w14:paraId="57257652" w14:textId="77777777" w:rsidR="00D4105E" w:rsidRPr="00E14102" w:rsidRDefault="00D4105E" w:rsidP="00E14102">
      <w:pPr>
        <w:autoSpaceDE w:val="0"/>
        <w:autoSpaceDN w:val="0"/>
        <w:adjustRightInd w:val="0"/>
        <w:jc w:val="both"/>
        <w:rPr>
          <w:color w:val="000000" w:themeColor="text1"/>
          <w:sz w:val="16"/>
          <w:szCs w:val="16"/>
        </w:rPr>
      </w:pPr>
    </w:p>
    <w:p w14:paraId="533911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 началась разработка ракетно-осветительно-сигнального снаряда РОСС-152 и ракетно-сигнального снаряда РСС-152 по заказу Управления морских сил «для вооружения Флота мощными осветительными снарядами» В следу</w:t>
      </w:r>
      <w:r w:rsidRPr="00E14102">
        <w:rPr>
          <w:color w:val="000000" w:themeColor="text1"/>
          <w:sz w:val="16"/>
          <w:szCs w:val="16"/>
        </w:rPr>
        <w:softHyphen/>
        <w:t>ющем году, как зафиксировано в тематическо-финансовом плане по РНИИ ГУБ НКТП на 1936 г., работы по 152-мм ракетно-осветительным снарядам (тема объекта №111) и ракетно-сигнальным того же калибра (тема объекта № 112) продолжилась. От заказчика эти темы консультиро</w:t>
      </w:r>
      <w:r w:rsidRPr="00E14102">
        <w:rPr>
          <w:color w:val="000000" w:themeColor="text1"/>
          <w:sz w:val="16"/>
          <w:szCs w:val="16"/>
        </w:rPr>
        <w:softHyphen/>
        <w:t>вали Мельницкий, Беленький и Широков. Конструировал боеприпасы В.А.Артемьев. Данных о результатах их испытаний очень мало. В 1937 г. для морских снарядов РОСС-152 и РСС-152 на заводе №6 имени Моро</w:t>
      </w:r>
      <w:r w:rsidRPr="00E14102">
        <w:rPr>
          <w:color w:val="000000" w:themeColor="text1"/>
          <w:sz w:val="16"/>
          <w:szCs w:val="16"/>
        </w:rPr>
        <w:softHyphen/>
        <w:t>зова заказали пороховые шашки рецептуры ПТП габаритами 48/8-60 мм (как раз для наиболее оптимального наполнения камер двигателей мно</w:t>
      </w:r>
      <w:r w:rsidRPr="00E14102">
        <w:rPr>
          <w:color w:val="000000" w:themeColor="text1"/>
          <w:sz w:val="16"/>
          <w:szCs w:val="16"/>
        </w:rPr>
        <w:softHyphen/>
        <w:t>горядными семишашечными РЗ). Этими же шашками планировали сна</w:t>
      </w:r>
      <w:r w:rsidRPr="00E14102">
        <w:rPr>
          <w:color w:val="000000" w:themeColor="text1"/>
          <w:sz w:val="16"/>
          <w:szCs w:val="16"/>
        </w:rPr>
        <w:softHyphen/>
        <w:t>ряжать и двигатели морских ракетно-дымовых снарядов РДС-152, а так</w:t>
      </w:r>
      <w:r w:rsidRPr="00E14102">
        <w:rPr>
          <w:color w:val="000000" w:themeColor="text1"/>
          <w:sz w:val="16"/>
          <w:szCs w:val="16"/>
        </w:rPr>
        <w:softHyphen/>
        <w:t>же и ракетно-ныряющих РНС-152.</w:t>
      </w:r>
    </w:p>
    <w:p w14:paraId="4F6D33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1939 г. РОСС-152 и РСС-152 успешно прошли войсковые испыта</w:t>
      </w:r>
      <w:r w:rsidRPr="00E14102">
        <w:rPr>
          <w:color w:val="000000" w:themeColor="text1"/>
          <w:sz w:val="16"/>
          <w:szCs w:val="16"/>
        </w:rPr>
        <w:softHyphen/>
        <w:t>ния как раз в «условиях береговой обороны», но данных о принятии их на вооружение не обнаружено (11402).</w:t>
      </w:r>
    </w:p>
    <w:p w14:paraId="2B5309A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2BA6B7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в РНИИ началось проектирование первой отечественной зенитной ракеты, получившей индекс 217. Для летной отработки нового изделия Королев предложил использовать недорогие пороховые ракеты, что, по его мнению, позволило бы сэкономить время и средства, тем более что ЖРД для 217-й ракеты еще не был готов. В 1935 г. начались испытания уменьшенных моделей ракеты 217 для отработки некоторых конструктивных вопросов. Испытания уменьшенных моделей КР 217 проводились в течение 1935–1936 гг. Эти испытания дали большой экспериментальный материал. Например, наибольшую дальность полета показали модели КР 217 – 2 км, а высоту подъема – 700 м. Собственно ракета 217 поднялась на высоту 300–500 м и пролетела 1 км (11686).</w:t>
      </w:r>
    </w:p>
    <w:p w14:paraId="35DC21D8" w14:textId="77777777" w:rsidR="00D4105E" w:rsidRPr="00E14102" w:rsidRDefault="00D4105E" w:rsidP="00E14102">
      <w:pPr>
        <w:autoSpaceDE w:val="0"/>
        <w:autoSpaceDN w:val="0"/>
        <w:adjustRightInd w:val="0"/>
        <w:jc w:val="both"/>
        <w:rPr>
          <w:color w:val="000000" w:themeColor="text1"/>
          <w:sz w:val="16"/>
          <w:szCs w:val="16"/>
        </w:rPr>
      </w:pPr>
    </w:p>
    <w:p w14:paraId="590B26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после испытаний отказались от ВАП Т-С ("тылового снаряжения"). ВАП-4 должен был заливаться ядовитой смесью непосредственно на аэродроме, стоя на земле или прямо подвешенным под самолетом. Для этого у него имелась заливная горловина. Наливать должны были лейкой или "пистолетом" на шланге авторазливочной станции. ВАП Т-С намеревались привозить но площадку уже заправленным на заводе или на передовой базе. Второе отличие - новый прибор предполагался одноразовым; после использования его сбрасывали над территорией противника, освобождаясь от дегазации перед повторным применением. Соответственно, конструкция должна была быть легкой и дешевой. Но ВАП Т-С, созданный инженером Любимовым, ни легким, ни дешевым не стал. Сделанный в основном из железа, он весил 15 кг (ВАП-4 - 17,6 кг) при существенно меньшей емкости (58 л против 82 л). По расходу он также уступал предшественнику (11931).</w:t>
      </w:r>
    </w:p>
    <w:p w14:paraId="1BDE2255" w14:textId="77777777" w:rsidR="00D4105E" w:rsidRPr="00E14102" w:rsidRDefault="00D4105E" w:rsidP="00E14102">
      <w:pPr>
        <w:autoSpaceDE w:val="0"/>
        <w:autoSpaceDN w:val="0"/>
        <w:adjustRightInd w:val="0"/>
        <w:jc w:val="both"/>
        <w:rPr>
          <w:color w:val="000000" w:themeColor="text1"/>
          <w:sz w:val="16"/>
          <w:szCs w:val="16"/>
        </w:rPr>
      </w:pPr>
    </w:p>
    <w:p w14:paraId="33D7E6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ориентируясь на возможности бомбардировщика ТБ-3, создали ВАП-500. В отличие от всех предыдущих они имели форму не капли, не баллона и не цилиндрического бака, а вытянутую треугольную при виде сбоку. Носок был скруглен, а в нижней точке сзади размещался слив. ВАП-500 вмещал 315 л раствора и обеспечивал расход до 90 л/с (больше, чем у ВАП-К-6). Напор создавался набегающим потоком воздуха, который после открывания прибора забирался через створки-карманы. Открывание осуществлялось механическим тросовым или от электрическим бомбосбрасывателем. ТБ-3 нес четыре ВАП-500 подвешенными в шахматном порядке под центропланом. При необходимости прибор сбрасывался, как бомба (11931). В апреле 1936 г. прибор успешно прошел государственные испытания. По сравнению с ВАП-К-6 конструкция получилась легче, аэродинамика - лучше, надежность срабатывания - выше. ВАП-500 приняли на вооружение и изготовляли серийно. Со временем эти приборы приспособили также для самолетов ДБ-3 (нес три ВАП-500), СБ (начиная с 96-й серии, два) и других машин (11931).</w:t>
      </w:r>
    </w:p>
    <w:p w14:paraId="7C9F8701" w14:textId="77777777" w:rsidR="00D4105E" w:rsidRPr="00E14102" w:rsidRDefault="00D4105E" w:rsidP="00E14102">
      <w:pPr>
        <w:autoSpaceDE w:val="0"/>
        <w:autoSpaceDN w:val="0"/>
        <w:adjustRightInd w:val="0"/>
        <w:jc w:val="both"/>
        <w:rPr>
          <w:color w:val="000000" w:themeColor="text1"/>
          <w:sz w:val="16"/>
          <w:szCs w:val="16"/>
        </w:rPr>
      </w:pPr>
    </w:p>
    <w:p w14:paraId="0F0B3E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1935 г. в ЦАГИ разрабатывали универсальный прибор ХУП (11931).</w:t>
      </w:r>
    </w:p>
    <w:p w14:paraId="3D7BE259" w14:textId="77777777" w:rsidR="00D4105E" w:rsidRPr="00E14102" w:rsidRDefault="00D4105E" w:rsidP="00E14102">
      <w:pPr>
        <w:autoSpaceDE w:val="0"/>
        <w:autoSpaceDN w:val="0"/>
        <w:adjustRightInd w:val="0"/>
        <w:jc w:val="both"/>
        <w:rPr>
          <w:iCs/>
          <w:color w:val="000000" w:themeColor="text1"/>
          <w:sz w:val="16"/>
          <w:szCs w:val="16"/>
        </w:rPr>
      </w:pPr>
    </w:p>
    <w:p w14:paraId="54A74E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П.И. Гроховским был предложен проект "Паутина воздушной обороны". По сути, он полностью предвосхищал применявшуюся в годы Второй мировой войны англичанами систему "Пандора" (LAM). Р-5 нес на бомбодержателях под крылом и фюзеляжем пять связок из трех цилиндров. После сброса из верхней части выходил парашют, вытягивавший бухту стальной проволоки диаметром 2 мм и длиной в километр. Получался "забор", преграждавший путь вражеским бомбардировщикам. Предполагалось, что столкновение на большой скорости обеспечит проволоке режущий эффект. Проект реализовали спустя два года, но не совсем в описанном виде. На вооружение "паутину" в СССР не приняли. Впрочем, у англичан она тоже не дала большого эффекта (12034).</w:t>
      </w:r>
    </w:p>
    <w:p w14:paraId="318A6383" w14:textId="77777777" w:rsidR="00D4105E" w:rsidRPr="00E14102" w:rsidRDefault="00D4105E" w:rsidP="00E14102">
      <w:pPr>
        <w:autoSpaceDE w:val="0"/>
        <w:autoSpaceDN w:val="0"/>
        <w:adjustRightInd w:val="0"/>
        <w:jc w:val="both"/>
        <w:rPr>
          <w:color w:val="000000" w:themeColor="text1"/>
          <w:sz w:val="16"/>
          <w:szCs w:val="16"/>
        </w:rPr>
      </w:pPr>
    </w:p>
    <w:p w14:paraId="5CB259B1" w14:textId="77777777" w:rsidR="00E02721" w:rsidRPr="00E14102" w:rsidRDefault="00E02721" w:rsidP="00E14102">
      <w:pPr>
        <w:jc w:val="both"/>
        <w:rPr>
          <w:color w:val="0070C0"/>
          <w:sz w:val="16"/>
          <w:szCs w:val="16"/>
        </w:rPr>
      </w:pPr>
      <w:r w:rsidRPr="00E14102">
        <w:rPr>
          <w:color w:val="0070C0"/>
          <w:sz w:val="16"/>
          <w:szCs w:val="16"/>
          <w:lang w:bidi="ru-RU"/>
        </w:rPr>
        <w:t>В 1935 г. в первый год производства в полностью со</w:t>
      </w:r>
      <w:r w:rsidRPr="00E14102">
        <w:rPr>
          <w:color w:val="0070C0"/>
          <w:sz w:val="16"/>
          <w:szCs w:val="16"/>
          <w:lang w:bidi="ru-RU"/>
        </w:rPr>
        <w:softHyphen/>
        <w:t>бранный, но не имеющий обшивки Сталь-3 демонстриро</w:t>
      </w:r>
      <w:r w:rsidRPr="00E14102">
        <w:rPr>
          <w:color w:val="0070C0"/>
          <w:sz w:val="16"/>
          <w:szCs w:val="16"/>
          <w:lang w:bidi="ru-RU"/>
        </w:rPr>
        <w:softHyphen/>
        <w:t>вался на авиационной выставке в итальянском Милане.</w:t>
      </w:r>
      <w:r w:rsidRPr="00E14102">
        <w:rPr>
          <w:color w:val="0070C0"/>
          <w:sz w:val="16"/>
          <w:szCs w:val="16"/>
        </w:rPr>
        <w:t xml:space="preserve"> </w:t>
      </w:r>
      <w:r w:rsidRPr="00E14102">
        <w:rPr>
          <w:color w:val="0070C0"/>
          <w:sz w:val="16"/>
          <w:szCs w:val="16"/>
          <w:lang w:bidi="ru-RU"/>
        </w:rPr>
        <w:t>Также там демонстрировался АИР-9бис Яковлева, ОСГА-101 Четверикова и истребитель И-16 как спортивный моноплан (20365).</w:t>
      </w:r>
    </w:p>
    <w:p w14:paraId="4127CDDE" w14:textId="77777777" w:rsidR="00E02721" w:rsidRPr="00E14102" w:rsidRDefault="00E02721" w:rsidP="00E14102">
      <w:pPr>
        <w:shd w:val="clear" w:color="auto" w:fill="FFFFFF"/>
        <w:jc w:val="both"/>
        <w:rPr>
          <w:color w:val="0070C0"/>
          <w:sz w:val="16"/>
          <w:szCs w:val="16"/>
        </w:rPr>
      </w:pPr>
    </w:p>
    <w:p w14:paraId="623413DB" w14:textId="77777777" w:rsidR="00E02721" w:rsidRPr="00E14102" w:rsidRDefault="00E02721" w:rsidP="00E14102">
      <w:pPr>
        <w:jc w:val="both"/>
        <w:rPr>
          <w:color w:val="0070C0"/>
          <w:sz w:val="16"/>
          <w:szCs w:val="16"/>
        </w:rPr>
      </w:pPr>
      <w:r w:rsidRPr="00E14102">
        <w:rPr>
          <w:color w:val="0070C0"/>
          <w:sz w:val="16"/>
          <w:szCs w:val="16"/>
        </w:rPr>
        <w:t>В 1935 инженер «Дирижаблестроя» М.М. Сакаллы разработал про</w:t>
      </w:r>
      <w:r w:rsidRPr="00E14102">
        <w:rPr>
          <w:color w:val="0070C0"/>
          <w:sz w:val="16"/>
          <w:szCs w:val="16"/>
        </w:rPr>
        <w:softHyphen/>
        <w:t>ект цельнометаллического дирижабля жёсткого типа с облегчённым каркасом, рассчитанным на совместную работу с металлической оболочкой. В качестве материала конструкций и оболоч</w:t>
      </w:r>
      <w:r w:rsidRPr="00E14102">
        <w:rPr>
          <w:color w:val="0070C0"/>
          <w:sz w:val="16"/>
          <w:szCs w:val="16"/>
        </w:rPr>
        <w:softHyphen/>
        <w:t>ки использовалась нержавеющая холодноката</w:t>
      </w:r>
      <w:r w:rsidRPr="00E14102">
        <w:rPr>
          <w:color w:val="0070C0"/>
          <w:sz w:val="16"/>
          <w:szCs w:val="16"/>
        </w:rPr>
        <w:softHyphen/>
        <w:t>ная сталь толщиной 0,1-1 мм. Листы оболочки и элементы конструкции соединялись контакт</w:t>
      </w:r>
      <w:r w:rsidRPr="00E14102">
        <w:rPr>
          <w:color w:val="0070C0"/>
          <w:sz w:val="16"/>
          <w:szCs w:val="16"/>
        </w:rPr>
        <w:softHyphen/>
        <w:t>ной электросваркой. Корпус дирижабля имел шпангоутов и 300 стрингеров. Подъёмный газ наполнял всю оболочку дирижабля. Для поддер</w:t>
      </w:r>
      <w:r w:rsidRPr="00E14102">
        <w:rPr>
          <w:color w:val="0070C0"/>
          <w:sz w:val="16"/>
          <w:szCs w:val="16"/>
        </w:rPr>
        <w:softHyphen/>
        <w:t>жания сверхдавления в ней имелось два матерча</w:t>
      </w:r>
      <w:r w:rsidRPr="00E14102">
        <w:rPr>
          <w:color w:val="0070C0"/>
          <w:sz w:val="16"/>
          <w:szCs w:val="16"/>
        </w:rPr>
        <w:softHyphen/>
        <w:t>тых баллонета, воздух в которые подавался либо от струи пропеллера, либо от вентилятора. Нижнюю поверхность баллонета, прилегающую к корпу</w:t>
      </w:r>
      <w:r w:rsidRPr="00E14102">
        <w:rPr>
          <w:color w:val="0070C0"/>
          <w:sz w:val="16"/>
          <w:szCs w:val="16"/>
        </w:rPr>
        <w:softHyphen/>
        <w:t>су, образовывала стальная оболочка дирижабля. Оперение состояло из четырёх планов (сталь</w:t>
      </w:r>
      <w:r w:rsidRPr="00E14102">
        <w:rPr>
          <w:color w:val="0070C0"/>
          <w:sz w:val="16"/>
          <w:szCs w:val="16"/>
        </w:rPr>
        <w:softHyphen/>
        <w:t>ных каркасов, обтянутых материей). Два мотора воздушного охлаждения по 300 л.с. установлены на выносных рамах гондолы. Дирижабль имел следующие расчётные характеристики: длина — 52,6 м, диаметр — 17,4 м, высота — 20 м, объём оболочки — 8000 м3, скорость — 110 км/ч, пото</w:t>
      </w:r>
      <w:r w:rsidRPr="00E14102">
        <w:rPr>
          <w:color w:val="0070C0"/>
          <w:sz w:val="16"/>
          <w:szCs w:val="16"/>
        </w:rPr>
        <w:softHyphen/>
        <w:t>лок — 3000 м, полезная отдача — 30%. Были вы</w:t>
      </w:r>
      <w:r w:rsidRPr="00E14102">
        <w:rPr>
          <w:color w:val="0070C0"/>
          <w:sz w:val="16"/>
          <w:szCs w:val="16"/>
        </w:rPr>
        <w:softHyphen/>
        <w:t>полнены расчёты на прочность как всего каркаса, так и его элементов, испытаны три гидромодели (среди них одна металлическая), началось изго</w:t>
      </w:r>
      <w:r w:rsidRPr="00E14102">
        <w:rPr>
          <w:color w:val="0070C0"/>
          <w:sz w:val="16"/>
          <w:szCs w:val="16"/>
        </w:rPr>
        <w:softHyphen/>
        <w:t>товление элементов конструкции. Введение ди</w:t>
      </w:r>
      <w:r w:rsidRPr="00E14102">
        <w:rPr>
          <w:color w:val="0070C0"/>
          <w:sz w:val="16"/>
          <w:szCs w:val="16"/>
        </w:rPr>
        <w:softHyphen/>
        <w:t>рижабля в строй намечалось на 1937 г.</w:t>
      </w:r>
    </w:p>
    <w:p w14:paraId="02EA9EB1" w14:textId="77777777" w:rsidR="00E02721" w:rsidRPr="00E14102" w:rsidRDefault="00E02721" w:rsidP="00E14102">
      <w:pPr>
        <w:jc w:val="both"/>
        <w:rPr>
          <w:color w:val="0070C0"/>
          <w:sz w:val="16"/>
          <w:szCs w:val="16"/>
        </w:rPr>
      </w:pPr>
      <w:r w:rsidRPr="00E14102">
        <w:rPr>
          <w:color w:val="0070C0"/>
          <w:sz w:val="16"/>
          <w:szCs w:val="16"/>
        </w:rPr>
        <w:t>Первоочерёдные задачи по вводу в строй полу</w:t>
      </w:r>
      <w:r w:rsidRPr="00E14102">
        <w:rPr>
          <w:color w:val="0070C0"/>
          <w:sz w:val="16"/>
          <w:szCs w:val="16"/>
        </w:rPr>
        <w:softHyphen/>
        <w:t>жёстких дирижаблей и реорганизация «Дирижабле- строя» сказались на темпах работ, так что цельно</w:t>
      </w:r>
      <w:r w:rsidRPr="00E14102">
        <w:rPr>
          <w:color w:val="0070C0"/>
          <w:sz w:val="16"/>
          <w:szCs w:val="16"/>
        </w:rPr>
        <w:softHyphen/>
        <w:t>металлический корабль так и не поднялся в воздух (20120).</w:t>
      </w:r>
    </w:p>
    <w:p w14:paraId="7DD68F83" w14:textId="77777777" w:rsidR="00E02721" w:rsidRPr="00E14102" w:rsidRDefault="00E02721" w:rsidP="00E14102">
      <w:pPr>
        <w:jc w:val="both"/>
        <w:rPr>
          <w:color w:val="0070C0"/>
          <w:sz w:val="16"/>
          <w:szCs w:val="16"/>
        </w:rPr>
      </w:pPr>
    </w:p>
    <w:p w14:paraId="2B4CA308" w14:textId="77777777" w:rsidR="00E02721" w:rsidRPr="00E14102" w:rsidRDefault="00E02721" w:rsidP="00E14102">
      <w:pPr>
        <w:jc w:val="both"/>
        <w:rPr>
          <w:color w:val="0070C0"/>
          <w:sz w:val="16"/>
          <w:szCs w:val="16"/>
        </w:rPr>
      </w:pPr>
      <w:r w:rsidRPr="00E14102">
        <w:rPr>
          <w:color w:val="0070C0"/>
          <w:sz w:val="16"/>
          <w:szCs w:val="16"/>
        </w:rPr>
        <w:t>В 1935 г. «СССР В-3» модернизировали и при</w:t>
      </w:r>
      <w:r w:rsidRPr="00E14102">
        <w:rPr>
          <w:color w:val="0070C0"/>
          <w:sz w:val="16"/>
          <w:szCs w:val="16"/>
        </w:rPr>
        <w:softHyphen/>
        <w:t>своили ему название разоружённого весной 1935 г. дирижабля «СССР В-2» (Р.В. Пятышев обозначил его как дирижабль «СССР В-2 бис»). Модернизированный дирижабль развивал мак</w:t>
      </w:r>
      <w:r w:rsidRPr="00E14102">
        <w:rPr>
          <w:color w:val="0070C0"/>
          <w:sz w:val="16"/>
          <w:szCs w:val="16"/>
        </w:rPr>
        <w:softHyphen/>
        <w:t>симальную скорость 114 км/ч, его эксплуатаци</w:t>
      </w:r>
      <w:r w:rsidRPr="00E14102">
        <w:rPr>
          <w:color w:val="0070C0"/>
          <w:sz w:val="16"/>
          <w:szCs w:val="16"/>
        </w:rPr>
        <w:softHyphen/>
        <w:t>онная скорость была 103 км/ч, а при полёте на одном моторе — 77 км/ч. На дирижабле уста</w:t>
      </w:r>
      <w:r w:rsidRPr="00E14102">
        <w:rPr>
          <w:color w:val="0070C0"/>
          <w:sz w:val="16"/>
          <w:szCs w:val="16"/>
        </w:rPr>
        <w:softHyphen/>
        <w:t>новили винт серии СДВ-1 диаметром 2,75 м, подобранный на режим полёта при максималь</w:t>
      </w:r>
      <w:r w:rsidRPr="00E14102">
        <w:rPr>
          <w:color w:val="0070C0"/>
          <w:sz w:val="16"/>
          <w:szCs w:val="16"/>
        </w:rPr>
        <w:softHyphen/>
        <w:t>ной мощности моторов на уровне моря. Даль</w:t>
      </w:r>
      <w:r w:rsidRPr="00E14102">
        <w:rPr>
          <w:color w:val="0070C0"/>
          <w:sz w:val="16"/>
          <w:szCs w:val="16"/>
        </w:rPr>
        <w:softHyphen/>
        <w:t>ность и время полёта с нормальным запасом го</w:t>
      </w:r>
      <w:r w:rsidRPr="00E14102">
        <w:rPr>
          <w:color w:val="0070C0"/>
          <w:sz w:val="16"/>
          <w:szCs w:val="16"/>
        </w:rPr>
        <w:softHyphen/>
        <w:t>рючего на эксплуатационном режиме моторов составляли на двух моторах 770 км и 7,5 часов, а на одном — 1200 км и 15,5 ч.</w:t>
      </w:r>
    </w:p>
    <w:p w14:paraId="36173FDA" w14:textId="77777777" w:rsidR="00E02721" w:rsidRPr="00E14102" w:rsidRDefault="00E02721" w:rsidP="00E14102">
      <w:pPr>
        <w:jc w:val="both"/>
        <w:rPr>
          <w:color w:val="0070C0"/>
          <w:sz w:val="16"/>
          <w:szCs w:val="16"/>
        </w:rPr>
      </w:pPr>
      <w:r w:rsidRPr="00E14102">
        <w:rPr>
          <w:color w:val="0070C0"/>
          <w:sz w:val="16"/>
          <w:szCs w:val="16"/>
        </w:rPr>
        <w:t>Подвеску гондолы «СССР В-2 бис» подобра</w:t>
      </w:r>
      <w:r w:rsidRPr="00E14102">
        <w:rPr>
          <w:color w:val="0070C0"/>
          <w:sz w:val="16"/>
          <w:szCs w:val="16"/>
        </w:rPr>
        <w:softHyphen/>
        <w:t>ли удачнее, чем на «СССР В-3», за счёт её при</w:t>
      </w:r>
      <w:r w:rsidRPr="00E14102">
        <w:rPr>
          <w:color w:val="0070C0"/>
          <w:sz w:val="16"/>
          <w:szCs w:val="16"/>
        </w:rPr>
        <w:softHyphen/>
        <w:t>ближения к оболочке и другого направления строп. Поэтому форма корпуса «СССР В-2 бис» была значительно лучше, а изгиб оси — меньше. В оболочке изменили конструкцию диафрагмы. Площадь руля направления увеличили и устано</w:t>
      </w:r>
      <w:r w:rsidRPr="00E14102">
        <w:rPr>
          <w:color w:val="0070C0"/>
          <w:sz w:val="16"/>
          <w:szCs w:val="16"/>
        </w:rPr>
        <w:softHyphen/>
        <w:t>вили флеттнеровские компенсаторы усилий на штурвале. Аналогичные компенсаторы устано</w:t>
      </w:r>
      <w:r w:rsidRPr="00E14102">
        <w:rPr>
          <w:color w:val="0070C0"/>
          <w:sz w:val="16"/>
          <w:szCs w:val="16"/>
        </w:rPr>
        <w:softHyphen/>
        <w:t>вили на рулях высоты.</w:t>
      </w:r>
    </w:p>
    <w:p w14:paraId="34F94EC9" w14:textId="77777777" w:rsidR="00E02721" w:rsidRPr="00E14102" w:rsidRDefault="00E02721" w:rsidP="00E14102">
      <w:pPr>
        <w:jc w:val="both"/>
        <w:rPr>
          <w:color w:val="0070C0"/>
          <w:sz w:val="16"/>
          <w:szCs w:val="16"/>
        </w:rPr>
      </w:pPr>
      <w:r w:rsidRPr="00E14102">
        <w:rPr>
          <w:color w:val="0070C0"/>
          <w:sz w:val="16"/>
          <w:szCs w:val="16"/>
        </w:rPr>
        <w:t>В 1935 г. «СССР В-2 бис» находился в воздухе 179 часов, а в 1936 г (до 1 октября) — 98 часов (20120).</w:t>
      </w:r>
    </w:p>
    <w:p w14:paraId="5B503E86" w14:textId="77777777" w:rsidR="00E02721" w:rsidRPr="00E14102" w:rsidRDefault="00E02721" w:rsidP="00E14102">
      <w:pPr>
        <w:jc w:val="both"/>
        <w:rPr>
          <w:color w:val="0070C0"/>
          <w:sz w:val="16"/>
          <w:szCs w:val="16"/>
        </w:rPr>
      </w:pPr>
    </w:p>
    <w:p w14:paraId="25185489"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lastRenderedPageBreak/>
        <w:t>Другие оборонные отрасли:</w:t>
      </w:r>
    </w:p>
    <w:p w14:paraId="316FCB3C" w14:textId="77777777" w:rsidR="00D4105E" w:rsidRPr="00E14102" w:rsidRDefault="00D4105E" w:rsidP="00E14102">
      <w:pPr>
        <w:autoSpaceDE w:val="0"/>
        <w:autoSpaceDN w:val="0"/>
        <w:adjustRightInd w:val="0"/>
        <w:jc w:val="both"/>
        <w:rPr>
          <w:iCs/>
          <w:color w:val="000000" w:themeColor="text1"/>
          <w:sz w:val="16"/>
          <w:szCs w:val="16"/>
        </w:rPr>
      </w:pPr>
    </w:p>
    <w:p w14:paraId="40E255D4" w14:textId="77777777" w:rsidR="00E02721" w:rsidRPr="00E14102" w:rsidRDefault="00E02721" w:rsidP="00E14102">
      <w:pPr>
        <w:autoSpaceDE w:val="0"/>
        <w:autoSpaceDN w:val="0"/>
        <w:adjustRightInd w:val="0"/>
        <w:jc w:val="both"/>
        <w:rPr>
          <w:color w:val="0070C0"/>
          <w:sz w:val="16"/>
          <w:szCs w:val="16"/>
        </w:rPr>
      </w:pPr>
      <w:r w:rsidRPr="00E14102">
        <w:rPr>
          <w:color w:val="0070C0"/>
          <w:sz w:val="16"/>
          <w:szCs w:val="16"/>
        </w:rPr>
        <w:t xml:space="preserve">Развертывание работ по проектированию минометов в СКБ при заводе «Красный Октябрь» в 1935 г. продолжало сопровождаться организационными сложностями во взаимоотношениях с ГВМУ НКТП. К началу года не была утверждена смета на 1935 г. Кроме этого, и учитывая то, что СКБ не имело собственных оборотных средств, оплата работы имеющегося штата сотрудников в первой половине 1935 г. осуществлялась посредством перевода денежных средств, который осуществлялся на основе личных договоренностей руководства Бюро с представителями ГВМУ. Вследствие этого в начале 1935 г. перед руководством СКБ стояла перспектива увольнения многих сотрудников Бюро.441 Тем не менее, вопрос был успешно разрешен, и работы были продолжены. </w:t>
      </w:r>
    </w:p>
    <w:p w14:paraId="46037A76" w14:textId="77777777" w:rsidR="00E02721" w:rsidRPr="00E14102" w:rsidRDefault="00E02721" w:rsidP="00E14102">
      <w:pPr>
        <w:pStyle w:val="Default"/>
        <w:jc w:val="both"/>
        <w:rPr>
          <w:color w:val="0070C0"/>
          <w:sz w:val="16"/>
          <w:szCs w:val="16"/>
        </w:rPr>
      </w:pPr>
      <w:r w:rsidRPr="00E14102">
        <w:rPr>
          <w:color w:val="0070C0"/>
          <w:sz w:val="16"/>
          <w:szCs w:val="16"/>
        </w:rPr>
        <w:t xml:space="preserve">К концу 1935 г., учитывая успехи коллектива СКБ, ситуация с организацией деятельности Бюро потребовала окончательного разрешения. Тематика СКБ к этому времени была значительно расширена, однако отдельные составляющие минометных систем разрабатывались на других предприятиях. Как следствие, постоянно выявлялись несоответствия размеров, материалов и т.д. Например, сами системы и чугунные мины к ним разрабатывались в СКБ при заводе «Красный Октябрь», мины из стали и сталистого чугуна – на заводах им. Ленина и </w:t>
      </w:r>
    </w:p>
    <w:p w14:paraId="0E7DCF8C" w14:textId="77777777" w:rsidR="00E02721" w:rsidRPr="00E14102" w:rsidRDefault="00E02721" w:rsidP="00E14102">
      <w:pPr>
        <w:jc w:val="both"/>
        <w:rPr>
          <w:rFonts w:eastAsia="TimesNewRomanPSMT"/>
          <w:color w:val="0070C0"/>
          <w:sz w:val="16"/>
          <w:szCs w:val="16"/>
        </w:rPr>
      </w:pPr>
      <w:r w:rsidRPr="00E14102">
        <w:rPr>
          <w:color w:val="0070C0"/>
          <w:sz w:val="16"/>
          <w:szCs w:val="16"/>
        </w:rPr>
        <w:t>«Ростсельмаш», тележки для перевозки мин – на ленинградских заводах «Компрессор» и «Красный Октябрь». Вопросы дополнительных зарядов и хвостовых патронов предприятиями промышленности не рассматривались вообще. Отсутствие общего технического руководства тормозило процесс создания минометов для РККА в целом, в связи с чем приобрел новую актуальность вопрос перевода харьковского СКБ в другой город с полигоном поблизости и объединения в ведении СКБ всех вопросов, связанных с проведением НИР и ОКР по минометному вооружению.442 (20074).</w:t>
      </w:r>
    </w:p>
    <w:p w14:paraId="0B8FD6B3" w14:textId="77777777" w:rsidR="00E02721" w:rsidRPr="00E14102" w:rsidRDefault="00E02721" w:rsidP="00E14102">
      <w:pPr>
        <w:jc w:val="both"/>
        <w:rPr>
          <w:rFonts w:eastAsia="TimesNewRomanPSMT"/>
          <w:color w:val="0070C0"/>
          <w:sz w:val="16"/>
          <w:szCs w:val="16"/>
        </w:rPr>
      </w:pPr>
    </w:p>
    <w:p w14:paraId="28D490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начато строительство химкомбината (Комбинат № 100 НКТП, НКОП, НКБ /г. Алексин Московской обл. п/я 1 «Комбинат» (1943 г.)/), созданного в 1933, но шло медленно. В соответствии с пост. СНК № 2139-425сс от 21.12.1936 г. и пр. НКОП № 05с от 29.12.1936 г. строительство комбината № 100 передано из Порохового треста Главазота НКТП в ведение ГУ военно-химической промышленности НКОП, в 04.1937 г. - в ведении 6ГУ. В соответствии с пост. СНК№ 1960-390сс от 5.11.1936 г. и пр. № 068 от 2.04.1937 г. завод переведен в группу особо режимных предприятий. По пр. № 0089 от 20.04.1937 г. передан из 6ГУ в новое 11ГУ (и на 12.1938 г.).</w:t>
      </w:r>
    </w:p>
    <w:p w14:paraId="7DC666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составе комбината (04.1937 г.) - Петровский механический завод. По пр. 11ГУ НКОП № 193 от 7.07.1938 г. Петровский мехзавод вновь был передан комбинату № 100, но приказом НКОП № 293 от 29.07.1938 г. этот приказ был отменен как незаконный.</w:t>
      </w:r>
    </w:p>
    <w:p w14:paraId="3F6450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04.1939 г. решением правительства окончательно определено направление производства комбината, начальником строительства назначен Н.Е. Стрельцов. В 1941 г. первая очередь комбината введена в эксплуатацию, в 05.1941 г. получена первая продукция, в том же месяце введен в строй цех № 3. Производство порохов. Мощность производства пироксилиногвого пороха перед эвакуацией - 15 тыс. т в год.</w:t>
      </w:r>
    </w:p>
    <w:p w14:paraId="066865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10.10.1941 г. комбинат № 100 ЗГУ НКБ эвакуирован на восток: производство пироксилинового пороха - на завод № 40 и на комбинат № 392 (116 чел.); часть оборудования (218 чел.) - на завод № 580; турбина ТЭЦ комбината (112 чел.) - на завод № 98; 136 чел. эвакуировано на завод № 576; всего вывезено 387 вагонов оборудования. После эвакуации часть оставшегося оборудования (цеха № 7) и зданий (эфирные колонны, телефонная станция) были взорваны.</w:t>
      </w:r>
    </w:p>
    <w:p w14:paraId="6DFE17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17.12.1941 г., после освобождения Алексина от фашистов, в соответствии с пост. ГКО № 1091с от 3.01.1942 г. начато возвращение оборудования на комбинат, а в 02-05.1942 г. начат монтаж оборудования на старом месте, частично возвращены работники, и комбинат восстановлен. В 1943 г. шло восстановление порохового, эфирного и кислотного производства. В составе завода (1943 г.): основные производства: № 2, 3, 5; вспомогательные: ремонтно-механический завод (цехи: № 1, котельный, кузница, ДОЦ, ремонтный, токарный, литейный, парокотельный); ЦЗЛ. Строились в 1943 г.: производство № 4.</w:t>
      </w:r>
    </w:p>
    <w:p w14:paraId="47D2FE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12.1942-04.1943 г. - в ведении ЗГУ НКБ, в 08.1943-09.1944 г. - в ведении 9ГУ.</w:t>
      </w:r>
    </w:p>
    <w:p w14:paraId="046B62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(1943 г.): производственная- 16542 м</w:t>
      </w:r>
      <w:r w:rsidRPr="00E14102">
        <w:rPr>
          <w:color w:val="000000" w:themeColor="text1"/>
          <w:sz w:val="16"/>
          <w:szCs w:val="16"/>
          <w:vertAlign w:val="superscript"/>
        </w:rPr>
        <w:t>2</w:t>
      </w:r>
      <w:r w:rsidRPr="00E14102">
        <w:rPr>
          <w:color w:val="000000" w:themeColor="text1"/>
          <w:sz w:val="16"/>
          <w:szCs w:val="16"/>
        </w:rPr>
        <w:t>; вспомогательная- 14430 м</w:t>
      </w:r>
      <w:r w:rsidRPr="00E14102">
        <w:rPr>
          <w:color w:val="000000" w:themeColor="text1"/>
          <w:sz w:val="16"/>
          <w:szCs w:val="16"/>
          <w:vertAlign w:val="superscript"/>
        </w:rPr>
        <w:t>2</w:t>
      </w:r>
      <w:r w:rsidRPr="00E14102">
        <w:rPr>
          <w:color w:val="000000" w:themeColor="text1"/>
          <w:sz w:val="16"/>
          <w:szCs w:val="16"/>
        </w:rPr>
        <w:t>; прочая- 15114м</w:t>
      </w:r>
      <w:r w:rsidRPr="00E14102">
        <w:rPr>
          <w:color w:val="000000" w:themeColor="text1"/>
          <w:sz w:val="16"/>
          <w:szCs w:val="16"/>
          <w:vertAlign w:val="superscript"/>
        </w:rPr>
        <w:t>2</w:t>
      </w:r>
      <w:r w:rsidRPr="00E14102">
        <w:rPr>
          <w:color w:val="000000" w:themeColor="text1"/>
          <w:sz w:val="16"/>
          <w:szCs w:val="16"/>
        </w:rPr>
        <w:t>.</w:t>
      </w:r>
    </w:p>
    <w:p w14:paraId="26A8B2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Численность персонала (1940 г.)- 99 чел. (рабочих), (10.1941 г.)- 1536 чел., (12.1942 г.)- 2479 чел.</w:t>
      </w:r>
    </w:p>
    <w:p w14:paraId="30D754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(1930-е)- А.П. Севостьянов, (1941 г.)- Н.Е. Стрельцов, (-04-11.1943 г.-)- Готовкин. Начальник (01.1944 г.)- пп Готовкин.</w:t>
      </w:r>
    </w:p>
    <w:p w14:paraId="4FCD79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строительства (-12.1936-5.04.1937 г.)- А.Т. Севастьянов; и.о. (5.04.1937 г.-)- В.И. Киселев; (8.05- 15.12.1937 г.)- И. Г. Гранкин, (15.12.1937 г.-)- П.С. Калягин.</w:t>
      </w:r>
    </w:p>
    <w:p w14:paraId="18C8DE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(1941 г.)- А. Г. Каллистов.</w:t>
      </w:r>
      <w:r w:rsidRPr="00E14102">
        <w:rPr>
          <w:color w:val="000000" w:themeColor="text1"/>
          <w:sz w:val="16"/>
          <w:szCs w:val="16"/>
          <w:vertAlign w:val="superscript"/>
        </w:rPr>
        <w:t>55</w:t>
      </w:r>
      <w:r w:rsidRPr="00E14102">
        <w:rPr>
          <w:color w:val="000000" w:themeColor="text1"/>
          <w:sz w:val="16"/>
          <w:szCs w:val="16"/>
        </w:rPr>
        <w:t>'</w:t>
      </w:r>
      <w:r w:rsidRPr="00E14102">
        <w:rPr>
          <w:color w:val="000000" w:themeColor="text1"/>
          <w:sz w:val="16"/>
          <w:szCs w:val="16"/>
          <w:vertAlign w:val="superscript"/>
        </w:rPr>
        <w:t>56</w:t>
      </w:r>
    </w:p>
    <w:p w14:paraId="6D100F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энергетик (1938 г.)- Кучеров.</w:t>
      </w:r>
    </w:p>
    <w:p w14:paraId="1C2B1C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отделов: производственно-технического (04.1943-01,1944 г.-)- к Калабухов; 1-го (07.1943 г.)- Мельникова.</w:t>
      </w:r>
    </w:p>
    <w:p w14:paraId="3CE615F7"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Производство:</w:t>
      </w:r>
      <w:r w:rsidRPr="00E14102">
        <w:rPr>
          <w:color w:val="000000" w:themeColor="text1"/>
          <w:sz w:val="16"/>
          <w:szCs w:val="16"/>
        </w:rPr>
        <w:t xml:space="preserve"> коллоксилин (1943).</w:t>
      </w:r>
    </w:p>
    <w:p w14:paraId="61E570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Петровский механический завод НКОП Приказом НКОП № 107 от 21.03.1937 г. утвержден Устав ГС Петровского механического завода.</w:t>
      </w:r>
    </w:p>
    <w:p w14:paraId="3A0AB1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 11ГУ НКОП № 193 от 7.07.1938 г. завод был передан комбинату № 100, директор завода снят. Приказом НКОП № 293 от 29.07.1938 г. этот приказ был отменен как незаконный.</w:t>
      </w:r>
    </w:p>
    <w:p w14:paraId="474EE2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(07.1938 г.)- Бреев (11982).</w:t>
      </w:r>
    </w:p>
    <w:p w14:paraId="38584D52" w14:textId="77777777" w:rsidR="00A90F29" w:rsidRPr="00E14102" w:rsidRDefault="00A90F29" w:rsidP="00E14102">
      <w:pPr>
        <w:autoSpaceDE w:val="0"/>
        <w:autoSpaceDN w:val="0"/>
        <w:adjustRightInd w:val="0"/>
        <w:jc w:val="both"/>
        <w:rPr>
          <w:color w:val="000000" w:themeColor="text1"/>
          <w:sz w:val="16"/>
          <w:szCs w:val="16"/>
        </w:rPr>
      </w:pPr>
    </w:p>
    <w:p w14:paraId="2E9B03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был построен Завод № 570 НКБ, Тукосмесительный завод НКХП /Азербайджан  г. Баку Сумгаит «Тукосмесь» (1943 г.)/. В 1942 г. на базе Тукосмесительного завода НКХП создан снаряжательный завод № 570 НКБ. В 12.1942 г. - в ведении 1ГУ НКБ, был в 11.1943 г.</w:t>
      </w:r>
    </w:p>
    <w:p w14:paraId="0BE8E9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составе завода цехи (1943 г.): основные: ВВ, снаряжения мин; вспомогательные мастерские: ремонтно- механическая, ремонтно-строительная, электро.</w:t>
      </w:r>
    </w:p>
    <w:p w14:paraId="014826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Площадь (1943 г.): производственная- 2450 м</w:t>
      </w:r>
      <w:r w:rsidRPr="00E14102">
        <w:rPr>
          <w:color w:val="000000" w:themeColor="text1"/>
          <w:sz w:val="16"/>
          <w:szCs w:val="16"/>
          <w:vertAlign w:val="superscript"/>
        </w:rPr>
        <w:t>2</w:t>
      </w:r>
      <w:r w:rsidRPr="00E14102">
        <w:rPr>
          <w:color w:val="000000" w:themeColor="text1"/>
          <w:sz w:val="16"/>
          <w:szCs w:val="16"/>
        </w:rPr>
        <w:t>; вспомогательная- 400 м</w:t>
      </w:r>
      <w:r w:rsidRPr="00E14102">
        <w:rPr>
          <w:color w:val="000000" w:themeColor="text1"/>
          <w:sz w:val="16"/>
          <w:szCs w:val="16"/>
          <w:vertAlign w:val="superscript"/>
        </w:rPr>
        <w:t>2</w:t>
      </w:r>
      <w:r w:rsidRPr="00E14102">
        <w:rPr>
          <w:color w:val="000000" w:themeColor="text1"/>
          <w:sz w:val="16"/>
          <w:szCs w:val="16"/>
        </w:rPr>
        <w:t>; прочая- 420 м</w:t>
      </w:r>
      <w:r w:rsidRPr="00E14102">
        <w:rPr>
          <w:color w:val="000000" w:themeColor="text1"/>
          <w:sz w:val="16"/>
          <w:szCs w:val="16"/>
          <w:vertAlign w:val="superscript"/>
        </w:rPr>
        <w:t>2</w:t>
      </w:r>
      <w:r w:rsidRPr="00E14102">
        <w:rPr>
          <w:color w:val="000000" w:themeColor="text1"/>
          <w:sz w:val="16"/>
          <w:szCs w:val="16"/>
        </w:rPr>
        <w:t>. Численность персонала (12.1942 г.)- 371 чел.; рабочих (04.1943 г.)- 327 чел. И.о. директора (04.1943 г.)- П.А. Коротяев, А.Р. Бабаев. Директор (10.1943 г.)- А.Р. Бабаев. Гл. инженер (04.1943 г.)- П.А. Коротяев. Начальник планового отдела (04.1943 г.)- Маслюков.</w:t>
      </w:r>
    </w:p>
    <w:p w14:paraId="48013F39"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Производство:</w:t>
      </w:r>
      <w:r w:rsidRPr="00E14102">
        <w:rPr>
          <w:color w:val="000000" w:themeColor="text1"/>
          <w:sz w:val="16"/>
          <w:szCs w:val="16"/>
        </w:rPr>
        <w:t xml:space="preserve"> ВВ: амматол, динамон, шнейдерит; противотанковые мины ЯМ-5М (1943) (11982).</w:t>
      </w:r>
    </w:p>
    <w:p w14:paraId="72E34F43" w14:textId="77777777" w:rsidR="00D4105E" w:rsidRPr="00E14102" w:rsidRDefault="00D4105E" w:rsidP="00E14102">
      <w:pPr>
        <w:autoSpaceDE w:val="0"/>
        <w:autoSpaceDN w:val="0"/>
        <w:adjustRightInd w:val="0"/>
        <w:jc w:val="both"/>
        <w:rPr>
          <w:color w:val="000000" w:themeColor="text1"/>
          <w:sz w:val="16"/>
          <w:szCs w:val="16"/>
        </w:rPr>
      </w:pPr>
    </w:p>
    <w:p w14:paraId="1564B5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было начато проектирование батальонной гаубицы 35-К. В системе артиллерийского вооружения на 1933-1937 годы была включена "76-мм пушка-мортира". Вес ее должен быть 140-150 кг, дальность стрельбы 5-7 км, скорострельность 15-20 выстрелов в минуту. Пушка-мортира предназначалась для вооружения стрелковых батальонов. Выражение "пушка-мортира" не прижилось, и такие системы стали называть батальонными гаубицами. Было спроектировано и испытано две таких гаубицы 35-К завода № 8 и Ф-23 завода № 92. Усилиями "минометного лобби" работы над обеими системами были прекращены, и наша армия осталась без 76-мм батальонных орудий (если не считать 45-мм противотанковые пушки обр. 1932 г. и 1937 г.) в отличие от германской армии, где было несколько типов 7,5-см пехотных (батальонных) орудий (3861).</w:t>
      </w:r>
    </w:p>
    <w:p w14:paraId="539A7CE5" w14:textId="77777777" w:rsidR="00D4105E" w:rsidRPr="00E14102" w:rsidRDefault="00D4105E" w:rsidP="00E14102">
      <w:pPr>
        <w:autoSpaceDE w:val="0"/>
        <w:autoSpaceDN w:val="0"/>
        <w:adjustRightInd w:val="0"/>
        <w:jc w:val="both"/>
        <w:rPr>
          <w:color w:val="000000" w:themeColor="text1"/>
          <w:sz w:val="16"/>
          <w:szCs w:val="16"/>
        </w:rPr>
      </w:pPr>
    </w:p>
    <w:p w14:paraId="68B64F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в КБ завода № 8 была произведена первая модернизация 37-мм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также, как и пулемет. Патроны и система заряжания остались без изменений. 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 Щит был введен по инерции, так как наводчик стоит на коленях, а другой номер может лежать, но перпендикулярно орудию, т.е. от щита проку мало (3861).</w:t>
      </w:r>
    </w:p>
    <w:p w14:paraId="350A75CF" w14:textId="77777777" w:rsidR="00D4105E" w:rsidRPr="00E14102" w:rsidRDefault="00D4105E" w:rsidP="00E14102">
      <w:pPr>
        <w:autoSpaceDE w:val="0"/>
        <w:autoSpaceDN w:val="0"/>
        <w:adjustRightInd w:val="0"/>
        <w:jc w:val="both"/>
        <w:rPr>
          <w:color w:val="000000" w:themeColor="text1"/>
          <w:sz w:val="16"/>
          <w:szCs w:val="16"/>
        </w:rPr>
      </w:pPr>
    </w:p>
    <w:p w14:paraId="6D5644D6" w14:textId="77777777" w:rsidR="004462A4" w:rsidRPr="00E14102" w:rsidRDefault="004462A4" w:rsidP="00E14102">
      <w:pPr>
        <w:jc w:val="both"/>
        <w:rPr>
          <w:color w:val="000000" w:themeColor="text1"/>
          <w:sz w:val="16"/>
          <w:szCs w:val="16"/>
        </w:rPr>
      </w:pPr>
      <w:r w:rsidRPr="00E14102">
        <w:rPr>
          <w:color w:val="000000" w:themeColor="text1"/>
          <w:sz w:val="16"/>
          <w:szCs w:val="16"/>
        </w:rPr>
        <w:t xml:space="preserve">В 1935 г. постановлением Совета труда и обороны ОКБ-2 Б.Г. Шпитального было поручено разработать 37-мм автоматическую пушку. Уже в следующем году изготовили опытную серию из двух десятков таких артсистем. Автомат рассматривался как универсальный с возможностью установки как на повозках, так и на колесных или гусеничных боевых машинах. В частности, предполагалась его установка в башне легкого </w:t>
      </w:r>
      <w:hyperlink r:id="rId347" w:tgtFrame="_blank" w:history="1">
        <w:r w:rsidRPr="00E14102">
          <w:rPr>
            <w:color w:val="000000" w:themeColor="text1"/>
            <w:sz w:val="16"/>
            <w:szCs w:val="16"/>
          </w:rPr>
          <w:t>танк</w:t>
        </w:r>
      </w:hyperlink>
      <w:r w:rsidRPr="00E14102">
        <w:rPr>
          <w:color w:val="000000" w:themeColor="text1"/>
          <w:sz w:val="16"/>
          <w:szCs w:val="16"/>
        </w:rPr>
        <w:t>а Т-26 (15602).</w:t>
      </w:r>
    </w:p>
    <w:p w14:paraId="219BC041" w14:textId="77777777" w:rsidR="004462A4" w:rsidRPr="00E14102" w:rsidRDefault="004462A4" w:rsidP="00E14102">
      <w:pPr>
        <w:jc w:val="both"/>
        <w:rPr>
          <w:color w:val="000000" w:themeColor="text1"/>
          <w:sz w:val="16"/>
          <w:szCs w:val="16"/>
        </w:rPr>
      </w:pPr>
    </w:p>
    <w:p w14:paraId="6F2B307D" w14:textId="77777777" w:rsidR="004462A4" w:rsidRPr="00E14102" w:rsidRDefault="004462A4" w:rsidP="00E14102">
      <w:pPr>
        <w:jc w:val="both"/>
        <w:rPr>
          <w:color w:val="000000" w:themeColor="text1"/>
          <w:sz w:val="16"/>
          <w:szCs w:val="16"/>
        </w:rPr>
      </w:pPr>
      <w:r w:rsidRPr="00E14102">
        <w:rPr>
          <w:color w:val="000000" w:themeColor="text1"/>
          <w:sz w:val="16"/>
          <w:szCs w:val="16"/>
        </w:rPr>
        <w:t>В 1935 г. ЛМЗ была изготовлена вторая тройка транспортеров ТМ-1-14 Эта батарея получила № 11. После некоторых размышлений её оставили на Балтике. Для этой батареи построили около форта «Красная Горка» бетонные позиции, а затем такие же на важнейших участках обороны. Ввод этих транспортёров надёжно прикрыл фарватер Финского залива, так как дальность стрельбы фугасными дальнобойными снарядами массой 512,5 кг достигала 52 км (15132).</w:t>
      </w:r>
    </w:p>
    <w:p w14:paraId="66F0120F" w14:textId="77777777" w:rsidR="004462A4" w:rsidRPr="00E14102" w:rsidRDefault="004462A4" w:rsidP="00E14102">
      <w:pPr>
        <w:jc w:val="both"/>
        <w:rPr>
          <w:color w:val="000000" w:themeColor="text1"/>
          <w:sz w:val="16"/>
          <w:szCs w:val="16"/>
        </w:rPr>
      </w:pPr>
    </w:p>
    <w:p w14:paraId="22F1C3F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 появились статистические материалы цехов завода № 92, согласно которым в 1934 г. имели место 632 производственные травмы и 7024 человеко-дней утраты трудоспособности по причине травм, а в 1935 г. соответственно — 640 случаев травматизма и 8200 человеко-дней утраты трудоспособности. Наибольший уровень производственного травматизма наблюдался в кузнечно-прессовом цехе — 210 случаев в год. [97 — Там же, Д. 118, Л. 59.] Основными причинами травм являлись:</w:t>
      </w:r>
    </w:p>
    <w:p w14:paraId="2FF7672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неправильная организация работы и отсутствие технического надзора — 30 %;</w:t>
      </w:r>
    </w:p>
    <w:p w14:paraId="413DBC4E"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несоблюдение техники безопасности — 20 %;</w:t>
      </w:r>
    </w:p>
    <w:p w14:paraId="786DD47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неисправность оборудования — 10 %;</w:t>
      </w:r>
    </w:p>
    <w:p w14:paraId="287C30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неосторожность самого рабочего — 30 %.</w:t>
      </w:r>
    </w:p>
    <w:p w14:paraId="3F706B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 xml:space="preserve">Помимо этого, на заседаниях завкома отмечалось, что происходило и сокрытие несчастных случаев. Например, за октябрь 1936 г. в кузнечно-прессовом цехе официально числилось шесть несчастных случаев, а были выявлены 16. Росло число травм в литейном цехе. Работы в нем велись в тяжелых условиях в три смены </w:t>
      </w:r>
      <w:r w:rsidRPr="00E14102">
        <w:rPr>
          <w:color w:val="000000" w:themeColor="text1"/>
          <w:sz w:val="16"/>
          <w:szCs w:val="16"/>
        </w:rPr>
        <w:lastRenderedPageBreak/>
        <w:t>при очень сильной задымленности. По-прежнему частыми оставались несчастные случаи по причине халатности самих рабочих. Например, сверловщики обрабатывали детали не в тисках, а держа их в руках. [98 — ГУ ЦАНО, Ф. 2941, Д. 118, Л. 64.]. В 1936 г. потребовалось принятие срочных мер по технике безопасности: у опасных участков работы наваривались ограждения, устраивались дополнительная вентиляция, вытяжные зонты, световая сигнализация, проводилось обучение рабочих правилам техники безопасности. В мае 1938 г. были организованы курсы повышения квалификации ИТР по технике безопасности, создавались кружки по технике безопасности. Летом того же года началось сооружение отсасывающей вентиляции у шлифовальных станков (11741).</w:t>
      </w:r>
    </w:p>
    <w:p w14:paraId="56E43D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D1F54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Кировский завод "бывший "Красный Путиловец" получил заказ на переделку 16 203-мм гаубиц "Е" (бывших обр. 1929 г. причину переименования автору так и не удалось выяснить). Все гаубицы должны быть сданы заводом в том же 1935 году, но ни в 1935, ни в 1936 году заказ не был выполнен. На 1.07.1937 г. несданными оставались 14 гаубиц. Из 16 гаубиц одна должна была быть сдана подрессоренной, остальные неподрессоренными, но приспособленными для раздельной возки мехтягой. Данные о дальнейшем использовании гаубиц "Е" (иногда их называли Е-16) не найдены. Во всяком случае 203-мм гаубица Е-16 упомянута среди действующих орудий в "Справочнике по боеприпасам" 1943 года издания (3861).</w:t>
      </w:r>
    </w:p>
    <w:p w14:paraId="06069606" w14:textId="77777777" w:rsidR="00D4105E" w:rsidRPr="00E14102" w:rsidRDefault="00D4105E" w:rsidP="00E14102">
      <w:pPr>
        <w:autoSpaceDE w:val="0"/>
        <w:autoSpaceDN w:val="0"/>
        <w:adjustRightInd w:val="0"/>
        <w:jc w:val="both"/>
        <w:rPr>
          <w:color w:val="000000" w:themeColor="text1"/>
          <w:sz w:val="16"/>
          <w:szCs w:val="16"/>
        </w:rPr>
      </w:pPr>
    </w:p>
    <w:p w14:paraId="45B616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были изготовлены первые образцы 45-мм ПТП, в которых после выстрела канал ствола закрывался специальной втулкой. Звук оставался, но сила его не превышала силы звука при выстреле "Нагана" (3861).</w:t>
      </w:r>
    </w:p>
    <w:p w14:paraId="75885BC5" w14:textId="77777777" w:rsidR="00D4105E" w:rsidRPr="00E14102" w:rsidRDefault="00D4105E" w:rsidP="00E14102">
      <w:pPr>
        <w:autoSpaceDE w:val="0"/>
        <w:autoSpaceDN w:val="0"/>
        <w:adjustRightInd w:val="0"/>
        <w:jc w:val="both"/>
        <w:rPr>
          <w:color w:val="000000" w:themeColor="text1"/>
          <w:sz w:val="16"/>
          <w:szCs w:val="16"/>
        </w:rPr>
      </w:pPr>
    </w:p>
    <w:p w14:paraId="0B3589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"Большевик", которому на 1935 год было заказано 5 систем Б-14, не сдал ни одной 100-мм пушки из-за недоработанности системы и новых требований к ней заказчика (щит, ночной прицел и др.). Валовое производство Б-14 планировалось вести на заводе № 92. Б-14. Кончилось дело тем, что в октябре 1935 года было решено проектировать новую 100-мм пушку. Главным аргументом против принятия Б-14 на вооружение было:</w:t>
      </w:r>
    </w:p>
    <w:p w14:paraId="1FE9EE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 Ненадежность гидропневматического досылателя;</w:t>
      </w:r>
    </w:p>
    <w:p w14:paraId="6C77A0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 Неудовлетворительное расположение досылателя, что исключало возможность ручного заряжания при больших углах возвышения,</w:t>
      </w:r>
    </w:p>
    <w:p w14:paraId="446176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Отсутствие щита,</w:t>
      </w:r>
    </w:p>
    <w:p w14:paraId="6A1C25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 В конструкции орудия не была учтена возможность применения ССП (3861).</w:t>
      </w:r>
    </w:p>
    <w:p w14:paraId="54D5DEA8" w14:textId="77777777" w:rsidR="00D4105E" w:rsidRPr="00E14102" w:rsidRDefault="00D4105E" w:rsidP="00E14102">
      <w:pPr>
        <w:autoSpaceDE w:val="0"/>
        <w:autoSpaceDN w:val="0"/>
        <w:adjustRightInd w:val="0"/>
        <w:jc w:val="both"/>
        <w:rPr>
          <w:color w:val="000000" w:themeColor="text1"/>
          <w:sz w:val="16"/>
          <w:szCs w:val="16"/>
        </w:rPr>
      </w:pPr>
    </w:p>
    <w:p w14:paraId="2BCBB5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на заводе "Большевик" в инициативном порядке был изготовлен ствол 280-мм мортиры Б-33, позднее включенный в план 1936 года. Руководителем проекта был инженер Крупчатников. Ствол мортиры состоял из трубы, кожуха и казенника. Труба скреплена кожухом на длине 4350 мм. Затвор поршневой от 280-мм мортиры Шнейдера. Ствол был установлен на лафете Б-4. Уравновешивающего механизма у Б-33 не было, но качающаяся часть уравновешена на цапфах увеличением веса казенной части. К казеннику прикреплен добавочный груз. Ствольная повозка к мортире разработана не была, и мортира испытывалась возкой только в нераздельном положении (3861).</w:t>
      </w:r>
    </w:p>
    <w:p w14:paraId="40EFEA75" w14:textId="77777777" w:rsidR="00D4105E" w:rsidRPr="00E14102" w:rsidRDefault="00D4105E" w:rsidP="00E14102">
      <w:pPr>
        <w:autoSpaceDE w:val="0"/>
        <w:autoSpaceDN w:val="0"/>
        <w:adjustRightInd w:val="0"/>
        <w:jc w:val="both"/>
        <w:rPr>
          <w:color w:val="000000" w:themeColor="text1"/>
          <w:sz w:val="16"/>
          <w:szCs w:val="16"/>
        </w:rPr>
      </w:pPr>
    </w:p>
    <w:p w14:paraId="4F026A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"Большевик" сдал 12 пушек Б-13 первой серии. Их корабельные испытания прошли осенью 1936 года на лидере "Ленинград" (проект 1) (3861).</w:t>
      </w:r>
    </w:p>
    <w:p w14:paraId="2ACD4A43" w14:textId="77777777" w:rsidR="00D4105E" w:rsidRPr="00E14102" w:rsidRDefault="00D4105E" w:rsidP="00E14102">
      <w:pPr>
        <w:autoSpaceDE w:val="0"/>
        <w:autoSpaceDN w:val="0"/>
        <w:adjustRightInd w:val="0"/>
        <w:jc w:val="both"/>
        <w:rPr>
          <w:color w:val="000000" w:themeColor="text1"/>
          <w:sz w:val="16"/>
          <w:szCs w:val="16"/>
        </w:rPr>
      </w:pPr>
    </w:p>
    <w:p w14:paraId="20A6B4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B 1935 году заводу №172 поступает заказ от завода №5 (завод «Краснознаменец») на снаряды. По договору завод №172 должен поставить фугасные снаряды калибра 180 мм. В партии 1651 штука. Стоимость одного снаряда 746 рублей 32 копейки. Общая стоимость партии 776.943 рубля 88 копеек. Номер партии - 4. </w:t>
      </w:r>
    </w:p>
    <w:p w14:paraId="366183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Через некоторое время после получения заказа, администрация завода №5 обнаруживает, что полученная партия является стопроцентным браком. На основании этого заказчик потребовал возврата денег. В разбирательство вмешался Отдел вооружения УМС РККА. Были проведены повторные испытания этой партии, которые дали следующие результаты: </w:t>
      </w:r>
    </w:p>
    <w:p w14:paraId="55F1AB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 1-я полупартия испытание и переиспытание не выдержала, 2-я полупартия выдержала, но прочность на пределе. </w:t>
      </w:r>
    </w:p>
    <w:p w14:paraId="333A7A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 Так как при испытании есть основательное предположение об утере баллистического наконечника, НКАП считает со своей стороны необходимым произвести переиспытание на прочность посадки наконечника при стрельбе на меткость. </w:t>
      </w:r>
    </w:p>
    <w:p w14:paraId="657062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 Полученная меткость при 9 счетных выстрелах не удовлетворяет требуемой по техническим условиям»</w:t>
      </w:r>
    </w:p>
    <w:p w14:paraId="237D01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После такой характеристики продукции завода прокуратура потребовала объяснений столь низкого качества выпускаемой продукции. Однако директор завода П.К. Премудров не только не стал оправдываться, но и потребовал «разбраковки», то есть признание партии №4 соответствующей требованиям. Аргументы были следующие: </w:t>
      </w:r>
    </w:p>
    <w:p w14:paraId="0DBD1D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Обвинение в том, что прочность не удовлетворяет стандартам, Премудров отверг, заявив, что плавка снарядов выполнялась по чертежам, которые были приложены к торговому договору. Таким образом, эти чертежи директор завода №5 как минимум – видел, а, скорее всего, эти чертежи были составлены самим заказчиком, – заводом №5. </w:t>
      </w:r>
    </w:p>
    <w:p w14:paraId="2B33DD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Обвинение в том, что точность попадания снарядов не удовлетворяет стандартам, Премудров отверг, заявив, что сильное ориентирующее воздействие на снаряд оказывает ствол орудия, использованного для испытаний на заводе №5. По показаниям Премудрова орудие было никуда не годным. </w:t>
      </w:r>
    </w:p>
    <w:p w14:paraId="7FC493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 как на качество снаряда указывает форма пробоины, которые он оставляет в бетонной плите, по которой производятся выстрелы, плиту тоже подвергли экспертизе. Даже плита оказалась некачественной. Бетон был распределен по плите не равномерно, а стандарты предусматривают стрельбу по равномерной плите.</w:t>
      </w:r>
    </w:p>
    <w:p w14:paraId="335A4F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Начальник ОТК-ГУВП при СМЗМ полностью поддержал директора своего завода, заявив: «4-я партия изготовлена в полном соответствии чертежу и техусловиям при договоре…». </w:t>
      </w:r>
    </w:p>
    <w:p w14:paraId="2ABB7E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Интересно, что, в конце концов Отдел вооружения УМС РККА полностью оплатил партию №4, аргументировав это тем, что у завода №172 и без того тяжелое экономическое положение. </w:t>
      </w:r>
    </w:p>
    <w:p w14:paraId="75E6E8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образом, так и не сумев (!) выявить виновного, государство, являющееся конечным заказчиком, взяло все издержки на себя. При этом, приняв партию, УМС встало перед проблемой, куда девать эту массу брака?</w:t>
      </w:r>
    </w:p>
    <w:p w14:paraId="3671E6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Интересно, а кто же на самом деле виновен в том, что партия №4 оказалась стопроцентным браком. Может быть, действительно виновен завод-заказчик, чьи чертежи оказались некачественны, а быть может это сам завод Молотова, изготовивший снаряды по чертежам заказчика, не убедившись в их качестве. Как мы видим, директор завода №172 без особого затруднения свалил всю вину на завод №5. В деле, к сожалению, не отражены аргументы, выдвинутые в свою очередь администрацией завода «Краснознаменец». А они, можно предположить, конечно, были. Ведь кто-то поставил этому заводу «никуда негодное» артиллерийское орудие и бетонные плиты с дефектом. </w:t>
      </w:r>
    </w:p>
    <w:p w14:paraId="4AABE1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Проблема заключается в том, что расследование эпизода с партией №4 теоретически могло продолжаться до бесконечности: сколько было поставщиков, подрядчиков и субподрядчиков, столько и потенциальных виновников, которые, в свою очередь, конечно, указали бы уже на своих поставщиков и подрядчиков и т. д., и т.п. Таким образом, полноценное расследование причин брака партии №4 потребовало бы работы десятков (если не сотен) высококвалифицированных комиссий на десятках (если не сотнях) заводов. А ведь речь идет о расследовании причин брака всего только одной партии снарядов в количестве 1651 штуки. </w:t>
      </w:r>
    </w:p>
    <w:p w14:paraId="3EFE82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Кроме того, в материалах дела явно виден и еще один потенциальный виновник. Это сам конечный потребитель продукции, а именно – государство в лице своих ведомств. Дело в том, что всей этой истории с партией №4 предшествовали два предложения товарища Премудрова начальнику УМС РККА товарищу Леонову, которые в известной мере и повлекли за собой такие последствия. Вот его предложения: «Для того чтобы успеть отгрузить снаряжательным заводам снаряды, которые будут изготовлены в текущем 1935 году: 1) Отделу заказов и сбыта грузить снаряды принятые военпредами и имеющие клеймо в годности не дожидаясь получения военпредом результатов испытания на меткость и прочность и оформления отгрузки паспортом военпреда. 2) Не грузить снаряды, по которым у военпреда нет сведений о результатах основного испытания по броне или бетону». </w:t>
      </w:r>
    </w:p>
    <w:p w14:paraId="44D671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Кроме того, вследствие перебоев с ферросплавами по заводу имени Молотова было предложено следующее изменение: установить до конца текущего года испытание по броне от 1000 штук (вместо 2000)». </w:t>
      </w:r>
    </w:p>
    <w:p w14:paraId="71C500A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Этот эпизод, во-первых, объясняет, почему Отдел вооружения УМС РККА в конечном итоге взял все издержки на себя. Ведь согласившись с предложениями Премудрова, он, по сути, «благословил» завод на производство заведомого брака. Таким образом, тов. Леонов и тов. Премудров выступают фактически соучастниками. </w:t>
      </w:r>
    </w:p>
    <w:p w14:paraId="2DB68ED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Этот эпизод демонстрирует практику типичную для первых пятилеток, когда приходилось платить занижением качества продукции за искусственное завышение спускаемых заводам планов (которые, по имеющимся в деле показаниям рабочих, оказывались заниженными). Таким образом, все потенциальные виновники (производители некачественных снарядов, чертежей, орудий, бетонных плит, недобросовестные поставщики ферросплавов и т.д. и т.п.) могут превратиться в обвинителей, заявив представителям верховной власти: «Сами виноваты, задания надо ставить реальные!». </w:t>
      </w:r>
    </w:p>
    <w:p w14:paraId="4F9279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Получается, что виновны все и виновных нет, как нет и снарядов. А снаряды были нужны и, при том, качественные. </w:t>
      </w:r>
    </w:p>
    <w:p w14:paraId="415CCF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Каковы же были пути решения этой проблемы, каков выход из этой порочной ситуации, которая, вероятно, все больше и больше раздражала верховную власть? Ответ очевиден: необходимо создание такой «системы хозяйствования», которая заставляет каждого не только добросовестно работать самому, но и ревниво следить за подрядчиками, смежниками, да и самими заказчиками. Эта система должна безжалостно действовать по принципу коллективной ответственности, не слушая оправданий.</w:t>
      </w:r>
    </w:p>
    <w:p w14:paraId="20A41B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По расследованию эпизода с партией №4 на заводе Молотова работала комиссия. Параллельно с администрацией допрашивались рабочие завода. По их показаниям этот инцидент не первый. Гнать брак для завода стало повседневным явлением. Во-вторых, рабочим, по их собственным показаниям, не давали работать. План на самом деле искусственно занижается Премудровым. Если рабочие выполняли задание быстрее намеченного времени, они получали выговор. Реально завод работал лишь последние 3-4 месяца в году, причем в это время технические работники работали по две смены, не уходя с завода. Оборудование было перегружено. Все остальное время рабочие находились в отпусках. Ситуация доходила до абсурда: рабочий возвращался из отпуска, а его отправляли снова. Вследствие этого, рабочие, раньше носившие гордое звание «стахановец», теперь просто не могли его получить. Рабочие из-за отсутствия работы спивались, велись разговоры о том, что завод пора бросать и искать новое место работы. Не удивительно, что при такой организации любые планы окажутся завышенными, а технология будет нарушаться (11555).</w:t>
      </w:r>
    </w:p>
    <w:p w14:paraId="52AD36D4" w14:textId="77777777" w:rsidR="00D4105E" w:rsidRPr="00E14102" w:rsidRDefault="00D4105E" w:rsidP="00E14102">
      <w:pPr>
        <w:autoSpaceDE w:val="0"/>
        <w:autoSpaceDN w:val="0"/>
        <w:adjustRightInd w:val="0"/>
        <w:jc w:val="both"/>
        <w:rPr>
          <w:color w:val="000000" w:themeColor="text1"/>
          <w:sz w:val="16"/>
          <w:szCs w:val="16"/>
        </w:rPr>
      </w:pPr>
    </w:p>
    <w:p w14:paraId="5A1D3C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1935г. ПКБ по ручному и автоматическому стрелковому оружию, созданное на ТОЗ 1 октября 1927, выделено из состава ТОЗ в самостоятельное ЦКБСВ. По пр. НКОП № Обсс от 30.12.1936г. ЦКБСВ переименовано в ЦКБ-14. По пр. № 0227 от 9.10.1937г. ЦКБ-14 передано в ведение вновь созданного 15ГУ НКОП, приказом № 278 от 20.07.1938г. утвержден Устав ГС ЦКБ-14. В 02.1939г. ЦКБ-14 15ГУ передано в ведение 15ГУ НКВ. С 03.1966г. - КБП.</w:t>
      </w:r>
    </w:p>
    <w:p w14:paraId="2EAEAF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образования ПКБ здесь были завершены работы, начатые на ТОЗе, по переделке пулемета «Максим» в авиационный; в 1928г. пулемет ПВ-1 пнв. В 1934-36г. разработан авиационный пулемет СН (И.В. Савин, А.К. Норов), пост. КО от 8.06.1937г. он запущен в серию.</w:t>
      </w:r>
    </w:p>
    <w:p w14:paraId="7E8F30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пост, правительства от 9.02.1931 г. начата разработка авиационного крупнокалиберного пулемета под 12,7-мм патрон армейского пулемета ДК, в 1934г. пулемет ШВАК пнв.</w:t>
      </w:r>
    </w:p>
    <w:p w14:paraId="5632E3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 ЗГУ № 22 от 27.05.1937г. административное руководство ЦКБ-14 возложено на директора завода № 173.</w:t>
      </w:r>
    </w:p>
    <w:p w14:paraId="794D6B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исполнение решения правительства № 194сс от 5.08.1938г. пр. № 341сс от 28.08.1938г. ЦКБ поручено разработать и представить: к 15.08.1938г. - универсальный пулемет 7,62 мм Силина; к 1.09.1938г. - синхронный пулемет СН и турельный 12,7 мм Салшцева; к 10.08 - турельный и синхронный пулемет 12,7 мм Березина.</w:t>
      </w:r>
    </w:p>
    <w:p w14:paraId="2A3159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Перед войной и в годы войны разрабатывалось стрелковое оружие, автоматические пушки и пулеметы.</w:t>
      </w:r>
    </w:p>
    <w:p w14:paraId="424A3D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годы войны ЦКБ-14 частично было эвакуировано в Златоуст, затем возвратилось на прежнее место. Производственная база ЦКБ была ликвидирована. В годы войны основная работа состояла в обеспечении серийного производства разработанных образцов.</w:t>
      </w:r>
    </w:p>
    <w:p w14:paraId="351CC6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пост. ГКО № 6681 от 10.10.1944г. пушка Б-20 пнв.</w:t>
      </w:r>
    </w:p>
    <w:p w14:paraId="2BFE89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ПСМ № 954-407сс от 19.05.1954г. пушка АМ-23 пнв.</w:t>
      </w:r>
    </w:p>
    <w:p w14:paraId="5EDDA0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период кризиса авиационного вооружения в 04.1960 г. приказом ГКОТ часть тематики, большое количество кадров и оборудования передано Тульскому ЦКИБ СОО. Многие ранее начатые работы по авиационным пушкам были прекращены. Лишь в 1966г. в КБП начат новый этап развития авиационного стрелкового вооружения под руководством В.П. Грязева.</w:t>
      </w:r>
    </w:p>
    <w:p w14:paraId="77719E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второй половине 1960-х г. начались работы по ракетному оружию - ПТУРС.</w:t>
      </w:r>
    </w:p>
    <w:p w14:paraId="5CE1ED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1968г. начата разработка ТРК «Таран» (на базе танка Т-64А) и «Шиповник» (на базе БМП-1) с ядерной БЧ. В 1971 г. работы по комплексам прекращены.</w:t>
      </w:r>
      <w:r w:rsidRPr="00E14102">
        <w:rPr>
          <w:color w:val="000000" w:themeColor="text1"/>
          <w:sz w:val="16"/>
          <w:szCs w:val="16"/>
          <w:vertAlign w:val="superscript"/>
        </w:rPr>
        <w:t>127</w:t>
      </w:r>
    </w:p>
    <w:p w14:paraId="624F01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ПСМ № 793-259 от 22.09.1970 г. ПТУР «Фагот» пнв.</w:t>
      </w:r>
    </w:p>
    <w:p w14:paraId="0C0420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Разработка ЗСУ «Тунгуска» (2С6) велась в соответствии с пост. СМ СССР от 8.06.1970 г. В 1980 г. начата разработка корабельного ЗРК «Каштан».</w:t>
      </w:r>
    </w:p>
    <w:p w14:paraId="1551A7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1995г. образован Московский филиал КБП. В 07.1997г. предприятие получило статус ГУП. В 1997г. в состав КБП вошло ЦКИБ СОО. 5.09.1996г. на базе КБП содана Транснациональная промышленно-финансовая группа (ТПФГ) «Точность». На 2001 г. - головное предприятие по разработке противотанковых и танковых ракетных комплексов, управляемых артиллерийских снарядов, зенитного и стрелково-пушечного вооружения. По Указу Президента РФ № 1009 от 4.08.2004г. вошло в число стратегических оборонных предприятий. В 2004г. Входил в состав Научно-производственного концерна точного машиностроения «Витязь».</w:t>
      </w:r>
    </w:p>
    <w:p w14:paraId="788CCF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2005г. коллективом создано более 130 серийных образцов вооружения.</w:t>
      </w:r>
    </w:p>
    <w:p w14:paraId="4CEE27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Имелись (2006г.)- инженерный корпус, корпус микроэлектроники, опытный завод, ВЦ.</w:t>
      </w:r>
    </w:p>
    <w:p w14:paraId="676EB7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КБП имело филиалы (2002-05г.): ЦКБ спортивно-охотничьего оружия, НПЦ биотехнологии «Фитогенетика» (с 1991 г.), Московский филиал (с 1995г., директор (1995-2005г.-)- С.И. Аверин).</w:t>
      </w:r>
    </w:p>
    <w:p w14:paraId="1D8E7D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03.2010 г. первые 10 ЗРПК «Панцирь-С1», выпущенных на предприятии, переданы ВВС.</w:t>
      </w:r>
    </w:p>
    <w:p w14:paraId="7E7665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Гл. конструктор (1950-е)- И.Ф. Дмитриев, (03.1962-87г.)- А.Г. Шипунов («Каштан»), Ген. конструктор (1987- 09.2006г.)- академик А.Г. Шипунов {7.11.1927-}, (2006г.-)- И. Степанченко, (2007г.-)- </w:t>
      </w:r>
      <w:r w:rsidRPr="00E14102">
        <w:rPr>
          <w:color w:val="000000" w:themeColor="text1"/>
          <w:sz w:val="16"/>
          <w:szCs w:val="16"/>
          <w:lang w:val="en-US"/>
        </w:rPr>
        <w:t>A</w:t>
      </w:r>
      <w:r w:rsidRPr="00E14102">
        <w:rPr>
          <w:color w:val="000000" w:themeColor="text1"/>
          <w:sz w:val="16"/>
          <w:szCs w:val="16"/>
        </w:rPr>
        <w:t>.</w:t>
      </w:r>
      <w:r w:rsidRPr="00E14102">
        <w:rPr>
          <w:color w:val="000000" w:themeColor="text1"/>
          <w:sz w:val="16"/>
          <w:szCs w:val="16"/>
          <w:lang w:val="en-US"/>
        </w:rPr>
        <w:t>JI</w:t>
      </w:r>
      <w:r w:rsidRPr="00E14102">
        <w:rPr>
          <w:color w:val="000000" w:themeColor="text1"/>
          <w:sz w:val="16"/>
          <w:szCs w:val="16"/>
        </w:rPr>
        <w:t>. Рыбас.</w:t>
      </w:r>
    </w:p>
    <w:p w14:paraId="1F2F1A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1-й зам. ген. конструктора (2003г.)- А. Бутенко, (1998-2005г.)- В. Дудка. Зам. гл., ген. конструктора- С.М. Березин, (-2002-03г.-)- В.П. Грязев, (2007г.)- Л. Рошаль, (2010 г.)- Ю. Савенков.</w:t>
      </w:r>
    </w:p>
    <w:p w14:paraId="6D239E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Руководитель ПКБ (1927г.-)- П.П. Третьяков. Начальник (1935г.-)- П.И. Майн, (-2.04.1937г.)- П.К. Морозенко, (2.04.1937-3.08.1938г.)- М.П. Пономарев (снят за необеспечение внедрения нового производства и невыполнение программы); и.о. (3.08-10.1938г.)- А.П. Казанский; (31.10.1938г.-)- А.П. Казанский, (08.1946-57г.- И.О(Ф). Дмитриев, (03.1962-09.2006г.)- А.Г. Шипунов. Гендиректор (21.09.2006-03,2009г.)- А.Л. Рыбас.</w:t>
      </w:r>
    </w:p>
    <w:p w14:paraId="0A7573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1-й зам. начальника (2003г.)- А. Бутенко, (1998-2005г.)- В. Дудка; по ОКР (2006г.)- И. Степанченко. Зам. начальника (06.1937г.)- М.А. Мамонтов, С.М. Березин, (-2002-03г.-)- В.П. Грязев, (-2000-06г.-)- С.И. Аверин.</w:t>
      </w:r>
    </w:p>
    <w:p w14:paraId="56CECC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(-06.1937-8.03.1938г.)- М.А. Мамонтов, (2000-05г.-)- В. Дудка, (2009г.)- М. Васин.</w:t>
      </w:r>
    </w:p>
    <w:p w14:paraId="569A3C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гл. инженера (2001 г.)- А. Морозов.</w:t>
      </w:r>
    </w:p>
    <w:p w14:paraId="760954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конструкторы: (1930-31 г.-)- Б.Г. Шпитальный (ШКАС, ШВАК, ТШ-20), (1930-е)- И.А. Комарицкий (ШКАС), (1930-е)- Ф.В. Токарев (ТТ, СВТ-38, СВТ-40, АВТ-40), (-1938-44г.-)- М.Е. Березин (БС, УБ, Б-20), (1941 г.)- А.А. Волков (ВЯ), (1941 г.)- С.Я. Ярцев (ВЯ), (1953г.)- Н.М. Афанасьев (А-12,7, АМ-23, 2А7, 2А14), (-1.10.2008г.)- В.П. Грязев (ГШГ-7,62, ГШ-23, ГШ-30, ГШ-301, 2А38,2А42,2А72, 6К30ГШ), В.М. Кузнецов (ЗУР 9М311); направления (-2002-03г.-)- С. Березин, (2003г.)- В. Бабичев.</w:t>
      </w:r>
    </w:p>
    <w:p w14:paraId="5EFAD7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гл. конструктора (2000 г.)- А. Жуков.</w:t>
      </w:r>
    </w:p>
    <w:p w14:paraId="581A50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отделения: (2003г.)- Б. Волков.</w:t>
      </w:r>
    </w:p>
    <w:p w14:paraId="048062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отделов: (2003г.)- Ю. Амелин, (2003г.)- В. Давыдов, (2003г.)-М. Зотов.</w:t>
      </w:r>
    </w:p>
    <w:p w14:paraId="4C5616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секторов: (2001 г.)- Э. Давыдов, (2007г.)- М.И. Андреев.</w:t>
      </w:r>
    </w:p>
    <w:p w14:paraId="1DB5D1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бригад: (11.1937г.)- Мамонтов.</w:t>
      </w:r>
    </w:p>
    <w:p w14:paraId="63248EDE"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Создано: пулеметы:</w:t>
      </w:r>
      <w:r w:rsidRPr="00E14102">
        <w:rPr>
          <w:color w:val="000000" w:themeColor="text1"/>
          <w:sz w:val="16"/>
          <w:szCs w:val="16"/>
        </w:rPr>
        <w:t xml:space="preserve"> авиационные: 7,62 мм: ПВ-1 (1926, пнв в 1928г.), ШКАС (Шпитальный, Комарицкий, авиационный скорострельный, пнв 11.10.1931 г.), СН (1934-36), УльтраШКАС (1937, пнв 13.05.1939г.), ЦКБСВ-71 (старенный ШКАС), ГШГ-7,62; 12,7 мм: БС (1938), УБ (1938, пнв 22.04.1941 г.), ШВАК (Шпитальный, Владимиров, авиационный крупнокалиберный, 1932, пнв в 1934г.), А-12,7 (пнв в 1953г.); счетверенная зенитная</w:t>
      </w:r>
    </w:p>
    <w:p w14:paraId="0C89B7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установка пулеметов «Максим» (1930-е); пистолет-пулемет ПП-90М, ПП-93, ПП-2000, АПБ, «Кипарис», малогабаритный автомат 9А91 (2000);</w:t>
      </w:r>
      <w:r w:rsidRPr="00E14102">
        <w:rPr>
          <w:iCs/>
          <w:color w:val="000000" w:themeColor="text1"/>
          <w:sz w:val="16"/>
          <w:szCs w:val="16"/>
        </w:rPr>
        <w:t xml:space="preserve"> винтовки:</w:t>
      </w:r>
      <w:r w:rsidRPr="00E14102">
        <w:rPr>
          <w:color w:val="000000" w:themeColor="text1"/>
          <w:sz w:val="16"/>
          <w:szCs w:val="16"/>
        </w:rPr>
        <w:t xml:space="preserve"> самозарядная СВТ-38; снайперские: СВТ-40,9-мм ВСК-94, 12,7- мм ОСВ-96 (В-94) (2000); автоматическая АВТ-40, автоматический карабин ЦКБСВ-55 (1936); ручной гранатомет 6Г30 (2004), ГМ-94;</w:t>
      </w:r>
      <w:r w:rsidRPr="00E14102">
        <w:rPr>
          <w:iCs/>
          <w:color w:val="000000" w:themeColor="text1"/>
          <w:sz w:val="16"/>
          <w:szCs w:val="16"/>
        </w:rPr>
        <w:t xml:space="preserve"> пистолеты:</w:t>
      </w:r>
      <w:r w:rsidRPr="00E14102">
        <w:rPr>
          <w:color w:val="000000" w:themeColor="text1"/>
          <w:sz w:val="16"/>
          <w:szCs w:val="16"/>
        </w:rPr>
        <w:t xml:space="preserve"> ТТ (Тульский, Токарев) (1930-е); 9 мм: ПМ, АБС, ГШ-18 (2000-е), П-96С; револьверы Р-92, Р-92КС, «Удар», «Удар ТС» (2004);</w:t>
      </w:r>
      <w:r w:rsidRPr="00E14102">
        <w:rPr>
          <w:iCs/>
          <w:color w:val="000000" w:themeColor="text1"/>
          <w:sz w:val="16"/>
          <w:szCs w:val="16"/>
        </w:rPr>
        <w:t xml:space="preserve"> пушки:</w:t>
      </w:r>
      <w:r w:rsidRPr="00E14102">
        <w:rPr>
          <w:color w:val="000000" w:themeColor="text1"/>
          <w:sz w:val="16"/>
          <w:szCs w:val="16"/>
        </w:rPr>
        <w:t xml:space="preserve"> танковая 20-мм ТШ-20 (1932); авиационные: 23-мм ТКБ-201 (ВЯ-23, 1940, пнв в 05.1941 г.), СГ-23 (1941), Б-20 (пнв 10.10.1944г.), ТКБ-495 (АМ-23, пнв 19.05.1954г.); зенитные: 23-мм автоматы 2А7, 2А14, установка ЭУ-23; ТКБ-481, ТКБ-494, ТКБ-499, ТКБ-500, ТКБ-501, ТКБ- 513, ТКБ-507 для ЗАК «Шилка» (пнв 5.09.1961 г.), ГШ-23, ГШ-6-23, ГШ-30, ГШ-301, ГШ-6-30, ГШ-6-30К, ГШ-6- 30</w:t>
      </w:r>
      <w:r w:rsidRPr="00E14102">
        <w:rPr>
          <w:color w:val="000000" w:themeColor="text1"/>
          <w:sz w:val="16"/>
          <w:szCs w:val="16"/>
          <w:lang w:val="en-US"/>
        </w:rPr>
        <w:t>JI</w:t>
      </w:r>
      <w:r w:rsidRPr="00E14102">
        <w:rPr>
          <w:color w:val="000000" w:themeColor="text1"/>
          <w:sz w:val="16"/>
          <w:szCs w:val="16"/>
        </w:rPr>
        <w:t xml:space="preserve">; зенитная 30-мм для «Тунгуски» 2А38; «Гром» для БМП-1, 30-мм «Зарница» (2А42) для БМП-2, 30-мм 2А70 для БМД-4, 2А72 для БМП-3; 6-ствольный 30-мм зенитный автомат 6К30ГШ; гранатометы: ручной противопехотный 6Г30, автоматический комплекс АГС-30; высокоточные артсистемы «Краснополь», «Китолов-2»; корабельная артустановка АК-630М; мобильный минометный комплекс «Грань» с минометом 2Б11 (2000-е); </w:t>
      </w:r>
      <w:r w:rsidRPr="00E14102">
        <w:rPr>
          <w:iCs/>
          <w:color w:val="000000" w:themeColor="text1"/>
          <w:sz w:val="16"/>
          <w:szCs w:val="16"/>
        </w:rPr>
        <w:t>ЗУР</w:t>
      </w:r>
      <w:r w:rsidRPr="00E14102">
        <w:rPr>
          <w:color w:val="000000" w:themeColor="text1"/>
          <w:sz w:val="16"/>
          <w:szCs w:val="16"/>
        </w:rPr>
        <w:t xml:space="preserve"> 9М311 для «Тунгуски»;</w:t>
      </w:r>
      <w:r w:rsidRPr="00E14102">
        <w:rPr>
          <w:iCs/>
          <w:color w:val="000000" w:themeColor="text1"/>
          <w:sz w:val="16"/>
          <w:szCs w:val="16"/>
        </w:rPr>
        <w:t xml:space="preserve"> ПТУРС:</w:t>
      </w:r>
      <w:r w:rsidRPr="00E14102">
        <w:rPr>
          <w:color w:val="000000" w:themeColor="text1"/>
          <w:sz w:val="16"/>
          <w:szCs w:val="16"/>
        </w:rPr>
        <w:t xml:space="preserve"> «Фагот» (9К111, пнв 22.09.1970 г.), «Фагот-М» (пнв в 1987г.); «Конкурс» (9К113, пнв в 1974г.), «Конкурс-М» (9К113М, пнв в 1975г.); «Метис» (9К115, пнв в 1978г.), «Метис-М», «Метис- 2»; «Фактория» (9К111, пнв в 1973г.); «Вихрь» (пнв в 1990 г.); «Корнет» (пнв в 1990-е), «Корнет-Э»; «Гермес» (опытная, 1990-е), «Кобра» (9К112, пнв в 1976г.), «Атака» (пнв в 1978г.), «Шексна» (пнв в 1983г.), «Свирь» (9К120, пнв в 1985г.), «Бастион» (9К116, пнв в 1983г.), «Рефлекс» (9К119М, пнв в 1986г.), «Кастет» (пнв в 1981 г.), «Разрыв» (пнв в 1990 г.); реактивный пехотный огнемет «Рысь»;</w:t>
      </w:r>
      <w:r w:rsidRPr="00E14102">
        <w:rPr>
          <w:iCs/>
          <w:color w:val="000000" w:themeColor="text1"/>
          <w:sz w:val="16"/>
          <w:szCs w:val="16"/>
        </w:rPr>
        <w:t xml:space="preserve"> ЗСУ:</w:t>
      </w:r>
      <w:r w:rsidRPr="00E14102">
        <w:rPr>
          <w:color w:val="000000" w:themeColor="text1"/>
          <w:sz w:val="16"/>
          <w:szCs w:val="16"/>
        </w:rPr>
        <w:t xml:space="preserve"> «Тунгуска» (2С6, 2К22, пнв в 1981 г.), «Тунгуска-М» (2К22М, пнв в 1990 г.); корабельный ЗРАК «Каштан» (ЗМ87, пнв в 1989г.), экспортный- «Кортик»; 31 </w:t>
      </w:r>
      <w:r w:rsidRPr="00E14102">
        <w:rPr>
          <w:color w:val="000000" w:themeColor="text1"/>
          <w:sz w:val="16"/>
          <w:szCs w:val="16"/>
          <w:lang w:val="en-US"/>
        </w:rPr>
        <w:t>IP</w:t>
      </w:r>
      <w:r w:rsidRPr="00E14102">
        <w:rPr>
          <w:color w:val="000000" w:themeColor="text1"/>
          <w:sz w:val="16"/>
          <w:szCs w:val="16"/>
        </w:rPr>
        <w:t xml:space="preserve"> К «Панцирь-С1» («Тунгуска-3», пнв в 1990-е), «Палаш» (1995); комплекс активной защиты танка «Дрозд» (пнв в 1984г.), «Дрозд-2», «Арена»; комплекс «Бережок»; АСУ огнем для БМП-3; оптический прицел ЦКБСВ-63 (1936) (11982).</w:t>
      </w:r>
    </w:p>
    <w:p w14:paraId="1A428C8F" w14:textId="77777777" w:rsidR="00D4105E" w:rsidRPr="00E14102" w:rsidRDefault="00D4105E" w:rsidP="00E14102">
      <w:pPr>
        <w:autoSpaceDE w:val="0"/>
        <w:autoSpaceDN w:val="0"/>
        <w:adjustRightInd w:val="0"/>
        <w:jc w:val="both"/>
        <w:rPr>
          <w:color w:val="000000" w:themeColor="text1"/>
          <w:sz w:val="16"/>
          <w:szCs w:val="16"/>
        </w:rPr>
      </w:pPr>
    </w:p>
    <w:p w14:paraId="061706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было начато строительство ЗОМЗ (Завод № 355 НКВ, МОП, Загорский оптико-механический завод (ЗОМЗ) НКТП, НКОП, НКВ, МОП, ОАО «ЗОМЗ» /г. Загорск;  г. Томск;  г. Загорск/ /141300  г. Сергиев Посад Московской обл. пр. Красной Армии, 212В тел. 69-390/), но велось медленно. По пр. ГВМУ № 97 от 7.07.1935 г. и ВООМП № 99 от 13.07.1935 г. строительство ЗОМЗ включено в состав ВООМП. Пр. ВООМП № 116 от 20.10.1935 г. требовалось к 15.11.1935 г. приступить к закладке оптического цеха; к 25.10.1935 г. организовать Опытную мастерскую, обеспечив начало ее работы к 5.11.1935 г. и немедленно организовать работы по освоению трех типов оптических приборов. В 12.1936 г. завод передан в ЖОП. По пр. № 09с от 23.01.1937 г. завод передан в ведение 9ГУ НКОП. В 01.1937 г. планировалось переименовать ЗОМЗ в завод № 230, но это не было реализовано. В 02.1939 г. передан из 9ГУ НКОП в ведение 9ГУ НКВ и получил статус особорежимного предприятия, а к 05.1940 г. переименован в завод № 355. в 06.1940 г. - в ведении 2ГУ НКВ.</w:t>
      </w:r>
    </w:p>
    <w:p w14:paraId="3C5561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Освоен серийный выпуск наблюдательных оптико-механических приборов для армии.</w:t>
      </w:r>
    </w:p>
    <w:p w14:paraId="327C65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 № 295с от 7.08.1938 г. необходимо было ввести в эксплуатацию в 1938 г.: корпус № 2 - к 25 августа, корпус № 1 - в 12.1938 г.</w:t>
      </w:r>
    </w:p>
    <w:p w14:paraId="6954FE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исполнение решения правительства № 194сс от 5.08.1938 г. пр. № 341сс от 28.08.1938 г. заводу поручено к 10.08.1938 г. изготовить 5 опытных прицелов ОП-2-</w:t>
      </w:r>
      <w:r w:rsidRPr="00E14102">
        <w:rPr>
          <w:color w:val="000000" w:themeColor="text1"/>
          <w:sz w:val="16"/>
          <w:szCs w:val="16"/>
          <w:lang w:val="en-US"/>
        </w:rPr>
        <w:t>JI</w:t>
      </w:r>
      <w:r w:rsidRPr="00E14102">
        <w:rPr>
          <w:color w:val="000000" w:themeColor="text1"/>
          <w:sz w:val="16"/>
          <w:szCs w:val="16"/>
        </w:rPr>
        <w:t>.</w:t>
      </w:r>
    </w:p>
    <w:p w14:paraId="7CB27D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1941 г. после начала войны эвакуирован в Томск и продолжил действовать под прежним номером. В 1943 г. в состав завода № 355 влит завод № 353 НКВ. В соответствии с пост. ГКО № 3824 от 27.07.1943 г. начата реэвакуация завода на прежнее место в Загорск, в 1944 г. перебазирование завода № 355 было завершено.</w:t>
      </w:r>
    </w:p>
    <w:p w14:paraId="669332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войны освоены новые направления: офтальмологические приборы, лабораторные, аналитические и общепромышленные приборы, ТНП (бинокли, лупы). В 1945 г. подготовлен к выпуску оптический прицел фирмы «Цейс-Икон» под шифром «ПВС», но в 1946 г. производство передано на завод № 297.</w:t>
      </w:r>
    </w:p>
    <w:p w14:paraId="38172A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(2002 г.): бинокли: спецназначения, ночного видения, широкоугольные, призменные, астрономические; дневные и ночные прицелы; тепловизионная техника; поляриметры, фотометры; медоборудование.</w:t>
      </w:r>
    </w:p>
    <w:p w14:paraId="6BB482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1990 г.- в ведении МОП. По Указу Президента РФ № 1009 от 4.08.2004 г. вошло в число стратегических оборонных предприятий.</w:t>
      </w:r>
    </w:p>
    <w:p w14:paraId="06F48E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(-27.03.1937 г.)- С.М. Будник, (27.03.1937-8.01.1938 г.)- Е.Я. Евгеньев (снят); и.о. (1938 г.)- Н.С. Бессонов; (1938 г.)- Н.С. Бессонов, (29.07.1938-41 г.-&gt; А.И. Песков. Гендиректор (2002 г.)- Л.Ф. Сочилов.</w:t>
      </w:r>
    </w:p>
    <w:p w14:paraId="6F008EC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строительства (10.1935 г.)- Будник, (-8.01.1938 г.)- Е.Я. Евгеньев, (29.07.1938 г.-)- А.И. Песков. Зам. директора (15.12.1937 г.-)- Н.С. Бессонов.</w:t>
      </w:r>
    </w:p>
    <w:p w14:paraId="0373188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(15.12.1937 г.-)- Н.С. Бессонов, (2002 г.)- В.И. Душин.</w:t>
      </w:r>
    </w:p>
    <w:p w14:paraId="717FD2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по коммерческим вопросам (2002 г.)- А.И. Волга; по финансам (2002 г.)- И.Д. Норов; по производству и экономике (2002 г.)- А.П. Дамарацкий.</w:t>
      </w:r>
    </w:p>
    <w:p w14:paraId="4FA8FC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директора по ВЭС и маркетингу (2002 г.)- О.А. Начкебия.</w:t>
      </w:r>
      <w:r w:rsidRPr="00E14102">
        <w:rPr>
          <w:color w:val="000000" w:themeColor="text1"/>
          <w:sz w:val="16"/>
          <w:szCs w:val="16"/>
          <w:vertAlign w:val="superscript"/>
        </w:rPr>
        <w:t>69</w:t>
      </w:r>
    </w:p>
    <w:p w14:paraId="20F56A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Технический директор (09.1936 г.)-  Г.А. Вильгельмсон.</w:t>
      </w:r>
    </w:p>
    <w:p w14:paraId="0204A4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бюро: технического (09.1936 г.)- М.А. Петровский.</w:t>
      </w:r>
    </w:p>
    <w:p w14:paraId="0736B598"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Производство:</w:t>
      </w:r>
      <w:r w:rsidRPr="00E14102">
        <w:rPr>
          <w:color w:val="000000" w:themeColor="text1"/>
          <w:sz w:val="16"/>
          <w:szCs w:val="16"/>
        </w:rPr>
        <w:t xml:space="preserve"> прицелы: ПО-1, </w:t>
      </w:r>
      <w:r w:rsidRPr="00E14102">
        <w:rPr>
          <w:color w:val="000000" w:themeColor="text1"/>
          <w:sz w:val="16"/>
          <w:szCs w:val="16"/>
          <w:lang w:val="en-US"/>
        </w:rPr>
        <w:t>TP</w:t>
      </w:r>
      <w:r w:rsidRPr="00E14102">
        <w:rPr>
          <w:color w:val="000000" w:themeColor="text1"/>
          <w:sz w:val="16"/>
          <w:szCs w:val="16"/>
        </w:rPr>
        <w:t xml:space="preserve">, РГ, оптический для неподвижных пулеметов ОП-2, для подвижных пулеметов ПАЛ-3, для люковых установок </w:t>
      </w:r>
      <w:r w:rsidRPr="00E14102">
        <w:rPr>
          <w:color w:val="000000" w:themeColor="text1"/>
          <w:sz w:val="16"/>
          <w:szCs w:val="16"/>
          <w:lang w:val="en-US"/>
        </w:rPr>
        <w:t>IIAJI</w:t>
      </w:r>
      <w:r w:rsidRPr="00E14102">
        <w:rPr>
          <w:color w:val="000000" w:themeColor="text1"/>
          <w:sz w:val="16"/>
          <w:szCs w:val="16"/>
        </w:rPr>
        <w:t>-5 (1936), ТР-1 (-1936-38-), ОП-2-</w:t>
      </w:r>
      <w:r w:rsidRPr="00E14102">
        <w:rPr>
          <w:color w:val="000000" w:themeColor="text1"/>
          <w:sz w:val="16"/>
          <w:szCs w:val="16"/>
          <w:lang w:val="en-US"/>
        </w:rPr>
        <w:t>JI</w:t>
      </w:r>
      <w:r w:rsidRPr="00E14102">
        <w:rPr>
          <w:color w:val="000000" w:themeColor="text1"/>
          <w:sz w:val="16"/>
          <w:szCs w:val="16"/>
        </w:rPr>
        <w:t xml:space="preserve"> (1938); корректировщик артогня с самолета (1936); приборы ПАЮ, ПП1 (1938).</w:t>
      </w:r>
    </w:p>
    <w:p w14:paraId="58E137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ОКБ-355 </w:t>
      </w:r>
      <w:r w:rsidRPr="00E14102">
        <w:rPr>
          <w:color w:val="000000" w:themeColor="text1"/>
          <w:sz w:val="16"/>
          <w:szCs w:val="16"/>
          <w:lang w:val="en-US"/>
        </w:rPr>
        <w:t>MB</w:t>
      </w:r>
    </w:p>
    <w:p w14:paraId="53296A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1949 г. ОКБ-355- в ведении </w:t>
      </w:r>
      <w:r w:rsidRPr="00E14102">
        <w:rPr>
          <w:color w:val="000000" w:themeColor="text1"/>
          <w:sz w:val="16"/>
          <w:szCs w:val="16"/>
          <w:lang w:val="en-US"/>
        </w:rPr>
        <w:t>MB</w:t>
      </w:r>
      <w:r w:rsidRPr="00E14102">
        <w:rPr>
          <w:color w:val="000000" w:themeColor="text1"/>
          <w:sz w:val="16"/>
          <w:szCs w:val="16"/>
        </w:rPr>
        <w:t>.</w:t>
      </w:r>
    </w:p>
    <w:p w14:paraId="76F7D9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Разработка прицелов. Работы по приборам ночного видения.</w:t>
      </w:r>
    </w:p>
    <w:p w14:paraId="1D5F96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конструктор (после ВОВ)- И. Г. Лурье.</w:t>
      </w:r>
    </w:p>
    <w:p w14:paraId="772FFD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(ВОВ)- И. Г. Лурье.</w:t>
      </w:r>
    </w:p>
    <w:p w14:paraId="072529DB"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Создано:</w:t>
      </w:r>
      <w:r w:rsidRPr="00E14102">
        <w:rPr>
          <w:color w:val="000000" w:themeColor="text1"/>
          <w:sz w:val="16"/>
          <w:szCs w:val="16"/>
        </w:rPr>
        <w:t xml:space="preserve"> прицелы: авиационный коллиматорный ПАК-1 (ВОВ), авиационный заднего обзора КПП! (ВОВ), ПБП-1А и -1Б (ВОВ), зенитного орудия К-37 (ВОВ), турельной установки К-81(ВОВ), АСИ-ЗИ (11982).</w:t>
      </w:r>
    </w:p>
    <w:p w14:paraId="37C3580D" w14:textId="77777777" w:rsidR="00D4105E" w:rsidRPr="00E14102" w:rsidRDefault="00D4105E" w:rsidP="00E14102">
      <w:pPr>
        <w:autoSpaceDE w:val="0"/>
        <w:autoSpaceDN w:val="0"/>
        <w:adjustRightInd w:val="0"/>
        <w:jc w:val="both"/>
        <w:rPr>
          <w:color w:val="000000" w:themeColor="text1"/>
          <w:sz w:val="16"/>
          <w:szCs w:val="16"/>
        </w:rPr>
      </w:pPr>
    </w:p>
    <w:p w14:paraId="5C15CB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на базе танка БТ-2 был разработан проект химического танка ХБТ-2 (БХМ-2) который предназначался для заражения местности боевыми ОВ, постановки дымовых завес, дегазации местности и огнеметания. Проектирование и изготовление химического оборудования велось на заводе «Компрессор». Согласно проекту, машина отличалась от серийного танка БТ-2 установкой химического оборудования КС-23 и отсутствием пушечного вооружения. Экипаж машины состоял из двух человек. Брандспойт огнеметного оборудования должен был устанавливаться в башне вместо 37-мм пушки Б-3. Расчетная дальность огнеметания составляла 70 м. В качестве вспомогательного оружия на танке устанавливался 7,62-мм пулемет ДТ. Резервуары для спецжидкостей общей емкостью 1000 л размещались по бортам машины на надгусеничных полках и должны были обеспечить при движении танка со скоростью 12 км/ч заражение местности площадью 25000 м?. Причем ширина полосы заражения должна была достигать 25 м. Дымопуск продолжительностью до 50 мин производился за счет испарения смеси S-IV выхлопными газами. Ширина непросматриваемой дымовой завесы должна была составлять 10 м. Размещение химического оборудования и резервуаров для спецжидкостей по бортам танка было признано удачным, так как оно не стесняло работу членов экипажа. Однако проект, выполненный для танка БТ-2, в металле реализован не был. Опытные образцы машин были изготовлены на базе танка БТ-5 (11715).</w:t>
      </w:r>
    </w:p>
    <w:p w14:paraId="4B3F2D2E" w14:textId="77777777" w:rsidR="00D4105E" w:rsidRPr="00E14102" w:rsidRDefault="00D4105E" w:rsidP="00E14102">
      <w:pPr>
        <w:autoSpaceDE w:val="0"/>
        <w:autoSpaceDN w:val="0"/>
        <w:adjustRightInd w:val="0"/>
        <w:jc w:val="both"/>
        <w:rPr>
          <w:color w:val="000000" w:themeColor="text1"/>
          <w:sz w:val="16"/>
          <w:szCs w:val="16"/>
        </w:rPr>
      </w:pPr>
    </w:p>
    <w:p w14:paraId="51B525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большую партию отходов производства ОВ вновь завез на полигон нынешний ГСНИИОХТ. Распорядился - устно - сотрудник ХИМУ. В том же 1935 году заместитель начальника ХИМУ велел не мешать тому, как на полигоне будет уничтожать свои отходы ОВ Военно-химическая академия им. К.Е.Ворошилова (9065).</w:t>
      </w:r>
    </w:p>
    <w:p w14:paraId="2D5D967D" w14:textId="77777777" w:rsidR="00D4105E" w:rsidRPr="00E14102" w:rsidRDefault="00D4105E" w:rsidP="00E14102">
      <w:pPr>
        <w:autoSpaceDE w:val="0"/>
        <w:autoSpaceDN w:val="0"/>
        <w:adjustRightInd w:val="0"/>
        <w:jc w:val="both"/>
        <w:rPr>
          <w:color w:val="000000" w:themeColor="text1"/>
          <w:sz w:val="16"/>
          <w:szCs w:val="16"/>
        </w:rPr>
      </w:pPr>
    </w:p>
    <w:p w14:paraId="7A6301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в Остехбюро завершилась разработка нового неконтактного индукционною взрывателя, работавшего по двухимпульсной схеме, что защищало его от подводных взрывов (3364,20).</w:t>
      </w:r>
    </w:p>
    <w:p w14:paraId="43488E0E" w14:textId="77777777" w:rsidR="00D4105E" w:rsidRPr="00E14102" w:rsidRDefault="00D4105E" w:rsidP="00E14102">
      <w:pPr>
        <w:autoSpaceDE w:val="0"/>
        <w:autoSpaceDN w:val="0"/>
        <w:adjustRightInd w:val="0"/>
        <w:jc w:val="both"/>
        <w:rPr>
          <w:color w:val="000000" w:themeColor="text1"/>
          <w:sz w:val="16"/>
          <w:szCs w:val="16"/>
        </w:rPr>
      </w:pPr>
    </w:p>
    <w:p w14:paraId="517E89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на испытания вышла САУ АТ-1, вооруженная пушкой ПС-3 № 11. На испытаниях были достигнуты хорошие результаты. Например, наибольшая дальность стрельбы практически составила 10580 м, тогда как по заданию должен был составлять 7500-8000 м. САУ была рекомендована для принятия на вооружение, но к маю 1936 г. ни одна из 5 заказанных для войсковых испытаний машин и пушек для них, сданы заказчику не были (6208, 42).</w:t>
      </w:r>
    </w:p>
    <w:p w14:paraId="7E747C79" w14:textId="77777777" w:rsidR="00D4105E" w:rsidRPr="00E14102" w:rsidRDefault="00D4105E" w:rsidP="00E14102">
      <w:pPr>
        <w:autoSpaceDE w:val="0"/>
        <w:autoSpaceDN w:val="0"/>
        <w:adjustRightInd w:val="0"/>
        <w:jc w:val="both"/>
        <w:rPr>
          <w:color w:val="000000" w:themeColor="text1"/>
          <w:sz w:val="16"/>
          <w:szCs w:val="16"/>
        </w:rPr>
      </w:pPr>
    </w:p>
    <w:p w14:paraId="55D82ADD" w14:textId="77777777" w:rsidR="004462A4" w:rsidRPr="00E14102" w:rsidRDefault="004462A4" w:rsidP="00E14102">
      <w:pPr>
        <w:pStyle w:val="24"/>
        <w:shd w:val="clear" w:color="auto" w:fill="auto"/>
        <w:spacing w:after="0" w:line="240" w:lineRule="auto"/>
        <w:ind w:firstLine="0"/>
        <w:jc w:val="both"/>
        <w:rPr>
          <w:color w:val="000000" w:themeColor="text1"/>
          <w:sz w:val="16"/>
          <w:szCs w:val="16"/>
        </w:rPr>
      </w:pPr>
      <w:r w:rsidRPr="00E14102">
        <w:rPr>
          <w:color w:val="000000" w:themeColor="text1"/>
          <w:sz w:val="16"/>
          <w:szCs w:val="16"/>
        </w:rPr>
        <w:t xml:space="preserve">В 1935 году состоялись испытания </w:t>
      </w:r>
      <w:r w:rsidRPr="00E14102">
        <w:rPr>
          <w:color w:val="000000" w:themeColor="text1"/>
          <w:sz w:val="16"/>
          <w:szCs w:val="16"/>
          <w:lang w:val="en-US"/>
        </w:rPr>
        <w:t>AT</w:t>
      </w:r>
      <w:r w:rsidRPr="00E14102">
        <w:rPr>
          <w:color w:val="000000" w:themeColor="text1"/>
          <w:sz w:val="16"/>
          <w:szCs w:val="16"/>
        </w:rPr>
        <w:t>-1, на которых были достигнуты хоро</w:t>
      </w:r>
      <w:r w:rsidRPr="00E14102">
        <w:rPr>
          <w:color w:val="000000" w:themeColor="text1"/>
          <w:sz w:val="16"/>
          <w:szCs w:val="16"/>
        </w:rPr>
        <w:softHyphen/>
        <w:t>шие результаты. Наибольшая дальность стрельбы, например, составила 10 580 м, тогда как по техзаданию должна была со</w:t>
      </w:r>
      <w:r w:rsidRPr="00E14102">
        <w:rPr>
          <w:color w:val="000000" w:themeColor="text1"/>
          <w:sz w:val="16"/>
          <w:szCs w:val="16"/>
        </w:rPr>
        <w:softHyphen/>
        <w:t>ставлять 7500 — 8000 м. САУ была реко</w:t>
      </w:r>
      <w:r w:rsidRPr="00E14102">
        <w:rPr>
          <w:color w:val="000000" w:themeColor="text1"/>
          <w:sz w:val="16"/>
          <w:szCs w:val="16"/>
        </w:rPr>
        <w:softHyphen/>
        <w:t>мендована для принятия на вооружение, но к маю 1936 года ни одна из 5 заказан</w:t>
      </w:r>
      <w:r w:rsidRPr="00E14102">
        <w:rPr>
          <w:color w:val="000000" w:themeColor="text1"/>
          <w:sz w:val="16"/>
          <w:szCs w:val="16"/>
        </w:rPr>
        <w:softHyphen/>
        <w:t>ных для войсковых испытаний машин и пушек для них сданы заказчику не были. В дальнейшем работы над АТ-1, как, впрочем, и над пушкой ПС-3, были свернуты (15232).</w:t>
      </w:r>
    </w:p>
    <w:p w14:paraId="60F13254" w14:textId="77777777" w:rsidR="004462A4" w:rsidRPr="00E14102" w:rsidRDefault="004462A4" w:rsidP="00E14102">
      <w:pPr>
        <w:pStyle w:val="24"/>
        <w:shd w:val="clear" w:color="auto" w:fill="auto"/>
        <w:spacing w:after="0" w:line="240" w:lineRule="auto"/>
        <w:ind w:firstLine="0"/>
        <w:jc w:val="both"/>
        <w:rPr>
          <w:color w:val="000000" w:themeColor="text1"/>
          <w:sz w:val="16"/>
          <w:szCs w:val="16"/>
        </w:rPr>
      </w:pPr>
    </w:p>
    <w:p w14:paraId="2024BC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на трехосном шасси ГАЗ-ТК, разработанной для 76-мм ДРП Л.В.К., установили удлиненный корпус броневика ФАИ. Более просторный корпус позволил поставить рацию и ввести третьего члена экипажа - радиста. Был перетяжелен и остался в опытном экземпляре (3947,16).</w:t>
      </w:r>
    </w:p>
    <w:p w14:paraId="3C69CB5F" w14:textId="77777777" w:rsidR="00D4105E" w:rsidRPr="00E14102" w:rsidRDefault="00D4105E" w:rsidP="00E14102">
      <w:pPr>
        <w:autoSpaceDE w:val="0"/>
        <w:autoSpaceDN w:val="0"/>
        <w:adjustRightInd w:val="0"/>
        <w:jc w:val="both"/>
        <w:rPr>
          <w:color w:val="000000" w:themeColor="text1"/>
          <w:sz w:val="16"/>
          <w:szCs w:val="16"/>
        </w:rPr>
      </w:pPr>
    </w:p>
    <w:p w14:paraId="41ABC9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испытывался комплект надувных поплавков к Т-26 для движения по воде (3861).</w:t>
      </w:r>
    </w:p>
    <w:p w14:paraId="76502472" w14:textId="77777777" w:rsidR="00D4105E" w:rsidRPr="00E14102" w:rsidRDefault="00D4105E" w:rsidP="00E14102">
      <w:pPr>
        <w:autoSpaceDE w:val="0"/>
        <w:autoSpaceDN w:val="0"/>
        <w:adjustRightInd w:val="0"/>
        <w:jc w:val="both"/>
        <w:rPr>
          <w:color w:val="000000" w:themeColor="text1"/>
          <w:sz w:val="16"/>
          <w:szCs w:val="16"/>
        </w:rPr>
      </w:pPr>
    </w:p>
    <w:p w14:paraId="7B9316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на базе Т-26 был разработан танк-цистерна для подвоза горючего Т-26-Ц (3861).</w:t>
      </w:r>
    </w:p>
    <w:p w14:paraId="54CDA575" w14:textId="77777777" w:rsidR="00D4105E" w:rsidRPr="00E14102" w:rsidRDefault="00D4105E" w:rsidP="00E14102">
      <w:pPr>
        <w:autoSpaceDE w:val="0"/>
        <w:autoSpaceDN w:val="0"/>
        <w:adjustRightInd w:val="0"/>
        <w:jc w:val="both"/>
        <w:rPr>
          <w:color w:val="000000" w:themeColor="text1"/>
          <w:sz w:val="16"/>
          <w:szCs w:val="16"/>
        </w:rPr>
      </w:pPr>
    </w:p>
    <w:p w14:paraId="705151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1935 г. броневые листы корпуса и башни Т-26 стали соединять сваркой (до этого - заклепками). Боекомплект уменьшился до 122 выстрелов (82 в танках с радиостанцией), но увеличилась емкость бензобаков, а масса возросла до 9,6 т (3861).</w:t>
      </w:r>
    </w:p>
    <w:p w14:paraId="7ABDAB39" w14:textId="77777777" w:rsidR="00D4105E" w:rsidRPr="00E14102" w:rsidRDefault="00D4105E" w:rsidP="00E14102">
      <w:pPr>
        <w:autoSpaceDE w:val="0"/>
        <w:autoSpaceDN w:val="0"/>
        <w:adjustRightInd w:val="0"/>
        <w:jc w:val="both"/>
        <w:rPr>
          <w:color w:val="000000" w:themeColor="text1"/>
          <w:sz w:val="16"/>
          <w:szCs w:val="16"/>
        </w:rPr>
      </w:pPr>
    </w:p>
    <w:p w14:paraId="595EAF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на базе Т-26 под руководством П.Н. Сячинтова и Л.С. Троянова был разработана АТ-1 ("артиллерийский танк"), оснащенный 7,62-мм орудием, масса - 10 т, экипаж - три человека. База основного танка оставалась без изменений (3861).</w:t>
      </w:r>
    </w:p>
    <w:p w14:paraId="20781815" w14:textId="77777777" w:rsidR="00D4105E" w:rsidRPr="00E14102" w:rsidRDefault="00D4105E" w:rsidP="00E14102">
      <w:pPr>
        <w:autoSpaceDE w:val="0"/>
        <w:autoSpaceDN w:val="0"/>
        <w:adjustRightInd w:val="0"/>
        <w:jc w:val="both"/>
        <w:rPr>
          <w:color w:val="000000" w:themeColor="text1"/>
          <w:sz w:val="16"/>
          <w:szCs w:val="16"/>
        </w:rPr>
      </w:pPr>
    </w:p>
    <w:p w14:paraId="3A40A1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 ряд танков Т-37 получили алюминиевые головки цилиндров, что позволило поднять на них мощность на 15-20%. Кроме того, надгусеничные поплавки начали изготавливать пустотелыми, без наполнения пробкой, что также упростило изготовление танка (10733,160).</w:t>
      </w:r>
    </w:p>
    <w:p w14:paraId="5C8C8DA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722A7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1935 году в конструкторском бюро завода “Компрессор” был разработан комплект съемной химической аппаратуры для танка Т-37А. В зависимости от заправки ее можно было использовать для огнеметания или постановки дымовых завес (дымопуск). 21 мая того же года на научно-испытательном химическом полигоне прошло испытание танка с этой аппаратурой. Она состояла из </w:t>
      </w:r>
      <w:r w:rsidRPr="00E14102">
        <w:rPr>
          <w:iCs/>
          <w:color w:val="000000" w:themeColor="text1"/>
          <w:sz w:val="16"/>
          <w:szCs w:val="16"/>
        </w:rPr>
        <w:t>“резервуара емкостью 37 литров, баллона сжатого воздуха – 3 литра, приспособления для дачи давления (редуктор, манометры), брандспойта с резиновым шлангом, зажигательным приспособлением и горелкой и трубопровода для дымопуска”.</w:t>
      </w:r>
      <w:r w:rsidRPr="00E14102">
        <w:rPr>
          <w:color w:val="000000" w:themeColor="text1"/>
          <w:sz w:val="16"/>
          <w:szCs w:val="16"/>
        </w:rPr>
        <w:t xml:space="preserve"> Масса всей аппаратуры составляла 89 кг. При полной зарядке резервуара огнесмесью можно было произвести 15 выстрелов на дальность до 25 метров. </w:t>
      </w:r>
    </w:p>
    <w:p w14:paraId="278806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Брандспойт установки размещался на верхнем наклонном переднем листе корпуса справа и за счет шарнирного соединения имел углы наведения от -5° до +15° по вертикали и 180° по горизонтали. Для производства выстрела или дымопуска была введена ножная педаль, которая находилась у командира танка. </w:t>
      </w:r>
    </w:p>
    <w:p w14:paraId="28683E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Вся аппаратура была изготовлена съемной, она могла устанавливаться на Т-37А с минимальными переделками. После проведений испытаний было изготовлено 75 таких танков (34 в 1935-м и 41 в 1936 годах). В документах того времени эти танки проходили как </w:t>
      </w:r>
      <w:r w:rsidRPr="00E14102">
        <w:rPr>
          <w:iCs/>
          <w:color w:val="000000" w:themeColor="text1"/>
          <w:sz w:val="16"/>
          <w:szCs w:val="16"/>
        </w:rPr>
        <w:t>“Т-37 химические”.</w:t>
      </w:r>
      <w:r w:rsidRPr="00E14102">
        <w:rPr>
          <w:color w:val="000000" w:themeColor="text1"/>
          <w:sz w:val="16"/>
          <w:szCs w:val="16"/>
        </w:rPr>
        <w:t xml:space="preserve"> Однако эксплуатация химических Т-37А оказалась недолгой – уже в 1938-39 годах большая часть оборудования с них была демонтирована. По состоянию на 1 апреля 1941 года в Красной Армии числилось всего 10 Т-37 химических, из них 4 находилось на складах (11237).</w:t>
      </w:r>
    </w:p>
    <w:p w14:paraId="42206723" w14:textId="77777777" w:rsidR="00D4105E" w:rsidRPr="00E14102" w:rsidRDefault="00D4105E" w:rsidP="00E14102">
      <w:pPr>
        <w:autoSpaceDE w:val="0"/>
        <w:autoSpaceDN w:val="0"/>
        <w:adjustRightInd w:val="0"/>
        <w:jc w:val="both"/>
        <w:rPr>
          <w:color w:val="000000" w:themeColor="text1"/>
          <w:sz w:val="16"/>
          <w:szCs w:val="16"/>
        </w:rPr>
      </w:pPr>
    </w:p>
    <w:p w14:paraId="7021865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План выпуска Т-28 на 1935 г. был снижен до 30, «но чтобы все были должного ка</w:t>
      </w:r>
      <w:r w:rsidRPr="00E14102">
        <w:rPr>
          <w:color w:val="000000" w:themeColor="text1"/>
          <w:sz w:val="16"/>
          <w:szCs w:val="16"/>
        </w:rPr>
        <w:softHyphen/>
        <w:t>чества» (10733,243).</w:t>
      </w:r>
    </w:p>
    <w:p w14:paraId="512B0B7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B63FB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 1935 году агрегаты и узлы Т-28 использовались при создании самоходной установки СУ-14-1 с 203-мм гаубицей Б-4 в рамках так называемого "самоходного дуплекса" (3918).</w:t>
      </w:r>
    </w:p>
    <w:p w14:paraId="45B034BF" w14:textId="77777777" w:rsidR="00D4105E" w:rsidRPr="00E14102" w:rsidRDefault="00D4105E" w:rsidP="00E14102">
      <w:pPr>
        <w:autoSpaceDE w:val="0"/>
        <w:autoSpaceDN w:val="0"/>
        <w:adjustRightInd w:val="0"/>
        <w:jc w:val="both"/>
        <w:rPr>
          <w:color w:val="000000" w:themeColor="text1"/>
          <w:sz w:val="16"/>
          <w:szCs w:val="16"/>
        </w:rPr>
      </w:pPr>
    </w:p>
    <w:p w14:paraId="13E462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по слухам два Т-28 были проданы Турции. Однако документов, подтверждающих этот факт, пока не найдено (3862).</w:t>
      </w:r>
    </w:p>
    <w:p w14:paraId="3B9CC2F3" w14:textId="77777777" w:rsidR="00D4105E" w:rsidRPr="00E14102" w:rsidRDefault="00D4105E" w:rsidP="00E14102">
      <w:pPr>
        <w:autoSpaceDE w:val="0"/>
        <w:autoSpaceDN w:val="0"/>
        <w:adjustRightInd w:val="0"/>
        <w:jc w:val="both"/>
        <w:rPr>
          <w:color w:val="000000" w:themeColor="text1"/>
          <w:sz w:val="16"/>
          <w:szCs w:val="16"/>
        </w:rPr>
      </w:pPr>
    </w:p>
    <w:p w14:paraId="07EFB1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впервые в мире на больших маневрах Красной Армии на примере Т-27 была продемонстрирована транспортировка танка по воздуху: Танкетки доставлялись посадочным способом подвешенными на бомбосбрасывателях тяжелых бомбардировщиков ТБ-3 (3861).</w:t>
      </w:r>
    </w:p>
    <w:p w14:paraId="118BAB86" w14:textId="77777777" w:rsidR="00D4105E" w:rsidRPr="00E14102" w:rsidRDefault="00D4105E" w:rsidP="00E14102">
      <w:pPr>
        <w:autoSpaceDE w:val="0"/>
        <w:autoSpaceDN w:val="0"/>
        <w:adjustRightInd w:val="0"/>
        <w:jc w:val="both"/>
        <w:rPr>
          <w:color w:val="000000" w:themeColor="text1"/>
          <w:sz w:val="16"/>
          <w:szCs w:val="16"/>
        </w:rPr>
      </w:pPr>
    </w:p>
    <w:p w14:paraId="363FF6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1935 по 1940 год было выпущено 5328 танков БТ-7 всех модификаций (не считая БТ-7А). Они состояли на вооружении бронетанковых и механизированных войск Красной Армии практически всю войну (3862).</w:t>
      </w:r>
    </w:p>
    <w:p w14:paraId="4ED2A156" w14:textId="77777777" w:rsidR="00D4105E" w:rsidRPr="00E14102" w:rsidRDefault="00D4105E" w:rsidP="00E14102">
      <w:pPr>
        <w:autoSpaceDE w:val="0"/>
        <w:autoSpaceDN w:val="0"/>
        <w:adjustRightInd w:val="0"/>
        <w:jc w:val="both"/>
        <w:rPr>
          <w:color w:val="000000" w:themeColor="text1"/>
          <w:sz w:val="16"/>
          <w:szCs w:val="16"/>
        </w:rPr>
      </w:pPr>
    </w:p>
    <w:p w14:paraId="01844D6B" w14:textId="77777777" w:rsidR="00D5088B" w:rsidRPr="00E14102" w:rsidRDefault="00D5088B"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1935 году генеральный секретарь ЦК ВКП(б) И.В. Сталин на одном из совещаний с командующими войсками военных округов лично поручил заместителю начальника РУ РККА корпусному комиссару А.Х.</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Артузову добыть не только сведения о новом среднем немецком танке Т-</w:t>
      </w:r>
      <w:r w:rsidRPr="00E14102">
        <w:rPr>
          <w:rFonts w:ascii="Times New Roman" w:hAnsi="Times New Roman" w:cs="Times New Roman"/>
          <w:color w:val="000000" w:themeColor="text1"/>
          <w:sz w:val="16"/>
          <w:szCs w:val="16"/>
        </w:rPr>
        <w:t>III</w:t>
      </w:r>
      <w:r w:rsidRPr="00E14102">
        <w:rPr>
          <w:rFonts w:ascii="Times New Roman" w:hAnsi="Times New Roman" w:cs="Times New Roman"/>
          <w:color w:val="000000" w:themeColor="text1"/>
          <w:sz w:val="16"/>
          <w:szCs w:val="16"/>
          <w:lang w:val="ru-RU"/>
        </w:rPr>
        <w:t>, но и сам танк. При этом И.В. Сталин подчеркнул: «Нам крайне важно иметь чертежи этого танка или хотя бы толковое описание его. И, разумеется, основные тактико-технические данные: вес, проходимость, мощность двигателя, тип горючего, толщину и качество брони, вооружение… Мы не имеем права отставать от капиталистических стран, в танках особенно. Будущая война — война моторов». Подробности выполнения этого поручения автор книги не сообщает. Отмечается лишь то, что через два месяца немецкий танк был доставлен на один из советских танковых полигонов, где в ходе опытных испытаний показал весьма слабую броневую защиту, но высокую результативность стрельбы из пушки (19054).</w:t>
      </w:r>
    </w:p>
    <w:p w14:paraId="4B9AA7EF" w14:textId="77777777" w:rsidR="00D5088B" w:rsidRPr="00E14102" w:rsidRDefault="00D5088B" w:rsidP="00E14102">
      <w:pPr>
        <w:pStyle w:val="ad"/>
        <w:spacing w:before="0" w:after="0"/>
        <w:rPr>
          <w:rFonts w:ascii="Times New Roman" w:hAnsi="Times New Roman" w:cs="Times New Roman"/>
          <w:color w:val="000000" w:themeColor="text1"/>
          <w:sz w:val="16"/>
          <w:szCs w:val="16"/>
          <w:lang w:val="ru-RU"/>
        </w:rPr>
      </w:pPr>
    </w:p>
    <w:p w14:paraId="0729602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Новый литейный участок на ХТЗ в 1935-м впервые в СССР начал давать пер</w:t>
      </w:r>
      <w:r w:rsidRPr="00E14102">
        <w:rPr>
          <w:color w:val="000000" w:themeColor="text1"/>
          <w:sz w:val="16"/>
          <w:szCs w:val="16"/>
        </w:rPr>
        <w:softHyphen/>
        <w:t>вые кондиционные ажурные отливки траков из стали Гартфильда отечественной плавки. Кроме того, на ХПЗ была сформирована бригада из 12 человек во главе с двумя молодыми инженерами из КБ, ка</w:t>
      </w:r>
      <w:r w:rsidRPr="00E14102">
        <w:rPr>
          <w:color w:val="000000" w:themeColor="text1"/>
          <w:sz w:val="16"/>
          <w:szCs w:val="16"/>
        </w:rPr>
        <w:softHyphen/>
        <w:t>ковая порой дневала и ночевала в 5-м тяжелом танковом полку РГК, куда передавались первые Т-35, помогая там вводить танки в строй и обучая личный состав полка пра</w:t>
      </w:r>
      <w:r w:rsidRPr="00E14102">
        <w:rPr>
          <w:color w:val="000000" w:themeColor="text1"/>
          <w:sz w:val="16"/>
          <w:szCs w:val="16"/>
        </w:rPr>
        <w:softHyphen/>
        <w:t>вилам эксплуатации новых боевых машин. Но танки Т-35 все же чаще участвовали в парадах, не</w:t>
      </w:r>
      <w:r w:rsidRPr="00E14102">
        <w:rPr>
          <w:color w:val="000000" w:themeColor="text1"/>
          <w:sz w:val="16"/>
          <w:szCs w:val="16"/>
        </w:rPr>
        <w:softHyphen/>
        <w:t>жели в учениях. Они оказались чрезмерно тяжелыми и трудными в эксплуатации (10733,274).</w:t>
      </w:r>
    </w:p>
    <w:p w14:paraId="595AA5C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5970643" w14:textId="77777777" w:rsidR="00A90F29" w:rsidRPr="00E14102" w:rsidRDefault="00A90F29" w:rsidP="00E14102">
      <w:pPr>
        <w:jc w:val="both"/>
        <w:rPr>
          <w:color w:val="000000" w:themeColor="text1"/>
          <w:sz w:val="16"/>
          <w:szCs w:val="16"/>
        </w:rPr>
      </w:pPr>
      <w:r w:rsidRPr="00E14102">
        <w:rPr>
          <w:color w:val="000000" w:themeColor="text1"/>
          <w:sz w:val="16"/>
          <w:szCs w:val="16"/>
        </w:rPr>
        <w:t>В 1935 г. был представлен очередной вариант такого приспособления - конструкции Ленинград</w:t>
      </w:r>
      <w:r w:rsidRPr="00E14102">
        <w:rPr>
          <w:color w:val="000000" w:themeColor="text1"/>
          <w:sz w:val="16"/>
          <w:szCs w:val="16"/>
        </w:rPr>
        <w:softHyphen/>
        <w:t>ского государственного завода №174 имени К.Е.Ворошилова.</w:t>
      </w:r>
    </w:p>
    <w:p w14:paraId="0DD7DD95" w14:textId="77777777" w:rsidR="00A90F29" w:rsidRPr="00E14102" w:rsidRDefault="00A90F29" w:rsidP="00E14102">
      <w:pPr>
        <w:jc w:val="both"/>
        <w:rPr>
          <w:color w:val="000000" w:themeColor="text1"/>
          <w:sz w:val="16"/>
          <w:szCs w:val="16"/>
        </w:rPr>
      </w:pPr>
      <w:r w:rsidRPr="00E14102">
        <w:rPr>
          <w:color w:val="000000" w:themeColor="text1"/>
          <w:sz w:val="16"/>
          <w:szCs w:val="16"/>
        </w:rPr>
        <w:t>Автосцепка конструкции завода №174 так</w:t>
      </w:r>
      <w:r w:rsidRPr="00E14102">
        <w:rPr>
          <w:color w:val="000000" w:themeColor="text1"/>
          <w:sz w:val="16"/>
          <w:szCs w:val="16"/>
        </w:rPr>
        <w:softHyphen/>
        <w:t>же предназначалась для увеличения проходи</w:t>
      </w:r>
      <w:r w:rsidRPr="00E14102">
        <w:rPr>
          <w:color w:val="000000" w:themeColor="text1"/>
          <w:sz w:val="16"/>
          <w:szCs w:val="16"/>
        </w:rPr>
        <w:softHyphen/>
        <w:t>мости танков Т-26 через рвы, канавы, окопы и преодоления контрэскарпов. Она состояла из носовой и кормой частей и запорного меха</w:t>
      </w:r>
      <w:r w:rsidRPr="00E14102">
        <w:rPr>
          <w:color w:val="000000" w:themeColor="text1"/>
          <w:sz w:val="16"/>
          <w:szCs w:val="16"/>
        </w:rPr>
        <w:softHyphen/>
        <w:t>низма.</w:t>
      </w:r>
    </w:p>
    <w:p w14:paraId="2D5C5B2C" w14:textId="77777777" w:rsidR="00A90F29" w:rsidRPr="00E14102" w:rsidRDefault="00A90F29" w:rsidP="00E14102">
      <w:pPr>
        <w:jc w:val="both"/>
        <w:rPr>
          <w:color w:val="000000" w:themeColor="text1"/>
          <w:sz w:val="16"/>
          <w:szCs w:val="16"/>
        </w:rPr>
      </w:pPr>
      <w:r w:rsidRPr="00E14102">
        <w:rPr>
          <w:color w:val="000000" w:themeColor="text1"/>
          <w:sz w:val="16"/>
          <w:szCs w:val="16"/>
        </w:rPr>
        <w:t>Испытания автосцепки конструкции заво</w:t>
      </w:r>
      <w:r w:rsidRPr="00E14102">
        <w:rPr>
          <w:color w:val="000000" w:themeColor="text1"/>
          <w:sz w:val="16"/>
          <w:szCs w:val="16"/>
        </w:rPr>
        <w:softHyphen/>
        <w:t>да №174 производились на различной мест</w:t>
      </w:r>
      <w:r w:rsidRPr="00E14102">
        <w:rPr>
          <w:color w:val="000000" w:themeColor="text1"/>
          <w:sz w:val="16"/>
          <w:szCs w:val="16"/>
        </w:rPr>
        <w:softHyphen/>
        <w:t>ности. «Спаренные» машины проходили через рвы различной ширины - от 1,5 до 4 м и более, с разгона и без, а также преодолевали подъе</w:t>
      </w:r>
      <w:r w:rsidRPr="00E14102">
        <w:rPr>
          <w:color w:val="000000" w:themeColor="text1"/>
          <w:sz w:val="16"/>
          <w:szCs w:val="16"/>
        </w:rPr>
        <w:softHyphen/>
        <w:t>мы по мягкому грунту. При этом оценивались удобство и быстрота сцепления танков на раз</w:t>
      </w:r>
      <w:r w:rsidRPr="00E14102">
        <w:rPr>
          <w:color w:val="000000" w:themeColor="text1"/>
          <w:sz w:val="16"/>
          <w:szCs w:val="16"/>
        </w:rPr>
        <w:softHyphen/>
        <w:t>личных грунтах, при наличии незначительных препятствий и при продольном и поперечном кренах. Изучалась и возможность движения «спарки» на пересеченной местности при под</w:t>
      </w:r>
      <w:r w:rsidRPr="00E14102">
        <w:rPr>
          <w:color w:val="000000" w:themeColor="text1"/>
          <w:sz w:val="16"/>
          <w:szCs w:val="16"/>
        </w:rPr>
        <w:softHyphen/>
        <w:t>ходе к препятствию.</w:t>
      </w:r>
    </w:p>
    <w:p w14:paraId="4B2269BF" w14:textId="77777777" w:rsidR="00A90F29" w:rsidRPr="00E14102" w:rsidRDefault="00A90F29" w:rsidP="00E14102">
      <w:pPr>
        <w:jc w:val="both"/>
        <w:rPr>
          <w:color w:val="000000" w:themeColor="text1"/>
          <w:sz w:val="16"/>
          <w:szCs w:val="16"/>
        </w:rPr>
      </w:pPr>
      <w:r w:rsidRPr="00E14102">
        <w:rPr>
          <w:color w:val="000000" w:themeColor="text1"/>
          <w:sz w:val="16"/>
          <w:szCs w:val="16"/>
        </w:rPr>
        <w:t>Рвы шириной до 3 м и глубиной до 1,5 м (почва суглинистая, сухая) сцепленные танки преодолели на 1-й скорости без каких-либо затруднений. Ров шириной 3,4 м и глубиной 1 м, наполненный водой, был успешно пере</w:t>
      </w:r>
      <w:r w:rsidRPr="00E14102">
        <w:rPr>
          <w:color w:val="000000" w:themeColor="text1"/>
          <w:sz w:val="16"/>
          <w:szCs w:val="16"/>
        </w:rPr>
        <w:softHyphen/>
        <w:t>сечен на 1 -й скорости с разгона. Повторное испытание в тех же условиях дало аналогичные результаты, но при осмотре машины выясни</w:t>
      </w:r>
      <w:r w:rsidRPr="00E14102">
        <w:rPr>
          <w:color w:val="000000" w:themeColor="text1"/>
          <w:sz w:val="16"/>
          <w:szCs w:val="16"/>
        </w:rPr>
        <w:softHyphen/>
        <w:t>лось, что лопнул сварной шов коробки носовой части сцепки.</w:t>
      </w:r>
    </w:p>
    <w:p w14:paraId="023F9829" w14:textId="77777777" w:rsidR="00A90F29" w:rsidRPr="00E14102" w:rsidRDefault="00A90F29" w:rsidP="00E14102">
      <w:pPr>
        <w:jc w:val="both"/>
        <w:rPr>
          <w:color w:val="000000" w:themeColor="text1"/>
          <w:sz w:val="16"/>
          <w:szCs w:val="16"/>
        </w:rPr>
      </w:pPr>
      <w:r w:rsidRPr="00E14102">
        <w:rPr>
          <w:color w:val="000000" w:themeColor="text1"/>
          <w:sz w:val="16"/>
          <w:szCs w:val="16"/>
        </w:rPr>
        <w:t>Ров шириной 4,5 м глубиной 2 м (почва глинистая, размытая, ров частично наполнен водой) стал непреодолимым препятствием. Передняя машина застряла во рву и была вы</w:t>
      </w:r>
      <w:r w:rsidRPr="00E14102">
        <w:rPr>
          <w:color w:val="000000" w:themeColor="text1"/>
          <w:sz w:val="16"/>
          <w:szCs w:val="16"/>
        </w:rPr>
        <w:softHyphen/>
        <w:t>тащена только с помощью тягача, Повторное испытание на более сухой почве, также не принесло успеха. Более того, обнаружилась деформация переднего листа носовой части сцепки, что потребовало проведения восста</w:t>
      </w:r>
      <w:r w:rsidRPr="00E14102">
        <w:rPr>
          <w:color w:val="000000" w:themeColor="text1"/>
          <w:sz w:val="16"/>
          <w:szCs w:val="16"/>
        </w:rPr>
        <w:softHyphen/>
        <w:t>новительных работ.</w:t>
      </w:r>
    </w:p>
    <w:p w14:paraId="5CBD1337" w14:textId="77777777" w:rsidR="00A90F29" w:rsidRPr="00E14102" w:rsidRDefault="00A90F29" w:rsidP="00E14102">
      <w:pPr>
        <w:jc w:val="both"/>
        <w:rPr>
          <w:color w:val="000000" w:themeColor="text1"/>
          <w:sz w:val="16"/>
          <w:szCs w:val="16"/>
        </w:rPr>
      </w:pPr>
      <w:r w:rsidRPr="00E14102">
        <w:rPr>
          <w:color w:val="000000" w:themeColor="text1"/>
          <w:sz w:val="16"/>
          <w:szCs w:val="16"/>
        </w:rPr>
        <w:t>В ходе тщетных попыток перейти 3,5-м ров, сопровождавшихся значительными об</w:t>
      </w:r>
      <w:r w:rsidRPr="00E14102">
        <w:rPr>
          <w:color w:val="000000" w:themeColor="text1"/>
          <w:sz w:val="16"/>
          <w:szCs w:val="16"/>
        </w:rPr>
        <w:softHyphen/>
        <w:t>валами грунта, на его месте образовалась настоящая воронка с более пологими краями. Именно это и позволило, в конечном счете, пройти сцепленным машинам. Завершился этот этап испытаний неудачным эксперимен</w:t>
      </w:r>
      <w:r w:rsidRPr="00E14102">
        <w:rPr>
          <w:color w:val="000000" w:themeColor="text1"/>
          <w:sz w:val="16"/>
          <w:szCs w:val="16"/>
        </w:rPr>
        <w:softHyphen/>
        <w:t>том по преодолению воронки шириной 9,0 м и глубиной 2,35 м.</w:t>
      </w:r>
    </w:p>
    <w:p w14:paraId="5C971945" w14:textId="77777777" w:rsidR="00A90F29" w:rsidRPr="00E14102" w:rsidRDefault="00A90F29" w:rsidP="00E14102">
      <w:pPr>
        <w:jc w:val="both"/>
        <w:rPr>
          <w:color w:val="000000" w:themeColor="text1"/>
          <w:sz w:val="16"/>
          <w:szCs w:val="16"/>
        </w:rPr>
      </w:pPr>
      <w:r w:rsidRPr="00E14102">
        <w:rPr>
          <w:color w:val="000000" w:themeColor="text1"/>
          <w:sz w:val="16"/>
          <w:szCs w:val="16"/>
        </w:rPr>
        <w:t>Испытания по преодолению подъемов также не выявили преимуществ двух «спарен</w:t>
      </w:r>
      <w:r w:rsidRPr="00E14102">
        <w:rPr>
          <w:color w:val="000000" w:themeColor="text1"/>
          <w:sz w:val="16"/>
          <w:szCs w:val="16"/>
        </w:rPr>
        <w:softHyphen/>
        <w:t>ных» машин по сравнению с одиночным Т-26 в аналогичных условиях, хотя, как ожидалось, результаты должны были быть выше благода</w:t>
      </w:r>
      <w:r w:rsidRPr="00E14102">
        <w:rPr>
          <w:color w:val="000000" w:themeColor="text1"/>
          <w:sz w:val="16"/>
          <w:szCs w:val="16"/>
        </w:rPr>
        <w:softHyphen/>
        <w:t>ря наличию второго танка, поддерживающего впереди идущую машину и прижимающую ее к грунту. Так, подъемы в 33' и 30' по мягкому, сильно размытому грунту не были преодолены из-за буксования гусениц.</w:t>
      </w:r>
    </w:p>
    <w:p w14:paraId="2BB15950" w14:textId="77777777" w:rsidR="00A90F29" w:rsidRPr="00E14102" w:rsidRDefault="00A90F29" w:rsidP="00E14102">
      <w:pPr>
        <w:jc w:val="both"/>
        <w:rPr>
          <w:color w:val="000000" w:themeColor="text1"/>
          <w:sz w:val="16"/>
          <w:szCs w:val="16"/>
        </w:rPr>
      </w:pPr>
      <w:r w:rsidRPr="00E14102">
        <w:rPr>
          <w:color w:val="000000" w:themeColor="text1"/>
          <w:sz w:val="16"/>
          <w:szCs w:val="16"/>
        </w:rPr>
        <w:t>Удобство и быстрота сцепления танков оценивались на различных грунтах, при нали</w:t>
      </w:r>
      <w:r w:rsidRPr="00E14102">
        <w:rPr>
          <w:color w:val="000000" w:themeColor="text1"/>
          <w:sz w:val="16"/>
          <w:szCs w:val="16"/>
        </w:rPr>
        <w:softHyphen/>
        <w:t>чии незначительных препятствий, а также при продольном и поперечном кренах. Попытки соединить танки при бортовых кренах 12' и 8' оказаЛись безуспешными из-за невозможно</w:t>
      </w:r>
      <w:r w:rsidRPr="00E14102">
        <w:rPr>
          <w:color w:val="000000" w:themeColor="text1"/>
          <w:sz w:val="16"/>
          <w:szCs w:val="16"/>
        </w:rPr>
        <w:softHyphen/>
        <w:t>сти обеспечить нужное взаимное положение носовой части сцепки и улавливателя. Это уда</w:t>
      </w:r>
      <w:r w:rsidRPr="00E14102">
        <w:rPr>
          <w:color w:val="000000" w:themeColor="text1"/>
          <w:sz w:val="16"/>
          <w:szCs w:val="16"/>
        </w:rPr>
        <w:softHyphen/>
        <w:t>лось при крене всего в 3".</w:t>
      </w:r>
    </w:p>
    <w:p w14:paraId="4DBC2575" w14:textId="77777777" w:rsidR="00A90F29" w:rsidRPr="00E14102" w:rsidRDefault="00A90F29" w:rsidP="00E14102">
      <w:pPr>
        <w:jc w:val="both"/>
        <w:rPr>
          <w:color w:val="000000" w:themeColor="text1"/>
          <w:sz w:val="16"/>
          <w:szCs w:val="16"/>
        </w:rPr>
      </w:pPr>
      <w:r w:rsidRPr="00E14102">
        <w:rPr>
          <w:color w:val="000000" w:themeColor="text1"/>
          <w:sz w:val="16"/>
          <w:szCs w:val="16"/>
        </w:rPr>
        <w:t>В итоге, большое количество недостатков предложенного способа сцепки танков свело на нет все его преимущества, о чем красно</w:t>
      </w:r>
      <w:r w:rsidRPr="00E14102">
        <w:rPr>
          <w:color w:val="000000" w:themeColor="text1"/>
          <w:sz w:val="16"/>
          <w:szCs w:val="16"/>
        </w:rPr>
        <w:softHyphen/>
        <w:t>речиво свидетельствует общий вывод;</w:t>
      </w:r>
      <w:r w:rsidRPr="00E14102">
        <w:rPr>
          <w:rStyle w:val="4b"/>
          <w:rFonts w:eastAsia="Trebuchet MS"/>
          <w:color w:val="000000" w:themeColor="text1"/>
          <w:sz w:val="16"/>
          <w:szCs w:val="16"/>
        </w:rPr>
        <w:t xml:space="preserve"> «Выяв</w:t>
      </w:r>
      <w:r w:rsidRPr="00E14102">
        <w:rPr>
          <w:rStyle w:val="4b"/>
          <w:rFonts w:eastAsia="Trebuchet MS"/>
          <w:color w:val="000000" w:themeColor="text1"/>
          <w:sz w:val="16"/>
          <w:szCs w:val="16"/>
        </w:rPr>
        <w:softHyphen/>
        <w:t>ленные недостатки вполне достаточны, чтобы считать результаты испытания автосцепки неу</w:t>
      </w:r>
      <w:r w:rsidRPr="00E14102">
        <w:rPr>
          <w:rStyle w:val="4b"/>
          <w:rFonts w:eastAsia="Trebuchet MS"/>
          <w:color w:val="000000" w:themeColor="text1"/>
          <w:sz w:val="16"/>
          <w:szCs w:val="16"/>
        </w:rPr>
        <w:softHyphen/>
        <w:t>довлетворительными и не рекомендовать ее к установке на серийные машины»</w:t>
      </w:r>
      <w:r w:rsidRPr="00E14102">
        <w:rPr>
          <w:color w:val="000000" w:themeColor="text1"/>
          <w:sz w:val="16"/>
          <w:szCs w:val="16"/>
        </w:rPr>
        <w:t xml:space="preserve"> (15780)</w:t>
      </w:r>
      <w:r w:rsidRPr="00E14102">
        <w:rPr>
          <w:rStyle w:val="4b"/>
          <w:rFonts w:eastAsia="Trebuchet MS"/>
          <w:color w:val="000000" w:themeColor="text1"/>
          <w:sz w:val="16"/>
          <w:szCs w:val="16"/>
        </w:rPr>
        <w:t>.</w:t>
      </w:r>
    </w:p>
    <w:p w14:paraId="45F5D9B6" w14:textId="77777777" w:rsidR="00A90F29" w:rsidRPr="00E14102" w:rsidRDefault="00A90F29" w:rsidP="00E14102">
      <w:pPr>
        <w:jc w:val="both"/>
        <w:rPr>
          <w:color w:val="000000" w:themeColor="text1"/>
          <w:sz w:val="16"/>
          <w:szCs w:val="16"/>
        </w:rPr>
      </w:pPr>
    </w:p>
    <w:p w14:paraId="03ADFDA7" w14:textId="77777777" w:rsidR="004462A4" w:rsidRPr="00E14102" w:rsidRDefault="004462A4" w:rsidP="00E14102">
      <w:pPr>
        <w:jc w:val="both"/>
        <w:rPr>
          <w:color w:val="000000" w:themeColor="text1"/>
          <w:sz w:val="16"/>
          <w:szCs w:val="16"/>
        </w:rPr>
      </w:pPr>
      <w:r w:rsidRPr="00E14102">
        <w:rPr>
          <w:color w:val="000000" w:themeColor="text1"/>
          <w:sz w:val="16"/>
          <w:szCs w:val="16"/>
        </w:rPr>
        <w:t>В 1935 г., с учетом результатов проведен</w:t>
      </w:r>
      <w:r w:rsidRPr="00E14102">
        <w:rPr>
          <w:color w:val="000000" w:themeColor="text1"/>
          <w:sz w:val="16"/>
          <w:szCs w:val="16"/>
        </w:rPr>
        <w:softHyphen/>
        <w:t>ных работ, в Научно-исследовательском ин</w:t>
      </w:r>
      <w:r w:rsidRPr="00E14102">
        <w:rPr>
          <w:color w:val="000000" w:themeColor="text1"/>
          <w:sz w:val="16"/>
          <w:szCs w:val="16"/>
        </w:rPr>
        <w:softHyphen/>
        <w:t>ституте инженерной техники (НИИИТ) РККА был создан первый вариант «минного загра</w:t>
      </w:r>
      <w:r w:rsidRPr="00E14102">
        <w:rPr>
          <w:color w:val="000000" w:themeColor="text1"/>
          <w:sz w:val="16"/>
          <w:szCs w:val="16"/>
        </w:rPr>
        <w:softHyphen/>
        <w:t>дителя-прицепки» конструкции Гутмана. Для изготовления опытного образца определили Завод опытных конструкций Всесоюзного ин</w:t>
      </w:r>
      <w:r w:rsidRPr="00E14102">
        <w:rPr>
          <w:color w:val="000000" w:themeColor="text1"/>
          <w:sz w:val="16"/>
          <w:szCs w:val="16"/>
        </w:rPr>
        <w:softHyphen/>
        <w:t>ститута механизации (ВИМ) сельского хозяй</w:t>
      </w:r>
      <w:r w:rsidRPr="00E14102">
        <w:rPr>
          <w:color w:val="000000" w:themeColor="text1"/>
          <w:sz w:val="16"/>
          <w:szCs w:val="16"/>
        </w:rPr>
        <w:softHyphen/>
        <w:t>ства, располагавшийся в районе ст. Плющево. Это предприятие не имело опыта выполнения военных заказов, поэтому «первый блин» дей</w:t>
      </w:r>
      <w:r w:rsidRPr="00E14102">
        <w:rPr>
          <w:color w:val="000000" w:themeColor="text1"/>
          <w:sz w:val="16"/>
          <w:szCs w:val="16"/>
        </w:rPr>
        <w:softHyphen/>
        <w:t>ствительно вышел комом.</w:t>
      </w:r>
    </w:p>
    <w:p w14:paraId="44E89DAD" w14:textId="77777777" w:rsidR="004462A4" w:rsidRPr="00E14102" w:rsidRDefault="004462A4" w:rsidP="00E14102">
      <w:pPr>
        <w:jc w:val="both"/>
        <w:rPr>
          <w:color w:val="000000" w:themeColor="text1"/>
          <w:sz w:val="16"/>
          <w:szCs w:val="16"/>
        </w:rPr>
      </w:pPr>
      <w:r w:rsidRPr="00E14102">
        <w:rPr>
          <w:color w:val="000000" w:themeColor="text1"/>
          <w:sz w:val="16"/>
          <w:szCs w:val="16"/>
        </w:rPr>
        <w:t>Прицепка оснащалась гусеничным движи</w:t>
      </w:r>
      <w:r w:rsidRPr="00E14102">
        <w:rPr>
          <w:color w:val="000000" w:themeColor="text1"/>
          <w:sz w:val="16"/>
          <w:szCs w:val="16"/>
        </w:rPr>
        <w:softHyphen/>
        <w:t>телем от легкого танка Т-37А (хотя на одном из первых эскизов представлена машина с использованием ходовой части все той же Т-27), но ведущее колесо переднего распо</w:t>
      </w:r>
      <w:r w:rsidRPr="00E14102">
        <w:rPr>
          <w:color w:val="000000" w:themeColor="text1"/>
          <w:sz w:val="16"/>
          <w:szCs w:val="16"/>
        </w:rPr>
        <w:softHyphen/>
        <w:t>ложения было оригинальной конструкции. В корпусе размещались все основные меха</w:t>
      </w:r>
      <w:r w:rsidRPr="00E14102">
        <w:rPr>
          <w:color w:val="000000" w:themeColor="text1"/>
          <w:sz w:val="16"/>
          <w:szCs w:val="16"/>
        </w:rPr>
        <w:softHyphen/>
        <w:t>низмы - включения, передачи, подачи и вы</w:t>
      </w:r>
      <w:r w:rsidRPr="00E14102">
        <w:rPr>
          <w:color w:val="000000" w:themeColor="text1"/>
          <w:sz w:val="16"/>
          <w:szCs w:val="16"/>
        </w:rPr>
        <w:softHyphen/>
        <w:t>брасывания мин. Длина опытного образца составляла 2900 мм, высота - 1000 мм, а ши</w:t>
      </w:r>
      <w:r w:rsidRPr="00E14102">
        <w:rPr>
          <w:color w:val="000000" w:themeColor="text1"/>
          <w:sz w:val="16"/>
          <w:szCs w:val="16"/>
        </w:rPr>
        <w:softHyphen/>
        <w:t>рина - 1750 мм. По проекту, толщина броне</w:t>
      </w:r>
      <w:r w:rsidRPr="00E14102">
        <w:rPr>
          <w:color w:val="000000" w:themeColor="text1"/>
          <w:sz w:val="16"/>
          <w:szCs w:val="16"/>
        </w:rPr>
        <w:softHyphen/>
        <w:t>вых листов корпуса колебалась от 4 до 15 мм, однако опытный минный заградитель собрали из конструкционной стали. Его общая масса достигала 3300 кг.</w:t>
      </w:r>
    </w:p>
    <w:p w14:paraId="2AF5BD8E" w14:textId="77777777" w:rsidR="004462A4" w:rsidRPr="00E14102" w:rsidRDefault="004462A4" w:rsidP="00E14102">
      <w:pPr>
        <w:jc w:val="both"/>
        <w:rPr>
          <w:color w:val="000000" w:themeColor="text1"/>
          <w:sz w:val="16"/>
          <w:szCs w:val="16"/>
        </w:rPr>
      </w:pPr>
      <w:r w:rsidRPr="00E14102">
        <w:rPr>
          <w:color w:val="000000" w:themeColor="text1"/>
          <w:sz w:val="16"/>
          <w:szCs w:val="16"/>
        </w:rPr>
        <w:t>Перед заряжанием МЗП следовало демон</w:t>
      </w:r>
      <w:r w:rsidRPr="00E14102">
        <w:rPr>
          <w:color w:val="000000" w:themeColor="text1"/>
          <w:sz w:val="16"/>
          <w:szCs w:val="16"/>
        </w:rPr>
        <w:softHyphen/>
        <w:t>тировать листы в задней части корпуса. Мины устанавливались вручную, поодиночке, в обо</w:t>
      </w:r>
      <w:r w:rsidRPr="00E14102">
        <w:rPr>
          <w:color w:val="000000" w:themeColor="text1"/>
          <w:sz w:val="16"/>
          <w:szCs w:val="16"/>
        </w:rPr>
        <w:softHyphen/>
        <w:t>их этажах. Общее количество мин составляло 575 шт., но допускалось и частичное заряжа</w:t>
      </w:r>
      <w:r w:rsidRPr="00E14102">
        <w:rPr>
          <w:color w:val="000000" w:themeColor="text1"/>
          <w:sz w:val="16"/>
          <w:szCs w:val="16"/>
        </w:rPr>
        <w:softHyphen/>
        <w:t>ние прицепки (200, 300, 400 мин и т.д.).</w:t>
      </w:r>
    </w:p>
    <w:p w14:paraId="3075C3E8" w14:textId="77777777" w:rsidR="004462A4" w:rsidRPr="00E14102" w:rsidRDefault="004462A4" w:rsidP="00E14102">
      <w:pPr>
        <w:jc w:val="both"/>
        <w:rPr>
          <w:color w:val="000000" w:themeColor="text1"/>
          <w:sz w:val="16"/>
          <w:szCs w:val="16"/>
        </w:rPr>
      </w:pPr>
      <w:r w:rsidRPr="00E14102">
        <w:rPr>
          <w:color w:val="000000" w:themeColor="text1"/>
          <w:sz w:val="16"/>
          <w:szCs w:val="16"/>
        </w:rPr>
        <w:t>Мины внутри корпуса укладывались в два этажа - по 25 рядов на этаже (в каждом ряду верхнего этажа находилось по 12 мин, нижнего этажа - по 11 мин). Установка мин осуществ</w:t>
      </w:r>
      <w:r w:rsidRPr="00E14102">
        <w:rPr>
          <w:color w:val="000000" w:themeColor="text1"/>
          <w:sz w:val="16"/>
          <w:szCs w:val="16"/>
        </w:rPr>
        <w:softHyphen/>
        <w:t>лялась при буксировке прицепки: работа ме</w:t>
      </w:r>
      <w:r w:rsidRPr="00E14102">
        <w:rPr>
          <w:color w:val="000000" w:themeColor="text1"/>
          <w:sz w:val="16"/>
          <w:szCs w:val="16"/>
        </w:rPr>
        <w:softHyphen/>
        <w:t>ханизма в корпусе обеспечивалась червячной передачей при вращении ведущих колес. Вы</w:t>
      </w:r>
      <w:r w:rsidRPr="00E14102">
        <w:rPr>
          <w:color w:val="000000" w:themeColor="text1"/>
          <w:sz w:val="16"/>
          <w:szCs w:val="16"/>
        </w:rPr>
        <w:softHyphen/>
        <w:t>ключение и включение механизмов прицепки производилось из буксирующей машины с по</w:t>
      </w:r>
      <w:r w:rsidRPr="00E14102">
        <w:rPr>
          <w:color w:val="000000" w:themeColor="text1"/>
          <w:sz w:val="16"/>
          <w:szCs w:val="16"/>
        </w:rPr>
        <w:softHyphen/>
        <w:t>мощью тросового управления. В корпусе МЗП тросы прикреплялись к специальному рычагу, выходили через отверстие в передней части корпуса, проходили через систему блоков и трубок, укрепленных на буксирных тягах, и шли дальше к буксирующей машине. Таким обра</w:t>
      </w:r>
      <w:r w:rsidRPr="00E14102">
        <w:rPr>
          <w:color w:val="000000" w:themeColor="text1"/>
          <w:sz w:val="16"/>
          <w:szCs w:val="16"/>
        </w:rPr>
        <w:softHyphen/>
        <w:t>зом могли задействоваться правая или левая конусная муфта прицепки, что определяло установку мин с интервалами 0,5 и 1 м, или ее работа прекращалась.</w:t>
      </w:r>
    </w:p>
    <w:p w14:paraId="30E97486" w14:textId="77777777" w:rsidR="004462A4" w:rsidRPr="00E14102" w:rsidRDefault="004462A4" w:rsidP="00E14102">
      <w:pPr>
        <w:jc w:val="both"/>
        <w:rPr>
          <w:color w:val="000000" w:themeColor="text1"/>
          <w:sz w:val="16"/>
          <w:szCs w:val="16"/>
        </w:rPr>
      </w:pPr>
      <w:r w:rsidRPr="00E14102">
        <w:rPr>
          <w:color w:val="000000" w:themeColor="text1"/>
          <w:sz w:val="16"/>
          <w:szCs w:val="16"/>
        </w:rPr>
        <w:t>После включения МЗП мины каждого эта</w:t>
      </w:r>
      <w:r w:rsidRPr="00E14102">
        <w:rPr>
          <w:color w:val="000000" w:themeColor="text1"/>
          <w:sz w:val="16"/>
          <w:szCs w:val="16"/>
        </w:rPr>
        <w:softHyphen/>
        <w:t>жа передвигались в заднюю часть корпуса. Когда в одном из этажей происходило выбра</w:t>
      </w:r>
      <w:r w:rsidRPr="00E14102">
        <w:rPr>
          <w:color w:val="000000" w:themeColor="text1"/>
          <w:sz w:val="16"/>
          <w:szCs w:val="16"/>
        </w:rPr>
        <w:softHyphen/>
        <w:t>сывание мин одного ряда, то в другом этаже подавался очередной ряд мин и наоборот. При подаче мин к задней части корпуса вступал в действие механизм выбрасывания, и мины по</w:t>
      </w:r>
      <w:r w:rsidRPr="00E14102">
        <w:rPr>
          <w:color w:val="000000" w:themeColor="text1"/>
          <w:sz w:val="16"/>
          <w:szCs w:val="16"/>
        </w:rPr>
        <w:softHyphen/>
        <w:t>следовательно выпадали на землю (15777).</w:t>
      </w:r>
    </w:p>
    <w:p w14:paraId="0727F8F9" w14:textId="77777777" w:rsidR="004462A4" w:rsidRPr="00E14102" w:rsidRDefault="004462A4" w:rsidP="00E14102">
      <w:pPr>
        <w:jc w:val="both"/>
        <w:rPr>
          <w:color w:val="000000" w:themeColor="text1"/>
          <w:sz w:val="16"/>
          <w:szCs w:val="16"/>
        </w:rPr>
      </w:pPr>
    </w:p>
    <w:p w14:paraId="2387161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 несмотря на множество опытных образцов, бы</w:t>
      </w:r>
      <w:r w:rsidRPr="00E14102">
        <w:rPr>
          <w:color w:val="000000" w:themeColor="text1"/>
          <w:sz w:val="16"/>
          <w:szCs w:val="16"/>
        </w:rPr>
        <w:softHyphen/>
        <w:t>ло принято на вооружение разведывательных батальонов Красной Армии и вскоре начало поступать в войска лишь од</w:t>
      </w:r>
      <w:r w:rsidRPr="00E14102">
        <w:rPr>
          <w:color w:val="000000" w:themeColor="text1"/>
          <w:sz w:val="16"/>
          <w:szCs w:val="16"/>
        </w:rPr>
        <w:softHyphen/>
        <w:t>но творение Курчевского — самоходная пушка Курчевского (СПК), которая представляла собой 76,2-мм орудие ВПК, установленное в кузове автомобиля ГАЗ-ТК. После того, как в 1937 г. Л.Н. Курчевский был ре</w:t>
      </w:r>
      <w:r w:rsidRPr="00E14102">
        <w:rPr>
          <w:color w:val="000000" w:themeColor="text1"/>
          <w:sz w:val="16"/>
          <w:szCs w:val="16"/>
        </w:rPr>
        <w:softHyphen/>
        <w:t>прессирован, бьии свернуты все работы по динамо-реактив</w:t>
      </w:r>
      <w:r w:rsidRPr="00E14102">
        <w:rPr>
          <w:color w:val="000000" w:themeColor="text1"/>
          <w:sz w:val="16"/>
          <w:szCs w:val="16"/>
        </w:rPr>
        <w:softHyphen/>
        <w:t>ным орудиям во всех конструкторских бюро. До ареста кон</w:t>
      </w:r>
      <w:r w:rsidRPr="00E14102">
        <w:rPr>
          <w:color w:val="000000" w:themeColor="text1"/>
          <w:sz w:val="16"/>
          <w:szCs w:val="16"/>
        </w:rPr>
        <w:softHyphen/>
        <w:t>структора и прекращения работ по ДРП в 1937 г. в части Красной Армии успели поступить 23 самоходные установки СПК с 76,2-мм безоткатной пушкой Курчевского. Однако всего через год после изготовления эти САУ на</w:t>
      </w:r>
      <w:r w:rsidRPr="00E14102">
        <w:rPr>
          <w:color w:val="000000" w:themeColor="text1"/>
          <w:sz w:val="16"/>
          <w:szCs w:val="16"/>
        </w:rPr>
        <w:softHyphen/>
        <w:t>чали выходить из строя. К началу 1939 г. в справке ГАУ зна</w:t>
      </w:r>
      <w:r w:rsidRPr="00E14102">
        <w:rPr>
          <w:color w:val="000000" w:themeColor="text1"/>
          <w:sz w:val="16"/>
          <w:szCs w:val="16"/>
        </w:rPr>
        <w:softHyphen/>
        <w:t>чились лишь 15 САУ, находящиеся в ремонте. Две самоход</w:t>
      </w:r>
      <w:r w:rsidRPr="00E14102">
        <w:rPr>
          <w:color w:val="000000" w:themeColor="text1"/>
          <w:sz w:val="16"/>
          <w:szCs w:val="16"/>
        </w:rPr>
        <w:softHyphen/>
        <w:t>ные пушки этого типа участвовали в советско-финской вой</w:t>
      </w:r>
      <w:r w:rsidRPr="00E14102">
        <w:rPr>
          <w:color w:val="000000" w:themeColor="text1"/>
          <w:sz w:val="16"/>
          <w:szCs w:val="16"/>
        </w:rPr>
        <w:softHyphen/>
        <w:t>не, где были потеряны. К июню 1941 г. в войсках осталось до 20 СПК, из которых лишь 6 значились исправными (11417).</w:t>
      </w:r>
    </w:p>
    <w:p w14:paraId="10673B96" w14:textId="77777777" w:rsidR="00D4105E" w:rsidRPr="00E14102" w:rsidRDefault="00D4105E" w:rsidP="00E14102">
      <w:pPr>
        <w:autoSpaceDE w:val="0"/>
        <w:autoSpaceDN w:val="0"/>
        <w:adjustRightInd w:val="0"/>
        <w:jc w:val="both"/>
        <w:rPr>
          <w:color w:val="000000" w:themeColor="text1"/>
          <w:sz w:val="16"/>
          <w:szCs w:val="16"/>
        </w:rPr>
      </w:pPr>
    </w:p>
    <w:p w14:paraId="6365AB0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часть бронеавтомобилей ФАИ получила сменные бандажи на колеса, что позволяло им передвигаться по железнодорожным путям со скоростью до 86 км/ч. Эти машины использовались в составе бронепоездов в качестве легких разведывательных бронедрезин. Существенным их недостатком была малая скорость заднего хода (24 км/ч) и отсутствие радиостанции. В результате прекращения серийного производства бронеавтомобиля ФАИ в 1936 на Ижорском заводе скопилось более трехсот бронекорпусов этих машин. Было принято решение установить их на шасси автомобиля М-1. Получившийся гибрид, получивший название ФАИ-М, отличался от прародителя более длинной базой на которой был смонтирован дополнительный топливный бак с кронштейном для крепления запасного колеса (3862).</w:t>
      </w:r>
    </w:p>
    <w:p w14:paraId="4E600F74" w14:textId="77777777" w:rsidR="00D4105E" w:rsidRPr="00E14102" w:rsidRDefault="00D4105E" w:rsidP="00E14102">
      <w:pPr>
        <w:autoSpaceDE w:val="0"/>
        <w:autoSpaceDN w:val="0"/>
        <w:adjustRightInd w:val="0"/>
        <w:jc w:val="both"/>
        <w:rPr>
          <w:color w:val="000000" w:themeColor="text1"/>
          <w:sz w:val="16"/>
          <w:szCs w:val="16"/>
        </w:rPr>
      </w:pPr>
    </w:p>
    <w:p w14:paraId="563DA7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Бронеавтомобили ФАИ и ФАИ-М были вторыми по массовости в РККА в предвоенное время и принимали участие во всех боевых действиях, которые велись РККА в 30-е годы. Кроме того, они воевали во время Гражданской войны в Испании как на стороне республиканцев, так и на стороне франкистов в качестве трофейной бронетехники. На фронтах Отечественной войны они принимали участие вплоть до 1943 года (3862).</w:t>
      </w:r>
    </w:p>
    <w:p w14:paraId="163DF291" w14:textId="77777777" w:rsidR="00D4105E" w:rsidRPr="00E14102" w:rsidRDefault="00D4105E" w:rsidP="00E14102">
      <w:pPr>
        <w:autoSpaceDE w:val="0"/>
        <w:autoSpaceDN w:val="0"/>
        <w:adjustRightInd w:val="0"/>
        <w:jc w:val="both"/>
        <w:rPr>
          <w:color w:val="000000" w:themeColor="text1"/>
          <w:sz w:val="16"/>
          <w:szCs w:val="16"/>
        </w:rPr>
      </w:pPr>
    </w:p>
    <w:p w14:paraId="618F66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 недавнего времени считалось, что от многочисленных ФАИ сохранился лишь разбитый бронекорпус в Музее Войска Польского в Варшаве. Однако на последней выставке "Экзотические автомобили-98", проходившей 10-12 июля 1998 года на Тушинском аэродроме в Москве, "Военно-историческим клубом РККА" был представлен ФАИ-М в рабочем состоянии. Базой для реконструкции послужил подлинный бронекорпус ФАИ-М и часть агрегатов, извлеченные поисковой группой "Экипаж" из болота в Новгородской области зимой 1992 года, а так же подлинное шасси автомобиля М-1. Таким образом, группа энтузиастов проделала ту же работу, что и конструкторы Ижорского завода 64 года назад (3862).</w:t>
      </w:r>
    </w:p>
    <w:p w14:paraId="555D8902" w14:textId="77777777" w:rsidR="00D4105E" w:rsidRPr="00E14102" w:rsidRDefault="00D4105E" w:rsidP="00E14102">
      <w:pPr>
        <w:autoSpaceDE w:val="0"/>
        <w:autoSpaceDN w:val="0"/>
        <w:adjustRightInd w:val="0"/>
        <w:jc w:val="both"/>
        <w:rPr>
          <w:color w:val="000000" w:themeColor="text1"/>
          <w:sz w:val="16"/>
          <w:szCs w:val="16"/>
        </w:rPr>
      </w:pPr>
    </w:p>
    <w:p w14:paraId="005DF9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на одной машине БА-3 в опыт</w:t>
      </w:r>
      <w:r w:rsidRPr="00E14102">
        <w:rPr>
          <w:color w:val="000000" w:themeColor="text1"/>
          <w:sz w:val="16"/>
          <w:szCs w:val="16"/>
        </w:rPr>
        <w:softHyphen/>
        <w:t>ном порядке установили радиостанцию 71-ТК-1 с поручневой антенной на башне. Рация размещалась в кормовой ни</w:t>
      </w:r>
      <w:r w:rsidRPr="00E14102">
        <w:rPr>
          <w:color w:val="000000" w:themeColor="text1"/>
          <w:sz w:val="16"/>
          <w:szCs w:val="16"/>
        </w:rPr>
        <w:softHyphen/>
        <w:t>ше, при этом укладки для снарядов пришлось демонтировать (11284).</w:t>
      </w:r>
    </w:p>
    <w:p w14:paraId="3039934B" w14:textId="77777777" w:rsidR="00D4105E" w:rsidRPr="00E14102" w:rsidRDefault="00D4105E" w:rsidP="00E14102">
      <w:pPr>
        <w:autoSpaceDE w:val="0"/>
        <w:autoSpaceDN w:val="0"/>
        <w:adjustRightInd w:val="0"/>
        <w:jc w:val="both"/>
        <w:rPr>
          <w:color w:val="000000" w:themeColor="text1"/>
          <w:sz w:val="16"/>
          <w:szCs w:val="16"/>
        </w:rPr>
      </w:pPr>
    </w:p>
    <w:p w14:paraId="2BD47E6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году СКВ Ижорского завода получило от УММ РККА задание о «приспособлении корпуса БА-3 к шасси ГАЗ-ААА». По сравнению с трехосным «Форд-Тимкен» оно было легче, имело более короткую базу и собиралось из агрегатов отечественного производства. В конце того же года опытный образец новой бронемашины вышел на заводские испытания. В начале следующего, 1936 года, по</w:t>
      </w:r>
      <w:r w:rsidRPr="00E14102">
        <w:rPr>
          <w:color w:val="000000" w:themeColor="text1"/>
          <w:sz w:val="16"/>
          <w:szCs w:val="16"/>
        </w:rPr>
        <w:softHyphen/>
        <w:t>сле устранения выявленных недостатков, бронеавтомо</w:t>
      </w:r>
      <w:r w:rsidRPr="00E14102">
        <w:rPr>
          <w:color w:val="000000" w:themeColor="text1"/>
          <w:sz w:val="16"/>
          <w:szCs w:val="16"/>
        </w:rPr>
        <w:softHyphen/>
        <w:t>биль под обозначением БА-6 запустили в серию на Ижор-ском заводе.</w:t>
      </w:r>
    </w:p>
    <w:p w14:paraId="120171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Новая машина во многом была аналогична своему предшественнику — конструкция корпуса и башни БА-6 практически не отличались от БА-3. Разница, согласно «отчета о войсковых испытаниях БА-6», состояла в следу</w:t>
      </w:r>
      <w:r w:rsidRPr="00E14102">
        <w:rPr>
          <w:color w:val="000000" w:themeColor="text1"/>
          <w:sz w:val="16"/>
          <w:szCs w:val="16"/>
        </w:rPr>
        <w:softHyphen/>
        <w:t>ющем:</w:t>
      </w:r>
    </w:p>
    <w:p w14:paraId="5C6D58E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«Усилено крепление корпуса к шасси;</w:t>
      </w:r>
    </w:p>
    <w:p w14:paraId="69F78DD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Боковые дверцы моторного отделения сделаны из од</w:t>
      </w:r>
      <w:r w:rsidRPr="00E14102">
        <w:rPr>
          <w:color w:val="000000" w:themeColor="text1"/>
          <w:sz w:val="16"/>
          <w:szCs w:val="16"/>
        </w:rPr>
        <w:softHyphen/>
        <w:t>ного листа (на БА-3 из двух половин);</w:t>
      </w:r>
    </w:p>
    <w:p w14:paraId="59099D1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Убрана задняя дверь и откидные щитки;</w:t>
      </w:r>
    </w:p>
    <w:p w14:paraId="60DB69D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Для улучшения интенсивности охлаждения добавлен лючок над моторным отделением;</w:t>
      </w:r>
    </w:p>
    <w:p w14:paraId="5C78670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боковых щитках дверей визирные щели расположены в штампованной части щитка;</w:t>
      </w:r>
    </w:p>
    <w:p w14:paraId="1216209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Расстояние горизонтального листа ниши задних колес от рамы шасси увеличено на 35 мм;</w:t>
      </w:r>
    </w:p>
    <w:p w14:paraId="75EBE8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Открывание передних жалюзи перед радиатором про</w:t>
      </w:r>
      <w:r w:rsidRPr="00E14102">
        <w:rPr>
          <w:color w:val="000000" w:themeColor="text1"/>
          <w:sz w:val="16"/>
          <w:szCs w:val="16"/>
        </w:rPr>
        <w:softHyphen/>
        <w:t>изводится жесткими тягами вместо тросов как на БА-3;</w:t>
      </w:r>
    </w:p>
    <w:p w14:paraId="764A80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лобовом листе перед пулеметчиком добавлено отвер</w:t>
      </w:r>
      <w:r w:rsidRPr="00E14102">
        <w:rPr>
          <w:color w:val="000000" w:themeColor="text1"/>
          <w:sz w:val="16"/>
          <w:szCs w:val="16"/>
        </w:rPr>
        <w:softHyphen/>
        <w:t>стие для стрельбы из Нагана;</w:t>
      </w:r>
    </w:p>
    <w:p w14:paraId="2330A35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Вместо щитков в задней части корпуса сделаны отвер</w:t>
      </w:r>
      <w:r w:rsidRPr="00E14102">
        <w:rPr>
          <w:color w:val="000000" w:themeColor="text1"/>
          <w:sz w:val="16"/>
          <w:szCs w:val="16"/>
        </w:rPr>
        <w:softHyphen/>
        <w:t>стия для стрельбы из Нагана;</w:t>
      </w:r>
    </w:p>
    <w:p w14:paraId="1BF614C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Ремни крепления вездеходных цепей заменены специ</w:t>
      </w:r>
      <w:r w:rsidRPr="00E14102">
        <w:rPr>
          <w:color w:val="000000" w:themeColor="text1"/>
          <w:sz w:val="16"/>
          <w:szCs w:val="16"/>
        </w:rPr>
        <w:softHyphen/>
        <w:t>альными крюками;</w:t>
      </w:r>
    </w:p>
    <w:p w14:paraId="4A889C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Люк в заднем нижнем листе корпуса, имеющийся у БА-3 против реактивной штанги, аннулирован».</w:t>
      </w:r>
    </w:p>
    <w:p w14:paraId="75F0102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Перед установкой бронекорпуса на шасси в него вно</w:t>
      </w:r>
      <w:r w:rsidRPr="00E14102">
        <w:rPr>
          <w:color w:val="000000" w:themeColor="text1"/>
          <w:sz w:val="16"/>
          <w:szCs w:val="16"/>
        </w:rPr>
        <w:softHyphen/>
        <w:t>сился ряд изменений. Задняя часть рамы обрезалась на 400 мм, в связи с чем задняя поперечина переставлялась на ли</w:t>
      </w:r>
      <w:r w:rsidRPr="00E14102">
        <w:rPr>
          <w:color w:val="000000" w:themeColor="text1"/>
          <w:sz w:val="16"/>
          <w:szCs w:val="16"/>
        </w:rPr>
        <w:softHyphen/>
        <w:t>нию обреза. К вертикальным полкам продольных лонжеро</w:t>
      </w:r>
      <w:r w:rsidRPr="00E14102">
        <w:rPr>
          <w:color w:val="000000" w:themeColor="text1"/>
          <w:sz w:val="16"/>
          <w:szCs w:val="16"/>
        </w:rPr>
        <w:softHyphen/>
        <w:t>нов приваривали 10 кронштейнов, к которым болтами кре</w:t>
      </w:r>
      <w:r w:rsidRPr="00E14102">
        <w:rPr>
          <w:color w:val="000000" w:themeColor="text1"/>
          <w:sz w:val="16"/>
          <w:szCs w:val="16"/>
        </w:rPr>
        <w:softHyphen/>
        <w:t>пился бронекорпус. Угол наклона рулевой колонки умень</w:t>
      </w:r>
      <w:r w:rsidRPr="00E14102">
        <w:rPr>
          <w:color w:val="000000" w:themeColor="text1"/>
          <w:sz w:val="16"/>
          <w:szCs w:val="16"/>
        </w:rPr>
        <w:softHyphen/>
        <w:t>шался с 39 до 29 градусов, передняя рессора усиливалась 3 дополнительными листами. На расстоянии 1060 мм от цен</w:t>
      </w:r>
      <w:r w:rsidRPr="00E14102">
        <w:rPr>
          <w:color w:val="000000" w:themeColor="text1"/>
          <w:sz w:val="16"/>
          <w:szCs w:val="16"/>
        </w:rPr>
        <w:softHyphen/>
        <w:t>тра передней оси к раме 6 болтами крепились кронштейны запасных колес.</w:t>
      </w:r>
    </w:p>
    <w:p w14:paraId="15A9CBC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БА-6 оснащался двигателем ГАЗ мощностью 40 л.с., че</w:t>
      </w:r>
      <w:r w:rsidRPr="00E14102">
        <w:rPr>
          <w:color w:val="000000" w:themeColor="text1"/>
          <w:sz w:val="16"/>
          <w:szCs w:val="16"/>
        </w:rPr>
        <w:softHyphen/>
        <w:t>тырехступенчатой коробкой перемены передач и демуль</w:t>
      </w:r>
      <w:r w:rsidRPr="00E14102">
        <w:rPr>
          <w:color w:val="000000" w:themeColor="text1"/>
          <w:sz w:val="16"/>
          <w:szCs w:val="16"/>
        </w:rPr>
        <w:softHyphen/>
        <w:t>типликатором со скользящими зубчатками. При боевой массе с экипажем из 4 человек в 5,12 т броневик на шоссе мог разгоняться до 60 км/ч. Подача горючего из двух бензо</w:t>
      </w:r>
      <w:r w:rsidRPr="00E14102">
        <w:rPr>
          <w:color w:val="000000" w:themeColor="text1"/>
          <w:sz w:val="16"/>
          <w:szCs w:val="16"/>
        </w:rPr>
        <w:softHyphen/>
        <w:t>баков — основного в передней части корпуса на 44 л и до</w:t>
      </w:r>
      <w:r w:rsidRPr="00E14102">
        <w:rPr>
          <w:color w:val="000000" w:themeColor="text1"/>
          <w:sz w:val="16"/>
          <w:szCs w:val="16"/>
        </w:rPr>
        <w:softHyphen/>
        <w:t>полнительного на 24 л, укрепленного слева на крыше кор</w:t>
      </w:r>
      <w:r w:rsidRPr="00E14102">
        <w:rPr>
          <w:color w:val="000000" w:themeColor="text1"/>
          <w:sz w:val="16"/>
          <w:szCs w:val="16"/>
        </w:rPr>
        <w:softHyphen/>
        <w:t>пуса за сиденьем водителя — осуществлялась самотеком.</w:t>
      </w:r>
    </w:p>
    <w:p w14:paraId="2DFAFF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Размещение боекомплекта, состоящего из 60 снарядов и 53 дисков (3339 патронов), ничем не отличалось от БА-3. Но по количеству различного имущества, ЗИП и инструмента, находившегося внутри, БА-6 значительно превосхо</w:t>
      </w:r>
      <w:r w:rsidRPr="00E14102">
        <w:rPr>
          <w:color w:val="000000" w:themeColor="text1"/>
          <w:sz w:val="16"/>
          <w:szCs w:val="16"/>
        </w:rPr>
        <w:softHyphen/>
        <w:t>дил своего предшественника.</w:t>
      </w:r>
    </w:p>
    <w:p w14:paraId="111E834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Запасные части к пушке, ТОП и пулеметам ДТ храни</w:t>
      </w:r>
      <w:r w:rsidRPr="00E14102">
        <w:rPr>
          <w:color w:val="000000" w:themeColor="text1"/>
          <w:sz w:val="16"/>
          <w:szCs w:val="16"/>
        </w:rPr>
        <w:softHyphen/>
        <w:t>лись в четырех ящиках, расположенных на полу в задней части машины. Там же находились 4 сумки с продовольст</w:t>
      </w:r>
      <w:r w:rsidRPr="00E14102">
        <w:rPr>
          <w:color w:val="000000" w:themeColor="text1"/>
          <w:sz w:val="16"/>
          <w:szCs w:val="16"/>
        </w:rPr>
        <w:softHyphen/>
        <w:t>вием НЗ и 4 с подрывным имуществом, закрепленные ремнями на кормовых бронелистах корпуса, а рядом с ни</w:t>
      </w:r>
      <w:r w:rsidRPr="00E14102">
        <w:rPr>
          <w:color w:val="000000" w:themeColor="text1"/>
          <w:sz w:val="16"/>
          <w:szCs w:val="16"/>
        </w:rPr>
        <w:softHyphen/>
        <w:t>ми медицинская аптечка. Аналогичным образом фикси</w:t>
      </w:r>
      <w:r w:rsidRPr="00E14102">
        <w:rPr>
          <w:color w:val="000000" w:themeColor="text1"/>
          <w:sz w:val="16"/>
          <w:szCs w:val="16"/>
        </w:rPr>
        <w:softHyphen/>
        <w:t>ровались в нише башни и у бортов корпуса 4 сумки с хи</w:t>
      </w:r>
      <w:r w:rsidRPr="00E14102">
        <w:rPr>
          <w:color w:val="000000" w:themeColor="text1"/>
          <w:sz w:val="16"/>
          <w:szCs w:val="16"/>
        </w:rPr>
        <w:softHyphen/>
        <w:t>мическим имуществом. Огнетушитель и автоаптечка (ящик с набором принадлежностей для клейки камер) ус</w:t>
      </w:r>
      <w:r w:rsidRPr="00E14102">
        <w:rPr>
          <w:color w:val="000000" w:themeColor="text1"/>
          <w:sz w:val="16"/>
          <w:szCs w:val="16"/>
        </w:rPr>
        <w:softHyphen/>
        <w:t>танавливались справа у ног пулеметчика вдоль борта кор</w:t>
      </w:r>
      <w:r w:rsidRPr="00E14102">
        <w:rPr>
          <w:color w:val="000000" w:themeColor="text1"/>
          <w:sz w:val="16"/>
          <w:szCs w:val="16"/>
        </w:rPr>
        <w:softHyphen/>
        <w:t>пуса, там же находился 3-тонный домкрат, укрепленный ремнями к полу. Деревянный ящик с инструментом для обслуживания бронеавтомобиля находился на полу за си</w:t>
      </w:r>
      <w:r w:rsidRPr="00E14102">
        <w:rPr>
          <w:color w:val="000000" w:themeColor="text1"/>
          <w:sz w:val="16"/>
          <w:szCs w:val="16"/>
        </w:rPr>
        <w:softHyphen/>
        <w:t>деньем пулеметчика. Ракетница в брезентовой кобуре и ракеты к ней укладывались между снарядными стелла</w:t>
      </w:r>
      <w:r w:rsidRPr="00E14102">
        <w:rPr>
          <w:color w:val="000000" w:themeColor="text1"/>
          <w:sz w:val="16"/>
          <w:szCs w:val="16"/>
        </w:rPr>
        <w:softHyphen/>
        <w:t>жами в нише башни. Здесь же на ограждении погона спра</w:t>
      </w:r>
      <w:r w:rsidRPr="00E14102">
        <w:rPr>
          <w:color w:val="000000" w:themeColor="text1"/>
          <w:sz w:val="16"/>
          <w:szCs w:val="16"/>
        </w:rPr>
        <w:softHyphen/>
        <w:t>ва от командира лежали запасные стекла «Триплекс» для башенных смотровых приборов. Заводная рукоятка укла</w:t>
      </w:r>
      <w:r w:rsidRPr="00E14102">
        <w:rPr>
          <w:color w:val="000000" w:themeColor="text1"/>
          <w:sz w:val="16"/>
          <w:szCs w:val="16"/>
        </w:rPr>
        <w:softHyphen/>
        <w:t>дывалась на полу машины за сиденьем водителя и фикси</w:t>
      </w:r>
      <w:r w:rsidRPr="00E14102">
        <w:rPr>
          <w:color w:val="000000" w:themeColor="text1"/>
          <w:sz w:val="16"/>
          <w:szCs w:val="16"/>
        </w:rPr>
        <w:softHyphen/>
        <w:t>ровалась специальными зажимами. Две воронки для мас</w:t>
      </w:r>
      <w:r w:rsidRPr="00E14102">
        <w:rPr>
          <w:color w:val="000000" w:themeColor="text1"/>
          <w:sz w:val="16"/>
          <w:szCs w:val="16"/>
        </w:rPr>
        <w:softHyphen/>
        <w:t>ла и бензина разместили под стеллажами пулеметных дисков у входных дверей, а буксировочный трос - под по</w:t>
      </w:r>
      <w:r w:rsidRPr="00E14102">
        <w:rPr>
          <w:color w:val="000000" w:themeColor="text1"/>
          <w:sz w:val="16"/>
          <w:szCs w:val="16"/>
        </w:rPr>
        <w:softHyphen/>
        <w:t>душкой сиденья водителя. Аэротермометр для измерения температуры воды в радиаторе и авиационные часы (со светящимся циферблатом) крепились на специальных кронштейнах к основному бензобаку. Шанцевый инстру</w:t>
      </w:r>
      <w:r w:rsidRPr="00E14102">
        <w:rPr>
          <w:color w:val="000000" w:themeColor="text1"/>
          <w:sz w:val="16"/>
          <w:szCs w:val="16"/>
        </w:rPr>
        <w:softHyphen/>
        <w:t>мент (лопата, топор, лом, пила) размещался на бронелис</w:t>
      </w:r>
      <w:r w:rsidRPr="00E14102">
        <w:rPr>
          <w:color w:val="000000" w:themeColor="text1"/>
          <w:sz w:val="16"/>
          <w:szCs w:val="16"/>
        </w:rPr>
        <w:softHyphen/>
        <w:t>тах, образовывавших ниши задних мостов.</w:t>
      </w:r>
    </w:p>
    <w:p w14:paraId="5A9E220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Кроме того, на БА-6, в отличие от БА-3, появилось вну</w:t>
      </w:r>
      <w:r w:rsidRPr="00E14102">
        <w:rPr>
          <w:color w:val="000000" w:themeColor="text1"/>
          <w:sz w:val="16"/>
          <w:szCs w:val="16"/>
        </w:rPr>
        <w:softHyphen/>
        <w:t>треннее освещение: по одному плафону автомобильного типа смонтировали на крыше между водителем и пулемет</w:t>
      </w:r>
      <w:r w:rsidRPr="00E14102">
        <w:rPr>
          <w:color w:val="000000" w:themeColor="text1"/>
          <w:sz w:val="16"/>
          <w:szCs w:val="16"/>
        </w:rPr>
        <w:softHyphen/>
        <w:t>чиком и в башне. Для переносной лампочки имелись две розетки — рядом с дверью водителя и в башне. Аккумулятор находился слева под полом корпуса отделения управления. На приборной доске перед водителем располагались: ам</w:t>
      </w:r>
      <w:r w:rsidRPr="00E14102">
        <w:rPr>
          <w:color w:val="000000" w:themeColor="text1"/>
          <w:sz w:val="16"/>
          <w:szCs w:val="16"/>
        </w:rPr>
        <w:softHyphen/>
        <w:t>перметр, указатель уровня горючего в баке (поплавковый) и спидометр.</w:t>
      </w:r>
    </w:p>
    <w:p w14:paraId="7F8BBF4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Еще одним важным отличием БА-6 от предыдущих об</w:t>
      </w:r>
      <w:r w:rsidRPr="00E14102">
        <w:rPr>
          <w:color w:val="000000" w:themeColor="text1"/>
          <w:sz w:val="16"/>
          <w:szCs w:val="16"/>
        </w:rPr>
        <w:softHyphen/>
        <w:t>разцов средних бронеавтомобилей стало использование пу</w:t>
      </w:r>
      <w:r w:rsidRPr="00E14102">
        <w:rPr>
          <w:color w:val="000000" w:themeColor="text1"/>
          <w:sz w:val="16"/>
          <w:szCs w:val="16"/>
        </w:rPr>
        <w:softHyphen/>
        <w:t>лестойких шин «ГК» (до этого времени все бронеавтомоби</w:t>
      </w:r>
      <w:r w:rsidRPr="00E14102">
        <w:rPr>
          <w:color w:val="000000" w:themeColor="text1"/>
          <w:sz w:val="16"/>
          <w:szCs w:val="16"/>
        </w:rPr>
        <w:softHyphen/>
        <w:t>ли оснащались обычными пневматиками). Они являлись дальнейшим развитием шин-гусматиков, использовавших</w:t>
      </w:r>
      <w:r w:rsidRPr="00E14102">
        <w:rPr>
          <w:color w:val="000000" w:themeColor="text1"/>
          <w:sz w:val="16"/>
          <w:szCs w:val="16"/>
        </w:rPr>
        <w:softHyphen/>
        <w:t>ся еще на броневиках русской армии в годы Первой миро</w:t>
      </w:r>
      <w:r w:rsidRPr="00E14102">
        <w:rPr>
          <w:color w:val="000000" w:themeColor="text1"/>
          <w:sz w:val="16"/>
          <w:szCs w:val="16"/>
        </w:rPr>
        <w:softHyphen/>
        <w:t>вой войны. Но если гусматики заполнялись особым соста</w:t>
      </w:r>
      <w:r w:rsidRPr="00E14102">
        <w:rPr>
          <w:color w:val="000000" w:themeColor="text1"/>
          <w:sz w:val="16"/>
          <w:szCs w:val="16"/>
        </w:rPr>
        <w:softHyphen/>
        <w:t>вом, который при проколе затвердевал, вытекая на воздух, то в «ГК» (расшифровывалось как «губчатая камера») со</w:t>
      </w:r>
      <w:r w:rsidRPr="00E14102">
        <w:rPr>
          <w:color w:val="000000" w:themeColor="text1"/>
          <w:sz w:val="16"/>
          <w:szCs w:val="16"/>
        </w:rPr>
        <w:softHyphen/>
        <w:t>стояли из специальной эластичной пористой резины, кото</w:t>
      </w:r>
      <w:r w:rsidRPr="00E14102">
        <w:rPr>
          <w:color w:val="000000" w:themeColor="text1"/>
          <w:sz w:val="16"/>
          <w:szCs w:val="16"/>
        </w:rPr>
        <w:softHyphen/>
        <w:t>рая не боялась никаких проколов или пробоин. Производ</w:t>
      </w:r>
      <w:r w:rsidRPr="00E14102">
        <w:rPr>
          <w:color w:val="000000" w:themeColor="text1"/>
          <w:sz w:val="16"/>
          <w:szCs w:val="16"/>
        </w:rPr>
        <w:softHyphen/>
        <w:t>ство «ГК» развернули на заводе «Красный Треугольник», который стал головным предприятием по их изготовлению. Сначала для изготовления пористой резины использовали натуральный импортный каучук, а с 1938 года - его искус</w:t>
      </w:r>
      <w:r w:rsidRPr="00E14102">
        <w:rPr>
          <w:color w:val="000000" w:themeColor="text1"/>
          <w:sz w:val="16"/>
          <w:szCs w:val="16"/>
        </w:rPr>
        <w:softHyphen/>
        <w:t>ственный отечественный аналог. «ГК» имели не очень боль</w:t>
      </w:r>
      <w:r w:rsidRPr="00E14102">
        <w:rPr>
          <w:color w:val="000000" w:themeColor="text1"/>
          <w:sz w:val="16"/>
          <w:szCs w:val="16"/>
        </w:rPr>
        <w:softHyphen/>
        <w:t>шой ресурс: после 1000— 1300 км пробега наполнитель терял эластичность, рассыпался и шины выходили из строя. Кро</w:t>
      </w:r>
      <w:r w:rsidRPr="00E14102">
        <w:rPr>
          <w:color w:val="000000" w:themeColor="text1"/>
          <w:sz w:val="16"/>
          <w:szCs w:val="16"/>
        </w:rPr>
        <w:softHyphen/>
        <w:t>ме того, максимальная скорость броневиков на пулестой</w:t>
      </w:r>
      <w:r w:rsidRPr="00E14102">
        <w:rPr>
          <w:color w:val="000000" w:themeColor="text1"/>
          <w:sz w:val="16"/>
          <w:szCs w:val="16"/>
        </w:rPr>
        <w:softHyphen/>
        <w:t>ких шинах была примерно на 8—10 км/ч меньше, чем на пневматиках. Например, БА-6 на «ГК» по шоссе разгонял</w:t>
      </w:r>
      <w:r w:rsidRPr="00E14102">
        <w:rPr>
          <w:color w:val="000000" w:themeColor="text1"/>
          <w:sz w:val="16"/>
          <w:szCs w:val="16"/>
        </w:rPr>
        <w:softHyphen/>
        <w:t>ся до 42 км/ч, а на обычных шинах — до 52 км/ч (11284).</w:t>
      </w:r>
    </w:p>
    <w:p w14:paraId="2F36001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45AEC2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в Научном автотракторном институте (НАТИ) под руководством А.С.Щеглова по образцу быстроходного американского трактора «Мармон-Херинггон» с автомобильным двигателем Форд V-8 был спроектирован тягач «Пионер». Особое положение в Красной Армии начала 1930-х годов стала занимать зарождающаяся противотанковая артиллерия, представленная тогда 37-ым пушками образца 1930 года и 45-мм образца 1932 года. Ей требовалась высокая маневренность (не уступающая танкам) при смене позиций, зачастую под ружейно-пуле-метным огнем противника. Здесь конная тяга, при всем уважении к ней тогда в Красной Армии, уже не годилась. Нужен был легкий малогабаритный гусеничный тягач, полностью отвечавший специфике его применения. Кроме того, массовое производство подобных машин для быстрого и полного насыщения противотанковых дивизионов и артиллерийских полков должно было быть под силу промышленности.</w:t>
      </w:r>
    </w:p>
    <w:p w14:paraId="5C6020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Компоновку машины и его тягово-динамический расчет делал С.Н.Осипов, ведущим инженером по машине назначили Брусянцева. Силовой агрегат и трансмиссию с дифференциалом позаимствовали от находившегося в производстве плавающего танка Т-37А, от него же использовали пружино-балансирные тележки (по одной на борт) и гусеницы. Заднее направляющее колесо имело упругую подвеску и одновременно выполняло роль опорного катка (несущий ленивец). Машина была очень короткой и узкой. Масса ее составляла всего 1500 кг, скорость до 50 км/ч. Водитель сидел посередине, прямо над коробкой передач, и был прикрыт спереди защитным кожухом. За ним по бортам находились шесть сидений, по три в ряд, установленных спинками внутрь, на которых боком, тесно, размещались бойцы орудийного расчета.</w:t>
      </w:r>
    </w:p>
    <w:p w14:paraId="6EB92D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Первую партию «пионеров" (50 единиц, по другим данным —25) выпустили на московском заводе № 37 имени Орджоникидзе в 1936 году. А 7 ноября того же года тягачи уже приняли участие в параде на Красной площади. Производство их продолжалось по 1937 год. В войсках они не прижились из-за неустойчивости при езде и на поворотах, низких тяговых свойств и малой вместимости. В ходе короткой эксплуатации выявилась необходимость в броневой защите водителя, двигателя, радиатора и бензобака от огня стрелкового оружия, так как тягач должен работать в непосредственной близости от противника — в зоне вероятного обстрела. Такую бронированную модификацию вскоре разработали и построили в НАТИ (конструктор Маринин) в двух вариантах: «Пионер Б1» (расчет сидит лицом друг к другу) и «Пионер Б2» (расчет сидит спинами друг к другу). Вскоре стало очевидно, что машина, в основе своей и без того не очень удачная, получилась еще хуже (11639).</w:t>
      </w:r>
    </w:p>
    <w:p w14:paraId="511F8823" w14:textId="77777777" w:rsidR="00D4105E" w:rsidRPr="00E14102" w:rsidRDefault="00D4105E" w:rsidP="00E14102">
      <w:pPr>
        <w:autoSpaceDE w:val="0"/>
        <w:autoSpaceDN w:val="0"/>
        <w:adjustRightInd w:val="0"/>
        <w:jc w:val="both"/>
        <w:rPr>
          <w:color w:val="000000" w:themeColor="text1"/>
          <w:sz w:val="16"/>
          <w:szCs w:val="16"/>
        </w:rPr>
      </w:pPr>
    </w:p>
    <w:p w14:paraId="41B67F0E"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1935 г. в спе</w:t>
      </w:r>
      <w:r w:rsidRPr="00E14102">
        <w:rPr>
          <w:color w:val="000000" w:themeColor="text1"/>
          <w:sz w:val="16"/>
          <w:szCs w:val="16"/>
        </w:rPr>
        <w:softHyphen/>
        <w:t>циальном отделе НАТИ под руководством А.С. Щеглова был разработан трактор «Пионер». Ее прототипом послужил анг</w:t>
      </w:r>
      <w:r w:rsidRPr="00E14102">
        <w:rPr>
          <w:color w:val="000000" w:themeColor="text1"/>
          <w:sz w:val="16"/>
          <w:szCs w:val="16"/>
        </w:rPr>
        <w:softHyphen/>
        <w:t>лийский трактор «Мармон-Херингтон» с кар</w:t>
      </w:r>
      <w:r w:rsidRPr="00E14102">
        <w:rPr>
          <w:color w:val="000000" w:themeColor="text1"/>
          <w:sz w:val="16"/>
          <w:szCs w:val="16"/>
        </w:rPr>
        <w:softHyphen/>
        <w:t xml:space="preserve">бюраторным двигателем «Форд» </w:t>
      </w:r>
      <w:r w:rsidRPr="00E14102">
        <w:rPr>
          <w:color w:val="000000" w:themeColor="text1"/>
          <w:sz w:val="16"/>
          <w:szCs w:val="16"/>
          <w:lang w:val="en-US"/>
        </w:rPr>
        <w:t>V</w:t>
      </w:r>
      <w:r w:rsidRPr="00E14102">
        <w:rPr>
          <w:color w:val="000000" w:themeColor="text1"/>
          <w:sz w:val="16"/>
          <w:szCs w:val="16"/>
        </w:rPr>
        <w:t>-8. Веду</w:t>
      </w:r>
      <w:r w:rsidRPr="00E14102">
        <w:rPr>
          <w:color w:val="000000" w:themeColor="text1"/>
          <w:sz w:val="16"/>
          <w:szCs w:val="16"/>
        </w:rPr>
        <w:softHyphen/>
        <w:t>щим инженером по машине был Брусянцев. Компоновку машины и ее тягово-динамичес- кий расчет выполнил С.Н. Осипов. Совершенствование артиллерийских систем потребовало соответствующего развития средств механической тяги, а именно - специальных гусеничных тя</w:t>
      </w:r>
      <w:r w:rsidRPr="00E14102">
        <w:rPr>
          <w:color w:val="000000" w:themeColor="text1"/>
          <w:sz w:val="16"/>
          <w:szCs w:val="16"/>
        </w:rPr>
        <w:softHyphen/>
        <w:t>гачей, поскольку народнохозяйственные тракторы не в полной мере отвечали предъявляемым к ним требованиям. В частности, для механической тяги пол</w:t>
      </w:r>
      <w:r w:rsidRPr="00E14102">
        <w:rPr>
          <w:color w:val="000000" w:themeColor="text1"/>
          <w:sz w:val="16"/>
          <w:szCs w:val="16"/>
        </w:rPr>
        <w:softHyphen/>
        <w:t>ковой артиллерии был необходим массовый легкий быстроходный малогаба</w:t>
      </w:r>
      <w:r w:rsidRPr="00E14102">
        <w:rPr>
          <w:color w:val="000000" w:themeColor="text1"/>
          <w:sz w:val="16"/>
          <w:szCs w:val="16"/>
        </w:rPr>
        <w:softHyphen/>
        <w:t xml:space="preserve">ритный гусеничный тягач. Требованиям массового производства и удобства </w:t>
      </w:r>
      <w:r w:rsidRPr="00E14102">
        <w:rPr>
          <w:color w:val="000000" w:themeColor="text1"/>
          <w:sz w:val="16"/>
          <w:szCs w:val="16"/>
        </w:rPr>
        <w:lastRenderedPageBreak/>
        <w:t>эксплуатации мог соответствовать трактор, максимально унифицированный с автомобилями и легкими танками, выпускающимися с использованием авто</w:t>
      </w:r>
      <w:r w:rsidRPr="00E14102">
        <w:rPr>
          <w:color w:val="000000" w:themeColor="text1"/>
          <w:sz w:val="16"/>
          <w:szCs w:val="16"/>
        </w:rPr>
        <w:softHyphen/>
        <w:t>мобильных агрегатов.</w:t>
      </w:r>
    </w:p>
    <w:p w14:paraId="11351BD9"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Место водителя трактора «Пионер» рас</w:t>
      </w:r>
      <w:r w:rsidRPr="00E14102">
        <w:rPr>
          <w:color w:val="000000" w:themeColor="text1"/>
          <w:sz w:val="16"/>
          <w:szCs w:val="16"/>
        </w:rPr>
        <w:softHyphen/>
        <w:t>полагалось в носовой части машины над коробкой передач, закрытой защитным кожухом. За ним по бортам корпуса раз</w:t>
      </w:r>
      <w:r w:rsidRPr="00E14102">
        <w:rPr>
          <w:color w:val="000000" w:themeColor="text1"/>
          <w:sz w:val="16"/>
          <w:szCs w:val="16"/>
        </w:rPr>
        <w:softHyphen/>
        <w:t>мещались спинками внутрь по три сиде</w:t>
      </w:r>
      <w:r w:rsidRPr="00E14102">
        <w:rPr>
          <w:color w:val="000000" w:themeColor="text1"/>
          <w:sz w:val="16"/>
          <w:szCs w:val="16"/>
        </w:rPr>
        <w:softHyphen/>
        <w:t>нья для перевозки орудийного расчета. Двигатель с трансмиссией и элементы хо</w:t>
      </w:r>
      <w:r w:rsidRPr="00E14102">
        <w:rPr>
          <w:color w:val="000000" w:themeColor="text1"/>
          <w:sz w:val="16"/>
          <w:szCs w:val="16"/>
        </w:rPr>
        <w:softHyphen/>
        <w:t>довой части были заимствованы у плаваю</w:t>
      </w:r>
      <w:r w:rsidRPr="00E14102">
        <w:rPr>
          <w:color w:val="000000" w:themeColor="text1"/>
          <w:sz w:val="16"/>
          <w:szCs w:val="16"/>
        </w:rPr>
        <w:softHyphen/>
        <w:t>щего танка Т-37. Подвеска трактора - балансирная, пружинная. Со стороны каж</w:t>
      </w:r>
      <w:r w:rsidRPr="00E14102">
        <w:rPr>
          <w:color w:val="000000" w:themeColor="text1"/>
          <w:sz w:val="16"/>
          <w:szCs w:val="16"/>
        </w:rPr>
        <w:softHyphen/>
        <w:t>дого борта находилась одна тележка с дву</w:t>
      </w:r>
      <w:r w:rsidRPr="00E14102">
        <w:rPr>
          <w:color w:val="000000" w:themeColor="text1"/>
          <w:sz w:val="16"/>
          <w:szCs w:val="16"/>
        </w:rPr>
        <w:softHyphen/>
        <w:t>мя опорными катками. В ходовой части использовались ведущие колеса передне</w:t>
      </w:r>
      <w:r w:rsidRPr="00E14102">
        <w:rPr>
          <w:color w:val="000000" w:themeColor="text1"/>
          <w:sz w:val="16"/>
          <w:szCs w:val="16"/>
        </w:rPr>
        <w:softHyphen/>
        <w:t>го расположения. Направляющие колеса были подрессорены и выполняли роль опорных катков (11893).</w:t>
      </w:r>
    </w:p>
    <w:p w14:paraId="3D7A0C8E" w14:textId="77777777" w:rsidR="00D4105E" w:rsidRPr="00E14102" w:rsidRDefault="00D4105E" w:rsidP="00E14102">
      <w:pPr>
        <w:widowControl w:val="0"/>
        <w:autoSpaceDE w:val="0"/>
        <w:autoSpaceDN w:val="0"/>
        <w:adjustRightInd w:val="0"/>
        <w:jc w:val="both"/>
        <w:rPr>
          <w:color w:val="000000" w:themeColor="text1"/>
          <w:sz w:val="16"/>
          <w:szCs w:val="16"/>
        </w:rPr>
      </w:pPr>
    </w:p>
    <w:p w14:paraId="0E406A5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году конструкторское бюро ДРО по заказу воен</w:t>
      </w:r>
      <w:r w:rsidRPr="00E14102">
        <w:rPr>
          <w:color w:val="000000" w:themeColor="text1"/>
          <w:sz w:val="16"/>
          <w:szCs w:val="16"/>
        </w:rPr>
        <w:softHyphen/>
        <w:t>но-химического управления РККА спроектировало но</w:t>
      </w:r>
      <w:r w:rsidRPr="00E14102">
        <w:rPr>
          <w:color w:val="000000" w:themeColor="text1"/>
          <w:sz w:val="16"/>
          <w:szCs w:val="16"/>
        </w:rPr>
        <w:softHyphen/>
        <w:t>вую химическую машину на трехосном шасси ЗИС-6, по</w:t>
      </w:r>
      <w:r w:rsidRPr="00E14102">
        <w:rPr>
          <w:color w:val="000000" w:themeColor="text1"/>
          <w:sz w:val="16"/>
          <w:szCs w:val="16"/>
        </w:rPr>
        <w:softHyphen/>
        <w:t>лучившую обозначение КС-18. Кабина и бак емкостью 1000 литров имели защиту из 4—8 мм брони. В лобовом листе корпуса справа от водителя устанавливался пулемет ДТ в шаровой установке и радиостанция 71-ТК с поручневой антенной. На КС-18 стояло специальное оборудо</w:t>
      </w:r>
      <w:r w:rsidRPr="00E14102">
        <w:rPr>
          <w:color w:val="000000" w:themeColor="text1"/>
          <w:sz w:val="16"/>
          <w:szCs w:val="16"/>
        </w:rPr>
        <w:softHyphen/>
        <w:t>вание завода «Компрессор». Для постановки дымовых за</w:t>
      </w:r>
      <w:r w:rsidRPr="00E14102">
        <w:rPr>
          <w:color w:val="000000" w:themeColor="text1"/>
          <w:sz w:val="16"/>
          <w:szCs w:val="16"/>
        </w:rPr>
        <w:softHyphen/>
        <w:t>вес использовалась смесь 8-IV, которой при полном за</w:t>
      </w:r>
      <w:r w:rsidRPr="00E14102">
        <w:rPr>
          <w:color w:val="000000" w:themeColor="text1"/>
          <w:sz w:val="16"/>
          <w:szCs w:val="16"/>
        </w:rPr>
        <w:softHyphen/>
        <w:t>полнении резервуара хватало на 25-30 минут работы. Для заражения местности отравляющими веществами ис</w:t>
      </w:r>
      <w:r w:rsidRPr="00E14102">
        <w:rPr>
          <w:color w:val="000000" w:themeColor="text1"/>
          <w:sz w:val="16"/>
          <w:szCs w:val="16"/>
        </w:rPr>
        <w:softHyphen/>
        <w:t>пользовался специальный распылитель с шириной поло</w:t>
      </w:r>
      <w:r w:rsidRPr="00E14102">
        <w:rPr>
          <w:color w:val="000000" w:themeColor="text1"/>
          <w:sz w:val="16"/>
          <w:szCs w:val="16"/>
        </w:rPr>
        <w:softHyphen/>
        <w:t>сы распыления до 25 м. Дегазацию зараженной местности КС-18 осуществляла при помощи распылительной ко</w:t>
      </w:r>
      <w:r w:rsidRPr="00E14102">
        <w:rPr>
          <w:color w:val="000000" w:themeColor="text1"/>
          <w:sz w:val="16"/>
          <w:szCs w:val="16"/>
        </w:rPr>
        <w:softHyphen/>
        <w:t>лонки, при этом одной заправки хватало на обработку 2600 квадратных метров (11284).</w:t>
      </w:r>
    </w:p>
    <w:p w14:paraId="583B913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0040065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СССР продал в Турцию партию из 60 бронеавтомобилей БА-6, а скорее - БА-3 на базе Форда Тимкен (3286,37).</w:t>
      </w:r>
    </w:p>
    <w:p w14:paraId="333FF306" w14:textId="77777777" w:rsidR="00D4105E" w:rsidRPr="00E14102" w:rsidRDefault="00D4105E" w:rsidP="00E14102">
      <w:pPr>
        <w:autoSpaceDE w:val="0"/>
        <w:autoSpaceDN w:val="0"/>
        <w:adjustRightInd w:val="0"/>
        <w:jc w:val="both"/>
        <w:rPr>
          <w:color w:val="000000" w:themeColor="text1"/>
          <w:sz w:val="16"/>
          <w:szCs w:val="16"/>
        </w:rPr>
      </w:pPr>
    </w:p>
    <w:p w14:paraId="375B08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на Ижорском заводе был разработан новый БА на шасси автомобиля М-1, отличавшийся от предшественника более просторным боевым отделением, наличием у части машин радиостанции (3862).</w:t>
      </w:r>
    </w:p>
    <w:p w14:paraId="3A658829" w14:textId="77777777" w:rsidR="00D4105E" w:rsidRPr="00E14102" w:rsidRDefault="00D4105E" w:rsidP="00E14102">
      <w:pPr>
        <w:autoSpaceDE w:val="0"/>
        <w:autoSpaceDN w:val="0"/>
        <w:adjustRightInd w:val="0"/>
        <w:jc w:val="both"/>
        <w:rPr>
          <w:color w:val="000000" w:themeColor="text1"/>
          <w:sz w:val="16"/>
          <w:szCs w:val="16"/>
        </w:rPr>
      </w:pPr>
    </w:p>
    <w:p w14:paraId="642557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на Ижорском заводе на базе шасси «Форд-Тимкен» был построен бронеавтомобиль ПБ-4. На этой машине конструкторы отказались от заостренных катерных обводов. Упростив конфигурацию несущего корпуса, они сделали его близким по внешнему виду к корпусу среднего бронеавтомобиля БА-3. Поскольку за счет увеличения толщины брони до 7 мм масса броневика возросла до 5,28 т. плавучесть машины пришлось повысить, установив по бортам корпуса понтоны, заполненные прессованной пробкой.</w:t>
      </w:r>
    </w:p>
    <w:p w14:paraId="07A145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цилиндрической башне, аналогичной по габаритам малым пушечным башням танка Т-35, размещалась 45-мм танковая пушка 20К образца 1932 года и спаренный с ней пулемет ДТ. Второй пулемет ДТ располагался в шаровой установке в лобовом листе корпуса. Боекомплект состоял из 52 выстрелов и 2268 патронов. Наблюдение из башни можно было вести через смотровые щели с триплексами. В кормовой части башни имелся люк для демонтажа пушки, в крышке которого также была смотровая щель. В бортах башни под смотровыми щелями и в корме ниже люка предусматривались амбразуры для стрельбы из личного оружия. В башне находились подвесные сиденья для двух членов экипажа — наводчика и заряжающего. Башня была оборудована ручным поворотным механизмом. Для ведения огня из пушки использовались стандартные танковые прицелы — телескопический ТОП и перископический ПТ-1. </w:t>
      </w:r>
    </w:p>
    <w:p w14:paraId="5105DE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Двигатель ГАЗ-А (или «Форд А») мощностью 40 л.с. при 2200 об/мин был оснащен хорошо продуманной системой охлаждения. Воздух подавался к радиатору через нижний носовой люк. Перед входом бронеавтомобиля в воду водитель его закрывал. Удаление нагретого воздуха из моторного отделения осуществлялось через щели в бортах капота. Для охлаждения двигателя на плаву в систему охлаждения был включен теплообменник, омываемый забортной водой. Это позволило избавиться от одного из недостатков БАД-2 — перегрева двигателя. </w:t>
      </w:r>
    </w:p>
    <w:p w14:paraId="693424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Оборудование для движения по воде состояло из трехлопастного гребного винта, установленного, так же, как и у БАД-2, на хвостовике червячной передачи заднего моста. Подобное решение исключало раздельное использование движителей, и вращающиеся в воде колеса создавали значительное гидродинамическое сопротивление, поэтому скорость на плаву не превышала 4 км/ч. </w:t>
      </w:r>
    </w:p>
    <w:p w14:paraId="1069B9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Руля у ПБ-4 не было; маневрирование на воде осуществлялось за счет поворота передних колес. Для движения по заболоченной местности и обеспечения надежного входа в воду и выхода на берег на задние ведущие колеса могли надеваться вездеходные гусеничные ленты типа «Оверолл», перевозившиеся на кормовом листе крыши корпуса. Проходимость по пересеченной местности улучшали и запасные колеса, которые устанавливались по бортам и могли свободно вращаться. </w:t>
      </w:r>
    </w:p>
    <w:p w14:paraId="42EB98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конструктивном отношении машина имела ряд недостатков: несовершенную форму корпуса; небольшой угол съезда, что затрудняло вход и выход из воды; отсутствие средств самовытаскивания; недостаточную удельную мощность; низкую надежность. Ижорский завод выпустил всего пять (по другим данным до десяти) таких машин для проведения войсковых испытаний (11637).</w:t>
      </w:r>
    </w:p>
    <w:p w14:paraId="6353F18F" w14:textId="77777777" w:rsidR="00D4105E" w:rsidRPr="00E14102" w:rsidRDefault="00D4105E" w:rsidP="00E14102">
      <w:pPr>
        <w:autoSpaceDE w:val="0"/>
        <w:autoSpaceDN w:val="0"/>
        <w:adjustRightInd w:val="0"/>
        <w:jc w:val="both"/>
        <w:rPr>
          <w:color w:val="000000" w:themeColor="text1"/>
          <w:sz w:val="16"/>
          <w:szCs w:val="16"/>
        </w:rPr>
      </w:pPr>
    </w:p>
    <w:p w14:paraId="2666D94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году в АБТУ РККА представили проект полугусеничного броневика БА-6С («Кегресс снежный») на базе НАТИ-3, но из-за от</w:t>
      </w:r>
      <w:r w:rsidRPr="00E14102">
        <w:rPr>
          <w:color w:val="000000" w:themeColor="text1"/>
          <w:sz w:val="16"/>
          <w:szCs w:val="16"/>
        </w:rPr>
        <w:softHyphen/>
        <w:t>сутствия серийного производства полугусеничных грузови</w:t>
      </w:r>
      <w:r w:rsidRPr="00E14102">
        <w:rPr>
          <w:color w:val="000000" w:themeColor="text1"/>
          <w:sz w:val="16"/>
          <w:szCs w:val="16"/>
        </w:rPr>
        <w:softHyphen/>
        <w:t>ков работу прекратили (11284).</w:t>
      </w:r>
    </w:p>
    <w:p w14:paraId="52AA934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4E192E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на ХПЗ началось проектирование нового гусеничного трактора, который получил название “Ворошиловец”. Первые два тягача построили в 1936 г. Компоновочная схема осталась как у “Коминтерна”, но тягач получил усиленные трансмиссию, ходовую часть, лебедку, а с 1938 года на нем установили дизельный двигатель В-2В - дефорсированный вариант танкового мотора и в том же году приступили к серийному производству (9154).</w:t>
      </w:r>
    </w:p>
    <w:p w14:paraId="0CCDFFB7" w14:textId="77777777" w:rsidR="00D4105E" w:rsidRPr="00E14102" w:rsidRDefault="00D4105E" w:rsidP="00E14102">
      <w:pPr>
        <w:autoSpaceDE w:val="0"/>
        <w:autoSpaceDN w:val="0"/>
        <w:adjustRightInd w:val="0"/>
        <w:jc w:val="both"/>
        <w:rPr>
          <w:color w:val="000000" w:themeColor="text1"/>
          <w:sz w:val="16"/>
          <w:szCs w:val="16"/>
        </w:rPr>
      </w:pPr>
    </w:p>
    <w:p w14:paraId="55D7C7C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году производство автомобиля ГАЗ-А на Горьковском автомобильном заводе было прекращено. Вместо него в серию запустили новый автомобиль ГАЗ М-1 (Моло</w:t>
      </w:r>
      <w:r w:rsidRPr="00E14102">
        <w:rPr>
          <w:color w:val="000000" w:themeColor="text1"/>
          <w:sz w:val="16"/>
          <w:szCs w:val="16"/>
        </w:rPr>
        <w:softHyphen/>
        <w:t>тов-1), созданный на основе американского «Форд-40». До</w:t>
      </w:r>
      <w:r w:rsidRPr="00E14102">
        <w:rPr>
          <w:color w:val="000000" w:themeColor="text1"/>
          <w:sz w:val="16"/>
          <w:szCs w:val="16"/>
        </w:rPr>
        <w:softHyphen/>
        <w:t>кументация по последнему была поставлена в СССР фир</w:t>
      </w:r>
      <w:r w:rsidRPr="00E14102">
        <w:rPr>
          <w:color w:val="000000" w:themeColor="text1"/>
          <w:sz w:val="16"/>
          <w:szCs w:val="16"/>
        </w:rPr>
        <w:softHyphen/>
        <w:t>мой «Форд мотор компани» по договору о технической по</w:t>
      </w:r>
      <w:r w:rsidRPr="00E14102">
        <w:rPr>
          <w:color w:val="000000" w:themeColor="text1"/>
          <w:sz w:val="16"/>
          <w:szCs w:val="16"/>
        </w:rPr>
        <w:softHyphen/>
        <w:t>мощи, заключенному в 1929 году. Новая машина, разработанная под руководством главного конструктора Горьковского автозавода А. Липгарта, значительно отлича</w:t>
      </w:r>
      <w:r w:rsidRPr="00E14102">
        <w:rPr>
          <w:color w:val="000000" w:themeColor="text1"/>
          <w:sz w:val="16"/>
          <w:szCs w:val="16"/>
        </w:rPr>
        <w:softHyphen/>
        <w:t>лась от ГАЗ-А. Она имела более мощный двигатель, новую коробку перемены передач, более жесткую раму и т.д.</w:t>
      </w:r>
    </w:p>
    <w:p w14:paraId="5216FA6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Проектирование нового автомобиля началось в октяб</w:t>
      </w:r>
      <w:r w:rsidRPr="00E14102">
        <w:rPr>
          <w:color w:val="000000" w:themeColor="text1"/>
          <w:sz w:val="16"/>
          <w:szCs w:val="16"/>
        </w:rPr>
        <w:softHyphen/>
        <w:t>ре 1933 года, первые опытные образцы собрали в январе 1934 года, а серийное производство ГАЗ М-1 началось в фе</w:t>
      </w:r>
      <w:r w:rsidRPr="00E14102">
        <w:rPr>
          <w:color w:val="000000" w:themeColor="text1"/>
          <w:sz w:val="16"/>
          <w:szCs w:val="16"/>
        </w:rPr>
        <w:softHyphen/>
        <w:t>врале 1936 года (11284).</w:t>
      </w:r>
    </w:p>
    <w:p w14:paraId="5690F9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12B67F5E" w14:textId="77777777" w:rsidR="004462A4" w:rsidRPr="00E14102" w:rsidRDefault="004462A4" w:rsidP="00E14102">
      <w:pPr>
        <w:jc w:val="both"/>
        <w:rPr>
          <w:color w:val="000000" w:themeColor="text1"/>
          <w:sz w:val="16"/>
          <w:szCs w:val="16"/>
        </w:rPr>
      </w:pPr>
      <w:r w:rsidRPr="00E14102">
        <w:rPr>
          <w:color w:val="000000" w:themeColor="text1"/>
          <w:sz w:val="16"/>
          <w:szCs w:val="16"/>
        </w:rPr>
        <w:t>В 1935 году Автозавод им. Сталина вновь вернулся к выпуску седельных тягачей, и вновь разработчиком автомобиля стал HAТИ. По некоторым данным, самый первый экземпляр был построен в самом институте. Так или иначе, но в 1935 году увидели свет четыре экземпляра нового тягача, получившего обозначение ЗИС-10. При максимальной грузоподъемности в 6 тонн, а то и меньше (в зависимости от типа дорог), снаряженная масса машины составила 27,8 т. Такой вес был предельным для шин размерности 34_7, выпускаемых в то время для ЗИСа.</w:t>
      </w:r>
    </w:p>
    <w:p w14:paraId="7E40E354" w14:textId="77777777" w:rsidR="004462A4" w:rsidRPr="00E14102" w:rsidRDefault="004462A4" w:rsidP="00E14102">
      <w:pPr>
        <w:jc w:val="both"/>
        <w:rPr>
          <w:color w:val="000000" w:themeColor="text1"/>
          <w:sz w:val="16"/>
          <w:szCs w:val="16"/>
        </w:rPr>
      </w:pPr>
      <w:r w:rsidRPr="00E14102">
        <w:rPr>
          <w:color w:val="000000" w:themeColor="text1"/>
          <w:sz w:val="16"/>
          <w:szCs w:val="16"/>
        </w:rPr>
        <w:t>Что интересно, ЗИС-10 - единственный тягач, которому не стали уменьшать стандартную базу и укорачивать шасси, как делали у его предшественников. Для того чтобы развернуть такой автопоезд, требовалось минимум 9 метров ширины дороги. Заводы-производители не давали водителям четких рекомендаций по управлению тягачами с полуприцепами при движении задним ходом. Просто рекомендовалось, чтобы водитель был очень опытным и чтобы при езде задним ходом он двигался чрезвычайно медленно и осторожно, так как обзор при движении назад был почти нулевым.</w:t>
      </w:r>
    </w:p>
    <w:p w14:paraId="1A5E17D6" w14:textId="77777777" w:rsidR="004462A4" w:rsidRPr="00E14102" w:rsidRDefault="004462A4" w:rsidP="00E14102">
      <w:pPr>
        <w:jc w:val="both"/>
        <w:rPr>
          <w:color w:val="000000" w:themeColor="text1"/>
          <w:sz w:val="16"/>
          <w:szCs w:val="16"/>
        </w:rPr>
      </w:pPr>
      <w:r w:rsidRPr="00E14102">
        <w:rPr>
          <w:color w:val="000000" w:themeColor="text1"/>
          <w:sz w:val="16"/>
          <w:szCs w:val="16"/>
        </w:rPr>
        <w:t>Передаточное число главной передачи было традиционно увеличено с 6,41 до 8,42. Скорость автомобиля при этом, разумеется, снизилась. Двигатель ЗИС-5 при своих 73 лошадиных силах с новой главной передачей не разгонял машину даже до 50 км/ч. Такому тягачу определенно требовался другой двигатель или дизель мощностью не менее 100 л.с. Демультипликатор на данной модели не предусматривался.</w:t>
      </w:r>
    </w:p>
    <w:p w14:paraId="26C52C35" w14:textId="77777777" w:rsidR="004462A4" w:rsidRPr="00E14102" w:rsidRDefault="004462A4" w:rsidP="00E14102">
      <w:pPr>
        <w:jc w:val="both"/>
        <w:rPr>
          <w:color w:val="000000" w:themeColor="text1"/>
          <w:sz w:val="16"/>
          <w:szCs w:val="16"/>
        </w:rPr>
      </w:pPr>
      <w:r w:rsidRPr="00E14102">
        <w:rPr>
          <w:color w:val="000000" w:themeColor="text1"/>
          <w:sz w:val="16"/>
          <w:szCs w:val="16"/>
        </w:rPr>
        <w:t>Приведу пример из пособия для водителей по сцепке и разъединению опорносцепного приспособления на примере ЗИС-10:</w:t>
      </w:r>
    </w:p>
    <w:p w14:paraId="753DC152" w14:textId="77777777" w:rsidR="004462A4" w:rsidRPr="00E14102" w:rsidRDefault="004462A4" w:rsidP="00E14102">
      <w:pPr>
        <w:jc w:val="both"/>
        <w:rPr>
          <w:color w:val="000000" w:themeColor="text1"/>
          <w:sz w:val="16"/>
          <w:szCs w:val="16"/>
        </w:rPr>
      </w:pPr>
      <w:r w:rsidRPr="00E14102">
        <w:rPr>
          <w:color w:val="000000" w:themeColor="text1"/>
          <w:sz w:val="16"/>
          <w:szCs w:val="16"/>
        </w:rPr>
        <w:t>затормаживание полуприцепа ручным тормозом;</w:t>
      </w:r>
    </w:p>
    <w:p w14:paraId="5D2E5F59" w14:textId="77777777" w:rsidR="004462A4" w:rsidRPr="00E14102" w:rsidRDefault="004462A4" w:rsidP="00E14102">
      <w:pPr>
        <w:jc w:val="both"/>
        <w:rPr>
          <w:color w:val="000000" w:themeColor="text1"/>
          <w:sz w:val="16"/>
          <w:szCs w:val="16"/>
        </w:rPr>
      </w:pPr>
      <w:r w:rsidRPr="00E14102">
        <w:rPr>
          <w:color w:val="000000" w:themeColor="text1"/>
          <w:sz w:val="16"/>
          <w:szCs w:val="16"/>
        </w:rPr>
        <w:t>опускание фиксатора запорной «собачки» на тягаче;</w:t>
      </w:r>
    </w:p>
    <w:p w14:paraId="570CBD36" w14:textId="77777777" w:rsidR="004462A4" w:rsidRPr="00E14102" w:rsidRDefault="004462A4" w:rsidP="00E14102">
      <w:pPr>
        <w:jc w:val="both"/>
        <w:rPr>
          <w:color w:val="000000" w:themeColor="text1"/>
          <w:sz w:val="16"/>
          <w:szCs w:val="16"/>
        </w:rPr>
      </w:pPr>
      <w:r w:rsidRPr="00E14102">
        <w:rPr>
          <w:color w:val="000000" w:themeColor="text1"/>
          <w:sz w:val="16"/>
          <w:szCs w:val="16"/>
        </w:rPr>
        <w:t>сцепка (с автоматическим запиранием сомкнувшихся челюстей сцепного прибора);</w:t>
      </w:r>
    </w:p>
    <w:p w14:paraId="1EC39F54" w14:textId="77777777" w:rsidR="004462A4" w:rsidRPr="00E14102" w:rsidRDefault="004462A4" w:rsidP="00E14102">
      <w:pPr>
        <w:jc w:val="both"/>
        <w:rPr>
          <w:color w:val="000000" w:themeColor="text1"/>
          <w:sz w:val="16"/>
          <w:szCs w:val="16"/>
        </w:rPr>
      </w:pPr>
      <w:r w:rsidRPr="00E14102">
        <w:rPr>
          <w:color w:val="000000" w:themeColor="text1"/>
          <w:sz w:val="16"/>
          <w:szCs w:val="16"/>
        </w:rPr>
        <w:t>присоединение шланга вакуумпрово-да тормозной системы и электропроводки;</w:t>
      </w:r>
    </w:p>
    <w:p w14:paraId="51C423C5" w14:textId="77777777" w:rsidR="004462A4" w:rsidRPr="00E14102" w:rsidRDefault="004462A4" w:rsidP="00E14102">
      <w:pPr>
        <w:jc w:val="both"/>
        <w:rPr>
          <w:color w:val="000000" w:themeColor="text1"/>
          <w:sz w:val="16"/>
          <w:szCs w:val="16"/>
        </w:rPr>
      </w:pPr>
      <w:r w:rsidRPr="00E14102">
        <w:rPr>
          <w:color w:val="000000" w:themeColor="text1"/>
          <w:sz w:val="16"/>
          <w:szCs w:val="16"/>
        </w:rPr>
        <w:t>подъем опорной рамы;</w:t>
      </w:r>
    </w:p>
    <w:p w14:paraId="6C9D16A1" w14:textId="77777777" w:rsidR="004462A4" w:rsidRPr="00E14102" w:rsidRDefault="004462A4" w:rsidP="00E14102">
      <w:pPr>
        <w:jc w:val="both"/>
        <w:rPr>
          <w:color w:val="000000" w:themeColor="text1"/>
          <w:sz w:val="16"/>
          <w:szCs w:val="16"/>
        </w:rPr>
      </w:pPr>
      <w:r w:rsidRPr="00E14102">
        <w:rPr>
          <w:color w:val="000000" w:themeColor="text1"/>
          <w:sz w:val="16"/>
          <w:szCs w:val="16"/>
        </w:rPr>
        <w:t>растормаживание полуприцепа.</w:t>
      </w:r>
    </w:p>
    <w:p w14:paraId="617A0510" w14:textId="77777777" w:rsidR="004462A4" w:rsidRPr="00E14102" w:rsidRDefault="004462A4" w:rsidP="00E14102">
      <w:pPr>
        <w:jc w:val="both"/>
        <w:rPr>
          <w:color w:val="000000" w:themeColor="text1"/>
          <w:sz w:val="16"/>
          <w:szCs w:val="16"/>
        </w:rPr>
      </w:pPr>
      <w:r w:rsidRPr="00E14102">
        <w:rPr>
          <w:color w:val="000000" w:themeColor="text1"/>
          <w:sz w:val="16"/>
          <w:szCs w:val="16"/>
        </w:rPr>
        <w:t>Чтобы разъединить прицеп, требовалось проделать те же операции в обратной последовательности. На сколькой дороге зимой сцепка была вообще очень сложным делом: тормоз был слабым, полуприцеп норовил откатиться назад, да и колеса тягача буксовали; поднять же и захватить передок груженого полуприцепа было вообще невозможно. В таких условиях сцепку необходимо было производить строго по прямой линии с небольшого разгона (15592).</w:t>
      </w:r>
    </w:p>
    <w:p w14:paraId="21212A47" w14:textId="77777777" w:rsidR="004462A4" w:rsidRPr="00E14102" w:rsidRDefault="004462A4" w:rsidP="00E14102">
      <w:pPr>
        <w:jc w:val="both"/>
        <w:rPr>
          <w:color w:val="000000" w:themeColor="text1"/>
          <w:sz w:val="16"/>
          <w:szCs w:val="16"/>
        </w:rPr>
      </w:pPr>
    </w:p>
    <w:p w14:paraId="105FBC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1935г. был основан авторемонтный завод. В годы войны завод обслуживал «Дорогу Жизни» в Ленинград через Ладожское озеро.</w:t>
      </w:r>
    </w:p>
    <w:p w14:paraId="43C061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1950-51г. завод был перепрофилирован на радиотехническое производство (вероятно, в это время и получил № 987) (Завод № 987 МПСС, Завод, НПО «Волна» МПСС, ОАО «Завод «Волна» /198095 г. Санкт-Петербург ул. Маршала Говорова, 29/). Основной продукцией стали передвижные комплексы средств спецсвязи и телевизионной техники. Параллельно завод выпускал узлы и блоки для бытовых телевизоров.</w:t>
      </w:r>
    </w:p>
    <w:p w14:paraId="466D2C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1993г. предприятие было акционировано и преобразовано в АО. По решению правительства № 22-р от 9.01.2004г. вошло в перечень стратегических предприятий. Входило в состав группы компаний «ЭГО-Холдинг».</w:t>
      </w:r>
    </w:p>
    <w:p w14:paraId="6545D0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Производство (2000-е): техника связи и РЭБ для МО.</w:t>
      </w:r>
    </w:p>
    <w:p w14:paraId="425265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Численность персонала (2007г.)- 600 чел.</w:t>
      </w:r>
    </w:p>
    <w:p w14:paraId="6E110D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Болтенков. Гендиректор (2001г.-)- М.А. Вознюк.</w:t>
      </w:r>
    </w:p>
    <w:p w14:paraId="1F3B17CF"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Производство:</w:t>
      </w:r>
      <w:r w:rsidRPr="00E14102">
        <w:rPr>
          <w:color w:val="000000" w:themeColor="text1"/>
          <w:sz w:val="16"/>
          <w:szCs w:val="16"/>
        </w:rPr>
        <w:t xml:space="preserve"> телевизор КВН-49 (1952-); ПТС-ЗУ на шасси ЗиЛ-158 (-1972) (11982).</w:t>
      </w:r>
    </w:p>
    <w:p w14:paraId="390D2476" w14:textId="77777777" w:rsidR="00D4105E" w:rsidRPr="00E14102" w:rsidRDefault="00D4105E" w:rsidP="00E14102">
      <w:pPr>
        <w:widowControl w:val="0"/>
        <w:autoSpaceDE w:val="0"/>
        <w:autoSpaceDN w:val="0"/>
        <w:adjustRightInd w:val="0"/>
        <w:jc w:val="both"/>
        <w:rPr>
          <w:color w:val="000000" w:themeColor="text1"/>
          <w:sz w:val="16"/>
          <w:szCs w:val="16"/>
        </w:rPr>
      </w:pPr>
    </w:p>
    <w:p w14:paraId="483C888D"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1935 в Ижевске на ОМЗ собрали спортивную команду из жен работников завода, вручили ей новенькие ИЖ -7 и отправили в Москву, поручив доставить рапорт об освоении в Ижевске серийного производства. Участвовавший в столь необычном пробеге Рогожин вспоминал:</w:t>
      </w:r>
    </w:p>
    <w:p w14:paraId="554F6037"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«Бездорожье не смутило женщин, а вот асфальт на шоссе Москва — Горький разволновал: «Не поскользнуться бы!» Но все обошлось».</w:t>
      </w:r>
    </w:p>
    <w:p w14:paraId="612AF366"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столице мотоциклисток принял Серго Орджоникидзе. Осмотрев ИЖи, нарком тяжелой промышленности предложил удвоить их выпуск, а работники ОМЗ приняли встречный план и сдали 2207 мотоциклов вместо запланированных 1000.</w:t>
      </w:r>
    </w:p>
    <w:p w14:paraId="47C86C97"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Одновременно улучшалось качество ИЖей. Для этого Рогожин организовал обкатку ИЖ-7 на дистанции 25 км на заводском полигоне, а отдельные машины подолгу гонял в окрестностях города по «ижгрязи». Первое время испытатели каждый день возвращались в гараж и объясняли механикам, что нужно отрегулировать. Рогожин предложил испытателям уходить в длительные, на сотни километров пробеги и отмечать в рабочих журналах все, что им приходилось делать в пути — подтягивать цепи, крепить гайки и тому подобное. Потом записи суммировали, анализировали, выявляя таким образом узлы и детали, чаще всего выходящие из строя.</w:t>
      </w:r>
    </w:p>
    <w:p w14:paraId="6EFAC334"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Еще одно существенное обстоятельство. Испытателями, как правило, становились инженеры и конструкторы, участвовавшие в проектировании и изготовлении мотоциклов. Их профессиональные замечания и предложения оперативно передавали в отдел главного конструктора и в рабочие чертежи вносили изменения, одновременно накапливая интересные технические решения.</w:t>
      </w:r>
    </w:p>
    <w:p w14:paraId="251FA6BE"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Например, на ИЖ-7 в процессе испытаний и производства облегчили поршень двигателя, убрав с него дефлектор, изменили форму камеры сгорания и каналов подачи рабочей смеси, заменили фару более мощной, установили стоп-сигнал, аккумулятор, генератор постоянного тока с клиноременным приводом от коленвала. А потом на основе улучшенного мотора сконструировали ИЖ-8, применив на нем обновленную экипажную часть от ИЖ-7 и другие технические решения, созревшие в процессе улучшения прототипа.</w:t>
      </w:r>
    </w:p>
    <w:p w14:paraId="4A4C7C72"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Поставив ИЖ-8 в массовое производство, заводчане увеличили план на 1000 машин. Спрос населения на эту машину повлек очередную коррекцию плана: в 1939 году до 4300 мотоциклов (11396).</w:t>
      </w:r>
    </w:p>
    <w:p w14:paraId="734F0ECE" w14:textId="77777777" w:rsidR="00D4105E" w:rsidRPr="00E14102" w:rsidRDefault="00D4105E" w:rsidP="00E14102">
      <w:pPr>
        <w:widowControl w:val="0"/>
        <w:autoSpaceDE w:val="0"/>
        <w:autoSpaceDN w:val="0"/>
        <w:adjustRightInd w:val="0"/>
        <w:jc w:val="both"/>
        <w:rPr>
          <w:color w:val="000000" w:themeColor="text1"/>
          <w:sz w:val="16"/>
          <w:szCs w:val="16"/>
        </w:rPr>
      </w:pPr>
    </w:p>
    <w:p w14:paraId="3AF7FC8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 г. КБ ТИЗа, где конструирование возглавил Я.В. Коганов, выпустили рабочие чертежи и утвердили мотоцикл к серийному производству. Проектирование нового мотоцикла поручили специалистам НАТИ О.И. Островцову (главный конструктор), В.П. Родионову, А.А. Сеславину, Б.М. Фиттерману и др. [4.144]. Новую модель назвали ТИЗ-АМ-600 (армейский мотоцикл с двигателем рабочим объё</w:t>
      </w:r>
      <w:r w:rsidRPr="00E14102">
        <w:rPr>
          <w:color w:val="000000" w:themeColor="text1"/>
          <w:sz w:val="16"/>
          <w:szCs w:val="16"/>
        </w:rPr>
        <w:softHyphen/>
        <w:t>мом 600 см</w:t>
      </w:r>
      <w:r w:rsidRPr="00E14102">
        <w:rPr>
          <w:color w:val="000000" w:themeColor="text1"/>
          <w:sz w:val="16"/>
          <w:szCs w:val="16"/>
          <w:vertAlign w:val="superscript"/>
        </w:rPr>
        <w:t>3</w:t>
      </w:r>
      <w:r w:rsidRPr="00E14102">
        <w:rPr>
          <w:color w:val="000000" w:themeColor="text1"/>
          <w:sz w:val="16"/>
          <w:szCs w:val="16"/>
        </w:rPr>
        <w:t>), а в заводской документации обозначили ТИЗ-1. Применили нижнеклапанный четырехтактный двигатель мощно</w:t>
      </w:r>
      <w:r w:rsidRPr="00E14102">
        <w:rPr>
          <w:color w:val="000000" w:themeColor="text1"/>
          <w:sz w:val="16"/>
          <w:szCs w:val="16"/>
        </w:rPr>
        <w:softHyphen/>
        <w:t>стью 16 л.с. с чугунным цилиндром, наклоненным вперед, поме</w:t>
      </w:r>
      <w:r w:rsidRPr="00E14102">
        <w:rPr>
          <w:color w:val="000000" w:themeColor="text1"/>
          <w:sz w:val="16"/>
          <w:szCs w:val="16"/>
        </w:rPr>
        <w:softHyphen/>
        <w:t>щенной отдельно четырехступенчатой КП, и цепной передачей между двигателем, КП и задним колесом. Рама - дуплексная, из цельнотянутых труб, скреплённых болтами и шпильками. Перед</w:t>
      </w:r>
      <w:r w:rsidRPr="00E14102">
        <w:rPr>
          <w:color w:val="000000" w:themeColor="text1"/>
          <w:sz w:val="16"/>
          <w:szCs w:val="16"/>
        </w:rPr>
        <w:softHyphen/>
        <w:t>няя вилка - параллелограммная с трубчатыми перьями и цент</w:t>
      </w:r>
      <w:r w:rsidRPr="00E14102">
        <w:rPr>
          <w:color w:val="000000" w:themeColor="text1"/>
          <w:sz w:val="16"/>
          <w:szCs w:val="16"/>
        </w:rPr>
        <w:softHyphen/>
        <w:t>ральной пружиной переменного диаметра навивки. Дорожный просвет - 120 мм, сухая масса - 160 кг. ТИЗ-АМ-600 предполага</w:t>
      </w:r>
      <w:r w:rsidRPr="00E14102">
        <w:rPr>
          <w:color w:val="000000" w:themeColor="text1"/>
          <w:sz w:val="16"/>
          <w:szCs w:val="16"/>
        </w:rPr>
        <w:softHyphen/>
        <w:t>ли использовать в качестве «одиночки», а на хорошей дороге - с коляской. Новые мотоциклы и коляски к ним начали серийно вы</w:t>
      </w:r>
      <w:r w:rsidRPr="00E14102">
        <w:rPr>
          <w:color w:val="000000" w:themeColor="text1"/>
          <w:sz w:val="16"/>
          <w:szCs w:val="16"/>
        </w:rPr>
        <w:softHyphen/>
        <w:t>пускать на ТИЗе в 1936 г. [4.142].</w:t>
      </w:r>
    </w:p>
    <w:p w14:paraId="569FC5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Заместитель наркома НКТП А.П. Медведев утверждал, что ТИЗ-АМ-600 в 1937 г. будут строить не только на ТИЗе, но и на заводе «Красный Октябрь» [4.80], чего не произошло. О количе</w:t>
      </w:r>
      <w:r w:rsidRPr="00E14102">
        <w:rPr>
          <w:color w:val="000000" w:themeColor="text1"/>
          <w:sz w:val="16"/>
          <w:szCs w:val="16"/>
        </w:rPr>
        <w:softHyphen/>
        <w:t>стве ТИЗ-АМ-600 сообщили лишь однажды, когда нарком НКТП Г.К. Орджоникидзе в 1936 г. приказал изготовить 2100 мотоцик</w:t>
      </w:r>
      <w:r w:rsidRPr="00E14102">
        <w:rPr>
          <w:color w:val="000000" w:themeColor="text1"/>
          <w:sz w:val="16"/>
          <w:szCs w:val="16"/>
        </w:rPr>
        <w:softHyphen/>
        <w:t>лов ТИЗ-АМ-600 [4.79]. С того времени эту машину выпускали серийно и поставляли главным образом в Красную Армию и войска НКВД [4.142]. Всего за период 1935-1941 гг. сделали более 12 тыс. экземпляров ТИЗ-АМ-600 [4.93], что отражено в выводе:</w:t>
      </w:r>
    </w:p>
    <w:p w14:paraId="4A6690A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1935-1941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992"/>
      </w:tblGrid>
      <w:tr w:rsidR="00E3599D" w:rsidRPr="00E14102" w14:paraId="723C2146" w14:textId="77777777">
        <w:tc>
          <w:tcPr>
            <w:tcW w:w="959" w:type="dxa"/>
            <w:tcBorders>
              <w:top w:val="single" w:sz="12" w:space="0" w:color="auto"/>
            </w:tcBorders>
            <w:shd w:val="clear" w:color="auto" w:fill="FFFFFF"/>
          </w:tcPr>
          <w:p w14:paraId="5BC892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1935</w:t>
            </w:r>
          </w:p>
        </w:tc>
        <w:tc>
          <w:tcPr>
            <w:tcW w:w="992" w:type="dxa"/>
            <w:tcBorders>
              <w:top w:val="single" w:sz="12" w:space="0" w:color="auto"/>
            </w:tcBorders>
            <w:shd w:val="clear" w:color="auto" w:fill="FFFFFF"/>
          </w:tcPr>
          <w:p w14:paraId="38BAD2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521</w:t>
            </w:r>
          </w:p>
        </w:tc>
      </w:tr>
      <w:tr w:rsidR="00E3599D" w:rsidRPr="00E14102" w14:paraId="70958028" w14:textId="77777777">
        <w:tc>
          <w:tcPr>
            <w:tcW w:w="959" w:type="dxa"/>
            <w:shd w:val="clear" w:color="auto" w:fill="FFFFFF"/>
          </w:tcPr>
          <w:p w14:paraId="07D568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1936</w:t>
            </w:r>
          </w:p>
        </w:tc>
        <w:tc>
          <w:tcPr>
            <w:tcW w:w="992" w:type="dxa"/>
            <w:shd w:val="clear" w:color="auto" w:fill="FFFFFF"/>
          </w:tcPr>
          <w:p w14:paraId="2119A9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tc>
      </w:tr>
      <w:tr w:rsidR="00E3599D" w:rsidRPr="00E14102" w14:paraId="45290723" w14:textId="77777777">
        <w:tc>
          <w:tcPr>
            <w:tcW w:w="959" w:type="dxa"/>
            <w:shd w:val="clear" w:color="auto" w:fill="FFFFFF"/>
          </w:tcPr>
          <w:p w14:paraId="326283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1937</w:t>
            </w:r>
          </w:p>
        </w:tc>
        <w:tc>
          <w:tcPr>
            <w:tcW w:w="992" w:type="dxa"/>
            <w:shd w:val="clear" w:color="auto" w:fill="FFFFFF"/>
          </w:tcPr>
          <w:p w14:paraId="08627B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1545</w:t>
            </w:r>
          </w:p>
        </w:tc>
      </w:tr>
      <w:tr w:rsidR="00E3599D" w:rsidRPr="00E14102" w14:paraId="6863703E" w14:textId="77777777">
        <w:tc>
          <w:tcPr>
            <w:tcW w:w="959" w:type="dxa"/>
            <w:shd w:val="clear" w:color="auto" w:fill="FFFFFF"/>
          </w:tcPr>
          <w:p w14:paraId="5203AC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1938</w:t>
            </w:r>
          </w:p>
        </w:tc>
        <w:tc>
          <w:tcPr>
            <w:tcW w:w="992" w:type="dxa"/>
            <w:shd w:val="clear" w:color="auto" w:fill="FFFFFF"/>
          </w:tcPr>
          <w:p w14:paraId="71FF40B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1530</w:t>
            </w:r>
          </w:p>
        </w:tc>
      </w:tr>
      <w:tr w:rsidR="00E3599D" w:rsidRPr="00E14102" w14:paraId="0D906E22" w14:textId="77777777">
        <w:tc>
          <w:tcPr>
            <w:tcW w:w="959" w:type="dxa"/>
            <w:shd w:val="clear" w:color="auto" w:fill="FFFFFF"/>
          </w:tcPr>
          <w:p w14:paraId="49D5F5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1939</w:t>
            </w:r>
          </w:p>
        </w:tc>
        <w:tc>
          <w:tcPr>
            <w:tcW w:w="992" w:type="dxa"/>
            <w:shd w:val="clear" w:color="auto" w:fill="FFFFFF"/>
          </w:tcPr>
          <w:p w14:paraId="3042CB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1500</w:t>
            </w:r>
          </w:p>
        </w:tc>
      </w:tr>
      <w:tr w:rsidR="00E3599D" w:rsidRPr="00E14102" w14:paraId="56A46B73" w14:textId="77777777">
        <w:tc>
          <w:tcPr>
            <w:tcW w:w="959" w:type="dxa"/>
            <w:shd w:val="clear" w:color="auto" w:fill="FFFFFF"/>
          </w:tcPr>
          <w:p w14:paraId="78DDC3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1940</w:t>
            </w:r>
          </w:p>
        </w:tc>
        <w:tc>
          <w:tcPr>
            <w:tcW w:w="992" w:type="dxa"/>
            <w:shd w:val="clear" w:color="auto" w:fill="FFFFFF"/>
          </w:tcPr>
          <w:p w14:paraId="6EAF50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2826</w:t>
            </w:r>
          </w:p>
        </w:tc>
      </w:tr>
      <w:tr w:rsidR="00E3599D" w:rsidRPr="00E14102" w14:paraId="4373DED6" w14:textId="77777777">
        <w:tc>
          <w:tcPr>
            <w:tcW w:w="959" w:type="dxa"/>
            <w:tcBorders>
              <w:bottom w:val="single" w:sz="12" w:space="0" w:color="auto"/>
            </w:tcBorders>
            <w:shd w:val="clear" w:color="auto" w:fill="FFFFFF"/>
          </w:tcPr>
          <w:p w14:paraId="7CBAFA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1941</w:t>
            </w:r>
          </w:p>
        </w:tc>
        <w:tc>
          <w:tcPr>
            <w:tcW w:w="992" w:type="dxa"/>
            <w:tcBorders>
              <w:bottom w:val="single" w:sz="12" w:space="0" w:color="auto"/>
            </w:tcBorders>
            <w:shd w:val="clear" w:color="auto" w:fill="FFFFFF"/>
          </w:tcPr>
          <w:p w14:paraId="2C1BD9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2970</w:t>
            </w:r>
          </w:p>
        </w:tc>
      </w:tr>
    </w:tbl>
    <w:p w14:paraId="4F38A1B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(11429).</w:t>
      </w:r>
    </w:p>
    <w:p w14:paraId="4A9FD6F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p w14:paraId="7107CA5A"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В 1935 году изготовили первый экспериментальный макет зенитного «радиоискателя», а в 1940-м приняли решение о развертывании системы радиообнаружения под Ленинградом. Со временем развитие радиолокации отодвинуло проблему оптической видимости самолетов на второй план (12703).</w:t>
      </w:r>
    </w:p>
    <w:p w14:paraId="52EAD71B" w14:textId="77777777" w:rsidR="009B093F" w:rsidRPr="00E14102" w:rsidRDefault="009B093F" w:rsidP="00E14102">
      <w:pPr>
        <w:pStyle w:val="ad"/>
        <w:spacing w:before="0" w:after="0"/>
        <w:rPr>
          <w:rFonts w:ascii="Times New Roman" w:hAnsi="Times New Roman" w:cs="Times New Roman"/>
          <w:color w:val="000000" w:themeColor="text1"/>
          <w:sz w:val="16"/>
          <w:szCs w:val="16"/>
          <w:lang w:val="ru-RU"/>
        </w:rPr>
      </w:pPr>
    </w:p>
    <w:p w14:paraId="164AFC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начал строиться Норильский ГМК (Норильский никелевый комбинат НКВД, Норильский горно-металлургический комбинат им. А.П. Завенягина, ОАО «ГМК (горно-металлургическая компания) «Норильский никель» / г. Норильск Красноярского кр./ /Московское представительство:  г. Москва ул. Рождественка, 5/7/). В соответствии с ПСМ от 7.04.1939 г. начато строительство филиала Норильского комбината - аффинажного завода в Красноярске (в 10.1940 г. строительство выделено в самостоятельный завод № 169 НКВД). Первую продукцию ГМК дал в 1942 г. 18.05.1942 г. вышло постановление ГКО № 1770 об увеличении производства никеля на Норильском никелевом комбинате НКВД. 16.03.1943 г. вновь вышло постановление ГКО № 3036 об увеличении выпуска никеля, меди, платины и палладия на комбинате. По распоряжению ГКО № 4241 от 5.10.1943 г. на комбинате закреплено 700 чел. вольнонаемных, освобожденных из заключения. 11.05.1944 г. вышло постановление ГКО № 5858 об обеспечении работы комбината; 25.10.1944 г. - распоряжение ГКО № 6782 о мерах по обеспечению комбината оборудованием. 19.01.1945 г. вышло постановление ГКО № 7366 об увеличении производства никеля на комбинате.</w:t>
      </w:r>
    </w:p>
    <w:p w14:paraId="55CF38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Один из крупнейших в мире производителей никеля, цветных и драгоценных металлов. В составе комбината- никелевый, кобальтовый и медный заводы (1940-е  г.)</w:t>
      </w:r>
    </w:p>
    <w:p w14:paraId="09BF1A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ПСМ № 947 от 4.11.1989 г. образован Государственный концерн по производству цветных и драгоценных металлов «Норильский никель». В состав концерна вошел завод «Красцветмет». В 2001 г. в результате реструктуризации РАО «Норникель» преобразовано в ОАО «ГМК «Норильский никель».</w:t>
      </w:r>
    </w:p>
    <w:p w14:paraId="0377A4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Указу Президента РФ № 1017 от 30.06.1993 г. и распоряжению Госкомимущества № 727-р от 6.04.1994 г. завод «Красцветмет» в 12.1994 г. был преобразован в дочернее ОАО в составе РАО «Норильский никель».</w:t>
      </w:r>
    </w:p>
    <w:p w14:paraId="1FE6E1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Крупнейший в мире (2007 г.) производитель палладия (46,3% мирового производства) и никеля (18,8%), четвертый в мире производитель платины (12,0%).</w:t>
      </w:r>
    </w:p>
    <w:p w14:paraId="7753DF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Производство (2007 г.): добыча и переработка: меди (422,7 тыс. т), никеля (295,2 тыс. т), палладия (96,8 т), платины (23 т), золота, серебра, кобальта, родия. (2009 г.): медь - 402 тыс. т, никель - 283 тыс. т, палладий - 2,8 млн унций, платина - 661 тыс. унций.</w:t>
      </w:r>
    </w:p>
    <w:p w14:paraId="67B3F0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состав ГМК входили (2004 г.): Заполярный филиал, комбинат «Печенганикель»; Оленегорский механический завод и Туимский завод ОЦМ (проданы в 2004 г.). В 2007 г. входила Кольская ГМК. Имелось более 40 дочерних компаний (в т.ч. ООО «Чуголд»),</w:t>
      </w:r>
    </w:p>
    <w:p w14:paraId="7D1B55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2005 г. из состава ГМК выделена компания «Полюс Золото».</w:t>
      </w:r>
    </w:p>
    <w:p w14:paraId="1C9C6F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(28.04.1938-41 г.)- А.П. Завенягин, (1962-69 г.)- В.И. Долгих. Гендиректор (1990-е)- А.В. Филатов, (- 2001 г.)- Д.Т. Хагажеев, (07.2001-03,2007 г.)- М.Д. Прохоров, (16.03.2007-08 г.)- Д.С. Морозов, (7.07-08.2008 г.)- С. Батехин, (08.2008-09 г.-&gt; В.И. Стржалковский.</w:t>
      </w:r>
    </w:p>
    <w:p w14:paraId="386316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1-й зам. гендиректора (01.2000-07.2001  г.)- Д. Хагажеев, по производству (08.2008 г.-)- С. Батехин, (08- 09.2008 г.)- А .В. Попов. Зам. гендиректора (1998 г.-)- В. Кургузов, (2003 г.)- Д. Хагажеев, (2003 г.)- А. Жданов, (2003 г.)- Ю. Басова, (2003-07г&gt; Д.С. Морозов, (2001-03 г.)- А.В. Попов, (2001-05 г.)- Д.В. Разумов, (2004 г.)- С. Алексеев, (06.2004-08 г.-&gt; Р.Т. Морган, (-2006-08 г.-)- М. Финский, (2007 г.)- А. Перов, (2000-е)- Д.С. Ческис; по экономике и финансам (2002-01.2008 г.)- И.А. Комаров, по персоналу и социальной политике (-2006-08 г.-)- О.Ю. Голоден; (2009 г.)- Д. Костоев.</w:t>
      </w:r>
    </w:p>
    <w:p w14:paraId="4C725C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исполнительный (08.2008 г.-)- С. Батехин; финансовый (-02.2009 г.)- О. Лобанов.</w:t>
      </w:r>
    </w:p>
    <w:p w14:paraId="5A5F30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директора ИТ (2008 г.)- А.А. Налетов.</w:t>
      </w:r>
    </w:p>
    <w:p w14:paraId="10C97E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(1958 г.-)- В.И. Долгих, (2000-е)- А.В. Говоров.</w:t>
      </w:r>
    </w:p>
    <w:p w14:paraId="1D0AC4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казначей (2001-03 г.)- А.В. Попов.</w:t>
      </w:r>
    </w:p>
    <w:p w14:paraId="412F5A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департамента: по работе с инвесторами (2007 г.)- Д. Усанов, инвестиционной политики (2008 г.)- Д. Костоев; общественных связей (2007 г.)- С.Ю. Черницын. Руководитель финансово-экономического функционального блока (2007 г.)- И.А. Комаров.</w:t>
      </w:r>
    </w:p>
    <w:p w14:paraId="50A469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директора департамента: (-02.2010 г.)- А. Венецианов.</w:t>
      </w:r>
    </w:p>
    <w:p w14:paraId="4E7A34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Начальники управлений: корпоративных структур (03.1999 г.-)- Д.С. Морозов; по работе с корпоративным капиталом, акционерами и инвесторами- Д.С. Морозов; оперативного контроля (2003-03,2006 г.)- В. Рогожев; анализа и планирования инвестпроектов (-2002 г.)- С.А. Выборное; анализа и развития рынков (2008 г.)- А. </w:t>
      </w:r>
      <w:r w:rsidRPr="00E14102">
        <w:rPr>
          <w:color w:val="000000" w:themeColor="text1"/>
          <w:sz w:val="16"/>
          <w:szCs w:val="16"/>
        </w:rPr>
        <w:lastRenderedPageBreak/>
        <w:t>Берлин; экономического анализа-  Г. Хворостянов; по инвестициям и кредитам (2000 г.-)- С.А. Выборное; ИТ и сервисов (-2007-08 г.-)- А.А. Налетов; правового (2001 г.-)-Д.С. Морозов; общественных связей (2006 г.)- С.Ю. Черницын.</w:t>
      </w:r>
    </w:p>
    <w:p w14:paraId="4146C4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начальника управления информационной техники и связи (2006 г.)- А.А. Налетов.</w:t>
      </w:r>
    </w:p>
    <w:p w14:paraId="52FD98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Заполярный филиал (ЗФ) ГМК «Норильский никель» /п-ов Таймыр/</w:t>
      </w:r>
    </w:p>
    <w:p w14:paraId="65DA0A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Имелся свой горно-металлургический опытно-исследовательский центр, который в 2007 г. вошел в состав ООО «Институт «Гипроникель».</w:t>
      </w:r>
    </w:p>
    <w:p w14:paraId="78C1F6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(-02.2004 г.)- В. Бобров, (02.2004-07 г.-)- В. Томенко.</w:t>
      </w:r>
    </w:p>
    <w:p w14:paraId="441517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1-й зам. директора (-02.2004 г.)- В. Томенко, (-2006-07 г.-)- Е. Романов.</w:t>
      </w:r>
    </w:p>
    <w:p w14:paraId="783C92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Кольская горно-металлургическая компания (ГМК), ОАО «Кольская ГМК» /Мурманская обл./</w:t>
      </w:r>
    </w:p>
    <w:p w14:paraId="46C4F8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состав ГМК входили металлургические комбинаты «Печенганикель», «Североникель». Имелся свой проектно-исследовательский центр, который в 2007 г. вошел в состав ООО «Институт «Гипроникель».</w:t>
      </w:r>
    </w:p>
    <w:p w14:paraId="0D8000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Гендиректор (2003 г.)- Е.В. Романов, (2005 г.)- А.А. Рюмин (11982).</w:t>
      </w:r>
    </w:p>
    <w:p w14:paraId="02AABE0B" w14:textId="77777777" w:rsidR="00D4105E" w:rsidRPr="00E14102" w:rsidRDefault="00D4105E" w:rsidP="00E14102">
      <w:pPr>
        <w:autoSpaceDE w:val="0"/>
        <w:autoSpaceDN w:val="0"/>
        <w:adjustRightInd w:val="0"/>
        <w:jc w:val="both"/>
        <w:rPr>
          <w:color w:val="000000" w:themeColor="text1"/>
          <w:sz w:val="16"/>
          <w:szCs w:val="16"/>
        </w:rPr>
      </w:pPr>
    </w:p>
    <w:p w14:paraId="6B4967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были следующие заводы:</w:t>
      </w:r>
    </w:p>
    <w:p w14:paraId="7A05A9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93 НКТП ВХТОП</w:t>
      </w:r>
    </w:p>
    <w:p w14:paraId="46421F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1935 год</w:t>
      </w:r>
    </w:p>
    <w:p w14:paraId="71CAED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Место: Москва, п/я 754</w:t>
      </w:r>
    </w:p>
    <w:p w14:paraId="111505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Ввод в эксплуатацию: 1931 год (8918)</w:t>
      </w:r>
    </w:p>
    <w:p w14:paraId="6E79C4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Чапаевский химзавод № 2 ВТОПа (завод № 102)</w:t>
      </w:r>
    </w:p>
    <w:p w14:paraId="508668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Строительство завода № 96 ГКТП (военно-химический трест)</w:t>
      </w:r>
    </w:p>
    <w:p w14:paraId="4F6069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1933 год</w:t>
      </w:r>
    </w:p>
    <w:p w14:paraId="40CE49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Игумново (8919)</w:t>
      </w:r>
    </w:p>
    <w:p w14:paraId="44E792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94 НКТП</w:t>
      </w:r>
    </w:p>
    <w:p w14:paraId="02E211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Москва, 86, п/я 2 (8920)</w:t>
      </w:r>
    </w:p>
    <w:p w14:paraId="35D808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3BC9D8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91 НКТП Главхимпрома</w:t>
      </w:r>
    </w:p>
    <w:p w14:paraId="497D25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Место: Бекетовка Сталинградской области (8921)</w:t>
      </w:r>
    </w:p>
    <w:p w14:paraId="611733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1934 год</w:t>
      </w:r>
    </w:p>
    <w:p w14:paraId="520F1B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51 НКТП Главхимпрома (8918).</w:t>
      </w:r>
    </w:p>
    <w:p w14:paraId="28B1D30A" w14:textId="77777777" w:rsidR="00D4105E" w:rsidRPr="00E14102" w:rsidRDefault="00D4105E" w:rsidP="00E14102">
      <w:pPr>
        <w:autoSpaceDE w:val="0"/>
        <w:autoSpaceDN w:val="0"/>
        <w:adjustRightInd w:val="0"/>
        <w:jc w:val="both"/>
        <w:rPr>
          <w:color w:val="000000" w:themeColor="text1"/>
          <w:sz w:val="16"/>
          <w:szCs w:val="16"/>
        </w:rPr>
      </w:pPr>
    </w:p>
    <w:p w14:paraId="48F9F2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снарядный трест включал:</w:t>
      </w:r>
    </w:p>
    <w:p w14:paraId="37D76B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62</w:t>
      </w:r>
    </w:p>
    <w:p w14:paraId="5E4FE7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Место: Ярославль, ул. Свободы, 105</w:t>
      </w:r>
    </w:p>
    <w:p w14:paraId="3A6A30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Ввод в эксплуатацию: 1931 год (8832)</w:t>
      </w:r>
    </w:p>
    <w:p w14:paraId="16C20E7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63</w:t>
      </w:r>
    </w:p>
    <w:p w14:paraId="2DB261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Место: Нижний Тагил Свердловской области</w:t>
      </w:r>
    </w:p>
    <w:p w14:paraId="2F5407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 67</w:t>
      </w:r>
    </w:p>
    <w:p w14:paraId="45A43D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Место: Москва, Вельяминовская, 32</w:t>
      </w:r>
    </w:p>
    <w:p w14:paraId="48E04C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Ввод в эксплуатацию: 1888 год (8833)</w:t>
      </w:r>
    </w:p>
    <w:p w14:paraId="5FDD0A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65 им. Сталина</w:t>
      </w:r>
    </w:p>
    <w:p w14:paraId="3DF653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Место: Таганрог Азово-Черноморского края</w:t>
      </w:r>
    </w:p>
    <w:p w14:paraId="2DE729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Ввод в эксплуатацию: 1916 год</w:t>
      </w:r>
    </w:p>
    <w:p w14:paraId="18304D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68 (Невьянский механический завод)</w:t>
      </w:r>
    </w:p>
    <w:p w14:paraId="10132E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Место: Невьянск Свердловской области</w:t>
      </w:r>
    </w:p>
    <w:p w14:paraId="4AEFFF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Ввод в эксплуатацию: 1701 год</w:t>
      </w:r>
    </w:p>
    <w:p w14:paraId="741B2A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70 им. Владимира Ильича</w:t>
      </w:r>
    </w:p>
    <w:p w14:paraId="5128C3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72 им. Коваля</w:t>
      </w:r>
    </w:p>
    <w:p w14:paraId="23DD5D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Место: Сталино-Донбасс</w:t>
      </w:r>
    </w:p>
    <w:p w14:paraId="7E606B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Ввод в эксплуатацию: 1916 год</w:t>
      </w:r>
    </w:p>
    <w:p w14:paraId="540CC9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72 (Верхнетуринский завод)</w:t>
      </w:r>
    </w:p>
    <w:p w14:paraId="098953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75 Научно-исследовательского снарядного института (НИСИ)</w:t>
      </w:r>
    </w:p>
    <w:p w14:paraId="744AED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Место: Москва (8834)</w:t>
      </w:r>
    </w:p>
    <w:p w14:paraId="797403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Механический завод № 76</w:t>
      </w:r>
    </w:p>
    <w:p w14:paraId="72AE9D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Место: Кабаковск, пр. Ленина</w:t>
      </w:r>
    </w:p>
    <w:p w14:paraId="2FE1CD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Ввод в эксплуатацию: 1931 год (8835)</w:t>
      </w:r>
    </w:p>
    <w:p w14:paraId="04855C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Механический завод им. К. Либкнехта № 77</w:t>
      </w:r>
    </w:p>
    <w:p w14:paraId="0B4994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Место: Ленинград</w:t>
      </w:r>
    </w:p>
    <w:p w14:paraId="20E083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79 им. Ворошилова</w:t>
      </w:r>
    </w:p>
    <w:p w14:paraId="601B0B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Место: Днепропетровск</w:t>
      </w:r>
    </w:p>
    <w:p w14:paraId="088E58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Златоустовский инструментальный завод-комбинат им. Ленина</w:t>
      </w:r>
    </w:p>
    <w:p w14:paraId="57F46E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Ввод в эксплуатацию: 1754 год</w:t>
      </w:r>
    </w:p>
    <w:p w14:paraId="574113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Челябинский завод крупного станкостроения</w:t>
      </w:r>
    </w:p>
    <w:p w14:paraId="768783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Ввод в эксплуатацию: 1935 год</w:t>
      </w:r>
    </w:p>
    <w:p w14:paraId="47CE72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“Сибметаллострой” Главлегмаша НКТП</w:t>
      </w:r>
    </w:p>
    <w:p w14:paraId="560378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Место: ст. Кривощеково Западно-Сибирского края</w:t>
      </w:r>
    </w:p>
    <w:p w14:paraId="5E2E89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Ввод в эксплуатацию: 1932 год</w:t>
      </w:r>
    </w:p>
    <w:p w14:paraId="3A6429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Специальное снарядное бюро НКТП</w:t>
      </w:r>
    </w:p>
    <w:p w14:paraId="2FA599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Место: Ленинград, пр. 25 Октября, 70 (8836)</w:t>
      </w:r>
    </w:p>
    <w:p w14:paraId="7EFEF4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Научно-исследовательский снарядный институт</w:t>
      </w:r>
    </w:p>
    <w:p w14:paraId="16044D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Место: Москва (8832)</w:t>
      </w:r>
    </w:p>
    <w:p w14:paraId="3E1371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был подготовлен справочник:</w:t>
      </w:r>
    </w:p>
    <w:p w14:paraId="0AFAF2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Тяжелая промышленность СССР за 1934 год (ОНТИ НКТП, Москва, 1935 год) (7816).</w:t>
      </w:r>
    </w:p>
    <w:p w14:paraId="584436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 рудники, шахты и промысла тяжелой промышленности (союзные предприятия)</w:t>
      </w:r>
    </w:p>
    <w:p w14:paraId="4BEB65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Нефтедобывающая промышленность</w:t>
      </w:r>
    </w:p>
    <w:p w14:paraId="20A878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Торфяная промышленность (торфопредприятия)</w:t>
      </w:r>
    </w:p>
    <w:p w14:paraId="7A326A8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Сланцевая промышленность</w:t>
      </w:r>
    </w:p>
    <w:p w14:paraId="7B2E14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w:t>
      </w:r>
    </w:p>
    <w:p w14:paraId="31CE15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церезитовый завод</w:t>
      </w:r>
    </w:p>
    <w:p w14:paraId="4A162B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Кашпирский сланце-перегонный завод – Куйбышевский край, Сызранский район</w:t>
      </w:r>
    </w:p>
    <w:p w14:paraId="4F857B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Железорудная и марганцевая промышленность</w:t>
      </w:r>
    </w:p>
    <w:p w14:paraId="4ED474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Коксовая промышленность</w:t>
      </w:r>
    </w:p>
    <w:p w14:paraId="479945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Комбинаты, непосредственно подчиненные ГУМПу</w:t>
      </w:r>
    </w:p>
    <w:p w14:paraId="5E0001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Магнитогорский</w:t>
      </w:r>
    </w:p>
    <w:p w14:paraId="413910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Кузнецкий – Сталинск</w:t>
      </w:r>
    </w:p>
    <w:p w14:paraId="45326F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Кемеровский</w:t>
      </w:r>
    </w:p>
    <w:p w14:paraId="3AE0D7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“Кокс”</w:t>
      </w:r>
    </w:p>
    <w:p w14:paraId="5EBB6A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Кадиевский- Кадиевка, Донбасс</w:t>
      </w:r>
    </w:p>
    <w:p w14:paraId="56E1AA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Алмазнянский- ст. Алмазная, Донбасс</w:t>
      </w:r>
    </w:p>
    <w:p w14:paraId="2A5AC3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Рутченковский – Рутченково, Донбасс</w:t>
      </w:r>
    </w:p>
    <w:p w14:paraId="7701E2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Горловский - Горловка, Донбасс</w:t>
      </w:r>
    </w:p>
    <w:p w14:paraId="1E4A82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Макеевский новый – Макеевка, Донбасс</w:t>
      </w:r>
    </w:p>
    <w:p w14:paraId="2B7427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Макеевский старый – Макеевка, Донбасс</w:t>
      </w:r>
    </w:p>
    <w:p w14:paraId="22154C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Рыковский – Рыково, Донбасс</w:t>
      </w:r>
    </w:p>
    <w:p w14:paraId="2628AB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Н.-Смоляниновский – Сталино, Донбасс</w:t>
      </w:r>
    </w:p>
    <w:p w14:paraId="014DFB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Мушкетовский – Мушкетово, Донбасс</w:t>
      </w:r>
    </w:p>
    <w:p w14:paraId="27AC17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Ханженковский – Ханженково, Донбасс</w:t>
      </w:r>
    </w:p>
    <w:p w14:paraId="100590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Щербиновский – Щербиновский рудник, Донбасс</w:t>
      </w:r>
    </w:p>
    <w:p w14:paraId="4078F9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Ольховский – Успенско-Козловское, Донбасс</w:t>
      </w:r>
    </w:p>
    <w:p w14:paraId="7BF87D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Никитовский – Никитовка</w:t>
      </w:r>
    </w:p>
    <w:p w14:paraId="070490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Брянский и Криворожский – Брянский рудник</w:t>
      </w:r>
    </w:p>
    <w:p w14:paraId="55367A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Сталинский – Сталино</w:t>
      </w:r>
    </w:p>
    <w:p w14:paraId="26056E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Краматорский – Краматорск</w:t>
      </w:r>
    </w:p>
    <w:p w14:paraId="3968C4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Константиновский – Константиновка</w:t>
      </w:r>
    </w:p>
    <w:p w14:paraId="03482C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Ирминский – Ирмино</w:t>
      </w:r>
    </w:p>
    <w:p w14:paraId="02DF68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Алчевский – Ворошиловск</w:t>
      </w:r>
    </w:p>
    <w:p w14:paraId="4FC3DB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Днепропетровский – Днепропетровск</w:t>
      </w:r>
    </w:p>
    <w:p w14:paraId="27D292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Керченский – Керчь</w:t>
      </w:r>
    </w:p>
    <w:p w14:paraId="543E2E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Мариупольский – ст. Сартана</w:t>
      </w:r>
    </w:p>
    <w:p w14:paraId="709064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Каменской – Запорожье-Каменское Днепропетровской области</w:t>
      </w:r>
    </w:p>
    <w:p w14:paraId="6E6D81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Харьковская опытная установка – Харьков</w:t>
      </w:r>
    </w:p>
    <w:p w14:paraId="7A00CD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Запорожский – Запорожье-Кичкас</w:t>
      </w:r>
    </w:p>
    <w:p w14:paraId="0BE9A4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Огнеупорная промышленность</w:t>
      </w:r>
    </w:p>
    <w:p w14:paraId="1D65A3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Магнезитовая промышленность</w:t>
      </w:r>
    </w:p>
    <w:p w14:paraId="5F400A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Черная металлургия</w:t>
      </w:r>
    </w:p>
    <w:p w14:paraId="36E845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Цветная металлургия</w:t>
      </w:r>
    </w:p>
    <w:p w14:paraId="07BA82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Промышленность редких металлов</w:t>
      </w:r>
    </w:p>
    <w:p w14:paraId="193A3B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Машиностроительная и металлообрабатывающая промышленность (тракторостроение, вагоностроение, для легкой и пищевой промышленности ………..)</w:t>
      </w:r>
    </w:p>
    <w:p w14:paraId="6A07F1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Строительная промышленность (цементная, кровельная, деревообрабатывающая)</w:t>
      </w:r>
    </w:p>
    <w:p w14:paraId="4DB6D7E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Химическая промышленность</w:t>
      </w:r>
    </w:p>
    <w:p w14:paraId="7A86DA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Огнеупорная промышленность</w:t>
      </w:r>
    </w:p>
    <w:p w14:paraId="228198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“Огнеупоры”</w:t>
      </w:r>
    </w:p>
    <w:p w14:paraId="60B47C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w:t>
      </w:r>
    </w:p>
    <w:p w14:paraId="0720D0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Боровичевский – Боровичи Московской области</w:t>
      </w:r>
    </w:p>
    <w:p w14:paraId="10F5E5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Латненский – ст. Латная Юго-Восточной ж/д</w:t>
      </w:r>
    </w:p>
    <w:p w14:paraId="44618C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Семилукский – пос. Семилуки Воронежской области</w:t>
      </w:r>
    </w:p>
    <w:p w14:paraId="6D5038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Щекинский – ст. Щекино Московско-Курской ж/д</w:t>
      </w:r>
    </w:p>
    <w:p w14:paraId="3998EC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Подольский – Подольск Московской области</w:t>
      </w:r>
    </w:p>
    <w:p w14:paraId="3ABB81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Сталиногорский – Сталиногорск</w:t>
      </w:r>
    </w:p>
    <w:p w14:paraId="4670A6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Сухоложский – Сухой Лог свердловской области</w:t>
      </w:r>
    </w:p>
    <w:p w14:paraId="6AC127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Первоуральский – ст. Хромпик Пермской ж/д</w:t>
      </w:r>
    </w:p>
    <w:p w14:paraId="0F2351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“Укрогнеупоры”</w:t>
      </w:r>
    </w:p>
    <w:p w14:paraId="590BE3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Артема № 1 – Часов Яр, Донбасс</w:t>
      </w:r>
    </w:p>
    <w:p w14:paraId="382246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Артема № 2 - Часов Яр, Донбасс</w:t>
      </w:r>
    </w:p>
    <w:p w14:paraId="15FDB9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 годовщина Октября” - Часов Яр, Донбасс</w:t>
      </w:r>
    </w:p>
    <w:p w14:paraId="41D3A9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Новый Часов-Ярский - Часов Яр, Донбасс</w:t>
      </w:r>
    </w:p>
    <w:p w14:paraId="701852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“Красный Октябрь” – Константиновка, Донбасс</w:t>
      </w:r>
    </w:p>
    <w:p w14:paraId="701496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“Луч Свободы” - Константиновка, Донбасс</w:t>
      </w:r>
    </w:p>
    <w:p w14:paraId="60EE1C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“Красная Звезда” – ст. Кондратьевка, Донбасс</w:t>
      </w:r>
    </w:p>
    <w:p w14:paraId="29B9A3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Ново-Кондратьевский - ст. Кондратьевка, Донбасс</w:t>
      </w:r>
    </w:p>
    <w:p w14:paraId="51AF64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 Ворошилова – Благодатное</w:t>
      </w:r>
    </w:p>
    <w:p w14:paraId="509F6A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Первомайский – Просяная</w:t>
      </w:r>
    </w:p>
    <w:p w14:paraId="0EB60D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 Карла Маркса – ст. Пантелеймоновка, Донбасс</w:t>
      </w:r>
    </w:p>
    <w:p w14:paraId="792599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 Буденного – Деконская</w:t>
      </w:r>
    </w:p>
    <w:p w14:paraId="326E3A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Гришинский – Постышево, Донбасс</w:t>
      </w:r>
    </w:p>
    <w:p w14:paraId="49BACD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Коксохиммонтаж</w:t>
      </w:r>
    </w:p>
    <w:p w14:paraId="1E6108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Красногоровский завод – Красногоровский завод, Донбасс</w:t>
      </w:r>
    </w:p>
    <w:p w14:paraId="0B9331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Огнеупорные цехи металлургических заводов</w:t>
      </w:r>
    </w:p>
    <w:p w14:paraId="28DAAD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Объединение “Сталь”</w:t>
      </w:r>
    </w:p>
    <w:p w14:paraId="683C48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Сталинский – Сталино, Донбасс</w:t>
      </w:r>
    </w:p>
    <w:p w14:paraId="6BB913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Енакиевский им. Рыкова – Рыково, Донбасс</w:t>
      </w:r>
    </w:p>
    <w:p w14:paraId="3633EF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Сулинский – Красный Сулин</w:t>
      </w:r>
    </w:p>
    <w:p w14:paraId="016D13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 Дзержинского – Запорожье-Каменское</w:t>
      </w:r>
    </w:p>
    <w:p w14:paraId="508F45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 Петровского – Днепропетровск</w:t>
      </w:r>
    </w:p>
    <w:p w14:paraId="237826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Вышневецкий – ст. Вышневецкая Екатерининской ж/д</w:t>
      </w:r>
    </w:p>
    <w:p w14:paraId="5369BB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“Спецсталь”</w:t>
      </w:r>
    </w:p>
    <w:p w14:paraId="1A3A48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w:t>
      </w:r>
    </w:p>
    <w:p w14:paraId="48F681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Златоустовский – Златоуст</w:t>
      </w:r>
    </w:p>
    <w:p w14:paraId="33E559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Верх-Исетский – Свердловск</w:t>
      </w:r>
    </w:p>
    <w:p w14:paraId="00A712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“Красный Октябрь” - Сталинград</w:t>
      </w:r>
    </w:p>
    <w:p w14:paraId="247A25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Белорецкий – Белорецк</w:t>
      </w:r>
    </w:p>
    <w:p w14:paraId="7D016E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Запорожсталь – Кичкас-Запорожье</w:t>
      </w:r>
    </w:p>
    <w:p w14:paraId="3AF9C7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Кабаковский завод – Кабаковск</w:t>
      </w:r>
    </w:p>
    <w:p w14:paraId="1B5576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Ашинский – Аша, Челябинской области</w:t>
      </w:r>
    </w:p>
    <w:p w14:paraId="38BFD6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“Трубосталь”</w:t>
      </w:r>
    </w:p>
    <w:p w14:paraId="328B87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Мариупольский – Мариуполь</w:t>
      </w:r>
    </w:p>
    <w:p w14:paraId="2DD47EA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Таганрогский – Таганрог</w:t>
      </w:r>
    </w:p>
    <w:p w14:paraId="4C0CC4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Выксунский – Выкса, Горьковский край</w:t>
      </w:r>
    </w:p>
    <w:p w14:paraId="20CD2D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“Востокосталь”</w:t>
      </w:r>
    </w:p>
    <w:p w14:paraId="7A670A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Алапаевский – Алапаевск, Урал</w:t>
      </w:r>
    </w:p>
    <w:p w14:paraId="5DFD51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Нижне-Тагильский – Нижний Тагил, Урал</w:t>
      </w:r>
    </w:p>
    <w:p w14:paraId="5A1C87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Нижне-Салдинский – Нижняя Салда, Урал</w:t>
      </w:r>
    </w:p>
    <w:p w14:paraId="1384DA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Верхне-Салдинский – Верхняя Салда, Урал</w:t>
      </w:r>
    </w:p>
    <w:p w14:paraId="6AC737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Кушвинский – Кушва, Урал</w:t>
      </w:r>
    </w:p>
    <w:p w14:paraId="77B1E2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Чусовской – Чусовая, Урал</w:t>
      </w:r>
    </w:p>
    <w:p w14:paraId="7E5C01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Чермозский – завод Чермозский, Урал</w:t>
      </w:r>
    </w:p>
    <w:p w14:paraId="2AB296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Добрянский – Добрянский завод, Урал</w:t>
      </w:r>
    </w:p>
    <w:p w14:paraId="204437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Нижне-Сергинский – Нижне-Сергинский завод</w:t>
      </w:r>
    </w:p>
    <w:p w14:paraId="741291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Верхне-Уфалеиский – Верхний Уфалей, Урал</w:t>
      </w:r>
    </w:p>
    <w:p w14:paraId="075E1D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Первоуральский – Перво-Уральск, Урал</w:t>
      </w:r>
    </w:p>
    <w:p w14:paraId="40933E1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Цехи заводов, непосредственно подчиненных ГУМПу</w:t>
      </w:r>
    </w:p>
    <w:p w14:paraId="6BC0D4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Магнитогорский – Магнитогорск</w:t>
      </w:r>
    </w:p>
    <w:p w14:paraId="5FA1AF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Кузнецкий – Сталинск</w:t>
      </w:r>
    </w:p>
    <w:p w14:paraId="58E484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Гурьевский – Гурьевск Западно-Сибирского края</w:t>
      </w:r>
    </w:p>
    <w:p w14:paraId="51BD27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Катав-Ивановский – Катав-Ивановский завод Челябинской области</w:t>
      </w:r>
    </w:p>
    <w:p w14:paraId="60A802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Цехи заводов малой металлургии</w:t>
      </w:r>
    </w:p>
    <w:p w14:paraId="287961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Краматорский – Краматорск, Донбасс</w:t>
      </w:r>
    </w:p>
    <w:p w14:paraId="5399BB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“Красное Сормово” – Канавино Горьковского края</w:t>
      </w:r>
    </w:p>
    <w:p w14:paraId="4BB541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“Красный Профинтерн” – Бежица Западной области</w:t>
      </w:r>
    </w:p>
    <w:p w14:paraId="03AC90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Кулебакский – Кулебаки Горьковского края</w:t>
      </w:r>
    </w:p>
    <w:p w14:paraId="0E3B05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Воткинский – Воткинск Кировского края</w:t>
      </w:r>
    </w:p>
    <w:p w14:paraId="095A45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Верхне Туринский – Верхняя Тура Свердловской области</w:t>
      </w:r>
    </w:p>
    <w:p w14:paraId="6722F9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Торецкий – Дружковка, Донбасс</w:t>
      </w:r>
    </w:p>
    <w:p w14:paraId="43C922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Кыштымский – Кыштым Челябинской области</w:t>
      </w:r>
    </w:p>
    <w:p w14:paraId="163A5B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Бондюжский – Тихие Горы на Каме</w:t>
      </w:r>
    </w:p>
    <w:p w14:paraId="57C40F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Северский – Северский завод Свердловской области</w:t>
      </w:r>
    </w:p>
    <w:p w14:paraId="17901B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Магнезитовая промышленность</w:t>
      </w:r>
    </w:p>
    <w:p w14:paraId="0E7B7D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“Магнезит” – Сатка, Челябинской области</w:t>
      </w:r>
    </w:p>
    <w:p w14:paraId="3281D1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Черная металлургия</w:t>
      </w:r>
    </w:p>
    <w:p w14:paraId="3957AA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Объединение “Сталь”</w:t>
      </w:r>
    </w:p>
    <w:p w14:paraId="7338D4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Азовсталь им. Орджоникидзе – Мариуполь</w:t>
      </w:r>
    </w:p>
    <w:p w14:paraId="663FE4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Криворожский – Кривой Рог</w:t>
      </w:r>
    </w:p>
    <w:p w14:paraId="3C220F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 Дзержинского – Запорожье Каменское</w:t>
      </w:r>
    </w:p>
    <w:p w14:paraId="01A965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 Петровского – Днепропетровск</w:t>
      </w:r>
    </w:p>
    <w:p w14:paraId="5AB92C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Сталинский – Сталино, Донбасс</w:t>
      </w:r>
    </w:p>
    <w:p w14:paraId="0CFAF1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Енакиевский – Рыково</w:t>
      </w:r>
    </w:p>
    <w:p w14:paraId="1209F18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Макеевский им. Кирова – Макеевка</w:t>
      </w:r>
    </w:p>
    <w:p w14:paraId="228458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 Ворошилова – Ворошиловск</w:t>
      </w:r>
    </w:p>
    <w:p w14:paraId="4A3AB1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Керченский им. Войкова – Керчь</w:t>
      </w:r>
    </w:p>
    <w:p w14:paraId="48CB4B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Краматорский – Краматорская, Донбасс</w:t>
      </w:r>
    </w:p>
    <w:p w14:paraId="3A1082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Константиновский им. Фрунзе – Константиновка, Донбасс</w:t>
      </w:r>
    </w:p>
    <w:p w14:paraId="266D165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Сулинский – Красный Сулин</w:t>
      </w:r>
    </w:p>
    <w:p w14:paraId="41FEED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Кадиевский – ст. Алмазная, Екатерининская ж/д</w:t>
      </w:r>
    </w:p>
    <w:p w14:paraId="6BEA6F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ДЗМО – Днепропетровск</w:t>
      </w:r>
    </w:p>
    <w:p w14:paraId="1BBB51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 Коминтерна – Днепропетровск</w:t>
      </w:r>
    </w:p>
    <w:p w14:paraId="7C3D23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Одесский им. Дзержинского – Одесса</w:t>
      </w:r>
    </w:p>
    <w:p w14:paraId="508C6C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Дебальцевский – Дебальцево, Донбасс</w:t>
      </w:r>
    </w:p>
    <w:p w14:paraId="363B4B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 непосредственно подчиненные ГУМПу</w:t>
      </w:r>
    </w:p>
    <w:p w14:paraId="1BC8E5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Магнитогорский им. Сталина – Магнитогорск</w:t>
      </w:r>
    </w:p>
    <w:p w14:paraId="05151C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Кузнецкий им. Сталина – Сталинск</w:t>
      </w:r>
    </w:p>
    <w:p w14:paraId="160268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Ново-Липецкий – Липецк</w:t>
      </w:r>
    </w:p>
    <w:p w14:paraId="757AE0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Ленметаллургстрой – Ленинград</w:t>
      </w:r>
    </w:p>
    <w:p w14:paraId="0613D2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Косогорский – Тула</w:t>
      </w:r>
    </w:p>
    <w:p w14:paraId="41756EF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“Свободный Сокол” – с. Сокольское Липецкого района</w:t>
      </w:r>
    </w:p>
    <w:p w14:paraId="512EB6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Гурьевский – Гурьевск Западно-Сибирского края</w:t>
      </w:r>
    </w:p>
    <w:p w14:paraId="08192C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Катав-Ивановский – Катав-Ивановск Челябинской области</w:t>
      </w:r>
    </w:p>
    <w:p w14:paraId="48BA8D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Петровск-Забайкальский – Петровск-Забайкальский</w:t>
      </w:r>
    </w:p>
    <w:p w14:paraId="37C18E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Трубосталь</w:t>
      </w:r>
    </w:p>
    <w:p w14:paraId="178784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Мариупольский им. Ильича – Мариуполь</w:t>
      </w:r>
    </w:p>
    <w:p w14:paraId="44ED60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 Карла Либкнехта – Нижнеднепровск</w:t>
      </w:r>
    </w:p>
    <w:p w14:paraId="619E55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 Ленина - Днепропетровск</w:t>
      </w:r>
    </w:p>
    <w:p w14:paraId="123FD3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Таганрогский им. Андреева – Таганрог</w:t>
      </w:r>
    </w:p>
    <w:p w14:paraId="3599D3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Выксунский – Выкса, Горьковский край</w:t>
      </w:r>
    </w:p>
    <w:p w14:paraId="69629E0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Спецсталь</w:t>
      </w:r>
    </w:p>
    <w:p w14:paraId="075568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Запорожсталь – Запорожье-Кичкас</w:t>
      </w:r>
    </w:p>
    <w:p w14:paraId="72904D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“Красный Октябрь” – Сталинград</w:t>
      </w:r>
    </w:p>
    <w:p w14:paraId="24E829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“Серп и Молот” – Москва</w:t>
      </w:r>
    </w:p>
    <w:p w14:paraId="797B25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Электросталь – ст. Электросталь Московской области</w:t>
      </w:r>
    </w:p>
    <w:p w14:paraId="0452A5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Кабаковский – Кабаковск</w:t>
      </w:r>
    </w:p>
    <w:p w14:paraId="7193F3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Верх-Исетский – Свердловск</w:t>
      </w:r>
    </w:p>
    <w:p w14:paraId="53FB77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Златоустовский – Златоуст</w:t>
      </w:r>
    </w:p>
    <w:p w14:paraId="712726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Ашинский – Аша, Урал</w:t>
      </w:r>
    </w:p>
    <w:p w14:paraId="05FA36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Челябинский электроферросплавов – Челябинск</w:t>
      </w:r>
    </w:p>
    <w:p w14:paraId="6B0DC0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Зестафонский – Зестафони, ЗСФСР</w:t>
      </w:r>
    </w:p>
    <w:p w14:paraId="09AB94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“Востокосталь”</w:t>
      </w:r>
    </w:p>
    <w:p w14:paraId="165E8D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Алапаевский – Алапаевск, Урал</w:t>
      </w:r>
    </w:p>
    <w:p w14:paraId="44648D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Синячихинский – В. Синячиха, Урал</w:t>
      </w:r>
    </w:p>
    <w:p w14:paraId="60A1C1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Нижне-Тагильский – Нижний Тагил, Урал</w:t>
      </w:r>
    </w:p>
    <w:p w14:paraId="3895A4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Нижне-Салдинский – Нижняя Салда, Урал</w:t>
      </w:r>
    </w:p>
    <w:p w14:paraId="5FCB1A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Верхне-Салдинский – Верхняя Салда, Урал</w:t>
      </w:r>
    </w:p>
    <w:p w14:paraId="0DD66F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Кушвинский – Кушва, Урал</w:t>
      </w:r>
    </w:p>
    <w:p w14:paraId="76774F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Нижне Туринский – Нижняя Тура, Урал</w:t>
      </w:r>
    </w:p>
    <w:p w14:paraId="5A1EC8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Чусовской – Чусовая, Урал</w:t>
      </w:r>
    </w:p>
    <w:p w14:paraId="69F55F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Теплогорский – Теплая Гора, Урал</w:t>
      </w:r>
    </w:p>
    <w:p w14:paraId="0552DF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Пашийский – Пашия, Урал</w:t>
      </w:r>
    </w:p>
    <w:p w14:paraId="5767649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Чермозский – Чермоз, Урал</w:t>
      </w:r>
    </w:p>
    <w:p w14:paraId="348AEE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Добрянский – Добрянка, Урал</w:t>
      </w:r>
    </w:p>
    <w:p w14:paraId="50F97C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Нижне-Сергинский – Н. Серги, Урал</w:t>
      </w:r>
    </w:p>
    <w:p w14:paraId="0E37B3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Старо-Уткинский – Уткинский завод, Урал</w:t>
      </w:r>
    </w:p>
    <w:p w14:paraId="09F6BC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Первоуральский – Перво-Уральск, Урал</w:t>
      </w:r>
    </w:p>
    <w:p w14:paraId="599995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Уфалейский – в, Уфалей, Урал</w:t>
      </w:r>
    </w:p>
    <w:p w14:paraId="740226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Саткинский – Сатка, Урал</w:t>
      </w:r>
    </w:p>
    <w:p w14:paraId="1191D9E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Крупнейшие заводы малой металлургии</w:t>
      </w:r>
    </w:p>
    <w:p w14:paraId="2360D82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Белорецкий – Белорецк</w:t>
      </w:r>
    </w:p>
    <w:p w14:paraId="5551C9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Зигазинский – Зигазинский завод, Урал</w:t>
      </w:r>
    </w:p>
    <w:p w14:paraId="3DA76D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Первомайский – Ташино Горьковского края</w:t>
      </w:r>
    </w:p>
    <w:p w14:paraId="5B19CF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Кусинский – Куса, Урал</w:t>
      </w:r>
    </w:p>
    <w:p w14:paraId="0848FC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Верхне Туринский – Верхняя Тура Свердловской области</w:t>
      </w:r>
    </w:p>
    <w:p w14:paraId="731BD2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Северский –Свердловск</w:t>
      </w:r>
    </w:p>
    <w:p w14:paraId="0D5B36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Луганский – Луганск</w:t>
      </w:r>
    </w:p>
    <w:p w14:paraId="7F544B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Ижорский – Колпино Ленинградской области</w:t>
      </w:r>
    </w:p>
    <w:p w14:paraId="5FCFDC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Кировский - Ленинград</w:t>
      </w:r>
    </w:p>
    <w:p w14:paraId="445995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Кулебакский – Кулебаки Горьковского края</w:t>
      </w:r>
    </w:p>
    <w:p w14:paraId="3BCB3F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Краммашзавод им. Сталина – Краматорская, Донбасс</w:t>
      </w:r>
    </w:p>
    <w:p w14:paraId="7F3EC7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Лысьвенский – Лысьва, Урал</w:t>
      </w:r>
    </w:p>
    <w:p w14:paraId="266890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“Красное Сормово” – Сормово Горьковского края</w:t>
      </w:r>
    </w:p>
    <w:p w14:paraId="147796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“Красный Профинтерн” – Бежица Западной области</w:t>
      </w:r>
    </w:p>
    <w:p w14:paraId="4AD989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 Марти – Николаев</w:t>
      </w:r>
    </w:p>
    <w:p w14:paraId="166CBD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Уралмашзавод – Свердловск</w:t>
      </w:r>
    </w:p>
    <w:p w14:paraId="64A04D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Воткинский – Вотка, Урал</w:t>
      </w:r>
    </w:p>
    <w:p w14:paraId="74DADD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Торецкий – Дружковка, Донбасс</w:t>
      </w:r>
    </w:p>
    <w:p w14:paraId="0B7C1E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Невский – Ленинград</w:t>
      </w:r>
    </w:p>
    <w:p w14:paraId="339A8AA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Коломенский – ст. Голутвино Московской области</w:t>
      </w:r>
    </w:p>
    <w:p w14:paraId="4AC61B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Им. Шмидта – Баку</w:t>
      </w:r>
    </w:p>
    <w:p w14:paraId="2D06FC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Ревдинский – Ревда, Урал</w:t>
      </w:r>
    </w:p>
    <w:p w14:paraId="0015C1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“Красный гвоздильщик” - Ленинград</w:t>
      </w:r>
    </w:p>
    <w:p w14:paraId="5DA14A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“Красная Этна” - Горький</w:t>
      </w:r>
    </w:p>
    <w:p w14:paraId="0FB1C2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Миньярский – Миньяры, Урал</w:t>
      </w:r>
    </w:p>
    <w:p w14:paraId="317F43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Тирлянский - Тирляны</w:t>
      </w:r>
    </w:p>
    <w:p w14:paraId="7A4981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 местной промышленности</w:t>
      </w:r>
    </w:p>
    <w:p w14:paraId="7109AA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Билимбаевский – Билимбай, Урал</w:t>
      </w:r>
    </w:p>
    <w:p w14:paraId="1ACC95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Песковский – Песковск Горьковского края</w:t>
      </w:r>
    </w:p>
    <w:p w14:paraId="357EEA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Чернохолуницкий – Чернохолуницк Горьковского края</w:t>
      </w:r>
    </w:p>
    <w:p w14:paraId="60FF43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Климковский - Климковский завод Горьковского края</w:t>
      </w:r>
    </w:p>
    <w:p w14:paraId="3BDCAB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Омутниский – Омутнинск Горьковского края</w:t>
      </w:r>
    </w:p>
    <w:p w14:paraId="1B9C77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Кирсинский – Кирса Горьковского края</w:t>
      </w:r>
    </w:p>
    <w:p w14:paraId="5CA9393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Цветная металлургия</w:t>
      </w:r>
    </w:p>
    <w:p w14:paraId="6305B4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Медеплавильные заводы</w:t>
      </w:r>
    </w:p>
    <w:p w14:paraId="6CF8B5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“Уралцветмет”</w:t>
      </w:r>
    </w:p>
    <w:p w14:paraId="1C556F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Красноуральский медеплавильный завод с обогатительной фабрикой – Красноуральск Свердловской области</w:t>
      </w:r>
    </w:p>
    <w:p w14:paraId="14958F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Калатинский медеплавильный завод с обогатительной фабрикой – Калата Свердловской области</w:t>
      </w:r>
    </w:p>
    <w:p w14:paraId="48BB39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Карабашский медеплавильный завод с обогатительной фабрикой – Карабаш Челябинской области</w:t>
      </w:r>
    </w:p>
    <w:p w14:paraId="51A008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Кыштымский электролитный завод – Кыштым Челябинской области</w:t>
      </w:r>
    </w:p>
    <w:p w14:paraId="0370E7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Пышминский электролитный завод – Свердловск</w:t>
      </w:r>
    </w:p>
    <w:p w14:paraId="1D6E6E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Кыштымская фабрика огнеупоров Кыштым Челябинской области</w:t>
      </w:r>
    </w:p>
    <w:p w14:paraId="30874E2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Пышминская обогатительная фабрика – Свердловск, Медный рудник “Пышмастр.”</w:t>
      </w:r>
    </w:p>
    <w:p w14:paraId="51CF33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Автономные комбинаты</w:t>
      </w:r>
    </w:p>
    <w:p w14:paraId="1505C0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Джезказганский медеплавильный комбинат – Карсакпай Казахской АССР</w:t>
      </w:r>
    </w:p>
    <w:p w14:paraId="18C3AEE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Аллавердский медеплавильный комбинат – ст. Аллаверды Закавказских ж/д</w:t>
      </w:r>
    </w:p>
    <w:p w14:paraId="2618BF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Зангезурский медеплавильный комбинат – Кафан. Армянской ССР</w:t>
      </w:r>
    </w:p>
    <w:p w14:paraId="1E6879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Свинцово и цинковоплавильные заводы</w:t>
      </w:r>
    </w:p>
    <w:p w14:paraId="28F8C6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Алтайский полиметаллический комбинат:</w:t>
      </w:r>
    </w:p>
    <w:p w14:paraId="6AE15A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 Ридерское рудоуправление (рудники, обогатительная фабрика, свинцовый завод и опытный завод электролитного цинка) – Риддер Казахской АССР</w:t>
      </w:r>
    </w:p>
    <w:p w14:paraId="625CB9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 Зыряновское рудоуправление (рудники, обогатительная фабрика) – Зыряновский район Казахской АССР</w:t>
      </w:r>
    </w:p>
    <w:p w14:paraId="1A51E0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Сихотэ-Алинский полиметаллический комбинат (рудники, обогатительная фабрика, свинцово-плавильный завод) – Дальне-Восточный край, Ольгинский район, рудник Тетюхе</w:t>
      </w:r>
    </w:p>
    <w:p w14:paraId="5227B3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Садонское рудоуправление (рудники, Мизурская обогатительная фабрика) – Северо-Осетинская автономная область, Горно-Алагирский район с. Мизур</w:t>
      </w:r>
    </w:p>
    <w:p w14:paraId="5830B8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Орджоникидзенское объединенное заводоуправление “Электроцинк” (заводы: свинцовый, цинковый дестилляционный и цинковый электролитный) – Орджоникидзе Северо-Кавказский край</w:t>
      </w:r>
    </w:p>
    <w:p w14:paraId="601059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Чимкентский свинцово-плавильный завод – Чимкент Казахской АССР</w:t>
      </w:r>
    </w:p>
    <w:p w14:paraId="6E5014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Ачисайский полиметаллический комбинат – Туркестан Казахской АССР</w:t>
      </w:r>
    </w:p>
    <w:p w14:paraId="1140DEA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Кансайское полиметаллическое рудоуправление – Ходжент Таджикской ССР</w:t>
      </w:r>
    </w:p>
    <w:p w14:paraId="00AAC3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Беловский цинковый завод с Саллаирским рудником и обогатительной фабрикой – ст. Белово Томской ж/д</w:t>
      </w:r>
    </w:p>
    <w:p w14:paraId="321511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Константиновский цинковый завод – Константиновка, Донбасс</w:t>
      </w:r>
    </w:p>
    <w:p w14:paraId="6D5C02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Кутомарский свинцовый завод – Кутомары, Нерчинский горный округ, Восточно-Сибирский край</w:t>
      </w:r>
    </w:p>
    <w:p w14:paraId="7DCBDC4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Главникельолово</w:t>
      </w:r>
    </w:p>
    <w:p w14:paraId="10CEC8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Уфалейский никелевый завод – В. Уфалей Челябинской области</w:t>
      </w:r>
    </w:p>
    <w:p w14:paraId="67F419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Подольский опытный оловянный завод – Подольск Московской области</w:t>
      </w:r>
    </w:p>
    <w:p w14:paraId="1A8774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Хапчерангинский оловянный рудник с обогатительной фабрикой – ст. Оловянная Забайкальской ж/д Восточно-Сибирского края</w:t>
      </w:r>
    </w:p>
    <w:p w14:paraId="598586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Главаллюминий</w:t>
      </w:r>
    </w:p>
    <w:p w14:paraId="728FCA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Волховский алюминиевый комбинат в составе: глиноземного и электролитного заводов – ст. Волховстрой Мурманской ж/д, Ленинградская область</w:t>
      </w:r>
    </w:p>
    <w:p w14:paraId="1146F4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Днепропетровский алюминиевый комбинат в составе: глиноземного, электролитного и электродного заводов – Кичкас Днепропетровской области</w:t>
      </w:r>
    </w:p>
    <w:p w14:paraId="6A26FF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1-й электродный завод – Москва</w:t>
      </w:r>
    </w:p>
    <w:p w14:paraId="7533F8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Лисичанский опытный глиноземный завод – Лисичанск УССР</w:t>
      </w:r>
    </w:p>
    <w:p w14:paraId="65C631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Промышленность по обработке цветных металлов</w:t>
      </w:r>
    </w:p>
    <w:p w14:paraId="7F7019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1-й завод по обработке цветных металлов им. С. Орджоникидзе – Кольчугино Ивановской области</w:t>
      </w:r>
    </w:p>
    <w:p w14:paraId="0A95C3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Медеобрабатывающий завод “Красный Выборжец” – Ленинград</w:t>
      </w:r>
    </w:p>
    <w:p w14:paraId="2E84C9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Медеплавильный и электролитный завод им. Молотова – Москва</w:t>
      </w:r>
    </w:p>
    <w:p w14:paraId="374106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по обработке цветных металлов им. Ворошилова – Ленинград</w:t>
      </w:r>
    </w:p>
    <w:p w14:paraId="54B415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металлопрокатный завод – Москва</w:t>
      </w:r>
    </w:p>
    <w:p w14:paraId="1BA41A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Подольский литейно-прокатный завод – Подольск</w:t>
      </w:r>
    </w:p>
    <w:p w14:paraId="01A037C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Нытвинский завод – Нытва Свердловской области</w:t>
      </w:r>
    </w:p>
    <w:p w14:paraId="7A890B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Кабельный завод “Севкабель” – Ленинград</w:t>
      </w:r>
    </w:p>
    <w:p w14:paraId="767E08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Кабельный завод “Москабель” – Москва</w:t>
      </w:r>
    </w:p>
    <w:p w14:paraId="5C1420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Кабельный завод “Электропривод” – Москва</w:t>
      </w:r>
    </w:p>
    <w:p w14:paraId="0B24D9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Кабельный завод “Укркабель” им. Красина – Киев</w:t>
      </w:r>
    </w:p>
    <w:p w14:paraId="1FCB89F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Промышленность редких металлов</w:t>
      </w:r>
    </w:p>
    <w:p w14:paraId="5E7988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редких элементов “Редэлем” - Москва</w:t>
      </w:r>
    </w:p>
    <w:p w14:paraId="7785BF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“А” – Москва</w:t>
      </w:r>
    </w:p>
    <w:p w14:paraId="61037F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“Б” – Москва</w:t>
      </w:r>
    </w:p>
    <w:p w14:paraId="5E3B87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Никитовский ртутный комбинат – Никитовка Донецкой области</w:t>
      </w:r>
    </w:p>
    <w:p w14:paraId="2CD6C2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Забайкальский вольфрамовый комбинат – ст. Хадабулак Восточно-Сибирского края</w:t>
      </w:r>
    </w:p>
    <w:p w14:paraId="45DF7E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Техническая контора по внедрению твердых сплавов “Союзтвердосплав” (с тремя опытными заводами) – Москва</w:t>
      </w:r>
    </w:p>
    <w:p w14:paraId="2A0333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Машиностроительная и металлообрабатывающая промышленность</w:t>
      </w:r>
    </w:p>
    <w:p w14:paraId="57DBD6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Главное управление электротехнической промышленности “Главэнергопром”</w:t>
      </w:r>
    </w:p>
    <w:p w14:paraId="27BBD3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Электротехнический трест “ВЭТ”</w:t>
      </w:r>
    </w:p>
    <w:p w14:paraId="6BB473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Электрокомбинат – Москва</w:t>
      </w:r>
    </w:p>
    <w:p w14:paraId="04C100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Электромашиностроительный завод “Динамо” им. Кирова – Москва</w:t>
      </w:r>
    </w:p>
    <w:p w14:paraId="7B3DDF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“Электрик” им. А.К. Скороходова – Ленинград</w:t>
      </w:r>
    </w:p>
    <w:p w14:paraId="0FB54F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“Электроаппарат” - Ленинград</w:t>
      </w:r>
    </w:p>
    <w:p w14:paraId="39C54A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Электромоторный завод им. Лепсе – Москва</w:t>
      </w:r>
    </w:p>
    <w:p w14:paraId="60C0E3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Электромашиностроительный завод “ЯТЭМЗ” – Ярославль</w:t>
      </w:r>
    </w:p>
    <w:p w14:paraId="62E01E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“Электросвет” – Москва</w:t>
      </w:r>
    </w:p>
    <w:p w14:paraId="4AF5CD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Изоляторный завод “Пролетарий” - Ленинград</w:t>
      </w:r>
    </w:p>
    <w:p w14:paraId="52CFF3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Электромоторостроительный и чугунолитейный завод “Ревтруд” - Тамбов</w:t>
      </w:r>
    </w:p>
    <w:p w14:paraId="0EAD36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Запрудненский стекольный завод – Вербилки Московской области</w:t>
      </w:r>
    </w:p>
    <w:p w14:paraId="2610F6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Уральский электромеханический и чугунолитейный завод “Вольта” – ст. Баранчинская Уральской области</w:t>
      </w:r>
    </w:p>
    <w:p w14:paraId="73D95E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Стекольный завод им. Уханова – Москва</w:t>
      </w:r>
    </w:p>
    <w:p w14:paraId="7506A0C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“Электроугли” – ст. Кудиново Московской области</w:t>
      </w:r>
    </w:p>
    <w:p w14:paraId="1A51ED2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Изоляторный завод “Изолятор” – Москва</w:t>
      </w:r>
    </w:p>
    <w:p w14:paraId="540386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“Изолит” – Москва</w:t>
      </w:r>
    </w:p>
    <w:p w14:paraId="265DD2D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Электроизоляционный завод “МЭИЗ” - Москва</w:t>
      </w:r>
    </w:p>
    <w:p w14:paraId="786DD6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бытовых электроприборов – Ярославль</w:t>
      </w:r>
    </w:p>
    <w:p w14:paraId="28D34A8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Электротехнический завод “Красный Маяк” - Ярославль</w:t>
      </w:r>
    </w:p>
    <w:p w14:paraId="4CDEF6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Аккумуляторный трест “ВАКТ”</w:t>
      </w:r>
    </w:p>
    <w:p w14:paraId="209B0E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Аккумуляторный завод “Ленинская Искра” – Ленинград</w:t>
      </w:r>
    </w:p>
    <w:p w14:paraId="7793EF3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Аккумуляторный завод № 2 им. лейтенанта Шмидта – Ленинград</w:t>
      </w:r>
    </w:p>
    <w:p w14:paraId="014C1C6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свинцовых аккумуляторов – Саратов</w:t>
      </w:r>
    </w:p>
    <w:p w14:paraId="5FEA10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“Мосэлемент” – Москва</w:t>
      </w:r>
    </w:p>
    <w:p w14:paraId="317E64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гальванических элементов “Востсибэлемент” – Иркутск</w:t>
      </w:r>
    </w:p>
    <w:p w14:paraId="58F4CE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Саратовский механический завод – Саратов</w:t>
      </w:r>
    </w:p>
    <w:p w14:paraId="42A490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Автономные заводы</w:t>
      </w:r>
    </w:p>
    <w:p w14:paraId="3E52D3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Харьковский электромеханический завод “ХЭМЗ” – Харьков</w:t>
      </w:r>
    </w:p>
    <w:p w14:paraId="0A869C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электромашиностроительный завод “Электросила” - Ленинград</w:t>
      </w:r>
    </w:p>
    <w:p w14:paraId="692502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Невский машиностроительный завод им. Ленина – Ленинград</w:t>
      </w:r>
    </w:p>
    <w:p w14:paraId="4BEE9A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Металлический завод им. Сталина – Ленинград</w:t>
      </w:r>
    </w:p>
    <w:p w14:paraId="1B9D03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Харьковский турбогенераторный завод “ХТГЗ” - Харьков</w:t>
      </w:r>
    </w:p>
    <w:p w14:paraId="718C6E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Котельный завод “Красный котельщик” - Таганрог</w:t>
      </w:r>
    </w:p>
    <w:p w14:paraId="336FB3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Кусинский чугуно-литейный завод – Кусинский завод, Челябинская область</w:t>
      </w:r>
    </w:p>
    <w:p w14:paraId="5F4D911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Топочно-экономайзерный завод “Экономайзер” - Ленинград</w:t>
      </w:r>
    </w:p>
    <w:p w14:paraId="3DC459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Котельный завод “Парострой” - Москва</w:t>
      </w:r>
    </w:p>
    <w:p w14:paraId="30A3BE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Топочный завод им. Малеева и Кангина – Ковров Ивановской области</w:t>
      </w:r>
    </w:p>
    <w:p w14:paraId="14DFD0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Топочный завод “Комега” - Москва</w:t>
      </w:r>
    </w:p>
    <w:p w14:paraId="695C1D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управление локомотивостроения “Главлокомотив”</w:t>
      </w:r>
    </w:p>
    <w:p w14:paraId="0DED3C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Луганский паровозостроительный завод им. Октябрьской революции – Луганск Донецкой области</w:t>
      </w:r>
    </w:p>
    <w:p w14:paraId="6147B1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Коломенский машиностроительный завод – ст. Голутвино Московской области</w:t>
      </w:r>
    </w:p>
    <w:p w14:paraId="166804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управление вагонной промышленности “Главвагонпром”</w:t>
      </w:r>
    </w:p>
    <w:p w14:paraId="2F79B0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Бежицкий паравозовагоностроительный завод “Красный Профинтерн” – Бежица Западной области</w:t>
      </w:r>
    </w:p>
    <w:p w14:paraId="6A825B7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Вагоностроительный завод им. газеты “Правда” – Каменское Днепропетровской области</w:t>
      </w:r>
    </w:p>
    <w:p w14:paraId="25FC78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Калининский вагоностроительный завод – Калинин Московской области</w:t>
      </w:r>
    </w:p>
    <w:p w14:paraId="619609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Крюковский вагоностроительный завод – Крюков на Днепре</w:t>
      </w:r>
    </w:p>
    <w:p w14:paraId="53ECB7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Кулебакский металлургический завод им. С.М. Кирова – Кулебаки Горьковского края</w:t>
      </w:r>
    </w:p>
    <w:p w14:paraId="3B4D99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Вагоностроительный завод им. Егорова – Ленинград</w:t>
      </w:r>
    </w:p>
    <w:p w14:paraId="2AFBCB3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тормозной завод – Москва</w:t>
      </w:r>
    </w:p>
    <w:p w14:paraId="18B0D1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Мытищинский вагоностроительный завод – Мытищи Московской области</w:t>
      </w:r>
    </w:p>
    <w:p w14:paraId="526037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Вагоностроительный завод им. Урицкого – пос. Урицкого, Западная область</w:t>
      </w:r>
    </w:p>
    <w:p w14:paraId="5038DE0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Усть-Катавский вагоностроительный завод – Усть-Катав Челябинской области</w:t>
      </w:r>
    </w:p>
    <w:p w14:paraId="30AA73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Ярославский тормозной завод – Ярославль Ивановской области</w:t>
      </w:r>
    </w:p>
    <w:p w14:paraId="162F47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Первомайский чугуноплавильный и литейный завод – п/о Ташинзавод Горьковского края</w:t>
      </w:r>
    </w:p>
    <w:p w14:paraId="2ED4477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Главное управление автотракторной промышленности</w:t>
      </w:r>
    </w:p>
    <w:p w14:paraId="20C667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Автономные заводы</w:t>
      </w:r>
    </w:p>
    <w:p w14:paraId="767A166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Горьковский автомобильный завод им. Молотова (ГАЗ) – Горький</w:t>
      </w:r>
    </w:p>
    <w:p w14:paraId="44BAB0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Автомобильный завод им. Сталина (ЗИС) – Москва (Ростокинский завод с 1 января 1935 года – филиал ЗИС)</w:t>
      </w:r>
    </w:p>
    <w:p w14:paraId="4907AB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Тракторный завод им. Сталина (ЧТЗ) – Челябинск</w:t>
      </w:r>
    </w:p>
    <w:p w14:paraId="4649BA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Тракторный завод им. Дзержинского (СТЗ) – Сталиншград</w:t>
      </w:r>
    </w:p>
    <w:p w14:paraId="15851B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Тракторный завод им. Орджоникидзе – (ХТЗ) – Харьков</w:t>
      </w:r>
    </w:p>
    <w:p w14:paraId="2E8EAD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Ярославский автомобильный завод (ЯЗ) – Ярославль</w:t>
      </w:r>
    </w:p>
    <w:p w14:paraId="32A48D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Карбюраторный и арматурный завод “Ленкарз” - Ленинград</w:t>
      </w:r>
    </w:p>
    <w:p w14:paraId="6DC336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автотракторного инструмента им. Жданова “ЗАТИ” – Павлово на Оке</w:t>
      </w:r>
    </w:p>
    <w:p w14:paraId="74FEBD1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Механический завод “Красный Октябрь” – Киржач Ивановской области</w:t>
      </w:r>
    </w:p>
    <w:p w14:paraId="6BA8DF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Саратовский карбюраторный завод – Саратов</w:t>
      </w:r>
    </w:p>
    <w:p w14:paraId="489D35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Уфимский моторный завод – Уфа</w:t>
      </w:r>
    </w:p>
    <w:p w14:paraId="52298E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по производству тракторных запчастей и деталей “Трактородеталь”</w:t>
      </w:r>
    </w:p>
    <w:p w14:paraId="1F46C5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Профинтерн” – Одесса</w:t>
      </w:r>
    </w:p>
    <w:p w14:paraId="790DB9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Сибирский завод – Омск</w:t>
      </w:r>
    </w:p>
    <w:p w14:paraId="1E8214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Саратовский завод тракторных деталей – Саратов</w:t>
      </w:r>
    </w:p>
    <w:p w14:paraId="7F5E08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Механический завод им. Буденного – Москва</w:t>
      </w:r>
    </w:p>
    <w:p w14:paraId="55744B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Завод Красный двигатель – Новороссийск</w:t>
      </w:r>
    </w:p>
    <w:p w14:paraId="6979AF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Энгельса – Хортица Днепропетровской области</w:t>
      </w:r>
    </w:p>
    <w:p w14:paraId="7C5640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Средне-Волжский завод – Куйбышев</w:t>
      </w:r>
    </w:p>
    <w:p w14:paraId="1408176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Механический чугунолитейный завод “Ленпромет” – Мичуринск</w:t>
      </w:r>
    </w:p>
    <w:p w14:paraId="1575CC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Медведева – Орел</w:t>
      </w:r>
    </w:p>
    <w:p w14:paraId="63377D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Механический завод им. Лепсе – Киев</w:t>
      </w:r>
    </w:p>
    <w:p w14:paraId="62E3CD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тракторных частей “Октябрь” - Краснодар</w:t>
      </w:r>
    </w:p>
    <w:p w14:paraId="584A59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Ильича – Ташкент</w:t>
      </w:r>
    </w:p>
    <w:p w14:paraId="3751BE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Мариупольский завод тракторных частей – Мариуполь</w:t>
      </w:r>
    </w:p>
    <w:p w14:paraId="560A51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Кагановича – Тамбов</w:t>
      </w:r>
    </w:p>
    <w:p w14:paraId="64E076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Воронежский завод тракторных частей – Воронеж</w:t>
      </w:r>
    </w:p>
    <w:p w14:paraId="1221FC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“Поршень” – Харьков</w:t>
      </w:r>
    </w:p>
    <w:p w14:paraId="3CD253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Оренбургский завод тракторных частей – Оренбург</w:t>
      </w:r>
    </w:p>
    <w:p w14:paraId="6BE4F8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тракторных частей “Октябрь” - Сысертск</w:t>
      </w:r>
    </w:p>
    <w:p w14:paraId="4A24B0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тракторных частей “Октябрь” - Мелекес, Куйбышевский край</w:t>
      </w:r>
    </w:p>
    <w:p w14:paraId="7C89A7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Петуховский чугунолитейный завод – ст. Петухово Уральской области</w:t>
      </w:r>
    </w:p>
    <w:p w14:paraId="47F9C0B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“Рессора” – Москва</w:t>
      </w:r>
    </w:p>
    <w:p w14:paraId="536341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Ростовский завод тракторных частей – Ростов</w:t>
      </w:r>
    </w:p>
    <w:p w14:paraId="21CF63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Каховский завод тракторных частей – Каховка Днепропетровской области (7816).</w:t>
      </w:r>
    </w:p>
    <w:p w14:paraId="2C2AFF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управление с/х машиностроения “Главсельмаш”</w:t>
      </w:r>
    </w:p>
    <w:p w14:paraId="08894A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Ростсельмаш им. Сталина – Ростов</w:t>
      </w:r>
    </w:p>
    <w:p w14:paraId="160E64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“Серп и молот” – Харьков</w:t>
      </w:r>
    </w:p>
    <w:p w14:paraId="412EF9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“Коммунар” – Запорожье</w:t>
      </w:r>
    </w:p>
    <w:p w14:paraId="421ABF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“Красная Звезда” – Кирово, Одесская обл.</w:t>
      </w:r>
    </w:p>
    <w:p w14:paraId="174347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Ухтомского – ст. Люберцы Московской области</w:t>
      </w:r>
    </w:p>
    <w:p w14:paraId="0B1C46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“Октябрьской революции” – Одесса</w:t>
      </w:r>
    </w:p>
    <w:p w14:paraId="56D081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Аксай” им. Фрунзе – Ростов</w:t>
      </w:r>
    </w:p>
    <w:p w14:paraId="17FEB15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комбайнов им. Шеболдаева “Саркомбайн” – Саратов</w:t>
      </w:r>
    </w:p>
    <w:p w14:paraId="20E501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“Ташсельмаш” - Ташкент</w:t>
      </w:r>
    </w:p>
    <w:p w14:paraId="0C6C42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Петровского – Херсон</w:t>
      </w:r>
    </w:p>
    <w:p w14:paraId="303EC4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“Гомсельмаш” – Гомель</w:t>
      </w:r>
    </w:p>
    <w:p w14:paraId="731359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Первомайский завод – Бердянск</w:t>
      </w:r>
    </w:p>
    <w:p w14:paraId="48530B7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“Сибсельмаш” – Омск</w:t>
      </w:r>
    </w:p>
    <w:p w14:paraId="34EAD42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плужной им. Колющенко – Челябинск</w:t>
      </w:r>
    </w:p>
    <w:p w14:paraId="2FDAB2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“Рязсельмаш” – Рязань</w:t>
      </w:r>
    </w:p>
    <w:p w14:paraId="73F6A8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Плуг” – ст. Лаптево Московской области</w:t>
      </w:r>
    </w:p>
    <w:p w14:paraId="58BCA4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Очерский завод – Очеры Свердловской области</w:t>
      </w:r>
    </w:p>
    <w:p w14:paraId="57F834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управление станкостроительной и инструментальной промышленности “Главстанкоинструмент”</w:t>
      </w:r>
    </w:p>
    <w:p w14:paraId="67FD4F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Станкостроительные заводы</w:t>
      </w:r>
    </w:p>
    <w:p w14:paraId="7BE8E6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Пролетарий” – Москва</w:t>
      </w:r>
    </w:p>
    <w:p w14:paraId="30ECB6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револьверных станков им. Серго Орджоникидзе - Москва</w:t>
      </w:r>
    </w:p>
    <w:p w14:paraId="042211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фрезерных станков – Горький, Канавино</w:t>
      </w:r>
    </w:p>
    <w:p w14:paraId="2A0C4CF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Свердлова – Ленинград</w:t>
      </w:r>
    </w:p>
    <w:p w14:paraId="34F1B8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Ленина – Одесса</w:t>
      </w:r>
    </w:p>
    <w:p w14:paraId="383A7B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Чугуно-литейный завод “Станколит” – Москва</w:t>
      </w:r>
    </w:p>
    <w:p w14:paraId="369A6AE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“Комсомолец” – Егорьевск Московской области</w:t>
      </w:r>
    </w:p>
    <w:p w14:paraId="5D03355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ЦК машиностроения – Куйбышев</w:t>
      </w:r>
    </w:p>
    <w:p w14:paraId="5F234C1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“Самоточка” – Москва</w:t>
      </w:r>
    </w:p>
    <w:p w14:paraId="682BBC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Харьковский станкостроительный завод – ст. Лосево Харьковской области</w:t>
      </w:r>
    </w:p>
    <w:p w14:paraId="70F588F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Ильича – Ленинград</w:t>
      </w:r>
    </w:p>
    <w:p w14:paraId="169341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Муромский завод им Орджоникидзе – Муром Горьковского края</w:t>
      </w:r>
    </w:p>
    <w:p w14:paraId="2A55A3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Тульский чугунолитейный завод “Станкострой” - Тула</w:t>
      </w:r>
    </w:p>
    <w:p w14:paraId="328077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Чугунолитейный завод “Центролит” - Ленинград</w:t>
      </w:r>
    </w:p>
    <w:p w14:paraId="0565EC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Станкоконструкция – Москва</w:t>
      </w:r>
    </w:p>
    <w:p w14:paraId="32346B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Инструментальные заводы</w:t>
      </w:r>
    </w:p>
    <w:p w14:paraId="2015AD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Златоустовский завод-комбинат им. Ленина – Златоуст Челябинской области</w:t>
      </w:r>
    </w:p>
    <w:p w14:paraId="7A9E22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Воскова – Сестрорецк Ленинградской области</w:t>
      </w:r>
    </w:p>
    <w:p w14:paraId="1F8FE6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режущих инструментов им. Калинина – Москва</w:t>
      </w:r>
    </w:p>
    <w:p w14:paraId="6E7CB5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пневматических машин “Пневматика” - Ленинград</w:t>
      </w:r>
    </w:p>
    <w:p w14:paraId="41530D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Инструментальщик” - Ленинград</w:t>
      </w:r>
    </w:p>
    <w:p w14:paraId="2A2BB6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контрольно-измерительных приборов “Калибр” – Москва</w:t>
      </w:r>
    </w:p>
    <w:p w14:paraId="69FCB55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Миасский напилочный завод – Миасс Челябинской области</w:t>
      </w:r>
    </w:p>
    <w:p w14:paraId="1EC55B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инструментальный завод – Москва</w:t>
      </w:r>
    </w:p>
    <w:p w14:paraId="144739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Харьковский инструментальный завод – Харьков</w:t>
      </w:r>
    </w:p>
    <w:p w14:paraId="0B784B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Луганский инструментально-напилочный завод им. “Рудь” - Луганск</w:t>
      </w:r>
    </w:p>
    <w:p w14:paraId="20EE1B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Экспериментальный завод режущих инструментов системы Игнатьева – Москва</w:t>
      </w:r>
    </w:p>
    <w:p w14:paraId="69A2A6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Абразивные заводы</w:t>
      </w:r>
    </w:p>
    <w:p w14:paraId="1FE950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Златоустовский завод – Златоуст Челябинской области</w:t>
      </w:r>
    </w:p>
    <w:p w14:paraId="54B0A0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Челябинский завод – Челябинск</w:t>
      </w:r>
    </w:p>
    <w:p w14:paraId="170339F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Тигель” – Луга Ленинградской области</w:t>
      </w:r>
    </w:p>
    <w:p w14:paraId="71D379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точильно-шлифовальных изделий “Смычка” – Луга Ленинградской области</w:t>
      </w:r>
    </w:p>
    <w:p w14:paraId="58F627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Наждачно-механический завод “Ильич” – Ленинград</w:t>
      </w:r>
    </w:p>
    <w:p w14:paraId="7651EB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абразивный завод – Москва</w:t>
      </w:r>
    </w:p>
    <w:p w14:paraId="3FC7C58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управление горного и топливного машиностроения “Главгормаш”</w:t>
      </w:r>
    </w:p>
    <w:p w14:paraId="6DF216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 горнозаводского оборудования</w:t>
      </w:r>
    </w:p>
    <w:p w14:paraId="7B4D5EC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Торецкий завод им. Ворошилова – Донбасс Константиновский район, Дружковка</w:t>
      </w:r>
    </w:p>
    <w:p w14:paraId="623A19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Горловский машиностроительный завод – Горловка Донецкой области</w:t>
      </w:r>
    </w:p>
    <w:p w14:paraId="69EFB8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“Свет шахтера” - Харьков</w:t>
      </w:r>
    </w:p>
    <w:p w14:paraId="2C984B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Сталинский машиностроительный завод им. Рыкова – пос. Григорьевка Донецкой области</w:t>
      </w:r>
    </w:p>
    <w:p w14:paraId="698F91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Луганский машиностроительный завод им. Кассиора – Луганск Донецкой области</w:t>
      </w:r>
    </w:p>
    <w:p w14:paraId="43C1C1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им. К. Маркса – Варварополье Донецкой области</w:t>
      </w:r>
    </w:p>
    <w:p w14:paraId="7B3A1C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 нефтяного машиностроения</w:t>
      </w:r>
    </w:p>
    <w:p w14:paraId="7F6F038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им. лейтенанта Шмидта – Баку</w:t>
      </w:r>
    </w:p>
    <w:p w14:paraId="60E6B7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Крекинго- электровозостроительный завод – Подольск Московской области</w:t>
      </w:r>
    </w:p>
    <w:p w14:paraId="0E1298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“Красный молот” – Грозный</w:t>
      </w:r>
    </w:p>
    <w:p w14:paraId="7A611D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Механический завод им. Рыкова – Баку</w:t>
      </w:r>
    </w:p>
    <w:p w14:paraId="7AAE95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Механический завод “Бакинский рабочий” - Баку</w:t>
      </w:r>
    </w:p>
    <w:p w14:paraId="16A656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Верхне-Сергинский механический завод – Свердловская обл., Н.-Сергинский район</w:t>
      </w:r>
    </w:p>
    <w:p w14:paraId="064A9A2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Механический завод им. Дзержинского – Сураханы, Бакинский округ</w:t>
      </w:r>
    </w:p>
    <w:p w14:paraId="77078DA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им. Петровского – Нью-Йорк Донецкой области</w:t>
      </w:r>
    </w:p>
    <w:p w14:paraId="77D1F2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Механический завод им. Воровского – Свердловск</w:t>
      </w:r>
    </w:p>
    <w:p w14:paraId="4C5E24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Тифлисский механический завод – Тифлис</w:t>
      </w:r>
    </w:p>
    <w:p w14:paraId="52B2FE4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 торфяного машиностроения</w:t>
      </w:r>
    </w:p>
    <w:p w14:paraId="37D2EC4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торфяных машин “Ивторфмаш” – Иваново</w:t>
      </w:r>
    </w:p>
    <w:p w14:paraId="31BF0F8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Сталелитейный и машиностроительный завод им. 1 Мая – Калинин</w:t>
      </w:r>
    </w:p>
    <w:p w14:paraId="09C3563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Псковский завод “Металлист” – Псков</w:t>
      </w:r>
    </w:p>
    <w:p w14:paraId="25CEF0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Ирбитский завод торфяного машиностроения – Ирбит Свердловской области</w:t>
      </w:r>
    </w:p>
    <w:p w14:paraId="0EEDD9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 насосокомпрессорного машиностроения</w:t>
      </w:r>
    </w:p>
    <w:p w14:paraId="55C9BC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“Борец” - Москва</w:t>
      </w:r>
    </w:p>
    <w:p w14:paraId="375466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“Компрессор” – Москва</w:t>
      </w:r>
    </w:p>
    <w:p w14:paraId="3BEF72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 3 им. Калинина – Москва</w:t>
      </w:r>
    </w:p>
    <w:p w14:paraId="6BFF46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“Красный факел” – Москва</w:t>
      </w:r>
    </w:p>
    <w:p w14:paraId="3B5038E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им. Балицкого – Мелитополь</w:t>
      </w:r>
    </w:p>
    <w:p w14:paraId="0FA4C5A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“Красногвардеец” им. Сталина – Одесса</w:t>
      </w:r>
    </w:p>
    <w:p w14:paraId="3F402EB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“Техника безопасности”</w:t>
      </w:r>
    </w:p>
    <w:p w14:paraId="1C4C735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Литейно-механический завод № 1 – Старая Русса Ленинградской области</w:t>
      </w:r>
    </w:p>
    <w:p w14:paraId="3BF213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Трансформаторный завод № 2 – Москва</w:t>
      </w:r>
    </w:p>
    <w:p w14:paraId="50F1132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кислородных приборов № 3 – Орехово-Зуево Московской области</w:t>
      </w:r>
    </w:p>
    <w:p w14:paraId="4B7786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Чугунно-литейный и механический завод № 4 – Орехово-Зуево Московской области</w:t>
      </w:r>
    </w:p>
    <w:p w14:paraId="43716D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5 Техники безопасности – Орел Курской области</w:t>
      </w:r>
    </w:p>
    <w:p w14:paraId="717403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измерительных приборов № 7 – Москва</w:t>
      </w:r>
    </w:p>
    <w:p w14:paraId="0AC831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Ленинградская мастерская № 8 – Ленинград</w:t>
      </w:r>
    </w:p>
    <w:p w14:paraId="3D2F66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управление среднего машиностроения “Главсредмаш”</w:t>
      </w:r>
    </w:p>
    <w:p w14:paraId="5E869D6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“Союздормашина”</w:t>
      </w:r>
    </w:p>
    <w:p w14:paraId="6D528D8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Людиновский машиностроительный и чугуно-литейный завод – Людиново Западной области</w:t>
      </w:r>
    </w:p>
    <w:p w14:paraId="130D5F7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Юго-Камский машиностроительный завод им. Лепсе – Свердловская область</w:t>
      </w:r>
    </w:p>
    <w:p w14:paraId="031370C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Рыбинский завод дорожного машиностроения – Рыбинск</w:t>
      </w:r>
    </w:p>
    <w:p w14:paraId="1BD97B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Николаевский завод “Дормашина” – Николаев</w:t>
      </w:r>
    </w:p>
    <w:p w14:paraId="0171F9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им. Сталина – Кременчуг, УССР</w:t>
      </w:r>
    </w:p>
    <w:p w14:paraId="0C6E11D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“Союзстромстроймашина”</w:t>
      </w:r>
    </w:p>
    <w:p w14:paraId="75AE61A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Воткинский машиностроительный завод – Воткинск Свердловской области</w:t>
      </w:r>
    </w:p>
    <w:p w14:paraId="3DE644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“Рабочий Металлист” – Кострома</w:t>
      </w:r>
    </w:p>
    <w:p w14:paraId="45F168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с/х машиностроения “Красный Пахарь” – Киев</w:t>
      </w:r>
    </w:p>
    <w:p w14:paraId="59302D9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им. Калинина – Воронеж</w:t>
      </w:r>
    </w:p>
    <w:p w14:paraId="285175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Кунгурский экскаваторный завод – Кунгур</w:t>
      </w:r>
    </w:p>
    <w:p w14:paraId="5818C7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Дмитровский чугунно-литейный и механический завод – Дмитров Московской области</w:t>
      </w:r>
    </w:p>
    <w:p w14:paraId="49B4A6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им. Х-летия Октября – Одесса</w:t>
      </w:r>
    </w:p>
    <w:p w14:paraId="3275EF6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Ростовский механический завод – Ростов-на-Дону</w:t>
      </w:r>
    </w:p>
    <w:p w14:paraId="716E19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“Союзлесбуммашина”</w:t>
      </w:r>
    </w:p>
    <w:p w14:paraId="27D766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бумажного машиностроения им. 2-й пятилетки – Ленинград</w:t>
      </w:r>
    </w:p>
    <w:p w14:paraId="0D7C92C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Механический завод “Северный Коммунар” – Вологда Северного края</w:t>
      </w:r>
    </w:p>
    <w:p w14:paraId="7F17D1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Тюменский станкостроительный завод “Механик” – Тюмень</w:t>
      </w:r>
    </w:p>
    <w:p w14:paraId="4FC679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Станкостроительный завод им. Кагановича – Днепропетровск</w:t>
      </w:r>
    </w:p>
    <w:p w14:paraId="0C1FCD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Чугунно-литейный завод “Кировский Металлист” - Киров</w:t>
      </w:r>
    </w:p>
    <w:p w14:paraId="3B2CF3B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“Красный металлист” - Ставрополь, Северо-Кавказского края</w:t>
      </w:r>
    </w:p>
    <w:p w14:paraId="468F7B4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им. Чичерина – Москва</w:t>
      </w:r>
    </w:p>
    <w:p w14:paraId="0979B9B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“Пролетарская Свобода” - Ярославль</w:t>
      </w:r>
    </w:p>
    <w:p w14:paraId="1DD6C1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Чугунно-литейный и механический завод им. Рошаля – Красногвардейск</w:t>
      </w:r>
    </w:p>
    <w:p w14:paraId="52B7123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“Гулок Октября” – Канавино Горьковского края</w:t>
      </w:r>
    </w:p>
    <w:p w14:paraId="544198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им. Калинина – Кинешма Ивановской области</w:t>
      </w:r>
    </w:p>
    <w:p w14:paraId="738710C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Автономные заводы</w:t>
      </w:r>
    </w:p>
    <w:p w14:paraId="1F9B5FD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Выксунский машиностроительный завод – Выкса Горьковского края</w:t>
      </w:r>
    </w:p>
    <w:p w14:paraId="26B766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чугунно-литейный завод им. Котлякова – Ленинград</w:t>
      </w:r>
    </w:p>
    <w:p w14:paraId="64F6A2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управление электро-слаботочной промышленности “Главэспром”</w:t>
      </w:r>
    </w:p>
    <w:p w14:paraId="64CF35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Электровакуумный завод “Светлана” – Ленинград</w:t>
      </w:r>
    </w:p>
    <w:p w14:paraId="7C44A3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Электро-механический завод им. Орджоникидзе – Москва</w:t>
      </w:r>
    </w:p>
    <w:p w14:paraId="7034E53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Телефонный завод “Красная Заря” - Ленинград</w:t>
      </w:r>
    </w:p>
    <w:p w14:paraId="384A50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Радио-аппаратный завод им. Казицкого – Ленинград</w:t>
      </w:r>
    </w:p>
    <w:p w14:paraId="15F225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“Электроприбор” – Ленинград</w:t>
      </w:r>
    </w:p>
    <w:p w14:paraId="05902C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Государственный радиотелефонный завод им. Ленина – Горький</w:t>
      </w:r>
    </w:p>
    <w:p w14:paraId="0717D57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Электромеханический завод им. Кулакова – Ленинград</w:t>
      </w:r>
    </w:p>
    <w:p w14:paraId="386502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Радио-завод им. Коминтерна – Ленинград</w:t>
      </w:r>
    </w:p>
    <w:p w14:paraId="161E0B9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Рентгеновский завод – Москва</w:t>
      </w:r>
    </w:p>
    <w:p w14:paraId="19B096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“Буревестник” – Ленинград</w:t>
      </w:r>
    </w:p>
    <w:p w14:paraId="2695E7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щелочных аккумуляторов – Саратов</w:t>
      </w:r>
    </w:p>
    <w:p w14:paraId="5FD565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“Радиолампа” – ст. Щелково Северной ж/д Московская область</w:t>
      </w:r>
    </w:p>
    <w:p w14:paraId="18A7BF9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точной электромеханики ЗАТЭМ – Москва</w:t>
      </w:r>
    </w:p>
    <w:p w14:paraId="766E5E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“Электросигнал” – Воронеж</w:t>
      </w:r>
    </w:p>
    <w:p w14:paraId="031AC9C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Московский завод сложных радиоприборов “Радиоприбор” - Москва</w:t>
      </w:r>
    </w:p>
    <w:p w14:paraId="35BC96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управление арматурной промышленности “Главармалит”</w:t>
      </w:r>
    </w:p>
    <w:p w14:paraId="1EE32B4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Мышегский труболитейный завод – Мышега Московской области</w:t>
      </w:r>
    </w:p>
    <w:p w14:paraId="0C008B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Заводы и тресты машиностроительной промышленности, не входящие в гл. управления</w:t>
      </w:r>
    </w:p>
    <w:p w14:paraId="0BE166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Кировский машиностроительный и металлургический завод – Ленинград</w:t>
      </w:r>
    </w:p>
    <w:p w14:paraId="6113EB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Ижорский металлургический и машиностроительный завод – Колпино Ленинградской области</w:t>
      </w:r>
    </w:p>
    <w:p w14:paraId="542BD5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Госзавод “Шарикоподшипник № 1” им. Л.М. Кагановича – Москва</w:t>
      </w:r>
    </w:p>
    <w:p w14:paraId="30A813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Уральский завод тяжелого машиностроения им. Серго Орджоникидзе – Свердловск</w:t>
      </w:r>
    </w:p>
    <w:p w14:paraId="3B0068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Краматорский машиностроительный завод им. Сталина – Краматорск УССР</w:t>
      </w:r>
    </w:p>
    <w:p w14:paraId="19A9179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Краматорский машиностроительный завод (старый) – Краматорск УССР</w:t>
      </w:r>
    </w:p>
    <w:p w14:paraId="06FA80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2-й часовой завод – Москва</w:t>
      </w:r>
    </w:p>
    <w:p w14:paraId="531DB28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Госзавод “Шарикоподшипник № 2” – Москва</w:t>
      </w:r>
    </w:p>
    <w:p w14:paraId="3556080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1-й часовой завод – Москва</w:t>
      </w:r>
    </w:p>
    <w:p w14:paraId="407FF15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по дизелестроению “Союздизель”</w:t>
      </w:r>
    </w:p>
    <w:p w14:paraId="075A01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Прогресс” – Б. Токмак УССР</w:t>
      </w:r>
    </w:p>
    <w:p w14:paraId="22E9174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“Двигатель Революции” – Канавино Горьковского края</w:t>
      </w:r>
    </w:p>
    <w:p w14:paraId="632E56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“Русский дизель” – Ленинград</w:t>
      </w:r>
    </w:p>
    <w:p w14:paraId="03C6F08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“Коммунист” – Марксштадт, Автономная республика немцев Поволжья</w:t>
      </w:r>
    </w:p>
    <w:p w14:paraId="0205D3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Дизельный завод им. Сталина – Воронеж</w:t>
      </w:r>
    </w:p>
    <w:p w14:paraId="348D67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“Победа” – Мелитополь, УССР</w:t>
      </w:r>
    </w:p>
    <w:p w14:paraId="2FCB3DD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сталелитейный завод им. 25-го Октября – Первомайск, УССР</w:t>
      </w:r>
    </w:p>
    <w:p w14:paraId="2310E8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им. Дзержинского – Балаково Саратовского края</w:t>
      </w:r>
    </w:p>
    <w:p w14:paraId="5AA23C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точной индустрии “ВОТИ”</w:t>
      </w:r>
    </w:p>
    <w:p w14:paraId="1D04FE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“Точизмеритель” им. Молотова – Москва</w:t>
      </w:r>
    </w:p>
    <w:p w14:paraId="639D26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Теплоизмерительных приборов “Тизприбор” - Москва</w:t>
      </w:r>
    </w:p>
    <w:p w14:paraId="1EE32A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индивидуальных заказов “Стеклоприбор” – Москва</w:t>
      </w:r>
    </w:p>
    <w:p w14:paraId="0BE7F8E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авиационных приборов “Авиаприбор” – Москва</w:t>
      </w:r>
    </w:p>
    <w:p w14:paraId="5D454EA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счетных машин им. Дзержинского – Москва</w:t>
      </w:r>
    </w:p>
    <w:p w14:paraId="46E80DA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1-й госзавод пишущих машин – Урицк Ленинградской области</w:t>
      </w:r>
    </w:p>
    <w:p w14:paraId="4F5F97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автотракторных измерительных приборов “Автоприбор” – Владимир Ивановской области</w:t>
      </w:r>
    </w:p>
    <w:p w14:paraId="2147DF0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“Пирометр” – Ленинград</w:t>
      </w:r>
    </w:p>
    <w:p w14:paraId="5D44524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1-й госзавод счетно-аналитических машин “САМ” - Москва</w:t>
      </w:r>
    </w:p>
    <w:p w14:paraId="211571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метеорологических приборов “Метприбор” - Ленинград</w:t>
      </w:r>
    </w:p>
    <w:p w14:paraId="4EA53B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“Точприбор” – Киев</w:t>
      </w:r>
    </w:p>
    <w:p w14:paraId="33F1F6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испытательных приборов – Москва</w:t>
      </w:r>
    </w:p>
    <w:p w14:paraId="648612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Электромеханический завод “ЛАМО” - Москва</w:t>
      </w:r>
    </w:p>
    <w:p w14:paraId="0678E1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“Метрон” - Москва</w:t>
      </w:r>
    </w:p>
    <w:p w14:paraId="66794B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“Теплоприбор” - Ленинград</w:t>
      </w:r>
    </w:p>
    <w:p w14:paraId="56413C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Автогенный трест “ВАТ” (7816)</w:t>
      </w:r>
    </w:p>
    <w:p w14:paraId="1FC5F00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Автогенный завод № 1 – Москва</w:t>
      </w:r>
    </w:p>
    <w:p w14:paraId="0795B31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Карбидно-кальциевый и кислородно-ацетиленовый завод “Красный Автоген” № 1 – Ленинград</w:t>
      </w:r>
    </w:p>
    <w:p w14:paraId="1504CA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Автогенно-арматурный завод им. Матвеева – Ленинград</w:t>
      </w:r>
    </w:p>
    <w:p w14:paraId="73DE68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Днепропетровский кислородно-ацетиленовый сварочный завод – Днепропетровск</w:t>
      </w:r>
    </w:p>
    <w:p w14:paraId="36631E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Грозненский кислородно-ацетиленовый завод – Грозный</w:t>
      </w:r>
    </w:p>
    <w:p w14:paraId="13A34E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Уральский кислородно-ацетиленовый завод “АВТОГЕН” – Свердловск</w:t>
      </w:r>
    </w:p>
    <w:p w14:paraId="7B153A9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Воронежский кислородно-ацетиленовый и сварочный завод – Воронеж</w:t>
      </w:r>
    </w:p>
    <w:p w14:paraId="7874B5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Саратовский ацетиленовый и сварочный завод – Саратов</w:t>
      </w:r>
    </w:p>
    <w:p w14:paraId="30528E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Ростовский кислородно-ацетиленовый завод – Ростов-на-Дону</w:t>
      </w:r>
    </w:p>
    <w:p w14:paraId="6A35DD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Харьковский кислородно-ацетиленовый завод – Харьков, ст. Лосево</w:t>
      </w:r>
    </w:p>
    <w:p w14:paraId="2F75AD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Автогенный завод “Красный Автоген” № 2 – Ленинград</w:t>
      </w:r>
    </w:p>
    <w:p w14:paraId="50854C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Сталинградский кислородно-ацетиленовый завод – Сталинград</w:t>
      </w:r>
    </w:p>
    <w:p w14:paraId="24C6E8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Бежицкий кислородный завод – Бежица Западной области</w:t>
      </w:r>
    </w:p>
    <w:p w14:paraId="7DD7435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Таганрогский кислородно-ацетиленовый завод – Таганрог</w:t>
      </w:r>
    </w:p>
    <w:p w14:paraId="4640A0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Челябинский кислородно-ацетиленовый завод – Челябинск</w:t>
      </w:r>
    </w:p>
    <w:p w14:paraId="38556F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Ташкентский кислородно-ацетиленовый завод – Ташкент</w:t>
      </w:r>
    </w:p>
    <w:p w14:paraId="409B8A1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Ярославский кислородно-ацетиленовый завод – Ярославль</w:t>
      </w:r>
    </w:p>
    <w:p w14:paraId="2A0D087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Красноярский кислородно-ацетиленовый завод – Красноярск</w:t>
      </w:r>
    </w:p>
    <w:p w14:paraId="5109B57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химического и сахарного машиностроения “Химмаштрест”</w:t>
      </w:r>
    </w:p>
    <w:p w14:paraId="7C83449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им. Фрунзе – Сумы Харьковской области</w:t>
      </w:r>
    </w:p>
    <w:p w14:paraId="52EBFF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“Большевик” – Киев</w:t>
      </w:r>
    </w:p>
    <w:p w14:paraId="42AAEC9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“Красный Гидропресс” – Таганрог Северо-Кавказский край</w:t>
      </w:r>
    </w:p>
    <w:p w14:paraId="324286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“Прогресс” – Бердичев, УССР</w:t>
      </w:r>
    </w:p>
    <w:p w14:paraId="3D1EED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им. Артема – Н.-Днепропетровск., Днепропетровская область</w:t>
      </w:r>
    </w:p>
    <w:p w14:paraId="667CF85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Машиностроительный завод “Красный Октябрь” – Фастов Киевской области</w:t>
      </w:r>
    </w:p>
    <w:p w14:paraId="634FEF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Деревообрабатывающая промышленность</w:t>
      </w:r>
    </w:p>
    <w:p w14:paraId="0C96AB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Объединение “Союзлеспромтяж”</w:t>
      </w:r>
    </w:p>
    <w:p w14:paraId="0B364D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Западно-Двинский деревообрабатывающий комбинат – ст. Западная Двина Западной области</w:t>
      </w:r>
    </w:p>
    <w:p w14:paraId="3D40D39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Фокинский деревообделочный комбинат – Брянск Западной области</w:t>
      </w:r>
    </w:p>
    <w:p w14:paraId="7B017C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Кокоревский деревообделочный комбинат – ст. Кокревка Западной области</w:t>
      </w:r>
    </w:p>
    <w:p w14:paraId="030898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Людиновский деревообделочный комбинат – ст. Людиново Западной области</w:t>
      </w:r>
    </w:p>
    <w:p w14:paraId="7BDE1D3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Почепский деревообделочный комбинат – Почеп Западной области</w:t>
      </w:r>
    </w:p>
    <w:p w14:paraId="1312F4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Основная химическая промышленность</w:t>
      </w:r>
    </w:p>
    <w:p w14:paraId="592BCB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“Союзазот”</w:t>
      </w:r>
    </w:p>
    <w:p w14:paraId="001CC5F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Чернореченский химический комбинат – Дзержинск Горьковского края</w:t>
      </w:r>
    </w:p>
    <w:p w14:paraId="6AE2B2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Сталиногорский азотно-туковый комбинат им. Сталина – Сталиногорск Московской области</w:t>
      </w:r>
    </w:p>
    <w:p w14:paraId="15EC6D1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Горловский азотно-туковый завод – ст. Н.-Горловка, Донбасс</w:t>
      </w:r>
    </w:p>
    <w:p w14:paraId="2A20D01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Сталинский азотный завод - Сталино, Донбасс</w:t>
      </w:r>
    </w:p>
    <w:p w14:paraId="47DC9F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“Уралосновхим”</w:t>
      </w:r>
    </w:p>
    <w:p w14:paraId="75CFCB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Уральский хромпиковый завод им. “Х-летия Октября” – ст. Хромпик Уральской области</w:t>
      </w:r>
    </w:p>
    <w:p w14:paraId="3FBD37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Бондюжский завод им. Карпова – ст. Бондюжский завод Елабужского района, Татреспублика</w:t>
      </w:r>
    </w:p>
    <w:p w14:paraId="591078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Полевский криолитовый завод – ст. Полевской завод, Свердловской области</w:t>
      </w:r>
    </w:p>
    <w:p w14:paraId="67DD20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Пермский суперфосфатный завод – разъезд № 100-кислотный Пермской ж/д</w:t>
      </w:r>
    </w:p>
    <w:p w14:paraId="292222B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Калатинский завод – Калата Свердловской области</w:t>
      </w:r>
    </w:p>
    <w:p w14:paraId="1D9B1B4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Автономные союзные заводы</w:t>
      </w:r>
    </w:p>
    <w:p w14:paraId="6272473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Березниковский химический комбинат им. Ворошилова – Березники Ворошиловского района Свердловской области</w:t>
      </w:r>
    </w:p>
    <w:p w14:paraId="5523BD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Тентелевский завод “Красный химик” - Ленинград</w:t>
      </w:r>
    </w:p>
    <w:p w14:paraId="573689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Щелковский завод – ст. Щелково Московской области</w:t>
      </w:r>
    </w:p>
    <w:p w14:paraId="6256BC2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Воскресенский химический комбинат – Воскресенск, п/о Кривякино Московской области</w:t>
      </w:r>
    </w:p>
    <w:p w14:paraId="347D7A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Невский химический комбинат – Ленинград</w:t>
      </w:r>
    </w:p>
    <w:p w14:paraId="4CCD0D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Войкова – Москва, Петровско-Разумовское</w:t>
      </w:r>
    </w:p>
    <w:p w14:paraId="719418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Караклисский химический завод – Караклис-Лори Армянской АССР</w:t>
      </w:r>
    </w:p>
    <w:p w14:paraId="598DD23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Актюбинский химический завод – ст. Алга, Казакская АССР</w:t>
      </w:r>
    </w:p>
    <w:p w14:paraId="30C704D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Промышленность синтетического каучука</w:t>
      </w:r>
    </w:p>
    <w:p w14:paraId="5E126D8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“СК”</w:t>
      </w:r>
    </w:p>
    <w:p w14:paraId="040176D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Ярославский завод СК № 1 – Ярославль</w:t>
      </w:r>
    </w:p>
    <w:p w14:paraId="4738EDE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Воронежский завод СК № 2 – Воронеж</w:t>
      </w:r>
    </w:p>
    <w:p w14:paraId="6E0C4C1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Ефремовский завод СК № 3 – Ефремово Московской области</w:t>
      </w:r>
    </w:p>
    <w:p w14:paraId="68CF70D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Казанский завод СК № 4 – Казань, Татреспублика</w:t>
      </w:r>
    </w:p>
    <w:p w14:paraId="792886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Промышленность пластических масс</w:t>
      </w:r>
    </w:p>
    <w:p w14:paraId="22A99A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“Союзхимпластмасс”</w:t>
      </w:r>
    </w:p>
    <w:p w14:paraId="5F87958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Охтинский завод – Ленинград</w:t>
      </w:r>
    </w:p>
    <w:p w14:paraId="6F7F32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“Комсомольская Правда” – Ленинград</w:t>
      </w:r>
    </w:p>
    <w:p w14:paraId="7DCECFD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“Карболит” – Орехово-Зуево, Московской области</w:t>
      </w:r>
    </w:p>
    <w:p w14:paraId="0208C5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“Большевик” – Одесса</w:t>
      </w:r>
    </w:p>
    <w:p w14:paraId="2588AC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Баранова – ст. Столбовая Лопасненского района Московской области</w:t>
      </w:r>
    </w:p>
    <w:p w14:paraId="073B315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Владимирский завод – Владимир Ивановской области</w:t>
      </w:r>
    </w:p>
    <w:p w14:paraId="04E120C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Баумана – ст. Кусково Московской области</w:t>
      </w:r>
    </w:p>
    <w:p w14:paraId="4BB2B53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опытный завод пластических масс – Ленинград</w:t>
      </w:r>
    </w:p>
    <w:p w14:paraId="21DF4A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Лакокрасочная промышленность</w:t>
      </w:r>
    </w:p>
    <w:p w14:paraId="0E395DC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“Лакокраска”</w:t>
      </w:r>
    </w:p>
    <w:p w14:paraId="49CF4FE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2 “Победа Рабочих” – Ярославль Ивановской области</w:t>
      </w:r>
    </w:p>
    <w:p w14:paraId="3138CB4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Пресненский завод – Москва</w:t>
      </w:r>
    </w:p>
    <w:p w14:paraId="6ADC0A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Менделеева – Ленинград</w:t>
      </w:r>
    </w:p>
    <w:p w14:paraId="169B60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 1 “Свободный Труд” - Ярославль Ивановской области</w:t>
      </w:r>
    </w:p>
    <w:p w14:paraId="61D17F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им. Воровского – Ленинград</w:t>
      </w:r>
    </w:p>
    <w:p w14:paraId="3D0758D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“Республика” - Ленинград</w:t>
      </w:r>
    </w:p>
    <w:p w14:paraId="5DE875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Синькалиевый завод – м. Юдинка Родниковского района Ивановской области</w:t>
      </w:r>
    </w:p>
    <w:p w14:paraId="39F7E09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Анило-красочная промышленность</w:t>
      </w:r>
    </w:p>
    <w:p w14:paraId="7570D4A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Рубежанский завод – Донецкая область</w:t>
      </w:r>
    </w:p>
    <w:p w14:paraId="049B00E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Дорогомиловский завод – Москва</w:t>
      </w:r>
    </w:p>
    <w:p w14:paraId="497E900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Дербеневский завод – Москва</w:t>
      </w:r>
    </w:p>
    <w:p w14:paraId="176875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Бутырский завод – Москва</w:t>
      </w:r>
    </w:p>
    <w:p w14:paraId="1D66D2C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Кинешемский завод – Кинешма Ивановской области</w:t>
      </w:r>
    </w:p>
    <w:p w14:paraId="0CB0A4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Резиновая промышленность</w:t>
      </w:r>
    </w:p>
    <w:p w14:paraId="6F93B5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комбинат “Красный треугольник” - Ленинград</w:t>
      </w:r>
    </w:p>
    <w:p w14:paraId="10ABF9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Ярославский резино-асбестовый комбинат – Ярославль</w:t>
      </w:r>
    </w:p>
    <w:p w14:paraId="30878C6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богатырь” – Москва</w:t>
      </w:r>
    </w:p>
    <w:p w14:paraId="5B21792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“Каучук” - Москва</w:t>
      </w:r>
    </w:p>
    <w:p w14:paraId="2E316F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Кардо-регенераторный завод – Москва</w:t>
      </w:r>
    </w:p>
    <w:p w14:paraId="399768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Ленинградский асбестовый завод – Ленинград</w:t>
      </w:r>
    </w:p>
    <w:p w14:paraId="009DE42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“Красный резинщик” - Киев</w:t>
      </w:r>
    </w:p>
    <w:p w14:paraId="4445D8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Егорьевская фабрика тормозной ленты – Егорьевск Московской области</w:t>
      </w:r>
    </w:p>
    <w:p w14:paraId="46A297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Кудиновский сажевый завод – ст. Кудиново Ногинского района Московской области</w:t>
      </w:r>
    </w:p>
    <w:p w14:paraId="668834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“Союзтехноткань”</w:t>
      </w:r>
    </w:p>
    <w:p w14:paraId="124DD1A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“Красный Перекоп” - Ярославль</w:t>
      </w:r>
    </w:p>
    <w:p w14:paraId="4E7146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“Красный маяк” - Ленинград</w:t>
      </w:r>
    </w:p>
    <w:p w14:paraId="6AADF4E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Щелковская фабрика химических пропиток и технической обработки тканей – Щелково Московской области</w:t>
      </w:r>
    </w:p>
    <w:p w14:paraId="2E9951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им. Ногина – ст. Кунцево Московской области</w:t>
      </w:r>
    </w:p>
    <w:p w14:paraId="4ACF16C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Обуховский комбинат им. Рудзутак – пос. Обухово Ногинского района Московской области</w:t>
      </w:r>
    </w:p>
    <w:p w14:paraId="05AAE8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Шерсто-прядильный ткацкий комбинат приводных ремней и прессукна – ст. Домодедово Подольского района Московской области</w:t>
      </w:r>
    </w:p>
    <w:p w14:paraId="089807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Одесский канатный завод – Одесса</w:t>
      </w:r>
    </w:p>
    <w:p w14:paraId="4B57B3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“Приводной ремень” – Москва</w:t>
      </w:r>
    </w:p>
    <w:p w14:paraId="7E8FBAC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“Победа Октября” – Москва</w:t>
      </w:r>
    </w:p>
    <w:p w14:paraId="6AFE4C7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Комбинат пожарных рукавов им. XIII годовщины Красной Армии – ст. Павлов-Посад Московской области</w:t>
      </w:r>
    </w:p>
    <w:p w14:paraId="38C89D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“Серп и молот” – п/о ст. Хотьково Воскресенского района Московской области</w:t>
      </w:r>
    </w:p>
    <w:p w14:paraId="034EB5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“Декоративткань” – Москва</w:t>
      </w:r>
    </w:p>
    <w:p w14:paraId="7D83A79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шитых ремней и транспортеров – ст. Тушино Красногорского района Московской области</w:t>
      </w:r>
    </w:p>
    <w:p w14:paraId="3EC1CB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Фабрика им. Лебедева – ст. Павшино Красногорского района Московской области</w:t>
      </w:r>
    </w:p>
    <w:p w14:paraId="2BB7A77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Краснознаменская ткацкая фабрика – платформа Соколовская Щелковского района Московской области</w:t>
      </w:r>
    </w:p>
    <w:p w14:paraId="3FA179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3-я х/б фабрика технических и подкладочных тканей – с. Горбуново Загорского района Московской области</w:t>
      </w:r>
    </w:p>
    <w:p w14:paraId="30BBE63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4-я х/б фабрика технических и подкладочных тканей – ст. Завидово Московской области</w:t>
      </w:r>
    </w:p>
    <w:p w14:paraId="337CD9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Костеревская фабрика “Труд” – дер. Липна Петушинского района Московской области</w:t>
      </w:r>
    </w:p>
    <w:p w14:paraId="57B8878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“Союзлабореактив”</w:t>
      </w:r>
    </w:p>
    <w:p w14:paraId="5D35697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Стекольный завод “Дружная горка” – ст. Строганово Ленинградской области</w:t>
      </w:r>
    </w:p>
    <w:p w14:paraId="651CD9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Стеклодувный завод “Лаборприбор” – Клин Московской области</w:t>
      </w:r>
    </w:p>
    <w:p w14:paraId="1EDF04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Клинский стекольный завод № 1 – Клин Московской области</w:t>
      </w:r>
    </w:p>
    <w:p w14:paraId="6CB696F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Реактивный завод – Свердловск</w:t>
      </w:r>
    </w:p>
    <w:p w14:paraId="33CB14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Трест “Союзкаолин”</w:t>
      </w:r>
    </w:p>
    <w:p w14:paraId="10DB22D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Глуховецкий каолиновый завод – с. Глуховцы Юго-Западной ж/д</w:t>
      </w:r>
    </w:p>
    <w:p w14:paraId="41D36C8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Приазовская каолиновая группа – ст. Пологи Днепропетровской области</w:t>
      </w:r>
    </w:p>
    <w:p w14:paraId="66F6CD7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Турбовский каолиновый завод – ст. Турбово Западной ж/д</w:t>
      </w:r>
    </w:p>
    <w:p w14:paraId="2534E29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Просяновский каолиновый завод – ст. Просяная Екатер. ж/д (7816).</w:t>
      </w:r>
    </w:p>
    <w:p w14:paraId="78E66418" w14:textId="77777777" w:rsidR="00D4105E" w:rsidRPr="00E14102" w:rsidRDefault="00D4105E" w:rsidP="00E14102">
      <w:pPr>
        <w:autoSpaceDE w:val="0"/>
        <w:autoSpaceDN w:val="0"/>
        <w:adjustRightInd w:val="0"/>
        <w:jc w:val="both"/>
        <w:rPr>
          <w:color w:val="000000" w:themeColor="text1"/>
          <w:sz w:val="16"/>
          <w:szCs w:val="16"/>
        </w:rPr>
      </w:pPr>
    </w:p>
    <w:p w14:paraId="399ADC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действие договора 1929 г. с Фордом было досрочно прекращено по обоюдному согласию сторон и без финансовых претензий, но компания Форда не порывала своих отношений с Советским Союзом. Новая их страница открылась в годы второй мировой войны (11506).</w:t>
      </w:r>
    </w:p>
    <w:p w14:paraId="0504A824" w14:textId="77777777" w:rsidR="00D4105E" w:rsidRPr="00E14102" w:rsidRDefault="00D4105E" w:rsidP="00E14102">
      <w:pPr>
        <w:autoSpaceDE w:val="0"/>
        <w:autoSpaceDN w:val="0"/>
        <w:adjustRightInd w:val="0"/>
        <w:jc w:val="both"/>
        <w:rPr>
          <w:color w:val="000000" w:themeColor="text1"/>
          <w:sz w:val="16"/>
          <w:szCs w:val="16"/>
        </w:rPr>
      </w:pPr>
    </w:p>
    <w:p w14:paraId="1EB32414" w14:textId="77777777" w:rsidR="004428EE" w:rsidRPr="00E14102" w:rsidRDefault="004428EE" w:rsidP="00E14102">
      <w:pPr>
        <w:jc w:val="both"/>
        <w:rPr>
          <w:color w:val="000000" w:themeColor="text1"/>
          <w:sz w:val="16"/>
          <w:szCs w:val="16"/>
        </w:rPr>
      </w:pPr>
      <w:r w:rsidRPr="00E14102">
        <w:rPr>
          <w:color w:val="000000" w:themeColor="text1"/>
          <w:sz w:val="16"/>
          <w:szCs w:val="16"/>
        </w:rPr>
        <w:t xml:space="preserve">В 1935 году несколько </w:t>
      </w:r>
      <w:r w:rsidR="00C7207C" w:rsidRPr="00E14102">
        <w:rPr>
          <w:color w:val="000000" w:themeColor="text1"/>
          <w:sz w:val="16"/>
          <w:szCs w:val="16"/>
        </w:rPr>
        <w:t>ЯГ-10</w:t>
      </w:r>
      <w:r w:rsidRPr="00E14102">
        <w:rPr>
          <w:color w:val="000000" w:themeColor="text1"/>
          <w:sz w:val="16"/>
          <w:szCs w:val="16"/>
        </w:rPr>
        <w:t xml:space="preserve"> были оборудованы цистернами ленинградского завода «Промет» эллиптической формы емкостью 8000 литров – самыми большими и вместительными отечественными автоцистернами в тогдашнем СССР. Кроме того, в середине 1930-х в НАТИ были созданы образцы пожарной техники на шасси ЯГ-10 с открытыми полукабинами: цистерна емкостью 4500 л и мощный пожарный автонасос, приводимый в действие собственным двигателем, установленным в корме машины. 8000-литровые цистерны на шасси ЯГ-10 производства завода «Промет» (Ленинград) стали самыми большими автоцистернами в довоенном СССР (12201).</w:t>
      </w:r>
    </w:p>
    <w:p w14:paraId="597BD32E" w14:textId="77777777" w:rsidR="004428EE" w:rsidRPr="00E14102" w:rsidRDefault="004428EE" w:rsidP="00E14102">
      <w:pPr>
        <w:jc w:val="both"/>
        <w:rPr>
          <w:color w:val="000000" w:themeColor="text1"/>
          <w:sz w:val="16"/>
          <w:szCs w:val="16"/>
        </w:rPr>
      </w:pPr>
    </w:p>
    <w:p w14:paraId="7E61633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1935 году практически замороженную стройку НТМК посетил Г.К. Орджоникидзе и после его визита план по строительству НТМК был снова «уточнен» - то есть, опять поставлен с ног на голову. Комбинат не был предназначен для производства спецсталей, но высшее руководство распорядилось приступить к строительству на предприятии в первую очередь бандажного и колесопрокатного цехов. Следовательно, необходимо было закупать новые агрегаты, причем поскольку такого оборудования в СССР не производилось, речь шла о закупках за границей. В итоге произошла очередная ломка проекта. </w:t>
      </w:r>
    </w:p>
    <w:p w14:paraId="792887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Неимоверно раздутые советской пропагандой «успехи» индустриализации на самом деле часто были скромнее. После первого «рывка» в 1928-1933 годах, неоднократно воспетого советским Агитпропом, последовал закономерный откат, который в 1936-1939 годах в металлургии превратился в стагнацию. Он был обусловлен несколькими факторами, в числе которых стоит назвать сокращение кредитования СССР со стороны западных государств, продолжающееся падение цен на сырье на мировом рынке, что наносило серьезный ущерб советскому экспорту (так, к примеру, стоимость пшеницы в 1930-1935 годах была в 6-8 раз ниже, чем в 1925-1929 годах), а также уничтожением в 1935-1938 годах опытных инженерных кадров, авралом и штурмовщиной. Кроме того, ряд западных стран (США, Франция, Бельгия и Англия) сознательно вводили ограничения на продажу СССР некоторой машиностроительной продукции, например, по производству высококачественных и специальных сталей, с которыми у Страны Советов дела обстояли крайне плохо. Контакты с другим важным поставщиком машиностроительного оборудования – </w:t>
      </w:r>
      <w:r w:rsidRPr="00E14102">
        <w:rPr>
          <w:color w:val="000000" w:themeColor="text1"/>
          <w:sz w:val="16"/>
          <w:szCs w:val="16"/>
        </w:rPr>
        <w:lastRenderedPageBreak/>
        <w:t>Германией, после прихода в ней Гитлера к власти были серьезно сокращены. Особенно заметным сокращение контактов стало в области ведущего управления Наркомчермета - Главспецстали, которое консультировали и даже помогали в прямом руководстве им специалисты фирмы Круппа.</w:t>
      </w:r>
    </w:p>
    <w:p w14:paraId="22F28F0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Валютные резервы СССР были скромны, и несмотря на расширяющееся применение бесплатной рабской силы заключенных, вести одновременно строительство нескольких крупных металлургических комбинатов страна была не в состоянии. Денег и рабсилы не хватало даже на т.н. «всесоюзные ударные стройки». Поэтому с 1934 года (в этом году НТМК уже должен был бы дать первую продукцию - чугун, кстати) строительство комбината замораживается. Из почти 3,5 тыс. строителей более 2,5 тыс. человек переводится на другие объекты, в частности, возведение медеплавильных заводов на Урале. Случай с НТМК не был исключением, примерно в то же время было заморожено строительство Бакальского металлургического завода и отложен проект по созданию Орско-Халиловского комбината. Всего в 1934 году только на Урале было приостановлено строительство 55 новых индустриальных объектов. </w:t>
      </w:r>
    </w:p>
    <w:p w14:paraId="4E66890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1934-1937 годах строительство на НТМК практически не продвигалось. За это время советские индустриализаторы сумели построить лишь несколько мелких вспомогательных объектов. Откладывалось введение в строй колесопрокатного и бандажного цехов, которые должны были бы выправить ситуацию с производством качественной продукции, поскольку аналогичные цеха на Уралвагонзаводе не справлялись с этим заданием и гнали брак (11514).</w:t>
      </w:r>
    </w:p>
    <w:p w14:paraId="4EA32722" w14:textId="77777777" w:rsidR="00D4105E" w:rsidRPr="00E14102" w:rsidRDefault="00D4105E" w:rsidP="00E14102">
      <w:pPr>
        <w:autoSpaceDE w:val="0"/>
        <w:autoSpaceDN w:val="0"/>
        <w:adjustRightInd w:val="0"/>
        <w:jc w:val="both"/>
        <w:rPr>
          <w:color w:val="000000" w:themeColor="text1"/>
          <w:sz w:val="16"/>
          <w:szCs w:val="16"/>
        </w:rPr>
      </w:pPr>
    </w:p>
    <w:p w14:paraId="6421248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на заводе им. Кулакова началось производство стартстопный телеграфных аппаратов СТ-35 («Советский телетайп» обр. 1935 г.), который неодно кратно модернизировался и проработал на телеграфных линиях страны около полувека. Его разработка шла почти параллельно с работами над НОТА-34 и осуществлялась коллективом инженеров в составе С.И. Часовикова, Н.Г. Гагари на, Н.А. Волкова и др. (Военные связисты в боях за Родину / В.П. Зайцев, П.М. Анисимов, И.В. Борисов и др. / Под ред. А.И. Белова. - М.: Воениздат, 1984. С. 70.)</w:t>
      </w:r>
      <w:r w:rsidRPr="00E14102">
        <w:rPr>
          <w:iCs/>
          <w:color w:val="000000" w:themeColor="text1"/>
          <w:sz w:val="16"/>
          <w:szCs w:val="16"/>
        </w:rPr>
        <w:t xml:space="preserve">. </w:t>
      </w:r>
      <w:r w:rsidRPr="00E14102">
        <w:rPr>
          <w:color w:val="000000" w:themeColor="text1"/>
          <w:sz w:val="16"/>
          <w:szCs w:val="16"/>
        </w:rPr>
        <w:t>СТ-35 был сделан по образцу американского телетайпа типа Т-14 и отличается от него только клавиатурой. Он во всех отношениях пре восходил основной стартстопный буквопечатающий аппарат Ш-32, который на ходился к этому времени в производстве. СТ-35 обеспечивал телеграфный обмен до 1200 слов в час, устойчиво работал на линиях с пониженной изоляцией, в сы рых и холодных помещениях, обеспечивал работу до 300 км. В силу этого он оказался весьма ценным для армии, где его стали применять в звеньях от армии к корпусу и от корпуса к дивизии, а также между армиями и корпусами, для осу ществления связи по фронту. СТ-35 заменил ранее применявшийся в этих звень ях телеграфный аппарат Морзе, который не мог удовлетворять требованиям вре мени. Уже программой производства 1936 г. на заводе им. Кулакова был преду смотрен выпуск трехсот аппаратов СТ-35. Ряд усовершенствований этого аппарата упростили его регулировку, сде лали его более удобным в обслуживании и повысили устойчивость в работе. Возможность использования СТ-35 на радио и радиоретрансляционных линиях связи, а также возможность увеличения дальности действия до 600 км сделали его одним из основных телеграфных аппаратов, принятых на вооружение войск связи РККА (Архив ВИМАИВиВС, ф. 10р, оп. 1, д. 107, л. 55.). В годы второй пятилетки завод им. Кулакова активно осваивал производ ство и других новых приборов в области телеграфии. Если в 1934 г. объем новой продукции в валовом выпуске предприятия составлял 6,5%, то в 1935 г. он вырос до 30% (ЦГАИПД СПб., ф. 24, оп. 13, д. 186, л. 6.). Среди новых изделий можно назвать перфоратор Крида, предназначенный для перфорации телеграфной ленты знаками Морзе для их дальнейшей автома тической передачи. Набор знаков Морзе производился с помощью клавиатуры, а пробивание ленты – электрическим приводом. Выпускавшиеся до этого перфо раторы были ручными, и перфорация ленты на них производилась при помощи колотушек. Разработка прибора началась в январе 1935 г. на основе перфоратора английской фирмы Крид. Хотя проектные чертежи были готовы уже через три месяца, но из-за неудовлетворительной организации изготовления деталей при боров опытная партия была представлена для испытаний только в начале 1936 г. С апреля 1936 г. завод начал серийное производство перфораторов Крида и в те чение оставшейся части года выпустил первую серийную партию в 80 прибо ров (ЦГАИПД СПб., ф. 24, оп. 13, д. 802, л. 25-26.) (11870).</w:t>
      </w:r>
    </w:p>
    <w:p w14:paraId="668365CC" w14:textId="77777777" w:rsidR="00D4105E" w:rsidRPr="00E14102" w:rsidRDefault="00D4105E" w:rsidP="00E14102">
      <w:pPr>
        <w:autoSpaceDE w:val="0"/>
        <w:autoSpaceDN w:val="0"/>
        <w:adjustRightInd w:val="0"/>
        <w:jc w:val="both"/>
        <w:rPr>
          <w:color w:val="000000" w:themeColor="text1"/>
          <w:sz w:val="16"/>
          <w:szCs w:val="16"/>
        </w:rPr>
      </w:pPr>
    </w:p>
    <w:p w14:paraId="59E52E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был создан «Гипроэспром» в ведении НКТП, приказом № 732 от 15.06.1936г. утвержден Устав института. В соответствии с пост, правительства № 2139-425сс от 21.12.1936г. по пр. НКОП № 011с от 28.01.1937г. «Гипроэспром» переименован в 5-й ГПИ (5-й ГС проектный институт (ГСПИ-5) НКОП, Государственный институт по проектированию заводов электрослаботочной промышленности «Гипроэспром» НКТП, НКОП /г. Ленинград/); приказом № 148 от 17.04.1937г. утвержден Устав ГСПИ-5. В 12.1938г. - в ведении 5ГУ НКОП.</w:t>
      </w:r>
    </w:p>
    <w:p w14:paraId="483AC9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 пр. № 164сс от 14.05.1938г. требовалось: к 15.07.1938г. разработать техпроект завода № 252; к 1.08.1938г. разработать проект реконструкции завода № 212 и техпроект завода № 251 НКОП.</w:t>
      </w:r>
    </w:p>
    <w:p w14:paraId="124E4CD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(05.1938г.)- Дорофеев.</w:t>
      </w:r>
    </w:p>
    <w:p w14:paraId="60E7943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Начальники отделов: строительного проектирования (1938г.)- Литарев (11982).</w:t>
      </w:r>
    </w:p>
    <w:p w14:paraId="2F2D412B" w14:textId="77777777" w:rsidR="00D4105E" w:rsidRPr="00E14102" w:rsidRDefault="00D4105E" w:rsidP="00E14102">
      <w:pPr>
        <w:autoSpaceDE w:val="0"/>
        <w:autoSpaceDN w:val="0"/>
        <w:adjustRightInd w:val="0"/>
        <w:jc w:val="both"/>
        <w:rPr>
          <w:color w:val="000000" w:themeColor="text1"/>
          <w:sz w:val="16"/>
          <w:szCs w:val="16"/>
        </w:rPr>
      </w:pPr>
    </w:p>
    <w:p w14:paraId="7629E3E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во Владимире в корпусе прядильной фабрики был организован завод по производству граммофона и граммофонной иглы.</w:t>
      </w:r>
    </w:p>
    <w:p w14:paraId="4018706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Находясь в системе Главширпотреба НК общего машиностроения, в 1936 году завод приступил к производству граммофонной иглы, а в 1937 году начал выпускать граммофоны, получив наименование Владимирский граммафонно-игольный завод.</w:t>
      </w:r>
    </w:p>
    <w:p w14:paraId="049DF4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мае 1939 года завод был передан в систему НКБ, получив наименование завод № 260. С этого момента началась реконструкция завода в направлении перехода на выпуск элементов боеприпасов.</w:t>
      </w:r>
    </w:p>
    <w:p w14:paraId="3AB0B96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 концу 1939 года реконструкция завода и освоение производства головного взрывателя М-50 и донного взрывателя МД-5 в основном было закончено, завод приступил к валовому выпуску этих взрывателей.</w:t>
      </w:r>
    </w:p>
    <w:p w14:paraId="28C5A96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ВОВ, завод в октябре 1941 года был эвакуирован из Владимира в Молотов. Эвакуация завода была полностью закончена 25 декабря 1941 года.</w:t>
      </w:r>
    </w:p>
    <w:p w14:paraId="4201312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 время ВОВ завод выпускал исключительно элементы боеприпасов, освоив их массовое производство.</w:t>
      </w:r>
    </w:p>
    <w:p w14:paraId="42C7A9B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окончания ВОВ завод сократил производство элементов боеприпасов и начал освоение производства граммофона и граммофонной иглы.</w:t>
      </w:r>
    </w:p>
    <w:p w14:paraId="00C6B7B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Согласно Постановлению СМ № 920 от 7 июля 1956 года заводу № 260 было передано велопроизводство с Горьковского автозавода (9580).</w:t>
      </w:r>
    </w:p>
    <w:p w14:paraId="6281851F" w14:textId="77777777" w:rsidR="00D4105E" w:rsidRPr="00E14102" w:rsidRDefault="00D4105E" w:rsidP="00E14102">
      <w:pPr>
        <w:autoSpaceDE w:val="0"/>
        <w:autoSpaceDN w:val="0"/>
        <w:adjustRightInd w:val="0"/>
        <w:jc w:val="both"/>
        <w:rPr>
          <w:color w:val="000000" w:themeColor="text1"/>
          <w:sz w:val="16"/>
          <w:szCs w:val="16"/>
        </w:rPr>
      </w:pPr>
    </w:p>
    <w:p w14:paraId="1DDCDA3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было начато строительство завода «Дальвостэлемент» (Завод № 389 НКОП, НКСП, НКЭП, Завод «Дальвостэлемент» НКОП, Свирекий аккумуляторный завод «Востсибэлемент», ОАО «Востсибэлемент» /г. Черемхово Иркутской обл./ /665427  г. Свирск Иркутской обл. тел. 6-80,2-10/). В соответствии с пост. СНК № 2139-425сс от 21.12.1936 г. и пр. № 59 от 14.02.1937 г. завод «Дальвостэлемент» передан из ВАКТ в ведение ГУ аккумуляторной промышленности НКОП. По пр. № 18с от 19.01.1938 г. переименован в завод № 389 19ГУ НКОП. В 02.1939 г. из 19ГУ передан в ведение НКСП.</w:t>
      </w:r>
    </w:p>
    <w:p w14:paraId="3CAC611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1937 г. строились цехи: агломераторный, сборочный, цинко-паяльный, картонажный, угольный, ремонтно- механический, лаборатория. Приказом № 0018 от 31.01/2.02.1937 г. заводу предписано создать к 1.01.1938 г. мощности по производству: анодных батарей - 750 тыс. шт. в год; сухо-наливных элементов - 2500 тыс. шт. Завод вступил в строй в 1938 г.</w:t>
      </w:r>
    </w:p>
    <w:p w14:paraId="3C16C6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1941 г. после начала войны на площадку завода эвакуирована часть цехов завода № 223 НКЭП и влита в состав завода № 389.</w:t>
      </w:r>
    </w:p>
    <w:p w14:paraId="50D330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23.09.1942 г. вышло постановление ГКО № 2333 об увеличении выпуска аккумуляторов на заводе № 389 НКЭП.</w:t>
      </w:r>
    </w:p>
    <w:p w14:paraId="51022B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Далее- завод, ОАО «Востсибэлемент».</w:t>
      </w:r>
    </w:p>
    <w:p w14:paraId="5B55B4E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1976 г. запущен конвейер с оборудованием японской фирмы "</w:t>
      </w:r>
      <w:r w:rsidRPr="00E14102">
        <w:rPr>
          <w:color w:val="000000" w:themeColor="text1"/>
          <w:sz w:val="16"/>
          <w:szCs w:val="16"/>
          <w:lang w:val="en-US"/>
        </w:rPr>
        <w:t>Toshiba</w:t>
      </w:r>
      <w:r w:rsidRPr="00E14102">
        <w:rPr>
          <w:color w:val="000000" w:themeColor="text1"/>
          <w:sz w:val="16"/>
          <w:szCs w:val="16"/>
        </w:rPr>
        <w:t>" по производству нового типа гальванических батарей. В 1980 г. построен новый цех для производства серебряно-цинковых батарей для ПЛ. В середине 1990-х  г. куплена линия оборудования ЕХГОЕ.</w:t>
      </w:r>
    </w:p>
    <w:p w14:paraId="0209CC5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После приватизации в середине 1990-х  г. завод разделен на три самостоятельных компании, в которых возобновлено производство в небольших количествах под различными торговыми марками. Одна из них получила название «Аккумуляторные технологии».</w:t>
      </w:r>
    </w:p>
    <w:p w14:paraId="4CF04D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Начальник строительства (-11.02.1937 г.)- М.И. Лисовский, (11.02.1937-8.03.1938 г.)- М.М. Верховский, (8.03.1938 г.-)- Н.П. Шпаков.</w:t>
      </w:r>
    </w:p>
    <w:p w14:paraId="39E51CB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строительства (-20.08.1937 г.)- В.Р. Маевский, (20.08.1937 г.-)- Н.С. Улитин.</w:t>
      </w:r>
      <w:r w:rsidRPr="00E14102">
        <w:rPr>
          <w:color w:val="000000" w:themeColor="text1"/>
          <w:sz w:val="16"/>
          <w:szCs w:val="16"/>
          <w:vertAlign w:val="superscript"/>
        </w:rPr>
        <w:t>139</w:t>
      </w:r>
    </w:p>
    <w:p w14:paraId="258BA3A0"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Производство:</w:t>
      </w:r>
      <w:r w:rsidRPr="00E14102">
        <w:rPr>
          <w:color w:val="000000" w:themeColor="text1"/>
          <w:sz w:val="16"/>
          <w:szCs w:val="16"/>
        </w:rPr>
        <w:t xml:space="preserve"> аккумуляторные батареи БАС-80 (1940-).</w:t>
      </w:r>
    </w:p>
    <w:p w14:paraId="7910F0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Завод «Востсибаккумулятор» (ВСА), ЗАО «ВСА» /г. Свирск Иркутской обл./</w:t>
      </w:r>
    </w:p>
    <w:p w14:paraId="19E205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11.2004 г. приобретен ООО «Актех».</w:t>
      </w:r>
    </w:p>
    <w:p w14:paraId="0EF2ACB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25.09.2008 г. на предприятии введено конкурсное производство.</w:t>
      </w:r>
    </w:p>
    <w:p w14:paraId="0ED8125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Конкурсный управляющий (09.2008 г.-)- А.П. Булдынов.</w:t>
      </w:r>
    </w:p>
    <w:p w14:paraId="1243654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ООО «Аккумуляторные технологии» («Актех») /664050  г. Иркутск ул. Байкальская, 291/</w:t>
      </w:r>
    </w:p>
    <w:p w14:paraId="3E90081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Компания «Аккумуляторные технологии» создана в результате разделения завода «Востсибэлемент» на три самостоятельные компании. Восстановлено производство на оборудовании </w:t>
      </w:r>
      <w:r w:rsidRPr="00E14102">
        <w:rPr>
          <w:color w:val="000000" w:themeColor="text1"/>
          <w:sz w:val="16"/>
          <w:szCs w:val="16"/>
          <w:lang w:val="en-US"/>
        </w:rPr>
        <w:t>EXIDE</w:t>
      </w:r>
      <w:r w:rsidRPr="00E14102">
        <w:rPr>
          <w:color w:val="000000" w:themeColor="text1"/>
          <w:sz w:val="16"/>
          <w:szCs w:val="16"/>
        </w:rPr>
        <w:t xml:space="preserve"> в бывшем цехе серебряно- цинковых аккумуляторов. В 2000 г. начат выпуск автомобильных аккумуляторов под маркой «АкТех». Начато строительство металлургического комплекса «Эколидер» для производства свинца и сплавов.</w:t>
      </w:r>
    </w:p>
    <w:p w14:paraId="36932AE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Один из двух крупнейших в России производителей аккумуляторов (2003 г.). В 11.2004 г. приобрел завод «Востсибаккумулятор» (11982).</w:t>
      </w:r>
    </w:p>
    <w:p w14:paraId="46E1C3DF" w14:textId="77777777" w:rsidR="00A90F29" w:rsidRPr="00E14102" w:rsidRDefault="00A90F29" w:rsidP="00E14102">
      <w:pPr>
        <w:jc w:val="both"/>
        <w:rPr>
          <w:color w:val="000000" w:themeColor="text1"/>
          <w:sz w:val="16"/>
          <w:szCs w:val="16"/>
        </w:rPr>
      </w:pPr>
    </w:p>
    <w:p w14:paraId="5E2427B0" w14:textId="77777777" w:rsidR="00D5088B" w:rsidRPr="00E14102" w:rsidRDefault="00D5088B" w:rsidP="00E14102">
      <w:pPr>
        <w:jc w:val="both"/>
        <w:rPr>
          <w:color w:val="000000" w:themeColor="text1"/>
          <w:sz w:val="16"/>
          <w:szCs w:val="16"/>
        </w:rPr>
      </w:pPr>
      <w:r w:rsidRPr="00E14102">
        <w:rPr>
          <w:color w:val="000000" w:themeColor="text1"/>
          <w:sz w:val="16"/>
          <w:szCs w:val="16"/>
        </w:rPr>
        <w:t>С 1935 г. в лаборатории В. И. Архангельского началась разработка приборов ночного видения (ПНВ) на основе электронно-оптических преобразователей (ЭОП). Такой преобразователь в ту пору состоял из "фотокатода, испускающего электроны при освещении его инфракрасным светом, и люминесцирующего экрана, светящегося видимым светом при ударе об его поверхность электронов, излучаемых фотокатодом". Объект наблюдения освещался инфракрасным прожектором, свет которого был невидим простым глазом.</w:t>
      </w:r>
    </w:p>
    <w:p w14:paraId="2C13776F" w14:textId="77777777" w:rsidR="00D5088B" w:rsidRPr="00E14102" w:rsidRDefault="00D5088B" w:rsidP="00E14102">
      <w:pPr>
        <w:jc w:val="both"/>
        <w:rPr>
          <w:color w:val="000000" w:themeColor="text1"/>
          <w:sz w:val="16"/>
          <w:szCs w:val="16"/>
        </w:rPr>
      </w:pPr>
      <w:r w:rsidRPr="00E14102">
        <w:rPr>
          <w:color w:val="000000" w:themeColor="text1"/>
          <w:sz w:val="16"/>
          <w:szCs w:val="16"/>
        </w:rPr>
        <w:lastRenderedPageBreak/>
        <w:t>Подобные работы велись и за рубежом, но технология производства ЭОП не раскрывалась. Советские ученые самостоятельно весьма успешно решали сложные задачи получения полупрозрачных фотокатодов, экранов, источников питания и т. д.</w:t>
      </w:r>
    </w:p>
    <w:p w14:paraId="01D9B7C4" w14:textId="77777777" w:rsidR="00D5088B" w:rsidRPr="00E14102" w:rsidRDefault="00D5088B" w:rsidP="00E14102">
      <w:pPr>
        <w:jc w:val="both"/>
        <w:rPr>
          <w:color w:val="000000" w:themeColor="text1"/>
          <w:sz w:val="16"/>
          <w:szCs w:val="16"/>
        </w:rPr>
      </w:pPr>
      <w:r w:rsidRPr="00E14102">
        <w:rPr>
          <w:color w:val="000000" w:themeColor="text1"/>
          <w:sz w:val="16"/>
          <w:szCs w:val="16"/>
        </w:rPr>
        <w:t>В середине 30-х годов из открытой печати исчезли публикации по ИК технике — началось предвоенное соревнование ведущих держав в области ночного видения. И вновь, как и в случае с телевидением, талант В. И. Архангельского, П. В. Тимофеева и их соратников вывел их на передовой уровень разработки ПНВ. Уже в 1937 г. они создали макет такого прибора для кораблевождения и наблюдения за судами противника с дальностью действия до 500 м.</w:t>
      </w:r>
    </w:p>
    <w:p w14:paraId="186B96E6" w14:textId="77777777" w:rsidR="00D5088B" w:rsidRPr="00E14102" w:rsidRDefault="00D5088B" w:rsidP="00E14102">
      <w:pPr>
        <w:jc w:val="both"/>
        <w:rPr>
          <w:color w:val="000000" w:themeColor="text1"/>
          <w:sz w:val="16"/>
          <w:szCs w:val="16"/>
        </w:rPr>
      </w:pPr>
      <w:r w:rsidRPr="00E14102">
        <w:rPr>
          <w:color w:val="000000" w:themeColor="text1"/>
          <w:sz w:val="16"/>
          <w:szCs w:val="16"/>
        </w:rPr>
        <w:t>П. В. Тимофеевым и В. И. Архангельским была предложена простая оригинальная и технологичная конструкция ЭОП типов Ц-1 и Ц-2, массовое производство которых началось уже в годы Великой Отечественной войны. В организации производства принимали участие В. В. Сорокина, Е. Г. Кормакова, М. М. Бутслов и ряд других сотрудников ВЭИ (18157).</w:t>
      </w:r>
    </w:p>
    <w:p w14:paraId="7288ADFA" w14:textId="77777777" w:rsidR="00D5088B" w:rsidRPr="00E14102" w:rsidRDefault="00D5088B" w:rsidP="00E14102">
      <w:pPr>
        <w:jc w:val="both"/>
        <w:rPr>
          <w:color w:val="000000" w:themeColor="text1"/>
          <w:sz w:val="16"/>
          <w:szCs w:val="16"/>
        </w:rPr>
      </w:pPr>
    </w:p>
    <w:p w14:paraId="0087380D" w14:textId="77777777" w:rsidR="00D5088B" w:rsidRPr="00E14102" w:rsidRDefault="00D5088B" w:rsidP="00E14102">
      <w:pPr>
        <w:jc w:val="both"/>
        <w:rPr>
          <w:color w:val="000000" w:themeColor="text1"/>
          <w:sz w:val="16"/>
          <w:szCs w:val="16"/>
        </w:rPr>
      </w:pPr>
      <w:r w:rsidRPr="00E14102">
        <w:rPr>
          <w:color w:val="000000" w:themeColor="text1"/>
          <w:sz w:val="16"/>
          <w:szCs w:val="16"/>
        </w:rPr>
        <w:t>В 1935 г. было дано задание на разработку опытных образцов теплопеленгаторной аппаратуры для ВМФ. Наблюдение и руководство работой было возложено на Научно-исследовательский морской институт связи и телемеханики (НИМИСТ) ВМФ. В течение года проводились научно-исследовательские работы. В 1936 г. были испытаны три теплопеленгаторные станции БТП-36, изготовленные Всесоюзным электротехническим институтом (ВЭИ), и приняты на вооружение ВМФ по представлению НИМИСТа (18157).</w:t>
      </w:r>
    </w:p>
    <w:p w14:paraId="5E7DF14F" w14:textId="77777777" w:rsidR="00D5088B" w:rsidRPr="00E14102" w:rsidRDefault="00D5088B" w:rsidP="00E14102">
      <w:pPr>
        <w:jc w:val="both"/>
        <w:rPr>
          <w:color w:val="000000" w:themeColor="text1"/>
          <w:sz w:val="16"/>
          <w:szCs w:val="16"/>
        </w:rPr>
      </w:pPr>
    </w:p>
    <w:p w14:paraId="209F5272" w14:textId="77777777" w:rsidR="004462A4" w:rsidRPr="00E14102" w:rsidRDefault="004462A4" w:rsidP="00E14102">
      <w:pPr>
        <w:jc w:val="both"/>
        <w:rPr>
          <w:color w:val="000000" w:themeColor="text1"/>
          <w:sz w:val="16"/>
          <w:szCs w:val="16"/>
        </w:rPr>
      </w:pPr>
      <w:r w:rsidRPr="00E14102">
        <w:rPr>
          <w:color w:val="000000" w:themeColor="text1"/>
          <w:sz w:val="16"/>
          <w:szCs w:val="16"/>
        </w:rPr>
        <w:t>С 1935 г. одновременно с работами по усовершенствованию мины «Ремин» в Остехбюро велись работы по созданию новой неконтактной мины, получившей название «Мираб» — мина речная авиационная бреющего полета. Эта мина предназначалась для сбрасывания с высот порядка 25 м и имела индукционный неконтактный взрыватель. Для изучения особенностей новых образцов минного оружия, анализа и обобщения накопленного опыта, разработки тактико-технических заданий на новые образцы, разработки новых образцов мин, оказания помощи флоту в их освоении и для контроля работ Остехбюро в НИМТИ РККФ была организована Электромагнитная лаборатория. Первоначально она размещалась в здании Адмиралтейства, а затем ее перевели в Петропавловскую крепость. Начальником лаборатории был назначен капитан 3-го ранга К.И. Сокольский. Мина «Мираб» имела корпус той же формы, что и «Ремин», но более прочный. Мина имела индукционный НВ, катушка которого была взята от мины «Ремин». НВ был выполнен по двухимпульсной схеме, что повышало его помехозащищенность. Разработчиком гальванометрического реле был М.Ф. Хлудов. Были проведены работы по повышению надежности работы дискового исполнительного реле и предохранительного прибора часового принципа действия. Для новой мины А.Н. Стрельниковым был разработан марганцевоцинковый элемент С-17, что решило сложную задачу создания специального химического источника тока для морских мин (15117).</w:t>
      </w:r>
    </w:p>
    <w:p w14:paraId="1B2AB030" w14:textId="77777777" w:rsidR="004462A4" w:rsidRPr="00E14102" w:rsidRDefault="004462A4" w:rsidP="00E14102">
      <w:pPr>
        <w:jc w:val="both"/>
        <w:rPr>
          <w:color w:val="000000" w:themeColor="text1"/>
          <w:sz w:val="16"/>
          <w:szCs w:val="16"/>
        </w:rPr>
      </w:pPr>
    </w:p>
    <w:p w14:paraId="4FB5F3EF" w14:textId="77777777" w:rsidR="00A90F29" w:rsidRPr="00E14102" w:rsidRDefault="00A90F29" w:rsidP="00E14102">
      <w:pPr>
        <w:jc w:val="both"/>
        <w:rPr>
          <w:color w:val="000000" w:themeColor="text1"/>
          <w:sz w:val="16"/>
          <w:szCs w:val="16"/>
        </w:rPr>
      </w:pPr>
      <w:r w:rsidRPr="00E14102">
        <w:rPr>
          <w:color w:val="000000" w:themeColor="text1"/>
          <w:sz w:val="16"/>
          <w:szCs w:val="16"/>
        </w:rPr>
        <w:t>В 1935 г., сразу после завершения проектирования АПСС, их строительство поручили Ленинградскому судостроительно-механическому заводу № 196 («Судомех»). Были построены две сверхмалые подводные лодки проекта АПСС, первая в 1935г.вкле~ паном, а вторая в 1936 г. —в сварном исполнении. Обе сверхмалые подводные лодки проходили заводские испытания, но на вооружение их не приняли. В официальных отчетах о реализации данного проекта говорится, что «проблема дистанционного управления этой лодкой далека от положительного решения». До испытаний с участием водителей дело вообще не дошло, и перед началом Второй мировой войны сверхмалые подводные лодки АПСС разобрали. Вторая подводная лодка Остехбюро получила шифр «АПЛ» (аэроподводная лодка). Первоначально ее тоже проектировали как снаряд, управляемый по радио с самолета, но в дальнейшем проект дорабатывался как сверхмалая подводная лодка с экипажем. Этим проектом занималась другая группа инженеров 1-го отдела во главе с Ф.В. Щукиным (15117).</w:t>
      </w:r>
    </w:p>
    <w:p w14:paraId="125BF124" w14:textId="77777777" w:rsidR="00A90F29" w:rsidRPr="00E14102" w:rsidRDefault="00A90F29" w:rsidP="00E14102">
      <w:pPr>
        <w:jc w:val="both"/>
        <w:rPr>
          <w:color w:val="000000" w:themeColor="text1"/>
          <w:sz w:val="16"/>
          <w:szCs w:val="16"/>
        </w:rPr>
      </w:pPr>
    </w:p>
    <w:p w14:paraId="6C3EB95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Армия:</w:t>
      </w:r>
    </w:p>
    <w:p w14:paraId="3D58E81E" w14:textId="77777777" w:rsidR="00D4105E" w:rsidRPr="00E14102" w:rsidRDefault="00D4105E" w:rsidP="00E14102">
      <w:pPr>
        <w:autoSpaceDE w:val="0"/>
        <w:autoSpaceDN w:val="0"/>
        <w:adjustRightInd w:val="0"/>
        <w:jc w:val="both"/>
        <w:rPr>
          <w:iCs/>
          <w:color w:val="000000" w:themeColor="text1"/>
          <w:sz w:val="16"/>
          <w:szCs w:val="16"/>
        </w:rPr>
      </w:pPr>
    </w:p>
    <w:p w14:paraId="16CD92A7" w14:textId="77777777" w:rsidR="004462A4" w:rsidRPr="00E14102" w:rsidRDefault="004462A4" w:rsidP="00E14102">
      <w:pPr>
        <w:jc w:val="both"/>
        <w:rPr>
          <w:color w:val="000000" w:themeColor="text1"/>
          <w:sz w:val="16"/>
          <w:szCs w:val="16"/>
        </w:rPr>
      </w:pPr>
      <w:r w:rsidRPr="00E14102">
        <w:rPr>
          <w:color w:val="000000" w:themeColor="text1"/>
          <w:sz w:val="16"/>
          <w:szCs w:val="16"/>
        </w:rPr>
        <w:t>В 1935 г. тактическая ударная авиация КВО и БВО оснащалась еще исключитель</w:t>
      </w:r>
      <w:r w:rsidRPr="00E14102">
        <w:rPr>
          <w:color w:val="000000" w:themeColor="text1"/>
          <w:sz w:val="16"/>
          <w:szCs w:val="16"/>
        </w:rPr>
        <w:softHyphen/>
        <w:t>но, а в 1936 г., в основном, одномо</w:t>
      </w:r>
      <w:r w:rsidRPr="00E14102">
        <w:rPr>
          <w:color w:val="000000" w:themeColor="text1"/>
          <w:sz w:val="16"/>
          <w:szCs w:val="16"/>
        </w:rPr>
        <w:softHyphen/>
        <w:t>торными деревянными бипланами с неубирающимся шасси и бомбами только на внешней подвеске (15803).</w:t>
      </w:r>
    </w:p>
    <w:p w14:paraId="677FDCA5" w14:textId="77777777" w:rsidR="004462A4" w:rsidRPr="00E14102" w:rsidRDefault="004462A4" w:rsidP="00E14102">
      <w:pPr>
        <w:jc w:val="both"/>
        <w:rPr>
          <w:color w:val="000000" w:themeColor="text1"/>
          <w:sz w:val="16"/>
          <w:szCs w:val="16"/>
        </w:rPr>
      </w:pPr>
    </w:p>
    <w:p w14:paraId="2F4086D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под Киевом ТБ-3 перевезли 3700 человек с техникой, а на маневрах в Белоруссии - 5700 десантников. Штатно ТБ-3 брал на борт 20 парашютистов с полным вооружением, но на практике частенько грузили и вдвое больше. Иногда самолеты специально дорабатывали под выброску парашютистов. Так, в 39-й ТБАЭ со старых ТБ-3 с моторами М-17 сняли башни под плоскостями, а вместо них смонтировали люки со створками, убрали внутренние бомбодержатели, обшили бомбоотсек фанерой и сделали посреди него мостик. Десантники прыгали в бомболюк, люки в крыле и входную дверь (9964).</w:t>
      </w:r>
    </w:p>
    <w:p w14:paraId="5981212C" w14:textId="77777777" w:rsidR="00D4105E" w:rsidRPr="00E14102" w:rsidRDefault="00D4105E" w:rsidP="00E14102">
      <w:pPr>
        <w:autoSpaceDE w:val="0"/>
        <w:autoSpaceDN w:val="0"/>
        <w:adjustRightInd w:val="0"/>
        <w:jc w:val="both"/>
        <w:rPr>
          <w:color w:val="000000" w:themeColor="text1"/>
          <w:sz w:val="16"/>
          <w:szCs w:val="16"/>
        </w:rPr>
      </w:pPr>
    </w:p>
    <w:p w14:paraId="49E26AA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М.Н.Тухачевский докладывал на VII съезде Советов в 1935 об успехах в организации взаимодействия авиации с пехотой, танками, кавалерией и артиллерией, ВМФ и ПВО (66,189). Выступал и А.Н.Т. - хвастал (71,217).</w:t>
      </w:r>
    </w:p>
    <w:p w14:paraId="0E216D92" w14:textId="77777777" w:rsidR="00D4105E" w:rsidRPr="00E14102" w:rsidRDefault="00D4105E" w:rsidP="00E14102">
      <w:pPr>
        <w:autoSpaceDE w:val="0"/>
        <w:autoSpaceDN w:val="0"/>
        <w:adjustRightInd w:val="0"/>
        <w:jc w:val="both"/>
        <w:rPr>
          <w:color w:val="000000" w:themeColor="text1"/>
          <w:sz w:val="16"/>
          <w:szCs w:val="16"/>
        </w:rPr>
      </w:pPr>
    </w:p>
    <w:p w14:paraId="33752DA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МБР-2 появились в 14-й морской разведывательной авиационной эскадрилье, 123-й и 124-й тяжёлых эскадрильях, 45-м авиационном отряде Морских сил Чёрного моря. В этом же году МБР-2 в большом количестве отправили на Дальний Восток. Уже в начале 1936 г. в Морских силах Дальнего Востока числились 47 бериевских летающих лодок. Полностью перевооружение частей Балтийского и Черноморского флотов на МБР-2 завершилось в 1937 г., на Тихоокеанском флоте и Амурской флотилии - на год позже. За угловатые формы машина получила ироничное прозвище "Амбарчик" (12003).</w:t>
      </w:r>
    </w:p>
    <w:p w14:paraId="3165B25E" w14:textId="77777777" w:rsidR="00D4105E" w:rsidRPr="00E14102" w:rsidRDefault="00D4105E" w:rsidP="00E14102">
      <w:pPr>
        <w:autoSpaceDE w:val="0"/>
        <w:autoSpaceDN w:val="0"/>
        <w:adjustRightInd w:val="0"/>
        <w:jc w:val="both"/>
        <w:rPr>
          <w:color w:val="000000" w:themeColor="text1"/>
          <w:sz w:val="16"/>
          <w:szCs w:val="16"/>
        </w:rPr>
      </w:pPr>
    </w:p>
    <w:p w14:paraId="2578914C" w14:textId="77777777" w:rsidR="004428EE" w:rsidRPr="00E14102" w:rsidRDefault="004428EE" w:rsidP="00E14102">
      <w:pPr>
        <w:jc w:val="both"/>
        <w:rPr>
          <w:color w:val="000000" w:themeColor="text1"/>
          <w:sz w:val="16"/>
          <w:szCs w:val="16"/>
        </w:rPr>
      </w:pPr>
      <w:r w:rsidRPr="00E14102">
        <w:rPr>
          <w:color w:val="000000" w:themeColor="text1"/>
          <w:sz w:val="16"/>
          <w:szCs w:val="16"/>
        </w:rPr>
        <w:t>В 1935 г. на базе авиационного звена от Камчатской авиаэкадрильи форми</w:t>
      </w:r>
      <w:r w:rsidRPr="00E14102">
        <w:rPr>
          <w:color w:val="000000" w:themeColor="text1"/>
          <w:sz w:val="16"/>
          <w:szCs w:val="16"/>
        </w:rPr>
        <w:softHyphen/>
        <w:t>руется 12-й авиационный пограничный отряд в г. Александровске на о. Саха</w:t>
      </w:r>
      <w:r w:rsidRPr="00E14102">
        <w:rPr>
          <w:color w:val="000000" w:themeColor="text1"/>
          <w:sz w:val="16"/>
          <w:szCs w:val="16"/>
        </w:rPr>
        <w:softHyphen/>
        <w:t>лин с подчинением его начальнику 52-го Сахалинского пограничного отряда. Формированием этих четырех дальневосточных авиачастей с 1933 по 1937 г. занимался инспектор по авиации, а затем и начальник авиационного отделе</w:t>
      </w:r>
      <w:r w:rsidRPr="00E14102">
        <w:rPr>
          <w:color w:val="000000" w:themeColor="text1"/>
          <w:sz w:val="16"/>
          <w:szCs w:val="16"/>
        </w:rPr>
        <w:softHyphen/>
        <w:t>ния Тихоокеанского пограничного округа НКВД СССР майор Э. Лухт.</w:t>
      </w:r>
    </w:p>
    <w:p w14:paraId="1D6ADF96" w14:textId="77777777" w:rsidR="004428EE" w:rsidRPr="00E14102" w:rsidRDefault="004428EE" w:rsidP="00E14102">
      <w:pPr>
        <w:jc w:val="both"/>
        <w:rPr>
          <w:color w:val="000000" w:themeColor="text1"/>
          <w:sz w:val="16"/>
          <w:szCs w:val="16"/>
        </w:rPr>
      </w:pPr>
      <w:r w:rsidRPr="00E14102">
        <w:rPr>
          <w:color w:val="000000" w:themeColor="text1"/>
          <w:sz w:val="16"/>
          <w:szCs w:val="16"/>
        </w:rPr>
        <w:t>Таким образом, к осени 1935 г. создаются отдельные авиационные эскадри</w:t>
      </w:r>
      <w:r w:rsidRPr="00E14102">
        <w:rPr>
          <w:color w:val="000000" w:themeColor="text1"/>
          <w:sz w:val="16"/>
          <w:szCs w:val="16"/>
        </w:rPr>
        <w:softHyphen/>
        <w:t>льи в подмосковном Быкове и Петропавловске-Камчатском, отдельные авиа</w:t>
      </w:r>
      <w:r w:rsidRPr="00E14102">
        <w:rPr>
          <w:color w:val="000000" w:themeColor="text1"/>
          <w:sz w:val="16"/>
          <w:szCs w:val="16"/>
        </w:rPr>
        <w:softHyphen/>
        <w:t>отряды в Грозном, Ростове-на-Дону, Нерчинске, на ст. Белая в Забайкалье, на Сахалине, Владивостоке, Хабаровске, Иркутске, Мурманске, Архангельске, а также отдельные авиазвенья в Новой Ладоге и бухте Провидения. Итого в составе пограничной авиации через 3 года после начала ее активного форми</w:t>
      </w:r>
      <w:r w:rsidRPr="00E14102">
        <w:rPr>
          <w:color w:val="000000" w:themeColor="text1"/>
          <w:sz w:val="16"/>
          <w:szCs w:val="16"/>
        </w:rPr>
        <w:softHyphen/>
        <w:t>рования были 2 отдельные авиаэскадрильи, 18 отдельных авиаотрядов и 2 от</w:t>
      </w:r>
      <w:r w:rsidRPr="00E14102">
        <w:rPr>
          <w:color w:val="000000" w:themeColor="text1"/>
          <w:sz w:val="16"/>
          <w:szCs w:val="16"/>
        </w:rPr>
        <w:softHyphen/>
        <w:t>дельных авиазвена. Анализ дислокации авиачастей в сентябре 1935 г. пока</w:t>
      </w:r>
      <w:r w:rsidRPr="00E14102">
        <w:rPr>
          <w:color w:val="000000" w:themeColor="text1"/>
          <w:sz w:val="16"/>
          <w:szCs w:val="16"/>
        </w:rPr>
        <w:softHyphen/>
        <w:t>зал, что из 22 соединений на дальневосточной границе было сосредоточено 7 частей; в восточной и западной Сибири — 4 авиачасти, в Средней Азии и Казахстане — 4 части, по одной авиачасти было придано Закавказью, Украи</w:t>
      </w:r>
      <w:r w:rsidRPr="00E14102">
        <w:rPr>
          <w:color w:val="000000" w:themeColor="text1"/>
          <w:sz w:val="16"/>
          <w:szCs w:val="16"/>
        </w:rPr>
        <w:softHyphen/>
        <w:t>не, Крыму, Белоруссии, Ленинградскому и Мурманскому пограничным окру</w:t>
      </w:r>
      <w:r w:rsidRPr="00E14102">
        <w:rPr>
          <w:color w:val="000000" w:themeColor="text1"/>
          <w:sz w:val="16"/>
          <w:szCs w:val="16"/>
        </w:rPr>
        <w:softHyphen/>
        <w:t>гам, 1-я отдельная авиаэскадрилья дислоцировалась под Москвой в Быкове и была резервом Главного управления пограничной и внутренней охраны НКВД СССР.</w:t>
      </w:r>
    </w:p>
    <w:p w14:paraId="28104234" w14:textId="77777777" w:rsidR="004428EE" w:rsidRPr="00E14102" w:rsidRDefault="004428EE" w:rsidP="00E14102">
      <w:pPr>
        <w:jc w:val="both"/>
        <w:rPr>
          <w:color w:val="000000" w:themeColor="text1"/>
          <w:sz w:val="16"/>
          <w:szCs w:val="16"/>
        </w:rPr>
      </w:pPr>
      <w:r w:rsidRPr="00E14102">
        <w:rPr>
          <w:color w:val="000000" w:themeColor="text1"/>
          <w:sz w:val="16"/>
          <w:szCs w:val="16"/>
        </w:rPr>
        <w:t>Отдельные авиационные эскадрильи по штату состояли из 3 авиаотрядов, которые подразделялись на авиазвенья, состоящие из 3 самолетов. Отдельные авиаотряды состояли из 3—4 авиазвеньев. Организационно отдельные авиаэскадрильи и авиаотряды входили в состав пограничных округов и в на</w:t>
      </w:r>
      <w:r w:rsidRPr="00E14102">
        <w:rPr>
          <w:color w:val="000000" w:themeColor="text1"/>
          <w:sz w:val="16"/>
          <w:szCs w:val="16"/>
        </w:rPr>
        <w:softHyphen/>
        <w:t>чальный момент формирования авиации погранвойск контролировались авиа</w:t>
      </w:r>
      <w:r w:rsidRPr="00E14102">
        <w:rPr>
          <w:color w:val="000000" w:themeColor="text1"/>
          <w:sz w:val="16"/>
          <w:szCs w:val="16"/>
        </w:rPr>
        <w:softHyphen/>
        <w:t>ционной инспекцией отдела вооружения Главного управления пограничных войск.</w:t>
      </w:r>
    </w:p>
    <w:p w14:paraId="12C88E06" w14:textId="77777777" w:rsidR="004428EE" w:rsidRPr="00E14102" w:rsidRDefault="004428EE" w:rsidP="00E14102">
      <w:pPr>
        <w:jc w:val="both"/>
        <w:rPr>
          <w:color w:val="000000" w:themeColor="text1"/>
          <w:sz w:val="16"/>
          <w:szCs w:val="16"/>
        </w:rPr>
      </w:pPr>
      <w:r w:rsidRPr="00E14102">
        <w:rPr>
          <w:color w:val="000000" w:themeColor="text1"/>
          <w:sz w:val="16"/>
          <w:szCs w:val="16"/>
        </w:rPr>
        <w:t>Увеличение количества авиачастей, самолетного парка, масштабов приме</w:t>
      </w:r>
      <w:r w:rsidRPr="00E14102">
        <w:rPr>
          <w:color w:val="000000" w:themeColor="text1"/>
          <w:sz w:val="16"/>
          <w:szCs w:val="16"/>
        </w:rPr>
        <w:softHyphen/>
        <w:t>нения авиации в охране границы, а также необходимость разработки докумен</w:t>
      </w:r>
      <w:r w:rsidRPr="00E14102">
        <w:rPr>
          <w:color w:val="000000" w:themeColor="text1"/>
          <w:sz w:val="16"/>
          <w:szCs w:val="16"/>
        </w:rPr>
        <w:softHyphen/>
        <w:t>тации по боевой подготовке, технико-эксплуатационной службы и материаль</w:t>
      </w:r>
      <w:r w:rsidRPr="00E14102">
        <w:rPr>
          <w:color w:val="000000" w:themeColor="text1"/>
          <w:sz w:val="16"/>
          <w:szCs w:val="16"/>
        </w:rPr>
        <w:softHyphen/>
        <w:t>но-техническому обеспечению авиации потребовало более квалифицирован</w:t>
      </w:r>
      <w:r w:rsidRPr="00E14102">
        <w:rPr>
          <w:color w:val="000000" w:themeColor="text1"/>
          <w:sz w:val="16"/>
          <w:szCs w:val="16"/>
        </w:rPr>
        <w:softHyphen/>
        <w:t>ного руководства ею. Включение в состав Главного управления пограничной и внутренней охраны (далее — ГУПВО) авиационных частей потребовало соот</w:t>
      </w:r>
      <w:r w:rsidRPr="00E14102">
        <w:rPr>
          <w:color w:val="000000" w:themeColor="text1"/>
          <w:sz w:val="16"/>
          <w:szCs w:val="16"/>
        </w:rPr>
        <w:softHyphen/>
        <w:t>ветствующей реорганизации системы управления путем создания в ней орга</w:t>
      </w:r>
      <w:r w:rsidRPr="00E14102">
        <w:rPr>
          <w:color w:val="000000" w:themeColor="text1"/>
          <w:sz w:val="16"/>
          <w:szCs w:val="16"/>
        </w:rPr>
        <w:softHyphen/>
        <w:t>на, призванного осуществлять общее руководство процессом строительства и боевой подготовки авиации  (12299).</w:t>
      </w:r>
    </w:p>
    <w:p w14:paraId="32FD3A72" w14:textId="77777777" w:rsidR="004428EE" w:rsidRPr="00E14102" w:rsidRDefault="004428EE" w:rsidP="00E14102">
      <w:pPr>
        <w:jc w:val="both"/>
        <w:rPr>
          <w:color w:val="000000" w:themeColor="text1"/>
          <w:sz w:val="16"/>
          <w:szCs w:val="16"/>
        </w:rPr>
      </w:pPr>
    </w:p>
    <w:p w14:paraId="37B7FF15" w14:textId="77777777" w:rsidR="004428EE" w:rsidRPr="00E14102" w:rsidRDefault="004428EE" w:rsidP="00E14102">
      <w:pPr>
        <w:jc w:val="both"/>
        <w:rPr>
          <w:color w:val="000000" w:themeColor="text1"/>
          <w:sz w:val="16"/>
          <w:szCs w:val="16"/>
        </w:rPr>
      </w:pPr>
      <w:r w:rsidRPr="00E14102">
        <w:rPr>
          <w:color w:val="000000" w:themeColor="text1"/>
          <w:sz w:val="16"/>
          <w:szCs w:val="16"/>
        </w:rPr>
        <w:t>В 1935 году два отряда И-5 были переброшены в Монголию, где у них появился шанс отли</w:t>
      </w:r>
      <w:r w:rsidRPr="00E14102">
        <w:rPr>
          <w:color w:val="000000" w:themeColor="text1"/>
          <w:sz w:val="16"/>
          <w:szCs w:val="16"/>
        </w:rPr>
        <w:softHyphen/>
        <w:t>читься в реальной обстановке. Впрочем, во время столкновений на монголо-маньчжур- ской границе их практическая деятельность ограничилась патрулированием пригранич</w:t>
      </w:r>
      <w:r w:rsidRPr="00E14102">
        <w:rPr>
          <w:color w:val="000000" w:themeColor="text1"/>
          <w:sz w:val="16"/>
          <w:szCs w:val="16"/>
        </w:rPr>
        <w:softHyphen/>
        <w:t>ных территорий (12295).</w:t>
      </w:r>
    </w:p>
    <w:p w14:paraId="28C1900A" w14:textId="77777777" w:rsidR="004428EE" w:rsidRPr="00E14102" w:rsidRDefault="004428EE" w:rsidP="00E14102">
      <w:pPr>
        <w:jc w:val="both"/>
        <w:rPr>
          <w:color w:val="000000" w:themeColor="text1"/>
          <w:sz w:val="16"/>
          <w:szCs w:val="16"/>
        </w:rPr>
      </w:pPr>
    </w:p>
    <w:p w14:paraId="24BF87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был образован Генеральный штаб (69,33).</w:t>
      </w:r>
    </w:p>
    <w:p w14:paraId="62ADF3FD" w14:textId="77777777" w:rsidR="00D4105E" w:rsidRPr="00E14102" w:rsidRDefault="00D4105E" w:rsidP="00E14102">
      <w:pPr>
        <w:autoSpaceDE w:val="0"/>
        <w:autoSpaceDN w:val="0"/>
        <w:adjustRightInd w:val="0"/>
        <w:jc w:val="both"/>
        <w:rPr>
          <w:color w:val="000000" w:themeColor="text1"/>
          <w:sz w:val="16"/>
          <w:szCs w:val="16"/>
        </w:rPr>
      </w:pPr>
    </w:p>
    <w:p w14:paraId="46761610"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Жизнь и внутренняя политика:</w:t>
      </w:r>
    </w:p>
    <w:p w14:paraId="3B3945E5" w14:textId="77777777" w:rsidR="00D4105E" w:rsidRPr="00E14102" w:rsidRDefault="00D4105E" w:rsidP="00E14102">
      <w:pPr>
        <w:autoSpaceDE w:val="0"/>
        <w:autoSpaceDN w:val="0"/>
        <w:adjustRightInd w:val="0"/>
        <w:jc w:val="both"/>
        <w:rPr>
          <w:iCs/>
          <w:color w:val="000000" w:themeColor="text1"/>
          <w:sz w:val="16"/>
          <w:szCs w:val="16"/>
        </w:rPr>
      </w:pPr>
    </w:p>
    <w:p w14:paraId="1F3B331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последний председатель Торгсина Левенсон информировал управляющих конторами и отделениями:</w:t>
      </w:r>
    </w:p>
    <w:p w14:paraId="3D24BFF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"Работники НКВД имеют право в нужных случаях требовать от Вас справки о количестве сданных отдельными лицами бытовых ценностей, а также о фамилиях и адресах этих лиц, однако за получением такого рода справок они должны обращаться исключительно к администрации магазинов и скуппунктов".</w:t>
      </w:r>
    </w:p>
    <w:p w14:paraId="45E55E2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Таким, видимо, был достигнутый в результате почти четырехлетнего валютного соперничества и трений компромисс между ОГПУ/НКВД и Торгсином - Торгсин не возражал быть информатором, если эти действия оставались в тайне от его клиентов. Администрация магазинов, по смыслу этого письма, становилась внештатным агентом, сексотом политической полиции. У ОГПУ имелись и платные агенты, специально внедренные или завербованные из числа торговых работников. Они также поставляли "политоргану" информацию о клиентах Торгсина и их валютных сбережениях. Таким образом, риск и непредсказуемость последствий посещения Торгсина сохранялись. Советская повседневность продолжала быть авантюрной (11558).</w:t>
      </w:r>
    </w:p>
    <w:p w14:paraId="0B5A5FA1" w14:textId="77777777" w:rsidR="00D4105E" w:rsidRPr="00E14102" w:rsidRDefault="00D4105E" w:rsidP="00E14102">
      <w:pPr>
        <w:autoSpaceDE w:val="0"/>
        <w:autoSpaceDN w:val="0"/>
        <w:adjustRightInd w:val="0"/>
        <w:jc w:val="both"/>
        <w:rPr>
          <w:color w:val="000000" w:themeColor="text1"/>
          <w:sz w:val="16"/>
          <w:szCs w:val="16"/>
        </w:rPr>
      </w:pPr>
    </w:p>
    <w:p w14:paraId="25136C5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lastRenderedPageBreak/>
        <w:t>О динамике численности заключенных в 1935 году можно судить по следующим данным: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E3599D" w:rsidRPr="00E14102" w14:paraId="1909305E" w14:textId="77777777">
        <w:tc>
          <w:tcPr>
            <w:tcW w:w="4261" w:type="dxa"/>
            <w:tcBorders>
              <w:top w:val="single" w:sz="12" w:space="0" w:color="auto"/>
            </w:tcBorders>
          </w:tcPr>
          <w:p w14:paraId="752F4E8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Число з/к в среднем за год</w:t>
            </w:r>
          </w:p>
        </w:tc>
        <w:tc>
          <w:tcPr>
            <w:tcW w:w="4261" w:type="dxa"/>
            <w:tcBorders>
              <w:top w:val="single" w:sz="12" w:space="0" w:color="auto"/>
            </w:tcBorders>
          </w:tcPr>
          <w:p w14:paraId="32E512A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Умерло</w:t>
            </w:r>
          </w:p>
        </w:tc>
      </w:tr>
      <w:tr w:rsidR="00E3599D" w:rsidRPr="00E14102" w14:paraId="1064C2CC" w14:textId="77777777">
        <w:tc>
          <w:tcPr>
            <w:tcW w:w="4261" w:type="dxa"/>
          </w:tcPr>
          <w:p w14:paraId="1091334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Бамлаг 167</w:t>
            </w:r>
          </w:p>
        </w:tc>
        <w:tc>
          <w:tcPr>
            <w:tcW w:w="4261" w:type="dxa"/>
          </w:tcPr>
          <w:p w14:paraId="2D682BC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627 6952 </w:t>
            </w:r>
          </w:p>
        </w:tc>
      </w:tr>
      <w:tr w:rsidR="00E3599D" w:rsidRPr="00E14102" w14:paraId="1AEB9716" w14:textId="77777777">
        <w:tc>
          <w:tcPr>
            <w:tcW w:w="4261" w:type="dxa"/>
          </w:tcPr>
          <w:p w14:paraId="0491BA7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Дмитлаг 188 792 </w:t>
            </w:r>
          </w:p>
        </w:tc>
        <w:tc>
          <w:tcPr>
            <w:tcW w:w="4261" w:type="dxa"/>
          </w:tcPr>
          <w:p w14:paraId="65AC37F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4349 </w:t>
            </w:r>
          </w:p>
        </w:tc>
      </w:tr>
      <w:tr w:rsidR="00E3599D" w:rsidRPr="00E14102" w14:paraId="33C6B53C" w14:textId="77777777">
        <w:tc>
          <w:tcPr>
            <w:tcW w:w="4261" w:type="dxa"/>
          </w:tcPr>
          <w:p w14:paraId="5B0FDBB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ББК 78 248</w:t>
            </w:r>
          </w:p>
        </w:tc>
        <w:tc>
          <w:tcPr>
            <w:tcW w:w="4261" w:type="dxa"/>
          </w:tcPr>
          <w:p w14:paraId="0A6DDD1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 1362 </w:t>
            </w:r>
          </w:p>
        </w:tc>
      </w:tr>
      <w:tr w:rsidR="00E3599D" w:rsidRPr="00E14102" w14:paraId="13D3C783" w14:textId="77777777">
        <w:tc>
          <w:tcPr>
            <w:tcW w:w="4261" w:type="dxa"/>
          </w:tcPr>
          <w:p w14:paraId="6923936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Ухтпечлаг 20 965 </w:t>
            </w:r>
          </w:p>
        </w:tc>
        <w:tc>
          <w:tcPr>
            <w:tcW w:w="4261" w:type="dxa"/>
          </w:tcPr>
          <w:p w14:paraId="14DA3FF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287 </w:t>
            </w:r>
          </w:p>
        </w:tc>
      </w:tr>
      <w:tr w:rsidR="00E3599D" w:rsidRPr="00E14102" w14:paraId="2D3BAC75" w14:textId="77777777">
        <w:tc>
          <w:tcPr>
            <w:tcW w:w="4261" w:type="dxa"/>
          </w:tcPr>
          <w:p w14:paraId="3E99A09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Свирлаг 40 131 </w:t>
            </w:r>
          </w:p>
        </w:tc>
        <w:tc>
          <w:tcPr>
            <w:tcW w:w="4261" w:type="dxa"/>
          </w:tcPr>
          <w:p w14:paraId="26B29CF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3887 </w:t>
            </w:r>
          </w:p>
        </w:tc>
      </w:tr>
      <w:tr w:rsidR="00E3599D" w:rsidRPr="00E14102" w14:paraId="3A7B7517" w14:textId="77777777">
        <w:tc>
          <w:tcPr>
            <w:tcW w:w="4261" w:type="dxa"/>
          </w:tcPr>
          <w:p w14:paraId="6553D5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Темлаг 26 361 </w:t>
            </w:r>
          </w:p>
        </w:tc>
        <w:tc>
          <w:tcPr>
            <w:tcW w:w="4261" w:type="dxa"/>
          </w:tcPr>
          <w:p w14:paraId="5C2CB7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2908 </w:t>
            </w:r>
          </w:p>
        </w:tc>
      </w:tr>
      <w:tr w:rsidR="00E3599D" w:rsidRPr="00E14102" w14:paraId="4B2A0FB3" w14:textId="77777777">
        <w:tc>
          <w:tcPr>
            <w:tcW w:w="4261" w:type="dxa"/>
          </w:tcPr>
          <w:p w14:paraId="2D47BAF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Дальлаг 64 711 </w:t>
            </w:r>
          </w:p>
        </w:tc>
        <w:tc>
          <w:tcPr>
            <w:tcW w:w="4261" w:type="dxa"/>
          </w:tcPr>
          <w:p w14:paraId="33DD484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1076 </w:t>
            </w:r>
          </w:p>
        </w:tc>
      </w:tr>
      <w:tr w:rsidR="00E3599D" w:rsidRPr="00E14102" w14:paraId="74702207" w14:textId="77777777">
        <w:tc>
          <w:tcPr>
            <w:tcW w:w="4261" w:type="dxa"/>
          </w:tcPr>
          <w:p w14:paraId="27A92C4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Сиблаг 67 588 </w:t>
            </w:r>
          </w:p>
        </w:tc>
        <w:tc>
          <w:tcPr>
            <w:tcW w:w="4261" w:type="dxa"/>
          </w:tcPr>
          <w:p w14:paraId="201583D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2712 </w:t>
            </w:r>
          </w:p>
        </w:tc>
      </w:tr>
      <w:tr w:rsidR="00E3599D" w:rsidRPr="00E14102" w14:paraId="418E9FBD" w14:textId="77777777">
        <w:tc>
          <w:tcPr>
            <w:tcW w:w="4261" w:type="dxa"/>
          </w:tcPr>
          <w:p w14:paraId="0CD64C9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Сазлаг 28 487 </w:t>
            </w:r>
          </w:p>
        </w:tc>
        <w:tc>
          <w:tcPr>
            <w:tcW w:w="4261" w:type="dxa"/>
          </w:tcPr>
          <w:p w14:paraId="14454C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1814 </w:t>
            </w:r>
          </w:p>
        </w:tc>
      </w:tr>
      <w:tr w:rsidR="00E3599D" w:rsidRPr="00E14102" w14:paraId="61F7D038" w14:textId="77777777">
        <w:tc>
          <w:tcPr>
            <w:tcW w:w="4261" w:type="dxa"/>
          </w:tcPr>
          <w:p w14:paraId="1792F25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Карлаг 31 120 </w:t>
            </w:r>
          </w:p>
        </w:tc>
        <w:tc>
          <w:tcPr>
            <w:tcW w:w="4261" w:type="dxa"/>
          </w:tcPr>
          <w:p w14:paraId="7B680E4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781 </w:t>
            </w:r>
          </w:p>
        </w:tc>
      </w:tr>
      <w:tr w:rsidR="00E3599D" w:rsidRPr="00E14102" w14:paraId="0EBA06FE" w14:textId="77777777">
        <w:tc>
          <w:tcPr>
            <w:tcW w:w="4261" w:type="dxa"/>
          </w:tcPr>
          <w:p w14:paraId="7AFBD0E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Прорвлаг 11 505 </w:t>
            </w:r>
          </w:p>
        </w:tc>
        <w:tc>
          <w:tcPr>
            <w:tcW w:w="4261" w:type="dxa"/>
          </w:tcPr>
          <w:p w14:paraId="29892E1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194 </w:t>
            </w:r>
          </w:p>
        </w:tc>
      </w:tr>
      <w:tr w:rsidR="00E3599D" w:rsidRPr="00E14102" w14:paraId="6BD0638D" w14:textId="77777777">
        <w:tc>
          <w:tcPr>
            <w:tcW w:w="4261" w:type="dxa"/>
          </w:tcPr>
          <w:p w14:paraId="11AB01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Сарлаг 2850 </w:t>
            </w:r>
          </w:p>
        </w:tc>
        <w:tc>
          <w:tcPr>
            <w:tcW w:w="4261" w:type="dxa"/>
          </w:tcPr>
          <w:p w14:paraId="6867A92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64 </w:t>
            </w:r>
          </w:p>
        </w:tc>
      </w:tr>
      <w:tr w:rsidR="00E3599D" w:rsidRPr="00E14102" w14:paraId="7EF2C8E1" w14:textId="77777777">
        <w:tc>
          <w:tcPr>
            <w:tcW w:w="4261" w:type="dxa"/>
          </w:tcPr>
          <w:p w14:paraId="34880F2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Охунлаг 2143 (янв.-июль)</w:t>
            </w:r>
          </w:p>
        </w:tc>
        <w:tc>
          <w:tcPr>
            <w:tcW w:w="4261" w:type="dxa"/>
          </w:tcPr>
          <w:p w14:paraId="62B96F6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23 </w:t>
            </w:r>
          </w:p>
        </w:tc>
      </w:tr>
      <w:tr w:rsidR="00E3599D" w:rsidRPr="00E14102" w14:paraId="2D7BECC2" w14:textId="77777777">
        <w:tc>
          <w:tcPr>
            <w:tcW w:w="4261" w:type="dxa"/>
            <w:tcBorders>
              <w:bottom w:val="single" w:sz="12" w:space="0" w:color="auto"/>
            </w:tcBorders>
          </w:tcPr>
          <w:p w14:paraId="43116E7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Ветлаг 10 359 </w:t>
            </w:r>
          </w:p>
        </w:tc>
        <w:tc>
          <w:tcPr>
            <w:tcW w:w="4261" w:type="dxa"/>
            <w:tcBorders>
              <w:bottom w:val="single" w:sz="12" w:space="0" w:color="auto"/>
            </w:tcBorders>
          </w:tcPr>
          <w:p w14:paraId="0EC8193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613 (7560)</w:t>
            </w:r>
          </w:p>
        </w:tc>
      </w:tr>
    </w:tbl>
    <w:p w14:paraId="0636948A" w14:textId="77777777" w:rsidR="00D4105E" w:rsidRPr="00E14102" w:rsidRDefault="00D4105E" w:rsidP="00E14102">
      <w:pPr>
        <w:autoSpaceDE w:val="0"/>
        <w:autoSpaceDN w:val="0"/>
        <w:adjustRightInd w:val="0"/>
        <w:jc w:val="both"/>
        <w:rPr>
          <w:iCs/>
          <w:color w:val="000000" w:themeColor="text1"/>
          <w:sz w:val="16"/>
          <w:szCs w:val="16"/>
        </w:rPr>
      </w:pPr>
    </w:p>
    <w:p w14:paraId="76ED1F3D" w14:textId="77777777" w:rsidR="00DC3D07"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Внешняя политика:</w:t>
      </w:r>
    </w:p>
    <w:p w14:paraId="01D44E57" w14:textId="77777777" w:rsidR="00DC3D07" w:rsidRPr="00E14102" w:rsidRDefault="00DC3D07" w:rsidP="00E14102">
      <w:pPr>
        <w:autoSpaceDE w:val="0"/>
        <w:autoSpaceDN w:val="0"/>
        <w:adjustRightInd w:val="0"/>
        <w:jc w:val="both"/>
        <w:rPr>
          <w:iCs/>
          <w:color w:val="000000" w:themeColor="text1"/>
          <w:sz w:val="16"/>
          <w:szCs w:val="16"/>
        </w:rPr>
      </w:pPr>
    </w:p>
    <w:p w14:paraId="48CE17BA" w14:textId="77777777" w:rsidR="00DC3D07" w:rsidRPr="00E14102" w:rsidRDefault="00DC3D07" w:rsidP="00E14102">
      <w:pPr>
        <w:pStyle w:val="a7"/>
        <w:rPr>
          <w:color w:val="000000" w:themeColor="text1"/>
          <w:sz w:val="16"/>
          <w:szCs w:val="16"/>
          <w:lang w:val="ru-RU"/>
        </w:rPr>
      </w:pPr>
      <w:r w:rsidRPr="00E14102">
        <w:rPr>
          <w:color w:val="000000" w:themeColor="text1"/>
          <w:sz w:val="16"/>
          <w:szCs w:val="16"/>
          <w:lang w:val="ru-RU"/>
        </w:rPr>
        <w:t>До 1935 г. КВЖД сохраняла статус советско-китайского предприятия, когда её про</w:t>
      </w:r>
      <w:r w:rsidRPr="00E14102">
        <w:rPr>
          <w:color w:val="000000" w:themeColor="text1"/>
          <w:sz w:val="16"/>
          <w:szCs w:val="16"/>
          <w:lang w:val="ru-RU"/>
        </w:rPr>
        <w:softHyphen/>
        <w:t>дали марионеточному государству Маньчжоу-Го, созданному японцами в северной ча</w:t>
      </w:r>
      <w:r w:rsidRPr="00E14102">
        <w:rPr>
          <w:color w:val="000000" w:themeColor="text1"/>
          <w:sz w:val="16"/>
          <w:szCs w:val="16"/>
          <w:lang w:val="ru-RU"/>
        </w:rPr>
        <w:softHyphen/>
        <w:t>сти Китая. После разгрома Квантунской армии в августе 1945 г. дорога опять оказалась в советском управлении, а в 1952 г. её безвозмездно передали правительству КНР (15819).</w:t>
      </w:r>
    </w:p>
    <w:p w14:paraId="25711649" w14:textId="77777777" w:rsidR="00DC3D07" w:rsidRPr="00E14102" w:rsidRDefault="00DC3D07" w:rsidP="00E14102">
      <w:pPr>
        <w:pStyle w:val="a7"/>
        <w:rPr>
          <w:color w:val="000000" w:themeColor="text1"/>
          <w:sz w:val="16"/>
          <w:szCs w:val="16"/>
          <w:lang w:val="ru-RU"/>
        </w:rPr>
      </w:pPr>
    </w:p>
    <w:p w14:paraId="7E70C595"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За рубежом:</w:t>
      </w:r>
    </w:p>
    <w:p w14:paraId="4758E7E1" w14:textId="77777777" w:rsidR="00D4105E" w:rsidRPr="00E14102" w:rsidRDefault="00D4105E" w:rsidP="00E14102">
      <w:pPr>
        <w:autoSpaceDE w:val="0"/>
        <w:autoSpaceDN w:val="0"/>
        <w:adjustRightInd w:val="0"/>
        <w:jc w:val="both"/>
        <w:rPr>
          <w:iCs/>
          <w:color w:val="000000" w:themeColor="text1"/>
          <w:sz w:val="16"/>
          <w:szCs w:val="16"/>
        </w:rPr>
      </w:pPr>
    </w:p>
    <w:p w14:paraId="38C47B3B" w14:textId="77777777" w:rsidR="00DC3D07" w:rsidRPr="00E14102" w:rsidRDefault="00DC3D07" w:rsidP="00E14102">
      <w:pPr>
        <w:jc w:val="both"/>
        <w:rPr>
          <w:color w:val="000000" w:themeColor="text1"/>
          <w:sz w:val="16"/>
          <w:szCs w:val="16"/>
        </w:rPr>
      </w:pPr>
      <w:r w:rsidRPr="00E14102">
        <w:rPr>
          <w:color w:val="000000" w:themeColor="text1"/>
          <w:sz w:val="16"/>
          <w:szCs w:val="16"/>
        </w:rPr>
        <w:t>В 1935 г. Кэмм начал проектирование цельнометаллического крыла с работающей дюралевой обшивкой. Оно должно было стать единым для "Харрикейна", "Хенли" и "Хотспэра". Первый  опытный  комплект таких плоскостей опробовали на  опытном  "Хенли" 20 августа 1937 г. На "Харрикейне" их впервые испытали в воздухе значительно позднее, 28 апреля 1939 г. До лета 1939 г. кустарно изготовили не более дюжины комплектов металлических крыльев, но затем, подготовив соответствующую оснастку, их начали делать во все возрастающем количестве. Первые "Харрикейиы" с усиленными крыльями поступили в части  ВВС  к началу Второй мировой войны.</w:t>
      </w:r>
    </w:p>
    <w:p w14:paraId="64B84DC3" w14:textId="77777777" w:rsidR="00DC3D07" w:rsidRPr="00E14102" w:rsidRDefault="00DC3D07" w:rsidP="00E14102">
      <w:pPr>
        <w:jc w:val="both"/>
        <w:rPr>
          <w:color w:val="000000" w:themeColor="text1"/>
          <w:sz w:val="16"/>
          <w:szCs w:val="16"/>
        </w:rPr>
      </w:pPr>
      <w:r w:rsidRPr="00E14102">
        <w:rPr>
          <w:color w:val="000000" w:themeColor="text1"/>
          <w:sz w:val="16"/>
          <w:szCs w:val="16"/>
        </w:rPr>
        <w:t>Истребители первых серий постепенно заменялись на более новые или модернизировались установкой новых винтов, выхлопных патрубков и прочего. К новому 1940 г. самолетов с пропеллерами "Уоттс" в частях почти не осталось (15129).</w:t>
      </w:r>
    </w:p>
    <w:p w14:paraId="0D8C2F0C" w14:textId="77777777" w:rsidR="00DC3D07" w:rsidRPr="00E14102" w:rsidRDefault="00DC3D07" w:rsidP="00E14102">
      <w:pPr>
        <w:jc w:val="both"/>
        <w:rPr>
          <w:color w:val="000000" w:themeColor="text1"/>
          <w:sz w:val="16"/>
          <w:szCs w:val="16"/>
        </w:rPr>
      </w:pPr>
    </w:p>
    <w:p w14:paraId="55F5A6D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правительством Германии была куплена за 750 000 марок территория вблизи небольшой рыбацкой деревушки Пенемюнде на острове Узедом в Балтийском море. В 1936 г. здесь, в обстановке строжайшей секретности, начались крупномасштабные строительные работы. Сначала появился поселок для рабочих и их семей, затем первые лаборатории, мастерские, полигоны и так далее. Пенемюнде не был обозначен ни на одной карте. Эксплуатация центра, получившего название HVP (Heeres Versuchanstalt Peenemunde), осуществлялась совместно армией и люфтваффе. Вскоре на территории центра были построены электростанция, крупный завод по производству жидкого кислорода, завод по сборке ракет, институт исследования материалов, испытательный аэродром, пусковые ракетные установки и пр. В перспективе предполагалось довести количество технического персонала центра до 30 000 человек, расширить производство ракет, установить прямое железнодорожное и воздушное сообщение с Берлином. Вся территория центра была разделена на две зоны: западную, в которой проводило свои исследования Люфтваффе, и восточную, которая являлась зоной ответственности армии. Испытательные пуски крылатых ракет "Фау-1" и баллистических ракет "Фау-2" осуществлялись в северо-восточном направлении со стартовых площадок, расположенных на северной оконечности острова. Пуски небольших экспериментальных ракет производились в сторону небольшого вытянутого островка Грайфсвальдер-Ойе, расположенного между островом Узедом и материком. В 1939 г. были утверждены основные направления деятельности ракетного центра Пенемюнде с целью разработки:</w:t>
      </w:r>
    </w:p>
    <w:p w14:paraId="4C0E6AE2"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ЖРД тягой до 1500 кг для зенитных ракет и ракет ближнего радиуса действия;</w:t>
      </w:r>
    </w:p>
    <w:p w14:paraId="602745B4"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ЖРД тягой до 25 000 кг для баллистических ракет;</w:t>
      </w:r>
    </w:p>
    <w:p w14:paraId="5DA9EFEB"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систем управления и наведения ракет;</w:t>
      </w:r>
    </w:p>
    <w:p w14:paraId="5B65E8EE"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топливных систем для баллистических ракет;</w:t>
      </w:r>
    </w:p>
    <w:p w14:paraId="6FA5D524"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ЖРД для ракетных истребителей;</w:t>
      </w:r>
    </w:p>
    <w:p w14:paraId="47EEA862"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ЖРД для кратковременного увеличения скорости самолетов в полете;</w:t>
      </w:r>
    </w:p>
    <w:p w14:paraId="29BE9D6E"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стартовых ускорителей для самолетов;</w:t>
      </w:r>
    </w:p>
    <w:p w14:paraId="10AA5909"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подготовка к серийному производству ракет.</w:t>
      </w:r>
    </w:p>
    <w:p w14:paraId="72265A1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 период с 1937 г. по 1940 г. в ракетный центр Пенемюнде было вложено более 550 млн. марок. К 1943 г. под руководством фон Брауна был готов проект межконтинентальной ракеты А-9/А-10, предназначенной для атак объектов на территории США. Проекту присвоили неофициальное название "Фау-3". Однако произошедшие вскоре события заставили немецкое руководство изменить планы (11620).</w:t>
      </w:r>
    </w:p>
    <w:p w14:paraId="445B7B40" w14:textId="77777777" w:rsidR="00D4105E" w:rsidRPr="00E14102" w:rsidRDefault="00D4105E" w:rsidP="00E14102">
      <w:pPr>
        <w:autoSpaceDE w:val="0"/>
        <w:autoSpaceDN w:val="0"/>
        <w:adjustRightInd w:val="0"/>
        <w:jc w:val="both"/>
        <w:rPr>
          <w:color w:val="000000" w:themeColor="text1"/>
          <w:sz w:val="16"/>
          <w:szCs w:val="16"/>
        </w:rPr>
      </w:pPr>
    </w:p>
    <w:p w14:paraId="04941D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путем слияния капиталов «Люфтганзы» и «Люфтшиффбау Цеппелин» образовалась общество «Дойче Цеппелин-Ридерей ГмбХ» для пассажирских воздухоплавательных перевозок во всем мире. На средства общества построили дирижабль LZ-129 «Гинденбург», совершивший первый полет в марте 1936 года. Перед ним строился дирижабль LZ-128, работы над которым в 1930 году прекратились после катастрофы британского R. 101 (11324).</w:t>
      </w:r>
    </w:p>
    <w:p w14:paraId="414F67A6" w14:textId="77777777" w:rsidR="00D4105E" w:rsidRPr="00E14102" w:rsidRDefault="00D4105E" w:rsidP="00E14102">
      <w:pPr>
        <w:autoSpaceDE w:val="0"/>
        <w:autoSpaceDN w:val="0"/>
        <w:adjustRightInd w:val="0"/>
        <w:jc w:val="both"/>
        <w:rPr>
          <w:color w:val="000000" w:themeColor="text1"/>
          <w:sz w:val="16"/>
          <w:szCs w:val="16"/>
        </w:rPr>
      </w:pPr>
    </w:p>
    <w:p w14:paraId="1E4824F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году в распоряжении амкериканского флота имелось совсем немного боеготовых дирижаблей. Так как в то время армейское воздухоплавание переживало не лучшие времена, флот был вынужден сам заботиться о себе. Первым был куплен «Дефендер» [459] из так называемого «Гудиер Флит», флотилии гражданских мягких дирижаблей фирмы «Гудиер», используемых для воздушной рекламы, обучения и туристических полетов. «Дефендер», флагман этой флотилии, был изготовлен в 1929 году, имел внутреннюю подвесную систему и гондолу, поджатую к нижней части оболочки. Объем оболочки дирижабля, получившего флотское обозначение G-1, был равен 5130 куб. м, по бокам гондолы были установлены 2 мотора «Райт» J-6 по 165 л. с., сообщавшие дирижаблю скорость 96 км/ч. Экипаж состоял из семи человек. Затем была приобретена целая серия подобных дирижаблей от G-1 до G-8, которые во время Второй мировой войны активно использовались для обучения экипажей. С «Дефендером» были произведены эксперименты по буксировке двухместного планера, с которого, кстати, прыгала парашютистка. Для буксировки использовался телефонный кабель длиной 135 м. После ряда испытаний дирижабль совершил одновременную буксировку четырех планеров: одного большого двухместного и трех одноместных (11324).</w:t>
      </w:r>
    </w:p>
    <w:p w14:paraId="50C00E5F" w14:textId="77777777" w:rsidR="00D4105E" w:rsidRPr="00E14102" w:rsidRDefault="00D4105E" w:rsidP="00E14102">
      <w:pPr>
        <w:autoSpaceDE w:val="0"/>
        <w:autoSpaceDN w:val="0"/>
        <w:adjustRightInd w:val="0"/>
        <w:jc w:val="both"/>
        <w:rPr>
          <w:color w:val="000000" w:themeColor="text1"/>
          <w:sz w:val="16"/>
          <w:szCs w:val="16"/>
        </w:rPr>
      </w:pPr>
    </w:p>
    <w:p w14:paraId="72F43424" w14:textId="77777777" w:rsidR="00DC3D07" w:rsidRPr="00E14102" w:rsidRDefault="00DC3D07" w:rsidP="00E14102">
      <w:pPr>
        <w:jc w:val="both"/>
        <w:rPr>
          <w:color w:val="000000" w:themeColor="text1"/>
          <w:sz w:val="16"/>
          <w:szCs w:val="16"/>
        </w:rPr>
      </w:pPr>
      <w:r w:rsidRPr="00E14102">
        <w:rPr>
          <w:color w:val="000000" w:themeColor="text1"/>
          <w:sz w:val="16"/>
          <w:szCs w:val="16"/>
        </w:rPr>
        <w:t>В 1935 г. французское правительство заказало 300 танков R-35, и в последующие годы выпуск машин этого типа продолжался. Всего до конца мая 1940 г. французская армия получила около 1800 танков R-35.</w:t>
      </w:r>
    </w:p>
    <w:p w14:paraId="1D813CEB" w14:textId="77777777" w:rsidR="00DC3D07" w:rsidRPr="00E14102" w:rsidRDefault="00DC3D07" w:rsidP="00E14102">
      <w:pPr>
        <w:jc w:val="both"/>
        <w:rPr>
          <w:color w:val="000000" w:themeColor="text1"/>
          <w:sz w:val="16"/>
          <w:szCs w:val="16"/>
        </w:rPr>
      </w:pPr>
      <w:r w:rsidRPr="00E14102">
        <w:rPr>
          <w:color w:val="000000" w:themeColor="text1"/>
          <w:sz w:val="16"/>
          <w:szCs w:val="16"/>
        </w:rPr>
        <w:t>Французы тоже в первой половине 1930-х гг. отказались от тяжелых танков и приступили к изготовлению легких и средних танков. Так, с 1935 г. производились легкие танки R-35 весом в 10 т и с экипажем из двух человек. Вооружение и скорость танка были весьма скромными: одна 37-мм пушка, один пулемет и 20 км/ч. Но главным достоинством танка R-35 стала лобовая броня его корпуса из 45-мм литых плит. Башня тоже литая с 45-мм броней. Для прочности башня даже не имела броневого люка.</w:t>
      </w:r>
    </w:p>
    <w:p w14:paraId="020AD652" w14:textId="77777777" w:rsidR="00DC3D07" w:rsidRPr="00E14102" w:rsidRDefault="00DC3D07" w:rsidP="00E14102">
      <w:pPr>
        <w:jc w:val="both"/>
        <w:rPr>
          <w:color w:val="000000" w:themeColor="text1"/>
          <w:sz w:val="16"/>
          <w:szCs w:val="16"/>
        </w:rPr>
      </w:pPr>
      <w:r w:rsidRPr="00E14102">
        <w:rPr>
          <w:color w:val="000000" w:themeColor="text1"/>
          <w:sz w:val="16"/>
          <w:szCs w:val="16"/>
        </w:rPr>
        <w:t>Командир танка, выполнявший одновременно обязанности наводчика и заряжающего, попадал в танк через кормовой башенный люк. Крышка этого люка в откинутом положении использовалась для сиденья командира при движении танка вне боя</w:t>
      </w:r>
    </w:p>
    <w:p w14:paraId="74CCBE2F" w14:textId="77777777" w:rsidR="00DC3D07" w:rsidRPr="00E14102" w:rsidRDefault="00DC3D07" w:rsidP="00E14102">
      <w:pPr>
        <w:jc w:val="both"/>
        <w:rPr>
          <w:color w:val="000000" w:themeColor="text1"/>
          <w:sz w:val="16"/>
          <w:szCs w:val="16"/>
        </w:rPr>
      </w:pPr>
      <w:r w:rsidRPr="00E14102">
        <w:rPr>
          <w:color w:val="000000" w:themeColor="text1"/>
          <w:sz w:val="16"/>
          <w:szCs w:val="16"/>
        </w:rPr>
        <w:t>Танки этого типа экспортировались в Польшу, Румынию, Турцию и Югославию. Румынские R-35 участвовали в боях на Восточном фронте. Часть из них была вооружена советскими трофейными 45-мм танковыми пушками. На вооружении румынской армии танки R-35 состояли до 1948 г (15117).</w:t>
      </w:r>
    </w:p>
    <w:p w14:paraId="6DA90C55" w14:textId="77777777" w:rsidR="00DC3D07" w:rsidRPr="00E14102" w:rsidRDefault="00DC3D07" w:rsidP="00E14102">
      <w:pPr>
        <w:jc w:val="both"/>
        <w:rPr>
          <w:color w:val="000000" w:themeColor="text1"/>
          <w:sz w:val="16"/>
          <w:szCs w:val="16"/>
        </w:rPr>
      </w:pPr>
    </w:p>
    <w:p w14:paraId="094B020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г. Парагвай и Боливия согласились на перемирие, и в Буэнос-Айресе открылась затянувшаяся на три года мирная конференция (3871).</w:t>
      </w:r>
    </w:p>
    <w:p w14:paraId="1D98B436" w14:textId="77777777" w:rsidR="00D4105E" w:rsidRPr="00E14102" w:rsidRDefault="00D4105E" w:rsidP="00E14102">
      <w:pPr>
        <w:autoSpaceDE w:val="0"/>
        <w:autoSpaceDN w:val="0"/>
        <w:adjustRightInd w:val="0"/>
        <w:jc w:val="both"/>
        <w:rPr>
          <w:color w:val="000000" w:themeColor="text1"/>
          <w:sz w:val="16"/>
          <w:szCs w:val="16"/>
        </w:rPr>
      </w:pPr>
    </w:p>
    <w:p w14:paraId="064638E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lastRenderedPageBreak/>
        <w:t>Авиапромышленность:</w:t>
      </w:r>
    </w:p>
    <w:p w14:paraId="4F020C73" w14:textId="77777777" w:rsidR="00D4105E" w:rsidRPr="00E14102" w:rsidRDefault="00D4105E" w:rsidP="00E14102">
      <w:pPr>
        <w:autoSpaceDE w:val="0"/>
        <w:autoSpaceDN w:val="0"/>
        <w:adjustRightInd w:val="0"/>
        <w:jc w:val="both"/>
        <w:rPr>
          <w:iCs/>
          <w:color w:val="000000" w:themeColor="text1"/>
          <w:sz w:val="16"/>
          <w:szCs w:val="16"/>
        </w:rPr>
      </w:pPr>
    </w:p>
    <w:p w14:paraId="1CA46E6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1935 - 1936 гг. активно велись работы по установке на выхлопные коллекторы моторов различных типов глушителей. Когда радиолокаторов еще не существовало, самолеты обнаруживали только визуально и по звуку. Звукоуловители могли выявить самолет и за пределами видимости. Уменьши шум - и дистанция обнаружения резко сократится, зенитчики противника не успеют подготовиться, истребители не взлетят вовремя. На ТБ-3 и ТБ-ЗР опробовали разные глушители. Испытывали многокамерный глушитель системы Андрианова, а также АП-10, сконструированный в СНИИ ГВФ. Последний в НИИ ВВС поставили на четыре ТБ-ЗР. Но ни один из типов глушителей не приняли на вооружение, поскольку испытания показали, что они уменьшают лишь шум от мотора, а почти половину силы звука дает винт, шум от которого убавить не удается (9964).</w:t>
      </w:r>
    </w:p>
    <w:p w14:paraId="6B2BF1A1" w14:textId="77777777" w:rsidR="00D4105E" w:rsidRPr="00E14102" w:rsidRDefault="00D4105E" w:rsidP="00E14102">
      <w:pPr>
        <w:autoSpaceDE w:val="0"/>
        <w:autoSpaceDN w:val="0"/>
        <w:adjustRightInd w:val="0"/>
        <w:jc w:val="both"/>
        <w:rPr>
          <w:color w:val="000000" w:themeColor="text1"/>
          <w:sz w:val="16"/>
          <w:szCs w:val="16"/>
        </w:rPr>
      </w:pPr>
    </w:p>
    <w:p w14:paraId="0FE19E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 — 1936 гг. студент-дипломник Куроч-кин под руководством профессора Б. Н. Юрьева в аэродинамической лаборатории МВТУ провел обширные исследования по аэродинамике воздушных винтов, работающих в косом потоке, необходимые для расчетов подъемно-маршевых винтов самолетов вертикального взлета и посадки. Были получены пространственные поляры двух-, трех и четырехлопастных воздушных винтов. На основании этих исследований в 1936 г. Курочкин разработал проект двухвинтового самолета вертикального взлета и посадки с поворотным крылом. Это был смелый проект, за рубежом вертикально взлетающие самолеты такой схемы появились лишь через двадцать лет. Проект был детально разработан, теоретически обоснован экспериментальными исследованиями и многочисленными расчетами. Защита проводилась в клубе МАИ, т.к. для размещения тридцати четырех чертежей проекта не нашлось места ни в одной аудитории. Председатель ГЭК Н. Н. Поликарпов дал проекту очень высокую оценку. Самолет, названный конструктором «Сокол», проектировался как истребитель. Вертикальный взлет обеспечивал аппарату возможность базирования рядом с охраняемыми объектами, а способность неподвижно висеть в воздухе расширяла его тактические возможности. Самолет — цельнометаллический, фюзеляж — монококовой конструкции. В средней части фюзеляжа, за кабиной пилота, расположен двигатель водяного охлаждения «Испано-Сюиза» — 12 JBRS мощностью 860 л.с, в носовой части — радиатор, установленный в капоте NACA. Перед радиатором стоял подвижный кок, регулирующий входное сечение канала радиатора; имелся вентилятор для принудительного обдува радиатора на режиме висения. В конце фюзеляжа установлен обычный киль самолетного типа с рулем направления. Вместо стабилизатора предусмотрен рулевой воздушный винт диаметром 2 м с горизонтальной плоскостью вращения. Мощность двигателя через центральный двухскоростной редуктор, поперечный вал и угловые поворотные редукторы, расположенные в концевых обтекателях крыла, передавалась на четырехлопастные воздушные винты диаметром 4 м, имевшие коэффициент заполнения 16%. Наличие в трансмиссии двухскоростного центрального редуктора обеспечивало максимальный КПД воздушных винтов как на режиме висения, так и во время горизонтального полета. «Сокол» имел оригинальную систему управления по крену и по курсу, которое осуществлялось с помощью подъемно-маршевых воздушных винтов. На их втулках устанавливался моноциклический автомат перекоса, а продольная управляемость самолета обеспечивалась рулевым двухлопастным винтом, расположенным в прорези хвостовой части фюзеляжа. На самолете предполагалось установить четырехстоечное шасси. Основная стойка шасси с колесом большого диаметра убиралась в фюзеляж; убирался и хвостовой костыль. Оригинально спроектированы боковые опоры — это были хвостовые обтекатели угловых поворотных редукторов, имевшие амортизацию и опорные резиновые поверхности. Технические данные: взлетная масса 1850 кг, размах крыла 5,8 м, площадь крыла 9,28 кв.м. Нагрузка на площадь крыла 200 кг/кв.м. Отметаемая винтами площадь 25,12 кв.м. Нагрузка на площадь винтов около 74 кг/кв.м. В проекте «Сокола» было множество интересных решений, выполненных на уровне изобретений. Еще один интересный проект, опередивший свое время, — проект самолета короткого взлета и посадки М. Суханова. В 1936 г. студент М. Суханов представил к защите в качестве дипломной работы проект самолета с кольцевым крылом диаметром 3 м, с расчетной максимальной скоростью 600 км/ч, которая обеспечивалась двигателем «Испано-Сю-иза» мощностью 800 л.с. На основе своего диплома М. Суханов разработал проект истребителя-перехватчика короткого взлета и посадки указанной аэродинамической схемы. В 1940 г. проект докладывался командованию ВВС и был рассмотрен на научно-техническом совете ЦАГИ под председательством академика Б. Н. Юрьева. Работам по изготовлению продувочных моделей и исследованиям в аэродинамической трубе помешали начало войны и эвакуация института. Модели самолета короткого взлета и посадки, получившего название «Кольцеплан», были изготовлены под руководством М. В. Суханова в Новосибирске, в 1942 г. Важное достоинство «Кольцеплана» — способность кольца-крыла развивать подъемную силу до весьма высоких (до 43°) значений углов атаки, что при большой энерговооруженности истребителя обеспечивало возможность короткого, близкого к вертикальному, взлета. При этом самолет-кольцеплан обладал антиштопорными свойствами, высокой и своеобразной маневренностью. Организованная при поддержке Н. Н. Поликарпова инициативная конструкторская группа разработала проект самолета-истребителя с кольцевым крылом. Одновременно в Новосибирске была построена летающая модель кольцеплана с двумя соосными винтами. При испытаниях модели присутствовал профессор В. П. Ветчинкин. Результаты испытаний признаны успешными. В начале 1943 г. Н. Н. Поликарпов командировал Суханова с проектом кольцеплана в Москву. После рассмотрения проекта в ЦАГИ принято решение о проведении аэродинамических исследований моделей самолета-кольцеплана в аэродинамической лаборатории МАИ. В течение 1943 г. научно-исследовательская работа с аэродинамическими моделями была успешно завершена. С приоритетом от 1942 г. М. В. Суханову выдано авторское свидетельство на изобретение самолета короткого взлета и посадки с кольцевым крылом. Технические данные «Кольцеплана»: взлетная масса 2500 кг, мощность двигателя М-82А 1600 л.с, диаметр кольцевого крыла 3 м, несущая площадь крыла 10,5 кв.м. Хорда пилонов крыла 1,1 м, диаметр соосных винтов 3 м. Максимальная расчетная скорость 740 км/ч. Скорость на высоте 3000 м — 640 км/ч. Хвостовое оперение — нормальной схемы, элероны установлены на пилонах, связывающих фюзеляж с кольцевым крылом. Шасси — трехсто-ечное, стояночный угол 30°. Основные стойки шасси убирались в крыло. Интересно отметить, что аналогичный проект самолета с кольцевым крылом «Веейс» был разработан в Германии фирмой «Хейнкель» лишь в 1944 г. (12075).</w:t>
      </w:r>
    </w:p>
    <w:p w14:paraId="5D8F6B1E" w14:textId="77777777" w:rsidR="00D4105E" w:rsidRPr="00E14102" w:rsidRDefault="00D4105E" w:rsidP="00E14102">
      <w:pPr>
        <w:autoSpaceDE w:val="0"/>
        <w:autoSpaceDN w:val="0"/>
        <w:adjustRightInd w:val="0"/>
        <w:jc w:val="both"/>
        <w:rPr>
          <w:color w:val="000000" w:themeColor="text1"/>
          <w:sz w:val="16"/>
          <w:szCs w:val="16"/>
        </w:rPr>
      </w:pPr>
    </w:p>
    <w:p w14:paraId="620D359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1935–1936-е гг. Разрабатывали ракету 216 с максимальным использованием опыта создания ракеты 06. Ракета была оборудована усовершенствованным спирто-кислородным жидкостным реактивным двигателем 02-с и автоматом ГПС-2. К моменту создания КР 216 двигатель уже прошел испытания. В конструкцию этой ракеты впервые ввели элероны. Сама ракета имела обычную самолетную схему со свободнонесущим высокорасположенным крылом толстого профиля. Руль представлял собой плоскость, качающуюся относительно шарнира, на концах плоскости были закреплены два неподвижных киля. Окислитель заливался в трубчатые баки, игравшие роль лонжеронов крыла. Горючее заливалось в цилиндрический бак, расположенный в нижней части фюзеляжа. Подача топлива в ЖРД и питание пневмосистемы автомата стабилизации осуществлялись сжатым воздухом от баллонов. Двигатель располагался в хвостовой части фюзеляжа. В носовой части КР устанавливалась автоматика и боевая часть. Взлет КР 216 осуществлялся с пороховой ракетной тележки. Камера тележки снаряжалась шашками тротилопироксилинового пороха.</w:t>
      </w:r>
    </w:p>
    <w:p w14:paraId="2FCCC31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этой ракетой в РНИИ связывались многие надежды. На полигоне в Софрино надо было выстроить 60-метровый рельсовый путь. По рельсам должна была катиться тележка с разгонными пороховыми ракетами, а уже с этой тележки стартовала 216.</w:t>
      </w:r>
    </w:p>
    <w:p w14:paraId="5D64DA7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Вскоре была построена специальная стартовая дорожка, представлявшая собой узкоколейный рельсовый путь, уложенный горизонтально на протяжении около 150 м. На участке примерно через 70 м под некоторым углом этот путь опускался. В конце пути была устроена песчаная насыпь.</w:t>
      </w:r>
    </w:p>
    <w:p w14:paraId="011CE46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Ракета устанавливалась на тележке и зацеплялась буксирным крюком за сварную раму. На тележке укреплялся пороховой стартовый двигатель. Сначала запускался жидкостной двигатель, установленный на КР. Тележка при этом удерживалась неподвижно в исходной точке рельсового пути. Затем включался пороховой двигатель тележки и одновременно освобождалась тележка. Тележка начинала разгоняться. Через 30–60 м пути КР отрывалась от тележки и начинала набирать высоту. Тележка, дойдя до конца пути, ударялась о насыпь и останавливалась</w:t>
      </w:r>
    </w:p>
    <w:p w14:paraId="4C73754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Изготовлено было всего четыре КР 216. Перед началом летных испытаний КР 216 в 1936 г. проводились предварительные испытания ее основных компонентов. В первую очередь были проведены стендовые испытания ЖРД, лабораторные испытания автомата ГПС-2, отработана ракетная тележка, испытаны неуправляемые макеты ракеты для определения оптимальных углов атаки на взлете.</w:t>
      </w:r>
    </w:p>
    <w:p w14:paraId="0467C6B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Автомат ГПС-2, который был создан в том же 1936 г. для обеспечения продольной и поперечной стабилизации ракеты, управлял элеронами и рулем высоты. Руль направления закреплялся неподвижно. Это было связано с тем, что разработчики рассчитывали на обеспечение статической устойчивости ракеты в полете с помощью аэродинамических поверхностей.</w:t>
      </w:r>
    </w:p>
    <w:p w14:paraId="1C3E50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четырех испытаниях, проведенных в 1936 г., КР 216 только дважды нормально взлетела с тележки и всего один раз достаточно устойчиво поднялась до высоты 500 м. Автомат ГПС-2 не смог выдержать заданный угол подъема и перевести ракету в планирование. Элементы поперечной стабилизации автомата ГПС-2 работали нормально, но элементы продольной стабилизации автомата ГПС-2 допустили превышение угла подъема ракеты на стартовом участке с переходом ракеты на петлю, потерей управления и падением (11686).</w:t>
      </w:r>
    </w:p>
    <w:p w14:paraId="1DAA485B" w14:textId="77777777" w:rsidR="00D4105E" w:rsidRPr="00E14102" w:rsidRDefault="00D4105E" w:rsidP="00E14102">
      <w:pPr>
        <w:autoSpaceDE w:val="0"/>
        <w:autoSpaceDN w:val="0"/>
        <w:adjustRightInd w:val="0"/>
        <w:jc w:val="both"/>
        <w:rPr>
          <w:color w:val="000000" w:themeColor="text1"/>
          <w:sz w:val="16"/>
          <w:szCs w:val="16"/>
        </w:rPr>
      </w:pPr>
    </w:p>
    <w:p w14:paraId="28A68B6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В 1935-1936 гг. К. Н. Рудневым, В. Н. Полюбиным и А. А. Троненковым была разработана «механическая спарка» пулеметов ШКАС, в которой темп стрельбы тех же пулеметов был доведен до 6000- 6400 выстр./мин. В дальнейшем в разработке и исследовании спарки приняли также участие Н. Ф. Токарев и А. А. Волков под непосредственным руководством главного конструктора одного из конструкторских бюро М. А. Мамонтова (ЦГАНХ, ф. 7537, оп. 1, д. 13, л. 111). Принцип действия новой системы заключается в использовании энергии пороховых газов при выстреле в одном пулемете для ускорения возвратного движения частей другого пулемета. Достигалось это следующим образом. В обычных пулеметах ШКАС время наката подвижных частей почти в два раза больше времени отката. В механической спарке в поршни пулеметов ШКАС были вставлены рейки, которые соединялись шестерней, закрепленной на установке, что связывало подвижные системы обоих пулеметов. В результате при выстреле подвижная система первого пулемета осуществляет откат и через шестерню перемещает подвижную систему второго пулемета в крайнее переднее положение, обеспечивая производство выстрела в другом пулемете. Таким образом, подвижные системы первого и второго пулемета поочередно являются </w:t>
      </w:r>
      <w:r w:rsidRPr="00E14102">
        <w:rPr>
          <w:color w:val="000000" w:themeColor="text1"/>
          <w:sz w:val="16"/>
          <w:szCs w:val="16"/>
        </w:rPr>
        <w:lastRenderedPageBreak/>
        <w:t>ведущими и обеспечивают одинаковые скорости отката и наката и высокий темп стрельбы. Для предупреждения преждевременного отпирания пулемета при отходе от буфера подвижных частей второго пулемета рейки в поршнях имели возможность перемещаться продольно на 9 мм. При этом подвижные части одного из пулеметов оставались в крайнем переднем положении, пока во втором пулемете они перемещались в накате на 18 мм. Этого времени было достаточно, чтобы устранить преждевременное отпирание. Для ведения огня спусковой механизм был расположен на одном из пулеметов. «Механическая спарка» пулеметов ШКАС успешно выдержала полигонные испытания. Наряду с высоким темпом стрельбы ее положительными качествами были простота и оригинальность конструкции, компактность и отсутствие громоздких деталей, возможность быстрой организации производства вследствие незначительных изменений изготовлявшихся на базе валового производства пулеметов ШКАС. Как отмечалось в документах, она «без существенных изменений может быть использована для крыльевых и турельных установок на самолете, а также для целей противовоздушной обороны, в этом случае она заменяет 3 счетверенные установки или 12 пулеметов Максима» (ЦГАНХ, ф. 7537, on. 1, д. 13, л. 110.) В сентябре 1936 г. «Спарка» была установлена на серийный самолет СБ и испытана в воздухе. На основе этих испытаний в июне 1937 г. новой системе было присвоено наименование «Механическая спарка ШКАС (МСШ)», и Народный комиссариат оборонной промышленности обязывался изготовить серию в количестве 20 шт. с установкой на самолеты СБ с целью войсковых испытаний (ЦГАНХ, ф. 7515, оп. 6, д. 31, л. 1). В дальнейшем вследствие наметившейся по опыту боев в Испании тенденции вооружения самолетов крупнокалиберными пулеметами работа над ней была прекращена и она не была принята на вооружение (11316).</w:t>
      </w:r>
    </w:p>
    <w:p w14:paraId="183F8933" w14:textId="77777777" w:rsidR="00D4105E" w:rsidRPr="00E14102" w:rsidRDefault="00D4105E" w:rsidP="00E14102">
      <w:pPr>
        <w:autoSpaceDE w:val="0"/>
        <w:autoSpaceDN w:val="0"/>
        <w:adjustRightInd w:val="0"/>
        <w:jc w:val="both"/>
        <w:rPr>
          <w:color w:val="000000" w:themeColor="text1"/>
          <w:sz w:val="16"/>
          <w:szCs w:val="16"/>
        </w:rPr>
      </w:pPr>
    </w:p>
    <w:p w14:paraId="587F30A2"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1935-1937 годах на Р-5 испытывали систему "Огненный дождь", созданную в Научно-исследовательском химическом институте (НИХИ) Химуправления РККА. Из двух доработанных выливных приборов ВАП-4м самолет с малой высоты (30-40 м) посыпал цель гранулированным желтым фосфором. Дополнительное устройство поджигало его. Первый вариант "Огненного дождя" проходил испытания в Шиханах в марте 1935 г., затем появились еще три, тоже опробованные там же. Атака производилась на скорости 190-200 км/ч с высоты 30-50 м. Через 5 с за машиной оставалась выжженная полоса шириной 18 м и длиной 170-250 м. Целями на полигоне являлись самолеты, деревянные строения, чучела в различном обмундировании и животные. В августе 1937 г. таким способом сожгли деревянный мост, несколько изб и дюжину собак.</w:t>
      </w:r>
    </w:p>
    <w:p w14:paraId="22799F27"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Воздействие фосфора проверяли на свиньях, которые ближе к человеку, чем собаки, по метаболизму и примерно такие же голокожие. Свиней наряжали в различное обмундирование - шинели, гимнастерки и даже промасленные комбинезоны танкистов. Ношеные веши доставляли со складов после списания. Изучая один из присланных отчетов, наверху обнаружили, что работники полигона ленятся спарывать с петлиц знаки различия. На одной из фотографий усмотрели хрюшку в шинели батальонного комиссара. Это вызвало взрыв негодования. Наиболее ретивые рвались обвинять службы ЦВХП в намеренной дискредитации политработников. Но все обошлось - перспективность нового оружия перевесила. Однако "кубари" и "шпалы", а особенно комиссарские звезды, предписали впредь непременно снимать.</w:t>
      </w:r>
    </w:p>
    <w:p w14:paraId="2EDB6F04"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"Огненный дождь", хотя и требующий совершенствования, считался весьма мощным средством современной войны. Бригада Р-5 могла за два вылета сбросить на врага 7,2 т чистого фосфора. Эти работы привели к созданию подобного вооружения для бомбардировщиков СБ, применявшегося в начале Великой Отечественной войны.</w:t>
      </w:r>
    </w:p>
    <w:p w14:paraId="333EA9B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Многократно пытались расширить ассортимент бомбовой нагрузки Р-5. Она включала фугасные, осколочные, зажигательные, осветительные, химические и осколочно- химические бомбы. Одних типов осколочных бомб насчитывалось десятка два. Зажигательных было поменьше, но тоже, пожалуй, с десяток. С напалмом у нас начали экспериментировать раньше, чем в Америке. Например, СФ-1 - это коллоидная смесь бензина и керосина, загущенное топливо. Ей заправляли бомбы ФСБ-12 (с металлическим корпусом) и ФСБ-Б-12 (с картонным корпусом). Их тоже опробовали на Р-5. А известная самовоспламеняющаяся жидкость КС - сгущенный керосин. Жестяные ампулы АЖ-2, укладывавшиеся в кассеты, могли заполняться не только отравляющими веществами, но и КС, что и делали в годы Великой Отечественной войны (12034).</w:t>
      </w:r>
    </w:p>
    <w:p w14:paraId="0602CE32" w14:textId="77777777" w:rsidR="00D4105E" w:rsidRPr="00E14102" w:rsidRDefault="00D4105E" w:rsidP="00E14102">
      <w:pPr>
        <w:autoSpaceDE w:val="0"/>
        <w:autoSpaceDN w:val="0"/>
        <w:adjustRightInd w:val="0"/>
        <w:jc w:val="both"/>
        <w:rPr>
          <w:color w:val="000000" w:themeColor="text1"/>
          <w:sz w:val="16"/>
          <w:szCs w:val="16"/>
        </w:rPr>
      </w:pPr>
    </w:p>
    <w:p w14:paraId="34AD046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 1935-1936 в РНИИ НКТП на начальном этапе проектирование авиабомб с дополнительными скоростями падения возглавлял И.С.Але</w:t>
      </w:r>
      <w:r w:rsidRPr="00E14102">
        <w:rPr>
          <w:color w:val="000000" w:themeColor="text1"/>
          <w:sz w:val="16"/>
          <w:szCs w:val="16"/>
        </w:rPr>
        <w:softHyphen/>
        <w:t>ксандров. Наряду с этим, опыты военинженера 2 ранга М.Н.Тверского в НИО запада № 67 заключались в модернизации фугасных авиабомб конструкции В.В.Орановского времен первой мировой войны путем ус</w:t>
      </w:r>
      <w:r w:rsidRPr="00E14102">
        <w:rPr>
          <w:color w:val="000000" w:themeColor="text1"/>
          <w:sz w:val="16"/>
          <w:szCs w:val="16"/>
        </w:rPr>
        <w:softHyphen/>
        <w:t>тановки блока ракетного двигателя в задней части боеприпаса. Для этого в боевом заряде высверливали глубокое глухое отверстие, куда поме</w:t>
      </w:r>
      <w:r w:rsidRPr="00E14102">
        <w:rPr>
          <w:color w:val="000000" w:themeColor="text1"/>
          <w:sz w:val="16"/>
          <w:szCs w:val="16"/>
        </w:rPr>
        <w:softHyphen/>
        <w:t>шали РЗ в стальном корпусе с сопловой рюмкой. При этом, естественно, от донного взрывателя пришлось отказаться, заменив его головным АПУВ. Такой вариант фугасного боеприпаса при бомбометании заглублялся в грунт намного дальше, но выгоды, очевидно, это вряд ли могло принести - на большой глубине мощи боевого заряда, и без того уменьшенного за счет ракетного двигателя, не хватало, и авиабомба давала камуфлет. Кроме того, результаты бомбометания такими боеприпасами сильно зависели от случайной величины - плотности грунта. Позже М.Н.Тверской переключился на заказы УМС РККА на боеприпасы проникающего действия (фугасные авиабомбы в то время моряков не интересовали). Об этом, в частности, свидетельствует переписка этого периода между главным инженером ГУБ НКТП Кондратьевым с временным начальником 2 отделения 7 отдела УМС РККА капитаном 3 ранга Томиловым и помощником начальника 2 отделения 7 отдела военинженером 3 ранга Ивановым: «Возвращая счет РНИИ за изготовлен</w:t>
      </w:r>
      <w:r w:rsidRPr="00E14102">
        <w:rPr>
          <w:color w:val="000000" w:themeColor="text1"/>
          <w:sz w:val="16"/>
          <w:szCs w:val="16"/>
        </w:rPr>
        <w:softHyphen/>
        <w:t>ные пороховые шашки размеров 75/10-92, второе отделение сообщает. что потребности в этих шашках не имеются. Для испытания авиабомбы системы военинженера 2 ранга Тверского необходимо получить 1500 кг шашек 46/8-57,5 в срок по 250 кг ежемесячно, начиная с июля сего года». В предвоенный период концепция борьбы с защищенными и особо прочными целями основывалась исключительно на кинетических воз</w:t>
      </w:r>
      <w:r w:rsidRPr="00E14102">
        <w:rPr>
          <w:color w:val="000000" w:themeColor="text1"/>
          <w:sz w:val="16"/>
          <w:szCs w:val="16"/>
        </w:rPr>
        <w:softHyphen/>
        <w:t>можностях боеприпасов. К таким целям относились мощные фортсооружения сухопутных войск, хорошо укрепленные постройки береговой обороны, военные корабли с сильным палубным бронированием и пр. (Поэтому БЧ проникающего типа для авиабомб с ДС предусматривалось (использовать только бетонобойного и бронебойного назначения.</w:t>
      </w:r>
    </w:p>
    <w:p w14:paraId="6C8F55C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Из письма директора РНИИ начальнику вооружений РККА командарму 2 ранга Халепскому. «Создание ракетной авиабомбы в значительной степени должно поднять боеспособность бомбардировочной авиации РККА. Такие авиабомбы, получая при падении дополнительную скорость, под действием реактивной силы могут успешно бороться с перекрытиями (броня, бетон) гораздо больших толщин, чем это доступно для штатных авиабомб.</w:t>
      </w:r>
    </w:p>
    <w:p w14:paraId="51DBD757"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У ракетной авиабомбы глубина проникания в бетон увеличивается почти в 2,5 раза, а пробивание брони — почти в 3,5 раза в сравнении со штатной. Первые опыты одновременного сбрасывания штатных фугасных и ракетных авиабомб РНИИ дали вполне удовлетворительные результаты. РНИИ считает, что все принципиальные вопросы этим испытанием разрешены вполне удовлетворительно. РНИИ, придавая исключительное значение скорейшей доработке этого вопроса, всемерно форсируют сами работы в этом направлении, используя в качестве авиа бомбы существующие артиллерийские бронебойные и бетонобойные снаряды.</w:t>
      </w:r>
    </w:p>
    <w:p w14:paraId="79E1093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Единственный вопрос, который может несколько задержать оконча</w:t>
      </w:r>
      <w:r w:rsidRPr="00E14102">
        <w:rPr>
          <w:color w:val="000000" w:themeColor="text1"/>
          <w:sz w:val="16"/>
          <w:szCs w:val="16"/>
        </w:rPr>
        <w:softHyphen/>
        <w:t>тельное решение о принятии на вооружение РККА новых ракетных авиабомб — это донный взрыватель к ним. Его разработка, по мнению РНИИ, ведется недостаточными темпами».</w:t>
      </w:r>
    </w:p>
    <w:p w14:paraId="492C1A7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Таблица 4.3 Проникающие возможности авиабомб в равных условиях бомбометания</w:t>
      </w:r>
    </w:p>
    <w:tbl>
      <w:tblPr>
        <w:tblW w:w="0" w:type="auto"/>
        <w:tblInd w:w="40" w:type="dxa"/>
        <w:tblLayout w:type="fixed"/>
        <w:tblCellMar>
          <w:left w:w="40" w:type="dxa"/>
          <w:right w:w="40" w:type="dxa"/>
        </w:tblCellMar>
        <w:tblLook w:val="0000" w:firstRow="0" w:lastRow="0" w:firstColumn="0" w:lastColumn="0" w:noHBand="0" w:noVBand="0"/>
      </w:tblPr>
      <w:tblGrid>
        <w:gridCol w:w="3398"/>
        <w:gridCol w:w="1238"/>
        <w:gridCol w:w="1253"/>
      </w:tblGrid>
      <w:tr w:rsidR="00E3599D" w:rsidRPr="00E14102" w14:paraId="5947BD51" w14:textId="77777777">
        <w:trPr>
          <w:trHeight w:val="223"/>
        </w:trPr>
        <w:tc>
          <w:tcPr>
            <w:tcW w:w="3398" w:type="dxa"/>
            <w:tcBorders>
              <w:top w:val="single" w:sz="6" w:space="0" w:color="auto"/>
              <w:left w:val="single" w:sz="6" w:space="0" w:color="auto"/>
              <w:bottom w:val="single" w:sz="6" w:space="0" w:color="auto"/>
              <w:right w:val="single" w:sz="6" w:space="0" w:color="auto"/>
            </w:tcBorders>
          </w:tcPr>
          <w:p w14:paraId="3C000EC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Масса авиабомбы, кг</w:t>
            </w:r>
          </w:p>
          <w:p w14:paraId="694420C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5A9E0A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Обычная 100-кг</w:t>
            </w:r>
          </w:p>
          <w:p w14:paraId="111D7F7B"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33B0465C"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Ракетная 100-кг</w:t>
            </w:r>
          </w:p>
          <w:p w14:paraId="0C88058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4A80394D" w14:textId="77777777">
        <w:trPr>
          <w:trHeight w:val="223"/>
        </w:trPr>
        <w:tc>
          <w:tcPr>
            <w:tcW w:w="3398" w:type="dxa"/>
            <w:tcBorders>
              <w:top w:val="single" w:sz="6" w:space="0" w:color="auto"/>
              <w:left w:val="single" w:sz="6" w:space="0" w:color="auto"/>
              <w:bottom w:val="single" w:sz="6" w:space="0" w:color="auto"/>
              <w:right w:val="single" w:sz="6" w:space="0" w:color="auto"/>
            </w:tcBorders>
          </w:tcPr>
          <w:p w14:paraId="3036A0A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Высота бомбометания, м</w:t>
            </w:r>
          </w:p>
          <w:p w14:paraId="3ABDBA1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B98467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2000</w:t>
            </w:r>
          </w:p>
          <w:p w14:paraId="3BD41B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53384F8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2000</w:t>
            </w:r>
          </w:p>
          <w:p w14:paraId="325037F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1D4F0B1C" w14:textId="77777777">
        <w:trPr>
          <w:trHeight w:val="238"/>
        </w:trPr>
        <w:tc>
          <w:tcPr>
            <w:tcW w:w="3398" w:type="dxa"/>
            <w:tcBorders>
              <w:top w:val="single" w:sz="6" w:space="0" w:color="auto"/>
              <w:left w:val="single" w:sz="6" w:space="0" w:color="auto"/>
              <w:bottom w:val="single" w:sz="6" w:space="0" w:color="auto"/>
              <w:right w:val="single" w:sz="6" w:space="0" w:color="auto"/>
            </w:tcBorders>
          </w:tcPr>
          <w:p w14:paraId="342323C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Скорость самолета-носичеля, м/с</w:t>
            </w:r>
          </w:p>
          <w:p w14:paraId="431F62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60CFC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50</w:t>
            </w:r>
          </w:p>
          <w:p w14:paraId="5B34F54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19B2146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50</w:t>
            </w:r>
          </w:p>
          <w:p w14:paraId="5FC4D5E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1912972B" w14:textId="77777777">
        <w:trPr>
          <w:trHeight w:val="202"/>
        </w:trPr>
        <w:tc>
          <w:tcPr>
            <w:tcW w:w="3398" w:type="dxa"/>
            <w:tcBorders>
              <w:top w:val="single" w:sz="6" w:space="0" w:color="auto"/>
              <w:left w:val="single" w:sz="6" w:space="0" w:color="auto"/>
              <w:bottom w:val="single" w:sz="6" w:space="0" w:color="auto"/>
              <w:right w:val="single" w:sz="6" w:space="0" w:color="auto"/>
            </w:tcBorders>
          </w:tcPr>
          <w:p w14:paraId="7C6A053D"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Скорость авиабомбы при ударе в преграду, м/с</w:t>
            </w:r>
          </w:p>
          <w:p w14:paraId="0A57ED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A478FB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200</w:t>
            </w:r>
          </w:p>
          <w:p w14:paraId="56618AE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771B239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490</w:t>
            </w:r>
          </w:p>
          <w:p w14:paraId="67328B3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18CA7460" w14:textId="77777777">
        <w:trPr>
          <w:trHeight w:val="223"/>
        </w:trPr>
        <w:tc>
          <w:tcPr>
            <w:tcW w:w="3398" w:type="dxa"/>
            <w:tcBorders>
              <w:top w:val="single" w:sz="6" w:space="0" w:color="auto"/>
              <w:left w:val="single" w:sz="6" w:space="0" w:color="auto"/>
              <w:bottom w:val="single" w:sz="6" w:space="0" w:color="auto"/>
              <w:right w:val="single" w:sz="6" w:space="0" w:color="auto"/>
            </w:tcBorders>
          </w:tcPr>
          <w:p w14:paraId="793E0138"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Глубина проникания авиабомбы в бетон, м</w:t>
            </w:r>
          </w:p>
          <w:p w14:paraId="5AC1AED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35C49F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0.425</w:t>
            </w:r>
          </w:p>
          <w:p w14:paraId="168D570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474F7A89"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1 ,05</w:t>
            </w:r>
          </w:p>
          <w:p w14:paraId="4F1CA3F3"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5EA05E31" w14:textId="77777777">
        <w:trPr>
          <w:trHeight w:val="223"/>
        </w:trPr>
        <w:tc>
          <w:tcPr>
            <w:tcW w:w="3398" w:type="dxa"/>
            <w:tcBorders>
              <w:top w:val="single" w:sz="6" w:space="0" w:color="auto"/>
              <w:left w:val="single" w:sz="6" w:space="0" w:color="auto"/>
              <w:bottom w:val="single" w:sz="6" w:space="0" w:color="auto"/>
              <w:right w:val="single" w:sz="6" w:space="0" w:color="auto"/>
            </w:tcBorders>
          </w:tcPr>
          <w:p w14:paraId="29DF4B3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Максимальное пробивание брони, мм</w:t>
            </w:r>
          </w:p>
          <w:p w14:paraId="76552344"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B36E0F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33</w:t>
            </w:r>
          </w:p>
          <w:p w14:paraId="43602D21"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5BB031F0"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114</w:t>
            </w:r>
          </w:p>
          <w:p w14:paraId="1178B40F"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r w:rsidR="00E3599D" w:rsidRPr="00E14102" w14:paraId="745DD742" w14:textId="77777777">
        <w:trPr>
          <w:trHeight w:val="245"/>
        </w:trPr>
        <w:tc>
          <w:tcPr>
            <w:tcW w:w="3398" w:type="dxa"/>
            <w:tcBorders>
              <w:top w:val="single" w:sz="6" w:space="0" w:color="auto"/>
              <w:left w:val="single" w:sz="6" w:space="0" w:color="auto"/>
              <w:bottom w:val="single" w:sz="6" w:space="0" w:color="auto"/>
              <w:right w:val="single" w:sz="6" w:space="0" w:color="auto"/>
            </w:tcBorders>
          </w:tcPr>
          <w:p w14:paraId="494A673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Время падения авиабомбы, с</w:t>
            </w:r>
          </w:p>
          <w:p w14:paraId="4666E55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47979E5"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20,1</w:t>
            </w:r>
          </w:p>
          <w:p w14:paraId="73463BFA"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6877D456" w14:textId="77777777" w:rsidR="00D4105E" w:rsidRPr="00E14102" w:rsidRDefault="00D4105E" w:rsidP="00E14102">
            <w:pPr>
              <w:shd w:val="clear" w:color="auto" w:fill="FFFFFF"/>
              <w:autoSpaceDE w:val="0"/>
              <w:autoSpaceDN w:val="0"/>
              <w:adjustRightInd w:val="0"/>
              <w:jc w:val="both"/>
              <w:rPr>
                <w:color w:val="000000" w:themeColor="text1"/>
                <w:sz w:val="16"/>
                <w:szCs w:val="16"/>
              </w:rPr>
            </w:pPr>
            <w:r w:rsidRPr="00E14102">
              <w:rPr>
                <w:color w:val="000000" w:themeColor="text1"/>
                <w:sz w:val="16"/>
                <w:szCs w:val="16"/>
              </w:rPr>
              <w:t>18.6</w:t>
            </w:r>
          </w:p>
          <w:p w14:paraId="5819E472" w14:textId="77777777" w:rsidR="00D4105E" w:rsidRPr="00E14102" w:rsidRDefault="00D4105E" w:rsidP="00E14102">
            <w:pPr>
              <w:shd w:val="clear" w:color="auto" w:fill="FFFFFF"/>
              <w:autoSpaceDE w:val="0"/>
              <w:autoSpaceDN w:val="0"/>
              <w:adjustRightInd w:val="0"/>
              <w:jc w:val="both"/>
              <w:rPr>
                <w:color w:val="000000" w:themeColor="text1"/>
                <w:sz w:val="16"/>
                <w:szCs w:val="16"/>
              </w:rPr>
            </w:pPr>
          </w:p>
        </w:tc>
      </w:tr>
    </w:tbl>
    <w:p w14:paraId="4F17E3C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(11402).</w:t>
      </w:r>
    </w:p>
    <w:p w14:paraId="628948CA" w14:textId="77777777" w:rsidR="00D4105E" w:rsidRPr="00E14102" w:rsidRDefault="00D4105E" w:rsidP="00E14102">
      <w:pPr>
        <w:autoSpaceDE w:val="0"/>
        <w:autoSpaceDN w:val="0"/>
        <w:adjustRightInd w:val="0"/>
        <w:jc w:val="both"/>
        <w:rPr>
          <w:color w:val="000000" w:themeColor="text1"/>
          <w:sz w:val="16"/>
          <w:szCs w:val="16"/>
        </w:rPr>
      </w:pPr>
    </w:p>
    <w:p w14:paraId="47BA59E1" w14:textId="77777777" w:rsidR="00FF0322" w:rsidRPr="00E14102" w:rsidRDefault="00FF0322" w:rsidP="00E14102">
      <w:pPr>
        <w:jc w:val="both"/>
        <w:rPr>
          <w:color w:val="000000" w:themeColor="text1"/>
          <w:sz w:val="16"/>
          <w:szCs w:val="16"/>
        </w:rPr>
      </w:pPr>
      <w:r w:rsidRPr="00E14102">
        <w:rPr>
          <w:color w:val="000000" w:themeColor="text1"/>
          <w:sz w:val="16"/>
          <w:szCs w:val="16"/>
        </w:rPr>
        <w:t>С 1935 по 1937 год Ф. В. Козловым проводятся работы по применению в зажигательных авиабомбах самовоспламеняющегося жидкого сплава щелочных металлов калия и натрия.</w:t>
      </w:r>
    </w:p>
    <w:p w14:paraId="5316E72D" w14:textId="77777777" w:rsidR="00FF0322" w:rsidRPr="00E14102" w:rsidRDefault="00FF0322" w:rsidP="00E14102">
      <w:pPr>
        <w:jc w:val="both"/>
        <w:rPr>
          <w:color w:val="000000" w:themeColor="text1"/>
          <w:sz w:val="16"/>
          <w:szCs w:val="16"/>
        </w:rPr>
      </w:pPr>
      <w:r w:rsidRPr="00E14102">
        <w:rPr>
          <w:color w:val="000000" w:themeColor="text1"/>
          <w:sz w:val="16"/>
          <w:szCs w:val="16"/>
        </w:rPr>
        <w:t>Сплав этот вызывает вспышку при малейшем попадании воды. Применить его для военных целей предложил украинский инженер Крамер.</w:t>
      </w:r>
    </w:p>
    <w:p w14:paraId="30AF8C67" w14:textId="77777777" w:rsidR="00FF0322" w:rsidRPr="00E14102" w:rsidRDefault="00FF0322" w:rsidP="00E14102">
      <w:pPr>
        <w:jc w:val="both"/>
        <w:rPr>
          <w:color w:val="000000" w:themeColor="text1"/>
          <w:sz w:val="16"/>
          <w:szCs w:val="16"/>
        </w:rPr>
      </w:pPr>
      <w:r w:rsidRPr="00E14102">
        <w:rPr>
          <w:color w:val="000000" w:themeColor="text1"/>
          <w:sz w:val="16"/>
          <w:szCs w:val="16"/>
        </w:rPr>
        <w:t>Работа была чрезвычайно опасной. Ф. В. Козловым вместе с группой сотрудников были отработаны зажигательные бомбы ЗАБ-10 и ЗАБ-25 с отвержденным эмульсионным горючим, а также двухкамерные зажигательные бомбы: в одной камере находилось жидкое горючее с добавкой спиртоводяной смеси, в другой – сплав калия с на- трием. Погасить такую бомбу было очень трудно.</w:t>
      </w:r>
    </w:p>
    <w:p w14:paraId="59AA2A33" w14:textId="77777777" w:rsidR="00FF0322" w:rsidRPr="00E14102" w:rsidRDefault="00FF0322" w:rsidP="00E14102">
      <w:pPr>
        <w:jc w:val="both"/>
        <w:rPr>
          <w:color w:val="000000" w:themeColor="text1"/>
          <w:sz w:val="16"/>
          <w:szCs w:val="16"/>
        </w:rPr>
      </w:pPr>
      <w:r w:rsidRPr="00E14102">
        <w:rPr>
          <w:color w:val="000000" w:themeColor="text1"/>
          <w:sz w:val="16"/>
          <w:szCs w:val="16"/>
        </w:rPr>
        <w:t>Однако ввиду сложности и опасности изготовления этих зажигательных бомб и наличия ЗАБ с другим снаряжением бомбы с самовоспламеняющимся снаряжением в то время развития не получили.</w:t>
      </w:r>
    </w:p>
    <w:p w14:paraId="7021DE1C" w14:textId="77777777" w:rsidR="00FF0322" w:rsidRPr="00E14102" w:rsidRDefault="00FF0322" w:rsidP="00E14102">
      <w:pPr>
        <w:jc w:val="both"/>
        <w:rPr>
          <w:color w:val="000000" w:themeColor="text1"/>
          <w:sz w:val="16"/>
          <w:szCs w:val="16"/>
        </w:rPr>
      </w:pPr>
      <w:r w:rsidRPr="00E14102">
        <w:rPr>
          <w:color w:val="000000" w:themeColor="text1"/>
          <w:sz w:val="16"/>
          <w:szCs w:val="16"/>
        </w:rPr>
        <w:lastRenderedPageBreak/>
        <w:t>В это же время Ф. В. Козлов с сотрудниками создали дымовую бомбу ДАБ для постановки дымовых завес на суше и море (15794).</w:t>
      </w:r>
    </w:p>
    <w:p w14:paraId="5E52D47A" w14:textId="77777777" w:rsidR="00FF0322" w:rsidRPr="00E14102" w:rsidRDefault="00FF0322" w:rsidP="00E14102">
      <w:pPr>
        <w:jc w:val="both"/>
        <w:rPr>
          <w:color w:val="000000" w:themeColor="text1"/>
          <w:sz w:val="16"/>
          <w:szCs w:val="16"/>
        </w:rPr>
      </w:pPr>
    </w:p>
    <w:p w14:paraId="2AAE3359" w14:textId="77777777" w:rsidR="00FF0322" w:rsidRPr="00E14102" w:rsidRDefault="00FF0322" w:rsidP="00E14102">
      <w:pPr>
        <w:jc w:val="both"/>
        <w:rPr>
          <w:color w:val="000000" w:themeColor="text1"/>
          <w:sz w:val="16"/>
          <w:szCs w:val="16"/>
        </w:rPr>
      </w:pPr>
      <w:r w:rsidRPr="00E14102">
        <w:rPr>
          <w:color w:val="000000" w:themeColor="text1"/>
          <w:sz w:val="16"/>
          <w:szCs w:val="16"/>
        </w:rPr>
        <w:t>В 1935 – 1936 годах тематика НИО продолжает разрастаться. Выдаются задания на разработку новых авиабомб. Разрабатывается ПЛАБ-100 – авиабомба для поражения подводных лодок, продолжается отработка бронебойных БРАБ- 500 и БРАБ-1000, предназначенных для нанесения ударов по кораблям, создаются четыре варианта учебно-практических бомб для обучения летчиков морской и сухопутной авиации.</w:t>
      </w:r>
    </w:p>
    <w:p w14:paraId="77F4ADCD" w14:textId="77777777" w:rsidR="00FF0322" w:rsidRPr="00E14102" w:rsidRDefault="00FF0322" w:rsidP="00E14102">
      <w:pPr>
        <w:jc w:val="both"/>
        <w:rPr>
          <w:color w:val="000000" w:themeColor="text1"/>
          <w:sz w:val="16"/>
          <w:szCs w:val="16"/>
        </w:rPr>
      </w:pPr>
      <w:r w:rsidRPr="00E14102">
        <w:rPr>
          <w:color w:val="000000" w:themeColor="text1"/>
          <w:sz w:val="16"/>
          <w:szCs w:val="16"/>
        </w:rPr>
        <w:t>Значительно совершенствуются и методы отработки авиабомб. Для наблюдения за траекторией их падения начали применяться кинотеодолиты, что позволило более объективно оценивать устойчивость, определять характеристическое время падения авиабомб.</w:t>
      </w:r>
    </w:p>
    <w:p w14:paraId="00BC94D3" w14:textId="77777777" w:rsidR="00FF0322" w:rsidRPr="00E14102" w:rsidRDefault="00FF0322" w:rsidP="00E14102">
      <w:pPr>
        <w:jc w:val="both"/>
        <w:rPr>
          <w:color w:val="000000" w:themeColor="text1"/>
          <w:sz w:val="16"/>
          <w:szCs w:val="16"/>
        </w:rPr>
      </w:pPr>
      <w:r w:rsidRPr="00E14102">
        <w:rPr>
          <w:color w:val="000000" w:themeColor="text1"/>
          <w:sz w:val="16"/>
          <w:szCs w:val="16"/>
        </w:rPr>
        <w:t>В отделе, руководимом Н. С. Носковым, создаются приборы для определения перегрузок, что было важно для отработки прочности авиабомб.</w:t>
      </w:r>
    </w:p>
    <w:p w14:paraId="5DA62629" w14:textId="77777777" w:rsidR="00FF0322" w:rsidRPr="00E14102" w:rsidRDefault="00FF0322" w:rsidP="00E14102">
      <w:pPr>
        <w:jc w:val="both"/>
        <w:rPr>
          <w:color w:val="000000" w:themeColor="text1"/>
          <w:sz w:val="16"/>
          <w:szCs w:val="16"/>
        </w:rPr>
      </w:pPr>
      <w:r w:rsidRPr="00E14102">
        <w:rPr>
          <w:color w:val="000000" w:themeColor="text1"/>
          <w:sz w:val="16"/>
          <w:szCs w:val="16"/>
        </w:rPr>
        <w:t>Появляется фотометрическая аппаратура для измерения светотехнических характеристик осветительных средств всех видов. Попутно был создан морской металлоискатель, который позволял обнаруживать морские металлические мины.</w:t>
      </w:r>
    </w:p>
    <w:p w14:paraId="4A12E5FC" w14:textId="77777777" w:rsidR="00FF0322" w:rsidRPr="00E14102" w:rsidRDefault="00FF0322" w:rsidP="00E14102">
      <w:pPr>
        <w:jc w:val="both"/>
        <w:rPr>
          <w:color w:val="000000" w:themeColor="text1"/>
          <w:sz w:val="16"/>
          <w:szCs w:val="16"/>
        </w:rPr>
      </w:pPr>
      <w:r w:rsidRPr="00E14102">
        <w:rPr>
          <w:color w:val="000000" w:themeColor="text1"/>
          <w:sz w:val="16"/>
          <w:szCs w:val="16"/>
        </w:rPr>
        <w:t>Он был принят на снабжение Военно-морского флота.</w:t>
      </w:r>
    </w:p>
    <w:p w14:paraId="520DD9D9" w14:textId="77777777" w:rsidR="00FF0322" w:rsidRPr="00E14102" w:rsidRDefault="00FF0322" w:rsidP="00E14102">
      <w:pPr>
        <w:jc w:val="both"/>
        <w:rPr>
          <w:color w:val="000000" w:themeColor="text1"/>
          <w:sz w:val="16"/>
          <w:szCs w:val="16"/>
        </w:rPr>
      </w:pPr>
      <w:r w:rsidRPr="00E14102">
        <w:rPr>
          <w:color w:val="000000" w:themeColor="text1"/>
          <w:sz w:val="16"/>
          <w:szCs w:val="16"/>
        </w:rPr>
        <w:t>Ведутся и теоретические разработки основ проектирования бомб. Новые методы расчета корпусов на прочность (автор Н. Л. Соловьев) оказали большую практическую помощь конструкторам. Большая работа проводилась отделом химической защиты, который возглавлял И. Н. Тютюнов-Орский.</w:t>
      </w:r>
    </w:p>
    <w:p w14:paraId="786B49D9" w14:textId="77777777" w:rsidR="00FF0322" w:rsidRPr="00E14102" w:rsidRDefault="00FF0322" w:rsidP="00E14102">
      <w:pPr>
        <w:jc w:val="both"/>
        <w:rPr>
          <w:color w:val="000000" w:themeColor="text1"/>
          <w:sz w:val="16"/>
          <w:szCs w:val="16"/>
        </w:rPr>
      </w:pPr>
      <w:r w:rsidRPr="00E14102">
        <w:rPr>
          <w:color w:val="000000" w:themeColor="text1"/>
          <w:sz w:val="16"/>
          <w:szCs w:val="16"/>
        </w:rPr>
        <w:t>Отдел отработал и сдал гидростатическую авиабомбу ГАБ-100 для постановки дымовых завес на море, а также «курящие» авиабомбы КРАБ-25 и КРАБ-50 для по- становки дымовых завес на суше (15794).</w:t>
      </w:r>
    </w:p>
    <w:p w14:paraId="46FCF8E0" w14:textId="77777777" w:rsidR="00FF0322" w:rsidRPr="00E14102" w:rsidRDefault="00FF0322" w:rsidP="00E14102">
      <w:pPr>
        <w:jc w:val="both"/>
        <w:rPr>
          <w:color w:val="000000" w:themeColor="text1"/>
          <w:sz w:val="16"/>
          <w:szCs w:val="16"/>
        </w:rPr>
      </w:pPr>
    </w:p>
    <w:p w14:paraId="71E48AB4" w14:textId="77777777" w:rsidR="00FF0322" w:rsidRPr="00E14102" w:rsidRDefault="00FF0322" w:rsidP="00E14102">
      <w:pPr>
        <w:jc w:val="both"/>
        <w:rPr>
          <w:color w:val="000000" w:themeColor="text1"/>
          <w:sz w:val="16"/>
          <w:szCs w:val="16"/>
        </w:rPr>
      </w:pPr>
      <w:r w:rsidRPr="00E14102">
        <w:rPr>
          <w:color w:val="000000" w:themeColor="text1"/>
          <w:sz w:val="16"/>
          <w:szCs w:val="16"/>
        </w:rPr>
        <w:t>К 1935 – 1936 годам в технологии изготовления бомб все большую роль начинает играть сварка, вытесняющая клепку даже при соединении толстостенных головок и цилиндра в ФАБах. Это произошло после того, как были внедрены в производство электроды с толстыми покрытиями, обеспечившие шов высокой прочности. Этому внедрению предшествовала большая работа сварочной и рентгеновской лаборатории НИО.</w:t>
      </w:r>
    </w:p>
    <w:p w14:paraId="67AA19B8" w14:textId="77777777" w:rsidR="00FF0322" w:rsidRPr="00E14102" w:rsidRDefault="00FF0322" w:rsidP="00E14102">
      <w:pPr>
        <w:jc w:val="both"/>
        <w:rPr>
          <w:color w:val="000000" w:themeColor="text1"/>
          <w:sz w:val="16"/>
          <w:szCs w:val="16"/>
        </w:rPr>
      </w:pPr>
      <w:r w:rsidRPr="00E14102">
        <w:rPr>
          <w:color w:val="000000" w:themeColor="text1"/>
          <w:sz w:val="16"/>
          <w:szCs w:val="16"/>
        </w:rPr>
        <w:t>Большой заслугой инженеров-сварщиков М. И. Куниса, В. С. Володина явилась замена клепанных соединений в подвесных ушках и бугелях на сварные, что значительно удешевило технологию производства: под клепку ушки надо было долго фрезеровать и обрабатывать вручную (15794).</w:t>
      </w:r>
    </w:p>
    <w:p w14:paraId="03A98B47" w14:textId="77777777" w:rsidR="00FF0322" w:rsidRPr="00E14102" w:rsidRDefault="00FF0322" w:rsidP="00E14102">
      <w:pPr>
        <w:jc w:val="both"/>
        <w:rPr>
          <w:color w:val="000000" w:themeColor="text1"/>
          <w:sz w:val="16"/>
          <w:szCs w:val="16"/>
        </w:rPr>
      </w:pPr>
    </w:p>
    <w:p w14:paraId="1A50D7B2" w14:textId="77777777" w:rsidR="00D4105E" w:rsidRPr="00E14102" w:rsidRDefault="00D4105E" w:rsidP="00E14102">
      <w:pPr>
        <w:widowControl w:val="0"/>
        <w:autoSpaceDE w:val="0"/>
        <w:autoSpaceDN w:val="0"/>
        <w:adjustRightInd w:val="0"/>
        <w:jc w:val="both"/>
        <w:rPr>
          <w:color w:val="000000" w:themeColor="text1"/>
          <w:sz w:val="16"/>
          <w:szCs w:val="16"/>
        </w:rPr>
      </w:pPr>
      <w:r w:rsidRPr="00E14102">
        <w:rPr>
          <w:color w:val="000000" w:themeColor="text1"/>
          <w:sz w:val="16"/>
          <w:szCs w:val="16"/>
        </w:rPr>
        <w:t>В 1935-1936 гг. в единичных образцах изготовили и испытали различные типы стартеров («самопусков») для аэросаней, в частности, инерционный механический и электрический стартеры. По результатам ис</w:t>
      </w:r>
      <w:r w:rsidRPr="00E14102">
        <w:rPr>
          <w:color w:val="000000" w:themeColor="text1"/>
          <w:sz w:val="16"/>
          <w:szCs w:val="16"/>
        </w:rPr>
        <w:softHyphen/>
        <w:t>пытаний и опытной эксплуатации ко второй половине 1936 г. предпочтение было отда</w:t>
      </w:r>
      <w:r w:rsidRPr="00E14102">
        <w:rPr>
          <w:color w:val="000000" w:themeColor="text1"/>
          <w:sz w:val="16"/>
          <w:szCs w:val="16"/>
        </w:rPr>
        <w:softHyphen/>
        <w:t>но электрическому стартеру, который ис</w:t>
      </w:r>
      <w:r w:rsidRPr="00E14102">
        <w:rPr>
          <w:color w:val="000000" w:themeColor="text1"/>
          <w:sz w:val="16"/>
          <w:szCs w:val="16"/>
        </w:rPr>
        <w:softHyphen/>
        <w:t>пользовался на аэросанях выпуска 1937 г. Кроме того, была усовершенствована кон</w:t>
      </w:r>
      <w:r w:rsidRPr="00E14102">
        <w:rPr>
          <w:color w:val="000000" w:themeColor="text1"/>
          <w:sz w:val="16"/>
          <w:szCs w:val="16"/>
        </w:rPr>
        <w:softHyphen/>
        <w:t>струкция корпуса (увеличилось количество шпангоутов и изменилась конфигурация носовой части). Фара теперь размещалась в носовой части корпуса. Все эти измене</w:t>
      </w:r>
      <w:r w:rsidRPr="00E14102">
        <w:rPr>
          <w:color w:val="000000" w:themeColor="text1"/>
          <w:sz w:val="16"/>
          <w:szCs w:val="16"/>
        </w:rPr>
        <w:softHyphen/>
        <w:t>ния были комплексно внедрены в конструк</w:t>
      </w:r>
      <w:r w:rsidRPr="00E14102">
        <w:rPr>
          <w:color w:val="000000" w:themeColor="text1"/>
          <w:sz w:val="16"/>
          <w:szCs w:val="16"/>
        </w:rPr>
        <w:softHyphen/>
        <w:t>цию серийных аэросаней, получивших наи</w:t>
      </w:r>
      <w:r w:rsidRPr="00E14102">
        <w:rPr>
          <w:color w:val="000000" w:themeColor="text1"/>
          <w:sz w:val="16"/>
          <w:szCs w:val="16"/>
        </w:rPr>
        <w:softHyphen/>
        <w:t>менование НКЛ-16 (12064).</w:t>
      </w:r>
    </w:p>
    <w:p w14:paraId="2A6F8448" w14:textId="77777777" w:rsidR="00D4105E" w:rsidRPr="00E14102" w:rsidRDefault="00D4105E" w:rsidP="00E14102">
      <w:pPr>
        <w:widowControl w:val="0"/>
        <w:autoSpaceDE w:val="0"/>
        <w:autoSpaceDN w:val="0"/>
        <w:adjustRightInd w:val="0"/>
        <w:jc w:val="both"/>
        <w:rPr>
          <w:color w:val="000000" w:themeColor="text1"/>
          <w:sz w:val="16"/>
          <w:szCs w:val="16"/>
        </w:rPr>
      </w:pPr>
    </w:p>
    <w:p w14:paraId="133295FA" w14:textId="77777777" w:rsidR="00D4105E" w:rsidRPr="00E14102" w:rsidRDefault="004B7965" w:rsidP="00E14102">
      <w:pPr>
        <w:autoSpaceDE w:val="0"/>
        <w:autoSpaceDN w:val="0"/>
        <w:adjustRightInd w:val="0"/>
        <w:jc w:val="both"/>
        <w:rPr>
          <w:iCs/>
          <w:color w:val="000000" w:themeColor="text1"/>
          <w:sz w:val="16"/>
          <w:szCs w:val="16"/>
        </w:rPr>
      </w:pPr>
      <w:r w:rsidRPr="00E14102">
        <w:rPr>
          <w:i/>
          <w:iCs/>
          <w:color w:val="000000" w:themeColor="text1"/>
          <w:sz w:val="16"/>
          <w:szCs w:val="16"/>
        </w:rPr>
        <w:t>Другие оборонные отрасли:</w:t>
      </w:r>
    </w:p>
    <w:p w14:paraId="16B046CE" w14:textId="77777777" w:rsidR="00D4105E" w:rsidRPr="00E14102" w:rsidRDefault="00D4105E" w:rsidP="00E14102">
      <w:pPr>
        <w:autoSpaceDE w:val="0"/>
        <w:autoSpaceDN w:val="0"/>
        <w:adjustRightInd w:val="0"/>
        <w:jc w:val="both"/>
        <w:rPr>
          <w:iCs/>
          <w:color w:val="000000" w:themeColor="text1"/>
          <w:sz w:val="16"/>
          <w:szCs w:val="16"/>
        </w:rPr>
      </w:pPr>
    </w:p>
    <w:p w14:paraId="0398FC0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1930-1935 годах были разработаны проекты переделки в полигональный ряда морских артсистем (3861).</w:t>
      </w:r>
    </w:p>
    <w:p w14:paraId="1F09F61C" w14:textId="77777777" w:rsidR="00D4105E" w:rsidRPr="00E14102" w:rsidRDefault="00D4105E" w:rsidP="00E14102">
      <w:pPr>
        <w:autoSpaceDE w:val="0"/>
        <w:autoSpaceDN w:val="0"/>
        <w:adjustRightInd w:val="0"/>
        <w:jc w:val="both"/>
        <w:rPr>
          <w:color w:val="000000" w:themeColor="text1"/>
          <w:sz w:val="16"/>
          <w:szCs w:val="16"/>
        </w:rPr>
      </w:pPr>
    </w:p>
    <w:p w14:paraId="5C3347EB"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1933-1935 году на НИАПе производились стрельбы из 76-мм пушек обр. 1933 г. нарезными снарядами, то есть снарядами, имевшими на корпусе нарезку, совпадающую с нарезкой ствола пушки. Стволы имели более крутую нарезку 12 клб и 24 более глубоких нареза 1,0 мм вместо 0,76 мм. Нарезные снаряды имели больший вес, чем штатные поясковые. На испытаниях была та же картина, что и с полигональными снарядами. Снаряды при небольшом увеличении веса давали сравнительно хорошие результаты. Так например, снаряд черт.4745 весом 8,3 кг при весе заряда 1,3 кг давал начальную скорость 710 м/с и дальность 16544 м при угле +40. Снаряды большего веса и, соответственно, более длинные, кувыркались в полете, как, например, снаряд черт.5980 весом 12 кг и длиной 7,1 клб. (3861).</w:t>
      </w:r>
    </w:p>
    <w:p w14:paraId="365AE19B" w14:textId="77777777" w:rsidR="00D4105E" w:rsidRPr="00E14102" w:rsidRDefault="00D4105E" w:rsidP="00E14102">
      <w:pPr>
        <w:autoSpaceDE w:val="0"/>
        <w:autoSpaceDN w:val="0"/>
        <w:adjustRightInd w:val="0"/>
        <w:jc w:val="both"/>
        <w:rPr>
          <w:color w:val="000000" w:themeColor="text1"/>
          <w:sz w:val="16"/>
          <w:szCs w:val="16"/>
        </w:rPr>
      </w:pPr>
    </w:p>
    <w:p w14:paraId="578DCBFA"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1933-1935 годах каждая четвертая пушка, изготовленная в СССР, была системы Курчевского. В частности, для сухопутной тяжелой артиллерии Курчевский предлагал безоткатные 152-мм пушки и 305-мм гаубицы, установленные на грузовых автомобилях. Системы Курчевского оказались красивыми и эффектными полигонными игрушками, но абсолютно не годились для службы. Сама конструкция безоткатных орудий Курчевского имела неизлечимые пороки. Все пушки Курчевского пошли в металлолом (3861).</w:t>
      </w:r>
    </w:p>
    <w:p w14:paraId="75D71966" w14:textId="77777777" w:rsidR="00D4105E" w:rsidRPr="00E14102" w:rsidRDefault="00D4105E" w:rsidP="00E14102">
      <w:pPr>
        <w:autoSpaceDE w:val="0"/>
        <w:autoSpaceDN w:val="0"/>
        <w:adjustRightInd w:val="0"/>
        <w:jc w:val="both"/>
        <w:rPr>
          <w:color w:val="000000" w:themeColor="text1"/>
          <w:sz w:val="16"/>
          <w:szCs w:val="16"/>
        </w:rPr>
      </w:pPr>
    </w:p>
    <w:p w14:paraId="57F64741" w14:textId="77777777" w:rsidR="00DC3D07" w:rsidRPr="00E14102" w:rsidRDefault="00DC3D07" w:rsidP="00E14102">
      <w:pPr>
        <w:jc w:val="both"/>
        <w:rPr>
          <w:color w:val="000000" w:themeColor="text1"/>
          <w:sz w:val="16"/>
          <w:szCs w:val="16"/>
        </w:rPr>
      </w:pPr>
      <w:r w:rsidRPr="00E14102">
        <w:rPr>
          <w:color w:val="000000" w:themeColor="text1"/>
          <w:sz w:val="16"/>
          <w:szCs w:val="16"/>
        </w:rPr>
        <w:t>В 1935-1936 гг. Кондаковым было создано 37-мм ротное реактивное ружье РПТР (фактически это была пушка). Существенный вклад в проектирование ружья внес С.Е. Рашков.</w:t>
      </w:r>
    </w:p>
    <w:p w14:paraId="1E18635B" w14:textId="77777777" w:rsidR="00DC3D07" w:rsidRPr="00E14102" w:rsidRDefault="00DC3D07" w:rsidP="00E14102">
      <w:pPr>
        <w:jc w:val="both"/>
        <w:rPr>
          <w:color w:val="000000" w:themeColor="text1"/>
          <w:sz w:val="16"/>
          <w:szCs w:val="16"/>
        </w:rPr>
      </w:pPr>
      <w:r w:rsidRPr="00E14102">
        <w:rPr>
          <w:color w:val="000000" w:themeColor="text1"/>
          <w:sz w:val="16"/>
          <w:szCs w:val="16"/>
        </w:rPr>
        <w:t>Такой принцип автоматики был применен Кондаковым в 45-мм авиационной и 37-мм противо</w:t>
      </w:r>
      <w:hyperlink r:id="rId348" w:tgtFrame="_blank" w:history="1">
        <w:r w:rsidRPr="00E14102">
          <w:rPr>
            <w:color w:val="000000" w:themeColor="text1"/>
            <w:sz w:val="16"/>
            <w:szCs w:val="16"/>
          </w:rPr>
          <w:t>танк</w:t>
        </w:r>
      </w:hyperlink>
      <w:r w:rsidRPr="00E14102">
        <w:rPr>
          <w:color w:val="000000" w:themeColor="text1"/>
          <w:sz w:val="16"/>
          <w:szCs w:val="16"/>
        </w:rPr>
        <w:t>овой пушках.</w:t>
      </w:r>
    </w:p>
    <w:p w14:paraId="28A84C43" w14:textId="77777777" w:rsidR="00DC3D07" w:rsidRPr="00E14102" w:rsidRDefault="00DC3D07" w:rsidP="00E14102">
      <w:pPr>
        <w:jc w:val="both"/>
        <w:rPr>
          <w:color w:val="000000" w:themeColor="text1"/>
          <w:sz w:val="16"/>
          <w:szCs w:val="16"/>
        </w:rPr>
      </w:pPr>
      <w:r w:rsidRPr="00E14102">
        <w:rPr>
          <w:color w:val="000000" w:themeColor="text1"/>
          <w:sz w:val="16"/>
          <w:szCs w:val="16"/>
        </w:rPr>
        <w:t>37-мм РПТР создана по схеме нагруженного ствола.</w:t>
      </w:r>
    </w:p>
    <w:p w14:paraId="5B8274A3" w14:textId="77777777" w:rsidR="00DC3D07" w:rsidRPr="00E14102" w:rsidRDefault="00DC3D07" w:rsidP="00E14102">
      <w:pPr>
        <w:jc w:val="both"/>
        <w:rPr>
          <w:color w:val="000000" w:themeColor="text1"/>
          <w:sz w:val="16"/>
          <w:szCs w:val="16"/>
        </w:rPr>
      </w:pPr>
      <w:r w:rsidRPr="00E14102">
        <w:rPr>
          <w:color w:val="000000" w:themeColor="text1"/>
          <w:sz w:val="16"/>
          <w:szCs w:val="16"/>
        </w:rPr>
        <w:t>На поле боя система перевозилась на колесах. Кроме того, она легко разбиралась и переносилась на людских и конских вьюках.</w:t>
      </w:r>
    </w:p>
    <w:p w14:paraId="36C18A4D" w14:textId="77777777" w:rsidR="00DC3D07" w:rsidRPr="00E14102" w:rsidRDefault="00DC3D07" w:rsidP="00E14102">
      <w:pPr>
        <w:jc w:val="both"/>
        <w:rPr>
          <w:color w:val="000000" w:themeColor="text1"/>
          <w:sz w:val="16"/>
          <w:szCs w:val="16"/>
        </w:rPr>
      </w:pPr>
      <w:r w:rsidRPr="00E14102">
        <w:rPr>
          <w:color w:val="000000" w:themeColor="text1"/>
          <w:sz w:val="16"/>
          <w:szCs w:val="16"/>
        </w:rPr>
        <w:t>Калибр мм: 37</w:t>
      </w:r>
    </w:p>
    <w:p w14:paraId="39E373D4" w14:textId="77777777" w:rsidR="00DC3D07" w:rsidRPr="00E14102" w:rsidRDefault="00DC3D07" w:rsidP="00E14102">
      <w:pPr>
        <w:jc w:val="both"/>
        <w:rPr>
          <w:color w:val="000000" w:themeColor="text1"/>
          <w:sz w:val="16"/>
          <w:szCs w:val="16"/>
        </w:rPr>
      </w:pPr>
      <w:r w:rsidRPr="00E14102">
        <w:rPr>
          <w:color w:val="000000" w:themeColor="text1"/>
          <w:sz w:val="16"/>
          <w:szCs w:val="16"/>
        </w:rPr>
        <w:t>Угол ВН град: -10°-+15°</w:t>
      </w:r>
    </w:p>
    <w:p w14:paraId="65DF6D45" w14:textId="77777777" w:rsidR="00DC3D07" w:rsidRPr="00E14102" w:rsidRDefault="00DC3D07" w:rsidP="00E14102">
      <w:pPr>
        <w:jc w:val="both"/>
        <w:rPr>
          <w:color w:val="000000" w:themeColor="text1"/>
          <w:sz w:val="16"/>
          <w:szCs w:val="16"/>
        </w:rPr>
      </w:pPr>
      <w:r w:rsidRPr="00E14102">
        <w:rPr>
          <w:color w:val="000000" w:themeColor="text1"/>
          <w:sz w:val="16"/>
          <w:szCs w:val="16"/>
        </w:rPr>
        <w:t>Угол ГН град: 60°</w:t>
      </w:r>
    </w:p>
    <w:p w14:paraId="476FE76D" w14:textId="77777777" w:rsidR="00DC3D07" w:rsidRPr="00E14102" w:rsidRDefault="00DC3D07" w:rsidP="00E14102">
      <w:pPr>
        <w:jc w:val="both"/>
        <w:rPr>
          <w:color w:val="000000" w:themeColor="text1"/>
          <w:sz w:val="16"/>
          <w:szCs w:val="16"/>
        </w:rPr>
      </w:pPr>
      <w:r w:rsidRPr="00E14102">
        <w:rPr>
          <w:color w:val="000000" w:themeColor="text1"/>
          <w:sz w:val="16"/>
          <w:szCs w:val="16"/>
        </w:rPr>
        <w:t>Длина ствола с воронкой мм: 1550</w:t>
      </w:r>
    </w:p>
    <w:p w14:paraId="2B0E2800" w14:textId="77777777" w:rsidR="00DC3D07" w:rsidRPr="00E14102" w:rsidRDefault="00DC3D07" w:rsidP="00E14102">
      <w:pPr>
        <w:jc w:val="both"/>
        <w:rPr>
          <w:color w:val="000000" w:themeColor="text1"/>
          <w:sz w:val="16"/>
          <w:szCs w:val="16"/>
        </w:rPr>
      </w:pPr>
      <w:r w:rsidRPr="00E14102">
        <w:rPr>
          <w:color w:val="000000" w:themeColor="text1"/>
          <w:sz w:val="16"/>
          <w:szCs w:val="16"/>
        </w:rPr>
        <w:t>Полная длина системы, мм: 1650</w:t>
      </w:r>
    </w:p>
    <w:p w14:paraId="592154F3" w14:textId="77777777" w:rsidR="00DC3D07" w:rsidRPr="00E14102" w:rsidRDefault="00DC3D07" w:rsidP="00E14102">
      <w:pPr>
        <w:jc w:val="both"/>
        <w:rPr>
          <w:color w:val="000000" w:themeColor="text1"/>
          <w:sz w:val="16"/>
          <w:szCs w:val="16"/>
        </w:rPr>
      </w:pPr>
      <w:r w:rsidRPr="00E14102">
        <w:rPr>
          <w:color w:val="000000" w:themeColor="text1"/>
          <w:sz w:val="16"/>
          <w:szCs w:val="16"/>
        </w:rPr>
        <w:t>Вес системы в боевом положении: 63 кг.</w:t>
      </w:r>
    </w:p>
    <w:p w14:paraId="6EC4DD05" w14:textId="77777777" w:rsidR="00DC3D07" w:rsidRPr="00E14102" w:rsidRDefault="00DC3D07" w:rsidP="00E14102">
      <w:pPr>
        <w:jc w:val="both"/>
        <w:rPr>
          <w:color w:val="000000" w:themeColor="text1"/>
          <w:sz w:val="16"/>
          <w:szCs w:val="16"/>
        </w:rPr>
      </w:pPr>
      <w:r w:rsidRPr="00E14102">
        <w:rPr>
          <w:color w:val="000000" w:themeColor="text1"/>
          <w:sz w:val="16"/>
          <w:szCs w:val="16"/>
        </w:rPr>
        <w:t>Практическая скорострельность, выстр./мин: 30 (15594).</w:t>
      </w:r>
    </w:p>
    <w:p w14:paraId="115FF47E" w14:textId="77777777" w:rsidR="00DC3D07" w:rsidRPr="00E14102" w:rsidRDefault="00DC3D07" w:rsidP="00E14102">
      <w:pPr>
        <w:jc w:val="both"/>
        <w:rPr>
          <w:color w:val="000000" w:themeColor="text1"/>
          <w:sz w:val="16"/>
          <w:szCs w:val="16"/>
        </w:rPr>
      </w:pPr>
    </w:p>
    <w:p w14:paraId="29333A0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1934-1935 годах первоначально Б-13 проектировались и производились со скрепленным стволом, однако позднее все серийные пушки изготовлялись с лейнерами. В обоих случаях нарезка была мелкая (1,0 мм), что обеспечивало совместимость с боеприпасами старых 130/55-мм пушек (3861).</w:t>
      </w:r>
    </w:p>
    <w:p w14:paraId="2D44DCA1" w14:textId="77777777" w:rsidR="00D4105E" w:rsidRPr="00E14102" w:rsidRDefault="00D4105E" w:rsidP="00E14102">
      <w:pPr>
        <w:autoSpaceDE w:val="0"/>
        <w:autoSpaceDN w:val="0"/>
        <w:adjustRightInd w:val="0"/>
        <w:jc w:val="both"/>
        <w:rPr>
          <w:color w:val="000000" w:themeColor="text1"/>
          <w:sz w:val="16"/>
          <w:szCs w:val="16"/>
        </w:rPr>
      </w:pPr>
    </w:p>
    <w:p w14:paraId="45D0E308"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С середины 30-х годов в СССР были начаты опыты по борьбе с танками с помощью собак. Мины были разработаны Центральной школой военного собаководства и впервые применены в 1939 году на Халхин-Голе. Собаку приучали стремительно бросаться под танк, причем с короткого расстояния, чтобы она быстро оказалась в "мертвой" зоне пулеметов танка. Во вьюк собаки закладывали противотанковую мину с 2-4 килограммами взрывчатого вещества и специальным взрывателем (3861).</w:t>
      </w:r>
    </w:p>
    <w:p w14:paraId="79A27BE0" w14:textId="77777777" w:rsidR="00D4105E" w:rsidRPr="00E14102" w:rsidRDefault="00D4105E" w:rsidP="00E14102">
      <w:pPr>
        <w:autoSpaceDE w:val="0"/>
        <w:autoSpaceDN w:val="0"/>
        <w:adjustRightInd w:val="0"/>
        <w:jc w:val="both"/>
        <w:rPr>
          <w:color w:val="000000" w:themeColor="text1"/>
          <w:sz w:val="16"/>
          <w:szCs w:val="16"/>
        </w:rPr>
      </w:pPr>
    </w:p>
    <w:p w14:paraId="697735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середине 30-х годов выпуск танков Т-26 временно снизился в связи с его предполагаемой заменой колесно-гусеничным танком Т-46. Но Т-46 оказался очень сложен в производстве и на вооружение не поступил (3861).</w:t>
      </w:r>
    </w:p>
    <w:p w14:paraId="1D519265" w14:textId="77777777" w:rsidR="00D4105E" w:rsidRPr="00E14102" w:rsidRDefault="00D4105E" w:rsidP="00E14102">
      <w:pPr>
        <w:autoSpaceDE w:val="0"/>
        <w:autoSpaceDN w:val="0"/>
        <w:adjustRightInd w:val="0"/>
        <w:jc w:val="both"/>
        <w:rPr>
          <w:color w:val="000000" w:themeColor="text1"/>
          <w:sz w:val="16"/>
          <w:szCs w:val="16"/>
        </w:rPr>
      </w:pPr>
    </w:p>
    <w:p w14:paraId="5D6A00E9" w14:textId="77777777" w:rsidR="00DC3D07" w:rsidRPr="00E14102" w:rsidRDefault="00DC3D07" w:rsidP="00E14102">
      <w:pPr>
        <w:pStyle w:val="ad"/>
        <w:spacing w:before="0" w:after="0"/>
        <w:rPr>
          <w:rFonts w:ascii="Times New Roman" w:hAnsi="Times New Roman" w:cs="Times New Roman"/>
          <w:color w:val="000000" w:themeColor="text1"/>
          <w:sz w:val="16"/>
          <w:szCs w:val="16"/>
          <w:lang w:val="ru-RU"/>
        </w:rPr>
      </w:pPr>
      <w:r w:rsidRPr="00E14102">
        <w:rPr>
          <w:rFonts w:ascii="Times New Roman" w:hAnsi="Times New Roman" w:cs="Times New Roman"/>
          <w:color w:val="000000" w:themeColor="text1"/>
          <w:sz w:val="16"/>
          <w:szCs w:val="16"/>
          <w:lang w:val="ru-RU"/>
        </w:rPr>
        <w:t>С 1935 по 1938 г. (изготовитель – завод №</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174 им. К.Е. Ворошилова, поставщик аппаратуры – завод №</w:t>
      </w:r>
      <w:r w:rsidRPr="00E14102">
        <w:rPr>
          <w:rFonts w:ascii="Times New Roman" w:hAnsi="Times New Roman" w:cs="Times New Roman"/>
          <w:color w:val="000000" w:themeColor="text1"/>
          <w:sz w:val="16"/>
          <w:szCs w:val="16"/>
        </w:rPr>
        <w:t> </w:t>
      </w:r>
      <w:r w:rsidRPr="00E14102">
        <w:rPr>
          <w:rFonts w:ascii="Times New Roman" w:hAnsi="Times New Roman" w:cs="Times New Roman"/>
          <w:color w:val="000000" w:themeColor="text1"/>
          <w:sz w:val="16"/>
          <w:szCs w:val="16"/>
          <w:lang w:val="ru-RU"/>
        </w:rPr>
        <w:t>192 НКСП) было выпущено и поставлено в войска 33 телемеханические группы – 33 телетанка и 33 танка управления. Часть из них принимала участие в боевых действиях во время Советско-финляндской войны (15736).</w:t>
      </w:r>
    </w:p>
    <w:p w14:paraId="46B1CAC7" w14:textId="77777777" w:rsidR="00DC3D07" w:rsidRPr="00E14102" w:rsidRDefault="00DC3D07" w:rsidP="00E14102">
      <w:pPr>
        <w:pStyle w:val="ad"/>
        <w:spacing w:before="0" w:after="0"/>
        <w:rPr>
          <w:rFonts w:ascii="Times New Roman" w:hAnsi="Times New Roman" w:cs="Times New Roman"/>
          <w:color w:val="000000" w:themeColor="text1"/>
          <w:sz w:val="16"/>
          <w:szCs w:val="16"/>
          <w:lang w:val="ru-RU"/>
        </w:rPr>
      </w:pPr>
    </w:p>
    <w:p w14:paraId="2DBD0FDB" w14:textId="77777777" w:rsidR="00D5088B" w:rsidRPr="00E14102" w:rsidRDefault="00D5088B" w:rsidP="00E14102">
      <w:pPr>
        <w:jc w:val="both"/>
        <w:rPr>
          <w:color w:val="000000" w:themeColor="text1"/>
          <w:sz w:val="16"/>
          <w:szCs w:val="16"/>
        </w:rPr>
      </w:pPr>
      <w:r w:rsidRPr="00E14102">
        <w:rPr>
          <w:color w:val="000000" w:themeColor="text1"/>
          <w:sz w:val="16"/>
          <w:szCs w:val="16"/>
        </w:rPr>
        <w:t>В 1935-1936 г. основной задачей отдела химической защиты была разработка средств химической защиты – противогазов.</w:t>
      </w:r>
    </w:p>
    <w:p w14:paraId="49161D0C" w14:textId="77777777" w:rsidR="00D5088B" w:rsidRPr="00E14102" w:rsidRDefault="00D5088B" w:rsidP="00E14102">
      <w:pPr>
        <w:jc w:val="both"/>
        <w:rPr>
          <w:color w:val="000000" w:themeColor="text1"/>
          <w:sz w:val="16"/>
          <w:szCs w:val="16"/>
        </w:rPr>
      </w:pPr>
      <w:r w:rsidRPr="00E14102">
        <w:rPr>
          <w:color w:val="000000" w:themeColor="text1"/>
          <w:sz w:val="16"/>
          <w:szCs w:val="16"/>
        </w:rPr>
        <w:t>Была проведена модернизация коробки армейского противогаза. Белая жесть, из которой эта коробка изготавливалась, была в то время очень дефицитным материалом.</w:t>
      </w:r>
    </w:p>
    <w:p w14:paraId="7065430D" w14:textId="77777777" w:rsidR="00D5088B" w:rsidRPr="00E14102" w:rsidRDefault="00D5088B" w:rsidP="00E14102">
      <w:pPr>
        <w:jc w:val="both"/>
        <w:rPr>
          <w:color w:val="000000" w:themeColor="text1"/>
          <w:sz w:val="16"/>
          <w:szCs w:val="16"/>
        </w:rPr>
      </w:pPr>
      <w:r w:rsidRPr="00E14102">
        <w:rPr>
          <w:color w:val="000000" w:themeColor="text1"/>
          <w:sz w:val="16"/>
          <w:szCs w:val="16"/>
        </w:rPr>
        <w:t>Сотрудники отдела разработали конструкцию коробки из черной жести. Этот вариант и конструктивно и технологически был проще, так как допускал применение сварочных автоматов. Но создание новых типов противогазов шло медленно, так как Наркомат обороны не проявлял заинтересованности в этой работе.</w:t>
      </w:r>
    </w:p>
    <w:p w14:paraId="77CA46ED" w14:textId="77777777" w:rsidR="00D5088B" w:rsidRPr="00E14102" w:rsidRDefault="00D5088B" w:rsidP="00E14102">
      <w:pPr>
        <w:jc w:val="both"/>
        <w:rPr>
          <w:color w:val="000000" w:themeColor="text1"/>
          <w:sz w:val="16"/>
          <w:szCs w:val="16"/>
        </w:rPr>
      </w:pPr>
      <w:r w:rsidRPr="00E14102">
        <w:rPr>
          <w:color w:val="000000" w:themeColor="text1"/>
          <w:sz w:val="16"/>
          <w:szCs w:val="16"/>
        </w:rPr>
        <w:t>Положение резко изменилось после рассмотрения вопроса в правительстве. Последовало решение правительства о самой срочной разработке противогазов различного назначения. Инженерами Тютюновым-Орским, Миренским, Шехтером, Ситниц- ким и др. в короткий срок были созданы противогазы с бумажными фильтрами.</w:t>
      </w:r>
    </w:p>
    <w:p w14:paraId="260FE005" w14:textId="77777777" w:rsidR="00D5088B" w:rsidRPr="00E14102" w:rsidRDefault="00D5088B" w:rsidP="00E14102">
      <w:pPr>
        <w:jc w:val="both"/>
        <w:rPr>
          <w:color w:val="000000" w:themeColor="text1"/>
          <w:sz w:val="16"/>
          <w:szCs w:val="16"/>
        </w:rPr>
      </w:pPr>
      <w:r w:rsidRPr="00E14102">
        <w:rPr>
          <w:color w:val="000000" w:themeColor="text1"/>
          <w:sz w:val="16"/>
          <w:szCs w:val="16"/>
        </w:rPr>
        <w:t>Наличие таких фильтров в 3-4 раза понизило сопротивляемость очищенного воздушного потока при входе и в то же время полностью исключало возможность воздействия отравляющих веществ на дыхательные пути.</w:t>
      </w:r>
    </w:p>
    <w:p w14:paraId="4A11E546" w14:textId="77777777" w:rsidR="00D5088B" w:rsidRPr="00E14102" w:rsidRDefault="00D5088B" w:rsidP="00E14102">
      <w:pPr>
        <w:jc w:val="both"/>
        <w:rPr>
          <w:color w:val="000000" w:themeColor="text1"/>
          <w:sz w:val="16"/>
          <w:szCs w:val="16"/>
        </w:rPr>
      </w:pPr>
      <w:r w:rsidRPr="00E14102">
        <w:rPr>
          <w:color w:val="000000" w:themeColor="text1"/>
          <w:sz w:val="16"/>
          <w:szCs w:val="16"/>
        </w:rPr>
        <w:t>Очень быстро было создано около 10 видов противогазов различного назначения: для танкистов, пехотинцев и т. п. – всего пять наименований, промышленный противогаз, детский, гражданский, групповой.</w:t>
      </w:r>
    </w:p>
    <w:p w14:paraId="2B9596E2" w14:textId="77777777" w:rsidR="00D5088B" w:rsidRPr="00E14102" w:rsidRDefault="00D5088B" w:rsidP="00E14102">
      <w:pPr>
        <w:jc w:val="both"/>
        <w:rPr>
          <w:color w:val="000000" w:themeColor="text1"/>
          <w:sz w:val="16"/>
          <w:szCs w:val="16"/>
        </w:rPr>
      </w:pPr>
      <w:r w:rsidRPr="00E14102">
        <w:rPr>
          <w:color w:val="000000" w:themeColor="text1"/>
          <w:sz w:val="16"/>
          <w:szCs w:val="16"/>
        </w:rPr>
        <w:t>Групповой противогаз предназначался для использования в бомбоубежище. Он представлял собой большой адсорбирующий ящик, к которому привертывались трубки масок. Один ящик мог обслуживать несколько человек.</w:t>
      </w:r>
    </w:p>
    <w:p w14:paraId="24CA1786" w14:textId="77777777" w:rsidR="00D5088B" w:rsidRPr="00E14102" w:rsidRDefault="00D5088B" w:rsidP="00E14102">
      <w:pPr>
        <w:jc w:val="both"/>
        <w:rPr>
          <w:color w:val="000000" w:themeColor="text1"/>
          <w:sz w:val="16"/>
          <w:szCs w:val="16"/>
        </w:rPr>
      </w:pPr>
      <w:r w:rsidRPr="00E14102">
        <w:rPr>
          <w:color w:val="000000" w:themeColor="text1"/>
          <w:sz w:val="16"/>
          <w:szCs w:val="16"/>
        </w:rPr>
        <w:t>Были сконструированы противогазы и для животных, которых возможно пришлось бы использовать при ведении боевых действий: для собак, лошадей, верблюдов. Специально отрабатывались фильтры для стационарных установок газоубежищ. Все конструкции нужно было в короткие сроки воплотить в металл и отработать. Тут основная тяжесть упала на рабочих опытного цеха. Нужно было срочно делать штампы, готовить детали, производить сборку.</w:t>
      </w:r>
    </w:p>
    <w:p w14:paraId="77F524BA" w14:textId="77777777" w:rsidR="00D5088B" w:rsidRPr="00E14102" w:rsidRDefault="00D5088B" w:rsidP="00E14102">
      <w:pPr>
        <w:jc w:val="both"/>
        <w:rPr>
          <w:color w:val="000000" w:themeColor="text1"/>
          <w:sz w:val="16"/>
          <w:szCs w:val="16"/>
        </w:rPr>
      </w:pPr>
      <w:r w:rsidRPr="00E14102">
        <w:rPr>
          <w:color w:val="000000" w:themeColor="text1"/>
          <w:sz w:val="16"/>
          <w:szCs w:val="16"/>
        </w:rPr>
        <w:lastRenderedPageBreak/>
        <w:t>В течение четырех с половиной месяцев бригада слесарей, возглавляемая Александром Дмитриевичем Михайловым, работала без выходных дней. Целыми неделями люди не бывали дома, питались и спали на работе. Без самоотверженной работы А. Д. Михайлова, С. Е. Милованова, С. Е. Гайдукова, В. И. Шабурдова, Н. М. Бусыгина, Н. М. Горбунова и других ответственное задание правительства в установленный срок не могло бы быть выполнено. Большую смекалку проявили при изготовлении деталей В. Е. Милованов и А. Д. Михайлов, а главный инженер завода № 67 А. Л. Лившиц помог им отработать прогрессивную технологию.</w:t>
      </w:r>
    </w:p>
    <w:p w14:paraId="128EE47E" w14:textId="77777777" w:rsidR="00D5088B" w:rsidRPr="00E14102" w:rsidRDefault="00D5088B" w:rsidP="00E14102">
      <w:pPr>
        <w:jc w:val="both"/>
        <w:rPr>
          <w:color w:val="000000" w:themeColor="text1"/>
          <w:sz w:val="16"/>
          <w:szCs w:val="16"/>
        </w:rPr>
      </w:pPr>
      <w:r w:rsidRPr="00E14102">
        <w:rPr>
          <w:color w:val="000000" w:themeColor="text1"/>
          <w:sz w:val="16"/>
          <w:szCs w:val="16"/>
        </w:rPr>
        <w:t>Следует отметить, что при выполнении срочных заказов завод оказывал НИО очень большую помощь, особенно в вопросах отработки технологии.</w:t>
      </w:r>
    </w:p>
    <w:p w14:paraId="0EE05F10" w14:textId="77777777" w:rsidR="00D5088B" w:rsidRPr="00E14102" w:rsidRDefault="00D5088B" w:rsidP="00E14102">
      <w:pPr>
        <w:jc w:val="both"/>
        <w:rPr>
          <w:color w:val="000000" w:themeColor="text1"/>
          <w:sz w:val="16"/>
          <w:szCs w:val="16"/>
        </w:rPr>
      </w:pPr>
      <w:r w:rsidRPr="00E14102">
        <w:rPr>
          <w:color w:val="000000" w:themeColor="text1"/>
          <w:sz w:val="16"/>
          <w:szCs w:val="16"/>
        </w:rPr>
        <w:t>В составе НИО, помимо конструкторских подразделений, был технологический сектор. Основной его задачей являлся выпуск чертежей для изготовления образцов экспериментальных, заводских и государственных партий. Конструкторы-разработчики представляли в сектор только общие виды изделий, а деталировка, выпуск комплекта чертежей осуществлялись в секторе. Руководил этим подразделением С. И. Сидоров, вместе с ним работали И. Д. Овсянников, А. С. Кирьянов, В. А. Гужавин и другие.</w:t>
      </w:r>
    </w:p>
    <w:p w14:paraId="50AB9F82" w14:textId="77777777" w:rsidR="00D5088B" w:rsidRPr="00E14102" w:rsidRDefault="00D5088B" w:rsidP="00E14102">
      <w:pPr>
        <w:jc w:val="both"/>
        <w:rPr>
          <w:color w:val="000000" w:themeColor="text1"/>
          <w:sz w:val="16"/>
          <w:szCs w:val="16"/>
        </w:rPr>
      </w:pPr>
      <w:r w:rsidRPr="00E14102">
        <w:rPr>
          <w:color w:val="000000" w:themeColor="text1"/>
          <w:sz w:val="16"/>
          <w:szCs w:val="16"/>
        </w:rPr>
        <w:t>Несколько позднее в составе НИО появился отдел подготовки производства, где разрабатывалась технология, готовились технологические маршрутные карты. Здесь работали Г. А. Талдыкин, Н. И. Кочетков и др (15794).</w:t>
      </w:r>
    </w:p>
    <w:p w14:paraId="63132EFE" w14:textId="77777777" w:rsidR="00D5088B" w:rsidRPr="00E14102" w:rsidRDefault="00D5088B" w:rsidP="00E14102">
      <w:pPr>
        <w:jc w:val="both"/>
        <w:rPr>
          <w:color w:val="000000" w:themeColor="text1"/>
          <w:sz w:val="16"/>
          <w:szCs w:val="16"/>
        </w:rPr>
      </w:pPr>
    </w:p>
    <w:p w14:paraId="71FEAE45"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1935-37 г. завод (Московский завод автотракторного электрооборудования № 1 (АТЭ-1) НКМ, НКОМ, НКСМ, ЗАО «Московский завод автотракторного электрооборудования» /г. Москва ул. Электрозаводская, 21/23 (1935 г.)/ /105023  г. Москва ул. Электрозаводская, 21/) входил в состав Электрокомбината им. Куйбышева. В 12.1938 г. - в ведении Главэлектропрома НКМ. В 1939 г. передан из НКОМ в ведение НКСМ.</w:t>
      </w:r>
    </w:p>
    <w:p w14:paraId="527091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начале 1932 г. с завода АТЭ на завод им. И.И. Лепсе переведен отдел по разработке радиомашин.</w:t>
      </w:r>
    </w:p>
    <w:p w14:paraId="4394DA0E"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1937 г. начато освоение выпуска авиационных магнето. Но при плане на этот год 3200 магнето, было выпущено лишь 400.</w:t>
      </w:r>
      <w:r w:rsidRPr="00E14102">
        <w:rPr>
          <w:color w:val="000000" w:themeColor="text1"/>
          <w:sz w:val="16"/>
          <w:szCs w:val="16"/>
          <w:vertAlign w:val="superscript"/>
        </w:rPr>
        <w:t>144</w:t>
      </w:r>
    </w:p>
    <w:p w14:paraId="407E1A5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соответствии с пост. ГКО № 368 от 2.08.1941 г. завод АТЭ-1 НКСМ в 11.1941 г. был эвакуирован в Куйбышев и влит в состав КАТЭК. Производство авиационных магнето эвакуировано в Саратов на завод № 306 НКАП. В 1942 г. завод реэвакуирован обратно.</w:t>
      </w:r>
    </w:p>
    <w:p w14:paraId="40C61C0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годы войны выпускал ППШ и снаряжал боеприпасы. С 16.05.1945 г. завод переведен на выпуск гражданской продукции.</w:t>
      </w:r>
    </w:p>
    <w:p w14:paraId="0B2D3160"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ЗАО входило в группу компаний «Тадем» (2004 г.).</w:t>
      </w:r>
    </w:p>
    <w:p w14:paraId="5FCBEFA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 xml:space="preserve">Директор (1937 г.)- Побережский, (12.1938 г.)- Соболев, (-1940 г.)- Крупчатников, (1940 г.)- Богомолов, (1940 г.)- Баринов, (-1941 г.)- В.Е. Шкадрецов, (1941-42 г.-&gt; И.С. Гагин, (1980-е)- Вайнштейн. Гендиректор (1990-е)- </w:t>
      </w:r>
      <w:r w:rsidRPr="00E14102">
        <w:rPr>
          <w:color w:val="000000" w:themeColor="text1"/>
          <w:sz w:val="16"/>
          <w:szCs w:val="16"/>
          <w:lang w:val="en-US"/>
        </w:rPr>
        <w:t>J</w:t>
      </w:r>
      <w:r w:rsidRPr="00E14102">
        <w:rPr>
          <w:color w:val="000000" w:themeColor="text1"/>
          <w:sz w:val="16"/>
          <w:szCs w:val="16"/>
        </w:rPr>
        <w:t>1.</w:t>
      </w:r>
      <w:r w:rsidRPr="00E14102">
        <w:rPr>
          <w:color w:val="000000" w:themeColor="text1"/>
          <w:sz w:val="16"/>
          <w:szCs w:val="16"/>
          <w:lang w:val="en-US"/>
        </w:rPr>
        <w:t>B</w:t>
      </w:r>
      <w:r w:rsidRPr="00E14102">
        <w:rPr>
          <w:color w:val="000000" w:themeColor="text1"/>
          <w:sz w:val="16"/>
          <w:szCs w:val="16"/>
        </w:rPr>
        <w:t>. Макаревич,</w:t>
      </w:r>
      <w:r w:rsidRPr="00E14102">
        <w:rPr>
          <w:color w:val="000000" w:themeColor="text1"/>
          <w:sz w:val="16"/>
          <w:szCs w:val="16"/>
          <w:vertAlign w:val="superscript"/>
        </w:rPr>
        <w:t>138</w:t>
      </w:r>
      <w:r w:rsidRPr="00E14102">
        <w:rPr>
          <w:color w:val="000000" w:themeColor="text1"/>
          <w:sz w:val="16"/>
          <w:szCs w:val="16"/>
        </w:rPr>
        <w:t xml:space="preserve"> (2000 г.)- А.И. Черников.</w:t>
      </w:r>
    </w:p>
    <w:p w14:paraId="2DB53029"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Гл. инженер (1941 г.)- Богомолов.</w:t>
      </w:r>
    </w:p>
    <w:p w14:paraId="1B05569C" w14:textId="77777777" w:rsidR="00D4105E" w:rsidRPr="00E14102" w:rsidRDefault="00D4105E" w:rsidP="00E14102">
      <w:pPr>
        <w:autoSpaceDE w:val="0"/>
        <w:autoSpaceDN w:val="0"/>
        <w:adjustRightInd w:val="0"/>
        <w:jc w:val="both"/>
        <w:rPr>
          <w:color w:val="000000" w:themeColor="text1"/>
          <w:sz w:val="16"/>
          <w:szCs w:val="16"/>
        </w:rPr>
      </w:pPr>
      <w:r w:rsidRPr="00E14102">
        <w:rPr>
          <w:iCs/>
          <w:color w:val="000000" w:themeColor="text1"/>
          <w:sz w:val="16"/>
          <w:szCs w:val="16"/>
        </w:rPr>
        <w:t>Производство: магнето авиационные:</w:t>
      </w:r>
      <w:r w:rsidRPr="00E14102">
        <w:rPr>
          <w:color w:val="000000" w:themeColor="text1"/>
          <w:sz w:val="16"/>
          <w:szCs w:val="16"/>
        </w:rPr>
        <w:t xml:space="preserve"> БС-5 для М-11, МФ-9 для М-25, БС-12 для М-17, АМ-34, МВ-14 для М-85, типа «Рено» (1937); свечи ЗЭМГ, 4ЭМГ (1937); муфты МБСР (1937); прибор СБ-38 (1938) (11982).</w:t>
      </w:r>
    </w:p>
    <w:p w14:paraId="36D85D9D" w14:textId="77777777" w:rsidR="00D4105E" w:rsidRPr="00E14102" w:rsidRDefault="00D4105E" w:rsidP="00E14102">
      <w:pPr>
        <w:autoSpaceDE w:val="0"/>
        <w:autoSpaceDN w:val="0"/>
        <w:adjustRightInd w:val="0"/>
        <w:jc w:val="both"/>
        <w:rPr>
          <w:color w:val="000000" w:themeColor="text1"/>
          <w:sz w:val="16"/>
          <w:szCs w:val="16"/>
        </w:rPr>
      </w:pPr>
    </w:p>
    <w:p w14:paraId="258C19B1"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 1935-41 г. в составе института был аэротопографический отдел.</w:t>
      </w:r>
    </w:p>
    <w:p w14:paraId="0AC263FC"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Институт имел Экспериментальный оптико-механический завод, далее - самостоятельный ЭОМЗ (ЦНИИ геодезии, аэросъемки и картографии (ЦНИИГАиК) им. Ф.Н. Красовского Роскартографии /125413  г. Москва ул. Онежская, 26 тел. 456-91-27/).</w:t>
      </w:r>
    </w:p>
    <w:p w14:paraId="5E82755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Работы (2002 г.): определение фигуры и гравитационного поля Земли; разработка классических и новейших методов определения координат и силы тяжести на земной поверхности; разработка методов геодезических измерений, создание банков данных геодезической и гравиметрической информации; разработка и модернизация высокоточных геодезических, гравиметрических, аэросъемочных, фотометрических приборов и инструментов; проведение геодезических, картографических, топографических и аэросъемочных работ.</w:t>
      </w:r>
    </w:p>
    <w:p w14:paraId="4DDD612D"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Директор (-1999-2003 г.-)- Н.Л. Макаренко.</w:t>
      </w:r>
    </w:p>
    <w:p w14:paraId="40E5E6DF"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Зам. директора по науке (2002 г.)- В.И. Кашаев.</w:t>
      </w:r>
      <w:r w:rsidRPr="00E14102">
        <w:rPr>
          <w:color w:val="000000" w:themeColor="text1"/>
          <w:sz w:val="16"/>
          <w:szCs w:val="16"/>
          <w:vertAlign w:val="superscript"/>
        </w:rPr>
        <w:t>69</w:t>
      </w:r>
    </w:p>
    <w:p w14:paraId="4ED6C59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Экспериментальный оптико-механический завод (ЭОМЗ) ЦНИИГАиК, ФГУП «Московский ЭОМЗ» Роскартографии /109004  г. Москва Шелапутинский пер., 6 тел. 911-01-12/</w:t>
      </w:r>
    </w:p>
    <w:p w14:paraId="2066FDC3"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Руководитель (2000 г.)- В.М. Новоиценов.</w:t>
      </w:r>
    </w:p>
    <w:p w14:paraId="2A21D564" w14:textId="77777777" w:rsidR="00DC3D07" w:rsidRPr="00E14102" w:rsidRDefault="00DC3D07" w:rsidP="00E14102">
      <w:pPr>
        <w:autoSpaceDE w:val="0"/>
        <w:autoSpaceDN w:val="0"/>
        <w:adjustRightInd w:val="0"/>
        <w:jc w:val="both"/>
        <w:rPr>
          <w:color w:val="000000" w:themeColor="text1"/>
          <w:sz w:val="16"/>
          <w:szCs w:val="16"/>
        </w:rPr>
      </w:pPr>
    </w:p>
    <w:p w14:paraId="6F0435F7" w14:textId="77777777" w:rsidR="00576539" w:rsidRPr="00E14102" w:rsidRDefault="00576539" w:rsidP="00E14102">
      <w:pPr>
        <w:autoSpaceDE w:val="0"/>
        <w:autoSpaceDN w:val="0"/>
        <w:adjustRightInd w:val="0"/>
        <w:jc w:val="both"/>
        <w:rPr>
          <w:iCs/>
          <w:color w:val="000000" w:themeColor="text1"/>
          <w:sz w:val="16"/>
          <w:szCs w:val="16"/>
        </w:rPr>
      </w:pPr>
      <w:r w:rsidRPr="00E14102">
        <w:rPr>
          <w:i/>
          <w:iCs/>
          <w:color w:val="000000" w:themeColor="text1"/>
          <w:sz w:val="16"/>
          <w:szCs w:val="16"/>
        </w:rPr>
        <w:t>Авиапромышленность:</w:t>
      </w:r>
    </w:p>
    <w:p w14:paraId="0F97405E" w14:textId="77777777" w:rsidR="00576539" w:rsidRPr="00E14102" w:rsidRDefault="00576539" w:rsidP="00E14102">
      <w:pPr>
        <w:autoSpaceDE w:val="0"/>
        <w:autoSpaceDN w:val="0"/>
        <w:adjustRightInd w:val="0"/>
        <w:jc w:val="both"/>
        <w:rPr>
          <w:iCs/>
          <w:color w:val="000000" w:themeColor="text1"/>
          <w:sz w:val="16"/>
          <w:szCs w:val="16"/>
        </w:rPr>
      </w:pPr>
    </w:p>
    <w:p w14:paraId="388CFE89" w14:textId="77777777" w:rsidR="00576539" w:rsidRPr="00E14102" w:rsidRDefault="00576539" w:rsidP="00E14102">
      <w:pPr>
        <w:pStyle w:val="a7"/>
        <w:rPr>
          <w:color w:val="000000" w:themeColor="text1"/>
          <w:sz w:val="16"/>
          <w:szCs w:val="16"/>
          <w:lang w:val="ru-RU"/>
        </w:rPr>
      </w:pPr>
      <w:r w:rsidRPr="00E14102">
        <w:rPr>
          <w:color w:val="000000" w:themeColor="text1"/>
          <w:sz w:val="16"/>
          <w:szCs w:val="16"/>
          <w:lang w:val="ru-RU"/>
        </w:rPr>
        <w:t>В первой половине 1930-х гг. Вахмистров предложил построить на</w:t>
      </w:r>
      <w:r w:rsidRPr="00E14102">
        <w:rPr>
          <w:color w:val="000000" w:themeColor="text1"/>
          <w:sz w:val="16"/>
          <w:szCs w:val="16"/>
          <w:lang w:val="ru-RU"/>
        </w:rPr>
        <w:softHyphen/>
        <w:t>стоящий летающий авианосец. Его «ави</w:t>
      </w:r>
      <w:r w:rsidRPr="00E14102">
        <w:rPr>
          <w:color w:val="000000" w:themeColor="text1"/>
          <w:sz w:val="16"/>
          <w:szCs w:val="16"/>
          <w:lang w:val="ru-RU"/>
        </w:rPr>
        <w:softHyphen/>
        <w:t>аматка» представляла собой огромный моноплан, выполненный по схеме «ле</w:t>
      </w:r>
      <w:r w:rsidRPr="00E14102">
        <w:rPr>
          <w:color w:val="000000" w:themeColor="text1"/>
          <w:sz w:val="16"/>
          <w:szCs w:val="16"/>
          <w:lang w:val="ru-RU"/>
        </w:rPr>
        <w:softHyphen/>
        <w:t>тающего крыла» параболоидной в пла</w:t>
      </w:r>
      <w:r w:rsidRPr="00E14102">
        <w:rPr>
          <w:color w:val="000000" w:themeColor="text1"/>
          <w:sz w:val="16"/>
          <w:szCs w:val="16"/>
          <w:lang w:val="ru-RU"/>
        </w:rPr>
        <w:softHyphen/>
        <w:t>не формы. Многочисленные моторы с тянущими винтами располагались по его передней кромке. Шасси - неубира- ющееся, с тандемными тележками, как у ТБ-3. Сзади - небольшие колеса или костыли, на рисунках подробностей не видно. Самолеты стартовали с верхней поверхности крыла, подаваемые из вну</w:t>
      </w:r>
      <w:r w:rsidRPr="00E14102">
        <w:rPr>
          <w:color w:val="000000" w:themeColor="text1"/>
          <w:sz w:val="16"/>
          <w:szCs w:val="16"/>
          <w:lang w:val="ru-RU"/>
        </w:rPr>
        <w:softHyphen/>
        <w:t>тренних ангаров лифтами. Прямо как на настоящем авианосце: полетная палуба, ангары, подъемники, только все это не на море, а в облаках. Нет только старто</w:t>
      </w:r>
      <w:r w:rsidRPr="00E14102">
        <w:rPr>
          <w:color w:val="000000" w:themeColor="text1"/>
          <w:sz w:val="16"/>
          <w:szCs w:val="16"/>
          <w:lang w:val="ru-RU"/>
        </w:rPr>
        <w:softHyphen/>
        <w:t>вых катапульт, но они и не нужны. Воз</w:t>
      </w:r>
      <w:r w:rsidRPr="00E14102">
        <w:rPr>
          <w:color w:val="000000" w:themeColor="text1"/>
          <w:sz w:val="16"/>
          <w:szCs w:val="16"/>
          <w:lang w:val="ru-RU"/>
        </w:rPr>
        <w:softHyphen/>
        <w:t>душный авианосец сразу же добавляет к скорости взлетающего самолета свою, обеспечивая необходимую подъемную силу. Да и машина, перевалив через край крыла, не упадет в море, а начнет разгоняться на пикировании.</w:t>
      </w:r>
    </w:p>
    <w:p w14:paraId="140DA3F1" w14:textId="77777777" w:rsidR="00576539" w:rsidRPr="00E14102" w:rsidRDefault="00576539" w:rsidP="00E14102">
      <w:pPr>
        <w:pStyle w:val="a7"/>
        <w:rPr>
          <w:color w:val="000000" w:themeColor="text1"/>
          <w:sz w:val="16"/>
          <w:szCs w:val="16"/>
          <w:lang w:val="ru-RU"/>
        </w:rPr>
      </w:pPr>
      <w:r w:rsidRPr="00E14102">
        <w:rPr>
          <w:color w:val="000000" w:themeColor="text1"/>
          <w:sz w:val="16"/>
          <w:szCs w:val="16"/>
          <w:lang w:val="ru-RU"/>
        </w:rPr>
        <w:t>«Авиаматка» могла нести не только истребители, но и технику побольше - двухместные легкие бомбардировщики и разведчики. Загружать самолеты со</w:t>
      </w:r>
      <w:r w:rsidRPr="00E14102">
        <w:rPr>
          <w:color w:val="000000" w:themeColor="text1"/>
          <w:sz w:val="16"/>
          <w:szCs w:val="16"/>
          <w:lang w:val="ru-RU"/>
        </w:rPr>
        <w:softHyphen/>
        <w:t>бирались через большой люк снизу, из которого опускалась платформа-лифт. Причем, судя по рисункам, этот лифт не мог поднять собранный самолет. Грузили фюзеляж отдельно, крылья - отдельно. Собирать их, видимо, намеревались уже внутри.</w:t>
      </w:r>
    </w:p>
    <w:p w14:paraId="6A5703AE" w14:textId="77777777" w:rsidR="00576539" w:rsidRPr="00E14102" w:rsidRDefault="00576539" w:rsidP="00E14102">
      <w:pPr>
        <w:pStyle w:val="a7"/>
        <w:rPr>
          <w:color w:val="000000" w:themeColor="text1"/>
          <w:sz w:val="16"/>
          <w:szCs w:val="16"/>
          <w:lang w:val="ru-RU"/>
        </w:rPr>
      </w:pPr>
      <w:r w:rsidRPr="00E14102">
        <w:rPr>
          <w:color w:val="000000" w:themeColor="text1"/>
          <w:sz w:val="16"/>
          <w:szCs w:val="16"/>
          <w:lang w:val="ru-RU"/>
        </w:rPr>
        <w:t>В общем, это предложение Вах</w:t>
      </w:r>
      <w:r w:rsidRPr="00E14102">
        <w:rPr>
          <w:color w:val="000000" w:themeColor="text1"/>
          <w:sz w:val="16"/>
          <w:szCs w:val="16"/>
          <w:lang w:val="ru-RU"/>
        </w:rPr>
        <w:softHyphen/>
        <w:t>мистрова в силу малой степени прорабо</w:t>
      </w:r>
      <w:r w:rsidRPr="00E14102">
        <w:rPr>
          <w:color w:val="000000" w:themeColor="text1"/>
          <w:sz w:val="16"/>
          <w:szCs w:val="16"/>
          <w:lang w:val="ru-RU"/>
        </w:rPr>
        <w:softHyphen/>
        <w:t>танности и огромной стоимости построй</w:t>
      </w:r>
      <w:r w:rsidRPr="00E14102">
        <w:rPr>
          <w:color w:val="000000" w:themeColor="text1"/>
          <w:sz w:val="16"/>
          <w:szCs w:val="16"/>
          <w:lang w:val="ru-RU"/>
        </w:rPr>
        <w:softHyphen/>
        <w:t>ки опытного образца, по-видимому, ни</w:t>
      </w:r>
      <w:r w:rsidRPr="00E14102">
        <w:rPr>
          <w:color w:val="000000" w:themeColor="text1"/>
          <w:sz w:val="16"/>
          <w:szCs w:val="16"/>
          <w:lang w:val="ru-RU"/>
        </w:rPr>
        <w:softHyphen/>
        <w:t>когда серьезно не рассматривалось, даже в тот период увлечения гигантоманией (17741).</w:t>
      </w:r>
    </w:p>
    <w:p w14:paraId="27350DB8" w14:textId="77777777" w:rsidR="00576539" w:rsidRPr="00E14102" w:rsidRDefault="00576539" w:rsidP="00E14102">
      <w:pPr>
        <w:jc w:val="both"/>
        <w:rPr>
          <w:color w:val="000000" w:themeColor="text1"/>
          <w:sz w:val="16"/>
          <w:szCs w:val="16"/>
        </w:rPr>
      </w:pPr>
    </w:p>
    <w:p w14:paraId="395C07B6" w14:textId="77777777" w:rsidR="00D4105E" w:rsidRPr="00E14102" w:rsidRDefault="00D4105E" w:rsidP="00E14102">
      <w:pPr>
        <w:autoSpaceDE w:val="0"/>
        <w:autoSpaceDN w:val="0"/>
        <w:adjustRightInd w:val="0"/>
        <w:jc w:val="both"/>
        <w:rPr>
          <w:color w:val="000000" w:themeColor="text1"/>
          <w:sz w:val="16"/>
          <w:szCs w:val="16"/>
        </w:rPr>
      </w:pPr>
      <w:r w:rsidRPr="00E14102">
        <w:rPr>
          <w:color w:val="000000" w:themeColor="text1"/>
          <w:sz w:val="16"/>
          <w:szCs w:val="16"/>
        </w:rPr>
        <w:t>Все шло отлично. Попытались дать больше свободы конструкторам и укрепить соревновательность создавая многочисленные КБ. Военной авиации стали неприкрыто уделять основное внимание, а для гражданской - купили DC-3 и поддерживали легкомоторников (и то как резерв для военного авиастроения).</w:t>
      </w:r>
    </w:p>
    <w:p w14:paraId="1AA0AFFB" w14:textId="77777777" w:rsidR="00D4105E" w:rsidRPr="00E14102" w:rsidRDefault="00D4105E" w:rsidP="00E14102">
      <w:pPr>
        <w:autoSpaceDE w:val="0"/>
        <w:autoSpaceDN w:val="0"/>
        <w:adjustRightInd w:val="0"/>
        <w:jc w:val="both"/>
        <w:rPr>
          <w:color w:val="000000" w:themeColor="text1"/>
          <w:sz w:val="16"/>
          <w:szCs w:val="16"/>
        </w:rPr>
      </w:pPr>
    </w:p>
    <w:sectPr w:rsidR="00D4105E" w:rsidRPr="00E14102" w:rsidSect="00A12F5F">
      <w:pgSz w:w="11907" w:h="16840"/>
      <w:pgMar w:top="567" w:right="284" w:bottom="567" w:left="284" w:header="709" w:footer="709" w:gutter="0"/>
      <w:cols w:space="70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Arial Narrow">
    <w:panose1 w:val="020B0606020202030204"/>
    <w:charset w:val="CC"/>
    <w:family w:val="swiss"/>
    <w:pitch w:val="variable"/>
    <w:sig w:usb0="00000287" w:usb1="00000800"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Arial Unicode MS">
    <w:altName w:val="Yu Gothic"/>
    <w:panose1 w:val="020B0604020202020204"/>
    <w:charset w:val="80"/>
    <w:family w:val="swiss"/>
    <w:pitch w:val="variable"/>
    <w:sig w:usb0="F7FFAFFF" w:usb1="E9DFFFFF" w:usb2="0000003F" w:usb3="00000000" w:csb0="003F01FF" w:csb1="00000000"/>
  </w:font>
  <w:font w:name="Consolas">
    <w:panose1 w:val="020B0609020204030204"/>
    <w:charset w:val="CC"/>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Dotum">
    <w:altName w:val="돋움"/>
    <w:panose1 w:val="020B0600000101010101"/>
    <w:charset w:val="81"/>
    <w:family w:val="swiss"/>
    <w:pitch w:val="variable"/>
    <w:sig w:usb0="B00002AF" w:usb1="69D77CFB" w:usb2="00000030" w:usb3="00000000" w:csb0="0008009F" w:csb1="00000000"/>
  </w:font>
  <w:font w:name="Minion Pro">
    <w:panose1 w:val="00000000000000000000"/>
    <w:charset w:val="00"/>
    <w:family w:val="roman"/>
    <w:notTrueType/>
    <w:pitch w:val="variable"/>
    <w:sig w:usb0="60000287" w:usb1="00000001" w:usb2="00000000" w:usb3="00000000" w:csb0="0000019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MS Reference Sans Serif">
    <w:panose1 w:val="020B0604030504040204"/>
    <w:charset w:val="CC"/>
    <w:family w:val="swiss"/>
    <w:pitch w:val="variable"/>
    <w:sig w:usb0="20000287" w:usb1="00000000" w:usb2="00000000" w:usb3="00000000" w:csb0="0000019F" w:csb1="00000000"/>
  </w:font>
  <w:font w:name="Franklin Gothic Book">
    <w:panose1 w:val="020B050302010202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Constantia">
    <w:panose1 w:val="02030602050306030303"/>
    <w:charset w:val="CC"/>
    <w:family w:val="roman"/>
    <w:pitch w:val="variable"/>
    <w:sig w:usb0="A00002EF" w:usb1="4000204B" w:usb2="00000000" w:usb3="00000000" w:csb0="0000019F" w:csb1="00000000"/>
  </w:font>
  <w:font w:name="Trebuchet MS">
    <w:panose1 w:val="020B0603020202020204"/>
    <w:charset w:val="CC"/>
    <w:family w:val="swiss"/>
    <w:pitch w:val="variable"/>
    <w:sig w:usb0="000006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E3312"/>
    <w:multiLevelType w:val="multilevel"/>
    <w:tmpl w:val="F35A7440"/>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C303646"/>
    <w:multiLevelType w:val="multilevel"/>
    <w:tmpl w:val="9E84B75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start w:val="2"/>
      <w:numFmt w:val="decimal"/>
      <w:lvlText w:val="%4."/>
      <w:lvlJc w:val="left"/>
      <w:rPr>
        <w:rFonts w:ascii="Arial" w:eastAsia="Arial" w:hAnsi="Arial" w:cs="Arial"/>
        <w:b w:val="0"/>
        <w:bCs w:val="0"/>
        <w:i w:val="0"/>
        <w:iCs w:val="0"/>
        <w:smallCaps w:val="0"/>
        <w:strike w:val="0"/>
        <w:color w:val="000000"/>
        <w:spacing w:val="0"/>
        <w:w w:val="100"/>
        <w:position w:val="0"/>
        <w:sz w:val="19"/>
        <w:szCs w:val="19"/>
        <w:u w:val="none"/>
      </w:rPr>
    </w:lvl>
    <w:lvl w:ilvl="4">
      <w:start w:val="2"/>
      <w:numFmt w:val="decimal"/>
      <w:lvlText w:val="%5."/>
      <w:lvlJc w:val="left"/>
      <w:rPr>
        <w:rFonts w:ascii="Arial" w:eastAsia="Arial" w:hAnsi="Arial" w:cs="Arial"/>
        <w:b w:val="0"/>
        <w:bCs w:val="0"/>
        <w:i w:val="0"/>
        <w:iCs w:val="0"/>
        <w:smallCaps w:val="0"/>
        <w:strike w:val="0"/>
        <w:color w:val="000000"/>
        <w:spacing w:val="0"/>
        <w:w w:val="100"/>
        <w:position w:val="0"/>
        <w:sz w:val="19"/>
        <w:szCs w:val="19"/>
        <w:u w:val="none"/>
      </w:rPr>
    </w:lvl>
    <w:lvl w:ilvl="5">
      <w:start w:val="9"/>
      <w:numFmt w:val="decimal"/>
      <w:lvlText w:val="%6."/>
      <w:lvlJc w:val="left"/>
      <w:rPr>
        <w:rFonts w:ascii="Arial" w:eastAsia="Arial" w:hAnsi="Arial" w:cs="Arial"/>
        <w:b w:val="0"/>
        <w:bCs w:val="0"/>
        <w:i w:val="0"/>
        <w:iCs w:val="0"/>
        <w:smallCaps w:val="0"/>
        <w:strike w:val="0"/>
        <w:color w:val="000000"/>
        <w:spacing w:val="0"/>
        <w:w w:val="100"/>
        <w:position w:val="0"/>
        <w:sz w:val="19"/>
        <w:szCs w:val="19"/>
        <w:u w:val="none"/>
      </w:rPr>
    </w:lvl>
    <w:lvl w:ilvl="6">
      <w:start w:val="1"/>
      <w:numFmt w:val="decimal"/>
      <w:lvlText w:val="%7."/>
      <w:lvlJc w:val="left"/>
      <w:rPr>
        <w:rFonts w:ascii="Arial" w:eastAsia="Arial" w:hAnsi="Arial" w:cs="Arial"/>
        <w:b w:val="0"/>
        <w:bCs w:val="0"/>
        <w:i w:val="0"/>
        <w:iCs w:val="0"/>
        <w:smallCaps w:val="0"/>
        <w:strike w:val="0"/>
        <w:color w:val="000000"/>
        <w:spacing w:val="0"/>
        <w:w w:val="100"/>
        <w:position w:val="0"/>
        <w:sz w:val="19"/>
        <w:szCs w:val="19"/>
        <w:u w:val="none"/>
      </w:rPr>
    </w:lvl>
    <w:lvl w:ilvl="7">
      <w:start w:val="2"/>
      <w:numFmt w:val="decimal"/>
      <w:lvlText w:val="%8."/>
      <w:lvlJc w:val="left"/>
      <w:rPr>
        <w:rFonts w:ascii="Arial" w:eastAsia="Arial" w:hAnsi="Arial" w:cs="Arial"/>
        <w:b w:val="0"/>
        <w:bCs w:val="0"/>
        <w:i w:val="0"/>
        <w:iCs w:val="0"/>
        <w:smallCaps w:val="0"/>
        <w:strike w:val="0"/>
        <w:color w:val="000000"/>
        <w:spacing w:val="0"/>
        <w:w w:val="100"/>
        <w:position w:val="0"/>
        <w:sz w:val="19"/>
        <w:szCs w:val="19"/>
        <w:u w:val="none"/>
      </w:rPr>
    </w:lvl>
    <w:lvl w:ilvl="8">
      <w:start w:val="1"/>
      <w:numFmt w:val="decimal"/>
      <w:lvlText w:val="%9."/>
      <w:lvlJc w:val="left"/>
      <w:rPr>
        <w:rFonts w:ascii="Arial" w:eastAsia="Arial" w:hAnsi="Arial" w:cs="Arial"/>
        <w:b w:val="0"/>
        <w:bCs w:val="0"/>
        <w:i w:val="0"/>
        <w:iCs w:val="0"/>
        <w:smallCaps w:val="0"/>
        <w:strike w:val="0"/>
        <w:color w:val="000000"/>
        <w:spacing w:val="0"/>
        <w:w w:val="100"/>
        <w:position w:val="0"/>
        <w:sz w:val="19"/>
        <w:szCs w:val="19"/>
        <w:u w:val="none"/>
      </w:rPr>
    </w:lvl>
  </w:abstractNum>
  <w:abstractNum w:abstractNumId="2" w15:restartNumberingAfterBreak="0">
    <w:nsid w:val="11EA738A"/>
    <w:multiLevelType w:val="multilevel"/>
    <w:tmpl w:val="6908BA92"/>
    <w:lvl w:ilvl="0">
      <w:start w:val="1"/>
      <w:numFmt w:val="bullet"/>
      <w:lvlText w:val="-"/>
      <w:lvlJc w:val="left"/>
      <w:rPr>
        <w:rFonts w:ascii="Times New Roman" w:eastAsia="Times New Roman" w:hAnsi="Times New Roman"/>
        <w:b w:val="0"/>
        <w:i w:val="0"/>
        <w:smallCaps w:val="0"/>
        <w:strike w:val="0"/>
        <w:color w:val="000000"/>
        <w:spacing w:val="0"/>
        <w:w w:val="100"/>
        <w:position w:val="0"/>
        <w:sz w:val="20"/>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7">
      <w:numFmt w:val="decimal"/>
      <w:lvlText w:val=""/>
      <w:lvlJc w:val="left"/>
      <w:rPr>
        <w:rFonts w:cs="Times New Roman"/>
      </w:rPr>
    </w:lvl>
    <w:lvl w:ilvl="8">
      <w:numFmt w:val="decimal"/>
      <w:lvlText w:val=""/>
      <w:lvlJc w:val="left"/>
      <w:rPr>
        <w:rFonts w:cs="Times New Roman"/>
      </w:rPr>
    </w:lvl>
  </w:abstractNum>
  <w:abstractNum w:abstractNumId="3" w15:restartNumberingAfterBreak="0">
    <w:nsid w:val="2E761A29"/>
    <w:multiLevelType w:val="multilevel"/>
    <w:tmpl w:val="8E0603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ED30295"/>
    <w:multiLevelType w:val="multilevel"/>
    <w:tmpl w:val="802A7248"/>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2"/>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start w:val="2"/>
      <w:numFmt w:val="decimal"/>
      <w:lvlText w:val="%4."/>
      <w:lvlJc w:val="left"/>
      <w:rPr>
        <w:rFonts w:ascii="Arial" w:eastAsia="Arial" w:hAnsi="Arial" w:cs="Arial"/>
        <w:b w:val="0"/>
        <w:bCs w:val="0"/>
        <w:i w:val="0"/>
        <w:iCs w:val="0"/>
        <w:smallCaps w:val="0"/>
        <w:strike w:val="0"/>
        <w:color w:val="000000"/>
        <w:spacing w:val="0"/>
        <w:w w:val="100"/>
        <w:position w:val="0"/>
        <w:sz w:val="19"/>
        <w:szCs w:val="19"/>
        <w:u w:val="none"/>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3B1E1AFA"/>
    <w:multiLevelType w:val="multilevel"/>
    <w:tmpl w:val="541C501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7">
      <w:start w:val="2"/>
      <w:numFmt w:val="decimal"/>
      <w:lvlText w:val="%8."/>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8">
      <w:start w:val="1"/>
      <w:numFmt w:val="decimal"/>
      <w:lvlText w:val="%9."/>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abstractNum>
  <w:abstractNum w:abstractNumId="6" w15:restartNumberingAfterBreak="0">
    <w:nsid w:val="4C9D66D0"/>
    <w:multiLevelType w:val="multilevel"/>
    <w:tmpl w:val="30442C22"/>
    <w:lvl w:ilvl="0">
      <w:start w:val="1"/>
      <w:numFmt w:val="bullet"/>
      <w:lvlText w:val="—"/>
      <w:lvlJc w:val="left"/>
      <w:pPr>
        <w:ind w:left="0" w:firstLine="0"/>
      </w:pPr>
      <w:rPr>
        <w:rFonts w:ascii="Microsoft Sans Serif" w:eastAsia="Microsoft Sans Serif" w:hAnsi="Microsoft Sans Serif" w:cs="Microsoft Sans Serif"/>
        <w:b w:val="0"/>
        <w:bCs w:val="0"/>
        <w:i w:val="0"/>
        <w:iCs w:val="0"/>
        <w:smallCaps w:val="0"/>
        <w:strike w:val="0"/>
        <w:dstrike w:val="0"/>
        <w:color w:val="000000"/>
        <w:spacing w:val="0"/>
        <w:w w:val="100"/>
        <w:position w:val="0"/>
        <w:sz w:val="18"/>
        <w:szCs w:val="18"/>
        <w:u w:val="none"/>
        <w:effect w:val="no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 w15:restartNumberingAfterBreak="0">
    <w:nsid w:val="4D307893"/>
    <w:multiLevelType w:val="multilevel"/>
    <w:tmpl w:val="03B6D32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start w:val="2"/>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8" w15:restartNumberingAfterBreak="0">
    <w:nsid w:val="524C6D1A"/>
    <w:multiLevelType w:val="multilevel"/>
    <w:tmpl w:val="BC2C8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D64073D"/>
    <w:multiLevelType w:val="multilevel"/>
    <w:tmpl w:val="B84A5CF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9"/>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68611BA1"/>
    <w:multiLevelType w:val="multilevel"/>
    <w:tmpl w:val="56E025BC"/>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5"/>
        <w:szCs w:val="1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2"/>
  </w:num>
  <w:num w:numId="3">
    <w:abstractNumId w:val="7"/>
  </w:num>
  <w:num w:numId="4">
    <w:abstractNumId w:val="5"/>
  </w:num>
  <w:num w:numId="5">
    <w:abstractNumId w:val="6"/>
  </w:num>
  <w:num w:numId="6">
    <w:abstractNumId w:val="0"/>
  </w:num>
  <w:num w:numId="7">
    <w:abstractNumId w:val="1"/>
  </w:num>
  <w:num w:numId="8">
    <w:abstractNumId w:val="9"/>
  </w:num>
  <w:num w:numId="9">
    <w:abstractNumId w:val="4"/>
  </w:num>
  <w:num w:numId="10">
    <w:abstractNumId w:val="1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105E"/>
    <w:rsid w:val="00002AE0"/>
    <w:rsid w:val="0000374E"/>
    <w:rsid w:val="0000531B"/>
    <w:rsid w:val="00007A52"/>
    <w:rsid w:val="00015826"/>
    <w:rsid w:val="000260ED"/>
    <w:rsid w:val="00026948"/>
    <w:rsid w:val="000319FF"/>
    <w:rsid w:val="00033BC7"/>
    <w:rsid w:val="00051001"/>
    <w:rsid w:val="00053C2F"/>
    <w:rsid w:val="000557FA"/>
    <w:rsid w:val="000561E6"/>
    <w:rsid w:val="0006088F"/>
    <w:rsid w:val="00065021"/>
    <w:rsid w:val="000701C9"/>
    <w:rsid w:val="00073262"/>
    <w:rsid w:val="00075416"/>
    <w:rsid w:val="00075C8D"/>
    <w:rsid w:val="00092AF3"/>
    <w:rsid w:val="00094AE4"/>
    <w:rsid w:val="000A1D71"/>
    <w:rsid w:val="000E0B14"/>
    <w:rsid w:val="000E219F"/>
    <w:rsid w:val="000F1C22"/>
    <w:rsid w:val="000F30A8"/>
    <w:rsid w:val="00103BC7"/>
    <w:rsid w:val="001079AC"/>
    <w:rsid w:val="0011334B"/>
    <w:rsid w:val="00113D98"/>
    <w:rsid w:val="00116688"/>
    <w:rsid w:val="00117FE4"/>
    <w:rsid w:val="0012003F"/>
    <w:rsid w:val="00121858"/>
    <w:rsid w:val="0012406A"/>
    <w:rsid w:val="001253F3"/>
    <w:rsid w:val="001311E0"/>
    <w:rsid w:val="00131656"/>
    <w:rsid w:val="00132CBC"/>
    <w:rsid w:val="00135BFC"/>
    <w:rsid w:val="00136D5A"/>
    <w:rsid w:val="00145AFC"/>
    <w:rsid w:val="00147A88"/>
    <w:rsid w:val="00150B7E"/>
    <w:rsid w:val="00154792"/>
    <w:rsid w:val="001575D5"/>
    <w:rsid w:val="0016139C"/>
    <w:rsid w:val="0016217F"/>
    <w:rsid w:val="00164F4F"/>
    <w:rsid w:val="001718B2"/>
    <w:rsid w:val="0017444B"/>
    <w:rsid w:val="00175890"/>
    <w:rsid w:val="00177841"/>
    <w:rsid w:val="00195837"/>
    <w:rsid w:val="00197738"/>
    <w:rsid w:val="001A2871"/>
    <w:rsid w:val="001B27B4"/>
    <w:rsid w:val="001B55B1"/>
    <w:rsid w:val="001B5618"/>
    <w:rsid w:val="001B6990"/>
    <w:rsid w:val="001B6FA5"/>
    <w:rsid w:val="001C3B56"/>
    <w:rsid w:val="001C4F95"/>
    <w:rsid w:val="001D1A86"/>
    <w:rsid w:val="001D4E5C"/>
    <w:rsid w:val="001E7F5B"/>
    <w:rsid w:val="001F6389"/>
    <w:rsid w:val="001F7908"/>
    <w:rsid w:val="00203C11"/>
    <w:rsid w:val="00207120"/>
    <w:rsid w:val="00207CC4"/>
    <w:rsid w:val="00213252"/>
    <w:rsid w:val="00217FA4"/>
    <w:rsid w:val="00222455"/>
    <w:rsid w:val="0022722B"/>
    <w:rsid w:val="00227AF0"/>
    <w:rsid w:val="002301CB"/>
    <w:rsid w:val="00235457"/>
    <w:rsid w:val="00237152"/>
    <w:rsid w:val="00257D8A"/>
    <w:rsid w:val="002615C2"/>
    <w:rsid w:val="00262DB6"/>
    <w:rsid w:val="00264ED4"/>
    <w:rsid w:val="00265F21"/>
    <w:rsid w:val="00270A02"/>
    <w:rsid w:val="00270FBF"/>
    <w:rsid w:val="00272E5F"/>
    <w:rsid w:val="002751A5"/>
    <w:rsid w:val="002808C2"/>
    <w:rsid w:val="00281FBD"/>
    <w:rsid w:val="002828CA"/>
    <w:rsid w:val="00283E82"/>
    <w:rsid w:val="00293B6F"/>
    <w:rsid w:val="00294D59"/>
    <w:rsid w:val="00295700"/>
    <w:rsid w:val="002976F3"/>
    <w:rsid w:val="002A3C23"/>
    <w:rsid w:val="002A3F5F"/>
    <w:rsid w:val="002B4AAC"/>
    <w:rsid w:val="002C0036"/>
    <w:rsid w:val="002D7575"/>
    <w:rsid w:val="002E074B"/>
    <w:rsid w:val="002E24E6"/>
    <w:rsid w:val="002E3C5F"/>
    <w:rsid w:val="002F1CFA"/>
    <w:rsid w:val="002F4727"/>
    <w:rsid w:val="002F6502"/>
    <w:rsid w:val="002F68CC"/>
    <w:rsid w:val="00307D57"/>
    <w:rsid w:val="00312320"/>
    <w:rsid w:val="003224AB"/>
    <w:rsid w:val="003305D1"/>
    <w:rsid w:val="00333132"/>
    <w:rsid w:val="003361B6"/>
    <w:rsid w:val="003471A2"/>
    <w:rsid w:val="00353B7D"/>
    <w:rsid w:val="00354896"/>
    <w:rsid w:val="003551F4"/>
    <w:rsid w:val="00356A2F"/>
    <w:rsid w:val="00357020"/>
    <w:rsid w:val="00381125"/>
    <w:rsid w:val="003838CD"/>
    <w:rsid w:val="00386011"/>
    <w:rsid w:val="003911E9"/>
    <w:rsid w:val="00392001"/>
    <w:rsid w:val="003A53E2"/>
    <w:rsid w:val="003B10BA"/>
    <w:rsid w:val="003B3CE3"/>
    <w:rsid w:val="003C567D"/>
    <w:rsid w:val="003D0FBD"/>
    <w:rsid w:val="003E0642"/>
    <w:rsid w:val="003E12CB"/>
    <w:rsid w:val="003E2723"/>
    <w:rsid w:val="003E442B"/>
    <w:rsid w:val="003E561B"/>
    <w:rsid w:val="003F1358"/>
    <w:rsid w:val="003F2AAE"/>
    <w:rsid w:val="00402AB2"/>
    <w:rsid w:val="00413CD7"/>
    <w:rsid w:val="0041787D"/>
    <w:rsid w:val="00423C32"/>
    <w:rsid w:val="00430A7A"/>
    <w:rsid w:val="00431E03"/>
    <w:rsid w:val="00437740"/>
    <w:rsid w:val="00440F05"/>
    <w:rsid w:val="004428EE"/>
    <w:rsid w:val="00443633"/>
    <w:rsid w:val="004462A4"/>
    <w:rsid w:val="00446A93"/>
    <w:rsid w:val="004567BC"/>
    <w:rsid w:val="00462FCF"/>
    <w:rsid w:val="00464501"/>
    <w:rsid w:val="004752C9"/>
    <w:rsid w:val="0047630E"/>
    <w:rsid w:val="00481A9F"/>
    <w:rsid w:val="00483559"/>
    <w:rsid w:val="00485494"/>
    <w:rsid w:val="004868FE"/>
    <w:rsid w:val="00490C12"/>
    <w:rsid w:val="00493FC3"/>
    <w:rsid w:val="00497C8F"/>
    <w:rsid w:val="004A5086"/>
    <w:rsid w:val="004A72F7"/>
    <w:rsid w:val="004A7BDF"/>
    <w:rsid w:val="004B0814"/>
    <w:rsid w:val="004B0A9F"/>
    <w:rsid w:val="004B14DA"/>
    <w:rsid w:val="004B2C49"/>
    <w:rsid w:val="004B7965"/>
    <w:rsid w:val="004C5AA2"/>
    <w:rsid w:val="004D4862"/>
    <w:rsid w:val="004E0AD3"/>
    <w:rsid w:val="004E1433"/>
    <w:rsid w:val="004E5DD8"/>
    <w:rsid w:val="004E6CC2"/>
    <w:rsid w:val="004F0E48"/>
    <w:rsid w:val="004F2931"/>
    <w:rsid w:val="004F6CFB"/>
    <w:rsid w:val="004F769A"/>
    <w:rsid w:val="0051135A"/>
    <w:rsid w:val="005119C8"/>
    <w:rsid w:val="00514758"/>
    <w:rsid w:val="005149BA"/>
    <w:rsid w:val="00516F49"/>
    <w:rsid w:val="005257B8"/>
    <w:rsid w:val="005259F6"/>
    <w:rsid w:val="0052661D"/>
    <w:rsid w:val="005417B0"/>
    <w:rsid w:val="00543DB7"/>
    <w:rsid w:val="00545EDE"/>
    <w:rsid w:val="005532C5"/>
    <w:rsid w:val="00567A89"/>
    <w:rsid w:val="00571369"/>
    <w:rsid w:val="005728C9"/>
    <w:rsid w:val="0057432F"/>
    <w:rsid w:val="00576539"/>
    <w:rsid w:val="005766E0"/>
    <w:rsid w:val="00577914"/>
    <w:rsid w:val="00580274"/>
    <w:rsid w:val="005837DA"/>
    <w:rsid w:val="00591AD6"/>
    <w:rsid w:val="005A12B1"/>
    <w:rsid w:val="005A44A6"/>
    <w:rsid w:val="005C344A"/>
    <w:rsid w:val="005C3503"/>
    <w:rsid w:val="005C3D9D"/>
    <w:rsid w:val="005D3D2E"/>
    <w:rsid w:val="005D4A18"/>
    <w:rsid w:val="005D7732"/>
    <w:rsid w:val="005E12CF"/>
    <w:rsid w:val="005E1926"/>
    <w:rsid w:val="005E660C"/>
    <w:rsid w:val="005F3FE6"/>
    <w:rsid w:val="005F44AE"/>
    <w:rsid w:val="00605871"/>
    <w:rsid w:val="00606F47"/>
    <w:rsid w:val="006078DB"/>
    <w:rsid w:val="00611DF0"/>
    <w:rsid w:val="0061497A"/>
    <w:rsid w:val="006161A5"/>
    <w:rsid w:val="0062000C"/>
    <w:rsid w:val="00620D3C"/>
    <w:rsid w:val="006240D4"/>
    <w:rsid w:val="0063005B"/>
    <w:rsid w:val="0063683B"/>
    <w:rsid w:val="00640E94"/>
    <w:rsid w:val="0064385C"/>
    <w:rsid w:val="00647F1E"/>
    <w:rsid w:val="006637B0"/>
    <w:rsid w:val="0067434C"/>
    <w:rsid w:val="0068213E"/>
    <w:rsid w:val="00685DD5"/>
    <w:rsid w:val="006934F4"/>
    <w:rsid w:val="00696714"/>
    <w:rsid w:val="006A0027"/>
    <w:rsid w:val="006A60E0"/>
    <w:rsid w:val="006A6A56"/>
    <w:rsid w:val="006B0B5F"/>
    <w:rsid w:val="006B155B"/>
    <w:rsid w:val="006C0F81"/>
    <w:rsid w:val="006C1F1A"/>
    <w:rsid w:val="006C4420"/>
    <w:rsid w:val="006D10EE"/>
    <w:rsid w:val="006D1FAA"/>
    <w:rsid w:val="006E270E"/>
    <w:rsid w:val="006F0DDA"/>
    <w:rsid w:val="006F4E11"/>
    <w:rsid w:val="0070053A"/>
    <w:rsid w:val="0070181A"/>
    <w:rsid w:val="007049F3"/>
    <w:rsid w:val="00705486"/>
    <w:rsid w:val="00710927"/>
    <w:rsid w:val="00720B3A"/>
    <w:rsid w:val="00722E26"/>
    <w:rsid w:val="00731362"/>
    <w:rsid w:val="00732B78"/>
    <w:rsid w:val="00733392"/>
    <w:rsid w:val="00734028"/>
    <w:rsid w:val="00737FE4"/>
    <w:rsid w:val="0074275D"/>
    <w:rsid w:val="00745D68"/>
    <w:rsid w:val="00746A80"/>
    <w:rsid w:val="00747865"/>
    <w:rsid w:val="0075212F"/>
    <w:rsid w:val="007562F7"/>
    <w:rsid w:val="00760CCF"/>
    <w:rsid w:val="00763CB8"/>
    <w:rsid w:val="00765C54"/>
    <w:rsid w:val="00785FA5"/>
    <w:rsid w:val="007A6CAE"/>
    <w:rsid w:val="007B05F2"/>
    <w:rsid w:val="007C68D1"/>
    <w:rsid w:val="007D40AA"/>
    <w:rsid w:val="007E0310"/>
    <w:rsid w:val="007E0DE7"/>
    <w:rsid w:val="007E41FF"/>
    <w:rsid w:val="007E448A"/>
    <w:rsid w:val="007E4C44"/>
    <w:rsid w:val="007F2131"/>
    <w:rsid w:val="0080041B"/>
    <w:rsid w:val="008011CC"/>
    <w:rsid w:val="008019CE"/>
    <w:rsid w:val="008042DC"/>
    <w:rsid w:val="0080789B"/>
    <w:rsid w:val="00822C46"/>
    <w:rsid w:val="008240FA"/>
    <w:rsid w:val="00837403"/>
    <w:rsid w:val="008437C2"/>
    <w:rsid w:val="00845016"/>
    <w:rsid w:val="00847535"/>
    <w:rsid w:val="008507A2"/>
    <w:rsid w:val="0085120B"/>
    <w:rsid w:val="00857CDA"/>
    <w:rsid w:val="00860B85"/>
    <w:rsid w:val="00866C07"/>
    <w:rsid w:val="008709CC"/>
    <w:rsid w:val="00872260"/>
    <w:rsid w:val="008811AB"/>
    <w:rsid w:val="008853C1"/>
    <w:rsid w:val="0089038A"/>
    <w:rsid w:val="00890990"/>
    <w:rsid w:val="008A0D6C"/>
    <w:rsid w:val="008C60DE"/>
    <w:rsid w:val="008D0D6A"/>
    <w:rsid w:val="008D249A"/>
    <w:rsid w:val="008E1D5A"/>
    <w:rsid w:val="008E4712"/>
    <w:rsid w:val="008F0A1B"/>
    <w:rsid w:val="008F150F"/>
    <w:rsid w:val="008F414A"/>
    <w:rsid w:val="008F43A8"/>
    <w:rsid w:val="008F5B4C"/>
    <w:rsid w:val="008F6B49"/>
    <w:rsid w:val="008F77C6"/>
    <w:rsid w:val="0090665C"/>
    <w:rsid w:val="0090737B"/>
    <w:rsid w:val="00917AA3"/>
    <w:rsid w:val="0092044A"/>
    <w:rsid w:val="009275C2"/>
    <w:rsid w:val="00927678"/>
    <w:rsid w:val="00930A0C"/>
    <w:rsid w:val="00933444"/>
    <w:rsid w:val="0094028D"/>
    <w:rsid w:val="00952628"/>
    <w:rsid w:val="00954CDF"/>
    <w:rsid w:val="00956454"/>
    <w:rsid w:val="00956A72"/>
    <w:rsid w:val="009602A3"/>
    <w:rsid w:val="00964959"/>
    <w:rsid w:val="00964DA2"/>
    <w:rsid w:val="0096554E"/>
    <w:rsid w:val="00965F83"/>
    <w:rsid w:val="00970104"/>
    <w:rsid w:val="009733A9"/>
    <w:rsid w:val="009755AC"/>
    <w:rsid w:val="009760A3"/>
    <w:rsid w:val="00977605"/>
    <w:rsid w:val="009803C3"/>
    <w:rsid w:val="00990F31"/>
    <w:rsid w:val="00993641"/>
    <w:rsid w:val="009959D0"/>
    <w:rsid w:val="00997F8D"/>
    <w:rsid w:val="009B093F"/>
    <w:rsid w:val="009B3B0C"/>
    <w:rsid w:val="009B3BCF"/>
    <w:rsid w:val="009B4CE7"/>
    <w:rsid w:val="009C1277"/>
    <w:rsid w:val="009C37DA"/>
    <w:rsid w:val="009C655F"/>
    <w:rsid w:val="009D0510"/>
    <w:rsid w:val="009D44EF"/>
    <w:rsid w:val="009E0126"/>
    <w:rsid w:val="009E4FFE"/>
    <w:rsid w:val="009E561B"/>
    <w:rsid w:val="009F240C"/>
    <w:rsid w:val="009F4385"/>
    <w:rsid w:val="00A02B95"/>
    <w:rsid w:val="00A06CF0"/>
    <w:rsid w:val="00A077FF"/>
    <w:rsid w:val="00A12F5F"/>
    <w:rsid w:val="00A15BC6"/>
    <w:rsid w:val="00A16EB4"/>
    <w:rsid w:val="00A2081C"/>
    <w:rsid w:val="00A32794"/>
    <w:rsid w:val="00A33F80"/>
    <w:rsid w:val="00A35933"/>
    <w:rsid w:val="00A40EC8"/>
    <w:rsid w:val="00A45048"/>
    <w:rsid w:val="00A45C9C"/>
    <w:rsid w:val="00A4709E"/>
    <w:rsid w:val="00A545F9"/>
    <w:rsid w:val="00A55C5F"/>
    <w:rsid w:val="00A63CBF"/>
    <w:rsid w:val="00A64B86"/>
    <w:rsid w:val="00A80B76"/>
    <w:rsid w:val="00A826D9"/>
    <w:rsid w:val="00A90F29"/>
    <w:rsid w:val="00A919F0"/>
    <w:rsid w:val="00A92719"/>
    <w:rsid w:val="00A92C37"/>
    <w:rsid w:val="00A92F4D"/>
    <w:rsid w:val="00A952AA"/>
    <w:rsid w:val="00A954CF"/>
    <w:rsid w:val="00AA0847"/>
    <w:rsid w:val="00AA1040"/>
    <w:rsid w:val="00AA3EB5"/>
    <w:rsid w:val="00AA6296"/>
    <w:rsid w:val="00AA71EF"/>
    <w:rsid w:val="00AB0478"/>
    <w:rsid w:val="00AB0D75"/>
    <w:rsid w:val="00AB49AD"/>
    <w:rsid w:val="00AB6AA0"/>
    <w:rsid w:val="00AC12ED"/>
    <w:rsid w:val="00AC3381"/>
    <w:rsid w:val="00AC53C1"/>
    <w:rsid w:val="00AC6457"/>
    <w:rsid w:val="00AC71A9"/>
    <w:rsid w:val="00AD329D"/>
    <w:rsid w:val="00AD6AFA"/>
    <w:rsid w:val="00AE0877"/>
    <w:rsid w:val="00AF1060"/>
    <w:rsid w:val="00AF4487"/>
    <w:rsid w:val="00AF613C"/>
    <w:rsid w:val="00AF63F9"/>
    <w:rsid w:val="00B077D6"/>
    <w:rsid w:val="00B17FCF"/>
    <w:rsid w:val="00B20CCC"/>
    <w:rsid w:val="00B22440"/>
    <w:rsid w:val="00B236D8"/>
    <w:rsid w:val="00B27DAD"/>
    <w:rsid w:val="00B27E5D"/>
    <w:rsid w:val="00B304CF"/>
    <w:rsid w:val="00B32032"/>
    <w:rsid w:val="00B33D27"/>
    <w:rsid w:val="00B34788"/>
    <w:rsid w:val="00B364A4"/>
    <w:rsid w:val="00B40924"/>
    <w:rsid w:val="00B44B59"/>
    <w:rsid w:val="00B56105"/>
    <w:rsid w:val="00B570C6"/>
    <w:rsid w:val="00B64C5C"/>
    <w:rsid w:val="00B64ECD"/>
    <w:rsid w:val="00B6622C"/>
    <w:rsid w:val="00B763DA"/>
    <w:rsid w:val="00B8121A"/>
    <w:rsid w:val="00B82EA2"/>
    <w:rsid w:val="00B837BE"/>
    <w:rsid w:val="00B84C42"/>
    <w:rsid w:val="00B90E74"/>
    <w:rsid w:val="00B965D7"/>
    <w:rsid w:val="00BA750D"/>
    <w:rsid w:val="00BB09AB"/>
    <w:rsid w:val="00BB647E"/>
    <w:rsid w:val="00BB7C9A"/>
    <w:rsid w:val="00BD009E"/>
    <w:rsid w:val="00BD2956"/>
    <w:rsid w:val="00BE1297"/>
    <w:rsid w:val="00BE3356"/>
    <w:rsid w:val="00BE5994"/>
    <w:rsid w:val="00BE63CE"/>
    <w:rsid w:val="00BE6557"/>
    <w:rsid w:val="00BF0408"/>
    <w:rsid w:val="00BF0488"/>
    <w:rsid w:val="00C03CB9"/>
    <w:rsid w:val="00C0748C"/>
    <w:rsid w:val="00C1021E"/>
    <w:rsid w:val="00C15851"/>
    <w:rsid w:val="00C16319"/>
    <w:rsid w:val="00C16E64"/>
    <w:rsid w:val="00C16FF9"/>
    <w:rsid w:val="00C17A36"/>
    <w:rsid w:val="00C23706"/>
    <w:rsid w:val="00C30317"/>
    <w:rsid w:val="00C3579C"/>
    <w:rsid w:val="00C40E6A"/>
    <w:rsid w:val="00C43E9D"/>
    <w:rsid w:val="00C4639C"/>
    <w:rsid w:val="00C464A1"/>
    <w:rsid w:val="00C46B0A"/>
    <w:rsid w:val="00C55468"/>
    <w:rsid w:val="00C559C8"/>
    <w:rsid w:val="00C6280D"/>
    <w:rsid w:val="00C7207C"/>
    <w:rsid w:val="00C7292B"/>
    <w:rsid w:val="00C75F32"/>
    <w:rsid w:val="00C7610F"/>
    <w:rsid w:val="00C77577"/>
    <w:rsid w:val="00C87725"/>
    <w:rsid w:val="00C90970"/>
    <w:rsid w:val="00C91908"/>
    <w:rsid w:val="00C91EB6"/>
    <w:rsid w:val="00CA1EE2"/>
    <w:rsid w:val="00CA3055"/>
    <w:rsid w:val="00CA4833"/>
    <w:rsid w:val="00CA6D87"/>
    <w:rsid w:val="00CB43E5"/>
    <w:rsid w:val="00CC1B46"/>
    <w:rsid w:val="00CC26D9"/>
    <w:rsid w:val="00CC30E3"/>
    <w:rsid w:val="00CC3E78"/>
    <w:rsid w:val="00CC5128"/>
    <w:rsid w:val="00CC7E66"/>
    <w:rsid w:val="00CD3BA6"/>
    <w:rsid w:val="00CE3F91"/>
    <w:rsid w:val="00CE4250"/>
    <w:rsid w:val="00CE5061"/>
    <w:rsid w:val="00CE6FC3"/>
    <w:rsid w:val="00CF0558"/>
    <w:rsid w:val="00CF20BB"/>
    <w:rsid w:val="00D0059C"/>
    <w:rsid w:val="00D00FF4"/>
    <w:rsid w:val="00D01EA4"/>
    <w:rsid w:val="00D113E0"/>
    <w:rsid w:val="00D14F05"/>
    <w:rsid w:val="00D16EE0"/>
    <w:rsid w:val="00D226B6"/>
    <w:rsid w:val="00D23D16"/>
    <w:rsid w:val="00D30265"/>
    <w:rsid w:val="00D349C2"/>
    <w:rsid w:val="00D35271"/>
    <w:rsid w:val="00D4105E"/>
    <w:rsid w:val="00D46357"/>
    <w:rsid w:val="00D5088B"/>
    <w:rsid w:val="00D52635"/>
    <w:rsid w:val="00D54658"/>
    <w:rsid w:val="00D56556"/>
    <w:rsid w:val="00D621A3"/>
    <w:rsid w:val="00D65A24"/>
    <w:rsid w:val="00D67AB0"/>
    <w:rsid w:val="00D7223E"/>
    <w:rsid w:val="00DA4A08"/>
    <w:rsid w:val="00DA70F3"/>
    <w:rsid w:val="00DC18E0"/>
    <w:rsid w:val="00DC3D07"/>
    <w:rsid w:val="00DC61A5"/>
    <w:rsid w:val="00DD2250"/>
    <w:rsid w:val="00DD42F1"/>
    <w:rsid w:val="00DD6FED"/>
    <w:rsid w:val="00DF3110"/>
    <w:rsid w:val="00DF734F"/>
    <w:rsid w:val="00DF7C13"/>
    <w:rsid w:val="00E02721"/>
    <w:rsid w:val="00E075B7"/>
    <w:rsid w:val="00E07CC6"/>
    <w:rsid w:val="00E120BE"/>
    <w:rsid w:val="00E13838"/>
    <w:rsid w:val="00E139CA"/>
    <w:rsid w:val="00E14102"/>
    <w:rsid w:val="00E15ADB"/>
    <w:rsid w:val="00E16E55"/>
    <w:rsid w:val="00E31F7E"/>
    <w:rsid w:val="00E3599D"/>
    <w:rsid w:val="00E3675F"/>
    <w:rsid w:val="00E367EA"/>
    <w:rsid w:val="00E473A5"/>
    <w:rsid w:val="00E55099"/>
    <w:rsid w:val="00E60A1A"/>
    <w:rsid w:val="00E61348"/>
    <w:rsid w:val="00E66EBA"/>
    <w:rsid w:val="00E67152"/>
    <w:rsid w:val="00E707DF"/>
    <w:rsid w:val="00E74517"/>
    <w:rsid w:val="00E746E4"/>
    <w:rsid w:val="00E75A10"/>
    <w:rsid w:val="00E87201"/>
    <w:rsid w:val="00E90C6B"/>
    <w:rsid w:val="00E9159F"/>
    <w:rsid w:val="00E937AB"/>
    <w:rsid w:val="00E9506A"/>
    <w:rsid w:val="00E97DBB"/>
    <w:rsid w:val="00EA2540"/>
    <w:rsid w:val="00EA5F83"/>
    <w:rsid w:val="00EA5FB6"/>
    <w:rsid w:val="00EC326A"/>
    <w:rsid w:val="00EC7631"/>
    <w:rsid w:val="00ED4030"/>
    <w:rsid w:val="00ED41D9"/>
    <w:rsid w:val="00EE7823"/>
    <w:rsid w:val="00EF5252"/>
    <w:rsid w:val="00F0018F"/>
    <w:rsid w:val="00F0179C"/>
    <w:rsid w:val="00F02E42"/>
    <w:rsid w:val="00F03A9B"/>
    <w:rsid w:val="00F132DF"/>
    <w:rsid w:val="00F14DE2"/>
    <w:rsid w:val="00F25FD8"/>
    <w:rsid w:val="00F261A0"/>
    <w:rsid w:val="00F26B05"/>
    <w:rsid w:val="00F44C74"/>
    <w:rsid w:val="00F51852"/>
    <w:rsid w:val="00F52344"/>
    <w:rsid w:val="00F53FE5"/>
    <w:rsid w:val="00F54C89"/>
    <w:rsid w:val="00F64F2C"/>
    <w:rsid w:val="00F66860"/>
    <w:rsid w:val="00F70A45"/>
    <w:rsid w:val="00F70BB7"/>
    <w:rsid w:val="00F76F85"/>
    <w:rsid w:val="00F83A87"/>
    <w:rsid w:val="00F9595A"/>
    <w:rsid w:val="00FA1112"/>
    <w:rsid w:val="00FA3D9E"/>
    <w:rsid w:val="00FA4EE1"/>
    <w:rsid w:val="00FA6533"/>
    <w:rsid w:val="00FB3896"/>
    <w:rsid w:val="00FB408B"/>
    <w:rsid w:val="00FC1960"/>
    <w:rsid w:val="00FC5321"/>
    <w:rsid w:val="00FC59A2"/>
    <w:rsid w:val="00FC6A40"/>
    <w:rsid w:val="00FD262B"/>
    <w:rsid w:val="00FD3C06"/>
    <w:rsid w:val="00FD6F98"/>
    <w:rsid w:val="00FF0322"/>
    <w:rsid w:val="00FF07E2"/>
    <w:rsid w:val="00FF0E2E"/>
    <w:rsid w:val="00FF7430"/>
    <w:rsid w:val="00FF7C8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1C7F7F9"/>
  <w15:docId w15:val="{47A515BC-6B66-451E-8FB0-83D3CBEF6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575D5"/>
    <w:rPr>
      <w:rFonts w:ascii="Times New Roman" w:eastAsia="Times New Roman" w:hAnsi="Times New Roman"/>
      <w:sz w:val="24"/>
      <w:szCs w:val="24"/>
    </w:rPr>
  </w:style>
  <w:style w:type="paragraph" w:styleId="1">
    <w:name w:val="heading 1"/>
    <w:basedOn w:val="a"/>
    <w:next w:val="a"/>
    <w:link w:val="10"/>
    <w:uiPriority w:val="9"/>
    <w:qFormat/>
    <w:rsid w:val="00D52635"/>
    <w:pPr>
      <w:keepNext/>
      <w:keepLines/>
      <w:spacing w:before="240"/>
      <w:outlineLvl w:val="0"/>
    </w:pPr>
    <w:rPr>
      <w:rFonts w:ascii="Cambria" w:hAnsi="Cambria"/>
      <w:color w:val="365F91"/>
      <w:sz w:val="32"/>
      <w:szCs w:val="32"/>
    </w:rPr>
  </w:style>
  <w:style w:type="paragraph" w:styleId="2">
    <w:name w:val="heading 2"/>
    <w:basedOn w:val="a"/>
    <w:next w:val="a"/>
    <w:link w:val="20"/>
    <w:uiPriority w:val="9"/>
    <w:unhideWhenUsed/>
    <w:qFormat/>
    <w:rsid w:val="002808C2"/>
    <w:pPr>
      <w:keepNext/>
      <w:keepLines/>
      <w:spacing w:before="40" w:line="259" w:lineRule="auto"/>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E746E4"/>
    <w:pPr>
      <w:keepNext/>
      <w:keepLines/>
      <w:overflowPunct w:val="0"/>
      <w:autoSpaceDE w:val="0"/>
      <w:autoSpaceDN w:val="0"/>
      <w:adjustRightInd w:val="0"/>
      <w:spacing w:before="40"/>
      <w:textAlignment w:val="baseline"/>
      <w:outlineLvl w:val="2"/>
    </w:pPr>
    <w:rPr>
      <w:rFonts w:ascii="Cambria" w:hAnsi="Cambria"/>
      <w:color w:val="243F60"/>
    </w:rPr>
  </w:style>
  <w:style w:type="paragraph" w:styleId="4">
    <w:name w:val="heading 4"/>
    <w:basedOn w:val="a"/>
    <w:next w:val="a"/>
    <w:link w:val="40"/>
    <w:uiPriority w:val="9"/>
    <w:unhideWhenUsed/>
    <w:qFormat/>
    <w:rsid w:val="002808C2"/>
    <w:pPr>
      <w:keepNext/>
      <w:keepLines/>
      <w:spacing w:before="40" w:line="259" w:lineRule="auto"/>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unhideWhenUsed/>
    <w:qFormat/>
    <w:rsid w:val="002808C2"/>
    <w:pPr>
      <w:keepNext/>
      <w:keepLines/>
      <w:overflowPunct w:val="0"/>
      <w:autoSpaceDE w:val="0"/>
      <w:autoSpaceDN w:val="0"/>
      <w:adjustRightInd w:val="0"/>
      <w:spacing w:before="40"/>
      <w:textAlignment w:val="baseline"/>
      <w:outlineLvl w:val="4"/>
    </w:pPr>
    <w:rPr>
      <w:rFonts w:asciiTheme="majorHAnsi" w:eastAsiaTheme="majorEastAsia" w:hAnsiTheme="majorHAnsi" w:cstheme="majorBidi"/>
      <w:color w:val="365F91" w:themeColor="accent1" w:themeShade="BF"/>
      <w:sz w:val="20"/>
      <w:szCs w:val="20"/>
    </w:rPr>
  </w:style>
  <w:style w:type="paragraph" w:styleId="6">
    <w:name w:val="heading 6"/>
    <w:basedOn w:val="a"/>
    <w:next w:val="a"/>
    <w:link w:val="60"/>
    <w:uiPriority w:val="9"/>
    <w:semiHidden/>
    <w:unhideWhenUsed/>
    <w:qFormat/>
    <w:rsid w:val="002808C2"/>
    <w:pPr>
      <w:keepNext/>
      <w:keepLines/>
      <w:overflowPunct w:val="0"/>
      <w:autoSpaceDE w:val="0"/>
      <w:autoSpaceDN w:val="0"/>
      <w:adjustRightInd w:val="0"/>
      <w:spacing w:before="40"/>
      <w:textAlignment w:val="baseline"/>
      <w:outlineLvl w:val="5"/>
    </w:pPr>
    <w:rPr>
      <w:rFonts w:asciiTheme="majorHAnsi" w:eastAsiaTheme="majorEastAsia" w:hAnsiTheme="majorHAnsi" w:cstheme="majorBidi"/>
      <w:color w:val="243F60" w:themeColor="accent1" w:themeShade="7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D52635"/>
    <w:rPr>
      <w:rFonts w:ascii="Cambria" w:eastAsia="Times New Roman" w:hAnsi="Cambria" w:cs="Times New Roman"/>
      <w:color w:val="365F91"/>
      <w:sz w:val="32"/>
      <w:szCs w:val="32"/>
    </w:rPr>
  </w:style>
  <w:style w:type="character" w:customStyle="1" w:styleId="20">
    <w:name w:val="Заголовок 2 Знак"/>
    <w:basedOn w:val="a0"/>
    <w:link w:val="2"/>
    <w:uiPriority w:val="9"/>
    <w:rsid w:val="002808C2"/>
    <w:rPr>
      <w:rFonts w:asciiTheme="majorHAnsi" w:eastAsiaTheme="majorEastAsia" w:hAnsiTheme="majorHAnsi" w:cstheme="majorBidi"/>
      <w:color w:val="365F91" w:themeColor="accent1" w:themeShade="BF"/>
      <w:sz w:val="26"/>
      <w:szCs w:val="26"/>
      <w:lang w:eastAsia="en-US"/>
    </w:rPr>
  </w:style>
  <w:style w:type="character" w:customStyle="1" w:styleId="30">
    <w:name w:val="Заголовок 3 Знак"/>
    <w:link w:val="3"/>
    <w:uiPriority w:val="9"/>
    <w:rsid w:val="00E746E4"/>
    <w:rPr>
      <w:rFonts w:ascii="Cambria" w:eastAsia="Times New Roman" w:hAnsi="Cambria" w:cs="Times New Roman"/>
      <w:color w:val="243F60"/>
      <w:sz w:val="24"/>
      <w:szCs w:val="24"/>
      <w:lang w:eastAsia="ru-RU"/>
    </w:rPr>
  </w:style>
  <w:style w:type="character" w:customStyle="1" w:styleId="40">
    <w:name w:val="Заголовок 4 Знак"/>
    <w:basedOn w:val="a0"/>
    <w:link w:val="4"/>
    <w:uiPriority w:val="9"/>
    <w:rsid w:val="002808C2"/>
    <w:rPr>
      <w:rFonts w:asciiTheme="majorHAnsi" w:eastAsiaTheme="majorEastAsia" w:hAnsiTheme="majorHAnsi" w:cstheme="majorBidi"/>
      <w:i/>
      <w:iCs/>
      <w:color w:val="365F91" w:themeColor="accent1" w:themeShade="BF"/>
      <w:sz w:val="22"/>
      <w:szCs w:val="22"/>
      <w:lang w:eastAsia="en-US"/>
    </w:rPr>
  </w:style>
  <w:style w:type="character" w:customStyle="1" w:styleId="50">
    <w:name w:val="Заголовок 5 Знак"/>
    <w:basedOn w:val="a0"/>
    <w:link w:val="5"/>
    <w:uiPriority w:val="9"/>
    <w:rsid w:val="002808C2"/>
    <w:rPr>
      <w:rFonts w:asciiTheme="majorHAnsi" w:eastAsiaTheme="majorEastAsia" w:hAnsiTheme="majorHAnsi" w:cstheme="majorBidi"/>
      <w:color w:val="365F91" w:themeColor="accent1" w:themeShade="BF"/>
    </w:rPr>
  </w:style>
  <w:style w:type="character" w:customStyle="1" w:styleId="60">
    <w:name w:val="Заголовок 6 Знак"/>
    <w:basedOn w:val="a0"/>
    <w:link w:val="6"/>
    <w:uiPriority w:val="9"/>
    <w:semiHidden/>
    <w:rsid w:val="002808C2"/>
    <w:rPr>
      <w:rFonts w:asciiTheme="majorHAnsi" w:eastAsiaTheme="majorEastAsia" w:hAnsiTheme="majorHAnsi" w:cstheme="majorBidi"/>
      <w:color w:val="243F60" w:themeColor="accent1" w:themeShade="7F"/>
    </w:rPr>
  </w:style>
  <w:style w:type="character" w:styleId="a3">
    <w:name w:val="Strong"/>
    <w:uiPriority w:val="22"/>
    <w:qFormat/>
    <w:rsid w:val="00D4105E"/>
    <w:rPr>
      <w:b/>
      <w:bCs/>
    </w:rPr>
  </w:style>
  <w:style w:type="character" w:styleId="a4">
    <w:name w:val="Hyperlink"/>
    <w:uiPriority w:val="99"/>
    <w:rsid w:val="00D4105E"/>
    <w:rPr>
      <w:color w:val="0000FF"/>
      <w:u w:val="single"/>
    </w:rPr>
  </w:style>
  <w:style w:type="character" w:customStyle="1" w:styleId="11">
    <w:name w:val="С1"/>
    <w:uiPriority w:val="99"/>
    <w:rsid w:val="00D4105E"/>
    <w:rPr>
      <w:b/>
      <w:bCs/>
    </w:rPr>
  </w:style>
  <w:style w:type="character" w:customStyle="1" w:styleId="a5">
    <w:name w:val="В"/>
    <w:uiPriority w:val="99"/>
    <w:rsid w:val="00D4105E"/>
    <w:rPr>
      <w:i/>
      <w:iCs/>
    </w:rPr>
  </w:style>
  <w:style w:type="character" w:styleId="a6">
    <w:name w:val="Emphasis"/>
    <w:uiPriority w:val="20"/>
    <w:qFormat/>
    <w:rsid w:val="00D4105E"/>
    <w:rPr>
      <w:i/>
      <w:iCs/>
    </w:rPr>
  </w:style>
  <w:style w:type="paragraph" w:styleId="a7">
    <w:name w:val="Body Text"/>
    <w:basedOn w:val="a"/>
    <w:link w:val="a8"/>
    <w:uiPriority w:val="99"/>
    <w:rsid w:val="00D4105E"/>
    <w:pPr>
      <w:widowControl w:val="0"/>
      <w:autoSpaceDE w:val="0"/>
      <w:autoSpaceDN w:val="0"/>
      <w:adjustRightInd w:val="0"/>
      <w:jc w:val="both"/>
    </w:pPr>
    <w:rPr>
      <w:sz w:val="20"/>
      <w:szCs w:val="20"/>
      <w:lang w:val="en-US"/>
    </w:rPr>
  </w:style>
  <w:style w:type="character" w:customStyle="1" w:styleId="a8">
    <w:name w:val="Основной текст Знак"/>
    <w:link w:val="a7"/>
    <w:uiPriority w:val="99"/>
    <w:rsid w:val="00D4105E"/>
    <w:rPr>
      <w:rFonts w:ascii="Times New Roman" w:hAnsi="Times New Roman" w:cs="Times New Roman"/>
      <w:sz w:val="20"/>
      <w:szCs w:val="20"/>
      <w:lang w:val="en-US"/>
    </w:rPr>
  </w:style>
  <w:style w:type="paragraph" w:customStyle="1" w:styleId="a9">
    <w:name w:val="п"/>
    <w:uiPriority w:val="99"/>
    <w:rsid w:val="00D4105E"/>
    <w:pPr>
      <w:autoSpaceDE w:val="0"/>
      <w:autoSpaceDN w:val="0"/>
      <w:adjustRightInd w:val="0"/>
    </w:pPr>
    <w:rPr>
      <w:rFonts w:ascii="Times New Roman" w:hAnsi="Times New Roman"/>
      <w:i/>
      <w:iCs/>
      <w:spacing w:val="-1"/>
      <w:kern w:val="65535"/>
      <w:position w:val="-1"/>
      <w:sz w:val="24"/>
      <w:szCs w:val="24"/>
      <w:lang w:eastAsia="en-US"/>
    </w:rPr>
  </w:style>
  <w:style w:type="paragraph" w:customStyle="1" w:styleId="DefinitionList">
    <w:name w:val="Definition List"/>
    <w:basedOn w:val="a"/>
    <w:next w:val="a"/>
    <w:uiPriority w:val="99"/>
    <w:rsid w:val="00D4105E"/>
    <w:pPr>
      <w:autoSpaceDE w:val="0"/>
      <w:autoSpaceDN w:val="0"/>
      <w:adjustRightInd w:val="0"/>
      <w:ind w:left="360"/>
    </w:pPr>
  </w:style>
  <w:style w:type="paragraph" w:styleId="21">
    <w:name w:val="Body Text 2"/>
    <w:basedOn w:val="a"/>
    <w:link w:val="22"/>
    <w:uiPriority w:val="99"/>
    <w:rsid w:val="00D4105E"/>
    <w:pPr>
      <w:widowControl w:val="0"/>
      <w:autoSpaceDE w:val="0"/>
      <w:autoSpaceDN w:val="0"/>
      <w:adjustRightInd w:val="0"/>
      <w:jc w:val="both"/>
    </w:pPr>
    <w:rPr>
      <w:sz w:val="16"/>
      <w:szCs w:val="16"/>
    </w:rPr>
  </w:style>
  <w:style w:type="character" w:customStyle="1" w:styleId="22">
    <w:name w:val="Основной текст 2 Знак"/>
    <w:link w:val="21"/>
    <w:uiPriority w:val="99"/>
    <w:rsid w:val="00D4105E"/>
    <w:rPr>
      <w:rFonts w:ascii="Times New Roman" w:hAnsi="Times New Roman" w:cs="Times New Roman"/>
      <w:sz w:val="16"/>
      <w:szCs w:val="16"/>
    </w:rPr>
  </w:style>
  <w:style w:type="paragraph" w:styleId="aa">
    <w:name w:val="Plain Text"/>
    <w:basedOn w:val="a"/>
    <w:link w:val="ab"/>
    <w:uiPriority w:val="99"/>
    <w:rsid w:val="00D4105E"/>
    <w:pPr>
      <w:widowControl w:val="0"/>
      <w:autoSpaceDE w:val="0"/>
      <w:autoSpaceDN w:val="0"/>
      <w:adjustRightInd w:val="0"/>
    </w:pPr>
    <w:rPr>
      <w:rFonts w:ascii="Courier New" w:hAnsi="Courier New" w:cs="Courier New"/>
      <w:sz w:val="20"/>
      <w:szCs w:val="20"/>
      <w:lang w:val="en-AU"/>
    </w:rPr>
  </w:style>
  <w:style w:type="character" w:customStyle="1" w:styleId="ab">
    <w:name w:val="Текст Знак"/>
    <w:link w:val="aa"/>
    <w:uiPriority w:val="99"/>
    <w:rsid w:val="00D4105E"/>
    <w:rPr>
      <w:rFonts w:ascii="Courier New" w:hAnsi="Courier New" w:cs="Courier New"/>
      <w:sz w:val="20"/>
      <w:szCs w:val="20"/>
      <w:lang w:val="en-AU"/>
    </w:rPr>
  </w:style>
  <w:style w:type="paragraph" w:styleId="31">
    <w:name w:val="Body Text 3"/>
    <w:basedOn w:val="a"/>
    <w:link w:val="32"/>
    <w:uiPriority w:val="99"/>
    <w:rsid w:val="00D4105E"/>
    <w:pPr>
      <w:widowControl w:val="0"/>
      <w:autoSpaceDE w:val="0"/>
      <w:autoSpaceDN w:val="0"/>
      <w:adjustRightInd w:val="0"/>
      <w:jc w:val="center"/>
    </w:pPr>
    <w:rPr>
      <w:sz w:val="16"/>
      <w:szCs w:val="16"/>
    </w:rPr>
  </w:style>
  <w:style w:type="character" w:customStyle="1" w:styleId="32">
    <w:name w:val="Основной текст 3 Знак"/>
    <w:link w:val="31"/>
    <w:uiPriority w:val="99"/>
    <w:rsid w:val="00D4105E"/>
    <w:rPr>
      <w:rFonts w:ascii="Times New Roman" w:hAnsi="Times New Roman" w:cs="Times New Roman"/>
      <w:sz w:val="16"/>
      <w:szCs w:val="16"/>
    </w:rPr>
  </w:style>
  <w:style w:type="paragraph" w:customStyle="1" w:styleId="ac">
    <w:name w:val="Ц"/>
    <w:basedOn w:val="a"/>
    <w:uiPriority w:val="99"/>
    <w:rsid w:val="00D4105E"/>
    <w:pPr>
      <w:autoSpaceDE w:val="0"/>
      <w:autoSpaceDN w:val="0"/>
      <w:adjustRightInd w:val="0"/>
      <w:spacing w:before="100" w:after="100"/>
      <w:ind w:left="360" w:right="360"/>
    </w:pPr>
  </w:style>
  <w:style w:type="paragraph" w:customStyle="1" w:styleId="Blockquote">
    <w:name w:val="Blockquote"/>
    <w:basedOn w:val="a"/>
    <w:uiPriority w:val="99"/>
    <w:rsid w:val="00D4105E"/>
    <w:pPr>
      <w:widowControl w:val="0"/>
      <w:autoSpaceDE w:val="0"/>
      <w:autoSpaceDN w:val="0"/>
      <w:adjustRightInd w:val="0"/>
      <w:spacing w:before="100" w:after="100"/>
      <w:ind w:left="360" w:right="360"/>
    </w:pPr>
    <w:rPr>
      <w:lang w:val="en-AU"/>
    </w:rPr>
  </w:style>
  <w:style w:type="paragraph" w:customStyle="1" w:styleId="Iauiue">
    <w:name w:val="Iau?iue"/>
    <w:uiPriority w:val="99"/>
    <w:rsid w:val="00D4105E"/>
    <w:pPr>
      <w:widowControl w:val="0"/>
      <w:autoSpaceDE w:val="0"/>
      <w:autoSpaceDN w:val="0"/>
      <w:adjustRightInd w:val="0"/>
    </w:pPr>
    <w:rPr>
      <w:rFonts w:ascii="Times New Roman" w:hAnsi="Times New Roman"/>
      <w:lang w:eastAsia="en-US"/>
    </w:rPr>
  </w:style>
  <w:style w:type="paragraph" w:customStyle="1" w:styleId="H1">
    <w:name w:val="H1"/>
    <w:basedOn w:val="a"/>
    <w:next w:val="a"/>
    <w:uiPriority w:val="99"/>
    <w:rsid w:val="00D4105E"/>
    <w:pPr>
      <w:keepNext/>
      <w:autoSpaceDE w:val="0"/>
      <w:autoSpaceDN w:val="0"/>
      <w:adjustRightInd w:val="0"/>
      <w:spacing w:before="100" w:after="100"/>
    </w:pPr>
    <w:rPr>
      <w:b/>
      <w:bCs/>
      <w:kern w:val="36"/>
      <w:sz w:val="48"/>
      <w:szCs w:val="48"/>
    </w:rPr>
  </w:style>
  <w:style w:type="paragraph" w:styleId="ad">
    <w:name w:val="Normal (Web)"/>
    <w:basedOn w:val="a"/>
    <w:uiPriority w:val="99"/>
    <w:rsid w:val="00D4105E"/>
    <w:pPr>
      <w:autoSpaceDE w:val="0"/>
      <w:autoSpaceDN w:val="0"/>
      <w:adjustRightInd w:val="0"/>
      <w:spacing w:before="100" w:after="100"/>
      <w:jc w:val="both"/>
    </w:pPr>
    <w:rPr>
      <w:rFonts w:ascii="Verdana" w:hAnsi="Verdana" w:cs="Verdana"/>
      <w:sz w:val="17"/>
      <w:szCs w:val="17"/>
      <w:lang w:val="pl-PL"/>
    </w:rPr>
  </w:style>
  <w:style w:type="paragraph" w:customStyle="1" w:styleId="Default">
    <w:name w:val="Default"/>
    <w:rsid w:val="00D4105E"/>
    <w:pPr>
      <w:autoSpaceDE w:val="0"/>
      <w:autoSpaceDN w:val="0"/>
      <w:adjustRightInd w:val="0"/>
    </w:pPr>
    <w:rPr>
      <w:rFonts w:ascii="Times New Roman" w:hAnsi="Times New Roman"/>
      <w:color w:val="000000"/>
      <w:sz w:val="24"/>
      <w:szCs w:val="24"/>
      <w:lang w:eastAsia="en-US"/>
    </w:rPr>
  </w:style>
  <w:style w:type="paragraph" w:customStyle="1" w:styleId="110">
    <w:name w:val="Основной текст (11)"/>
    <w:basedOn w:val="a"/>
    <w:link w:val="111"/>
    <w:uiPriority w:val="99"/>
    <w:rsid w:val="005259F6"/>
    <w:pPr>
      <w:shd w:val="clear" w:color="auto" w:fill="FFFFFF"/>
      <w:overflowPunct w:val="0"/>
      <w:autoSpaceDE w:val="0"/>
      <w:autoSpaceDN w:val="0"/>
      <w:adjustRightInd w:val="0"/>
      <w:spacing w:line="240" w:lineRule="atLeast"/>
      <w:textAlignment w:val="baseline"/>
    </w:pPr>
    <w:rPr>
      <w:rFonts w:ascii="Arial" w:hAnsi="Arial"/>
      <w:sz w:val="36"/>
      <w:szCs w:val="20"/>
    </w:rPr>
  </w:style>
  <w:style w:type="character" w:customStyle="1" w:styleId="111">
    <w:name w:val="Основной текст (11)_"/>
    <w:basedOn w:val="a0"/>
    <w:link w:val="110"/>
    <w:uiPriority w:val="99"/>
    <w:rsid w:val="002808C2"/>
    <w:rPr>
      <w:rFonts w:ascii="Arial" w:eastAsia="Times New Roman" w:hAnsi="Arial"/>
      <w:sz w:val="36"/>
      <w:shd w:val="clear" w:color="auto" w:fill="FFFFFF"/>
    </w:rPr>
  </w:style>
  <w:style w:type="paragraph" w:customStyle="1" w:styleId="8">
    <w:name w:val="Основной текст8"/>
    <w:basedOn w:val="a"/>
    <w:rsid w:val="005F44AE"/>
    <w:pPr>
      <w:shd w:val="clear" w:color="auto" w:fill="FFFFFF"/>
      <w:overflowPunct w:val="0"/>
      <w:autoSpaceDE w:val="0"/>
      <w:autoSpaceDN w:val="0"/>
      <w:adjustRightInd w:val="0"/>
      <w:spacing w:after="480" w:line="240" w:lineRule="atLeast"/>
      <w:ind w:hanging="460"/>
      <w:textAlignment w:val="baseline"/>
    </w:pPr>
    <w:rPr>
      <w:rFonts w:ascii="Arial" w:hAnsi="Arial"/>
      <w:sz w:val="26"/>
      <w:szCs w:val="20"/>
    </w:rPr>
  </w:style>
  <w:style w:type="paragraph" w:customStyle="1" w:styleId="rtejustify">
    <w:name w:val="rtejustify"/>
    <w:basedOn w:val="a"/>
    <w:rsid w:val="00D52635"/>
    <w:pPr>
      <w:overflowPunct w:val="0"/>
      <w:autoSpaceDE w:val="0"/>
      <w:autoSpaceDN w:val="0"/>
      <w:adjustRightInd w:val="0"/>
      <w:spacing w:before="120" w:after="216"/>
      <w:jc w:val="both"/>
      <w:textAlignment w:val="baseline"/>
    </w:pPr>
    <w:rPr>
      <w:szCs w:val="20"/>
    </w:rPr>
  </w:style>
  <w:style w:type="paragraph" w:customStyle="1" w:styleId="rteindent1">
    <w:name w:val="rteindent1"/>
    <w:basedOn w:val="a"/>
    <w:rsid w:val="00D52635"/>
    <w:pPr>
      <w:spacing w:before="120" w:after="216"/>
      <w:ind w:left="349"/>
    </w:pPr>
  </w:style>
  <w:style w:type="character" w:customStyle="1" w:styleId="ae">
    <w:name w:val="Основной текст + Курсив"/>
    <w:aliases w:val="Интервал 0 pt59"/>
    <w:uiPriority w:val="99"/>
    <w:rsid w:val="003F2AAE"/>
    <w:rPr>
      <w:rFonts w:ascii="Arial Narrow" w:hAnsi="Arial Narrow"/>
      <w:i/>
      <w:spacing w:val="0"/>
      <w:sz w:val="15"/>
    </w:rPr>
  </w:style>
  <w:style w:type="paragraph" w:customStyle="1" w:styleId="51">
    <w:name w:val="Основной текст (5)"/>
    <w:basedOn w:val="a"/>
    <w:uiPriority w:val="99"/>
    <w:rsid w:val="003F2AAE"/>
    <w:pPr>
      <w:shd w:val="clear" w:color="auto" w:fill="FFFFFF"/>
      <w:overflowPunct w:val="0"/>
      <w:autoSpaceDE w:val="0"/>
      <w:autoSpaceDN w:val="0"/>
      <w:adjustRightInd w:val="0"/>
      <w:spacing w:line="240" w:lineRule="atLeast"/>
      <w:ind w:hanging="480"/>
      <w:textAlignment w:val="baseline"/>
    </w:pPr>
    <w:rPr>
      <w:rFonts w:ascii="Arial" w:hAnsi="Arial"/>
      <w:spacing w:val="-10"/>
      <w:sz w:val="26"/>
      <w:szCs w:val="20"/>
    </w:rPr>
  </w:style>
  <w:style w:type="paragraph" w:customStyle="1" w:styleId="7">
    <w:name w:val="Основной текст7"/>
    <w:basedOn w:val="a"/>
    <w:rsid w:val="003F2AAE"/>
    <w:pPr>
      <w:shd w:val="clear" w:color="auto" w:fill="FFFFFF"/>
      <w:overflowPunct w:val="0"/>
      <w:autoSpaceDE w:val="0"/>
      <w:autoSpaceDN w:val="0"/>
      <w:adjustRightInd w:val="0"/>
      <w:spacing w:line="240" w:lineRule="atLeast"/>
      <w:ind w:hanging="2640"/>
      <w:textAlignment w:val="baseline"/>
    </w:pPr>
    <w:rPr>
      <w:rFonts w:ascii="Arial Narrow" w:hAnsi="Arial Narrow"/>
      <w:color w:val="000000"/>
      <w:sz w:val="15"/>
      <w:szCs w:val="20"/>
    </w:rPr>
  </w:style>
  <w:style w:type="paragraph" w:customStyle="1" w:styleId="61">
    <w:name w:val="Основной текст (6)"/>
    <w:basedOn w:val="a"/>
    <w:link w:val="62"/>
    <w:rsid w:val="003F2AAE"/>
    <w:pPr>
      <w:shd w:val="clear" w:color="auto" w:fill="FFFFFF"/>
      <w:overflowPunct w:val="0"/>
      <w:autoSpaceDE w:val="0"/>
      <w:autoSpaceDN w:val="0"/>
      <w:adjustRightInd w:val="0"/>
      <w:spacing w:before="4980" w:line="252" w:lineRule="exact"/>
      <w:jc w:val="both"/>
      <w:textAlignment w:val="baseline"/>
    </w:pPr>
    <w:rPr>
      <w:szCs w:val="20"/>
    </w:rPr>
  </w:style>
  <w:style w:type="character" w:customStyle="1" w:styleId="62">
    <w:name w:val="Основной текст (6)_"/>
    <w:link w:val="61"/>
    <w:rsid w:val="003F2AAE"/>
    <w:rPr>
      <w:rFonts w:ascii="Calibri" w:eastAsia="Times New Roman" w:hAnsi="Calibri" w:cs="Times New Roman"/>
      <w:sz w:val="24"/>
      <w:szCs w:val="20"/>
      <w:shd w:val="clear" w:color="auto" w:fill="FFFFFF"/>
      <w:lang w:eastAsia="ru-RU"/>
    </w:rPr>
  </w:style>
  <w:style w:type="character" w:customStyle="1" w:styleId="68pt">
    <w:name w:val="Основной текст (6) + 8 pt"/>
    <w:aliases w:val="Интервал 1 pt,Основной текст (4) + 10 pt,Не курсив"/>
    <w:rsid w:val="003F2AAE"/>
    <w:rPr>
      <w:rFonts w:ascii="Arial Narrow" w:eastAsia="Microsoft Sans Serif" w:hAnsi="Arial Narrow" w:cs="Arial Narrow"/>
      <w:i/>
      <w:iCs/>
      <w:spacing w:val="30"/>
      <w:sz w:val="16"/>
      <w:szCs w:val="16"/>
      <w:shd w:val="clear" w:color="auto" w:fill="FFFFFF"/>
      <w:lang w:eastAsia="ru-RU"/>
    </w:rPr>
  </w:style>
  <w:style w:type="character" w:customStyle="1" w:styleId="100">
    <w:name w:val="Основной текст + Курсив10"/>
    <w:uiPriority w:val="99"/>
    <w:rsid w:val="003F2AAE"/>
    <w:rPr>
      <w:rFonts w:ascii="Arial Narrow" w:hAnsi="Arial Narrow" w:cs="Arial Narrow"/>
      <w:i/>
      <w:iCs/>
      <w:spacing w:val="0"/>
      <w:sz w:val="17"/>
      <w:szCs w:val="17"/>
    </w:rPr>
  </w:style>
  <w:style w:type="character" w:customStyle="1" w:styleId="9pt">
    <w:name w:val="Основной текст + 9 pt"/>
    <w:aliases w:val="Полужирный5,Курсив,Интервал -1 pt2"/>
    <w:uiPriority w:val="99"/>
    <w:rsid w:val="00B33D27"/>
    <w:rPr>
      <w:rFonts w:ascii="Times New Roman" w:hAnsi="Times New Roman"/>
      <w:smallCaps/>
      <w:spacing w:val="-10"/>
      <w:sz w:val="18"/>
    </w:rPr>
  </w:style>
  <w:style w:type="paragraph" w:customStyle="1" w:styleId="rtecenter">
    <w:name w:val="rtecenter"/>
    <w:basedOn w:val="a"/>
    <w:rsid w:val="00647F1E"/>
    <w:pPr>
      <w:spacing w:before="120" w:after="216"/>
      <w:jc w:val="center"/>
    </w:pPr>
  </w:style>
  <w:style w:type="paragraph" w:customStyle="1" w:styleId="rteright">
    <w:name w:val="rteright"/>
    <w:basedOn w:val="a"/>
    <w:rsid w:val="006161A5"/>
    <w:pPr>
      <w:overflowPunct w:val="0"/>
      <w:autoSpaceDE w:val="0"/>
      <w:autoSpaceDN w:val="0"/>
      <w:adjustRightInd w:val="0"/>
      <w:spacing w:before="120" w:after="216"/>
      <w:jc w:val="right"/>
      <w:textAlignment w:val="baseline"/>
    </w:pPr>
    <w:rPr>
      <w:szCs w:val="20"/>
    </w:rPr>
  </w:style>
  <w:style w:type="character" w:customStyle="1" w:styleId="52">
    <w:name w:val="Основной текст (5)_"/>
    <w:uiPriority w:val="99"/>
    <w:rsid w:val="004428EE"/>
    <w:rPr>
      <w:rFonts w:ascii="Arial" w:hAnsi="Arial"/>
      <w:spacing w:val="-10"/>
      <w:sz w:val="26"/>
    </w:rPr>
  </w:style>
  <w:style w:type="character" w:customStyle="1" w:styleId="12">
    <w:name w:val="Слабое выделение1"/>
    <w:rsid w:val="004428EE"/>
    <w:rPr>
      <w:i/>
      <w:color w:val="808080"/>
    </w:rPr>
  </w:style>
  <w:style w:type="character" w:customStyle="1" w:styleId="apple-style-span">
    <w:name w:val="apple-style-span"/>
    <w:basedOn w:val="a0"/>
    <w:rsid w:val="00A45C9C"/>
  </w:style>
  <w:style w:type="character" w:customStyle="1" w:styleId="msgbodytext">
    <w:name w:val="msgbodytext"/>
    <w:basedOn w:val="a0"/>
    <w:rsid w:val="00A45C9C"/>
  </w:style>
  <w:style w:type="table" w:styleId="af">
    <w:name w:val="Table Grid"/>
    <w:basedOn w:val="a1"/>
    <w:uiPriority w:val="39"/>
    <w:rsid w:val="009B09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Основной текст + Курсив4"/>
    <w:uiPriority w:val="99"/>
    <w:rsid w:val="0063005B"/>
    <w:rPr>
      <w:rFonts w:ascii="Arial Narrow" w:hAnsi="Arial Narrow" w:cs="Arial Narrow"/>
      <w:i/>
      <w:iCs/>
      <w:spacing w:val="0"/>
      <w:sz w:val="17"/>
      <w:szCs w:val="17"/>
    </w:rPr>
  </w:style>
  <w:style w:type="character" w:customStyle="1" w:styleId="66">
    <w:name w:val="Основной текст (6) + Не курсив6"/>
    <w:uiPriority w:val="99"/>
    <w:rsid w:val="0063005B"/>
    <w:rPr>
      <w:rFonts w:ascii="Arial Narrow" w:eastAsia="Times New Roman" w:hAnsi="Arial Narrow" w:cs="Arial Narrow"/>
      <w:i w:val="0"/>
      <w:iCs w:val="0"/>
      <w:spacing w:val="0"/>
      <w:sz w:val="17"/>
      <w:szCs w:val="17"/>
      <w:shd w:val="clear" w:color="auto" w:fill="FFFFFF"/>
      <w:lang w:eastAsia="ru-RU"/>
    </w:rPr>
  </w:style>
  <w:style w:type="paragraph" w:customStyle="1" w:styleId="42">
    <w:name w:val="Основной текст4"/>
    <w:basedOn w:val="a"/>
    <w:rsid w:val="0063005B"/>
    <w:pPr>
      <w:shd w:val="clear" w:color="auto" w:fill="FFFFFF"/>
      <w:autoSpaceDE w:val="0"/>
      <w:autoSpaceDN w:val="0"/>
      <w:adjustRightInd w:val="0"/>
      <w:spacing w:line="362" w:lineRule="exact"/>
      <w:ind w:hanging="1180"/>
    </w:pPr>
    <w:rPr>
      <w:rFonts w:ascii="Franklin Gothic Medium" w:hAnsi="Franklin Gothic Medium" w:cs="Franklin Gothic Medium"/>
      <w:sz w:val="20"/>
      <w:szCs w:val="20"/>
    </w:rPr>
  </w:style>
  <w:style w:type="character" w:customStyle="1" w:styleId="112">
    <w:name w:val="Основной текст (11) + Не курсив"/>
    <w:rsid w:val="00872260"/>
    <w:rPr>
      <w:rFonts w:ascii="Times New Roman" w:eastAsia="Times New Roman" w:hAnsi="Times New Roman" w:cs="Times New Roman"/>
      <w:b w:val="0"/>
      <w:bCs w:val="0"/>
      <w:i/>
      <w:iCs/>
      <w:smallCaps w:val="0"/>
      <w:strike w:val="0"/>
      <w:spacing w:val="0"/>
      <w:sz w:val="17"/>
      <w:szCs w:val="17"/>
    </w:rPr>
  </w:style>
  <w:style w:type="character" w:customStyle="1" w:styleId="23">
    <w:name w:val="Основной текст (2) + Не курсив"/>
    <w:uiPriority w:val="99"/>
    <w:rsid w:val="00872260"/>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65">
    <w:name w:val="Основной текст (6) + Не курсив5"/>
    <w:uiPriority w:val="99"/>
    <w:rsid w:val="00872260"/>
    <w:rPr>
      <w:rFonts w:ascii="Arial Narrow" w:eastAsia="Times New Roman" w:hAnsi="Arial Narrow" w:cs="Arial Narrow"/>
      <w:i w:val="0"/>
      <w:iCs w:val="0"/>
      <w:spacing w:val="0"/>
      <w:sz w:val="17"/>
      <w:szCs w:val="17"/>
      <w:shd w:val="clear" w:color="auto" w:fill="FFFFFF"/>
      <w:lang w:eastAsia="ru-RU"/>
    </w:rPr>
  </w:style>
  <w:style w:type="character" w:customStyle="1" w:styleId="70">
    <w:name w:val="Основной текст (7)_"/>
    <w:link w:val="71"/>
    <w:rsid w:val="00872260"/>
    <w:rPr>
      <w:rFonts w:ascii="Arial Narrow" w:eastAsia="Arial Narrow" w:hAnsi="Arial Narrow" w:cs="Arial Narrow"/>
      <w:spacing w:val="-30"/>
      <w:sz w:val="25"/>
      <w:szCs w:val="25"/>
      <w:shd w:val="clear" w:color="auto" w:fill="FFFFFF"/>
    </w:rPr>
  </w:style>
  <w:style w:type="paragraph" w:customStyle="1" w:styleId="71">
    <w:name w:val="Основной текст (7)"/>
    <w:basedOn w:val="a"/>
    <w:link w:val="70"/>
    <w:rsid w:val="00872260"/>
    <w:pPr>
      <w:shd w:val="clear" w:color="auto" w:fill="FFFFFF"/>
      <w:spacing w:line="0" w:lineRule="atLeast"/>
    </w:pPr>
    <w:rPr>
      <w:rFonts w:ascii="Arial Narrow" w:eastAsia="Arial Narrow" w:hAnsi="Arial Narrow" w:cs="Arial Narrow"/>
      <w:spacing w:val="-30"/>
      <w:sz w:val="25"/>
      <w:szCs w:val="25"/>
    </w:rPr>
  </w:style>
  <w:style w:type="character" w:customStyle="1" w:styleId="75pt">
    <w:name w:val="Основной текст + 7;5 pt"/>
    <w:rsid w:val="00872260"/>
    <w:rPr>
      <w:rFonts w:ascii="Times New Roman" w:eastAsia="Times New Roman" w:hAnsi="Times New Roman" w:cs="Times New Roman"/>
      <w:b w:val="0"/>
      <w:bCs w:val="0"/>
      <w:i w:val="0"/>
      <w:iCs w:val="0"/>
      <w:smallCaps w:val="0"/>
      <w:strike w:val="0"/>
      <w:spacing w:val="0"/>
      <w:sz w:val="15"/>
      <w:szCs w:val="15"/>
    </w:rPr>
  </w:style>
  <w:style w:type="paragraph" w:customStyle="1" w:styleId="heading3">
    <w:name w:val="heading3"/>
    <w:basedOn w:val="a"/>
    <w:rsid w:val="002808C2"/>
    <w:pPr>
      <w:spacing w:before="180" w:after="180"/>
      <w:jc w:val="center"/>
    </w:pPr>
    <w:rPr>
      <w:rFonts w:ascii="Arial" w:hAnsi="Arial" w:cs="Arial"/>
      <w:b/>
      <w:bCs/>
      <w:color w:val="000000"/>
    </w:rPr>
  </w:style>
  <w:style w:type="paragraph" w:customStyle="1" w:styleId="heading4">
    <w:name w:val="heading4"/>
    <w:basedOn w:val="a"/>
    <w:rsid w:val="002808C2"/>
    <w:pPr>
      <w:ind w:firstLine="480"/>
      <w:jc w:val="both"/>
    </w:pPr>
    <w:rPr>
      <w:b/>
      <w:bCs/>
      <w:color w:val="B52D23"/>
    </w:rPr>
  </w:style>
  <w:style w:type="paragraph" w:customStyle="1" w:styleId="13">
    <w:name w:val="Обычный1"/>
    <w:basedOn w:val="a"/>
    <w:rsid w:val="002808C2"/>
    <w:pPr>
      <w:ind w:firstLine="480"/>
      <w:jc w:val="both"/>
    </w:pPr>
    <w:rPr>
      <w:color w:val="000000"/>
    </w:rPr>
  </w:style>
  <w:style w:type="character" w:customStyle="1" w:styleId="ucoz-forum-post">
    <w:name w:val="ucoz-forum-post"/>
    <w:basedOn w:val="a0"/>
    <w:rsid w:val="002808C2"/>
  </w:style>
  <w:style w:type="character" w:customStyle="1" w:styleId="selected1">
    <w:name w:val="selected1"/>
    <w:basedOn w:val="a0"/>
    <w:rsid w:val="002808C2"/>
    <w:rPr>
      <w:color w:val="05A505"/>
    </w:rPr>
  </w:style>
  <w:style w:type="paragraph" w:customStyle="1" w:styleId="book">
    <w:name w:val="book"/>
    <w:basedOn w:val="a"/>
    <w:rsid w:val="002808C2"/>
    <w:pPr>
      <w:ind w:firstLine="300"/>
    </w:pPr>
  </w:style>
  <w:style w:type="character" w:customStyle="1" w:styleId="af0">
    <w:name w:val="Основной текст_"/>
    <w:basedOn w:val="a0"/>
    <w:link w:val="24"/>
    <w:rsid w:val="002808C2"/>
    <w:rPr>
      <w:rFonts w:ascii="Times New Roman" w:eastAsia="Times New Roman" w:hAnsi="Times New Roman"/>
      <w:sz w:val="18"/>
      <w:szCs w:val="18"/>
      <w:shd w:val="clear" w:color="auto" w:fill="FFFFFF"/>
    </w:rPr>
  </w:style>
  <w:style w:type="paragraph" w:customStyle="1" w:styleId="24">
    <w:name w:val="Основной текст2"/>
    <w:basedOn w:val="a"/>
    <w:link w:val="af0"/>
    <w:rsid w:val="002808C2"/>
    <w:pPr>
      <w:shd w:val="clear" w:color="auto" w:fill="FFFFFF"/>
      <w:spacing w:after="120" w:line="0" w:lineRule="atLeast"/>
      <w:ind w:hanging="400"/>
      <w:jc w:val="center"/>
    </w:pPr>
    <w:rPr>
      <w:sz w:val="18"/>
      <w:szCs w:val="18"/>
    </w:rPr>
  </w:style>
  <w:style w:type="character" w:customStyle="1" w:styleId="ArialUnicodeMS7pt0pt">
    <w:name w:val="Основной текст + Arial Unicode MS;7 pt;Полужирный;Курсив;Интервал 0 pt"/>
    <w:basedOn w:val="af0"/>
    <w:rsid w:val="002808C2"/>
    <w:rPr>
      <w:rFonts w:ascii="Arial Unicode MS" w:eastAsia="Arial Unicode MS" w:hAnsi="Arial Unicode MS" w:cs="Arial Unicode MS"/>
      <w:b/>
      <w:bCs/>
      <w:i/>
      <w:iCs/>
      <w:smallCaps w:val="0"/>
      <w:strike w:val="0"/>
      <w:spacing w:val="10"/>
      <w:sz w:val="14"/>
      <w:szCs w:val="14"/>
      <w:shd w:val="clear" w:color="auto" w:fill="FFFFFF"/>
    </w:rPr>
  </w:style>
  <w:style w:type="character" w:customStyle="1" w:styleId="130">
    <w:name w:val="Основной текст (13)_"/>
    <w:basedOn w:val="a0"/>
    <w:link w:val="131"/>
    <w:uiPriority w:val="99"/>
    <w:rsid w:val="002808C2"/>
    <w:rPr>
      <w:rFonts w:ascii="Times New Roman" w:eastAsia="Times New Roman" w:hAnsi="Times New Roman"/>
      <w:sz w:val="26"/>
      <w:szCs w:val="26"/>
      <w:shd w:val="clear" w:color="auto" w:fill="FFFFFF"/>
      <w:lang w:val="en-US"/>
    </w:rPr>
  </w:style>
  <w:style w:type="paragraph" w:customStyle="1" w:styleId="131">
    <w:name w:val="Основной текст (13)"/>
    <w:basedOn w:val="a"/>
    <w:link w:val="130"/>
    <w:uiPriority w:val="99"/>
    <w:rsid w:val="002808C2"/>
    <w:pPr>
      <w:shd w:val="clear" w:color="auto" w:fill="FFFFFF"/>
      <w:spacing w:before="120" w:line="0" w:lineRule="atLeast"/>
    </w:pPr>
    <w:rPr>
      <w:sz w:val="26"/>
      <w:szCs w:val="26"/>
      <w:lang w:val="en-US"/>
    </w:rPr>
  </w:style>
  <w:style w:type="paragraph" w:customStyle="1" w:styleId="rteindent11">
    <w:name w:val="rteindent11"/>
    <w:basedOn w:val="a"/>
    <w:rsid w:val="002808C2"/>
    <w:pPr>
      <w:spacing w:before="100" w:beforeAutospacing="1" w:after="150"/>
      <w:ind w:left="600" w:firstLine="300"/>
      <w:jc w:val="both"/>
    </w:pPr>
  </w:style>
  <w:style w:type="character" w:customStyle="1" w:styleId="HTML">
    <w:name w:val="Стандартный HTML Знак"/>
    <w:basedOn w:val="a0"/>
    <w:link w:val="HTML0"/>
    <w:uiPriority w:val="99"/>
    <w:semiHidden/>
    <w:rsid w:val="002808C2"/>
    <w:rPr>
      <w:rFonts w:ascii="Courier New" w:eastAsia="Times New Roman" w:hAnsi="Courier New" w:cs="Courier New"/>
      <w:sz w:val="24"/>
      <w:szCs w:val="24"/>
    </w:rPr>
  </w:style>
  <w:style w:type="paragraph" w:styleId="HTML0">
    <w:name w:val="HTML Preformatted"/>
    <w:basedOn w:val="a"/>
    <w:link w:val="HTML"/>
    <w:uiPriority w:val="99"/>
    <w:semiHidden/>
    <w:unhideWhenUsed/>
    <w:rsid w:val="002808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1">
    <w:name w:val="Стандартный HTML Знак1"/>
    <w:basedOn w:val="a0"/>
    <w:uiPriority w:val="99"/>
    <w:semiHidden/>
    <w:rsid w:val="002808C2"/>
    <w:rPr>
      <w:rFonts w:ascii="Consolas" w:hAnsi="Consolas"/>
      <w:lang w:eastAsia="en-US"/>
    </w:rPr>
  </w:style>
  <w:style w:type="paragraph" w:customStyle="1" w:styleId="Pa5">
    <w:name w:val="Pa5"/>
    <w:basedOn w:val="Default"/>
    <w:next w:val="Default"/>
    <w:uiPriority w:val="99"/>
    <w:rsid w:val="002808C2"/>
    <w:pPr>
      <w:spacing w:line="241" w:lineRule="atLeast"/>
    </w:pPr>
    <w:rPr>
      <w:rFonts w:eastAsiaTheme="minorHAnsi"/>
      <w:color w:val="auto"/>
    </w:rPr>
  </w:style>
  <w:style w:type="character" w:customStyle="1" w:styleId="A30">
    <w:name w:val="A3"/>
    <w:uiPriority w:val="99"/>
    <w:rsid w:val="002808C2"/>
    <w:rPr>
      <w:color w:val="000000"/>
      <w:sz w:val="20"/>
      <w:szCs w:val="20"/>
    </w:rPr>
  </w:style>
  <w:style w:type="character" w:customStyle="1" w:styleId="highlight">
    <w:name w:val="highlight"/>
    <w:basedOn w:val="a0"/>
    <w:rsid w:val="002808C2"/>
  </w:style>
  <w:style w:type="character" w:customStyle="1" w:styleId="Footnote">
    <w:name w:val="Footnote_"/>
    <w:basedOn w:val="a0"/>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Footnote0">
    <w:name w:val="Footnote"/>
    <w:basedOn w:val="Footnote"/>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Footnote2">
    <w:name w:val="Footnote (2)_"/>
    <w:basedOn w:val="a0"/>
    <w:rsid w:val="002808C2"/>
    <w:rPr>
      <w:rFonts w:ascii="Times New Roman" w:eastAsia="Times New Roman" w:hAnsi="Times New Roman" w:cs="Times New Roman"/>
      <w:b w:val="0"/>
      <w:bCs w:val="0"/>
      <w:i w:val="0"/>
      <w:iCs w:val="0"/>
      <w:smallCaps w:val="0"/>
      <w:strike w:val="0"/>
      <w:spacing w:val="0"/>
      <w:sz w:val="22"/>
      <w:szCs w:val="22"/>
    </w:rPr>
  </w:style>
  <w:style w:type="character" w:customStyle="1" w:styleId="Footnote285ptBold">
    <w:name w:val="Footnote (2) + 8;5 pt;Bold"/>
    <w:basedOn w:val="Footnote2"/>
    <w:rsid w:val="002808C2"/>
    <w:rPr>
      <w:rFonts w:ascii="Times New Roman" w:eastAsia="Times New Roman" w:hAnsi="Times New Roman" w:cs="Times New Roman"/>
      <w:b/>
      <w:bCs/>
      <w:i w:val="0"/>
      <w:iCs w:val="0"/>
      <w:smallCaps w:val="0"/>
      <w:strike w:val="0"/>
      <w:spacing w:val="0"/>
      <w:sz w:val="17"/>
      <w:szCs w:val="17"/>
    </w:rPr>
  </w:style>
  <w:style w:type="character" w:customStyle="1" w:styleId="Footnote20">
    <w:name w:val="Footnote (2)"/>
    <w:basedOn w:val="Footnote2"/>
    <w:rsid w:val="002808C2"/>
    <w:rPr>
      <w:rFonts w:ascii="Times New Roman" w:eastAsia="Times New Roman" w:hAnsi="Times New Roman" w:cs="Times New Roman"/>
      <w:b w:val="0"/>
      <w:bCs w:val="0"/>
      <w:i w:val="0"/>
      <w:iCs w:val="0"/>
      <w:smallCaps w:val="0"/>
      <w:strike w:val="0"/>
      <w:spacing w:val="0"/>
      <w:sz w:val="22"/>
      <w:szCs w:val="22"/>
    </w:rPr>
  </w:style>
  <w:style w:type="character" w:customStyle="1" w:styleId="Footnote85ptBold">
    <w:name w:val="Footnote + 8;5 pt;Bold"/>
    <w:basedOn w:val="Footnote"/>
    <w:rsid w:val="002808C2"/>
    <w:rPr>
      <w:rFonts w:ascii="Times New Roman" w:eastAsia="Times New Roman" w:hAnsi="Times New Roman" w:cs="Times New Roman"/>
      <w:b/>
      <w:bCs/>
      <w:i w:val="0"/>
      <w:iCs w:val="0"/>
      <w:smallCaps w:val="0"/>
      <w:strike w:val="0"/>
      <w:spacing w:val="0"/>
      <w:sz w:val="17"/>
      <w:szCs w:val="17"/>
    </w:rPr>
  </w:style>
  <w:style w:type="character" w:customStyle="1" w:styleId="FootnoteItalic">
    <w:name w:val="Footnote + Italic"/>
    <w:basedOn w:val="Footnote"/>
    <w:rsid w:val="002808C2"/>
    <w:rPr>
      <w:rFonts w:ascii="Times New Roman" w:eastAsia="Times New Roman" w:hAnsi="Times New Roman" w:cs="Times New Roman"/>
      <w:b w:val="0"/>
      <w:bCs w:val="0"/>
      <w:i/>
      <w:iCs/>
      <w:smallCaps w:val="0"/>
      <w:strike w:val="0"/>
      <w:spacing w:val="0"/>
      <w:sz w:val="18"/>
      <w:szCs w:val="18"/>
    </w:rPr>
  </w:style>
  <w:style w:type="character" w:customStyle="1" w:styleId="Bodytext2">
    <w:name w:val="Body text (2)_"/>
    <w:basedOn w:val="a0"/>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Bodytext20">
    <w:name w:val="Body text (2)"/>
    <w:basedOn w:val="Bodytext2"/>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Bodytext3">
    <w:name w:val="Body text (3)_"/>
    <w:basedOn w:val="a0"/>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Bodytext30">
    <w:name w:val="Body text (3)"/>
    <w:basedOn w:val="Bodytext3"/>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Heading1">
    <w:name w:val="Heading #1_"/>
    <w:basedOn w:val="a0"/>
    <w:rsid w:val="002808C2"/>
    <w:rPr>
      <w:rFonts w:ascii="Times New Roman" w:eastAsia="Times New Roman" w:hAnsi="Times New Roman" w:cs="Times New Roman"/>
      <w:b w:val="0"/>
      <w:bCs w:val="0"/>
      <w:i w:val="0"/>
      <w:iCs w:val="0"/>
      <w:smallCaps w:val="0"/>
      <w:strike w:val="0"/>
      <w:spacing w:val="20"/>
      <w:sz w:val="39"/>
      <w:szCs w:val="39"/>
    </w:rPr>
  </w:style>
  <w:style w:type="character" w:customStyle="1" w:styleId="Heading10">
    <w:name w:val="Heading #1"/>
    <w:basedOn w:val="Heading1"/>
    <w:rsid w:val="002808C2"/>
    <w:rPr>
      <w:rFonts w:ascii="Times New Roman" w:eastAsia="Times New Roman" w:hAnsi="Times New Roman" w:cs="Times New Roman"/>
      <w:b w:val="0"/>
      <w:bCs w:val="0"/>
      <w:i w:val="0"/>
      <w:iCs w:val="0"/>
      <w:smallCaps w:val="0"/>
      <w:strike w:val="0"/>
      <w:spacing w:val="20"/>
      <w:sz w:val="39"/>
      <w:szCs w:val="39"/>
    </w:rPr>
  </w:style>
  <w:style w:type="character" w:customStyle="1" w:styleId="Headerorfooter">
    <w:name w:val="Header or footer_"/>
    <w:basedOn w:val="a0"/>
    <w:link w:val="Headerorfooter0"/>
    <w:rsid w:val="002808C2"/>
    <w:rPr>
      <w:rFonts w:ascii="Times New Roman" w:eastAsia="Times New Roman" w:hAnsi="Times New Roman"/>
      <w:shd w:val="clear" w:color="auto" w:fill="FFFFFF"/>
    </w:rPr>
  </w:style>
  <w:style w:type="paragraph" w:customStyle="1" w:styleId="Headerorfooter0">
    <w:name w:val="Header or footer"/>
    <w:basedOn w:val="a"/>
    <w:link w:val="Headerorfooter"/>
    <w:rsid w:val="002808C2"/>
    <w:pPr>
      <w:shd w:val="clear" w:color="auto" w:fill="FFFFFF"/>
    </w:pPr>
    <w:rPr>
      <w:sz w:val="20"/>
      <w:szCs w:val="20"/>
    </w:rPr>
  </w:style>
  <w:style w:type="character" w:customStyle="1" w:styleId="HeaderorfooterArial13ptBold">
    <w:name w:val="Header or footer + Arial;13 pt;Bold"/>
    <w:basedOn w:val="Headerorfooter"/>
    <w:rsid w:val="002808C2"/>
    <w:rPr>
      <w:rFonts w:ascii="Arial" w:eastAsia="Arial" w:hAnsi="Arial" w:cs="Arial"/>
      <w:b/>
      <w:bCs/>
      <w:spacing w:val="0"/>
      <w:sz w:val="26"/>
      <w:szCs w:val="26"/>
      <w:shd w:val="clear" w:color="auto" w:fill="FFFFFF"/>
    </w:rPr>
  </w:style>
  <w:style w:type="character" w:customStyle="1" w:styleId="Heading2">
    <w:name w:val="Heading #2_"/>
    <w:basedOn w:val="a0"/>
    <w:rsid w:val="002808C2"/>
    <w:rPr>
      <w:rFonts w:ascii="Times New Roman" w:eastAsia="Times New Roman" w:hAnsi="Times New Roman" w:cs="Times New Roman"/>
      <w:b w:val="0"/>
      <w:bCs w:val="0"/>
      <w:i w:val="0"/>
      <w:iCs w:val="0"/>
      <w:smallCaps w:val="0"/>
      <w:strike w:val="0"/>
      <w:sz w:val="27"/>
      <w:szCs w:val="27"/>
    </w:rPr>
  </w:style>
  <w:style w:type="character" w:customStyle="1" w:styleId="Heading20">
    <w:name w:val="Heading #2"/>
    <w:basedOn w:val="Heading2"/>
    <w:rsid w:val="002808C2"/>
    <w:rPr>
      <w:rFonts w:ascii="Times New Roman" w:eastAsia="Times New Roman" w:hAnsi="Times New Roman" w:cs="Times New Roman"/>
      <w:b w:val="0"/>
      <w:bCs w:val="0"/>
      <w:i w:val="0"/>
      <w:iCs w:val="0"/>
      <w:smallCaps w:val="0"/>
      <w:strike w:val="0"/>
      <w:sz w:val="27"/>
      <w:szCs w:val="27"/>
    </w:rPr>
  </w:style>
  <w:style w:type="character" w:customStyle="1" w:styleId="Bodytext">
    <w:name w:val="Body text_"/>
    <w:basedOn w:val="a0"/>
    <w:link w:val="620"/>
    <w:uiPriority w:val="99"/>
    <w:rsid w:val="002808C2"/>
    <w:rPr>
      <w:rFonts w:ascii="Times New Roman" w:eastAsia="Times New Roman" w:hAnsi="Times New Roman"/>
      <w:shd w:val="clear" w:color="auto" w:fill="FFFFFF"/>
    </w:rPr>
  </w:style>
  <w:style w:type="paragraph" w:customStyle="1" w:styleId="620">
    <w:name w:val="Основной текст62"/>
    <w:basedOn w:val="a"/>
    <w:link w:val="Bodytext"/>
    <w:rsid w:val="002808C2"/>
    <w:pPr>
      <w:shd w:val="clear" w:color="auto" w:fill="FFFFFF"/>
      <w:spacing w:before="420" w:line="216" w:lineRule="exact"/>
      <w:jc w:val="both"/>
    </w:pPr>
    <w:rPr>
      <w:sz w:val="20"/>
      <w:szCs w:val="20"/>
    </w:rPr>
  </w:style>
  <w:style w:type="character" w:customStyle="1" w:styleId="14">
    <w:name w:val="Основной текст1"/>
    <w:basedOn w:val="Bodytext"/>
    <w:rsid w:val="002808C2"/>
    <w:rPr>
      <w:rFonts w:ascii="Times New Roman" w:eastAsia="Times New Roman" w:hAnsi="Times New Roman"/>
      <w:shd w:val="clear" w:color="auto" w:fill="FFFFFF"/>
    </w:rPr>
  </w:style>
  <w:style w:type="character" w:customStyle="1" w:styleId="Heading30">
    <w:name w:val="Heading #3_"/>
    <w:basedOn w:val="a0"/>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Heading31">
    <w:name w:val="Heading #3"/>
    <w:basedOn w:val="Heading30"/>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Headerorfooter115ptBold">
    <w:name w:val="Header or footer + 11;5 pt;Bold"/>
    <w:basedOn w:val="Headerorfooter"/>
    <w:rsid w:val="002808C2"/>
    <w:rPr>
      <w:rFonts w:ascii="Times New Roman" w:eastAsia="Times New Roman" w:hAnsi="Times New Roman"/>
      <w:b/>
      <w:bCs/>
      <w:spacing w:val="0"/>
      <w:sz w:val="23"/>
      <w:szCs w:val="23"/>
      <w:shd w:val="clear" w:color="auto" w:fill="FFFFFF"/>
    </w:rPr>
  </w:style>
  <w:style w:type="character" w:customStyle="1" w:styleId="33">
    <w:name w:val="Основной текст3"/>
    <w:basedOn w:val="Bodytext"/>
    <w:rsid w:val="002808C2"/>
    <w:rPr>
      <w:rFonts w:ascii="Times New Roman" w:eastAsia="Times New Roman" w:hAnsi="Times New Roman"/>
      <w:shd w:val="clear" w:color="auto" w:fill="FFFFFF"/>
    </w:rPr>
  </w:style>
  <w:style w:type="character" w:customStyle="1" w:styleId="53">
    <w:name w:val="Основной текст5"/>
    <w:basedOn w:val="Bodytext"/>
    <w:rsid w:val="002808C2"/>
    <w:rPr>
      <w:rFonts w:ascii="Times New Roman" w:eastAsia="Times New Roman" w:hAnsi="Times New Roman"/>
      <w:shd w:val="clear" w:color="auto" w:fill="FFFFFF"/>
    </w:rPr>
  </w:style>
  <w:style w:type="character" w:customStyle="1" w:styleId="63">
    <w:name w:val="Основной текст6"/>
    <w:basedOn w:val="Bodytext"/>
    <w:rsid w:val="002808C2"/>
    <w:rPr>
      <w:rFonts w:ascii="Times New Roman" w:eastAsia="Times New Roman" w:hAnsi="Times New Roman"/>
      <w:shd w:val="clear" w:color="auto" w:fill="FFFFFF"/>
    </w:rPr>
  </w:style>
  <w:style w:type="character" w:customStyle="1" w:styleId="Heading40">
    <w:name w:val="Heading #4_"/>
    <w:basedOn w:val="a0"/>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Heading41">
    <w:name w:val="Heading #4"/>
    <w:basedOn w:val="Heading40"/>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BodytextItalic">
    <w:name w:val="Body text + Italic"/>
    <w:basedOn w:val="Bodytext"/>
    <w:rsid w:val="002808C2"/>
    <w:rPr>
      <w:rFonts w:ascii="Times New Roman" w:eastAsia="Times New Roman" w:hAnsi="Times New Roman"/>
      <w:i/>
      <w:iCs/>
      <w:shd w:val="clear" w:color="auto" w:fill="FFFFFF"/>
    </w:rPr>
  </w:style>
  <w:style w:type="character" w:customStyle="1" w:styleId="9">
    <w:name w:val="Основной текст9"/>
    <w:basedOn w:val="Bodytext"/>
    <w:rsid w:val="002808C2"/>
    <w:rPr>
      <w:rFonts w:ascii="Times New Roman" w:eastAsia="Times New Roman" w:hAnsi="Times New Roman"/>
      <w:shd w:val="clear" w:color="auto" w:fill="FFFFFF"/>
    </w:rPr>
  </w:style>
  <w:style w:type="character" w:customStyle="1" w:styleId="Bodytext211pt">
    <w:name w:val="Body text (2) + 11 pt"/>
    <w:basedOn w:val="Bodytext2"/>
    <w:rsid w:val="002808C2"/>
    <w:rPr>
      <w:rFonts w:ascii="Times New Roman" w:eastAsia="Times New Roman" w:hAnsi="Times New Roman" w:cs="Times New Roman"/>
      <w:b w:val="0"/>
      <w:bCs w:val="0"/>
      <w:i w:val="0"/>
      <w:iCs w:val="0"/>
      <w:smallCaps w:val="0"/>
      <w:strike w:val="0"/>
      <w:spacing w:val="0"/>
      <w:sz w:val="22"/>
      <w:szCs w:val="22"/>
    </w:rPr>
  </w:style>
  <w:style w:type="character" w:customStyle="1" w:styleId="101">
    <w:name w:val="Основной текст10"/>
    <w:basedOn w:val="Bodytext"/>
    <w:rsid w:val="002808C2"/>
    <w:rPr>
      <w:rFonts w:ascii="Times New Roman" w:eastAsia="Times New Roman" w:hAnsi="Times New Roman"/>
      <w:shd w:val="clear" w:color="auto" w:fill="FFFFFF"/>
    </w:rPr>
  </w:style>
  <w:style w:type="character" w:customStyle="1" w:styleId="Bodytext4">
    <w:name w:val="Body text (4)_"/>
    <w:basedOn w:val="a0"/>
    <w:rsid w:val="002808C2"/>
    <w:rPr>
      <w:rFonts w:ascii="Times New Roman" w:eastAsia="Times New Roman" w:hAnsi="Times New Roman" w:cs="Times New Roman"/>
      <w:b w:val="0"/>
      <w:bCs w:val="0"/>
      <w:i w:val="0"/>
      <w:iCs w:val="0"/>
      <w:smallCaps w:val="0"/>
      <w:strike w:val="0"/>
      <w:sz w:val="8"/>
      <w:szCs w:val="8"/>
    </w:rPr>
  </w:style>
  <w:style w:type="character" w:customStyle="1" w:styleId="Bodytext40">
    <w:name w:val="Body text (4)"/>
    <w:basedOn w:val="Bodytext4"/>
    <w:rsid w:val="002808C2"/>
    <w:rPr>
      <w:rFonts w:ascii="Times New Roman" w:eastAsia="Times New Roman" w:hAnsi="Times New Roman" w:cs="Times New Roman"/>
      <w:b w:val="0"/>
      <w:bCs w:val="0"/>
      <w:i w:val="0"/>
      <w:iCs w:val="0"/>
      <w:smallCaps w:val="0"/>
      <w:strike w:val="0"/>
      <w:sz w:val="8"/>
      <w:szCs w:val="8"/>
    </w:rPr>
  </w:style>
  <w:style w:type="character" w:customStyle="1" w:styleId="113">
    <w:name w:val="Основной текст11"/>
    <w:basedOn w:val="Bodytext"/>
    <w:rsid w:val="002808C2"/>
    <w:rPr>
      <w:rFonts w:ascii="Times New Roman" w:eastAsia="Times New Roman" w:hAnsi="Times New Roman"/>
      <w:shd w:val="clear" w:color="auto" w:fill="FFFFFF"/>
    </w:rPr>
  </w:style>
  <w:style w:type="character" w:customStyle="1" w:styleId="120">
    <w:name w:val="Основной текст12"/>
    <w:basedOn w:val="Bodytext"/>
    <w:rsid w:val="002808C2"/>
    <w:rPr>
      <w:rFonts w:ascii="Times New Roman" w:eastAsia="Times New Roman" w:hAnsi="Times New Roman"/>
      <w:shd w:val="clear" w:color="auto" w:fill="FFFFFF"/>
    </w:rPr>
  </w:style>
  <w:style w:type="character" w:customStyle="1" w:styleId="132">
    <w:name w:val="Основной текст13"/>
    <w:basedOn w:val="Bodytext"/>
    <w:rsid w:val="002808C2"/>
    <w:rPr>
      <w:rFonts w:ascii="Times New Roman" w:eastAsia="Times New Roman" w:hAnsi="Times New Roman"/>
      <w:shd w:val="clear" w:color="auto" w:fill="FFFFFF"/>
    </w:rPr>
  </w:style>
  <w:style w:type="character" w:customStyle="1" w:styleId="140">
    <w:name w:val="Основной текст14"/>
    <w:basedOn w:val="Bodytext"/>
    <w:rsid w:val="002808C2"/>
    <w:rPr>
      <w:rFonts w:ascii="Times New Roman" w:eastAsia="Times New Roman" w:hAnsi="Times New Roman"/>
      <w:shd w:val="clear" w:color="auto" w:fill="FFFFFF"/>
    </w:rPr>
  </w:style>
  <w:style w:type="character" w:customStyle="1" w:styleId="15">
    <w:name w:val="Основной текст15"/>
    <w:basedOn w:val="Bodytext"/>
    <w:rsid w:val="002808C2"/>
    <w:rPr>
      <w:rFonts w:ascii="Times New Roman" w:eastAsia="Times New Roman" w:hAnsi="Times New Roman"/>
      <w:shd w:val="clear" w:color="auto" w:fill="FFFFFF"/>
    </w:rPr>
  </w:style>
  <w:style w:type="character" w:customStyle="1" w:styleId="16">
    <w:name w:val="Основной текст16"/>
    <w:basedOn w:val="Bodytext"/>
    <w:rsid w:val="002808C2"/>
    <w:rPr>
      <w:rFonts w:ascii="Times New Roman" w:eastAsia="Times New Roman" w:hAnsi="Times New Roman"/>
      <w:shd w:val="clear" w:color="auto" w:fill="FFFFFF"/>
    </w:rPr>
  </w:style>
  <w:style w:type="character" w:customStyle="1" w:styleId="17">
    <w:name w:val="Основной текст17"/>
    <w:basedOn w:val="Bodytext"/>
    <w:rsid w:val="002808C2"/>
    <w:rPr>
      <w:rFonts w:ascii="Times New Roman" w:eastAsia="Times New Roman" w:hAnsi="Times New Roman"/>
      <w:shd w:val="clear" w:color="auto" w:fill="FFFFFF"/>
    </w:rPr>
  </w:style>
  <w:style w:type="character" w:customStyle="1" w:styleId="Bodytext5">
    <w:name w:val="Body text (5)_"/>
    <w:basedOn w:val="a0"/>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Bodytext50">
    <w:name w:val="Body text (5)"/>
    <w:basedOn w:val="Bodytext5"/>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Bodytext6">
    <w:name w:val="Body text (6)_"/>
    <w:basedOn w:val="a0"/>
    <w:rsid w:val="002808C2"/>
    <w:rPr>
      <w:rFonts w:ascii="Times New Roman" w:eastAsia="Times New Roman" w:hAnsi="Times New Roman" w:cs="Times New Roman"/>
      <w:b w:val="0"/>
      <w:bCs w:val="0"/>
      <w:i w:val="0"/>
      <w:iCs w:val="0"/>
      <w:smallCaps w:val="0"/>
      <w:strike w:val="0"/>
      <w:spacing w:val="0"/>
      <w:sz w:val="17"/>
      <w:szCs w:val="17"/>
    </w:rPr>
  </w:style>
  <w:style w:type="character" w:customStyle="1" w:styleId="Bodytext60">
    <w:name w:val="Body text (6)"/>
    <w:basedOn w:val="Bodytext6"/>
    <w:rsid w:val="002808C2"/>
    <w:rPr>
      <w:rFonts w:ascii="Times New Roman" w:eastAsia="Times New Roman" w:hAnsi="Times New Roman" w:cs="Times New Roman"/>
      <w:b w:val="0"/>
      <w:bCs w:val="0"/>
      <w:i w:val="0"/>
      <w:iCs w:val="0"/>
      <w:smallCaps w:val="0"/>
      <w:strike w:val="0"/>
      <w:spacing w:val="0"/>
      <w:sz w:val="17"/>
      <w:szCs w:val="17"/>
    </w:rPr>
  </w:style>
  <w:style w:type="character" w:customStyle="1" w:styleId="Tablecaption">
    <w:name w:val="Table caption_"/>
    <w:basedOn w:val="a0"/>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Tablecaption0">
    <w:name w:val="Table caption"/>
    <w:basedOn w:val="Tablecaption"/>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18">
    <w:name w:val="Основной текст18"/>
    <w:basedOn w:val="Bodytext"/>
    <w:rsid w:val="002808C2"/>
    <w:rPr>
      <w:rFonts w:ascii="Times New Roman" w:eastAsia="Times New Roman" w:hAnsi="Times New Roman"/>
      <w:shd w:val="clear" w:color="auto" w:fill="FFFFFF"/>
    </w:rPr>
  </w:style>
  <w:style w:type="character" w:customStyle="1" w:styleId="Bodytext7">
    <w:name w:val="Body text (7)_"/>
    <w:basedOn w:val="a0"/>
    <w:link w:val="Bodytext70"/>
    <w:rsid w:val="002808C2"/>
    <w:rPr>
      <w:rFonts w:ascii="Times New Roman" w:eastAsia="Times New Roman" w:hAnsi="Times New Roman"/>
      <w:shd w:val="clear" w:color="auto" w:fill="FFFFFF"/>
    </w:rPr>
  </w:style>
  <w:style w:type="paragraph" w:customStyle="1" w:styleId="Bodytext70">
    <w:name w:val="Body text (7)"/>
    <w:basedOn w:val="a"/>
    <w:link w:val="Bodytext7"/>
    <w:rsid w:val="002808C2"/>
    <w:pPr>
      <w:shd w:val="clear" w:color="auto" w:fill="FFFFFF"/>
      <w:spacing w:line="0" w:lineRule="atLeast"/>
    </w:pPr>
    <w:rPr>
      <w:sz w:val="20"/>
      <w:szCs w:val="20"/>
    </w:rPr>
  </w:style>
  <w:style w:type="character" w:customStyle="1" w:styleId="19">
    <w:name w:val="Основной текст19"/>
    <w:basedOn w:val="Bodytext"/>
    <w:rsid w:val="002808C2"/>
    <w:rPr>
      <w:rFonts w:ascii="Times New Roman" w:eastAsia="Times New Roman" w:hAnsi="Times New Roman"/>
      <w:shd w:val="clear" w:color="auto" w:fill="FFFFFF"/>
    </w:rPr>
  </w:style>
  <w:style w:type="character" w:customStyle="1" w:styleId="Tablecaption2">
    <w:name w:val="Table caption (2)_"/>
    <w:basedOn w:val="a0"/>
    <w:rsid w:val="002808C2"/>
    <w:rPr>
      <w:rFonts w:ascii="Times New Roman" w:eastAsia="Times New Roman" w:hAnsi="Times New Roman" w:cs="Times New Roman"/>
      <w:b w:val="0"/>
      <w:bCs w:val="0"/>
      <w:i w:val="0"/>
      <w:iCs w:val="0"/>
      <w:smallCaps w:val="0"/>
      <w:strike w:val="0"/>
      <w:spacing w:val="0"/>
      <w:sz w:val="22"/>
      <w:szCs w:val="22"/>
    </w:rPr>
  </w:style>
  <w:style w:type="character" w:customStyle="1" w:styleId="Tablecaption20">
    <w:name w:val="Table caption (2)"/>
    <w:basedOn w:val="Tablecaption2"/>
    <w:rsid w:val="002808C2"/>
    <w:rPr>
      <w:rFonts w:ascii="Times New Roman" w:eastAsia="Times New Roman" w:hAnsi="Times New Roman" w:cs="Times New Roman"/>
      <w:b w:val="0"/>
      <w:bCs w:val="0"/>
      <w:i w:val="0"/>
      <w:iCs w:val="0"/>
      <w:smallCaps w:val="0"/>
      <w:strike w:val="0"/>
      <w:spacing w:val="0"/>
      <w:sz w:val="22"/>
      <w:szCs w:val="22"/>
    </w:rPr>
  </w:style>
  <w:style w:type="character" w:customStyle="1" w:styleId="200">
    <w:name w:val="Основной текст20"/>
    <w:basedOn w:val="Bodytext"/>
    <w:rsid w:val="002808C2"/>
    <w:rPr>
      <w:rFonts w:ascii="Times New Roman" w:eastAsia="Times New Roman" w:hAnsi="Times New Roman"/>
      <w:shd w:val="clear" w:color="auto" w:fill="FFFFFF"/>
    </w:rPr>
  </w:style>
  <w:style w:type="character" w:customStyle="1" w:styleId="210">
    <w:name w:val="Основной текст21"/>
    <w:basedOn w:val="Bodytext"/>
    <w:rsid w:val="002808C2"/>
    <w:rPr>
      <w:rFonts w:ascii="Times New Roman" w:eastAsia="Times New Roman" w:hAnsi="Times New Roman"/>
      <w:shd w:val="clear" w:color="auto" w:fill="FFFFFF"/>
    </w:rPr>
  </w:style>
  <w:style w:type="character" w:customStyle="1" w:styleId="220">
    <w:name w:val="Основной текст22"/>
    <w:basedOn w:val="Bodytext"/>
    <w:rsid w:val="002808C2"/>
    <w:rPr>
      <w:rFonts w:ascii="Times New Roman" w:eastAsia="Times New Roman" w:hAnsi="Times New Roman"/>
      <w:shd w:val="clear" w:color="auto" w:fill="FFFFFF"/>
    </w:rPr>
  </w:style>
  <w:style w:type="character" w:customStyle="1" w:styleId="230">
    <w:name w:val="Основной текст23"/>
    <w:basedOn w:val="Bodytext"/>
    <w:rsid w:val="002808C2"/>
    <w:rPr>
      <w:rFonts w:ascii="Times New Roman" w:eastAsia="Times New Roman" w:hAnsi="Times New Roman"/>
      <w:shd w:val="clear" w:color="auto" w:fill="FFFFFF"/>
    </w:rPr>
  </w:style>
  <w:style w:type="character" w:customStyle="1" w:styleId="240">
    <w:name w:val="Основной текст24"/>
    <w:basedOn w:val="Bodytext"/>
    <w:rsid w:val="002808C2"/>
    <w:rPr>
      <w:rFonts w:ascii="Times New Roman" w:eastAsia="Times New Roman" w:hAnsi="Times New Roman"/>
      <w:shd w:val="clear" w:color="auto" w:fill="FFFFFF"/>
    </w:rPr>
  </w:style>
  <w:style w:type="character" w:customStyle="1" w:styleId="25">
    <w:name w:val="Основной текст25"/>
    <w:basedOn w:val="Bodytext"/>
    <w:rsid w:val="002808C2"/>
    <w:rPr>
      <w:rFonts w:ascii="Times New Roman" w:eastAsia="Times New Roman" w:hAnsi="Times New Roman"/>
      <w:shd w:val="clear" w:color="auto" w:fill="FFFFFF"/>
    </w:rPr>
  </w:style>
  <w:style w:type="character" w:customStyle="1" w:styleId="26">
    <w:name w:val="Основной текст26"/>
    <w:basedOn w:val="Bodytext"/>
    <w:rsid w:val="002808C2"/>
    <w:rPr>
      <w:rFonts w:ascii="Times New Roman" w:eastAsia="Times New Roman" w:hAnsi="Times New Roman"/>
      <w:shd w:val="clear" w:color="auto" w:fill="FFFFFF"/>
    </w:rPr>
  </w:style>
  <w:style w:type="character" w:customStyle="1" w:styleId="27">
    <w:name w:val="Основной текст27"/>
    <w:basedOn w:val="Bodytext"/>
    <w:rsid w:val="002808C2"/>
    <w:rPr>
      <w:rFonts w:ascii="Times New Roman" w:eastAsia="Times New Roman" w:hAnsi="Times New Roman"/>
      <w:shd w:val="clear" w:color="auto" w:fill="FFFFFF"/>
    </w:rPr>
  </w:style>
  <w:style w:type="character" w:customStyle="1" w:styleId="28">
    <w:name w:val="Основной текст28"/>
    <w:basedOn w:val="Bodytext"/>
    <w:rsid w:val="002808C2"/>
    <w:rPr>
      <w:rFonts w:ascii="Times New Roman" w:eastAsia="Times New Roman" w:hAnsi="Times New Roman"/>
      <w:shd w:val="clear" w:color="auto" w:fill="FFFFFF"/>
    </w:rPr>
  </w:style>
  <w:style w:type="character" w:customStyle="1" w:styleId="29">
    <w:name w:val="Основной текст29"/>
    <w:basedOn w:val="Bodytext"/>
    <w:rsid w:val="002808C2"/>
    <w:rPr>
      <w:rFonts w:ascii="Times New Roman" w:eastAsia="Times New Roman" w:hAnsi="Times New Roman"/>
      <w:shd w:val="clear" w:color="auto" w:fill="FFFFFF"/>
    </w:rPr>
  </w:style>
  <w:style w:type="character" w:customStyle="1" w:styleId="300">
    <w:name w:val="Основной текст30"/>
    <w:basedOn w:val="Bodytext"/>
    <w:rsid w:val="002808C2"/>
    <w:rPr>
      <w:rFonts w:ascii="Times New Roman" w:eastAsia="Times New Roman" w:hAnsi="Times New Roman"/>
      <w:shd w:val="clear" w:color="auto" w:fill="FFFFFF"/>
    </w:rPr>
  </w:style>
  <w:style w:type="character" w:customStyle="1" w:styleId="310">
    <w:name w:val="Основной текст31"/>
    <w:basedOn w:val="Bodytext"/>
    <w:rsid w:val="002808C2"/>
    <w:rPr>
      <w:rFonts w:ascii="Times New Roman" w:eastAsia="Times New Roman" w:hAnsi="Times New Roman"/>
      <w:shd w:val="clear" w:color="auto" w:fill="FFFFFF"/>
    </w:rPr>
  </w:style>
  <w:style w:type="character" w:customStyle="1" w:styleId="Bodytext8">
    <w:name w:val="Body text (8)_"/>
    <w:basedOn w:val="a0"/>
    <w:rsid w:val="002808C2"/>
    <w:rPr>
      <w:rFonts w:ascii="Times New Roman" w:eastAsia="Times New Roman" w:hAnsi="Times New Roman" w:cs="Times New Roman"/>
      <w:b w:val="0"/>
      <w:bCs w:val="0"/>
      <w:i w:val="0"/>
      <w:iCs w:val="0"/>
      <w:smallCaps w:val="0"/>
      <w:strike w:val="0"/>
      <w:spacing w:val="0"/>
      <w:sz w:val="8"/>
      <w:szCs w:val="8"/>
    </w:rPr>
  </w:style>
  <w:style w:type="character" w:customStyle="1" w:styleId="Bodytext80">
    <w:name w:val="Body text (8)"/>
    <w:basedOn w:val="Bodytext8"/>
    <w:rsid w:val="002808C2"/>
    <w:rPr>
      <w:rFonts w:ascii="Times New Roman" w:eastAsia="Times New Roman" w:hAnsi="Times New Roman" w:cs="Times New Roman"/>
      <w:b w:val="0"/>
      <w:bCs w:val="0"/>
      <w:i w:val="0"/>
      <w:iCs w:val="0"/>
      <w:smallCaps w:val="0"/>
      <w:strike w:val="0"/>
      <w:spacing w:val="0"/>
      <w:sz w:val="8"/>
      <w:szCs w:val="8"/>
    </w:rPr>
  </w:style>
  <w:style w:type="character" w:customStyle="1" w:styleId="320">
    <w:name w:val="Основной текст32"/>
    <w:basedOn w:val="Bodytext"/>
    <w:rsid w:val="002808C2"/>
    <w:rPr>
      <w:rFonts w:ascii="Times New Roman" w:eastAsia="Times New Roman" w:hAnsi="Times New Roman"/>
      <w:shd w:val="clear" w:color="auto" w:fill="FFFFFF"/>
    </w:rPr>
  </w:style>
  <w:style w:type="character" w:customStyle="1" w:styleId="Bodytext9">
    <w:name w:val="Body text (9)_"/>
    <w:basedOn w:val="a0"/>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Bodytext90">
    <w:name w:val="Body text (9)"/>
    <w:basedOn w:val="Bodytext9"/>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330">
    <w:name w:val="Основной текст33"/>
    <w:basedOn w:val="Bodytext"/>
    <w:rsid w:val="002808C2"/>
    <w:rPr>
      <w:rFonts w:ascii="Times New Roman" w:eastAsia="Times New Roman" w:hAnsi="Times New Roman"/>
      <w:shd w:val="clear" w:color="auto" w:fill="FFFFFF"/>
    </w:rPr>
  </w:style>
  <w:style w:type="character" w:customStyle="1" w:styleId="34">
    <w:name w:val="Основной текст34"/>
    <w:basedOn w:val="Bodytext"/>
    <w:rsid w:val="002808C2"/>
    <w:rPr>
      <w:rFonts w:ascii="Times New Roman" w:eastAsia="Times New Roman" w:hAnsi="Times New Roman"/>
      <w:shd w:val="clear" w:color="auto" w:fill="FFFFFF"/>
    </w:rPr>
  </w:style>
  <w:style w:type="character" w:customStyle="1" w:styleId="35">
    <w:name w:val="Основной текст35"/>
    <w:basedOn w:val="Bodytext"/>
    <w:rsid w:val="002808C2"/>
    <w:rPr>
      <w:rFonts w:ascii="Times New Roman" w:eastAsia="Times New Roman" w:hAnsi="Times New Roman"/>
      <w:shd w:val="clear" w:color="auto" w:fill="FFFFFF"/>
    </w:rPr>
  </w:style>
  <w:style w:type="character" w:customStyle="1" w:styleId="36">
    <w:name w:val="Основной текст36"/>
    <w:basedOn w:val="Bodytext"/>
    <w:rsid w:val="002808C2"/>
    <w:rPr>
      <w:rFonts w:ascii="Times New Roman" w:eastAsia="Times New Roman" w:hAnsi="Times New Roman"/>
      <w:shd w:val="clear" w:color="auto" w:fill="FFFFFF"/>
    </w:rPr>
  </w:style>
  <w:style w:type="character" w:customStyle="1" w:styleId="37">
    <w:name w:val="Основной текст37"/>
    <w:basedOn w:val="Bodytext"/>
    <w:rsid w:val="002808C2"/>
    <w:rPr>
      <w:rFonts w:ascii="Times New Roman" w:eastAsia="Times New Roman" w:hAnsi="Times New Roman"/>
      <w:shd w:val="clear" w:color="auto" w:fill="FFFFFF"/>
    </w:rPr>
  </w:style>
  <w:style w:type="character" w:customStyle="1" w:styleId="38">
    <w:name w:val="Основной текст38"/>
    <w:basedOn w:val="Bodytext"/>
    <w:rsid w:val="002808C2"/>
    <w:rPr>
      <w:rFonts w:ascii="Times New Roman" w:eastAsia="Times New Roman" w:hAnsi="Times New Roman"/>
      <w:shd w:val="clear" w:color="auto" w:fill="FFFFFF"/>
    </w:rPr>
  </w:style>
  <w:style w:type="character" w:customStyle="1" w:styleId="39">
    <w:name w:val="Основной текст39"/>
    <w:basedOn w:val="Bodytext"/>
    <w:rsid w:val="002808C2"/>
    <w:rPr>
      <w:rFonts w:ascii="Times New Roman" w:eastAsia="Times New Roman" w:hAnsi="Times New Roman"/>
      <w:shd w:val="clear" w:color="auto" w:fill="FFFFFF"/>
    </w:rPr>
  </w:style>
  <w:style w:type="character" w:customStyle="1" w:styleId="400">
    <w:name w:val="Основной текст40"/>
    <w:basedOn w:val="Bodytext"/>
    <w:rsid w:val="002808C2"/>
    <w:rPr>
      <w:rFonts w:ascii="Times New Roman" w:eastAsia="Times New Roman" w:hAnsi="Times New Roman"/>
      <w:shd w:val="clear" w:color="auto" w:fill="FFFFFF"/>
    </w:rPr>
  </w:style>
  <w:style w:type="character" w:customStyle="1" w:styleId="410">
    <w:name w:val="Основной текст41"/>
    <w:basedOn w:val="Bodytext"/>
    <w:rsid w:val="002808C2"/>
    <w:rPr>
      <w:rFonts w:ascii="Times New Roman" w:eastAsia="Times New Roman" w:hAnsi="Times New Roman"/>
      <w:shd w:val="clear" w:color="auto" w:fill="FFFFFF"/>
    </w:rPr>
  </w:style>
  <w:style w:type="character" w:customStyle="1" w:styleId="420">
    <w:name w:val="Основной текст42"/>
    <w:basedOn w:val="Bodytext"/>
    <w:rsid w:val="002808C2"/>
    <w:rPr>
      <w:rFonts w:ascii="Times New Roman" w:eastAsia="Times New Roman" w:hAnsi="Times New Roman"/>
      <w:shd w:val="clear" w:color="auto" w:fill="FFFFFF"/>
    </w:rPr>
  </w:style>
  <w:style w:type="character" w:customStyle="1" w:styleId="Tablecaption3">
    <w:name w:val="Table caption (3)_"/>
    <w:basedOn w:val="a0"/>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Tablecaption30">
    <w:name w:val="Table caption (3)"/>
    <w:basedOn w:val="Tablecaption3"/>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43">
    <w:name w:val="Основной текст43"/>
    <w:basedOn w:val="Bodytext"/>
    <w:rsid w:val="002808C2"/>
    <w:rPr>
      <w:rFonts w:ascii="Times New Roman" w:eastAsia="Times New Roman" w:hAnsi="Times New Roman"/>
      <w:shd w:val="clear" w:color="auto" w:fill="FFFFFF"/>
    </w:rPr>
  </w:style>
  <w:style w:type="character" w:customStyle="1" w:styleId="44">
    <w:name w:val="Основной текст44"/>
    <w:basedOn w:val="Bodytext"/>
    <w:rsid w:val="002808C2"/>
    <w:rPr>
      <w:rFonts w:ascii="Times New Roman" w:eastAsia="Times New Roman" w:hAnsi="Times New Roman"/>
      <w:shd w:val="clear" w:color="auto" w:fill="FFFFFF"/>
    </w:rPr>
  </w:style>
  <w:style w:type="character" w:customStyle="1" w:styleId="45">
    <w:name w:val="Основной текст45"/>
    <w:basedOn w:val="Bodytext"/>
    <w:rsid w:val="002808C2"/>
    <w:rPr>
      <w:rFonts w:ascii="Times New Roman" w:eastAsia="Times New Roman" w:hAnsi="Times New Roman"/>
      <w:shd w:val="clear" w:color="auto" w:fill="FFFFFF"/>
    </w:rPr>
  </w:style>
  <w:style w:type="character" w:customStyle="1" w:styleId="46">
    <w:name w:val="Основной текст46"/>
    <w:basedOn w:val="Bodytext"/>
    <w:rsid w:val="002808C2"/>
    <w:rPr>
      <w:rFonts w:ascii="Times New Roman" w:eastAsia="Times New Roman" w:hAnsi="Times New Roman"/>
      <w:shd w:val="clear" w:color="auto" w:fill="FFFFFF"/>
    </w:rPr>
  </w:style>
  <w:style w:type="character" w:customStyle="1" w:styleId="47">
    <w:name w:val="Основной текст47"/>
    <w:basedOn w:val="Bodytext"/>
    <w:rsid w:val="002808C2"/>
    <w:rPr>
      <w:rFonts w:ascii="Times New Roman" w:eastAsia="Times New Roman" w:hAnsi="Times New Roman"/>
      <w:shd w:val="clear" w:color="auto" w:fill="FFFFFF"/>
    </w:rPr>
  </w:style>
  <w:style w:type="character" w:customStyle="1" w:styleId="48">
    <w:name w:val="Основной текст48"/>
    <w:basedOn w:val="Bodytext"/>
    <w:rsid w:val="002808C2"/>
    <w:rPr>
      <w:rFonts w:ascii="Times New Roman" w:eastAsia="Times New Roman" w:hAnsi="Times New Roman"/>
      <w:shd w:val="clear" w:color="auto" w:fill="FFFFFF"/>
    </w:rPr>
  </w:style>
  <w:style w:type="character" w:customStyle="1" w:styleId="49">
    <w:name w:val="Основной текст49"/>
    <w:basedOn w:val="Bodytext"/>
    <w:rsid w:val="002808C2"/>
    <w:rPr>
      <w:rFonts w:ascii="Times New Roman" w:eastAsia="Times New Roman" w:hAnsi="Times New Roman"/>
      <w:shd w:val="clear" w:color="auto" w:fill="FFFFFF"/>
    </w:rPr>
  </w:style>
  <w:style w:type="character" w:customStyle="1" w:styleId="500">
    <w:name w:val="Основной текст50"/>
    <w:basedOn w:val="Bodytext"/>
    <w:rsid w:val="002808C2"/>
    <w:rPr>
      <w:rFonts w:ascii="Times New Roman" w:eastAsia="Times New Roman" w:hAnsi="Times New Roman"/>
      <w:shd w:val="clear" w:color="auto" w:fill="FFFFFF"/>
    </w:rPr>
  </w:style>
  <w:style w:type="character" w:customStyle="1" w:styleId="510">
    <w:name w:val="Основной текст51"/>
    <w:basedOn w:val="Bodytext"/>
    <w:rsid w:val="002808C2"/>
    <w:rPr>
      <w:rFonts w:ascii="Times New Roman" w:eastAsia="Times New Roman" w:hAnsi="Times New Roman"/>
      <w:shd w:val="clear" w:color="auto" w:fill="FFFFFF"/>
    </w:rPr>
  </w:style>
  <w:style w:type="character" w:customStyle="1" w:styleId="520">
    <w:name w:val="Основной текст52"/>
    <w:basedOn w:val="Bodytext"/>
    <w:rsid w:val="002808C2"/>
    <w:rPr>
      <w:rFonts w:ascii="Times New Roman" w:eastAsia="Times New Roman" w:hAnsi="Times New Roman"/>
      <w:shd w:val="clear" w:color="auto" w:fill="FFFFFF"/>
    </w:rPr>
  </w:style>
  <w:style w:type="character" w:customStyle="1" w:styleId="530">
    <w:name w:val="Основной текст53"/>
    <w:basedOn w:val="Bodytext"/>
    <w:rsid w:val="002808C2"/>
    <w:rPr>
      <w:rFonts w:ascii="Times New Roman" w:eastAsia="Times New Roman" w:hAnsi="Times New Roman"/>
      <w:shd w:val="clear" w:color="auto" w:fill="FFFFFF"/>
    </w:rPr>
  </w:style>
  <w:style w:type="character" w:customStyle="1" w:styleId="54">
    <w:name w:val="Основной текст54"/>
    <w:basedOn w:val="Bodytext"/>
    <w:rsid w:val="002808C2"/>
    <w:rPr>
      <w:rFonts w:ascii="Times New Roman" w:eastAsia="Times New Roman" w:hAnsi="Times New Roman"/>
      <w:shd w:val="clear" w:color="auto" w:fill="FFFFFF"/>
    </w:rPr>
  </w:style>
  <w:style w:type="character" w:customStyle="1" w:styleId="55">
    <w:name w:val="Основной текст55"/>
    <w:basedOn w:val="Bodytext"/>
    <w:rsid w:val="002808C2"/>
    <w:rPr>
      <w:rFonts w:ascii="Times New Roman" w:eastAsia="Times New Roman" w:hAnsi="Times New Roman"/>
      <w:shd w:val="clear" w:color="auto" w:fill="FFFFFF"/>
    </w:rPr>
  </w:style>
  <w:style w:type="character" w:customStyle="1" w:styleId="56">
    <w:name w:val="Основной текст56"/>
    <w:basedOn w:val="Bodytext"/>
    <w:rsid w:val="002808C2"/>
    <w:rPr>
      <w:rFonts w:ascii="Times New Roman" w:eastAsia="Times New Roman" w:hAnsi="Times New Roman"/>
      <w:shd w:val="clear" w:color="auto" w:fill="FFFFFF"/>
    </w:rPr>
  </w:style>
  <w:style w:type="character" w:customStyle="1" w:styleId="57">
    <w:name w:val="Основной текст57"/>
    <w:basedOn w:val="Bodytext"/>
    <w:rsid w:val="002808C2"/>
    <w:rPr>
      <w:rFonts w:ascii="Times New Roman" w:eastAsia="Times New Roman" w:hAnsi="Times New Roman"/>
      <w:shd w:val="clear" w:color="auto" w:fill="FFFFFF"/>
    </w:rPr>
  </w:style>
  <w:style w:type="character" w:customStyle="1" w:styleId="58">
    <w:name w:val="Основной текст58"/>
    <w:basedOn w:val="Bodytext"/>
    <w:rsid w:val="002808C2"/>
    <w:rPr>
      <w:rFonts w:ascii="Times New Roman" w:eastAsia="Times New Roman" w:hAnsi="Times New Roman"/>
      <w:shd w:val="clear" w:color="auto" w:fill="FFFFFF"/>
    </w:rPr>
  </w:style>
  <w:style w:type="character" w:customStyle="1" w:styleId="59">
    <w:name w:val="Основной текст59"/>
    <w:basedOn w:val="Bodytext"/>
    <w:rsid w:val="002808C2"/>
    <w:rPr>
      <w:rFonts w:ascii="Times New Roman" w:eastAsia="Times New Roman" w:hAnsi="Times New Roman"/>
      <w:shd w:val="clear" w:color="auto" w:fill="FFFFFF"/>
    </w:rPr>
  </w:style>
  <w:style w:type="character" w:customStyle="1" w:styleId="600">
    <w:name w:val="Основной текст60"/>
    <w:basedOn w:val="Bodytext"/>
    <w:rsid w:val="002808C2"/>
    <w:rPr>
      <w:rFonts w:ascii="Times New Roman" w:eastAsia="Times New Roman" w:hAnsi="Times New Roman"/>
      <w:shd w:val="clear" w:color="auto" w:fill="FFFFFF"/>
    </w:rPr>
  </w:style>
  <w:style w:type="character" w:customStyle="1" w:styleId="610">
    <w:name w:val="Основной текст61"/>
    <w:basedOn w:val="Bodytext"/>
    <w:rsid w:val="002808C2"/>
    <w:rPr>
      <w:rFonts w:ascii="Times New Roman" w:eastAsia="Times New Roman" w:hAnsi="Times New Roman"/>
      <w:shd w:val="clear" w:color="auto" w:fill="FFFFFF"/>
    </w:rPr>
  </w:style>
  <w:style w:type="character" w:customStyle="1" w:styleId="Headerorfooter9pt">
    <w:name w:val="Header or footer + 9 pt"/>
    <w:basedOn w:val="Headerorfooter"/>
    <w:rsid w:val="002808C2"/>
    <w:rPr>
      <w:rFonts w:ascii="Times New Roman" w:eastAsia="Times New Roman" w:hAnsi="Times New Roman"/>
      <w:spacing w:val="0"/>
      <w:sz w:val="18"/>
      <w:szCs w:val="18"/>
      <w:shd w:val="clear" w:color="auto" w:fill="FFFFFF"/>
    </w:rPr>
  </w:style>
  <w:style w:type="character" w:customStyle="1" w:styleId="Heading22">
    <w:name w:val="Heading #2 (2)_"/>
    <w:basedOn w:val="a0"/>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Heading220">
    <w:name w:val="Heading #2 (2)"/>
    <w:basedOn w:val="Heading22"/>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Headerorfooter115ptBoldSpacing2pt">
    <w:name w:val="Header or footer + 11;5 pt;Bold;Spacing 2 pt"/>
    <w:basedOn w:val="Headerorfooter"/>
    <w:rsid w:val="002808C2"/>
    <w:rPr>
      <w:rFonts w:ascii="Times New Roman" w:eastAsia="Times New Roman" w:hAnsi="Times New Roman"/>
      <w:b/>
      <w:bCs/>
      <w:spacing w:val="40"/>
      <w:sz w:val="23"/>
      <w:szCs w:val="23"/>
      <w:shd w:val="clear" w:color="auto" w:fill="FFFFFF"/>
    </w:rPr>
  </w:style>
  <w:style w:type="character" w:customStyle="1" w:styleId="Headerorfooter9ptItalic">
    <w:name w:val="Header or footer + 9 pt;Italic"/>
    <w:basedOn w:val="Headerorfooter"/>
    <w:rsid w:val="002808C2"/>
    <w:rPr>
      <w:rFonts w:ascii="Times New Roman" w:eastAsia="Times New Roman" w:hAnsi="Times New Roman"/>
      <w:i/>
      <w:iCs/>
      <w:sz w:val="18"/>
      <w:szCs w:val="18"/>
      <w:shd w:val="clear" w:color="auto" w:fill="FFFFFF"/>
    </w:rPr>
  </w:style>
  <w:style w:type="character" w:customStyle="1" w:styleId="Heading12">
    <w:name w:val="Heading #1 (2)_"/>
    <w:basedOn w:val="a0"/>
    <w:rsid w:val="002808C2"/>
    <w:rPr>
      <w:rFonts w:ascii="Times New Roman" w:eastAsia="Times New Roman" w:hAnsi="Times New Roman" w:cs="Times New Roman"/>
      <w:b w:val="0"/>
      <w:bCs w:val="0"/>
      <w:i w:val="0"/>
      <w:iCs w:val="0"/>
      <w:smallCaps w:val="0"/>
      <w:strike w:val="0"/>
      <w:sz w:val="27"/>
      <w:szCs w:val="27"/>
    </w:rPr>
  </w:style>
  <w:style w:type="character" w:customStyle="1" w:styleId="Heading120">
    <w:name w:val="Heading #1 (2)"/>
    <w:basedOn w:val="Heading12"/>
    <w:rsid w:val="002808C2"/>
    <w:rPr>
      <w:rFonts w:ascii="Times New Roman" w:eastAsia="Times New Roman" w:hAnsi="Times New Roman" w:cs="Times New Roman"/>
      <w:b w:val="0"/>
      <w:bCs w:val="0"/>
      <w:i w:val="0"/>
      <w:iCs w:val="0"/>
      <w:smallCaps w:val="0"/>
      <w:strike w:val="0"/>
      <w:sz w:val="27"/>
      <w:szCs w:val="27"/>
    </w:rPr>
  </w:style>
  <w:style w:type="character" w:customStyle="1" w:styleId="Bodytext10ptBold">
    <w:name w:val="Body text + 10 pt;Bold"/>
    <w:basedOn w:val="Bodytext"/>
    <w:rsid w:val="002808C2"/>
    <w:rPr>
      <w:rFonts w:ascii="Times New Roman" w:eastAsia="Times New Roman" w:hAnsi="Times New Roman"/>
      <w:b/>
      <w:bCs/>
      <w:sz w:val="20"/>
      <w:szCs w:val="20"/>
      <w:shd w:val="clear" w:color="auto" w:fill="FFFFFF"/>
    </w:rPr>
  </w:style>
  <w:style w:type="character" w:customStyle="1" w:styleId="Headerorfooter105pt">
    <w:name w:val="Header or footer + 10;5 pt"/>
    <w:basedOn w:val="Headerorfooter"/>
    <w:rsid w:val="002808C2"/>
    <w:rPr>
      <w:rFonts w:ascii="Times New Roman" w:eastAsia="Times New Roman" w:hAnsi="Times New Roman"/>
      <w:spacing w:val="0"/>
      <w:sz w:val="21"/>
      <w:szCs w:val="21"/>
      <w:shd w:val="clear" w:color="auto" w:fill="FFFFFF"/>
    </w:rPr>
  </w:style>
  <w:style w:type="character" w:customStyle="1" w:styleId="Bodytext10">
    <w:name w:val="Body text (10)_"/>
    <w:basedOn w:val="a0"/>
    <w:rsid w:val="002808C2"/>
    <w:rPr>
      <w:rFonts w:ascii="MS Gothic" w:eastAsia="MS Gothic" w:hAnsi="MS Gothic" w:cs="MS Gothic"/>
      <w:b w:val="0"/>
      <w:bCs w:val="0"/>
      <w:i w:val="0"/>
      <w:iCs w:val="0"/>
      <w:smallCaps w:val="0"/>
      <w:strike w:val="0"/>
      <w:sz w:val="9"/>
      <w:szCs w:val="9"/>
    </w:rPr>
  </w:style>
  <w:style w:type="character" w:customStyle="1" w:styleId="Bodytext100">
    <w:name w:val="Body text (10)"/>
    <w:basedOn w:val="Bodytext10"/>
    <w:rsid w:val="002808C2"/>
    <w:rPr>
      <w:rFonts w:ascii="MS Gothic" w:eastAsia="MS Gothic" w:hAnsi="MS Gothic" w:cs="MS Gothic"/>
      <w:b w:val="0"/>
      <w:bCs w:val="0"/>
      <w:i w:val="0"/>
      <w:iCs w:val="0"/>
      <w:smallCaps w:val="0"/>
      <w:strike w:val="0"/>
      <w:sz w:val="9"/>
      <w:szCs w:val="9"/>
    </w:rPr>
  </w:style>
  <w:style w:type="character" w:customStyle="1" w:styleId="Bodytext34ptNotItalic">
    <w:name w:val="Body text (3) + 4 pt;Not Italic"/>
    <w:basedOn w:val="Bodytext3"/>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Bodytext11">
    <w:name w:val="Body text (11)_"/>
    <w:basedOn w:val="a0"/>
    <w:rsid w:val="002808C2"/>
    <w:rPr>
      <w:rFonts w:ascii="Times New Roman" w:eastAsia="Times New Roman" w:hAnsi="Times New Roman" w:cs="Times New Roman"/>
      <w:b w:val="0"/>
      <w:bCs w:val="0"/>
      <w:i w:val="0"/>
      <w:iCs w:val="0"/>
      <w:smallCaps w:val="0"/>
      <w:strike w:val="0"/>
      <w:spacing w:val="0"/>
      <w:sz w:val="8"/>
      <w:szCs w:val="8"/>
    </w:rPr>
  </w:style>
  <w:style w:type="character" w:customStyle="1" w:styleId="Bodytext119ptNotItalic">
    <w:name w:val="Body text (11) + 9 pt;Not Italic"/>
    <w:basedOn w:val="Bodytext11"/>
    <w:rsid w:val="002808C2"/>
    <w:rPr>
      <w:rFonts w:ascii="Times New Roman" w:eastAsia="Times New Roman" w:hAnsi="Times New Roman" w:cs="Times New Roman"/>
      <w:b w:val="0"/>
      <w:bCs w:val="0"/>
      <w:i/>
      <w:iCs/>
      <w:smallCaps w:val="0"/>
      <w:strike w:val="0"/>
      <w:spacing w:val="0"/>
      <w:sz w:val="18"/>
      <w:szCs w:val="18"/>
    </w:rPr>
  </w:style>
  <w:style w:type="character" w:customStyle="1" w:styleId="Bodytext110">
    <w:name w:val="Body text (11)"/>
    <w:basedOn w:val="Bodytext11"/>
    <w:rsid w:val="002808C2"/>
    <w:rPr>
      <w:rFonts w:ascii="Times New Roman" w:eastAsia="Times New Roman" w:hAnsi="Times New Roman" w:cs="Times New Roman"/>
      <w:b w:val="0"/>
      <w:bCs w:val="0"/>
      <w:i w:val="0"/>
      <w:iCs w:val="0"/>
      <w:smallCaps w:val="0"/>
      <w:strike w:val="0"/>
      <w:spacing w:val="0"/>
      <w:sz w:val="8"/>
      <w:szCs w:val="8"/>
    </w:rPr>
  </w:style>
  <w:style w:type="character" w:customStyle="1" w:styleId="Bodytext12">
    <w:name w:val="Body text (12)_"/>
    <w:basedOn w:val="a0"/>
    <w:rsid w:val="002808C2"/>
    <w:rPr>
      <w:rFonts w:ascii="Times New Roman" w:eastAsia="Times New Roman" w:hAnsi="Times New Roman" w:cs="Times New Roman"/>
      <w:b w:val="0"/>
      <w:bCs w:val="0"/>
      <w:i w:val="0"/>
      <w:iCs w:val="0"/>
      <w:smallCaps w:val="0"/>
      <w:strike w:val="0"/>
      <w:sz w:val="34"/>
      <w:szCs w:val="34"/>
    </w:rPr>
  </w:style>
  <w:style w:type="character" w:customStyle="1" w:styleId="Bodytext120">
    <w:name w:val="Body text (12)"/>
    <w:basedOn w:val="Bodytext12"/>
    <w:rsid w:val="002808C2"/>
    <w:rPr>
      <w:rFonts w:ascii="Times New Roman" w:eastAsia="Times New Roman" w:hAnsi="Times New Roman" w:cs="Times New Roman"/>
      <w:b w:val="0"/>
      <w:bCs w:val="0"/>
      <w:i w:val="0"/>
      <w:iCs w:val="0"/>
      <w:smallCaps w:val="0"/>
      <w:strike w:val="0"/>
      <w:sz w:val="34"/>
      <w:szCs w:val="34"/>
    </w:rPr>
  </w:style>
  <w:style w:type="character" w:customStyle="1" w:styleId="Bodytext13">
    <w:name w:val="Body text (13)_"/>
    <w:basedOn w:val="a0"/>
    <w:rsid w:val="002808C2"/>
    <w:rPr>
      <w:rFonts w:ascii="Times New Roman" w:eastAsia="Times New Roman" w:hAnsi="Times New Roman" w:cs="Times New Roman"/>
      <w:b w:val="0"/>
      <w:bCs w:val="0"/>
      <w:i w:val="0"/>
      <w:iCs w:val="0"/>
      <w:smallCaps w:val="0"/>
      <w:strike w:val="0"/>
      <w:sz w:val="34"/>
      <w:szCs w:val="34"/>
    </w:rPr>
  </w:style>
  <w:style w:type="character" w:customStyle="1" w:styleId="Bodytext130">
    <w:name w:val="Body text (13)"/>
    <w:basedOn w:val="Bodytext13"/>
    <w:rsid w:val="002808C2"/>
    <w:rPr>
      <w:rFonts w:ascii="Times New Roman" w:eastAsia="Times New Roman" w:hAnsi="Times New Roman" w:cs="Times New Roman"/>
      <w:b w:val="0"/>
      <w:bCs w:val="0"/>
      <w:i w:val="0"/>
      <w:iCs w:val="0"/>
      <w:smallCaps w:val="0"/>
      <w:strike w:val="0"/>
      <w:sz w:val="34"/>
      <w:szCs w:val="34"/>
    </w:rPr>
  </w:style>
  <w:style w:type="character" w:customStyle="1" w:styleId="Bodytext2Dotum75pt">
    <w:name w:val="Body text (2) + Dotum;7;5 pt"/>
    <w:basedOn w:val="Bodytext2"/>
    <w:rsid w:val="002808C2"/>
    <w:rPr>
      <w:rFonts w:ascii="Dotum" w:eastAsia="Dotum" w:hAnsi="Dotum" w:cs="Dotum"/>
      <w:b w:val="0"/>
      <w:bCs w:val="0"/>
      <w:i w:val="0"/>
      <w:iCs w:val="0"/>
      <w:smallCaps w:val="0"/>
      <w:strike w:val="0"/>
      <w:spacing w:val="0"/>
      <w:w w:val="100"/>
      <w:sz w:val="15"/>
      <w:szCs w:val="15"/>
    </w:rPr>
  </w:style>
  <w:style w:type="character" w:customStyle="1" w:styleId="Bodytext14">
    <w:name w:val="Body text (14)_"/>
    <w:basedOn w:val="a0"/>
    <w:rsid w:val="002808C2"/>
    <w:rPr>
      <w:rFonts w:ascii="Times New Roman" w:eastAsia="Times New Roman" w:hAnsi="Times New Roman" w:cs="Times New Roman"/>
      <w:b w:val="0"/>
      <w:bCs w:val="0"/>
      <w:i w:val="0"/>
      <w:iCs w:val="0"/>
      <w:smallCaps w:val="0"/>
      <w:strike w:val="0"/>
      <w:sz w:val="8"/>
      <w:szCs w:val="8"/>
    </w:rPr>
  </w:style>
  <w:style w:type="character" w:customStyle="1" w:styleId="Bodytext140">
    <w:name w:val="Body text (14)"/>
    <w:basedOn w:val="Bodytext14"/>
    <w:rsid w:val="002808C2"/>
    <w:rPr>
      <w:rFonts w:ascii="Times New Roman" w:eastAsia="Times New Roman" w:hAnsi="Times New Roman" w:cs="Times New Roman"/>
      <w:b w:val="0"/>
      <w:bCs w:val="0"/>
      <w:i w:val="0"/>
      <w:iCs w:val="0"/>
      <w:smallCaps w:val="0"/>
      <w:strike w:val="0"/>
      <w:sz w:val="8"/>
      <w:szCs w:val="8"/>
    </w:rPr>
  </w:style>
  <w:style w:type="character" w:customStyle="1" w:styleId="Bodytext2Arial13ptBold">
    <w:name w:val="Body text (2) + Arial;13 pt;Bold"/>
    <w:basedOn w:val="Bodytext2"/>
    <w:rsid w:val="002808C2"/>
    <w:rPr>
      <w:rFonts w:ascii="Arial" w:eastAsia="Arial" w:hAnsi="Arial" w:cs="Arial"/>
      <w:b/>
      <w:bCs/>
      <w:i w:val="0"/>
      <w:iCs w:val="0"/>
      <w:smallCaps w:val="0"/>
      <w:strike w:val="0"/>
      <w:spacing w:val="0"/>
      <w:sz w:val="26"/>
      <w:szCs w:val="26"/>
    </w:rPr>
  </w:style>
  <w:style w:type="character" w:customStyle="1" w:styleId="Bodytext15">
    <w:name w:val="Body text (15)_"/>
    <w:basedOn w:val="a0"/>
    <w:rsid w:val="002808C2"/>
    <w:rPr>
      <w:rFonts w:ascii="Dotum" w:eastAsia="Dotum" w:hAnsi="Dotum" w:cs="Dotum"/>
      <w:b w:val="0"/>
      <w:bCs w:val="0"/>
      <w:i w:val="0"/>
      <w:iCs w:val="0"/>
      <w:smallCaps w:val="0"/>
      <w:strike w:val="0"/>
      <w:sz w:val="10"/>
      <w:szCs w:val="10"/>
    </w:rPr>
  </w:style>
  <w:style w:type="character" w:customStyle="1" w:styleId="Bodytext150">
    <w:name w:val="Body text (15)"/>
    <w:basedOn w:val="Bodytext15"/>
    <w:rsid w:val="002808C2"/>
    <w:rPr>
      <w:rFonts w:ascii="Dotum" w:eastAsia="Dotum" w:hAnsi="Dotum" w:cs="Dotum"/>
      <w:b w:val="0"/>
      <w:bCs w:val="0"/>
      <w:i w:val="0"/>
      <w:iCs w:val="0"/>
      <w:smallCaps w:val="0"/>
      <w:strike w:val="0"/>
      <w:sz w:val="10"/>
      <w:szCs w:val="10"/>
    </w:rPr>
  </w:style>
  <w:style w:type="character" w:customStyle="1" w:styleId="Heading22Spacing1pt">
    <w:name w:val="Heading #2 (2) + Spacing 1 pt"/>
    <w:basedOn w:val="Heading22"/>
    <w:rsid w:val="002808C2"/>
    <w:rPr>
      <w:rFonts w:ascii="Times New Roman" w:eastAsia="Times New Roman" w:hAnsi="Times New Roman" w:cs="Times New Roman"/>
      <w:b w:val="0"/>
      <w:bCs w:val="0"/>
      <w:i w:val="0"/>
      <w:iCs w:val="0"/>
      <w:smallCaps w:val="0"/>
      <w:strike w:val="0"/>
      <w:spacing w:val="30"/>
      <w:sz w:val="23"/>
      <w:szCs w:val="23"/>
    </w:rPr>
  </w:style>
  <w:style w:type="character" w:customStyle="1" w:styleId="Bodytext2Italic">
    <w:name w:val="Body text (2) + Italic"/>
    <w:basedOn w:val="Bodytext2"/>
    <w:rsid w:val="002808C2"/>
    <w:rPr>
      <w:rFonts w:ascii="Times New Roman" w:eastAsia="Times New Roman" w:hAnsi="Times New Roman" w:cs="Times New Roman"/>
      <w:b w:val="0"/>
      <w:bCs w:val="0"/>
      <w:i/>
      <w:iCs/>
      <w:smallCaps w:val="0"/>
      <w:strike w:val="0"/>
      <w:spacing w:val="0"/>
      <w:sz w:val="18"/>
      <w:szCs w:val="18"/>
    </w:rPr>
  </w:style>
  <w:style w:type="paragraph" w:customStyle="1" w:styleId="Pa4">
    <w:name w:val="Pa4"/>
    <w:basedOn w:val="a"/>
    <w:next w:val="a"/>
    <w:uiPriority w:val="99"/>
    <w:rsid w:val="002808C2"/>
    <w:pPr>
      <w:autoSpaceDE w:val="0"/>
      <w:autoSpaceDN w:val="0"/>
      <w:adjustRightInd w:val="0"/>
      <w:spacing w:line="201" w:lineRule="atLeast"/>
    </w:pPr>
    <w:rPr>
      <w:rFonts w:ascii="Minion Pro" w:eastAsiaTheme="minorHAnsi" w:hAnsi="Minion Pro" w:cstheme="minorBidi"/>
    </w:rPr>
  </w:style>
  <w:style w:type="paragraph" w:customStyle="1" w:styleId="Pa2">
    <w:name w:val="Pa2"/>
    <w:basedOn w:val="a"/>
    <w:next w:val="a"/>
    <w:uiPriority w:val="99"/>
    <w:rsid w:val="002808C2"/>
    <w:pPr>
      <w:autoSpaceDE w:val="0"/>
      <w:autoSpaceDN w:val="0"/>
      <w:adjustRightInd w:val="0"/>
      <w:spacing w:line="161" w:lineRule="atLeast"/>
    </w:pPr>
    <w:rPr>
      <w:rFonts w:ascii="Minion Pro" w:eastAsiaTheme="minorHAnsi" w:hAnsi="Minion Pro" w:cstheme="minorBidi"/>
    </w:rPr>
  </w:style>
  <w:style w:type="paragraph" w:customStyle="1" w:styleId="Pa11">
    <w:name w:val="Pa11"/>
    <w:basedOn w:val="a"/>
    <w:next w:val="a"/>
    <w:uiPriority w:val="99"/>
    <w:rsid w:val="002808C2"/>
    <w:pPr>
      <w:autoSpaceDE w:val="0"/>
      <w:autoSpaceDN w:val="0"/>
      <w:adjustRightInd w:val="0"/>
      <w:spacing w:line="141" w:lineRule="atLeast"/>
    </w:pPr>
    <w:rPr>
      <w:rFonts w:ascii="Minion Pro" w:eastAsiaTheme="minorHAnsi" w:hAnsi="Minion Pro" w:cstheme="minorBidi"/>
    </w:rPr>
  </w:style>
  <w:style w:type="character" w:customStyle="1" w:styleId="A40">
    <w:name w:val="A4"/>
    <w:uiPriority w:val="99"/>
    <w:rsid w:val="002808C2"/>
    <w:rPr>
      <w:rFonts w:cs="Minion Pro"/>
      <w:color w:val="000000"/>
      <w:sz w:val="9"/>
      <w:szCs w:val="9"/>
    </w:rPr>
  </w:style>
  <w:style w:type="paragraph" w:customStyle="1" w:styleId="Pa1">
    <w:name w:val="Pa1"/>
    <w:basedOn w:val="a"/>
    <w:next w:val="a"/>
    <w:uiPriority w:val="99"/>
    <w:rsid w:val="002808C2"/>
    <w:pPr>
      <w:autoSpaceDE w:val="0"/>
      <w:autoSpaceDN w:val="0"/>
      <w:adjustRightInd w:val="0"/>
      <w:spacing w:line="161" w:lineRule="atLeast"/>
    </w:pPr>
    <w:rPr>
      <w:rFonts w:ascii="Minion Pro" w:eastAsiaTheme="minorHAnsi" w:hAnsi="Minion Pro" w:cstheme="minorBidi"/>
    </w:rPr>
  </w:style>
  <w:style w:type="paragraph" w:customStyle="1" w:styleId="Pa26">
    <w:name w:val="Pa26"/>
    <w:basedOn w:val="Default"/>
    <w:next w:val="Default"/>
    <w:uiPriority w:val="99"/>
    <w:rsid w:val="002808C2"/>
    <w:pPr>
      <w:spacing w:line="161" w:lineRule="atLeast"/>
    </w:pPr>
    <w:rPr>
      <w:rFonts w:ascii="Minion Pro" w:eastAsiaTheme="minorHAnsi" w:hAnsi="Minion Pro" w:cstheme="minorBidi"/>
      <w:color w:val="auto"/>
    </w:rPr>
  </w:style>
  <w:style w:type="paragraph" w:customStyle="1" w:styleId="Pa27">
    <w:name w:val="Pa27"/>
    <w:basedOn w:val="Default"/>
    <w:next w:val="Default"/>
    <w:uiPriority w:val="99"/>
    <w:rsid w:val="002808C2"/>
    <w:pPr>
      <w:spacing w:line="161" w:lineRule="atLeast"/>
    </w:pPr>
    <w:rPr>
      <w:rFonts w:ascii="Minion Pro" w:eastAsiaTheme="minorHAnsi" w:hAnsi="Minion Pro" w:cstheme="minorBidi"/>
      <w:color w:val="auto"/>
    </w:rPr>
  </w:style>
  <w:style w:type="paragraph" w:customStyle="1" w:styleId="s2">
    <w:name w:val="s2"/>
    <w:basedOn w:val="a"/>
    <w:rsid w:val="002808C2"/>
    <w:rPr>
      <w:color w:val="231F20"/>
      <w:sz w:val="20"/>
      <w:szCs w:val="20"/>
    </w:rPr>
  </w:style>
  <w:style w:type="paragraph" w:customStyle="1" w:styleId="s9">
    <w:name w:val="s9"/>
    <w:basedOn w:val="a"/>
    <w:rsid w:val="002808C2"/>
    <w:rPr>
      <w:b/>
      <w:bCs/>
      <w:color w:val="FFFFFF"/>
      <w:sz w:val="20"/>
      <w:szCs w:val="20"/>
    </w:rPr>
  </w:style>
  <w:style w:type="paragraph" w:customStyle="1" w:styleId="s10">
    <w:name w:val="s10"/>
    <w:basedOn w:val="a"/>
    <w:rsid w:val="002808C2"/>
    <w:rPr>
      <w:b/>
      <w:bCs/>
      <w:color w:val="231F20"/>
      <w:sz w:val="20"/>
      <w:szCs w:val="20"/>
    </w:rPr>
  </w:style>
  <w:style w:type="character" w:customStyle="1" w:styleId="s121">
    <w:name w:val="s121"/>
    <w:basedOn w:val="a0"/>
    <w:rsid w:val="002808C2"/>
    <w:rPr>
      <w:rFonts w:ascii="Times New Roman" w:hAnsi="Times New Roman" w:cs="Times New Roman" w:hint="default"/>
      <w:b w:val="0"/>
      <w:bCs w:val="0"/>
      <w:i w:val="0"/>
      <w:iCs w:val="0"/>
      <w:strike w:val="0"/>
      <w:dstrike w:val="0"/>
      <w:color w:val="231F20"/>
      <w:position w:val="6"/>
      <w:sz w:val="11"/>
      <w:szCs w:val="11"/>
      <w:u w:val="none"/>
      <w:effect w:val="none"/>
    </w:rPr>
  </w:style>
  <w:style w:type="character" w:customStyle="1" w:styleId="z-">
    <w:name w:val="z-Начало формы Знак"/>
    <w:basedOn w:val="a0"/>
    <w:link w:val="z-0"/>
    <w:uiPriority w:val="99"/>
    <w:semiHidden/>
    <w:rsid w:val="002808C2"/>
    <w:rPr>
      <w:rFonts w:ascii="Arial" w:eastAsia="Times New Roman" w:hAnsi="Arial" w:cs="Arial"/>
      <w:vanish/>
      <w:sz w:val="16"/>
      <w:szCs w:val="16"/>
    </w:rPr>
  </w:style>
  <w:style w:type="paragraph" w:styleId="z-0">
    <w:name w:val="HTML Top of Form"/>
    <w:basedOn w:val="a"/>
    <w:next w:val="a"/>
    <w:link w:val="z-"/>
    <w:hidden/>
    <w:uiPriority w:val="99"/>
    <w:semiHidden/>
    <w:unhideWhenUsed/>
    <w:rsid w:val="002808C2"/>
    <w:pPr>
      <w:pBdr>
        <w:bottom w:val="single" w:sz="6" w:space="1" w:color="auto"/>
      </w:pBdr>
      <w:jc w:val="center"/>
    </w:pPr>
    <w:rPr>
      <w:rFonts w:ascii="Arial" w:hAnsi="Arial" w:cs="Arial"/>
      <w:vanish/>
      <w:sz w:val="16"/>
      <w:szCs w:val="16"/>
    </w:rPr>
  </w:style>
  <w:style w:type="character" w:customStyle="1" w:styleId="z-1">
    <w:name w:val="z-Конец формы Знак"/>
    <w:basedOn w:val="a0"/>
    <w:link w:val="z-2"/>
    <w:uiPriority w:val="99"/>
    <w:semiHidden/>
    <w:rsid w:val="002808C2"/>
    <w:rPr>
      <w:rFonts w:ascii="Arial" w:eastAsia="Times New Roman" w:hAnsi="Arial" w:cs="Arial"/>
      <w:vanish/>
      <w:sz w:val="16"/>
      <w:szCs w:val="16"/>
    </w:rPr>
  </w:style>
  <w:style w:type="paragraph" w:styleId="z-2">
    <w:name w:val="HTML Bottom of Form"/>
    <w:basedOn w:val="a"/>
    <w:next w:val="a"/>
    <w:link w:val="z-1"/>
    <w:hidden/>
    <w:uiPriority w:val="99"/>
    <w:semiHidden/>
    <w:unhideWhenUsed/>
    <w:rsid w:val="002808C2"/>
    <w:pPr>
      <w:pBdr>
        <w:top w:val="single" w:sz="6" w:space="1" w:color="auto"/>
      </w:pBdr>
      <w:jc w:val="center"/>
    </w:pPr>
    <w:rPr>
      <w:rFonts w:ascii="Arial" w:hAnsi="Arial" w:cs="Arial"/>
      <w:vanish/>
      <w:sz w:val="16"/>
      <w:szCs w:val="16"/>
    </w:rPr>
  </w:style>
  <w:style w:type="character" w:customStyle="1" w:styleId="gltxtsm3">
    <w:name w:val="gl_txtsm3"/>
    <w:basedOn w:val="a0"/>
    <w:rsid w:val="002808C2"/>
    <w:rPr>
      <w:rFonts w:ascii="Georgia" w:hAnsi="Georgia" w:hint="default"/>
      <w:i/>
      <w:iCs/>
      <w:sz w:val="20"/>
      <w:szCs w:val="20"/>
    </w:rPr>
  </w:style>
  <w:style w:type="character" w:customStyle="1" w:styleId="small1">
    <w:name w:val="small1"/>
    <w:basedOn w:val="a0"/>
    <w:rsid w:val="002808C2"/>
    <w:rPr>
      <w:b w:val="0"/>
      <w:bCs w:val="0"/>
      <w:color w:val="999999"/>
      <w:sz w:val="22"/>
      <w:szCs w:val="22"/>
    </w:rPr>
  </w:style>
  <w:style w:type="paragraph" w:customStyle="1" w:styleId="1a">
    <w:name w:val="1"/>
    <w:basedOn w:val="a"/>
    <w:rsid w:val="002808C2"/>
    <w:pPr>
      <w:spacing w:after="75"/>
    </w:pPr>
  </w:style>
  <w:style w:type="paragraph" w:customStyle="1" w:styleId="a00">
    <w:name w:val="a0"/>
    <w:basedOn w:val="a"/>
    <w:rsid w:val="002808C2"/>
    <w:pPr>
      <w:spacing w:after="75"/>
    </w:pPr>
  </w:style>
  <w:style w:type="paragraph" w:customStyle="1" w:styleId="2a">
    <w:name w:val="2"/>
    <w:basedOn w:val="a"/>
    <w:rsid w:val="002808C2"/>
    <w:pPr>
      <w:spacing w:after="75"/>
    </w:pPr>
  </w:style>
  <w:style w:type="paragraph" w:customStyle="1" w:styleId="af1">
    <w:name w:val="a"/>
    <w:basedOn w:val="a"/>
    <w:rsid w:val="002808C2"/>
    <w:pPr>
      <w:spacing w:after="75"/>
    </w:pPr>
  </w:style>
  <w:style w:type="paragraph" w:customStyle="1" w:styleId="mainheading">
    <w:name w:val="mainheading"/>
    <w:basedOn w:val="a"/>
    <w:rsid w:val="002808C2"/>
    <w:pPr>
      <w:spacing w:before="200"/>
      <w:ind w:left="480" w:right="3672"/>
    </w:pPr>
    <w:rPr>
      <w:b/>
      <w:bCs/>
      <w:color w:val="000000"/>
      <w:sz w:val="44"/>
      <w:szCs w:val="44"/>
    </w:rPr>
  </w:style>
  <w:style w:type="paragraph" w:customStyle="1" w:styleId="pag">
    <w:name w:val="pag"/>
    <w:basedOn w:val="a"/>
    <w:rsid w:val="002808C2"/>
    <w:pPr>
      <w:shd w:val="clear" w:color="auto" w:fill="DAD3A0"/>
      <w:ind w:firstLine="480"/>
      <w:jc w:val="center"/>
    </w:pPr>
    <w:rPr>
      <w:color w:val="000000"/>
      <w:sz w:val="20"/>
      <w:szCs w:val="20"/>
    </w:rPr>
  </w:style>
  <w:style w:type="paragraph" w:customStyle="1" w:styleId="c">
    <w:name w:val="c"/>
    <w:basedOn w:val="a"/>
    <w:rsid w:val="002808C2"/>
    <w:pPr>
      <w:spacing w:before="100" w:beforeAutospacing="1" w:after="100" w:afterAutospacing="1"/>
    </w:pPr>
  </w:style>
  <w:style w:type="paragraph" w:customStyle="1" w:styleId="c2">
    <w:name w:val="c2"/>
    <w:basedOn w:val="a"/>
    <w:rsid w:val="002808C2"/>
    <w:pPr>
      <w:spacing w:before="100" w:beforeAutospacing="1" w:after="100" w:afterAutospacing="1"/>
    </w:pPr>
  </w:style>
  <w:style w:type="character" w:customStyle="1" w:styleId="q4">
    <w:name w:val="q4"/>
    <w:basedOn w:val="a0"/>
    <w:rsid w:val="002808C2"/>
    <w:rPr>
      <w:rFonts w:ascii="Arial" w:hAnsi="Arial" w:cs="Arial" w:hint="default"/>
      <w:b/>
      <w:bCs/>
      <w:sz w:val="24"/>
      <w:szCs w:val="24"/>
      <w:shd w:val="clear" w:color="auto" w:fill="EBF3F4"/>
    </w:rPr>
  </w:style>
  <w:style w:type="paragraph" w:styleId="af2">
    <w:name w:val="header"/>
    <w:basedOn w:val="a"/>
    <w:link w:val="af3"/>
    <w:uiPriority w:val="99"/>
    <w:unhideWhenUsed/>
    <w:rsid w:val="002808C2"/>
    <w:pPr>
      <w:tabs>
        <w:tab w:val="center" w:pos="4677"/>
        <w:tab w:val="right" w:pos="9355"/>
      </w:tabs>
      <w:overflowPunct w:val="0"/>
      <w:autoSpaceDE w:val="0"/>
      <w:autoSpaceDN w:val="0"/>
      <w:adjustRightInd w:val="0"/>
      <w:textAlignment w:val="baseline"/>
    </w:pPr>
    <w:rPr>
      <w:sz w:val="20"/>
      <w:szCs w:val="20"/>
    </w:rPr>
  </w:style>
  <w:style w:type="character" w:customStyle="1" w:styleId="af3">
    <w:name w:val="Верхний колонтитул Знак"/>
    <w:basedOn w:val="a0"/>
    <w:link w:val="af2"/>
    <w:uiPriority w:val="99"/>
    <w:rsid w:val="002808C2"/>
    <w:rPr>
      <w:rFonts w:ascii="Times New Roman" w:eastAsia="Times New Roman" w:hAnsi="Times New Roman"/>
    </w:rPr>
  </w:style>
  <w:style w:type="paragraph" w:styleId="af4">
    <w:name w:val="footer"/>
    <w:basedOn w:val="a"/>
    <w:link w:val="af5"/>
    <w:uiPriority w:val="99"/>
    <w:unhideWhenUsed/>
    <w:rsid w:val="002808C2"/>
    <w:pPr>
      <w:tabs>
        <w:tab w:val="center" w:pos="4677"/>
        <w:tab w:val="right" w:pos="9355"/>
      </w:tabs>
      <w:overflowPunct w:val="0"/>
      <w:autoSpaceDE w:val="0"/>
      <w:autoSpaceDN w:val="0"/>
      <w:adjustRightInd w:val="0"/>
      <w:textAlignment w:val="baseline"/>
    </w:pPr>
    <w:rPr>
      <w:sz w:val="20"/>
      <w:szCs w:val="20"/>
    </w:rPr>
  </w:style>
  <w:style w:type="character" w:customStyle="1" w:styleId="af5">
    <w:name w:val="Нижний колонтитул Знак"/>
    <w:basedOn w:val="a0"/>
    <w:link w:val="af4"/>
    <w:uiPriority w:val="99"/>
    <w:rsid w:val="002808C2"/>
    <w:rPr>
      <w:rFonts w:ascii="Times New Roman" w:eastAsia="Times New Roman" w:hAnsi="Times New Roman"/>
    </w:rPr>
  </w:style>
  <w:style w:type="paragraph" w:customStyle="1" w:styleId="msonormal0">
    <w:name w:val="msonormal"/>
    <w:basedOn w:val="a"/>
    <w:rsid w:val="002808C2"/>
    <w:pPr>
      <w:spacing w:before="100" w:beforeAutospacing="1" w:after="100" w:afterAutospacing="1"/>
    </w:pPr>
  </w:style>
  <w:style w:type="paragraph" w:styleId="af6">
    <w:name w:val="List Paragraph"/>
    <w:basedOn w:val="a"/>
    <w:uiPriority w:val="34"/>
    <w:qFormat/>
    <w:rsid w:val="002808C2"/>
    <w:pPr>
      <w:overflowPunct w:val="0"/>
      <w:autoSpaceDE w:val="0"/>
      <w:autoSpaceDN w:val="0"/>
      <w:adjustRightInd w:val="0"/>
      <w:ind w:left="720"/>
      <w:contextualSpacing/>
      <w:textAlignment w:val="baseline"/>
    </w:pPr>
    <w:rPr>
      <w:sz w:val="20"/>
      <w:szCs w:val="20"/>
    </w:rPr>
  </w:style>
  <w:style w:type="character" w:customStyle="1" w:styleId="af7">
    <w:name w:val="Текст выноски Знак"/>
    <w:basedOn w:val="a0"/>
    <w:link w:val="af8"/>
    <w:uiPriority w:val="99"/>
    <w:semiHidden/>
    <w:rsid w:val="002808C2"/>
    <w:rPr>
      <w:rFonts w:ascii="Segoe UI" w:hAnsi="Segoe UI" w:cs="Segoe UI"/>
      <w:sz w:val="18"/>
      <w:szCs w:val="18"/>
    </w:rPr>
  </w:style>
  <w:style w:type="paragraph" w:styleId="af8">
    <w:name w:val="Balloon Text"/>
    <w:basedOn w:val="a"/>
    <w:link w:val="af7"/>
    <w:uiPriority w:val="99"/>
    <w:semiHidden/>
    <w:unhideWhenUsed/>
    <w:rsid w:val="002808C2"/>
    <w:rPr>
      <w:rFonts w:ascii="Segoe UI" w:hAnsi="Segoe UI" w:cs="Segoe UI"/>
      <w:sz w:val="18"/>
      <w:szCs w:val="18"/>
    </w:rPr>
  </w:style>
  <w:style w:type="character" w:customStyle="1" w:styleId="1b">
    <w:name w:val="Текст выноски Знак1"/>
    <w:basedOn w:val="a0"/>
    <w:uiPriority w:val="99"/>
    <w:semiHidden/>
    <w:rsid w:val="002808C2"/>
    <w:rPr>
      <w:rFonts w:ascii="Segoe UI" w:hAnsi="Segoe UI" w:cs="Segoe UI"/>
      <w:sz w:val="18"/>
      <w:szCs w:val="18"/>
      <w:lang w:eastAsia="en-US"/>
    </w:rPr>
  </w:style>
  <w:style w:type="paragraph" w:styleId="af9">
    <w:name w:val="annotation text"/>
    <w:basedOn w:val="a"/>
    <w:link w:val="afa"/>
    <w:uiPriority w:val="99"/>
    <w:semiHidden/>
    <w:unhideWhenUsed/>
    <w:rsid w:val="002808C2"/>
    <w:pPr>
      <w:spacing w:after="160"/>
    </w:pPr>
    <w:rPr>
      <w:rFonts w:asciiTheme="minorHAnsi" w:eastAsiaTheme="minorHAnsi" w:hAnsiTheme="minorHAnsi" w:cstheme="minorBidi"/>
      <w:sz w:val="20"/>
      <w:szCs w:val="20"/>
    </w:rPr>
  </w:style>
  <w:style w:type="character" w:customStyle="1" w:styleId="afa">
    <w:name w:val="Текст примечания Знак"/>
    <w:basedOn w:val="a0"/>
    <w:link w:val="af9"/>
    <w:uiPriority w:val="99"/>
    <w:semiHidden/>
    <w:rsid w:val="002808C2"/>
    <w:rPr>
      <w:rFonts w:asciiTheme="minorHAnsi" w:eastAsiaTheme="minorHAnsi" w:hAnsiTheme="minorHAnsi" w:cstheme="minorBidi"/>
      <w:lang w:eastAsia="en-US"/>
    </w:rPr>
  </w:style>
  <w:style w:type="character" w:customStyle="1" w:styleId="gogofoundword1">
    <w:name w:val="gogofoundword1"/>
    <w:basedOn w:val="a0"/>
    <w:rsid w:val="002808C2"/>
    <w:rPr>
      <w:shd w:val="clear" w:color="auto" w:fill="FFFF00"/>
    </w:rPr>
  </w:style>
  <w:style w:type="paragraph" w:customStyle="1" w:styleId="droplist">
    <w:name w:val="droplist"/>
    <w:basedOn w:val="a"/>
    <w:rsid w:val="002808C2"/>
    <w:pPr>
      <w:shd w:val="clear" w:color="auto" w:fill="FFFFFF"/>
      <w:spacing w:before="100" w:beforeAutospacing="1" w:after="100" w:afterAutospacing="1"/>
    </w:pPr>
  </w:style>
  <w:style w:type="paragraph" w:customStyle="1" w:styleId="jgelementgal">
    <w:name w:val="jg_element_gal"/>
    <w:basedOn w:val="a"/>
    <w:rsid w:val="002808C2"/>
    <w:pPr>
      <w:spacing w:before="100" w:beforeAutospacing="1" w:after="100" w:afterAutospacing="1"/>
    </w:pPr>
  </w:style>
  <w:style w:type="paragraph" w:customStyle="1" w:styleId="jgelementgalr">
    <w:name w:val="jg_element_gal_r"/>
    <w:basedOn w:val="a"/>
    <w:rsid w:val="002808C2"/>
    <w:pPr>
      <w:spacing w:before="100" w:beforeAutospacing="1" w:after="100" w:afterAutospacing="1"/>
    </w:pPr>
  </w:style>
  <w:style w:type="paragraph" w:customStyle="1" w:styleId="jgelementtxtsubs">
    <w:name w:val="jg_element_txt_subs"/>
    <w:basedOn w:val="a"/>
    <w:rsid w:val="002808C2"/>
    <w:pPr>
      <w:spacing w:before="100" w:beforeAutospacing="1" w:after="100" w:afterAutospacing="1"/>
    </w:pPr>
  </w:style>
  <w:style w:type="paragraph" w:customStyle="1" w:styleId="jgelementcat">
    <w:name w:val="jg_element_cat"/>
    <w:basedOn w:val="a"/>
    <w:rsid w:val="002808C2"/>
    <w:pPr>
      <w:spacing w:before="100" w:beforeAutospacing="1" w:after="100" w:afterAutospacing="1"/>
    </w:pPr>
  </w:style>
  <w:style w:type="paragraph" w:customStyle="1" w:styleId="jgsubcatelemcat">
    <w:name w:val="jg_subcatelem_cat"/>
    <w:basedOn w:val="a"/>
    <w:rsid w:val="002808C2"/>
    <w:pPr>
      <w:spacing w:before="100" w:beforeAutospacing="1" w:after="100" w:afterAutospacing="1"/>
      <w:jc w:val="center"/>
    </w:pPr>
  </w:style>
  <w:style w:type="paragraph" w:customStyle="1" w:styleId="jgsubcatelemcatr">
    <w:name w:val="jg_subcatelem_cat_r"/>
    <w:basedOn w:val="a"/>
    <w:rsid w:val="002808C2"/>
    <w:pPr>
      <w:spacing w:before="100" w:beforeAutospacing="1" w:after="100" w:afterAutospacing="1"/>
      <w:jc w:val="center"/>
    </w:pPr>
  </w:style>
  <w:style w:type="paragraph" w:customStyle="1" w:styleId="jgsubcatelemtxt">
    <w:name w:val="jg_subcatelem_txt"/>
    <w:basedOn w:val="a"/>
    <w:rsid w:val="002808C2"/>
    <w:pPr>
      <w:spacing w:before="100" w:beforeAutospacing="1" w:after="100" w:afterAutospacing="1"/>
      <w:jc w:val="center"/>
    </w:pPr>
  </w:style>
  <w:style w:type="paragraph" w:customStyle="1" w:styleId="jgminipic">
    <w:name w:val="jg_minipic"/>
    <w:basedOn w:val="a"/>
    <w:rsid w:val="002808C2"/>
    <w:pPr>
      <w:pBdr>
        <w:top w:val="single" w:sz="6" w:space="1" w:color="000000"/>
        <w:left w:val="single" w:sz="6" w:space="1" w:color="000000"/>
        <w:bottom w:val="single" w:sz="6" w:space="1" w:color="000000"/>
        <w:right w:val="single" w:sz="6" w:space="1" w:color="000000"/>
      </w:pBdr>
      <w:spacing w:before="100" w:beforeAutospacing="1" w:after="100" w:afterAutospacing="1"/>
    </w:pPr>
  </w:style>
  <w:style w:type="paragraph" w:customStyle="1" w:styleId="jgrm">
    <w:name w:val="jg_rm"/>
    <w:basedOn w:val="a"/>
    <w:rsid w:val="002808C2"/>
    <w:pPr>
      <w:spacing w:before="100" w:beforeAutospacing="1" w:after="100" w:afterAutospacing="1"/>
      <w:textAlignment w:val="center"/>
    </w:pPr>
    <w:rPr>
      <w:color w:val="999999"/>
      <w:sz w:val="19"/>
      <w:szCs w:val="19"/>
    </w:rPr>
  </w:style>
  <w:style w:type="paragraph" w:customStyle="1" w:styleId="jgsm">
    <w:name w:val="jg_sm"/>
    <w:basedOn w:val="a"/>
    <w:rsid w:val="002808C2"/>
    <w:pPr>
      <w:spacing w:before="100" w:beforeAutospacing="1" w:after="100" w:afterAutospacing="1"/>
      <w:textAlignment w:val="center"/>
    </w:pPr>
    <w:rPr>
      <w:color w:val="999999"/>
      <w:sz w:val="19"/>
      <w:szCs w:val="19"/>
    </w:rPr>
  </w:style>
  <w:style w:type="paragraph" w:customStyle="1" w:styleId="jgback">
    <w:name w:val="jg_back"/>
    <w:basedOn w:val="a"/>
    <w:rsid w:val="002808C2"/>
    <w:pPr>
      <w:spacing w:before="100" w:beforeAutospacing="1" w:after="100" w:afterAutospacing="1"/>
    </w:pPr>
  </w:style>
  <w:style w:type="paragraph" w:customStyle="1" w:styleId="jgnoscript">
    <w:name w:val="jg_no_script"/>
    <w:basedOn w:val="a"/>
    <w:rsid w:val="002808C2"/>
    <w:pPr>
      <w:spacing w:before="100" w:beforeAutospacing="1" w:after="100" w:afterAutospacing="1"/>
    </w:pPr>
    <w:rPr>
      <w:color w:val="999999"/>
      <w:sz w:val="19"/>
      <w:szCs w:val="19"/>
    </w:rPr>
  </w:style>
  <w:style w:type="paragraph" w:customStyle="1" w:styleId="jgnoaccess">
    <w:name w:val="jg_no_access"/>
    <w:basedOn w:val="a"/>
    <w:rsid w:val="002808C2"/>
    <w:pPr>
      <w:spacing w:before="100" w:beforeAutospacing="1" w:after="100" w:afterAutospacing="1"/>
    </w:pPr>
    <w:rPr>
      <w:color w:val="777777"/>
    </w:rPr>
  </w:style>
  <w:style w:type="paragraph" w:customStyle="1" w:styleId="jgspinner">
    <w:name w:val="jg_spinner"/>
    <w:basedOn w:val="a"/>
    <w:rsid w:val="002808C2"/>
    <w:pPr>
      <w:spacing w:before="100" w:beforeAutospacing="1" w:after="100" w:afterAutospacing="1"/>
    </w:pPr>
  </w:style>
  <w:style w:type="paragraph" w:customStyle="1" w:styleId="jgpathway">
    <w:name w:val="jg_pathway"/>
    <w:basedOn w:val="a"/>
    <w:rsid w:val="002808C2"/>
    <w:pPr>
      <w:spacing w:before="100" w:beforeAutospacing="1" w:after="100" w:afterAutospacing="1"/>
    </w:pPr>
  </w:style>
  <w:style w:type="paragraph" w:customStyle="1" w:styleId="jgmygal">
    <w:name w:val="jg_mygal"/>
    <w:basedOn w:val="a"/>
    <w:rsid w:val="002808C2"/>
    <w:pPr>
      <w:spacing w:before="100" w:beforeAutospacing="1" w:after="100" w:afterAutospacing="1"/>
    </w:pPr>
    <w:rPr>
      <w:b/>
      <w:bCs/>
    </w:rPr>
  </w:style>
  <w:style w:type="paragraph" w:customStyle="1" w:styleId="jggalcountcats">
    <w:name w:val="jg_galcountcats"/>
    <w:basedOn w:val="a"/>
    <w:rsid w:val="002808C2"/>
    <w:pPr>
      <w:spacing w:before="100" w:beforeAutospacing="1" w:after="100" w:afterAutospacing="1"/>
      <w:jc w:val="center"/>
    </w:pPr>
  </w:style>
  <w:style w:type="paragraph" w:customStyle="1" w:styleId="jgcatcountimg">
    <w:name w:val="jg_catcountimg"/>
    <w:basedOn w:val="a"/>
    <w:rsid w:val="002808C2"/>
    <w:pPr>
      <w:spacing w:before="100" w:beforeAutospacing="1" w:after="100" w:afterAutospacing="1"/>
      <w:jc w:val="center"/>
    </w:pPr>
  </w:style>
  <w:style w:type="paragraph" w:customStyle="1" w:styleId="jgcatcountsubcats">
    <w:name w:val="jg_catcountsubcats"/>
    <w:basedOn w:val="a"/>
    <w:rsid w:val="002808C2"/>
    <w:pPr>
      <w:spacing w:before="100" w:beforeAutospacing="1" w:after="100" w:afterAutospacing="1"/>
      <w:jc w:val="center"/>
    </w:pPr>
  </w:style>
  <w:style w:type="paragraph" w:customStyle="1" w:styleId="jgtxtrow">
    <w:name w:val="jg_txtrow"/>
    <w:basedOn w:val="a"/>
    <w:rsid w:val="002808C2"/>
    <w:pPr>
      <w:spacing w:before="100" w:beforeAutospacing="1" w:after="100" w:afterAutospacing="1"/>
      <w:jc w:val="center"/>
    </w:pPr>
  </w:style>
  <w:style w:type="paragraph" w:customStyle="1" w:styleId="jgtoplist">
    <w:name w:val="jg_toplist"/>
    <w:basedOn w:val="a"/>
    <w:rsid w:val="002808C2"/>
    <w:pPr>
      <w:spacing w:before="100" w:beforeAutospacing="1" w:after="100" w:afterAutospacing="1"/>
      <w:jc w:val="center"/>
    </w:pPr>
  </w:style>
  <w:style w:type="paragraph" w:customStyle="1" w:styleId="jggallerystats">
    <w:name w:val="jg_gallerystats"/>
    <w:basedOn w:val="a"/>
    <w:rsid w:val="002808C2"/>
    <w:pPr>
      <w:spacing w:before="100" w:beforeAutospacing="1" w:after="100" w:afterAutospacing="1"/>
      <w:jc w:val="center"/>
    </w:pPr>
  </w:style>
  <w:style w:type="paragraph" w:customStyle="1" w:styleId="jghidden">
    <w:name w:val="jg_hidden"/>
    <w:basedOn w:val="a"/>
    <w:rsid w:val="002808C2"/>
    <w:pPr>
      <w:spacing w:before="100" w:beforeAutospacing="1" w:after="100" w:afterAutospacing="1"/>
      <w:jc w:val="center"/>
    </w:pPr>
  </w:style>
  <w:style w:type="paragraph" w:customStyle="1" w:styleId="jgdisplaynone">
    <w:name w:val="jg_displaynone"/>
    <w:basedOn w:val="a"/>
    <w:rsid w:val="002808C2"/>
    <w:pPr>
      <w:spacing w:before="100" w:beforeAutospacing="1" w:after="100" w:afterAutospacing="1"/>
    </w:pPr>
    <w:rPr>
      <w:vanish/>
    </w:rPr>
  </w:style>
  <w:style w:type="paragraph" w:customStyle="1" w:styleId="jgoverflowhidden">
    <w:name w:val="jg_overflowhidden"/>
    <w:basedOn w:val="a"/>
    <w:rsid w:val="002808C2"/>
    <w:pPr>
      <w:spacing w:before="100" w:beforeAutospacing="1" w:after="100" w:afterAutospacing="1"/>
    </w:pPr>
  </w:style>
  <w:style w:type="paragraph" w:customStyle="1" w:styleId="jgclearboth">
    <w:name w:val="jg_clearboth"/>
    <w:basedOn w:val="a"/>
    <w:rsid w:val="002808C2"/>
    <w:pPr>
      <w:spacing w:before="100" w:beforeAutospacing="1" w:after="100" w:afterAutospacing="1"/>
    </w:pPr>
  </w:style>
  <w:style w:type="paragraph" w:customStyle="1" w:styleId="jgpoweredby">
    <w:name w:val="jg_poweredby"/>
    <w:basedOn w:val="a"/>
    <w:rsid w:val="002808C2"/>
    <w:pPr>
      <w:pBdr>
        <w:top w:val="single" w:sz="6" w:space="2" w:color="666666"/>
        <w:left w:val="single" w:sz="6" w:space="2" w:color="666666"/>
        <w:bottom w:val="single" w:sz="6" w:space="2" w:color="666666"/>
        <w:right w:val="single" w:sz="6" w:space="2" w:color="666666"/>
      </w:pBdr>
      <w:spacing w:before="100" w:beforeAutospacing="1" w:after="100" w:afterAutospacing="1"/>
    </w:pPr>
  </w:style>
  <w:style w:type="paragraph" w:customStyle="1" w:styleId="jgnewpic">
    <w:name w:val="jg_newpic"/>
    <w:basedOn w:val="a"/>
    <w:rsid w:val="002808C2"/>
    <w:pPr>
      <w:ind w:left="144"/>
      <w:textAlignment w:val="bottom"/>
    </w:pPr>
  </w:style>
  <w:style w:type="paragraph" w:customStyle="1" w:styleId="jgrow">
    <w:name w:val="jg_row"/>
    <w:basedOn w:val="a"/>
    <w:rsid w:val="002808C2"/>
    <w:pPr>
      <w:spacing w:before="100" w:beforeAutospacing="1" w:after="100" w:afterAutospacing="1"/>
    </w:pPr>
  </w:style>
  <w:style w:type="paragraph" w:customStyle="1" w:styleId="jgphotocontainerl">
    <w:name w:val="jg_photo_container_l"/>
    <w:basedOn w:val="a"/>
    <w:rsid w:val="002808C2"/>
    <w:pPr>
      <w:spacing w:before="100" w:beforeAutospacing="1" w:after="100" w:afterAutospacing="1"/>
    </w:pPr>
  </w:style>
  <w:style w:type="paragraph" w:customStyle="1" w:styleId="jgsubcatelemphotol">
    <w:name w:val="jg_subcatelem_photo_l"/>
    <w:basedOn w:val="a"/>
    <w:rsid w:val="002808C2"/>
    <w:pPr>
      <w:spacing w:before="100" w:beforeAutospacing="1" w:after="100" w:afterAutospacing="1"/>
    </w:pPr>
  </w:style>
  <w:style w:type="paragraph" w:customStyle="1" w:styleId="jgphotocontainerr">
    <w:name w:val="jg_photo_container_r"/>
    <w:basedOn w:val="a"/>
    <w:rsid w:val="002808C2"/>
    <w:pPr>
      <w:spacing w:before="100" w:beforeAutospacing="1" w:after="100" w:afterAutospacing="1"/>
      <w:jc w:val="right"/>
    </w:pPr>
  </w:style>
  <w:style w:type="paragraph" w:customStyle="1" w:styleId="jgsubcatelemphotor">
    <w:name w:val="jg_subcatelem_photo_r"/>
    <w:basedOn w:val="a"/>
    <w:rsid w:val="002808C2"/>
    <w:pPr>
      <w:spacing w:before="100" w:beforeAutospacing="1" w:after="100" w:afterAutospacing="1"/>
      <w:jc w:val="right"/>
    </w:pPr>
  </w:style>
  <w:style w:type="paragraph" w:customStyle="1" w:styleId="jgelementimg">
    <w:name w:val="jg_element_img"/>
    <w:basedOn w:val="a"/>
    <w:rsid w:val="002808C2"/>
    <w:pPr>
      <w:spacing w:before="100" w:beforeAutospacing="1" w:after="100" w:afterAutospacing="1"/>
      <w:jc w:val="center"/>
    </w:pPr>
  </w:style>
  <w:style w:type="paragraph" w:customStyle="1" w:styleId="jgelementtxtsubsr">
    <w:name w:val="jg_element_txt_subs_r"/>
    <w:basedOn w:val="a"/>
    <w:rsid w:val="002808C2"/>
    <w:pPr>
      <w:spacing w:before="100" w:beforeAutospacing="1" w:after="100" w:afterAutospacing="1"/>
      <w:jc w:val="right"/>
    </w:pPr>
  </w:style>
  <w:style w:type="paragraph" w:customStyle="1" w:styleId="jgimgtitle">
    <w:name w:val="jg_imgtitle"/>
    <w:basedOn w:val="a"/>
    <w:rsid w:val="002808C2"/>
    <w:pPr>
      <w:spacing w:before="100" w:beforeAutospacing="1" w:after="100" w:afterAutospacing="1"/>
      <w:jc w:val="center"/>
    </w:pPr>
    <w:rPr>
      <w:b/>
      <w:bCs/>
    </w:rPr>
  </w:style>
  <w:style w:type="paragraph" w:customStyle="1" w:styleId="jgcmticons">
    <w:name w:val="jg_cmticons"/>
    <w:basedOn w:val="a"/>
    <w:rsid w:val="002808C2"/>
    <w:pPr>
      <w:spacing w:before="100" w:beforeAutospacing="1" w:after="100" w:afterAutospacing="1"/>
    </w:pPr>
  </w:style>
  <w:style w:type="paragraph" w:customStyle="1" w:styleId="jgcmtsmilies">
    <w:name w:val="jg_cmtsmilies"/>
    <w:basedOn w:val="a"/>
    <w:rsid w:val="002808C2"/>
    <w:pPr>
      <w:spacing w:before="100" w:beforeAutospacing="1" w:after="100" w:afterAutospacing="1"/>
    </w:pPr>
  </w:style>
  <w:style w:type="paragraph" w:customStyle="1" w:styleId="jgcmtl">
    <w:name w:val="jg_cmtl"/>
    <w:basedOn w:val="a"/>
    <w:rsid w:val="002808C2"/>
    <w:pPr>
      <w:spacing w:before="100" w:beforeAutospacing="1" w:after="100" w:afterAutospacing="1"/>
      <w:textAlignment w:val="top"/>
    </w:pPr>
  </w:style>
  <w:style w:type="paragraph" w:customStyle="1" w:styleId="jgs2fl">
    <w:name w:val="jg_s2fl"/>
    <w:basedOn w:val="a"/>
    <w:rsid w:val="002808C2"/>
    <w:pPr>
      <w:spacing w:before="100" w:beforeAutospacing="1" w:after="100" w:afterAutospacing="1"/>
      <w:textAlignment w:val="top"/>
    </w:pPr>
  </w:style>
  <w:style w:type="paragraph" w:customStyle="1" w:styleId="jgcmtr">
    <w:name w:val="jg_cmtr"/>
    <w:basedOn w:val="a"/>
    <w:rsid w:val="002808C2"/>
    <w:pPr>
      <w:spacing w:before="100" w:beforeAutospacing="1" w:after="100" w:afterAutospacing="1"/>
    </w:pPr>
  </w:style>
  <w:style w:type="paragraph" w:customStyle="1" w:styleId="jgs2fr">
    <w:name w:val="jg_s2fr"/>
    <w:basedOn w:val="a"/>
    <w:rsid w:val="002808C2"/>
    <w:pPr>
      <w:spacing w:before="100" w:beforeAutospacing="1" w:after="100" w:afterAutospacing="1"/>
    </w:pPr>
  </w:style>
  <w:style w:type="paragraph" w:customStyle="1" w:styleId="jgdetailnavi">
    <w:name w:val="jg_detailnavi"/>
    <w:basedOn w:val="a"/>
    <w:rsid w:val="002808C2"/>
    <w:pPr>
      <w:spacing w:before="100" w:beforeAutospacing="1" w:after="216"/>
      <w:jc w:val="center"/>
    </w:pPr>
  </w:style>
  <w:style w:type="paragraph" w:customStyle="1" w:styleId="jgdetailnaviprev">
    <w:name w:val="jg_detailnaviprev"/>
    <w:basedOn w:val="a"/>
    <w:rsid w:val="002808C2"/>
    <w:pPr>
      <w:spacing w:before="100" w:beforeAutospacing="1" w:after="100" w:afterAutospacing="1"/>
      <w:jc w:val="center"/>
    </w:pPr>
  </w:style>
  <w:style w:type="paragraph" w:customStyle="1" w:styleId="jgdetailnavinext">
    <w:name w:val="jg_detailnavinext"/>
    <w:basedOn w:val="a"/>
    <w:rsid w:val="002808C2"/>
    <w:pPr>
      <w:spacing w:before="100" w:beforeAutospacing="1" w:after="100" w:afterAutospacing="1"/>
      <w:jc w:val="center"/>
    </w:pPr>
  </w:style>
  <w:style w:type="paragraph" w:customStyle="1" w:styleId="jgdetailnavislide">
    <w:name w:val="jg_detailnavislide"/>
    <w:basedOn w:val="a"/>
    <w:rsid w:val="002808C2"/>
    <w:pPr>
      <w:spacing w:before="100" w:beforeAutospacing="1" w:after="100" w:afterAutospacing="1"/>
      <w:jc w:val="center"/>
    </w:pPr>
  </w:style>
  <w:style w:type="paragraph" w:customStyle="1" w:styleId="jgiconbar">
    <w:name w:val="jg_iconbar"/>
    <w:basedOn w:val="a"/>
    <w:rsid w:val="002808C2"/>
    <w:pPr>
      <w:spacing w:before="100" w:beforeAutospacing="1" w:after="100" w:afterAutospacing="1"/>
      <w:jc w:val="center"/>
    </w:pPr>
  </w:style>
  <w:style w:type="paragraph" w:customStyle="1" w:styleId="jgminis">
    <w:name w:val="jg_minis"/>
    <w:basedOn w:val="a"/>
    <w:rsid w:val="002808C2"/>
    <w:pPr>
      <w:spacing w:before="100" w:beforeAutospacing="1" w:after="100" w:afterAutospacing="1"/>
      <w:jc w:val="center"/>
    </w:pPr>
  </w:style>
  <w:style w:type="paragraph" w:customStyle="1" w:styleId="nameshield">
    <w:name w:val="nameshield"/>
    <w:basedOn w:val="a"/>
    <w:rsid w:val="002808C2"/>
    <w:pPr>
      <w:pBdr>
        <w:top w:val="single" w:sz="6" w:space="0" w:color="888888"/>
        <w:left w:val="single" w:sz="6" w:space="2" w:color="888888"/>
        <w:bottom w:val="single" w:sz="6" w:space="0" w:color="888888"/>
        <w:right w:val="single" w:sz="6" w:space="2" w:color="888888"/>
      </w:pBdr>
      <w:shd w:val="clear" w:color="auto" w:fill="E5E5E5"/>
      <w:spacing w:before="100" w:beforeAutospacing="1" w:after="100" w:afterAutospacing="1"/>
    </w:pPr>
    <w:rPr>
      <w:color w:val="4F4F4F"/>
      <w:sz w:val="15"/>
      <w:szCs w:val="15"/>
    </w:rPr>
  </w:style>
  <w:style w:type="paragraph" w:customStyle="1" w:styleId="joomgallery-toggler">
    <w:name w:val="joomgallery-toggler"/>
    <w:basedOn w:val="a"/>
    <w:rsid w:val="002808C2"/>
    <w:pPr>
      <w:spacing w:before="72" w:after="72"/>
      <w:ind w:left="72" w:right="72"/>
    </w:pPr>
  </w:style>
  <w:style w:type="paragraph" w:customStyle="1" w:styleId="joomgallery-toggler-down">
    <w:name w:val="joomgallery-toggler-down"/>
    <w:basedOn w:val="a"/>
    <w:rsid w:val="002808C2"/>
    <w:pPr>
      <w:spacing w:before="72" w:after="72"/>
      <w:ind w:left="72" w:right="72"/>
    </w:pPr>
  </w:style>
  <w:style w:type="paragraph" w:customStyle="1" w:styleId="joomgallery-slider">
    <w:name w:val="joomgallery-slider"/>
    <w:basedOn w:val="a"/>
    <w:rsid w:val="002808C2"/>
  </w:style>
  <w:style w:type="paragraph" w:customStyle="1" w:styleId="jguploadquotas">
    <w:name w:val="jg_uploadquotas"/>
    <w:basedOn w:val="a"/>
    <w:rsid w:val="002808C2"/>
    <w:pPr>
      <w:spacing w:before="100" w:beforeAutospacing="1" w:after="100" w:afterAutospacing="1"/>
      <w:jc w:val="center"/>
    </w:pPr>
    <w:rPr>
      <w:sz w:val="15"/>
      <w:szCs w:val="15"/>
    </w:rPr>
  </w:style>
  <w:style w:type="paragraph" w:customStyle="1" w:styleId="jgfavswitchlayout">
    <w:name w:val="jg_fav_switchlayout"/>
    <w:basedOn w:val="a"/>
    <w:rsid w:val="002808C2"/>
    <w:pPr>
      <w:spacing w:before="100" w:beforeAutospacing="1" w:after="100" w:afterAutospacing="1"/>
      <w:jc w:val="right"/>
    </w:pPr>
  </w:style>
  <w:style w:type="paragraph" w:customStyle="1" w:styleId="jgfavclearlist">
    <w:name w:val="jg_fav_clearlist"/>
    <w:basedOn w:val="a"/>
    <w:rsid w:val="002808C2"/>
    <w:pPr>
      <w:spacing w:before="100" w:beforeAutospacing="1" w:after="100" w:afterAutospacing="1"/>
      <w:jc w:val="right"/>
    </w:pPr>
  </w:style>
  <w:style w:type="paragraph" w:customStyle="1" w:styleId="jgupesub3">
    <w:name w:val="jg_up_esub3"/>
    <w:basedOn w:val="a"/>
    <w:rsid w:val="002808C2"/>
    <w:pPr>
      <w:spacing w:before="100" w:beforeAutospacing="1" w:after="100" w:afterAutospacing="1"/>
      <w:jc w:val="right"/>
    </w:pPr>
  </w:style>
  <w:style w:type="paragraph" w:customStyle="1" w:styleId="jgupesub4">
    <w:name w:val="jg_up_esub4"/>
    <w:basedOn w:val="a"/>
    <w:rsid w:val="002808C2"/>
    <w:pPr>
      <w:spacing w:before="100" w:beforeAutospacing="1" w:after="100" w:afterAutospacing="1"/>
    </w:pPr>
  </w:style>
  <w:style w:type="paragraph" w:customStyle="1" w:styleId="jgtopelement">
    <w:name w:val="jg_top_element"/>
    <w:basedOn w:val="a"/>
    <w:rsid w:val="002808C2"/>
    <w:pPr>
      <w:spacing w:before="100" w:beforeAutospacing="1" w:after="100" w:afterAutospacing="1"/>
      <w:jc w:val="center"/>
    </w:pPr>
  </w:style>
  <w:style w:type="paragraph" w:customStyle="1" w:styleId="jgcreatezip">
    <w:name w:val="jg_createzip"/>
    <w:basedOn w:val="a"/>
    <w:rsid w:val="002808C2"/>
    <w:pPr>
      <w:spacing w:before="300" w:after="300"/>
      <w:jc w:val="center"/>
    </w:pPr>
  </w:style>
  <w:style w:type="paragraph" w:customStyle="1" w:styleId="jguphead">
    <w:name w:val="jg_up_head"/>
    <w:basedOn w:val="a"/>
    <w:rsid w:val="002808C2"/>
    <w:pPr>
      <w:spacing w:before="100" w:beforeAutospacing="1" w:after="100" w:afterAutospacing="1"/>
      <w:jc w:val="center"/>
      <w:textAlignment w:val="center"/>
    </w:pPr>
  </w:style>
  <w:style w:type="paragraph" w:customStyle="1" w:styleId="jgupentry">
    <w:name w:val="jg_up_entry"/>
    <w:basedOn w:val="a"/>
    <w:rsid w:val="002808C2"/>
    <w:pPr>
      <w:spacing w:before="100" w:beforeAutospacing="1" w:after="100" w:afterAutospacing="1"/>
      <w:jc w:val="center"/>
    </w:pPr>
  </w:style>
  <w:style w:type="paragraph" w:customStyle="1" w:styleId="jguprow">
    <w:name w:val="jg_uprow"/>
    <w:basedOn w:val="a"/>
    <w:rsid w:val="002808C2"/>
    <w:pPr>
      <w:spacing w:before="100" w:beforeAutospacing="1" w:after="100" w:afterAutospacing="1"/>
    </w:pPr>
  </w:style>
  <w:style w:type="paragraph" w:customStyle="1" w:styleId="jguptext">
    <w:name w:val="jg_uptext"/>
    <w:basedOn w:val="a"/>
    <w:rsid w:val="002808C2"/>
    <w:pPr>
      <w:spacing w:before="100" w:beforeAutospacing="1" w:after="100" w:afterAutospacing="1"/>
      <w:jc w:val="right"/>
    </w:pPr>
  </w:style>
  <w:style w:type="paragraph" w:customStyle="1" w:styleId="jgupename">
    <w:name w:val="jg_up_ename"/>
    <w:basedOn w:val="a"/>
    <w:rsid w:val="002808C2"/>
    <w:pPr>
      <w:spacing w:before="100" w:beforeAutospacing="1" w:after="100" w:afterAutospacing="1"/>
    </w:pPr>
  </w:style>
  <w:style w:type="paragraph" w:customStyle="1" w:styleId="jgupehits">
    <w:name w:val="jg_up_ehits"/>
    <w:basedOn w:val="a"/>
    <w:rsid w:val="002808C2"/>
    <w:pPr>
      <w:spacing w:before="100" w:beforeAutospacing="1" w:after="100" w:afterAutospacing="1"/>
    </w:pPr>
  </w:style>
  <w:style w:type="paragraph" w:customStyle="1" w:styleId="jgupecat">
    <w:name w:val="jg_up_ecat"/>
    <w:basedOn w:val="a"/>
    <w:rsid w:val="002808C2"/>
    <w:pPr>
      <w:spacing w:before="100" w:beforeAutospacing="1" w:after="100" w:afterAutospacing="1"/>
    </w:pPr>
  </w:style>
  <w:style w:type="paragraph" w:customStyle="1" w:styleId="jgupeact">
    <w:name w:val="jg_up_eact"/>
    <w:basedOn w:val="a"/>
    <w:rsid w:val="002808C2"/>
    <w:pPr>
      <w:spacing w:before="100" w:beforeAutospacing="1" w:after="100" w:afterAutospacing="1"/>
    </w:pPr>
  </w:style>
  <w:style w:type="paragraph" w:customStyle="1" w:styleId="jgupesub1">
    <w:name w:val="jg_up_esub1"/>
    <w:basedOn w:val="a"/>
    <w:rsid w:val="002808C2"/>
    <w:pPr>
      <w:spacing w:before="100" w:beforeAutospacing="1" w:after="100" w:afterAutospacing="1"/>
      <w:jc w:val="right"/>
    </w:pPr>
  </w:style>
  <w:style w:type="paragraph" w:customStyle="1" w:styleId="jgupesub2">
    <w:name w:val="jg_up_esub2"/>
    <w:basedOn w:val="a"/>
    <w:rsid w:val="002808C2"/>
    <w:pPr>
      <w:spacing w:before="100" w:beforeAutospacing="1" w:after="100" w:afterAutospacing="1"/>
    </w:pPr>
  </w:style>
  <w:style w:type="paragraph" w:customStyle="1" w:styleId="jgupeappr">
    <w:name w:val="jg_up_eappr"/>
    <w:basedOn w:val="a"/>
    <w:rsid w:val="002808C2"/>
    <w:pPr>
      <w:spacing w:before="100" w:beforeAutospacing="1" w:after="100" w:afterAutospacing="1"/>
    </w:pPr>
  </w:style>
  <w:style w:type="paragraph" w:customStyle="1" w:styleId="jgupepubl">
    <w:name w:val="jg_up_epubl"/>
    <w:basedOn w:val="a"/>
    <w:rsid w:val="002808C2"/>
    <w:pPr>
      <w:spacing w:before="100" w:beforeAutospacing="1" w:after="100" w:afterAutospacing="1"/>
    </w:pPr>
  </w:style>
  <w:style w:type="paragraph" w:customStyle="1" w:styleId="jgupeminithumb">
    <w:name w:val="jg_up_eminithumb"/>
    <w:basedOn w:val="a"/>
    <w:rsid w:val="002808C2"/>
    <w:pPr>
      <w:spacing w:before="100" w:beforeAutospacing="1" w:after="100" w:afterAutospacing="1"/>
    </w:pPr>
  </w:style>
  <w:style w:type="paragraph" w:customStyle="1" w:styleId="jgupfilterentry">
    <w:name w:val="jg_up_filter_entry"/>
    <w:basedOn w:val="a"/>
    <w:rsid w:val="002808C2"/>
    <w:pPr>
      <w:spacing w:before="100" w:beforeAutospacing="1" w:after="100" w:afterAutospacing="1"/>
    </w:pPr>
  </w:style>
  <w:style w:type="paragraph" w:customStyle="1" w:styleId="jgupfilterecol1">
    <w:name w:val="jg_up_filter_ecol1"/>
    <w:basedOn w:val="a"/>
    <w:rsid w:val="002808C2"/>
    <w:pPr>
      <w:spacing w:before="100" w:beforeAutospacing="1" w:after="100" w:afterAutospacing="1"/>
    </w:pPr>
  </w:style>
  <w:style w:type="paragraph" w:customStyle="1" w:styleId="jgupfilterecol2">
    <w:name w:val="jg_up_filter_ecol2"/>
    <w:basedOn w:val="a"/>
    <w:rsid w:val="002808C2"/>
    <w:pPr>
      <w:spacing w:before="100" w:beforeAutospacing="1" w:after="100" w:afterAutospacing="1"/>
    </w:pPr>
  </w:style>
  <w:style w:type="paragraph" w:customStyle="1" w:styleId="jgupbuttons">
    <w:name w:val="jg_up_buttons"/>
    <w:basedOn w:val="a"/>
    <w:rsid w:val="002808C2"/>
    <w:pPr>
      <w:spacing w:before="100" w:beforeAutospacing="1" w:after="100" w:afterAutospacing="1"/>
      <w:jc w:val="center"/>
    </w:pPr>
  </w:style>
  <w:style w:type="paragraph" w:customStyle="1" w:styleId="jgcatdescr">
    <w:name w:val="jg_catdescr"/>
    <w:basedOn w:val="a"/>
    <w:rsid w:val="002808C2"/>
    <w:pPr>
      <w:spacing w:before="100" w:beforeAutospacing="1" w:after="100" w:afterAutospacing="1"/>
      <w:jc w:val="center"/>
    </w:pPr>
  </w:style>
  <w:style w:type="paragraph" w:customStyle="1" w:styleId="jgcatorderlist">
    <w:name w:val="jg_catorderlist"/>
    <w:basedOn w:val="a"/>
    <w:rsid w:val="002808C2"/>
    <w:pPr>
      <w:spacing w:before="100" w:beforeAutospacing="1" w:after="100" w:afterAutospacing="1"/>
      <w:jc w:val="right"/>
    </w:pPr>
  </w:style>
  <w:style w:type="paragraph" w:customStyle="1" w:styleId="jgcatelemtxt">
    <w:name w:val="jg_catelem_txt"/>
    <w:basedOn w:val="a"/>
    <w:rsid w:val="002808C2"/>
    <w:pPr>
      <w:spacing w:before="100" w:beforeAutospacing="1" w:after="100" w:afterAutospacing="1"/>
      <w:ind w:left="72" w:right="72"/>
    </w:pPr>
  </w:style>
  <w:style w:type="paragraph" w:customStyle="1" w:styleId="jg-spinner">
    <w:name w:val="jg-spinner"/>
    <w:basedOn w:val="a"/>
    <w:rsid w:val="002808C2"/>
    <w:pPr>
      <w:spacing w:before="100" w:beforeAutospacing="1" w:after="100" w:afterAutospacing="1"/>
    </w:pPr>
  </w:style>
  <w:style w:type="paragraph" w:customStyle="1" w:styleId="jg-category-results">
    <w:name w:val="jg-category-results"/>
    <w:basedOn w:val="a"/>
    <w:rsid w:val="002808C2"/>
    <w:pPr>
      <w:shd w:val="clear" w:color="auto" w:fill="FFFFFF"/>
      <w:spacing w:before="100" w:beforeAutospacing="1" w:after="100" w:afterAutospacing="1"/>
    </w:pPr>
    <w:rPr>
      <w:vanish/>
    </w:rPr>
  </w:style>
  <w:style w:type="paragraph" w:customStyle="1" w:styleId="jg-category-result">
    <w:name w:val="jg-category-result"/>
    <w:basedOn w:val="a"/>
    <w:rsid w:val="002808C2"/>
    <w:pPr>
      <w:spacing w:before="100" w:beforeAutospacing="1" w:after="100" w:afterAutospacing="1"/>
    </w:pPr>
  </w:style>
  <w:style w:type="paragraph" w:customStyle="1" w:styleId="row0">
    <w:name w:val="row0"/>
    <w:basedOn w:val="a"/>
    <w:rsid w:val="002808C2"/>
    <w:pPr>
      <w:shd w:val="clear" w:color="auto" w:fill="F7F7F7"/>
      <w:spacing w:before="100" w:beforeAutospacing="1" w:after="100" w:afterAutospacing="1"/>
    </w:pPr>
  </w:style>
  <w:style w:type="paragraph" w:customStyle="1" w:styleId="row1">
    <w:name w:val="row1"/>
    <w:basedOn w:val="a"/>
    <w:rsid w:val="002808C2"/>
    <w:pPr>
      <w:pBdr>
        <w:top w:val="single" w:sz="6" w:space="0" w:color="FFFFFF"/>
      </w:pBdr>
      <w:shd w:val="clear" w:color="auto" w:fill="F0F0F0"/>
      <w:spacing w:before="100" w:beforeAutospacing="1" w:after="100" w:afterAutospacing="1"/>
    </w:pPr>
  </w:style>
  <w:style w:type="paragraph" w:customStyle="1" w:styleId="jg-no-results">
    <w:name w:val="jg-no-results"/>
    <w:basedOn w:val="a"/>
    <w:rsid w:val="002808C2"/>
    <w:pPr>
      <w:spacing w:before="100" w:beforeAutospacing="1" w:after="100" w:afterAutospacing="1"/>
    </w:pPr>
  </w:style>
  <w:style w:type="paragraph" w:customStyle="1" w:styleId="jg-category-more-results">
    <w:name w:val="jg-category-more-results"/>
    <w:basedOn w:val="a"/>
    <w:rsid w:val="002808C2"/>
    <w:pPr>
      <w:spacing w:before="100" w:beforeAutospacing="1" w:after="100" w:afterAutospacing="1"/>
    </w:pPr>
  </w:style>
  <w:style w:type="paragraph" w:customStyle="1" w:styleId="joomimgclr">
    <w:name w:val="joomimg_clr"/>
    <w:basedOn w:val="a"/>
    <w:rsid w:val="002808C2"/>
    <w:pPr>
      <w:spacing w:before="100" w:beforeAutospacing="1" w:after="100" w:afterAutospacing="1"/>
    </w:pPr>
  </w:style>
  <w:style w:type="paragraph" w:customStyle="1" w:styleId="joomimgrow">
    <w:name w:val="joomimg_row"/>
    <w:basedOn w:val="a"/>
    <w:rsid w:val="002808C2"/>
    <w:pPr>
      <w:spacing w:before="100" w:beforeAutospacing="1" w:after="100" w:afterAutospacing="1"/>
    </w:pPr>
  </w:style>
  <w:style w:type="paragraph" w:customStyle="1" w:styleId="joomimg127img">
    <w:name w:val="joomimg127_img"/>
    <w:basedOn w:val="a"/>
    <w:rsid w:val="002808C2"/>
    <w:pPr>
      <w:spacing w:before="100" w:beforeAutospacing="1" w:after="100" w:afterAutospacing="1"/>
    </w:pPr>
  </w:style>
  <w:style w:type="paragraph" w:customStyle="1" w:styleId="joomimg127txt">
    <w:name w:val="joomimg127_txt"/>
    <w:basedOn w:val="a"/>
    <w:rsid w:val="002808C2"/>
    <w:pPr>
      <w:spacing w:before="100" w:beforeAutospacing="1" w:after="100" w:afterAutospacing="1"/>
    </w:pPr>
  </w:style>
  <w:style w:type="paragraph" w:customStyle="1" w:styleId="joomimg126img">
    <w:name w:val="joomimg126_img"/>
    <w:basedOn w:val="a"/>
    <w:rsid w:val="002808C2"/>
    <w:pPr>
      <w:spacing w:before="100" w:beforeAutospacing="1" w:after="100" w:afterAutospacing="1"/>
    </w:pPr>
  </w:style>
  <w:style w:type="paragraph" w:customStyle="1" w:styleId="joomimg126txt">
    <w:name w:val="joomimg126_txt"/>
    <w:basedOn w:val="a"/>
    <w:rsid w:val="002808C2"/>
    <w:pPr>
      <w:spacing w:before="100" w:beforeAutospacing="1" w:after="100" w:afterAutospacing="1"/>
    </w:pPr>
  </w:style>
  <w:style w:type="paragraph" w:customStyle="1" w:styleId="joomimg125img">
    <w:name w:val="joomimg125_img"/>
    <w:basedOn w:val="a"/>
    <w:rsid w:val="002808C2"/>
    <w:pPr>
      <w:spacing w:before="100" w:beforeAutospacing="1" w:after="100" w:afterAutospacing="1"/>
    </w:pPr>
  </w:style>
  <w:style w:type="paragraph" w:customStyle="1" w:styleId="joomimg125txt">
    <w:name w:val="joomimg125_txt"/>
    <w:basedOn w:val="a"/>
    <w:rsid w:val="002808C2"/>
    <w:pPr>
      <w:spacing w:before="100" w:beforeAutospacing="1" w:after="100" w:afterAutospacing="1"/>
    </w:pPr>
  </w:style>
  <w:style w:type="paragraph" w:customStyle="1" w:styleId="mrctranslayer">
    <w:name w:val="mrc__translayer"/>
    <w:basedOn w:val="a"/>
    <w:rsid w:val="002808C2"/>
    <w:pPr>
      <w:shd w:val="clear" w:color="auto" w:fill="FFFFFF"/>
      <w:spacing w:before="100" w:beforeAutospacing="1" w:after="100" w:afterAutospacing="1"/>
    </w:pPr>
    <w:rPr>
      <w:vanish/>
    </w:rPr>
  </w:style>
  <w:style w:type="paragraph" w:customStyle="1" w:styleId="mrctranslayeron">
    <w:name w:val="mrc__translayer_on"/>
    <w:basedOn w:val="a"/>
    <w:rsid w:val="002808C2"/>
    <w:pPr>
      <w:spacing w:before="100" w:beforeAutospacing="1" w:after="100" w:afterAutospacing="1"/>
    </w:pPr>
  </w:style>
  <w:style w:type="paragraph" w:customStyle="1" w:styleId="sectiontableheader">
    <w:name w:val="sectiontableheader"/>
    <w:basedOn w:val="a"/>
    <w:rsid w:val="002808C2"/>
    <w:pPr>
      <w:spacing w:before="100" w:beforeAutospacing="1" w:after="100" w:afterAutospacing="1"/>
    </w:pPr>
  </w:style>
  <w:style w:type="paragraph" w:customStyle="1" w:styleId="tip">
    <w:name w:val="tip"/>
    <w:basedOn w:val="a"/>
    <w:rsid w:val="002808C2"/>
    <w:pPr>
      <w:spacing w:before="100" w:beforeAutospacing="1" w:after="100" w:afterAutospacing="1"/>
    </w:pPr>
  </w:style>
  <w:style w:type="paragraph" w:customStyle="1" w:styleId="tip-title">
    <w:name w:val="tip-title"/>
    <w:basedOn w:val="a"/>
    <w:rsid w:val="002808C2"/>
    <w:pPr>
      <w:spacing w:before="100" w:beforeAutospacing="1" w:after="100" w:afterAutospacing="1"/>
    </w:pPr>
  </w:style>
  <w:style w:type="paragraph" w:customStyle="1" w:styleId="tip-text">
    <w:name w:val="tip-text"/>
    <w:basedOn w:val="a"/>
    <w:rsid w:val="002808C2"/>
    <w:pPr>
      <w:spacing w:before="100" w:beforeAutospacing="1" w:after="100" w:afterAutospacing="1"/>
    </w:pPr>
  </w:style>
  <w:style w:type="paragraph" w:customStyle="1" w:styleId="jgtopdetails">
    <w:name w:val="jg_top_details"/>
    <w:basedOn w:val="a"/>
    <w:rsid w:val="002808C2"/>
    <w:pPr>
      <w:spacing w:before="100" w:beforeAutospacing="1" w:after="100" w:afterAutospacing="1"/>
    </w:pPr>
  </w:style>
  <w:style w:type="paragraph" w:customStyle="1" w:styleId="jgtopelemtxt">
    <w:name w:val="jg_topelem_txt"/>
    <w:basedOn w:val="a"/>
    <w:rsid w:val="002808C2"/>
    <w:pPr>
      <w:spacing w:before="100" w:beforeAutospacing="1" w:after="100" w:afterAutospacing="1"/>
    </w:pPr>
  </w:style>
  <w:style w:type="paragraph" w:customStyle="1" w:styleId="jgsearchelemtxt">
    <w:name w:val="jg_searchelem_txt"/>
    <w:basedOn w:val="a"/>
    <w:rsid w:val="002808C2"/>
    <w:pPr>
      <w:spacing w:before="100" w:beforeAutospacing="1" w:after="100" w:afterAutospacing="1"/>
    </w:pPr>
  </w:style>
  <w:style w:type="paragraph" w:customStyle="1" w:styleId="inputbox">
    <w:name w:val="inputbox"/>
    <w:basedOn w:val="a"/>
    <w:rsid w:val="002808C2"/>
    <w:pPr>
      <w:spacing w:before="100" w:beforeAutospacing="1" w:after="100" w:afterAutospacing="1"/>
    </w:pPr>
  </w:style>
  <w:style w:type="paragraph" w:customStyle="1" w:styleId="jgsubcatelemphoto">
    <w:name w:val="jg_subcatelem_photo"/>
    <w:basedOn w:val="a"/>
    <w:rsid w:val="002808C2"/>
    <w:pPr>
      <w:spacing w:before="100" w:beforeAutospacing="1" w:after="100" w:afterAutospacing="1"/>
      <w:jc w:val="center"/>
    </w:pPr>
  </w:style>
  <w:style w:type="paragraph" w:customStyle="1" w:styleId="jgphotocontainerc">
    <w:name w:val="jg_photo_container_c"/>
    <w:basedOn w:val="a"/>
    <w:rsid w:val="002808C2"/>
    <w:pPr>
      <w:spacing w:before="100" w:beforeAutospacing="1" w:after="100" w:afterAutospacing="1"/>
      <w:jc w:val="center"/>
    </w:pPr>
  </w:style>
  <w:style w:type="paragraph" w:customStyle="1" w:styleId="jgsubcatelemphotoc">
    <w:name w:val="jg_subcatelem_photo_c"/>
    <w:basedOn w:val="a"/>
    <w:rsid w:val="002808C2"/>
    <w:pPr>
      <w:spacing w:before="100" w:beforeAutospacing="1" w:after="100" w:afterAutospacing="1"/>
      <w:jc w:val="center"/>
    </w:pPr>
  </w:style>
  <w:style w:type="paragraph" w:customStyle="1" w:styleId="jgelementtxtr">
    <w:name w:val="jg_element_txt_r"/>
    <w:basedOn w:val="a"/>
    <w:rsid w:val="002808C2"/>
    <w:pPr>
      <w:spacing w:before="100" w:beforeAutospacing="1" w:after="100" w:afterAutospacing="1"/>
      <w:jc w:val="right"/>
    </w:pPr>
  </w:style>
  <w:style w:type="paragraph" w:customStyle="1" w:styleId="jgsubcatelemtxtr">
    <w:name w:val="jg_subcatelem_txt_r"/>
    <w:basedOn w:val="a"/>
    <w:rsid w:val="002808C2"/>
    <w:pPr>
      <w:spacing w:before="100" w:beforeAutospacing="1" w:after="100" w:afterAutospacing="1"/>
      <w:jc w:val="right"/>
    </w:pPr>
  </w:style>
  <w:style w:type="paragraph" w:customStyle="1" w:styleId="jgelementtxtl">
    <w:name w:val="jg_element_txt_l"/>
    <w:basedOn w:val="a"/>
    <w:rsid w:val="002808C2"/>
    <w:pPr>
      <w:spacing w:before="100" w:beforeAutospacing="1" w:after="100" w:afterAutospacing="1"/>
    </w:pPr>
  </w:style>
  <w:style w:type="paragraph" w:customStyle="1" w:styleId="jgsubcatelemtxtl">
    <w:name w:val="jg_subcatelem_txt_l"/>
    <w:basedOn w:val="a"/>
    <w:rsid w:val="002808C2"/>
    <w:pPr>
      <w:spacing w:before="100" w:beforeAutospacing="1" w:after="100" w:afterAutospacing="1"/>
    </w:pPr>
  </w:style>
  <w:style w:type="paragraph" w:customStyle="1" w:styleId="jgelementtxtc">
    <w:name w:val="jg_element_txt_c"/>
    <w:basedOn w:val="a"/>
    <w:rsid w:val="002808C2"/>
    <w:pPr>
      <w:spacing w:before="100" w:beforeAutospacing="1" w:after="100" w:afterAutospacing="1"/>
      <w:jc w:val="center"/>
    </w:pPr>
  </w:style>
  <w:style w:type="paragraph" w:customStyle="1" w:styleId="jgsubcatelemtxtc">
    <w:name w:val="jg_subcatelem_txt_c"/>
    <w:basedOn w:val="a"/>
    <w:rsid w:val="002808C2"/>
    <w:pPr>
      <w:spacing w:before="100" w:beforeAutospacing="1" w:after="100" w:afterAutospacing="1"/>
      <w:jc w:val="center"/>
    </w:pPr>
  </w:style>
  <w:style w:type="paragraph" w:customStyle="1" w:styleId="jg-category-result-hover">
    <w:name w:val="jg-category-result-hover"/>
    <w:basedOn w:val="a"/>
    <w:rsid w:val="002808C2"/>
    <w:pPr>
      <w:shd w:val="clear" w:color="auto" w:fill="E8F6FE"/>
      <w:spacing w:before="100" w:beforeAutospacing="1" w:after="100" w:afterAutospacing="1"/>
    </w:pPr>
  </w:style>
  <w:style w:type="paragraph" w:customStyle="1" w:styleId="joomimg127imgct">
    <w:name w:val="joomimg127_imgct"/>
    <w:basedOn w:val="a"/>
    <w:rsid w:val="002808C2"/>
    <w:pPr>
      <w:spacing w:before="100" w:beforeAutospacing="1" w:after="100" w:afterAutospacing="1"/>
    </w:pPr>
  </w:style>
  <w:style w:type="paragraph" w:customStyle="1" w:styleId="joomimg126imgct">
    <w:name w:val="joomimg126_imgct"/>
    <w:basedOn w:val="a"/>
    <w:rsid w:val="002808C2"/>
    <w:pPr>
      <w:spacing w:before="100" w:beforeAutospacing="1" w:after="100" w:afterAutospacing="1"/>
    </w:pPr>
  </w:style>
  <w:style w:type="paragraph" w:customStyle="1" w:styleId="joomimg125imgct">
    <w:name w:val="joomimg125_imgct"/>
    <w:basedOn w:val="a"/>
    <w:rsid w:val="002808C2"/>
    <w:pPr>
      <w:spacing w:before="100" w:beforeAutospacing="1" w:after="100" w:afterAutospacing="1"/>
    </w:pPr>
  </w:style>
  <w:style w:type="character" w:customStyle="1" w:styleId="jgquotatitle">
    <w:name w:val="jg_quotatitle"/>
    <w:basedOn w:val="a0"/>
    <w:rsid w:val="002808C2"/>
    <w:rPr>
      <w:b/>
      <w:bCs/>
    </w:rPr>
  </w:style>
  <w:style w:type="paragraph" w:customStyle="1" w:styleId="sectiontableheader1">
    <w:name w:val="sectiontableheader1"/>
    <w:basedOn w:val="a"/>
    <w:rsid w:val="002808C2"/>
    <w:pPr>
      <w:spacing w:before="100" w:beforeAutospacing="1" w:after="100" w:afterAutospacing="1"/>
      <w:jc w:val="center"/>
    </w:pPr>
  </w:style>
  <w:style w:type="paragraph" w:customStyle="1" w:styleId="inputbox1">
    <w:name w:val="inputbox1"/>
    <w:basedOn w:val="a"/>
    <w:rsid w:val="002808C2"/>
    <w:pPr>
      <w:ind w:left="75"/>
    </w:pPr>
  </w:style>
  <w:style w:type="paragraph" w:customStyle="1" w:styleId="tip1">
    <w:name w:val="tip1"/>
    <w:basedOn w:val="a"/>
    <w:rsid w:val="002808C2"/>
    <w:pPr>
      <w:shd w:val="clear" w:color="auto" w:fill="C64934"/>
      <w:spacing w:before="100" w:beforeAutospacing="1" w:after="100" w:afterAutospacing="1"/>
    </w:pPr>
  </w:style>
  <w:style w:type="paragraph" w:customStyle="1" w:styleId="tip-title1">
    <w:name w:val="tip-title1"/>
    <w:basedOn w:val="a"/>
    <w:rsid w:val="002808C2"/>
    <w:rPr>
      <w:rFonts w:ascii="Verdana" w:hAnsi="Verdana"/>
      <w:b/>
      <w:bCs/>
      <w:color w:val="FFFFFF"/>
      <w:sz w:val="15"/>
      <w:szCs w:val="15"/>
    </w:rPr>
  </w:style>
  <w:style w:type="paragraph" w:customStyle="1" w:styleId="tip-text1">
    <w:name w:val="tip-text1"/>
    <w:basedOn w:val="a"/>
    <w:rsid w:val="002808C2"/>
    <w:pPr>
      <w:pBdr>
        <w:top w:val="single" w:sz="6" w:space="2" w:color="D0D0CA"/>
        <w:left w:val="single" w:sz="6" w:space="2" w:color="D0D0CA"/>
        <w:bottom w:val="single" w:sz="6" w:space="2" w:color="D0D0CA"/>
        <w:right w:val="single" w:sz="6" w:space="2" w:color="D0D0CA"/>
      </w:pBdr>
      <w:shd w:val="clear" w:color="auto" w:fill="FFFFFF"/>
      <w:spacing w:before="15" w:after="15"/>
      <w:ind w:left="15" w:right="15"/>
    </w:pPr>
    <w:rPr>
      <w:rFonts w:ascii="Verdana" w:hAnsi="Verdana"/>
      <w:color w:val="000000"/>
      <w:sz w:val="15"/>
      <w:szCs w:val="15"/>
    </w:rPr>
  </w:style>
  <w:style w:type="paragraph" w:customStyle="1" w:styleId="jgtopdetails1">
    <w:name w:val="jg_top_details1"/>
    <w:basedOn w:val="a"/>
    <w:rsid w:val="002808C2"/>
    <w:pPr>
      <w:jc w:val="center"/>
    </w:pPr>
  </w:style>
  <w:style w:type="paragraph" w:customStyle="1" w:styleId="jgtopelemtxt1">
    <w:name w:val="jg_topelem_txt1"/>
    <w:basedOn w:val="a"/>
    <w:rsid w:val="002808C2"/>
  </w:style>
  <w:style w:type="paragraph" w:customStyle="1" w:styleId="jgsearchelemtxt1">
    <w:name w:val="jg_searchelem_txt1"/>
    <w:basedOn w:val="a"/>
    <w:rsid w:val="002808C2"/>
  </w:style>
  <w:style w:type="paragraph" w:customStyle="1" w:styleId="jgtxtrow1">
    <w:name w:val="jg_txtrow1"/>
    <w:basedOn w:val="a"/>
    <w:rsid w:val="002808C2"/>
    <w:pPr>
      <w:spacing w:before="100" w:beforeAutospacing="1" w:after="100" w:afterAutospacing="1"/>
      <w:jc w:val="center"/>
    </w:pPr>
  </w:style>
  <w:style w:type="paragraph" w:customStyle="1" w:styleId="jgtxtrow2">
    <w:name w:val="jg_txtrow2"/>
    <w:basedOn w:val="a"/>
    <w:rsid w:val="002808C2"/>
    <w:pPr>
      <w:spacing w:before="100" w:beforeAutospacing="1" w:after="100" w:afterAutospacing="1"/>
      <w:jc w:val="center"/>
    </w:pPr>
  </w:style>
  <w:style w:type="paragraph" w:customStyle="1" w:styleId="citp">
    <w:name w:val="citp"/>
    <w:basedOn w:val="a"/>
    <w:rsid w:val="002808C2"/>
    <w:pPr>
      <w:spacing w:before="100" w:beforeAutospacing="1" w:after="100" w:afterAutospacing="1"/>
    </w:pPr>
  </w:style>
  <w:style w:type="paragraph" w:customStyle="1" w:styleId="citaut">
    <w:name w:val="citaut"/>
    <w:basedOn w:val="a"/>
    <w:rsid w:val="002808C2"/>
    <w:pPr>
      <w:spacing w:before="100" w:beforeAutospacing="1" w:after="100" w:afterAutospacing="1"/>
    </w:pPr>
  </w:style>
  <w:style w:type="paragraph" w:customStyle="1" w:styleId="cit">
    <w:name w:val="cit"/>
    <w:basedOn w:val="a"/>
    <w:rsid w:val="002808C2"/>
    <w:pPr>
      <w:spacing w:before="100" w:beforeAutospacing="1" w:after="100" w:afterAutospacing="1"/>
    </w:pPr>
  </w:style>
  <w:style w:type="character" w:customStyle="1" w:styleId="cit1">
    <w:name w:val="cit1"/>
    <w:basedOn w:val="a0"/>
    <w:rsid w:val="002808C2"/>
  </w:style>
  <w:style w:type="paragraph" w:customStyle="1" w:styleId="sectiontableheader2">
    <w:name w:val="sectiontableheader2"/>
    <w:basedOn w:val="a"/>
    <w:rsid w:val="002808C2"/>
    <w:pPr>
      <w:spacing w:before="100" w:beforeAutospacing="1" w:after="100" w:afterAutospacing="1"/>
      <w:jc w:val="center"/>
    </w:pPr>
  </w:style>
  <w:style w:type="paragraph" w:customStyle="1" w:styleId="inputbox2">
    <w:name w:val="inputbox2"/>
    <w:basedOn w:val="a"/>
    <w:rsid w:val="002808C2"/>
    <w:pPr>
      <w:ind w:left="75"/>
    </w:pPr>
  </w:style>
  <w:style w:type="paragraph" w:customStyle="1" w:styleId="tip2">
    <w:name w:val="tip2"/>
    <w:basedOn w:val="a"/>
    <w:rsid w:val="002808C2"/>
    <w:pPr>
      <w:shd w:val="clear" w:color="auto" w:fill="C64934"/>
      <w:spacing w:before="100" w:beforeAutospacing="1" w:after="100" w:afterAutospacing="1"/>
    </w:pPr>
  </w:style>
  <w:style w:type="paragraph" w:customStyle="1" w:styleId="tip-title2">
    <w:name w:val="tip-title2"/>
    <w:basedOn w:val="a"/>
    <w:rsid w:val="002808C2"/>
    <w:rPr>
      <w:rFonts w:ascii="Verdana" w:hAnsi="Verdana"/>
      <w:b/>
      <w:bCs/>
      <w:color w:val="FFFFFF"/>
      <w:sz w:val="15"/>
      <w:szCs w:val="15"/>
    </w:rPr>
  </w:style>
  <w:style w:type="paragraph" w:customStyle="1" w:styleId="tip-text2">
    <w:name w:val="tip-text2"/>
    <w:basedOn w:val="a"/>
    <w:rsid w:val="002808C2"/>
    <w:pPr>
      <w:pBdr>
        <w:top w:val="single" w:sz="6" w:space="2" w:color="D0D0CA"/>
        <w:left w:val="single" w:sz="6" w:space="2" w:color="D0D0CA"/>
        <w:bottom w:val="single" w:sz="6" w:space="2" w:color="D0D0CA"/>
        <w:right w:val="single" w:sz="6" w:space="2" w:color="D0D0CA"/>
      </w:pBdr>
      <w:shd w:val="clear" w:color="auto" w:fill="FFFFFF"/>
      <w:spacing w:before="15" w:after="15"/>
      <w:ind w:left="15" w:right="15"/>
    </w:pPr>
    <w:rPr>
      <w:rFonts w:ascii="Verdana" w:hAnsi="Verdana"/>
      <w:color w:val="000000"/>
      <w:sz w:val="15"/>
      <w:szCs w:val="15"/>
    </w:rPr>
  </w:style>
  <w:style w:type="paragraph" w:customStyle="1" w:styleId="jgtopdetails2">
    <w:name w:val="jg_top_details2"/>
    <w:basedOn w:val="a"/>
    <w:rsid w:val="002808C2"/>
    <w:pPr>
      <w:jc w:val="center"/>
    </w:pPr>
  </w:style>
  <w:style w:type="paragraph" w:customStyle="1" w:styleId="jgtopelemtxt2">
    <w:name w:val="jg_topelem_txt2"/>
    <w:basedOn w:val="a"/>
    <w:rsid w:val="002808C2"/>
  </w:style>
  <w:style w:type="paragraph" w:customStyle="1" w:styleId="jgsearchelemtxt2">
    <w:name w:val="jg_searchelem_txt2"/>
    <w:basedOn w:val="a"/>
    <w:rsid w:val="002808C2"/>
  </w:style>
  <w:style w:type="paragraph" w:customStyle="1" w:styleId="jgtxtrow3">
    <w:name w:val="jg_txtrow3"/>
    <w:basedOn w:val="a"/>
    <w:rsid w:val="002808C2"/>
    <w:pPr>
      <w:spacing w:before="100" w:beforeAutospacing="1" w:after="100" w:afterAutospacing="1"/>
      <w:jc w:val="center"/>
    </w:pPr>
  </w:style>
  <w:style w:type="paragraph" w:customStyle="1" w:styleId="jgtxtrow4">
    <w:name w:val="jg_txtrow4"/>
    <w:basedOn w:val="a"/>
    <w:rsid w:val="002808C2"/>
    <w:pPr>
      <w:spacing w:before="100" w:beforeAutospacing="1" w:after="100" w:afterAutospacing="1"/>
      <w:jc w:val="center"/>
    </w:pPr>
  </w:style>
  <w:style w:type="character" w:customStyle="1" w:styleId="p">
    <w:name w:val="p"/>
    <w:basedOn w:val="a0"/>
    <w:rsid w:val="002808C2"/>
  </w:style>
  <w:style w:type="character" w:customStyle="1" w:styleId="fieldset-legend">
    <w:name w:val="fieldset-legend"/>
    <w:basedOn w:val="a0"/>
    <w:rsid w:val="002808C2"/>
  </w:style>
  <w:style w:type="character" w:customStyle="1" w:styleId="fieldset-legend-prefix">
    <w:name w:val="fieldset-legend-prefix"/>
    <w:basedOn w:val="a0"/>
    <w:rsid w:val="002808C2"/>
  </w:style>
  <w:style w:type="paragraph" w:customStyle="1" w:styleId="error">
    <w:name w:val="error"/>
    <w:basedOn w:val="a"/>
    <w:rsid w:val="002808C2"/>
    <w:pPr>
      <w:spacing w:before="100" w:beforeAutospacing="1" w:after="100" w:afterAutospacing="1"/>
    </w:pPr>
    <w:rPr>
      <w:color w:val="8C2E0B"/>
    </w:rPr>
  </w:style>
  <w:style w:type="paragraph" w:customStyle="1" w:styleId="informer">
    <w:name w:val="informer"/>
    <w:basedOn w:val="a"/>
    <w:rsid w:val="002808C2"/>
    <w:pPr>
      <w:spacing w:before="100" w:beforeAutospacing="1" w:after="100" w:afterAutospacing="1"/>
    </w:pPr>
  </w:style>
  <w:style w:type="paragraph" w:customStyle="1" w:styleId="tabledrag-toggle-weight-wrapper">
    <w:name w:val="tabledrag-toggle-weight-wrapper"/>
    <w:basedOn w:val="a"/>
    <w:rsid w:val="002808C2"/>
    <w:pPr>
      <w:spacing w:before="100" w:beforeAutospacing="1" w:after="100" w:afterAutospacing="1"/>
      <w:jc w:val="right"/>
    </w:pPr>
  </w:style>
  <w:style w:type="paragraph" w:customStyle="1" w:styleId="ajax-progress-bar">
    <w:name w:val="ajax-progress-bar"/>
    <w:basedOn w:val="a"/>
    <w:rsid w:val="002808C2"/>
    <w:pPr>
      <w:spacing w:before="100" w:beforeAutospacing="1" w:after="100" w:afterAutospacing="1"/>
    </w:pPr>
  </w:style>
  <w:style w:type="paragraph" w:customStyle="1" w:styleId="nowrap">
    <w:name w:val="nowrap"/>
    <w:basedOn w:val="a"/>
    <w:rsid w:val="002808C2"/>
    <w:pPr>
      <w:spacing w:before="100" w:beforeAutospacing="1" w:after="100" w:afterAutospacing="1"/>
    </w:pPr>
  </w:style>
  <w:style w:type="paragraph" w:customStyle="1" w:styleId="element-hidden">
    <w:name w:val="element-hidden"/>
    <w:basedOn w:val="a"/>
    <w:rsid w:val="002808C2"/>
    <w:pPr>
      <w:spacing w:before="100" w:beforeAutospacing="1" w:after="100" w:afterAutospacing="1"/>
    </w:pPr>
    <w:rPr>
      <w:vanish/>
    </w:rPr>
  </w:style>
  <w:style w:type="paragraph" w:customStyle="1" w:styleId="element-invisible">
    <w:name w:val="element-invisible"/>
    <w:basedOn w:val="a"/>
    <w:rsid w:val="002808C2"/>
    <w:pPr>
      <w:spacing w:before="100" w:beforeAutospacing="1" w:after="100" w:afterAutospacing="1"/>
    </w:pPr>
  </w:style>
  <w:style w:type="paragraph" w:customStyle="1" w:styleId="breadcrumb">
    <w:name w:val="breadcrumb"/>
    <w:basedOn w:val="a"/>
    <w:rsid w:val="002808C2"/>
    <w:pPr>
      <w:spacing w:before="100" w:beforeAutospacing="1" w:after="100" w:afterAutospacing="1"/>
    </w:pPr>
  </w:style>
  <w:style w:type="paragraph" w:customStyle="1" w:styleId="ok">
    <w:name w:val="ok"/>
    <w:basedOn w:val="a"/>
    <w:rsid w:val="002808C2"/>
    <w:pPr>
      <w:spacing w:before="100" w:beforeAutospacing="1" w:after="100" w:afterAutospacing="1"/>
    </w:pPr>
    <w:rPr>
      <w:color w:val="234600"/>
    </w:rPr>
  </w:style>
  <w:style w:type="paragraph" w:customStyle="1" w:styleId="warning">
    <w:name w:val="warning"/>
    <w:basedOn w:val="a"/>
    <w:rsid w:val="002808C2"/>
    <w:pPr>
      <w:spacing w:before="100" w:beforeAutospacing="1" w:after="100" w:afterAutospacing="1"/>
    </w:pPr>
    <w:rPr>
      <w:color w:val="884400"/>
    </w:rPr>
  </w:style>
  <w:style w:type="paragraph" w:customStyle="1" w:styleId="form-item">
    <w:name w:val="form-item"/>
    <w:basedOn w:val="a"/>
    <w:rsid w:val="002808C2"/>
    <w:pPr>
      <w:spacing w:before="240" w:after="240"/>
    </w:pPr>
  </w:style>
  <w:style w:type="paragraph" w:customStyle="1" w:styleId="form-actions">
    <w:name w:val="form-actions"/>
    <w:basedOn w:val="a"/>
    <w:rsid w:val="002808C2"/>
    <w:pPr>
      <w:spacing w:before="240" w:after="240"/>
    </w:pPr>
  </w:style>
  <w:style w:type="paragraph" w:customStyle="1" w:styleId="marker">
    <w:name w:val="marker"/>
    <w:basedOn w:val="a"/>
    <w:rsid w:val="002808C2"/>
    <w:pPr>
      <w:spacing w:before="100" w:beforeAutospacing="1" w:after="100" w:afterAutospacing="1"/>
    </w:pPr>
    <w:rPr>
      <w:color w:val="FF0000"/>
    </w:rPr>
  </w:style>
  <w:style w:type="paragraph" w:customStyle="1" w:styleId="form-required">
    <w:name w:val="form-required"/>
    <w:basedOn w:val="a"/>
    <w:rsid w:val="002808C2"/>
    <w:pPr>
      <w:spacing w:before="100" w:beforeAutospacing="1" w:after="100" w:afterAutospacing="1"/>
    </w:pPr>
    <w:rPr>
      <w:color w:val="FF0000"/>
    </w:rPr>
  </w:style>
  <w:style w:type="paragraph" w:customStyle="1" w:styleId="more-link">
    <w:name w:val="more-link"/>
    <w:basedOn w:val="a"/>
    <w:rsid w:val="002808C2"/>
    <w:pPr>
      <w:spacing w:before="100" w:beforeAutospacing="1" w:after="100" w:afterAutospacing="1"/>
      <w:jc w:val="right"/>
    </w:pPr>
  </w:style>
  <w:style w:type="paragraph" w:customStyle="1" w:styleId="more-help-link">
    <w:name w:val="more-help-link"/>
    <w:basedOn w:val="a"/>
    <w:rsid w:val="002808C2"/>
    <w:pPr>
      <w:spacing w:before="100" w:beforeAutospacing="1" w:after="100" w:afterAutospacing="1"/>
      <w:jc w:val="right"/>
    </w:pPr>
  </w:style>
  <w:style w:type="paragraph" w:customStyle="1" w:styleId="pager-current">
    <w:name w:val="pager-current"/>
    <w:basedOn w:val="a"/>
    <w:rsid w:val="002808C2"/>
    <w:pPr>
      <w:spacing w:before="100" w:beforeAutospacing="1" w:after="100" w:afterAutospacing="1"/>
    </w:pPr>
    <w:rPr>
      <w:b/>
      <w:bCs/>
    </w:rPr>
  </w:style>
  <w:style w:type="paragraph" w:customStyle="1" w:styleId="tabledrag-toggle-weight">
    <w:name w:val="tabledrag-toggle-weight"/>
    <w:basedOn w:val="a"/>
    <w:rsid w:val="002808C2"/>
    <w:pPr>
      <w:spacing w:before="100" w:beforeAutospacing="1" w:after="100" w:afterAutospacing="1"/>
    </w:pPr>
  </w:style>
  <w:style w:type="paragraph" w:customStyle="1" w:styleId="progress">
    <w:name w:val="progress"/>
    <w:basedOn w:val="a"/>
    <w:rsid w:val="002808C2"/>
    <w:pPr>
      <w:spacing w:before="100" w:beforeAutospacing="1" w:after="100" w:afterAutospacing="1"/>
    </w:pPr>
    <w:rPr>
      <w:b/>
      <w:bCs/>
    </w:rPr>
  </w:style>
  <w:style w:type="paragraph" w:customStyle="1" w:styleId="ui-helper-hidden">
    <w:name w:val="ui-helper-hidden"/>
    <w:basedOn w:val="a"/>
    <w:rsid w:val="002808C2"/>
    <w:pPr>
      <w:spacing w:before="100" w:beforeAutospacing="1" w:after="100" w:afterAutospacing="1"/>
    </w:pPr>
    <w:rPr>
      <w:vanish/>
    </w:rPr>
  </w:style>
  <w:style w:type="paragraph" w:customStyle="1" w:styleId="ui-helper-reset">
    <w:name w:val="ui-helper-reset"/>
    <w:basedOn w:val="a"/>
    <w:rsid w:val="002808C2"/>
  </w:style>
  <w:style w:type="paragraph" w:customStyle="1" w:styleId="ui-helper-clearfix">
    <w:name w:val="ui-helper-clearfix"/>
    <w:basedOn w:val="a"/>
    <w:rsid w:val="002808C2"/>
    <w:pPr>
      <w:spacing w:before="100" w:beforeAutospacing="1" w:after="100" w:afterAutospacing="1"/>
    </w:pPr>
  </w:style>
  <w:style w:type="paragraph" w:customStyle="1" w:styleId="ui-helper-zfix">
    <w:name w:val="ui-helper-zfix"/>
    <w:basedOn w:val="a"/>
    <w:rsid w:val="002808C2"/>
    <w:pPr>
      <w:spacing w:before="100" w:beforeAutospacing="1" w:after="100" w:afterAutospacing="1"/>
    </w:pPr>
  </w:style>
  <w:style w:type="paragraph" w:customStyle="1" w:styleId="ui-icon">
    <w:name w:val="ui-icon"/>
    <w:basedOn w:val="a"/>
    <w:rsid w:val="002808C2"/>
    <w:pPr>
      <w:spacing w:before="100" w:beforeAutospacing="1" w:after="100" w:afterAutospacing="1"/>
      <w:ind w:firstLine="7343"/>
    </w:pPr>
  </w:style>
  <w:style w:type="paragraph" w:customStyle="1" w:styleId="ui-widget-overlay">
    <w:name w:val="ui-widget-overlay"/>
    <w:basedOn w:val="a"/>
    <w:rsid w:val="002808C2"/>
    <w:pPr>
      <w:shd w:val="clear" w:color="auto" w:fill="AAAAAA"/>
      <w:spacing w:before="100" w:beforeAutospacing="1" w:after="100" w:afterAutospacing="1"/>
    </w:pPr>
  </w:style>
  <w:style w:type="paragraph" w:customStyle="1" w:styleId="ui-widget">
    <w:name w:val="ui-widget"/>
    <w:basedOn w:val="a"/>
    <w:rsid w:val="002808C2"/>
    <w:pPr>
      <w:spacing w:before="100" w:beforeAutospacing="1" w:after="100" w:afterAutospacing="1"/>
    </w:pPr>
    <w:rPr>
      <w:rFonts w:ascii="Verdana" w:hAnsi="Verdana"/>
      <w:sz w:val="26"/>
      <w:szCs w:val="26"/>
    </w:rPr>
  </w:style>
  <w:style w:type="paragraph" w:customStyle="1" w:styleId="ui-widget-content">
    <w:name w:val="ui-widget-content"/>
    <w:basedOn w:val="a"/>
    <w:rsid w:val="002808C2"/>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pPr>
    <w:rPr>
      <w:color w:val="222222"/>
    </w:rPr>
  </w:style>
  <w:style w:type="paragraph" w:customStyle="1" w:styleId="ui-widget-header">
    <w:name w:val="ui-widget-header"/>
    <w:basedOn w:val="a"/>
    <w:rsid w:val="002808C2"/>
    <w:pPr>
      <w:pBdr>
        <w:top w:val="single" w:sz="6" w:space="0" w:color="AAAAAA"/>
        <w:left w:val="single" w:sz="6" w:space="0" w:color="AAAAAA"/>
        <w:bottom w:val="single" w:sz="6" w:space="0" w:color="AAAAAA"/>
        <w:right w:val="single" w:sz="6" w:space="0" w:color="AAAAAA"/>
      </w:pBdr>
      <w:shd w:val="clear" w:color="auto" w:fill="CCCCCC"/>
      <w:spacing w:before="100" w:beforeAutospacing="1" w:after="100" w:afterAutospacing="1"/>
    </w:pPr>
    <w:rPr>
      <w:b/>
      <w:bCs/>
      <w:color w:val="222222"/>
    </w:rPr>
  </w:style>
  <w:style w:type="paragraph" w:customStyle="1" w:styleId="ui-state-default">
    <w:name w:val="ui-state-default"/>
    <w:basedOn w:val="a"/>
    <w:rsid w:val="002808C2"/>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pPr>
    <w:rPr>
      <w:color w:val="555555"/>
    </w:rPr>
  </w:style>
  <w:style w:type="paragraph" w:customStyle="1" w:styleId="ui-state-hover">
    <w:name w:val="ui-state-hover"/>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focus">
    <w:name w:val="ui-state-focus"/>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active">
    <w:name w:val="ui-state-active"/>
    <w:basedOn w:val="a"/>
    <w:rsid w:val="002808C2"/>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pPr>
    <w:rPr>
      <w:color w:val="212121"/>
    </w:rPr>
  </w:style>
  <w:style w:type="paragraph" w:customStyle="1" w:styleId="ui-state-highlight">
    <w:name w:val="ui-state-highlight"/>
    <w:basedOn w:val="a"/>
    <w:rsid w:val="002808C2"/>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pPr>
    <w:rPr>
      <w:color w:val="363636"/>
    </w:rPr>
  </w:style>
  <w:style w:type="paragraph" w:customStyle="1" w:styleId="ui-state-error">
    <w:name w:val="ui-state-error"/>
    <w:basedOn w:val="a"/>
    <w:rsid w:val="002808C2"/>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pPr>
    <w:rPr>
      <w:color w:val="CD0A0A"/>
    </w:rPr>
  </w:style>
  <w:style w:type="paragraph" w:customStyle="1" w:styleId="ui-state-error-text">
    <w:name w:val="ui-state-error-text"/>
    <w:basedOn w:val="a"/>
    <w:rsid w:val="002808C2"/>
    <w:pPr>
      <w:spacing w:before="100" w:beforeAutospacing="1" w:after="100" w:afterAutospacing="1"/>
    </w:pPr>
    <w:rPr>
      <w:color w:val="CD0A0A"/>
    </w:rPr>
  </w:style>
  <w:style w:type="paragraph" w:customStyle="1" w:styleId="ui-priority-primary">
    <w:name w:val="ui-priority-primary"/>
    <w:basedOn w:val="a"/>
    <w:rsid w:val="002808C2"/>
    <w:pPr>
      <w:spacing w:before="100" w:beforeAutospacing="1" w:after="100" w:afterAutospacing="1"/>
    </w:pPr>
    <w:rPr>
      <w:b/>
      <w:bCs/>
    </w:rPr>
  </w:style>
  <w:style w:type="paragraph" w:customStyle="1" w:styleId="ui-priority-secondary">
    <w:name w:val="ui-priority-secondary"/>
    <w:basedOn w:val="a"/>
    <w:rsid w:val="002808C2"/>
    <w:pPr>
      <w:spacing w:before="100" w:beforeAutospacing="1" w:after="100" w:afterAutospacing="1"/>
    </w:pPr>
  </w:style>
  <w:style w:type="paragraph" w:customStyle="1" w:styleId="ui-state-disabled">
    <w:name w:val="ui-state-disabled"/>
    <w:basedOn w:val="a"/>
    <w:rsid w:val="002808C2"/>
    <w:pPr>
      <w:spacing w:before="100" w:beforeAutospacing="1" w:after="100" w:afterAutospacing="1"/>
    </w:pPr>
  </w:style>
  <w:style w:type="paragraph" w:customStyle="1" w:styleId="ui-widget-shadow">
    <w:name w:val="ui-widget-shadow"/>
    <w:basedOn w:val="a"/>
    <w:rsid w:val="002808C2"/>
    <w:pPr>
      <w:shd w:val="clear" w:color="auto" w:fill="AAAAAA"/>
      <w:ind w:left="-120"/>
    </w:pPr>
  </w:style>
  <w:style w:type="paragraph" w:customStyle="1" w:styleId="footnotes">
    <w:name w:val="footnotes"/>
    <w:basedOn w:val="a"/>
    <w:rsid w:val="002808C2"/>
    <w:pPr>
      <w:pBdr>
        <w:top w:val="single" w:sz="6" w:space="0" w:color="000000"/>
      </w:pBdr>
      <w:spacing w:before="960" w:after="480"/>
    </w:pPr>
  </w:style>
  <w:style w:type="paragraph" w:customStyle="1" w:styleId="see-footnote">
    <w:name w:val="see-footnote"/>
    <w:basedOn w:val="a"/>
    <w:rsid w:val="002808C2"/>
    <w:pPr>
      <w:spacing w:before="100" w:beforeAutospacing="1" w:after="100" w:afterAutospacing="1"/>
      <w:textAlignment w:val="top"/>
    </w:pPr>
  </w:style>
  <w:style w:type="paragraph" w:customStyle="1" w:styleId="footnote1">
    <w:name w:val="footnote"/>
    <w:basedOn w:val="a"/>
    <w:rsid w:val="002808C2"/>
    <w:pPr>
      <w:spacing w:before="100" w:beforeAutospacing="1" w:after="100" w:afterAutospacing="1"/>
    </w:pPr>
  </w:style>
  <w:style w:type="paragraph" w:customStyle="1" w:styleId="indented">
    <w:name w:val="indented"/>
    <w:basedOn w:val="a"/>
    <w:rsid w:val="002808C2"/>
    <w:pPr>
      <w:spacing w:before="100" w:beforeAutospacing="1" w:after="100" w:afterAutospacing="1"/>
      <w:ind w:left="375"/>
    </w:pPr>
  </w:style>
  <w:style w:type="paragraph" w:customStyle="1" w:styleId="comment-unpublished">
    <w:name w:val="comment-unpublished"/>
    <w:basedOn w:val="a"/>
    <w:rsid w:val="002808C2"/>
    <w:pPr>
      <w:shd w:val="clear" w:color="auto" w:fill="FFF4F4"/>
      <w:spacing w:before="100" w:beforeAutospacing="1" w:after="100" w:afterAutospacing="1"/>
    </w:pPr>
  </w:style>
  <w:style w:type="paragraph" w:customStyle="1" w:styleId="comment-preview">
    <w:name w:val="comment-preview"/>
    <w:basedOn w:val="a"/>
    <w:rsid w:val="002808C2"/>
    <w:pPr>
      <w:shd w:val="clear" w:color="auto" w:fill="FFFFEA"/>
      <w:spacing w:before="100" w:beforeAutospacing="1" w:after="100" w:afterAutospacing="1"/>
    </w:pPr>
  </w:style>
  <w:style w:type="paragraph" w:customStyle="1" w:styleId="node-unpublished">
    <w:name w:val="node-unpublished"/>
    <w:basedOn w:val="a"/>
    <w:rsid w:val="002808C2"/>
    <w:pPr>
      <w:shd w:val="clear" w:color="auto" w:fill="FFF4F4"/>
      <w:spacing w:before="100" w:beforeAutospacing="1" w:after="100" w:afterAutospacing="1"/>
    </w:pPr>
  </w:style>
  <w:style w:type="paragraph" w:customStyle="1" w:styleId="search-form">
    <w:name w:val="search-form"/>
    <w:basedOn w:val="a"/>
    <w:rsid w:val="002808C2"/>
    <w:pPr>
      <w:spacing w:before="100" w:beforeAutospacing="1" w:after="240"/>
    </w:pPr>
  </w:style>
  <w:style w:type="paragraph" w:customStyle="1" w:styleId="password-strength">
    <w:name w:val="password-strength"/>
    <w:basedOn w:val="a"/>
    <w:rsid w:val="002808C2"/>
    <w:pPr>
      <w:spacing w:before="336" w:after="100" w:afterAutospacing="1"/>
    </w:pPr>
  </w:style>
  <w:style w:type="paragraph" w:customStyle="1" w:styleId="password-strength-title">
    <w:name w:val="password-strength-title"/>
    <w:basedOn w:val="a"/>
    <w:rsid w:val="002808C2"/>
    <w:pPr>
      <w:spacing w:before="100" w:beforeAutospacing="1" w:after="100" w:afterAutospacing="1"/>
    </w:pPr>
  </w:style>
  <w:style w:type="paragraph" w:customStyle="1" w:styleId="password-strength-text">
    <w:name w:val="password-strength-text"/>
    <w:basedOn w:val="a"/>
    <w:rsid w:val="002808C2"/>
    <w:pPr>
      <w:spacing w:before="100" w:beforeAutospacing="1" w:after="100" w:afterAutospacing="1"/>
    </w:pPr>
    <w:rPr>
      <w:b/>
      <w:bCs/>
    </w:rPr>
  </w:style>
  <w:style w:type="paragraph" w:customStyle="1" w:styleId="password-indicator">
    <w:name w:val="password-indicator"/>
    <w:basedOn w:val="a"/>
    <w:rsid w:val="002808C2"/>
    <w:pPr>
      <w:shd w:val="clear" w:color="auto" w:fill="C4C4C4"/>
      <w:spacing w:before="100" w:beforeAutospacing="1" w:after="100" w:afterAutospacing="1"/>
    </w:pPr>
  </w:style>
  <w:style w:type="paragraph" w:customStyle="1" w:styleId="confirm-parent">
    <w:name w:val="confirm-parent"/>
    <w:basedOn w:val="a"/>
    <w:rsid w:val="002808C2"/>
  </w:style>
  <w:style w:type="paragraph" w:customStyle="1" w:styleId="password-parent">
    <w:name w:val="password-parent"/>
    <w:basedOn w:val="a"/>
    <w:rsid w:val="002808C2"/>
  </w:style>
  <w:style w:type="paragraph" w:customStyle="1" w:styleId="profile">
    <w:name w:val="profile"/>
    <w:basedOn w:val="a"/>
    <w:rsid w:val="002808C2"/>
    <w:pPr>
      <w:spacing w:before="240" w:after="240"/>
    </w:pPr>
  </w:style>
  <w:style w:type="paragraph" w:customStyle="1" w:styleId="views-exposed-widgets">
    <w:name w:val="views-exposed-widgets"/>
    <w:basedOn w:val="a"/>
    <w:rsid w:val="002808C2"/>
    <w:pPr>
      <w:spacing w:before="100" w:beforeAutospacing="1" w:after="120"/>
    </w:pPr>
  </w:style>
  <w:style w:type="paragraph" w:customStyle="1" w:styleId="views-align-left">
    <w:name w:val="views-align-left"/>
    <w:basedOn w:val="a"/>
    <w:rsid w:val="002808C2"/>
    <w:pPr>
      <w:spacing w:before="100" w:beforeAutospacing="1" w:after="100" w:afterAutospacing="1"/>
    </w:pPr>
  </w:style>
  <w:style w:type="paragraph" w:customStyle="1" w:styleId="views-align-right">
    <w:name w:val="views-align-right"/>
    <w:basedOn w:val="a"/>
    <w:rsid w:val="002808C2"/>
    <w:pPr>
      <w:spacing w:before="100" w:beforeAutospacing="1" w:after="100" w:afterAutospacing="1"/>
      <w:jc w:val="right"/>
    </w:pPr>
  </w:style>
  <w:style w:type="paragraph" w:customStyle="1" w:styleId="views-align-center">
    <w:name w:val="views-align-center"/>
    <w:basedOn w:val="a"/>
    <w:rsid w:val="002808C2"/>
    <w:pPr>
      <w:spacing w:before="100" w:beforeAutospacing="1" w:after="100" w:afterAutospacing="1"/>
      <w:jc w:val="center"/>
    </w:pPr>
  </w:style>
  <w:style w:type="paragraph" w:customStyle="1" w:styleId="rteindent2">
    <w:name w:val="rteindent2"/>
    <w:basedOn w:val="a"/>
    <w:rsid w:val="002808C2"/>
    <w:pPr>
      <w:spacing w:before="100" w:beforeAutospacing="1" w:after="100" w:afterAutospacing="1"/>
      <w:ind w:left="1200"/>
    </w:pPr>
  </w:style>
  <w:style w:type="paragraph" w:customStyle="1" w:styleId="rteindent3">
    <w:name w:val="rteindent3"/>
    <w:basedOn w:val="a"/>
    <w:rsid w:val="002808C2"/>
    <w:pPr>
      <w:spacing w:before="100" w:beforeAutospacing="1" w:after="100" w:afterAutospacing="1"/>
      <w:ind w:left="1800"/>
    </w:pPr>
  </w:style>
  <w:style w:type="paragraph" w:customStyle="1" w:styleId="rteindent4">
    <w:name w:val="rteindent4"/>
    <w:basedOn w:val="a"/>
    <w:rsid w:val="002808C2"/>
    <w:pPr>
      <w:spacing w:before="100" w:beforeAutospacing="1" w:after="100" w:afterAutospacing="1"/>
      <w:ind w:left="2400"/>
    </w:pPr>
  </w:style>
  <w:style w:type="paragraph" w:customStyle="1" w:styleId="rteleft">
    <w:name w:val="rteleft"/>
    <w:basedOn w:val="a"/>
    <w:rsid w:val="002808C2"/>
    <w:pPr>
      <w:spacing w:before="100" w:beforeAutospacing="1" w:after="100" w:afterAutospacing="1"/>
    </w:pPr>
  </w:style>
  <w:style w:type="paragraph" w:customStyle="1" w:styleId="cboxphoto">
    <w:name w:val="cboxphoto"/>
    <w:basedOn w:val="a"/>
    <w:rsid w:val="002808C2"/>
    <w:pPr>
      <w:spacing w:before="100" w:beforeAutospacing="1" w:after="100" w:afterAutospacing="1"/>
    </w:pPr>
  </w:style>
  <w:style w:type="paragraph" w:customStyle="1" w:styleId="cboxiframe">
    <w:name w:val="cboxiframe"/>
    <w:basedOn w:val="a"/>
    <w:rsid w:val="002808C2"/>
    <w:pPr>
      <w:spacing w:before="100" w:beforeAutospacing="1" w:after="100" w:afterAutospacing="1"/>
    </w:pPr>
  </w:style>
  <w:style w:type="paragraph" w:customStyle="1" w:styleId="ctools-locked">
    <w:name w:val="ctools-locked"/>
    <w:basedOn w:val="a"/>
    <w:rsid w:val="002808C2"/>
    <w:pPr>
      <w:pBdr>
        <w:top w:val="single" w:sz="6" w:space="12" w:color="FF0000"/>
        <w:left w:val="single" w:sz="6" w:space="12" w:color="FF0000"/>
        <w:bottom w:val="single" w:sz="6" w:space="12" w:color="FF0000"/>
        <w:right w:val="single" w:sz="6" w:space="12" w:color="FF0000"/>
      </w:pBdr>
      <w:spacing w:before="100" w:beforeAutospacing="1" w:after="100" w:afterAutospacing="1"/>
    </w:pPr>
    <w:rPr>
      <w:color w:val="FF0000"/>
    </w:rPr>
  </w:style>
  <w:style w:type="paragraph" w:customStyle="1" w:styleId="ctools-owns-lock">
    <w:name w:val="ctools-owns-lock"/>
    <w:basedOn w:val="a"/>
    <w:rsid w:val="002808C2"/>
    <w:pPr>
      <w:pBdr>
        <w:top w:val="single" w:sz="6" w:space="12" w:color="F0C020"/>
        <w:left w:val="single" w:sz="6" w:space="12" w:color="F0C020"/>
        <w:bottom w:val="single" w:sz="6" w:space="12" w:color="F0C020"/>
        <w:right w:val="single" w:sz="6" w:space="12" w:color="F0C020"/>
      </w:pBdr>
      <w:shd w:val="clear" w:color="auto" w:fill="FFFFDD"/>
      <w:spacing w:before="100" w:beforeAutospacing="1" w:after="100" w:afterAutospacing="1"/>
    </w:pPr>
  </w:style>
  <w:style w:type="paragraph" w:customStyle="1" w:styleId="quote-author">
    <w:name w:val="quote-author"/>
    <w:basedOn w:val="a"/>
    <w:rsid w:val="002808C2"/>
    <w:pPr>
      <w:spacing w:after="240"/>
    </w:pPr>
    <w:rPr>
      <w:b/>
      <w:bCs/>
    </w:rPr>
  </w:style>
  <w:style w:type="paragraph" w:customStyle="1" w:styleId="quote-msg">
    <w:name w:val="quote-msg"/>
    <w:basedOn w:val="a"/>
    <w:rsid w:val="002808C2"/>
    <w:pPr>
      <w:pBdr>
        <w:top w:val="single" w:sz="6" w:space="12" w:color="DDDDDD"/>
        <w:left w:val="single" w:sz="6" w:space="12" w:color="DDDDDD"/>
        <w:bottom w:val="single" w:sz="6" w:space="12" w:color="DDDDDD"/>
        <w:right w:val="single" w:sz="6" w:space="12" w:color="DDDDDD"/>
      </w:pBdr>
      <w:shd w:val="clear" w:color="auto" w:fill="F6F6F6"/>
      <w:spacing w:before="100" w:beforeAutospacing="1" w:after="100" w:afterAutospacing="1"/>
    </w:pPr>
  </w:style>
  <w:style w:type="paragraph" w:customStyle="1" w:styleId="quote-snip">
    <w:name w:val="quote-snip"/>
    <w:basedOn w:val="a"/>
    <w:rsid w:val="002808C2"/>
    <w:pPr>
      <w:pBdr>
        <w:top w:val="single" w:sz="6" w:space="12" w:color="DDDDDD"/>
        <w:left w:val="single" w:sz="6" w:space="12" w:color="DDDDDD"/>
        <w:bottom w:val="single" w:sz="6" w:space="12" w:color="DDDDDD"/>
        <w:right w:val="single" w:sz="6" w:space="12" w:color="DDDDDD"/>
      </w:pBdr>
      <w:shd w:val="clear" w:color="auto" w:fill="F6F6F6"/>
      <w:spacing w:before="100" w:beforeAutospacing="1" w:after="100" w:afterAutospacing="1"/>
      <w:jc w:val="center"/>
    </w:pPr>
  </w:style>
  <w:style w:type="paragraph" w:customStyle="1" w:styleId="rate-info">
    <w:name w:val="rate-info"/>
    <w:basedOn w:val="a"/>
    <w:rsid w:val="002808C2"/>
    <w:pPr>
      <w:spacing w:before="100" w:beforeAutospacing="1" w:after="100" w:afterAutospacing="1"/>
    </w:pPr>
    <w:rPr>
      <w:color w:val="666666"/>
      <w:sz w:val="19"/>
      <w:szCs w:val="19"/>
    </w:rPr>
  </w:style>
  <w:style w:type="paragraph" w:customStyle="1" w:styleId="rate-description">
    <w:name w:val="rate-description"/>
    <w:basedOn w:val="a"/>
    <w:rsid w:val="002808C2"/>
    <w:pPr>
      <w:spacing w:before="100" w:beforeAutospacing="1" w:after="100" w:afterAutospacing="1"/>
    </w:pPr>
    <w:rPr>
      <w:color w:val="666666"/>
      <w:sz w:val="19"/>
      <w:szCs w:val="19"/>
    </w:rPr>
  </w:style>
  <w:style w:type="paragraph" w:customStyle="1" w:styleId="forum-table-superheader">
    <w:name w:val="forum-table-superheader"/>
    <w:basedOn w:val="a"/>
    <w:rsid w:val="002808C2"/>
    <w:pPr>
      <w:pBdr>
        <w:top w:val="single" w:sz="6" w:space="0" w:color="A89664"/>
        <w:left w:val="single" w:sz="6" w:space="0" w:color="A89664"/>
        <w:bottom w:val="single" w:sz="6" w:space="0" w:color="A89664"/>
        <w:right w:val="single" w:sz="6" w:space="0" w:color="A89664"/>
      </w:pBdr>
      <w:shd w:val="clear" w:color="auto" w:fill="EDE6D3"/>
      <w:spacing w:before="100" w:beforeAutospacing="1" w:after="100" w:afterAutospacing="1"/>
    </w:pPr>
  </w:style>
  <w:style w:type="paragraph" w:customStyle="1" w:styleId="forum-node-create-links-top">
    <w:name w:val="forum-node-create-links-top"/>
    <w:basedOn w:val="a"/>
    <w:rsid w:val="002808C2"/>
    <w:pPr>
      <w:spacing w:before="100" w:beforeAutospacing="1" w:after="100" w:afterAutospacing="1"/>
    </w:pPr>
    <w:rPr>
      <w:vanish/>
    </w:rPr>
  </w:style>
  <w:style w:type="paragraph" w:customStyle="1" w:styleId="forum-post-info">
    <w:name w:val="forum-post-info"/>
    <w:basedOn w:val="a"/>
    <w:rsid w:val="002808C2"/>
    <w:pPr>
      <w:shd w:val="clear" w:color="auto" w:fill="EDE6D3"/>
      <w:spacing w:before="100" w:beforeAutospacing="1" w:after="100" w:afterAutospacing="1"/>
    </w:pPr>
  </w:style>
  <w:style w:type="paragraph" w:customStyle="1" w:styleId="forum-post-wrapper">
    <w:name w:val="forum-post-wrapper"/>
    <w:basedOn w:val="a"/>
    <w:rsid w:val="002808C2"/>
    <w:pPr>
      <w:shd w:val="clear" w:color="auto" w:fill="EDE6D3"/>
      <w:spacing w:before="100" w:beforeAutospacing="1" w:after="100" w:afterAutospacing="1"/>
    </w:pPr>
  </w:style>
  <w:style w:type="paragraph" w:customStyle="1" w:styleId="forum-post-panel-main">
    <w:name w:val="forum-post-panel-main"/>
    <w:basedOn w:val="a"/>
    <w:rsid w:val="002808C2"/>
    <w:pPr>
      <w:shd w:val="clear" w:color="auto" w:fill="F2EEE1"/>
      <w:spacing w:before="100" w:beforeAutospacing="1" w:after="100" w:afterAutospacing="1"/>
    </w:pPr>
  </w:style>
  <w:style w:type="paragraph" w:customStyle="1" w:styleId="comment">
    <w:name w:val="comment"/>
    <w:basedOn w:val="a"/>
    <w:rsid w:val="002808C2"/>
    <w:pPr>
      <w:pBdr>
        <w:left w:val="dotted" w:sz="6" w:space="6" w:color="A89664"/>
        <w:bottom w:val="dotted" w:sz="6" w:space="6" w:color="A89664"/>
      </w:pBdr>
      <w:spacing w:before="100" w:beforeAutospacing="1" w:after="100" w:afterAutospacing="1"/>
    </w:pPr>
  </w:style>
  <w:style w:type="paragraph" w:customStyle="1" w:styleId="field-multiple-table">
    <w:name w:val="field-multiple-table"/>
    <w:basedOn w:val="a"/>
    <w:rsid w:val="002808C2"/>
    <w:pPr>
      <w:spacing w:before="100" w:beforeAutospacing="1" w:after="100" w:afterAutospacing="1"/>
    </w:pPr>
  </w:style>
  <w:style w:type="paragraph" w:customStyle="1" w:styleId="field-add-more-submit">
    <w:name w:val="field-add-more-submit"/>
    <w:basedOn w:val="a"/>
    <w:rsid w:val="002808C2"/>
    <w:pPr>
      <w:spacing w:before="100" w:beforeAutospacing="1" w:after="100" w:afterAutospacing="1"/>
    </w:pPr>
  </w:style>
  <w:style w:type="paragraph" w:customStyle="1" w:styleId="grippie">
    <w:name w:val="grippie"/>
    <w:basedOn w:val="a"/>
    <w:rsid w:val="002808C2"/>
    <w:pPr>
      <w:spacing w:before="100" w:beforeAutospacing="1" w:after="100" w:afterAutospacing="1"/>
    </w:pPr>
  </w:style>
  <w:style w:type="paragraph" w:customStyle="1" w:styleId="bar">
    <w:name w:val="bar"/>
    <w:basedOn w:val="a"/>
    <w:rsid w:val="002808C2"/>
    <w:pPr>
      <w:spacing w:before="100" w:beforeAutospacing="1" w:after="100" w:afterAutospacing="1"/>
    </w:pPr>
  </w:style>
  <w:style w:type="paragraph" w:customStyle="1" w:styleId="filled">
    <w:name w:val="filled"/>
    <w:basedOn w:val="a"/>
    <w:rsid w:val="002808C2"/>
    <w:pPr>
      <w:spacing w:before="100" w:beforeAutospacing="1" w:after="100" w:afterAutospacing="1"/>
    </w:pPr>
  </w:style>
  <w:style w:type="paragraph" w:customStyle="1" w:styleId="throbber">
    <w:name w:val="throbber"/>
    <w:basedOn w:val="a"/>
    <w:rsid w:val="002808C2"/>
    <w:pPr>
      <w:spacing w:before="100" w:beforeAutospacing="1" w:after="100" w:afterAutospacing="1"/>
    </w:pPr>
  </w:style>
  <w:style w:type="paragraph" w:customStyle="1" w:styleId="message">
    <w:name w:val="message"/>
    <w:basedOn w:val="a"/>
    <w:rsid w:val="002808C2"/>
    <w:pPr>
      <w:spacing w:before="100" w:beforeAutospacing="1" w:after="100" w:afterAutospacing="1"/>
    </w:pPr>
  </w:style>
  <w:style w:type="paragraph" w:customStyle="1" w:styleId="fieldset-wrapper">
    <w:name w:val="fieldset-wrapper"/>
    <w:basedOn w:val="a"/>
    <w:rsid w:val="002808C2"/>
    <w:pPr>
      <w:spacing w:before="100" w:beforeAutospacing="1" w:after="100" w:afterAutospacing="1"/>
    </w:pPr>
  </w:style>
  <w:style w:type="paragraph" w:customStyle="1" w:styleId="1c">
    <w:name w:val="Заголовок1"/>
    <w:basedOn w:val="a"/>
    <w:rsid w:val="002808C2"/>
    <w:pPr>
      <w:spacing w:before="100" w:beforeAutospacing="1" w:after="100" w:afterAutospacing="1"/>
    </w:pPr>
  </w:style>
  <w:style w:type="paragraph" w:customStyle="1" w:styleId="description">
    <w:name w:val="description"/>
    <w:basedOn w:val="a"/>
    <w:rsid w:val="002808C2"/>
    <w:pPr>
      <w:spacing w:before="100" w:beforeAutospacing="1" w:after="100" w:afterAutospacing="1"/>
    </w:pPr>
  </w:style>
  <w:style w:type="paragraph" w:customStyle="1" w:styleId="pager">
    <w:name w:val="pager"/>
    <w:basedOn w:val="a"/>
    <w:rsid w:val="002808C2"/>
    <w:pPr>
      <w:spacing w:before="100" w:beforeAutospacing="1" w:after="100" w:afterAutospacing="1"/>
    </w:pPr>
  </w:style>
  <w:style w:type="paragraph" w:customStyle="1" w:styleId="footnote-multi">
    <w:name w:val="footnote-multi"/>
    <w:basedOn w:val="a"/>
    <w:rsid w:val="002808C2"/>
    <w:pPr>
      <w:spacing w:before="100" w:beforeAutospacing="1" w:after="100" w:afterAutospacing="1"/>
    </w:pPr>
  </w:style>
  <w:style w:type="paragraph" w:customStyle="1" w:styleId="menu">
    <w:name w:val="menu"/>
    <w:basedOn w:val="a"/>
    <w:rsid w:val="002808C2"/>
    <w:pPr>
      <w:spacing w:before="100" w:beforeAutospacing="1" w:after="100" w:afterAutospacing="1"/>
    </w:pPr>
  </w:style>
  <w:style w:type="paragraph" w:customStyle="1" w:styleId="page-links">
    <w:name w:val="page-links"/>
    <w:basedOn w:val="a"/>
    <w:rsid w:val="002808C2"/>
    <w:pPr>
      <w:spacing w:before="100" w:beforeAutospacing="1" w:after="100" w:afterAutospacing="1"/>
    </w:pPr>
  </w:style>
  <w:style w:type="paragraph" w:customStyle="1" w:styleId="page-previous">
    <w:name w:val="page-previous"/>
    <w:basedOn w:val="a"/>
    <w:rsid w:val="002808C2"/>
    <w:pPr>
      <w:spacing w:before="100" w:beforeAutospacing="1" w:after="100" w:afterAutospacing="1"/>
    </w:pPr>
  </w:style>
  <w:style w:type="paragraph" w:customStyle="1" w:styleId="page-up">
    <w:name w:val="page-up"/>
    <w:basedOn w:val="a"/>
    <w:rsid w:val="002808C2"/>
    <w:pPr>
      <w:spacing w:before="100" w:beforeAutospacing="1" w:after="100" w:afterAutospacing="1"/>
    </w:pPr>
  </w:style>
  <w:style w:type="paragraph" w:customStyle="1" w:styleId="page-next">
    <w:name w:val="page-next"/>
    <w:basedOn w:val="a"/>
    <w:rsid w:val="002808C2"/>
    <w:pPr>
      <w:spacing w:before="100" w:beforeAutospacing="1" w:after="100" w:afterAutospacing="1"/>
    </w:pPr>
  </w:style>
  <w:style w:type="paragraph" w:customStyle="1" w:styleId="field-label">
    <w:name w:val="field-label"/>
    <w:basedOn w:val="a"/>
    <w:rsid w:val="002808C2"/>
    <w:pPr>
      <w:spacing w:before="100" w:beforeAutospacing="1" w:after="100" w:afterAutospacing="1"/>
    </w:pPr>
  </w:style>
  <w:style w:type="paragraph" w:customStyle="1" w:styleId="node">
    <w:name w:val="node"/>
    <w:basedOn w:val="a"/>
    <w:rsid w:val="002808C2"/>
    <w:pPr>
      <w:spacing w:before="100" w:beforeAutospacing="1" w:after="100" w:afterAutospacing="1"/>
    </w:pPr>
  </w:style>
  <w:style w:type="paragraph" w:customStyle="1" w:styleId="links">
    <w:name w:val="links"/>
    <w:basedOn w:val="a"/>
    <w:rsid w:val="002808C2"/>
    <w:pPr>
      <w:spacing w:before="100" w:beforeAutospacing="1" w:after="100" w:afterAutospacing="1"/>
    </w:pPr>
  </w:style>
  <w:style w:type="paragraph" w:customStyle="1" w:styleId="percent">
    <w:name w:val="percent"/>
    <w:basedOn w:val="a"/>
    <w:rsid w:val="002808C2"/>
    <w:pPr>
      <w:spacing w:before="100" w:beforeAutospacing="1" w:after="100" w:afterAutospacing="1"/>
    </w:pPr>
  </w:style>
  <w:style w:type="paragraph" w:customStyle="1" w:styleId="total">
    <w:name w:val="total"/>
    <w:basedOn w:val="a"/>
    <w:rsid w:val="002808C2"/>
    <w:pPr>
      <w:spacing w:before="100" w:beforeAutospacing="1" w:after="100" w:afterAutospacing="1"/>
    </w:pPr>
  </w:style>
  <w:style w:type="paragraph" w:customStyle="1" w:styleId="vote-form">
    <w:name w:val="vote-form"/>
    <w:basedOn w:val="a"/>
    <w:rsid w:val="002808C2"/>
    <w:pPr>
      <w:spacing w:before="100" w:beforeAutospacing="1" w:after="100" w:afterAutospacing="1"/>
    </w:pPr>
  </w:style>
  <w:style w:type="paragraph" w:customStyle="1" w:styleId="search-snippet-info">
    <w:name w:val="search-snippet-info"/>
    <w:basedOn w:val="a"/>
    <w:rsid w:val="002808C2"/>
    <w:pPr>
      <w:spacing w:before="100" w:beforeAutospacing="1" w:after="100" w:afterAutospacing="1"/>
    </w:pPr>
  </w:style>
  <w:style w:type="paragraph" w:customStyle="1" w:styleId="search-info">
    <w:name w:val="search-info"/>
    <w:basedOn w:val="a"/>
    <w:rsid w:val="002808C2"/>
    <w:pPr>
      <w:spacing w:before="100" w:beforeAutospacing="1" w:after="100" w:afterAutospacing="1"/>
    </w:pPr>
  </w:style>
  <w:style w:type="paragraph" w:customStyle="1" w:styleId="criterion">
    <w:name w:val="criterion"/>
    <w:basedOn w:val="a"/>
    <w:rsid w:val="002808C2"/>
    <w:pPr>
      <w:spacing w:before="100" w:beforeAutospacing="1" w:after="100" w:afterAutospacing="1"/>
    </w:pPr>
  </w:style>
  <w:style w:type="paragraph" w:customStyle="1" w:styleId="action">
    <w:name w:val="action"/>
    <w:basedOn w:val="a"/>
    <w:rsid w:val="002808C2"/>
    <w:pPr>
      <w:spacing w:before="100" w:beforeAutospacing="1" w:after="100" w:afterAutospacing="1"/>
    </w:pPr>
  </w:style>
  <w:style w:type="paragraph" w:customStyle="1" w:styleId="user-picture">
    <w:name w:val="user-picture"/>
    <w:basedOn w:val="a"/>
    <w:rsid w:val="002808C2"/>
    <w:pPr>
      <w:spacing w:before="100" w:beforeAutospacing="1" w:after="100" w:afterAutospacing="1"/>
    </w:pPr>
  </w:style>
  <w:style w:type="paragraph" w:customStyle="1" w:styleId="views-exposed-widget">
    <w:name w:val="views-exposed-widget"/>
    <w:basedOn w:val="a"/>
    <w:rsid w:val="002808C2"/>
    <w:pPr>
      <w:spacing w:before="100" w:beforeAutospacing="1" w:after="100" w:afterAutospacing="1"/>
    </w:pPr>
  </w:style>
  <w:style w:type="paragraph" w:customStyle="1" w:styleId="form-submit">
    <w:name w:val="form-submit"/>
    <w:basedOn w:val="a"/>
    <w:rsid w:val="002808C2"/>
    <w:pPr>
      <w:spacing w:before="100" w:beforeAutospacing="1" w:after="100" w:afterAutospacing="1"/>
    </w:pPr>
  </w:style>
  <w:style w:type="paragraph" w:customStyle="1" w:styleId="field-item">
    <w:name w:val="field-item"/>
    <w:basedOn w:val="a"/>
    <w:rsid w:val="002808C2"/>
    <w:pPr>
      <w:spacing w:before="100" w:beforeAutospacing="1" w:after="100" w:afterAutospacing="1"/>
    </w:pPr>
  </w:style>
  <w:style w:type="paragraph" w:customStyle="1" w:styleId="handle">
    <w:name w:val="handle"/>
    <w:basedOn w:val="a"/>
    <w:rsid w:val="002808C2"/>
    <w:pPr>
      <w:spacing w:before="100" w:beforeAutospacing="1" w:after="100" w:afterAutospacing="1"/>
    </w:pPr>
  </w:style>
  <w:style w:type="paragraph" w:customStyle="1" w:styleId="js-hide">
    <w:name w:val="js-hide"/>
    <w:basedOn w:val="a"/>
    <w:rsid w:val="002808C2"/>
    <w:pPr>
      <w:spacing w:before="100" w:beforeAutospacing="1" w:after="100" w:afterAutospacing="1"/>
    </w:pPr>
  </w:style>
  <w:style w:type="paragraph" w:customStyle="1" w:styleId="form-text">
    <w:name w:val="form-text"/>
    <w:basedOn w:val="a"/>
    <w:rsid w:val="002808C2"/>
    <w:pPr>
      <w:spacing w:before="100" w:beforeAutospacing="1" w:after="100" w:afterAutospacing="1"/>
    </w:pPr>
  </w:style>
  <w:style w:type="paragraph" w:customStyle="1" w:styleId="modal-title">
    <w:name w:val="modal-title"/>
    <w:basedOn w:val="a"/>
    <w:rsid w:val="002808C2"/>
    <w:pPr>
      <w:spacing w:before="100" w:beforeAutospacing="1" w:after="100" w:afterAutospacing="1"/>
    </w:pPr>
  </w:style>
  <w:style w:type="paragraph" w:customStyle="1" w:styleId="modal-header">
    <w:name w:val="modal-header"/>
    <w:basedOn w:val="a"/>
    <w:rsid w:val="002808C2"/>
    <w:pPr>
      <w:spacing w:before="100" w:beforeAutospacing="1" w:after="100" w:afterAutospacing="1"/>
    </w:pPr>
  </w:style>
  <w:style w:type="paragraph" w:customStyle="1" w:styleId="modal-content">
    <w:name w:val="modal-content"/>
    <w:basedOn w:val="a"/>
    <w:rsid w:val="002808C2"/>
    <w:pPr>
      <w:spacing w:before="100" w:beforeAutospacing="1" w:after="100" w:afterAutospacing="1"/>
    </w:pPr>
  </w:style>
  <w:style w:type="paragraph" w:customStyle="1" w:styleId="resizable-textarea">
    <w:name w:val="resizable-textarea"/>
    <w:basedOn w:val="a"/>
    <w:rsid w:val="002808C2"/>
    <w:pPr>
      <w:spacing w:before="100" w:beforeAutospacing="1" w:after="100" w:afterAutospacing="1"/>
    </w:pPr>
  </w:style>
  <w:style w:type="paragraph" w:customStyle="1" w:styleId="dependent-options">
    <w:name w:val="dependent-options"/>
    <w:basedOn w:val="a"/>
    <w:rsid w:val="002808C2"/>
    <w:pPr>
      <w:spacing w:before="100" w:beforeAutospacing="1" w:after="100" w:afterAutospacing="1"/>
    </w:pPr>
  </w:style>
  <w:style w:type="paragraph" w:customStyle="1" w:styleId="foreground">
    <w:name w:val="foreground"/>
    <w:basedOn w:val="a"/>
    <w:rsid w:val="002808C2"/>
    <w:pPr>
      <w:spacing w:before="100" w:beforeAutospacing="1" w:after="100" w:afterAutospacing="1"/>
    </w:pPr>
  </w:style>
  <w:style w:type="paragraph" w:customStyle="1" w:styleId="choices">
    <w:name w:val="choices"/>
    <w:basedOn w:val="a"/>
    <w:rsid w:val="002808C2"/>
    <w:pPr>
      <w:spacing w:before="100" w:beforeAutospacing="1" w:after="100" w:afterAutospacing="1"/>
    </w:pPr>
  </w:style>
  <w:style w:type="paragraph" w:customStyle="1" w:styleId="modal-throbber-wrapper">
    <w:name w:val="modal-throbber-wrapper"/>
    <w:basedOn w:val="a"/>
    <w:rsid w:val="002808C2"/>
    <w:pPr>
      <w:spacing w:before="100" w:beforeAutospacing="1" w:after="100" w:afterAutospacing="1"/>
    </w:pPr>
  </w:style>
  <w:style w:type="paragraph" w:customStyle="1" w:styleId="tips">
    <w:name w:val="tips"/>
    <w:basedOn w:val="a"/>
    <w:rsid w:val="002808C2"/>
    <w:pPr>
      <w:spacing w:before="100" w:beforeAutospacing="1" w:after="100" w:afterAutospacing="1"/>
    </w:pPr>
  </w:style>
  <w:style w:type="paragraph" w:customStyle="1" w:styleId="form-item-name">
    <w:name w:val="form-item-name"/>
    <w:basedOn w:val="a"/>
    <w:rsid w:val="002808C2"/>
    <w:pPr>
      <w:spacing w:before="100" w:beforeAutospacing="1" w:after="100" w:afterAutospacing="1"/>
    </w:pPr>
  </w:style>
  <w:style w:type="paragraph" w:customStyle="1" w:styleId="form-item-notify-type">
    <w:name w:val="form-item-notify-type"/>
    <w:basedOn w:val="a"/>
    <w:rsid w:val="002808C2"/>
    <w:pPr>
      <w:spacing w:before="100" w:beforeAutospacing="1" w:after="100" w:afterAutospacing="1"/>
    </w:pPr>
  </w:style>
  <w:style w:type="paragraph" w:customStyle="1" w:styleId="ctools-modal-content">
    <w:name w:val="ctools-modal-content"/>
    <w:basedOn w:val="a"/>
    <w:rsid w:val="002808C2"/>
    <w:pPr>
      <w:spacing w:before="100" w:beforeAutospacing="1" w:after="100" w:afterAutospacing="1"/>
    </w:pPr>
  </w:style>
  <w:style w:type="paragraph" w:customStyle="1" w:styleId="section">
    <w:name w:val="section"/>
    <w:basedOn w:val="a"/>
    <w:rsid w:val="002808C2"/>
    <w:pPr>
      <w:spacing w:before="100" w:beforeAutospacing="1" w:after="100" w:afterAutospacing="1"/>
    </w:pPr>
  </w:style>
  <w:style w:type="paragraph" w:customStyle="1" w:styleId="block">
    <w:name w:val="block"/>
    <w:basedOn w:val="a"/>
    <w:rsid w:val="002808C2"/>
    <w:pPr>
      <w:spacing w:before="100" w:beforeAutospacing="1" w:after="100" w:afterAutospacing="1"/>
    </w:pPr>
  </w:style>
  <w:style w:type="paragraph" w:customStyle="1" w:styleId="node-teaser">
    <w:name w:val="node-teaser"/>
    <w:basedOn w:val="a"/>
    <w:rsid w:val="002808C2"/>
    <w:pPr>
      <w:spacing w:before="100" w:beforeAutospacing="1" w:after="100" w:afterAutospacing="1"/>
    </w:pPr>
  </w:style>
  <w:style w:type="paragraph" w:customStyle="1" w:styleId="node-sticky">
    <w:name w:val="node-sticky"/>
    <w:basedOn w:val="a"/>
    <w:rsid w:val="002808C2"/>
    <w:pPr>
      <w:spacing w:before="100" w:beforeAutospacing="1" w:after="100" w:afterAutospacing="1"/>
    </w:pPr>
  </w:style>
  <w:style w:type="paragraph" w:customStyle="1" w:styleId="forum-post">
    <w:name w:val="forum-post"/>
    <w:basedOn w:val="a"/>
    <w:rsid w:val="002808C2"/>
    <w:pPr>
      <w:spacing w:before="100" w:beforeAutospacing="1" w:after="100" w:afterAutospacing="1"/>
    </w:pPr>
  </w:style>
  <w:style w:type="paragraph" w:customStyle="1" w:styleId="icon">
    <w:name w:val="icon"/>
    <w:basedOn w:val="a"/>
    <w:rsid w:val="002808C2"/>
    <w:pPr>
      <w:spacing w:before="100" w:beforeAutospacing="1" w:after="100" w:afterAutospacing="1"/>
    </w:pPr>
  </w:style>
  <w:style w:type="character" w:customStyle="1" w:styleId="summary">
    <w:name w:val="summary"/>
    <w:basedOn w:val="a0"/>
    <w:rsid w:val="002808C2"/>
  </w:style>
  <w:style w:type="paragraph" w:customStyle="1" w:styleId="grippie1">
    <w:name w:val="grippie1"/>
    <w:basedOn w:val="a"/>
    <w:rsid w:val="002808C2"/>
    <w:pPr>
      <w:pBdr>
        <w:top w:val="single" w:sz="2" w:space="0" w:color="DDDDDD"/>
        <w:left w:val="single" w:sz="6" w:space="0" w:color="DDDDDD"/>
        <w:bottom w:val="single" w:sz="6" w:space="0" w:color="DDDDDD"/>
        <w:right w:val="single" w:sz="6" w:space="0" w:color="DDDDDD"/>
      </w:pBdr>
      <w:spacing w:before="100" w:beforeAutospacing="1" w:after="100" w:afterAutospacing="1"/>
    </w:pPr>
  </w:style>
  <w:style w:type="paragraph" w:customStyle="1" w:styleId="handle1">
    <w:name w:val="handle1"/>
    <w:basedOn w:val="a"/>
    <w:rsid w:val="002808C2"/>
    <w:pPr>
      <w:ind w:left="120" w:right="120"/>
    </w:pPr>
  </w:style>
  <w:style w:type="paragraph" w:customStyle="1" w:styleId="bar1">
    <w:name w:val="bar1"/>
    <w:basedOn w:val="a"/>
    <w:rsid w:val="002808C2"/>
    <w:pPr>
      <w:pBdr>
        <w:top w:val="single" w:sz="6" w:space="0" w:color="666666"/>
        <w:left w:val="single" w:sz="6" w:space="0" w:color="666666"/>
        <w:bottom w:val="single" w:sz="6" w:space="0" w:color="666666"/>
        <w:right w:val="single" w:sz="6" w:space="0" w:color="666666"/>
      </w:pBdr>
      <w:shd w:val="clear" w:color="auto" w:fill="CCCCCC"/>
      <w:ind w:left="48" w:right="48"/>
    </w:pPr>
  </w:style>
  <w:style w:type="paragraph" w:customStyle="1" w:styleId="filled1">
    <w:name w:val="filled1"/>
    <w:basedOn w:val="a"/>
    <w:rsid w:val="002808C2"/>
    <w:pPr>
      <w:shd w:val="clear" w:color="auto" w:fill="0072B9"/>
      <w:spacing w:before="100" w:beforeAutospacing="1" w:after="100" w:afterAutospacing="1"/>
    </w:pPr>
  </w:style>
  <w:style w:type="paragraph" w:customStyle="1" w:styleId="throbber1">
    <w:name w:val="throbber1"/>
    <w:basedOn w:val="a"/>
    <w:rsid w:val="002808C2"/>
    <w:pPr>
      <w:spacing w:before="30" w:after="30"/>
      <w:ind w:left="30" w:right="30"/>
    </w:pPr>
  </w:style>
  <w:style w:type="paragraph" w:customStyle="1" w:styleId="message1">
    <w:name w:val="message1"/>
    <w:basedOn w:val="a"/>
    <w:rsid w:val="002808C2"/>
    <w:pPr>
      <w:spacing w:before="100" w:beforeAutospacing="1" w:after="100" w:afterAutospacing="1"/>
    </w:pPr>
  </w:style>
  <w:style w:type="paragraph" w:customStyle="1" w:styleId="throbber2">
    <w:name w:val="throbber2"/>
    <w:basedOn w:val="a"/>
    <w:rsid w:val="002808C2"/>
    <w:pPr>
      <w:ind w:left="30" w:right="30"/>
    </w:pPr>
  </w:style>
  <w:style w:type="paragraph" w:customStyle="1" w:styleId="fieldset-wrapper1">
    <w:name w:val="fieldset-wrapper1"/>
    <w:basedOn w:val="a"/>
    <w:rsid w:val="002808C2"/>
    <w:pPr>
      <w:spacing w:before="100" w:beforeAutospacing="1" w:after="100" w:afterAutospacing="1"/>
    </w:pPr>
  </w:style>
  <w:style w:type="paragraph" w:customStyle="1" w:styleId="js-hide1">
    <w:name w:val="js-hide1"/>
    <w:basedOn w:val="a"/>
    <w:rsid w:val="002808C2"/>
    <w:pPr>
      <w:spacing w:before="100" w:beforeAutospacing="1" w:after="100" w:afterAutospacing="1"/>
    </w:pPr>
    <w:rPr>
      <w:vanish/>
    </w:rPr>
  </w:style>
  <w:style w:type="paragraph" w:customStyle="1" w:styleId="error1">
    <w:name w:val="error1"/>
    <w:basedOn w:val="a"/>
    <w:rsid w:val="002808C2"/>
    <w:pPr>
      <w:spacing w:before="100" w:beforeAutospacing="1" w:after="100" w:afterAutospacing="1"/>
    </w:pPr>
    <w:rPr>
      <w:color w:val="333333"/>
    </w:rPr>
  </w:style>
  <w:style w:type="paragraph" w:customStyle="1" w:styleId="title1">
    <w:name w:val="title1"/>
    <w:basedOn w:val="a"/>
    <w:rsid w:val="002808C2"/>
    <w:pPr>
      <w:spacing w:before="100" w:beforeAutospacing="1" w:after="100" w:afterAutospacing="1"/>
    </w:pPr>
    <w:rPr>
      <w:b/>
      <w:bCs/>
    </w:rPr>
  </w:style>
  <w:style w:type="paragraph" w:customStyle="1" w:styleId="form-item1">
    <w:name w:val="form-item1"/>
    <w:basedOn w:val="a"/>
    <w:rsid w:val="002808C2"/>
  </w:style>
  <w:style w:type="paragraph" w:customStyle="1" w:styleId="form-item2">
    <w:name w:val="form-item2"/>
    <w:basedOn w:val="a"/>
    <w:rsid w:val="002808C2"/>
  </w:style>
  <w:style w:type="paragraph" w:customStyle="1" w:styleId="description1">
    <w:name w:val="description1"/>
    <w:basedOn w:val="a"/>
    <w:rsid w:val="002808C2"/>
    <w:pPr>
      <w:spacing w:before="100" w:beforeAutospacing="1" w:after="100" w:afterAutospacing="1"/>
    </w:pPr>
    <w:rPr>
      <w:sz w:val="20"/>
      <w:szCs w:val="20"/>
    </w:rPr>
  </w:style>
  <w:style w:type="paragraph" w:customStyle="1" w:styleId="form-item3">
    <w:name w:val="form-item3"/>
    <w:basedOn w:val="a"/>
    <w:rsid w:val="002808C2"/>
    <w:pPr>
      <w:spacing w:before="96" w:after="96"/>
    </w:pPr>
  </w:style>
  <w:style w:type="paragraph" w:customStyle="1" w:styleId="form-item4">
    <w:name w:val="form-item4"/>
    <w:basedOn w:val="a"/>
    <w:rsid w:val="002808C2"/>
    <w:pPr>
      <w:spacing w:before="96" w:after="96"/>
    </w:pPr>
  </w:style>
  <w:style w:type="paragraph" w:customStyle="1" w:styleId="description2">
    <w:name w:val="description2"/>
    <w:basedOn w:val="a"/>
    <w:rsid w:val="002808C2"/>
    <w:pPr>
      <w:spacing w:before="100" w:beforeAutospacing="1" w:after="100" w:afterAutospacing="1"/>
      <w:ind w:left="576"/>
    </w:pPr>
  </w:style>
  <w:style w:type="paragraph" w:customStyle="1" w:styleId="description3">
    <w:name w:val="description3"/>
    <w:basedOn w:val="a"/>
    <w:rsid w:val="002808C2"/>
    <w:pPr>
      <w:spacing w:before="100" w:beforeAutospacing="1" w:after="100" w:afterAutospacing="1"/>
      <w:ind w:left="576"/>
    </w:pPr>
  </w:style>
  <w:style w:type="paragraph" w:customStyle="1" w:styleId="pager1">
    <w:name w:val="pager1"/>
    <w:basedOn w:val="a"/>
    <w:rsid w:val="002808C2"/>
    <w:pPr>
      <w:spacing w:before="120" w:after="120"/>
      <w:jc w:val="center"/>
    </w:pPr>
  </w:style>
  <w:style w:type="character" w:customStyle="1" w:styleId="summary1">
    <w:name w:val="summary1"/>
    <w:basedOn w:val="a0"/>
    <w:rsid w:val="002808C2"/>
    <w:rPr>
      <w:color w:val="999999"/>
      <w:sz w:val="22"/>
      <w:szCs w:val="22"/>
    </w:rPr>
  </w:style>
  <w:style w:type="paragraph" w:customStyle="1" w:styleId="ui-widget1">
    <w:name w:val="ui-widget1"/>
    <w:basedOn w:val="a"/>
    <w:rsid w:val="002808C2"/>
    <w:pPr>
      <w:spacing w:before="100" w:beforeAutospacing="1" w:after="100" w:afterAutospacing="1"/>
    </w:pPr>
    <w:rPr>
      <w:rFonts w:ascii="Verdana" w:hAnsi="Verdana"/>
    </w:rPr>
  </w:style>
  <w:style w:type="paragraph" w:customStyle="1" w:styleId="ui-state-default1">
    <w:name w:val="ui-state-default1"/>
    <w:basedOn w:val="a"/>
    <w:rsid w:val="002808C2"/>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pPr>
    <w:rPr>
      <w:color w:val="555555"/>
    </w:rPr>
  </w:style>
  <w:style w:type="paragraph" w:customStyle="1" w:styleId="ui-state-default2">
    <w:name w:val="ui-state-default2"/>
    <w:basedOn w:val="a"/>
    <w:rsid w:val="002808C2"/>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pPr>
    <w:rPr>
      <w:color w:val="555555"/>
    </w:rPr>
  </w:style>
  <w:style w:type="paragraph" w:customStyle="1" w:styleId="ui-state-hover1">
    <w:name w:val="ui-state-hover1"/>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hover2">
    <w:name w:val="ui-state-hover2"/>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focus1">
    <w:name w:val="ui-state-focus1"/>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focus2">
    <w:name w:val="ui-state-focus2"/>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active1">
    <w:name w:val="ui-state-active1"/>
    <w:basedOn w:val="a"/>
    <w:rsid w:val="002808C2"/>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pPr>
    <w:rPr>
      <w:color w:val="212121"/>
    </w:rPr>
  </w:style>
  <w:style w:type="paragraph" w:customStyle="1" w:styleId="ui-state-active2">
    <w:name w:val="ui-state-active2"/>
    <w:basedOn w:val="a"/>
    <w:rsid w:val="002808C2"/>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pPr>
    <w:rPr>
      <w:color w:val="212121"/>
    </w:rPr>
  </w:style>
  <w:style w:type="paragraph" w:customStyle="1" w:styleId="ui-state-highlight1">
    <w:name w:val="ui-state-highlight1"/>
    <w:basedOn w:val="a"/>
    <w:rsid w:val="002808C2"/>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pPr>
    <w:rPr>
      <w:color w:val="363636"/>
    </w:rPr>
  </w:style>
  <w:style w:type="paragraph" w:customStyle="1" w:styleId="ui-state-highlight2">
    <w:name w:val="ui-state-highlight2"/>
    <w:basedOn w:val="a"/>
    <w:rsid w:val="002808C2"/>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pPr>
    <w:rPr>
      <w:color w:val="363636"/>
    </w:rPr>
  </w:style>
  <w:style w:type="paragraph" w:customStyle="1" w:styleId="ui-state-error1">
    <w:name w:val="ui-state-error1"/>
    <w:basedOn w:val="a"/>
    <w:rsid w:val="002808C2"/>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pPr>
    <w:rPr>
      <w:color w:val="CD0A0A"/>
    </w:rPr>
  </w:style>
  <w:style w:type="paragraph" w:customStyle="1" w:styleId="ui-state-error2">
    <w:name w:val="ui-state-error2"/>
    <w:basedOn w:val="a"/>
    <w:rsid w:val="002808C2"/>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pPr>
    <w:rPr>
      <w:color w:val="CD0A0A"/>
    </w:rPr>
  </w:style>
  <w:style w:type="paragraph" w:customStyle="1" w:styleId="ui-state-error-text1">
    <w:name w:val="ui-state-error-text1"/>
    <w:basedOn w:val="a"/>
    <w:rsid w:val="002808C2"/>
    <w:pPr>
      <w:spacing w:before="100" w:beforeAutospacing="1" w:after="100" w:afterAutospacing="1"/>
    </w:pPr>
    <w:rPr>
      <w:color w:val="CD0A0A"/>
    </w:rPr>
  </w:style>
  <w:style w:type="paragraph" w:customStyle="1" w:styleId="ui-state-error-text2">
    <w:name w:val="ui-state-error-text2"/>
    <w:basedOn w:val="a"/>
    <w:rsid w:val="002808C2"/>
    <w:pPr>
      <w:spacing w:before="100" w:beforeAutospacing="1" w:after="100" w:afterAutospacing="1"/>
    </w:pPr>
    <w:rPr>
      <w:color w:val="CD0A0A"/>
    </w:rPr>
  </w:style>
  <w:style w:type="paragraph" w:customStyle="1" w:styleId="ui-priority-primary1">
    <w:name w:val="ui-priority-primary1"/>
    <w:basedOn w:val="a"/>
    <w:rsid w:val="002808C2"/>
    <w:pPr>
      <w:spacing w:before="100" w:beforeAutospacing="1" w:after="100" w:afterAutospacing="1"/>
    </w:pPr>
    <w:rPr>
      <w:b/>
      <w:bCs/>
    </w:rPr>
  </w:style>
  <w:style w:type="paragraph" w:customStyle="1" w:styleId="ui-priority-primary2">
    <w:name w:val="ui-priority-primary2"/>
    <w:basedOn w:val="a"/>
    <w:rsid w:val="002808C2"/>
    <w:pPr>
      <w:spacing w:before="100" w:beforeAutospacing="1" w:after="100" w:afterAutospacing="1"/>
    </w:pPr>
    <w:rPr>
      <w:b/>
      <w:bCs/>
    </w:rPr>
  </w:style>
  <w:style w:type="paragraph" w:customStyle="1" w:styleId="ui-priority-secondary1">
    <w:name w:val="ui-priority-secondary1"/>
    <w:basedOn w:val="a"/>
    <w:rsid w:val="002808C2"/>
    <w:pPr>
      <w:spacing w:before="100" w:beforeAutospacing="1" w:after="100" w:afterAutospacing="1"/>
    </w:pPr>
  </w:style>
  <w:style w:type="paragraph" w:customStyle="1" w:styleId="ui-priority-secondary2">
    <w:name w:val="ui-priority-secondary2"/>
    <w:basedOn w:val="a"/>
    <w:rsid w:val="002808C2"/>
    <w:pPr>
      <w:spacing w:before="100" w:beforeAutospacing="1" w:after="100" w:afterAutospacing="1"/>
    </w:pPr>
  </w:style>
  <w:style w:type="paragraph" w:customStyle="1" w:styleId="ui-state-disabled1">
    <w:name w:val="ui-state-disabled1"/>
    <w:basedOn w:val="a"/>
    <w:rsid w:val="002808C2"/>
    <w:pPr>
      <w:spacing w:before="100" w:beforeAutospacing="1" w:after="100" w:afterAutospacing="1"/>
    </w:pPr>
  </w:style>
  <w:style w:type="paragraph" w:customStyle="1" w:styleId="ui-state-disabled2">
    <w:name w:val="ui-state-disabled2"/>
    <w:basedOn w:val="a"/>
    <w:rsid w:val="002808C2"/>
    <w:pPr>
      <w:spacing w:before="100" w:beforeAutospacing="1" w:after="100" w:afterAutospacing="1"/>
    </w:pPr>
  </w:style>
  <w:style w:type="paragraph" w:customStyle="1" w:styleId="ui-icon1">
    <w:name w:val="ui-icon1"/>
    <w:basedOn w:val="a"/>
    <w:rsid w:val="002808C2"/>
    <w:pPr>
      <w:spacing w:before="100" w:beforeAutospacing="1" w:after="100" w:afterAutospacing="1"/>
      <w:ind w:firstLine="7343"/>
    </w:pPr>
  </w:style>
  <w:style w:type="paragraph" w:customStyle="1" w:styleId="ui-icon2">
    <w:name w:val="ui-icon2"/>
    <w:basedOn w:val="a"/>
    <w:rsid w:val="002808C2"/>
    <w:pPr>
      <w:spacing w:before="100" w:beforeAutospacing="1" w:after="100" w:afterAutospacing="1"/>
      <w:ind w:firstLine="7343"/>
    </w:pPr>
  </w:style>
  <w:style w:type="paragraph" w:customStyle="1" w:styleId="ui-icon3">
    <w:name w:val="ui-icon3"/>
    <w:basedOn w:val="a"/>
    <w:rsid w:val="002808C2"/>
    <w:pPr>
      <w:spacing w:before="100" w:beforeAutospacing="1" w:after="100" w:afterAutospacing="1"/>
      <w:ind w:firstLine="7343"/>
    </w:pPr>
  </w:style>
  <w:style w:type="paragraph" w:customStyle="1" w:styleId="ui-icon4">
    <w:name w:val="ui-icon4"/>
    <w:basedOn w:val="a"/>
    <w:rsid w:val="002808C2"/>
    <w:pPr>
      <w:spacing w:before="100" w:beforeAutospacing="1" w:after="100" w:afterAutospacing="1"/>
      <w:ind w:firstLine="7343"/>
    </w:pPr>
  </w:style>
  <w:style w:type="paragraph" w:customStyle="1" w:styleId="ui-icon5">
    <w:name w:val="ui-icon5"/>
    <w:basedOn w:val="a"/>
    <w:rsid w:val="002808C2"/>
    <w:pPr>
      <w:spacing w:before="100" w:beforeAutospacing="1" w:after="100" w:afterAutospacing="1"/>
      <w:ind w:firstLine="7343"/>
    </w:pPr>
  </w:style>
  <w:style w:type="paragraph" w:customStyle="1" w:styleId="ui-icon6">
    <w:name w:val="ui-icon6"/>
    <w:basedOn w:val="a"/>
    <w:rsid w:val="002808C2"/>
    <w:pPr>
      <w:spacing w:before="100" w:beforeAutospacing="1" w:after="100" w:afterAutospacing="1"/>
      <w:ind w:firstLine="7343"/>
    </w:pPr>
  </w:style>
  <w:style w:type="paragraph" w:customStyle="1" w:styleId="ui-icon7">
    <w:name w:val="ui-icon7"/>
    <w:basedOn w:val="a"/>
    <w:rsid w:val="002808C2"/>
    <w:pPr>
      <w:spacing w:before="100" w:beforeAutospacing="1" w:after="100" w:afterAutospacing="1"/>
      <w:ind w:firstLine="7343"/>
    </w:pPr>
  </w:style>
  <w:style w:type="paragraph" w:customStyle="1" w:styleId="ui-icon8">
    <w:name w:val="ui-icon8"/>
    <w:basedOn w:val="a"/>
    <w:rsid w:val="002808C2"/>
    <w:pPr>
      <w:spacing w:before="100" w:beforeAutospacing="1" w:after="100" w:afterAutospacing="1"/>
      <w:ind w:firstLine="7343"/>
    </w:pPr>
  </w:style>
  <w:style w:type="paragraph" w:customStyle="1" w:styleId="ui-icon9">
    <w:name w:val="ui-icon9"/>
    <w:basedOn w:val="a"/>
    <w:rsid w:val="002808C2"/>
    <w:pPr>
      <w:spacing w:before="100" w:beforeAutospacing="1" w:after="100" w:afterAutospacing="1"/>
      <w:ind w:firstLine="7343"/>
    </w:pPr>
  </w:style>
  <w:style w:type="paragraph" w:customStyle="1" w:styleId="footnote-multi1">
    <w:name w:val="footnote-multi1"/>
    <w:basedOn w:val="a"/>
    <w:rsid w:val="002808C2"/>
    <w:pPr>
      <w:spacing w:before="100" w:beforeAutospacing="1" w:after="100" w:afterAutospacing="1"/>
      <w:textAlignment w:val="top"/>
    </w:pPr>
    <w:rPr>
      <w:sz w:val="18"/>
      <w:szCs w:val="18"/>
    </w:rPr>
  </w:style>
  <w:style w:type="paragraph" w:customStyle="1" w:styleId="menu1">
    <w:name w:val="menu1"/>
    <w:basedOn w:val="a"/>
    <w:rsid w:val="002808C2"/>
    <w:pPr>
      <w:pBdr>
        <w:top w:val="single" w:sz="6" w:space="12" w:color="888888"/>
      </w:pBdr>
      <w:spacing w:before="100" w:beforeAutospacing="1" w:after="100" w:afterAutospacing="1"/>
    </w:pPr>
  </w:style>
  <w:style w:type="paragraph" w:customStyle="1" w:styleId="page-links1">
    <w:name w:val="page-links1"/>
    <w:basedOn w:val="a"/>
    <w:rsid w:val="002808C2"/>
    <w:pPr>
      <w:pBdr>
        <w:top w:val="single" w:sz="6" w:space="6" w:color="888888"/>
        <w:bottom w:val="single" w:sz="6" w:space="6" w:color="888888"/>
      </w:pBdr>
      <w:spacing w:before="100" w:beforeAutospacing="1" w:after="100" w:afterAutospacing="1"/>
      <w:jc w:val="center"/>
    </w:pPr>
  </w:style>
  <w:style w:type="paragraph" w:customStyle="1" w:styleId="page-previous1">
    <w:name w:val="page-previous1"/>
    <w:basedOn w:val="a"/>
    <w:rsid w:val="002808C2"/>
    <w:pPr>
      <w:spacing w:before="100" w:beforeAutospacing="1" w:after="100" w:afterAutospacing="1"/>
    </w:pPr>
  </w:style>
  <w:style w:type="paragraph" w:customStyle="1" w:styleId="page-up1">
    <w:name w:val="page-up1"/>
    <w:basedOn w:val="a"/>
    <w:rsid w:val="002808C2"/>
    <w:pPr>
      <w:ind w:left="612" w:right="612"/>
    </w:pPr>
  </w:style>
  <w:style w:type="paragraph" w:customStyle="1" w:styleId="page-next1">
    <w:name w:val="page-next1"/>
    <w:basedOn w:val="a"/>
    <w:rsid w:val="002808C2"/>
    <w:pPr>
      <w:spacing w:before="100" w:beforeAutospacing="1" w:after="100" w:afterAutospacing="1"/>
      <w:jc w:val="right"/>
    </w:pPr>
  </w:style>
  <w:style w:type="paragraph" w:customStyle="1" w:styleId="form-item5">
    <w:name w:val="form-item5"/>
    <w:basedOn w:val="a"/>
    <w:rsid w:val="002808C2"/>
  </w:style>
  <w:style w:type="paragraph" w:customStyle="1" w:styleId="description4">
    <w:name w:val="description4"/>
    <w:basedOn w:val="a"/>
    <w:rsid w:val="002808C2"/>
    <w:pPr>
      <w:spacing w:before="100" w:beforeAutospacing="1" w:after="100" w:afterAutospacing="1"/>
    </w:pPr>
  </w:style>
  <w:style w:type="paragraph" w:customStyle="1" w:styleId="field-label1">
    <w:name w:val="field-label1"/>
    <w:basedOn w:val="a"/>
    <w:rsid w:val="002808C2"/>
    <w:pPr>
      <w:spacing w:before="100" w:beforeAutospacing="1" w:after="100" w:afterAutospacing="1"/>
    </w:pPr>
    <w:rPr>
      <w:b/>
      <w:bCs/>
    </w:rPr>
  </w:style>
  <w:style w:type="paragraph" w:customStyle="1" w:styleId="field-multiple-table1">
    <w:name w:val="field-multiple-table1"/>
    <w:basedOn w:val="a"/>
    <w:rsid w:val="002808C2"/>
  </w:style>
  <w:style w:type="paragraph" w:customStyle="1" w:styleId="field-add-more-submit1">
    <w:name w:val="field-add-more-submit1"/>
    <w:basedOn w:val="a"/>
    <w:rsid w:val="002808C2"/>
    <w:pPr>
      <w:spacing w:before="120"/>
    </w:pPr>
  </w:style>
  <w:style w:type="paragraph" w:customStyle="1" w:styleId="node1">
    <w:name w:val="node1"/>
    <w:basedOn w:val="a"/>
    <w:rsid w:val="002808C2"/>
    <w:pPr>
      <w:shd w:val="clear" w:color="auto" w:fill="FFFFEA"/>
      <w:spacing w:before="100" w:beforeAutospacing="1" w:after="100" w:afterAutospacing="1"/>
    </w:pPr>
  </w:style>
  <w:style w:type="paragraph" w:customStyle="1" w:styleId="bar2">
    <w:name w:val="bar2"/>
    <w:basedOn w:val="a"/>
    <w:rsid w:val="002808C2"/>
    <w:pPr>
      <w:shd w:val="clear" w:color="auto" w:fill="DDDDDD"/>
      <w:spacing w:before="15" w:after="15"/>
    </w:pPr>
  </w:style>
  <w:style w:type="paragraph" w:customStyle="1" w:styleId="foreground1">
    <w:name w:val="foreground1"/>
    <w:basedOn w:val="a"/>
    <w:rsid w:val="002808C2"/>
    <w:pPr>
      <w:shd w:val="clear" w:color="auto" w:fill="000000"/>
      <w:spacing w:before="100" w:beforeAutospacing="1" w:after="100" w:afterAutospacing="1"/>
    </w:pPr>
  </w:style>
  <w:style w:type="paragraph" w:customStyle="1" w:styleId="links1">
    <w:name w:val="links1"/>
    <w:basedOn w:val="a"/>
    <w:rsid w:val="002808C2"/>
    <w:pPr>
      <w:spacing w:before="100" w:beforeAutospacing="1" w:after="100" w:afterAutospacing="1"/>
      <w:jc w:val="center"/>
    </w:pPr>
  </w:style>
  <w:style w:type="paragraph" w:customStyle="1" w:styleId="percent1">
    <w:name w:val="percent1"/>
    <w:basedOn w:val="a"/>
    <w:rsid w:val="002808C2"/>
    <w:pPr>
      <w:spacing w:before="100" w:beforeAutospacing="1" w:after="100" w:afterAutospacing="1"/>
      <w:jc w:val="right"/>
    </w:pPr>
  </w:style>
  <w:style w:type="paragraph" w:customStyle="1" w:styleId="total1">
    <w:name w:val="total1"/>
    <w:basedOn w:val="a"/>
    <w:rsid w:val="002808C2"/>
    <w:pPr>
      <w:spacing w:before="100" w:beforeAutospacing="1" w:after="100" w:afterAutospacing="1"/>
      <w:jc w:val="center"/>
    </w:pPr>
  </w:style>
  <w:style w:type="paragraph" w:customStyle="1" w:styleId="vote-form1">
    <w:name w:val="vote-form1"/>
    <w:basedOn w:val="a"/>
    <w:rsid w:val="002808C2"/>
    <w:pPr>
      <w:spacing w:before="100" w:beforeAutospacing="1" w:after="100" w:afterAutospacing="1"/>
      <w:jc w:val="center"/>
    </w:pPr>
  </w:style>
  <w:style w:type="paragraph" w:customStyle="1" w:styleId="choices1">
    <w:name w:val="choices1"/>
    <w:basedOn w:val="a"/>
    <w:rsid w:val="002808C2"/>
  </w:style>
  <w:style w:type="paragraph" w:customStyle="1" w:styleId="title2">
    <w:name w:val="title2"/>
    <w:basedOn w:val="a"/>
    <w:rsid w:val="002808C2"/>
    <w:pPr>
      <w:spacing w:before="100" w:beforeAutospacing="1" w:after="100" w:afterAutospacing="1"/>
    </w:pPr>
    <w:rPr>
      <w:b/>
      <w:bCs/>
    </w:rPr>
  </w:style>
  <w:style w:type="paragraph" w:customStyle="1" w:styleId="form-text1">
    <w:name w:val="form-text1"/>
    <w:basedOn w:val="a"/>
    <w:rsid w:val="002808C2"/>
    <w:pPr>
      <w:spacing w:before="100" w:beforeAutospacing="1" w:after="100" w:afterAutospacing="1"/>
    </w:pPr>
  </w:style>
  <w:style w:type="paragraph" w:customStyle="1" w:styleId="form-text2">
    <w:name w:val="form-text2"/>
    <w:basedOn w:val="a"/>
    <w:rsid w:val="002808C2"/>
    <w:pPr>
      <w:spacing w:before="100" w:beforeAutospacing="1" w:after="100" w:afterAutospacing="1"/>
    </w:pPr>
  </w:style>
  <w:style w:type="paragraph" w:customStyle="1" w:styleId="title3">
    <w:name w:val="title3"/>
    <w:basedOn w:val="a"/>
    <w:rsid w:val="002808C2"/>
    <w:pPr>
      <w:spacing w:after="100" w:afterAutospacing="1"/>
    </w:pPr>
    <w:rPr>
      <w:sz w:val="29"/>
      <w:szCs w:val="29"/>
    </w:rPr>
  </w:style>
  <w:style w:type="paragraph" w:customStyle="1" w:styleId="search-snippet-info1">
    <w:name w:val="search-snippet-info1"/>
    <w:basedOn w:val="a"/>
    <w:rsid w:val="002808C2"/>
    <w:pPr>
      <w:spacing w:after="100" w:afterAutospacing="1"/>
    </w:pPr>
  </w:style>
  <w:style w:type="paragraph" w:customStyle="1" w:styleId="search-info1">
    <w:name w:val="search-info1"/>
    <w:basedOn w:val="a"/>
    <w:rsid w:val="002808C2"/>
    <w:pPr>
      <w:spacing w:after="100" w:afterAutospacing="1"/>
    </w:pPr>
    <w:rPr>
      <w:sz w:val="20"/>
      <w:szCs w:val="20"/>
    </w:rPr>
  </w:style>
  <w:style w:type="paragraph" w:customStyle="1" w:styleId="criterion1">
    <w:name w:val="criterion1"/>
    <w:basedOn w:val="a"/>
    <w:rsid w:val="002808C2"/>
    <w:pPr>
      <w:spacing w:before="100" w:beforeAutospacing="1" w:after="100" w:afterAutospacing="1"/>
      <w:ind w:right="480"/>
    </w:pPr>
  </w:style>
  <w:style w:type="paragraph" w:customStyle="1" w:styleId="action1">
    <w:name w:val="action1"/>
    <w:basedOn w:val="a"/>
    <w:rsid w:val="002808C2"/>
    <w:pPr>
      <w:spacing w:before="100" w:beforeAutospacing="1" w:after="100" w:afterAutospacing="1"/>
    </w:pPr>
  </w:style>
  <w:style w:type="paragraph" w:customStyle="1" w:styleId="form-item6">
    <w:name w:val="form-item6"/>
    <w:basedOn w:val="a"/>
    <w:rsid w:val="002808C2"/>
  </w:style>
  <w:style w:type="paragraph" w:customStyle="1" w:styleId="form-item7">
    <w:name w:val="form-item7"/>
    <w:basedOn w:val="a"/>
    <w:rsid w:val="002808C2"/>
  </w:style>
  <w:style w:type="paragraph" w:customStyle="1" w:styleId="form-item-name1">
    <w:name w:val="form-item-name1"/>
    <w:basedOn w:val="a"/>
    <w:rsid w:val="002808C2"/>
    <w:pPr>
      <w:spacing w:before="100" w:beforeAutospacing="1" w:after="100" w:afterAutospacing="1"/>
      <w:ind w:right="240"/>
    </w:pPr>
  </w:style>
  <w:style w:type="paragraph" w:customStyle="1" w:styleId="user-picture1">
    <w:name w:val="user-picture1"/>
    <w:basedOn w:val="a"/>
    <w:rsid w:val="002808C2"/>
    <w:pPr>
      <w:spacing w:after="240"/>
      <w:ind w:right="240"/>
    </w:pPr>
  </w:style>
  <w:style w:type="paragraph" w:customStyle="1" w:styleId="description5">
    <w:name w:val="description5"/>
    <w:basedOn w:val="a"/>
    <w:rsid w:val="002808C2"/>
    <w:pPr>
      <w:spacing w:before="120" w:after="120"/>
      <w:ind w:left="120" w:right="120"/>
    </w:pPr>
  </w:style>
  <w:style w:type="paragraph" w:customStyle="1" w:styleId="icon1">
    <w:name w:val="icon1"/>
    <w:basedOn w:val="a"/>
    <w:rsid w:val="002808C2"/>
    <w:pPr>
      <w:ind w:right="135"/>
    </w:pPr>
  </w:style>
  <w:style w:type="paragraph" w:customStyle="1" w:styleId="views-exposed-widget1">
    <w:name w:val="views-exposed-widget1"/>
    <w:basedOn w:val="a"/>
    <w:rsid w:val="002808C2"/>
    <w:pPr>
      <w:spacing w:before="100" w:beforeAutospacing="1" w:after="100" w:afterAutospacing="1"/>
    </w:pPr>
  </w:style>
  <w:style w:type="paragraph" w:customStyle="1" w:styleId="form-submit1">
    <w:name w:val="form-submit1"/>
    <w:basedOn w:val="a"/>
    <w:rsid w:val="002808C2"/>
    <w:pPr>
      <w:spacing w:before="384"/>
    </w:pPr>
  </w:style>
  <w:style w:type="paragraph" w:customStyle="1" w:styleId="form-item8">
    <w:name w:val="form-item8"/>
    <w:basedOn w:val="a"/>
    <w:rsid w:val="002808C2"/>
  </w:style>
  <w:style w:type="paragraph" w:customStyle="1" w:styleId="form-submit2">
    <w:name w:val="form-submit2"/>
    <w:basedOn w:val="a"/>
    <w:rsid w:val="002808C2"/>
  </w:style>
  <w:style w:type="paragraph" w:customStyle="1" w:styleId="form-item-notify-type1">
    <w:name w:val="form-item-notify-type1"/>
    <w:basedOn w:val="a"/>
    <w:rsid w:val="002808C2"/>
    <w:pPr>
      <w:spacing w:before="100" w:beforeAutospacing="1" w:after="100" w:afterAutospacing="1"/>
      <w:ind w:left="360"/>
    </w:pPr>
  </w:style>
  <w:style w:type="paragraph" w:customStyle="1" w:styleId="modal-header1">
    <w:name w:val="modal-header1"/>
    <w:basedOn w:val="a"/>
    <w:rsid w:val="002808C2"/>
    <w:pPr>
      <w:shd w:val="clear" w:color="auto" w:fill="999999"/>
      <w:spacing w:before="100" w:beforeAutospacing="1" w:after="100" w:afterAutospacing="1"/>
    </w:pPr>
  </w:style>
  <w:style w:type="paragraph" w:customStyle="1" w:styleId="ctools-modal-content1">
    <w:name w:val="ctools-modal-content1"/>
    <w:basedOn w:val="a"/>
    <w:rsid w:val="002808C2"/>
    <w:pPr>
      <w:shd w:val="clear" w:color="auto" w:fill="FFFFFF"/>
      <w:spacing w:before="100" w:beforeAutospacing="1" w:after="100" w:afterAutospacing="1"/>
    </w:pPr>
  </w:style>
  <w:style w:type="paragraph" w:customStyle="1" w:styleId="modal-title1">
    <w:name w:val="modal-title1"/>
    <w:basedOn w:val="a"/>
    <w:rsid w:val="002808C2"/>
    <w:pPr>
      <w:spacing w:before="100" w:beforeAutospacing="1" w:after="100" w:afterAutospacing="1"/>
    </w:pPr>
    <w:rPr>
      <w:b/>
      <w:bCs/>
      <w:color w:val="FFFFFF"/>
      <w:sz w:val="29"/>
      <w:szCs w:val="29"/>
    </w:rPr>
  </w:style>
  <w:style w:type="paragraph" w:customStyle="1" w:styleId="modal-header2">
    <w:name w:val="modal-header2"/>
    <w:basedOn w:val="a"/>
    <w:rsid w:val="002808C2"/>
    <w:pPr>
      <w:shd w:val="clear" w:color="auto" w:fill="2385C2"/>
      <w:spacing w:before="100" w:beforeAutospacing="1" w:after="100" w:afterAutospacing="1"/>
    </w:pPr>
  </w:style>
  <w:style w:type="paragraph" w:customStyle="1" w:styleId="modal-content1">
    <w:name w:val="modal-content1"/>
    <w:basedOn w:val="a"/>
    <w:rsid w:val="002808C2"/>
    <w:pPr>
      <w:spacing w:before="100" w:beforeAutospacing="1" w:after="100" w:afterAutospacing="1"/>
    </w:pPr>
  </w:style>
  <w:style w:type="paragraph" w:customStyle="1" w:styleId="modal-throbber-wrapper1">
    <w:name w:val="modal-throbber-wrapper1"/>
    <w:basedOn w:val="a"/>
    <w:rsid w:val="002808C2"/>
    <w:pPr>
      <w:spacing w:before="100" w:beforeAutospacing="1" w:after="100" w:afterAutospacing="1"/>
      <w:jc w:val="center"/>
    </w:pPr>
  </w:style>
  <w:style w:type="paragraph" w:customStyle="1" w:styleId="description6">
    <w:name w:val="description6"/>
    <w:basedOn w:val="a"/>
    <w:rsid w:val="002808C2"/>
    <w:pPr>
      <w:spacing w:before="100" w:beforeAutospacing="1" w:after="100" w:afterAutospacing="1"/>
    </w:pPr>
    <w:rPr>
      <w:sz w:val="20"/>
      <w:szCs w:val="20"/>
    </w:rPr>
  </w:style>
  <w:style w:type="paragraph" w:customStyle="1" w:styleId="tips1">
    <w:name w:val="tips1"/>
    <w:basedOn w:val="a"/>
    <w:rsid w:val="002808C2"/>
    <w:pPr>
      <w:spacing w:before="100" w:beforeAutospacing="1" w:after="100" w:afterAutospacing="1"/>
      <w:ind w:left="480"/>
    </w:pPr>
  </w:style>
  <w:style w:type="paragraph" w:customStyle="1" w:styleId="resizable-textarea1">
    <w:name w:val="resizable-textarea1"/>
    <w:basedOn w:val="a"/>
    <w:rsid w:val="002808C2"/>
    <w:pPr>
      <w:spacing w:before="100" w:beforeAutospacing="1" w:after="100" w:afterAutospacing="1"/>
      <w:ind w:left="3600" w:right="1200"/>
    </w:pPr>
  </w:style>
  <w:style w:type="paragraph" w:customStyle="1" w:styleId="form-item9">
    <w:name w:val="form-item9"/>
    <w:basedOn w:val="a"/>
    <w:rsid w:val="002808C2"/>
    <w:pPr>
      <w:spacing w:before="240" w:after="240"/>
      <w:ind w:right="480"/>
    </w:pPr>
  </w:style>
  <w:style w:type="paragraph" w:customStyle="1" w:styleId="form-item10">
    <w:name w:val="form-item10"/>
    <w:basedOn w:val="a"/>
    <w:rsid w:val="002808C2"/>
  </w:style>
  <w:style w:type="paragraph" w:customStyle="1" w:styleId="dependent-options1">
    <w:name w:val="dependent-options1"/>
    <w:basedOn w:val="a"/>
    <w:rsid w:val="002808C2"/>
    <w:pPr>
      <w:spacing w:before="100" w:beforeAutospacing="1" w:after="100" w:afterAutospacing="1"/>
    </w:pPr>
  </w:style>
  <w:style w:type="paragraph" w:customStyle="1" w:styleId="section1">
    <w:name w:val="section1"/>
    <w:basedOn w:val="a"/>
    <w:rsid w:val="002808C2"/>
    <w:pPr>
      <w:spacing w:before="100" w:beforeAutospacing="1" w:after="100" w:afterAutospacing="1"/>
      <w:jc w:val="center"/>
    </w:pPr>
    <w:rPr>
      <w:b/>
      <w:bCs/>
      <w:i/>
      <w:iCs/>
      <w:sz w:val="18"/>
      <w:szCs w:val="18"/>
    </w:rPr>
  </w:style>
  <w:style w:type="paragraph" w:customStyle="1" w:styleId="fieldset-wrapper2">
    <w:name w:val="fieldset-wrapper2"/>
    <w:basedOn w:val="a"/>
    <w:rsid w:val="002808C2"/>
    <w:pPr>
      <w:spacing w:before="100" w:beforeAutospacing="1" w:after="100" w:afterAutospacing="1"/>
    </w:pPr>
    <w:rPr>
      <w:sz w:val="21"/>
      <w:szCs w:val="21"/>
    </w:rPr>
  </w:style>
  <w:style w:type="paragraph" w:customStyle="1" w:styleId="field-item1">
    <w:name w:val="field-item1"/>
    <w:basedOn w:val="a"/>
    <w:rsid w:val="002808C2"/>
    <w:pPr>
      <w:spacing w:before="100" w:beforeAutospacing="1" w:after="100" w:afterAutospacing="1"/>
    </w:pPr>
  </w:style>
  <w:style w:type="paragraph" w:customStyle="1" w:styleId="block1">
    <w:name w:val="block1"/>
    <w:basedOn w:val="a"/>
    <w:rsid w:val="002808C2"/>
    <w:pPr>
      <w:pBdr>
        <w:top w:val="single" w:sz="6" w:space="12" w:color="A89664"/>
        <w:left w:val="single" w:sz="6" w:space="12" w:color="A89664"/>
        <w:bottom w:val="single" w:sz="6" w:space="12" w:color="A89664"/>
        <w:right w:val="single" w:sz="6" w:space="12" w:color="A89664"/>
      </w:pBdr>
      <w:spacing w:before="240" w:after="100" w:afterAutospacing="1"/>
    </w:pPr>
  </w:style>
  <w:style w:type="paragraph" w:customStyle="1" w:styleId="informer1">
    <w:name w:val="informer1"/>
    <w:basedOn w:val="a"/>
    <w:rsid w:val="002808C2"/>
    <w:pPr>
      <w:spacing w:before="100" w:beforeAutospacing="1"/>
    </w:pPr>
  </w:style>
  <w:style w:type="paragraph" w:customStyle="1" w:styleId="node-teaser1">
    <w:name w:val="node-teaser1"/>
    <w:basedOn w:val="a"/>
    <w:rsid w:val="002808C2"/>
    <w:pPr>
      <w:pBdr>
        <w:bottom w:val="dotted" w:sz="6" w:space="0" w:color="A89664"/>
      </w:pBdr>
      <w:spacing w:before="100" w:beforeAutospacing="1" w:after="100" w:afterAutospacing="1"/>
    </w:pPr>
  </w:style>
  <w:style w:type="paragraph" w:customStyle="1" w:styleId="node-sticky1">
    <w:name w:val="node-sticky1"/>
    <w:basedOn w:val="a"/>
    <w:rsid w:val="002808C2"/>
    <w:pPr>
      <w:spacing w:before="375" w:after="100" w:afterAutospacing="1"/>
    </w:pPr>
  </w:style>
  <w:style w:type="paragraph" w:customStyle="1" w:styleId="forum-post1">
    <w:name w:val="forum-post1"/>
    <w:basedOn w:val="a"/>
    <w:rsid w:val="002808C2"/>
    <w:pPr>
      <w:pBdr>
        <w:left w:val="dotted" w:sz="6" w:space="6" w:color="A89664"/>
        <w:bottom w:val="dotted" w:sz="6" w:space="6" w:color="A89664"/>
      </w:pBdr>
      <w:spacing w:before="100" w:beforeAutospacing="1" w:after="100" w:afterAutospacing="1"/>
    </w:pPr>
  </w:style>
  <w:style w:type="paragraph" w:customStyle="1" w:styleId="user-picture2">
    <w:name w:val="user-picture2"/>
    <w:basedOn w:val="a"/>
    <w:rsid w:val="002808C2"/>
    <w:pPr>
      <w:spacing w:before="100" w:beforeAutospacing="1" w:after="100" w:afterAutospacing="1"/>
    </w:pPr>
  </w:style>
  <w:style w:type="paragraph" w:customStyle="1" w:styleId="2b">
    <w:name w:val="Заголовок2"/>
    <w:basedOn w:val="a"/>
    <w:rsid w:val="002808C2"/>
    <w:pPr>
      <w:spacing w:before="100" w:beforeAutospacing="1" w:after="100" w:afterAutospacing="1"/>
    </w:pPr>
  </w:style>
  <w:style w:type="paragraph" w:customStyle="1" w:styleId="3a">
    <w:name w:val="Заголовок3"/>
    <w:basedOn w:val="a"/>
    <w:rsid w:val="002808C2"/>
    <w:pPr>
      <w:spacing w:before="100" w:beforeAutospacing="1" w:after="100" w:afterAutospacing="1"/>
    </w:pPr>
  </w:style>
  <w:style w:type="paragraph" w:customStyle="1" w:styleId="4a">
    <w:name w:val="Заголовок4"/>
    <w:basedOn w:val="a"/>
    <w:rsid w:val="002808C2"/>
    <w:pPr>
      <w:spacing w:before="100" w:beforeAutospacing="1" w:after="100" w:afterAutospacing="1"/>
    </w:pPr>
  </w:style>
  <w:style w:type="character" w:customStyle="1" w:styleId="ib">
    <w:name w:val="ib"/>
    <w:basedOn w:val="a0"/>
    <w:rsid w:val="002808C2"/>
  </w:style>
  <w:style w:type="character" w:customStyle="1" w:styleId="flright">
    <w:name w:val="flright"/>
    <w:basedOn w:val="a0"/>
    <w:rsid w:val="002808C2"/>
  </w:style>
  <w:style w:type="character" w:customStyle="1" w:styleId="gogofoundword2">
    <w:name w:val="gogofoundword2"/>
    <w:basedOn w:val="a0"/>
    <w:rsid w:val="002808C2"/>
    <w:rPr>
      <w:shd w:val="clear" w:color="auto" w:fill="FFFF00"/>
    </w:rPr>
  </w:style>
  <w:style w:type="character" w:customStyle="1" w:styleId="afb">
    <w:name w:val="Сноска_"/>
    <w:basedOn w:val="a0"/>
    <w:link w:val="afc"/>
    <w:uiPriority w:val="99"/>
    <w:locked/>
    <w:rsid w:val="002808C2"/>
    <w:rPr>
      <w:rFonts w:ascii="Times New Roman" w:hAnsi="Times New Roman"/>
      <w:sz w:val="18"/>
      <w:szCs w:val="18"/>
      <w:shd w:val="clear" w:color="auto" w:fill="FFFFFF"/>
    </w:rPr>
  </w:style>
  <w:style w:type="paragraph" w:customStyle="1" w:styleId="afc">
    <w:name w:val="Сноска"/>
    <w:basedOn w:val="a"/>
    <w:link w:val="afb"/>
    <w:uiPriority w:val="99"/>
    <w:rsid w:val="002808C2"/>
    <w:pPr>
      <w:shd w:val="clear" w:color="auto" w:fill="FFFFFF"/>
      <w:spacing w:line="240" w:lineRule="atLeast"/>
    </w:pPr>
    <w:rPr>
      <w:sz w:val="18"/>
      <w:szCs w:val="18"/>
    </w:rPr>
  </w:style>
  <w:style w:type="character" w:customStyle="1" w:styleId="2c">
    <w:name w:val="Сноска (2)_"/>
    <w:basedOn w:val="a0"/>
    <w:link w:val="2d"/>
    <w:locked/>
    <w:rsid w:val="002808C2"/>
    <w:rPr>
      <w:rFonts w:ascii="Times New Roman" w:hAnsi="Times New Roman"/>
      <w:b/>
      <w:bCs/>
      <w:sz w:val="18"/>
      <w:szCs w:val="18"/>
      <w:shd w:val="clear" w:color="auto" w:fill="FFFFFF"/>
    </w:rPr>
  </w:style>
  <w:style w:type="paragraph" w:customStyle="1" w:styleId="2d">
    <w:name w:val="Сноска (2)"/>
    <w:basedOn w:val="a"/>
    <w:link w:val="2c"/>
    <w:rsid w:val="002808C2"/>
    <w:pPr>
      <w:shd w:val="clear" w:color="auto" w:fill="FFFFFF"/>
      <w:spacing w:line="211" w:lineRule="exact"/>
    </w:pPr>
    <w:rPr>
      <w:b/>
      <w:bCs/>
      <w:sz w:val="18"/>
      <w:szCs w:val="18"/>
    </w:rPr>
  </w:style>
  <w:style w:type="character" w:customStyle="1" w:styleId="2e">
    <w:name w:val="Сноска (2) + Не полужирный"/>
    <w:basedOn w:val="2c"/>
    <w:uiPriority w:val="99"/>
    <w:rsid w:val="002808C2"/>
    <w:rPr>
      <w:rFonts w:ascii="Times New Roman" w:hAnsi="Times New Roman"/>
      <w:b/>
      <w:bCs/>
      <w:sz w:val="18"/>
      <w:szCs w:val="18"/>
      <w:shd w:val="clear" w:color="auto" w:fill="FFFFFF"/>
    </w:rPr>
  </w:style>
  <w:style w:type="paragraph" w:customStyle="1" w:styleId="afd">
    <w:name w:val="Колонтитул"/>
    <w:basedOn w:val="a"/>
    <w:link w:val="afe"/>
    <w:uiPriority w:val="99"/>
    <w:rsid w:val="002808C2"/>
    <w:pPr>
      <w:shd w:val="clear" w:color="auto" w:fill="FFFFFF"/>
    </w:pPr>
    <w:rPr>
      <w:rFonts w:eastAsia="Arial Unicode MS"/>
      <w:sz w:val="20"/>
      <w:szCs w:val="20"/>
    </w:rPr>
  </w:style>
  <w:style w:type="character" w:customStyle="1" w:styleId="afe">
    <w:name w:val="Колонтитул_"/>
    <w:basedOn w:val="a0"/>
    <w:link w:val="afd"/>
    <w:uiPriority w:val="99"/>
    <w:locked/>
    <w:rsid w:val="002808C2"/>
    <w:rPr>
      <w:rFonts w:ascii="Times New Roman" w:eastAsia="Arial Unicode MS" w:hAnsi="Times New Roman"/>
      <w:shd w:val="clear" w:color="auto" w:fill="FFFFFF"/>
    </w:rPr>
  </w:style>
  <w:style w:type="character" w:customStyle="1" w:styleId="80">
    <w:name w:val="Колонтитул + 8"/>
    <w:aliases w:val="5 pt,Колонтитул + 10,Сноска + 8,Колонтитул + Microsoft Sans Serif,Заголовок №1 + 14"/>
    <w:basedOn w:val="afe"/>
    <w:uiPriority w:val="99"/>
    <w:rsid w:val="002808C2"/>
    <w:rPr>
      <w:rFonts w:ascii="Times New Roman" w:eastAsia="Arial Unicode MS" w:hAnsi="Times New Roman"/>
      <w:spacing w:val="0"/>
      <w:sz w:val="17"/>
      <w:szCs w:val="17"/>
      <w:shd w:val="clear" w:color="auto" w:fill="FFFFFF"/>
    </w:rPr>
  </w:style>
  <w:style w:type="character" w:customStyle="1" w:styleId="2f">
    <w:name w:val="Основной текст (2)_"/>
    <w:basedOn w:val="a0"/>
    <w:link w:val="2f0"/>
    <w:locked/>
    <w:rsid w:val="002808C2"/>
    <w:rPr>
      <w:rFonts w:ascii="Times New Roman" w:hAnsi="Times New Roman"/>
      <w:b/>
      <w:bCs/>
      <w:sz w:val="18"/>
      <w:szCs w:val="18"/>
      <w:shd w:val="clear" w:color="auto" w:fill="FFFFFF"/>
    </w:rPr>
  </w:style>
  <w:style w:type="paragraph" w:customStyle="1" w:styleId="2f0">
    <w:name w:val="Основной текст (2)"/>
    <w:basedOn w:val="a"/>
    <w:link w:val="2f"/>
    <w:rsid w:val="002808C2"/>
    <w:pPr>
      <w:shd w:val="clear" w:color="auto" w:fill="FFFFFF"/>
      <w:spacing w:after="180" w:line="240" w:lineRule="atLeast"/>
    </w:pPr>
    <w:rPr>
      <w:b/>
      <w:bCs/>
      <w:sz w:val="18"/>
      <w:szCs w:val="18"/>
    </w:rPr>
  </w:style>
  <w:style w:type="character" w:customStyle="1" w:styleId="1d">
    <w:name w:val="Заголовок №1_"/>
    <w:basedOn w:val="a0"/>
    <w:link w:val="1e"/>
    <w:locked/>
    <w:rsid w:val="002808C2"/>
    <w:rPr>
      <w:rFonts w:ascii="Times New Roman" w:hAnsi="Times New Roman"/>
      <w:b/>
      <w:bCs/>
      <w:spacing w:val="-10"/>
      <w:sz w:val="21"/>
      <w:szCs w:val="21"/>
      <w:shd w:val="clear" w:color="auto" w:fill="FFFFFF"/>
    </w:rPr>
  </w:style>
  <w:style w:type="paragraph" w:customStyle="1" w:styleId="1e">
    <w:name w:val="Заголовок №1"/>
    <w:basedOn w:val="a"/>
    <w:link w:val="1d"/>
    <w:rsid w:val="002808C2"/>
    <w:pPr>
      <w:shd w:val="clear" w:color="auto" w:fill="FFFFFF"/>
      <w:spacing w:before="540" w:after="540" w:line="240" w:lineRule="atLeast"/>
      <w:jc w:val="center"/>
      <w:outlineLvl w:val="0"/>
    </w:pPr>
    <w:rPr>
      <w:b/>
      <w:bCs/>
      <w:spacing w:val="-10"/>
      <w:sz w:val="21"/>
      <w:szCs w:val="21"/>
    </w:rPr>
  </w:style>
  <w:style w:type="character" w:customStyle="1" w:styleId="221">
    <w:name w:val="Заголовок №2 (2)_"/>
    <w:basedOn w:val="a0"/>
    <w:link w:val="222"/>
    <w:locked/>
    <w:rsid w:val="002808C2"/>
    <w:rPr>
      <w:rFonts w:ascii="Times New Roman" w:hAnsi="Times New Roman"/>
      <w:sz w:val="21"/>
      <w:szCs w:val="21"/>
      <w:shd w:val="clear" w:color="auto" w:fill="FFFFFF"/>
    </w:rPr>
  </w:style>
  <w:style w:type="paragraph" w:customStyle="1" w:styleId="222">
    <w:name w:val="Заголовок №2 (2)"/>
    <w:basedOn w:val="a"/>
    <w:link w:val="221"/>
    <w:rsid w:val="002808C2"/>
    <w:pPr>
      <w:shd w:val="clear" w:color="auto" w:fill="FFFFFF"/>
      <w:spacing w:before="540" w:line="240" w:lineRule="exact"/>
      <w:jc w:val="center"/>
      <w:outlineLvl w:val="1"/>
    </w:pPr>
    <w:rPr>
      <w:sz w:val="21"/>
      <w:szCs w:val="21"/>
    </w:rPr>
  </w:style>
  <w:style w:type="character" w:customStyle="1" w:styleId="2f1">
    <w:name w:val="Заголовок №2_"/>
    <w:basedOn w:val="a0"/>
    <w:link w:val="2f2"/>
    <w:locked/>
    <w:rsid w:val="002808C2"/>
    <w:rPr>
      <w:rFonts w:ascii="Times New Roman" w:hAnsi="Times New Roman"/>
      <w:b/>
      <w:bCs/>
      <w:spacing w:val="-10"/>
      <w:sz w:val="21"/>
      <w:szCs w:val="21"/>
      <w:shd w:val="clear" w:color="auto" w:fill="FFFFFF"/>
    </w:rPr>
  </w:style>
  <w:style w:type="paragraph" w:customStyle="1" w:styleId="2f2">
    <w:name w:val="Заголовок №2"/>
    <w:basedOn w:val="a"/>
    <w:link w:val="2f1"/>
    <w:rsid w:val="002808C2"/>
    <w:pPr>
      <w:shd w:val="clear" w:color="auto" w:fill="FFFFFF"/>
      <w:spacing w:after="180" w:line="240" w:lineRule="exact"/>
      <w:jc w:val="center"/>
      <w:outlineLvl w:val="1"/>
    </w:pPr>
    <w:rPr>
      <w:b/>
      <w:bCs/>
      <w:spacing w:val="-10"/>
      <w:sz w:val="21"/>
      <w:szCs w:val="21"/>
    </w:rPr>
  </w:style>
  <w:style w:type="character" w:customStyle="1" w:styleId="3b">
    <w:name w:val="Основной текст (3)_"/>
    <w:basedOn w:val="a0"/>
    <w:link w:val="311"/>
    <w:uiPriority w:val="99"/>
    <w:locked/>
    <w:rsid w:val="002808C2"/>
    <w:rPr>
      <w:rFonts w:ascii="Times New Roman" w:hAnsi="Times New Roman"/>
      <w:i/>
      <w:iCs/>
      <w:sz w:val="21"/>
      <w:szCs w:val="21"/>
      <w:shd w:val="clear" w:color="auto" w:fill="FFFFFF"/>
    </w:rPr>
  </w:style>
  <w:style w:type="paragraph" w:customStyle="1" w:styleId="311">
    <w:name w:val="Основной текст (3)1"/>
    <w:basedOn w:val="a"/>
    <w:link w:val="3b"/>
    <w:uiPriority w:val="99"/>
    <w:rsid w:val="002808C2"/>
    <w:pPr>
      <w:shd w:val="clear" w:color="auto" w:fill="FFFFFF"/>
      <w:spacing w:line="235" w:lineRule="exact"/>
      <w:jc w:val="center"/>
    </w:pPr>
    <w:rPr>
      <w:i/>
      <w:iCs/>
      <w:sz w:val="21"/>
      <w:szCs w:val="21"/>
    </w:rPr>
  </w:style>
  <w:style w:type="character" w:customStyle="1" w:styleId="1f">
    <w:name w:val="Основной текст + Курсив1"/>
    <w:uiPriority w:val="99"/>
    <w:rsid w:val="002808C2"/>
    <w:rPr>
      <w:rFonts w:ascii="Times New Roman" w:hAnsi="Times New Roman" w:cs="Times New Roman"/>
      <w:i/>
      <w:iCs/>
      <w:spacing w:val="0"/>
      <w:sz w:val="21"/>
      <w:szCs w:val="21"/>
    </w:rPr>
  </w:style>
  <w:style w:type="character" w:customStyle="1" w:styleId="2100">
    <w:name w:val="Основной текст (2) + 10"/>
    <w:aliases w:val="5 pt2,Интервал 0 pt"/>
    <w:basedOn w:val="2f"/>
    <w:uiPriority w:val="99"/>
    <w:rsid w:val="002808C2"/>
    <w:rPr>
      <w:rFonts w:ascii="Times New Roman" w:hAnsi="Times New Roman"/>
      <w:b/>
      <w:bCs/>
      <w:spacing w:val="-10"/>
      <w:sz w:val="21"/>
      <w:szCs w:val="21"/>
      <w:shd w:val="clear" w:color="auto" w:fill="FFFFFF"/>
    </w:rPr>
  </w:style>
  <w:style w:type="character" w:customStyle="1" w:styleId="211pt">
    <w:name w:val="Основной текст (2) + 11 pt"/>
    <w:aliases w:val="Интервал -1 pt"/>
    <w:basedOn w:val="2f"/>
    <w:uiPriority w:val="99"/>
    <w:rsid w:val="002808C2"/>
    <w:rPr>
      <w:rFonts w:ascii="Times New Roman" w:hAnsi="Times New Roman"/>
      <w:b/>
      <w:bCs/>
      <w:spacing w:val="-20"/>
      <w:sz w:val="22"/>
      <w:szCs w:val="22"/>
      <w:shd w:val="clear" w:color="auto" w:fill="FFFFFF"/>
    </w:rPr>
  </w:style>
  <w:style w:type="character" w:customStyle="1" w:styleId="aff">
    <w:name w:val="Основной текст + Полужирный"/>
    <w:aliases w:val="Интервал 0 pt9"/>
    <w:uiPriority w:val="99"/>
    <w:rsid w:val="002808C2"/>
    <w:rPr>
      <w:rFonts w:ascii="Times New Roman" w:hAnsi="Times New Roman" w:cs="Times New Roman"/>
      <w:b/>
      <w:bCs/>
      <w:spacing w:val="-10"/>
      <w:sz w:val="21"/>
      <w:szCs w:val="21"/>
    </w:rPr>
  </w:style>
  <w:style w:type="character" w:customStyle="1" w:styleId="11pt">
    <w:name w:val="Основной текст + 11 pt"/>
    <w:aliases w:val="Полужирный,Интервал -1 pt3,Основной текст + Arial2,92,5 pt29,Полужирный26,Колонтитул + MS Reference Sans Serif3,Основной текст + Segoe UI7,87"/>
    <w:uiPriority w:val="99"/>
    <w:rsid w:val="002808C2"/>
    <w:rPr>
      <w:rFonts w:ascii="Times New Roman" w:hAnsi="Times New Roman" w:cs="Times New Roman"/>
      <w:b/>
      <w:bCs/>
      <w:spacing w:val="-20"/>
      <w:sz w:val="22"/>
      <w:szCs w:val="22"/>
    </w:rPr>
  </w:style>
  <w:style w:type="character" w:customStyle="1" w:styleId="64">
    <w:name w:val="Основной текст + Полужирный6"/>
    <w:aliases w:val="Интервал 0 pt8"/>
    <w:uiPriority w:val="99"/>
    <w:rsid w:val="002808C2"/>
    <w:rPr>
      <w:rFonts w:ascii="Times New Roman" w:hAnsi="Times New Roman" w:cs="Times New Roman"/>
      <w:b/>
      <w:bCs/>
      <w:spacing w:val="-10"/>
      <w:sz w:val="21"/>
      <w:szCs w:val="21"/>
    </w:rPr>
  </w:style>
  <w:style w:type="character" w:customStyle="1" w:styleId="4b">
    <w:name w:val="Основной текст (4)_"/>
    <w:basedOn w:val="a0"/>
    <w:link w:val="4c"/>
    <w:uiPriority w:val="99"/>
    <w:locked/>
    <w:rsid w:val="002808C2"/>
    <w:rPr>
      <w:rFonts w:ascii="Times New Roman" w:hAnsi="Times New Roman"/>
      <w:sz w:val="18"/>
      <w:szCs w:val="18"/>
      <w:shd w:val="clear" w:color="auto" w:fill="FFFFFF"/>
    </w:rPr>
  </w:style>
  <w:style w:type="paragraph" w:customStyle="1" w:styleId="4c">
    <w:name w:val="Основной текст (4)"/>
    <w:basedOn w:val="a"/>
    <w:link w:val="4b"/>
    <w:uiPriority w:val="99"/>
    <w:rsid w:val="002808C2"/>
    <w:pPr>
      <w:shd w:val="clear" w:color="auto" w:fill="FFFFFF"/>
      <w:spacing w:line="240" w:lineRule="atLeast"/>
      <w:ind w:hanging="280"/>
    </w:pPr>
    <w:rPr>
      <w:sz w:val="18"/>
      <w:szCs w:val="18"/>
    </w:rPr>
  </w:style>
  <w:style w:type="character" w:customStyle="1" w:styleId="81">
    <w:name w:val="Колонтитул + 81"/>
    <w:aliases w:val="5 pt1,Полужирный4"/>
    <w:basedOn w:val="afe"/>
    <w:uiPriority w:val="99"/>
    <w:rsid w:val="002808C2"/>
    <w:rPr>
      <w:rFonts w:ascii="Times New Roman" w:eastAsia="Arial Unicode MS" w:hAnsi="Times New Roman"/>
      <w:b/>
      <w:bCs/>
      <w:spacing w:val="0"/>
      <w:sz w:val="17"/>
      <w:szCs w:val="17"/>
      <w:shd w:val="clear" w:color="auto" w:fill="FFFFFF"/>
    </w:rPr>
  </w:style>
  <w:style w:type="character" w:customStyle="1" w:styleId="3c">
    <w:name w:val="Основной текст (3)"/>
    <w:basedOn w:val="3b"/>
    <w:uiPriority w:val="99"/>
    <w:rsid w:val="002808C2"/>
    <w:rPr>
      <w:rFonts w:ascii="Times New Roman" w:hAnsi="Times New Roman"/>
      <w:i/>
      <w:iCs/>
      <w:sz w:val="21"/>
      <w:szCs w:val="21"/>
      <w:u w:val="single"/>
      <w:shd w:val="clear" w:color="auto" w:fill="FFFFFF"/>
    </w:rPr>
  </w:style>
  <w:style w:type="character" w:customStyle="1" w:styleId="5a">
    <w:name w:val="Основной текст + Полужирный5"/>
    <w:aliases w:val="Интервал 0 pt7,Основной текст (15) + Не курсив2,Основной текст (5) + Полужирный1"/>
    <w:uiPriority w:val="99"/>
    <w:rsid w:val="002808C2"/>
    <w:rPr>
      <w:rFonts w:ascii="Times New Roman" w:hAnsi="Times New Roman" w:cs="Times New Roman"/>
      <w:b/>
      <w:bCs/>
      <w:spacing w:val="-10"/>
      <w:sz w:val="21"/>
      <w:szCs w:val="21"/>
    </w:rPr>
  </w:style>
  <w:style w:type="character" w:customStyle="1" w:styleId="5b">
    <w:name w:val="Основной текст (5) + Не полужирный"/>
    <w:aliases w:val="Интервал 0 pt6"/>
    <w:basedOn w:val="52"/>
    <w:rsid w:val="002808C2"/>
    <w:rPr>
      <w:rFonts w:ascii="Times New Roman" w:hAnsi="Times New Roman" w:cs="Times New Roman"/>
      <w:b/>
      <w:bCs/>
      <w:spacing w:val="0"/>
      <w:sz w:val="21"/>
      <w:szCs w:val="21"/>
      <w:shd w:val="clear" w:color="auto" w:fill="FFFFFF"/>
    </w:rPr>
  </w:style>
  <w:style w:type="character" w:customStyle="1" w:styleId="511pt">
    <w:name w:val="Основной текст (5) + 11 pt"/>
    <w:aliases w:val="Интервал -1 pt1"/>
    <w:basedOn w:val="52"/>
    <w:uiPriority w:val="99"/>
    <w:rsid w:val="002808C2"/>
    <w:rPr>
      <w:rFonts w:ascii="Times New Roman" w:hAnsi="Times New Roman" w:cs="Times New Roman"/>
      <w:b/>
      <w:bCs/>
      <w:noProof/>
      <w:spacing w:val="-20"/>
      <w:sz w:val="22"/>
      <w:szCs w:val="22"/>
      <w:shd w:val="clear" w:color="auto" w:fill="FFFFFF"/>
    </w:rPr>
  </w:style>
  <w:style w:type="character" w:customStyle="1" w:styleId="4d">
    <w:name w:val="Основной текст + Полужирный4"/>
    <w:aliases w:val="Интервал 0 pt5"/>
    <w:uiPriority w:val="99"/>
    <w:rsid w:val="002808C2"/>
    <w:rPr>
      <w:rFonts w:ascii="Times New Roman" w:hAnsi="Times New Roman" w:cs="Times New Roman"/>
      <w:b/>
      <w:bCs/>
      <w:spacing w:val="-10"/>
      <w:sz w:val="21"/>
      <w:szCs w:val="21"/>
    </w:rPr>
  </w:style>
  <w:style w:type="character" w:customStyle="1" w:styleId="9pt0">
    <w:name w:val="Колонтитул + 9 pt"/>
    <w:aliases w:val="Полужирный3,Курсив2"/>
    <w:basedOn w:val="afe"/>
    <w:uiPriority w:val="99"/>
    <w:rsid w:val="002808C2"/>
    <w:rPr>
      <w:rFonts w:ascii="Times New Roman" w:eastAsia="Arial Unicode MS" w:hAnsi="Times New Roman"/>
      <w:b/>
      <w:bCs/>
      <w:i/>
      <w:iCs/>
      <w:spacing w:val="0"/>
      <w:sz w:val="18"/>
      <w:szCs w:val="18"/>
      <w:shd w:val="clear" w:color="auto" w:fill="FFFFFF"/>
    </w:rPr>
  </w:style>
  <w:style w:type="character" w:customStyle="1" w:styleId="9pt1">
    <w:name w:val="Колонтитул + 9 pt1"/>
    <w:aliases w:val="Полужирный2,Курсив1,Основной текст + 8 pt1,Колонтитул + Microsoft Sans Serif2,Основной текст + 11 pt1"/>
    <w:basedOn w:val="afe"/>
    <w:uiPriority w:val="99"/>
    <w:rsid w:val="002808C2"/>
    <w:rPr>
      <w:rFonts w:ascii="Times New Roman" w:eastAsia="Arial Unicode MS" w:hAnsi="Times New Roman"/>
      <w:b/>
      <w:bCs/>
      <w:i/>
      <w:iCs/>
      <w:spacing w:val="0"/>
      <w:sz w:val="18"/>
      <w:szCs w:val="18"/>
      <w:shd w:val="clear" w:color="auto" w:fill="FFFFFF"/>
    </w:rPr>
  </w:style>
  <w:style w:type="character" w:customStyle="1" w:styleId="3d">
    <w:name w:val="Основной текст + Полужирный3"/>
    <w:aliases w:val="Интервал 0 pt4"/>
    <w:uiPriority w:val="99"/>
    <w:rsid w:val="002808C2"/>
    <w:rPr>
      <w:rFonts w:ascii="Times New Roman" w:hAnsi="Times New Roman" w:cs="Times New Roman"/>
      <w:b/>
      <w:bCs/>
      <w:spacing w:val="-10"/>
      <w:sz w:val="21"/>
      <w:szCs w:val="21"/>
    </w:rPr>
  </w:style>
  <w:style w:type="character" w:customStyle="1" w:styleId="2f3">
    <w:name w:val="Основной текст + Полужирный2"/>
    <w:aliases w:val="Интервал 0 pt3"/>
    <w:uiPriority w:val="99"/>
    <w:rsid w:val="002808C2"/>
    <w:rPr>
      <w:rFonts w:ascii="Times New Roman" w:hAnsi="Times New Roman" w:cs="Times New Roman"/>
      <w:b/>
      <w:bCs/>
      <w:spacing w:val="-10"/>
      <w:sz w:val="21"/>
      <w:szCs w:val="21"/>
    </w:rPr>
  </w:style>
  <w:style w:type="character" w:customStyle="1" w:styleId="1f0">
    <w:name w:val="Основной текст + Полужирный1"/>
    <w:aliases w:val="Интервал 0 pt2"/>
    <w:uiPriority w:val="99"/>
    <w:rsid w:val="002808C2"/>
    <w:rPr>
      <w:rFonts w:ascii="Times New Roman" w:hAnsi="Times New Roman" w:cs="Times New Roman"/>
      <w:b/>
      <w:bCs/>
      <w:spacing w:val="-10"/>
      <w:sz w:val="21"/>
      <w:szCs w:val="21"/>
    </w:rPr>
  </w:style>
  <w:style w:type="character" w:customStyle="1" w:styleId="9pt10">
    <w:name w:val="Основной текст + 9 pt1"/>
    <w:aliases w:val="Полужирный1"/>
    <w:uiPriority w:val="99"/>
    <w:rsid w:val="002808C2"/>
    <w:rPr>
      <w:rFonts w:ascii="Times New Roman" w:hAnsi="Times New Roman" w:cs="Times New Roman"/>
      <w:b/>
      <w:bCs/>
      <w:spacing w:val="0"/>
      <w:sz w:val="18"/>
      <w:szCs w:val="18"/>
    </w:rPr>
  </w:style>
  <w:style w:type="character" w:customStyle="1" w:styleId="231">
    <w:name w:val="Заголовок №2 (3)_"/>
    <w:basedOn w:val="a0"/>
    <w:link w:val="232"/>
    <w:locked/>
    <w:rsid w:val="002808C2"/>
    <w:rPr>
      <w:rFonts w:ascii="Times New Roman" w:hAnsi="Times New Roman"/>
      <w:b/>
      <w:bCs/>
      <w:i/>
      <w:iCs/>
      <w:sz w:val="21"/>
      <w:szCs w:val="21"/>
      <w:shd w:val="clear" w:color="auto" w:fill="FFFFFF"/>
    </w:rPr>
  </w:style>
  <w:style w:type="paragraph" w:customStyle="1" w:styleId="232">
    <w:name w:val="Заголовок №2 (3)"/>
    <w:basedOn w:val="a"/>
    <w:link w:val="231"/>
    <w:rsid w:val="002808C2"/>
    <w:pPr>
      <w:shd w:val="clear" w:color="auto" w:fill="FFFFFF"/>
      <w:spacing w:before="300" w:line="240" w:lineRule="atLeast"/>
      <w:outlineLvl w:val="1"/>
    </w:pPr>
    <w:rPr>
      <w:b/>
      <w:bCs/>
      <w:i/>
      <w:iCs/>
      <w:sz w:val="21"/>
      <w:szCs w:val="21"/>
    </w:rPr>
  </w:style>
  <w:style w:type="character" w:customStyle="1" w:styleId="4e">
    <w:name w:val="Основной текст (4) + Полужирный"/>
    <w:basedOn w:val="4b"/>
    <w:rsid w:val="002808C2"/>
    <w:rPr>
      <w:rFonts w:ascii="Times New Roman" w:hAnsi="Times New Roman"/>
      <w:b/>
      <w:bCs/>
      <w:sz w:val="18"/>
      <w:szCs w:val="18"/>
      <w:shd w:val="clear" w:color="auto" w:fill="FFFFFF"/>
    </w:rPr>
  </w:style>
  <w:style w:type="character" w:customStyle="1" w:styleId="2f4">
    <w:name w:val="Заголовок №2 + Не полужирный"/>
    <w:aliases w:val="Интервал 0 pt1"/>
    <w:basedOn w:val="2f1"/>
    <w:uiPriority w:val="99"/>
    <w:rsid w:val="002808C2"/>
    <w:rPr>
      <w:rFonts w:ascii="Times New Roman" w:hAnsi="Times New Roman"/>
      <w:b/>
      <w:bCs/>
      <w:spacing w:val="0"/>
      <w:sz w:val="21"/>
      <w:szCs w:val="21"/>
      <w:shd w:val="clear" w:color="auto" w:fill="FFFFFF"/>
    </w:rPr>
  </w:style>
  <w:style w:type="character" w:customStyle="1" w:styleId="aff0">
    <w:name w:val="Сноска + Курсив"/>
    <w:basedOn w:val="afb"/>
    <w:rsid w:val="002808C2"/>
    <w:rPr>
      <w:rFonts w:ascii="Times New Roman" w:hAnsi="Times New Roman"/>
      <w:i/>
      <w:iCs/>
      <w:sz w:val="18"/>
      <w:szCs w:val="18"/>
      <w:shd w:val="clear" w:color="auto" w:fill="FFFFFF"/>
    </w:rPr>
  </w:style>
  <w:style w:type="character" w:customStyle="1" w:styleId="2f5">
    <w:name w:val="Сноска (2) + Не курсив"/>
    <w:basedOn w:val="2c"/>
    <w:rsid w:val="002808C2"/>
    <w:rPr>
      <w:rFonts w:ascii="Times New Roman" w:hAnsi="Times New Roman"/>
      <w:b w:val="0"/>
      <w:bCs w:val="0"/>
      <w:i/>
      <w:iCs/>
      <w:sz w:val="18"/>
      <w:szCs w:val="18"/>
      <w:shd w:val="clear" w:color="auto" w:fill="FFFFFF"/>
    </w:rPr>
  </w:style>
  <w:style w:type="character" w:customStyle="1" w:styleId="aff1">
    <w:name w:val="Подпись к картинке_"/>
    <w:basedOn w:val="a0"/>
    <w:link w:val="aff2"/>
    <w:locked/>
    <w:rsid w:val="002808C2"/>
    <w:rPr>
      <w:rFonts w:ascii="Times New Roman" w:hAnsi="Times New Roman"/>
      <w:sz w:val="18"/>
      <w:szCs w:val="18"/>
      <w:shd w:val="clear" w:color="auto" w:fill="FFFFFF"/>
    </w:rPr>
  </w:style>
  <w:style w:type="paragraph" w:customStyle="1" w:styleId="aff2">
    <w:name w:val="Подпись к картинке"/>
    <w:basedOn w:val="a"/>
    <w:link w:val="aff1"/>
    <w:rsid w:val="002808C2"/>
    <w:pPr>
      <w:shd w:val="clear" w:color="auto" w:fill="FFFFFF"/>
      <w:spacing w:line="187" w:lineRule="exact"/>
      <w:jc w:val="center"/>
    </w:pPr>
    <w:rPr>
      <w:sz w:val="18"/>
      <w:szCs w:val="18"/>
    </w:rPr>
  </w:style>
  <w:style w:type="character" w:customStyle="1" w:styleId="aff3">
    <w:name w:val="Подпись к картинке + Курсив"/>
    <w:basedOn w:val="aff1"/>
    <w:rsid w:val="002808C2"/>
    <w:rPr>
      <w:rFonts w:ascii="Times New Roman" w:hAnsi="Times New Roman"/>
      <w:i/>
      <w:iCs/>
      <w:sz w:val="18"/>
      <w:szCs w:val="18"/>
      <w:shd w:val="clear" w:color="auto" w:fill="FFFFFF"/>
    </w:rPr>
  </w:style>
  <w:style w:type="character" w:customStyle="1" w:styleId="90">
    <w:name w:val="Колонтитул + 9"/>
    <w:aliases w:val="5 pt8,Курсив5,Основной текст + 92,Полужирный11,Колонтитул + Segoe UI,12"/>
    <w:basedOn w:val="afe"/>
    <w:uiPriority w:val="99"/>
    <w:rsid w:val="002808C2"/>
    <w:rPr>
      <w:rFonts w:ascii="Times New Roman" w:eastAsia="Arial Unicode MS" w:hAnsi="Times New Roman"/>
      <w:i/>
      <w:iCs/>
      <w:spacing w:val="0"/>
      <w:sz w:val="19"/>
      <w:szCs w:val="19"/>
      <w:shd w:val="clear" w:color="auto" w:fill="FFFFFF"/>
    </w:rPr>
  </w:style>
  <w:style w:type="character" w:customStyle="1" w:styleId="9pt4">
    <w:name w:val="Колонтитул + 9 pt4"/>
    <w:aliases w:val="Полужирный9,Основной текст + 96,5 pt10,Основной текст + Arial Narrow11,98,Полужирный18,Основной текст + 10 pt1,Body text (2) + 91,Bold5,Spacing -1 pt3"/>
    <w:basedOn w:val="afe"/>
    <w:uiPriority w:val="99"/>
    <w:rsid w:val="002808C2"/>
    <w:rPr>
      <w:rFonts w:ascii="Times New Roman" w:eastAsia="Arial Unicode MS" w:hAnsi="Times New Roman"/>
      <w:b/>
      <w:bCs/>
      <w:spacing w:val="0"/>
      <w:sz w:val="18"/>
      <w:szCs w:val="18"/>
      <w:shd w:val="clear" w:color="auto" w:fill="FFFFFF"/>
    </w:rPr>
  </w:style>
  <w:style w:type="character" w:customStyle="1" w:styleId="92">
    <w:name w:val="Колонтитул + 92"/>
    <w:aliases w:val="5 pt7,Подпись к картинке (28) + Sylfaen,61,Полужирный10,Основной текст + 84,Малые прописные4,Основной текст (2) + Microsoft Sans Serif,Колонтитул + Century Gothic1,Основной текст (25) + 9"/>
    <w:basedOn w:val="afe"/>
    <w:uiPriority w:val="99"/>
    <w:rsid w:val="002808C2"/>
    <w:rPr>
      <w:rFonts w:ascii="Times New Roman" w:eastAsia="Arial Unicode MS" w:hAnsi="Times New Roman"/>
      <w:spacing w:val="0"/>
      <w:sz w:val="19"/>
      <w:szCs w:val="19"/>
      <w:shd w:val="clear" w:color="auto" w:fill="FFFFFF"/>
    </w:rPr>
  </w:style>
  <w:style w:type="character" w:customStyle="1" w:styleId="9pt3">
    <w:name w:val="Колонтитул + 9 pt3"/>
    <w:aliases w:val="Полужирный8,Курсив4"/>
    <w:basedOn w:val="afe"/>
    <w:rsid w:val="002808C2"/>
    <w:rPr>
      <w:rFonts w:ascii="Times New Roman" w:eastAsia="Arial Unicode MS" w:hAnsi="Times New Roman"/>
      <w:b/>
      <w:bCs/>
      <w:i/>
      <w:iCs/>
      <w:spacing w:val="0"/>
      <w:sz w:val="18"/>
      <w:szCs w:val="18"/>
      <w:shd w:val="clear" w:color="auto" w:fill="FFFFFF"/>
    </w:rPr>
  </w:style>
  <w:style w:type="character" w:customStyle="1" w:styleId="3e">
    <w:name w:val="Заголовок №3_"/>
    <w:basedOn w:val="a0"/>
    <w:link w:val="3f"/>
    <w:locked/>
    <w:rsid w:val="002808C2"/>
    <w:rPr>
      <w:rFonts w:ascii="Times New Roman" w:hAnsi="Times New Roman"/>
      <w:shd w:val="clear" w:color="auto" w:fill="FFFFFF"/>
    </w:rPr>
  </w:style>
  <w:style w:type="paragraph" w:customStyle="1" w:styleId="3f">
    <w:name w:val="Заголовок №3"/>
    <w:basedOn w:val="a"/>
    <w:link w:val="3e"/>
    <w:rsid w:val="002808C2"/>
    <w:pPr>
      <w:shd w:val="clear" w:color="auto" w:fill="FFFFFF"/>
      <w:spacing w:after="180" w:line="235" w:lineRule="exact"/>
      <w:jc w:val="center"/>
      <w:outlineLvl w:val="2"/>
    </w:pPr>
    <w:rPr>
      <w:sz w:val="20"/>
      <w:szCs w:val="20"/>
    </w:rPr>
  </w:style>
  <w:style w:type="character" w:customStyle="1" w:styleId="1pt">
    <w:name w:val="Основной текст + Интервал 1 pt"/>
    <w:basedOn w:val="af0"/>
    <w:uiPriority w:val="99"/>
    <w:rsid w:val="002808C2"/>
    <w:rPr>
      <w:rFonts w:ascii="Times New Roman" w:eastAsia="Times New Roman" w:hAnsi="Times New Roman"/>
      <w:spacing w:val="30"/>
      <w:sz w:val="20"/>
      <w:szCs w:val="20"/>
      <w:shd w:val="clear" w:color="auto" w:fill="FFFFFF"/>
    </w:rPr>
  </w:style>
  <w:style w:type="character" w:customStyle="1" w:styleId="321">
    <w:name w:val="Заголовок №3 (2)_"/>
    <w:basedOn w:val="a0"/>
    <w:link w:val="322"/>
    <w:locked/>
    <w:rsid w:val="002808C2"/>
    <w:rPr>
      <w:rFonts w:ascii="Times New Roman" w:hAnsi="Times New Roman"/>
      <w:sz w:val="21"/>
      <w:szCs w:val="21"/>
      <w:shd w:val="clear" w:color="auto" w:fill="FFFFFF"/>
    </w:rPr>
  </w:style>
  <w:style w:type="paragraph" w:customStyle="1" w:styleId="322">
    <w:name w:val="Заголовок №3 (2)"/>
    <w:basedOn w:val="a"/>
    <w:link w:val="321"/>
    <w:rsid w:val="002808C2"/>
    <w:pPr>
      <w:shd w:val="clear" w:color="auto" w:fill="FFFFFF"/>
      <w:spacing w:line="240" w:lineRule="exact"/>
      <w:jc w:val="center"/>
      <w:outlineLvl w:val="2"/>
    </w:pPr>
    <w:rPr>
      <w:sz w:val="21"/>
      <w:szCs w:val="21"/>
    </w:rPr>
  </w:style>
  <w:style w:type="character" w:customStyle="1" w:styleId="4f">
    <w:name w:val="Основной текст + 4"/>
    <w:aliases w:val="5 pt6,Основной текст (14) + 7,Не полужирный2,Основной текст + 101,Малые прописные3,Основной текст (4) + 7 pt,Основной текст + 72"/>
    <w:basedOn w:val="af0"/>
    <w:uiPriority w:val="99"/>
    <w:rsid w:val="002808C2"/>
    <w:rPr>
      <w:rFonts w:ascii="Times New Roman" w:eastAsia="Times New Roman" w:hAnsi="Times New Roman"/>
      <w:sz w:val="9"/>
      <w:szCs w:val="9"/>
      <w:shd w:val="clear" w:color="auto" w:fill="FFFFFF"/>
    </w:rPr>
  </w:style>
  <w:style w:type="character" w:customStyle="1" w:styleId="331">
    <w:name w:val="Заголовок №3 (3)_"/>
    <w:basedOn w:val="a0"/>
    <w:link w:val="332"/>
    <w:locked/>
    <w:rsid w:val="002808C2"/>
    <w:rPr>
      <w:rFonts w:ascii="Times New Roman" w:hAnsi="Times New Roman"/>
      <w:shd w:val="clear" w:color="auto" w:fill="FFFFFF"/>
    </w:rPr>
  </w:style>
  <w:style w:type="paragraph" w:customStyle="1" w:styleId="332">
    <w:name w:val="Заголовок №3 (3)"/>
    <w:basedOn w:val="a"/>
    <w:link w:val="331"/>
    <w:rsid w:val="002808C2"/>
    <w:pPr>
      <w:shd w:val="clear" w:color="auto" w:fill="FFFFFF"/>
      <w:spacing w:before="300" w:line="230" w:lineRule="exact"/>
      <w:jc w:val="center"/>
      <w:outlineLvl w:val="2"/>
    </w:pPr>
    <w:rPr>
      <w:sz w:val="20"/>
      <w:szCs w:val="20"/>
    </w:rPr>
  </w:style>
  <w:style w:type="character" w:customStyle="1" w:styleId="3f0">
    <w:name w:val="Основной текст (3) + Не курсив"/>
    <w:basedOn w:val="3b"/>
    <w:rsid w:val="002808C2"/>
    <w:rPr>
      <w:rFonts w:ascii="Times New Roman" w:hAnsi="Times New Roman"/>
      <w:i/>
      <w:iCs/>
      <w:sz w:val="20"/>
      <w:szCs w:val="20"/>
      <w:shd w:val="clear" w:color="auto" w:fill="FFFFFF"/>
    </w:rPr>
  </w:style>
  <w:style w:type="character" w:customStyle="1" w:styleId="340">
    <w:name w:val="Заголовок №3 (4)_"/>
    <w:basedOn w:val="a0"/>
    <w:link w:val="341"/>
    <w:locked/>
    <w:rsid w:val="002808C2"/>
    <w:rPr>
      <w:rFonts w:ascii="Times New Roman" w:hAnsi="Times New Roman"/>
      <w:shd w:val="clear" w:color="auto" w:fill="FFFFFF"/>
    </w:rPr>
  </w:style>
  <w:style w:type="paragraph" w:customStyle="1" w:styleId="341">
    <w:name w:val="Заголовок №3 (4)"/>
    <w:basedOn w:val="a"/>
    <w:link w:val="340"/>
    <w:rsid w:val="002808C2"/>
    <w:pPr>
      <w:shd w:val="clear" w:color="auto" w:fill="FFFFFF"/>
      <w:spacing w:line="235" w:lineRule="exact"/>
      <w:jc w:val="center"/>
      <w:outlineLvl w:val="2"/>
    </w:pPr>
    <w:rPr>
      <w:sz w:val="20"/>
      <w:szCs w:val="20"/>
    </w:rPr>
  </w:style>
  <w:style w:type="character" w:customStyle="1" w:styleId="341pt">
    <w:name w:val="Заголовок №3 (4) + Интервал 1 pt"/>
    <w:basedOn w:val="340"/>
    <w:rsid w:val="002808C2"/>
    <w:rPr>
      <w:rFonts w:ascii="Times New Roman" w:hAnsi="Times New Roman"/>
      <w:spacing w:val="30"/>
      <w:shd w:val="clear" w:color="auto" w:fill="FFFFFF"/>
    </w:rPr>
  </w:style>
  <w:style w:type="character" w:customStyle="1" w:styleId="3f1">
    <w:name w:val="Заголовок №3 + Не полужирный"/>
    <w:basedOn w:val="3e"/>
    <w:rsid w:val="002808C2"/>
    <w:rPr>
      <w:rFonts w:ascii="Times New Roman" w:hAnsi="Times New Roman"/>
      <w:b/>
      <w:bCs/>
      <w:shd w:val="clear" w:color="auto" w:fill="FFFFFF"/>
    </w:rPr>
  </w:style>
  <w:style w:type="character" w:customStyle="1" w:styleId="82">
    <w:name w:val="Основной текст + 8"/>
    <w:aliases w:val="5 pt5,Полужирный7,Малые прописные,5 pt11,Основной текст + Arial Narrow6,Body text + 92,Bold6,Spacing 0 pt7"/>
    <w:basedOn w:val="af0"/>
    <w:uiPriority w:val="99"/>
    <w:rsid w:val="002808C2"/>
    <w:rPr>
      <w:rFonts w:ascii="Times New Roman" w:eastAsia="Times New Roman" w:hAnsi="Times New Roman"/>
      <w:b/>
      <w:bCs/>
      <w:smallCaps/>
      <w:sz w:val="17"/>
      <w:szCs w:val="17"/>
      <w:shd w:val="clear" w:color="auto" w:fill="FFFFFF"/>
    </w:rPr>
  </w:style>
  <w:style w:type="character" w:customStyle="1" w:styleId="9pt2">
    <w:name w:val="Колонтитул + 9 pt2"/>
    <w:aliases w:val="Полужирный6,Интервал 1 pt3"/>
    <w:basedOn w:val="afe"/>
    <w:rsid w:val="002808C2"/>
    <w:rPr>
      <w:rFonts w:ascii="Times New Roman" w:eastAsia="Arial Unicode MS" w:hAnsi="Times New Roman"/>
      <w:b/>
      <w:bCs/>
      <w:spacing w:val="30"/>
      <w:sz w:val="18"/>
      <w:szCs w:val="18"/>
      <w:shd w:val="clear" w:color="auto" w:fill="FFFFFF"/>
    </w:rPr>
  </w:style>
  <w:style w:type="character" w:customStyle="1" w:styleId="31pt">
    <w:name w:val="Заголовок №3 + Интервал 1 pt"/>
    <w:basedOn w:val="3e"/>
    <w:rsid w:val="002808C2"/>
    <w:rPr>
      <w:rFonts w:ascii="Times New Roman" w:hAnsi="Times New Roman"/>
      <w:spacing w:val="20"/>
      <w:shd w:val="clear" w:color="auto" w:fill="FFFFFF"/>
    </w:rPr>
  </w:style>
  <w:style w:type="character" w:customStyle="1" w:styleId="21pt">
    <w:name w:val="Основной текст (2) + Интервал 1 pt"/>
    <w:basedOn w:val="2f"/>
    <w:rsid w:val="002808C2"/>
    <w:rPr>
      <w:rFonts w:ascii="Times New Roman" w:hAnsi="Times New Roman"/>
      <w:b w:val="0"/>
      <w:bCs w:val="0"/>
      <w:spacing w:val="20"/>
      <w:sz w:val="20"/>
      <w:szCs w:val="20"/>
      <w:shd w:val="clear" w:color="auto" w:fill="FFFFFF"/>
    </w:rPr>
  </w:style>
  <w:style w:type="character" w:customStyle="1" w:styleId="0pt">
    <w:name w:val="Колонтитул + Интервал 0 pt"/>
    <w:basedOn w:val="afe"/>
    <w:rsid w:val="002808C2"/>
    <w:rPr>
      <w:rFonts w:ascii="Times New Roman" w:eastAsia="Arial Unicode MS" w:hAnsi="Times New Roman"/>
      <w:strike/>
      <w:spacing w:val="-10"/>
      <w:shd w:val="clear" w:color="auto" w:fill="FFFFFF"/>
    </w:rPr>
  </w:style>
  <w:style w:type="character" w:customStyle="1" w:styleId="412pt">
    <w:name w:val="Основной текст (4) + 12 pt"/>
    <w:aliases w:val="Не курсив1"/>
    <w:basedOn w:val="4b"/>
    <w:rsid w:val="002808C2"/>
    <w:rPr>
      <w:rFonts w:ascii="Times New Roman" w:hAnsi="Times New Roman"/>
      <w:i/>
      <w:iCs/>
      <w:sz w:val="24"/>
      <w:szCs w:val="24"/>
      <w:shd w:val="clear" w:color="auto" w:fill="FFFFFF"/>
    </w:rPr>
  </w:style>
  <w:style w:type="character" w:customStyle="1" w:styleId="2f6">
    <w:name w:val="Основной текст (2) + Не полужирный"/>
    <w:basedOn w:val="2f"/>
    <w:rsid w:val="002808C2"/>
    <w:rPr>
      <w:rFonts w:ascii="Times New Roman" w:hAnsi="Times New Roman"/>
      <w:b/>
      <w:bCs/>
      <w:sz w:val="20"/>
      <w:szCs w:val="20"/>
      <w:shd w:val="clear" w:color="auto" w:fill="FFFFFF"/>
    </w:rPr>
  </w:style>
  <w:style w:type="character" w:customStyle="1" w:styleId="72">
    <w:name w:val="Основной текст + Полужирный7"/>
    <w:aliases w:val="Интервал 1 pt2"/>
    <w:basedOn w:val="af0"/>
    <w:uiPriority w:val="99"/>
    <w:rsid w:val="002808C2"/>
    <w:rPr>
      <w:rFonts w:ascii="Times New Roman" w:eastAsia="Times New Roman" w:hAnsi="Times New Roman"/>
      <w:b/>
      <w:bCs/>
      <w:spacing w:val="20"/>
      <w:sz w:val="20"/>
      <w:szCs w:val="20"/>
      <w:shd w:val="clear" w:color="auto" w:fill="FFFFFF"/>
    </w:rPr>
  </w:style>
  <w:style w:type="character" w:customStyle="1" w:styleId="67">
    <w:name w:val="Основной текст (6) + Курсив"/>
    <w:basedOn w:val="62"/>
    <w:rsid w:val="002808C2"/>
    <w:rPr>
      <w:rFonts w:ascii="Times New Roman" w:eastAsia="Times New Roman" w:hAnsi="Times New Roman" w:cs="Times New Roman"/>
      <w:b w:val="0"/>
      <w:bCs w:val="0"/>
      <w:i/>
      <w:iCs/>
      <w:spacing w:val="0"/>
      <w:sz w:val="18"/>
      <w:szCs w:val="18"/>
      <w:shd w:val="clear" w:color="auto" w:fill="FFFFFF"/>
      <w:lang w:eastAsia="ru-RU"/>
    </w:rPr>
  </w:style>
  <w:style w:type="character" w:customStyle="1" w:styleId="68">
    <w:name w:val="Основной текст (6) + Полужирный"/>
    <w:basedOn w:val="62"/>
    <w:rsid w:val="002808C2"/>
    <w:rPr>
      <w:rFonts w:ascii="Times New Roman" w:eastAsia="Times New Roman" w:hAnsi="Times New Roman" w:cs="Times New Roman"/>
      <w:b/>
      <w:bCs/>
      <w:spacing w:val="0"/>
      <w:sz w:val="18"/>
      <w:szCs w:val="18"/>
      <w:shd w:val="clear" w:color="auto" w:fill="FFFFFF"/>
      <w:lang w:eastAsia="ru-RU"/>
    </w:rPr>
  </w:style>
  <w:style w:type="character" w:customStyle="1" w:styleId="610pt">
    <w:name w:val="Основной текст (6) + 10 pt"/>
    <w:aliases w:val="Курсив3"/>
    <w:basedOn w:val="62"/>
    <w:rsid w:val="002808C2"/>
    <w:rPr>
      <w:rFonts w:ascii="Times New Roman" w:eastAsia="Times New Roman" w:hAnsi="Times New Roman" w:cs="Times New Roman"/>
      <w:b w:val="0"/>
      <w:bCs w:val="0"/>
      <w:i/>
      <w:iCs/>
      <w:spacing w:val="0"/>
      <w:sz w:val="20"/>
      <w:szCs w:val="20"/>
      <w:shd w:val="clear" w:color="auto" w:fill="FFFFFF"/>
      <w:lang w:eastAsia="ru-RU"/>
    </w:rPr>
  </w:style>
  <w:style w:type="character" w:customStyle="1" w:styleId="121">
    <w:name w:val="Колонтитул + 12"/>
    <w:aliases w:val="5 pt4,Колонтитул + Franklin Gothic Book1,91,Масштаб 60%,Основной текст + 61,Основной текст (2) + 72"/>
    <w:basedOn w:val="afe"/>
    <w:uiPriority w:val="99"/>
    <w:rsid w:val="002808C2"/>
    <w:rPr>
      <w:rFonts w:ascii="Times New Roman" w:eastAsia="Arial Unicode MS" w:hAnsi="Times New Roman"/>
      <w:spacing w:val="0"/>
      <w:sz w:val="25"/>
      <w:szCs w:val="25"/>
      <w:shd w:val="clear" w:color="auto" w:fill="FFFFFF"/>
    </w:rPr>
  </w:style>
  <w:style w:type="character" w:customStyle="1" w:styleId="91">
    <w:name w:val="Колонтитул + 91"/>
    <w:aliases w:val="5 pt3,Интервал 1 pt1,Основной текст + 91,Основной текст + 10 pt3,Интервал -1 pt15,Основной текст (5) + Не курсив1,Основной текст + 20,Основной текст (2) + 71,Body text + 7,Основной текст + 95,5 pt9,Интервал -1 pt5,97"/>
    <w:basedOn w:val="afe"/>
    <w:uiPriority w:val="99"/>
    <w:rsid w:val="002808C2"/>
    <w:rPr>
      <w:rFonts w:ascii="Times New Roman" w:eastAsia="Arial Unicode MS" w:hAnsi="Times New Roman"/>
      <w:spacing w:val="30"/>
      <w:sz w:val="19"/>
      <w:szCs w:val="19"/>
      <w:shd w:val="clear" w:color="auto" w:fill="FFFFFF"/>
    </w:rPr>
  </w:style>
  <w:style w:type="character" w:customStyle="1" w:styleId="241">
    <w:name w:val="Заголовок №2 (4)_"/>
    <w:basedOn w:val="a0"/>
    <w:link w:val="242"/>
    <w:locked/>
    <w:rsid w:val="002808C2"/>
    <w:rPr>
      <w:rFonts w:ascii="Times New Roman" w:hAnsi="Times New Roman"/>
      <w:shd w:val="clear" w:color="auto" w:fill="FFFFFF"/>
    </w:rPr>
  </w:style>
  <w:style w:type="paragraph" w:customStyle="1" w:styleId="242">
    <w:name w:val="Заголовок №2 (4)"/>
    <w:basedOn w:val="a"/>
    <w:link w:val="241"/>
    <w:rsid w:val="002808C2"/>
    <w:pPr>
      <w:shd w:val="clear" w:color="auto" w:fill="FFFFFF"/>
      <w:spacing w:before="480" w:line="230" w:lineRule="exact"/>
      <w:jc w:val="center"/>
      <w:outlineLvl w:val="1"/>
    </w:pPr>
    <w:rPr>
      <w:sz w:val="20"/>
      <w:szCs w:val="20"/>
    </w:rPr>
  </w:style>
  <w:style w:type="character" w:customStyle="1" w:styleId="241pt">
    <w:name w:val="Заголовок №2 (4) + Интервал 1 pt"/>
    <w:basedOn w:val="241"/>
    <w:rsid w:val="002808C2"/>
    <w:rPr>
      <w:rFonts w:ascii="Times New Roman" w:hAnsi="Times New Roman"/>
      <w:spacing w:val="30"/>
      <w:shd w:val="clear" w:color="auto" w:fill="FFFFFF"/>
    </w:rPr>
  </w:style>
  <w:style w:type="character" w:customStyle="1" w:styleId="510pt">
    <w:name w:val="Основной текст (5) + 10 pt"/>
    <w:basedOn w:val="52"/>
    <w:rsid w:val="002808C2"/>
    <w:rPr>
      <w:rFonts w:ascii="Times New Roman" w:hAnsi="Times New Roman" w:cs="Times New Roman"/>
      <w:b w:val="0"/>
      <w:bCs w:val="0"/>
      <w:spacing w:val="0"/>
      <w:sz w:val="20"/>
      <w:szCs w:val="20"/>
      <w:shd w:val="clear" w:color="auto" w:fill="FFFFFF"/>
    </w:rPr>
  </w:style>
  <w:style w:type="character" w:customStyle="1" w:styleId="360">
    <w:name w:val="Основной текст + Курсив36"/>
    <w:basedOn w:val="a0"/>
    <w:uiPriority w:val="99"/>
    <w:rsid w:val="002808C2"/>
    <w:rPr>
      <w:rFonts w:ascii="Arial Narrow" w:hAnsi="Arial Narrow" w:cs="Arial Narrow"/>
      <w:i/>
      <w:iCs/>
      <w:sz w:val="18"/>
      <w:szCs w:val="18"/>
      <w:shd w:val="clear" w:color="auto" w:fill="FFFFFF"/>
    </w:rPr>
  </w:style>
  <w:style w:type="character" w:customStyle="1" w:styleId="350">
    <w:name w:val="Основной текст + Курсив35"/>
    <w:basedOn w:val="a0"/>
    <w:uiPriority w:val="99"/>
    <w:rsid w:val="002808C2"/>
    <w:rPr>
      <w:rFonts w:ascii="Arial Narrow" w:hAnsi="Arial Narrow" w:cs="Arial Narrow"/>
      <w:i/>
      <w:iCs/>
      <w:spacing w:val="0"/>
      <w:sz w:val="18"/>
      <w:szCs w:val="18"/>
      <w:shd w:val="clear" w:color="auto" w:fill="FFFFFF"/>
    </w:rPr>
  </w:style>
  <w:style w:type="character" w:customStyle="1" w:styleId="69">
    <w:name w:val="Подпись к картинке (6)_"/>
    <w:basedOn w:val="a0"/>
    <w:link w:val="6a"/>
    <w:uiPriority w:val="99"/>
    <w:rsid w:val="002808C2"/>
    <w:rPr>
      <w:rFonts w:ascii="MS Reference Sans Serif" w:hAnsi="MS Reference Sans Serif" w:cs="MS Reference Sans Serif"/>
      <w:sz w:val="13"/>
      <w:szCs w:val="13"/>
      <w:shd w:val="clear" w:color="auto" w:fill="FFFFFF"/>
    </w:rPr>
  </w:style>
  <w:style w:type="paragraph" w:customStyle="1" w:styleId="6a">
    <w:name w:val="Подпись к картинке (6)"/>
    <w:basedOn w:val="a"/>
    <w:link w:val="69"/>
    <w:rsid w:val="002808C2"/>
    <w:pPr>
      <w:shd w:val="clear" w:color="auto" w:fill="FFFFFF"/>
      <w:spacing w:line="144" w:lineRule="exact"/>
    </w:pPr>
    <w:rPr>
      <w:rFonts w:ascii="MS Reference Sans Serif" w:hAnsi="MS Reference Sans Serif" w:cs="MS Reference Sans Serif"/>
      <w:sz w:val="13"/>
      <w:szCs w:val="13"/>
    </w:rPr>
  </w:style>
  <w:style w:type="character" w:customStyle="1" w:styleId="914">
    <w:name w:val="Основной текст + 914"/>
    <w:aliases w:val="5 pt61,Полужирный61,Интервал 0 pt43"/>
    <w:basedOn w:val="a0"/>
    <w:uiPriority w:val="99"/>
    <w:rsid w:val="002808C2"/>
    <w:rPr>
      <w:rFonts w:ascii="Arial Narrow" w:hAnsi="Arial Narrow" w:cs="Arial Narrow"/>
      <w:b/>
      <w:bCs/>
      <w:spacing w:val="-10"/>
      <w:sz w:val="19"/>
      <w:szCs w:val="19"/>
      <w:shd w:val="clear" w:color="auto" w:fill="FFFFFF"/>
    </w:rPr>
  </w:style>
  <w:style w:type="character" w:customStyle="1" w:styleId="470">
    <w:name w:val="Основной текст + Полужирный47"/>
    <w:basedOn w:val="a0"/>
    <w:uiPriority w:val="99"/>
    <w:rsid w:val="002808C2"/>
    <w:rPr>
      <w:rFonts w:ascii="Arial Narrow" w:hAnsi="Arial Narrow" w:cs="Arial Narrow"/>
      <w:b/>
      <w:bCs/>
      <w:spacing w:val="0"/>
      <w:sz w:val="18"/>
      <w:szCs w:val="18"/>
      <w:shd w:val="clear" w:color="auto" w:fill="FFFFFF"/>
    </w:rPr>
  </w:style>
  <w:style w:type="character" w:customStyle="1" w:styleId="aff4">
    <w:name w:val="Оглавление_"/>
    <w:basedOn w:val="a0"/>
    <w:link w:val="aff5"/>
    <w:uiPriority w:val="99"/>
    <w:rsid w:val="002808C2"/>
    <w:rPr>
      <w:rFonts w:ascii="Arial Narrow" w:hAnsi="Arial Narrow" w:cs="Arial Narrow"/>
      <w:sz w:val="18"/>
      <w:szCs w:val="18"/>
      <w:shd w:val="clear" w:color="auto" w:fill="FFFFFF"/>
    </w:rPr>
  </w:style>
  <w:style w:type="paragraph" w:customStyle="1" w:styleId="aff5">
    <w:name w:val="Оглавление"/>
    <w:basedOn w:val="a"/>
    <w:link w:val="aff4"/>
    <w:uiPriority w:val="99"/>
    <w:rsid w:val="002808C2"/>
    <w:pPr>
      <w:shd w:val="clear" w:color="auto" w:fill="FFFFFF"/>
      <w:spacing w:line="221" w:lineRule="exact"/>
      <w:jc w:val="both"/>
    </w:pPr>
    <w:rPr>
      <w:rFonts w:ascii="Arial Narrow" w:hAnsi="Arial Narrow" w:cs="Arial Narrow"/>
      <w:sz w:val="18"/>
      <w:szCs w:val="18"/>
    </w:rPr>
  </w:style>
  <w:style w:type="character" w:customStyle="1" w:styleId="1f1">
    <w:name w:val="Основной текст Знак1"/>
    <w:basedOn w:val="a0"/>
    <w:uiPriority w:val="99"/>
    <w:rsid w:val="002808C2"/>
    <w:rPr>
      <w:rFonts w:ascii="Arial Narrow" w:hAnsi="Arial Narrow" w:cs="Arial Narrow"/>
      <w:sz w:val="18"/>
      <w:szCs w:val="18"/>
      <w:shd w:val="clear" w:color="auto" w:fill="FFFFFF"/>
    </w:rPr>
  </w:style>
  <w:style w:type="character" w:customStyle="1" w:styleId="450">
    <w:name w:val="Основной текст + Полужирный45"/>
    <w:basedOn w:val="1f1"/>
    <w:uiPriority w:val="99"/>
    <w:rsid w:val="002808C2"/>
    <w:rPr>
      <w:rFonts w:ascii="Arial Narrow" w:hAnsi="Arial Narrow" w:cs="Arial Narrow"/>
      <w:b/>
      <w:bCs/>
      <w:noProof/>
      <w:spacing w:val="0"/>
      <w:sz w:val="18"/>
      <w:szCs w:val="18"/>
      <w:shd w:val="clear" w:color="auto" w:fill="FFFFFF"/>
    </w:rPr>
  </w:style>
  <w:style w:type="character" w:customStyle="1" w:styleId="102">
    <w:name w:val="Заголовок №10_"/>
    <w:basedOn w:val="a0"/>
    <w:link w:val="103"/>
    <w:uiPriority w:val="99"/>
    <w:rsid w:val="002808C2"/>
    <w:rPr>
      <w:rFonts w:ascii="Arial Narrow" w:hAnsi="Arial Narrow" w:cs="Arial Narrow"/>
      <w:b/>
      <w:bCs/>
      <w:spacing w:val="-10"/>
      <w:sz w:val="19"/>
      <w:szCs w:val="19"/>
      <w:shd w:val="clear" w:color="auto" w:fill="FFFFFF"/>
    </w:rPr>
  </w:style>
  <w:style w:type="paragraph" w:customStyle="1" w:styleId="103">
    <w:name w:val="Заголовок №10"/>
    <w:basedOn w:val="a"/>
    <w:link w:val="102"/>
    <w:uiPriority w:val="99"/>
    <w:rsid w:val="002808C2"/>
    <w:pPr>
      <w:shd w:val="clear" w:color="auto" w:fill="FFFFFF"/>
      <w:spacing w:before="180" w:line="221" w:lineRule="exact"/>
    </w:pPr>
    <w:rPr>
      <w:rFonts w:ascii="Arial Narrow" w:hAnsi="Arial Narrow" w:cs="Arial Narrow"/>
      <w:b/>
      <w:bCs/>
      <w:spacing w:val="-10"/>
      <w:sz w:val="19"/>
      <w:szCs w:val="19"/>
    </w:rPr>
  </w:style>
  <w:style w:type="paragraph" w:customStyle="1" w:styleId="1010">
    <w:name w:val="Основной текст (10)1"/>
    <w:basedOn w:val="a"/>
    <w:uiPriority w:val="99"/>
    <w:rsid w:val="002808C2"/>
    <w:pPr>
      <w:shd w:val="clear" w:color="auto" w:fill="FFFFFF"/>
      <w:spacing w:line="240" w:lineRule="atLeast"/>
      <w:ind w:hanging="260"/>
      <w:jc w:val="both"/>
    </w:pPr>
    <w:rPr>
      <w:rFonts w:ascii="Arial Narrow" w:eastAsia="Arial Unicode MS" w:hAnsi="Arial Narrow" w:cs="Arial Narrow"/>
      <w:i/>
      <w:iCs/>
      <w:sz w:val="18"/>
      <w:szCs w:val="18"/>
    </w:rPr>
  </w:style>
  <w:style w:type="character" w:customStyle="1" w:styleId="440">
    <w:name w:val="Основной текст + Полужирный44"/>
    <w:basedOn w:val="1f1"/>
    <w:uiPriority w:val="99"/>
    <w:rsid w:val="002808C2"/>
    <w:rPr>
      <w:rFonts w:ascii="Arial Narrow" w:hAnsi="Arial Narrow" w:cs="Arial Narrow"/>
      <w:b/>
      <w:bCs/>
      <w:spacing w:val="0"/>
      <w:sz w:val="18"/>
      <w:szCs w:val="18"/>
      <w:shd w:val="clear" w:color="auto" w:fill="FFFFFF"/>
    </w:rPr>
  </w:style>
  <w:style w:type="character" w:customStyle="1" w:styleId="104">
    <w:name w:val="Основной текст (10) + Полужирный"/>
    <w:basedOn w:val="a0"/>
    <w:uiPriority w:val="99"/>
    <w:rsid w:val="002808C2"/>
    <w:rPr>
      <w:rFonts w:ascii="Arial Narrow" w:eastAsia="Times New Roman" w:hAnsi="Arial Narrow" w:cs="Arial Narrow"/>
      <w:b/>
      <w:bCs/>
      <w:i/>
      <w:iCs/>
      <w:smallCaps w:val="0"/>
      <w:strike w:val="0"/>
      <w:spacing w:val="0"/>
      <w:sz w:val="18"/>
      <w:szCs w:val="18"/>
    </w:rPr>
  </w:style>
  <w:style w:type="character" w:customStyle="1" w:styleId="1019">
    <w:name w:val="Основной текст (10) + Полужирный19"/>
    <w:aliases w:val="Не курсив21"/>
    <w:basedOn w:val="a0"/>
    <w:uiPriority w:val="99"/>
    <w:rsid w:val="002808C2"/>
    <w:rPr>
      <w:rFonts w:ascii="Arial Narrow" w:eastAsia="Times New Roman" w:hAnsi="Arial Narrow" w:cs="Arial Narrow"/>
      <w:b/>
      <w:bCs/>
      <w:i w:val="0"/>
      <w:iCs w:val="0"/>
      <w:smallCaps w:val="0"/>
      <w:strike w:val="0"/>
      <w:spacing w:val="0"/>
      <w:sz w:val="18"/>
      <w:szCs w:val="18"/>
    </w:rPr>
  </w:style>
  <w:style w:type="character" w:customStyle="1" w:styleId="105">
    <w:name w:val="Основной текст (10) + Не курсив"/>
    <w:basedOn w:val="a0"/>
    <w:uiPriority w:val="99"/>
    <w:rsid w:val="002808C2"/>
    <w:rPr>
      <w:rFonts w:ascii="Arial Narrow" w:eastAsia="Times New Roman" w:hAnsi="Arial Narrow" w:cs="Arial Narrow"/>
      <w:b w:val="0"/>
      <w:bCs w:val="0"/>
      <w:i w:val="0"/>
      <w:iCs w:val="0"/>
      <w:smallCaps w:val="0"/>
      <w:strike w:val="0"/>
      <w:spacing w:val="0"/>
      <w:sz w:val="18"/>
      <w:szCs w:val="18"/>
    </w:rPr>
  </w:style>
  <w:style w:type="character" w:customStyle="1" w:styleId="250">
    <w:name w:val="Основной текст + Курсив25"/>
    <w:basedOn w:val="1f1"/>
    <w:uiPriority w:val="99"/>
    <w:rsid w:val="002808C2"/>
    <w:rPr>
      <w:rFonts w:ascii="Arial Narrow" w:hAnsi="Arial Narrow" w:cs="Arial Narrow"/>
      <w:i/>
      <w:iCs/>
      <w:spacing w:val="0"/>
      <w:sz w:val="18"/>
      <w:szCs w:val="18"/>
      <w:shd w:val="clear" w:color="auto" w:fill="FFFFFF"/>
    </w:rPr>
  </w:style>
  <w:style w:type="character" w:customStyle="1" w:styleId="380">
    <w:name w:val="Основной текст + Полужирный38"/>
    <w:basedOn w:val="1f1"/>
    <w:uiPriority w:val="99"/>
    <w:rsid w:val="002808C2"/>
    <w:rPr>
      <w:rFonts w:ascii="Arial Narrow" w:hAnsi="Arial Narrow" w:cs="Arial Narrow"/>
      <w:b/>
      <w:bCs/>
      <w:spacing w:val="0"/>
      <w:sz w:val="18"/>
      <w:szCs w:val="18"/>
      <w:shd w:val="clear" w:color="auto" w:fill="FFFFFF"/>
    </w:rPr>
  </w:style>
  <w:style w:type="character" w:customStyle="1" w:styleId="243">
    <w:name w:val="Основной текст + Курсив24"/>
    <w:basedOn w:val="1f1"/>
    <w:uiPriority w:val="99"/>
    <w:rsid w:val="002808C2"/>
    <w:rPr>
      <w:rFonts w:ascii="Arial Narrow" w:hAnsi="Arial Narrow" w:cs="Arial Narrow"/>
      <w:i/>
      <w:iCs/>
      <w:spacing w:val="0"/>
      <w:sz w:val="18"/>
      <w:szCs w:val="18"/>
      <w:shd w:val="clear" w:color="auto" w:fill="FFFFFF"/>
    </w:rPr>
  </w:style>
  <w:style w:type="character" w:customStyle="1" w:styleId="1022">
    <w:name w:val="Основной текст (10) + Не курсив22"/>
    <w:basedOn w:val="a0"/>
    <w:uiPriority w:val="99"/>
    <w:rsid w:val="002808C2"/>
    <w:rPr>
      <w:rFonts w:ascii="Arial Narrow" w:eastAsia="Times New Roman" w:hAnsi="Arial Narrow" w:cs="Arial Narrow"/>
      <w:b w:val="0"/>
      <w:bCs w:val="0"/>
      <w:i w:val="0"/>
      <w:iCs w:val="0"/>
      <w:smallCaps w:val="0"/>
      <w:strike w:val="0"/>
      <w:spacing w:val="0"/>
      <w:sz w:val="18"/>
      <w:szCs w:val="18"/>
    </w:rPr>
  </w:style>
  <w:style w:type="character" w:customStyle="1" w:styleId="1011">
    <w:name w:val="Основной текст (10) + Полужирный11"/>
    <w:basedOn w:val="a0"/>
    <w:uiPriority w:val="99"/>
    <w:rsid w:val="002808C2"/>
    <w:rPr>
      <w:rFonts w:ascii="Arial Narrow" w:eastAsia="Times New Roman" w:hAnsi="Arial Narrow" w:cs="Arial Narrow"/>
      <w:b/>
      <w:bCs/>
      <w:i/>
      <w:iCs/>
      <w:smallCaps w:val="0"/>
      <w:strike w:val="0"/>
      <w:spacing w:val="0"/>
      <w:sz w:val="18"/>
      <w:szCs w:val="18"/>
    </w:rPr>
  </w:style>
  <w:style w:type="character" w:customStyle="1" w:styleId="233">
    <w:name w:val="Основной текст + Курсив23"/>
    <w:basedOn w:val="1f1"/>
    <w:uiPriority w:val="99"/>
    <w:rsid w:val="002808C2"/>
    <w:rPr>
      <w:rFonts w:ascii="Arial Narrow" w:hAnsi="Arial Narrow" w:cs="Arial Narrow"/>
      <w:i/>
      <w:iCs/>
      <w:spacing w:val="0"/>
      <w:sz w:val="18"/>
      <w:szCs w:val="18"/>
      <w:shd w:val="clear" w:color="auto" w:fill="FFFFFF"/>
    </w:rPr>
  </w:style>
  <w:style w:type="character" w:customStyle="1" w:styleId="aff6">
    <w:name w:val="Оглавление + Полужирный"/>
    <w:basedOn w:val="aff4"/>
    <w:rsid w:val="002808C2"/>
    <w:rPr>
      <w:rFonts w:ascii="Arial Narrow" w:hAnsi="Arial Narrow" w:cs="Arial Narrow"/>
      <w:b/>
      <w:bCs/>
      <w:spacing w:val="0"/>
      <w:sz w:val="18"/>
      <w:szCs w:val="18"/>
      <w:shd w:val="clear" w:color="auto" w:fill="FFFFFF"/>
    </w:rPr>
  </w:style>
  <w:style w:type="character" w:customStyle="1" w:styleId="aff7">
    <w:name w:val="Оглавление + Курсив"/>
    <w:basedOn w:val="aff4"/>
    <w:uiPriority w:val="99"/>
    <w:rsid w:val="002808C2"/>
    <w:rPr>
      <w:rFonts w:ascii="Arial Narrow" w:hAnsi="Arial Narrow" w:cs="Arial Narrow"/>
      <w:i/>
      <w:iCs/>
      <w:spacing w:val="0"/>
      <w:sz w:val="18"/>
      <w:szCs w:val="18"/>
      <w:shd w:val="clear" w:color="auto" w:fill="FFFFFF"/>
    </w:rPr>
  </w:style>
  <w:style w:type="character" w:customStyle="1" w:styleId="301">
    <w:name w:val="Основной текст + Полужирный30"/>
    <w:basedOn w:val="1f1"/>
    <w:uiPriority w:val="99"/>
    <w:rsid w:val="002808C2"/>
    <w:rPr>
      <w:rFonts w:ascii="Arial Narrow" w:hAnsi="Arial Narrow" w:cs="Arial Narrow"/>
      <w:b/>
      <w:bCs/>
      <w:spacing w:val="0"/>
      <w:sz w:val="18"/>
      <w:szCs w:val="18"/>
      <w:shd w:val="clear" w:color="auto" w:fill="FFFFFF"/>
    </w:rPr>
  </w:style>
  <w:style w:type="character" w:customStyle="1" w:styleId="Arial5">
    <w:name w:val="Основной текст + Arial5"/>
    <w:aliases w:val="7 pt3,Полужирный38,Основной текст + SimHei1"/>
    <w:basedOn w:val="1f1"/>
    <w:uiPriority w:val="99"/>
    <w:rsid w:val="002808C2"/>
    <w:rPr>
      <w:rFonts w:ascii="Arial" w:hAnsi="Arial" w:cs="Arial"/>
      <w:b/>
      <w:bCs/>
      <w:spacing w:val="0"/>
      <w:sz w:val="14"/>
      <w:szCs w:val="14"/>
      <w:shd w:val="clear" w:color="auto" w:fill="FFFFFF"/>
    </w:rPr>
  </w:style>
  <w:style w:type="character" w:customStyle="1" w:styleId="106">
    <w:name w:val="Основной текст (10)_"/>
    <w:basedOn w:val="a0"/>
    <w:link w:val="107"/>
    <w:uiPriority w:val="99"/>
    <w:rsid w:val="002808C2"/>
    <w:rPr>
      <w:rFonts w:ascii="Times New Roman" w:eastAsia="Times New Roman" w:hAnsi="Times New Roman"/>
      <w:shd w:val="clear" w:color="auto" w:fill="FFFFFF"/>
    </w:rPr>
  </w:style>
  <w:style w:type="paragraph" w:customStyle="1" w:styleId="107">
    <w:name w:val="Основной текст (10)"/>
    <w:basedOn w:val="a"/>
    <w:link w:val="106"/>
    <w:uiPriority w:val="99"/>
    <w:rsid w:val="002808C2"/>
    <w:pPr>
      <w:shd w:val="clear" w:color="auto" w:fill="FFFFFF"/>
      <w:spacing w:line="0" w:lineRule="atLeast"/>
    </w:pPr>
    <w:rPr>
      <w:sz w:val="20"/>
      <w:szCs w:val="20"/>
    </w:rPr>
  </w:style>
  <w:style w:type="character" w:customStyle="1" w:styleId="1014">
    <w:name w:val="Основной текст (10) + Не курсив14"/>
    <w:basedOn w:val="106"/>
    <w:uiPriority w:val="99"/>
    <w:rsid w:val="002808C2"/>
    <w:rPr>
      <w:rFonts w:ascii="Arial Narrow" w:eastAsia="Times New Roman" w:hAnsi="Arial Narrow" w:cs="Arial Narrow"/>
      <w:spacing w:val="0"/>
      <w:sz w:val="18"/>
      <w:szCs w:val="18"/>
      <w:shd w:val="clear" w:color="auto" w:fill="FFFFFF"/>
    </w:rPr>
  </w:style>
  <w:style w:type="character" w:customStyle="1" w:styleId="251">
    <w:name w:val="Основной текст + Полужирный25"/>
    <w:basedOn w:val="1f1"/>
    <w:uiPriority w:val="99"/>
    <w:rsid w:val="002808C2"/>
    <w:rPr>
      <w:rFonts w:ascii="Arial Narrow" w:hAnsi="Arial Narrow" w:cs="Arial Narrow"/>
      <w:b/>
      <w:bCs/>
      <w:spacing w:val="0"/>
      <w:sz w:val="18"/>
      <w:szCs w:val="18"/>
      <w:shd w:val="clear" w:color="auto" w:fill="FFFFFF"/>
    </w:rPr>
  </w:style>
  <w:style w:type="character" w:customStyle="1" w:styleId="910">
    <w:name w:val="Основной текст + 910"/>
    <w:aliases w:val="5 pt36,Полужирный35,Интервал 0 pt23,Основной текст (4) + 11 pt"/>
    <w:basedOn w:val="1f1"/>
    <w:uiPriority w:val="99"/>
    <w:rsid w:val="002808C2"/>
    <w:rPr>
      <w:rFonts w:ascii="Arial Narrow" w:hAnsi="Arial Narrow" w:cs="Arial Narrow"/>
      <w:b/>
      <w:bCs/>
      <w:spacing w:val="-10"/>
      <w:sz w:val="19"/>
      <w:szCs w:val="19"/>
      <w:shd w:val="clear" w:color="auto" w:fill="FFFFFF"/>
    </w:rPr>
  </w:style>
  <w:style w:type="character" w:customStyle="1" w:styleId="10100">
    <w:name w:val="Основной текст (10) + Не курсив10"/>
    <w:basedOn w:val="106"/>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1020">
    <w:name w:val="Основной текст (10) + Полужирный2"/>
    <w:aliases w:val="Не курсив4,Основной текст (16) + Arial2,9 pt1,Основной текст (6) + Arial1,Основной текст (5) + Полужирный4,Подпись к таблице + 6 pt"/>
    <w:basedOn w:val="106"/>
    <w:uiPriority w:val="99"/>
    <w:rsid w:val="002808C2"/>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133">
    <w:name w:val="Заголовок №13_"/>
    <w:basedOn w:val="a0"/>
    <w:link w:val="1310"/>
    <w:uiPriority w:val="99"/>
    <w:rsid w:val="002808C2"/>
    <w:rPr>
      <w:rFonts w:ascii="Arial Narrow" w:hAnsi="Arial Narrow" w:cs="Arial Narrow"/>
      <w:b/>
      <w:bCs/>
      <w:sz w:val="18"/>
      <w:szCs w:val="18"/>
      <w:shd w:val="clear" w:color="auto" w:fill="FFFFFF"/>
    </w:rPr>
  </w:style>
  <w:style w:type="paragraph" w:customStyle="1" w:styleId="1310">
    <w:name w:val="Заголовок №131"/>
    <w:basedOn w:val="a"/>
    <w:link w:val="133"/>
    <w:uiPriority w:val="99"/>
    <w:rsid w:val="002808C2"/>
    <w:pPr>
      <w:shd w:val="clear" w:color="auto" w:fill="FFFFFF"/>
      <w:spacing w:line="221" w:lineRule="exact"/>
      <w:jc w:val="both"/>
    </w:pPr>
    <w:rPr>
      <w:rFonts w:ascii="Arial Narrow" w:hAnsi="Arial Narrow" w:cs="Arial Narrow"/>
      <w:b/>
      <w:bCs/>
      <w:sz w:val="18"/>
      <w:szCs w:val="18"/>
    </w:rPr>
  </w:style>
  <w:style w:type="character" w:customStyle="1" w:styleId="134">
    <w:name w:val="Основной текст + Полужирный13"/>
    <w:basedOn w:val="1f1"/>
    <w:uiPriority w:val="99"/>
    <w:rsid w:val="002808C2"/>
    <w:rPr>
      <w:rFonts w:ascii="Arial Narrow" w:hAnsi="Arial Narrow" w:cs="Arial Narrow"/>
      <w:b/>
      <w:bCs/>
      <w:spacing w:val="0"/>
      <w:sz w:val="18"/>
      <w:szCs w:val="18"/>
      <w:shd w:val="clear" w:color="auto" w:fill="FFFFFF"/>
    </w:rPr>
  </w:style>
  <w:style w:type="character" w:customStyle="1" w:styleId="93">
    <w:name w:val="Основной текст + Курсив9"/>
    <w:basedOn w:val="1f1"/>
    <w:uiPriority w:val="99"/>
    <w:rsid w:val="002808C2"/>
    <w:rPr>
      <w:rFonts w:ascii="Arial Narrow" w:hAnsi="Arial Narrow" w:cs="Arial Narrow"/>
      <w:i/>
      <w:iCs/>
      <w:spacing w:val="0"/>
      <w:sz w:val="18"/>
      <w:szCs w:val="18"/>
      <w:shd w:val="clear" w:color="auto" w:fill="FFFFFF"/>
    </w:rPr>
  </w:style>
  <w:style w:type="character" w:customStyle="1" w:styleId="122">
    <w:name w:val="Основной текст + Полужирный12"/>
    <w:aliases w:val="Курсив7"/>
    <w:basedOn w:val="1f1"/>
    <w:uiPriority w:val="99"/>
    <w:rsid w:val="002808C2"/>
    <w:rPr>
      <w:rFonts w:ascii="Arial Narrow" w:hAnsi="Arial Narrow" w:cs="Arial Narrow"/>
      <w:b/>
      <w:bCs/>
      <w:i/>
      <w:iCs/>
      <w:spacing w:val="0"/>
      <w:sz w:val="18"/>
      <w:szCs w:val="18"/>
      <w:shd w:val="clear" w:color="auto" w:fill="FFFFFF"/>
    </w:rPr>
  </w:style>
  <w:style w:type="character" w:customStyle="1" w:styleId="83">
    <w:name w:val="Основной текст + Курсив8"/>
    <w:basedOn w:val="1f1"/>
    <w:uiPriority w:val="99"/>
    <w:rsid w:val="002808C2"/>
    <w:rPr>
      <w:rFonts w:ascii="Arial Narrow" w:hAnsi="Arial Narrow" w:cs="Arial Narrow"/>
      <w:i/>
      <w:iCs/>
      <w:spacing w:val="0"/>
      <w:sz w:val="18"/>
      <w:szCs w:val="18"/>
      <w:shd w:val="clear" w:color="auto" w:fill="FFFFFF"/>
    </w:rPr>
  </w:style>
  <w:style w:type="character" w:customStyle="1" w:styleId="73">
    <w:name w:val="Подпись к картинке (7)_"/>
    <w:basedOn w:val="a0"/>
    <w:link w:val="74"/>
    <w:uiPriority w:val="99"/>
    <w:rsid w:val="002808C2"/>
    <w:rPr>
      <w:rFonts w:ascii="Arial Narrow" w:hAnsi="Arial Narrow" w:cs="Arial Narrow"/>
      <w:i/>
      <w:iCs/>
      <w:sz w:val="14"/>
      <w:szCs w:val="14"/>
      <w:shd w:val="clear" w:color="auto" w:fill="FFFFFF"/>
    </w:rPr>
  </w:style>
  <w:style w:type="paragraph" w:customStyle="1" w:styleId="74">
    <w:name w:val="Подпись к картинке (7)"/>
    <w:basedOn w:val="a"/>
    <w:link w:val="73"/>
    <w:uiPriority w:val="99"/>
    <w:rsid w:val="002808C2"/>
    <w:pPr>
      <w:shd w:val="clear" w:color="auto" w:fill="FFFFFF"/>
      <w:spacing w:line="163" w:lineRule="exact"/>
      <w:jc w:val="both"/>
    </w:pPr>
    <w:rPr>
      <w:rFonts w:ascii="Arial Narrow" w:hAnsi="Arial Narrow" w:cs="Arial Narrow"/>
      <w:i/>
      <w:iCs/>
      <w:sz w:val="14"/>
      <w:szCs w:val="14"/>
    </w:rPr>
  </w:style>
  <w:style w:type="character" w:customStyle="1" w:styleId="1070">
    <w:name w:val="Основной текст (10) + Не курсив7"/>
    <w:basedOn w:val="106"/>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1050">
    <w:name w:val="Основной текст (10) + Не курсив5"/>
    <w:basedOn w:val="106"/>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94">
    <w:name w:val="Основной текст + Полужирный9"/>
    <w:basedOn w:val="1f1"/>
    <w:uiPriority w:val="99"/>
    <w:rsid w:val="002808C2"/>
    <w:rPr>
      <w:rFonts w:ascii="Arial Narrow" w:hAnsi="Arial Narrow" w:cs="Arial Narrow"/>
      <w:b/>
      <w:bCs/>
      <w:spacing w:val="0"/>
      <w:sz w:val="18"/>
      <w:szCs w:val="18"/>
      <w:shd w:val="clear" w:color="auto" w:fill="FFFFFF"/>
    </w:rPr>
  </w:style>
  <w:style w:type="character" w:customStyle="1" w:styleId="5c">
    <w:name w:val="Основной текст + Курсив5"/>
    <w:basedOn w:val="1f1"/>
    <w:uiPriority w:val="99"/>
    <w:rsid w:val="002808C2"/>
    <w:rPr>
      <w:rFonts w:ascii="Arial Narrow" w:hAnsi="Arial Narrow" w:cs="Arial Narrow"/>
      <w:i/>
      <w:iCs/>
      <w:spacing w:val="0"/>
      <w:sz w:val="18"/>
      <w:szCs w:val="18"/>
      <w:shd w:val="clear" w:color="auto" w:fill="FFFFFF"/>
    </w:rPr>
  </w:style>
  <w:style w:type="character" w:customStyle="1" w:styleId="84">
    <w:name w:val="Основной текст (8)_"/>
    <w:basedOn w:val="a0"/>
    <w:link w:val="85"/>
    <w:rsid w:val="002808C2"/>
    <w:rPr>
      <w:rFonts w:ascii="Times New Roman" w:eastAsia="Times New Roman" w:hAnsi="Times New Roman"/>
      <w:sz w:val="14"/>
      <w:szCs w:val="14"/>
      <w:shd w:val="clear" w:color="auto" w:fill="FFFFFF"/>
    </w:rPr>
  </w:style>
  <w:style w:type="paragraph" w:customStyle="1" w:styleId="85">
    <w:name w:val="Основной текст (8)"/>
    <w:basedOn w:val="a"/>
    <w:link w:val="84"/>
    <w:rsid w:val="002808C2"/>
    <w:pPr>
      <w:shd w:val="clear" w:color="auto" w:fill="FFFFFF"/>
      <w:spacing w:after="120" w:line="185" w:lineRule="exact"/>
    </w:pPr>
    <w:rPr>
      <w:sz w:val="14"/>
      <w:szCs w:val="14"/>
    </w:rPr>
  </w:style>
  <w:style w:type="character" w:customStyle="1" w:styleId="141">
    <w:name w:val="Основной текст (14)_"/>
    <w:basedOn w:val="a0"/>
    <w:link w:val="142"/>
    <w:uiPriority w:val="99"/>
    <w:rsid w:val="002808C2"/>
    <w:rPr>
      <w:rFonts w:ascii="Arial Narrow" w:hAnsi="Arial Narrow" w:cs="Arial Narrow"/>
      <w:b/>
      <w:bCs/>
      <w:sz w:val="16"/>
      <w:szCs w:val="16"/>
      <w:shd w:val="clear" w:color="auto" w:fill="FFFFFF"/>
    </w:rPr>
  </w:style>
  <w:style w:type="paragraph" w:customStyle="1" w:styleId="142">
    <w:name w:val="Основной текст (14)"/>
    <w:basedOn w:val="a"/>
    <w:link w:val="141"/>
    <w:uiPriority w:val="99"/>
    <w:rsid w:val="002808C2"/>
    <w:pPr>
      <w:shd w:val="clear" w:color="auto" w:fill="FFFFFF"/>
      <w:spacing w:line="240" w:lineRule="atLeast"/>
    </w:pPr>
    <w:rPr>
      <w:rFonts w:ascii="Arial Narrow" w:hAnsi="Arial Narrow" w:cs="Arial Narrow"/>
      <w:b/>
      <w:bCs/>
      <w:sz w:val="16"/>
      <w:szCs w:val="16"/>
    </w:rPr>
  </w:style>
  <w:style w:type="character" w:customStyle="1" w:styleId="aff8">
    <w:name w:val="Подпись к таблице_"/>
    <w:basedOn w:val="a0"/>
    <w:link w:val="aff9"/>
    <w:rsid w:val="002808C2"/>
    <w:rPr>
      <w:rFonts w:ascii="Arial Narrow" w:hAnsi="Arial Narrow" w:cs="Arial Narrow"/>
      <w:b/>
      <w:bCs/>
      <w:sz w:val="16"/>
      <w:szCs w:val="16"/>
      <w:shd w:val="clear" w:color="auto" w:fill="FFFFFF"/>
    </w:rPr>
  </w:style>
  <w:style w:type="paragraph" w:customStyle="1" w:styleId="aff9">
    <w:name w:val="Подпись к таблице"/>
    <w:basedOn w:val="a"/>
    <w:link w:val="aff8"/>
    <w:rsid w:val="002808C2"/>
    <w:pPr>
      <w:shd w:val="clear" w:color="auto" w:fill="FFFFFF"/>
      <w:spacing w:line="240" w:lineRule="atLeast"/>
    </w:pPr>
    <w:rPr>
      <w:rFonts w:ascii="Arial Narrow" w:hAnsi="Arial Narrow" w:cs="Arial Narrow"/>
      <w:b/>
      <w:bCs/>
      <w:sz w:val="16"/>
      <w:szCs w:val="16"/>
    </w:rPr>
  </w:style>
  <w:style w:type="character" w:customStyle="1" w:styleId="1040">
    <w:name w:val="Основной текст (10) + Не курсив4"/>
    <w:basedOn w:val="106"/>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1012">
    <w:name w:val="Основной текст (10) + Полужирный1"/>
    <w:basedOn w:val="106"/>
    <w:uiPriority w:val="99"/>
    <w:rsid w:val="002808C2"/>
    <w:rPr>
      <w:rFonts w:ascii="Arial Narrow" w:eastAsia="Times New Roman" w:hAnsi="Arial Narrow" w:cs="Arial Narrow"/>
      <w:b/>
      <w:bCs/>
      <w:i/>
      <w:iCs/>
      <w:smallCaps w:val="0"/>
      <w:strike w:val="0"/>
      <w:spacing w:val="0"/>
      <w:sz w:val="18"/>
      <w:szCs w:val="18"/>
      <w:shd w:val="clear" w:color="auto" w:fill="FFFFFF"/>
    </w:rPr>
  </w:style>
  <w:style w:type="character" w:customStyle="1" w:styleId="670">
    <w:name w:val="Основной текст (67)_"/>
    <w:basedOn w:val="a0"/>
    <w:link w:val="671"/>
    <w:rsid w:val="002808C2"/>
    <w:rPr>
      <w:rFonts w:ascii="Arial" w:hAnsi="Arial" w:cs="Arial"/>
      <w:b/>
      <w:bCs/>
      <w:spacing w:val="-20"/>
      <w:sz w:val="17"/>
      <w:szCs w:val="17"/>
      <w:shd w:val="clear" w:color="auto" w:fill="FFFFFF"/>
    </w:rPr>
  </w:style>
  <w:style w:type="paragraph" w:customStyle="1" w:styleId="671">
    <w:name w:val="Основной текст (67)"/>
    <w:basedOn w:val="a"/>
    <w:link w:val="670"/>
    <w:rsid w:val="002808C2"/>
    <w:pPr>
      <w:shd w:val="clear" w:color="auto" w:fill="FFFFFF"/>
      <w:spacing w:line="240" w:lineRule="atLeast"/>
    </w:pPr>
    <w:rPr>
      <w:rFonts w:ascii="Arial" w:hAnsi="Arial" w:cs="Arial"/>
      <w:b/>
      <w:bCs/>
      <w:spacing w:val="-20"/>
      <w:sz w:val="17"/>
      <w:szCs w:val="17"/>
    </w:rPr>
  </w:style>
  <w:style w:type="character" w:customStyle="1" w:styleId="690">
    <w:name w:val="Основной текст (69)_"/>
    <w:basedOn w:val="a0"/>
    <w:link w:val="691"/>
    <w:uiPriority w:val="99"/>
    <w:rsid w:val="002808C2"/>
    <w:rPr>
      <w:rFonts w:ascii="Arial Narrow" w:hAnsi="Arial Narrow" w:cs="Arial Narrow"/>
      <w:sz w:val="45"/>
      <w:szCs w:val="45"/>
      <w:shd w:val="clear" w:color="auto" w:fill="FFFFFF"/>
    </w:rPr>
  </w:style>
  <w:style w:type="paragraph" w:customStyle="1" w:styleId="691">
    <w:name w:val="Основной текст (69)"/>
    <w:basedOn w:val="a"/>
    <w:link w:val="690"/>
    <w:uiPriority w:val="99"/>
    <w:rsid w:val="002808C2"/>
    <w:pPr>
      <w:shd w:val="clear" w:color="auto" w:fill="FFFFFF"/>
      <w:spacing w:line="240" w:lineRule="atLeast"/>
    </w:pPr>
    <w:rPr>
      <w:rFonts w:ascii="Arial Narrow" w:hAnsi="Arial Narrow" w:cs="Arial Narrow"/>
      <w:sz w:val="45"/>
      <w:szCs w:val="45"/>
    </w:rPr>
  </w:style>
  <w:style w:type="character" w:customStyle="1" w:styleId="680">
    <w:name w:val="Основной текст (68)_"/>
    <w:basedOn w:val="a0"/>
    <w:link w:val="681"/>
    <w:rsid w:val="002808C2"/>
    <w:rPr>
      <w:rFonts w:ascii="Courier New" w:hAnsi="Courier New" w:cs="Courier New"/>
      <w:noProof/>
      <w:sz w:val="11"/>
      <w:szCs w:val="11"/>
      <w:shd w:val="clear" w:color="auto" w:fill="FFFFFF"/>
    </w:rPr>
  </w:style>
  <w:style w:type="paragraph" w:customStyle="1" w:styleId="681">
    <w:name w:val="Основной текст (68)"/>
    <w:basedOn w:val="a"/>
    <w:link w:val="680"/>
    <w:rsid w:val="002808C2"/>
    <w:pPr>
      <w:shd w:val="clear" w:color="auto" w:fill="FFFFFF"/>
      <w:spacing w:line="240" w:lineRule="atLeast"/>
    </w:pPr>
    <w:rPr>
      <w:rFonts w:ascii="Courier New" w:hAnsi="Courier New" w:cs="Courier New"/>
      <w:noProof/>
      <w:sz w:val="11"/>
      <w:szCs w:val="11"/>
    </w:rPr>
  </w:style>
  <w:style w:type="character" w:customStyle="1" w:styleId="3f2">
    <w:name w:val="Основной текст + Курсив3"/>
    <w:basedOn w:val="1f1"/>
    <w:uiPriority w:val="99"/>
    <w:rsid w:val="002808C2"/>
    <w:rPr>
      <w:rFonts w:ascii="Arial Narrow" w:hAnsi="Arial Narrow" w:cs="Arial Narrow"/>
      <w:i/>
      <w:iCs/>
      <w:spacing w:val="0"/>
      <w:sz w:val="18"/>
      <w:szCs w:val="18"/>
      <w:shd w:val="clear" w:color="auto" w:fill="FFFFFF"/>
    </w:rPr>
  </w:style>
  <w:style w:type="character" w:customStyle="1" w:styleId="1030">
    <w:name w:val="Основной текст (10) + Не курсив3"/>
    <w:basedOn w:val="106"/>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9pt5">
    <w:name w:val="Подпись к таблице + 9 pt"/>
    <w:aliases w:val="Не полужирный3,Заголовок №6 + 9 pt"/>
    <w:basedOn w:val="aff8"/>
    <w:uiPriority w:val="99"/>
    <w:rsid w:val="002808C2"/>
    <w:rPr>
      <w:rFonts w:ascii="Arial Narrow" w:hAnsi="Arial Narrow" w:cs="Arial Narrow"/>
      <w:b w:val="0"/>
      <w:bCs w:val="0"/>
      <w:spacing w:val="0"/>
      <w:sz w:val="18"/>
      <w:szCs w:val="18"/>
      <w:shd w:val="clear" w:color="auto" w:fill="FFFFFF"/>
    </w:rPr>
  </w:style>
  <w:style w:type="character" w:customStyle="1" w:styleId="700">
    <w:name w:val="Основной текст (70)_"/>
    <w:basedOn w:val="a0"/>
    <w:link w:val="701"/>
    <w:rsid w:val="002808C2"/>
    <w:rPr>
      <w:rFonts w:ascii="Franklin Gothic Book" w:hAnsi="Franklin Gothic Book" w:cs="Franklin Gothic Book"/>
      <w:noProof/>
      <w:sz w:val="8"/>
      <w:szCs w:val="8"/>
      <w:shd w:val="clear" w:color="auto" w:fill="FFFFFF"/>
    </w:rPr>
  </w:style>
  <w:style w:type="paragraph" w:customStyle="1" w:styleId="701">
    <w:name w:val="Основной текст (70)"/>
    <w:basedOn w:val="a"/>
    <w:link w:val="700"/>
    <w:rsid w:val="002808C2"/>
    <w:pPr>
      <w:shd w:val="clear" w:color="auto" w:fill="FFFFFF"/>
      <w:spacing w:line="240" w:lineRule="atLeast"/>
      <w:jc w:val="center"/>
    </w:pPr>
    <w:rPr>
      <w:rFonts w:ascii="Franklin Gothic Book" w:hAnsi="Franklin Gothic Book" w:cs="Franklin Gothic Book"/>
      <w:noProof/>
      <w:sz w:val="8"/>
      <w:szCs w:val="8"/>
    </w:rPr>
  </w:style>
  <w:style w:type="character" w:customStyle="1" w:styleId="720">
    <w:name w:val="Основной текст (72)_"/>
    <w:basedOn w:val="a0"/>
    <w:link w:val="721"/>
    <w:rsid w:val="002808C2"/>
    <w:rPr>
      <w:rFonts w:ascii="Arial" w:hAnsi="Arial" w:cs="Arial"/>
      <w:noProof/>
      <w:sz w:val="8"/>
      <w:szCs w:val="8"/>
      <w:shd w:val="clear" w:color="auto" w:fill="FFFFFF"/>
    </w:rPr>
  </w:style>
  <w:style w:type="paragraph" w:customStyle="1" w:styleId="721">
    <w:name w:val="Основной текст (72)"/>
    <w:basedOn w:val="a"/>
    <w:link w:val="720"/>
    <w:rsid w:val="002808C2"/>
    <w:pPr>
      <w:shd w:val="clear" w:color="auto" w:fill="FFFFFF"/>
      <w:spacing w:line="240" w:lineRule="atLeast"/>
    </w:pPr>
    <w:rPr>
      <w:rFonts w:ascii="Arial" w:hAnsi="Arial" w:cs="Arial"/>
      <w:noProof/>
      <w:sz w:val="8"/>
      <w:szCs w:val="8"/>
    </w:rPr>
  </w:style>
  <w:style w:type="character" w:customStyle="1" w:styleId="89pt3">
    <w:name w:val="Основной текст (8) + 9 pt3"/>
    <w:basedOn w:val="84"/>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710">
    <w:name w:val="Основной текст (71)_"/>
    <w:basedOn w:val="a0"/>
    <w:link w:val="711"/>
    <w:rsid w:val="002808C2"/>
    <w:rPr>
      <w:rFonts w:ascii="Arial Narrow" w:hAnsi="Arial Narrow" w:cs="Arial Narrow"/>
      <w:i/>
      <w:iCs/>
      <w:spacing w:val="-30"/>
      <w:sz w:val="42"/>
      <w:szCs w:val="42"/>
      <w:shd w:val="clear" w:color="auto" w:fill="FFFFFF"/>
    </w:rPr>
  </w:style>
  <w:style w:type="paragraph" w:customStyle="1" w:styleId="711">
    <w:name w:val="Основной текст (71)"/>
    <w:basedOn w:val="a"/>
    <w:link w:val="710"/>
    <w:rsid w:val="002808C2"/>
    <w:pPr>
      <w:shd w:val="clear" w:color="auto" w:fill="FFFFFF"/>
      <w:spacing w:line="240" w:lineRule="atLeast"/>
      <w:jc w:val="center"/>
    </w:pPr>
    <w:rPr>
      <w:rFonts w:ascii="Arial Narrow" w:hAnsi="Arial Narrow" w:cs="Arial Narrow"/>
      <w:i/>
      <w:iCs/>
      <w:spacing w:val="-30"/>
      <w:sz w:val="42"/>
      <w:szCs w:val="42"/>
    </w:rPr>
  </w:style>
  <w:style w:type="character" w:customStyle="1" w:styleId="86">
    <w:name w:val="Подпись к таблице (8)_"/>
    <w:basedOn w:val="a0"/>
    <w:link w:val="87"/>
    <w:rsid w:val="002808C2"/>
    <w:rPr>
      <w:rFonts w:ascii="Arial Narrow" w:hAnsi="Arial Narrow" w:cs="Arial Narrow"/>
      <w:sz w:val="9"/>
      <w:szCs w:val="9"/>
      <w:shd w:val="clear" w:color="auto" w:fill="FFFFFF"/>
    </w:rPr>
  </w:style>
  <w:style w:type="paragraph" w:customStyle="1" w:styleId="87">
    <w:name w:val="Подпись к таблице (8)"/>
    <w:basedOn w:val="a"/>
    <w:link w:val="86"/>
    <w:rsid w:val="002808C2"/>
    <w:pPr>
      <w:shd w:val="clear" w:color="auto" w:fill="FFFFFF"/>
      <w:spacing w:line="240" w:lineRule="atLeast"/>
    </w:pPr>
    <w:rPr>
      <w:rFonts w:ascii="Arial Narrow" w:hAnsi="Arial Narrow" w:cs="Arial Narrow"/>
      <w:sz w:val="9"/>
      <w:szCs w:val="9"/>
    </w:rPr>
  </w:style>
  <w:style w:type="character" w:customStyle="1" w:styleId="0pt0">
    <w:name w:val="Основной текст + Полужирный;Интервал 0 pt"/>
    <w:basedOn w:val="af0"/>
    <w:rsid w:val="002808C2"/>
    <w:rPr>
      <w:rFonts w:ascii="Times New Roman" w:eastAsia="Times New Roman" w:hAnsi="Times New Roman"/>
      <w:b/>
      <w:bCs/>
      <w:i w:val="0"/>
      <w:iCs w:val="0"/>
      <w:smallCaps w:val="0"/>
      <w:strike w:val="0"/>
      <w:spacing w:val="-10"/>
      <w:sz w:val="23"/>
      <w:szCs w:val="23"/>
      <w:shd w:val="clear" w:color="auto" w:fill="FFFFFF"/>
    </w:rPr>
  </w:style>
  <w:style w:type="character" w:customStyle="1" w:styleId="95pt-1pt">
    <w:name w:val="Основной текст + 9;5 pt;Полужирный;Интервал -1 pt"/>
    <w:basedOn w:val="af0"/>
    <w:rsid w:val="002808C2"/>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BookAntiqua10pt0pt">
    <w:name w:val="Основной текст + Book Antiqua;10 pt;Полужирный;Интервал 0 pt"/>
    <w:basedOn w:val="af0"/>
    <w:rsid w:val="002808C2"/>
    <w:rPr>
      <w:rFonts w:ascii="Book Antiqua" w:eastAsia="Book Antiqua" w:hAnsi="Book Antiqua" w:cs="Book Antiqua"/>
      <w:b/>
      <w:bCs/>
      <w:i w:val="0"/>
      <w:iCs w:val="0"/>
      <w:smallCaps w:val="0"/>
      <w:strike w:val="0"/>
      <w:spacing w:val="-10"/>
      <w:sz w:val="20"/>
      <w:szCs w:val="20"/>
      <w:shd w:val="clear" w:color="auto" w:fill="FFFFFF"/>
    </w:rPr>
  </w:style>
  <w:style w:type="character" w:customStyle="1" w:styleId="4f0">
    <w:name w:val="Основной текст (4) + Не курсив"/>
    <w:basedOn w:val="4b"/>
    <w:rsid w:val="002808C2"/>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4f1">
    <w:name w:val="Основной текст (4) + Полужирный;Не курсив"/>
    <w:basedOn w:val="4b"/>
    <w:rsid w:val="002808C2"/>
    <w:rPr>
      <w:rFonts w:ascii="Arial Narrow" w:eastAsia="Arial Narrow" w:hAnsi="Arial Narrow" w:cs="Arial Narrow"/>
      <w:b/>
      <w:bCs/>
      <w:i/>
      <w:iCs/>
      <w:smallCaps w:val="0"/>
      <w:strike w:val="0"/>
      <w:spacing w:val="0"/>
      <w:sz w:val="18"/>
      <w:szCs w:val="18"/>
      <w:shd w:val="clear" w:color="auto" w:fill="FFFFFF"/>
    </w:rPr>
  </w:style>
  <w:style w:type="character" w:customStyle="1" w:styleId="8pt">
    <w:name w:val="Основной текст + 8 pt"/>
    <w:aliases w:val="Полужирный65"/>
    <w:basedOn w:val="1f1"/>
    <w:uiPriority w:val="99"/>
    <w:rsid w:val="002808C2"/>
    <w:rPr>
      <w:rFonts w:ascii="Arial Narrow" w:hAnsi="Arial Narrow" w:cs="Arial Narrow"/>
      <w:b/>
      <w:bCs/>
      <w:sz w:val="16"/>
      <w:szCs w:val="16"/>
      <w:shd w:val="clear" w:color="auto" w:fill="FFFFFF"/>
    </w:rPr>
  </w:style>
  <w:style w:type="character" w:customStyle="1" w:styleId="8pt-1pt">
    <w:name w:val="Основной текст + 8 pt;Интервал -1 pt"/>
    <w:basedOn w:val="af0"/>
    <w:rsid w:val="002808C2"/>
    <w:rPr>
      <w:rFonts w:ascii="Arial Narrow" w:eastAsia="Arial Narrow" w:hAnsi="Arial Narrow" w:cs="Arial Narrow"/>
      <w:b w:val="0"/>
      <w:bCs w:val="0"/>
      <w:i w:val="0"/>
      <w:iCs w:val="0"/>
      <w:smallCaps w:val="0"/>
      <w:strike w:val="0"/>
      <w:spacing w:val="-20"/>
      <w:sz w:val="16"/>
      <w:szCs w:val="16"/>
      <w:shd w:val="clear" w:color="auto" w:fill="FFFFFF"/>
    </w:rPr>
  </w:style>
  <w:style w:type="character" w:customStyle="1" w:styleId="11pt0">
    <w:name w:val="Основной текст + 11 pt;Полужирный"/>
    <w:basedOn w:val="af0"/>
    <w:rsid w:val="002808C2"/>
    <w:rPr>
      <w:rFonts w:ascii="Arial Narrow" w:eastAsia="Arial Narrow" w:hAnsi="Arial Narrow" w:cs="Arial Narrow"/>
      <w:b/>
      <w:bCs/>
      <w:i w:val="0"/>
      <w:iCs w:val="0"/>
      <w:smallCaps w:val="0"/>
      <w:strike w:val="0"/>
      <w:spacing w:val="0"/>
      <w:sz w:val="22"/>
      <w:szCs w:val="22"/>
      <w:shd w:val="clear" w:color="auto" w:fill="FFFFFF"/>
    </w:rPr>
  </w:style>
  <w:style w:type="character" w:customStyle="1" w:styleId="Tahoma-1pt">
    <w:name w:val="Основной текст + Tahoma;Интервал -1 pt"/>
    <w:basedOn w:val="af0"/>
    <w:rsid w:val="002808C2"/>
    <w:rPr>
      <w:rFonts w:ascii="Tahoma" w:eastAsia="Tahoma" w:hAnsi="Tahoma" w:cs="Tahoma"/>
      <w:b w:val="0"/>
      <w:bCs w:val="0"/>
      <w:i w:val="0"/>
      <w:iCs w:val="0"/>
      <w:smallCaps w:val="0"/>
      <w:strike w:val="0"/>
      <w:spacing w:val="-20"/>
      <w:sz w:val="18"/>
      <w:szCs w:val="18"/>
      <w:shd w:val="clear" w:color="auto" w:fill="FFFFFF"/>
    </w:rPr>
  </w:style>
  <w:style w:type="character" w:customStyle="1" w:styleId="ArialNarrow5pt">
    <w:name w:val="Колонтитул + Arial Narrow;5 pt"/>
    <w:basedOn w:val="afe"/>
    <w:rsid w:val="002808C2"/>
    <w:rPr>
      <w:rFonts w:ascii="Arial Narrow" w:eastAsia="Arial Narrow" w:hAnsi="Arial Narrow" w:cs="Arial Narrow"/>
      <w:b w:val="0"/>
      <w:bCs w:val="0"/>
      <w:i w:val="0"/>
      <w:iCs w:val="0"/>
      <w:smallCaps w:val="0"/>
      <w:strike w:val="0"/>
      <w:spacing w:val="0"/>
      <w:sz w:val="10"/>
      <w:szCs w:val="10"/>
      <w:shd w:val="clear" w:color="auto" w:fill="FFFFFF"/>
    </w:rPr>
  </w:style>
  <w:style w:type="character" w:customStyle="1" w:styleId="ArialNarrow5pt0">
    <w:name w:val="Колонтитул + Arial Narrow;5 pt;Полужирный"/>
    <w:basedOn w:val="afe"/>
    <w:rsid w:val="002808C2"/>
    <w:rPr>
      <w:rFonts w:ascii="Arial Narrow" w:eastAsia="Arial Narrow" w:hAnsi="Arial Narrow" w:cs="Arial Narrow"/>
      <w:b/>
      <w:bCs/>
      <w:i w:val="0"/>
      <w:iCs w:val="0"/>
      <w:smallCaps w:val="0"/>
      <w:strike w:val="0"/>
      <w:spacing w:val="0"/>
      <w:sz w:val="10"/>
      <w:szCs w:val="10"/>
      <w:shd w:val="clear" w:color="auto" w:fill="FFFFFF"/>
    </w:rPr>
  </w:style>
  <w:style w:type="character" w:customStyle="1" w:styleId="ArialNarrow85pt">
    <w:name w:val="Колонтитул + Arial Narrow;8;5 pt;Полужирный"/>
    <w:basedOn w:val="afe"/>
    <w:rsid w:val="002808C2"/>
    <w:rPr>
      <w:rFonts w:ascii="Arial Narrow" w:eastAsia="Arial Narrow" w:hAnsi="Arial Narrow" w:cs="Arial Narrow"/>
      <w:b/>
      <w:bCs/>
      <w:i w:val="0"/>
      <w:iCs w:val="0"/>
      <w:smallCaps w:val="0"/>
      <w:strike w:val="0"/>
      <w:w w:val="100"/>
      <w:sz w:val="17"/>
      <w:szCs w:val="17"/>
      <w:shd w:val="clear" w:color="auto" w:fill="FFFFFF"/>
    </w:rPr>
  </w:style>
  <w:style w:type="character" w:customStyle="1" w:styleId="88">
    <w:name w:val="Заголовок №8_"/>
    <w:basedOn w:val="a0"/>
    <w:link w:val="89"/>
    <w:rsid w:val="002808C2"/>
    <w:rPr>
      <w:rFonts w:ascii="Arial Narrow" w:hAnsi="Arial Narrow" w:cs="Arial Narrow"/>
      <w:b/>
      <w:bCs/>
      <w:sz w:val="39"/>
      <w:szCs w:val="39"/>
      <w:shd w:val="clear" w:color="auto" w:fill="FFFFFF"/>
    </w:rPr>
  </w:style>
  <w:style w:type="paragraph" w:customStyle="1" w:styleId="89">
    <w:name w:val="Заголовок №8"/>
    <w:basedOn w:val="a"/>
    <w:link w:val="88"/>
    <w:rsid w:val="002808C2"/>
    <w:pPr>
      <w:shd w:val="clear" w:color="auto" w:fill="FFFFFF"/>
      <w:spacing w:before="120" w:line="240" w:lineRule="atLeast"/>
      <w:outlineLvl w:val="7"/>
    </w:pPr>
    <w:rPr>
      <w:rFonts w:ascii="Arial Narrow" w:hAnsi="Arial Narrow" w:cs="Arial Narrow"/>
      <w:b/>
      <w:bCs/>
      <w:sz w:val="39"/>
      <w:szCs w:val="39"/>
    </w:rPr>
  </w:style>
  <w:style w:type="character" w:customStyle="1" w:styleId="8pt-1pt0">
    <w:name w:val="Подпись к картинке + 8 pt;Интервал -1 pt"/>
    <w:basedOn w:val="aff1"/>
    <w:rsid w:val="002808C2"/>
    <w:rPr>
      <w:rFonts w:ascii="Tahoma" w:eastAsia="Tahoma" w:hAnsi="Tahoma" w:cs="Tahoma"/>
      <w:b w:val="0"/>
      <w:bCs w:val="0"/>
      <w:i w:val="0"/>
      <w:iCs w:val="0"/>
      <w:smallCaps w:val="0"/>
      <w:strike w:val="0"/>
      <w:spacing w:val="-20"/>
      <w:sz w:val="16"/>
      <w:szCs w:val="16"/>
      <w:shd w:val="clear" w:color="auto" w:fill="FFFFFF"/>
    </w:rPr>
  </w:style>
  <w:style w:type="character" w:customStyle="1" w:styleId="24pt">
    <w:name w:val="Основной текст + 24 pt;Полужирный"/>
    <w:basedOn w:val="af0"/>
    <w:rsid w:val="002808C2"/>
    <w:rPr>
      <w:rFonts w:ascii="Arial Narrow" w:eastAsia="Arial Narrow" w:hAnsi="Arial Narrow" w:cs="Arial Narrow"/>
      <w:b/>
      <w:bCs/>
      <w:i w:val="0"/>
      <w:iCs w:val="0"/>
      <w:smallCaps w:val="0"/>
      <w:strike w:val="0"/>
      <w:spacing w:val="0"/>
      <w:sz w:val="48"/>
      <w:szCs w:val="48"/>
      <w:shd w:val="clear" w:color="auto" w:fill="FFFFFF"/>
    </w:rPr>
  </w:style>
  <w:style w:type="character" w:customStyle="1" w:styleId="114">
    <w:name w:val="Основной текст (11) + Не полужирный;Не курсив"/>
    <w:basedOn w:val="111"/>
    <w:rsid w:val="002808C2"/>
    <w:rPr>
      <w:rFonts w:ascii="Arial" w:eastAsia="Arial Narrow" w:hAnsi="Arial"/>
      <w:b/>
      <w:bCs/>
      <w:i/>
      <w:iCs/>
      <w:smallCaps w:val="0"/>
      <w:strike w:val="0"/>
      <w:spacing w:val="0"/>
      <w:sz w:val="18"/>
      <w:szCs w:val="18"/>
      <w:shd w:val="clear" w:color="auto" w:fill="FFFFFF"/>
    </w:rPr>
  </w:style>
  <w:style w:type="character" w:customStyle="1" w:styleId="110pt">
    <w:name w:val="Основной текст (11) + Интервал 0 pt"/>
    <w:basedOn w:val="111"/>
    <w:rsid w:val="002808C2"/>
    <w:rPr>
      <w:rFonts w:ascii="Arial" w:eastAsia="Arial Narrow" w:hAnsi="Arial"/>
      <w:b w:val="0"/>
      <w:bCs w:val="0"/>
      <w:i w:val="0"/>
      <w:iCs w:val="0"/>
      <w:smallCaps w:val="0"/>
      <w:strike w:val="0"/>
      <w:spacing w:val="-10"/>
      <w:sz w:val="18"/>
      <w:szCs w:val="18"/>
      <w:shd w:val="clear" w:color="auto" w:fill="FFFFFF"/>
    </w:rPr>
  </w:style>
  <w:style w:type="character" w:customStyle="1" w:styleId="40pt">
    <w:name w:val="Основной текст (4) + Полужирный;Не курсив;Интервал 0 pt"/>
    <w:basedOn w:val="4b"/>
    <w:rsid w:val="002808C2"/>
    <w:rPr>
      <w:rFonts w:ascii="Arial Narrow" w:eastAsia="Arial Narrow" w:hAnsi="Arial Narrow" w:cs="Arial Narrow"/>
      <w:b/>
      <w:bCs/>
      <w:i/>
      <w:iCs/>
      <w:smallCaps w:val="0"/>
      <w:strike w:val="0"/>
      <w:spacing w:val="-10"/>
      <w:sz w:val="18"/>
      <w:szCs w:val="18"/>
      <w:shd w:val="clear" w:color="auto" w:fill="FFFFFF"/>
    </w:rPr>
  </w:style>
  <w:style w:type="character" w:customStyle="1" w:styleId="Tahoma8pt-1pt">
    <w:name w:val="Основной текст + Tahoma;8 pt;Полужирный;Интервал -1 pt"/>
    <w:basedOn w:val="af0"/>
    <w:rsid w:val="002808C2"/>
    <w:rPr>
      <w:rFonts w:ascii="Tahoma" w:eastAsia="Tahoma" w:hAnsi="Tahoma" w:cs="Tahoma"/>
      <w:b/>
      <w:bCs/>
      <w:i w:val="0"/>
      <w:iCs w:val="0"/>
      <w:smallCaps w:val="0"/>
      <w:strike w:val="0"/>
      <w:spacing w:val="-20"/>
      <w:sz w:val="16"/>
      <w:szCs w:val="16"/>
      <w:shd w:val="clear" w:color="auto" w:fill="FFFFFF"/>
    </w:rPr>
  </w:style>
  <w:style w:type="character" w:customStyle="1" w:styleId="affa">
    <w:name w:val="Основной текст + Полужирный;Курсив"/>
    <w:basedOn w:val="af0"/>
    <w:rsid w:val="002808C2"/>
    <w:rPr>
      <w:rFonts w:ascii="Arial Narrow" w:eastAsia="Arial Narrow" w:hAnsi="Arial Narrow" w:cs="Arial Narrow"/>
      <w:b/>
      <w:bCs/>
      <w:i/>
      <w:iCs/>
      <w:smallCaps w:val="0"/>
      <w:strike w:val="0"/>
      <w:spacing w:val="0"/>
      <w:sz w:val="18"/>
      <w:szCs w:val="18"/>
      <w:shd w:val="clear" w:color="auto" w:fill="FFFFFF"/>
    </w:rPr>
  </w:style>
  <w:style w:type="character" w:customStyle="1" w:styleId="7pt">
    <w:name w:val="Основной текст + 7 pt"/>
    <w:basedOn w:val="1f1"/>
    <w:uiPriority w:val="99"/>
    <w:rsid w:val="002808C2"/>
    <w:rPr>
      <w:rFonts w:ascii="Arial Narrow" w:hAnsi="Arial Narrow" w:cs="Arial Narrow"/>
      <w:spacing w:val="0"/>
      <w:sz w:val="14"/>
      <w:szCs w:val="14"/>
      <w:shd w:val="clear" w:color="auto" w:fill="FFFFFF"/>
    </w:rPr>
  </w:style>
  <w:style w:type="character" w:customStyle="1" w:styleId="211">
    <w:name w:val="Основной текст (21)_"/>
    <w:basedOn w:val="a0"/>
    <w:link w:val="212"/>
    <w:uiPriority w:val="99"/>
    <w:rsid w:val="002808C2"/>
    <w:rPr>
      <w:rFonts w:ascii="Arial Narrow" w:hAnsi="Arial Narrow" w:cs="Arial Narrow"/>
      <w:spacing w:val="-20"/>
      <w:sz w:val="23"/>
      <w:szCs w:val="23"/>
      <w:shd w:val="clear" w:color="auto" w:fill="FFFFFF"/>
    </w:rPr>
  </w:style>
  <w:style w:type="paragraph" w:customStyle="1" w:styleId="212">
    <w:name w:val="Основной текст (21)"/>
    <w:basedOn w:val="a"/>
    <w:link w:val="211"/>
    <w:uiPriority w:val="99"/>
    <w:rsid w:val="002808C2"/>
    <w:pPr>
      <w:shd w:val="clear" w:color="auto" w:fill="FFFFFF"/>
      <w:spacing w:after="360" w:line="240" w:lineRule="atLeast"/>
      <w:jc w:val="center"/>
    </w:pPr>
    <w:rPr>
      <w:rFonts w:ascii="Arial Narrow" w:hAnsi="Arial Narrow" w:cs="Arial Narrow"/>
      <w:spacing w:val="-20"/>
      <w:sz w:val="23"/>
      <w:szCs w:val="23"/>
    </w:rPr>
  </w:style>
  <w:style w:type="character" w:customStyle="1" w:styleId="260">
    <w:name w:val="Основной текст (26)_"/>
    <w:basedOn w:val="a0"/>
    <w:link w:val="261"/>
    <w:uiPriority w:val="99"/>
    <w:rsid w:val="002808C2"/>
    <w:rPr>
      <w:rFonts w:ascii="Arial Narrow" w:hAnsi="Arial Narrow" w:cs="Arial Narrow"/>
      <w:sz w:val="29"/>
      <w:szCs w:val="29"/>
      <w:shd w:val="clear" w:color="auto" w:fill="FFFFFF"/>
    </w:rPr>
  </w:style>
  <w:style w:type="paragraph" w:customStyle="1" w:styleId="261">
    <w:name w:val="Основной текст (26)"/>
    <w:basedOn w:val="a"/>
    <w:link w:val="260"/>
    <w:uiPriority w:val="99"/>
    <w:rsid w:val="002808C2"/>
    <w:pPr>
      <w:shd w:val="clear" w:color="auto" w:fill="FFFFFF"/>
      <w:spacing w:line="240" w:lineRule="atLeast"/>
    </w:pPr>
    <w:rPr>
      <w:rFonts w:ascii="Arial Narrow" w:hAnsi="Arial Narrow" w:cs="Arial Narrow"/>
      <w:sz w:val="29"/>
      <w:szCs w:val="29"/>
    </w:rPr>
  </w:style>
  <w:style w:type="character" w:customStyle="1" w:styleId="68-1pt">
    <w:name w:val="Основной текст (68) + Интервал -1 pt"/>
    <w:basedOn w:val="680"/>
    <w:rsid w:val="002808C2"/>
    <w:rPr>
      <w:rFonts w:ascii="Tahoma" w:eastAsia="Tahoma" w:hAnsi="Tahoma" w:cs="Tahoma"/>
      <w:b w:val="0"/>
      <w:bCs w:val="0"/>
      <w:i w:val="0"/>
      <w:iCs w:val="0"/>
      <w:smallCaps w:val="0"/>
      <w:strike w:val="0"/>
      <w:noProof/>
      <w:spacing w:val="-20"/>
      <w:sz w:val="22"/>
      <w:szCs w:val="22"/>
      <w:shd w:val="clear" w:color="auto" w:fill="FFFFFF"/>
    </w:rPr>
  </w:style>
  <w:style w:type="character" w:customStyle="1" w:styleId="95pt">
    <w:name w:val="Основной текст + 9;5 pt"/>
    <w:basedOn w:val="af0"/>
    <w:rsid w:val="002808C2"/>
    <w:rPr>
      <w:rFonts w:ascii="Arial" w:eastAsia="Arial" w:hAnsi="Arial" w:cs="Arial"/>
      <w:b w:val="0"/>
      <w:bCs w:val="0"/>
      <w:i w:val="0"/>
      <w:iCs w:val="0"/>
      <w:smallCaps w:val="0"/>
      <w:strike w:val="0"/>
      <w:spacing w:val="0"/>
      <w:sz w:val="19"/>
      <w:szCs w:val="19"/>
      <w:shd w:val="clear" w:color="auto" w:fill="FFFFFF"/>
    </w:rPr>
  </w:style>
  <w:style w:type="character" w:customStyle="1" w:styleId="ArialUnicodeMS">
    <w:name w:val="Основной текст + Arial Unicode MS;Полужирный;Курсив"/>
    <w:basedOn w:val="af0"/>
    <w:rsid w:val="002808C2"/>
    <w:rPr>
      <w:rFonts w:ascii="Arial Unicode MS" w:eastAsia="Arial Unicode MS" w:hAnsi="Arial Unicode MS" w:cs="Arial Unicode MS"/>
      <w:b/>
      <w:bCs/>
      <w:i/>
      <w:iCs/>
      <w:smallCaps w:val="0"/>
      <w:strike w:val="0"/>
      <w:spacing w:val="0"/>
      <w:sz w:val="18"/>
      <w:szCs w:val="18"/>
      <w:u w:val="single"/>
      <w:shd w:val="clear" w:color="auto" w:fill="FFFFFF"/>
    </w:rPr>
  </w:style>
  <w:style w:type="character" w:customStyle="1" w:styleId="9pt6">
    <w:name w:val="Основной текст + 9 pt;Курсив"/>
    <w:basedOn w:val="af0"/>
    <w:rsid w:val="002808C2"/>
    <w:rPr>
      <w:rFonts w:ascii="Arial" w:eastAsia="Arial" w:hAnsi="Arial" w:cs="Arial"/>
      <w:b w:val="0"/>
      <w:bCs w:val="0"/>
      <w:i/>
      <w:iCs/>
      <w:smallCaps w:val="0"/>
      <w:strike w:val="0"/>
      <w:spacing w:val="0"/>
      <w:sz w:val="18"/>
      <w:szCs w:val="18"/>
      <w:shd w:val="clear" w:color="auto" w:fill="FFFFFF"/>
    </w:rPr>
  </w:style>
  <w:style w:type="character" w:customStyle="1" w:styleId="105pt0pt">
    <w:name w:val="Основной текст + 10;5 pt;Интервал 0 pt"/>
    <w:basedOn w:val="af0"/>
    <w:rsid w:val="002808C2"/>
    <w:rPr>
      <w:rFonts w:ascii="Arial" w:eastAsia="Arial" w:hAnsi="Arial" w:cs="Arial"/>
      <w:b w:val="0"/>
      <w:bCs w:val="0"/>
      <w:i w:val="0"/>
      <w:iCs w:val="0"/>
      <w:smallCaps w:val="0"/>
      <w:strike w:val="0"/>
      <w:spacing w:val="-10"/>
      <w:sz w:val="21"/>
      <w:szCs w:val="21"/>
      <w:shd w:val="clear" w:color="auto" w:fill="FFFFFF"/>
    </w:rPr>
  </w:style>
  <w:style w:type="character" w:customStyle="1" w:styleId="-1pt">
    <w:name w:val="Основной текст + Полужирный;Интервал -1 pt"/>
    <w:basedOn w:val="af0"/>
    <w:rsid w:val="002808C2"/>
    <w:rPr>
      <w:rFonts w:ascii="Arial" w:eastAsia="Arial" w:hAnsi="Arial" w:cs="Arial"/>
      <w:b/>
      <w:bCs/>
      <w:i w:val="0"/>
      <w:iCs w:val="0"/>
      <w:smallCaps w:val="0"/>
      <w:strike w:val="0"/>
      <w:spacing w:val="-20"/>
      <w:sz w:val="18"/>
      <w:szCs w:val="18"/>
      <w:shd w:val="clear" w:color="auto" w:fill="FFFFFF"/>
    </w:rPr>
  </w:style>
  <w:style w:type="character" w:customStyle="1" w:styleId="60pt">
    <w:name w:val="Заголовок №6 + Не полужирный;Интервал 0 pt"/>
    <w:basedOn w:val="a0"/>
    <w:rsid w:val="002808C2"/>
    <w:rPr>
      <w:rFonts w:ascii="Arial" w:eastAsia="Arial" w:hAnsi="Arial" w:cs="Arial"/>
      <w:b/>
      <w:bCs/>
      <w:i w:val="0"/>
      <w:iCs w:val="0"/>
      <w:smallCaps w:val="0"/>
      <w:strike w:val="0"/>
      <w:spacing w:val="0"/>
      <w:sz w:val="19"/>
      <w:szCs w:val="19"/>
      <w:shd w:val="clear" w:color="auto" w:fill="FFFFFF"/>
    </w:rPr>
  </w:style>
  <w:style w:type="character" w:customStyle="1" w:styleId="8pt0pt">
    <w:name w:val="Основной текст + 8 pt;Полужирный;Интервал 0 pt"/>
    <w:basedOn w:val="af0"/>
    <w:rsid w:val="002808C2"/>
    <w:rPr>
      <w:rFonts w:ascii="Arial" w:eastAsia="Arial" w:hAnsi="Arial" w:cs="Arial"/>
      <w:b/>
      <w:bCs/>
      <w:i w:val="0"/>
      <w:iCs w:val="0"/>
      <w:smallCaps w:val="0"/>
      <w:strike w:val="0"/>
      <w:spacing w:val="-10"/>
      <w:sz w:val="16"/>
      <w:szCs w:val="16"/>
      <w:shd w:val="clear" w:color="auto" w:fill="FFFFFF"/>
    </w:rPr>
  </w:style>
  <w:style w:type="character" w:customStyle="1" w:styleId="4f2">
    <w:name w:val="Основной текст (4) + Не малые прописные"/>
    <w:basedOn w:val="a0"/>
    <w:rsid w:val="002808C2"/>
    <w:rPr>
      <w:rFonts w:ascii="Microsoft Sans Serif" w:eastAsia="Microsoft Sans Serif" w:hAnsi="Microsoft Sans Serif" w:cs="Microsoft Sans Serif" w:hint="default"/>
      <w:b w:val="0"/>
      <w:bCs w:val="0"/>
      <w:i w:val="0"/>
      <w:iCs w:val="0"/>
      <w:smallCaps/>
      <w:strike w:val="0"/>
      <w:dstrike w:val="0"/>
      <w:spacing w:val="0"/>
      <w:sz w:val="18"/>
      <w:szCs w:val="18"/>
      <w:u w:val="single"/>
      <w:effect w:val="none"/>
    </w:rPr>
  </w:style>
  <w:style w:type="character" w:customStyle="1" w:styleId="59pt">
    <w:name w:val="Основной текст (5) + 9 pt"/>
    <w:basedOn w:val="52"/>
    <w:uiPriority w:val="99"/>
    <w:rsid w:val="002808C2"/>
    <w:rPr>
      <w:rFonts w:ascii="Arial" w:eastAsia="Arial" w:hAnsi="Arial" w:cs="Arial"/>
      <w:b w:val="0"/>
      <w:bCs w:val="0"/>
      <w:i w:val="0"/>
      <w:iCs w:val="0"/>
      <w:smallCaps w:val="0"/>
      <w:strike w:val="0"/>
      <w:spacing w:val="0"/>
      <w:sz w:val="18"/>
      <w:szCs w:val="18"/>
      <w:shd w:val="clear" w:color="auto" w:fill="FFFFFF"/>
    </w:rPr>
  </w:style>
  <w:style w:type="character" w:customStyle="1" w:styleId="MSReferenceSansSerif85pt">
    <w:name w:val="Основной текст + MS Reference Sans Serif;8;5 pt;Курсив"/>
    <w:basedOn w:val="af0"/>
    <w:rsid w:val="002808C2"/>
    <w:rPr>
      <w:rFonts w:ascii="MS Reference Sans Serif" w:eastAsia="MS Reference Sans Serif" w:hAnsi="MS Reference Sans Serif" w:cs="MS Reference Sans Serif"/>
      <w:b w:val="0"/>
      <w:bCs w:val="0"/>
      <w:i/>
      <w:iCs/>
      <w:smallCaps w:val="0"/>
      <w:strike w:val="0"/>
      <w:spacing w:val="0"/>
      <w:sz w:val="17"/>
      <w:szCs w:val="17"/>
      <w:shd w:val="clear" w:color="auto" w:fill="FFFFFF"/>
    </w:rPr>
  </w:style>
  <w:style w:type="character" w:customStyle="1" w:styleId="MSReferenceSansSerif85pt0">
    <w:name w:val="Основной текст + MS Reference Sans Serif;8;5 pt;Полужирный;Курсив"/>
    <w:basedOn w:val="af0"/>
    <w:rsid w:val="002808C2"/>
    <w:rPr>
      <w:rFonts w:ascii="MS Reference Sans Serif" w:eastAsia="MS Reference Sans Serif" w:hAnsi="MS Reference Sans Serif" w:cs="MS Reference Sans Serif"/>
      <w:b/>
      <w:bCs/>
      <w:i/>
      <w:iCs/>
      <w:smallCaps w:val="0"/>
      <w:strike w:val="0"/>
      <w:spacing w:val="0"/>
      <w:sz w:val="17"/>
      <w:szCs w:val="17"/>
      <w:shd w:val="clear" w:color="auto" w:fill="FFFFFF"/>
    </w:rPr>
  </w:style>
  <w:style w:type="character" w:customStyle="1" w:styleId="95">
    <w:name w:val="Основной текст (9)_"/>
    <w:basedOn w:val="a0"/>
    <w:link w:val="96"/>
    <w:uiPriority w:val="99"/>
    <w:rsid w:val="002808C2"/>
    <w:rPr>
      <w:rFonts w:ascii="MS Reference Sans Serif" w:eastAsia="MS Reference Sans Serif" w:hAnsi="MS Reference Sans Serif" w:cs="MS Reference Sans Serif"/>
      <w:sz w:val="37"/>
      <w:szCs w:val="37"/>
      <w:shd w:val="clear" w:color="auto" w:fill="FFFFFF"/>
    </w:rPr>
  </w:style>
  <w:style w:type="paragraph" w:customStyle="1" w:styleId="96">
    <w:name w:val="Основной текст (9)"/>
    <w:basedOn w:val="a"/>
    <w:link w:val="95"/>
    <w:uiPriority w:val="99"/>
    <w:rsid w:val="002808C2"/>
    <w:pPr>
      <w:shd w:val="clear" w:color="auto" w:fill="FFFFFF"/>
      <w:spacing w:line="0" w:lineRule="atLeast"/>
    </w:pPr>
    <w:rPr>
      <w:rFonts w:ascii="MS Reference Sans Serif" w:eastAsia="MS Reference Sans Serif" w:hAnsi="MS Reference Sans Serif" w:cs="MS Reference Sans Serif"/>
      <w:sz w:val="37"/>
      <w:szCs w:val="37"/>
    </w:rPr>
  </w:style>
  <w:style w:type="character" w:customStyle="1" w:styleId="995pt">
    <w:name w:val="Основной текст (9) + 9;5 pt"/>
    <w:basedOn w:val="95"/>
    <w:rsid w:val="002808C2"/>
    <w:rPr>
      <w:rFonts w:ascii="Arial" w:eastAsia="Arial" w:hAnsi="Arial" w:cs="Arial"/>
      <w:spacing w:val="0"/>
      <w:sz w:val="19"/>
      <w:szCs w:val="19"/>
      <w:shd w:val="clear" w:color="auto" w:fill="FFFFFF"/>
    </w:rPr>
  </w:style>
  <w:style w:type="character" w:customStyle="1" w:styleId="975pt">
    <w:name w:val="Основной текст (9) + 7;5 pt"/>
    <w:basedOn w:val="95"/>
    <w:rsid w:val="002808C2"/>
    <w:rPr>
      <w:rFonts w:ascii="Arial" w:eastAsia="Arial" w:hAnsi="Arial" w:cs="Arial"/>
      <w:spacing w:val="0"/>
      <w:sz w:val="15"/>
      <w:szCs w:val="15"/>
      <w:shd w:val="clear" w:color="auto" w:fill="FFFFFF"/>
    </w:rPr>
  </w:style>
  <w:style w:type="character" w:customStyle="1" w:styleId="MSReferenceSansSerif7pt">
    <w:name w:val="Основной текст + MS Reference Sans Serif;7 pt"/>
    <w:basedOn w:val="af0"/>
    <w:rsid w:val="002808C2"/>
    <w:rPr>
      <w:rFonts w:ascii="MS Reference Sans Serif" w:eastAsia="MS Reference Sans Serif" w:hAnsi="MS Reference Sans Serif" w:cs="MS Reference Sans Serif"/>
      <w:b w:val="0"/>
      <w:bCs w:val="0"/>
      <w:i w:val="0"/>
      <w:iCs w:val="0"/>
      <w:smallCaps w:val="0"/>
      <w:strike w:val="0"/>
      <w:spacing w:val="0"/>
      <w:sz w:val="14"/>
      <w:szCs w:val="14"/>
      <w:shd w:val="clear" w:color="auto" w:fill="FFFFFF"/>
    </w:rPr>
  </w:style>
  <w:style w:type="character" w:customStyle="1" w:styleId="160">
    <w:name w:val="Основной текст (16)_"/>
    <w:basedOn w:val="a0"/>
    <w:link w:val="161"/>
    <w:uiPriority w:val="99"/>
    <w:rsid w:val="002808C2"/>
    <w:rPr>
      <w:rFonts w:ascii="Sylfaen" w:hAnsi="Sylfaen" w:cs="Sylfaen"/>
      <w:b/>
      <w:bCs/>
      <w:spacing w:val="-20"/>
      <w:sz w:val="48"/>
      <w:szCs w:val="48"/>
      <w:shd w:val="clear" w:color="auto" w:fill="FFFFFF"/>
    </w:rPr>
  </w:style>
  <w:style w:type="paragraph" w:customStyle="1" w:styleId="161">
    <w:name w:val="Основной текст (16)"/>
    <w:basedOn w:val="a"/>
    <w:link w:val="160"/>
    <w:uiPriority w:val="99"/>
    <w:rsid w:val="002808C2"/>
    <w:pPr>
      <w:shd w:val="clear" w:color="auto" w:fill="FFFFFF"/>
      <w:spacing w:line="240" w:lineRule="atLeast"/>
      <w:jc w:val="center"/>
    </w:pPr>
    <w:rPr>
      <w:rFonts w:ascii="Sylfaen" w:hAnsi="Sylfaen" w:cs="Sylfaen"/>
      <w:b/>
      <w:bCs/>
      <w:spacing w:val="-20"/>
      <w:sz w:val="48"/>
      <w:szCs w:val="48"/>
    </w:rPr>
  </w:style>
  <w:style w:type="character" w:customStyle="1" w:styleId="123">
    <w:name w:val="Основной текст (12)_"/>
    <w:basedOn w:val="a0"/>
    <w:link w:val="124"/>
    <w:rsid w:val="002808C2"/>
    <w:rPr>
      <w:rFonts w:ascii="Arial Narrow" w:hAnsi="Arial Narrow" w:cs="Arial Narrow"/>
      <w:noProof/>
      <w:sz w:val="85"/>
      <w:szCs w:val="85"/>
      <w:shd w:val="clear" w:color="auto" w:fill="FFFFFF"/>
    </w:rPr>
  </w:style>
  <w:style w:type="paragraph" w:customStyle="1" w:styleId="124">
    <w:name w:val="Основной текст (12)"/>
    <w:basedOn w:val="a"/>
    <w:link w:val="123"/>
    <w:rsid w:val="002808C2"/>
    <w:pPr>
      <w:shd w:val="clear" w:color="auto" w:fill="FFFFFF"/>
      <w:spacing w:line="240" w:lineRule="atLeast"/>
    </w:pPr>
    <w:rPr>
      <w:rFonts w:ascii="Arial Narrow" w:hAnsi="Arial Narrow" w:cs="Arial Narrow"/>
      <w:noProof/>
      <w:sz w:val="85"/>
      <w:szCs w:val="85"/>
    </w:rPr>
  </w:style>
  <w:style w:type="character" w:customStyle="1" w:styleId="150">
    <w:name w:val="Основной текст (15)_"/>
    <w:basedOn w:val="a0"/>
    <w:link w:val="151"/>
    <w:uiPriority w:val="99"/>
    <w:rsid w:val="002808C2"/>
    <w:rPr>
      <w:rFonts w:ascii="Arial Narrow" w:hAnsi="Arial Narrow" w:cs="Arial Narrow"/>
      <w:i/>
      <w:iCs/>
      <w:sz w:val="14"/>
      <w:szCs w:val="14"/>
      <w:shd w:val="clear" w:color="auto" w:fill="FFFFFF"/>
    </w:rPr>
  </w:style>
  <w:style w:type="paragraph" w:customStyle="1" w:styleId="151">
    <w:name w:val="Основной текст (15)"/>
    <w:basedOn w:val="a"/>
    <w:link w:val="150"/>
    <w:uiPriority w:val="99"/>
    <w:rsid w:val="002808C2"/>
    <w:pPr>
      <w:shd w:val="clear" w:color="auto" w:fill="FFFFFF"/>
      <w:spacing w:line="163" w:lineRule="exact"/>
      <w:jc w:val="both"/>
    </w:pPr>
    <w:rPr>
      <w:rFonts w:ascii="Arial Narrow" w:hAnsi="Arial Narrow" w:cs="Arial Narrow"/>
      <w:i/>
      <w:iCs/>
      <w:sz w:val="14"/>
      <w:szCs w:val="14"/>
    </w:rPr>
  </w:style>
  <w:style w:type="character" w:customStyle="1" w:styleId="180">
    <w:name w:val="Основной текст (18)_"/>
    <w:basedOn w:val="a0"/>
    <w:link w:val="181"/>
    <w:uiPriority w:val="99"/>
    <w:rsid w:val="002808C2"/>
    <w:rPr>
      <w:rFonts w:ascii="Arial Narrow" w:hAnsi="Arial Narrow" w:cs="Arial Narrow"/>
      <w:b/>
      <w:bCs/>
      <w:sz w:val="39"/>
      <w:szCs w:val="39"/>
      <w:shd w:val="clear" w:color="auto" w:fill="FFFFFF"/>
    </w:rPr>
  </w:style>
  <w:style w:type="paragraph" w:customStyle="1" w:styleId="181">
    <w:name w:val="Основной текст (18)"/>
    <w:basedOn w:val="a"/>
    <w:link w:val="180"/>
    <w:uiPriority w:val="99"/>
    <w:rsid w:val="002808C2"/>
    <w:pPr>
      <w:shd w:val="clear" w:color="auto" w:fill="FFFFFF"/>
      <w:spacing w:line="240" w:lineRule="atLeast"/>
    </w:pPr>
    <w:rPr>
      <w:rFonts w:ascii="Arial Narrow" w:hAnsi="Arial Narrow" w:cs="Arial Narrow"/>
      <w:b/>
      <w:bCs/>
      <w:sz w:val="39"/>
      <w:szCs w:val="39"/>
    </w:rPr>
  </w:style>
  <w:style w:type="character" w:customStyle="1" w:styleId="565pt">
    <w:name w:val="Основной текст (5) + 6;5 pt"/>
    <w:basedOn w:val="52"/>
    <w:rsid w:val="002808C2"/>
    <w:rPr>
      <w:rFonts w:ascii="Arial" w:eastAsia="Arial" w:hAnsi="Arial" w:cs="Arial"/>
      <w:b w:val="0"/>
      <w:bCs w:val="0"/>
      <w:i w:val="0"/>
      <w:iCs w:val="0"/>
      <w:smallCaps w:val="0"/>
      <w:strike w:val="0"/>
      <w:spacing w:val="0"/>
      <w:sz w:val="13"/>
      <w:szCs w:val="13"/>
      <w:shd w:val="clear" w:color="auto" w:fill="FFFFFF"/>
    </w:rPr>
  </w:style>
  <w:style w:type="character" w:customStyle="1" w:styleId="4f3">
    <w:name w:val="Основной текст (4) + Не полужирный"/>
    <w:basedOn w:val="4b"/>
    <w:rsid w:val="002808C2"/>
    <w:rPr>
      <w:rFonts w:ascii="Arial" w:eastAsia="Arial" w:hAnsi="Arial" w:cs="Arial"/>
      <w:b/>
      <w:bCs/>
      <w:i w:val="0"/>
      <w:iCs w:val="0"/>
      <w:smallCaps w:val="0"/>
      <w:strike w:val="0"/>
      <w:spacing w:val="0"/>
      <w:sz w:val="19"/>
      <w:szCs w:val="19"/>
      <w:shd w:val="clear" w:color="auto" w:fill="FFFFFF"/>
    </w:rPr>
  </w:style>
  <w:style w:type="character" w:customStyle="1" w:styleId="85pt">
    <w:name w:val="Основной текст + 8;5 pt"/>
    <w:basedOn w:val="af0"/>
    <w:rsid w:val="002808C2"/>
    <w:rPr>
      <w:rFonts w:ascii="Arial" w:eastAsia="Arial" w:hAnsi="Arial" w:cs="Arial"/>
      <w:b w:val="0"/>
      <w:bCs w:val="0"/>
      <w:i w:val="0"/>
      <w:iCs w:val="0"/>
      <w:smallCaps w:val="0"/>
      <w:strike w:val="0"/>
      <w:spacing w:val="0"/>
      <w:sz w:val="17"/>
      <w:szCs w:val="17"/>
      <w:shd w:val="clear" w:color="auto" w:fill="FFFFFF"/>
    </w:rPr>
  </w:style>
  <w:style w:type="character" w:customStyle="1" w:styleId="143">
    <w:name w:val="Основной текст + Полужирный14"/>
    <w:basedOn w:val="1f1"/>
    <w:uiPriority w:val="99"/>
    <w:rsid w:val="002808C2"/>
    <w:rPr>
      <w:rFonts w:ascii="Arial Narrow" w:hAnsi="Arial Narrow" w:cs="Arial Narrow"/>
      <w:b/>
      <w:bCs/>
      <w:spacing w:val="0"/>
      <w:sz w:val="18"/>
      <w:szCs w:val="18"/>
      <w:shd w:val="clear" w:color="auto" w:fill="FFFFFF"/>
    </w:rPr>
  </w:style>
  <w:style w:type="character" w:customStyle="1" w:styleId="75">
    <w:name w:val="Основной текст + Курсив7"/>
    <w:basedOn w:val="1f1"/>
    <w:uiPriority w:val="99"/>
    <w:rsid w:val="002808C2"/>
    <w:rPr>
      <w:rFonts w:ascii="Arial Narrow" w:hAnsi="Arial Narrow" w:cs="Arial Narrow"/>
      <w:i/>
      <w:iCs/>
      <w:spacing w:val="0"/>
      <w:sz w:val="18"/>
      <w:szCs w:val="18"/>
      <w:shd w:val="clear" w:color="auto" w:fill="FFFFFF"/>
    </w:rPr>
  </w:style>
  <w:style w:type="character" w:customStyle="1" w:styleId="6b">
    <w:name w:val="Основной текст + Курсив6"/>
    <w:basedOn w:val="1f1"/>
    <w:uiPriority w:val="99"/>
    <w:rsid w:val="002808C2"/>
    <w:rPr>
      <w:rFonts w:ascii="Arial Narrow" w:hAnsi="Arial Narrow" w:cs="Arial Narrow"/>
      <w:i/>
      <w:iCs/>
      <w:spacing w:val="0"/>
      <w:sz w:val="18"/>
      <w:szCs w:val="18"/>
      <w:shd w:val="clear" w:color="auto" w:fill="FFFFFF"/>
    </w:rPr>
  </w:style>
  <w:style w:type="character" w:customStyle="1" w:styleId="115">
    <w:name w:val="Основной текст + Полужирный11"/>
    <w:basedOn w:val="1f1"/>
    <w:uiPriority w:val="99"/>
    <w:rsid w:val="002808C2"/>
    <w:rPr>
      <w:rFonts w:ascii="Arial Narrow" w:hAnsi="Arial Narrow" w:cs="Arial Narrow"/>
      <w:b/>
      <w:bCs/>
      <w:spacing w:val="0"/>
      <w:sz w:val="18"/>
      <w:szCs w:val="18"/>
      <w:shd w:val="clear" w:color="auto" w:fill="FFFFFF"/>
    </w:rPr>
  </w:style>
  <w:style w:type="character" w:customStyle="1" w:styleId="108">
    <w:name w:val="Основной текст + Полужирный10"/>
    <w:basedOn w:val="1f1"/>
    <w:uiPriority w:val="99"/>
    <w:rsid w:val="002808C2"/>
    <w:rPr>
      <w:rFonts w:ascii="Arial Narrow" w:hAnsi="Arial Narrow" w:cs="Arial Narrow"/>
      <w:b/>
      <w:bCs/>
      <w:spacing w:val="0"/>
      <w:sz w:val="18"/>
      <w:szCs w:val="18"/>
      <w:shd w:val="clear" w:color="auto" w:fill="FFFFFF"/>
    </w:rPr>
  </w:style>
  <w:style w:type="character" w:customStyle="1" w:styleId="531">
    <w:name w:val="Заголовок №5 (3) + Не полужирный"/>
    <w:basedOn w:val="a0"/>
    <w:uiPriority w:val="99"/>
    <w:rsid w:val="002808C2"/>
    <w:rPr>
      <w:rFonts w:ascii="Century Gothic" w:hAnsi="Century Gothic" w:cs="Century Gothic"/>
      <w:b w:val="0"/>
      <w:bCs w:val="0"/>
      <w:spacing w:val="0"/>
      <w:sz w:val="17"/>
      <w:szCs w:val="17"/>
      <w:shd w:val="clear" w:color="auto" w:fill="FFFFFF"/>
    </w:rPr>
  </w:style>
  <w:style w:type="character" w:customStyle="1" w:styleId="10pt">
    <w:name w:val="Основной текст + 10 pt"/>
    <w:aliases w:val="Интервал 0 pt26"/>
    <w:basedOn w:val="1f1"/>
    <w:uiPriority w:val="99"/>
    <w:rsid w:val="002808C2"/>
    <w:rPr>
      <w:rFonts w:ascii="Arial Narrow" w:hAnsi="Arial Narrow" w:cs="Arial Narrow"/>
      <w:spacing w:val="-10"/>
      <w:sz w:val="20"/>
      <w:szCs w:val="20"/>
      <w:shd w:val="clear" w:color="auto" w:fill="FFFFFF"/>
    </w:rPr>
  </w:style>
  <w:style w:type="character" w:customStyle="1" w:styleId="Batang">
    <w:name w:val="Основной текст + Batang"/>
    <w:aliases w:val="Интервал 2 pt"/>
    <w:basedOn w:val="1f1"/>
    <w:uiPriority w:val="99"/>
    <w:rsid w:val="002808C2"/>
    <w:rPr>
      <w:rFonts w:ascii="Batang" w:eastAsia="Batang" w:hAnsi="Century Gothic" w:cs="Batang"/>
      <w:noProof/>
      <w:spacing w:val="40"/>
      <w:sz w:val="17"/>
      <w:szCs w:val="17"/>
      <w:shd w:val="clear" w:color="auto" w:fill="FFFFFF"/>
    </w:rPr>
  </w:style>
  <w:style w:type="character" w:customStyle="1" w:styleId="511">
    <w:name w:val="Заголовок №5 + Полужирный1"/>
    <w:basedOn w:val="a0"/>
    <w:uiPriority w:val="99"/>
    <w:rsid w:val="002808C2"/>
    <w:rPr>
      <w:rFonts w:ascii="Century Gothic" w:hAnsi="Century Gothic" w:cs="Century Gothic"/>
      <w:b/>
      <w:bCs/>
      <w:spacing w:val="0"/>
      <w:sz w:val="17"/>
      <w:szCs w:val="17"/>
      <w:shd w:val="clear" w:color="auto" w:fill="FFFFFF"/>
    </w:rPr>
  </w:style>
  <w:style w:type="character" w:customStyle="1" w:styleId="6pt150">
    <w:name w:val="Основной текст + 6 pt;Масштаб 150%"/>
    <w:basedOn w:val="af0"/>
    <w:rsid w:val="002808C2"/>
    <w:rPr>
      <w:rFonts w:ascii="Arial" w:eastAsia="Arial" w:hAnsi="Arial" w:cs="Arial"/>
      <w:b w:val="0"/>
      <w:bCs w:val="0"/>
      <w:i w:val="0"/>
      <w:iCs w:val="0"/>
      <w:smallCaps w:val="0"/>
      <w:strike w:val="0"/>
      <w:spacing w:val="0"/>
      <w:w w:val="150"/>
      <w:sz w:val="12"/>
      <w:szCs w:val="12"/>
      <w:shd w:val="clear" w:color="auto" w:fill="FFFFFF"/>
    </w:rPr>
  </w:style>
  <w:style w:type="character" w:customStyle="1" w:styleId="40pt0">
    <w:name w:val="Основной текст (4) + Полужирный;Интервал 0 pt"/>
    <w:basedOn w:val="4b"/>
    <w:rsid w:val="002808C2"/>
    <w:rPr>
      <w:rFonts w:ascii="Arial Narrow" w:eastAsia="Arial Narrow" w:hAnsi="Arial Narrow" w:cs="Arial Narrow"/>
      <w:b/>
      <w:bCs/>
      <w:i w:val="0"/>
      <w:iCs w:val="0"/>
      <w:smallCaps w:val="0"/>
      <w:strike w:val="0"/>
      <w:spacing w:val="-10"/>
      <w:sz w:val="18"/>
      <w:szCs w:val="18"/>
      <w:shd w:val="clear" w:color="auto" w:fill="FFFFFF"/>
    </w:rPr>
  </w:style>
  <w:style w:type="character" w:customStyle="1" w:styleId="95pt0pt">
    <w:name w:val="Основной текст + 9;5 pt;Полужирный;Интервал 0 pt"/>
    <w:basedOn w:val="af0"/>
    <w:rsid w:val="002808C2"/>
    <w:rPr>
      <w:rFonts w:ascii="Arial Narrow" w:eastAsia="Arial Narrow" w:hAnsi="Arial Narrow" w:cs="Arial Narrow"/>
      <w:b/>
      <w:bCs/>
      <w:i w:val="0"/>
      <w:iCs w:val="0"/>
      <w:smallCaps w:val="0"/>
      <w:strike w:val="0"/>
      <w:spacing w:val="-10"/>
      <w:sz w:val="19"/>
      <w:szCs w:val="19"/>
      <w:shd w:val="clear" w:color="auto" w:fill="FFFFFF"/>
    </w:rPr>
  </w:style>
  <w:style w:type="character" w:customStyle="1" w:styleId="270">
    <w:name w:val="Основной текст (27)_"/>
    <w:basedOn w:val="a0"/>
    <w:link w:val="271"/>
    <w:uiPriority w:val="99"/>
    <w:rsid w:val="002808C2"/>
    <w:rPr>
      <w:rFonts w:ascii="Constantia" w:hAnsi="Constantia" w:cs="Constantia"/>
      <w:b/>
      <w:bCs/>
      <w:i/>
      <w:iCs/>
      <w:sz w:val="12"/>
      <w:szCs w:val="12"/>
      <w:shd w:val="clear" w:color="auto" w:fill="FFFFFF"/>
    </w:rPr>
  </w:style>
  <w:style w:type="paragraph" w:customStyle="1" w:styleId="271">
    <w:name w:val="Основной текст (27)"/>
    <w:basedOn w:val="a"/>
    <w:link w:val="270"/>
    <w:uiPriority w:val="99"/>
    <w:rsid w:val="002808C2"/>
    <w:pPr>
      <w:shd w:val="clear" w:color="auto" w:fill="FFFFFF"/>
      <w:spacing w:line="163" w:lineRule="exact"/>
      <w:ind w:firstLine="260"/>
      <w:jc w:val="both"/>
    </w:pPr>
    <w:rPr>
      <w:rFonts w:ascii="Constantia" w:hAnsi="Constantia" w:cs="Constantia"/>
      <w:b/>
      <w:bCs/>
      <w:i/>
      <w:iCs/>
      <w:sz w:val="12"/>
      <w:szCs w:val="12"/>
    </w:rPr>
  </w:style>
  <w:style w:type="character" w:customStyle="1" w:styleId="2710pt1pt">
    <w:name w:val="Основной текст (27) + 10 pt;Интервал 1 pt"/>
    <w:basedOn w:val="270"/>
    <w:rsid w:val="002808C2"/>
    <w:rPr>
      <w:rFonts w:ascii="Arial" w:eastAsia="Arial" w:hAnsi="Arial" w:cs="Arial"/>
      <w:b w:val="0"/>
      <w:bCs w:val="0"/>
      <w:i w:val="0"/>
      <w:iCs w:val="0"/>
      <w:smallCaps w:val="0"/>
      <w:strike w:val="0"/>
      <w:spacing w:val="20"/>
      <w:sz w:val="20"/>
      <w:szCs w:val="20"/>
      <w:shd w:val="clear" w:color="auto" w:fill="FFFFFF"/>
    </w:rPr>
  </w:style>
  <w:style w:type="character" w:customStyle="1" w:styleId="290">
    <w:name w:val="Основной текст (29)_"/>
    <w:basedOn w:val="a0"/>
    <w:link w:val="291"/>
    <w:rsid w:val="002808C2"/>
    <w:rPr>
      <w:rFonts w:ascii="MS Reference Sans Serif" w:hAnsi="MS Reference Sans Serif" w:cs="MS Reference Sans Serif"/>
      <w:i/>
      <w:iCs/>
      <w:sz w:val="11"/>
      <w:szCs w:val="11"/>
      <w:shd w:val="clear" w:color="auto" w:fill="FFFFFF"/>
    </w:rPr>
  </w:style>
  <w:style w:type="paragraph" w:customStyle="1" w:styleId="291">
    <w:name w:val="Основной текст (29)"/>
    <w:basedOn w:val="a"/>
    <w:link w:val="290"/>
    <w:rsid w:val="002808C2"/>
    <w:pPr>
      <w:shd w:val="clear" w:color="auto" w:fill="FFFFFF"/>
      <w:spacing w:line="240" w:lineRule="atLeast"/>
    </w:pPr>
    <w:rPr>
      <w:rFonts w:ascii="MS Reference Sans Serif" w:hAnsi="MS Reference Sans Serif" w:cs="MS Reference Sans Serif"/>
      <w:i/>
      <w:iCs/>
      <w:sz w:val="11"/>
      <w:szCs w:val="11"/>
    </w:rPr>
  </w:style>
  <w:style w:type="character" w:customStyle="1" w:styleId="5pt20">
    <w:name w:val="Основной текст + 5 pt;Полужирный;Масштаб 20%"/>
    <w:basedOn w:val="af0"/>
    <w:rsid w:val="002808C2"/>
    <w:rPr>
      <w:rFonts w:ascii="Arial" w:eastAsia="Arial" w:hAnsi="Arial" w:cs="Arial"/>
      <w:b/>
      <w:bCs/>
      <w:i w:val="0"/>
      <w:iCs w:val="0"/>
      <w:smallCaps w:val="0"/>
      <w:strike w:val="0"/>
      <w:spacing w:val="0"/>
      <w:w w:val="20"/>
      <w:sz w:val="10"/>
      <w:szCs w:val="10"/>
      <w:shd w:val="clear" w:color="auto" w:fill="FFFFFF"/>
      <w:lang w:val="en-US"/>
    </w:rPr>
  </w:style>
  <w:style w:type="character" w:customStyle="1" w:styleId="0pt1">
    <w:name w:val="Основной текст + Полужирный;Курсив;Интервал 0 pt"/>
    <w:basedOn w:val="af0"/>
    <w:rsid w:val="002808C2"/>
    <w:rPr>
      <w:rFonts w:ascii="Arial Narrow" w:eastAsia="Arial Narrow" w:hAnsi="Arial Narrow" w:cs="Arial Narrow"/>
      <w:b/>
      <w:bCs/>
      <w:i/>
      <w:iCs/>
      <w:smallCaps w:val="0"/>
      <w:strike w:val="0"/>
      <w:spacing w:val="-10"/>
      <w:sz w:val="18"/>
      <w:szCs w:val="18"/>
      <w:shd w:val="clear" w:color="auto" w:fill="FFFFFF"/>
    </w:rPr>
  </w:style>
  <w:style w:type="character" w:customStyle="1" w:styleId="2pt">
    <w:name w:val="Основной текст + Интервал 2 pt"/>
    <w:basedOn w:val="af0"/>
    <w:uiPriority w:val="99"/>
    <w:rsid w:val="002808C2"/>
    <w:rPr>
      <w:rFonts w:ascii="Arial" w:eastAsia="Arial" w:hAnsi="Arial" w:cs="Arial"/>
      <w:b w:val="0"/>
      <w:bCs w:val="0"/>
      <w:i w:val="0"/>
      <w:iCs w:val="0"/>
      <w:smallCaps w:val="0"/>
      <w:strike w:val="0"/>
      <w:spacing w:val="40"/>
      <w:sz w:val="18"/>
      <w:szCs w:val="18"/>
      <w:shd w:val="clear" w:color="auto" w:fill="FFFFFF"/>
    </w:rPr>
  </w:style>
  <w:style w:type="character" w:customStyle="1" w:styleId="295pt">
    <w:name w:val="Основной текст (2) + 9;5 pt;Полужирный"/>
    <w:basedOn w:val="2f"/>
    <w:rsid w:val="002808C2"/>
    <w:rPr>
      <w:rFonts w:ascii="Century Gothic" w:eastAsia="Century Gothic" w:hAnsi="Century Gothic" w:cs="Century Gothic"/>
      <w:b/>
      <w:bCs/>
      <w:i w:val="0"/>
      <w:iCs w:val="0"/>
      <w:smallCaps w:val="0"/>
      <w:strike w:val="0"/>
      <w:spacing w:val="0"/>
      <w:w w:val="100"/>
      <w:sz w:val="19"/>
      <w:szCs w:val="19"/>
      <w:shd w:val="clear" w:color="auto" w:fill="FFFFFF"/>
    </w:rPr>
  </w:style>
  <w:style w:type="character" w:customStyle="1" w:styleId="275pt">
    <w:name w:val="Основной текст (2) + 7;5 pt;Полужирный;Не курсив"/>
    <w:basedOn w:val="2f"/>
    <w:rsid w:val="002808C2"/>
    <w:rPr>
      <w:rFonts w:ascii="Century Gothic" w:eastAsia="Century Gothic" w:hAnsi="Century Gothic" w:cs="Century Gothic"/>
      <w:b/>
      <w:bCs/>
      <w:i/>
      <w:iCs/>
      <w:smallCaps w:val="0"/>
      <w:strike w:val="0"/>
      <w:spacing w:val="0"/>
      <w:sz w:val="15"/>
      <w:szCs w:val="15"/>
      <w:shd w:val="clear" w:color="auto" w:fill="FFFFFF"/>
    </w:rPr>
  </w:style>
  <w:style w:type="character" w:customStyle="1" w:styleId="2f7">
    <w:name w:val="Основной текст (2) + Полужирный;Не курсив"/>
    <w:basedOn w:val="2f"/>
    <w:rsid w:val="002808C2"/>
    <w:rPr>
      <w:rFonts w:ascii="Arial" w:eastAsia="Arial" w:hAnsi="Arial" w:cs="Arial"/>
      <w:b/>
      <w:bCs/>
      <w:i/>
      <w:iCs/>
      <w:smallCaps w:val="0"/>
      <w:strike w:val="0"/>
      <w:spacing w:val="0"/>
      <w:sz w:val="18"/>
      <w:szCs w:val="18"/>
      <w:shd w:val="clear" w:color="auto" w:fill="FFFFFF"/>
    </w:rPr>
  </w:style>
  <w:style w:type="character" w:customStyle="1" w:styleId="912">
    <w:name w:val="Основной текст + 912"/>
    <w:aliases w:val="5 pt49,Полужирный47,Интервал 0 pt34,Основной текст (5) + Не курсив8,Основной текст (2) + 5 pt1"/>
    <w:basedOn w:val="1f1"/>
    <w:uiPriority w:val="99"/>
    <w:rsid w:val="002808C2"/>
    <w:rPr>
      <w:rFonts w:ascii="Arial Narrow" w:hAnsi="Arial Narrow" w:cs="Arial Narrow"/>
      <w:b/>
      <w:bCs/>
      <w:spacing w:val="-10"/>
      <w:sz w:val="19"/>
      <w:szCs w:val="19"/>
      <w:shd w:val="clear" w:color="auto" w:fill="FFFFFF"/>
    </w:rPr>
  </w:style>
  <w:style w:type="paragraph" w:customStyle="1" w:styleId="213">
    <w:name w:val="Основной текст (2)1"/>
    <w:basedOn w:val="a"/>
    <w:uiPriority w:val="99"/>
    <w:rsid w:val="002808C2"/>
    <w:pPr>
      <w:shd w:val="clear" w:color="auto" w:fill="FFFFFF"/>
      <w:spacing w:before="480" w:line="216" w:lineRule="exact"/>
      <w:jc w:val="right"/>
    </w:pPr>
    <w:rPr>
      <w:rFonts w:ascii="Arial" w:eastAsia="Arial Unicode MS" w:hAnsi="Arial" w:cs="Arial"/>
      <w:i/>
      <w:iCs/>
      <w:sz w:val="18"/>
      <w:szCs w:val="18"/>
    </w:rPr>
  </w:style>
  <w:style w:type="character" w:customStyle="1" w:styleId="257">
    <w:name w:val="Основной текст (2) + Не курсив57"/>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640">
    <w:name w:val="Основной текст + Курсив64"/>
    <w:basedOn w:val="1f1"/>
    <w:uiPriority w:val="99"/>
    <w:rsid w:val="002808C2"/>
    <w:rPr>
      <w:rFonts w:ascii="Century Gothic" w:hAnsi="Century Gothic" w:cs="Century Gothic"/>
      <w:i/>
      <w:iCs/>
      <w:spacing w:val="0"/>
      <w:sz w:val="16"/>
      <w:szCs w:val="16"/>
      <w:shd w:val="clear" w:color="auto" w:fill="FFFFFF"/>
    </w:rPr>
  </w:style>
  <w:style w:type="character" w:customStyle="1" w:styleId="51Arial">
    <w:name w:val="Основной текст (51) + Arial"/>
    <w:aliases w:val="73,5 pt17,Не полужирный7,Основной текст + 810,Основной текст (2) + SimHei"/>
    <w:basedOn w:val="a0"/>
    <w:uiPriority w:val="99"/>
    <w:rsid w:val="002808C2"/>
    <w:rPr>
      <w:rFonts w:ascii="Arial" w:hAnsi="Arial" w:cs="Arial"/>
      <w:b w:val="0"/>
      <w:bCs w:val="0"/>
      <w:sz w:val="15"/>
      <w:szCs w:val="15"/>
      <w:shd w:val="clear" w:color="auto" w:fill="FFFFFF"/>
    </w:rPr>
  </w:style>
  <w:style w:type="character" w:customStyle="1" w:styleId="255">
    <w:name w:val="Основной текст (2) + Не курсив55"/>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54">
    <w:name w:val="Основной текст (2) + Не курсив54"/>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621">
    <w:name w:val="Основной текст + Курсив62"/>
    <w:basedOn w:val="1f1"/>
    <w:uiPriority w:val="99"/>
    <w:rsid w:val="002808C2"/>
    <w:rPr>
      <w:rFonts w:ascii="Century Gothic" w:hAnsi="Century Gothic" w:cs="Century Gothic"/>
      <w:i/>
      <w:iCs/>
      <w:spacing w:val="0"/>
      <w:sz w:val="16"/>
      <w:szCs w:val="16"/>
      <w:shd w:val="clear" w:color="auto" w:fill="FFFFFF"/>
    </w:rPr>
  </w:style>
  <w:style w:type="character" w:customStyle="1" w:styleId="253">
    <w:name w:val="Основной текст (2) + Не курсив53"/>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611">
    <w:name w:val="Основной текст + Курсив61"/>
    <w:basedOn w:val="1f1"/>
    <w:uiPriority w:val="99"/>
    <w:rsid w:val="002808C2"/>
    <w:rPr>
      <w:rFonts w:ascii="Century Gothic" w:hAnsi="Century Gothic" w:cs="Century Gothic"/>
      <w:i/>
      <w:iCs/>
      <w:spacing w:val="0"/>
      <w:sz w:val="16"/>
      <w:szCs w:val="16"/>
      <w:shd w:val="clear" w:color="auto" w:fill="FFFFFF"/>
    </w:rPr>
  </w:style>
  <w:style w:type="character" w:customStyle="1" w:styleId="8ArialNarrow">
    <w:name w:val="Подпись к картинке (8) + Arial Narrow"/>
    <w:aliases w:val="7 pt,Курсив24,Интервал 0 pt40,Колонтитул + Arial Unicode MS,Основной текст + MS Reference Sans Serif2,Основной текст (2) + Segoe UI,Основной текст (2) + SimHei8"/>
    <w:basedOn w:val="a0"/>
    <w:uiPriority w:val="99"/>
    <w:rsid w:val="002808C2"/>
    <w:rPr>
      <w:rFonts w:ascii="Arial Narrow" w:hAnsi="Arial Narrow" w:cs="Arial Narrow"/>
      <w:i/>
      <w:iCs/>
      <w:spacing w:val="-10"/>
      <w:sz w:val="14"/>
      <w:szCs w:val="14"/>
      <w:shd w:val="clear" w:color="auto" w:fill="FFFFFF"/>
    </w:rPr>
  </w:style>
  <w:style w:type="character" w:customStyle="1" w:styleId="601">
    <w:name w:val="Основной текст + Курсив60"/>
    <w:basedOn w:val="1f1"/>
    <w:uiPriority w:val="99"/>
    <w:rsid w:val="002808C2"/>
    <w:rPr>
      <w:rFonts w:ascii="Century Gothic" w:hAnsi="Century Gothic" w:cs="Century Gothic"/>
      <w:i/>
      <w:iCs/>
      <w:spacing w:val="0"/>
      <w:sz w:val="16"/>
      <w:szCs w:val="16"/>
      <w:shd w:val="clear" w:color="auto" w:fill="FFFFFF"/>
    </w:rPr>
  </w:style>
  <w:style w:type="character" w:customStyle="1" w:styleId="252">
    <w:name w:val="Основной текст (2) + Не курсив52"/>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15MSReferenceSansSerif3">
    <w:name w:val="Основной текст (15) + MS Reference Sans Serif3"/>
    <w:aliases w:val="65,5 pt23,Основной текст (2) + SimHei7"/>
    <w:basedOn w:val="150"/>
    <w:uiPriority w:val="99"/>
    <w:rsid w:val="002808C2"/>
    <w:rPr>
      <w:rFonts w:ascii="MS Reference Sans Serif" w:hAnsi="MS Reference Sans Serif" w:cs="MS Reference Sans Serif"/>
      <w:i/>
      <w:iCs/>
      <w:spacing w:val="0"/>
      <w:sz w:val="13"/>
      <w:szCs w:val="13"/>
      <w:shd w:val="clear" w:color="auto" w:fill="FFFFFF"/>
    </w:rPr>
  </w:style>
  <w:style w:type="character" w:customStyle="1" w:styleId="2510">
    <w:name w:val="Основной текст (2) + Не курсив51"/>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500">
    <w:name w:val="Основной текст (2) + Не курсив50"/>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1pt5">
    <w:name w:val="Основной текст (2) + Интервал 1 pt5"/>
    <w:basedOn w:val="2f"/>
    <w:uiPriority w:val="99"/>
    <w:rsid w:val="002808C2"/>
    <w:rPr>
      <w:rFonts w:ascii="Century Gothic" w:eastAsia="Times New Roman" w:hAnsi="Century Gothic" w:cs="Century Gothic"/>
      <w:b w:val="0"/>
      <w:bCs w:val="0"/>
      <w:i/>
      <w:iCs/>
      <w:smallCaps w:val="0"/>
      <w:strike w:val="0"/>
      <w:spacing w:val="30"/>
      <w:sz w:val="16"/>
      <w:szCs w:val="16"/>
      <w:shd w:val="clear" w:color="auto" w:fill="FFFFFF"/>
    </w:rPr>
  </w:style>
  <w:style w:type="character" w:customStyle="1" w:styleId="249">
    <w:name w:val="Основной текст (2) + Не курсив49"/>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580">
    <w:name w:val="Основной текст + Курсив58"/>
    <w:basedOn w:val="1f1"/>
    <w:uiPriority w:val="99"/>
    <w:rsid w:val="002808C2"/>
    <w:rPr>
      <w:rFonts w:ascii="Century Gothic" w:hAnsi="Century Gothic" w:cs="Century Gothic"/>
      <w:i/>
      <w:iCs/>
      <w:spacing w:val="0"/>
      <w:sz w:val="16"/>
      <w:szCs w:val="16"/>
      <w:shd w:val="clear" w:color="auto" w:fill="FFFFFF"/>
    </w:rPr>
  </w:style>
  <w:style w:type="character" w:customStyle="1" w:styleId="248">
    <w:name w:val="Основной текст (2) + Не курсив48"/>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46">
    <w:name w:val="Основной текст (2) + Не курсив46"/>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692">
    <w:name w:val="Основной текст (6) + 92"/>
    <w:aliases w:val="5 pt43,Не курсив10,Интервал 0 pt28,Основной текст (2) + SimHei5,7 pt6"/>
    <w:basedOn w:val="62"/>
    <w:uiPriority w:val="99"/>
    <w:rsid w:val="002808C2"/>
    <w:rPr>
      <w:rFonts w:ascii="Arial Narrow" w:eastAsia="Times New Roman" w:hAnsi="Arial Narrow" w:cs="Arial Narrow"/>
      <w:b/>
      <w:bCs/>
      <w:i w:val="0"/>
      <w:iCs w:val="0"/>
      <w:smallCaps w:val="0"/>
      <w:strike w:val="0"/>
      <w:spacing w:val="-10"/>
      <w:sz w:val="19"/>
      <w:szCs w:val="19"/>
      <w:shd w:val="clear" w:color="auto" w:fill="FFFFFF"/>
      <w:lang w:eastAsia="ru-RU"/>
    </w:rPr>
  </w:style>
  <w:style w:type="character" w:customStyle="1" w:styleId="512">
    <w:name w:val="Основной текст + Курсив51"/>
    <w:basedOn w:val="1f1"/>
    <w:uiPriority w:val="99"/>
    <w:rsid w:val="002808C2"/>
    <w:rPr>
      <w:rFonts w:ascii="Century Gothic" w:hAnsi="Century Gothic" w:cs="Century Gothic"/>
      <w:i/>
      <w:iCs/>
      <w:spacing w:val="0"/>
      <w:sz w:val="16"/>
      <w:szCs w:val="16"/>
      <w:shd w:val="clear" w:color="auto" w:fill="FFFFFF"/>
    </w:rPr>
  </w:style>
  <w:style w:type="character" w:customStyle="1" w:styleId="239">
    <w:name w:val="Основной текст (2) + Не курсив39"/>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98">
    <w:name w:val="Основной текст + 98"/>
    <w:aliases w:val="5 pt33,Полужирный31,Интервал 0 pt21,Основной текст (2) + 74"/>
    <w:basedOn w:val="1f1"/>
    <w:uiPriority w:val="99"/>
    <w:rsid w:val="002808C2"/>
    <w:rPr>
      <w:rFonts w:ascii="Arial Narrow" w:hAnsi="Arial Narrow" w:cs="Arial Narrow"/>
      <w:b/>
      <w:bCs/>
      <w:spacing w:val="-10"/>
      <w:sz w:val="19"/>
      <w:szCs w:val="19"/>
      <w:shd w:val="clear" w:color="auto" w:fill="FFFFFF"/>
    </w:rPr>
  </w:style>
  <w:style w:type="character" w:customStyle="1" w:styleId="501">
    <w:name w:val="Основной текст + Курсив50"/>
    <w:basedOn w:val="1f1"/>
    <w:uiPriority w:val="99"/>
    <w:rsid w:val="002808C2"/>
    <w:rPr>
      <w:rFonts w:ascii="Century Gothic" w:hAnsi="Century Gothic" w:cs="Century Gothic"/>
      <w:i/>
      <w:iCs/>
      <w:spacing w:val="0"/>
      <w:sz w:val="16"/>
      <w:szCs w:val="16"/>
      <w:shd w:val="clear" w:color="auto" w:fill="FFFFFF"/>
    </w:rPr>
  </w:style>
  <w:style w:type="character" w:customStyle="1" w:styleId="238">
    <w:name w:val="Основной текст (2) + Не курсив38"/>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37">
    <w:name w:val="Основной текст (2) + Не курсив37"/>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36">
    <w:name w:val="Основной текст (2) + Не курсив36"/>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34">
    <w:name w:val="Основной текст (2) + Не курсив34"/>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480">
    <w:name w:val="Основной текст + Курсив48"/>
    <w:basedOn w:val="1f1"/>
    <w:uiPriority w:val="99"/>
    <w:rsid w:val="002808C2"/>
    <w:rPr>
      <w:rFonts w:ascii="Century Gothic" w:hAnsi="Century Gothic" w:cs="Century Gothic"/>
      <w:i/>
      <w:iCs/>
      <w:spacing w:val="0"/>
      <w:sz w:val="16"/>
      <w:szCs w:val="16"/>
      <w:shd w:val="clear" w:color="auto" w:fill="FFFFFF"/>
    </w:rPr>
  </w:style>
  <w:style w:type="character" w:customStyle="1" w:styleId="ArialNarrow5">
    <w:name w:val="Колонтитул + Arial Narrow5"/>
    <w:aliases w:val="86,5 pt72,Полужирный71,Основной текст + 836,Основной текст + Segoe UI6"/>
    <w:basedOn w:val="afe"/>
    <w:uiPriority w:val="99"/>
    <w:rsid w:val="002808C2"/>
    <w:rPr>
      <w:rFonts w:ascii="Arial Narrow" w:eastAsia="Times New Roman" w:hAnsi="Arial Narrow" w:cs="Arial Narrow"/>
      <w:b/>
      <w:bCs/>
      <w:i w:val="0"/>
      <w:iCs w:val="0"/>
      <w:smallCaps w:val="0"/>
      <w:strike w:val="0"/>
      <w:spacing w:val="0"/>
      <w:sz w:val="17"/>
      <w:szCs w:val="17"/>
      <w:shd w:val="clear" w:color="auto" w:fill="FFFFFF"/>
    </w:rPr>
  </w:style>
  <w:style w:type="character" w:customStyle="1" w:styleId="highlight1">
    <w:name w:val="highlight1"/>
    <w:basedOn w:val="a0"/>
    <w:rsid w:val="002751A5"/>
    <w:rPr>
      <w:shd w:val="clear" w:color="auto" w:fill="FFE45C"/>
    </w:rPr>
  </w:style>
  <w:style w:type="character" w:customStyle="1" w:styleId="ArialNarrow8">
    <w:name w:val="Основной текст + Arial Narrow8"/>
    <w:aliases w:val="Полужирный15"/>
    <w:basedOn w:val="a0"/>
    <w:uiPriority w:val="99"/>
    <w:rsid w:val="009C1277"/>
    <w:rPr>
      <w:rFonts w:ascii="Arial Narrow" w:hAnsi="Arial Narrow" w:cs="Arial Narrow"/>
      <w:b/>
      <w:bCs/>
      <w:spacing w:val="0"/>
      <w:w w:val="100"/>
      <w:sz w:val="18"/>
      <w:szCs w:val="18"/>
      <w:shd w:val="clear" w:color="auto" w:fill="FFFFFF"/>
    </w:rPr>
  </w:style>
  <w:style w:type="paragraph" w:customStyle="1" w:styleId="Bodytext1">
    <w:name w:val="Body text1"/>
    <w:basedOn w:val="a"/>
    <w:uiPriority w:val="99"/>
    <w:rsid w:val="00576539"/>
    <w:pPr>
      <w:shd w:val="clear" w:color="auto" w:fill="FFFFFF"/>
      <w:spacing w:line="221" w:lineRule="exact"/>
      <w:ind w:hanging="120"/>
      <w:jc w:val="both"/>
    </w:pPr>
    <w:rPr>
      <w:rFonts w:ascii="Arial Narrow" w:eastAsiaTheme="minorHAnsi" w:hAnsi="Arial Narrow" w:cs="Arial Narrow"/>
      <w:sz w:val="18"/>
      <w:szCs w:val="18"/>
      <w:lang w:eastAsia="en-US"/>
    </w:rPr>
  </w:style>
  <w:style w:type="character" w:customStyle="1" w:styleId="8a">
    <w:name w:val="Основной текст (8) + Не курсив"/>
    <w:basedOn w:val="84"/>
    <w:rsid w:val="00F52344"/>
    <w:rPr>
      <w:rFonts w:ascii="Arial" w:eastAsia="Arial" w:hAnsi="Arial" w:cs="Arial"/>
      <w:i/>
      <w:iCs/>
      <w:spacing w:val="0"/>
      <w:sz w:val="16"/>
      <w:szCs w:val="16"/>
      <w:shd w:val="clear" w:color="auto" w:fill="FFFFFF"/>
    </w:rPr>
  </w:style>
  <w:style w:type="paragraph" w:styleId="affb">
    <w:name w:val="No Spacing"/>
    <w:basedOn w:val="a"/>
    <w:uiPriority w:val="1"/>
    <w:qFormat/>
    <w:rsid w:val="00952628"/>
    <w:pPr>
      <w:spacing w:before="100" w:beforeAutospacing="1" w:after="100" w:afterAutospacing="1"/>
    </w:pPr>
  </w:style>
  <w:style w:type="character" w:customStyle="1" w:styleId="630">
    <w:name w:val="Основной текст (63)_"/>
    <w:basedOn w:val="a0"/>
    <w:link w:val="631"/>
    <w:rsid w:val="00A4709E"/>
    <w:rPr>
      <w:rFonts w:ascii="Segoe UI" w:eastAsia="Segoe UI" w:hAnsi="Segoe UI" w:cs="Segoe UI"/>
      <w:sz w:val="15"/>
      <w:szCs w:val="15"/>
      <w:shd w:val="clear" w:color="auto" w:fill="FFFFFF"/>
    </w:rPr>
  </w:style>
  <w:style w:type="paragraph" w:customStyle="1" w:styleId="631">
    <w:name w:val="Основной текст (63)"/>
    <w:basedOn w:val="a"/>
    <w:link w:val="630"/>
    <w:rsid w:val="00A4709E"/>
    <w:pPr>
      <w:shd w:val="clear" w:color="auto" w:fill="FFFFFF"/>
      <w:spacing w:line="198" w:lineRule="exact"/>
      <w:jc w:val="right"/>
    </w:pPr>
    <w:rPr>
      <w:rFonts w:ascii="Segoe UI" w:eastAsia="Segoe UI" w:hAnsi="Segoe UI" w:cs="Segoe UI"/>
      <w:sz w:val="15"/>
      <w:szCs w:val="15"/>
    </w:rPr>
  </w:style>
  <w:style w:type="paragraph" w:customStyle="1" w:styleId="1080">
    <w:name w:val="Основной текст108"/>
    <w:basedOn w:val="a"/>
    <w:rsid w:val="006637B0"/>
    <w:pPr>
      <w:shd w:val="clear" w:color="auto" w:fill="FFFFFF"/>
      <w:spacing w:after="300" w:line="0" w:lineRule="atLeast"/>
      <w:ind w:hanging="880"/>
    </w:pPr>
    <w:rPr>
      <w:rFonts w:ascii="Segoe UI" w:eastAsia="Segoe UI" w:hAnsi="Segoe UI" w:cs="Segoe UI"/>
      <w:color w:val="000000"/>
      <w:sz w:val="14"/>
      <w:szCs w:val="14"/>
      <w:lang w:val="ru"/>
    </w:rPr>
  </w:style>
  <w:style w:type="character" w:customStyle="1" w:styleId="441">
    <w:name w:val="Основной текст (44) + Не курсив"/>
    <w:basedOn w:val="a0"/>
    <w:rsid w:val="006637B0"/>
    <w:rPr>
      <w:rFonts w:ascii="Segoe UI" w:eastAsia="Segoe UI" w:hAnsi="Segoe UI" w:cs="Segoe UI"/>
      <w:b w:val="0"/>
      <w:bCs w:val="0"/>
      <w:i/>
      <w:iCs/>
      <w:smallCaps w:val="0"/>
      <w:strike w:val="0"/>
      <w:spacing w:val="0"/>
      <w:sz w:val="14"/>
      <w:szCs w:val="14"/>
    </w:rPr>
  </w:style>
  <w:style w:type="character" w:customStyle="1" w:styleId="860">
    <w:name w:val="Основной текст86"/>
    <w:basedOn w:val="af0"/>
    <w:rsid w:val="006637B0"/>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2">
    <w:name w:val="Основной текст (44)"/>
    <w:basedOn w:val="a0"/>
    <w:rsid w:val="0089038A"/>
    <w:rPr>
      <w:rFonts w:ascii="Segoe UI" w:eastAsia="Segoe UI" w:hAnsi="Segoe UI" w:cs="Segoe UI"/>
      <w:b w:val="0"/>
      <w:bCs w:val="0"/>
      <w:i w:val="0"/>
      <w:iCs w:val="0"/>
      <w:smallCaps w:val="0"/>
      <w:strike w:val="0"/>
      <w:spacing w:val="0"/>
      <w:sz w:val="14"/>
      <w:szCs w:val="14"/>
    </w:rPr>
  </w:style>
  <w:style w:type="paragraph" w:customStyle="1" w:styleId="2540">
    <w:name w:val="Основной текст254"/>
    <w:basedOn w:val="a"/>
    <w:rsid w:val="0089038A"/>
    <w:pPr>
      <w:shd w:val="clear" w:color="auto" w:fill="FFFFFF"/>
      <w:spacing w:line="0" w:lineRule="atLeast"/>
      <w:ind w:hanging="300"/>
    </w:pPr>
    <w:rPr>
      <w:rFonts w:ascii="Arial Unicode MS" w:eastAsia="Arial Unicode MS" w:hAnsi="Arial Unicode MS" w:cs="Arial Unicode MS"/>
      <w:color w:val="000000"/>
      <w:sz w:val="13"/>
      <w:szCs w:val="13"/>
      <w:lang w:val="ru"/>
    </w:rPr>
  </w:style>
  <w:style w:type="character" w:customStyle="1" w:styleId="174">
    <w:name w:val="Основной текст174"/>
    <w:basedOn w:val="af0"/>
    <w:rsid w:val="0089038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0"/>
    <w:rsid w:val="0089038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1">
    <w:name w:val="Основной текст (38)"/>
    <w:basedOn w:val="a0"/>
    <w:rsid w:val="008E1D5A"/>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8ArialUnicodeMS65pt">
    <w:name w:val="Основной текст (38) + Arial Unicode MS;6;5 pt;Не курсив"/>
    <w:basedOn w:val="a0"/>
    <w:rsid w:val="008E1D5A"/>
    <w:rPr>
      <w:rFonts w:ascii="Arial Unicode MS" w:eastAsia="Arial Unicode MS" w:hAnsi="Arial Unicode MS" w:cs="Arial Unicode MS"/>
      <w:b w:val="0"/>
      <w:bCs w:val="0"/>
      <w:i/>
      <w:iCs/>
      <w:smallCaps w:val="0"/>
      <w:strike w:val="0"/>
      <w:spacing w:val="0"/>
      <w:sz w:val="13"/>
      <w:szCs w:val="13"/>
    </w:rPr>
  </w:style>
  <w:style w:type="character" w:customStyle="1" w:styleId="SegoeUI7pt">
    <w:name w:val="Основной текст + Segoe UI;7 pt;Курсив"/>
    <w:basedOn w:val="af0"/>
    <w:rsid w:val="00B364A4"/>
    <w:rPr>
      <w:rFonts w:ascii="Segoe UI" w:eastAsia="Segoe UI" w:hAnsi="Segoe UI" w:cs="Segoe UI"/>
      <w:b w:val="0"/>
      <w:bCs w:val="0"/>
      <w:i/>
      <w:iCs/>
      <w:smallCaps w:val="0"/>
      <w:strike w:val="0"/>
      <w:spacing w:val="0"/>
      <w:sz w:val="14"/>
      <w:szCs w:val="14"/>
      <w:shd w:val="clear" w:color="auto" w:fill="FFFFFF"/>
    </w:rPr>
  </w:style>
  <w:style w:type="character" w:customStyle="1" w:styleId="176">
    <w:name w:val="Основной текст176"/>
    <w:basedOn w:val="af0"/>
    <w:rsid w:val="000510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0"/>
    <w:rsid w:val="000510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79">
    <w:name w:val="Основной текст79"/>
    <w:basedOn w:val="af0"/>
    <w:rsid w:val="000319FF"/>
    <w:rPr>
      <w:rFonts w:ascii="Segoe UI" w:eastAsia="Segoe UI" w:hAnsi="Segoe UI" w:cs="Segoe UI"/>
      <w:b w:val="0"/>
      <w:bCs w:val="0"/>
      <w:i w:val="0"/>
      <w:iCs w:val="0"/>
      <w:smallCaps w:val="0"/>
      <w:strike w:val="0"/>
      <w:spacing w:val="0"/>
      <w:sz w:val="14"/>
      <w:szCs w:val="14"/>
      <w:shd w:val="clear" w:color="auto" w:fill="FFFFFF"/>
    </w:rPr>
  </w:style>
  <w:style w:type="character" w:customStyle="1" w:styleId="affc">
    <w:name w:val="Другое_"/>
    <w:basedOn w:val="a0"/>
    <w:link w:val="affd"/>
    <w:rsid w:val="00890990"/>
    <w:rPr>
      <w:rFonts w:ascii="Arial" w:eastAsia="Arial" w:hAnsi="Arial" w:cs="Arial"/>
      <w:sz w:val="17"/>
      <w:szCs w:val="17"/>
    </w:rPr>
  </w:style>
  <w:style w:type="paragraph" w:customStyle="1" w:styleId="affd">
    <w:name w:val="Другое"/>
    <w:basedOn w:val="a"/>
    <w:link w:val="affc"/>
    <w:rsid w:val="00890990"/>
    <w:pPr>
      <w:widowControl w:val="0"/>
      <w:ind w:firstLine="180"/>
    </w:pPr>
    <w:rPr>
      <w:rFonts w:ascii="Arial" w:eastAsia="Arial" w:hAnsi="Arial" w:cs="Arial"/>
      <w:sz w:val="17"/>
      <w:szCs w:val="17"/>
    </w:rPr>
  </w:style>
  <w:style w:type="paragraph" w:customStyle="1" w:styleId="144">
    <w:name w:val="Заголовок №14"/>
    <w:basedOn w:val="a"/>
    <w:link w:val="145"/>
    <w:rsid w:val="00890990"/>
    <w:pPr>
      <w:shd w:val="clear" w:color="auto" w:fill="FFFFFF"/>
      <w:autoSpaceDE w:val="0"/>
      <w:autoSpaceDN w:val="0"/>
      <w:adjustRightInd w:val="0"/>
      <w:spacing w:after="180" w:line="240" w:lineRule="atLeast"/>
      <w:jc w:val="both"/>
    </w:pPr>
    <w:rPr>
      <w:rFonts w:ascii="Tahoma" w:eastAsiaTheme="minorHAnsi" w:hAnsi="Tahoma" w:cs="Tahoma"/>
      <w:sz w:val="30"/>
      <w:szCs w:val="30"/>
      <w:lang w:eastAsia="en-US"/>
    </w:rPr>
  </w:style>
  <w:style w:type="character" w:customStyle="1" w:styleId="145">
    <w:name w:val="Заголовок №14_"/>
    <w:basedOn w:val="a0"/>
    <w:link w:val="144"/>
    <w:rsid w:val="00890990"/>
    <w:rPr>
      <w:rFonts w:ascii="Tahoma" w:eastAsiaTheme="minorHAnsi" w:hAnsi="Tahoma" w:cs="Tahoma"/>
      <w:sz w:val="30"/>
      <w:szCs w:val="30"/>
      <w:shd w:val="clear" w:color="auto" w:fill="FFFFFF"/>
      <w:lang w:eastAsia="en-US"/>
    </w:rPr>
  </w:style>
  <w:style w:type="character" w:customStyle="1" w:styleId="641">
    <w:name w:val="Основной текст64"/>
    <w:basedOn w:val="af0"/>
    <w:rsid w:val="0070548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20">
    <w:name w:val="Основной текст82"/>
    <w:basedOn w:val="af0"/>
    <w:rsid w:val="00C90970"/>
    <w:rPr>
      <w:rFonts w:ascii="Segoe UI" w:eastAsia="Segoe UI" w:hAnsi="Segoe UI" w:cs="Segoe UI"/>
      <w:b w:val="0"/>
      <w:bCs w:val="0"/>
      <w:i w:val="0"/>
      <w:iCs w:val="0"/>
      <w:smallCaps w:val="0"/>
      <w:strike w:val="0"/>
      <w:spacing w:val="0"/>
      <w:sz w:val="14"/>
      <w:szCs w:val="14"/>
      <w:shd w:val="clear" w:color="auto" w:fill="FFFFFF"/>
    </w:rPr>
  </w:style>
  <w:style w:type="paragraph" w:customStyle="1" w:styleId="129">
    <w:name w:val="Основной текст129"/>
    <w:basedOn w:val="a"/>
    <w:rsid w:val="00177841"/>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rPr>
  </w:style>
  <w:style w:type="character" w:customStyle="1" w:styleId="650">
    <w:name w:val="Основной текст (65)_"/>
    <w:basedOn w:val="a0"/>
    <w:link w:val="651"/>
    <w:rsid w:val="00A826D9"/>
    <w:rPr>
      <w:rFonts w:ascii="Impact" w:eastAsia="Impact" w:hAnsi="Impact" w:cs="Impact"/>
      <w:spacing w:val="20"/>
      <w:sz w:val="26"/>
      <w:szCs w:val="26"/>
      <w:shd w:val="clear" w:color="auto" w:fill="FFFFFF"/>
    </w:rPr>
  </w:style>
  <w:style w:type="paragraph" w:customStyle="1" w:styleId="651">
    <w:name w:val="Основной текст (65)"/>
    <w:basedOn w:val="a"/>
    <w:link w:val="650"/>
    <w:rsid w:val="00A826D9"/>
    <w:pPr>
      <w:shd w:val="clear" w:color="auto" w:fill="FFFFFF"/>
      <w:spacing w:line="0" w:lineRule="atLeast"/>
    </w:pPr>
    <w:rPr>
      <w:rFonts w:ascii="Impact" w:eastAsia="Impact" w:hAnsi="Impact" w:cs="Impact"/>
      <w:spacing w:val="20"/>
      <w:sz w:val="26"/>
      <w:szCs w:val="26"/>
    </w:rPr>
  </w:style>
  <w:style w:type="character" w:customStyle="1" w:styleId="830">
    <w:name w:val="Основной текст83"/>
    <w:basedOn w:val="af0"/>
    <w:rsid w:val="00577914"/>
    <w:rPr>
      <w:rFonts w:ascii="Segoe UI" w:eastAsia="Segoe UI" w:hAnsi="Segoe UI" w:cs="Segoe UI"/>
      <w:b w:val="0"/>
      <w:bCs w:val="0"/>
      <w:i w:val="0"/>
      <w:iCs w:val="0"/>
      <w:smallCaps w:val="0"/>
      <w:strike w:val="0"/>
      <w:spacing w:val="0"/>
      <w:sz w:val="14"/>
      <w:szCs w:val="14"/>
      <w:shd w:val="clear" w:color="auto" w:fill="FFFFFF"/>
    </w:rPr>
  </w:style>
  <w:style w:type="character" w:customStyle="1" w:styleId="652">
    <w:name w:val="Основной текст (65) + Не курсив"/>
    <w:basedOn w:val="650"/>
    <w:rsid w:val="0057791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16">
    <w:name w:val="Основной текст116"/>
    <w:basedOn w:val="a"/>
    <w:rsid w:val="00B40924"/>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rPr>
  </w:style>
  <w:style w:type="character" w:customStyle="1" w:styleId="900">
    <w:name w:val="Основной текст90"/>
    <w:basedOn w:val="af0"/>
    <w:rsid w:val="00B40924"/>
    <w:rPr>
      <w:rFonts w:ascii="Trebuchet MS" w:eastAsia="Trebuchet MS" w:hAnsi="Trebuchet MS" w:cs="Trebuchet MS"/>
      <w:b w:val="0"/>
      <w:bCs w:val="0"/>
      <w:i w:val="0"/>
      <w:iCs w:val="0"/>
      <w:smallCaps w:val="0"/>
      <w:strike w:val="0"/>
      <w:spacing w:val="0"/>
      <w:sz w:val="14"/>
      <w:szCs w:val="14"/>
      <w:shd w:val="clear" w:color="auto" w:fill="FFFFFF"/>
    </w:rPr>
  </w:style>
  <w:style w:type="paragraph" w:customStyle="1" w:styleId="article-renderblock">
    <w:name w:val="article-render__block"/>
    <w:basedOn w:val="a"/>
    <w:rsid w:val="00D0059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917397">
      <w:bodyDiv w:val="1"/>
      <w:marLeft w:val="0"/>
      <w:marRight w:val="0"/>
      <w:marTop w:val="0"/>
      <w:marBottom w:val="0"/>
      <w:divBdr>
        <w:top w:val="none" w:sz="0" w:space="0" w:color="auto"/>
        <w:left w:val="none" w:sz="0" w:space="0" w:color="auto"/>
        <w:bottom w:val="none" w:sz="0" w:space="0" w:color="auto"/>
        <w:right w:val="none" w:sz="0" w:space="0" w:color="auto"/>
      </w:divBdr>
      <w:divsChild>
        <w:div w:id="503522033">
          <w:marLeft w:val="0"/>
          <w:marRight w:val="0"/>
          <w:marTop w:val="0"/>
          <w:marBottom w:val="0"/>
          <w:divBdr>
            <w:top w:val="none" w:sz="0" w:space="0" w:color="auto"/>
            <w:left w:val="none" w:sz="0" w:space="0" w:color="auto"/>
            <w:bottom w:val="none" w:sz="0" w:space="0" w:color="auto"/>
            <w:right w:val="none" w:sz="0" w:space="0" w:color="auto"/>
          </w:divBdr>
        </w:div>
      </w:divsChild>
    </w:div>
    <w:div w:id="49041295">
      <w:bodyDiv w:val="1"/>
      <w:marLeft w:val="0"/>
      <w:marRight w:val="0"/>
      <w:marTop w:val="0"/>
      <w:marBottom w:val="0"/>
      <w:divBdr>
        <w:top w:val="none" w:sz="0" w:space="0" w:color="auto"/>
        <w:left w:val="none" w:sz="0" w:space="0" w:color="auto"/>
        <w:bottom w:val="none" w:sz="0" w:space="0" w:color="auto"/>
        <w:right w:val="none" w:sz="0" w:space="0" w:color="auto"/>
      </w:divBdr>
      <w:divsChild>
        <w:div w:id="675109671">
          <w:marLeft w:val="0"/>
          <w:marRight w:val="0"/>
          <w:marTop w:val="0"/>
          <w:marBottom w:val="0"/>
          <w:divBdr>
            <w:top w:val="none" w:sz="0" w:space="0" w:color="auto"/>
            <w:left w:val="none" w:sz="0" w:space="0" w:color="auto"/>
            <w:bottom w:val="none" w:sz="0" w:space="0" w:color="auto"/>
            <w:right w:val="none" w:sz="0" w:space="0" w:color="auto"/>
          </w:divBdr>
          <w:divsChild>
            <w:div w:id="1891916063">
              <w:marLeft w:val="0"/>
              <w:marRight w:val="0"/>
              <w:marTop w:val="0"/>
              <w:marBottom w:val="0"/>
              <w:divBdr>
                <w:top w:val="none" w:sz="0" w:space="6" w:color="999999"/>
                <w:left w:val="none" w:sz="0" w:space="0" w:color="999999"/>
                <w:bottom w:val="none" w:sz="0" w:space="0" w:color="999999"/>
                <w:right w:val="none" w:sz="0" w:space="0" w:color="999999"/>
              </w:divBdr>
              <w:divsChild>
                <w:div w:id="1047337625">
                  <w:marLeft w:val="0"/>
                  <w:marRight w:val="0"/>
                  <w:marTop w:val="0"/>
                  <w:marBottom w:val="0"/>
                  <w:divBdr>
                    <w:top w:val="none" w:sz="0" w:space="0" w:color="auto"/>
                    <w:left w:val="none" w:sz="0" w:space="0" w:color="auto"/>
                    <w:bottom w:val="none" w:sz="0" w:space="0" w:color="auto"/>
                    <w:right w:val="none" w:sz="0" w:space="0" w:color="auto"/>
                  </w:divBdr>
                  <w:divsChild>
                    <w:div w:id="1648167304">
                      <w:marLeft w:val="0"/>
                      <w:marRight w:val="0"/>
                      <w:marTop w:val="0"/>
                      <w:marBottom w:val="0"/>
                      <w:divBdr>
                        <w:top w:val="none" w:sz="0" w:space="0" w:color="auto"/>
                        <w:left w:val="none" w:sz="0" w:space="0" w:color="auto"/>
                        <w:bottom w:val="single" w:sz="48" w:space="0" w:color="FFFFFF"/>
                        <w:right w:val="none" w:sz="0" w:space="0" w:color="auto"/>
                      </w:divBdr>
                      <w:divsChild>
                        <w:div w:id="1101799232">
                          <w:marLeft w:val="0"/>
                          <w:marRight w:val="300"/>
                          <w:marTop w:val="0"/>
                          <w:marBottom w:val="0"/>
                          <w:divBdr>
                            <w:top w:val="none" w:sz="0" w:space="0" w:color="auto"/>
                            <w:left w:val="none" w:sz="0" w:space="0" w:color="auto"/>
                            <w:bottom w:val="none" w:sz="0" w:space="0" w:color="auto"/>
                            <w:right w:val="none" w:sz="0" w:space="0" w:color="auto"/>
                          </w:divBdr>
                          <w:divsChild>
                            <w:div w:id="269632568">
                              <w:marLeft w:val="0"/>
                              <w:marRight w:val="300"/>
                              <w:marTop w:val="0"/>
                              <w:marBottom w:val="0"/>
                              <w:divBdr>
                                <w:top w:val="none" w:sz="0" w:space="0" w:color="auto"/>
                                <w:left w:val="none" w:sz="0" w:space="0" w:color="auto"/>
                                <w:bottom w:val="none" w:sz="0" w:space="0" w:color="auto"/>
                                <w:right w:val="none" w:sz="0" w:space="0" w:color="auto"/>
                              </w:divBdr>
                              <w:divsChild>
                                <w:div w:id="1597712530">
                                  <w:marLeft w:val="0"/>
                                  <w:marRight w:val="0"/>
                                  <w:marTop w:val="0"/>
                                  <w:marBottom w:val="0"/>
                                  <w:divBdr>
                                    <w:top w:val="none" w:sz="0" w:space="0" w:color="D61D00"/>
                                    <w:left w:val="none" w:sz="0" w:space="0" w:color="auto"/>
                                    <w:bottom w:val="none" w:sz="0" w:space="0" w:color="auto"/>
                                    <w:right w:val="none" w:sz="0" w:space="0" w:color="auto"/>
                                  </w:divBdr>
                                </w:div>
                              </w:divsChild>
                            </w:div>
                          </w:divsChild>
                        </w:div>
                      </w:divsChild>
                    </w:div>
                  </w:divsChild>
                </w:div>
              </w:divsChild>
            </w:div>
          </w:divsChild>
        </w:div>
      </w:divsChild>
    </w:div>
    <w:div w:id="360514379">
      <w:bodyDiv w:val="1"/>
      <w:marLeft w:val="0"/>
      <w:marRight w:val="0"/>
      <w:marTop w:val="0"/>
      <w:marBottom w:val="0"/>
      <w:divBdr>
        <w:top w:val="none" w:sz="0" w:space="0" w:color="auto"/>
        <w:left w:val="none" w:sz="0" w:space="0" w:color="auto"/>
        <w:bottom w:val="none" w:sz="0" w:space="0" w:color="auto"/>
        <w:right w:val="none" w:sz="0" w:space="0" w:color="auto"/>
      </w:divBdr>
      <w:divsChild>
        <w:div w:id="1132600236">
          <w:marLeft w:val="0"/>
          <w:marRight w:val="0"/>
          <w:marTop w:val="0"/>
          <w:marBottom w:val="0"/>
          <w:divBdr>
            <w:top w:val="none" w:sz="0" w:space="0" w:color="auto"/>
            <w:left w:val="none" w:sz="0" w:space="0" w:color="auto"/>
            <w:bottom w:val="none" w:sz="0" w:space="0" w:color="auto"/>
            <w:right w:val="none" w:sz="0" w:space="0" w:color="auto"/>
          </w:divBdr>
          <w:divsChild>
            <w:div w:id="1618488827">
              <w:blockQuote w:val="1"/>
              <w:marLeft w:val="720"/>
              <w:marRight w:val="720"/>
              <w:marTop w:val="100"/>
              <w:marBottom w:val="100"/>
              <w:divBdr>
                <w:top w:val="none" w:sz="0" w:space="0" w:color="auto"/>
                <w:left w:val="none" w:sz="0" w:space="0" w:color="auto"/>
                <w:bottom w:val="none" w:sz="0" w:space="0" w:color="auto"/>
                <w:right w:val="none" w:sz="0" w:space="0" w:color="auto"/>
              </w:divBdr>
            </w:div>
            <w:div w:id="75902917">
              <w:blockQuote w:val="1"/>
              <w:marLeft w:val="720"/>
              <w:marRight w:val="720"/>
              <w:marTop w:val="100"/>
              <w:marBottom w:val="100"/>
              <w:divBdr>
                <w:top w:val="none" w:sz="0" w:space="0" w:color="auto"/>
                <w:left w:val="none" w:sz="0" w:space="0" w:color="auto"/>
                <w:bottom w:val="none" w:sz="0" w:space="0" w:color="auto"/>
                <w:right w:val="none" w:sz="0" w:space="0" w:color="auto"/>
              </w:divBdr>
            </w:div>
            <w:div w:id="1066221298">
              <w:blockQuote w:val="1"/>
              <w:marLeft w:val="720"/>
              <w:marRight w:val="720"/>
              <w:marTop w:val="100"/>
              <w:marBottom w:val="100"/>
              <w:divBdr>
                <w:top w:val="none" w:sz="0" w:space="0" w:color="auto"/>
                <w:left w:val="none" w:sz="0" w:space="0" w:color="auto"/>
                <w:bottom w:val="none" w:sz="0" w:space="0" w:color="auto"/>
                <w:right w:val="none" w:sz="0" w:space="0" w:color="auto"/>
              </w:divBdr>
            </w:div>
            <w:div w:id="1684436490">
              <w:blockQuote w:val="1"/>
              <w:marLeft w:val="720"/>
              <w:marRight w:val="720"/>
              <w:marTop w:val="100"/>
              <w:marBottom w:val="100"/>
              <w:divBdr>
                <w:top w:val="none" w:sz="0" w:space="0" w:color="auto"/>
                <w:left w:val="none" w:sz="0" w:space="0" w:color="auto"/>
                <w:bottom w:val="none" w:sz="0" w:space="0" w:color="auto"/>
                <w:right w:val="none" w:sz="0" w:space="0" w:color="auto"/>
              </w:divBdr>
            </w:div>
            <w:div w:id="42122339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477693604">
      <w:bodyDiv w:val="1"/>
      <w:marLeft w:val="0"/>
      <w:marRight w:val="0"/>
      <w:marTop w:val="0"/>
      <w:marBottom w:val="0"/>
      <w:divBdr>
        <w:top w:val="none" w:sz="0" w:space="0" w:color="auto"/>
        <w:left w:val="none" w:sz="0" w:space="0" w:color="auto"/>
        <w:bottom w:val="none" w:sz="0" w:space="0" w:color="auto"/>
        <w:right w:val="none" w:sz="0" w:space="0" w:color="auto"/>
      </w:divBdr>
      <w:divsChild>
        <w:div w:id="1157964846">
          <w:marLeft w:val="0"/>
          <w:marRight w:val="0"/>
          <w:marTop w:val="0"/>
          <w:marBottom w:val="0"/>
          <w:divBdr>
            <w:top w:val="none" w:sz="0" w:space="0" w:color="auto"/>
            <w:left w:val="single" w:sz="48" w:space="0" w:color="E5E5E5"/>
            <w:bottom w:val="none" w:sz="0" w:space="0" w:color="auto"/>
            <w:right w:val="single" w:sz="48" w:space="0" w:color="E5E5E5"/>
          </w:divBdr>
          <w:divsChild>
            <w:div w:id="1388409742">
              <w:marLeft w:val="0"/>
              <w:marRight w:val="0"/>
              <w:marTop w:val="0"/>
              <w:marBottom w:val="75"/>
              <w:divBdr>
                <w:top w:val="none" w:sz="0" w:space="0" w:color="auto"/>
                <w:left w:val="none" w:sz="0" w:space="0" w:color="auto"/>
                <w:bottom w:val="none" w:sz="0" w:space="0" w:color="auto"/>
                <w:right w:val="none" w:sz="0" w:space="0" w:color="auto"/>
              </w:divBdr>
              <w:divsChild>
                <w:div w:id="1627352017">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128550007">
      <w:bodyDiv w:val="1"/>
      <w:marLeft w:val="0"/>
      <w:marRight w:val="0"/>
      <w:marTop w:val="0"/>
      <w:marBottom w:val="0"/>
      <w:divBdr>
        <w:top w:val="none" w:sz="0" w:space="0" w:color="auto"/>
        <w:left w:val="none" w:sz="0" w:space="0" w:color="auto"/>
        <w:bottom w:val="none" w:sz="0" w:space="0" w:color="auto"/>
        <w:right w:val="none" w:sz="0" w:space="0" w:color="auto"/>
      </w:divBdr>
      <w:divsChild>
        <w:div w:id="369306679">
          <w:marLeft w:val="0"/>
          <w:marRight w:val="0"/>
          <w:marTop w:val="0"/>
          <w:marBottom w:val="0"/>
          <w:divBdr>
            <w:top w:val="none" w:sz="0" w:space="0" w:color="auto"/>
            <w:left w:val="none" w:sz="0" w:space="0" w:color="auto"/>
            <w:bottom w:val="none" w:sz="0" w:space="0" w:color="auto"/>
            <w:right w:val="none" w:sz="0" w:space="0" w:color="auto"/>
          </w:divBdr>
        </w:div>
      </w:divsChild>
    </w:div>
    <w:div w:id="1349989683">
      <w:bodyDiv w:val="1"/>
      <w:marLeft w:val="0"/>
      <w:marRight w:val="0"/>
      <w:marTop w:val="0"/>
      <w:marBottom w:val="0"/>
      <w:divBdr>
        <w:top w:val="none" w:sz="0" w:space="0" w:color="auto"/>
        <w:left w:val="none" w:sz="0" w:space="0" w:color="auto"/>
        <w:bottom w:val="none" w:sz="0" w:space="0" w:color="auto"/>
        <w:right w:val="none" w:sz="0" w:space="0" w:color="auto"/>
      </w:divBdr>
      <w:divsChild>
        <w:div w:id="1050805233">
          <w:marLeft w:val="0"/>
          <w:marRight w:val="0"/>
          <w:marTop w:val="0"/>
          <w:marBottom w:val="0"/>
          <w:divBdr>
            <w:top w:val="none" w:sz="0" w:space="0" w:color="auto"/>
            <w:left w:val="none" w:sz="0" w:space="0" w:color="auto"/>
            <w:bottom w:val="none" w:sz="0" w:space="0" w:color="auto"/>
            <w:right w:val="none" w:sz="0" w:space="0" w:color="auto"/>
          </w:divBdr>
        </w:div>
      </w:divsChild>
    </w:div>
    <w:div w:id="1467552187">
      <w:bodyDiv w:val="1"/>
      <w:marLeft w:val="0"/>
      <w:marRight w:val="0"/>
      <w:marTop w:val="0"/>
      <w:marBottom w:val="0"/>
      <w:divBdr>
        <w:top w:val="none" w:sz="0" w:space="0" w:color="auto"/>
        <w:left w:val="none" w:sz="0" w:space="0" w:color="auto"/>
        <w:bottom w:val="none" w:sz="0" w:space="0" w:color="auto"/>
        <w:right w:val="none" w:sz="0" w:space="0" w:color="auto"/>
      </w:divBdr>
      <w:divsChild>
        <w:div w:id="1361123385">
          <w:marLeft w:val="0"/>
          <w:marRight w:val="0"/>
          <w:marTop w:val="0"/>
          <w:marBottom w:val="0"/>
          <w:divBdr>
            <w:top w:val="none" w:sz="0" w:space="0" w:color="auto"/>
            <w:left w:val="none" w:sz="0" w:space="0" w:color="auto"/>
            <w:bottom w:val="none" w:sz="0" w:space="0" w:color="auto"/>
            <w:right w:val="none" w:sz="0" w:space="0" w:color="auto"/>
          </w:divBdr>
          <w:divsChild>
            <w:div w:id="1814565708">
              <w:marLeft w:val="0"/>
              <w:marRight w:val="0"/>
              <w:marTop w:val="0"/>
              <w:marBottom w:val="0"/>
              <w:divBdr>
                <w:top w:val="none" w:sz="0" w:space="0" w:color="auto"/>
                <w:left w:val="single" w:sz="6" w:space="15" w:color="CCCCCC"/>
                <w:bottom w:val="none" w:sz="0" w:space="0" w:color="auto"/>
                <w:right w:val="single" w:sz="6" w:space="15" w:color="CCCCCC"/>
              </w:divBdr>
              <w:divsChild>
                <w:div w:id="1414011231">
                  <w:marLeft w:val="0"/>
                  <w:marRight w:val="0"/>
                  <w:marTop w:val="0"/>
                  <w:marBottom w:val="0"/>
                  <w:divBdr>
                    <w:top w:val="none" w:sz="0" w:space="0" w:color="auto"/>
                    <w:left w:val="none" w:sz="0" w:space="0" w:color="auto"/>
                    <w:bottom w:val="none" w:sz="0" w:space="0" w:color="auto"/>
                    <w:right w:val="none" w:sz="0" w:space="0" w:color="auto"/>
                  </w:divBdr>
                  <w:divsChild>
                    <w:div w:id="1045981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5773033">
      <w:bodyDiv w:val="1"/>
      <w:marLeft w:val="0"/>
      <w:marRight w:val="0"/>
      <w:marTop w:val="0"/>
      <w:marBottom w:val="0"/>
      <w:divBdr>
        <w:top w:val="none" w:sz="0" w:space="0" w:color="auto"/>
        <w:left w:val="none" w:sz="0" w:space="0" w:color="auto"/>
        <w:bottom w:val="none" w:sz="0" w:space="0" w:color="auto"/>
        <w:right w:val="none" w:sz="0" w:space="0" w:color="auto"/>
      </w:divBdr>
      <w:divsChild>
        <w:div w:id="774986027">
          <w:marLeft w:val="0"/>
          <w:marRight w:val="0"/>
          <w:marTop w:val="0"/>
          <w:marBottom w:val="0"/>
          <w:divBdr>
            <w:top w:val="none" w:sz="0" w:space="0" w:color="auto"/>
            <w:left w:val="none" w:sz="0" w:space="0" w:color="auto"/>
            <w:bottom w:val="none" w:sz="0" w:space="0" w:color="auto"/>
            <w:right w:val="none" w:sz="0" w:space="0" w:color="auto"/>
          </w:divBdr>
        </w:div>
      </w:divsChild>
    </w:div>
    <w:div w:id="1697536134">
      <w:bodyDiv w:val="1"/>
      <w:marLeft w:val="0"/>
      <w:marRight w:val="0"/>
      <w:marTop w:val="0"/>
      <w:marBottom w:val="0"/>
      <w:divBdr>
        <w:top w:val="none" w:sz="0" w:space="0" w:color="auto"/>
        <w:left w:val="none" w:sz="0" w:space="0" w:color="auto"/>
        <w:bottom w:val="none" w:sz="0" w:space="0" w:color="auto"/>
        <w:right w:val="none" w:sz="0" w:space="0" w:color="auto"/>
      </w:divBdr>
      <w:divsChild>
        <w:div w:id="1114398482">
          <w:marLeft w:val="0"/>
          <w:marRight w:val="0"/>
          <w:marTop w:val="0"/>
          <w:marBottom w:val="0"/>
          <w:divBdr>
            <w:top w:val="none" w:sz="0" w:space="0" w:color="auto"/>
            <w:left w:val="none" w:sz="0" w:space="0" w:color="auto"/>
            <w:bottom w:val="none" w:sz="0" w:space="0" w:color="auto"/>
            <w:right w:val="none" w:sz="0" w:space="0" w:color="auto"/>
          </w:divBdr>
          <w:divsChild>
            <w:div w:id="1724480012">
              <w:marLeft w:val="0"/>
              <w:marRight w:val="0"/>
              <w:marTop w:val="0"/>
              <w:marBottom w:val="0"/>
              <w:divBdr>
                <w:top w:val="none" w:sz="0" w:space="0" w:color="auto"/>
                <w:left w:val="single" w:sz="6" w:space="15" w:color="CCCCCC"/>
                <w:bottom w:val="none" w:sz="0" w:space="0" w:color="auto"/>
                <w:right w:val="single" w:sz="6" w:space="15" w:color="CCCCCC"/>
              </w:divBdr>
              <w:divsChild>
                <w:div w:id="260458537">
                  <w:marLeft w:val="0"/>
                  <w:marRight w:val="0"/>
                  <w:marTop w:val="0"/>
                  <w:marBottom w:val="0"/>
                  <w:divBdr>
                    <w:top w:val="none" w:sz="0" w:space="0" w:color="auto"/>
                    <w:left w:val="none" w:sz="0" w:space="0" w:color="auto"/>
                    <w:bottom w:val="none" w:sz="0" w:space="0" w:color="auto"/>
                    <w:right w:val="none" w:sz="0" w:space="0" w:color="auto"/>
                  </w:divBdr>
                  <w:divsChild>
                    <w:div w:id="1949459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4057019">
      <w:bodyDiv w:val="1"/>
      <w:marLeft w:val="0"/>
      <w:marRight w:val="0"/>
      <w:marTop w:val="0"/>
      <w:marBottom w:val="0"/>
      <w:divBdr>
        <w:top w:val="none" w:sz="0" w:space="0" w:color="auto"/>
        <w:left w:val="none" w:sz="0" w:space="0" w:color="auto"/>
        <w:bottom w:val="none" w:sz="0" w:space="0" w:color="auto"/>
        <w:right w:val="none" w:sz="0" w:space="0" w:color="auto"/>
      </w:divBdr>
      <w:divsChild>
        <w:div w:id="416441033">
          <w:marLeft w:val="0"/>
          <w:marRight w:val="0"/>
          <w:marTop w:val="0"/>
          <w:marBottom w:val="0"/>
          <w:divBdr>
            <w:top w:val="none" w:sz="0" w:space="0" w:color="auto"/>
            <w:left w:val="none" w:sz="0" w:space="0" w:color="auto"/>
            <w:bottom w:val="none" w:sz="0" w:space="0" w:color="auto"/>
            <w:right w:val="none" w:sz="0" w:space="0" w:color="auto"/>
          </w:divBdr>
        </w:div>
      </w:divsChild>
    </w:div>
    <w:div w:id="1926259510">
      <w:bodyDiv w:val="1"/>
      <w:marLeft w:val="0"/>
      <w:marRight w:val="0"/>
      <w:marTop w:val="0"/>
      <w:marBottom w:val="0"/>
      <w:divBdr>
        <w:top w:val="none" w:sz="0" w:space="0" w:color="auto"/>
        <w:left w:val="none" w:sz="0" w:space="0" w:color="auto"/>
        <w:bottom w:val="none" w:sz="0" w:space="0" w:color="auto"/>
        <w:right w:val="none" w:sz="0" w:space="0" w:color="auto"/>
      </w:divBdr>
      <w:divsChild>
        <w:div w:id="1412852039">
          <w:marLeft w:val="0"/>
          <w:marRight w:val="0"/>
          <w:marTop w:val="0"/>
          <w:marBottom w:val="0"/>
          <w:divBdr>
            <w:top w:val="none" w:sz="0" w:space="0" w:color="auto"/>
            <w:left w:val="none" w:sz="0" w:space="0" w:color="auto"/>
            <w:bottom w:val="none" w:sz="0" w:space="0" w:color="auto"/>
            <w:right w:val="none" w:sz="0" w:space="0" w:color="auto"/>
          </w:divBdr>
          <w:divsChild>
            <w:div w:id="970331396">
              <w:marLeft w:val="1"/>
              <w:marRight w:val="0"/>
              <w:marTop w:val="0"/>
              <w:marBottom w:val="0"/>
              <w:divBdr>
                <w:top w:val="none" w:sz="0" w:space="0" w:color="auto"/>
                <w:left w:val="none" w:sz="0" w:space="0" w:color="auto"/>
                <w:bottom w:val="none" w:sz="0" w:space="0" w:color="auto"/>
                <w:right w:val="none" w:sz="0" w:space="0" w:color="auto"/>
              </w:divBdr>
              <w:divsChild>
                <w:div w:id="863640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062977">
      <w:bodyDiv w:val="1"/>
      <w:marLeft w:val="0"/>
      <w:marRight w:val="0"/>
      <w:marTop w:val="0"/>
      <w:marBottom w:val="0"/>
      <w:divBdr>
        <w:top w:val="none" w:sz="0" w:space="0" w:color="auto"/>
        <w:left w:val="none" w:sz="0" w:space="0" w:color="auto"/>
        <w:bottom w:val="none" w:sz="0" w:space="0" w:color="auto"/>
        <w:right w:val="none" w:sz="0" w:space="0" w:color="auto"/>
      </w:divBdr>
      <w:divsChild>
        <w:div w:id="17196952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detectivebooks.ru/book/47013018/?page=17" TargetMode="External"/><Relationship Id="rId299" Type="http://schemas.openxmlformats.org/officeDocument/2006/relationships/hyperlink" Target="http://istmat.info/node/33263" TargetMode="External"/><Relationship Id="rId303" Type="http://schemas.openxmlformats.org/officeDocument/2006/relationships/hyperlink" Target="http://istmat.info/node/33263" TargetMode="External"/><Relationship Id="rId21" Type="http://schemas.openxmlformats.org/officeDocument/2006/relationships/hyperlink" Target="http://www.airwar.ru/enc/flyboat/late521.html" TargetMode="External"/><Relationship Id="rId42" Type="http://schemas.openxmlformats.org/officeDocument/2006/relationships/hyperlink" Target="http://airspot.ru/catalogue/item/arhangelskiy-sb" TargetMode="External"/><Relationship Id="rId63" Type="http://schemas.openxmlformats.org/officeDocument/2006/relationships/hyperlink" Target="http://www.airwar.ru/enc/cww2/g18.html" TargetMode="External"/><Relationship Id="rId84" Type="http://schemas.openxmlformats.org/officeDocument/2006/relationships/hyperlink" Target="http://www.rpg-club.com/x1000" TargetMode="External"/><Relationship Id="rId138" Type="http://schemas.openxmlformats.org/officeDocument/2006/relationships/hyperlink" Target="http://www.airwar.ru/enc/bww1/aw23.html" TargetMode="External"/><Relationship Id="rId159" Type="http://schemas.openxmlformats.org/officeDocument/2006/relationships/hyperlink" Target="http://detectivebooks.ru/book/47013018/?page=29" TargetMode="External"/><Relationship Id="rId324" Type="http://schemas.openxmlformats.org/officeDocument/2006/relationships/hyperlink" Target="http://istmat.info/node/33264" TargetMode="External"/><Relationship Id="rId345" Type="http://schemas.openxmlformats.org/officeDocument/2006/relationships/hyperlink" Target="http://detectivebooks.ru/book/47013018/?page=36" TargetMode="External"/><Relationship Id="rId170" Type="http://schemas.openxmlformats.org/officeDocument/2006/relationships/hyperlink" Target="http://detectivebooks.ru/book/47013018/?page=29" TargetMode="External"/><Relationship Id="rId191" Type="http://schemas.openxmlformats.org/officeDocument/2006/relationships/hyperlink" Target="http://detectivebooks.ru/book/47013018/?page=19" TargetMode="External"/><Relationship Id="rId205" Type="http://schemas.openxmlformats.org/officeDocument/2006/relationships/hyperlink" Target="http://detectivebooks.ru/book/47013018/?page=28" TargetMode="External"/><Relationship Id="rId226" Type="http://schemas.openxmlformats.org/officeDocument/2006/relationships/hyperlink" Target="http://istmat.info/node/33256" TargetMode="External"/><Relationship Id="rId247" Type="http://schemas.openxmlformats.org/officeDocument/2006/relationships/hyperlink" Target="http://istmat.info/node/33257" TargetMode="External"/><Relationship Id="rId107" Type="http://schemas.openxmlformats.org/officeDocument/2006/relationships/hyperlink" Target="http://www.rpg-club.com/x1000" TargetMode="External"/><Relationship Id="rId268" Type="http://schemas.openxmlformats.org/officeDocument/2006/relationships/hyperlink" Target="http://istmat.info/node/33258" TargetMode="External"/><Relationship Id="rId289" Type="http://schemas.openxmlformats.org/officeDocument/2006/relationships/hyperlink" Target="http://istmat.info/node/33260" TargetMode="External"/><Relationship Id="rId11" Type="http://schemas.openxmlformats.org/officeDocument/2006/relationships/hyperlink" Target="http://ru.wikipedia.org/wiki/1934_%D0%B3%D0%BE%D0%B4" TargetMode="External"/><Relationship Id="rId32" Type="http://schemas.openxmlformats.org/officeDocument/2006/relationships/hyperlink" Target="http://www.rpg-club.com/x1000" TargetMode="External"/><Relationship Id="rId53" Type="http://schemas.openxmlformats.org/officeDocument/2006/relationships/hyperlink" Target="http://wunderwaffe.narod.ru/HistoryBook/LuftAces/Bomb/02.htm" TargetMode="External"/><Relationship Id="rId74" Type="http://schemas.openxmlformats.org/officeDocument/2006/relationships/hyperlink" Target="http://www.airwar.ru/enc/flyboat/bleriot5190.html" TargetMode="External"/><Relationship Id="rId128" Type="http://schemas.openxmlformats.org/officeDocument/2006/relationships/hyperlink" Target="http://istmat.info/node/48510" TargetMode="External"/><Relationship Id="rId149" Type="http://schemas.openxmlformats.org/officeDocument/2006/relationships/hyperlink" Target="http://www.airwar.ru/enc/sww2/fokc11.html" TargetMode="External"/><Relationship Id="rId314" Type="http://schemas.openxmlformats.org/officeDocument/2006/relationships/hyperlink" Target="http://istmat.info/node/33264" TargetMode="External"/><Relationship Id="rId335" Type="http://schemas.openxmlformats.org/officeDocument/2006/relationships/hyperlink" Target="http://istmat.info/node/33269" TargetMode="External"/><Relationship Id="rId5" Type="http://schemas.openxmlformats.org/officeDocument/2006/relationships/webSettings" Target="webSettings.xml"/><Relationship Id="rId95" Type="http://schemas.openxmlformats.org/officeDocument/2006/relationships/hyperlink" Target="http://www.airwar.ru/enc/fww1/dip.html" TargetMode="External"/><Relationship Id="rId160" Type="http://schemas.openxmlformats.org/officeDocument/2006/relationships/hyperlink" Target="http://www.airwar.ru/enc/sww2/mk1.html" TargetMode="External"/><Relationship Id="rId181" Type="http://schemas.openxmlformats.org/officeDocument/2006/relationships/hyperlink" Target="http://detectivebooks.ru/book/47013018/?page=29" TargetMode="External"/><Relationship Id="rId216" Type="http://schemas.openxmlformats.org/officeDocument/2006/relationships/hyperlink" Target="http://istmat.info/node/48304" TargetMode="External"/><Relationship Id="rId237" Type="http://schemas.openxmlformats.org/officeDocument/2006/relationships/hyperlink" Target="http://istmat.info/node/33256" TargetMode="External"/><Relationship Id="rId258" Type="http://schemas.openxmlformats.org/officeDocument/2006/relationships/hyperlink" Target="http://istmat.info/node/33258" TargetMode="External"/><Relationship Id="rId279" Type="http://schemas.openxmlformats.org/officeDocument/2006/relationships/hyperlink" Target="http://istmat.info/node/33259" TargetMode="External"/><Relationship Id="rId22" Type="http://schemas.openxmlformats.org/officeDocument/2006/relationships/hyperlink" Target="http://airspot.ru/catalogue/item/focke-wulf-fw-58-weihe" TargetMode="External"/><Relationship Id="rId43" Type="http://schemas.openxmlformats.org/officeDocument/2006/relationships/hyperlink" Target="http://crimso.msk.ru/Site/Crafts/Craft30584.htm" TargetMode="External"/><Relationship Id="rId64" Type="http://schemas.openxmlformats.org/officeDocument/2006/relationships/hyperlink" Target="http://detectivebooks.ru/book/47013018/?page=19" TargetMode="External"/><Relationship Id="rId118" Type="http://schemas.openxmlformats.org/officeDocument/2006/relationships/hyperlink" Target="http://detectivebooks.ru/book/47013018/?page=14" TargetMode="External"/><Relationship Id="rId139" Type="http://schemas.openxmlformats.org/officeDocument/2006/relationships/hyperlink" Target="http://www.airwar.ru/enc/sww2/pby.html" TargetMode="External"/><Relationship Id="rId290" Type="http://schemas.openxmlformats.org/officeDocument/2006/relationships/hyperlink" Target="http://istmat.info/node/33260" TargetMode="External"/><Relationship Id="rId304" Type="http://schemas.openxmlformats.org/officeDocument/2006/relationships/hyperlink" Target="http://istmat.info/node/33263" TargetMode="External"/><Relationship Id="rId325" Type="http://schemas.openxmlformats.org/officeDocument/2006/relationships/hyperlink" Target="http://istmat.info/node/33264" TargetMode="External"/><Relationship Id="rId346" Type="http://schemas.openxmlformats.org/officeDocument/2006/relationships/hyperlink" Target="http://detectivebooks.ru/book/47013018/?page=53" TargetMode="External"/><Relationship Id="rId85" Type="http://schemas.openxmlformats.org/officeDocument/2006/relationships/hyperlink" Target="http://www.rpg-club.com/x1000" TargetMode="External"/><Relationship Id="rId150" Type="http://schemas.openxmlformats.org/officeDocument/2006/relationships/hyperlink" Target="http://eroplany.narod.ru/shavrov/chr10/civil/itsk.htm" TargetMode="External"/><Relationship Id="rId171" Type="http://schemas.openxmlformats.org/officeDocument/2006/relationships/hyperlink" Target="http://www.airwar.ru/enc/fww2/ms405.html" TargetMode="External"/><Relationship Id="rId192" Type="http://schemas.openxmlformats.org/officeDocument/2006/relationships/hyperlink" Target="http://detectivebooks.ru/book/47013018/?page=20" TargetMode="External"/><Relationship Id="rId206" Type="http://schemas.openxmlformats.org/officeDocument/2006/relationships/hyperlink" Target="http://istmat.info/node/48309" TargetMode="External"/><Relationship Id="rId227" Type="http://schemas.openxmlformats.org/officeDocument/2006/relationships/hyperlink" Target="http://istmat.info/node/33256" TargetMode="External"/><Relationship Id="rId248" Type="http://schemas.openxmlformats.org/officeDocument/2006/relationships/hyperlink" Target="http://istmat.info/node/33257" TargetMode="External"/><Relationship Id="rId269" Type="http://schemas.openxmlformats.org/officeDocument/2006/relationships/hyperlink" Target="http://istmat.info/node/33258" TargetMode="External"/><Relationship Id="rId12" Type="http://schemas.openxmlformats.org/officeDocument/2006/relationships/hyperlink" Target="http://ru.wikipedia.org/wiki/%D0%9F%D0%BE%D0%BB%D0%B8%D1%82%D0%B1%D1%8E%D1%80%D0%BE_%D0%A6%D0%9A_%D0%9A%D0%9F%D0%A1%D0%A1" TargetMode="External"/><Relationship Id="rId33" Type="http://schemas.openxmlformats.org/officeDocument/2006/relationships/hyperlink" Target="http://airspot.ru/catalogue/item/bleriot-5190-santos-dumont%20target=" TargetMode="External"/><Relationship Id="rId108" Type="http://schemas.openxmlformats.org/officeDocument/2006/relationships/hyperlink" Target="http://www.airwar.ru/enc/glider/g14.html" TargetMode="External"/><Relationship Id="rId129" Type="http://schemas.openxmlformats.org/officeDocument/2006/relationships/hyperlink" Target="http://istmat.info/node/48508" TargetMode="External"/><Relationship Id="rId280" Type="http://schemas.openxmlformats.org/officeDocument/2006/relationships/hyperlink" Target="http://istmat.info/node/33259" TargetMode="External"/><Relationship Id="rId315" Type="http://schemas.openxmlformats.org/officeDocument/2006/relationships/hyperlink" Target="http://istmat.info/node/33264" TargetMode="External"/><Relationship Id="rId336" Type="http://schemas.openxmlformats.org/officeDocument/2006/relationships/hyperlink" Target="http://istmat.info/node/33269" TargetMode="External"/><Relationship Id="rId54" Type="http://schemas.openxmlformats.org/officeDocument/2006/relationships/hyperlink" Target="http://detectivebooks.ru/book/47013018/?page=47" TargetMode="External"/><Relationship Id="rId75" Type="http://schemas.openxmlformats.org/officeDocument/2006/relationships/hyperlink" Target="http://www.airwar.ru/enc/sww2/br521.html" TargetMode="External"/><Relationship Id="rId96" Type="http://schemas.openxmlformats.org/officeDocument/2006/relationships/hyperlink" Target="https://t34inform.ru/doc/1935-05-04_BT-IS.html" TargetMode="External"/><Relationship Id="rId140" Type="http://schemas.openxmlformats.org/officeDocument/2006/relationships/hyperlink" Target="http://www.avia-il.przd.ru/il_ckb26.php" TargetMode="External"/><Relationship Id="rId161" Type="http://schemas.openxmlformats.org/officeDocument/2006/relationships/hyperlink" Target="http://www.airwar.ru/enc/other2/m3.html" TargetMode="External"/><Relationship Id="rId182" Type="http://schemas.openxmlformats.org/officeDocument/2006/relationships/hyperlink" Target="http://detectivebooks.ru/book/47013018/?page=29" TargetMode="External"/><Relationship Id="rId217" Type="http://schemas.openxmlformats.org/officeDocument/2006/relationships/hyperlink" Target="http://alternathistory.com/mnogotselevoj-samolet-stal-7-sssr/" TargetMode="External"/><Relationship Id="rId6" Type="http://schemas.openxmlformats.org/officeDocument/2006/relationships/hyperlink" Target="http://ru.wikipedia.org/wiki/1935_%D0%B3%D0%BE%D0%B4" TargetMode="External"/><Relationship Id="rId238" Type="http://schemas.openxmlformats.org/officeDocument/2006/relationships/hyperlink" Target="http://istmat.info/node/33256" TargetMode="External"/><Relationship Id="rId259" Type="http://schemas.openxmlformats.org/officeDocument/2006/relationships/hyperlink" Target="http://istmat.info/node/33258" TargetMode="External"/><Relationship Id="rId23" Type="http://schemas.openxmlformats.org/officeDocument/2006/relationships/hyperlink" Target="http://www.airwar.ru/enc/cw1/potez62.html" TargetMode="External"/><Relationship Id="rId119" Type="http://schemas.openxmlformats.org/officeDocument/2006/relationships/hyperlink" Target="http://www.airwar.ru/enc/cw1/s43.html" TargetMode="External"/><Relationship Id="rId270" Type="http://schemas.openxmlformats.org/officeDocument/2006/relationships/hyperlink" Target="http://istmat.info/node/33258" TargetMode="External"/><Relationship Id="rId291" Type="http://schemas.openxmlformats.org/officeDocument/2006/relationships/hyperlink" Target="http://istmat.info/node/33260" TargetMode="External"/><Relationship Id="rId305" Type="http://schemas.openxmlformats.org/officeDocument/2006/relationships/hyperlink" Target="http://istmat.info/node/33263" TargetMode="External"/><Relationship Id="rId326" Type="http://schemas.openxmlformats.org/officeDocument/2006/relationships/hyperlink" Target="http://istmat.info/node/33264" TargetMode="External"/><Relationship Id="rId347" Type="http://schemas.openxmlformats.org/officeDocument/2006/relationships/hyperlink" Target="http://www.rpg-club.com/x1000" TargetMode="External"/><Relationship Id="rId44" Type="http://schemas.openxmlformats.org/officeDocument/2006/relationships/hyperlink" Target="http://www.airwar.ru/enc/cw1/pr5.html" TargetMode="External"/><Relationship Id="rId65" Type="http://schemas.openxmlformats.org/officeDocument/2006/relationships/hyperlink" Target="http://www.airwar.ru/enc/fww2/f3f.html" TargetMode="External"/><Relationship Id="rId86" Type="http://schemas.openxmlformats.org/officeDocument/2006/relationships/hyperlink" Target="http://www.rpg-club.com/x1000" TargetMode="External"/><Relationship Id="rId130" Type="http://schemas.openxmlformats.org/officeDocument/2006/relationships/hyperlink" Target="http://istmat.info/node/48309" TargetMode="External"/><Relationship Id="rId151" Type="http://schemas.openxmlformats.org/officeDocument/2006/relationships/hyperlink" Target="http://detectivebooks.ru/book/47013018/?page=40" TargetMode="External"/><Relationship Id="rId172" Type="http://schemas.openxmlformats.org/officeDocument/2006/relationships/hyperlink" Target="http://www.airwar.ru/enc/cw1/z1010.html" TargetMode="External"/><Relationship Id="rId193" Type="http://schemas.openxmlformats.org/officeDocument/2006/relationships/hyperlink" Target="http://detectivebooks.ru/book/47013018/?page=20" TargetMode="External"/><Relationship Id="rId207" Type="http://schemas.openxmlformats.org/officeDocument/2006/relationships/hyperlink" Target="http://detectivebooks.ru/book/47013018/?page=32" TargetMode="External"/><Relationship Id="rId228" Type="http://schemas.openxmlformats.org/officeDocument/2006/relationships/hyperlink" Target="http://istmat.info/node/33256" TargetMode="External"/><Relationship Id="rId249" Type="http://schemas.openxmlformats.org/officeDocument/2006/relationships/hyperlink" Target="http://istmat.info/node/33257" TargetMode="External"/><Relationship Id="rId13" Type="http://schemas.openxmlformats.org/officeDocument/2006/relationships/hyperlink" Target="http://ru.wikipedia.org/wiki/%D0%9F%D0%BE%D0%B4%D0%B2%D0%BE%D0%B4%D0%BD%D1%8B%D0%B5_%D0%BB%D0%BE%D0%B4%D0%BA%D0%B8_%D1%82%D0%B8%D0%BF%D0%B0_%C2%AB%D0%A9%D1%83%D0%BA%D0%B0%C2%BB" TargetMode="External"/><Relationship Id="rId109" Type="http://schemas.openxmlformats.org/officeDocument/2006/relationships/hyperlink" Target="http://www.rpg-club.com/x1000" TargetMode="External"/><Relationship Id="rId260" Type="http://schemas.openxmlformats.org/officeDocument/2006/relationships/hyperlink" Target="http://istmat.info/node/33258" TargetMode="External"/><Relationship Id="rId281" Type="http://schemas.openxmlformats.org/officeDocument/2006/relationships/hyperlink" Target="http://istmat.info/node/33259" TargetMode="External"/><Relationship Id="rId316" Type="http://schemas.openxmlformats.org/officeDocument/2006/relationships/hyperlink" Target="http://istmat.info/node/33264" TargetMode="External"/><Relationship Id="rId337" Type="http://schemas.openxmlformats.org/officeDocument/2006/relationships/hyperlink" Target="http://istmat.info/node/33270" TargetMode="External"/><Relationship Id="rId34" Type="http://schemas.openxmlformats.org/officeDocument/2006/relationships/hyperlink" Target="http://www.airwar.ru/enc/fww1/ka14.html" TargetMode="External"/><Relationship Id="rId55" Type="http://schemas.openxmlformats.org/officeDocument/2006/relationships/hyperlink" Target="http://www.airwar.ru/enc/law1/pm.html" TargetMode="External"/><Relationship Id="rId76" Type="http://schemas.openxmlformats.org/officeDocument/2006/relationships/hyperlink" Target="http://istmat.info/node/48500" TargetMode="External"/><Relationship Id="rId97" Type="http://schemas.openxmlformats.org/officeDocument/2006/relationships/hyperlink" Target="http://airspot.ru/catalogue/item/handley-page-halifax" TargetMode="External"/><Relationship Id="rId120" Type="http://schemas.openxmlformats.org/officeDocument/2006/relationships/hyperlink" Target="http://www.airwar.ru/enc/bww1/f220.html" TargetMode="External"/><Relationship Id="rId141" Type="http://schemas.openxmlformats.org/officeDocument/2006/relationships/hyperlink" Target="http://www.airwar.ru/enc/fww1/hawkerpv3.html" TargetMode="External"/><Relationship Id="rId7" Type="http://schemas.openxmlformats.org/officeDocument/2006/relationships/hyperlink" Target="http://ru.wikipedia.org/wiki/20_%D0%BE%D0%BA%D1%82%D1%8F%D0%B1%D1%80%D1%8F" TargetMode="External"/><Relationship Id="rId162" Type="http://schemas.openxmlformats.org/officeDocument/2006/relationships/hyperlink" Target="http://detectivebooks.ru/book/47013018/?page=29" TargetMode="External"/><Relationship Id="rId183" Type="http://schemas.openxmlformats.org/officeDocument/2006/relationships/hyperlink" Target="http://www.airwar.ru/enc/law1/ps.html" TargetMode="External"/><Relationship Id="rId218" Type="http://schemas.openxmlformats.org/officeDocument/2006/relationships/hyperlink" Target="http://alternathistory.com/tag/sb/" TargetMode="External"/><Relationship Id="rId239" Type="http://schemas.openxmlformats.org/officeDocument/2006/relationships/hyperlink" Target="http://istmat.info/node/33256" TargetMode="External"/><Relationship Id="rId250" Type="http://schemas.openxmlformats.org/officeDocument/2006/relationships/hyperlink" Target="http://istmat.info/node/33257" TargetMode="External"/><Relationship Id="rId271" Type="http://schemas.openxmlformats.org/officeDocument/2006/relationships/hyperlink" Target="http://istmat.info/node/33258" TargetMode="External"/><Relationship Id="rId292" Type="http://schemas.openxmlformats.org/officeDocument/2006/relationships/hyperlink" Target="http://istmat.info/node/33260" TargetMode="External"/><Relationship Id="rId306" Type="http://schemas.openxmlformats.org/officeDocument/2006/relationships/hyperlink" Target="http://istmat.info/node/33263" TargetMode="External"/><Relationship Id="rId24" Type="http://schemas.openxmlformats.org/officeDocument/2006/relationships/hyperlink" Target="http://www.rpg-club.com/x1000" TargetMode="External"/><Relationship Id="rId45" Type="http://schemas.openxmlformats.org/officeDocument/2006/relationships/hyperlink" Target="http://crimso.msk.ru/Site/Crafts/Craft22171.htm%20www.airwar.ru/enc/fww1/dip.html" TargetMode="External"/><Relationship Id="rId66" Type="http://schemas.openxmlformats.org/officeDocument/2006/relationships/hyperlink" Target="http://airspot.ru/catalogue/item/grigorovich-i-z" TargetMode="External"/><Relationship Id="rId87" Type="http://schemas.openxmlformats.org/officeDocument/2006/relationships/hyperlink" Target="https://t34inform.ru/doc/1935-05-04_BT-IS.html" TargetMode="External"/><Relationship Id="rId110" Type="http://schemas.openxmlformats.org/officeDocument/2006/relationships/hyperlink" Target="http://www.rpg-club.com/x1000" TargetMode="External"/><Relationship Id="rId131" Type="http://schemas.openxmlformats.org/officeDocument/2006/relationships/hyperlink" Target="http://www.airwar.ru/enc/cw1/mb220.html" TargetMode="External"/><Relationship Id="rId327" Type="http://schemas.openxmlformats.org/officeDocument/2006/relationships/hyperlink" Target="http://istmat.info/node/33264" TargetMode="External"/><Relationship Id="rId348" Type="http://schemas.openxmlformats.org/officeDocument/2006/relationships/hyperlink" Target="http://www.rpg-club.com/x1000" TargetMode="External"/><Relationship Id="rId152" Type="http://schemas.openxmlformats.org/officeDocument/2006/relationships/hyperlink" Target="http://detectivebooks.ru/book/47013018/?page=40" TargetMode="External"/><Relationship Id="rId173" Type="http://schemas.openxmlformats.org/officeDocument/2006/relationships/hyperlink" Target="http://translate.google.com/translate?hl=fr&amp;pre...ru/enc/sww2/mk1.html" TargetMode="External"/><Relationship Id="rId194" Type="http://schemas.openxmlformats.org/officeDocument/2006/relationships/hyperlink" Target="http://istmat.info/node/48514" TargetMode="External"/><Relationship Id="rId208" Type="http://schemas.openxmlformats.org/officeDocument/2006/relationships/hyperlink" Target="http://detectivebooks.ru/book/47013018/?page=19" TargetMode="External"/><Relationship Id="rId229" Type="http://schemas.openxmlformats.org/officeDocument/2006/relationships/hyperlink" Target="http://istmat.info/node/33256" TargetMode="External"/><Relationship Id="rId240" Type="http://schemas.openxmlformats.org/officeDocument/2006/relationships/hyperlink" Target="http://istmat.info/node/33256" TargetMode="External"/><Relationship Id="rId261" Type="http://schemas.openxmlformats.org/officeDocument/2006/relationships/hyperlink" Target="http://istmat.info/node/33258" TargetMode="External"/><Relationship Id="rId14" Type="http://schemas.openxmlformats.org/officeDocument/2006/relationships/hyperlink" Target="http://ru.wikipedia.org/wiki/%D0%91%D0%B0%D0%BB%D1%82%D0%B8%D0%B9%D1%81%D0%BA%D0%B8%D0%B9_%D0%B7%D0%B0%D0%B2%D0%BE%D0%B4" TargetMode="External"/><Relationship Id="rId35" Type="http://schemas.openxmlformats.org/officeDocument/2006/relationships/hyperlink" Target="http://airspot.ru/catalogue/item/arhangelskiy-sb-2rts-ant-40" TargetMode="External"/><Relationship Id="rId56" Type="http://schemas.openxmlformats.org/officeDocument/2006/relationships/hyperlink" Target="http://airspot.ru/catalogue/item/avro-anson" TargetMode="External"/><Relationship Id="rId77" Type="http://schemas.openxmlformats.org/officeDocument/2006/relationships/hyperlink" Target="http://crimso.msk.ru/Site/Crafts/Craft20317.htm" TargetMode="External"/><Relationship Id="rId100" Type="http://schemas.openxmlformats.org/officeDocument/2006/relationships/hyperlink" Target="http://www.airwar.ru/enc/fww2/f3f.html" TargetMode="External"/><Relationship Id="rId282" Type="http://schemas.openxmlformats.org/officeDocument/2006/relationships/hyperlink" Target="http://istmat.info/node/33259" TargetMode="External"/><Relationship Id="rId317" Type="http://schemas.openxmlformats.org/officeDocument/2006/relationships/hyperlink" Target="http://istmat.info/node/33264" TargetMode="External"/><Relationship Id="rId338" Type="http://schemas.openxmlformats.org/officeDocument/2006/relationships/hyperlink" Target="http://istmat.info/node/33270" TargetMode="External"/><Relationship Id="rId8" Type="http://schemas.openxmlformats.org/officeDocument/2006/relationships/hyperlink" Target="http://ru.wikipedia.org/wiki/1937_%D0%B3%D0%BE%D0%B4" TargetMode="External"/><Relationship Id="rId98" Type="http://schemas.openxmlformats.org/officeDocument/2006/relationships/hyperlink" Target="http://www.airwar.ru/enc/bww2/harrow.html" TargetMode="External"/><Relationship Id="rId121" Type="http://schemas.openxmlformats.org/officeDocument/2006/relationships/hyperlink" Target="http://www.libussr.ru/doc_ussr/usr_8340.htm" TargetMode="External"/><Relationship Id="rId142" Type="http://schemas.openxmlformats.org/officeDocument/2006/relationships/hyperlink" Target="http://www.airwar.ru/enc/bww2/aemb1.html" TargetMode="External"/><Relationship Id="rId163" Type="http://schemas.openxmlformats.org/officeDocument/2006/relationships/hyperlink" Target="http://detectivebooks.ru/book/47013018/?page=29" TargetMode="External"/><Relationship Id="rId184" Type="http://schemas.openxmlformats.org/officeDocument/2006/relationships/hyperlink" Target="http://detectivebooks.ru/book/47013018/?page=29" TargetMode="External"/><Relationship Id="rId219" Type="http://schemas.openxmlformats.org/officeDocument/2006/relationships/hyperlink" Target="http://detectivebooks.ru/book/47013018/?page=28" TargetMode="External"/><Relationship Id="rId230" Type="http://schemas.openxmlformats.org/officeDocument/2006/relationships/hyperlink" Target="http://istmat.info/node/33256" TargetMode="External"/><Relationship Id="rId251" Type="http://schemas.openxmlformats.org/officeDocument/2006/relationships/hyperlink" Target="http://istmat.info/node/33257" TargetMode="External"/><Relationship Id="rId25" Type="http://schemas.openxmlformats.org/officeDocument/2006/relationships/hyperlink" Target="http://www.rpg-club.com/x1000" TargetMode="External"/><Relationship Id="rId46" Type="http://schemas.openxmlformats.org/officeDocument/2006/relationships/hyperlink" Target="http://www.airwar.ru/enc/bww2/mb210.html" TargetMode="External"/><Relationship Id="rId67" Type="http://schemas.openxmlformats.org/officeDocument/2006/relationships/hyperlink" Target="http://detectivebooks.ru/book/47013018/?page=19" TargetMode="External"/><Relationship Id="rId272" Type="http://schemas.openxmlformats.org/officeDocument/2006/relationships/hyperlink" Target="http://istmat.info/node/33258" TargetMode="External"/><Relationship Id="rId293" Type="http://schemas.openxmlformats.org/officeDocument/2006/relationships/hyperlink" Target="http://istmat.info/node/33260" TargetMode="External"/><Relationship Id="rId307" Type="http://schemas.openxmlformats.org/officeDocument/2006/relationships/hyperlink" Target="http://istmat.info/node/33263" TargetMode="External"/><Relationship Id="rId328" Type="http://schemas.openxmlformats.org/officeDocument/2006/relationships/hyperlink" Target="http://istmat.info/node/33264" TargetMode="External"/><Relationship Id="rId349" Type="http://schemas.openxmlformats.org/officeDocument/2006/relationships/fontTable" Target="fontTable.xml"/><Relationship Id="rId20" Type="http://schemas.openxmlformats.org/officeDocument/2006/relationships/hyperlink" Target="http://www.airwar.ru/enc/other2/ki9.html" TargetMode="External"/><Relationship Id="rId41" Type="http://schemas.openxmlformats.org/officeDocument/2006/relationships/hyperlink" Target="http://www.airwar.ru/enc/sww2/pby.html" TargetMode="External"/><Relationship Id="rId62" Type="http://schemas.openxmlformats.org/officeDocument/2006/relationships/hyperlink" Target="https://warspot.ru/3387-voyna-zakonchilas-voyna-nachalas" TargetMode="External"/><Relationship Id="rId83" Type="http://schemas.openxmlformats.org/officeDocument/2006/relationships/hyperlink" Target="http://istmat.info/node/48506" TargetMode="External"/><Relationship Id="rId88" Type="http://schemas.openxmlformats.org/officeDocument/2006/relationships/hyperlink" Target="http://www.rpg-club.com/x1000" TargetMode="External"/><Relationship Id="rId111" Type="http://schemas.openxmlformats.org/officeDocument/2006/relationships/hyperlink" Target="http://www.rpg-club.com/x1000" TargetMode="External"/><Relationship Id="rId132" Type="http://schemas.openxmlformats.org/officeDocument/2006/relationships/hyperlink" Target="http://www.airwar.ru/enc/bww2/bombey.html" TargetMode="External"/><Relationship Id="rId153" Type="http://schemas.openxmlformats.org/officeDocument/2006/relationships/hyperlink" Target="http://www.libussr.ru/doc_ussr/ussr_1754.htm" TargetMode="External"/><Relationship Id="rId174" Type="http://schemas.openxmlformats.org/officeDocument/2006/relationships/hyperlink" Target="http://www.airwar.ru/enc/fww1/sev1xp.html" TargetMode="External"/><Relationship Id="rId179" Type="http://schemas.openxmlformats.org/officeDocument/2006/relationships/hyperlink" Target="http://www.airwar.ru/enc/law1/phoenix.html" TargetMode="External"/><Relationship Id="rId195" Type="http://schemas.openxmlformats.org/officeDocument/2006/relationships/hyperlink" Target="http://detectivebooks.ru/book/47013018/?page=14" TargetMode="External"/><Relationship Id="rId209" Type="http://schemas.openxmlformats.org/officeDocument/2006/relationships/hyperlink" Target="http://detectivebooks.ru/book/47013018/?page=19" TargetMode="External"/><Relationship Id="rId190" Type="http://schemas.openxmlformats.org/officeDocument/2006/relationships/hyperlink" Target="http://detectivebooks.ru/book/47013018/?page=19" TargetMode="External"/><Relationship Id="rId204" Type="http://schemas.openxmlformats.org/officeDocument/2006/relationships/hyperlink" Target="http://ru.wikipedia.org/wiki/%D0%92%D1%82%D0%BE%D1%80%D0%B0%D1%8F_%D0%B8%D1%82%D0%B0%D0%BB%D0%BE-%D1%8D%D1%84%D0%B8%D0%BE%D0%BF%D1%81%D0%BA%D0%B0%D1%8F_%D0%B2%D0%BE%D0%B9%D0%BD%D0%B0" TargetMode="External"/><Relationship Id="rId220" Type="http://schemas.openxmlformats.org/officeDocument/2006/relationships/hyperlink" Target="http://detectivebooks.ru/book/47013018/?page=19" TargetMode="External"/><Relationship Id="rId225" Type="http://schemas.openxmlformats.org/officeDocument/2006/relationships/hyperlink" Target="http://istmat.info/node/33256" TargetMode="External"/><Relationship Id="rId241" Type="http://schemas.openxmlformats.org/officeDocument/2006/relationships/hyperlink" Target="http://istmat.info/node/33256" TargetMode="External"/><Relationship Id="rId246" Type="http://schemas.openxmlformats.org/officeDocument/2006/relationships/hyperlink" Target="http://istmat.info/node/33257" TargetMode="External"/><Relationship Id="rId267" Type="http://schemas.openxmlformats.org/officeDocument/2006/relationships/hyperlink" Target="http://istmat.info/node/33258" TargetMode="External"/><Relationship Id="rId288" Type="http://schemas.openxmlformats.org/officeDocument/2006/relationships/hyperlink" Target="http://istmat.info/node/33260" TargetMode="External"/><Relationship Id="rId15" Type="http://schemas.openxmlformats.org/officeDocument/2006/relationships/hyperlink" Target="http://ru.wikipedia.org/wiki/%D0%91%D0%B0%D0%BB%D1%82%D0%B8%D0%B9%D1%81%D0%BA%D0%B8%D0%B9_%D0%B7%D0%B0%D0%B2%D0%BE%D0%B4" TargetMode="External"/><Relationship Id="rId36" Type="http://schemas.openxmlformats.org/officeDocument/2006/relationships/hyperlink" Target="http://www.airwar.ru/enc/other1/viima.html" TargetMode="External"/><Relationship Id="rId57" Type="http://schemas.openxmlformats.org/officeDocument/2006/relationships/hyperlink" Target="http://detectivebooks.ru/book/47013018/?page=35" TargetMode="External"/><Relationship Id="rId106" Type="http://schemas.openxmlformats.org/officeDocument/2006/relationships/hyperlink" Target="http://www.rpg-club.com/x1000" TargetMode="External"/><Relationship Id="rId127" Type="http://schemas.openxmlformats.org/officeDocument/2006/relationships/hyperlink" Target="http://www.airwar.ru/enc/bww2/sb2.html" TargetMode="External"/><Relationship Id="rId262" Type="http://schemas.openxmlformats.org/officeDocument/2006/relationships/hyperlink" Target="http://istmat.info/node/33258" TargetMode="External"/><Relationship Id="rId283" Type="http://schemas.openxmlformats.org/officeDocument/2006/relationships/hyperlink" Target="http://istmat.info/node/33259" TargetMode="External"/><Relationship Id="rId313" Type="http://schemas.openxmlformats.org/officeDocument/2006/relationships/hyperlink" Target="http://istmat.info/node/33264" TargetMode="External"/><Relationship Id="rId318" Type="http://schemas.openxmlformats.org/officeDocument/2006/relationships/hyperlink" Target="http://istmat.info/node/33264" TargetMode="External"/><Relationship Id="rId339" Type="http://schemas.openxmlformats.org/officeDocument/2006/relationships/hyperlink" Target="http://istmat.info/node/33270" TargetMode="External"/><Relationship Id="rId10" Type="http://schemas.openxmlformats.org/officeDocument/2006/relationships/hyperlink" Target="http://ru.wikipedia.org/wiki/1934_%D0%B3%D0%BE%D0%B4" TargetMode="External"/><Relationship Id="rId31" Type="http://schemas.openxmlformats.org/officeDocument/2006/relationships/hyperlink" Target="http://detectivebooks.ru/book/47013018/?page=32" TargetMode="External"/><Relationship Id="rId52" Type="http://schemas.openxmlformats.org/officeDocument/2006/relationships/hyperlink" Target="http://www.rpg-club.com/x1000" TargetMode="External"/><Relationship Id="rId73" Type="http://schemas.openxmlformats.org/officeDocument/2006/relationships/hyperlink" Target="http://www.airwar.ru/enc/bww2/ca135.html" TargetMode="External"/><Relationship Id="rId78" Type="http://schemas.openxmlformats.org/officeDocument/2006/relationships/hyperlink" Target="http://istmat.info/node/48501" TargetMode="External"/><Relationship Id="rId94" Type="http://schemas.openxmlformats.org/officeDocument/2006/relationships/hyperlink" Target="http://www.airwar.ru/enc/bww1/dba.html" TargetMode="External"/><Relationship Id="rId99" Type="http://schemas.openxmlformats.org/officeDocument/2006/relationships/hyperlink" Target="http://www.airwar.ru/enc/aww2/hs123.html" TargetMode="External"/><Relationship Id="rId101" Type="http://schemas.openxmlformats.org/officeDocument/2006/relationships/hyperlink" Target="http://www.airwar.ru/enc/bww2/mb210.html" TargetMode="External"/><Relationship Id="rId122" Type="http://schemas.openxmlformats.org/officeDocument/2006/relationships/hyperlink" Target="http://www.airwar.ru/enc/sww2/mf11.html" TargetMode="External"/><Relationship Id="rId143" Type="http://schemas.openxmlformats.org/officeDocument/2006/relationships/hyperlink" Target="http://www.airwar.ru/enc/fww2/f3f.html" TargetMode="External"/><Relationship Id="rId148" Type="http://schemas.openxmlformats.org/officeDocument/2006/relationships/hyperlink" Target="http://www.airwar.ru/enc/bww2/b17g.html" TargetMode="External"/><Relationship Id="rId164" Type="http://schemas.openxmlformats.org/officeDocument/2006/relationships/hyperlink" Target="http://wunderwaffe.narod.ru/Magazine/AirWar/119/01.htm" TargetMode="External"/><Relationship Id="rId169" Type="http://schemas.openxmlformats.org/officeDocument/2006/relationships/hyperlink" Target="http://detectivebooks.ru/book/47013018/?page=29" TargetMode="External"/><Relationship Id="rId185" Type="http://schemas.openxmlformats.org/officeDocument/2006/relationships/hyperlink" Target="http://detectivebooks.ru/book/47013018/?page=29" TargetMode="External"/><Relationship Id="rId334" Type="http://schemas.openxmlformats.org/officeDocument/2006/relationships/hyperlink" Target="http://istmat.info/node/33269" TargetMode="External"/><Relationship Id="rId35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ru.wikipedia.org/wiki/4_%D0%B0%D0%B2%D0%B3%D1%83%D1%81%D1%82%D0%B0" TargetMode="External"/><Relationship Id="rId180" Type="http://schemas.openxmlformats.org/officeDocument/2006/relationships/hyperlink" Target="http://www.airwar.ru/enc/sww2/sbd.html" TargetMode="External"/><Relationship Id="rId210" Type="http://schemas.openxmlformats.org/officeDocument/2006/relationships/hyperlink" Target="http://detectivebooks.ru/book/47013018/?page=20" TargetMode="External"/><Relationship Id="rId215" Type="http://schemas.openxmlformats.org/officeDocument/2006/relationships/hyperlink" Target="http://istmat.info/node/48315" TargetMode="External"/><Relationship Id="rId236" Type="http://schemas.openxmlformats.org/officeDocument/2006/relationships/hyperlink" Target="http://istmat.info/node/33256" TargetMode="External"/><Relationship Id="rId257" Type="http://schemas.openxmlformats.org/officeDocument/2006/relationships/hyperlink" Target="http://istmat.info/node/33258" TargetMode="External"/><Relationship Id="rId278" Type="http://schemas.openxmlformats.org/officeDocument/2006/relationships/hyperlink" Target="http://istmat.info/node/33259" TargetMode="External"/><Relationship Id="rId26" Type="http://schemas.openxmlformats.org/officeDocument/2006/relationships/hyperlink" Target="http://www.airwar.ru/enc/bww2/ant42.html" TargetMode="External"/><Relationship Id="rId231" Type="http://schemas.openxmlformats.org/officeDocument/2006/relationships/hyperlink" Target="http://istmat.info/node/33256" TargetMode="External"/><Relationship Id="rId252" Type="http://schemas.openxmlformats.org/officeDocument/2006/relationships/hyperlink" Target="http://istmat.info/node/33257" TargetMode="External"/><Relationship Id="rId273" Type="http://schemas.openxmlformats.org/officeDocument/2006/relationships/hyperlink" Target="http://istmat.info/node/33259" TargetMode="External"/><Relationship Id="rId294" Type="http://schemas.openxmlformats.org/officeDocument/2006/relationships/hyperlink" Target="http://istmat.info/node/33260" TargetMode="External"/><Relationship Id="rId308" Type="http://schemas.openxmlformats.org/officeDocument/2006/relationships/hyperlink" Target="http://istmat.info/node/33263" TargetMode="External"/><Relationship Id="rId329" Type="http://schemas.openxmlformats.org/officeDocument/2006/relationships/hyperlink" Target="http://istmat.info/node/33269" TargetMode="External"/><Relationship Id="rId47" Type="http://schemas.openxmlformats.org/officeDocument/2006/relationships/hyperlink" Target="http://www.libussr.ru/doc_ussr/ussr_4042.htm" TargetMode="External"/><Relationship Id="rId68" Type="http://schemas.openxmlformats.org/officeDocument/2006/relationships/hyperlink" Target="http://www.airwar.ru/enc/law1/m4.html" TargetMode="External"/><Relationship Id="rId89" Type="http://schemas.openxmlformats.org/officeDocument/2006/relationships/hyperlink" Target="http://www.rpg-club.com/x1000" TargetMode="External"/><Relationship Id="rId112" Type="http://schemas.openxmlformats.org/officeDocument/2006/relationships/hyperlink" Target="http://www.airwar.ru/enc/fww1/di6.html" TargetMode="External"/><Relationship Id="rId133" Type="http://schemas.openxmlformats.org/officeDocument/2006/relationships/hyperlink" Target="http://www.airwar.ru/enc/other1/ca113.html" TargetMode="External"/><Relationship Id="rId154" Type="http://schemas.openxmlformats.org/officeDocument/2006/relationships/hyperlink" Target="http://airfield.narod.ru/yak/air-4/air-4.html" TargetMode="External"/><Relationship Id="rId175" Type="http://schemas.openxmlformats.org/officeDocument/2006/relationships/hyperlink" Target="http://detectivebooks.ru/book/47013018/?page=29" TargetMode="External"/><Relationship Id="rId340" Type="http://schemas.openxmlformats.org/officeDocument/2006/relationships/hyperlink" Target="http://istmat.info/node/33270" TargetMode="External"/><Relationship Id="rId196" Type="http://schemas.openxmlformats.org/officeDocument/2006/relationships/hyperlink" Target="http://www.1000dokumente.de/index.html?c=glossar_ru&amp;ge=&#1043;&#1080;&#1090;&#1083;&#1077;&#1088;&amp;sg=1&amp;l=ru" TargetMode="External"/><Relationship Id="rId200" Type="http://schemas.openxmlformats.org/officeDocument/2006/relationships/hyperlink" Target="http://detectivebooks.ru/book/47013018/?page=13" TargetMode="External"/><Relationship Id="rId16" Type="http://schemas.openxmlformats.org/officeDocument/2006/relationships/hyperlink" Target="http://ru.wikipedia.org/wiki/1935_%D0%B3%D0%BE%D0%B4" TargetMode="External"/><Relationship Id="rId221" Type="http://schemas.openxmlformats.org/officeDocument/2006/relationships/hyperlink" Target="http://detectivebooks.ru/book/47013018/?page=19" TargetMode="External"/><Relationship Id="rId242" Type="http://schemas.openxmlformats.org/officeDocument/2006/relationships/hyperlink" Target="http://istmat.info/node/33256" TargetMode="External"/><Relationship Id="rId263" Type="http://schemas.openxmlformats.org/officeDocument/2006/relationships/hyperlink" Target="http://istmat.info/node/33258" TargetMode="External"/><Relationship Id="rId284" Type="http://schemas.openxmlformats.org/officeDocument/2006/relationships/hyperlink" Target="http://istmat.info/node/33259" TargetMode="External"/><Relationship Id="rId319" Type="http://schemas.openxmlformats.org/officeDocument/2006/relationships/hyperlink" Target="http://istmat.info/node/33264" TargetMode="External"/><Relationship Id="rId37" Type="http://schemas.openxmlformats.org/officeDocument/2006/relationships/hyperlink" Target="http://www.airwar.ru/enc/other1/tuisku.html" TargetMode="External"/><Relationship Id="rId58" Type="http://schemas.openxmlformats.org/officeDocument/2006/relationships/hyperlink" Target="http://detectivebooks.ru/book/47013018/?page=35" TargetMode="External"/><Relationship Id="rId79" Type="http://schemas.openxmlformats.org/officeDocument/2006/relationships/hyperlink" Target="http://days.peoples.ru/0420/" TargetMode="External"/><Relationship Id="rId102" Type="http://schemas.openxmlformats.org/officeDocument/2006/relationships/hyperlink" Target="http://avia-museum.narod.ru/italy/savoia_s-55.html" TargetMode="External"/><Relationship Id="rId123" Type="http://schemas.openxmlformats.org/officeDocument/2006/relationships/hyperlink" Target="http://www.airwar.ru/enc/other2/fw58.html" TargetMode="External"/><Relationship Id="rId144" Type="http://schemas.openxmlformats.org/officeDocument/2006/relationships/hyperlink" Target="http://www.airwar.ru/enc/cw1/z505.html" TargetMode="External"/><Relationship Id="rId330" Type="http://schemas.openxmlformats.org/officeDocument/2006/relationships/hyperlink" Target="http://istmat.info/node/33269" TargetMode="External"/><Relationship Id="rId90" Type="http://schemas.openxmlformats.org/officeDocument/2006/relationships/hyperlink" Target="http://www.rpg-club.com/x1000" TargetMode="External"/><Relationship Id="rId165" Type="http://schemas.openxmlformats.org/officeDocument/2006/relationships/hyperlink" Target="http://www.airwar.ru/enc/fww2/i15.html" TargetMode="External"/><Relationship Id="rId186" Type="http://schemas.openxmlformats.org/officeDocument/2006/relationships/hyperlink" Target="http://www.airwar.ru/enc/fww2/f3f.html" TargetMode="External"/><Relationship Id="rId211" Type="http://schemas.openxmlformats.org/officeDocument/2006/relationships/hyperlink" Target="http://detectivebooks.ru/book/47013018/?page=20" TargetMode="External"/><Relationship Id="rId232" Type="http://schemas.openxmlformats.org/officeDocument/2006/relationships/hyperlink" Target="http://istmat.info/node/33256" TargetMode="External"/><Relationship Id="rId253" Type="http://schemas.openxmlformats.org/officeDocument/2006/relationships/hyperlink" Target="http://istmat.info/node/33257" TargetMode="External"/><Relationship Id="rId274" Type="http://schemas.openxmlformats.org/officeDocument/2006/relationships/hyperlink" Target="http://istmat.info/node/33259" TargetMode="External"/><Relationship Id="rId295" Type="http://schemas.openxmlformats.org/officeDocument/2006/relationships/hyperlink" Target="http://istmat.info/node/33260" TargetMode="External"/><Relationship Id="rId309" Type="http://schemas.openxmlformats.org/officeDocument/2006/relationships/hyperlink" Target="http://istmat.info/node/33263" TargetMode="External"/><Relationship Id="rId27" Type="http://schemas.openxmlformats.org/officeDocument/2006/relationships/hyperlink" Target="http://www.airwar.ru/enc/bww2/pe8.html" TargetMode="External"/><Relationship Id="rId48" Type="http://schemas.openxmlformats.org/officeDocument/2006/relationships/hyperlink" Target="http://airspot.ru/catalogue/item/nardi-fn-305" TargetMode="External"/><Relationship Id="rId69" Type="http://schemas.openxmlformats.org/officeDocument/2006/relationships/hyperlink" Target="http://airspot.ru/catalogue/item/savoia-marchetti-sm-74-millepiedi" TargetMode="External"/><Relationship Id="rId113" Type="http://schemas.openxmlformats.org/officeDocument/2006/relationships/hyperlink" Target="http://www.airwar.ru/enc/fww1/sev2xp.html" TargetMode="External"/><Relationship Id="rId134" Type="http://schemas.openxmlformats.org/officeDocument/2006/relationships/hyperlink" Target="http://www.airwar.ru/enc/sww2/jf.html" TargetMode="External"/><Relationship Id="rId320" Type="http://schemas.openxmlformats.org/officeDocument/2006/relationships/hyperlink" Target="http://istmat.info/node/33264" TargetMode="External"/><Relationship Id="rId80" Type="http://schemas.openxmlformats.org/officeDocument/2006/relationships/hyperlink" Target="http://days.peoples.ru/year/1935/" TargetMode="External"/><Relationship Id="rId155" Type="http://schemas.openxmlformats.org/officeDocument/2006/relationships/hyperlink" Target="http://detectivebooks.ru/book/47013018/?page=29" TargetMode="External"/><Relationship Id="rId176" Type="http://schemas.openxmlformats.org/officeDocument/2006/relationships/hyperlink" Target="http://detectivebooks.ru/book/47013018/?page=29" TargetMode="External"/><Relationship Id="rId197" Type="http://schemas.openxmlformats.org/officeDocument/2006/relationships/hyperlink" Target="https://warspot.ru/3883-foto-dnya-bolshie-kievskie-manyovry" TargetMode="External"/><Relationship Id="rId341" Type="http://schemas.openxmlformats.org/officeDocument/2006/relationships/hyperlink" Target="https://t34inform.ru/photo/photo_BT-IS.html" TargetMode="External"/><Relationship Id="rId201" Type="http://schemas.openxmlformats.org/officeDocument/2006/relationships/hyperlink" Target="http://transphoto.ru/vehicle/7337/" TargetMode="External"/><Relationship Id="rId222" Type="http://schemas.openxmlformats.org/officeDocument/2006/relationships/hyperlink" Target="http://detectivebooks.ru/book/47013018/?page=20" TargetMode="External"/><Relationship Id="rId243" Type="http://schemas.openxmlformats.org/officeDocument/2006/relationships/hyperlink" Target="http://istmat.info/node/33256" TargetMode="External"/><Relationship Id="rId264" Type="http://schemas.openxmlformats.org/officeDocument/2006/relationships/hyperlink" Target="http://istmat.info/node/33258" TargetMode="External"/><Relationship Id="rId285" Type="http://schemas.openxmlformats.org/officeDocument/2006/relationships/hyperlink" Target="http://istmat.info/node/33259" TargetMode="External"/><Relationship Id="rId17" Type="http://schemas.openxmlformats.org/officeDocument/2006/relationships/hyperlink" Target="http://ru.wikipedia.org/wiki/20_%D0%BE%D0%BA%D1%82%D1%8F%D0%B1%D1%80%D1%8F" TargetMode="External"/><Relationship Id="rId38" Type="http://schemas.openxmlformats.org/officeDocument/2006/relationships/hyperlink" Target="http://www.airwar.ru/enc/other1/c1.html" TargetMode="External"/><Relationship Id="rId59" Type="http://schemas.openxmlformats.org/officeDocument/2006/relationships/hyperlink" Target="http://airspot.ru/catalogue/item/nieuport-ni-140" TargetMode="External"/><Relationship Id="rId103" Type="http://schemas.openxmlformats.org/officeDocument/2006/relationships/hyperlink" Target="https://warspot.ru/3387-voyna-zakonchilas-voyna-nachalas" TargetMode="External"/><Relationship Id="rId124" Type="http://schemas.openxmlformats.org/officeDocument/2006/relationships/hyperlink" Target="http://www.airwar.ru/enc/bww2/db2.html" TargetMode="External"/><Relationship Id="rId310" Type="http://schemas.openxmlformats.org/officeDocument/2006/relationships/hyperlink" Target="http://istmat.info/node/33263" TargetMode="External"/><Relationship Id="rId70" Type="http://schemas.openxmlformats.org/officeDocument/2006/relationships/hyperlink" Target="http://airspot.ru/catalogue/item/fiat-cr-42-falco" TargetMode="External"/><Relationship Id="rId91" Type="http://schemas.openxmlformats.org/officeDocument/2006/relationships/hyperlink" Target="http://www.rpg-club.com/x1000" TargetMode="External"/><Relationship Id="rId145" Type="http://schemas.openxmlformats.org/officeDocument/2006/relationships/hyperlink" Target="http://www.airwar.ru/enc/law1/air10.html" TargetMode="External"/><Relationship Id="rId166" Type="http://schemas.openxmlformats.org/officeDocument/2006/relationships/hyperlink" Target="http://www.airwar.ru/enc/fww2/di8.html" TargetMode="External"/><Relationship Id="rId187" Type="http://schemas.openxmlformats.org/officeDocument/2006/relationships/hyperlink" Target="http://www.airwiki.org/enc/other1/aems1.html" TargetMode="External"/><Relationship Id="rId331" Type="http://schemas.openxmlformats.org/officeDocument/2006/relationships/hyperlink" Target="http://istmat.info/node/33269" TargetMode="External"/><Relationship Id="rId1" Type="http://schemas.openxmlformats.org/officeDocument/2006/relationships/customXml" Target="../customXml/item1.xml"/><Relationship Id="rId212" Type="http://schemas.openxmlformats.org/officeDocument/2006/relationships/hyperlink" Target="http://detectivebooks.ru/book/47013018/?page=20" TargetMode="External"/><Relationship Id="rId233" Type="http://schemas.openxmlformats.org/officeDocument/2006/relationships/hyperlink" Target="http://istmat.info/node/33256" TargetMode="External"/><Relationship Id="rId254" Type="http://schemas.openxmlformats.org/officeDocument/2006/relationships/hyperlink" Target="http://istmat.info/node/33257" TargetMode="External"/><Relationship Id="rId28" Type="http://schemas.openxmlformats.org/officeDocument/2006/relationships/hyperlink" Target="http://www.polarmuseum.ru/oldnp/galyshev/gal_2104/gal_2104.htm" TargetMode="External"/><Relationship Id="rId49" Type="http://schemas.openxmlformats.org/officeDocument/2006/relationships/hyperlink" Target="http://pro-samolet.ru/samolety-germany-ww2/bomb...i/126-he-111?start=1" TargetMode="External"/><Relationship Id="rId114" Type="http://schemas.openxmlformats.org/officeDocument/2006/relationships/hyperlink" Target="http://www.airwar.ru/enc/sww2/mf11.html" TargetMode="External"/><Relationship Id="rId275" Type="http://schemas.openxmlformats.org/officeDocument/2006/relationships/hyperlink" Target="http://istmat.info/node/33259" TargetMode="External"/><Relationship Id="rId296" Type="http://schemas.openxmlformats.org/officeDocument/2006/relationships/hyperlink" Target="http://istmat.info/node/33260" TargetMode="External"/><Relationship Id="rId300" Type="http://schemas.openxmlformats.org/officeDocument/2006/relationships/hyperlink" Target="http://istmat.info/node/33263" TargetMode="External"/><Relationship Id="rId60" Type="http://schemas.openxmlformats.org/officeDocument/2006/relationships/hyperlink" Target="http://detectivebooks.ru/book/47013018/?page=19" TargetMode="External"/><Relationship Id="rId81" Type="http://schemas.openxmlformats.org/officeDocument/2006/relationships/hyperlink" Target="http://istmat.info/node/48304" TargetMode="External"/><Relationship Id="rId135" Type="http://schemas.openxmlformats.org/officeDocument/2006/relationships/hyperlink" Target="http://www.airwar.ru/enc/fww1/hawkerpv3.html" TargetMode="External"/><Relationship Id="rId156" Type="http://schemas.openxmlformats.org/officeDocument/2006/relationships/hyperlink" Target="http://detectivebooks.ru/book/47013018/?page=29" TargetMode="External"/><Relationship Id="rId177" Type="http://schemas.openxmlformats.org/officeDocument/2006/relationships/hyperlink" Target="http://www.airwar.ru/enc/fww2/p73.html" TargetMode="External"/><Relationship Id="rId198" Type="http://schemas.openxmlformats.org/officeDocument/2006/relationships/hyperlink" Target="http://detectivebooks.ru/book/47013018/?page=13" TargetMode="External"/><Relationship Id="rId321" Type="http://schemas.openxmlformats.org/officeDocument/2006/relationships/hyperlink" Target="http://istmat.info/node/33264" TargetMode="External"/><Relationship Id="rId342" Type="http://schemas.openxmlformats.org/officeDocument/2006/relationships/hyperlink" Target="http://istmat.info/node/48540" TargetMode="External"/><Relationship Id="rId202" Type="http://schemas.openxmlformats.org/officeDocument/2006/relationships/hyperlink" Target="http://en.wikipedia.org/wiki/Second_Italo-Abyssinian_War" TargetMode="External"/><Relationship Id="rId223" Type="http://schemas.openxmlformats.org/officeDocument/2006/relationships/hyperlink" Target="http://detectivebooks.ru/book/47013018/?page=20" TargetMode="External"/><Relationship Id="rId244" Type="http://schemas.openxmlformats.org/officeDocument/2006/relationships/hyperlink" Target="http://istmat.info/node/33256" TargetMode="External"/><Relationship Id="rId18" Type="http://schemas.openxmlformats.org/officeDocument/2006/relationships/hyperlink" Target="http://ru.wikipedia.org/wiki/1937_%D0%B3%D0%BE%D0%B4" TargetMode="External"/><Relationship Id="rId39" Type="http://schemas.openxmlformats.org/officeDocument/2006/relationships/hyperlink" Target="http://www.airwar.ru/enc/attack/a7.html" TargetMode="External"/><Relationship Id="rId265" Type="http://schemas.openxmlformats.org/officeDocument/2006/relationships/hyperlink" Target="http://istmat.info/node/33258" TargetMode="External"/><Relationship Id="rId286" Type="http://schemas.openxmlformats.org/officeDocument/2006/relationships/hyperlink" Target="http://istmat.info/node/33259" TargetMode="External"/><Relationship Id="rId50" Type="http://schemas.openxmlformats.org/officeDocument/2006/relationships/hyperlink" Target="http://ru.wikipedia.org/wiki/%D0%98%D1%80%D0%BA...B0%D0%B2%D0%BE%D0%B4" TargetMode="External"/><Relationship Id="rId104" Type="http://schemas.openxmlformats.org/officeDocument/2006/relationships/hyperlink" Target="http://www.cofe.ru/avia/A/A-122.htm" TargetMode="External"/><Relationship Id="rId125" Type="http://schemas.openxmlformats.org/officeDocument/2006/relationships/hyperlink" Target="http://www.airwar.ru/enc/other1/hai6.html" TargetMode="External"/><Relationship Id="rId146" Type="http://schemas.openxmlformats.org/officeDocument/2006/relationships/hyperlink" Target="http://airspot.ru/catalogue/item/cant-z-501-gabbiano" TargetMode="External"/><Relationship Id="rId167" Type="http://schemas.openxmlformats.org/officeDocument/2006/relationships/hyperlink" Target="http://www.airwar.ru/enc/aww2/di6sh.html" TargetMode="External"/><Relationship Id="rId188" Type="http://schemas.openxmlformats.org/officeDocument/2006/relationships/hyperlink" Target="http://istmat.info/node/57359" TargetMode="External"/><Relationship Id="rId311" Type="http://schemas.openxmlformats.org/officeDocument/2006/relationships/hyperlink" Target="http://istmat.info/node/33263" TargetMode="External"/><Relationship Id="rId332" Type="http://schemas.openxmlformats.org/officeDocument/2006/relationships/hyperlink" Target="http://istmat.info/node/33269" TargetMode="External"/><Relationship Id="rId71" Type="http://schemas.openxmlformats.org/officeDocument/2006/relationships/hyperlink" Target="http://detectivebooks.ru/book/47013018/?page=24" TargetMode="External"/><Relationship Id="rId92" Type="http://schemas.openxmlformats.org/officeDocument/2006/relationships/hyperlink" Target="http://www.rpg-club.com/x1000" TargetMode="External"/><Relationship Id="rId213" Type="http://schemas.openxmlformats.org/officeDocument/2006/relationships/hyperlink" Target="http://detectivebooks.ru/book/47013018/?page=20" TargetMode="External"/><Relationship Id="rId234" Type="http://schemas.openxmlformats.org/officeDocument/2006/relationships/hyperlink" Target="http://istmat.info/node/33256" TargetMode="External"/><Relationship Id="rId2" Type="http://schemas.openxmlformats.org/officeDocument/2006/relationships/numbering" Target="numbering.xml"/><Relationship Id="rId29" Type="http://schemas.openxmlformats.org/officeDocument/2006/relationships/hyperlink" Target="http://www.airwar.ru/enc/cw1/juw33.html" TargetMode="External"/><Relationship Id="rId255" Type="http://schemas.openxmlformats.org/officeDocument/2006/relationships/hyperlink" Target="http://istmat.info/node/33257" TargetMode="External"/><Relationship Id="rId276" Type="http://schemas.openxmlformats.org/officeDocument/2006/relationships/hyperlink" Target="http://istmat.info/node/33259" TargetMode="External"/><Relationship Id="rId297" Type="http://schemas.openxmlformats.org/officeDocument/2006/relationships/hyperlink" Target="http://istmat.info/node/33260" TargetMode="External"/><Relationship Id="rId40" Type="http://schemas.openxmlformats.org/officeDocument/2006/relationships/hyperlink" Target="http://combatavia.info/usa7pby.html" TargetMode="External"/><Relationship Id="rId115" Type="http://schemas.openxmlformats.org/officeDocument/2006/relationships/hyperlink" Target="http://alternathistory.com/mnogotselevoj-samolet-stal-7-sssr/" TargetMode="External"/><Relationship Id="rId136" Type="http://schemas.openxmlformats.org/officeDocument/2006/relationships/hyperlink" Target="http://www.airwar.ru/enc/other2/hartbeest.html" TargetMode="External"/><Relationship Id="rId157" Type="http://schemas.openxmlformats.org/officeDocument/2006/relationships/hyperlink" Target="http://www.airwar.ru/enc/flyboat/late582.html" TargetMode="External"/><Relationship Id="rId178" Type="http://schemas.openxmlformats.org/officeDocument/2006/relationships/hyperlink" Target="http://detectivebooks.ru/book/47013018/?page=18" TargetMode="External"/><Relationship Id="rId301" Type="http://schemas.openxmlformats.org/officeDocument/2006/relationships/hyperlink" Target="http://istmat.info/node/33263" TargetMode="External"/><Relationship Id="rId322" Type="http://schemas.openxmlformats.org/officeDocument/2006/relationships/hyperlink" Target="http://istmat.info/node/33264" TargetMode="External"/><Relationship Id="rId343" Type="http://schemas.openxmlformats.org/officeDocument/2006/relationships/hyperlink" Target="https://t34inform.ru/photo/photo_BT-IS.html" TargetMode="External"/><Relationship Id="rId61" Type="http://schemas.openxmlformats.org/officeDocument/2006/relationships/hyperlink" Target="http://www.airwar.ru/enc/sww2/do18.html" TargetMode="External"/><Relationship Id="rId82" Type="http://schemas.openxmlformats.org/officeDocument/2006/relationships/hyperlink" Target="https://t34inform.ru/doc/1935-05-04_BT-IS.html" TargetMode="External"/><Relationship Id="rId199" Type="http://schemas.openxmlformats.org/officeDocument/2006/relationships/hyperlink" Target="http://detectivebooks.ru/book/47013018/?page=13" TargetMode="External"/><Relationship Id="rId203" Type="http://schemas.openxmlformats.org/officeDocument/2006/relationships/hyperlink" Target="http://ru.wikipedia.org/wiki/%D0%A5%D0%B0%D0%B9%D0%BB%D0%B5_%D0%A1%D0%B5%D0%BB%D0%B0%D1%81%D1%81%D0%B8%D0%B5_I" TargetMode="External"/><Relationship Id="rId19" Type="http://schemas.openxmlformats.org/officeDocument/2006/relationships/hyperlink" Target="http://istmat.info/node/48315" TargetMode="External"/><Relationship Id="rId224" Type="http://schemas.openxmlformats.org/officeDocument/2006/relationships/hyperlink" Target="http://istmat.info/node/33256" TargetMode="External"/><Relationship Id="rId245" Type="http://schemas.openxmlformats.org/officeDocument/2006/relationships/hyperlink" Target="http://istmat.info/node/33257" TargetMode="External"/><Relationship Id="rId266" Type="http://schemas.openxmlformats.org/officeDocument/2006/relationships/hyperlink" Target="http://istmat.info/node/33258" TargetMode="External"/><Relationship Id="rId287" Type="http://schemas.openxmlformats.org/officeDocument/2006/relationships/hyperlink" Target="http://istmat.info/node/33260" TargetMode="External"/><Relationship Id="rId30" Type="http://schemas.openxmlformats.org/officeDocument/2006/relationships/hyperlink" Target="http://www.rpg-club.com/x1000" TargetMode="External"/><Relationship Id="rId105" Type="http://schemas.openxmlformats.org/officeDocument/2006/relationships/hyperlink" Target="http://airspot.ru/catalogue/item/shiukwan-fu-hsing" TargetMode="External"/><Relationship Id="rId126" Type="http://schemas.openxmlformats.org/officeDocument/2006/relationships/hyperlink" Target="http://www.airwar.ru/enc/bww2/db2.html" TargetMode="External"/><Relationship Id="rId147" Type="http://schemas.openxmlformats.org/officeDocument/2006/relationships/hyperlink" Target="http://www.airwar.ru/enc/fww1/iar16.html" TargetMode="External"/><Relationship Id="rId168" Type="http://schemas.openxmlformats.org/officeDocument/2006/relationships/hyperlink" Target="http://istmat.info/node/48512" TargetMode="External"/><Relationship Id="rId312" Type="http://schemas.openxmlformats.org/officeDocument/2006/relationships/hyperlink" Target="http://istmat.info/node/33263" TargetMode="External"/><Relationship Id="rId333" Type="http://schemas.openxmlformats.org/officeDocument/2006/relationships/hyperlink" Target="http://istmat.info/node/33269" TargetMode="External"/><Relationship Id="rId51" Type="http://schemas.openxmlformats.org/officeDocument/2006/relationships/hyperlink" Target="http://detectivebooks.ru/book/47013018/?page=19" TargetMode="External"/><Relationship Id="rId72" Type="http://schemas.openxmlformats.org/officeDocument/2006/relationships/hyperlink" Target="http://detectivebooks.ru/book/47013018/?page=24" TargetMode="External"/><Relationship Id="rId93" Type="http://schemas.openxmlformats.org/officeDocument/2006/relationships/hyperlink" Target="http://www.airwar.ru/enc/sww2/nc410.html" TargetMode="External"/><Relationship Id="rId189" Type="http://schemas.openxmlformats.org/officeDocument/2006/relationships/hyperlink" Target="http://istmat.info/node/48513" TargetMode="External"/><Relationship Id="rId3" Type="http://schemas.openxmlformats.org/officeDocument/2006/relationships/styles" Target="styles.xml"/><Relationship Id="rId214" Type="http://schemas.openxmlformats.org/officeDocument/2006/relationships/hyperlink" Target="http://detectivebooks.ru/book/47013018/?page=20" TargetMode="External"/><Relationship Id="rId235" Type="http://schemas.openxmlformats.org/officeDocument/2006/relationships/hyperlink" Target="http://istmat.info/node/33256" TargetMode="External"/><Relationship Id="rId256" Type="http://schemas.openxmlformats.org/officeDocument/2006/relationships/hyperlink" Target="http://istmat.info/node/33257" TargetMode="External"/><Relationship Id="rId277" Type="http://schemas.openxmlformats.org/officeDocument/2006/relationships/hyperlink" Target="http://istmat.info/node/33259" TargetMode="External"/><Relationship Id="rId298" Type="http://schemas.openxmlformats.org/officeDocument/2006/relationships/hyperlink" Target="http://istmat.info/node/33260" TargetMode="External"/><Relationship Id="rId116" Type="http://schemas.openxmlformats.org/officeDocument/2006/relationships/hyperlink" Target="http://alternathistory.com/tag/sb/" TargetMode="External"/><Relationship Id="rId137" Type="http://schemas.openxmlformats.org/officeDocument/2006/relationships/hyperlink" Target="http://www.airwar.ru/enc/spyww2/f9.html" TargetMode="External"/><Relationship Id="rId158" Type="http://schemas.openxmlformats.org/officeDocument/2006/relationships/hyperlink" Target="http://detectivebooks.ru/book/47013018/?page=29" TargetMode="External"/><Relationship Id="rId302" Type="http://schemas.openxmlformats.org/officeDocument/2006/relationships/hyperlink" Target="http://istmat.info/node/33263" TargetMode="External"/><Relationship Id="rId323" Type="http://schemas.openxmlformats.org/officeDocument/2006/relationships/hyperlink" Target="http://istmat.info/node/33264" TargetMode="External"/><Relationship Id="rId344" Type="http://schemas.openxmlformats.org/officeDocument/2006/relationships/hyperlink" Target="http://alternathistory.com/istrebitel-i-207-mog-li-stat-alternativo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088464-3A66-4BA5-9944-F87A557915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1155</TotalTime>
  <Pages>962</Pages>
  <Words>1122485</Words>
  <Characters>6398168</Characters>
  <Application>Microsoft Office Word</Application>
  <DocSecurity>0</DocSecurity>
  <Lines>53318</Lines>
  <Paragraphs>15011</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7505642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160</cp:revision>
  <dcterms:created xsi:type="dcterms:W3CDTF">2022-04-11T17:03:00Z</dcterms:created>
  <dcterms:modified xsi:type="dcterms:W3CDTF">2022-05-08T07:50:00Z</dcterms:modified>
</cp:coreProperties>
</file>